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4F2" w:rsidRPr="001A3D2B" w:rsidRDefault="003474F2" w:rsidP="003474F2">
      <w:pPr>
        <w:pStyle w:val="a3"/>
        <w:jc w:val="center"/>
        <w:rPr>
          <w:sz w:val="52"/>
        </w:rPr>
      </w:pPr>
      <w:r w:rsidRPr="001A3D2B">
        <w:rPr>
          <w:sz w:val="52"/>
        </w:rPr>
        <w:t>Personal Research Database</w:t>
      </w:r>
    </w:p>
    <w:p w:rsidR="003474F2" w:rsidRPr="001A3D2B" w:rsidRDefault="003474F2" w:rsidP="003474F2">
      <w:pPr>
        <w:pStyle w:val="a3"/>
        <w:jc w:val="center"/>
        <w:rPr>
          <w:sz w:val="52"/>
        </w:rPr>
      </w:pPr>
      <w:r w:rsidRPr="001A3D2B">
        <w:rPr>
          <w:sz w:val="52"/>
        </w:rPr>
        <w:t>Bibliometric</w:t>
      </w:r>
    </w:p>
    <w:p w:rsidR="003474F2" w:rsidRPr="001A3D2B" w:rsidRDefault="003474F2" w:rsidP="003474F2">
      <w:pPr>
        <w:pStyle w:val="a3"/>
        <w:jc w:val="center"/>
        <w:rPr>
          <w:sz w:val="52"/>
        </w:rPr>
      </w:pPr>
      <w:r w:rsidRPr="001A3D2B">
        <w:rPr>
          <w:sz w:val="52"/>
        </w:rPr>
        <w:t>Part I</w:t>
      </w:r>
      <w:r w:rsidR="004E5BB5">
        <w:rPr>
          <w:rFonts w:hint="eastAsia"/>
          <w:sz w:val="52"/>
        </w:rPr>
        <w:t>I</w:t>
      </w:r>
      <w:r w:rsidRPr="001A3D2B">
        <w:rPr>
          <w:sz w:val="52"/>
        </w:rPr>
        <w:t xml:space="preserve">: </w:t>
      </w:r>
      <w:r w:rsidR="00655165">
        <w:rPr>
          <w:rFonts w:hint="eastAsia"/>
          <w:sz w:val="52"/>
        </w:rPr>
        <w:t>C</w:t>
      </w:r>
    </w:p>
    <w:p w:rsidR="003474F2" w:rsidRPr="001A3D2B" w:rsidRDefault="003474F2" w:rsidP="003474F2">
      <w:pPr>
        <w:pStyle w:val="a3"/>
        <w:jc w:val="center"/>
        <w:rPr>
          <w:sz w:val="36"/>
        </w:rPr>
      </w:pPr>
      <w:r w:rsidRPr="001A3D2B">
        <w:rPr>
          <w:sz w:val="36"/>
        </w:rPr>
        <w:t>By</w:t>
      </w:r>
    </w:p>
    <w:p w:rsidR="003474F2" w:rsidRPr="001A3D2B" w:rsidRDefault="003474F2" w:rsidP="003474F2">
      <w:pPr>
        <w:pStyle w:val="a3"/>
        <w:jc w:val="center"/>
        <w:rPr>
          <w:sz w:val="36"/>
        </w:rPr>
      </w:pPr>
      <w:r w:rsidRPr="001A3D2B">
        <w:rPr>
          <w:sz w:val="36"/>
        </w:rPr>
        <w:t>Prof. Yuh-Shan Ho</w:t>
      </w:r>
    </w:p>
    <w:p w:rsidR="00D5664A" w:rsidRPr="00FC7835" w:rsidRDefault="00D5664A" w:rsidP="00D5664A">
      <w:pPr>
        <w:pStyle w:val="a3"/>
        <w:jc w:val="center"/>
        <w:rPr>
          <w:sz w:val="32"/>
        </w:rPr>
      </w:pPr>
      <w:r w:rsidRPr="00FC7835">
        <w:rPr>
          <w:sz w:val="32"/>
          <w:szCs w:val="32"/>
        </w:rPr>
        <w:t xml:space="preserve">Last data updates: </w:t>
      </w:r>
      <w:r w:rsidR="00B140A6">
        <w:rPr>
          <w:rFonts w:hint="eastAsia"/>
          <w:sz w:val="32"/>
        </w:rPr>
        <w:t>29</w:t>
      </w:r>
      <w:r>
        <w:rPr>
          <w:rFonts w:hint="eastAsia"/>
          <w:sz w:val="32"/>
        </w:rPr>
        <w:t>/</w:t>
      </w:r>
      <w:r w:rsidR="00502166">
        <w:rPr>
          <w:rFonts w:hint="eastAsia"/>
          <w:sz w:val="32"/>
        </w:rPr>
        <w:t>0</w:t>
      </w:r>
      <w:r w:rsidR="00B140A6">
        <w:rPr>
          <w:rFonts w:hint="eastAsia"/>
          <w:sz w:val="32"/>
        </w:rPr>
        <w:t>5</w:t>
      </w:r>
      <w:r>
        <w:rPr>
          <w:rFonts w:hint="eastAsia"/>
          <w:sz w:val="32"/>
        </w:rPr>
        <w:t>/1</w:t>
      </w:r>
      <w:r w:rsidR="00FC692B">
        <w:rPr>
          <w:rFonts w:hint="eastAsia"/>
          <w:sz w:val="32"/>
        </w:rPr>
        <w:t>5</w:t>
      </w:r>
    </w:p>
    <w:p w:rsidR="003474F2" w:rsidRPr="00D5664A" w:rsidRDefault="003474F2" w:rsidP="003474F2">
      <w:pPr>
        <w:pStyle w:val="a3"/>
        <w:sectPr w:rsidR="003474F2" w:rsidRPr="00D5664A" w:rsidSect="003474F2">
          <w:pgSz w:w="11907" w:h="16834" w:code="9"/>
          <w:pgMar w:top="1418" w:right="1701" w:bottom="1418" w:left="1701" w:header="720" w:footer="720" w:gutter="0"/>
          <w:cols w:space="720"/>
          <w:docGrid w:linePitch="326"/>
        </w:sectPr>
      </w:pPr>
    </w:p>
    <w:p w:rsidR="003474F2" w:rsidRPr="001A3D2B" w:rsidRDefault="003474F2" w:rsidP="003474F2">
      <w:pPr>
        <w:pStyle w:val="a3"/>
      </w:pPr>
      <w:r w:rsidRPr="001A3D2B">
        <w:lastRenderedPageBreak/>
        <w:t>#: in processing</w:t>
      </w:r>
      <w:r w:rsidR="00427468">
        <w:t xml:space="preserve"> of </w:t>
      </w:r>
      <w:r w:rsidRPr="001A3D2B">
        <w:t>inter-library loan</w:t>
      </w:r>
    </w:p>
    <w:p w:rsidR="003474F2" w:rsidRPr="001A3D2B" w:rsidRDefault="003474F2" w:rsidP="003474F2">
      <w:pPr>
        <w:pStyle w:val="a3"/>
      </w:pPr>
      <w:proofErr w:type="gramStart"/>
      <w:r w:rsidRPr="001A3D2B">
        <w:t>?: has</w:t>
      </w:r>
      <w:proofErr w:type="gramEnd"/>
      <w:r w:rsidRPr="001A3D2B">
        <w:t xml:space="preserve"> not asked for inter-library loan yet</w:t>
      </w:r>
    </w:p>
    <w:p w:rsidR="003474F2" w:rsidRPr="001A3D2B" w:rsidRDefault="003474F2" w:rsidP="003474F2">
      <w:pPr>
        <w:pStyle w:val="a3"/>
      </w:pPr>
      <w:proofErr w:type="gramStart"/>
      <w:r w:rsidRPr="001A3D2B">
        <w:t>??: questions</w:t>
      </w:r>
      <w:proofErr w:type="gramEnd"/>
    </w:p>
    <w:p w:rsidR="003474F2" w:rsidRPr="001A3D2B" w:rsidRDefault="003474F2" w:rsidP="003474F2">
      <w:pPr>
        <w:pStyle w:val="a3"/>
      </w:pPr>
    </w:p>
    <w:p w:rsidR="00D9657B" w:rsidRDefault="00D9657B">
      <w:pPr>
        <w:pStyle w:val="11"/>
        <w:tabs>
          <w:tab w:val="right" w:leader="dot" w:pos="8494"/>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20814864" w:history="1">
        <w:r w:rsidRPr="00775B91">
          <w:rPr>
            <w:rStyle w:val="a5"/>
            <w:noProof/>
          </w:rPr>
          <w:t>Title: Cadernos de Saude Publica</w:t>
        </w:r>
        <w:r>
          <w:rPr>
            <w:noProof/>
            <w:webHidden/>
          </w:rPr>
          <w:tab/>
        </w:r>
        <w:r>
          <w:rPr>
            <w:noProof/>
            <w:webHidden/>
          </w:rPr>
          <w:fldChar w:fldCharType="begin"/>
        </w:r>
        <w:r>
          <w:rPr>
            <w:noProof/>
            <w:webHidden/>
          </w:rPr>
          <w:instrText xml:space="preserve"> PAGEREF _Toc420814864 \h </w:instrText>
        </w:r>
        <w:r>
          <w:rPr>
            <w:noProof/>
            <w:webHidden/>
          </w:rPr>
        </w:r>
        <w:r>
          <w:rPr>
            <w:noProof/>
            <w:webHidden/>
          </w:rPr>
          <w:fldChar w:fldCharType="separate"/>
        </w:r>
        <w:r>
          <w:rPr>
            <w:noProof/>
            <w:webHidden/>
          </w:rPr>
          <w:t>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65" w:history="1">
        <w:r w:rsidRPr="00775B91">
          <w:rPr>
            <w:rStyle w:val="a5"/>
            <w:noProof/>
          </w:rPr>
          <w:t>Title: Cahiers Agricultures</w:t>
        </w:r>
        <w:r>
          <w:rPr>
            <w:noProof/>
            <w:webHidden/>
          </w:rPr>
          <w:tab/>
        </w:r>
        <w:r>
          <w:rPr>
            <w:noProof/>
            <w:webHidden/>
          </w:rPr>
          <w:fldChar w:fldCharType="begin"/>
        </w:r>
        <w:r>
          <w:rPr>
            <w:noProof/>
            <w:webHidden/>
          </w:rPr>
          <w:instrText xml:space="preserve"> PAGEREF _Toc420814865 \h </w:instrText>
        </w:r>
        <w:r>
          <w:rPr>
            <w:noProof/>
            <w:webHidden/>
          </w:rPr>
        </w:r>
        <w:r>
          <w:rPr>
            <w:noProof/>
            <w:webHidden/>
          </w:rPr>
          <w:fldChar w:fldCharType="separate"/>
        </w:r>
        <w:r>
          <w:rPr>
            <w:noProof/>
            <w:webHidden/>
          </w:rPr>
          <w:t>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66" w:history="1">
        <w:r w:rsidRPr="00775B91">
          <w:rPr>
            <w:rStyle w:val="a5"/>
            <w:noProof/>
          </w:rPr>
          <w:t>Title: California Law Review</w:t>
        </w:r>
        <w:r>
          <w:rPr>
            <w:noProof/>
            <w:webHidden/>
          </w:rPr>
          <w:tab/>
        </w:r>
        <w:r>
          <w:rPr>
            <w:noProof/>
            <w:webHidden/>
          </w:rPr>
          <w:fldChar w:fldCharType="begin"/>
        </w:r>
        <w:r>
          <w:rPr>
            <w:noProof/>
            <w:webHidden/>
          </w:rPr>
          <w:instrText xml:space="preserve"> PAGEREF _Toc420814866 \h </w:instrText>
        </w:r>
        <w:r>
          <w:rPr>
            <w:noProof/>
            <w:webHidden/>
          </w:rPr>
        </w:r>
        <w:r>
          <w:rPr>
            <w:noProof/>
            <w:webHidden/>
          </w:rPr>
          <w:fldChar w:fldCharType="separate"/>
        </w:r>
        <w:r>
          <w:rPr>
            <w:noProof/>
            <w:webHidden/>
          </w:rPr>
          <w:t>11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67" w:history="1">
        <w:r w:rsidRPr="00775B91">
          <w:rPr>
            <w:rStyle w:val="a5"/>
            <w:noProof/>
          </w:rPr>
          <w:t>Title: Cambridge Journal of Economics</w:t>
        </w:r>
        <w:r>
          <w:rPr>
            <w:noProof/>
            <w:webHidden/>
          </w:rPr>
          <w:tab/>
        </w:r>
        <w:r>
          <w:rPr>
            <w:noProof/>
            <w:webHidden/>
          </w:rPr>
          <w:fldChar w:fldCharType="begin"/>
        </w:r>
        <w:r>
          <w:rPr>
            <w:noProof/>
            <w:webHidden/>
          </w:rPr>
          <w:instrText xml:space="preserve"> PAGEREF _Toc420814867 \h </w:instrText>
        </w:r>
        <w:r>
          <w:rPr>
            <w:noProof/>
            <w:webHidden/>
          </w:rPr>
        </w:r>
        <w:r>
          <w:rPr>
            <w:noProof/>
            <w:webHidden/>
          </w:rPr>
          <w:fldChar w:fldCharType="separate"/>
        </w:r>
        <w:r>
          <w:rPr>
            <w:noProof/>
            <w:webHidden/>
          </w:rPr>
          <w:t>12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68" w:history="1">
        <w:r w:rsidRPr="00775B91">
          <w:rPr>
            <w:rStyle w:val="a5"/>
            <w:noProof/>
          </w:rPr>
          <w:t>Title: Canadian Association of Radiologists Journal-Journal de l Association Canadienne des Radiologistes</w:t>
        </w:r>
        <w:r>
          <w:rPr>
            <w:noProof/>
            <w:webHidden/>
          </w:rPr>
          <w:tab/>
        </w:r>
        <w:r>
          <w:rPr>
            <w:noProof/>
            <w:webHidden/>
          </w:rPr>
          <w:fldChar w:fldCharType="begin"/>
        </w:r>
        <w:r>
          <w:rPr>
            <w:noProof/>
            <w:webHidden/>
          </w:rPr>
          <w:instrText xml:space="preserve"> PAGEREF _Toc420814868 \h </w:instrText>
        </w:r>
        <w:r>
          <w:rPr>
            <w:noProof/>
            <w:webHidden/>
          </w:rPr>
        </w:r>
        <w:r>
          <w:rPr>
            <w:noProof/>
            <w:webHidden/>
          </w:rPr>
          <w:fldChar w:fldCharType="separate"/>
        </w:r>
        <w:r>
          <w:rPr>
            <w:noProof/>
            <w:webHidden/>
          </w:rPr>
          <w:t>14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69" w:history="1">
        <w:r w:rsidRPr="00775B91">
          <w:rPr>
            <w:rStyle w:val="a5"/>
            <w:noProof/>
          </w:rPr>
          <w:t>Title: Canadian Family Physician</w:t>
        </w:r>
        <w:r>
          <w:rPr>
            <w:noProof/>
            <w:webHidden/>
          </w:rPr>
          <w:tab/>
        </w:r>
        <w:r>
          <w:rPr>
            <w:noProof/>
            <w:webHidden/>
          </w:rPr>
          <w:fldChar w:fldCharType="begin"/>
        </w:r>
        <w:r>
          <w:rPr>
            <w:noProof/>
            <w:webHidden/>
          </w:rPr>
          <w:instrText xml:space="preserve"> PAGEREF _Toc420814869 \h </w:instrText>
        </w:r>
        <w:r>
          <w:rPr>
            <w:noProof/>
            <w:webHidden/>
          </w:rPr>
        </w:r>
        <w:r>
          <w:rPr>
            <w:noProof/>
            <w:webHidden/>
          </w:rPr>
          <w:fldChar w:fldCharType="separate"/>
        </w:r>
        <w:r>
          <w:rPr>
            <w:noProof/>
            <w:webHidden/>
          </w:rPr>
          <w:t>15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0" w:history="1">
        <w:r w:rsidRPr="00775B91">
          <w:rPr>
            <w:rStyle w:val="a5"/>
            <w:noProof/>
          </w:rPr>
          <w:t>Title: Canadian Family Physician Médecin de Famille Canadien</w:t>
        </w:r>
        <w:r>
          <w:rPr>
            <w:noProof/>
            <w:webHidden/>
          </w:rPr>
          <w:tab/>
        </w:r>
        <w:r>
          <w:rPr>
            <w:noProof/>
            <w:webHidden/>
          </w:rPr>
          <w:fldChar w:fldCharType="begin"/>
        </w:r>
        <w:r>
          <w:rPr>
            <w:noProof/>
            <w:webHidden/>
          </w:rPr>
          <w:instrText xml:space="preserve"> PAGEREF _Toc420814870 \h </w:instrText>
        </w:r>
        <w:r>
          <w:rPr>
            <w:noProof/>
            <w:webHidden/>
          </w:rPr>
        </w:r>
        <w:r>
          <w:rPr>
            <w:noProof/>
            <w:webHidden/>
          </w:rPr>
          <w:fldChar w:fldCharType="separate"/>
        </w:r>
        <w:r>
          <w:rPr>
            <w:noProof/>
            <w:webHidden/>
          </w:rPr>
          <w:t>18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1" w:history="1">
        <w:r w:rsidRPr="00775B91">
          <w:rPr>
            <w:rStyle w:val="a5"/>
            <w:noProof/>
          </w:rPr>
          <w:t>Title: Canadian Journal of Administrative Sciences-Revue Canadienne des Sciences de l Administration</w:t>
        </w:r>
        <w:r>
          <w:rPr>
            <w:noProof/>
            <w:webHidden/>
          </w:rPr>
          <w:tab/>
        </w:r>
        <w:r>
          <w:rPr>
            <w:noProof/>
            <w:webHidden/>
          </w:rPr>
          <w:fldChar w:fldCharType="begin"/>
        </w:r>
        <w:r>
          <w:rPr>
            <w:noProof/>
            <w:webHidden/>
          </w:rPr>
          <w:instrText xml:space="preserve"> PAGEREF _Toc420814871 \h </w:instrText>
        </w:r>
        <w:r>
          <w:rPr>
            <w:noProof/>
            <w:webHidden/>
          </w:rPr>
        </w:r>
        <w:r>
          <w:rPr>
            <w:noProof/>
            <w:webHidden/>
          </w:rPr>
          <w:fldChar w:fldCharType="separate"/>
        </w:r>
        <w:r>
          <w:rPr>
            <w:noProof/>
            <w:webHidden/>
          </w:rPr>
          <w:t>20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2" w:history="1">
        <w:r w:rsidRPr="00775B91">
          <w:rPr>
            <w:rStyle w:val="a5"/>
            <w:noProof/>
          </w:rPr>
          <w:t>Title: Canadian Journal of Agricultural Economics-Revue Canadienne d’Economie Rurale</w:t>
        </w:r>
        <w:r>
          <w:rPr>
            <w:noProof/>
            <w:webHidden/>
          </w:rPr>
          <w:tab/>
        </w:r>
        <w:r>
          <w:rPr>
            <w:noProof/>
            <w:webHidden/>
          </w:rPr>
          <w:fldChar w:fldCharType="begin"/>
        </w:r>
        <w:r>
          <w:rPr>
            <w:noProof/>
            <w:webHidden/>
          </w:rPr>
          <w:instrText xml:space="preserve"> PAGEREF _Toc420814872 \h </w:instrText>
        </w:r>
        <w:r>
          <w:rPr>
            <w:noProof/>
            <w:webHidden/>
          </w:rPr>
        </w:r>
        <w:r>
          <w:rPr>
            <w:noProof/>
            <w:webHidden/>
          </w:rPr>
          <w:fldChar w:fldCharType="separate"/>
        </w:r>
        <w:r>
          <w:rPr>
            <w:noProof/>
            <w:webHidden/>
          </w:rPr>
          <w:t>22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3" w:history="1">
        <w:r w:rsidRPr="00775B91">
          <w:rPr>
            <w:rStyle w:val="a5"/>
            <w:noProof/>
          </w:rPr>
          <w:t>Title: Canadian Journal of Anaesthesia-Journal Canadien d’Anesthesie</w:t>
        </w:r>
        <w:r>
          <w:rPr>
            <w:noProof/>
            <w:webHidden/>
          </w:rPr>
          <w:tab/>
        </w:r>
        <w:r>
          <w:rPr>
            <w:noProof/>
            <w:webHidden/>
          </w:rPr>
          <w:fldChar w:fldCharType="begin"/>
        </w:r>
        <w:r>
          <w:rPr>
            <w:noProof/>
            <w:webHidden/>
          </w:rPr>
          <w:instrText xml:space="preserve"> PAGEREF _Toc420814873 \h </w:instrText>
        </w:r>
        <w:r>
          <w:rPr>
            <w:noProof/>
            <w:webHidden/>
          </w:rPr>
        </w:r>
        <w:r>
          <w:rPr>
            <w:noProof/>
            <w:webHidden/>
          </w:rPr>
          <w:fldChar w:fldCharType="separate"/>
        </w:r>
        <w:r>
          <w:rPr>
            <w:noProof/>
            <w:webHidden/>
          </w:rPr>
          <w:t>23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4" w:history="1">
        <w:r w:rsidRPr="00775B91">
          <w:rPr>
            <w:rStyle w:val="a5"/>
            <w:noProof/>
          </w:rPr>
          <w:t>Title: Canadian Journal of Cardiology</w:t>
        </w:r>
        <w:r>
          <w:rPr>
            <w:noProof/>
            <w:webHidden/>
          </w:rPr>
          <w:tab/>
        </w:r>
        <w:r>
          <w:rPr>
            <w:noProof/>
            <w:webHidden/>
          </w:rPr>
          <w:fldChar w:fldCharType="begin"/>
        </w:r>
        <w:r>
          <w:rPr>
            <w:noProof/>
            <w:webHidden/>
          </w:rPr>
          <w:instrText xml:space="preserve"> PAGEREF _Toc420814874 \h </w:instrText>
        </w:r>
        <w:r>
          <w:rPr>
            <w:noProof/>
            <w:webHidden/>
          </w:rPr>
        </w:r>
        <w:r>
          <w:rPr>
            <w:noProof/>
            <w:webHidden/>
          </w:rPr>
          <w:fldChar w:fldCharType="separate"/>
        </w:r>
        <w:r>
          <w:rPr>
            <w:noProof/>
            <w:webHidden/>
          </w:rPr>
          <w:t>27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5" w:history="1">
        <w:r w:rsidRPr="00775B91">
          <w:rPr>
            <w:rStyle w:val="a5"/>
            <w:noProof/>
          </w:rPr>
          <w:t>Title: Canadian Journal of Diabetes</w:t>
        </w:r>
        <w:r>
          <w:rPr>
            <w:noProof/>
            <w:webHidden/>
          </w:rPr>
          <w:tab/>
        </w:r>
        <w:r>
          <w:rPr>
            <w:noProof/>
            <w:webHidden/>
          </w:rPr>
          <w:fldChar w:fldCharType="begin"/>
        </w:r>
        <w:r>
          <w:rPr>
            <w:noProof/>
            <w:webHidden/>
          </w:rPr>
          <w:instrText xml:space="preserve"> PAGEREF _Toc420814875 \h </w:instrText>
        </w:r>
        <w:r>
          <w:rPr>
            <w:noProof/>
            <w:webHidden/>
          </w:rPr>
        </w:r>
        <w:r>
          <w:rPr>
            <w:noProof/>
            <w:webHidden/>
          </w:rPr>
          <w:fldChar w:fldCharType="separate"/>
        </w:r>
        <w:r>
          <w:rPr>
            <w:noProof/>
            <w:webHidden/>
          </w:rPr>
          <w:t>32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6" w:history="1">
        <w:r w:rsidRPr="00775B91">
          <w:rPr>
            <w:rStyle w:val="a5"/>
            <w:noProof/>
          </w:rPr>
          <w:t>Title: Canadian Journal of Emergency Medicine</w:t>
        </w:r>
        <w:r>
          <w:rPr>
            <w:noProof/>
            <w:webHidden/>
          </w:rPr>
          <w:tab/>
        </w:r>
        <w:r>
          <w:rPr>
            <w:noProof/>
            <w:webHidden/>
          </w:rPr>
          <w:fldChar w:fldCharType="begin"/>
        </w:r>
        <w:r>
          <w:rPr>
            <w:noProof/>
            <w:webHidden/>
          </w:rPr>
          <w:instrText xml:space="preserve"> PAGEREF _Toc420814876 \h </w:instrText>
        </w:r>
        <w:r>
          <w:rPr>
            <w:noProof/>
            <w:webHidden/>
          </w:rPr>
        </w:r>
        <w:r>
          <w:rPr>
            <w:noProof/>
            <w:webHidden/>
          </w:rPr>
          <w:fldChar w:fldCharType="separate"/>
        </w:r>
        <w:r>
          <w:rPr>
            <w:noProof/>
            <w:webHidden/>
          </w:rPr>
          <w:t>34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7" w:history="1">
        <w:r w:rsidRPr="00775B91">
          <w:rPr>
            <w:rStyle w:val="a5"/>
            <w:noProof/>
          </w:rPr>
          <w:t>Title: Canadian Journal of Forest Research-Revue Canadienne de Recherche Forestiere</w:t>
        </w:r>
        <w:r>
          <w:rPr>
            <w:noProof/>
            <w:webHidden/>
          </w:rPr>
          <w:tab/>
        </w:r>
        <w:r>
          <w:rPr>
            <w:noProof/>
            <w:webHidden/>
          </w:rPr>
          <w:fldChar w:fldCharType="begin"/>
        </w:r>
        <w:r>
          <w:rPr>
            <w:noProof/>
            <w:webHidden/>
          </w:rPr>
          <w:instrText xml:space="preserve"> PAGEREF _Toc420814877 \h </w:instrText>
        </w:r>
        <w:r>
          <w:rPr>
            <w:noProof/>
            <w:webHidden/>
          </w:rPr>
        </w:r>
        <w:r>
          <w:rPr>
            <w:noProof/>
            <w:webHidden/>
          </w:rPr>
          <w:fldChar w:fldCharType="separate"/>
        </w:r>
        <w:r>
          <w:rPr>
            <w:noProof/>
            <w:webHidden/>
          </w:rPr>
          <w:t>38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8" w:history="1">
        <w:r w:rsidRPr="00775B91">
          <w:rPr>
            <w:rStyle w:val="a5"/>
            <w:noProof/>
          </w:rPr>
          <w:t>Title: Canadian Journal of Gastroenterology</w:t>
        </w:r>
        <w:r>
          <w:rPr>
            <w:noProof/>
            <w:webHidden/>
          </w:rPr>
          <w:tab/>
        </w:r>
        <w:r>
          <w:rPr>
            <w:noProof/>
            <w:webHidden/>
          </w:rPr>
          <w:fldChar w:fldCharType="begin"/>
        </w:r>
        <w:r>
          <w:rPr>
            <w:noProof/>
            <w:webHidden/>
          </w:rPr>
          <w:instrText xml:space="preserve"> PAGEREF _Toc420814878 \h </w:instrText>
        </w:r>
        <w:r>
          <w:rPr>
            <w:noProof/>
            <w:webHidden/>
          </w:rPr>
        </w:r>
        <w:r>
          <w:rPr>
            <w:noProof/>
            <w:webHidden/>
          </w:rPr>
          <w:fldChar w:fldCharType="separate"/>
        </w:r>
        <w:r>
          <w:rPr>
            <w:noProof/>
            <w:webHidden/>
          </w:rPr>
          <w:t>40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79" w:history="1">
        <w:r w:rsidRPr="00775B91">
          <w:rPr>
            <w:rStyle w:val="a5"/>
            <w:noProof/>
            <w:lang w:val="fr-FR"/>
          </w:rPr>
          <w:t>Title: Canadian Journal of Information and Library Science-Revue Canadienne des Sciences de l Information et de Bibliotheconomie</w:t>
        </w:r>
        <w:r>
          <w:rPr>
            <w:noProof/>
            <w:webHidden/>
          </w:rPr>
          <w:tab/>
        </w:r>
        <w:r>
          <w:rPr>
            <w:noProof/>
            <w:webHidden/>
          </w:rPr>
          <w:fldChar w:fldCharType="begin"/>
        </w:r>
        <w:r>
          <w:rPr>
            <w:noProof/>
            <w:webHidden/>
          </w:rPr>
          <w:instrText xml:space="preserve"> PAGEREF _Toc420814879 \h </w:instrText>
        </w:r>
        <w:r>
          <w:rPr>
            <w:noProof/>
            <w:webHidden/>
          </w:rPr>
        </w:r>
        <w:r>
          <w:rPr>
            <w:noProof/>
            <w:webHidden/>
          </w:rPr>
          <w:fldChar w:fldCharType="separate"/>
        </w:r>
        <w:r>
          <w:rPr>
            <w:noProof/>
            <w:webHidden/>
          </w:rPr>
          <w:t>43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0" w:history="1">
        <w:r w:rsidRPr="00775B91">
          <w:rPr>
            <w:rStyle w:val="a5"/>
            <w:noProof/>
          </w:rPr>
          <w:t>Title: Canadian Journal of Ophthalmology-Journal Canadien d’Ophtalmologie</w:t>
        </w:r>
        <w:r>
          <w:rPr>
            <w:noProof/>
            <w:webHidden/>
          </w:rPr>
          <w:tab/>
        </w:r>
        <w:r>
          <w:rPr>
            <w:noProof/>
            <w:webHidden/>
          </w:rPr>
          <w:fldChar w:fldCharType="begin"/>
        </w:r>
        <w:r>
          <w:rPr>
            <w:noProof/>
            <w:webHidden/>
          </w:rPr>
          <w:instrText xml:space="preserve"> PAGEREF _Toc420814880 \h </w:instrText>
        </w:r>
        <w:r>
          <w:rPr>
            <w:noProof/>
            <w:webHidden/>
          </w:rPr>
        </w:r>
        <w:r>
          <w:rPr>
            <w:noProof/>
            <w:webHidden/>
          </w:rPr>
          <w:fldChar w:fldCharType="separate"/>
        </w:r>
        <w:r>
          <w:rPr>
            <w:noProof/>
            <w:webHidden/>
          </w:rPr>
          <w:t>49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1" w:history="1">
        <w:r w:rsidRPr="00775B91">
          <w:rPr>
            <w:rStyle w:val="a5"/>
            <w:noProof/>
          </w:rPr>
          <w:t>Title: Canadian Journal of Physiology and Pharmacology</w:t>
        </w:r>
        <w:r>
          <w:rPr>
            <w:noProof/>
            <w:webHidden/>
          </w:rPr>
          <w:tab/>
        </w:r>
        <w:r>
          <w:rPr>
            <w:noProof/>
            <w:webHidden/>
          </w:rPr>
          <w:fldChar w:fldCharType="begin"/>
        </w:r>
        <w:r>
          <w:rPr>
            <w:noProof/>
            <w:webHidden/>
          </w:rPr>
          <w:instrText xml:space="preserve"> PAGEREF _Toc420814881 \h </w:instrText>
        </w:r>
        <w:r>
          <w:rPr>
            <w:noProof/>
            <w:webHidden/>
          </w:rPr>
        </w:r>
        <w:r>
          <w:rPr>
            <w:noProof/>
            <w:webHidden/>
          </w:rPr>
          <w:fldChar w:fldCharType="separate"/>
        </w:r>
        <w:r>
          <w:rPr>
            <w:noProof/>
            <w:webHidden/>
          </w:rPr>
          <w:t>51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2" w:history="1">
        <w:r w:rsidRPr="00775B91">
          <w:rPr>
            <w:rStyle w:val="a5"/>
            <w:noProof/>
          </w:rPr>
          <w:t>Title: Canadian Journal of Plant Science</w:t>
        </w:r>
        <w:r>
          <w:rPr>
            <w:noProof/>
            <w:webHidden/>
          </w:rPr>
          <w:tab/>
        </w:r>
        <w:r>
          <w:rPr>
            <w:noProof/>
            <w:webHidden/>
          </w:rPr>
          <w:fldChar w:fldCharType="begin"/>
        </w:r>
        <w:r>
          <w:rPr>
            <w:noProof/>
            <w:webHidden/>
          </w:rPr>
          <w:instrText xml:space="preserve"> PAGEREF _Toc420814882 \h </w:instrText>
        </w:r>
        <w:r>
          <w:rPr>
            <w:noProof/>
            <w:webHidden/>
          </w:rPr>
        </w:r>
        <w:r>
          <w:rPr>
            <w:noProof/>
            <w:webHidden/>
          </w:rPr>
          <w:fldChar w:fldCharType="separate"/>
        </w:r>
        <w:r>
          <w:rPr>
            <w:noProof/>
            <w:webHidden/>
          </w:rPr>
          <w:t>52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3" w:history="1">
        <w:r w:rsidRPr="00775B91">
          <w:rPr>
            <w:rStyle w:val="a5"/>
            <w:noProof/>
          </w:rPr>
          <w:t>Title: Canadian Journal of Psychiatry-Revue Canadienne de Psychiatrie</w:t>
        </w:r>
        <w:r>
          <w:rPr>
            <w:noProof/>
            <w:webHidden/>
          </w:rPr>
          <w:tab/>
        </w:r>
        <w:r>
          <w:rPr>
            <w:noProof/>
            <w:webHidden/>
          </w:rPr>
          <w:fldChar w:fldCharType="begin"/>
        </w:r>
        <w:r>
          <w:rPr>
            <w:noProof/>
            <w:webHidden/>
          </w:rPr>
          <w:instrText xml:space="preserve"> PAGEREF _Toc420814883 \h </w:instrText>
        </w:r>
        <w:r>
          <w:rPr>
            <w:noProof/>
            <w:webHidden/>
          </w:rPr>
        </w:r>
        <w:r>
          <w:rPr>
            <w:noProof/>
            <w:webHidden/>
          </w:rPr>
          <w:fldChar w:fldCharType="separate"/>
        </w:r>
        <w:r>
          <w:rPr>
            <w:noProof/>
            <w:webHidden/>
          </w:rPr>
          <w:t>53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4" w:history="1">
        <w:r w:rsidRPr="00775B91">
          <w:rPr>
            <w:rStyle w:val="a5"/>
            <w:noProof/>
          </w:rPr>
          <w:t>Title: Canadian Journal of Public Health-Revue Canadienne de Sante Publique</w:t>
        </w:r>
        <w:r>
          <w:rPr>
            <w:noProof/>
            <w:webHidden/>
          </w:rPr>
          <w:tab/>
        </w:r>
        <w:r>
          <w:rPr>
            <w:noProof/>
            <w:webHidden/>
          </w:rPr>
          <w:fldChar w:fldCharType="begin"/>
        </w:r>
        <w:r>
          <w:rPr>
            <w:noProof/>
            <w:webHidden/>
          </w:rPr>
          <w:instrText xml:space="preserve"> PAGEREF _Toc420814884 \h </w:instrText>
        </w:r>
        <w:r>
          <w:rPr>
            <w:noProof/>
            <w:webHidden/>
          </w:rPr>
        </w:r>
        <w:r>
          <w:rPr>
            <w:noProof/>
            <w:webHidden/>
          </w:rPr>
          <w:fldChar w:fldCharType="separate"/>
        </w:r>
        <w:r>
          <w:rPr>
            <w:noProof/>
            <w:webHidden/>
          </w:rPr>
          <w:t>57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5" w:history="1">
        <w:r w:rsidRPr="00775B91">
          <w:rPr>
            <w:rStyle w:val="a5"/>
            <w:noProof/>
          </w:rPr>
          <w:t>Title: Canadian Journal of Statistics-Revue Canadienne de Statistique</w:t>
        </w:r>
        <w:r>
          <w:rPr>
            <w:noProof/>
            <w:webHidden/>
          </w:rPr>
          <w:tab/>
        </w:r>
        <w:r>
          <w:rPr>
            <w:noProof/>
            <w:webHidden/>
          </w:rPr>
          <w:fldChar w:fldCharType="begin"/>
        </w:r>
        <w:r>
          <w:rPr>
            <w:noProof/>
            <w:webHidden/>
          </w:rPr>
          <w:instrText xml:space="preserve"> PAGEREF _Toc420814885 \h </w:instrText>
        </w:r>
        <w:r>
          <w:rPr>
            <w:noProof/>
            <w:webHidden/>
          </w:rPr>
        </w:r>
        <w:r>
          <w:rPr>
            <w:noProof/>
            <w:webHidden/>
          </w:rPr>
          <w:fldChar w:fldCharType="separate"/>
        </w:r>
        <w:r>
          <w:rPr>
            <w:noProof/>
            <w:webHidden/>
          </w:rPr>
          <w:t>60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6" w:history="1">
        <w:r w:rsidRPr="00775B91">
          <w:rPr>
            <w:rStyle w:val="a5"/>
            <w:noProof/>
          </w:rPr>
          <w:t>Title: Canadian Journal of Surgery</w:t>
        </w:r>
        <w:r>
          <w:rPr>
            <w:noProof/>
            <w:webHidden/>
          </w:rPr>
          <w:tab/>
        </w:r>
        <w:r>
          <w:rPr>
            <w:noProof/>
            <w:webHidden/>
          </w:rPr>
          <w:fldChar w:fldCharType="begin"/>
        </w:r>
        <w:r>
          <w:rPr>
            <w:noProof/>
            <w:webHidden/>
          </w:rPr>
          <w:instrText xml:space="preserve"> PAGEREF _Toc420814886 \h </w:instrText>
        </w:r>
        <w:r>
          <w:rPr>
            <w:noProof/>
            <w:webHidden/>
          </w:rPr>
        </w:r>
        <w:r>
          <w:rPr>
            <w:noProof/>
            <w:webHidden/>
          </w:rPr>
          <w:fldChar w:fldCharType="separate"/>
        </w:r>
        <w:r>
          <w:rPr>
            <w:noProof/>
            <w:webHidden/>
          </w:rPr>
          <w:t>62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7" w:history="1">
        <w:r w:rsidRPr="00775B91">
          <w:rPr>
            <w:rStyle w:val="a5"/>
            <w:noProof/>
          </w:rPr>
          <w:t>Title: Canadian Library Journal</w:t>
        </w:r>
        <w:r>
          <w:rPr>
            <w:noProof/>
            <w:webHidden/>
          </w:rPr>
          <w:tab/>
        </w:r>
        <w:r>
          <w:rPr>
            <w:noProof/>
            <w:webHidden/>
          </w:rPr>
          <w:fldChar w:fldCharType="begin"/>
        </w:r>
        <w:r>
          <w:rPr>
            <w:noProof/>
            <w:webHidden/>
          </w:rPr>
          <w:instrText xml:space="preserve"> PAGEREF _Toc420814887 \h </w:instrText>
        </w:r>
        <w:r>
          <w:rPr>
            <w:noProof/>
            <w:webHidden/>
          </w:rPr>
        </w:r>
        <w:r>
          <w:rPr>
            <w:noProof/>
            <w:webHidden/>
          </w:rPr>
          <w:fldChar w:fldCharType="separate"/>
        </w:r>
        <w:r>
          <w:rPr>
            <w:noProof/>
            <w:webHidden/>
          </w:rPr>
          <w:t>65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8" w:history="1">
        <w:r w:rsidRPr="00775B91">
          <w:rPr>
            <w:rStyle w:val="a5"/>
            <w:noProof/>
          </w:rPr>
          <w:t>Title: Canadian Medical Association Journal</w:t>
        </w:r>
        <w:r>
          <w:rPr>
            <w:noProof/>
            <w:webHidden/>
          </w:rPr>
          <w:tab/>
        </w:r>
        <w:r>
          <w:rPr>
            <w:noProof/>
            <w:webHidden/>
          </w:rPr>
          <w:fldChar w:fldCharType="begin"/>
        </w:r>
        <w:r>
          <w:rPr>
            <w:noProof/>
            <w:webHidden/>
          </w:rPr>
          <w:instrText xml:space="preserve"> PAGEREF _Toc420814888 \h </w:instrText>
        </w:r>
        <w:r>
          <w:rPr>
            <w:noProof/>
            <w:webHidden/>
          </w:rPr>
        </w:r>
        <w:r>
          <w:rPr>
            <w:noProof/>
            <w:webHidden/>
          </w:rPr>
          <w:fldChar w:fldCharType="separate"/>
        </w:r>
        <w:r>
          <w:rPr>
            <w:noProof/>
            <w:webHidden/>
          </w:rPr>
          <w:t>66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89" w:history="1">
        <w:r w:rsidRPr="00775B91">
          <w:rPr>
            <w:rStyle w:val="a5"/>
            <w:noProof/>
          </w:rPr>
          <w:t>Title: Canadian Psychology-Psychologie Canadienne</w:t>
        </w:r>
        <w:r>
          <w:rPr>
            <w:noProof/>
            <w:webHidden/>
          </w:rPr>
          <w:tab/>
        </w:r>
        <w:r>
          <w:rPr>
            <w:noProof/>
            <w:webHidden/>
          </w:rPr>
          <w:fldChar w:fldCharType="begin"/>
        </w:r>
        <w:r>
          <w:rPr>
            <w:noProof/>
            <w:webHidden/>
          </w:rPr>
          <w:instrText xml:space="preserve"> PAGEREF _Toc420814889 \h </w:instrText>
        </w:r>
        <w:r>
          <w:rPr>
            <w:noProof/>
            <w:webHidden/>
          </w:rPr>
        </w:r>
        <w:r>
          <w:rPr>
            <w:noProof/>
            <w:webHidden/>
          </w:rPr>
          <w:fldChar w:fldCharType="separate"/>
        </w:r>
        <w:r>
          <w:rPr>
            <w:noProof/>
            <w:webHidden/>
          </w:rPr>
          <w:t>78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0" w:history="1">
        <w:r w:rsidRPr="00775B91">
          <w:rPr>
            <w:rStyle w:val="a5"/>
            <w:noProof/>
          </w:rPr>
          <w:t>Title: Canadian Respiratory Journal</w:t>
        </w:r>
        <w:r>
          <w:rPr>
            <w:noProof/>
            <w:webHidden/>
          </w:rPr>
          <w:tab/>
        </w:r>
        <w:r>
          <w:rPr>
            <w:noProof/>
            <w:webHidden/>
          </w:rPr>
          <w:fldChar w:fldCharType="begin"/>
        </w:r>
        <w:r>
          <w:rPr>
            <w:noProof/>
            <w:webHidden/>
          </w:rPr>
          <w:instrText xml:space="preserve"> PAGEREF _Toc420814890 \h </w:instrText>
        </w:r>
        <w:r>
          <w:rPr>
            <w:noProof/>
            <w:webHidden/>
          </w:rPr>
        </w:r>
        <w:r>
          <w:rPr>
            <w:noProof/>
            <w:webHidden/>
          </w:rPr>
          <w:fldChar w:fldCharType="separate"/>
        </w:r>
        <w:r>
          <w:rPr>
            <w:noProof/>
            <w:webHidden/>
          </w:rPr>
          <w:t>80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1" w:history="1">
        <w:r w:rsidRPr="00775B91">
          <w:rPr>
            <w:rStyle w:val="a5"/>
            <w:noProof/>
          </w:rPr>
          <w:t>Title: Canadian Social Science</w:t>
        </w:r>
        <w:r>
          <w:rPr>
            <w:noProof/>
            <w:webHidden/>
          </w:rPr>
          <w:tab/>
        </w:r>
        <w:r>
          <w:rPr>
            <w:noProof/>
            <w:webHidden/>
          </w:rPr>
          <w:fldChar w:fldCharType="begin"/>
        </w:r>
        <w:r>
          <w:rPr>
            <w:noProof/>
            <w:webHidden/>
          </w:rPr>
          <w:instrText xml:space="preserve"> PAGEREF _Toc420814891 \h </w:instrText>
        </w:r>
        <w:r>
          <w:rPr>
            <w:noProof/>
            <w:webHidden/>
          </w:rPr>
        </w:r>
        <w:r>
          <w:rPr>
            <w:noProof/>
            <w:webHidden/>
          </w:rPr>
          <w:fldChar w:fldCharType="separate"/>
        </w:r>
        <w:r>
          <w:rPr>
            <w:noProof/>
            <w:webHidden/>
          </w:rPr>
          <w:t>82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2" w:history="1">
        <w:r w:rsidRPr="00775B91">
          <w:rPr>
            <w:rStyle w:val="a5"/>
            <w:noProof/>
          </w:rPr>
          <w:t>Title: CUAJ-Canadian Urological Association Journal</w:t>
        </w:r>
        <w:r>
          <w:rPr>
            <w:noProof/>
            <w:webHidden/>
          </w:rPr>
          <w:tab/>
        </w:r>
        <w:r>
          <w:rPr>
            <w:noProof/>
            <w:webHidden/>
          </w:rPr>
          <w:fldChar w:fldCharType="begin"/>
        </w:r>
        <w:r>
          <w:rPr>
            <w:noProof/>
            <w:webHidden/>
          </w:rPr>
          <w:instrText xml:space="preserve"> PAGEREF _Toc420814892 \h </w:instrText>
        </w:r>
        <w:r>
          <w:rPr>
            <w:noProof/>
            <w:webHidden/>
          </w:rPr>
        </w:r>
        <w:r>
          <w:rPr>
            <w:noProof/>
            <w:webHidden/>
          </w:rPr>
          <w:fldChar w:fldCharType="separate"/>
        </w:r>
        <w:r>
          <w:rPr>
            <w:noProof/>
            <w:webHidden/>
          </w:rPr>
          <w:t>83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3" w:history="1">
        <w:r w:rsidRPr="00775B91">
          <w:rPr>
            <w:rStyle w:val="a5"/>
            <w:noProof/>
          </w:rPr>
          <w:t>Title: Cancer</w:t>
        </w:r>
        <w:r>
          <w:rPr>
            <w:noProof/>
            <w:webHidden/>
          </w:rPr>
          <w:tab/>
        </w:r>
        <w:r>
          <w:rPr>
            <w:noProof/>
            <w:webHidden/>
          </w:rPr>
          <w:fldChar w:fldCharType="begin"/>
        </w:r>
        <w:r>
          <w:rPr>
            <w:noProof/>
            <w:webHidden/>
          </w:rPr>
          <w:instrText xml:space="preserve"> PAGEREF _Toc420814893 \h </w:instrText>
        </w:r>
        <w:r>
          <w:rPr>
            <w:noProof/>
            <w:webHidden/>
          </w:rPr>
        </w:r>
        <w:r>
          <w:rPr>
            <w:noProof/>
            <w:webHidden/>
          </w:rPr>
          <w:fldChar w:fldCharType="separate"/>
        </w:r>
        <w:r>
          <w:rPr>
            <w:noProof/>
            <w:webHidden/>
          </w:rPr>
          <w:t>85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4" w:history="1">
        <w:r w:rsidRPr="00775B91">
          <w:rPr>
            <w:rStyle w:val="a5"/>
            <w:noProof/>
          </w:rPr>
          <w:t>Title: Cancer Biology &amp; Therapy</w:t>
        </w:r>
        <w:r>
          <w:rPr>
            <w:noProof/>
            <w:webHidden/>
          </w:rPr>
          <w:tab/>
        </w:r>
        <w:r>
          <w:rPr>
            <w:noProof/>
            <w:webHidden/>
          </w:rPr>
          <w:fldChar w:fldCharType="begin"/>
        </w:r>
        <w:r>
          <w:rPr>
            <w:noProof/>
            <w:webHidden/>
          </w:rPr>
          <w:instrText xml:space="preserve"> PAGEREF _Toc420814894 \h </w:instrText>
        </w:r>
        <w:r>
          <w:rPr>
            <w:noProof/>
            <w:webHidden/>
          </w:rPr>
        </w:r>
        <w:r>
          <w:rPr>
            <w:noProof/>
            <w:webHidden/>
          </w:rPr>
          <w:fldChar w:fldCharType="separate"/>
        </w:r>
        <w:r>
          <w:rPr>
            <w:noProof/>
            <w:webHidden/>
          </w:rPr>
          <w:t>89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5" w:history="1">
        <w:r w:rsidRPr="00775B91">
          <w:rPr>
            <w:rStyle w:val="a5"/>
            <w:noProof/>
          </w:rPr>
          <w:t>Title: Cancer Biomarkers</w:t>
        </w:r>
        <w:r>
          <w:rPr>
            <w:noProof/>
            <w:webHidden/>
          </w:rPr>
          <w:tab/>
        </w:r>
        <w:r>
          <w:rPr>
            <w:noProof/>
            <w:webHidden/>
          </w:rPr>
          <w:fldChar w:fldCharType="begin"/>
        </w:r>
        <w:r>
          <w:rPr>
            <w:noProof/>
            <w:webHidden/>
          </w:rPr>
          <w:instrText xml:space="preserve"> PAGEREF _Toc420814895 \h </w:instrText>
        </w:r>
        <w:r>
          <w:rPr>
            <w:noProof/>
            <w:webHidden/>
          </w:rPr>
        </w:r>
        <w:r>
          <w:rPr>
            <w:noProof/>
            <w:webHidden/>
          </w:rPr>
          <w:fldChar w:fldCharType="separate"/>
        </w:r>
        <w:r>
          <w:rPr>
            <w:noProof/>
            <w:webHidden/>
          </w:rPr>
          <w:t>91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6" w:history="1">
        <w:r w:rsidRPr="00775B91">
          <w:rPr>
            <w:rStyle w:val="a5"/>
            <w:noProof/>
          </w:rPr>
          <w:t>Title: Cancer Biotherapy and Radiopharmaceuticals</w:t>
        </w:r>
        <w:r>
          <w:rPr>
            <w:noProof/>
            <w:webHidden/>
          </w:rPr>
          <w:tab/>
        </w:r>
        <w:r>
          <w:rPr>
            <w:noProof/>
            <w:webHidden/>
          </w:rPr>
          <w:fldChar w:fldCharType="begin"/>
        </w:r>
        <w:r>
          <w:rPr>
            <w:noProof/>
            <w:webHidden/>
          </w:rPr>
          <w:instrText xml:space="preserve"> PAGEREF _Toc420814896 \h </w:instrText>
        </w:r>
        <w:r>
          <w:rPr>
            <w:noProof/>
            <w:webHidden/>
          </w:rPr>
        </w:r>
        <w:r>
          <w:rPr>
            <w:noProof/>
            <w:webHidden/>
          </w:rPr>
          <w:fldChar w:fldCharType="separate"/>
        </w:r>
        <w:r>
          <w:rPr>
            <w:noProof/>
            <w:webHidden/>
          </w:rPr>
          <w:t>97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7" w:history="1">
        <w:r w:rsidRPr="00775B91">
          <w:rPr>
            <w:rStyle w:val="a5"/>
            <w:noProof/>
          </w:rPr>
          <w:t>Title: Cancer Causes &amp; Control</w:t>
        </w:r>
        <w:r>
          <w:rPr>
            <w:noProof/>
            <w:webHidden/>
          </w:rPr>
          <w:tab/>
        </w:r>
        <w:r>
          <w:rPr>
            <w:noProof/>
            <w:webHidden/>
          </w:rPr>
          <w:fldChar w:fldCharType="begin"/>
        </w:r>
        <w:r>
          <w:rPr>
            <w:noProof/>
            <w:webHidden/>
          </w:rPr>
          <w:instrText xml:space="preserve"> PAGEREF _Toc420814897 \h </w:instrText>
        </w:r>
        <w:r>
          <w:rPr>
            <w:noProof/>
            <w:webHidden/>
          </w:rPr>
        </w:r>
        <w:r>
          <w:rPr>
            <w:noProof/>
            <w:webHidden/>
          </w:rPr>
          <w:fldChar w:fldCharType="separate"/>
        </w:r>
        <w:r>
          <w:rPr>
            <w:noProof/>
            <w:webHidden/>
          </w:rPr>
          <w:t>99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8" w:history="1">
        <w:r w:rsidRPr="00775B91">
          <w:rPr>
            <w:rStyle w:val="a5"/>
            <w:noProof/>
          </w:rPr>
          <w:t>Title: Cancer Cell International</w:t>
        </w:r>
        <w:r>
          <w:rPr>
            <w:noProof/>
            <w:webHidden/>
          </w:rPr>
          <w:tab/>
        </w:r>
        <w:r>
          <w:rPr>
            <w:noProof/>
            <w:webHidden/>
          </w:rPr>
          <w:fldChar w:fldCharType="begin"/>
        </w:r>
        <w:r>
          <w:rPr>
            <w:noProof/>
            <w:webHidden/>
          </w:rPr>
          <w:instrText xml:space="preserve"> PAGEREF _Toc420814898 \h </w:instrText>
        </w:r>
        <w:r>
          <w:rPr>
            <w:noProof/>
            <w:webHidden/>
          </w:rPr>
        </w:r>
        <w:r>
          <w:rPr>
            <w:noProof/>
            <w:webHidden/>
          </w:rPr>
          <w:fldChar w:fldCharType="separate"/>
        </w:r>
        <w:r>
          <w:rPr>
            <w:noProof/>
            <w:webHidden/>
          </w:rPr>
          <w:t>104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899" w:history="1">
        <w:r w:rsidRPr="00775B91">
          <w:rPr>
            <w:rStyle w:val="a5"/>
            <w:noProof/>
          </w:rPr>
          <w:t>Title: Cancer Epidemiology</w:t>
        </w:r>
        <w:r>
          <w:rPr>
            <w:noProof/>
            <w:webHidden/>
          </w:rPr>
          <w:tab/>
        </w:r>
        <w:r>
          <w:rPr>
            <w:noProof/>
            <w:webHidden/>
          </w:rPr>
          <w:fldChar w:fldCharType="begin"/>
        </w:r>
        <w:r>
          <w:rPr>
            <w:noProof/>
            <w:webHidden/>
          </w:rPr>
          <w:instrText xml:space="preserve"> PAGEREF _Toc420814899 \h </w:instrText>
        </w:r>
        <w:r>
          <w:rPr>
            <w:noProof/>
            <w:webHidden/>
          </w:rPr>
        </w:r>
        <w:r>
          <w:rPr>
            <w:noProof/>
            <w:webHidden/>
          </w:rPr>
          <w:fldChar w:fldCharType="separate"/>
        </w:r>
        <w:r>
          <w:rPr>
            <w:noProof/>
            <w:webHidden/>
          </w:rPr>
          <w:t>106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0" w:history="1">
        <w:r w:rsidRPr="00775B91">
          <w:rPr>
            <w:rStyle w:val="a5"/>
            <w:noProof/>
          </w:rPr>
          <w:t>Title: Cancer Epidemiology Biomarkers &amp; Prevention</w:t>
        </w:r>
        <w:r>
          <w:rPr>
            <w:noProof/>
            <w:webHidden/>
          </w:rPr>
          <w:tab/>
        </w:r>
        <w:r>
          <w:rPr>
            <w:noProof/>
            <w:webHidden/>
          </w:rPr>
          <w:fldChar w:fldCharType="begin"/>
        </w:r>
        <w:r>
          <w:rPr>
            <w:noProof/>
            <w:webHidden/>
          </w:rPr>
          <w:instrText xml:space="preserve"> PAGEREF _Toc420814900 \h </w:instrText>
        </w:r>
        <w:r>
          <w:rPr>
            <w:noProof/>
            <w:webHidden/>
          </w:rPr>
        </w:r>
        <w:r>
          <w:rPr>
            <w:noProof/>
            <w:webHidden/>
          </w:rPr>
          <w:fldChar w:fldCharType="separate"/>
        </w:r>
        <w:r>
          <w:rPr>
            <w:noProof/>
            <w:webHidden/>
          </w:rPr>
          <w:t>108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1" w:history="1">
        <w:r w:rsidRPr="00775B91">
          <w:rPr>
            <w:rStyle w:val="a5"/>
            <w:noProof/>
          </w:rPr>
          <w:t>Title: Cancer Genetics</w:t>
        </w:r>
        <w:r>
          <w:rPr>
            <w:noProof/>
            <w:webHidden/>
          </w:rPr>
          <w:tab/>
        </w:r>
        <w:r>
          <w:rPr>
            <w:noProof/>
            <w:webHidden/>
          </w:rPr>
          <w:fldChar w:fldCharType="begin"/>
        </w:r>
        <w:r>
          <w:rPr>
            <w:noProof/>
            <w:webHidden/>
          </w:rPr>
          <w:instrText xml:space="preserve"> PAGEREF _Toc420814901 \h </w:instrText>
        </w:r>
        <w:r>
          <w:rPr>
            <w:noProof/>
            <w:webHidden/>
          </w:rPr>
        </w:r>
        <w:r>
          <w:rPr>
            <w:noProof/>
            <w:webHidden/>
          </w:rPr>
          <w:fldChar w:fldCharType="separate"/>
        </w:r>
        <w:r>
          <w:rPr>
            <w:noProof/>
            <w:webHidden/>
          </w:rPr>
          <w:t>114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2" w:history="1">
        <w:r w:rsidRPr="00775B91">
          <w:rPr>
            <w:rStyle w:val="a5"/>
            <w:noProof/>
          </w:rPr>
          <w:t>Title: Cancer Genetics and Cytogenetics</w:t>
        </w:r>
        <w:r>
          <w:rPr>
            <w:noProof/>
            <w:webHidden/>
          </w:rPr>
          <w:tab/>
        </w:r>
        <w:r>
          <w:rPr>
            <w:noProof/>
            <w:webHidden/>
          </w:rPr>
          <w:fldChar w:fldCharType="begin"/>
        </w:r>
        <w:r>
          <w:rPr>
            <w:noProof/>
            <w:webHidden/>
          </w:rPr>
          <w:instrText xml:space="preserve"> PAGEREF _Toc420814902 \h </w:instrText>
        </w:r>
        <w:r>
          <w:rPr>
            <w:noProof/>
            <w:webHidden/>
          </w:rPr>
        </w:r>
        <w:r>
          <w:rPr>
            <w:noProof/>
            <w:webHidden/>
          </w:rPr>
          <w:fldChar w:fldCharType="separate"/>
        </w:r>
        <w:r>
          <w:rPr>
            <w:noProof/>
            <w:webHidden/>
          </w:rPr>
          <w:t>116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3" w:history="1">
        <w:r w:rsidRPr="00775B91">
          <w:rPr>
            <w:rStyle w:val="a5"/>
            <w:noProof/>
          </w:rPr>
          <w:t>Title: Cancer Investigation</w:t>
        </w:r>
        <w:r>
          <w:rPr>
            <w:noProof/>
            <w:webHidden/>
          </w:rPr>
          <w:tab/>
        </w:r>
        <w:r>
          <w:rPr>
            <w:noProof/>
            <w:webHidden/>
          </w:rPr>
          <w:fldChar w:fldCharType="begin"/>
        </w:r>
        <w:r>
          <w:rPr>
            <w:noProof/>
            <w:webHidden/>
          </w:rPr>
          <w:instrText xml:space="preserve"> PAGEREF _Toc420814903 \h </w:instrText>
        </w:r>
        <w:r>
          <w:rPr>
            <w:noProof/>
            <w:webHidden/>
          </w:rPr>
        </w:r>
        <w:r>
          <w:rPr>
            <w:noProof/>
            <w:webHidden/>
          </w:rPr>
          <w:fldChar w:fldCharType="separate"/>
        </w:r>
        <w:r>
          <w:rPr>
            <w:noProof/>
            <w:webHidden/>
          </w:rPr>
          <w:t>118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4" w:history="1">
        <w:r w:rsidRPr="00775B91">
          <w:rPr>
            <w:rStyle w:val="a5"/>
            <w:noProof/>
          </w:rPr>
          <w:t>Title: CA-A Cancer Journal for Clinicians</w:t>
        </w:r>
        <w:r>
          <w:rPr>
            <w:noProof/>
            <w:webHidden/>
          </w:rPr>
          <w:tab/>
        </w:r>
        <w:r>
          <w:rPr>
            <w:noProof/>
            <w:webHidden/>
          </w:rPr>
          <w:fldChar w:fldCharType="begin"/>
        </w:r>
        <w:r>
          <w:rPr>
            <w:noProof/>
            <w:webHidden/>
          </w:rPr>
          <w:instrText xml:space="preserve"> PAGEREF _Toc420814904 \h </w:instrText>
        </w:r>
        <w:r>
          <w:rPr>
            <w:noProof/>
            <w:webHidden/>
          </w:rPr>
        </w:r>
        <w:r>
          <w:rPr>
            <w:noProof/>
            <w:webHidden/>
          </w:rPr>
          <w:fldChar w:fldCharType="separate"/>
        </w:r>
        <w:r>
          <w:rPr>
            <w:noProof/>
            <w:webHidden/>
          </w:rPr>
          <w:t>119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5" w:history="1">
        <w:r w:rsidRPr="00775B91">
          <w:rPr>
            <w:rStyle w:val="a5"/>
            <w:noProof/>
          </w:rPr>
          <w:t>Title: Cancer Nursing</w:t>
        </w:r>
        <w:r>
          <w:rPr>
            <w:noProof/>
            <w:webHidden/>
          </w:rPr>
          <w:tab/>
        </w:r>
        <w:r>
          <w:rPr>
            <w:noProof/>
            <w:webHidden/>
          </w:rPr>
          <w:fldChar w:fldCharType="begin"/>
        </w:r>
        <w:r>
          <w:rPr>
            <w:noProof/>
            <w:webHidden/>
          </w:rPr>
          <w:instrText xml:space="preserve"> PAGEREF _Toc420814905 \h </w:instrText>
        </w:r>
        <w:r>
          <w:rPr>
            <w:noProof/>
            <w:webHidden/>
          </w:rPr>
        </w:r>
        <w:r>
          <w:rPr>
            <w:noProof/>
            <w:webHidden/>
          </w:rPr>
          <w:fldChar w:fldCharType="separate"/>
        </w:r>
        <w:r>
          <w:rPr>
            <w:noProof/>
            <w:webHidden/>
          </w:rPr>
          <w:t>120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6" w:history="1">
        <w:r w:rsidRPr="00775B91">
          <w:rPr>
            <w:rStyle w:val="a5"/>
            <w:noProof/>
          </w:rPr>
          <w:t>Title: Cancer Prevention Research</w:t>
        </w:r>
        <w:r>
          <w:rPr>
            <w:noProof/>
            <w:webHidden/>
          </w:rPr>
          <w:tab/>
        </w:r>
        <w:r>
          <w:rPr>
            <w:noProof/>
            <w:webHidden/>
          </w:rPr>
          <w:fldChar w:fldCharType="begin"/>
        </w:r>
        <w:r>
          <w:rPr>
            <w:noProof/>
            <w:webHidden/>
          </w:rPr>
          <w:instrText xml:space="preserve"> PAGEREF _Toc420814906 \h </w:instrText>
        </w:r>
        <w:r>
          <w:rPr>
            <w:noProof/>
            <w:webHidden/>
          </w:rPr>
        </w:r>
        <w:r>
          <w:rPr>
            <w:noProof/>
            <w:webHidden/>
          </w:rPr>
          <w:fldChar w:fldCharType="separate"/>
        </w:r>
        <w:r>
          <w:rPr>
            <w:noProof/>
            <w:webHidden/>
          </w:rPr>
          <w:t>122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7" w:history="1">
        <w:r w:rsidRPr="00775B91">
          <w:rPr>
            <w:rStyle w:val="a5"/>
            <w:noProof/>
          </w:rPr>
          <w:t>Title: Cancer Research</w:t>
        </w:r>
        <w:r>
          <w:rPr>
            <w:noProof/>
            <w:webHidden/>
          </w:rPr>
          <w:tab/>
        </w:r>
        <w:r>
          <w:rPr>
            <w:noProof/>
            <w:webHidden/>
          </w:rPr>
          <w:fldChar w:fldCharType="begin"/>
        </w:r>
        <w:r>
          <w:rPr>
            <w:noProof/>
            <w:webHidden/>
          </w:rPr>
          <w:instrText xml:space="preserve"> PAGEREF _Toc420814907 \h </w:instrText>
        </w:r>
        <w:r>
          <w:rPr>
            <w:noProof/>
            <w:webHidden/>
          </w:rPr>
        </w:r>
        <w:r>
          <w:rPr>
            <w:noProof/>
            <w:webHidden/>
          </w:rPr>
          <w:fldChar w:fldCharType="separate"/>
        </w:r>
        <w:r>
          <w:rPr>
            <w:noProof/>
            <w:webHidden/>
          </w:rPr>
          <w:t>125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8" w:history="1">
        <w:r w:rsidRPr="00775B91">
          <w:rPr>
            <w:rStyle w:val="a5"/>
            <w:noProof/>
          </w:rPr>
          <w:t>Title: Cancer Science</w:t>
        </w:r>
        <w:r>
          <w:rPr>
            <w:noProof/>
            <w:webHidden/>
          </w:rPr>
          <w:tab/>
        </w:r>
        <w:r>
          <w:rPr>
            <w:noProof/>
            <w:webHidden/>
          </w:rPr>
          <w:fldChar w:fldCharType="begin"/>
        </w:r>
        <w:r>
          <w:rPr>
            <w:noProof/>
            <w:webHidden/>
          </w:rPr>
          <w:instrText xml:space="preserve"> PAGEREF _Toc420814908 \h </w:instrText>
        </w:r>
        <w:r>
          <w:rPr>
            <w:noProof/>
            <w:webHidden/>
          </w:rPr>
        </w:r>
        <w:r>
          <w:rPr>
            <w:noProof/>
            <w:webHidden/>
          </w:rPr>
          <w:fldChar w:fldCharType="separate"/>
        </w:r>
        <w:r>
          <w:rPr>
            <w:noProof/>
            <w:webHidden/>
          </w:rPr>
          <w:t>127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09" w:history="1">
        <w:r w:rsidRPr="00775B91">
          <w:rPr>
            <w:rStyle w:val="a5"/>
            <w:noProof/>
          </w:rPr>
          <w:t>Title: Cancer Treatment Reports</w:t>
        </w:r>
        <w:r>
          <w:rPr>
            <w:noProof/>
            <w:webHidden/>
          </w:rPr>
          <w:tab/>
        </w:r>
        <w:r>
          <w:rPr>
            <w:noProof/>
            <w:webHidden/>
          </w:rPr>
          <w:fldChar w:fldCharType="begin"/>
        </w:r>
        <w:r>
          <w:rPr>
            <w:noProof/>
            <w:webHidden/>
          </w:rPr>
          <w:instrText xml:space="preserve"> PAGEREF _Toc420814909 \h </w:instrText>
        </w:r>
        <w:r>
          <w:rPr>
            <w:noProof/>
            <w:webHidden/>
          </w:rPr>
        </w:r>
        <w:r>
          <w:rPr>
            <w:noProof/>
            <w:webHidden/>
          </w:rPr>
          <w:fldChar w:fldCharType="separate"/>
        </w:r>
        <w:r>
          <w:rPr>
            <w:noProof/>
            <w:webHidden/>
          </w:rPr>
          <w:t>129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0" w:history="1">
        <w:r w:rsidRPr="00775B91">
          <w:rPr>
            <w:rStyle w:val="a5"/>
            <w:noProof/>
          </w:rPr>
          <w:t>Title: Cancer Treatment Reviews</w:t>
        </w:r>
        <w:r>
          <w:rPr>
            <w:noProof/>
            <w:webHidden/>
          </w:rPr>
          <w:tab/>
        </w:r>
        <w:r>
          <w:rPr>
            <w:noProof/>
            <w:webHidden/>
          </w:rPr>
          <w:fldChar w:fldCharType="begin"/>
        </w:r>
        <w:r>
          <w:rPr>
            <w:noProof/>
            <w:webHidden/>
          </w:rPr>
          <w:instrText xml:space="preserve"> PAGEREF _Toc420814910 \h </w:instrText>
        </w:r>
        <w:r>
          <w:rPr>
            <w:noProof/>
            <w:webHidden/>
          </w:rPr>
        </w:r>
        <w:r>
          <w:rPr>
            <w:noProof/>
            <w:webHidden/>
          </w:rPr>
          <w:fldChar w:fldCharType="separate"/>
        </w:r>
        <w:r>
          <w:rPr>
            <w:noProof/>
            <w:webHidden/>
          </w:rPr>
          <w:t>130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1" w:history="1">
        <w:r w:rsidRPr="00775B91">
          <w:rPr>
            <w:rStyle w:val="a5"/>
            <w:noProof/>
          </w:rPr>
          <w:t>Title: Caravelle-Cahiers du Monde Hispanique et Luso-Bresilien</w:t>
        </w:r>
        <w:r>
          <w:rPr>
            <w:noProof/>
            <w:webHidden/>
          </w:rPr>
          <w:tab/>
        </w:r>
        <w:r>
          <w:rPr>
            <w:noProof/>
            <w:webHidden/>
          </w:rPr>
          <w:fldChar w:fldCharType="begin"/>
        </w:r>
        <w:r>
          <w:rPr>
            <w:noProof/>
            <w:webHidden/>
          </w:rPr>
          <w:instrText xml:space="preserve"> PAGEREF _Toc420814911 \h </w:instrText>
        </w:r>
        <w:r>
          <w:rPr>
            <w:noProof/>
            <w:webHidden/>
          </w:rPr>
        </w:r>
        <w:r>
          <w:rPr>
            <w:noProof/>
            <w:webHidden/>
          </w:rPr>
          <w:fldChar w:fldCharType="separate"/>
        </w:r>
        <w:r>
          <w:rPr>
            <w:noProof/>
            <w:webHidden/>
          </w:rPr>
          <w:t>135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2" w:history="1">
        <w:r w:rsidRPr="00775B91">
          <w:rPr>
            <w:rStyle w:val="a5"/>
            <w:noProof/>
          </w:rPr>
          <w:t>Title: Carbon</w:t>
        </w:r>
        <w:r>
          <w:rPr>
            <w:noProof/>
            <w:webHidden/>
          </w:rPr>
          <w:tab/>
        </w:r>
        <w:r>
          <w:rPr>
            <w:noProof/>
            <w:webHidden/>
          </w:rPr>
          <w:fldChar w:fldCharType="begin"/>
        </w:r>
        <w:r>
          <w:rPr>
            <w:noProof/>
            <w:webHidden/>
          </w:rPr>
          <w:instrText xml:space="preserve"> PAGEREF _Toc420814912 \h </w:instrText>
        </w:r>
        <w:r>
          <w:rPr>
            <w:noProof/>
            <w:webHidden/>
          </w:rPr>
        </w:r>
        <w:r>
          <w:rPr>
            <w:noProof/>
            <w:webHidden/>
          </w:rPr>
          <w:fldChar w:fldCharType="separate"/>
        </w:r>
        <w:r>
          <w:rPr>
            <w:noProof/>
            <w:webHidden/>
          </w:rPr>
          <w:t>136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3" w:history="1">
        <w:r w:rsidRPr="00775B91">
          <w:rPr>
            <w:rStyle w:val="a5"/>
            <w:noProof/>
          </w:rPr>
          <w:t>Title: Carcinogenesis</w:t>
        </w:r>
        <w:r>
          <w:rPr>
            <w:noProof/>
            <w:webHidden/>
          </w:rPr>
          <w:tab/>
        </w:r>
        <w:r>
          <w:rPr>
            <w:noProof/>
            <w:webHidden/>
          </w:rPr>
          <w:fldChar w:fldCharType="begin"/>
        </w:r>
        <w:r>
          <w:rPr>
            <w:noProof/>
            <w:webHidden/>
          </w:rPr>
          <w:instrText xml:space="preserve"> PAGEREF _Toc420814913 \h </w:instrText>
        </w:r>
        <w:r>
          <w:rPr>
            <w:noProof/>
            <w:webHidden/>
          </w:rPr>
        </w:r>
        <w:r>
          <w:rPr>
            <w:noProof/>
            <w:webHidden/>
          </w:rPr>
          <w:fldChar w:fldCharType="separate"/>
        </w:r>
        <w:r>
          <w:rPr>
            <w:noProof/>
            <w:webHidden/>
          </w:rPr>
          <w:t>137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4" w:history="1">
        <w:r w:rsidRPr="00775B91">
          <w:rPr>
            <w:rStyle w:val="a5"/>
            <w:noProof/>
          </w:rPr>
          <w:t>Title: Cardiology</w:t>
        </w:r>
        <w:r>
          <w:rPr>
            <w:noProof/>
            <w:webHidden/>
          </w:rPr>
          <w:tab/>
        </w:r>
        <w:r>
          <w:rPr>
            <w:noProof/>
            <w:webHidden/>
          </w:rPr>
          <w:fldChar w:fldCharType="begin"/>
        </w:r>
        <w:r>
          <w:rPr>
            <w:noProof/>
            <w:webHidden/>
          </w:rPr>
          <w:instrText xml:space="preserve"> PAGEREF _Toc420814914 \h </w:instrText>
        </w:r>
        <w:r>
          <w:rPr>
            <w:noProof/>
            <w:webHidden/>
          </w:rPr>
        </w:r>
        <w:r>
          <w:rPr>
            <w:noProof/>
            <w:webHidden/>
          </w:rPr>
          <w:fldChar w:fldCharType="separate"/>
        </w:r>
        <w:r>
          <w:rPr>
            <w:noProof/>
            <w:webHidden/>
          </w:rPr>
          <w:t>139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5" w:history="1">
        <w:r w:rsidRPr="00775B91">
          <w:rPr>
            <w:rStyle w:val="a5"/>
            <w:noProof/>
          </w:rPr>
          <w:t>Title: Cardiology in the Young</w:t>
        </w:r>
        <w:r>
          <w:rPr>
            <w:noProof/>
            <w:webHidden/>
          </w:rPr>
          <w:tab/>
        </w:r>
        <w:r>
          <w:rPr>
            <w:noProof/>
            <w:webHidden/>
          </w:rPr>
          <w:fldChar w:fldCharType="begin"/>
        </w:r>
        <w:r>
          <w:rPr>
            <w:noProof/>
            <w:webHidden/>
          </w:rPr>
          <w:instrText xml:space="preserve"> PAGEREF _Toc420814915 \h </w:instrText>
        </w:r>
        <w:r>
          <w:rPr>
            <w:noProof/>
            <w:webHidden/>
          </w:rPr>
        </w:r>
        <w:r>
          <w:rPr>
            <w:noProof/>
            <w:webHidden/>
          </w:rPr>
          <w:fldChar w:fldCharType="separate"/>
        </w:r>
        <w:r>
          <w:rPr>
            <w:noProof/>
            <w:webHidden/>
          </w:rPr>
          <w:t>140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6" w:history="1">
        <w:r w:rsidRPr="00775B91">
          <w:rPr>
            <w:rStyle w:val="a5"/>
            <w:noProof/>
          </w:rPr>
          <w:t>Title: Cardiology Journal</w:t>
        </w:r>
        <w:r>
          <w:rPr>
            <w:noProof/>
            <w:webHidden/>
          </w:rPr>
          <w:tab/>
        </w:r>
        <w:r>
          <w:rPr>
            <w:noProof/>
            <w:webHidden/>
          </w:rPr>
          <w:fldChar w:fldCharType="begin"/>
        </w:r>
        <w:r>
          <w:rPr>
            <w:noProof/>
            <w:webHidden/>
          </w:rPr>
          <w:instrText xml:space="preserve"> PAGEREF _Toc420814916 \h </w:instrText>
        </w:r>
        <w:r>
          <w:rPr>
            <w:noProof/>
            <w:webHidden/>
          </w:rPr>
        </w:r>
        <w:r>
          <w:rPr>
            <w:noProof/>
            <w:webHidden/>
          </w:rPr>
          <w:fldChar w:fldCharType="separate"/>
        </w:r>
        <w:r>
          <w:rPr>
            <w:noProof/>
            <w:webHidden/>
          </w:rPr>
          <w:t>142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7" w:history="1">
        <w:r w:rsidRPr="00775B91">
          <w:rPr>
            <w:rStyle w:val="a5"/>
            <w:noProof/>
          </w:rPr>
          <w:t>Title: Cardiovascular Diabetology</w:t>
        </w:r>
        <w:r>
          <w:rPr>
            <w:noProof/>
            <w:webHidden/>
          </w:rPr>
          <w:tab/>
        </w:r>
        <w:r>
          <w:rPr>
            <w:noProof/>
            <w:webHidden/>
          </w:rPr>
          <w:fldChar w:fldCharType="begin"/>
        </w:r>
        <w:r>
          <w:rPr>
            <w:noProof/>
            <w:webHidden/>
          </w:rPr>
          <w:instrText xml:space="preserve"> PAGEREF _Toc420814917 \h </w:instrText>
        </w:r>
        <w:r>
          <w:rPr>
            <w:noProof/>
            <w:webHidden/>
          </w:rPr>
        </w:r>
        <w:r>
          <w:rPr>
            <w:noProof/>
            <w:webHidden/>
          </w:rPr>
          <w:fldChar w:fldCharType="separate"/>
        </w:r>
        <w:r>
          <w:rPr>
            <w:noProof/>
            <w:webHidden/>
          </w:rPr>
          <w:t>144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8" w:history="1">
        <w:r w:rsidRPr="00775B91">
          <w:rPr>
            <w:rStyle w:val="a5"/>
            <w:noProof/>
          </w:rPr>
          <w:t>Title: Cardiovascular Research</w:t>
        </w:r>
        <w:r>
          <w:rPr>
            <w:noProof/>
            <w:webHidden/>
          </w:rPr>
          <w:tab/>
        </w:r>
        <w:r>
          <w:rPr>
            <w:noProof/>
            <w:webHidden/>
          </w:rPr>
          <w:fldChar w:fldCharType="begin"/>
        </w:r>
        <w:r>
          <w:rPr>
            <w:noProof/>
            <w:webHidden/>
          </w:rPr>
          <w:instrText xml:space="preserve"> PAGEREF _Toc420814918 \h </w:instrText>
        </w:r>
        <w:r>
          <w:rPr>
            <w:noProof/>
            <w:webHidden/>
          </w:rPr>
        </w:r>
        <w:r>
          <w:rPr>
            <w:noProof/>
            <w:webHidden/>
          </w:rPr>
          <w:fldChar w:fldCharType="separate"/>
        </w:r>
        <w:r>
          <w:rPr>
            <w:noProof/>
            <w:webHidden/>
          </w:rPr>
          <w:t>146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19" w:history="1">
        <w:r w:rsidRPr="00775B91">
          <w:rPr>
            <w:rStyle w:val="a5"/>
            <w:noProof/>
          </w:rPr>
          <w:t>Title: Cardiovascular Therapy and Prevention</w:t>
        </w:r>
        <w:r>
          <w:rPr>
            <w:noProof/>
            <w:webHidden/>
          </w:rPr>
          <w:tab/>
        </w:r>
        <w:r>
          <w:rPr>
            <w:noProof/>
            <w:webHidden/>
          </w:rPr>
          <w:fldChar w:fldCharType="begin"/>
        </w:r>
        <w:r>
          <w:rPr>
            <w:noProof/>
            <w:webHidden/>
          </w:rPr>
          <w:instrText xml:space="preserve"> PAGEREF _Toc420814919 \h </w:instrText>
        </w:r>
        <w:r>
          <w:rPr>
            <w:noProof/>
            <w:webHidden/>
          </w:rPr>
        </w:r>
        <w:r>
          <w:rPr>
            <w:noProof/>
            <w:webHidden/>
          </w:rPr>
          <w:fldChar w:fldCharType="separate"/>
        </w:r>
        <w:r>
          <w:rPr>
            <w:noProof/>
            <w:webHidden/>
          </w:rPr>
          <w:t>148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0" w:history="1">
        <w:r w:rsidRPr="00775B91">
          <w:rPr>
            <w:rStyle w:val="a5"/>
            <w:noProof/>
          </w:rPr>
          <w:t>Title: Casopis Lekaru Ceskych</w:t>
        </w:r>
        <w:r>
          <w:rPr>
            <w:noProof/>
            <w:webHidden/>
          </w:rPr>
          <w:tab/>
        </w:r>
        <w:r>
          <w:rPr>
            <w:noProof/>
            <w:webHidden/>
          </w:rPr>
          <w:fldChar w:fldCharType="begin"/>
        </w:r>
        <w:r>
          <w:rPr>
            <w:noProof/>
            <w:webHidden/>
          </w:rPr>
          <w:instrText xml:space="preserve"> PAGEREF _Toc420814920 \h </w:instrText>
        </w:r>
        <w:r>
          <w:rPr>
            <w:noProof/>
            <w:webHidden/>
          </w:rPr>
        </w:r>
        <w:r>
          <w:rPr>
            <w:noProof/>
            <w:webHidden/>
          </w:rPr>
          <w:fldChar w:fldCharType="separate"/>
        </w:r>
        <w:r>
          <w:rPr>
            <w:noProof/>
            <w:webHidden/>
          </w:rPr>
          <w:t>149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1" w:history="1">
        <w:r w:rsidRPr="00775B91">
          <w:rPr>
            <w:rStyle w:val="a5"/>
            <w:noProof/>
          </w:rPr>
          <w:t>Title: Catheterization and Cardiovascular Interventions</w:t>
        </w:r>
        <w:r>
          <w:rPr>
            <w:noProof/>
            <w:webHidden/>
          </w:rPr>
          <w:tab/>
        </w:r>
        <w:r>
          <w:rPr>
            <w:noProof/>
            <w:webHidden/>
          </w:rPr>
          <w:fldChar w:fldCharType="begin"/>
        </w:r>
        <w:r>
          <w:rPr>
            <w:noProof/>
            <w:webHidden/>
          </w:rPr>
          <w:instrText xml:space="preserve"> PAGEREF _Toc420814921 \h </w:instrText>
        </w:r>
        <w:r>
          <w:rPr>
            <w:noProof/>
            <w:webHidden/>
          </w:rPr>
        </w:r>
        <w:r>
          <w:rPr>
            <w:noProof/>
            <w:webHidden/>
          </w:rPr>
          <w:fldChar w:fldCharType="separate"/>
        </w:r>
        <w:r>
          <w:rPr>
            <w:noProof/>
            <w:webHidden/>
          </w:rPr>
          <w:t>151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2" w:history="1">
        <w:r w:rsidRPr="00775B91">
          <w:rPr>
            <w:rStyle w:val="a5"/>
            <w:noProof/>
          </w:rPr>
          <w:t>Title: Celestial Mechanics</w:t>
        </w:r>
        <w:r>
          <w:rPr>
            <w:noProof/>
            <w:webHidden/>
          </w:rPr>
          <w:tab/>
        </w:r>
        <w:r>
          <w:rPr>
            <w:noProof/>
            <w:webHidden/>
          </w:rPr>
          <w:fldChar w:fldCharType="begin"/>
        </w:r>
        <w:r>
          <w:rPr>
            <w:noProof/>
            <w:webHidden/>
          </w:rPr>
          <w:instrText xml:space="preserve"> PAGEREF _Toc420814922 \h </w:instrText>
        </w:r>
        <w:r>
          <w:rPr>
            <w:noProof/>
            <w:webHidden/>
          </w:rPr>
        </w:r>
        <w:r>
          <w:rPr>
            <w:noProof/>
            <w:webHidden/>
          </w:rPr>
          <w:fldChar w:fldCharType="separate"/>
        </w:r>
        <w:r>
          <w:rPr>
            <w:noProof/>
            <w:webHidden/>
          </w:rPr>
          <w:t>154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3" w:history="1">
        <w:r w:rsidRPr="00775B91">
          <w:rPr>
            <w:rStyle w:val="a5"/>
            <w:noProof/>
          </w:rPr>
          <w:t>Title: Cell Biochemistry and Biophysics</w:t>
        </w:r>
        <w:r>
          <w:rPr>
            <w:noProof/>
            <w:webHidden/>
          </w:rPr>
          <w:tab/>
        </w:r>
        <w:r>
          <w:rPr>
            <w:noProof/>
            <w:webHidden/>
          </w:rPr>
          <w:fldChar w:fldCharType="begin"/>
        </w:r>
        <w:r>
          <w:rPr>
            <w:noProof/>
            <w:webHidden/>
          </w:rPr>
          <w:instrText xml:space="preserve"> PAGEREF _Toc420814923 \h </w:instrText>
        </w:r>
        <w:r>
          <w:rPr>
            <w:noProof/>
            <w:webHidden/>
          </w:rPr>
        </w:r>
        <w:r>
          <w:rPr>
            <w:noProof/>
            <w:webHidden/>
          </w:rPr>
          <w:fldChar w:fldCharType="separate"/>
        </w:r>
        <w:r>
          <w:rPr>
            <w:noProof/>
            <w:webHidden/>
          </w:rPr>
          <w:t>155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4" w:history="1">
        <w:r w:rsidRPr="00775B91">
          <w:rPr>
            <w:rStyle w:val="a5"/>
            <w:noProof/>
          </w:rPr>
          <w:t>Title: Cell Biophysics</w:t>
        </w:r>
        <w:r>
          <w:rPr>
            <w:noProof/>
            <w:webHidden/>
          </w:rPr>
          <w:tab/>
        </w:r>
        <w:r>
          <w:rPr>
            <w:noProof/>
            <w:webHidden/>
          </w:rPr>
          <w:fldChar w:fldCharType="begin"/>
        </w:r>
        <w:r>
          <w:rPr>
            <w:noProof/>
            <w:webHidden/>
          </w:rPr>
          <w:instrText xml:space="preserve"> PAGEREF _Toc420814924 \h </w:instrText>
        </w:r>
        <w:r>
          <w:rPr>
            <w:noProof/>
            <w:webHidden/>
          </w:rPr>
        </w:r>
        <w:r>
          <w:rPr>
            <w:noProof/>
            <w:webHidden/>
          </w:rPr>
          <w:fldChar w:fldCharType="separate"/>
        </w:r>
        <w:r>
          <w:rPr>
            <w:noProof/>
            <w:webHidden/>
          </w:rPr>
          <w:t>160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5" w:history="1">
        <w:r w:rsidRPr="00775B91">
          <w:rPr>
            <w:rStyle w:val="a5"/>
            <w:noProof/>
          </w:rPr>
          <w:t>Title: Cell Cycle</w:t>
        </w:r>
        <w:r>
          <w:rPr>
            <w:noProof/>
            <w:webHidden/>
          </w:rPr>
          <w:tab/>
        </w:r>
        <w:r>
          <w:rPr>
            <w:noProof/>
            <w:webHidden/>
          </w:rPr>
          <w:fldChar w:fldCharType="begin"/>
        </w:r>
        <w:r>
          <w:rPr>
            <w:noProof/>
            <w:webHidden/>
          </w:rPr>
          <w:instrText xml:space="preserve"> PAGEREF _Toc420814925 \h </w:instrText>
        </w:r>
        <w:r>
          <w:rPr>
            <w:noProof/>
            <w:webHidden/>
          </w:rPr>
        </w:r>
        <w:r>
          <w:rPr>
            <w:noProof/>
            <w:webHidden/>
          </w:rPr>
          <w:fldChar w:fldCharType="separate"/>
        </w:r>
        <w:r>
          <w:rPr>
            <w:noProof/>
            <w:webHidden/>
          </w:rPr>
          <w:t>161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6" w:history="1">
        <w:r w:rsidRPr="00775B91">
          <w:rPr>
            <w:rStyle w:val="a5"/>
            <w:noProof/>
          </w:rPr>
          <w:t>Title: Cell Death and Differentiation</w:t>
        </w:r>
        <w:r>
          <w:rPr>
            <w:noProof/>
            <w:webHidden/>
          </w:rPr>
          <w:tab/>
        </w:r>
        <w:r>
          <w:rPr>
            <w:noProof/>
            <w:webHidden/>
          </w:rPr>
          <w:fldChar w:fldCharType="begin"/>
        </w:r>
        <w:r>
          <w:rPr>
            <w:noProof/>
            <w:webHidden/>
          </w:rPr>
          <w:instrText xml:space="preserve"> PAGEREF _Toc420814926 \h </w:instrText>
        </w:r>
        <w:r>
          <w:rPr>
            <w:noProof/>
            <w:webHidden/>
          </w:rPr>
        </w:r>
        <w:r>
          <w:rPr>
            <w:noProof/>
            <w:webHidden/>
          </w:rPr>
          <w:fldChar w:fldCharType="separate"/>
        </w:r>
        <w:r>
          <w:rPr>
            <w:noProof/>
            <w:webHidden/>
          </w:rPr>
          <w:t>162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7" w:history="1">
        <w:r w:rsidRPr="00775B91">
          <w:rPr>
            <w:rStyle w:val="a5"/>
            <w:noProof/>
          </w:rPr>
          <w:t>Title: Cell Journal</w:t>
        </w:r>
        <w:r>
          <w:rPr>
            <w:noProof/>
            <w:webHidden/>
          </w:rPr>
          <w:tab/>
        </w:r>
        <w:r>
          <w:rPr>
            <w:noProof/>
            <w:webHidden/>
          </w:rPr>
          <w:fldChar w:fldCharType="begin"/>
        </w:r>
        <w:r>
          <w:rPr>
            <w:noProof/>
            <w:webHidden/>
          </w:rPr>
          <w:instrText xml:space="preserve"> PAGEREF _Toc420814927 \h </w:instrText>
        </w:r>
        <w:r>
          <w:rPr>
            <w:noProof/>
            <w:webHidden/>
          </w:rPr>
        </w:r>
        <w:r>
          <w:rPr>
            <w:noProof/>
            <w:webHidden/>
          </w:rPr>
          <w:fldChar w:fldCharType="separate"/>
        </w:r>
        <w:r>
          <w:rPr>
            <w:noProof/>
            <w:webHidden/>
          </w:rPr>
          <w:t>163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8" w:history="1">
        <w:r w:rsidRPr="00775B91">
          <w:rPr>
            <w:rStyle w:val="a5"/>
            <w:noProof/>
          </w:rPr>
          <w:t>Title: Cell Stem Cell</w:t>
        </w:r>
        <w:r>
          <w:rPr>
            <w:noProof/>
            <w:webHidden/>
          </w:rPr>
          <w:tab/>
        </w:r>
        <w:r>
          <w:rPr>
            <w:noProof/>
            <w:webHidden/>
          </w:rPr>
          <w:fldChar w:fldCharType="begin"/>
        </w:r>
        <w:r>
          <w:rPr>
            <w:noProof/>
            <w:webHidden/>
          </w:rPr>
          <w:instrText xml:space="preserve"> PAGEREF _Toc420814928 \h </w:instrText>
        </w:r>
        <w:r>
          <w:rPr>
            <w:noProof/>
            <w:webHidden/>
          </w:rPr>
        </w:r>
        <w:r>
          <w:rPr>
            <w:noProof/>
            <w:webHidden/>
          </w:rPr>
          <w:fldChar w:fldCharType="separate"/>
        </w:r>
        <w:r>
          <w:rPr>
            <w:noProof/>
            <w:webHidden/>
          </w:rPr>
          <w:t>164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29" w:history="1">
        <w:r w:rsidRPr="00775B91">
          <w:rPr>
            <w:rStyle w:val="a5"/>
            <w:noProof/>
          </w:rPr>
          <w:t>Title: Cell Transplantation</w:t>
        </w:r>
        <w:r>
          <w:rPr>
            <w:noProof/>
            <w:webHidden/>
          </w:rPr>
          <w:tab/>
        </w:r>
        <w:r>
          <w:rPr>
            <w:noProof/>
            <w:webHidden/>
          </w:rPr>
          <w:fldChar w:fldCharType="begin"/>
        </w:r>
        <w:r>
          <w:rPr>
            <w:noProof/>
            <w:webHidden/>
          </w:rPr>
          <w:instrText xml:space="preserve"> PAGEREF _Toc420814929 \h </w:instrText>
        </w:r>
        <w:r>
          <w:rPr>
            <w:noProof/>
            <w:webHidden/>
          </w:rPr>
        </w:r>
        <w:r>
          <w:rPr>
            <w:noProof/>
            <w:webHidden/>
          </w:rPr>
          <w:fldChar w:fldCharType="separate"/>
        </w:r>
        <w:r>
          <w:rPr>
            <w:noProof/>
            <w:webHidden/>
          </w:rPr>
          <w:t>165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0" w:history="1">
        <w:r w:rsidRPr="00775B91">
          <w:rPr>
            <w:rStyle w:val="a5"/>
            <w:noProof/>
          </w:rPr>
          <w:t>Title: Cellular Physiology and Biochemistry</w:t>
        </w:r>
        <w:r>
          <w:rPr>
            <w:noProof/>
            <w:webHidden/>
          </w:rPr>
          <w:tab/>
        </w:r>
        <w:r>
          <w:rPr>
            <w:noProof/>
            <w:webHidden/>
          </w:rPr>
          <w:fldChar w:fldCharType="begin"/>
        </w:r>
        <w:r>
          <w:rPr>
            <w:noProof/>
            <w:webHidden/>
          </w:rPr>
          <w:instrText xml:space="preserve"> PAGEREF _Toc420814930 \h </w:instrText>
        </w:r>
        <w:r>
          <w:rPr>
            <w:noProof/>
            <w:webHidden/>
          </w:rPr>
        </w:r>
        <w:r>
          <w:rPr>
            <w:noProof/>
            <w:webHidden/>
          </w:rPr>
          <w:fldChar w:fldCharType="separate"/>
        </w:r>
        <w:r>
          <w:rPr>
            <w:noProof/>
            <w:webHidden/>
          </w:rPr>
          <w:t>167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1" w:history="1">
        <w:r w:rsidRPr="00775B91">
          <w:rPr>
            <w:rStyle w:val="a5"/>
            <w:noProof/>
          </w:rPr>
          <w:t>Title: Central Asiatic Journal</w:t>
        </w:r>
        <w:r>
          <w:rPr>
            <w:noProof/>
            <w:webHidden/>
          </w:rPr>
          <w:tab/>
        </w:r>
        <w:r>
          <w:rPr>
            <w:noProof/>
            <w:webHidden/>
          </w:rPr>
          <w:fldChar w:fldCharType="begin"/>
        </w:r>
        <w:r>
          <w:rPr>
            <w:noProof/>
            <w:webHidden/>
          </w:rPr>
          <w:instrText xml:space="preserve"> PAGEREF _Toc420814931 \h </w:instrText>
        </w:r>
        <w:r>
          <w:rPr>
            <w:noProof/>
            <w:webHidden/>
          </w:rPr>
        </w:r>
        <w:r>
          <w:rPr>
            <w:noProof/>
            <w:webHidden/>
          </w:rPr>
          <w:fldChar w:fldCharType="separate"/>
        </w:r>
        <w:r>
          <w:rPr>
            <w:noProof/>
            <w:webHidden/>
          </w:rPr>
          <w:t>169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2" w:history="1">
        <w:r w:rsidRPr="00775B91">
          <w:rPr>
            <w:rStyle w:val="a5"/>
            <w:noProof/>
          </w:rPr>
          <w:t>Title: Central European Journal of Biology</w:t>
        </w:r>
        <w:r>
          <w:rPr>
            <w:noProof/>
            <w:webHidden/>
          </w:rPr>
          <w:tab/>
        </w:r>
        <w:r>
          <w:rPr>
            <w:noProof/>
            <w:webHidden/>
          </w:rPr>
          <w:fldChar w:fldCharType="begin"/>
        </w:r>
        <w:r>
          <w:rPr>
            <w:noProof/>
            <w:webHidden/>
          </w:rPr>
          <w:instrText xml:space="preserve"> PAGEREF _Toc420814932 \h </w:instrText>
        </w:r>
        <w:r>
          <w:rPr>
            <w:noProof/>
            <w:webHidden/>
          </w:rPr>
        </w:r>
        <w:r>
          <w:rPr>
            <w:noProof/>
            <w:webHidden/>
          </w:rPr>
          <w:fldChar w:fldCharType="separate"/>
        </w:r>
        <w:r>
          <w:rPr>
            <w:noProof/>
            <w:webHidden/>
          </w:rPr>
          <w:t>170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3" w:history="1">
        <w:r w:rsidRPr="00775B91">
          <w:rPr>
            <w:rStyle w:val="a5"/>
            <w:noProof/>
          </w:rPr>
          <w:t>Title: Central European Journal of Medicine</w:t>
        </w:r>
        <w:r>
          <w:rPr>
            <w:noProof/>
            <w:webHidden/>
          </w:rPr>
          <w:tab/>
        </w:r>
        <w:r>
          <w:rPr>
            <w:noProof/>
            <w:webHidden/>
          </w:rPr>
          <w:fldChar w:fldCharType="begin"/>
        </w:r>
        <w:r>
          <w:rPr>
            <w:noProof/>
            <w:webHidden/>
          </w:rPr>
          <w:instrText xml:space="preserve"> PAGEREF _Toc420814933 \h </w:instrText>
        </w:r>
        <w:r>
          <w:rPr>
            <w:noProof/>
            <w:webHidden/>
          </w:rPr>
        </w:r>
        <w:r>
          <w:rPr>
            <w:noProof/>
            <w:webHidden/>
          </w:rPr>
          <w:fldChar w:fldCharType="separate"/>
        </w:r>
        <w:r>
          <w:rPr>
            <w:noProof/>
            <w:webHidden/>
          </w:rPr>
          <w:t>172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4" w:history="1">
        <w:r w:rsidRPr="00775B91">
          <w:rPr>
            <w:rStyle w:val="a5"/>
            <w:noProof/>
          </w:rPr>
          <w:t>Title: Central European Neurosurgery</w:t>
        </w:r>
        <w:r>
          <w:rPr>
            <w:noProof/>
            <w:webHidden/>
          </w:rPr>
          <w:tab/>
        </w:r>
        <w:r>
          <w:rPr>
            <w:noProof/>
            <w:webHidden/>
          </w:rPr>
          <w:fldChar w:fldCharType="begin"/>
        </w:r>
        <w:r>
          <w:rPr>
            <w:noProof/>
            <w:webHidden/>
          </w:rPr>
          <w:instrText xml:space="preserve"> PAGEREF _Toc420814934 \h </w:instrText>
        </w:r>
        <w:r>
          <w:rPr>
            <w:noProof/>
            <w:webHidden/>
          </w:rPr>
        </w:r>
        <w:r>
          <w:rPr>
            <w:noProof/>
            <w:webHidden/>
          </w:rPr>
          <w:fldChar w:fldCharType="separate"/>
        </w:r>
        <w:r>
          <w:rPr>
            <w:noProof/>
            <w:webHidden/>
          </w:rPr>
          <w:t>173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5" w:history="1">
        <w:r w:rsidRPr="00775B91">
          <w:rPr>
            <w:rStyle w:val="a5"/>
            <w:noProof/>
          </w:rPr>
          <w:t>Title: Cephalalgia</w:t>
        </w:r>
        <w:r>
          <w:rPr>
            <w:noProof/>
            <w:webHidden/>
          </w:rPr>
          <w:tab/>
        </w:r>
        <w:r>
          <w:rPr>
            <w:noProof/>
            <w:webHidden/>
          </w:rPr>
          <w:fldChar w:fldCharType="begin"/>
        </w:r>
        <w:r>
          <w:rPr>
            <w:noProof/>
            <w:webHidden/>
          </w:rPr>
          <w:instrText xml:space="preserve"> PAGEREF _Toc420814935 \h </w:instrText>
        </w:r>
        <w:r>
          <w:rPr>
            <w:noProof/>
            <w:webHidden/>
          </w:rPr>
        </w:r>
        <w:r>
          <w:rPr>
            <w:noProof/>
            <w:webHidden/>
          </w:rPr>
          <w:fldChar w:fldCharType="separate"/>
        </w:r>
        <w:r>
          <w:rPr>
            <w:noProof/>
            <w:webHidden/>
          </w:rPr>
          <w:t>175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6" w:history="1">
        <w:r w:rsidRPr="00775B91">
          <w:rPr>
            <w:rStyle w:val="a5"/>
            <w:noProof/>
          </w:rPr>
          <w:t>Title: Cerebrovascular Diseases</w:t>
        </w:r>
        <w:r>
          <w:rPr>
            <w:noProof/>
            <w:webHidden/>
          </w:rPr>
          <w:tab/>
        </w:r>
        <w:r>
          <w:rPr>
            <w:noProof/>
            <w:webHidden/>
          </w:rPr>
          <w:fldChar w:fldCharType="begin"/>
        </w:r>
        <w:r>
          <w:rPr>
            <w:noProof/>
            <w:webHidden/>
          </w:rPr>
          <w:instrText xml:space="preserve"> PAGEREF _Toc420814936 \h </w:instrText>
        </w:r>
        <w:r>
          <w:rPr>
            <w:noProof/>
            <w:webHidden/>
          </w:rPr>
        </w:r>
        <w:r>
          <w:rPr>
            <w:noProof/>
            <w:webHidden/>
          </w:rPr>
          <w:fldChar w:fldCharType="separate"/>
        </w:r>
        <w:r>
          <w:rPr>
            <w:noProof/>
            <w:webHidden/>
          </w:rPr>
          <w:t>176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7" w:history="1">
        <w:r w:rsidRPr="00775B91">
          <w:rPr>
            <w:rStyle w:val="a5"/>
            <w:noProof/>
          </w:rPr>
          <w:t>Title: Ceskoslovenska Psychologie</w:t>
        </w:r>
        <w:r>
          <w:rPr>
            <w:noProof/>
            <w:webHidden/>
          </w:rPr>
          <w:tab/>
        </w:r>
        <w:r>
          <w:rPr>
            <w:noProof/>
            <w:webHidden/>
          </w:rPr>
          <w:fldChar w:fldCharType="begin"/>
        </w:r>
        <w:r>
          <w:rPr>
            <w:noProof/>
            <w:webHidden/>
          </w:rPr>
          <w:instrText xml:space="preserve"> PAGEREF _Toc420814937 \h </w:instrText>
        </w:r>
        <w:r>
          <w:rPr>
            <w:noProof/>
            <w:webHidden/>
          </w:rPr>
        </w:r>
        <w:r>
          <w:rPr>
            <w:noProof/>
            <w:webHidden/>
          </w:rPr>
          <w:fldChar w:fldCharType="separate"/>
        </w:r>
        <w:r>
          <w:rPr>
            <w:noProof/>
            <w:webHidden/>
          </w:rPr>
          <w:t>178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8" w:history="1">
        <w:r w:rsidRPr="00775B91">
          <w:rPr>
            <w:rStyle w:val="a5"/>
            <w:noProof/>
          </w:rPr>
          <w:t>Title: Ceskoslovensky Casopis Pro Fysiku Sekce A</w:t>
        </w:r>
        <w:r>
          <w:rPr>
            <w:noProof/>
            <w:webHidden/>
          </w:rPr>
          <w:tab/>
        </w:r>
        <w:r>
          <w:rPr>
            <w:noProof/>
            <w:webHidden/>
          </w:rPr>
          <w:fldChar w:fldCharType="begin"/>
        </w:r>
        <w:r>
          <w:rPr>
            <w:noProof/>
            <w:webHidden/>
          </w:rPr>
          <w:instrText xml:space="preserve"> PAGEREF _Toc420814938 \h </w:instrText>
        </w:r>
        <w:r>
          <w:rPr>
            <w:noProof/>
            <w:webHidden/>
          </w:rPr>
        </w:r>
        <w:r>
          <w:rPr>
            <w:noProof/>
            <w:webHidden/>
          </w:rPr>
          <w:fldChar w:fldCharType="separate"/>
        </w:r>
        <w:r>
          <w:rPr>
            <w:noProof/>
            <w:webHidden/>
          </w:rPr>
          <w:t>179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39" w:history="1">
        <w:r w:rsidRPr="00775B91">
          <w:rPr>
            <w:rStyle w:val="a5"/>
            <w:noProof/>
          </w:rPr>
          <w:t>Title: Chaos Solitons &amp; Fractals</w:t>
        </w:r>
        <w:r>
          <w:rPr>
            <w:noProof/>
            <w:webHidden/>
          </w:rPr>
          <w:tab/>
        </w:r>
        <w:r>
          <w:rPr>
            <w:noProof/>
            <w:webHidden/>
          </w:rPr>
          <w:fldChar w:fldCharType="begin"/>
        </w:r>
        <w:r>
          <w:rPr>
            <w:noProof/>
            <w:webHidden/>
          </w:rPr>
          <w:instrText xml:space="preserve"> PAGEREF _Toc420814939 \h </w:instrText>
        </w:r>
        <w:r>
          <w:rPr>
            <w:noProof/>
            <w:webHidden/>
          </w:rPr>
        </w:r>
        <w:r>
          <w:rPr>
            <w:noProof/>
            <w:webHidden/>
          </w:rPr>
          <w:fldChar w:fldCharType="separate"/>
        </w:r>
        <w:r>
          <w:rPr>
            <w:noProof/>
            <w:webHidden/>
          </w:rPr>
          <w:t>180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0" w:history="1">
        <w:r w:rsidRPr="00775B91">
          <w:rPr>
            <w:rStyle w:val="a5"/>
            <w:noProof/>
          </w:rPr>
          <w:t>Title: Chemical Communications</w:t>
        </w:r>
        <w:r>
          <w:rPr>
            <w:noProof/>
            <w:webHidden/>
          </w:rPr>
          <w:tab/>
        </w:r>
        <w:r>
          <w:rPr>
            <w:noProof/>
            <w:webHidden/>
          </w:rPr>
          <w:fldChar w:fldCharType="begin"/>
        </w:r>
        <w:r>
          <w:rPr>
            <w:noProof/>
            <w:webHidden/>
          </w:rPr>
          <w:instrText xml:space="preserve"> PAGEREF _Toc420814940 \h </w:instrText>
        </w:r>
        <w:r>
          <w:rPr>
            <w:noProof/>
            <w:webHidden/>
          </w:rPr>
        </w:r>
        <w:r>
          <w:rPr>
            <w:noProof/>
            <w:webHidden/>
          </w:rPr>
          <w:fldChar w:fldCharType="separate"/>
        </w:r>
        <w:r>
          <w:rPr>
            <w:noProof/>
            <w:webHidden/>
          </w:rPr>
          <w:t>182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1" w:history="1">
        <w:r w:rsidRPr="00775B91">
          <w:rPr>
            <w:rStyle w:val="a5"/>
            <w:noProof/>
          </w:rPr>
          <w:t>Title: Chemical Engineering Journal</w:t>
        </w:r>
        <w:r>
          <w:rPr>
            <w:noProof/>
            <w:webHidden/>
          </w:rPr>
          <w:tab/>
        </w:r>
        <w:r>
          <w:rPr>
            <w:noProof/>
            <w:webHidden/>
          </w:rPr>
          <w:fldChar w:fldCharType="begin"/>
        </w:r>
        <w:r>
          <w:rPr>
            <w:noProof/>
            <w:webHidden/>
          </w:rPr>
          <w:instrText xml:space="preserve"> PAGEREF _Toc420814941 \h </w:instrText>
        </w:r>
        <w:r>
          <w:rPr>
            <w:noProof/>
            <w:webHidden/>
          </w:rPr>
        </w:r>
        <w:r>
          <w:rPr>
            <w:noProof/>
            <w:webHidden/>
          </w:rPr>
          <w:fldChar w:fldCharType="separate"/>
        </w:r>
        <w:r>
          <w:rPr>
            <w:noProof/>
            <w:webHidden/>
          </w:rPr>
          <w:t>183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2" w:history="1">
        <w:r w:rsidRPr="00775B91">
          <w:rPr>
            <w:rStyle w:val="a5"/>
            <w:noProof/>
          </w:rPr>
          <w:t>Title: Chemical &amp; Engineering News</w:t>
        </w:r>
        <w:r>
          <w:rPr>
            <w:noProof/>
            <w:webHidden/>
          </w:rPr>
          <w:tab/>
        </w:r>
        <w:r>
          <w:rPr>
            <w:noProof/>
            <w:webHidden/>
          </w:rPr>
          <w:fldChar w:fldCharType="begin"/>
        </w:r>
        <w:r>
          <w:rPr>
            <w:noProof/>
            <w:webHidden/>
          </w:rPr>
          <w:instrText xml:space="preserve"> PAGEREF _Toc420814942 \h </w:instrText>
        </w:r>
        <w:r>
          <w:rPr>
            <w:noProof/>
            <w:webHidden/>
          </w:rPr>
        </w:r>
        <w:r>
          <w:rPr>
            <w:noProof/>
            <w:webHidden/>
          </w:rPr>
          <w:fldChar w:fldCharType="separate"/>
        </w:r>
        <w:r>
          <w:rPr>
            <w:noProof/>
            <w:webHidden/>
          </w:rPr>
          <w:t>184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3" w:history="1">
        <w:r w:rsidRPr="00775B91">
          <w:rPr>
            <w:rStyle w:val="a5"/>
            <w:noProof/>
          </w:rPr>
          <w:t>Title: Chemical Reviews</w:t>
        </w:r>
        <w:r>
          <w:rPr>
            <w:noProof/>
            <w:webHidden/>
          </w:rPr>
          <w:tab/>
        </w:r>
        <w:r>
          <w:rPr>
            <w:noProof/>
            <w:webHidden/>
          </w:rPr>
          <w:fldChar w:fldCharType="begin"/>
        </w:r>
        <w:r>
          <w:rPr>
            <w:noProof/>
            <w:webHidden/>
          </w:rPr>
          <w:instrText xml:space="preserve"> PAGEREF _Toc420814943 \h </w:instrText>
        </w:r>
        <w:r>
          <w:rPr>
            <w:noProof/>
            <w:webHidden/>
          </w:rPr>
        </w:r>
        <w:r>
          <w:rPr>
            <w:noProof/>
            <w:webHidden/>
          </w:rPr>
          <w:fldChar w:fldCharType="separate"/>
        </w:r>
        <w:r>
          <w:rPr>
            <w:noProof/>
            <w:webHidden/>
          </w:rPr>
          <w:t>185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4" w:history="1">
        <w:r w:rsidRPr="00775B91">
          <w:rPr>
            <w:rStyle w:val="a5"/>
            <w:noProof/>
          </w:rPr>
          <w:t>Title: Chemicke Listy</w:t>
        </w:r>
        <w:r>
          <w:rPr>
            <w:noProof/>
            <w:webHidden/>
          </w:rPr>
          <w:tab/>
        </w:r>
        <w:r>
          <w:rPr>
            <w:noProof/>
            <w:webHidden/>
          </w:rPr>
          <w:fldChar w:fldCharType="begin"/>
        </w:r>
        <w:r>
          <w:rPr>
            <w:noProof/>
            <w:webHidden/>
          </w:rPr>
          <w:instrText xml:space="preserve"> PAGEREF _Toc420814944 \h </w:instrText>
        </w:r>
        <w:r>
          <w:rPr>
            <w:noProof/>
            <w:webHidden/>
          </w:rPr>
        </w:r>
        <w:r>
          <w:rPr>
            <w:noProof/>
            <w:webHidden/>
          </w:rPr>
          <w:fldChar w:fldCharType="separate"/>
        </w:r>
        <w:r>
          <w:rPr>
            <w:noProof/>
            <w:webHidden/>
          </w:rPr>
          <w:t>186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5" w:history="1">
        <w:r w:rsidRPr="00775B91">
          <w:rPr>
            <w:rStyle w:val="a5"/>
            <w:noProof/>
          </w:rPr>
          <w:t>Title: Chemie Ingenieur Technik</w:t>
        </w:r>
        <w:r>
          <w:rPr>
            <w:noProof/>
            <w:webHidden/>
          </w:rPr>
          <w:tab/>
        </w:r>
        <w:r>
          <w:rPr>
            <w:noProof/>
            <w:webHidden/>
          </w:rPr>
          <w:fldChar w:fldCharType="begin"/>
        </w:r>
        <w:r>
          <w:rPr>
            <w:noProof/>
            <w:webHidden/>
          </w:rPr>
          <w:instrText xml:space="preserve"> PAGEREF _Toc420814945 \h </w:instrText>
        </w:r>
        <w:r>
          <w:rPr>
            <w:noProof/>
            <w:webHidden/>
          </w:rPr>
        </w:r>
        <w:r>
          <w:rPr>
            <w:noProof/>
            <w:webHidden/>
          </w:rPr>
          <w:fldChar w:fldCharType="separate"/>
        </w:r>
        <w:r>
          <w:rPr>
            <w:noProof/>
            <w:webHidden/>
          </w:rPr>
          <w:t>189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6" w:history="1">
        <w:r w:rsidRPr="00775B91">
          <w:rPr>
            <w:rStyle w:val="a5"/>
            <w:noProof/>
          </w:rPr>
          <w:t>Title: Chemistry Central Journal</w:t>
        </w:r>
        <w:r>
          <w:rPr>
            <w:noProof/>
            <w:webHidden/>
          </w:rPr>
          <w:tab/>
        </w:r>
        <w:r>
          <w:rPr>
            <w:noProof/>
            <w:webHidden/>
          </w:rPr>
          <w:fldChar w:fldCharType="begin"/>
        </w:r>
        <w:r>
          <w:rPr>
            <w:noProof/>
            <w:webHidden/>
          </w:rPr>
          <w:instrText xml:space="preserve"> PAGEREF _Toc420814946 \h </w:instrText>
        </w:r>
        <w:r>
          <w:rPr>
            <w:noProof/>
            <w:webHidden/>
          </w:rPr>
        </w:r>
        <w:r>
          <w:rPr>
            <w:noProof/>
            <w:webHidden/>
          </w:rPr>
          <w:fldChar w:fldCharType="separate"/>
        </w:r>
        <w:r>
          <w:rPr>
            <w:noProof/>
            <w:webHidden/>
          </w:rPr>
          <w:t>190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7" w:history="1">
        <w:r w:rsidRPr="00775B91">
          <w:rPr>
            <w:rStyle w:val="a5"/>
            <w:noProof/>
          </w:rPr>
          <w:t>Title: Chemistry Education Research and Practice</w:t>
        </w:r>
        <w:r>
          <w:rPr>
            <w:noProof/>
            <w:webHidden/>
          </w:rPr>
          <w:tab/>
        </w:r>
        <w:r>
          <w:rPr>
            <w:noProof/>
            <w:webHidden/>
          </w:rPr>
          <w:fldChar w:fldCharType="begin"/>
        </w:r>
        <w:r>
          <w:rPr>
            <w:noProof/>
            <w:webHidden/>
          </w:rPr>
          <w:instrText xml:space="preserve"> PAGEREF _Toc420814947 \h </w:instrText>
        </w:r>
        <w:r>
          <w:rPr>
            <w:noProof/>
            <w:webHidden/>
          </w:rPr>
        </w:r>
        <w:r>
          <w:rPr>
            <w:noProof/>
            <w:webHidden/>
          </w:rPr>
          <w:fldChar w:fldCharType="separate"/>
        </w:r>
        <w:r>
          <w:rPr>
            <w:noProof/>
            <w:webHidden/>
          </w:rPr>
          <w:t>191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8" w:history="1">
        <w:r w:rsidRPr="00775B91">
          <w:rPr>
            <w:rStyle w:val="a5"/>
            <w:noProof/>
          </w:rPr>
          <w:t>Title: Chemistry &amp; Industry</w:t>
        </w:r>
        <w:r>
          <w:rPr>
            <w:noProof/>
            <w:webHidden/>
          </w:rPr>
          <w:tab/>
        </w:r>
        <w:r>
          <w:rPr>
            <w:noProof/>
            <w:webHidden/>
          </w:rPr>
          <w:fldChar w:fldCharType="begin"/>
        </w:r>
        <w:r>
          <w:rPr>
            <w:noProof/>
            <w:webHidden/>
          </w:rPr>
          <w:instrText xml:space="preserve"> PAGEREF _Toc420814948 \h </w:instrText>
        </w:r>
        <w:r>
          <w:rPr>
            <w:noProof/>
            <w:webHidden/>
          </w:rPr>
        </w:r>
        <w:r>
          <w:rPr>
            <w:noProof/>
            <w:webHidden/>
          </w:rPr>
          <w:fldChar w:fldCharType="separate"/>
        </w:r>
        <w:r>
          <w:rPr>
            <w:noProof/>
            <w:webHidden/>
          </w:rPr>
          <w:t>192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49" w:history="1">
        <w:r w:rsidRPr="00775B91">
          <w:rPr>
            <w:rStyle w:val="a5"/>
            <w:noProof/>
          </w:rPr>
          <w:t>Title: Chemometrics and Intelligent Laboratory Systems</w:t>
        </w:r>
        <w:r>
          <w:rPr>
            <w:noProof/>
            <w:webHidden/>
          </w:rPr>
          <w:tab/>
        </w:r>
        <w:r>
          <w:rPr>
            <w:noProof/>
            <w:webHidden/>
          </w:rPr>
          <w:fldChar w:fldCharType="begin"/>
        </w:r>
        <w:r>
          <w:rPr>
            <w:noProof/>
            <w:webHidden/>
          </w:rPr>
          <w:instrText xml:space="preserve"> PAGEREF _Toc420814949 \h </w:instrText>
        </w:r>
        <w:r>
          <w:rPr>
            <w:noProof/>
            <w:webHidden/>
          </w:rPr>
        </w:r>
        <w:r>
          <w:rPr>
            <w:noProof/>
            <w:webHidden/>
          </w:rPr>
          <w:fldChar w:fldCharType="separate"/>
        </w:r>
        <w:r>
          <w:rPr>
            <w:noProof/>
            <w:webHidden/>
          </w:rPr>
          <w:t>193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0" w:history="1">
        <w:r w:rsidRPr="00775B91">
          <w:rPr>
            <w:rStyle w:val="a5"/>
            <w:noProof/>
          </w:rPr>
          <w:t>Title: Chemphyschem</w:t>
        </w:r>
        <w:r>
          <w:rPr>
            <w:noProof/>
            <w:webHidden/>
          </w:rPr>
          <w:tab/>
        </w:r>
        <w:r>
          <w:rPr>
            <w:noProof/>
            <w:webHidden/>
          </w:rPr>
          <w:fldChar w:fldCharType="begin"/>
        </w:r>
        <w:r>
          <w:rPr>
            <w:noProof/>
            <w:webHidden/>
          </w:rPr>
          <w:instrText xml:space="preserve"> PAGEREF _Toc420814950 \h </w:instrText>
        </w:r>
        <w:r>
          <w:rPr>
            <w:noProof/>
            <w:webHidden/>
          </w:rPr>
        </w:r>
        <w:r>
          <w:rPr>
            <w:noProof/>
            <w:webHidden/>
          </w:rPr>
          <w:fldChar w:fldCharType="separate"/>
        </w:r>
        <w:r>
          <w:rPr>
            <w:noProof/>
            <w:webHidden/>
          </w:rPr>
          <w:t>197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1" w:history="1">
        <w:r w:rsidRPr="00775B91">
          <w:rPr>
            <w:rStyle w:val="a5"/>
            <w:noProof/>
          </w:rPr>
          <w:t>Title: Chest</w:t>
        </w:r>
        <w:r>
          <w:rPr>
            <w:noProof/>
            <w:webHidden/>
          </w:rPr>
          <w:tab/>
        </w:r>
        <w:r>
          <w:rPr>
            <w:noProof/>
            <w:webHidden/>
          </w:rPr>
          <w:fldChar w:fldCharType="begin"/>
        </w:r>
        <w:r>
          <w:rPr>
            <w:noProof/>
            <w:webHidden/>
          </w:rPr>
          <w:instrText xml:space="preserve"> PAGEREF _Toc420814951 \h </w:instrText>
        </w:r>
        <w:r>
          <w:rPr>
            <w:noProof/>
            <w:webHidden/>
          </w:rPr>
        </w:r>
        <w:r>
          <w:rPr>
            <w:noProof/>
            <w:webHidden/>
          </w:rPr>
          <w:fldChar w:fldCharType="separate"/>
        </w:r>
        <w:r>
          <w:rPr>
            <w:noProof/>
            <w:webHidden/>
          </w:rPr>
          <w:t>198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2" w:history="1">
        <w:r w:rsidRPr="00775B91">
          <w:rPr>
            <w:rStyle w:val="a5"/>
            <w:noProof/>
          </w:rPr>
          <w:t>Title: CHI2009: Proceedings of the 27th Annual CHI Conference on Human Factors in Computing Systems</w:t>
        </w:r>
        <w:r>
          <w:rPr>
            <w:noProof/>
            <w:webHidden/>
          </w:rPr>
          <w:tab/>
        </w:r>
        <w:r>
          <w:rPr>
            <w:noProof/>
            <w:webHidden/>
          </w:rPr>
          <w:fldChar w:fldCharType="begin"/>
        </w:r>
        <w:r>
          <w:rPr>
            <w:noProof/>
            <w:webHidden/>
          </w:rPr>
          <w:instrText xml:space="preserve"> PAGEREF _Toc420814952 \h </w:instrText>
        </w:r>
        <w:r>
          <w:rPr>
            <w:noProof/>
            <w:webHidden/>
          </w:rPr>
        </w:r>
        <w:r>
          <w:rPr>
            <w:noProof/>
            <w:webHidden/>
          </w:rPr>
          <w:fldChar w:fldCharType="separate"/>
        </w:r>
        <w:r>
          <w:rPr>
            <w:noProof/>
            <w:webHidden/>
          </w:rPr>
          <w:t>204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3" w:history="1">
        <w:r w:rsidRPr="00775B91">
          <w:rPr>
            <w:rStyle w:val="a5"/>
            <w:noProof/>
          </w:rPr>
          <w:t>Title: Child Abuse &amp; Neglect</w:t>
        </w:r>
        <w:r>
          <w:rPr>
            <w:noProof/>
            <w:webHidden/>
          </w:rPr>
          <w:tab/>
        </w:r>
        <w:r>
          <w:rPr>
            <w:noProof/>
            <w:webHidden/>
          </w:rPr>
          <w:fldChar w:fldCharType="begin"/>
        </w:r>
        <w:r>
          <w:rPr>
            <w:noProof/>
            <w:webHidden/>
          </w:rPr>
          <w:instrText xml:space="preserve"> PAGEREF _Toc420814953 \h </w:instrText>
        </w:r>
        <w:r>
          <w:rPr>
            <w:noProof/>
            <w:webHidden/>
          </w:rPr>
        </w:r>
        <w:r>
          <w:rPr>
            <w:noProof/>
            <w:webHidden/>
          </w:rPr>
          <w:fldChar w:fldCharType="separate"/>
        </w:r>
        <w:r>
          <w:rPr>
            <w:noProof/>
            <w:webHidden/>
          </w:rPr>
          <w:t>205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4" w:history="1">
        <w:r w:rsidRPr="00775B91">
          <w:rPr>
            <w:rStyle w:val="a5"/>
            <w:noProof/>
          </w:rPr>
          <w:t>Title: Child Care Health and Development</w:t>
        </w:r>
        <w:r>
          <w:rPr>
            <w:noProof/>
            <w:webHidden/>
          </w:rPr>
          <w:tab/>
        </w:r>
        <w:r>
          <w:rPr>
            <w:noProof/>
            <w:webHidden/>
          </w:rPr>
          <w:fldChar w:fldCharType="begin"/>
        </w:r>
        <w:r>
          <w:rPr>
            <w:noProof/>
            <w:webHidden/>
          </w:rPr>
          <w:instrText xml:space="preserve"> PAGEREF _Toc420814954 \h </w:instrText>
        </w:r>
        <w:r>
          <w:rPr>
            <w:noProof/>
            <w:webHidden/>
          </w:rPr>
        </w:r>
        <w:r>
          <w:rPr>
            <w:noProof/>
            <w:webHidden/>
          </w:rPr>
          <w:fldChar w:fldCharType="separate"/>
        </w:r>
        <w:r>
          <w:rPr>
            <w:noProof/>
            <w:webHidden/>
          </w:rPr>
          <w:t>207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5" w:history="1">
        <w:r w:rsidRPr="00775B91">
          <w:rPr>
            <w:rStyle w:val="a5"/>
            <w:noProof/>
          </w:rPr>
          <w:t>Title: Child Development Perspectives</w:t>
        </w:r>
        <w:r>
          <w:rPr>
            <w:noProof/>
            <w:webHidden/>
          </w:rPr>
          <w:tab/>
        </w:r>
        <w:r>
          <w:rPr>
            <w:noProof/>
            <w:webHidden/>
          </w:rPr>
          <w:fldChar w:fldCharType="begin"/>
        </w:r>
        <w:r>
          <w:rPr>
            <w:noProof/>
            <w:webHidden/>
          </w:rPr>
          <w:instrText xml:space="preserve"> PAGEREF _Toc420814955 \h </w:instrText>
        </w:r>
        <w:r>
          <w:rPr>
            <w:noProof/>
            <w:webHidden/>
          </w:rPr>
        </w:r>
        <w:r>
          <w:rPr>
            <w:noProof/>
            <w:webHidden/>
          </w:rPr>
          <w:fldChar w:fldCharType="separate"/>
        </w:r>
        <w:r>
          <w:rPr>
            <w:noProof/>
            <w:webHidden/>
          </w:rPr>
          <w:t>209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6" w:history="1">
        <w:r w:rsidRPr="00775B91">
          <w:rPr>
            <w:rStyle w:val="a5"/>
            <w:noProof/>
          </w:rPr>
          <w:t>Title: Child &amp; Family Social Work</w:t>
        </w:r>
        <w:r>
          <w:rPr>
            <w:noProof/>
            <w:webHidden/>
          </w:rPr>
          <w:tab/>
        </w:r>
        <w:r>
          <w:rPr>
            <w:noProof/>
            <w:webHidden/>
          </w:rPr>
          <w:fldChar w:fldCharType="begin"/>
        </w:r>
        <w:r>
          <w:rPr>
            <w:noProof/>
            <w:webHidden/>
          </w:rPr>
          <w:instrText xml:space="preserve"> PAGEREF _Toc420814956 \h </w:instrText>
        </w:r>
        <w:r>
          <w:rPr>
            <w:noProof/>
            <w:webHidden/>
          </w:rPr>
        </w:r>
        <w:r>
          <w:rPr>
            <w:noProof/>
            <w:webHidden/>
          </w:rPr>
          <w:fldChar w:fldCharType="separate"/>
        </w:r>
        <w:r>
          <w:rPr>
            <w:noProof/>
            <w:webHidden/>
          </w:rPr>
          <w:t>210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7" w:history="1">
        <w:r w:rsidRPr="00775B91">
          <w:rPr>
            <w:rStyle w:val="a5"/>
            <w:noProof/>
          </w:rPr>
          <w:t>Title: Child Language Teaching &amp; Therapy</w:t>
        </w:r>
        <w:r>
          <w:rPr>
            <w:noProof/>
            <w:webHidden/>
          </w:rPr>
          <w:tab/>
        </w:r>
        <w:r>
          <w:rPr>
            <w:noProof/>
            <w:webHidden/>
          </w:rPr>
          <w:fldChar w:fldCharType="begin"/>
        </w:r>
        <w:r>
          <w:rPr>
            <w:noProof/>
            <w:webHidden/>
          </w:rPr>
          <w:instrText xml:space="preserve"> PAGEREF _Toc420814957 \h </w:instrText>
        </w:r>
        <w:r>
          <w:rPr>
            <w:noProof/>
            <w:webHidden/>
          </w:rPr>
        </w:r>
        <w:r>
          <w:rPr>
            <w:noProof/>
            <w:webHidden/>
          </w:rPr>
          <w:fldChar w:fldCharType="separate"/>
        </w:r>
        <w:r>
          <w:rPr>
            <w:noProof/>
            <w:webHidden/>
          </w:rPr>
          <w:t>212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8" w:history="1">
        <w:r w:rsidRPr="00775B91">
          <w:rPr>
            <w:rStyle w:val="a5"/>
            <w:noProof/>
          </w:rPr>
          <w:t>Title: Childhood Obesity</w:t>
        </w:r>
        <w:r>
          <w:rPr>
            <w:noProof/>
            <w:webHidden/>
          </w:rPr>
          <w:tab/>
        </w:r>
        <w:r>
          <w:rPr>
            <w:noProof/>
            <w:webHidden/>
          </w:rPr>
          <w:fldChar w:fldCharType="begin"/>
        </w:r>
        <w:r>
          <w:rPr>
            <w:noProof/>
            <w:webHidden/>
          </w:rPr>
          <w:instrText xml:space="preserve"> PAGEREF _Toc420814958 \h </w:instrText>
        </w:r>
        <w:r>
          <w:rPr>
            <w:noProof/>
            <w:webHidden/>
          </w:rPr>
        </w:r>
        <w:r>
          <w:rPr>
            <w:noProof/>
            <w:webHidden/>
          </w:rPr>
          <w:fldChar w:fldCharType="separate"/>
        </w:r>
        <w:r>
          <w:rPr>
            <w:noProof/>
            <w:webHidden/>
          </w:rPr>
          <w:t>214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59" w:history="1">
        <w:r w:rsidRPr="00775B91">
          <w:rPr>
            <w:rStyle w:val="a5"/>
            <w:noProof/>
          </w:rPr>
          <w:t>Title: Childs Nervous System</w:t>
        </w:r>
        <w:r>
          <w:rPr>
            <w:noProof/>
            <w:webHidden/>
          </w:rPr>
          <w:tab/>
        </w:r>
        <w:r>
          <w:rPr>
            <w:noProof/>
            <w:webHidden/>
          </w:rPr>
          <w:fldChar w:fldCharType="begin"/>
        </w:r>
        <w:r>
          <w:rPr>
            <w:noProof/>
            <w:webHidden/>
          </w:rPr>
          <w:instrText xml:space="preserve"> PAGEREF _Toc420814959 \h </w:instrText>
        </w:r>
        <w:r>
          <w:rPr>
            <w:noProof/>
            <w:webHidden/>
          </w:rPr>
        </w:r>
        <w:r>
          <w:rPr>
            <w:noProof/>
            <w:webHidden/>
          </w:rPr>
          <w:fldChar w:fldCharType="separate"/>
        </w:r>
        <w:r>
          <w:rPr>
            <w:noProof/>
            <w:webHidden/>
          </w:rPr>
          <w:t>216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0" w:history="1">
        <w:r w:rsidRPr="00775B91">
          <w:rPr>
            <w:rStyle w:val="a5"/>
            <w:noProof/>
          </w:rPr>
          <w:t>Title: Chilean Journal of Agricultural Research</w:t>
        </w:r>
        <w:r>
          <w:rPr>
            <w:noProof/>
            <w:webHidden/>
          </w:rPr>
          <w:tab/>
        </w:r>
        <w:r>
          <w:rPr>
            <w:noProof/>
            <w:webHidden/>
          </w:rPr>
          <w:fldChar w:fldCharType="begin"/>
        </w:r>
        <w:r>
          <w:rPr>
            <w:noProof/>
            <w:webHidden/>
          </w:rPr>
          <w:instrText xml:space="preserve"> PAGEREF _Toc420814960 \h </w:instrText>
        </w:r>
        <w:r>
          <w:rPr>
            <w:noProof/>
            <w:webHidden/>
          </w:rPr>
        </w:r>
        <w:r>
          <w:rPr>
            <w:noProof/>
            <w:webHidden/>
          </w:rPr>
          <w:fldChar w:fldCharType="separate"/>
        </w:r>
        <w:r>
          <w:rPr>
            <w:noProof/>
            <w:webHidden/>
          </w:rPr>
          <w:t>218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1" w:history="1">
        <w:r w:rsidRPr="00775B91">
          <w:rPr>
            <w:rStyle w:val="a5"/>
            <w:noProof/>
          </w:rPr>
          <w:t>Title: Chimia</w:t>
        </w:r>
        <w:r>
          <w:rPr>
            <w:noProof/>
            <w:webHidden/>
          </w:rPr>
          <w:tab/>
        </w:r>
        <w:r>
          <w:rPr>
            <w:noProof/>
            <w:webHidden/>
          </w:rPr>
          <w:fldChar w:fldCharType="begin"/>
        </w:r>
        <w:r>
          <w:rPr>
            <w:noProof/>
            <w:webHidden/>
          </w:rPr>
          <w:instrText xml:space="preserve"> PAGEREF _Toc420814961 \h </w:instrText>
        </w:r>
        <w:r>
          <w:rPr>
            <w:noProof/>
            <w:webHidden/>
          </w:rPr>
        </w:r>
        <w:r>
          <w:rPr>
            <w:noProof/>
            <w:webHidden/>
          </w:rPr>
          <w:fldChar w:fldCharType="separate"/>
        </w:r>
        <w:r>
          <w:rPr>
            <w:noProof/>
            <w:webHidden/>
          </w:rPr>
          <w:t>219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2" w:history="1">
        <w:r w:rsidRPr="00775B91">
          <w:rPr>
            <w:rStyle w:val="a5"/>
            <w:noProof/>
          </w:rPr>
          <w:t>Title: Chimica Oggi-Chemistry Today</w:t>
        </w:r>
        <w:r>
          <w:rPr>
            <w:noProof/>
            <w:webHidden/>
          </w:rPr>
          <w:tab/>
        </w:r>
        <w:r>
          <w:rPr>
            <w:noProof/>
            <w:webHidden/>
          </w:rPr>
          <w:fldChar w:fldCharType="begin"/>
        </w:r>
        <w:r>
          <w:rPr>
            <w:noProof/>
            <w:webHidden/>
          </w:rPr>
          <w:instrText xml:space="preserve"> PAGEREF _Toc420814962 \h </w:instrText>
        </w:r>
        <w:r>
          <w:rPr>
            <w:noProof/>
            <w:webHidden/>
          </w:rPr>
        </w:r>
        <w:r>
          <w:rPr>
            <w:noProof/>
            <w:webHidden/>
          </w:rPr>
          <w:fldChar w:fldCharType="separate"/>
        </w:r>
        <w:r>
          <w:rPr>
            <w:noProof/>
            <w:webHidden/>
          </w:rPr>
          <w:t>222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3" w:history="1">
        <w:r w:rsidRPr="00775B91">
          <w:rPr>
            <w:rStyle w:val="a5"/>
            <w:noProof/>
          </w:rPr>
          <w:t>Title: China Basic Science</w:t>
        </w:r>
        <w:r>
          <w:rPr>
            <w:noProof/>
            <w:webHidden/>
          </w:rPr>
          <w:tab/>
        </w:r>
        <w:r>
          <w:rPr>
            <w:noProof/>
            <w:webHidden/>
          </w:rPr>
          <w:fldChar w:fldCharType="begin"/>
        </w:r>
        <w:r>
          <w:rPr>
            <w:noProof/>
            <w:webHidden/>
          </w:rPr>
          <w:instrText xml:space="preserve"> PAGEREF _Toc420814963 \h </w:instrText>
        </w:r>
        <w:r>
          <w:rPr>
            <w:noProof/>
            <w:webHidden/>
          </w:rPr>
        </w:r>
        <w:r>
          <w:rPr>
            <w:noProof/>
            <w:webHidden/>
          </w:rPr>
          <w:fldChar w:fldCharType="separate"/>
        </w:r>
        <w:r>
          <w:rPr>
            <w:noProof/>
            <w:webHidden/>
          </w:rPr>
          <w:t>223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4" w:history="1">
        <w:r w:rsidRPr="00775B91">
          <w:rPr>
            <w:rStyle w:val="a5"/>
            <w:noProof/>
          </w:rPr>
          <w:t>Title: China Economic Review</w:t>
        </w:r>
        <w:r>
          <w:rPr>
            <w:noProof/>
            <w:webHidden/>
          </w:rPr>
          <w:tab/>
        </w:r>
        <w:r>
          <w:rPr>
            <w:noProof/>
            <w:webHidden/>
          </w:rPr>
          <w:fldChar w:fldCharType="begin"/>
        </w:r>
        <w:r>
          <w:rPr>
            <w:noProof/>
            <w:webHidden/>
          </w:rPr>
          <w:instrText xml:space="preserve"> PAGEREF _Toc420814964 \h </w:instrText>
        </w:r>
        <w:r>
          <w:rPr>
            <w:noProof/>
            <w:webHidden/>
          </w:rPr>
        </w:r>
        <w:r>
          <w:rPr>
            <w:noProof/>
            <w:webHidden/>
          </w:rPr>
          <w:fldChar w:fldCharType="separate"/>
        </w:r>
        <w:r>
          <w:rPr>
            <w:noProof/>
            <w:webHidden/>
          </w:rPr>
          <w:t>224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5" w:history="1">
        <w:r w:rsidRPr="00775B91">
          <w:rPr>
            <w:rStyle w:val="a5"/>
            <w:noProof/>
          </w:rPr>
          <w:t>Title: China Medical Education Technology</w:t>
        </w:r>
        <w:r>
          <w:rPr>
            <w:noProof/>
            <w:webHidden/>
          </w:rPr>
          <w:tab/>
        </w:r>
        <w:r>
          <w:rPr>
            <w:noProof/>
            <w:webHidden/>
          </w:rPr>
          <w:fldChar w:fldCharType="begin"/>
        </w:r>
        <w:r>
          <w:rPr>
            <w:noProof/>
            <w:webHidden/>
          </w:rPr>
          <w:instrText xml:space="preserve"> PAGEREF _Toc420814965 \h </w:instrText>
        </w:r>
        <w:r>
          <w:rPr>
            <w:noProof/>
            <w:webHidden/>
          </w:rPr>
        </w:r>
        <w:r>
          <w:rPr>
            <w:noProof/>
            <w:webHidden/>
          </w:rPr>
          <w:fldChar w:fldCharType="separate"/>
        </w:r>
        <w:r>
          <w:rPr>
            <w:noProof/>
            <w:webHidden/>
          </w:rPr>
          <w:t>226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6" w:history="1">
        <w:r w:rsidRPr="00775B91">
          <w:rPr>
            <w:rStyle w:val="a5"/>
            <w:noProof/>
          </w:rPr>
          <w:t>Title: China Science &amp; Technology Resources Review</w:t>
        </w:r>
        <w:r>
          <w:rPr>
            <w:noProof/>
            <w:webHidden/>
          </w:rPr>
          <w:tab/>
        </w:r>
        <w:r>
          <w:rPr>
            <w:noProof/>
            <w:webHidden/>
          </w:rPr>
          <w:fldChar w:fldCharType="begin"/>
        </w:r>
        <w:r>
          <w:rPr>
            <w:noProof/>
            <w:webHidden/>
          </w:rPr>
          <w:instrText xml:space="preserve"> PAGEREF _Toc420814966 \h </w:instrText>
        </w:r>
        <w:r>
          <w:rPr>
            <w:noProof/>
            <w:webHidden/>
          </w:rPr>
        </w:r>
        <w:r>
          <w:rPr>
            <w:noProof/>
            <w:webHidden/>
          </w:rPr>
          <w:fldChar w:fldCharType="separate"/>
        </w:r>
        <w:r>
          <w:rPr>
            <w:noProof/>
            <w:webHidden/>
          </w:rPr>
          <w:t>227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7" w:history="1">
        <w:r w:rsidRPr="00775B91">
          <w:rPr>
            <w:rStyle w:val="a5"/>
            <w:noProof/>
          </w:rPr>
          <w:t>Title: Chinese Agricultural Science Bulletin</w:t>
        </w:r>
        <w:r>
          <w:rPr>
            <w:noProof/>
            <w:webHidden/>
          </w:rPr>
          <w:tab/>
        </w:r>
        <w:r>
          <w:rPr>
            <w:noProof/>
            <w:webHidden/>
          </w:rPr>
          <w:fldChar w:fldCharType="begin"/>
        </w:r>
        <w:r>
          <w:rPr>
            <w:noProof/>
            <w:webHidden/>
          </w:rPr>
          <w:instrText xml:space="preserve"> PAGEREF _Toc420814967 \h </w:instrText>
        </w:r>
        <w:r>
          <w:rPr>
            <w:noProof/>
            <w:webHidden/>
          </w:rPr>
        </w:r>
        <w:r>
          <w:rPr>
            <w:noProof/>
            <w:webHidden/>
          </w:rPr>
          <w:fldChar w:fldCharType="separate"/>
        </w:r>
        <w:r>
          <w:rPr>
            <w:noProof/>
            <w:webHidden/>
          </w:rPr>
          <w:t>228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8" w:history="1">
        <w:r w:rsidRPr="00775B91">
          <w:rPr>
            <w:rStyle w:val="a5"/>
            <w:noProof/>
          </w:rPr>
          <w:t>Title: Chinese Geographical Science</w:t>
        </w:r>
        <w:r>
          <w:rPr>
            <w:noProof/>
            <w:webHidden/>
          </w:rPr>
          <w:tab/>
        </w:r>
        <w:r>
          <w:rPr>
            <w:noProof/>
            <w:webHidden/>
          </w:rPr>
          <w:fldChar w:fldCharType="begin"/>
        </w:r>
        <w:r>
          <w:rPr>
            <w:noProof/>
            <w:webHidden/>
          </w:rPr>
          <w:instrText xml:space="preserve"> PAGEREF _Toc420814968 \h </w:instrText>
        </w:r>
        <w:r>
          <w:rPr>
            <w:noProof/>
            <w:webHidden/>
          </w:rPr>
        </w:r>
        <w:r>
          <w:rPr>
            <w:noProof/>
            <w:webHidden/>
          </w:rPr>
          <w:fldChar w:fldCharType="separate"/>
        </w:r>
        <w:r>
          <w:rPr>
            <w:noProof/>
            <w:webHidden/>
          </w:rPr>
          <w:t>229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69" w:history="1">
        <w:r w:rsidRPr="00775B91">
          <w:rPr>
            <w:rStyle w:val="a5"/>
            <w:noProof/>
          </w:rPr>
          <w:t>Title: Chinese Hospital Management</w:t>
        </w:r>
        <w:r>
          <w:rPr>
            <w:noProof/>
            <w:webHidden/>
          </w:rPr>
          <w:tab/>
        </w:r>
        <w:r>
          <w:rPr>
            <w:noProof/>
            <w:webHidden/>
          </w:rPr>
          <w:fldChar w:fldCharType="begin"/>
        </w:r>
        <w:r>
          <w:rPr>
            <w:noProof/>
            <w:webHidden/>
          </w:rPr>
          <w:instrText xml:space="preserve"> PAGEREF _Toc420814969 \h </w:instrText>
        </w:r>
        <w:r>
          <w:rPr>
            <w:noProof/>
            <w:webHidden/>
          </w:rPr>
        </w:r>
        <w:r>
          <w:rPr>
            <w:noProof/>
            <w:webHidden/>
          </w:rPr>
          <w:fldChar w:fldCharType="separate"/>
        </w:r>
        <w:r>
          <w:rPr>
            <w:noProof/>
            <w:webHidden/>
          </w:rPr>
          <w:t>231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0" w:history="1">
        <w:r w:rsidRPr="00775B91">
          <w:rPr>
            <w:rStyle w:val="a5"/>
            <w:noProof/>
          </w:rPr>
          <w:t>Title: Chinese Journal of Cancer</w:t>
        </w:r>
        <w:r>
          <w:rPr>
            <w:noProof/>
            <w:webHidden/>
          </w:rPr>
          <w:tab/>
        </w:r>
        <w:r>
          <w:rPr>
            <w:noProof/>
            <w:webHidden/>
          </w:rPr>
          <w:fldChar w:fldCharType="begin"/>
        </w:r>
        <w:r>
          <w:rPr>
            <w:noProof/>
            <w:webHidden/>
          </w:rPr>
          <w:instrText xml:space="preserve"> PAGEREF _Toc420814970 \h </w:instrText>
        </w:r>
        <w:r>
          <w:rPr>
            <w:noProof/>
            <w:webHidden/>
          </w:rPr>
        </w:r>
        <w:r>
          <w:rPr>
            <w:noProof/>
            <w:webHidden/>
          </w:rPr>
          <w:fldChar w:fldCharType="separate"/>
        </w:r>
        <w:r>
          <w:rPr>
            <w:noProof/>
            <w:webHidden/>
          </w:rPr>
          <w:t>232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1" w:history="1">
        <w:r w:rsidRPr="00775B91">
          <w:rPr>
            <w:rStyle w:val="a5"/>
            <w:noProof/>
          </w:rPr>
          <w:t>Title: Chinese Journal of Cancer Research</w:t>
        </w:r>
        <w:r>
          <w:rPr>
            <w:noProof/>
            <w:webHidden/>
          </w:rPr>
          <w:tab/>
        </w:r>
        <w:r>
          <w:rPr>
            <w:noProof/>
            <w:webHidden/>
          </w:rPr>
          <w:fldChar w:fldCharType="begin"/>
        </w:r>
        <w:r>
          <w:rPr>
            <w:noProof/>
            <w:webHidden/>
          </w:rPr>
          <w:instrText xml:space="preserve"> PAGEREF _Toc420814971 \h </w:instrText>
        </w:r>
        <w:r>
          <w:rPr>
            <w:noProof/>
            <w:webHidden/>
          </w:rPr>
        </w:r>
        <w:r>
          <w:rPr>
            <w:noProof/>
            <w:webHidden/>
          </w:rPr>
          <w:fldChar w:fldCharType="separate"/>
        </w:r>
        <w:r>
          <w:rPr>
            <w:noProof/>
            <w:webHidden/>
          </w:rPr>
          <w:t>233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2" w:history="1">
        <w:r w:rsidRPr="00775B91">
          <w:rPr>
            <w:rStyle w:val="a5"/>
            <w:noProof/>
          </w:rPr>
          <w:t>Title: Chinese Journal of Chemical Engineering</w:t>
        </w:r>
        <w:r>
          <w:rPr>
            <w:noProof/>
            <w:webHidden/>
          </w:rPr>
          <w:tab/>
        </w:r>
        <w:r>
          <w:rPr>
            <w:noProof/>
            <w:webHidden/>
          </w:rPr>
          <w:fldChar w:fldCharType="begin"/>
        </w:r>
        <w:r>
          <w:rPr>
            <w:noProof/>
            <w:webHidden/>
          </w:rPr>
          <w:instrText xml:space="preserve"> PAGEREF _Toc420814972 \h </w:instrText>
        </w:r>
        <w:r>
          <w:rPr>
            <w:noProof/>
            <w:webHidden/>
          </w:rPr>
        </w:r>
        <w:r>
          <w:rPr>
            <w:noProof/>
            <w:webHidden/>
          </w:rPr>
          <w:fldChar w:fldCharType="separate"/>
        </w:r>
        <w:r>
          <w:rPr>
            <w:noProof/>
            <w:webHidden/>
          </w:rPr>
          <w:t>238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3" w:history="1">
        <w:r w:rsidRPr="00775B91">
          <w:rPr>
            <w:rStyle w:val="a5"/>
            <w:noProof/>
          </w:rPr>
          <w:t>Title: Chinese Journal of Evidence-Based Medicine</w:t>
        </w:r>
        <w:r>
          <w:rPr>
            <w:noProof/>
            <w:webHidden/>
          </w:rPr>
          <w:tab/>
        </w:r>
        <w:r>
          <w:rPr>
            <w:noProof/>
            <w:webHidden/>
          </w:rPr>
          <w:fldChar w:fldCharType="begin"/>
        </w:r>
        <w:r>
          <w:rPr>
            <w:noProof/>
            <w:webHidden/>
          </w:rPr>
          <w:instrText xml:space="preserve"> PAGEREF _Toc420814973 \h </w:instrText>
        </w:r>
        <w:r>
          <w:rPr>
            <w:noProof/>
            <w:webHidden/>
          </w:rPr>
        </w:r>
        <w:r>
          <w:rPr>
            <w:noProof/>
            <w:webHidden/>
          </w:rPr>
          <w:fldChar w:fldCharType="separate"/>
        </w:r>
        <w:r>
          <w:rPr>
            <w:noProof/>
            <w:webHidden/>
          </w:rPr>
          <w:t>239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4" w:history="1">
        <w:r w:rsidRPr="00775B91">
          <w:rPr>
            <w:rStyle w:val="a5"/>
            <w:noProof/>
          </w:rPr>
          <w:t>Title: Chinese Journal of Disease Control &amp; Prevention</w:t>
        </w:r>
        <w:r>
          <w:rPr>
            <w:noProof/>
            <w:webHidden/>
          </w:rPr>
          <w:tab/>
        </w:r>
        <w:r>
          <w:rPr>
            <w:noProof/>
            <w:webHidden/>
          </w:rPr>
          <w:fldChar w:fldCharType="begin"/>
        </w:r>
        <w:r>
          <w:rPr>
            <w:noProof/>
            <w:webHidden/>
          </w:rPr>
          <w:instrText xml:space="preserve"> PAGEREF _Toc420814974 \h </w:instrText>
        </w:r>
        <w:r>
          <w:rPr>
            <w:noProof/>
            <w:webHidden/>
          </w:rPr>
        </w:r>
        <w:r>
          <w:rPr>
            <w:noProof/>
            <w:webHidden/>
          </w:rPr>
          <w:fldChar w:fldCharType="separate"/>
        </w:r>
        <w:r>
          <w:rPr>
            <w:noProof/>
            <w:webHidden/>
          </w:rPr>
          <w:t>240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5" w:history="1">
        <w:r w:rsidRPr="00775B91">
          <w:rPr>
            <w:rStyle w:val="a5"/>
            <w:noProof/>
          </w:rPr>
          <w:t>Title: Chinese Journal of Health Laboratory Technology</w:t>
        </w:r>
        <w:r>
          <w:rPr>
            <w:noProof/>
            <w:webHidden/>
          </w:rPr>
          <w:tab/>
        </w:r>
        <w:r>
          <w:rPr>
            <w:noProof/>
            <w:webHidden/>
          </w:rPr>
          <w:fldChar w:fldCharType="begin"/>
        </w:r>
        <w:r>
          <w:rPr>
            <w:noProof/>
            <w:webHidden/>
          </w:rPr>
          <w:instrText xml:space="preserve"> PAGEREF _Toc420814975 \h </w:instrText>
        </w:r>
        <w:r>
          <w:rPr>
            <w:noProof/>
            <w:webHidden/>
          </w:rPr>
        </w:r>
        <w:r>
          <w:rPr>
            <w:noProof/>
            <w:webHidden/>
          </w:rPr>
          <w:fldChar w:fldCharType="separate"/>
        </w:r>
        <w:r>
          <w:rPr>
            <w:noProof/>
            <w:webHidden/>
          </w:rPr>
          <w:t>241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6" w:history="1">
        <w:r w:rsidRPr="00775B91">
          <w:rPr>
            <w:rStyle w:val="a5"/>
            <w:noProof/>
          </w:rPr>
          <w:t>Title: Chinese Journal of Hospital Administration</w:t>
        </w:r>
        <w:r>
          <w:rPr>
            <w:noProof/>
            <w:webHidden/>
          </w:rPr>
          <w:tab/>
        </w:r>
        <w:r>
          <w:rPr>
            <w:noProof/>
            <w:webHidden/>
          </w:rPr>
          <w:fldChar w:fldCharType="begin"/>
        </w:r>
        <w:r>
          <w:rPr>
            <w:noProof/>
            <w:webHidden/>
          </w:rPr>
          <w:instrText xml:space="preserve"> PAGEREF _Toc420814976 \h </w:instrText>
        </w:r>
        <w:r>
          <w:rPr>
            <w:noProof/>
            <w:webHidden/>
          </w:rPr>
        </w:r>
        <w:r>
          <w:rPr>
            <w:noProof/>
            <w:webHidden/>
          </w:rPr>
          <w:fldChar w:fldCharType="separate"/>
        </w:r>
        <w:r>
          <w:rPr>
            <w:noProof/>
            <w:webHidden/>
          </w:rPr>
          <w:t>242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7" w:history="1">
        <w:r w:rsidRPr="00775B91">
          <w:rPr>
            <w:rStyle w:val="a5"/>
            <w:noProof/>
          </w:rPr>
          <w:t>Title: Chinese Journal of Integrative Medicine</w:t>
        </w:r>
        <w:r>
          <w:rPr>
            <w:noProof/>
            <w:webHidden/>
          </w:rPr>
          <w:tab/>
        </w:r>
        <w:r>
          <w:rPr>
            <w:noProof/>
            <w:webHidden/>
          </w:rPr>
          <w:fldChar w:fldCharType="begin"/>
        </w:r>
        <w:r>
          <w:rPr>
            <w:noProof/>
            <w:webHidden/>
          </w:rPr>
          <w:instrText xml:space="preserve"> PAGEREF _Toc420814977 \h </w:instrText>
        </w:r>
        <w:r>
          <w:rPr>
            <w:noProof/>
            <w:webHidden/>
          </w:rPr>
        </w:r>
        <w:r>
          <w:rPr>
            <w:noProof/>
            <w:webHidden/>
          </w:rPr>
          <w:fldChar w:fldCharType="separate"/>
        </w:r>
        <w:r>
          <w:rPr>
            <w:noProof/>
            <w:webHidden/>
          </w:rPr>
          <w:t>243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8" w:history="1">
        <w:r w:rsidRPr="00775B91">
          <w:rPr>
            <w:rStyle w:val="a5"/>
            <w:noProof/>
          </w:rPr>
          <w:t>Title: Chinese Journal of Medical Library and Information Science</w:t>
        </w:r>
        <w:r>
          <w:rPr>
            <w:noProof/>
            <w:webHidden/>
          </w:rPr>
          <w:tab/>
        </w:r>
        <w:r>
          <w:rPr>
            <w:noProof/>
            <w:webHidden/>
          </w:rPr>
          <w:fldChar w:fldCharType="begin"/>
        </w:r>
        <w:r>
          <w:rPr>
            <w:noProof/>
            <w:webHidden/>
          </w:rPr>
          <w:instrText xml:space="preserve"> PAGEREF _Toc420814978 \h </w:instrText>
        </w:r>
        <w:r>
          <w:rPr>
            <w:noProof/>
            <w:webHidden/>
          </w:rPr>
        </w:r>
        <w:r>
          <w:rPr>
            <w:noProof/>
            <w:webHidden/>
          </w:rPr>
          <w:fldChar w:fldCharType="separate"/>
        </w:r>
        <w:r>
          <w:rPr>
            <w:noProof/>
            <w:webHidden/>
          </w:rPr>
          <w:t>245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79" w:history="1">
        <w:r w:rsidRPr="00775B91">
          <w:rPr>
            <w:rStyle w:val="a5"/>
            <w:noProof/>
          </w:rPr>
          <w:t>Title: Chinese Journal of Medical Science Research Management</w:t>
        </w:r>
        <w:r>
          <w:rPr>
            <w:noProof/>
            <w:webHidden/>
          </w:rPr>
          <w:tab/>
        </w:r>
        <w:r>
          <w:rPr>
            <w:noProof/>
            <w:webHidden/>
          </w:rPr>
          <w:fldChar w:fldCharType="begin"/>
        </w:r>
        <w:r>
          <w:rPr>
            <w:noProof/>
            <w:webHidden/>
          </w:rPr>
          <w:instrText xml:space="preserve"> PAGEREF _Toc420814979 \h </w:instrText>
        </w:r>
        <w:r>
          <w:rPr>
            <w:noProof/>
            <w:webHidden/>
          </w:rPr>
        </w:r>
        <w:r>
          <w:rPr>
            <w:noProof/>
            <w:webHidden/>
          </w:rPr>
          <w:fldChar w:fldCharType="separate"/>
        </w:r>
        <w:r>
          <w:rPr>
            <w:noProof/>
            <w:webHidden/>
          </w:rPr>
          <w:t>248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0" w:history="1">
        <w:r w:rsidRPr="00775B91">
          <w:rPr>
            <w:rStyle w:val="a5"/>
            <w:noProof/>
          </w:rPr>
          <w:t>Title: Chinese Journal of Neuroimmunology and Neurology</w:t>
        </w:r>
        <w:r>
          <w:rPr>
            <w:noProof/>
            <w:webHidden/>
          </w:rPr>
          <w:tab/>
        </w:r>
        <w:r>
          <w:rPr>
            <w:noProof/>
            <w:webHidden/>
          </w:rPr>
          <w:fldChar w:fldCharType="begin"/>
        </w:r>
        <w:r>
          <w:rPr>
            <w:noProof/>
            <w:webHidden/>
          </w:rPr>
          <w:instrText xml:space="preserve"> PAGEREF _Toc420814980 \h </w:instrText>
        </w:r>
        <w:r>
          <w:rPr>
            <w:noProof/>
            <w:webHidden/>
          </w:rPr>
        </w:r>
        <w:r>
          <w:rPr>
            <w:noProof/>
            <w:webHidden/>
          </w:rPr>
          <w:fldChar w:fldCharType="separate"/>
        </w:r>
        <w:r>
          <w:rPr>
            <w:noProof/>
            <w:webHidden/>
          </w:rPr>
          <w:t>249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1" w:history="1">
        <w:r w:rsidRPr="00775B91">
          <w:rPr>
            <w:rStyle w:val="a5"/>
            <w:noProof/>
          </w:rPr>
          <w:t>Title: Chinese Journal of Nosocomiology</w:t>
        </w:r>
        <w:r>
          <w:rPr>
            <w:noProof/>
            <w:webHidden/>
          </w:rPr>
          <w:tab/>
        </w:r>
        <w:r>
          <w:rPr>
            <w:noProof/>
            <w:webHidden/>
          </w:rPr>
          <w:fldChar w:fldCharType="begin"/>
        </w:r>
        <w:r>
          <w:rPr>
            <w:noProof/>
            <w:webHidden/>
          </w:rPr>
          <w:instrText xml:space="preserve"> PAGEREF _Toc420814981 \h </w:instrText>
        </w:r>
        <w:r>
          <w:rPr>
            <w:noProof/>
            <w:webHidden/>
          </w:rPr>
        </w:r>
        <w:r>
          <w:rPr>
            <w:noProof/>
            <w:webHidden/>
          </w:rPr>
          <w:fldChar w:fldCharType="separate"/>
        </w:r>
        <w:r>
          <w:rPr>
            <w:noProof/>
            <w:webHidden/>
          </w:rPr>
          <w:t>250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2" w:history="1">
        <w:r w:rsidRPr="00775B91">
          <w:rPr>
            <w:rStyle w:val="a5"/>
            <w:noProof/>
          </w:rPr>
          <w:t>Title: Chinese Journal of Nursing</w:t>
        </w:r>
        <w:r>
          <w:rPr>
            <w:noProof/>
            <w:webHidden/>
          </w:rPr>
          <w:tab/>
        </w:r>
        <w:r>
          <w:rPr>
            <w:noProof/>
            <w:webHidden/>
          </w:rPr>
          <w:fldChar w:fldCharType="begin"/>
        </w:r>
        <w:r>
          <w:rPr>
            <w:noProof/>
            <w:webHidden/>
          </w:rPr>
          <w:instrText xml:space="preserve"> PAGEREF _Toc420814982 \h </w:instrText>
        </w:r>
        <w:r>
          <w:rPr>
            <w:noProof/>
            <w:webHidden/>
          </w:rPr>
        </w:r>
        <w:r>
          <w:rPr>
            <w:noProof/>
            <w:webHidden/>
          </w:rPr>
          <w:fldChar w:fldCharType="separate"/>
        </w:r>
        <w:r>
          <w:rPr>
            <w:noProof/>
            <w:webHidden/>
          </w:rPr>
          <w:t>251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3" w:history="1">
        <w:r w:rsidRPr="00775B91">
          <w:rPr>
            <w:rStyle w:val="a5"/>
            <w:noProof/>
          </w:rPr>
          <w:t>Title: Chinese Journal of Orthopaedic Trauma</w:t>
        </w:r>
        <w:r>
          <w:rPr>
            <w:noProof/>
            <w:webHidden/>
          </w:rPr>
          <w:tab/>
        </w:r>
        <w:r>
          <w:rPr>
            <w:noProof/>
            <w:webHidden/>
          </w:rPr>
          <w:fldChar w:fldCharType="begin"/>
        </w:r>
        <w:r>
          <w:rPr>
            <w:noProof/>
            <w:webHidden/>
          </w:rPr>
          <w:instrText xml:space="preserve"> PAGEREF _Toc420814983 \h </w:instrText>
        </w:r>
        <w:r>
          <w:rPr>
            <w:noProof/>
            <w:webHidden/>
          </w:rPr>
        </w:r>
        <w:r>
          <w:rPr>
            <w:noProof/>
            <w:webHidden/>
          </w:rPr>
          <w:fldChar w:fldCharType="separate"/>
        </w:r>
        <w:r>
          <w:rPr>
            <w:noProof/>
            <w:webHidden/>
          </w:rPr>
          <w:t>252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4" w:history="1">
        <w:r w:rsidRPr="00775B91">
          <w:rPr>
            <w:rStyle w:val="a5"/>
            <w:noProof/>
          </w:rPr>
          <w:t>Title: Chinese Journal of Ultrasound in Medicine</w:t>
        </w:r>
        <w:r>
          <w:rPr>
            <w:noProof/>
            <w:webHidden/>
          </w:rPr>
          <w:tab/>
        </w:r>
        <w:r>
          <w:rPr>
            <w:noProof/>
            <w:webHidden/>
          </w:rPr>
          <w:fldChar w:fldCharType="begin"/>
        </w:r>
        <w:r>
          <w:rPr>
            <w:noProof/>
            <w:webHidden/>
          </w:rPr>
          <w:instrText xml:space="preserve"> PAGEREF _Toc420814984 \h </w:instrText>
        </w:r>
        <w:r>
          <w:rPr>
            <w:noProof/>
            <w:webHidden/>
          </w:rPr>
        </w:r>
        <w:r>
          <w:rPr>
            <w:noProof/>
            <w:webHidden/>
          </w:rPr>
          <w:fldChar w:fldCharType="separate"/>
        </w:r>
        <w:r>
          <w:rPr>
            <w:noProof/>
            <w:webHidden/>
          </w:rPr>
          <w:t>253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5" w:history="1">
        <w:r w:rsidRPr="00775B91">
          <w:rPr>
            <w:rStyle w:val="a5"/>
            <w:noProof/>
          </w:rPr>
          <w:t>Title: Chinese Journal of Zoology</w:t>
        </w:r>
        <w:r>
          <w:rPr>
            <w:noProof/>
            <w:webHidden/>
          </w:rPr>
          <w:tab/>
        </w:r>
        <w:r>
          <w:rPr>
            <w:noProof/>
            <w:webHidden/>
          </w:rPr>
          <w:fldChar w:fldCharType="begin"/>
        </w:r>
        <w:r>
          <w:rPr>
            <w:noProof/>
            <w:webHidden/>
          </w:rPr>
          <w:instrText xml:space="preserve"> PAGEREF _Toc420814985 \h </w:instrText>
        </w:r>
        <w:r>
          <w:rPr>
            <w:noProof/>
            <w:webHidden/>
          </w:rPr>
        </w:r>
        <w:r>
          <w:rPr>
            <w:noProof/>
            <w:webHidden/>
          </w:rPr>
          <w:fldChar w:fldCharType="separate"/>
        </w:r>
        <w:r>
          <w:rPr>
            <w:noProof/>
            <w:webHidden/>
          </w:rPr>
          <w:t>254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6" w:history="1">
        <w:r w:rsidRPr="00775B91">
          <w:rPr>
            <w:rStyle w:val="a5"/>
            <w:noProof/>
          </w:rPr>
          <w:t>Title: Chinese Medical Equipment Journal</w:t>
        </w:r>
        <w:r>
          <w:rPr>
            <w:noProof/>
            <w:webHidden/>
          </w:rPr>
          <w:tab/>
        </w:r>
        <w:r>
          <w:rPr>
            <w:noProof/>
            <w:webHidden/>
          </w:rPr>
          <w:fldChar w:fldCharType="begin"/>
        </w:r>
        <w:r>
          <w:rPr>
            <w:noProof/>
            <w:webHidden/>
          </w:rPr>
          <w:instrText xml:space="preserve"> PAGEREF _Toc420814986 \h </w:instrText>
        </w:r>
        <w:r>
          <w:rPr>
            <w:noProof/>
            <w:webHidden/>
          </w:rPr>
        </w:r>
        <w:r>
          <w:rPr>
            <w:noProof/>
            <w:webHidden/>
          </w:rPr>
          <w:fldChar w:fldCharType="separate"/>
        </w:r>
        <w:r>
          <w:rPr>
            <w:noProof/>
            <w:webHidden/>
          </w:rPr>
          <w:t>255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7" w:history="1">
        <w:r w:rsidRPr="00775B91">
          <w:rPr>
            <w:rStyle w:val="a5"/>
            <w:noProof/>
          </w:rPr>
          <w:t>Title: Chinese Medical Journal</w:t>
        </w:r>
        <w:r>
          <w:rPr>
            <w:noProof/>
            <w:webHidden/>
          </w:rPr>
          <w:tab/>
        </w:r>
        <w:r>
          <w:rPr>
            <w:noProof/>
            <w:webHidden/>
          </w:rPr>
          <w:fldChar w:fldCharType="begin"/>
        </w:r>
        <w:r>
          <w:rPr>
            <w:noProof/>
            <w:webHidden/>
          </w:rPr>
          <w:instrText xml:space="preserve"> PAGEREF _Toc420814987 \h </w:instrText>
        </w:r>
        <w:r>
          <w:rPr>
            <w:noProof/>
            <w:webHidden/>
          </w:rPr>
        </w:r>
        <w:r>
          <w:rPr>
            <w:noProof/>
            <w:webHidden/>
          </w:rPr>
          <w:fldChar w:fldCharType="separate"/>
        </w:r>
        <w:r>
          <w:rPr>
            <w:noProof/>
            <w:webHidden/>
          </w:rPr>
          <w:t>256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8" w:history="1">
        <w:r w:rsidRPr="00775B91">
          <w:rPr>
            <w:rStyle w:val="a5"/>
            <w:noProof/>
          </w:rPr>
          <w:t>Title: Chinese Science Bulletin</w:t>
        </w:r>
        <w:r>
          <w:rPr>
            <w:noProof/>
            <w:webHidden/>
          </w:rPr>
          <w:tab/>
        </w:r>
        <w:r>
          <w:rPr>
            <w:noProof/>
            <w:webHidden/>
          </w:rPr>
          <w:fldChar w:fldCharType="begin"/>
        </w:r>
        <w:r>
          <w:rPr>
            <w:noProof/>
            <w:webHidden/>
          </w:rPr>
          <w:instrText xml:space="preserve"> PAGEREF _Toc420814988 \h </w:instrText>
        </w:r>
        <w:r>
          <w:rPr>
            <w:noProof/>
            <w:webHidden/>
          </w:rPr>
        </w:r>
        <w:r>
          <w:rPr>
            <w:noProof/>
            <w:webHidden/>
          </w:rPr>
          <w:fldChar w:fldCharType="separate"/>
        </w:r>
        <w:r>
          <w:rPr>
            <w:noProof/>
            <w:webHidden/>
          </w:rPr>
          <w:t>272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89" w:history="1">
        <w:r w:rsidRPr="00775B91">
          <w:rPr>
            <w:rStyle w:val="a5"/>
            <w:noProof/>
          </w:rPr>
          <w:t>Title: Chirurg</w:t>
        </w:r>
        <w:r>
          <w:rPr>
            <w:noProof/>
            <w:webHidden/>
          </w:rPr>
          <w:tab/>
        </w:r>
        <w:r>
          <w:rPr>
            <w:noProof/>
            <w:webHidden/>
          </w:rPr>
          <w:fldChar w:fldCharType="begin"/>
        </w:r>
        <w:r>
          <w:rPr>
            <w:noProof/>
            <w:webHidden/>
          </w:rPr>
          <w:instrText xml:space="preserve"> PAGEREF _Toc420814989 \h </w:instrText>
        </w:r>
        <w:r>
          <w:rPr>
            <w:noProof/>
            <w:webHidden/>
          </w:rPr>
        </w:r>
        <w:r>
          <w:rPr>
            <w:noProof/>
            <w:webHidden/>
          </w:rPr>
          <w:fldChar w:fldCharType="separate"/>
        </w:r>
        <w:r>
          <w:rPr>
            <w:noProof/>
            <w:webHidden/>
          </w:rPr>
          <w:t>275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0" w:history="1">
        <w:r w:rsidRPr="00775B91">
          <w:rPr>
            <w:rStyle w:val="a5"/>
            <w:noProof/>
          </w:rPr>
          <w:t>Title: Chronobiology International</w:t>
        </w:r>
        <w:r>
          <w:rPr>
            <w:noProof/>
            <w:webHidden/>
          </w:rPr>
          <w:tab/>
        </w:r>
        <w:r>
          <w:rPr>
            <w:noProof/>
            <w:webHidden/>
          </w:rPr>
          <w:fldChar w:fldCharType="begin"/>
        </w:r>
        <w:r>
          <w:rPr>
            <w:noProof/>
            <w:webHidden/>
          </w:rPr>
          <w:instrText xml:space="preserve"> PAGEREF _Toc420814990 \h </w:instrText>
        </w:r>
        <w:r>
          <w:rPr>
            <w:noProof/>
            <w:webHidden/>
          </w:rPr>
        </w:r>
        <w:r>
          <w:rPr>
            <w:noProof/>
            <w:webHidden/>
          </w:rPr>
          <w:fldChar w:fldCharType="separate"/>
        </w:r>
        <w:r>
          <w:rPr>
            <w:noProof/>
            <w:webHidden/>
          </w:rPr>
          <w:t>276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1" w:history="1">
        <w:r w:rsidRPr="00775B91">
          <w:rPr>
            <w:rStyle w:val="a5"/>
            <w:noProof/>
          </w:rPr>
          <w:t>Title: Chronic Respiratory Disease</w:t>
        </w:r>
        <w:r>
          <w:rPr>
            <w:noProof/>
            <w:webHidden/>
          </w:rPr>
          <w:tab/>
        </w:r>
        <w:r>
          <w:rPr>
            <w:noProof/>
            <w:webHidden/>
          </w:rPr>
          <w:fldChar w:fldCharType="begin"/>
        </w:r>
        <w:r>
          <w:rPr>
            <w:noProof/>
            <w:webHidden/>
          </w:rPr>
          <w:instrText xml:space="preserve"> PAGEREF _Toc420814991 \h </w:instrText>
        </w:r>
        <w:r>
          <w:rPr>
            <w:noProof/>
            <w:webHidden/>
          </w:rPr>
        </w:r>
        <w:r>
          <w:rPr>
            <w:noProof/>
            <w:webHidden/>
          </w:rPr>
          <w:fldChar w:fldCharType="separate"/>
        </w:r>
        <w:r>
          <w:rPr>
            <w:noProof/>
            <w:webHidden/>
          </w:rPr>
          <w:t>278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2" w:history="1">
        <w:r w:rsidRPr="00775B91">
          <w:rPr>
            <w:rStyle w:val="a5"/>
            <w:noProof/>
          </w:rPr>
          <w:t>Title: Ciencia da Informacao Ciencia da Informacao</w:t>
        </w:r>
        <w:r>
          <w:rPr>
            <w:noProof/>
            <w:webHidden/>
          </w:rPr>
          <w:tab/>
        </w:r>
        <w:r>
          <w:rPr>
            <w:noProof/>
            <w:webHidden/>
          </w:rPr>
          <w:fldChar w:fldCharType="begin"/>
        </w:r>
        <w:r>
          <w:rPr>
            <w:noProof/>
            <w:webHidden/>
          </w:rPr>
          <w:instrText xml:space="preserve"> PAGEREF _Toc420814992 \h </w:instrText>
        </w:r>
        <w:r>
          <w:rPr>
            <w:noProof/>
            <w:webHidden/>
          </w:rPr>
        </w:r>
        <w:r>
          <w:rPr>
            <w:noProof/>
            <w:webHidden/>
          </w:rPr>
          <w:fldChar w:fldCharType="separate"/>
        </w:r>
        <w:r>
          <w:rPr>
            <w:noProof/>
            <w:webHidden/>
          </w:rPr>
          <w:t>280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3" w:history="1">
        <w:r w:rsidRPr="00775B91">
          <w:rPr>
            <w:rStyle w:val="a5"/>
            <w:noProof/>
          </w:rPr>
          <w:t>Title: Ciencia e Investigacion Agraria</w:t>
        </w:r>
        <w:r>
          <w:rPr>
            <w:noProof/>
            <w:webHidden/>
          </w:rPr>
          <w:tab/>
        </w:r>
        <w:r>
          <w:rPr>
            <w:noProof/>
            <w:webHidden/>
          </w:rPr>
          <w:fldChar w:fldCharType="begin"/>
        </w:r>
        <w:r>
          <w:rPr>
            <w:noProof/>
            <w:webHidden/>
          </w:rPr>
          <w:instrText xml:space="preserve"> PAGEREF _Toc420814993 \h </w:instrText>
        </w:r>
        <w:r>
          <w:rPr>
            <w:noProof/>
            <w:webHidden/>
          </w:rPr>
        </w:r>
        <w:r>
          <w:rPr>
            <w:noProof/>
            <w:webHidden/>
          </w:rPr>
          <w:fldChar w:fldCharType="separate"/>
        </w:r>
        <w:r>
          <w:rPr>
            <w:noProof/>
            <w:webHidden/>
          </w:rPr>
          <w:t>281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4" w:history="1">
        <w:r w:rsidRPr="00775B91">
          <w:rPr>
            <w:rStyle w:val="a5"/>
            <w:noProof/>
          </w:rPr>
          <w:t>Title: Ciencia Rural</w:t>
        </w:r>
        <w:r>
          <w:rPr>
            <w:noProof/>
            <w:webHidden/>
          </w:rPr>
          <w:tab/>
        </w:r>
        <w:r>
          <w:rPr>
            <w:noProof/>
            <w:webHidden/>
          </w:rPr>
          <w:fldChar w:fldCharType="begin"/>
        </w:r>
        <w:r>
          <w:rPr>
            <w:noProof/>
            <w:webHidden/>
          </w:rPr>
          <w:instrText xml:space="preserve"> PAGEREF _Toc420814994 \h </w:instrText>
        </w:r>
        <w:r>
          <w:rPr>
            <w:noProof/>
            <w:webHidden/>
          </w:rPr>
        </w:r>
        <w:r>
          <w:rPr>
            <w:noProof/>
            <w:webHidden/>
          </w:rPr>
          <w:fldChar w:fldCharType="separate"/>
        </w:r>
        <w:r>
          <w:rPr>
            <w:noProof/>
            <w:webHidden/>
          </w:rPr>
          <w:t>282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5" w:history="1">
        <w:r w:rsidRPr="00775B91">
          <w:rPr>
            <w:rStyle w:val="a5"/>
            <w:noProof/>
          </w:rPr>
          <w:t>Title: Ciencia &amp; Saude Coletiva</w:t>
        </w:r>
        <w:r>
          <w:rPr>
            <w:noProof/>
            <w:webHidden/>
          </w:rPr>
          <w:tab/>
        </w:r>
        <w:r>
          <w:rPr>
            <w:noProof/>
            <w:webHidden/>
          </w:rPr>
          <w:fldChar w:fldCharType="begin"/>
        </w:r>
        <w:r>
          <w:rPr>
            <w:noProof/>
            <w:webHidden/>
          </w:rPr>
          <w:instrText xml:space="preserve"> PAGEREF _Toc420814995 \h </w:instrText>
        </w:r>
        <w:r>
          <w:rPr>
            <w:noProof/>
            <w:webHidden/>
          </w:rPr>
        </w:r>
        <w:r>
          <w:rPr>
            <w:noProof/>
            <w:webHidden/>
          </w:rPr>
          <w:fldChar w:fldCharType="separate"/>
        </w:r>
        <w:r>
          <w:rPr>
            <w:noProof/>
            <w:webHidden/>
          </w:rPr>
          <w:t>283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6" w:history="1">
        <w:r w:rsidRPr="00775B91">
          <w:rPr>
            <w:rStyle w:val="a5"/>
            <w:noProof/>
          </w:rPr>
          <w:t>Title: Circulation</w:t>
        </w:r>
        <w:r>
          <w:rPr>
            <w:noProof/>
            <w:webHidden/>
          </w:rPr>
          <w:tab/>
        </w:r>
        <w:r>
          <w:rPr>
            <w:noProof/>
            <w:webHidden/>
          </w:rPr>
          <w:fldChar w:fldCharType="begin"/>
        </w:r>
        <w:r>
          <w:rPr>
            <w:noProof/>
            <w:webHidden/>
          </w:rPr>
          <w:instrText xml:space="preserve"> PAGEREF _Toc420814996 \h </w:instrText>
        </w:r>
        <w:r>
          <w:rPr>
            <w:noProof/>
            <w:webHidden/>
          </w:rPr>
        </w:r>
        <w:r>
          <w:rPr>
            <w:noProof/>
            <w:webHidden/>
          </w:rPr>
          <w:fldChar w:fldCharType="separate"/>
        </w:r>
        <w:r>
          <w:rPr>
            <w:noProof/>
            <w:webHidden/>
          </w:rPr>
          <w:t>290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7" w:history="1">
        <w:r w:rsidRPr="00775B91">
          <w:rPr>
            <w:rStyle w:val="a5"/>
            <w:noProof/>
          </w:rPr>
          <w:t>Title: Circulation-Cardiovascular Imaging</w:t>
        </w:r>
        <w:r>
          <w:rPr>
            <w:noProof/>
            <w:webHidden/>
          </w:rPr>
          <w:tab/>
        </w:r>
        <w:r>
          <w:rPr>
            <w:noProof/>
            <w:webHidden/>
          </w:rPr>
          <w:fldChar w:fldCharType="begin"/>
        </w:r>
        <w:r>
          <w:rPr>
            <w:noProof/>
            <w:webHidden/>
          </w:rPr>
          <w:instrText xml:space="preserve"> PAGEREF _Toc420814997 \h </w:instrText>
        </w:r>
        <w:r>
          <w:rPr>
            <w:noProof/>
            <w:webHidden/>
          </w:rPr>
        </w:r>
        <w:r>
          <w:rPr>
            <w:noProof/>
            <w:webHidden/>
          </w:rPr>
          <w:fldChar w:fldCharType="separate"/>
        </w:r>
        <w:r>
          <w:rPr>
            <w:noProof/>
            <w:webHidden/>
          </w:rPr>
          <w:t>296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8" w:history="1">
        <w:r w:rsidRPr="00775B91">
          <w:rPr>
            <w:rStyle w:val="a5"/>
            <w:noProof/>
          </w:rPr>
          <w:t>Title: Circulation: Cardiovascular Quality and Outcomes</w:t>
        </w:r>
        <w:r>
          <w:rPr>
            <w:noProof/>
            <w:webHidden/>
          </w:rPr>
          <w:tab/>
        </w:r>
        <w:r>
          <w:rPr>
            <w:noProof/>
            <w:webHidden/>
          </w:rPr>
          <w:fldChar w:fldCharType="begin"/>
        </w:r>
        <w:r>
          <w:rPr>
            <w:noProof/>
            <w:webHidden/>
          </w:rPr>
          <w:instrText xml:space="preserve"> PAGEREF _Toc420814998 \h </w:instrText>
        </w:r>
        <w:r>
          <w:rPr>
            <w:noProof/>
            <w:webHidden/>
          </w:rPr>
        </w:r>
        <w:r>
          <w:rPr>
            <w:noProof/>
            <w:webHidden/>
          </w:rPr>
          <w:fldChar w:fldCharType="separate"/>
        </w:r>
        <w:r>
          <w:rPr>
            <w:noProof/>
            <w:webHidden/>
          </w:rPr>
          <w:t>298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4999" w:history="1">
        <w:r w:rsidRPr="00775B91">
          <w:rPr>
            <w:rStyle w:val="a5"/>
            <w:noProof/>
          </w:rPr>
          <w:t>Title: Circulation Research</w:t>
        </w:r>
        <w:r>
          <w:rPr>
            <w:noProof/>
            <w:webHidden/>
          </w:rPr>
          <w:tab/>
        </w:r>
        <w:r>
          <w:rPr>
            <w:noProof/>
            <w:webHidden/>
          </w:rPr>
          <w:fldChar w:fldCharType="begin"/>
        </w:r>
        <w:r>
          <w:rPr>
            <w:noProof/>
            <w:webHidden/>
          </w:rPr>
          <w:instrText xml:space="preserve"> PAGEREF _Toc420814999 \h </w:instrText>
        </w:r>
        <w:r>
          <w:rPr>
            <w:noProof/>
            <w:webHidden/>
          </w:rPr>
        </w:r>
        <w:r>
          <w:rPr>
            <w:noProof/>
            <w:webHidden/>
          </w:rPr>
          <w:fldChar w:fldCharType="separate"/>
        </w:r>
        <w:r>
          <w:rPr>
            <w:noProof/>
            <w:webHidden/>
          </w:rPr>
          <w:t>301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0" w:history="1">
        <w:r w:rsidRPr="00775B91">
          <w:rPr>
            <w:rStyle w:val="a5"/>
            <w:noProof/>
          </w:rPr>
          <w:t>Title: Cirugía Española</w:t>
        </w:r>
        <w:r>
          <w:rPr>
            <w:noProof/>
            <w:webHidden/>
          </w:rPr>
          <w:tab/>
        </w:r>
        <w:r>
          <w:rPr>
            <w:noProof/>
            <w:webHidden/>
          </w:rPr>
          <w:fldChar w:fldCharType="begin"/>
        </w:r>
        <w:r>
          <w:rPr>
            <w:noProof/>
            <w:webHidden/>
          </w:rPr>
          <w:instrText xml:space="preserve"> PAGEREF _Toc420815000 \h </w:instrText>
        </w:r>
        <w:r>
          <w:rPr>
            <w:noProof/>
            <w:webHidden/>
          </w:rPr>
        </w:r>
        <w:r>
          <w:rPr>
            <w:noProof/>
            <w:webHidden/>
          </w:rPr>
          <w:fldChar w:fldCharType="separate"/>
        </w:r>
        <w:r>
          <w:rPr>
            <w:noProof/>
            <w:webHidden/>
          </w:rPr>
          <w:t>305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1" w:history="1">
        <w:r w:rsidRPr="00775B91">
          <w:rPr>
            <w:rStyle w:val="a5"/>
            <w:noProof/>
          </w:rPr>
          <w:t>Title: Cirugia Pediatr</w:t>
        </w:r>
        <w:r>
          <w:rPr>
            <w:noProof/>
            <w:webHidden/>
          </w:rPr>
          <w:tab/>
        </w:r>
        <w:r>
          <w:rPr>
            <w:noProof/>
            <w:webHidden/>
          </w:rPr>
          <w:fldChar w:fldCharType="begin"/>
        </w:r>
        <w:r>
          <w:rPr>
            <w:noProof/>
            <w:webHidden/>
          </w:rPr>
          <w:instrText xml:space="preserve"> PAGEREF _Toc420815001 \h </w:instrText>
        </w:r>
        <w:r>
          <w:rPr>
            <w:noProof/>
            <w:webHidden/>
          </w:rPr>
        </w:r>
        <w:r>
          <w:rPr>
            <w:noProof/>
            <w:webHidden/>
          </w:rPr>
          <w:fldChar w:fldCharType="separate"/>
        </w:r>
        <w:r>
          <w:rPr>
            <w:noProof/>
            <w:webHidden/>
          </w:rPr>
          <w:t>307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2" w:history="1">
        <w:r w:rsidRPr="00775B91">
          <w:rPr>
            <w:rStyle w:val="a5"/>
            <w:noProof/>
          </w:rPr>
          <w:t>Title: Cities</w:t>
        </w:r>
        <w:r>
          <w:rPr>
            <w:noProof/>
            <w:webHidden/>
          </w:rPr>
          <w:tab/>
        </w:r>
        <w:r>
          <w:rPr>
            <w:noProof/>
            <w:webHidden/>
          </w:rPr>
          <w:fldChar w:fldCharType="begin"/>
        </w:r>
        <w:r>
          <w:rPr>
            <w:noProof/>
            <w:webHidden/>
          </w:rPr>
          <w:instrText xml:space="preserve"> PAGEREF _Toc420815002 \h </w:instrText>
        </w:r>
        <w:r>
          <w:rPr>
            <w:noProof/>
            <w:webHidden/>
          </w:rPr>
        </w:r>
        <w:r>
          <w:rPr>
            <w:noProof/>
            <w:webHidden/>
          </w:rPr>
          <w:fldChar w:fldCharType="separate"/>
        </w:r>
        <w:r>
          <w:rPr>
            <w:noProof/>
            <w:webHidden/>
          </w:rPr>
          <w:t>309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3" w:history="1">
        <w:r w:rsidRPr="00775B91">
          <w:rPr>
            <w:rStyle w:val="a5"/>
            <w:noProof/>
          </w:rPr>
          <w:t>Title: Classical Philology</w:t>
        </w:r>
        <w:r>
          <w:rPr>
            <w:noProof/>
            <w:webHidden/>
          </w:rPr>
          <w:tab/>
        </w:r>
        <w:r>
          <w:rPr>
            <w:noProof/>
            <w:webHidden/>
          </w:rPr>
          <w:fldChar w:fldCharType="begin"/>
        </w:r>
        <w:r>
          <w:rPr>
            <w:noProof/>
            <w:webHidden/>
          </w:rPr>
          <w:instrText xml:space="preserve"> PAGEREF _Toc420815003 \h </w:instrText>
        </w:r>
        <w:r>
          <w:rPr>
            <w:noProof/>
            <w:webHidden/>
          </w:rPr>
        </w:r>
        <w:r>
          <w:rPr>
            <w:noProof/>
            <w:webHidden/>
          </w:rPr>
          <w:fldChar w:fldCharType="separate"/>
        </w:r>
        <w:r>
          <w:rPr>
            <w:noProof/>
            <w:webHidden/>
          </w:rPr>
          <w:t>311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4" w:history="1">
        <w:r w:rsidRPr="00775B91">
          <w:rPr>
            <w:rStyle w:val="a5"/>
            <w:noProof/>
          </w:rPr>
          <w:t>Title: Classical Review</w:t>
        </w:r>
        <w:r>
          <w:rPr>
            <w:noProof/>
            <w:webHidden/>
          </w:rPr>
          <w:tab/>
        </w:r>
        <w:r>
          <w:rPr>
            <w:noProof/>
            <w:webHidden/>
          </w:rPr>
          <w:fldChar w:fldCharType="begin"/>
        </w:r>
        <w:r>
          <w:rPr>
            <w:noProof/>
            <w:webHidden/>
          </w:rPr>
          <w:instrText xml:space="preserve"> PAGEREF _Toc420815004 \h </w:instrText>
        </w:r>
        <w:r>
          <w:rPr>
            <w:noProof/>
            <w:webHidden/>
          </w:rPr>
        </w:r>
        <w:r>
          <w:rPr>
            <w:noProof/>
            <w:webHidden/>
          </w:rPr>
          <w:fldChar w:fldCharType="separate"/>
        </w:r>
        <w:r>
          <w:rPr>
            <w:noProof/>
            <w:webHidden/>
          </w:rPr>
          <w:t>312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5" w:history="1">
        <w:r w:rsidRPr="00775B91">
          <w:rPr>
            <w:rStyle w:val="a5"/>
            <w:noProof/>
          </w:rPr>
          <w:t>Title: Climacteric</w:t>
        </w:r>
        <w:r>
          <w:rPr>
            <w:noProof/>
            <w:webHidden/>
          </w:rPr>
          <w:tab/>
        </w:r>
        <w:r>
          <w:rPr>
            <w:noProof/>
            <w:webHidden/>
          </w:rPr>
          <w:fldChar w:fldCharType="begin"/>
        </w:r>
        <w:r>
          <w:rPr>
            <w:noProof/>
            <w:webHidden/>
          </w:rPr>
          <w:instrText xml:space="preserve"> PAGEREF _Toc420815005 \h </w:instrText>
        </w:r>
        <w:r>
          <w:rPr>
            <w:noProof/>
            <w:webHidden/>
          </w:rPr>
        </w:r>
        <w:r>
          <w:rPr>
            <w:noProof/>
            <w:webHidden/>
          </w:rPr>
          <w:fldChar w:fldCharType="separate"/>
        </w:r>
        <w:r>
          <w:rPr>
            <w:noProof/>
            <w:webHidden/>
          </w:rPr>
          <w:t>313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6" w:history="1">
        <w:r w:rsidRPr="00775B91">
          <w:rPr>
            <w:rStyle w:val="a5"/>
            <w:noProof/>
          </w:rPr>
          <w:t>Title: Climate Research</w:t>
        </w:r>
        <w:r>
          <w:rPr>
            <w:noProof/>
            <w:webHidden/>
          </w:rPr>
          <w:tab/>
        </w:r>
        <w:r>
          <w:rPr>
            <w:noProof/>
            <w:webHidden/>
          </w:rPr>
          <w:fldChar w:fldCharType="begin"/>
        </w:r>
        <w:r>
          <w:rPr>
            <w:noProof/>
            <w:webHidden/>
          </w:rPr>
          <w:instrText xml:space="preserve"> PAGEREF _Toc420815006 \h </w:instrText>
        </w:r>
        <w:r>
          <w:rPr>
            <w:noProof/>
            <w:webHidden/>
          </w:rPr>
        </w:r>
        <w:r>
          <w:rPr>
            <w:noProof/>
            <w:webHidden/>
          </w:rPr>
          <w:fldChar w:fldCharType="separate"/>
        </w:r>
        <w:r>
          <w:rPr>
            <w:noProof/>
            <w:webHidden/>
          </w:rPr>
          <w:t>318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7" w:history="1">
        <w:r w:rsidRPr="00775B91">
          <w:rPr>
            <w:rStyle w:val="a5"/>
            <w:noProof/>
          </w:rPr>
          <w:t>Title: Climatic Change</w:t>
        </w:r>
        <w:r>
          <w:rPr>
            <w:noProof/>
            <w:webHidden/>
          </w:rPr>
          <w:tab/>
        </w:r>
        <w:r>
          <w:rPr>
            <w:noProof/>
            <w:webHidden/>
          </w:rPr>
          <w:fldChar w:fldCharType="begin"/>
        </w:r>
        <w:r>
          <w:rPr>
            <w:noProof/>
            <w:webHidden/>
          </w:rPr>
          <w:instrText xml:space="preserve"> PAGEREF _Toc420815007 \h </w:instrText>
        </w:r>
        <w:r>
          <w:rPr>
            <w:noProof/>
            <w:webHidden/>
          </w:rPr>
        </w:r>
        <w:r>
          <w:rPr>
            <w:noProof/>
            <w:webHidden/>
          </w:rPr>
          <w:fldChar w:fldCharType="separate"/>
        </w:r>
        <w:r>
          <w:rPr>
            <w:noProof/>
            <w:webHidden/>
          </w:rPr>
          <w:t>319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8" w:history="1">
        <w:r w:rsidRPr="00775B91">
          <w:rPr>
            <w:rStyle w:val="a5"/>
            <w:noProof/>
          </w:rPr>
          <w:t>Title: Clinica Chimica Acta</w:t>
        </w:r>
        <w:r>
          <w:rPr>
            <w:noProof/>
            <w:webHidden/>
          </w:rPr>
          <w:tab/>
        </w:r>
        <w:r>
          <w:rPr>
            <w:noProof/>
            <w:webHidden/>
          </w:rPr>
          <w:fldChar w:fldCharType="begin"/>
        </w:r>
        <w:r>
          <w:rPr>
            <w:noProof/>
            <w:webHidden/>
          </w:rPr>
          <w:instrText xml:space="preserve"> PAGEREF _Toc420815008 \h </w:instrText>
        </w:r>
        <w:r>
          <w:rPr>
            <w:noProof/>
            <w:webHidden/>
          </w:rPr>
        </w:r>
        <w:r>
          <w:rPr>
            <w:noProof/>
            <w:webHidden/>
          </w:rPr>
          <w:fldChar w:fldCharType="separate"/>
        </w:r>
        <w:r>
          <w:rPr>
            <w:noProof/>
            <w:webHidden/>
          </w:rPr>
          <w:t>321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09" w:history="1">
        <w:r w:rsidRPr="00775B91">
          <w:rPr>
            <w:rStyle w:val="a5"/>
            <w:noProof/>
          </w:rPr>
          <w:t>Title: Clinica Terapeutica</w:t>
        </w:r>
        <w:r>
          <w:rPr>
            <w:noProof/>
            <w:webHidden/>
          </w:rPr>
          <w:tab/>
        </w:r>
        <w:r>
          <w:rPr>
            <w:noProof/>
            <w:webHidden/>
          </w:rPr>
          <w:fldChar w:fldCharType="begin"/>
        </w:r>
        <w:r>
          <w:rPr>
            <w:noProof/>
            <w:webHidden/>
          </w:rPr>
          <w:instrText xml:space="preserve"> PAGEREF _Toc420815009 \h </w:instrText>
        </w:r>
        <w:r>
          <w:rPr>
            <w:noProof/>
            <w:webHidden/>
          </w:rPr>
        </w:r>
        <w:r>
          <w:rPr>
            <w:noProof/>
            <w:webHidden/>
          </w:rPr>
          <w:fldChar w:fldCharType="separate"/>
        </w:r>
        <w:r>
          <w:rPr>
            <w:noProof/>
            <w:webHidden/>
          </w:rPr>
          <w:t>324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0" w:history="1">
        <w:r w:rsidRPr="00775B91">
          <w:rPr>
            <w:rStyle w:val="a5"/>
            <w:noProof/>
          </w:rPr>
          <w:t>Title: Clinical Anatomy</w:t>
        </w:r>
        <w:r>
          <w:rPr>
            <w:noProof/>
            <w:webHidden/>
          </w:rPr>
          <w:tab/>
        </w:r>
        <w:r>
          <w:rPr>
            <w:noProof/>
            <w:webHidden/>
          </w:rPr>
          <w:fldChar w:fldCharType="begin"/>
        </w:r>
        <w:r>
          <w:rPr>
            <w:noProof/>
            <w:webHidden/>
          </w:rPr>
          <w:instrText xml:space="preserve"> PAGEREF _Toc420815010 \h </w:instrText>
        </w:r>
        <w:r>
          <w:rPr>
            <w:noProof/>
            <w:webHidden/>
          </w:rPr>
        </w:r>
        <w:r>
          <w:rPr>
            <w:noProof/>
            <w:webHidden/>
          </w:rPr>
          <w:fldChar w:fldCharType="separate"/>
        </w:r>
        <w:r>
          <w:rPr>
            <w:noProof/>
            <w:webHidden/>
          </w:rPr>
          <w:t>326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1" w:history="1">
        <w:r w:rsidRPr="00775B91">
          <w:rPr>
            <w:rStyle w:val="a5"/>
            <w:noProof/>
          </w:rPr>
          <w:t>Title: Clinical and Applied Thrombosis-Hemostasis</w:t>
        </w:r>
        <w:r>
          <w:rPr>
            <w:noProof/>
            <w:webHidden/>
          </w:rPr>
          <w:tab/>
        </w:r>
        <w:r>
          <w:rPr>
            <w:noProof/>
            <w:webHidden/>
          </w:rPr>
          <w:fldChar w:fldCharType="begin"/>
        </w:r>
        <w:r>
          <w:rPr>
            <w:noProof/>
            <w:webHidden/>
          </w:rPr>
          <w:instrText xml:space="preserve"> PAGEREF _Toc420815011 \h </w:instrText>
        </w:r>
        <w:r>
          <w:rPr>
            <w:noProof/>
            <w:webHidden/>
          </w:rPr>
        </w:r>
        <w:r>
          <w:rPr>
            <w:noProof/>
            <w:webHidden/>
          </w:rPr>
          <w:fldChar w:fldCharType="separate"/>
        </w:r>
        <w:r>
          <w:rPr>
            <w:noProof/>
            <w:webHidden/>
          </w:rPr>
          <w:t>330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2" w:history="1">
        <w:r w:rsidRPr="00775B91">
          <w:rPr>
            <w:rStyle w:val="a5"/>
            <w:noProof/>
          </w:rPr>
          <w:t>Title: Clinical Biochemistry</w:t>
        </w:r>
        <w:r>
          <w:rPr>
            <w:noProof/>
            <w:webHidden/>
          </w:rPr>
          <w:tab/>
        </w:r>
        <w:r>
          <w:rPr>
            <w:noProof/>
            <w:webHidden/>
          </w:rPr>
          <w:fldChar w:fldCharType="begin"/>
        </w:r>
        <w:r>
          <w:rPr>
            <w:noProof/>
            <w:webHidden/>
          </w:rPr>
          <w:instrText xml:space="preserve"> PAGEREF _Toc420815012 \h </w:instrText>
        </w:r>
        <w:r>
          <w:rPr>
            <w:noProof/>
            <w:webHidden/>
          </w:rPr>
        </w:r>
        <w:r>
          <w:rPr>
            <w:noProof/>
            <w:webHidden/>
          </w:rPr>
          <w:fldChar w:fldCharType="separate"/>
        </w:r>
        <w:r>
          <w:rPr>
            <w:noProof/>
            <w:webHidden/>
          </w:rPr>
          <w:t>331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3" w:history="1">
        <w:r w:rsidRPr="00775B91">
          <w:rPr>
            <w:rStyle w:val="a5"/>
            <w:noProof/>
          </w:rPr>
          <w:t>Title: Clinical Biomechanics</w:t>
        </w:r>
        <w:r>
          <w:rPr>
            <w:noProof/>
            <w:webHidden/>
          </w:rPr>
          <w:tab/>
        </w:r>
        <w:r>
          <w:rPr>
            <w:noProof/>
            <w:webHidden/>
          </w:rPr>
          <w:fldChar w:fldCharType="begin"/>
        </w:r>
        <w:r>
          <w:rPr>
            <w:noProof/>
            <w:webHidden/>
          </w:rPr>
          <w:instrText xml:space="preserve"> PAGEREF _Toc420815013 \h </w:instrText>
        </w:r>
        <w:r>
          <w:rPr>
            <w:noProof/>
            <w:webHidden/>
          </w:rPr>
        </w:r>
        <w:r>
          <w:rPr>
            <w:noProof/>
            <w:webHidden/>
          </w:rPr>
          <w:fldChar w:fldCharType="separate"/>
        </w:r>
        <w:r>
          <w:rPr>
            <w:noProof/>
            <w:webHidden/>
          </w:rPr>
          <w:t>334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4" w:history="1">
        <w:r w:rsidRPr="00775B91">
          <w:rPr>
            <w:rStyle w:val="a5"/>
            <w:noProof/>
          </w:rPr>
          <w:t>Title: Clinical Cancer Research</w:t>
        </w:r>
        <w:r>
          <w:rPr>
            <w:noProof/>
            <w:webHidden/>
          </w:rPr>
          <w:tab/>
        </w:r>
        <w:r>
          <w:rPr>
            <w:noProof/>
            <w:webHidden/>
          </w:rPr>
          <w:fldChar w:fldCharType="begin"/>
        </w:r>
        <w:r>
          <w:rPr>
            <w:noProof/>
            <w:webHidden/>
          </w:rPr>
          <w:instrText xml:space="preserve"> PAGEREF _Toc420815014 \h </w:instrText>
        </w:r>
        <w:r>
          <w:rPr>
            <w:noProof/>
            <w:webHidden/>
          </w:rPr>
        </w:r>
        <w:r>
          <w:rPr>
            <w:noProof/>
            <w:webHidden/>
          </w:rPr>
          <w:fldChar w:fldCharType="separate"/>
        </w:r>
        <w:r>
          <w:rPr>
            <w:noProof/>
            <w:webHidden/>
          </w:rPr>
          <w:t>338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5" w:history="1">
        <w:r w:rsidRPr="00775B91">
          <w:rPr>
            <w:rStyle w:val="a5"/>
            <w:noProof/>
          </w:rPr>
          <w:t>Title: Clinical Cardiology</w:t>
        </w:r>
        <w:r>
          <w:rPr>
            <w:noProof/>
            <w:webHidden/>
          </w:rPr>
          <w:tab/>
        </w:r>
        <w:r>
          <w:rPr>
            <w:noProof/>
            <w:webHidden/>
          </w:rPr>
          <w:fldChar w:fldCharType="begin"/>
        </w:r>
        <w:r>
          <w:rPr>
            <w:noProof/>
            <w:webHidden/>
          </w:rPr>
          <w:instrText xml:space="preserve"> PAGEREF _Toc420815015 \h </w:instrText>
        </w:r>
        <w:r>
          <w:rPr>
            <w:noProof/>
            <w:webHidden/>
          </w:rPr>
        </w:r>
        <w:r>
          <w:rPr>
            <w:noProof/>
            <w:webHidden/>
          </w:rPr>
          <w:fldChar w:fldCharType="separate"/>
        </w:r>
        <w:r>
          <w:rPr>
            <w:noProof/>
            <w:webHidden/>
          </w:rPr>
          <w:t>341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6" w:history="1">
        <w:r w:rsidRPr="00775B91">
          <w:rPr>
            <w:rStyle w:val="a5"/>
            <w:noProof/>
          </w:rPr>
          <w:t>Title: Clinical Chemistry</w:t>
        </w:r>
        <w:r>
          <w:rPr>
            <w:noProof/>
            <w:webHidden/>
          </w:rPr>
          <w:tab/>
        </w:r>
        <w:r>
          <w:rPr>
            <w:noProof/>
            <w:webHidden/>
          </w:rPr>
          <w:fldChar w:fldCharType="begin"/>
        </w:r>
        <w:r>
          <w:rPr>
            <w:noProof/>
            <w:webHidden/>
          </w:rPr>
          <w:instrText xml:space="preserve"> PAGEREF _Toc420815016 \h </w:instrText>
        </w:r>
        <w:r>
          <w:rPr>
            <w:noProof/>
            <w:webHidden/>
          </w:rPr>
        </w:r>
        <w:r>
          <w:rPr>
            <w:noProof/>
            <w:webHidden/>
          </w:rPr>
          <w:fldChar w:fldCharType="separate"/>
        </w:r>
        <w:r>
          <w:rPr>
            <w:noProof/>
            <w:webHidden/>
          </w:rPr>
          <w:t>343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7" w:history="1">
        <w:r w:rsidRPr="00775B91">
          <w:rPr>
            <w:rStyle w:val="a5"/>
            <w:noProof/>
          </w:rPr>
          <w:t>Title: Clinical Chemistry and Laboratory Medicine</w:t>
        </w:r>
        <w:r>
          <w:rPr>
            <w:noProof/>
            <w:webHidden/>
          </w:rPr>
          <w:tab/>
        </w:r>
        <w:r>
          <w:rPr>
            <w:noProof/>
            <w:webHidden/>
          </w:rPr>
          <w:fldChar w:fldCharType="begin"/>
        </w:r>
        <w:r>
          <w:rPr>
            <w:noProof/>
            <w:webHidden/>
          </w:rPr>
          <w:instrText xml:space="preserve"> PAGEREF _Toc420815017 \h </w:instrText>
        </w:r>
        <w:r>
          <w:rPr>
            <w:noProof/>
            <w:webHidden/>
          </w:rPr>
        </w:r>
        <w:r>
          <w:rPr>
            <w:noProof/>
            <w:webHidden/>
          </w:rPr>
          <w:fldChar w:fldCharType="separate"/>
        </w:r>
        <w:r>
          <w:rPr>
            <w:noProof/>
            <w:webHidden/>
          </w:rPr>
          <w:t>347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8" w:history="1">
        <w:r w:rsidRPr="00775B91">
          <w:rPr>
            <w:rStyle w:val="a5"/>
            <w:noProof/>
          </w:rPr>
          <w:t>Title: Clinical Endocrinology</w:t>
        </w:r>
        <w:r>
          <w:rPr>
            <w:noProof/>
            <w:webHidden/>
          </w:rPr>
          <w:tab/>
        </w:r>
        <w:r>
          <w:rPr>
            <w:noProof/>
            <w:webHidden/>
          </w:rPr>
          <w:fldChar w:fldCharType="begin"/>
        </w:r>
        <w:r>
          <w:rPr>
            <w:noProof/>
            <w:webHidden/>
          </w:rPr>
          <w:instrText xml:space="preserve"> PAGEREF _Toc420815018 \h </w:instrText>
        </w:r>
        <w:r>
          <w:rPr>
            <w:noProof/>
            <w:webHidden/>
          </w:rPr>
        </w:r>
        <w:r>
          <w:rPr>
            <w:noProof/>
            <w:webHidden/>
          </w:rPr>
          <w:fldChar w:fldCharType="separate"/>
        </w:r>
        <w:r>
          <w:rPr>
            <w:noProof/>
            <w:webHidden/>
          </w:rPr>
          <w:t>350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19" w:history="1">
        <w:r w:rsidRPr="00775B91">
          <w:rPr>
            <w:rStyle w:val="a5"/>
            <w:noProof/>
          </w:rPr>
          <w:t>Title: Clinical and Experimental Allergy</w:t>
        </w:r>
        <w:r>
          <w:rPr>
            <w:noProof/>
            <w:webHidden/>
          </w:rPr>
          <w:tab/>
        </w:r>
        <w:r>
          <w:rPr>
            <w:noProof/>
            <w:webHidden/>
          </w:rPr>
          <w:fldChar w:fldCharType="begin"/>
        </w:r>
        <w:r>
          <w:rPr>
            <w:noProof/>
            <w:webHidden/>
          </w:rPr>
          <w:instrText xml:space="preserve"> PAGEREF _Toc420815019 \h </w:instrText>
        </w:r>
        <w:r>
          <w:rPr>
            <w:noProof/>
            <w:webHidden/>
          </w:rPr>
        </w:r>
        <w:r>
          <w:rPr>
            <w:noProof/>
            <w:webHidden/>
          </w:rPr>
          <w:fldChar w:fldCharType="separate"/>
        </w:r>
        <w:r>
          <w:rPr>
            <w:noProof/>
            <w:webHidden/>
          </w:rPr>
          <w:t>353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0" w:history="1">
        <w:r w:rsidRPr="00775B91">
          <w:rPr>
            <w:rStyle w:val="a5"/>
            <w:noProof/>
          </w:rPr>
          <w:t>Title: Clinical and Experimental Dermatology</w:t>
        </w:r>
        <w:r>
          <w:rPr>
            <w:noProof/>
            <w:webHidden/>
          </w:rPr>
          <w:tab/>
        </w:r>
        <w:r>
          <w:rPr>
            <w:noProof/>
            <w:webHidden/>
          </w:rPr>
          <w:fldChar w:fldCharType="begin"/>
        </w:r>
        <w:r>
          <w:rPr>
            <w:noProof/>
            <w:webHidden/>
          </w:rPr>
          <w:instrText xml:space="preserve"> PAGEREF _Toc420815020 \h </w:instrText>
        </w:r>
        <w:r>
          <w:rPr>
            <w:noProof/>
            <w:webHidden/>
          </w:rPr>
        </w:r>
        <w:r>
          <w:rPr>
            <w:noProof/>
            <w:webHidden/>
          </w:rPr>
          <w:fldChar w:fldCharType="separate"/>
        </w:r>
        <w:r>
          <w:rPr>
            <w:noProof/>
            <w:webHidden/>
          </w:rPr>
          <w:t>356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1" w:history="1">
        <w:r w:rsidRPr="00775B91">
          <w:rPr>
            <w:rStyle w:val="a5"/>
            <w:noProof/>
          </w:rPr>
          <w:t>Title: Clinical &amp; Experimental Metastasis</w:t>
        </w:r>
        <w:r>
          <w:rPr>
            <w:noProof/>
            <w:webHidden/>
          </w:rPr>
          <w:tab/>
        </w:r>
        <w:r>
          <w:rPr>
            <w:noProof/>
            <w:webHidden/>
          </w:rPr>
          <w:fldChar w:fldCharType="begin"/>
        </w:r>
        <w:r>
          <w:rPr>
            <w:noProof/>
            <w:webHidden/>
          </w:rPr>
          <w:instrText xml:space="preserve"> PAGEREF _Toc420815021 \h </w:instrText>
        </w:r>
        <w:r>
          <w:rPr>
            <w:noProof/>
            <w:webHidden/>
          </w:rPr>
        </w:r>
        <w:r>
          <w:rPr>
            <w:noProof/>
            <w:webHidden/>
          </w:rPr>
          <w:fldChar w:fldCharType="separate"/>
        </w:r>
        <w:r>
          <w:rPr>
            <w:noProof/>
            <w:webHidden/>
          </w:rPr>
          <w:t>358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2" w:history="1">
        <w:r w:rsidRPr="00775B91">
          <w:rPr>
            <w:rStyle w:val="a5"/>
            <w:noProof/>
          </w:rPr>
          <w:t>Title: Clinical and Experimental Ophthalmology</w:t>
        </w:r>
        <w:r>
          <w:rPr>
            <w:noProof/>
            <w:webHidden/>
          </w:rPr>
          <w:tab/>
        </w:r>
        <w:r>
          <w:rPr>
            <w:noProof/>
            <w:webHidden/>
          </w:rPr>
          <w:fldChar w:fldCharType="begin"/>
        </w:r>
        <w:r>
          <w:rPr>
            <w:noProof/>
            <w:webHidden/>
          </w:rPr>
          <w:instrText xml:space="preserve"> PAGEREF _Toc420815022 \h </w:instrText>
        </w:r>
        <w:r>
          <w:rPr>
            <w:noProof/>
            <w:webHidden/>
          </w:rPr>
        </w:r>
        <w:r>
          <w:rPr>
            <w:noProof/>
            <w:webHidden/>
          </w:rPr>
          <w:fldChar w:fldCharType="separate"/>
        </w:r>
        <w:r>
          <w:rPr>
            <w:noProof/>
            <w:webHidden/>
          </w:rPr>
          <w:t>360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3" w:history="1">
        <w:r w:rsidRPr="00775B91">
          <w:rPr>
            <w:rStyle w:val="a5"/>
            <w:noProof/>
          </w:rPr>
          <w:t>Title: Clinical and Experimental Rheumatology</w:t>
        </w:r>
        <w:r>
          <w:rPr>
            <w:noProof/>
            <w:webHidden/>
          </w:rPr>
          <w:tab/>
        </w:r>
        <w:r>
          <w:rPr>
            <w:noProof/>
            <w:webHidden/>
          </w:rPr>
          <w:fldChar w:fldCharType="begin"/>
        </w:r>
        <w:r>
          <w:rPr>
            <w:noProof/>
            <w:webHidden/>
          </w:rPr>
          <w:instrText xml:space="preserve"> PAGEREF _Toc420815023 \h </w:instrText>
        </w:r>
        <w:r>
          <w:rPr>
            <w:noProof/>
            <w:webHidden/>
          </w:rPr>
        </w:r>
        <w:r>
          <w:rPr>
            <w:noProof/>
            <w:webHidden/>
          </w:rPr>
          <w:fldChar w:fldCharType="separate"/>
        </w:r>
        <w:r>
          <w:rPr>
            <w:noProof/>
            <w:webHidden/>
          </w:rPr>
          <w:t>366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4" w:history="1">
        <w:r w:rsidRPr="00775B91">
          <w:rPr>
            <w:rStyle w:val="a5"/>
            <w:noProof/>
          </w:rPr>
          <w:t>Title: Clinical Gastroenterology and Hepatology</w:t>
        </w:r>
        <w:r>
          <w:rPr>
            <w:noProof/>
            <w:webHidden/>
          </w:rPr>
          <w:tab/>
        </w:r>
        <w:r>
          <w:rPr>
            <w:noProof/>
            <w:webHidden/>
          </w:rPr>
          <w:fldChar w:fldCharType="begin"/>
        </w:r>
        <w:r>
          <w:rPr>
            <w:noProof/>
            <w:webHidden/>
          </w:rPr>
          <w:instrText xml:space="preserve"> PAGEREF _Toc420815024 \h </w:instrText>
        </w:r>
        <w:r>
          <w:rPr>
            <w:noProof/>
            <w:webHidden/>
          </w:rPr>
        </w:r>
        <w:r>
          <w:rPr>
            <w:noProof/>
            <w:webHidden/>
          </w:rPr>
          <w:fldChar w:fldCharType="separate"/>
        </w:r>
        <w:r>
          <w:rPr>
            <w:noProof/>
            <w:webHidden/>
          </w:rPr>
          <w:t>368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5" w:history="1">
        <w:r w:rsidRPr="00775B91">
          <w:rPr>
            <w:rStyle w:val="a5"/>
            <w:noProof/>
          </w:rPr>
          <w:t>Title: Clinical Genetics</w:t>
        </w:r>
        <w:r>
          <w:rPr>
            <w:noProof/>
            <w:webHidden/>
          </w:rPr>
          <w:tab/>
        </w:r>
        <w:r>
          <w:rPr>
            <w:noProof/>
            <w:webHidden/>
          </w:rPr>
          <w:fldChar w:fldCharType="begin"/>
        </w:r>
        <w:r>
          <w:rPr>
            <w:noProof/>
            <w:webHidden/>
          </w:rPr>
          <w:instrText xml:space="preserve"> PAGEREF _Toc420815025 \h </w:instrText>
        </w:r>
        <w:r>
          <w:rPr>
            <w:noProof/>
            <w:webHidden/>
          </w:rPr>
        </w:r>
        <w:r>
          <w:rPr>
            <w:noProof/>
            <w:webHidden/>
          </w:rPr>
          <w:fldChar w:fldCharType="separate"/>
        </w:r>
        <w:r>
          <w:rPr>
            <w:noProof/>
            <w:webHidden/>
          </w:rPr>
          <w:t>372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6" w:history="1">
        <w:r w:rsidRPr="00775B91">
          <w:rPr>
            <w:rStyle w:val="a5"/>
            <w:noProof/>
          </w:rPr>
          <w:t>Title: Clinical Genitourinary Cancer</w:t>
        </w:r>
        <w:r>
          <w:rPr>
            <w:noProof/>
            <w:webHidden/>
          </w:rPr>
          <w:tab/>
        </w:r>
        <w:r>
          <w:rPr>
            <w:noProof/>
            <w:webHidden/>
          </w:rPr>
          <w:fldChar w:fldCharType="begin"/>
        </w:r>
        <w:r>
          <w:rPr>
            <w:noProof/>
            <w:webHidden/>
          </w:rPr>
          <w:instrText xml:space="preserve"> PAGEREF _Toc420815026 \h </w:instrText>
        </w:r>
        <w:r>
          <w:rPr>
            <w:noProof/>
            <w:webHidden/>
          </w:rPr>
        </w:r>
        <w:r>
          <w:rPr>
            <w:noProof/>
            <w:webHidden/>
          </w:rPr>
          <w:fldChar w:fldCharType="separate"/>
        </w:r>
        <w:r>
          <w:rPr>
            <w:noProof/>
            <w:webHidden/>
          </w:rPr>
          <w:t>374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7" w:history="1">
        <w:r w:rsidRPr="00775B91">
          <w:rPr>
            <w:rStyle w:val="a5"/>
            <w:noProof/>
          </w:rPr>
          <w:t>Title: Clinical Hemorheology</w:t>
        </w:r>
        <w:r>
          <w:rPr>
            <w:noProof/>
            <w:webHidden/>
          </w:rPr>
          <w:tab/>
        </w:r>
        <w:r>
          <w:rPr>
            <w:noProof/>
            <w:webHidden/>
          </w:rPr>
          <w:fldChar w:fldCharType="begin"/>
        </w:r>
        <w:r>
          <w:rPr>
            <w:noProof/>
            <w:webHidden/>
          </w:rPr>
          <w:instrText xml:space="preserve"> PAGEREF _Toc420815027 \h </w:instrText>
        </w:r>
        <w:r>
          <w:rPr>
            <w:noProof/>
            <w:webHidden/>
          </w:rPr>
        </w:r>
        <w:r>
          <w:rPr>
            <w:noProof/>
            <w:webHidden/>
          </w:rPr>
          <w:fldChar w:fldCharType="separate"/>
        </w:r>
        <w:r>
          <w:rPr>
            <w:noProof/>
            <w:webHidden/>
          </w:rPr>
          <w:t>377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8" w:history="1">
        <w:r w:rsidRPr="00775B91">
          <w:rPr>
            <w:rStyle w:val="a5"/>
            <w:noProof/>
          </w:rPr>
          <w:t>Title: Clinical Infectious Diseases</w:t>
        </w:r>
        <w:r>
          <w:rPr>
            <w:noProof/>
            <w:webHidden/>
          </w:rPr>
          <w:tab/>
        </w:r>
        <w:r>
          <w:rPr>
            <w:noProof/>
            <w:webHidden/>
          </w:rPr>
          <w:fldChar w:fldCharType="begin"/>
        </w:r>
        <w:r>
          <w:rPr>
            <w:noProof/>
            <w:webHidden/>
          </w:rPr>
          <w:instrText xml:space="preserve"> PAGEREF _Toc420815028 \h </w:instrText>
        </w:r>
        <w:r>
          <w:rPr>
            <w:noProof/>
            <w:webHidden/>
          </w:rPr>
        </w:r>
        <w:r>
          <w:rPr>
            <w:noProof/>
            <w:webHidden/>
          </w:rPr>
          <w:fldChar w:fldCharType="separate"/>
        </w:r>
        <w:r>
          <w:rPr>
            <w:noProof/>
            <w:webHidden/>
          </w:rPr>
          <w:t>379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29" w:history="1">
        <w:r w:rsidRPr="00775B91">
          <w:rPr>
            <w:rStyle w:val="a5"/>
            <w:noProof/>
          </w:rPr>
          <w:t>Title: Clinical Interventions in Aging</w:t>
        </w:r>
        <w:r>
          <w:rPr>
            <w:noProof/>
            <w:webHidden/>
          </w:rPr>
          <w:tab/>
        </w:r>
        <w:r>
          <w:rPr>
            <w:noProof/>
            <w:webHidden/>
          </w:rPr>
          <w:fldChar w:fldCharType="begin"/>
        </w:r>
        <w:r>
          <w:rPr>
            <w:noProof/>
            <w:webHidden/>
          </w:rPr>
          <w:instrText xml:space="preserve"> PAGEREF _Toc420815029 \h </w:instrText>
        </w:r>
        <w:r>
          <w:rPr>
            <w:noProof/>
            <w:webHidden/>
          </w:rPr>
        </w:r>
        <w:r>
          <w:rPr>
            <w:noProof/>
            <w:webHidden/>
          </w:rPr>
          <w:fldChar w:fldCharType="separate"/>
        </w:r>
        <w:r>
          <w:rPr>
            <w:noProof/>
            <w:webHidden/>
          </w:rPr>
          <w:t>384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0" w:history="1">
        <w:r w:rsidRPr="00775B91">
          <w:rPr>
            <w:rStyle w:val="a5"/>
            <w:noProof/>
          </w:rPr>
          <w:t>Title: Clinical Journal of the American Society of Nephrology</w:t>
        </w:r>
        <w:r>
          <w:rPr>
            <w:noProof/>
            <w:webHidden/>
          </w:rPr>
          <w:tab/>
        </w:r>
        <w:r>
          <w:rPr>
            <w:noProof/>
            <w:webHidden/>
          </w:rPr>
          <w:fldChar w:fldCharType="begin"/>
        </w:r>
        <w:r>
          <w:rPr>
            <w:noProof/>
            <w:webHidden/>
          </w:rPr>
          <w:instrText xml:space="preserve"> PAGEREF _Toc420815030 \h </w:instrText>
        </w:r>
        <w:r>
          <w:rPr>
            <w:noProof/>
            <w:webHidden/>
          </w:rPr>
        </w:r>
        <w:r>
          <w:rPr>
            <w:noProof/>
            <w:webHidden/>
          </w:rPr>
          <w:fldChar w:fldCharType="separate"/>
        </w:r>
        <w:r>
          <w:rPr>
            <w:noProof/>
            <w:webHidden/>
          </w:rPr>
          <w:t>386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1" w:history="1">
        <w:r w:rsidRPr="00775B91">
          <w:rPr>
            <w:rStyle w:val="a5"/>
            <w:noProof/>
          </w:rPr>
          <w:t>Title: Clinical Journal of Pain</w:t>
        </w:r>
        <w:r>
          <w:rPr>
            <w:noProof/>
            <w:webHidden/>
          </w:rPr>
          <w:tab/>
        </w:r>
        <w:r>
          <w:rPr>
            <w:noProof/>
            <w:webHidden/>
          </w:rPr>
          <w:fldChar w:fldCharType="begin"/>
        </w:r>
        <w:r>
          <w:rPr>
            <w:noProof/>
            <w:webHidden/>
          </w:rPr>
          <w:instrText xml:space="preserve"> PAGEREF _Toc420815031 \h </w:instrText>
        </w:r>
        <w:r>
          <w:rPr>
            <w:noProof/>
            <w:webHidden/>
          </w:rPr>
        </w:r>
        <w:r>
          <w:rPr>
            <w:noProof/>
            <w:webHidden/>
          </w:rPr>
          <w:fldChar w:fldCharType="separate"/>
        </w:r>
        <w:r>
          <w:rPr>
            <w:noProof/>
            <w:webHidden/>
          </w:rPr>
          <w:t>389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2" w:history="1">
        <w:r w:rsidRPr="00775B91">
          <w:rPr>
            <w:rStyle w:val="a5"/>
            <w:noProof/>
          </w:rPr>
          <w:t>Title: Clinical Journal of Sport Medicine</w:t>
        </w:r>
        <w:r>
          <w:rPr>
            <w:noProof/>
            <w:webHidden/>
          </w:rPr>
          <w:tab/>
        </w:r>
        <w:r>
          <w:rPr>
            <w:noProof/>
            <w:webHidden/>
          </w:rPr>
          <w:fldChar w:fldCharType="begin"/>
        </w:r>
        <w:r>
          <w:rPr>
            <w:noProof/>
            <w:webHidden/>
          </w:rPr>
          <w:instrText xml:space="preserve"> PAGEREF _Toc420815032 \h </w:instrText>
        </w:r>
        <w:r>
          <w:rPr>
            <w:noProof/>
            <w:webHidden/>
          </w:rPr>
        </w:r>
        <w:r>
          <w:rPr>
            <w:noProof/>
            <w:webHidden/>
          </w:rPr>
          <w:fldChar w:fldCharType="separate"/>
        </w:r>
        <w:r>
          <w:rPr>
            <w:noProof/>
            <w:webHidden/>
          </w:rPr>
          <w:t>393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3" w:history="1">
        <w:r w:rsidRPr="00775B91">
          <w:rPr>
            <w:rStyle w:val="a5"/>
            <w:noProof/>
          </w:rPr>
          <w:t>Title: Clinical Laboratory</w:t>
        </w:r>
        <w:r>
          <w:rPr>
            <w:noProof/>
            <w:webHidden/>
          </w:rPr>
          <w:tab/>
        </w:r>
        <w:r>
          <w:rPr>
            <w:noProof/>
            <w:webHidden/>
          </w:rPr>
          <w:fldChar w:fldCharType="begin"/>
        </w:r>
        <w:r>
          <w:rPr>
            <w:noProof/>
            <w:webHidden/>
          </w:rPr>
          <w:instrText xml:space="preserve"> PAGEREF _Toc420815033 \h </w:instrText>
        </w:r>
        <w:r>
          <w:rPr>
            <w:noProof/>
            <w:webHidden/>
          </w:rPr>
        </w:r>
        <w:r>
          <w:rPr>
            <w:noProof/>
            <w:webHidden/>
          </w:rPr>
          <w:fldChar w:fldCharType="separate"/>
        </w:r>
        <w:r>
          <w:rPr>
            <w:noProof/>
            <w:webHidden/>
          </w:rPr>
          <w:t>397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4" w:history="1">
        <w:r w:rsidRPr="00775B91">
          <w:rPr>
            <w:rStyle w:val="a5"/>
            <w:noProof/>
          </w:rPr>
          <w:t>Title: Clinical Nephrology</w:t>
        </w:r>
        <w:r>
          <w:rPr>
            <w:noProof/>
            <w:webHidden/>
          </w:rPr>
          <w:tab/>
        </w:r>
        <w:r>
          <w:rPr>
            <w:noProof/>
            <w:webHidden/>
          </w:rPr>
          <w:fldChar w:fldCharType="begin"/>
        </w:r>
        <w:r>
          <w:rPr>
            <w:noProof/>
            <w:webHidden/>
          </w:rPr>
          <w:instrText xml:space="preserve"> PAGEREF _Toc420815034 \h </w:instrText>
        </w:r>
        <w:r>
          <w:rPr>
            <w:noProof/>
            <w:webHidden/>
          </w:rPr>
        </w:r>
        <w:r>
          <w:rPr>
            <w:noProof/>
            <w:webHidden/>
          </w:rPr>
          <w:fldChar w:fldCharType="separate"/>
        </w:r>
        <w:r>
          <w:rPr>
            <w:noProof/>
            <w:webHidden/>
          </w:rPr>
          <w:t>398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5" w:history="1">
        <w:r w:rsidRPr="00775B91">
          <w:rPr>
            <w:rStyle w:val="a5"/>
            <w:noProof/>
          </w:rPr>
          <w:t>Title: Clinical Neurology and Neurosurgery</w:t>
        </w:r>
        <w:r>
          <w:rPr>
            <w:noProof/>
            <w:webHidden/>
          </w:rPr>
          <w:tab/>
        </w:r>
        <w:r>
          <w:rPr>
            <w:noProof/>
            <w:webHidden/>
          </w:rPr>
          <w:fldChar w:fldCharType="begin"/>
        </w:r>
        <w:r>
          <w:rPr>
            <w:noProof/>
            <w:webHidden/>
          </w:rPr>
          <w:instrText xml:space="preserve"> PAGEREF _Toc420815035 \h </w:instrText>
        </w:r>
        <w:r>
          <w:rPr>
            <w:noProof/>
            <w:webHidden/>
          </w:rPr>
        </w:r>
        <w:r>
          <w:rPr>
            <w:noProof/>
            <w:webHidden/>
          </w:rPr>
          <w:fldChar w:fldCharType="separate"/>
        </w:r>
        <w:r>
          <w:rPr>
            <w:noProof/>
            <w:webHidden/>
          </w:rPr>
          <w:t>400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6" w:history="1">
        <w:r w:rsidRPr="00775B91">
          <w:rPr>
            <w:rStyle w:val="a5"/>
            <w:noProof/>
          </w:rPr>
          <w:t>Title: Clinical Neuropsychologist</w:t>
        </w:r>
        <w:r>
          <w:rPr>
            <w:noProof/>
            <w:webHidden/>
          </w:rPr>
          <w:tab/>
        </w:r>
        <w:r>
          <w:rPr>
            <w:noProof/>
            <w:webHidden/>
          </w:rPr>
          <w:fldChar w:fldCharType="begin"/>
        </w:r>
        <w:r>
          <w:rPr>
            <w:noProof/>
            <w:webHidden/>
          </w:rPr>
          <w:instrText xml:space="preserve"> PAGEREF _Toc420815036 \h </w:instrText>
        </w:r>
        <w:r>
          <w:rPr>
            <w:noProof/>
            <w:webHidden/>
          </w:rPr>
        </w:r>
        <w:r>
          <w:rPr>
            <w:noProof/>
            <w:webHidden/>
          </w:rPr>
          <w:fldChar w:fldCharType="separate"/>
        </w:r>
        <w:r>
          <w:rPr>
            <w:noProof/>
            <w:webHidden/>
          </w:rPr>
          <w:t>404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7" w:history="1">
        <w:r w:rsidRPr="00775B91">
          <w:rPr>
            <w:rStyle w:val="a5"/>
            <w:noProof/>
          </w:rPr>
          <w:t>Title: Clinical Nursing Research</w:t>
        </w:r>
        <w:r>
          <w:rPr>
            <w:noProof/>
            <w:webHidden/>
          </w:rPr>
          <w:tab/>
        </w:r>
        <w:r>
          <w:rPr>
            <w:noProof/>
            <w:webHidden/>
          </w:rPr>
          <w:fldChar w:fldCharType="begin"/>
        </w:r>
        <w:r>
          <w:rPr>
            <w:noProof/>
            <w:webHidden/>
          </w:rPr>
          <w:instrText xml:space="preserve"> PAGEREF _Toc420815037 \h </w:instrText>
        </w:r>
        <w:r>
          <w:rPr>
            <w:noProof/>
            <w:webHidden/>
          </w:rPr>
        </w:r>
        <w:r>
          <w:rPr>
            <w:noProof/>
            <w:webHidden/>
          </w:rPr>
          <w:fldChar w:fldCharType="separate"/>
        </w:r>
        <w:r>
          <w:rPr>
            <w:noProof/>
            <w:webHidden/>
          </w:rPr>
          <w:t>406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8" w:history="1">
        <w:r w:rsidRPr="00775B91">
          <w:rPr>
            <w:rStyle w:val="a5"/>
            <w:noProof/>
          </w:rPr>
          <w:t>Title: Clinical Oncology</w:t>
        </w:r>
        <w:r>
          <w:rPr>
            <w:noProof/>
            <w:webHidden/>
          </w:rPr>
          <w:tab/>
        </w:r>
        <w:r>
          <w:rPr>
            <w:noProof/>
            <w:webHidden/>
          </w:rPr>
          <w:fldChar w:fldCharType="begin"/>
        </w:r>
        <w:r>
          <w:rPr>
            <w:noProof/>
            <w:webHidden/>
          </w:rPr>
          <w:instrText xml:space="preserve"> PAGEREF _Toc420815038 \h </w:instrText>
        </w:r>
        <w:r>
          <w:rPr>
            <w:noProof/>
            <w:webHidden/>
          </w:rPr>
        </w:r>
        <w:r>
          <w:rPr>
            <w:noProof/>
            <w:webHidden/>
          </w:rPr>
          <w:fldChar w:fldCharType="separate"/>
        </w:r>
        <w:r>
          <w:rPr>
            <w:noProof/>
            <w:webHidden/>
          </w:rPr>
          <w:t>408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39" w:history="1">
        <w:r w:rsidRPr="00775B91">
          <w:rPr>
            <w:rStyle w:val="a5"/>
            <w:noProof/>
          </w:rPr>
          <w:t>Title: Clinical Oral Implants Research</w:t>
        </w:r>
        <w:r>
          <w:rPr>
            <w:noProof/>
            <w:webHidden/>
          </w:rPr>
          <w:tab/>
        </w:r>
        <w:r>
          <w:rPr>
            <w:noProof/>
            <w:webHidden/>
          </w:rPr>
          <w:fldChar w:fldCharType="begin"/>
        </w:r>
        <w:r>
          <w:rPr>
            <w:noProof/>
            <w:webHidden/>
          </w:rPr>
          <w:instrText xml:space="preserve"> PAGEREF _Toc420815039 \h </w:instrText>
        </w:r>
        <w:r>
          <w:rPr>
            <w:noProof/>
            <w:webHidden/>
          </w:rPr>
        </w:r>
        <w:r>
          <w:rPr>
            <w:noProof/>
            <w:webHidden/>
          </w:rPr>
          <w:fldChar w:fldCharType="separate"/>
        </w:r>
        <w:r>
          <w:rPr>
            <w:noProof/>
            <w:webHidden/>
          </w:rPr>
          <w:t>413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0" w:history="1">
        <w:r w:rsidRPr="00775B91">
          <w:rPr>
            <w:rStyle w:val="a5"/>
            <w:noProof/>
          </w:rPr>
          <w:t>Title: Clinical Oral Investigations</w:t>
        </w:r>
        <w:r>
          <w:rPr>
            <w:noProof/>
            <w:webHidden/>
          </w:rPr>
          <w:tab/>
        </w:r>
        <w:r>
          <w:rPr>
            <w:noProof/>
            <w:webHidden/>
          </w:rPr>
          <w:fldChar w:fldCharType="begin"/>
        </w:r>
        <w:r>
          <w:rPr>
            <w:noProof/>
            <w:webHidden/>
          </w:rPr>
          <w:instrText xml:space="preserve"> PAGEREF _Toc420815040 \h </w:instrText>
        </w:r>
        <w:r>
          <w:rPr>
            <w:noProof/>
            <w:webHidden/>
          </w:rPr>
        </w:r>
        <w:r>
          <w:rPr>
            <w:noProof/>
            <w:webHidden/>
          </w:rPr>
          <w:fldChar w:fldCharType="separate"/>
        </w:r>
        <w:r>
          <w:rPr>
            <w:noProof/>
            <w:webHidden/>
          </w:rPr>
          <w:t>419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1" w:history="1">
        <w:r w:rsidRPr="00775B91">
          <w:rPr>
            <w:rStyle w:val="a5"/>
            <w:noProof/>
          </w:rPr>
          <w:t>Title: Clinical Orthopaedics and Related Research</w:t>
        </w:r>
        <w:r>
          <w:rPr>
            <w:noProof/>
            <w:webHidden/>
          </w:rPr>
          <w:tab/>
        </w:r>
        <w:r>
          <w:rPr>
            <w:noProof/>
            <w:webHidden/>
          </w:rPr>
          <w:fldChar w:fldCharType="begin"/>
        </w:r>
        <w:r>
          <w:rPr>
            <w:noProof/>
            <w:webHidden/>
          </w:rPr>
          <w:instrText xml:space="preserve"> PAGEREF _Toc420815041 \h </w:instrText>
        </w:r>
        <w:r>
          <w:rPr>
            <w:noProof/>
            <w:webHidden/>
          </w:rPr>
        </w:r>
        <w:r>
          <w:rPr>
            <w:noProof/>
            <w:webHidden/>
          </w:rPr>
          <w:fldChar w:fldCharType="separate"/>
        </w:r>
        <w:r>
          <w:rPr>
            <w:noProof/>
            <w:webHidden/>
          </w:rPr>
          <w:t>422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2" w:history="1">
        <w:r w:rsidRPr="00775B91">
          <w:rPr>
            <w:rStyle w:val="a5"/>
            <w:noProof/>
          </w:rPr>
          <w:t>Title: Clinical Otolaryngology</w:t>
        </w:r>
        <w:r>
          <w:rPr>
            <w:noProof/>
            <w:webHidden/>
          </w:rPr>
          <w:tab/>
        </w:r>
        <w:r>
          <w:rPr>
            <w:noProof/>
            <w:webHidden/>
          </w:rPr>
          <w:fldChar w:fldCharType="begin"/>
        </w:r>
        <w:r>
          <w:rPr>
            <w:noProof/>
            <w:webHidden/>
          </w:rPr>
          <w:instrText xml:space="preserve"> PAGEREF _Toc420815042 \h </w:instrText>
        </w:r>
        <w:r>
          <w:rPr>
            <w:noProof/>
            <w:webHidden/>
          </w:rPr>
        </w:r>
        <w:r>
          <w:rPr>
            <w:noProof/>
            <w:webHidden/>
          </w:rPr>
          <w:fldChar w:fldCharType="separate"/>
        </w:r>
        <w:r>
          <w:rPr>
            <w:noProof/>
            <w:webHidden/>
          </w:rPr>
          <w:t>433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3" w:history="1">
        <w:r w:rsidRPr="00775B91">
          <w:rPr>
            <w:rStyle w:val="a5"/>
            <w:noProof/>
          </w:rPr>
          <w:t>Title: Clinical Physiology</w:t>
        </w:r>
        <w:r>
          <w:rPr>
            <w:noProof/>
            <w:webHidden/>
          </w:rPr>
          <w:tab/>
        </w:r>
        <w:r>
          <w:rPr>
            <w:noProof/>
            <w:webHidden/>
          </w:rPr>
          <w:fldChar w:fldCharType="begin"/>
        </w:r>
        <w:r>
          <w:rPr>
            <w:noProof/>
            <w:webHidden/>
          </w:rPr>
          <w:instrText xml:space="preserve"> PAGEREF _Toc420815043 \h </w:instrText>
        </w:r>
        <w:r>
          <w:rPr>
            <w:noProof/>
            <w:webHidden/>
          </w:rPr>
        </w:r>
        <w:r>
          <w:rPr>
            <w:noProof/>
            <w:webHidden/>
          </w:rPr>
          <w:fldChar w:fldCharType="separate"/>
        </w:r>
        <w:r>
          <w:rPr>
            <w:noProof/>
            <w:webHidden/>
          </w:rPr>
          <w:t>438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4" w:history="1">
        <w:r w:rsidRPr="00775B91">
          <w:rPr>
            <w:rStyle w:val="a5"/>
            <w:noProof/>
          </w:rPr>
          <w:t>Title: Clinical Psychology Review</w:t>
        </w:r>
        <w:r>
          <w:rPr>
            <w:noProof/>
            <w:webHidden/>
          </w:rPr>
          <w:tab/>
        </w:r>
        <w:r>
          <w:rPr>
            <w:noProof/>
            <w:webHidden/>
          </w:rPr>
          <w:fldChar w:fldCharType="begin"/>
        </w:r>
        <w:r>
          <w:rPr>
            <w:noProof/>
            <w:webHidden/>
          </w:rPr>
          <w:instrText xml:space="preserve"> PAGEREF _Toc420815044 \h </w:instrText>
        </w:r>
        <w:r>
          <w:rPr>
            <w:noProof/>
            <w:webHidden/>
          </w:rPr>
        </w:r>
        <w:r>
          <w:rPr>
            <w:noProof/>
            <w:webHidden/>
          </w:rPr>
          <w:fldChar w:fldCharType="separate"/>
        </w:r>
        <w:r>
          <w:rPr>
            <w:noProof/>
            <w:webHidden/>
          </w:rPr>
          <w:t>440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5" w:history="1">
        <w:r w:rsidRPr="00775B91">
          <w:rPr>
            <w:rStyle w:val="a5"/>
            <w:noProof/>
          </w:rPr>
          <w:t>Title: Clinical Radiology</w:t>
        </w:r>
        <w:r>
          <w:rPr>
            <w:noProof/>
            <w:webHidden/>
          </w:rPr>
          <w:tab/>
        </w:r>
        <w:r>
          <w:rPr>
            <w:noProof/>
            <w:webHidden/>
          </w:rPr>
          <w:fldChar w:fldCharType="begin"/>
        </w:r>
        <w:r>
          <w:rPr>
            <w:noProof/>
            <w:webHidden/>
          </w:rPr>
          <w:instrText xml:space="preserve"> PAGEREF _Toc420815045 \h </w:instrText>
        </w:r>
        <w:r>
          <w:rPr>
            <w:noProof/>
            <w:webHidden/>
          </w:rPr>
        </w:r>
        <w:r>
          <w:rPr>
            <w:noProof/>
            <w:webHidden/>
          </w:rPr>
          <w:fldChar w:fldCharType="separate"/>
        </w:r>
        <w:r>
          <w:rPr>
            <w:noProof/>
            <w:webHidden/>
          </w:rPr>
          <w:t>444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6" w:history="1">
        <w:r w:rsidRPr="00775B91">
          <w:rPr>
            <w:rStyle w:val="a5"/>
            <w:noProof/>
          </w:rPr>
          <w:t>Title: Clinical Rehabilitation</w:t>
        </w:r>
        <w:r>
          <w:rPr>
            <w:noProof/>
            <w:webHidden/>
          </w:rPr>
          <w:tab/>
        </w:r>
        <w:r>
          <w:rPr>
            <w:noProof/>
            <w:webHidden/>
          </w:rPr>
          <w:fldChar w:fldCharType="begin"/>
        </w:r>
        <w:r>
          <w:rPr>
            <w:noProof/>
            <w:webHidden/>
          </w:rPr>
          <w:instrText xml:space="preserve"> PAGEREF _Toc420815046 \h </w:instrText>
        </w:r>
        <w:r>
          <w:rPr>
            <w:noProof/>
            <w:webHidden/>
          </w:rPr>
        </w:r>
        <w:r>
          <w:rPr>
            <w:noProof/>
            <w:webHidden/>
          </w:rPr>
          <w:fldChar w:fldCharType="separate"/>
        </w:r>
        <w:r>
          <w:rPr>
            <w:noProof/>
            <w:webHidden/>
          </w:rPr>
          <w:t>446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7" w:history="1">
        <w:r w:rsidRPr="00775B91">
          <w:rPr>
            <w:rStyle w:val="a5"/>
            <w:noProof/>
          </w:rPr>
          <w:t>Title: Clinical Respiratory Journal</w:t>
        </w:r>
        <w:r>
          <w:rPr>
            <w:noProof/>
            <w:webHidden/>
          </w:rPr>
          <w:tab/>
        </w:r>
        <w:r>
          <w:rPr>
            <w:noProof/>
            <w:webHidden/>
          </w:rPr>
          <w:fldChar w:fldCharType="begin"/>
        </w:r>
        <w:r>
          <w:rPr>
            <w:noProof/>
            <w:webHidden/>
          </w:rPr>
          <w:instrText xml:space="preserve"> PAGEREF _Toc420815047 \h </w:instrText>
        </w:r>
        <w:r>
          <w:rPr>
            <w:noProof/>
            <w:webHidden/>
          </w:rPr>
        </w:r>
        <w:r>
          <w:rPr>
            <w:noProof/>
            <w:webHidden/>
          </w:rPr>
          <w:fldChar w:fldCharType="separate"/>
        </w:r>
        <w:r>
          <w:rPr>
            <w:noProof/>
            <w:webHidden/>
          </w:rPr>
          <w:t>463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8" w:history="1">
        <w:r w:rsidRPr="00775B91">
          <w:rPr>
            <w:rStyle w:val="a5"/>
            <w:noProof/>
          </w:rPr>
          <w:t>Title: Clinical Rheumatology</w:t>
        </w:r>
        <w:r>
          <w:rPr>
            <w:noProof/>
            <w:webHidden/>
          </w:rPr>
          <w:tab/>
        </w:r>
        <w:r>
          <w:rPr>
            <w:noProof/>
            <w:webHidden/>
          </w:rPr>
          <w:fldChar w:fldCharType="begin"/>
        </w:r>
        <w:r>
          <w:rPr>
            <w:noProof/>
            <w:webHidden/>
          </w:rPr>
          <w:instrText xml:space="preserve"> PAGEREF _Toc420815048 \h </w:instrText>
        </w:r>
        <w:r>
          <w:rPr>
            <w:noProof/>
            <w:webHidden/>
          </w:rPr>
        </w:r>
        <w:r>
          <w:rPr>
            <w:noProof/>
            <w:webHidden/>
          </w:rPr>
          <w:fldChar w:fldCharType="separate"/>
        </w:r>
        <w:r>
          <w:rPr>
            <w:noProof/>
            <w:webHidden/>
          </w:rPr>
          <w:t>465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49" w:history="1">
        <w:r w:rsidRPr="00775B91">
          <w:rPr>
            <w:rStyle w:val="a5"/>
            <w:noProof/>
          </w:rPr>
          <w:t>Title: Clinical Therapeutics</w:t>
        </w:r>
        <w:r>
          <w:rPr>
            <w:noProof/>
            <w:webHidden/>
          </w:rPr>
          <w:tab/>
        </w:r>
        <w:r>
          <w:rPr>
            <w:noProof/>
            <w:webHidden/>
          </w:rPr>
          <w:fldChar w:fldCharType="begin"/>
        </w:r>
        <w:r>
          <w:rPr>
            <w:noProof/>
            <w:webHidden/>
          </w:rPr>
          <w:instrText xml:space="preserve"> PAGEREF _Toc420815049 \h </w:instrText>
        </w:r>
        <w:r>
          <w:rPr>
            <w:noProof/>
            <w:webHidden/>
          </w:rPr>
        </w:r>
        <w:r>
          <w:rPr>
            <w:noProof/>
            <w:webHidden/>
          </w:rPr>
          <w:fldChar w:fldCharType="separate"/>
        </w:r>
        <w:r>
          <w:rPr>
            <w:noProof/>
            <w:webHidden/>
          </w:rPr>
          <w:t>467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0" w:history="1">
        <w:r w:rsidRPr="00775B91">
          <w:rPr>
            <w:rStyle w:val="a5"/>
            <w:noProof/>
          </w:rPr>
          <w:t>Title: Clinical Toxicology</w:t>
        </w:r>
        <w:r>
          <w:rPr>
            <w:noProof/>
            <w:webHidden/>
          </w:rPr>
          <w:tab/>
        </w:r>
        <w:r>
          <w:rPr>
            <w:noProof/>
            <w:webHidden/>
          </w:rPr>
          <w:fldChar w:fldCharType="begin"/>
        </w:r>
        <w:r>
          <w:rPr>
            <w:noProof/>
            <w:webHidden/>
          </w:rPr>
          <w:instrText xml:space="preserve"> PAGEREF _Toc420815050 \h </w:instrText>
        </w:r>
        <w:r>
          <w:rPr>
            <w:noProof/>
            <w:webHidden/>
          </w:rPr>
        </w:r>
        <w:r>
          <w:rPr>
            <w:noProof/>
            <w:webHidden/>
          </w:rPr>
          <w:fldChar w:fldCharType="separate"/>
        </w:r>
        <w:r>
          <w:rPr>
            <w:noProof/>
            <w:webHidden/>
          </w:rPr>
          <w:t>496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1" w:history="1">
        <w:r w:rsidRPr="00775B91">
          <w:rPr>
            <w:rStyle w:val="a5"/>
            <w:noProof/>
          </w:rPr>
          <w:t>Title: CTS-Clinical and Translational Science</w:t>
        </w:r>
        <w:r>
          <w:rPr>
            <w:noProof/>
            <w:webHidden/>
          </w:rPr>
          <w:tab/>
        </w:r>
        <w:r>
          <w:rPr>
            <w:noProof/>
            <w:webHidden/>
          </w:rPr>
          <w:fldChar w:fldCharType="begin"/>
        </w:r>
        <w:r>
          <w:rPr>
            <w:noProof/>
            <w:webHidden/>
          </w:rPr>
          <w:instrText xml:space="preserve"> PAGEREF _Toc420815051 \h </w:instrText>
        </w:r>
        <w:r>
          <w:rPr>
            <w:noProof/>
            <w:webHidden/>
          </w:rPr>
        </w:r>
        <w:r>
          <w:rPr>
            <w:noProof/>
            <w:webHidden/>
          </w:rPr>
          <w:fldChar w:fldCharType="separate"/>
        </w:r>
        <w:r>
          <w:rPr>
            <w:noProof/>
            <w:webHidden/>
          </w:rPr>
          <w:t>507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2" w:history="1">
        <w:r w:rsidRPr="00775B91">
          <w:rPr>
            <w:rStyle w:val="a5"/>
            <w:noProof/>
          </w:rPr>
          <w:t>Title: Clinics</w:t>
        </w:r>
        <w:r>
          <w:rPr>
            <w:noProof/>
            <w:webHidden/>
          </w:rPr>
          <w:tab/>
        </w:r>
        <w:r>
          <w:rPr>
            <w:noProof/>
            <w:webHidden/>
          </w:rPr>
          <w:fldChar w:fldCharType="begin"/>
        </w:r>
        <w:r>
          <w:rPr>
            <w:noProof/>
            <w:webHidden/>
          </w:rPr>
          <w:instrText xml:space="preserve"> PAGEREF _Toc420815052 \h </w:instrText>
        </w:r>
        <w:r>
          <w:rPr>
            <w:noProof/>
            <w:webHidden/>
          </w:rPr>
        </w:r>
        <w:r>
          <w:rPr>
            <w:noProof/>
            <w:webHidden/>
          </w:rPr>
          <w:fldChar w:fldCharType="separate"/>
        </w:r>
        <w:r>
          <w:rPr>
            <w:noProof/>
            <w:webHidden/>
          </w:rPr>
          <w:t>510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3" w:history="1">
        <w:r w:rsidRPr="00775B91">
          <w:rPr>
            <w:rStyle w:val="a5"/>
            <w:noProof/>
          </w:rPr>
          <w:t>Title: Clinics and Research in Hepatology and Gastroenterology</w:t>
        </w:r>
        <w:r>
          <w:rPr>
            <w:noProof/>
            <w:webHidden/>
          </w:rPr>
          <w:tab/>
        </w:r>
        <w:r>
          <w:rPr>
            <w:noProof/>
            <w:webHidden/>
          </w:rPr>
          <w:fldChar w:fldCharType="begin"/>
        </w:r>
        <w:r>
          <w:rPr>
            <w:noProof/>
            <w:webHidden/>
          </w:rPr>
          <w:instrText xml:space="preserve"> PAGEREF _Toc420815053 \h </w:instrText>
        </w:r>
        <w:r>
          <w:rPr>
            <w:noProof/>
            <w:webHidden/>
          </w:rPr>
        </w:r>
        <w:r>
          <w:rPr>
            <w:noProof/>
            <w:webHidden/>
          </w:rPr>
          <w:fldChar w:fldCharType="separate"/>
        </w:r>
        <w:r>
          <w:rPr>
            <w:noProof/>
            <w:webHidden/>
          </w:rPr>
          <w:t>515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4" w:history="1">
        <w:r w:rsidRPr="00775B91">
          <w:rPr>
            <w:rStyle w:val="a5"/>
            <w:noProof/>
          </w:rPr>
          <w:t>Title: Cliometrica</w:t>
        </w:r>
        <w:r>
          <w:rPr>
            <w:noProof/>
            <w:webHidden/>
          </w:rPr>
          <w:tab/>
        </w:r>
        <w:r>
          <w:rPr>
            <w:noProof/>
            <w:webHidden/>
          </w:rPr>
          <w:fldChar w:fldCharType="begin"/>
        </w:r>
        <w:r>
          <w:rPr>
            <w:noProof/>
            <w:webHidden/>
          </w:rPr>
          <w:instrText xml:space="preserve"> PAGEREF _Toc420815054 \h </w:instrText>
        </w:r>
        <w:r>
          <w:rPr>
            <w:noProof/>
            <w:webHidden/>
          </w:rPr>
        </w:r>
        <w:r>
          <w:rPr>
            <w:noProof/>
            <w:webHidden/>
          </w:rPr>
          <w:fldChar w:fldCharType="separate"/>
        </w:r>
        <w:r>
          <w:rPr>
            <w:noProof/>
            <w:webHidden/>
          </w:rPr>
          <w:t>520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5" w:history="1">
        <w:r w:rsidRPr="00775B91">
          <w:rPr>
            <w:rStyle w:val="a5"/>
            <w:noProof/>
          </w:rPr>
          <w:t>Title: Cluster Computing-the Journal of Networks Software Tools and Applications</w:t>
        </w:r>
        <w:r>
          <w:rPr>
            <w:noProof/>
            <w:webHidden/>
          </w:rPr>
          <w:tab/>
        </w:r>
        <w:r>
          <w:rPr>
            <w:noProof/>
            <w:webHidden/>
          </w:rPr>
          <w:fldChar w:fldCharType="begin"/>
        </w:r>
        <w:r>
          <w:rPr>
            <w:noProof/>
            <w:webHidden/>
          </w:rPr>
          <w:instrText xml:space="preserve"> PAGEREF _Toc420815055 \h </w:instrText>
        </w:r>
        <w:r>
          <w:rPr>
            <w:noProof/>
            <w:webHidden/>
          </w:rPr>
        </w:r>
        <w:r>
          <w:rPr>
            <w:noProof/>
            <w:webHidden/>
          </w:rPr>
          <w:fldChar w:fldCharType="separate"/>
        </w:r>
        <w:r>
          <w:rPr>
            <w:noProof/>
            <w:webHidden/>
          </w:rPr>
          <w:t>521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6" w:history="1">
        <w:r w:rsidRPr="00775B91">
          <w:rPr>
            <w:rStyle w:val="a5"/>
            <w:noProof/>
          </w:rPr>
          <w:t>Title: CMAJ</w:t>
        </w:r>
        <w:r>
          <w:rPr>
            <w:noProof/>
            <w:webHidden/>
          </w:rPr>
          <w:tab/>
        </w:r>
        <w:r>
          <w:rPr>
            <w:noProof/>
            <w:webHidden/>
          </w:rPr>
          <w:fldChar w:fldCharType="begin"/>
        </w:r>
        <w:r>
          <w:rPr>
            <w:noProof/>
            <w:webHidden/>
          </w:rPr>
          <w:instrText xml:space="preserve"> PAGEREF _Toc420815056 \h </w:instrText>
        </w:r>
        <w:r>
          <w:rPr>
            <w:noProof/>
            <w:webHidden/>
          </w:rPr>
        </w:r>
        <w:r>
          <w:rPr>
            <w:noProof/>
            <w:webHidden/>
          </w:rPr>
          <w:fldChar w:fldCharType="separate"/>
        </w:r>
        <w:r>
          <w:rPr>
            <w:noProof/>
            <w:webHidden/>
          </w:rPr>
          <w:t>523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7" w:history="1">
        <w:r w:rsidRPr="00775B91">
          <w:rPr>
            <w:rStyle w:val="a5"/>
            <w:noProof/>
          </w:rPr>
          <w:t>Title: CNS Drugs</w:t>
        </w:r>
        <w:r>
          <w:rPr>
            <w:noProof/>
            <w:webHidden/>
          </w:rPr>
          <w:tab/>
        </w:r>
        <w:r>
          <w:rPr>
            <w:noProof/>
            <w:webHidden/>
          </w:rPr>
          <w:fldChar w:fldCharType="begin"/>
        </w:r>
        <w:r>
          <w:rPr>
            <w:noProof/>
            <w:webHidden/>
          </w:rPr>
          <w:instrText xml:space="preserve"> PAGEREF _Toc420815057 \h </w:instrText>
        </w:r>
        <w:r>
          <w:rPr>
            <w:noProof/>
            <w:webHidden/>
          </w:rPr>
        </w:r>
        <w:r>
          <w:rPr>
            <w:noProof/>
            <w:webHidden/>
          </w:rPr>
          <w:fldChar w:fldCharType="separate"/>
        </w:r>
        <w:r>
          <w:rPr>
            <w:noProof/>
            <w:webHidden/>
          </w:rPr>
          <w:t>524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8" w:history="1">
        <w:r w:rsidRPr="00775B91">
          <w:rPr>
            <w:rStyle w:val="a5"/>
            <w:noProof/>
          </w:rPr>
          <w:t>Title: CNS &amp; Neurological Disorders-Drug Targets</w:t>
        </w:r>
        <w:r>
          <w:rPr>
            <w:noProof/>
            <w:webHidden/>
          </w:rPr>
          <w:tab/>
        </w:r>
        <w:r>
          <w:rPr>
            <w:noProof/>
            <w:webHidden/>
          </w:rPr>
          <w:fldChar w:fldCharType="begin"/>
        </w:r>
        <w:r>
          <w:rPr>
            <w:noProof/>
            <w:webHidden/>
          </w:rPr>
          <w:instrText xml:space="preserve"> PAGEREF _Toc420815058 \h </w:instrText>
        </w:r>
        <w:r>
          <w:rPr>
            <w:noProof/>
            <w:webHidden/>
          </w:rPr>
        </w:r>
        <w:r>
          <w:rPr>
            <w:noProof/>
            <w:webHidden/>
          </w:rPr>
          <w:fldChar w:fldCharType="separate"/>
        </w:r>
        <w:r>
          <w:rPr>
            <w:noProof/>
            <w:webHidden/>
          </w:rPr>
          <w:t>527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59" w:history="1">
        <w:r w:rsidRPr="00775B91">
          <w:rPr>
            <w:rStyle w:val="a5"/>
            <w:noProof/>
          </w:rPr>
          <w:t>Title: Cochrane Database of Systematic Reviews</w:t>
        </w:r>
        <w:r>
          <w:rPr>
            <w:noProof/>
            <w:webHidden/>
          </w:rPr>
          <w:tab/>
        </w:r>
        <w:r>
          <w:rPr>
            <w:noProof/>
            <w:webHidden/>
          </w:rPr>
          <w:fldChar w:fldCharType="begin"/>
        </w:r>
        <w:r>
          <w:rPr>
            <w:noProof/>
            <w:webHidden/>
          </w:rPr>
          <w:instrText xml:space="preserve"> PAGEREF _Toc420815059 \h </w:instrText>
        </w:r>
        <w:r>
          <w:rPr>
            <w:noProof/>
            <w:webHidden/>
          </w:rPr>
        </w:r>
        <w:r>
          <w:rPr>
            <w:noProof/>
            <w:webHidden/>
          </w:rPr>
          <w:fldChar w:fldCharType="separate"/>
        </w:r>
        <w:r>
          <w:rPr>
            <w:noProof/>
            <w:webHidden/>
          </w:rPr>
          <w:t>529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0" w:history="1">
        <w:r w:rsidRPr="00775B91">
          <w:rPr>
            <w:rStyle w:val="a5"/>
            <w:noProof/>
          </w:rPr>
          <w:t>Title: Cognition</w:t>
        </w:r>
        <w:r>
          <w:rPr>
            <w:noProof/>
            <w:webHidden/>
          </w:rPr>
          <w:tab/>
        </w:r>
        <w:r>
          <w:rPr>
            <w:noProof/>
            <w:webHidden/>
          </w:rPr>
          <w:fldChar w:fldCharType="begin"/>
        </w:r>
        <w:r>
          <w:rPr>
            <w:noProof/>
            <w:webHidden/>
          </w:rPr>
          <w:instrText xml:space="preserve"> PAGEREF _Toc420815060 \h </w:instrText>
        </w:r>
        <w:r>
          <w:rPr>
            <w:noProof/>
            <w:webHidden/>
          </w:rPr>
        </w:r>
        <w:r>
          <w:rPr>
            <w:noProof/>
            <w:webHidden/>
          </w:rPr>
          <w:fldChar w:fldCharType="separate"/>
        </w:r>
        <w:r>
          <w:rPr>
            <w:noProof/>
            <w:webHidden/>
          </w:rPr>
          <w:t>1381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1" w:history="1">
        <w:r w:rsidRPr="00775B91">
          <w:rPr>
            <w:rStyle w:val="a5"/>
            <w:noProof/>
          </w:rPr>
          <w:t>Title: Co-Herencia</w:t>
        </w:r>
        <w:r>
          <w:rPr>
            <w:noProof/>
            <w:webHidden/>
          </w:rPr>
          <w:tab/>
        </w:r>
        <w:r>
          <w:rPr>
            <w:noProof/>
            <w:webHidden/>
          </w:rPr>
          <w:fldChar w:fldCharType="begin"/>
        </w:r>
        <w:r>
          <w:rPr>
            <w:noProof/>
            <w:webHidden/>
          </w:rPr>
          <w:instrText xml:space="preserve"> PAGEREF _Toc420815061 \h </w:instrText>
        </w:r>
        <w:r>
          <w:rPr>
            <w:noProof/>
            <w:webHidden/>
          </w:rPr>
        </w:r>
        <w:r>
          <w:rPr>
            <w:noProof/>
            <w:webHidden/>
          </w:rPr>
          <w:fldChar w:fldCharType="separate"/>
        </w:r>
        <w:r>
          <w:rPr>
            <w:noProof/>
            <w:webHidden/>
          </w:rPr>
          <w:t>1383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2" w:history="1">
        <w:r w:rsidRPr="00775B91">
          <w:rPr>
            <w:rStyle w:val="a5"/>
            <w:noProof/>
          </w:rPr>
          <w:t>Title: Clinical Nutrition</w:t>
        </w:r>
        <w:r>
          <w:rPr>
            <w:noProof/>
            <w:webHidden/>
          </w:rPr>
          <w:tab/>
        </w:r>
        <w:r>
          <w:rPr>
            <w:noProof/>
            <w:webHidden/>
          </w:rPr>
          <w:fldChar w:fldCharType="begin"/>
        </w:r>
        <w:r>
          <w:rPr>
            <w:noProof/>
            <w:webHidden/>
          </w:rPr>
          <w:instrText xml:space="preserve"> PAGEREF _Toc420815062 \h </w:instrText>
        </w:r>
        <w:r>
          <w:rPr>
            <w:noProof/>
            <w:webHidden/>
          </w:rPr>
        </w:r>
        <w:r>
          <w:rPr>
            <w:noProof/>
            <w:webHidden/>
          </w:rPr>
          <w:fldChar w:fldCharType="separate"/>
        </w:r>
        <w:r>
          <w:rPr>
            <w:noProof/>
            <w:webHidden/>
          </w:rPr>
          <w:t>1384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3" w:history="1">
        <w:r w:rsidRPr="00775B91">
          <w:rPr>
            <w:rStyle w:val="a5"/>
            <w:noProof/>
          </w:rPr>
          <w:t>Title: Colis4: Emerging Frameworks and Methods</w:t>
        </w:r>
        <w:r>
          <w:rPr>
            <w:noProof/>
            <w:webHidden/>
          </w:rPr>
          <w:tab/>
        </w:r>
        <w:r>
          <w:rPr>
            <w:noProof/>
            <w:webHidden/>
          </w:rPr>
          <w:fldChar w:fldCharType="begin"/>
        </w:r>
        <w:r>
          <w:rPr>
            <w:noProof/>
            <w:webHidden/>
          </w:rPr>
          <w:instrText xml:space="preserve"> PAGEREF _Toc420815063 \h </w:instrText>
        </w:r>
        <w:r>
          <w:rPr>
            <w:noProof/>
            <w:webHidden/>
          </w:rPr>
        </w:r>
        <w:r>
          <w:rPr>
            <w:noProof/>
            <w:webHidden/>
          </w:rPr>
          <w:fldChar w:fldCharType="separate"/>
        </w:r>
        <w:r>
          <w:rPr>
            <w:noProof/>
            <w:webHidden/>
          </w:rPr>
          <w:t>1388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4" w:history="1">
        <w:r w:rsidRPr="00775B91">
          <w:rPr>
            <w:rStyle w:val="a5"/>
            <w:noProof/>
          </w:rPr>
          <w:t>Title: Collection Management</w:t>
        </w:r>
        <w:r>
          <w:rPr>
            <w:noProof/>
            <w:webHidden/>
          </w:rPr>
          <w:tab/>
        </w:r>
        <w:r>
          <w:rPr>
            <w:noProof/>
            <w:webHidden/>
          </w:rPr>
          <w:fldChar w:fldCharType="begin"/>
        </w:r>
        <w:r>
          <w:rPr>
            <w:noProof/>
            <w:webHidden/>
          </w:rPr>
          <w:instrText xml:space="preserve"> PAGEREF _Toc420815064 \h </w:instrText>
        </w:r>
        <w:r>
          <w:rPr>
            <w:noProof/>
            <w:webHidden/>
          </w:rPr>
        </w:r>
        <w:r>
          <w:rPr>
            <w:noProof/>
            <w:webHidden/>
          </w:rPr>
          <w:fldChar w:fldCharType="separate"/>
        </w:r>
        <w:r>
          <w:rPr>
            <w:noProof/>
            <w:webHidden/>
          </w:rPr>
          <w:t>1390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5" w:history="1">
        <w:r w:rsidRPr="00775B91">
          <w:rPr>
            <w:rStyle w:val="a5"/>
            <w:noProof/>
          </w:rPr>
          <w:t>Title: College English</w:t>
        </w:r>
        <w:r>
          <w:rPr>
            <w:noProof/>
            <w:webHidden/>
          </w:rPr>
          <w:tab/>
        </w:r>
        <w:r>
          <w:rPr>
            <w:noProof/>
            <w:webHidden/>
          </w:rPr>
          <w:fldChar w:fldCharType="begin"/>
        </w:r>
        <w:r>
          <w:rPr>
            <w:noProof/>
            <w:webHidden/>
          </w:rPr>
          <w:instrText xml:space="preserve"> PAGEREF _Toc420815065 \h </w:instrText>
        </w:r>
        <w:r>
          <w:rPr>
            <w:noProof/>
            <w:webHidden/>
          </w:rPr>
        </w:r>
        <w:r>
          <w:rPr>
            <w:noProof/>
            <w:webHidden/>
          </w:rPr>
          <w:fldChar w:fldCharType="separate"/>
        </w:r>
        <w:r>
          <w:rPr>
            <w:noProof/>
            <w:webHidden/>
          </w:rPr>
          <w:t>1393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6" w:history="1">
        <w:r w:rsidRPr="00775B91">
          <w:rPr>
            <w:rStyle w:val="a5"/>
            <w:noProof/>
          </w:rPr>
          <w:t>Title: College &amp; Research Libraries</w:t>
        </w:r>
        <w:r>
          <w:rPr>
            <w:noProof/>
            <w:webHidden/>
          </w:rPr>
          <w:tab/>
        </w:r>
        <w:r>
          <w:rPr>
            <w:noProof/>
            <w:webHidden/>
          </w:rPr>
          <w:fldChar w:fldCharType="begin"/>
        </w:r>
        <w:r>
          <w:rPr>
            <w:noProof/>
            <w:webHidden/>
          </w:rPr>
          <w:instrText xml:space="preserve"> PAGEREF _Toc420815066 \h </w:instrText>
        </w:r>
        <w:r>
          <w:rPr>
            <w:noProof/>
            <w:webHidden/>
          </w:rPr>
        </w:r>
        <w:r>
          <w:rPr>
            <w:noProof/>
            <w:webHidden/>
          </w:rPr>
          <w:fldChar w:fldCharType="separate"/>
        </w:r>
        <w:r>
          <w:rPr>
            <w:noProof/>
            <w:webHidden/>
          </w:rPr>
          <w:t>1394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7" w:history="1">
        <w:r w:rsidRPr="00775B91">
          <w:rPr>
            <w:rStyle w:val="a5"/>
            <w:noProof/>
          </w:rPr>
          <w:t>Title: Collegian</w:t>
        </w:r>
        <w:r>
          <w:rPr>
            <w:noProof/>
            <w:webHidden/>
          </w:rPr>
          <w:tab/>
        </w:r>
        <w:r>
          <w:rPr>
            <w:noProof/>
            <w:webHidden/>
          </w:rPr>
          <w:fldChar w:fldCharType="begin"/>
        </w:r>
        <w:r>
          <w:rPr>
            <w:noProof/>
            <w:webHidden/>
          </w:rPr>
          <w:instrText xml:space="preserve"> PAGEREF _Toc420815067 \h </w:instrText>
        </w:r>
        <w:r>
          <w:rPr>
            <w:noProof/>
            <w:webHidden/>
          </w:rPr>
        </w:r>
        <w:r>
          <w:rPr>
            <w:noProof/>
            <w:webHidden/>
          </w:rPr>
          <w:fldChar w:fldCharType="separate"/>
        </w:r>
        <w:r>
          <w:rPr>
            <w:noProof/>
            <w:webHidden/>
          </w:rPr>
          <w:t>1403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8" w:history="1">
        <w:r w:rsidRPr="00775B91">
          <w:rPr>
            <w:rStyle w:val="a5"/>
            <w:noProof/>
          </w:rPr>
          <w:t>Title: Collegium Antropologicum</w:t>
        </w:r>
        <w:r>
          <w:rPr>
            <w:noProof/>
            <w:webHidden/>
          </w:rPr>
          <w:tab/>
        </w:r>
        <w:r>
          <w:rPr>
            <w:noProof/>
            <w:webHidden/>
          </w:rPr>
          <w:fldChar w:fldCharType="begin"/>
        </w:r>
        <w:r>
          <w:rPr>
            <w:noProof/>
            <w:webHidden/>
          </w:rPr>
          <w:instrText xml:space="preserve"> PAGEREF _Toc420815068 \h </w:instrText>
        </w:r>
        <w:r>
          <w:rPr>
            <w:noProof/>
            <w:webHidden/>
          </w:rPr>
        </w:r>
        <w:r>
          <w:rPr>
            <w:noProof/>
            <w:webHidden/>
          </w:rPr>
          <w:fldChar w:fldCharType="separate"/>
        </w:r>
        <w:r>
          <w:rPr>
            <w:noProof/>
            <w:webHidden/>
          </w:rPr>
          <w:t>1405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69" w:history="1">
        <w:r w:rsidRPr="00775B91">
          <w:rPr>
            <w:rStyle w:val="a5"/>
            <w:noProof/>
          </w:rPr>
          <w:t>Title: Collnet Journal of Scientometrics and Information Management</w:t>
        </w:r>
        <w:r>
          <w:rPr>
            <w:noProof/>
            <w:webHidden/>
          </w:rPr>
          <w:tab/>
        </w:r>
        <w:r>
          <w:rPr>
            <w:noProof/>
            <w:webHidden/>
          </w:rPr>
          <w:fldChar w:fldCharType="begin"/>
        </w:r>
        <w:r>
          <w:rPr>
            <w:noProof/>
            <w:webHidden/>
          </w:rPr>
          <w:instrText xml:space="preserve"> PAGEREF _Toc420815069 \h </w:instrText>
        </w:r>
        <w:r>
          <w:rPr>
            <w:noProof/>
            <w:webHidden/>
          </w:rPr>
        </w:r>
        <w:r>
          <w:rPr>
            <w:noProof/>
            <w:webHidden/>
          </w:rPr>
          <w:fldChar w:fldCharType="separate"/>
        </w:r>
        <w:r>
          <w:rPr>
            <w:noProof/>
            <w:webHidden/>
          </w:rPr>
          <w:t>1409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0" w:history="1">
        <w:r w:rsidRPr="00775B91">
          <w:rPr>
            <w:rStyle w:val="a5"/>
            <w:noProof/>
          </w:rPr>
          <w:t>Title: Colombia Medica</w:t>
        </w:r>
        <w:r>
          <w:rPr>
            <w:noProof/>
            <w:webHidden/>
          </w:rPr>
          <w:tab/>
        </w:r>
        <w:r>
          <w:rPr>
            <w:noProof/>
            <w:webHidden/>
          </w:rPr>
          <w:fldChar w:fldCharType="begin"/>
        </w:r>
        <w:r>
          <w:rPr>
            <w:noProof/>
            <w:webHidden/>
          </w:rPr>
          <w:instrText xml:space="preserve"> PAGEREF _Toc420815070 \h </w:instrText>
        </w:r>
        <w:r>
          <w:rPr>
            <w:noProof/>
            <w:webHidden/>
          </w:rPr>
        </w:r>
        <w:r>
          <w:rPr>
            <w:noProof/>
            <w:webHidden/>
          </w:rPr>
          <w:fldChar w:fldCharType="separate"/>
        </w:r>
        <w:r>
          <w:rPr>
            <w:noProof/>
            <w:webHidden/>
          </w:rPr>
          <w:t>1410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1" w:history="1">
        <w:r w:rsidRPr="00775B91">
          <w:rPr>
            <w:rStyle w:val="a5"/>
            <w:noProof/>
          </w:rPr>
          <w:t>Title: Colorectal Disease</w:t>
        </w:r>
        <w:r>
          <w:rPr>
            <w:noProof/>
            <w:webHidden/>
          </w:rPr>
          <w:tab/>
        </w:r>
        <w:r>
          <w:rPr>
            <w:noProof/>
            <w:webHidden/>
          </w:rPr>
          <w:fldChar w:fldCharType="begin"/>
        </w:r>
        <w:r>
          <w:rPr>
            <w:noProof/>
            <w:webHidden/>
          </w:rPr>
          <w:instrText xml:space="preserve"> PAGEREF _Toc420815071 \h </w:instrText>
        </w:r>
        <w:r>
          <w:rPr>
            <w:noProof/>
            <w:webHidden/>
          </w:rPr>
        </w:r>
        <w:r>
          <w:rPr>
            <w:noProof/>
            <w:webHidden/>
          </w:rPr>
          <w:fldChar w:fldCharType="separate"/>
        </w:r>
        <w:r>
          <w:rPr>
            <w:noProof/>
            <w:webHidden/>
          </w:rPr>
          <w:t>1412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2" w:history="1">
        <w:r w:rsidRPr="00775B91">
          <w:rPr>
            <w:rStyle w:val="a5"/>
            <w:noProof/>
          </w:rPr>
          <w:t>Title: Commonwealth and Comparative Politics</w:t>
        </w:r>
        <w:r>
          <w:rPr>
            <w:noProof/>
            <w:webHidden/>
          </w:rPr>
          <w:tab/>
        </w:r>
        <w:r>
          <w:rPr>
            <w:noProof/>
            <w:webHidden/>
          </w:rPr>
          <w:fldChar w:fldCharType="begin"/>
        </w:r>
        <w:r>
          <w:rPr>
            <w:noProof/>
            <w:webHidden/>
          </w:rPr>
          <w:instrText xml:space="preserve"> PAGEREF _Toc420815072 \h </w:instrText>
        </w:r>
        <w:r>
          <w:rPr>
            <w:noProof/>
            <w:webHidden/>
          </w:rPr>
        </w:r>
        <w:r>
          <w:rPr>
            <w:noProof/>
            <w:webHidden/>
          </w:rPr>
          <w:fldChar w:fldCharType="separate"/>
        </w:r>
        <w:r>
          <w:rPr>
            <w:noProof/>
            <w:webHidden/>
          </w:rPr>
          <w:t>1417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3" w:history="1">
        <w:r w:rsidRPr="00775B91">
          <w:rPr>
            <w:rStyle w:val="a5"/>
            <w:noProof/>
          </w:rPr>
          <w:t>Title: Communication Monographs</w:t>
        </w:r>
        <w:r>
          <w:rPr>
            <w:noProof/>
            <w:webHidden/>
          </w:rPr>
          <w:tab/>
        </w:r>
        <w:r>
          <w:rPr>
            <w:noProof/>
            <w:webHidden/>
          </w:rPr>
          <w:fldChar w:fldCharType="begin"/>
        </w:r>
        <w:r>
          <w:rPr>
            <w:noProof/>
            <w:webHidden/>
          </w:rPr>
          <w:instrText xml:space="preserve"> PAGEREF _Toc420815073 \h </w:instrText>
        </w:r>
        <w:r>
          <w:rPr>
            <w:noProof/>
            <w:webHidden/>
          </w:rPr>
        </w:r>
        <w:r>
          <w:rPr>
            <w:noProof/>
            <w:webHidden/>
          </w:rPr>
          <w:fldChar w:fldCharType="separate"/>
        </w:r>
        <w:r>
          <w:rPr>
            <w:noProof/>
            <w:webHidden/>
          </w:rPr>
          <w:t>1418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4" w:history="1">
        <w:r w:rsidRPr="00775B91">
          <w:rPr>
            <w:rStyle w:val="a5"/>
            <w:noProof/>
          </w:rPr>
          <w:t>Title: Communication Research</w:t>
        </w:r>
        <w:r>
          <w:rPr>
            <w:noProof/>
            <w:webHidden/>
          </w:rPr>
          <w:tab/>
        </w:r>
        <w:r>
          <w:rPr>
            <w:noProof/>
            <w:webHidden/>
          </w:rPr>
          <w:fldChar w:fldCharType="begin"/>
        </w:r>
        <w:r>
          <w:rPr>
            <w:noProof/>
            <w:webHidden/>
          </w:rPr>
          <w:instrText xml:space="preserve"> PAGEREF _Toc420815074 \h </w:instrText>
        </w:r>
        <w:r>
          <w:rPr>
            <w:noProof/>
            <w:webHidden/>
          </w:rPr>
        </w:r>
        <w:r>
          <w:rPr>
            <w:noProof/>
            <w:webHidden/>
          </w:rPr>
          <w:fldChar w:fldCharType="separate"/>
        </w:r>
        <w:r>
          <w:rPr>
            <w:noProof/>
            <w:webHidden/>
          </w:rPr>
          <w:t>1420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5" w:history="1">
        <w:r w:rsidRPr="00775B91">
          <w:rPr>
            <w:rStyle w:val="a5"/>
            <w:noProof/>
          </w:rPr>
          <w:t>Title: Communication Theory</w:t>
        </w:r>
        <w:r>
          <w:rPr>
            <w:noProof/>
            <w:webHidden/>
          </w:rPr>
          <w:tab/>
        </w:r>
        <w:r>
          <w:rPr>
            <w:noProof/>
            <w:webHidden/>
          </w:rPr>
          <w:fldChar w:fldCharType="begin"/>
        </w:r>
        <w:r>
          <w:rPr>
            <w:noProof/>
            <w:webHidden/>
          </w:rPr>
          <w:instrText xml:space="preserve"> PAGEREF _Toc420815075 \h </w:instrText>
        </w:r>
        <w:r>
          <w:rPr>
            <w:noProof/>
            <w:webHidden/>
          </w:rPr>
        </w:r>
        <w:r>
          <w:rPr>
            <w:noProof/>
            <w:webHidden/>
          </w:rPr>
          <w:fldChar w:fldCharType="separate"/>
        </w:r>
        <w:r>
          <w:rPr>
            <w:noProof/>
            <w:webHidden/>
          </w:rPr>
          <w:t>1424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6" w:history="1">
        <w:r w:rsidRPr="00775B91">
          <w:rPr>
            <w:rStyle w:val="a5"/>
            <w:noProof/>
          </w:rPr>
          <w:t>Title: Communications of the ACM</w:t>
        </w:r>
        <w:r>
          <w:rPr>
            <w:noProof/>
            <w:webHidden/>
          </w:rPr>
          <w:tab/>
        </w:r>
        <w:r>
          <w:rPr>
            <w:noProof/>
            <w:webHidden/>
          </w:rPr>
          <w:fldChar w:fldCharType="begin"/>
        </w:r>
        <w:r>
          <w:rPr>
            <w:noProof/>
            <w:webHidden/>
          </w:rPr>
          <w:instrText xml:space="preserve"> PAGEREF _Toc420815076 \h </w:instrText>
        </w:r>
        <w:r>
          <w:rPr>
            <w:noProof/>
            <w:webHidden/>
          </w:rPr>
        </w:r>
        <w:r>
          <w:rPr>
            <w:noProof/>
            <w:webHidden/>
          </w:rPr>
          <w:fldChar w:fldCharType="separate"/>
        </w:r>
        <w:r>
          <w:rPr>
            <w:noProof/>
            <w:webHidden/>
          </w:rPr>
          <w:t>1425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7" w:history="1">
        <w:r w:rsidRPr="00775B91">
          <w:rPr>
            <w:rStyle w:val="a5"/>
            <w:noProof/>
          </w:rPr>
          <w:t>Title: Communications-European Journal of Communication Research</w:t>
        </w:r>
        <w:r>
          <w:rPr>
            <w:noProof/>
            <w:webHidden/>
          </w:rPr>
          <w:tab/>
        </w:r>
        <w:r>
          <w:rPr>
            <w:noProof/>
            <w:webHidden/>
          </w:rPr>
          <w:fldChar w:fldCharType="begin"/>
        </w:r>
        <w:r>
          <w:rPr>
            <w:noProof/>
            <w:webHidden/>
          </w:rPr>
          <w:instrText xml:space="preserve"> PAGEREF _Toc420815077 \h </w:instrText>
        </w:r>
        <w:r>
          <w:rPr>
            <w:noProof/>
            <w:webHidden/>
          </w:rPr>
        </w:r>
        <w:r>
          <w:rPr>
            <w:noProof/>
            <w:webHidden/>
          </w:rPr>
          <w:fldChar w:fldCharType="separate"/>
        </w:r>
        <w:r>
          <w:rPr>
            <w:noProof/>
            <w:webHidden/>
          </w:rPr>
          <w:t>1427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8" w:history="1">
        <w:r w:rsidRPr="00775B91">
          <w:rPr>
            <w:rStyle w:val="a5"/>
            <w:noProof/>
          </w:rPr>
          <w:t>Title: Community Dentistry and Oral Epidemiology</w:t>
        </w:r>
        <w:r>
          <w:rPr>
            <w:noProof/>
            <w:webHidden/>
          </w:rPr>
          <w:tab/>
        </w:r>
        <w:r>
          <w:rPr>
            <w:noProof/>
            <w:webHidden/>
          </w:rPr>
          <w:fldChar w:fldCharType="begin"/>
        </w:r>
        <w:r>
          <w:rPr>
            <w:noProof/>
            <w:webHidden/>
          </w:rPr>
          <w:instrText xml:space="preserve"> PAGEREF _Toc420815078 \h </w:instrText>
        </w:r>
        <w:r>
          <w:rPr>
            <w:noProof/>
            <w:webHidden/>
          </w:rPr>
        </w:r>
        <w:r>
          <w:rPr>
            <w:noProof/>
            <w:webHidden/>
          </w:rPr>
          <w:fldChar w:fldCharType="separate"/>
        </w:r>
        <w:r>
          <w:rPr>
            <w:noProof/>
            <w:webHidden/>
          </w:rPr>
          <w:t>1428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79" w:history="1">
        <w:r w:rsidRPr="00775B91">
          <w:rPr>
            <w:rStyle w:val="a5"/>
            <w:noProof/>
          </w:rPr>
          <w:t>Title: Comparative Biochemistry and Physiology C-Toxicology &amp; Pharmacology</w:t>
        </w:r>
        <w:r>
          <w:rPr>
            <w:noProof/>
            <w:webHidden/>
          </w:rPr>
          <w:tab/>
        </w:r>
        <w:r>
          <w:rPr>
            <w:noProof/>
            <w:webHidden/>
          </w:rPr>
          <w:fldChar w:fldCharType="begin"/>
        </w:r>
        <w:r>
          <w:rPr>
            <w:noProof/>
            <w:webHidden/>
          </w:rPr>
          <w:instrText xml:space="preserve"> PAGEREF _Toc420815079 \h </w:instrText>
        </w:r>
        <w:r>
          <w:rPr>
            <w:noProof/>
            <w:webHidden/>
          </w:rPr>
        </w:r>
        <w:r>
          <w:rPr>
            <w:noProof/>
            <w:webHidden/>
          </w:rPr>
          <w:fldChar w:fldCharType="separate"/>
        </w:r>
        <w:r>
          <w:rPr>
            <w:noProof/>
            <w:webHidden/>
          </w:rPr>
          <w:t>1430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0" w:history="1">
        <w:r w:rsidRPr="00775B91">
          <w:rPr>
            <w:rStyle w:val="a5"/>
            <w:noProof/>
          </w:rPr>
          <w:t>Title: Comparative Medicine</w:t>
        </w:r>
        <w:r>
          <w:rPr>
            <w:noProof/>
            <w:webHidden/>
          </w:rPr>
          <w:tab/>
        </w:r>
        <w:r>
          <w:rPr>
            <w:noProof/>
            <w:webHidden/>
          </w:rPr>
          <w:fldChar w:fldCharType="begin"/>
        </w:r>
        <w:r>
          <w:rPr>
            <w:noProof/>
            <w:webHidden/>
          </w:rPr>
          <w:instrText xml:space="preserve"> PAGEREF _Toc420815080 \h </w:instrText>
        </w:r>
        <w:r>
          <w:rPr>
            <w:noProof/>
            <w:webHidden/>
          </w:rPr>
        </w:r>
        <w:r>
          <w:rPr>
            <w:noProof/>
            <w:webHidden/>
          </w:rPr>
          <w:fldChar w:fldCharType="separate"/>
        </w:r>
        <w:r>
          <w:rPr>
            <w:noProof/>
            <w:webHidden/>
          </w:rPr>
          <w:t>1432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1" w:history="1">
        <w:r w:rsidRPr="00775B91">
          <w:rPr>
            <w:rStyle w:val="a5"/>
            <w:noProof/>
          </w:rPr>
          <w:t>Title: Compare: A Journal of Comparative Education</w:t>
        </w:r>
        <w:r>
          <w:rPr>
            <w:noProof/>
            <w:webHidden/>
          </w:rPr>
          <w:tab/>
        </w:r>
        <w:r>
          <w:rPr>
            <w:noProof/>
            <w:webHidden/>
          </w:rPr>
          <w:fldChar w:fldCharType="begin"/>
        </w:r>
        <w:r>
          <w:rPr>
            <w:noProof/>
            <w:webHidden/>
          </w:rPr>
          <w:instrText xml:space="preserve"> PAGEREF _Toc420815081 \h </w:instrText>
        </w:r>
        <w:r>
          <w:rPr>
            <w:noProof/>
            <w:webHidden/>
          </w:rPr>
        </w:r>
        <w:r>
          <w:rPr>
            <w:noProof/>
            <w:webHidden/>
          </w:rPr>
          <w:fldChar w:fldCharType="separate"/>
        </w:r>
        <w:r>
          <w:rPr>
            <w:noProof/>
            <w:webHidden/>
          </w:rPr>
          <w:t>1433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2" w:history="1">
        <w:r w:rsidRPr="00775B91">
          <w:rPr>
            <w:rStyle w:val="a5"/>
            <w:noProof/>
          </w:rPr>
          <w:t>Title: Complementary Therapies in Medicine</w:t>
        </w:r>
        <w:r>
          <w:rPr>
            <w:noProof/>
            <w:webHidden/>
          </w:rPr>
          <w:tab/>
        </w:r>
        <w:r>
          <w:rPr>
            <w:noProof/>
            <w:webHidden/>
          </w:rPr>
          <w:fldChar w:fldCharType="begin"/>
        </w:r>
        <w:r>
          <w:rPr>
            <w:noProof/>
            <w:webHidden/>
          </w:rPr>
          <w:instrText xml:space="preserve"> PAGEREF _Toc420815082 \h </w:instrText>
        </w:r>
        <w:r>
          <w:rPr>
            <w:noProof/>
            <w:webHidden/>
          </w:rPr>
        </w:r>
        <w:r>
          <w:rPr>
            <w:noProof/>
            <w:webHidden/>
          </w:rPr>
          <w:fldChar w:fldCharType="separate"/>
        </w:r>
        <w:r>
          <w:rPr>
            <w:noProof/>
            <w:webHidden/>
          </w:rPr>
          <w:t>1434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3" w:history="1">
        <w:r w:rsidRPr="00775B91">
          <w:rPr>
            <w:rStyle w:val="a5"/>
            <w:noProof/>
          </w:rPr>
          <w:t>Title: Complementary Therapies in Nursing and Midwifery</w:t>
        </w:r>
        <w:r>
          <w:rPr>
            <w:noProof/>
            <w:webHidden/>
          </w:rPr>
          <w:tab/>
        </w:r>
        <w:r>
          <w:rPr>
            <w:noProof/>
            <w:webHidden/>
          </w:rPr>
          <w:fldChar w:fldCharType="begin"/>
        </w:r>
        <w:r>
          <w:rPr>
            <w:noProof/>
            <w:webHidden/>
          </w:rPr>
          <w:instrText xml:space="preserve"> PAGEREF _Toc420815083 \h </w:instrText>
        </w:r>
        <w:r>
          <w:rPr>
            <w:noProof/>
            <w:webHidden/>
          </w:rPr>
        </w:r>
        <w:r>
          <w:rPr>
            <w:noProof/>
            <w:webHidden/>
          </w:rPr>
          <w:fldChar w:fldCharType="separate"/>
        </w:r>
        <w:r>
          <w:rPr>
            <w:noProof/>
            <w:webHidden/>
          </w:rPr>
          <w:t>1439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4" w:history="1">
        <w:r w:rsidRPr="00775B91">
          <w:rPr>
            <w:rStyle w:val="a5"/>
            <w:noProof/>
            <w:lang w:val="fr-FR"/>
          </w:rPr>
          <w:t xml:space="preserve">Title: </w:t>
        </w:r>
        <w:r w:rsidRPr="00775B91">
          <w:rPr>
            <w:rStyle w:val="a5"/>
            <w:noProof/>
          </w:rPr>
          <w:t>Comprehensive Evaluation of Economy and Society with Statistical Science</w:t>
        </w:r>
        <w:r>
          <w:rPr>
            <w:noProof/>
            <w:webHidden/>
          </w:rPr>
          <w:tab/>
        </w:r>
        <w:r>
          <w:rPr>
            <w:noProof/>
            <w:webHidden/>
          </w:rPr>
          <w:fldChar w:fldCharType="begin"/>
        </w:r>
        <w:r>
          <w:rPr>
            <w:noProof/>
            <w:webHidden/>
          </w:rPr>
          <w:instrText xml:space="preserve"> PAGEREF _Toc420815084 \h </w:instrText>
        </w:r>
        <w:r>
          <w:rPr>
            <w:noProof/>
            <w:webHidden/>
          </w:rPr>
        </w:r>
        <w:r>
          <w:rPr>
            <w:noProof/>
            <w:webHidden/>
          </w:rPr>
          <w:fldChar w:fldCharType="separate"/>
        </w:r>
        <w:r>
          <w:rPr>
            <w:noProof/>
            <w:webHidden/>
          </w:rPr>
          <w:t>1440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5" w:history="1">
        <w:r w:rsidRPr="00775B91">
          <w:rPr>
            <w:rStyle w:val="a5"/>
            <w:noProof/>
            <w:lang w:val="fr-FR"/>
          </w:rPr>
          <w:t xml:space="preserve">Title: </w:t>
        </w:r>
        <w:r w:rsidRPr="00775B91">
          <w:rPr>
            <w:rStyle w:val="a5"/>
            <w:noProof/>
          </w:rPr>
          <w:t>Comprehensive Gerontology. Section A, Clinical and Laboratory Sciences</w:t>
        </w:r>
        <w:r>
          <w:rPr>
            <w:noProof/>
            <w:webHidden/>
          </w:rPr>
          <w:tab/>
        </w:r>
        <w:r>
          <w:rPr>
            <w:noProof/>
            <w:webHidden/>
          </w:rPr>
          <w:fldChar w:fldCharType="begin"/>
        </w:r>
        <w:r>
          <w:rPr>
            <w:noProof/>
            <w:webHidden/>
          </w:rPr>
          <w:instrText xml:space="preserve"> PAGEREF _Toc420815085 \h </w:instrText>
        </w:r>
        <w:r>
          <w:rPr>
            <w:noProof/>
            <w:webHidden/>
          </w:rPr>
        </w:r>
        <w:r>
          <w:rPr>
            <w:noProof/>
            <w:webHidden/>
          </w:rPr>
          <w:fldChar w:fldCharType="separate"/>
        </w:r>
        <w:r>
          <w:rPr>
            <w:noProof/>
            <w:webHidden/>
          </w:rPr>
          <w:t>1442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6" w:history="1">
        <w:r w:rsidRPr="00775B91">
          <w:rPr>
            <w:rStyle w:val="a5"/>
            <w:noProof/>
            <w:lang w:val="fr-FR"/>
          </w:rPr>
          <w:t xml:space="preserve">Title: </w:t>
        </w:r>
        <w:r w:rsidRPr="00775B91">
          <w:rPr>
            <w:rStyle w:val="a5"/>
            <w:noProof/>
          </w:rPr>
          <w:t>Comprehensive Reviews in Food Science and Food Safety</w:t>
        </w:r>
        <w:r>
          <w:rPr>
            <w:noProof/>
            <w:webHidden/>
          </w:rPr>
          <w:tab/>
        </w:r>
        <w:r>
          <w:rPr>
            <w:noProof/>
            <w:webHidden/>
          </w:rPr>
          <w:fldChar w:fldCharType="begin"/>
        </w:r>
        <w:r>
          <w:rPr>
            <w:noProof/>
            <w:webHidden/>
          </w:rPr>
          <w:instrText xml:space="preserve"> PAGEREF _Toc420815086 \h </w:instrText>
        </w:r>
        <w:r>
          <w:rPr>
            <w:noProof/>
            <w:webHidden/>
          </w:rPr>
        </w:r>
        <w:r>
          <w:rPr>
            <w:noProof/>
            <w:webHidden/>
          </w:rPr>
          <w:fldChar w:fldCharType="separate"/>
        </w:r>
        <w:r>
          <w:rPr>
            <w:noProof/>
            <w:webHidden/>
          </w:rPr>
          <w:t>1443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7" w:history="1">
        <w:r w:rsidRPr="00775B91">
          <w:rPr>
            <w:rStyle w:val="a5"/>
            <w:noProof/>
          </w:rPr>
          <w:t>Title: Comptes Rendus Biologies</w:t>
        </w:r>
        <w:r>
          <w:rPr>
            <w:noProof/>
            <w:webHidden/>
          </w:rPr>
          <w:tab/>
        </w:r>
        <w:r>
          <w:rPr>
            <w:noProof/>
            <w:webHidden/>
          </w:rPr>
          <w:fldChar w:fldCharType="begin"/>
        </w:r>
        <w:r>
          <w:rPr>
            <w:noProof/>
            <w:webHidden/>
          </w:rPr>
          <w:instrText xml:space="preserve"> PAGEREF _Toc420815087 \h </w:instrText>
        </w:r>
        <w:r>
          <w:rPr>
            <w:noProof/>
            <w:webHidden/>
          </w:rPr>
        </w:r>
        <w:r>
          <w:rPr>
            <w:noProof/>
            <w:webHidden/>
          </w:rPr>
          <w:fldChar w:fldCharType="separate"/>
        </w:r>
        <w:r>
          <w:rPr>
            <w:noProof/>
            <w:webHidden/>
          </w:rPr>
          <w:t>1444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8" w:history="1">
        <w:r w:rsidRPr="00775B91">
          <w:rPr>
            <w:rStyle w:val="a5"/>
            <w:noProof/>
          </w:rPr>
          <w:t>Title: Computational and Mathematical Organization Theory</w:t>
        </w:r>
        <w:r>
          <w:rPr>
            <w:noProof/>
            <w:webHidden/>
          </w:rPr>
          <w:tab/>
        </w:r>
        <w:r>
          <w:rPr>
            <w:noProof/>
            <w:webHidden/>
          </w:rPr>
          <w:fldChar w:fldCharType="begin"/>
        </w:r>
        <w:r>
          <w:rPr>
            <w:noProof/>
            <w:webHidden/>
          </w:rPr>
          <w:instrText xml:space="preserve"> PAGEREF _Toc420815088 \h </w:instrText>
        </w:r>
        <w:r>
          <w:rPr>
            <w:noProof/>
            <w:webHidden/>
          </w:rPr>
        </w:r>
        <w:r>
          <w:rPr>
            <w:noProof/>
            <w:webHidden/>
          </w:rPr>
          <w:fldChar w:fldCharType="separate"/>
        </w:r>
        <w:r>
          <w:rPr>
            <w:noProof/>
            <w:webHidden/>
          </w:rPr>
          <w:t>1445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89" w:history="1">
        <w:r w:rsidRPr="00775B91">
          <w:rPr>
            <w:rStyle w:val="a5"/>
            <w:noProof/>
          </w:rPr>
          <w:t>Title: Computer Journal</w:t>
        </w:r>
        <w:r>
          <w:rPr>
            <w:noProof/>
            <w:webHidden/>
          </w:rPr>
          <w:tab/>
        </w:r>
        <w:r>
          <w:rPr>
            <w:noProof/>
            <w:webHidden/>
          </w:rPr>
          <w:fldChar w:fldCharType="begin"/>
        </w:r>
        <w:r>
          <w:rPr>
            <w:noProof/>
            <w:webHidden/>
          </w:rPr>
          <w:instrText xml:space="preserve"> PAGEREF _Toc420815089 \h </w:instrText>
        </w:r>
        <w:r>
          <w:rPr>
            <w:noProof/>
            <w:webHidden/>
          </w:rPr>
        </w:r>
        <w:r>
          <w:rPr>
            <w:noProof/>
            <w:webHidden/>
          </w:rPr>
          <w:fldChar w:fldCharType="separate"/>
        </w:r>
        <w:r>
          <w:rPr>
            <w:noProof/>
            <w:webHidden/>
          </w:rPr>
          <w:t>1446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0" w:history="1">
        <w:r w:rsidRPr="00775B91">
          <w:rPr>
            <w:rStyle w:val="a5"/>
            <w:noProof/>
          </w:rPr>
          <w:t>Title: Computer Methods and Programs in Biomedicine</w:t>
        </w:r>
        <w:r>
          <w:rPr>
            <w:noProof/>
            <w:webHidden/>
          </w:rPr>
          <w:tab/>
        </w:r>
        <w:r>
          <w:rPr>
            <w:noProof/>
            <w:webHidden/>
          </w:rPr>
          <w:fldChar w:fldCharType="begin"/>
        </w:r>
        <w:r>
          <w:rPr>
            <w:noProof/>
            <w:webHidden/>
          </w:rPr>
          <w:instrText xml:space="preserve"> PAGEREF _Toc420815090 \h </w:instrText>
        </w:r>
        <w:r>
          <w:rPr>
            <w:noProof/>
            <w:webHidden/>
          </w:rPr>
        </w:r>
        <w:r>
          <w:rPr>
            <w:noProof/>
            <w:webHidden/>
          </w:rPr>
          <w:fldChar w:fldCharType="separate"/>
        </w:r>
        <w:r>
          <w:rPr>
            <w:noProof/>
            <w:webHidden/>
          </w:rPr>
          <w:t>1447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1" w:history="1">
        <w:r w:rsidRPr="00775B91">
          <w:rPr>
            <w:rStyle w:val="a5"/>
            <w:noProof/>
          </w:rPr>
          <w:t>Title: Computer Physics Communications</w:t>
        </w:r>
        <w:r>
          <w:rPr>
            <w:noProof/>
            <w:webHidden/>
          </w:rPr>
          <w:tab/>
        </w:r>
        <w:r>
          <w:rPr>
            <w:noProof/>
            <w:webHidden/>
          </w:rPr>
          <w:fldChar w:fldCharType="begin"/>
        </w:r>
        <w:r>
          <w:rPr>
            <w:noProof/>
            <w:webHidden/>
          </w:rPr>
          <w:instrText xml:space="preserve"> PAGEREF _Toc420815091 \h </w:instrText>
        </w:r>
        <w:r>
          <w:rPr>
            <w:noProof/>
            <w:webHidden/>
          </w:rPr>
        </w:r>
        <w:r>
          <w:rPr>
            <w:noProof/>
            <w:webHidden/>
          </w:rPr>
          <w:fldChar w:fldCharType="separate"/>
        </w:r>
        <w:r>
          <w:rPr>
            <w:noProof/>
            <w:webHidden/>
          </w:rPr>
          <w:t>1449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2" w:history="1">
        <w:r w:rsidRPr="00775B91">
          <w:rPr>
            <w:rStyle w:val="a5"/>
            <w:noProof/>
          </w:rPr>
          <w:t>Title: Computer Science and Information Systems</w:t>
        </w:r>
        <w:r>
          <w:rPr>
            <w:noProof/>
            <w:webHidden/>
          </w:rPr>
          <w:tab/>
        </w:r>
        <w:r>
          <w:rPr>
            <w:noProof/>
            <w:webHidden/>
          </w:rPr>
          <w:fldChar w:fldCharType="begin"/>
        </w:r>
        <w:r>
          <w:rPr>
            <w:noProof/>
            <w:webHidden/>
          </w:rPr>
          <w:instrText xml:space="preserve"> PAGEREF _Toc420815092 \h </w:instrText>
        </w:r>
        <w:r>
          <w:rPr>
            <w:noProof/>
            <w:webHidden/>
          </w:rPr>
        </w:r>
        <w:r>
          <w:rPr>
            <w:noProof/>
            <w:webHidden/>
          </w:rPr>
          <w:fldChar w:fldCharType="separate"/>
        </w:r>
        <w:r>
          <w:rPr>
            <w:noProof/>
            <w:webHidden/>
          </w:rPr>
          <w:t>1450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3" w:history="1">
        <w:r w:rsidRPr="00775B91">
          <w:rPr>
            <w:rStyle w:val="a5"/>
            <w:noProof/>
          </w:rPr>
          <w:t>Title: Computers and Biomedical Research</w:t>
        </w:r>
        <w:r>
          <w:rPr>
            <w:noProof/>
            <w:webHidden/>
          </w:rPr>
          <w:tab/>
        </w:r>
        <w:r>
          <w:rPr>
            <w:noProof/>
            <w:webHidden/>
          </w:rPr>
          <w:fldChar w:fldCharType="begin"/>
        </w:r>
        <w:r>
          <w:rPr>
            <w:noProof/>
            <w:webHidden/>
          </w:rPr>
          <w:instrText xml:space="preserve"> PAGEREF _Toc420815093 \h </w:instrText>
        </w:r>
        <w:r>
          <w:rPr>
            <w:noProof/>
            <w:webHidden/>
          </w:rPr>
        </w:r>
        <w:r>
          <w:rPr>
            <w:noProof/>
            <w:webHidden/>
          </w:rPr>
          <w:fldChar w:fldCharType="separate"/>
        </w:r>
        <w:r>
          <w:rPr>
            <w:noProof/>
            <w:webHidden/>
          </w:rPr>
          <w:t>1451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4" w:history="1">
        <w:r w:rsidRPr="00775B91">
          <w:rPr>
            <w:rStyle w:val="a5"/>
            <w:noProof/>
          </w:rPr>
          <w:t>Title: Computers &amp; Education</w:t>
        </w:r>
        <w:r>
          <w:rPr>
            <w:noProof/>
            <w:webHidden/>
          </w:rPr>
          <w:tab/>
        </w:r>
        <w:r>
          <w:rPr>
            <w:noProof/>
            <w:webHidden/>
          </w:rPr>
          <w:fldChar w:fldCharType="begin"/>
        </w:r>
        <w:r>
          <w:rPr>
            <w:noProof/>
            <w:webHidden/>
          </w:rPr>
          <w:instrText xml:space="preserve"> PAGEREF _Toc420815094 \h </w:instrText>
        </w:r>
        <w:r>
          <w:rPr>
            <w:noProof/>
            <w:webHidden/>
          </w:rPr>
        </w:r>
        <w:r>
          <w:rPr>
            <w:noProof/>
            <w:webHidden/>
          </w:rPr>
          <w:fldChar w:fldCharType="separate"/>
        </w:r>
        <w:r>
          <w:rPr>
            <w:noProof/>
            <w:webHidden/>
          </w:rPr>
          <w:t>1452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5" w:history="1">
        <w:r w:rsidRPr="00775B91">
          <w:rPr>
            <w:rStyle w:val="a5"/>
            <w:noProof/>
          </w:rPr>
          <w:t>Title: Computers &amp; Geosciences</w:t>
        </w:r>
        <w:r>
          <w:rPr>
            <w:noProof/>
            <w:webHidden/>
          </w:rPr>
          <w:tab/>
        </w:r>
        <w:r>
          <w:rPr>
            <w:noProof/>
            <w:webHidden/>
          </w:rPr>
          <w:fldChar w:fldCharType="begin"/>
        </w:r>
        <w:r>
          <w:rPr>
            <w:noProof/>
            <w:webHidden/>
          </w:rPr>
          <w:instrText xml:space="preserve"> PAGEREF _Toc420815095 \h </w:instrText>
        </w:r>
        <w:r>
          <w:rPr>
            <w:noProof/>
            <w:webHidden/>
          </w:rPr>
        </w:r>
        <w:r>
          <w:rPr>
            <w:noProof/>
            <w:webHidden/>
          </w:rPr>
          <w:fldChar w:fldCharType="separate"/>
        </w:r>
        <w:r>
          <w:rPr>
            <w:noProof/>
            <w:webHidden/>
          </w:rPr>
          <w:t>1456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6" w:history="1">
        <w:r w:rsidRPr="00775B91">
          <w:rPr>
            <w:rStyle w:val="a5"/>
            <w:noProof/>
          </w:rPr>
          <w:t>Title: Computers in Human Behavior</w:t>
        </w:r>
        <w:r>
          <w:rPr>
            <w:noProof/>
            <w:webHidden/>
          </w:rPr>
          <w:tab/>
        </w:r>
        <w:r>
          <w:rPr>
            <w:noProof/>
            <w:webHidden/>
          </w:rPr>
          <w:fldChar w:fldCharType="begin"/>
        </w:r>
        <w:r>
          <w:rPr>
            <w:noProof/>
            <w:webHidden/>
          </w:rPr>
          <w:instrText xml:space="preserve"> PAGEREF _Toc420815096 \h </w:instrText>
        </w:r>
        <w:r>
          <w:rPr>
            <w:noProof/>
            <w:webHidden/>
          </w:rPr>
        </w:r>
        <w:r>
          <w:rPr>
            <w:noProof/>
            <w:webHidden/>
          </w:rPr>
          <w:fldChar w:fldCharType="separate"/>
        </w:r>
        <w:r>
          <w:rPr>
            <w:noProof/>
            <w:webHidden/>
          </w:rPr>
          <w:t>1458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7" w:history="1">
        <w:r w:rsidRPr="00775B91">
          <w:rPr>
            <w:rStyle w:val="a5"/>
            <w:noProof/>
          </w:rPr>
          <w:t>Title: Computers &amp; Industrial Engineering</w:t>
        </w:r>
        <w:r>
          <w:rPr>
            <w:noProof/>
            <w:webHidden/>
          </w:rPr>
          <w:tab/>
        </w:r>
        <w:r>
          <w:rPr>
            <w:noProof/>
            <w:webHidden/>
          </w:rPr>
          <w:fldChar w:fldCharType="begin"/>
        </w:r>
        <w:r>
          <w:rPr>
            <w:noProof/>
            <w:webHidden/>
          </w:rPr>
          <w:instrText xml:space="preserve"> PAGEREF _Toc420815097 \h </w:instrText>
        </w:r>
        <w:r>
          <w:rPr>
            <w:noProof/>
            <w:webHidden/>
          </w:rPr>
        </w:r>
        <w:r>
          <w:rPr>
            <w:noProof/>
            <w:webHidden/>
          </w:rPr>
          <w:fldChar w:fldCharType="separate"/>
        </w:r>
        <w:r>
          <w:rPr>
            <w:noProof/>
            <w:webHidden/>
          </w:rPr>
          <w:t>1459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8" w:history="1">
        <w:r w:rsidRPr="00775B91">
          <w:rPr>
            <w:rStyle w:val="a5"/>
            <w:noProof/>
          </w:rPr>
          <w:t>Title: Computers in Industry</w:t>
        </w:r>
        <w:r>
          <w:rPr>
            <w:noProof/>
            <w:webHidden/>
          </w:rPr>
          <w:tab/>
        </w:r>
        <w:r>
          <w:rPr>
            <w:noProof/>
            <w:webHidden/>
          </w:rPr>
          <w:fldChar w:fldCharType="begin"/>
        </w:r>
        <w:r>
          <w:rPr>
            <w:noProof/>
            <w:webHidden/>
          </w:rPr>
          <w:instrText xml:space="preserve"> PAGEREF _Toc420815098 \h </w:instrText>
        </w:r>
        <w:r>
          <w:rPr>
            <w:noProof/>
            <w:webHidden/>
          </w:rPr>
        </w:r>
        <w:r>
          <w:rPr>
            <w:noProof/>
            <w:webHidden/>
          </w:rPr>
          <w:fldChar w:fldCharType="separate"/>
        </w:r>
        <w:r>
          <w:rPr>
            <w:noProof/>
            <w:webHidden/>
          </w:rPr>
          <w:t>1461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099" w:history="1">
        <w:r w:rsidRPr="00775B91">
          <w:rPr>
            <w:rStyle w:val="a5"/>
            <w:noProof/>
          </w:rPr>
          <w:t>Title: CIN-Computers Informatics Nursing</w:t>
        </w:r>
        <w:r>
          <w:rPr>
            <w:noProof/>
            <w:webHidden/>
          </w:rPr>
          <w:tab/>
        </w:r>
        <w:r>
          <w:rPr>
            <w:noProof/>
            <w:webHidden/>
          </w:rPr>
          <w:fldChar w:fldCharType="begin"/>
        </w:r>
        <w:r>
          <w:rPr>
            <w:noProof/>
            <w:webHidden/>
          </w:rPr>
          <w:instrText xml:space="preserve"> PAGEREF _Toc420815099 \h </w:instrText>
        </w:r>
        <w:r>
          <w:rPr>
            <w:noProof/>
            <w:webHidden/>
          </w:rPr>
        </w:r>
        <w:r>
          <w:rPr>
            <w:noProof/>
            <w:webHidden/>
          </w:rPr>
          <w:fldChar w:fldCharType="separate"/>
        </w:r>
        <w:r>
          <w:rPr>
            <w:noProof/>
            <w:webHidden/>
          </w:rPr>
          <w:t>1463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0" w:history="1">
        <w:r w:rsidRPr="00775B91">
          <w:rPr>
            <w:rStyle w:val="a5"/>
            <w:noProof/>
          </w:rPr>
          <w:t>Title: Computer Networks</w:t>
        </w:r>
        <w:r>
          <w:rPr>
            <w:noProof/>
            <w:webHidden/>
          </w:rPr>
          <w:tab/>
        </w:r>
        <w:r>
          <w:rPr>
            <w:noProof/>
            <w:webHidden/>
          </w:rPr>
          <w:fldChar w:fldCharType="begin"/>
        </w:r>
        <w:r>
          <w:rPr>
            <w:noProof/>
            <w:webHidden/>
          </w:rPr>
          <w:instrText xml:space="preserve"> PAGEREF _Toc420815100 \h </w:instrText>
        </w:r>
        <w:r>
          <w:rPr>
            <w:noProof/>
            <w:webHidden/>
          </w:rPr>
        </w:r>
        <w:r>
          <w:rPr>
            <w:noProof/>
            <w:webHidden/>
          </w:rPr>
          <w:fldChar w:fldCharType="separate"/>
        </w:r>
        <w:r>
          <w:rPr>
            <w:noProof/>
            <w:webHidden/>
          </w:rPr>
          <w:t>1464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1" w:history="1">
        <w:r w:rsidRPr="00775B91">
          <w:rPr>
            <w:rStyle w:val="a5"/>
            <w:noProof/>
          </w:rPr>
          <w:t>Title: Computers &amp; Structures</w:t>
        </w:r>
        <w:r>
          <w:rPr>
            <w:noProof/>
            <w:webHidden/>
          </w:rPr>
          <w:tab/>
        </w:r>
        <w:r>
          <w:rPr>
            <w:noProof/>
            <w:webHidden/>
          </w:rPr>
          <w:fldChar w:fldCharType="begin"/>
        </w:r>
        <w:r>
          <w:rPr>
            <w:noProof/>
            <w:webHidden/>
          </w:rPr>
          <w:instrText xml:space="preserve"> PAGEREF _Toc420815101 \h </w:instrText>
        </w:r>
        <w:r>
          <w:rPr>
            <w:noProof/>
            <w:webHidden/>
          </w:rPr>
        </w:r>
        <w:r>
          <w:rPr>
            <w:noProof/>
            <w:webHidden/>
          </w:rPr>
          <w:fldChar w:fldCharType="separate"/>
        </w:r>
        <w:r>
          <w:rPr>
            <w:noProof/>
            <w:webHidden/>
          </w:rPr>
          <w:t>1465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2" w:history="1">
        <w:r w:rsidRPr="00775B91">
          <w:rPr>
            <w:rStyle w:val="a5"/>
            <w:noProof/>
          </w:rPr>
          <w:t>Title: Comunicación y Sociedad</w:t>
        </w:r>
        <w:r>
          <w:rPr>
            <w:noProof/>
            <w:webHidden/>
          </w:rPr>
          <w:tab/>
        </w:r>
        <w:r>
          <w:rPr>
            <w:noProof/>
            <w:webHidden/>
          </w:rPr>
          <w:fldChar w:fldCharType="begin"/>
        </w:r>
        <w:r>
          <w:rPr>
            <w:noProof/>
            <w:webHidden/>
          </w:rPr>
          <w:instrText xml:space="preserve"> PAGEREF _Toc420815102 \h </w:instrText>
        </w:r>
        <w:r>
          <w:rPr>
            <w:noProof/>
            <w:webHidden/>
          </w:rPr>
        </w:r>
        <w:r>
          <w:rPr>
            <w:noProof/>
            <w:webHidden/>
          </w:rPr>
          <w:fldChar w:fldCharType="separate"/>
        </w:r>
        <w:r>
          <w:rPr>
            <w:noProof/>
            <w:webHidden/>
          </w:rPr>
          <w:t>1466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3" w:history="1">
        <w:r w:rsidRPr="00775B91">
          <w:rPr>
            <w:rStyle w:val="a5"/>
            <w:noProof/>
          </w:rPr>
          <w:t>Title: Comunicar</w:t>
        </w:r>
        <w:r>
          <w:rPr>
            <w:noProof/>
            <w:webHidden/>
          </w:rPr>
          <w:tab/>
        </w:r>
        <w:r>
          <w:rPr>
            <w:noProof/>
            <w:webHidden/>
          </w:rPr>
          <w:fldChar w:fldCharType="begin"/>
        </w:r>
        <w:r>
          <w:rPr>
            <w:noProof/>
            <w:webHidden/>
          </w:rPr>
          <w:instrText xml:space="preserve"> PAGEREF _Toc420815103 \h </w:instrText>
        </w:r>
        <w:r>
          <w:rPr>
            <w:noProof/>
            <w:webHidden/>
          </w:rPr>
        </w:r>
        <w:r>
          <w:rPr>
            <w:noProof/>
            <w:webHidden/>
          </w:rPr>
          <w:fldChar w:fldCharType="separate"/>
        </w:r>
        <w:r>
          <w:rPr>
            <w:noProof/>
            <w:webHidden/>
          </w:rPr>
          <w:t>1467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4" w:history="1">
        <w:r w:rsidRPr="00775B91">
          <w:rPr>
            <w:rStyle w:val="a5"/>
            <w:noProof/>
          </w:rPr>
          <w:t>Title: Concurrency and Computation: Practice &amp; Experience</w:t>
        </w:r>
        <w:r>
          <w:rPr>
            <w:noProof/>
            <w:webHidden/>
          </w:rPr>
          <w:tab/>
        </w:r>
        <w:r>
          <w:rPr>
            <w:noProof/>
            <w:webHidden/>
          </w:rPr>
          <w:fldChar w:fldCharType="begin"/>
        </w:r>
        <w:r>
          <w:rPr>
            <w:noProof/>
            <w:webHidden/>
          </w:rPr>
          <w:instrText xml:space="preserve"> PAGEREF _Toc420815104 \h </w:instrText>
        </w:r>
        <w:r>
          <w:rPr>
            <w:noProof/>
            <w:webHidden/>
          </w:rPr>
        </w:r>
        <w:r>
          <w:rPr>
            <w:noProof/>
            <w:webHidden/>
          </w:rPr>
          <w:fldChar w:fldCharType="separate"/>
        </w:r>
        <w:r>
          <w:rPr>
            <w:noProof/>
            <w:webHidden/>
          </w:rPr>
          <w:t>1473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5" w:history="1">
        <w:r w:rsidRPr="00775B91">
          <w:rPr>
            <w:rStyle w:val="a5"/>
            <w:noProof/>
          </w:rPr>
          <w:t>Title: Concurrent Engineering-Research and Applications</w:t>
        </w:r>
        <w:r>
          <w:rPr>
            <w:noProof/>
            <w:webHidden/>
          </w:rPr>
          <w:tab/>
        </w:r>
        <w:r>
          <w:rPr>
            <w:noProof/>
            <w:webHidden/>
          </w:rPr>
          <w:fldChar w:fldCharType="begin"/>
        </w:r>
        <w:r>
          <w:rPr>
            <w:noProof/>
            <w:webHidden/>
          </w:rPr>
          <w:instrText xml:space="preserve"> PAGEREF _Toc420815105 \h </w:instrText>
        </w:r>
        <w:r>
          <w:rPr>
            <w:noProof/>
            <w:webHidden/>
          </w:rPr>
        </w:r>
        <w:r>
          <w:rPr>
            <w:noProof/>
            <w:webHidden/>
          </w:rPr>
          <w:fldChar w:fldCharType="separate"/>
        </w:r>
        <w:r>
          <w:rPr>
            <w:noProof/>
            <w:webHidden/>
          </w:rPr>
          <w:t>1475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6" w:history="1">
        <w:r w:rsidRPr="00775B91">
          <w:rPr>
            <w:rStyle w:val="a5"/>
            <w:noProof/>
          </w:rPr>
          <w:t>Title: Conference Record of the Thirty-First IEEE Photovoltaic Specialists Conference - 2005</w:t>
        </w:r>
        <w:r>
          <w:rPr>
            <w:noProof/>
            <w:webHidden/>
          </w:rPr>
          <w:tab/>
        </w:r>
        <w:r>
          <w:rPr>
            <w:noProof/>
            <w:webHidden/>
          </w:rPr>
          <w:fldChar w:fldCharType="begin"/>
        </w:r>
        <w:r>
          <w:rPr>
            <w:noProof/>
            <w:webHidden/>
          </w:rPr>
          <w:instrText xml:space="preserve"> PAGEREF _Toc420815106 \h </w:instrText>
        </w:r>
        <w:r>
          <w:rPr>
            <w:noProof/>
            <w:webHidden/>
          </w:rPr>
        </w:r>
        <w:r>
          <w:rPr>
            <w:noProof/>
            <w:webHidden/>
          </w:rPr>
          <w:fldChar w:fldCharType="separate"/>
        </w:r>
        <w:r>
          <w:rPr>
            <w:noProof/>
            <w:webHidden/>
          </w:rPr>
          <w:t>1476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7" w:history="1">
        <w:r w:rsidRPr="00775B91">
          <w:rPr>
            <w:rStyle w:val="a5"/>
            <w:noProof/>
          </w:rPr>
          <w:t>Title: Conservation Biology</w:t>
        </w:r>
        <w:r>
          <w:rPr>
            <w:noProof/>
            <w:webHidden/>
          </w:rPr>
          <w:tab/>
        </w:r>
        <w:r>
          <w:rPr>
            <w:noProof/>
            <w:webHidden/>
          </w:rPr>
          <w:fldChar w:fldCharType="begin"/>
        </w:r>
        <w:r>
          <w:rPr>
            <w:noProof/>
            <w:webHidden/>
          </w:rPr>
          <w:instrText xml:space="preserve"> PAGEREF _Toc420815107 \h </w:instrText>
        </w:r>
        <w:r>
          <w:rPr>
            <w:noProof/>
            <w:webHidden/>
          </w:rPr>
        </w:r>
        <w:r>
          <w:rPr>
            <w:noProof/>
            <w:webHidden/>
          </w:rPr>
          <w:fldChar w:fldCharType="separate"/>
        </w:r>
        <w:r>
          <w:rPr>
            <w:noProof/>
            <w:webHidden/>
          </w:rPr>
          <w:t>1477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8" w:history="1">
        <w:r w:rsidRPr="00775B91">
          <w:rPr>
            <w:rStyle w:val="a5"/>
            <w:noProof/>
          </w:rPr>
          <w:t>Title: Conservation Letters</w:t>
        </w:r>
        <w:r>
          <w:rPr>
            <w:noProof/>
            <w:webHidden/>
          </w:rPr>
          <w:tab/>
        </w:r>
        <w:r>
          <w:rPr>
            <w:noProof/>
            <w:webHidden/>
          </w:rPr>
          <w:fldChar w:fldCharType="begin"/>
        </w:r>
        <w:r>
          <w:rPr>
            <w:noProof/>
            <w:webHidden/>
          </w:rPr>
          <w:instrText xml:space="preserve"> PAGEREF _Toc420815108 \h </w:instrText>
        </w:r>
        <w:r>
          <w:rPr>
            <w:noProof/>
            <w:webHidden/>
          </w:rPr>
        </w:r>
        <w:r>
          <w:rPr>
            <w:noProof/>
            <w:webHidden/>
          </w:rPr>
          <w:fldChar w:fldCharType="separate"/>
        </w:r>
        <w:r>
          <w:rPr>
            <w:noProof/>
            <w:webHidden/>
          </w:rPr>
          <w:t>1485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09" w:history="1">
        <w:r w:rsidRPr="00775B91">
          <w:rPr>
            <w:rStyle w:val="a5"/>
            <w:noProof/>
          </w:rPr>
          <w:t>Title: Construction and Building Materials</w:t>
        </w:r>
        <w:r>
          <w:rPr>
            <w:noProof/>
            <w:webHidden/>
          </w:rPr>
          <w:tab/>
        </w:r>
        <w:r>
          <w:rPr>
            <w:noProof/>
            <w:webHidden/>
          </w:rPr>
          <w:fldChar w:fldCharType="begin"/>
        </w:r>
        <w:r>
          <w:rPr>
            <w:noProof/>
            <w:webHidden/>
          </w:rPr>
          <w:instrText xml:space="preserve"> PAGEREF _Toc420815109 \h </w:instrText>
        </w:r>
        <w:r>
          <w:rPr>
            <w:noProof/>
            <w:webHidden/>
          </w:rPr>
        </w:r>
        <w:r>
          <w:rPr>
            <w:noProof/>
            <w:webHidden/>
          </w:rPr>
          <w:fldChar w:fldCharType="separate"/>
        </w:r>
        <w:r>
          <w:rPr>
            <w:noProof/>
            <w:webHidden/>
          </w:rPr>
          <w:t>1486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0" w:history="1">
        <w:r w:rsidRPr="00775B91">
          <w:rPr>
            <w:rStyle w:val="a5"/>
            <w:noProof/>
          </w:rPr>
          <w:t>Title: Contact Dermatitis</w:t>
        </w:r>
        <w:r>
          <w:rPr>
            <w:noProof/>
            <w:webHidden/>
          </w:rPr>
          <w:tab/>
        </w:r>
        <w:r>
          <w:rPr>
            <w:noProof/>
            <w:webHidden/>
          </w:rPr>
          <w:fldChar w:fldCharType="begin"/>
        </w:r>
        <w:r>
          <w:rPr>
            <w:noProof/>
            <w:webHidden/>
          </w:rPr>
          <w:instrText xml:space="preserve"> PAGEREF _Toc420815110 \h </w:instrText>
        </w:r>
        <w:r>
          <w:rPr>
            <w:noProof/>
            <w:webHidden/>
          </w:rPr>
        </w:r>
        <w:r>
          <w:rPr>
            <w:noProof/>
            <w:webHidden/>
          </w:rPr>
          <w:fldChar w:fldCharType="separate"/>
        </w:r>
        <w:r>
          <w:rPr>
            <w:noProof/>
            <w:webHidden/>
          </w:rPr>
          <w:t>1488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1" w:history="1">
        <w:r w:rsidRPr="00775B91">
          <w:rPr>
            <w:rStyle w:val="a5"/>
            <w:noProof/>
          </w:rPr>
          <w:t>Title: Contemporary Clinical Trials</w:t>
        </w:r>
        <w:r>
          <w:rPr>
            <w:noProof/>
            <w:webHidden/>
          </w:rPr>
          <w:tab/>
        </w:r>
        <w:r>
          <w:rPr>
            <w:noProof/>
            <w:webHidden/>
          </w:rPr>
          <w:fldChar w:fldCharType="begin"/>
        </w:r>
        <w:r>
          <w:rPr>
            <w:noProof/>
            <w:webHidden/>
          </w:rPr>
          <w:instrText xml:space="preserve"> PAGEREF _Toc420815111 \h </w:instrText>
        </w:r>
        <w:r>
          <w:rPr>
            <w:noProof/>
            <w:webHidden/>
          </w:rPr>
        </w:r>
        <w:r>
          <w:rPr>
            <w:noProof/>
            <w:webHidden/>
          </w:rPr>
          <w:fldChar w:fldCharType="separate"/>
        </w:r>
        <w:r>
          <w:rPr>
            <w:noProof/>
            <w:webHidden/>
          </w:rPr>
          <w:t>1491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2" w:history="1">
        <w:r w:rsidRPr="00775B91">
          <w:rPr>
            <w:rStyle w:val="a5"/>
            <w:noProof/>
          </w:rPr>
          <w:t>Title: Contemporary Educational Psychology</w:t>
        </w:r>
        <w:r>
          <w:rPr>
            <w:noProof/>
            <w:webHidden/>
          </w:rPr>
          <w:tab/>
        </w:r>
        <w:r>
          <w:rPr>
            <w:noProof/>
            <w:webHidden/>
          </w:rPr>
          <w:fldChar w:fldCharType="begin"/>
        </w:r>
        <w:r>
          <w:rPr>
            <w:noProof/>
            <w:webHidden/>
          </w:rPr>
          <w:instrText xml:space="preserve"> PAGEREF _Toc420815112 \h </w:instrText>
        </w:r>
        <w:r>
          <w:rPr>
            <w:noProof/>
            <w:webHidden/>
          </w:rPr>
        </w:r>
        <w:r>
          <w:rPr>
            <w:noProof/>
            <w:webHidden/>
          </w:rPr>
          <w:fldChar w:fldCharType="separate"/>
        </w:r>
        <w:r>
          <w:rPr>
            <w:noProof/>
            <w:webHidden/>
          </w:rPr>
          <w:t>1495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3" w:history="1">
        <w:r w:rsidRPr="00775B91">
          <w:rPr>
            <w:rStyle w:val="a5"/>
            <w:noProof/>
          </w:rPr>
          <w:t>Title: Contemporary Physics</w:t>
        </w:r>
        <w:r>
          <w:rPr>
            <w:noProof/>
            <w:webHidden/>
          </w:rPr>
          <w:tab/>
        </w:r>
        <w:r>
          <w:rPr>
            <w:noProof/>
            <w:webHidden/>
          </w:rPr>
          <w:fldChar w:fldCharType="begin"/>
        </w:r>
        <w:r>
          <w:rPr>
            <w:noProof/>
            <w:webHidden/>
          </w:rPr>
          <w:instrText xml:space="preserve"> PAGEREF _Toc420815113 \h </w:instrText>
        </w:r>
        <w:r>
          <w:rPr>
            <w:noProof/>
            <w:webHidden/>
          </w:rPr>
        </w:r>
        <w:r>
          <w:rPr>
            <w:noProof/>
            <w:webHidden/>
          </w:rPr>
          <w:fldChar w:fldCharType="separate"/>
        </w:r>
        <w:r>
          <w:rPr>
            <w:noProof/>
            <w:webHidden/>
          </w:rPr>
          <w:t>1496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4" w:history="1">
        <w:r w:rsidRPr="00775B91">
          <w:rPr>
            <w:rStyle w:val="a5"/>
            <w:noProof/>
          </w:rPr>
          <w:t>Title: Contraception</w:t>
        </w:r>
        <w:r>
          <w:rPr>
            <w:noProof/>
            <w:webHidden/>
          </w:rPr>
          <w:tab/>
        </w:r>
        <w:r>
          <w:rPr>
            <w:noProof/>
            <w:webHidden/>
          </w:rPr>
          <w:fldChar w:fldCharType="begin"/>
        </w:r>
        <w:r>
          <w:rPr>
            <w:noProof/>
            <w:webHidden/>
          </w:rPr>
          <w:instrText xml:space="preserve"> PAGEREF _Toc420815114 \h </w:instrText>
        </w:r>
        <w:r>
          <w:rPr>
            <w:noProof/>
            <w:webHidden/>
          </w:rPr>
        </w:r>
        <w:r>
          <w:rPr>
            <w:noProof/>
            <w:webHidden/>
          </w:rPr>
          <w:fldChar w:fldCharType="separate"/>
        </w:r>
        <w:r>
          <w:rPr>
            <w:noProof/>
            <w:webHidden/>
          </w:rPr>
          <w:t>1497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5" w:history="1">
        <w:r w:rsidRPr="00775B91">
          <w:rPr>
            <w:rStyle w:val="a5"/>
            <w:noProof/>
          </w:rPr>
          <w:t>Title: Control Engineering</w:t>
        </w:r>
        <w:r>
          <w:rPr>
            <w:noProof/>
            <w:webHidden/>
          </w:rPr>
          <w:tab/>
        </w:r>
        <w:r>
          <w:rPr>
            <w:noProof/>
            <w:webHidden/>
          </w:rPr>
          <w:fldChar w:fldCharType="begin"/>
        </w:r>
        <w:r>
          <w:rPr>
            <w:noProof/>
            <w:webHidden/>
          </w:rPr>
          <w:instrText xml:space="preserve"> PAGEREF _Toc420815115 \h </w:instrText>
        </w:r>
        <w:r>
          <w:rPr>
            <w:noProof/>
            <w:webHidden/>
          </w:rPr>
        </w:r>
        <w:r>
          <w:rPr>
            <w:noProof/>
            <w:webHidden/>
          </w:rPr>
          <w:fldChar w:fldCharType="separate"/>
        </w:r>
        <w:r>
          <w:rPr>
            <w:noProof/>
            <w:webHidden/>
          </w:rPr>
          <w:t>1498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6" w:history="1">
        <w:r w:rsidRPr="00775B91">
          <w:rPr>
            <w:rStyle w:val="a5"/>
            <w:noProof/>
          </w:rPr>
          <w:t>Title: Control Engineering and Applied Informatics</w:t>
        </w:r>
        <w:r>
          <w:rPr>
            <w:noProof/>
            <w:webHidden/>
          </w:rPr>
          <w:tab/>
        </w:r>
        <w:r>
          <w:rPr>
            <w:noProof/>
            <w:webHidden/>
          </w:rPr>
          <w:fldChar w:fldCharType="begin"/>
        </w:r>
        <w:r>
          <w:rPr>
            <w:noProof/>
            <w:webHidden/>
          </w:rPr>
          <w:instrText xml:space="preserve"> PAGEREF _Toc420815116 \h </w:instrText>
        </w:r>
        <w:r>
          <w:rPr>
            <w:noProof/>
            <w:webHidden/>
          </w:rPr>
        </w:r>
        <w:r>
          <w:rPr>
            <w:noProof/>
            <w:webHidden/>
          </w:rPr>
          <w:fldChar w:fldCharType="separate"/>
        </w:r>
        <w:r>
          <w:rPr>
            <w:noProof/>
            <w:webHidden/>
          </w:rPr>
          <w:t>1499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7" w:history="1">
        <w:r w:rsidRPr="00775B91">
          <w:rPr>
            <w:rStyle w:val="a5"/>
            <w:noProof/>
          </w:rPr>
          <w:t>Title: Cornea</w:t>
        </w:r>
        <w:r>
          <w:rPr>
            <w:noProof/>
            <w:webHidden/>
          </w:rPr>
          <w:tab/>
        </w:r>
        <w:r>
          <w:rPr>
            <w:noProof/>
            <w:webHidden/>
          </w:rPr>
          <w:fldChar w:fldCharType="begin"/>
        </w:r>
        <w:r>
          <w:rPr>
            <w:noProof/>
            <w:webHidden/>
          </w:rPr>
          <w:instrText xml:space="preserve"> PAGEREF _Toc420815117 \h </w:instrText>
        </w:r>
        <w:r>
          <w:rPr>
            <w:noProof/>
            <w:webHidden/>
          </w:rPr>
        </w:r>
        <w:r>
          <w:rPr>
            <w:noProof/>
            <w:webHidden/>
          </w:rPr>
          <w:fldChar w:fldCharType="separate"/>
        </w:r>
        <w:r>
          <w:rPr>
            <w:noProof/>
            <w:webHidden/>
          </w:rPr>
          <w:t>1500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8" w:history="1">
        <w:r w:rsidRPr="00775B91">
          <w:rPr>
            <w:rStyle w:val="a5"/>
            <w:noProof/>
          </w:rPr>
          <w:t>Title: Coronary Artery Disease</w:t>
        </w:r>
        <w:r>
          <w:rPr>
            <w:noProof/>
            <w:webHidden/>
          </w:rPr>
          <w:tab/>
        </w:r>
        <w:r>
          <w:rPr>
            <w:noProof/>
            <w:webHidden/>
          </w:rPr>
          <w:fldChar w:fldCharType="begin"/>
        </w:r>
        <w:r>
          <w:rPr>
            <w:noProof/>
            <w:webHidden/>
          </w:rPr>
          <w:instrText xml:space="preserve"> PAGEREF _Toc420815118 \h </w:instrText>
        </w:r>
        <w:r>
          <w:rPr>
            <w:noProof/>
            <w:webHidden/>
          </w:rPr>
        </w:r>
        <w:r>
          <w:rPr>
            <w:noProof/>
            <w:webHidden/>
          </w:rPr>
          <w:fldChar w:fldCharType="separate"/>
        </w:r>
        <w:r>
          <w:rPr>
            <w:noProof/>
            <w:webHidden/>
          </w:rPr>
          <w:t>1502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19" w:history="1">
        <w:r w:rsidRPr="00775B91">
          <w:rPr>
            <w:rStyle w:val="a5"/>
            <w:noProof/>
          </w:rPr>
          <w:t>Title: Corporate Governance-An International Review</w:t>
        </w:r>
        <w:r>
          <w:rPr>
            <w:noProof/>
            <w:webHidden/>
          </w:rPr>
          <w:tab/>
        </w:r>
        <w:r>
          <w:rPr>
            <w:noProof/>
            <w:webHidden/>
          </w:rPr>
          <w:fldChar w:fldCharType="begin"/>
        </w:r>
        <w:r>
          <w:rPr>
            <w:noProof/>
            <w:webHidden/>
          </w:rPr>
          <w:instrText xml:space="preserve"> PAGEREF _Toc420815119 \h </w:instrText>
        </w:r>
        <w:r>
          <w:rPr>
            <w:noProof/>
            <w:webHidden/>
          </w:rPr>
        </w:r>
        <w:r>
          <w:rPr>
            <w:noProof/>
            <w:webHidden/>
          </w:rPr>
          <w:fldChar w:fldCharType="separate"/>
        </w:r>
        <w:r>
          <w:rPr>
            <w:noProof/>
            <w:webHidden/>
          </w:rPr>
          <w:t>1506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0" w:history="1">
        <w:r w:rsidRPr="00775B91">
          <w:rPr>
            <w:rStyle w:val="a5"/>
            <w:noProof/>
            <w:lang w:val="fr-FR"/>
          </w:rPr>
          <w:t xml:space="preserve">Title: </w:t>
        </w:r>
        <w:r w:rsidRPr="00775B91">
          <w:rPr>
            <w:rStyle w:val="a5"/>
            <w:noProof/>
          </w:rPr>
          <w:t>Corporate Social Responsibility and Environmental Management</w:t>
        </w:r>
        <w:r>
          <w:rPr>
            <w:noProof/>
            <w:webHidden/>
          </w:rPr>
          <w:tab/>
        </w:r>
        <w:r>
          <w:rPr>
            <w:noProof/>
            <w:webHidden/>
          </w:rPr>
          <w:fldChar w:fldCharType="begin"/>
        </w:r>
        <w:r>
          <w:rPr>
            <w:noProof/>
            <w:webHidden/>
          </w:rPr>
          <w:instrText xml:space="preserve"> PAGEREF _Toc420815120 \h </w:instrText>
        </w:r>
        <w:r>
          <w:rPr>
            <w:noProof/>
            <w:webHidden/>
          </w:rPr>
        </w:r>
        <w:r>
          <w:rPr>
            <w:noProof/>
            <w:webHidden/>
          </w:rPr>
          <w:fldChar w:fldCharType="separate"/>
        </w:r>
        <w:r>
          <w:rPr>
            <w:noProof/>
            <w:webHidden/>
          </w:rPr>
          <w:t>1508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1" w:history="1">
        <w:r w:rsidRPr="00775B91">
          <w:rPr>
            <w:rStyle w:val="a5"/>
            <w:noProof/>
          </w:rPr>
          <w:t>Title: Cortex</w:t>
        </w:r>
        <w:r>
          <w:rPr>
            <w:noProof/>
            <w:webHidden/>
          </w:rPr>
          <w:tab/>
        </w:r>
        <w:r>
          <w:rPr>
            <w:noProof/>
            <w:webHidden/>
          </w:rPr>
          <w:fldChar w:fldCharType="begin"/>
        </w:r>
        <w:r>
          <w:rPr>
            <w:noProof/>
            <w:webHidden/>
          </w:rPr>
          <w:instrText xml:space="preserve"> PAGEREF _Toc420815121 \h </w:instrText>
        </w:r>
        <w:r>
          <w:rPr>
            <w:noProof/>
            <w:webHidden/>
          </w:rPr>
        </w:r>
        <w:r>
          <w:rPr>
            <w:noProof/>
            <w:webHidden/>
          </w:rPr>
          <w:fldChar w:fldCharType="separate"/>
        </w:r>
        <w:r>
          <w:rPr>
            <w:noProof/>
            <w:webHidden/>
          </w:rPr>
          <w:t>1510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2" w:history="1">
        <w:r w:rsidRPr="00775B91">
          <w:rPr>
            <w:rStyle w:val="a5"/>
            <w:noProof/>
          </w:rPr>
          <w:t>Title: Counseling Psychology</w:t>
        </w:r>
        <w:r>
          <w:rPr>
            <w:noProof/>
            <w:webHidden/>
          </w:rPr>
          <w:tab/>
        </w:r>
        <w:r>
          <w:rPr>
            <w:noProof/>
            <w:webHidden/>
          </w:rPr>
          <w:fldChar w:fldCharType="begin"/>
        </w:r>
        <w:r>
          <w:rPr>
            <w:noProof/>
            <w:webHidden/>
          </w:rPr>
          <w:instrText xml:space="preserve"> PAGEREF _Toc420815122 \h </w:instrText>
        </w:r>
        <w:r>
          <w:rPr>
            <w:noProof/>
            <w:webHidden/>
          </w:rPr>
        </w:r>
        <w:r>
          <w:rPr>
            <w:noProof/>
            <w:webHidden/>
          </w:rPr>
          <w:fldChar w:fldCharType="separate"/>
        </w:r>
        <w:r>
          <w:rPr>
            <w:noProof/>
            <w:webHidden/>
          </w:rPr>
          <w:t>1513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3" w:history="1">
        <w:r w:rsidRPr="00775B91">
          <w:rPr>
            <w:rStyle w:val="a5"/>
            <w:noProof/>
          </w:rPr>
          <w:t>Title: Creativity Research Journal</w:t>
        </w:r>
        <w:r>
          <w:rPr>
            <w:noProof/>
            <w:webHidden/>
          </w:rPr>
          <w:tab/>
        </w:r>
        <w:r>
          <w:rPr>
            <w:noProof/>
            <w:webHidden/>
          </w:rPr>
          <w:fldChar w:fldCharType="begin"/>
        </w:r>
        <w:r>
          <w:rPr>
            <w:noProof/>
            <w:webHidden/>
          </w:rPr>
          <w:instrText xml:space="preserve"> PAGEREF _Toc420815123 \h </w:instrText>
        </w:r>
        <w:r>
          <w:rPr>
            <w:noProof/>
            <w:webHidden/>
          </w:rPr>
        </w:r>
        <w:r>
          <w:rPr>
            <w:noProof/>
            <w:webHidden/>
          </w:rPr>
          <w:fldChar w:fldCharType="separate"/>
        </w:r>
        <w:r>
          <w:rPr>
            <w:noProof/>
            <w:webHidden/>
          </w:rPr>
          <w:t>1514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4" w:history="1">
        <w:r w:rsidRPr="00775B91">
          <w:rPr>
            <w:rStyle w:val="a5"/>
            <w:noProof/>
          </w:rPr>
          <w:t>Title: Crime and Justice: A Review of Research</w:t>
        </w:r>
        <w:r>
          <w:rPr>
            <w:noProof/>
            <w:webHidden/>
          </w:rPr>
          <w:tab/>
        </w:r>
        <w:r>
          <w:rPr>
            <w:noProof/>
            <w:webHidden/>
          </w:rPr>
          <w:fldChar w:fldCharType="begin"/>
        </w:r>
        <w:r>
          <w:rPr>
            <w:noProof/>
            <w:webHidden/>
          </w:rPr>
          <w:instrText xml:space="preserve"> PAGEREF _Toc420815124 \h </w:instrText>
        </w:r>
        <w:r>
          <w:rPr>
            <w:noProof/>
            <w:webHidden/>
          </w:rPr>
        </w:r>
        <w:r>
          <w:rPr>
            <w:noProof/>
            <w:webHidden/>
          </w:rPr>
          <w:fldChar w:fldCharType="separate"/>
        </w:r>
        <w:r>
          <w:rPr>
            <w:noProof/>
            <w:webHidden/>
          </w:rPr>
          <w:t>1516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5" w:history="1">
        <w:r w:rsidRPr="00775B91">
          <w:rPr>
            <w:rStyle w:val="a5"/>
            <w:noProof/>
          </w:rPr>
          <w:t>Title: Crisis-the Journal of Crisis Intervention and Suicide Prevention</w:t>
        </w:r>
        <w:r>
          <w:rPr>
            <w:noProof/>
            <w:webHidden/>
          </w:rPr>
          <w:tab/>
        </w:r>
        <w:r>
          <w:rPr>
            <w:noProof/>
            <w:webHidden/>
          </w:rPr>
          <w:fldChar w:fldCharType="begin"/>
        </w:r>
        <w:r>
          <w:rPr>
            <w:noProof/>
            <w:webHidden/>
          </w:rPr>
          <w:instrText xml:space="preserve"> PAGEREF _Toc420815125 \h </w:instrText>
        </w:r>
        <w:r>
          <w:rPr>
            <w:noProof/>
            <w:webHidden/>
          </w:rPr>
        </w:r>
        <w:r>
          <w:rPr>
            <w:noProof/>
            <w:webHidden/>
          </w:rPr>
          <w:fldChar w:fldCharType="separate"/>
        </w:r>
        <w:r>
          <w:rPr>
            <w:noProof/>
            <w:webHidden/>
          </w:rPr>
          <w:t>1517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6" w:history="1">
        <w:r w:rsidRPr="00775B91">
          <w:rPr>
            <w:rStyle w:val="a5"/>
            <w:noProof/>
          </w:rPr>
          <w:t>Title: Critical Care</w:t>
        </w:r>
        <w:r>
          <w:rPr>
            <w:noProof/>
            <w:webHidden/>
          </w:rPr>
          <w:tab/>
        </w:r>
        <w:r>
          <w:rPr>
            <w:noProof/>
            <w:webHidden/>
          </w:rPr>
          <w:fldChar w:fldCharType="begin"/>
        </w:r>
        <w:r>
          <w:rPr>
            <w:noProof/>
            <w:webHidden/>
          </w:rPr>
          <w:instrText xml:space="preserve"> PAGEREF _Toc420815126 \h </w:instrText>
        </w:r>
        <w:r>
          <w:rPr>
            <w:noProof/>
            <w:webHidden/>
          </w:rPr>
        </w:r>
        <w:r>
          <w:rPr>
            <w:noProof/>
            <w:webHidden/>
          </w:rPr>
          <w:fldChar w:fldCharType="separate"/>
        </w:r>
        <w:r>
          <w:rPr>
            <w:noProof/>
            <w:webHidden/>
          </w:rPr>
          <w:t>1519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7" w:history="1">
        <w:r w:rsidRPr="00775B91">
          <w:rPr>
            <w:rStyle w:val="a5"/>
            <w:noProof/>
          </w:rPr>
          <w:t>Title: Critical Care Medicine</w:t>
        </w:r>
        <w:r>
          <w:rPr>
            <w:noProof/>
            <w:webHidden/>
          </w:rPr>
          <w:tab/>
        </w:r>
        <w:r>
          <w:rPr>
            <w:noProof/>
            <w:webHidden/>
          </w:rPr>
          <w:fldChar w:fldCharType="begin"/>
        </w:r>
        <w:r>
          <w:rPr>
            <w:noProof/>
            <w:webHidden/>
          </w:rPr>
          <w:instrText xml:space="preserve"> PAGEREF _Toc420815127 \h </w:instrText>
        </w:r>
        <w:r>
          <w:rPr>
            <w:noProof/>
            <w:webHidden/>
          </w:rPr>
        </w:r>
        <w:r>
          <w:rPr>
            <w:noProof/>
            <w:webHidden/>
          </w:rPr>
          <w:fldChar w:fldCharType="separate"/>
        </w:r>
        <w:r>
          <w:rPr>
            <w:noProof/>
            <w:webHidden/>
          </w:rPr>
          <w:t>1533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8" w:history="1">
        <w:r w:rsidRPr="00775B91">
          <w:rPr>
            <w:rStyle w:val="a5"/>
            <w:noProof/>
          </w:rPr>
          <w:t>Title: Critical Perspectives on International Business</w:t>
        </w:r>
        <w:r>
          <w:rPr>
            <w:noProof/>
            <w:webHidden/>
          </w:rPr>
          <w:tab/>
        </w:r>
        <w:r>
          <w:rPr>
            <w:noProof/>
            <w:webHidden/>
          </w:rPr>
          <w:fldChar w:fldCharType="begin"/>
        </w:r>
        <w:r>
          <w:rPr>
            <w:noProof/>
            <w:webHidden/>
          </w:rPr>
          <w:instrText xml:space="preserve"> PAGEREF _Toc420815128 \h </w:instrText>
        </w:r>
        <w:r>
          <w:rPr>
            <w:noProof/>
            <w:webHidden/>
          </w:rPr>
        </w:r>
        <w:r>
          <w:rPr>
            <w:noProof/>
            <w:webHidden/>
          </w:rPr>
          <w:fldChar w:fldCharType="separate"/>
        </w:r>
        <w:r>
          <w:rPr>
            <w:noProof/>
            <w:webHidden/>
          </w:rPr>
          <w:t>1550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29" w:history="1">
        <w:r w:rsidRPr="00775B91">
          <w:rPr>
            <w:rStyle w:val="a5"/>
            <w:noProof/>
          </w:rPr>
          <w:t>Title: Critical Public Health</w:t>
        </w:r>
        <w:r>
          <w:rPr>
            <w:noProof/>
            <w:webHidden/>
          </w:rPr>
          <w:tab/>
        </w:r>
        <w:r>
          <w:rPr>
            <w:noProof/>
            <w:webHidden/>
          </w:rPr>
          <w:fldChar w:fldCharType="begin"/>
        </w:r>
        <w:r>
          <w:rPr>
            <w:noProof/>
            <w:webHidden/>
          </w:rPr>
          <w:instrText xml:space="preserve"> PAGEREF _Toc420815129 \h </w:instrText>
        </w:r>
        <w:r>
          <w:rPr>
            <w:noProof/>
            <w:webHidden/>
          </w:rPr>
        </w:r>
        <w:r>
          <w:rPr>
            <w:noProof/>
            <w:webHidden/>
          </w:rPr>
          <w:fldChar w:fldCharType="separate"/>
        </w:r>
        <w:r>
          <w:rPr>
            <w:noProof/>
            <w:webHidden/>
          </w:rPr>
          <w:t>1551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0" w:history="1">
        <w:r w:rsidRPr="00775B91">
          <w:rPr>
            <w:rStyle w:val="a5"/>
            <w:noProof/>
          </w:rPr>
          <w:t>Title: Critical Reviews in Analytical Chemistry</w:t>
        </w:r>
        <w:r>
          <w:rPr>
            <w:noProof/>
            <w:webHidden/>
          </w:rPr>
          <w:tab/>
        </w:r>
        <w:r>
          <w:rPr>
            <w:noProof/>
            <w:webHidden/>
          </w:rPr>
          <w:fldChar w:fldCharType="begin"/>
        </w:r>
        <w:r>
          <w:rPr>
            <w:noProof/>
            <w:webHidden/>
          </w:rPr>
          <w:instrText xml:space="preserve"> PAGEREF _Toc420815130 \h </w:instrText>
        </w:r>
        <w:r>
          <w:rPr>
            <w:noProof/>
            <w:webHidden/>
          </w:rPr>
        </w:r>
        <w:r>
          <w:rPr>
            <w:noProof/>
            <w:webHidden/>
          </w:rPr>
          <w:fldChar w:fldCharType="separate"/>
        </w:r>
        <w:r>
          <w:rPr>
            <w:noProof/>
            <w:webHidden/>
          </w:rPr>
          <w:t>1553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1" w:history="1">
        <w:r w:rsidRPr="00775B91">
          <w:rPr>
            <w:rStyle w:val="a5"/>
            <w:noProof/>
          </w:rPr>
          <w:t>Title: Critical Reviews in Environmental Science and Technology</w:t>
        </w:r>
        <w:r>
          <w:rPr>
            <w:noProof/>
            <w:webHidden/>
          </w:rPr>
          <w:tab/>
        </w:r>
        <w:r>
          <w:rPr>
            <w:noProof/>
            <w:webHidden/>
          </w:rPr>
          <w:fldChar w:fldCharType="begin"/>
        </w:r>
        <w:r>
          <w:rPr>
            <w:noProof/>
            <w:webHidden/>
          </w:rPr>
          <w:instrText xml:space="preserve"> PAGEREF _Toc420815131 \h </w:instrText>
        </w:r>
        <w:r>
          <w:rPr>
            <w:noProof/>
            <w:webHidden/>
          </w:rPr>
        </w:r>
        <w:r>
          <w:rPr>
            <w:noProof/>
            <w:webHidden/>
          </w:rPr>
          <w:fldChar w:fldCharType="separate"/>
        </w:r>
        <w:r>
          <w:rPr>
            <w:noProof/>
            <w:webHidden/>
          </w:rPr>
          <w:t>1554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2" w:history="1">
        <w:r w:rsidRPr="00775B91">
          <w:rPr>
            <w:rStyle w:val="a5"/>
            <w:noProof/>
          </w:rPr>
          <w:t>Title: Critical Reviews in Eukaryotic Gene Expression</w:t>
        </w:r>
        <w:r>
          <w:rPr>
            <w:noProof/>
            <w:webHidden/>
          </w:rPr>
          <w:tab/>
        </w:r>
        <w:r>
          <w:rPr>
            <w:noProof/>
            <w:webHidden/>
          </w:rPr>
          <w:fldChar w:fldCharType="begin"/>
        </w:r>
        <w:r>
          <w:rPr>
            <w:noProof/>
            <w:webHidden/>
          </w:rPr>
          <w:instrText xml:space="preserve"> PAGEREF _Toc420815132 \h </w:instrText>
        </w:r>
        <w:r>
          <w:rPr>
            <w:noProof/>
            <w:webHidden/>
          </w:rPr>
        </w:r>
        <w:r>
          <w:rPr>
            <w:noProof/>
            <w:webHidden/>
          </w:rPr>
          <w:fldChar w:fldCharType="separate"/>
        </w:r>
        <w:r>
          <w:rPr>
            <w:noProof/>
            <w:webHidden/>
          </w:rPr>
          <w:t>1556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3" w:history="1">
        <w:r w:rsidRPr="00775B91">
          <w:rPr>
            <w:rStyle w:val="a5"/>
            <w:noProof/>
          </w:rPr>
          <w:t>Title: Critical Reviews in Food Science and Nutrition</w:t>
        </w:r>
        <w:r>
          <w:rPr>
            <w:noProof/>
            <w:webHidden/>
          </w:rPr>
          <w:tab/>
        </w:r>
        <w:r>
          <w:rPr>
            <w:noProof/>
            <w:webHidden/>
          </w:rPr>
          <w:fldChar w:fldCharType="begin"/>
        </w:r>
        <w:r>
          <w:rPr>
            <w:noProof/>
            <w:webHidden/>
          </w:rPr>
          <w:instrText xml:space="preserve"> PAGEREF _Toc420815133 \h </w:instrText>
        </w:r>
        <w:r>
          <w:rPr>
            <w:noProof/>
            <w:webHidden/>
          </w:rPr>
        </w:r>
        <w:r>
          <w:rPr>
            <w:noProof/>
            <w:webHidden/>
          </w:rPr>
          <w:fldChar w:fldCharType="separate"/>
        </w:r>
        <w:r>
          <w:rPr>
            <w:noProof/>
            <w:webHidden/>
          </w:rPr>
          <w:t>1558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4" w:history="1">
        <w:r w:rsidRPr="00775B91">
          <w:rPr>
            <w:rStyle w:val="a5"/>
            <w:noProof/>
          </w:rPr>
          <w:t>Title: Critical Reviews in Microbiology</w:t>
        </w:r>
        <w:r>
          <w:rPr>
            <w:noProof/>
            <w:webHidden/>
          </w:rPr>
          <w:tab/>
        </w:r>
        <w:r>
          <w:rPr>
            <w:noProof/>
            <w:webHidden/>
          </w:rPr>
          <w:fldChar w:fldCharType="begin"/>
        </w:r>
        <w:r>
          <w:rPr>
            <w:noProof/>
            <w:webHidden/>
          </w:rPr>
          <w:instrText xml:space="preserve"> PAGEREF _Toc420815134 \h </w:instrText>
        </w:r>
        <w:r>
          <w:rPr>
            <w:noProof/>
            <w:webHidden/>
          </w:rPr>
        </w:r>
        <w:r>
          <w:rPr>
            <w:noProof/>
            <w:webHidden/>
          </w:rPr>
          <w:fldChar w:fldCharType="separate"/>
        </w:r>
        <w:r>
          <w:rPr>
            <w:noProof/>
            <w:webHidden/>
          </w:rPr>
          <w:t>1560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5" w:history="1">
        <w:r w:rsidRPr="00775B91">
          <w:rPr>
            <w:rStyle w:val="a5"/>
            <w:noProof/>
          </w:rPr>
          <w:t>Title: Critical Reviews in Oncology Hematology</w:t>
        </w:r>
        <w:r>
          <w:rPr>
            <w:noProof/>
            <w:webHidden/>
          </w:rPr>
          <w:tab/>
        </w:r>
        <w:r>
          <w:rPr>
            <w:noProof/>
            <w:webHidden/>
          </w:rPr>
          <w:fldChar w:fldCharType="begin"/>
        </w:r>
        <w:r>
          <w:rPr>
            <w:noProof/>
            <w:webHidden/>
          </w:rPr>
          <w:instrText xml:space="preserve"> PAGEREF _Toc420815135 \h </w:instrText>
        </w:r>
        <w:r>
          <w:rPr>
            <w:noProof/>
            <w:webHidden/>
          </w:rPr>
        </w:r>
        <w:r>
          <w:rPr>
            <w:noProof/>
            <w:webHidden/>
          </w:rPr>
          <w:fldChar w:fldCharType="separate"/>
        </w:r>
        <w:r>
          <w:rPr>
            <w:noProof/>
            <w:webHidden/>
          </w:rPr>
          <w:t>1561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6" w:history="1">
        <w:r w:rsidRPr="00775B91">
          <w:rPr>
            <w:rStyle w:val="a5"/>
            <w:noProof/>
          </w:rPr>
          <w:t>Title: Cryptogamie Algologie</w:t>
        </w:r>
        <w:r>
          <w:rPr>
            <w:noProof/>
            <w:webHidden/>
          </w:rPr>
          <w:tab/>
        </w:r>
        <w:r>
          <w:rPr>
            <w:noProof/>
            <w:webHidden/>
          </w:rPr>
          <w:fldChar w:fldCharType="begin"/>
        </w:r>
        <w:r>
          <w:rPr>
            <w:noProof/>
            <w:webHidden/>
          </w:rPr>
          <w:instrText xml:space="preserve"> PAGEREF _Toc420815136 \h </w:instrText>
        </w:r>
        <w:r>
          <w:rPr>
            <w:noProof/>
            <w:webHidden/>
          </w:rPr>
        </w:r>
        <w:r>
          <w:rPr>
            <w:noProof/>
            <w:webHidden/>
          </w:rPr>
          <w:fldChar w:fldCharType="separate"/>
        </w:r>
        <w:r>
          <w:rPr>
            <w:noProof/>
            <w:webHidden/>
          </w:rPr>
          <w:t>1565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7" w:history="1">
        <w:r w:rsidRPr="00775B91">
          <w:rPr>
            <w:rStyle w:val="a5"/>
            <w:noProof/>
          </w:rPr>
          <w:t>Title: Croatian Medical Journal</w:t>
        </w:r>
        <w:r>
          <w:rPr>
            <w:noProof/>
            <w:webHidden/>
          </w:rPr>
          <w:tab/>
        </w:r>
        <w:r>
          <w:rPr>
            <w:noProof/>
            <w:webHidden/>
          </w:rPr>
          <w:fldChar w:fldCharType="begin"/>
        </w:r>
        <w:r>
          <w:rPr>
            <w:noProof/>
            <w:webHidden/>
          </w:rPr>
          <w:instrText xml:space="preserve"> PAGEREF _Toc420815137 \h </w:instrText>
        </w:r>
        <w:r>
          <w:rPr>
            <w:noProof/>
            <w:webHidden/>
          </w:rPr>
        </w:r>
        <w:r>
          <w:rPr>
            <w:noProof/>
            <w:webHidden/>
          </w:rPr>
          <w:fldChar w:fldCharType="separate"/>
        </w:r>
        <w:r>
          <w:rPr>
            <w:noProof/>
            <w:webHidden/>
          </w:rPr>
          <w:t>1567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8" w:history="1">
        <w:r w:rsidRPr="00775B91">
          <w:rPr>
            <w:rStyle w:val="a5"/>
            <w:noProof/>
          </w:rPr>
          <w:t>Title: Croatica Chemica Acta</w:t>
        </w:r>
        <w:r>
          <w:rPr>
            <w:noProof/>
            <w:webHidden/>
          </w:rPr>
          <w:tab/>
        </w:r>
        <w:r>
          <w:rPr>
            <w:noProof/>
            <w:webHidden/>
          </w:rPr>
          <w:fldChar w:fldCharType="begin"/>
        </w:r>
        <w:r>
          <w:rPr>
            <w:noProof/>
            <w:webHidden/>
          </w:rPr>
          <w:instrText xml:space="preserve"> PAGEREF _Toc420815138 \h </w:instrText>
        </w:r>
        <w:r>
          <w:rPr>
            <w:noProof/>
            <w:webHidden/>
          </w:rPr>
        </w:r>
        <w:r>
          <w:rPr>
            <w:noProof/>
            <w:webHidden/>
          </w:rPr>
          <w:fldChar w:fldCharType="separate"/>
        </w:r>
        <w:r>
          <w:rPr>
            <w:noProof/>
            <w:webHidden/>
          </w:rPr>
          <w:t>1576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39" w:history="1">
        <w:r w:rsidRPr="00775B91">
          <w:rPr>
            <w:rStyle w:val="a5"/>
            <w:noProof/>
          </w:rPr>
          <w:t>Title: Corrosion Engineering Science and Technology</w:t>
        </w:r>
        <w:r>
          <w:rPr>
            <w:noProof/>
            <w:webHidden/>
          </w:rPr>
          <w:tab/>
        </w:r>
        <w:r>
          <w:rPr>
            <w:noProof/>
            <w:webHidden/>
          </w:rPr>
          <w:fldChar w:fldCharType="begin"/>
        </w:r>
        <w:r>
          <w:rPr>
            <w:noProof/>
            <w:webHidden/>
          </w:rPr>
          <w:instrText xml:space="preserve"> PAGEREF _Toc420815139 \h </w:instrText>
        </w:r>
        <w:r>
          <w:rPr>
            <w:noProof/>
            <w:webHidden/>
          </w:rPr>
        </w:r>
        <w:r>
          <w:rPr>
            <w:noProof/>
            <w:webHidden/>
          </w:rPr>
          <w:fldChar w:fldCharType="separate"/>
        </w:r>
        <w:r>
          <w:rPr>
            <w:noProof/>
            <w:webHidden/>
          </w:rPr>
          <w:t>1579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0" w:history="1">
        <w:r w:rsidRPr="00775B91">
          <w:rPr>
            <w:rStyle w:val="a5"/>
            <w:noProof/>
          </w:rPr>
          <w:t>Title: Corrosion Reviews</w:t>
        </w:r>
        <w:r>
          <w:rPr>
            <w:noProof/>
            <w:webHidden/>
          </w:rPr>
          <w:tab/>
        </w:r>
        <w:r>
          <w:rPr>
            <w:noProof/>
            <w:webHidden/>
          </w:rPr>
          <w:fldChar w:fldCharType="begin"/>
        </w:r>
        <w:r>
          <w:rPr>
            <w:noProof/>
            <w:webHidden/>
          </w:rPr>
          <w:instrText xml:space="preserve"> PAGEREF _Toc420815140 \h </w:instrText>
        </w:r>
        <w:r>
          <w:rPr>
            <w:noProof/>
            <w:webHidden/>
          </w:rPr>
        </w:r>
        <w:r>
          <w:rPr>
            <w:noProof/>
            <w:webHidden/>
          </w:rPr>
          <w:fldChar w:fldCharType="separate"/>
        </w:r>
        <w:r>
          <w:rPr>
            <w:noProof/>
            <w:webHidden/>
          </w:rPr>
          <w:t>1580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1" w:history="1">
        <w:r w:rsidRPr="00775B91">
          <w:rPr>
            <w:rStyle w:val="a5"/>
            <w:noProof/>
          </w:rPr>
          <w:t>Title: Crustacean Issues, History of Carcinology</w:t>
        </w:r>
        <w:r>
          <w:rPr>
            <w:noProof/>
            <w:webHidden/>
          </w:rPr>
          <w:tab/>
        </w:r>
        <w:r>
          <w:rPr>
            <w:noProof/>
            <w:webHidden/>
          </w:rPr>
          <w:fldChar w:fldCharType="begin"/>
        </w:r>
        <w:r>
          <w:rPr>
            <w:noProof/>
            <w:webHidden/>
          </w:rPr>
          <w:instrText xml:space="preserve"> PAGEREF _Toc420815141 \h </w:instrText>
        </w:r>
        <w:r>
          <w:rPr>
            <w:noProof/>
            <w:webHidden/>
          </w:rPr>
        </w:r>
        <w:r>
          <w:rPr>
            <w:noProof/>
            <w:webHidden/>
          </w:rPr>
          <w:fldChar w:fldCharType="separate"/>
        </w:r>
        <w:r>
          <w:rPr>
            <w:noProof/>
            <w:webHidden/>
          </w:rPr>
          <w:t>1581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2" w:history="1">
        <w:r w:rsidRPr="00775B91">
          <w:rPr>
            <w:rStyle w:val="a5"/>
            <w:noProof/>
          </w:rPr>
          <w:t>Title: Cuadernos de Economia y Direccion de la Empresa</w:t>
        </w:r>
        <w:r>
          <w:rPr>
            <w:noProof/>
            <w:webHidden/>
          </w:rPr>
          <w:tab/>
        </w:r>
        <w:r>
          <w:rPr>
            <w:noProof/>
            <w:webHidden/>
          </w:rPr>
          <w:fldChar w:fldCharType="begin"/>
        </w:r>
        <w:r>
          <w:rPr>
            <w:noProof/>
            <w:webHidden/>
          </w:rPr>
          <w:instrText xml:space="preserve"> PAGEREF _Toc420815142 \h </w:instrText>
        </w:r>
        <w:r>
          <w:rPr>
            <w:noProof/>
            <w:webHidden/>
          </w:rPr>
        </w:r>
        <w:r>
          <w:rPr>
            <w:noProof/>
            <w:webHidden/>
          </w:rPr>
          <w:fldChar w:fldCharType="separate"/>
        </w:r>
        <w:r>
          <w:rPr>
            <w:noProof/>
            <w:webHidden/>
          </w:rPr>
          <w:t>1582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3" w:history="1">
        <w:r w:rsidRPr="00775B91">
          <w:rPr>
            <w:rStyle w:val="a5"/>
            <w:noProof/>
          </w:rPr>
          <w:t>Title: Cultura y Educacion</w:t>
        </w:r>
        <w:r>
          <w:rPr>
            <w:noProof/>
            <w:webHidden/>
          </w:rPr>
          <w:tab/>
        </w:r>
        <w:r>
          <w:rPr>
            <w:noProof/>
            <w:webHidden/>
          </w:rPr>
          <w:fldChar w:fldCharType="begin"/>
        </w:r>
        <w:r>
          <w:rPr>
            <w:noProof/>
            <w:webHidden/>
          </w:rPr>
          <w:instrText xml:space="preserve"> PAGEREF _Toc420815143 \h </w:instrText>
        </w:r>
        <w:r>
          <w:rPr>
            <w:noProof/>
            <w:webHidden/>
          </w:rPr>
        </w:r>
        <w:r>
          <w:rPr>
            <w:noProof/>
            <w:webHidden/>
          </w:rPr>
          <w:fldChar w:fldCharType="separate"/>
        </w:r>
        <w:r>
          <w:rPr>
            <w:noProof/>
            <w:webHidden/>
          </w:rPr>
          <w:t>1584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4" w:history="1">
        <w:r w:rsidRPr="00775B91">
          <w:rPr>
            <w:rStyle w:val="a5"/>
            <w:noProof/>
          </w:rPr>
          <w:t>Title: Cultural Diversity &amp; Ethnic Minority Psychology</w:t>
        </w:r>
        <w:r>
          <w:rPr>
            <w:noProof/>
            <w:webHidden/>
          </w:rPr>
          <w:tab/>
        </w:r>
        <w:r>
          <w:rPr>
            <w:noProof/>
            <w:webHidden/>
          </w:rPr>
          <w:fldChar w:fldCharType="begin"/>
        </w:r>
        <w:r>
          <w:rPr>
            <w:noProof/>
            <w:webHidden/>
          </w:rPr>
          <w:instrText xml:space="preserve"> PAGEREF _Toc420815144 \h </w:instrText>
        </w:r>
        <w:r>
          <w:rPr>
            <w:noProof/>
            <w:webHidden/>
          </w:rPr>
        </w:r>
        <w:r>
          <w:rPr>
            <w:noProof/>
            <w:webHidden/>
          </w:rPr>
          <w:fldChar w:fldCharType="separate"/>
        </w:r>
        <w:r>
          <w:rPr>
            <w:noProof/>
            <w:webHidden/>
          </w:rPr>
          <w:t>1585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5" w:history="1">
        <w:r w:rsidRPr="00775B91">
          <w:rPr>
            <w:rStyle w:val="a5"/>
            <w:noProof/>
          </w:rPr>
          <w:t>Title: Culture and Organization</w:t>
        </w:r>
        <w:r>
          <w:rPr>
            <w:noProof/>
            <w:webHidden/>
          </w:rPr>
          <w:tab/>
        </w:r>
        <w:r>
          <w:rPr>
            <w:noProof/>
            <w:webHidden/>
          </w:rPr>
          <w:fldChar w:fldCharType="begin"/>
        </w:r>
        <w:r>
          <w:rPr>
            <w:noProof/>
            <w:webHidden/>
          </w:rPr>
          <w:instrText xml:space="preserve"> PAGEREF _Toc420815145 \h </w:instrText>
        </w:r>
        <w:r>
          <w:rPr>
            <w:noProof/>
            <w:webHidden/>
          </w:rPr>
        </w:r>
        <w:r>
          <w:rPr>
            <w:noProof/>
            <w:webHidden/>
          </w:rPr>
          <w:fldChar w:fldCharType="separate"/>
        </w:r>
        <w:r>
          <w:rPr>
            <w:noProof/>
            <w:webHidden/>
          </w:rPr>
          <w:t>1587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6" w:history="1">
        <w:r w:rsidRPr="00775B91">
          <w:rPr>
            <w:rStyle w:val="a5"/>
            <w:noProof/>
          </w:rPr>
          <w:t>Title: Current Comments</w:t>
        </w:r>
        <w:r>
          <w:rPr>
            <w:noProof/>
            <w:webHidden/>
          </w:rPr>
          <w:tab/>
        </w:r>
        <w:r>
          <w:rPr>
            <w:noProof/>
            <w:webHidden/>
          </w:rPr>
          <w:fldChar w:fldCharType="begin"/>
        </w:r>
        <w:r>
          <w:rPr>
            <w:noProof/>
            <w:webHidden/>
          </w:rPr>
          <w:instrText xml:space="preserve"> PAGEREF _Toc420815146 \h </w:instrText>
        </w:r>
        <w:r>
          <w:rPr>
            <w:noProof/>
            <w:webHidden/>
          </w:rPr>
        </w:r>
        <w:r>
          <w:rPr>
            <w:noProof/>
            <w:webHidden/>
          </w:rPr>
          <w:fldChar w:fldCharType="separate"/>
        </w:r>
        <w:r>
          <w:rPr>
            <w:noProof/>
            <w:webHidden/>
          </w:rPr>
          <w:t>1589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7" w:history="1">
        <w:r w:rsidRPr="00775B91">
          <w:rPr>
            <w:rStyle w:val="a5"/>
            <w:noProof/>
          </w:rPr>
          <w:t>Title: Current Computer-Aided Drug Design</w:t>
        </w:r>
        <w:r>
          <w:rPr>
            <w:noProof/>
            <w:webHidden/>
          </w:rPr>
          <w:tab/>
        </w:r>
        <w:r>
          <w:rPr>
            <w:noProof/>
            <w:webHidden/>
          </w:rPr>
          <w:fldChar w:fldCharType="begin"/>
        </w:r>
        <w:r>
          <w:rPr>
            <w:noProof/>
            <w:webHidden/>
          </w:rPr>
          <w:instrText xml:space="preserve"> PAGEREF _Toc420815147 \h </w:instrText>
        </w:r>
        <w:r>
          <w:rPr>
            <w:noProof/>
            <w:webHidden/>
          </w:rPr>
        </w:r>
        <w:r>
          <w:rPr>
            <w:noProof/>
            <w:webHidden/>
          </w:rPr>
          <w:fldChar w:fldCharType="separate"/>
        </w:r>
        <w:r>
          <w:rPr>
            <w:noProof/>
            <w:webHidden/>
          </w:rPr>
          <w:t>1590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8" w:history="1">
        <w:r w:rsidRPr="00775B91">
          <w:rPr>
            <w:rStyle w:val="a5"/>
            <w:noProof/>
          </w:rPr>
          <w:t>Title: Current Contents</w:t>
        </w:r>
        <w:r>
          <w:rPr>
            <w:noProof/>
            <w:webHidden/>
          </w:rPr>
          <w:tab/>
        </w:r>
        <w:r>
          <w:rPr>
            <w:noProof/>
            <w:webHidden/>
          </w:rPr>
          <w:fldChar w:fldCharType="begin"/>
        </w:r>
        <w:r>
          <w:rPr>
            <w:noProof/>
            <w:webHidden/>
          </w:rPr>
          <w:instrText xml:space="preserve"> PAGEREF _Toc420815148 \h </w:instrText>
        </w:r>
        <w:r>
          <w:rPr>
            <w:noProof/>
            <w:webHidden/>
          </w:rPr>
        </w:r>
        <w:r>
          <w:rPr>
            <w:noProof/>
            <w:webHidden/>
          </w:rPr>
          <w:fldChar w:fldCharType="separate"/>
        </w:r>
        <w:r>
          <w:rPr>
            <w:noProof/>
            <w:webHidden/>
          </w:rPr>
          <w:t>1592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49" w:history="1">
        <w:r w:rsidRPr="00775B91">
          <w:rPr>
            <w:rStyle w:val="a5"/>
            <w:noProof/>
          </w:rPr>
          <w:t>Title: Current Contents/Agriculture Biology &amp; Environmental Sciences</w:t>
        </w:r>
        <w:r>
          <w:rPr>
            <w:noProof/>
            <w:webHidden/>
          </w:rPr>
          <w:tab/>
        </w:r>
        <w:r>
          <w:rPr>
            <w:noProof/>
            <w:webHidden/>
          </w:rPr>
          <w:fldChar w:fldCharType="begin"/>
        </w:r>
        <w:r>
          <w:rPr>
            <w:noProof/>
            <w:webHidden/>
          </w:rPr>
          <w:instrText xml:space="preserve"> PAGEREF _Toc420815149 \h </w:instrText>
        </w:r>
        <w:r>
          <w:rPr>
            <w:noProof/>
            <w:webHidden/>
          </w:rPr>
        </w:r>
        <w:r>
          <w:rPr>
            <w:noProof/>
            <w:webHidden/>
          </w:rPr>
          <w:fldChar w:fldCharType="separate"/>
        </w:r>
        <w:r>
          <w:rPr>
            <w:noProof/>
            <w:webHidden/>
          </w:rPr>
          <w:t>1612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0" w:history="1">
        <w:r w:rsidRPr="00775B91">
          <w:rPr>
            <w:rStyle w:val="a5"/>
            <w:noProof/>
          </w:rPr>
          <w:t>Title: Current Contents/Life Sciences</w:t>
        </w:r>
        <w:r>
          <w:rPr>
            <w:noProof/>
            <w:webHidden/>
          </w:rPr>
          <w:tab/>
        </w:r>
        <w:r>
          <w:rPr>
            <w:noProof/>
            <w:webHidden/>
          </w:rPr>
          <w:fldChar w:fldCharType="begin"/>
        </w:r>
        <w:r>
          <w:rPr>
            <w:noProof/>
            <w:webHidden/>
          </w:rPr>
          <w:instrText xml:space="preserve"> PAGEREF _Toc420815150 \h </w:instrText>
        </w:r>
        <w:r>
          <w:rPr>
            <w:noProof/>
            <w:webHidden/>
          </w:rPr>
        </w:r>
        <w:r>
          <w:rPr>
            <w:noProof/>
            <w:webHidden/>
          </w:rPr>
          <w:fldChar w:fldCharType="separate"/>
        </w:r>
        <w:r>
          <w:rPr>
            <w:noProof/>
            <w:webHidden/>
          </w:rPr>
          <w:t>1613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1" w:history="1">
        <w:r w:rsidRPr="00775B91">
          <w:rPr>
            <w:rStyle w:val="a5"/>
            <w:noProof/>
          </w:rPr>
          <w:t>Title: Current Drug Metabolism</w:t>
        </w:r>
        <w:r>
          <w:rPr>
            <w:noProof/>
            <w:webHidden/>
          </w:rPr>
          <w:tab/>
        </w:r>
        <w:r>
          <w:rPr>
            <w:noProof/>
            <w:webHidden/>
          </w:rPr>
          <w:fldChar w:fldCharType="begin"/>
        </w:r>
        <w:r>
          <w:rPr>
            <w:noProof/>
            <w:webHidden/>
          </w:rPr>
          <w:instrText xml:space="preserve"> PAGEREF _Toc420815151 \h </w:instrText>
        </w:r>
        <w:r>
          <w:rPr>
            <w:noProof/>
            <w:webHidden/>
          </w:rPr>
        </w:r>
        <w:r>
          <w:rPr>
            <w:noProof/>
            <w:webHidden/>
          </w:rPr>
          <w:fldChar w:fldCharType="separate"/>
        </w:r>
        <w:r>
          <w:rPr>
            <w:noProof/>
            <w:webHidden/>
          </w:rPr>
          <w:t>1615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2" w:history="1">
        <w:r w:rsidRPr="00775B91">
          <w:rPr>
            <w:rStyle w:val="a5"/>
            <w:noProof/>
          </w:rPr>
          <w:t>Title: Current Drug Targets</w:t>
        </w:r>
        <w:r>
          <w:rPr>
            <w:noProof/>
            <w:webHidden/>
          </w:rPr>
          <w:tab/>
        </w:r>
        <w:r>
          <w:rPr>
            <w:noProof/>
            <w:webHidden/>
          </w:rPr>
          <w:fldChar w:fldCharType="begin"/>
        </w:r>
        <w:r>
          <w:rPr>
            <w:noProof/>
            <w:webHidden/>
          </w:rPr>
          <w:instrText xml:space="preserve"> PAGEREF _Toc420815152 \h </w:instrText>
        </w:r>
        <w:r>
          <w:rPr>
            <w:noProof/>
            <w:webHidden/>
          </w:rPr>
        </w:r>
        <w:r>
          <w:rPr>
            <w:noProof/>
            <w:webHidden/>
          </w:rPr>
          <w:fldChar w:fldCharType="separate"/>
        </w:r>
        <w:r>
          <w:rPr>
            <w:noProof/>
            <w:webHidden/>
          </w:rPr>
          <w:t>1617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3" w:history="1">
        <w:r w:rsidRPr="00775B91">
          <w:rPr>
            <w:rStyle w:val="a5"/>
            <w:noProof/>
          </w:rPr>
          <w:t>Title: Current HIV/AIDS Reports</w:t>
        </w:r>
        <w:r>
          <w:rPr>
            <w:noProof/>
            <w:webHidden/>
          </w:rPr>
          <w:tab/>
        </w:r>
        <w:r>
          <w:rPr>
            <w:noProof/>
            <w:webHidden/>
          </w:rPr>
          <w:fldChar w:fldCharType="begin"/>
        </w:r>
        <w:r>
          <w:rPr>
            <w:noProof/>
            <w:webHidden/>
          </w:rPr>
          <w:instrText xml:space="preserve"> PAGEREF _Toc420815153 \h </w:instrText>
        </w:r>
        <w:r>
          <w:rPr>
            <w:noProof/>
            <w:webHidden/>
          </w:rPr>
        </w:r>
        <w:r>
          <w:rPr>
            <w:noProof/>
            <w:webHidden/>
          </w:rPr>
          <w:fldChar w:fldCharType="separate"/>
        </w:r>
        <w:r>
          <w:rPr>
            <w:noProof/>
            <w:webHidden/>
          </w:rPr>
          <w:t>1618</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4" w:history="1">
        <w:r w:rsidRPr="00775B91">
          <w:rPr>
            <w:rStyle w:val="a5"/>
            <w:noProof/>
          </w:rPr>
          <w:t>Title: Current HIV Research</w:t>
        </w:r>
        <w:r>
          <w:rPr>
            <w:noProof/>
            <w:webHidden/>
          </w:rPr>
          <w:tab/>
        </w:r>
        <w:r>
          <w:rPr>
            <w:noProof/>
            <w:webHidden/>
          </w:rPr>
          <w:fldChar w:fldCharType="begin"/>
        </w:r>
        <w:r>
          <w:rPr>
            <w:noProof/>
            <w:webHidden/>
          </w:rPr>
          <w:instrText xml:space="preserve"> PAGEREF _Toc420815154 \h </w:instrText>
        </w:r>
        <w:r>
          <w:rPr>
            <w:noProof/>
            <w:webHidden/>
          </w:rPr>
        </w:r>
        <w:r>
          <w:rPr>
            <w:noProof/>
            <w:webHidden/>
          </w:rPr>
          <w:fldChar w:fldCharType="separate"/>
        </w:r>
        <w:r>
          <w:rPr>
            <w:noProof/>
            <w:webHidden/>
          </w:rPr>
          <w:t>1620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5" w:history="1">
        <w:r w:rsidRPr="00775B91">
          <w:rPr>
            <w:rStyle w:val="a5"/>
            <w:noProof/>
          </w:rPr>
          <w:t>Title: Current Medicinal Chemistry</w:t>
        </w:r>
        <w:r>
          <w:rPr>
            <w:noProof/>
            <w:webHidden/>
          </w:rPr>
          <w:tab/>
        </w:r>
        <w:r>
          <w:rPr>
            <w:noProof/>
            <w:webHidden/>
          </w:rPr>
          <w:fldChar w:fldCharType="begin"/>
        </w:r>
        <w:r>
          <w:rPr>
            <w:noProof/>
            <w:webHidden/>
          </w:rPr>
          <w:instrText xml:space="preserve"> PAGEREF _Toc420815155 \h </w:instrText>
        </w:r>
        <w:r>
          <w:rPr>
            <w:noProof/>
            <w:webHidden/>
          </w:rPr>
        </w:r>
        <w:r>
          <w:rPr>
            <w:noProof/>
            <w:webHidden/>
          </w:rPr>
          <w:fldChar w:fldCharType="separate"/>
        </w:r>
        <w:r>
          <w:rPr>
            <w:noProof/>
            <w:webHidden/>
          </w:rPr>
          <w:t>1622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6" w:history="1">
        <w:r w:rsidRPr="00775B91">
          <w:rPr>
            <w:rStyle w:val="a5"/>
            <w:noProof/>
          </w:rPr>
          <w:t>Title: Current Medical Research and Opinion</w:t>
        </w:r>
        <w:r>
          <w:rPr>
            <w:noProof/>
            <w:webHidden/>
          </w:rPr>
          <w:tab/>
        </w:r>
        <w:r>
          <w:rPr>
            <w:noProof/>
            <w:webHidden/>
          </w:rPr>
          <w:fldChar w:fldCharType="begin"/>
        </w:r>
        <w:r>
          <w:rPr>
            <w:noProof/>
            <w:webHidden/>
          </w:rPr>
          <w:instrText xml:space="preserve"> PAGEREF _Toc420815156 \h </w:instrText>
        </w:r>
        <w:r>
          <w:rPr>
            <w:noProof/>
            <w:webHidden/>
          </w:rPr>
        </w:r>
        <w:r>
          <w:rPr>
            <w:noProof/>
            <w:webHidden/>
          </w:rPr>
          <w:fldChar w:fldCharType="separate"/>
        </w:r>
        <w:r>
          <w:rPr>
            <w:noProof/>
            <w:webHidden/>
          </w:rPr>
          <w:t>1624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7" w:history="1">
        <w:r w:rsidRPr="00775B91">
          <w:rPr>
            <w:rStyle w:val="a5"/>
            <w:noProof/>
          </w:rPr>
          <w:t>Title: Current Nanoscience</w:t>
        </w:r>
        <w:r>
          <w:rPr>
            <w:noProof/>
            <w:webHidden/>
          </w:rPr>
          <w:tab/>
        </w:r>
        <w:r>
          <w:rPr>
            <w:noProof/>
            <w:webHidden/>
          </w:rPr>
          <w:fldChar w:fldCharType="begin"/>
        </w:r>
        <w:r>
          <w:rPr>
            <w:noProof/>
            <w:webHidden/>
          </w:rPr>
          <w:instrText xml:space="preserve"> PAGEREF _Toc420815157 \h </w:instrText>
        </w:r>
        <w:r>
          <w:rPr>
            <w:noProof/>
            <w:webHidden/>
          </w:rPr>
        </w:r>
        <w:r>
          <w:rPr>
            <w:noProof/>
            <w:webHidden/>
          </w:rPr>
          <w:fldChar w:fldCharType="separate"/>
        </w:r>
        <w:r>
          <w:rPr>
            <w:noProof/>
            <w:webHidden/>
          </w:rPr>
          <w:t>1636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8" w:history="1">
        <w:r w:rsidRPr="00775B91">
          <w:rPr>
            <w:rStyle w:val="a5"/>
            <w:noProof/>
          </w:rPr>
          <w:t>Title: Current Neuropharmacology</w:t>
        </w:r>
        <w:r>
          <w:rPr>
            <w:noProof/>
            <w:webHidden/>
          </w:rPr>
          <w:tab/>
        </w:r>
        <w:r>
          <w:rPr>
            <w:noProof/>
            <w:webHidden/>
          </w:rPr>
          <w:fldChar w:fldCharType="begin"/>
        </w:r>
        <w:r>
          <w:rPr>
            <w:noProof/>
            <w:webHidden/>
          </w:rPr>
          <w:instrText xml:space="preserve"> PAGEREF _Toc420815158 \h </w:instrText>
        </w:r>
        <w:r>
          <w:rPr>
            <w:noProof/>
            <w:webHidden/>
          </w:rPr>
        </w:r>
        <w:r>
          <w:rPr>
            <w:noProof/>
            <w:webHidden/>
          </w:rPr>
          <w:fldChar w:fldCharType="separate"/>
        </w:r>
        <w:r>
          <w:rPr>
            <w:noProof/>
            <w:webHidden/>
          </w:rPr>
          <w:t>1637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59" w:history="1">
        <w:r w:rsidRPr="00775B91">
          <w:rPr>
            <w:rStyle w:val="a5"/>
            <w:noProof/>
          </w:rPr>
          <w:t>Title: Current Oncology Reports</w:t>
        </w:r>
        <w:r>
          <w:rPr>
            <w:noProof/>
            <w:webHidden/>
          </w:rPr>
          <w:tab/>
        </w:r>
        <w:r>
          <w:rPr>
            <w:noProof/>
            <w:webHidden/>
          </w:rPr>
          <w:fldChar w:fldCharType="begin"/>
        </w:r>
        <w:r>
          <w:rPr>
            <w:noProof/>
            <w:webHidden/>
          </w:rPr>
          <w:instrText xml:space="preserve"> PAGEREF _Toc420815159 \h </w:instrText>
        </w:r>
        <w:r>
          <w:rPr>
            <w:noProof/>
            <w:webHidden/>
          </w:rPr>
        </w:r>
        <w:r>
          <w:rPr>
            <w:noProof/>
            <w:webHidden/>
          </w:rPr>
          <w:fldChar w:fldCharType="separate"/>
        </w:r>
        <w:r>
          <w:rPr>
            <w:noProof/>
            <w:webHidden/>
          </w:rPr>
          <w:t>1640</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0" w:history="1">
        <w:r w:rsidRPr="00775B91">
          <w:rPr>
            <w:rStyle w:val="a5"/>
            <w:noProof/>
          </w:rPr>
          <w:t>Title: Current Opinion in Anesthesiology</w:t>
        </w:r>
        <w:r>
          <w:rPr>
            <w:noProof/>
            <w:webHidden/>
          </w:rPr>
          <w:tab/>
        </w:r>
        <w:r>
          <w:rPr>
            <w:noProof/>
            <w:webHidden/>
          </w:rPr>
          <w:fldChar w:fldCharType="begin"/>
        </w:r>
        <w:r>
          <w:rPr>
            <w:noProof/>
            <w:webHidden/>
          </w:rPr>
          <w:instrText xml:space="preserve"> PAGEREF _Toc420815160 \h </w:instrText>
        </w:r>
        <w:r>
          <w:rPr>
            <w:noProof/>
            <w:webHidden/>
          </w:rPr>
        </w:r>
        <w:r>
          <w:rPr>
            <w:noProof/>
            <w:webHidden/>
          </w:rPr>
          <w:fldChar w:fldCharType="separate"/>
        </w:r>
        <w:r>
          <w:rPr>
            <w:noProof/>
            <w:webHidden/>
          </w:rPr>
          <w:t>1642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1" w:history="1">
        <w:r w:rsidRPr="00775B91">
          <w:rPr>
            <w:rStyle w:val="a5"/>
            <w:noProof/>
          </w:rPr>
          <w:t>Title: Current Opinion in Rheumatology</w:t>
        </w:r>
        <w:r>
          <w:rPr>
            <w:noProof/>
            <w:webHidden/>
          </w:rPr>
          <w:tab/>
        </w:r>
        <w:r>
          <w:rPr>
            <w:noProof/>
            <w:webHidden/>
          </w:rPr>
          <w:fldChar w:fldCharType="begin"/>
        </w:r>
        <w:r>
          <w:rPr>
            <w:noProof/>
            <w:webHidden/>
          </w:rPr>
          <w:instrText xml:space="preserve"> PAGEREF _Toc420815161 \h </w:instrText>
        </w:r>
        <w:r>
          <w:rPr>
            <w:noProof/>
            <w:webHidden/>
          </w:rPr>
        </w:r>
        <w:r>
          <w:rPr>
            <w:noProof/>
            <w:webHidden/>
          </w:rPr>
          <w:fldChar w:fldCharType="separate"/>
        </w:r>
        <w:r>
          <w:rPr>
            <w:noProof/>
            <w:webHidden/>
          </w:rPr>
          <w:t>1643</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2" w:history="1">
        <w:r w:rsidRPr="00775B91">
          <w:rPr>
            <w:rStyle w:val="a5"/>
            <w:noProof/>
          </w:rPr>
          <w:t>Title: Current Pharmaceutical Analysis</w:t>
        </w:r>
        <w:r>
          <w:rPr>
            <w:noProof/>
            <w:webHidden/>
          </w:rPr>
          <w:tab/>
        </w:r>
        <w:r>
          <w:rPr>
            <w:noProof/>
            <w:webHidden/>
          </w:rPr>
          <w:fldChar w:fldCharType="begin"/>
        </w:r>
        <w:r>
          <w:rPr>
            <w:noProof/>
            <w:webHidden/>
          </w:rPr>
          <w:instrText xml:space="preserve"> PAGEREF _Toc420815162 \h </w:instrText>
        </w:r>
        <w:r>
          <w:rPr>
            <w:noProof/>
            <w:webHidden/>
          </w:rPr>
        </w:r>
        <w:r>
          <w:rPr>
            <w:noProof/>
            <w:webHidden/>
          </w:rPr>
          <w:fldChar w:fldCharType="separate"/>
        </w:r>
        <w:r>
          <w:rPr>
            <w:noProof/>
            <w:webHidden/>
          </w:rPr>
          <w:t>1644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3" w:history="1">
        <w:r w:rsidRPr="00775B91">
          <w:rPr>
            <w:rStyle w:val="a5"/>
            <w:noProof/>
          </w:rPr>
          <w:t>Title: Current Pharmaceutical Design</w:t>
        </w:r>
        <w:r>
          <w:rPr>
            <w:noProof/>
            <w:webHidden/>
          </w:rPr>
          <w:tab/>
        </w:r>
        <w:r>
          <w:rPr>
            <w:noProof/>
            <w:webHidden/>
          </w:rPr>
          <w:fldChar w:fldCharType="begin"/>
        </w:r>
        <w:r>
          <w:rPr>
            <w:noProof/>
            <w:webHidden/>
          </w:rPr>
          <w:instrText xml:space="preserve"> PAGEREF _Toc420815163 \h </w:instrText>
        </w:r>
        <w:r>
          <w:rPr>
            <w:noProof/>
            <w:webHidden/>
          </w:rPr>
        </w:r>
        <w:r>
          <w:rPr>
            <w:noProof/>
            <w:webHidden/>
          </w:rPr>
          <w:fldChar w:fldCharType="separate"/>
        </w:r>
        <w:r>
          <w:rPr>
            <w:noProof/>
            <w:webHidden/>
          </w:rPr>
          <w:t>1646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4" w:history="1">
        <w:r w:rsidRPr="00775B91">
          <w:rPr>
            <w:rStyle w:val="a5"/>
            <w:noProof/>
          </w:rPr>
          <w:t>Title: Current Science</w:t>
        </w:r>
        <w:r>
          <w:rPr>
            <w:noProof/>
            <w:webHidden/>
          </w:rPr>
          <w:tab/>
        </w:r>
        <w:r>
          <w:rPr>
            <w:noProof/>
            <w:webHidden/>
          </w:rPr>
          <w:fldChar w:fldCharType="begin"/>
        </w:r>
        <w:r>
          <w:rPr>
            <w:noProof/>
            <w:webHidden/>
          </w:rPr>
          <w:instrText xml:space="preserve"> PAGEREF _Toc420815164 \h </w:instrText>
        </w:r>
        <w:r>
          <w:rPr>
            <w:noProof/>
            <w:webHidden/>
          </w:rPr>
        </w:r>
        <w:r>
          <w:rPr>
            <w:noProof/>
            <w:webHidden/>
          </w:rPr>
          <w:fldChar w:fldCharType="separate"/>
        </w:r>
        <w:r>
          <w:rPr>
            <w:noProof/>
            <w:webHidden/>
          </w:rPr>
          <w:t>1654</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5" w:history="1">
        <w:r w:rsidRPr="00775B91">
          <w:rPr>
            <w:rStyle w:val="a5"/>
            <w:noProof/>
          </w:rPr>
          <w:t>Title: Current Sociology</w:t>
        </w:r>
        <w:r>
          <w:rPr>
            <w:noProof/>
            <w:webHidden/>
          </w:rPr>
          <w:tab/>
        </w:r>
        <w:r>
          <w:rPr>
            <w:noProof/>
            <w:webHidden/>
          </w:rPr>
          <w:fldChar w:fldCharType="begin"/>
        </w:r>
        <w:r>
          <w:rPr>
            <w:noProof/>
            <w:webHidden/>
          </w:rPr>
          <w:instrText xml:space="preserve"> PAGEREF _Toc420815165 \h </w:instrText>
        </w:r>
        <w:r>
          <w:rPr>
            <w:noProof/>
            <w:webHidden/>
          </w:rPr>
        </w:r>
        <w:r>
          <w:rPr>
            <w:noProof/>
            <w:webHidden/>
          </w:rPr>
          <w:fldChar w:fldCharType="separate"/>
        </w:r>
        <w:r>
          <w:rPr>
            <w:noProof/>
            <w:webHidden/>
          </w:rPr>
          <w:t>1685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6" w:history="1">
        <w:r w:rsidRPr="00775B91">
          <w:rPr>
            <w:rStyle w:val="a5"/>
            <w:noProof/>
          </w:rPr>
          <w:t>Title: Current Stem Cell Research &amp; Therapy</w:t>
        </w:r>
        <w:r>
          <w:rPr>
            <w:noProof/>
            <w:webHidden/>
          </w:rPr>
          <w:tab/>
        </w:r>
        <w:r>
          <w:rPr>
            <w:noProof/>
            <w:webHidden/>
          </w:rPr>
          <w:fldChar w:fldCharType="begin"/>
        </w:r>
        <w:r>
          <w:rPr>
            <w:noProof/>
            <w:webHidden/>
          </w:rPr>
          <w:instrText xml:space="preserve"> PAGEREF _Toc420815166 \h </w:instrText>
        </w:r>
        <w:r>
          <w:rPr>
            <w:noProof/>
            <w:webHidden/>
          </w:rPr>
        </w:r>
        <w:r>
          <w:rPr>
            <w:noProof/>
            <w:webHidden/>
          </w:rPr>
          <w:fldChar w:fldCharType="separate"/>
        </w:r>
        <w:r>
          <w:rPr>
            <w:noProof/>
            <w:webHidden/>
          </w:rPr>
          <w:t>1687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7" w:history="1">
        <w:r w:rsidRPr="00775B91">
          <w:rPr>
            <w:rStyle w:val="a5"/>
            <w:noProof/>
          </w:rPr>
          <w:t>Title: Current Surgery</w:t>
        </w:r>
        <w:r>
          <w:rPr>
            <w:noProof/>
            <w:webHidden/>
          </w:rPr>
          <w:tab/>
        </w:r>
        <w:r>
          <w:rPr>
            <w:noProof/>
            <w:webHidden/>
          </w:rPr>
          <w:fldChar w:fldCharType="begin"/>
        </w:r>
        <w:r>
          <w:rPr>
            <w:noProof/>
            <w:webHidden/>
          </w:rPr>
          <w:instrText xml:space="preserve"> PAGEREF _Toc420815167 \h </w:instrText>
        </w:r>
        <w:r>
          <w:rPr>
            <w:noProof/>
            <w:webHidden/>
          </w:rPr>
        </w:r>
        <w:r>
          <w:rPr>
            <w:noProof/>
            <w:webHidden/>
          </w:rPr>
          <w:fldChar w:fldCharType="separate"/>
        </w:r>
        <w:r>
          <w:rPr>
            <w:noProof/>
            <w:webHidden/>
          </w:rPr>
          <w:t>1689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8" w:history="1">
        <w:r w:rsidRPr="00775B91">
          <w:rPr>
            <w:rStyle w:val="a5"/>
            <w:noProof/>
          </w:rPr>
          <w:t>Title: Current Therapeutic Research-Clinical and Experimental</w:t>
        </w:r>
        <w:r>
          <w:rPr>
            <w:noProof/>
            <w:webHidden/>
          </w:rPr>
          <w:tab/>
        </w:r>
        <w:r>
          <w:rPr>
            <w:noProof/>
            <w:webHidden/>
          </w:rPr>
          <w:fldChar w:fldCharType="begin"/>
        </w:r>
        <w:r>
          <w:rPr>
            <w:noProof/>
            <w:webHidden/>
          </w:rPr>
          <w:instrText xml:space="preserve"> PAGEREF _Toc420815168 \h </w:instrText>
        </w:r>
        <w:r>
          <w:rPr>
            <w:noProof/>
            <w:webHidden/>
          </w:rPr>
        </w:r>
        <w:r>
          <w:rPr>
            <w:noProof/>
            <w:webHidden/>
          </w:rPr>
          <w:fldChar w:fldCharType="separate"/>
        </w:r>
        <w:r>
          <w:rPr>
            <w:noProof/>
            <w:webHidden/>
          </w:rPr>
          <w:t>1691</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69" w:history="1">
        <w:r w:rsidRPr="00775B91">
          <w:rPr>
            <w:rStyle w:val="a5"/>
            <w:noProof/>
          </w:rPr>
          <w:t>Title: Current Topics in Medicinal Chemistry</w:t>
        </w:r>
        <w:r>
          <w:rPr>
            <w:noProof/>
            <w:webHidden/>
          </w:rPr>
          <w:tab/>
        </w:r>
        <w:r>
          <w:rPr>
            <w:noProof/>
            <w:webHidden/>
          </w:rPr>
          <w:fldChar w:fldCharType="begin"/>
        </w:r>
        <w:r>
          <w:rPr>
            <w:noProof/>
            <w:webHidden/>
          </w:rPr>
          <w:instrText xml:space="preserve"> PAGEREF _Toc420815169 \h </w:instrText>
        </w:r>
        <w:r>
          <w:rPr>
            <w:noProof/>
            <w:webHidden/>
          </w:rPr>
        </w:r>
        <w:r>
          <w:rPr>
            <w:noProof/>
            <w:webHidden/>
          </w:rPr>
          <w:fldChar w:fldCharType="separate"/>
        </w:r>
        <w:r>
          <w:rPr>
            <w:noProof/>
            <w:webHidden/>
          </w:rPr>
          <w:t>1695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70" w:history="1">
        <w:r w:rsidRPr="00775B91">
          <w:rPr>
            <w:rStyle w:val="a5"/>
            <w:noProof/>
            <w:lang w:val="en-GB"/>
          </w:rPr>
          <w:t xml:space="preserve">Title: </w:t>
        </w:r>
        <w:r w:rsidRPr="00775B91">
          <w:rPr>
            <w:rStyle w:val="a5"/>
            <w:noProof/>
          </w:rPr>
          <w:t>Custos e Agronegocio on Line</w:t>
        </w:r>
        <w:r>
          <w:rPr>
            <w:noProof/>
            <w:webHidden/>
          </w:rPr>
          <w:tab/>
        </w:r>
        <w:r>
          <w:rPr>
            <w:noProof/>
            <w:webHidden/>
          </w:rPr>
          <w:fldChar w:fldCharType="begin"/>
        </w:r>
        <w:r>
          <w:rPr>
            <w:noProof/>
            <w:webHidden/>
          </w:rPr>
          <w:instrText xml:space="preserve"> PAGEREF _Toc420815170 \h </w:instrText>
        </w:r>
        <w:r>
          <w:rPr>
            <w:noProof/>
            <w:webHidden/>
          </w:rPr>
        </w:r>
        <w:r>
          <w:rPr>
            <w:noProof/>
            <w:webHidden/>
          </w:rPr>
          <w:fldChar w:fldCharType="separate"/>
        </w:r>
        <w:r>
          <w:rPr>
            <w:noProof/>
            <w:webHidden/>
          </w:rPr>
          <w:t>1697</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71" w:history="1">
        <w:r w:rsidRPr="00775B91">
          <w:rPr>
            <w:rStyle w:val="a5"/>
            <w:noProof/>
            <w:lang w:val="en-GB"/>
          </w:rPr>
          <w:t xml:space="preserve">Title: </w:t>
        </w:r>
        <w:r w:rsidRPr="00775B91">
          <w:rPr>
            <w:rStyle w:val="a5"/>
            <w:noProof/>
          </w:rPr>
          <w:t>Cutaneous and Ocular Toxicology</w:t>
        </w:r>
        <w:r>
          <w:rPr>
            <w:noProof/>
            <w:webHidden/>
          </w:rPr>
          <w:tab/>
        </w:r>
        <w:r>
          <w:rPr>
            <w:noProof/>
            <w:webHidden/>
          </w:rPr>
          <w:fldChar w:fldCharType="begin"/>
        </w:r>
        <w:r>
          <w:rPr>
            <w:noProof/>
            <w:webHidden/>
          </w:rPr>
          <w:instrText xml:space="preserve"> PAGEREF _Toc420815171 \h </w:instrText>
        </w:r>
        <w:r>
          <w:rPr>
            <w:noProof/>
            <w:webHidden/>
          </w:rPr>
        </w:r>
        <w:r>
          <w:rPr>
            <w:noProof/>
            <w:webHidden/>
          </w:rPr>
          <w:fldChar w:fldCharType="separate"/>
        </w:r>
        <w:r>
          <w:rPr>
            <w:noProof/>
            <w:webHidden/>
          </w:rPr>
          <w:t>1699</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72" w:history="1">
        <w:r w:rsidRPr="00775B91">
          <w:rPr>
            <w:rStyle w:val="a5"/>
            <w:noProof/>
            <w:lang w:val="en-GB"/>
          </w:rPr>
          <w:t>Title: Cybermetrics</w:t>
        </w:r>
        <w:r>
          <w:rPr>
            <w:noProof/>
            <w:webHidden/>
          </w:rPr>
          <w:tab/>
        </w:r>
        <w:r>
          <w:rPr>
            <w:noProof/>
            <w:webHidden/>
          </w:rPr>
          <w:fldChar w:fldCharType="begin"/>
        </w:r>
        <w:r>
          <w:rPr>
            <w:noProof/>
            <w:webHidden/>
          </w:rPr>
          <w:instrText xml:space="preserve"> PAGEREF _Toc420815172 \h </w:instrText>
        </w:r>
        <w:r>
          <w:rPr>
            <w:noProof/>
            <w:webHidden/>
          </w:rPr>
        </w:r>
        <w:r>
          <w:rPr>
            <w:noProof/>
            <w:webHidden/>
          </w:rPr>
          <w:fldChar w:fldCharType="separate"/>
        </w:r>
        <w:r>
          <w:rPr>
            <w:noProof/>
            <w:webHidden/>
          </w:rPr>
          <w:t>1702</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73" w:history="1">
        <w:r w:rsidRPr="00775B91">
          <w:rPr>
            <w:rStyle w:val="a5"/>
            <w:noProof/>
          </w:rPr>
          <w:t>Title: CyberPsychology &amp; Behavior</w:t>
        </w:r>
        <w:r>
          <w:rPr>
            <w:noProof/>
            <w:webHidden/>
          </w:rPr>
          <w:tab/>
        </w:r>
        <w:r>
          <w:rPr>
            <w:noProof/>
            <w:webHidden/>
          </w:rPr>
          <w:fldChar w:fldCharType="begin"/>
        </w:r>
        <w:r>
          <w:rPr>
            <w:noProof/>
            <w:webHidden/>
          </w:rPr>
          <w:instrText xml:space="preserve"> PAGEREF _Toc420815173 \h </w:instrText>
        </w:r>
        <w:r>
          <w:rPr>
            <w:noProof/>
            <w:webHidden/>
          </w:rPr>
        </w:r>
        <w:r>
          <w:rPr>
            <w:noProof/>
            <w:webHidden/>
          </w:rPr>
          <w:fldChar w:fldCharType="separate"/>
        </w:r>
        <w:r>
          <w:rPr>
            <w:noProof/>
            <w:webHidden/>
          </w:rPr>
          <w:t>1705</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74" w:history="1">
        <w:r w:rsidRPr="00775B91">
          <w:rPr>
            <w:rStyle w:val="a5"/>
            <w:noProof/>
          </w:rPr>
          <w:t>Title: CytoJournal</w:t>
        </w:r>
        <w:r>
          <w:rPr>
            <w:noProof/>
            <w:webHidden/>
          </w:rPr>
          <w:tab/>
        </w:r>
        <w:r>
          <w:rPr>
            <w:noProof/>
            <w:webHidden/>
          </w:rPr>
          <w:fldChar w:fldCharType="begin"/>
        </w:r>
        <w:r>
          <w:rPr>
            <w:noProof/>
            <w:webHidden/>
          </w:rPr>
          <w:instrText xml:space="preserve"> PAGEREF _Toc420815174 \h </w:instrText>
        </w:r>
        <w:r>
          <w:rPr>
            <w:noProof/>
            <w:webHidden/>
          </w:rPr>
        </w:r>
        <w:r>
          <w:rPr>
            <w:noProof/>
            <w:webHidden/>
          </w:rPr>
          <w:fldChar w:fldCharType="separate"/>
        </w:r>
        <w:r>
          <w:rPr>
            <w:noProof/>
            <w:webHidden/>
          </w:rPr>
          <w:t>1706</w:t>
        </w:r>
        <w:r>
          <w:rPr>
            <w:noProof/>
            <w:webHidden/>
          </w:rPr>
          <w:fldChar w:fldCharType="end"/>
        </w:r>
      </w:hyperlink>
    </w:p>
    <w:p w:rsidR="00D9657B" w:rsidRDefault="00D9657B">
      <w:pPr>
        <w:pStyle w:val="11"/>
        <w:tabs>
          <w:tab w:val="right" w:leader="dot" w:pos="8494"/>
        </w:tabs>
        <w:rPr>
          <w:rFonts w:asciiTheme="minorHAnsi" w:eastAsiaTheme="minorEastAsia" w:hAnsiTheme="minorHAnsi" w:cstheme="minorBidi"/>
          <w:noProof/>
          <w:szCs w:val="22"/>
        </w:rPr>
      </w:pPr>
      <w:hyperlink w:anchor="_Toc420815175" w:history="1">
        <w:r w:rsidRPr="00775B91">
          <w:rPr>
            <w:rStyle w:val="a5"/>
            <w:noProof/>
          </w:rPr>
          <w:t>Title: Czechoslovak Journal of Physics</w:t>
        </w:r>
        <w:r>
          <w:rPr>
            <w:noProof/>
            <w:webHidden/>
          </w:rPr>
          <w:tab/>
        </w:r>
        <w:r>
          <w:rPr>
            <w:noProof/>
            <w:webHidden/>
          </w:rPr>
          <w:fldChar w:fldCharType="begin"/>
        </w:r>
        <w:r>
          <w:rPr>
            <w:noProof/>
            <w:webHidden/>
          </w:rPr>
          <w:instrText xml:space="preserve"> PAGEREF _Toc420815175 \h </w:instrText>
        </w:r>
        <w:r>
          <w:rPr>
            <w:noProof/>
            <w:webHidden/>
          </w:rPr>
        </w:r>
        <w:r>
          <w:rPr>
            <w:noProof/>
            <w:webHidden/>
          </w:rPr>
          <w:fldChar w:fldCharType="separate"/>
        </w:r>
        <w:r>
          <w:rPr>
            <w:noProof/>
            <w:webHidden/>
          </w:rPr>
          <w:t>1708</w:t>
        </w:r>
        <w:r>
          <w:rPr>
            <w:noProof/>
            <w:webHidden/>
          </w:rPr>
          <w:fldChar w:fldCharType="end"/>
        </w:r>
      </w:hyperlink>
    </w:p>
    <w:p w:rsidR="00F31CE5" w:rsidRPr="001A3D2B" w:rsidRDefault="00D9657B" w:rsidP="003474F2">
      <w:pPr>
        <w:pStyle w:val="a3"/>
        <w:sectPr w:rsidR="00F31CE5" w:rsidRPr="001A3D2B">
          <w:type w:val="nextColumn"/>
          <w:pgSz w:w="11906" w:h="16838"/>
          <w:pgMar w:top="1418" w:right="1701" w:bottom="1418" w:left="1701" w:header="851" w:footer="992" w:gutter="0"/>
          <w:cols w:space="425"/>
          <w:docGrid w:type="lines" w:linePitch="360"/>
        </w:sectPr>
      </w:pPr>
      <w:r>
        <w:rPr>
          <w:kern w:val="2"/>
          <w:szCs w:val="24"/>
        </w:rPr>
        <w:fldChar w:fldCharType="end"/>
      </w:r>
      <w:bookmarkStart w:id="0" w:name="_GoBack"/>
      <w:bookmarkEnd w:id="0"/>
    </w:p>
    <w:p w:rsidR="003474F2" w:rsidRPr="001A3D2B" w:rsidRDefault="003474F2" w:rsidP="003474F2">
      <w:pPr>
        <w:pStyle w:val="1"/>
      </w:pPr>
      <w:bookmarkStart w:id="1" w:name="_Toc30179795"/>
      <w:bookmarkStart w:id="2" w:name="_Toc488467652"/>
      <w:bookmarkStart w:id="3" w:name="_Toc489709719"/>
      <w:bookmarkStart w:id="4" w:name="_Toc490687944"/>
      <w:bookmarkStart w:id="5" w:name="_Toc30655625"/>
      <w:bookmarkStart w:id="6" w:name="_Toc420814864"/>
      <w:r w:rsidRPr="001A3D2B">
        <w:lastRenderedPageBreak/>
        <w:t xml:space="preserve">Title: </w:t>
      </w:r>
      <w:r w:rsidR="00A835C9" w:rsidRPr="00C73C58">
        <w:t>Cadernos de Sa</w:t>
      </w:r>
      <w:r w:rsidR="00A835C9">
        <w:rPr>
          <w:rFonts w:hint="eastAsia"/>
        </w:rPr>
        <w:t>u</w:t>
      </w:r>
      <w:r w:rsidR="00A835C9" w:rsidRPr="00C73C58">
        <w:t>de P</w:t>
      </w:r>
      <w:r w:rsidR="00A835C9">
        <w:rPr>
          <w:rFonts w:hint="eastAsia"/>
        </w:rPr>
        <w:t>u</w:t>
      </w:r>
      <w:r w:rsidR="00A835C9" w:rsidRPr="00C73C58">
        <w:t>blica</w:t>
      </w:r>
      <w:bookmarkEnd w:id="6"/>
    </w:p>
    <w:p w:rsidR="00E21F7D" w:rsidRPr="00C73C58" w:rsidRDefault="00E21F7D" w:rsidP="00E21F7D">
      <w:pPr>
        <w:pStyle w:val="12"/>
      </w:pPr>
      <w:r w:rsidRPr="00C73C58">
        <w:t xml:space="preserve">Full Journal Title: </w:t>
      </w:r>
      <w:r w:rsidR="00A835C9" w:rsidRPr="001A3D2B">
        <w:t>Cadernos de Saúde Pública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Cad Saude Publica</w:t>
      </w:r>
    </w:p>
    <w:p w:rsidR="003474F2" w:rsidRPr="001A3D2B" w:rsidRDefault="003474F2" w:rsidP="003474F2">
      <w:pPr>
        <w:pStyle w:val="12"/>
      </w:pPr>
      <w:r w:rsidRPr="001A3D2B">
        <w:t>ISSN: 0102-311X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Coimbra, C.E.A. (2003), Challenges for scientific output</w:t>
      </w:r>
      <w:r w:rsidR="005853A9">
        <w:t xml:space="preserve"> and </w:t>
      </w:r>
      <w:r w:rsidRPr="001A3D2B">
        <w:t xml:space="preserve">communications in health in Brazil. </w:t>
      </w:r>
      <w:proofErr w:type="gramStart"/>
      <w:r w:rsidRPr="001A3D2B">
        <w:rPr>
          <w:i/>
        </w:rPr>
        <w:t>Cadernos de Saúde Pública</w:t>
      </w:r>
      <w:r w:rsidRPr="001A3D2B">
        <w:t xml:space="preserve">, </w:t>
      </w:r>
      <w:r w:rsidRPr="001A3D2B">
        <w:rPr>
          <w:b/>
          <w:bCs/>
        </w:rPr>
        <w:t>19</w:t>
      </w:r>
      <w:r w:rsidRPr="001A3D2B">
        <w:t xml:space="preserve"> (1), 4-5.</w:t>
      </w:r>
      <w:proofErr w:type="gramEnd"/>
    </w:p>
    <w:p w:rsidR="000C0680" w:rsidRDefault="000C0680" w:rsidP="000C0680">
      <w:pPr>
        <w:pStyle w:val="a3"/>
        <w:rPr>
          <w:kern w:val="0"/>
        </w:rPr>
      </w:pPr>
      <w:r>
        <w:rPr>
          <w:rFonts w:hint="eastAsia"/>
          <w:kern w:val="0"/>
        </w:rPr>
        <w:t xml:space="preserve">Full Text: </w:t>
      </w:r>
      <w:r>
        <w:rPr>
          <w:kern w:val="0"/>
        </w:rPr>
        <w:t>200</w:t>
      </w:r>
      <w:r>
        <w:rPr>
          <w:rFonts w:hint="eastAsia"/>
          <w:kern w:val="0"/>
        </w:rPr>
        <w:t>3</w:t>
      </w:r>
      <w:r>
        <w:rPr>
          <w:kern w:val="0"/>
        </w:rPr>
        <w:t>\Cad Sau Pub</w:t>
      </w:r>
      <w:r>
        <w:rPr>
          <w:rFonts w:hint="eastAsia"/>
          <w:kern w:val="0"/>
        </w:rPr>
        <w:t>19</w:t>
      </w:r>
      <w:r>
        <w:rPr>
          <w:kern w:val="0"/>
        </w:rPr>
        <w:t xml:space="preserve">, </w:t>
      </w:r>
      <w:r>
        <w:rPr>
          <w:rFonts w:hint="eastAsia"/>
          <w:kern w:val="0"/>
        </w:rPr>
        <w:t>4</w:t>
      </w:r>
      <w:r w:rsidRPr="000C0680">
        <w:rPr>
          <w:kern w:val="0"/>
        </w:rPr>
        <w:t>.pdf</w:t>
      </w:r>
    </w:p>
    <w:p w:rsidR="003474F2" w:rsidRPr="001A3D2B" w:rsidRDefault="003474F2" w:rsidP="003474F2">
      <w:pPr>
        <w:pStyle w:val="a3"/>
      </w:pPr>
      <w:r w:rsidRPr="001A3D2B">
        <w:t>Keywords: Brazil, Communications, Health, Scientific Output</w:t>
      </w:r>
    </w:p>
    <w:p w:rsidR="003474F2" w:rsidRPr="001A3D2B" w:rsidRDefault="003474F2" w:rsidP="003474F2">
      <w:pPr>
        <w:pStyle w:val="a3"/>
      </w:pPr>
      <w:r w:rsidRPr="001A3D2B">
        <w:t>? Novaes, H.M.D. (2004), Research in, about,</w:t>
      </w:r>
      <w:r w:rsidR="005853A9">
        <w:t xml:space="preserve"> and </w:t>
      </w:r>
      <w:r w:rsidRPr="001A3D2B">
        <w:t xml:space="preserve">for health services: </w:t>
      </w:r>
      <w:r w:rsidR="00DF4717" w:rsidRPr="001A3D2B">
        <w:t xml:space="preserve">An </w:t>
      </w:r>
      <w:r w:rsidRPr="001A3D2B">
        <w:t>international panorama</w:t>
      </w:r>
      <w:r w:rsidR="005853A9">
        <w:t xml:space="preserve"> and </w:t>
      </w:r>
      <w:r w:rsidRPr="001A3D2B">
        <w:t xml:space="preserve">questions for health research in Brazil. </w:t>
      </w:r>
      <w:proofErr w:type="gramStart"/>
      <w:r w:rsidRPr="001A3D2B">
        <w:rPr>
          <w:i/>
        </w:rPr>
        <w:t>Cadernos de Saúde Pública</w:t>
      </w:r>
      <w:r w:rsidRPr="001A3D2B">
        <w:t xml:space="preserve">, </w:t>
      </w:r>
      <w:r w:rsidRPr="001A3D2B">
        <w:rPr>
          <w:b/>
          <w:bCs/>
        </w:rPr>
        <w:t>20</w:t>
      </w:r>
      <w:r w:rsidR="00072A3A">
        <w:t xml:space="preserve"> (S</w:t>
      </w:r>
      <w:r w:rsidRPr="001A3D2B">
        <w:t>2), S147-S157.</w:t>
      </w:r>
      <w:proofErr w:type="gramEnd"/>
    </w:p>
    <w:p w:rsidR="000C0680" w:rsidRDefault="000C0680" w:rsidP="000C0680">
      <w:pPr>
        <w:pStyle w:val="a3"/>
        <w:rPr>
          <w:kern w:val="0"/>
        </w:rPr>
      </w:pPr>
      <w:r>
        <w:rPr>
          <w:rFonts w:hint="eastAsia"/>
          <w:kern w:val="0"/>
        </w:rPr>
        <w:t xml:space="preserve">Full Text: </w:t>
      </w:r>
      <w:hyperlink r:id="rId9" w:history="1">
        <w:r w:rsidRPr="008E069A">
          <w:rPr>
            <w:rStyle w:val="a5"/>
            <w:kern w:val="0"/>
          </w:rPr>
          <w:t>2004\Cad Sau Pub20S, S147.pdf</w:t>
        </w:r>
      </w:hyperlink>
    </w:p>
    <w:p w:rsidR="003474F2" w:rsidRPr="001A3D2B" w:rsidRDefault="003474F2" w:rsidP="003474F2">
      <w:pPr>
        <w:pStyle w:val="a3"/>
      </w:pPr>
      <w:r w:rsidRPr="001A3D2B">
        <w:t>Abstract: Health systems</w:t>
      </w:r>
      <w:r w:rsidR="005853A9">
        <w:t xml:space="preserve"> and </w:t>
      </w:r>
      <w:r w:rsidRPr="001A3D2B">
        <w:t>services are important determinants</w:t>
      </w:r>
      <w:r w:rsidR="00427468">
        <w:t xml:space="preserve"> of </w:t>
      </w:r>
      <w:r w:rsidRPr="001A3D2B">
        <w:t>health conditions</w:t>
      </w:r>
      <w:r w:rsidR="005853A9">
        <w:t xml:space="preserve"> and </w:t>
      </w:r>
      <w:r w:rsidRPr="001A3D2B">
        <w:t>quality</w:t>
      </w:r>
      <w:r w:rsidR="00427468">
        <w:t xml:space="preserve"> of </w:t>
      </w:r>
      <w:r w:rsidRPr="001A3D2B">
        <w:t>life. Health services research is a multidisciplinary area aimed at deepening</w:t>
      </w:r>
      <w:r w:rsidR="005853A9">
        <w:t xml:space="preserve"> and </w:t>
      </w:r>
      <w:r w:rsidRPr="001A3D2B">
        <w:t>widening knowledge on</w:t>
      </w:r>
      <w:r w:rsidR="003A1917">
        <w:t xml:space="preserve"> the </w:t>
      </w:r>
      <w:r w:rsidRPr="001A3D2B">
        <w:t>area in specific contexts</w:t>
      </w:r>
      <w:r w:rsidR="005853A9">
        <w:t xml:space="preserve"> and </w:t>
      </w:r>
      <w:r w:rsidRPr="001A3D2B">
        <w:t>focusing on system accessibility, impact,</w:t>
      </w:r>
      <w:r w:rsidR="005853A9">
        <w:t xml:space="preserve"> and </w:t>
      </w:r>
      <w:r w:rsidRPr="001A3D2B">
        <w:t>performance</w:t>
      </w:r>
      <w:r w:rsidR="005853A9">
        <w:t xml:space="preserve"> and </w:t>
      </w:r>
      <w:r w:rsidRPr="001A3D2B">
        <w:t>conditions</w:t>
      </w:r>
      <w:r w:rsidR="005853A9">
        <w:t xml:space="preserve"> and </w:t>
      </w:r>
      <w:r w:rsidRPr="001A3D2B">
        <w:t>quality</w:t>
      </w:r>
      <w:r w:rsidR="00427468">
        <w:t xml:space="preserve"> of </w:t>
      </w:r>
      <w:r w:rsidRPr="001A3D2B">
        <w:t>health care in order to contribute to decisions by policy-makers, managers,</w:t>
      </w:r>
      <w:r w:rsidR="005853A9">
        <w:t xml:space="preserve"> and </w:t>
      </w:r>
      <w:r w:rsidRPr="001A3D2B">
        <w:t>health professionals. This article analyzes</w:t>
      </w:r>
      <w:r w:rsidR="003A1917">
        <w:t xml:space="preserve"> the </w:t>
      </w:r>
      <w:r w:rsidRPr="001A3D2B">
        <w:t>main characteristics</w:t>
      </w:r>
      <w:r w:rsidR="005853A9">
        <w:t xml:space="preserve"> and </w:t>
      </w:r>
      <w:r w:rsidRPr="001A3D2B">
        <w:t>trends in recent output in</w:t>
      </w:r>
      <w:r w:rsidR="003A1917">
        <w:t xml:space="preserve"> the </w:t>
      </w:r>
      <w:r w:rsidRPr="001A3D2B">
        <w:t>international literature</w:t>
      </w:r>
      <w:r w:rsidR="005853A9">
        <w:t xml:space="preserve"> and </w:t>
      </w:r>
      <w:r w:rsidRPr="001A3D2B">
        <w:t>discusses several key questions for health services research in Brazil.</w:t>
      </w:r>
    </w:p>
    <w:p w:rsidR="003474F2" w:rsidRPr="001A3D2B" w:rsidRDefault="003474F2" w:rsidP="003474F2">
      <w:pPr>
        <w:pStyle w:val="a3"/>
      </w:pPr>
      <w:r w:rsidRPr="001A3D2B">
        <w:t>Keywords: Brazil, Care, Characteristics, Determinants</w:t>
      </w:r>
      <w:r w:rsidR="00427468">
        <w:t xml:space="preserve"> of </w:t>
      </w:r>
      <w:r w:rsidRPr="001A3D2B">
        <w:t>Health, Health, Health Care, Health Professionals, Health Research, Health Services, Health Services Research, Impact, International, Knowledge, Life, Literature, Multidisciplinary, Performance, Quality, Quality of, Quality</w:t>
      </w:r>
      <w:r w:rsidR="00427468">
        <w:t xml:space="preserve"> of </w:t>
      </w:r>
      <w:r w:rsidRPr="001A3D2B">
        <w:t>Health Care, Quality</w:t>
      </w:r>
      <w:r w:rsidR="00427468">
        <w:t xml:space="preserve"> of </w:t>
      </w:r>
      <w:r w:rsidRPr="001A3D2B">
        <w:t>Life, Research, Services, Systems, Trends</w:t>
      </w:r>
    </w:p>
    <w:p w:rsidR="003474F2" w:rsidRPr="001A3D2B" w:rsidRDefault="003474F2" w:rsidP="003474F2">
      <w:pPr>
        <w:pStyle w:val="a3"/>
      </w:pPr>
      <w:r w:rsidRPr="001A3D2B">
        <w:t>? Oria, M.O., Glick, D.F.</w:t>
      </w:r>
      <w:r w:rsidR="005853A9">
        <w:t xml:space="preserve"> and </w:t>
      </w:r>
      <w:r w:rsidRPr="001A3D2B">
        <w:t xml:space="preserve">Alves, M.D. (2005), Trends in breastfeeding research by Brazilian nurses. </w:t>
      </w:r>
      <w:proofErr w:type="gramStart"/>
      <w:r w:rsidRPr="001A3D2B">
        <w:rPr>
          <w:i/>
        </w:rPr>
        <w:t>Cadernos de Saúde Pública</w:t>
      </w:r>
      <w:r w:rsidRPr="001A3D2B">
        <w:t xml:space="preserve">, </w:t>
      </w:r>
      <w:r w:rsidRPr="001A3D2B">
        <w:rPr>
          <w:b/>
          <w:bCs/>
        </w:rPr>
        <w:t>21</w:t>
      </w:r>
      <w:r w:rsidRPr="001A3D2B">
        <w:t xml:space="preserve"> (1), 20-28.</w:t>
      </w:r>
      <w:proofErr w:type="gramEnd"/>
    </w:p>
    <w:p w:rsidR="00E21F7D" w:rsidRDefault="00E21F7D" w:rsidP="00E21F7D">
      <w:pPr>
        <w:pStyle w:val="a3"/>
        <w:rPr>
          <w:kern w:val="0"/>
        </w:rPr>
      </w:pPr>
      <w:r>
        <w:rPr>
          <w:rFonts w:hint="eastAsia"/>
          <w:kern w:val="0"/>
        </w:rPr>
        <w:t xml:space="preserve">Full Text: </w:t>
      </w:r>
      <w:hyperlink r:id="rId10" w:history="1">
        <w:r w:rsidR="000C0680" w:rsidRPr="000C0680">
          <w:rPr>
            <w:rStyle w:val="a5"/>
            <w:kern w:val="0"/>
          </w:rPr>
          <w:t>2005\Cad Sau Pub21, 20.pdf</w:t>
        </w:r>
      </w:hyperlink>
    </w:p>
    <w:p w:rsidR="003474F2" w:rsidRPr="001A3D2B" w:rsidRDefault="003474F2" w:rsidP="003474F2">
      <w:pPr>
        <w:pStyle w:val="a3"/>
      </w:pPr>
      <w:r w:rsidRPr="001A3D2B">
        <w:t xml:space="preserve">Abstract: Exclusive breastfeeding is acknowledged as important for survival, optimal </w:t>
      </w:r>
      <w:r w:rsidRPr="001A3D2B">
        <w:lastRenderedPageBreak/>
        <w:t>growth,</w:t>
      </w:r>
      <w:r w:rsidR="005853A9">
        <w:t xml:space="preserve"> and </w:t>
      </w:r>
      <w:r w:rsidRPr="001A3D2B">
        <w:t>development</w:t>
      </w:r>
      <w:r w:rsidR="00427468">
        <w:t xml:space="preserve"> of </w:t>
      </w:r>
      <w:r w:rsidRPr="001A3D2B">
        <w:t>infants</w:t>
      </w:r>
      <w:r w:rsidR="00A37C1D">
        <w:t>. The</w:t>
      </w:r>
      <w:r w:rsidR="003A1917">
        <w:t xml:space="preserve"> </w:t>
      </w:r>
      <w:r w:rsidRPr="001A3D2B">
        <w:t>current review presents a synthesis</w:t>
      </w:r>
      <w:r w:rsidR="00427468">
        <w:t xml:space="preserve"> of </w:t>
      </w:r>
      <w:r w:rsidRPr="001A3D2B">
        <w:t>research output by Brazilian nurses on breastfeeding over</w:t>
      </w:r>
      <w:r w:rsidR="003A1917">
        <w:t xml:space="preserve"> the </w:t>
      </w:r>
      <w:r w:rsidRPr="001A3D2B">
        <w:t>last 20 years, analyzes</w:t>
      </w:r>
      <w:r w:rsidR="003A1917">
        <w:t xml:space="preserve"> the </w:t>
      </w:r>
      <w:r w:rsidRPr="001A3D2B">
        <w:t>theoretical</w:t>
      </w:r>
      <w:r w:rsidR="005853A9">
        <w:t xml:space="preserve"> and </w:t>
      </w:r>
      <w:r w:rsidRPr="001A3D2B">
        <w:t>methodological issues emerging from studies on breastfeeding in Brazil,</w:t>
      </w:r>
      <w:r w:rsidR="005853A9">
        <w:t xml:space="preserve"> and </w:t>
      </w:r>
      <w:r w:rsidRPr="001A3D2B">
        <w:t>provides directions for future research</w:t>
      </w:r>
      <w:r w:rsidR="005853A9">
        <w:t xml:space="preserve"> and </w:t>
      </w:r>
      <w:r w:rsidRPr="001A3D2B">
        <w:t>practice by nurses in</w:t>
      </w:r>
      <w:r w:rsidR="003A1917">
        <w:t xml:space="preserve"> the </w:t>
      </w:r>
      <w:r w:rsidRPr="001A3D2B">
        <w:t>area breastfeeding. Studies included in this review were identified through LILACS searches</w:t>
      </w:r>
      <w:r w:rsidR="00427468">
        <w:t xml:space="preserve"> of </w:t>
      </w:r>
      <w:r w:rsidRPr="001A3D2B">
        <w:t>Portuguese-language sources. Articles were organized</w:t>
      </w:r>
      <w:r w:rsidR="005853A9">
        <w:t xml:space="preserve"> and </w:t>
      </w:r>
      <w:r w:rsidRPr="001A3D2B">
        <w:t>analyzed chronologically by comparing</w:t>
      </w:r>
      <w:r w:rsidR="003A1917">
        <w:t xml:space="preserve"> the </w:t>
      </w:r>
      <w:r w:rsidRPr="001A3D2B">
        <w:t>evolution</w:t>
      </w:r>
      <w:r w:rsidR="00427468">
        <w:t xml:space="preserve"> of </w:t>
      </w:r>
      <w:r w:rsidR="003A1917">
        <w:t xml:space="preserve">the </w:t>
      </w:r>
      <w:r w:rsidRPr="001A3D2B">
        <w:t>Brazilian Breastfeeding Program</w:t>
      </w:r>
      <w:r w:rsidR="00A37C1D">
        <w:t>. The</w:t>
      </w:r>
      <w:r w:rsidR="003A1917">
        <w:t xml:space="preserve"> </w:t>
      </w:r>
      <w:r w:rsidRPr="001A3D2B">
        <w:t>incomplete research output</w:t>
      </w:r>
      <w:r w:rsidR="00427468">
        <w:t xml:space="preserve"> of </w:t>
      </w:r>
      <w:r w:rsidR="003A1917">
        <w:t xml:space="preserve">the </w:t>
      </w:r>
      <w:r w:rsidRPr="001A3D2B">
        <w:t>Brazilian nursing profession in regard to breastfeeding research needs to be addressed. In addition, specific cultural, sociological,</w:t>
      </w:r>
      <w:r w:rsidR="005853A9">
        <w:t xml:space="preserve"> and </w:t>
      </w:r>
      <w:r w:rsidRPr="001A3D2B">
        <w:t>anthropological characteristics</w:t>
      </w:r>
      <w:r w:rsidR="00427468">
        <w:t xml:space="preserve"> of </w:t>
      </w:r>
      <w:r w:rsidRPr="001A3D2B">
        <w:t>Brazilian regional settings remain to be explored. Emphasis on potential confounders</w:t>
      </w:r>
      <w:r w:rsidR="005853A9">
        <w:t xml:space="preserve"> and </w:t>
      </w:r>
      <w:r w:rsidRPr="001A3D2B">
        <w:t>critical interrelations is warranted.</w:t>
      </w:r>
    </w:p>
    <w:p w:rsidR="003474F2" w:rsidRPr="001A3D2B" w:rsidRDefault="003474F2" w:rsidP="003474F2">
      <w:pPr>
        <w:pStyle w:val="a3"/>
      </w:pPr>
      <w:r w:rsidRPr="001A3D2B">
        <w:t>Keywords: Brazil, Breastfeeding, Characteristics, Cultural, Development, Evolution, Growth, Infants, Needs, Nurses, Nursing, Nursing Profession, Potential, Practice, Profession, Regional, Research, Review, Sources, Survival, Synthesis</w:t>
      </w:r>
    </w:p>
    <w:p w:rsidR="003474F2" w:rsidRPr="001A3D2B" w:rsidRDefault="003474F2" w:rsidP="003474F2">
      <w:pPr>
        <w:pStyle w:val="a3"/>
      </w:pPr>
      <w:r w:rsidRPr="001A3D2B">
        <w:t>? Palma-Solis, M.A., Franco Giraldo, A.</w:t>
      </w:r>
      <w:r w:rsidR="005853A9">
        <w:t xml:space="preserve"> and </w:t>
      </w:r>
      <w:r w:rsidR="00987479">
        <w:rPr>
          <w:kern w:val="0"/>
          <w:szCs w:val="24"/>
        </w:rPr>
        <w:t>Álvarez-Dardet</w:t>
      </w:r>
      <w:r w:rsidRPr="001A3D2B">
        <w:t>, C. (2006), Influences</w:t>
      </w:r>
      <w:r w:rsidR="005853A9">
        <w:t xml:space="preserve"> and </w:t>
      </w:r>
      <w:r w:rsidRPr="001A3D2B">
        <w:t xml:space="preserve">hegemonies in health reform research. </w:t>
      </w:r>
      <w:proofErr w:type="gramStart"/>
      <w:r w:rsidRPr="001A3D2B">
        <w:rPr>
          <w:i/>
        </w:rPr>
        <w:t>Cadernos de Saúde Pública</w:t>
      </w:r>
      <w:r w:rsidRPr="001A3D2B">
        <w:t xml:space="preserve">, </w:t>
      </w:r>
      <w:r w:rsidRPr="001A3D2B">
        <w:rPr>
          <w:b/>
          <w:bCs/>
        </w:rPr>
        <w:t>22</w:t>
      </w:r>
      <w:r w:rsidRPr="001A3D2B">
        <w:t xml:space="preserve"> (12), 2527-2537.</w:t>
      </w:r>
      <w:proofErr w:type="gramEnd"/>
    </w:p>
    <w:p w:rsidR="00E21F7D" w:rsidRDefault="00E21F7D" w:rsidP="00E21F7D">
      <w:pPr>
        <w:pStyle w:val="a3"/>
        <w:rPr>
          <w:kern w:val="0"/>
        </w:rPr>
      </w:pPr>
      <w:r>
        <w:rPr>
          <w:rFonts w:hint="eastAsia"/>
          <w:kern w:val="0"/>
        </w:rPr>
        <w:t xml:space="preserve">Full Text: </w:t>
      </w:r>
      <w:hyperlink r:id="rId11" w:history="1">
        <w:r w:rsidRPr="008E069A">
          <w:rPr>
            <w:rStyle w:val="a5"/>
            <w:kern w:val="0"/>
          </w:rPr>
          <w:t>2006\Cad Sau Pub22, 2527.pdf</w:t>
        </w:r>
      </w:hyperlink>
    </w:p>
    <w:p w:rsidR="003474F2" w:rsidRPr="001A3D2B" w:rsidRDefault="003474F2" w:rsidP="003474F2">
      <w:pPr>
        <w:pStyle w:val="a3"/>
      </w:pPr>
      <w:r w:rsidRPr="001A3D2B">
        <w:t>Abstract:</w:t>
      </w:r>
      <w:r w:rsidR="003A1917">
        <w:t xml:space="preserve"> the </w:t>
      </w:r>
      <w:r w:rsidRPr="001A3D2B">
        <w:t>authors analyze</w:t>
      </w:r>
      <w:r w:rsidR="003A1917">
        <w:t xml:space="preserve"> the </w:t>
      </w:r>
      <w:r w:rsidRPr="001A3D2B">
        <w:t xml:space="preserve">evolution in publications indexed in </w:t>
      </w:r>
      <w:r w:rsidR="00D5664A">
        <w:t>MEDLINE</w:t>
      </w:r>
      <w:r w:rsidRPr="001A3D2B">
        <w:t>, LILACS,</w:t>
      </w:r>
      <w:r w:rsidR="005853A9">
        <w:t xml:space="preserve"> and </w:t>
      </w:r>
      <w:r w:rsidRPr="001A3D2B">
        <w:t>Sociological Abstracts concerning health reforms around</w:t>
      </w:r>
      <w:r w:rsidR="003A1917">
        <w:t xml:space="preserve"> the </w:t>
      </w:r>
      <w:r w:rsidRPr="001A3D2B">
        <w:t>world</w:t>
      </w:r>
      <w:r w:rsidR="005853A9">
        <w:t xml:space="preserve"> and </w:t>
      </w:r>
      <w:r w:rsidR="003A1917">
        <w:t xml:space="preserve">the </w:t>
      </w:r>
      <w:r w:rsidRPr="001A3D2B">
        <w:t>determinants</w:t>
      </w:r>
      <w:r w:rsidR="00427468">
        <w:t xml:space="preserve"> of </w:t>
      </w:r>
      <w:r w:rsidRPr="001A3D2B">
        <w:t>their orientation</w:t>
      </w:r>
      <w:r w:rsidR="005853A9">
        <w:t xml:space="preserve"> and </w:t>
      </w:r>
      <w:r w:rsidRPr="001A3D2B">
        <w:t>distribution from 1990 to 2004. A total</w:t>
      </w:r>
      <w:r w:rsidR="00427468">
        <w:t xml:space="preserve"> of </w:t>
      </w:r>
      <w:r w:rsidRPr="001A3D2B">
        <w:t>8,729 publications were selected</w:t>
      </w:r>
      <w:r w:rsidR="00A37C1D">
        <w:t>. The</w:t>
      </w:r>
      <w:r w:rsidR="003A1917">
        <w:t xml:space="preserve"> </w:t>
      </w:r>
      <w:r w:rsidRPr="001A3D2B">
        <w:t>principles</w:t>
      </w:r>
      <w:r w:rsidR="00427468">
        <w:t xml:space="preserve"> of </w:t>
      </w:r>
      <w:r w:rsidR="00B5188C">
        <w:t>“</w:t>
      </w:r>
      <w:r w:rsidRPr="001A3D2B">
        <w:t>sustainability</w:t>
      </w:r>
      <w:r w:rsidR="00B5188C">
        <w:t>”</w:t>
      </w:r>
      <w:r w:rsidR="005853A9">
        <w:t xml:space="preserve"> and </w:t>
      </w:r>
      <w:r w:rsidR="00B5188C">
        <w:t>“</w:t>
      </w:r>
      <w:r w:rsidRPr="001A3D2B">
        <w:t>quality</w:t>
      </w:r>
      <w:r w:rsidR="005853A9">
        <w:t xml:space="preserve"> and </w:t>
      </w:r>
      <w:r w:rsidRPr="001A3D2B">
        <w:t>effectiveness</w:t>
      </w:r>
      <w:r w:rsidR="00B5188C">
        <w:t>”</w:t>
      </w:r>
      <w:r w:rsidRPr="001A3D2B">
        <w:t xml:space="preserve"> were dealt with most frequently, with different patterns</w:t>
      </w:r>
      <w:r w:rsidR="00427468">
        <w:t xml:space="preserve"> of </w:t>
      </w:r>
      <w:r w:rsidRPr="001A3D2B">
        <w:t>attention, depending on</w:t>
      </w:r>
      <w:r w:rsidR="003A1917">
        <w:t xml:space="preserve"> the </w:t>
      </w:r>
      <w:r w:rsidRPr="001A3D2B">
        <w:t>regions</w:t>
      </w:r>
      <w:r w:rsidR="005853A9">
        <w:t xml:space="preserve"> and </w:t>
      </w:r>
      <w:r w:rsidRPr="001A3D2B">
        <w:t>countries.</w:t>
      </w:r>
      <w:r w:rsidR="00427468">
        <w:t xml:space="preserve"> </w:t>
      </w:r>
      <w:proofErr w:type="gramStart"/>
      <w:r w:rsidR="00427468">
        <w:t>of</w:t>
      </w:r>
      <w:proofErr w:type="gramEnd"/>
      <w:r w:rsidR="00427468">
        <w:t xml:space="preserve"> </w:t>
      </w:r>
      <w:r w:rsidRPr="001A3D2B">
        <w:t>199 countries, 61% included references as to their health reform processes, with</w:t>
      </w:r>
      <w:r w:rsidR="003A1917">
        <w:t xml:space="preserve"> the </w:t>
      </w:r>
      <w:r w:rsidRPr="001A3D2B">
        <w:t>largest numbers in</w:t>
      </w:r>
      <w:r w:rsidR="003A1917">
        <w:t xml:space="preserve"> the </w:t>
      </w:r>
      <w:r w:rsidRPr="001A3D2B">
        <w:t>United States</w:t>
      </w:r>
      <w:r w:rsidR="005853A9">
        <w:t xml:space="preserve"> and </w:t>
      </w:r>
      <w:r w:rsidR="003A1917">
        <w:t xml:space="preserve">the </w:t>
      </w:r>
      <w:r w:rsidRPr="001A3D2B">
        <w:t>Great Britain</w:t>
      </w:r>
      <w:r w:rsidR="00A37C1D">
        <w:t>. The</w:t>
      </w:r>
      <w:r w:rsidR="003A1917">
        <w:t xml:space="preserve"> </w:t>
      </w:r>
      <w:r w:rsidRPr="001A3D2B">
        <w:t>British</w:t>
      </w:r>
      <w:r w:rsidR="005853A9">
        <w:t xml:space="preserve"> and </w:t>
      </w:r>
      <w:r w:rsidRPr="001A3D2B">
        <w:t>U.S. standards for attention to health reform principles displayed strong influences on</w:t>
      </w:r>
      <w:r w:rsidR="003A1917">
        <w:t xml:space="preserve"> the </w:t>
      </w:r>
      <w:r w:rsidRPr="001A3D2B">
        <w:t>study</w:t>
      </w:r>
      <w:r w:rsidR="00427468">
        <w:t xml:space="preserve"> of </w:t>
      </w:r>
      <w:r w:rsidRPr="001A3D2B">
        <w:t>health reforms elsewhere. This may limit</w:t>
      </w:r>
      <w:r w:rsidR="003A1917">
        <w:t xml:space="preserve"> the </w:t>
      </w:r>
      <w:r w:rsidRPr="001A3D2B">
        <w:t>scientific visibility</w:t>
      </w:r>
      <w:r w:rsidR="00427468">
        <w:t xml:space="preserve"> of </w:t>
      </w:r>
      <w:r w:rsidRPr="001A3D2B">
        <w:t>issues like equity, participation,</w:t>
      </w:r>
      <w:r w:rsidR="005853A9">
        <w:t xml:space="preserve"> and </w:t>
      </w:r>
      <w:r w:rsidRPr="001A3D2B">
        <w:t>efficiency.</w:t>
      </w:r>
    </w:p>
    <w:p w:rsidR="003474F2" w:rsidRPr="001A3D2B" w:rsidRDefault="003474F2" w:rsidP="003474F2">
      <w:pPr>
        <w:pStyle w:val="a3"/>
      </w:pPr>
      <w:r w:rsidRPr="001A3D2B">
        <w:t xml:space="preserve">Keywords: Britain, Distribution, Efficiency, Equity, Evolution, Health, </w:t>
      </w:r>
      <w:r w:rsidR="00D5664A">
        <w:t>MEDLINE</w:t>
      </w:r>
      <w:r w:rsidRPr="001A3D2B">
        <w:t>, Participation, Principles, Publications, Reform, Standards, United States, Visibility, World</w:t>
      </w:r>
    </w:p>
    <w:p w:rsidR="00DF4717" w:rsidRDefault="00DF4717" w:rsidP="00DF4717">
      <w:pPr>
        <w:pStyle w:val="a3"/>
        <w:rPr>
          <w:kern w:val="0"/>
          <w:szCs w:val="24"/>
        </w:rPr>
      </w:pPr>
      <w:r>
        <w:rPr>
          <w:rFonts w:hint="eastAsia"/>
          <w:kern w:val="0"/>
          <w:szCs w:val="24"/>
        </w:rPr>
        <w:t xml:space="preserve">? </w:t>
      </w:r>
      <w:r>
        <w:rPr>
          <w:kern w:val="0"/>
          <w:szCs w:val="24"/>
        </w:rPr>
        <w:t>Carvalho, L., Coimbra, C.E.A., Souza-Santos, R.</w:t>
      </w:r>
      <w:r w:rsidR="005853A9">
        <w:rPr>
          <w:kern w:val="0"/>
          <w:szCs w:val="24"/>
        </w:rPr>
        <w:t xml:space="preserve"> and </w:t>
      </w:r>
      <w:r>
        <w:rPr>
          <w:kern w:val="0"/>
          <w:szCs w:val="24"/>
        </w:rPr>
        <w:t>Santos, R.V. (2007), Output</w:t>
      </w:r>
      <w:r w:rsidR="005853A9">
        <w:rPr>
          <w:kern w:val="0"/>
          <w:szCs w:val="24"/>
        </w:rPr>
        <w:t xml:space="preserve"> and </w:t>
      </w:r>
      <w:r>
        <w:rPr>
          <w:kern w:val="0"/>
          <w:szCs w:val="24"/>
        </w:rPr>
        <w:t>citation in public health: A perspective based on</w:t>
      </w:r>
      <w:r w:rsidR="003A1917">
        <w:rPr>
          <w:kern w:val="0"/>
          <w:szCs w:val="24"/>
        </w:rPr>
        <w:t xml:space="preserve"> the </w:t>
      </w:r>
      <w:r>
        <w:rPr>
          <w:kern w:val="0"/>
          <w:szCs w:val="24"/>
        </w:rPr>
        <w:t xml:space="preserve">journals </w:t>
      </w:r>
      <w:r w:rsidRPr="00C73C58">
        <w:rPr>
          <w:i/>
        </w:rPr>
        <w:t>Cadernos de Saúde Pública</w:t>
      </w:r>
      <w:r w:rsidR="005853A9">
        <w:rPr>
          <w:kern w:val="0"/>
          <w:szCs w:val="24"/>
        </w:rPr>
        <w:t xml:space="preserve"> and </w:t>
      </w:r>
      <w:r w:rsidRPr="00FE06CD">
        <w:rPr>
          <w:i/>
          <w:kern w:val="0"/>
          <w:szCs w:val="24"/>
        </w:rPr>
        <w:t xml:space="preserve">Revista de </w:t>
      </w:r>
      <w:r w:rsidRPr="00C73C58">
        <w:rPr>
          <w:i/>
        </w:rPr>
        <w:t>Saúde Pública</w:t>
      </w:r>
      <w:r>
        <w:rPr>
          <w:kern w:val="0"/>
          <w:szCs w:val="24"/>
        </w:rPr>
        <w:t xml:space="preserve">. </w:t>
      </w:r>
      <w:proofErr w:type="gramStart"/>
      <w:r w:rsidRPr="00C73C58">
        <w:rPr>
          <w:i/>
        </w:rPr>
        <w:t>Cadernos de Saúde Pública</w:t>
      </w:r>
      <w:r>
        <w:rPr>
          <w:kern w:val="0"/>
          <w:szCs w:val="24"/>
        </w:rPr>
        <w:t xml:space="preserve">, </w:t>
      </w:r>
      <w:r>
        <w:rPr>
          <w:b/>
          <w:bCs/>
          <w:kern w:val="0"/>
          <w:szCs w:val="24"/>
        </w:rPr>
        <w:t>23</w:t>
      </w:r>
      <w:r>
        <w:rPr>
          <w:kern w:val="0"/>
          <w:szCs w:val="24"/>
        </w:rPr>
        <w:t xml:space="preserve"> (12), 3023-3030.</w:t>
      </w:r>
      <w:proofErr w:type="gramEnd"/>
    </w:p>
    <w:p w:rsidR="00DF4717" w:rsidRDefault="00DF4717" w:rsidP="00DF4717">
      <w:pPr>
        <w:pStyle w:val="a3"/>
        <w:rPr>
          <w:kern w:val="0"/>
        </w:rPr>
      </w:pPr>
      <w:r>
        <w:rPr>
          <w:rFonts w:hint="eastAsia"/>
          <w:kern w:val="0"/>
        </w:rPr>
        <w:t xml:space="preserve">Full Text: </w:t>
      </w:r>
      <w:hyperlink r:id="rId12" w:history="1">
        <w:r w:rsidR="00186FAF" w:rsidRPr="00186FAF">
          <w:rPr>
            <w:rStyle w:val="a5"/>
            <w:kern w:val="0"/>
          </w:rPr>
          <w:t>2007\Cad Sau Pub23, 3023.pdf</w:t>
        </w:r>
      </w:hyperlink>
    </w:p>
    <w:p w:rsidR="00DF4717" w:rsidRDefault="00DF4717" w:rsidP="00DF4717">
      <w:pPr>
        <w:pStyle w:val="a3"/>
        <w:rPr>
          <w:kern w:val="0"/>
          <w:szCs w:val="24"/>
        </w:rPr>
      </w:pPr>
      <w:r>
        <w:rPr>
          <w:kern w:val="0"/>
          <w:szCs w:val="24"/>
        </w:rPr>
        <w:t>Abstract: This is a comparative bibliometric study</w:t>
      </w:r>
      <w:r w:rsidR="00427468">
        <w:rPr>
          <w:kern w:val="0"/>
          <w:szCs w:val="24"/>
        </w:rPr>
        <w:t xml:space="preserve"> of </w:t>
      </w:r>
      <w:r w:rsidR="003A1917">
        <w:rPr>
          <w:kern w:val="0"/>
          <w:szCs w:val="24"/>
        </w:rPr>
        <w:t xml:space="preserve">the </w:t>
      </w:r>
      <w:r>
        <w:rPr>
          <w:kern w:val="0"/>
          <w:szCs w:val="24"/>
        </w:rPr>
        <w:t>two main scientific journals in</w:t>
      </w:r>
      <w:r w:rsidR="003A1917">
        <w:rPr>
          <w:kern w:val="0"/>
          <w:szCs w:val="24"/>
        </w:rPr>
        <w:t xml:space="preserve"> the </w:t>
      </w:r>
      <w:r>
        <w:rPr>
          <w:kern w:val="0"/>
          <w:szCs w:val="24"/>
        </w:rPr>
        <w:t>Public Health field in Brazil: Cadernos de Saude Publica (CSP)</w:t>
      </w:r>
      <w:r w:rsidR="005853A9">
        <w:rPr>
          <w:kern w:val="0"/>
          <w:szCs w:val="24"/>
        </w:rPr>
        <w:t xml:space="preserve"> and </w:t>
      </w:r>
      <w:r>
        <w:rPr>
          <w:kern w:val="0"/>
          <w:szCs w:val="24"/>
        </w:rPr>
        <w:t xml:space="preserve">Revista de </w:t>
      </w:r>
      <w:r>
        <w:rPr>
          <w:kern w:val="0"/>
          <w:szCs w:val="24"/>
        </w:rPr>
        <w:lastRenderedPageBreak/>
        <w:t>Saude Publica (RSP). Twenty-four issues</w:t>
      </w:r>
      <w:r w:rsidR="00427468">
        <w:rPr>
          <w:kern w:val="0"/>
          <w:szCs w:val="24"/>
        </w:rPr>
        <w:t xml:space="preserve"> of </w:t>
      </w:r>
      <w:r>
        <w:rPr>
          <w:kern w:val="0"/>
          <w:szCs w:val="24"/>
        </w:rPr>
        <w:t>each periodical were analyzed, published from 1996 to 2003, comprising a sample</w:t>
      </w:r>
      <w:r w:rsidR="00427468">
        <w:rPr>
          <w:kern w:val="0"/>
          <w:szCs w:val="24"/>
        </w:rPr>
        <w:t xml:space="preserve"> of </w:t>
      </w:r>
      <w:r>
        <w:rPr>
          <w:kern w:val="0"/>
          <w:szCs w:val="24"/>
        </w:rPr>
        <w:t>819 articles (496 from CSP</w:t>
      </w:r>
      <w:r w:rsidR="005853A9">
        <w:rPr>
          <w:kern w:val="0"/>
          <w:szCs w:val="24"/>
        </w:rPr>
        <w:t xml:space="preserve"> and </w:t>
      </w:r>
      <w:r>
        <w:rPr>
          <w:kern w:val="0"/>
          <w:szCs w:val="24"/>
        </w:rPr>
        <w:t>323 from RSP)</w:t>
      </w:r>
      <w:r w:rsidR="00A37C1D">
        <w:rPr>
          <w:kern w:val="0"/>
          <w:szCs w:val="24"/>
        </w:rPr>
        <w:t>. The</w:t>
      </w:r>
      <w:r w:rsidR="003A1917">
        <w:rPr>
          <w:kern w:val="0"/>
          <w:szCs w:val="24"/>
        </w:rPr>
        <w:t xml:space="preserve"> </w:t>
      </w:r>
      <w:r>
        <w:rPr>
          <w:kern w:val="0"/>
          <w:szCs w:val="24"/>
        </w:rPr>
        <w:t>following elements in</w:t>
      </w:r>
      <w:r w:rsidR="003A1917">
        <w:rPr>
          <w:kern w:val="0"/>
          <w:szCs w:val="24"/>
        </w:rPr>
        <w:t xml:space="preserve"> the </w:t>
      </w:r>
      <w:r>
        <w:rPr>
          <w:kern w:val="0"/>
          <w:szCs w:val="24"/>
        </w:rPr>
        <w:t>articles were identified</w:t>
      </w:r>
      <w:r w:rsidR="005853A9">
        <w:rPr>
          <w:kern w:val="0"/>
          <w:szCs w:val="24"/>
        </w:rPr>
        <w:t xml:space="preserve"> and </w:t>
      </w:r>
      <w:r>
        <w:rPr>
          <w:kern w:val="0"/>
          <w:szCs w:val="24"/>
        </w:rPr>
        <w:t>analyzed: thematic area</w:t>
      </w:r>
      <w:r w:rsidR="00427468">
        <w:rPr>
          <w:kern w:val="0"/>
          <w:szCs w:val="24"/>
        </w:rPr>
        <w:t xml:space="preserve"> of </w:t>
      </w:r>
      <w:r w:rsidR="003A1917">
        <w:rPr>
          <w:kern w:val="0"/>
          <w:szCs w:val="24"/>
        </w:rPr>
        <w:t xml:space="preserve">the </w:t>
      </w:r>
      <w:r>
        <w:rPr>
          <w:kern w:val="0"/>
          <w:szCs w:val="24"/>
        </w:rPr>
        <w:t>article</w:t>
      </w:r>
      <w:r w:rsidR="005853A9">
        <w:rPr>
          <w:kern w:val="0"/>
          <w:szCs w:val="24"/>
        </w:rPr>
        <w:t xml:space="preserve"> and </w:t>
      </w:r>
      <w:r>
        <w:rPr>
          <w:kern w:val="0"/>
          <w:szCs w:val="24"/>
        </w:rPr>
        <w:t>citation pattern</w:t>
      </w:r>
      <w:r w:rsidR="00427468">
        <w:rPr>
          <w:kern w:val="0"/>
          <w:szCs w:val="24"/>
        </w:rPr>
        <w:t xml:space="preserve"> of </w:t>
      </w:r>
      <w:r>
        <w:rPr>
          <w:kern w:val="0"/>
          <w:szCs w:val="24"/>
        </w:rPr>
        <w:t xml:space="preserve">publications (articles in periodicals, books and/or book chapters, theses/dissertations, Internet documents, </w:t>
      </w:r>
      <w:r w:rsidR="00B5188C">
        <w:rPr>
          <w:kern w:val="0"/>
          <w:szCs w:val="24"/>
        </w:rPr>
        <w:t>“</w:t>
      </w:r>
      <w:r>
        <w:rPr>
          <w:kern w:val="0"/>
          <w:szCs w:val="24"/>
        </w:rPr>
        <w:t>gray</w:t>
      </w:r>
      <w:r w:rsidR="00B5188C">
        <w:rPr>
          <w:kern w:val="0"/>
          <w:szCs w:val="24"/>
        </w:rPr>
        <w:t>”</w:t>
      </w:r>
      <w:r>
        <w:rPr>
          <w:kern w:val="0"/>
          <w:szCs w:val="24"/>
        </w:rPr>
        <w:t xml:space="preserve"> literature,</w:t>
      </w:r>
      <w:r w:rsidR="005853A9">
        <w:rPr>
          <w:kern w:val="0"/>
          <w:szCs w:val="24"/>
        </w:rPr>
        <w:t xml:space="preserve"> and </w:t>
      </w:r>
      <w:r>
        <w:rPr>
          <w:kern w:val="0"/>
          <w:szCs w:val="24"/>
        </w:rPr>
        <w:t>other types</w:t>
      </w:r>
      <w:r w:rsidR="00427468">
        <w:rPr>
          <w:kern w:val="0"/>
          <w:szCs w:val="24"/>
        </w:rPr>
        <w:t xml:space="preserve"> of </w:t>
      </w:r>
      <w:r>
        <w:rPr>
          <w:kern w:val="0"/>
          <w:szCs w:val="24"/>
        </w:rPr>
        <w:t>publications)</w:t>
      </w:r>
      <w:r w:rsidR="00A37C1D">
        <w:rPr>
          <w:kern w:val="0"/>
          <w:szCs w:val="24"/>
        </w:rPr>
        <w:t>. The</w:t>
      </w:r>
      <w:r w:rsidR="003A1917">
        <w:rPr>
          <w:kern w:val="0"/>
          <w:szCs w:val="24"/>
        </w:rPr>
        <w:t xml:space="preserve"> </w:t>
      </w:r>
      <w:r>
        <w:rPr>
          <w:kern w:val="0"/>
          <w:szCs w:val="24"/>
        </w:rPr>
        <w:t>resulting data showed that</w:t>
      </w:r>
      <w:r w:rsidR="003A1917">
        <w:rPr>
          <w:kern w:val="0"/>
          <w:szCs w:val="24"/>
        </w:rPr>
        <w:t xml:space="preserve"> the </w:t>
      </w:r>
      <w:r>
        <w:rPr>
          <w:kern w:val="0"/>
          <w:szCs w:val="24"/>
        </w:rPr>
        <w:t>majority</w:t>
      </w:r>
      <w:r w:rsidR="00427468">
        <w:rPr>
          <w:kern w:val="0"/>
          <w:szCs w:val="24"/>
        </w:rPr>
        <w:t xml:space="preserve"> of </w:t>
      </w:r>
      <w:r w:rsidR="003A1917">
        <w:rPr>
          <w:kern w:val="0"/>
          <w:szCs w:val="24"/>
        </w:rPr>
        <w:t xml:space="preserve">the </w:t>
      </w:r>
      <w:r>
        <w:rPr>
          <w:kern w:val="0"/>
          <w:szCs w:val="24"/>
        </w:rPr>
        <w:t>articles represent</w:t>
      </w:r>
      <w:r w:rsidR="003A1917">
        <w:rPr>
          <w:kern w:val="0"/>
          <w:szCs w:val="24"/>
        </w:rPr>
        <w:t xml:space="preserve"> the </w:t>
      </w:r>
      <w:r>
        <w:rPr>
          <w:kern w:val="0"/>
          <w:szCs w:val="24"/>
        </w:rPr>
        <w:t>sub-area</w:t>
      </w:r>
      <w:r w:rsidR="00427468">
        <w:rPr>
          <w:kern w:val="0"/>
          <w:szCs w:val="24"/>
        </w:rPr>
        <w:t xml:space="preserve"> of </w:t>
      </w:r>
      <w:r w:rsidR="00B5188C">
        <w:rPr>
          <w:kern w:val="0"/>
          <w:szCs w:val="24"/>
        </w:rPr>
        <w:t>“</w:t>
      </w:r>
      <w:r>
        <w:rPr>
          <w:kern w:val="0"/>
          <w:szCs w:val="24"/>
        </w:rPr>
        <w:t>epidemiology</w:t>
      </w:r>
      <w:r w:rsidR="00B5188C">
        <w:rPr>
          <w:kern w:val="0"/>
          <w:szCs w:val="24"/>
        </w:rPr>
        <w:t>”</w:t>
      </w:r>
      <w:r w:rsidR="00A37C1D">
        <w:rPr>
          <w:kern w:val="0"/>
          <w:szCs w:val="24"/>
        </w:rPr>
        <w:t>. The</w:t>
      </w:r>
      <w:r w:rsidR="003A1917">
        <w:rPr>
          <w:kern w:val="0"/>
          <w:szCs w:val="24"/>
        </w:rPr>
        <w:t xml:space="preserve"> </w:t>
      </w:r>
      <w:r>
        <w:rPr>
          <w:kern w:val="0"/>
          <w:szCs w:val="24"/>
        </w:rPr>
        <w:t>citation pattern in</w:t>
      </w:r>
      <w:r w:rsidR="003A1917">
        <w:rPr>
          <w:kern w:val="0"/>
          <w:szCs w:val="24"/>
        </w:rPr>
        <w:t xml:space="preserve"> the </w:t>
      </w:r>
      <w:r>
        <w:rPr>
          <w:kern w:val="0"/>
          <w:szCs w:val="24"/>
        </w:rPr>
        <w:t>journals showed articles in periodicals in first place, followed by citations</w:t>
      </w:r>
      <w:r w:rsidR="00427468">
        <w:rPr>
          <w:kern w:val="0"/>
          <w:szCs w:val="24"/>
        </w:rPr>
        <w:t xml:space="preserve"> of </w:t>
      </w:r>
      <w:r>
        <w:rPr>
          <w:kern w:val="0"/>
          <w:szCs w:val="24"/>
        </w:rPr>
        <w:t>books and/or book chapters. Papers in</w:t>
      </w:r>
      <w:r w:rsidR="003A1917">
        <w:rPr>
          <w:kern w:val="0"/>
          <w:szCs w:val="24"/>
        </w:rPr>
        <w:t xml:space="preserve"> the </w:t>
      </w:r>
      <w:r>
        <w:rPr>
          <w:kern w:val="0"/>
          <w:szCs w:val="24"/>
        </w:rPr>
        <w:t xml:space="preserve">sub-area </w:t>
      </w:r>
      <w:r w:rsidR="00B5188C">
        <w:rPr>
          <w:kern w:val="0"/>
          <w:szCs w:val="24"/>
        </w:rPr>
        <w:t>“</w:t>
      </w:r>
      <w:r>
        <w:rPr>
          <w:kern w:val="0"/>
          <w:szCs w:val="24"/>
        </w:rPr>
        <w:t>social sciences in health</w:t>
      </w:r>
      <w:r w:rsidR="00B5188C">
        <w:rPr>
          <w:kern w:val="0"/>
          <w:szCs w:val="24"/>
        </w:rPr>
        <w:t>”</w:t>
      </w:r>
      <w:r>
        <w:rPr>
          <w:kern w:val="0"/>
          <w:szCs w:val="24"/>
        </w:rPr>
        <w:t xml:space="preserve"> published in CSP are exceptions, since books</w:t>
      </w:r>
      <w:r w:rsidR="005853A9">
        <w:rPr>
          <w:kern w:val="0"/>
          <w:szCs w:val="24"/>
        </w:rPr>
        <w:t xml:space="preserve"> and </w:t>
      </w:r>
      <w:r>
        <w:rPr>
          <w:kern w:val="0"/>
          <w:szCs w:val="24"/>
        </w:rPr>
        <w:t>chapters are</w:t>
      </w:r>
      <w:r w:rsidR="003A1917">
        <w:rPr>
          <w:kern w:val="0"/>
          <w:szCs w:val="24"/>
        </w:rPr>
        <w:t xml:space="preserve"> the </w:t>
      </w:r>
      <w:r>
        <w:rPr>
          <w:kern w:val="0"/>
          <w:szCs w:val="24"/>
        </w:rPr>
        <w:t>most frequently cited</w:t>
      </w:r>
      <w:r w:rsidR="00A37C1D">
        <w:rPr>
          <w:kern w:val="0"/>
          <w:szCs w:val="24"/>
        </w:rPr>
        <w:t>. The</w:t>
      </w:r>
      <w:r w:rsidR="003A1917">
        <w:rPr>
          <w:kern w:val="0"/>
          <w:szCs w:val="24"/>
        </w:rPr>
        <w:t xml:space="preserve"> </w:t>
      </w:r>
      <w:r>
        <w:rPr>
          <w:kern w:val="0"/>
          <w:szCs w:val="24"/>
        </w:rPr>
        <w:t>authors discuss</w:t>
      </w:r>
      <w:r w:rsidR="003A1917">
        <w:rPr>
          <w:kern w:val="0"/>
          <w:szCs w:val="24"/>
        </w:rPr>
        <w:t xml:space="preserve"> the </w:t>
      </w:r>
      <w:r>
        <w:rPr>
          <w:kern w:val="0"/>
          <w:szCs w:val="24"/>
        </w:rPr>
        <w:t>implications</w:t>
      </w:r>
      <w:r w:rsidR="00427468">
        <w:rPr>
          <w:kern w:val="0"/>
          <w:szCs w:val="24"/>
        </w:rPr>
        <w:t xml:space="preserve"> of </w:t>
      </w:r>
      <w:r w:rsidR="003A1917">
        <w:rPr>
          <w:kern w:val="0"/>
          <w:szCs w:val="24"/>
        </w:rPr>
        <w:t xml:space="preserve">the </w:t>
      </w:r>
      <w:r>
        <w:rPr>
          <w:kern w:val="0"/>
          <w:szCs w:val="24"/>
        </w:rPr>
        <w:t>findings for</w:t>
      </w:r>
      <w:r w:rsidR="003A1917">
        <w:rPr>
          <w:kern w:val="0"/>
          <w:szCs w:val="24"/>
        </w:rPr>
        <w:t xml:space="preserve"> the </w:t>
      </w:r>
      <w:r>
        <w:rPr>
          <w:kern w:val="0"/>
          <w:szCs w:val="24"/>
        </w:rPr>
        <w:t>characterization</w:t>
      </w:r>
      <w:r w:rsidR="005853A9">
        <w:rPr>
          <w:kern w:val="0"/>
          <w:szCs w:val="24"/>
        </w:rPr>
        <w:t xml:space="preserve"> and </w:t>
      </w:r>
      <w:r>
        <w:rPr>
          <w:kern w:val="0"/>
          <w:szCs w:val="24"/>
        </w:rPr>
        <w:t>evaluation</w:t>
      </w:r>
      <w:r w:rsidR="00427468">
        <w:rPr>
          <w:kern w:val="0"/>
          <w:szCs w:val="24"/>
        </w:rPr>
        <w:t xml:space="preserve"> of </w:t>
      </w:r>
      <w:r>
        <w:rPr>
          <w:kern w:val="0"/>
          <w:szCs w:val="24"/>
        </w:rPr>
        <w:t>scientific output in Public Health in Brazil.</w:t>
      </w:r>
    </w:p>
    <w:p w:rsidR="00DF4717" w:rsidRDefault="00DF4717" w:rsidP="00DF4717">
      <w:pPr>
        <w:pStyle w:val="a3"/>
        <w:rPr>
          <w:kern w:val="0"/>
          <w:szCs w:val="24"/>
        </w:rPr>
      </w:pPr>
      <w:r>
        <w:rPr>
          <w:kern w:val="0"/>
          <w:szCs w:val="24"/>
        </w:rPr>
        <w:t>Keywords: Bibliometric Indicators, Literature, Patterns, Periodicals, Scientific Communication</w:t>
      </w:r>
      <w:r w:rsidR="005853A9">
        <w:rPr>
          <w:kern w:val="0"/>
          <w:szCs w:val="24"/>
        </w:rPr>
        <w:t xml:space="preserve"> and </w:t>
      </w:r>
      <w:r>
        <w:rPr>
          <w:kern w:val="0"/>
          <w:szCs w:val="24"/>
        </w:rPr>
        <w:t>Diffusion</w:t>
      </w:r>
    </w:p>
    <w:p w:rsidR="00DF4717" w:rsidRDefault="00DF4717" w:rsidP="00DF4717">
      <w:pPr>
        <w:pStyle w:val="a3"/>
        <w:rPr>
          <w:kern w:val="0"/>
          <w:szCs w:val="24"/>
        </w:rPr>
      </w:pPr>
      <w:r>
        <w:rPr>
          <w:rFonts w:hint="eastAsia"/>
          <w:kern w:val="0"/>
          <w:szCs w:val="24"/>
        </w:rPr>
        <w:t xml:space="preserve">? </w:t>
      </w:r>
      <w:r>
        <w:rPr>
          <w:kern w:val="0"/>
          <w:szCs w:val="24"/>
        </w:rPr>
        <w:t>Barata, R.B. (2007), SciELO public health:</w:t>
      </w:r>
      <w:r w:rsidR="003A1917">
        <w:rPr>
          <w:kern w:val="0"/>
          <w:szCs w:val="24"/>
        </w:rPr>
        <w:t xml:space="preserve"> the </w:t>
      </w:r>
      <w:r>
        <w:rPr>
          <w:kern w:val="0"/>
          <w:szCs w:val="24"/>
        </w:rPr>
        <w:t>performance</w:t>
      </w:r>
      <w:r w:rsidR="00427468">
        <w:rPr>
          <w:kern w:val="0"/>
          <w:szCs w:val="24"/>
        </w:rPr>
        <w:t xml:space="preserve"> of </w:t>
      </w:r>
      <w:r w:rsidRPr="00C73C58">
        <w:rPr>
          <w:i/>
        </w:rPr>
        <w:t>Cadernos de Saúde Pública</w:t>
      </w:r>
      <w:r w:rsidR="005853A9">
        <w:rPr>
          <w:kern w:val="0"/>
          <w:szCs w:val="24"/>
        </w:rPr>
        <w:t xml:space="preserve"> and </w:t>
      </w:r>
      <w:r w:rsidRPr="00FE06CD">
        <w:rPr>
          <w:i/>
          <w:kern w:val="0"/>
          <w:szCs w:val="24"/>
        </w:rPr>
        <w:t xml:space="preserve">Revista de </w:t>
      </w:r>
      <w:r w:rsidRPr="00C73C58">
        <w:rPr>
          <w:i/>
        </w:rPr>
        <w:t>Saúde Pública</w:t>
      </w:r>
      <w:r>
        <w:rPr>
          <w:kern w:val="0"/>
          <w:szCs w:val="24"/>
        </w:rPr>
        <w:t xml:space="preserve">. </w:t>
      </w:r>
      <w:proofErr w:type="gramStart"/>
      <w:r w:rsidRPr="00C73C58">
        <w:rPr>
          <w:i/>
        </w:rPr>
        <w:t>Cadernos de Saúde Pública</w:t>
      </w:r>
      <w:r>
        <w:rPr>
          <w:kern w:val="0"/>
          <w:szCs w:val="24"/>
        </w:rPr>
        <w:t xml:space="preserve">, </w:t>
      </w:r>
      <w:r>
        <w:rPr>
          <w:b/>
          <w:bCs/>
          <w:kern w:val="0"/>
          <w:szCs w:val="24"/>
        </w:rPr>
        <w:t>23</w:t>
      </w:r>
      <w:r>
        <w:rPr>
          <w:kern w:val="0"/>
          <w:szCs w:val="24"/>
        </w:rPr>
        <w:t xml:space="preserve"> (12), 3031-3040.</w:t>
      </w:r>
      <w:proofErr w:type="gramEnd"/>
    </w:p>
    <w:p w:rsidR="00654EB3" w:rsidRDefault="00654EB3" w:rsidP="00654EB3">
      <w:pPr>
        <w:pStyle w:val="a3"/>
        <w:rPr>
          <w:kern w:val="0"/>
        </w:rPr>
      </w:pPr>
      <w:r>
        <w:rPr>
          <w:rFonts w:hint="eastAsia"/>
          <w:kern w:val="0"/>
        </w:rPr>
        <w:t xml:space="preserve">Full Text: </w:t>
      </w:r>
      <w:hyperlink r:id="rId13" w:history="1">
        <w:r w:rsidRPr="00CB6727">
          <w:rPr>
            <w:rStyle w:val="a5"/>
            <w:kern w:val="0"/>
          </w:rPr>
          <w:t>2007\Cad Sau Pub23, 3031.pdf</w:t>
        </w:r>
      </w:hyperlink>
    </w:p>
    <w:p w:rsidR="00DF4717" w:rsidRDefault="00DF4717" w:rsidP="00DF4717">
      <w:pPr>
        <w:pStyle w:val="a3"/>
        <w:rPr>
          <w:kern w:val="0"/>
          <w:szCs w:val="24"/>
        </w:rPr>
      </w:pPr>
      <w:r>
        <w:rPr>
          <w:kern w:val="0"/>
          <w:szCs w:val="24"/>
        </w:rPr>
        <w:t>Abstract:</w:t>
      </w:r>
      <w:r w:rsidR="003A1917">
        <w:rPr>
          <w:kern w:val="0"/>
          <w:szCs w:val="24"/>
        </w:rPr>
        <w:t xml:space="preserve"> the </w:t>
      </w:r>
      <w:r>
        <w:rPr>
          <w:kern w:val="0"/>
          <w:szCs w:val="24"/>
        </w:rPr>
        <w:t>aim</w:t>
      </w:r>
      <w:r w:rsidR="00427468">
        <w:rPr>
          <w:kern w:val="0"/>
          <w:szCs w:val="24"/>
        </w:rPr>
        <w:t xml:space="preserve"> of </w:t>
      </w:r>
      <w:r>
        <w:rPr>
          <w:kern w:val="0"/>
          <w:szCs w:val="24"/>
        </w:rPr>
        <w:t>this paper was to analyze two Brazilian scientific journals included in</w:t>
      </w:r>
      <w:r w:rsidR="003A1917">
        <w:rPr>
          <w:kern w:val="0"/>
          <w:szCs w:val="24"/>
        </w:rPr>
        <w:t xml:space="preserve"> the </w:t>
      </w:r>
      <w:r>
        <w:rPr>
          <w:kern w:val="0"/>
          <w:szCs w:val="24"/>
        </w:rPr>
        <w:t>SciELO Library</w:t>
      </w:r>
      <w:r w:rsidR="00427468">
        <w:rPr>
          <w:kern w:val="0"/>
          <w:szCs w:val="24"/>
        </w:rPr>
        <w:t xml:space="preserve"> of </w:t>
      </w:r>
      <w:r>
        <w:rPr>
          <w:kern w:val="0"/>
          <w:szCs w:val="24"/>
        </w:rPr>
        <w:t>Public Health, using a group</w:t>
      </w:r>
      <w:r w:rsidR="00427468">
        <w:rPr>
          <w:kern w:val="0"/>
          <w:szCs w:val="24"/>
        </w:rPr>
        <w:t xml:space="preserve"> of </w:t>
      </w:r>
      <w:r>
        <w:rPr>
          <w:kern w:val="0"/>
          <w:szCs w:val="24"/>
        </w:rPr>
        <w:t>bibliometric indicators</w:t>
      </w:r>
      <w:r w:rsidR="005853A9">
        <w:rPr>
          <w:kern w:val="0"/>
          <w:szCs w:val="24"/>
        </w:rPr>
        <w:t xml:space="preserve"> and </w:t>
      </w:r>
      <w:r>
        <w:rPr>
          <w:kern w:val="0"/>
          <w:szCs w:val="24"/>
        </w:rPr>
        <w:t>scrutinizing</w:t>
      </w:r>
      <w:r w:rsidR="003A1917">
        <w:rPr>
          <w:kern w:val="0"/>
          <w:szCs w:val="24"/>
        </w:rPr>
        <w:t xml:space="preserve"> the </w:t>
      </w:r>
      <w:r>
        <w:rPr>
          <w:kern w:val="0"/>
          <w:szCs w:val="24"/>
        </w:rPr>
        <w:t>articles most viewed. Cadernos de Saude Publica was accessed 3,743.59 times per month, with an average</w:t>
      </w:r>
      <w:r w:rsidR="00427468">
        <w:rPr>
          <w:kern w:val="0"/>
          <w:szCs w:val="24"/>
        </w:rPr>
        <w:t xml:space="preserve"> of </w:t>
      </w:r>
      <w:r>
        <w:rPr>
          <w:kern w:val="0"/>
          <w:szCs w:val="24"/>
        </w:rPr>
        <w:t>30.31 citations per article</w:t>
      </w:r>
      <w:r w:rsidR="00A37C1D">
        <w:rPr>
          <w:kern w:val="0"/>
          <w:szCs w:val="24"/>
        </w:rPr>
        <w:t>. The</w:t>
      </w:r>
      <w:r w:rsidR="003A1917">
        <w:rPr>
          <w:kern w:val="0"/>
          <w:szCs w:val="24"/>
        </w:rPr>
        <w:t xml:space="preserve"> </w:t>
      </w:r>
      <w:r>
        <w:rPr>
          <w:kern w:val="0"/>
          <w:szCs w:val="24"/>
        </w:rPr>
        <w:t>50 articles most viewed (6.72 to 524.5 views) were mostly published in Portuguese (92%). 42% were theoretical essays, 20% surveys,</w:t>
      </w:r>
      <w:r w:rsidR="005853A9">
        <w:rPr>
          <w:kern w:val="0"/>
          <w:szCs w:val="24"/>
        </w:rPr>
        <w:t xml:space="preserve"> and </w:t>
      </w:r>
      <w:r>
        <w:rPr>
          <w:kern w:val="0"/>
          <w:szCs w:val="24"/>
        </w:rPr>
        <w:t>16% descriptive studies. 42% used argumentative techniques, 34% quantitative techniques, 18% qualitative techniques,</w:t>
      </w:r>
      <w:r w:rsidR="005853A9">
        <w:rPr>
          <w:kern w:val="0"/>
          <w:szCs w:val="24"/>
        </w:rPr>
        <w:t xml:space="preserve"> and </w:t>
      </w:r>
      <w:r>
        <w:rPr>
          <w:kern w:val="0"/>
          <w:szCs w:val="24"/>
        </w:rPr>
        <w:t>6% mathematical modeling</w:t>
      </w:r>
      <w:r w:rsidR="00A37C1D">
        <w:rPr>
          <w:kern w:val="0"/>
          <w:szCs w:val="24"/>
        </w:rPr>
        <w:t>. The</w:t>
      </w:r>
      <w:r w:rsidR="003A1917">
        <w:rPr>
          <w:kern w:val="0"/>
          <w:szCs w:val="24"/>
        </w:rPr>
        <w:t xml:space="preserve"> </w:t>
      </w:r>
      <w:r>
        <w:rPr>
          <w:kern w:val="0"/>
          <w:szCs w:val="24"/>
        </w:rPr>
        <w:t>most common themes were: health</w:t>
      </w:r>
      <w:r w:rsidR="005853A9">
        <w:rPr>
          <w:kern w:val="0"/>
          <w:szCs w:val="24"/>
        </w:rPr>
        <w:t xml:space="preserve"> and </w:t>
      </w:r>
      <w:r>
        <w:rPr>
          <w:kern w:val="0"/>
          <w:szCs w:val="24"/>
        </w:rPr>
        <w:t>work (50%), epidemiology (22916),</w:t>
      </w:r>
      <w:r w:rsidR="005853A9">
        <w:rPr>
          <w:kern w:val="0"/>
          <w:szCs w:val="24"/>
        </w:rPr>
        <w:t xml:space="preserve"> and </w:t>
      </w:r>
      <w:r>
        <w:rPr>
          <w:kern w:val="0"/>
          <w:szCs w:val="24"/>
        </w:rPr>
        <w:t>environmental health (8916). Revista de Saude Publica was accessed 1,590.97 times per month, with an average</w:t>
      </w:r>
      <w:r w:rsidR="00427468">
        <w:rPr>
          <w:kern w:val="0"/>
          <w:szCs w:val="24"/>
        </w:rPr>
        <w:t xml:space="preserve"> of </w:t>
      </w:r>
      <w:r>
        <w:rPr>
          <w:kern w:val="0"/>
          <w:szCs w:val="24"/>
        </w:rPr>
        <w:t>26.27 citations per article</w:t>
      </w:r>
      <w:r w:rsidR="00A37C1D">
        <w:rPr>
          <w:kern w:val="0"/>
          <w:szCs w:val="24"/>
        </w:rPr>
        <w:t>. The</w:t>
      </w:r>
      <w:r w:rsidR="003A1917">
        <w:rPr>
          <w:kern w:val="0"/>
          <w:szCs w:val="24"/>
        </w:rPr>
        <w:t xml:space="preserve"> </w:t>
      </w:r>
      <w:r>
        <w:rPr>
          <w:kern w:val="0"/>
          <w:szCs w:val="24"/>
        </w:rPr>
        <w:t>50 articles most viewed (7.33</w:t>
      </w:r>
      <w:r w:rsidR="005853A9">
        <w:rPr>
          <w:kern w:val="0"/>
          <w:szCs w:val="24"/>
        </w:rPr>
        <w:t xml:space="preserve"> and </w:t>
      </w:r>
      <w:r>
        <w:rPr>
          <w:kern w:val="0"/>
          <w:szCs w:val="24"/>
        </w:rPr>
        <w:t>56.50 views) were all published in Portuguese: 46% were surveys, 14% databases analysis,</w:t>
      </w:r>
      <w:r w:rsidR="005853A9">
        <w:rPr>
          <w:kern w:val="0"/>
          <w:szCs w:val="24"/>
        </w:rPr>
        <w:t xml:space="preserve"> and </w:t>
      </w:r>
      <w:r>
        <w:rPr>
          <w:kern w:val="0"/>
          <w:szCs w:val="24"/>
        </w:rPr>
        <w:t>12% systematic reviews. Quantitative techniques were adopted in 66%</w:t>
      </w:r>
      <w:r w:rsidR="00427468">
        <w:rPr>
          <w:kern w:val="0"/>
          <w:szCs w:val="24"/>
        </w:rPr>
        <w:t xml:space="preserve"> of </w:t>
      </w:r>
      <w:r>
        <w:rPr>
          <w:kern w:val="0"/>
          <w:szCs w:val="24"/>
        </w:rPr>
        <w:t>such articles, while mathematical modeling was</w:t>
      </w:r>
      <w:r w:rsidR="003A1917">
        <w:rPr>
          <w:kern w:val="0"/>
          <w:szCs w:val="24"/>
        </w:rPr>
        <w:t xml:space="preserve"> the </w:t>
      </w:r>
      <w:r>
        <w:rPr>
          <w:kern w:val="0"/>
          <w:szCs w:val="24"/>
        </w:rPr>
        <w:t>same as observed in Cadernos de Saude Publica, as were qualitative techniques</w:t>
      </w:r>
      <w:r w:rsidR="00A37C1D">
        <w:rPr>
          <w:kern w:val="0"/>
          <w:szCs w:val="24"/>
        </w:rPr>
        <w:t>. The</w:t>
      </w:r>
      <w:r w:rsidR="003A1917">
        <w:rPr>
          <w:kern w:val="0"/>
          <w:szCs w:val="24"/>
        </w:rPr>
        <w:t xml:space="preserve"> </w:t>
      </w:r>
      <w:r>
        <w:rPr>
          <w:kern w:val="0"/>
          <w:szCs w:val="24"/>
        </w:rPr>
        <w:t>most common themes were health services organization (22%), nutrition (22%), health</w:t>
      </w:r>
      <w:r w:rsidR="005853A9">
        <w:rPr>
          <w:kern w:val="0"/>
          <w:szCs w:val="24"/>
        </w:rPr>
        <w:t xml:space="preserve"> and </w:t>
      </w:r>
      <w:r>
        <w:rPr>
          <w:kern w:val="0"/>
          <w:szCs w:val="24"/>
        </w:rPr>
        <w:t>work (18%), epidemiology (12%),</w:t>
      </w:r>
      <w:r w:rsidR="005853A9">
        <w:rPr>
          <w:kern w:val="0"/>
          <w:szCs w:val="24"/>
        </w:rPr>
        <w:t xml:space="preserve"> and </w:t>
      </w:r>
      <w:r>
        <w:rPr>
          <w:kern w:val="0"/>
          <w:szCs w:val="24"/>
        </w:rPr>
        <w:t>environmental health (12916).</w:t>
      </w:r>
    </w:p>
    <w:p w:rsidR="00DF4717" w:rsidRDefault="00DF4717" w:rsidP="00DF4717">
      <w:pPr>
        <w:pStyle w:val="a3"/>
        <w:rPr>
          <w:kern w:val="0"/>
          <w:szCs w:val="24"/>
        </w:rPr>
      </w:pPr>
      <w:r>
        <w:rPr>
          <w:kern w:val="0"/>
          <w:szCs w:val="24"/>
        </w:rPr>
        <w:t>Keywords: Bibliometric Indicators, Databases, Environmental Health, Indexes, Open Access, Periodicals, Virtual Libraries</w:t>
      </w:r>
    </w:p>
    <w:p w:rsidR="00DF4717" w:rsidRDefault="00DF4717" w:rsidP="00DF4717">
      <w:pPr>
        <w:pStyle w:val="a3"/>
        <w:rPr>
          <w:kern w:val="0"/>
          <w:szCs w:val="24"/>
        </w:rPr>
      </w:pPr>
      <w:r>
        <w:rPr>
          <w:rFonts w:hint="eastAsia"/>
          <w:kern w:val="0"/>
          <w:szCs w:val="24"/>
        </w:rPr>
        <w:t xml:space="preserve">? </w:t>
      </w:r>
      <w:r>
        <w:rPr>
          <w:kern w:val="0"/>
          <w:szCs w:val="24"/>
        </w:rPr>
        <w:t>Castiel, L.D.</w:t>
      </w:r>
      <w:r w:rsidR="005853A9">
        <w:rPr>
          <w:kern w:val="0"/>
          <w:szCs w:val="24"/>
        </w:rPr>
        <w:t xml:space="preserve"> and </w:t>
      </w:r>
      <w:r>
        <w:rPr>
          <w:kern w:val="0"/>
          <w:szCs w:val="24"/>
        </w:rPr>
        <w:t xml:space="preserve">Sanz-Valero, J. (2007), </w:t>
      </w:r>
      <w:proofErr w:type="gramStart"/>
      <w:r>
        <w:rPr>
          <w:kern w:val="0"/>
          <w:szCs w:val="24"/>
        </w:rPr>
        <w:t>Between</w:t>
      </w:r>
      <w:proofErr w:type="gramEnd"/>
      <w:r>
        <w:rPr>
          <w:kern w:val="0"/>
          <w:szCs w:val="24"/>
        </w:rPr>
        <w:t xml:space="preserve"> fetishism</w:t>
      </w:r>
      <w:r w:rsidR="005853A9">
        <w:rPr>
          <w:kern w:val="0"/>
          <w:szCs w:val="24"/>
        </w:rPr>
        <w:t xml:space="preserve"> and </w:t>
      </w:r>
      <w:r>
        <w:rPr>
          <w:kern w:val="0"/>
          <w:szCs w:val="24"/>
        </w:rPr>
        <w:t>survival: Are scientific articles a form</w:t>
      </w:r>
      <w:r w:rsidR="00427468">
        <w:rPr>
          <w:kern w:val="0"/>
          <w:szCs w:val="24"/>
        </w:rPr>
        <w:t xml:space="preserve"> of </w:t>
      </w:r>
      <w:r>
        <w:rPr>
          <w:kern w:val="0"/>
          <w:szCs w:val="24"/>
        </w:rPr>
        <w:t xml:space="preserve">academic merchandise? </w:t>
      </w:r>
      <w:proofErr w:type="gramStart"/>
      <w:r>
        <w:rPr>
          <w:i/>
          <w:iCs/>
          <w:kern w:val="0"/>
          <w:szCs w:val="24"/>
        </w:rPr>
        <w:t>Cadernos de</w:t>
      </w:r>
      <w:r w:rsidRPr="00FE06CD">
        <w:rPr>
          <w:i/>
        </w:rPr>
        <w:t xml:space="preserve"> </w:t>
      </w:r>
      <w:r w:rsidRPr="00C73C58">
        <w:rPr>
          <w:i/>
        </w:rPr>
        <w:t>Saúde Pública</w:t>
      </w:r>
      <w:r>
        <w:rPr>
          <w:kern w:val="0"/>
          <w:szCs w:val="24"/>
        </w:rPr>
        <w:t xml:space="preserve">, </w:t>
      </w:r>
      <w:r>
        <w:rPr>
          <w:b/>
          <w:bCs/>
          <w:kern w:val="0"/>
          <w:szCs w:val="24"/>
        </w:rPr>
        <w:t>23</w:t>
      </w:r>
      <w:r>
        <w:rPr>
          <w:kern w:val="0"/>
          <w:szCs w:val="24"/>
        </w:rPr>
        <w:t xml:space="preserve"> </w:t>
      </w:r>
      <w:r>
        <w:rPr>
          <w:kern w:val="0"/>
          <w:szCs w:val="24"/>
        </w:rPr>
        <w:lastRenderedPageBreak/>
        <w:t>(12), 3041-3050.</w:t>
      </w:r>
      <w:proofErr w:type="gramEnd"/>
    </w:p>
    <w:p w:rsidR="00186FAF" w:rsidRDefault="00186FAF" w:rsidP="00186FAF">
      <w:pPr>
        <w:pStyle w:val="a3"/>
        <w:rPr>
          <w:kern w:val="0"/>
        </w:rPr>
      </w:pPr>
      <w:r>
        <w:rPr>
          <w:rFonts w:hint="eastAsia"/>
          <w:kern w:val="0"/>
        </w:rPr>
        <w:t xml:space="preserve">Full Text: </w:t>
      </w:r>
      <w:hyperlink r:id="rId14" w:history="1">
        <w:r w:rsidRPr="00CB6727">
          <w:rPr>
            <w:rStyle w:val="a5"/>
            <w:kern w:val="0"/>
          </w:rPr>
          <w:t>2007\Cad Sau Pub23, 3041.pdf</w:t>
        </w:r>
      </w:hyperlink>
    </w:p>
    <w:p w:rsidR="00DF4717" w:rsidRDefault="00DF4717" w:rsidP="00DF4717">
      <w:pPr>
        <w:pStyle w:val="a3"/>
        <w:rPr>
          <w:kern w:val="0"/>
          <w:szCs w:val="24"/>
        </w:rPr>
      </w:pPr>
      <w:r>
        <w:rPr>
          <w:kern w:val="0"/>
          <w:szCs w:val="24"/>
        </w:rPr>
        <w:t>Abstract: This article discusses</w:t>
      </w:r>
      <w:r w:rsidR="003A1917">
        <w:rPr>
          <w:kern w:val="0"/>
          <w:szCs w:val="24"/>
        </w:rPr>
        <w:t xml:space="preserve"> the </w:t>
      </w:r>
      <w:r>
        <w:rPr>
          <w:kern w:val="0"/>
          <w:szCs w:val="24"/>
        </w:rPr>
        <w:t>possible meanings</w:t>
      </w:r>
      <w:r w:rsidR="00427468">
        <w:rPr>
          <w:kern w:val="0"/>
          <w:szCs w:val="24"/>
        </w:rPr>
        <w:t xml:space="preserve"> of </w:t>
      </w:r>
      <w:r w:rsidR="003A1917">
        <w:rPr>
          <w:kern w:val="0"/>
          <w:szCs w:val="24"/>
        </w:rPr>
        <w:t xml:space="preserve">the </w:t>
      </w:r>
      <w:r>
        <w:rPr>
          <w:kern w:val="0"/>
          <w:szCs w:val="24"/>
        </w:rPr>
        <w:t>intense prevailing concern in academic circles over</w:t>
      </w:r>
      <w:r w:rsidR="003A1917">
        <w:rPr>
          <w:kern w:val="0"/>
          <w:szCs w:val="24"/>
        </w:rPr>
        <w:t xml:space="preserve"> the </w:t>
      </w:r>
      <w:r>
        <w:rPr>
          <w:kern w:val="0"/>
          <w:szCs w:val="24"/>
        </w:rPr>
        <w:t>notion</w:t>
      </w:r>
      <w:r w:rsidR="00427468">
        <w:rPr>
          <w:kern w:val="0"/>
          <w:szCs w:val="24"/>
        </w:rPr>
        <w:t xml:space="preserve"> of </w:t>
      </w:r>
      <w:r>
        <w:rPr>
          <w:kern w:val="0"/>
          <w:szCs w:val="24"/>
        </w:rPr>
        <w:t>research productivity, as reflected in an excess number</w:t>
      </w:r>
      <w:r w:rsidR="00427468">
        <w:rPr>
          <w:kern w:val="0"/>
          <w:szCs w:val="24"/>
        </w:rPr>
        <w:t xml:space="preserve"> of </w:t>
      </w:r>
      <w:r>
        <w:rPr>
          <w:kern w:val="0"/>
          <w:szCs w:val="24"/>
        </w:rPr>
        <w:t>articles published in various scientific journals</w:t>
      </w:r>
      <w:r w:rsidR="00A37C1D">
        <w:rPr>
          <w:kern w:val="0"/>
          <w:szCs w:val="24"/>
        </w:rPr>
        <w:t>. The</w:t>
      </w:r>
      <w:r w:rsidR="003A1917">
        <w:rPr>
          <w:kern w:val="0"/>
          <w:szCs w:val="24"/>
        </w:rPr>
        <w:t xml:space="preserve"> </w:t>
      </w:r>
      <w:r>
        <w:rPr>
          <w:kern w:val="0"/>
          <w:szCs w:val="24"/>
        </w:rPr>
        <w:t>numerical accounting</w:t>
      </w:r>
      <w:r w:rsidR="00427468">
        <w:rPr>
          <w:kern w:val="0"/>
          <w:szCs w:val="24"/>
        </w:rPr>
        <w:t xml:space="preserve"> of </w:t>
      </w:r>
      <w:r>
        <w:rPr>
          <w:kern w:val="0"/>
          <w:szCs w:val="24"/>
        </w:rPr>
        <w:t>articles published by researchers in scientific journals with renowned academic status serves to legitimize academics in their fields</w:t>
      </w:r>
      <w:r w:rsidR="00427468">
        <w:rPr>
          <w:kern w:val="0"/>
          <w:szCs w:val="24"/>
        </w:rPr>
        <w:t xml:space="preserve"> of </w:t>
      </w:r>
      <w:r>
        <w:rPr>
          <w:kern w:val="0"/>
          <w:szCs w:val="24"/>
        </w:rPr>
        <w:t>work, in various ways. In this sense, we suggest that scientific articles take on aspects</w:t>
      </w:r>
      <w:r w:rsidR="00427468">
        <w:rPr>
          <w:kern w:val="0"/>
          <w:szCs w:val="24"/>
        </w:rPr>
        <w:t xml:space="preserve"> of </w:t>
      </w:r>
      <w:r>
        <w:rPr>
          <w:kern w:val="0"/>
          <w:szCs w:val="24"/>
        </w:rPr>
        <w:t>merchandise-as-fetish, according to Marx</w:t>
      </w:r>
      <w:r w:rsidR="0071223E">
        <w:rPr>
          <w:kern w:val="0"/>
          <w:szCs w:val="24"/>
        </w:rPr>
        <w:t>’</w:t>
      </w:r>
      <w:r w:rsidR="00C13DDC">
        <w:rPr>
          <w:kern w:val="0"/>
          <w:szCs w:val="24"/>
        </w:rPr>
        <w:t>s</w:t>
      </w:r>
      <w:r>
        <w:rPr>
          <w:kern w:val="0"/>
          <w:szCs w:val="24"/>
        </w:rPr>
        <w:t xml:space="preserve"> theory</w:t>
      </w:r>
      <w:r w:rsidR="00427468">
        <w:rPr>
          <w:kern w:val="0"/>
          <w:szCs w:val="24"/>
        </w:rPr>
        <w:t xml:space="preserve"> of </w:t>
      </w:r>
      <w:r>
        <w:rPr>
          <w:kern w:val="0"/>
          <w:szCs w:val="24"/>
        </w:rPr>
        <w:t>use-value</w:t>
      </w:r>
      <w:r w:rsidR="005853A9">
        <w:rPr>
          <w:kern w:val="0"/>
          <w:szCs w:val="24"/>
        </w:rPr>
        <w:t xml:space="preserve"> and </w:t>
      </w:r>
      <w:r>
        <w:rPr>
          <w:kern w:val="0"/>
          <w:szCs w:val="24"/>
        </w:rPr>
        <w:t>exchange-value</w:t>
      </w:r>
      <w:r w:rsidR="005853A9">
        <w:rPr>
          <w:kern w:val="0"/>
          <w:szCs w:val="24"/>
        </w:rPr>
        <w:t xml:space="preserve"> and </w:t>
      </w:r>
      <w:r>
        <w:rPr>
          <w:kern w:val="0"/>
          <w:szCs w:val="24"/>
        </w:rPr>
        <w:t>Benjamin</w:t>
      </w:r>
      <w:r w:rsidR="0071223E">
        <w:rPr>
          <w:kern w:val="0"/>
          <w:szCs w:val="24"/>
        </w:rPr>
        <w:t>’</w:t>
      </w:r>
      <w:r w:rsidR="00C13DDC">
        <w:rPr>
          <w:kern w:val="0"/>
          <w:szCs w:val="24"/>
        </w:rPr>
        <w:t>s</w:t>
      </w:r>
      <w:r>
        <w:rPr>
          <w:kern w:val="0"/>
          <w:szCs w:val="24"/>
        </w:rPr>
        <w:t xml:space="preserve"> exposure value. Meanwhile,</w:t>
      </w:r>
      <w:r w:rsidR="003A1917">
        <w:rPr>
          <w:kern w:val="0"/>
          <w:szCs w:val="24"/>
        </w:rPr>
        <w:t xml:space="preserve"> the </w:t>
      </w:r>
      <w:r>
        <w:rPr>
          <w:kern w:val="0"/>
          <w:szCs w:val="24"/>
        </w:rPr>
        <w:t>biological notions</w:t>
      </w:r>
      <w:r w:rsidR="00427468">
        <w:rPr>
          <w:kern w:val="0"/>
          <w:szCs w:val="24"/>
        </w:rPr>
        <w:t xml:space="preserve"> of </w:t>
      </w:r>
      <w:r>
        <w:rPr>
          <w:kern w:val="0"/>
          <w:szCs w:val="24"/>
        </w:rPr>
        <w:t>selection</w:t>
      </w:r>
      <w:r w:rsidR="005853A9">
        <w:rPr>
          <w:kern w:val="0"/>
          <w:szCs w:val="24"/>
        </w:rPr>
        <w:t xml:space="preserve"> and </w:t>
      </w:r>
      <w:r>
        <w:rPr>
          <w:kern w:val="0"/>
          <w:szCs w:val="24"/>
        </w:rPr>
        <w:t xml:space="preserve">evolution are used as metaphorical elements in </w:t>
      </w:r>
      <w:r w:rsidR="00B5188C">
        <w:rPr>
          <w:kern w:val="0"/>
          <w:szCs w:val="24"/>
        </w:rPr>
        <w:t>“</w:t>
      </w:r>
      <w:r>
        <w:rPr>
          <w:kern w:val="0"/>
          <w:szCs w:val="24"/>
        </w:rPr>
        <w:t>bibliographic Darwinism</w:t>
      </w:r>
      <w:r w:rsidR="00B5188C">
        <w:rPr>
          <w:kern w:val="0"/>
          <w:szCs w:val="24"/>
        </w:rPr>
        <w:t>”</w:t>
      </w:r>
      <w:r w:rsidR="00A37C1D">
        <w:rPr>
          <w:kern w:val="0"/>
          <w:szCs w:val="24"/>
        </w:rPr>
        <w:t>. The</w:t>
      </w:r>
      <w:r>
        <w:rPr>
          <w:kern w:val="0"/>
          <w:szCs w:val="24"/>
        </w:rPr>
        <w:t>re are references as to</w:t>
      </w:r>
      <w:r w:rsidR="003A1917">
        <w:rPr>
          <w:kern w:val="0"/>
          <w:szCs w:val="24"/>
        </w:rPr>
        <w:t xml:space="preserve"> the </w:t>
      </w:r>
      <w:r>
        <w:rPr>
          <w:kern w:val="0"/>
          <w:szCs w:val="24"/>
        </w:rPr>
        <w:t>possibility many</w:t>
      </w:r>
      <w:r w:rsidR="00427468">
        <w:rPr>
          <w:kern w:val="0"/>
          <w:szCs w:val="24"/>
        </w:rPr>
        <w:t xml:space="preserve"> of </w:t>
      </w:r>
      <w:r w:rsidR="003A1917">
        <w:rPr>
          <w:kern w:val="0"/>
          <w:szCs w:val="24"/>
        </w:rPr>
        <w:t xml:space="preserve">the </w:t>
      </w:r>
      <w:r>
        <w:rPr>
          <w:kern w:val="0"/>
          <w:szCs w:val="24"/>
        </w:rPr>
        <w:t>prevailing bibliometric concerns serve as instruments for econometric analysis, especially to orient</w:t>
      </w:r>
      <w:r w:rsidR="005853A9">
        <w:rPr>
          <w:kern w:val="0"/>
          <w:szCs w:val="24"/>
        </w:rPr>
        <w:t xml:space="preserve"> and </w:t>
      </w:r>
      <w:r>
        <w:rPr>
          <w:kern w:val="0"/>
          <w:szCs w:val="24"/>
        </w:rPr>
        <w:t>enhance cost-effectiveness analysis in research investments</w:t>
      </w:r>
      <w:r w:rsidR="00427468">
        <w:rPr>
          <w:kern w:val="0"/>
          <w:szCs w:val="24"/>
        </w:rPr>
        <w:t xml:space="preserve"> of </w:t>
      </w:r>
      <w:r>
        <w:rPr>
          <w:kern w:val="0"/>
          <w:szCs w:val="24"/>
        </w:rPr>
        <w:t>various orders</w:t>
      </w:r>
      <w:r w:rsidR="005853A9">
        <w:rPr>
          <w:kern w:val="0"/>
          <w:szCs w:val="24"/>
        </w:rPr>
        <w:t xml:space="preserve"> and </w:t>
      </w:r>
      <w:r>
        <w:rPr>
          <w:kern w:val="0"/>
          <w:szCs w:val="24"/>
        </w:rPr>
        <w:t>types, from</w:t>
      </w:r>
      <w:r w:rsidR="003A1917">
        <w:rPr>
          <w:kern w:val="0"/>
          <w:szCs w:val="24"/>
        </w:rPr>
        <w:t xml:space="preserve"> the </w:t>
      </w:r>
      <w:r>
        <w:rPr>
          <w:kern w:val="0"/>
          <w:szCs w:val="24"/>
        </w:rPr>
        <w:t>point</w:t>
      </w:r>
      <w:r w:rsidR="00427468">
        <w:rPr>
          <w:kern w:val="0"/>
          <w:szCs w:val="24"/>
        </w:rPr>
        <w:t xml:space="preserve"> of </w:t>
      </w:r>
      <w:r>
        <w:rPr>
          <w:kern w:val="0"/>
          <w:szCs w:val="24"/>
        </w:rPr>
        <w:t>view</w:t>
      </w:r>
      <w:r w:rsidR="00427468">
        <w:rPr>
          <w:kern w:val="0"/>
          <w:szCs w:val="24"/>
        </w:rPr>
        <w:t xml:space="preserve"> of </w:t>
      </w:r>
      <w:r>
        <w:rPr>
          <w:kern w:val="0"/>
          <w:szCs w:val="24"/>
        </w:rPr>
        <w:t>their economic return.</w:t>
      </w:r>
    </w:p>
    <w:p w:rsidR="00DF4717" w:rsidRDefault="00DF4717" w:rsidP="00DF4717">
      <w:pPr>
        <w:pStyle w:val="a3"/>
        <w:rPr>
          <w:kern w:val="0"/>
          <w:szCs w:val="24"/>
        </w:rPr>
      </w:pPr>
      <w:r>
        <w:rPr>
          <w:kern w:val="0"/>
          <w:szCs w:val="24"/>
        </w:rPr>
        <w:t>Keywords: Journal Article, Medicine, Periodicals, Research, Science, Scientific Communication</w:t>
      </w:r>
      <w:r w:rsidR="005853A9">
        <w:rPr>
          <w:kern w:val="0"/>
          <w:szCs w:val="24"/>
        </w:rPr>
        <w:t xml:space="preserve"> and </w:t>
      </w:r>
      <w:r>
        <w:rPr>
          <w:kern w:val="0"/>
          <w:szCs w:val="24"/>
        </w:rPr>
        <w:t>Diffusion</w:t>
      </w:r>
    </w:p>
    <w:p w:rsidR="00C97500" w:rsidRDefault="00C97500" w:rsidP="00C97500">
      <w:pPr>
        <w:pStyle w:val="a3"/>
        <w:rPr>
          <w:kern w:val="0"/>
        </w:rPr>
      </w:pPr>
      <w:r>
        <w:rPr>
          <w:rFonts w:hint="eastAsia"/>
          <w:kern w:val="0"/>
        </w:rPr>
        <w:t xml:space="preserve">? </w:t>
      </w:r>
      <w:proofErr w:type="gramStart"/>
      <w:r>
        <w:rPr>
          <w:kern w:val="0"/>
        </w:rPr>
        <w:t>da</w:t>
      </w:r>
      <w:proofErr w:type="gramEnd"/>
      <w:r>
        <w:rPr>
          <w:kern w:val="0"/>
        </w:rPr>
        <w:t xml:space="preserve"> Cruz, M.M., dos Santos, E.M.</w:t>
      </w:r>
      <w:r w:rsidR="005853A9">
        <w:rPr>
          <w:kern w:val="0"/>
        </w:rPr>
        <w:t xml:space="preserve"> and </w:t>
      </w:r>
      <w:r>
        <w:rPr>
          <w:kern w:val="0"/>
        </w:rPr>
        <w:t>Monteiro, S. (2007), Evaluation</w:t>
      </w:r>
      <w:r w:rsidR="00427468">
        <w:rPr>
          <w:kern w:val="0"/>
        </w:rPr>
        <w:t xml:space="preserve"> of </w:t>
      </w:r>
      <w:r>
        <w:rPr>
          <w:kern w:val="0"/>
        </w:rPr>
        <w:t>STD/AIDS prevention programs: A review</w:t>
      </w:r>
      <w:r w:rsidR="00427468">
        <w:rPr>
          <w:kern w:val="0"/>
        </w:rPr>
        <w:t xml:space="preserve"> of </w:t>
      </w:r>
      <w:r>
        <w:rPr>
          <w:kern w:val="0"/>
        </w:rPr>
        <w:t>approaches</w:t>
      </w:r>
      <w:r w:rsidR="005853A9">
        <w:rPr>
          <w:kern w:val="0"/>
        </w:rPr>
        <w:t xml:space="preserve"> and </w:t>
      </w:r>
      <w:r>
        <w:rPr>
          <w:kern w:val="0"/>
        </w:rPr>
        <w:t xml:space="preserve">methodologies. </w:t>
      </w:r>
      <w:proofErr w:type="gramStart"/>
      <w:r w:rsidRPr="001A3D2B">
        <w:rPr>
          <w:i/>
        </w:rPr>
        <w:t>Cadernos de Saúde Pública</w:t>
      </w:r>
      <w:r>
        <w:rPr>
          <w:kern w:val="0"/>
        </w:rPr>
        <w:t xml:space="preserve">, </w:t>
      </w:r>
      <w:r>
        <w:rPr>
          <w:b/>
          <w:bCs/>
          <w:kern w:val="0"/>
        </w:rPr>
        <w:t>23</w:t>
      </w:r>
      <w:r>
        <w:rPr>
          <w:kern w:val="0"/>
        </w:rPr>
        <w:t xml:space="preserve"> (5), 995-1003.</w:t>
      </w:r>
      <w:proofErr w:type="gramEnd"/>
    </w:p>
    <w:p w:rsidR="00072A3A" w:rsidRDefault="00072A3A" w:rsidP="00072A3A">
      <w:pPr>
        <w:pStyle w:val="a3"/>
        <w:rPr>
          <w:kern w:val="0"/>
        </w:rPr>
      </w:pPr>
      <w:r>
        <w:rPr>
          <w:rFonts w:hint="eastAsia"/>
          <w:kern w:val="0"/>
        </w:rPr>
        <w:t xml:space="preserve">Full Text: </w:t>
      </w:r>
      <w:hyperlink r:id="rId15" w:history="1">
        <w:r w:rsidRPr="00C54069">
          <w:rPr>
            <w:rStyle w:val="a5"/>
            <w:kern w:val="0"/>
          </w:rPr>
          <w:t>2007\Cad Sau Pub23, 995.pdf</w:t>
        </w:r>
      </w:hyperlink>
    </w:p>
    <w:p w:rsidR="00C97500" w:rsidRDefault="00C97500" w:rsidP="00C97500">
      <w:pPr>
        <w:pStyle w:val="a3"/>
        <w:rPr>
          <w:kern w:val="0"/>
        </w:rPr>
      </w:pPr>
      <w:r>
        <w:rPr>
          <w:kern w:val="0"/>
        </w:rPr>
        <w:t>Abstract:</w:t>
      </w:r>
      <w:r w:rsidR="003A1917">
        <w:rPr>
          <w:kern w:val="0"/>
        </w:rPr>
        <w:t xml:space="preserve"> the </w:t>
      </w:r>
      <w:r>
        <w:rPr>
          <w:kern w:val="0"/>
        </w:rPr>
        <w:t>article presents a review</w:t>
      </w:r>
      <w:r w:rsidR="00427468">
        <w:rPr>
          <w:kern w:val="0"/>
        </w:rPr>
        <w:t xml:space="preserve"> of </w:t>
      </w:r>
      <w:r>
        <w:rPr>
          <w:kern w:val="0"/>
        </w:rPr>
        <w:t>approaches</w:t>
      </w:r>
      <w:r w:rsidR="005853A9">
        <w:rPr>
          <w:kern w:val="0"/>
        </w:rPr>
        <w:t xml:space="preserve"> and </w:t>
      </w:r>
      <w:r>
        <w:rPr>
          <w:kern w:val="0"/>
        </w:rPr>
        <w:t>methodologies in</w:t>
      </w:r>
      <w:r w:rsidR="003A1917">
        <w:rPr>
          <w:kern w:val="0"/>
        </w:rPr>
        <w:t xml:space="preserve"> the </w:t>
      </w:r>
      <w:r>
        <w:rPr>
          <w:kern w:val="0"/>
        </w:rPr>
        <w:t>evaluation</w:t>
      </w:r>
      <w:r w:rsidR="00427468">
        <w:rPr>
          <w:kern w:val="0"/>
        </w:rPr>
        <w:t xml:space="preserve"> of </w:t>
      </w:r>
      <w:r>
        <w:rPr>
          <w:kern w:val="0"/>
        </w:rPr>
        <w:t>STD/AIDS prevention programs, searching for theoretical</w:t>
      </w:r>
      <w:r w:rsidR="005853A9">
        <w:rPr>
          <w:kern w:val="0"/>
        </w:rPr>
        <w:t xml:space="preserve"> and </w:t>
      </w:r>
      <w:r>
        <w:rPr>
          <w:kern w:val="0"/>
        </w:rPr>
        <w:t>methodological support for</w:t>
      </w:r>
      <w:r w:rsidR="003A1917">
        <w:rPr>
          <w:kern w:val="0"/>
        </w:rPr>
        <w:t xml:space="preserve"> the </w:t>
      </w:r>
      <w:r>
        <w:rPr>
          <w:kern w:val="0"/>
        </w:rPr>
        <w:t>institutionalization</w:t>
      </w:r>
      <w:r w:rsidR="00427468">
        <w:rPr>
          <w:kern w:val="0"/>
        </w:rPr>
        <w:t xml:space="preserve"> of </w:t>
      </w:r>
      <w:r>
        <w:rPr>
          <w:kern w:val="0"/>
        </w:rPr>
        <w:t>evaluation</w:t>
      </w:r>
      <w:r w:rsidR="005853A9">
        <w:rPr>
          <w:kern w:val="0"/>
        </w:rPr>
        <w:t xml:space="preserve"> and </w:t>
      </w:r>
      <w:r>
        <w:rPr>
          <w:kern w:val="0"/>
        </w:rPr>
        <w:t>decision-making</w:t>
      </w:r>
      <w:r w:rsidR="00A37C1D">
        <w:rPr>
          <w:kern w:val="0"/>
        </w:rPr>
        <w:t>. The</w:t>
      </w:r>
      <w:r w:rsidR="003A1917">
        <w:rPr>
          <w:kern w:val="0"/>
        </w:rPr>
        <w:t xml:space="preserve"> </w:t>
      </w:r>
      <w:r>
        <w:rPr>
          <w:kern w:val="0"/>
        </w:rPr>
        <w:t>review included</w:t>
      </w:r>
      <w:r w:rsidR="003A1917">
        <w:rPr>
          <w:kern w:val="0"/>
        </w:rPr>
        <w:t xml:space="preserve"> the </w:t>
      </w:r>
      <w:r w:rsidR="00D5664A">
        <w:rPr>
          <w:kern w:val="0"/>
        </w:rPr>
        <w:t>MEDLINE</w:t>
      </w:r>
      <w:r>
        <w:rPr>
          <w:kern w:val="0"/>
        </w:rPr>
        <w:t>, SciELO,</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w:t>
      </w:r>
      <w:r w:rsidR="005853A9">
        <w:rPr>
          <w:kern w:val="0"/>
        </w:rPr>
        <w:t xml:space="preserve"> and </w:t>
      </w:r>
      <w:r>
        <w:rPr>
          <w:kern w:val="0"/>
        </w:rPr>
        <w:t>other sources like textbooks</w:t>
      </w:r>
      <w:r w:rsidR="005853A9">
        <w:rPr>
          <w:kern w:val="0"/>
        </w:rPr>
        <w:t xml:space="preserve"> and </w:t>
      </w:r>
      <w:r>
        <w:rPr>
          <w:kern w:val="0"/>
        </w:rPr>
        <w:t>congress abstracts from 1990 to 2005, with</w:t>
      </w:r>
      <w:r w:rsidR="003A1917">
        <w:rPr>
          <w:kern w:val="0"/>
        </w:rPr>
        <w:t xml:space="preserve"> the </w:t>
      </w:r>
      <w:r>
        <w:rPr>
          <w:kern w:val="0"/>
        </w:rPr>
        <w:t xml:space="preserve">key words: </w:t>
      </w:r>
      <w:r w:rsidR="00B5188C">
        <w:rPr>
          <w:kern w:val="0"/>
        </w:rPr>
        <w:t>“</w:t>
      </w:r>
      <w:r>
        <w:rPr>
          <w:kern w:val="0"/>
        </w:rPr>
        <w:t>evaluation</w:t>
      </w:r>
      <w:r w:rsidR="00B5188C">
        <w:rPr>
          <w:kern w:val="0"/>
        </w:rPr>
        <w:t>”</w:t>
      </w:r>
      <w:r>
        <w:rPr>
          <w:kern w:val="0"/>
        </w:rPr>
        <w:t xml:space="preserve">; </w:t>
      </w:r>
      <w:r w:rsidR="00B5188C">
        <w:rPr>
          <w:kern w:val="0"/>
        </w:rPr>
        <w:t>“</w:t>
      </w:r>
      <w:r>
        <w:rPr>
          <w:kern w:val="0"/>
        </w:rPr>
        <w:t>programs</w:t>
      </w:r>
      <w:r w:rsidR="00B5188C">
        <w:rPr>
          <w:kern w:val="0"/>
        </w:rPr>
        <w:t>”</w:t>
      </w:r>
      <w:r>
        <w:rPr>
          <w:kern w:val="0"/>
        </w:rPr>
        <w:t xml:space="preserve">, </w:t>
      </w:r>
      <w:r w:rsidR="00B5188C">
        <w:rPr>
          <w:kern w:val="0"/>
        </w:rPr>
        <w:t>“</w:t>
      </w:r>
      <w:r>
        <w:rPr>
          <w:kern w:val="0"/>
        </w:rPr>
        <w:t>prevention</w:t>
      </w:r>
      <w:r w:rsidR="00B5188C">
        <w:rPr>
          <w:kern w:val="0"/>
        </w:rPr>
        <w:t>”</w:t>
      </w:r>
      <w:r>
        <w:rPr>
          <w:kern w:val="0"/>
        </w:rPr>
        <w:t xml:space="preserve">, </w:t>
      </w:r>
      <w:r w:rsidR="00B5188C">
        <w:rPr>
          <w:kern w:val="0"/>
        </w:rPr>
        <w:t>“</w:t>
      </w:r>
      <w:r>
        <w:rPr>
          <w:kern w:val="0"/>
        </w:rPr>
        <w:t>STD/AIDS</w:t>
      </w:r>
      <w:r w:rsidR="00B5188C">
        <w:rPr>
          <w:kern w:val="0"/>
        </w:rPr>
        <w:t>”</w:t>
      </w:r>
      <w:r>
        <w:rPr>
          <w:kern w:val="0"/>
        </w:rPr>
        <w:t>;</w:t>
      </w:r>
      <w:r w:rsidR="005853A9">
        <w:rPr>
          <w:kern w:val="0"/>
        </w:rPr>
        <w:t xml:space="preserve"> and </w:t>
      </w:r>
      <w:r>
        <w:rPr>
          <w:kern w:val="0"/>
        </w:rPr>
        <w:t>similar terms</w:t>
      </w:r>
      <w:r w:rsidR="00A37C1D">
        <w:rPr>
          <w:kern w:val="0"/>
        </w:rPr>
        <w:t>. The</w:t>
      </w:r>
      <w:r w:rsidR="003A1917">
        <w:rPr>
          <w:kern w:val="0"/>
        </w:rPr>
        <w:t xml:space="preserve"> </w:t>
      </w:r>
      <w:r>
        <w:rPr>
          <w:kern w:val="0"/>
        </w:rPr>
        <w:t>papers showed a predominance</w:t>
      </w:r>
      <w:r w:rsidR="00427468">
        <w:rPr>
          <w:kern w:val="0"/>
        </w:rPr>
        <w:t xml:space="preserve"> of </w:t>
      </w:r>
      <w:r>
        <w:rPr>
          <w:kern w:val="0"/>
        </w:rPr>
        <w:t>quantitative outcome or impact evaluative studies with an experimental or quasi-experimental design</w:t>
      </w:r>
      <w:r w:rsidR="00A37C1D">
        <w:rPr>
          <w:kern w:val="0"/>
        </w:rPr>
        <w:t>. The</w:t>
      </w:r>
      <w:r w:rsidR="003A1917">
        <w:rPr>
          <w:kern w:val="0"/>
        </w:rPr>
        <w:t xml:space="preserve"> </w:t>
      </w:r>
      <w:r>
        <w:rPr>
          <w:kern w:val="0"/>
        </w:rPr>
        <w:t>main use</w:t>
      </w:r>
      <w:r w:rsidR="00427468">
        <w:rPr>
          <w:kern w:val="0"/>
        </w:rPr>
        <w:t xml:space="preserve"> of </w:t>
      </w:r>
      <w:r>
        <w:rPr>
          <w:kern w:val="0"/>
        </w:rPr>
        <w:t>evaluation is accountability, although knowledge output</w:t>
      </w:r>
      <w:r w:rsidR="005853A9">
        <w:rPr>
          <w:kern w:val="0"/>
        </w:rPr>
        <w:t xml:space="preserve"> and </w:t>
      </w:r>
      <w:r>
        <w:rPr>
          <w:kern w:val="0"/>
        </w:rPr>
        <w:t>program improvement were also identified in</w:t>
      </w:r>
      <w:r w:rsidR="003A1917">
        <w:rPr>
          <w:kern w:val="0"/>
        </w:rPr>
        <w:t xml:space="preserve"> the </w:t>
      </w:r>
      <w:r>
        <w:rPr>
          <w:kern w:val="0"/>
        </w:rPr>
        <w:t>studies. Only a few evaluative studies contemplate process evaluation</w:t>
      </w:r>
      <w:r w:rsidR="005853A9">
        <w:rPr>
          <w:kern w:val="0"/>
        </w:rPr>
        <w:t xml:space="preserve"> and </w:t>
      </w:r>
      <w:r>
        <w:rPr>
          <w:kern w:val="0"/>
        </w:rPr>
        <w:t>its relationship to</w:t>
      </w:r>
      <w:r w:rsidR="003A1917">
        <w:rPr>
          <w:kern w:val="0"/>
        </w:rPr>
        <w:t xml:space="preserve"> the </w:t>
      </w:r>
      <w:r>
        <w:rPr>
          <w:kern w:val="0"/>
        </w:rPr>
        <w:t>contexts</w:t>
      </w:r>
      <w:r w:rsidR="00A37C1D">
        <w:rPr>
          <w:kern w:val="0"/>
        </w:rPr>
        <w:t>. The</w:t>
      </w:r>
      <w:r w:rsidR="003A1917">
        <w:rPr>
          <w:kern w:val="0"/>
        </w:rPr>
        <w:t xml:space="preserve"> </w:t>
      </w:r>
      <w:r>
        <w:rPr>
          <w:kern w:val="0"/>
        </w:rPr>
        <w:t>review aimed to contribute to</w:t>
      </w:r>
      <w:r w:rsidR="003A1917">
        <w:rPr>
          <w:kern w:val="0"/>
        </w:rPr>
        <w:t xml:space="preserve"> the </w:t>
      </w:r>
      <w:r>
        <w:rPr>
          <w:kern w:val="0"/>
        </w:rPr>
        <w:t>debate on STD/AIDS, which requires more effective, consistent,</w:t>
      </w:r>
      <w:r w:rsidR="005853A9">
        <w:rPr>
          <w:kern w:val="0"/>
        </w:rPr>
        <w:t xml:space="preserve"> and </w:t>
      </w:r>
      <w:r>
        <w:rPr>
          <w:kern w:val="0"/>
        </w:rPr>
        <w:t>sustainable decisions in</w:t>
      </w:r>
      <w:r w:rsidR="003A1917">
        <w:rPr>
          <w:kern w:val="0"/>
        </w:rPr>
        <w:t xml:space="preserve"> the </w:t>
      </w:r>
      <w:r>
        <w:rPr>
          <w:kern w:val="0"/>
        </w:rPr>
        <w:t>field</w:t>
      </w:r>
      <w:r w:rsidR="00427468">
        <w:rPr>
          <w:kern w:val="0"/>
        </w:rPr>
        <w:t xml:space="preserve"> of </w:t>
      </w:r>
      <w:r>
        <w:rPr>
          <w:kern w:val="0"/>
        </w:rPr>
        <w:t>prevention.</w:t>
      </w:r>
    </w:p>
    <w:p w:rsidR="00C97500" w:rsidRDefault="00C97500" w:rsidP="00C97500">
      <w:pPr>
        <w:pStyle w:val="a3"/>
        <w:rPr>
          <w:kern w:val="0"/>
        </w:rPr>
      </w:pPr>
      <w:r>
        <w:rPr>
          <w:kern w:val="0"/>
        </w:rPr>
        <w:t>Keywords: Acquired Immunodeficiency Syndrome, AIDS, Databases, Decision Making, Decision-Making, Disease Prevention, Education-Program, Evaluation, Impact, Institutionalization</w:t>
      </w:r>
      <w:r w:rsidR="00D5664A">
        <w:rPr>
          <w:kern w:val="0"/>
        </w:rPr>
        <w:t>, ISI,</w:t>
      </w:r>
      <w:r>
        <w:rPr>
          <w:kern w:val="0"/>
        </w:rPr>
        <w:t xml:space="preserve"> Knowledge, </w:t>
      </w:r>
      <w:r w:rsidR="00D5664A">
        <w:rPr>
          <w:kern w:val="0"/>
        </w:rPr>
        <w:t>MEDLINE</w:t>
      </w:r>
      <w:r>
        <w:rPr>
          <w:kern w:val="0"/>
        </w:rPr>
        <w:t xml:space="preserve">, Outcome, Papers, Prevention, Program Evaluation, Quantitative, Review, Risk, Scielo, Science, Sexually Transmitted Diseases, Textbooks, </w:t>
      </w:r>
      <w:r w:rsidR="00D5664A">
        <w:rPr>
          <w:kern w:val="0"/>
        </w:rPr>
        <w:t>Web</w:t>
      </w:r>
      <w:r w:rsidR="00427468">
        <w:rPr>
          <w:kern w:val="0"/>
        </w:rPr>
        <w:t xml:space="preserve"> of </w:t>
      </w:r>
      <w:r w:rsidR="00D5664A">
        <w:rPr>
          <w:kern w:val="0"/>
        </w:rPr>
        <w:t>Science</w:t>
      </w:r>
      <w:r>
        <w:rPr>
          <w:kern w:val="0"/>
        </w:rPr>
        <w:t>, Young-Adults</w:t>
      </w:r>
    </w:p>
    <w:p w:rsidR="00C97500" w:rsidRDefault="00C97500" w:rsidP="00C97500">
      <w:pPr>
        <w:pStyle w:val="a3"/>
        <w:rPr>
          <w:kern w:val="0"/>
        </w:rPr>
      </w:pPr>
      <w:r>
        <w:rPr>
          <w:rFonts w:hint="eastAsia"/>
          <w:kern w:val="0"/>
        </w:rPr>
        <w:lastRenderedPageBreak/>
        <w:t xml:space="preserve">? </w:t>
      </w:r>
      <w:proofErr w:type="gramStart"/>
      <w:r>
        <w:rPr>
          <w:kern w:val="0"/>
        </w:rPr>
        <w:t>da</w:t>
      </w:r>
      <w:proofErr w:type="gramEnd"/>
      <w:r>
        <w:rPr>
          <w:kern w:val="0"/>
        </w:rPr>
        <w:t xml:space="preserve"> Silva, G.A.P.</w:t>
      </w:r>
      <w:r w:rsidR="005853A9">
        <w:rPr>
          <w:kern w:val="0"/>
        </w:rPr>
        <w:t xml:space="preserve"> and </w:t>
      </w:r>
      <w:r>
        <w:rPr>
          <w:kern w:val="0"/>
        </w:rPr>
        <w:t xml:space="preserve">Vieira-Da-Silva, L.M. (2008), Health surveillance: Proposal for a tool to evaluate technological arrangements in local health systems. </w:t>
      </w:r>
      <w:proofErr w:type="gramStart"/>
      <w:r w:rsidRPr="001A3D2B">
        <w:rPr>
          <w:i/>
        </w:rPr>
        <w:t>Cadernos de Saúde Pública</w:t>
      </w:r>
      <w:r>
        <w:rPr>
          <w:kern w:val="0"/>
        </w:rPr>
        <w:t xml:space="preserve">, </w:t>
      </w:r>
      <w:r>
        <w:rPr>
          <w:b/>
          <w:bCs/>
          <w:kern w:val="0"/>
        </w:rPr>
        <w:t>24</w:t>
      </w:r>
      <w:r>
        <w:rPr>
          <w:kern w:val="0"/>
        </w:rPr>
        <w:t xml:space="preserve"> (11), 2463-2475.</w:t>
      </w:r>
      <w:proofErr w:type="gramEnd"/>
    </w:p>
    <w:p w:rsidR="006C1482" w:rsidRDefault="006C1482" w:rsidP="006C1482">
      <w:pPr>
        <w:pStyle w:val="a3"/>
        <w:rPr>
          <w:kern w:val="0"/>
        </w:rPr>
      </w:pPr>
      <w:r>
        <w:rPr>
          <w:rFonts w:hint="eastAsia"/>
          <w:kern w:val="0"/>
        </w:rPr>
        <w:t xml:space="preserve">Full Text: </w:t>
      </w:r>
      <w:hyperlink r:id="rId16" w:history="1">
        <w:r w:rsidRPr="005F0771">
          <w:rPr>
            <w:rStyle w:val="a5"/>
            <w:kern w:val="0"/>
          </w:rPr>
          <w:t>2008\Cad Sau Pub24, 2463.pdf</w:t>
        </w:r>
      </w:hyperlink>
    </w:p>
    <w:p w:rsidR="00C97500" w:rsidRDefault="00C97500" w:rsidP="00C97500">
      <w:pPr>
        <w:pStyle w:val="a3"/>
        <w:rPr>
          <w:kern w:val="0"/>
        </w:rPr>
      </w:pPr>
      <w:r>
        <w:rPr>
          <w:kern w:val="0"/>
        </w:rPr>
        <w:t>Abstract: In order to identify</w:t>
      </w:r>
      <w:r w:rsidR="003A1917">
        <w:rPr>
          <w:kern w:val="0"/>
        </w:rPr>
        <w:t xml:space="preserve"> the </w:t>
      </w:r>
      <w:r>
        <w:rPr>
          <w:kern w:val="0"/>
        </w:rPr>
        <w:t>various meanings ascribed to health surveillance,</w:t>
      </w:r>
      <w:r w:rsidR="003A1917">
        <w:rPr>
          <w:kern w:val="0"/>
        </w:rPr>
        <w:t xml:space="preserve"> the </w:t>
      </w:r>
      <w:r>
        <w:rPr>
          <w:kern w:val="0"/>
        </w:rPr>
        <w:t>authors conducted a systematic review</w:t>
      </w:r>
      <w:r w:rsidR="00427468">
        <w:rPr>
          <w:kern w:val="0"/>
        </w:rPr>
        <w:t xml:space="preserve"> of </w:t>
      </w:r>
      <w:r>
        <w:rPr>
          <w:kern w:val="0"/>
        </w:rPr>
        <w:t>articles published from January 1990 to August 2005 in</w:t>
      </w:r>
      <w:r w:rsidR="003A1917">
        <w:rPr>
          <w:kern w:val="0"/>
        </w:rPr>
        <w:t xml:space="preserve"> the </w:t>
      </w:r>
      <w:r>
        <w:rPr>
          <w:kern w:val="0"/>
        </w:rPr>
        <w:t xml:space="preserve">following databases: LILACS, SciELO, CAPES, </w:t>
      </w:r>
      <w:r w:rsidR="00D5664A">
        <w:rPr>
          <w:kern w:val="0"/>
        </w:rPr>
        <w:t>MEDLINE</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A total</w:t>
      </w:r>
      <w:r w:rsidR="00427468">
        <w:rPr>
          <w:kern w:val="0"/>
        </w:rPr>
        <w:t xml:space="preserve"> of </w:t>
      </w:r>
      <w:r>
        <w:rPr>
          <w:kern w:val="0"/>
        </w:rPr>
        <w:t>144 abstracts were read</w:t>
      </w:r>
      <w:r w:rsidR="005853A9">
        <w:rPr>
          <w:kern w:val="0"/>
        </w:rPr>
        <w:t xml:space="preserve"> and </w:t>
      </w:r>
      <w:r>
        <w:rPr>
          <w:kern w:val="0"/>
        </w:rPr>
        <w:t>18 full texts</w:t>
      </w:r>
      <w:r w:rsidR="00427468">
        <w:rPr>
          <w:kern w:val="0"/>
        </w:rPr>
        <w:t xml:space="preserve"> of </w:t>
      </w:r>
      <w:r>
        <w:rPr>
          <w:kern w:val="0"/>
        </w:rPr>
        <w:t>Brazilian articles were selected for in-depth analysis, leading to</w:t>
      </w:r>
      <w:r w:rsidR="003A1917">
        <w:rPr>
          <w:kern w:val="0"/>
        </w:rPr>
        <w:t xml:space="preserve"> the </w:t>
      </w:r>
      <w:r>
        <w:rPr>
          <w:kern w:val="0"/>
        </w:rPr>
        <w:t>design</w:t>
      </w:r>
      <w:r w:rsidR="00427468">
        <w:rPr>
          <w:kern w:val="0"/>
        </w:rPr>
        <w:t xml:space="preserve"> of </w:t>
      </w:r>
      <w:r>
        <w:rPr>
          <w:kern w:val="0"/>
        </w:rPr>
        <w:t>a typology for technological arrangements related to</w:t>
      </w:r>
      <w:r w:rsidR="003A1917">
        <w:rPr>
          <w:kern w:val="0"/>
        </w:rPr>
        <w:t xml:space="preserve"> the </w:t>
      </w:r>
      <w:r>
        <w:rPr>
          <w:kern w:val="0"/>
        </w:rPr>
        <w:t>various meanings: (i) traditional epidemiological surveillance, with communicable diseases as</w:t>
      </w:r>
      <w:r w:rsidR="003A1917">
        <w:rPr>
          <w:kern w:val="0"/>
        </w:rPr>
        <w:t xml:space="preserve"> the </w:t>
      </w:r>
      <w:r>
        <w:rPr>
          <w:kern w:val="0"/>
        </w:rPr>
        <w:t>main object; (ii) public health surveillance, as</w:t>
      </w:r>
      <w:r w:rsidR="003A1917">
        <w:rPr>
          <w:kern w:val="0"/>
        </w:rPr>
        <w:t xml:space="preserve"> the </w:t>
      </w:r>
      <w:r>
        <w:rPr>
          <w:kern w:val="0"/>
        </w:rPr>
        <w:t>municipal component</w:t>
      </w:r>
      <w:r w:rsidR="00427468">
        <w:rPr>
          <w:kern w:val="0"/>
        </w:rPr>
        <w:t xml:space="preserve"> of </w:t>
      </w:r>
      <w:r w:rsidR="003A1917">
        <w:rPr>
          <w:kern w:val="0"/>
        </w:rPr>
        <w:t xml:space="preserve">the </w:t>
      </w:r>
      <w:r>
        <w:rPr>
          <w:kern w:val="0"/>
        </w:rPr>
        <w:t>national health surveillance system;</w:t>
      </w:r>
      <w:r w:rsidR="005853A9">
        <w:rPr>
          <w:kern w:val="0"/>
        </w:rPr>
        <w:t xml:space="preserve"> and </w:t>
      </w:r>
      <w:r>
        <w:rPr>
          <w:kern w:val="0"/>
        </w:rPr>
        <w:t>(iii) health surveillance, a technological mode</w:t>
      </w:r>
      <w:r w:rsidR="00427468">
        <w:rPr>
          <w:kern w:val="0"/>
        </w:rPr>
        <w:t xml:space="preserve"> of </w:t>
      </w:r>
      <w:r>
        <w:rPr>
          <w:kern w:val="0"/>
        </w:rPr>
        <w:t>organizing health practices in a given territory</w:t>
      </w:r>
      <w:r w:rsidR="00A37C1D">
        <w:rPr>
          <w:kern w:val="0"/>
        </w:rPr>
        <w:t>. The</w:t>
      </w:r>
      <w:r w:rsidR="003A1917">
        <w:rPr>
          <w:kern w:val="0"/>
        </w:rPr>
        <w:t xml:space="preserve"> </w:t>
      </w:r>
      <w:r>
        <w:rPr>
          <w:kern w:val="0"/>
        </w:rPr>
        <w:t>proposed typology can contribute to research on surveillance practices in local health systems. It can also serve as a template for data collection</w:t>
      </w:r>
      <w:r w:rsidR="005853A9">
        <w:rPr>
          <w:kern w:val="0"/>
        </w:rPr>
        <w:t xml:space="preserve"> and </w:t>
      </w:r>
      <w:r>
        <w:rPr>
          <w:kern w:val="0"/>
        </w:rPr>
        <w:t>analysis</w:t>
      </w:r>
      <w:r w:rsidR="00A37C1D">
        <w:rPr>
          <w:kern w:val="0"/>
        </w:rPr>
        <w:t>. The</w:t>
      </w:r>
      <w:r w:rsidR="003A1917">
        <w:rPr>
          <w:kern w:val="0"/>
        </w:rPr>
        <w:t xml:space="preserve"> </w:t>
      </w:r>
      <w:r>
        <w:rPr>
          <w:kern w:val="0"/>
        </w:rPr>
        <w:t>meanings ascribed to</w:t>
      </w:r>
      <w:r w:rsidR="003A1917">
        <w:rPr>
          <w:kern w:val="0"/>
        </w:rPr>
        <w:t xml:space="preserve"> the </w:t>
      </w:r>
      <w:r>
        <w:rPr>
          <w:kern w:val="0"/>
        </w:rPr>
        <w:t>three types are discussed in light</w:t>
      </w:r>
      <w:r w:rsidR="00427468">
        <w:rPr>
          <w:kern w:val="0"/>
        </w:rPr>
        <w:t xml:space="preserve"> of </w:t>
      </w:r>
      <w:r>
        <w:rPr>
          <w:kern w:val="0"/>
        </w:rPr>
        <w:t>public health</w:t>
      </w:r>
      <w:r w:rsidR="0071223E">
        <w:rPr>
          <w:kern w:val="0"/>
        </w:rPr>
        <w:t>’</w:t>
      </w:r>
      <w:r w:rsidR="00C13DDC">
        <w:rPr>
          <w:kern w:val="0"/>
        </w:rPr>
        <w:t>s</w:t>
      </w:r>
      <w:r>
        <w:rPr>
          <w:kern w:val="0"/>
        </w:rPr>
        <w:t xml:space="preserve"> historical development as a field.</w:t>
      </w:r>
    </w:p>
    <w:p w:rsidR="00C97500" w:rsidRDefault="00C97500" w:rsidP="00C97500">
      <w:pPr>
        <w:pStyle w:val="a3"/>
        <w:rPr>
          <w:kern w:val="0"/>
        </w:rPr>
      </w:pPr>
      <w:r>
        <w:rPr>
          <w:kern w:val="0"/>
        </w:rPr>
        <w:t xml:space="preserve">Keywords: Analysis, Authors, Chemical Incidents, Communicable Diseases, Data Collection, Databases, Design, Development, Evaluation, Health, Health Surveillance, Local Health Systems, </w:t>
      </w:r>
      <w:r w:rsidR="00D5664A">
        <w:rPr>
          <w:kern w:val="0"/>
        </w:rPr>
        <w:t>MEDLINE</w:t>
      </w:r>
      <w:r>
        <w:rPr>
          <w:kern w:val="0"/>
        </w:rPr>
        <w:t xml:space="preserve">, Public Health, Public-Health, Research, Review, SCIELO, Science, Surveillance, Systematic, Systematic Review, Traditional, United-States, </w:t>
      </w:r>
      <w:r w:rsidR="00D5664A">
        <w:rPr>
          <w:kern w:val="0"/>
        </w:rPr>
        <w:t>Web</w:t>
      </w:r>
      <w:r w:rsidR="00427468">
        <w:rPr>
          <w:kern w:val="0"/>
        </w:rPr>
        <w:t xml:space="preserve"> of </w:t>
      </w:r>
      <w:r w:rsidR="00D5664A">
        <w:rPr>
          <w:kern w:val="0"/>
        </w:rPr>
        <w:t>Science</w:t>
      </w:r>
    </w:p>
    <w:p w:rsidR="006C1482" w:rsidRDefault="006C1482" w:rsidP="006C1482">
      <w:pPr>
        <w:pStyle w:val="a3"/>
        <w:rPr>
          <w:kern w:val="0"/>
        </w:rPr>
      </w:pPr>
      <w:r>
        <w:rPr>
          <w:rFonts w:hint="eastAsia"/>
          <w:kern w:val="0"/>
        </w:rPr>
        <w:t xml:space="preserve">? </w:t>
      </w:r>
      <w:r>
        <w:rPr>
          <w:kern w:val="0"/>
        </w:rPr>
        <w:t xml:space="preserve">Dumith, S.C. (2009), Physical activity in Brazil: A systematic review. </w:t>
      </w:r>
      <w:proofErr w:type="gramStart"/>
      <w:r w:rsidRPr="001A3D2B">
        <w:rPr>
          <w:i/>
        </w:rPr>
        <w:t>Cadernos de Saúde Pública</w:t>
      </w:r>
      <w:r>
        <w:rPr>
          <w:kern w:val="0"/>
        </w:rPr>
        <w:t xml:space="preserve">, </w:t>
      </w:r>
      <w:r>
        <w:rPr>
          <w:b/>
          <w:bCs/>
          <w:kern w:val="0"/>
        </w:rPr>
        <w:t>25</w:t>
      </w:r>
      <w:r>
        <w:rPr>
          <w:rFonts w:hint="eastAsia"/>
          <w:kern w:val="0"/>
        </w:rPr>
        <w:t xml:space="preserve"> (S3)</w:t>
      </w:r>
      <w:r>
        <w:rPr>
          <w:kern w:val="0"/>
        </w:rPr>
        <w:t xml:space="preserve"> S415-S426.</w:t>
      </w:r>
      <w:proofErr w:type="gramEnd"/>
    </w:p>
    <w:p w:rsidR="006C1482" w:rsidRDefault="006C1482" w:rsidP="006C1482">
      <w:pPr>
        <w:pStyle w:val="a3"/>
        <w:rPr>
          <w:kern w:val="0"/>
        </w:rPr>
      </w:pPr>
      <w:r>
        <w:rPr>
          <w:rFonts w:hint="eastAsia"/>
          <w:kern w:val="0"/>
        </w:rPr>
        <w:t xml:space="preserve">Full Text: </w:t>
      </w:r>
      <w:hyperlink r:id="rId17" w:history="1">
        <w:r w:rsidRPr="005F0771">
          <w:rPr>
            <w:rStyle w:val="a5"/>
            <w:kern w:val="0"/>
          </w:rPr>
          <w:t>2009\Cad Sau Pub25, S415.pdf</w:t>
        </w:r>
      </w:hyperlink>
    </w:p>
    <w:p w:rsidR="00C97500" w:rsidRDefault="00C97500" w:rsidP="00C97500">
      <w:pPr>
        <w:pStyle w:val="a3"/>
        <w:rPr>
          <w:kern w:val="0"/>
        </w:rPr>
      </w:pPr>
      <w:r>
        <w:rPr>
          <w:kern w:val="0"/>
        </w:rPr>
        <w:t>Abstract:</w:t>
      </w:r>
      <w:r w:rsidR="003A1917">
        <w:rPr>
          <w:kern w:val="0"/>
        </w:rPr>
        <w:t xml:space="preserve"> the </w:t>
      </w:r>
      <w:r>
        <w:rPr>
          <w:kern w:val="0"/>
        </w:rPr>
        <w:t>purpose</w:t>
      </w:r>
      <w:r w:rsidR="00427468">
        <w:rPr>
          <w:kern w:val="0"/>
        </w:rPr>
        <w:t xml:space="preserve"> of </w:t>
      </w:r>
      <w:r>
        <w:rPr>
          <w:kern w:val="0"/>
        </w:rPr>
        <w:t>this study, based on a systematic literature review, was to describe</w:t>
      </w:r>
      <w:r w:rsidR="003A1917">
        <w:rPr>
          <w:kern w:val="0"/>
        </w:rPr>
        <w:t xml:space="preserve"> the </w:t>
      </w:r>
      <w:r>
        <w:rPr>
          <w:kern w:val="0"/>
        </w:rPr>
        <w:t>prevalence</w:t>
      </w:r>
      <w:r w:rsidR="00427468">
        <w:rPr>
          <w:kern w:val="0"/>
        </w:rPr>
        <w:t xml:space="preserve"> of </w:t>
      </w:r>
      <w:r>
        <w:rPr>
          <w:kern w:val="0"/>
        </w:rPr>
        <w:t>physical activity (or inactivity) in</w:t>
      </w:r>
      <w:r w:rsidR="003A1917">
        <w:rPr>
          <w:kern w:val="0"/>
        </w:rPr>
        <w:t xml:space="preserve"> the </w:t>
      </w:r>
      <w:r>
        <w:rPr>
          <w:kern w:val="0"/>
        </w:rPr>
        <w:t>Brazilian population</w:t>
      </w:r>
      <w:r w:rsidR="00A37C1D">
        <w:rPr>
          <w:kern w:val="0"/>
        </w:rPr>
        <w:t>. The</w:t>
      </w:r>
      <w:r w:rsidR="003A1917">
        <w:rPr>
          <w:kern w:val="0"/>
        </w:rPr>
        <w:t xml:space="preserve"> </w:t>
      </w:r>
      <w:r>
        <w:rPr>
          <w:kern w:val="0"/>
        </w:rPr>
        <w:t xml:space="preserve">databases consulted were: LILACS, SciELO,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Google Scholar portal</w:t>
      </w:r>
      <w:r w:rsidR="00A37C1D">
        <w:rPr>
          <w:kern w:val="0"/>
        </w:rPr>
        <w:t>. The</w:t>
      </w:r>
      <w:r w:rsidR="003A1917">
        <w:rPr>
          <w:kern w:val="0"/>
        </w:rPr>
        <w:t xml:space="preserve"> </w:t>
      </w:r>
      <w:r>
        <w:rPr>
          <w:kern w:val="0"/>
        </w:rPr>
        <w:t xml:space="preserve">terms </w:t>
      </w:r>
      <w:r w:rsidR="00B5188C">
        <w:rPr>
          <w:kern w:val="0"/>
        </w:rPr>
        <w:t>“</w:t>
      </w:r>
      <w:r>
        <w:rPr>
          <w:kern w:val="0"/>
        </w:rPr>
        <w:t>physical activity</w:t>
      </w:r>
      <w:r w:rsidR="00B5188C">
        <w:rPr>
          <w:kern w:val="0"/>
        </w:rPr>
        <w:t>”</w:t>
      </w:r>
      <w:r>
        <w:rPr>
          <w:kern w:val="0"/>
        </w:rPr>
        <w:t xml:space="preserve">, </w:t>
      </w:r>
      <w:r w:rsidR="00B5188C">
        <w:rPr>
          <w:kern w:val="0"/>
        </w:rPr>
        <w:t>“</w:t>
      </w:r>
      <w:r>
        <w:rPr>
          <w:kern w:val="0"/>
        </w:rPr>
        <w:t>physical exercise</w:t>
      </w:r>
      <w:r w:rsidR="00B5188C">
        <w:rPr>
          <w:kern w:val="0"/>
        </w:rPr>
        <w:t>”</w:t>
      </w:r>
      <w:r>
        <w:rPr>
          <w:kern w:val="0"/>
        </w:rPr>
        <w:t xml:space="preserve">, </w:t>
      </w:r>
      <w:r w:rsidR="00B5188C">
        <w:rPr>
          <w:kern w:val="0"/>
        </w:rPr>
        <w:t>“</w:t>
      </w:r>
      <w:r>
        <w:rPr>
          <w:kern w:val="0"/>
        </w:rPr>
        <w:t>physical inactivity</w:t>
      </w:r>
      <w:r w:rsidR="00B5188C">
        <w:rPr>
          <w:kern w:val="0"/>
        </w:rPr>
        <w:t>”</w:t>
      </w:r>
      <w:r>
        <w:rPr>
          <w:kern w:val="0"/>
        </w:rPr>
        <w:t xml:space="preserve">, </w:t>
      </w:r>
      <w:r w:rsidR="00B5188C">
        <w:rPr>
          <w:kern w:val="0"/>
        </w:rPr>
        <w:t>“</w:t>
      </w:r>
      <w:r>
        <w:rPr>
          <w:kern w:val="0"/>
        </w:rPr>
        <w:t>sedentary</w:t>
      </w:r>
      <w:r w:rsidR="00B5188C">
        <w:rPr>
          <w:kern w:val="0"/>
        </w:rPr>
        <w:t>”</w:t>
      </w:r>
      <w:r>
        <w:rPr>
          <w:kern w:val="0"/>
        </w:rPr>
        <w:t xml:space="preserve"> </w:t>
      </w:r>
      <w:r w:rsidR="00B5188C">
        <w:rPr>
          <w:kern w:val="0"/>
        </w:rPr>
        <w:t>“</w:t>
      </w:r>
      <w:r>
        <w:rPr>
          <w:kern w:val="0"/>
        </w:rPr>
        <w:t>Brazil</w:t>
      </w:r>
      <w:r w:rsidR="00B5188C">
        <w:rPr>
          <w:kern w:val="0"/>
        </w:rPr>
        <w:t>”</w:t>
      </w:r>
      <w:r>
        <w:rPr>
          <w:kern w:val="0"/>
        </w:rPr>
        <w:t>,</w:t>
      </w:r>
      <w:r w:rsidR="005853A9">
        <w:rPr>
          <w:kern w:val="0"/>
        </w:rPr>
        <w:t xml:space="preserve"> and </w:t>
      </w:r>
      <w:r w:rsidR="00B5188C">
        <w:rPr>
          <w:kern w:val="0"/>
        </w:rPr>
        <w:t>“</w:t>
      </w:r>
      <w:r>
        <w:rPr>
          <w:kern w:val="0"/>
        </w:rPr>
        <w:t>Brazilian</w:t>
      </w:r>
      <w:r w:rsidR="00B5188C">
        <w:rPr>
          <w:kern w:val="0"/>
        </w:rPr>
        <w:t>”</w:t>
      </w:r>
      <w:r>
        <w:rPr>
          <w:kern w:val="0"/>
        </w:rPr>
        <w:t xml:space="preserve"> were used in</w:t>
      </w:r>
      <w:r w:rsidR="003A1917">
        <w:rPr>
          <w:kern w:val="0"/>
        </w:rPr>
        <w:t xml:space="preserve"> the </w:t>
      </w:r>
      <w:r>
        <w:rPr>
          <w:kern w:val="0"/>
        </w:rPr>
        <w:t>search. Overall, 47 studies (all cross-sectional) with random samples were found,</w:t>
      </w:r>
      <w:r w:rsidR="005853A9">
        <w:rPr>
          <w:kern w:val="0"/>
        </w:rPr>
        <w:t xml:space="preserve"> and </w:t>
      </w:r>
      <w:r>
        <w:rPr>
          <w:kern w:val="0"/>
        </w:rPr>
        <w:t>in 26 studies physical activity was</w:t>
      </w:r>
      <w:r w:rsidR="003A1917">
        <w:rPr>
          <w:kern w:val="0"/>
        </w:rPr>
        <w:t xml:space="preserve"> the </w:t>
      </w:r>
      <w:r>
        <w:rPr>
          <w:kern w:val="0"/>
        </w:rPr>
        <w:t>main variable. Only two studies were published before</w:t>
      </w:r>
      <w:r w:rsidR="003A1917">
        <w:rPr>
          <w:kern w:val="0"/>
        </w:rPr>
        <w:t xml:space="preserve"> the </w:t>
      </w:r>
      <w:r>
        <w:rPr>
          <w:kern w:val="0"/>
        </w:rPr>
        <w:t>year 2000, as compared to 12 in 2008 alone</w:t>
      </w:r>
      <w:r w:rsidR="00A37C1D">
        <w:rPr>
          <w:kern w:val="0"/>
        </w:rPr>
        <w:t>. The</w:t>
      </w:r>
      <w:r w:rsidR="003A1917">
        <w:rPr>
          <w:kern w:val="0"/>
        </w:rPr>
        <w:t xml:space="preserve"> </w:t>
      </w:r>
      <w:r>
        <w:rPr>
          <w:kern w:val="0"/>
        </w:rPr>
        <w:t>studies were heavily concentrated in</w:t>
      </w:r>
      <w:r w:rsidR="003A1917">
        <w:rPr>
          <w:kern w:val="0"/>
        </w:rPr>
        <w:t xml:space="preserve"> the </w:t>
      </w:r>
      <w:r>
        <w:rPr>
          <w:kern w:val="0"/>
        </w:rPr>
        <w:t>South</w:t>
      </w:r>
      <w:r w:rsidR="005853A9">
        <w:rPr>
          <w:kern w:val="0"/>
        </w:rPr>
        <w:t xml:space="preserve"> and </w:t>
      </w:r>
      <w:r>
        <w:rPr>
          <w:kern w:val="0"/>
        </w:rPr>
        <w:t>Southeast</w:t>
      </w:r>
      <w:r w:rsidR="00427468">
        <w:rPr>
          <w:kern w:val="0"/>
        </w:rPr>
        <w:t xml:space="preserve"> of </w:t>
      </w:r>
      <w:r>
        <w:rPr>
          <w:kern w:val="0"/>
        </w:rPr>
        <w:t>Brazil,</w:t>
      </w:r>
      <w:r w:rsidR="005853A9">
        <w:rPr>
          <w:kern w:val="0"/>
        </w:rPr>
        <w:t xml:space="preserve"> and </w:t>
      </w:r>
      <w:r>
        <w:rPr>
          <w:kern w:val="0"/>
        </w:rPr>
        <w:t>there were few studies on physical activity in children</w:t>
      </w:r>
      <w:r w:rsidR="005853A9">
        <w:rPr>
          <w:kern w:val="0"/>
        </w:rPr>
        <w:t xml:space="preserve"> and </w:t>
      </w:r>
      <w:r>
        <w:rPr>
          <w:kern w:val="0"/>
        </w:rPr>
        <w:t>adolescents. In all</w:t>
      </w:r>
      <w:r w:rsidR="003A1917">
        <w:rPr>
          <w:kern w:val="0"/>
        </w:rPr>
        <w:t xml:space="preserve"> the </w:t>
      </w:r>
      <w:r>
        <w:rPr>
          <w:kern w:val="0"/>
        </w:rPr>
        <w:t>studies, physical activity was measured subjectively, mainly with questionnaires,</w:t>
      </w:r>
      <w:r w:rsidR="005853A9">
        <w:rPr>
          <w:kern w:val="0"/>
        </w:rPr>
        <w:t xml:space="preserve"> and </w:t>
      </w:r>
      <w:r w:rsidR="003A1917">
        <w:rPr>
          <w:kern w:val="0"/>
        </w:rPr>
        <w:t xml:space="preserve">the </w:t>
      </w:r>
      <w:r>
        <w:rPr>
          <w:kern w:val="0"/>
        </w:rPr>
        <w:t>most widely studied domain was leisure time</w:t>
      </w:r>
      <w:r w:rsidR="00A37C1D">
        <w:rPr>
          <w:kern w:val="0"/>
        </w:rPr>
        <w:t>. The</w:t>
      </w:r>
      <w:r w:rsidR="003A1917">
        <w:rPr>
          <w:kern w:val="0"/>
        </w:rPr>
        <w:t xml:space="preserve"> </w:t>
      </w:r>
      <w:r>
        <w:rPr>
          <w:kern w:val="0"/>
        </w:rPr>
        <w:t>criteria for defining physical activity varied widely, as did prevalence</w:t>
      </w:r>
      <w:r w:rsidR="00A37C1D">
        <w:rPr>
          <w:kern w:val="0"/>
        </w:rPr>
        <w:t>. The</w:t>
      </w:r>
      <w:r w:rsidR="003A1917">
        <w:rPr>
          <w:kern w:val="0"/>
        </w:rPr>
        <w:t xml:space="preserve"> </w:t>
      </w:r>
      <w:r>
        <w:rPr>
          <w:kern w:val="0"/>
        </w:rPr>
        <w:t>study highlighted</w:t>
      </w:r>
      <w:r w:rsidR="003A1917">
        <w:rPr>
          <w:kern w:val="0"/>
        </w:rPr>
        <w:t xml:space="preserve"> the </w:t>
      </w:r>
      <w:r>
        <w:rPr>
          <w:kern w:val="0"/>
        </w:rPr>
        <w:t>need for standardization</w:t>
      </w:r>
      <w:r w:rsidR="00427468">
        <w:rPr>
          <w:kern w:val="0"/>
        </w:rPr>
        <w:t xml:space="preserve"> of </w:t>
      </w:r>
      <w:r>
        <w:rPr>
          <w:kern w:val="0"/>
        </w:rPr>
        <w:t>instruments, criteria,</w:t>
      </w:r>
      <w:r w:rsidR="005853A9">
        <w:rPr>
          <w:kern w:val="0"/>
        </w:rPr>
        <w:t xml:space="preserve"> and </w:t>
      </w:r>
      <w:r>
        <w:rPr>
          <w:kern w:val="0"/>
        </w:rPr>
        <w:t>nomenclature in epidemiological studies on physical activity.</w:t>
      </w:r>
    </w:p>
    <w:p w:rsidR="00C97500" w:rsidRDefault="00C97500" w:rsidP="00C97500">
      <w:pPr>
        <w:pStyle w:val="a3"/>
        <w:rPr>
          <w:kern w:val="0"/>
        </w:rPr>
      </w:pPr>
      <w:r>
        <w:rPr>
          <w:kern w:val="0"/>
        </w:rPr>
        <w:lastRenderedPageBreak/>
        <w:t xml:space="preserve">Keywords: Adolescents, Adults, Brazil, Children, Chronic Diseases, Databases, Exercise, Google Scholar, Health, Inactivity, Leisure, Leisure-Time, Literature, Literature Review, </w:t>
      </w:r>
      <w:r w:rsidR="00D5664A">
        <w:rPr>
          <w:kern w:val="0"/>
        </w:rPr>
        <w:t>MEDLINE</w:t>
      </w:r>
      <w:r>
        <w:rPr>
          <w:kern w:val="0"/>
        </w:rPr>
        <w:t xml:space="preserve">, Motor Activity, Physical Activity, Prevalence, Questionnaires, Review, Risk-Factors, Sao-Paulo, SCIELO, Science, Systematic, Systematic Literature Review, Systematic Review, Variables, </w:t>
      </w:r>
      <w:r w:rsidR="00D5664A">
        <w:rPr>
          <w:kern w:val="0"/>
        </w:rPr>
        <w:t>Web</w:t>
      </w:r>
      <w:r w:rsidR="00427468">
        <w:rPr>
          <w:kern w:val="0"/>
        </w:rPr>
        <w:t xml:space="preserve"> of </w:t>
      </w:r>
      <w:r w:rsidR="00D5664A">
        <w:rPr>
          <w:kern w:val="0"/>
        </w:rPr>
        <w:t>Science</w:t>
      </w:r>
    </w:p>
    <w:p w:rsidR="00C97500" w:rsidRDefault="00C97500" w:rsidP="00C97500">
      <w:pPr>
        <w:pStyle w:val="a3"/>
        <w:rPr>
          <w:kern w:val="0"/>
        </w:rPr>
      </w:pPr>
      <w:r>
        <w:rPr>
          <w:rFonts w:hint="eastAsia"/>
          <w:kern w:val="0"/>
        </w:rPr>
        <w:t xml:space="preserve">? </w:t>
      </w:r>
      <w:r>
        <w:rPr>
          <w:kern w:val="0"/>
        </w:rPr>
        <w:t xml:space="preserve">Gasperin, D., Netuveli, G., </w:t>
      </w:r>
      <w:r>
        <w:rPr>
          <w:rFonts w:hint="eastAsia"/>
          <w:kern w:val="0"/>
        </w:rPr>
        <w:t>Di</w:t>
      </w:r>
      <w:r>
        <w:rPr>
          <w:kern w:val="0"/>
        </w:rPr>
        <w:t>as-Da-Costa, J.S.</w:t>
      </w:r>
      <w:r w:rsidR="005853A9">
        <w:rPr>
          <w:kern w:val="0"/>
        </w:rPr>
        <w:t xml:space="preserve"> and </w:t>
      </w:r>
      <w:r>
        <w:rPr>
          <w:kern w:val="0"/>
        </w:rPr>
        <w:t>Pattussi, M.P. (2009), Effect</w:t>
      </w:r>
      <w:r w:rsidR="00427468">
        <w:rPr>
          <w:kern w:val="0"/>
        </w:rPr>
        <w:t xml:space="preserve"> of </w:t>
      </w:r>
      <w:r>
        <w:rPr>
          <w:kern w:val="0"/>
        </w:rPr>
        <w:t>psychological stress on blood pressure increase: A meta-analysis</w:t>
      </w:r>
      <w:r w:rsidR="00427468">
        <w:rPr>
          <w:kern w:val="0"/>
        </w:rPr>
        <w:t xml:space="preserve"> of </w:t>
      </w:r>
      <w:r>
        <w:rPr>
          <w:kern w:val="0"/>
        </w:rPr>
        <w:t xml:space="preserve">cohort studies. </w:t>
      </w:r>
      <w:proofErr w:type="gramStart"/>
      <w:r w:rsidRPr="001A3D2B">
        <w:rPr>
          <w:i/>
        </w:rPr>
        <w:t>Cadernos de Saúde Pública</w:t>
      </w:r>
      <w:r>
        <w:rPr>
          <w:kern w:val="0"/>
        </w:rPr>
        <w:t xml:space="preserve">, </w:t>
      </w:r>
      <w:r>
        <w:rPr>
          <w:b/>
          <w:bCs/>
          <w:kern w:val="0"/>
        </w:rPr>
        <w:t>25</w:t>
      </w:r>
      <w:r>
        <w:rPr>
          <w:kern w:val="0"/>
        </w:rPr>
        <w:t xml:space="preserve"> (4), 715-726.</w:t>
      </w:r>
      <w:proofErr w:type="gramEnd"/>
    </w:p>
    <w:p w:rsidR="00C97500" w:rsidRDefault="00C97500" w:rsidP="00C97500">
      <w:pPr>
        <w:pStyle w:val="a3"/>
        <w:rPr>
          <w:kern w:val="0"/>
        </w:rPr>
      </w:pPr>
      <w:r>
        <w:rPr>
          <w:rFonts w:hint="eastAsia"/>
          <w:kern w:val="0"/>
        </w:rPr>
        <w:t xml:space="preserve">Full Text: </w:t>
      </w:r>
      <w:hyperlink r:id="rId18" w:history="1">
        <w:r w:rsidRPr="005F0771">
          <w:rPr>
            <w:rStyle w:val="a5"/>
            <w:kern w:val="0"/>
          </w:rPr>
          <w:t>2009\Cad Sau Pub25, 715.pdf</w:t>
        </w:r>
      </w:hyperlink>
    </w:p>
    <w:p w:rsidR="00C97500" w:rsidRDefault="00C97500" w:rsidP="00C97500">
      <w:pPr>
        <w:pStyle w:val="a3"/>
        <w:rPr>
          <w:kern w:val="0"/>
        </w:rPr>
      </w:pPr>
      <w:r>
        <w:rPr>
          <w:kern w:val="0"/>
        </w:rPr>
        <w:t>Abstract: Studies have suggested that chronic exposure to stress may have an influence on increased blood pressure. A systematic review followed by a meta-analysis was conducted aiming to assess</w:t>
      </w:r>
      <w:r w:rsidR="003A1917">
        <w:rPr>
          <w:kern w:val="0"/>
        </w:rPr>
        <w:t xml:space="preserve"> the </w:t>
      </w:r>
      <w:r>
        <w:rPr>
          <w:kern w:val="0"/>
        </w:rPr>
        <w:t>effect</w:t>
      </w:r>
      <w:r w:rsidR="00427468">
        <w:rPr>
          <w:kern w:val="0"/>
        </w:rPr>
        <w:t xml:space="preserve"> of </w:t>
      </w:r>
      <w:r>
        <w:rPr>
          <w:kern w:val="0"/>
        </w:rPr>
        <w:t xml:space="preserve">psychological stress on blood pressure increase. Research was mainly conducted in Ingenta, Psycinfo, </w:t>
      </w:r>
      <w:r w:rsidR="002C12F0">
        <w:rPr>
          <w:kern w:val="0"/>
        </w:rPr>
        <w:t>PUBMED</w:t>
      </w:r>
      <w:r>
        <w:rPr>
          <w:kern w:val="0"/>
        </w:rPr>
        <w:t>,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Inclusion criteria were: published in any language; from January 1970 to December 2006; prospective cohort design; adults; main exposure psychological/emotional stress; outcome arterial hypertension or blood pressure increase &gt;= 3.5mmHg. A total</w:t>
      </w:r>
      <w:r w:rsidR="00427468">
        <w:rPr>
          <w:kern w:val="0"/>
        </w:rPr>
        <w:t xml:space="preserve"> of </w:t>
      </w:r>
      <w:r>
        <w:rPr>
          <w:kern w:val="0"/>
        </w:rPr>
        <w:t>2,043 studies were found,</w:t>
      </w:r>
      <w:r w:rsidR="00427468">
        <w:rPr>
          <w:kern w:val="0"/>
        </w:rPr>
        <w:t xml:space="preserve"> of </w:t>
      </w:r>
      <w:r>
        <w:rPr>
          <w:kern w:val="0"/>
        </w:rPr>
        <w:t>which 110 were cohort studies.</w:t>
      </w:r>
      <w:r w:rsidR="00427468">
        <w:rPr>
          <w:kern w:val="0"/>
        </w:rPr>
        <w:t xml:space="preserve"> </w:t>
      </w:r>
      <w:proofErr w:type="gramStart"/>
      <w:r w:rsidR="00427468">
        <w:rPr>
          <w:kern w:val="0"/>
        </w:rPr>
        <w:t>of</w:t>
      </w:r>
      <w:proofErr w:type="gramEnd"/>
      <w:r w:rsidR="00427468">
        <w:rPr>
          <w:kern w:val="0"/>
        </w:rPr>
        <w:t xml:space="preserve"> </w:t>
      </w:r>
      <w:r>
        <w:rPr>
          <w:kern w:val="0"/>
        </w:rPr>
        <w:t>these, six were eligible</w:t>
      </w:r>
      <w:r w:rsidR="005853A9">
        <w:rPr>
          <w:kern w:val="0"/>
        </w:rPr>
        <w:t xml:space="preserve"> and </w:t>
      </w:r>
      <w:r>
        <w:rPr>
          <w:kern w:val="0"/>
        </w:rPr>
        <w:t>yielded 23 comparison groups</w:t>
      </w:r>
      <w:r w:rsidR="005853A9">
        <w:rPr>
          <w:kern w:val="0"/>
        </w:rPr>
        <w:t xml:space="preserve"> and </w:t>
      </w:r>
      <w:r>
        <w:rPr>
          <w:kern w:val="0"/>
        </w:rPr>
        <w:t>34,556 subjects. Median follow-up time</w:t>
      </w:r>
      <w:r w:rsidR="005853A9">
        <w:rPr>
          <w:kern w:val="0"/>
        </w:rPr>
        <w:t xml:space="preserve"> and </w:t>
      </w:r>
      <w:r>
        <w:rPr>
          <w:kern w:val="0"/>
        </w:rPr>
        <w:t>loss to follow-up were 11.5 years</w:t>
      </w:r>
      <w:r w:rsidR="005853A9">
        <w:rPr>
          <w:kern w:val="0"/>
        </w:rPr>
        <w:t xml:space="preserve"> and </w:t>
      </w:r>
      <w:r>
        <w:rPr>
          <w:kern w:val="0"/>
        </w:rPr>
        <w:t>21%. Results showed individuals who had stronger responses to stressor tasks were 21% more likely to develop blood pressure increase when compared to those with less strong responses (OR: 1.21; 95% CI: 1.14-1.28; p &lt; 0.001). Although</w:t>
      </w:r>
      <w:r w:rsidR="003A1917">
        <w:rPr>
          <w:kern w:val="0"/>
        </w:rPr>
        <w:t xml:space="preserve"> the </w:t>
      </w:r>
      <w:r>
        <w:rPr>
          <w:kern w:val="0"/>
        </w:rPr>
        <w:t>magnitude</w:t>
      </w:r>
      <w:r w:rsidR="00427468">
        <w:rPr>
          <w:kern w:val="0"/>
        </w:rPr>
        <w:t xml:space="preserve"> of </w:t>
      </w:r>
      <w:r>
        <w:rPr>
          <w:kern w:val="0"/>
        </w:rPr>
        <w:t>effect was relatively small, results suggest</w:t>
      </w:r>
      <w:r w:rsidR="003A1917">
        <w:rPr>
          <w:kern w:val="0"/>
        </w:rPr>
        <w:t xml:space="preserve"> the </w:t>
      </w:r>
      <w:r>
        <w:rPr>
          <w:kern w:val="0"/>
        </w:rPr>
        <w:t>relevance</w:t>
      </w:r>
      <w:r w:rsidR="00427468">
        <w:rPr>
          <w:kern w:val="0"/>
        </w:rPr>
        <w:t xml:space="preserve"> of </w:t>
      </w:r>
      <w:r w:rsidR="003A1917">
        <w:rPr>
          <w:kern w:val="0"/>
        </w:rPr>
        <w:t xml:space="preserve">the </w:t>
      </w:r>
      <w:r>
        <w:rPr>
          <w:kern w:val="0"/>
        </w:rPr>
        <w:t>control</w:t>
      </w:r>
      <w:r w:rsidR="00427468">
        <w:rPr>
          <w:kern w:val="0"/>
        </w:rPr>
        <w:t xml:space="preserve"> of </w:t>
      </w:r>
      <w:r>
        <w:rPr>
          <w:kern w:val="0"/>
        </w:rPr>
        <w:t>psychological stress to</w:t>
      </w:r>
      <w:r w:rsidR="003A1917">
        <w:rPr>
          <w:kern w:val="0"/>
        </w:rPr>
        <w:t xml:space="preserve"> the </w:t>
      </w:r>
      <w:r>
        <w:rPr>
          <w:kern w:val="0"/>
        </w:rPr>
        <w:t>non-therapeutic management</w:t>
      </w:r>
      <w:r w:rsidR="00427468">
        <w:rPr>
          <w:kern w:val="0"/>
        </w:rPr>
        <w:t xml:space="preserve"> of </w:t>
      </w:r>
      <w:r>
        <w:rPr>
          <w:kern w:val="0"/>
        </w:rPr>
        <w:t>high blood pressure.</w:t>
      </w:r>
    </w:p>
    <w:p w:rsidR="00C97500" w:rsidRDefault="00C97500" w:rsidP="00C97500">
      <w:pPr>
        <w:pStyle w:val="a3"/>
        <w:rPr>
          <w:kern w:val="0"/>
        </w:rPr>
      </w:pPr>
      <w:r>
        <w:rPr>
          <w:kern w:val="0"/>
        </w:rPr>
        <w:t xml:space="preserve">Keywords: Adults, Blood, Blood Pressure, Cardia, Cardiovascular Reactivity, Cohort Studies, Control, Coronary-Artery Disease, Follow-Up, Hypertension, Hypertension, Management, Mental Stress, Meta-Analysis, Outcome, Plasma, Pressure, Psychological Stress, Publication, </w:t>
      </w:r>
      <w:r w:rsidR="002C12F0">
        <w:rPr>
          <w:kern w:val="0"/>
        </w:rPr>
        <w:t>PUBMED</w:t>
      </w:r>
      <w:r>
        <w:rPr>
          <w:kern w:val="0"/>
        </w:rPr>
        <w:t xml:space="preserve">, Recovery, Research, Responses, Review, Risk-Factors, Science, Scopus, Stress, Systematic, Systematic Review, </w:t>
      </w:r>
      <w:r w:rsidR="00D5664A">
        <w:rPr>
          <w:kern w:val="0"/>
        </w:rPr>
        <w:t>Web</w:t>
      </w:r>
      <w:r w:rsidR="00427468">
        <w:rPr>
          <w:kern w:val="0"/>
        </w:rPr>
        <w:t xml:space="preserve"> of </w:t>
      </w:r>
      <w:r w:rsidR="00D5664A">
        <w:rPr>
          <w:kern w:val="0"/>
        </w:rPr>
        <w:t>Science</w:t>
      </w:r>
    </w:p>
    <w:p w:rsidR="00C97500" w:rsidRDefault="00C97500" w:rsidP="00C97500">
      <w:pPr>
        <w:pStyle w:val="a3"/>
        <w:rPr>
          <w:kern w:val="0"/>
        </w:rPr>
      </w:pPr>
      <w:r>
        <w:rPr>
          <w:rFonts w:hint="eastAsia"/>
          <w:kern w:val="0"/>
        </w:rPr>
        <w:t xml:space="preserve">? </w:t>
      </w:r>
      <w:proofErr w:type="gramStart"/>
      <w:r>
        <w:rPr>
          <w:kern w:val="0"/>
        </w:rPr>
        <w:t>de</w:t>
      </w:r>
      <w:proofErr w:type="gramEnd"/>
      <w:r>
        <w:rPr>
          <w:kern w:val="0"/>
        </w:rPr>
        <w:t xml:space="preserve"> Farias, J.C., Lopes, A.D., Florindo, A.A.</w:t>
      </w:r>
      <w:r w:rsidR="005853A9">
        <w:rPr>
          <w:kern w:val="0"/>
        </w:rPr>
        <w:t xml:space="preserve"> and </w:t>
      </w:r>
      <w:r>
        <w:rPr>
          <w:kern w:val="0"/>
        </w:rPr>
        <w:t>Hallal, P.C. (2010), Validity</w:t>
      </w:r>
      <w:r w:rsidR="005853A9">
        <w:rPr>
          <w:kern w:val="0"/>
        </w:rPr>
        <w:t xml:space="preserve"> and </w:t>
      </w:r>
      <w:r>
        <w:rPr>
          <w:kern w:val="0"/>
        </w:rPr>
        <w:t>reliability</w:t>
      </w:r>
      <w:r w:rsidR="00427468">
        <w:rPr>
          <w:kern w:val="0"/>
        </w:rPr>
        <w:t xml:space="preserve"> of </w:t>
      </w:r>
      <w:r>
        <w:rPr>
          <w:kern w:val="0"/>
        </w:rPr>
        <w:t xml:space="preserve">self-report instruments for measuring physical activity in adolescents: A systematic review. </w:t>
      </w:r>
      <w:proofErr w:type="gramStart"/>
      <w:r w:rsidRPr="001A3D2B">
        <w:rPr>
          <w:i/>
        </w:rPr>
        <w:t>Cadernos de Saúde Pública</w:t>
      </w:r>
      <w:r>
        <w:rPr>
          <w:kern w:val="0"/>
        </w:rPr>
        <w:t xml:space="preserve">, </w:t>
      </w:r>
      <w:r>
        <w:rPr>
          <w:b/>
          <w:bCs/>
          <w:kern w:val="0"/>
        </w:rPr>
        <w:t>26</w:t>
      </w:r>
      <w:r>
        <w:rPr>
          <w:kern w:val="0"/>
        </w:rPr>
        <w:t xml:space="preserve"> (9), 1669-1691.</w:t>
      </w:r>
      <w:proofErr w:type="gramEnd"/>
    </w:p>
    <w:p w:rsidR="006C1482" w:rsidRDefault="006C1482" w:rsidP="006C1482">
      <w:pPr>
        <w:pStyle w:val="a3"/>
        <w:rPr>
          <w:kern w:val="0"/>
        </w:rPr>
      </w:pPr>
      <w:r>
        <w:rPr>
          <w:rFonts w:hint="eastAsia"/>
          <w:kern w:val="0"/>
        </w:rPr>
        <w:t xml:space="preserve">Full Text: </w:t>
      </w:r>
      <w:hyperlink r:id="rId19" w:history="1">
        <w:r w:rsidRPr="005F0771">
          <w:rPr>
            <w:rStyle w:val="a5"/>
            <w:kern w:val="0"/>
          </w:rPr>
          <w:t>2010\Cad Sau Pub26, 1669.pdf</w:t>
        </w:r>
      </w:hyperlink>
    </w:p>
    <w:p w:rsidR="00C97500" w:rsidRDefault="00C97500" w:rsidP="00C97500">
      <w:pPr>
        <w:pStyle w:val="a3"/>
        <w:rPr>
          <w:kern w:val="0"/>
        </w:rPr>
      </w:pPr>
      <w:r>
        <w:rPr>
          <w:kern w:val="0"/>
        </w:rPr>
        <w:t>Abstract: This was a systematic review</w:t>
      </w:r>
      <w:r w:rsidR="00427468">
        <w:rPr>
          <w:kern w:val="0"/>
        </w:rPr>
        <w:t xml:space="preserve"> of </w:t>
      </w:r>
      <w:r>
        <w:rPr>
          <w:kern w:val="0"/>
        </w:rPr>
        <w:t>studies on</w:t>
      </w:r>
      <w:r w:rsidR="003A1917">
        <w:rPr>
          <w:kern w:val="0"/>
        </w:rPr>
        <w:t xml:space="preserve"> the </w:t>
      </w:r>
      <w:r>
        <w:rPr>
          <w:kern w:val="0"/>
        </w:rPr>
        <w:t>reliability</w:t>
      </w:r>
      <w:r w:rsidR="005853A9">
        <w:rPr>
          <w:kern w:val="0"/>
        </w:rPr>
        <w:t xml:space="preserve"> and </w:t>
      </w:r>
      <w:r>
        <w:rPr>
          <w:kern w:val="0"/>
        </w:rPr>
        <w:t>validity</w:t>
      </w:r>
      <w:r w:rsidR="00427468">
        <w:rPr>
          <w:kern w:val="0"/>
        </w:rPr>
        <w:t xml:space="preserve"> of </w:t>
      </w:r>
      <w:r>
        <w:rPr>
          <w:kern w:val="0"/>
        </w:rPr>
        <w:t>self-report instruments for measuring physical activity, or subjective measurements, in adolescents (10-18 years). Searches were conducted in databases (</w:t>
      </w:r>
      <w:r w:rsidR="00D5664A">
        <w:rPr>
          <w:kern w:val="0"/>
        </w:rPr>
        <w:t>MEDLINE</w:t>
      </w:r>
      <w:r>
        <w:rPr>
          <w:kern w:val="0"/>
        </w:rPr>
        <w:t xml:space="preserve">, PsycInfo, SportsDiscus, Scopus, </w:t>
      </w:r>
      <w:r w:rsidR="00D5664A">
        <w:rPr>
          <w:kern w:val="0"/>
        </w:rPr>
        <w:t>Web</w:t>
      </w:r>
      <w:r w:rsidR="00427468">
        <w:rPr>
          <w:kern w:val="0"/>
        </w:rPr>
        <w:t xml:space="preserve"> of </w:t>
      </w:r>
      <w:r w:rsidR="00D5664A">
        <w:rPr>
          <w:kern w:val="0"/>
        </w:rPr>
        <w:t>Science</w:t>
      </w:r>
      <w:r>
        <w:rPr>
          <w:kern w:val="0"/>
        </w:rPr>
        <w:t>, SciELO, Lilacs)</w:t>
      </w:r>
      <w:r w:rsidR="005853A9">
        <w:rPr>
          <w:kern w:val="0"/>
        </w:rPr>
        <w:t xml:space="preserve"> and </w:t>
      </w:r>
      <w:r>
        <w:rPr>
          <w:kern w:val="0"/>
        </w:rPr>
        <w:t>in</w:t>
      </w:r>
      <w:r w:rsidR="003A1917">
        <w:rPr>
          <w:kern w:val="0"/>
        </w:rPr>
        <w:t xml:space="preserve"> the </w:t>
      </w:r>
      <w:r>
        <w:rPr>
          <w:kern w:val="0"/>
        </w:rPr>
        <w:t>references</w:t>
      </w:r>
      <w:r w:rsidR="00427468">
        <w:rPr>
          <w:kern w:val="0"/>
        </w:rPr>
        <w:t xml:space="preserve"> of </w:t>
      </w:r>
      <w:r w:rsidR="003A1917">
        <w:rPr>
          <w:kern w:val="0"/>
        </w:rPr>
        <w:t xml:space="preserve">the </w:t>
      </w:r>
      <w:r>
        <w:rPr>
          <w:kern w:val="0"/>
        </w:rPr>
        <w:t>retrieved articles. Sixty-six studies met</w:t>
      </w:r>
      <w:r w:rsidR="003A1917">
        <w:rPr>
          <w:kern w:val="0"/>
        </w:rPr>
        <w:t xml:space="preserve"> the </w:t>
      </w:r>
      <w:r>
        <w:rPr>
          <w:kern w:val="0"/>
        </w:rPr>
        <w:t>inclusion criteria</w:t>
      </w:r>
      <w:r w:rsidR="00A37C1D">
        <w:rPr>
          <w:kern w:val="0"/>
        </w:rPr>
        <w:t>. The</w:t>
      </w:r>
      <w:r w:rsidR="003A1917">
        <w:rPr>
          <w:kern w:val="0"/>
        </w:rPr>
        <w:t xml:space="preserve"> </w:t>
      </w:r>
      <w:r>
        <w:rPr>
          <w:kern w:val="0"/>
        </w:rPr>
        <w:lastRenderedPageBreak/>
        <w:t>majority were from North America, with only 5 from Brazil. Fifty-two different instruments were identified: 42 questionnaires, 6 diaries or logs,</w:t>
      </w:r>
      <w:r w:rsidR="005853A9">
        <w:rPr>
          <w:kern w:val="0"/>
        </w:rPr>
        <w:t xml:space="preserve"> and </w:t>
      </w:r>
      <w:r>
        <w:rPr>
          <w:kern w:val="0"/>
        </w:rPr>
        <w:t xml:space="preserve">4 interviews. </w:t>
      </w:r>
      <w:r w:rsidR="00B5188C">
        <w:rPr>
          <w:kern w:val="0"/>
        </w:rPr>
        <w:t>“</w:t>
      </w:r>
      <w:r>
        <w:rPr>
          <w:kern w:val="0"/>
        </w:rPr>
        <w:t>Test-retest</w:t>
      </w:r>
      <w:r w:rsidR="00B5188C">
        <w:rPr>
          <w:kern w:val="0"/>
        </w:rPr>
        <w:t>”</w:t>
      </w:r>
      <w:r>
        <w:rPr>
          <w:kern w:val="0"/>
        </w:rPr>
        <w:t xml:space="preserve"> reliability varied from 0.20 to 0.98;</w:t>
      </w:r>
      <w:r w:rsidR="003A1917">
        <w:rPr>
          <w:kern w:val="0"/>
        </w:rPr>
        <w:t xml:space="preserve"> the </w:t>
      </w:r>
      <w:r>
        <w:rPr>
          <w:kern w:val="0"/>
        </w:rPr>
        <w:t>majority (28150)</w:t>
      </w:r>
      <w:r w:rsidR="00427468">
        <w:rPr>
          <w:kern w:val="0"/>
        </w:rPr>
        <w:t xml:space="preserve"> of </w:t>
      </w:r>
      <w:r w:rsidR="003A1917">
        <w:rPr>
          <w:kern w:val="0"/>
        </w:rPr>
        <w:t xml:space="preserve">the </w:t>
      </w:r>
      <w:r>
        <w:rPr>
          <w:kern w:val="0"/>
        </w:rPr>
        <w:t>coefficients showed values &lt; 0.70. Validity coefficients showed wide variation (-0.13 to 0.88), with</w:t>
      </w:r>
      <w:r w:rsidR="003A1917">
        <w:rPr>
          <w:kern w:val="0"/>
        </w:rPr>
        <w:t xml:space="preserve"> the </w:t>
      </w:r>
      <w:r>
        <w:rPr>
          <w:kern w:val="0"/>
        </w:rPr>
        <w:t>majority (64184) &lt;= 0.50, Only 3 instruments displayed correlations &gt;= 0.70. Various instruments were tested in adolescents, especially questionnaires</w:t>
      </w:r>
      <w:r w:rsidR="00A37C1D">
        <w:rPr>
          <w:kern w:val="0"/>
        </w:rPr>
        <w:t>. The</w:t>
      </w:r>
      <w:r>
        <w:rPr>
          <w:kern w:val="0"/>
        </w:rPr>
        <w:t xml:space="preserve">se instruments generally showed better </w:t>
      </w:r>
      <w:r w:rsidR="00B5188C">
        <w:rPr>
          <w:kern w:val="0"/>
        </w:rPr>
        <w:t>“</w:t>
      </w:r>
      <w:r>
        <w:rPr>
          <w:kern w:val="0"/>
        </w:rPr>
        <w:t>test-retest</w:t>
      </w:r>
      <w:r w:rsidR="00B5188C">
        <w:rPr>
          <w:kern w:val="0"/>
        </w:rPr>
        <w:t>”</w:t>
      </w:r>
      <w:r>
        <w:rPr>
          <w:kern w:val="0"/>
        </w:rPr>
        <w:t xml:space="preserve"> reliability than validity.</w:t>
      </w:r>
    </w:p>
    <w:p w:rsidR="00C97500" w:rsidRDefault="00C97500" w:rsidP="00C97500">
      <w:pPr>
        <w:pStyle w:val="a3"/>
        <w:rPr>
          <w:kern w:val="0"/>
        </w:rPr>
      </w:pPr>
      <w:r>
        <w:rPr>
          <w:kern w:val="0"/>
        </w:rPr>
        <w:t xml:space="preserve">Keywords: Activity Diary, Activity Questionnaire, Activity Recall, Adolescent, Adolescents, Brazil, Convergent Validity, Daily Energy-Expenditure, Databases, Doubly Labeled Water, </w:t>
      </w:r>
      <w:r w:rsidR="00D5664A">
        <w:rPr>
          <w:kern w:val="0"/>
        </w:rPr>
        <w:t>MEDLINE</w:t>
      </w:r>
      <w:r>
        <w:rPr>
          <w:kern w:val="0"/>
        </w:rPr>
        <w:t>, Methods, Middle-School Youth, Motion Sensor, Motor Activity, Older Children, Physical Activity, Questionnaires, Reliability, Reproducibility</w:t>
      </w:r>
      <w:r w:rsidR="00427468">
        <w:rPr>
          <w:kern w:val="0"/>
        </w:rPr>
        <w:t xml:space="preserve"> of </w:t>
      </w:r>
      <w:r>
        <w:rPr>
          <w:kern w:val="0"/>
        </w:rPr>
        <w:t>Results, Review, Risk Behavior Survey, Scielo, Science, Scopus, Systematic, Systematic Review, Validity, Validity</w:t>
      </w:r>
      <w:r w:rsidR="00427468">
        <w:rPr>
          <w:kern w:val="0"/>
        </w:rPr>
        <w:t xml:space="preserve"> of </w:t>
      </w:r>
      <w:r>
        <w:rPr>
          <w:kern w:val="0"/>
        </w:rPr>
        <w:t xml:space="preserve">Tests, </w:t>
      </w:r>
      <w:r w:rsidR="00D5664A">
        <w:rPr>
          <w:kern w:val="0"/>
        </w:rPr>
        <w:t>Web</w:t>
      </w:r>
      <w:r w:rsidR="00427468">
        <w:rPr>
          <w:kern w:val="0"/>
        </w:rPr>
        <w:t xml:space="preserve"> of </w:t>
      </w:r>
      <w:r w:rsidR="00D5664A">
        <w:rPr>
          <w:kern w:val="0"/>
        </w:rPr>
        <w:t>Science</w:t>
      </w:r>
    </w:p>
    <w:p w:rsidR="00E21F7D" w:rsidRDefault="00E21F7D" w:rsidP="00E21F7D">
      <w:pPr>
        <w:pStyle w:val="a3"/>
        <w:rPr>
          <w:kern w:val="0"/>
        </w:rPr>
      </w:pPr>
      <w:r>
        <w:rPr>
          <w:rFonts w:hint="eastAsia"/>
          <w:kern w:val="0"/>
        </w:rPr>
        <w:t xml:space="preserve">? </w:t>
      </w:r>
      <w:r>
        <w:rPr>
          <w:kern w:val="0"/>
        </w:rPr>
        <w:t>Celeste, R.K., Bastos, J.L.</w:t>
      </w:r>
      <w:r w:rsidR="005853A9">
        <w:rPr>
          <w:kern w:val="0"/>
        </w:rPr>
        <w:t xml:space="preserve"> and </w:t>
      </w:r>
      <w:r>
        <w:rPr>
          <w:kern w:val="0"/>
        </w:rPr>
        <w:t>Faerstein, E. (2011), Trends in</w:t>
      </w:r>
      <w:r w:rsidR="003A1917">
        <w:rPr>
          <w:kern w:val="0"/>
        </w:rPr>
        <w:t xml:space="preserve"> the </w:t>
      </w:r>
      <w:r>
        <w:rPr>
          <w:kern w:val="0"/>
        </w:rPr>
        <w:t>investigation</w:t>
      </w:r>
      <w:r w:rsidR="00427468">
        <w:rPr>
          <w:kern w:val="0"/>
        </w:rPr>
        <w:t xml:space="preserve"> of </w:t>
      </w:r>
      <w:r>
        <w:rPr>
          <w:kern w:val="0"/>
        </w:rPr>
        <w:t>social determinants</w:t>
      </w:r>
      <w:r w:rsidR="00427468">
        <w:rPr>
          <w:kern w:val="0"/>
        </w:rPr>
        <w:t xml:space="preserve"> of </w:t>
      </w:r>
      <w:r>
        <w:rPr>
          <w:kern w:val="0"/>
        </w:rPr>
        <w:t>health: Selected themes</w:t>
      </w:r>
      <w:r w:rsidR="005853A9">
        <w:rPr>
          <w:kern w:val="0"/>
        </w:rPr>
        <w:t xml:space="preserve"> and </w:t>
      </w:r>
      <w:r>
        <w:rPr>
          <w:kern w:val="0"/>
        </w:rPr>
        <w:t xml:space="preserve">methods. </w:t>
      </w:r>
      <w:proofErr w:type="gramStart"/>
      <w:r w:rsidRPr="00C73C58">
        <w:rPr>
          <w:i/>
        </w:rPr>
        <w:t>Cadernos de Saúde Pública</w:t>
      </w:r>
      <w:r>
        <w:rPr>
          <w:kern w:val="0"/>
        </w:rPr>
        <w:t xml:space="preserve">, </w:t>
      </w:r>
      <w:r>
        <w:rPr>
          <w:b/>
          <w:bCs/>
          <w:kern w:val="0"/>
        </w:rPr>
        <w:t>27</w:t>
      </w:r>
      <w:r>
        <w:rPr>
          <w:kern w:val="0"/>
        </w:rPr>
        <w:t xml:space="preserve"> (1), 183-189.</w:t>
      </w:r>
      <w:proofErr w:type="gramEnd"/>
    </w:p>
    <w:p w:rsidR="00E21F7D" w:rsidRDefault="00E21F7D" w:rsidP="00E21F7D">
      <w:pPr>
        <w:pStyle w:val="a3"/>
        <w:rPr>
          <w:kern w:val="0"/>
        </w:rPr>
      </w:pPr>
      <w:r>
        <w:rPr>
          <w:rFonts w:hint="eastAsia"/>
          <w:kern w:val="0"/>
        </w:rPr>
        <w:t xml:space="preserve">Full Text: </w:t>
      </w:r>
      <w:hyperlink r:id="rId20" w:history="1">
        <w:r w:rsidRPr="008E069A">
          <w:rPr>
            <w:rStyle w:val="a5"/>
            <w:kern w:val="0"/>
          </w:rPr>
          <w:t>2011\Cad Sau Pub27, 183.pdf</w:t>
        </w:r>
      </w:hyperlink>
    </w:p>
    <w:p w:rsidR="00E21F7D" w:rsidRDefault="00E21F7D" w:rsidP="00E21F7D">
      <w:pPr>
        <w:pStyle w:val="a3"/>
        <w:rPr>
          <w:kern w:val="0"/>
        </w:rPr>
      </w:pPr>
      <w:r>
        <w:rPr>
          <w:kern w:val="0"/>
        </w:rPr>
        <w:t>Abstract: We analyze bibliometric trends</w:t>
      </w:r>
      <w:r w:rsidR="00427468">
        <w:rPr>
          <w:kern w:val="0"/>
        </w:rPr>
        <w:t xml:space="preserve"> of </w:t>
      </w:r>
      <w:r>
        <w:rPr>
          <w:kern w:val="0"/>
        </w:rPr>
        <w:t>topics relevant to</w:t>
      </w:r>
      <w:r w:rsidR="003A1917">
        <w:rPr>
          <w:kern w:val="0"/>
        </w:rPr>
        <w:t xml:space="preserve"> the </w:t>
      </w:r>
      <w:r>
        <w:rPr>
          <w:kern w:val="0"/>
        </w:rPr>
        <w:t>epidemiologic research</w:t>
      </w:r>
      <w:r w:rsidR="00427468">
        <w:rPr>
          <w:kern w:val="0"/>
        </w:rPr>
        <w:t xml:space="preserve"> of </w:t>
      </w:r>
      <w:r>
        <w:rPr>
          <w:kern w:val="0"/>
        </w:rPr>
        <w:t>social determinants</w:t>
      </w:r>
      <w:r w:rsidR="00427468">
        <w:rPr>
          <w:kern w:val="0"/>
        </w:rPr>
        <w:t xml:space="preserve"> of </w:t>
      </w:r>
      <w:r>
        <w:rPr>
          <w:kern w:val="0"/>
        </w:rPr>
        <w:t>health. A search</w:t>
      </w:r>
      <w:r w:rsidR="00427468">
        <w:rPr>
          <w:kern w:val="0"/>
        </w:rPr>
        <w:t xml:space="preserve"> of </w:t>
      </w:r>
      <w:r w:rsidR="003A1917">
        <w:rPr>
          <w:kern w:val="0"/>
        </w:rPr>
        <w:t xml:space="preserve">the </w:t>
      </w:r>
      <w:r w:rsidR="002C12F0">
        <w:rPr>
          <w:kern w:val="0"/>
        </w:rPr>
        <w:t>PUBMED</w:t>
      </w:r>
      <w:r>
        <w:rPr>
          <w:kern w:val="0"/>
        </w:rPr>
        <w:t xml:space="preserve"> database, covering</w:t>
      </w:r>
      <w:r w:rsidR="003A1917">
        <w:rPr>
          <w:kern w:val="0"/>
        </w:rPr>
        <w:t xml:space="preserve"> the </w:t>
      </w:r>
      <w:r>
        <w:rPr>
          <w:kern w:val="0"/>
        </w:rPr>
        <w:t>period 1985-2007, was performed for</w:t>
      </w:r>
      <w:r w:rsidR="003A1917">
        <w:rPr>
          <w:kern w:val="0"/>
        </w:rPr>
        <w:t xml:space="preserve"> the </w:t>
      </w:r>
      <w:r>
        <w:rPr>
          <w:kern w:val="0"/>
        </w:rPr>
        <w:t>topics: socioeconomic factors, sex, race/ethnicity, discrimination/prejudice, social capital/support, lifecourse, income inequality, stress, behavioral research, contextual effects, residential segregation, multilevel modeling, regression based indices to measure inequalities,</w:t>
      </w:r>
      <w:r w:rsidR="005853A9">
        <w:rPr>
          <w:kern w:val="0"/>
        </w:rPr>
        <w:t xml:space="preserve"> and </w:t>
      </w:r>
      <w:r>
        <w:rPr>
          <w:kern w:val="0"/>
        </w:rPr>
        <w:t>structural equation modeling/ca</w:t>
      </w:r>
      <w:r w:rsidR="00D5664A">
        <w:rPr>
          <w:kern w:val="0"/>
        </w:rPr>
        <w:t>USA</w:t>
      </w:r>
      <w:r>
        <w:rPr>
          <w:kern w:val="0"/>
        </w:rPr>
        <w:t>l diagrams/path analysis</w:t>
      </w:r>
      <w:r w:rsidR="00A37C1D">
        <w:rPr>
          <w:kern w:val="0"/>
        </w:rPr>
        <w:t>. The</w:t>
      </w:r>
      <w:r w:rsidR="003A1917">
        <w:rPr>
          <w:kern w:val="0"/>
        </w:rPr>
        <w:t xml:space="preserve"> </w:t>
      </w:r>
      <w:r>
        <w:rPr>
          <w:kern w:val="0"/>
        </w:rPr>
        <w:t>absolute, but not</w:t>
      </w:r>
      <w:r w:rsidR="003A1917">
        <w:rPr>
          <w:kern w:val="0"/>
        </w:rPr>
        <w:t xml:space="preserve"> the </w:t>
      </w:r>
      <w:r>
        <w:rPr>
          <w:kern w:val="0"/>
        </w:rPr>
        <w:t>relative, frequency</w:t>
      </w:r>
      <w:r w:rsidR="00427468">
        <w:rPr>
          <w:kern w:val="0"/>
        </w:rPr>
        <w:t xml:space="preserve"> of </w:t>
      </w:r>
      <w:r>
        <w:rPr>
          <w:kern w:val="0"/>
        </w:rPr>
        <w:t xml:space="preserve">publications increased for all themes. Total publications in </w:t>
      </w:r>
      <w:r w:rsidR="002C12F0">
        <w:rPr>
          <w:kern w:val="0"/>
        </w:rPr>
        <w:t>PUBMED</w:t>
      </w:r>
      <w:r>
        <w:rPr>
          <w:kern w:val="0"/>
        </w:rPr>
        <w:t xml:space="preserve"> increased 2.3 times, while</w:t>
      </w:r>
      <w:r w:rsidR="003A1917">
        <w:rPr>
          <w:kern w:val="0"/>
        </w:rPr>
        <w:t xml:space="preserve"> the </w:t>
      </w:r>
      <w:r>
        <w:rPr>
          <w:kern w:val="0"/>
        </w:rPr>
        <w:t>subsets</w:t>
      </w:r>
      <w:r w:rsidR="00427468">
        <w:rPr>
          <w:kern w:val="0"/>
        </w:rPr>
        <w:t xml:space="preserve"> of </w:t>
      </w:r>
      <w:r>
        <w:rPr>
          <w:kern w:val="0"/>
        </w:rPr>
        <w:t>epidemiology/public health</w:t>
      </w:r>
      <w:r w:rsidR="005853A9">
        <w:rPr>
          <w:kern w:val="0"/>
        </w:rPr>
        <w:t xml:space="preserve"> and </w:t>
      </w:r>
      <w:r>
        <w:rPr>
          <w:kern w:val="0"/>
        </w:rPr>
        <w:t>social epidemiologic themes/methods increased by factors</w:t>
      </w:r>
      <w:r w:rsidR="00427468">
        <w:rPr>
          <w:kern w:val="0"/>
        </w:rPr>
        <w:t xml:space="preserve"> of </w:t>
      </w:r>
      <w:r>
        <w:rPr>
          <w:kern w:val="0"/>
        </w:rPr>
        <w:t>5.3</w:t>
      </w:r>
      <w:r w:rsidR="005853A9">
        <w:rPr>
          <w:kern w:val="0"/>
        </w:rPr>
        <w:t xml:space="preserve"> and </w:t>
      </w:r>
      <w:r>
        <w:rPr>
          <w:kern w:val="0"/>
        </w:rPr>
        <w:t>5.2, respectively. Only multilevel</w:t>
      </w:r>
      <w:r w:rsidR="005853A9">
        <w:rPr>
          <w:kern w:val="0"/>
        </w:rPr>
        <w:t xml:space="preserve"> and </w:t>
      </w:r>
      <w:r>
        <w:rPr>
          <w:kern w:val="0"/>
        </w:rPr>
        <w:t>contextual analyses had a growth over</w:t>
      </w:r>
      <w:r w:rsidR="005853A9">
        <w:rPr>
          <w:kern w:val="0"/>
        </w:rPr>
        <w:t xml:space="preserve"> and </w:t>
      </w:r>
      <w:r>
        <w:rPr>
          <w:kern w:val="0"/>
        </w:rPr>
        <w:t>above that observed for epidemiology/public health. We conclude that there is clearly room for wider use</w:t>
      </w:r>
      <w:r w:rsidR="00427468">
        <w:rPr>
          <w:kern w:val="0"/>
        </w:rPr>
        <w:t xml:space="preserve"> of </w:t>
      </w:r>
      <w:r>
        <w:rPr>
          <w:kern w:val="0"/>
        </w:rPr>
        <w:t>established techniques,</w:t>
      </w:r>
      <w:r w:rsidR="005853A9">
        <w:rPr>
          <w:kern w:val="0"/>
        </w:rPr>
        <w:t xml:space="preserve"> and </w:t>
      </w:r>
      <w:r>
        <w:rPr>
          <w:kern w:val="0"/>
        </w:rPr>
        <w:t>for new methods to emerge when they satisfy theoretical needs.</w:t>
      </w:r>
    </w:p>
    <w:p w:rsidR="00E21F7D" w:rsidRDefault="00E21F7D" w:rsidP="00E21F7D">
      <w:pPr>
        <w:pStyle w:val="a3"/>
        <w:rPr>
          <w:kern w:val="0"/>
        </w:rPr>
      </w:pPr>
      <w:r>
        <w:rPr>
          <w:kern w:val="0"/>
        </w:rPr>
        <w:t>Keywords: Analyses, Analysis, Bibliometric, Database, Determinants</w:t>
      </w:r>
      <w:r w:rsidR="00427468">
        <w:rPr>
          <w:kern w:val="0"/>
        </w:rPr>
        <w:t xml:space="preserve"> of </w:t>
      </w:r>
      <w:r>
        <w:rPr>
          <w:kern w:val="0"/>
        </w:rPr>
        <w:t xml:space="preserve">Health, Diet Surveys, Epidemiologic Methods, Food Consumption, Growth, Health, Indices, Inequalities, Inequality, Investigation, Measure, Methods, Modeling, Needs, Publications, </w:t>
      </w:r>
      <w:r w:rsidR="002C12F0">
        <w:rPr>
          <w:kern w:val="0"/>
        </w:rPr>
        <w:t>PUBMED</w:t>
      </w:r>
      <w:r>
        <w:rPr>
          <w:kern w:val="0"/>
        </w:rPr>
        <w:t>, Regression, Research, Residential, Sex, Social, Socioeconomic Factors, Stress, Techniques, Trends</w:t>
      </w:r>
    </w:p>
    <w:p w:rsidR="00A835C9" w:rsidRDefault="00A835C9" w:rsidP="00A835C9">
      <w:pPr>
        <w:pStyle w:val="a3"/>
        <w:rPr>
          <w:kern w:val="0"/>
        </w:rPr>
      </w:pPr>
      <w:r>
        <w:rPr>
          <w:rFonts w:hint="eastAsia"/>
          <w:kern w:val="0"/>
        </w:rPr>
        <w:t xml:space="preserve">? </w:t>
      </w:r>
      <w:proofErr w:type="gramStart"/>
      <w:r>
        <w:rPr>
          <w:kern w:val="0"/>
        </w:rPr>
        <w:t>de</w:t>
      </w:r>
      <w:proofErr w:type="gramEnd"/>
      <w:r>
        <w:rPr>
          <w:kern w:val="0"/>
        </w:rPr>
        <w:t xml:space="preserve"> Camargo, K.R. (2013), Scientific output: Quality assessment or an accountant</w:t>
      </w:r>
      <w:r w:rsidR="0071223E">
        <w:rPr>
          <w:kern w:val="0"/>
        </w:rPr>
        <w:t>’</w:t>
      </w:r>
      <w:r>
        <w:rPr>
          <w:kern w:val="0"/>
        </w:rPr>
        <w:t xml:space="preserve">s tale? </w:t>
      </w:r>
      <w:proofErr w:type="gramStart"/>
      <w:r>
        <w:rPr>
          <w:i/>
          <w:iCs/>
          <w:kern w:val="0"/>
        </w:rPr>
        <w:t>Cadernos de Saude Publica</w:t>
      </w:r>
      <w:r>
        <w:rPr>
          <w:kern w:val="0"/>
        </w:rPr>
        <w:t xml:space="preserve">, </w:t>
      </w:r>
      <w:r>
        <w:rPr>
          <w:b/>
          <w:bCs/>
          <w:kern w:val="0"/>
        </w:rPr>
        <w:t>29</w:t>
      </w:r>
      <w:r>
        <w:rPr>
          <w:kern w:val="0"/>
        </w:rPr>
        <w:t xml:space="preserve"> (9), 1707-1711.</w:t>
      </w:r>
      <w:proofErr w:type="gramEnd"/>
    </w:p>
    <w:p w:rsidR="00A835C9" w:rsidRDefault="00A835C9" w:rsidP="00A835C9">
      <w:pPr>
        <w:pStyle w:val="a3"/>
        <w:rPr>
          <w:kern w:val="0"/>
        </w:rPr>
      </w:pPr>
      <w:r>
        <w:rPr>
          <w:rFonts w:hint="eastAsia"/>
          <w:kern w:val="0"/>
        </w:rPr>
        <w:lastRenderedPageBreak/>
        <w:t xml:space="preserve">Full Text: </w:t>
      </w:r>
      <w:r w:rsidRPr="00251A6F">
        <w:rPr>
          <w:kern w:val="0"/>
        </w:rPr>
        <w:t>201</w:t>
      </w:r>
      <w:r>
        <w:rPr>
          <w:rFonts w:hint="eastAsia"/>
          <w:kern w:val="0"/>
        </w:rPr>
        <w:t>3</w:t>
      </w:r>
      <w:r w:rsidRPr="00251A6F">
        <w:rPr>
          <w:kern w:val="0"/>
        </w:rPr>
        <w:t>\Cad Sau Pub2</w:t>
      </w:r>
      <w:r>
        <w:rPr>
          <w:rFonts w:hint="eastAsia"/>
          <w:kern w:val="0"/>
        </w:rPr>
        <w:t>9</w:t>
      </w:r>
      <w:r w:rsidRPr="00251A6F">
        <w:rPr>
          <w:kern w:val="0"/>
        </w:rPr>
        <w:t>, 1</w:t>
      </w:r>
      <w:r>
        <w:rPr>
          <w:rFonts w:hint="eastAsia"/>
          <w:kern w:val="0"/>
        </w:rPr>
        <w:t>707</w:t>
      </w:r>
      <w:r w:rsidRPr="00251A6F">
        <w:rPr>
          <w:kern w:val="0"/>
        </w:rPr>
        <w:t>.pdf</w:t>
      </w:r>
    </w:p>
    <w:p w:rsidR="00A835C9" w:rsidRDefault="00A835C9" w:rsidP="00A835C9">
      <w:pPr>
        <w:pStyle w:val="a3"/>
        <w:rPr>
          <w:kern w:val="0"/>
        </w:rPr>
      </w:pPr>
      <w:r>
        <w:rPr>
          <w:kern w:val="0"/>
        </w:rPr>
        <w:t>Abstract: Quality assessment</w:t>
      </w:r>
      <w:r w:rsidR="00427468">
        <w:rPr>
          <w:kern w:val="0"/>
        </w:rPr>
        <w:t xml:space="preserve"> of </w:t>
      </w:r>
      <w:r>
        <w:rPr>
          <w:kern w:val="0"/>
        </w:rPr>
        <w:t>scientific output is based extensively (if not exclusively) on quantitative bibliometric indicators, despite mounting criticism</w:t>
      </w:r>
      <w:r w:rsidR="00A37C1D">
        <w:rPr>
          <w:kern w:val="0"/>
        </w:rPr>
        <w:t>. The</w:t>
      </w:r>
      <w:r>
        <w:rPr>
          <w:kern w:val="0"/>
        </w:rPr>
        <w:t xml:space="preserve"> reaction by the academic community has increased in recent years. After presenting a critical evaluation</w:t>
      </w:r>
      <w:r w:rsidR="00427468">
        <w:rPr>
          <w:kern w:val="0"/>
        </w:rPr>
        <w:t xml:space="preserve"> of </w:t>
      </w:r>
      <w:r>
        <w:rPr>
          <w:kern w:val="0"/>
        </w:rPr>
        <w:t>this model, the article presents an alternative qualitative model oriented towards removing the excessive stimulus for the unbridled production</w:t>
      </w:r>
      <w:r w:rsidR="00427468">
        <w:rPr>
          <w:kern w:val="0"/>
        </w:rPr>
        <w:t xml:space="preserve"> of </w:t>
      </w:r>
      <w:r>
        <w:rPr>
          <w:kern w:val="0"/>
        </w:rPr>
        <w:t>articles that make a dubious contribution to science. Criticism</w:t>
      </w:r>
      <w:r w:rsidR="00427468">
        <w:rPr>
          <w:kern w:val="0"/>
        </w:rPr>
        <w:t xml:space="preserve"> of </w:t>
      </w:r>
      <w:r>
        <w:rPr>
          <w:kern w:val="0"/>
        </w:rPr>
        <w:t>the proposed model is presented</w:t>
      </w:r>
      <w:r w:rsidR="005853A9">
        <w:rPr>
          <w:kern w:val="0"/>
        </w:rPr>
        <w:t xml:space="preserve"> and </w:t>
      </w:r>
      <w:r>
        <w:rPr>
          <w:kern w:val="0"/>
        </w:rPr>
        <w:t>discussed.</w:t>
      </w:r>
    </w:p>
    <w:p w:rsidR="00A835C9" w:rsidRDefault="00A835C9" w:rsidP="00A835C9">
      <w:pPr>
        <w:pStyle w:val="a3"/>
        <w:rPr>
          <w:kern w:val="0"/>
        </w:rPr>
      </w:pPr>
      <w:r>
        <w:rPr>
          <w:kern w:val="0"/>
        </w:rPr>
        <w:t>Keywords: Alternative, Assessment, Bibliometric, Bibliometric Indicators, Community, Criticism, Evaluation, Evaluation</w:t>
      </w:r>
      <w:r w:rsidR="00427468">
        <w:rPr>
          <w:kern w:val="0"/>
        </w:rPr>
        <w:t xml:space="preserve"> of </w:t>
      </w:r>
      <w:r>
        <w:rPr>
          <w:kern w:val="0"/>
        </w:rPr>
        <w:t>Research Programs</w:t>
      </w:r>
      <w:r w:rsidR="005853A9">
        <w:rPr>
          <w:kern w:val="0"/>
        </w:rPr>
        <w:t xml:space="preserve"> and </w:t>
      </w:r>
      <w:r>
        <w:rPr>
          <w:kern w:val="0"/>
        </w:rPr>
        <w:t>Tools, Indicators, Model, Publications, Qualitative, Quality, Quality Assessment, Recent, Researcher Performance Evaluation Systems, Science, Scientific Output, Scientific Publication Indicators, Systems For Evaluation</w:t>
      </w:r>
      <w:r w:rsidR="00427468">
        <w:rPr>
          <w:kern w:val="0"/>
        </w:rPr>
        <w:t xml:space="preserve"> of </w:t>
      </w:r>
      <w:r>
        <w:rPr>
          <w:kern w:val="0"/>
        </w:rPr>
        <w:t>Publications</w:t>
      </w:r>
    </w:p>
    <w:p w:rsidR="00985D5A" w:rsidRPr="001A3D2B" w:rsidRDefault="00985D5A" w:rsidP="00985D5A">
      <w:pPr>
        <w:pStyle w:val="1"/>
      </w:pPr>
      <w:r w:rsidRPr="001A3D2B">
        <w:br w:type="page"/>
      </w:r>
      <w:bookmarkStart w:id="7" w:name="_Toc420814865"/>
      <w:r w:rsidRPr="001A3D2B">
        <w:lastRenderedPageBreak/>
        <w:t xml:space="preserve">Title: </w:t>
      </w:r>
      <w:r w:rsidRPr="000116B5">
        <w:t>Cahiers Agricultures</w:t>
      </w:r>
      <w:bookmarkEnd w:id="7"/>
    </w:p>
    <w:p w:rsidR="00985D5A" w:rsidRPr="001A3D2B" w:rsidRDefault="00985D5A" w:rsidP="00985D5A">
      <w:pPr>
        <w:pStyle w:val="12"/>
      </w:pPr>
      <w:r w:rsidRPr="001A3D2B">
        <w:t xml:space="preserve">Full Journal Title: </w:t>
      </w:r>
      <w:r w:rsidRPr="000116B5">
        <w:rPr>
          <w:iCs/>
          <w:kern w:val="0"/>
        </w:rPr>
        <w:t>Cahiers Agricultures</w:t>
      </w:r>
    </w:p>
    <w:p w:rsidR="00985D5A" w:rsidRPr="001A3D2B" w:rsidRDefault="00985D5A" w:rsidP="00985D5A">
      <w:pPr>
        <w:pStyle w:val="12"/>
      </w:pPr>
      <w:r w:rsidRPr="001A3D2B">
        <w:t xml:space="preserve">ISO Abbreviated Title: </w:t>
      </w:r>
    </w:p>
    <w:p w:rsidR="00985D5A" w:rsidRPr="001A3D2B" w:rsidRDefault="00985D5A" w:rsidP="00985D5A">
      <w:pPr>
        <w:pStyle w:val="12"/>
      </w:pPr>
      <w:r w:rsidRPr="001A3D2B">
        <w:t xml:space="preserve">JCR Abbreviated Title: </w:t>
      </w:r>
    </w:p>
    <w:p w:rsidR="00985D5A" w:rsidRPr="001A3D2B" w:rsidRDefault="00985D5A" w:rsidP="00985D5A">
      <w:pPr>
        <w:pStyle w:val="12"/>
      </w:pPr>
      <w:r w:rsidRPr="001A3D2B">
        <w:t xml:space="preserve">ISSN: </w:t>
      </w:r>
    </w:p>
    <w:p w:rsidR="00985D5A" w:rsidRPr="001A3D2B" w:rsidRDefault="00985D5A" w:rsidP="00985D5A">
      <w:pPr>
        <w:pStyle w:val="12"/>
      </w:pPr>
      <w:r w:rsidRPr="001A3D2B">
        <w:t xml:space="preserve">Issues/Year: </w:t>
      </w:r>
    </w:p>
    <w:p w:rsidR="00985D5A" w:rsidRPr="001A3D2B" w:rsidRDefault="00985D5A" w:rsidP="00985D5A">
      <w:pPr>
        <w:pStyle w:val="12"/>
      </w:pPr>
      <w:r w:rsidRPr="001A3D2B">
        <w:t xml:space="preserve">Journal Country/Territory: </w:t>
      </w:r>
    </w:p>
    <w:p w:rsidR="00985D5A" w:rsidRPr="001A3D2B" w:rsidRDefault="00985D5A" w:rsidP="00985D5A">
      <w:pPr>
        <w:pStyle w:val="12"/>
      </w:pPr>
      <w:r w:rsidRPr="001A3D2B">
        <w:t xml:space="preserve">Language: </w:t>
      </w:r>
    </w:p>
    <w:p w:rsidR="00985D5A" w:rsidRPr="001A3D2B" w:rsidRDefault="00985D5A" w:rsidP="00985D5A">
      <w:pPr>
        <w:pStyle w:val="12"/>
      </w:pPr>
      <w:r w:rsidRPr="001A3D2B">
        <w:t xml:space="preserve">Publisher: </w:t>
      </w:r>
    </w:p>
    <w:p w:rsidR="00985D5A" w:rsidRPr="001A3D2B" w:rsidRDefault="00985D5A" w:rsidP="00985D5A">
      <w:pPr>
        <w:pStyle w:val="12"/>
      </w:pPr>
      <w:r w:rsidRPr="001A3D2B">
        <w:t xml:space="preserve">Publisher Address: </w:t>
      </w:r>
    </w:p>
    <w:p w:rsidR="00985D5A" w:rsidRPr="001A3D2B" w:rsidRDefault="00985D5A" w:rsidP="00985D5A">
      <w:pPr>
        <w:pStyle w:val="12"/>
      </w:pPr>
      <w:r w:rsidRPr="001A3D2B">
        <w:t>Subject Categories:</w:t>
      </w:r>
    </w:p>
    <w:p w:rsidR="00985D5A" w:rsidRPr="001A3D2B" w:rsidRDefault="00985D5A" w:rsidP="00985D5A">
      <w:pPr>
        <w:pStyle w:val="12"/>
      </w:pPr>
      <w:r w:rsidRPr="001A3D2B">
        <w:t xml:space="preserve">: Impact Factor </w:t>
      </w:r>
    </w:p>
    <w:p w:rsidR="00985D5A" w:rsidRDefault="00985D5A" w:rsidP="00985D5A">
      <w:pPr>
        <w:pStyle w:val="a3"/>
        <w:rPr>
          <w:kern w:val="0"/>
        </w:rPr>
      </w:pPr>
      <w:r>
        <w:rPr>
          <w:rFonts w:hint="eastAsia"/>
          <w:kern w:val="0"/>
        </w:rPr>
        <w:t xml:space="preserve">? </w:t>
      </w:r>
      <w:r>
        <w:rPr>
          <w:kern w:val="0"/>
        </w:rPr>
        <w:t>Duchamp, M.C.</w:t>
      </w:r>
      <w:r w:rsidR="005853A9">
        <w:rPr>
          <w:kern w:val="0"/>
        </w:rPr>
        <w:t xml:space="preserve"> and </w:t>
      </w:r>
      <w:r>
        <w:rPr>
          <w:kern w:val="0"/>
        </w:rPr>
        <w:t xml:space="preserve">Silvy, C. (2012), </w:t>
      </w:r>
      <w:r>
        <w:rPr>
          <w:i/>
          <w:iCs/>
          <w:kern w:val="0"/>
        </w:rPr>
        <w:t>Cahiers Agricultures</w:t>
      </w:r>
      <w:r>
        <w:rPr>
          <w:kern w:val="0"/>
        </w:rPr>
        <w:t>: Visibility</w:t>
      </w:r>
      <w:r w:rsidR="005853A9">
        <w:rPr>
          <w:kern w:val="0"/>
        </w:rPr>
        <w:t xml:space="preserve"> and </w:t>
      </w:r>
      <w:r>
        <w:rPr>
          <w:kern w:val="0"/>
        </w:rPr>
        <w:t xml:space="preserve">scientific reputation. </w:t>
      </w:r>
      <w:r w:rsidRPr="000116B5">
        <w:rPr>
          <w:i/>
          <w:iCs/>
          <w:kern w:val="0"/>
        </w:rPr>
        <w:t>Cahiers Agricultures</w:t>
      </w:r>
      <w:r>
        <w:rPr>
          <w:kern w:val="0"/>
        </w:rPr>
        <w:t xml:space="preserve">, </w:t>
      </w:r>
      <w:r>
        <w:rPr>
          <w:b/>
          <w:bCs/>
          <w:kern w:val="0"/>
        </w:rPr>
        <w:t>21</w:t>
      </w:r>
      <w:r>
        <w:rPr>
          <w:kern w:val="0"/>
        </w:rPr>
        <w:t xml:space="preserve"> (4), 269-278.</w:t>
      </w:r>
    </w:p>
    <w:p w:rsidR="001035C6" w:rsidRDefault="001035C6" w:rsidP="001035C6">
      <w:pPr>
        <w:pStyle w:val="a3"/>
        <w:rPr>
          <w:kern w:val="0"/>
        </w:rPr>
      </w:pPr>
      <w:r>
        <w:rPr>
          <w:rFonts w:hint="eastAsia"/>
          <w:kern w:val="0"/>
        </w:rPr>
        <w:t xml:space="preserve">Full Text: </w:t>
      </w:r>
      <w:hyperlink r:id="rId21" w:history="1">
        <w:r w:rsidRPr="00FF48D3">
          <w:rPr>
            <w:rStyle w:val="a5"/>
            <w:kern w:val="0"/>
          </w:rPr>
          <w:t>2012\Cah Agr21, 269.pdf</w:t>
        </w:r>
      </w:hyperlink>
    </w:p>
    <w:p w:rsidR="00985D5A" w:rsidRDefault="00985D5A" w:rsidP="00985D5A">
      <w:pPr>
        <w:pStyle w:val="a3"/>
        <w:rPr>
          <w:kern w:val="0"/>
        </w:rPr>
      </w:pPr>
      <w:r>
        <w:rPr>
          <w:kern w:val="0"/>
        </w:rPr>
        <w:t>Abstract: Cahiers Agricultures is an international scientific journal. It publishes articles on agronomic research</w:t>
      </w:r>
      <w:r w:rsidR="005853A9">
        <w:rPr>
          <w:kern w:val="0"/>
        </w:rPr>
        <w:t xml:space="preserve"> and </w:t>
      </w:r>
      <w:r>
        <w:rPr>
          <w:kern w:val="0"/>
        </w:rPr>
        <w:t>also includes human</w:t>
      </w:r>
      <w:r w:rsidR="005853A9">
        <w:rPr>
          <w:kern w:val="0"/>
        </w:rPr>
        <w:t xml:space="preserve"> and </w:t>
      </w:r>
      <w:r>
        <w:rPr>
          <w:kern w:val="0"/>
        </w:rPr>
        <w:t>social sciences in</w:t>
      </w:r>
      <w:r w:rsidR="003A1917">
        <w:rPr>
          <w:kern w:val="0"/>
        </w:rPr>
        <w:t xml:space="preserve"> the </w:t>
      </w:r>
      <w:r>
        <w:rPr>
          <w:kern w:val="0"/>
        </w:rPr>
        <w:t>field</w:t>
      </w:r>
      <w:r w:rsidR="00427468">
        <w:rPr>
          <w:kern w:val="0"/>
        </w:rPr>
        <w:t xml:space="preserve"> of </w:t>
      </w:r>
      <w:r>
        <w:rPr>
          <w:kern w:val="0"/>
        </w:rPr>
        <w:t>rural development. It is well referenced in international databases</w:t>
      </w:r>
      <w:r w:rsidR="005853A9">
        <w:rPr>
          <w:kern w:val="0"/>
        </w:rPr>
        <w:t xml:space="preserve"> and </w:t>
      </w:r>
      <w:r>
        <w:rPr>
          <w:kern w:val="0"/>
        </w:rPr>
        <w:t>has been indexed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(WoS) since 2006. This database, associated with</w:t>
      </w:r>
      <w:r w:rsidR="003A1917">
        <w:rPr>
          <w:kern w:val="0"/>
        </w:rPr>
        <w:t xml:space="preserve"> the </w:t>
      </w:r>
      <w:r>
        <w:rPr>
          <w:kern w:val="0"/>
        </w:rPr>
        <w:t>Journal Citation Reports (R) (JCR), can be used to develop bibliometric indicators for journals derived from</w:t>
      </w:r>
      <w:r w:rsidR="003A1917">
        <w:rPr>
          <w:kern w:val="0"/>
        </w:rPr>
        <w:t xml:space="preserve"> the </w:t>
      </w:r>
      <w:r>
        <w:rPr>
          <w:kern w:val="0"/>
        </w:rPr>
        <w:t>citation analysis</w:t>
      </w:r>
      <w:r w:rsidR="00A37C1D">
        <w:rPr>
          <w:kern w:val="0"/>
        </w:rPr>
        <w:t>. The</w:t>
      </w:r>
      <w:r w:rsidR="003A1917">
        <w:rPr>
          <w:kern w:val="0"/>
        </w:rPr>
        <w:t xml:space="preserve"> </w:t>
      </w:r>
      <w:r>
        <w:rPr>
          <w:kern w:val="0"/>
        </w:rPr>
        <w:t>article presents</w:t>
      </w:r>
      <w:r w:rsidR="003A1917">
        <w:rPr>
          <w:kern w:val="0"/>
        </w:rPr>
        <w:t xml:space="preserve"> the </w:t>
      </w:r>
      <w:r>
        <w:rPr>
          <w:kern w:val="0"/>
        </w:rPr>
        <w:t>indicators for Cahiers Agricultures, as well as other analyses, so that</w:t>
      </w:r>
      <w:r w:rsidR="003A1917">
        <w:rPr>
          <w:kern w:val="0"/>
        </w:rPr>
        <w:t xml:space="preserve"> the </w:t>
      </w:r>
      <w:r>
        <w:rPr>
          <w:kern w:val="0"/>
        </w:rPr>
        <w:t>journal</w:t>
      </w:r>
      <w:r w:rsidR="0071223E">
        <w:rPr>
          <w:kern w:val="0"/>
        </w:rPr>
        <w:t>’</w:t>
      </w:r>
      <w:r>
        <w:rPr>
          <w:kern w:val="0"/>
        </w:rPr>
        <w:t>s readers</w:t>
      </w:r>
      <w:r w:rsidR="005853A9">
        <w:rPr>
          <w:kern w:val="0"/>
        </w:rPr>
        <w:t xml:space="preserve"> and </w:t>
      </w:r>
      <w:r>
        <w:rPr>
          <w:kern w:val="0"/>
        </w:rPr>
        <w:t>authors know where it ranks among</w:t>
      </w:r>
      <w:r w:rsidR="003A1917">
        <w:rPr>
          <w:kern w:val="0"/>
        </w:rPr>
        <w:t xml:space="preserve"> the </w:t>
      </w:r>
      <w:r>
        <w:rPr>
          <w:kern w:val="0"/>
        </w:rPr>
        <w:t>journals with an impact factor in</w:t>
      </w:r>
      <w:r w:rsidR="003A1917">
        <w:rPr>
          <w:kern w:val="0"/>
        </w:rPr>
        <w:t xml:space="preserve"> the </w:t>
      </w:r>
      <w:r>
        <w:rPr>
          <w:kern w:val="0"/>
        </w:rPr>
        <w:t>same scientific field. Two types</w:t>
      </w:r>
      <w:r w:rsidR="00427468">
        <w:rPr>
          <w:kern w:val="0"/>
        </w:rPr>
        <w:t xml:space="preserve"> of </w:t>
      </w:r>
      <w:r>
        <w:rPr>
          <w:kern w:val="0"/>
        </w:rPr>
        <w:t>results are presented</w:t>
      </w:r>
      <w:r w:rsidR="00A37C1D">
        <w:rPr>
          <w:kern w:val="0"/>
        </w:rPr>
        <w:t>. The</w:t>
      </w:r>
      <w:r w:rsidR="003A1917">
        <w:rPr>
          <w:kern w:val="0"/>
        </w:rPr>
        <w:t xml:space="preserve"> </w:t>
      </w:r>
      <w:r>
        <w:rPr>
          <w:kern w:val="0"/>
        </w:rPr>
        <w:t>production indicators show how</w:t>
      </w:r>
      <w:r w:rsidR="003A1917">
        <w:rPr>
          <w:kern w:val="0"/>
        </w:rPr>
        <w:t xml:space="preserve"> the </w:t>
      </w:r>
      <w:r>
        <w:rPr>
          <w:kern w:val="0"/>
        </w:rPr>
        <w:t>journal is referenced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An analysis</w:t>
      </w:r>
      <w:r w:rsidR="00427468">
        <w:rPr>
          <w:kern w:val="0"/>
        </w:rPr>
        <w:t xml:space="preserve"> of </w:t>
      </w:r>
      <w:r w:rsidR="003A1917">
        <w:rPr>
          <w:kern w:val="0"/>
        </w:rPr>
        <w:t xml:space="preserve">the </w:t>
      </w:r>
      <w:r>
        <w:rPr>
          <w:kern w:val="0"/>
        </w:rPr>
        <w:t>authors</w:t>
      </w:r>
      <w:r w:rsidR="0071223E">
        <w:rPr>
          <w:kern w:val="0"/>
        </w:rPr>
        <w:t>’</w:t>
      </w:r>
      <w:r>
        <w:rPr>
          <w:kern w:val="0"/>
        </w:rPr>
        <w:t xml:space="preserve"> affiliations shows that there is a great deal</w:t>
      </w:r>
      <w:r w:rsidR="00427468">
        <w:rPr>
          <w:kern w:val="0"/>
        </w:rPr>
        <w:t xml:space="preserve"> of </w:t>
      </w:r>
      <w:r>
        <w:rPr>
          <w:kern w:val="0"/>
        </w:rPr>
        <w:t>collaboration between research organisations from</w:t>
      </w:r>
      <w:r w:rsidR="003A1917">
        <w:rPr>
          <w:kern w:val="0"/>
        </w:rPr>
        <w:t xml:space="preserve"> the </w:t>
      </w:r>
      <w:r>
        <w:rPr>
          <w:kern w:val="0"/>
        </w:rPr>
        <w:t>North</w:t>
      </w:r>
      <w:r w:rsidR="005853A9">
        <w:rPr>
          <w:kern w:val="0"/>
        </w:rPr>
        <w:t xml:space="preserve"> and </w:t>
      </w:r>
      <w:r w:rsidR="003A1917">
        <w:rPr>
          <w:kern w:val="0"/>
        </w:rPr>
        <w:t xml:space="preserve">the </w:t>
      </w:r>
      <w:r>
        <w:rPr>
          <w:kern w:val="0"/>
        </w:rPr>
        <w:t>South</w:t>
      </w:r>
      <w:r w:rsidR="00A37C1D">
        <w:rPr>
          <w:kern w:val="0"/>
        </w:rPr>
        <w:t>. The</w:t>
      </w:r>
      <w:r w:rsidR="003A1917">
        <w:rPr>
          <w:kern w:val="0"/>
        </w:rPr>
        <w:t xml:space="preserve"> </w:t>
      </w:r>
      <w:r>
        <w:rPr>
          <w:kern w:val="0"/>
        </w:rPr>
        <w:t>indicators for visibility</w:t>
      </w:r>
      <w:r w:rsidR="005853A9">
        <w:rPr>
          <w:kern w:val="0"/>
        </w:rPr>
        <w:t xml:space="preserve"> and </w:t>
      </w:r>
      <w:r>
        <w:rPr>
          <w:kern w:val="0"/>
        </w:rPr>
        <w:t>impact, which are derived from an analysis</w:t>
      </w:r>
      <w:r w:rsidR="00427468">
        <w:rPr>
          <w:kern w:val="0"/>
        </w:rPr>
        <w:t xml:space="preserve"> of </w:t>
      </w:r>
      <w:r>
        <w:rPr>
          <w:kern w:val="0"/>
        </w:rPr>
        <w:t>citations received for</w:t>
      </w:r>
      <w:r w:rsidR="003A1917">
        <w:rPr>
          <w:kern w:val="0"/>
        </w:rPr>
        <w:t xml:space="preserve"> the </w:t>
      </w:r>
      <w:r>
        <w:rPr>
          <w:kern w:val="0"/>
        </w:rPr>
        <w:t>articles in Cahiers Agricultures, provide an overview</w:t>
      </w:r>
      <w:r w:rsidR="00427468">
        <w:rPr>
          <w:kern w:val="0"/>
        </w:rPr>
        <w:t xml:space="preserve"> of </w:t>
      </w:r>
      <w:r w:rsidR="003A1917">
        <w:rPr>
          <w:kern w:val="0"/>
        </w:rPr>
        <w:t xml:space="preserve">the </w:t>
      </w:r>
      <w:r>
        <w:rPr>
          <w:kern w:val="0"/>
        </w:rPr>
        <w:t>journal</w:t>
      </w:r>
      <w:r w:rsidR="0071223E">
        <w:rPr>
          <w:kern w:val="0"/>
        </w:rPr>
        <w:t>’</w:t>
      </w:r>
      <w:r>
        <w:rPr>
          <w:kern w:val="0"/>
        </w:rPr>
        <w:t>s position internationally</w:t>
      </w:r>
      <w:r w:rsidR="00A37C1D">
        <w:rPr>
          <w:kern w:val="0"/>
        </w:rPr>
        <w:t>. The</w:t>
      </w:r>
      <w:r w:rsidR="003A1917">
        <w:rPr>
          <w:kern w:val="0"/>
        </w:rPr>
        <w:t xml:space="preserve"> </w:t>
      </w:r>
      <w:r>
        <w:rPr>
          <w:kern w:val="0"/>
        </w:rPr>
        <w:t>bibliometric analysis proposes different priority actions to improve</w:t>
      </w:r>
      <w:r w:rsidR="003A1917">
        <w:rPr>
          <w:kern w:val="0"/>
        </w:rPr>
        <w:t xml:space="preserve"> the </w:t>
      </w:r>
      <w:r>
        <w:rPr>
          <w:kern w:val="0"/>
        </w:rPr>
        <w:t>journal</w:t>
      </w:r>
      <w:r w:rsidR="0071223E">
        <w:rPr>
          <w:kern w:val="0"/>
        </w:rPr>
        <w:t>’</w:t>
      </w:r>
      <w:r>
        <w:rPr>
          <w:kern w:val="0"/>
        </w:rPr>
        <w:t>s referencing</w:t>
      </w:r>
      <w:r w:rsidR="005853A9">
        <w:rPr>
          <w:kern w:val="0"/>
        </w:rPr>
        <w:t xml:space="preserve"> and </w:t>
      </w:r>
      <w:r>
        <w:rPr>
          <w:kern w:val="0"/>
        </w:rPr>
        <w:t>visibility.</w:t>
      </w:r>
    </w:p>
    <w:p w:rsidR="00985D5A" w:rsidRDefault="00985D5A" w:rsidP="00985D5A">
      <w:pPr>
        <w:pStyle w:val="a3"/>
        <w:rPr>
          <w:kern w:val="0"/>
        </w:rPr>
      </w:pPr>
      <w:r>
        <w:rPr>
          <w:kern w:val="0"/>
        </w:rPr>
        <w:t xml:space="preserve">Keywords: Analyses, Analysis, Authors, Bibliometric, Bibliometric Analysis, Bibliometric Indicators, Bibliometrics, Citation, Citation Analysis, Citations, Collaboration, Database, Databases, Development, Field, Human, Impact, Impact Factor, Impact Factor, Indicators, International, Jcr, Journal, Journal Citation Reports, Journals, North, R, Referencing, Reputation, Research, Rural, Rural Development, Science, Sciences, Scientific Journal, Scientific Reputation, Social, Social Sciences, </w:t>
      </w:r>
      <w:r>
        <w:rPr>
          <w:kern w:val="0"/>
        </w:rPr>
        <w:lastRenderedPageBreak/>
        <w:t xml:space="preserve">Visibility, </w:t>
      </w:r>
      <w:r w:rsidR="00D5664A">
        <w:rPr>
          <w:kern w:val="0"/>
        </w:rPr>
        <w:t>Web</w:t>
      </w:r>
      <w:r w:rsidR="00427468">
        <w:rPr>
          <w:kern w:val="0"/>
        </w:rPr>
        <w:t xml:space="preserve"> of </w:t>
      </w:r>
      <w:r w:rsidR="00D5664A">
        <w:rPr>
          <w:kern w:val="0"/>
        </w:rPr>
        <w:t>Science</w:t>
      </w:r>
    </w:p>
    <w:p w:rsidR="00986CB0" w:rsidRPr="001A3D2B" w:rsidRDefault="00986CB0" w:rsidP="00986CB0">
      <w:pPr>
        <w:pStyle w:val="1"/>
      </w:pPr>
      <w:r w:rsidRPr="001A3D2B">
        <w:br w:type="page"/>
      </w:r>
      <w:bookmarkStart w:id="8" w:name="_Toc420814866"/>
      <w:r w:rsidRPr="001A3D2B">
        <w:lastRenderedPageBreak/>
        <w:t xml:space="preserve">Title: </w:t>
      </w:r>
      <w:r w:rsidRPr="001A3D2B">
        <w:rPr>
          <w:szCs w:val="24"/>
        </w:rPr>
        <w:t>California Law Review</w:t>
      </w:r>
      <w:bookmarkEnd w:id="8"/>
    </w:p>
    <w:p w:rsidR="00986CB0" w:rsidRPr="001A3D2B" w:rsidRDefault="00986CB0" w:rsidP="00986CB0">
      <w:pPr>
        <w:pStyle w:val="12"/>
      </w:pPr>
      <w:r w:rsidRPr="001A3D2B">
        <w:t xml:space="preserve">Full Journal Title: </w:t>
      </w:r>
      <w:hyperlink r:id="rId22" w:history="1">
        <w:r w:rsidRPr="001A3D2B">
          <w:rPr>
            <w:rStyle w:val="a5"/>
          </w:rPr>
          <w:t>California Law Review</w:t>
        </w:r>
      </w:hyperlink>
    </w:p>
    <w:p w:rsidR="00986CB0" w:rsidRPr="001A3D2B" w:rsidRDefault="00986CB0" w:rsidP="00986CB0">
      <w:pPr>
        <w:pStyle w:val="12"/>
      </w:pPr>
      <w:r w:rsidRPr="001A3D2B">
        <w:t xml:space="preserve">ISO Abbreviated Title: </w:t>
      </w:r>
    </w:p>
    <w:p w:rsidR="00986CB0" w:rsidRPr="001A3D2B" w:rsidRDefault="00986CB0" w:rsidP="00986CB0">
      <w:pPr>
        <w:pStyle w:val="12"/>
      </w:pPr>
      <w:r w:rsidRPr="001A3D2B">
        <w:t xml:space="preserve">JCR Abbreviated Title: </w:t>
      </w:r>
    </w:p>
    <w:p w:rsidR="00986CB0" w:rsidRPr="001A3D2B" w:rsidRDefault="00986CB0" w:rsidP="00986CB0">
      <w:pPr>
        <w:pStyle w:val="12"/>
      </w:pPr>
      <w:r w:rsidRPr="001A3D2B">
        <w:t xml:space="preserve">ISSN: </w:t>
      </w:r>
    </w:p>
    <w:p w:rsidR="00986CB0" w:rsidRPr="001A3D2B" w:rsidRDefault="00986CB0" w:rsidP="00986CB0">
      <w:pPr>
        <w:pStyle w:val="12"/>
      </w:pPr>
      <w:r w:rsidRPr="001A3D2B">
        <w:t xml:space="preserve">Issues/Year: </w:t>
      </w:r>
    </w:p>
    <w:p w:rsidR="00986CB0" w:rsidRPr="001A3D2B" w:rsidRDefault="00986CB0" w:rsidP="00986CB0">
      <w:pPr>
        <w:pStyle w:val="12"/>
      </w:pPr>
      <w:r w:rsidRPr="001A3D2B">
        <w:t xml:space="preserve">Journal Country/Territory: </w:t>
      </w:r>
    </w:p>
    <w:p w:rsidR="00986CB0" w:rsidRPr="001A3D2B" w:rsidRDefault="00986CB0" w:rsidP="00986CB0">
      <w:pPr>
        <w:pStyle w:val="12"/>
      </w:pPr>
      <w:r w:rsidRPr="001A3D2B">
        <w:t xml:space="preserve">Language: </w:t>
      </w:r>
    </w:p>
    <w:p w:rsidR="00986CB0" w:rsidRPr="001A3D2B" w:rsidRDefault="00986CB0" w:rsidP="00986CB0">
      <w:pPr>
        <w:pStyle w:val="12"/>
      </w:pPr>
      <w:r w:rsidRPr="001A3D2B">
        <w:t xml:space="preserve">Publisher: </w:t>
      </w:r>
    </w:p>
    <w:p w:rsidR="00986CB0" w:rsidRPr="001A3D2B" w:rsidRDefault="00986CB0" w:rsidP="00986CB0">
      <w:pPr>
        <w:pStyle w:val="12"/>
      </w:pPr>
      <w:r w:rsidRPr="001A3D2B">
        <w:t xml:space="preserve">Publisher Address: </w:t>
      </w:r>
    </w:p>
    <w:p w:rsidR="00986CB0" w:rsidRPr="001A3D2B" w:rsidRDefault="00986CB0" w:rsidP="00986CB0">
      <w:pPr>
        <w:pStyle w:val="12"/>
      </w:pPr>
      <w:r w:rsidRPr="001A3D2B">
        <w:t>Subject Categories:</w:t>
      </w:r>
    </w:p>
    <w:p w:rsidR="00986CB0" w:rsidRPr="001A3D2B" w:rsidRDefault="00986CB0" w:rsidP="00986CB0">
      <w:pPr>
        <w:pStyle w:val="12"/>
      </w:pPr>
      <w:r w:rsidRPr="001A3D2B">
        <w:t>: Impact Factor</w:t>
      </w:r>
    </w:p>
    <w:p w:rsidR="00BC5F05" w:rsidRPr="001A3D2B" w:rsidRDefault="00BC5F05" w:rsidP="00BC5F05">
      <w:pPr>
        <w:pStyle w:val="a3"/>
      </w:pPr>
      <w:r w:rsidRPr="001A3D2B">
        <w:rPr>
          <w:szCs w:val="24"/>
        </w:rPr>
        <w:t>? Derenberg, W.J.</w:t>
      </w:r>
      <w:r w:rsidRPr="001A3D2B">
        <w:t xml:space="preserve"> (1952), </w:t>
      </w:r>
      <w:r w:rsidRPr="001A3D2B">
        <w:rPr>
          <w:szCs w:val="24"/>
        </w:rPr>
        <w:t>Plagiarism</w:t>
      </w:r>
      <w:r w:rsidR="005853A9">
        <w:rPr>
          <w:szCs w:val="24"/>
        </w:rPr>
        <w:t xml:space="preserve"> and </w:t>
      </w:r>
      <w:r w:rsidRPr="001A3D2B">
        <w:rPr>
          <w:szCs w:val="24"/>
        </w:rPr>
        <w:t>originality</w:t>
      </w:r>
      <w:r w:rsidRPr="001A3D2B">
        <w:t xml:space="preserve">. </w:t>
      </w:r>
      <w:r w:rsidRPr="001A3D2B">
        <w:rPr>
          <w:i/>
          <w:szCs w:val="24"/>
        </w:rPr>
        <w:t>California Law Review</w:t>
      </w:r>
      <w:r w:rsidRPr="001A3D2B">
        <w:rPr>
          <w:szCs w:val="24"/>
        </w:rPr>
        <w:t xml:space="preserve">, </w:t>
      </w:r>
      <w:r w:rsidRPr="001A3D2B">
        <w:rPr>
          <w:b/>
          <w:szCs w:val="24"/>
        </w:rPr>
        <w:t>52</w:t>
      </w:r>
      <w:r w:rsidRPr="001A3D2B">
        <w:rPr>
          <w:szCs w:val="24"/>
        </w:rPr>
        <w:t xml:space="preserve"> (6), 818-822</w:t>
      </w:r>
      <w:r w:rsidRPr="001A3D2B">
        <w:t>.</w:t>
      </w:r>
    </w:p>
    <w:p w:rsidR="00BC5F05" w:rsidRPr="001A3D2B" w:rsidRDefault="00BC5F05" w:rsidP="00BC5F05">
      <w:pPr>
        <w:pStyle w:val="a3"/>
        <w:rPr>
          <w:szCs w:val="24"/>
        </w:rPr>
      </w:pPr>
      <w:r w:rsidRPr="001A3D2B">
        <w:rPr>
          <w:szCs w:val="24"/>
        </w:rPr>
        <w:t>Full Text: Cal Law Rev52, 818.pdf</w:t>
      </w:r>
    </w:p>
    <w:p w:rsidR="00BC5F05" w:rsidRPr="001A3D2B" w:rsidRDefault="00BC5F05" w:rsidP="00BC5F05">
      <w:pPr>
        <w:pStyle w:val="a3"/>
      </w:pPr>
      <w:r w:rsidRPr="001A3D2B">
        <w:rPr>
          <w:szCs w:val="24"/>
        </w:rPr>
        <w:t>? Harriman, D.B.</w:t>
      </w:r>
      <w:r w:rsidRPr="001A3D2B">
        <w:t xml:space="preserve"> (1954), </w:t>
      </w:r>
      <w:r w:rsidRPr="001A3D2B">
        <w:rPr>
          <w:szCs w:val="24"/>
        </w:rPr>
        <w:t>Plagiarism</w:t>
      </w:r>
      <w:r w:rsidR="005853A9">
        <w:rPr>
          <w:szCs w:val="24"/>
        </w:rPr>
        <w:t xml:space="preserve"> and </w:t>
      </w:r>
      <w:r w:rsidRPr="001A3D2B">
        <w:rPr>
          <w:szCs w:val="24"/>
        </w:rPr>
        <w:t>originality</w:t>
      </w:r>
      <w:r w:rsidRPr="001A3D2B">
        <w:t xml:space="preserve">. </w:t>
      </w:r>
      <w:proofErr w:type="gramStart"/>
      <w:r w:rsidRPr="001A3D2B">
        <w:rPr>
          <w:i/>
          <w:szCs w:val="24"/>
        </w:rPr>
        <w:t>California Law Review</w:t>
      </w:r>
      <w:r w:rsidRPr="001A3D2B">
        <w:rPr>
          <w:szCs w:val="24"/>
        </w:rPr>
        <w:t xml:space="preserve">, </w:t>
      </w:r>
      <w:r w:rsidRPr="001A3D2B">
        <w:rPr>
          <w:b/>
          <w:szCs w:val="24"/>
        </w:rPr>
        <w:t>42</w:t>
      </w:r>
      <w:r w:rsidRPr="001A3D2B">
        <w:rPr>
          <w:szCs w:val="24"/>
        </w:rPr>
        <w:t xml:space="preserve"> (1), 215</w:t>
      </w:r>
      <w:r w:rsidRPr="001A3D2B">
        <w:t>.</w:t>
      </w:r>
      <w:proofErr w:type="gramEnd"/>
    </w:p>
    <w:p w:rsidR="00BC5F05" w:rsidRPr="001A3D2B" w:rsidRDefault="00BC5F05" w:rsidP="00BC5F05">
      <w:pPr>
        <w:pStyle w:val="a3"/>
        <w:rPr>
          <w:szCs w:val="24"/>
        </w:rPr>
      </w:pPr>
      <w:r w:rsidRPr="001A3D2B">
        <w:rPr>
          <w:szCs w:val="24"/>
        </w:rPr>
        <w:t>Full Text: Cal Law Rev42, 215.pdf</w:t>
      </w:r>
    </w:p>
    <w:p w:rsidR="00785199" w:rsidRDefault="00785199" w:rsidP="00785199">
      <w:pPr>
        <w:pStyle w:val="a3"/>
        <w:rPr>
          <w:kern w:val="0"/>
        </w:rPr>
      </w:pPr>
      <w:r>
        <w:rPr>
          <w:rFonts w:hint="eastAsia"/>
          <w:kern w:val="0"/>
        </w:rPr>
        <w:t xml:space="preserve">? </w:t>
      </w:r>
      <w:r>
        <w:rPr>
          <w:kern w:val="0"/>
        </w:rPr>
        <w:t>Shapiro, F.R. (1985</w:t>
      </w:r>
      <w:r w:rsidR="00F42EAC">
        <w:rPr>
          <w:kern w:val="0"/>
        </w:rPr>
        <w:t xml:space="preserve">), </w:t>
      </w:r>
      <w:proofErr w:type="gramStart"/>
      <w:r w:rsidR="00F42EAC">
        <w:rPr>
          <w:kern w:val="0"/>
        </w:rPr>
        <w:t>The</w:t>
      </w:r>
      <w:proofErr w:type="gramEnd"/>
      <w:r w:rsidR="003A1917">
        <w:rPr>
          <w:kern w:val="0"/>
        </w:rPr>
        <w:t xml:space="preserve"> </w:t>
      </w:r>
      <w:r>
        <w:rPr>
          <w:kern w:val="0"/>
        </w:rPr>
        <w:t xml:space="preserve">most-cited law review articles. </w:t>
      </w:r>
      <w:r>
        <w:rPr>
          <w:i/>
          <w:iCs/>
          <w:kern w:val="0"/>
        </w:rPr>
        <w:t>California Law Review</w:t>
      </w:r>
      <w:r>
        <w:rPr>
          <w:kern w:val="0"/>
        </w:rPr>
        <w:t xml:space="preserve">, </w:t>
      </w:r>
      <w:r>
        <w:rPr>
          <w:b/>
          <w:bCs/>
          <w:kern w:val="0"/>
        </w:rPr>
        <w:t>73</w:t>
      </w:r>
      <w:r>
        <w:rPr>
          <w:kern w:val="0"/>
        </w:rPr>
        <w:t xml:space="preserve"> (5), 1540-1554</w:t>
      </w:r>
      <w:r>
        <w:rPr>
          <w:rFonts w:hint="eastAsia"/>
          <w:kern w:val="0"/>
        </w:rPr>
        <w:t>.</w:t>
      </w:r>
    </w:p>
    <w:p w:rsidR="00785199" w:rsidRPr="001A3D2B" w:rsidRDefault="00785199" w:rsidP="00785199">
      <w:pPr>
        <w:pStyle w:val="a3"/>
        <w:rPr>
          <w:szCs w:val="24"/>
        </w:rPr>
      </w:pPr>
      <w:r w:rsidRPr="001A3D2B">
        <w:rPr>
          <w:szCs w:val="24"/>
        </w:rPr>
        <w:t xml:space="preserve">Full Text: </w:t>
      </w:r>
      <w:hyperlink r:id="rId23" w:history="1">
        <w:r w:rsidRPr="00FF63BF">
          <w:rPr>
            <w:rStyle w:val="a5"/>
            <w:szCs w:val="24"/>
          </w:rPr>
          <w:t>1985\Cal Law Rev73, 1540.pdf</w:t>
        </w:r>
      </w:hyperlink>
    </w:p>
    <w:p w:rsidR="00785199" w:rsidRDefault="00785199" w:rsidP="00785199">
      <w:pPr>
        <w:pStyle w:val="a3"/>
        <w:rPr>
          <w:kern w:val="0"/>
        </w:rPr>
      </w:pPr>
      <w:r>
        <w:rPr>
          <w:kern w:val="0"/>
        </w:rPr>
        <w:t>Keywords: Articles</w:t>
      </w:r>
      <w:r>
        <w:rPr>
          <w:rFonts w:hint="eastAsia"/>
          <w:kern w:val="0"/>
        </w:rPr>
        <w:t xml:space="preserve">, </w:t>
      </w:r>
      <w:r>
        <w:rPr>
          <w:kern w:val="0"/>
        </w:rPr>
        <w:t>Law</w:t>
      </w:r>
      <w:r>
        <w:rPr>
          <w:rFonts w:hint="eastAsia"/>
          <w:kern w:val="0"/>
        </w:rPr>
        <w:t xml:space="preserve">, </w:t>
      </w:r>
      <w:r>
        <w:rPr>
          <w:kern w:val="0"/>
        </w:rPr>
        <w:t>Review</w:t>
      </w:r>
    </w:p>
    <w:p w:rsidR="003474F2" w:rsidRPr="001A3D2B" w:rsidRDefault="003474F2" w:rsidP="003474F2">
      <w:pPr>
        <w:pStyle w:val="1"/>
      </w:pPr>
      <w:r w:rsidRPr="001A3D2B">
        <w:br w:type="page"/>
      </w:r>
      <w:bookmarkStart w:id="9" w:name="_Toc420814867"/>
      <w:r w:rsidRPr="001A3D2B">
        <w:lastRenderedPageBreak/>
        <w:t xml:space="preserve">Title: </w:t>
      </w:r>
      <w:r w:rsidR="00785199" w:rsidRPr="00785199">
        <w:rPr>
          <w:szCs w:val="24"/>
        </w:rPr>
        <w:t>Cambridge Journal</w:t>
      </w:r>
      <w:r w:rsidR="00427468">
        <w:rPr>
          <w:szCs w:val="24"/>
        </w:rPr>
        <w:t xml:space="preserve"> of </w:t>
      </w:r>
      <w:r w:rsidR="00785199" w:rsidRPr="00785199">
        <w:rPr>
          <w:szCs w:val="24"/>
        </w:rPr>
        <w:t>Economics</w:t>
      </w:r>
      <w:bookmarkEnd w:id="9"/>
    </w:p>
    <w:p w:rsidR="003474F2" w:rsidRPr="001A3D2B" w:rsidRDefault="003474F2" w:rsidP="003474F2">
      <w:pPr>
        <w:pStyle w:val="12"/>
      </w:pPr>
      <w:r w:rsidRPr="001A3D2B">
        <w:t xml:space="preserve">Full Journal Title: </w:t>
      </w:r>
      <w:smartTag w:uri="urn:schemas-microsoft-com:office:smarttags" w:element="place">
        <w:smartTag w:uri="urn:schemas-microsoft-com:office:smarttags" w:element="City">
          <w:r w:rsidRPr="001A3D2B">
            <w:t>Cambridge</w:t>
          </w:r>
        </w:smartTag>
      </w:smartTag>
      <w:r w:rsidRPr="001A3D2B">
        <w:t xml:space="preserve"> Journal</w:t>
      </w:r>
      <w:r w:rsidR="00427468">
        <w:t xml:space="preserve"> of </w:t>
      </w:r>
      <w:r w:rsidRPr="001A3D2B">
        <w:t>Economics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0309-166X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City">
          <w:r w:rsidRPr="001A3D2B">
            <w:t>Univ</w:t>
          </w:r>
        </w:smartTag>
        <w:r w:rsidRPr="001A3D2B">
          <w:t xml:space="preserve"> </w:t>
        </w:r>
        <w:smartTag w:uri="urn:schemas-microsoft-com:office:smarttags" w:element="State">
          <w:r w:rsidRPr="001A3D2B">
            <w:t>Calif</w:t>
          </w:r>
        </w:smartTag>
      </w:smartTag>
      <w:r w:rsidRPr="001A3D2B">
        <w:t>, Berkeley</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rPr>
          <w:szCs w:val="24"/>
        </w:rPr>
        <w:t>Laursen, K.</w:t>
      </w:r>
      <w:r w:rsidR="005853A9">
        <w:rPr>
          <w:szCs w:val="24"/>
        </w:rPr>
        <w:t xml:space="preserve"> and </w:t>
      </w:r>
      <w:r w:rsidRPr="001A3D2B">
        <w:rPr>
          <w:szCs w:val="24"/>
        </w:rPr>
        <w:t>Salter, A.</w:t>
      </w:r>
      <w:r w:rsidRPr="001A3D2B">
        <w:t xml:space="preserve"> (2005</w:t>
      </w:r>
      <w:r w:rsidR="00F42EAC">
        <w:t>), The</w:t>
      </w:r>
      <w:r w:rsidR="003A1917">
        <w:t xml:space="preserve"> </w:t>
      </w:r>
      <w:r w:rsidRPr="001A3D2B">
        <w:rPr>
          <w:szCs w:val="24"/>
        </w:rPr>
        <w:t>fruits</w:t>
      </w:r>
      <w:r w:rsidR="00427468">
        <w:rPr>
          <w:szCs w:val="24"/>
        </w:rPr>
        <w:t xml:space="preserve"> of </w:t>
      </w:r>
      <w:r w:rsidRPr="001A3D2B">
        <w:rPr>
          <w:szCs w:val="24"/>
        </w:rPr>
        <w:t xml:space="preserve">intellectual production: </w:t>
      </w:r>
      <w:r w:rsidR="00403A65" w:rsidRPr="001A3D2B">
        <w:rPr>
          <w:szCs w:val="24"/>
        </w:rPr>
        <w:t>Economic</w:t>
      </w:r>
      <w:r w:rsidR="005853A9">
        <w:rPr>
          <w:szCs w:val="24"/>
        </w:rPr>
        <w:t xml:space="preserve"> and </w:t>
      </w:r>
      <w:r w:rsidRPr="001A3D2B">
        <w:rPr>
          <w:szCs w:val="24"/>
        </w:rPr>
        <w:t>scientific specialisation among OECD countries</w:t>
      </w:r>
      <w:r w:rsidRPr="001A3D2B">
        <w:t xml:space="preserve">. </w:t>
      </w:r>
      <w:r w:rsidRPr="00785199">
        <w:rPr>
          <w:i/>
          <w:szCs w:val="24"/>
        </w:rPr>
        <w:t>Cambridge Journal</w:t>
      </w:r>
      <w:r w:rsidR="00427468">
        <w:rPr>
          <w:i/>
          <w:szCs w:val="24"/>
        </w:rPr>
        <w:t xml:space="preserve"> of </w:t>
      </w:r>
      <w:r w:rsidRPr="00785199">
        <w:rPr>
          <w:i/>
          <w:szCs w:val="24"/>
        </w:rPr>
        <w:t>Economics</w:t>
      </w:r>
      <w:r w:rsidRPr="001A3D2B">
        <w:rPr>
          <w:szCs w:val="24"/>
        </w:rPr>
        <w:t xml:space="preserve">, </w:t>
      </w:r>
      <w:r w:rsidRPr="001A3D2B">
        <w:rPr>
          <w:b/>
          <w:szCs w:val="24"/>
        </w:rPr>
        <w:t>29</w:t>
      </w:r>
      <w:r w:rsidRPr="001A3D2B">
        <w:rPr>
          <w:szCs w:val="24"/>
        </w:rPr>
        <w:t xml:space="preserve"> (2), 289-308</w:t>
      </w:r>
      <w:r w:rsidRPr="001A3D2B">
        <w:t>.</w:t>
      </w:r>
    </w:p>
    <w:p w:rsidR="003474F2" w:rsidRPr="001A3D2B" w:rsidRDefault="003474F2" w:rsidP="003474F2">
      <w:pPr>
        <w:pStyle w:val="a3"/>
        <w:rPr>
          <w:szCs w:val="24"/>
        </w:rPr>
      </w:pPr>
      <w:r w:rsidRPr="001A3D2B">
        <w:rPr>
          <w:szCs w:val="24"/>
        </w:rPr>
        <w:t xml:space="preserve">Full Text: </w:t>
      </w:r>
      <w:hyperlink r:id="rId24" w:history="1">
        <w:r w:rsidRPr="001A3D2B">
          <w:rPr>
            <w:rStyle w:val="a5"/>
            <w:szCs w:val="24"/>
          </w:rPr>
          <w:t>2005\Cam J Eco29, 289.pdf</w:t>
        </w:r>
      </w:hyperlink>
    </w:p>
    <w:p w:rsidR="003474F2" w:rsidRPr="001A3D2B" w:rsidRDefault="003474F2" w:rsidP="003474F2">
      <w:pPr>
        <w:pStyle w:val="a3"/>
        <w:rPr>
          <w:szCs w:val="24"/>
        </w:rPr>
      </w:pPr>
      <w:r w:rsidRPr="001A3D2B">
        <w:rPr>
          <w:szCs w:val="24"/>
        </w:rPr>
        <w:t>Abstract: This paper brings together data from 17 OECD countries on scientific publications, patents</w:t>
      </w:r>
      <w:r w:rsidR="005853A9">
        <w:rPr>
          <w:szCs w:val="24"/>
        </w:rPr>
        <w:t xml:space="preserve"> and </w:t>
      </w:r>
      <w:r w:rsidRPr="001A3D2B">
        <w:rPr>
          <w:szCs w:val="24"/>
        </w:rPr>
        <w:t>production, to explore</w:t>
      </w:r>
      <w:r w:rsidR="003A1917">
        <w:rPr>
          <w:szCs w:val="24"/>
        </w:rPr>
        <w:t xml:space="preserve"> the </w:t>
      </w:r>
      <w:r w:rsidRPr="001A3D2B">
        <w:rPr>
          <w:szCs w:val="24"/>
        </w:rPr>
        <w:t>relationship between scientific</w:t>
      </w:r>
      <w:r w:rsidR="005853A9">
        <w:rPr>
          <w:szCs w:val="24"/>
        </w:rPr>
        <w:t xml:space="preserve"> and </w:t>
      </w:r>
      <w:r w:rsidRPr="001A3D2B">
        <w:rPr>
          <w:szCs w:val="24"/>
        </w:rPr>
        <w:t>economic specialisation for 17 manufacturing industries. Since Marx, there has been a fundamental debate in economics about</w:t>
      </w:r>
      <w:r w:rsidR="003A1917">
        <w:rPr>
          <w:szCs w:val="24"/>
        </w:rPr>
        <w:t xml:space="preserve"> the </w:t>
      </w:r>
      <w:r w:rsidRPr="001A3D2B">
        <w:rPr>
          <w:szCs w:val="24"/>
        </w:rPr>
        <w:t>link between science</w:t>
      </w:r>
      <w:r w:rsidR="005853A9">
        <w:rPr>
          <w:szCs w:val="24"/>
        </w:rPr>
        <w:t xml:space="preserve"> and </w:t>
      </w:r>
      <w:r w:rsidR="003A1917">
        <w:rPr>
          <w:szCs w:val="24"/>
        </w:rPr>
        <w:t xml:space="preserve">the </w:t>
      </w:r>
      <w:r w:rsidRPr="001A3D2B">
        <w:rPr>
          <w:szCs w:val="24"/>
        </w:rPr>
        <w:t>economic system. Marx argued that</w:t>
      </w:r>
      <w:r w:rsidR="003A1917">
        <w:rPr>
          <w:szCs w:val="24"/>
        </w:rPr>
        <w:t xml:space="preserve"> the </w:t>
      </w:r>
      <w:r w:rsidRPr="001A3D2B">
        <w:rPr>
          <w:szCs w:val="24"/>
        </w:rPr>
        <w:t>needs</w:t>
      </w:r>
      <w:r w:rsidR="00427468">
        <w:rPr>
          <w:szCs w:val="24"/>
        </w:rPr>
        <w:t xml:space="preserve"> of </w:t>
      </w:r>
      <w:r w:rsidRPr="001A3D2B">
        <w:rPr>
          <w:szCs w:val="24"/>
        </w:rPr>
        <w:t>production shape scientific developments</w:t>
      </w:r>
      <w:r w:rsidR="005853A9">
        <w:rPr>
          <w:szCs w:val="24"/>
        </w:rPr>
        <w:t xml:space="preserve"> and </w:t>
      </w:r>
      <w:r w:rsidRPr="001A3D2B">
        <w:rPr>
          <w:szCs w:val="24"/>
        </w:rPr>
        <w:t>that science has become a factor</w:t>
      </w:r>
      <w:r w:rsidR="00427468">
        <w:rPr>
          <w:szCs w:val="24"/>
        </w:rPr>
        <w:t xml:space="preserve"> of </w:t>
      </w:r>
      <w:r w:rsidRPr="001A3D2B">
        <w:rPr>
          <w:szCs w:val="24"/>
        </w:rPr>
        <w:t>production, whereas Polanyi argued that developments in science are largely independent</w:t>
      </w:r>
      <w:r w:rsidR="00427468">
        <w:rPr>
          <w:szCs w:val="24"/>
        </w:rPr>
        <w:t xml:space="preserve"> of </w:t>
      </w:r>
      <w:r w:rsidR="003A1917">
        <w:rPr>
          <w:szCs w:val="24"/>
        </w:rPr>
        <w:t xml:space="preserve">the </w:t>
      </w:r>
      <w:r w:rsidRPr="001A3D2B">
        <w:rPr>
          <w:szCs w:val="24"/>
        </w:rPr>
        <w:t>economic sphere. Using a panel data model</w:t>
      </w:r>
      <w:r w:rsidR="005853A9">
        <w:rPr>
          <w:szCs w:val="24"/>
        </w:rPr>
        <w:t xml:space="preserve"> and </w:t>
      </w:r>
      <w:r w:rsidRPr="001A3D2B">
        <w:rPr>
          <w:szCs w:val="24"/>
        </w:rPr>
        <w:t>econometric estimations at</w:t>
      </w:r>
      <w:r w:rsidR="003A1917">
        <w:rPr>
          <w:szCs w:val="24"/>
        </w:rPr>
        <w:t xml:space="preserve"> the </w:t>
      </w:r>
      <w:r w:rsidRPr="001A3D2B">
        <w:rPr>
          <w:szCs w:val="24"/>
        </w:rPr>
        <w:t>industry level,</w:t>
      </w:r>
      <w:r w:rsidR="003A1917">
        <w:rPr>
          <w:szCs w:val="24"/>
        </w:rPr>
        <w:t xml:space="preserve"> the </w:t>
      </w:r>
      <w:r w:rsidRPr="001A3D2B">
        <w:rPr>
          <w:szCs w:val="24"/>
        </w:rPr>
        <w:t>paper derives some hypotheses from</w:t>
      </w:r>
      <w:r w:rsidR="003A1917">
        <w:rPr>
          <w:szCs w:val="24"/>
        </w:rPr>
        <w:t xml:space="preserve"> the </w:t>
      </w:r>
      <w:r w:rsidRPr="001A3D2B">
        <w:rPr>
          <w:szCs w:val="24"/>
        </w:rPr>
        <w:t>two positions</w:t>
      </w:r>
      <w:r w:rsidR="005853A9">
        <w:rPr>
          <w:szCs w:val="24"/>
        </w:rPr>
        <w:t xml:space="preserve"> and </w:t>
      </w:r>
      <w:r w:rsidRPr="001A3D2B">
        <w:rPr>
          <w:szCs w:val="24"/>
        </w:rPr>
        <w:t>finds that, while</w:t>
      </w:r>
      <w:r w:rsidR="003A1917">
        <w:rPr>
          <w:szCs w:val="24"/>
        </w:rPr>
        <w:t xml:space="preserve"> the </w:t>
      </w:r>
      <w:r w:rsidRPr="001A3D2B">
        <w:rPr>
          <w:szCs w:val="24"/>
        </w:rPr>
        <w:t>overall evidence on</w:t>
      </w:r>
      <w:r w:rsidR="003A1917">
        <w:rPr>
          <w:szCs w:val="24"/>
        </w:rPr>
        <w:t xml:space="preserve"> the </w:t>
      </w:r>
      <w:r w:rsidRPr="001A3D2B">
        <w:rPr>
          <w:szCs w:val="24"/>
        </w:rPr>
        <w:t>link between national production</w:t>
      </w:r>
      <w:r w:rsidR="005853A9">
        <w:rPr>
          <w:szCs w:val="24"/>
        </w:rPr>
        <w:t xml:space="preserve"> and </w:t>
      </w:r>
      <w:r w:rsidRPr="001A3D2B">
        <w:rPr>
          <w:szCs w:val="24"/>
        </w:rPr>
        <w:t>scientific specialisation is mixed, it is important to have high levels</w:t>
      </w:r>
      <w:r w:rsidR="00427468">
        <w:rPr>
          <w:szCs w:val="24"/>
        </w:rPr>
        <w:t xml:space="preserve"> of </w:t>
      </w:r>
      <w:r w:rsidRPr="001A3D2B">
        <w:rPr>
          <w:szCs w:val="24"/>
        </w:rPr>
        <w:t>relevant to-the-industry scientific strength per capita in order to be specialised in science-based industries.</w:t>
      </w:r>
    </w:p>
    <w:p w:rsidR="003474F2" w:rsidRPr="001A3D2B" w:rsidRDefault="003474F2" w:rsidP="003474F2">
      <w:pPr>
        <w:pStyle w:val="a3"/>
      </w:pPr>
      <w:r w:rsidRPr="001A3D2B">
        <w:t xml:space="preserve">Keywords: Bibliometric Data, Dynamics, Economics, Innovation, International Economic Specialisation, Patents, Publications, Science, Scientific Publications, Scientific Specialisation, Technology, </w:t>
      </w:r>
      <w:r w:rsidR="00533624" w:rsidRPr="001A3D2B">
        <w:t>US</w:t>
      </w:r>
    </w:p>
    <w:p w:rsidR="00533624" w:rsidRDefault="00533624" w:rsidP="00533624">
      <w:pPr>
        <w:pStyle w:val="a3"/>
        <w:rPr>
          <w:kern w:val="0"/>
        </w:rPr>
      </w:pPr>
      <w:r>
        <w:rPr>
          <w:rFonts w:hint="eastAsia"/>
          <w:kern w:val="0"/>
        </w:rPr>
        <w:t xml:space="preserve">? </w:t>
      </w:r>
      <w:r>
        <w:rPr>
          <w:kern w:val="0"/>
        </w:rPr>
        <w:t>Teixeira, A.A.C. (2014), Evolution, roots</w:t>
      </w:r>
      <w:r w:rsidR="005853A9">
        <w:rPr>
          <w:kern w:val="0"/>
        </w:rPr>
        <w:t xml:space="preserve"> and </w:t>
      </w:r>
      <w:r>
        <w:rPr>
          <w:kern w:val="0"/>
        </w:rPr>
        <w:t>influence</w:t>
      </w:r>
      <w:r w:rsidR="00427468">
        <w:rPr>
          <w:kern w:val="0"/>
        </w:rPr>
        <w:t xml:space="preserve"> of </w:t>
      </w:r>
      <w:r>
        <w:rPr>
          <w:kern w:val="0"/>
        </w:rPr>
        <w:t>the literature on National Systems</w:t>
      </w:r>
      <w:r w:rsidR="00427468">
        <w:rPr>
          <w:kern w:val="0"/>
        </w:rPr>
        <w:t xml:space="preserve"> of </w:t>
      </w:r>
      <w:r>
        <w:rPr>
          <w:kern w:val="0"/>
        </w:rPr>
        <w:t xml:space="preserve">Innovation: A bibliometric account. </w:t>
      </w:r>
      <w:r>
        <w:rPr>
          <w:i/>
          <w:iCs/>
          <w:kern w:val="0"/>
        </w:rPr>
        <w:t>Cambridge Journal</w:t>
      </w:r>
      <w:r w:rsidR="00427468">
        <w:rPr>
          <w:i/>
          <w:iCs/>
          <w:kern w:val="0"/>
        </w:rPr>
        <w:t xml:space="preserve"> of </w:t>
      </w:r>
      <w:r>
        <w:rPr>
          <w:i/>
          <w:iCs/>
          <w:kern w:val="0"/>
        </w:rPr>
        <w:t>Economics</w:t>
      </w:r>
      <w:r>
        <w:rPr>
          <w:kern w:val="0"/>
        </w:rPr>
        <w:t xml:space="preserve">, </w:t>
      </w:r>
      <w:r>
        <w:rPr>
          <w:b/>
          <w:bCs/>
          <w:kern w:val="0"/>
        </w:rPr>
        <w:t>38</w:t>
      </w:r>
      <w:r>
        <w:rPr>
          <w:kern w:val="0"/>
        </w:rPr>
        <w:t xml:space="preserve"> (1), 181-214.</w:t>
      </w:r>
    </w:p>
    <w:p w:rsidR="00533624" w:rsidRPr="00C73C58" w:rsidRDefault="00533624" w:rsidP="00533624">
      <w:pPr>
        <w:pStyle w:val="a3"/>
        <w:rPr>
          <w:szCs w:val="24"/>
        </w:rPr>
      </w:pPr>
      <w:r w:rsidRPr="00C73C58">
        <w:rPr>
          <w:szCs w:val="24"/>
        </w:rPr>
        <w:t xml:space="preserve">Full Text: </w:t>
      </w:r>
      <w:hyperlink r:id="rId25" w:history="1">
        <w:r w:rsidRPr="00E7058C">
          <w:rPr>
            <w:rStyle w:val="a5"/>
            <w:szCs w:val="24"/>
          </w:rPr>
          <w:t>2014\Cam J Eco38, 181.pdf</w:t>
        </w:r>
      </w:hyperlink>
    </w:p>
    <w:p w:rsidR="00533624" w:rsidRDefault="00533624" w:rsidP="00533624">
      <w:pPr>
        <w:pStyle w:val="a3"/>
        <w:rPr>
          <w:kern w:val="0"/>
        </w:rPr>
      </w:pPr>
      <w:r>
        <w:rPr>
          <w:kern w:val="0"/>
        </w:rPr>
        <w:t>Abstract: The literature on the National Systems</w:t>
      </w:r>
      <w:r w:rsidR="00427468">
        <w:rPr>
          <w:kern w:val="0"/>
        </w:rPr>
        <w:t xml:space="preserve"> of </w:t>
      </w:r>
      <w:r>
        <w:rPr>
          <w:kern w:val="0"/>
        </w:rPr>
        <w:t>Innovation (NSI) is a relatively new field</w:t>
      </w:r>
      <w:r w:rsidR="00427468">
        <w:rPr>
          <w:kern w:val="0"/>
        </w:rPr>
        <w:t xml:space="preserve"> of </w:t>
      </w:r>
      <w:r>
        <w:rPr>
          <w:kern w:val="0"/>
        </w:rPr>
        <w:t xml:space="preserve">research that has spread remarkably in the past 20 years. This article offers a </w:t>
      </w:r>
      <w:r>
        <w:rPr>
          <w:kern w:val="0"/>
        </w:rPr>
        <w:lastRenderedPageBreak/>
        <w:t>complementary, quantitative description</w:t>
      </w:r>
      <w:r w:rsidR="00427468">
        <w:rPr>
          <w:kern w:val="0"/>
        </w:rPr>
        <w:t xml:space="preserve"> of </w:t>
      </w:r>
      <w:r>
        <w:rPr>
          <w:kern w:val="0"/>
        </w:rPr>
        <w:t>the state-of-the-art</w:t>
      </w:r>
      <w:r w:rsidR="00427468">
        <w:rPr>
          <w:kern w:val="0"/>
        </w:rPr>
        <w:t xml:space="preserve"> of </w:t>
      </w:r>
      <w:r>
        <w:rPr>
          <w:kern w:val="0"/>
        </w:rPr>
        <w:t>the literature based on bibliometric methods, by explicitly addressing the roots, evolution</w:t>
      </w:r>
      <w:r w:rsidR="005853A9">
        <w:rPr>
          <w:kern w:val="0"/>
        </w:rPr>
        <w:t xml:space="preserve"> and </w:t>
      </w:r>
      <w:r>
        <w:rPr>
          <w:kern w:val="0"/>
        </w:rPr>
        <w:t>influence</w:t>
      </w:r>
      <w:r w:rsidR="00427468">
        <w:rPr>
          <w:kern w:val="0"/>
        </w:rPr>
        <w:t xml:space="preserve"> of </w:t>
      </w:r>
      <w:r>
        <w:rPr>
          <w:kern w:val="0"/>
        </w:rPr>
        <w:t>NSI literature</w:t>
      </w:r>
      <w:r w:rsidR="00A37C1D">
        <w:rPr>
          <w:kern w:val="0"/>
        </w:rPr>
        <w:t>. The</w:t>
      </w:r>
      <w:r>
        <w:rPr>
          <w:kern w:val="0"/>
        </w:rPr>
        <w:t xml:space="preserve"> exercise shows that over time the rate</w:t>
      </w:r>
      <w:r w:rsidR="00427468">
        <w:rPr>
          <w:kern w:val="0"/>
        </w:rPr>
        <w:t xml:space="preserve"> of </w:t>
      </w:r>
      <w:r>
        <w:rPr>
          <w:kern w:val="0"/>
        </w:rPr>
        <w:t>published articles was quite irregular</w:t>
      </w:r>
      <w:r w:rsidR="005853A9">
        <w:rPr>
          <w:kern w:val="0"/>
        </w:rPr>
        <w:t xml:space="preserve"> and </w:t>
      </w:r>
      <w:r>
        <w:rPr>
          <w:kern w:val="0"/>
        </w:rPr>
        <w:t>that contributions on NSI have not (yet) converged to an integrated analytical framework. Although historically detailed descriptions on NSI showed a noticeable increase in the more recent period (20062010) analyses using more formal</w:t>
      </w:r>
      <w:r w:rsidR="005853A9">
        <w:rPr>
          <w:kern w:val="0"/>
        </w:rPr>
        <w:t xml:space="preserve"> and </w:t>
      </w:r>
      <w:r>
        <w:rPr>
          <w:kern w:val="0"/>
        </w:rPr>
        <w:t>diversified quantitative methodologies for assessing the performance</w:t>
      </w:r>
      <w:r w:rsidR="00427468">
        <w:rPr>
          <w:kern w:val="0"/>
        </w:rPr>
        <w:t xml:space="preserve"> of </w:t>
      </w:r>
      <w:r>
        <w:rPr>
          <w:kern w:val="0"/>
        </w:rPr>
        <w:t>NSI remained lacking, reflecting its persisting methodological weaknesses</w:t>
      </w:r>
      <w:r w:rsidR="00A37C1D">
        <w:rPr>
          <w:kern w:val="0"/>
        </w:rPr>
        <w:t>. The</w:t>
      </w:r>
      <w:r>
        <w:rPr>
          <w:kern w:val="0"/>
        </w:rPr>
        <w:t xml:space="preserve"> roots</w:t>
      </w:r>
      <w:r w:rsidR="00427468">
        <w:rPr>
          <w:kern w:val="0"/>
        </w:rPr>
        <w:t xml:space="preserve"> of </w:t>
      </w:r>
      <w:r>
        <w:rPr>
          <w:kern w:val="0"/>
        </w:rPr>
        <w:t>the NSI literature can be found at the core</w:t>
      </w:r>
      <w:r w:rsidR="00427468">
        <w:rPr>
          <w:kern w:val="0"/>
        </w:rPr>
        <w:t xml:space="preserve"> of </w:t>
      </w:r>
      <w:r>
        <w:rPr>
          <w:kern w:val="0"/>
        </w:rPr>
        <w:t>innovation studies by certain well-known scholars in the area</w:t>
      </w:r>
      <w:r w:rsidR="00427468">
        <w:rPr>
          <w:kern w:val="0"/>
        </w:rPr>
        <w:t xml:space="preserve"> of </w:t>
      </w:r>
      <w:r>
        <w:rPr>
          <w:kern w:val="0"/>
        </w:rPr>
        <w:t>economics</w:t>
      </w:r>
      <w:r w:rsidR="00427468">
        <w:rPr>
          <w:kern w:val="0"/>
        </w:rPr>
        <w:t xml:space="preserve"> of </w:t>
      </w:r>
      <w:r>
        <w:rPr>
          <w:kern w:val="0"/>
        </w:rPr>
        <w:t>innovation</w:t>
      </w:r>
      <w:r w:rsidR="005853A9">
        <w:rPr>
          <w:kern w:val="0"/>
        </w:rPr>
        <w:t xml:space="preserve"> and </w:t>
      </w:r>
      <w:r>
        <w:rPr>
          <w:kern w:val="0"/>
        </w:rPr>
        <w:t>science policy research. Even though publications on NSI are falling in relative importance</w:t>
      </w:r>
      <w:r w:rsidR="005853A9">
        <w:rPr>
          <w:kern w:val="0"/>
        </w:rPr>
        <w:t xml:space="preserve"> and </w:t>
      </w:r>
      <w:r>
        <w:rPr>
          <w:kern w:val="0"/>
        </w:rPr>
        <w:t>are highly concentrated on a small set</w:t>
      </w:r>
      <w:r w:rsidR="00427468">
        <w:rPr>
          <w:kern w:val="0"/>
        </w:rPr>
        <w:t xml:space="preserve"> of </w:t>
      </w:r>
      <w:r>
        <w:rPr>
          <w:kern w:val="0"/>
        </w:rPr>
        <w:t>countries (United Kingdom, Denmark,</w:t>
      </w:r>
      <w:r w:rsidR="005853A9">
        <w:rPr>
          <w:kern w:val="0"/>
        </w:rPr>
        <w:t xml:space="preserve"> and </w:t>
      </w:r>
      <w:r>
        <w:rPr>
          <w:kern w:val="0"/>
        </w:rPr>
        <w:t>the United States), their influence is global</w:t>
      </w:r>
      <w:r w:rsidR="00A37C1D">
        <w:rPr>
          <w:kern w:val="0"/>
        </w:rPr>
        <w:t>. The</w:t>
      </w:r>
      <w:r>
        <w:rPr>
          <w:kern w:val="0"/>
        </w:rPr>
        <w:t>y are cited by authors affiliated in organisations around the world, notably in Latin America</w:t>
      </w:r>
      <w:r w:rsidR="005853A9">
        <w:rPr>
          <w:kern w:val="0"/>
        </w:rPr>
        <w:t xml:space="preserve"> and </w:t>
      </w:r>
      <w:r>
        <w:rPr>
          <w:kern w:val="0"/>
        </w:rPr>
        <w:t>Asia. Such an influence goes far beyond the area</w:t>
      </w:r>
      <w:r w:rsidR="00427468">
        <w:rPr>
          <w:kern w:val="0"/>
        </w:rPr>
        <w:t xml:space="preserve"> of </w:t>
      </w:r>
      <w:r>
        <w:rPr>
          <w:kern w:val="0"/>
        </w:rPr>
        <w:t>innovation studies</w:t>
      </w:r>
      <w:r w:rsidR="005853A9">
        <w:rPr>
          <w:kern w:val="0"/>
        </w:rPr>
        <w:t xml:space="preserve"> and </w:t>
      </w:r>
      <w:r>
        <w:rPr>
          <w:kern w:val="0"/>
        </w:rPr>
        <w:t>has resonated in fields such as economic geography, environmental studies, international business</w:t>
      </w:r>
      <w:r w:rsidR="005853A9">
        <w:rPr>
          <w:kern w:val="0"/>
        </w:rPr>
        <w:t xml:space="preserve"> and </w:t>
      </w:r>
      <w:r>
        <w:rPr>
          <w:kern w:val="0"/>
        </w:rPr>
        <w:t>managerial sciences. This demonstrates that the NSI literature is not self-referential.</w:t>
      </w:r>
    </w:p>
    <w:p w:rsidR="00533624" w:rsidRDefault="00533624" w:rsidP="00533624">
      <w:pPr>
        <w:pStyle w:val="a3"/>
        <w:rPr>
          <w:kern w:val="0"/>
        </w:rPr>
      </w:pPr>
      <w:r>
        <w:rPr>
          <w:kern w:val="0"/>
        </w:rPr>
        <w:t>Keywords: Analyses, Asia, Assessing, Authors, Bibliometric, Bibliometric Methods, Bibliometrics, Biotechnology, Business, Capabilities, China, Complementary, Denmark, Economic, Economic-Growth, Economics, Environmental, Epistemic Communities, Evolution, Exercise, Field, Framework, Geography, Global, Historical-Perspective, India, Influence, Innovation, International, International Business, International Competitiveness, Latin America, Literature, Methodologies, Methods, National Systems</w:t>
      </w:r>
      <w:r w:rsidR="00427468">
        <w:rPr>
          <w:kern w:val="0"/>
        </w:rPr>
        <w:t xml:space="preserve"> of </w:t>
      </w:r>
      <w:r>
        <w:rPr>
          <w:kern w:val="0"/>
        </w:rPr>
        <w:t>Innovation, Performance, Policy, Policy Research, Publications, Published Articles, Recent, Regional Science, Research, Roots, Science, Science Policy, Sciences, Small, State-Of-The-Art, Technological Infrastructure, United Kingdom, United States, World</w:t>
      </w:r>
    </w:p>
    <w:p w:rsidR="003474F2" w:rsidRPr="001A3D2B" w:rsidRDefault="003474F2" w:rsidP="003474F2">
      <w:pPr>
        <w:pStyle w:val="1"/>
      </w:pPr>
      <w:r w:rsidRPr="001A3D2B">
        <w:br w:type="page"/>
      </w:r>
      <w:bookmarkStart w:id="10" w:name="_Toc420814868"/>
      <w:r w:rsidRPr="001A3D2B">
        <w:lastRenderedPageBreak/>
        <w:t>Title: Canadian Association</w:t>
      </w:r>
      <w:r w:rsidR="00427468">
        <w:t xml:space="preserve"> of </w:t>
      </w:r>
      <w:r w:rsidRPr="001A3D2B">
        <w:t>Radiologists Jo</w:t>
      </w:r>
      <w:bookmarkStart w:id="11" w:name="_Toc81215653"/>
      <w:r w:rsidRPr="001A3D2B">
        <w:t>urnal-Journal de l Association Canadienne des Radiologistes</w:t>
      </w:r>
      <w:bookmarkEnd w:id="10"/>
    </w:p>
    <w:p w:rsidR="003474F2" w:rsidRPr="001A3D2B" w:rsidRDefault="003474F2" w:rsidP="003474F2">
      <w:pPr>
        <w:pStyle w:val="12"/>
      </w:pPr>
      <w:r w:rsidRPr="001A3D2B">
        <w:t>Full Journal Title: Canadian Association</w:t>
      </w:r>
      <w:r w:rsidR="00427468">
        <w:t xml:space="preserve"> of </w:t>
      </w:r>
      <w:r w:rsidRPr="001A3D2B">
        <w:t>R</w:t>
      </w:r>
      <w:bookmarkEnd w:id="11"/>
      <w:r w:rsidRPr="001A3D2B">
        <w:t>adiologists Journal-Journal de l Association Canadienne des Radiologistes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0846-5371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Browne, R.F.J., </w:t>
      </w:r>
      <w:smartTag w:uri="urn:schemas-microsoft-com:office:smarttags" w:element="place">
        <w:smartTag w:uri="urn:schemas-microsoft-com:office:smarttags" w:element="City">
          <w:r w:rsidRPr="001A3D2B">
            <w:t>Logan</w:t>
          </w:r>
        </w:smartTag>
      </w:smartTag>
      <w:r w:rsidRPr="001A3D2B">
        <w:t>, P.M., Lee, M.J.</w:t>
      </w:r>
      <w:r w:rsidR="005853A9">
        <w:t xml:space="preserve"> and </w:t>
      </w:r>
      <w:r w:rsidRPr="001A3D2B">
        <w:t>Torreggiani, W.C. (2004</w:t>
      </w:r>
      <w:r w:rsidR="00F42EAC">
        <w:t>), The</w:t>
      </w:r>
      <w:r w:rsidR="003A1917">
        <w:t xml:space="preserve"> </w:t>
      </w:r>
      <w:r w:rsidRPr="001A3D2B">
        <w:t>accuracy</w:t>
      </w:r>
      <w:r w:rsidR="00427468">
        <w:t xml:space="preserve"> of </w:t>
      </w:r>
      <w:r w:rsidRPr="001A3D2B">
        <w:t xml:space="preserve">references in manuscripts submitted for publication. </w:t>
      </w:r>
      <w:r w:rsidRPr="001A3D2B">
        <w:rPr>
          <w:i/>
          <w:iCs/>
        </w:rPr>
        <w:t>Canadian Association</w:t>
      </w:r>
      <w:r w:rsidR="00427468">
        <w:rPr>
          <w:i/>
          <w:iCs/>
        </w:rPr>
        <w:t xml:space="preserve"> of </w:t>
      </w:r>
      <w:r w:rsidRPr="001A3D2B">
        <w:rPr>
          <w:i/>
          <w:iCs/>
        </w:rPr>
        <w:t>Radiologists Journal-Journal de l Association Canadienne des Radiologistes</w:t>
      </w:r>
      <w:r w:rsidRPr="001A3D2B">
        <w:t xml:space="preserve">, </w:t>
      </w:r>
      <w:r w:rsidRPr="001A3D2B">
        <w:rPr>
          <w:b/>
          <w:bCs/>
        </w:rPr>
        <w:t>55</w:t>
      </w:r>
      <w:r w:rsidRPr="001A3D2B">
        <w:t xml:space="preserve"> (3), 170-173.</w:t>
      </w:r>
    </w:p>
    <w:p w:rsidR="003464B5" w:rsidRPr="00C73C58" w:rsidRDefault="003464B5" w:rsidP="003464B5">
      <w:pPr>
        <w:pStyle w:val="a3"/>
      </w:pPr>
      <w:r>
        <w:rPr>
          <w:rFonts w:hint="eastAsia"/>
        </w:rPr>
        <w:t xml:space="preserve">Full Text: </w:t>
      </w:r>
      <w:hyperlink r:id="rId26" w:history="1">
        <w:r w:rsidRPr="0062019F">
          <w:rPr>
            <w:rStyle w:val="a5"/>
          </w:rPr>
          <w:t>2004\Can Ass Rad J-J Ass Can Rad55, 170.pdf</w:t>
        </w:r>
      </w:hyperlink>
    </w:p>
    <w:p w:rsidR="003474F2" w:rsidRPr="001A3D2B" w:rsidRDefault="003474F2" w:rsidP="003474F2">
      <w:pPr>
        <w:pStyle w:val="a3"/>
      </w:pPr>
      <w:r w:rsidRPr="001A3D2B">
        <w:t>Abstract: Objective: To analyze</w:t>
      </w:r>
      <w:r w:rsidR="003A1917">
        <w:t xml:space="preserve"> the </w:t>
      </w:r>
      <w:r w:rsidRPr="001A3D2B">
        <w:t>errors present in references cited in papers submitted for peer review for possible publication. Methods: Nineteen consecutive manuscripts submitted for peer review were assessed</w:t>
      </w:r>
      <w:r w:rsidR="00A37C1D">
        <w:t>. The</w:t>
      </w:r>
      <w:r w:rsidRPr="001A3D2B">
        <w:t>y contained a total</w:t>
      </w:r>
      <w:r w:rsidR="00427468">
        <w:t xml:space="preserve"> of </w:t>
      </w:r>
      <w:r w:rsidRPr="001A3D2B">
        <w:t xml:space="preserve">261 </w:t>
      </w:r>
      <w:smartTag w:uri="urn:schemas-microsoft-com:office:smarttags" w:element="place">
        <w:smartTag w:uri="urn:schemas-microsoft-com:office:smarttags" w:element="City">
          <w:r w:rsidRPr="001A3D2B">
            <w:t>Logan</w:t>
          </w:r>
        </w:smartTag>
      </w:smartTag>
      <w:r w:rsidRPr="001A3D2B">
        <w:t>, references. Manuscripts were submitted to 1</w:t>
      </w:r>
      <w:r w:rsidR="00427468">
        <w:t xml:space="preserve"> of </w:t>
      </w:r>
      <w:r w:rsidRPr="001A3D2B">
        <w:t>5 major radiology journals. Journal references were compared with either</w:t>
      </w:r>
      <w:r w:rsidR="003A1917">
        <w:t xml:space="preserve"> the </w:t>
      </w:r>
      <w:r w:rsidRPr="001A3D2B">
        <w:t xml:space="preserve">original articles or abstracts obtained through </w:t>
      </w:r>
      <w:r w:rsidR="00D5664A">
        <w:t>MEDLINE</w:t>
      </w:r>
      <w:r w:rsidRPr="001A3D2B">
        <w:t>. Book references were checked against</w:t>
      </w:r>
      <w:r w:rsidR="003A1917">
        <w:t xml:space="preserve"> the </w:t>
      </w:r>
      <w:r w:rsidRPr="001A3D2B">
        <w:t>original book. In total, 259</w:t>
      </w:r>
      <w:r w:rsidR="00427468">
        <w:t xml:space="preserve"> of </w:t>
      </w:r>
      <w:r w:rsidRPr="001A3D2B">
        <w:t>261 references were obtained</w:t>
      </w:r>
      <w:r w:rsidR="00A37C1D">
        <w:t>. The</w:t>
      </w:r>
      <w:r w:rsidR="003A1917">
        <w:t xml:space="preserve"> </w:t>
      </w:r>
      <w:r w:rsidRPr="001A3D2B">
        <w:t>remaining 2 references were both out</w:t>
      </w:r>
      <w:r w:rsidR="00434900">
        <w:t>-of-</w:t>
      </w:r>
      <w:r w:rsidRPr="001A3D2B">
        <w:t>print books that were not available. Each reference was checked</w:t>
      </w:r>
      <w:r w:rsidR="005853A9">
        <w:t xml:space="preserve"> and </w:t>
      </w:r>
      <w:r w:rsidRPr="001A3D2B">
        <w:t>errors were identified as either major or minor, depending on</w:t>
      </w:r>
      <w:r w:rsidR="003A1917">
        <w:t xml:space="preserve"> the </w:t>
      </w:r>
      <w:r w:rsidRPr="001A3D2B">
        <w:t>gravity</w:t>
      </w:r>
      <w:r w:rsidR="00427468">
        <w:t xml:space="preserve"> of </w:t>
      </w:r>
      <w:r w:rsidR="003A1917">
        <w:t xml:space="preserve">the </w:t>
      </w:r>
      <w:r w:rsidRPr="001A3D2B">
        <w:t>error. Errors were analyzed to see whether they could be attributed to not adhering to journal guidelines or to other reasons. Results:</w:t>
      </w:r>
      <w:r w:rsidR="00427468">
        <w:t xml:space="preserve"> of </w:t>
      </w:r>
      <w:r w:rsidRPr="001A3D2B">
        <w:t>a total</w:t>
      </w:r>
      <w:r w:rsidR="00427468">
        <w:t xml:space="preserve"> of </w:t>
      </w:r>
      <w:r w:rsidRPr="001A3D2B">
        <w:t>259 references, 56% (n = 145) contained at least 1 error, 53% (n = 137) contained minor errors</w:t>
      </w:r>
      <w:r w:rsidR="005853A9">
        <w:t xml:space="preserve"> and </w:t>
      </w:r>
      <w:r w:rsidRPr="001A3D2B">
        <w:t>15% (n = 39) contained major errors. Five per cent (n = 13)</w:t>
      </w:r>
      <w:r w:rsidR="00427468">
        <w:t xml:space="preserve"> of </w:t>
      </w:r>
      <w:r w:rsidRPr="001A3D2B">
        <w:t>references had more than 3 errors,</w:t>
      </w:r>
      <w:r w:rsidR="005853A9">
        <w:t xml:space="preserve"> and </w:t>
      </w:r>
      <w:r w:rsidRPr="001A3D2B">
        <w:t>79% (n = 274)</w:t>
      </w:r>
      <w:r w:rsidR="00427468">
        <w:t xml:space="preserve"> of </w:t>
      </w:r>
      <w:r w:rsidRPr="001A3D2B">
        <w:t>all errors were</w:t>
      </w:r>
      <w:r w:rsidR="003A1917">
        <w:t xml:space="preserve"> the </w:t>
      </w:r>
      <w:r w:rsidRPr="001A3D2B">
        <w:t>direct result</w:t>
      </w:r>
      <w:r w:rsidR="00427468">
        <w:t xml:space="preserve"> of </w:t>
      </w:r>
      <w:r w:rsidRPr="001A3D2B">
        <w:t>authors not following journal instructions. Conclusion: Over half</w:t>
      </w:r>
      <w:r w:rsidR="00427468">
        <w:t xml:space="preserve"> of </w:t>
      </w:r>
      <w:r w:rsidRPr="001A3D2B">
        <w:t>all references included in manuscripts submitted to radiology journals contain at least 1 error</w:t>
      </w:r>
      <w:r w:rsidR="00A37C1D">
        <w:t>. The</w:t>
      </w:r>
      <w:r w:rsidR="003A1917">
        <w:t xml:space="preserve"> </w:t>
      </w:r>
      <w:r w:rsidRPr="001A3D2B">
        <w:t>majority are avoidable, resulting from failure to follow</w:t>
      </w:r>
      <w:r w:rsidR="003A1917">
        <w:t xml:space="preserve"> the </w:t>
      </w:r>
      <w:r w:rsidRPr="001A3D2B">
        <w:t>journal</w:t>
      </w:r>
      <w:r w:rsidR="0071223E">
        <w:t>’</w:t>
      </w:r>
      <w:r w:rsidR="00C13DDC">
        <w:t>s</w:t>
      </w:r>
      <w:r w:rsidRPr="001A3D2B">
        <w:t xml:space="preserve"> instructions to authors.</w:t>
      </w:r>
    </w:p>
    <w:p w:rsidR="003474F2" w:rsidRPr="001A3D2B" w:rsidRDefault="003474F2" w:rsidP="003474F2">
      <w:pPr>
        <w:pStyle w:val="a3"/>
      </w:pPr>
      <w:r w:rsidRPr="001A3D2B">
        <w:t>Keywords: Reference Citations, Authors Check, Journals</w:t>
      </w:r>
    </w:p>
    <w:p w:rsidR="005E694B" w:rsidRPr="001A3D2B" w:rsidRDefault="005E694B" w:rsidP="005E694B">
      <w:pPr>
        <w:pStyle w:val="1"/>
      </w:pPr>
      <w:r w:rsidRPr="001A3D2B">
        <w:br w:type="page"/>
      </w:r>
      <w:bookmarkStart w:id="12" w:name="_Toc420814869"/>
      <w:r w:rsidRPr="001A3D2B">
        <w:lastRenderedPageBreak/>
        <w:t xml:space="preserve">Title: </w:t>
      </w:r>
      <w:r w:rsidRPr="005E694B">
        <w:rPr>
          <w:iCs w:val="0"/>
          <w:szCs w:val="24"/>
        </w:rPr>
        <w:t>Canadian Family Physician</w:t>
      </w:r>
      <w:bookmarkEnd w:id="12"/>
    </w:p>
    <w:p w:rsidR="005E694B" w:rsidRPr="001A3D2B" w:rsidRDefault="005E694B" w:rsidP="005E694B">
      <w:pPr>
        <w:pStyle w:val="12"/>
      </w:pPr>
      <w:r w:rsidRPr="001A3D2B">
        <w:t xml:space="preserve">Full Journal Title: </w:t>
      </w:r>
      <w:r w:rsidRPr="005E694B">
        <w:rPr>
          <w:iCs/>
          <w:kern w:val="0"/>
        </w:rPr>
        <w:t>Canadian Family Physician</w:t>
      </w:r>
    </w:p>
    <w:p w:rsidR="005E694B" w:rsidRPr="001A3D2B" w:rsidRDefault="005E694B" w:rsidP="005E694B">
      <w:pPr>
        <w:pStyle w:val="12"/>
      </w:pPr>
      <w:r w:rsidRPr="001A3D2B">
        <w:t xml:space="preserve">ISO Abbreviated Title: </w:t>
      </w:r>
    </w:p>
    <w:p w:rsidR="005E694B" w:rsidRPr="001A3D2B" w:rsidRDefault="005E694B" w:rsidP="005E694B">
      <w:pPr>
        <w:pStyle w:val="12"/>
      </w:pPr>
      <w:r w:rsidRPr="001A3D2B">
        <w:t xml:space="preserve">JCR Abbreviated Title: </w:t>
      </w:r>
    </w:p>
    <w:p w:rsidR="005E694B" w:rsidRPr="001A3D2B" w:rsidRDefault="005E694B" w:rsidP="005E694B">
      <w:pPr>
        <w:pStyle w:val="12"/>
      </w:pPr>
      <w:r w:rsidRPr="001A3D2B">
        <w:t xml:space="preserve">ISSN: </w:t>
      </w:r>
    </w:p>
    <w:p w:rsidR="005E694B" w:rsidRPr="001A3D2B" w:rsidRDefault="005E694B" w:rsidP="005E694B">
      <w:pPr>
        <w:pStyle w:val="12"/>
      </w:pPr>
      <w:r w:rsidRPr="001A3D2B">
        <w:t xml:space="preserve">Issues/Year: </w:t>
      </w:r>
    </w:p>
    <w:p w:rsidR="005E694B" w:rsidRPr="001A3D2B" w:rsidRDefault="005E694B" w:rsidP="005E694B">
      <w:pPr>
        <w:pStyle w:val="12"/>
      </w:pPr>
      <w:r w:rsidRPr="001A3D2B">
        <w:t xml:space="preserve">Journal Country/Territory: </w:t>
      </w:r>
    </w:p>
    <w:p w:rsidR="005E694B" w:rsidRPr="001A3D2B" w:rsidRDefault="005E694B" w:rsidP="005E694B">
      <w:pPr>
        <w:pStyle w:val="12"/>
      </w:pPr>
      <w:r w:rsidRPr="001A3D2B">
        <w:t xml:space="preserve">Language: </w:t>
      </w:r>
    </w:p>
    <w:p w:rsidR="005E694B" w:rsidRPr="001A3D2B" w:rsidRDefault="005E694B" w:rsidP="005E694B">
      <w:pPr>
        <w:pStyle w:val="12"/>
      </w:pPr>
      <w:r w:rsidRPr="001A3D2B">
        <w:t xml:space="preserve">Publisher: </w:t>
      </w:r>
    </w:p>
    <w:p w:rsidR="005E694B" w:rsidRPr="001A3D2B" w:rsidRDefault="005E694B" w:rsidP="005E694B">
      <w:pPr>
        <w:pStyle w:val="12"/>
      </w:pPr>
      <w:r w:rsidRPr="001A3D2B">
        <w:t xml:space="preserve">Publisher Address: </w:t>
      </w:r>
    </w:p>
    <w:p w:rsidR="005E694B" w:rsidRPr="001A3D2B" w:rsidRDefault="005E694B" w:rsidP="005E694B">
      <w:pPr>
        <w:pStyle w:val="12"/>
      </w:pPr>
      <w:r w:rsidRPr="001A3D2B">
        <w:t>Subject Categories:</w:t>
      </w:r>
    </w:p>
    <w:p w:rsidR="005E694B" w:rsidRPr="001A3D2B" w:rsidRDefault="005E694B" w:rsidP="005E694B">
      <w:pPr>
        <w:pStyle w:val="12"/>
      </w:pPr>
      <w:r w:rsidRPr="001A3D2B">
        <w:t xml:space="preserve">: Impact Factor </w:t>
      </w:r>
    </w:p>
    <w:p w:rsidR="009B748D" w:rsidRDefault="009B748D" w:rsidP="009B748D">
      <w:pPr>
        <w:pStyle w:val="a3"/>
        <w:rPr>
          <w:kern w:val="0"/>
        </w:rPr>
      </w:pPr>
      <w:r>
        <w:rPr>
          <w:rFonts w:hint="eastAsia"/>
          <w:kern w:val="0"/>
        </w:rPr>
        <w:t xml:space="preserve">? </w:t>
      </w:r>
      <w:r>
        <w:rPr>
          <w:kern w:val="0"/>
        </w:rPr>
        <w:t xml:space="preserve">Cameron, I. (1989), The top </w:t>
      </w:r>
      <w:r w:rsidRPr="009B748D">
        <w:rPr>
          <w:kern w:val="0"/>
        </w:rPr>
        <w:t>one hundred</w:t>
      </w:r>
      <w:r>
        <w:rPr>
          <w:kern w:val="0"/>
        </w:rPr>
        <w:t xml:space="preserve">. </w:t>
      </w:r>
      <w:r>
        <w:rPr>
          <w:i/>
          <w:iCs/>
          <w:kern w:val="0"/>
        </w:rPr>
        <w:t>Canadian Family Physician</w:t>
      </w:r>
      <w:r>
        <w:rPr>
          <w:kern w:val="0"/>
        </w:rPr>
        <w:t xml:space="preserve">, </w:t>
      </w:r>
      <w:r>
        <w:rPr>
          <w:b/>
          <w:bCs/>
          <w:kern w:val="0"/>
        </w:rPr>
        <w:t>35</w:t>
      </w:r>
      <w:r>
        <w:rPr>
          <w:kern w:val="0"/>
        </w:rPr>
        <w:t>, 1713</w:t>
      </w:r>
      <w:r>
        <w:rPr>
          <w:rFonts w:hint="eastAsia"/>
          <w:kern w:val="0"/>
        </w:rPr>
        <w:t>.</w:t>
      </w:r>
    </w:p>
    <w:p w:rsidR="009B748D" w:rsidRDefault="009B748D" w:rsidP="009B748D">
      <w:pPr>
        <w:pStyle w:val="a3"/>
        <w:rPr>
          <w:kern w:val="0"/>
          <w:szCs w:val="24"/>
        </w:rPr>
      </w:pPr>
      <w:r>
        <w:rPr>
          <w:rFonts w:hint="eastAsia"/>
          <w:kern w:val="0"/>
          <w:szCs w:val="24"/>
        </w:rPr>
        <w:t xml:space="preserve">Full Text: </w:t>
      </w:r>
      <w:hyperlink r:id="rId27" w:history="1">
        <w:r w:rsidRPr="009B748D">
          <w:rPr>
            <w:rStyle w:val="a5"/>
            <w:kern w:val="0"/>
            <w:szCs w:val="24"/>
          </w:rPr>
          <w:t>1898\Can Fam Phy35, 1713.pdf</w:t>
        </w:r>
      </w:hyperlink>
    </w:p>
    <w:p w:rsidR="009B748D" w:rsidRDefault="009B748D" w:rsidP="009B748D">
      <w:pPr>
        <w:pStyle w:val="a3"/>
        <w:rPr>
          <w:kern w:val="0"/>
        </w:rPr>
      </w:pPr>
      <w:r>
        <w:rPr>
          <w:kern w:val="0"/>
        </w:rPr>
        <w:t>Keywords: Top 100</w:t>
      </w:r>
    </w:p>
    <w:p w:rsidR="003532DC" w:rsidRDefault="003532DC" w:rsidP="003532DC">
      <w:pPr>
        <w:pStyle w:val="a3"/>
        <w:rPr>
          <w:kern w:val="0"/>
        </w:rPr>
      </w:pPr>
      <w:r>
        <w:rPr>
          <w:rFonts w:hint="eastAsia"/>
          <w:kern w:val="0"/>
        </w:rPr>
        <w:t xml:space="preserve">? </w:t>
      </w:r>
      <w:r>
        <w:rPr>
          <w:kern w:val="0"/>
        </w:rPr>
        <w:t>Beever, R. (2009), Far-infrared saunas for treatment</w:t>
      </w:r>
      <w:r w:rsidR="00427468">
        <w:rPr>
          <w:kern w:val="0"/>
        </w:rPr>
        <w:t xml:space="preserve"> of </w:t>
      </w:r>
      <w:r>
        <w:rPr>
          <w:kern w:val="0"/>
        </w:rPr>
        <w:t>cardiovascular risk factors</w:t>
      </w:r>
      <w:r>
        <w:rPr>
          <w:rFonts w:hint="eastAsia"/>
          <w:kern w:val="0"/>
        </w:rPr>
        <w:t>:</w:t>
      </w:r>
      <w:r>
        <w:rPr>
          <w:kern w:val="0"/>
        </w:rPr>
        <w:t xml:space="preserve"> Summary</w:t>
      </w:r>
      <w:r w:rsidR="00427468">
        <w:rPr>
          <w:kern w:val="0"/>
        </w:rPr>
        <w:t xml:space="preserve"> of </w:t>
      </w:r>
      <w:r>
        <w:rPr>
          <w:kern w:val="0"/>
        </w:rPr>
        <w:t xml:space="preserve">published evidence. </w:t>
      </w:r>
      <w:r>
        <w:rPr>
          <w:i/>
          <w:iCs/>
          <w:kern w:val="0"/>
        </w:rPr>
        <w:t>Canadian Family Physician</w:t>
      </w:r>
      <w:r>
        <w:rPr>
          <w:kern w:val="0"/>
        </w:rPr>
        <w:t xml:space="preserve">, </w:t>
      </w:r>
      <w:r>
        <w:rPr>
          <w:b/>
          <w:bCs/>
          <w:kern w:val="0"/>
        </w:rPr>
        <w:t>55</w:t>
      </w:r>
      <w:r>
        <w:rPr>
          <w:kern w:val="0"/>
        </w:rPr>
        <w:t xml:space="preserve"> (7), 691-696.</w:t>
      </w:r>
    </w:p>
    <w:p w:rsidR="003464B5" w:rsidRDefault="003464B5" w:rsidP="003464B5">
      <w:pPr>
        <w:pStyle w:val="a3"/>
        <w:rPr>
          <w:kern w:val="0"/>
          <w:szCs w:val="24"/>
        </w:rPr>
      </w:pPr>
      <w:r>
        <w:rPr>
          <w:rFonts w:hint="eastAsia"/>
          <w:kern w:val="0"/>
          <w:szCs w:val="24"/>
        </w:rPr>
        <w:t xml:space="preserve">Full Text: </w:t>
      </w:r>
      <w:hyperlink r:id="rId28" w:history="1">
        <w:r w:rsidRPr="0062019F">
          <w:rPr>
            <w:rStyle w:val="a5"/>
            <w:kern w:val="0"/>
            <w:szCs w:val="24"/>
          </w:rPr>
          <w:t>2009\Can Fam Phy55, 691.pdf</w:t>
        </w:r>
      </w:hyperlink>
    </w:p>
    <w:p w:rsidR="003532DC" w:rsidRDefault="003532DC" w:rsidP="003532DC">
      <w:pPr>
        <w:pStyle w:val="a3"/>
        <w:rPr>
          <w:kern w:val="0"/>
        </w:rPr>
      </w:pPr>
      <w:r>
        <w:rPr>
          <w:kern w:val="0"/>
        </w:rPr>
        <w:t>Abstract: OBJECTIVE To review</w:t>
      </w:r>
      <w:r w:rsidR="003A1917">
        <w:rPr>
          <w:kern w:val="0"/>
        </w:rPr>
        <w:t xml:space="preserve"> the </w:t>
      </w:r>
      <w:r>
        <w:rPr>
          <w:kern w:val="0"/>
        </w:rPr>
        <w:t>literature about</w:t>
      </w:r>
      <w:r w:rsidR="003A1917">
        <w:rPr>
          <w:kern w:val="0"/>
        </w:rPr>
        <w:t xml:space="preserve"> the </w:t>
      </w:r>
      <w:r>
        <w:rPr>
          <w:kern w:val="0"/>
        </w:rPr>
        <w:t>health benefits</w:t>
      </w:r>
      <w:r w:rsidR="00427468">
        <w:rPr>
          <w:kern w:val="0"/>
        </w:rPr>
        <w:t xml:space="preserve"> of </w:t>
      </w:r>
      <w:r>
        <w:rPr>
          <w:kern w:val="0"/>
        </w:rPr>
        <w:t>far-infrared sauna (FIRS) use. QUALITY</w:t>
      </w:r>
      <w:r w:rsidR="00427468">
        <w:rPr>
          <w:kern w:val="0"/>
        </w:rPr>
        <w:t xml:space="preserve"> of </w:t>
      </w:r>
      <w:r>
        <w:rPr>
          <w:kern w:val="0"/>
        </w:rPr>
        <w:t>EVIDENCE A search</w:t>
      </w:r>
      <w:r w:rsidR="00427468">
        <w:rPr>
          <w:kern w:val="0"/>
        </w:rPr>
        <w:t xml:space="preserve"> of </w:t>
      </w:r>
      <w:r w:rsidR="00D5664A">
        <w:rPr>
          <w:kern w:val="0"/>
        </w:rPr>
        <w:t>Web</w:t>
      </w:r>
      <w:r w:rsidR="00427468">
        <w:rPr>
          <w:kern w:val="0"/>
        </w:rPr>
        <w:t xml:space="preserve"> of </w:t>
      </w:r>
      <w:r w:rsidR="00D5664A">
        <w:rPr>
          <w:kern w:val="0"/>
        </w:rPr>
        <w:t>Science</w:t>
      </w:r>
      <w:r>
        <w:rPr>
          <w:kern w:val="0"/>
        </w:rPr>
        <w:t xml:space="preserve">, EBSCO, Ovid </w:t>
      </w:r>
      <w:r w:rsidR="00D5664A">
        <w:rPr>
          <w:kern w:val="0"/>
        </w:rPr>
        <w:t>MEDLINE</w:t>
      </w:r>
      <w:r>
        <w:rPr>
          <w:kern w:val="0"/>
        </w:rPr>
        <w:t>, Ovid HealthSTAR,</w:t>
      </w:r>
      <w:r w:rsidR="005853A9">
        <w:rPr>
          <w:kern w:val="0"/>
        </w:rPr>
        <w:t xml:space="preserve"> and </w:t>
      </w:r>
      <w:r>
        <w:rPr>
          <w:kern w:val="0"/>
        </w:rPr>
        <w:t>EMBASE using</w:t>
      </w:r>
      <w:r w:rsidR="003A1917">
        <w:rPr>
          <w:kern w:val="0"/>
        </w:rPr>
        <w:t xml:space="preserve"> the </w:t>
      </w:r>
      <w:r>
        <w:rPr>
          <w:kern w:val="0"/>
        </w:rPr>
        <w:t>terms far-infrared</w:t>
      </w:r>
      <w:r w:rsidR="005853A9">
        <w:rPr>
          <w:kern w:val="0"/>
        </w:rPr>
        <w:t xml:space="preserve"> and </w:t>
      </w:r>
      <w:r>
        <w:rPr>
          <w:kern w:val="0"/>
        </w:rPr>
        <w:t>sauna, refined by limiting</w:t>
      </w:r>
      <w:r w:rsidR="003A1917">
        <w:rPr>
          <w:kern w:val="0"/>
        </w:rPr>
        <w:t xml:space="preserve"> the </w:t>
      </w:r>
      <w:r>
        <w:rPr>
          <w:kern w:val="0"/>
        </w:rPr>
        <w:t>search to studies</w:t>
      </w:r>
      <w:r w:rsidR="00427468">
        <w:rPr>
          <w:kern w:val="0"/>
        </w:rPr>
        <w:t xml:space="preserve"> of </w:t>
      </w:r>
      <w:r>
        <w:rPr>
          <w:kern w:val="0"/>
        </w:rPr>
        <w:t>humans published in English, yielded 9 relevant papers (level I or level II evidence). MAIN MESSAGE Far-infrared saunas are approved by</w:t>
      </w:r>
      <w:r w:rsidR="003A1917">
        <w:rPr>
          <w:kern w:val="0"/>
        </w:rPr>
        <w:t xml:space="preserve"> the </w:t>
      </w:r>
      <w:r>
        <w:rPr>
          <w:kern w:val="0"/>
        </w:rPr>
        <w:t>Canadian Standards Association</w:t>
      </w:r>
      <w:r w:rsidR="005853A9">
        <w:rPr>
          <w:kern w:val="0"/>
        </w:rPr>
        <w:t xml:space="preserve"> and </w:t>
      </w:r>
      <w:r>
        <w:rPr>
          <w:kern w:val="0"/>
        </w:rPr>
        <w:t>are sold to</w:t>
      </w:r>
      <w:r w:rsidR="003A1917">
        <w:rPr>
          <w:kern w:val="0"/>
        </w:rPr>
        <w:t xml:space="preserve"> the </w:t>
      </w:r>
      <w:r>
        <w:rPr>
          <w:kern w:val="0"/>
        </w:rPr>
        <w:t>public</w:t>
      </w:r>
      <w:r w:rsidR="00A37C1D">
        <w:rPr>
          <w:kern w:val="0"/>
        </w:rPr>
        <w:t>. The</w:t>
      </w:r>
      <w:r w:rsidR="003A1917">
        <w:rPr>
          <w:kern w:val="0"/>
        </w:rPr>
        <w:t xml:space="preserve"> </w:t>
      </w:r>
      <w:r>
        <w:rPr>
          <w:kern w:val="0"/>
        </w:rPr>
        <w:t>manufacturers claim numerous health benefits; however,</w:t>
      </w:r>
      <w:r w:rsidR="003A1917">
        <w:rPr>
          <w:kern w:val="0"/>
        </w:rPr>
        <w:t xml:space="preserve"> the </w:t>
      </w:r>
      <w:r>
        <w:rPr>
          <w:kern w:val="0"/>
        </w:rPr>
        <w:t>published evidence to substantiate these claims is limited. Four papers support</w:t>
      </w:r>
      <w:r w:rsidR="003A1917">
        <w:rPr>
          <w:kern w:val="0"/>
        </w:rPr>
        <w:t xml:space="preserve"> the </w:t>
      </w:r>
      <w:r>
        <w:rPr>
          <w:kern w:val="0"/>
        </w:rPr>
        <w:t>use</w:t>
      </w:r>
      <w:r w:rsidR="00427468">
        <w:rPr>
          <w:kern w:val="0"/>
        </w:rPr>
        <w:t xml:space="preserve"> of </w:t>
      </w:r>
      <w:r>
        <w:rPr>
          <w:kern w:val="0"/>
        </w:rPr>
        <w:t>FIRS therapy for those with congestive heart failure</w:t>
      </w:r>
      <w:r w:rsidR="005853A9">
        <w:rPr>
          <w:kern w:val="0"/>
        </w:rPr>
        <w:t xml:space="preserve"> and </w:t>
      </w:r>
      <w:r>
        <w:rPr>
          <w:kern w:val="0"/>
        </w:rPr>
        <w:t>5 papers support its use for those with coronary risk factors. CONCLUSION There is limited moderate evidence supporting FIRS efficacy in normalizing blood pressure</w:t>
      </w:r>
      <w:r w:rsidR="005853A9">
        <w:rPr>
          <w:kern w:val="0"/>
        </w:rPr>
        <w:t xml:space="preserve"> and </w:t>
      </w:r>
      <w:r>
        <w:rPr>
          <w:kern w:val="0"/>
        </w:rPr>
        <w:t>treating congestive heart failure; fair evidence, from a single study, supporting FIRS therapy in chronic pain; weak evidence, from a single study, supporting FIRS therapy in chronic fatigue syndrome; weak evidence, from a single study, supporting FIRS therapy for obesity;</w:t>
      </w:r>
      <w:r w:rsidR="005853A9">
        <w:rPr>
          <w:kern w:val="0"/>
        </w:rPr>
        <w:t xml:space="preserve"> and </w:t>
      </w:r>
      <w:r>
        <w:rPr>
          <w:kern w:val="0"/>
        </w:rPr>
        <w:t>consistent fair evidence to refute claims regarding</w:t>
      </w:r>
      <w:r w:rsidR="003A1917">
        <w:rPr>
          <w:kern w:val="0"/>
        </w:rPr>
        <w:t xml:space="preserve"> the </w:t>
      </w:r>
      <w:r>
        <w:rPr>
          <w:kern w:val="0"/>
        </w:rPr>
        <w:t>role</w:t>
      </w:r>
      <w:r w:rsidR="00427468">
        <w:rPr>
          <w:kern w:val="0"/>
        </w:rPr>
        <w:t xml:space="preserve"> of </w:t>
      </w:r>
      <w:r>
        <w:rPr>
          <w:kern w:val="0"/>
        </w:rPr>
        <w:t>FIRSs in cholesterol reduction.</w:t>
      </w:r>
    </w:p>
    <w:p w:rsidR="003532DC" w:rsidRDefault="003532DC" w:rsidP="003532DC">
      <w:pPr>
        <w:pStyle w:val="a3"/>
        <w:rPr>
          <w:kern w:val="0"/>
        </w:rPr>
      </w:pPr>
      <w:r>
        <w:rPr>
          <w:kern w:val="0"/>
        </w:rPr>
        <w:t xml:space="preserve">Keywords: Blood, Blood Pressure, Cardiovascular, Cardiovascular Risk, Chronic Heart-Failure, Efficacy, Embase, Fatigue, Health Benefits, Humans, Literature, </w:t>
      </w:r>
      <w:r w:rsidR="00D5664A">
        <w:rPr>
          <w:kern w:val="0"/>
        </w:rPr>
        <w:t>MEDLINE</w:t>
      </w:r>
      <w:r>
        <w:rPr>
          <w:kern w:val="0"/>
        </w:rPr>
        <w:t xml:space="preserve">, Obesity, Pain, Papers, Pressure, Quality, Repeated Thermal Therapy, </w:t>
      </w:r>
      <w:r>
        <w:rPr>
          <w:kern w:val="0"/>
        </w:rPr>
        <w:lastRenderedPageBreak/>
        <w:t xml:space="preserve">Review, Risk, Risk Factors, Safety, Science, Therapy, Treatment, </w:t>
      </w:r>
      <w:r w:rsidR="00D5664A">
        <w:rPr>
          <w:kern w:val="0"/>
        </w:rPr>
        <w:t>Web</w:t>
      </w:r>
      <w:r w:rsidR="00427468">
        <w:rPr>
          <w:kern w:val="0"/>
        </w:rPr>
        <w:t xml:space="preserve"> of </w:t>
      </w:r>
      <w:r w:rsidR="00D5664A">
        <w:rPr>
          <w:kern w:val="0"/>
        </w:rPr>
        <w:t>Science</w:t>
      </w:r>
    </w:p>
    <w:p w:rsidR="005E694B" w:rsidRDefault="005E694B" w:rsidP="005E694B">
      <w:pPr>
        <w:pStyle w:val="a3"/>
        <w:rPr>
          <w:kern w:val="0"/>
          <w:szCs w:val="24"/>
        </w:rPr>
      </w:pPr>
      <w:r>
        <w:rPr>
          <w:rFonts w:hint="eastAsia"/>
          <w:kern w:val="0"/>
          <w:szCs w:val="24"/>
        </w:rPr>
        <w:t xml:space="preserve">? </w:t>
      </w:r>
      <w:r>
        <w:rPr>
          <w:kern w:val="0"/>
          <w:szCs w:val="24"/>
        </w:rPr>
        <w:t>Pimlott, N.</w:t>
      </w:r>
      <w:r w:rsidR="005853A9">
        <w:rPr>
          <w:kern w:val="0"/>
          <w:szCs w:val="24"/>
        </w:rPr>
        <w:t xml:space="preserve"> and </w:t>
      </w:r>
      <w:r>
        <w:rPr>
          <w:kern w:val="0"/>
          <w:szCs w:val="24"/>
        </w:rPr>
        <w:t>Ladouceur, R. (2010), Notice</w:t>
      </w:r>
      <w:r w:rsidR="00427468">
        <w:rPr>
          <w:kern w:val="0"/>
          <w:szCs w:val="24"/>
        </w:rPr>
        <w:t xml:space="preserve"> of </w:t>
      </w:r>
      <w:r>
        <w:rPr>
          <w:kern w:val="0"/>
          <w:szCs w:val="24"/>
        </w:rPr>
        <w:t xml:space="preserve">retraction: Plagiarism in </w:t>
      </w:r>
      <w:r w:rsidR="00B5188C">
        <w:rPr>
          <w:kern w:val="0"/>
          <w:szCs w:val="24"/>
        </w:rPr>
        <w:t>“</w:t>
      </w:r>
      <w:r>
        <w:rPr>
          <w:kern w:val="0"/>
          <w:szCs w:val="24"/>
        </w:rPr>
        <w:t>Common colds. Causes, potential cures,</w:t>
      </w:r>
      <w:r w:rsidR="005853A9">
        <w:rPr>
          <w:kern w:val="0"/>
          <w:szCs w:val="24"/>
        </w:rPr>
        <w:t xml:space="preserve"> and </w:t>
      </w:r>
      <w:r>
        <w:rPr>
          <w:kern w:val="0"/>
          <w:szCs w:val="24"/>
        </w:rPr>
        <w:t>treatment</w:t>
      </w:r>
      <w:r w:rsidR="00B5188C">
        <w:rPr>
          <w:kern w:val="0"/>
          <w:szCs w:val="24"/>
        </w:rPr>
        <w:t>”</w:t>
      </w:r>
      <w:r>
        <w:rPr>
          <w:kern w:val="0"/>
          <w:szCs w:val="24"/>
        </w:rPr>
        <w:t xml:space="preserve"> (Can Fam Physician 1993;39:2215-20). </w:t>
      </w:r>
      <w:r w:rsidRPr="005E694B">
        <w:rPr>
          <w:i/>
          <w:iCs/>
          <w:kern w:val="0"/>
          <w:szCs w:val="24"/>
        </w:rPr>
        <w:t>Canadian Family Physician</w:t>
      </w:r>
      <w:r>
        <w:rPr>
          <w:kern w:val="0"/>
          <w:szCs w:val="24"/>
        </w:rPr>
        <w:t xml:space="preserve">, </w:t>
      </w:r>
      <w:r>
        <w:rPr>
          <w:b/>
          <w:bCs/>
          <w:kern w:val="0"/>
          <w:szCs w:val="24"/>
        </w:rPr>
        <w:t>56</w:t>
      </w:r>
      <w:r>
        <w:rPr>
          <w:kern w:val="0"/>
          <w:szCs w:val="24"/>
        </w:rPr>
        <w:t xml:space="preserve"> (5), 413</w:t>
      </w:r>
      <w:r>
        <w:rPr>
          <w:rFonts w:hint="eastAsia"/>
          <w:kern w:val="0"/>
          <w:szCs w:val="24"/>
        </w:rPr>
        <w:t>.</w:t>
      </w:r>
    </w:p>
    <w:p w:rsidR="005E694B" w:rsidRDefault="005E694B" w:rsidP="005E694B">
      <w:pPr>
        <w:pStyle w:val="a3"/>
        <w:rPr>
          <w:kern w:val="0"/>
          <w:szCs w:val="24"/>
        </w:rPr>
      </w:pPr>
      <w:r>
        <w:rPr>
          <w:rFonts w:hint="eastAsia"/>
          <w:kern w:val="0"/>
          <w:szCs w:val="24"/>
        </w:rPr>
        <w:t xml:space="preserve">Full Text: </w:t>
      </w:r>
      <w:hyperlink r:id="rId29" w:history="1">
        <w:r w:rsidRPr="005E694B">
          <w:rPr>
            <w:rStyle w:val="a5"/>
            <w:kern w:val="0"/>
            <w:szCs w:val="24"/>
          </w:rPr>
          <w:t>2010\Can Fam Phy56, 413.pdf</w:t>
        </w:r>
      </w:hyperlink>
    </w:p>
    <w:p w:rsidR="005E694B" w:rsidRDefault="005E694B" w:rsidP="005E694B">
      <w:pPr>
        <w:pStyle w:val="a3"/>
        <w:rPr>
          <w:kern w:val="0"/>
          <w:szCs w:val="24"/>
        </w:rPr>
      </w:pPr>
      <w:r>
        <w:rPr>
          <w:kern w:val="0"/>
          <w:szCs w:val="24"/>
        </w:rPr>
        <w:t>Keywords: Plagiarism</w:t>
      </w:r>
    </w:p>
    <w:p w:rsidR="00D47627" w:rsidRDefault="00D47627" w:rsidP="00D47627">
      <w:pPr>
        <w:pStyle w:val="a3"/>
        <w:rPr>
          <w:kern w:val="0"/>
        </w:rPr>
      </w:pPr>
      <w:r>
        <w:rPr>
          <w:rFonts w:hint="eastAsia"/>
          <w:kern w:val="0"/>
        </w:rPr>
        <w:t xml:space="preserve">? </w:t>
      </w:r>
      <w:r>
        <w:rPr>
          <w:kern w:val="0"/>
        </w:rPr>
        <w:t>Pauls, M.A. (2012), Teaching</w:t>
      </w:r>
      <w:r w:rsidR="005853A9">
        <w:rPr>
          <w:kern w:val="0"/>
        </w:rPr>
        <w:t xml:space="preserve"> and </w:t>
      </w:r>
      <w:r>
        <w:rPr>
          <w:kern w:val="0"/>
        </w:rPr>
        <w:t>evaluation</w:t>
      </w:r>
      <w:r w:rsidR="00427468">
        <w:rPr>
          <w:kern w:val="0"/>
        </w:rPr>
        <w:t xml:space="preserve"> of </w:t>
      </w:r>
      <w:r>
        <w:rPr>
          <w:kern w:val="0"/>
        </w:rPr>
        <w:t>ethics</w:t>
      </w:r>
      <w:r w:rsidR="005853A9">
        <w:rPr>
          <w:kern w:val="0"/>
        </w:rPr>
        <w:t xml:space="preserve"> and </w:t>
      </w:r>
      <w:r>
        <w:rPr>
          <w:kern w:val="0"/>
        </w:rPr>
        <w:t>professionalism</w:t>
      </w:r>
      <w:r>
        <w:rPr>
          <w:rFonts w:hint="eastAsia"/>
          <w:kern w:val="0"/>
        </w:rPr>
        <w:t>:</w:t>
      </w:r>
      <w:r>
        <w:rPr>
          <w:kern w:val="0"/>
        </w:rPr>
        <w:t xml:space="preserve"> In Canadian family medicine residency programs. </w:t>
      </w:r>
      <w:r>
        <w:rPr>
          <w:i/>
          <w:iCs/>
          <w:kern w:val="0"/>
        </w:rPr>
        <w:t>Canadian Family Physician</w:t>
      </w:r>
      <w:r>
        <w:rPr>
          <w:kern w:val="0"/>
        </w:rPr>
        <w:t xml:space="preserve">, </w:t>
      </w:r>
      <w:r>
        <w:rPr>
          <w:b/>
          <w:bCs/>
          <w:kern w:val="0"/>
        </w:rPr>
        <w:t>58</w:t>
      </w:r>
      <w:r>
        <w:rPr>
          <w:kern w:val="0"/>
        </w:rPr>
        <w:t xml:space="preserve"> (12), E751-E756.</w:t>
      </w:r>
    </w:p>
    <w:p w:rsidR="00D47627" w:rsidRDefault="00D47627" w:rsidP="00D47627">
      <w:pPr>
        <w:pStyle w:val="a3"/>
        <w:rPr>
          <w:kern w:val="0"/>
          <w:szCs w:val="24"/>
        </w:rPr>
      </w:pPr>
      <w:r>
        <w:rPr>
          <w:rFonts w:hint="eastAsia"/>
          <w:kern w:val="0"/>
          <w:szCs w:val="24"/>
        </w:rPr>
        <w:t xml:space="preserve">Full Text: </w:t>
      </w:r>
      <w:hyperlink r:id="rId30" w:history="1">
        <w:r w:rsidRPr="00C74C5B">
          <w:rPr>
            <w:rStyle w:val="a5"/>
            <w:kern w:val="0"/>
            <w:szCs w:val="24"/>
          </w:rPr>
          <w:t>2012\Can Fam Phy58, E751.pdf</w:t>
        </w:r>
      </w:hyperlink>
    </w:p>
    <w:p w:rsidR="00D47627" w:rsidRDefault="00D47627" w:rsidP="00D47627">
      <w:pPr>
        <w:pStyle w:val="a3"/>
        <w:rPr>
          <w:kern w:val="0"/>
        </w:rPr>
      </w:pPr>
      <w:r>
        <w:rPr>
          <w:kern w:val="0"/>
        </w:rPr>
        <w:t>: Objective To document the scope</w:t>
      </w:r>
      <w:r w:rsidR="00427468">
        <w:rPr>
          <w:kern w:val="0"/>
        </w:rPr>
        <w:t xml:space="preserve"> of </w:t>
      </w:r>
      <w:r>
        <w:rPr>
          <w:kern w:val="0"/>
        </w:rPr>
        <w:t>the teaching</w:t>
      </w:r>
      <w:r w:rsidR="005853A9">
        <w:rPr>
          <w:kern w:val="0"/>
        </w:rPr>
        <w:t xml:space="preserve"> and </w:t>
      </w:r>
      <w:r>
        <w:rPr>
          <w:kern w:val="0"/>
        </w:rPr>
        <w:t>evaluation</w:t>
      </w:r>
      <w:r w:rsidR="00427468">
        <w:rPr>
          <w:kern w:val="0"/>
        </w:rPr>
        <w:t xml:space="preserve"> of </w:t>
      </w:r>
      <w:r>
        <w:rPr>
          <w:kern w:val="0"/>
        </w:rPr>
        <w:t>ethics</w:t>
      </w:r>
      <w:r w:rsidR="005853A9">
        <w:rPr>
          <w:kern w:val="0"/>
        </w:rPr>
        <w:t xml:space="preserve"> and </w:t>
      </w:r>
      <w:r>
        <w:rPr>
          <w:kern w:val="0"/>
        </w:rPr>
        <w:t>professionalism in Canadian family medicine postgraduate training programs,</w:t>
      </w:r>
      <w:r w:rsidR="005853A9">
        <w:rPr>
          <w:kern w:val="0"/>
        </w:rPr>
        <w:t xml:space="preserve"> and </w:t>
      </w:r>
      <w:r>
        <w:rPr>
          <w:kern w:val="0"/>
        </w:rPr>
        <w:t>to identify barriers to the teaching</w:t>
      </w:r>
      <w:r w:rsidR="005853A9">
        <w:rPr>
          <w:kern w:val="0"/>
        </w:rPr>
        <w:t xml:space="preserve"> and </w:t>
      </w:r>
      <w:r>
        <w:rPr>
          <w:kern w:val="0"/>
        </w:rPr>
        <w:t>evaluation</w:t>
      </w:r>
      <w:r w:rsidR="00427468">
        <w:rPr>
          <w:kern w:val="0"/>
        </w:rPr>
        <w:t xml:space="preserve"> of </w:t>
      </w:r>
      <w:r>
        <w:rPr>
          <w:kern w:val="0"/>
        </w:rPr>
        <w:t>ethics</w:t>
      </w:r>
      <w:r w:rsidR="005853A9">
        <w:rPr>
          <w:kern w:val="0"/>
        </w:rPr>
        <w:t xml:space="preserve"> and </w:t>
      </w:r>
      <w:r>
        <w:rPr>
          <w:kern w:val="0"/>
        </w:rPr>
        <w:t>professionalism. Design A survey was developed in collaboration with the Committee on Ethics</w:t>
      </w:r>
      <w:r w:rsidR="00427468">
        <w:rPr>
          <w:kern w:val="0"/>
        </w:rPr>
        <w:t xml:space="preserve"> of </w:t>
      </w:r>
      <w:r>
        <w:rPr>
          <w:kern w:val="0"/>
        </w:rPr>
        <w:t>the College</w:t>
      </w:r>
      <w:r w:rsidR="00427468">
        <w:rPr>
          <w:kern w:val="0"/>
        </w:rPr>
        <w:t xml:space="preserve"> of </w:t>
      </w:r>
      <w:r>
        <w:rPr>
          <w:kern w:val="0"/>
        </w:rPr>
        <w:t>Family Physicians</w:t>
      </w:r>
      <w:r w:rsidR="00427468">
        <w:rPr>
          <w:kern w:val="0"/>
        </w:rPr>
        <w:t xml:space="preserve"> of </w:t>
      </w:r>
      <w:r>
        <w:rPr>
          <w:kern w:val="0"/>
        </w:rPr>
        <w:t>Canada</w:t>
      </w:r>
      <w:r w:rsidR="00A37C1D">
        <w:rPr>
          <w:kern w:val="0"/>
        </w:rPr>
        <w:t>. The</w:t>
      </w:r>
      <w:r>
        <w:rPr>
          <w:kern w:val="0"/>
        </w:rPr>
        <w:t xml:space="preserve"> data are reported descriptively</w:t>
      </w:r>
      <w:r w:rsidR="005853A9">
        <w:rPr>
          <w:kern w:val="0"/>
        </w:rPr>
        <w:t xml:space="preserve"> and </w:t>
      </w:r>
      <w:r>
        <w:rPr>
          <w:kern w:val="0"/>
        </w:rPr>
        <w:t>in aggregate. Setting Canadian postgraduate family medicine training programs. Participants Between June</w:t>
      </w:r>
      <w:r w:rsidR="005853A9">
        <w:rPr>
          <w:kern w:val="0"/>
        </w:rPr>
        <w:t xml:space="preserve"> and </w:t>
      </w:r>
      <w:r>
        <w:rPr>
          <w:kern w:val="0"/>
        </w:rPr>
        <w:t>December</w:t>
      </w:r>
      <w:r w:rsidR="00427468">
        <w:rPr>
          <w:kern w:val="0"/>
        </w:rPr>
        <w:t xml:space="preserve"> of </w:t>
      </w:r>
      <w:r>
        <w:rPr>
          <w:kern w:val="0"/>
        </w:rPr>
        <w:t>2008, all 17 Canadian postgraduate family medicine training programs were invited to participate. Main outcome measures The first part</w:t>
      </w:r>
      <w:r w:rsidR="00427468">
        <w:rPr>
          <w:kern w:val="0"/>
        </w:rPr>
        <w:t xml:space="preserve"> of </w:t>
      </w:r>
      <w:r>
        <w:rPr>
          <w:kern w:val="0"/>
        </w:rPr>
        <w:t>the survey explored the structure, resources, methods, scheduled hours,</w:t>
      </w:r>
      <w:r w:rsidR="005853A9">
        <w:rPr>
          <w:kern w:val="0"/>
        </w:rPr>
        <w:t xml:space="preserve"> and </w:t>
      </w:r>
      <w:r>
        <w:rPr>
          <w:kern w:val="0"/>
        </w:rPr>
        <w:t>barriers to teaching ethics</w:t>
      </w:r>
      <w:r w:rsidR="005853A9">
        <w:rPr>
          <w:kern w:val="0"/>
        </w:rPr>
        <w:t xml:space="preserve"> and </w:t>
      </w:r>
      <w:r>
        <w:rPr>
          <w:kern w:val="0"/>
        </w:rPr>
        <w:t>professionalism</w:t>
      </w:r>
      <w:r w:rsidR="00A37C1D">
        <w:rPr>
          <w:kern w:val="0"/>
        </w:rPr>
        <w:t>. The</w:t>
      </w:r>
      <w:r>
        <w:rPr>
          <w:kern w:val="0"/>
        </w:rPr>
        <w:t xml:space="preserve"> second section focused on end-of-rotation evaluations, other evaluation strategies,</w:t>
      </w:r>
      <w:r w:rsidR="005853A9">
        <w:rPr>
          <w:kern w:val="0"/>
        </w:rPr>
        <w:t xml:space="preserve"> and </w:t>
      </w:r>
      <w:r>
        <w:rPr>
          <w:kern w:val="0"/>
        </w:rPr>
        <w:t>barriers related to the evaluation</w:t>
      </w:r>
      <w:r w:rsidR="00427468">
        <w:rPr>
          <w:kern w:val="0"/>
        </w:rPr>
        <w:t xml:space="preserve"> of </w:t>
      </w:r>
      <w:r>
        <w:rPr>
          <w:kern w:val="0"/>
        </w:rPr>
        <w:t>ethics</w:t>
      </w:r>
      <w:r w:rsidR="005853A9">
        <w:rPr>
          <w:kern w:val="0"/>
        </w:rPr>
        <w:t xml:space="preserve"> and </w:t>
      </w:r>
      <w:r>
        <w:rPr>
          <w:kern w:val="0"/>
        </w:rPr>
        <w:t>professionalism. Results Eighty-eight percent</w:t>
      </w:r>
      <w:r w:rsidR="00427468">
        <w:rPr>
          <w:kern w:val="0"/>
        </w:rPr>
        <w:t xml:space="preserve"> of </w:t>
      </w:r>
      <w:r>
        <w:rPr>
          <w:kern w:val="0"/>
        </w:rPr>
        <w:t>programs completed the survey. Most respondents (87%) had learning objectives specifically for ethics</w:t>
      </w:r>
      <w:r w:rsidR="005853A9">
        <w:rPr>
          <w:kern w:val="0"/>
        </w:rPr>
        <w:t xml:space="preserve"> and </w:t>
      </w:r>
      <w:r>
        <w:rPr>
          <w:kern w:val="0"/>
        </w:rPr>
        <w:t>professionalism,</w:t>
      </w:r>
      <w:r w:rsidR="005853A9">
        <w:rPr>
          <w:kern w:val="0"/>
        </w:rPr>
        <w:t xml:space="preserve"> and </w:t>
      </w:r>
      <w:r>
        <w:rPr>
          <w:kern w:val="0"/>
        </w:rPr>
        <w:t>87% had family doctors with training or interest in the area leading their efforts. Two-thirds</w:t>
      </w:r>
      <w:r w:rsidR="00427468">
        <w:rPr>
          <w:kern w:val="0"/>
        </w:rPr>
        <w:t xml:space="preserve"> of </w:t>
      </w:r>
      <w:r>
        <w:rPr>
          <w:kern w:val="0"/>
        </w:rPr>
        <w:t>responding programs had less than 10 hours</w:t>
      </w:r>
      <w:r w:rsidR="00427468">
        <w:rPr>
          <w:kern w:val="0"/>
        </w:rPr>
        <w:t xml:space="preserve"> of </w:t>
      </w:r>
      <w:r>
        <w:rPr>
          <w:kern w:val="0"/>
        </w:rPr>
        <w:t>scheduled instruction per year,</w:t>
      </w:r>
      <w:r w:rsidR="005853A9">
        <w:rPr>
          <w:kern w:val="0"/>
        </w:rPr>
        <w:t xml:space="preserve"> and </w:t>
      </w:r>
      <w:r>
        <w:rPr>
          <w:kern w:val="0"/>
        </w:rPr>
        <w:t>the most common barriers to effective teaching were the need for faculty development, competing learning needs,</w:t>
      </w:r>
      <w:r w:rsidR="005853A9">
        <w:rPr>
          <w:kern w:val="0"/>
        </w:rPr>
        <w:t xml:space="preserve"> and </w:t>
      </w:r>
      <w:r>
        <w:rPr>
          <w:kern w:val="0"/>
        </w:rPr>
        <w:t>lack</w:t>
      </w:r>
      <w:r w:rsidR="00427468">
        <w:rPr>
          <w:kern w:val="0"/>
        </w:rPr>
        <w:t xml:space="preserve"> of </w:t>
      </w:r>
      <w:r>
        <w:rPr>
          <w:kern w:val="0"/>
        </w:rPr>
        <w:t>resident interest. Ninety-three percent</w:t>
      </w:r>
      <w:r w:rsidR="00427468">
        <w:rPr>
          <w:kern w:val="0"/>
        </w:rPr>
        <w:t xml:space="preserve"> of </w:t>
      </w:r>
      <w:r>
        <w:rPr>
          <w:kern w:val="0"/>
        </w:rPr>
        <w:t>respondents assessed ethics</w:t>
      </w:r>
      <w:r w:rsidR="005853A9">
        <w:rPr>
          <w:kern w:val="0"/>
        </w:rPr>
        <w:t xml:space="preserve"> and </w:t>
      </w:r>
      <w:r>
        <w:rPr>
          <w:kern w:val="0"/>
        </w:rPr>
        <w:t>professionalism on their end-of-rotation evaluations, with 86% assessing specific domains</w:t>
      </w:r>
      <w:r w:rsidR="00A37C1D">
        <w:rPr>
          <w:kern w:val="0"/>
        </w:rPr>
        <w:t>. The</w:t>
      </w:r>
      <w:r>
        <w:rPr>
          <w:kern w:val="0"/>
        </w:rPr>
        <w:t xml:space="preserve"> most common barriers to evaluation were a lack</w:t>
      </w:r>
      <w:r w:rsidR="00427468">
        <w:rPr>
          <w:kern w:val="0"/>
        </w:rPr>
        <w:t xml:space="preserve"> of </w:t>
      </w:r>
      <w:r>
        <w:rPr>
          <w:kern w:val="0"/>
        </w:rPr>
        <w:t>suitable tools</w:t>
      </w:r>
      <w:r w:rsidR="005853A9">
        <w:rPr>
          <w:kern w:val="0"/>
        </w:rPr>
        <w:t xml:space="preserve"> and </w:t>
      </w:r>
      <w:r>
        <w:rPr>
          <w:kern w:val="0"/>
        </w:rPr>
        <w:t>a lack</w:t>
      </w:r>
      <w:r w:rsidR="00427468">
        <w:rPr>
          <w:kern w:val="0"/>
        </w:rPr>
        <w:t xml:space="preserve"> of </w:t>
      </w:r>
      <w:r>
        <w:rPr>
          <w:kern w:val="0"/>
        </w:rPr>
        <w:t>faculty comfort</w:t>
      </w:r>
      <w:r w:rsidR="005853A9">
        <w:rPr>
          <w:kern w:val="0"/>
        </w:rPr>
        <w:t xml:space="preserve"> and </w:t>
      </w:r>
      <w:r>
        <w:rPr>
          <w:kern w:val="0"/>
        </w:rPr>
        <w:t>interest. Conclusion By far most Canadian family medicine postgraduate training programs had learning objectives</w:t>
      </w:r>
      <w:r w:rsidR="005853A9">
        <w:rPr>
          <w:kern w:val="0"/>
        </w:rPr>
        <w:t xml:space="preserve"> and </w:t>
      </w:r>
      <w:r>
        <w:rPr>
          <w:kern w:val="0"/>
        </w:rPr>
        <w:t>designated faculty leads in ethics</w:t>
      </w:r>
      <w:r w:rsidR="005853A9">
        <w:rPr>
          <w:kern w:val="0"/>
        </w:rPr>
        <w:t xml:space="preserve"> and </w:t>
      </w:r>
      <w:r>
        <w:rPr>
          <w:kern w:val="0"/>
        </w:rPr>
        <w:t>professionalism, yet there was little curricular time dedicated to these areas</w:t>
      </w:r>
      <w:r w:rsidR="005853A9">
        <w:rPr>
          <w:kern w:val="0"/>
        </w:rPr>
        <w:t xml:space="preserve"> and </w:t>
      </w:r>
      <w:r>
        <w:rPr>
          <w:kern w:val="0"/>
        </w:rPr>
        <w:t>a perceived lack</w:t>
      </w:r>
      <w:r w:rsidR="00427468">
        <w:rPr>
          <w:kern w:val="0"/>
        </w:rPr>
        <w:t xml:space="preserve"> of </w:t>
      </w:r>
      <w:r>
        <w:rPr>
          <w:kern w:val="0"/>
        </w:rPr>
        <w:t>resident interest</w:t>
      </w:r>
      <w:r w:rsidR="005853A9">
        <w:rPr>
          <w:kern w:val="0"/>
        </w:rPr>
        <w:t xml:space="preserve"> and </w:t>
      </w:r>
      <w:r>
        <w:rPr>
          <w:kern w:val="0"/>
        </w:rPr>
        <w:t>faculty expertise. Most programs evaluated ethics</w:t>
      </w:r>
      <w:r w:rsidR="005853A9">
        <w:rPr>
          <w:kern w:val="0"/>
        </w:rPr>
        <w:t xml:space="preserve"> and </w:t>
      </w:r>
      <w:r>
        <w:rPr>
          <w:kern w:val="0"/>
        </w:rPr>
        <w:t>professionalism as part</w:t>
      </w:r>
      <w:r w:rsidR="00427468">
        <w:rPr>
          <w:kern w:val="0"/>
        </w:rPr>
        <w:t xml:space="preserve"> of </w:t>
      </w:r>
      <w:r>
        <w:rPr>
          <w:kern w:val="0"/>
        </w:rPr>
        <w:t>their end-of-rotation evaluations, but only a small number used novel means</w:t>
      </w:r>
      <w:r w:rsidR="00427468">
        <w:rPr>
          <w:kern w:val="0"/>
        </w:rPr>
        <w:t xml:space="preserve"> of </w:t>
      </w:r>
      <w:r>
        <w:rPr>
          <w:kern w:val="0"/>
        </w:rPr>
        <w:t>evaluation,</w:t>
      </w:r>
      <w:r w:rsidR="005853A9">
        <w:rPr>
          <w:kern w:val="0"/>
        </w:rPr>
        <w:t xml:space="preserve"> and </w:t>
      </w:r>
      <w:r>
        <w:rPr>
          <w:kern w:val="0"/>
        </w:rPr>
        <w:t>most cited a lack</w:t>
      </w:r>
      <w:r w:rsidR="00427468">
        <w:rPr>
          <w:kern w:val="0"/>
        </w:rPr>
        <w:t xml:space="preserve"> of </w:t>
      </w:r>
      <w:r>
        <w:rPr>
          <w:kern w:val="0"/>
        </w:rPr>
        <w:t>suitable assessment tools as an important barrier.</w:t>
      </w:r>
    </w:p>
    <w:p w:rsidR="00D47627" w:rsidRDefault="00D47627" w:rsidP="00D47627">
      <w:pPr>
        <w:pStyle w:val="a3"/>
        <w:rPr>
          <w:kern w:val="0"/>
        </w:rPr>
      </w:pPr>
      <w:r>
        <w:rPr>
          <w:kern w:val="0"/>
        </w:rPr>
        <w:t xml:space="preserve">Keywords: Assessing, Assessment, Barrier, Barriers, Canada, Collaboration, Data, Development, Doctors, Education, Ethics, Evaluation, Faculty, Family, Family </w:t>
      </w:r>
      <w:r>
        <w:rPr>
          <w:kern w:val="0"/>
        </w:rPr>
        <w:lastRenderedPageBreak/>
        <w:t>Medicine, First, Instruction, Learning, Medicine, Methods, Needs, Outcome, Outcome Measures, Physicians, Postgraduate Training, Professionalism, Residency, Resident, Resources, Scope, Small, Structure, Survey, Teaching, Training</w:t>
      </w:r>
    </w:p>
    <w:p w:rsidR="003474F2" w:rsidRPr="001A3D2B" w:rsidRDefault="003474F2" w:rsidP="003474F2">
      <w:pPr>
        <w:pStyle w:val="1"/>
      </w:pPr>
      <w:r w:rsidRPr="001A3D2B">
        <w:br w:type="page"/>
      </w:r>
      <w:bookmarkStart w:id="13" w:name="_Toc420814870"/>
      <w:r w:rsidRPr="001A3D2B">
        <w:lastRenderedPageBreak/>
        <w:t>Title: Canadian Family Physician Médecin de Famille Canadien</w:t>
      </w:r>
      <w:bookmarkEnd w:id="13"/>
    </w:p>
    <w:p w:rsidR="003474F2" w:rsidRPr="001A3D2B" w:rsidRDefault="003474F2" w:rsidP="003474F2">
      <w:pPr>
        <w:pStyle w:val="12"/>
      </w:pPr>
      <w:r w:rsidRPr="001A3D2B">
        <w:t>Full Journal Title: Canadian Family Physician Médecin de Famille Canadien</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Can Fam Physician</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64B5" w:rsidRDefault="003464B5" w:rsidP="003464B5">
      <w:pPr>
        <w:pStyle w:val="a3"/>
      </w:pPr>
      <w:r w:rsidRPr="00C73C58">
        <w:t>? Fortin, M., Lapointe, L., Hudon, C.</w:t>
      </w:r>
      <w:r w:rsidR="005853A9">
        <w:t xml:space="preserve"> and </w:t>
      </w:r>
      <w:r w:rsidRPr="00C73C58">
        <w:t xml:space="preserve">Vanasse, A. (2005), Multimorbidity is common to family practice: Is it commonly researched? </w:t>
      </w:r>
      <w:r w:rsidRPr="00C73C58">
        <w:rPr>
          <w:i/>
        </w:rPr>
        <w:t>Canadian Family Physician Médecin de Famille Canadien</w:t>
      </w:r>
      <w:r w:rsidRPr="00C73C58">
        <w:t xml:space="preserve">, </w:t>
      </w:r>
      <w:r w:rsidRPr="00C73C58">
        <w:rPr>
          <w:b/>
          <w:bCs/>
        </w:rPr>
        <w:t>51</w:t>
      </w:r>
      <w:r w:rsidRPr="00C73C58">
        <w:t>, 244-245.</w:t>
      </w:r>
    </w:p>
    <w:p w:rsidR="003464B5" w:rsidRPr="00C73C58" w:rsidRDefault="003464B5" w:rsidP="003464B5">
      <w:pPr>
        <w:pStyle w:val="a3"/>
      </w:pPr>
      <w:r>
        <w:rPr>
          <w:rFonts w:hint="eastAsia"/>
        </w:rPr>
        <w:t xml:space="preserve">Full Text: </w:t>
      </w:r>
      <w:hyperlink r:id="rId31" w:history="1">
        <w:r w:rsidRPr="009B29E7">
          <w:rPr>
            <w:rStyle w:val="a5"/>
          </w:rPr>
          <w:t>2005\Can Fam Phy Med Fam Can51, 244.pdf</w:t>
        </w:r>
      </w:hyperlink>
    </w:p>
    <w:p w:rsidR="003474F2" w:rsidRPr="001A3D2B" w:rsidRDefault="003474F2" w:rsidP="003474F2">
      <w:pPr>
        <w:pStyle w:val="a3"/>
      </w:pPr>
      <w:r w:rsidRPr="001A3D2B">
        <w:t>Abstract: OBJECTIVE: Family physicians often have to care for patients with several concurrent chronic conditions (multimorbidity or comorbidity). Consequently, they need to inform themselves by reading indexed publications on multimorbidity. This study aimed to assess how well</w:t>
      </w:r>
      <w:r w:rsidR="003A1917">
        <w:t xml:space="preserve"> the </w:t>
      </w:r>
      <w:r w:rsidRPr="001A3D2B">
        <w:t>concept</w:t>
      </w:r>
      <w:r w:rsidR="00427468">
        <w:t xml:space="preserve"> of </w:t>
      </w:r>
      <w:r w:rsidRPr="001A3D2B">
        <w:t>multimorbidity was covered in</w:t>
      </w:r>
      <w:r w:rsidR="003A1917">
        <w:t xml:space="preserve"> the </w:t>
      </w:r>
      <w:r w:rsidRPr="001A3D2B">
        <w:t>medical literature. Objectives were first, to quantify</w:t>
      </w:r>
      <w:r w:rsidR="003A1917">
        <w:t xml:space="preserve"> the </w:t>
      </w:r>
      <w:r w:rsidRPr="001A3D2B">
        <w:t>literature on multimorbidity (or comorbidity)</w:t>
      </w:r>
      <w:r w:rsidR="005853A9">
        <w:t xml:space="preserve"> and </w:t>
      </w:r>
      <w:r w:rsidRPr="001A3D2B">
        <w:t>to compare</w:t>
      </w:r>
      <w:r w:rsidR="003A1917">
        <w:t xml:space="preserve"> the </w:t>
      </w:r>
      <w:r w:rsidRPr="001A3D2B">
        <w:t>number</w:t>
      </w:r>
      <w:r w:rsidR="00427468">
        <w:t xml:space="preserve"> of </w:t>
      </w:r>
      <w:r w:rsidRPr="001A3D2B">
        <w:t>publications on it with</w:t>
      </w:r>
      <w:r w:rsidR="003A1917">
        <w:t xml:space="preserve"> the </w:t>
      </w:r>
      <w:r w:rsidRPr="001A3D2B">
        <w:t>number</w:t>
      </w:r>
      <w:r w:rsidR="00427468">
        <w:t xml:space="preserve"> of </w:t>
      </w:r>
      <w:r w:rsidRPr="001A3D2B">
        <w:t>publications on three common chronic conditions (asthma, hypertension,</w:t>
      </w:r>
      <w:r w:rsidR="005853A9">
        <w:t xml:space="preserve"> and </w:t>
      </w:r>
      <w:r w:rsidRPr="001A3D2B">
        <w:t>diabetes),</w:t>
      </w:r>
      <w:r w:rsidR="005853A9">
        <w:t xml:space="preserve"> and </w:t>
      </w:r>
      <w:r w:rsidRPr="001A3D2B">
        <w:t>second, to describe</w:t>
      </w:r>
      <w:r w:rsidR="003A1917">
        <w:t xml:space="preserve"> the </w:t>
      </w:r>
      <w:r w:rsidRPr="001A3D2B">
        <w:t xml:space="preserve">articles on multimorbidity. DESIGN: Bibliometric study. METHOD: We consulted </w:t>
      </w:r>
      <w:r w:rsidR="00D5664A">
        <w:t>MEDLINE</w:t>
      </w:r>
      <w:r w:rsidRPr="001A3D2B">
        <w:t xml:space="preserve"> for</w:t>
      </w:r>
      <w:r w:rsidR="003A1917">
        <w:t xml:space="preserve"> the </w:t>
      </w:r>
      <w:r w:rsidRPr="001A3D2B">
        <w:t>reference period 1990 to</w:t>
      </w:r>
      <w:r w:rsidR="003A1917">
        <w:t xml:space="preserve"> the </w:t>
      </w:r>
      <w:r w:rsidRPr="001A3D2B">
        <w:t>end</w:t>
      </w:r>
      <w:r w:rsidR="00427468">
        <w:t xml:space="preserve"> of </w:t>
      </w:r>
      <w:r w:rsidRPr="001A3D2B">
        <w:t>2002</w:t>
      </w:r>
      <w:r w:rsidR="00A37C1D">
        <w:t>. The</w:t>
      </w:r>
      <w:r w:rsidR="003A1917">
        <w:t xml:space="preserve"> </w:t>
      </w:r>
      <w:r w:rsidRPr="001A3D2B">
        <w:t xml:space="preserve">term </w:t>
      </w:r>
      <w:r w:rsidR="00B5188C">
        <w:t>“</w:t>
      </w:r>
      <w:r w:rsidRPr="001A3D2B">
        <w:t>multimorbidity</w:t>
      </w:r>
      <w:r w:rsidR="00B5188C">
        <w:t>”</w:t>
      </w:r>
      <w:r w:rsidR="005853A9">
        <w:t xml:space="preserve"> and </w:t>
      </w:r>
      <w:r w:rsidRPr="001A3D2B">
        <w:t>its various spellings was used as</w:t>
      </w:r>
      <w:r w:rsidR="003A1917">
        <w:t xml:space="preserve"> the </w:t>
      </w:r>
      <w:r w:rsidRPr="001A3D2B">
        <w:t>search term. Comorbidity, asthma, hypertension,</w:t>
      </w:r>
      <w:r w:rsidR="005853A9">
        <w:t xml:space="preserve"> and </w:t>
      </w:r>
      <w:r w:rsidRPr="001A3D2B">
        <w:t>diabetes were searched for using their respective MeSH terms. For comparison purposes, prevalence data were taken from published sources. Abstracts</w:t>
      </w:r>
      <w:r w:rsidR="00427468">
        <w:t xml:space="preserve"> of </w:t>
      </w:r>
      <w:r w:rsidRPr="001A3D2B">
        <w:t>articles relating to multimorbidity were reviewed</w:t>
      </w:r>
      <w:r w:rsidR="005853A9">
        <w:t xml:space="preserve"> and </w:t>
      </w:r>
      <w:r w:rsidRPr="001A3D2B">
        <w:t>their content analyzed. MAIN OUTCOME MEASURES: Number</w:t>
      </w:r>
      <w:r w:rsidR="005853A9">
        <w:t xml:space="preserve"> and </w:t>
      </w:r>
      <w:r w:rsidRPr="001A3D2B">
        <w:t>type</w:t>
      </w:r>
      <w:r w:rsidR="00427468">
        <w:t xml:space="preserve"> of </w:t>
      </w:r>
      <w:r w:rsidRPr="001A3D2B">
        <w:t>articles. RESULTS: Multimorbidity has a prevalence</w:t>
      </w:r>
      <w:r w:rsidR="00427468">
        <w:t xml:space="preserve"> of </w:t>
      </w:r>
      <w:r w:rsidRPr="001A3D2B">
        <w:t>60% among people aged 55 to 74. This prevalence is much higher than that</w:t>
      </w:r>
      <w:r w:rsidR="00427468">
        <w:t xml:space="preserve"> of </w:t>
      </w:r>
      <w:r w:rsidRPr="001A3D2B">
        <w:t>asthma (6.5%), hypertension (29.6%),</w:t>
      </w:r>
      <w:r w:rsidR="005853A9">
        <w:t xml:space="preserve"> and </w:t>
      </w:r>
      <w:r w:rsidRPr="001A3D2B">
        <w:t>diabetes (8.7%). Few articles in</w:t>
      </w:r>
      <w:r w:rsidR="003A1917">
        <w:t xml:space="preserve"> the </w:t>
      </w:r>
      <w:r w:rsidRPr="001A3D2B">
        <w:t>medical literature deal specifically with multimorbidity (or comorbidity), however. For each article on multimorbidity, there are 74 on asthma, 94 on hypertension,</w:t>
      </w:r>
      <w:r w:rsidR="005853A9">
        <w:t xml:space="preserve"> and </w:t>
      </w:r>
      <w:r w:rsidRPr="001A3D2B">
        <w:t>38 on diabetes. Content analysis</w:t>
      </w:r>
      <w:r w:rsidR="00427468">
        <w:t xml:space="preserve"> of </w:t>
      </w:r>
      <w:r w:rsidRPr="001A3D2B">
        <w:t>abstracts</w:t>
      </w:r>
      <w:r w:rsidR="00427468">
        <w:t xml:space="preserve"> of </w:t>
      </w:r>
      <w:r w:rsidRPr="001A3D2B">
        <w:t xml:space="preserve">articles on multimorbidity revealed a </w:t>
      </w:r>
      <w:r w:rsidRPr="001A3D2B">
        <w:lastRenderedPageBreak/>
        <w:t>high proportion</w:t>
      </w:r>
      <w:r w:rsidR="00427468">
        <w:t xml:space="preserve"> of </w:t>
      </w:r>
      <w:r w:rsidRPr="001A3D2B">
        <w:t>epidemiologic studies (50.0%) followed by validation studies (22.4%)</w:t>
      </w:r>
      <w:r w:rsidR="005853A9">
        <w:t xml:space="preserve"> and </w:t>
      </w:r>
      <w:r w:rsidRPr="001A3D2B">
        <w:t>opinion pieces (11.8%)</w:t>
      </w:r>
      <w:r w:rsidR="00A37C1D">
        <w:t>. The</w:t>
      </w:r>
      <w:r w:rsidR="003A1917">
        <w:t xml:space="preserve"> </w:t>
      </w:r>
      <w:r w:rsidRPr="001A3D2B">
        <w:t>few experimental studies on multimorbidity were not done in primary care settings. CONCLUSION: This study shows that</w:t>
      </w:r>
      <w:r w:rsidR="003A1917">
        <w:t xml:space="preserve"> the </w:t>
      </w:r>
      <w:r w:rsidRPr="001A3D2B">
        <w:t>prevalence</w:t>
      </w:r>
      <w:r w:rsidR="00427468">
        <w:t xml:space="preserve"> of </w:t>
      </w:r>
      <w:r w:rsidRPr="001A3D2B">
        <w:t>multimorbidity is not matched by</w:t>
      </w:r>
      <w:r w:rsidR="003A1917">
        <w:t xml:space="preserve"> the </w:t>
      </w:r>
      <w:r w:rsidRPr="001A3D2B">
        <w:t>number</w:t>
      </w:r>
      <w:r w:rsidR="00427468">
        <w:t xml:space="preserve"> of </w:t>
      </w:r>
      <w:r w:rsidRPr="001A3D2B">
        <w:t>indexed publications on it in</w:t>
      </w:r>
      <w:r w:rsidR="003A1917">
        <w:t xml:space="preserve"> the </w:t>
      </w:r>
      <w:r w:rsidRPr="001A3D2B">
        <w:t>medical literature. To date,</w:t>
      </w:r>
      <w:r w:rsidR="003A1917">
        <w:t xml:space="preserve"> the </w:t>
      </w:r>
      <w:r w:rsidRPr="001A3D2B">
        <w:t>number</w:t>
      </w:r>
      <w:r w:rsidR="005853A9">
        <w:t xml:space="preserve"> and </w:t>
      </w:r>
      <w:r w:rsidRPr="001A3D2B">
        <w:t>diversity</w:t>
      </w:r>
      <w:r w:rsidR="00427468">
        <w:t xml:space="preserve"> of </w:t>
      </w:r>
      <w:r w:rsidRPr="001A3D2B">
        <w:t>articles on multimorbidity are both insufficient to provide scientific background for strong evidence-based care</w:t>
      </w:r>
      <w:r w:rsidR="00427468">
        <w:t xml:space="preserve"> of </w:t>
      </w:r>
      <w:r w:rsidRPr="001A3D2B">
        <w:t>patients affected by multiple concurrent chronic conditions. Research is needed to increase knowledge</w:t>
      </w:r>
      <w:r w:rsidR="005853A9">
        <w:t xml:space="preserve"> and </w:t>
      </w:r>
      <w:r w:rsidRPr="001A3D2B">
        <w:t>understanding</w:t>
      </w:r>
      <w:r w:rsidR="00427468">
        <w:t xml:space="preserve"> of </w:t>
      </w:r>
      <w:r w:rsidRPr="001A3D2B">
        <w:t>this important clinical topic.</w:t>
      </w:r>
    </w:p>
    <w:p w:rsidR="003474F2" w:rsidRPr="001A3D2B" w:rsidRDefault="003474F2" w:rsidP="003474F2">
      <w:pPr>
        <w:pStyle w:val="a3"/>
      </w:pPr>
      <w:r w:rsidRPr="001A3D2B">
        <w:t xml:space="preserve">Keywords: Aged, Analysis, Asthma, Care, Chronic, Clinical, Comorbidity, Comparison, Data, Design, Diabetes, Diversity, Evidence Based, Evidence-Based, Experimental, Family, Family Practice, First, Hypertension, Knowledge, Literature, Medical, Medical Literature, </w:t>
      </w:r>
      <w:r w:rsidR="00D5664A">
        <w:t>MEDLINE</w:t>
      </w:r>
      <w:r w:rsidRPr="001A3D2B">
        <w:t>, Outcome, Outcome Measures, Patients, Physicians, Practice, Prevalence, Primary, Primary Care, Publications, Reading, Sources, Term, Understanding, Validation</w:t>
      </w:r>
    </w:p>
    <w:p w:rsidR="00E84364" w:rsidRPr="001A3D2B" w:rsidRDefault="00E84364" w:rsidP="00E84364">
      <w:pPr>
        <w:pStyle w:val="1"/>
      </w:pPr>
      <w:r w:rsidRPr="001A3D2B">
        <w:br w:type="page"/>
      </w:r>
      <w:bookmarkStart w:id="14" w:name="_Toc420814871"/>
      <w:r w:rsidRPr="001A3D2B">
        <w:lastRenderedPageBreak/>
        <w:t xml:space="preserve">Title: </w:t>
      </w:r>
      <w:r w:rsidRPr="001A3D2B">
        <w:rPr>
          <w:iCs w:val="0"/>
        </w:rPr>
        <w:t>Canadian Journal</w:t>
      </w:r>
      <w:r w:rsidR="00427468">
        <w:rPr>
          <w:iCs w:val="0"/>
        </w:rPr>
        <w:t xml:space="preserve"> of </w:t>
      </w:r>
      <w:r w:rsidRPr="001A3D2B">
        <w:rPr>
          <w:iCs w:val="0"/>
        </w:rPr>
        <w:t>Administrative Sciences-Revue Canadienne des Sciences de l Administration</w:t>
      </w:r>
      <w:bookmarkEnd w:id="14"/>
    </w:p>
    <w:p w:rsidR="00E84364" w:rsidRPr="001A3D2B" w:rsidRDefault="00E84364" w:rsidP="00E84364">
      <w:pPr>
        <w:pStyle w:val="12"/>
      </w:pPr>
      <w:r w:rsidRPr="001A3D2B">
        <w:t xml:space="preserve">Full Journal Title: </w:t>
      </w:r>
      <w:r w:rsidRPr="001A3D2B">
        <w:rPr>
          <w:iCs/>
          <w:kern w:val="0"/>
        </w:rPr>
        <w:t>Canadian Journal</w:t>
      </w:r>
      <w:r w:rsidR="00427468">
        <w:rPr>
          <w:iCs/>
          <w:kern w:val="0"/>
        </w:rPr>
        <w:t xml:space="preserve"> of </w:t>
      </w:r>
      <w:r w:rsidRPr="001A3D2B">
        <w:rPr>
          <w:iCs/>
          <w:kern w:val="0"/>
        </w:rPr>
        <w:t>Administrative Sciences-Revue Canadienne des Sciences de l Administration</w:t>
      </w:r>
    </w:p>
    <w:p w:rsidR="00E84364" w:rsidRPr="001A3D2B" w:rsidRDefault="00E84364" w:rsidP="00E84364">
      <w:pPr>
        <w:pStyle w:val="12"/>
      </w:pPr>
      <w:r w:rsidRPr="001A3D2B">
        <w:t xml:space="preserve">ISO Abbreviated Title: </w:t>
      </w:r>
    </w:p>
    <w:p w:rsidR="00E84364" w:rsidRPr="001A3D2B" w:rsidRDefault="00E84364" w:rsidP="00E84364">
      <w:pPr>
        <w:pStyle w:val="12"/>
      </w:pPr>
      <w:r w:rsidRPr="001A3D2B">
        <w:t xml:space="preserve">JCR Abbreviated Title: </w:t>
      </w:r>
    </w:p>
    <w:p w:rsidR="00E84364" w:rsidRPr="001A3D2B" w:rsidRDefault="00E84364" w:rsidP="00E84364">
      <w:pPr>
        <w:pStyle w:val="12"/>
      </w:pPr>
      <w:r w:rsidRPr="001A3D2B">
        <w:t xml:space="preserve">ISSN: </w:t>
      </w:r>
    </w:p>
    <w:p w:rsidR="00E84364" w:rsidRPr="001A3D2B" w:rsidRDefault="00E84364" w:rsidP="00E84364">
      <w:pPr>
        <w:pStyle w:val="12"/>
      </w:pPr>
      <w:r w:rsidRPr="001A3D2B">
        <w:t xml:space="preserve">Issues/Year: </w:t>
      </w:r>
    </w:p>
    <w:p w:rsidR="00E84364" w:rsidRPr="001A3D2B" w:rsidRDefault="00E84364" w:rsidP="00E84364">
      <w:pPr>
        <w:pStyle w:val="12"/>
      </w:pPr>
      <w:r w:rsidRPr="001A3D2B">
        <w:t xml:space="preserve">Journal Country/Territory: </w:t>
      </w:r>
    </w:p>
    <w:p w:rsidR="00E84364" w:rsidRPr="001A3D2B" w:rsidRDefault="00E84364" w:rsidP="00E84364">
      <w:pPr>
        <w:pStyle w:val="12"/>
      </w:pPr>
      <w:r w:rsidRPr="001A3D2B">
        <w:t xml:space="preserve">Language: </w:t>
      </w:r>
    </w:p>
    <w:p w:rsidR="00E84364" w:rsidRPr="001A3D2B" w:rsidRDefault="00E84364" w:rsidP="00E84364">
      <w:pPr>
        <w:pStyle w:val="12"/>
      </w:pPr>
      <w:r w:rsidRPr="001A3D2B">
        <w:t xml:space="preserve">Publisher: </w:t>
      </w:r>
    </w:p>
    <w:p w:rsidR="00E84364" w:rsidRPr="001A3D2B" w:rsidRDefault="00E84364" w:rsidP="00E84364">
      <w:pPr>
        <w:pStyle w:val="12"/>
      </w:pPr>
      <w:r w:rsidRPr="001A3D2B">
        <w:t xml:space="preserve">Publisher Address: </w:t>
      </w:r>
    </w:p>
    <w:p w:rsidR="00E84364" w:rsidRPr="001A3D2B" w:rsidRDefault="00E84364" w:rsidP="00E84364">
      <w:pPr>
        <w:pStyle w:val="12"/>
      </w:pPr>
      <w:r w:rsidRPr="001A3D2B">
        <w:t xml:space="preserve">Subject Categories: </w:t>
      </w:r>
    </w:p>
    <w:p w:rsidR="00E84364" w:rsidRPr="001A3D2B" w:rsidRDefault="00E84364" w:rsidP="00E84364">
      <w:pPr>
        <w:pStyle w:val="12"/>
      </w:pPr>
      <w:r w:rsidRPr="001A3D2B">
        <w:t xml:space="preserve">: Impact Factor </w:t>
      </w:r>
    </w:p>
    <w:p w:rsidR="00901B03" w:rsidRDefault="00901B03" w:rsidP="00E84364">
      <w:pPr>
        <w:pStyle w:val="a3"/>
        <w:rPr>
          <w:kern w:val="0"/>
        </w:rPr>
      </w:pPr>
      <w:r>
        <w:rPr>
          <w:rFonts w:hint="eastAsia"/>
          <w:kern w:val="0"/>
        </w:rPr>
        <w:t>Notes: CCountry, TTopic</w:t>
      </w:r>
    </w:p>
    <w:p w:rsidR="00E84364" w:rsidRPr="001A3D2B" w:rsidRDefault="00E84364" w:rsidP="00E84364">
      <w:pPr>
        <w:pStyle w:val="a3"/>
        <w:rPr>
          <w:kern w:val="0"/>
        </w:rPr>
      </w:pPr>
      <w:r w:rsidRPr="001A3D2B">
        <w:rPr>
          <w:kern w:val="0"/>
        </w:rPr>
        <w:t>? Serenko, A., Cocosila, M.</w:t>
      </w:r>
      <w:r w:rsidR="005853A9">
        <w:rPr>
          <w:kern w:val="0"/>
        </w:rPr>
        <w:t xml:space="preserve"> and </w:t>
      </w:r>
      <w:r w:rsidRPr="001A3D2B">
        <w:rPr>
          <w:kern w:val="0"/>
        </w:rPr>
        <w:t>Turel, O. (2008</w:t>
      </w:r>
      <w:r w:rsidR="00F42EAC">
        <w:rPr>
          <w:kern w:val="0"/>
        </w:rPr>
        <w:t>), The</w:t>
      </w:r>
      <w:r w:rsidR="003A1917">
        <w:rPr>
          <w:kern w:val="0"/>
        </w:rPr>
        <w:t xml:space="preserve"> </w:t>
      </w:r>
      <w:r w:rsidRPr="001A3D2B">
        <w:rPr>
          <w:kern w:val="0"/>
        </w:rPr>
        <w:t>state</w:t>
      </w:r>
      <w:r w:rsidR="005853A9">
        <w:rPr>
          <w:kern w:val="0"/>
        </w:rPr>
        <w:t xml:space="preserve"> and </w:t>
      </w:r>
      <w:r w:rsidRPr="001A3D2B">
        <w:rPr>
          <w:kern w:val="0"/>
        </w:rPr>
        <w:t>evolution</w:t>
      </w:r>
      <w:r w:rsidR="00427468">
        <w:rPr>
          <w:kern w:val="0"/>
        </w:rPr>
        <w:t xml:space="preserve"> of </w:t>
      </w:r>
      <w:r w:rsidRPr="001A3D2B">
        <w:rPr>
          <w:kern w:val="0"/>
        </w:rPr>
        <w:t xml:space="preserve">information systems research in Canada: A scientometric analysis. </w:t>
      </w:r>
      <w:r w:rsidRPr="001A3D2B">
        <w:rPr>
          <w:i/>
          <w:iCs/>
          <w:kern w:val="0"/>
        </w:rPr>
        <w:t>Canadian Journal</w:t>
      </w:r>
      <w:r w:rsidR="00427468">
        <w:rPr>
          <w:i/>
          <w:iCs/>
          <w:kern w:val="0"/>
        </w:rPr>
        <w:t xml:space="preserve"> of </w:t>
      </w:r>
      <w:r w:rsidRPr="001A3D2B">
        <w:rPr>
          <w:i/>
          <w:iCs/>
          <w:kern w:val="0"/>
        </w:rPr>
        <w:t>Administrative Sciences-Revue Canadienne des Sciences de l Administration</w:t>
      </w:r>
      <w:r w:rsidRPr="001A3D2B">
        <w:rPr>
          <w:kern w:val="0"/>
        </w:rPr>
        <w:t xml:space="preserve">, </w:t>
      </w:r>
      <w:r w:rsidRPr="001A3D2B">
        <w:rPr>
          <w:b/>
          <w:bCs/>
          <w:kern w:val="0"/>
        </w:rPr>
        <w:t>25</w:t>
      </w:r>
      <w:r w:rsidRPr="001A3D2B">
        <w:rPr>
          <w:kern w:val="0"/>
        </w:rPr>
        <w:t xml:space="preserve"> (4), 279-294.</w:t>
      </w:r>
    </w:p>
    <w:p w:rsidR="005E7A50" w:rsidRPr="00C73C58" w:rsidRDefault="005E7A50" w:rsidP="005E7A50">
      <w:pPr>
        <w:pStyle w:val="a3"/>
        <w:rPr>
          <w:kern w:val="0"/>
        </w:rPr>
      </w:pPr>
      <w:r>
        <w:rPr>
          <w:rFonts w:hint="eastAsia"/>
          <w:kern w:val="0"/>
        </w:rPr>
        <w:t xml:space="preserve">Full Text: </w:t>
      </w:r>
      <w:hyperlink r:id="rId32" w:history="1">
        <w:r w:rsidR="00AD738F" w:rsidRPr="00AD738F">
          <w:rPr>
            <w:rStyle w:val="a5"/>
            <w:kern w:val="0"/>
          </w:rPr>
          <w:t>2008\Can J Adm Sci25, 279.pdf</w:t>
        </w:r>
      </w:hyperlink>
    </w:p>
    <w:p w:rsidR="00E84364" w:rsidRPr="001A3D2B" w:rsidRDefault="00E84364" w:rsidP="00E84364">
      <w:pPr>
        <w:pStyle w:val="a3"/>
        <w:rPr>
          <w:kern w:val="0"/>
        </w:rPr>
      </w:pPr>
      <w:r w:rsidRPr="001A3D2B">
        <w:rPr>
          <w:kern w:val="0"/>
        </w:rPr>
        <w:t>Abstract: This paper investigates</w:t>
      </w:r>
      <w:r w:rsidR="003A1917">
        <w:rPr>
          <w:kern w:val="0"/>
        </w:rPr>
        <w:t xml:space="preserve"> the </w:t>
      </w:r>
      <w:r w:rsidRPr="001A3D2B">
        <w:rPr>
          <w:kern w:val="0"/>
        </w:rPr>
        <w:t>state</w:t>
      </w:r>
      <w:r w:rsidR="005853A9">
        <w:rPr>
          <w:kern w:val="0"/>
        </w:rPr>
        <w:t xml:space="preserve"> and </w:t>
      </w:r>
      <w:r w:rsidRPr="001A3D2B">
        <w:rPr>
          <w:kern w:val="0"/>
        </w:rPr>
        <w:t>evolution</w:t>
      </w:r>
      <w:r w:rsidR="00427468">
        <w:rPr>
          <w:kern w:val="0"/>
        </w:rPr>
        <w:t xml:space="preserve"> of </w:t>
      </w:r>
      <w:r w:rsidRPr="001A3D2B">
        <w:rPr>
          <w:kern w:val="0"/>
        </w:rPr>
        <w:t>information systems (IS) research in Canada as reflected in publications</w:t>
      </w:r>
      <w:r w:rsidR="00427468">
        <w:rPr>
          <w:kern w:val="0"/>
        </w:rPr>
        <w:t xml:space="preserve"> of </w:t>
      </w:r>
      <w:r w:rsidR="003A1917">
        <w:rPr>
          <w:kern w:val="0"/>
        </w:rPr>
        <w:t xml:space="preserve">the </w:t>
      </w:r>
      <w:r w:rsidRPr="001A3D2B">
        <w:rPr>
          <w:kern w:val="0"/>
        </w:rPr>
        <w:t>proceedings</w:t>
      </w:r>
      <w:r w:rsidR="00427468">
        <w:rPr>
          <w:kern w:val="0"/>
        </w:rPr>
        <w:t xml:space="preserve"> of </w:t>
      </w:r>
      <w:r w:rsidR="003A1917">
        <w:rPr>
          <w:kern w:val="0"/>
        </w:rPr>
        <w:t xml:space="preserve">the </w:t>
      </w:r>
      <w:r w:rsidRPr="001A3D2B">
        <w:rPr>
          <w:kern w:val="0"/>
        </w:rPr>
        <w:t>annual conference</w:t>
      </w:r>
      <w:r w:rsidR="00427468">
        <w:rPr>
          <w:kern w:val="0"/>
        </w:rPr>
        <w:t xml:space="preserve"> of </w:t>
      </w:r>
      <w:r w:rsidR="003A1917">
        <w:rPr>
          <w:kern w:val="0"/>
        </w:rPr>
        <w:t xml:space="preserve">the </w:t>
      </w:r>
      <w:r w:rsidRPr="001A3D2B">
        <w:rPr>
          <w:kern w:val="0"/>
        </w:rPr>
        <w:t>Administrative Sciences Association</w:t>
      </w:r>
      <w:r w:rsidR="00427468">
        <w:rPr>
          <w:kern w:val="0"/>
        </w:rPr>
        <w:t xml:space="preserve"> of </w:t>
      </w:r>
      <w:r w:rsidRPr="001A3D2B">
        <w:rPr>
          <w:kern w:val="0"/>
        </w:rPr>
        <w:t>Canada from 1974 to 2007. We present a scientometric analysis</w:t>
      </w:r>
      <w:r w:rsidR="00427468">
        <w:rPr>
          <w:kern w:val="0"/>
        </w:rPr>
        <w:t xml:space="preserve"> of </w:t>
      </w:r>
      <w:r w:rsidRPr="001A3D2B">
        <w:rPr>
          <w:kern w:val="0"/>
        </w:rPr>
        <w:t>(a) individual</w:t>
      </w:r>
      <w:r w:rsidR="005853A9">
        <w:rPr>
          <w:kern w:val="0"/>
        </w:rPr>
        <w:t xml:space="preserve"> and </w:t>
      </w:r>
      <w:r w:rsidRPr="001A3D2B">
        <w:rPr>
          <w:kern w:val="0"/>
        </w:rPr>
        <w:t>institutional research outputs; (b) differences in three productivity, score calculation methods: straight count, equal credit,</w:t>
      </w:r>
      <w:r w:rsidR="005853A9">
        <w:rPr>
          <w:kern w:val="0"/>
        </w:rPr>
        <w:t xml:space="preserve"> and </w:t>
      </w:r>
      <w:r w:rsidRPr="001A3D2B">
        <w:rPr>
          <w:kern w:val="0"/>
        </w:rPr>
        <w:t>author position; (c) study topics; (d) research methods;</w:t>
      </w:r>
      <w:r w:rsidR="005853A9">
        <w:rPr>
          <w:kern w:val="0"/>
        </w:rPr>
        <w:t xml:space="preserve"> and </w:t>
      </w:r>
      <w:r w:rsidRPr="001A3D2B">
        <w:rPr>
          <w:kern w:val="0"/>
        </w:rPr>
        <w:t>(e) use</w:t>
      </w:r>
      <w:r w:rsidR="00427468">
        <w:rPr>
          <w:kern w:val="0"/>
        </w:rPr>
        <w:t xml:space="preserve"> of </w:t>
      </w:r>
      <w:r w:rsidRPr="001A3D2B">
        <w:rPr>
          <w:kern w:val="0"/>
        </w:rPr>
        <w:t>student samples. Copyright (C) 2008 ASA C. Published by John Wiley &amp; Sons, Ltd.</w:t>
      </w:r>
    </w:p>
    <w:p w:rsidR="00E84364" w:rsidRPr="001A3D2B" w:rsidRDefault="00E84364" w:rsidP="00E84364">
      <w:pPr>
        <w:pStyle w:val="a3"/>
        <w:rPr>
          <w:kern w:val="0"/>
        </w:rPr>
      </w:pPr>
      <w:r w:rsidRPr="001A3D2B">
        <w:rPr>
          <w:kern w:val="0"/>
        </w:rPr>
        <w:t>Keywords: Discipline, Discipline Evolution, Identity Crisis, Impact, Information Systems, Journals, MIS, Productivity, Psychology, Publications, Research, Research Methods, Research Output, Research Productivity, Sciences, Scientometrics, Students, Update</w:t>
      </w:r>
    </w:p>
    <w:p w:rsidR="00704FE8" w:rsidRDefault="00704FE8" w:rsidP="00704FE8">
      <w:pPr>
        <w:pStyle w:val="a3"/>
        <w:rPr>
          <w:kern w:val="0"/>
        </w:rPr>
      </w:pPr>
      <w:r>
        <w:rPr>
          <w:rFonts w:hint="eastAsia"/>
          <w:kern w:val="0"/>
        </w:rPr>
        <w:t xml:space="preserve">? </w:t>
      </w:r>
      <w:r>
        <w:rPr>
          <w:kern w:val="0"/>
        </w:rPr>
        <w:t>Serenko, A.</w:t>
      </w:r>
      <w:r w:rsidR="005853A9">
        <w:rPr>
          <w:kern w:val="0"/>
        </w:rPr>
        <w:t xml:space="preserve"> and </w:t>
      </w:r>
      <w:r>
        <w:rPr>
          <w:kern w:val="0"/>
        </w:rPr>
        <w:t xml:space="preserve">Jiao, C.Q. (2012), Investigating information systems research in Canada. </w:t>
      </w:r>
      <w:r>
        <w:rPr>
          <w:i/>
          <w:iCs/>
          <w:kern w:val="0"/>
        </w:rPr>
        <w:t>Canadian Journal</w:t>
      </w:r>
      <w:r w:rsidR="00427468">
        <w:rPr>
          <w:i/>
          <w:iCs/>
          <w:kern w:val="0"/>
        </w:rPr>
        <w:t xml:space="preserve"> of </w:t>
      </w:r>
      <w:r>
        <w:rPr>
          <w:i/>
          <w:iCs/>
          <w:kern w:val="0"/>
        </w:rPr>
        <w:t>Administrative Sciences-Revue Canadienne des Sciences de l Administration</w:t>
      </w:r>
      <w:r>
        <w:rPr>
          <w:kern w:val="0"/>
        </w:rPr>
        <w:t xml:space="preserve">, </w:t>
      </w:r>
      <w:r>
        <w:rPr>
          <w:b/>
          <w:bCs/>
          <w:kern w:val="0"/>
        </w:rPr>
        <w:t>29</w:t>
      </w:r>
      <w:r>
        <w:rPr>
          <w:kern w:val="0"/>
        </w:rPr>
        <w:t xml:space="preserve"> (1), 3-24.</w:t>
      </w:r>
    </w:p>
    <w:p w:rsidR="00704FE8" w:rsidRPr="00C73C58" w:rsidRDefault="00704FE8" w:rsidP="00704FE8">
      <w:pPr>
        <w:pStyle w:val="a3"/>
        <w:rPr>
          <w:kern w:val="0"/>
        </w:rPr>
      </w:pPr>
      <w:r>
        <w:rPr>
          <w:rFonts w:hint="eastAsia"/>
          <w:kern w:val="0"/>
        </w:rPr>
        <w:t xml:space="preserve">Full Text: </w:t>
      </w:r>
      <w:hyperlink r:id="rId33" w:history="1">
        <w:r w:rsidRPr="00704FE8">
          <w:rPr>
            <w:rStyle w:val="a5"/>
            <w:kern w:val="0"/>
          </w:rPr>
          <w:t>2012\Can J Adm Sci29, 3.pdf</w:t>
        </w:r>
      </w:hyperlink>
    </w:p>
    <w:p w:rsidR="00704FE8" w:rsidRDefault="00704FE8" w:rsidP="00704FE8">
      <w:pPr>
        <w:pStyle w:val="a3"/>
        <w:rPr>
          <w:kern w:val="0"/>
        </w:rPr>
      </w:pPr>
      <w:r>
        <w:rPr>
          <w:kern w:val="0"/>
        </w:rPr>
        <w:t>Abstract: This project reports on</w:t>
      </w:r>
      <w:r w:rsidR="003A1917">
        <w:rPr>
          <w:kern w:val="0"/>
        </w:rPr>
        <w:t xml:space="preserve"> the </w:t>
      </w:r>
      <w:r>
        <w:rPr>
          <w:kern w:val="0"/>
        </w:rPr>
        <w:t>state</w:t>
      </w:r>
      <w:r w:rsidR="00427468">
        <w:rPr>
          <w:kern w:val="0"/>
        </w:rPr>
        <w:t xml:space="preserve"> of </w:t>
      </w:r>
      <w:r>
        <w:rPr>
          <w:kern w:val="0"/>
        </w:rPr>
        <w:t xml:space="preserve">Information Systems (IS) research in </w:t>
      </w:r>
      <w:r>
        <w:rPr>
          <w:kern w:val="0"/>
        </w:rPr>
        <w:lastRenderedPageBreak/>
        <w:t>Canada by analyzing research output</w:t>
      </w:r>
      <w:r w:rsidR="005853A9">
        <w:rPr>
          <w:kern w:val="0"/>
        </w:rPr>
        <w:t xml:space="preserve"> and </w:t>
      </w:r>
      <w:r>
        <w:rPr>
          <w:kern w:val="0"/>
        </w:rPr>
        <w:t>impact</w:t>
      </w:r>
      <w:r w:rsidR="00427468">
        <w:rPr>
          <w:kern w:val="0"/>
        </w:rPr>
        <w:t xml:space="preserve"> of </w:t>
      </w:r>
      <w:r>
        <w:rPr>
          <w:kern w:val="0"/>
        </w:rPr>
        <w:t>Canadian IS scholars appearing in</w:t>
      </w:r>
      <w:r w:rsidR="003A1917">
        <w:rPr>
          <w:kern w:val="0"/>
        </w:rPr>
        <w:t xml:space="preserve"> the </w:t>
      </w:r>
      <w:r>
        <w:rPr>
          <w:kern w:val="0"/>
        </w:rPr>
        <w:t>form</w:t>
      </w:r>
      <w:r w:rsidR="00427468">
        <w:rPr>
          <w:kern w:val="0"/>
        </w:rPr>
        <w:t xml:space="preserve"> of </w:t>
      </w:r>
      <w:r>
        <w:rPr>
          <w:kern w:val="0"/>
        </w:rPr>
        <w:t>peer-reviewed journal articles. Specifically, we (a) measured individual productivity</w:t>
      </w:r>
      <w:r w:rsidR="005853A9">
        <w:rPr>
          <w:kern w:val="0"/>
        </w:rPr>
        <w:t xml:space="preserve"> and </w:t>
      </w:r>
      <w:r>
        <w:rPr>
          <w:kern w:val="0"/>
        </w:rPr>
        <w:t>impact, (b) measured institutional productivity</w:t>
      </w:r>
      <w:r w:rsidR="005853A9">
        <w:rPr>
          <w:kern w:val="0"/>
        </w:rPr>
        <w:t xml:space="preserve"> and </w:t>
      </w:r>
      <w:r>
        <w:rPr>
          <w:kern w:val="0"/>
        </w:rPr>
        <w:t>impact, (c) listed journals in which these works have appeared, (d) identified</w:t>
      </w:r>
      <w:r w:rsidR="003A1917">
        <w:rPr>
          <w:kern w:val="0"/>
        </w:rPr>
        <w:t xml:space="preserve"> the </w:t>
      </w:r>
      <w:r>
        <w:rPr>
          <w:kern w:val="0"/>
        </w:rPr>
        <w:t>most influential articles, (e) developed a ranking</w:t>
      </w:r>
      <w:r w:rsidR="00427468">
        <w:rPr>
          <w:kern w:val="0"/>
        </w:rPr>
        <w:t xml:space="preserve"> of </w:t>
      </w:r>
      <w:r>
        <w:rPr>
          <w:kern w:val="0"/>
        </w:rPr>
        <w:t>IS scholarly journals from a Canadian perspective,</w:t>
      </w:r>
      <w:r w:rsidR="005853A9">
        <w:rPr>
          <w:kern w:val="0"/>
        </w:rPr>
        <w:t xml:space="preserve"> and </w:t>
      </w:r>
      <w:r>
        <w:rPr>
          <w:kern w:val="0"/>
        </w:rPr>
        <w:t>(f) compared</w:t>
      </w:r>
      <w:r w:rsidR="003A1917">
        <w:rPr>
          <w:kern w:val="0"/>
        </w:rPr>
        <w:t xml:space="preserve"> the </w:t>
      </w:r>
      <w:r>
        <w:rPr>
          <w:kern w:val="0"/>
        </w:rPr>
        <w:t>obtained journal ranking with</w:t>
      </w:r>
      <w:r w:rsidR="003A1917">
        <w:rPr>
          <w:kern w:val="0"/>
        </w:rPr>
        <w:t xml:space="preserve"> the </w:t>
      </w:r>
      <w:r>
        <w:rPr>
          <w:kern w:val="0"/>
        </w:rPr>
        <w:t>global IS journal rankings. Based on</w:t>
      </w:r>
      <w:r w:rsidR="003A1917">
        <w:rPr>
          <w:kern w:val="0"/>
        </w:rPr>
        <w:t xml:space="preserve"> the </w:t>
      </w:r>
      <w:r>
        <w:rPr>
          <w:kern w:val="0"/>
        </w:rPr>
        <w:t>findings, it was concluded that</w:t>
      </w:r>
      <w:r w:rsidR="003A1917">
        <w:rPr>
          <w:kern w:val="0"/>
        </w:rPr>
        <w:t xml:space="preserve"> the </w:t>
      </w:r>
      <w:r>
        <w:rPr>
          <w:kern w:val="0"/>
        </w:rPr>
        <w:t>Canadian IS discipline exhibits signs</w:t>
      </w:r>
      <w:r w:rsidR="00427468">
        <w:rPr>
          <w:kern w:val="0"/>
        </w:rPr>
        <w:t xml:space="preserve"> of </w:t>
      </w:r>
      <w:r>
        <w:rPr>
          <w:kern w:val="0"/>
        </w:rPr>
        <w:t>academic maturity. Copyright (c) 2011 ASAC. Published by John Wiley &amp; Sons, Ltd.</w:t>
      </w:r>
    </w:p>
    <w:p w:rsidR="00704FE8" w:rsidRDefault="00704FE8" w:rsidP="00704FE8">
      <w:pPr>
        <w:pStyle w:val="a3"/>
        <w:rPr>
          <w:kern w:val="0"/>
        </w:rPr>
      </w:pPr>
      <w:r>
        <w:rPr>
          <w:kern w:val="0"/>
        </w:rPr>
        <w:t>Keywords: Articles, Asac, Business, Canada, Citation Analysis, Citation Impact, Classement Des Revues, Discipline Identity, Global, Global Perceptions, Google Scholar, Google Scholar, Identite De La Discipline, Impact, Impact Citationnel, Impact De La Recherche, Information Systems, Is, Journal, Journal Articles, Journal Ranking, Journal Rankings, Journals, Knowledge Management, Mar, Peer-Reviewed, Productivite De La Recherche, Productivity, Publication Power Approach, Ranking, Rankings, Reference Discipline, Research, Research Impact, Research Output, Research Productivity, Research Productivity, Resultat De La Recherche, Scholarly Journals, Scientometric Analysis, Scientometrics, Scientometrie, State, Systemes D</w:t>
      </w:r>
      <w:r w:rsidR="0071223E">
        <w:rPr>
          <w:kern w:val="0"/>
        </w:rPr>
        <w:t>’</w:t>
      </w:r>
      <w:r>
        <w:rPr>
          <w:kern w:val="0"/>
        </w:rPr>
        <w:t>Information</w:t>
      </w:r>
    </w:p>
    <w:p w:rsidR="003474F2" w:rsidRPr="001A3D2B" w:rsidRDefault="003474F2" w:rsidP="003474F2">
      <w:pPr>
        <w:pStyle w:val="1"/>
      </w:pPr>
      <w:r w:rsidRPr="001A3D2B">
        <w:br w:type="page"/>
      </w:r>
      <w:bookmarkStart w:id="15" w:name="_Toc420814872"/>
      <w:r w:rsidRPr="001A3D2B">
        <w:lastRenderedPageBreak/>
        <w:t>Title: Canadian Journal</w:t>
      </w:r>
      <w:r w:rsidR="00427468">
        <w:t xml:space="preserve"> of </w:t>
      </w:r>
      <w:r w:rsidRPr="001A3D2B">
        <w:t>Agricultural Econom</w:t>
      </w:r>
      <w:bookmarkStart w:id="16" w:name="_Toc81215654"/>
      <w:r w:rsidRPr="001A3D2B">
        <w:t>ics-Revue Canadienne d</w:t>
      </w:r>
      <w:r w:rsidR="0071223E">
        <w:t>’</w:t>
      </w:r>
      <w:r w:rsidRPr="001A3D2B">
        <w:t>Economie Rurale</w:t>
      </w:r>
      <w:bookmarkEnd w:id="15"/>
    </w:p>
    <w:p w:rsidR="005E7A50" w:rsidRPr="00C73C58" w:rsidRDefault="005E7A50" w:rsidP="005E7A50">
      <w:pPr>
        <w:pStyle w:val="12"/>
      </w:pPr>
      <w:r w:rsidRPr="00C73C58">
        <w:t xml:space="preserve">Full Journal Title: </w:t>
      </w:r>
      <w:r w:rsidR="00DF61FE">
        <w:fldChar w:fldCharType="begin"/>
      </w:r>
      <w:r w:rsidR="00FD158B">
        <w:instrText>HYPERLINK "http://www3.i</w:instrText>
      </w:r>
      <w:bookmarkEnd w:id="16"/>
      <w:r w:rsidR="00FD158B">
        <w:instrText>nterscience.wiley.com/journal/118501588/home"</w:instrText>
      </w:r>
      <w:r w:rsidR="00DF61FE">
        <w:fldChar w:fldCharType="separate"/>
      </w:r>
      <w:r w:rsidRPr="00D47493">
        <w:rPr>
          <w:rStyle w:val="a5"/>
        </w:rPr>
        <w:t>Canadian Journal</w:t>
      </w:r>
      <w:r w:rsidR="00427468">
        <w:rPr>
          <w:rStyle w:val="a5"/>
        </w:rPr>
        <w:t xml:space="preserve"> of </w:t>
      </w:r>
      <w:r w:rsidRPr="00D47493">
        <w:rPr>
          <w:rStyle w:val="a5"/>
        </w:rPr>
        <w:t xml:space="preserve">Agricultural Economics-Revue Canadienne </w:t>
      </w:r>
      <w:r w:rsidRPr="00D47493">
        <w:rPr>
          <w:rStyle w:val="a5"/>
          <w:rFonts w:hint="eastAsia"/>
        </w:rPr>
        <w:t>d</w:t>
      </w:r>
      <w:r w:rsidRPr="00D47493">
        <w:rPr>
          <w:rStyle w:val="a5"/>
        </w:rPr>
        <w:t xml:space="preserve"> Economie Rurale</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Default="003474F2" w:rsidP="003474F2">
      <w:pPr>
        <w:pStyle w:val="a3"/>
      </w:pPr>
      <w:r w:rsidRPr="001A3D2B">
        <w:t>? Harper, J.A. (1991), A bibliometric profile</w:t>
      </w:r>
      <w:r w:rsidR="00427468">
        <w:t xml:space="preserve"> of </w:t>
      </w:r>
      <w:r w:rsidR="003A1917">
        <w:t xml:space="preserve">the </w:t>
      </w:r>
      <w:r w:rsidRPr="001A3D2B">
        <w:rPr>
          <w:i/>
        </w:rPr>
        <w:t>Canadian Journal</w:t>
      </w:r>
      <w:r w:rsidR="00427468">
        <w:rPr>
          <w:i/>
        </w:rPr>
        <w:t xml:space="preserve"> of </w:t>
      </w:r>
      <w:r w:rsidRPr="001A3D2B">
        <w:rPr>
          <w:i/>
        </w:rPr>
        <w:t>Agricultural Economics</w:t>
      </w:r>
      <w:r w:rsidRPr="001A3D2B">
        <w:t xml:space="preserve">. </w:t>
      </w:r>
      <w:r w:rsidRPr="001A3D2B">
        <w:rPr>
          <w:i/>
          <w:iCs/>
        </w:rPr>
        <w:t>Canadian Journal</w:t>
      </w:r>
      <w:r w:rsidR="00427468">
        <w:rPr>
          <w:i/>
          <w:iCs/>
        </w:rPr>
        <w:t xml:space="preserve"> of </w:t>
      </w:r>
      <w:r w:rsidRPr="001A3D2B">
        <w:rPr>
          <w:i/>
          <w:iCs/>
        </w:rPr>
        <w:t>Agricultural Economics-Revue Canadienne d</w:t>
      </w:r>
      <w:r w:rsidR="0071223E">
        <w:rPr>
          <w:i/>
          <w:iCs/>
        </w:rPr>
        <w:t>’</w:t>
      </w:r>
      <w:r w:rsidRPr="001A3D2B">
        <w:rPr>
          <w:i/>
          <w:iCs/>
        </w:rPr>
        <w:t>Economie Rurale</w:t>
      </w:r>
      <w:r w:rsidRPr="001A3D2B">
        <w:t xml:space="preserve">, </w:t>
      </w:r>
      <w:r w:rsidRPr="001A3D2B">
        <w:rPr>
          <w:b/>
          <w:bCs/>
        </w:rPr>
        <w:t>39</w:t>
      </w:r>
      <w:r w:rsidRPr="001A3D2B">
        <w:t xml:space="preserve"> (3), 503-513.</w:t>
      </w:r>
    </w:p>
    <w:p w:rsidR="00CE4C41" w:rsidRPr="00C73C58" w:rsidRDefault="00CE4C41" w:rsidP="00CE4C41">
      <w:pPr>
        <w:pStyle w:val="a3"/>
        <w:rPr>
          <w:kern w:val="0"/>
        </w:rPr>
      </w:pPr>
      <w:r>
        <w:rPr>
          <w:rFonts w:hint="eastAsia"/>
          <w:kern w:val="0"/>
        </w:rPr>
        <w:t xml:space="preserve">Full Text: </w:t>
      </w:r>
      <w:hyperlink r:id="rId34" w:history="1">
        <w:r w:rsidRPr="00064EB6">
          <w:rPr>
            <w:rStyle w:val="a5"/>
            <w:kern w:val="0"/>
          </w:rPr>
          <w:t>1991\Can J Agr Eco39, 503.pdf</w:t>
        </w:r>
      </w:hyperlink>
    </w:p>
    <w:p w:rsidR="003474F2" w:rsidRPr="001A3D2B" w:rsidRDefault="003474F2" w:rsidP="003474F2">
      <w:pPr>
        <w:pStyle w:val="a3"/>
      </w:pPr>
      <w:r w:rsidRPr="001A3D2B">
        <w:t>Abstract:</w:t>
      </w:r>
      <w:r w:rsidR="003A1917">
        <w:t xml:space="preserve"> the </w:t>
      </w:r>
      <w:r w:rsidRPr="001A3D2B">
        <w:t>Canadian Journal</w:t>
      </w:r>
      <w:r w:rsidR="00427468">
        <w:t xml:space="preserve"> of </w:t>
      </w:r>
      <w:r w:rsidRPr="001A3D2B">
        <w:t>Agricultural Economics was studied to determine</w:t>
      </w:r>
      <w:r w:rsidR="003A1917">
        <w:t xml:space="preserve"> the </w:t>
      </w:r>
      <w:r w:rsidRPr="001A3D2B">
        <w:t>number</w:t>
      </w:r>
      <w:r w:rsidR="005853A9">
        <w:t xml:space="preserve"> and </w:t>
      </w:r>
      <w:r w:rsidRPr="001A3D2B">
        <w:t>language</w:t>
      </w:r>
      <w:r w:rsidR="00427468">
        <w:t xml:space="preserve"> of </w:t>
      </w:r>
      <w:r w:rsidR="003A1917">
        <w:t xml:space="preserve">the </w:t>
      </w:r>
      <w:r w:rsidRPr="001A3D2B">
        <w:t>articles,</w:t>
      </w:r>
      <w:r w:rsidR="003A1917">
        <w:t xml:space="preserve"> the </w:t>
      </w:r>
      <w:r w:rsidRPr="001A3D2B">
        <w:t>number</w:t>
      </w:r>
      <w:r w:rsidR="00427468">
        <w:t xml:space="preserve"> of </w:t>
      </w:r>
      <w:r w:rsidRPr="001A3D2B">
        <w:t>citations per article, author collaboration,</w:t>
      </w:r>
      <w:r w:rsidR="005853A9">
        <w:t xml:space="preserve"> and </w:t>
      </w:r>
      <w:r w:rsidR="003A1917">
        <w:t xml:space="preserve">the </w:t>
      </w:r>
      <w:r w:rsidRPr="001A3D2B">
        <w:t>geographical location</w:t>
      </w:r>
      <w:r w:rsidR="005853A9">
        <w:t xml:space="preserve"> and </w:t>
      </w:r>
      <w:r w:rsidRPr="001A3D2B">
        <w:t>institutional affiliation</w:t>
      </w:r>
      <w:r w:rsidR="00427468">
        <w:t xml:space="preserve"> of </w:t>
      </w:r>
      <w:r w:rsidR="003A1917">
        <w:t xml:space="preserve">the </w:t>
      </w:r>
      <w:r w:rsidRPr="001A3D2B">
        <w:t>authors. A citation analysis study was done to identify</w:t>
      </w:r>
      <w:r w:rsidR="003A1917">
        <w:t xml:space="preserve"> the </w:t>
      </w:r>
      <w:r w:rsidRPr="001A3D2B">
        <w:t>main bibliographical formats</w:t>
      </w:r>
      <w:r w:rsidR="005853A9">
        <w:t xml:space="preserve"> and </w:t>
      </w:r>
      <w:r w:rsidRPr="001A3D2B">
        <w:t>languages</w:t>
      </w:r>
      <w:r w:rsidR="00427468">
        <w:t xml:space="preserve"> of </w:t>
      </w:r>
      <w:r w:rsidR="003A1917">
        <w:t xml:space="preserve">the </w:t>
      </w:r>
      <w:r w:rsidRPr="001A3D2B">
        <w:t>cited material as well as</w:t>
      </w:r>
      <w:r w:rsidR="003A1917">
        <w:t xml:space="preserve"> the </w:t>
      </w:r>
      <w:r w:rsidRPr="001A3D2B">
        <w:t>geographical distribution, subject dispersion,</w:t>
      </w:r>
      <w:r w:rsidR="005853A9">
        <w:t xml:space="preserve"> and </w:t>
      </w:r>
      <w:r w:rsidRPr="001A3D2B">
        <w:t>titles</w:t>
      </w:r>
      <w:r w:rsidR="00427468">
        <w:t xml:space="preserve"> of </w:t>
      </w:r>
      <w:r w:rsidR="003A1917">
        <w:t xml:space="preserve">the </w:t>
      </w:r>
      <w:r w:rsidRPr="001A3D2B">
        <w:t>journals most frequently cited. Other journals citing</w:t>
      </w:r>
      <w:r w:rsidR="003A1917">
        <w:t xml:space="preserve"> the </w:t>
      </w:r>
      <w:r w:rsidRPr="001A3D2B">
        <w:t>Canadian Journal</w:t>
      </w:r>
      <w:r w:rsidR="00427468">
        <w:t xml:space="preserve"> of </w:t>
      </w:r>
      <w:r w:rsidRPr="001A3D2B">
        <w:t>Agricultural Economics were identified</w:t>
      </w:r>
    </w:p>
    <w:p w:rsidR="003474F2" w:rsidRPr="001A3D2B" w:rsidRDefault="003474F2" w:rsidP="003474F2">
      <w:pPr>
        <w:pStyle w:val="a3"/>
      </w:pPr>
      <w:r w:rsidRPr="001A3D2B">
        <w:t>Keywords: Affiliation, Analysis, Authors, Bibliometric, Citation, Citation Analysis, Citations, Collaboration, Dispersion, Distribution, Institutional, Journals, Language, Languages, Location, NOV</w:t>
      </w:r>
    </w:p>
    <w:p w:rsidR="003474F2" w:rsidRPr="001A3D2B" w:rsidRDefault="003474F2" w:rsidP="003474F2">
      <w:pPr>
        <w:pStyle w:val="1"/>
      </w:pPr>
      <w:r w:rsidRPr="001A3D2B">
        <w:br w:type="page"/>
      </w:r>
      <w:bookmarkStart w:id="17" w:name="_Toc420814873"/>
      <w:r w:rsidRPr="001A3D2B">
        <w:lastRenderedPageBreak/>
        <w:t>Title: Canadian Journal</w:t>
      </w:r>
      <w:r w:rsidR="00427468">
        <w:t xml:space="preserve"> of </w:t>
      </w:r>
      <w:r w:rsidRPr="001A3D2B">
        <w:t>Anaesthesia-Journal Canadien d</w:t>
      </w:r>
      <w:r w:rsidR="0071223E">
        <w:t>’</w:t>
      </w:r>
      <w:r w:rsidRPr="001A3D2B">
        <w:t>Anesthesie</w:t>
      </w:r>
      <w:bookmarkEnd w:id="17"/>
    </w:p>
    <w:p w:rsidR="002D7FE7" w:rsidRPr="001A3D2B" w:rsidRDefault="002D7FE7" w:rsidP="002D7FE7">
      <w:pPr>
        <w:pStyle w:val="12"/>
      </w:pPr>
      <w:r w:rsidRPr="001A3D2B">
        <w:t xml:space="preserve">Full Journal Title: </w:t>
      </w:r>
      <w:hyperlink r:id="rId35" w:history="1">
        <w:r w:rsidRPr="00BA0411">
          <w:rPr>
            <w:rStyle w:val="a5"/>
          </w:rPr>
          <w:t>Canadian Journal</w:t>
        </w:r>
        <w:r w:rsidR="00427468">
          <w:rPr>
            <w:rStyle w:val="a5"/>
          </w:rPr>
          <w:t xml:space="preserve"> of </w:t>
        </w:r>
        <w:r w:rsidRPr="00BA0411">
          <w:rPr>
            <w:rStyle w:val="a5"/>
          </w:rPr>
          <w:t>Anaesthesia-Journal Canadien d</w:t>
        </w:r>
        <w:r w:rsidR="0071223E">
          <w:rPr>
            <w:rStyle w:val="a5"/>
          </w:rPr>
          <w:t>’</w:t>
        </w:r>
        <w:r w:rsidRPr="00BA0411">
          <w:rPr>
            <w:rStyle w:val="a5"/>
          </w:rPr>
          <w:t>Anesthesie</w:t>
        </w:r>
      </w:hyperlink>
    </w:p>
    <w:p w:rsidR="003474F2" w:rsidRPr="001A3D2B" w:rsidRDefault="003474F2" w:rsidP="003474F2">
      <w:pPr>
        <w:pStyle w:val="12"/>
      </w:pPr>
      <w:r w:rsidRPr="001A3D2B">
        <w:t>ISO Abbreviated Title: Can. J. Anaesth.-J. Can. Anesth.</w:t>
      </w:r>
    </w:p>
    <w:p w:rsidR="003474F2" w:rsidRPr="001A3D2B" w:rsidRDefault="003474F2" w:rsidP="003474F2">
      <w:pPr>
        <w:pStyle w:val="12"/>
      </w:pPr>
      <w:r w:rsidRPr="001A3D2B">
        <w:t>JCR Abbreviated Title: Can J Anaesth</w:t>
      </w:r>
    </w:p>
    <w:p w:rsidR="003474F2" w:rsidRPr="001A3D2B" w:rsidRDefault="003474F2" w:rsidP="003474F2">
      <w:pPr>
        <w:pStyle w:val="12"/>
      </w:pPr>
      <w:r w:rsidRPr="001A3D2B">
        <w:t>ISSN: 0832-610X</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Canada</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Canadian Anesthesiologists Soc</w:t>
      </w:r>
    </w:p>
    <w:p w:rsidR="003474F2" w:rsidRPr="001A3D2B" w:rsidRDefault="003474F2" w:rsidP="003474F2">
      <w:pPr>
        <w:pStyle w:val="12"/>
      </w:pPr>
      <w:r w:rsidRPr="001A3D2B">
        <w:t>Publisher Address: 1 Eglinton Ave East, Suite 208, Toronto, Ontario M4P 3A1, Canada</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Anesthesiology: Impact Factor 1.808, 9/22 (2007)</w:t>
      </w:r>
    </w:p>
    <w:p w:rsidR="002D7FE7" w:rsidRDefault="002D7FE7" w:rsidP="002D7FE7">
      <w:pPr>
        <w:pStyle w:val="a3"/>
      </w:pPr>
      <w:r>
        <w:t>? Bevan, D.R.</w:t>
      </w:r>
      <w:r w:rsidR="005853A9">
        <w:t xml:space="preserve"> and </w:t>
      </w:r>
      <w:r>
        <w:t>Purkis, J.M</w:t>
      </w:r>
      <w:r w:rsidRPr="00C73C58">
        <w:t xml:space="preserve">. (1995), Citation errors can be reduced. </w:t>
      </w:r>
      <w:r w:rsidRPr="00C73C58">
        <w:rPr>
          <w:i/>
          <w:iCs/>
        </w:rPr>
        <w:t>Canadian Journal</w:t>
      </w:r>
      <w:r w:rsidR="00427468">
        <w:rPr>
          <w:i/>
          <w:iCs/>
        </w:rPr>
        <w:t xml:space="preserve"> of </w:t>
      </w:r>
      <w:r w:rsidRPr="00C73C58">
        <w:rPr>
          <w:i/>
          <w:iCs/>
        </w:rPr>
        <w:t>Anaesthesia-Journal Canadien d</w:t>
      </w:r>
      <w:r w:rsidR="0071223E">
        <w:rPr>
          <w:i/>
          <w:iCs/>
        </w:rPr>
        <w:t>’</w:t>
      </w:r>
      <w:r w:rsidRPr="00C73C58">
        <w:rPr>
          <w:i/>
          <w:iCs/>
        </w:rPr>
        <w:t>Anesthesie</w:t>
      </w:r>
      <w:r w:rsidRPr="00C73C58">
        <w:t xml:space="preserve">, </w:t>
      </w:r>
      <w:r w:rsidRPr="00C73C58">
        <w:rPr>
          <w:b/>
          <w:bCs/>
        </w:rPr>
        <w:t>42</w:t>
      </w:r>
      <w:r w:rsidRPr="00C73C58">
        <w:t xml:space="preserve"> (5), 367-369.</w:t>
      </w:r>
    </w:p>
    <w:p w:rsidR="002D7FE7" w:rsidRPr="00C73C58" w:rsidRDefault="002D7FE7" w:rsidP="002D7FE7">
      <w:pPr>
        <w:pStyle w:val="a3"/>
      </w:pPr>
      <w:r>
        <w:rPr>
          <w:rFonts w:hint="eastAsia"/>
        </w:rPr>
        <w:t xml:space="preserve">Full Text: </w:t>
      </w:r>
      <w:hyperlink r:id="rId36" w:history="1">
        <w:r w:rsidRPr="00BA0411">
          <w:rPr>
            <w:rStyle w:val="a5"/>
          </w:rPr>
          <w:t>1995\Can J Ana42, 367.pdf</w:t>
        </w:r>
      </w:hyperlink>
    </w:p>
    <w:p w:rsidR="00DA1DD1" w:rsidRDefault="00DA1DD1" w:rsidP="00DA1DD1">
      <w:pPr>
        <w:pStyle w:val="a3"/>
        <w:rPr>
          <w:kern w:val="0"/>
          <w:szCs w:val="24"/>
        </w:rPr>
      </w:pPr>
      <w:r>
        <w:rPr>
          <w:kern w:val="0"/>
          <w:szCs w:val="24"/>
        </w:rPr>
        <w:t>Keywords: Accuracy</w:t>
      </w:r>
      <w:r>
        <w:rPr>
          <w:rFonts w:hint="eastAsia"/>
          <w:kern w:val="0"/>
          <w:szCs w:val="24"/>
        </w:rPr>
        <w:t xml:space="preserve">, </w:t>
      </w:r>
      <w:r>
        <w:rPr>
          <w:kern w:val="0"/>
          <w:szCs w:val="24"/>
        </w:rPr>
        <w:t>Citation</w:t>
      </w:r>
    </w:p>
    <w:p w:rsidR="002D7FE7" w:rsidRPr="00C73C58" w:rsidRDefault="002D7FE7" w:rsidP="002D7FE7">
      <w:pPr>
        <w:pStyle w:val="a3"/>
      </w:pPr>
      <w:r w:rsidRPr="00C73C58">
        <w:t>? Asano, M., Mikawa, K., Nishina, K., Maekawa, N.</w:t>
      </w:r>
      <w:r w:rsidR="005853A9">
        <w:t xml:space="preserve"> and </w:t>
      </w:r>
      <w:r w:rsidRPr="00C73C58">
        <w:t>Obara, H. (1995), Improvement</w:t>
      </w:r>
      <w:r w:rsidR="00427468">
        <w:t xml:space="preserve"> of </w:t>
      </w:r>
      <w:r w:rsidR="003A1917">
        <w:t xml:space="preserve">the </w:t>
      </w:r>
      <w:r w:rsidRPr="00C73C58">
        <w:t>accuracy</w:t>
      </w:r>
      <w:r w:rsidR="00427468">
        <w:t xml:space="preserve"> of </w:t>
      </w:r>
      <w:r w:rsidRPr="00C73C58">
        <w:t>references in</w:t>
      </w:r>
      <w:r w:rsidR="003A1917">
        <w:t xml:space="preserve"> the </w:t>
      </w:r>
      <w:r w:rsidRPr="00C73C58">
        <w:rPr>
          <w:i/>
          <w:iCs/>
        </w:rPr>
        <w:t>Canadian Journal</w:t>
      </w:r>
      <w:r w:rsidR="00427468">
        <w:rPr>
          <w:i/>
          <w:iCs/>
        </w:rPr>
        <w:t xml:space="preserve"> of </w:t>
      </w:r>
      <w:r w:rsidRPr="00C73C58">
        <w:rPr>
          <w:i/>
          <w:iCs/>
        </w:rPr>
        <w:t>Anaesthesia</w:t>
      </w:r>
      <w:r w:rsidRPr="00C73C58">
        <w:t xml:space="preserve">. </w:t>
      </w:r>
      <w:r w:rsidRPr="00C73C58">
        <w:rPr>
          <w:i/>
          <w:iCs/>
        </w:rPr>
        <w:t>Canadian Journal</w:t>
      </w:r>
      <w:r w:rsidR="00427468">
        <w:rPr>
          <w:i/>
          <w:iCs/>
        </w:rPr>
        <w:t xml:space="preserve"> of </w:t>
      </w:r>
      <w:r w:rsidRPr="00C73C58">
        <w:rPr>
          <w:i/>
          <w:iCs/>
        </w:rPr>
        <w:t>Anaesthesia-Journal Canadien d</w:t>
      </w:r>
      <w:r w:rsidR="0071223E">
        <w:rPr>
          <w:i/>
          <w:iCs/>
        </w:rPr>
        <w:t>’</w:t>
      </w:r>
      <w:r w:rsidRPr="00C73C58">
        <w:rPr>
          <w:i/>
          <w:iCs/>
        </w:rPr>
        <w:t>Anesthesie</w:t>
      </w:r>
      <w:r w:rsidRPr="00C73C58">
        <w:t xml:space="preserve">, </w:t>
      </w:r>
      <w:r w:rsidRPr="00C73C58">
        <w:rPr>
          <w:b/>
          <w:bCs/>
        </w:rPr>
        <w:t>42</w:t>
      </w:r>
      <w:r w:rsidRPr="00C73C58">
        <w:t xml:space="preserve"> (5), 370-372.</w:t>
      </w:r>
    </w:p>
    <w:p w:rsidR="002D7FE7" w:rsidRPr="00C73C58" w:rsidRDefault="002D7FE7" w:rsidP="002D7FE7">
      <w:pPr>
        <w:pStyle w:val="a3"/>
      </w:pPr>
      <w:r>
        <w:rPr>
          <w:rFonts w:hint="eastAsia"/>
        </w:rPr>
        <w:t xml:space="preserve">Full Text: </w:t>
      </w:r>
      <w:hyperlink r:id="rId37" w:history="1">
        <w:r w:rsidRPr="00BA0411">
          <w:rPr>
            <w:rStyle w:val="a5"/>
          </w:rPr>
          <w:t>1995\Can J Ana42, 307.pdf</w:t>
        </w:r>
      </w:hyperlink>
    </w:p>
    <w:p w:rsidR="002D7FE7" w:rsidRPr="00C73C58" w:rsidRDefault="002D7FE7" w:rsidP="002D7FE7">
      <w:pPr>
        <w:pStyle w:val="a3"/>
      </w:pPr>
      <w:r w:rsidRPr="00C73C58">
        <w:t>Abstract: A previous study indicated that there were many citation errors in</w:t>
      </w:r>
      <w:r w:rsidR="003A1917">
        <w:t xml:space="preserve"> the </w:t>
      </w:r>
      <w:r w:rsidRPr="00C73C58">
        <w:t>Canadian Journal</w:t>
      </w:r>
      <w:r w:rsidR="00427468">
        <w:t xml:space="preserve"> of </w:t>
      </w:r>
      <w:r w:rsidRPr="00C73C58">
        <w:t>Anaesthesia. After this report, editors</w:t>
      </w:r>
      <w:r w:rsidR="00427468">
        <w:t xml:space="preserve"> of </w:t>
      </w:r>
      <w:r w:rsidR="003A1917">
        <w:t xml:space="preserve">the </w:t>
      </w:r>
      <w:r w:rsidRPr="00C73C58">
        <w:t>Journal requested any contributors, whose papers were accepted for publication, to verify</w:t>
      </w:r>
      <w:r w:rsidR="003A1917">
        <w:t xml:space="preserve"> the </w:t>
      </w:r>
      <w:r w:rsidRPr="00C73C58">
        <w:t>accuracy</w:t>
      </w:r>
      <w:r w:rsidR="00427468">
        <w:t xml:space="preserve"> of </w:t>
      </w:r>
      <w:r w:rsidRPr="00C73C58">
        <w:t>reference citation by including a photocopy</w:t>
      </w:r>
      <w:r w:rsidR="00427468">
        <w:t xml:space="preserve"> of </w:t>
      </w:r>
      <w:r w:rsidR="003A1917">
        <w:t xml:space="preserve">the </w:t>
      </w:r>
      <w:r w:rsidRPr="00C73C58">
        <w:t>first page</w:t>
      </w:r>
      <w:r w:rsidR="00427468">
        <w:t xml:space="preserve"> of </w:t>
      </w:r>
      <w:r w:rsidRPr="00C73C58">
        <w:t>each reference</w:t>
      </w:r>
      <w:r w:rsidR="00A37C1D">
        <w:t>. The</w:t>
      </w:r>
      <w:r w:rsidR="003A1917">
        <w:t xml:space="preserve"> </w:t>
      </w:r>
      <w:r w:rsidRPr="00C73C58">
        <w:t>present study examined if</w:t>
      </w:r>
      <w:r w:rsidR="003A1917">
        <w:t xml:space="preserve"> the </w:t>
      </w:r>
      <w:r w:rsidRPr="00C73C58">
        <w:t>accuracy</w:t>
      </w:r>
      <w:r w:rsidR="00427468">
        <w:t xml:space="preserve"> of </w:t>
      </w:r>
      <w:r w:rsidR="003A1917">
        <w:t xml:space="preserve">the </w:t>
      </w:r>
      <w:r w:rsidRPr="00C73C58">
        <w:t>reference list had improved. We compared citation errors between volumes</w:t>
      </w:r>
      <w:r w:rsidR="00427468">
        <w:t xml:space="preserve"> of </w:t>
      </w:r>
      <w:r w:rsidRPr="00C73C58">
        <w:t>1990</w:t>
      </w:r>
      <w:r w:rsidR="005853A9">
        <w:t xml:space="preserve"> and </w:t>
      </w:r>
      <w:r w:rsidRPr="00C73C58">
        <w:t>1994. One hundred references from each year</w:t>
      </w:r>
      <w:r w:rsidR="0071223E">
        <w:t>’</w:t>
      </w:r>
      <w:r w:rsidR="00C13DDC">
        <w:t>s</w:t>
      </w:r>
      <w:r w:rsidRPr="00C73C58">
        <w:t xml:space="preserve"> publication were randomly selected. After citations</w:t>
      </w:r>
      <w:r w:rsidR="00427468">
        <w:t xml:space="preserve"> of </w:t>
      </w:r>
      <w:r w:rsidRPr="00C73C58">
        <w:t>nonjournal articles were excluded,</w:t>
      </w:r>
      <w:r w:rsidR="003A1917">
        <w:t xml:space="preserve"> the </w:t>
      </w:r>
      <w:r w:rsidRPr="00C73C58">
        <w:t>remaining 190 citations were carefully scrutinized. Authors</w:t>
      </w:r>
      <w:r w:rsidR="0071223E">
        <w:t>’</w:t>
      </w:r>
      <w:r w:rsidRPr="00C73C58">
        <w:t xml:space="preserve"> names, article title, journal title volume number, page numbers,</w:t>
      </w:r>
      <w:r w:rsidR="005853A9">
        <w:t xml:space="preserve"> and </w:t>
      </w:r>
      <w:r w:rsidRPr="00C73C58">
        <w:t>year were examined in each selected reference. A reference war; deemed correct if each element</w:t>
      </w:r>
      <w:r w:rsidR="00427468">
        <w:t xml:space="preserve"> of </w:t>
      </w:r>
      <w:r w:rsidR="003A1917">
        <w:t xml:space="preserve">the </w:t>
      </w:r>
      <w:r w:rsidRPr="00C73C58">
        <w:t>citation was identical to its source.</w:t>
      </w:r>
      <w:r w:rsidR="00427468">
        <w:t xml:space="preserve"> of </w:t>
      </w:r>
      <w:r w:rsidR="003A1917">
        <w:t xml:space="preserve">the </w:t>
      </w:r>
      <w:r w:rsidRPr="00C73C58">
        <w:t>examined references, 48%</w:t>
      </w:r>
      <w:r w:rsidR="005853A9">
        <w:t xml:space="preserve"> and </w:t>
      </w:r>
      <w:r w:rsidRPr="00C73C58">
        <w:t>22% contained one or more errors in 1990</w:t>
      </w:r>
      <w:r w:rsidR="005853A9">
        <w:t xml:space="preserve"> and </w:t>
      </w:r>
      <w:r w:rsidRPr="00C73C58">
        <w:t>1994, respectively. Errors in</w:t>
      </w:r>
      <w:r w:rsidR="003A1917">
        <w:t xml:space="preserve"> the </w:t>
      </w:r>
      <w:r w:rsidRPr="00C73C58">
        <w:t>title</w:t>
      </w:r>
      <w:r w:rsidR="005853A9">
        <w:t xml:space="preserve"> and </w:t>
      </w:r>
      <w:r w:rsidRPr="00C73C58">
        <w:t>author field</w:t>
      </w:r>
      <w:r w:rsidR="00427468">
        <w:t xml:space="preserve"> of </w:t>
      </w:r>
      <w:r w:rsidRPr="00C73C58">
        <w:t>citation were most common in</w:t>
      </w:r>
      <w:r w:rsidR="003A1917">
        <w:t xml:space="preserve"> the </w:t>
      </w:r>
      <w:r w:rsidRPr="00C73C58">
        <w:t>either</w:t>
      </w:r>
      <w:r w:rsidR="00427468">
        <w:t xml:space="preserve"> of </w:t>
      </w:r>
      <w:r w:rsidR="003A1917">
        <w:t xml:space="preserve">the </w:t>
      </w:r>
      <w:r w:rsidRPr="00C73C58">
        <w:t>two years, occurring in about 70%</w:t>
      </w:r>
      <w:r w:rsidR="00427468">
        <w:t xml:space="preserve"> of </w:t>
      </w:r>
      <w:r w:rsidR="003A1917">
        <w:t xml:space="preserve">the </w:t>
      </w:r>
      <w:r w:rsidRPr="00C73C58">
        <w:t>references which contained some errors. Citation errors in Canadian Journal</w:t>
      </w:r>
      <w:r w:rsidR="00427468">
        <w:t xml:space="preserve"> of </w:t>
      </w:r>
      <w:r w:rsidRPr="00C73C58">
        <w:t>Anaesthesia were considerably improved after</w:t>
      </w:r>
      <w:r w:rsidR="003A1917">
        <w:t xml:space="preserve"> the </w:t>
      </w:r>
      <w:r w:rsidRPr="00C73C58">
        <w:t xml:space="preserve">request to verify citation accuracy Although this check-system probably contributes </w:t>
      </w:r>
      <w:r w:rsidRPr="00C73C58">
        <w:lastRenderedPageBreak/>
        <w:t>to</w:t>
      </w:r>
      <w:r w:rsidR="003A1917">
        <w:t xml:space="preserve"> the </w:t>
      </w:r>
      <w:r w:rsidRPr="00C73C58">
        <w:t>improvement</w:t>
      </w:r>
      <w:r w:rsidR="00427468">
        <w:t xml:space="preserve"> of </w:t>
      </w:r>
      <w:r w:rsidRPr="00C73C58">
        <w:t>accuracy</w:t>
      </w:r>
      <w:r w:rsidR="00427468">
        <w:t xml:space="preserve"> of </w:t>
      </w:r>
      <w:r w:rsidRPr="00C73C58">
        <w:t>reference citation,</w:t>
      </w:r>
      <w:r w:rsidR="003A1917">
        <w:t xml:space="preserve"> the </w:t>
      </w:r>
      <w:r w:rsidRPr="00C73C58">
        <w:t>rate</w:t>
      </w:r>
      <w:r w:rsidR="00427468">
        <w:t xml:space="preserve"> of </w:t>
      </w:r>
      <w:r w:rsidRPr="00C73C58">
        <w:t>citation errors remains high. We believe that contributors</w:t>
      </w:r>
      <w:r w:rsidR="0071223E">
        <w:t>’</w:t>
      </w:r>
      <w:r w:rsidRPr="00C73C58">
        <w:t xml:space="preserve"> efforts will enhance</w:t>
      </w:r>
      <w:r w:rsidR="003A1917">
        <w:t xml:space="preserve"> the </w:t>
      </w:r>
      <w:r w:rsidRPr="00C73C58">
        <w:t>value</w:t>
      </w:r>
      <w:r w:rsidR="00427468">
        <w:t xml:space="preserve"> of </w:t>
      </w:r>
      <w:r w:rsidR="003A1917">
        <w:t xml:space="preserve">the </w:t>
      </w:r>
      <w:r w:rsidRPr="00C73C58">
        <w:t>journal.</w:t>
      </w:r>
    </w:p>
    <w:p w:rsidR="00DA1DD1" w:rsidRDefault="00DA1DD1" w:rsidP="00DA1DD1">
      <w:pPr>
        <w:pStyle w:val="a3"/>
        <w:rPr>
          <w:kern w:val="0"/>
          <w:szCs w:val="24"/>
        </w:rPr>
      </w:pPr>
      <w:r>
        <w:rPr>
          <w:kern w:val="0"/>
          <w:szCs w:val="24"/>
        </w:rPr>
        <w:t>Keywords: Accuracy, Anesthesia,</w:t>
      </w:r>
      <w:r w:rsidR="003464B5">
        <w:rPr>
          <w:rFonts w:hint="eastAsia"/>
          <w:kern w:val="0"/>
          <w:szCs w:val="24"/>
        </w:rPr>
        <w:t xml:space="preserve"> </w:t>
      </w:r>
      <w:r>
        <w:rPr>
          <w:kern w:val="0"/>
          <w:szCs w:val="24"/>
        </w:rPr>
        <w:t>Journals, Citation, Citation Accuracy, Citation Errors, Citations, Errors, Field, First, Improvement, Journal, Papers, Publication, Publication,Documentation,</w:t>
      </w:r>
      <w:r w:rsidR="003464B5">
        <w:rPr>
          <w:rFonts w:hint="eastAsia"/>
          <w:kern w:val="0"/>
          <w:szCs w:val="24"/>
        </w:rPr>
        <w:t xml:space="preserve"> </w:t>
      </w:r>
      <w:r>
        <w:rPr>
          <w:kern w:val="0"/>
          <w:szCs w:val="24"/>
        </w:rPr>
        <w:t>Canadian Journal</w:t>
      </w:r>
      <w:r w:rsidR="00427468">
        <w:rPr>
          <w:kern w:val="0"/>
          <w:szCs w:val="24"/>
        </w:rPr>
        <w:t xml:space="preserve"> of </w:t>
      </w:r>
      <w:r>
        <w:rPr>
          <w:kern w:val="0"/>
          <w:szCs w:val="24"/>
        </w:rPr>
        <w:t>Anesthesia, Reference, References, Source, Value, Volume, War</w:t>
      </w:r>
    </w:p>
    <w:p w:rsidR="002D7FE7" w:rsidRPr="00C73C58" w:rsidRDefault="002D7FE7" w:rsidP="002D7FE7">
      <w:pPr>
        <w:pStyle w:val="a3"/>
      </w:pPr>
      <w:r w:rsidRPr="00C73C58">
        <w:t>? Asai, T.</w:t>
      </w:r>
      <w:r w:rsidR="005853A9">
        <w:t xml:space="preserve"> and </w:t>
      </w:r>
      <w:r w:rsidRPr="00C73C58">
        <w:t xml:space="preserve">Vickers, M.D. (1995), Citation errors: There is still much to be done. </w:t>
      </w:r>
      <w:r w:rsidRPr="00C73C58">
        <w:rPr>
          <w:i/>
          <w:iCs/>
        </w:rPr>
        <w:t>Canadian Journal</w:t>
      </w:r>
      <w:r w:rsidR="00427468">
        <w:rPr>
          <w:i/>
          <w:iCs/>
        </w:rPr>
        <w:t xml:space="preserve"> of </w:t>
      </w:r>
      <w:r w:rsidRPr="00C73C58">
        <w:rPr>
          <w:i/>
          <w:iCs/>
        </w:rPr>
        <w:t>Anaesthesia-Journal Canadien d</w:t>
      </w:r>
      <w:r w:rsidR="0071223E">
        <w:rPr>
          <w:i/>
          <w:iCs/>
        </w:rPr>
        <w:t>’</w:t>
      </w:r>
      <w:r w:rsidRPr="00C73C58">
        <w:rPr>
          <w:i/>
          <w:iCs/>
        </w:rPr>
        <w:t>Anesthesie</w:t>
      </w:r>
      <w:r w:rsidRPr="00C73C58">
        <w:t xml:space="preserve">, </w:t>
      </w:r>
      <w:r w:rsidRPr="00C73C58">
        <w:rPr>
          <w:b/>
          <w:bCs/>
        </w:rPr>
        <w:t>42</w:t>
      </w:r>
      <w:r w:rsidRPr="00C73C58">
        <w:t xml:space="preserve"> (11), 1063.</w:t>
      </w:r>
    </w:p>
    <w:p w:rsidR="002D7FE7" w:rsidRPr="00C73C58" w:rsidRDefault="002D7FE7" w:rsidP="002D7FE7">
      <w:pPr>
        <w:pStyle w:val="a3"/>
      </w:pPr>
      <w:r>
        <w:rPr>
          <w:rFonts w:hint="eastAsia"/>
        </w:rPr>
        <w:t xml:space="preserve">Full Text: </w:t>
      </w:r>
      <w:hyperlink r:id="rId38" w:history="1">
        <w:r w:rsidRPr="00BA0411">
          <w:rPr>
            <w:rStyle w:val="a5"/>
          </w:rPr>
          <w:t>1995\Can J Ana42, 1063.pdf</w:t>
        </w:r>
      </w:hyperlink>
    </w:p>
    <w:p w:rsidR="00DA1DD1" w:rsidRDefault="00DA1DD1" w:rsidP="00DA1DD1">
      <w:pPr>
        <w:pStyle w:val="a3"/>
        <w:rPr>
          <w:kern w:val="0"/>
          <w:szCs w:val="24"/>
        </w:rPr>
      </w:pPr>
      <w:r>
        <w:rPr>
          <w:kern w:val="0"/>
          <w:szCs w:val="24"/>
        </w:rPr>
        <w:t>Keywords: Citation</w:t>
      </w:r>
      <w:r>
        <w:rPr>
          <w:rFonts w:hint="eastAsia"/>
          <w:kern w:val="0"/>
          <w:szCs w:val="24"/>
        </w:rPr>
        <w:t xml:space="preserve">, </w:t>
      </w:r>
      <w:r>
        <w:rPr>
          <w:kern w:val="0"/>
          <w:szCs w:val="24"/>
        </w:rPr>
        <w:t>NOV</w:t>
      </w:r>
    </w:p>
    <w:p w:rsidR="001A5627" w:rsidRDefault="001A5627" w:rsidP="001A5627">
      <w:pPr>
        <w:pStyle w:val="a3"/>
        <w:rPr>
          <w:kern w:val="0"/>
        </w:rPr>
      </w:pPr>
      <w:r>
        <w:rPr>
          <w:rFonts w:hint="eastAsia"/>
          <w:kern w:val="0"/>
        </w:rPr>
        <w:t xml:space="preserve">? </w:t>
      </w:r>
      <w:r>
        <w:rPr>
          <w:kern w:val="0"/>
        </w:rPr>
        <w:t>Yu, C.H.</w:t>
      </w:r>
      <w:r w:rsidR="005853A9">
        <w:rPr>
          <w:kern w:val="0"/>
        </w:rPr>
        <w:t xml:space="preserve"> and </w:t>
      </w:r>
      <w:r>
        <w:rPr>
          <w:kern w:val="0"/>
        </w:rPr>
        <w:t>Beattie, W.S. (2006</w:t>
      </w:r>
      <w:r w:rsidR="00F42EAC">
        <w:rPr>
          <w:kern w:val="0"/>
        </w:rPr>
        <w:t>), The</w:t>
      </w:r>
      <w:r w:rsidR="003A1917">
        <w:rPr>
          <w:kern w:val="0"/>
        </w:rPr>
        <w:t xml:space="preserve"> </w:t>
      </w:r>
      <w:r>
        <w:rPr>
          <w:kern w:val="0"/>
        </w:rPr>
        <w:t>effects</w:t>
      </w:r>
      <w:r w:rsidR="00427468">
        <w:rPr>
          <w:kern w:val="0"/>
        </w:rPr>
        <w:t xml:space="preserve"> of </w:t>
      </w:r>
      <w:r>
        <w:rPr>
          <w:kern w:val="0"/>
        </w:rPr>
        <w:t>volatile anesthetics on cardiac ischemic complications</w:t>
      </w:r>
      <w:r w:rsidR="005853A9">
        <w:rPr>
          <w:kern w:val="0"/>
        </w:rPr>
        <w:t xml:space="preserve"> and </w:t>
      </w:r>
      <w:r>
        <w:rPr>
          <w:kern w:val="0"/>
        </w:rPr>
        <w:t xml:space="preserve">mortality in CABG: A meta-analysis. </w:t>
      </w:r>
      <w:r w:rsidRPr="00C73C58">
        <w:rPr>
          <w:i/>
          <w:iCs/>
        </w:rPr>
        <w:t>Canadian Journal</w:t>
      </w:r>
      <w:r w:rsidR="00427468">
        <w:rPr>
          <w:i/>
          <w:iCs/>
        </w:rPr>
        <w:t xml:space="preserve"> of </w:t>
      </w:r>
      <w:r w:rsidRPr="00C73C58">
        <w:rPr>
          <w:i/>
          <w:iCs/>
        </w:rPr>
        <w:t>Anaesthesia-Journal Canadien d</w:t>
      </w:r>
      <w:r w:rsidR="0071223E">
        <w:rPr>
          <w:i/>
          <w:iCs/>
        </w:rPr>
        <w:t>’</w:t>
      </w:r>
      <w:r w:rsidRPr="00C73C58">
        <w:rPr>
          <w:i/>
          <w:iCs/>
        </w:rPr>
        <w:t>Anesthesie</w:t>
      </w:r>
      <w:r>
        <w:rPr>
          <w:kern w:val="0"/>
        </w:rPr>
        <w:t xml:space="preserve">, </w:t>
      </w:r>
      <w:r>
        <w:rPr>
          <w:b/>
          <w:bCs/>
          <w:kern w:val="0"/>
        </w:rPr>
        <w:t>53</w:t>
      </w:r>
      <w:r>
        <w:rPr>
          <w:kern w:val="0"/>
        </w:rPr>
        <w:t xml:space="preserve"> (9), 906-918.</w:t>
      </w:r>
    </w:p>
    <w:p w:rsidR="001A5627" w:rsidRPr="00C73C58" w:rsidRDefault="001A5627" w:rsidP="001A5627">
      <w:pPr>
        <w:pStyle w:val="a3"/>
      </w:pPr>
      <w:r>
        <w:rPr>
          <w:rFonts w:hint="eastAsia"/>
        </w:rPr>
        <w:t xml:space="preserve">Full Text: </w:t>
      </w:r>
      <w:hyperlink r:id="rId39" w:history="1">
        <w:r w:rsidRPr="003678B2">
          <w:rPr>
            <w:rStyle w:val="a5"/>
          </w:rPr>
          <w:t>2006\Can J Ana53, 906.pdf</w:t>
        </w:r>
      </w:hyperlink>
    </w:p>
    <w:p w:rsidR="001A5627" w:rsidRDefault="001A5627" w:rsidP="001A5627">
      <w:pPr>
        <w:pStyle w:val="a3"/>
        <w:rPr>
          <w:kern w:val="0"/>
        </w:rPr>
      </w:pPr>
      <w:r>
        <w:rPr>
          <w:kern w:val="0"/>
        </w:rPr>
        <w:t>Abstract: Purpose: Coronary artery bypass graft surgery (CABG) is associated with cardiac complications, including ischemia, acute myocardial infarction (AMI),</w:t>
      </w:r>
      <w:r w:rsidR="005853A9">
        <w:rPr>
          <w:kern w:val="0"/>
        </w:rPr>
        <w:t xml:space="preserve"> and </w:t>
      </w:r>
      <w:r>
        <w:rPr>
          <w:kern w:val="0"/>
        </w:rPr>
        <w:t>death. Volatile anesthetics have been shown to have a preconditioning-like effect. This systematic review assesses</w:t>
      </w:r>
      <w:r w:rsidR="003A1917">
        <w:rPr>
          <w:kern w:val="0"/>
        </w:rPr>
        <w:t xml:space="preserve"> the </w:t>
      </w:r>
      <w:r>
        <w:rPr>
          <w:kern w:val="0"/>
        </w:rPr>
        <w:t>effects</w:t>
      </w:r>
      <w:r w:rsidR="00427468">
        <w:rPr>
          <w:kern w:val="0"/>
        </w:rPr>
        <w:t xml:space="preserve"> of </w:t>
      </w:r>
      <w:r>
        <w:rPr>
          <w:kern w:val="0"/>
        </w:rPr>
        <w:t>volatile anesthetics on cardiac ischemic complications</w:t>
      </w:r>
      <w:r w:rsidR="005853A9">
        <w:rPr>
          <w:kern w:val="0"/>
        </w:rPr>
        <w:t xml:space="preserve"> and </w:t>
      </w:r>
      <w:r>
        <w:rPr>
          <w:kern w:val="0"/>
        </w:rPr>
        <w:t>morbidity after CABG. Methods: Data were obtained, without language restriction, from searches</w:t>
      </w:r>
      <w:r w:rsidR="00427468">
        <w:rPr>
          <w:kern w:val="0"/>
        </w:rPr>
        <w:t xml:space="preserve"> of </w:t>
      </w:r>
      <w:r w:rsidR="00D5664A">
        <w:rPr>
          <w:kern w:val="0"/>
        </w:rPr>
        <w:t>MEDLINE</w:t>
      </w:r>
      <w:r>
        <w:rPr>
          <w:kern w:val="0"/>
        </w:rPr>
        <w:t xml:space="preserve">, Science Citation Index, </w:t>
      </w:r>
      <w:r w:rsidR="002C12F0">
        <w:rPr>
          <w:kern w:val="0"/>
        </w:rPr>
        <w:t>PUBMED</w:t>
      </w:r>
      <w:r>
        <w:rPr>
          <w:kern w:val="0"/>
        </w:rPr>
        <w:t>,</w:t>
      </w:r>
      <w:r w:rsidR="005853A9">
        <w:rPr>
          <w:kern w:val="0"/>
        </w:rPr>
        <w:t xml:space="preserve"> and </w:t>
      </w:r>
      <w:r>
        <w:rPr>
          <w:kern w:val="0"/>
        </w:rPr>
        <w:t>reference lists. We included only prospective randomized controlled trials evaluating volatile anesthetics during CABG. Two reviewers independently abstracted data on myocardial ischemia, acute myocardial infarction (AMI),</w:t>
      </w:r>
      <w:r w:rsidR="005853A9">
        <w:rPr>
          <w:kern w:val="0"/>
        </w:rPr>
        <w:t xml:space="preserve"> and </w:t>
      </w:r>
      <w:r>
        <w:rPr>
          <w:kern w:val="0"/>
        </w:rPr>
        <w:t>death. Treatment effects were calculated as odds ratio (OR) with 95% confidence intervals (CI) for binary data,</w:t>
      </w:r>
      <w:r w:rsidR="005853A9">
        <w:rPr>
          <w:kern w:val="0"/>
        </w:rPr>
        <w:t xml:space="preserve"> and </w:t>
      </w:r>
      <w:r>
        <w:rPr>
          <w:kern w:val="0"/>
        </w:rPr>
        <w:t>weighted mean difference (WMD) with 95% Cl for continuous data. Principal findings: Thirty-two studies (2,841 patients) were included. In comparison with iv anesthesia, volatile anesthetics were associated with reduced all-cause mortality (OR, 0.65; 95% Cl, 0.36-1.18; P = 0.16). Enflurane was associated with increased AMI (OR, 1.34; 95% CI, 0.68-2.64; P = 0.40) whereas sevoflurane</w:t>
      </w:r>
      <w:r w:rsidR="005853A9">
        <w:rPr>
          <w:kern w:val="0"/>
        </w:rPr>
        <w:t xml:space="preserve"> and </w:t>
      </w:r>
      <w:r>
        <w:rPr>
          <w:kern w:val="0"/>
        </w:rPr>
        <w:t>desflurane reduced cardiac troponin (cTnI) at six hours, 12 hr, 24 hr [WMD, -1.45; 95% CI (-1.73, -1.16); P &lt; 0.00001],</w:t>
      </w:r>
      <w:r w:rsidR="005853A9">
        <w:rPr>
          <w:kern w:val="0"/>
        </w:rPr>
        <w:t xml:space="preserve"> and </w:t>
      </w:r>
      <w:r>
        <w:rPr>
          <w:kern w:val="0"/>
        </w:rPr>
        <w:t>48 hr after operation. Conclusion: This meta-analysis demonstrates sevoflurane</w:t>
      </w:r>
      <w:r w:rsidR="005853A9">
        <w:rPr>
          <w:kern w:val="0"/>
        </w:rPr>
        <w:t xml:space="preserve"> and </w:t>
      </w:r>
      <w:r>
        <w:rPr>
          <w:kern w:val="0"/>
        </w:rPr>
        <w:t>desflurane reduce</w:t>
      </w:r>
      <w:r w:rsidR="003A1917">
        <w:rPr>
          <w:kern w:val="0"/>
        </w:rPr>
        <w:t xml:space="preserve"> the </w:t>
      </w:r>
      <w:r>
        <w:rPr>
          <w:kern w:val="0"/>
        </w:rPr>
        <w:t>postoperative rise in cTnI. Sevoflurane-mediated reduction in cardiac troponin was associated with improved long-term outcomes in one study. This meta-analysis was not able to show that these positive effects on troponin were translated into improved clinical outcomes. Well-designed large randomized control trials are needed to further elucidate</w:t>
      </w:r>
      <w:r w:rsidR="003A1917">
        <w:rPr>
          <w:kern w:val="0"/>
        </w:rPr>
        <w:t xml:space="preserve"> the </w:t>
      </w:r>
      <w:r>
        <w:rPr>
          <w:kern w:val="0"/>
        </w:rPr>
        <w:t>differential cardio-protective effects</w:t>
      </w:r>
      <w:r w:rsidR="00427468">
        <w:rPr>
          <w:kern w:val="0"/>
        </w:rPr>
        <w:t xml:space="preserve"> of </w:t>
      </w:r>
      <w:r>
        <w:rPr>
          <w:kern w:val="0"/>
        </w:rPr>
        <w:t>volatile anesthetics.</w:t>
      </w:r>
    </w:p>
    <w:p w:rsidR="001A5627" w:rsidRDefault="001A5627" w:rsidP="001A5627">
      <w:pPr>
        <w:pStyle w:val="a3"/>
        <w:rPr>
          <w:kern w:val="0"/>
        </w:rPr>
      </w:pPr>
      <w:r>
        <w:rPr>
          <w:kern w:val="0"/>
        </w:rPr>
        <w:t xml:space="preserve">Keywords: Anesthesia, Bypass Graft-Surgery, Cardiopulmonary Bypass, Citation, </w:t>
      </w:r>
      <w:r>
        <w:rPr>
          <w:kern w:val="0"/>
        </w:rPr>
        <w:lastRenderedPageBreak/>
        <w:t xml:space="preserve">Comparison, Coronary-Artery Surgery, High-Dose Fentanyl, Language, </w:t>
      </w:r>
      <w:r w:rsidR="00D5664A">
        <w:rPr>
          <w:kern w:val="0"/>
        </w:rPr>
        <w:t>MEDLINE</w:t>
      </w:r>
      <w:r>
        <w:rPr>
          <w:kern w:val="0"/>
        </w:rPr>
        <w:t>, Meta-Analysis, Nitrous-Oxide Anesthesia, Outcomes, Positive, Postoperative Myocardial-Ischemia, Randomized-Trials, Recovery Profile, Reduction, Review, Science, Science Citation Index, Sufentanil Anesthesia, Surgery, Systematic Review, Systemic Hemodynamics</w:t>
      </w:r>
    </w:p>
    <w:p w:rsidR="002D7FE7" w:rsidRDefault="002D7FE7" w:rsidP="002D7FE7">
      <w:pPr>
        <w:pStyle w:val="a3"/>
        <w:rPr>
          <w:kern w:val="0"/>
        </w:rPr>
      </w:pPr>
      <w:r>
        <w:rPr>
          <w:rFonts w:hint="eastAsia"/>
          <w:kern w:val="0"/>
        </w:rPr>
        <w:t xml:space="preserve">? </w:t>
      </w:r>
      <w:r>
        <w:rPr>
          <w:kern w:val="0"/>
        </w:rPr>
        <w:t>Kurrek, M.M.</w:t>
      </w:r>
      <w:r w:rsidR="005853A9">
        <w:rPr>
          <w:kern w:val="0"/>
        </w:rPr>
        <w:t xml:space="preserve"> and </w:t>
      </w:r>
      <w:r>
        <w:rPr>
          <w:kern w:val="0"/>
        </w:rPr>
        <w:t xml:space="preserve">Twersky, R.S. (2010), Office-based anesthesia. </w:t>
      </w:r>
      <w:r w:rsidRPr="00C73C58">
        <w:rPr>
          <w:i/>
          <w:iCs/>
        </w:rPr>
        <w:t>Canadian Journal</w:t>
      </w:r>
      <w:r w:rsidR="00427468">
        <w:rPr>
          <w:i/>
          <w:iCs/>
        </w:rPr>
        <w:t xml:space="preserve"> of </w:t>
      </w:r>
      <w:r w:rsidRPr="00C73C58">
        <w:rPr>
          <w:i/>
          <w:iCs/>
        </w:rPr>
        <w:t>Anaesthesia-Journal Canadien d</w:t>
      </w:r>
      <w:r w:rsidR="0071223E">
        <w:rPr>
          <w:i/>
          <w:iCs/>
        </w:rPr>
        <w:t>’</w:t>
      </w:r>
      <w:r w:rsidRPr="00C73C58">
        <w:rPr>
          <w:i/>
          <w:iCs/>
        </w:rPr>
        <w:t>Anesthesie</w:t>
      </w:r>
      <w:r>
        <w:rPr>
          <w:kern w:val="0"/>
        </w:rPr>
        <w:t xml:space="preserve">, </w:t>
      </w:r>
      <w:r>
        <w:rPr>
          <w:b/>
          <w:bCs/>
          <w:kern w:val="0"/>
        </w:rPr>
        <w:t>57</w:t>
      </w:r>
      <w:r>
        <w:rPr>
          <w:kern w:val="0"/>
        </w:rPr>
        <w:t xml:space="preserve"> (3), 256-272.</w:t>
      </w:r>
    </w:p>
    <w:p w:rsidR="002D7FE7" w:rsidRPr="00C73C58" w:rsidRDefault="002D7FE7" w:rsidP="002D7FE7">
      <w:pPr>
        <w:pStyle w:val="a3"/>
      </w:pPr>
      <w:r>
        <w:rPr>
          <w:rFonts w:hint="eastAsia"/>
        </w:rPr>
        <w:t xml:space="preserve">Full Text: </w:t>
      </w:r>
      <w:hyperlink r:id="rId40" w:history="1">
        <w:r w:rsidRPr="00BA0411">
          <w:rPr>
            <w:rStyle w:val="a5"/>
          </w:rPr>
          <w:t>2010\Can J Ana57, 256.pdf</w:t>
        </w:r>
      </w:hyperlink>
    </w:p>
    <w:p w:rsidR="003F3411" w:rsidRDefault="003F3411" w:rsidP="003F3411">
      <w:pPr>
        <w:pStyle w:val="a3"/>
        <w:rPr>
          <w:kern w:val="0"/>
        </w:rPr>
      </w:pPr>
      <w:r>
        <w:rPr>
          <w:kern w:val="0"/>
        </w:rPr>
        <w:t>Abstract: Ambulatory office-based anesthesia (OBA) is a relatively new but rapidly growing field. OBA requires a different approach than that used in</w:t>
      </w:r>
      <w:r w:rsidR="003A1917">
        <w:rPr>
          <w:kern w:val="0"/>
        </w:rPr>
        <w:t xml:space="preserve"> the </w:t>
      </w:r>
      <w:r>
        <w:rPr>
          <w:kern w:val="0"/>
        </w:rPr>
        <w:t>hospital, because there are unique considerations that must be recognized when administering anesthesia in a free-standing office facility. This review provides a summary</w:t>
      </w:r>
      <w:r w:rsidR="00427468">
        <w:rPr>
          <w:kern w:val="0"/>
        </w:rPr>
        <w:t xml:space="preserve"> of </w:t>
      </w:r>
      <w:r w:rsidR="003A1917">
        <w:rPr>
          <w:kern w:val="0"/>
        </w:rPr>
        <w:t xml:space="preserve">the </w:t>
      </w:r>
      <w:r>
        <w:rPr>
          <w:kern w:val="0"/>
        </w:rPr>
        <w:t>important issues</w:t>
      </w:r>
      <w:r w:rsidR="005853A9">
        <w:rPr>
          <w:kern w:val="0"/>
        </w:rPr>
        <w:t xml:space="preserve"> and </w:t>
      </w:r>
      <w:r>
        <w:rPr>
          <w:kern w:val="0"/>
        </w:rPr>
        <w:t>aspects</w:t>
      </w:r>
      <w:r w:rsidR="00427468">
        <w:rPr>
          <w:kern w:val="0"/>
        </w:rPr>
        <w:t xml:space="preserve"> of </w:t>
      </w:r>
      <w:r>
        <w:rPr>
          <w:kern w:val="0"/>
        </w:rPr>
        <w:t>safe patient care</w:t>
      </w:r>
      <w:r w:rsidR="00A37C1D">
        <w:rPr>
          <w:kern w:val="0"/>
        </w:rPr>
        <w:t>. The</w:t>
      </w:r>
      <w:r w:rsidR="003A1917">
        <w:rPr>
          <w:kern w:val="0"/>
        </w:rPr>
        <w:t xml:space="preserve"> </w:t>
      </w:r>
      <w:r w:rsidR="00D5664A">
        <w:rPr>
          <w:kern w:val="0"/>
        </w:rPr>
        <w:t>MEDLINE</w:t>
      </w:r>
      <w:r>
        <w:rPr>
          <w:kern w:val="0"/>
        </w:rPr>
        <w:t>, Embase, Biological Abstract, Science Citation Index,</w:t>
      </w:r>
      <w:r w:rsidR="005853A9">
        <w:rPr>
          <w:kern w:val="0"/>
        </w:rPr>
        <w:t xml:space="preserve"> and </w:t>
      </w:r>
      <w:r>
        <w:rPr>
          <w:kern w:val="0"/>
        </w:rPr>
        <w:t>Healthstar databases were searched under</w:t>
      </w:r>
      <w:r w:rsidR="003A1917">
        <w:rPr>
          <w:kern w:val="0"/>
        </w:rPr>
        <w:t xml:space="preserve"> the </w:t>
      </w:r>
      <w:r>
        <w:rPr>
          <w:kern w:val="0"/>
        </w:rPr>
        <w:t xml:space="preserve">key words </w:t>
      </w:r>
      <w:r w:rsidR="00B5188C">
        <w:rPr>
          <w:kern w:val="0"/>
        </w:rPr>
        <w:t>“</w:t>
      </w:r>
      <w:r>
        <w:rPr>
          <w:kern w:val="0"/>
        </w:rPr>
        <w:t>office-based anesthesia</w:t>
      </w:r>
      <w:r w:rsidR="00B5188C">
        <w:rPr>
          <w:kern w:val="0"/>
        </w:rPr>
        <w:t>”</w:t>
      </w:r>
      <w:r>
        <w:rPr>
          <w:kern w:val="0"/>
        </w:rPr>
        <w:t xml:space="preserve"> for relevant English language articles from 1966 to December 2008. Relevant publications were queried from governing institutions, such as</w:t>
      </w:r>
      <w:r w:rsidR="003A1917">
        <w:rPr>
          <w:kern w:val="0"/>
        </w:rPr>
        <w:t xml:space="preserve"> the </w:t>
      </w:r>
      <w:r>
        <w:rPr>
          <w:kern w:val="0"/>
        </w:rPr>
        <w:t>American Society</w:t>
      </w:r>
      <w:r w:rsidR="00427468">
        <w:rPr>
          <w:kern w:val="0"/>
        </w:rPr>
        <w:t xml:space="preserve"> of </w:t>
      </w:r>
      <w:r>
        <w:rPr>
          <w:kern w:val="0"/>
        </w:rPr>
        <w:t>Anesthesiologists (ASA), as well as from colleges in various provinces across Canada. Office-based anesthesia remains poorly regulated in many parts</w:t>
      </w:r>
      <w:r w:rsidR="00427468">
        <w:rPr>
          <w:kern w:val="0"/>
        </w:rPr>
        <w:t xml:space="preserve"> of </w:t>
      </w:r>
      <w:r>
        <w:rPr>
          <w:kern w:val="0"/>
        </w:rPr>
        <w:t>Canada (and</w:t>
      </w:r>
      <w:r w:rsidR="003A1917">
        <w:rPr>
          <w:kern w:val="0"/>
        </w:rPr>
        <w:t xml:space="preserve"> the </w:t>
      </w:r>
      <w:r>
        <w:rPr>
          <w:kern w:val="0"/>
        </w:rPr>
        <w:t>US). Despite continuing concerns regarding patient safety,</w:t>
      </w:r>
      <w:r w:rsidR="003A1917">
        <w:rPr>
          <w:kern w:val="0"/>
        </w:rPr>
        <w:t xml:space="preserve"> the </w:t>
      </w:r>
      <w:r>
        <w:rPr>
          <w:kern w:val="0"/>
        </w:rPr>
        <w:t>rates</w:t>
      </w:r>
      <w:r w:rsidR="00427468">
        <w:rPr>
          <w:kern w:val="0"/>
        </w:rPr>
        <w:t xml:space="preserve"> of </w:t>
      </w:r>
      <w:r>
        <w:rPr>
          <w:kern w:val="0"/>
        </w:rPr>
        <w:t>death</w:t>
      </w:r>
      <w:r w:rsidR="005853A9">
        <w:rPr>
          <w:kern w:val="0"/>
        </w:rPr>
        <w:t xml:space="preserve"> and </w:t>
      </w:r>
      <w:r>
        <w:rPr>
          <w:kern w:val="0"/>
        </w:rPr>
        <w:t>reported major complications for OBA appear to be very low, especially in accredited facilities. Multiple considerations for facility design, administration,</w:t>
      </w:r>
      <w:r w:rsidR="005853A9">
        <w:rPr>
          <w:kern w:val="0"/>
        </w:rPr>
        <w:t xml:space="preserve"> and </w:t>
      </w:r>
      <w:r>
        <w:rPr>
          <w:kern w:val="0"/>
        </w:rPr>
        <w:t>patient care need to be taken into account. Appropriately so, an increasing number</w:t>
      </w:r>
      <w:r w:rsidR="00427468">
        <w:rPr>
          <w:kern w:val="0"/>
        </w:rPr>
        <w:t xml:space="preserve"> of </w:t>
      </w:r>
      <w:r>
        <w:rPr>
          <w:kern w:val="0"/>
        </w:rPr>
        <w:t>provinces (Canada)</w:t>
      </w:r>
      <w:r w:rsidR="005853A9">
        <w:rPr>
          <w:kern w:val="0"/>
        </w:rPr>
        <w:t xml:space="preserve"> and </w:t>
      </w:r>
      <w:r>
        <w:rPr>
          <w:kern w:val="0"/>
        </w:rPr>
        <w:t>states (US) are beginning to regulate office-based facilities</w:t>
      </w:r>
      <w:r w:rsidR="005853A9">
        <w:rPr>
          <w:kern w:val="0"/>
        </w:rPr>
        <w:t xml:space="preserve"> and </w:t>
      </w:r>
      <w:r>
        <w:rPr>
          <w:kern w:val="0"/>
        </w:rPr>
        <w:t>require accreditation.</w:t>
      </w:r>
    </w:p>
    <w:p w:rsidR="003F3411" w:rsidRDefault="003F3411" w:rsidP="003F3411">
      <w:pPr>
        <w:pStyle w:val="a3"/>
        <w:rPr>
          <w:kern w:val="0"/>
        </w:rPr>
      </w:pPr>
      <w:r>
        <w:rPr>
          <w:kern w:val="0"/>
        </w:rPr>
        <w:t xml:space="preserve">Keywords: Ambulatory Surgery, Articles, Care, Citation, Databases, Efficacy, Massachusetts, Maxillofacial Surgeons, </w:t>
      </w:r>
      <w:r w:rsidR="00D5664A">
        <w:rPr>
          <w:kern w:val="0"/>
        </w:rPr>
        <w:t>MEDLINE</w:t>
      </w:r>
      <w:r>
        <w:rPr>
          <w:kern w:val="0"/>
        </w:rPr>
        <w:t>, Mortality, Outcomes, Outpatient Anesthesia, Patient Safety, Plastic-Surgery, Publications, Review, Science, Science Citation Index</w:t>
      </w:r>
    </w:p>
    <w:p w:rsidR="00E00156" w:rsidRDefault="00E00156" w:rsidP="00E00156">
      <w:pPr>
        <w:pStyle w:val="a3"/>
        <w:rPr>
          <w:kern w:val="0"/>
        </w:rPr>
      </w:pPr>
      <w:r>
        <w:rPr>
          <w:rFonts w:hint="eastAsia"/>
          <w:kern w:val="0"/>
        </w:rPr>
        <w:t xml:space="preserve">? </w:t>
      </w:r>
      <w:r>
        <w:t>O</w:t>
      </w:r>
      <w:r w:rsidR="0071223E">
        <w:t>’</w:t>
      </w:r>
      <w:r>
        <w:t>Leary, J</w:t>
      </w:r>
      <w:r>
        <w:rPr>
          <w:rFonts w:hint="eastAsia"/>
        </w:rPr>
        <w:t>.</w:t>
      </w:r>
      <w:r>
        <w:t>D</w:t>
      </w:r>
      <w:r>
        <w:rPr>
          <w:rFonts w:hint="eastAsia"/>
        </w:rPr>
        <w:t>.</w:t>
      </w:r>
      <w:r w:rsidR="005853A9">
        <w:rPr>
          <w:rFonts w:hint="eastAsia"/>
        </w:rPr>
        <w:t xml:space="preserve"> and </w:t>
      </w:r>
      <w:r>
        <w:t>Crawford, M</w:t>
      </w:r>
      <w:r>
        <w:rPr>
          <w:rFonts w:hint="eastAsia"/>
        </w:rPr>
        <w:t>.</w:t>
      </w:r>
      <w:r>
        <w:t>W</w:t>
      </w:r>
      <w:r>
        <w:rPr>
          <w:rFonts w:hint="eastAsia"/>
        </w:rPr>
        <w:t>.</w:t>
      </w:r>
      <w:r>
        <w:rPr>
          <w:kern w:val="0"/>
        </w:rPr>
        <w:t xml:space="preserve"> (2010), </w:t>
      </w:r>
      <w:r>
        <w:t>Bibliographic characteristics</w:t>
      </w:r>
      <w:r w:rsidR="00427468">
        <w:t xml:space="preserve"> of </w:t>
      </w:r>
      <w:r w:rsidR="003A1917">
        <w:t xml:space="preserve">the </w:t>
      </w:r>
      <w:r>
        <w:t>research output</w:t>
      </w:r>
      <w:r w:rsidR="00427468">
        <w:t xml:space="preserve"> of </w:t>
      </w:r>
      <w:r>
        <w:t>pediatric anesthesiologists in Canada</w:t>
      </w:r>
      <w:r>
        <w:rPr>
          <w:kern w:val="0"/>
        </w:rPr>
        <w:t xml:space="preserve">. </w:t>
      </w:r>
      <w:r w:rsidRPr="00C73C58">
        <w:rPr>
          <w:i/>
          <w:iCs/>
        </w:rPr>
        <w:t>Canadian Journal</w:t>
      </w:r>
      <w:r w:rsidR="00427468">
        <w:rPr>
          <w:i/>
          <w:iCs/>
        </w:rPr>
        <w:t xml:space="preserve"> of </w:t>
      </w:r>
      <w:r w:rsidRPr="00C73C58">
        <w:rPr>
          <w:i/>
          <w:iCs/>
        </w:rPr>
        <w:t>Anaesthesia-Journal Canadien d</w:t>
      </w:r>
      <w:r w:rsidR="0071223E">
        <w:rPr>
          <w:i/>
          <w:iCs/>
        </w:rPr>
        <w:t>’</w:t>
      </w:r>
      <w:r w:rsidRPr="00C73C58">
        <w:rPr>
          <w:i/>
          <w:iCs/>
        </w:rPr>
        <w:t>Anesthesie</w:t>
      </w:r>
      <w:r>
        <w:rPr>
          <w:kern w:val="0"/>
        </w:rPr>
        <w:t xml:space="preserve">, </w:t>
      </w:r>
      <w:r>
        <w:rPr>
          <w:b/>
          <w:bCs/>
          <w:kern w:val="0"/>
        </w:rPr>
        <w:t>57</w:t>
      </w:r>
      <w:r>
        <w:rPr>
          <w:kern w:val="0"/>
        </w:rPr>
        <w:t xml:space="preserve"> (</w:t>
      </w:r>
      <w:r>
        <w:rPr>
          <w:rFonts w:hint="eastAsia"/>
          <w:kern w:val="0"/>
        </w:rPr>
        <w:t>6</w:t>
      </w:r>
      <w:r>
        <w:rPr>
          <w:kern w:val="0"/>
        </w:rPr>
        <w:t xml:space="preserve">), </w:t>
      </w:r>
      <w:r>
        <w:t>573-577</w:t>
      </w:r>
      <w:r>
        <w:rPr>
          <w:kern w:val="0"/>
        </w:rPr>
        <w:t>.</w:t>
      </w:r>
    </w:p>
    <w:p w:rsidR="00E00156" w:rsidRDefault="00E00156" w:rsidP="00E00156">
      <w:pPr>
        <w:pStyle w:val="a3"/>
      </w:pPr>
      <w:r>
        <w:rPr>
          <w:rFonts w:hint="eastAsia"/>
        </w:rPr>
        <w:t xml:space="preserve">Full Text: </w:t>
      </w:r>
      <w:hyperlink r:id="rId41" w:history="1">
        <w:r w:rsidRPr="00AE3A2E">
          <w:rPr>
            <w:rStyle w:val="a5"/>
          </w:rPr>
          <w:t>2010\Can J Ana57, 573.pdf</w:t>
        </w:r>
      </w:hyperlink>
    </w:p>
    <w:p w:rsidR="00E00156" w:rsidRDefault="00E00156" w:rsidP="00E00156">
      <w:pPr>
        <w:pStyle w:val="a3"/>
      </w:pPr>
      <w:r>
        <w:t>Abstract: Various bibliometric citation indices have been used to evaluate research productivity</w:t>
      </w:r>
      <w:r w:rsidR="005853A9">
        <w:t xml:space="preserve"> and </w:t>
      </w:r>
      <w:r>
        <w:t>scientific impact, but recently, Hirsch</w:t>
      </w:r>
      <w:r w:rsidR="0071223E">
        <w:t>’</w:t>
      </w:r>
      <w:r>
        <w:t xml:space="preserve">s </w:t>
      </w:r>
      <w:r w:rsidR="00D5664A">
        <w:t>h-Index</w:t>
      </w:r>
      <w:r>
        <w:t xml:space="preserve"> has gained widespread recognition. Although described initially for physical sciences, h-indices are being used to assess research productivity</w:t>
      </w:r>
      <w:r w:rsidR="005853A9">
        <w:t xml:space="preserve"> and </w:t>
      </w:r>
      <w:r>
        <w:t>impact in other disciplines.</w:t>
      </w:r>
    </w:p>
    <w:p w:rsidR="00E00156" w:rsidRDefault="00E00156" w:rsidP="00E00156">
      <w:pPr>
        <w:pStyle w:val="a3"/>
      </w:pPr>
      <w:r>
        <w:t>In this descriptive study, Scopus (TM)</w:t>
      </w:r>
      <w:r w:rsidR="005853A9">
        <w:t xml:space="preserve"> and </w:t>
      </w:r>
      <w:r w:rsidR="00D5664A">
        <w:t>Web</w:t>
      </w:r>
      <w:r w:rsidR="00427468">
        <w:t xml:space="preserve"> of </w:t>
      </w:r>
      <w:r w:rsidR="00D5664A">
        <w:t>Science</w:t>
      </w:r>
      <w:r>
        <w:t>A (R) citation databases were used to identify</w:t>
      </w:r>
      <w:r w:rsidR="003A1917">
        <w:t xml:space="preserve"> the </w:t>
      </w:r>
      <w:r>
        <w:t>bibliographic characteristics</w:t>
      </w:r>
      <w:r w:rsidR="00427468">
        <w:t xml:space="preserve"> of </w:t>
      </w:r>
      <w:r>
        <w:t>pediatric anesthesiologists from all university affiliated departments</w:t>
      </w:r>
      <w:r w:rsidR="00427468">
        <w:t xml:space="preserve"> of </w:t>
      </w:r>
      <w:r>
        <w:t xml:space="preserve">pediatric anesthesia in Canada up to </w:t>
      </w:r>
      <w:r>
        <w:lastRenderedPageBreak/>
        <w:t>May 2009. For each anesthesiologist,</w:t>
      </w:r>
      <w:r w:rsidR="003A1917">
        <w:t xml:space="preserve"> the </w:t>
      </w:r>
      <w:r w:rsidR="00D5664A">
        <w:t>h-Index</w:t>
      </w:r>
      <w:r>
        <w:t>, mean citations per publication, total number</w:t>
      </w:r>
      <w:r w:rsidR="00427468">
        <w:t xml:space="preserve"> of </w:t>
      </w:r>
      <w:r>
        <w:t>publications, total number</w:t>
      </w:r>
      <w:r w:rsidR="00427468">
        <w:t xml:space="preserve"> of </w:t>
      </w:r>
      <w:r>
        <w:t>citations,</w:t>
      </w:r>
      <w:r w:rsidR="005853A9">
        <w:t xml:space="preserve"> and </w:t>
      </w:r>
      <w:r>
        <w:t>year</w:t>
      </w:r>
      <w:r w:rsidR="00427468">
        <w:t xml:space="preserve"> of </w:t>
      </w:r>
      <w:r>
        <w:t>first publication were determined.</w:t>
      </w:r>
    </w:p>
    <w:p w:rsidR="00E00156" w:rsidRPr="00AE3A2E" w:rsidRDefault="00E00156" w:rsidP="00E00156">
      <w:pPr>
        <w:pStyle w:val="a3"/>
      </w:pPr>
      <w:r>
        <w:t>A study population</w:t>
      </w:r>
      <w:r w:rsidR="00427468">
        <w:t xml:space="preserve"> of </w:t>
      </w:r>
      <w:r>
        <w:t>151 pediatric anesthesiologists was identified</w:t>
      </w:r>
      <w:r w:rsidR="00A37C1D">
        <w:t>. The</w:t>
      </w:r>
      <w:r w:rsidR="003A1917">
        <w:t xml:space="preserve"> </w:t>
      </w:r>
      <w:r>
        <w:t>range</w:t>
      </w:r>
      <w:r w:rsidR="00427468">
        <w:t xml:space="preserve"> of </w:t>
      </w:r>
      <w:r w:rsidR="00D5664A">
        <w:t>h-Index</w:t>
      </w:r>
      <w:r>
        <w:t xml:space="preserve"> values for this cohort was 0-32 with a median (interquartile range)</w:t>
      </w:r>
      <w:r w:rsidR="00427468">
        <w:t xml:space="preserve"> of </w:t>
      </w:r>
      <w:r>
        <w:t>2 (1-5)</w:t>
      </w:r>
      <w:r w:rsidR="00A37C1D">
        <w:t>. The</w:t>
      </w:r>
      <w:r w:rsidR="003A1917">
        <w:t xml:space="preserve"> </w:t>
      </w:r>
      <w:r>
        <w:t>90(th) percentile was 8.0</w:t>
      </w:r>
      <w:r w:rsidR="00A37C1D">
        <w:t>. The</w:t>
      </w:r>
      <w:r w:rsidR="003A1917">
        <w:t xml:space="preserve"> </w:t>
      </w:r>
      <w:r>
        <w:t>median (interquartile range) number</w:t>
      </w:r>
      <w:r w:rsidR="00427468">
        <w:t xml:space="preserve"> of </w:t>
      </w:r>
      <w:r>
        <w:t>citations per publication was 6 (1-15), with a range</w:t>
      </w:r>
      <w:r w:rsidR="00427468">
        <w:t xml:space="preserve"> of </w:t>
      </w:r>
      <w:r>
        <w:t>0-87</w:t>
      </w:r>
      <w:r w:rsidR="00A37C1D">
        <w:t>. The</w:t>
      </w:r>
      <w:r w:rsidR="003A1917">
        <w:t xml:space="preserve"> </w:t>
      </w:r>
      <w:r>
        <w:t>median (interquartile range) number</w:t>
      </w:r>
      <w:r w:rsidR="00427468">
        <w:t xml:space="preserve"> of </w:t>
      </w:r>
      <w:r>
        <w:t>publications was 4 (1-9) with a range</w:t>
      </w:r>
      <w:r w:rsidR="00427468">
        <w:t xml:space="preserve"> of </w:t>
      </w:r>
      <w:r>
        <w:t>0-165.</w:t>
      </w:r>
    </w:p>
    <w:p w:rsidR="00E00156" w:rsidRDefault="00E00156" w:rsidP="00E00156">
      <w:pPr>
        <w:pStyle w:val="a3"/>
      </w:pPr>
      <w:r>
        <w:t>We describe</w:t>
      </w:r>
      <w:r w:rsidR="003A1917">
        <w:t xml:space="preserve"> the </w:t>
      </w:r>
      <w:r>
        <w:t>bibliographic characteristics</w:t>
      </w:r>
      <w:r w:rsidR="00427468">
        <w:t xml:space="preserve"> of </w:t>
      </w:r>
      <w:r w:rsidR="003A1917">
        <w:t xml:space="preserve">the </w:t>
      </w:r>
      <w:r>
        <w:t>research output</w:t>
      </w:r>
      <w:r w:rsidR="00427468">
        <w:t xml:space="preserve"> of </w:t>
      </w:r>
      <w:r>
        <w:t>pediatric anesthesiologists in Canada. This study highlights</w:t>
      </w:r>
      <w:r w:rsidR="003A1917">
        <w:t xml:space="preserve"> the </w:t>
      </w:r>
      <w:r>
        <w:t>growing influence</w:t>
      </w:r>
      <w:r w:rsidR="00427468">
        <w:t xml:space="preserve"> of </w:t>
      </w:r>
      <w:r>
        <w:t>scientometrics on</w:t>
      </w:r>
      <w:r w:rsidR="003A1917">
        <w:t xml:space="preserve"> the </w:t>
      </w:r>
      <w:r>
        <w:t>evaluation</w:t>
      </w:r>
      <w:r w:rsidR="00427468">
        <w:t xml:space="preserve"> of </w:t>
      </w:r>
      <w:r>
        <w:t>scientific performance in medical specialties.</w:t>
      </w:r>
    </w:p>
    <w:p w:rsidR="00E00156" w:rsidRPr="00C73C58" w:rsidRDefault="00E00156" w:rsidP="00E00156">
      <w:pPr>
        <w:pStyle w:val="a3"/>
      </w:pPr>
      <w:r>
        <w:t>Keywords: Index, Science, Impact</w:t>
      </w:r>
    </w:p>
    <w:p w:rsidR="00F20F80" w:rsidRPr="001A3D2B" w:rsidRDefault="00F20F80" w:rsidP="00F20F80">
      <w:pPr>
        <w:pStyle w:val="1"/>
      </w:pPr>
      <w:r w:rsidRPr="001A3D2B">
        <w:br w:type="page"/>
      </w:r>
      <w:bookmarkStart w:id="18" w:name="_Toc420814874"/>
      <w:r w:rsidRPr="001A3D2B">
        <w:lastRenderedPageBreak/>
        <w:t xml:space="preserve">Title: </w:t>
      </w:r>
      <w:r w:rsidRPr="005918A4">
        <w:t>Canadian Journal</w:t>
      </w:r>
      <w:r w:rsidR="00427468">
        <w:t xml:space="preserve"> of </w:t>
      </w:r>
      <w:r w:rsidRPr="005918A4">
        <w:t>Cardiology</w:t>
      </w:r>
      <w:bookmarkEnd w:id="18"/>
    </w:p>
    <w:p w:rsidR="00F20F80" w:rsidRPr="001A3D2B" w:rsidRDefault="00F20F80" w:rsidP="00F20F80">
      <w:pPr>
        <w:pStyle w:val="12"/>
      </w:pPr>
      <w:r w:rsidRPr="001A3D2B">
        <w:t>Full Jou</w:t>
      </w:r>
      <w:bookmarkStart w:id="19" w:name="_Toc253444501"/>
      <w:bookmarkStart w:id="20" w:name="_Toc270925479"/>
      <w:bookmarkStart w:id="21" w:name="_Toc276909079"/>
      <w:r w:rsidRPr="001A3D2B">
        <w:t>rnal Ti</w:t>
      </w:r>
      <w:bookmarkEnd w:id="19"/>
      <w:bookmarkEnd w:id="20"/>
      <w:r w:rsidRPr="001A3D2B">
        <w:t xml:space="preserve">tle: </w:t>
      </w:r>
      <w:r w:rsidR="00DF61FE">
        <w:fldChar w:fldCharType="begin"/>
      </w:r>
      <w:r w:rsidR="00FD158B">
        <w:instrText>HYPERLINK "http://www.pu</w:instrText>
      </w:r>
      <w:bookmarkEnd w:id="21"/>
      <w:r w:rsidR="00FD158B">
        <w:instrText>lsus.com/journals/past_issues.jsp?sCurrPg=journal&amp;jnlKy=1&amp;fold=Past%20Issues"</w:instrText>
      </w:r>
      <w:r w:rsidR="00DF61FE">
        <w:fldChar w:fldCharType="separate"/>
      </w:r>
      <w:r w:rsidRPr="00B748AA">
        <w:rPr>
          <w:rStyle w:val="a5"/>
        </w:rPr>
        <w:t>Canadian Journal</w:t>
      </w:r>
      <w:r w:rsidR="00427468">
        <w:rPr>
          <w:rStyle w:val="a5"/>
        </w:rPr>
        <w:t xml:space="preserve"> of </w:t>
      </w:r>
      <w:r w:rsidRPr="00B748AA">
        <w:rPr>
          <w:rStyle w:val="a5"/>
        </w:rPr>
        <w:t>Cardiology</w:t>
      </w:r>
      <w:r w:rsidR="00DF61FE">
        <w:fldChar w:fldCharType="end"/>
      </w:r>
    </w:p>
    <w:p w:rsidR="00F20F80" w:rsidRPr="001A3D2B" w:rsidRDefault="00F20F80" w:rsidP="00F20F80">
      <w:pPr>
        <w:pStyle w:val="12"/>
      </w:pPr>
      <w:r w:rsidRPr="001A3D2B">
        <w:t xml:space="preserve">ISO Abbreviated Title: </w:t>
      </w:r>
    </w:p>
    <w:p w:rsidR="00F20F80" w:rsidRPr="001A3D2B" w:rsidRDefault="00F20F80" w:rsidP="00F20F80">
      <w:pPr>
        <w:pStyle w:val="12"/>
      </w:pPr>
      <w:r w:rsidRPr="001A3D2B">
        <w:t xml:space="preserve">JCR Abbreviated Title: </w:t>
      </w:r>
    </w:p>
    <w:p w:rsidR="00F20F80" w:rsidRPr="001A3D2B" w:rsidRDefault="00F20F80" w:rsidP="00F20F80">
      <w:pPr>
        <w:pStyle w:val="12"/>
      </w:pPr>
      <w:r w:rsidRPr="001A3D2B">
        <w:t xml:space="preserve">ISSN: </w:t>
      </w:r>
    </w:p>
    <w:p w:rsidR="00F20F80" w:rsidRPr="001A3D2B" w:rsidRDefault="00F20F80" w:rsidP="00F20F80">
      <w:pPr>
        <w:pStyle w:val="12"/>
      </w:pPr>
      <w:r w:rsidRPr="001A3D2B">
        <w:t xml:space="preserve">ISBN: </w:t>
      </w:r>
    </w:p>
    <w:p w:rsidR="00F20F80" w:rsidRPr="001A3D2B" w:rsidRDefault="00F20F80" w:rsidP="00F20F80">
      <w:pPr>
        <w:pStyle w:val="12"/>
      </w:pPr>
      <w:r w:rsidRPr="001A3D2B">
        <w:t xml:space="preserve">Issues/Year: </w:t>
      </w:r>
    </w:p>
    <w:p w:rsidR="00F20F80" w:rsidRPr="001A3D2B" w:rsidRDefault="00F20F80" w:rsidP="00F20F80">
      <w:pPr>
        <w:pStyle w:val="12"/>
      </w:pPr>
      <w:r w:rsidRPr="001A3D2B">
        <w:t xml:space="preserve">Journal Country/Territory: </w:t>
      </w:r>
    </w:p>
    <w:p w:rsidR="00F20F80" w:rsidRPr="001A3D2B" w:rsidRDefault="00F20F80" w:rsidP="00F20F80">
      <w:pPr>
        <w:pStyle w:val="12"/>
      </w:pPr>
      <w:r w:rsidRPr="001A3D2B">
        <w:t xml:space="preserve">Language: </w:t>
      </w:r>
    </w:p>
    <w:p w:rsidR="00F20F80" w:rsidRPr="001A3D2B" w:rsidRDefault="00F20F80" w:rsidP="00F20F80">
      <w:pPr>
        <w:pStyle w:val="12"/>
      </w:pPr>
      <w:r w:rsidRPr="001A3D2B">
        <w:t xml:space="preserve">Publisher: </w:t>
      </w:r>
    </w:p>
    <w:p w:rsidR="00F20F80" w:rsidRPr="001A3D2B" w:rsidRDefault="00F20F80" w:rsidP="00F20F80">
      <w:pPr>
        <w:pStyle w:val="12"/>
      </w:pPr>
      <w:r w:rsidRPr="001A3D2B">
        <w:t xml:space="preserve">Publisher Address: </w:t>
      </w:r>
    </w:p>
    <w:p w:rsidR="00F20F80" w:rsidRPr="001A3D2B" w:rsidRDefault="00F20F80" w:rsidP="00F20F80">
      <w:pPr>
        <w:pStyle w:val="12"/>
      </w:pPr>
      <w:r w:rsidRPr="001A3D2B">
        <w:t xml:space="preserve">Subject Categories: </w:t>
      </w:r>
    </w:p>
    <w:p w:rsidR="00F20F80" w:rsidRPr="001A3D2B" w:rsidRDefault="00F20F80" w:rsidP="00F20F80">
      <w:pPr>
        <w:pStyle w:val="12"/>
      </w:pPr>
      <w:r w:rsidRPr="001A3D2B">
        <w:t>: Impact Factor</w:t>
      </w:r>
    </w:p>
    <w:p w:rsidR="003532DC" w:rsidRDefault="003532DC" w:rsidP="003532DC">
      <w:pPr>
        <w:pStyle w:val="a3"/>
        <w:rPr>
          <w:kern w:val="0"/>
        </w:rPr>
      </w:pPr>
      <w:r>
        <w:rPr>
          <w:rFonts w:hint="eastAsia"/>
          <w:kern w:val="0"/>
        </w:rPr>
        <w:t xml:space="preserve">? </w:t>
      </w:r>
      <w:r>
        <w:rPr>
          <w:kern w:val="0"/>
        </w:rPr>
        <w:t>Mclean, D.L., Simpson, S.H., McAlister, F.A.</w:t>
      </w:r>
      <w:r w:rsidR="005853A9">
        <w:rPr>
          <w:kern w:val="0"/>
        </w:rPr>
        <w:t xml:space="preserve"> and </w:t>
      </w:r>
      <w:r>
        <w:rPr>
          <w:kern w:val="0"/>
        </w:rPr>
        <w:t>Tsuyuki, R.T. (2006), Treatment</w:t>
      </w:r>
      <w:r w:rsidR="005853A9">
        <w:rPr>
          <w:kern w:val="0"/>
        </w:rPr>
        <w:t xml:space="preserve"> and </w:t>
      </w:r>
      <w:r>
        <w:rPr>
          <w:kern w:val="0"/>
        </w:rPr>
        <w:t>blood pressure control in 47,964 people with diabetes</w:t>
      </w:r>
      <w:r w:rsidR="005853A9">
        <w:rPr>
          <w:kern w:val="0"/>
        </w:rPr>
        <w:t xml:space="preserve"> and </w:t>
      </w:r>
      <w:r>
        <w:rPr>
          <w:kern w:val="0"/>
        </w:rPr>
        <w:t>hypertension: A systematic review</w:t>
      </w:r>
      <w:r w:rsidR="00427468">
        <w:rPr>
          <w:kern w:val="0"/>
        </w:rPr>
        <w:t xml:space="preserve"> of </w:t>
      </w:r>
      <w:r>
        <w:rPr>
          <w:kern w:val="0"/>
        </w:rPr>
        <w:t xml:space="preserve">observational studies. </w:t>
      </w:r>
      <w:r>
        <w:rPr>
          <w:i/>
          <w:iCs/>
          <w:kern w:val="0"/>
        </w:rPr>
        <w:t>Canadian Journal</w:t>
      </w:r>
      <w:r w:rsidR="00427468">
        <w:rPr>
          <w:i/>
          <w:iCs/>
          <w:kern w:val="0"/>
        </w:rPr>
        <w:t xml:space="preserve"> of </w:t>
      </w:r>
      <w:r>
        <w:rPr>
          <w:i/>
          <w:iCs/>
          <w:kern w:val="0"/>
        </w:rPr>
        <w:t>Cardiology</w:t>
      </w:r>
      <w:r>
        <w:rPr>
          <w:kern w:val="0"/>
        </w:rPr>
        <w:t xml:space="preserve">, </w:t>
      </w:r>
      <w:r>
        <w:rPr>
          <w:b/>
          <w:bCs/>
          <w:kern w:val="0"/>
        </w:rPr>
        <w:t>22</w:t>
      </w:r>
      <w:r>
        <w:rPr>
          <w:kern w:val="0"/>
        </w:rPr>
        <w:t xml:space="preserve"> (10), 855-860.</w:t>
      </w:r>
    </w:p>
    <w:p w:rsidR="003464B5" w:rsidRDefault="003464B5" w:rsidP="003464B5">
      <w:pPr>
        <w:pStyle w:val="a3"/>
        <w:rPr>
          <w:kern w:val="0"/>
        </w:rPr>
      </w:pPr>
      <w:r>
        <w:rPr>
          <w:rFonts w:hint="eastAsia"/>
          <w:kern w:val="0"/>
        </w:rPr>
        <w:t xml:space="preserve">Full Text: </w:t>
      </w:r>
      <w:hyperlink r:id="rId42" w:history="1">
        <w:r w:rsidRPr="009B29E7">
          <w:rPr>
            <w:rStyle w:val="a5"/>
            <w:kern w:val="0"/>
          </w:rPr>
          <w:t>2006\Can J Car22, 855.pdf</w:t>
        </w:r>
      </w:hyperlink>
    </w:p>
    <w:p w:rsidR="003532DC" w:rsidRDefault="003532DC" w:rsidP="003532DC">
      <w:pPr>
        <w:pStyle w:val="a3"/>
        <w:rPr>
          <w:kern w:val="0"/>
        </w:rPr>
      </w:pPr>
      <w:r>
        <w:rPr>
          <w:kern w:val="0"/>
        </w:rPr>
        <w:t>Abstract: BACKGROUND: Many patients with diabetes also have hypertension, greatly increasing their risk for cardiovascular disease. It has been suggested that hypertension is poorly treated in those with diabetes. OBJECTIVE: To examine treatment</w:t>
      </w:r>
      <w:r w:rsidR="005853A9">
        <w:rPr>
          <w:kern w:val="0"/>
        </w:rPr>
        <w:t xml:space="preserve"> and </w:t>
      </w:r>
      <w:r>
        <w:rPr>
          <w:kern w:val="0"/>
        </w:rPr>
        <w:t>control</w:t>
      </w:r>
      <w:r w:rsidR="00427468">
        <w:rPr>
          <w:kern w:val="0"/>
        </w:rPr>
        <w:t xml:space="preserve"> of </w:t>
      </w:r>
      <w:r>
        <w:rPr>
          <w:kern w:val="0"/>
        </w:rPr>
        <w:t xml:space="preserve">hypertension in people with diabetes. DATA SOURCES: Data sources included </w:t>
      </w:r>
      <w:r w:rsidR="00D5664A">
        <w:rPr>
          <w:kern w:val="0"/>
        </w:rPr>
        <w:t>MEDLINE</w:t>
      </w:r>
      <w:r>
        <w:rPr>
          <w:kern w:val="0"/>
        </w:rPr>
        <w:t xml:space="preserve">, EMBASE, HealthSTAR, CINAHL, </w:t>
      </w:r>
      <w:r w:rsidR="00D5664A">
        <w:rPr>
          <w:kern w:val="0"/>
        </w:rPr>
        <w:t>Web</w:t>
      </w:r>
      <w:r w:rsidR="00427468">
        <w:rPr>
          <w:kern w:val="0"/>
        </w:rPr>
        <w:t xml:space="preserve"> of </w:t>
      </w:r>
      <w:r w:rsidR="00D5664A">
        <w:rPr>
          <w:kern w:val="0"/>
        </w:rPr>
        <w:t>Science</w:t>
      </w:r>
      <w:r>
        <w:rPr>
          <w:kern w:val="0"/>
        </w:rPr>
        <w:t>, clinical evidence</w:t>
      </w:r>
      <w:r w:rsidR="005853A9">
        <w:rPr>
          <w:kern w:val="0"/>
        </w:rPr>
        <w:t xml:space="preserve"> and </w:t>
      </w:r>
      <w:r>
        <w:rPr>
          <w:kern w:val="0"/>
        </w:rPr>
        <w:t>government health</w:t>
      </w:r>
      <w:r w:rsidR="005853A9">
        <w:rPr>
          <w:kern w:val="0"/>
        </w:rPr>
        <w:t xml:space="preserve"> and </w:t>
      </w:r>
      <w:r>
        <w:rPr>
          <w:kern w:val="0"/>
        </w:rPr>
        <w:t>statistical Web sites. METHOD: Databases were systematically reviewed</w:t>
      </w:r>
      <w:r w:rsidR="005853A9">
        <w:rPr>
          <w:kern w:val="0"/>
        </w:rPr>
        <w:t xml:space="preserve"> and </w:t>
      </w:r>
      <w:r>
        <w:rPr>
          <w:kern w:val="0"/>
        </w:rPr>
        <w:t>hand searches</w:t>
      </w:r>
      <w:r w:rsidR="00427468">
        <w:rPr>
          <w:kern w:val="0"/>
        </w:rPr>
        <w:t xml:space="preserve"> of </w:t>
      </w:r>
      <w:r w:rsidR="003A1917">
        <w:rPr>
          <w:kern w:val="0"/>
        </w:rPr>
        <w:t xml:space="preserve">the </w:t>
      </w:r>
      <w:r>
        <w:rPr>
          <w:kern w:val="0"/>
        </w:rPr>
        <w:t>bibliographies</w:t>
      </w:r>
      <w:r w:rsidR="00427468">
        <w:rPr>
          <w:kern w:val="0"/>
        </w:rPr>
        <w:t xml:space="preserve"> of </w:t>
      </w:r>
      <w:r>
        <w:rPr>
          <w:kern w:val="0"/>
        </w:rPr>
        <w:t>relevant Studies (1990 to 2004) were conducted. Two investigators selected studies</w:t>
      </w:r>
      <w:r w:rsidR="005853A9">
        <w:rPr>
          <w:kern w:val="0"/>
        </w:rPr>
        <w:t xml:space="preserve"> and </w:t>
      </w:r>
      <w:r>
        <w:rPr>
          <w:kern w:val="0"/>
        </w:rPr>
        <w:t>extracted</w:t>
      </w:r>
      <w:r w:rsidR="003A1917">
        <w:rPr>
          <w:kern w:val="0"/>
        </w:rPr>
        <w:t xml:space="preserve"> the </w:t>
      </w:r>
      <w:r>
        <w:rPr>
          <w:kern w:val="0"/>
        </w:rPr>
        <w:t>data independently. RESULTS: A total</w:t>
      </w:r>
      <w:r w:rsidR="00427468">
        <w:rPr>
          <w:kern w:val="0"/>
        </w:rPr>
        <w:t xml:space="preserve"> of </w:t>
      </w:r>
      <w:r>
        <w:rPr>
          <w:kern w:val="0"/>
        </w:rPr>
        <w:t>44 studies (77,649 subjects with diabetes, 47,964 [62%]</w:t>
      </w:r>
      <w:r w:rsidR="00427468">
        <w:rPr>
          <w:kern w:val="0"/>
        </w:rPr>
        <w:t xml:space="preserve"> of </w:t>
      </w:r>
      <w:r>
        <w:rPr>
          <w:kern w:val="0"/>
        </w:rPr>
        <w:t>whom also had hypertension) were included. While 83% (range 32% to 100%)</w:t>
      </w:r>
      <w:r w:rsidR="00427468">
        <w:rPr>
          <w:kern w:val="0"/>
        </w:rPr>
        <w:t xml:space="preserve"> of </w:t>
      </w:r>
      <w:r>
        <w:rPr>
          <w:kern w:val="0"/>
        </w:rPr>
        <w:t>patients with hypertension received drug therapy, only 12% (range 6% to 30%) had their blood pressure (BP) controlled to 130/85 mmHg or less. While BP control rates differed by definition</w:t>
      </w:r>
      <w:r w:rsidR="00427468">
        <w:rPr>
          <w:kern w:val="0"/>
        </w:rPr>
        <w:t xml:space="preserve"> of </w:t>
      </w:r>
      <w:r>
        <w:rPr>
          <w:kern w:val="0"/>
        </w:rPr>
        <w:t>control (those studies with</w:t>
      </w:r>
      <w:r w:rsidR="003A1917">
        <w:rPr>
          <w:kern w:val="0"/>
        </w:rPr>
        <w:t xml:space="preserve"> the </w:t>
      </w:r>
      <w:r>
        <w:rPr>
          <w:kern w:val="0"/>
        </w:rPr>
        <w:t>least stringent definitions for BP control - 160/90 mmHg or less - reported mean control rates</w:t>
      </w:r>
      <w:r w:rsidR="00427468">
        <w:rPr>
          <w:kern w:val="0"/>
        </w:rPr>
        <w:t xml:space="preserve"> of </w:t>
      </w:r>
      <w:r>
        <w:rPr>
          <w:kern w:val="0"/>
        </w:rPr>
        <w:t>37%), treatment</w:t>
      </w:r>
      <w:r w:rsidR="005853A9">
        <w:rPr>
          <w:kern w:val="0"/>
        </w:rPr>
        <w:t xml:space="preserve"> and </w:t>
      </w:r>
      <w:r>
        <w:rPr>
          <w:kern w:val="0"/>
        </w:rPr>
        <w:t>control rates did not differ appreciably between countries or health care settings. CONCLUSIONS: Fewer than one in eight people with diabetes</w:t>
      </w:r>
      <w:r w:rsidR="005853A9">
        <w:rPr>
          <w:kern w:val="0"/>
        </w:rPr>
        <w:t xml:space="preserve"> and </w:t>
      </w:r>
      <w:r>
        <w:rPr>
          <w:kern w:val="0"/>
        </w:rPr>
        <w:t>hypertension have adequately controlled BP, with remarkable uniformity across studies conducted in a variety</w:t>
      </w:r>
      <w:r w:rsidR="00427468">
        <w:rPr>
          <w:kern w:val="0"/>
        </w:rPr>
        <w:t xml:space="preserve"> of </w:t>
      </w:r>
      <w:r>
        <w:rPr>
          <w:kern w:val="0"/>
        </w:rPr>
        <w:t>settings</w:t>
      </w:r>
      <w:r w:rsidR="00A37C1D">
        <w:rPr>
          <w:kern w:val="0"/>
        </w:rPr>
        <w:t>. The</w:t>
      </w:r>
      <w:r>
        <w:rPr>
          <w:kern w:val="0"/>
        </w:rPr>
        <w:t xml:space="preserve">re is an urgent need for multidisciplinary, community-based approaches </w:t>
      </w:r>
      <w:r>
        <w:rPr>
          <w:kern w:val="0"/>
        </w:rPr>
        <w:lastRenderedPageBreak/>
        <w:t>to manage these high-risk patients.</w:t>
      </w:r>
    </w:p>
    <w:p w:rsidR="003532DC" w:rsidRDefault="003532DC" w:rsidP="003532DC">
      <w:pPr>
        <w:pStyle w:val="a3"/>
        <w:rPr>
          <w:kern w:val="0"/>
        </w:rPr>
      </w:pPr>
      <w:r>
        <w:rPr>
          <w:kern w:val="0"/>
        </w:rPr>
        <w:t xml:space="preserve">Keywords: 3rd National-Health, Blood, Blood Pressure, Cardiovascular, Cardiovascular Disease, Cardiovascular Risk, Control, Databases, Definitions, Diabetes, Diabetes Mellitus, Disease, Drug, EMBASE, Glucose-Tolerance, Health Care, High-Risk Patients, Hypertension, Management, </w:t>
      </w:r>
      <w:r w:rsidR="00D5664A">
        <w:rPr>
          <w:kern w:val="0"/>
        </w:rPr>
        <w:t>MEDLINE</w:t>
      </w:r>
      <w:r>
        <w:rPr>
          <w:kern w:val="0"/>
        </w:rPr>
        <w:t xml:space="preserve">, Mellitus, Microvascular Complications, Nutrition Examination Survey, Observational Studies, Population, Pressure, Randomized Trial, Review, Risk, Science, Statistical, Systematic, Systematic Review, Therapy, Treatment, US Adults, </w:t>
      </w:r>
      <w:r w:rsidR="00D5664A">
        <w:rPr>
          <w:kern w:val="0"/>
        </w:rPr>
        <w:t>Web</w:t>
      </w:r>
      <w:r w:rsidR="00427468">
        <w:rPr>
          <w:kern w:val="0"/>
        </w:rPr>
        <w:t xml:space="preserve"> of </w:t>
      </w:r>
      <w:r w:rsidR="00D5664A">
        <w:rPr>
          <w:kern w:val="0"/>
        </w:rPr>
        <w:t>Science</w:t>
      </w:r>
    </w:p>
    <w:p w:rsidR="00F20F80" w:rsidRDefault="00F20F80" w:rsidP="00F20F80">
      <w:pPr>
        <w:pStyle w:val="a3"/>
        <w:rPr>
          <w:kern w:val="0"/>
        </w:rPr>
      </w:pPr>
      <w:r>
        <w:rPr>
          <w:rFonts w:hint="eastAsia"/>
          <w:kern w:val="0"/>
        </w:rPr>
        <w:t xml:space="preserve">? </w:t>
      </w:r>
      <w:r>
        <w:rPr>
          <w:kern w:val="0"/>
        </w:rPr>
        <w:t>Smith, E.R. (2007), Plagiarism, self-plagiarism</w:t>
      </w:r>
      <w:r w:rsidR="005853A9">
        <w:rPr>
          <w:kern w:val="0"/>
        </w:rPr>
        <w:t xml:space="preserve"> and </w:t>
      </w:r>
      <w:r>
        <w:rPr>
          <w:kern w:val="0"/>
        </w:rPr>
        <w:t xml:space="preserve">duplicate publication. </w:t>
      </w:r>
      <w:r>
        <w:rPr>
          <w:i/>
          <w:iCs/>
          <w:kern w:val="0"/>
        </w:rPr>
        <w:t>Canadian Journal</w:t>
      </w:r>
      <w:r w:rsidR="00427468">
        <w:rPr>
          <w:i/>
          <w:iCs/>
          <w:kern w:val="0"/>
        </w:rPr>
        <w:t xml:space="preserve"> of </w:t>
      </w:r>
      <w:r>
        <w:rPr>
          <w:i/>
          <w:iCs/>
          <w:kern w:val="0"/>
        </w:rPr>
        <w:t>Cardiology</w:t>
      </w:r>
      <w:r>
        <w:rPr>
          <w:kern w:val="0"/>
        </w:rPr>
        <w:t xml:space="preserve">, </w:t>
      </w:r>
      <w:r>
        <w:rPr>
          <w:b/>
          <w:bCs/>
          <w:kern w:val="0"/>
        </w:rPr>
        <w:t>23</w:t>
      </w:r>
      <w:r>
        <w:rPr>
          <w:kern w:val="0"/>
        </w:rPr>
        <w:t xml:space="preserve"> (2), 146-147.</w:t>
      </w:r>
    </w:p>
    <w:p w:rsidR="00F20F80" w:rsidRDefault="00F20F80" w:rsidP="00F20F80">
      <w:pPr>
        <w:pStyle w:val="a3"/>
        <w:rPr>
          <w:kern w:val="0"/>
        </w:rPr>
      </w:pPr>
      <w:r>
        <w:rPr>
          <w:rFonts w:hint="eastAsia"/>
          <w:kern w:val="0"/>
        </w:rPr>
        <w:t xml:space="preserve">Full Text: </w:t>
      </w:r>
      <w:hyperlink r:id="rId43" w:history="1">
        <w:r w:rsidRPr="00B748AA">
          <w:rPr>
            <w:rStyle w:val="a5"/>
            <w:kern w:val="0"/>
          </w:rPr>
          <w:t>2007\Can J Car23, 146.pdf</w:t>
        </w:r>
      </w:hyperlink>
    </w:p>
    <w:p w:rsidR="00F20F80" w:rsidRDefault="00F20F80" w:rsidP="00F20F80">
      <w:pPr>
        <w:pStyle w:val="a3"/>
        <w:rPr>
          <w:kern w:val="0"/>
        </w:rPr>
      </w:pPr>
      <w:r>
        <w:rPr>
          <w:kern w:val="0"/>
        </w:rPr>
        <w:t>Keywords: Publication, Self-Plagiarism</w:t>
      </w:r>
    </w:p>
    <w:p w:rsidR="00CB0126" w:rsidRDefault="00CB0126" w:rsidP="00CB0126">
      <w:pPr>
        <w:pStyle w:val="a3"/>
        <w:rPr>
          <w:kern w:val="0"/>
        </w:rPr>
      </w:pPr>
      <w:r>
        <w:rPr>
          <w:rFonts w:hint="eastAsia"/>
          <w:kern w:val="0"/>
        </w:rPr>
        <w:t xml:space="preserve">? </w:t>
      </w:r>
      <w:r>
        <w:rPr>
          <w:kern w:val="0"/>
        </w:rPr>
        <w:t>Abuzeid, W., Fosbol, E.L., Fosbol, P.L., Fosbol, M., Zarinehbaf, S., Ross, H., Ko, D.T., Bennell, M.C.</w:t>
      </w:r>
      <w:r w:rsidR="005853A9">
        <w:rPr>
          <w:kern w:val="0"/>
        </w:rPr>
        <w:t xml:space="preserve"> and </w:t>
      </w:r>
      <w:r>
        <w:rPr>
          <w:kern w:val="0"/>
        </w:rPr>
        <w:t>Wijeysundera, H.C. (2013), Rate</w:t>
      </w:r>
      <w:r w:rsidR="005853A9">
        <w:rPr>
          <w:kern w:val="0"/>
        </w:rPr>
        <w:t xml:space="preserve"> and </w:t>
      </w:r>
      <w:r>
        <w:rPr>
          <w:kern w:val="0"/>
        </w:rPr>
        <w:t>predictors</w:t>
      </w:r>
      <w:r w:rsidR="00427468">
        <w:rPr>
          <w:kern w:val="0"/>
        </w:rPr>
        <w:t xml:space="preserve"> of </w:t>
      </w:r>
      <w:r>
        <w:rPr>
          <w:kern w:val="0"/>
        </w:rPr>
        <w:t>the conversion</w:t>
      </w:r>
      <w:r w:rsidR="00427468">
        <w:rPr>
          <w:kern w:val="0"/>
        </w:rPr>
        <w:t xml:space="preserve"> of </w:t>
      </w:r>
      <w:r>
        <w:rPr>
          <w:kern w:val="0"/>
        </w:rPr>
        <w:t xml:space="preserve">abstracts presented at the Canadian cardiovascular congress scientific meetings to full peer-reviewed publications. </w:t>
      </w:r>
      <w:r>
        <w:rPr>
          <w:i/>
          <w:iCs/>
          <w:kern w:val="0"/>
        </w:rPr>
        <w:t>Canadian Journal</w:t>
      </w:r>
      <w:r w:rsidR="00427468">
        <w:rPr>
          <w:i/>
          <w:iCs/>
          <w:kern w:val="0"/>
        </w:rPr>
        <w:t xml:space="preserve"> of </w:t>
      </w:r>
      <w:r>
        <w:rPr>
          <w:i/>
          <w:iCs/>
          <w:kern w:val="0"/>
        </w:rPr>
        <w:t>Cardiology</w:t>
      </w:r>
      <w:r>
        <w:rPr>
          <w:kern w:val="0"/>
        </w:rPr>
        <w:t xml:space="preserve">, </w:t>
      </w:r>
      <w:r>
        <w:rPr>
          <w:b/>
          <w:bCs/>
          <w:kern w:val="0"/>
        </w:rPr>
        <w:t>29</w:t>
      </w:r>
      <w:r>
        <w:rPr>
          <w:kern w:val="0"/>
        </w:rPr>
        <w:t xml:space="preserve"> (11), 1520-1523.</w:t>
      </w:r>
    </w:p>
    <w:p w:rsidR="00CB0126" w:rsidRDefault="00CB0126" w:rsidP="00CB0126">
      <w:pPr>
        <w:pStyle w:val="a3"/>
        <w:rPr>
          <w:kern w:val="0"/>
        </w:rPr>
      </w:pPr>
      <w:r>
        <w:rPr>
          <w:rFonts w:hint="eastAsia"/>
          <w:kern w:val="0"/>
        </w:rPr>
        <w:t xml:space="preserve">Full Text: </w:t>
      </w:r>
      <w:hyperlink r:id="rId44" w:history="1">
        <w:r w:rsidRPr="00E17620">
          <w:rPr>
            <w:rStyle w:val="a5"/>
            <w:kern w:val="0"/>
          </w:rPr>
          <w:t>2013\Can J Car29, 1520.pdf</w:t>
        </w:r>
      </w:hyperlink>
    </w:p>
    <w:p w:rsidR="00CB0126" w:rsidRDefault="00CB0126" w:rsidP="00CB0126">
      <w:pPr>
        <w:pStyle w:val="a3"/>
        <w:rPr>
          <w:kern w:val="0"/>
        </w:rPr>
      </w:pPr>
      <w:r>
        <w:rPr>
          <w:kern w:val="0"/>
        </w:rPr>
        <w:t>Abstract: The rate</w:t>
      </w:r>
      <w:r w:rsidR="00427468">
        <w:rPr>
          <w:kern w:val="0"/>
        </w:rPr>
        <w:t xml:space="preserve"> of </w:t>
      </w:r>
      <w:r>
        <w:rPr>
          <w:kern w:val="0"/>
        </w:rPr>
        <w:t>conversion</w:t>
      </w:r>
      <w:r w:rsidR="00427468">
        <w:rPr>
          <w:kern w:val="0"/>
        </w:rPr>
        <w:t xml:space="preserve"> of </w:t>
      </w:r>
      <w:r>
        <w:rPr>
          <w:kern w:val="0"/>
        </w:rPr>
        <w:t>abstracts presented at scientific meetings into peer-reviewed published manuscripts is an important metric for medical societies, because it facilitates translation</w:t>
      </w:r>
      <w:r w:rsidR="00427468">
        <w:rPr>
          <w:kern w:val="0"/>
        </w:rPr>
        <w:t xml:space="preserve"> of </w:t>
      </w:r>
      <w:r>
        <w:rPr>
          <w:kern w:val="0"/>
        </w:rPr>
        <w:t>scientific knowledge into practice. We determined the rate</w:t>
      </w:r>
      <w:r w:rsidR="005853A9">
        <w:rPr>
          <w:kern w:val="0"/>
        </w:rPr>
        <w:t xml:space="preserve"> and </w:t>
      </w:r>
      <w:r>
        <w:rPr>
          <w:kern w:val="0"/>
        </w:rPr>
        <w:t>predictors</w:t>
      </w:r>
      <w:r w:rsidR="00427468">
        <w:rPr>
          <w:kern w:val="0"/>
        </w:rPr>
        <w:t xml:space="preserve"> of </w:t>
      </w:r>
      <w:r>
        <w:rPr>
          <w:kern w:val="0"/>
        </w:rPr>
        <w:t>conversion</w:t>
      </w:r>
      <w:r w:rsidR="00427468">
        <w:rPr>
          <w:kern w:val="0"/>
        </w:rPr>
        <w:t xml:space="preserve"> of </w:t>
      </w:r>
      <w:r>
        <w:rPr>
          <w:kern w:val="0"/>
        </w:rPr>
        <w:t>scientific abstracts presented at the Canadian Cardiovascular Congress (CCC) from 2006 to 2010 into peer-reviewed article publications within 2 years</w:t>
      </w:r>
      <w:r w:rsidR="00427468">
        <w:rPr>
          <w:kern w:val="0"/>
        </w:rPr>
        <w:t xml:space="preserve"> of </w:t>
      </w:r>
      <w:r>
        <w:rPr>
          <w:kern w:val="0"/>
        </w:rPr>
        <w:t xml:space="preserve">their initial presentation. Using a previously validated computer algorithm, we searched the International Statistical Institute </w:t>
      </w:r>
      <w:r w:rsidR="00D5664A">
        <w:rPr>
          <w:kern w:val="0"/>
        </w:rPr>
        <w:t>Web</w:t>
      </w:r>
      <w:r w:rsidR="00427468">
        <w:rPr>
          <w:kern w:val="0"/>
        </w:rPr>
        <w:t xml:space="preserve"> of </w:t>
      </w:r>
      <w:r w:rsidR="00D5664A">
        <w:rPr>
          <w:kern w:val="0"/>
        </w:rPr>
        <w:t>Science</w:t>
      </w:r>
      <w:r>
        <w:rPr>
          <w:kern w:val="0"/>
        </w:rPr>
        <w:t xml:space="preserve"> to identify peer-reviewed full manuscript publications</w:t>
      </w:r>
      <w:r w:rsidR="00427468">
        <w:rPr>
          <w:kern w:val="0"/>
        </w:rPr>
        <w:t xml:space="preserve"> of </w:t>
      </w:r>
      <w:r>
        <w:rPr>
          <w:kern w:val="0"/>
        </w:rPr>
        <w:t>these abstracts. A multivariable logistic regression was used to identify independent factors associated with successful publication. From 2006 to 2010, 3565 abstracts were presented at the CCC. Overall 24.1%</w:t>
      </w:r>
      <w:r w:rsidR="00427468">
        <w:rPr>
          <w:kern w:val="0"/>
        </w:rPr>
        <w:t xml:space="preserve"> of </w:t>
      </w:r>
      <w:r>
        <w:rPr>
          <w:kern w:val="0"/>
        </w:rPr>
        <w:t>presented abstracts were published within 2 years</w:t>
      </w:r>
      <w:r w:rsidR="00427468">
        <w:rPr>
          <w:kern w:val="0"/>
        </w:rPr>
        <w:t xml:space="preserve"> of </w:t>
      </w:r>
      <w:r>
        <w:rPr>
          <w:kern w:val="0"/>
        </w:rPr>
        <w:t>the conference. Mean impact factor for publications was 5.2 (range, 0.4-53.2)</w:t>
      </w:r>
      <w:r w:rsidR="00A37C1D">
        <w:rPr>
          <w:kern w:val="0"/>
        </w:rPr>
        <w:t>. The</w:t>
      </w:r>
      <w:r>
        <w:rPr>
          <w:kern w:val="0"/>
        </w:rPr>
        <w:t xml:space="preserve"> type</w:t>
      </w:r>
      <w:r w:rsidR="00427468">
        <w:rPr>
          <w:kern w:val="0"/>
        </w:rPr>
        <w:t xml:space="preserve"> of </w:t>
      </w:r>
      <w:r>
        <w:rPr>
          <w:kern w:val="0"/>
        </w:rPr>
        <w:t>presentation (for poster vs oral; odds ratio, 0.71; 95% confidence interval, 0.60-0.83; P &lt; 0.001)</w:t>
      </w:r>
      <w:r w:rsidR="005853A9">
        <w:rPr>
          <w:kern w:val="0"/>
        </w:rPr>
        <w:t xml:space="preserve"> and </w:t>
      </w:r>
      <w:r>
        <w:rPr>
          <w:kern w:val="0"/>
        </w:rPr>
        <w:t>category</w:t>
      </w:r>
      <w:r w:rsidR="00427468">
        <w:rPr>
          <w:kern w:val="0"/>
        </w:rPr>
        <w:t xml:space="preserve"> of </w:t>
      </w:r>
      <w:r>
        <w:rPr>
          <w:kern w:val="0"/>
        </w:rPr>
        <w:t>presentation (P &lt; 0.001) were significantly associated with successful publication. Late breaking abstracts</w:t>
      </w:r>
      <w:r w:rsidR="005853A9">
        <w:rPr>
          <w:kern w:val="0"/>
        </w:rPr>
        <w:t xml:space="preserve"> and </w:t>
      </w:r>
      <w:r>
        <w:rPr>
          <w:kern w:val="0"/>
        </w:rPr>
        <w:t>those related to cancer</w:t>
      </w:r>
      <w:r w:rsidR="005853A9">
        <w:rPr>
          <w:kern w:val="0"/>
        </w:rPr>
        <w:t xml:space="preserve"> and </w:t>
      </w:r>
      <w:r>
        <w:rPr>
          <w:kern w:val="0"/>
        </w:rPr>
        <w:t>clinical sciences were more likely to be published, compared with prevention, vascular biology,</w:t>
      </w:r>
      <w:r w:rsidR="005853A9">
        <w:rPr>
          <w:kern w:val="0"/>
        </w:rPr>
        <w:t xml:space="preserve"> and </w:t>
      </w:r>
      <w:r>
        <w:rPr>
          <w:kern w:val="0"/>
        </w:rPr>
        <w:t>pediatrics. In conclusion, the publication rate at the CCC is only marginally lower than that reported for large international North American</w:t>
      </w:r>
      <w:r w:rsidR="005853A9">
        <w:rPr>
          <w:kern w:val="0"/>
        </w:rPr>
        <w:t xml:space="preserve"> and </w:t>
      </w:r>
      <w:r>
        <w:rPr>
          <w:kern w:val="0"/>
        </w:rPr>
        <w:t>European cardiology conferences (30.6%). Efforts should focus on several identified barriers to improve conversion</w:t>
      </w:r>
      <w:r w:rsidR="00427468">
        <w:rPr>
          <w:kern w:val="0"/>
        </w:rPr>
        <w:t xml:space="preserve"> of </w:t>
      </w:r>
      <w:r>
        <w:rPr>
          <w:kern w:val="0"/>
        </w:rPr>
        <w:t>abstracts to full report publication.</w:t>
      </w:r>
    </w:p>
    <w:p w:rsidR="00CB0126" w:rsidRDefault="00CB0126" w:rsidP="00CB0126">
      <w:pPr>
        <w:pStyle w:val="a3"/>
        <w:rPr>
          <w:kern w:val="0"/>
        </w:rPr>
      </w:pPr>
      <w:r>
        <w:rPr>
          <w:kern w:val="0"/>
        </w:rPr>
        <w:lastRenderedPageBreak/>
        <w:t xml:space="preserve">Keywords: Algorithm, Article, Barriers, Biology, Canada, Cancer, Cardiology, Clinical, Conferences, Confidence, Conversion, Impact, Impact Factor, International, Interval, Knowledge, Logistic Regression, Medical, Medical Conferences, New-York, North, Nov, Odds Ratio, Oral, P, Park, Pediatrics, Peer-Reviewed, Practice, Predictors, Presentation, Prevention, Publication, Publication Rate, Publications, Rate, Regression, Science, Sciences, South, Translation,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p>
    <w:p w:rsidR="00B707CA" w:rsidRDefault="00B707CA" w:rsidP="00B707CA">
      <w:pPr>
        <w:pStyle w:val="a3"/>
        <w:rPr>
          <w:kern w:val="0"/>
        </w:rPr>
      </w:pPr>
      <w:r>
        <w:rPr>
          <w:rFonts w:hint="eastAsia"/>
          <w:kern w:val="0"/>
        </w:rPr>
        <w:t xml:space="preserve">? </w:t>
      </w:r>
      <w:r>
        <w:rPr>
          <w:kern w:val="0"/>
        </w:rPr>
        <w:t xml:space="preserve">Sardar, P., Chatterjee, S., Herzog, E., Nairooz, R., Mukherjee, D. and Halperin, J.L. (2014), Novel oral anticoagulants in patients with renal insufficiency: A meta-analysis of randomized trials. </w:t>
      </w:r>
      <w:r>
        <w:rPr>
          <w:i/>
          <w:iCs/>
          <w:kern w:val="0"/>
        </w:rPr>
        <w:t>Canadian Journal of Cardiology</w:t>
      </w:r>
      <w:r>
        <w:rPr>
          <w:kern w:val="0"/>
        </w:rPr>
        <w:t xml:space="preserve">, </w:t>
      </w:r>
      <w:r>
        <w:rPr>
          <w:b/>
          <w:bCs/>
          <w:kern w:val="0"/>
        </w:rPr>
        <w:t>30</w:t>
      </w:r>
      <w:r>
        <w:rPr>
          <w:kern w:val="0"/>
        </w:rPr>
        <w:t xml:space="preserve"> (8), 888-897.</w:t>
      </w:r>
    </w:p>
    <w:p w:rsidR="00B707CA" w:rsidRDefault="00B707CA" w:rsidP="00B707CA">
      <w:pPr>
        <w:pStyle w:val="a3"/>
        <w:rPr>
          <w:kern w:val="0"/>
        </w:rPr>
      </w:pPr>
      <w:r>
        <w:rPr>
          <w:rFonts w:hint="eastAsia"/>
          <w:kern w:val="0"/>
        </w:rPr>
        <w:t xml:space="preserve">Full Text: </w:t>
      </w:r>
      <w:hyperlink r:id="rId45" w:history="1">
        <w:r w:rsidRPr="008132F7">
          <w:rPr>
            <w:rStyle w:val="a5"/>
            <w:kern w:val="0"/>
          </w:rPr>
          <w:t>2014\Can J Car30, 888.pdf</w:t>
        </w:r>
      </w:hyperlink>
    </w:p>
    <w:p w:rsidR="00B707CA" w:rsidRDefault="00B707CA" w:rsidP="00B707CA">
      <w:pPr>
        <w:pStyle w:val="a3"/>
        <w:rPr>
          <w:kern w:val="0"/>
        </w:rPr>
      </w:pPr>
      <w:r>
        <w:rPr>
          <w:kern w:val="0"/>
        </w:rPr>
        <w:t>Abstract: Background: Recent reports suggest altered antithrombotic efficacy and higher risk of bleeding with new oral anticoagulants (NOACs) in patients with renal insufficiency. A meta-analysis was performed to evaluate the efficacy and safety with recommended doses of NOAC compared with conventional treatment in patients with renal insufficiency. Methods: PubMed, Cochrane Library, EMBASE, EBSCO, Web of Science, and CINAHL databases were searched from January 1, 2001 through March 23, 2014. Randomized controlled trials that compared NOACs (rivaroxaban, apixaban, and dabigatran) with comparators (vitamin K antagonist/warfarin, low molecular weight heparin, aspirin, placebo) were selected. We defined moderate renal insufficiency as creatinine clearance (estimated glomerular filtration rate [eGFR]) of 30-49 mL/min, and mild renal insufficiency as eGFR 50-79 mL/min. Results: There were 40,693 patients with renal insufficiency in 10 trials. Compared with other anticoagulants in patients with mild renal insufficiency there was significantly less major or clinically relevant nonmajor bleeding (odds ratio [OR], 0.81; 95% confidence interval [CI], 0.72-0.90) and stroke or systemic embolism (OR, 0.70; 95% CI, 0.54-0.92) with NOACs. Using random effects meta-analysis, there was significantly less stroke or systemic embolism (OR, 0.72; 95% CI, 0.57-0.92) and a trend toward less major or clinically relevant nonmajor bleeding (OR, 0.82; 95% CI, 0.59-1.14) with the NOACs among patients with moderate renal insufficiency, and this became statistically significant when evaluated using a fixed effects model. NOACs showed efficiency comparable with conventional anticoagulants for prevention of venous thromboembolism or related mortality. Conclusions: In patients with renal insufficiency, recommended doses of novel anticoagulants are noninferior and relatively safe compared with conventional anticoagulants.</w:t>
      </w:r>
    </w:p>
    <w:p w:rsidR="00B707CA" w:rsidRDefault="00B707CA" w:rsidP="00B707CA">
      <w:pPr>
        <w:pStyle w:val="a3"/>
        <w:rPr>
          <w:kern w:val="0"/>
        </w:rPr>
      </w:pPr>
      <w:r>
        <w:rPr>
          <w:kern w:val="0"/>
        </w:rPr>
        <w:t xml:space="preserve">Keywords: Aspirin, Bleeding, Confidence, Conventional, Creatinine, Databases, Effects, Efficacy, Efficiency, Embase, Embolism, Filtration, Fixed Effects Model, Glomerular Filtration Rate, Heparin, Interval, Low Molecular Weight Heparin, Meta </w:t>
      </w:r>
      <w:r>
        <w:rPr>
          <w:kern w:val="0"/>
        </w:rPr>
        <w:lastRenderedPageBreak/>
        <w:t>Analysis, Meta-Analysis, Metaanalysis, Methods, Model, Mortality, Odds Ratio, Oral, Patients, Placebo, Prevention, Pubmed, Randomized Controlled Trials, Recent, Renal, Renal Insufficiency, Results, Risk, Rivaroxaban, Safety, Science, Stroke, Thromboembolism, Treatment, Trend, Venous Thromboembolism, Vitamin, Web Of Science</w:t>
      </w:r>
    </w:p>
    <w:p w:rsidR="00B707CA" w:rsidRDefault="00B707CA" w:rsidP="00B707CA">
      <w:pPr>
        <w:pStyle w:val="a3"/>
        <w:rPr>
          <w:kern w:val="0"/>
        </w:rPr>
      </w:pPr>
      <w:r>
        <w:rPr>
          <w:rFonts w:hint="eastAsia"/>
          <w:kern w:val="0"/>
        </w:rPr>
        <w:t xml:space="preserve">? </w:t>
      </w:r>
      <w:r>
        <w:rPr>
          <w:kern w:val="0"/>
        </w:rPr>
        <w:t xml:space="preserve">Chatterjee, S., Udell, J.A., Sardar, P., Lichstein, E. and Ryan, J.J. (2014), Comparable benefit of </w:t>
      </w:r>
      <w:r>
        <w:rPr>
          <w:kern w:val="0"/>
        </w:rPr>
        <w:sym w:font="Symbol" w:char="F062"/>
      </w:r>
      <w:r>
        <w:rPr>
          <w:kern w:val="0"/>
        </w:rPr>
        <w:t xml:space="preserve">-blocker therapy in heart failure across regions of the world: Meta-analysis of randomized clinical trials. </w:t>
      </w:r>
      <w:r>
        <w:rPr>
          <w:i/>
          <w:iCs/>
          <w:kern w:val="0"/>
        </w:rPr>
        <w:t>Canadian Journal of Cardiology</w:t>
      </w:r>
      <w:r>
        <w:rPr>
          <w:kern w:val="0"/>
        </w:rPr>
        <w:t xml:space="preserve">, </w:t>
      </w:r>
      <w:r>
        <w:rPr>
          <w:b/>
          <w:bCs/>
          <w:kern w:val="0"/>
        </w:rPr>
        <w:t>30</w:t>
      </w:r>
      <w:r>
        <w:rPr>
          <w:kern w:val="0"/>
        </w:rPr>
        <w:t xml:space="preserve"> (8), 898-903.</w:t>
      </w:r>
    </w:p>
    <w:p w:rsidR="00B707CA" w:rsidRDefault="00B707CA" w:rsidP="00B707CA">
      <w:pPr>
        <w:pStyle w:val="a3"/>
        <w:rPr>
          <w:kern w:val="0"/>
        </w:rPr>
      </w:pPr>
      <w:r>
        <w:rPr>
          <w:rFonts w:hint="eastAsia"/>
          <w:kern w:val="0"/>
        </w:rPr>
        <w:t xml:space="preserve">Full Text: </w:t>
      </w:r>
      <w:hyperlink r:id="rId46" w:history="1">
        <w:r w:rsidRPr="008132F7">
          <w:rPr>
            <w:rStyle w:val="a5"/>
            <w:kern w:val="0"/>
          </w:rPr>
          <w:t>2014\Can J Car30, 898.pdf</w:t>
        </w:r>
      </w:hyperlink>
    </w:p>
    <w:p w:rsidR="00B707CA" w:rsidRDefault="00B707CA" w:rsidP="00B707CA">
      <w:pPr>
        <w:pStyle w:val="a3"/>
        <w:rPr>
          <w:kern w:val="0"/>
        </w:rPr>
      </w:pPr>
      <w:r>
        <w:rPr>
          <w:kern w:val="0"/>
        </w:rPr>
        <w:t>Abstract: Background: There is a concern about geographical region heterogeneity regarding clinical benefit of beta-blocker (BB) therapy in heart failure with reduced ejection fraction (HFrEF). This study sought to compare benefits of BB use within randomized controlled trials (RCTs) that enrolled patients with HFrEF from North America (NA) compared with other regions of the world (ROW). Methods: We conducted a meta-analysis using MEDLINE, EMBASE, Cochrane Library, Web of Science, and Scopus (inceptions-December 2012) of BB RCTs stratified according to NA vs ROW. The primary end point was all-cause mortality and secondary end points were cardiovascular death, sudden death, death due to pump failure, and premature drug discontinuation. Summary odds ratios (ORs) and 95% confidence intervals (CIs) for each outcome were calculated with interaction terms for region. Two-sided P values were calculated with P &lt; 0.05 considered significant. Results: The analysis included 16 RCTs with 14,452 patients; 7 trials were conducted in NA and 9 trials in ROW with follow-up durations of 3-58 months. All-cause mortality was consistently reduced in NA (OR, 0.82; 95% Cl, 0.71-0.96; P = 0.01) and ROW (OR, 0.76; 95% Cl, 0.69-0.84; P &lt; 0.001; P-interaction = 0.40). Overall and according to region, all secondary end points including premature drug discontinuation were also less with BB therapy (P-interactions all &gt;= 0.10). Conclusions: For the regions represented in the included trials, there is no evidence to suggest that geographic region is a significant moderator of clinical outcomes with BB therapy in HFrEF patients.</w:t>
      </w:r>
    </w:p>
    <w:p w:rsidR="00B707CA" w:rsidRDefault="00B707CA" w:rsidP="00B707CA">
      <w:pPr>
        <w:pStyle w:val="a3"/>
        <w:rPr>
          <w:kern w:val="0"/>
        </w:rPr>
      </w:pPr>
      <w:r>
        <w:rPr>
          <w:kern w:val="0"/>
        </w:rPr>
        <w:t>Keywords: Analysis, Benefits, Beta-Blocker, Cardiovascular, Clinical, Clinical Outcomes, Clinical Trials, Confidence, Confidence Intervals, Death, Drug, Embase, Evidence, Failure, Follow-Up, Heart, Heart Failure, Heterogeneity, Interaction, Intervals, Medline, Meta Analysis, Meta-Analysis, Metaanalysis, Methods, Moderator, Mortality, North, North America, Outcome, Outcomes, P, Patients, Premature, Primary, Pump, Randomized, Randomized Controlled Trials, Region, Results, Science, Scopus, Therapy, Web Of Science, World</w:t>
      </w:r>
    </w:p>
    <w:p w:rsidR="00223F62" w:rsidRDefault="00223F62" w:rsidP="00223F62">
      <w:pPr>
        <w:pStyle w:val="a3"/>
        <w:rPr>
          <w:kern w:val="0"/>
        </w:rPr>
      </w:pPr>
      <w:r>
        <w:rPr>
          <w:rFonts w:hint="eastAsia"/>
          <w:kern w:val="0"/>
        </w:rPr>
        <w:t xml:space="preserve">? </w:t>
      </w:r>
      <w:r>
        <w:rPr>
          <w:kern w:val="0"/>
        </w:rPr>
        <w:t xml:space="preserve">Qaddoura, A., Kabali, C., Drew, D., van Oosten, E.M., Michael, K.A., Redfearn, D.P., </w:t>
      </w:r>
      <w:r>
        <w:rPr>
          <w:kern w:val="0"/>
        </w:rPr>
        <w:lastRenderedPageBreak/>
        <w:t xml:space="preserve">Simpson, C.S. and Baranchuk, A. (2014), Obstructive sleep apnea as a predictor of atrial fibrillation after coronary artery bypass grafting: A systematic review and meta-analysis. </w:t>
      </w:r>
      <w:r>
        <w:rPr>
          <w:i/>
          <w:iCs/>
          <w:kern w:val="0"/>
        </w:rPr>
        <w:t>Canadian Journal of Cardiology</w:t>
      </w:r>
      <w:r>
        <w:rPr>
          <w:kern w:val="0"/>
        </w:rPr>
        <w:t xml:space="preserve">, </w:t>
      </w:r>
      <w:r>
        <w:rPr>
          <w:b/>
          <w:bCs/>
          <w:kern w:val="0"/>
        </w:rPr>
        <w:t>30</w:t>
      </w:r>
      <w:r>
        <w:rPr>
          <w:kern w:val="0"/>
        </w:rPr>
        <w:t xml:space="preserve"> (12), 1516-1522.</w:t>
      </w:r>
    </w:p>
    <w:p w:rsidR="00223F62" w:rsidRDefault="00223F62" w:rsidP="00223F62">
      <w:pPr>
        <w:pStyle w:val="a3"/>
        <w:rPr>
          <w:kern w:val="0"/>
        </w:rPr>
      </w:pPr>
      <w:r>
        <w:rPr>
          <w:rFonts w:hint="eastAsia"/>
          <w:kern w:val="0"/>
        </w:rPr>
        <w:t xml:space="preserve">Full Text: </w:t>
      </w:r>
      <w:hyperlink r:id="rId47" w:history="1">
        <w:r w:rsidRPr="0068378A">
          <w:rPr>
            <w:rStyle w:val="a5"/>
            <w:kern w:val="0"/>
          </w:rPr>
          <w:t>2014\Can J Car30, 1516.pdf</w:t>
        </w:r>
      </w:hyperlink>
    </w:p>
    <w:p w:rsidR="00223F62" w:rsidRDefault="00223F62" w:rsidP="00223F62">
      <w:pPr>
        <w:pStyle w:val="a3"/>
        <w:rPr>
          <w:kern w:val="0"/>
        </w:rPr>
      </w:pPr>
      <w:r>
        <w:rPr>
          <w:kern w:val="0"/>
        </w:rPr>
        <w:t>Abstract: Background: Post-coronary artery bypass grafting atrial fibrillation (PCAF) is associated with increased morbidity, mortality, and system costs. Few studies have explored obstructive sleep apnea (OSA) as a risk factor for PCAF. We aimed to systematically review and synthesize the evidence associating OSA with PCAF. Methods: We conducted a search of MEDLINE, EMBASE, Google Scholar, and Web of Science, as well as abstracts, conference proceedings, and reference lists until June 2014. Eligible studies were in English, were conducted in humans, and assessed OSA with polysomnography (PSG) or a validated questionnaire. Two reviewers independently selected studies, with disagreement resolved by consensus. Piloted forms were used to extract data and assess risk of bias. Results: Five prospective cohort studies were included (n = 642). There was agreement in study selection (kappa statistic, 0.89; 95% confidence interval [CI], 0.75-1.00). OSA was associated with a higher risk of PCAF (odds ratio [OR], 1.86; 95% CI 1.24-2.80; P = 0.003; I-2 = 35%). We conducted 3 subgroup analyses. The associations increased for data that used PSG to assess OSA (OR, 2.34; 95% CI, 1.48-3.70), when severe OSA was included from 1 study (OR, 2.59; 95% CI, 1.63-4.11), and when adjusted analyses were pooled (OR, 2.38; 95% CI, 1.57-3.62; P &lt; 0.001 in all), with no heterogeneity detected in any subgroup analysis (I-2 &lt; 0.01% in all). Conclusions: OSA was shown to be a strong predictor of PCAF.</w:t>
      </w:r>
    </w:p>
    <w:p w:rsidR="00223F62" w:rsidRDefault="00223F62" w:rsidP="00223F62">
      <w:pPr>
        <w:pStyle w:val="a3"/>
        <w:rPr>
          <w:kern w:val="0"/>
        </w:rPr>
      </w:pPr>
      <w:r>
        <w:rPr>
          <w:kern w:val="0"/>
        </w:rPr>
        <w:t>Keywords: Analyses, Analysis, Artery, Association, Asymmetry, Atrial Fibrillation, Berlin Questionnaire, Bias, Cardiac-Surgery, Cohort, Conference Proceedings, Confidence, Consensus, Costs, Data, Embase, English, Evidence, Forms, From, Google, Google Scholar, Grafting, Heterogeneity, Humans, Hypertension, Identify Patients, Interval, Medline, Meta Analysis, Meta-Analysis, Metaanalysis, Methods, Morbidity, Mortality, Obstructive Sleep Apnea, Odds Ratio, Oxygen Desaturation Index, P, Predictor, Pressure, Prospective, Questionnaire, Reference, Reference Lists, Results, Review, Reviewers, Risk, Risk Factor, Scale, Science, Selection, Sleep, Sleep Apnea, Systematic, Systematic Review, Web, Web Of Science</w:t>
      </w:r>
    </w:p>
    <w:p w:rsidR="003532DC" w:rsidRPr="001A3D2B" w:rsidRDefault="003532DC" w:rsidP="003532DC">
      <w:pPr>
        <w:pStyle w:val="1"/>
      </w:pPr>
      <w:r w:rsidRPr="001A3D2B">
        <w:br w:type="page"/>
      </w:r>
      <w:bookmarkStart w:id="22" w:name="_Toc420814875"/>
      <w:r w:rsidRPr="001A3D2B">
        <w:lastRenderedPageBreak/>
        <w:t xml:space="preserve">Title: </w:t>
      </w:r>
      <w:r w:rsidRPr="003532DC">
        <w:t>Canadian Journal</w:t>
      </w:r>
      <w:r w:rsidR="00427468">
        <w:rPr>
          <w:iCs w:val="0"/>
        </w:rPr>
        <w:t xml:space="preserve"> of </w:t>
      </w:r>
      <w:r w:rsidRPr="003532DC">
        <w:t>Diabetes</w:t>
      </w:r>
      <w:bookmarkEnd w:id="22"/>
    </w:p>
    <w:p w:rsidR="003532DC" w:rsidRDefault="003532DC" w:rsidP="003532DC">
      <w:pPr>
        <w:pStyle w:val="12"/>
      </w:pPr>
      <w:r w:rsidRPr="001A3D2B">
        <w:t xml:space="preserve">Full Journal Title: </w:t>
      </w:r>
      <w:r w:rsidRPr="003532DC">
        <w:rPr>
          <w:iCs/>
          <w:kern w:val="0"/>
        </w:rPr>
        <w:t>Canadian Journal</w:t>
      </w:r>
      <w:r w:rsidR="00427468">
        <w:rPr>
          <w:iCs/>
          <w:kern w:val="0"/>
        </w:rPr>
        <w:t xml:space="preserve"> of </w:t>
      </w:r>
      <w:r w:rsidRPr="003532DC">
        <w:rPr>
          <w:iCs/>
          <w:kern w:val="0"/>
        </w:rPr>
        <w:t>Diabetes</w:t>
      </w:r>
    </w:p>
    <w:p w:rsidR="003532DC" w:rsidRPr="001A3D2B" w:rsidRDefault="003532DC" w:rsidP="003532DC">
      <w:pPr>
        <w:pStyle w:val="12"/>
      </w:pPr>
      <w:r w:rsidRPr="001A3D2B">
        <w:t xml:space="preserve">ISO Abbreviated Title: </w:t>
      </w:r>
    </w:p>
    <w:p w:rsidR="003532DC" w:rsidRPr="001A3D2B" w:rsidRDefault="003532DC" w:rsidP="003532DC">
      <w:pPr>
        <w:pStyle w:val="12"/>
      </w:pPr>
      <w:r w:rsidRPr="001A3D2B">
        <w:t xml:space="preserve">JCR Abbreviated Title: </w:t>
      </w:r>
    </w:p>
    <w:p w:rsidR="003532DC" w:rsidRPr="001A3D2B" w:rsidRDefault="003532DC" w:rsidP="003532DC">
      <w:pPr>
        <w:pStyle w:val="12"/>
      </w:pPr>
      <w:r w:rsidRPr="001A3D2B">
        <w:t xml:space="preserve">ISSN: </w:t>
      </w:r>
    </w:p>
    <w:p w:rsidR="003532DC" w:rsidRPr="001A3D2B" w:rsidRDefault="003532DC" w:rsidP="003532DC">
      <w:pPr>
        <w:pStyle w:val="12"/>
      </w:pPr>
      <w:r w:rsidRPr="001A3D2B">
        <w:t xml:space="preserve">ISBN: </w:t>
      </w:r>
    </w:p>
    <w:p w:rsidR="003532DC" w:rsidRPr="001A3D2B" w:rsidRDefault="003532DC" w:rsidP="003532DC">
      <w:pPr>
        <w:pStyle w:val="12"/>
      </w:pPr>
      <w:r w:rsidRPr="001A3D2B">
        <w:t xml:space="preserve">Issues/Year: </w:t>
      </w:r>
    </w:p>
    <w:p w:rsidR="003532DC" w:rsidRPr="001A3D2B" w:rsidRDefault="003532DC" w:rsidP="003532DC">
      <w:pPr>
        <w:pStyle w:val="12"/>
      </w:pPr>
      <w:r w:rsidRPr="001A3D2B">
        <w:t xml:space="preserve">Journal Country/Territory: </w:t>
      </w:r>
    </w:p>
    <w:p w:rsidR="003532DC" w:rsidRPr="001A3D2B" w:rsidRDefault="003532DC" w:rsidP="003532DC">
      <w:pPr>
        <w:pStyle w:val="12"/>
      </w:pPr>
      <w:r w:rsidRPr="001A3D2B">
        <w:t xml:space="preserve">Language: </w:t>
      </w:r>
    </w:p>
    <w:p w:rsidR="003532DC" w:rsidRPr="001A3D2B" w:rsidRDefault="003532DC" w:rsidP="003532DC">
      <w:pPr>
        <w:pStyle w:val="12"/>
      </w:pPr>
      <w:r w:rsidRPr="001A3D2B">
        <w:t xml:space="preserve">Publisher: </w:t>
      </w:r>
    </w:p>
    <w:p w:rsidR="003532DC" w:rsidRPr="001A3D2B" w:rsidRDefault="003532DC" w:rsidP="003532DC">
      <w:pPr>
        <w:pStyle w:val="12"/>
      </w:pPr>
      <w:r w:rsidRPr="001A3D2B">
        <w:t xml:space="preserve">Publisher Address: </w:t>
      </w:r>
    </w:p>
    <w:p w:rsidR="003532DC" w:rsidRPr="001A3D2B" w:rsidRDefault="003532DC" w:rsidP="003532DC">
      <w:pPr>
        <w:pStyle w:val="12"/>
      </w:pPr>
      <w:r w:rsidRPr="001A3D2B">
        <w:t xml:space="preserve">Subject Categories: </w:t>
      </w:r>
    </w:p>
    <w:p w:rsidR="003532DC" w:rsidRPr="001A3D2B" w:rsidRDefault="003532DC" w:rsidP="003532DC">
      <w:pPr>
        <w:pStyle w:val="12"/>
      </w:pPr>
      <w:r w:rsidRPr="001A3D2B">
        <w:t>: Impact Factor</w:t>
      </w:r>
    </w:p>
    <w:p w:rsidR="003532DC" w:rsidRDefault="003532DC" w:rsidP="003532DC">
      <w:pPr>
        <w:pStyle w:val="a3"/>
        <w:rPr>
          <w:kern w:val="0"/>
        </w:rPr>
      </w:pPr>
      <w:r>
        <w:rPr>
          <w:rFonts w:hint="eastAsia"/>
          <w:kern w:val="0"/>
        </w:rPr>
        <w:t xml:space="preserve">? </w:t>
      </w:r>
      <w:r>
        <w:rPr>
          <w:kern w:val="0"/>
        </w:rPr>
        <w:t>Law, E.H.</w:t>
      </w:r>
      <w:r w:rsidR="005853A9">
        <w:rPr>
          <w:kern w:val="0"/>
        </w:rPr>
        <w:t xml:space="preserve"> and </w:t>
      </w:r>
      <w:r>
        <w:rPr>
          <w:kern w:val="0"/>
        </w:rPr>
        <w:t>Simpson, S.H. (2010), Aspirin use rates in diabetes: A systematic review</w:t>
      </w:r>
      <w:r w:rsidR="005853A9">
        <w:rPr>
          <w:kern w:val="0"/>
        </w:rPr>
        <w:t xml:space="preserve"> and </w:t>
      </w:r>
      <w:r>
        <w:rPr>
          <w:kern w:val="0"/>
        </w:rPr>
        <w:t xml:space="preserve">cross-sectional study. </w:t>
      </w:r>
      <w:r w:rsidRPr="003532DC">
        <w:rPr>
          <w:i/>
          <w:iCs/>
          <w:kern w:val="0"/>
        </w:rPr>
        <w:t>Canadian Journal</w:t>
      </w:r>
      <w:r w:rsidR="00427468">
        <w:rPr>
          <w:i/>
          <w:iCs/>
          <w:kern w:val="0"/>
        </w:rPr>
        <w:t xml:space="preserve"> of </w:t>
      </w:r>
      <w:r w:rsidRPr="003532DC">
        <w:rPr>
          <w:i/>
          <w:iCs/>
          <w:kern w:val="0"/>
        </w:rPr>
        <w:t>Diabetes</w:t>
      </w:r>
      <w:r>
        <w:rPr>
          <w:kern w:val="0"/>
        </w:rPr>
        <w:t xml:space="preserve">, </w:t>
      </w:r>
      <w:r>
        <w:rPr>
          <w:b/>
          <w:bCs/>
          <w:kern w:val="0"/>
        </w:rPr>
        <w:t>34</w:t>
      </w:r>
      <w:r>
        <w:rPr>
          <w:kern w:val="0"/>
        </w:rPr>
        <w:t xml:space="preserve"> (3), 211-217.</w:t>
      </w:r>
    </w:p>
    <w:p w:rsidR="00DB5D9B" w:rsidRDefault="00DB5D9B" w:rsidP="00DB5D9B">
      <w:pPr>
        <w:pStyle w:val="a3"/>
        <w:rPr>
          <w:kern w:val="0"/>
        </w:rPr>
      </w:pPr>
      <w:r>
        <w:rPr>
          <w:rFonts w:hint="eastAsia"/>
          <w:kern w:val="0"/>
        </w:rPr>
        <w:t xml:space="preserve">Full Text: </w:t>
      </w:r>
      <w:hyperlink r:id="rId48" w:history="1">
        <w:r w:rsidRPr="00522FD0">
          <w:rPr>
            <w:rStyle w:val="a5"/>
            <w:kern w:val="0"/>
          </w:rPr>
          <w:t>2010\Can J Dia34, 211.pdf</w:t>
        </w:r>
      </w:hyperlink>
    </w:p>
    <w:p w:rsidR="003532DC" w:rsidRDefault="003532DC" w:rsidP="003532DC">
      <w:pPr>
        <w:pStyle w:val="a3"/>
        <w:rPr>
          <w:kern w:val="0"/>
        </w:rPr>
      </w:pPr>
      <w:r>
        <w:rPr>
          <w:kern w:val="0"/>
        </w:rPr>
        <w:t>Abstract: OBJECTIVE: Recent studies have shown that low-dose aspirin is not effective for</w:t>
      </w:r>
      <w:r w:rsidR="003A1917">
        <w:rPr>
          <w:kern w:val="0"/>
        </w:rPr>
        <w:t xml:space="preserve"> the </w:t>
      </w:r>
      <w:r>
        <w:rPr>
          <w:kern w:val="0"/>
        </w:rPr>
        <w:t>primary prevention</w:t>
      </w:r>
      <w:r w:rsidR="00427468">
        <w:rPr>
          <w:kern w:val="0"/>
        </w:rPr>
        <w:t xml:space="preserve"> of </w:t>
      </w:r>
      <w:r>
        <w:rPr>
          <w:kern w:val="0"/>
        </w:rPr>
        <w:t>cardiovascular (CV) events in diabetes. Pharmacologic evidence suggests, however, that an adequate antiplatelet effect in diabetes requires a dose</w:t>
      </w:r>
      <w:r w:rsidR="00427468">
        <w:rPr>
          <w:kern w:val="0"/>
        </w:rPr>
        <w:t xml:space="preserve"> of </w:t>
      </w:r>
      <w:r>
        <w:rPr>
          <w:kern w:val="0"/>
        </w:rPr>
        <w:t>&gt;100 mg daily. This study was designed to identify</w:t>
      </w:r>
      <w:r w:rsidR="003A1917">
        <w:rPr>
          <w:kern w:val="0"/>
        </w:rPr>
        <w:t xml:space="preserve"> the </w:t>
      </w:r>
      <w:r>
        <w:rPr>
          <w:kern w:val="0"/>
        </w:rPr>
        <w:t>dose</w:t>
      </w:r>
      <w:r w:rsidR="00427468">
        <w:rPr>
          <w:kern w:val="0"/>
        </w:rPr>
        <w:t xml:space="preserve"> of </w:t>
      </w:r>
      <w:r>
        <w:rPr>
          <w:kern w:val="0"/>
        </w:rPr>
        <w:t>aspirin most commonly used in diabetes. METHODS: This study included a systematic review</w:t>
      </w:r>
      <w:r w:rsidR="00427468">
        <w:rPr>
          <w:kern w:val="0"/>
        </w:rPr>
        <w:t xml:space="preserve"> of </w:t>
      </w:r>
      <w:r w:rsidR="003A1917">
        <w:rPr>
          <w:kern w:val="0"/>
        </w:rPr>
        <w:t xml:space="preserve">the </w:t>
      </w:r>
      <w:r>
        <w:rPr>
          <w:kern w:val="0"/>
        </w:rPr>
        <w:t>literature</w:t>
      </w:r>
      <w:r w:rsidR="005853A9">
        <w:rPr>
          <w:kern w:val="0"/>
        </w:rPr>
        <w:t xml:space="preserve"> and </w:t>
      </w:r>
      <w:r>
        <w:rPr>
          <w:kern w:val="0"/>
        </w:rPr>
        <w:t xml:space="preserve">a cross-sectional study in community pharmacies across Alberta, Canada.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used to identify studies reporting aspirin use rates in diabetes</w:t>
      </w:r>
      <w:r w:rsidR="00A37C1D">
        <w:rPr>
          <w:kern w:val="0"/>
        </w:rPr>
        <w:t>. The</w:t>
      </w:r>
      <w:r w:rsidR="003A1917">
        <w:rPr>
          <w:kern w:val="0"/>
        </w:rPr>
        <w:t xml:space="preserve"> </w:t>
      </w:r>
      <w:r>
        <w:rPr>
          <w:kern w:val="0"/>
        </w:rPr>
        <w:t>average rate across studies was calculated by weighting study-specific rates by number</w:t>
      </w:r>
      <w:r w:rsidR="00427468">
        <w:rPr>
          <w:kern w:val="0"/>
        </w:rPr>
        <w:t xml:space="preserve"> of </w:t>
      </w:r>
      <w:r>
        <w:rPr>
          <w:kern w:val="0"/>
        </w:rPr>
        <w:t>participants in each study. Additional information was gathered from a survey completed by senior-year pharmacy students using information on cardiovascular disease (CVD)</w:t>
      </w:r>
      <w:r w:rsidR="005853A9">
        <w:rPr>
          <w:kern w:val="0"/>
        </w:rPr>
        <w:t xml:space="preserve"> and </w:t>
      </w:r>
      <w:r>
        <w:rPr>
          <w:kern w:val="0"/>
        </w:rPr>
        <w:t>aspirin use collected from people with diabetes. RESULTS:</w:t>
      </w:r>
      <w:r w:rsidR="003A1917">
        <w:rPr>
          <w:kern w:val="0"/>
        </w:rPr>
        <w:t xml:space="preserve"> the </w:t>
      </w:r>
      <w:r>
        <w:rPr>
          <w:kern w:val="0"/>
        </w:rPr>
        <w:t>systematic review identified 33 studies reporting a weighted average aspirin use rate</w:t>
      </w:r>
      <w:r w:rsidR="00427468">
        <w:rPr>
          <w:kern w:val="0"/>
        </w:rPr>
        <w:t xml:space="preserve"> of </w:t>
      </w:r>
      <w:r>
        <w:rPr>
          <w:kern w:val="0"/>
        </w:rPr>
        <w:t>41%. Among those with an indication for primary or secondary prevention, aspirin was used by 27</w:t>
      </w:r>
      <w:r w:rsidR="005853A9">
        <w:rPr>
          <w:kern w:val="0"/>
        </w:rPr>
        <w:t xml:space="preserve"> and </w:t>
      </w:r>
      <w:r>
        <w:rPr>
          <w:kern w:val="0"/>
        </w:rPr>
        <w:t>73%, respectively</w:t>
      </w:r>
      <w:r w:rsidR="00A37C1D">
        <w:rPr>
          <w:kern w:val="0"/>
        </w:rPr>
        <w:t>. The</w:t>
      </w:r>
      <w:r w:rsidR="003A1917">
        <w:rPr>
          <w:kern w:val="0"/>
        </w:rPr>
        <w:t xml:space="preserve"> </w:t>
      </w:r>
      <w:r>
        <w:rPr>
          <w:kern w:val="0"/>
        </w:rPr>
        <w:t>mean age</w:t>
      </w:r>
      <w:r w:rsidR="00427468">
        <w:rPr>
          <w:kern w:val="0"/>
        </w:rPr>
        <w:t xml:space="preserve"> of </w:t>
      </w:r>
      <w:r w:rsidR="003A1917">
        <w:rPr>
          <w:kern w:val="0"/>
        </w:rPr>
        <w:t xml:space="preserve">the </w:t>
      </w:r>
      <w:r>
        <w:rPr>
          <w:kern w:val="0"/>
        </w:rPr>
        <w:t>182 survey participants was 61 +/- 14 years; 50% were women, 81% had type 2 diabetes</w:t>
      </w:r>
      <w:r w:rsidR="005853A9">
        <w:rPr>
          <w:kern w:val="0"/>
        </w:rPr>
        <w:t xml:space="preserve"> and </w:t>
      </w:r>
      <w:r>
        <w:rPr>
          <w:kern w:val="0"/>
        </w:rPr>
        <w:t>19% had had a previous CV event.</w:t>
      </w:r>
      <w:r w:rsidR="00427468">
        <w:rPr>
          <w:kern w:val="0"/>
        </w:rPr>
        <w:t xml:space="preserve"> of </w:t>
      </w:r>
      <w:r w:rsidR="003A1917">
        <w:rPr>
          <w:kern w:val="0"/>
        </w:rPr>
        <w:t xml:space="preserve">the </w:t>
      </w:r>
      <w:r>
        <w:rPr>
          <w:kern w:val="0"/>
        </w:rPr>
        <w:t>176 participants with &gt;= 1 indication for aspirin use, 118 (67%) were using aspirin regularly</w:t>
      </w:r>
      <w:r w:rsidR="00A37C1D">
        <w:rPr>
          <w:kern w:val="0"/>
        </w:rPr>
        <w:t>. The</w:t>
      </w:r>
      <w:r w:rsidR="003A1917">
        <w:rPr>
          <w:kern w:val="0"/>
        </w:rPr>
        <w:t xml:space="preserve"> </w:t>
      </w:r>
      <w:r>
        <w:rPr>
          <w:kern w:val="0"/>
        </w:rPr>
        <w:t>most common dose, taken by 106</w:t>
      </w:r>
      <w:r w:rsidR="00427468">
        <w:rPr>
          <w:kern w:val="0"/>
        </w:rPr>
        <w:t xml:space="preserve"> of </w:t>
      </w:r>
      <w:r w:rsidR="003A1917">
        <w:rPr>
          <w:kern w:val="0"/>
        </w:rPr>
        <w:t xml:space="preserve">the </w:t>
      </w:r>
      <w:r>
        <w:rPr>
          <w:kern w:val="0"/>
        </w:rPr>
        <w:t>118 regular aspirin users (90%), was 81 mg daily. CONCLUSIONS: Aspirin use is more common in people with an indication for secondary prevention. However,</w:t>
      </w:r>
      <w:r w:rsidR="003A1917">
        <w:rPr>
          <w:kern w:val="0"/>
        </w:rPr>
        <w:t xml:space="preserve"> the </w:t>
      </w:r>
      <w:r>
        <w:rPr>
          <w:kern w:val="0"/>
        </w:rPr>
        <w:t>most common dose used is &lt;100 mg daily, which may not provide adequate CV protection.</w:t>
      </w:r>
    </w:p>
    <w:p w:rsidR="003532DC" w:rsidRDefault="003532DC" w:rsidP="003532DC">
      <w:pPr>
        <w:pStyle w:val="a3"/>
        <w:rPr>
          <w:kern w:val="0"/>
        </w:rPr>
      </w:pPr>
      <w:r>
        <w:rPr>
          <w:kern w:val="0"/>
        </w:rPr>
        <w:lastRenderedPageBreak/>
        <w:t xml:space="preserve">Keywords: Adults, Antiplatelet Therapy, Aspirin, Canada, Cardiovascular, Cardiovascular Disease, Cardiovascular Risk, Cardiovascular Risk-Factors, Controlled-Trial, Diabetes, Disease, Heart-Disease, Information, Intervention, Literature, Low-Dose Aspirin, Mellitus, Pharmacies, Pharmacy, Prevention, Primary, Primary Prevention, Primary-Care, Review, Science, Secondary Prevention, Students, Survey, Systematic, Systematic Review, Type 2, Type 2 Diabetes, </w:t>
      </w:r>
      <w:r w:rsidR="00D5664A">
        <w:rPr>
          <w:kern w:val="0"/>
        </w:rPr>
        <w:t>Web</w:t>
      </w:r>
      <w:r w:rsidR="00427468">
        <w:rPr>
          <w:kern w:val="0"/>
        </w:rPr>
        <w:t xml:space="preserve"> of </w:t>
      </w:r>
      <w:r w:rsidR="00D5664A">
        <w:rPr>
          <w:kern w:val="0"/>
        </w:rPr>
        <w:t>Science</w:t>
      </w:r>
      <w:r>
        <w:rPr>
          <w:kern w:val="0"/>
        </w:rPr>
        <w:t>, Women</w:t>
      </w:r>
    </w:p>
    <w:p w:rsidR="00364D49" w:rsidRPr="001A3D2B" w:rsidRDefault="00364D49" w:rsidP="00364D49">
      <w:pPr>
        <w:pStyle w:val="1"/>
      </w:pPr>
      <w:r w:rsidRPr="001A3D2B">
        <w:br w:type="page"/>
      </w:r>
      <w:bookmarkStart w:id="23" w:name="_Toc420814876"/>
      <w:r w:rsidRPr="001A3D2B">
        <w:lastRenderedPageBreak/>
        <w:t xml:space="preserve">Title: </w:t>
      </w:r>
      <w:r w:rsidRPr="00364D49">
        <w:t>Canadian Journal</w:t>
      </w:r>
      <w:r w:rsidR="00427468">
        <w:rPr>
          <w:iCs w:val="0"/>
        </w:rPr>
        <w:t xml:space="preserve"> of </w:t>
      </w:r>
      <w:r w:rsidRPr="00364D49">
        <w:t>Emergency Medicine</w:t>
      </w:r>
      <w:bookmarkEnd w:id="23"/>
    </w:p>
    <w:p w:rsidR="00364D49" w:rsidRPr="001A3D2B" w:rsidRDefault="00364D49" w:rsidP="00364D49">
      <w:pPr>
        <w:pStyle w:val="12"/>
      </w:pPr>
      <w:r w:rsidRPr="001A3D2B">
        <w:t xml:space="preserve">Full Journal Title: </w:t>
      </w:r>
      <w:r w:rsidRPr="00364D49">
        <w:rPr>
          <w:iCs/>
          <w:kern w:val="0"/>
        </w:rPr>
        <w:t>Canadian Journal</w:t>
      </w:r>
      <w:r w:rsidR="00427468">
        <w:rPr>
          <w:iCs/>
          <w:kern w:val="0"/>
        </w:rPr>
        <w:t xml:space="preserve"> of </w:t>
      </w:r>
      <w:r w:rsidRPr="00364D49">
        <w:rPr>
          <w:iCs/>
          <w:kern w:val="0"/>
        </w:rPr>
        <w:t>Emergency Medicine</w:t>
      </w:r>
    </w:p>
    <w:p w:rsidR="00364D49" w:rsidRPr="001A3D2B" w:rsidRDefault="00364D49" w:rsidP="00364D49">
      <w:pPr>
        <w:pStyle w:val="12"/>
      </w:pPr>
      <w:r w:rsidRPr="001A3D2B">
        <w:t xml:space="preserve">ISO Abbreviated Title: </w:t>
      </w:r>
    </w:p>
    <w:p w:rsidR="00364D49" w:rsidRPr="001A3D2B" w:rsidRDefault="00364D49" w:rsidP="00364D49">
      <w:pPr>
        <w:pStyle w:val="12"/>
      </w:pPr>
      <w:r w:rsidRPr="001A3D2B">
        <w:t xml:space="preserve">JCR Abbreviated Title: </w:t>
      </w:r>
    </w:p>
    <w:p w:rsidR="00364D49" w:rsidRPr="001A3D2B" w:rsidRDefault="00364D49" w:rsidP="00364D49">
      <w:pPr>
        <w:pStyle w:val="12"/>
      </w:pPr>
      <w:r w:rsidRPr="001A3D2B">
        <w:t xml:space="preserve">ISSN: </w:t>
      </w:r>
    </w:p>
    <w:p w:rsidR="00364D49" w:rsidRPr="001A3D2B" w:rsidRDefault="00364D49" w:rsidP="00364D49">
      <w:pPr>
        <w:pStyle w:val="12"/>
      </w:pPr>
      <w:r w:rsidRPr="001A3D2B">
        <w:t xml:space="preserve">ISBN: </w:t>
      </w:r>
    </w:p>
    <w:p w:rsidR="00364D49" w:rsidRPr="001A3D2B" w:rsidRDefault="00364D49" w:rsidP="00364D49">
      <w:pPr>
        <w:pStyle w:val="12"/>
      </w:pPr>
      <w:r w:rsidRPr="001A3D2B">
        <w:t xml:space="preserve">Issues/Year: </w:t>
      </w:r>
    </w:p>
    <w:p w:rsidR="00364D49" w:rsidRPr="001A3D2B" w:rsidRDefault="00364D49" w:rsidP="00364D49">
      <w:pPr>
        <w:pStyle w:val="12"/>
      </w:pPr>
      <w:r w:rsidRPr="001A3D2B">
        <w:t xml:space="preserve">Journal Country/Territory: </w:t>
      </w:r>
    </w:p>
    <w:p w:rsidR="00364D49" w:rsidRPr="001A3D2B" w:rsidRDefault="00364D49" w:rsidP="00364D49">
      <w:pPr>
        <w:pStyle w:val="12"/>
      </w:pPr>
      <w:r w:rsidRPr="001A3D2B">
        <w:t xml:space="preserve">Language: </w:t>
      </w:r>
    </w:p>
    <w:p w:rsidR="00364D49" w:rsidRPr="001A3D2B" w:rsidRDefault="00364D49" w:rsidP="00364D49">
      <w:pPr>
        <w:pStyle w:val="12"/>
      </w:pPr>
      <w:r w:rsidRPr="001A3D2B">
        <w:t xml:space="preserve">Publisher: </w:t>
      </w:r>
    </w:p>
    <w:p w:rsidR="00364D49" w:rsidRPr="001A3D2B" w:rsidRDefault="00364D49" w:rsidP="00364D49">
      <w:pPr>
        <w:pStyle w:val="12"/>
      </w:pPr>
      <w:r w:rsidRPr="001A3D2B">
        <w:t xml:space="preserve">Publisher Address: </w:t>
      </w:r>
    </w:p>
    <w:p w:rsidR="00364D49" w:rsidRPr="001A3D2B" w:rsidRDefault="00364D49" w:rsidP="00364D49">
      <w:pPr>
        <w:pStyle w:val="12"/>
      </w:pPr>
      <w:r w:rsidRPr="001A3D2B">
        <w:t xml:space="preserve">Subject Categories: </w:t>
      </w:r>
    </w:p>
    <w:p w:rsidR="00364D49" w:rsidRPr="001A3D2B" w:rsidRDefault="00364D49" w:rsidP="00364D49">
      <w:pPr>
        <w:pStyle w:val="12"/>
      </w:pPr>
      <w:r w:rsidRPr="001A3D2B">
        <w:t>: Impact Factor</w:t>
      </w:r>
    </w:p>
    <w:p w:rsidR="00364D49" w:rsidRDefault="00364D49" w:rsidP="00364D49">
      <w:pPr>
        <w:pStyle w:val="a3"/>
        <w:rPr>
          <w:kern w:val="0"/>
        </w:rPr>
      </w:pPr>
      <w:r>
        <w:rPr>
          <w:rFonts w:hint="eastAsia"/>
          <w:kern w:val="0"/>
        </w:rPr>
        <w:t xml:space="preserve">? </w:t>
      </w:r>
      <w:r>
        <w:rPr>
          <w:kern w:val="0"/>
        </w:rPr>
        <w:t>Hess, E.P., Thiruganasambandamoorthy, V., Wells, G.A., Erwin, P., Jaffe, A.S., Hollander, J.E., Montori, V.M.</w:t>
      </w:r>
      <w:r w:rsidR="005853A9">
        <w:rPr>
          <w:kern w:val="0"/>
        </w:rPr>
        <w:t xml:space="preserve"> and </w:t>
      </w:r>
      <w:r>
        <w:rPr>
          <w:kern w:val="0"/>
        </w:rPr>
        <w:t>Stiell, I.G. (2008), Diagnostic accuracy</w:t>
      </w:r>
      <w:r w:rsidR="00427468">
        <w:rPr>
          <w:kern w:val="0"/>
        </w:rPr>
        <w:t xml:space="preserve"> of </w:t>
      </w:r>
      <w:r>
        <w:rPr>
          <w:kern w:val="0"/>
        </w:rPr>
        <w:t>clinical prediction rules to exclude acute coronary syndrome in</w:t>
      </w:r>
      <w:r w:rsidR="003A1917">
        <w:rPr>
          <w:kern w:val="0"/>
        </w:rPr>
        <w:t xml:space="preserve"> the </w:t>
      </w:r>
      <w:r>
        <w:rPr>
          <w:kern w:val="0"/>
        </w:rPr>
        <w:t xml:space="preserve">emergency department setting: A systematic review. </w:t>
      </w:r>
      <w:r w:rsidRPr="00364D49">
        <w:rPr>
          <w:i/>
          <w:iCs/>
          <w:kern w:val="0"/>
        </w:rPr>
        <w:t>Canadian Journal</w:t>
      </w:r>
      <w:r w:rsidR="00427468">
        <w:rPr>
          <w:i/>
          <w:iCs/>
          <w:kern w:val="0"/>
        </w:rPr>
        <w:t xml:space="preserve"> of </w:t>
      </w:r>
      <w:r w:rsidRPr="00364D49">
        <w:rPr>
          <w:i/>
          <w:iCs/>
          <w:kern w:val="0"/>
        </w:rPr>
        <w:t>Emergency Medicine</w:t>
      </w:r>
      <w:r>
        <w:rPr>
          <w:kern w:val="0"/>
        </w:rPr>
        <w:t xml:space="preserve">, </w:t>
      </w:r>
      <w:r>
        <w:rPr>
          <w:b/>
          <w:bCs/>
          <w:kern w:val="0"/>
        </w:rPr>
        <w:t>10</w:t>
      </w:r>
      <w:r>
        <w:rPr>
          <w:kern w:val="0"/>
        </w:rPr>
        <w:t xml:space="preserve"> (4), 373-382.</w:t>
      </w:r>
    </w:p>
    <w:p w:rsidR="00DB5D9B" w:rsidRDefault="00DB5D9B" w:rsidP="00DB5D9B">
      <w:pPr>
        <w:pStyle w:val="a3"/>
        <w:rPr>
          <w:kern w:val="0"/>
        </w:rPr>
      </w:pPr>
      <w:r>
        <w:rPr>
          <w:rFonts w:hint="eastAsia"/>
          <w:kern w:val="0"/>
        </w:rPr>
        <w:t xml:space="preserve">Full Text: </w:t>
      </w:r>
      <w:hyperlink r:id="rId49" w:history="1">
        <w:r w:rsidRPr="00522FD0">
          <w:rPr>
            <w:rStyle w:val="a5"/>
            <w:kern w:val="0"/>
          </w:rPr>
          <w:t>2008\Can J Eme Med10, 373.pdf</w:t>
        </w:r>
      </w:hyperlink>
    </w:p>
    <w:p w:rsidR="00364D49" w:rsidRDefault="00364D49" w:rsidP="00364D49">
      <w:pPr>
        <w:pStyle w:val="a3"/>
        <w:rPr>
          <w:kern w:val="0"/>
        </w:rPr>
      </w:pPr>
      <w:r>
        <w:rPr>
          <w:kern w:val="0"/>
        </w:rPr>
        <w:t>Abstract: Objective: We sought to determine</w:t>
      </w:r>
      <w:r w:rsidR="003A1917">
        <w:rPr>
          <w:kern w:val="0"/>
        </w:rPr>
        <w:t xml:space="preserve"> the </w:t>
      </w:r>
      <w:r>
        <w:rPr>
          <w:kern w:val="0"/>
        </w:rPr>
        <w:t>diagnostic accuracy</w:t>
      </w:r>
      <w:r w:rsidR="00427468">
        <w:rPr>
          <w:kern w:val="0"/>
        </w:rPr>
        <w:t xml:space="preserve"> of </w:t>
      </w:r>
      <w:r>
        <w:rPr>
          <w:kern w:val="0"/>
        </w:rPr>
        <w:t>clinical prediction rules to exclude acute coronary syndrome (ACS) in</w:t>
      </w:r>
      <w:r w:rsidR="003A1917">
        <w:rPr>
          <w:kern w:val="0"/>
        </w:rPr>
        <w:t xml:space="preserve"> the </w:t>
      </w:r>
      <w:r>
        <w:rPr>
          <w:kern w:val="0"/>
        </w:rPr>
        <w:t xml:space="preserve">emergency department (ED) setting. Methods: We searched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Cochrane Database</w:t>
      </w:r>
      <w:r w:rsidR="00427468">
        <w:rPr>
          <w:kern w:val="0"/>
        </w:rPr>
        <w:t xml:space="preserve"> of </w:t>
      </w:r>
      <w:r>
        <w:rPr>
          <w:kern w:val="0"/>
        </w:rPr>
        <w:t>Systematic Reviews. We contacted content experts to identify additional articles for review. Reference lists</w:t>
      </w:r>
      <w:r w:rsidR="00427468">
        <w:rPr>
          <w:kern w:val="0"/>
        </w:rPr>
        <w:t xml:space="preserve"> of </w:t>
      </w:r>
      <w:r>
        <w:rPr>
          <w:kern w:val="0"/>
        </w:rPr>
        <w:t>included studies were hand searched. We selected articles for review based on</w:t>
      </w:r>
      <w:r w:rsidR="003A1917">
        <w:rPr>
          <w:kern w:val="0"/>
        </w:rPr>
        <w:t xml:space="preserve"> the </w:t>
      </w:r>
      <w:r>
        <w:rPr>
          <w:kern w:val="0"/>
        </w:rPr>
        <w:t>following criteria: 1) enrolled consecutive ED patients; 2) incorporated variables from</w:t>
      </w:r>
      <w:r w:rsidR="003A1917">
        <w:rPr>
          <w:kern w:val="0"/>
        </w:rPr>
        <w:t xml:space="preserve"> the </w:t>
      </w:r>
      <w:r>
        <w:rPr>
          <w:kern w:val="0"/>
        </w:rPr>
        <w:t>history or physical examination, electrocardiogram</w:t>
      </w:r>
      <w:r w:rsidR="005853A9">
        <w:rPr>
          <w:kern w:val="0"/>
        </w:rPr>
        <w:t xml:space="preserve"> and </w:t>
      </w:r>
      <w:r>
        <w:rPr>
          <w:kern w:val="0"/>
        </w:rPr>
        <w:t>cardiac biomarkers; 3) did not incorporate cardiac stress testing or coronary angiography into prediction rule; 4) based on original research; 5) prospectively derived or validated; 6) did not require use</w:t>
      </w:r>
      <w:r w:rsidR="00427468">
        <w:rPr>
          <w:kern w:val="0"/>
        </w:rPr>
        <w:t xml:space="preserve"> of </w:t>
      </w:r>
      <w:r>
        <w:rPr>
          <w:kern w:val="0"/>
        </w:rPr>
        <w:t>a computer;</w:t>
      </w:r>
      <w:r w:rsidR="005853A9">
        <w:rPr>
          <w:kern w:val="0"/>
        </w:rPr>
        <w:t xml:space="preserve"> and </w:t>
      </w:r>
      <w:r>
        <w:rPr>
          <w:kern w:val="0"/>
        </w:rPr>
        <w:t>7) reported sufficient data to construct a 2 8 2 contingency table. We assessed study quality</w:t>
      </w:r>
      <w:r w:rsidR="005853A9">
        <w:rPr>
          <w:kern w:val="0"/>
        </w:rPr>
        <w:t xml:space="preserve"> and </w:t>
      </w:r>
      <w:r>
        <w:rPr>
          <w:kern w:val="0"/>
        </w:rPr>
        <w:t>extracted data independently</w:t>
      </w:r>
      <w:r w:rsidR="005853A9">
        <w:rPr>
          <w:kern w:val="0"/>
        </w:rPr>
        <w:t xml:space="preserve"> and </w:t>
      </w:r>
      <w:r>
        <w:rPr>
          <w:kern w:val="0"/>
        </w:rPr>
        <w:t>in duplicate using a standardized data extraction form. Results: Eight studies met inclusion criteria, encompassing 7937 patients. None</w:t>
      </w:r>
      <w:r w:rsidR="00427468">
        <w:rPr>
          <w:kern w:val="0"/>
        </w:rPr>
        <w:t xml:space="preserve"> of </w:t>
      </w:r>
      <w:r w:rsidR="003A1917">
        <w:rPr>
          <w:kern w:val="0"/>
        </w:rPr>
        <w:t xml:space="preserve">the </w:t>
      </w:r>
      <w:r>
        <w:rPr>
          <w:kern w:val="0"/>
        </w:rPr>
        <w:t>studies verified</w:t>
      </w:r>
      <w:r w:rsidR="003A1917">
        <w:rPr>
          <w:kern w:val="0"/>
        </w:rPr>
        <w:t xml:space="preserve"> the </w:t>
      </w:r>
      <w:r>
        <w:rPr>
          <w:kern w:val="0"/>
        </w:rPr>
        <w:t>prediction rule with a reference standard on all or a random sample</w:t>
      </w:r>
      <w:r w:rsidR="00427468">
        <w:rPr>
          <w:kern w:val="0"/>
        </w:rPr>
        <w:t xml:space="preserve"> of </w:t>
      </w:r>
      <w:r>
        <w:rPr>
          <w:kern w:val="0"/>
        </w:rPr>
        <w:t>patients. Six studies did not report blinding prediction rule assessors to reference standard results,</w:t>
      </w:r>
      <w:r w:rsidR="005853A9">
        <w:rPr>
          <w:kern w:val="0"/>
        </w:rPr>
        <w:t xml:space="preserve"> and </w:t>
      </w:r>
      <w:r>
        <w:rPr>
          <w:kern w:val="0"/>
        </w:rPr>
        <w:t>vice versa. Three prediction rules were prospectively validated. Sensitivities</w:t>
      </w:r>
      <w:r w:rsidR="005853A9">
        <w:rPr>
          <w:kern w:val="0"/>
        </w:rPr>
        <w:t xml:space="preserve"> and </w:t>
      </w:r>
      <w:r>
        <w:rPr>
          <w:kern w:val="0"/>
        </w:rPr>
        <w:t>specificities ranged from 94% to 100%</w:t>
      </w:r>
      <w:r w:rsidR="005853A9">
        <w:rPr>
          <w:kern w:val="0"/>
        </w:rPr>
        <w:t xml:space="preserve"> and </w:t>
      </w:r>
      <w:r>
        <w:rPr>
          <w:kern w:val="0"/>
        </w:rPr>
        <w:t>13% to 57%,</w:t>
      </w:r>
      <w:r w:rsidR="005853A9">
        <w:rPr>
          <w:kern w:val="0"/>
        </w:rPr>
        <w:t xml:space="preserve"> and </w:t>
      </w:r>
      <w:r>
        <w:rPr>
          <w:kern w:val="0"/>
        </w:rPr>
        <w:t>positive</w:t>
      </w:r>
      <w:r w:rsidR="005853A9">
        <w:rPr>
          <w:kern w:val="0"/>
        </w:rPr>
        <w:t xml:space="preserve"> and </w:t>
      </w:r>
      <w:r>
        <w:rPr>
          <w:kern w:val="0"/>
        </w:rPr>
        <w:t xml:space="preserve">negative likelihood </w:t>
      </w:r>
      <w:r>
        <w:rPr>
          <w:kern w:val="0"/>
        </w:rPr>
        <w:lastRenderedPageBreak/>
        <w:t>ratios from 1.1 to 2.2</w:t>
      </w:r>
      <w:r w:rsidR="005853A9">
        <w:rPr>
          <w:kern w:val="0"/>
        </w:rPr>
        <w:t xml:space="preserve"> and </w:t>
      </w:r>
      <w:r>
        <w:rPr>
          <w:kern w:val="0"/>
        </w:rPr>
        <w:t>0.01 to 0.17, respectively. Conclusion: Current prediction rules for ACS have substantial methodological limitations</w:t>
      </w:r>
      <w:r w:rsidR="005853A9">
        <w:rPr>
          <w:kern w:val="0"/>
        </w:rPr>
        <w:t xml:space="preserve"> and </w:t>
      </w:r>
      <w:r>
        <w:rPr>
          <w:kern w:val="0"/>
        </w:rPr>
        <w:t>have not been successfully implemented in</w:t>
      </w:r>
      <w:r w:rsidR="003A1917">
        <w:rPr>
          <w:kern w:val="0"/>
        </w:rPr>
        <w:t xml:space="preserve"> the </w:t>
      </w:r>
      <w:r>
        <w:rPr>
          <w:kern w:val="0"/>
        </w:rPr>
        <w:t>clinical setting. Future methodologically sound studies are needed to guide clinical practice.</w:t>
      </w:r>
    </w:p>
    <w:p w:rsidR="00364D49" w:rsidRDefault="00364D49" w:rsidP="00364D49">
      <w:pPr>
        <w:pStyle w:val="a3"/>
        <w:rPr>
          <w:kern w:val="0"/>
        </w:rPr>
      </w:pPr>
      <w:r>
        <w:rPr>
          <w:kern w:val="0"/>
        </w:rPr>
        <w:t xml:space="preserve">Keywords: Accuracy, Acute Coronary Syndrome, Acute Myocardial-Infarction, Artificial Neural-Network, Biomarkers, Cardiac Ischemia, Chest-Pain, Cochrane, Computer-Derived Protocol, Decision Rules, Diagnosis, EMBASE, Emergency Department, Emergency Medical Services, European-Society, History, </w:t>
      </w:r>
      <w:r w:rsidR="00D5664A">
        <w:rPr>
          <w:kern w:val="0"/>
        </w:rPr>
        <w:t>MEDLINE</w:t>
      </w:r>
      <w:r>
        <w:rPr>
          <w:kern w:val="0"/>
        </w:rPr>
        <w:t xml:space="preserve">, Methods, Myocardial Infarction, Practice, Prospective Validation, Research, Review, Risk Stratification, Science, St-Segment Elevation, Stress, Systematic, Systematic Review, Unstable Angina, </w:t>
      </w:r>
      <w:r w:rsidR="00D5664A">
        <w:rPr>
          <w:kern w:val="0"/>
        </w:rPr>
        <w:t>Web</w:t>
      </w:r>
      <w:r w:rsidR="00427468">
        <w:rPr>
          <w:kern w:val="0"/>
        </w:rPr>
        <w:t xml:space="preserve"> of </w:t>
      </w:r>
      <w:r w:rsidR="00D5664A">
        <w:rPr>
          <w:kern w:val="0"/>
        </w:rPr>
        <w:t>Science</w:t>
      </w:r>
    </w:p>
    <w:p w:rsidR="00364D49" w:rsidRDefault="00364D49" w:rsidP="00364D49">
      <w:pPr>
        <w:pStyle w:val="a3"/>
        <w:rPr>
          <w:kern w:val="0"/>
        </w:rPr>
      </w:pPr>
      <w:r>
        <w:rPr>
          <w:rFonts w:hint="eastAsia"/>
          <w:kern w:val="0"/>
        </w:rPr>
        <w:t xml:space="preserve">? </w:t>
      </w:r>
      <w:r>
        <w:rPr>
          <w:kern w:val="0"/>
        </w:rPr>
        <w:t>Jensen, J.L., Cheung, K.W., Tallon, J.M.</w:t>
      </w:r>
      <w:r w:rsidR="005853A9">
        <w:rPr>
          <w:kern w:val="0"/>
        </w:rPr>
        <w:t xml:space="preserve"> and </w:t>
      </w:r>
      <w:r>
        <w:rPr>
          <w:kern w:val="0"/>
        </w:rPr>
        <w:t>Travers, A.H. (2010), Comparison</w:t>
      </w:r>
      <w:r w:rsidR="00427468">
        <w:rPr>
          <w:kern w:val="0"/>
        </w:rPr>
        <w:t xml:space="preserve"> of </w:t>
      </w:r>
      <w:r>
        <w:rPr>
          <w:kern w:val="0"/>
        </w:rPr>
        <w:t>tracheal intubation</w:t>
      </w:r>
      <w:r w:rsidR="005853A9">
        <w:rPr>
          <w:kern w:val="0"/>
        </w:rPr>
        <w:t xml:space="preserve"> and </w:t>
      </w:r>
      <w:r>
        <w:rPr>
          <w:kern w:val="0"/>
        </w:rPr>
        <w:t>alternative airway techniques performed in</w:t>
      </w:r>
      <w:r w:rsidR="003A1917">
        <w:rPr>
          <w:kern w:val="0"/>
        </w:rPr>
        <w:t xml:space="preserve"> the </w:t>
      </w:r>
      <w:r>
        <w:rPr>
          <w:kern w:val="0"/>
        </w:rPr>
        <w:t xml:space="preserve">prehospital setting by paramedics: A systematic review. </w:t>
      </w:r>
      <w:r>
        <w:rPr>
          <w:i/>
          <w:iCs/>
          <w:kern w:val="0"/>
        </w:rPr>
        <w:t>Canadian Journal</w:t>
      </w:r>
      <w:r w:rsidR="00427468">
        <w:rPr>
          <w:i/>
          <w:iCs/>
          <w:kern w:val="0"/>
        </w:rPr>
        <w:t xml:space="preserve"> of </w:t>
      </w:r>
      <w:r>
        <w:rPr>
          <w:i/>
          <w:iCs/>
          <w:kern w:val="0"/>
        </w:rPr>
        <w:t>Emergency Medicine</w:t>
      </w:r>
      <w:r>
        <w:rPr>
          <w:kern w:val="0"/>
        </w:rPr>
        <w:t xml:space="preserve">, </w:t>
      </w:r>
      <w:r>
        <w:rPr>
          <w:b/>
          <w:bCs/>
          <w:kern w:val="0"/>
        </w:rPr>
        <w:t>12</w:t>
      </w:r>
      <w:r>
        <w:rPr>
          <w:kern w:val="0"/>
        </w:rPr>
        <w:t xml:space="preserve"> (2), 135-140.</w:t>
      </w:r>
    </w:p>
    <w:p w:rsidR="00DB5D9B" w:rsidRDefault="00DB5D9B" w:rsidP="00DB5D9B">
      <w:pPr>
        <w:pStyle w:val="a3"/>
        <w:rPr>
          <w:kern w:val="0"/>
        </w:rPr>
      </w:pPr>
      <w:r>
        <w:rPr>
          <w:rFonts w:hint="eastAsia"/>
          <w:kern w:val="0"/>
        </w:rPr>
        <w:t xml:space="preserve">Full Text: </w:t>
      </w:r>
      <w:hyperlink r:id="rId50" w:history="1">
        <w:r w:rsidRPr="00522FD0">
          <w:rPr>
            <w:rStyle w:val="a5"/>
            <w:kern w:val="0"/>
          </w:rPr>
          <w:t>2010\Can J Eme Med12, 135.pdf</w:t>
        </w:r>
      </w:hyperlink>
    </w:p>
    <w:p w:rsidR="00364D49" w:rsidRDefault="00364D49" w:rsidP="00364D49">
      <w:pPr>
        <w:pStyle w:val="a3"/>
        <w:rPr>
          <w:kern w:val="0"/>
        </w:rPr>
      </w:pPr>
      <w:r>
        <w:rPr>
          <w:kern w:val="0"/>
        </w:rPr>
        <w:t>Abstract: This systematic review included controlled clinical trials comparing tracheal intubation (TI) with alternative airway techniques (AAT) (bag-mask ventilation</w:t>
      </w:r>
      <w:r w:rsidR="005853A9">
        <w:rPr>
          <w:kern w:val="0"/>
        </w:rPr>
        <w:t xml:space="preserve"> and </w:t>
      </w:r>
      <w:r>
        <w:rPr>
          <w:kern w:val="0"/>
        </w:rPr>
        <w:t>use</w:t>
      </w:r>
      <w:r w:rsidR="00427468">
        <w:rPr>
          <w:kern w:val="0"/>
        </w:rPr>
        <w:t xml:space="preserve"> of </w:t>
      </w:r>
      <w:r>
        <w:rPr>
          <w:kern w:val="0"/>
        </w:rPr>
        <w:t>extraglottic devices) performed by paramedics in</w:t>
      </w:r>
      <w:r w:rsidR="003A1917">
        <w:rPr>
          <w:kern w:val="0"/>
        </w:rPr>
        <w:t xml:space="preserve"> the </w:t>
      </w:r>
      <w:r>
        <w:rPr>
          <w:kern w:val="0"/>
        </w:rPr>
        <w:t>prehospital setting. A priori outcomes to be assessed were survival, neurologic outcome, airway management success rates</w:t>
      </w:r>
      <w:r w:rsidR="005853A9">
        <w:rPr>
          <w:kern w:val="0"/>
        </w:rPr>
        <w:t xml:space="preserve"> and </w:t>
      </w:r>
      <w:r>
        <w:rPr>
          <w:kern w:val="0"/>
        </w:rPr>
        <w:t xml:space="preserve">complications. We identified trials using EMBASE, </w:t>
      </w:r>
      <w:r w:rsidR="00D5664A">
        <w:rPr>
          <w:kern w:val="0"/>
        </w:rPr>
        <w:t>MEDLINE</w:t>
      </w:r>
      <w:r>
        <w:rPr>
          <w:kern w:val="0"/>
        </w:rPr>
        <w:t>, CINAHL,</w:t>
      </w:r>
      <w:r w:rsidR="003A1917">
        <w:rPr>
          <w:kern w:val="0"/>
        </w:rPr>
        <w:t xml:space="preserve"> the </w:t>
      </w:r>
      <w:r>
        <w:rPr>
          <w:kern w:val="0"/>
        </w:rPr>
        <w:t xml:space="preserve">Cochrane Library, </w:t>
      </w:r>
      <w:r w:rsidR="00D5664A">
        <w:rPr>
          <w:kern w:val="0"/>
        </w:rPr>
        <w:t>Web</w:t>
      </w:r>
      <w:r w:rsidR="00427468">
        <w:rPr>
          <w:kern w:val="0"/>
        </w:rPr>
        <w:t xml:space="preserve"> of </w:t>
      </w:r>
      <w:r w:rsidR="00D5664A">
        <w:rPr>
          <w:kern w:val="0"/>
        </w:rPr>
        <w:t>Science</w:t>
      </w:r>
      <w:r>
        <w:rPr>
          <w:kern w:val="0"/>
        </w:rPr>
        <w:t>, author contacts and, hand searching. We included 5 trials enrolling a total</w:t>
      </w:r>
      <w:r w:rsidR="00427468">
        <w:rPr>
          <w:kern w:val="0"/>
        </w:rPr>
        <w:t xml:space="preserve"> of </w:t>
      </w:r>
      <w:r>
        <w:rPr>
          <w:kern w:val="0"/>
        </w:rPr>
        <w:t>1559 patients. No individual study showed any statistical difference in outcomes between</w:t>
      </w:r>
      <w:r w:rsidR="003A1917">
        <w:rPr>
          <w:kern w:val="0"/>
        </w:rPr>
        <w:t xml:space="preserve"> the </w:t>
      </w:r>
      <w:r>
        <w:rPr>
          <w:kern w:val="0"/>
        </w:rPr>
        <w:t>TI</w:t>
      </w:r>
      <w:r w:rsidR="005853A9">
        <w:rPr>
          <w:kern w:val="0"/>
        </w:rPr>
        <w:t xml:space="preserve"> and </w:t>
      </w:r>
      <w:r>
        <w:rPr>
          <w:kern w:val="0"/>
        </w:rPr>
        <w:t>AAT groups. Because</w:t>
      </w:r>
      <w:r w:rsidR="00427468">
        <w:rPr>
          <w:kern w:val="0"/>
        </w:rPr>
        <w:t xml:space="preserve"> of </w:t>
      </w:r>
      <w:r>
        <w:rPr>
          <w:kern w:val="0"/>
        </w:rPr>
        <w:t>study heterogeneity, we did not pool</w:t>
      </w:r>
      <w:r w:rsidR="003A1917">
        <w:rPr>
          <w:kern w:val="0"/>
        </w:rPr>
        <w:t xml:space="preserve"> the </w:t>
      </w:r>
      <w:r>
        <w:rPr>
          <w:kern w:val="0"/>
        </w:rPr>
        <w:t>data. This is</w:t>
      </w:r>
      <w:r w:rsidR="003A1917">
        <w:rPr>
          <w:kern w:val="0"/>
        </w:rPr>
        <w:t xml:space="preserve"> the </w:t>
      </w:r>
      <w:r>
        <w:rPr>
          <w:kern w:val="0"/>
        </w:rPr>
        <w:t>most comprehensive review to date on paramedic trials. Owing to</w:t>
      </w:r>
      <w:r w:rsidR="003A1917">
        <w:rPr>
          <w:kern w:val="0"/>
        </w:rPr>
        <w:t xml:space="preserve"> the </w:t>
      </w:r>
      <w:r>
        <w:rPr>
          <w:kern w:val="0"/>
        </w:rPr>
        <w:t>heterogeneity</w:t>
      </w:r>
      <w:r w:rsidR="00427468">
        <w:rPr>
          <w:kern w:val="0"/>
        </w:rPr>
        <w:t xml:space="preserve"> of </w:t>
      </w:r>
      <w:r>
        <w:rPr>
          <w:kern w:val="0"/>
        </w:rPr>
        <w:t>prehospital systems, administrators</w:t>
      </w:r>
      <w:r w:rsidR="00427468">
        <w:rPr>
          <w:kern w:val="0"/>
        </w:rPr>
        <w:t xml:space="preserve"> of </w:t>
      </w:r>
      <w:r>
        <w:rPr>
          <w:kern w:val="0"/>
        </w:rPr>
        <w:t>each system must individually consider their airway management protocols.</w:t>
      </w:r>
    </w:p>
    <w:p w:rsidR="00364D49" w:rsidRDefault="00364D49" w:rsidP="00364D49">
      <w:pPr>
        <w:pStyle w:val="a3"/>
        <w:rPr>
          <w:kern w:val="0"/>
        </w:rPr>
      </w:pPr>
      <w:r>
        <w:rPr>
          <w:kern w:val="0"/>
        </w:rPr>
        <w:t xml:space="preserve">Keywords: Airway, Author, Bag-Mask Ventilation, Cardiopulmonary Arrest, Clinical Trials, Cochrane, Controlled Clinical Trials, EMBASE, Endotracheal Intubation, Extraglottic, Field, Life-Support, Management, </w:t>
      </w:r>
      <w:r w:rsidR="00D5664A">
        <w:rPr>
          <w:kern w:val="0"/>
        </w:rPr>
        <w:t>MEDLINE</w:t>
      </w:r>
      <w:r>
        <w:rPr>
          <w:kern w:val="0"/>
        </w:rPr>
        <w:t xml:space="preserve">, Morbidity, Outcome, Outcomes, Paramedic, Prehospital, Review, Science, Severe Head-Injury, Statistical, Success, Supraglottic, Survival, Systematic, Systematic Review, Tracheal Intubation, Traumatic Brain-Injury, Tube, </w:t>
      </w:r>
      <w:r w:rsidR="00D5664A">
        <w:rPr>
          <w:kern w:val="0"/>
        </w:rPr>
        <w:t>Web</w:t>
      </w:r>
      <w:r w:rsidR="00427468">
        <w:rPr>
          <w:kern w:val="0"/>
        </w:rPr>
        <w:t xml:space="preserve"> of </w:t>
      </w:r>
      <w:r w:rsidR="00D5664A">
        <w:rPr>
          <w:kern w:val="0"/>
        </w:rPr>
        <w:t>Science</w:t>
      </w:r>
    </w:p>
    <w:p w:rsidR="00364D49" w:rsidRDefault="00364D49" w:rsidP="00364D49">
      <w:pPr>
        <w:pStyle w:val="a3"/>
        <w:rPr>
          <w:kern w:val="0"/>
        </w:rPr>
      </w:pPr>
      <w:r>
        <w:rPr>
          <w:rFonts w:hint="eastAsia"/>
          <w:kern w:val="0"/>
        </w:rPr>
        <w:t xml:space="preserve">? </w:t>
      </w:r>
      <w:r>
        <w:rPr>
          <w:kern w:val="0"/>
        </w:rPr>
        <w:t xml:space="preserve">Fox, J.L., Vu, E.N., Doyle-Waters, M., Brubacher, J.R., </w:t>
      </w:r>
      <w:r>
        <w:rPr>
          <w:rFonts w:hint="eastAsia"/>
          <w:kern w:val="0"/>
        </w:rPr>
        <w:t>A</w:t>
      </w:r>
      <w:r>
        <w:rPr>
          <w:kern w:val="0"/>
        </w:rPr>
        <w:t>bu-Laban, R.</w:t>
      </w:r>
      <w:r w:rsidR="005853A9">
        <w:rPr>
          <w:kern w:val="0"/>
        </w:rPr>
        <w:t xml:space="preserve"> and </w:t>
      </w:r>
      <w:r>
        <w:rPr>
          <w:kern w:val="0"/>
        </w:rPr>
        <w:t xml:space="preserve">Hu, Z.X. (2010), Prophylactic hypothermia for traumatic brain injury: A quantitative systematic review. </w:t>
      </w:r>
      <w:r>
        <w:rPr>
          <w:i/>
          <w:iCs/>
          <w:kern w:val="0"/>
        </w:rPr>
        <w:t>Canadian Journal</w:t>
      </w:r>
      <w:r w:rsidR="00427468">
        <w:rPr>
          <w:i/>
          <w:iCs/>
          <w:kern w:val="0"/>
        </w:rPr>
        <w:t xml:space="preserve"> of </w:t>
      </w:r>
      <w:r>
        <w:rPr>
          <w:i/>
          <w:iCs/>
          <w:kern w:val="0"/>
        </w:rPr>
        <w:t>Emergency Medicine</w:t>
      </w:r>
      <w:r>
        <w:rPr>
          <w:kern w:val="0"/>
        </w:rPr>
        <w:t xml:space="preserve">, </w:t>
      </w:r>
      <w:r>
        <w:rPr>
          <w:b/>
          <w:bCs/>
          <w:kern w:val="0"/>
        </w:rPr>
        <w:t>12</w:t>
      </w:r>
      <w:r>
        <w:rPr>
          <w:kern w:val="0"/>
        </w:rPr>
        <w:t xml:space="preserve"> (4), 355-364.</w:t>
      </w:r>
    </w:p>
    <w:p w:rsidR="00500DA4" w:rsidRDefault="00500DA4" w:rsidP="00500DA4">
      <w:pPr>
        <w:pStyle w:val="a3"/>
        <w:rPr>
          <w:kern w:val="0"/>
        </w:rPr>
      </w:pPr>
      <w:r>
        <w:rPr>
          <w:rFonts w:hint="eastAsia"/>
          <w:kern w:val="0"/>
        </w:rPr>
        <w:t xml:space="preserve">Full Text: </w:t>
      </w:r>
      <w:hyperlink r:id="rId51" w:history="1">
        <w:r w:rsidRPr="00522FD0">
          <w:rPr>
            <w:rStyle w:val="a5"/>
            <w:kern w:val="0"/>
          </w:rPr>
          <w:t>2010\Can J Eme Med12, 355.pdf</w:t>
        </w:r>
      </w:hyperlink>
    </w:p>
    <w:p w:rsidR="00364D49" w:rsidRDefault="00364D49" w:rsidP="00364D49">
      <w:pPr>
        <w:pStyle w:val="a3"/>
        <w:rPr>
          <w:kern w:val="0"/>
        </w:rPr>
      </w:pPr>
      <w:r>
        <w:rPr>
          <w:kern w:val="0"/>
        </w:rPr>
        <w:t>Abstract: Introduction: During</w:t>
      </w:r>
      <w:r w:rsidR="003A1917">
        <w:rPr>
          <w:kern w:val="0"/>
        </w:rPr>
        <w:t xml:space="preserve"> the </w:t>
      </w:r>
      <w:r>
        <w:rPr>
          <w:kern w:val="0"/>
        </w:rPr>
        <w:t xml:space="preserve">past 7 years, considerable new evidence has </w:t>
      </w:r>
      <w:r>
        <w:rPr>
          <w:kern w:val="0"/>
        </w:rPr>
        <w:lastRenderedPageBreak/>
        <w:t>accumulated supporting</w:t>
      </w:r>
      <w:r w:rsidR="003A1917">
        <w:rPr>
          <w:kern w:val="0"/>
        </w:rPr>
        <w:t xml:space="preserve"> the </w:t>
      </w:r>
      <w:r>
        <w:rPr>
          <w:kern w:val="0"/>
        </w:rPr>
        <w:t>use</w:t>
      </w:r>
      <w:r w:rsidR="00427468">
        <w:rPr>
          <w:kern w:val="0"/>
        </w:rPr>
        <w:t xml:space="preserve"> of </w:t>
      </w:r>
      <w:r>
        <w:rPr>
          <w:kern w:val="0"/>
        </w:rPr>
        <w:t>prophylactic hypothermia for traumatic brain injury (TBI). Studies can be divided into 2 broad categories: studies with protocols for cooling for a short, predetermined period (e.g., 24-48 h),</w:t>
      </w:r>
      <w:r w:rsidR="005853A9">
        <w:rPr>
          <w:kern w:val="0"/>
        </w:rPr>
        <w:t xml:space="preserve"> and </w:t>
      </w:r>
      <w:r>
        <w:rPr>
          <w:kern w:val="0"/>
        </w:rPr>
        <w:t>those that cool for longer periods and/or terminate based on</w:t>
      </w:r>
      <w:r w:rsidR="003A1917">
        <w:rPr>
          <w:kern w:val="0"/>
        </w:rPr>
        <w:t xml:space="preserve"> the </w:t>
      </w:r>
      <w:r>
        <w:rPr>
          <w:kern w:val="0"/>
        </w:rPr>
        <w:t>normalization</w:t>
      </w:r>
      <w:r w:rsidR="00427468">
        <w:rPr>
          <w:kern w:val="0"/>
        </w:rPr>
        <w:t xml:space="preserve"> of </w:t>
      </w:r>
      <w:r>
        <w:rPr>
          <w:kern w:val="0"/>
        </w:rPr>
        <w:t>intracranial pressure (ICP)</w:t>
      </w:r>
      <w:r w:rsidR="00A37C1D">
        <w:rPr>
          <w:kern w:val="0"/>
        </w:rPr>
        <w:t>. The</w:t>
      </w:r>
      <w:r>
        <w:rPr>
          <w:kern w:val="0"/>
        </w:rPr>
        <w:t>re have been no systematic reviews</w:t>
      </w:r>
      <w:r w:rsidR="00427468">
        <w:rPr>
          <w:kern w:val="0"/>
        </w:rPr>
        <w:t xml:space="preserve"> of </w:t>
      </w:r>
      <w:r>
        <w:rPr>
          <w:kern w:val="0"/>
        </w:rPr>
        <w:t>hypothermia for TBI that include this recent new evidence. Methods: This analysis followed</w:t>
      </w:r>
      <w:r w:rsidR="003A1917">
        <w:rPr>
          <w:kern w:val="0"/>
        </w:rPr>
        <w:t xml:space="preserve"> the </w:t>
      </w:r>
      <w:r>
        <w:rPr>
          <w:kern w:val="0"/>
        </w:rPr>
        <w:t>recommendations</w:t>
      </w:r>
      <w:r w:rsidR="00427468">
        <w:rPr>
          <w:kern w:val="0"/>
        </w:rPr>
        <w:t xml:space="preserve"> of </w:t>
      </w:r>
      <w:r w:rsidR="003A1917">
        <w:rPr>
          <w:kern w:val="0"/>
        </w:rPr>
        <w:t xml:space="preserve">the </w:t>
      </w:r>
      <w:r>
        <w:rPr>
          <w:kern w:val="0"/>
        </w:rPr>
        <w:t>Cochrane Handbook for Systematic Reviews</w:t>
      </w:r>
      <w:r w:rsidR="00427468">
        <w:rPr>
          <w:kern w:val="0"/>
        </w:rPr>
        <w:t xml:space="preserve"> of </w:t>
      </w:r>
      <w:r>
        <w:rPr>
          <w:kern w:val="0"/>
        </w:rPr>
        <w:t>Interventions</w:t>
      </w:r>
      <w:r w:rsidR="005853A9">
        <w:rPr>
          <w:kern w:val="0"/>
        </w:rPr>
        <w:t xml:space="preserve"> and </w:t>
      </w:r>
      <w:r w:rsidR="003A1917">
        <w:rPr>
          <w:kern w:val="0"/>
        </w:rPr>
        <w:t xml:space="preserve">the </w:t>
      </w:r>
      <w:r>
        <w:rPr>
          <w:kern w:val="0"/>
        </w:rPr>
        <w:t>QUOROM (quality</w:t>
      </w:r>
      <w:r w:rsidR="00427468">
        <w:rPr>
          <w:kern w:val="0"/>
        </w:rPr>
        <w:t xml:space="preserve"> of </w:t>
      </w:r>
      <w:r>
        <w:rPr>
          <w:kern w:val="0"/>
        </w:rPr>
        <w:t>reporting</w:t>
      </w:r>
      <w:r w:rsidR="00427468">
        <w:rPr>
          <w:kern w:val="0"/>
        </w:rPr>
        <w:t xml:space="preserve"> of </w:t>
      </w:r>
      <w:r>
        <w:rPr>
          <w:kern w:val="0"/>
        </w:rPr>
        <w:t xml:space="preserve">meta-analyses) statement. We developed a comprehensive search strategy to identify all randomized controlled trials (RCTs) comparing therapeutic hypothermia with standard management in TBI patients. We searched EMBASE,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Central Register</w:t>
      </w:r>
      <w:r w:rsidR="00427468">
        <w:rPr>
          <w:kern w:val="0"/>
        </w:rPr>
        <w:t xml:space="preserve"> of </w:t>
      </w:r>
      <w:r>
        <w:rPr>
          <w:kern w:val="0"/>
        </w:rPr>
        <w:t>Controlled Trials,</w:t>
      </w:r>
      <w:r w:rsidR="003A1917">
        <w:rPr>
          <w:kern w:val="0"/>
        </w:rPr>
        <w:t xml:space="preserve"> the </w:t>
      </w:r>
      <w:r>
        <w:rPr>
          <w:kern w:val="0"/>
        </w:rPr>
        <w:t>Cochrane Database</w:t>
      </w:r>
      <w:r w:rsidR="00427468">
        <w:rPr>
          <w:kern w:val="0"/>
        </w:rPr>
        <w:t xml:space="preserve"> of </w:t>
      </w:r>
      <w:r>
        <w:rPr>
          <w:kern w:val="0"/>
        </w:rPr>
        <w:t>Systematic Reviews, Proceedings First</w:t>
      </w:r>
      <w:r w:rsidR="005853A9">
        <w:rPr>
          <w:kern w:val="0"/>
        </w:rPr>
        <w:t xml:space="preserve"> and </w:t>
      </w:r>
      <w:r>
        <w:rPr>
          <w:kern w:val="0"/>
        </w:rPr>
        <w:t>Papers First. Additional relevant articles were identified by hand-searching conference proceedings</w:t>
      </w:r>
      <w:r w:rsidR="005853A9">
        <w:rPr>
          <w:kern w:val="0"/>
        </w:rPr>
        <w:t xml:space="preserve"> and </w:t>
      </w:r>
      <w:r>
        <w:rPr>
          <w:kern w:val="0"/>
        </w:rPr>
        <w:t>bibliographies. All stages</w:t>
      </w:r>
      <w:r w:rsidR="00427468">
        <w:rPr>
          <w:kern w:val="0"/>
        </w:rPr>
        <w:t xml:space="preserve"> of </w:t>
      </w:r>
      <w:r>
        <w:rPr>
          <w:kern w:val="0"/>
        </w:rPr>
        <w:t>study identification</w:t>
      </w:r>
      <w:r w:rsidR="005853A9">
        <w:rPr>
          <w:kern w:val="0"/>
        </w:rPr>
        <w:t xml:space="preserve"> and </w:t>
      </w:r>
      <w:r>
        <w:rPr>
          <w:kern w:val="0"/>
        </w:rPr>
        <w:t>selection, quality assessment</w:t>
      </w:r>
      <w:r w:rsidR="005853A9">
        <w:rPr>
          <w:kern w:val="0"/>
        </w:rPr>
        <w:t xml:space="preserve"> and </w:t>
      </w:r>
      <w:r>
        <w:rPr>
          <w:kern w:val="0"/>
        </w:rPr>
        <w:t>analysis were conducted according to prospectively defined criteria. Study quality was determined by assessment</w:t>
      </w:r>
      <w:r w:rsidR="00427468">
        <w:rPr>
          <w:kern w:val="0"/>
        </w:rPr>
        <w:t xml:space="preserve"> of </w:t>
      </w:r>
      <w:r>
        <w:rPr>
          <w:kern w:val="0"/>
        </w:rPr>
        <w:t>each study for</w:t>
      </w:r>
      <w:r w:rsidR="003A1917">
        <w:rPr>
          <w:kern w:val="0"/>
        </w:rPr>
        <w:t xml:space="preserve"> the </w:t>
      </w:r>
      <w:r>
        <w:rPr>
          <w:kern w:val="0"/>
        </w:rPr>
        <w:t>use</w:t>
      </w:r>
      <w:r w:rsidR="00427468">
        <w:rPr>
          <w:kern w:val="0"/>
        </w:rPr>
        <w:t xml:space="preserve"> of </w:t>
      </w:r>
      <w:r>
        <w:rPr>
          <w:kern w:val="0"/>
        </w:rPr>
        <w:t>allocation concealment</w:t>
      </w:r>
      <w:r w:rsidR="005853A9">
        <w:rPr>
          <w:kern w:val="0"/>
        </w:rPr>
        <w:t xml:space="preserve"> and </w:t>
      </w:r>
      <w:r>
        <w:rPr>
          <w:kern w:val="0"/>
        </w:rPr>
        <w:t>outcome assessment blinding. Studies were divided into 2 a priori defined subgroups for analysis based on cooling strategy: short term 48 h),</w:t>
      </w:r>
      <w:r w:rsidR="005853A9">
        <w:rPr>
          <w:kern w:val="0"/>
        </w:rPr>
        <w:t xml:space="preserve"> and </w:t>
      </w:r>
      <w:r>
        <w:rPr>
          <w:kern w:val="0"/>
        </w:rPr>
        <w:t>long term or goal-directed (&gt; 48 h and/or continued until normalization</w:t>
      </w:r>
      <w:r w:rsidR="00427468">
        <w:rPr>
          <w:kern w:val="0"/>
        </w:rPr>
        <w:t xml:space="preserve"> of </w:t>
      </w:r>
      <w:r>
        <w:rPr>
          <w:kern w:val="0"/>
        </w:rPr>
        <w:t>ICP). Outcomes included mortality</w:t>
      </w:r>
      <w:r w:rsidR="005853A9">
        <w:rPr>
          <w:kern w:val="0"/>
        </w:rPr>
        <w:t xml:space="preserve"> and </w:t>
      </w:r>
      <w:r>
        <w:rPr>
          <w:kern w:val="0"/>
        </w:rPr>
        <w:t>good neurologic outcome (defined as Glasgow Outcome Scale score</w:t>
      </w:r>
      <w:r w:rsidR="00427468">
        <w:rPr>
          <w:kern w:val="0"/>
        </w:rPr>
        <w:t xml:space="preserve"> of </w:t>
      </w:r>
      <w:r>
        <w:rPr>
          <w:kern w:val="0"/>
        </w:rPr>
        <w:t>4 or 5). Pooling</w:t>
      </w:r>
      <w:r w:rsidR="00427468">
        <w:rPr>
          <w:kern w:val="0"/>
        </w:rPr>
        <w:t xml:space="preserve"> of </w:t>
      </w:r>
      <w:r>
        <w:rPr>
          <w:kern w:val="0"/>
        </w:rPr>
        <w:t>primary outcomes was completed using relative risk (RR)</w:t>
      </w:r>
      <w:r w:rsidR="005853A9">
        <w:rPr>
          <w:kern w:val="0"/>
        </w:rPr>
        <w:t xml:space="preserve"> and </w:t>
      </w:r>
      <w:r>
        <w:rPr>
          <w:kern w:val="0"/>
        </w:rPr>
        <w:t>reported with 95% confidence intervals (CIs). Results:</w:t>
      </w:r>
      <w:r w:rsidR="00427468">
        <w:rPr>
          <w:kern w:val="0"/>
        </w:rPr>
        <w:t xml:space="preserve"> of </w:t>
      </w:r>
      <w:r>
        <w:rPr>
          <w:kern w:val="0"/>
        </w:rPr>
        <w:t>1709 articles, 12 studies with 1327 participants were selected for quantitative analysis. Eight</w:t>
      </w:r>
      <w:r w:rsidR="00427468">
        <w:rPr>
          <w:kern w:val="0"/>
        </w:rPr>
        <w:t xml:space="preserve"> of </w:t>
      </w:r>
      <w:r>
        <w:rPr>
          <w:kern w:val="0"/>
        </w:rPr>
        <w:t>these studies cooled according to a long-term or goal-directed strategy,</w:t>
      </w:r>
      <w:r w:rsidR="005853A9">
        <w:rPr>
          <w:kern w:val="0"/>
        </w:rPr>
        <w:t xml:space="preserve"> and </w:t>
      </w:r>
      <w:r>
        <w:rPr>
          <w:kern w:val="0"/>
        </w:rPr>
        <w:t>4 used a short-term strategy. Summary results demonstrated lower mortality (RR 0.73, 95% Cl 0.62-0.85)</w:t>
      </w:r>
      <w:r w:rsidR="005853A9">
        <w:rPr>
          <w:kern w:val="0"/>
        </w:rPr>
        <w:t xml:space="preserve"> and </w:t>
      </w:r>
      <w:r>
        <w:rPr>
          <w:kern w:val="0"/>
        </w:rPr>
        <w:t>more common good neurologic outcome (RR 1.52, 95% Cl 1.28 1.80). When only short-term cooling studies were analyzed, neither mortality (RR 0.98, 95% Cl 0.75-1.30) nor neurologic outcome (RR 1.31, 95% Cl 0.94-1.83) were improved. In 8 studies</w:t>
      </w:r>
      <w:r w:rsidR="00427468">
        <w:rPr>
          <w:kern w:val="0"/>
        </w:rPr>
        <w:t xml:space="preserve"> of </w:t>
      </w:r>
      <w:r>
        <w:rPr>
          <w:kern w:val="0"/>
        </w:rPr>
        <w:t>long-term or goal-directed cooling, mortality was reduced (RR 0.62, 95% Cl 0.51-0.76)</w:t>
      </w:r>
      <w:r w:rsidR="005853A9">
        <w:rPr>
          <w:kern w:val="0"/>
        </w:rPr>
        <w:t xml:space="preserve"> and </w:t>
      </w:r>
      <w:r>
        <w:rPr>
          <w:kern w:val="0"/>
        </w:rPr>
        <w:t>good neurologic outcome was more common (RR 1.68, 95% Cl 1.44-1.96). Conclusion:</w:t>
      </w:r>
      <w:r w:rsidR="003A1917">
        <w:rPr>
          <w:kern w:val="0"/>
        </w:rPr>
        <w:t xml:space="preserve"> the </w:t>
      </w:r>
      <w:r>
        <w:rPr>
          <w:kern w:val="0"/>
        </w:rPr>
        <w:t>best available evidence to date supports</w:t>
      </w:r>
      <w:r w:rsidR="003A1917">
        <w:rPr>
          <w:kern w:val="0"/>
        </w:rPr>
        <w:t xml:space="preserve"> the </w:t>
      </w:r>
      <w:r>
        <w:rPr>
          <w:kern w:val="0"/>
        </w:rPr>
        <w:t>use</w:t>
      </w:r>
      <w:r w:rsidR="00427468">
        <w:rPr>
          <w:kern w:val="0"/>
        </w:rPr>
        <w:t xml:space="preserve"> of </w:t>
      </w:r>
      <w:r>
        <w:rPr>
          <w:kern w:val="0"/>
        </w:rPr>
        <w:t>early prophylactic mild-to-moderate hypothermia in patients with severe TBI (Glasgow Coma Scale score 8) to decrease mortality</w:t>
      </w:r>
      <w:r w:rsidR="005853A9">
        <w:rPr>
          <w:kern w:val="0"/>
        </w:rPr>
        <w:t xml:space="preserve"> and </w:t>
      </w:r>
      <w:r>
        <w:rPr>
          <w:kern w:val="0"/>
        </w:rPr>
        <w:t>improve rates</w:t>
      </w:r>
      <w:r w:rsidR="00427468">
        <w:rPr>
          <w:kern w:val="0"/>
        </w:rPr>
        <w:t xml:space="preserve"> of </w:t>
      </w:r>
      <w:r>
        <w:rPr>
          <w:kern w:val="0"/>
        </w:rPr>
        <w:t>good neurologic recovery. This treatment should be commenced as soon as possible after injury (e.g., in</w:t>
      </w:r>
      <w:r w:rsidR="003A1917">
        <w:rPr>
          <w:kern w:val="0"/>
        </w:rPr>
        <w:t xml:space="preserve"> the </w:t>
      </w:r>
      <w:r>
        <w:rPr>
          <w:kern w:val="0"/>
        </w:rPr>
        <w:t>emergency department after computed tomography) regardless</w:t>
      </w:r>
      <w:r w:rsidR="00427468">
        <w:rPr>
          <w:kern w:val="0"/>
        </w:rPr>
        <w:t xml:space="preserve"> of </w:t>
      </w:r>
      <w:r>
        <w:rPr>
          <w:kern w:val="0"/>
        </w:rPr>
        <w:t>initial ICP, or before ICP is measured. Most studies report using a temperature</w:t>
      </w:r>
      <w:r w:rsidR="00427468">
        <w:rPr>
          <w:kern w:val="0"/>
        </w:rPr>
        <w:t xml:space="preserve"> of </w:t>
      </w:r>
      <w:r>
        <w:rPr>
          <w:kern w:val="0"/>
        </w:rPr>
        <w:t>32 34 C</w:t>
      </w:r>
      <w:r w:rsidR="00A37C1D">
        <w:rPr>
          <w:kern w:val="0"/>
        </w:rPr>
        <w:t>. The</w:t>
      </w:r>
      <w:r w:rsidR="003A1917">
        <w:rPr>
          <w:kern w:val="0"/>
        </w:rPr>
        <w:t xml:space="preserve"> </w:t>
      </w:r>
      <w:r>
        <w:rPr>
          <w:kern w:val="0"/>
        </w:rPr>
        <w:t>maximal benefit occurred with a long-term or goal-directed cooling protocol, in which cooling was continued for at least 72 hours and/or until stable normalization</w:t>
      </w:r>
      <w:r w:rsidR="00427468">
        <w:rPr>
          <w:kern w:val="0"/>
        </w:rPr>
        <w:t xml:space="preserve"> of </w:t>
      </w:r>
      <w:r>
        <w:rPr>
          <w:kern w:val="0"/>
        </w:rPr>
        <w:t xml:space="preserve">intracranial pressure for at least 24 hours was </w:t>
      </w:r>
      <w:r>
        <w:rPr>
          <w:kern w:val="0"/>
        </w:rPr>
        <w:lastRenderedPageBreak/>
        <w:t>achieved</w:t>
      </w:r>
      <w:r w:rsidR="00A37C1D">
        <w:rPr>
          <w:kern w:val="0"/>
        </w:rPr>
        <w:t>. The</w:t>
      </w:r>
      <w:r>
        <w:rPr>
          <w:kern w:val="0"/>
        </w:rPr>
        <w:t>re is large potential for further research on this therapy in prehospital</w:t>
      </w:r>
      <w:r w:rsidR="005853A9">
        <w:rPr>
          <w:kern w:val="0"/>
        </w:rPr>
        <w:t xml:space="preserve"> and </w:t>
      </w:r>
      <w:r>
        <w:rPr>
          <w:kern w:val="0"/>
        </w:rPr>
        <w:t>emergency department settings.</w:t>
      </w:r>
    </w:p>
    <w:p w:rsidR="00364D49" w:rsidRDefault="00364D49" w:rsidP="00364D49">
      <w:pPr>
        <w:pStyle w:val="a3"/>
        <w:rPr>
          <w:kern w:val="0"/>
        </w:rPr>
      </w:pPr>
      <w:r>
        <w:rPr>
          <w:kern w:val="0"/>
        </w:rPr>
        <w:t xml:space="preserve">Keywords: Analysis, Assessment, Brain, Brain Injuries, Cardiac-Arrest, Children, Cochrane, Confidence Intervals, Cooling, Emergency Department, Hypothermia, Induced, Injury, Intracranial-Pressure, Management, </w:t>
      </w:r>
      <w:r w:rsidR="00D5664A">
        <w:rPr>
          <w:kern w:val="0"/>
        </w:rPr>
        <w:t>MEDLINE</w:t>
      </w:r>
      <w:r>
        <w:rPr>
          <w:kern w:val="0"/>
        </w:rPr>
        <w:t xml:space="preserve">, Methods, Moderate Hypothermia, Mortality, Outcome, Outcomes, Phase-Ii, Prehospital, Pressure, Primary, Prophylactic Hypothermia, Protocol, Quantitative, Randomized Controlled Trials, Relative Risk, Research, Review, Risk, Scale, Science, Severe Head-Injury, Strategy, Systematic, Systematic Review, Systematic Reviews, TBI, Temperature, Term Mild Hypothermia, Therapeutic Hypothermia, Therapy, Traumatic Brain Injury, Treatment, </w:t>
      </w:r>
      <w:r w:rsidR="00D5664A">
        <w:rPr>
          <w:kern w:val="0"/>
        </w:rPr>
        <w:t>Web</w:t>
      </w:r>
      <w:r w:rsidR="00427468">
        <w:rPr>
          <w:kern w:val="0"/>
        </w:rPr>
        <w:t xml:space="preserve"> of </w:t>
      </w:r>
      <w:r w:rsidR="00D5664A">
        <w:rPr>
          <w:kern w:val="0"/>
        </w:rPr>
        <w:t>Science</w:t>
      </w:r>
    </w:p>
    <w:p w:rsidR="00E939F5" w:rsidRPr="001A3D2B" w:rsidRDefault="00E939F5" w:rsidP="00E939F5">
      <w:pPr>
        <w:pStyle w:val="1"/>
      </w:pPr>
      <w:r w:rsidRPr="001A3D2B">
        <w:br w:type="page"/>
      </w:r>
      <w:bookmarkStart w:id="24" w:name="_Toc420814877"/>
      <w:r w:rsidRPr="001A3D2B">
        <w:lastRenderedPageBreak/>
        <w:t xml:space="preserve">Title: </w:t>
      </w:r>
      <w:r w:rsidRPr="00E939F5">
        <w:t>Canadian Journal</w:t>
      </w:r>
      <w:r w:rsidR="00427468">
        <w:t xml:space="preserve"> of </w:t>
      </w:r>
      <w:r w:rsidRPr="00E939F5">
        <w:t>Forest Research-Revue Canadienne de Recherche Forestiere</w:t>
      </w:r>
      <w:bookmarkEnd w:id="24"/>
    </w:p>
    <w:p w:rsidR="00E939F5" w:rsidRPr="001A3D2B" w:rsidRDefault="00E939F5" w:rsidP="00E939F5">
      <w:pPr>
        <w:pStyle w:val="12"/>
      </w:pPr>
      <w:r w:rsidRPr="001A3D2B">
        <w:t xml:space="preserve">Full Journal Title: </w:t>
      </w:r>
      <w:r w:rsidRPr="00E939F5">
        <w:rPr>
          <w:iCs/>
          <w:kern w:val="0"/>
        </w:rPr>
        <w:t>Canadian Journal</w:t>
      </w:r>
      <w:r w:rsidR="00427468">
        <w:rPr>
          <w:iCs/>
          <w:kern w:val="0"/>
        </w:rPr>
        <w:t xml:space="preserve"> of </w:t>
      </w:r>
      <w:r w:rsidRPr="00E939F5">
        <w:rPr>
          <w:iCs/>
          <w:kern w:val="0"/>
        </w:rPr>
        <w:t>Forest Research-Revue Canadienne de Recherche Forestiere</w:t>
      </w:r>
    </w:p>
    <w:p w:rsidR="00E939F5" w:rsidRPr="001A3D2B" w:rsidRDefault="00E939F5" w:rsidP="00E939F5">
      <w:pPr>
        <w:pStyle w:val="12"/>
      </w:pPr>
      <w:r w:rsidRPr="001A3D2B">
        <w:t xml:space="preserve">ISO Abbreviated Title: </w:t>
      </w:r>
    </w:p>
    <w:p w:rsidR="00E939F5" w:rsidRPr="001A3D2B" w:rsidRDefault="00E939F5" w:rsidP="00E939F5">
      <w:pPr>
        <w:pStyle w:val="12"/>
      </w:pPr>
      <w:r w:rsidRPr="001A3D2B">
        <w:t xml:space="preserve">JCR Abbreviated Title: </w:t>
      </w:r>
    </w:p>
    <w:p w:rsidR="00E939F5" w:rsidRPr="001A3D2B" w:rsidRDefault="00E939F5" w:rsidP="00E939F5">
      <w:pPr>
        <w:pStyle w:val="12"/>
      </w:pPr>
      <w:r w:rsidRPr="001A3D2B">
        <w:t xml:space="preserve">ISSN: </w:t>
      </w:r>
    </w:p>
    <w:p w:rsidR="00E939F5" w:rsidRPr="001A3D2B" w:rsidRDefault="00E939F5" w:rsidP="00E939F5">
      <w:pPr>
        <w:pStyle w:val="12"/>
      </w:pPr>
      <w:r w:rsidRPr="001A3D2B">
        <w:t xml:space="preserve">ISBN: </w:t>
      </w:r>
    </w:p>
    <w:p w:rsidR="00E939F5" w:rsidRPr="001A3D2B" w:rsidRDefault="00E939F5" w:rsidP="00E939F5">
      <w:pPr>
        <w:pStyle w:val="12"/>
      </w:pPr>
      <w:r w:rsidRPr="001A3D2B">
        <w:t xml:space="preserve">Issues/Year: </w:t>
      </w:r>
    </w:p>
    <w:p w:rsidR="00E939F5" w:rsidRPr="001A3D2B" w:rsidRDefault="00E939F5" w:rsidP="00E939F5">
      <w:pPr>
        <w:pStyle w:val="12"/>
      </w:pPr>
      <w:r w:rsidRPr="001A3D2B">
        <w:t xml:space="preserve">Journal Country/Territory: </w:t>
      </w:r>
    </w:p>
    <w:p w:rsidR="00E939F5" w:rsidRPr="001A3D2B" w:rsidRDefault="00E939F5" w:rsidP="00E939F5">
      <w:pPr>
        <w:pStyle w:val="12"/>
      </w:pPr>
      <w:r w:rsidRPr="001A3D2B">
        <w:t xml:space="preserve">Language: </w:t>
      </w:r>
    </w:p>
    <w:p w:rsidR="00E939F5" w:rsidRPr="001A3D2B" w:rsidRDefault="00E939F5" w:rsidP="00E939F5">
      <w:pPr>
        <w:pStyle w:val="12"/>
      </w:pPr>
      <w:r w:rsidRPr="001A3D2B">
        <w:t xml:space="preserve">Publisher: </w:t>
      </w:r>
    </w:p>
    <w:p w:rsidR="00E939F5" w:rsidRPr="001A3D2B" w:rsidRDefault="00E939F5" w:rsidP="00E939F5">
      <w:pPr>
        <w:pStyle w:val="12"/>
      </w:pPr>
      <w:r w:rsidRPr="001A3D2B">
        <w:t xml:space="preserve">Publisher Address: </w:t>
      </w:r>
    </w:p>
    <w:p w:rsidR="00E939F5" w:rsidRPr="001A3D2B" w:rsidRDefault="00E939F5" w:rsidP="00E939F5">
      <w:pPr>
        <w:pStyle w:val="12"/>
      </w:pPr>
      <w:r w:rsidRPr="001A3D2B">
        <w:t xml:space="preserve">Subject Categories: </w:t>
      </w:r>
    </w:p>
    <w:p w:rsidR="00E939F5" w:rsidRPr="001A3D2B" w:rsidRDefault="00E939F5" w:rsidP="00E939F5">
      <w:pPr>
        <w:pStyle w:val="12"/>
      </w:pPr>
      <w:r w:rsidRPr="001A3D2B">
        <w:t>: Impact Factor</w:t>
      </w:r>
    </w:p>
    <w:p w:rsidR="00E939F5" w:rsidRDefault="00E939F5" w:rsidP="00E939F5">
      <w:pPr>
        <w:pStyle w:val="a3"/>
        <w:rPr>
          <w:kern w:val="0"/>
        </w:rPr>
      </w:pPr>
      <w:r>
        <w:rPr>
          <w:rFonts w:hint="eastAsia"/>
          <w:kern w:val="0"/>
        </w:rPr>
        <w:t xml:space="preserve">? </w:t>
      </w:r>
      <w:r>
        <w:rPr>
          <w:kern w:val="0"/>
        </w:rPr>
        <w:t>Klenk, N.L., Dabros, A.</w:t>
      </w:r>
      <w:r w:rsidR="005853A9">
        <w:rPr>
          <w:kern w:val="0"/>
        </w:rPr>
        <w:t xml:space="preserve"> and </w:t>
      </w:r>
      <w:r>
        <w:rPr>
          <w:kern w:val="0"/>
        </w:rPr>
        <w:t>Hickey, G.M. (2010), Quantifying</w:t>
      </w:r>
      <w:r w:rsidR="003A1917">
        <w:rPr>
          <w:kern w:val="0"/>
        </w:rPr>
        <w:t xml:space="preserve"> the </w:t>
      </w:r>
      <w:r>
        <w:rPr>
          <w:kern w:val="0"/>
        </w:rPr>
        <w:t>research impact</w:t>
      </w:r>
      <w:r w:rsidR="00427468">
        <w:rPr>
          <w:kern w:val="0"/>
        </w:rPr>
        <w:t xml:space="preserve"> of </w:t>
      </w:r>
      <w:r w:rsidR="003A1917">
        <w:rPr>
          <w:kern w:val="0"/>
        </w:rPr>
        <w:t xml:space="preserve">the </w:t>
      </w:r>
      <w:r>
        <w:rPr>
          <w:kern w:val="0"/>
        </w:rPr>
        <w:t>Sustainable Forest Management Network in</w:t>
      </w:r>
      <w:r w:rsidR="003A1917">
        <w:rPr>
          <w:kern w:val="0"/>
        </w:rPr>
        <w:t xml:space="preserve"> the </w:t>
      </w:r>
      <w:r>
        <w:rPr>
          <w:kern w:val="0"/>
        </w:rPr>
        <w:t xml:space="preserve">social sciences: A bibliometric study. </w:t>
      </w:r>
      <w:r w:rsidRPr="00E939F5">
        <w:rPr>
          <w:i/>
          <w:iCs/>
          <w:kern w:val="0"/>
        </w:rPr>
        <w:t>Canadian Journal</w:t>
      </w:r>
      <w:r w:rsidR="00427468">
        <w:rPr>
          <w:i/>
          <w:iCs/>
          <w:kern w:val="0"/>
        </w:rPr>
        <w:t xml:space="preserve"> of </w:t>
      </w:r>
      <w:r w:rsidRPr="00E939F5">
        <w:rPr>
          <w:i/>
          <w:iCs/>
          <w:kern w:val="0"/>
        </w:rPr>
        <w:t>Forest Research-Revue Canadienne de Recherche Forestiere</w:t>
      </w:r>
      <w:r>
        <w:rPr>
          <w:kern w:val="0"/>
        </w:rPr>
        <w:t xml:space="preserve">, </w:t>
      </w:r>
      <w:r>
        <w:rPr>
          <w:b/>
          <w:bCs/>
          <w:kern w:val="0"/>
        </w:rPr>
        <w:t>40</w:t>
      </w:r>
      <w:r>
        <w:rPr>
          <w:kern w:val="0"/>
        </w:rPr>
        <w:t xml:space="preserve"> (11), 2248-2255.</w:t>
      </w:r>
    </w:p>
    <w:p w:rsidR="009F5208" w:rsidRDefault="009F5208" w:rsidP="009F5208">
      <w:pPr>
        <w:pStyle w:val="a3"/>
        <w:rPr>
          <w:kern w:val="0"/>
        </w:rPr>
      </w:pPr>
      <w:r>
        <w:rPr>
          <w:rFonts w:hint="eastAsia"/>
          <w:kern w:val="0"/>
        </w:rPr>
        <w:t xml:space="preserve">Full Text: </w:t>
      </w:r>
      <w:hyperlink r:id="rId52" w:history="1">
        <w:r w:rsidRPr="008963D3">
          <w:rPr>
            <w:rStyle w:val="a5"/>
            <w:kern w:val="0"/>
          </w:rPr>
          <w:t>2010\Can J For Res40, 2248.pdf</w:t>
        </w:r>
      </w:hyperlink>
    </w:p>
    <w:p w:rsidR="00E939F5" w:rsidRDefault="00E939F5" w:rsidP="00E939F5">
      <w:pPr>
        <w:pStyle w:val="a3"/>
        <w:rPr>
          <w:kern w:val="0"/>
        </w:rPr>
      </w:pPr>
      <w:r>
        <w:rPr>
          <w:kern w:val="0"/>
        </w:rPr>
        <w:t>Abstract: This research note presents</w:t>
      </w:r>
      <w:r w:rsidR="003A1917">
        <w:rPr>
          <w:kern w:val="0"/>
        </w:rPr>
        <w:t xml:space="preserve"> the </w:t>
      </w:r>
      <w:r>
        <w:rPr>
          <w:kern w:val="0"/>
        </w:rPr>
        <w:t>results</w:t>
      </w:r>
      <w:r w:rsidR="00427468">
        <w:rPr>
          <w:kern w:val="0"/>
        </w:rPr>
        <w:t xml:space="preserve"> of </w:t>
      </w:r>
      <w:r>
        <w:rPr>
          <w:kern w:val="0"/>
        </w:rPr>
        <w:t>a bibliometric analysis that was conducted to better understand</w:t>
      </w:r>
      <w:r w:rsidR="003A1917">
        <w:rPr>
          <w:kern w:val="0"/>
        </w:rPr>
        <w:t xml:space="preserve"> the </w:t>
      </w:r>
      <w:r>
        <w:rPr>
          <w:kern w:val="0"/>
        </w:rPr>
        <w:t>impact that Sustainable Forest Management Network (SFMN) funded research had in</w:t>
      </w:r>
      <w:r w:rsidR="003A1917">
        <w:rPr>
          <w:kern w:val="0"/>
        </w:rPr>
        <w:t xml:space="preserve"> the </w:t>
      </w:r>
      <w:r>
        <w:rPr>
          <w:kern w:val="0"/>
        </w:rPr>
        <w:t>forest-related social</w:t>
      </w:r>
      <w:r w:rsidR="005853A9">
        <w:rPr>
          <w:kern w:val="0"/>
        </w:rPr>
        <w:t xml:space="preserve"> and </w:t>
      </w:r>
      <w:r>
        <w:rPr>
          <w:kern w:val="0"/>
        </w:rPr>
        <w:t>Aboriginal research communities. We applied two indicators</w:t>
      </w:r>
      <w:r w:rsidR="00427468">
        <w:rPr>
          <w:kern w:val="0"/>
        </w:rPr>
        <w:t xml:space="preserve"> of </w:t>
      </w:r>
      <w:r>
        <w:rPr>
          <w:kern w:val="0"/>
        </w:rPr>
        <w:t>research impact: (i) research outputs</w:t>
      </w:r>
      <w:r w:rsidR="005853A9">
        <w:rPr>
          <w:kern w:val="0"/>
        </w:rPr>
        <w:t xml:space="preserve"> and </w:t>
      </w:r>
      <w:r>
        <w:rPr>
          <w:kern w:val="0"/>
        </w:rPr>
        <w:t>(ii) citations. Our results suggest that</w:t>
      </w:r>
      <w:r w:rsidR="003A1917">
        <w:rPr>
          <w:kern w:val="0"/>
        </w:rPr>
        <w:t xml:space="preserve"> the </w:t>
      </w:r>
      <w:r>
        <w:rPr>
          <w:kern w:val="0"/>
        </w:rPr>
        <w:t>SFMN</w:t>
      </w:r>
      <w:r w:rsidR="0071223E">
        <w:rPr>
          <w:kern w:val="0"/>
        </w:rPr>
        <w:t>’</w:t>
      </w:r>
      <w:r w:rsidR="00C13DDC">
        <w:rPr>
          <w:kern w:val="0"/>
        </w:rPr>
        <w:t>s</w:t>
      </w:r>
      <w:r>
        <w:rPr>
          <w:kern w:val="0"/>
        </w:rPr>
        <w:t xml:space="preserve"> research outputs were highest in</w:t>
      </w:r>
      <w:r w:rsidR="003A1917">
        <w:rPr>
          <w:kern w:val="0"/>
        </w:rPr>
        <w:t xml:space="preserve"> the </w:t>
      </w:r>
      <w:r>
        <w:rPr>
          <w:kern w:val="0"/>
        </w:rPr>
        <w:t>fields</w:t>
      </w:r>
      <w:r w:rsidR="00427468">
        <w:rPr>
          <w:kern w:val="0"/>
        </w:rPr>
        <w:t xml:space="preserve"> of </w:t>
      </w:r>
      <w:r>
        <w:rPr>
          <w:kern w:val="0"/>
        </w:rPr>
        <w:t>economics, sociology,</w:t>
      </w:r>
      <w:r w:rsidR="005853A9">
        <w:rPr>
          <w:kern w:val="0"/>
        </w:rPr>
        <w:t xml:space="preserve"> and </w:t>
      </w:r>
      <w:r>
        <w:rPr>
          <w:kern w:val="0"/>
        </w:rPr>
        <w:t>political science</w:t>
      </w:r>
      <w:r w:rsidR="005853A9">
        <w:rPr>
          <w:kern w:val="0"/>
        </w:rPr>
        <w:t xml:space="preserve"> and </w:t>
      </w:r>
      <w:r>
        <w:rPr>
          <w:kern w:val="0"/>
        </w:rPr>
        <w:t>law</w:t>
      </w:r>
      <w:r w:rsidR="00A37C1D">
        <w:rPr>
          <w:kern w:val="0"/>
        </w:rPr>
        <w:t>. The</w:t>
      </w:r>
      <w:r w:rsidR="003A1917">
        <w:rPr>
          <w:kern w:val="0"/>
        </w:rPr>
        <w:t xml:space="preserve"> </w:t>
      </w:r>
      <w:r>
        <w:rPr>
          <w:kern w:val="0"/>
        </w:rPr>
        <w:t>number</w:t>
      </w:r>
      <w:r w:rsidR="00427468">
        <w:rPr>
          <w:kern w:val="0"/>
        </w:rPr>
        <w:t xml:space="preserve"> of </w:t>
      </w:r>
      <w:r>
        <w:rPr>
          <w:kern w:val="0"/>
        </w:rPr>
        <w:t>research articles that acknowledged</w:t>
      </w:r>
      <w:r w:rsidR="003A1917">
        <w:rPr>
          <w:kern w:val="0"/>
        </w:rPr>
        <w:t xml:space="preserve"> the </w:t>
      </w:r>
      <w:r>
        <w:rPr>
          <w:kern w:val="0"/>
        </w:rPr>
        <w:t>SFMN was 30%</w:t>
      </w:r>
      <w:r w:rsidR="00427468">
        <w:rPr>
          <w:kern w:val="0"/>
        </w:rPr>
        <w:t xml:space="preserve"> of </w:t>
      </w:r>
      <w:r w:rsidR="003A1917">
        <w:rPr>
          <w:kern w:val="0"/>
        </w:rPr>
        <w:t xml:space="preserve">the </w:t>
      </w:r>
      <w:r>
        <w:rPr>
          <w:kern w:val="0"/>
        </w:rPr>
        <w:t>total research output</w:t>
      </w:r>
      <w:r w:rsidR="00427468">
        <w:rPr>
          <w:kern w:val="0"/>
        </w:rPr>
        <w:t xml:space="preserve"> of </w:t>
      </w:r>
      <w:r w:rsidR="003A1917">
        <w:rPr>
          <w:kern w:val="0"/>
        </w:rPr>
        <w:t xml:space="preserve">the </w:t>
      </w:r>
      <w:r>
        <w:rPr>
          <w:kern w:val="0"/>
        </w:rPr>
        <w:t>SFMN-funded Principal Investigators</w:t>
      </w:r>
      <w:r w:rsidR="00A37C1D">
        <w:rPr>
          <w:kern w:val="0"/>
        </w:rPr>
        <w:t>. The</w:t>
      </w:r>
      <w:r>
        <w:rPr>
          <w:kern w:val="0"/>
        </w:rPr>
        <w:t>se articles represented 3%</w:t>
      </w:r>
      <w:r w:rsidR="00427468">
        <w:rPr>
          <w:kern w:val="0"/>
        </w:rPr>
        <w:t xml:space="preserve"> of </w:t>
      </w:r>
      <w:r w:rsidR="003A1917">
        <w:rPr>
          <w:kern w:val="0"/>
        </w:rPr>
        <w:t xml:space="preserve">the </w:t>
      </w:r>
      <w:r>
        <w:rPr>
          <w:kern w:val="0"/>
        </w:rPr>
        <w:t>social science articles published in</w:t>
      </w:r>
      <w:r w:rsidR="003A1917">
        <w:rPr>
          <w:kern w:val="0"/>
        </w:rPr>
        <w:t xml:space="preserve"> the </w:t>
      </w:r>
      <w:r>
        <w:rPr>
          <w:kern w:val="0"/>
        </w:rPr>
        <w:t>Forestry Chronicle (the journal most frequently used by SFMN-funded Principal Investigators). Research output related to Aboriginal forestry indicated that</w:t>
      </w:r>
      <w:r w:rsidR="003A1917">
        <w:rPr>
          <w:kern w:val="0"/>
        </w:rPr>
        <w:t xml:space="preserve"> the </w:t>
      </w:r>
      <w:r>
        <w:rPr>
          <w:kern w:val="0"/>
        </w:rPr>
        <w:t>SFMN had a significant influence on</w:t>
      </w:r>
      <w:r w:rsidR="003A1917">
        <w:rPr>
          <w:kern w:val="0"/>
        </w:rPr>
        <w:t xml:space="preserve"> the </w:t>
      </w:r>
      <w:r>
        <w:rPr>
          <w:kern w:val="0"/>
        </w:rPr>
        <w:t>development</w:t>
      </w:r>
      <w:r w:rsidR="00427468">
        <w:rPr>
          <w:kern w:val="0"/>
        </w:rPr>
        <w:t xml:space="preserve"> of </w:t>
      </w:r>
      <w:r w:rsidR="003A1917">
        <w:rPr>
          <w:kern w:val="0"/>
        </w:rPr>
        <w:t xml:space="preserve">the </w:t>
      </w:r>
      <w:r>
        <w:rPr>
          <w:kern w:val="0"/>
        </w:rPr>
        <w:t>field. Our citation analysis indicated that</w:t>
      </w:r>
      <w:r w:rsidR="003A1917">
        <w:rPr>
          <w:kern w:val="0"/>
        </w:rPr>
        <w:t xml:space="preserve"> the </w:t>
      </w:r>
      <w:r>
        <w:rPr>
          <w:kern w:val="0"/>
        </w:rPr>
        <w:t>average number</w:t>
      </w:r>
      <w:r w:rsidR="00427468">
        <w:rPr>
          <w:kern w:val="0"/>
        </w:rPr>
        <w:t xml:space="preserve"> of </w:t>
      </w:r>
      <w:r>
        <w:rPr>
          <w:kern w:val="0"/>
        </w:rPr>
        <w:t>citations per SFMN-acknowledged publication in</w:t>
      </w:r>
      <w:r w:rsidR="003A1917">
        <w:rPr>
          <w:kern w:val="0"/>
        </w:rPr>
        <w:t xml:space="preserve"> the </w:t>
      </w:r>
      <w:r>
        <w:rPr>
          <w:kern w:val="0"/>
        </w:rPr>
        <w:t>social sciences was approximately</w:t>
      </w:r>
      <w:r w:rsidR="003A1917">
        <w:rPr>
          <w:kern w:val="0"/>
        </w:rPr>
        <w:t xml:space="preserve"> the </w:t>
      </w:r>
      <w:r>
        <w:rPr>
          <w:kern w:val="0"/>
        </w:rPr>
        <w:t>same as</w:t>
      </w:r>
      <w:r w:rsidR="003A1917">
        <w:rPr>
          <w:kern w:val="0"/>
        </w:rPr>
        <w:t xml:space="preserve"> the </w:t>
      </w:r>
      <w:r>
        <w:rPr>
          <w:kern w:val="0"/>
        </w:rPr>
        <w:t>international impact standard in</w:t>
      </w:r>
      <w:r w:rsidR="003A1917">
        <w:rPr>
          <w:kern w:val="0"/>
        </w:rPr>
        <w:t xml:space="preserve"> the </w:t>
      </w:r>
      <w:r>
        <w:rPr>
          <w:kern w:val="0"/>
        </w:rPr>
        <w:t>field</w:t>
      </w:r>
      <w:r w:rsidR="00A37C1D">
        <w:rPr>
          <w:kern w:val="0"/>
        </w:rPr>
        <w:t>. The</w:t>
      </w:r>
      <w:r>
        <w:rPr>
          <w:kern w:val="0"/>
        </w:rPr>
        <w:t>se results suggest that</w:t>
      </w:r>
      <w:r w:rsidR="003A1917">
        <w:rPr>
          <w:kern w:val="0"/>
        </w:rPr>
        <w:t xml:space="preserve"> the </w:t>
      </w:r>
      <w:r>
        <w:rPr>
          <w:kern w:val="0"/>
        </w:rPr>
        <w:t>SFMN-funded research in</w:t>
      </w:r>
      <w:r w:rsidR="003A1917">
        <w:rPr>
          <w:kern w:val="0"/>
        </w:rPr>
        <w:t xml:space="preserve"> the </w:t>
      </w:r>
      <w:r>
        <w:rPr>
          <w:kern w:val="0"/>
        </w:rPr>
        <w:t>social sciences compared very well with</w:t>
      </w:r>
      <w:r w:rsidR="003A1917">
        <w:rPr>
          <w:kern w:val="0"/>
        </w:rPr>
        <w:t xml:space="preserve"> the </w:t>
      </w:r>
      <w:r>
        <w:rPr>
          <w:kern w:val="0"/>
        </w:rPr>
        <w:t>international research standards in forest-related social sciences.</w:t>
      </w:r>
    </w:p>
    <w:p w:rsidR="00E939F5" w:rsidRDefault="00E939F5" w:rsidP="00E939F5">
      <w:pPr>
        <w:pStyle w:val="a3"/>
        <w:rPr>
          <w:kern w:val="0"/>
        </w:rPr>
      </w:pPr>
      <w:r>
        <w:rPr>
          <w:kern w:val="0"/>
        </w:rPr>
        <w:t xml:space="preserve">Keywords: Analysis, Bibliometric, Bibliometric Analysis, Bibliometric Study, Canada, </w:t>
      </w:r>
      <w:r>
        <w:rPr>
          <w:kern w:val="0"/>
        </w:rPr>
        <w:lastRenderedPageBreak/>
        <w:t>Citation, Citation Analysis, Citations, Collaboration, Development, Field, Forest, Indicators, Journal, Management, Output, Press, Productivity, Publication, Research, Research Output, Research Outputs, Research Performance, Science, Sciences, Sociology</w:t>
      </w:r>
    </w:p>
    <w:p w:rsidR="00E34926" w:rsidRPr="001A3D2B" w:rsidRDefault="00E34926" w:rsidP="00E34926">
      <w:pPr>
        <w:pStyle w:val="1"/>
      </w:pPr>
      <w:r w:rsidRPr="001A3D2B">
        <w:br w:type="page"/>
      </w:r>
      <w:bookmarkStart w:id="25" w:name="_Toc420814878"/>
      <w:r w:rsidRPr="001A3D2B">
        <w:lastRenderedPageBreak/>
        <w:t xml:space="preserve">Title: </w:t>
      </w:r>
      <w:r w:rsidRPr="00740786">
        <w:t>Canadian Journal</w:t>
      </w:r>
      <w:r w:rsidR="00427468">
        <w:t xml:space="preserve"> of </w:t>
      </w:r>
      <w:r w:rsidRPr="00740786">
        <w:t>Gastroenterology</w:t>
      </w:r>
      <w:bookmarkEnd w:id="25"/>
    </w:p>
    <w:p w:rsidR="00E34926" w:rsidRPr="001A3D2B" w:rsidRDefault="00E34926" w:rsidP="00E34926">
      <w:pPr>
        <w:pStyle w:val="12"/>
      </w:pPr>
      <w:r w:rsidRPr="001A3D2B">
        <w:t xml:space="preserve">Full Journal Title: </w:t>
      </w:r>
      <w:r w:rsidRPr="00740786">
        <w:rPr>
          <w:iCs/>
          <w:kern w:val="0"/>
        </w:rPr>
        <w:t>Canadian Journal</w:t>
      </w:r>
      <w:r w:rsidR="00427468">
        <w:rPr>
          <w:iCs/>
          <w:kern w:val="0"/>
        </w:rPr>
        <w:t xml:space="preserve"> of </w:t>
      </w:r>
      <w:r w:rsidRPr="00740786">
        <w:rPr>
          <w:iCs/>
          <w:kern w:val="0"/>
        </w:rPr>
        <w:t>Gastroenterology</w:t>
      </w:r>
    </w:p>
    <w:p w:rsidR="00E34926" w:rsidRPr="001A3D2B" w:rsidRDefault="00E34926" w:rsidP="00E34926">
      <w:pPr>
        <w:pStyle w:val="12"/>
      </w:pPr>
      <w:r w:rsidRPr="001A3D2B">
        <w:t xml:space="preserve">ISO Abbreviated Title: </w:t>
      </w:r>
    </w:p>
    <w:p w:rsidR="00E34926" w:rsidRPr="001A3D2B" w:rsidRDefault="00E34926" w:rsidP="00E34926">
      <w:pPr>
        <w:pStyle w:val="12"/>
      </w:pPr>
      <w:r w:rsidRPr="001A3D2B">
        <w:t xml:space="preserve">JCR Abbreviated Title: </w:t>
      </w:r>
    </w:p>
    <w:p w:rsidR="00E34926" w:rsidRPr="001A3D2B" w:rsidRDefault="00E34926" w:rsidP="00E34926">
      <w:pPr>
        <w:pStyle w:val="12"/>
      </w:pPr>
      <w:r w:rsidRPr="001A3D2B">
        <w:t xml:space="preserve">ISSN: </w:t>
      </w:r>
    </w:p>
    <w:p w:rsidR="00E34926" w:rsidRPr="001A3D2B" w:rsidRDefault="00E34926" w:rsidP="00E34926">
      <w:pPr>
        <w:pStyle w:val="12"/>
      </w:pPr>
      <w:r w:rsidRPr="001A3D2B">
        <w:t xml:space="preserve">ISBN: </w:t>
      </w:r>
    </w:p>
    <w:p w:rsidR="00E34926" w:rsidRPr="001A3D2B" w:rsidRDefault="00E34926" w:rsidP="00E34926">
      <w:pPr>
        <w:pStyle w:val="12"/>
      </w:pPr>
      <w:r w:rsidRPr="001A3D2B">
        <w:t xml:space="preserve">Issues/Year: </w:t>
      </w:r>
    </w:p>
    <w:p w:rsidR="00E34926" w:rsidRPr="001A3D2B" w:rsidRDefault="00E34926" w:rsidP="00E34926">
      <w:pPr>
        <w:pStyle w:val="12"/>
      </w:pPr>
      <w:r w:rsidRPr="001A3D2B">
        <w:t xml:space="preserve">Journal Country/Territory: </w:t>
      </w:r>
    </w:p>
    <w:p w:rsidR="00E34926" w:rsidRPr="001A3D2B" w:rsidRDefault="00E34926" w:rsidP="00E34926">
      <w:pPr>
        <w:pStyle w:val="12"/>
      </w:pPr>
      <w:r w:rsidRPr="001A3D2B">
        <w:t xml:space="preserve">Language: </w:t>
      </w:r>
    </w:p>
    <w:p w:rsidR="00E34926" w:rsidRPr="001A3D2B" w:rsidRDefault="00E34926" w:rsidP="00E34926">
      <w:pPr>
        <w:pStyle w:val="12"/>
      </w:pPr>
      <w:r w:rsidRPr="001A3D2B">
        <w:t xml:space="preserve">Publisher: </w:t>
      </w:r>
    </w:p>
    <w:p w:rsidR="00E34926" w:rsidRPr="001A3D2B" w:rsidRDefault="00E34926" w:rsidP="00E34926">
      <w:pPr>
        <w:pStyle w:val="12"/>
      </w:pPr>
      <w:r w:rsidRPr="001A3D2B">
        <w:t xml:space="preserve">Publisher Address: </w:t>
      </w:r>
    </w:p>
    <w:p w:rsidR="00E34926" w:rsidRPr="001A3D2B" w:rsidRDefault="00E34926" w:rsidP="00E34926">
      <w:pPr>
        <w:pStyle w:val="12"/>
      </w:pPr>
      <w:r w:rsidRPr="001A3D2B">
        <w:t xml:space="preserve">Subject Categories: </w:t>
      </w:r>
    </w:p>
    <w:p w:rsidR="00E34926" w:rsidRPr="001A3D2B" w:rsidRDefault="00E34926" w:rsidP="00E34926">
      <w:pPr>
        <w:pStyle w:val="12"/>
      </w:pPr>
      <w:r w:rsidRPr="001A3D2B">
        <w:t>: Impact Factor</w:t>
      </w:r>
    </w:p>
    <w:p w:rsidR="00170662" w:rsidRDefault="00170662" w:rsidP="00170662">
      <w:pPr>
        <w:pStyle w:val="a3"/>
        <w:rPr>
          <w:kern w:val="0"/>
        </w:rPr>
      </w:pPr>
      <w:r>
        <w:rPr>
          <w:rFonts w:hint="eastAsia"/>
          <w:kern w:val="0"/>
        </w:rPr>
        <w:t>Notes: CCountry</w:t>
      </w:r>
    </w:p>
    <w:p w:rsidR="00E34926" w:rsidRDefault="00E34926" w:rsidP="00E34926">
      <w:pPr>
        <w:pStyle w:val="a3"/>
        <w:rPr>
          <w:kern w:val="0"/>
        </w:rPr>
      </w:pPr>
      <w:r>
        <w:rPr>
          <w:rFonts w:hint="eastAsia"/>
          <w:kern w:val="0"/>
        </w:rPr>
        <w:t xml:space="preserve">? </w:t>
      </w:r>
      <w:r>
        <w:rPr>
          <w:kern w:val="0"/>
        </w:rPr>
        <w:t>Vanner, S.S. (2011), A bibliometric analysis</w:t>
      </w:r>
      <w:r w:rsidR="00427468">
        <w:rPr>
          <w:kern w:val="0"/>
        </w:rPr>
        <w:t xml:space="preserve"> of </w:t>
      </w:r>
      <w:r>
        <w:rPr>
          <w:kern w:val="0"/>
        </w:rPr>
        <w:t xml:space="preserve">digestive health research in Canada: </w:t>
      </w:r>
      <w:r w:rsidR="00B5188C">
        <w:rPr>
          <w:kern w:val="0"/>
        </w:rPr>
        <w:t>“</w:t>
      </w:r>
      <w:r w:rsidRPr="00170662">
        <w:rPr>
          <w:i/>
          <w:kern w:val="0"/>
        </w:rPr>
        <w:t>Fair is foul,</w:t>
      </w:r>
      <w:r w:rsidR="005853A9" w:rsidRPr="00170662">
        <w:rPr>
          <w:i/>
          <w:kern w:val="0"/>
        </w:rPr>
        <w:t xml:space="preserve"> and </w:t>
      </w:r>
      <w:r w:rsidRPr="00170662">
        <w:rPr>
          <w:i/>
          <w:kern w:val="0"/>
        </w:rPr>
        <w:t>foul is fair</w:t>
      </w:r>
      <w:r w:rsidR="00B5188C">
        <w:rPr>
          <w:kern w:val="0"/>
        </w:rPr>
        <w:t>”</w:t>
      </w:r>
      <w:r>
        <w:rPr>
          <w:kern w:val="0"/>
        </w:rPr>
        <w:t xml:space="preserve">. </w:t>
      </w:r>
      <w:r w:rsidRPr="00740786">
        <w:rPr>
          <w:i/>
          <w:iCs/>
          <w:kern w:val="0"/>
        </w:rPr>
        <w:t>Canadian Journal</w:t>
      </w:r>
      <w:r w:rsidR="00427468">
        <w:rPr>
          <w:i/>
          <w:iCs/>
          <w:kern w:val="0"/>
        </w:rPr>
        <w:t xml:space="preserve"> of </w:t>
      </w:r>
      <w:r w:rsidRPr="00740786">
        <w:rPr>
          <w:i/>
          <w:iCs/>
          <w:kern w:val="0"/>
        </w:rPr>
        <w:t>Gastroenterology</w:t>
      </w:r>
      <w:r>
        <w:rPr>
          <w:kern w:val="0"/>
        </w:rPr>
        <w:t xml:space="preserve">, </w:t>
      </w:r>
      <w:r>
        <w:rPr>
          <w:b/>
          <w:bCs/>
          <w:kern w:val="0"/>
        </w:rPr>
        <w:t>25</w:t>
      </w:r>
      <w:r>
        <w:rPr>
          <w:kern w:val="0"/>
        </w:rPr>
        <w:t xml:space="preserve"> (11), 601-602</w:t>
      </w:r>
      <w:r>
        <w:rPr>
          <w:rFonts w:hint="eastAsia"/>
          <w:kern w:val="0"/>
        </w:rPr>
        <w:t>.</w:t>
      </w:r>
    </w:p>
    <w:p w:rsidR="00E34926" w:rsidRDefault="00E34926" w:rsidP="00E34926">
      <w:pPr>
        <w:pStyle w:val="a3"/>
        <w:rPr>
          <w:kern w:val="0"/>
        </w:rPr>
      </w:pPr>
      <w:r>
        <w:rPr>
          <w:rFonts w:hint="eastAsia"/>
          <w:kern w:val="0"/>
        </w:rPr>
        <w:t xml:space="preserve">Full Text: </w:t>
      </w:r>
      <w:hyperlink r:id="rId53" w:history="1">
        <w:r w:rsidR="00093E34" w:rsidRPr="00093E34">
          <w:rPr>
            <w:rStyle w:val="a5"/>
            <w:kern w:val="0"/>
          </w:rPr>
          <w:t>2011\Can J Gas25, 601.pdf</w:t>
        </w:r>
      </w:hyperlink>
    </w:p>
    <w:p w:rsidR="00E34926" w:rsidRDefault="00E34926" w:rsidP="00E34926">
      <w:pPr>
        <w:pStyle w:val="a3"/>
        <w:rPr>
          <w:kern w:val="0"/>
        </w:rPr>
      </w:pPr>
      <w:r>
        <w:rPr>
          <w:kern w:val="0"/>
        </w:rPr>
        <w:t>Keywords: Analysis, Bibliometric, Bibliometric Analysis, Canada, Research</w:t>
      </w:r>
    </w:p>
    <w:p w:rsidR="00170662" w:rsidRDefault="00170662" w:rsidP="00E34926">
      <w:pPr>
        <w:pStyle w:val="a3"/>
        <w:rPr>
          <w:kern w:val="0"/>
        </w:rPr>
      </w:pPr>
      <w:r>
        <w:rPr>
          <w:rFonts w:hint="eastAsia"/>
          <w:kern w:val="0"/>
        </w:rPr>
        <w:t>Notes: CCountry</w:t>
      </w:r>
    </w:p>
    <w:p w:rsidR="00E34926" w:rsidRDefault="00E34926" w:rsidP="00E34926">
      <w:pPr>
        <w:pStyle w:val="a3"/>
        <w:rPr>
          <w:kern w:val="0"/>
        </w:rPr>
      </w:pPr>
      <w:r>
        <w:rPr>
          <w:rFonts w:hint="eastAsia"/>
          <w:kern w:val="0"/>
        </w:rPr>
        <w:t xml:space="preserve">? </w:t>
      </w:r>
      <w:r>
        <w:rPr>
          <w:kern w:val="0"/>
        </w:rPr>
        <w:t>Tuitt, D., Knight, F.</w:t>
      </w:r>
      <w:r w:rsidR="005853A9">
        <w:rPr>
          <w:kern w:val="0"/>
        </w:rPr>
        <w:t xml:space="preserve"> and </w:t>
      </w:r>
      <w:r>
        <w:rPr>
          <w:kern w:val="0"/>
        </w:rPr>
        <w:t>Lipman, T. (2011), A bibliometric analysis</w:t>
      </w:r>
      <w:r w:rsidR="00427468">
        <w:rPr>
          <w:kern w:val="0"/>
        </w:rPr>
        <w:t xml:space="preserve"> of </w:t>
      </w:r>
      <w:r>
        <w:rPr>
          <w:kern w:val="0"/>
        </w:rPr>
        <w:t xml:space="preserve">digestive health research in Canada. </w:t>
      </w:r>
      <w:r>
        <w:rPr>
          <w:i/>
          <w:iCs/>
          <w:kern w:val="0"/>
        </w:rPr>
        <w:t>Canadian Journal</w:t>
      </w:r>
      <w:r w:rsidR="00427468">
        <w:rPr>
          <w:i/>
          <w:iCs/>
          <w:kern w:val="0"/>
        </w:rPr>
        <w:t xml:space="preserve"> of </w:t>
      </w:r>
      <w:r>
        <w:rPr>
          <w:i/>
          <w:iCs/>
          <w:kern w:val="0"/>
        </w:rPr>
        <w:t>Gastroenterology</w:t>
      </w:r>
      <w:r>
        <w:rPr>
          <w:kern w:val="0"/>
        </w:rPr>
        <w:t xml:space="preserve">, </w:t>
      </w:r>
      <w:r>
        <w:rPr>
          <w:b/>
          <w:bCs/>
          <w:kern w:val="0"/>
        </w:rPr>
        <w:t>25</w:t>
      </w:r>
      <w:r>
        <w:rPr>
          <w:kern w:val="0"/>
        </w:rPr>
        <w:t xml:space="preserve"> (11), 609-614.</w:t>
      </w:r>
    </w:p>
    <w:p w:rsidR="00E34926" w:rsidRDefault="00E34926" w:rsidP="00E34926">
      <w:pPr>
        <w:pStyle w:val="a3"/>
        <w:rPr>
          <w:kern w:val="0"/>
        </w:rPr>
      </w:pPr>
      <w:r>
        <w:rPr>
          <w:rFonts w:hint="eastAsia"/>
          <w:kern w:val="0"/>
        </w:rPr>
        <w:t xml:space="preserve">Full Text: </w:t>
      </w:r>
      <w:hyperlink r:id="rId54" w:history="1">
        <w:r w:rsidR="00874E87" w:rsidRPr="00874E87">
          <w:rPr>
            <w:rStyle w:val="a5"/>
            <w:kern w:val="0"/>
          </w:rPr>
          <w:t>2011\Can J Gas25, 609.pdf</w:t>
        </w:r>
      </w:hyperlink>
    </w:p>
    <w:p w:rsidR="00E34926" w:rsidRDefault="00E34926" w:rsidP="00E34926">
      <w:pPr>
        <w:pStyle w:val="a3"/>
        <w:rPr>
          <w:kern w:val="0"/>
        </w:rPr>
      </w:pPr>
      <w:r>
        <w:rPr>
          <w:kern w:val="0"/>
        </w:rPr>
        <w:t>Abstract: Measurement:</w:t>
      </w:r>
      <w:r w:rsidR="00427468">
        <w:rPr>
          <w:kern w:val="0"/>
        </w:rPr>
        <w:t xml:space="preserve"> of </w:t>
      </w:r>
      <w:r w:rsidR="003A1917">
        <w:rPr>
          <w:kern w:val="0"/>
        </w:rPr>
        <w:t xml:space="preserve">the </w:t>
      </w:r>
      <w:r>
        <w:rPr>
          <w:kern w:val="0"/>
        </w:rPr>
        <w:t>impact</w:t>
      </w:r>
      <w:r w:rsidR="005853A9">
        <w:rPr>
          <w:kern w:val="0"/>
        </w:rPr>
        <w:t xml:space="preserve"> and </w:t>
      </w:r>
      <w:r>
        <w:rPr>
          <w:kern w:val="0"/>
        </w:rPr>
        <w:t>influence</w:t>
      </w:r>
      <w:r w:rsidR="00427468">
        <w:rPr>
          <w:kern w:val="0"/>
        </w:rPr>
        <w:t xml:space="preserve"> of </w:t>
      </w:r>
      <w:r>
        <w:rPr>
          <w:kern w:val="0"/>
        </w:rPr>
        <w:t>medical/scientific journals,</w:t>
      </w:r>
      <w:r w:rsidR="005853A9">
        <w:rPr>
          <w:kern w:val="0"/>
        </w:rPr>
        <w:t xml:space="preserve"> and</w:t>
      </w:r>
      <w:r w:rsidR="00427468">
        <w:rPr>
          <w:kern w:val="0"/>
        </w:rPr>
        <w:t xml:space="preserve"> of </w:t>
      </w:r>
      <w:r>
        <w:rPr>
          <w:kern w:val="0"/>
        </w:rPr>
        <w:t>individual researchers has become more widely practiced in recent decades. Tills is driven, in part, by</w:t>
      </w:r>
      <w:r w:rsidR="003A1917">
        <w:rPr>
          <w:kern w:val="0"/>
        </w:rPr>
        <w:t xml:space="preserve"> the </w:t>
      </w:r>
      <w:r>
        <w:rPr>
          <w:kern w:val="0"/>
        </w:rPr>
        <w:t>increased availability</w:t>
      </w:r>
      <w:r w:rsidR="00427468">
        <w:rPr>
          <w:kern w:val="0"/>
        </w:rPr>
        <w:t xml:space="preserve"> of </w:t>
      </w:r>
      <w:r>
        <w:rPr>
          <w:kern w:val="0"/>
        </w:rPr>
        <w:t>data regarding citations</w:t>
      </w:r>
      <w:r w:rsidR="00427468">
        <w:rPr>
          <w:kern w:val="0"/>
        </w:rPr>
        <w:t xml:space="preserve"> of </w:t>
      </w:r>
      <w:r>
        <w:rPr>
          <w:kern w:val="0"/>
        </w:rPr>
        <w:t>research articles,</w:t>
      </w:r>
      <w:r w:rsidR="005853A9">
        <w:rPr>
          <w:kern w:val="0"/>
        </w:rPr>
        <w:t xml:space="preserve"> and </w:t>
      </w:r>
      <w:r>
        <w:rPr>
          <w:kern w:val="0"/>
        </w:rPr>
        <w:t>by increased competition for research funding. Digestive disease research has been identified as a particularly strong discipline in Canada</w:t>
      </w:r>
      <w:r w:rsidR="00A37C1D">
        <w:rPr>
          <w:kern w:val="0"/>
        </w:rPr>
        <w:t>. The</w:t>
      </w:r>
      <w:r w:rsidR="003A1917">
        <w:rPr>
          <w:kern w:val="0"/>
        </w:rPr>
        <w:t xml:space="preserve"> </w:t>
      </w:r>
      <w:r>
        <w:rPr>
          <w:kern w:val="0"/>
        </w:rPr>
        <w:t>authors collected quantitative data on</w:t>
      </w:r>
      <w:r w:rsidR="003A1917">
        <w:rPr>
          <w:kern w:val="0"/>
        </w:rPr>
        <w:t xml:space="preserve"> the </w:t>
      </w:r>
      <w:r>
        <w:rPr>
          <w:kern w:val="0"/>
        </w:rPr>
        <w:t>impact</w:t>
      </w:r>
      <w:r w:rsidR="005853A9">
        <w:rPr>
          <w:kern w:val="0"/>
        </w:rPr>
        <w:t xml:space="preserve"> and </w:t>
      </w:r>
      <w:r>
        <w:rPr>
          <w:kern w:val="0"/>
        </w:rPr>
        <w:t>influence</w:t>
      </w:r>
      <w:r w:rsidR="00427468">
        <w:rPr>
          <w:kern w:val="0"/>
        </w:rPr>
        <w:t xml:space="preserve"> of </w:t>
      </w:r>
      <w:r>
        <w:rPr>
          <w:kern w:val="0"/>
        </w:rPr>
        <w:t>Canadian digestive health research</w:t>
      </w:r>
      <w:r w:rsidR="00A37C1D">
        <w:rPr>
          <w:kern w:val="0"/>
        </w:rPr>
        <w:t>. The</w:t>
      </w:r>
      <w:r w:rsidR="003A1917">
        <w:rPr>
          <w:kern w:val="0"/>
        </w:rPr>
        <w:t xml:space="preserve"> </w:t>
      </w:r>
      <w:r>
        <w:rPr>
          <w:kern w:val="0"/>
        </w:rPr>
        <w:t>present study involved an analysis</w:t>
      </w:r>
      <w:r w:rsidR="00427468">
        <w:rPr>
          <w:kern w:val="0"/>
        </w:rPr>
        <w:t xml:space="preserve"> of </w:t>
      </w:r>
      <w:r w:rsidR="003A1917">
        <w:rPr>
          <w:kern w:val="0"/>
        </w:rPr>
        <w:t xml:space="preserve">the </w:t>
      </w:r>
      <w:r>
        <w:rPr>
          <w:kern w:val="0"/>
        </w:rPr>
        <w:t>research impact (Hirsch factor)</w:t>
      </w:r>
      <w:r w:rsidR="005853A9">
        <w:rPr>
          <w:kern w:val="0"/>
        </w:rPr>
        <w:t xml:space="preserve"> and </w:t>
      </w:r>
      <w:r>
        <w:rPr>
          <w:kern w:val="0"/>
        </w:rPr>
        <w:t>research influence (Influence factor)</w:t>
      </w:r>
      <w:r w:rsidR="00427468">
        <w:rPr>
          <w:kern w:val="0"/>
        </w:rPr>
        <w:t xml:space="preserve"> of </w:t>
      </w:r>
      <w:r>
        <w:rPr>
          <w:kern w:val="0"/>
        </w:rPr>
        <w:t>106 digestive health researchers in Canada. Rankings</w:t>
      </w:r>
      <w:r w:rsidR="00427468">
        <w:rPr>
          <w:kern w:val="0"/>
        </w:rPr>
        <w:t xml:space="preserve"> of </w:t>
      </w:r>
      <w:r w:rsidR="003A1917">
        <w:rPr>
          <w:kern w:val="0"/>
        </w:rPr>
        <w:t xml:space="preserve">the </w:t>
      </w:r>
      <w:r>
        <w:rPr>
          <w:kern w:val="0"/>
        </w:rPr>
        <w:t>top 25 researchers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two metrics were dominated by</w:t>
      </w:r>
      <w:r w:rsidR="003A1917">
        <w:rPr>
          <w:kern w:val="0"/>
        </w:rPr>
        <w:t xml:space="preserve"> the </w:t>
      </w:r>
      <w:r>
        <w:rPr>
          <w:kern w:val="0"/>
        </w:rPr>
        <w:t>larger research groups at</w:t>
      </w:r>
      <w:r w:rsidR="003A1917">
        <w:rPr>
          <w:kern w:val="0"/>
        </w:rPr>
        <w:t xml:space="preserve"> the </w:t>
      </w:r>
      <w:r>
        <w:rPr>
          <w:kern w:val="0"/>
        </w:rPr>
        <w:t>University</w:t>
      </w:r>
      <w:r w:rsidR="00427468">
        <w:rPr>
          <w:kern w:val="0"/>
        </w:rPr>
        <w:t xml:space="preserve"> of </w:t>
      </w:r>
      <w:r>
        <w:rPr>
          <w:kern w:val="0"/>
        </w:rPr>
        <w:t>Toronto (Toronto, Ontario), McMaster University (Hamilton, Ontario),</w:t>
      </w:r>
      <w:r w:rsidR="005853A9">
        <w:rPr>
          <w:kern w:val="0"/>
        </w:rPr>
        <w:t xml:space="preserve"> and </w:t>
      </w:r>
      <w:r w:rsidR="003A1917">
        <w:rPr>
          <w:kern w:val="0"/>
        </w:rPr>
        <w:t xml:space="preserve">the </w:t>
      </w:r>
      <w:r>
        <w:rPr>
          <w:kern w:val="0"/>
        </w:rPr>
        <w:t>Universities</w:t>
      </w:r>
      <w:r w:rsidR="00427468">
        <w:rPr>
          <w:kern w:val="0"/>
        </w:rPr>
        <w:t xml:space="preserve"> of </w:t>
      </w:r>
      <w:r>
        <w:rPr>
          <w:kern w:val="0"/>
        </w:rPr>
        <w:t>Calgary (Calgary, Alberta)</w:t>
      </w:r>
      <w:r w:rsidR="005853A9">
        <w:rPr>
          <w:kern w:val="0"/>
        </w:rPr>
        <w:t xml:space="preserve"> and </w:t>
      </w:r>
      <w:r>
        <w:rPr>
          <w:kern w:val="0"/>
        </w:rPr>
        <w:t>Alberta (Edmonton, Alberta), but with representation by other research groups at</w:t>
      </w:r>
      <w:r w:rsidR="003A1917">
        <w:rPr>
          <w:kern w:val="0"/>
        </w:rPr>
        <w:t xml:space="preserve"> the </w:t>
      </w:r>
      <w:r>
        <w:rPr>
          <w:kern w:val="0"/>
        </w:rPr>
        <w:t>Universities</w:t>
      </w:r>
      <w:r w:rsidR="00427468">
        <w:rPr>
          <w:kern w:val="0"/>
        </w:rPr>
        <w:t xml:space="preserve"> of </w:t>
      </w:r>
      <w:r>
        <w:rPr>
          <w:kern w:val="0"/>
        </w:rPr>
        <w:t>Manitoba (Winnipeg, Manitoba), Western Ontario (London, Ontario)</w:t>
      </w:r>
      <w:r w:rsidR="005853A9">
        <w:rPr>
          <w:kern w:val="0"/>
        </w:rPr>
        <w:t xml:space="preserve"> and </w:t>
      </w:r>
      <w:r>
        <w:rPr>
          <w:kern w:val="0"/>
        </w:rPr>
        <w:t>McGill University (Montreal, Quebec). Female</w:t>
      </w:r>
      <w:r w:rsidR="005853A9">
        <w:rPr>
          <w:kern w:val="0"/>
        </w:rPr>
        <w:t xml:space="preserve"> and </w:t>
      </w:r>
      <w:r>
        <w:rPr>
          <w:kern w:val="0"/>
        </w:rPr>
        <w:lastRenderedPageBreak/>
        <w:t>male researchers had similar scores for</w:t>
      </w:r>
      <w:r w:rsidR="003A1917">
        <w:rPr>
          <w:kern w:val="0"/>
        </w:rPr>
        <w:t xml:space="preserve"> the </w:t>
      </w:r>
      <w:r>
        <w:rPr>
          <w:kern w:val="0"/>
        </w:rPr>
        <w:t>two metrics, as did basic scientists versus clinical investigators. Strategic recruitment, particularly</w:t>
      </w:r>
      <w:r w:rsidR="00427468">
        <w:rPr>
          <w:kern w:val="0"/>
        </w:rPr>
        <w:t xml:space="preserve"> of </w:t>
      </w:r>
      <w:r>
        <w:rPr>
          <w:kern w:val="0"/>
        </w:rPr>
        <w:t>established investigators, can have a major impact on</w:t>
      </w:r>
      <w:r w:rsidR="003A1917">
        <w:rPr>
          <w:kern w:val="0"/>
        </w:rPr>
        <w:t xml:space="preserve"> the </w:t>
      </w:r>
      <w:r>
        <w:rPr>
          <w:kern w:val="0"/>
        </w:rPr>
        <w:t>ranking</w:t>
      </w:r>
      <w:r w:rsidR="00427468">
        <w:rPr>
          <w:kern w:val="0"/>
        </w:rPr>
        <w:t xml:space="preserve"> of </w:t>
      </w:r>
      <w:r>
        <w:rPr>
          <w:kern w:val="0"/>
        </w:rPr>
        <w:t>research groups. Comparing these metrics over different time frames can provide insights into</w:t>
      </w:r>
      <w:r w:rsidR="003A1917">
        <w:rPr>
          <w:kern w:val="0"/>
        </w:rPr>
        <w:t xml:space="preserve"> the </w:t>
      </w:r>
      <w:r>
        <w:rPr>
          <w:kern w:val="0"/>
        </w:rPr>
        <w:t>vulnerabilities</w:t>
      </w:r>
      <w:r w:rsidR="005853A9">
        <w:rPr>
          <w:kern w:val="0"/>
        </w:rPr>
        <w:t xml:space="preserve"> and </w:t>
      </w:r>
      <w:r>
        <w:rPr>
          <w:kern w:val="0"/>
        </w:rPr>
        <w:t>strengths</w:t>
      </w:r>
      <w:r w:rsidR="00427468">
        <w:rPr>
          <w:kern w:val="0"/>
        </w:rPr>
        <w:t xml:space="preserve"> of </w:t>
      </w:r>
      <w:r>
        <w:rPr>
          <w:kern w:val="0"/>
        </w:rPr>
        <w:t>research groups.</w:t>
      </w:r>
    </w:p>
    <w:p w:rsidR="00E34926" w:rsidRDefault="00E34926" w:rsidP="00E34926">
      <w:pPr>
        <w:pStyle w:val="a3"/>
        <w:rPr>
          <w:kern w:val="0"/>
        </w:rPr>
      </w:pPr>
      <w:r>
        <w:rPr>
          <w:kern w:val="0"/>
        </w:rPr>
        <w:t>Keywords: Analysis, Authors, Bibliometric, Bibliometric Analysis, Canada, Citations, Competition, Digestive Disease, Digestive Health, Disease, Female, Funding, Impact, Impact, Index, Indicators, Influence, Journals, Male, Measurement, Metrics, Quantitative, Quebec, Ranking, Rankings, Recruitment, Research, Research Impact, Researchers, Universities, University</w:t>
      </w:r>
    </w:p>
    <w:p w:rsidR="00E1774C" w:rsidRDefault="00E1774C" w:rsidP="00E1774C">
      <w:pPr>
        <w:pStyle w:val="a3"/>
        <w:rPr>
          <w:kern w:val="0"/>
        </w:rPr>
      </w:pPr>
      <w:r>
        <w:rPr>
          <w:rFonts w:hint="eastAsia"/>
          <w:kern w:val="0"/>
        </w:rPr>
        <w:t xml:space="preserve">? </w:t>
      </w:r>
      <w:r>
        <w:rPr>
          <w:kern w:val="0"/>
        </w:rPr>
        <w:t>Depew, W.T. (2012), RE: Tuitt D, Knight F, Lipman. A bibliometric analysis</w:t>
      </w:r>
      <w:r w:rsidR="00427468">
        <w:rPr>
          <w:kern w:val="0"/>
        </w:rPr>
        <w:t xml:space="preserve"> of </w:t>
      </w:r>
      <w:r>
        <w:rPr>
          <w:kern w:val="0"/>
        </w:rPr>
        <w:t xml:space="preserve">digestive health research in Canada. Can J Gastroenterol 2011;11/609-614. </w:t>
      </w:r>
      <w:r>
        <w:rPr>
          <w:i/>
          <w:iCs/>
          <w:kern w:val="0"/>
        </w:rPr>
        <w:t>Canadian Journal</w:t>
      </w:r>
      <w:r w:rsidR="00427468">
        <w:rPr>
          <w:i/>
          <w:iCs/>
          <w:kern w:val="0"/>
        </w:rPr>
        <w:t xml:space="preserve"> of </w:t>
      </w:r>
      <w:r>
        <w:rPr>
          <w:i/>
          <w:iCs/>
          <w:kern w:val="0"/>
        </w:rPr>
        <w:t>Gastroenterology</w:t>
      </w:r>
      <w:r>
        <w:rPr>
          <w:kern w:val="0"/>
        </w:rPr>
        <w:t xml:space="preserve">, </w:t>
      </w:r>
      <w:r>
        <w:rPr>
          <w:b/>
          <w:bCs/>
          <w:kern w:val="0"/>
        </w:rPr>
        <w:t>26</w:t>
      </w:r>
      <w:r>
        <w:rPr>
          <w:kern w:val="0"/>
        </w:rPr>
        <w:t xml:space="preserve"> (4), 216-217</w:t>
      </w:r>
      <w:r>
        <w:rPr>
          <w:rFonts w:hint="eastAsia"/>
          <w:kern w:val="0"/>
        </w:rPr>
        <w:t>.</w:t>
      </w:r>
    </w:p>
    <w:p w:rsidR="00E1774C" w:rsidRDefault="00E1774C" w:rsidP="00E1774C">
      <w:pPr>
        <w:pStyle w:val="a3"/>
        <w:rPr>
          <w:kern w:val="0"/>
        </w:rPr>
      </w:pPr>
      <w:r>
        <w:rPr>
          <w:rFonts w:hint="eastAsia"/>
          <w:kern w:val="0"/>
        </w:rPr>
        <w:t xml:space="preserve">Full Text: </w:t>
      </w:r>
      <w:r w:rsidRPr="00CA6114">
        <w:rPr>
          <w:kern w:val="0"/>
        </w:rPr>
        <w:t>2012\Can J Gas26, 216.pdf</w:t>
      </w:r>
    </w:p>
    <w:p w:rsidR="00E1774C" w:rsidRDefault="00E1774C" w:rsidP="00E1774C">
      <w:pPr>
        <w:pStyle w:val="a3"/>
        <w:rPr>
          <w:kern w:val="0"/>
        </w:rPr>
      </w:pPr>
      <w:r>
        <w:rPr>
          <w:kern w:val="0"/>
        </w:rPr>
        <w:t>Keywords: Analysis, Bibliometric, Bibliometric Analysis, Canada, Health, Health Research, Research</w:t>
      </w:r>
    </w:p>
    <w:p w:rsidR="00760283" w:rsidRDefault="00760283" w:rsidP="00760283">
      <w:pPr>
        <w:pStyle w:val="a3"/>
        <w:rPr>
          <w:kern w:val="0"/>
        </w:rPr>
      </w:pPr>
      <w:r>
        <w:rPr>
          <w:rFonts w:hint="eastAsia"/>
          <w:kern w:val="0"/>
        </w:rPr>
        <w:t xml:space="preserve">? </w:t>
      </w:r>
      <w:r>
        <w:rPr>
          <w:kern w:val="0"/>
        </w:rPr>
        <w:t>Sherman, P.M., Hart, K.B., Rose, K., Bosompra, K., Manuel, C., Belanger, P., Daniels, S., Sinclair, P., Vanner, S. and Buret, A.G. (2013), Evaluation</w:t>
      </w:r>
      <w:r w:rsidR="00427468">
        <w:rPr>
          <w:kern w:val="0"/>
        </w:rPr>
        <w:t xml:space="preserve"> of </w:t>
      </w:r>
      <w:r>
        <w:rPr>
          <w:kern w:val="0"/>
        </w:rPr>
        <w:t>funding gastroenterology research in Canada illustrates the beneficial role</w:t>
      </w:r>
      <w:r w:rsidR="00427468">
        <w:rPr>
          <w:kern w:val="0"/>
        </w:rPr>
        <w:t xml:space="preserve"> of </w:t>
      </w:r>
      <w:r>
        <w:rPr>
          <w:kern w:val="0"/>
        </w:rPr>
        <w:t xml:space="preserve">partnerships. </w:t>
      </w:r>
      <w:r>
        <w:rPr>
          <w:i/>
          <w:iCs/>
          <w:kern w:val="0"/>
        </w:rPr>
        <w:t>Canadian Journal</w:t>
      </w:r>
      <w:r w:rsidR="00427468">
        <w:rPr>
          <w:i/>
          <w:iCs/>
          <w:kern w:val="0"/>
        </w:rPr>
        <w:t xml:space="preserve"> of </w:t>
      </w:r>
      <w:r>
        <w:rPr>
          <w:i/>
          <w:iCs/>
          <w:kern w:val="0"/>
        </w:rPr>
        <w:t>Gastroenterology</w:t>
      </w:r>
      <w:r>
        <w:rPr>
          <w:kern w:val="0"/>
        </w:rPr>
        <w:t xml:space="preserve">, </w:t>
      </w:r>
      <w:r>
        <w:rPr>
          <w:b/>
          <w:bCs/>
          <w:kern w:val="0"/>
        </w:rPr>
        <w:t>27</w:t>
      </w:r>
      <w:r>
        <w:rPr>
          <w:kern w:val="0"/>
        </w:rPr>
        <w:t xml:space="preserve"> (12), 717-720.</w:t>
      </w:r>
    </w:p>
    <w:p w:rsidR="00760283" w:rsidRDefault="00760283" w:rsidP="00760283">
      <w:pPr>
        <w:pStyle w:val="a3"/>
        <w:rPr>
          <w:kern w:val="0"/>
        </w:rPr>
      </w:pPr>
      <w:r>
        <w:rPr>
          <w:rFonts w:hint="eastAsia"/>
          <w:kern w:val="0"/>
        </w:rPr>
        <w:t xml:space="preserve">Full Text: </w:t>
      </w:r>
      <w:r w:rsidRPr="00BE5B24">
        <w:rPr>
          <w:kern w:val="0"/>
        </w:rPr>
        <w:t>2013\Can J Gas27, 717.pdf</w:t>
      </w:r>
    </w:p>
    <w:p w:rsidR="00760283" w:rsidRDefault="00760283" w:rsidP="00760283">
      <w:pPr>
        <w:pStyle w:val="a3"/>
        <w:rPr>
          <w:kern w:val="0"/>
        </w:rPr>
      </w:pPr>
      <w:r>
        <w:rPr>
          <w:kern w:val="0"/>
        </w:rPr>
        <w:t>Abstract: BACKGROUND: Funders</w:t>
      </w:r>
      <w:r w:rsidR="00427468">
        <w:rPr>
          <w:kern w:val="0"/>
        </w:rPr>
        <w:t xml:space="preserve"> of </w:t>
      </w:r>
      <w:r>
        <w:rPr>
          <w:kern w:val="0"/>
        </w:rPr>
        <w:t>health research in Canada seek to determine how their funding programs impact research capacity and knowledge creation. OBJECTIVE: To evaluate the impact</w:t>
      </w:r>
      <w:r w:rsidR="00427468">
        <w:rPr>
          <w:kern w:val="0"/>
        </w:rPr>
        <w:t xml:space="preserve"> of </w:t>
      </w:r>
      <w:r>
        <w:rPr>
          <w:kern w:val="0"/>
        </w:rPr>
        <w:t>a focused grants and award program that was cofunded by the Canadian Institutes</w:t>
      </w:r>
      <w:r w:rsidR="00427468">
        <w:rPr>
          <w:kern w:val="0"/>
        </w:rPr>
        <w:t xml:space="preserve"> of </w:t>
      </w:r>
      <w:r>
        <w:rPr>
          <w:kern w:val="0"/>
        </w:rPr>
        <w:t>Health Research Institute</w:t>
      </w:r>
      <w:r w:rsidR="00427468">
        <w:rPr>
          <w:kern w:val="0"/>
        </w:rPr>
        <w:t xml:space="preserve"> of </w:t>
      </w:r>
      <w:r>
        <w:rPr>
          <w:kern w:val="0"/>
        </w:rPr>
        <w:t>Nutrition, Metabolism and Diabetes, and the Canadian Association</w:t>
      </w:r>
      <w:r w:rsidR="00427468">
        <w:rPr>
          <w:kern w:val="0"/>
        </w:rPr>
        <w:t xml:space="preserve"> of </w:t>
      </w:r>
      <w:r>
        <w:rPr>
          <w:kern w:val="0"/>
        </w:rPr>
        <w:t>Gastroenterology; and to measure the impact</w:t>
      </w:r>
      <w:r w:rsidR="00427468">
        <w:rPr>
          <w:kern w:val="0"/>
        </w:rPr>
        <w:t xml:space="preserve"> of </w:t>
      </w:r>
      <w:r>
        <w:rPr>
          <w:kern w:val="0"/>
        </w:rPr>
        <w:t>the Program on the career paths</w:t>
      </w:r>
      <w:r w:rsidR="00427468">
        <w:rPr>
          <w:kern w:val="0"/>
        </w:rPr>
        <w:t xml:space="preserve"> of </w:t>
      </w:r>
      <w:r>
        <w:rPr>
          <w:kern w:val="0"/>
        </w:rPr>
        <w:t>funded researchers and assess the outcomes</w:t>
      </w:r>
      <w:r w:rsidR="00427468">
        <w:rPr>
          <w:kern w:val="0"/>
        </w:rPr>
        <w:t xml:space="preserve"> of </w:t>
      </w:r>
      <w:r>
        <w:rPr>
          <w:kern w:val="0"/>
        </w:rPr>
        <w:t>research supported through the Program. METHODS: A survey</w:t>
      </w:r>
      <w:r w:rsidR="00427468">
        <w:rPr>
          <w:kern w:val="0"/>
        </w:rPr>
        <w:t xml:space="preserve"> of </w:t>
      </w:r>
      <w:r>
        <w:rPr>
          <w:kern w:val="0"/>
        </w:rPr>
        <w:t>the recipients</w:t>
      </w:r>
      <w:r w:rsidR="00427468">
        <w:rPr>
          <w:kern w:val="0"/>
        </w:rPr>
        <w:t xml:space="preserve"> of </w:t>
      </w:r>
      <w:r>
        <w:rPr>
          <w:kern w:val="0"/>
        </w:rPr>
        <w:t>grants and awards from 2000 to 2008 was conducted in 2012</w:t>
      </w:r>
      <w:r w:rsidR="00A37C1D">
        <w:rPr>
          <w:kern w:val="0"/>
        </w:rPr>
        <w:t>. The</w:t>
      </w:r>
      <w:r>
        <w:rPr>
          <w:kern w:val="0"/>
        </w:rPr>
        <w:t xml:space="preserve"> CIHR Funding Decisions database was searched to determine subsequent funding; a bibliometric citation analysis</w:t>
      </w:r>
      <w:r w:rsidR="00427468">
        <w:rPr>
          <w:kern w:val="0"/>
        </w:rPr>
        <w:t xml:space="preserve"> of </w:t>
      </w:r>
      <w:r>
        <w:rPr>
          <w:kern w:val="0"/>
        </w:rPr>
        <w:t>publications arising from the Program was performed. RESULTS:</w:t>
      </w:r>
      <w:r w:rsidR="00427468">
        <w:rPr>
          <w:kern w:val="0"/>
        </w:rPr>
        <w:t xml:space="preserve"> of </w:t>
      </w:r>
      <w:r>
        <w:rPr>
          <w:kern w:val="0"/>
        </w:rPr>
        <w:t>160 grant and award recipients, 147 (92%) completed the survey. With &gt;$17.4 million in research funding, support was provided for 131 fellowship awards, seven career transition awards, and 22 operating grants. More than three-quarters</w:t>
      </w:r>
      <w:r w:rsidR="00427468">
        <w:rPr>
          <w:kern w:val="0"/>
        </w:rPr>
        <w:t xml:space="preserve"> of </w:t>
      </w:r>
      <w:r>
        <w:rPr>
          <w:kern w:val="0"/>
        </w:rPr>
        <w:t>grant and award recipients continue to work or train in a research-related position. Combined research outputs included 545 research articles, 130 review articles, 33 book chapters and 11 patents. Comparative analyses indicate that publications supported by the funding program had a greater impact than other Canadian and international comparators. CONCLUSIONS: Continuity in support</w:t>
      </w:r>
      <w:r w:rsidR="00427468">
        <w:rPr>
          <w:kern w:val="0"/>
        </w:rPr>
        <w:t xml:space="preserve"> of </w:t>
      </w:r>
      <w:r>
        <w:rPr>
          <w:kern w:val="0"/>
        </w:rPr>
        <w:lastRenderedPageBreak/>
        <w:t>a long-term health research funding partnership strengthened the career development</w:t>
      </w:r>
      <w:r w:rsidR="00427468">
        <w:rPr>
          <w:kern w:val="0"/>
        </w:rPr>
        <w:t xml:space="preserve"> of </w:t>
      </w:r>
      <w:r>
        <w:rPr>
          <w:kern w:val="0"/>
        </w:rPr>
        <w:t>gastroenterology researchers in Canada, and enhanced the creation and dissemination</w:t>
      </w:r>
      <w:r w:rsidR="00427468">
        <w:rPr>
          <w:kern w:val="0"/>
        </w:rPr>
        <w:t xml:space="preserve"> of </w:t>
      </w:r>
      <w:r>
        <w:rPr>
          <w:kern w:val="0"/>
        </w:rPr>
        <w:t>new knowledge in the discipline.</w:t>
      </w:r>
    </w:p>
    <w:p w:rsidR="00760283" w:rsidRDefault="00760283" w:rsidP="00760283">
      <w:pPr>
        <w:pStyle w:val="a3"/>
        <w:rPr>
          <w:kern w:val="0"/>
        </w:rPr>
      </w:pPr>
      <w:r>
        <w:rPr>
          <w:kern w:val="0"/>
        </w:rPr>
        <w:t>Keywords: Analyses, Analysis, Association, Background, Bibliometric, Canada, Capacity, Career Development, Citation, Citation Analysis, Conclusions, Database, Development, Diabetes, Evaluation, Fellowship, Funding, Gastroenterology, Health, Health Research, Impact, International, Knowledge, Long Term, Long-Term, Measure, Methods, Outcomes, Partnerships, Patents, Publications, Research, Research Funding, Research Outputs, Review, Role, Support, Survey, Work</w:t>
      </w:r>
    </w:p>
    <w:p w:rsidR="003474F2" w:rsidRPr="001A3D2B" w:rsidRDefault="003474F2" w:rsidP="003474F2">
      <w:pPr>
        <w:pStyle w:val="1"/>
        <w:rPr>
          <w:lang w:val="fr-FR"/>
        </w:rPr>
      </w:pPr>
      <w:r w:rsidRPr="001A3D2B">
        <w:rPr>
          <w:lang w:val="fr-FR"/>
        </w:rPr>
        <w:br w:type="page"/>
      </w:r>
      <w:bookmarkStart w:id="26" w:name="_Toc420814879"/>
      <w:r w:rsidRPr="001A3D2B">
        <w:rPr>
          <w:lang w:val="fr-FR"/>
        </w:rPr>
        <w:lastRenderedPageBreak/>
        <w:t>Title: Canadian Journal</w:t>
      </w:r>
      <w:r w:rsidR="00427468">
        <w:rPr>
          <w:lang w:val="fr-FR"/>
        </w:rPr>
        <w:t xml:space="preserve"> of </w:t>
      </w:r>
      <w:r w:rsidRPr="001A3D2B">
        <w:rPr>
          <w:lang w:val="fr-FR"/>
        </w:rPr>
        <w:t>Information</w:t>
      </w:r>
      <w:r w:rsidR="005853A9">
        <w:rPr>
          <w:lang w:val="fr-FR"/>
        </w:rPr>
        <w:t xml:space="preserve"> and </w:t>
      </w:r>
      <w:r w:rsidRPr="001A3D2B">
        <w:rPr>
          <w:lang w:val="fr-FR"/>
        </w:rPr>
        <w:t>Lib</w:t>
      </w:r>
      <w:bookmarkStart w:id="27" w:name="_Toc43634550"/>
      <w:bookmarkStart w:id="28" w:name="_Toc81215655"/>
      <w:r w:rsidRPr="001A3D2B">
        <w:rPr>
          <w:lang w:val="fr-FR"/>
        </w:rPr>
        <w:t>rary Science-Revue Canadienne des Sciences de l Information et de Bibliotheconomie</w:t>
      </w:r>
      <w:bookmarkEnd w:id="26"/>
    </w:p>
    <w:p w:rsidR="003474F2" w:rsidRPr="001A3D2B" w:rsidRDefault="003474F2" w:rsidP="003474F2">
      <w:pPr>
        <w:pStyle w:val="12"/>
        <w:rPr>
          <w:lang w:val="fr-FR"/>
        </w:rPr>
      </w:pPr>
      <w:r w:rsidRPr="001A3D2B">
        <w:rPr>
          <w:lang w:val="fr-FR"/>
        </w:rPr>
        <w:t>Full Journal Title: Canadian Journal</w:t>
      </w:r>
      <w:r w:rsidR="00427468">
        <w:rPr>
          <w:lang w:val="fr-FR"/>
        </w:rPr>
        <w:t xml:space="preserve"> of </w:t>
      </w:r>
      <w:r w:rsidRPr="001A3D2B">
        <w:rPr>
          <w:lang w:val="fr-FR"/>
        </w:rPr>
        <w:t>Infor</w:t>
      </w:r>
      <w:bookmarkEnd w:id="27"/>
      <w:bookmarkEnd w:id="28"/>
      <w:r w:rsidRPr="001A3D2B">
        <w:rPr>
          <w:lang w:val="fr-FR"/>
        </w:rPr>
        <w:t>mation</w:t>
      </w:r>
      <w:r w:rsidR="005853A9">
        <w:rPr>
          <w:lang w:val="fr-FR"/>
        </w:rPr>
        <w:t xml:space="preserve"> and </w:t>
      </w:r>
      <w:r w:rsidRPr="001A3D2B">
        <w:rPr>
          <w:lang w:val="fr-FR"/>
        </w:rPr>
        <w:t>Library Science-Revue Canadienne des Sciences de l Information et de Bibliotheconomie</w:t>
      </w:r>
    </w:p>
    <w:p w:rsidR="003474F2" w:rsidRPr="001A3D2B" w:rsidRDefault="003474F2" w:rsidP="003474F2">
      <w:pPr>
        <w:pStyle w:val="12"/>
      </w:pPr>
      <w:r w:rsidRPr="001A3D2B">
        <w:t xml:space="preserve">ISO Abbreviated Title: </w:t>
      </w:r>
      <w:smartTag w:uri="urn:schemas-microsoft-com:office:smarttags" w:element="place">
        <w:smartTag w:uri="urn:schemas-microsoft-com:office:smarttags" w:element="country-region">
          <w:r w:rsidRPr="001A3D2B">
            <w:t>Can.</w:t>
          </w:r>
        </w:smartTag>
      </w:smartTag>
      <w:r w:rsidRPr="001A3D2B">
        <w:t xml:space="preserve"> J. Inf. Libr. </w:t>
      </w:r>
      <w:smartTag w:uri="urn:schemas-microsoft-com:office:smarttags" w:element="place">
        <w:smartTag w:uri="urn:schemas-microsoft-com:office:smarttags" w:element="City">
          <w:r w:rsidRPr="001A3D2B">
            <w:t>Sci.-Rev.</w:t>
          </w:r>
        </w:smartTag>
        <w:r w:rsidRPr="001A3D2B">
          <w:t xml:space="preserve"> </w:t>
        </w:r>
        <w:smartTag w:uri="urn:schemas-microsoft-com:office:smarttags" w:element="country-region">
          <w:r w:rsidRPr="001A3D2B">
            <w:t>Can.</w:t>
          </w:r>
        </w:smartTag>
      </w:smartTag>
      <w:r w:rsidRPr="001A3D2B">
        <w:t xml:space="preserve"> Sci. Inf. Bibl.</w:t>
      </w:r>
    </w:p>
    <w:p w:rsidR="003474F2" w:rsidRPr="001A3D2B" w:rsidRDefault="003474F2" w:rsidP="003474F2">
      <w:pPr>
        <w:pStyle w:val="12"/>
      </w:pPr>
      <w:r w:rsidRPr="001A3D2B">
        <w:t>JCR Abbreviated Title: Can J Inform Lib Sci</w:t>
      </w:r>
    </w:p>
    <w:p w:rsidR="003474F2" w:rsidRPr="001A3D2B" w:rsidRDefault="003474F2" w:rsidP="003474F2">
      <w:pPr>
        <w:pStyle w:val="12"/>
      </w:pPr>
      <w:r w:rsidRPr="001A3D2B">
        <w:t>ISSN: 1195-096X</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Canada</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Canadian Assoc Information Science</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6174</w:t>
        </w:r>
      </w:smartTag>
      <w:r w:rsidRPr="001A3D2B">
        <w:t xml:space="preserve">, Station J, </w:t>
      </w:r>
      <w:smartTag w:uri="urn:schemas-microsoft-com:office:smarttags" w:element="place">
        <w:smartTag w:uri="urn:schemas-microsoft-com:office:smarttags" w:element="City">
          <w:r w:rsidRPr="001A3D2B">
            <w:t>Ottawa</w:t>
          </w:r>
        </w:smartTag>
        <w:r w:rsidRPr="001A3D2B">
          <w:t xml:space="preserve">, </w:t>
        </w:r>
        <w:smartTag w:uri="urn:schemas-microsoft-com:office:smarttags" w:element="State">
          <w:r w:rsidRPr="001A3D2B">
            <w:t>Ontario</w:t>
          </w:r>
        </w:smartTag>
        <w:r w:rsidRPr="001A3D2B">
          <w:t xml:space="preserve"> </w:t>
        </w:r>
        <w:smartTag w:uri="urn:schemas-microsoft-com:office:smarttags" w:element="PostalCode">
          <w:r w:rsidRPr="001A3D2B">
            <w:t>K</w:t>
          </w:r>
          <w:smartTag w:uri="urn:schemas-microsoft-com:office:smarttags" w:element="chmetcnv">
            <w:smartTagPr>
              <w:attr w:name="UnitName" w:val="a"/>
              <w:attr w:name="SourceValue" w:val="2"/>
              <w:attr w:name="HasSpace" w:val="False"/>
              <w:attr w:name="Negative" w:val="False"/>
              <w:attr w:name="NumberType" w:val="1"/>
              <w:attr w:name="TCSC" w:val="0"/>
            </w:smartTagPr>
            <w:r w:rsidRPr="001A3D2B">
              <w:t>2A</w:t>
            </w:r>
          </w:smartTag>
          <w:r w:rsidRPr="001A3D2B">
            <w:t xml:space="preserve"> 1T2</w:t>
          </w:r>
        </w:smartTag>
        <w:r w:rsidRPr="001A3D2B">
          <w:t xml:space="preserve">, </w:t>
        </w:r>
        <w:smartTag w:uri="urn:schemas-microsoft-com:office:smarttags" w:element="country-region">
          <w:r w:rsidRPr="001A3D2B">
            <w:t>Canada</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Information Science &amp; Library Science: Impact Factor </w:t>
      </w:r>
    </w:p>
    <w:p w:rsidR="00500DA4" w:rsidRDefault="00500DA4" w:rsidP="00500DA4">
      <w:pPr>
        <w:pStyle w:val="a3"/>
        <w:rPr>
          <w:kern w:val="0"/>
          <w:lang w:val="fr-FR"/>
        </w:rPr>
      </w:pPr>
      <w:r w:rsidRPr="00C73C58">
        <w:t>? Stephenson, M.S. (1993</w:t>
      </w:r>
      <w:r w:rsidR="00F42EAC">
        <w:t>), The</w:t>
      </w:r>
      <w:r w:rsidRPr="00C73C58">
        <w:t xml:space="preserve"> </w:t>
      </w:r>
      <w:r w:rsidRPr="00244555">
        <w:rPr>
          <w:i/>
        </w:rPr>
        <w:t>Canadian</w:t>
      </w:r>
      <w:r w:rsidRPr="00244555">
        <w:rPr>
          <w:rFonts w:hint="eastAsia"/>
          <w:i/>
        </w:rPr>
        <w:t xml:space="preserve"> </w:t>
      </w:r>
      <w:r w:rsidRPr="00244555">
        <w:rPr>
          <w:i/>
        </w:rPr>
        <w:t>Library</w:t>
      </w:r>
      <w:r w:rsidRPr="00244555">
        <w:rPr>
          <w:rFonts w:hint="eastAsia"/>
          <w:i/>
        </w:rPr>
        <w:t xml:space="preserve"> </w:t>
      </w:r>
      <w:r w:rsidRPr="00244555">
        <w:rPr>
          <w:i/>
        </w:rPr>
        <w:t>Journal</w:t>
      </w:r>
      <w:r w:rsidRPr="00C73C58">
        <w:t>, 1981-91</w:t>
      </w:r>
      <w:r>
        <w:rPr>
          <w:rFonts w:hint="eastAsia"/>
        </w:rPr>
        <w:t>:</w:t>
      </w:r>
      <w:r w:rsidRPr="00C73C58">
        <w:t xml:space="preserve"> An analysis. </w:t>
      </w:r>
      <w:r w:rsidRPr="00C73C58">
        <w:rPr>
          <w:i/>
          <w:iCs/>
          <w:kern w:val="0"/>
          <w:lang w:val="fr-FR"/>
        </w:rPr>
        <w:t>Canadian Journal</w:t>
      </w:r>
      <w:r w:rsidR="00427468">
        <w:rPr>
          <w:i/>
          <w:iCs/>
          <w:kern w:val="0"/>
          <w:lang w:val="fr-FR"/>
        </w:rPr>
        <w:t xml:space="preserve"> of </w:t>
      </w:r>
      <w:r w:rsidRPr="00C73C58">
        <w:rPr>
          <w:i/>
          <w:iCs/>
          <w:kern w:val="0"/>
          <w:lang w:val="fr-FR"/>
        </w:rPr>
        <w:t>Information</w:t>
      </w:r>
      <w:r w:rsidR="005853A9">
        <w:rPr>
          <w:i/>
          <w:iCs/>
          <w:kern w:val="0"/>
          <w:lang w:val="fr-FR"/>
        </w:rPr>
        <w:t xml:space="preserve"> and </w:t>
      </w:r>
      <w:r w:rsidRPr="00C73C58">
        <w:rPr>
          <w:i/>
          <w:iCs/>
          <w:kern w:val="0"/>
          <w:lang w:val="fr-FR"/>
        </w:rPr>
        <w:t>Library Science-Revue Canadienne des Sciences de l Information et de Bibliotheconomie</w:t>
      </w:r>
      <w:r w:rsidRPr="00C73C58">
        <w:t xml:space="preserve">, </w:t>
      </w:r>
      <w:r w:rsidRPr="00C73C58">
        <w:rPr>
          <w:b/>
          <w:bCs/>
          <w:kern w:val="0"/>
          <w:lang w:val="fr-FR"/>
        </w:rPr>
        <w:t>18</w:t>
      </w:r>
      <w:r w:rsidRPr="00C73C58">
        <w:rPr>
          <w:kern w:val="0"/>
          <w:lang w:val="fr-FR"/>
        </w:rPr>
        <w:t xml:space="preserve"> (2), 1-18.</w:t>
      </w:r>
    </w:p>
    <w:p w:rsidR="00500DA4" w:rsidRPr="00C73C58" w:rsidRDefault="00500DA4" w:rsidP="00500DA4">
      <w:pPr>
        <w:pStyle w:val="a3"/>
        <w:rPr>
          <w:kern w:val="0"/>
          <w:lang w:val="fr-FR"/>
        </w:rPr>
      </w:pPr>
      <w:r>
        <w:rPr>
          <w:rFonts w:hint="eastAsia"/>
          <w:kern w:val="0"/>
          <w:lang w:val="fr-FR"/>
        </w:rPr>
        <w:t>Full Text: 1993\</w:t>
      </w:r>
      <w:r>
        <w:rPr>
          <w:iCs/>
          <w:kern w:val="0"/>
          <w:lang w:val="fr-FR"/>
        </w:rPr>
        <w:t>Can J</w:t>
      </w:r>
      <w:r w:rsidRPr="00244555">
        <w:rPr>
          <w:iCs/>
          <w:kern w:val="0"/>
          <w:lang w:val="fr-FR"/>
        </w:rPr>
        <w:t xml:space="preserve"> </w:t>
      </w:r>
      <w:r>
        <w:rPr>
          <w:iCs/>
          <w:kern w:val="0"/>
          <w:lang w:val="fr-FR"/>
        </w:rPr>
        <w:t>Inf</w:t>
      </w:r>
      <w:r w:rsidRPr="00244555">
        <w:rPr>
          <w:iCs/>
          <w:kern w:val="0"/>
          <w:lang w:val="fr-FR"/>
        </w:rPr>
        <w:t xml:space="preserve"> </w:t>
      </w:r>
      <w:r>
        <w:rPr>
          <w:iCs/>
          <w:kern w:val="0"/>
          <w:lang w:val="fr-FR"/>
        </w:rPr>
        <w:t>Lib</w:t>
      </w:r>
      <w:r w:rsidRPr="00244555">
        <w:rPr>
          <w:iCs/>
          <w:kern w:val="0"/>
          <w:lang w:val="fr-FR"/>
        </w:rPr>
        <w:t xml:space="preserve"> Sci</w:t>
      </w:r>
      <w:r>
        <w:rPr>
          <w:iCs/>
          <w:kern w:val="0"/>
          <w:lang w:val="fr-FR"/>
        </w:rPr>
        <w:t>-Rev Can Sci Inf Bib</w:t>
      </w:r>
      <w:r w:rsidRPr="00244555">
        <w:rPr>
          <w:bCs/>
          <w:kern w:val="0"/>
          <w:lang w:val="fr-FR"/>
        </w:rPr>
        <w:t>18</w:t>
      </w:r>
      <w:r w:rsidRPr="00C73C58">
        <w:rPr>
          <w:kern w:val="0"/>
          <w:lang w:val="fr-FR"/>
        </w:rPr>
        <w:t>, 1</w:t>
      </w:r>
      <w:r>
        <w:rPr>
          <w:rFonts w:hint="eastAsia"/>
          <w:kern w:val="0"/>
          <w:lang w:val="fr-FR"/>
        </w:rPr>
        <w:t>.pdf</w:t>
      </w:r>
    </w:p>
    <w:p w:rsidR="003474F2" w:rsidRPr="001A3D2B" w:rsidRDefault="003474F2" w:rsidP="003474F2">
      <w:pPr>
        <w:pStyle w:val="a3"/>
      </w:pPr>
      <w:r w:rsidRPr="001A3D2B">
        <w:t>Abstract: By means</w:t>
      </w:r>
      <w:r w:rsidR="00427468">
        <w:t xml:space="preserve"> of </w:t>
      </w:r>
      <w:r w:rsidRPr="001A3D2B">
        <w:t>a set</w:t>
      </w:r>
      <w:r w:rsidR="00427468">
        <w:t xml:space="preserve"> of </w:t>
      </w:r>
      <w:r w:rsidRPr="001A3D2B">
        <w:t>selected descriptive bibliometric techniques</w:t>
      </w:r>
      <w:r w:rsidR="005853A9">
        <w:t xml:space="preserve"> and </w:t>
      </w:r>
      <w:r w:rsidRPr="001A3D2B">
        <w:t>variables,</w:t>
      </w:r>
      <w:r w:rsidR="003A1917">
        <w:t xml:space="preserve"> the </w:t>
      </w:r>
      <w:r w:rsidRPr="001A3D2B">
        <w:t>Canadian Library Journal was analysed for</w:t>
      </w:r>
      <w:r w:rsidR="003A1917">
        <w:t xml:space="preserve"> the </w:t>
      </w:r>
      <w:r w:rsidRPr="001A3D2B">
        <w:t>period 1981-91. During</w:t>
      </w:r>
      <w:r w:rsidR="003A1917">
        <w:t xml:space="preserve"> the </w:t>
      </w:r>
      <w:r w:rsidRPr="001A3D2B">
        <w:t>period studied,</w:t>
      </w:r>
      <w:r w:rsidR="003A1917">
        <w:t xml:space="preserve"> the </w:t>
      </w:r>
      <w:r w:rsidRPr="001A3D2B">
        <w:t>journal remained relatively stable on most</w:t>
      </w:r>
      <w:r w:rsidR="00427468">
        <w:t xml:space="preserve"> of </w:t>
      </w:r>
      <w:r w:rsidR="003A1917">
        <w:t xml:space="preserve">the </w:t>
      </w:r>
      <w:r w:rsidRPr="001A3D2B">
        <w:t>variables examined. Small variations were discernible, both during</w:t>
      </w:r>
      <w:r w:rsidR="003A1917">
        <w:t xml:space="preserve"> the </w:t>
      </w:r>
      <w:r w:rsidRPr="001A3D2B">
        <w:t>10-year period 1981-90,</w:t>
      </w:r>
      <w:r w:rsidR="005853A9">
        <w:t xml:space="preserve"> and </w:t>
      </w:r>
      <w:r w:rsidRPr="001A3D2B">
        <w:t>also in comparison to an earlier 1968-80 study by Steer</w:t>
      </w:r>
      <w:r w:rsidR="00A37C1D">
        <w:t>. The</w:t>
      </w:r>
      <w:r w:rsidR="003A1917">
        <w:t xml:space="preserve"> </w:t>
      </w:r>
      <w:r w:rsidRPr="001A3D2B">
        <w:t>major exception was</w:t>
      </w:r>
      <w:r w:rsidR="003A1917">
        <w:t xml:space="preserve"> the </w:t>
      </w:r>
      <w:r w:rsidRPr="001A3D2B">
        <w:t>growth in</w:t>
      </w:r>
      <w:r w:rsidR="003A1917">
        <w:t xml:space="preserve"> the </w:t>
      </w:r>
      <w:r w:rsidRPr="001A3D2B">
        <w:t>percentage</w:t>
      </w:r>
      <w:r w:rsidR="00427468">
        <w:t xml:space="preserve"> of </w:t>
      </w:r>
      <w:r w:rsidRPr="001A3D2B">
        <w:t>research-based articles during</w:t>
      </w:r>
      <w:r w:rsidR="003A1917">
        <w:t xml:space="preserve"> the </w:t>
      </w:r>
      <w:r w:rsidRPr="001A3D2B">
        <w:t>last seven years analysed. Among specific findings were: over half (52.8%)</w:t>
      </w:r>
      <w:r w:rsidR="00427468">
        <w:t xml:space="preserve"> of </w:t>
      </w:r>
      <w:r w:rsidR="003A1917">
        <w:t xml:space="preserve">the </w:t>
      </w:r>
      <w:r w:rsidRPr="001A3D2B">
        <w:t>items published in CLJ, excluding letters</w:t>
      </w:r>
      <w:r w:rsidR="005853A9">
        <w:t xml:space="preserve"> and </w:t>
      </w:r>
      <w:r w:rsidRPr="001A3D2B">
        <w:t>reviews, were articles;</w:t>
      </w:r>
      <w:r w:rsidR="00427468">
        <w:t xml:space="preserve"> of </w:t>
      </w:r>
      <w:r w:rsidR="003A1917">
        <w:t xml:space="preserve">the </w:t>
      </w:r>
      <w:r w:rsidRPr="001A3D2B">
        <w:t>total 644 authors, 284 (44.1%) were men</w:t>
      </w:r>
      <w:r w:rsidR="005853A9">
        <w:t xml:space="preserve"> and </w:t>
      </w:r>
      <w:r w:rsidRPr="001A3D2B">
        <w:t>360 (55.9%) were women;</w:t>
      </w:r>
      <w:r w:rsidR="003A1917">
        <w:t xml:space="preserve"> the </w:t>
      </w:r>
      <w:r w:rsidRPr="001A3D2B">
        <w:t>majority (79%)</w:t>
      </w:r>
      <w:r w:rsidR="00427468">
        <w:t xml:space="preserve"> of </w:t>
      </w:r>
      <w:r w:rsidRPr="001A3D2B">
        <w:t>authors were from Ontario, British Columbia, Alberta,</w:t>
      </w:r>
      <w:r w:rsidR="005853A9">
        <w:t xml:space="preserve"> and </w:t>
      </w:r>
      <w:r w:rsidRPr="001A3D2B">
        <w:t>Quebec, with over half (57.5%)</w:t>
      </w:r>
      <w:r w:rsidR="00427468">
        <w:t xml:space="preserve"> of </w:t>
      </w:r>
      <w:r w:rsidRPr="001A3D2B">
        <w:t>authors</w:t>
      </w:r>
      <w:r w:rsidR="00427468">
        <w:t xml:space="preserve"> of </w:t>
      </w:r>
      <w:r w:rsidRPr="001A3D2B">
        <w:t>all types</w:t>
      </w:r>
      <w:r w:rsidR="00427468">
        <w:t xml:space="preserve"> of </w:t>
      </w:r>
      <w:r w:rsidRPr="001A3D2B">
        <w:t>items living in Ontario. When</w:t>
      </w:r>
      <w:r w:rsidR="003A1917">
        <w:t xml:space="preserve"> the </w:t>
      </w:r>
      <w:r w:rsidRPr="001A3D2B">
        <w:t>data analysis was limited to articles,</w:t>
      </w:r>
      <w:r w:rsidR="003A1917">
        <w:t xml:space="preserve"> the </w:t>
      </w:r>
      <w:r w:rsidRPr="001A3D2B">
        <w:t>same percentage</w:t>
      </w:r>
      <w:r w:rsidR="00427468">
        <w:t xml:space="preserve"> of </w:t>
      </w:r>
      <w:r w:rsidRPr="001A3D2B">
        <w:t xml:space="preserve">authors was from </w:t>
      </w:r>
      <w:smartTag w:uri="urn:schemas-microsoft-com:office:smarttags" w:element="place">
        <w:smartTag w:uri="urn:schemas-microsoft-com:office:smarttags" w:element="State">
          <w:r w:rsidRPr="001A3D2B">
            <w:t>Ontario</w:t>
          </w:r>
        </w:smartTag>
      </w:smartTag>
      <w:r w:rsidRPr="001A3D2B">
        <w:t>; when</w:t>
      </w:r>
      <w:r w:rsidR="003A1917">
        <w:t xml:space="preserve"> the </w:t>
      </w:r>
      <w:r w:rsidRPr="001A3D2B">
        <w:t>data analysis was limited to articles, 49.3% were written by librarians</w:t>
      </w:r>
      <w:r w:rsidR="005853A9">
        <w:t xml:space="preserve"> and </w:t>
      </w:r>
      <w:r w:rsidRPr="001A3D2B">
        <w:t>24.7% by library school faculty or students</w:t>
      </w:r>
      <w:r w:rsidR="00A37C1D">
        <w:t>. The</w:t>
      </w:r>
      <w:r w:rsidR="003A1917">
        <w:t xml:space="preserve"> </w:t>
      </w:r>
      <w:r w:rsidRPr="001A3D2B">
        <w:t>five most popular subject areas over</w:t>
      </w:r>
      <w:r w:rsidR="003A1917">
        <w:t xml:space="preserve"> the </w:t>
      </w:r>
      <w:r w:rsidRPr="001A3D2B">
        <w:t>decade were management,</w:t>
      </w:r>
      <w:r w:rsidR="003A1917">
        <w:t xml:space="preserve"> the </w:t>
      </w:r>
      <w:r w:rsidRPr="001A3D2B">
        <w:t>profession, automation, collection management,</w:t>
      </w:r>
      <w:r w:rsidR="005853A9">
        <w:t xml:space="preserve"> and </w:t>
      </w:r>
      <w:r w:rsidRPr="001A3D2B">
        <w:t>reference; 23.7%</w:t>
      </w:r>
      <w:r w:rsidR="00427468">
        <w:t xml:space="preserve"> of </w:t>
      </w:r>
      <w:r w:rsidRPr="001A3D2B">
        <w:t>all</w:t>
      </w:r>
      <w:r w:rsidR="003A1917">
        <w:t xml:space="preserve"> the </w:t>
      </w:r>
      <w:r w:rsidRPr="001A3D2B">
        <w:t>articles analysed used a research-based approach;</w:t>
      </w:r>
      <w:r w:rsidR="005853A9">
        <w:t xml:space="preserve"> and </w:t>
      </w:r>
      <w:r w:rsidRPr="001A3D2B">
        <w:t>there was virtually no collaborative authorship during</w:t>
      </w:r>
      <w:r w:rsidR="003A1917">
        <w:t xml:space="preserve"> the </w:t>
      </w:r>
      <w:r w:rsidRPr="001A3D2B">
        <w:t>period studied, with 82.9%</w:t>
      </w:r>
      <w:r w:rsidR="00427468">
        <w:t xml:space="preserve"> of </w:t>
      </w:r>
      <w:r w:rsidR="003A1917">
        <w:t xml:space="preserve">the </w:t>
      </w:r>
      <w:r w:rsidRPr="001A3D2B">
        <w:t>articles written by a single author</w:t>
      </w:r>
    </w:p>
    <w:p w:rsidR="003474F2" w:rsidRPr="001A3D2B" w:rsidRDefault="003474F2" w:rsidP="003474F2">
      <w:pPr>
        <w:pStyle w:val="a3"/>
      </w:pPr>
      <w:r w:rsidRPr="001A3D2B">
        <w:lastRenderedPageBreak/>
        <w:t>Keywords: ACRL Conference Papers, Authorship, Bibliometric, College, English, Information, Information-Science, Institutional Affiliations, Journal, Periodical Literature, Research Articles</w:t>
      </w:r>
      <w:r w:rsidR="00D5664A">
        <w:t>, SCI,</w:t>
      </w:r>
      <w:r w:rsidRPr="001A3D2B">
        <w:t xml:space="preserve"> Science</w:t>
      </w:r>
    </w:p>
    <w:p w:rsidR="00523E4F" w:rsidRDefault="00523E4F" w:rsidP="00523E4F">
      <w:pPr>
        <w:pStyle w:val="a3"/>
        <w:rPr>
          <w:kern w:val="0"/>
        </w:rPr>
      </w:pPr>
      <w:r>
        <w:rPr>
          <w:rFonts w:hint="eastAsia"/>
          <w:kern w:val="0"/>
        </w:rPr>
        <w:t xml:space="preserve">? </w:t>
      </w:r>
      <w:r>
        <w:rPr>
          <w:kern w:val="0"/>
        </w:rPr>
        <w:t>Rousseau, R.</w:t>
      </w:r>
      <w:r w:rsidR="005853A9">
        <w:rPr>
          <w:kern w:val="0"/>
        </w:rPr>
        <w:t xml:space="preserve"> and </w:t>
      </w:r>
      <w:r>
        <w:rPr>
          <w:kern w:val="0"/>
        </w:rPr>
        <w:t>Rousseau, S. (1993), Informetric distributions</w:t>
      </w:r>
      <w:r>
        <w:rPr>
          <w:rFonts w:hint="eastAsia"/>
          <w:kern w:val="0"/>
        </w:rPr>
        <w:t>:</w:t>
      </w:r>
      <w:r>
        <w:rPr>
          <w:kern w:val="0"/>
        </w:rPr>
        <w:t xml:space="preserve"> A tutorial review. </w:t>
      </w:r>
      <w:r w:rsidRPr="00523E4F">
        <w:rPr>
          <w:i/>
          <w:kern w:val="0"/>
        </w:rPr>
        <w:t>Canadian Journal</w:t>
      </w:r>
      <w:r w:rsidR="00427468">
        <w:rPr>
          <w:i/>
          <w:kern w:val="0"/>
        </w:rPr>
        <w:t xml:space="preserve"> of </w:t>
      </w:r>
      <w:r w:rsidRPr="00523E4F">
        <w:rPr>
          <w:i/>
          <w:kern w:val="0"/>
        </w:rPr>
        <w:t>Information</w:t>
      </w:r>
      <w:r w:rsidR="005853A9">
        <w:rPr>
          <w:i/>
          <w:kern w:val="0"/>
        </w:rPr>
        <w:t xml:space="preserve"> and </w:t>
      </w:r>
      <w:r w:rsidRPr="00523E4F">
        <w:rPr>
          <w:i/>
          <w:kern w:val="0"/>
        </w:rPr>
        <w:t>Library Science-Revue Canadienne des Sciences de l Information et de Bibliotheconomie</w:t>
      </w:r>
      <w:r>
        <w:rPr>
          <w:kern w:val="0"/>
        </w:rPr>
        <w:t xml:space="preserve">, </w:t>
      </w:r>
      <w:r>
        <w:rPr>
          <w:b/>
          <w:bCs/>
          <w:kern w:val="0"/>
        </w:rPr>
        <w:t>18</w:t>
      </w:r>
      <w:r>
        <w:rPr>
          <w:kern w:val="0"/>
        </w:rPr>
        <w:t xml:space="preserve"> (2), 51-63.</w:t>
      </w:r>
    </w:p>
    <w:p w:rsidR="00523E4F" w:rsidRDefault="00523E4F" w:rsidP="00523E4F">
      <w:pPr>
        <w:pStyle w:val="a3"/>
        <w:rPr>
          <w:kern w:val="0"/>
        </w:rPr>
      </w:pPr>
      <w:r>
        <w:rPr>
          <w:kern w:val="0"/>
        </w:rPr>
        <w:t>Abstract:</w:t>
      </w:r>
      <w:r w:rsidR="003A1917">
        <w:rPr>
          <w:kern w:val="0"/>
        </w:rPr>
        <w:t xml:space="preserve"> the </w:t>
      </w:r>
      <w:r>
        <w:rPr>
          <w:kern w:val="0"/>
        </w:rPr>
        <w:t xml:space="preserve">notions </w:t>
      </w:r>
      <w:r w:rsidR="00B5188C">
        <w:rPr>
          <w:kern w:val="0"/>
        </w:rPr>
        <w:t>“</w:t>
      </w:r>
      <w:r>
        <w:rPr>
          <w:kern w:val="0"/>
        </w:rPr>
        <w:t>informetric</w:t>
      </w:r>
      <w:r w:rsidR="00B5188C">
        <w:rPr>
          <w:kern w:val="0"/>
        </w:rPr>
        <w:t>”</w:t>
      </w:r>
      <w:r>
        <w:rPr>
          <w:kern w:val="0"/>
        </w:rPr>
        <w:t xml:space="preserve"> or </w:t>
      </w:r>
      <w:r w:rsidR="00B5188C">
        <w:rPr>
          <w:kern w:val="0"/>
        </w:rPr>
        <w:t>“</w:t>
      </w:r>
      <w:r>
        <w:rPr>
          <w:kern w:val="0"/>
        </w:rPr>
        <w:t>bibliometric</w:t>
      </w:r>
      <w:r w:rsidR="00B5188C">
        <w:rPr>
          <w:kern w:val="0"/>
        </w:rPr>
        <w:t>”</w:t>
      </w:r>
      <w:r>
        <w:rPr>
          <w:kern w:val="0"/>
        </w:rPr>
        <w:t xml:space="preserve"> distributions refer to a set</w:t>
      </w:r>
      <w:r w:rsidR="00427468">
        <w:rPr>
          <w:kern w:val="0"/>
        </w:rPr>
        <w:t xml:space="preserve"> of </w:t>
      </w:r>
      <w:r>
        <w:rPr>
          <w:kern w:val="0"/>
        </w:rPr>
        <w:t>mathematical representations</w:t>
      </w:r>
      <w:r w:rsidR="005853A9">
        <w:rPr>
          <w:kern w:val="0"/>
        </w:rPr>
        <w:t xml:space="preserve"> and </w:t>
      </w:r>
      <w:r>
        <w:rPr>
          <w:kern w:val="0"/>
        </w:rPr>
        <w:t>formulations</w:t>
      </w:r>
      <w:r w:rsidR="00427468">
        <w:rPr>
          <w:kern w:val="0"/>
        </w:rPr>
        <w:t xml:space="preserve"> of </w:t>
      </w:r>
      <w:r>
        <w:rPr>
          <w:kern w:val="0"/>
        </w:rPr>
        <w:t>regularities observed in bibliographies, lists</w:t>
      </w:r>
      <w:r w:rsidR="00427468">
        <w:rPr>
          <w:kern w:val="0"/>
        </w:rPr>
        <w:t xml:space="preserve"> of </w:t>
      </w:r>
      <w:r>
        <w:rPr>
          <w:kern w:val="0"/>
        </w:rPr>
        <w:t>authors, citation lists,</w:t>
      </w:r>
      <w:r w:rsidR="005853A9">
        <w:rPr>
          <w:kern w:val="0"/>
        </w:rPr>
        <w:t xml:space="preserve"> and </w:t>
      </w:r>
      <w:r>
        <w:rPr>
          <w:kern w:val="0"/>
        </w:rPr>
        <w:t>similar data. In this article we review some</w:t>
      </w:r>
      <w:r w:rsidR="00427468">
        <w:rPr>
          <w:kern w:val="0"/>
        </w:rPr>
        <w:t xml:space="preserve"> of </w:t>
      </w:r>
      <w:r>
        <w:rPr>
          <w:kern w:val="0"/>
        </w:rPr>
        <w:t>these functions (e.g., Lotka</w:t>
      </w:r>
      <w:r w:rsidR="0071223E">
        <w:rPr>
          <w:kern w:val="0"/>
        </w:rPr>
        <w:t>’</w:t>
      </w:r>
      <w:r w:rsidR="00C13DDC">
        <w:rPr>
          <w:kern w:val="0"/>
        </w:rPr>
        <w:t>s</w:t>
      </w:r>
      <w:r>
        <w:rPr>
          <w:kern w:val="0"/>
        </w:rPr>
        <w:t>, Leimkuhler</w:t>
      </w:r>
      <w:r w:rsidR="0071223E">
        <w:rPr>
          <w:kern w:val="0"/>
        </w:rPr>
        <w:t>’</w:t>
      </w:r>
      <w:r w:rsidR="00C13DDC">
        <w:rPr>
          <w:kern w:val="0"/>
        </w:rPr>
        <w:t>s</w:t>
      </w:r>
      <w:r>
        <w:rPr>
          <w:kern w:val="0"/>
        </w:rPr>
        <w:t>,</w:t>
      </w:r>
      <w:r w:rsidR="005853A9">
        <w:rPr>
          <w:kern w:val="0"/>
        </w:rPr>
        <w:t xml:space="preserve"> and </w:t>
      </w:r>
      <w:r>
        <w:rPr>
          <w:kern w:val="0"/>
        </w:rPr>
        <w:t>Bradford</w:t>
      </w:r>
      <w:r w:rsidR="0071223E">
        <w:rPr>
          <w:kern w:val="0"/>
        </w:rPr>
        <w:t>’</w:t>
      </w:r>
      <w:r w:rsidR="00C13DDC">
        <w:rPr>
          <w:kern w:val="0"/>
        </w:rPr>
        <w:t>s</w:t>
      </w:r>
      <w:r>
        <w:rPr>
          <w:kern w:val="0"/>
        </w:rPr>
        <w:t xml:space="preserve"> formulations),</w:t>
      </w:r>
      <w:r w:rsidR="005853A9">
        <w:rPr>
          <w:kern w:val="0"/>
        </w:rPr>
        <w:t xml:space="preserve"> and </w:t>
      </w:r>
      <w:r>
        <w:rPr>
          <w:kern w:val="0"/>
        </w:rPr>
        <w:t>we show that these regularities occur not only in library or information science settings, but almost everywhere in</w:t>
      </w:r>
      <w:r w:rsidR="003A1917">
        <w:rPr>
          <w:kern w:val="0"/>
        </w:rPr>
        <w:t xml:space="preserve"> the </w:t>
      </w:r>
      <w:r>
        <w:rPr>
          <w:kern w:val="0"/>
        </w:rPr>
        <w:t>sciences, social sciences,</w:t>
      </w:r>
      <w:r w:rsidR="005853A9">
        <w:rPr>
          <w:kern w:val="0"/>
        </w:rPr>
        <w:t xml:space="preserve"> and </w:t>
      </w:r>
      <w:r>
        <w:rPr>
          <w:kern w:val="0"/>
        </w:rPr>
        <w:t>humanities. As an example we analyse song texts</w:t>
      </w:r>
      <w:r w:rsidR="00427468">
        <w:rPr>
          <w:kern w:val="0"/>
        </w:rPr>
        <w:t xml:space="preserve"> of </w:t>
      </w:r>
      <w:r w:rsidR="003A1917">
        <w:rPr>
          <w:kern w:val="0"/>
        </w:rPr>
        <w:t xml:space="preserve">the </w:t>
      </w:r>
      <w:r>
        <w:rPr>
          <w:kern w:val="0"/>
        </w:rPr>
        <w:t>singer/songwriter Thomas Dolby</w:t>
      </w:r>
      <w:r w:rsidR="005853A9">
        <w:rPr>
          <w:kern w:val="0"/>
        </w:rPr>
        <w:t xml:space="preserve"> and </w:t>
      </w:r>
      <w:r>
        <w:rPr>
          <w:kern w:val="0"/>
        </w:rPr>
        <w:t xml:space="preserve">conclude that word </w:t>
      </w:r>
      <w:r w:rsidR="00D5664A">
        <w:rPr>
          <w:kern w:val="0"/>
        </w:rPr>
        <w:t>USA</w:t>
      </w:r>
      <w:r>
        <w:rPr>
          <w:kern w:val="0"/>
        </w:rPr>
        <w:t>ge in Dolby</w:t>
      </w:r>
      <w:r w:rsidR="0071223E">
        <w:rPr>
          <w:kern w:val="0"/>
        </w:rPr>
        <w:t>’</w:t>
      </w:r>
      <w:r w:rsidR="00C13DDC">
        <w:rPr>
          <w:kern w:val="0"/>
        </w:rPr>
        <w:t>s</w:t>
      </w:r>
      <w:r>
        <w:rPr>
          <w:kern w:val="0"/>
        </w:rPr>
        <w:t xml:space="preserve"> Astronauts</w:t>
      </w:r>
      <w:r w:rsidR="005853A9">
        <w:rPr>
          <w:kern w:val="0"/>
        </w:rPr>
        <w:t xml:space="preserve"> and </w:t>
      </w:r>
      <w:r>
        <w:rPr>
          <w:kern w:val="0"/>
        </w:rPr>
        <w:t>Heretics perfectly fits a Leimkuhler function. Moreover, Lotka</w:t>
      </w:r>
      <w:r w:rsidR="0071223E">
        <w:rPr>
          <w:kern w:val="0"/>
        </w:rPr>
        <w:t>’</w:t>
      </w:r>
      <w:r w:rsidR="00C13DDC">
        <w:rPr>
          <w:kern w:val="0"/>
        </w:rPr>
        <w:t>s</w:t>
      </w:r>
      <w:r>
        <w:rPr>
          <w:kern w:val="0"/>
        </w:rPr>
        <w:t xml:space="preserve"> inverse square law yields an acceptable description</w:t>
      </w:r>
      <w:r w:rsidR="00427468">
        <w:rPr>
          <w:kern w:val="0"/>
        </w:rPr>
        <w:t xml:space="preserve"> of </w:t>
      </w:r>
      <w:r w:rsidR="003A1917">
        <w:rPr>
          <w:kern w:val="0"/>
        </w:rPr>
        <w:t xml:space="preserve">the </w:t>
      </w:r>
      <w:r>
        <w:rPr>
          <w:kern w:val="0"/>
        </w:rPr>
        <w:t>corresponding frequency distribution.</w:t>
      </w:r>
    </w:p>
    <w:p w:rsidR="00523E4F" w:rsidRDefault="00523E4F" w:rsidP="00523E4F">
      <w:pPr>
        <w:pStyle w:val="a3"/>
        <w:rPr>
          <w:kern w:val="0"/>
        </w:rPr>
      </w:pPr>
      <w:r>
        <w:rPr>
          <w:kern w:val="0"/>
        </w:rPr>
        <w:t>Keywords: Bradford Law, Citation, Humanities, Information Science, Review, Science, Social Sciences, Zipf</w:t>
      </w:r>
    </w:p>
    <w:p w:rsidR="003474F2" w:rsidRPr="001A3D2B" w:rsidRDefault="003474F2" w:rsidP="003474F2">
      <w:pPr>
        <w:pStyle w:val="a3"/>
      </w:pPr>
      <w:r w:rsidRPr="001A3D2B">
        <w:t>Notes: M</w:t>
      </w:r>
      <w:r w:rsidR="00523E4F">
        <w:rPr>
          <w:rFonts w:hint="eastAsia"/>
        </w:rPr>
        <w:t>M</w:t>
      </w:r>
      <w:r w:rsidRPr="001A3D2B">
        <w:t>odel</w:t>
      </w:r>
    </w:p>
    <w:p w:rsidR="003474F2" w:rsidRPr="001A3D2B" w:rsidRDefault="003474F2" w:rsidP="003474F2">
      <w:pPr>
        <w:pStyle w:val="a3"/>
      </w:pPr>
      <w:r w:rsidRPr="001A3D2B">
        <w:t>? Rousseau, R. (1998), Convolutions</w:t>
      </w:r>
      <w:r w:rsidR="005853A9">
        <w:t xml:space="preserve"> and </w:t>
      </w:r>
      <w:r w:rsidRPr="001A3D2B">
        <w:t xml:space="preserve">their applications in information science. </w:t>
      </w:r>
      <w:r w:rsidRPr="001A3D2B">
        <w:rPr>
          <w:i/>
          <w:iCs/>
        </w:rPr>
        <w:t>Canadian Journal</w:t>
      </w:r>
      <w:r w:rsidR="00427468">
        <w:rPr>
          <w:i/>
          <w:iCs/>
        </w:rPr>
        <w:t xml:space="preserve"> of </w:t>
      </w:r>
      <w:r w:rsidRPr="001A3D2B">
        <w:rPr>
          <w:i/>
          <w:iCs/>
        </w:rPr>
        <w:t>Information</w:t>
      </w:r>
      <w:r w:rsidR="005853A9">
        <w:rPr>
          <w:i/>
          <w:iCs/>
        </w:rPr>
        <w:t xml:space="preserve"> and </w:t>
      </w:r>
      <w:r w:rsidRPr="001A3D2B">
        <w:rPr>
          <w:i/>
          <w:iCs/>
        </w:rPr>
        <w:t>Library Science-Revue Canadienne des Sciences de l Information et de Bibliotheconomie</w:t>
      </w:r>
      <w:r w:rsidRPr="001A3D2B">
        <w:t xml:space="preserve">, </w:t>
      </w:r>
      <w:r w:rsidRPr="001A3D2B">
        <w:rPr>
          <w:b/>
          <w:bCs/>
        </w:rPr>
        <w:t>23</w:t>
      </w:r>
      <w:r w:rsidRPr="001A3D2B">
        <w:t xml:space="preserve"> (3), 29-47.</w:t>
      </w:r>
    </w:p>
    <w:p w:rsidR="00F371B2" w:rsidRPr="00C73C58" w:rsidRDefault="00F371B2" w:rsidP="00F371B2">
      <w:pPr>
        <w:pStyle w:val="a3"/>
      </w:pPr>
      <w:r w:rsidRPr="00C73C58">
        <w:t xml:space="preserve">Full Text: </w:t>
      </w:r>
      <w:r w:rsidR="00F526D5">
        <w:rPr>
          <w:rFonts w:hint="eastAsia"/>
        </w:rPr>
        <w:t>1998\</w:t>
      </w:r>
      <w:r>
        <w:t>Can Jou Inf Lib Sci2</w:t>
      </w:r>
      <w:r>
        <w:rPr>
          <w:rFonts w:hint="eastAsia"/>
        </w:rPr>
        <w:t>3</w:t>
      </w:r>
      <w:r w:rsidRPr="00C81E5D">
        <w:t>, 29.pdf</w:t>
      </w:r>
    </w:p>
    <w:p w:rsidR="003474F2" w:rsidRPr="001A3D2B" w:rsidRDefault="003474F2" w:rsidP="003474F2">
      <w:pPr>
        <w:pStyle w:val="a3"/>
      </w:pPr>
      <w:r w:rsidRPr="001A3D2B">
        <w:t>Abstract: Convolution is a mathematical operation between sequencer or between functions. Starting om an elementary approach. based on</w:t>
      </w:r>
      <w:r w:rsidR="003A1917">
        <w:t xml:space="preserve"> the </w:t>
      </w:r>
      <w:r w:rsidRPr="001A3D2B">
        <w:t>multiplication</w:t>
      </w:r>
      <w:r w:rsidR="00427468">
        <w:t xml:space="preserve"> of </w:t>
      </w:r>
      <w:r w:rsidRPr="001A3D2B">
        <w:t>polynomials. we present exact definitions</w:t>
      </w:r>
      <w:r w:rsidR="00427468">
        <w:t xml:space="preserve"> of </w:t>
      </w:r>
      <w:r w:rsidRPr="001A3D2B">
        <w:t>this operation. Ir is shown that it can easily he interpreted from a system theoretic</w:t>
      </w:r>
      <w:r w:rsidR="005853A9">
        <w:t xml:space="preserve"> and </w:t>
      </w:r>
      <w:r w:rsidRPr="001A3D2B">
        <w:t>from a stochastic point</w:t>
      </w:r>
      <w:r w:rsidR="00427468">
        <w:t xml:space="preserve"> of </w:t>
      </w:r>
      <w:r w:rsidRPr="001A3D2B">
        <w:t>view. Examples are given</w:t>
      </w:r>
      <w:r w:rsidR="00427468">
        <w:t xml:space="preserve"> of </w:t>
      </w:r>
      <w:r w:rsidRPr="001A3D2B">
        <w:t>its use</w:t>
      </w:r>
      <w:r w:rsidR="005853A9">
        <w:t xml:space="preserve"> and </w:t>
      </w:r>
      <w:r w:rsidRPr="001A3D2B">
        <w:t>potential in</w:t>
      </w:r>
      <w:r w:rsidR="003A1917">
        <w:t xml:space="preserve"> the </w:t>
      </w:r>
      <w:r w:rsidRPr="001A3D2B">
        <w:t>information sciences. In particular. convolutions can he used to explain observed phenomena such as</w:t>
      </w:r>
      <w:r w:rsidR="003A1917">
        <w:t xml:space="preserve"> the </w:t>
      </w:r>
      <w:r w:rsidRPr="001A3D2B">
        <w:t>decline in</w:t>
      </w:r>
      <w:r w:rsidR="003A1917">
        <w:t xml:space="preserve"> the </w:t>
      </w:r>
      <w:r w:rsidRPr="001A3D2B">
        <w:t>use</w:t>
      </w:r>
      <w:r w:rsidR="00427468">
        <w:t xml:space="preserve"> of </w:t>
      </w:r>
      <w:r w:rsidRPr="001A3D2B">
        <w:t>older literature (obsolescence) or</w:t>
      </w:r>
      <w:r w:rsidR="003A1917">
        <w:t xml:space="preserve"> the </w:t>
      </w:r>
      <w:r w:rsidRPr="001A3D2B">
        <w:t>influence</w:t>
      </w:r>
      <w:r w:rsidR="00427468">
        <w:t xml:space="preserve"> of </w:t>
      </w:r>
      <w:r w:rsidRPr="001A3D2B">
        <w:t>publication delays on</w:t>
      </w:r>
      <w:r w:rsidR="003A1917">
        <w:t xml:space="preserve"> the </w:t>
      </w:r>
      <w:r w:rsidRPr="001A3D2B">
        <w:t>aging</w:t>
      </w:r>
      <w:r w:rsidR="00427468">
        <w:t xml:space="preserve"> of </w:t>
      </w:r>
      <w:r w:rsidRPr="001A3D2B">
        <w:t>scientific literature. (C) Canadian Journal</w:t>
      </w:r>
      <w:r w:rsidR="00427468">
        <w:t xml:space="preserve"> of </w:t>
      </w:r>
      <w:r w:rsidRPr="001A3D2B">
        <w:t>Information and,</w:t>
      </w:r>
      <w:r w:rsidR="00523E4F">
        <w:rPr>
          <w:rFonts w:hint="eastAsia"/>
        </w:rPr>
        <w:t xml:space="preserve"> </w:t>
      </w:r>
      <w:r w:rsidRPr="001A3D2B">
        <w:t>Library Science.</w:t>
      </w:r>
    </w:p>
    <w:p w:rsidR="003474F2" w:rsidRPr="001A3D2B" w:rsidRDefault="003474F2" w:rsidP="003474F2">
      <w:pPr>
        <w:pStyle w:val="a3"/>
      </w:pPr>
      <w:r w:rsidRPr="001A3D2B">
        <w:t>Keywords: Counts, Lotka</w:t>
      </w:r>
      <w:r w:rsidR="0071223E">
        <w:t>’</w:t>
      </w:r>
      <w:r w:rsidR="00C13DDC">
        <w:t>s</w:t>
      </w:r>
      <w:r w:rsidRPr="001A3D2B">
        <w:t xml:space="preserve"> Law, Obsolescence</w:t>
      </w:r>
    </w:p>
    <w:p w:rsidR="003474F2" w:rsidRPr="001A3D2B" w:rsidRDefault="003474F2" w:rsidP="003474F2">
      <w:pPr>
        <w:pStyle w:val="a3"/>
        <w:rPr>
          <w:lang w:val="fr-FR"/>
        </w:rPr>
      </w:pPr>
      <w:r w:rsidRPr="001A3D2B">
        <w:t>Egghe, L.</w:t>
      </w:r>
      <w:r w:rsidR="005853A9">
        <w:t xml:space="preserve"> and </w:t>
      </w:r>
      <w:r w:rsidRPr="001A3D2B">
        <w:t xml:space="preserve">Rousseau, R. (2002), A general frame-work for relative impact indicators. </w:t>
      </w:r>
      <w:r w:rsidRPr="001A3D2B">
        <w:rPr>
          <w:i/>
          <w:iCs/>
          <w:lang w:val="fr-FR"/>
        </w:rPr>
        <w:t>Canadian Journal</w:t>
      </w:r>
      <w:r w:rsidR="00427468">
        <w:rPr>
          <w:i/>
          <w:iCs/>
          <w:lang w:val="fr-FR"/>
        </w:rPr>
        <w:t xml:space="preserve"> of </w:t>
      </w:r>
      <w:r w:rsidRPr="001A3D2B">
        <w:rPr>
          <w:i/>
          <w:iCs/>
          <w:lang w:val="fr-FR"/>
        </w:rPr>
        <w:t>Information</w:t>
      </w:r>
      <w:r w:rsidR="005853A9">
        <w:rPr>
          <w:i/>
          <w:iCs/>
          <w:lang w:val="fr-FR"/>
        </w:rPr>
        <w:t xml:space="preserve"> and </w:t>
      </w:r>
      <w:r w:rsidRPr="001A3D2B">
        <w:rPr>
          <w:i/>
          <w:iCs/>
          <w:lang w:val="fr-FR"/>
        </w:rPr>
        <w:t>Library Science-Revue Canadienne des Sciences de l Information et de Bibliotheconomie</w:t>
      </w:r>
      <w:r w:rsidRPr="001A3D2B">
        <w:rPr>
          <w:lang w:val="fr-FR"/>
        </w:rPr>
        <w:t xml:space="preserve">, </w:t>
      </w:r>
      <w:r w:rsidRPr="001A3D2B">
        <w:rPr>
          <w:b/>
          <w:bCs/>
          <w:lang w:val="fr-FR"/>
        </w:rPr>
        <w:t>27</w:t>
      </w:r>
      <w:r w:rsidRPr="001A3D2B">
        <w:rPr>
          <w:lang w:val="fr-FR"/>
        </w:rPr>
        <w:t xml:space="preserve"> (1), 29-48.</w:t>
      </w:r>
    </w:p>
    <w:p w:rsidR="00F371B2" w:rsidRPr="00C73C58" w:rsidRDefault="00F371B2" w:rsidP="00F371B2">
      <w:pPr>
        <w:pStyle w:val="a3"/>
      </w:pPr>
      <w:r w:rsidRPr="00C73C58">
        <w:t xml:space="preserve">Full Text: </w:t>
      </w:r>
      <w:hyperlink r:id="rId55" w:history="1">
        <w:r w:rsidRPr="00F371B2">
          <w:rPr>
            <w:rStyle w:val="a5"/>
          </w:rPr>
          <w:t>2002\Can Jou Inf Lib Sci27, 29.pdf</w:t>
        </w:r>
      </w:hyperlink>
    </w:p>
    <w:p w:rsidR="003474F2" w:rsidRPr="001A3D2B" w:rsidRDefault="003474F2" w:rsidP="003474F2">
      <w:pPr>
        <w:pStyle w:val="a3"/>
      </w:pPr>
      <w:r w:rsidRPr="001A3D2B">
        <w:t>Abstract: This article brings</w:t>
      </w:r>
      <w:r w:rsidR="003A1917">
        <w:t xml:space="preserve"> the </w:t>
      </w:r>
      <w:r w:rsidRPr="001A3D2B">
        <w:t>underlying structure</w:t>
      </w:r>
      <w:r w:rsidR="00427468">
        <w:t xml:space="preserve"> of </w:t>
      </w:r>
      <w:r w:rsidRPr="001A3D2B">
        <w:t>different relative indicators to</w:t>
      </w:r>
      <w:r w:rsidR="003A1917">
        <w:t xml:space="preserve"> the </w:t>
      </w:r>
      <w:r w:rsidRPr="001A3D2B">
        <w:t xml:space="preserve">forefront. This leads to a powerful device for constructing new indicators. Special </w:t>
      </w:r>
      <w:r w:rsidRPr="001A3D2B">
        <w:lastRenderedPageBreak/>
        <w:t>attention is given to</w:t>
      </w:r>
      <w:r w:rsidR="003A1917">
        <w:t xml:space="preserve"> the </w:t>
      </w:r>
      <w:r w:rsidRPr="001A3D2B">
        <w:t>relative impact</w:t>
      </w:r>
      <w:r w:rsidR="00427468">
        <w:t xml:space="preserve"> of </w:t>
      </w:r>
      <w:r w:rsidRPr="001A3D2B">
        <w:t>a journal within a set</w:t>
      </w:r>
      <w:r w:rsidR="00427468">
        <w:t xml:space="preserve"> of </w:t>
      </w:r>
      <w:r w:rsidRPr="001A3D2B">
        <w:t>journals, a so-called meta-journal. Examples</w:t>
      </w:r>
      <w:r w:rsidR="00427468">
        <w:t xml:space="preserve"> of </w:t>
      </w:r>
      <w:r w:rsidRPr="001A3D2B">
        <w:t>relative impact factors are calculated for a group</w:t>
      </w:r>
      <w:r w:rsidR="00427468">
        <w:t xml:space="preserve"> of </w:t>
      </w:r>
      <w:r w:rsidRPr="001A3D2B">
        <w:t>information science,</w:t>
      </w:r>
      <w:r w:rsidR="005853A9">
        <w:t xml:space="preserve"> and </w:t>
      </w:r>
      <w:r w:rsidRPr="001A3D2B">
        <w:t>for a group</w:t>
      </w:r>
      <w:r w:rsidR="00427468">
        <w:t xml:space="preserve"> of </w:t>
      </w:r>
      <w:r w:rsidRPr="001A3D2B">
        <w:t>management journals. Advantages</w:t>
      </w:r>
      <w:r w:rsidR="00427468">
        <w:t xml:space="preserve"> of </w:t>
      </w:r>
      <w:r w:rsidRPr="001A3D2B">
        <w:t>relative impact indicators are highlighted</w:t>
      </w:r>
      <w:r w:rsidR="00A37C1D">
        <w:t>. The</w:t>
      </w:r>
      <w:r w:rsidRPr="001A3D2B">
        <w:t>se indicators are further studied in</w:t>
      </w:r>
      <w:r w:rsidR="003A1917">
        <w:t xml:space="preserve"> the </w:t>
      </w:r>
      <w:r w:rsidRPr="001A3D2B">
        <w:t>context</w:t>
      </w:r>
      <w:r w:rsidR="00427468">
        <w:t xml:space="preserve"> of </w:t>
      </w:r>
      <w:r w:rsidRPr="001A3D2B">
        <w:t>regression analysis. Finally, it is shown that, compared to</w:t>
      </w:r>
      <w:r w:rsidR="003A1917">
        <w:t xml:space="preserve"> the </w:t>
      </w:r>
      <w:r w:rsidRPr="001A3D2B">
        <w:t>Ramirez, Garcia,</w:t>
      </w:r>
      <w:r w:rsidR="005853A9">
        <w:t xml:space="preserve"> and </w:t>
      </w:r>
      <w:r w:rsidRPr="001A3D2B">
        <w:t>Del Rio (2000) renormalized impact factor,</w:t>
      </w:r>
      <w:r w:rsidR="003A1917">
        <w:t xml:space="preserve"> the </w:t>
      </w:r>
      <w:r w:rsidRPr="001A3D2B">
        <w:t>relative impact factor is more sensitive to changes</w:t>
      </w:r>
      <w:r w:rsidR="00427468">
        <w:t xml:space="preserve"> of </w:t>
      </w:r>
      <w:r w:rsidRPr="001A3D2B">
        <w:t>relative contributions</w:t>
      </w:r>
      <w:r w:rsidR="00427468">
        <w:t xml:space="preserve"> of </w:t>
      </w:r>
      <w:r w:rsidRPr="001A3D2B">
        <w:t>journals within a journal set.</w:t>
      </w:r>
    </w:p>
    <w:p w:rsidR="003474F2" w:rsidRPr="001A3D2B" w:rsidRDefault="003474F2" w:rsidP="003474F2">
      <w:pPr>
        <w:pStyle w:val="a3"/>
      </w:pPr>
      <w:r w:rsidRPr="001A3D2B">
        <w:t>Keywords: Elative Impact, Global Impact, Average Impact, Journal Impact Factor, Regression Lines, Pearson Correlation Coefficient, Information Science Journals, Management Journals, Activity Index, Attractivity Index, S&amp;T Indicators, Research Performance</w:t>
      </w:r>
    </w:p>
    <w:p w:rsidR="00F526D5" w:rsidRDefault="00F526D5" w:rsidP="00F526D5">
      <w:pPr>
        <w:pStyle w:val="a3"/>
        <w:rPr>
          <w:kern w:val="0"/>
        </w:rPr>
      </w:pPr>
      <w:r>
        <w:rPr>
          <w:rFonts w:hint="eastAsia"/>
          <w:kern w:val="0"/>
        </w:rPr>
        <w:t xml:space="preserve">? </w:t>
      </w:r>
      <w:r>
        <w:rPr>
          <w:kern w:val="0"/>
        </w:rPr>
        <w:t>Cordes, R. (2003), Is grey literature ever used?: Using citation analysis to measure</w:t>
      </w:r>
      <w:r w:rsidR="003A1917">
        <w:rPr>
          <w:kern w:val="0"/>
        </w:rPr>
        <w:t xml:space="preserve"> the </w:t>
      </w:r>
      <w:r>
        <w:rPr>
          <w:kern w:val="0"/>
        </w:rPr>
        <w:t>impact</w:t>
      </w:r>
      <w:r w:rsidR="00427468">
        <w:rPr>
          <w:kern w:val="0"/>
        </w:rPr>
        <w:t xml:space="preserve"> of </w:t>
      </w:r>
      <w:r>
        <w:rPr>
          <w:kern w:val="0"/>
        </w:rPr>
        <w:t xml:space="preserve">GESAMP, an international marine scientific advisory body. </w:t>
      </w:r>
      <w:r>
        <w:rPr>
          <w:i/>
          <w:iCs/>
          <w:kern w:val="0"/>
        </w:rPr>
        <w:t>Canadian Journal</w:t>
      </w:r>
      <w:r w:rsidR="00427468">
        <w:rPr>
          <w:i/>
          <w:iCs/>
          <w:kern w:val="0"/>
        </w:rPr>
        <w:t xml:space="preserve"> of </w:t>
      </w:r>
      <w:r>
        <w:rPr>
          <w:i/>
          <w:iCs/>
          <w:kern w:val="0"/>
        </w:rPr>
        <w:t>Information</w:t>
      </w:r>
      <w:r w:rsidR="005853A9">
        <w:rPr>
          <w:i/>
          <w:iCs/>
          <w:kern w:val="0"/>
        </w:rPr>
        <w:t xml:space="preserve"> and </w:t>
      </w:r>
      <w:r>
        <w:rPr>
          <w:i/>
          <w:iCs/>
          <w:kern w:val="0"/>
        </w:rPr>
        <w:t>Library Science-Revue Canadienne des Sciences de l Information et de Bibliotheconomie</w:t>
      </w:r>
      <w:r>
        <w:rPr>
          <w:kern w:val="0"/>
        </w:rPr>
        <w:t xml:space="preserve">, </w:t>
      </w:r>
      <w:r>
        <w:rPr>
          <w:b/>
          <w:bCs/>
          <w:kern w:val="0"/>
        </w:rPr>
        <w:t>27</w:t>
      </w:r>
      <w:r>
        <w:rPr>
          <w:kern w:val="0"/>
        </w:rPr>
        <w:t xml:space="preserve"> (3), 109-127.</w:t>
      </w:r>
    </w:p>
    <w:p w:rsidR="00F526D5" w:rsidRPr="00C73C58" w:rsidRDefault="00F526D5" w:rsidP="00F526D5">
      <w:pPr>
        <w:pStyle w:val="a3"/>
      </w:pPr>
      <w:r w:rsidRPr="00C73C58">
        <w:t xml:space="preserve">Full Text: </w:t>
      </w:r>
      <w:r>
        <w:t>200</w:t>
      </w:r>
      <w:r>
        <w:rPr>
          <w:rFonts w:hint="eastAsia"/>
        </w:rPr>
        <w:t>3</w:t>
      </w:r>
      <w:r>
        <w:t xml:space="preserve">\Can Jou Inf Lib Sci27, </w:t>
      </w:r>
      <w:r>
        <w:rPr>
          <w:rFonts w:hint="eastAsia"/>
        </w:rPr>
        <w:t>10</w:t>
      </w:r>
      <w:r w:rsidRPr="008F1F5B">
        <w:t>9.pdf</w:t>
      </w:r>
    </w:p>
    <w:p w:rsidR="00F526D5" w:rsidRDefault="00F526D5" w:rsidP="00F526D5">
      <w:pPr>
        <w:pStyle w:val="a3"/>
        <w:rPr>
          <w:kern w:val="0"/>
        </w:rPr>
      </w:pPr>
      <w:r>
        <w:rPr>
          <w:kern w:val="0"/>
        </w:rPr>
        <w:t>Abstract: Citation analysis was used to measure</w:t>
      </w:r>
      <w:r w:rsidR="003A1917">
        <w:rPr>
          <w:kern w:val="0"/>
        </w:rPr>
        <w:t xml:space="preserve"> the </w:t>
      </w:r>
      <w:r>
        <w:rPr>
          <w:kern w:val="0"/>
        </w:rPr>
        <w:t>impact</w:t>
      </w:r>
      <w:r w:rsidR="00427468">
        <w:rPr>
          <w:kern w:val="0"/>
        </w:rPr>
        <w:t xml:space="preserve"> of </w:t>
      </w:r>
      <w:r>
        <w:rPr>
          <w:kern w:val="0"/>
        </w:rPr>
        <w:t>GESAMP,</w:t>
      </w:r>
      <w:r w:rsidR="003A1917">
        <w:rPr>
          <w:kern w:val="0"/>
        </w:rPr>
        <w:t xml:space="preserve"> the </w:t>
      </w:r>
      <w:r>
        <w:rPr>
          <w:kern w:val="0"/>
        </w:rPr>
        <w:t>Joint Group</w:t>
      </w:r>
      <w:r w:rsidR="00427468">
        <w:rPr>
          <w:kern w:val="0"/>
        </w:rPr>
        <w:t xml:space="preserve"> of </w:t>
      </w:r>
      <w:r>
        <w:rPr>
          <w:kern w:val="0"/>
        </w:rPr>
        <w:t>Experts on</w:t>
      </w:r>
      <w:r w:rsidR="003A1917">
        <w:rPr>
          <w:kern w:val="0"/>
        </w:rPr>
        <w:t xml:space="preserve"> the </w:t>
      </w:r>
      <w:r>
        <w:rPr>
          <w:kern w:val="0"/>
        </w:rPr>
        <w:t>Scientific Aspects</w:t>
      </w:r>
      <w:r w:rsidR="00427468">
        <w:rPr>
          <w:kern w:val="0"/>
        </w:rPr>
        <w:t xml:space="preserve"> of </w:t>
      </w:r>
      <w:r>
        <w:rPr>
          <w:kern w:val="0"/>
        </w:rPr>
        <w:t>Marine Environmental Protection, which since 1969 has published reports for</w:t>
      </w:r>
      <w:r w:rsidR="003A1917">
        <w:rPr>
          <w:kern w:val="0"/>
        </w:rPr>
        <w:t xml:space="preserve"> the </w:t>
      </w:r>
      <w:r>
        <w:rPr>
          <w:kern w:val="0"/>
        </w:rPr>
        <w:t>United Nations</w:t>
      </w:r>
      <w:r w:rsidR="005853A9">
        <w:rPr>
          <w:kern w:val="0"/>
        </w:rPr>
        <w:t xml:space="preserve"> and </w:t>
      </w:r>
      <w:r>
        <w:rPr>
          <w:kern w:val="0"/>
        </w:rPr>
        <w:t>seven</w:t>
      </w:r>
      <w:r w:rsidR="00427468">
        <w:rPr>
          <w:kern w:val="0"/>
        </w:rPr>
        <w:t xml:space="preserve"> of </w:t>
      </w:r>
      <w:r>
        <w:rPr>
          <w:kern w:val="0"/>
        </w:rPr>
        <w:t xml:space="preserve">its agencies. </w:t>
      </w:r>
      <w:r w:rsidR="00D5664A">
        <w:rPr>
          <w:kern w:val="0"/>
        </w:rPr>
        <w:t>Web</w:t>
      </w:r>
      <w:r w:rsidR="00427468">
        <w:rPr>
          <w:kern w:val="0"/>
        </w:rPr>
        <w:t xml:space="preserve"> of </w:t>
      </w:r>
      <w:r w:rsidR="00D5664A">
        <w:rPr>
          <w:kern w:val="0"/>
        </w:rPr>
        <w:t>Science</w:t>
      </w:r>
      <w:r>
        <w:rPr>
          <w:kern w:val="0"/>
        </w:rPr>
        <w:t xml:space="preserve"> was used to search for citations to 114 publications,</w:t>
      </w:r>
      <w:r w:rsidR="00427468">
        <w:rPr>
          <w:kern w:val="0"/>
        </w:rPr>
        <w:t xml:space="preserve"> of </w:t>
      </w:r>
      <w:r>
        <w:rPr>
          <w:kern w:val="0"/>
        </w:rPr>
        <w:t>which 15 are journal articles or books. Citations to grey literature can be difficult to locate</w:t>
      </w:r>
      <w:r w:rsidR="005853A9">
        <w:rPr>
          <w:kern w:val="0"/>
        </w:rPr>
        <w:t xml:space="preserve"> and </w:t>
      </w:r>
      <w:r>
        <w:rPr>
          <w:kern w:val="0"/>
        </w:rPr>
        <w:t>interpret, but two-thirds</w:t>
      </w:r>
      <w:r w:rsidR="00427468">
        <w:rPr>
          <w:kern w:val="0"/>
        </w:rPr>
        <w:t xml:space="preserve"> of </w:t>
      </w:r>
      <w:r w:rsidR="003A1917">
        <w:rPr>
          <w:kern w:val="0"/>
        </w:rPr>
        <w:t xml:space="preserve">the </w:t>
      </w:r>
      <w:r>
        <w:rPr>
          <w:kern w:val="0"/>
        </w:rPr>
        <w:t>1436 citations, in 1178 citing papers, are to grey literature items</w:t>
      </w:r>
      <w:r w:rsidR="00A37C1D">
        <w:rPr>
          <w:kern w:val="0"/>
        </w:rPr>
        <w:t>. The</w:t>
      </w:r>
      <w:r w:rsidR="003A1917">
        <w:rPr>
          <w:kern w:val="0"/>
        </w:rPr>
        <w:t xml:space="preserve"> </w:t>
      </w:r>
      <w:r>
        <w:rPr>
          <w:kern w:val="0"/>
        </w:rPr>
        <w:t>distribution</w:t>
      </w:r>
      <w:r w:rsidR="00427468">
        <w:rPr>
          <w:kern w:val="0"/>
        </w:rPr>
        <w:t xml:space="preserve"> of </w:t>
      </w:r>
      <w:r>
        <w:rPr>
          <w:kern w:val="0"/>
        </w:rPr>
        <w:t>citations</w:t>
      </w:r>
      <w:r w:rsidR="005853A9">
        <w:rPr>
          <w:kern w:val="0"/>
        </w:rPr>
        <w:t xml:space="preserve"> and </w:t>
      </w:r>
      <w:r>
        <w:rPr>
          <w:kern w:val="0"/>
        </w:rPr>
        <w:t>self-citation are examined. Journal versions were cited more than corresponding reports. Core journals for GESAMP citations include seven environmental science journals</w:t>
      </w:r>
      <w:r w:rsidR="005853A9">
        <w:rPr>
          <w:kern w:val="0"/>
        </w:rPr>
        <w:t xml:space="preserve"> and </w:t>
      </w:r>
      <w:r>
        <w:rPr>
          <w:kern w:val="0"/>
        </w:rPr>
        <w:t>a social science journal. This paper confirms that citation searching can successfully measure</w:t>
      </w:r>
      <w:r w:rsidR="003A1917">
        <w:rPr>
          <w:kern w:val="0"/>
        </w:rPr>
        <w:t xml:space="preserve"> the </w:t>
      </w:r>
      <w:r>
        <w:rPr>
          <w:kern w:val="0"/>
        </w:rPr>
        <w:t>impact</w:t>
      </w:r>
      <w:r w:rsidR="00427468">
        <w:rPr>
          <w:kern w:val="0"/>
        </w:rPr>
        <w:t xml:space="preserve"> of </w:t>
      </w:r>
      <w:r>
        <w:rPr>
          <w:kern w:val="0"/>
        </w:rPr>
        <w:t>organizations producing grey literature. Such publications can be very influential, diffusing widely from their source.</w:t>
      </w:r>
    </w:p>
    <w:p w:rsidR="00F526D5" w:rsidRDefault="00F526D5" w:rsidP="00F526D5">
      <w:pPr>
        <w:pStyle w:val="a3"/>
        <w:rPr>
          <w:kern w:val="0"/>
        </w:rPr>
      </w:pPr>
      <w:r>
        <w:rPr>
          <w:kern w:val="0"/>
        </w:rPr>
        <w:t xml:space="preserve">Keywords: Analysis, Citation, Citation Analysis, Citations, Environmental-Protection, Journals, Publications, Science, Self-Citation, </w:t>
      </w:r>
      <w:r w:rsidR="00D5664A">
        <w:rPr>
          <w:kern w:val="0"/>
        </w:rPr>
        <w:t>Web</w:t>
      </w:r>
      <w:r w:rsidR="00427468">
        <w:rPr>
          <w:kern w:val="0"/>
        </w:rPr>
        <w:t xml:space="preserve"> of </w:t>
      </w:r>
      <w:r w:rsidR="00D5664A">
        <w:rPr>
          <w:kern w:val="0"/>
        </w:rPr>
        <w:t>Science</w:t>
      </w:r>
    </w:p>
    <w:p w:rsidR="00F526D5" w:rsidRDefault="00F526D5" w:rsidP="00F526D5">
      <w:pPr>
        <w:pStyle w:val="a3"/>
        <w:rPr>
          <w:kern w:val="0"/>
        </w:rPr>
      </w:pPr>
      <w:r>
        <w:rPr>
          <w:rFonts w:hint="eastAsia"/>
          <w:kern w:val="0"/>
        </w:rPr>
        <w:t xml:space="preserve">? </w:t>
      </w:r>
      <w:r>
        <w:rPr>
          <w:kern w:val="0"/>
        </w:rPr>
        <w:t>Cordes, R. (2004), Is grey literature ever used? Using citation analysis to measure</w:t>
      </w:r>
      <w:r w:rsidR="003A1917">
        <w:rPr>
          <w:kern w:val="0"/>
        </w:rPr>
        <w:t xml:space="preserve"> the </w:t>
      </w:r>
      <w:r>
        <w:rPr>
          <w:kern w:val="0"/>
        </w:rPr>
        <w:t>impact</w:t>
      </w:r>
      <w:r w:rsidR="00427468">
        <w:rPr>
          <w:kern w:val="0"/>
        </w:rPr>
        <w:t xml:space="preserve"> of </w:t>
      </w:r>
      <w:r>
        <w:rPr>
          <w:kern w:val="0"/>
        </w:rPr>
        <w:t xml:space="preserve">GESAMP, an international marine scientific advisory body. </w:t>
      </w:r>
      <w:r>
        <w:rPr>
          <w:i/>
          <w:iCs/>
          <w:kern w:val="0"/>
        </w:rPr>
        <w:t>Canadian Journal</w:t>
      </w:r>
      <w:r w:rsidR="00427468">
        <w:rPr>
          <w:i/>
          <w:iCs/>
          <w:kern w:val="0"/>
        </w:rPr>
        <w:t xml:space="preserve"> of </w:t>
      </w:r>
      <w:r>
        <w:rPr>
          <w:i/>
          <w:iCs/>
          <w:kern w:val="0"/>
        </w:rPr>
        <w:t>Information</w:t>
      </w:r>
      <w:r w:rsidR="005853A9">
        <w:rPr>
          <w:i/>
          <w:iCs/>
          <w:kern w:val="0"/>
        </w:rPr>
        <w:t xml:space="preserve"> and </w:t>
      </w:r>
      <w:r>
        <w:rPr>
          <w:i/>
          <w:iCs/>
          <w:kern w:val="0"/>
        </w:rPr>
        <w:t>Library Science-Revue Canadienne des Sciences de l Information et de Bibliotheconomie</w:t>
      </w:r>
      <w:r>
        <w:rPr>
          <w:kern w:val="0"/>
        </w:rPr>
        <w:t xml:space="preserve">, </w:t>
      </w:r>
      <w:r>
        <w:rPr>
          <w:b/>
          <w:bCs/>
          <w:kern w:val="0"/>
        </w:rPr>
        <w:t>28</w:t>
      </w:r>
      <w:r>
        <w:rPr>
          <w:kern w:val="0"/>
        </w:rPr>
        <w:t xml:space="preserve"> (1), 49-69.</w:t>
      </w:r>
    </w:p>
    <w:p w:rsidR="00F526D5" w:rsidRPr="00C73C58" w:rsidRDefault="00F526D5" w:rsidP="00F526D5">
      <w:pPr>
        <w:pStyle w:val="a3"/>
      </w:pPr>
      <w:r w:rsidRPr="00C73C58">
        <w:t xml:space="preserve">Full Text: </w:t>
      </w:r>
      <w:hyperlink r:id="rId56" w:history="1">
        <w:r w:rsidRPr="003D2A31">
          <w:rPr>
            <w:rStyle w:val="a5"/>
          </w:rPr>
          <w:t>2004\Can Jou Inf Lib Sci28, 49.pdf</w:t>
        </w:r>
      </w:hyperlink>
    </w:p>
    <w:p w:rsidR="00F526D5" w:rsidRDefault="00F526D5" w:rsidP="00F526D5">
      <w:pPr>
        <w:pStyle w:val="a3"/>
        <w:rPr>
          <w:kern w:val="0"/>
        </w:rPr>
      </w:pPr>
      <w:r>
        <w:rPr>
          <w:kern w:val="0"/>
        </w:rPr>
        <w:t>Abstract: Citation analysis was used to measure</w:t>
      </w:r>
      <w:r w:rsidR="003A1917">
        <w:rPr>
          <w:kern w:val="0"/>
        </w:rPr>
        <w:t xml:space="preserve"> the </w:t>
      </w:r>
      <w:r>
        <w:rPr>
          <w:kern w:val="0"/>
        </w:rPr>
        <w:t>impact</w:t>
      </w:r>
      <w:r w:rsidR="00427468">
        <w:rPr>
          <w:kern w:val="0"/>
        </w:rPr>
        <w:t xml:space="preserve"> of </w:t>
      </w:r>
      <w:r>
        <w:rPr>
          <w:kern w:val="0"/>
        </w:rPr>
        <w:t>GESAMP,</w:t>
      </w:r>
      <w:r w:rsidR="003A1917">
        <w:rPr>
          <w:kern w:val="0"/>
        </w:rPr>
        <w:t xml:space="preserve"> the </w:t>
      </w:r>
      <w:r>
        <w:rPr>
          <w:kern w:val="0"/>
        </w:rPr>
        <w:t>Joint Group</w:t>
      </w:r>
      <w:r w:rsidR="00427468">
        <w:rPr>
          <w:kern w:val="0"/>
        </w:rPr>
        <w:t xml:space="preserve"> of </w:t>
      </w:r>
      <w:r>
        <w:rPr>
          <w:kern w:val="0"/>
        </w:rPr>
        <w:t>Experts on</w:t>
      </w:r>
      <w:r w:rsidR="003A1917">
        <w:rPr>
          <w:kern w:val="0"/>
        </w:rPr>
        <w:t xml:space="preserve"> the </w:t>
      </w:r>
      <w:r>
        <w:rPr>
          <w:kern w:val="0"/>
        </w:rPr>
        <w:t>Scientific Aspects</w:t>
      </w:r>
      <w:r w:rsidR="00427468">
        <w:rPr>
          <w:kern w:val="0"/>
        </w:rPr>
        <w:t xml:space="preserve"> of </w:t>
      </w:r>
      <w:r>
        <w:rPr>
          <w:kern w:val="0"/>
        </w:rPr>
        <w:t>Marine Environmental Protection, which since 1969 has published reports for</w:t>
      </w:r>
      <w:r w:rsidR="003A1917">
        <w:rPr>
          <w:kern w:val="0"/>
        </w:rPr>
        <w:t xml:space="preserve"> the </w:t>
      </w:r>
      <w:r>
        <w:rPr>
          <w:kern w:val="0"/>
        </w:rPr>
        <w:t>United Nations</w:t>
      </w:r>
      <w:r w:rsidR="005853A9">
        <w:rPr>
          <w:kern w:val="0"/>
        </w:rPr>
        <w:t xml:space="preserve"> and </w:t>
      </w:r>
      <w:r>
        <w:rPr>
          <w:kern w:val="0"/>
        </w:rPr>
        <w:t>seven</w:t>
      </w:r>
      <w:r w:rsidR="00427468">
        <w:rPr>
          <w:kern w:val="0"/>
        </w:rPr>
        <w:t xml:space="preserve"> of </w:t>
      </w:r>
      <w:r>
        <w:rPr>
          <w:kern w:val="0"/>
        </w:rPr>
        <w:t xml:space="preserve">its agencies. </w:t>
      </w:r>
      <w:r w:rsidR="00D5664A">
        <w:rPr>
          <w:kern w:val="0"/>
        </w:rPr>
        <w:t>Web</w:t>
      </w:r>
      <w:r w:rsidR="00427468">
        <w:rPr>
          <w:kern w:val="0"/>
        </w:rPr>
        <w:t xml:space="preserve"> of </w:t>
      </w:r>
      <w:r w:rsidR="00D5664A">
        <w:rPr>
          <w:kern w:val="0"/>
        </w:rPr>
        <w:t>Science</w:t>
      </w:r>
      <w:r>
        <w:rPr>
          <w:kern w:val="0"/>
        </w:rPr>
        <w:t xml:space="preserve"> was used to search for citations to 114 publications,</w:t>
      </w:r>
      <w:r w:rsidR="00427468">
        <w:rPr>
          <w:kern w:val="0"/>
        </w:rPr>
        <w:t xml:space="preserve"> of </w:t>
      </w:r>
      <w:r>
        <w:rPr>
          <w:kern w:val="0"/>
        </w:rPr>
        <w:lastRenderedPageBreak/>
        <w:t>which 15 are Journal articles or books. Citations to grey literature can be difficult to locate</w:t>
      </w:r>
      <w:r w:rsidR="005853A9">
        <w:rPr>
          <w:kern w:val="0"/>
        </w:rPr>
        <w:t xml:space="preserve"> and </w:t>
      </w:r>
      <w:r>
        <w:rPr>
          <w:kern w:val="0"/>
        </w:rPr>
        <w:t>interpret, but two-thirds</w:t>
      </w:r>
      <w:r w:rsidR="00427468">
        <w:rPr>
          <w:kern w:val="0"/>
        </w:rPr>
        <w:t xml:space="preserve"> of </w:t>
      </w:r>
      <w:r w:rsidR="003A1917">
        <w:rPr>
          <w:kern w:val="0"/>
        </w:rPr>
        <w:t xml:space="preserve">the </w:t>
      </w:r>
      <w:r>
        <w:rPr>
          <w:kern w:val="0"/>
        </w:rPr>
        <w:t>1436 citations, in 1178 citing papers, are to grey literature items</w:t>
      </w:r>
      <w:r w:rsidR="00A37C1D">
        <w:rPr>
          <w:kern w:val="0"/>
        </w:rPr>
        <w:t>. The</w:t>
      </w:r>
      <w:r w:rsidR="003A1917">
        <w:rPr>
          <w:kern w:val="0"/>
        </w:rPr>
        <w:t xml:space="preserve"> </w:t>
      </w:r>
      <w:r>
        <w:rPr>
          <w:kern w:val="0"/>
        </w:rPr>
        <w:t>distribution</w:t>
      </w:r>
      <w:r w:rsidR="00427468">
        <w:rPr>
          <w:kern w:val="0"/>
        </w:rPr>
        <w:t xml:space="preserve"> of </w:t>
      </w:r>
      <w:r>
        <w:rPr>
          <w:kern w:val="0"/>
        </w:rPr>
        <w:t>citations</w:t>
      </w:r>
      <w:r w:rsidR="005853A9">
        <w:rPr>
          <w:kern w:val="0"/>
        </w:rPr>
        <w:t xml:space="preserve"> and </w:t>
      </w:r>
      <w:r>
        <w:rPr>
          <w:kern w:val="0"/>
        </w:rPr>
        <w:t>self-citation are examined. Journal versions were cited more than corresponding reports. Core journals for GESAMP citations include seven environmental science journals</w:t>
      </w:r>
      <w:r w:rsidR="005853A9">
        <w:rPr>
          <w:kern w:val="0"/>
        </w:rPr>
        <w:t xml:space="preserve"> and </w:t>
      </w:r>
      <w:r>
        <w:rPr>
          <w:kern w:val="0"/>
        </w:rPr>
        <w:t>a social science journal. This paper confirms that citation searching can successfully measure</w:t>
      </w:r>
      <w:r w:rsidR="003A1917">
        <w:rPr>
          <w:kern w:val="0"/>
        </w:rPr>
        <w:t xml:space="preserve"> the </w:t>
      </w:r>
      <w:r>
        <w:rPr>
          <w:kern w:val="0"/>
        </w:rPr>
        <w:t>impact</w:t>
      </w:r>
      <w:r w:rsidR="00427468">
        <w:rPr>
          <w:kern w:val="0"/>
        </w:rPr>
        <w:t xml:space="preserve"> of </w:t>
      </w:r>
      <w:r>
        <w:rPr>
          <w:kern w:val="0"/>
        </w:rPr>
        <w:t>organizations producing grey literature. Such publications can be very influential, diffusing widely from their source.</w:t>
      </w:r>
    </w:p>
    <w:p w:rsidR="00F526D5" w:rsidRDefault="00F526D5" w:rsidP="00F526D5">
      <w:pPr>
        <w:pStyle w:val="a3"/>
        <w:rPr>
          <w:kern w:val="0"/>
        </w:rPr>
      </w:pPr>
      <w:r>
        <w:rPr>
          <w:kern w:val="0"/>
        </w:rPr>
        <w:t xml:space="preserve">Keywords: Analysis, Citation, Citation Analysis, Citations, Environmental-Protection, Journals, Publications, Science, Self-Citation,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t xml:space="preserve">? </w:t>
      </w:r>
      <w:r w:rsidR="00E33649">
        <w:t>Glänzel, W.</w:t>
      </w:r>
      <w:r w:rsidR="005853A9">
        <w:t xml:space="preserve"> and </w:t>
      </w:r>
      <w:r w:rsidRPr="001A3D2B">
        <w:t>Schuber, A. (2005), A concise review</w:t>
      </w:r>
      <w:r w:rsidR="00427468">
        <w:t xml:space="preserve"> of </w:t>
      </w:r>
      <w:r w:rsidR="003A1917">
        <w:t xml:space="preserve">the </w:t>
      </w:r>
      <w:r w:rsidRPr="001A3D2B">
        <w:t>role</w:t>
      </w:r>
      <w:r w:rsidR="00427468">
        <w:t xml:space="preserve"> of </w:t>
      </w:r>
      <w:r w:rsidRPr="001A3D2B">
        <w:t>author self-citations in information science, bibliometrics,</w:t>
      </w:r>
      <w:r w:rsidR="005853A9">
        <w:t xml:space="preserve"> and </w:t>
      </w:r>
      <w:r w:rsidRPr="001A3D2B">
        <w:t xml:space="preserve">science policy. </w:t>
      </w:r>
      <w:r w:rsidRPr="001A3D2B">
        <w:rPr>
          <w:i/>
          <w:iCs/>
        </w:rPr>
        <w:t>Canadian Journal</w:t>
      </w:r>
      <w:r w:rsidR="00427468">
        <w:rPr>
          <w:i/>
          <w:iCs/>
        </w:rPr>
        <w:t xml:space="preserve"> of </w:t>
      </w:r>
      <w:r w:rsidRPr="001A3D2B">
        <w:rPr>
          <w:i/>
          <w:iCs/>
        </w:rPr>
        <w:t>Information</w:t>
      </w:r>
      <w:r w:rsidR="005853A9">
        <w:rPr>
          <w:i/>
          <w:iCs/>
        </w:rPr>
        <w:t xml:space="preserve"> and </w:t>
      </w:r>
      <w:r w:rsidRPr="001A3D2B">
        <w:rPr>
          <w:i/>
          <w:iCs/>
        </w:rPr>
        <w:t>Library Science-Revue Canadienne des Sciences de l Information et de Bibliotheconomie</w:t>
      </w:r>
      <w:r w:rsidRPr="001A3D2B">
        <w:t xml:space="preserve">, </w:t>
      </w:r>
      <w:r w:rsidRPr="001A3D2B">
        <w:rPr>
          <w:b/>
          <w:bCs/>
        </w:rPr>
        <w:t>29</w:t>
      </w:r>
      <w:r w:rsidRPr="001A3D2B">
        <w:t xml:space="preserve"> (3), 357.</w:t>
      </w:r>
    </w:p>
    <w:p w:rsidR="00F371B2" w:rsidRPr="00C73C58" w:rsidRDefault="00F371B2" w:rsidP="00F371B2">
      <w:pPr>
        <w:pStyle w:val="a3"/>
      </w:pPr>
      <w:r w:rsidRPr="00C73C58">
        <w:t xml:space="preserve">Full Text: </w:t>
      </w:r>
      <w:hyperlink r:id="rId57" w:history="1">
        <w:r w:rsidR="00DA69BB" w:rsidRPr="00DA69BB">
          <w:rPr>
            <w:rStyle w:val="a5"/>
          </w:rPr>
          <w:t>2005\Can Jou Inf Lib Sci29, 357.pdf</w:t>
        </w:r>
      </w:hyperlink>
    </w:p>
    <w:p w:rsidR="003474F2" w:rsidRPr="001A3D2B" w:rsidRDefault="003474F2" w:rsidP="003474F2">
      <w:pPr>
        <w:pStyle w:val="a3"/>
      </w:pPr>
      <w:r w:rsidRPr="001A3D2B">
        <w:t>Keywords: Bibliometrics, Information Science, Science</w:t>
      </w:r>
    </w:p>
    <w:p w:rsidR="003474F2" w:rsidRPr="001A3D2B" w:rsidRDefault="003474F2" w:rsidP="003474F2">
      <w:pPr>
        <w:pStyle w:val="a3"/>
      </w:pPr>
      <w:r w:rsidRPr="001A3D2B">
        <w:t xml:space="preserve">? Ajiferuke, I. (2005), Inter-university collaboration in Canada. </w:t>
      </w:r>
      <w:r w:rsidRPr="001A3D2B">
        <w:rPr>
          <w:i/>
          <w:iCs/>
        </w:rPr>
        <w:t>Canadian Journal</w:t>
      </w:r>
      <w:r w:rsidR="00427468">
        <w:rPr>
          <w:i/>
          <w:iCs/>
        </w:rPr>
        <w:t xml:space="preserve"> of </w:t>
      </w:r>
      <w:r w:rsidRPr="001A3D2B">
        <w:rPr>
          <w:i/>
          <w:iCs/>
        </w:rPr>
        <w:t>Information</w:t>
      </w:r>
      <w:r w:rsidR="005853A9">
        <w:rPr>
          <w:i/>
          <w:iCs/>
        </w:rPr>
        <w:t xml:space="preserve"> and </w:t>
      </w:r>
      <w:r w:rsidRPr="001A3D2B">
        <w:rPr>
          <w:i/>
          <w:iCs/>
        </w:rPr>
        <w:t>Library Science-Revue Canadienne des Sciences de l Information et de Bibliotheconomie</w:t>
      </w:r>
      <w:r w:rsidRPr="001A3D2B">
        <w:t xml:space="preserve">, </w:t>
      </w:r>
      <w:r w:rsidRPr="001A3D2B">
        <w:rPr>
          <w:b/>
          <w:bCs/>
        </w:rPr>
        <w:t>29</w:t>
      </w:r>
      <w:r w:rsidRPr="001A3D2B">
        <w:t xml:space="preserve"> (4), 407-418.</w:t>
      </w:r>
    </w:p>
    <w:p w:rsidR="003474F2" w:rsidRPr="001A3D2B" w:rsidRDefault="003474F2" w:rsidP="003474F2">
      <w:pPr>
        <w:pStyle w:val="a3"/>
      </w:pPr>
      <w:r w:rsidRPr="001A3D2B">
        <w:t xml:space="preserve">Full Text: </w:t>
      </w:r>
      <w:hyperlink r:id="rId58" w:history="1">
        <w:r w:rsidRPr="001A3D2B">
          <w:rPr>
            <w:rStyle w:val="a5"/>
          </w:rPr>
          <w:t>2005\Can Jou Inf Lib Sci29, 407.pdf</w:t>
        </w:r>
      </w:hyperlink>
    </w:p>
    <w:p w:rsidR="003474F2" w:rsidRPr="001A3D2B" w:rsidRDefault="003474F2" w:rsidP="003474F2">
      <w:pPr>
        <w:pStyle w:val="a3"/>
      </w:pPr>
      <w:r w:rsidRPr="001A3D2B">
        <w:t>Abstract: This study examines</w:t>
      </w:r>
      <w:r w:rsidR="003A1917">
        <w:t xml:space="preserve"> the </w:t>
      </w:r>
      <w:r w:rsidRPr="001A3D2B">
        <w:t>extent</w:t>
      </w:r>
      <w:r w:rsidR="00427468">
        <w:t xml:space="preserve"> of </w:t>
      </w:r>
      <w:r w:rsidRPr="001A3D2B">
        <w:t>inter-institutional collaboration between scholars in</w:t>
      </w:r>
      <w:r w:rsidR="003A1917">
        <w:t xml:space="preserve"> the </w:t>
      </w:r>
      <w:r w:rsidRPr="001A3D2B">
        <w:t>48 major Canadian universities,</w:t>
      </w:r>
      <w:r w:rsidR="005853A9">
        <w:t xml:space="preserve"> and </w:t>
      </w:r>
      <w:r w:rsidRPr="001A3D2B">
        <w:t>also determines</w:t>
      </w:r>
      <w:r w:rsidR="003A1917">
        <w:t xml:space="preserve"> the </w:t>
      </w:r>
      <w:r w:rsidRPr="001A3D2B">
        <w:t>factors that influence such collaboration. Documents included in</w:t>
      </w:r>
      <w:r w:rsidR="003A1917">
        <w:t xml:space="preserve"> the </w:t>
      </w:r>
      <w:r w:rsidRPr="001A3D2B">
        <w:t>Science Citation Index Expanded, Social Science Citation Index,</w:t>
      </w:r>
      <w:r w:rsidR="005853A9">
        <w:t xml:space="preserve"> and </w:t>
      </w:r>
      <w:r w:rsidRPr="001A3D2B">
        <w:t>Arts &amp; Humanities Citation Index</w:t>
      </w:r>
      <w:r w:rsidR="00427468">
        <w:t xml:space="preserve"> of </w:t>
      </w:r>
      <w:r w:rsidR="003A1917">
        <w:t xml:space="preserve">the </w:t>
      </w:r>
      <w:r w:rsidRPr="001A3D2B">
        <w:t>online ISI</w:t>
      </w:r>
      <w:r w:rsidR="0071223E">
        <w:t>’</w:t>
      </w:r>
      <w:r w:rsidR="00C13DDC">
        <w:t>s</w:t>
      </w:r>
      <w:r w:rsidRPr="001A3D2B">
        <w:t xml:space="preserve"> </w:t>
      </w:r>
      <w:r w:rsidR="00D5664A">
        <w:t>Web</w:t>
      </w:r>
      <w:r w:rsidR="00427468">
        <w:t xml:space="preserve"> of </w:t>
      </w:r>
      <w:r w:rsidR="00D5664A">
        <w:t>Science</w:t>
      </w:r>
      <w:r w:rsidRPr="001A3D2B">
        <w:t xml:space="preserve"> database for 1991-2004 were used as sources</w:t>
      </w:r>
      <w:r w:rsidR="00427468">
        <w:t xml:space="preserve"> of </w:t>
      </w:r>
      <w:r w:rsidRPr="001A3D2B">
        <w:t>data for</w:t>
      </w:r>
      <w:r w:rsidR="003A1917">
        <w:t xml:space="preserve"> the </w:t>
      </w:r>
      <w:r w:rsidRPr="001A3D2B">
        <w:t>study. Making use</w:t>
      </w:r>
      <w:r w:rsidR="00427468">
        <w:t xml:space="preserve"> of </w:t>
      </w:r>
      <w:r w:rsidR="003A1917">
        <w:t xml:space="preserve">the </w:t>
      </w:r>
      <w:r w:rsidRPr="001A3D2B">
        <w:t>author</w:t>
      </w:r>
      <w:r w:rsidR="0071223E">
        <w:t>’</w:t>
      </w:r>
      <w:r w:rsidR="00C13DDC">
        <w:t>s</w:t>
      </w:r>
      <w:r w:rsidRPr="001A3D2B">
        <w:t xml:space="preserve"> affiliation field, we were able to determine</w:t>
      </w:r>
      <w:r w:rsidR="003A1917">
        <w:t xml:space="preserve"> the </w:t>
      </w:r>
      <w:r w:rsidRPr="001A3D2B">
        <w:t>number</w:t>
      </w:r>
      <w:r w:rsidR="00427468">
        <w:t xml:space="preserve"> of </w:t>
      </w:r>
      <w:r w:rsidRPr="001A3D2B">
        <w:t>publications co-authored by scholars ill each pair</w:t>
      </w:r>
      <w:r w:rsidR="00427468">
        <w:t xml:space="preserve"> of </w:t>
      </w:r>
      <w:r w:rsidRPr="001A3D2B">
        <w:t>universities. Multiple regression analysis was used to determine</w:t>
      </w:r>
      <w:r w:rsidR="003A1917">
        <w:t xml:space="preserve"> the </w:t>
      </w:r>
      <w:r w:rsidRPr="001A3D2B">
        <w:t>influence</w:t>
      </w:r>
      <w:r w:rsidR="00427468">
        <w:t xml:space="preserve"> of </w:t>
      </w:r>
      <w:r w:rsidRPr="001A3D2B">
        <w:t>factors such as geographical distance, province, language, time zone, age,</w:t>
      </w:r>
      <w:r w:rsidR="005853A9">
        <w:t xml:space="preserve"> and </w:t>
      </w:r>
      <w:r w:rsidRPr="001A3D2B">
        <w:t>peer group on collaboration. Only province</w:t>
      </w:r>
      <w:r w:rsidR="005853A9">
        <w:t xml:space="preserve"> and </w:t>
      </w:r>
      <w:r w:rsidRPr="001A3D2B">
        <w:t>peer group were included in</w:t>
      </w:r>
      <w:r w:rsidR="003A1917">
        <w:t xml:space="preserve"> the </w:t>
      </w:r>
      <w:r w:rsidRPr="001A3D2B">
        <w:t>final regression model.</w:t>
      </w:r>
    </w:p>
    <w:p w:rsidR="003474F2" w:rsidRPr="001A3D2B" w:rsidRDefault="003474F2" w:rsidP="003474F2">
      <w:pPr>
        <w:pStyle w:val="a3"/>
      </w:pPr>
      <w:r w:rsidRPr="001A3D2B">
        <w:t xml:space="preserve">Keywords: Affiliation, Age, Analysis, Canada, Citation, Collaboration, Data, Database, Field, Group, Influence, Language, Model, Peer, Peer Group, Publications, Regression, Regression Analysis, Regression Model, Science Citation Index, Social Science Citation Index, Sources, Universities, </w:t>
      </w:r>
      <w:r w:rsidR="00D5664A">
        <w:t>Web</w:t>
      </w:r>
      <w:r w:rsidR="00427468">
        <w:t xml:space="preserve"> of </w:t>
      </w:r>
      <w:r w:rsidR="00D5664A">
        <w:t>Science</w:t>
      </w:r>
    </w:p>
    <w:p w:rsidR="0063410A" w:rsidRDefault="0063410A" w:rsidP="00523E4F">
      <w:pPr>
        <w:pStyle w:val="a3"/>
        <w:rPr>
          <w:kern w:val="0"/>
        </w:rPr>
      </w:pPr>
      <w:r>
        <w:rPr>
          <w:rFonts w:hint="eastAsia"/>
          <w:kern w:val="0"/>
        </w:rPr>
        <w:t>Notes: UUniversity</w:t>
      </w:r>
    </w:p>
    <w:p w:rsidR="00523E4F" w:rsidRPr="00C73C58" w:rsidRDefault="00523E4F" w:rsidP="00523E4F">
      <w:pPr>
        <w:pStyle w:val="a3"/>
        <w:rPr>
          <w:kern w:val="0"/>
        </w:rPr>
      </w:pPr>
      <w:r w:rsidRPr="00C73C58">
        <w:rPr>
          <w:kern w:val="0"/>
        </w:rPr>
        <w:t>? Prime-Claverie, C., Pouchot, S., Lafouge, T.</w:t>
      </w:r>
      <w:r w:rsidR="005853A9">
        <w:rPr>
          <w:kern w:val="0"/>
        </w:rPr>
        <w:t xml:space="preserve"> and </w:t>
      </w:r>
      <w:r w:rsidRPr="00C73C58">
        <w:rPr>
          <w:kern w:val="0"/>
        </w:rPr>
        <w:t>Epron, B. (2006), Visibility</w:t>
      </w:r>
      <w:r w:rsidR="00427468">
        <w:rPr>
          <w:kern w:val="0"/>
        </w:rPr>
        <w:t xml:space="preserve"> of </w:t>
      </w:r>
      <w:r w:rsidR="003A1917">
        <w:rPr>
          <w:kern w:val="0"/>
        </w:rPr>
        <w:t xml:space="preserve">the </w:t>
      </w:r>
      <w:r w:rsidRPr="00C73C58">
        <w:rPr>
          <w:kern w:val="0"/>
        </w:rPr>
        <w:t>scientific production: A scientometric study at</w:t>
      </w:r>
      <w:r w:rsidR="003A1917">
        <w:rPr>
          <w:kern w:val="0"/>
        </w:rPr>
        <w:t xml:space="preserve"> the </w:t>
      </w:r>
      <w:r w:rsidRPr="00C73C58">
        <w:rPr>
          <w:kern w:val="0"/>
        </w:rPr>
        <w:t>University</w:t>
      </w:r>
      <w:r w:rsidR="00427468">
        <w:rPr>
          <w:kern w:val="0"/>
        </w:rPr>
        <w:t xml:space="preserve"> of </w:t>
      </w:r>
      <w:r w:rsidRPr="00C73C58">
        <w:rPr>
          <w:kern w:val="0"/>
        </w:rPr>
        <w:t xml:space="preserve">Lyon. </w:t>
      </w:r>
      <w:r w:rsidRPr="00C73C58">
        <w:rPr>
          <w:i/>
          <w:iCs/>
          <w:kern w:val="0"/>
        </w:rPr>
        <w:t>Canadian Journal</w:t>
      </w:r>
      <w:r w:rsidR="00427468">
        <w:rPr>
          <w:i/>
          <w:iCs/>
          <w:kern w:val="0"/>
        </w:rPr>
        <w:t xml:space="preserve"> of </w:t>
      </w:r>
      <w:r w:rsidRPr="00C73C58">
        <w:rPr>
          <w:i/>
          <w:iCs/>
          <w:kern w:val="0"/>
        </w:rPr>
        <w:t>Information</w:t>
      </w:r>
      <w:r w:rsidR="005853A9">
        <w:rPr>
          <w:i/>
          <w:iCs/>
          <w:kern w:val="0"/>
        </w:rPr>
        <w:t xml:space="preserve"> and </w:t>
      </w:r>
      <w:r w:rsidRPr="00C73C58">
        <w:rPr>
          <w:i/>
          <w:iCs/>
          <w:kern w:val="0"/>
        </w:rPr>
        <w:t xml:space="preserve">Library Science-Revue Canadienne des Sciences de l </w:t>
      </w:r>
      <w:r w:rsidRPr="00C73C58">
        <w:rPr>
          <w:i/>
          <w:iCs/>
          <w:kern w:val="0"/>
        </w:rPr>
        <w:lastRenderedPageBreak/>
        <w:t>Information et de Bibliotheconomie</w:t>
      </w:r>
      <w:r w:rsidRPr="00C73C58">
        <w:rPr>
          <w:kern w:val="0"/>
        </w:rPr>
        <w:t xml:space="preserve">, </w:t>
      </w:r>
      <w:r w:rsidRPr="00C73C58">
        <w:rPr>
          <w:b/>
          <w:bCs/>
          <w:kern w:val="0"/>
        </w:rPr>
        <w:t>30</w:t>
      </w:r>
      <w:r w:rsidRPr="00C73C58">
        <w:rPr>
          <w:kern w:val="0"/>
        </w:rPr>
        <w:t xml:space="preserve"> (1-2), 104.</w:t>
      </w:r>
    </w:p>
    <w:p w:rsidR="00F371B2" w:rsidRPr="00C73C58" w:rsidRDefault="00F371B2" w:rsidP="00F371B2">
      <w:pPr>
        <w:pStyle w:val="a3"/>
      </w:pPr>
      <w:r w:rsidRPr="00C73C58">
        <w:t xml:space="preserve">Full Text: </w:t>
      </w:r>
      <w:hyperlink r:id="rId59" w:history="1">
        <w:r w:rsidRPr="00F371B2">
          <w:rPr>
            <w:rStyle w:val="a5"/>
          </w:rPr>
          <w:t>2006\Can Jou Inf Lib Sci30, 104.pdf</w:t>
        </w:r>
      </w:hyperlink>
    </w:p>
    <w:p w:rsidR="00B30B9F" w:rsidRPr="001A3D2B" w:rsidRDefault="00B30B9F" w:rsidP="00B30B9F">
      <w:pPr>
        <w:pStyle w:val="a3"/>
        <w:rPr>
          <w:kern w:val="0"/>
        </w:rPr>
      </w:pPr>
      <w:r w:rsidRPr="001A3D2B">
        <w:rPr>
          <w:kern w:val="0"/>
        </w:rPr>
        <w:t>? Taataaeil, N.</w:t>
      </w:r>
      <w:r w:rsidR="005853A9">
        <w:rPr>
          <w:kern w:val="0"/>
        </w:rPr>
        <w:t xml:space="preserve"> and </w:t>
      </w:r>
      <w:r w:rsidRPr="001A3D2B">
        <w:rPr>
          <w:kern w:val="0"/>
        </w:rPr>
        <w:t>Beheshti, J. (2007), Interdisciplinary outreach</w:t>
      </w:r>
      <w:r w:rsidR="00427468">
        <w:rPr>
          <w:kern w:val="0"/>
        </w:rPr>
        <w:t xml:space="preserve"> of </w:t>
      </w:r>
      <w:r w:rsidRPr="001A3D2B">
        <w:rPr>
          <w:kern w:val="0"/>
        </w:rPr>
        <w:t>library</w:t>
      </w:r>
      <w:r w:rsidR="005853A9">
        <w:rPr>
          <w:kern w:val="0"/>
        </w:rPr>
        <w:t xml:space="preserve"> and </w:t>
      </w:r>
      <w:r w:rsidRPr="001A3D2B">
        <w:rPr>
          <w:kern w:val="0"/>
        </w:rPr>
        <w:t xml:space="preserve">information science research as reflected in </w:t>
      </w:r>
      <w:r w:rsidR="00B5188C">
        <w:rPr>
          <w:kern w:val="0"/>
        </w:rPr>
        <w:t>“</w:t>
      </w:r>
      <w:r w:rsidR="003F1552" w:rsidRPr="001A3D2B">
        <w:rPr>
          <w:kern w:val="0"/>
        </w:rPr>
        <w:t>Essential Science In</w:t>
      </w:r>
      <w:r w:rsidRPr="001A3D2B">
        <w:rPr>
          <w:kern w:val="0"/>
        </w:rPr>
        <w:t>dicators</w:t>
      </w:r>
      <w:r w:rsidR="00B5188C">
        <w:rPr>
          <w:kern w:val="0"/>
        </w:rPr>
        <w:t>”</w:t>
      </w:r>
      <w:r w:rsidRPr="001A3D2B">
        <w:rPr>
          <w:kern w:val="0"/>
        </w:rPr>
        <w:t xml:space="preserve">. </w:t>
      </w:r>
      <w:r w:rsidRPr="001A3D2B">
        <w:rPr>
          <w:i/>
          <w:iCs/>
          <w:kern w:val="0"/>
        </w:rPr>
        <w:t>Canadian Journal</w:t>
      </w:r>
      <w:r w:rsidR="00427468">
        <w:rPr>
          <w:i/>
          <w:iCs/>
          <w:kern w:val="0"/>
        </w:rPr>
        <w:t xml:space="preserve"> of </w:t>
      </w:r>
      <w:r w:rsidRPr="001A3D2B">
        <w:rPr>
          <w:i/>
          <w:iCs/>
          <w:kern w:val="0"/>
        </w:rPr>
        <w:t>Information</w:t>
      </w:r>
      <w:r w:rsidR="005853A9">
        <w:rPr>
          <w:i/>
          <w:iCs/>
          <w:kern w:val="0"/>
        </w:rPr>
        <w:t xml:space="preserve"> and </w:t>
      </w:r>
      <w:r w:rsidRPr="001A3D2B">
        <w:rPr>
          <w:i/>
          <w:iCs/>
          <w:kern w:val="0"/>
        </w:rPr>
        <w:t>Library Science-Revue Canadienne des Sciences de l Information et de Bibliotheconomie</w:t>
      </w:r>
      <w:r w:rsidRPr="001A3D2B">
        <w:rPr>
          <w:kern w:val="0"/>
        </w:rPr>
        <w:t xml:space="preserve">, </w:t>
      </w:r>
      <w:r w:rsidRPr="001A3D2B">
        <w:rPr>
          <w:b/>
          <w:bCs/>
          <w:kern w:val="0"/>
        </w:rPr>
        <w:t>31</w:t>
      </w:r>
      <w:r w:rsidRPr="001A3D2B">
        <w:rPr>
          <w:kern w:val="0"/>
        </w:rPr>
        <w:t xml:space="preserve"> (3-4), 278.</w:t>
      </w:r>
    </w:p>
    <w:p w:rsidR="00F371B2" w:rsidRPr="00C73C58" w:rsidRDefault="00F371B2" w:rsidP="00F371B2">
      <w:pPr>
        <w:pStyle w:val="a3"/>
      </w:pPr>
      <w:r w:rsidRPr="00C73C58">
        <w:t xml:space="preserve">Full Text: </w:t>
      </w:r>
      <w:hyperlink r:id="rId60" w:history="1">
        <w:r w:rsidR="00513B53" w:rsidRPr="00513B53">
          <w:rPr>
            <w:rStyle w:val="a5"/>
          </w:rPr>
          <w:t>2007\Can Jou Inf Lib Sci31, 278.pdf</w:t>
        </w:r>
      </w:hyperlink>
    </w:p>
    <w:p w:rsidR="00B30B9F" w:rsidRPr="001A3D2B" w:rsidRDefault="00B30B9F" w:rsidP="00B30B9F">
      <w:pPr>
        <w:pStyle w:val="a3"/>
        <w:rPr>
          <w:kern w:val="0"/>
        </w:rPr>
      </w:pPr>
      <w:r w:rsidRPr="001A3D2B">
        <w:rPr>
          <w:kern w:val="0"/>
        </w:rPr>
        <w:t>Keywords: Research</w:t>
      </w:r>
    </w:p>
    <w:p w:rsidR="00E84364" w:rsidRPr="001A3D2B" w:rsidRDefault="00E84364" w:rsidP="00E84364">
      <w:pPr>
        <w:pStyle w:val="a3"/>
        <w:rPr>
          <w:kern w:val="0"/>
        </w:rPr>
      </w:pPr>
      <w:r w:rsidRPr="001A3D2B">
        <w:rPr>
          <w:kern w:val="0"/>
        </w:rPr>
        <w:t>? Tsay, M.Y. (2008), Analysis</w:t>
      </w:r>
      <w:r w:rsidR="005853A9">
        <w:rPr>
          <w:kern w:val="0"/>
        </w:rPr>
        <w:t xml:space="preserve"> and </w:t>
      </w:r>
      <w:r w:rsidR="00523E4F" w:rsidRPr="001A3D2B">
        <w:rPr>
          <w:kern w:val="0"/>
        </w:rPr>
        <w:t>comparison</w:t>
      </w:r>
      <w:r w:rsidR="00427468">
        <w:rPr>
          <w:kern w:val="0"/>
        </w:rPr>
        <w:t xml:space="preserve"> of </w:t>
      </w:r>
      <w:r w:rsidR="00523E4F" w:rsidRPr="001A3D2B">
        <w:rPr>
          <w:kern w:val="0"/>
        </w:rPr>
        <w:t>citation d</w:t>
      </w:r>
      <w:r w:rsidRPr="001A3D2B">
        <w:rPr>
          <w:kern w:val="0"/>
        </w:rPr>
        <w:t>ata between Journals</w:t>
      </w:r>
      <w:r w:rsidR="00427468">
        <w:rPr>
          <w:kern w:val="0"/>
        </w:rPr>
        <w:t xml:space="preserve"> of </w:t>
      </w:r>
      <w:r w:rsidRPr="001A3D2B">
        <w:rPr>
          <w:kern w:val="0"/>
        </w:rPr>
        <w:t>Education, Library &amp; Information Science,</w:t>
      </w:r>
      <w:r w:rsidR="005853A9">
        <w:rPr>
          <w:kern w:val="0"/>
        </w:rPr>
        <w:t xml:space="preserve"> and </w:t>
      </w:r>
      <w:r w:rsidRPr="001A3D2B">
        <w:rPr>
          <w:kern w:val="0"/>
        </w:rPr>
        <w:t xml:space="preserve">Management. </w:t>
      </w:r>
      <w:r w:rsidRPr="001A3D2B">
        <w:rPr>
          <w:i/>
          <w:iCs/>
          <w:kern w:val="0"/>
        </w:rPr>
        <w:t>Canadian Journal</w:t>
      </w:r>
      <w:r w:rsidR="00427468">
        <w:rPr>
          <w:i/>
          <w:iCs/>
          <w:kern w:val="0"/>
        </w:rPr>
        <w:t xml:space="preserve"> of </w:t>
      </w:r>
      <w:r w:rsidRPr="001A3D2B">
        <w:rPr>
          <w:i/>
          <w:iCs/>
          <w:kern w:val="0"/>
        </w:rPr>
        <w:t>Information</w:t>
      </w:r>
      <w:r w:rsidR="005853A9">
        <w:rPr>
          <w:i/>
          <w:iCs/>
          <w:kern w:val="0"/>
        </w:rPr>
        <w:t xml:space="preserve"> and </w:t>
      </w:r>
      <w:r w:rsidRPr="001A3D2B">
        <w:rPr>
          <w:i/>
          <w:iCs/>
          <w:kern w:val="0"/>
        </w:rPr>
        <w:t>Library Science-Revue Canadienne des Sciences de l Information et de Bibliotheconomie</w:t>
      </w:r>
      <w:r w:rsidRPr="001A3D2B">
        <w:rPr>
          <w:kern w:val="0"/>
        </w:rPr>
        <w:t xml:space="preserve">, </w:t>
      </w:r>
      <w:r w:rsidRPr="001A3D2B">
        <w:rPr>
          <w:b/>
          <w:bCs/>
          <w:kern w:val="0"/>
        </w:rPr>
        <w:t>32</w:t>
      </w:r>
      <w:r w:rsidRPr="001A3D2B">
        <w:rPr>
          <w:kern w:val="0"/>
        </w:rPr>
        <w:t xml:space="preserve"> (1-2), 55-73.</w:t>
      </w:r>
    </w:p>
    <w:p w:rsidR="00F371B2" w:rsidRPr="00C73C58" w:rsidRDefault="00F371B2" w:rsidP="00F371B2">
      <w:pPr>
        <w:pStyle w:val="a3"/>
      </w:pPr>
      <w:r w:rsidRPr="00C73C58">
        <w:t xml:space="preserve">Full Text: </w:t>
      </w:r>
      <w:hyperlink r:id="rId61" w:history="1">
        <w:r w:rsidRPr="00C456C2">
          <w:rPr>
            <w:rStyle w:val="a5"/>
          </w:rPr>
          <w:t>2008\Can Jou Inf Lib Sci32, 55.pdf</w:t>
        </w:r>
      </w:hyperlink>
    </w:p>
    <w:p w:rsidR="00E84364" w:rsidRPr="001A3D2B" w:rsidRDefault="00E84364" w:rsidP="00E84364">
      <w:pPr>
        <w:pStyle w:val="a3"/>
        <w:rPr>
          <w:kern w:val="0"/>
        </w:rPr>
      </w:pPr>
      <w:r w:rsidRPr="001A3D2B">
        <w:rPr>
          <w:kern w:val="0"/>
        </w:rPr>
        <w:t>Abstract: This study analyzes</w:t>
      </w:r>
      <w:r w:rsidR="005853A9">
        <w:rPr>
          <w:kern w:val="0"/>
        </w:rPr>
        <w:t xml:space="preserve"> and </w:t>
      </w:r>
      <w:r w:rsidRPr="001A3D2B">
        <w:rPr>
          <w:kern w:val="0"/>
        </w:rPr>
        <w:t>compares</w:t>
      </w:r>
      <w:r w:rsidR="003A1917">
        <w:rPr>
          <w:kern w:val="0"/>
        </w:rPr>
        <w:t xml:space="preserve"> the </w:t>
      </w:r>
      <w:r w:rsidRPr="001A3D2B">
        <w:rPr>
          <w:kern w:val="0"/>
        </w:rPr>
        <w:t>journal citation data on education, library</w:t>
      </w:r>
      <w:r w:rsidR="005853A9">
        <w:rPr>
          <w:kern w:val="0"/>
        </w:rPr>
        <w:t xml:space="preserve"> and </w:t>
      </w:r>
      <w:r w:rsidRPr="001A3D2B">
        <w:rPr>
          <w:kern w:val="0"/>
        </w:rPr>
        <w:t>information science,</w:t>
      </w:r>
      <w:r w:rsidR="005853A9">
        <w:rPr>
          <w:kern w:val="0"/>
        </w:rPr>
        <w:t xml:space="preserve"> and </w:t>
      </w:r>
      <w:r w:rsidRPr="001A3D2B">
        <w:rPr>
          <w:kern w:val="0"/>
        </w:rPr>
        <w:t xml:space="preserve">management, based on information from </w:t>
      </w:r>
      <w:r w:rsidR="00D5664A">
        <w:rPr>
          <w:kern w:val="0"/>
        </w:rPr>
        <w:t>SSCI</w:t>
      </w:r>
      <w:r w:rsidRPr="001A3D2B">
        <w:rPr>
          <w:kern w:val="0"/>
        </w:rPr>
        <w:t xml:space="preserve"> Journal Citation Reports (2004), a subscription-based database</w:t>
      </w:r>
      <w:r w:rsidR="00A37C1D">
        <w:rPr>
          <w:kern w:val="0"/>
        </w:rPr>
        <w:t>. The</w:t>
      </w:r>
      <w:r w:rsidR="003A1917">
        <w:rPr>
          <w:kern w:val="0"/>
        </w:rPr>
        <w:t xml:space="preserve"> </w:t>
      </w:r>
      <w:r w:rsidRPr="001A3D2B">
        <w:rPr>
          <w:kern w:val="0"/>
        </w:rPr>
        <w:t>correlation between each</w:t>
      </w:r>
      <w:r w:rsidR="00427468">
        <w:rPr>
          <w:kern w:val="0"/>
        </w:rPr>
        <w:t xml:space="preserve"> of </w:t>
      </w:r>
      <w:r w:rsidR="003A1917">
        <w:rPr>
          <w:kern w:val="0"/>
        </w:rPr>
        <w:t xml:space="preserve">the </w:t>
      </w:r>
      <w:r w:rsidRPr="001A3D2B">
        <w:rPr>
          <w:kern w:val="0"/>
        </w:rPr>
        <w:t>fifteen pairs</w:t>
      </w:r>
      <w:r w:rsidR="00427468">
        <w:rPr>
          <w:kern w:val="0"/>
        </w:rPr>
        <w:t xml:space="preserve"> of </w:t>
      </w:r>
      <w:r w:rsidRPr="001A3D2B">
        <w:rPr>
          <w:kern w:val="0"/>
        </w:rPr>
        <w:t>source items</w:t>
      </w:r>
      <w:r w:rsidR="005853A9">
        <w:rPr>
          <w:kern w:val="0"/>
        </w:rPr>
        <w:t xml:space="preserve"> and </w:t>
      </w:r>
      <w:r w:rsidRPr="001A3D2B">
        <w:rPr>
          <w:kern w:val="0"/>
        </w:rPr>
        <w:t>five kinds</w:t>
      </w:r>
      <w:r w:rsidR="00427468">
        <w:rPr>
          <w:kern w:val="0"/>
        </w:rPr>
        <w:t xml:space="preserve"> of </w:t>
      </w:r>
      <w:r w:rsidRPr="001A3D2B">
        <w:rPr>
          <w:kern w:val="0"/>
        </w:rPr>
        <w:t>citation data-citation count, impact factor, immediacy index, citing half-fife,</w:t>
      </w:r>
      <w:r w:rsidR="005853A9">
        <w:rPr>
          <w:kern w:val="0"/>
        </w:rPr>
        <w:t xml:space="preserve"> and </w:t>
      </w:r>
      <w:r w:rsidRPr="001A3D2B">
        <w:rPr>
          <w:kern w:val="0"/>
        </w:rPr>
        <w:t>cited half-fife-are examined based on</w:t>
      </w:r>
      <w:r w:rsidR="003A1917">
        <w:rPr>
          <w:kern w:val="0"/>
        </w:rPr>
        <w:t xml:space="preserve"> the </w:t>
      </w:r>
      <w:r w:rsidRPr="001A3D2B">
        <w:rPr>
          <w:kern w:val="0"/>
        </w:rPr>
        <w:t>Pearson correlation tests</w:t>
      </w:r>
      <w:r w:rsidR="00A37C1D">
        <w:rPr>
          <w:kern w:val="0"/>
        </w:rPr>
        <w:t>. The</w:t>
      </w:r>
      <w:r w:rsidR="003A1917">
        <w:rPr>
          <w:kern w:val="0"/>
        </w:rPr>
        <w:t xml:space="preserve"> </w:t>
      </w:r>
      <w:r w:rsidRPr="001A3D2B">
        <w:rPr>
          <w:kern w:val="0"/>
        </w:rPr>
        <w:t>Fisher</w:t>
      </w:r>
      <w:r w:rsidR="0071223E">
        <w:rPr>
          <w:kern w:val="0"/>
        </w:rPr>
        <w:t>’</w:t>
      </w:r>
      <w:r w:rsidR="00C13DDC">
        <w:rPr>
          <w:kern w:val="0"/>
        </w:rPr>
        <w:t>s</w:t>
      </w:r>
      <w:r w:rsidRPr="001A3D2B">
        <w:rPr>
          <w:kern w:val="0"/>
        </w:rPr>
        <w:t xml:space="preserve"> z-transform is employed to test</w:t>
      </w:r>
      <w:r w:rsidR="003A1917">
        <w:rPr>
          <w:kern w:val="0"/>
        </w:rPr>
        <w:t xml:space="preserve"> the </w:t>
      </w:r>
      <w:r w:rsidRPr="001A3D2B">
        <w:rPr>
          <w:kern w:val="0"/>
        </w:rPr>
        <w:t>significant difference between</w:t>
      </w:r>
      <w:r w:rsidR="003A1917">
        <w:rPr>
          <w:kern w:val="0"/>
        </w:rPr>
        <w:t xml:space="preserve"> the </w:t>
      </w:r>
      <w:r w:rsidRPr="001A3D2B">
        <w:rPr>
          <w:kern w:val="0"/>
        </w:rPr>
        <w:t>Pearson correlation coefficient for each pair</w:t>
      </w:r>
      <w:r w:rsidR="00427468">
        <w:rPr>
          <w:kern w:val="0"/>
        </w:rPr>
        <w:t xml:space="preserve"> of </w:t>
      </w:r>
      <w:r w:rsidRPr="001A3D2B">
        <w:rPr>
          <w:kern w:val="0"/>
        </w:rPr>
        <w:t>citation data from</w:t>
      </w:r>
      <w:r w:rsidR="003A1917">
        <w:rPr>
          <w:kern w:val="0"/>
        </w:rPr>
        <w:t xml:space="preserve"> the </w:t>
      </w:r>
      <w:r w:rsidRPr="001A3D2B">
        <w:rPr>
          <w:kern w:val="0"/>
        </w:rPr>
        <w:t>three subject areas</w:t>
      </w:r>
      <w:r w:rsidR="00A37C1D">
        <w:rPr>
          <w:kern w:val="0"/>
        </w:rPr>
        <w:t>. The</w:t>
      </w:r>
      <w:r w:rsidR="003A1917">
        <w:rPr>
          <w:kern w:val="0"/>
        </w:rPr>
        <w:t xml:space="preserve"> </w:t>
      </w:r>
      <w:r w:rsidRPr="001A3D2B">
        <w:rPr>
          <w:kern w:val="0"/>
        </w:rPr>
        <w:t>significance</w:t>
      </w:r>
      <w:r w:rsidR="00427468">
        <w:rPr>
          <w:kern w:val="0"/>
        </w:rPr>
        <w:t xml:space="preserve"> of </w:t>
      </w:r>
      <w:r w:rsidRPr="001A3D2B">
        <w:rPr>
          <w:kern w:val="0"/>
        </w:rPr>
        <w:t>mean difference</w:t>
      </w:r>
      <w:r w:rsidR="00427468">
        <w:rPr>
          <w:kern w:val="0"/>
        </w:rPr>
        <w:t xml:space="preserve"> of </w:t>
      </w:r>
      <w:r w:rsidRPr="001A3D2B">
        <w:rPr>
          <w:kern w:val="0"/>
        </w:rPr>
        <w:t>each citation data was examined by t test</w:t>
      </w:r>
      <w:r w:rsidR="00A37C1D">
        <w:rPr>
          <w:kern w:val="0"/>
        </w:rPr>
        <w:t>. The</w:t>
      </w:r>
      <w:r w:rsidR="003A1917">
        <w:rPr>
          <w:kern w:val="0"/>
        </w:rPr>
        <w:t xml:space="preserve"> </w:t>
      </w:r>
      <w:r w:rsidRPr="001A3D2B">
        <w:rPr>
          <w:kern w:val="0"/>
        </w:rPr>
        <w:t>similarities</w:t>
      </w:r>
      <w:r w:rsidR="005853A9">
        <w:rPr>
          <w:kern w:val="0"/>
        </w:rPr>
        <w:t xml:space="preserve"> and </w:t>
      </w:r>
      <w:r w:rsidRPr="001A3D2B">
        <w:rPr>
          <w:kern w:val="0"/>
        </w:rPr>
        <w:t>differences in citation data among</w:t>
      </w:r>
      <w:r w:rsidR="003A1917">
        <w:rPr>
          <w:kern w:val="0"/>
        </w:rPr>
        <w:t xml:space="preserve"> the </w:t>
      </w:r>
      <w:r w:rsidRPr="001A3D2B">
        <w:rPr>
          <w:kern w:val="0"/>
        </w:rPr>
        <w:t>three subjects are identified.</w:t>
      </w:r>
    </w:p>
    <w:p w:rsidR="00E84364" w:rsidRPr="001A3D2B" w:rsidRDefault="00E84364" w:rsidP="00E84364">
      <w:pPr>
        <w:pStyle w:val="a3"/>
        <w:rPr>
          <w:kern w:val="0"/>
        </w:rPr>
      </w:pPr>
      <w:r w:rsidRPr="001A3D2B">
        <w:rPr>
          <w:kern w:val="0"/>
        </w:rPr>
        <w:t>Keywords: Bibliometric Analysis, Citation, Impact, Impact Factor, Management, Obsolescence</w:t>
      </w:r>
    </w:p>
    <w:p w:rsidR="009D0547" w:rsidRDefault="009D0547" w:rsidP="009D0547">
      <w:pPr>
        <w:pStyle w:val="a3"/>
        <w:rPr>
          <w:kern w:val="0"/>
        </w:rPr>
      </w:pPr>
      <w:r>
        <w:rPr>
          <w:rFonts w:hint="eastAsia"/>
          <w:kern w:val="0"/>
        </w:rPr>
        <w:t xml:space="preserve">? </w:t>
      </w:r>
      <w:r>
        <w:rPr>
          <w:kern w:val="0"/>
        </w:rPr>
        <w:t xml:space="preserve">Jank, D.A. (2010), Toward a unifying ontology for human-information interaction. </w:t>
      </w:r>
      <w:r>
        <w:rPr>
          <w:i/>
          <w:iCs/>
          <w:kern w:val="0"/>
        </w:rPr>
        <w:t>Canadian Journal</w:t>
      </w:r>
      <w:r w:rsidR="00427468">
        <w:rPr>
          <w:i/>
          <w:iCs/>
          <w:kern w:val="0"/>
        </w:rPr>
        <w:t xml:space="preserve"> of </w:t>
      </w:r>
      <w:r>
        <w:rPr>
          <w:i/>
          <w:iCs/>
          <w:kern w:val="0"/>
        </w:rPr>
        <w:t>Information</w:t>
      </w:r>
      <w:r w:rsidR="005853A9">
        <w:rPr>
          <w:i/>
          <w:iCs/>
          <w:kern w:val="0"/>
        </w:rPr>
        <w:t xml:space="preserve"> and </w:t>
      </w:r>
      <w:r>
        <w:rPr>
          <w:i/>
          <w:iCs/>
          <w:kern w:val="0"/>
        </w:rPr>
        <w:t>Library Science-Revue Canadienne des Sciences de l Information et de Bibliotheconomie</w:t>
      </w:r>
      <w:r>
        <w:rPr>
          <w:kern w:val="0"/>
        </w:rPr>
        <w:t xml:space="preserve">, </w:t>
      </w:r>
      <w:r>
        <w:rPr>
          <w:b/>
          <w:bCs/>
          <w:kern w:val="0"/>
        </w:rPr>
        <w:t>34</w:t>
      </w:r>
      <w:r>
        <w:rPr>
          <w:kern w:val="0"/>
        </w:rPr>
        <w:t xml:space="preserve"> (4), 403-432.</w:t>
      </w:r>
    </w:p>
    <w:p w:rsidR="009D0547" w:rsidRPr="00C73C58" w:rsidRDefault="009D0547" w:rsidP="009D0547">
      <w:pPr>
        <w:pStyle w:val="a3"/>
      </w:pPr>
      <w:r w:rsidRPr="00C73C58">
        <w:t xml:space="preserve">Full Text: </w:t>
      </w:r>
      <w:hyperlink r:id="rId62" w:history="1">
        <w:r w:rsidR="00894DCF" w:rsidRPr="00894DCF">
          <w:rPr>
            <w:rStyle w:val="a5"/>
          </w:rPr>
          <w:t>2010\Can Jou Inf Lib Sci34, 403.pdf</w:t>
        </w:r>
      </w:hyperlink>
    </w:p>
    <w:p w:rsidR="009D0547" w:rsidRDefault="009D0547" w:rsidP="009D0547">
      <w:pPr>
        <w:pStyle w:val="a3"/>
        <w:rPr>
          <w:kern w:val="0"/>
        </w:rPr>
      </w:pPr>
      <w:r>
        <w:rPr>
          <w:kern w:val="0"/>
        </w:rPr>
        <w:t>Abstract: Research agendas in human-information interaction (HII) are often varied</w:t>
      </w:r>
      <w:r w:rsidR="005853A9">
        <w:rPr>
          <w:kern w:val="0"/>
        </w:rPr>
        <w:t xml:space="preserve"> and </w:t>
      </w:r>
      <w:r>
        <w:rPr>
          <w:kern w:val="0"/>
        </w:rPr>
        <w:t>thematically divergent. Through</w:t>
      </w:r>
      <w:r w:rsidR="003A1917">
        <w:rPr>
          <w:kern w:val="0"/>
        </w:rPr>
        <w:t xml:space="preserve"> the </w:t>
      </w:r>
      <w:r>
        <w:rPr>
          <w:kern w:val="0"/>
        </w:rPr>
        <w:t>interdisciplinary lens</w:t>
      </w:r>
      <w:r w:rsidR="00427468">
        <w:rPr>
          <w:kern w:val="0"/>
        </w:rPr>
        <w:t xml:space="preserve"> of </w:t>
      </w:r>
      <w:r>
        <w:rPr>
          <w:kern w:val="0"/>
        </w:rPr>
        <w:t>information studies, a more convergent view</w:t>
      </w:r>
      <w:r w:rsidR="00427468">
        <w:rPr>
          <w:kern w:val="0"/>
        </w:rPr>
        <w:t xml:space="preserve"> of </w:t>
      </w:r>
      <w:r>
        <w:rPr>
          <w:kern w:val="0"/>
        </w:rPr>
        <w:t>HII scholarship emerges</w:t>
      </w:r>
      <w:r w:rsidR="00A37C1D">
        <w:rPr>
          <w:kern w:val="0"/>
        </w:rPr>
        <w:t>. The</w:t>
      </w:r>
      <w:r w:rsidR="003A1917">
        <w:rPr>
          <w:kern w:val="0"/>
        </w:rPr>
        <w:t xml:space="preserve"> </w:t>
      </w:r>
      <w:r>
        <w:rPr>
          <w:kern w:val="0"/>
        </w:rPr>
        <w:t>purpose</w:t>
      </w:r>
      <w:r w:rsidR="00427468">
        <w:rPr>
          <w:kern w:val="0"/>
        </w:rPr>
        <w:t xml:space="preserve"> of </w:t>
      </w:r>
      <w:r>
        <w:rPr>
          <w:kern w:val="0"/>
        </w:rPr>
        <w:t>this paper is twofold: to provide a summary</w:t>
      </w:r>
      <w:r w:rsidR="00427468">
        <w:rPr>
          <w:kern w:val="0"/>
        </w:rPr>
        <w:t xml:space="preserve"> of </w:t>
      </w:r>
      <w:r>
        <w:rPr>
          <w:kern w:val="0"/>
        </w:rPr>
        <w:t>dissertation research that taxonomically documents</w:t>
      </w:r>
      <w:r w:rsidR="003A1917">
        <w:rPr>
          <w:kern w:val="0"/>
        </w:rPr>
        <w:t xml:space="preserve"> the </w:t>
      </w:r>
      <w:r>
        <w:rPr>
          <w:kern w:val="0"/>
        </w:rPr>
        <w:t>divergent scholarship in human-information interaction,</w:t>
      </w:r>
      <w:r w:rsidR="005853A9">
        <w:rPr>
          <w:kern w:val="0"/>
        </w:rPr>
        <w:t xml:space="preserve"> and </w:t>
      </w:r>
      <w:r>
        <w:rPr>
          <w:kern w:val="0"/>
        </w:rPr>
        <w:t>to construct a unifying ontology</w:t>
      </w:r>
      <w:r w:rsidR="00427468">
        <w:rPr>
          <w:kern w:val="0"/>
        </w:rPr>
        <w:t xml:space="preserve"> of </w:t>
      </w:r>
      <w:r>
        <w:rPr>
          <w:kern w:val="0"/>
        </w:rPr>
        <w:t>HII discourse, using bibliometric techniques, that may serve as a map</w:t>
      </w:r>
      <w:r w:rsidR="00427468">
        <w:rPr>
          <w:kern w:val="0"/>
        </w:rPr>
        <w:t xml:space="preserve"> of </w:t>
      </w:r>
      <w:r w:rsidR="003A1917">
        <w:rPr>
          <w:kern w:val="0"/>
        </w:rPr>
        <w:t xml:space="preserve">the </w:t>
      </w:r>
      <w:r>
        <w:rPr>
          <w:kern w:val="0"/>
        </w:rPr>
        <w:t>research front</w:t>
      </w:r>
      <w:r w:rsidR="00427468">
        <w:rPr>
          <w:kern w:val="0"/>
        </w:rPr>
        <w:t xml:space="preserve"> of </w:t>
      </w:r>
      <w:r>
        <w:rPr>
          <w:kern w:val="0"/>
        </w:rPr>
        <w:t>human-information interaction for</w:t>
      </w:r>
      <w:r w:rsidR="003A1917">
        <w:rPr>
          <w:kern w:val="0"/>
        </w:rPr>
        <w:t xml:space="preserve"> the </w:t>
      </w:r>
      <w:r>
        <w:rPr>
          <w:kern w:val="0"/>
        </w:rPr>
        <w:t>information scientist.</w:t>
      </w:r>
    </w:p>
    <w:p w:rsidR="009D0547" w:rsidRDefault="009D0547" w:rsidP="009D0547">
      <w:pPr>
        <w:pStyle w:val="a3"/>
        <w:rPr>
          <w:kern w:val="0"/>
        </w:rPr>
      </w:pPr>
      <w:r>
        <w:rPr>
          <w:kern w:val="0"/>
        </w:rPr>
        <w:t xml:space="preserve">Keywords: Attitudes, Behavior, Bibliometric, Bibliometric Techniques, Classification, Cocitation Analysis, Context, Discourse, Domain Analysis, Human-Information </w:t>
      </w:r>
      <w:r>
        <w:rPr>
          <w:kern w:val="0"/>
        </w:rPr>
        <w:lastRenderedPageBreak/>
        <w:t>Interaction, Information, Information Seeking Behavior, Interaction, Interdisciplinary, Model, Online, Ontology, Purpose, Relationship Theory, Research, Research Front, Scholarship, Science, Seeking, Taxonomy, Techniques</w:t>
      </w:r>
    </w:p>
    <w:p w:rsidR="00795FC7" w:rsidRDefault="00795FC7" w:rsidP="00795FC7">
      <w:pPr>
        <w:pStyle w:val="a3"/>
        <w:rPr>
          <w:kern w:val="0"/>
        </w:rPr>
      </w:pPr>
      <w:r>
        <w:rPr>
          <w:kern w:val="0"/>
        </w:rPr>
        <w:t xml:space="preserve">? Mêgnigbêto, E. (2014), Collaboration in scientific and technology research in Benin: 2005-2009. </w:t>
      </w:r>
      <w:r>
        <w:rPr>
          <w:i/>
          <w:iCs/>
          <w:kern w:val="0"/>
        </w:rPr>
        <w:t>Canadian Journal of Information and Library Science-Revue Canadienne des Sciences de l Information et de Bibliotheconomie</w:t>
      </w:r>
      <w:r>
        <w:rPr>
          <w:kern w:val="0"/>
        </w:rPr>
        <w:t xml:space="preserve">, </w:t>
      </w:r>
      <w:r>
        <w:rPr>
          <w:b/>
          <w:bCs/>
          <w:kern w:val="0"/>
        </w:rPr>
        <w:t>38</w:t>
      </w:r>
      <w:r>
        <w:rPr>
          <w:kern w:val="0"/>
        </w:rPr>
        <w:t xml:space="preserve"> (3), 188-204.</w:t>
      </w:r>
    </w:p>
    <w:p w:rsidR="00795FC7" w:rsidRPr="00C73C58" w:rsidRDefault="00795FC7" w:rsidP="00795FC7">
      <w:pPr>
        <w:pStyle w:val="a3"/>
      </w:pPr>
      <w:r w:rsidRPr="00C73C58">
        <w:t xml:space="preserve">Full Text: </w:t>
      </w:r>
      <w:hyperlink r:id="rId63" w:history="1">
        <w:r w:rsidRPr="00B34AC2">
          <w:rPr>
            <w:rStyle w:val="a5"/>
          </w:rPr>
          <w:t>2014\Can Jou Inf Lib Sci38, 188.pdf</w:t>
        </w:r>
      </w:hyperlink>
    </w:p>
    <w:p w:rsidR="00795FC7" w:rsidRDefault="00795FC7" w:rsidP="00795FC7">
      <w:pPr>
        <w:pStyle w:val="a3"/>
        <w:rPr>
          <w:kern w:val="0"/>
        </w:rPr>
      </w:pPr>
      <w:r>
        <w:rPr>
          <w:kern w:val="0"/>
        </w:rPr>
        <w:t>Abstract: This paper studies scientific collaboration in the Beninese national research system. References to publications in Web of Science with at least one Benin-based co-author address were collected. Only papers published from 2005 to 2009 (a five-year period) were selected. Results show that over 80% of papers have at least one co-author with a foreign address. The Universite d’Abomey-Calavi is the centre of the institutional collaboration network. Authors’ collaboration network reveals several sub-groups of different sizes and cohesion. The most prominent subgroups are those of the authors specialized in Natural Sciences, Medical and Health Sciences or Engineering Sciences and Technology.</w:t>
      </w:r>
    </w:p>
    <w:p w:rsidR="00795FC7" w:rsidRDefault="00795FC7" w:rsidP="00795FC7">
      <w:pPr>
        <w:pStyle w:val="a3"/>
        <w:rPr>
          <w:kern w:val="0"/>
        </w:rPr>
      </w:pPr>
      <w:r>
        <w:rPr>
          <w:kern w:val="0"/>
        </w:rPr>
        <w:t>Keywords: Africa, Authors, Benin, Centrality, Co-Author, Collaboration, Engineering, Engineering Sciences, From, Health, Medical, Network, Networks, Papers, Publications, References, Research, Research Collaboration, Research Evaluation, Research Policy, Results, Science, Sciences, Scientific And Technology Research, Scientific Collaboration, Technology, Web Of Science</w:t>
      </w:r>
    </w:p>
    <w:p w:rsidR="00D95E95" w:rsidRPr="00C73C58" w:rsidRDefault="00D95E95" w:rsidP="00D95E95">
      <w:pPr>
        <w:pStyle w:val="1"/>
      </w:pPr>
      <w:r w:rsidRPr="00C73C58">
        <w:br w:type="page"/>
      </w:r>
      <w:bookmarkStart w:id="29" w:name="_Toc420814880"/>
      <w:r w:rsidRPr="00C73C58">
        <w:lastRenderedPageBreak/>
        <w:t xml:space="preserve">Title: </w:t>
      </w:r>
      <w:r w:rsidRPr="000739B0">
        <w:t>Canadian Journal</w:t>
      </w:r>
      <w:r w:rsidR="00427468">
        <w:rPr>
          <w:iCs w:val="0"/>
        </w:rPr>
        <w:t xml:space="preserve"> of </w:t>
      </w:r>
      <w:r w:rsidRPr="000739B0">
        <w:t xml:space="preserve">Ophthalmology-Journal Canadien </w:t>
      </w:r>
      <w:r w:rsidRPr="000739B0">
        <w:rPr>
          <w:iCs w:val="0"/>
        </w:rPr>
        <w:t>d</w:t>
      </w:r>
      <w:r w:rsidR="0071223E">
        <w:rPr>
          <w:iCs w:val="0"/>
        </w:rPr>
        <w:t>’</w:t>
      </w:r>
      <w:r w:rsidRPr="000739B0">
        <w:t>Ophtalmologie</w:t>
      </w:r>
      <w:bookmarkEnd w:id="29"/>
    </w:p>
    <w:p w:rsidR="00D95E95" w:rsidRPr="00C73C58" w:rsidRDefault="00D95E95" w:rsidP="00D95E95">
      <w:pPr>
        <w:pStyle w:val="12"/>
      </w:pPr>
      <w:r w:rsidRPr="00C73C58">
        <w:t xml:space="preserve">Full Journal Title: </w:t>
      </w:r>
      <w:r w:rsidRPr="000739B0">
        <w:rPr>
          <w:iCs/>
          <w:kern w:val="0"/>
        </w:rPr>
        <w:t>Canadian Journal</w:t>
      </w:r>
      <w:r w:rsidR="00427468">
        <w:rPr>
          <w:iCs/>
          <w:kern w:val="0"/>
        </w:rPr>
        <w:t xml:space="preserve"> of </w:t>
      </w:r>
      <w:r w:rsidRPr="000739B0">
        <w:rPr>
          <w:iCs/>
          <w:kern w:val="0"/>
        </w:rPr>
        <w:t>Ophthalmology-Journal Canadien d</w:t>
      </w:r>
      <w:r w:rsidR="0071223E">
        <w:rPr>
          <w:iCs/>
          <w:kern w:val="0"/>
        </w:rPr>
        <w:t>’</w:t>
      </w:r>
      <w:r w:rsidRPr="000739B0">
        <w:rPr>
          <w:iCs/>
          <w:kern w:val="0"/>
        </w:rPr>
        <w:t>Ophtalmologie</w:t>
      </w:r>
    </w:p>
    <w:p w:rsidR="00D95E95" w:rsidRPr="00C73C58" w:rsidRDefault="00D95E95" w:rsidP="00D95E95">
      <w:pPr>
        <w:pStyle w:val="12"/>
      </w:pPr>
      <w:r w:rsidRPr="00C73C58">
        <w:t xml:space="preserve">ISO Abbreviated </w:t>
      </w:r>
      <w:r>
        <w:t xml:space="preserve">Title: </w:t>
      </w:r>
    </w:p>
    <w:p w:rsidR="00D95E95" w:rsidRPr="00C73C58" w:rsidRDefault="00D95E95" w:rsidP="00D95E95">
      <w:pPr>
        <w:pStyle w:val="12"/>
      </w:pPr>
      <w:r>
        <w:t xml:space="preserve">JCR Abbreviated Title: </w:t>
      </w:r>
    </w:p>
    <w:p w:rsidR="00D95E95" w:rsidRPr="00C73C58" w:rsidRDefault="00D95E95" w:rsidP="00D95E95">
      <w:pPr>
        <w:pStyle w:val="12"/>
      </w:pPr>
      <w:r w:rsidRPr="00C73C58">
        <w:t xml:space="preserve">ISSN: </w:t>
      </w:r>
    </w:p>
    <w:p w:rsidR="00D95E95" w:rsidRPr="00C73C58" w:rsidRDefault="00D95E95" w:rsidP="00D95E95">
      <w:pPr>
        <w:pStyle w:val="12"/>
      </w:pPr>
      <w:r w:rsidRPr="00C73C58">
        <w:t xml:space="preserve">Issues/Year: </w:t>
      </w:r>
    </w:p>
    <w:p w:rsidR="00D95E95" w:rsidRPr="00C73C58" w:rsidRDefault="00D95E95" w:rsidP="00D95E95">
      <w:pPr>
        <w:pStyle w:val="12"/>
      </w:pPr>
      <w:r w:rsidRPr="00C73C58">
        <w:t xml:space="preserve">Journal Country/Territory: </w:t>
      </w:r>
    </w:p>
    <w:p w:rsidR="00D95E95" w:rsidRPr="00C73C58" w:rsidRDefault="00D95E95" w:rsidP="00D95E95">
      <w:pPr>
        <w:pStyle w:val="12"/>
      </w:pPr>
      <w:r w:rsidRPr="00C73C58">
        <w:t xml:space="preserve">Language: </w:t>
      </w:r>
    </w:p>
    <w:p w:rsidR="00D95E95" w:rsidRPr="00C73C58" w:rsidRDefault="00D95E95" w:rsidP="00D95E95">
      <w:pPr>
        <w:pStyle w:val="12"/>
      </w:pPr>
      <w:r w:rsidRPr="00C73C58">
        <w:t xml:space="preserve">Publisher: </w:t>
      </w:r>
    </w:p>
    <w:p w:rsidR="00D95E95" w:rsidRPr="00C73C58" w:rsidRDefault="00D95E95" w:rsidP="00D95E95">
      <w:pPr>
        <w:pStyle w:val="12"/>
      </w:pPr>
      <w:r w:rsidRPr="00C73C58">
        <w:t xml:space="preserve">Publisher Address: </w:t>
      </w:r>
    </w:p>
    <w:p w:rsidR="00D95E95" w:rsidRPr="00C73C58" w:rsidRDefault="00D95E95" w:rsidP="00D95E95">
      <w:pPr>
        <w:pStyle w:val="12"/>
      </w:pPr>
      <w:r w:rsidRPr="00C73C58">
        <w:t xml:space="preserve">Subject Categories: </w:t>
      </w:r>
    </w:p>
    <w:p w:rsidR="00D95E95" w:rsidRPr="00C73C58" w:rsidRDefault="00D95E95" w:rsidP="00D95E95">
      <w:pPr>
        <w:pStyle w:val="12"/>
      </w:pPr>
      <w:r w:rsidRPr="00C73C58">
        <w:t xml:space="preserve">: Impact Factor </w:t>
      </w:r>
    </w:p>
    <w:p w:rsidR="00D95E95" w:rsidRDefault="00D95E95" w:rsidP="00D95E95">
      <w:pPr>
        <w:pStyle w:val="a3"/>
        <w:rPr>
          <w:kern w:val="0"/>
        </w:rPr>
      </w:pPr>
      <w:r>
        <w:rPr>
          <w:rFonts w:hint="eastAsia"/>
          <w:kern w:val="0"/>
        </w:rPr>
        <w:t xml:space="preserve">? </w:t>
      </w:r>
      <w:r>
        <w:rPr>
          <w:kern w:val="0"/>
        </w:rPr>
        <w:t>Micieli, J.A., Micieli, A.</w:t>
      </w:r>
      <w:r w:rsidR="005853A9">
        <w:rPr>
          <w:kern w:val="0"/>
        </w:rPr>
        <w:t xml:space="preserve"> and </w:t>
      </w:r>
      <w:r>
        <w:rPr>
          <w:kern w:val="0"/>
        </w:rPr>
        <w:t>Smith, A.F. (2010), Identifying systemic safety signals following intravitreal bevacizumab: Systematic review</w:t>
      </w:r>
      <w:r w:rsidR="00427468">
        <w:rPr>
          <w:kern w:val="0"/>
        </w:rPr>
        <w:t xml:space="preserve"> of </w:t>
      </w:r>
      <w:r w:rsidR="003A1917">
        <w:rPr>
          <w:kern w:val="0"/>
        </w:rPr>
        <w:t xml:space="preserve">the </w:t>
      </w:r>
      <w:r>
        <w:rPr>
          <w:kern w:val="0"/>
        </w:rPr>
        <w:t>literature</w:t>
      </w:r>
      <w:r w:rsidR="005853A9">
        <w:rPr>
          <w:kern w:val="0"/>
        </w:rPr>
        <w:t xml:space="preserve"> and </w:t>
      </w:r>
      <w:r w:rsidR="003A1917">
        <w:rPr>
          <w:kern w:val="0"/>
        </w:rPr>
        <w:t xml:space="preserve">the </w:t>
      </w:r>
      <w:r>
        <w:rPr>
          <w:kern w:val="0"/>
        </w:rPr>
        <w:t xml:space="preserve">Canadian Adverse Drug Reaction Database. </w:t>
      </w:r>
      <w:r>
        <w:rPr>
          <w:i/>
          <w:iCs/>
          <w:kern w:val="0"/>
        </w:rPr>
        <w:t>Canadian Journal</w:t>
      </w:r>
      <w:r w:rsidR="00427468">
        <w:rPr>
          <w:i/>
          <w:iCs/>
          <w:kern w:val="0"/>
        </w:rPr>
        <w:t xml:space="preserve"> of </w:t>
      </w:r>
      <w:r>
        <w:rPr>
          <w:i/>
          <w:iCs/>
          <w:kern w:val="0"/>
        </w:rPr>
        <w:t>Ophthalmology-Journal Canadien d</w:t>
      </w:r>
      <w:r w:rsidR="0071223E">
        <w:rPr>
          <w:i/>
          <w:iCs/>
          <w:kern w:val="0"/>
        </w:rPr>
        <w:t>’</w:t>
      </w:r>
      <w:r>
        <w:rPr>
          <w:i/>
          <w:iCs/>
          <w:kern w:val="0"/>
        </w:rPr>
        <w:t>Ophtalmologie</w:t>
      </w:r>
      <w:r>
        <w:rPr>
          <w:kern w:val="0"/>
        </w:rPr>
        <w:t xml:space="preserve">, </w:t>
      </w:r>
      <w:r>
        <w:rPr>
          <w:b/>
          <w:bCs/>
          <w:kern w:val="0"/>
        </w:rPr>
        <w:t>45</w:t>
      </w:r>
      <w:r>
        <w:rPr>
          <w:kern w:val="0"/>
        </w:rPr>
        <w:t xml:space="preserve"> (3), 231-238.</w:t>
      </w:r>
    </w:p>
    <w:p w:rsidR="006E2640" w:rsidRDefault="006E2640" w:rsidP="006E2640">
      <w:pPr>
        <w:pStyle w:val="a3"/>
        <w:rPr>
          <w:kern w:val="0"/>
        </w:rPr>
      </w:pPr>
      <w:r>
        <w:rPr>
          <w:rFonts w:hint="eastAsia"/>
          <w:kern w:val="0"/>
        </w:rPr>
        <w:t xml:space="preserve">Full Text: </w:t>
      </w:r>
      <w:hyperlink r:id="rId64" w:history="1">
        <w:r w:rsidRPr="005B3C2B">
          <w:rPr>
            <w:rStyle w:val="a5"/>
            <w:kern w:val="0"/>
          </w:rPr>
          <w:t>2010\Can J Oph45, 231.pdf</w:t>
        </w:r>
      </w:hyperlink>
    </w:p>
    <w:p w:rsidR="00D95E95" w:rsidRDefault="00D95E95" w:rsidP="00D95E95">
      <w:pPr>
        <w:pStyle w:val="a3"/>
        <w:rPr>
          <w:kern w:val="0"/>
        </w:rPr>
      </w:pPr>
      <w:r>
        <w:rPr>
          <w:kern w:val="0"/>
        </w:rPr>
        <w:t>Abstract: Objective: As</w:t>
      </w:r>
      <w:r w:rsidR="003A1917">
        <w:rPr>
          <w:kern w:val="0"/>
        </w:rPr>
        <w:t xml:space="preserve"> the </w:t>
      </w:r>
      <w:r>
        <w:rPr>
          <w:kern w:val="0"/>
        </w:rPr>
        <w:t>off-label use</w:t>
      </w:r>
      <w:r w:rsidR="00427468">
        <w:rPr>
          <w:kern w:val="0"/>
        </w:rPr>
        <w:t xml:space="preserve"> of </w:t>
      </w:r>
      <w:r>
        <w:rPr>
          <w:kern w:val="0"/>
        </w:rPr>
        <w:t>intravitreal bevacizumab continues for an increasing number</w:t>
      </w:r>
      <w:r w:rsidR="00427468">
        <w:rPr>
          <w:kern w:val="0"/>
        </w:rPr>
        <w:t xml:space="preserve"> of </w:t>
      </w:r>
      <w:r>
        <w:rPr>
          <w:kern w:val="0"/>
        </w:rPr>
        <w:t>ocular conditions, a systematic review</w:t>
      </w:r>
      <w:r w:rsidR="00427468">
        <w:rPr>
          <w:kern w:val="0"/>
        </w:rPr>
        <w:t xml:space="preserve"> of </w:t>
      </w:r>
      <w:r w:rsidR="003A1917">
        <w:rPr>
          <w:kern w:val="0"/>
        </w:rPr>
        <w:t xml:space="preserve">the </w:t>
      </w:r>
      <w:r>
        <w:rPr>
          <w:kern w:val="0"/>
        </w:rPr>
        <w:t>literature aimed at detecting temporally associated systemic adverse events was undertaken. Design: Systematic review</w:t>
      </w:r>
      <w:r w:rsidR="00427468">
        <w:rPr>
          <w:kern w:val="0"/>
        </w:rPr>
        <w:t xml:space="preserve"> of </w:t>
      </w:r>
      <w:r w:rsidR="003A1917">
        <w:rPr>
          <w:kern w:val="0"/>
        </w:rPr>
        <w:t xml:space="preserve">the </w:t>
      </w:r>
      <w:r>
        <w:rPr>
          <w:kern w:val="0"/>
        </w:rPr>
        <w:t>literature</w:t>
      </w:r>
      <w:r w:rsidR="005853A9">
        <w:rPr>
          <w:kern w:val="0"/>
        </w:rPr>
        <w:t xml:space="preserve"> and </w:t>
      </w:r>
      <w:r>
        <w:rPr>
          <w:kern w:val="0"/>
        </w:rPr>
        <w:t>a health regulatory database. Participants: A total</w:t>
      </w:r>
      <w:r w:rsidR="00427468">
        <w:rPr>
          <w:kern w:val="0"/>
        </w:rPr>
        <w:t xml:space="preserve"> of </w:t>
      </w:r>
      <w:r>
        <w:rPr>
          <w:kern w:val="0"/>
        </w:rPr>
        <w:t xml:space="preserve">22 different clinical studies representing 12 699 patients Methods: A systematic review indexed by Ovid </w:t>
      </w:r>
      <w:r w:rsidR="00D5664A">
        <w:rPr>
          <w:kern w:val="0"/>
        </w:rPr>
        <w:t>MEDLINE</w:t>
      </w:r>
      <w:r>
        <w:rPr>
          <w:kern w:val="0"/>
        </w:rPr>
        <w:t xml:space="preserve">, EMBASE,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database (CENTRAL),</w:t>
      </w:r>
      <w:r w:rsidR="005853A9">
        <w:rPr>
          <w:kern w:val="0"/>
        </w:rPr>
        <w:t xml:space="preserve"> and </w:t>
      </w:r>
      <w:r w:rsidR="003A1917">
        <w:rPr>
          <w:kern w:val="0"/>
        </w:rPr>
        <w:t xml:space="preserve">the </w:t>
      </w:r>
      <w:r>
        <w:rPr>
          <w:kern w:val="0"/>
        </w:rPr>
        <w:t>Canadian Adverse Drug Reaction Information System Database was performed. All clinical studies with at least 100 eyes injected with bevacizumab</w:t>
      </w:r>
      <w:r w:rsidR="005853A9">
        <w:rPr>
          <w:kern w:val="0"/>
        </w:rPr>
        <w:t xml:space="preserve"> and </w:t>
      </w:r>
      <w:r>
        <w:rPr>
          <w:kern w:val="0"/>
        </w:rPr>
        <w:t>case reports documenting suspected events were included for review. Results: A total</w:t>
      </w:r>
      <w:r w:rsidR="00427468">
        <w:rPr>
          <w:kern w:val="0"/>
        </w:rPr>
        <w:t xml:space="preserve"> of </w:t>
      </w:r>
      <w:r>
        <w:rPr>
          <w:kern w:val="0"/>
        </w:rPr>
        <w:t>22 different clinical studies were reviewed, including an international internet survey, 6 retrospective studies assessing</w:t>
      </w:r>
      <w:r w:rsidR="003A1917">
        <w:rPr>
          <w:kern w:val="0"/>
        </w:rPr>
        <w:t xml:space="preserve"> the </w:t>
      </w:r>
      <w:r>
        <w:rPr>
          <w:kern w:val="0"/>
        </w:rPr>
        <w:t>safety</w:t>
      </w:r>
      <w:r w:rsidR="00427468">
        <w:rPr>
          <w:kern w:val="0"/>
        </w:rPr>
        <w:t xml:space="preserve"> of </w:t>
      </w:r>
      <w:r>
        <w:rPr>
          <w:kern w:val="0"/>
        </w:rPr>
        <w:t>intravitreal bevacizumab,</w:t>
      </w:r>
      <w:r w:rsidR="005853A9">
        <w:rPr>
          <w:kern w:val="0"/>
        </w:rPr>
        <w:t xml:space="preserve"> and </w:t>
      </w:r>
      <w:r>
        <w:rPr>
          <w:kern w:val="0"/>
        </w:rPr>
        <w:t>15 clinical trials</w:t>
      </w:r>
      <w:r w:rsidR="00A37C1D">
        <w:rPr>
          <w:kern w:val="0"/>
        </w:rPr>
        <w:t>. The</w:t>
      </w:r>
      <w:r w:rsidR="003A1917">
        <w:rPr>
          <w:kern w:val="0"/>
        </w:rPr>
        <w:t xml:space="preserve"> </w:t>
      </w:r>
      <w:r>
        <w:rPr>
          <w:kern w:val="0"/>
        </w:rPr>
        <w:t>most common adverse systemic event reported in these studies, representing 12 699 patients was an increase in blood pressure (0.46%</w:t>
      </w:r>
      <w:r w:rsidR="00427468">
        <w:rPr>
          <w:kern w:val="0"/>
        </w:rPr>
        <w:t xml:space="preserve"> of </w:t>
      </w:r>
      <w:r>
        <w:rPr>
          <w:kern w:val="0"/>
        </w:rPr>
        <w:t>patients), followed by cerebrovascular accidents (0.21%</w:t>
      </w:r>
      <w:r w:rsidR="00427468">
        <w:rPr>
          <w:kern w:val="0"/>
        </w:rPr>
        <w:t xml:space="preserve"> of </w:t>
      </w:r>
      <w:r>
        <w:rPr>
          <w:kern w:val="0"/>
        </w:rPr>
        <w:t>patients),</w:t>
      </w:r>
      <w:r w:rsidR="005853A9">
        <w:rPr>
          <w:kern w:val="0"/>
        </w:rPr>
        <w:t xml:space="preserve"> and </w:t>
      </w:r>
      <w:r>
        <w:rPr>
          <w:kern w:val="0"/>
        </w:rPr>
        <w:t>myocardial infarction (0.19%</w:t>
      </w:r>
      <w:r w:rsidR="00427468">
        <w:rPr>
          <w:kern w:val="0"/>
        </w:rPr>
        <w:t xml:space="preserve"> of </w:t>
      </w:r>
      <w:r>
        <w:rPr>
          <w:kern w:val="0"/>
        </w:rPr>
        <w:t>patients)</w:t>
      </w:r>
      <w:r w:rsidR="00A37C1D">
        <w:rPr>
          <w:kern w:val="0"/>
        </w:rPr>
        <w:t>. The</w:t>
      </w:r>
      <w:r w:rsidR="003A1917">
        <w:rPr>
          <w:kern w:val="0"/>
        </w:rPr>
        <w:t xml:space="preserve"> </w:t>
      </w:r>
      <w:r>
        <w:rPr>
          <w:kern w:val="0"/>
        </w:rPr>
        <w:t>6 case reports documented suspected events not previously identified</w:t>
      </w:r>
      <w:r w:rsidR="005853A9">
        <w:rPr>
          <w:kern w:val="0"/>
        </w:rPr>
        <w:t xml:space="preserve"> and </w:t>
      </w:r>
      <w:r>
        <w:rPr>
          <w:kern w:val="0"/>
        </w:rPr>
        <w:t>only 1 systemic event from</w:t>
      </w:r>
      <w:r w:rsidR="003A1917">
        <w:rPr>
          <w:kern w:val="0"/>
        </w:rPr>
        <w:t xml:space="preserve"> the </w:t>
      </w:r>
      <w:r>
        <w:rPr>
          <w:kern w:val="0"/>
        </w:rPr>
        <w:t>Health Canada database was retrieved. Conclusions:</w:t>
      </w:r>
      <w:r w:rsidR="003A1917">
        <w:rPr>
          <w:kern w:val="0"/>
        </w:rPr>
        <w:t xml:space="preserve"> the </w:t>
      </w:r>
      <w:r>
        <w:rPr>
          <w:kern w:val="0"/>
        </w:rPr>
        <w:t>systemic events temporally associated with intravitreal bevacizumab are mainly</w:t>
      </w:r>
      <w:r w:rsidR="00427468">
        <w:rPr>
          <w:kern w:val="0"/>
        </w:rPr>
        <w:t xml:space="preserve"> of </w:t>
      </w:r>
      <w:r>
        <w:rPr>
          <w:kern w:val="0"/>
        </w:rPr>
        <w:t>cardiovascular</w:t>
      </w:r>
      <w:r w:rsidR="005853A9">
        <w:rPr>
          <w:kern w:val="0"/>
        </w:rPr>
        <w:t xml:space="preserve"> and </w:t>
      </w:r>
      <w:r>
        <w:rPr>
          <w:kern w:val="0"/>
        </w:rPr>
        <w:lastRenderedPageBreak/>
        <w:t>neurological origin</w:t>
      </w:r>
      <w:r w:rsidR="005853A9">
        <w:rPr>
          <w:kern w:val="0"/>
        </w:rPr>
        <w:t xml:space="preserve"> and </w:t>
      </w:r>
      <w:r>
        <w:rPr>
          <w:kern w:val="0"/>
        </w:rPr>
        <w:t>can be predicted from an exaggerated pharmacology, although a ca</w:t>
      </w:r>
      <w:r w:rsidR="00D5664A">
        <w:rPr>
          <w:kern w:val="0"/>
        </w:rPr>
        <w:t>USA</w:t>
      </w:r>
      <w:r>
        <w:rPr>
          <w:kern w:val="0"/>
        </w:rPr>
        <w:t>l association cannot be established at this time. Health Canada</w:t>
      </w:r>
      <w:r w:rsidR="0071223E">
        <w:rPr>
          <w:kern w:val="0"/>
        </w:rPr>
        <w:t>’</w:t>
      </w:r>
      <w:r w:rsidR="00C13DDC">
        <w:rPr>
          <w:kern w:val="0"/>
        </w:rPr>
        <w:t>s</w:t>
      </w:r>
      <w:r>
        <w:rPr>
          <w:kern w:val="0"/>
        </w:rPr>
        <w:t xml:space="preserve"> spontaneous drug reporting system is an underutilized resource</w:t>
      </w:r>
      <w:r w:rsidR="005853A9">
        <w:rPr>
          <w:kern w:val="0"/>
        </w:rPr>
        <w:t xml:space="preserve"> and </w:t>
      </w:r>
      <w:r>
        <w:rPr>
          <w:kern w:val="0"/>
        </w:rPr>
        <w:t>a more active surveillance system such as a patient registry may be better suited to establish</w:t>
      </w:r>
      <w:r w:rsidR="003A1917">
        <w:rPr>
          <w:kern w:val="0"/>
        </w:rPr>
        <w:t xml:space="preserve"> the </w:t>
      </w:r>
      <w:r>
        <w:rPr>
          <w:kern w:val="0"/>
        </w:rPr>
        <w:t>low rates</w:t>
      </w:r>
      <w:r w:rsidR="00427468">
        <w:rPr>
          <w:kern w:val="0"/>
        </w:rPr>
        <w:t xml:space="preserve"> of </w:t>
      </w:r>
      <w:r>
        <w:rPr>
          <w:kern w:val="0"/>
        </w:rPr>
        <w:t>systemic adverse events following bevacizumab use in ophthalmology.</w:t>
      </w:r>
    </w:p>
    <w:p w:rsidR="00D95E95" w:rsidRDefault="00D95E95" w:rsidP="00D95E95">
      <w:pPr>
        <w:pStyle w:val="a3"/>
        <w:rPr>
          <w:kern w:val="0"/>
        </w:rPr>
      </w:pPr>
      <w:r>
        <w:rPr>
          <w:kern w:val="0"/>
        </w:rPr>
        <w:t>Keywords: Antiangiogenic Therapy, Avastin, Bevacizumab, Blood, Blood Pressure, Blood-Pressure, Canada, Cardiovascular, Case Reports, Choroidal Neovascularization Secondary, Clinical Trials, Cochrane, Degeneration, Diabetic Macular Edema, Drug, EMBASE, Health, Heart-Rate, Injection</w:t>
      </w:r>
      <w:r w:rsidR="00D5664A">
        <w:rPr>
          <w:kern w:val="0"/>
        </w:rPr>
        <w:t>, ISI,</w:t>
      </w:r>
      <w:r>
        <w:rPr>
          <w:kern w:val="0"/>
        </w:rPr>
        <w:t xml:space="preserve"> Literature, </w:t>
      </w:r>
      <w:r w:rsidR="00D5664A">
        <w:rPr>
          <w:kern w:val="0"/>
        </w:rPr>
        <w:t>MEDLINE</w:t>
      </w:r>
      <w:r>
        <w:rPr>
          <w:kern w:val="0"/>
        </w:rPr>
        <w:t xml:space="preserve">, Metastatic Colorectal-Cancer, Methods, Myocardial Infarction, Pharmacovigilance, Pressure, Ranibizumab, Review, Safety, Science, Study-Group Pacores, Surveillance, Survey, Systematic, Systematic Literature Review, Systematic Review, Vascular Endothelial Growth Factor, </w:t>
      </w:r>
      <w:r w:rsidR="00D5664A">
        <w:rPr>
          <w:kern w:val="0"/>
        </w:rPr>
        <w:t>Web</w:t>
      </w:r>
      <w:r w:rsidR="00427468">
        <w:rPr>
          <w:kern w:val="0"/>
        </w:rPr>
        <w:t xml:space="preserve"> of </w:t>
      </w:r>
      <w:r w:rsidR="00D5664A">
        <w:rPr>
          <w:kern w:val="0"/>
        </w:rPr>
        <w:t>Science</w:t>
      </w:r>
    </w:p>
    <w:p w:rsidR="00D00127" w:rsidRPr="00C73C58" w:rsidRDefault="00D00127" w:rsidP="00D00127">
      <w:pPr>
        <w:pStyle w:val="1"/>
      </w:pPr>
      <w:r w:rsidRPr="00C73C58">
        <w:br w:type="page"/>
      </w:r>
      <w:bookmarkStart w:id="30" w:name="_Toc420814881"/>
      <w:r w:rsidRPr="00C73C58">
        <w:lastRenderedPageBreak/>
        <w:t xml:space="preserve">Title: </w:t>
      </w:r>
      <w:r w:rsidRPr="00E2628B">
        <w:rPr>
          <w:szCs w:val="24"/>
        </w:rPr>
        <w:t>Canadian Journal</w:t>
      </w:r>
      <w:r w:rsidR="00427468">
        <w:rPr>
          <w:szCs w:val="24"/>
        </w:rPr>
        <w:t xml:space="preserve"> of </w:t>
      </w:r>
      <w:r w:rsidRPr="00E2628B">
        <w:rPr>
          <w:szCs w:val="24"/>
        </w:rPr>
        <w:t>Physiology</w:t>
      </w:r>
      <w:r w:rsidR="005853A9">
        <w:rPr>
          <w:szCs w:val="24"/>
        </w:rPr>
        <w:t xml:space="preserve"> and </w:t>
      </w:r>
      <w:r w:rsidRPr="00E2628B">
        <w:rPr>
          <w:szCs w:val="24"/>
        </w:rPr>
        <w:t>Pharmacology</w:t>
      </w:r>
      <w:bookmarkEnd w:id="30"/>
    </w:p>
    <w:p w:rsidR="00D00127" w:rsidRPr="00C73C58" w:rsidRDefault="00D00127" w:rsidP="00D00127">
      <w:pPr>
        <w:pStyle w:val="12"/>
      </w:pPr>
      <w:r w:rsidRPr="00C73C58">
        <w:t xml:space="preserve">Full Journal Title: </w:t>
      </w:r>
      <w:r w:rsidRPr="00E2628B">
        <w:rPr>
          <w:iCs/>
          <w:kern w:val="0"/>
        </w:rPr>
        <w:t>Canadian Journal</w:t>
      </w:r>
      <w:r w:rsidR="00427468">
        <w:rPr>
          <w:iCs/>
          <w:kern w:val="0"/>
        </w:rPr>
        <w:t xml:space="preserve"> of </w:t>
      </w:r>
      <w:r w:rsidRPr="00E2628B">
        <w:rPr>
          <w:iCs/>
          <w:kern w:val="0"/>
        </w:rPr>
        <w:t>Physiology</w:t>
      </w:r>
      <w:r w:rsidR="005853A9">
        <w:rPr>
          <w:iCs/>
          <w:kern w:val="0"/>
        </w:rPr>
        <w:t xml:space="preserve"> and </w:t>
      </w:r>
      <w:r w:rsidRPr="00E2628B">
        <w:rPr>
          <w:iCs/>
          <w:kern w:val="0"/>
        </w:rPr>
        <w:t>Pharmacology</w:t>
      </w:r>
    </w:p>
    <w:p w:rsidR="00D00127" w:rsidRPr="00C73C58" w:rsidRDefault="00D00127" w:rsidP="00D00127">
      <w:pPr>
        <w:pStyle w:val="12"/>
      </w:pPr>
      <w:r>
        <w:t xml:space="preserve">ISO Abbreviated Title: </w:t>
      </w:r>
    </w:p>
    <w:p w:rsidR="00D00127" w:rsidRPr="00C73C58" w:rsidRDefault="00D00127" w:rsidP="00D00127">
      <w:pPr>
        <w:pStyle w:val="12"/>
      </w:pPr>
      <w:r w:rsidRPr="00C73C58">
        <w:t xml:space="preserve">JCR Abbreviated Title: </w:t>
      </w:r>
    </w:p>
    <w:p w:rsidR="00D00127" w:rsidRPr="00C73C58" w:rsidRDefault="00D00127" w:rsidP="00D00127">
      <w:pPr>
        <w:pStyle w:val="12"/>
      </w:pPr>
      <w:r w:rsidRPr="00C73C58">
        <w:t xml:space="preserve">ISSN: </w:t>
      </w:r>
    </w:p>
    <w:p w:rsidR="00D00127" w:rsidRPr="00C73C58" w:rsidRDefault="00D00127" w:rsidP="00D00127">
      <w:pPr>
        <w:pStyle w:val="12"/>
      </w:pPr>
      <w:r w:rsidRPr="00C73C58">
        <w:t xml:space="preserve">Issues/Year: </w:t>
      </w:r>
    </w:p>
    <w:p w:rsidR="00D00127" w:rsidRPr="00C73C58" w:rsidRDefault="00D00127" w:rsidP="00D00127">
      <w:pPr>
        <w:pStyle w:val="12"/>
      </w:pPr>
      <w:r w:rsidRPr="00C73C58">
        <w:t xml:space="preserve">Journal Country/Territory: </w:t>
      </w:r>
    </w:p>
    <w:p w:rsidR="00D00127" w:rsidRPr="00C73C58" w:rsidRDefault="00D00127" w:rsidP="00D00127">
      <w:pPr>
        <w:pStyle w:val="12"/>
      </w:pPr>
      <w:r w:rsidRPr="00C73C58">
        <w:t xml:space="preserve">Language: </w:t>
      </w:r>
    </w:p>
    <w:p w:rsidR="00D00127" w:rsidRPr="00C73C58" w:rsidRDefault="00D00127" w:rsidP="00D00127">
      <w:pPr>
        <w:pStyle w:val="12"/>
      </w:pPr>
      <w:r w:rsidRPr="00C73C58">
        <w:t xml:space="preserve">Publisher: </w:t>
      </w:r>
    </w:p>
    <w:p w:rsidR="00D00127" w:rsidRPr="00C73C58" w:rsidRDefault="00D00127" w:rsidP="00D00127">
      <w:pPr>
        <w:pStyle w:val="12"/>
      </w:pPr>
      <w:r w:rsidRPr="00C73C58">
        <w:t xml:space="preserve">Publisher Address: </w:t>
      </w:r>
    </w:p>
    <w:p w:rsidR="00D00127" w:rsidRPr="00C73C58" w:rsidRDefault="00D00127" w:rsidP="00D00127">
      <w:pPr>
        <w:pStyle w:val="12"/>
      </w:pPr>
      <w:r w:rsidRPr="00C73C58">
        <w:t xml:space="preserve">Subject Categories: </w:t>
      </w:r>
    </w:p>
    <w:p w:rsidR="00D00127" w:rsidRPr="00C73C58" w:rsidRDefault="00D00127" w:rsidP="00D00127">
      <w:pPr>
        <w:pStyle w:val="12"/>
      </w:pPr>
      <w:r w:rsidRPr="00C73C58">
        <w:t xml:space="preserve">: Impact Factor </w:t>
      </w:r>
    </w:p>
    <w:p w:rsidR="00D00127" w:rsidRDefault="00D00127" w:rsidP="00D00127">
      <w:pPr>
        <w:pStyle w:val="a3"/>
        <w:rPr>
          <w:kern w:val="0"/>
          <w:szCs w:val="24"/>
        </w:rPr>
      </w:pPr>
      <w:r>
        <w:rPr>
          <w:rFonts w:hint="eastAsia"/>
          <w:kern w:val="0"/>
          <w:szCs w:val="24"/>
        </w:rPr>
        <w:t xml:space="preserve">? </w:t>
      </w:r>
      <w:r>
        <w:rPr>
          <w:kern w:val="0"/>
          <w:szCs w:val="24"/>
        </w:rPr>
        <w:t>Pierce, G.N. (2012</w:t>
      </w:r>
      <w:r w:rsidR="00F42EAC">
        <w:rPr>
          <w:kern w:val="0"/>
          <w:szCs w:val="24"/>
        </w:rPr>
        <w:t>), The</w:t>
      </w:r>
      <w:r w:rsidR="003A1917">
        <w:rPr>
          <w:kern w:val="0"/>
          <w:szCs w:val="24"/>
        </w:rPr>
        <w:t xml:space="preserve"> </w:t>
      </w:r>
      <w:r>
        <w:rPr>
          <w:kern w:val="0"/>
          <w:szCs w:val="24"/>
        </w:rPr>
        <w:t>most highly cited papers in</w:t>
      </w:r>
      <w:r w:rsidR="003A1917">
        <w:rPr>
          <w:kern w:val="0"/>
          <w:szCs w:val="24"/>
        </w:rPr>
        <w:t xml:space="preserve"> the </w:t>
      </w:r>
      <w:r w:rsidRPr="00E2628B">
        <w:rPr>
          <w:i/>
          <w:kern w:val="0"/>
          <w:szCs w:val="24"/>
        </w:rPr>
        <w:t>Canadian Journal</w:t>
      </w:r>
      <w:r w:rsidR="00427468">
        <w:rPr>
          <w:i/>
          <w:kern w:val="0"/>
          <w:szCs w:val="24"/>
        </w:rPr>
        <w:t xml:space="preserve"> of </w:t>
      </w:r>
      <w:r w:rsidRPr="00E2628B">
        <w:rPr>
          <w:i/>
          <w:kern w:val="0"/>
          <w:szCs w:val="24"/>
        </w:rPr>
        <w:t>Physiology</w:t>
      </w:r>
      <w:r w:rsidR="005853A9">
        <w:rPr>
          <w:i/>
          <w:kern w:val="0"/>
          <w:szCs w:val="24"/>
        </w:rPr>
        <w:t xml:space="preserve"> and </w:t>
      </w:r>
      <w:r w:rsidRPr="00E2628B">
        <w:rPr>
          <w:i/>
          <w:kern w:val="0"/>
          <w:szCs w:val="24"/>
        </w:rPr>
        <w:t>Pharmacology</w:t>
      </w:r>
      <w:r>
        <w:rPr>
          <w:kern w:val="0"/>
          <w:szCs w:val="24"/>
        </w:rPr>
        <w:t xml:space="preserve"> through</w:t>
      </w:r>
      <w:r w:rsidR="003A1917">
        <w:rPr>
          <w:kern w:val="0"/>
          <w:szCs w:val="24"/>
        </w:rPr>
        <w:t xml:space="preserve"> the </w:t>
      </w:r>
      <w:r>
        <w:rPr>
          <w:kern w:val="0"/>
          <w:szCs w:val="24"/>
        </w:rPr>
        <w:t xml:space="preserve">decades. </w:t>
      </w:r>
      <w:r w:rsidRPr="00E2628B">
        <w:rPr>
          <w:i/>
          <w:iCs/>
          <w:kern w:val="0"/>
          <w:szCs w:val="24"/>
        </w:rPr>
        <w:t>Canadian Journal</w:t>
      </w:r>
      <w:r w:rsidR="00427468">
        <w:rPr>
          <w:i/>
          <w:iCs/>
          <w:kern w:val="0"/>
          <w:szCs w:val="24"/>
        </w:rPr>
        <w:t xml:space="preserve"> of </w:t>
      </w:r>
      <w:r w:rsidRPr="00E2628B">
        <w:rPr>
          <w:i/>
          <w:iCs/>
          <w:kern w:val="0"/>
          <w:szCs w:val="24"/>
        </w:rPr>
        <w:t>Physiology</w:t>
      </w:r>
      <w:r w:rsidR="005853A9">
        <w:rPr>
          <w:i/>
          <w:iCs/>
          <w:kern w:val="0"/>
          <w:szCs w:val="24"/>
        </w:rPr>
        <w:t xml:space="preserve"> and </w:t>
      </w:r>
      <w:r w:rsidRPr="00E2628B">
        <w:rPr>
          <w:i/>
          <w:iCs/>
          <w:kern w:val="0"/>
          <w:szCs w:val="24"/>
        </w:rPr>
        <w:t>Pharmacology</w:t>
      </w:r>
      <w:r>
        <w:rPr>
          <w:kern w:val="0"/>
          <w:szCs w:val="24"/>
        </w:rPr>
        <w:t xml:space="preserve">, </w:t>
      </w:r>
      <w:r>
        <w:rPr>
          <w:b/>
          <w:bCs/>
          <w:kern w:val="0"/>
          <w:szCs w:val="24"/>
        </w:rPr>
        <w:t>90</w:t>
      </w:r>
      <w:r>
        <w:rPr>
          <w:kern w:val="0"/>
          <w:szCs w:val="24"/>
        </w:rPr>
        <w:t xml:space="preserve"> (7), III-IIV</w:t>
      </w:r>
      <w:r>
        <w:rPr>
          <w:rFonts w:hint="eastAsia"/>
          <w:kern w:val="0"/>
          <w:szCs w:val="24"/>
        </w:rPr>
        <w:t>.</w:t>
      </w:r>
    </w:p>
    <w:p w:rsidR="00D00127" w:rsidRDefault="00D00127" w:rsidP="00D00127">
      <w:pPr>
        <w:pStyle w:val="a3"/>
        <w:rPr>
          <w:kern w:val="0"/>
          <w:szCs w:val="24"/>
        </w:rPr>
      </w:pPr>
      <w:r>
        <w:rPr>
          <w:rFonts w:hint="eastAsia"/>
          <w:kern w:val="0"/>
          <w:szCs w:val="24"/>
        </w:rPr>
        <w:t xml:space="preserve">Full Text: </w:t>
      </w:r>
      <w:hyperlink r:id="rId65" w:history="1">
        <w:r w:rsidRPr="00D00127">
          <w:rPr>
            <w:rStyle w:val="a5"/>
            <w:kern w:val="0"/>
            <w:szCs w:val="24"/>
          </w:rPr>
          <w:t>2012\Can J Phy Pha90, III.pdf</w:t>
        </w:r>
      </w:hyperlink>
    </w:p>
    <w:p w:rsidR="00D00127" w:rsidRDefault="00D00127" w:rsidP="00D00127">
      <w:pPr>
        <w:pStyle w:val="a3"/>
        <w:rPr>
          <w:kern w:val="0"/>
          <w:szCs w:val="24"/>
        </w:rPr>
      </w:pPr>
      <w:r>
        <w:rPr>
          <w:kern w:val="0"/>
          <w:szCs w:val="24"/>
        </w:rPr>
        <w:t>Keywords: Journal</w:t>
      </w:r>
      <w:r>
        <w:rPr>
          <w:rFonts w:hint="eastAsia"/>
          <w:kern w:val="0"/>
          <w:szCs w:val="24"/>
        </w:rPr>
        <w:t xml:space="preserve">, </w:t>
      </w:r>
      <w:r>
        <w:rPr>
          <w:kern w:val="0"/>
          <w:szCs w:val="24"/>
        </w:rPr>
        <w:t>Papers</w:t>
      </w:r>
    </w:p>
    <w:p w:rsidR="003474F2" w:rsidRPr="001A3D2B" w:rsidRDefault="003474F2" w:rsidP="003474F2">
      <w:pPr>
        <w:pStyle w:val="1"/>
      </w:pPr>
      <w:r w:rsidRPr="001A3D2B">
        <w:br w:type="page"/>
      </w:r>
      <w:bookmarkStart w:id="31" w:name="_Toc420814882"/>
      <w:r w:rsidRPr="001A3D2B">
        <w:lastRenderedPageBreak/>
        <w:t>Title: Canadian Journal</w:t>
      </w:r>
      <w:r w:rsidR="00427468">
        <w:t xml:space="preserve"> of </w:t>
      </w:r>
      <w:r w:rsidRPr="001A3D2B">
        <w:t>Plant Science</w:t>
      </w:r>
      <w:bookmarkEnd w:id="31"/>
    </w:p>
    <w:p w:rsidR="003474F2" w:rsidRPr="001A3D2B" w:rsidRDefault="003474F2" w:rsidP="003474F2">
      <w:pPr>
        <w:pStyle w:val="12"/>
      </w:pPr>
      <w:r w:rsidRPr="001A3D2B">
        <w:t xml:space="preserve">Full </w:t>
      </w:r>
      <w:bookmarkStart w:id="32" w:name="_Toc455569365"/>
      <w:bookmarkStart w:id="33" w:name="_Toc487190549"/>
      <w:bookmarkStart w:id="34" w:name="_Toc487882047"/>
      <w:bookmarkStart w:id="35" w:name="_Toc490687747"/>
      <w:bookmarkStart w:id="36" w:name="_Toc492779371"/>
      <w:bookmarkStart w:id="37" w:name="_Toc92458354"/>
      <w:r w:rsidRPr="001A3D2B">
        <w:t>Journal Title: Canadian Journal</w:t>
      </w:r>
      <w:r w:rsidR="00427468">
        <w:t xml:space="preserve"> of </w:t>
      </w:r>
      <w:r w:rsidRPr="001A3D2B">
        <w:t>Plant</w:t>
      </w:r>
      <w:bookmarkEnd w:id="32"/>
      <w:bookmarkEnd w:id="33"/>
      <w:bookmarkEnd w:id="34"/>
      <w:bookmarkEnd w:id="35"/>
      <w:bookmarkEnd w:id="36"/>
      <w:bookmarkEnd w:id="37"/>
      <w:r w:rsidRPr="001A3D2B">
        <w:t xml:space="preserve"> Science</w:t>
      </w:r>
    </w:p>
    <w:p w:rsidR="003474F2" w:rsidRPr="001A3D2B" w:rsidRDefault="003474F2" w:rsidP="003474F2">
      <w:pPr>
        <w:pStyle w:val="12"/>
      </w:pPr>
      <w:r w:rsidRPr="001A3D2B">
        <w:t xml:space="preserve">ISO Abbreviated Title: </w:t>
      </w:r>
      <w:smartTag w:uri="urn:schemas-microsoft-com:office:smarttags" w:element="place">
        <w:smartTag w:uri="urn:schemas-microsoft-com:office:smarttags" w:element="country-region">
          <w:r w:rsidRPr="001A3D2B">
            <w:t>Can.</w:t>
          </w:r>
        </w:smartTag>
      </w:smartTag>
      <w:r w:rsidRPr="001A3D2B">
        <w:t xml:space="preserve"> J. Plant Sci.</w:t>
      </w:r>
    </w:p>
    <w:p w:rsidR="003474F2" w:rsidRPr="001A3D2B" w:rsidRDefault="003474F2" w:rsidP="003474F2">
      <w:pPr>
        <w:pStyle w:val="12"/>
      </w:pPr>
      <w:r w:rsidRPr="001A3D2B">
        <w:t>JCR Abbreviated Title: Can J Plant Sci</w:t>
      </w:r>
    </w:p>
    <w:p w:rsidR="003474F2" w:rsidRPr="001A3D2B" w:rsidRDefault="003474F2" w:rsidP="003474F2">
      <w:pPr>
        <w:pStyle w:val="12"/>
      </w:pPr>
      <w:r w:rsidRPr="001A3D2B">
        <w:t>ISSN: 0008-4220</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Canada</w:t>
      </w:r>
    </w:p>
    <w:p w:rsidR="003474F2" w:rsidRPr="001A3D2B" w:rsidRDefault="003474F2" w:rsidP="003474F2">
      <w:pPr>
        <w:pStyle w:val="12"/>
      </w:pPr>
      <w:r w:rsidRPr="001A3D2B">
        <w:t>Language: Multi-Language</w:t>
      </w:r>
    </w:p>
    <w:p w:rsidR="003474F2" w:rsidRPr="001A3D2B" w:rsidRDefault="003474F2" w:rsidP="003474F2">
      <w:pPr>
        <w:pStyle w:val="12"/>
      </w:pPr>
      <w:r w:rsidRPr="001A3D2B">
        <w:t xml:space="preserve">Publisher: Agr Inst </w:t>
      </w:r>
      <w:smartTag w:uri="urn:schemas-microsoft-com:office:smarttags" w:element="place">
        <w:smartTag w:uri="urn:schemas-microsoft-com:office:smarttags" w:element="country-region">
          <w:r w:rsidRPr="001A3D2B">
            <w:t>Canada</w:t>
          </w:r>
        </w:smartTag>
      </w:smartTag>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Suite</w:t>
          </w:r>
        </w:smartTag>
        <w:r w:rsidRPr="001A3D2B">
          <w:t xml:space="preserve"> 907</w:t>
        </w:r>
      </w:smartTag>
      <w:r w:rsidRPr="001A3D2B">
        <w:t xml:space="preserve"> </w:t>
      </w:r>
      <w:smartTag w:uri="urn:schemas-microsoft-com:office:smarttags" w:element="address">
        <w:smartTag w:uri="urn:schemas-microsoft-com:office:smarttags" w:element="Street">
          <w:r w:rsidRPr="001A3D2B">
            <w:t>151 Slater St</w:t>
          </w:r>
        </w:smartTag>
        <w:r w:rsidRPr="001A3D2B">
          <w:t xml:space="preserve">, </w:t>
        </w:r>
        <w:smartTag w:uri="urn:schemas-microsoft-com:office:smarttags" w:element="City">
          <w:r w:rsidRPr="001A3D2B">
            <w:t>Ottawa</w:t>
          </w:r>
        </w:smartTag>
        <w:r w:rsidRPr="001A3D2B">
          <w:t xml:space="preserve">, </w:t>
        </w:r>
        <w:smartTag w:uri="urn:schemas-microsoft-com:office:smarttags" w:element="State">
          <w:r w:rsidRPr="001A3D2B">
            <w:t>Ontario</w:t>
          </w:r>
        </w:smartTag>
        <w:r w:rsidRPr="001A3D2B">
          <w:t xml:space="preserve"> </w:t>
        </w:r>
        <w:smartTag w:uri="urn:schemas-microsoft-com:office:smarttags" w:element="PostalCode">
          <w:r w:rsidRPr="001A3D2B">
            <w:t>K1P 5H4</w:t>
          </w:r>
        </w:smartTag>
        <w:r w:rsidRPr="001A3D2B">
          <w:t xml:space="preserve">, </w:t>
        </w:r>
        <w:smartTag w:uri="urn:schemas-microsoft-com:office:smarttags" w:element="country-region">
          <w:r w:rsidRPr="001A3D2B">
            <w:t>Canada</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Agriculture Plant Sciences: Impact Factor 0.484, 94/137 (2000)</w:t>
      </w:r>
    </w:p>
    <w:p w:rsidR="003474F2" w:rsidRPr="001A3D2B" w:rsidRDefault="003474F2" w:rsidP="003474F2">
      <w:pPr>
        <w:pStyle w:val="a3"/>
      </w:pPr>
      <w:r w:rsidRPr="001A3D2B">
        <w:t>? Harper, J.A. (1992), Citation accuracy in</w:t>
      </w:r>
      <w:r w:rsidR="003A1917">
        <w:t xml:space="preserve"> the </w:t>
      </w:r>
      <w:r w:rsidRPr="001A3D2B">
        <w:rPr>
          <w:i/>
          <w:iCs/>
        </w:rPr>
        <w:t>Canadian Journal</w:t>
      </w:r>
      <w:r w:rsidR="00427468">
        <w:rPr>
          <w:i/>
          <w:iCs/>
        </w:rPr>
        <w:t xml:space="preserve"> of </w:t>
      </w:r>
      <w:r w:rsidRPr="001A3D2B">
        <w:rPr>
          <w:i/>
          <w:iCs/>
        </w:rPr>
        <w:t>Plant Science</w:t>
      </w:r>
      <w:r w:rsidRPr="001A3D2B">
        <w:t xml:space="preserve">. </w:t>
      </w:r>
      <w:r w:rsidRPr="001A3D2B">
        <w:rPr>
          <w:i/>
        </w:rPr>
        <w:t>Canadian Journal</w:t>
      </w:r>
      <w:r w:rsidR="00427468">
        <w:rPr>
          <w:i/>
        </w:rPr>
        <w:t xml:space="preserve"> of </w:t>
      </w:r>
      <w:r w:rsidRPr="001A3D2B">
        <w:rPr>
          <w:i/>
        </w:rPr>
        <w:t>Plant Science</w:t>
      </w:r>
      <w:r w:rsidRPr="001A3D2B">
        <w:t xml:space="preserve">, </w:t>
      </w:r>
      <w:r w:rsidRPr="001A3D2B">
        <w:rPr>
          <w:b/>
          <w:bCs/>
        </w:rPr>
        <w:t>72</w:t>
      </w:r>
      <w:r w:rsidRPr="001A3D2B">
        <w:t xml:space="preserve"> (2), 487-488.</w:t>
      </w:r>
    </w:p>
    <w:p w:rsidR="006E2640" w:rsidRPr="00C73C58" w:rsidRDefault="006E2640" w:rsidP="006E2640">
      <w:pPr>
        <w:pStyle w:val="a3"/>
      </w:pPr>
      <w:r>
        <w:rPr>
          <w:rFonts w:hint="eastAsia"/>
        </w:rPr>
        <w:t xml:space="preserve">Full Text: </w:t>
      </w:r>
      <w:hyperlink r:id="rId66" w:history="1">
        <w:r w:rsidRPr="00E84C87">
          <w:rPr>
            <w:rStyle w:val="a5"/>
          </w:rPr>
          <w:t>1992\Can J Pla Sci72, 487.pdf</w:t>
        </w:r>
      </w:hyperlink>
    </w:p>
    <w:p w:rsidR="003474F2" w:rsidRPr="001A3D2B" w:rsidRDefault="003474F2" w:rsidP="003474F2">
      <w:pPr>
        <w:pStyle w:val="a3"/>
      </w:pPr>
      <w:r w:rsidRPr="001A3D2B">
        <w:t>Abstract: A check</w:t>
      </w:r>
      <w:r w:rsidR="00427468">
        <w:t xml:space="preserve"> of </w:t>
      </w:r>
      <w:r w:rsidRPr="001A3D2B">
        <w:t>5 %</w:t>
      </w:r>
      <w:r w:rsidR="00427468">
        <w:t xml:space="preserve"> of </w:t>
      </w:r>
      <w:r w:rsidR="003A1917">
        <w:t xml:space="preserve">the </w:t>
      </w:r>
      <w:r w:rsidRPr="001A3D2B">
        <w:t>citations in</w:t>
      </w:r>
      <w:r w:rsidR="003A1917">
        <w:t xml:space="preserve"> the </w:t>
      </w:r>
      <w:r w:rsidRPr="001A3D2B">
        <w:t>bibliographies</w:t>
      </w:r>
      <w:r w:rsidR="00427468">
        <w:t xml:space="preserve"> of </w:t>
      </w:r>
      <w:r w:rsidRPr="001A3D2B">
        <w:t>articles in Canadian Journal</w:t>
      </w:r>
      <w:r w:rsidR="00427468">
        <w:t xml:space="preserve"> of </w:t>
      </w:r>
      <w:r w:rsidRPr="001A3D2B">
        <w:t>Plant Science, volumes 37-38 (1957-1958)</w:t>
      </w:r>
      <w:r w:rsidR="005853A9">
        <w:t xml:space="preserve"> and </w:t>
      </w:r>
      <w:r w:rsidRPr="001A3D2B">
        <w:t>69-70 (1989-1990), for accuracy identified errors in approximately 38%</w:t>
      </w:r>
      <w:r w:rsidR="00427468">
        <w:t xml:space="preserve"> of </w:t>
      </w:r>
      <w:r w:rsidR="003A1917">
        <w:t xml:space="preserve">the </w:t>
      </w:r>
      <w:r w:rsidRPr="001A3D2B">
        <w:t>citations.</w:t>
      </w:r>
    </w:p>
    <w:p w:rsidR="003474F2" w:rsidRPr="001A3D2B" w:rsidRDefault="003474F2" w:rsidP="003474F2">
      <w:pPr>
        <w:pStyle w:val="a3"/>
      </w:pPr>
      <w:r w:rsidRPr="001A3D2B">
        <w:t>Keywords: Citations, References, Errors, Plant Science</w:t>
      </w:r>
    </w:p>
    <w:p w:rsidR="00D95E95" w:rsidRPr="00C73C58" w:rsidRDefault="00D95E95" w:rsidP="00D95E95">
      <w:pPr>
        <w:pStyle w:val="1"/>
      </w:pPr>
      <w:r w:rsidRPr="00C73C58">
        <w:br w:type="page"/>
      </w:r>
      <w:bookmarkStart w:id="38" w:name="_Toc420814883"/>
      <w:r w:rsidRPr="00C73C58">
        <w:lastRenderedPageBreak/>
        <w:t>Title: Canadian Journal</w:t>
      </w:r>
      <w:r w:rsidR="00427468">
        <w:t xml:space="preserve"> of </w:t>
      </w:r>
      <w:r w:rsidRPr="00C73C58">
        <w:t>Psychiatry-Revue Ca</w:t>
      </w:r>
      <w:bookmarkStart w:id="39" w:name="_Toc302590611"/>
      <w:r w:rsidRPr="00C73C58">
        <w:t>nadienne de Psychiatrie</w:t>
      </w:r>
      <w:bookmarkEnd w:id="38"/>
    </w:p>
    <w:p w:rsidR="00D95E95" w:rsidRPr="00C73C58" w:rsidRDefault="00D95E95" w:rsidP="00D95E95">
      <w:pPr>
        <w:pStyle w:val="12"/>
      </w:pPr>
      <w:r w:rsidRPr="00C73C58">
        <w:t>Full Journal Title: Canadian Journal</w:t>
      </w:r>
      <w:r w:rsidR="00427468">
        <w:t xml:space="preserve"> of </w:t>
      </w:r>
      <w:r w:rsidRPr="00C73C58">
        <w:t>Psych</w:t>
      </w:r>
      <w:bookmarkEnd w:id="39"/>
      <w:r w:rsidRPr="00C73C58">
        <w:t>iatry-Revue Canadienne de Psychiatrie</w:t>
      </w:r>
    </w:p>
    <w:p w:rsidR="00D95E95" w:rsidRPr="00C73C58" w:rsidRDefault="00D95E95" w:rsidP="00D95E95">
      <w:pPr>
        <w:pStyle w:val="12"/>
      </w:pPr>
      <w:r w:rsidRPr="00C73C58">
        <w:t xml:space="preserve">ISO Abbreviated Title: </w:t>
      </w:r>
    </w:p>
    <w:p w:rsidR="00D95E95" w:rsidRPr="00C73C58" w:rsidRDefault="00D95E95" w:rsidP="00D95E95">
      <w:pPr>
        <w:pStyle w:val="12"/>
      </w:pPr>
      <w:r w:rsidRPr="00C73C58">
        <w:t xml:space="preserve">JCR Abbreviated Title: </w:t>
      </w:r>
    </w:p>
    <w:p w:rsidR="00D95E95" w:rsidRPr="00C73C58" w:rsidRDefault="00D95E95" w:rsidP="00D95E95">
      <w:pPr>
        <w:pStyle w:val="12"/>
      </w:pPr>
      <w:r w:rsidRPr="00C73C58">
        <w:t xml:space="preserve">ISSN: </w:t>
      </w:r>
    </w:p>
    <w:p w:rsidR="00D95E95" w:rsidRPr="00C73C58" w:rsidRDefault="00D95E95" w:rsidP="00D95E95">
      <w:pPr>
        <w:pStyle w:val="12"/>
      </w:pPr>
      <w:r w:rsidRPr="00C73C58">
        <w:t xml:space="preserve">Issues/Year: </w:t>
      </w:r>
    </w:p>
    <w:p w:rsidR="00D95E95" w:rsidRPr="00C73C58" w:rsidRDefault="00D95E95" w:rsidP="00D95E95">
      <w:pPr>
        <w:pStyle w:val="12"/>
      </w:pPr>
      <w:r w:rsidRPr="00C73C58">
        <w:t xml:space="preserve">Journal Country/Territory: </w:t>
      </w:r>
    </w:p>
    <w:p w:rsidR="00D95E95" w:rsidRPr="00C73C58" w:rsidRDefault="00D95E95" w:rsidP="00D95E95">
      <w:pPr>
        <w:pStyle w:val="12"/>
      </w:pPr>
      <w:r w:rsidRPr="00C73C58">
        <w:t xml:space="preserve">Language: </w:t>
      </w:r>
    </w:p>
    <w:p w:rsidR="00D95E95" w:rsidRPr="00C73C58" w:rsidRDefault="00D95E95" w:rsidP="00D95E95">
      <w:pPr>
        <w:pStyle w:val="12"/>
      </w:pPr>
      <w:r w:rsidRPr="00C73C58">
        <w:t xml:space="preserve">Publisher: </w:t>
      </w:r>
    </w:p>
    <w:p w:rsidR="00D95E95" w:rsidRPr="00C73C58" w:rsidRDefault="00D95E95" w:rsidP="00D95E95">
      <w:pPr>
        <w:pStyle w:val="12"/>
      </w:pPr>
      <w:r w:rsidRPr="00C73C58">
        <w:t xml:space="preserve">Publisher Address: </w:t>
      </w:r>
    </w:p>
    <w:p w:rsidR="00D95E95" w:rsidRPr="00C73C58" w:rsidRDefault="00D95E95" w:rsidP="00D95E95">
      <w:pPr>
        <w:pStyle w:val="12"/>
      </w:pPr>
      <w:r w:rsidRPr="00C73C58">
        <w:t>Subject Categories:</w:t>
      </w:r>
    </w:p>
    <w:p w:rsidR="00D95E95" w:rsidRPr="00C73C58" w:rsidRDefault="00D95E95" w:rsidP="00D95E95">
      <w:pPr>
        <w:pStyle w:val="12"/>
      </w:pPr>
      <w:r w:rsidRPr="00C73C58">
        <w:t xml:space="preserve">: Impact Factor </w:t>
      </w:r>
    </w:p>
    <w:p w:rsidR="00D95E95" w:rsidRPr="00C73C58" w:rsidRDefault="00D95E95" w:rsidP="00D95E95">
      <w:pPr>
        <w:pStyle w:val="a3"/>
        <w:rPr>
          <w:kern w:val="0"/>
          <w:szCs w:val="24"/>
        </w:rPr>
      </w:pPr>
      <w:r w:rsidRPr="00C73C58">
        <w:t>?</w:t>
      </w:r>
      <w:r w:rsidRPr="00C73C58">
        <w:rPr>
          <w:kern w:val="0"/>
          <w:szCs w:val="24"/>
        </w:rPr>
        <w:t xml:space="preserve"> Maunder, R.G. (2007), Using publication statistics for evaluation in academic psychiatry. </w:t>
      </w:r>
      <w:r w:rsidRPr="00C73C58">
        <w:rPr>
          <w:i/>
          <w:iCs/>
          <w:kern w:val="0"/>
          <w:szCs w:val="24"/>
        </w:rPr>
        <w:t>Canadian Journal</w:t>
      </w:r>
      <w:r w:rsidR="00427468">
        <w:rPr>
          <w:i/>
          <w:iCs/>
          <w:kern w:val="0"/>
          <w:szCs w:val="24"/>
        </w:rPr>
        <w:t xml:space="preserve"> of </w:t>
      </w:r>
      <w:r w:rsidRPr="00C73C58">
        <w:rPr>
          <w:i/>
          <w:iCs/>
          <w:kern w:val="0"/>
          <w:szCs w:val="24"/>
        </w:rPr>
        <w:t>Psychiatry-Revue Canadienne de Psychiatrie</w:t>
      </w:r>
      <w:r w:rsidRPr="00C73C58">
        <w:rPr>
          <w:kern w:val="0"/>
          <w:szCs w:val="24"/>
        </w:rPr>
        <w:t xml:space="preserve">, </w:t>
      </w:r>
      <w:r w:rsidRPr="00C73C58">
        <w:rPr>
          <w:b/>
          <w:bCs/>
          <w:kern w:val="0"/>
          <w:szCs w:val="24"/>
        </w:rPr>
        <w:t>52</w:t>
      </w:r>
      <w:r w:rsidRPr="00C73C58">
        <w:rPr>
          <w:kern w:val="0"/>
          <w:szCs w:val="24"/>
        </w:rPr>
        <w:t xml:space="preserve"> (12), 790-797.</w:t>
      </w:r>
    </w:p>
    <w:p w:rsidR="00667AE3" w:rsidRDefault="00667AE3" w:rsidP="00667AE3">
      <w:pPr>
        <w:pStyle w:val="a3"/>
        <w:rPr>
          <w:kern w:val="0"/>
        </w:rPr>
      </w:pPr>
      <w:r>
        <w:rPr>
          <w:rFonts w:hint="eastAsia"/>
          <w:kern w:val="0"/>
        </w:rPr>
        <w:t xml:space="preserve">Full Text: </w:t>
      </w:r>
      <w:hyperlink r:id="rId67" w:history="1">
        <w:r w:rsidRPr="00A71536">
          <w:rPr>
            <w:rStyle w:val="a5"/>
            <w:kern w:val="0"/>
          </w:rPr>
          <w:t>2007\Can J Psy52, 790.pdf</w:t>
        </w:r>
      </w:hyperlink>
    </w:p>
    <w:p w:rsidR="00D95E95" w:rsidRPr="00C73C58" w:rsidRDefault="00D95E95" w:rsidP="00D95E95">
      <w:pPr>
        <w:pStyle w:val="a3"/>
        <w:rPr>
          <w:kern w:val="0"/>
          <w:szCs w:val="24"/>
        </w:rPr>
      </w:pPr>
      <w:r w:rsidRPr="00C73C58">
        <w:rPr>
          <w:kern w:val="0"/>
          <w:szCs w:val="24"/>
        </w:rPr>
        <w:t>Abstract: Objective:</w:t>
      </w:r>
      <w:r w:rsidR="003A1917">
        <w:rPr>
          <w:kern w:val="0"/>
          <w:szCs w:val="24"/>
        </w:rPr>
        <w:t xml:space="preserve"> the </w:t>
      </w:r>
      <w:r w:rsidRPr="00C73C58">
        <w:rPr>
          <w:kern w:val="0"/>
          <w:szCs w:val="24"/>
        </w:rPr>
        <w:t>validity</w:t>
      </w:r>
      <w:r w:rsidR="00427468">
        <w:rPr>
          <w:kern w:val="0"/>
          <w:szCs w:val="24"/>
        </w:rPr>
        <w:t xml:space="preserve"> of </w:t>
      </w:r>
      <w:r w:rsidRPr="00C73C58">
        <w:rPr>
          <w:kern w:val="0"/>
          <w:szCs w:val="24"/>
        </w:rPr>
        <w:t>using publication statistics to evaluate university faculty is not established. This study aimed to determine if publication statistics vary among psychiatric faculty members</w:t>
      </w:r>
      <w:r w:rsidR="00427468">
        <w:rPr>
          <w:kern w:val="0"/>
          <w:szCs w:val="24"/>
        </w:rPr>
        <w:t xml:space="preserve"> of </w:t>
      </w:r>
      <w:r w:rsidRPr="00C73C58">
        <w:rPr>
          <w:kern w:val="0"/>
          <w:szCs w:val="24"/>
        </w:rPr>
        <w:t>different academic rank</w:t>
      </w:r>
      <w:r w:rsidR="005853A9">
        <w:rPr>
          <w:kern w:val="0"/>
          <w:szCs w:val="24"/>
        </w:rPr>
        <w:t xml:space="preserve"> and </w:t>
      </w:r>
      <w:r w:rsidRPr="00C73C58">
        <w:rPr>
          <w:kern w:val="0"/>
          <w:szCs w:val="24"/>
        </w:rPr>
        <w:t>if there are biases among disciplines. Method: Using</w:t>
      </w:r>
      <w:r w:rsidR="003A1917">
        <w:rPr>
          <w:kern w:val="0"/>
          <w:szCs w:val="24"/>
        </w:rPr>
        <w:t xml:space="preserve"> the </w:t>
      </w:r>
      <w:r w:rsidRPr="00C73C58">
        <w:rPr>
          <w:kern w:val="0"/>
          <w:szCs w:val="24"/>
        </w:rPr>
        <w:t>10 most recent publications written by psychiatric faculty members at 2 schools</w:t>
      </w:r>
      <w:r w:rsidR="00427468">
        <w:rPr>
          <w:kern w:val="0"/>
          <w:szCs w:val="24"/>
        </w:rPr>
        <w:t xml:space="preserve"> of </w:t>
      </w:r>
      <w:r w:rsidRPr="00C73C58">
        <w:rPr>
          <w:kern w:val="0"/>
          <w:szCs w:val="24"/>
        </w:rPr>
        <w:t>medicine, we compared</w:t>
      </w:r>
      <w:r w:rsidR="003A1917">
        <w:rPr>
          <w:kern w:val="0"/>
          <w:szCs w:val="24"/>
        </w:rPr>
        <w:t xml:space="preserve"> the </w:t>
      </w:r>
      <w:r w:rsidRPr="00C73C58">
        <w:rPr>
          <w:kern w:val="0"/>
          <w:szCs w:val="24"/>
        </w:rPr>
        <w:t>time to publish 10 papers,</w:t>
      </w:r>
      <w:r w:rsidR="003A1917">
        <w:rPr>
          <w:kern w:val="0"/>
          <w:szCs w:val="24"/>
        </w:rPr>
        <w:t xml:space="preserve"> the </w:t>
      </w:r>
      <w:r w:rsidRPr="00C73C58">
        <w:rPr>
          <w:kern w:val="0"/>
          <w:szCs w:val="24"/>
        </w:rPr>
        <w:t>5-year impact,</w:t>
      </w:r>
      <w:r w:rsidR="003A1917">
        <w:rPr>
          <w:kern w:val="0"/>
          <w:szCs w:val="24"/>
        </w:rPr>
        <w:t xml:space="preserve"> the </w:t>
      </w:r>
      <w:r w:rsidRPr="00C73C58">
        <w:rPr>
          <w:kern w:val="0"/>
          <w:szCs w:val="24"/>
        </w:rPr>
        <w:t>citation rate,</w:t>
      </w:r>
      <w:r w:rsidR="005853A9">
        <w:rPr>
          <w:kern w:val="0"/>
          <w:szCs w:val="24"/>
        </w:rPr>
        <w:t xml:space="preserve"> and </w:t>
      </w:r>
      <w:r w:rsidR="003A1917">
        <w:rPr>
          <w:kern w:val="0"/>
          <w:szCs w:val="24"/>
        </w:rPr>
        <w:t xml:space="preserve">the </w:t>
      </w:r>
      <w:r w:rsidRPr="00C73C58">
        <w:rPr>
          <w:kern w:val="0"/>
          <w:szCs w:val="24"/>
        </w:rPr>
        <w:t>citation ratio according to academic rank</w:t>
      </w:r>
      <w:r w:rsidR="005853A9">
        <w:rPr>
          <w:kern w:val="0"/>
          <w:szCs w:val="24"/>
        </w:rPr>
        <w:t xml:space="preserve"> and </w:t>
      </w:r>
      <w:r w:rsidRPr="00C73C58">
        <w:rPr>
          <w:kern w:val="0"/>
          <w:szCs w:val="24"/>
        </w:rPr>
        <w:t>school. Leaders in neuroscience were compared with leaders in clinical subspecialties. Results: All statistics were associated with academic rank (P ≤ 0.001)</w:t>
      </w:r>
      <w:r w:rsidR="005853A9">
        <w:rPr>
          <w:kern w:val="0"/>
          <w:szCs w:val="24"/>
        </w:rPr>
        <w:t xml:space="preserve"> and </w:t>
      </w:r>
      <w:r w:rsidRPr="00C73C58">
        <w:rPr>
          <w:kern w:val="0"/>
          <w:szCs w:val="24"/>
        </w:rPr>
        <w:t>there were significant differences between</w:t>
      </w:r>
      <w:r w:rsidR="003A1917">
        <w:rPr>
          <w:kern w:val="0"/>
          <w:szCs w:val="24"/>
        </w:rPr>
        <w:t xml:space="preserve"> the </w:t>
      </w:r>
      <w:r w:rsidRPr="00C73C58">
        <w:rPr>
          <w:kern w:val="0"/>
          <w:szCs w:val="24"/>
        </w:rPr>
        <w:t>2 schools</w:t>
      </w:r>
      <w:r w:rsidR="00A37C1D">
        <w:rPr>
          <w:kern w:val="0"/>
          <w:szCs w:val="24"/>
        </w:rPr>
        <w:t>. The</w:t>
      </w:r>
      <w:r w:rsidRPr="00C73C58">
        <w:rPr>
          <w:kern w:val="0"/>
          <w:szCs w:val="24"/>
        </w:rPr>
        <w:t>re were more basic scientists than clinical subspecialists in</w:t>
      </w:r>
      <w:r w:rsidR="003A1917">
        <w:rPr>
          <w:kern w:val="0"/>
          <w:szCs w:val="24"/>
        </w:rPr>
        <w:t xml:space="preserve"> the </w:t>
      </w:r>
      <w:r w:rsidRPr="00C73C58">
        <w:rPr>
          <w:kern w:val="0"/>
          <w:szCs w:val="24"/>
        </w:rPr>
        <w:t>80th percentile for 5-year impact (P = 0.04), but</w:t>
      </w:r>
      <w:r w:rsidR="003A1917">
        <w:rPr>
          <w:kern w:val="0"/>
          <w:szCs w:val="24"/>
        </w:rPr>
        <w:t xml:space="preserve"> the </w:t>
      </w:r>
      <w:r w:rsidRPr="00C73C58">
        <w:rPr>
          <w:kern w:val="0"/>
          <w:szCs w:val="24"/>
        </w:rPr>
        <w:t>latter disciplines performed equally in citation ratio. Conclusions: Publication statistics differ among academic ranks. Citation ratio minimizes</w:t>
      </w:r>
      <w:r w:rsidR="003A1917">
        <w:rPr>
          <w:kern w:val="0"/>
          <w:szCs w:val="24"/>
        </w:rPr>
        <w:t xml:space="preserve"> the </w:t>
      </w:r>
      <w:r w:rsidRPr="00C73C58">
        <w:rPr>
          <w:kern w:val="0"/>
          <w:szCs w:val="24"/>
        </w:rPr>
        <w:t>effect</w:t>
      </w:r>
      <w:r w:rsidR="00427468">
        <w:rPr>
          <w:kern w:val="0"/>
          <w:szCs w:val="24"/>
        </w:rPr>
        <w:t xml:space="preserve"> of </w:t>
      </w:r>
      <w:r w:rsidRPr="00C73C58">
        <w:rPr>
          <w:kern w:val="0"/>
          <w:szCs w:val="24"/>
        </w:rPr>
        <w:t>biases among disciplines. Publication statistics may provide useful information for evaluating psychiatric faculty.</w:t>
      </w:r>
    </w:p>
    <w:p w:rsidR="00D95E95" w:rsidRPr="00C73C58" w:rsidRDefault="00D95E95" w:rsidP="00D95E95">
      <w:pPr>
        <w:pStyle w:val="a3"/>
        <w:rPr>
          <w:kern w:val="0"/>
          <w:szCs w:val="24"/>
        </w:rPr>
      </w:pPr>
      <w:r w:rsidRPr="00C73C58">
        <w:rPr>
          <w:kern w:val="0"/>
          <w:szCs w:val="24"/>
        </w:rPr>
        <w:t>Keywords: Authorship, Bibliometrics, Citation, Evaluation, Faculty, Impact, Journal Impact Factor, Medical, Papers, Publication, Publication Statistics, Publications, Schools, Statistics</w:t>
      </w:r>
    </w:p>
    <w:p w:rsidR="00D95E95" w:rsidRDefault="00D95E95" w:rsidP="00D95E95">
      <w:pPr>
        <w:pStyle w:val="a3"/>
        <w:rPr>
          <w:kern w:val="0"/>
        </w:rPr>
      </w:pPr>
      <w:r>
        <w:rPr>
          <w:rFonts w:hint="eastAsia"/>
          <w:kern w:val="0"/>
        </w:rPr>
        <w:t xml:space="preserve">? </w:t>
      </w:r>
      <w:r>
        <w:rPr>
          <w:kern w:val="0"/>
        </w:rPr>
        <w:t>Elie, D., Gagnon, P., Gagnon, B.</w:t>
      </w:r>
      <w:r w:rsidR="005853A9">
        <w:rPr>
          <w:kern w:val="0"/>
        </w:rPr>
        <w:t xml:space="preserve"> and </w:t>
      </w:r>
      <w:r>
        <w:rPr>
          <w:kern w:val="0"/>
        </w:rPr>
        <w:t>Giguere, A. (2010), Using psychostimulants in end</w:t>
      </w:r>
      <w:r w:rsidR="00434900">
        <w:rPr>
          <w:kern w:val="0"/>
        </w:rPr>
        <w:t>-of-</w:t>
      </w:r>
      <w:r>
        <w:rPr>
          <w:kern w:val="0"/>
        </w:rPr>
        <w:t>life patients with hypoactive delirium</w:t>
      </w:r>
      <w:r w:rsidR="005853A9">
        <w:rPr>
          <w:kern w:val="0"/>
        </w:rPr>
        <w:t xml:space="preserve"> and </w:t>
      </w:r>
      <w:r>
        <w:rPr>
          <w:kern w:val="0"/>
        </w:rPr>
        <w:t xml:space="preserve">cognitive disorders: A literature review. </w:t>
      </w:r>
      <w:r>
        <w:rPr>
          <w:i/>
          <w:iCs/>
          <w:kern w:val="0"/>
        </w:rPr>
        <w:t>Canadian Journal</w:t>
      </w:r>
      <w:r w:rsidR="00427468">
        <w:rPr>
          <w:i/>
          <w:iCs/>
          <w:kern w:val="0"/>
        </w:rPr>
        <w:t xml:space="preserve"> of </w:t>
      </w:r>
      <w:r>
        <w:rPr>
          <w:i/>
          <w:iCs/>
          <w:kern w:val="0"/>
        </w:rPr>
        <w:t>Psychiatry-Revue Canadienne de Psychiatrie</w:t>
      </w:r>
      <w:r>
        <w:rPr>
          <w:kern w:val="0"/>
        </w:rPr>
        <w:t xml:space="preserve">, </w:t>
      </w:r>
      <w:r>
        <w:rPr>
          <w:b/>
          <w:bCs/>
          <w:kern w:val="0"/>
        </w:rPr>
        <w:t>55</w:t>
      </w:r>
      <w:r>
        <w:rPr>
          <w:kern w:val="0"/>
        </w:rPr>
        <w:t xml:space="preserve"> (6), </w:t>
      </w:r>
      <w:r>
        <w:rPr>
          <w:kern w:val="0"/>
        </w:rPr>
        <w:lastRenderedPageBreak/>
        <w:t>386-393.</w:t>
      </w:r>
    </w:p>
    <w:p w:rsidR="002B5BBF" w:rsidRDefault="002B5BBF" w:rsidP="002B5BBF">
      <w:pPr>
        <w:pStyle w:val="a3"/>
        <w:rPr>
          <w:kern w:val="0"/>
        </w:rPr>
      </w:pPr>
      <w:r>
        <w:rPr>
          <w:rFonts w:hint="eastAsia"/>
          <w:kern w:val="0"/>
        </w:rPr>
        <w:t xml:space="preserve">Full Text: </w:t>
      </w:r>
      <w:hyperlink r:id="rId68" w:history="1">
        <w:r w:rsidR="006E2640" w:rsidRPr="006E2640">
          <w:rPr>
            <w:rStyle w:val="a5"/>
            <w:kern w:val="0"/>
          </w:rPr>
          <w:t>2010\Can J Psy55, 386.pdf</w:t>
        </w:r>
      </w:hyperlink>
    </w:p>
    <w:p w:rsidR="00D95E95" w:rsidRDefault="00D95E95" w:rsidP="00D95E95">
      <w:pPr>
        <w:pStyle w:val="a3"/>
        <w:rPr>
          <w:kern w:val="0"/>
        </w:rPr>
      </w:pPr>
      <w:r>
        <w:rPr>
          <w:kern w:val="0"/>
        </w:rPr>
        <w:t>Abstract: Objective: To review</w:t>
      </w:r>
      <w:r w:rsidR="003A1917">
        <w:rPr>
          <w:kern w:val="0"/>
        </w:rPr>
        <w:t xml:space="preserve"> the </w:t>
      </w:r>
      <w:r>
        <w:rPr>
          <w:kern w:val="0"/>
        </w:rPr>
        <w:t>research about psychostimulant effects on cognitive functions in end</w:t>
      </w:r>
      <w:r w:rsidR="00434900">
        <w:rPr>
          <w:kern w:val="0"/>
        </w:rPr>
        <w:t>-of-</w:t>
      </w:r>
      <w:r>
        <w:rPr>
          <w:kern w:val="0"/>
        </w:rPr>
        <w:t>life patients diagnosed with hypoactive delirium or cognitive disorders. Method:</w:t>
      </w:r>
      <w:r w:rsidR="003A1917">
        <w:rPr>
          <w:kern w:val="0"/>
        </w:rPr>
        <w:t xml:space="preserve"> the </w:t>
      </w:r>
      <w:r w:rsidR="00D5664A">
        <w:rPr>
          <w:kern w:val="0"/>
        </w:rPr>
        <w:t>MEDLINE</w:t>
      </w:r>
      <w:r>
        <w:rPr>
          <w:kern w:val="0"/>
        </w:rPr>
        <w:t xml:space="preserve"> (1966-March 2008), EMBASE (1974-March 2008), PsycINFO (1806-March 2008), IPA (1970-March 2008), CINAHL (1982-March 2008),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(1945-March 2008), Current Contents (March 2007-March 2008), Access Medicine (2001-March 2008),</w:t>
      </w:r>
      <w:r w:rsidR="005853A9">
        <w:rPr>
          <w:kern w:val="0"/>
        </w:rPr>
        <w:t xml:space="preserve"> and </w:t>
      </w:r>
      <w:r>
        <w:rPr>
          <w:kern w:val="0"/>
        </w:rPr>
        <w:t>ProQuest Dissertations &amp; Theses (1980-March 2008) databases were searched with keywords related to delirium, cognition, psychostimulants,</w:t>
      </w:r>
      <w:r w:rsidR="005853A9">
        <w:rPr>
          <w:kern w:val="0"/>
        </w:rPr>
        <w:t xml:space="preserve"> and </w:t>
      </w:r>
      <w:r>
        <w:rPr>
          <w:kern w:val="0"/>
        </w:rPr>
        <w:t>palliative care for French or English articles in a dementia-free</w:t>
      </w:r>
      <w:r w:rsidR="005853A9">
        <w:rPr>
          <w:kern w:val="0"/>
        </w:rPr>
        <w:t xml:space="preserve"> and </w:t>
      </w:r>
      <w:r>
        <w:rPr>
          <w:kern w:val="0"/>
        </w:rPr>
        <w:t>hyperactive delirium-free end</w:t>
      </w:r>
      <w:r w:rsidR="00434900">
        <w:rPr>
          <w:kern w:val="0"/>
        </w:rPr>
        <w:t>-of-</w:t>
      </w:r>
      <w:r>
        <w:rPr>
          <w:kern w:val="0"/>
        </w:rPr>
        <w:t>life population. Cognitive functions had to be assessed before</w:t>
      </w:r>
      <w:r w:rsidR="005853A9">
        <w:rPr>
          <w:kern w:val="0"/>
        </w:rPr>
        <w:t xml:space="preserve"> and </w:t>
      </w:r>
      <w:r>
        <w:rPr>
          <w:kern w:val="0"/>
        </w:rPr>
        <w:t>after initiation</w:t>
      </w:r>
      <w:r w:rsidR="00427468">
        <w:rPr>
          <w:kern w:val="0"/>
        </w:rPr>
        <w:t xml:space="preserve"> of </w:t>
      </w:r>
      <w:r w:rsidR="003A1917">
        <w:rPr>
          <w:kern w:val="0"/>
        </w:rPr>
        <w:t xml:space="preserve">the </w:t>
      </w:r>
      <w:r>
        <w:rPr>
          <w:kern w:val="0"/>
        </w:rPr>
        <w:t>psychostimulant treatment. Moreover, treatment had to be initiated after</w:t>
      </w:r>
      <w:r w:rsidR="003A1917">
        <w:rPr>
          <w:kern w:val="0"/>
        </w:rPr>
        <w:t xml:space="preserve"> the </w:t>
      </w:r>
      <w:r>
        <w:rPr>
          <w:kern w:val="0"/>
        </w:rPr>
        <w:t>onset</w:t>
      </w:r>
      <w:r w:rsidR="00427468">
        <w:rPr>
          <w:kern w:val="0"/>
        </w:rPr>
        <w:t xml:space="preserve"> of </w:t>
      </w:r>
      <w:r>
        <w:rPr>
          <w:kern w:val="0"/>
        </w:rPr>
        <w:t>cognitive impairments. Results: A total</w:t>
      </w:r>
      <w:r w:rsidR="00427468">
        <w:rPr>
          <w:kern w:val="0"/>
        </w:rPr>
        <w:t xml:space="preserve"> of </w:t>
      </w:r>
      <w:r>
        <w:rPr>
          <w:kern w:val="0"/>
        </w:rPr>
        <w:t>173 studies were screened. Five studies on methylphenidate</w:t>
      </w:r>
      <w:r w:rsidR="005853A9">
        <w:rPr>
          <w:kern w:val="0"/>
        </w:rPr>
        <w:t xml:space="preserve"> and </w:t>
      </w:r>
      <w:r>
        <w:rPr>
          <w:kern w:val="0"/>
        </w:rPr>
        <w:t>1 study on caffeine met inclusion criteria</w:t>
      </w:r>
      <w:r w:rsidR="005853A9">
        <w:rPr>
          <w:kern w:val="0"/>
        </w:rPr>
        <w:t xml:space="preserve"> and </w:t>
      </w:r>
      <w:r>
        <w:rPr>
          <w:kern w:val="0"/>
        </w:rPr>
        <w:t>were included in this review. Two studies were case reports, 2 were open-label trials,</w:t>
      </w:r>
      <w:r w:rsidR="005853A9">
        <w:rPr>
          <w:kern w:val="0"/>
        </w:rPr>
        <w:t xml:space="preserve"> and </w:t>
      </w:r>
      <w:r>
        <w:rPr>
          <w:kern w:val="0"/>
        </w:rPr>
        <w:t>2 were double-blind, crossover randomized placebo-controlled trials. Three studies were conducted with hypoactive delirium patients</w:t>
      </w:r>
      <w:r w:rsidR="005853A9">
        <w:rPr>
          <w:kern w:val="0"/>
        </w:rPr>
        <w:t xml:space="preserve"> and </w:t>
      </w:r>
      <w:r>
        <w:rPr>
          <w:kern w:val="0"/>
        </w:rPr>
        <w:t>all studies were conducted in an advanced cancer patient population. Conclusions:</w:t>
      </w:r>
      <w:r w:rsidR="003A1917">
        <w:rPr>
          <w:kern w:val="0"/>
        </w:rPr>
        <w:t xml:space="preserve"> the </w:t>
      </w:r>
      <w:r>
        <w:rPr>
          <w:kern w:val="0"/>
        </w:rPr>
        <w:t>reviewed studies support</w:t>
      </w:r>
      <w:r w:rsidR="003A1917">
        <w:rPr>
          <w:kern w:val="0"/>
        </w:rPr>
        <w:t xml:space="preserve"> the </w:t>
      </w:r>
      <w:r>
        <w:rPr>
          <w:kern w:val="0"/>
        </w:rPr>
        <w:t>use</w:t>
      </w:r>
      <w:r w:rsidR="00427468">
        <w:rPr>
          <w:kern w:val="0"/>
        </w:rPr>
        <w:t xml:space="preserve"> of </w:t>
      </w:r>
      <w:r>
        <w:rPr>
          <w:kern w:val="0"/>
        </w:rPr>
        <w:t>methylphenidate to improve end</w:t>
      </w:r>
      <w:r w:rsidR="00434900">
        <w:rPr>
          <w:kern w:val="0"/>
        </w:rPr>
        <w:t>-of-</w:t>
      </w:r>
      <w:r>
        <w:rPr>
          <w:kern w:val="0"/>
        </w:rPr>
        <w:t>life patient cognitive functions, particularly in</w:t>
      </w:r>
      <w:r w:rsidR="003A1917">
        <w:rPr>
          <w:kern w:val="0"/>
        </w:rPr>
        <w:t xml:space="preserve"> the </w:t>
      </w:r>
      <w:r>
        <w:rPr>
          <w:kern w:val="0"/>
        </w:rPr>
        <w:t>case</w:t>
      </w:r>
      <w:r w:rsidR="00427468">
        <w:rPr>
          <w:kern w:val="0"/>
        </w:rPr>
        <w:t xml:space="preserve"> of </w:t>
      </w:r>
      <w:r>
        <w:rPr>
          <w:kern w:val="0"/>
        </w:rPr>
        <w:t>hypoactive delirium. Caffeine seems to have beneficial effects on psychomotor activity. Further well-designed studies are needed to consolidate these findings.</w:t>
      </w:r>
    </w:p>
    <w:p w:rsidR="00D95E95" w:rsidRDefault="00D95E95" w:rsidP="00D95E95">
      <w:pPr>
        <w:pStyle w:val="a3"/>
        <w:rPr>
          <w:kern w:val="0"/>
        </w:rPr>
      </w:pPr>
      <w:r>
        <w:rPr>
          <w:kern w:val="0"/>
        </w:rPr>
        <w:t>Keywords: AIDS-Related Complex, Caffeine, Cancer, Cancer-Patients, Case Reports, Cognition, Cognitive Disorders, Databases, Depression, Dextroamphetamine, Dissertations, Double-Blind, Fatigue</w:t>
      </w:r>
      <w:r w:rsidR="00D5664A">
        <w:rPr>
          <w:kern w:val="0"/>
        </w:rPr>
        <w:t>, ISI,</w:t>
      </w:r>
      <w:r>
        <w:rPr>
          <w:kern w:val="0"/>
        </w:rPr>
        <w:t xml:space="preserve"> Literature Review, Medically Ill, </w:t>
      </w:r>
      <w:r w:rsidR="00D5664A">
        <w:rPr>
          <w:kern w:val="0"/>
        </w:rPr>
        <w:t>MEDLINE</w:t>
      </w:r>
      <w:r>
        <w:rPr>
          <w:kern w:val="0"/>
        </w:rPr>
        <w:t xml:space="preserve">, Methylphenidate, Palliative Care, Placebo-Controlled Trial, Psychomotor, Research, Review, Science, Treatment, </w:t>
      </w:r>
      <w:r w:rsidR="00D5664A">
        <w:rPr>
          <w:kern w:val="0"/>
        </w:rPr>
        <w:t>Web</w:t>
      </w:r>
      <w:r w:rsidR="00427468">
        <w:rPr>
          <w:kern w:val="0"/>
        </w:rPr>
        <w:t xml:space="preserve"> of </w:t>
      </w:r>
      <w:r w:rsidR="00D5664A">
        <w:rPr>
          <w:kern w:val="0"/>
        </w:rPr>
        <w:t>Science</w:t>
      </w:r>
    </w:p>
    <w:p w:rsidR="002B5BBF" w:rsidRDefault="002B5BBF" w:rsidP="002B5BBF">
      <w:pPr>
        <w:pStyle w:val="a3"/>
        <w:rPr>
          <w:kern w:val="0"/>
        </w:rPr>
      </w:pPr>
      <w:r>
        <w:rPr>
          <w:rFonts w:hint="eastAsia"/>
          <w:kern w:val="0"/>
        </w:rPr>
        <w:t xml:space="preserve">? </w:t>
      </w:r>
      <w:r>
        <w:rPr>
          <w:kern w:val="0"/>
        </w:rPr>
        <w:t>Amari, E., Rehm, J., Goldner, E.</w:t>
      </w:r>
      <w:r w:rsidR="005853A9">
        <w:rPr>
          <w:kern w:val="0"/>
        </w:rPr>
        <w:t xml:space="preserve"> and </w:t>
      </w:r>
      <w:r>
        <w:rPr>
          <w:kern w:val="0"/>
        </w:rPr>
        <w:t>Fischer, B. (2011), Nonmedical prescription opioid use</w:t>
      </w:r>
      <w:r w:rsidR="005853A9">
        <w:rPr>
          <w:kern w:val="0"/>
        </w:rPr>
        <w:t xml:space="preserve"> and </w:t>
      </w:r>
      <w:r>
        <w:rPr>
          <w:kern w:val="0"/>
        </w:rPr>
        <w:t>mental health</w:t>
      </w:r>
      <w:r w:rsidR="005853A9">
        <w:rPr>
          <w:kern w:val="0"/>
        </w:rPr>
        <w:t xml:space="preserve"> and </w:t>
      </w:r>
      <w:r>
        <w:rPr>
          <w:kern w:val="0"/>
        </w:rPr>
        <w:t xml:space="preserve">pain comorbidities: A narrative review. </w:t>
      </w:r>
      <w:r>
        <w:rPr>
          <w:i/>
          <w:iCs/>
          <w:kern w:val="0"/>
        </w:rPr>
        <w:t>Canadian Journal</w:t>
      </w:r>
      <w:r w:rsidR="00427468">
        <w:rPr>
          <w:i/>
          <w:iCs/>
          <w:kern w:val="0"/>
        </w:rPr>
        <w:t xml:space="preserve"> of </w:t>
      </w:r>
      <w:r>
        <w:rPr>
          <w:i/>
          <w:iCs/>
          <w:kern w:val="0"/>
        </w:rPr>
        <w:t>Psychiatry-Revue Canadienne de Psychiatrie</w:t>
      </w:r>
      <w:r>
        <w:rPr>
          <w:kern w:val="0"/>
        </w:rPr>
        <w:t xml:space="preserve">, </w:t>
      </w:r>
      <w:r>
        <w:rPr>
          <w:b/>
          <w:bCs/>
          <w:kern w:val="0"/>
        </w:rPr>
        <w:t>56</w:t>
      </w:r>
      <w:r>
        <w:rPr>
          <w:kern w:val="0"/>
        </w:rPr>
        <w:t xml:space="preserve"> (8), 495-502.</w:t>
      </w:r>
    </w:p>
    <w:p w:rsidR="002B5BBF" w:rsidRDefault="002B5BBF" w:rsidP="002B5BBF">
      <w:pPr>
        <w:pStyle w:val="a3"/>
        <w:rPr>
          <w:kern w:val="0"/>
        </w:rPr>
      </w:pPr>
      <w:r>
        <w:rPr>
          <w:rFonts w:hint="eastAsia"/>
          <w:kern w:val="0"/>
        </w:rPr>
        <w:t xml:space="preserve">Full Text: </w:t>
      </w:r>
      <w:hyperlink r:id="rId69" w:history="1">
        <w:r w:rsidRPr="00A71536">
          <w:rPr>
            <w:rStyle w:val="a5"/>
            <w:kern w:val="0"/>
          </w:rPr>
          <w:t>2011\Can J Psy56, 495.pdf</w:t>
        </w:r>
      </w:hyperlink>
    </w:p>
    <w:p w:rsidR="002B5BBF" w:rsidRDefault="002B5BBF" w:rsidP="002B5BBF">
      <w:pPr>
        <w:pStyle w:val="a3"/>
        <w:rPr>
          <w:kern w:val="0"/>
        </w:rPr>
      </w:pPr>
      <w:r>
        <w:rPr>
          <w:kern w:val="0"/>
        </w:rPr>
        <w:t>Abstract: Objective: In North America,</w:t>
      </w:r>
      <w:r w:rsidR="003A1917">
        <w:rPr>
          <w:kern w:val="0"/>
        </w:rPr>
        <w:t xml:space="preserve"> the </w:t>
      </w:r>
      <w:r>
        <w:rPr>
          <w:kern w:val="0"/>
        </w:rPr>
        <w:t>prevalence</w:t>
      </w:r>
      <w:r w:rsidR="00427468">
        <w:rPr>
          <w:kern w:val="0"/>
        </w:rPr>
        <w:t xml:space="preserve"> of </w:t>
      </w:r>
      <w:r>
        <w:rPr>
          <w:kern w:val="0"/>
        </w:rPr>
        <w:t>nonmedical prescription opioid use (NMPOU),</w:t>
      </w:r>
      <w:r w:rsidR="005853A9">
        <w:rPr>
          <w:kern w:val="0"/>
        </w:rPr>
        <w:t xml:space="preserve"> and </w:t>
      </w:r>
      <w:r>
        <w:rPr>
          <w:kern w:val="0"/>
        </w:rPr>
        <w:t>morbidity</w:t>
      </w:r>
      <w:r w:rsidR="005853A9">
        <w:rPr>
          <w:kern w:val="0"/>
        </w:rPr>
        <w:t xml:space="preserve"> and </w:t>
      </w:r>
      <w:r>
        <w:rPr>
          <w:kern w:val="0"/>
        </w:rPr>
        <w:t>mortality related to prescription opioid analgesics (POAs) has risen sharply. Epidemiologic studies have suggested a high prevalence</w:t>
      </w:r>
      <w:r w:rsidR="00427468">
        <w:rPr>
          <w:kern w:val="0"/>
        </w:rPr>
        <w:t xml:space="preserve"> of </w:t>
      </w:r>
      <w:r>
        <w:rPr>
          <w:kern w:val="0"/>
        </w:rPr>
        <w:t>mental health</w:t>
      </w:r>
      <w:r w:rsidR="005853A9">
        <w:rPr>
          <w:kern w:val="0"/>
        </w:rPr>
        <w:t xml:space="preserve"> and </w:t>
      </w:r>
      <w:r>
        <w:rPr>
          <w:kern w:val="0"/>
        </w:rPr>
        <w:t>pain comorbidities in NMPOU samples. Given</w:t>
      </w:r>
      <w:r w:rsidR="003A1917">
        <w:rPr>
          <w:kern w:val="0"/>
        </w:rPr>
        <w:t xml:space="preserve"> the </w:t>
      </w:r>
      <w:r>
        <w:rPr>
          <w:kern w:val="0"/>
        </w:rPr>
        <w:t>potential importance for interventions, a narrative review was conducted on studies reporting data on</w:t>
      </w:r>
      <w:r w:rsidR="003A1917">
        <w:rPr>
          <w:kern w:val="0"/>
        </w:rPr>
        <w:t xml:space="preserve"> the </w:t>
      </w:r>
      <w:r>
        <w:rPr>
          <w:kern w:val="0"/>
        </w:rPr>
        <w:t>co-occurrence</w:t>
      </w:r>
      <w:r w:rsidR="00427468">
        <w:rPr>
          <w:kern w:val="0"/>
        </w:rPr>
        <w:t xml:space="preserve"> of </w:t>
      </w:r>
      <w:r>
        <w:rPr>
          <w:kern w:val="0"/>
        </w:rPr>
        <w:t>NMPOU with mental health problems</w:t>
      </w:r>
      <w:r w:rsidR="005853A9">
        <w:rPr>
          <w:kern w:val="0"/>
        </w:rPr>
        <w:t xml:space="preserve"> and </w:t>
      </w:r>
      <w:r>
        <w:rPr>
          <w:kern w:val="0"/>
        </w:rPr>
        <w:t>pain symptoms in general, treatment, or special populations. Method: A search</w:t>
      </w:r>
      <w:r w:rsidR="00427468">
        <w:rPr>
          <w:kern w:val="0"/>
        </w:rPr>
        <w:t xml:space="preserve"> of </w:t>
      </w:r>
      <w:r w:rsidR="00D5664A">
        <w:rPr>
          <w:kern w:val="0"/>
        </w:rPr>
        <w:lastRenderedPageBreak/>
        <w:t>MEDLINE</w:t>
      </w:r>
      <w:r>
        <w:rPr>
          <w:kern w:val="0"/>
        </w:rPr>
        <w:t>, PubMed, PsycINFO,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using defined search terms yielded 74 studies on NMPOU</w:t>
      </w:r>
      <w:r w:rsidR="005853A9">
        <w:rPr>
          <w:kern w:val="0"/>
        </w:rPr>
        <w:t xml:space="preserve"> and </w:t>
      </w:r>
      <w:r>
        <w:rPr>
          <w:kern w:val="0"/>
        </w:rPr>
        <w:t>mental health</w:t>
      </w:r>
      <w:r w:rsidR="005853A9">
        <w:rPr>
          <w:kern w:val="0"/>
        </w:rPr>
        <w:t xml:space="preserve"> and </w:t>
      </w:r>
      <w:r>
        <w:rPr>
          <w:kern w:val="0"/>
        </w:rPr>
        <w:t>(or) pain. Thirty-nine studies published between 1997</w:t>
      </w:r>
      <w:r w:rsidR="005853A9">
        <w:rPr>
          <w:kern w:val="0"/>
        </w:rPr>
        <w:t xml:space="preserve"> and </w:t>
      </w:r>
      <w:r>
        <w:rPr>
          <w:kern w:val="0"/>
        </w:rPr>
        <w:t>2009 were included in</w:t>
      </w:r>
      <w:r w:rsidR="003A1917">
        <w:rPr>
          <w:kern w:val="0"/>
        </w:rPr>
        <w:t xml:space="preserve"> the </w:t>
      </w:r>
      <w:r>
        <w:rPr>
          <w:kern w:val="0"/>
        </w:rPr>
        <w:t>review-based on</w:t>
      </w:r>
      <w:r w:rsidR="003A1917">
        <w:rPr>
          <w:kern w:val="0"/>
        </w:rPr>
        <w:t xml:space="preserve"> the </w:t>
      </w:r>
      <w:r>
        <w:rPr>
          <w:kern w:val="0"/>
        </w:rPr>
        <w:t>data they provided on NMPOU</w:t>
      </w:r>
      <w:r w:rsidR="005853A9">
        <w:rPr>
          <w:kern w:val="0"/>
        </w:rPr>
        <w:t xml:space="preserve"> and </w:t>
      </w:r>
      <w:r>
        <w:rPr>
          <w:kern w:val="0"/>
        </w:rPr>
        <w:t>mental health</w:t>
      </w:r>
      <w:r w:rsidR="005853A9">
        <w:rPr>
          <w:kern w:val="0"/>
        </w:rPr>
        <w:t xml:space="preserve"> and </w:t>
      </w:r>
      <w:r>
        <w:rPr>
          <w:kern w:val="0"/>
        </w:rPr>
        <w:t>pain comorbidities. Results: Our review found strong associations between NMPOU</w:t>
      </w:r>
      <w:r w:rsidR="005853A9">
        <w:rPr>
          <w:kern w:val="0"/>
        </w:rPr>
        <w:t xml:space="preserve"> and </w:t>
      </w:r>
      <w:r w:rsidR="003A1917">
        <w:rPr>
          <w:kern w:val="0"/>
        </w:rPr>
        <w:t xml:space="preserve">the </w:t>
      </w:r>
      <w:r>
        <w:rPr>
          <w:kern w:val="0"/>
        </w:rPr>
        <w:t>comorbidities</w:t>
      </w:r>
      <w:r w:rsidR="00427468">
        <w:rPr>
          <w:kern w:val="0"/>
        </w:rPr>
        <w:t xml:space="preserve"> of </w:t>
      </w:r>
      <w:r>
        <w:rPr>
          <w:kern w:val="0"/>
        </w:rPr>
        <w:t>interest. Associations between NMPOU</w:t>
      </w:r>
      <w:r w:rsidR="005853A9">
        <w:rPr>
          <w:kern w:val="0"/>
        </w:rPr>
        <w:t xml:space="preserve"> and </w:t>
      </w:r>
      <w:r>
        <w:rPr>
          <w:kern w:val="0"/>
        </w:rPr>
        <w:t>mental health were strongest for depression (OR range 1.2 to 4.3) followed by anxiety disorders (OR range 1.2 to 3.0) in general</w:t>
      </w:r>
      <w:r w:rsidR="005853A9">
        <w:rPr>
          <w:kern w:val="0"/>
        </w:rPr>
        <w:t xml:space="preserve"> and </w:t>
      </w:r>
      <w:r>
        <w:rPr>
          <w:kern w:val="0"/>
        </w:rPr>
        <w:t>treatment populations</w:t>
      </w:r>
      <w:r w:rsidR="00A37C1D">
        <w:rPr>
          <w:kern w:val="0"/>
        </w:rPr>
        <w:t>. The</w:t>
      </w:r>
      <w:r w:rsidR="003A1917">
        <w:rPr>
          <w:kern w:val="0"/>
        </w:rPr>
        <w:t xml:space="preserve"> </w:t>
      </w:r>
      <w:r>
        <w:rPr>
          <w:kern w:val="0"/>
        </w:rPr>
        <w:t>prevalence</w:t>
      </w:r>
      <w:r w:rsidR="00427468">
        <w:rPr>
          <w:kern w:val="0"/>
        </w:rPr>
        <w:t xml:space="preserve"> of </w:t>
      </w:r>
      <w:r>
        <w:rPr>
          <w:kern w:val="0"/>
        </w:rPr>
        <w:t>pain ranged from 14.5% to 61.5% in general, treatment,</w:t>
      </w:r>
      <w:r w:rsidR="005853A9">
        <w:rPr>
          <w:kern w:val="0"/>
        </w:rPr>
        <w:t xml:space="preserve"> and </w:t>
      </w:r>
      <w:r>
        <w:rPr>
          <w:kern w:val="0"/>
        </w:rPr>
        <w:t>street drug user samples reporting NMPOU. Conclusions:</w:t>
      </w:r>
      <w:r w:rsidR="003A1917">
        <w:rPr>
          <w:kern w:val="0"/>
        </w:rPr>
        <w:t xml:space="preserve"> the </w:t>
      </w:r>
      <w:r>
        <w:rPr>
          <w:kern w:val="0"/>
        </w:rPr>
        <w:t>extensive associations observed between NMPOU</w:t>
      </w:r>
      <w:r w:rsidR="005853A9">
        <w:rPr>
          <w:kern w:val="0"/>
        </w:rPr>
        <w:t xml:space="preserve"> and </w:t>
      </w:r>
      <w:r>
        <w:rPr>
          <w:kern w:val="0"/>
        </w:rPr>
        <w:t>mental health</w:t>
      </w:r>
      <w:r w:rsidR="005853A9">
        <w:rPr>
          <w:kern w:val="0"/>
        </w:rPr>
        <w:t xml:space="preserve"> and </w:t>
      </w:r>
      <w:r>
        <w:rPr>
          <w:kern w:val="0"/>
        </w:rPr>
        <w:t>pain comorbidities suggest that effective preventive or treatment interventions for NMPOU must consider</w:t>
      </w:r>
      <w:r w:rsidR="005853A9">
        <w:rPr>
          <w:kern w:val="0"/>
        </w:rPr>
        <w:t xml:space="preserve"> and </w:t>
      </w:r>
      <w:r>
        <w:rPr>
          <w:kern w:val="0"/>
        </w:rPr>
        <w:t>attend to these comorbidities. As POAs are widely available</w:t>
      </w:r>
      <w:r w:rsidR="005853A9">
        <w:rPr>
          <w:kern w:val="0"/>
        </w:rPr>
        <w:t xml:space="preserve"> and </w:t>
      </w:r>
      <w:r>
        <w:rPr>
          <w:kern w:val="0"/>
        </w:rPr>
        <w:t>used in North America, POAs may increasingly be used in nonmedical ways for pain or mental health problems not effectively diagnosed or treated.</w:t>
      </w:r>
    </w:p>
    <w:p w:rsidR="002B5BBF" w:rsidRDefault="002B5BBF" w:rsidP="002B5BBF">
      <w:pPr>
        <w:pStyle w:val="a3"/>
        <w:rPr>
          <w:kern w:val="0"/>
        </w:rPr>
      </w:pPr>
      <w:r>
        <w:rPr>
          <w:kern w:val="0"/>
        </w:rPr>
        <w:t xml:space="preserve">Keywords: Anxiety, Anxiety Disorders, Chronic Noncancer Pain, College-Students, Comorbidity, Dependence Symptoms, Depression, Drug, Dual Diagnosis, Epidemiologic Studies, Health, Interest, Interventions, </w:t>
      </w:r>
      <w:r w:rsidR="00D5664A">
        <w:rPr>
          <w:kern w:val="0"/>
        </w:rPr>
        <w:t>MEDLINE</w:t>
      </w:r>
      <w:r>
        <w:rPr>
          <w:kern w:val="0"/>
        </w:rPr>
        <w:t xml:space="preserve">, Mental Health, Mental Illness, Methadone-Maintenance Treatment, Morbidity, Mortality, National Epidemiologic Survey, Nonmedical Prescription Opioid Use, Opioid, Pain, Prevalence, Primary-Care, Pubmed, Review, Science, Self-Medication Hypothesis, Substance Misuse, Substance Use Disorders, Symptoms, Treatment, Treatment Interventions, United-States, </w:t>
      </w:r>
      <w:r w:rsidR="00D5664A">
        <w:rPr>
          <w:kern w:val="0"/>
        </w:rPr>
        <w:t>Web</w:t>
      </w:r>
      <w:r w:rsidR="00427468">
        <w:rPr>
          <w:kern w:val="0"/>
        </w:rPr>
        <w:t xml:space="preserve"> of </w:t>
      </w:r>
      <w:r w:rsidR="00D5664A">
        <w:rPr>
          <w:kern w:val="0"/>
        </w:rPr>
        <w:t>Science</w:t>
      </w:r>
    </w:p>
    <w:p w:rsidR="00FA7F60" w:rsidRDefault="00FA7F60" w:rsidP="00FA7F60">
      <w:pPr>
        <w:pStyle w:val="a3"/>
        <w:rPr>
          <w:kern w:val="0"/>
        </w:rPr>
      </w:pPr>
      <w:r>
        <w:rPr>
          <w:kern w:val="0"/>
        </w:rPr>
        <w:t xml:space="preserve">? Kisely, S. and Hall, K. (2014), An updated meta-analysis of randomized controlled evidence for the effectiveness of community treatment orders. </w:t>
      </w:r>
      <w:r>
        <w:rPr>
          <w:i/>
          <w:iCs/>
          <w:kern w:val="0"/>
        </w:rPr>
        <w:t>Canadian Journal of Psychiatry-Revue Canadienne de Psychiatrie</w:t>
      </w:r>
      <w:r>
        <w:rPr>
          <w:kern w:val="0"/>
        </w:rPr>
        <w:t xml:space="preserve">, </w:t>
      </w:r>
      <w:r>
        <w:rPr>
          <w:b/>
          <w:bCs/>
          <w:kern w:val="0"/>
        </w:rPr>
        <w:t>59</w:t>
      </w:r>
      <w:r>
        <w:rPr>
          <w:kern w:val="0"/>
        </w:rPr>
        <w:t xml:space="preserve"> (10), 561-564.</w:t>
      </w:r>
    </w:p>
    <w:p w:rsidR="00FA7F60" w:rsidRDefault="00FA7F60" w:rsidP="00FA7F60">
      <w:pPr>
        <w:pStyle w:val="a3"/>
        <w:rPr>
          <w:kern w:val="0"/>
        </w:rPr>
      </w:pPr>
      <w:r>
        <w:rPr>
          <w:rFonts w:hint="eastAsia"/>
          <w:kern w:val="0"/>
        </w:rPr>
        <w:t xml:space="preserve">Full Text: </w:t>
      </w:r>
      <w:hyperlink r:id="rId70" w:history="1">
        <w:r w:rsidRPr="00FA7F60">
          <w:rPr>
            <w:rStyle w:val="a5"/>
            <w:kern w:val="0"/>
          </w:rPr>
          <w:t>201</w:t>
        </w:r>
        <w:r w:rsidRPr="00FA7F60">
          <w:rPr>
            <w:rStyle w:val="a5"/>
            <w:rFonts w:hint="eastAsia"/>
            <w:kern w:val="0"/>
          </w:rPr>
          <w:t>4</w:t>
        </w:r>
        <w:r w:rsidRPr="00FA7F60">
          <w:rPr>
            <w:rStyle w:val="a5"/>
            <w:kern w:val="0"/>
          </w:rPr>
          <w:t>\Can J Psy5</w:t>
        </w:r>
        <w:r w:rsidRPr="00FA7F60">
          <w:rPr>
            <w:rStyle w:val="a5"/>
            <w:rFonts w:hint="eastAsia"/>
            <w:kern w:val="0"/>
          </w:rPr>
          <w:t>9</w:t>
        </w:r>
        <w:r w:rsidRPr="00FA7F60">
          <w:rPr>
            <w:rStyle w:val="a5"/>
            <w:kern w:val="0"/>
          </w:rPr>
          <w:t>, 561.pdf</w:t>
        </w:r>
      </w:hyperlink>
    </w:p>
    <w:p w:rsidR="00FA7F60" w:rsidRDefault="00FA7F60" w:rsidP="00FA7F60">
      <w:pPr>
        <w:pStyle w:val="a3"/>
        <w:rPr>
          <w:kern w:val="0"/>
        </w:rPr>
      </w:pPr>
      <w:r>
        <w:rPr>
          <w:kern w:val="0"/>
        </w:rPr>
        <w:t xml:space="preserve">Abstract: Objectives: It is unclear whether community treatment orders (CTOs) for people with severe mental illnesses can reduce health service use, or improve clinical and social outcomes. Randomized controlled trials of CTOs are rare because of ethical and logistical concerns. This meta-analysis updates available evidence. Method: A systematic literature search was performed of the Cochrane Schizophrenia Group Register, Science Citation Index, PubMed, MEDLINE, and Embase to November 2013. Inclusion criteria were studies comparing CTOs with standard care including those where control subjects received voluntary care, for most of the trial. Results: Three studies provided 749 subjects for the meta-analysis. Two compared compulsory treatment with entirely voluntary care, while the third had control subjects receiving voluntary treatment for the bulk of the time. Compared with control subjects, CTOs did not reduce readmissions (risk ratio 0.98, 95% CI 0.82 to 1.16) or bed days (mean difference [ MD] -16.36; 95% CI -40.8 to 8.05) in </w:t>
      </w:r>
      <w:r>
        <w:rPr>
          <w:kern w:val="0"/>
        </w:rPr>
        <w:lastRenderedPageBreak/>
        <w:t>the subsequent 12 months (n = 749). Moreover, there were no significant differences in psychiatric symptoms (standardized MD -0.03; 95% CI -0.25 to 0.19; n = 331) or the Global Assessment of Functioning (MD -1.36; 95% CI -4.07 to 1.35; n = 335). Only including the 2 studies that compared compulsory treatment with entirely voluntary care made no difference to the results. Conclusions: CTOs may not lead to significant differences in readmission, social functioning, or symptomatology, compared with standard care. Their use should be kept under review.</w:t>
      </w:r>
    </w:p>
    <w:p w:rsidR="00FA7F60" w:rsidRDefault="00FA7F60" w:rsidP="00FA7F60">
      <w:pPr>
        <w:pStyle w:val="a3"/>
        <w:rPr>
          <w:kern w:val="0"/>
        </w:rPr>
      </w:pPr>
      <w:r>
        <w:rPr>
          <w:kern w:val="0"/>
        </w:rPr>
        <w:t>Keywords: Assessment, Care, Citation, Clinical, Community, Community Treatment Order, Compulsory Treatment, Control, Criteria, Effectiveness, Ethical, Evidence, Global, Health, Involuntary Outpatient Commitment, Lead, Literature, Literature Search, Medline, Meta Analysis, Meta-Analyses, Meta-Analysis, Metaanalysis, Outcomes, Psychiatric Services, Psychiatric Symptoms, Pubmed, Randomized, Randomized Controlled Trials, Readmission, Readmissions, Results, Review, Risk, Schizophrenia, Science, Science Citation Index, Service, Social, Standard, Symptoms, Systematic, Systematic Literature Search, Treatment, Trial</w:t>
      </w:r>
    </w:p>
    <w:p w:rsidR="003474F2" w:rsidRPr="001A3D2B" w:rsidRDefault="003474F2" w:rsidP="003474F2">
      <w:pPr>
        <w:pStyle w:val="1"/>
      </w:pPr>
      <w:r w:rsidRPr="001A3D2B">
        <w:br w:type="page"/>
      </w:r>
      <w:bookmarkStart w:id="40" w:name="_Toc420814884"/>
      <w:r w:rsidRPr="001A3D2B">
        <w:lastRenderedPageBreak/>
        <w:t>Title: Canadian Journal</w:t>
      </w:r>
      <w:r w:rsidR="00427468">
        <w:t xml:space="preserve"> of </w:t>
      </w:r>
      <w:r w:rsidRPr="001A3D2B">
        <w:t>Public Health-Revue</w:t>
      </w:r>
      <w:bookmarkStart w:id="41" w:name="_Toc226908129"/>
      <w:r w:rsidRPr="001A3D2B">
        <w:t xml:space="preserve"> Canadienne de Sante Publique</w:t>
      </w:r>
      <w:bookmarkEnd w:id="40"/>
    </w:p>
    <w:p w:rsidR="003474F2" w:rsidRPr="001A3D2B" w:rsidRDefault="003474F2" w:rsidP="003474F2">
      <w:pPr>
        <w:pStyle w:val="12"/>
      </w:pPr>
      <w:r w:rsidRPr="001A3D2B">
        <w:t>Full Journal Title: Canadian Journal</w:t>
      </w:r>
      <w:r w:rsidR="00427468">
        <w:t xml:space="preserve"> of </w:t>
      </w:r>
      <w:r w:rsidRPr="001A3D2B">
        <w:t>Publi</w:t>
      </w:r>
      <w:bookmarkEnd w:id="41"/>
      <w:r w:rsidRPr="001A3D2B">
        <w:t>c Health-Revue Canadienne de Sante Publique</w:t>
      </w:r>
    </w:p>
    <w:p w:rsidR="003474F2" w:rsidRPr="001A3D2B" w:rsidRDefault="003474F2" w:rsidP="003474F2">
      <w:pPr>
        <w:pStyle w:val="12"/>
      </w:pPr>
      <w:r w:rsidRPr="001A3D2B">
        <w:t xml:space="preserve">ISO Abbreviated Title: </w:t>
      </w:r>
      <w:smartTag w:uri="urn:schemas-microsoft-com:office:smarttags" w:element="place">
        <w:smartTag w:uri="urn:schemas-microsoft-com:office:smarttags" w:element="country-region">
          <w:r w:rsidRPr="001A3D2B">
            <w:t>Can.</w:t>
          </w:r>
        </w:smartTag>
      </w:smartTag>
      <w:r w:rsidRPr="001A3D2B">
        <w:t xml:space="preserve"> J. Public Health</w:t>
      </w:r>
    </w:p>
    <w:p w:rsidR="003474F2" w:rsidRPr="001A3D2B" w:rsidRDefault="00CE64DF" w:rsidP="003474F2">
      <w:pPr>
        <w:pStyle w:val="12"/>
      </w:pPr>
      <w:r w:rsidRPr="001A3D2B">
        <w:t>JCR Abbreviated Title:</w:t>
      </w:r>
      <w:r w:rsidR="003474F2" w:rsidRPr="001A3D2B">
        <w:t xml:space="preserve"> Can J Public Health</w:t>
      </w:r>
    </w:p>
    <w:p w:rsidR="003474F2" w:rsidRPr="001A3D2B" w:rsidRDefault="003474F2" w:rsidP="003474F2">
      <w:pPr>
        <w:pStyle w:val="12"/>
      </w:pPr>
      <w:r w:rsidRPr="001A3D2B">
        <w:t>ISSN: 0008-4263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Publisher: Canadian Public Health Assoc, Ottawa</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Tricco, A.C., Runnels, V., Sampson, M.</w:t>
      </w:r>
      <w:r w:rsidR="005853A9">
        <w:t xml:space="preserve"> and </w:t>
      </w:r>
      <w:r w:rsidRPr="001A3D2B">
        <w:t>Bouchard, L. (2008), Health, health promotion,</w:t>
      </w:r>
      <w:r w:rsidR="005853A9">
        <w:t xml:space="preserve"> and </w:t>
      </w:r>
      <w:r w:rsidRPr="001A3D2B">
        <w:t xml:space="preserve">public health a bibliometric analysis. </w:t>
      </w:r>
      <w:r w:rsidRPr="001A3D2B">
        <w:rPr>
          <w:i/>
          <w:iCs/>
        </w:rPr>
        <w:t>Canadian Journal</w:t>
      </w:r>
      <w:r w:rsidR="00427468">
        <w:rPr>
          <w:i/>
          <w:iCs/>
        </w:rPr>
        <w:t xml:space="preserve"> of </w:t>
      </w:r>
      <w:r w:rsidRPr="001A3D2B">
        <w:rPr>
          <w:i/>
          <w:iCs/>
        </w:rPr>
        <w:t>Public Health-Revue Canadienne de Sante Publique</w:t>
      </w:r>
      <w:r w:rsidRPr="001A3D2B">
        <w:t xml:space="preserve">, </w:t>
      </w:r>
      <w:r w:rsidRPr="001A3D2B">
        <w:rPr>
          <w:b/>
          <w:bCs/>
        </w:rPr>
        <w:t>99</w:t>
      </w:r>
      <w:r w:rsidRPr="001A3D2B">
        <w:t xml:space="preserve"> (6), 466-471.</w:t>
      </w:r>
    </w:p>
    <w:p w:rsidR="00B94147" w:rsidRPr="00C73C58" w:rsidRDefault="00B94147" w:rsidP="00B94147">
      <w:pPr>
        <w:pStyle w:val="a3"/>
      </w:pPr>
      <w:r>
        <w:rPr>
          <w:rFonts w:hint="eastAsia"/>
        </w:rPr>
        <w:t xml:space="preserve">Full Text: </w:t>
      </w:r>
      <w:hyperlink r:id="rId71" w:history="1">
        <w:r w:rsidRPr="009B137D">
          <w:rPr>
            <w:rStyle w:val="a5"/>
          </w:rPr>
          <w:t>2008\Can J Pub Hea99, 466.pdf</w:t>
        </w:r>
      </w:hyperlink>
    </w:p>
    <w:p w:rsidR="003474F2" w:rsidRPr="001A3D2B" w:rsidRDefault="003474F2" w:rsidP="003474F2">
      <w:pPr>
        <w:pStyle w:val="a3"/>
      </w:pPr>
      <w:r w:rsidRPr="001A3D2B">
        <w:t>Abstract: Objective: Bibliometric analysis can be used to objectively compare</w:t>
      </w:r>
      <w:r w:rsidR="003A1917">
        <w:t xml:space="preserve"> the </w:t>
      </w:r>
      <w:r w:rsidR="00D5664A">
        <w:t>USA</w:t>
      </w:r>
      <w:r w:rsidRPr="001A3D2B">
        <w:t>ge</w:t>
      </w:r>
      <w:r w:rsidR="00427468">
        <w:t xml:space="preserve"> of </w:t>
      </w:r>
      <w:r w:rsidRPr="001A3D2B">
        <w:t>terms over time</w:t>
      </w:r>
      <w:r w:rsidR="00A37C1D">
        <w:t>. The</w:t>
      </w:r>
      <w:r w:rsidR="003A1917">
        <w:t xml:space="preserve"> </w:t>
      </w:r>
      <w:r w:rsidRPr="001A3D2B">
        <w:t>purpose</w:t>
      </w:r>
      <w:r w:rsidR="00427468">
        <w:t xml:space="preserve"> of </w:t>
      </w:r>
      <w:r w:rsidRPr="001A3D2B">
        <w:t>this research was to compare</w:t>
      </w:r>
      <w:r w:rsidR="003A1917">
        <w:t xml:space="preserve"> the </w:t>
      </w:r>
      <w:r w:rsidRPr="001A3D2B">
        <w:t>use</w:t>
      </w:r>
      <w:r w:rsidR="00427468">
        <w:t xml:space="preserve"> of </w:t>
      </w:r>
      <w:r w:rsidRPr="001A3D2B">
        <w:t>population health, health promotion,</w:t>
      </w:r>
      <w:r w:rsidR="005853A9">
        <w:t xml:space="preserve"> and </w:t>
      </w:r>
      <w:r w:rsidRPr="001A3D2B">
        <w:t>public health using bibliometric indicators</w:t>
      </w:r>
      <w:r w:rsidR="00427468">
        <w:t xml:space="preserve"> of </w:t>
      </w:r>
      <w:r w:rsidR="003A1917">
        <w:t xml:space="preserve">the </w:t>
      </w:r>
      <w:r w:rsidRPr="001A3D2B">
        <w:t>published literature. Methods: Bibliometric indicators, Such as scientific productivity</w:t>
      </w:r>
      <w:r w:rsidR="005853A9">
        <w:t xml:space="preserve"> and </w:t>
      </w:r>
      <w:r w:rsidR="003A1917">
        <w:t xml:space="preserve">the </w:t>
      </w:r>
      <w:r w:rsidRPr="001A3D2B">
        <w:t>overlap between</w:t>
      </w:r>
      <w:r w:rsidR="003A1917">
        <w:t xml:space="preserve"> the </w:t>
      </w:r>
      <w:r w:rsidRPr="001A3D2B">
        <w:t>terms, were analyzed in</w:t>
      </w:r>
      <w:r w:rsidR="003A1917">
        <w:t xml:space="preserve"> the </w:t>
      </w:r>
      <w:r w:rsidR="00D5664A">
        <w:t>Web</w:t>
      </w:r>
      <w:r w:rsidR="00427468">
        <w:t xml:space="preserve"> of </w:t>
      </w:r>
      <w:r w:rsidR="00D5664A">
        <w:t>Science</w:t>
      </w:r>
      <w:r w:rsidRPr="001A3D2B">
        <w:t>. Indexing</w:t>
      </w:r>
      <w:r w:rsidR="00427468">
        <w:t xml:space="preserve"> of </w:t>
      </w:r>
      <w:r w:rsidRPr="001A3D2B">
        <w:t>Population health, health promotion,</w:t>
      </w:r>
      <w:r w:rsidR="005853A9">
        <w:t xml:space="preserve"> and </w:t>
      </w:r>
      <w:r w:rsidRPr="001A3D2B">
        <w:t xml:space="preserve">public health was explored in </w:t>
      </w:r>
      <w:r w:rsidR="00D5664A">
        <w:t>MEDLINE</w:t>
      </w:r>
      <w:r w:rsidRPr="001A3D2B">
        <w:t>, CINAHL,</w:t>
      </w:r>
      <w:r w:rsidR="005853A9">
        <w:t xml:space="preserve"> and </w:t>
      </w:r>
      <w:r w:rsidRPr="001A3D2B">
        <w:t>EMBASE. Results:</w:t>
      </w:r>
      <w:r w:rsidR="003A1917">
        <w:t xml:space="preserve"> the </w:t>
      </w:r>
      <w:r w:rsidRPr="001A3D2B">
        <w:t>most productive country in population health was Canada, while</w:t>
      </w:r>
      <w:r w:rsidR="003A1917">
        <w:t xml:space="preserve"> the </w:t>
      </w:r>
      <w:r w:rsidRPr="001A3D2B">
        <w:t>most productive country in health promotion</w:t>
      </w:r>
      <w:r w:rsidR="005853A9">
        <w:t xml:space="preserve"> and </w:t>
      </w:r>
      <w:r w:rsidRPr="001A3D2B">
        <w:t>public health was</w:t>
      </w:r>
      <w:r w:rsidR="003A1917">
        <w:t xml:space="preserve"> the </w:t>
      </w:r>
      <w:r w:rsidRPr="001A3D2B">
        <w:t>United States</w:t>
      </w:r>
      <w:r w:rsidR="00A37C1D">
        <w:t>. The</w:t>
      </w:r>
      <w:r w:rsidR="003A1917">
        <w:t xml:space="preserve"> </w:t>
      </w:r>
      <w:r w:rsidRPr="001A3D2B">
        <w:t>number</w:t>
      </w:r>
      <w:r w:rsidR="00427468">
        <w:t xml:space="preserve"> of </w:t>
      </w:r>
      <w:r w:rsidRPr="001A3D2B">
        <w:t>published articles using</w:t>
      </w:r>
      <w:r w:rsidR="003A1917">
        <w:t xml:space="preserve"> the </w:t>
      </w:r>
      <w:r w:rsidRPr="001A3D2B">
        <w:t>public health term was surpassed by health promotion around 1990. Both were surpassed by population health around 2000. Population health was</w:t>
      </w:r>
      <w:r w:rsidR="003A1917">
        <w:t xml:space="preserve"> the </w:t>
      </w:r>
      <w:r w:rsidRPr="001A3D2B">
        <w:t>only concept which lacked an index term in all three databases. Discussion: There has been a shift in</w:t>
      </w:r>
      <w:r w:rsidR="003A1917">
        <w:t xml:space="preserve"> the </w:t>
      </w:r>
      <w:r w:rsidR="00D5664A">
        <w:t>USA</w:t>
      </w:r>
      <w:r w:rsidRPr="001A3D2B">
        <w:t>ge</w:t>
      </w:r>
      <w:r w:rsidR="00427468">
        <w:t xml:space="preserve"> of </w:t>
      </w:r>
      <w:r w:rsidRPr="001A3D2B">
        <w:t>public health, health promotion,</w:t>
      </w:r>
      <w:r w:rsidR="005853A9">
        <w:t xml:space="preserve"> and </w:t>
      </w:r>
      <w:r w:rsidRPr="001A3D2B">
        <w:t>population health concepts over time. Country analysis revealed that Canadian researchers are leaders in population health, while researchers based in</w:t>
      </w:r>
      <w:r w:rsidR="003A1917">
        <w:t xml:space="preserve"> the </w:t>
      </w:r>
      <w:r w:rsidRPr="001A3D2B">
        <w:t>United States are leaders in public health</w:t>
      </w:r>
      <w:r w:rsidR="005853A9">
        <w:t xml:space="preserve"> and </w:t>
      </w:r>
      <w:r w:rsidRPr="001A3D2B">
        <w:t>health promotion. This may indicate differences rooted in</w:t>
      </w:r>
      <w:r w:rsidR="003A1917">
        <w:t xml:space="preserve"> the </w:t>
      </w:r>
      <w:r w:rsidRPr="001A3D2B">
        <w:t>social, historical</w:t>
      </w:r>
      <w:r w:rsidR="005853A9">
        <w:t xml:space="preserve"> and </w:t>
      </w:r>
      <w:r w:rsidRPr="001A3D2B">
        <w:t>economic traditions. Although</w:t>
      </w:r>
      <w:r w:rsidR="003A1917">
        <w:t xml:space="preserve"> the </w:t>
      </w:r>
      <w:r w:rsidRPr="001A3D2B">
        <w:t>publication rate</w:t>
      </w:r>
      <w:r w:rsidR="00427468">
        <w:t xml:space="preserve"> of </w:t>
      </w:r>
      <w:r w:rsidRPr="001A3D2B">
        <w:t xml:space="preserve">articles described as </w:t>
      </w:r>
      <w:r w:rsidR="0071223E">
        <w:t>‘</w:t>
      </w:r>
      <w:r w:rsidRPr="001A3D2B">
        <w:t>population health</w:t>
      </w:r>
      <w:r w:rsidR="0071223E">
        <w:t>’</w:t>
      </w:r>
      <w:r w:rsidRPr="001A3D2B">
        <w:t xml:space="preserve"> research is increasing, it is lacking an index term across major electronic databases. We suggest that without timely acceptance</w:t>
      </w:r>
      <w:r w:rsidR="00427468">
        <w:t xml:space="preserve"> of </w:t>
      </w:r>
      <w:r w:rsidRPr="001A3D2B">
        <w:t xml:space="preserve">terms, new </w:t>
      </w:r>
      <w:r w:rsidRPr="001A3D2B">
        <w:lastRenderedPageBreak/>
        <w:t>concepts that represent different ways</w:t>
      </w:r>
      <w:r w:rsidR="00427468">
        <w:t xml:space="preserve"> of </w:t>
      </w:r>
      <w:r w:rsidRPr="001A3D2B">
        <w:t>thinking about health may be limited, delayed or glossed over.</w:t>
      </w:r>
    </w:p>
    <w:p w:rsidR="003F045B" w:rsidRPr="001A3D2B" w:rsidRDefault="003F045B" w:rsidP="003F045B">
      <w:pPr>
        <w:pStyle w:val="a3"/>
        <w:rPr>
          <w:kern w:val="0"/>
          <w:szCs w:val="24"/>
        </w:rPr>
      </w:pPr>
      <w:r w:rsidRPr="001A3D2B">
        <w:rPr>
          <w:kern w:val="0"/>
          <w:szCs w:val="24"/>
        </w:rPr>
        <w:t xml:space="preserve">Keywords: Acceptance, Analysis, Bibliometric, Bibliometric Analysis, Bibliometric Indicators, Canada, Care, Country, Databases, Economic, Health, Health Promotion, Health-Promotion, Index, Indicators, Literature, Medicine, </w:t>
      </w:r>
      <w:r w:rsidR="00D5664A">
        <w:rPr>
          <w:kern w:val="0"/>
          <w:szCs w:val="24"/>
        </w:rPr>
        <w:t>MEDLINE</w:t>
      </w:r>
      <w:r w:rsidRPr="001A3D2B">
        <w:rPr>
          <w:kern w:val="0"/>
          <w:szCs w:val="24"/>
        </w:rPr>
        <w:t xml:space="preserve">, Population, Population Health, Population Health, Productivity, Promotion, Public, Public Health, Publication, Publication Rate, Purpose, Research, Science, Scientific Productivity, Social, Term, Time, United States, </w:t>
      </w:r>
      <w:r w:rsidR="00D5664A">
        <w:rPr>
          <w:kern w:val="0"/>
          <w:szCs w:val="24"/>
        </w:rPr>
        <w:t>Web</w:t>
      </w:r>
      <w:r w:rsidR="00427468">
        <w:rPr>
          <w:kern w:val="0"/>
          <w:szCs w:val="24"/>
        </w:rPr>
        <w:t xml:space="preserve"> of </w:t>
      </w:r>
      <w:r w:rsidR="00D5664A">
        <w:rPr>
          <w:kern w:val="0"/>
          <w:szCs w:val="24"/>
        </w:rPr>
        <w:t>Science</w:t>
      </w:r>
    </w:p>
    <w:p w:rsidR="00764D0E" w:rsidRDefault="00764D0E" w:rsidP="00764D0E">
      <w:pPr>
        <w:pStyle w:val="a3"/>
        <w:rPr>
          <w:kern w:val="0"/>
        </w:rPr>
      </w:pPr>
      <w:r>
        <w:rPr>
          <w:rFonts w:hint="eastAsia"/>
          <w:kern w:val="0"/>
        </w:rPr>
        <w:t xml:space="preserve">? </w:t>
      </w:r>
      <w:r>
        <w:rPr>
          <w:kern w:val="0"/>
        </w:rPr>
        <w:t>Kumar, M.B., Wesche, S.</w:t>
      </w:r>
      <w:r w:rsidR="005853A9">
        <w:rPr>
          <w:kern w:val="0"/>
        </w:rPr>
        <w:t xml:space="preserve"> and </w:t>
      </w:r>
      <w:r>
        <w:rPr>
          <w:kern w:val="0"/>
        </w:rPr>
        <w:t>McGuire, C. (2012), Trends in metis-related health research (1980-2009): Identification</w:t>
      </w:r>
      <w:r w:rsidR="00427468">
        <w:rPr>
          <w:kern w:val="0"/>
        </w:rPr>
        <w:t xml:space="preserve"> of </w:t>
      </w:r>
      <w:r>
        <w:rPr>
          <w:kern w:val="0"/>
        </w:rPr>
        <w:t xml:space="preserve">research gaps. </w:t>
      </w:r>
      <w:r>
        <w:rPr>
          <w:i/>
          <w:iCs/>
          <w:kern w:val="0"/>
        </w:rPr>
        <w:t>Canadian Journal</w:t>
      </w:r>
      <w:r w:rsidR="00427468">
        <w:rPr>
          <w:i/>
          <w:iCs/>
          <w:kern w:val="0"/>
        </w:rPr>
        <w:t xml:space="preserve"> of </w:t>
      </w:r>
      <w:r>
        <w:rPr>
          <w:i/>
          <w:iCs/>
          <w:kern w:val="0"/>
        </w:rPr>
        <w:t>Public Health-Revue Canadienne de Sante Publique</w:t>
      </w:r>
      <w:r>
        <w:rPr>
          <w:kern w:val="0"/>
        </w:rPr>
        <w:t xml:space="preserve">, </w:t>
      </w:r>
      <w:r>
        <w:rPr>
          <w:b/>
          <w:bCs/>
          <w:kern w:val="0"/>
        </w:rPr>
        <w:t>103</w:t>
      </w:r>
      <w:r>
        <w:rPr>
          <w:kern w:val="0"/>
        </w:rPr>
        <w:t xml:space="preserve"> (1), 23-28.</w:t>
      </w:r>
    </w:p>
    <w:p w:rsidR="00764D0E" w:rsidRPr="00C73C58" w:rsidRDefault="00764D0E" w:rsidP="00764D0E">
      <w:pPr>
        <w:pStyle w:val="a3"/>
      </w:pPr>
      <w:r>
        <w:rPr>
          <w:rFonts w:hint="eastAsia"/>
        </w:rPr>
        <w:t xml:space="preserve">Full Text: </w:t>
      </w:r>
      <w:hyperlink r:id="rId72" w:history="1">
        <w:r w:rsidR="00CE595C" w:rsidRPr="00CE595C">
          <w:rPr>
            <w:rStyle w:val="a5"/>
          </w:rPr>
          <w:t>2012\Can J Pub Hea103, 23.pdf</w:t>
        </w:r>
      </w:hyperlink>
    </w:p>
    <w:p w:rsidR="00764D0E" w:rsidRDefault="00764D0E" w:rsidP="00764D0E">
      <w:pPr>
        <w:pStyle w:val="a3"/>
        <w:rPr>
          <w:kern w:val="0"/>
        </w:rPr>
      </w:pPr>
      <w:r>
        <w:rPr>
          <w:kern w:val="0"/>
        </w:rPr>
        <w:t>Abstract: Objective: Several literature reviews have highlighted</w:t>
      </w:r>
      <w:r w:rsidR="003A1917">
        <w:rPr>
          <w:kern w:val="0"/>
        </w:rPr>
        <w:t xml:space="preserve"> the </w:t>
      </w:r>
      <w:r>
        <w:rPr>
          <w:kern w:val="0"/>
        </w:rPr>
        <w:t>under-representation</w:t>
      </w:r>
      <w:r w:rsidR="00427468">
        <w:rPr>
          <w:kern w:val="0"/>
        </w:rPr>
        <w:t xml:space="preserve"> of </w:t>
      </w:r>
      <w:r>
        <w:rPr>
          <w:kern w:val="0"/>
        </w:rPr>
        <w:t>Metis in research regarding Aboriginal Peoples. However, to date, an in-depth examination</w:t>
      </w:r>
      <w:r w:rsidR="00427468">
        <w:rPr>
          <w:kern w:val="0"/>
        </w:rPr>
        <w:t xml:space="preserve"> of </w:t>
      </w:r>
      <w:r>
        <w:rPr>
          <w:kern w:val="0"/>
        </w:rPr>
        <w:t>trends in Metis research has not been undertaken. This literature review aims to identify trends</w:t>
      </w:r>
      <w:r w:rsidR="005853A9">
        <w:rPr>
          <w:kern w:val="0"/>
        </w:rPr>
        <w:t xml:space="preserve"> and </w:t>
      </w:r>
      <w:r>
        <w:rPr>
          <w:kern w:val="0"/>
        </w:rPr>
        <w:t>gaps in Metis-related health/well-being research over</w:t>
      </w:r>
      <w:r w:rsidR="003A1917">
        <w:rPr>
          <w:kern w:val="0"/>
        </w:rPr>
        <w:t xml:space="preserve"> the </w:t>
      </w:r>
      <w:r>
        <w:rPr>
          <w:kern w:val="0"/>
        </w:rPr>
        <w:t>past three decades (1980-2009). Methods: Health, medical</w:t>
      </w:r>
      <w:r w:rsidR="005853A9">
        <w:rPr>
          <w:kern w:val="0"/>
        </w:rPr>
        <w:t xml:space="preserve"> and </w:t>
      </w:r>
      <w:r>
        <w:rPr>
          <w:kern w:val="0"/>
        </w:rPr>
        <w:t>social sciences literature databases including Cochrane, CINAHL, Embase, Pubmed, Pyschlnfo,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Metis-relevant peer-reviewed articles published between 1980</w:t>
      </w:r>
      <w:r w:rsidR="005853A9">
        <w:rPr>
          <w:kern w:val="0"/>
        </w:rPr>
        <w:t xml:space="preserve"> and </w:t>
      </w:r>
      <w:r>
        <w:rPr>
          <w:kern w:val="0"/>
        </w:rPr>
        <w:t>2009 via two search strategies: 1) using</w:t>
      </w:r>
      <w:r w:rsidR="003A1917">
        <w:rPr>
          <w:kern w:val="0"/>
        </w:rPr>
        <w:t xml:space="preserve"> the </w:t>
      </w:r>
      <w:r>
        <w:rPr>
          <w:kern w:val="0"/>
        </w:rPr>
        <w:t xml:space="preserve">terms </w:t>
      </w:r>
      <w:r w:rsidR="00B5188C">
        <w:rPr>
          <w:kern w:val="0"/>
        </w:rPr>
        <w:t>“</w:t>
      </w:r>
      <w:r>
        <w:rPr>
          <w:kern w:val="0"/>
        </w:rPr>
        <w:t>Metis,</w:t>
      </w:r>
      <w:r w:rsidR="00B5188C">
        <w:rPr>
          <w:kern w:val="0"/>
        </w:rPr>
        <w:t>”</w:t>
      </w:r>
      <w:r>
        <w:rPr>
          <w:kern w:val="0"/>
        </w:rPr>
        <w:t xml:space="preserve"> </w:t>
      </w:r>
      <w:r w:rsidR="00B5188C">
        <w:rPr>
          <w:kern w:val="0"/>
        </w:rPr>
        <w:t>“</w:t>
      </w:r>
      <w:r>
        <w:rPr>
          <w:kern w:val="0"/>
        </w:rPr>
        <w:t>mixed-blood</w:t>
      </w:r>
      <w:r w:rsidR="00B5188C">
        <w:rPr>
          <w:kern w:val="0"/>
        </w:rPr>
        <w:t>”</w:t>
      </w:r>
      <w:r>
        <w:rPr>
          <w:kern w:val="0"/>
        </w:rPr>
        <w:t xml:space="preserve"> or </w:t>
      </w:r>
      <w:r w:rsidR="00B5188C">
        <w:rPr>
          <w:kern w:val="0"/>
        </w:rPr>
        <w:t>“</w:t>
      </w:r>
      <w:r>
        <w:rPr>
          <w:kern w:val="0"/>
        </w:rPr>
        <w:t>half-breed,</w:t>
      </w:r>
      <w:r w:rsidR="00B5188C">
        <w:rPr>
          <w:kern w:val="0"/>
        </w:rPr>
        <w:t>”</w:t>
      </w:r>
      <w:r w:rsidR="005853A9">
        <w:rPr>
          <w:kern w:val="0"/>
        </w:rPr>
        <w:t xml:space="preserve"> and </w:t>
      </w:r>
      <w:r>
        <w:rPr>
          <w:kern w:val="0"/>
        </w:rPr>
        <w:t>2) using a combination</w:t>
      </w:r>
      <w:r w:rsidR="00427468">
        <w:rPr>
          <w:kern w:val="0"/>
        </w:rPr>
        <w:t xml:space="preserve"> of </w:t>
      </w:r>
      <w:r>
        <w:rPr>
          <w:kern w:val="0"/>
        </w:rPr>
        <w:t xml:space="preserve">terms: (Aboriginal OR Indigenous OR native OR </w:t>
      </w:r>
      <w:r w:rsidR="00B5188C">
        <w:rPr>
          <w:kern w:val="0"/>
        </w:rPr>
        <w:t>“</w:t>
      </w:r>
      <w:r>
        <w:rPr>
          <w:kern w:val="0"/>
        </w:rPr>
        <w:t>First Nation</w:t>
      </w:r>
      <w:r w:rsidR="00B5188C">
        <w:rPr>
          <w:kern w:val="0"/>
        </w:rPr>
        <w:t>”</w:t>
      </w:r>
      <w:r>
        <w:rPr>
          <w:kern w:val="0"/>
        </w:rPr>
        <w:t xml:space="preserve"> OR Indian)</w:t>
      </w:r>
      <w:r w:rsidR="005853A9">
        <w:rPr>
          <w:kern w:val="0"/>
        </w:rPr>
        <w:t xml:space="preserve"> and </w:t>
      </w:r>
      <w:r>
        <w:rPr>
          <w:kern w:val="0"/>
        </w:rPr>
        <w:t>(mixed OR European OR Caucasian OR white)</w:t>
      </w:r>
      <w:r w:rsidR="005853A9">
        <w:rPr>
          <w:kern w:val="0"/>
        </w:rPr>
        <w:t xml:space="preserve"> and </w:t>
      </w:r>
      <w:r w:rsidR="00B5188C">
        <w:rPr>
          <w:kern w:val="0"/>
        </w:rPr>
        <w:t>“</w:t>
      </w:r>
      <w:r>
        <w:rPr>
          <w:kern w:val="0"/>
        </w:rPr>
        <w:t>Canada</w:t>
      </w:r>
      <w:r w:rsidR="00B5188C">
        <w:rPr>
          <w:kern w:val="0"/>
        </w:rPr>
        <w:t>”</w:t>
      </w:r>
      <w:r>
        <w:rPr>
          <w:kern w:val="0"/>
        </w:rPr>
        <w:t>. Articles pertaining to</w:t>
      </w:r>
      <w:r w:rsidR="003A1917">
        <w:rPr>
          <w:kern w:val="0"/>
        </w:rPr>
        <w:t xml:space="preserve"> the </w:t>
      </w:r>
      <w:r>
        <w:rPr>
          <w:kern w:val="0"/>
        </w:rPr>
        <w:t>health/well-being</w:t>
      </w:r>
      <w:r w:rsidR="00427468">
        <w:rPr>
          <w:kern w:val="0"/>
        </w:rPr>
        <w:t xml:space="preserve"> of </w:t>
      </w:r>
      <w:r>
        <w:rPr>
          <w:kern w:val="0"/>
        </w:rPr>
        <w:t>Metis in Canada were retained, coded</w:t>
      </w:r>
      <w:r w:rsidR="005853A9">
        <w:rPr>
          <w:kern w:val="0"/>
        </w:rPr>
        <w:t xml:space="preserve"> and </w:t>
      </w:r>
      <w:r>
        <w:rPr>
          <w:kern w:val="0"/>
        </w:rPr>
        <w:t>analyzed by study type/design, gender-specificity, geography, research topic,</w:t>
      </w:r>
      <w:r w:rsidR="003A1917">
        <w:rPr>
          <w:kern w:val="0"/>
        </w:rPr>
        <w:t xml:space="preserve"> the </w:t>
      </w:r>
      <w:r>
        <w:rPr>
          <w:kern w:val="0"/>
        </w:rPr>
        <w:t>extent to which Metis-specific breakdown</w:t>
      </w:r>
      <w:r w:rsidR="00427468">
        <w:rPr>
          <w:kern w:val="0"/>
        </w:rPr>
        <w:t xml:space="preserve"> of </w:t>
      </w:r>
      <w:r>
        <w:rPr>
          <w:kern w:val="0"/>
        </w:rPr>
        <w:t>findings was provided,</w:t>
      </w:r>
      <w:r w:rsidR="005853A9">
        <w:rPr>
          <w:kern w:val="0"/>
        </w:rPr>
        <w:t xml:space="preserve"> and </w:t>
      </w:r>
      <w:r>
        <w:rPr>
          <w:kern w:val="0"/>
        </w:rPr>
        <w:t>methodological quality relating to validity</w:t>
      </w:r>
      <w:r w:rsidR="005853A9">
        <w:rPr>
          <w:kern w:val="0"/>
        </w:rPr>
        <w:t xml:space="preserve"> and </w:t>
      </w:r>
      <w:r>
        <w:rPr>
          <w:kern w:val="0"/>
        </w:rPr>
        <w:t>reliability</w:t>
      </w:r>
      <w:r w:rsidR="00427468">
        <w:rPr>
          <w:kern w:val="0"/>
        </w:rPr>
        <w:t xml:space="preserve"> of </w:t>
      </w:r>
      <w:r w:rsidR="003A1917">
        <w:rPr>
          <w:kern w:val="0"/>
        </w:rPr>
        <w:t xml:space="preserve">the </w:t>
      </w:r>
      <w:r>
        <w:rPr>
          <w:kern w:val="0"/>
        </w:rPr>
        <w:t>study. Results: Noteworthy strengths in Metis research were observed, including increasing attention to chronic diseases, diet/nutrition/physical activity,</w:t>
      </w:r>
      <w:r w:rsidR="005853A9">
        <w:rPr>
          <w:kern w:val="0"/>
        </w:rPr>
        <w:t xml:space="preserve"> and </w:t>
      </w:r>
      <w:r>
        <w:rPr>
          <w:kern w:val="0"/>
        </w:rPr>
        <w:t>maternal</w:t>
      </w:r>
      <w:r w:rsidR="005853A9">
        <w:rPr>
          <w:kern w:val="0"/>
        </w:rPr>
        <w:t xml:space="preserve"> and </w:t>
      </w:r>
      <w:r>
        <w:rPr>
          <w:kern w:val="0"/>
        </w:rPr>
        <w:t>child health; a trend towards increased presentation</w:t>
      </w:r>
      <w:r w:rsidR="00427468">
        <w:rPr>
          <w:kern w:val="0"/>
        </w:rPr>
        <w:t xml:space="preserve"> of </w:t>
      </w:r>
      <w:r>
        <w:rPr>
          <w:kern w:val="0"/>
        </w:rPr>
        <w:t>Metis-specific results among pan-Aboriginal studies,</w:t>
      </w:r>
      <w:r w:rsidR="005853A9">
        <w:rPr>
          <w:kern w:val="0"/>
        </w:rPr>
        <w:t xml:space="preserve"> and </w:t>
      </w:r>
      <w:r>
        <w:rPr>
          <w:kern w:val="0"/>
        </w:rPr>
        <w:t>female-specific</w:t>
      </w:r>
      <w:r w:rsidR="005853A9">
        <w:rPr>
          <w:kern w:val="0"/>
        </w:rPr>
        <w:t xml:space="preserve"> and </w:t>
      </w:r>
      <w:r>
        <w:rPr>
          <w:kern w:val="0"/>
        </w:rPr>
        <w:t>qualitative studies;</w:t>
      </w:r>
      <w:r w:rsidR="005853A9">
        <w:rPr>
          <w:kern w:val="0"/>
        </w:rPr>
        <w:t xml:space="preserve"> and </w:t>
      </w:r>
      <w:r>
        <w:rPr>
          <w:kern w:val="0"/>
        </w:rPr>
        <w:t>an equitable focus on urban</w:t>
      </w:r>
      <w:r w:rsidR="005853A9">
        <w:rPr>
          <w:kern w:val="0"/>
        </w:rPr>
        <w:t xml:space="preserve"> and </w:t>
      </w:r>
      <w:r>
        <w:rPr>
          <w:kern w:val="0"/>
        </w:rPr>
        <w:t>rural areas. Gaps were seen in research related to environment/toxicology, genetics, health delivery/programming/policy, injury, mental health (MH)/addictions, social determinants</w:t>
      </w:r>
      <w:r w:rsidR="00427468">
        <w:rPr>
          <w:kern w:val="0"/>
        </w:rPr>
        <w:t xml:space="preserve"> of </w:t>
      </w:r>
      <w:r>
        <w:rPr>
          <w:kern w:val="0"/>
        </w:rPr>
        <w:t>health,</w:t>
      </w:r>
      <w:r w:rsidR="005853A9">
        <w:rPr>
          <w:kern w:val="0"/>
        </w:rPr>
        <w:t xml:space="preserve"> and </w:t>
      </w:r>
      <w:r>
        <w:rPr>
          <w:kern w:val="0"/>
        </w:rPr>
        <w:t>violence/crime. In addition, a dearth</w:t>
      </w:r>
      <w:r w:rsidR="00427468">
        <w:rPr>
          <w:kern w:val="0"/>
        </w:rPr>
        <w:t xml:space="preserve"> of </w:t>
      </w:r>
      <w:r>
        <w:rPr>
          <w:kern w:val="0"/>
        </w:rPr>
        <w:t>male-specific research was identified. Also, most articles were cross-sectional in design. Finally, despite an increase in Metis-related articles over</w:t>
      </w:r>
      <w:r w:rsidR="003A1917">
        <w:rPr>
          <w:kern w:val="0"/>
        </w:rPr>
        <w:t xml:space="preserve"> the </w:t>
      </w:r>
      <w:r>
        <w:rPr>
          <w:kern w:val="0"/>
        </w:rPr>
        <w:t>past three decades, a large proportion</w:t>
      </w:r>
      <w:r w:rsidR="00427468">
        <w:rPr>
          <w:kern w:val="0"/>
        </w:rPr>
        <w:t xml:space="preserve"> of </w:t>
      </w:r>
      <w:r>
        <w:rPr>
          <w:kern w:val="0"/>
        </w:rPr>
        <w:t>articles remained pan-Aboriginal in nature</w:t>
      </w:r>
      <w:r w:rsidR="005853A9">
        <w:rPr>
          <w:kern w:val="0"/>
        </w:rPr>
        <w:t xml:space="preserve"> and </w:t>
      </w:r>
      <w:r>
        <w:rPr>
          <w:kern w:val="0"/>
        </w:rPr>
        <w:t>did not provide a Metis-specific breakdown</w:t>
      </w:r>
      <w:r w:rsidR="00427468">
        <w:rPr>
          <w:kern w:val="0"/>
        </w:rPr>
        <w:t xml:space="preserve"> of </w:t>
      </w:r>
      <w:r>
        <w:rPr>
          <w:kern w:val="0"/>
        </w:rPr>
        <w:t>findings. With respect to methodological quality, nearly two thirds</w:t>
      </w:r>
      <w:r w:rsidR="00427468">
        <w:rPr>
          <w:kern w:val="0"/>
        </w:rPr>
        <w:t xml:space="preserve"> of </w:t>
      </w:r>
      <w:r>
        <w:rPr>
          <w:kern w:val="0"/>
        </w:rPr>
        <w:t>all studies were</w:t>
      </w:r>
      <w:r w:rsidR="00427468">
        <w:rPr>
          <w:kern w:val="0"/>
        </w:rPr>
        <w:t xml:space="preserve"> of </w:t>
      </w:r>
      <w:r>
        <w:rPr>
          <w:kern w:val="0"/>
        </w:rPr>
        <w:t xml:space="preserve">strong or moderate quality (cross-sectional studies), </w:t>
      </w:r>
      <w:r>
        <w:rPr>
          <w:kern w:val="0"/>
        </w:rPr>
        <w:lastRenderedPageBreak/>
        <w:t>good quality (cohort/case-control studies) or acceptable quality (qualitative</w:t>
      </w:r>
      <w:r w:rsidR="005853A9">
        <w:rPr>
          <w:kern w:val="0"/>
        </w:rPr>
        <w:t xml:space="preserve"> and </w:t>
      </w:r>
      <w:r>
        <w:rPr>
          <w:kern w:val="0"/>
        </w:rPr>
        <w:t>mixed methods studies). Conclusion: Several gaps exist in Metis-related health/well-being research with respect to study type/design, gender-specificity, research topics, presentation</w:t>
      </w:r>
      <w:r w:rsidR="00427468">
        <w:rPr>
          <w:kern w:val="0"/>
        </w:rPr>
        <w:t xml:space="preserve"> of </w:t>
      </w:r>
      <w:r>
        <w:rPr>
          <w:kern w:val="0"/>
        </w:rPr>
        <w:t>Metis-specific findings,</w:t>
      </w:r>
      <w:r w:rsidR="005853A9">
        <w:rPr>
          <w:kern w:val="0"/>
        </w:rPr>
        <w:t xml:space="preserve"> and </w:t>
      </w:r>
      <w:r>
        <w:rPr>
          <w:kern w:val="0"/>
        </w:rPr>
        <w:t>methodological quality. In addition to specific gaps,</w:t>
      </w:r>
      <w:r w:rsidR="003A1917">
        <w:rPr>
          <w:kern w:val="0"/>
        </w:rPr>
        <w:t xml:space="preserve"> the </w:t>
      </w:r>
      <w:r>
        <w:rPr>
          <w:kern w:val="0"/>
        </w:rPr>
        <w:t>overall limited number</w:t>
      </w:r>
      <w:r w:rsidR="00427468">
        <w:rPr>
          <w:kern w:val="0"/>
        </w:rPr>
        <w:t xml:space="preserve"> of </w:t>
      </w:r>
      <w:r>
        <w:rPr>
          <w:kern w:val="0"/>
        </w:rPr>
        <w:t>research articles/studies needs to be recognized</w:t>
      </w:r>
      <w:r w:rsidR="00A37C1D">
        <w:rPr>
          <w:kern w:val="0"/>
        </w:rPr>
        <w:t>. The</w:t>
      </w:r>
      <w:r>
        <w:rPr>
          <w:kern w:val="0"/>
        </w:rPr>
        <w:t>se deficiencies could be alleviated by increasing targeted funding</w:t>
      </w:r>
      <w:r w:rsidR="005853A9">
        <w:rPr>
          <w:kern w:val="0"/>
        </w:rPr>
        <w:t xml:space="preserve"> and </w:t>
      </w:r>
      <w:r>
        <w:rPr>
          <w:kern w:val="0"/>
        </w:rPr>
        <w:t>support for Metis-related research,</w:t>
      </w:r>
      <w:r w:rsidR="005853A9">
        <w:rPr>
          <w:kern w:val="0"/>
        </w:rPr>
        <w:t xml:space="preserve"> and </w:t>
      </w:r>
      <w:r>
        <w:rPr>
          <w:kern w:val="0"/>
        </w:rPr>
        <w:t>removing barriers to Metis-specific research. Addressing gaps in Metis health research will enable identification</w:t>
      </w:r>
      <w:r w:rsidR="00427468">
        <w:rPr>
          <w:kern w:val="0"/>
        </w:rPr>
        <w:t xml:space="preserve"> of </w:t>
      </w:r>
      <w:r>
        <w:rPr>
          <w:kern w:val="0"/>
        </w:rPr>
        <w:t>appropriate targets for intervention and, subsequently, design, development</w:t>
      </w:r>
      <w:r w:rsidR="005853A9">
        <w:rPr>
          <w:kern w:val="0"/>
        </w:rPr>
        <w:t xml:space="preserve"> and </w:t>
      </w:r>
      <w:r>
        <w:rPr>
          <w:kern w:val="0"/>
        </w:rPr>
        <w:t>evaluation</w:t>
      </w:r>
      <w:r w:rsidR="00427468">
        <w:rPr>
          <w:kern w:val="0"/>
        </w:rPr>
        <w:t xml:space="preserve"> of </w:t>
      </w:r>
      <w:r>
        <w:rPr>
          <w:kern w:val="0"/>
        </w:rPr>
        <w:t>interventions to address Metis health disparities</w:t>
      </w:r>
      <w:r w:rsidR="005853A9">
        <w:rPr>
          <w:kern w:val="0"/>
        </w:rPr>
        <w:t xml:space="preserve"> and </w:t>
      </w:r>
      <w:r>
        <w:rPr>
          <w:kern w:val="0"/>
        </w:rPr>
        <w:t>their determinants.</w:t>
      </w:r>
    </w:p>
    <w:p w:rsidR="00764D0E" w:rsidRDefault="00764D0E" w:rsidP="00764D0E">
      <w:pPr>
        <w:pStyle w:val="a3"/>
        <w:rPr>
          <w:kern w:val="0"/>
        </w:rPr>
      </w:pPr>
      <w:r>
        <w:rPr>
          <w:kern w:val="0"/>
        </w:rPr>
        <w:t xml:space="preserve">Keywords: Aboriginal, Aboriginal Women, Articles, Attention, Barriers, Canada, Child, Child Health, Chronic Diseases, Cochrane, Cross-Sectional Studies, Databases, Design, Determinants, Development, Disparities, Evaluation, Funding, Genetics, Health, Health Disparities, Health Research, HIV, Indigenous, Indigenous Peoples, Indigenous Population, Information, Injury, Intervention, Interventions, Literature, Literature Review, Literature Reviews, Medical, Medical Research, Mental Health, Methods, Metis, Mixed Methods, Northwest-Territories, Population, Predictors, Qualitative, Quality, Reliability, Research, Research Topics, Review, Risk, Science, Sciences, Search Strategies, Social, Social Sciences, Topics, Traditional Food, Trend, Trends, Urban, Validity,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5D61A2" w:rsidRPr="00C73C58" w:rsidRDefault="005D61A2" w:rsidP="005D61A2">
      <w:pPr>
        <w:pStyle w:val="1"/>
      </w:pPr>
      <w:r w:rsidRPr="00C73C58">
        <w:br w:type="page"/>
      </w:r>
      <w:bookmarkStart w:id="42" w:name="_Toc346818484"/>
      <w:bookmarkStart w:id="43" w:name="_Toc420814885"/>
      <w:r w:rsidRPr="00C73C58">
        <w:lastRenderedPageBreak/>
        <w:t>Title: Canadian Journal</w:t>
      </w:r>
      <w:r w:rsidR="00427468">
        <w:t xml:space="preserve"> of </w:t>
      </w:r>
      <w:r w:rsidRPr="00C73C58">
        <w:t>Statistics-Revue Canadienne de Statistique</w:t>
      </w:r>
      <w:bookmarkEnd w:id="42"/>
      <w:bookmarkEnd w:id="43"/>
    </w:p>
    <w:p w:rsidR="005D61A2" w:rsidRPr="00C73C58" w:rsidRDefault="005D61A2" w:rsidP="005D61A2">
      <w:pPr>
        <w:pStyle w:val="12"/>
      </w:pPr>
      <w:r w:rsidRPr="00C73C58">
        <w:t>Full Journal Title: Canadian Journal</w:t>
      </w:r>
      <w:r w:rsidR="00427468">
        <w:t xml:space="preserve"> of </w:t>
      </w:r>
      <w:r w:rsidRPr="00C73C58">
        <w:t>Statistics-Revue Canadienne de Statistique</w:t>
      </w:r>
    </w:p>
    <w:p w:rsidR="005D61A2" w:rsidRPr="00C73C58" w:rsidRDefault="005D61A2" w:rsidP="005D61A2">
      <w:pPr>
        <w:pStyle w:val="12"/>
      </w:pPr>
      <w:r w:rsidRPr="00C73C58">
        <w:t xml:space="preserve">ISO Abbreviated Title: </w:t>
      </w:r>
    </w:p>
    <w:p w:rsidR="005D61A2" w:rsidRPr="00C73C58" w:rsidRDefault="005D61A2" w:rsidP="005D61A2">
      <w:pPr>
        <w:pStyle w:val="12"/>
      </w:pPr>
      <w:r w:rsidRPr="00C73C58">
        <w:t xml:space="preserve">JCR Abbreviated Title: </w:t>
      </w:r>
    </w:p>
    <w:p w:rsidR="005D61A2" w:rsidRPr="00C73C58" w:rsidRDefault="005D61A2" w:rsidP="005D61A2">
      <w:pPr>
        <w:pStyle w:val="12"/>
      </w:pPr>
      <w:r w:rsidRPr="00C73C58">
        <w:t xml:space="preserve">ISSN: </w:t>
      </w:r>
    </w:p>
    <w:p w:rsidR="005D61A2" w:rsidRPr="00C73C58" w:rsidRDefault="005D61A2" w:rsidP="005D61A2">
      <w:pPr>
        <w:pStyle w:val="12"/>
      </w:pPr>
      <w:r w:rsidRPr="00C73C58">
        <w:t xml:space="preserve">Issues/Year: </w:t>
      </w:r>
    </w:p>
    <w:p w:rsidR="005D61A2" w:rsidRPr="00C73C58" w:rsidRDefault="005D61A2" w:rsidP="005D61A2">
      <w:pPr>
        <w:pStyle w:val="12"/>
      </w:pPr>
      <w:r w:rsidRPr="00C73C58">
        <w:t xml:space="preserve">Journal Country/Territory: </w:t>
      </w:r>
    </w:p>
    <w:p w:rsidR="005D61A2" w:rsidRPr="00C73C58" w:rsidRDefault="005D61A2" w:rsidP="005D61A2">
      <w:pPr>
        <w:pStyle w:val="12"/>
      </w:pPr>
      <w:r w:rsidRPr="00C73C58">
        <w:t xml:space="preserve">Language: </w:t>
      </w:r>
    </w:p>
    <w:p w:rsidR="005D61A2" w:rsidRPr="00C73C58" w:rsidRDefault="005D61A2" w:rsidP="005D61A2">
      <w:pPr>
        <w:pStyle w:val="12"/>
      </w:pPr>
      <w:r w:rsidRPr="00C73C58">
        <w:t xml:space="preserve">Publisher: </w:t>
      </w:r>
    </w:p>
    <w:p w:rsidR="005D61A2" w:rsidRPr="00C73C58" w:rsidRDefault="005D61A2" w:rsidP="005D61A2">
      <w:pPr>
        <w:pStyle w:val="12"/>
      </w:pPr>
      <w:r w:rsidRPr="00C73C58">
        <w:t xml:space="preserve">Publisher Address: </w:t>
      </w:r>
    </w:p>
    <w:p w:rsidR="005D61A2" w:rsidRPr="00C73C58" w:rsidRDefault="005D61A2" w:rsidP="005D61A2">
      <w:pPr>
        <w:pStyle w:val="12"/>
      </w:pPr>
      <w:r w:rsidRPr="00C73C58">
        <w:t>Subject Categories:</w:t>
      </w:r>
    </w:p>
    <w:p w:rsidR="005D61A2" w:rsidRPr="00C73C58" w:rsidRDefault="005D61A2" w:rsidP="005D61A2">
      <w:pPr>
        <w:pStyle w:val="12"/>
      </w:pPr>
      <w:r w:rsidRPr="00C73C58">
        <w:t xml:space="preserve">: Impact Factor </w:t>
      </w:r>
    </w:p>
    <w:p w:rsidR="005D61A2" w:rsidRPr="00C73C58" w:rsidRDefault="005D61A2" w:rsidP="005D61A2">
      <w:pPr>
        <w:pStyle w:val="a3"/>
        <w:rPr>
          <w:kern w:val="0"/>
          <w:szCs w:val="24"/>
        </w:rPr>
      </w:pPr>
      <w:r w:rsidRPr="00C73C58">
        <w:rPr>
          <w:kern w:val="0"/>
          <w:szCs w:val="24"/>
        </w:rPr>
        <w:t xml:space="preserve">? Genest, C. (1997), Statistics on statistics: </w:t>
      </w:r>
      <w:r w:rsidR="002B41B0" w:rsidRPr="00C73C58">
        <w:rPr>
          <w:kern w:val="0"/>
          <w:szCs w:val="24"/>
        </w:rPr>
        <w:t xml:space="preserve">Measuring </w:t>
      </w:r>
      <w:r w:rsidRPr="00C73C58">
        <w:rPr>
          <w:kern w:val="0"/>
          <w:szCs w:val="24"/>
        </w:rPr>
        <w:t>research productivity by journal publications between 1985</w:t>
      </w:r>
      <w:r w:rsidR="005853A9">
        <w:rPr>
          <w:kern w:val="0"/>
          <w:szCs w:val="24"/>
        </w:rPr>
        <w:t xml:space="preserve"> and </w:t>
      </w:r>
      <w:r w:rsidRPr="00C73C58">
        <w:rPr>
          <w:kern w:val="0"/>
          <w:szCs w:val="24"/>
        </w:rPr>
        <w:t xml:space="preserve">1995. </w:t>
      </w:r>
      <w:r w:rsidRPr="00C73C58">
        <w:rPr>
          <w:i/>
          <w:iCs/>
          <w:kern w:val="0"/>
          <w:szCs w:val="24"/>
        </w:rPr>
        <w:t>Canadian Journal</w:t>
      </w:r>
      <w:r w:rsidR="00427468">
        <w:rPr>
          <w:i/>
          <w:iCs/>
          <w:kern w:val="0"/>
          <w:szCs w:val="24"/>
        </w:rPr>
        <w:t xml:space="preserve"> of </w:t>
      </w:r>
      <w:r w:rsidRPr="00C73C58">
        <w:rPr>
          <w:i/>
          <w:iCs/>
          <w:kern w:val="0"/>
          <w:szCs w:val="24"/>
        </w:rPr>
        <w:t>Statistics-Revue Canadienne de Statistique</w:t>
      </w:r>
      <w:r w:rsidRPr="00C73C58">
        <w:rPr>
          <w:kern w:val="0"/>
          <w:szCs w:val="24"/>
        </w:rPr>
        <w:t xml:space="preserve">, </w:t>
      </w:r>
      <w:r w:rsidRPr="00C73C58">
        <w:rPr>
          <w:b/>
          <w:bCs/>
          <w:kern w:val="0"/>
          <w:szCs w:val="24"/>
        </w:rPr>
        <w:t>25</w:t>
      </w:r>
      <w:r w:rsidRPr="00C73C58">
        <w:rPr>
          <w:kern w:val="0"/>
          <w:szCs w:val="24"/>
        </w:rPr>
        <w:t xml:space="preserve"> (4), 427-443.</w:t>
      </w:r>
    </w:p>
    <w:p w:rsidR="002B41B0" w:rsidRDefault="002B41B0" w:rsidP="002B41B0">
      <w:pPr>
        <w:pStyle w:val="a3"/>
        <w:rPr>
          <w:kern w:val="0"/>
        </w:rPr>
      </w:pPr>
      <w:r>
        <w:rPr>
          <w:rFonts w:hint="eastAsia"/>
          <w:kern w:val="0"/>
        </w:rPr>
        <w:t xml:space="preserve">Full Text: </w:t>
      </w:r>
      <w:hyperlink r:id="rId73" w:history="1">
        <w:r w:rsidRPr="00E93D22">
          <w:rPr>
            <w:rStyle w:val="a5"/>
            <w:kern w:val="0"/>
          </w:rPr>
          <w:t>1997\Can J Psy25, 427.pdf</w:t>
        </w:r>
      </w:hyperlink>
    </w:p>
    <w:p w:rsidR="005D61A2" w:rsidRPr="00C73C58" w:rsidRDefault="005D61A2" w:rsidP="005D61A2">
      <w:pPr>
        <w:pStyle w:val="a3"/>
        <w:rPr>
          <w:kern w:val="0"/>
          <w:szCs w:val="24"/>
        </w:rPr>
      </w:pPr>
      <w:r w:rsidRPr="00C73C58">
        <w:rPr>
          <w:kern w:val="0"/>
          <w:szCs w:val="24"/>
        </w:rPr>
        <w:t>Abstract: Sixteen international journals publishing statistical theory were surveyed over the Ii-year period beginning in 1985. Paper, author</w:t>
      </w:r>
      <w:r w:rsidR="005853A9">
        <w:rPr>
          <w:kern w:val="0"/>
          <w:szCs w:val="24"/>
        </w:rPr>
        <w:t xml:space="preserve"> and </w:t>
      </w:r>
      <w:r w:rsidRPr="00C73C58">
        <w:rPr>
          <w:kern w:val="0"/>
          <w:szCs w:val="24"/>
        </w:rPr>
        <w:t>adjusted page counts yield cursory measures</w:t>
      </w:r>
      <w:r w:rsidR="00427468">
        <w:rPr>
          <w:kern w:val="0"/>
          <w:szCs w:val="24"/>
        </w:rPr>
        <w:t xml:space="preserve"> of </w:t>
      </w:r>
      <w:r w:rsidRPr="00C73C58">
        <w:rPr>
          <w:kern w:val="0"/>
          <w:szCs w:val="24"/>
        </w:rPr>
        <w:t>productivity for institutions</w:t>
      </w:r>
      <w:r w:rsidR="005853A9">
        <w:rPr>
          <w:kern w:val="0"/>
          <w:szCs w:val="24"/>
        </w:rPr>
        <w:t xml:space="preserve"> and </w:t>
      </w:r>
      <w:r w:rsidRPr="00C73C58">
        <w:rPr>
          <w:kern w:val="0"/>
          <w:szCs w:val="24"/>
        </w:rPr>
        <w:t>countries that contributed to fundamental statistical research during that period</w:t>
      </w:r>
      <w:r w:rsidR="00A37C1D">
        <w:rPr>
          <w:kern w:val="0"/>
          <w:szCs w:val="24"/>
        </w:rPr>
        <w:t>. The</w:t>
      </w:r>
      <w:r w:rsidRPr="00C73C58">
        <w:rPr>
          <w:kern w:val="0"/>
          <w:szCs w:val="24"/>
        </w:rPr>
        <w:t>se data clearly identify Canada as one</w:t>
      </w:r>
      <w:r w:rsidR="00427468">
        <w:rPr>
          <w:kern w:val="0"/>
          <w:szCs w:val="24"/>
        </w:rPr>
        <w:t xml:space="preserve"> of </w:t>
      </w:r>
      <w:r w:rsidRPr="00C73C58">
        <w:rPr>
          <w:kern w:val="0"/>
          <w:szCs w:val="24"/>
        </w:rPr>
        <w:t>the main contributors to the development</w:t>
      </w:r>
      <w:r w:rsidR="00427468">
        <w:rPr>
          <w:kern w:val="0"/>
          <w:szCs w:val="24"/>
        </w:rPr>
        <w:t xml:space="preserve"> of </w:t>
      </w:r>
      <w:r w:rsidRPr="00C73C58">
        <w:rPr>
          <w:kern w:val="0"/>
          <w:szCs w:val="24"/>
        </w:rPr>
        <w:t>the discipline in the past decade</w:t>
      </w:r>
      <w:r w:rsidR="00A37C1D">
        <w:rPr>
          <w:kern w:val="0"/>
          <w:szCs w:val="24"/>
        </w:rPr>
        <w:t>. The</w:t>
      </w:r>
      <w:r w:rsidRPr="00C73C58">
        <w:rPr>
          <w:kern w:val="0"/>
          <w:szCs w:val="24"/>
        </w:rPr>
        <w:t>y also provide valuable information on the evolution</w:t>
      </w:r>
      <w:r w:rsidR="00427468">
        <w:rPr>
          <w:kern w:val="0"/>
          <w:szCs w:val="24"/>
        </w:rPr>
        <w:t xml:space="preserve"> of </w:t>
      </w:r>
      <w:r w:rsidRPr="00C73C58">
        <w:rPr>
          <w:kern w:val="0"/>
          <w:szCs w:val="24"/>
        </w:rPr>
        <w:t>publication habits, in terms</w:t>
      </w:r>
      <w:r w:rsidR="00427468">
        <w:rPr>
          <w:kern w:val="0"/>
          <w:szCs w:val="24"/>
        </w:rPr>
        <w:t xml:space="preserve"> of </w:t>
      </w:r>
      <w:r w:rsidRPr="00C73C58">
        <w:rPr>
          <w:kern w:val="0"/>
          <w:szCs w:val="24"/>
        </w:rPr>
        <w:t>the volume</w:t>
      </w:r>
      <w:r w:rsidR="00427468">
        <w:rPr>
          <w:kern w:val="0"/>
          <w:szCs w:val="24"/>
        </w:rPr>
        <w:t xml:space="preserve"> of </w:t>
      </w:r>
      <w:r w:rsidRPr="00C73C58">
        <w:rPr>
          <w:kern w:val="0"/>
          <w:szCs w:val="24"/>
        </w:rPr>
        <w:t>research, the length</w:t>
      </w:r>
      <w:r w:rsidR="00427468">
        <w:rPr>
          <w:kern w:val="0"/>
          <w:szCs w:val="24"/>
        </w:rPr>
        <w:t xml:space="preserve"> of </w:t>
      </w:r>
      <w:r w:rsidRPr="00C73C58">
        <w:rPr>
          <w:kern w:val="0"/>
          <w:szCs w:val="24"/>
        </w:rPr>
        <w:t>papers, coauthorship practices, etc.</w:t>
      </w:r>
    </w:p>
    <w:p w:rsidR="005D61A2" w:rsidRPr="00C73C58" w:rsidRDefault="005D61A2" w:rsidP="005D61A2">
      <w:pPr>
        <w:pStyle w:val="a3"/>
        <w:rPr>
          <w:kern w:val="0"/>
          <w:szCs w:val="24"/>
        </w:rPr>
      </w:pPr>
      <w:r w:rsidRPr="00C73C58">
        <w:rPr>
          <w:kern w:val="0"/>
          <w:szCs w:val="24"/>
        </w:rPr>
        <w:t>Keywords: Bibliometrics, Coauthorship, Countries, Development, Economics Departmental Rankings, Journals, Papers, Productivity, Productivity Rankings, Publications, Publishing, Refereed Journals, Research, Research Productivity, Statistical Research, Statistics</w:t>
      </w:r>
    </w:p>
    <w:p w:rsidR="005D61A2" w:rsidRPr="00C73C58" w:rsidRDefault="005D61A2" w:rsidP="005D61A2">
      <w:pPr>
        <w:pStyle w:val="a3"/>
        <w:rPr>
          <w:kern w:val="0"/>
          <w:szCs w:val="24"/>
        </w:rPr>
      </w:pPr>
      <w:r w:rsidRPr="00C73C58">
        <w:rPr>
          <w:kern w:val="0"/>
          <w:szCs w:val="24"/>
        </w:rPr>
        <w:t>? Genest, C. (1999), Probability</w:t>
      </w:r>
      <w:r w:rsidR="005853A9">
        <w:rPr>
          <w:kern w:val="0"/>
          <w:szCs w:val="24"/>
        </w:rPr>
        <w:t xml:space="preserve"> and </w:t>
      </w:r>
      <w:r w:rsidRPr="00C73C58">
        <w:rPr>
          <w:kern w:val="0"/>
          <w:szCs w:val="24"/>
        </w:rPr>
        <w:t>statistics: A tale</w:t>
      </w:r>
      <w:r w:rsidR="00427468">
        <w:rPr>
          <w:kern w:val="0"/>
          <w:szCs w:val="24"/>
        </w:rPr>
        <w:t xml:space="preserve"> of </w:t>
      </w:r>
      <w:r w:rsidRPr="00C73C58">
        <w:rPr>
          <w:kern w:val="0"/>
          <w:szCs w:val="24"/>
        </w:rPr>
        <w:t xml:space="preserve">two worlds? </w:t>
      </w:r>
      <w:r w:rsidRPr="00C73C58">
        <w:rPr>
          <w:i/>
          <w:iCs/>
          <w:kern w:val="0"/>
          <w:szCs w:val="24"/>
        </w:rPr>
        <w:t>Canadian Journal</w:t>
      </w:r>
      <w:r w:rsidR="00427468">
        <w:rPr>
          <w:i/>
          <w:iCs/>
          <w:kern w:val="0"/>
          <w:szCs w:val="24"/>
        </w:rPr>
        <w:t xml:space="preserve"> of </w:t>
      </w:r>
      <w:r w:rsidRPr="00C73C58">
        <w:rPr>
          <w:i/>
          <w:iCs/>
          <w:kern w:val="0"/>
          <w:szCs w:val="24"/>
        </w:rPr>
        <w:t>Statistics-Revue Canadienne de Statistique</w:t>
      </w:r>
      <w:r w:rsidRPr="00C73C58">
        <w:rPr>
          <w:kern w:val="0"/>
          <w:szCs w:val="24"/>
        </w:rPr>
        <w:t xml:space="preserve">, </w:t>
      </w:r>
      <w:r w:rsidRPr="00C73C58">
        <w:rPr>
          <w:b/>
          <w:bCs/>
          <w:kern w:val="0"/>
          <w:szCs w:val="24"/>
        </w:rPr>
        <w:t>27</w:t>
      </w:r>
      <w:r w:rsidRPr="00C73C58">
        <w:rPr>
          <w:kern w:val="0"/>
          <w:szCs w:val="24"/>
        </w:rPr>
        <w:t xml:space="preserve"> (2), 421-444.</w:t>
      </w:r>
    </w:p>
    <w:p w:rsidR="005D61A2" w:rsidRDefault="005D61A2" w:rsidP="005D61A2">
      <w:pPr>
        <w:pStyle w:val="a3"/>
        <w:rPr>
          <w:kern w:val="0"/>
        </w:rPr>
      </w:pPr>
      <w:r>
        <w:rPr>
          <w:rFonts w:hint="eastAsia"/>
          <w:kern w:val="0"/>
        </w:rPr>
        <w:t xml:space="preserve">Full Text: </w:t>
      </w:r>
      <w:hyperlink r:id="rId74" w:history="1">
        <w:r w:rsidRPr="00822286">
          <w:rPr>
            <w:rStyle w:val="a5"/>
            <w:kern w:val="0"/>
          </w:rPr>
          <w:t>1999\Can J Psy27, 421.pdf</w:t>
        </w:r>
      </w:hyperlink>
    </w:p>
    <w:p w:rsidR="005D61A2" w:rsidRPr="00C73C58" w:rsidRDefault="005D61A2" w:rsidP="005D61A2">
      <w:pPr>
        <w:pStyle w:val="a3"/>
        <w:rPr>
          <w:kern w:val="0"/>
          <w:szCs w:val="24"/>
        </w:rPr>
      </w:pPr>
      <w:r w:rsidRPr="00C73C58">
        <w:rPr>
          <w:kern w:val="0"/>
          <w:szCs w:val="24"/>
        </w:rPr>
        <w:t>Abstract: This comparative study</w:t>
      </w:r>
      <w:r w:rsidR="00427468">
        <w:rPr>
          <w:kern w:val="0"/>
          <w:szCs w:val="24"/>
        </w:rPr>
        <w:t xml:space="preserve"> of </w:t>
      </w:r>
      <w:r w:rsidRPr="00C73C58">
        <w:rPr>
          <w:kern w:val="0"/>
          <w:szCs w:val="24"/>
        </w:rPr>
        <w:t>research productivity</w:t>
      </w:r>
      <w:r w:rsidR="005853A9">
        <w:rPr>
          <w:kern w:val="0"/>
          <w:szCs w:val="24"/>
        </w:rPr>
        <w:t xml:space="preserve"> and </w:t>
      </w:r>
      <w:r w:rsidRPr="00C73C58">
        <w:rPr>
          <w:kern w:val="0"/>
          <w:szCs w:val="24"/>
        </w:rPr>
        <w:t>publication habits in probability</w:t>
      </w:r>
      <w:r w:rsidR="005853A9">
        <w:rPr>
          <w:kern w:val="0"/>
          <w:szCs w:val="24"/>
        </w:rPr>
        <w:t xml:space="preserve"> and </w:t>
      </w:r>
      <w:r w:rsidRPr="00C73C58">
        <w:rPr>
          <w:kern w:val="0"/>
          <w:szCs w:val="24"/>
        </w:rPr>
        <w:t>statistics completes the paper that was published in this Journal at the end</w:t>
      </w:r>
      <w:r w:rsidR="00427468">
        <w:rPr>
          <w:kern w:val="0"/>
          <w:szCs w:val="24"/>
        </w:rPr>
        <w:t xml:space="preserve"> of </w:t>
      </w:r>
      <w:r w:rsidRPr="00C73C58">
        <w:rPr>
          <w:kern w:val="0"/>
          <w:szCs w:val="24"/>
        </w:rPr>
        <w:t>1997. It is based on a ten-year survey</w:t>
      </w:r>
      <w:r w:rsidR="00427468">
        <w:rPr>
          <w:kern w:val="0"/>
          <w:szCs w:val="24"/>
        </w:rPr>
        <w:t xml:space="preserve"> of </w:t>
      </w:r>
      <w:r w:rsidRPr="00C73C58">
        <w:rPr>
          <w:kern w:val="0"/>
          <w:szCs w:val="24"/>
        </w:rPr>
        <w:t>eighteen international journals, half</w:t>
      </w:r>
      <w:r w:rsidR="00427468">
        <w:rPr>
          <w:kern w:val="0"/>
          <w:szCs w:val="24"/>
        </w:rPr>
        <w:t xml:space="preserve"> of </w:t>
      </w:r>
      <w:r w:rsidRPr="00C73C58">
        <w:rPr>
          <w:kern w:val="0"/>
          <w:szCs w:val="24"/>
        </w:rPr>
        <w:t>which are specialized in probability theory</w:t>
      </w:r>
      <w:r w:rsidR="005853A9">
        <w:rPr>
          <w:kern w:val="0"/>
          <w:szCs w:val="24"/>
        </w:rPr>
        <w:t xml:space="preserve"> and </w:t>
      </w:r>
      <w:r w:rsidRPr="00C73C58">
        <w:rPr>
          <w:kern w:val="0"/>
          <w:szCs w:val="24"/>
        </w:rPr>
        <w:t>the other half in statistics. Paper, author</w:t>
      </w:r>
      <w:r w:rsidR="005853A9">
        <w:rPr>
          <w:kern w:val="0"/>
          <w:szCs w:val="24"/>
        </w:rPr>
        <w:t xml:space="preserve"> and </w:t>
      </w:r>
      <w:r w:rsidRPr="00C73C58">
        <w:rPr>
          <w:kern w:val="0"/>
          <w:szCs w:val="24"/>
        </w:rPr>
        <w:t>adjusted page counts yield cursory measures</w:t>
      </w:r>
      <w:r w:rsidR="00427468">
        <w:rPr>
          <w:kern w:val="0"/>
          <w:szCs w:val="24"/>
        </w:rPr>
        <w:t xml:space="preserve"> of </w:t>
      </w:r>
      <w:r w:rsidRPr="00C73C58">
        <w:rPr>
          <w:kern w:val="0"/>
          <w:szCs w:val="24"/>
        </w:rPr>
        <w:t>productivity for countries</w:t>
      </w:r>
      <w:r w:rsidR="005853A9">
        <w:rPr>
          <w:kern w:val="0"/>
          <w:szCs w:val="24"/>
        </w:rPr>
        <w:t xml:space="preserve"> </w:t>
      </w:r>
      <w:r w:rsidR="005853A9">
        <w:rPr>
          <w:kern w:val="0"/>
          <w:szCs w:val="24"/>
        </w:rPr>
        <w:lastRenderedPageBreak/>
        <w:t xml:space="preserve">and </w:t>
      </w:r>
      <w:r w:rsidRPr="00C73C58">
        <w:rPr>
          <w:kern w:val="0"/>
          <w:szCs w:val="24"/>
        </w:rPr>
        <w:t>institutions that contributed to fundamental research in these two related fields during the period 1986-1995</w:t>
      </w:r>
      <w:r w:rsidR="00A37C1D">
        <w:rPr>
          <w:kern w:val="0"/>
          <w:szCs w:val="24"/>
        </w:rPr>
        <w:t>. The</w:t>
      </w:r>
      <w:r w:rsidRPr="00C73C58">
        <w:rPr>
          <w:kern w:val="0"/>
          <w:szCs w:val="24"/>
        </w:rPr>
        <w:t>se data also reveal significant cultural differences between probabilists</w:t>
      </w:r>
      <w:r w:rsidR="005853A9">
        <w:rPr>
          <w:kern w:val="0"/>
          <w:szCs w:val="24"/>
        </w:rPr>
        <w:t xml:space="preserve"> and </w:t>
      </w:r>
      <w:r w:rsidRPr="00C73C58">
        <w:rPr>
          <w:kern w:val="0"/>
          <w:szCs w:val="24"/>
        </w:rPr>
        <w:t>statisticians in the volume</w:t>
      </w:r>
      <w:r w:rsidR="00427468">
        <w:rPr>
          <w:kern w:val="0"/>
          <w:szCs w:val="24"/>
        </w:rPr>
        <w:t xml:space="preserve"> of </w:t>
      </w:r>
      <w:r w:rsidRPr="00C73C58">
        <w:rPr>
          <w:kern w:val="0"/>
          <w:szCs w:val="24"/>
        </w:rPr>
        <w:t>research, the length</w:t>
      </w:r>
      <w:r w:rsidR="00427468">
        <w:rPr>
          <w:kern w:val="0"/>
          <w:szCs w:val="24"/>
        </w:rPr>
        <w:t xml:space="preserve"> of </w:t>
      </w:r>
      <w:r w:rsidRPr="00C73C58">
        <w:rPr>
          <w:kern w:val="0"/>
          <w:szCs w:val="24"/>
        </w:rPr>
        <w:t>papers, coauthorship practices, etc. Canada is seen to be one</w:t>
      </w:r>
      <w:r w:rsidR="00427468">
        <w:rPr>
          <w:kern w:val="0"/>
          <w:szCs w:val="24"/>
        </w:rPr>
        <w:t xml:space="preserve"> of </w:t>
      </w:r>
      <w:r w:rsidRPr="00C73C58">
        <w:rPr>
          <w:kern w:val="0"/>
          <w:szCs w:val="24"/>
        </w:rPr>
        <w:t>the strongest contributors to the development</w:t>
      </w:r>
      <w:r w:rsidR="00427468">
        <w:rPr>
          <w:kern w:val="0"/>
          <w:szCs w:val="24"/>
        </w:rPr>
        <w:t xml:space="preserve"> of </w:t>
      </w:r>
      <w:r w:rsidRPr="00C73C58">
        <w:rPr>
          <w:kern w:val="0"/>
          <w:szCs w:val="24"/>
        </w:rPr>
        <w:t>these two disciplines.</w:t>
      </w:r>
    </w:p>
    <w:p w:rsidR="005D61A2" w:rsidRPr="00C73C58" w:rsidRDefault="005D61A2" w:rsidP="005D61A2">
      <w:pPr>
        <w:pStyle w:val="a3"/>
        <w:rPr>
          <w:kern w:val="0"/>
          <w:szCs w:val="24"/>
        </w:rPr>
      </w:pPr>
      <w:r w:rsidRPr="00C73C58">
        <w:rPr>
          <w:kern w:val="0"/>
          <w:szCs w:val="24"/>
        </w:rPr>
        <w:t>Keywords: Bibliometrics, Coauthorship, Countries, Development, Journals, Papers, Patterns, Productivity, Productivity Rankings, Refereed Journals, Research, Research in Probability</w:t>
      </w:r>
      <w:r w:rsidR="005853A9">
        <w:rPr>
          <w:kern w:val="0"/>
          <w:szCs w:val="24"/>
        </w:rPr>
        <w:t xml:space="preserve"> and </w:t>
      </w:r>
      <w:r w:rsidRPr="00C73C58">
        <w:rPr>
          <w:kern w:val="0"/>
          <w:szCs w:val="24"/>
        </w:rPr>
        <w:t>Statistics, Research Productivity, Statistics</w:t>
      </w:r>
    </w:p>
    <w:p w:rsidR="005D61A2" w:rsidRPr="00C73C58" w:rsidRDefault="005D61A2" w:rsidP="005D61A2">
      <w:pPr>
        <w:pStyle w:val="a3"/>
        <w:rPr>
          <w:kern w:val="0"/>
          <w:szCs w:val="24"/>
        </w:rPr>
      </w:pPr>
      <w:r w:rsidRPr="00C73C58">
        <w:t xml:space="preserve">? </w:t>
      </w:r>
      <w:r w:rsidRPr="00C73C58">
        <w:rPr>
          <w:kern w:val="0"/>
          <w:szCs w:val="24"/>
        </w:rPr>
        <w:t>Genest, C.</w:t>
      </w:r>
      <w:r w:rsidR="005853A9">
        <w:rPr>
          <w:kern w:val="0"/>
          <w:szCs w:val="24"/>
        </w:rPr>
        <w:t xml:space="preserve"> and </w:t>
      </w:r>
      <w:r w:rsidRPr="00C73C58">
        <w:rPr>
          <w:kern w:val="0"/>
          <w:szCs w:val="24"/>
        </w:rPr>
        <w:t>Guay, M. (2002), Worldwide research output in probability</w:t>
      </w:r>
      <w:r w:rsidR="005853A9">
        <w:rPr>
          <w:kern w:val="0"/>
          <w:szCs w:val="24"/>
        </w:rPr>
        <w:t xml:space="preserve"> and </w:t>
      </w:r>
      <w:r w:rsidRPr="00C73C58">
        <w:rPr>
          <w:kern w:val="0"/>
          <w:szCs w:val="24"/>
        </w:rPr>
        <w:t xml:space="preserve">statistics: An update. </w:t>
      </w:r>
      <w:r w:rsidRPr="00C73C58">
        <w:rPr>
          <w:i/>
          <w:iCs/>
          <w:kern w:val="0"/>
          <w:szCs w:val="24"/>
        </w:rPr>
        <w:t>Canadian Journal</w:t>
      </w:r>
      <w:r w:rsidR="00427468">
        <w:rPr>
          <w:i/>
          <w:iCs/>
          <w:kern w:val="0"/>
          <w:szCs w:val="24"/>
        </w:rPr>
        <w:t xml:space="preserve"> of </w:t>
      </w:r>
      <w:r w:rsidRPr="00C73C58">
        <w:rPr>
          <w:i/>
          <w:iCs/>
          <w:kern w:val="0"/>
          <w:szCs w:val="24"/>
        </w:rPr>
        <w:t>Statistics-Revue Canadienne de Statistique</w:t>
      </w:r>
      <w:r w:rsidRPr="00C73C58">
        <w:rPr>
          <w:kern w:val="0"/>
          <w:szCs w:val="24"/>
        </w:rPr>
        <w:t xml:space="preserve">, </w:t>
      </w:r>
      <w:r w:rsidRPr="00C73C58">
        <w:rPr>
          <w:b/>
          <w:bCs/>
          <w:kern w:val="0"/>
          <w:szCs w:val="24"/>
        </w:rPr>
        <w:t>30</w:t>
      </w:r>
      <w:r w:rsidRPr="00C73C58">
        <w:rPr>
          <w:kern w:val="0"/>
          <w:szCs w:val="24"/>
        </w:rPr>
        <w:t xml:space="preserve"> (2), 329-342.</w:t>
      </w:r>
    </w:p>
    <w:p w:rsidR="005D61A2" w:rsidRDefault="005D61A2" w:rsidP="005D61A2">
      <w:pPr>
        <w:pStyle w:val="a3"/>
        <w:rPr>
          <w:kern w:val="0"/>
        </w:rPr>
      </w:pPr>
      <w:r>
        <w:rPr>
          <w:rFonts w:hint="eastAsia"/>
          <w:kern w:val="0"/>
        </w:rPr>
        <w:t xml:space="preserve">Full Text: </w:t>
      </w:r>
      <w:hyperlink r:id="rId75" w:history="1">
        <w:r w:rsidRPr="005D61A2">
          <w:rPr>
            <w:rStyle w:val="a5"/>
            <w:kern w:val="0"/>
          </w:rPr>
          <w:t>2010\Can J Psy55, 386.pdf</w:t>
        </w:r>
      </w:hyperlink>
    </w:p>
    <w:p w:rsidR="005D61A2" w:rsidRPr="00C73C58" w:rsidRDefault="005D61A2" w:rsidP="005D61A2">
      <w:pPr>
        <w:pStyle w:val="a3"/>
        <w:rPr>
          <w:kern w:val="0"/>
          <w:szCs w:val="24"/>
        </w:rPr>
      </w:pPr>
      <w:r w:rsidRPr="00C73C58">
        <w:rPr>
          <w:kern w:val="0"/>
          <w:szCs w:val="24"/>
        </w:rPr>
        <w:t>Abstract: The authors update the work</w:t>
      </w:r>
      <w:r w:rsidR="00427468">
        <w:rPr>
          <w:kern w:val="0"/>
          <w:szCs w:val="24"/>
        </w:rPr>
        <w:t xml:space="preserve"> of </w:t>
      </w:r>
      <w:r w:rsidRPr="00C73C58">
        <w:rPr>
          <w:kern w:val="0"/>
          <w:szCs w:val="24"/>
        </w:rPr>
        <w:t>Genest (1997, 1999) on world research output in probability</w:t>
      </w:r>
      <w:r w:rsidR="005853A9">
        <w:rPr>
          <w:kern w:val="0"/>
          <w:szCs w:val="24"/>
        </w:rPr>
        <w:t xml:space="preserve"> and </w:t>
      </w:r>
      <w:r w:rsidRPr="00C73C58">
        <w:rPr>
          <w:kern w:val="0"/>
          <w:szCs w:val="24"/>
        </w:rPr>
        <w:t>statistics</w:t>
      </w:r>
      <w:r w:rsidR="00A37C1D">
        <w:rPr>
          <w:kern w:val="0"/>
          <w:szCs w:val="24"/>
        </w:rPr>
        <w:t>. The</w:t>
      </w:r>
      <w:r w:rsidRPr="00C73C58">
        <w:rPr>
          <w:kern w:val="0"/>
          <w:szCs w:val="24"/>
        </w:rPr>
        <w:t xml:space="preserve"> rankings they produce</w:t>
      </w:r>
      <w:r w:rsidR="00427468">
        <w:rPr>
          <w:kern w:val="0"/>
          <w:szCs w:val="24"/>
        </w:rPr>
        <w:t xml:space="preserve"> of </w:t>
      </w:r>
      <w:r w:rsidRPr="00C73C58">
        <w:rPr>
          <w:kern w:val="0"/>
          <w:szCs w:val="24"/>
        </w:rPr>
        <w:t>countries</w:t>
      </w:r>
      <w:r w:rsidR="005853A9">
        <w:rPr>
          <w:kern w:val="0"/>
          <w:szCs w:val="24"/>
        </w:rPr>
        <w:t xml:space="preserve"> and </w:t>
      </w:r>
      <w:r w:rsidRPr="00C73C58">
        <w:rPr>
          <w:kern w:val="0"/>
          <w:szCs w:val="24"/>
        </w:rPr>
        <w:t>institutions are based on a survey</w:t>
      </w:r>
      <w:r w:rsidR="00427468">
        <w:rPr>
          <w:kern w:val="0"/>
          <w:szCs w:val="24"/>
        </w:rPr>
        <w:t xml:space="preserve"> of </w:t>
      </w:r>
      <w:r w:rsidRPr="00C73C58">
        <w:rPr>
          <w:kern w:val="0"/>
          <w:szCs w:val="24"/>
        </w:rPr>
        <w:t>papers published between 1986</w:t>
      </w:r>
      <w:r w:rsidR="005853A9">
        <w:rPr>
          <w:kern w:val="0"/>
          <w:szCs w:val="24"/>
        </w:rPr>
        <w:t xml:space="preserve"> and </w:t>
      </w:r>
      <w:r w:rsidRPr="00C73C58">
        <w:rPr>
          <w:kern w:val="0"/>
          <w:szCs w:val="24"/>
        </w:rPr>
        <w:t>2000 in 25 specialized journals</w:t>
      </w:r>
      <w:r w:rsidR="00427468">
        <w:rPr>
          <w:kern w:val="0"/>
          <w:szCs w:val="24"/>
        </w:rPr>
        <w:t xml:space="preserve"> of </w:t>
      </w:r>
      <w:r w:rsidRPr="00C73C58">
        <w:rPr>
          <w:kern w:val="0"/>
          <w:szCs w:val="24"/>
        </w:rPr>
        <w:t>high reputation in these two fields</w:t>
      </w:r>
      <w:r w:rsidR="00A37C1D">
        <w:rPr>
          <w:kern w:val="0"/>
          <w:szCs w:val="24"/>
        </w:rPr>
        <w:t>. The</w:t>
      </w:r>
      <w:r w:rsidRPr="00C73C58">
        <w:rPr>
          <w:kern w:val="0"/>
          <w:szCs w:val="24"/>
        </w:rPr>
        <w:t xml:space="preserve"> contribution</w:t>
      </w:r>
      <w:r w:rsidR="00427468">
        <w:rPr>
          <w:kern w:val="0"/>
          <w:szCs w:val="24"/>
        </w:rPr>
        <w:t xml:space="preserve"> of </w:t>
      </w:r>
      <w:r w:rsidRPr="00C73C58">
        <w:rPr>
          <w:kern w:val="0"/>
          <w:szCs w:val="24"/>
        </w:rPr>
        <w:t>Canadian probabilists</w:t>
      </w:r>
      <w:r w:rsidR="005853A9">
        <w:rPr>
          <w:kern w:val="0"/>
          <w:szCs w:val="24"/>
        </w:rPr>
        <w:t xml:space="preserve"> and </w:t>
      </w:r>
      <w:r w:rsidRPr="00C73C58">
        <w:rPr>
          <w:kern w:val="0"/>
          <w:szCs w:val="24"/>
        </w:rPr>
        <w:t>statisticians is highlighted.</w:t>
      </w:r>
    </w:p>
    <w:p w:rsidR="005D61A2" w:rsidRPr="00C73C58" w:rsidRDefault="005D61A2" w:rsidP="005D61A2">
      <w:pPr>
        <w:pStyle w:val="a3"/>
        <w:rPr>
          <w:kern w:val="0"/>
          <w:szCs w:val="24"/>
        </w:rPr>
      </w:pPr>
      <w:r w:rsidRPr="00C73C58">
        <w:rPr>
          <w:kern w:val="0"/>
          <w:szCs w:val="24"/>
        </w:rPr>
        <w:t>Keywords: Authors, Bibliometrics, Countries, Journals, Papers, Productivity, Productivity Rankings, Rankings, Refereed Journals, Research, Research Output, Statistics</w:t>
      </w:r>
    </w:p>
    <w:p w:rsidR="003474F2" w:rsidRPr="001A3D2B" w:rsidRDefault="003474F2" w:rsidP="003474F2">
      <w:pPr>
        <w:pStyle w:val="1"/>
      </w:pPr>
      <w:r w:rsidRPr="001A3D2B">
        <w:br w:type="page"/>
      </w:r>
      <w:bookmarkStart w:id="44" w:name="_Toc420814886"/>
      <w:r w:rsidRPr="001A3D2B">
        <w:lastRenderedPageBreak/>
        <w:t>Title: Canadian Journal</w:t>
      </w:r>
      <w:r w:rsidR="00427468">
        <w:t xml:space="preserve"> of </w:t>
      </w:r>
      <w:r w:rsidRPr="001A3D2B">
        <w:t>Surgery</w:t>
      </w:r>
      <w:bookmarkEnd w:id="44"/>
    </w:p>
    <w:p w:rsidR="00F526D5" w:rsidRPr="00C73C58" w:rsidRDefault="00F526D5" w:rsidP="00F526D5">
      <w:pPr>
        <w:pStyle w:val="12"/>
      </w:pPr>
      <w:r w:rsidRPr="00C73C58">
        <w:t xml:space="preserve">Full Journal Title: </w:t>
      </w:r>
      <w:hyperlink r:id="rId76" w:history="1">
        <w:r w:rsidRPr="007259C1">
          <w:rPr>
            <w:rStyle w:val="a5"/>
          </w:rPr>
          <w:t>Canadian Journal</w:t>
        </w:r>
        <w:r w:rsidR="00427468">
          <w:rPr>
            <w:rStyle w:val="a5"/>
          </w:rPr>
          <w:t xml:space="preserve"> of </w:t>
        </w:r>
        <w:r w:rsidRPr="007259C1">
          <w:rPr>
            <w:rStyle w:val="a5"/>
          </w:rPr>
          <w:t>Surgery</w:t>
        </w:r>
      </w:hyperlink>
      <w:r>
        <w:rPr>
          <w:rFonts w:hint="eastAsia"/>
        </w:rPr>
        <w:t xml:space="preserve">; </w:t>
      </w:r>
      <w:hyperlink r:id="rId77" w:anchor="db=a9h&amp;jid=1IS" w:history="1">
        <w:r w:rsidRPr="007259C1">
          <w:rPr>
            <w:rStyle w:val="a5"/>
          </w:rPr>
          <w:t>Canadian Journal</w:t>
        </w:r>
        <w:r w:rsidR="00427468">
          <w:rPr>
            <w:rStyle w:val="a5"/>
          </w:rPr>
          <w:t xml:space="preserve"> of </w:t>
        </w:r>
        <w:r w:rsidRPr="007259C1">
          <w:rPr>
            <w:rStyle w:val="a5"/>
          </w:rPr>
          <w:t>Surgery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Default="003474F2" w:rsidP="003474F2">
      <w:pPr>
        <w:pStyle w:val="a3"/>
      </w:pPr>
      <w:r w:rsidRPr="001A3D2B">
        <w:t>? Wood Dauphinee, S. (1996), Quality</w:t>
      </w:r>
      <w:r w:rsidR="00434900">
        <w:t>-of-</w:t>
      </w:r>
      <w:r w:rsidRPr="001A3D2B">
        <w:t xml:space="preserve">life assessment: Recent trends in surgery. </w:t>
      </w:r>
      <w:r w:rsidRPr="001A3D2B">
        <w:rPr>
          <w:i/>
          <w:iCs/>
        </w:rPr>
        <w:t>Canadian Journal</w:t>
      </w:r>
      <w:r w:rsidR="00427468">
        <w:rPr>
          <w:i/>
          <w:iCs/>
        </w:rPr>
        <w:t xml:space="preserve"> of </w:t>
      </w:r>
      <w:r w:rsidRPr="001A3D2B">
        <w:rPr>
          <w:i/>
          <w:iCs/>
        </w:rPr>
        <w:t>Surgery</w:t>
      </w:r>
      <w:r w:rsidRPr="001A3D2B">
        <w:t xml:space="preserve">, </w:t>
      </w:r>
      <w:r w:rsidRPr="001A3D2B">
        <w:rPr>
          <w:b/>
          <w:bCs/>
        </w:rPr>
        <w:t>39</w:t>
      </w:r>
      <w:r w:rsidRPr="001A3D2B">
        <w:t xml:space="preserve"> (5), 368-372.</w:t>
      </w:r>
    </w:p>
    <w:p w:rsidR="005D61A2" w:rsidRPr="001A3D2B" w:rsidRDefault="005D61A2" w:rsidP="005D61A2">
      <w:pPr>
        <w:pStyle w:val="a3"/>
      </w:pPr>
      <w:r>
        <w:rPr>
          <w:rFonts w:hint="eastAsia"/>
        </w:rPr>
        <w:t xml:space="preserve">Full Text: </w:t>
      </w:r>
      <w:hyperlink r:id="rId78" w:history="1">
        <w:r w:rsidRPr="00822286">
          <w:rPr>
            <w:rStyle w:val="a5"/>
          </w:rPr>
          <w:t>1996\Can J Sur39, 368.pdf</w:t>
        </w:r>
      </w:hyperlink>
    </w:p>
    <w:p w:rsidR="003474F2" w:rsidRPr="001A3D2B" w:rsidRDefault="003474F2" w:rsidP="003474F2">
      <w:pPr>
        <w:pStyle w:val="a3"/>
      </w:pPr>
      <w:r w:rsidRPr="001A3D2B">
        <w:t>Abstract: A literature review conducted for a 1989 article on assessing</w:t>
      </w:r>
      <w:r w:rsidR="003A1917">
        <w:t xml:space="preserve"> the </w:t>
      </w:r>
      <w:r w:rsidRPr="001A3D2B">
        <w:t>quality</w:t>
      </w:r>
      <w:r w:rsidR="00427468">
        <w:t xml:space="preserve"> of </w:t>
      </w:r>
      <w:r w:rsidRPr="001A3D2B">
        <w:t>life in surgical studies revealed that quality</w:t>
      </w:r>
      <w:r w:rsidR="00427468">
        <w:t xml:space="preserve"> of </w:t>
      </w:r>
      <w:r w:rsidRPr="001A3D2B">
        <w:t>life was more often mentioned than measured. Few authors reported</w:t>
      </w:r>
      <w:r w:rsidR="003A1917">
        <w:t xml:space="preserve"> the </w:t>
      </w:r>
      <w:r w:rsidRPr="001A3D2B">
        <w:t>use</w:t>
      </w:r>
      <w:r w:rsidR="00427468">
        <w:t xml:space="preserve"> of </w:t>
      </w:r>
      <w:r w:rsidRPr="001A3D2B">
        <w:t>known, standardized scales</w:t>
      </w:r>
      <w:r w:rsidR="00A37C1D">
        <w:t>. The</w:t>
      </w:r>
      <w:r w:rsidR="003A1917">
        <w:t xml:space="preserve"> </w:t>
      </w:r>
      <w:r w:rsidRPr="001A3D2B">
        <w:t>objective</w:t>
      </w:r>
      <w:r w:rsidR="00427468">
        <w:t xml:space="preserve"> of </w:t>
      </w:r>
      <w:r w:rsidRPr="001A3D2B">
        <w:t>this study was to determine if</w:t>
      </w:r>
      <w:r w:rsidR="005853A9">
        <w:t xml:space="preserve"> and </w:t>
      </w:r>
      <w:r w:rsidRPr="001A3D2B">
        <w:t xml:space="preserve">to what extent this situation has changed. A </w:t>
      </w:r>
      <w:r w:rsidR="00D5664A">
        <w:t>MEDLINE</w:t>
      </w:r>
      <w:r w:rsidRPr="001A3D2B">
        <w:t xml:space="preserve"> search</w:t>
      </w:r>
      <w:r w:rsidR="00427468">
        <w:t xml:space="preserve"> of </w:t>
      </w:r>
      <w:r w:rsidRPr="001A3D2B">
        <w:t>surgical studies published between 1989</w:t>
      </w:r>
      <w:r w:rsidR="005853A9">
        <w:t xml:space="preserve"> and </w:t>
      </w:r>
      <w:r w:rsidRPr="001A3D2B">
        <w:t>1995 produced over 277 abstracts</w:t>
      </w:r>
      <w:r w:rsidR="00427468">
        <w:t xml:space="preserve"> of </w:t>
      </w:r>
      <w:r w:rsidRPr="001A3D2B">
        <w:t>surgical studies containing</w:t>
      </w:r>
      <w:r w:rsidR="003A1917">
        <w:t xml:space="preserve"> the </w:t>
      </w:r>
      <w:r w:rsidRPr="001A3D2B">
        <w:t xml:space="preserve">words </w:t>
      </w:r>
      <w:r w:rsidR="00B5188C">
        <w:t>“</w:t>
      </w:r>
      <w:r w:rsidRPr="001A3D2B">
        <w:t>quality</w:t>
      </w:r>
      <w:r w:rsidR="00427468">
        <w:t xml:space="preserve"> of </w:t>
      </w:r>
      <w:r w:rsidRPr="001A3D2B">
        <w:t>life.</w:t>
      </w:r>
      <w:r w:rsidR="00B5188C">
        <w:t>”</w:t>
      </w:r>
      <w:r w:rsidR="003A1917">
        <w:t xml:space="preserve"> the </w:t>
      </w:r>
      <w:r w:rsidRPr="001A3D2B">
        <w:t>abstracts were studied in three time periods: 1989-1990, 1991-1992</w:t>
      </w:r>
      <w:r w:rsidR="005853A9">
        <w:t xml:space="preserve"> and </w:t>
      </w:r>
      <w:r w:rsidRPr="001A3D2B">
        <w:t>1993-1995. Findings indicated that</w:t>
      </w:r>
      <w:r w:rsidR="003A1917">
        <w:t xml:space="preserve"> the </w:t>
      </w:r>
      <w:r w:rsidRPr="001A3D2B">
        <w:t>use</w:t>
      </w:r>
      <w:r w:rsidR="00427468">
        <w:t xml:space="preserve"> of </w:t>
      </w:r>
      <w:r w:rsidR="003A1917">
        <w:t xml:space="preserve">the </w:t>
      </w:r>
      <w:r w:rsidRPr="001A3D2B">
        <w:t xml:space="preserve">term </w:t>
      </w:r>
      <w:r w:rsidR="00B5188C">
        <w:t>“</w:t>
      </w:r>
      <w:r w:rsidRPr="001A3D2B">
        <w:t>quality</w:t>
      </w:r>
      <w:r w:rsidR="00427468">
        <w:t xml:space="preserve"> of </w:t>
      </w:r>
      <w:r w:rsidRPr="001A3D2B">
        <w:t>life</w:t>
      </w:r>
      <w:r w:rsidR="00B5188C">
        <w:t>”</w:t>
      </w:r>
      <w:r w:rsidRPr="001A3D2B">
        <w:t xml:space="preserve"> increased markedly over</w:t>
      </w:r>
      <w:r w:rsidR="003A1917">
        <w:t xml:space="preserve"> the </w:t>
      </w:r>
      <w:r w:rsidRPr="001A3D2B">
        <w:t>study period,</w:t>
      </w:r>
      <w:r w:rsidR="005853A9">
        <w:t xml:space="preserve"> and </w:t>
      </w:r>
      <w:r w:rsidRPr="001A3D2B">
        <w:t>studies using standardized measures escalated from 27.4% in 1989-1990 to 48.3% in 1993-1995. Those abstracts not stating how quality</w:t>
      </w:r>
      <w:r w:rsidR="00427468">
        <w:t xml:space="preserve"> of </w:t>
      </w:r>
      <w:r w:rsidRPr="001A3D2B">
        <w:t>life was assessed decreased from 48.4% in</w:t>
      </w:r>
      <w:r w:rsidR="003A1917">
        <w:t xml:space="preserve"> the </w:t>
      </w:r>
      <w:r w:rsidRPr="001A3D2B">
        <w:t>early period to 21.7% in</w:t>
      </w:r>
      <w:r w:rsidR="003A1917">
        <w:t xml:space="preserve"> the </w:t>
      </w:r>
      <w:r w:rsidRPr="001A3D2B">
        <w:t>last period.</w:t>
      </w:r>
      <w:r w:rsidR="00427468">
        <w:t xml:space="preserve"> of </w:t>
      </w:r>
      <w:r w:rsidR="003A1917">
        <w:t xml:space="preserve">the </w:t>
      </w:r>
      <w:r w:rsidRPr="001A3D2B">
        <w:t>abstracts reporting studies that used quality</w:t>
      </w:r>
      <w:r w:rsidR="00427468">
        <w:t xml:space="preserve"> of </w:t>
      </w:r>
      <w:r w:rsidRPr="001A3D2B">
        <w:t>life measures, 33% came from cancer studies, 21.7% from cardiovascular or respiratory studies, 14.8% from gastroenterology studies, 13.4% from nephrology studies</w:t>
      </w:r>
      <w:r w:rsidR="005853A9">
        <w:t xml:space="preserve"> and </w:t>
      </w:r>
      <w:r w:rsidRPr="001A3D2B">
        <w:t>6.1% from orthopedic studies. Surgical investigators selected a variety</w:t>
      </w:r>
      <w:r w:rsidR="00427468">
        <w:t xml:space="preserve"> of </w:t>
      </w:r>
      <w:r w:rsidRPr="001A3D2B">
        <w:t>global measures</w:t>
      </w:r>
      <w:r w:rsidR="00427468">
        <w:t xml:space="preserve"> of </w:t>
      </w:r>
      <w:r w:rsidRPr="001A3D2B">
        <w:t>quality</w:t>
      </w:r>
      <w:r w:rsidR="00427468">
        <w:t xml:space="preserve"> of </w:t>
      </w:r>
      <w:r w:rsidRPr="001A3D2B">
        <w:t>life as well as disease-specific instruments</w:t>
      </w:r>
      <w:r w:rsidR="00A37C1D">
        <w:t>. The</w:t>
      </w:r>
      <w:r w:rsidR="003A1917">
        <w:t xml:space="preserve"> </w:t>
      </w:r>
      <w:r w:rsidRPr="001A3D2B">
        <w:t>abstracts also revealed that surgeons are using quality</w:t>
      </w:r>
      <w:r w:rsidR="00434900">
        <w:t>-of-</w:t>
      </w:r>
      <w:r w:rsidRPr="001A3D2B">
        <w:t>life assessment to monitor patients over time, to help select patients for surgery, to determine</w:t>
      </w:r>
      <w:r w:rsidR="003A1917">
        <w:t xml:space="preserve"> the </w:t>
      </w:r>
      <w:r w:rsidRPr="001A3D2B">
        <w:t>effects</w:t>
      </w:r>
      <w:r w:rsidR="00427468">
        <w:t xml:space="preserve"> of </w:t>
      </w:r>
      <w:r w:rsidRPr="001A3D2B">
        <w:t>surgical treatment</w:t>
      </w:r>
      <w:r w:rsidR="005853A9">
        <w:t xml:space="preserve"> and </w:t>
      </w:r>
      <w:r w:rsidRPr="001A3D2B">
        <w:t>for making policy decisions. Notwithstanding</w:t>
      </w:r>
      <w:r w:rsidR="003A1917">
        <w:t xml:space="preserve"> the </w:t>
      </w:r>
      <w:r w:rsidRPr="001A3D2B">
        <w:t>limitations</w:t>
      </w:r>
      <w:r w:rsidR="00427468">
        <w:t xml:space="preserve"> of </w:t>
      </w:r>
      <w:r w:rsidRPr="001A3D2B">
        <w:t>this project, there is evidence in</w:t>
      </w:r>
      <w:r w:rsidR="003A1917">
        <w:t xml:space="preserve"> the </w:t>
      </w:r>
      <w:r w:rsidRPr="001A3D2B">
        <w:t>literature that surgeons are increasingly willing to assess</w:t>
      </w:r>
      <w:r w:rsidR="003A1917">
        <w:t xml:space="preserve"> the </w:t>
      </w:r>
      <w:r w:rsidRPr="001A3D2B">
        <w:t>impact</w:t>
      </w:r>
      <w:r w:rsidR="00427468">
        <w:t xml:space="preserve"> of </w:t>
      </w:r>
      <w:r w:rsidR="003A1917">
        <w:t xml:space="preserve">the </w:t>
      </w:r>
      <w:r w:rsidRPr="001A3D2B">
        <w:t>surgical interventions by quality</w:t>
      </w:r>
      <w:r w:rsidR="00434900">
        <w:t>-of-</w:t>
      </w:r>
      <w:r w:rsidRPr="001A3D2B">
        <w:t>life measures</w:t>
      </w:r>
      <w:r w:rsidR="005853A9">
        <w:t xml:space="preserve"> and </w:t>
      </w:r>
      <w:r w:rsidRPr="001A3D2B">
        <w:t>are becoming more familiar with</w:t>
      </w:r>
      <w:r w:rsidR="003A1917">
        <w:t xml:space="preserve"> the </w:t>
      </w:r>
      <w:r w:rsidRPr="001A3D2B">
        <w:t>diverse measures used to assess quality</w:t>
      </w:r>
      <w:r w:rsidR="00427468">
        <w:t xml:space="preserve"> of </w:t>
      </w:r>
      <w:r w:rsidRPr="001A3D2B">
        <w:t>life.</w:t>
      </w:r>
    </w:p>
    <w:p w:rsidR="003474F2" w:rsidRPr="001A3D2B" w:rsidRDefault="003474F2" w:rsidP="003474F2">
      <w:pPr>
        <w:pStyle w:val="a3"/>
      </w:pPr>
      <w:r w:rsidRPr="001A3D2B">
        <w:lastRenderedPageBreak/>
        <w:t xml:space="preserve">Keywords: Assessing, Assessment, Cancer, Cardiovascular, Evidence, Familiar, Gastroenterology, Impact, Interventions, Life, Literature, Literature Review, </w:t>
      </w:r>
      <w:r w:rsidR="00D5664A">
        <w:t>MEDLINE</w:t>
      </w:r>
      <w:r w:rsidRPr="001A3D2B">
        <w:t>, Nephrology, Patients, Policy, Quality, Quality of, Quality</w:t>
      </w:r>
      <w:r w:rsidR="00427468">
        <w:t xml:space="preserve"> of </w:t>
      </w:r>
      <w:r w:rsidRPr="001A3D2B">
        <w:t>Life, Reporting, Review, Scales, Surgery, Surgical Treatment, Term, Treatment, Trends</w:t>
      </w:r>
    </w:p>
    <w:p w:rsidR="00877647" w:rsidRDefault="00877647" w:rsidP="00877647">
      <w:pPr>
        <w:pStyle w:val="a3"/>
        <w:rPr>
          <w:kern w:val="0"/>
        </w:rPr>
      </w:pPr>
      <w:r>
        <w:rPr>
          <w:rFonts w:hint="eastAsia"/>
          <w:kern w:val="0"/>
        </w:rPr>
        <w:t xml:space="preserve">? </w:t>
      </w:r>
      <w:r>
        <w:rPr>
          <w:kern w:val="0"/>
        </w:rPr>
        <w:t>Bhandari, M., Patenall, V., Devereaux, P.J., Tornetta, P., Dirschl, D., Leece, P., Ramanan, T.</w:t>
      </w:r>
      <w:r w:rsidR="005853A9">
        <w:rPr>
          <w:kern w:val="0"/>
        </w:rPr>
        <w:t xml:space="preserve"> and </w:t>
      </w:r>
      <w:r>
        <w:rPr>
          <w:kern w:val="0"/>
        </w:rPr>
        <w:t>Schemitsch, E.H. (2005), Am observational study</w:t>
      </w:r>
      <w:r w:rsidR="00427468">
        <w:rPr>
          <w:kern w:val="0"/>
        </w:rPr>
        <w:t xml:space="preserve"> of </w:t>
      </w:r>
      <w:r>
        <w:rPr>
          <w:kern w:val="0"/>
        </w:rPr>
        <w:t xml:space="preserve">duplicate presentation rates between two national orthopedic meetings. </w:t>
      </w:r>
      <w:r>
        <w:rPr>
          <w:i/>
          <w:iCs/>
          <w:kern w:val="0"/>
        </w:rPr>
        <w:t>Canadian Journal</w:t>
      </w:r>
      <w:r w:rsidR="00427468">
        <w:rPr>
          <w:i/>
          <w:iCs/>
          <w:kern w:val="0"/>
        </w:rPr>
        <w:t xml:space="preserve"> of </w:t>
      </w:r>
      <w:r>
        <w:rPr>
          <w:i/>
          <w:iCs/>
          <w:kern w:val="0"/>
        </w:rPr>
        <w:t>Surgery</w:t>
      </w:r>
      <w:r>
        <w:rPr>
          <w:kern w:val="0"/>
        </w:rPr>
        <w:t xml:space="preserve">, </w:t>
      </w:r>
      <w:r>
        <w:rPr>
          <w:b/>
          <w:bCs/>
          <w:kern w:val="0"/>
        </w:rPr>
        <w:t>48</w:t>
      </w:r>
      <w:r>
        <w:rPr>
          <w:kern w:val="0"/>
        </w:rPr>
        <w:t xml:space="preserve"> (2), 117-122.</w:t>
      </w:r>
    </w:p>
    <w:p w:rsidR="00877647" w:rsidRPr="001A3D2B" w:rsidRDefault="00877647" w:rsidP="00877647">
      <w:pPr>
        <w:pStyle w:val="a3"/>
      </w:pPr>
      <w:r>
        <w:rPr>
          <w:rFonts w:hint="eastAsia"/>
        </w:rPr>
        <w:t xml:space="preserve">Full Text: </w:t>
      </w:r>
      <w:hyperlink r:id="rId79" w:history="1">
        <w:r w:rsidRPr="00173D0F">
          <w:rPr>
            <w:rStyle w:val="a5"/>
          </w:rPr>
          <w:t>2005\Can J Sur48, 117.pdf</w:t>
        </w:r>
      </w:hyperlink>
    </w:p>
    <w:p w:rsidR="00877647" w:rsidRDefault="00877647" w:rsidP="00877647">
      <w:pPr>
        <w:pStyle w:val="a3"/>
        <w:rPr>
          <w:kern w:val="0"/>
        </w:rPr>
      </w:pPr>
      <w:r>
        <w:rPr>
          <w:kern w:val="0"/>
        </w:rPr>
        <w:t>Abstract: Background: National meetings such as those</w:t>
      </w:r>
      <w:r w:rsidR="00427468">
        <w:rPr>
          <w:kern w:val="0"/>
        </w:rPr>
        <w:t xml:space="preserve"> of </w:t>
      </w:r>
      <w:r w:rsidR="003A1917">
        <w:rPr>
          <w:kern w:val="0"/>
        </w:rPr>
        <w:t xml:space="preserve">the </w:t>
      </w:r>
      <w:r>
        <w:rPr>
          <w:kern w:val="0"/>
        </w:rPr>
        <w:t>American Academy</w:t>
      </w:r>
      <w:r w:rsidR="00427468">
        <w:rPr>
          <w:kern w:val="0"/>
        </w:rPr>
        <w:t xml:space="preserve"> of </w:t>
      </w:r>
      <w:r>
        <w:rPr>
          <w:kern w:val="0"/>
        </w:rPr>
        <w:t>Orthopaedic Surgeons (AAOS)</w:t>
      </w:r>
      <w:r w:rsidR="005853A9">
        <w:rPr>
          <w:kern w:val="0"/>
        </w:rPr>
        <w:t xml:space="preserve"> and </w:t>
      </w:r>
      <w:r w:rsidR="003A1917">
        <w:rPr>
          <w:kern w:val="0"/>
        </w:rPr>
        <w:t xml:space="preserve">the </w:t>
      </w:r>
      <w:r>
        <w:rPr>
          <w:kern w:val="0"/>
        </w:rPr>
        <w:t>Canadian Orthopaedic Association (COA) are invaluable in</w:t>
      </w:r>
      <w:r w:rsidR="003A1917">
        <w:rPr>
          <w:kern w:val="0"/>
        </w:rPr>
        <w:t xml:space="preserve"> the </w:t>
      </w:r>
      <w:r>
        <w:rPr>
          <w:kern w:val="0"/>
        </w:rPr>
        <w:t>dissemination</w:t>
      </w:r>
      <w:r w:rsidR="00427468">
        <w:rPr>
          <w:kern w:val="0"/>
        </w:rPr>
        <w:t xml:space="preserve"> of </w:t>
      </w:r>
      <w:r>
        <w:rPr>
          <w:kern w:val="0"/>
        </w:rPr>
        <w:t>new research findings. Given</w:t>
      </w:r>
      <w:r w:rsidR="003A1917">
        <w:rPr>
          <w:kern w:val="0"/>
        </w:rPr>
        <w:t xml:space="preserve"> the </w:t>
      </w:r>
      <w:r>
        <w:rPr>
          <w:kern w:val="0"/>
        </w:rPr>
        <w:t>limits</w:t>
      </w:r>
      <w:r w:rsidR="00427468">
        <w:rPr>
          <w:kern w:val="0"/>
        </w:rPr>
        <w:t xml:space="preserve"> of </w:t>
      </w:r>
      <w:r>
        <w:rPr>
          <w:kern w:val="0"/>
        </w:rPr>
        <w:t>meeting agendas, investigators who present</w:t>
      </w:r>
      <w:r w:rsidR="003A1917">
        <w:rPr>
          <w:kern w:val="0"/>
        </w:rPr>
        <w:t xml:space="preserve"> the </w:t>
      </w:r>
      <w:r>
        <w:rPr>
          <w:kern w:val="0"/>
        </w:rPr>
        <w:t>same paper at multiple meetings prevent other presentations on potentially important original research. To determine</w:t>
      </w:r>
      <w:r w:rsidR="003A1917">
        <w:rPr>
          <w:kern w:val="0"/>
        </w:rPr>
        <w:t xml:space="preserve"> the </w:t>
      </w:r>
      <w:r>
        <w:rPr>
          <w:kern w:val="0"/>
        </w:rPr>
        <w:t>incidence</w:t>
      </w:r>
      <w:r w:rsidR="00427468">
        <w:rPr>
          <w:kern w:val="0"/>
        </w:rPr>
        <w:t xml:space="preserve"> of </w:t>
      </w:r>
      <w:r>
        <w:rPr>
          <w:kern w:val="0"/>
        </w:rPr>
        <w:t>duplicate presentation</w:t>
      </w:r>
      <w:r w:rsidR="00427468">
        <w:rPr>
          <w:kern w:val="0"/>
        </w:rPr>
        <w:t xml:space="preserve"> of </w:t>
      </w:r>
      <w:r>
        <w:rPr>
          <w:kern w:val="0"/>
        </w:rPr>
        <w:t>research between recent COA</w:t>
      </w:r>
      <w:r w:rsidR="005853A9">
        <w:rPr>
          <w:kern w:val="0"/>
        </w:rPr>
        <w:t xml:space="preserve"> and </w:t>
      </w:r>
      <w:r>
        <w:rPr>
          <w:kern w:val="0"/>
        </w:rPr>
        <w:t>AAOS meetings</w:t>
      </w:r>
      <w:r w:rsidR="005853A9">
        <w:rPr>
          <w:kern w:val="0"/>
        </w:rPr>
        <w:t xml:space="preserve"> and </w:t>
      </w:r>
      <w:r>
        <w:rPr>
          <w:kern w:val="0"/>
        </w:rPr>
        <w:t>between national meetings (AAOS</w:t>
      </w:r>
      <w:r w:rsidR="005853A9">
        <w:rPr>
          <w:kern w:val="0"/>
        </w:rPr>
        <w:t xml:space="preserve"> and </w:t>
      </w:r>
      <w:r>
        <w:rPr>
          <w:kern w:val="0"/>
        </w:rPr>
        <w:t>subspecialty), we conducted an observational study. Methods: We hand-searched all podium papers</w:t>
      </w:r>
      <w:r w:rsidR="005853A9">
        <w:rPr>
          <w:kern w:val="0"/>
        </w:rPr>
        <w:t xml:space="preserve"> and </w:t>
      </w:r>
      <w:r>
        <w:rPr>
          <w:kern w:val="0"/>
        </w:rPr>
        <w:t>posters from</w:t>
      </w:r>
      <w:r w:rsidR="003A1917">
        <w:rPr>
          <w:kern w:val="0"/>
        </w:rPr>
        <w:t xml:space="preserve"> the </w:t>
      </w:r>
      <w:r>
        <w:rPr>
          <w:kern w:val="0"/>
        </w:rPr>
        <w:t>2001 COA annual meeting for duplicate presentation at</w:t>
      </w:r>
      <w:r w:rsidR="003A1917">
        <w:rPr>
          <w:kern w:val="0"/>
        </w:rPr>
        <w:t xml:space="preserve"> the </w:t>
      </w:r>
      <w:r>
        <w:rPr>
          <w:kern w:val="0"/>
        </w:rPr>
        <w:t>2001</w:t>
      </w:r>
      <w:r w:rsidR="005853A9">
        <w:rPr>
          <w:kern w:val="0"/>
        </w:rPr>
        <w:t xml:space="preserve"> and </w:t>
      </w:r>
      <w:r>
        <w:rPr>
          <w:kern w:val="0"/>
        </w:rPr>
        <w:t>2002 AAOS annual meetings</w:t>
      </w:r>
      <w:r w:rsidR="005853A9">
        <w:rPr>
          <w:kern w:val="0"/>
        </w:rPr>
        <w:t xml:space="preserve"> and </w:t>
      </w:r>
      <w:r>
        <w:rPr>
          <w:kern w:val="0"/>
        </w:rPr>
        <w:t>subspecialty meetings held in</w:t>
      </w:r>
      <w:r w:rsidR="003A1917">
        <w:rPr>
          <w:kern w:val="0"/>
        </w:rPr>
        <w:t xml:space="preserve"> the </w:t>
      </w:r>
      <w:r w:rsidR="00D5664A">
        <w:rPr>
          <w:kern w:val="0"/>
        </w:rPr>
        <w:t>USA</w:t>
      </w:r>
      <w:r>
        <w:rPr>
          <w:kern w:val="0"/>
        </w:rPr>
        <w:t>. We evaluated summary data abstracted from</w:t>
      </w:r>
      <w:r w:rsidR="003A1917">
        <w:rPr>
          <w:kern w:val="0"/>
        </w:rPr>
        <w:t xml:space="preserve"> the </w:t>
      </w:r>
      <w:r>
        <w:rPr>
          <w:kern w:val="0"/>
        </w:rPr>
        <w:t>duplicate presentations for consistency. Results:</w:t>
      </w:r>
      <w:r w:rsidR="00427468">
        <w:rPr>
          <w:kern w:val="0"/>
        </w:rPr>
        <w:t xml:space="preserve"> of </w:t>
      </w:r>
      <w:r>
        <w:rPr>
          <w:kern w:val="0"/>
        </w:rPr>
        <w:t>148 presentations at</w:t>
      </w:r>
      <w:r w:rsidR="003A1917">
        <w:rPr>
          <w:kern w:val="0"/>
        </w:rPr>
        <w:t xml:space="preserve"> the </w:t>
      </w:r>
      <w:r>
        <w:rPr>
          <w:kern w:val="0"/>
        </w:rPr>
        <w:t>2001 COA meeting, 29 presentations (paper</w:t>
      </w:r>
      <w:r w:rsidR="005853A9">
        <w:rPr>
          <w:kern w:val="0"/>
        </w:rPr>
        <w:t xml:space="preserve"> and </w:t>
      </w:r>
      <w:r>
        <w:rPr>
          <w:kern w:val="0"/>
        </w:rPr>
        <w:t>poster) were duplicated at</w:t>
      </w:r>
      <w:r w:rsidR="003A1917">
        <w:rPr>
          <w:kern w:val="0"/>
        </w:rPr>
        <w:t xml:space="preserve"> the </w:t>
      </w:r>
      <w:r>
        <w:rPr>
          <w:kern w:val="0"/>
        </w:rPr>
        <w:t>2001 or 2002 AAOS meeting: effectively I paper in 5 (19.5%). Canadian investigators were significantly more likely to present</w:t>
      </w:r>
      <w:r w:rsidR="003A1917">
        <w:rPr>
          <w:kern w:val="0"/>
        </w:rPr>
        <w:t xml:space="preserve"> the </w:t>
      </w:r>
      <w:r>
        <w:rPr>
          <w:kern w:val="0"/>
        </w:rPr>
        <w:t>same paper at both meetings than Americans (79% v. 13%, respectively; p &lt; 0.01). Those who presented papers at COA altered their AAOS presentations in a variety</w:t>
      </w:r>
      <w:r w:rsidR="00427468">
        <w:rPr>
          <w:kern w:val="0"/>
        </w:rPr>
        <w:t xml:space="preserve"> of </w:t>
      </w:r>
      <w:r>
        <w:rPr>
          <w:kern w:val="0"/>
        </w:rPr>
        <w:t>ways: by changing</w:t>
      </w:r>
      <w:r w:rsidR="003A1917">
        <w:rPr>
          <w:kern w:val="0"/>
        </w:rPr>
        <w:t xml:space="preserve"> the </w:t>
      </w:r>
      <w:r>
        <w:rPr>
          <w:kern w:val="0"/>
        </w:rPr>
        <w:t>wording in</w:t>
      </w:r>
      <w:r w:rsidR="003A1917">
        <w:rPr>
          <w:kern w:val="0"/>
        </w:rPr>
        <w:t xml:space="preserve"> the </w:t>
      </w:r>
      <w:r>
        <w:rPr>
          <w:kern w:val="0"/>
        </w:rPr>
        <w:t>title</w:t>
      </w:r>
      <w:r w:rsidR="00427468">
        <w:rPr>
          <w:kern w:val="0"/>
        </w:rPr>
        <w:t xml:space="preserve"> of </w:t>
      </w:r>
      <w:r>
        <w:rPr>
          <w:kern w:val="0"/>
        </w:rPr>
        <w:t>their paper (24%</w:t>
      </w:r>
      <w:r w:rsidR="00427468">
        <w:rPr>
          <w:kern w:val="0"/>
        </w:rPr>
        <w:t xml:space="preserve"> of </w:t>
      </w:r>
      <w:r w:rsidR="003A1917">
        <w:rPr>
          <w:kern w:val="0"/>
        </w:rPr>
        <w:t xml:space="preserve">the </w:t>
      </w:r>
      <w:r>
        <w:rPr>
          <w:kern w:val="0"/>
        </w:rPr>
        <w:t>time), adding or removing authors (38%), changing authorship order (34%)</w:t>
      </w:r>
      <w:r w:rsidR="005853A9">
        <w:rPr>
          <w:kern w:val="0"/>
        </w:rPr>
        <w:t xml:space="preserve"> and </w:t>
      </w:r>
      <w:r>
        <w:rPr>
          <w:kern w:val="0"/>
        </w:rPr>
        <w:t>changing</w:t>
      </w:r>
      <w:r w:rsidR="003A1917">
        <w:rPr>
          <w:kern w:val="0"/>
        </w:rPr>
        <w:t xml:space="preserve"> the </w:t>
      </w:r>
      <w:r>
        <w:rPr>
          <w:kern w:val="0"/>
        </w:rPr>
        <w:t>sample size (31%). Duplicate presentation rates between AAOS</w:t>
      </w:r>
      <w:r w:rsidR="005853A9">
        <w:rPr>
          <w:kern w:val="0"/>
        </w:rPr>
        <w:t xml:space="preserve"> and </w:t>
      </w:r>
      <w:r>
        <w:rPr>
          <w:kern w:val="0"/>
        </w:rPr>
        <w:t>other orthopedic subspecialty meetings averaged 11.4% (range 3.4%-26.4%). Conclusions: We identified a 20% duplicate presentation rate between</w:t>
      </w:r>
      <w:r w:rsidR="003A1917">
        <w:rPr>
          <w:kern w:val="0"/>
        </w:rPr>
        <w:t xml:space="preserve"> the </w:t>
      </w:r>
      <w:r>
        <w:rPr>
          <w:kern w:val="0"/>
        </w:rPr>
        <w:t>COA</w:t>
      </w:r>
      <w:r w:rsidR="005853A9">
        <w:rPr>
          <w:kern w:val="0"/>
        </w:rPr>
        <w:t xml:space="preserve"> and </w:t>
      </w:r>
      <w:r>
        <w:rPr>
          <w:kern w:val="0"/>
        </w:rPr>
        <w:t>AAOS annual meetings,</w:t>
      </w:r>
      <w:r w:rsidR="005853A9">
        <w:rPr>
          <w:kern w:val="0"/>
        </w:rPr>
        <w:t xml:space="preserve"> and </w:t>
      </w:r>
      <w:r>
        <w:rPr>
          <w:kern w:val="0"/>
        </w:rPr>
        <w:t>an 11% rate between</w:t>
      </w:r>
      <w:r w:rsidR="003A1917">
        <w:rPr>
          <w:kern w:val="0"/>
        </w:rPr>
        <w:t xml:space="preserve"> the </w:t>
      </w:r>
      <w:r>
        <w:rPr>
          <w:kern w:val="0"/>
        </w:rPr>
        <w:t>AAOS</w:t>
      </w:r>
      <w:r w:rsidR="005853A9">
        <w:rPr>
          <w:kern w:val="0"/>
        </w:rPr>
        <w:t xml:space="preserve"> and </w:t>
      </w:r>
      <w:r>
        <w:rPr>
          <w:kern w:val="0"/>
        </w:rPr>
        <w:t>subspecialty meetings. Stricter enforcement</w:t>
      </w:r>
      <w:r w:rsidR="00427468">
        <w:rPr>
          <w:kern w:val="0"/>
        </w:rPr>
        <w:t xml:space="preserve"> of </w:t>
      </w:r>
      <w:r>
        <w:rPr>
          <w:kern w:val="0"/>
        </w:rPr>
        <w:t>guidelines</w:t>
      </w:r>
      <w:r w:rsidR="005853A9">
        <w:rPr>
          <w:kern w:val="0"/>
        </w:rPr>
        <w:t xml:space="preserve"> and </w:t>
      </w:r>
      <w:r>
        <w:rPr>
          <w:kern w:val="0"/>
        </w:rPr>
        <w:t>improved dissemination</w:t>
      </w:r>
      <w:r w:rsidR="00427468">
        <w:rPr>
          <w:kern w:val="0"/>
        </w:rPr>
        <w:t xml:space="preserve"> of </w:t>
      </w:r>
      <w:r>
        <w:rPr>
          <w:kern w:val="0"/>
        </w:rPr>
        <w:t>research findings at both national meetings may limit this practice.</w:t>
      </w:r>
    </w:p>
    <w:p w:rsidR="00877647" w:rsidRDefault="00877647" w:rsidP="00877647">
      <w:pPr>
        <w:pStyle w:val="a3"/>
        <w:rPr>
          <w:kern w:val="0"/>
        </w:rPr>
      </w:pPr>
      <w:r>
        <w:rPr>
          <w:kern w:val="0"/>
        </w:rPr>
        <w:t xml:space="preserve">Keywords: Abstracts, Authors, Authorship, Dissemination, Guidelines, Incidence, Methods, Observational, Observational Study, Papers, Practice, Publication Rates, Research, Society, </w:t>
      </w:r>
      <w:r w:rsidR="00D5664A">
        <w:rPr>
          <w:kern w:val="0"/>
        </w:rPr>
        <w:t>USA</w:t>
      </w:r>
    </w:p>
    <w:p w:rsidR="00F526D5" w:rsidRDefault="00F526D5" w:rsidP="00F526D5">
      <w:pPr>
        <w:pStyle w:val="a3"/>
        <w:rPr>
          <w:kern w:val="0"/>
        </w:rPr>
      </w:pPr>
      <w:r>
        <w:rPr>
          <w:rFonts w:hint="eastAsia"/>
          <w:kern w:val="0"/>
        </w:rPr>
        <w:t xml:space="preserve">? </w:t>
      </w:r>
      <w:r>
        <w:rPr>
          <w:kern w:val="0"/>
        </w:rPr>
        <w:t>Bhandari, M., Busse, J., Devereaux, P.J., Montori, V.M., Swiontkowski, M., Tornetta, P., Einhorn, T.A., Khera, V.</w:t>
      </w:r>
      <w:r w:rsidR="005853A9">
        <w:rPr>
          <w:kern w:val="0"/>
        </w:rPr>
        <w:t xml:space="preserve"> and </w:t>
      </w:r>
      <w:r>
        <w:rPr>
          <w:kern w:val="0"/>
        </w:rPr>
        <w:t>Schemitsch, E.H. (2007), Factors associated with citation rates in</w:t>
      </w:r>
      <w:r w:rsidR="003A1917">
        <w:rPr>
          <w:kern w:val="0"/>
        </w:rPr>
        <w:t xml:space="preserve"> the </w:t>
      </w:r>
      <w:r>
        <w:rPr>
          <w:kern w:val="0"/>
        </w:rPr>
        <w:t xml:space="preserve">orthopedic literature. </w:t>
      </w:r>
      <w:r>
        <w:rPr>
          <w:i/>
          <w:iCs/>
          <w:kern w:val="0"/>
        </w:rPr>
        <w:t>Canadian Journal</w:t>
      </w:r>
      <w:r w:rsidR="00427468">
        <w:rPr>
          <w:i/>
          <w:iCs/>
          <w:kern w:val="0"/>
        </w:rPr>
        <w:t xml:space="preserve"> of </w:t>
      </w:r>
      <w:r>
        <w:rPr>
          <w:i/>
          <w:iCs/>
          <w:kern w:val="0"/>
        </w:rPr>
        <w:t>Surgery</w:t>
      </w:r>
      <w:r>
        <w:rPr>
          <w:kern w:val="0"/>
        </w:rPr>
        <w:t xml:space="preserve">, </w:t>
      </w:r>
      <w:r>
        <w:rPr>
          <w:b/>
          <w:bCs/>
          <w:kern w:val="0"/>
        </w:rPr>
        <w:t>50</w:t>
      </w:r>
      <w:r>
        <w:rPr>
          <w:kern w:val="0"/>
        </w:rPr>
        <w:t xml:space="preserve"> (2), </w:t>
      </w:r>
      <w:r>
        <w:rPr>
          <w:kern w:val="0"/>
        </w:rPr>
        <w:lastRenderedPageBreak/>
        <w:t>119-123.</w:t>
      </w:r>
    </w:p>
    <w:p w:rsidR="00F526D5" w:rsidRPr="001A3D2B" w:rsidRDefault="00F526D5" w:rsidP="00F526D5">
      <w:pPr>
        <w:pStyle w:val="a3"/>
      </w:pPr>
      <w:r>
        <w:rPr>
          <w:rFonts w:hint="eastAsia"/>
        </w:rPr>
        <w:t xml:space="preserve">Full Text: </w:t>
      </w:r>
      <w:hyperlink r:id="rId80" w:history="1">
        <w:r w:rsidRPr="007259C1">
          <w:rPr>
            <w:rStyle w:val="a5"/>
          </w:rPr>
          <w:t>2007\Can J Sur50, 119.pdf</w:t>
        </w:r>
      </w:hyperlink>
    </w:p>
    <w:p w:rsidR="00F526D5" w:rsidRDefault="00F526D5" w:rsidP="00F526D5">
      <w:pPr>
        <w:pStyle w:val="a3"/>
        <w:rPr>
          <w:kern w:val="0"/>
        </w:rPr>
      </w:pPr>
      <w:r>
        <w:rPr>
          <w:kern w:val="0"/>
        </w:rPr>
        <w:t>Abstract: Introduction: Investigators aim to publish their work in top journals in an effort to achieve</w:t>
      </w:r>
      <w:r w:rsidR="003A1917">
        <w:rPr>
          <w:kern w:val="0"/>
        </w:rPr>
        <w:t xml:space="preserve"> the </w:t>
      </w:r>
      <w:r>
        <w:rPr>
          <w:kern w:val="0"/>
        </w:rPr>
        <w:t>greatest possible impact. One measure</w:t>
      </w:r>
      <w:r w:rsidR="00427468">
        <w:rPr>
          <w:kern w:val="0"/>
        </w:rPr>
        <w:t xml:space="preserve"> of </w:t>
      </w:r>
      <w:r>
        <w:rPr>
          <w:kern w:val="0"/>
        </w:rPr>
        <w:t>impact is</w:t>
      </w:r>
      <w:r w:rsidR="003A1917">
        <w:rPr>
          <w:kern w:val="0"/>
        </w:rPr>
        <w:t xml:space="preserve"> the </w:t>
      </w:r>
      <w:r>
        <w:rPr>
          <w:kern w:val="0"/>
        </w:rPr>
        <w:t>number</w:t>
      </w:r>
      <w:r w:rsidR="00427468">
        <w:rPr>
          <w:kern w:val="0"/>
        </w:rPr>
        <w:t xml:space="preserve"> of </w:t>
      </w:r>
      <w:r>
        <w:rPr>
          <w:kern w:val="0"/>
        </w:rPr>
        <w:t>times a paper is cited after its publication in a journal. We conducted a review</w:t>
      </w:r>
      <w:r w:rsidR="00427468">
        <w:rPr>
          <w:kern w:val="0"/>
        </w:rPr>
        <w:t xml:space="preserve"> of </w:t>
      </w:r>
      <w:r w:rsidR="003A1917">
        <w:rPr>
          <w:kern w:val="0"/>
        </w:rPr>
        <w:t xml:space="preserve">the </w:t>
      </w:r>
      <w:r>
        <w:rPr>
          <w:kern w:val="0"/>
        </w:rPr>
        <w:t>highest impact clinical orthopedic journal (Journal</w:t>
      </w:r>
      <w:r w:rsidR="00427468">
        <w:rPr>
          <w:kern w:val="0"/>
        </w:rPr>
        <w:t xml:space="preserve"> of </w:t>
      </w:r>
      <w:r>
        <w:rPr>
          <w:kern w:val="0"/>
        </w:rPr>
        <w:t>Bone</w:t>
      </w:r>
      <w:r w:rsidR="005853A9">
        <w:rPr>
          <w:kern w:val="0"/>
        </w:rPr>
        <w:t xml:space="preserve"> and </w:t>
      </w:r>
      <w:r>
        <w:rPr>
          <w:kern w:val="0"/>
        </w:rPr>
        <w:t>joint Surgery, American volume U Bone joint Surg Am]) to determine factors associated with subsequent citations within 3 years</w:t>
      </w:r>
      <w:r w:rsidR="00427468">
        <w:rPr>
          <w:kern w:val="0"/>
        </w:rPr>
        <w:t xml:space="preserve"> of </w:t>
      </w:r>
      <w:r>
        <w:rPr>
          <w:kern w:val="0"/>
        </w:rPr>
        <w:t>publication. Methods: We conducted citation counts for all original articles published in J Bone joint Surg Am 2000.(12 issues). We used regression analysis to identify factors associated with citation counts. Results: We identified 137 original articles in</w:t>
      </w:r>
      <w:r w:rsidR="003A1917">
        <w:rPr>
          <w:kern w:val="0"/>
        </w:rPr>
        <w:t xml:space="preserve"> the </w:t>
      </w:r>
      <w:r>
        <w:rPr>
          <w:kern w:val="0"/>
        </w:rPr>
        <w:t>J Bone Joint Surg Am</w:t>
      </w:r>
      <w:r w:rsidR="00A37C1D">
        <w:rPr>
          <w:kern w:val="0"/>
        </w:rPr>
        <w:t>. The</w:t>
      </w:r>
      <w:r>
        <w:rPr>
          <w:kern w:val="0"/>
        </w:rPr>
        <w:t>re were 749 subsequent citations within 3 years</w:t>
      </w:r>
      <w:r w:rsidR="00427468">
        <w:rPr>
          <w:kern w:val="0"/>
        </w:rPr>
        <w:t xml:space="preserve"> of </w:t>
      </w:r>
      <w:r>
        <w:rPr>
          <w:kern w:val="0"/>
        </w:rPr>
        <w:t>publication</w:t>
      </w:r>
      <w:r w:rsidR="00427468">
        <w:rPr>
          <w:kern w:val="0"/>
        </w:rPr>
        <w:t xml:space="preserve"> of </w:t>
      </w:r>
      <w:r>
        <w:rPr>
          <w:kern w:val="0"/>
        </w:rPr>
        <w:t>these articles. Study design was</w:t>
      </w:r>
      <w:r w:rsidR="003A1917">
        <w:rPr>
          <w:kern w:val="0"/>
        </w:rPr>
        <w:t xml:space="preserve"> the </w:t>
      </w:r>
      <w:r>
        <w:rPr>
          <w:kern w:val="0"/>
        </w:rPr>
        <w:t>only variable associated with subsequent citation rate. Meta-analyses, randomized trials</w:t>
      </w:r>
      <w:r w:rsidR="005853A9">
        <w:rPr>
          <w:kern w:val="0"/>
        </w:rPr>
        <w:t xml:space="preserve"> and </w:t>
      </w:r>
      <w:r>
        <w:rPr>
          <w:kern w:val="0"/>
        </w:rPr>
        <w:t>basic science papers received significantly more citations (mean 15.5, 9.3</w:t>
      </w:r>
      <w:r w:rsidR="005853A9">
        <w:rPr>
          <w:kern w:val="0"/>
        </w:rPr>
        <w:t xml:space="preserve"> and </w:t>
      </w:r>
      <w:r>
        <w:rPr>
          <w:kern w:val="0"/>
        </w:rPr>
        <w:t>7.6, respectively) than did observational studies (mean retrospective 5.3, prospective 4.2)</w:t>
      </w:r>
      <w:r w:rsidR="005853A9">
        <w:rPr>
          <w:kern w:val="0"/>
        </w:rPr>
        <w:t xml:space="preserve"> and </w:t>
      </w:r>
      <w:r>
        <w:rPr>
          <w:kern w:val="0"/>
        </w:rPr>
        <w:t>case reports (mean 1.5) (p = 0.01)</w:t>
      </w:r>
      <w:r w:rsidR="00A37C1D">
        <w:rPr>
          <w:kern w:val="0"/>
        </w:rPr>
        <w:t>. The</w:t>
      </w:r>
      <w:r>
        <w:rPr>
          <w:kern w:val="0"/>
        </w:rPr>
        <w:t>se study designs were also significantly more likely to be cited in</w:t>
      </w:r>
      <w:r w:rsidR="003A1917">
        <w:rPr>
          <w:kern w:val="0"/>
        </w:rPr>
        <w:t xml:space="preserve"> the </w:t>
      </w:r>
      <w:r>
        <w:rPr>
          <w:kern w:val="0"/>
        </w:rPr>
        <w:t>general medical literature (p = 0.02). Conclusion: Our results suggest that basic science articles</w:t>
      </w:r>
      <w:r w:rsidR="005853A9">
        <w:rPr>
          <w:kern w:val="0"/>
        </w:rPr>
        <w:t xml:space="preserve"> and </w:t>
      </w:r>
      <w:r>
        <w:rPr>
          <w:kern w:val="0"/>
        </w:rPr>
        <w:t>clinical articles with greater methodological safeguards against bias (randomized controlled trials</w:t>
      </w:r>
      <w:r w:rsidR="005853A9">
        <w:rPr>
          <w:kern w:val="0"/>
        </w:rPr>
        <w:t xml:space="preserve"> and </w:t>
      </w:r>
      <w:r>
        <w:rPr>
          <w:kern w:val="0"/>
        </w:rPr>
        <w:t>meta-analyses) are cited more frequently than are clinical studies with less rigorous stud), designs (observational studies</w:t>
      </w:r>
      <w:r w:rsidR="005853A9">
        <w:rPr>
          <w:kern w:val="0"/>
        </w:rPr>
        <w:t xml:space="preserve"> and </w:t>
      </w:r>
      <w:r>
        <w:rPr>
          <w:kern w:val="0"/>
        </w:rPr>
        <w:t>case reports).</w:t>
      </w:r>
    </w:p>
    <w:p w:rsidR="00F526D5" w:rsidRDefault="00F526D5" w:rsidP="00F526D5">
      <w:pPr>
        <w:pStyle w:val="a3"/>
        <w:rPr>
          <w:kern w:val="0"/>
        </w:rPr>
      </w:pPr>
      <w:r>
        <w:rPr>
          <w:kern w:val="0"/>
        </w:rPr>
        <w:t>Keywords: Analysis, Citation, Citation Counts, Citation Rates, Citations, Impact Factor, Journals, Publication, Quality, Science, Self-Citations</w:t>
      </w:r>
    </w:p>
    <w:p w:rsidR="003474F2" w:rsidRPr="001A3D2B" w:rsidRDefault="003474F2" w:rsidP="003474F2">
      <w:pPr>
        <w:pStyle w:val="1"/>
      </w:pPr>
      <w:r w:rsidRPr="001A3D2B">
        <w:br w:type="page"/>
      </w:r>
      <w:bookmarkStart w:id="45" w:name="_Toc420814887"/>
      <w:r w:rsidRPr="001A3D2B">
        <w:lastRenderedPageBreak/>
        <w:t>Title: Canadian Library Journal</w:t>
      </w:r>
      <w:bookmarkEnd w:id="45"/>
    </w:p>
    <w:p w:rsidR="003474F2" w:rsidRPr="001A3D2B" w:rsidRDefault="003474F2" w:rsidP="003474F2">
      <w:pPr>
        <w:pStyle w:val="12"/>
      </w:pPr>
      <w:r w:rsidRPr="001A3D2B">
        <w:t>Full Journal T</w:t>
      </w:r>
      <w:bookmarkStart w:id="46" w:name="_Toc81215656"/>
      <w:r w:rsidRPr="001A3D2B">
        <w:t>itle: Canadian Library Journal</w:t>
      </w:r>
    </w:p>
    <w:bookmarkEnd w:id="46"/>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0008-4352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Maclean, H.I. (1972), Introductory course on informatics/documentation - Mikhailov, AI</w:t>
      </w:r>
      <w:r w:rsidR="005853A9">
        <w:t xml:space="preserve"> and </w:t>
      </w:r>
      <w:r w:rsidRPr="001A3D2B">
        <w:t xml:space="preserve">Giljarevskij, RS. </w:t>
      </w:r>
      <w:r w:rsidRPr="001A3D2B">
        <w:rPr>
          <w:i/>
          <w:iCs/>
        </w:rPr>
        <w:t>Canadian Library Journal</w:t>
      </w:r>
      <w:r w:rsidRPr="001A3D2B">
        <w:t xml:space="preserve">, </w:t>
      </w:r>
      <w:r w:rsidRPr="001A3D2B">
        <w:rPr>
          <w:b/>
          <w:bCs/>
        </w:rPr>
        <w:t>29</w:t>
      </w:r>
      <w:r w:rsidRPr="001A3D2B">
        <w:t xml:space="preserve"> (4), 347-348.</w:t>
      </w:r>
    </w:p>
    <w:p w:rsidR="003474F2" w:rsidRPr="001A3D2B" w:rsidRDefault="003474F2" w:rsidP="003474F2">
      <w:pPr>
        <w:pStyle w:val="a3"/>
      </w:pPr>
      <w:r w:rsidRPr="001A3D2B">
        <w:t xml:space="preserve">? Malinski, R. (1975), Understanding scientific literature - Bibliometric approach - Donohue, JC. </w:t>
      </w:r>
      <w:r w:rsidRPr="001A3D2B">
        <w:rPr>
          <w:i/>
          <w:iCs/>
        </w:rPr>
        <w:t>Canadian Library Journal</w:t>
      </w:r>
      <w:r w:rsidRPr="001A3D2B">
        <w:t xml:space="preserve">, </w:t>
      </w:r>
      <w:r w:rsidRPr="001A3D2B">
        <w:rPr>
          <w:b/>
          <w:bCs/>
        </w:rPr>
        <w:t>32</w:t>
      </w:r>
      <w:r w:rsidRPr="001A3D2B">
        <w:t xml:space="preserve"> (1), 73-74.</w:t>
      </w:r>
    </w:p>
    <w:p w:rsidR="003474F2" w:rsidRPr="001A3D2B" w:rsidRDefault="003474F2" w:rsidP="003474F2">
      <w:pPr>
        <w:pStyle w:val="1"/>
      </w:pPr>
      <w:r w:rsidRPr="001A3D2B">
        <w:br w:type="page"/>
      </w:r>
      <w:bookmarkStart w:id="47" w:name="_Toc420814888"/>
      <w:r w:rsidRPr="001A3D2B">
        <w:lastRenderedPageBreak/>
        <w:t>Title: Canadian Medical Association Journal</w:t>
      </w:r>
      <w:bookmarkEnd w:id="47"/>
    </w:p>
    <w:p w:rsidR="003474F2" w:rsidRPr="001A3D2B" w:rsidRDefault="003474F2" w:rsidP="003474F2">
      <w:pPr>
        <w:pStyle w:val="12"/>
      </w:pPr>
      <w:r w:rsidRPr="001A3D2B">
        <w:t>Fu</w:t>
      </w:r>
      <w:bookmarkStart w:id="48" w:name="_Toc490687750"/>
      <w:bookmarkStart w:id="49" w:name="_Toc492779374"/>
      <w:bookmarkStart w:id="50" w:name="_Toc39416549"/>
      <w:bookmarkStart w:id="51" w:name="_Toc43634551"/>
      <w:bookmarkStart w:id="52" w:name="_Toc81215657"/>
      <w:r w:rsidRPr="001A3D2B">
        <w:t xml:space="preserve">ll Journal Title: </w:t>
      </w:r>
      <w:r w:rsidR="00DF61FE">
        <w:fldChar w:fldCharType="begin"/>
      </w:r>
      <w:r w:rsidR="00FD158B">
        <w:instrText>HYPERLINK "http://www.cm</w:instrText>
      </w:r>
      <w:bookmarkEnd w:id="48"/>
      <w:bookmarkEnd w:id="49"/>
      <w:bookmarkEnd w:id="50"/>
      <w:bookmarkEnd w:id="51"/>
      <w:bookmarkEnd w:id="52"/>
      <w:r w:rsidR="00FD158B">
        <w:instrText>aj.ca/contents-by-date.0.shtml"</w:instrText>
      </w:r>
      <w:r w:rsidR="00DF61FE">
        <w:fldChar w:fldCharType="separate"/>
      </w:r>
      <w:r w:rsidRPr="001A3D2B">
        <w:rPr>
          <w:rStyle w:val="a5"/>
        </w:rPr>
        <w:t>Canadian Medical Association Journal</w:t>
      </w:r>
      <w:r w:rsidR="00DF61FE">
        <w:fldChar w:fldCharType="end"/>
      </w:r>
    </w:p>
    <w:p w:rsidR="003474F2" w:rsidRPr="001A3D2B" w:rsidRDefault="003474F2" w:rsidP="003474F2">
      <w:pPr>
        <w:pStyle w:val="12"/>
      </w:pPr>
      <w:r w:rsidRPr="001A3D2B">
        <w:t xml:space="preserve">ISO Abbreviated Title: </w:t>
      </w:r>
      <w:smartTag w:uri="urn:schemas-microsoft-com:office:smarttags" w:element="place">
        <w:smartTag w:uri="urn:schemas-microsoft-com:office:smarttags" w:element="country-region">
          <w:r w:rsidRPr="001A3D2B">
            <w:t>Can.</w:t>
          </w:r>
        </w:smartTag>
      </w:smartTag>
      <w:r w:rsidRPr="001A3D2B">
        <w:t xml:space="preserve"> Med. Assoc. J.</w:t>
      </w:r>
    </w:p>
    <w:p w:rsidR="003474F2" w:rsidRPr="001A3D2B" w:rsidRDefault="003474F2" w:rsidP="003474F2">
      <w:pPr>
        <w:pStyle w:val="12"/>
      </w:pPr>
      <w:r w:rsidRPr="001A3D2B">
        <w:t>JCR Abbreviated Title: Can Med Assoc J</w:t>
      </w:r>
    </w:p>
    <w:p w:rsidR="003474F2" w:rsidRPr="001A3D2B" w:rsidRDefault="003474F2" w:rsidP="003474F2">
      <w:pPr>
        <w:pStyle w:val="12"/>
      </w:pPr>
      <w:r w:rsidRPr="001A3D2B">
        <w:t>ISSN: 0820-3946</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Canada</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Canadian Medical Association</w:t>
      </w:r>
    </w:p>
    <w:p w:rsidR="003474F2" w:rsidRPr="001A3D2B" w:rsidRDefault="003474F2" w:rsidP="003474F2">
      <w:pPr>
        <w:pStyle w:val="12"/>
      </w:pPr>
      <w:r w:rsidRPr="001A3D2B">
        <w:t xml:space="preserve">Publisher Address: </w:t>
      </w:r>
      <w:smartTag w:uri="urn:schemas-microsoft-com:office:smarttags" w:element="place">
        <w:r w:rsidRPr="001A3D2B">
          <w:t xml:space="preserve">1867 Alta Vista Dr, </w:t>
        </w:r>
        <w:smartTag w:uri="urn:schemas-microsoft-com:office:smarttags" w:element="City">
          <w:r w:rsidRPr="001A3D2B">
            <w:t>Ottawa</w:t>
          </w:r>
        </w:smartTag>
        <w:r w:rsidRPr="001A3D2B">
          <w:t xml:space="preserve">, </w:t>
        </w:r>
        <w:smartTag w:uri="urn:schemas-microsoft-com:office:smarttags" w:element="State">
          <w:r w:rsidRPr="001A3D2B">
            <w:t>Ontario</w:t>
          </w:r>
        </w:smartTag>
        <w:r w:rsidRPr="001A3D2B">
          <w:t xml:space="preserve"> </w:t>
        </w:r>
        <w:smartTag w:uri="urn:schemas-microsoft-com:office:smarttags" w:element="PostalCode">
          <w:r w:rsidRPr="001A3D2B">
            <w:t>K</w:t>
          </w:r>
          <w:smartTag w:uri="urn:schemas-microsoft-com:office:smarttags" w:element="chmetcnv">
            <w:smartTagPr>
              <w:attr w:name="UnitName" w:val="g"/>
              <w:attr w:name="SourceValue" w:val="1"/>
              <w:attr w:name="HasSpace" w:val="False"/>
              <w:attr w:name="Negative" w:val="False"/>
              <w:attr w:name="NumberType" w:val="1"/>
              <w:attr w:name="TCSC" w:val="0"/>
            </w:smartTagPr>
            <w:r w:rsidRPr="001A3D2B">
              <w:t>1G</w:t>
            </w:r>
          </w:smartTag>
          <w:r w:rsidRPr="001A3D2B">
            <w:t xml:space="preserve"> 3Y6</w:t>
          </w:r>
        </w:smartTag>
        <w:r w:rsidRPr="001A3D2B">
          <w:t xml:space="preserve">, </w:t>
        </w:r>
        <w:smartTag w:uri="urn:schemas-microsoft-com:office:smarttags" w:element="country-region">
          <w:r w:rsidRPr="001A3D2B">
            <w:t>Canada</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Medicine, General &amp; Internal: Impact Factor 2.808,/(2001)</w:t>
      </w:r>
    </w:p>
    <w:p w:rsidR="00EA6335" w:rsidRDefault="00EA6335" w:rsidP="00EA6335">
      <w:pPr>
        <w:pStyle w:val="a3"/>
      </w:pPr>
      <w:r w:rsidRPr="00C73C58">
        <w:t xml:space="preserve">? Morgan, P.P. (1983), </w:t>
      </w:r>
      <w:r w:rsidRPr="00461FDD">
        <w:rPr>
          <w:i/>
        </w:rPr>
        <w:t>CMAJ</w:t>
      </w:r>
      <w:r w:rsidR="0071223E">
        <w:t>’</w:t>
      </w:r>
      <w:r>
        <w:rPr>
          <w:rFonts w:hint="eastAsia"/>
        </w:rPr>
        <w:t>s</w:t>
      </w:r>
      <w:r w:rsidRPr="00C73C58">
        <w:t xml:space="preserve"> citation patterns. </w:t>
      </w:r>
      <w:r w:rsidRPr="00C73C58">
        <w:rPr>
          <w:i/>
        </w:rPr>
        <w:t>Canadian Medical Association Journal</w:t>
      </w:r>
      <w:r w:rsidRPr="00C73C58">
        <w:t xml:space="preserve">, </w:t>
      </w:r>
      <w:r w:rsidRPr="00C73C58">
        <w:rPr>
          <w:b/>
          <w:bCs/>
        </w:rPr>
        <w:t>129</w:t>
      </w:r>
      <w:r w:rsidRPr="00C73C58">
        <w:t xml:space="preserve"> (6), 524.</w:t>
      </w:r>
    </w:p>
    <w:p w:rsidR="00EA6335" w:rsidRPr="00C73C58" w:rsidRDefault="00EA6335" w:rsidP="00EA6335">
      <w:pPr>
        <w:pStyle w:val="a3"/>
      </w:pPr>
      <w:r>
        <w:rPr>
          <w:rFonts w:hint="eastAsia"/>
        </w:rPr>
        <w:t xml:space="preserve">Full Text: </w:t>
      </w:r>
      <w:hyperlink r:id="rId81" w:history="1">
        <w:r w:rsidRPr="00461FDD">
          <w:rPr>
            <w:rStyle w:val="a5"/>
          </w:rPr>
          <w:t>1983\Can Med Ass J129, 524.pdf</w:t>
        </w:r>
      </w:hyperlink>
    </w:p>
    <w:p w:rsidR="00EA6335" w:rsidRPr="00C73C58" w:rsidRDefault="00EA6335" w:rsidP="00EA6335">
      <w:pPr>
        <w:pStyle w:val="a3"/>
      </w:pPr>
      <w:r w:rsidRPr="00C73C58">
        <w:t>? Squires, B.P. (1992), Citation rate</w:t>
      </w:r>
      <w:r>
        <w:rPr>
          <w:rFonts w:hint="eastAsia"/>
        </w:rPr>
        <w:t>:</w:t>
      </w:r>
      <w:r w:rsidRPr="00C73C58">
        <w:t xml:space="preserve"> A measure</w:t>
      </w:r>
      <w:r w:rsidR="00427468">
        <w:t xml:space="preserve"> of </w:t>
      </w:r>
      <w:r w:rsidRPr="00C73C58">
        <w:t xml:space="preserve">excellence. </w:t>
      </w:r>
      <w:r w:rsidRPr="00C73C58">
        <w:rPr>
          <w:i/>
        </w:rPr>
        <w:t>Canadian Medical Association Journal</w:t>
      </w:r>
      <w:r w:rsidRPr="00C73C58">
        <w:t xml:space="preserve">, </w:t>
      </w:r>
      <w:r w:rsidRPr="00C73C58">
        <w:rPr>
          <w:b/>
          <w:bCs/>
        </w:rPr>
        <w:t>146</w:t>
      </w:r>
      <w:r w:rsidRPr="00C73C58">
        <w:t xml:space="preserve"> (3), 341.</w:t>
      </w:r>
    </w:p>
    <w:p w:rsidR="00EA6335" w:rsidRPr="00C73C58" w:rsidRDefault="00EA6335" w:rsidP="00EA6335">
      <w:pPr>
        <w:pStyle w:val="a3"/>
      </w:pPr>
      <w:r>
        <w:rPr>
          <w:rFonts w:hint="eastAsia"/>
        </w:rPr>
        <w:t xml:space="preserve">Full Text: </w:t>
      </w:r>
      <w:hyperlink r:id="rId82" w:history="1">
        <w:r w:rsidRPr="00461FDD">
          <w:rPr>
            <w:rStyle w:val="a5"/>
          </w:rPr>
          <w:t>1992\Can Med Ass J146, 341.pdf</w:t>
        </w:r>
      </w:hyperlink>
    </w:p>
    <w:p w:rsidR="003474F2" w:rsidRPr="001A3D2B" w:rsidRDefault="003474F2" w:rsidP="003474F2">
      <w:pPr>
        <w:pStyle w:val="a3"/>
      </w:pPr>
      <w:r w:rsidRPr="001A3D2B">
        <w:t>Alle, U.D., Navas, L.</w:t>
      </w:r>
      <w:r w:rsidR="005853A9">
        <w:t xml:space="preserve"> and </w:t>
      </w:r>
      <w:r w:rsidRPr="001A3D2B">
        <w:t>King, S.M. (1993), Effectiveness</w:t>
      </w:r>
      <w:r w:rsidR="00427468">
        <w:t xml:space="preserve"> of </w:t>
      </w:r>
      <w:r w:rsidRPr="001A3D2B">
        <w:t>intrapartum penicillin prophylaxis in preventing early-onset group B streptococcal infection: Results</w:t>
      </w:r>
      <w:r w:rsidR="00427468">
        <w:t xml:space="preserve"> of </w:t>
      </w:r>
      <w:r w:rsidRPr="001A3D2B">
        <w:t xml:space="preserve">a metaanalysis. </w:t>
      </w:r>
      <w:r w:rsidRPr="001A3D2B">
        <w:rPr>
          <w:i/>
        </w:rPr>
        <w:t>Canadian Medical Association Journal</w:t>
      </w:r>
      <w:r w:rsidRPr="001A3D2B">
        <w:t xml:space="preserve">, </w:t>
      </w:r>
      <w:r w:rsidRPr="001A3D2B">
        <w:rPr>
          <w:b/>
          <w:bCs/>
        </w:rPr>
        <w:t>149</w:t>
      </w:r>
      <w:r w:rsidRPr="001A3D2B">
        <w:t xml:space="preserve"> (11), 1659-1665.</w:t>
      </w:r>
    </w:p>
    <w:p w:rsidR="003474F2" w:rsidRPr="001A3D2B" w:rsidRDefault="003474F2" w:rsidP="003474F2">
      <w:pPr>
        <w:pStyle w:val="a3"/>
      </w:pPr>
      <w:r w:rsidRPr="001A3D2B">
        <w:t xml:space="preserve">Full Text: </w:t>
      </w:r>
      <w:hyperlink r:id="rId83" w:history="1">
        <w:r w:rsidRPr="001A3D2B">
          <w:rPr>
            <w:rStyle w:val="a5"/>
          </w:rPr>
          <w:t>1993\Can Med Ass J149, 1659.pdf</w:t>
        </w:r>
      </w:hyperlink>
    </w:p>
    <w:p w:rsidR="003474F2" w:rsidRPr="001A3D2B" w:rsidRDefault="003474F2" w:rsidP="003474F2">
      <w:pPr>
        <w:pStyle w:val="a3"/>
      </w:pPr>
      <w:r w:rsidRPr="001A3D2B">
        <w:t>Abstract: Objective: To determine</w:t>
      </w:r>
      <w:r w:rsidR="003A1917">
        <w:t xml:space="preserve"> the </w:t>
      </w:r>
      <w:r w:rsidRPr="001A3D2B">
        <w:t>effectiveness</w:t>
      </w:r>
      <w:r w:rsidR="00427468">
        <w:t xml:space="preserve"> of </w:t>
      </w:r>
      <w:r w:rsidRPr="001A3D2B">
        <w:t>intrapartum penicillin prophylaxis in preventing early-onset group B streptococcal (GBS) infection in neonates</w:t>
      </w:r>
      <w:r w:rsidR="00427468">
        <w:t xml:space="preserve"> of </w:t>
      </w:r>
      <w:r w:rsidRPr="001A3D2B">
        <w:t>women whose birth canals are colonized by group B streptococci.</w:t>
      </w:r>
    </w:p>
    <w:p w:rsidR="003474F2" w:rsidRPr="001A3D2B" w:rsidRDefault="003474F2" w:rsidP="003474F2">
      <w:pPr>
        <w:pStyle w:val="a3"/>
      </w:pPr>
      <w:r w:rsidRPr="001A3D2B">
        <w:t>Data sources: Articles published between 1966</w:t>
      </w:r>
      <w:r w:rsidR="005853A9">
        <w:t xml:space="preserve"> and </w:t>
      </w:r>
      <w:r w:rsidRPr="001A3D2B">
        <w:t xml:space="preserve">1992 identified from </w:t>
      </w:r>
      <w:r w:rsidR="00D5664A">
        <w:t>MEDLINE</w:t>
      </w:r>
      <w:r w:rsidRPr="001A3D2B">
        <w:t>, EMBASE,</w:t>
      </w:r>
      <w:r w:rsidR="003A1917">
        <w:t xml:space="preserve"> the </w:t>
      </w:r>
      <w:r w:rsidRPr="001A3D2B">
        <w:t>Science Citation Index</w:t>
      </w:r>
      <w:r w:rsidR="005853A9">
        <w:t xml:space="preserve"> and </w:t>
      </w:r>
      <w:r w:rsidR="003A1917">
        <w:t xml:space="preserve">the </w:t>
      </w:r>
      <w:r w:rsidRPr="001A3D2B">
        <w:t>Oxford Perinatal Database;</w:t>
      </w:r>
      <w:r w:rsidR="003A1917">
        <w:t xml:space="preserve"> the </w:t>
      </w:r>
      <w:r w:rsidRPr="001A3D2B">
        <w:t>bibliographies</w:t>
      </w:r>
      <w:r w:rsidR="00427468">
        <w:t xml:space="preserve"> of </w:t>
      </w:r>
      <w:r w:rsidRPr="001A3D2B">
        <w:t>primary studies, textbooks</w:t>
      </w:r>
      <w:r w:rsidR="005853A9">
        <w:t xml:space="preserve"> and </w:t>
      </w:r>
      <w:r w:rsidRPr="001A3D2B">
        <w:t>review articles</w:t>
      </w:r>
      <w:r w:rsidR="005853A9">
        <w:t xml:space="preserve"> and </w:t>
      </w:r>
      <w:r w:rsidRPr="001A3D2B">
        <w:t>published abstracts from major conferences</w:t>
      </w:r>
      <w:r w:rsidR="005853A9">
        <w:t xml:space="preserve"> and </w:t>
      </w:r>
      <w:r w:rsidRPr="001A3D2B">
        <w:t>symposia.</w:t>
      </w:r>
    </w:p>
    <w:p w:rsidR="003474F2" w:rsidRPr="001A3D2B" w:rsidRDefault="003474F2" w:rsidP="003474F2">
      <w:pPr>
        <w:pStyle w:val="a3"/>
      </w:pPr>
      <w:r w:rsidRPr="001A3D2B">
        <w:t>Data selection: Studies were selected if four criteria were met: (a)</w:t>
      </w:r>
      <w:r w:rsidR="003A1917">
        <w:t xml:space="preserve"> the </w:t>
      </w:r>
      <w:r w:rsidRPr="001A3D2B">
        <w:t>target population was intrapartum women</w:t>
      </w:r>
      <w:r w:rsidR="005853A9">
        <w:t xml:space="preserve"> and </w:t>
      </w:r>
      <w:r w:rsidRPr="001A3D2B">
        <w:t>neonates, (b)</w:t>
      </w:r>
      <w:r w:rsidR="003A1917">
        <w:t xml:space="preserve"> the </w:t>
      </w:r>
      <w:r w:rsidRPr="001A3D2B">
        <w:t>intervention was penicillin prophylaxis, (c) invasive early-onset GBS infection was an outcome measure,</w:t>
      </w:r>
      <w:r w:rsidR="005853A9">
        <w:t xml:space="preserve"> and </w:t>
      </w:r>
      <w:r w:rsidRPr="001A3D2B">
        <w:t>(d)</w:t>
      </w:r>
      <w:r w:rsidR="003A1917">
        <w:t xml:space="preserve"> the </w:t>
      </w:r>
      <w:r w:rsidRPr="001A3D2B">
        <w:t>studies were controlled trials or cohort studies. Seven primary studies were identified, four</w:t>
      </w:r>
      <w:r w:rsidR="00427468">
        <w:t xml:space="preserve"> of </w:t>
      </w:r>
      <w:r w:rsidRPr="001A3D2B">
        <w:t>which were randomized controlled trials.</w:t>
      </w:r>
    </w:p>
    <w:p w:rsidR="003474F2" w:rsidRPr="001A3D2B" w:rsidRDefault="003474F2" w:rsidP="003474F2">
      <w:pPr>
        <w:pStyle w:val="a3"/>
      </w:pPr>
      <w:r w:rsidRPr="001A3D2B">
        <w:t>Data extraction: Explicit methodologic criteria were used by two</w:t>
      </w:r>
      <w:r w:rsidR="00427468">
        <w:t xml:space="preserve"> of </w:t>
      </w:r>
      <w:r w:rsidR="003A1917">
        <w:t xml:space="preserve">the </w:t>
      </w:r>
      <w:r w:rsidRPr="001A3D2B">
        <w:t>authors to assess independently</w:t>
      </w:r>
      <w:r w:rsidR="003A1917">
        <w:t xml:space="preserve"> the </w:t>
      </w:r>
      <w:r w:rsidRPr="001A3D2B">
        <w:t>study quality; one</w:t>
      </w:r>
      <w:r w:rsidR="00427468">
        <w:t xml:space="preserve"> of </w:t>
      </w:r>
      <w:r w:rsidR="003A1917">
        <w:t xml:space="preserve">the </w:t>
      </w:r>
      <w:r w:rsidRPr="001A3D2B">
        <w:t>reviewers was blind as to author, institution</w:t>
      </w:r>
      <w:r w:rsidR="005853A9">
        <w:t xml:space="preserve"> and </w:t>
      </w:r>
      <w:r w:rsidRPr="001A3D2B">
        <w:t>journal</w:t>
      </w:r>
      <w:r w:rsidR="00A37C1D">
        <w:t>. The</w:t>
      </w:r>
      <w:r w:rsidR="003A1917">
        <w:t xml:space="preserve"> </w:t>
      </w:r>
      <w:r w:rsidRPr="001A3D2B">
        <w:t>baseline characteristics</w:t>
      </w:r>
      <w:r w:rsidR="00427468">
        <w:t xml:space="preserve"> of </w:t>
      </w:r>
      <w:r w:rsidR="003A1917">
        <w:t xml:space="preserve">the </w:t>
      </w:r>
      <w:r w:rsidRPr="001A3D2B">
        <w:t>population, intervention</w:t>
      </w:r>
      <w:r w:rsidR="005853A9">
        <w:t xml:space="preserve"> </w:t>
      </w:r>
      <w:r w:rsidR="005853A9">
        <w:lastRenderedPageBreak/>
        <w:t xml:space="preserve">and </w:t>
      </w:r>
      <w:r w:rsidRPr="001A3D2B">
        <w:t>outcome were summarized twice</w:t>
      </w:r>
      <w:r w:rsidR="005853A9">
        <w:t xml:space="preserve"> and </w:t>
      </w:r>
      <w:r w:rsidRPr="001A3D2B">
        <w:t>checked for accuracy by two</w:t>
      </w:r>
      <w:r w:rsidR="00427468">
        <w:t xml:space="preserve"> of </w:t>
      </w:r>
      <w:r w:rsidR="003A1917">
        <w:t xml:space="preserve">the </w:t>
      </w:r>
      <w:r w:rsidRPr="001A3D2B">
        <w:t>authors.</w:t>
      </w:r>
    </w:p>
    <w:p w:rsidR="003474F2" w:rsidRPr="001A3D2B" w:rsidRDefault="003474F2" w:rsidP="003474F2">
      <w:pPr>
        <w:pStyle w:val="a3"/>
      </w:pPr>
      <w:r w:rsidRPr="001A3D2B">
        <w:t>Data synthesis: Five</w:t>
      </w:r>
      <w:r w:rsidR="00427468">
        <w:t xml:space="preserve"> of </w:t>
      </w:r>
      <w:r w:rsidR="003A1917">
        <w:t xml:space="preserve">the </w:t>
      </w:r>
      <w:r w:rsidRPr="001A3D2B">
        <w:t>studies showed a trend toward a beneficial effect</w:t>
      </w:r>
      <w:r w:rsidR="00427468">
        <w:t xml:space="preserve"> of </w:t>
      </w:r>
      <w:r w:rsidRPr="001A3D2B">
        <w:t>penicillin prophylaxis,</w:t>
      </w:r>
      <w:r w:rsidR="005853A9">
        <w:t xml:space="preserve"> and </w:t>
      </w:r>
      <w:r w:rsidRPr="001A3D2B">
        <w:t>two showed a statistically significant effect</w:t>
      </w:r>
      <w:r w:rsidR="00A37C1D">
        <w:t>. The</w:t>
      </w:r>
      <w:r w:rsidR="003A1917">
        <w:t xml:space="preserve"> </w:t>
      </w:r>
      <w:r w:rsidRPr="001A3D2B">
        <w:t>pooled odds ratio indicated a 30-fold reduction (95% confidence interval 0.0013 to 0.17) in</w:t>
      </w:r>
      <w:r w:rsidR="003A1917">
        <w:t xml:space="preserve"> the </w:t>
      </w:r>
      <w:r w:rsidRPr="001A3D2B">
        <w:t>incidence</w:t>
      </w:r>
      <w:r w:rsidR="00427468">
        <w:t xml:space="preserve"> of </w:t>
      </w:r>
      <w:r w:rsidRPr="001A3D2B">
        <w:t>early-onset GBS infection with intrapartum penicillin prophylaxis. Subgroup analyses did not change these results</w:t>
      </w:r>
      <w:r w:rsidR="00A37C1D">
        <w:t>. The</w:t>
      </w:r>
      <w:r w:rsidR="003A1917">
        <w:t xml:space="preserve"> </w:t>
      </w:r>
      <w:r w:rsidRPr="001A3D2B">
        <w:t>magnitude</w:t>
      </w:r>
      <w:r w:rsidR="00427468">
        <w:t xml:space="preserve"> of </w:t>
      </w:r>
      <w:r w:rsidRPr="001A3D2B">
        <w:t>improvement observed did not differ between women with prenatal risk factors (premature rupture</w:t>
      </w:r>
      <w:r w:rsidR="00427468">
        <w:t xml:space="preserve"> of </w:t>
      </w:r>
      <w:r w:rsidR="003A1917">
        <w:t xml:space="preserve">the </w:t>
      </w:r>
      <w:r w:rsidRPr="001A3D2B">
        <w:t>membranes</w:t>
      </w:r>
      <w:r w:rsidR="005853A9">
        <w:t xml:space="preserve"> and </w:t>
      </w:r>
      <w:r w:rsidRPr="001A3D2B">
        <w:t>premature labour)</w:t>
      </w:r>
      <w:r w:rsidR="005853A9">
        <w:t xml:space="preserve"> and </w:t>
      </w:r>
      <w:r w:rsidRPr="001A3D2B">
        <w:t>those without these risk factors.</w:t>
      </w:r>
    </w:p>
    <w:p w:rsidR="003474F2" w:rsidRPr="001A3D2B" w:rsidRDefault="003474F2" w:rsidP="003474F2">
      <w:pPr>
        <w:pStyle w:val="a3"/>
      </w:pPr>
      <w:r w:rsidRPr="001A3D2B">
        <w:t>Conclusions: There is accumulative evidence that intrapartum penicillin prophylaxis is effective in preventing early-onset GBS infection. Such therapy is beneficial to women whose birth canals are colonized with group B streptococci. Further studies are needed to determine</w:t>
      </w:r>
      <w:r w:rsidR="003A1917">
        <w:t xml:space="preserve"> the </w:t>
      </w:r>
      <w:r w:rsidRPr="001A3D2B">
        <w:t>optimum timing</w:t>
      </w:r>
      <w:r w:rsidR="005853A9">
        <w:t xml:space="preserve"> and </w:t>
      </w:r>
      <w:r w:rsidRPr="001A3D2B">
        <w:t>method</w:t>
      </w:r>
      <w:r w:rsidR="00427468">
        <w:t xml:space="preserve"> of </w:t>
      </w:r>
      <w:r w:rsidRPr="001A3D2B">
        <w:t>detecting vaginal colonization during pregnancy.</w:t>
      </w:r>
    </w:p>
    <w:p w:rsidR="003474F2" w:rsidRPr="001A3D2B" w:rsidRDefault="003474F2" w:rsidP="003474F2">
      <w:pPr>
        <w:pStyle w:val="a3"/>
      </w:pPr>
      <w:r w:rsidRPr="001A3D2B">
        <w:t>Keywords: Controlled Trial, Disease, Chemoprophylaxis, Colonization, Sepsis, Transmission, Pregnancies, Septicemia, Newborn, Infant</w:t>
      </w:r>
    </w:p>
    <w:p w:rsidR="003474F2" w:rsidRPr="001A3D2B" w:rsidRDefault="003474F2" w:rsidP="003474F2">
      <w:pPr>
        <w:pStyle w:val="a3"/>
      </w:pPr>
      <w:r w:rsidRPr="001A3D2B">
        <w:t>Lexchin, J.</w:t>
      </w:r>
      <w:r w:rsidR="005853A9">
        <w:t xml:space="preserve"> and </w:t>
      </w:r>
      <w:r w:rsidRPr="001A3D2B">
        <w:t>Holbrook, A. (1994), Methodologic quality</w:t>
      </w:r>
      <w:r w:rsidR="005853A9">
        <w:t xml:space="preserve"> and </w:t>
      </w:r>
      <w:r w:rsidRPr="001A3D2B">
        <w:t>relevance</w:t>
      </w:r>
      <w:r w:rsidR="00427468">
        <w:t xml:space="preserve"> of </w:t>
      </w:r>
      <w:r w:rsidRPr="001A3D2B">
        <w:t xml:space="preserve">references in pharmaceutical advertisements in a </w:t>
      </w:r>
      <w:r w:rsidRPr="001A3D2B">
        <w:rPr>
          <w:i/>
          <w:iCs/>
        </w:rPr>
        <w:t>Canadian Medical Journal</w:t>
      </w:r>
      <w:r w:rsidRPr="001A3D2B">
        <w:t xml:space="preserve">. </w:t>
      </w:r>
      <w:r w:rsidRPr="001A3D2B">
        <w:rPr>
          <w:i/>
        </w:rPr>
        <w:t>Canadian Medical Association Journal</w:t>
      </w:r>
      <w:r w:rsidRPr="001A3D2B">
        <w:t xml:space="preserve">, </w:t>
      </w:r>
      <w:r w:rsidRPr="001A3D2B">
        <w:rPr>
          <w:b/>
          <w:bCs/>
        </w:rPr>
        <w:t>151</w:t>
      </w:r>
      <w:r w:rsidRPr="001A3D2B">
        <w:t xml:space="preserve"> (1), 47-54.</w:t>
      </w:r>
    </w:p>
    <w:p w:rsidR="003474F2" w:rsidRPr="001A3D2B" w:rsidRDefault="003474F2" w:rsidP="003474F2">
      <w:pPr>
        <w:pStyle w:val="a3"/>
      </w:pPr>
      <w:r w:rsidRPr="001A3D2B">
        <w:t xml:space="preserve">Full Text: </w:t>
      </w:r>
      <w:hyperlink r:id="rId84" w:history="1">
        <w:r w:rsidRPr="001A3D2B">
          <w:rPr>
            <w:rStyle w:val="a5"/>
          </w:rPr>
          <w:t>1994\Can Med Ass J151, 47.pdf</w:t>
        </w:r>
      </w:hyperlink>
    </w:p>
    <w:p w:rsidR="003474F2" w:rsidRPr="001A3D2B" w:rsidRDefault="003474F2" w:rsidP="003474F2">
      <w:pPr>
        <w:pStyle w:val="a3"/>
      </w:pPr>
      <w:r w:rsidRPr="001A3D2B">
        <w:t>Abstract: Objective: To evaluate</w:t>
      </w:r>
      <w:r w:rsidR="003A1917">
        <w:t xml:space="preserve"> the </w:t>
      </w:r>
      <w:r w:rsidRPr="001A3D2B">
        <w:t>methodologic quality</w:t>
      </w:r>
      <w:r w:rsidR="005853A9">
        <w:t xml:space="preserve"> and </w:t>
      </w:r>
      <w:r w:rsidRPr="001A3D2B">
        <w:t>relevance</w:t>
      </w:r>
      <w:r w:rsidR="00427468">
        <w:t xml:space="preserve"> of </w:t>
      </w:r>
      <w:r w:rsidRPr="001A3D2B">
        <w:t>references in pharmaceutical advertisements in</w:t>
      </w:r>
      <w:r w:rsidR="003A1917">
        <w:t xml:space="preserve"> the </w:t>
      </w:r>
      <w:r w:rsidRPr="001A3D2B">
        <w:t>Canadian Medical Association Journal (CMAJ).</w:t>
      </w:r>
    </w:p>
    <w:p w:rsidR="003474F2" w:rsidRPr="001A3D2B" w:rsidRDefault="003474F2" w:rsidP="003474F2">
      <w:pPr>
        <w:pStyle w:val="a3"/>
      </w:pPr>
      <w:r w:rsidRPr="001A3D2B">
        <w:t>Design: Analytic study.</w:t>
      </w:r>
    </w:p>
    <w:p w:rsidR="003474F2" w:rsidRPr="001A3D2B" w:rsidRDefault="003474F2" w:rsidP="003474F2">
      <w:pPr>
        <w:pStyle w:val="a3"/>
      </w:pPr>
      <w:r w:rsidRPr="001A3D2B">
        <w:t>Data source: All 114 references cited in</w:t>
      </w:r>
      <w:r w:rsidR="003A1917">
        <w:t xml:space="preserve"> the </w:t>
      </w:r>
      <w:r w:rsidRPr="001A3D2B">
        <w:t>first 22 distinct pharmaceutical advertisements in volume 146</w:t>
      </w:r>
      <w:r w:rsidR="00427468">
        <w:t xml:space="preserve"> of </w:t>
      </w:r>
      <w:r w:rsidRPr="001A3D2B">
        <w:t>CMAJ.</w:t>
      </w:r>
    </w:p>
    <w:p w:rsidR="003474F2" w:rsidRPr="001A3D2B" w:rsidRDefault="003474F2" w:rsidP="003474F2">
      <w:pPr>
        <w:pStyle w:val="a3"/>
      </w:pPr>
      <w:r w:rsidRPr="001A3D2B">
        <w:t>Main outcome measures: Mean methodologic quality score (modified from</w:t>
      </w:r>
      <w:r w:rsidR="003A1917">
        <w:t xml:space="preserve"> the </w:t>
      </w:r>
      <w:r w:rsidRPr="001A3D2B">
        <w:t>6-point scale used to assess articles in</w:t>
      </w:r>
      <w:r w:rsidR="003A1917">
        <w:t xml:space="preserve"> the </w:t>
      </w:r>
      <w:r w:rsidRPr="001A3D2B">
        <w:t>American College</w:t>
      </w:r>
      <w:r w:rsidR="00427468">
        <w:t xml:space="preserve"> of </w:t>
      </w:r>
      <w:r w:rsidRPr="001A3D2B">
        <w:t>Physicians</w:t>
      </w:r>
      <w:r w:rsidR="0071223E">
        <w:t>’</w:t>
      </w:r>
      <w:r w:rsidRPr="001A3D2B">
        <w:t xml:space="preserve"> Journal Club)</w:t>
      </w:r>
      <w:r w:rsidR="005853A9">
        <w:t xml:space="preserve"> and </w:t>
      </w:r>
      <w:r w:rsidRPr="001A3D2B">
        <w:t>mean relevance score (based on a new 5-point scale) for all references in each advertisement.</w:t>
      </w:r>
    </w:p>
    <w:p w:rsidR="003474F2" w:rsidRPr="001A3D2B" w:rsidRDefault="003474F2" w:rsidP="003474F2">
      <w:pPr>
        <w:pStyle w:val="a3"/>
      </w:pPr>
      <w:r w:rsidRPr="001A3D2B">
        <w:t>Main results: Twenty</w:t>
      </w:r>
      <w:r w:rsidR="00427468">
        <w:t xml:space="preserve"> of </w:t>
      </w:r>
      <w:r w:rsidR="003A1917">
        <w:t xml:space="preserve">the </w:t>
      </w:r>
      <w:r w:rsidRPr="001A3D2B">
        <w:t>22 companies responded, sending 78 (90%)</w:t>
      </w:r>
      <w:r w:rsidR="00427468">
        <w:t xml:space="preserve"> of </w:t>
      </w:r>
      <w:r w:rsidR="003A1917">
        <w:t xml:space="preserve">the </w:t>
      </w:r>
      <w:r w:rsidRPr="001A3D2B">
        <w:t>87 references requested</w:t>
      </w:r>
      <w:r w:rsidR="00A37C1D">
        <w:t>. The</w:t>
      </w:r>
      <w:r w:rsidR="003A1917">
        <w:t xml:space="preserve"> </w:t>
      </w:r>
      <w:r w:rsidRPr="001A3D2B">
        <w:t>mean methodologic quality score was 58% (95% confidence limits [CL] 51%</w:t>
      </w:r>
      <w:r w:rsidR="005853A9">
        <w:t xml:space="preserve"> and </w:t>
      </w:r>
      <w:r w:rsidRPr="001A3D2B">
        <w:t>65%)</w:t>
      </w:r>
      <w:r w:rsidR="005853A9">
        <w:t xml:space="preserve"> and </w:t>
      </w:r>
      <w:r w:rsidR="003A1917">
        <w:t xml:space="preserve">the </w:t>
      </w:r>
      <w:r w:rsidRPr="001A3D2B">
        <w:t>mean relevance score 76% (95% CL 72%</w:t>
      </w:r>
      <w:r w:rsidR="005853A9">
        <w:t xml:space="preserve"> and </w:t>
      </w:r>
      <w:r w:rsidRPr="001A3D2B">
        <w:t>80%)</w:t>
      </w:r>
      <w:r w:rsidR="00A37C1D">
        <w:t>. The</w:t>
      </w:r>
      <w:r w:rsidR="003A1917">
        <w:t xml:space="preserve"> </w:t>
      </w:r>
      <w:r w:rsidRPr="001A3D2B">
        <w:t>two mean scores were statistically lower than</w:t>
      </w:r>
      <w:r w:rsidR="003A1917">
        <w:t xml:space="preserve"> the </w:t>
      </w:r>
      <w:r w:rsidRPr="001A3D2B">
        <w:t>acceptable score</w:t>
      </w:r>
      <w:r w:rsidR="00427468">
        <w:t xml:space="preserve"> of </w:t>
      </w:r>
      <w:r w:rsidRPr="001A3D2B">
        <w:t>80% (p &lt; 0.05),</w:t>
      </w:r>
      <w:r w:rsidR="005853A9">
        <w:t xml:space="preserve"> and </w:t>
      </w:r>
      <w:r w:rsidR="003A1917">
        <w:t xml:space="preserve">the </w:t>
      </w:r>
      <w:r w:rsidRPr="001A3D2B">
        <w:t>methodologic quality score was outside</w:t>
      </w:r>
      <w:r w:rsidR="003A1917">
        <w:t xml:space="preserve"> the </w:t>
      </w:r>
      <w:r w:rsidRPr="001A3D2B">
        <w:t>preset clinically significant difference</w:t>
      </w:r>
      <w:r w:rsidR="00427468">
        <w:t xml:space="preserve"> of </w:t>
      </w:r>
      <w:r w:rsidRPr="001A3D2B">
        <w:t>15%</w:t>
      </w:r>
      <w:r w:rsidR="00A37C1D">
        <w:t>. The</w:t>
      </w:r>
      <w:r w:rsidR="003A1917">
        <w:t xml:space="preserve"> </w:t>
      </w:r>
      <w:r w:rsidRPr="001A3D2B">
        <w:t>poor rating for methodologic quality was primarily because</w:t>
      </w:r>
      <w:r w:rsidR="00427468">
        <w:t xml:space="preserve"> of </w:t>
      </w:r>
      <w:r w:rsidR="003A1917">
        <w:t xml:space="preserve">the </w:t>
      </w:r>
      <w:r w:rsidRPr="001A3D2B">
        <w:t>citation</w:t>
      </w:r>
      <w:r w:rsidR="00427468">
        <w:t xml:space="preserve"> of </w:t>
      </w:r>
      <w:r w:rsidRPr="001A3D2B">
        <w:t>references to low-quality review articles</w:t>
      </w:r>
      <w:r w:rsidR="005853A9">
        <w:t xml:space="preserve"> and </w:t>
      </w:r>
      <w:r w:rsidR="0071223E">
        <w:t>‘</w:t>
      </w:r>
      <w:r w:rsidRPr="001A3D2B">
        <w:t>other</w:t>
      </w:r>
      <w:r w:rsidR="0071223E">
        <w:t>’</w:t>
      </w:r>
      <w:r w:rsidRPr="001A3D2B">
        <w:t xml:space="preserve"> sources (i.e., other than reports</w:t>
      </w:r>
      <w:r w:rsidR="00427468">
        <w:t xml:space="preserve"> of </w:t>
      </w:r>
      <w:r w:rsidRPr="001A3D2B">
        <w:t>clinical trials). Half</w:t>
      </w:r>
      <w:r w:rsidR="00427468">
        <w:t xml:space="preserve"> of </w:t>
      </w:r>
      <w:r w:rsidR="003A1917">
        <w:t xml:space="preserve">the </w:t>
      </w:r>
      <w:r w:rsidRPr="001A3D2B">
        <w:t>advertisements had a methodologic quality score</w:t>
      </w:r>
      <w:r w:rsidR="00427468">
        <w:t xml:space="preserve"> of </w:t>
      </w:r>
      <w:r w:rsidRPr="001A3D2B">
        <w:t xml:space="preserve">less than 65%, but only five had a relevance </w:t>
      </w:r>
      <w:r w:rsidRPr="001A3D2B">
        <w:lastRenderedPageBreak/>
        <w:t>score</w:t>
      </w:r>
      <w:r w:rsidR="00427468">
        <w:t xml:space="preserve"> of </w:t>
      </w:r>
      <w:r w:rsidRPr="001A3D2B">
        <w:t>less than 65%.</w:t>
      </w:r>
    </w:p>
    <w:p w:rsidR="003474F2" w:rsidRPr="001A3D2B" w:rsidRDefault="003474F2" w:rsidP="003474F2">
      <w:pPr>
        <w:pStyle w:val="a3"/>
      </w:pPr>
      <w:r w:rsidRPr="001A3D2B">
        <w:t>Conclusions: Although</w:t>
      </w:r>
      <w:r w:rsidR="003A1917">
        <w:t xml:space="preserve"> the </w:t>
      </w:r>
      <w:r w:rsidRPr="001A3D2B">
        <w:t>relevance</w:t>
      </w:r>
      <w:r w:rsidR="00427468">
        <w:t xml:space="preserve"> of </w:t>
      </w:r>
      <w:r w:rsidRPr="001A3D2B">
        <w:t>most</w:t>
      </w:r>
      <w:r w:rsidR="00427468">
        <w:t xml:space="preserve"> of </w:t>
      </w:r>
      <w:r w:rsidR="003A1917">
        <w:t xml:space="preserve">the </w:t>
      </w:r>
      <w:r w:rsidRPr="001A3D2B">
        <w:t>references was within minimal acceptable limits,</w:t>
      </w:r>
      <w:r w:rsidR="003A1917">
        <w:t xml:space="preserve"> the </w:t>
      </w:r>
      <w:r w:rsidRPr="001A3D2B">
        <w:t>methodologic quality was often unacceptable. Because advertisements are an important part</w:t>
      </w:r>
      <w:r w:rsidR="00427468">
        <w:t xml:space="preserve"> of </w:t>
      </w:r>
      <w:r w:rsidRPr="001A3D2B">
        <w:t>pharmaceutical marketing</w:t>
      </w:r>
      <w:r w:rsidR="005853A9">
        <w:t xml:space="preserve"> and </w:t>
      </w:r>
      <w:r w:rsidRPr="001A3D2B">
        <w:t>education, we suggest that companies develop written standards for their advertisements</w:t>
      </w:r>
      <w:r w:rsidR="005853A9">
        <w:t xml:space="preserve"> and </w:t>
      </w:r>
      <w:r w:rsidRPr="001A3D2B">
        <w:t>monitor their advertisements for adherence to these standards. We also suggest that</w:t>
      </w:r>
      <w:r w:rsidR="003A1917">
        <w:t xml:space="preserve"> the </w:t>
      </w:r>
      <w:r w:rsidRPr="001A3D2B">
        <w:t>Pharmaceutical Advertising Advisory Board develop more stringent guidelines for advertising</w:t>
      </w:r>
      <w:r w:rsidR="005853A9">
        <w:t xml:space="preserve"> and </w:t>
      </w:r>
      <w:r w:rsidRPr="001A3D2B">
        <w:t>that it enforce these guidelines in a consistent, rigorous fashion.</w:t>
      </w:r>
    </w:p>
    <w:p w:rsidR="003474F2" w:rsidRPr="001A3D2B" w:rsidRDefault="003474F2" w:rsidP="003474F2">
      <w:pPr>
        <w:pStyle w:val="a3"/>
      </w:pPr>
      <w:r w:rsidRPr="001A3D2B">
        <w:t>Keywords: Information-Sources, Physicians, Accuracy, Preference, Promotion, Patterns, Adoption, Drugs</w:t>
      </w:r>
    </w:p>
    <w:p w:rsidR="003474F2" w:rsidRPr="001A3D2B" w:rsidRDefault="003474F2" w:rsidP="003474F2">
      <w:pPr>
        <w:pStyle w:val="a3"/>
      </w:pPr>
      <w:r w:rsidRPr="001A3D2B">
        <w:t>Levy, A.R.</w:t>
      </w:r>
      <w:r w:rsidR="005853A9">
        <w:t xml:space="preserve"> and </w:t>
      </w:r>
      <w:r w:rsidRPr="001A3D2B">
        <w:t>McGregor, M. (1995), How has extracorporeal shock-wave lithotripsy changed</w:t>
      </w:r>
      <w:r w:rsidR="003A1917">
        <w:t xml:space="preserve"> the </w:t>
      </w:r>
      <w:r w:rsidRPr="001A3D2B">
        <w:t>treatment</w:t>
      </w:r>
      <w:r w:rsidR="00427468">
        <w:t xml:space="preserve"> of </w:t>
      </w:r>
      <w:r w:rsidRPr="001A3D2B">
        <w:t xml:space="preserve">urinary stones in </w:t>
      </w:r>
      <w:smartTag w:uri="urn:schemas-microsoft-com:office:smarttags" w:element="place">
        <w:smartTag w:uri="urn:schemas-microsoft-com:office:smarttags" w:element="State">
          <w:r w:rsidRPr="001A3D2B">
            <w:t>Quebec</w:t>
          </w:r>
        </w:smartTag>
      </w:smartTag>
      <w:r w:rsidRPr="001A3D2B">
        <w:t xml:space="preserve">? </w:t>
      </w:r>
      <w:r w:rsidRPr="001A3D2B">
        <w:rPr>
          <w:i/>
        </w:rPr>
        <w:t>Canadian Medical Association Journal</w:t>
      </w:r>
      <w:r w:rsidRPr="001A3D2B">
        <w:t xml:space="preserve">, </w:t>
      </w:r>
      <w:r w:rsidRPr="001A3D2B">
        <w:rPr>
          <w:b/>
          <w:bCs/>
        </w:rPr>
        <w:t>153</w:t>
      </w:r>
      <w:r w:rsidRPr="001A3D2B">
        <w:t xml:space="preserve"> (12), 1729-1736.</w:t>
      </w:r>
    </w:p>
    <w:p w:rsidR="003474F2" w:rsidRPr="001A3D2B" w:rsidRDefault="003474F2" w:rsidP="003474F2">
      <w:pPr>
        <w:pStyle w:val="a3"/>
      </w:pPr>
      <w:r w:rsidRPr="001A3D2B">
        <w:t xml:space="preserve">Full Text: </w:t>
      </w:r>
      <w:hyperlink r:id="rId85" w:history="1">
        <w:r w:rsidRPr="001A3D2B">
          <w:rPr>
            <w:rStyle w:val="a5"/>
          </w:rPr>
          <w:t>1995\Can Med Ass J153, 1729.pdf</w:t>
        </w:r>
      </w:hyperlink>
    </w:p>
    <w:p w:rsidR="003474F2" w:rsidRPr="001A3D2B" w:rsidRDefault="003474F2" w:rsidP="003474F2">
      <w:pPr>
        <w:pStyle w:val="a3"/>
      </w:pPr>
      <w:r w:rsidRPr="001A3D2B">
        <w:t>Abstract: Objectives: To determine</w:t>
      </w:r>
      <w:r w:rsidR="003A1917">
        <w:t xml:space="preserve"> the </w:t>
      </w:r>
      <w:r w:rsidRPr="001A3D2B">
        <w:t>number</w:t>
      </w:r>
      <w:r w:rsidR="00427468">
        <w:t xml:space="preserve"> of </w:t>
      </w:r>
      <w:r w:rsidRPr="001A3D2B">
        <w:t>people who underwent treatment</w:t>
      </w:r>
      <w:r w:rsidR="00427468">
        <w:t xml:space="preserve"> of </w:t>
      </w:r>
      <w:r w:rsidRPr="001A3D2B">
        <w:t xml:space="preserve">urinary stones in </w:t>
      </w:r>
      <w:smartTag w:uri="urn:schemas-microsoft-com:office:smarttags" w:element="place">
        <w:smartTag w:uri="urn:schemas-microsoft-com:office:smarttags" w:element="State">
          <w:r w:rsidRPr="001A3D2B">
            <w:t>Quebec</w:t>
          </w:r>
        </w:smartTag>
      </w:smartTag>
      <w:r w:rsidRPr="001A3D2B">
        <w:t xml:space="preserve"> before</w:t>
      </w:r>
      <w:r w:rsidR="005853A9">
        <w:t xml:space="preserve"> and </w:t>
      </w:r>
      <w:r w:rsidRPr="001A3D2B">
        <w:t>after</w:t>
      </w:r>
      <w:r w:rsidR="003A1917">
        <w:t xml:space="preserve"> the </w:t>
      </w:r>
      <w:r w:rsidRPr="001A3D2B">
        <w:t>introduction</w:t>
      </w:r>
      <w:r w:rsidR="00427468">
        <w:t xml:space="preserve"> of </w:t>
      </w:r>
      <w:r w:rsidRPr="001A3D2B">
        <w:t>extracorporeal shock-wave lithotripsy (ESWL)</w:t>
      </w:r>
      <w:r w:rsidR="005853A9">
        <w:t xml:space="preserve"> and </w:t>
      </w:r>
      <w:r w:rsidRPr="001A3D2B">
        <w:t>to determine how</w:t>
      </w:r>
      <w:r w:rsidR="003A1917">
        <w:t xml:space="preserve"> the </w:t>
      </w:r>
      <w:r w:rsidRPr="001A3D2B">
        <w:t>introduction</w:t>
      </w:r>
      <w:r w:rsidR="00427468">
        <w:t xml:space="preserve"> of </w:t>
      </w:r>
      <w:r w:rsidRPr="001A3D2B">
        <w:t>ESWL influenced resource utilization.</w:t>
      </w:r>
    </w:p>
    <w:p w:rsidR="003474F2" w:rsidRPr="001A3D2B" w:rsidRDefault="003474F2" w:rsidP="003474F2">
      <w:pPr>
        <w:pStyle w:val="a3"/>
      </w:pPr>
      <w:r w:rsidRPr="001A3D2B">
        <w:t>Design: Before-after study; data were obtained from administrative databases</w:t>
      </w:r>
      <w:r w:rsidR="005853A9">
        <w:t xml:space="preserve"> and </w:t>
      </w:r>
      <w:r w:rsidRPr="001A3D2B">
        <w:t>hospital-based cost estimates.</w:t>
      </w:r>
    </w:p>
    <w:p w:rsidR="003474F2" w:rsidRPr="001A3D2B" w:rsidRDefault="003474F2" w:rsidP="003474F2">
      <w:pPr>
        <w:pStyle w:val="a3"/>
      </w:pPr>
      <w:r w:rsidRPr="001A3D2B">
        <w:t>Setting:</w:t>
      </w:r>
      <w:r w:rsidR="003A1917">
        <w:t xml:space="preserve"> the </w:t>
      </w:r>
      <w:r w:rsidRPr="001A3D2B">
        <w:t xml:space="preserve">68 acute care hospitals in </w:t>
      </w:r>
      <w:smartTag w:uri="urn:schemas-microsoft-com:office:smarttags" w:element="place">
        <w:smartTag w:uri="urn:schemas-microsoft-com:office:smarttags" w:element="State">
          <w:r w:rsidRPr="001A3D2B">
            <w:t>Quebec</w:t>
          </w:r>
        </w:smartTag>
      </w:smartTag>
      <w:r w:rsidRPr="001A3D2B">
        <w:t xml:space="preserve"> in which treatment</w:t>
      </w:r>
      <w:r w:rsidR="00427468">
        <w:t xml:space="preserve"> of </w:t>
      </w:r>
      <w:r w:rsidRPr="001A3D2B">
        <w:t>urinary stones is undertaken.</w:t>
      </w:r>
    </w:p>
    <w:p w:rsidR="003474F2" w:rsidRPr="001A3D2B" w:rsidRDefault="003474F2" w:rsidP="003474F2">
      <w:pPr>
        <w:pStyle w:val="a3"/>
      </w:pPr>
      <w:r w:rsidRPr="001A3D2B">
        <w:t xml:space="preserve">Patients: </w:t>
      </w:r>
      <w:smartTag w:uri="urn:schemas-microsoft-com:office:smarttags" w:element="place">
        <w:smartTag w:uri="urn:schemas-microsoft-com:office:smarttags" w:element="State">
          <w:r w:rsidRPr="001A3D2B">
            <w:t>Quebec</w:t>
          </w:r>
        </w:smartTag>
      </w:smartTag>
      <w:r w:rsidRPr="001A3D2B">
        <w:t xml:space="preserve"> residents admitted to hospital for treatment</w:t>
      </w:r>
      <w:r w:rsidR="00427468">
        <w:t xml:space="preserve"> of </w:t>
      </w:r>
      <w:r w:rsidRPr="001A3D2B">
        <w:t>urinary stones between</w:t>
      </w:r>
      <w:r w:rsidR="003A1917">
        <w:t xml:space="preserve"> the </w:t>
      </w:r>
      <w:r w:rsidRPr="001A3D2B">
        <w:t>fiscal years 1984</w:t>
      </w:r>
      <w:r w:rsidR="005853A9">
        <w:t xml:space="preserve"> and </w:t>
      </w:r>
      <w:r w:rsidRPr="001A3D2B">
        <w:t>1992.</w:t>
      </w:r>
    </w:p>
    <w:p w:rsidR="003474F2" w:rsidRPr="001A3D2B" w:rsidRDefault="003474F2" w:rsidP="003474F2">
      <w:pPr>
        <w:pStyle w:val="a3"/>
      </w:pPr>
      <w:r w:rsidRPr="001A3D2B">
        <w:t>Outcome measures: Number</w:t>
      </w:r>
      <w:r w:rsidR="00427468">
        <w:t xml:space="preserve"> of </w:t>
      </w:r>
      <w:r w:rsidRPr="001A3D2B">
        <w:t>people treated for urinary stones per year, total number</w:t>
      </w:r>
      <w:r w:rsidR="00427468">
        <w:t xml:space="preserve"> of </w:t>
      </w:r>
      <w:r w:rsidRPr="001A3D2B">
        <w:t>procedures per year (including open surgery, percutaneous procedures, retrograde procedures</w:t>
      </w:r>
      <w:r w:rsidR="005853A9">
        <w:t xml:space="preserve"> and </w:t>
      </w:r>
      <w:r w:rsidRPr="001A3D2B">
        <w:t>ESWL),</w:t>
      </w:r>
      <w:r w:rsidR="005853A9">
        <w:t xml:space="preserve"> and </w:t>
      </w:r>
      <w:r w:rsidRPr="001A3D2B">
        <w:t>annual resources (including number</w:t>
      </w:r>
      <w:r w:rsidR="00427468">
        <w:t xml:space="preserve"> of </w:t>
      </w:r>
      <w:r w:rsidRPr="001A3D2B">
        <w:t>hospital bed-days</w:t>
      </w:r>
      <w:r w:rsidR="005853A9">
        <w:t xml:space="preserve"> and </w:t>
      </w:r>
      <w:r w:rsidRPr="001A3D2B">
        <w:t>direct costs) for treatment</w:t>
      </w:r>
      <w:r w:rsidR="00427468">
        <w:t xml:space="preserve"> of </w:t>
      </w:r>
      <w:r w:rsidRPr="001A3D2B">
        <w:t>urinary stones used overall</w:t>
      </w:r>
      <w:r w:rsidR="005853A9">
        <w:t xml:space="preserve"> and </w:t>
      </w:r>
      <w:r w:rsidRPr="001A3D2B">
        <w:t>in hospitals with</w:t>
      </w:r>
      <w:r w:rsidR="005853A9">
        <w:t xml:space="preserve"> and </w:t>
      </w:r>
      <w:r w:rsidRPr="001A3D2B">
        <w:t>without ESWL services.</w:t>
      </w:r>
    </w:p>
    <w:p w:rsidR="003474F2" w:rsidRPr="001A3D2B" w:rsidRDefault="003474F2" w:rsidP="003474F2">
      <w:pPr>
        <w:pStyle w:val="a3"/>
      </w:pPr>
      <w:r w:rsidRPr="001A3D2B">
        <w:t>Results: Over</w:t>
      </w:r>
      <w:r w:rsidR="003A1917">
        <w:t xml:space="preserve"> the </w:t>
      </w:r>
      <w:r w:rsidRPr="001A3D2B">
        <w:t>study period</w:t>
      </w:r>
      <w:r w:rsidR="003A1917">
        <w:t xml:space="preserve"> the </w:t>
      </w:r>
      <w:r w:rsidRPr="001A3D2B">
        <w:t>number</w:t>
      </w:r>
      <w:r w:rsidR="00427468">
        <w:t xml:space="preserve"> of </w:t>
      </w:r>
      <w:r w:rsidRPr="001A3D2B">
        <w:t>people treated for urinary stones increased by 59%. As well,</w:t>
      </w:r>
      <w:r w:rsidR="003A1917">
        <w:t xml:space="preserve"> the </w:t>
      </w:r>
      <w:r w:rsidRPr="001A3D2B">
        <w:t>combined frequency</w:t>
      </w:r>
      <w:r w:rsidR="00427468">
        <w:t xml:space="preserve"> of </w:t>
      </w:r>
      <w:r w:rsidRPr="001A3D2B">
        <w:t>ESWL</w:t>
      </w:r>
      <w:r w:rsidR="005853A9">
        <w:t xml:space="preserve"> and </w:t>
      </w:r>
      <w:r w:rsidRPr="001A3D2B">
        <w:t>surgery (the two main treatment methods) increased by 107%</w:t>
      </w:r>
      <w:r w:rsidR="00A37C1D">
        <w:t>. The</w:t>
      </w:r>
      <w:r w:rsidRPr="001A3D2B">
        <w:t>se increases were largely due to rates</w:t>
      </w:r>
      <w:r w:rsidR="00427468">
        <w:t xml:space="preserve"> of </w:t>
      </w:r>
      <w:r w:rsidRPr="001A3D2B">
        <w:t>treatment that grew by 52% among women</w:t>
      </w:r>
      <w:r w:rsidR="005853A9">
        <w:t xml:space="preserve"> and </w:t>
      </w:r>
      <w:r w:rsidRPr="001A3D2B">
        <w:t>by 34% among men</w:t>
      </w:r>
      <w:r w:rsidR="00A37C1D">
        <w:t>. The</w:t>
      </w:r>
      <w:r w:rsidR="003A1917">
        <w:t xml:space="preserve"> </w:t>
      </w:r>
      <w:r w:rsidRPr="001A3D2B">
        <w:t>total number</w:t>
      </w:r>
      <w:r w:rsidR="00427468">
        <w:t xml:space="preserve"> of </w:t>
      </w:r>
      <w:r w:rsidRPr="001A3D2B">
        <w:t>hospital bed-days decreased by 28%, which reflected shorter hospital stays for ESWL. However, despite this decrease,</w:t>
      </w:r>
      <w:r w:rsidR="003A1917">
        <w:t xml:space="preserve"> the </w:t>
      </w:r>
      <w:r w:rsidRPr="001A3D2B">
        <w:t>total direct annual costs were 7% higher in 1992 than in 1984 because</w:t>
      </w:r>
      <w:r w:rsidR="00427468">
        <w:t xml:space="preserve"> of </w:t>
      </w:r>
      <w:r w:rsidR="003A1917">
        <w:t xml:space="preserve">the </w:t>
      </w:r>
      <w:r w:rsidRPr="001A3D2B">
        <w:t>increased numbers</w:t>
      </w:r>
      <w:r w:rsidR="00427468">
        <w:t xml:space="preserve"> of </w:t>
      </w:r>
      <w:r w:rsidRPr="001A3D2B">
        <w:t>people treated</w:t>
      </w:r>
      <w:r w:rsidR="005853A9">
        <w:t xml:space="preserve"> and </w:t>
      </w:r>
      <w:r w:rsidRPr="001A3D2B">
        <w:t>procedures performed. In</w:t>
      </w:r>
      <w:r w:rsidR="003A1917">
        <w:t xml:space="preserve"> the </w:t>
      </w:r>
      <w:r w:rsidRPr="001A3D2B">
        <w:t>three hospitals that offered ESWL</w:t>
      </w:r>
      <w:r w:rsidR="003A1917">
        <w:t xml:space="preserve"> the </w:t>
      </w:r>
      <w:r w:rsidRPr="001A3D2B">
        <w:t>number</w:t>
      </w:r>
      <w:r w:rsidR="00427468">
        <w:t xml:space="preserve"> of </w:t>
      </w:r>
      <w:r w:rsidRPr="001A3D2B">
        <w:t>hospital bed-days</w:t>
      </w:r>
      <w:r w:rsidR="005853A9">
        <w:t xml:space="preserve"> and </w:t>
      </w:r>
      <w:r w:rsidR="003A1917">
        <w:t xml:space="preserve">the </w:t>
      </w:r>
      <w:r w:rsidRPr="001A3D2B">
        <w:t>direct costs</w:t>
      </w:r>
      <w:r w:rsidR="00427468">
        <w:t xml:space="preserve"> of </w:t>
      </w:r>
      <w:r w:rsidRPr="001A3D2B">
        <w:t>treating urinary stones increased by 49%</w:t>
      </w:r>
      <w:r w:rsidR="005853A9">
        <w:t xml:space="preserve"> and </w:t>
      </w:r>
      <w:r w:rsidRPr="001A3D2B">
        <w:t>$2.5 million respectively. In</w:t>
      </w:r>
      <w:r w:rsidR="003A1917">
        <w:t xml:space="preserve"> the </w:t>
      </w:r>
      <w:r w:rsidRPr="001A3D2B">
        <w:t xml:space="preserve">65 other hospitals these figures decreased by </w:t>
      </w:r>
      <w:r w:rsidRPr="001A3D2B">
        <w:lastRenderedPageBreak/>
        <w:t>41%</w:t>
      </w:r>
      <w:r w:rsidR="005853A9">
        <w:t xml:space="preserve"> and </w:t>
      </w:r>
      <w:r w:rsidRPr="001A3D2B">
        <w:t>about $2.9 million respectively.</w:t>
      </w:r>
    </w:p>
    <w:p w:rsidR="003474F2" w:rsidRPr="001A3D2B" w:rsidRDefault="003474F2" w:rsidP="003474F2">
      <w:pPr>
        <w:pStyle w:val="a3"/>
      </w:pPr>
      <w:r w:rsidRPr="001A3D2B">
        <w:t>Conclusions: Because</w:t>
      </w:r>
      <w:r w:rsidR="00427468">
        <w:t xml:space="preserve"> of </w:t>
      </w:r>
      <w:r w:rsidRPr="001A3D2B">
        <w:t>increased intervention rates</w:t>
      </w:r>
      <w:r w:rsidR="003A1917">
        <w:t xml:space="preserve"> the </w:t>
      </w:r>
      <w:r w:rsidRPr="001A3D2B">
        <w:t>total cost</w:t>
      </w:r>
      <w:r w:rsidR="00427468">
        <w:t xml:space="preserve"> of </w:t>
      </w:r>
      <w:r w:rsidRPr="001A3D2B">
        <w:t>treating urinary stones has risen since</w:t>
      </w:r>
      <w:r w:rsidR="003A1917">
        <w:t xml:space="preserve"> the </w:t>
      </w:r>
      <w:r w:rsidRPr="001A3D2B">
        <w:t>introduction</w:t>
      </w:r>
      <w:r w:rsidR="00427468">
        <w:t xml:space="preserve"> of </w:t>
      </w:r>
      <w:r w:rsidRPr="001A3D2B">
        <w:t>ESWL</w:t>
      </w:r>
      <w:r w:rsidR="00A37C1D">
        <w:t>. The</w:t>
      </w:r>
      <w:r w:rsidR="003A1917">
        <w:t xml:space="preserve"> </w:t>
      </w:r>
      <w:r w:rsidRPr="001A3D2B">
        <w:t>introduction</w:t>
      </w:r>
      <w:r w:rsidR="00427468">
        <w:t xml:space="preserve"> of </w:t>
      </w:r>
      <w:r w:rsidRPr="001A3D2B">
        <w:t>ESWL has also been associated with a shift in</w:t>
      </w:r>
      <w:r w:rsidR="003A1917">
        <w:t xml:space="preserve"> the </w:t>
      </w:r>
      <w:r w:rsidRPr="001A3D2B">
        <w:t>use</w:t>
      </w:r>
      <w:r w:rsidR="00427468">
        <w:t xml:space="preserve"> of </w:t>
      </w:r>
      <w:r w:rsidRPr="001A3D2B">
        <w:t>resources for treating urinary stones to hospitals with a lithotriptor</w:t>
      </w:r>
      <w:r w:rsidR="00A37C1D">
        <w:t>. The</w:t>
      </w:r>
      <w:r w:rsidR="003A1917">
        <w:t xml:space="preserve"> </w:t>
      </w:r>
      <w:r w:rsidRPr="001A3D2B">
        <w:t>reasons for</w:t>
      </w:r>
      <w:r w:rsidR="003A1917">
        <w:t xml:space="preserve"> the </w:t>
      </w:r>
      <w:r w:rsidRPr="001A3D2B">
        <w:t>increased intervention rates are unknown. However, given</w:t>
      </w:r>
      <w:r w:rsidR="003A1917">
        <w:t xml:space="preserve"> the </w:t>
      </w:r>
      <w:r w:rsidRPr="001A3D2B">
        <w:t>possibility</w:t>
      </w:r>
      <w:r w:rsidR="00427468">
        <w:t xml:space="preserve"> of </w:t>
      </w:r>
      <w:r w:rsidRPr="001A3D2B">
        <w:t>negative health effects</w:t>
      </w:r>
      <w:r w:rsidR="005853A9">
        <w:t xml:space="preserve"> and </w:t>
      </w:r>
      <w:r w:rsidR="003A1917">
        <w:t xml:space="preserve">the </w:t>
      </w:r>
      <w:r w:rsidRPr="001A3D2B">
        <w:t>increased costs, studies to determine whether</w:t>
      </w:r>
      <w:r w:rsidR="003A1917">
        <w:t xml:space="preserve"> the </w:t>
      </w:r>
      <w:r w:rsidRPr="001A3D2B">
        <w:t>increased rates improve health outcomes are warranted.</w:t>
      </w:r>
    </w:p>
    <w:p w:rsidR="003474F2" w:rsidRPr="001A3D2B" w:rsidRDefault="003474F2" w:rsidP="003474F2">
      <w:pPr>
        <w:pStyle w:val="a3"/>
      </w:pPr>
      <w:r w:rsidRPr="001A3D2B">
        <w:t>Keywords: Percutaneous Nephrolithotomy, Cost-Effectiveness, Urolithiasis, Experience, Calculi</w:t>
      </w:r>
    </w:p>
    <w:p w:rsidR="003474F2" w:rsidRPr="001A3D2B" w:rsidRDefault="003474F2" w:rsidP="003474F2">
      <w:pPr>
        <w:pStyle w:val="a3"/>
      </w:pPr>
      <w:r w:rsidRPr="001A3D2B">
        <w:t>Goel, V. (1995), Necromancing</w:t>
      </w:r>
      <w:r w:rsidR="003A1917">
        <w:t xml:space="preserve"> the </w:t>
      </w:r>
      <w:r w:rsidRPr="001A3D2B">
        <w:t xml:space="preserve">stones. </w:t>
      </w:r>
      <w:r w:rsidRPr="001A3D2B">
        <w:rPr>
          <w:i/>
        </w:rPr>
        <w:t>Canadian Medical Association Journal</w:t>
      </w:r>
      <w:r w:rsidRPr="001A3D2B">
        <w:t xml:space="preserve">, </w:t>
      </w:r>
      <w:r w:rsidRPr="001A3D2B">
        <w:rPr>
          <w:b/>
          <w:bCs/>
        </w:rPr>
        <w:t>153</w:t>
      </w:r>
      <w:r w:rsidRPr="001A3D2B">
        <w:t xml:space="preserve"> (12), 1739-1741.</w:t>
      </w:r>
    </w:p>
    <w:p w:rsidR="003474F2" w:rsidRPr="001A3D2B" w:rsidRDefault="003474F2" w:rsidP="003474F2">
      <w:pPr>
        <w:pStyle w:val="a3"/>
      </w:pPr>
      <w:r w:rsidRPr="001A3D2B">
        <w:t xml:space="preserve">Full Text: </w:t>
      </w:r>
      <w:hyperlink r:id="rId86" w:history="1">
        <w:r w:rsidRPr="001A3D2B">
          <w:rPr>
            <w:rStyle w:val="a5"/>
          </w:rPr>
          <w:t>1995\Can Med Ass J153, 1739.pdf</w:t>
        </w:r>
      </w:hyperlink>
    </w:p>
    <w:p w:rsidR="003474F2" w:rsidRPr="001A3D2B" w:rsidRDefault="003474F2" w:rsidP="003474F2">
      <w:pPr>
        <w:pStyle w:val="a3"/>
      </w:pPr>
      <w:r w:rsidRPr="001A3D2B">
        <w:t>Abstract: Since its introduction 15 years ago extracorporeal shock-wave lithotripsy (ESWL) has become a standard treatment for urinary stones</w:t>
      </w:r>
      <w:r w:rsidR="00A37C1D">
        <w:t>. The</w:t>
      </w:r>
      <w:r w:rsidR="003A1917">
        <w:t xml:space="preserve"> </w:t>
      </w:r>
      <w:r w:rsidRPr="001A3D2B">
        <w:t>author comments on</w:t>
      </w:r>
      <w:r w:rsidR="003A1917">
        <w:t xml:space="preserve"> the </w:t>
      </w:r>
      <w:r w:rsidRPr="001A3D2B">
        <w:t>results</w:t>
      </w:r>
      <w:r w:rsidR="00427468">
        <w:t xml:space="preserve"> of </w:t>
      </w:r>
      <w:r w:rsidRPr="001A3D2B">
        <w:t>Adrian R. Levy</w:t>
      </w:r>
      <w:r w:rsidR="005853A9">
        <w:t xml:space="preserve"> and </w:t>
      </w:r>
      <w:r w:rsidRPr="001A3D2B">
        <w:t>Maurice McGregor</w:t>
      </w:r>
      <w:r w:rsidR="0071223E">
        <w:t>’</w:t>
      </w:r>
      <w:r w:rsidR="00C13DDC">
        <w:t>s</w:t>
      </w:r>
      <w:r w:rsidRPr="001A3D2B">
        <w:t xml:space="preserve"> study</w:t>
      </w:r>
      <w:r w:rsidR="00427468">
        <w:t xml:space="preserve"> of </w:t>
      </w:r>
      <w:r w:rsidR="003A1917">
        <w:t xml:space="preserve">the </w:t>
      </w:r>
      <w:r w:rsidRPr="001A3D2B">
        <w:t>use</w:t>
      </w:r>
      <w:r w:rsidR="00427468">
        <w:t xml:space="preserve"> of </w:t>
      </w:r>
      <w:r w:rsidRPr="001A3D2B">
        <w:t xml:space="preserve">ESWL for urinary stones in </w:t>
      </w:r>
      <w:smartTag w:uri="urn:schemas-microsoft-com:office:smarttags" w:element="place">
        <w:smartTag w:uri="urn:schemas-microsoft-com:office:smarttags" w:element="State">
          <w:r w:rsidRPr="001A3D2B">
            <w:t>Quebec</w:t>
          </w:r>
        </w:smartTag>
      </w:smartTag>
      <w:r w:rsidRPr="001A3D2B">
        <w:t xml:space="preserve"> (see pages 1720 to 1736</w:t>
      </w:r>
      <w:r w:rsidR="00427468">
        <w:t xml:space="preserve"> of </w:t>
      </w:r>
      <w:r w:rsidRPr="001A3D2B">
        <w:t>this issue)</w:t>
      </w:r>
      <w:r w:rsidR="00A37C1D">
        <w:t>. The</w:t>
      </w:r>
      <w:r w:rsidR="003A1917">
        <w:t xml:space="preserve"> </w:t>
      </w:r>
      <w:r w:rsidRPr="001A3D2B">
        <w:t>rapid increase in</w:t>
      </w:r>
      <w:r w:rsidR="003A1917">
        <w:t xml:space="preserve"> the </w:t>
      </w:r>
      <w:r w:rsidRPr="001A3D2B">
        <w:t>use</w:t>
      </w:r>
      <w:r w:rsidR="00427468">
        <w:t xml:space="preserve"> of </w:t>
      </w:r>
      <w:r w:rsidRPr="001A3D2B">
        <w:t>ESWL that occurred in</w:t>
      </w:r>
      <w:r w:rsidR="003A1917">
        <w:t xml:space="preserve"> the </w:t>
      </w:r>
      <w:r w:rsidRPr="001A3D2B">
        <w:t>first 2 years</w:t>
      </w:r>
      <w:r w:rsidR="00427468">
        <w:t xml:space="preserve"> of </w:t>
      </w:r>
      <w:r w:rsidR="003A1917">
        <w:t xml:space="preserve">the </w:t>
      </w:r>
      <w:r w:rsidRPr="001A3D2B">
        <w:t>study points to</w:t>
      </w:r>
      <w:r w:rsidR="003A1917">
        <w:t xml:space="preserve"> the </w:t>
      </w:r>
      <w:r w:rsidRPr="001A3D2B">
        <w:t>fact that</w:t>
      </w:r>
      <w:r w:rsidR="003A1917">
        <w:t xml:space="preserve"> the </w:t>
      </w:r>
      <w:r w:rsidRPr="001A3D2B">
        <w:t>application</w:t>
      </w:r>
      <w:r w:rsidR="00427468">
        <w:t xml:space="preserve"> of </w:t>
      </w:r>
      <w:r w:rsidRPr="001A3D2B">
        <w:t>a new technology is often quickly expanded before thorough assessments</w:t>
      </w:r>
      <w:r w:rsidR="00427468">
        <w:t xml:space="preserve"> of </w:t>
      </w:r>
      <w:r w:rsidRPr="001A3D2B">
        <w:t>effectiveness</w:t>
      </w:r>
      <w:r w:rsidR="005853A9">
        <w:t xml:space="preserve"> and </w:t>
      </w:r>
      <w:r w:rsidRPr="001A3D2B">
        <w:t>safety have been carried out. New technologies also lead to shifts in cost distribution that must be considered in cost analyses</w:t>
      </w:r>
      <w:r w:rsidR="00A37C1D">
        <w:t>. The</w:t>
      </w:r>
      <w:r w:rsidR="003A1917">
        <w:t xml:space="preserve"> </w:t>
      </w:r>
      <w:r w:rsidRPr="001A3D2B">
        <w:t>author argues that continuing research is needed to document</w:t>
      </w:r>
      <w:r w:rsidR="003A1917">
        <w:t xml:space="preserve"> the </w:t>
      </w:r>
      <w:r w:rsidRPr="001A3D2B">
        <w:t>dissemination</w:t>
      </w:r>
      <w:r w:rsidR="00427468">
        <w:t xml:space="preserve"> of </w:t>
      </w:r>
      <w:r w:rsidRPr="001A3D2B">
        <w:t>new technologies</w:t>
      </w:r>
      <w:r w:rsidR="005853A9">
        <w:t xml:space="preserve"> and </w:t>
      </w:r>
      <w:r w:rsidRPr="001A3D2B">
        <w:t>points to methodologic concerns that should be addressed to make such research as fruitful as possible.</w:t>
      </w:r>
    </w:p>
    <w:p w:rsidR="003474F2" w:rsidRPr="001A3D2B" w:rsidRDefault="003474F2" w:rsidP="003474F2">
      <w:pPr>
        <w:pStyle w:val="a3"/>
      </w:pPr>
      <w:r w:rsidRPr="001A3D2B">
        <w:t>Keywords: Shock-Wave Lithotripsy, Kidney-Stones</w:t>
      </w:r>
    </w:p>
    <w:p w:rsidR="003474F2" w:rsidRPr="001A3D2B" w:rsidRDefault="003474F2" w:rsidP="003474F2">
      <w:pPr>
        <w:pStyle w:val="a3"/>
      </w:pPr>
      <w:r w:rsidRPr="001A3D2B">
        <w:t>Marshall, K.G. (1996), Prevention. How much harm? How much benefit? 2. Ten potential pitfalls in determining</w:t>
      </w:r>
      <w:r w:rsidR="003A1917">
        <w:t xml:space="preserve"> the </w:t>
      </w:r>
      <w:r w:rsidRPr="001A3D2B">
        <w:t>clinical significance</w:t>
      </w:r>
      <w:r w:rsidR="00427468">
        <w:t xml:space="preserve"> of </w:t>
      </w:r>
      <w:r w:rsidRPr="001A3D2B">
        <w:t xml:space="preserve">benefits. </w:t>
      </w:r>
      <w:r w:rsidRPr="001A3D2B">
        <w:rPr>
          <w:i/>
        </w:rPr>
        <w:t>Canadian Medical Association Journal</w:t>
      </w:r>
      <w:r w:rsidRPr="001A3D2B">
        <w:t xml:space="preserve">, </w:t>
      </w:r>
      <w:r w:rsidRPr="001A3D2B">
        <w:rPr>
          <w:b/>
        </w:rPr>
        <w:t>154</w:t>
      </w:r>
      <w:r w:rsidRPr="001A3D2B">
        <w:t xml:space="preserve"> (12), 1837-1843.</w:t>
      </w:r>
    </w:p>
    <w:p w:rsidR="003474F2" w:rsidRPr="001A3D2B" w:rsidRDefault="003474F2" w:rsidP="003474F2">
      <w:pPr>
        <w:pStyle w:val="a3"/>
      </w:pPr>
      <w:r w:rsidRPr="001A3D2B">
        <w:t xml:space="preserve">Full Text: </w:t>
      </w:r>
      <w:hyperlink r:id="rId87" w:history="1">
        <w:r w:rsidRPr="001A3D2B">
          <w:rPr>
            <w:rStyle w:val="a5"/>
          </w:rPr>
          <w:t>1996\Can Med Ass J154, 1837.pdf</w:t>
        </w:r>
      </w:hyperlink>
    </w:p>
    <w:p w:rsidR="003474F2" w:rsidRPr="001A3D2B" w:rsidRDefault="003474F2" w:rsidP="003474F2">
      <w:pPr>
        <w:pStyle w:val="a3"/>
      </w:pPr>
      <w:r w:rsidRPr="001A3D2B">
        <w:t>Abstract: A preventive program is only</w:t>
      </w:r>
      <w:r w:rsidR="00427468">
        <w:t xml:space="preserve"> of </w:t>
      </w:r>
      <w:r w:rsidRPr="001A3D2B">
        <w:t>value if it has proven benefits that outweigh any adverse consequences, unfortunately, determination</w:t>
      </w:r>
      <w:r w:rsidR="00427468">
        <w:t xml:space="preserve"> of </w:t>
      </w:r>
      <w:r w:rsidR="003A1917">
        <w:t xml:space="preserve">the </w:t>
      </w:r>
      <w:r w:rsidRPr="001A3D2B">
        <w:t>clinical significance</w:t>
      </w:r>
      <w:r w:rsidR="00427468">
        <w:t xml:space="preserve"> of </w:t>
      </w:r>
      <w:r w:rsidRPr="001A3D2B">
        <w:t>reported benefits is not always easy</w:t>
      </w:r>
      <w:r w:rsidR="00A37C1D">
        <w:t>. The</w:t>
      </w:r>
      <w:r w:rsidR="003A1917">
        <w:t xml:space="preserve"> </w:t>
      </w:r>
      <w:r w:rsidRPr="001A3D2B">
        <w:t>first article</w:t>
      </w:r>
      <w:r w:rsidR="00427468">
        <w:t xml:space="preserve"> of </w:t>
      </w:r>
      <w:r w:rsidRPr="001A3D2B">
        <w:t>this series discussed</w:t>
      </w:r>
      <w:r w:rsidR="003A1917">
        <w:t xml:space="preserve"> the </w:t>
      </w:r>
      <w:r w:rsidRPr="001A3D2B">
        <w:t>confusion caused by reporting results in terms</w:t>
      </w:r>
      <w:r w:rsidR="00427468">
        <w:t xml:space="preserve"> of </w:t>
      </w:r>
      <w:r w:rsidRPr="001A3D2B">
        <w:t>relative rates. In this article, 10 other pitfalls that may lead to misunderstanding</w:t>
      </w:r>
      <w:r w:rsidR="00427468">
        <w:t xml:space="preserve"> of </w:t>
      </w:r>
      <w:r w:rsidR="003A1917">
        <w:t xml:space="preserve">the </w:t>
      </w:r>
      <w:r w:rsidRPr="001A3D2B">
        <w:t>degree</w:t>
      </w:r>
      <w:r w:rsidR="00427468">
        <w:t xml:space="preserve"> of </w:t>
      </w:r>
      <w:r w:rsidRPr="001A3D2B">
        <w:t>benefits are reviewed</w:t>
      </w:r>
      <w:r w:rsidR="00A37C1D">
        <w:t>. The</w:t>
      </w:r>
      <w:r w:rsidRPr="001A3D2B">
        <w:t>se pitfalls are:</w:t>
      </w:r>
      <w:r w:rsidR="003A1917">
        <w:t xml:space="preserve"> the </w:t>
      </w:r>
      <w:r w:rsidRPr="001A3D2B">
        <w:t>type</w:t>
      </w:r>
      <w:r w:rsidR="00427468">
        <w:t xml:space="preserve"> of </w:t>
      </w:r>
      <w:r w:rsidRPr="001A3D2B">
        <w:t>outcome chosen (surrogate v. clinically significant</w:t>
      </w:r>
      <w:r w:rsidR="00F42EAC">
        <w:t>), The</w:t>
      </w:r>
      <w:r w:rsidR="003A1917">
        <w:t xml:space="preserve"> </w:t>
      </w:r>
      <w:r w:rsidRPr="001A3D2B">
        <w:t>risk level in</w:t>
      </w:r>
      <w:r w:rsidR="003A1917">
        <w:t xml:space="preserve"> the </w:t>
      </w:r>
      <w:r w:rsidRPr="001A3D2B">
        <w:t>population screened,</w:t>
      </w:r>
      <w:r w:rsidR="003A1917">
        <w:t xml:space="preserve"> the </w:t>
      </w:r>
      <w:r w:rsidRPr="001A3D2B">
        <w:t>interval between</w:t>
      </w:r>
      <w:r w:rsidR="003A1917">
        <w:t xml:space="preserve"> the </w:t>
      </w:r>
      <w:r w:rsidRPr="001A3D2B">
        <w:t>intervention</w:t>
      </w:r>
      <w:r w:rsidR="005853A9">
        <w:t xml:space="preserve"> and </w:t>
      </w:r>
      <w:r w:rsidR="003A1917">
        <w:t xml:space="preserve">the </w:t>
      </w:r>
      <w:r w:rsidRPr="001A3D2B">
        <w:t>benefit,</w:t>
      </w:r>
      <w:r w:rsidR="003A1917">
        <w:t xml:space="preserve"> the </w:t>
      </w:r>
      <w:r w:rsidRPr="001A3D2B">
        <w:t>duration</w:t>
      </w:r>
      <w:r w:rsidR="00427468">
        <w:t xml:space="preserve"> of </w:t>
      </w:r>
      <w:r w:rsidRPr="001A3D2B">
        <w:t>intervention required to achieve</w:t>
      </w:r>
      <w:r w:rsidR="003A1917">
        <w:t xml:space="preserve"> the </w:t>
      </w:r>
      <w:r w:rsidRPr="001A3D2B">
        <w:t>benefit,</w:t>
      </w:r>
      <w:r w:rsidR="003A1917">
        <w:t xml:space="preserve"> the </w:t>
      </w:r>
      <w:r w:rsidRPr="001A3D2B">
        <w:t>overshadowing</w:t>
      </w:r>
      <w:r w:rsidR="00427468">
        <w:t xml:space="preserve"> of </w:t>
      </w:r>
      <w:r w:rsidRPr="001A3D2B">
        <w:t>one benefit by another,</w:t>
      </w:r>
      <w:r w:rsidR="003A1917">
        <w:t xml:space="preserve"> the </w:t>
      </w:r>
      <w:r w:rsidRPr="001A3D2B">
        <w:t>application</w:t>
      </w:r>
      <w:r w:rsidR="00427468">
        <w:t xml:space="preserve"> of </w:t>
      </w:r>
      <w:r w:rsidRPr="001A3D2B">
        <w:t>a benefit for one variant</w:t>
      </w:r>
      <w:r w:rsidR="00427468">
        <w:t xml:space="preserve"> of </w:t>
      </w:r>
      <w:r w:rsidRPr="001A3D2B">
        <w:t xml:space="preserve">a disease to another variant, lower benefits in community settings than </w:t>
      </w:r>
      <w:r w:rsidRPr="001A3D2B">
        <w:lastRenderedPageBreak/>
        <w:t>in clinical trials, publication bias, preferential citation</w:t>
      </w:r>
      <w:r w:rsidR="00427468">
        <w:t xml:space="preserve"> of </w:t>
      </w:r>
      <w:r w:rsidRPr="001A3D2B">
        <w:t>studies showing beneficial effects</w:t>
      </w:r>
      <w:r w:rsidR="005853A9">
        <w:t xml:space="preserve"> and </w:t>
      </w:r>
      <w:r w:rsidR="0071223E">
        <w:t>‘</w:t>
      </w:r>
      <w:r w:rsidRPr="001A3D2B">
        <w:t>false-negative</w:t>
      </w:r>
      <w:r w:rsidR="0071223E">
        <w:t>’</w:t>
      </w:r>
      <w:r w:rsidRPr="001A3D2B">
        <w:t xml:space="preserve"> results</w:t>
      </w:r>
      <w:r w:rsidR="00427468">
        <w:t xml:space="preserve"> of </w:t>
      </w:r>
      <w:r w:rsidRPr="001A3D2B">
        <w:t>studies</w:t>
      </w:r>
      <w:r w:rsidR="00A37C1D">
        <w:t>. The</w:t>
      </w:r>
      <w:r w:rsidRPr="001A3D2B">
        <w:t>se pitfalls are illustrated through examples from</w:t>
      </w:r>
      <w:r w:rsidR="003A1917">
        <w:t xml:space="preserve"> the </w:t>
      </w:r>
      <w:r w:rsidRPr="001A3D2B">
        <w:t>current medical literature.</w:t>
      </w:r>
    </w:p>
    <w:p w:rsidR="003474F2" w:rsidRPr="001A3D2B" w:rsidRDefault="003474F2" w:rsidP="003474F2">
      <w:pPr>
        <w:pStyle w:val="a3"/>
      </w:pPr>
      <w:r w:rsidRPr="001A3D2B">
        <w:t>Keywords: Postmenopa</w:t>
      </w:r>
      <w:r w:rsidR="00D5664A">
        <w:t>USA</w:t>
      </w:r>
      <w:r w:rsidRPr="001A3D2B">
        <w:t>l Estrogen Therapy, Localized Prostatic-Cancer, Coronary Heart-Disease, Physical-Activity, Trials, Complications, Management, Mortality, Level, Risk</w:t>
      </w:r>
    </w:p>
    <w:p w:rsidR="003474F2" w:rsidRPr="001A3D2B" w:rsidRDefault="003474F2" w:rsidP="003474F2">
      <w:pPr>
        <w:pStyle w:val="a3"/>
      </w:pPr>
      <w:r w:rsidRPr="001A3D2B">
        <w:t>Notes: UUniversity</w:t>
      </w:r>
    </w:p>
    <w:p w:rsidR="003474F2" w:rsidRPr="001A3D2B" w:rsidRDefault="003474F2" w:rsidP="003474F2">
      <w:pPr>
        <w:pStyle w:val="a3"/>
      </w:pPr>
      <w:r w:rsidRPr="001A3D2B">
        <w:rPr>
          <w:szCs w:val="24"/>
        </w:rPr>
        <w:t xml:space="preserve">Davies, D., </w:t>
      </w:r>
      <w:smartTag w:uri="urn:schemas-microsoft-com:office:smarttags" w:element="place">
        <w:smartTag w:uri="urn:schemas-microsoft-com:office:smarttags" w:element="City">
          <w:r w:rsidRPr="001A3D2B">
            <w:rPr>
              <w:szCs w:val="24"/>
            </w:rPr>
            <w:t>Langley</w:t>
          </w:r>
        </w:smartTag>
      </w:smartTag>
      <w:r w:rsidRPr="001A3D2B">
        <w:rPr>
          <w:szCs w:val="24"/>
        </w:rPr>
        <w:t>, J.M.</w:t>
      </w:r>
      <w:r w:rsidR="005853A9">
        <w:rPr>
          <w:szCs w:val="24"/>
        </w:rPr>
        <w:t xml:space="preserve"> and </w:t>
      </w:r>
      <w:r w:rsidRPr="001A3D2B">
        <w:rPr>
          <w:szCs w:val="24"/>
        </w:rPr>
        <w:t>Speert, D.P.</w:t>
      </w:r>
      <w:r w:rsidRPr="001A3D2B">
        <w:t xml:space="preserve"> (1996), </w:t>
      </w:r>
      <w:r w:rsidRPr="001A3D2B">
        <w:rPr>
          <w:szCs w:val="24"/>
        </w:rPr>
        <w:t>Rating authors</w:t>
      </w:r>
      <w:r w:rsidR="0071223E">
        <w:rPr>
          <w:szCs w:val="24"/>
        </w:rPr>
        <w:t>’</w:t>
      </w:r>
      <w:r w:rsidRPr="001A3D2B">
        <w:rPr>
          <w:szCs w:val="24"/>
        </w:rPr>
        <w:t xml:space="preserve"> contributions to collaborative research:</w:t>
      </w:r>
      <w:r w:rsidR="003A1917">
        <w:rPr>
          <w:szCs w:val="24"/>
        </w:rPr>
        <w:t xml:space="preserve"> the </w:t>
      </w:r>
      <w:r w:rsidRPr="001A3D2B">
        <w:rPr>
          <w:szCs w:val="24"/>
        </w:rPr>
        <w:t>PICNIC survey</w:t>
      </w:r>
      <w:r w:rsidR="00427468">
        <w:rPr>
          <w:szCs w:val="24"/>
        </w:rPr>
        <w:t xml:space="preserve"> of </w:t>
      </w:r>
      <w:r w:rsidRPr="001A3D2B">
        <w:rPr>
          <w:szCs w:val="24"/>
        </w:rPr>
        <w:t>university departments</w:t>
      </w:r>
      <w:r w:rsidR="00427468">
        <w:rPr>
          <w:szCs w:val="24"/>
        </w:rPr>
        <w:t xml:space="preserve"> of </w:t>
      </w:r>
      <w:r w:rsidRPr="001A3D2B">
        <w:rPr>
          <w:szCs w:val="24"/>
        </w:rPr>
        <w:t>pediatrics.</w:t>
      </w:r>
      <w:r w:rsidRPr="001A3D2B">
        <w:t xml:space="preserve"> </w:t>
      </w:r>
      <w:r w:rsidRPr="001A3D2B">
        <w:rPr>
          <w:i/>
        </w:rPr>
        <w:t>Canadian Medical Association Journal</w:t>
      </w:r>
      <w:r w:rsidRPr="001A3D2B">
        <w:t xml:space="preserve">, </w:t>
      </w:r>
      <w:r w:rsidRPr="001A3D2B">
        <w:rPr>
          <w:b/>
        </w:rPr>
        <w:t>155</w:t>
      </w:r>
      <w:r w:rsidRPr="001A3D2B">
        <w:t xml:space="preserve"> (7), </w:t>
      </w:r>
      <w:r w:rsidRPr="001A3D2B">
        <w:rPr>
          <w:szCs w:val="24"/>
        </w:rPr>
        <w:t>877-882</w:t>
      </w:r>
      <w:r w:rsidRPr="001A3D2B">
        <w:t>.</w:t>
      </w:r>
    </w:p>
    <w:p w:rsidR="003474F2" w:rsidRPr="001A3D2B" w:rsidRDefault="003474F2" w:rsidP="003474F2">
      <w:pPr>
        <w:pStyle w:val="a3"/>
      </w:pPr>
      <w:r w:rsidRPr="001A3D2B">
        <w:t xml:space="preserve">Full Text: </w:t>
      </w:r>
      <w:hyperlink r:id="rId88" w:history="1">
        <w:r w:rsidRPr="001A3D2B">
          <w:rPr>
            <w:rStyle w:val="a5"/>
          </w:rPr>
          <w:t>1996\Can Med Ass J155 877.pdf</w:t>
        </w:r>
      </w:hyperlink>
    </w:p>
    <w:p w:rsidR="003474F2" w:rsidRPr="001A3D2B" w:rsidRDefault="003474F2" w:rsidP="003474F2">
      <w:pPr>
        <w:pStyle w:val="a3"/>
        <w:rPr>
          <w:szCs w:val="24"/>
        </w:rPr>
      </w:pPr>
      <w:r w:rsidRPr="001A3D2B">
        <w:rPr>
          <w:szCs w:val="24"/>
        </w:rPr>
        <w:t>Abstract: Objectives: To determine how department chairs in pediatrics rate involvement in medical research</w:t>
      </w:r>
      <w:r w:rsidR="005853A9">
        <w:rPr>
          <w:szCs w:val="24"/>
        </w:rPr>
        <w:t xml:space="preserve"> and </w:t>
      </w:r>
      <w:r w:rsidRPr="001A3D2B">
        <w:rPr>
          <w:szCs w:val="24"/>
        </w:rPr>
        <w:t>to determine whether faculty deans</w:t>
      </w:r>
      <w:r w:rsidR="0071223E">
        <w:rPr>
          <w:szCs w:val="24"/>
        </w:rPr>
        <w:t>’</w:t>
      </w:r>
      <w:r w:rsidRPr="001A3D2B">
        <w:rPr>
          <w:szCs w:val="24"/>
        </w:rPr>
        <w:t xml:space="preserve"> offices have written criteria for evaluating research activity when assessing candidates for promotion or tenure.</w:t>
      </w:r>
    </w:p>
    <w:p w:rsidR="003474F2" w:rsidRPr="001A3D2B" w:rsidRDefault="003474F2" w:rsidP="003474F2">
      <w:pPr>
        <w:pStyle w:val="a3"/>
        <w:rPr>
          <w:szCs w:val="24"/>
        </w:rPr>
      </w:pPr>
      <w:r w:rsidRPr="001A3D2B">
        <w:rPr>
          <w:szCs w:val="24"/>
        </w:rPr>
        <w:t>Design: Cross-sectional mailed survey</w:t>
      </w:r>
      <w:r w:rsidR="005853A9">
        <w:rPr>
          <w:szCs w:val="24"/>
        </w:rPr>
        <w:t xml:space="preserve"> and </w:t>
      </w:r>
      <w:r w:rsidRPr="001A3D2B">
        <w:rPr>
          <w:szCs w:val="24"/>
        </w:rPr>
        <w:t>telephone survey.</w:t>
      </w:r>
    </w:p>
    <w:p w:rsidR="003474F2" w:rsidRPr="001A3D2B" w:rsidRDefault="003474F2" w:rsidP="003474F2">
      <w:pPr>
        <w:pStyle w:val="a3"/>
        <w:rPr>
          <w:szCs w:val="24"/>
        </w:rPr>
      </w:pPr>
      <w:r w:rsidRPr="001A3D2B">
        <w:rPr>
          <w:szCs w:val="24"/>
        </w:rPr>
        <w:t>Setting: Canadian faculties</w:t>
      </w:r>
      <w:r w:rsidR="00427468">
        <w:rPr>
          <w:szCs w:val="24"/>
        </w:rPr>
        <w:t xml:space="preserve"> of </w:t>
      </w:r>
      <w:r w:rsidRPr="001A3D2B">
        <w:rPr>
          <w:szCs w:val="24"/>
        </w:rPr>
        <w:t>Medicine.</w:t>
      </w:r>
    </w:p>
    <w:p w:rsidR="003474F2" w:rsidRPr="001A3D2B" w:rsidRDefault="003474F2" w:rsidP="003474F2">
      <w:pPr>
        <w:pStyle w:val="a3"/>
        <w:rPr>
          <w:szCs w:val="24"/>
        </w:rPr>
      </w:pPr>
      <w:r w:rsidRPr="001A3D2B">
        <w:rPr>
          <w:szCs w:val="24"/>
        </w:rPr>
        <w:t>Participants: Chairs</w:t>
      </w:r>
      <w:r w:rsidR="00427468">
        <w:rPr>
          <w:szCs w:val="24"/>
        </w:rPr>
        <w:t xml:space="preserve"> of </w:t>
      </w:r>
      <w:r w:rsidR="003A1917">
        <w:rPr>
          <w:szCs w:val="24"/>
        </w:rPr>
        <w:t xml:space="preserve">the </w:t>
      </w:r>
      <w:r w:rsidRPr="001A3D2B">
        <w:rPr>
          <w:szCs w:val="24"/>
        </w:rPr>
        <w:t>16 Canadian university departments</w:t>
      </w:r>
      <w:r w:rsidR="00427468">
        <w:rPr>
          <w:szCs w:val="24"/>
        </w:rPr>
        <w:t xml:space="preserve"> of </w:t>
      </w:r>
      <w:r w:rsidRPr="001A3D2B">
        <w:rPr>
          <w:szCs w:val="24"/>
        </w:rPr>
        <w:t>pediatrics</w:t>
      </w:r>
      <w:r w:rsidR="005853A9">
        <w:rPr>
          <w:szCs w:val="24"/>
        </w:rPr>
        <w:t xml:space="preserve"> and </w:t>
      </w:r>
      <w:r w:rsidRPr="001A3D2B">
        <w:rPr>
          <w:szCs w:val="24"/>
        </w:rPr>
        <w:t>deans</w:t>
      </w:r>
      <w:r w:rsidR="0071223E">
        <w:rPr>
          <w:szCs w:val="24"/>
        </w:rPr>
        <w:t>’</w:t>
      </w:r>
      <w:r w:rsidRPr="001A3D2B">
        <w:rPr>
          <w:szCs w:val="24"/>
        </w:rPr>
        <w:t xml:space="preserve"> offices</w:t>
      </w:r>
      <w:r w:rsidR="00427468">
        <w:rPr>
          <w:szCs w:val="24"/>
        </w:rPr>
        <w:t xml:space="preserve"> of </w:t>
      </w:r>
      <w:r w:rsidR="003A1917">
        <w:rPr>
          <w:szCs w:val="24"/>
        </w:rPr>
        <w:t xml:space="preserve">the </w:t>
      </w:r>
      <w:r w:rsidRPr="001A3D2B">
        <w:rPr>
          <w:szCs w:val="24"/>
        </w:rPr>
        <w:t>16 university medical faculties.</w:t>
      </w:r>
    </w:p>
    <w:p w:rsidR="003474F2" w:rsidRPr="001A3D2B" w:rsidRDefault="003474F2" w:rsidP="003474F2">
      <w:pPr>
        <w:pStyle w:val="a3"/>
        <w:rPr>
          <w:szCs w:val="24"/>
        </w:rPr>
      </w:pPr>
      <w:r w:rsidRPr="001A3D2B">
        <w:rPr>
          <w:szCs w:val="24"/>
        </w:rPr>
        <w:t>Main outcome measure: Weight assigned by department chairs to contributions to published research according to author</w:t>
      </w:r>
      <w:r w:rsidR="0071223E">
        <w:rPr>
          <w:szCs w:val="24"/>
        </w:rPr>
        <w:t>’</w:t>
      </w:r>
      <w:r w:rsidR="00C13DDC">
        <w:rPr>
          <w:szCs w:val="24"/>
        </w:rPr>
        <w:t>s</w:t>
      </w:r>
      <w:r w:rsidRPr="001A3D2B">
        <w:rPr>
          <w:szCs w:val="24"/>
        </w:rPr>
        <w:t xml:space="preserve"> research role</w:t>
      </w:r>
      <w:r w:rsidR="005853A9">
        <w:rPr>
          <w:szCs w:val="24"/>
        </w:rPr>
        <w:t xml:space="preserve"> and </w:t>
      </w:r>
      <w:r w:rsidRPr="001A3D2B">
        <w:rPr>
          <w:szCs w:val="24"/>
        </w:rPr>
        <w:t>position in list</w:t>
      </w:r>
      <w:r w:rsidR="00427468">
        <w:rPr>
          <w:szCs w:val="24"/>
        </w:rPr>
        <w:t xml:space="preserve"> of </w:t>
      </w:r>
      <w:r w:rsidRPr="001A3D2B">
        <w:rPr>
          <w:szCs w:val="24"/>
        </w:rPr>
        <w:t>authors</w:t>
      </w:r>
      <w:r w:rsidR="005853A9">
        <w:rPr>
          <w:szCs w:val="24"/>
        </w:rPr>
        <w:t xml:space="preserve"> and </w:t>
      </w:r>
      <w:r w:rsidR="003A1917">
        <w:rPr>
          <w:szCs w:val="24"/>
        </w:rPr>
        <w:t xml:space="preserve">the </w:t>
      </w:r>
      <w:r w:rsidRPr="001A3D2B">
        <w:rPr>
          <w:szCs w:val="24"/>
        </w:rPr>
        <w:t>method</w:t>
      </w:r>
      <w:r w:rsidR="00427468">
        <w:rPr>
          <w:szCs w:val="24"/>
        </w:rPr>
        <w:t xml:space="preserve"> of </w:t>
      </w:r>
      <w:r w:rsidRPr="001A3D2B">
        <w:rPr>
          <w:szCs w:val="24"/>
        </w:rPr>
        <w:t>listing authors.</w:t>
      </w:r>
    </w:p>
    <w:p w:rsidR="003474F2" w:rsidRPr="001A3D2B" w:rsidRDefault="003474F2" w:rsidP="003474F2">
      <w:pPr>
        <w:pStyle w:val="a3"/>
        <w:rPr>
          <w:szCs w:val="24"/>
        </w:rPr>
      </w:pPr>
      <w:r w:rsidRPr="001A3D2B">
        <w:rPr>
          <w:szCs w:val="24"/>
        </w:rPr>
        <w:t>Results: Fifteen</w:t>
      </w:r>
      <w:r w:rsidR="00427468">
        <w:rPr>
          <w:szCs w:val="24"/>
        </w:rPr>
        <w:t xml:space="preserve"> of </w:t>
      </w:r>
      <w:r w:rsidRPr="001A3D2B">
        <w:rPr>
          <w:szCs w:val="24"/>
        </w:rPr>
        <w:t>16 chairs responded. Twelve submitted a completed survey, two described their institutions</w:t>
      </w:r>
      <w:r w:rsidR="0071223E">
        <w:rPr>
          <w:szCs w:val="24"/>
        </w:rPr>
        <w:t>’</w:t>
      </w:r>
      <w:r w:rsidRPr="001A3D2B">
        <w:rPr>
          <w:szCs w:val="24"/>
        </w:rPr>
        <w:t xml:space="preserve"> policies</w:t>
      </w:r>
      <w:r w:rsidR="005853A9">
        <w:rPr>
          <w:szCs w:val="24"/>
        </w:rPr>
        <w:t xml:space="preserve"> and </w:t>
      </w:r>
      <w:r w:rsidRPr="001A3D2B">
        <w:rPr>
          <w:szCs w:val="24"/>
        </w:rPr>
        <w:t>one responded that</w:t>
      </w:r>
      <w:r w:rsidR="003A1917">
        <w:rPr>
          <w:szCs w:val="24"/>
        </w:rPr>
        <w:t xml:space="preserve"> the </w:t>
      </w:r>
      <w:r w:rsidRPr="001A3D2B">
        <w:rPr>
          <w:szCs w:val="24"/>
        </w:rPr>
        <w:t>institution had no policy. Eleven reported that faculty members were permitted or requested to indicate research roles on curricula vitae</w:t>
      </w:r>
      <w:r w:rsidR="00A37C1D">
        <w:rPr>
          <w:szCs w:val="24"/>
        </w:rPr>
        <w:t>. The</w:t>
      </w:r>
      <w:r w:rsidRPr="001A3D2B">
        <w:rPr>
          <w:szCs w:val="24"/>
        </w:rPr>
        <w:t>re was a consensus that all or principal investigators should be listed as authors</w:t>
      </w:r>
      <w:r w:rsidR="005853A9">
        <w:rPr>
          <w:szCs w:val="24"/>
        </w:rPr>
        <w:t xml:space="preserve"> and </w:t>
      </w:r>
      <w:r w:rsidRPr="001A3D2B">
        <w:rPr>
          <w:szCs w:val="24"/>
        </w:rPr>
        <w:t>that citing</w:t>
      </w:r>
      <w:r w:rsidR="003A1917">
        <w:rPr>
          <w:szCs w:val="24"/>
        </w:rPr>
        <w:t xml:space="preserve"> the </w:t>
      </w:r>
      <w:r w:rsidRPr="001A3D2B">
        <w:rPr>
          <w:szCs w:val="24"/>
        </w:rPr>
        <w:t>research group as collective author was insufficient</w:t>
      </w:r>
      <w:r w:rsidR="00A37C1D">
        <w:rPr>
          <w:szCs w:val="24"/>
        </w:rPr>
        <w:t>. The</w:t>
      </w:r>
      <w:r w:rsidR="003A1917">
        <w:rPr>
          <w:szCs w:val="24"/>
        </w:rPr>
        <w:t xml:space="preserve"> </w:t>
      </w:r>
      <w:r w:rsidRPr="001A3D2B">
        <w:rPr>
          <w:szCs w:val="24"/>
        </w:rPr>
        <w:t>contribution</w:t>
      </w:r>
      <w:r w:rsidR="00427468">
        <w:rPr>
          <w:szCs w:val="24"/>
        </w:rPr>
        <w:t xml:space="preserve"> of </w:t>
      </w:r>
      <w:r w:rsidRPr="001A3D2B">
        <w:rPr>
          <w:szCs w:val="24"/>
        </w:rPr>
        <w:t>first authors was rated highest for articles in which all or principal investigators were listed</w:t>
      </w:r>
      <w:r w:rsidR="00A37C1D">
        <w:rPr>
          <w:szCs w:val="24"/>
        </w:rPr>
        <w:t>. The</w:t>
      </w:r>
      <w:r w:rsidR="003A1917">
        <w:rPr>
          <w:szCs w:val="24"/>
        </w:rPr>
        <w:t xml:space="preserve"> </w:t>
      </w:r>
      <w:r w:rsidRPr="001A3D2B">
        <w:rPr>
          <w:szCs w:val="24"/>
        </w:rPr>
        <w:t>contribution</w:t>
      </w:r>
      <w:r w:rsidR="00427468">
        <w:rPr>
          <w:szCs w:val="24"/>
        </w:rPr>
        <w:t xml:space="preserve"> of </w:t>
      </w:r>
      <w:r w:rsidRPr="001A3D2B">
        <w:rPr>
          <w:szCs w:val="24"/>
        </w:rPr>
        <w:t>joint-principal investigators listed as first author was also given a high rating. In</w:t>
      </w:r>
      <w:r w:rsidR="003A1917">
        <w:rPr>
          <w:szCs w:val="24"/>
        </w:rPr>
        <w:t xml:space="preserve"> the </w:t>
      </w:r>
      <w:r w:rsidRPr="001A3D2B">
        <w:rPr>
          <w:szCs w:val="24"/>
        </w:rPr>
        <w:t>case</w:t>
      </w:r>
      <w:r w:rsidR="00427468">
        <w:rPr>
          <w:szCs w:val="24"/>
        </w:rPr>
        <w:t xml:space="preserve"> of </w:t>
      </w:r>
      <w:r w:rsidRPr="001A3D2B">
        <w:rPr>
          <w:szCs w:val="24"/>
        </w:rPr>
        <w:t>collective authorship,</w:t>
      </w:r>
      <w:r w:rsidR="003A1917">
        <w:rPr>
          <w:szCs w:val="24"/>
        </w:rPr>
        <w:t xml:space="preserve"> the </w:t>
      </w:r>
      <w:r w:rsidRPr="001A3D2B">
        <w:rPr>
          <w:szCs w:val="24"/>
        </w:rPr>
        <w:t>greatest contribution was credited to</w:t>
      </w:r>
      <w:r w:rsidR="003A1917">
        <w:rPr>
          <w:szCs w:val="24"/>
        </w:rPr>
        <w:t xml:space="preserve"> the </w:t>
      </w:r>
      <w:r w:rsidRPr="001A3D2B">
        <w:rPr>
          <w:szCs w:val="24"/>
        </w:rPr>
        <w:t>principal investigator</w:t>
      </w:r>
      <w:r w:rsidR="00427468">
        <w:rPr>
          <w:szCs w:val="24"/>
        </w:rPr>
        <w:t xml:space="preserve"> of </w:t>
      </w:r>
      <w:r w:rsidR="003A1917">
        <w:rPr>
          <w:szCs w:val="24"/>
        </w:rPr>
        <w:t xml:space="preserve">the </w:t>
      </w:r>
      <w:r w:rsidRPr="001A3D2B">
        <w:rPr>
          <w:szCs w:val="24"/>
        </w:rPr>
        <w:t>group. Participation</w:t>
      </w:r>
      <w:r w:rsidR="00427468">
        <w:rPr>
          <w:szCs w:val="24"/>
        </w:rPr>
        <w:t xml:space="preserve"> of </w:t>
      </w:r>
      <w:r w:rsidRPr="001A3D2B">
        <w:rPr>
          <w:szCs w:val="24"/>
        </w:rPr>
        <w:t>primary investigators in multicentre research was rated as having higher value than participation in single-centre research by seven respondents</w:t>
      </w:r>
      <w:r w:rsidR="005853A9">
        <w:rPr>
          <w:szCs w:val="24"/>
        </w:rPr>
        <w:t xml:space="preserve"> and </w:t>
      </w:r>
      <w:r w:rsidRPr="001A3D2B">
        <w:rPr>
          <w:szCs w:val="24"/>
        </w:rPr>
        <w:t>as having equal value by four. Only one dean</w:t>
      </w:r>
      <w:r w:rsidR="0071223E">
        <w:rPr>
          <w:szCs w:val="24"/>
        </w:rPr>
        <w:t>’</w:t>
      </w:r>
      <w:r w:rsidR="00C13DDC">
        <w:rPr>
          <w:szCs w:val="24"/>
        </w:rPr>
        <w:t>s</w:t>
      </w:r>
      <w:r w:rsidRPr="001A3D2B">
        <w:rPr>
          <w:szCs w:val="24"/>
        </w:rPr>
        <w:t xml:space="preserve"> office had explicit written criteria for evaluating authorship.</w:t>
      </w:r>
    </w:p>
    <w:p w:rsidR="003474F2" w:rsidRPr="001A3D2B" w:rsidRDefault="003474F2" w:rsidP="003474F2">
      <w:pPr>
        <w:pStyle w:val="a3"/>
        <w:rPr>
          <w:szCs w:val="24"/>
        </w:rPr>
      </w:pPr>
      <w:r w:rsidRPr="001A3D2B">
        <w:rPr>
          <w:szCs w:val="24"/>
        </w:rPr>
        <w:t>Conclusions: Most departments</w:t>
      </w:r>
      <w:r w:rsidR="00427468">
        <w:rPr>
          <w:szCs w:val="24"/>
        </w:rPr>
        <w:t xml:space="preserve"> of </w:t>
      </w:r>
      <w:r w:rsidRPr="001A3D2B">
        <w:rPr>
          <w:szCs w:val="24"/>
        </w:rPr>
        <w:t>pediatrics</w:t>
      </w:r>
      <w:r w:rsidR="005853A9">
        <w:rPr>
          <w:szCs w:val="24"/>
        </w:rPr>
        <w:t xml:space="preserve"> and </w:t>
      </w:r>
      <w:r w:rsidRPr="001A3D2B">
        <w:rPr>
          <w:szCs w:val="24"/>
        </w:rPr>
        <w:t>medical faculty deans</w:t>
      </w:r>
      <w:r w:rsidR="0071223E">
        <w:rPr>
          <w:szCs w:val="24"/>
        </w:rPr>
        <w:t>’</w:t>
      </w:r>
      <w:r w:rsidRPr="001A3D2B">
        <w:rPr>
          <w:szCs w:val="24"/>
        </w:rPr>
        <w:t xml:space="preserve"> offices in Canadian universities have no criteria for assessing</w:t>
      </w:r>
      <w:r w:rsidR="003A1917">
        <w:rPr>
          <w:szCs w:val="24"/>
        </w:rPr>
        <w:t xml:space="preserve"> the </w:t>
      </w:r>
      <w:r w:rsidRPr="001A3D2B">
        <w:rPr>
          <w:szCs w:val="24"/>
        </w:rPr>
        <w:t>type</w:t>
      </w:r>
      <w:r w:rsidR="00427468">
        <w:rPr>
          <w:szCs w:val="24"/>
        </w:rPr>
        <w:t xml:space="preserve"> of </w:t>
      </w:r>
      <w:r w:rsidRPr="001A3D2B">
        <w:rPr>
          <w:szCs w:val="24"/>
        </w:rPr>
        <w:t>contribution made to published research. In view</w:t>
      </w:r>
      <w:r w:rsidR="00427468">
        <w:rPr>
          <w:szCs w:val="24"/>
        </w:rPr>
        <w:t xml:space="preserve"> of </w:t>
      </w:r>
      <w:r w:rsidR="003A1917">
        <w:rPr>
          <w:szCs w:val="24"/>
        </w:rPr>
        <w:t xml:space="preserve">the </w:t>
      </w:r>
      <w:r w:rsidRPr="001A3D2B">
        <w:rPr>
          <w:szCs w:val="24"/>
        </w:rPr>
        <w:t>trend to use multicentre settings for clinical trials, guidelines for weighting investigators</w:t>
      </w:r>
      <w:r w:rsidR="0071223E">
        <w:rPr>
          <w:szCs w:val="24"/>
        </w:rPr>
        <w:t>’</w:t>
      </w:r>
      <w:r w:rsidRPr="001A3D2B">
        <w:rPr>
          <w:szCs w:val="24"/>
        </w:rPr>
        <w:t xml:space="preserve"> contributions are needed.</w:t>
      </w:r>
    </w:p>
    <w:p w:rsidR="003474F2" w:rsidRPr="001A3D2B" w:rsidRDefault="003474F2" w:rsidP="003474F2">
      <w:pPr>
        <w:pStyle w:val="a3"/>
        <w:rPr>
          <w:szCs w:val="24"/>
        </w:rPr>
      </w:pPr>
      <w:r w:rsidRPr="001A3D2B">
        <w:rPr>
          <w:szCs w:val="24"/>
        </w:rPr>
        <w:lastRenderedPageBreak/>
        <w:t>Keywords: Journals, Trends</w:t>
      </w:r>
    </w:p>
    <w:p w:rsidR="003474F2" w:rsidRPr="001A3D2B" w:rsidRDefault="003474F2" w:rsidP="003474F2">
      <w:pPr>
        <w:pStyle w:val="a3"/>
      </w:pPr>
      <w:r w:rsidRPr="001A3D2B">
        <w:t>Margolese, R.G., Cantin, J., Bouchard, F., Caines, J., Beaulieu, M.D., Little, C.D., Levine, M.N., Mickelson, W.P., McGregor, M., MacFarlane, J.K., McCready, D.R., Shibata, H.R., Ambus, U., Beliveau, N.J., Bottorff, J., Cameron, B., Cormier, R., Frenette, J., Gelmon, K.A., Gordon, P., Grunfeld, E., Hauch, S., Kader, H.A., Knaus, R., McNeil, J., Miller, C., Mirsky, D.J., Morris, F., Premi, J., Snell, L.</w:t>
      </w:r>
      <w:r w:rsidR="005853A9">
        <w:t xml:space="preserve"> and </w:t>
      </w:r>
      <w:r w:rsidRPr="001A3D2B">
        <w:t>Whamond, E. (1998), 1</w:t>
      </w:r>
      <w:r w:rsidR="00A37C1D">
        <w:t>. The</w:t>
      </w:r>
      <w:r w:rsidR="003A1917">
        <w:t xml:space="preserve"> </w:t>
      </w:r>
      <w:r w:rsidRPr="001A3D2B">
        <w:t>palpable breast lump: Information</w:t>
      </w:r>
      <w:r w:rsidR="005853A9">
        <w:t xml:space="preserve"> and </w:t>
      </w:r>
      <w:r w:rsidRPr="001A3D2B">
        <w:t xml:space="preserve">recommendations to assist decision-making when a breast lump is detected. </w:t>
      </w:r>
      <w:r w:rsidRPr="001A3D2B">
        <w:rPr>
          <w:i/>
          <w:iCs/>
        </w:rPr>
        <w:t>Canadian Medical Association Journal</w:t>
      </w:r>
      <w:r w:rsidRPr="001A3D2B">
        <w:t xml:space="preserve">, </w:t>
      </w:r>
      <w:r w:rsidRPr="001A3D2B">
        <w:rPr>
          <w:b/>
          <w:bCs/>
        </w:rPr>
        <w:t>158</w:t>
      </w:r>
      <w:r w:rsidRPr="001A3D2B">
        <w:t>, S3-S8.</w:t>
      </w:r>
    </w:p>
    <w:p w:rsidR="003474F2" w:rsidRPr="001A3D2B" w:rsidRDefault="003474F2" w:rsidP="003474F2">
      <w:pPr>
        <w:pStyle w:val="a3"/>
      </w:pPr>
      <w:r w:rsidRPr="001A3D2B">
        <w:t xml:space="preserve">Full Text: </w:t>
      </w:r>
      <w:hyperlink r:id="rId89" w:history="1">
        <w:r w:rsidRPr="001A3D2B">
          <w:rPr>
            <w:rStyle w:val="a5"/>
          </w:rPr>
          <w:t>1998\Can Med Ass J158, S3.pdf</w:t>
        </w:r>
      </w:hyperlink>
    </w:p>
    <w:p w:rsidR="003474F2" w:rsidRPr="001A3D2B" w:rsidRDefault="003474F2" w:rsidP="003474F2">
      <w:pPr>
        <w:pStyle w:val="a3"/>
      </w:pPr>
      <w:r w:rsidRPr="001A3D2B">
        <w:t>Abstract: Objective: To provide information</w:t>
      </w:r>
      <w:r w:rsidR="005853A9">
        <w:t xml:space="preserve"> and </w:t>
      </w:r>
      <w:r w:rsidRPr="001A3D2B">
        <w:t>recommendations for assisting women</w:t>
      </w:r>
      <w:r w:rsidR="005853A9">
        <w:t xml:space="preserve"> and </w:t>
      </w:r>
      <w:r w:rsidRPr="001A3D2B">
        <w:t>their I physicians in making</w:t>
      </w:r>
      <w:r w:rsidR="003A1917">
        <w:t xml:space="preserve"> the </w:t>
      </w:r>
      <w:r w:rsidRPr="001A3D2B">
        <w:t>decisions necessary to establish or exclude</w:t>
      </w:r>
      <w:r w:rsidR="003A1917">
        <w:t xml:space="preserve"> the </w:t>
      </w:r>
      <w:r w:rsidRPr="001A3D2B">
        <w:t>presence</w:t>
      </w:r>
      <w:r w:rsidR="00427468">
        <w:t xml:space="preserve"> of </w:t>
      </w:r>
      <w:r w:rsidRPr="001A3D2B">
        <w:t>cancer when a lump is felt in</w:t>
      </w:r>
      <w:r w:rsidR="003A1917">
        <w:t xml:space="preserve"> the </w:t>
      </w:r>
      <w:r w:rsidRPr="001A3D2B">
        <w:t>breast.</w:t>
      </w:r>
    </w:p>
    <w:p w:rsidR="003474F2" w:rsidRPr="001A3D2B" w:rsidRDefault="003474F2" w:rsidP="003474F2">
      <w:pPr>
        <w:pStyle w:val="a3"/>
      </w:pPr>
      <w:r w:rsidRPr="001A3D2B">
        <w:t>Evidence: Guidelines are based on a systematic review</w:t>
      </w:r>
      <w:r w:rsidR="00427468">
        <w:t xml:space="preserve"> of </w:t>
      </w:r>
      <w:r w:rsidRPr="001A3D2B">
        <w:t>published evidence</w:t>
      </w:r>
      <w:r w:rsidR="005853A9">
        <w:t xml:space="preserve"> and </w:t>
      </w:r>
      <w:r w:rsidRPr="001A3D2B">
        <w:t xml:space="preserve">expert opinion. References were identified through a computerized citation search using </w:t>
      </w:r>
      <w:r w:rsidR="00D5664A">
        <w:t>MEDLINE</w:t>
      </w:r>
      <w:r w:rsidRPr="001A3D2B">
        <w:t xml:space="preserve"> (from 1966)</w:t>
      </w:r>
      <w:r w:rsidR="005853A9">
        <w:t xml:space="preserve"> and </w:t>
      </w:r>
      <w:r w:rsidRPr="001A3D2B">
        <w:t>CANCERLIT (from 1985) to January 1996. Nonsystematic review</w:t>
      </w:r>
      <w:r w:rsidR="00427468">
        <w:t xml:space="preserve"> of </w:t>
      </w:r>
      <w:r w:rsidRPr="001A3D2B">
        <w:t>breast cancer literature continued to January 1997.</w:t>
      </w:r>
    </w:p>
    <w:p w:rsidR="003474F2" w:rsidRPr="001A3D2B" w:rsidRDefault="003474F2" w:rsidP="003474F2">
      <w:pPr>
        <w:pStyle w:val="a3"/>
      </w:pPr>
      <w:r w:rsidRPr="001A3D2B">
        <w:t>Benefits: Exclusion or confirmation</w:t>
      </w:r>
      <w:r w:rsidR="00427468">
        <w:t xml:space="preserve"> of </w:t>
      </w:r>
      <w:r w:rsidR="003A1917">
        <w:t xml:space="preserve">the </w:t>
      </w:r>
      <w:r w:rsidRPr="001A3D2B">
        <w:t>presence</w:t>
      </w:r>
      <w:r w:rsidR="00427468">
        <w:t xml:space="preserve"> of </w:t>
      </w:r>
      <w:r w:rsidRPr="001A3D2B">
        <w:t>cancer with</w:t>
      </w:r>
      <w:r w:rsidR="003A1917">
        <w:t xml:space="preserve"> the </w:t>
      </w:r>
      <w:r w:rsidRPr="001A3D2B">
        <w:t>minimum</w:t>
      </w:r>
      <w:r w:rsidR="00427468">
        <w:t xml:space="preserve"> of </w:t>
      </w:r>
      <w:r w:rsidRPr="001A3D2B">
        <w:t>intervention</w:t>
      </w:r>
      <w:r w:rsidR="005853A9">
        <w:t xml:space="preserve"> and </w:t>
      </w:r>
      <w:r w:rsidRPr="001A3D2B">
        <w:t>delay.</w:t>
      </w:r>
    </w:p>
    <w:p w:rsidR="003474F2" w:rsidRPr="001A3D2B" w:rsidRDefault="003474F2" w:rsidP="003474F2">
      <w:pPr>
        <w:pStyle w:val="a3"/>
      </w:pPr>
      <w:r w:rsidRPr="001A3D2B">
        <w:t>Recommendations:</w:t>
      </w:r>
    </w:p>
    <w:p w:rsidR="003474F2" w:rsidRPr="001A3D2B" w:rsidRDefault="003474F2" w:rsidP="003474F2">
      <w:pPr>
        <w:pStyle w:val="a3"/>
      </w:pPr>
      <w:r w:rsidRPr="001A3D2B">
        <w:t>Investigation</w:t>
      </w:r>
      <w:r w:rsidR="00427468">
        <w:t xml:space="preserve"> of </w:t>
      </w:r>
      <w:r w:rsidRPr="001A3D2B">
        <w:t>women with a breast lump or suspicious change in breast texture starts with a history, physical examination</w:t>
      </w:r>
      <w:r w:rsidR="005853A9">
        <w:t xml:space="preserve"> and </w:t>
      </w:r>
      <w:r w:rsidRPr="001A3D2B">
        <w:t>usually mammography.</w:t>
      </w:r>
    </w:p>
    <w:p w:rsidR="003474F2" w:rsidRPr="001A3D2B" w:rsidRDefault="003474F2" w:rsidP="003474F2">
      <w:pPr>
        <w:pStyle w:val="a3"/>
      </w:pPr>
      <w:r w:rsidRPr="001A3D2B">
        <w:t>The clinical history should establish how long</w:t>
      </w:r>
      <w:r w:rsidR="003A1917">
        <w:t xml:space="preserve"> the </w:t>
      </w:r>
      <w:r w:rsidRPr="001A3D2B">
        <w:t>lump has been noted, whether any change has been observed</w:t>
      </w:r>
      <w:r w:rsidR="005853A9">
        <w:t xml:space="preserve"> and </w:t>
      </w:r>
      <w:r w:rsidRPr="001A3D2B">
        <w:t>whether there is a history</w:t>
      </w:r>
      <w:r w:rsidR="00427468">
        <w:t xml:space="preserve"> of </w:t>
      </w:r>
      <w:r w:rsidRPr="001A3D2B">
        <w:t>biopsy or breast cancer. Risk factors for breast cancer should be noted, but their presence or absence should not influence</w:t>
      </w:r>
      <w:r w:rsidR="003A1917">
        <w:t xml:space="preserve"> the </w:t>
      </w:r>
      <w:r w:rsidRPr="001A3D2B">
        <w:t>decision to investigate a lump further.</w:t>
      </w:r>
    </w:p>
    <w:p w:rsidR="003474F2" w:rsidRPr="001A3D2B" w:rsidRDefault="003474F2" w:rsidP="003474F2">
      <w:pPr>
        <w:pStyle w:val="a3"/>
      </w:pPr>
      <w:r w:rsidRPr="001A3D2B">
        <w:t>The physical examination</w:t>
      </w:r>
      <w:r w:rsidR="00427468">
        <w:t xml:space="preserve"> of </w:t>
      </w:r>
      <w:r w:rsidR="003A1917">
        <w:t xml:space="preserve">the </w:t>
      </w:r>
      <w:r w:rsidRPr="001A3D2B">
        <w:t>breast should aim to identify those features that distinguish malignant from benign lumps.</w:t>
      </w:r>
    </w:p>
    <w:p w:rsidR="003474F2" w:rsidRPr="001A3D2B" w:rsidRDefault="003474F2" w:rsidP="003474F2">
      <w:pPr>
        <w:pStyle w:val="a3"/>
      </w:pPr>
      <w:r w:rsidRPr="001A3D2B">
        <w:t>Mammography can often clarify</w:t>
      </w:r>
      <w:r w:rsidR="003A1917">
        <w:t xml:space="preserve"> the </w:t>
      </w:r>
      <w:r w:rsidRPr="001A3D2B">
        <w:t>nature</w:t>
      </w:r>
      <w:r w:rsidR="00427468">
        <w:t xml:space="preserve"> of </w:t>
      </w:r>
      <w:r w:rsidR="003A1917">
        <w:t xml:space="preserve">the </w:t>
      </w:r>
      <w:r w:rsidRPr="001A3D2B">
        <w:t>lump</w:t>
      </w:r>
      <w:r w:rsidR="005853A9">
        <w:t xml:space="preserve"> and </w:t>
      </w:r>
      <w:r w:rsidRPr="001A3D2B">
        <w:t>detect clinically occult lesions in either breast.</w:t>
      </w:r>
    </w:p>
    <w:p w:rsidR="003474F2" w:rsidRPr="001A3D2B" w:rsidRDefault="003474F2" w:rsidP="003474F2">
      <w:pPr>
        <w:pStyle w:val="a3"/>
      </w:pPr>
      <w:r w:rsidRPr="001A3D2B">
        <w:t>Fine-needle aspiration can establish whether</w:t>
      </w:r>
      <w:r w:rsidR="003A1917">
        <w:t xml:space="preserve"> the </w:t>
      </w:r>
      <w:r w:rsidRPr="001A3D2B">
        <w:t>lump is solid or cystic. When a tumour is solid, cells can be obtained for cytologic examination.</w:t>
      </w:r>
    </w:p>
    <w:p w:rsidR="003474F2" w:rsidRPr="001A3D2B" w:rsidRDefault="003474F2" w:rsidP="003474F2">
      <w:pPr>
        <w:pStyle w:val="a3"/>
      </w:pPr>
      <w:r w:rsidRPr="001A3D2B">
        <w:t>Ultrasonography is an alternative method to fine-needle aspiration for distinguishing a cyst from a solid tumour.</w:t>
      </w:r>
    </w:p>
    <w:p w:rsidR="003474F2" w:rsidRPr="001A3D2B" w:rsidRDefault="003474F2" w:rsidP="003474F2">
      <w:pPr>
        <w:pStyle w:val="a3"/>
      </w:pPr>
      <w:r w:rsidRPr="001A3D2B">
        <w:t>Whenever reasonable doubt remains as to whether a lump is benign or malignant, a biopsy should be carried out.</w:t>
      </w:r>
    </w:p>
    <w:p w:rsidR="003474F2" w:rsidRPr="001A3D2B" w:rsidRDefault="003474F2" w:rsidP="003474F2">
      <w:pPr>
        <w:pStyle w:val="a3"/>
      </w:pPr>
      <w:r w:rsidRPr="001A3D2B">
        <w:t>When surgical biopsy is used,</w:t>
      </w:r>
      <w:r w:rsidR="003A1917">
        <w:t xml:space="preserve"> the </w:t>
      </w:r>
      <w:r w:rsidRPr="001A3D2B">
        <w:t>aim is to remove</w:t>
      </w:r>
      <w:r w:rsidR="003A1917">
        <w:t xml:space="preserve"> the </w:t>
      </w:r>
      <w:r w:rsidRPr="001A3D2B">
        <w:t>whole lump in one piece along with a surrounding cuff</w:t>
      </w:r>
      <w:r w:rsidR="00427468">
        <w:t xml:space="preserve"> of </w:t>
      </w:r>
      <w:r w:rsidRPr="001A3D2B">
        <w:t>normal tissue.</w:t>
      </w:r>
    </w:p>
    <w:p w:rsidR="003474F2" w:rsidRPr="001A3D2B" w:rsidRDefault="003474F2" w:rsidP="003474F2">
      <w:pPr>
        <w:pStyle w:val="a3"/>
      </w:pPr>
      <w:r w:rsidRPr="001A3D2B">
        <w:t xml:space="preserve">Core biopsy, either clinically or image-guided, can usually establish or exclude </w:t>
      </w:r>
      <w:r w:rsidRPr="001A3D2B">
        <w:lastRenderedPageBreak/>
        <w:t>malignancy, thus reducing</w:t>
      </w:r>
      <w:r w:rsidR="003A1917">
        <w:t xml:space="preserve"> the </w:t>
      </w:r>
      <w:r w:rsidRPr="001A3D2B">
        <w:t>need for surgical biopsy.</w:t>
      </w:r>
    </w:p>
    <w:p w:rsidR="003474F2" w:rsidRPr="001A3D2B" w:rsidRDefault="003474F2" w:rsidP="003474F2">
      <w:pPr>
        <w:pStyle w:val="a3"/>
      </w:pPr>
      <w:r w:rsidRPr="001A3D2B">
        <w:t>Thermography</w:t>
      </w:r>
      <w:r w:rsidR="005853A9">
        <w:t xml:space="preserve"> and </w:t>
      </w:r>
      <w:r w:rsidRPr="001A3D2B">
        <w:t>light scanning are not recommended diagnostic procedures</w:t>
      </w:r>
      <w:r w:rsidR="00A37C1D">
        <w:t>. The</w:t>
      </w:r>
      <w:r w:rsidR="003A1917">
        <w:t xml:space="preserve"> </w:t>
      </w:r>
      <w:r w:rsidRPr="001A3D2B">
        <w:t>value</w:t>
      </w:r>
      <w:r w:rsidR="00427468">
        <w:t xml:space="preserve"> of </w:t>
      </w:r>
      <w:r w:rsidRPr="001A3D2B">
        <w:t>magnetic resonance imaging is still under investigation. It is nota routine diagnostic procedure at this time.</w:t>
      </w:r>
    </w:p>
    <w:p w:rsidR="003474F2" w:rsidRPr="001A3D2B" w:rsidRDefault="003474F2" w:rsidP="003474F2">
      <w:pPr>
        <w:pStyle w:val="a3"/>
      </w:pPr>
      <w:r w:rsidRPr="001A3D2B">
        <w:t>The choice</w:t>
      </w:r>
      <w:r w:rsidR="00427468">
        <w:t xml:space="preserve"> of </w:t>
      </w:r>
      <w:r w:rsidRPr="001A3D2B">
        <w:t>procedure should take into account</w:t>
      </w:r>
      <w:r w:rsidR="003A1917">
        <w:t xml:space="preserve"> the </w:t>
      </w:r>
      <w:r w:rsidRPr="001A3D2B">
        <w:t>experience</w:t>
      </w:r>
      <w:r w:rsidR="00427468">
        <w:t xml:space="preserve"> of </w:t>
      </w:r>
      <w:r w:rsidR="003A1917">
        <w:t xml:space="preserve">the </w:t>
      </w:r>
      <w:r w:rsidRPr="001A3D2B">
        <w:t>diagnostician</w:t>
      </w:r>
      <w:r w:rsidR="005853A9">
        <w:t xml:space="preserve"> and </w:t>
      </w:r>
      <w:r w:rsidRPr="001A3D2B">
        <w:t>availability</w:t>
      </w:r>
      <w:r w:rsidR="00427468">
        <w:t xml:space="preserve"> of </w:t>
      </w:r>
      <w:r w:rsidR="003A1917">
        <w:t xml:space="preserve">the </w:t>
      </w:r>
      <w:r w:rsidRPr="001A3D2B">
        <w:t>technology in question.</w:t>
      </w:r>
    </w:p>
    <w:p w:rsidR="003474F2" w:rsidRPr="001A3D2B" w:rsidRDefault="003474F2" w:rsidP="003474F2">
      <w:pPr>
        <w:pStyle w:val="a3"/>
      </w:pPr>
      <w:r w:rsidRPr="001A3D2B">
        <w:t>The work-up should be completed expeditiously</w:t>
      </w:r>
      <w:r w:rsidR="005853A9">
        <w:t xml:space="preserve"> and </w:t>
      </w:r>
      <w:r w:rsidR="003A1917">
        <w:t xml:space="preserve">the </w:t>
      </w:r>
      <w:r w:rsidRPr="001A3D2B">
        <w:t>patient kept fully informed throughout.</w:t>
      </w:r>
    </w:p>
    <w:p w:rsidR="003474F2" w:rsidRPr="001A3D2B" w:rsidRDefault="003474F2" w:rsidP="003474F2">
      <w:pPr>
        <w:pStyle w:val="a3"/>
      </w:pPr>
      <w:r w:rsidRPr="001A3D2B">
        <w:t>Even when malignancy is not found, it may be prudent, in some cases, to arrange followup surveillance.</w:t>
      </w:r>
    </w:p>
    <w:p w:rsidR="003474F2" w:rsidRPr="001A3D2B" w:rsidRDefault="003474F2" w:rsidP="003474F2">
      <w:pPr>
        <w:pStyle w:val="a3"/>
      </w:pPr>
      <w:r w:rsidRPr="001A3D2B">
        <w:t>Validation: Guidelines were reviewed</w:t>
      </w:r>
      <w:r w:rsidR="005853A9">
        <w:t xml:space="preserve"> and </w:t>
      </w:r>
      <w:r w:rsidRPr="001A3D2B">
        <w:t>revised by</w:t>
      </w:r>
      <w:r w:rsidR="003A1917">
        <w:t xml:space="preserve"> the </w:t>
      </w:r>
      <w:r w:rsidRPr="001A3D2B">
        <w:t>Writing Committee, expert primary reviewers, secondary reviewers selected from all regions</w:t>
      </w:r>
      <w:r w:rsidR="00427468">
        <w:t xml:space="preserve"> of </w:t>
      </w:r>
      <w:r w:rsidRPr="001A3D2B">
        <w:t>Canada</w:t>
      </w:r>
      <w:r w:rsidR="005853A9">
        <w:t xml:space="preserve"> and </w:t>
      </w:r>
      <w:r w:rsidRPr="001A3D2B">
        <w:t>by</w:t>
      </w:r>
      <w:r w:rsidR="003A1917">
        <w:t xml:space="preserve"> the </w:t>
      </w:r>
      <w:r w:rsidRPr="001A3D2B">
        <w:t>Steering Committee</w:t>
      </w:r>
      <w:r w:rsidR="00A37C1D">
        <w:t>. The</w:t>
      </w:r>
      <w:r w:rsidR="003A1917">
        <w:t xml:space="preserve"> </w:t>
      </w:r>
      <w:r w:rsidRPr="001A3D2B">
        <w:t>final document reflects a consensus</w:t>
      </w:r>
      <w:r w:rsidR="00427468">
        <w:t xml:space="preserve"> of </w:t>
      </w:r>
      <w:r w:rsidRPr="001A3D2B">
        <w:t>all these contributors.</w:t>
      </w:r>
    </w:p>
    <w:p w:rsidR="003474F2" w:rsidRPr="001A3D2B" w:rsidRDefault="003474F2" w:rsidP="003474F2">
      <w:pPr>
        <w:pStyle w:val="a3"/>
      </w:pPr>
      <w:r w:rsidRPr="001A3D2B">
        <w:t>Keywords: Fine-Needle Aspiration, Core Biopsy, Cancer, Communication, Management, Carcinoma, Diagnosis, Cytology, Lesions, Health</w:t>
      </w:r>
    </w:p>
    <w:p w:rsidR="003474F2" w:rsidRPr="001A3D2B" w:rsidRDefault="003474F2" w:rsidP="003474F2">
      <w:pPr>
        <w:pStyle w:val="a3"/>
      </w:pPr>
      <w:r w:rsidRPr="001A3D2B">
        <w:t>Margolese, R.G., Beaulieu, M.D., Caines, J.S., Bouchard, F., Olivotto, I.A., Nolan, M.C., Thain, S.K., Levine, M.N., Mickelson, W.P., McGregor, M., Shibata, H.R., Wilkinson, R.H., Agranovich, A.L., Ahmed, D.S., Baird, R.M., Craven, N., Dort, J.C., Grainger, N., Leaghey, S.M., Lohfeld, L., Nolan, E., Norris, B.D., Rebbeck, P.M., Sawka, C.A., Shaw, K.</w:t>
      </w:r>
      <w:r w:rsidR="005853A9">
        <w:t xml:space="preserve"> and </w:t>
      </w:r>
      <w:r w:rsidRPr="001A3D2B">
        <w:t>Smith, P. (1998), Mastectomy or lumpectomy?</w:t>
      </w:r>
      <w:r w:rsidR="003A1917">
        <w:t xml:space="preserve"> the </w:t>
      </w:r>
      <w:r w:rsidRPr="001A3D2B">
        <w:t>choice</w:t>
      </w:r>
      <w:r w:rsidR="00427468">
        <w:t xml:space="preserve"> of </w:t>
      </w:r>
      <w:r w:rsidRPr="001A3D2B">
        <w:t>operation for clinical stages I</w:t>
      </w:r>
      <w:r w:rsidR="005853A9">
        <w:t xml:space="preserve"> and </w:t>
      </w:r>
      <w:r w:rsidRPr="001A3D2B">
        <w:t xml:space="preserve">II breast cancer. </w:t>
      </w:r>
      <w:r w:rsidRPr="001A3D2B">
        <w:rPr>
          <w:i/>
          <w:iCs/>
        </w:rPr>
        <w:t>Canadian Medical Association Journal</w:t>
      </w:r>
      <w:r w:rsidRPr="001A3D2B">
        <w:t xml:space="preserve">, </w:t>
      </w:r>
      <w:r w:rsidRPr="001A3D2B">
        <w:rPr>
          <w:b/>
          <w:bCs/>
        </w:rPr>
        <w:t>158</w:t>
      </w:r>
      <w:r w:rsidRPr="001A3D2B">
        <w:t>, S15-S21.</w:t>
      </w:r>
    </w:p>
    <w:p w:rsidR="003474F2" w:rsidRPr="001A3D2B" w:rsidRDefault="003474F2" w:rsidP="003474F2">
      <w:pPr>
        <w:pStyle w:val="a3"/>
      </w:pPr>
      <w:r w:rsidRPr="001A3D2B">
        <w:t xml:space="preserve">Full Text: </w:t>
      </w:r>
      <w:hyperlink r:id="rId90" w:history="1">
        <w:r w:rsidRPr="001A3D2B">
          <w:rPr>
            <w:rStyle w:val="a5"/>
          </w:rPr>
          <w:t>1998\Can Med Ass J158, S15.pdf</w:t>
        </w:r>
      </w:hyperlink>
    </w:p>
    <w:p w:rsidR="003474F2" w:rsidRPr="001A3D2B" w:rsidRDefault="003474F2" w:rsidP="003474F2">
      <w:pPr>
        <w:pStyle w:val="a3"/>
      </w:pPr>
      <w:r w:rsidRPr="001A3D2B">
        <w:t>Abstract: Objective: To assist women</w:t>
      </w:r>
      <w:r w:rsidR="005853A9">
        <w:t xml:space="preserve"> and </w:t>
      </w:r>
      <w:r w:rsidRPr="001A3D2B">
        <w:t>their physicians in making</w:t>
      </w:r>
      <w:r w:rsidR="003A1917">
        <w:t xml:space="preserve"> the </w:t>
      </w:r>
      <w:r w:rsidRPr="001A3D2B">
        <w:t>most clinically effective</w:t>
      </w:r>
      <w:r w:rsidR="005853A9">
        <w:t xml:space="preserve"> and </w:t>
      </w:r>
      <w:r w:rsidRPr="001A3D2B">
        <w:t>personally acceptable decision regarding</w:t>
      </w:r>
      <w:r w:rsidR="003A1917">
        <w:t xml:space="preserve"> the </w:t>
      </w:r>
      <w:r w:rsidRPr="001A3D2B">
        <w:t>choice</w:t>
      </w:r>
      <w:r w:rsidR="00427468">
        <w:t xml:space="preserve"> of </w:t>
      </w:r>
      <w:r w:rsidRPr="001A3D2B">
        <w:t>primary surgery for potentially curable breast cancer.</w:t>
      </w:r>
    </w:p>
    <w:p w:rsidR="003474F2" w:rsidRPr="001A3D2B" w:rsidRDefault="003474F2" w:rsidP="003474F2">
      <w:pPr>
        <w:pStyle w:val="a3"/>
      </w:pPr>
      <w:r w:rsidRPr="001A3D2B">
        <w:t>Options: Breast-conserving surgery (BCS; also referred to as lumpectomy or wide local excision) or mastectomy.</w:t>
      </w:r>
    </w:p>
    <w:p w:rsidR="003474F2" w:rsidRPr="001A3D2B" w:rsidRDefault="003474F2" w:rsidP="003474F2">
      <w:pPr>
        <w:pStyle w:val="a3"/>
      </w:pPr>
      <w:r w:rsidRPr="001A3D2B">
        <w:t>Outcomes: Local recurrence, metastasis-free survival, overall survival, cosmetic results.</w:t>
      </w:r>
    </w:p>
    <w:p w:rsidR="003474F2" w:rsidRPr="001A3D2B" w:rsidRDefault="003474F2" w:rsidP="003474F2">
      <w:pPr>
        <w:pStyle w:val="a3"/>
      </w:pPr>
      <w:r w:rsidRPr="001A3D2B">
        <w:t xml:space="preserve">Evidence: Systematic computerized citation search using </w:t>
      </w:r>
      <w:r w:rsidR="00D5664A">
        <w:t>MEDLINE</w:t>
      </w:r>
      <w:r w:rsidRPr="001A3D2B">
        <w:t xml:space="preserve"> (from 1980)</w:t>
      </w:r>
      <w:r w:rsidR="005853A9">
        <w:t xml:space="preserve"> and </w:t>
      </w:r>
      <w:r w:rsidRPr="001A3D2B">
        <w:t>CANCERLIT (from 1985) databases to September 1995. Nonsystematic review</w:t>
      </w:r>
      <w:r w:rsidR="00427468">
        <w:t xml:space="preserve"> of </w:t>
      </w:r>
      <w:r w:rsidRPr="001A3D2B">
        <w:t>breast cancer literature until January 1997.</w:t>
      </w:r>
    </w:p>
    <w:p w:rsidR="003474F2" w:rsidRPr="001A3D2B" w:rsidRDefault="003474F2" w:rsidP="003474F2">
      <w:pPr>
        <w:pStyle w:val="a3"/>
      </w:pPr>
      <w:r w:rsidRPr="001A3D2B">
        <w:t>Benefits: Minimization</w:t>
      </w:r>
      <w:r w:rsidR="00427468">
        <w:t xml:space="preserve"> of </w:t>
      </w:r>
      <w:r w:rsidRPr="001A3D2B">
        <w:t>disfigurement offered by BCS.</w:t>
      </w:r>
    </w:p>
    <w:p w:rsidR="003474F2" w:rsidRPr="001A3D2B" w:rsidRDefault="003474F2" w:rsidP="003474F2">
      <w:pPr>
        <w:pStyle w:val="a3"/>
      </w:pPr>
      <w:r w:rsidRPr="001A3D2B">
        <w:t>Harms:</w:t>
      </w:r>
      <w:r w:rsidR="003A1917">
        <w:t xml:space="preserve"> the </w:t>
      </w:r>
      <w:r w:rsidRPr="001A3D2B">
        <w:t>need for radiotherapy</w:t>
      </w:r>
      <w:r w:rsidR="005853A9">
        <w:t xml:space="preserve"> and </w:t>
      </w:r>
      <w:r w:rsidR="003A1917">
        <w:t xml:space="preserve">the </w:t>
      </w:r>
      <w:r w:rsidRPr="001A3D2B">
        <w:t>greater costs associated with BCS.</w:t>
      </w:r>
    </w:p>
    <w:p w:rsidR="003474F2" w:rsidRPr="001A3D2B" w:rsidRDefault="003474F2" w:rsidP="003474F2">
      <w:pPr>
        <w:pStyle w:val="a3"/>
      </w:pPr>
      <w:r w:rsidRPr="001A3D2B">
        <w:t>Recommendations:</w:t>
      </w:r>
    </w:p>
    <w:p w:rsidR="003474F2" w:rsidRPr="001A3D2B" w:rsidRDefault="003474F2" w:rsidP="003474F2">
      <w:pPr>
        <w:pStyle w:val="a3"/>
      </w:pPr>
      <w:r w:rsidRPr="001A3D2B">
        <w:t>For patients with stage I or II breast cancer, BCS followed by radiotherapy is generally recommended. In</w:t>
      </w:r>
      <w:r w:rsidR="003A1917">
        <w:t xml:space="preserve"> the </w:t>
      </w:r>
      <w:r w:rsidRPr="001A3D2B">
        <w:t>absence</w:t>
      </w:r>
      <w:r w:rsidR="00427468">
        <w:t xml:space="preserve"> of </w:t>
      </w:r>
      <w:r w:rsidRPr="001A3D2B">
        <w:t>special reasons for selecting mastectomy,</w:t>
      </w:r>
      <w:r w:rsidR="003A1917">
        <w:t xml:space="preserve"> the </w:t>
      </w:r>
      <w:r w:rsidRPr="001A3D2B">
        <w:t>choice between BCS</w:t>
      </w:r>
      <w:r w:rsidR="005853A9">
        <w:t xml:space="preserve"> and </w:t>
      </w:r>
      <w:r w:rsidRPr="001A3D2B">
        <w:t>mastectomy can be made according to</w:t>
      </w:r>
      <w:r w:rsidR="003A1917">
        <w:t xml:space="preserve"> the </w:t>
      </w:r>
      <w:r w:rsidRPr="001A3D2B">
        <w:t>patient</w:t>
      </w:r>
      <w:r w:rsidR="0071223E">
        <w:t>’</w:t>
      </w:r>
      <w:r w:rsidR="00C13DDC">
        <w:t>s</w:t>
      </w:r>
      <w:r w:rsidRPr="001A3D2B">
        <w:t xml:space="preserve"> circumstances</w:t>
      </w:r>
      <w:r w:rsidR="005853A9">
        <w:t xml:space="preserve"> </w:t>
      </w:r>
      <w:r w:rsidR="005853A9">
        <w:lastRenderedPageBreak/>
        <w:t xml:space="preserve">and </w:t>
      </w:r>
      <w:r w:rsidRPr="001A3D2B">
        <w:t>personal preferences.</w:t>
      </w:r>
    </w:p>
    <w:p w:rsidR="003474F2" w:rsidRPr="001A3D2B" w:rsidRDefault="003474F2" w:rsidP="003474F2">
      <w:pPr>
        <w:pStyle w:val="a3"/>
      </w:pPr>
      <w:r w:rsidRPr="001A3D2B">
        <w:t>Mastectomy should be considered in</w:t>
      </w:r>
      <w:r w:rsidR="003A1917">
        <w:t xml:space="preserve"> the </w:t>
      </w:r>
      <w:r w:rsidRPr="001A3D2B">
        <w:t>presence</w:t>
      </w:r>
      <w:r w:rsidR="00427468">
        <w:t xml:space="preserve"> of </w:t>
      </w:r>
      <w:r w:rsidRPr="001A3D2B">
        <w:t>any</w:t>
      </w:r>
      <w:r w:rsidR="00427468">
        <w:t xml:space="preserve"> of </w:t>
      </w:r>
      <w:r w:rsidR="003A1917">
        <w:t xml:space="preserve">the </w:t>
      </w:r>
      <w:r w:rsidRPr="001A3D2B">
        <w:t xml:space="preserve">following: </w:t>
      </w:r>
    </w:p>
    <w:p w:rsidR="003474F2" w:rsidRPr="001A3D2B" w:rsidRDefault="003474F2" w:rsidP="003474F2">
      <w:pPr>
        <w:pStyle w:val="a3"/>
      </w:pPr>
      <w:r w:rsidRPr="001A3D2B">
        <w:t>(a) factors that increase</w:t>
      </w:r>
      <w:r w:rsidR="003A1917">
        <w:t xml:space="preserve"> the </w:t>
      </w:r>
      <w:r w:rsidRPr="001A3D2B">
        <w:t>risk</w:t>
      </w:r>
      <w:r w:rsidR="00427468">
        <w:t xml:space="preserve"> of </w:t>
      </w:r>
      <w:r w:rsidRPr="001A3D2B">
        <w:t>local recurrence such as extensive malignant-type calcifications visible on</w:t>
      </w:r>
      <w:r w:rsidR="003A1917">
        <w:t xml:space="preserve"> the </w:t>
      </w:r>
      <w:r w:rsidRPr="001A3D2B">
        <w:t>mammogram, multiple primary tumours or failure to obtain tumour-free margins;</w:t>
      </w:r>
    </w:p>
    <w:p w:rsidR="003474F2" w:rsidRPr="001A3D2B" w:rsidRDefault="003474F2" w:rsidP="003474F2">
      <w:pPr>
        <w:pStyle w:val="a3"/>
      </w:pPr>
      <w:r w:rsidRPr="001A3D2B">
        <w:t>(b) physical disabilities that preclude lying flat or abducting</w:t>
      </w:r>
      <w:r w:rsidR="003A1917">
        <w:t xml:space="preserve"> the </w:t>
      </w:r>
      <w:r w:rsidRPr="001A3D2B">
        <w:t>arm, preventing</w:t>
      </w:r>
      <w:r w:rsidR="003A1917">
        <w:t xml:space="preserve"> the </w:t>
      </w:r>
      <w:r w:rsidRPr="001A3D2B">
        <w:t>use</w:t>
      </w:r>
      <w:r w:rsidR="00427468">
        <w:t xml:space="preserve"> of </w:t>
      </w:r>
      <w:r w:rsidRPr="001A3D2B">
        <w:t>radiotherapy;</w:t>
      </w:r>
    </w:p>
    <w:p w:rsidR="003474F2" w:rsidRPr="001A3D2B" w:rsidRDefault="003474F2" w:rsidP="003474F2">
      <w:pPr>
        <w:pStyle w:val="a3"/>
      </w:pPr>
      <w:r w:rsidRPr="001A3D2B">
        <w:t>(c) absolute contraindications for radiotherapy such as pregnancy or previous irradiation</w:t>
      </w:r>
      <w:r w:rsidR="00427468">
        <w:t xml:space="preserve"> of </w:t>
      </w:r>
      <w:r w:rsidR="003A1917">
        <w:t xml:space="preserve">the </w:t>
      </w:r>
      <w:r w:rsidRPr="001A3D2B">
        <w:t>breast or relative contraindications such as systemic lupus erythematosus or scleroderma;</w:t>
      </w:r>
    </w:p>
    <w:p w:rsidR="003474F2" w:rsidRPr="001A3D2B" w:rsidRDefault="003474F2" w:rsidP="003474F2">
      <w:pPr>
        <w:pStyle w:val="a3"/>
      </w:pPr>
      <w:r w:rsidRPr="001A3D2B">
        <w:t>(d) large tumour size in proportion to breast size;</w:t>
      </w:r>
    </w:p>
    <w:p w:rsidR="003474F2" w:rsidRPr="001A3D2B" w:rsidRDefault="003474F2" w:rsidP="003474F2">
      <w:pPr>
        <w:pStyle w:val="a3"/>
      </w:pPr>
      <w:r w:rsidRPr="001A3D2B">
        <w:t>(e)</w:t>
      </w:r>
      <w:r w:rsidR="003A1917">
        <w:t xml:space="preserve"> the </w:t>
      </w:r>
      <w:r w:rsidRPr="001A3D2B">
        <w:t>patient</w:t>
      </w:r>
      <w:r w:rsidR="0071223E">
        <w:t>’</w:t>
      </w:r>
      <w:r w:rsidR="00C13DDC">
        <w:t>s</w:t>
      </w:r>
      <w:r w:rsidRPr="001A3D2B">
        <w:t xml:space="preserve"> clear preference for mastectomy.</w:t>
      </w:r>
    </w:p>
    <w:p w:rsidR="003474F2" w:rsidRPr="001A3D2B" w:rsidRDefault="003474F2" w:rsidP="003474F2">
      <w:pPr>
        <w:pStyle w:val="a3"/>
      </w:pPr>
      <w:r w:rsidRPr="001A3D2B">
        <w:t>The following factors are not contraindications for BCS:</w:t>
      </w:r>
      <w:r w:rsidR="003A1917">
        <w:t xml:space="preserve"> the </w:t>
      </w:r>
      <w:r w:rsidRPr="001A3D2B">
        <w:t>presence</w:t>
      </w:r>
      <w:r w:rsidR="00427468">
        <w:t xml:space="preserve"> of </w:t>
      </w:r>
      <w:r w:rsidRPr="001A3D2B">
        <w:t>a centrally located tumour mass, axillary lymph-node involvement or</w:t>
      </w:r>
      <w:r w:rsidR="003A1917">
        <w:t xml:space="preserve"> the </w:t>
      </w:r>
      <w:r w:rsidRPr="001A3D2B">
        <w:t>presence</w:t>
      </w:r>
      <w:r w:rsidR="00427468">
        <w:t xml:space="preserve"> of </w:t>
      </w:r>
      <w:r w:rsidRPr="001A3D2B">
        <w:t>breast implants.</w:t>
      </w:r>
    </w:p>
    <w:p w:rsidR="003474F2" w:rsidRPr="001A3D2B" w:rsidRDefault="003474F2" w:rsidP="003474F2">
      <w:pPr>
        <w:pStyle w:val="a3"/>
      </w:pPr>
      <w:r w:rsidRPr="001A3D2B">
        <w:t>Before deciding between BCS</w:t>
      </w:r>
      <w:r w:rsidR="005853A9">
        <w:t xml:space="preserve"> and </w:t>
      </w:r>
      <w:r w:rsidRPr="001A3D2B">
        <w:t>mastectomy,</w:t>
      </w:r>
      <w:r w:rsidR="003A1917">
        <w:t xml:space="preserve"> the </w:t>
      </w:r>
      <w:r w:rsidRPr="001A3D2B">
        <w:t>physician must make a full</w:t>
      </w:r>
      <w:r w:rsidR="005853A9">
        <w:t xml:space="preserve"> and </w:t>
      </w:r>
      <w:r w:rsidRPr="001A3D2B">
        <w:t>balanced presentation to</w:t>
      </w:r>
      <w:r w:rsidR="003A1917">
        <w:t xml:space="preserve"> the </w:t>
      </w:r>
      <w:r w:rsidRPr="001A3D2B">
        <w:t>patient concerning</w:t>
      </w:r>
      <w:r w:rsidR="003A1917">
        <w:t xml:space="preserve"> the </w:t>
      </w:r>
      <w:r w:rsidRPr="001A3D2B">
        <w:t>pros</w:t>
      </w:r>
      <w:r w:rsidR="005853A9">
        <w:t xml:space="preserve"> and </w:t>
      </w:r>
      <w:r w:rsidRPr="001A3D2B">
        <w:t>cons</w:t>
      </w:r>
      <w:r w:rsidR="00427468">
        <w:t xml:space="preserve"> of </w:t>
      </w:r>
      <w:r w:rsidRPr="001A3D2B">
        <w:t>these procedures.</w:t>
      </w:r>
    </w:p>
    <w:p w:rsidR="003474F2" w:rsidRPr="001A3D2B" w:rsidRDefault="003474F2" w:rsidP="003474F2">
      <w:pPr>
        <w:pStyle w:val="a3"/>
      </w:pPr>
      <w:r w:rsidRPr="001A3D2B">
        <w:t>Whenever an open biopsy is performed on</w:t>
      </w:r>
      <w:r w:rsidR="003A1917">
        <w:t xml:space="preserve"> the </w:t>
      </w:r>
      <w:r w:rsidRPr="001A3D2B">
        <w:t>basis</w:t>
      </w:r>
      <w:r w:rsidR="00427468">
        <w:t xml:space="preserve"> of </w:t>
      </w:r>
      <w:r w:rsidRPr="001A3D2B">
        <w:t>even modest suspicion</w:t>
      </w:r>
      <w:r w:rsidR="00427468">
        <w:t xml:space="preserve"> of </w:t>
      </w:r>
      <w:r w:rsidRPr="001A3D2B">
        <w:t>carcinoma,</w:t>
      </w:r>
      <w:r w:rsidR="003A1917">
        <w:t xml:space="preserve"> the </w:t>
      </w:r>
      <w:r w:rsidRPr="001A3D2B">
        <w:t>procedure should be, in effect, a lumpectomy, using wide local excision</w:t>
      </w:r>
      <w:r w:rsidR="00427468">
        <w:t xml:space="preserve"> of </w:t>
      </w:r>
      <w:r w:rsidR="003A1917">
        <w:t xml:space="preserve">the </w:t>
      </w:r>
      <w:r w:rsidRPr="001A3D2B">
        <w:t>intact tumour surrounded by a cuff</w:t>
      </w:r>
      <w:r w:rsidR="00427468">
        <w:t xml:space="preserve"> of </w:t>
      </w:r>
      <w:r w:rsidRPr="001A3D2B">
        <w:t>tumour-free tissue (by palpation</w:t>
      </w:r>
      <w:r w:rsidR="005853A9">
        <w:t xml:space="preserve"> and </w:t>
      </w:r>
      <w:r w:rsidRPr="001A3D2B">
        <w:t>visual inspection).</w:t>
      </w:r>
    </w:p>
    <w:p w:rsidR="003474F2" w:rsidRPr="001A3D2B" w:rsidRDefault="003474F2" w:rsidP="003474F2">
      <w:pPr>
        <w:pStyle w:val="a3"/>
      </w:pPr>
      <w:r w:rsidRPr="001A3D2B">
        <w:t>The following recommendations should be observed to provide optimum clinical</w:t>
      </w:r>
      <w:r w:rsidR="005853A9">
        <w:t xml:space="preserve"> and </w:t>
      </w:r>
      <w:r w:rsidRPr="001A3D2B">
        <w:t xml:space="preserve">cosmetic results: </w:t>
      </w:r>
    </w:p>
    <w:p w:rsidR="003474F2" w:rsidRPr="001A3D2B" w:rsidRDefault="003474F2" w:rsidP="003474F2">
      <w:pPr>
        <w:pStyle w:val="a3"/>
      </w:pPr>
      <w:r w:rsidRPr="001A3D2B">
        <w:t>(a) Tumour-involved margins should be revised;</w:t>
      </w:r>
    </w:p>
    <w:p w:rsidR="003474F2" w:rsidRPr="001A3D2B" w:rsidRDefault="003474F2" w:rsidP="003474F2">
      <w:pPr>
        <w:pStyle w:val="a3"/>
      </w:pPr>
      <w:r w:rsidRPr="001A3D2B">
        <w:t>(b) Separate incisions should be used for removal</w:t>
      </w:r>
      <w:r w:rsidR="00427468">
        <w:t xml:space="preserve"> of </w:t>
      </w:r>
      <w:r w:rsidR="003A1917">
        <w:t xml:space="preserve">the </w:t>
      </w:r>
      <w:r w:rsidRPr="001A3D2B">
        <w:t>primary tumour</w:t>
      </w:r>
      <w:r w:rsidR="005853A9">
        <w:t xml:space="preserve"> and </w:t>
      </w:r>
      <w:r w:rsidRPr="001A3D2B">
        <w:t>for</w:t>
      </w:r>
      <w:r w:rsidR="003A1917">
        <w:t xml:space="preserve"> the </w:t>
      </w:r>
      <w:r w:rsidRPr="001A3D2B">
        <w:t>axillary dissection except when these coincide anatomically;</w:t>
      </w:r>
    </w:p>
    <w:p w:rsidR="003474F2" w:rsidRPr="001A3D2B" w:rsidRDefault="003474F2" w:rsidP="003474F2">
      <w:pPr>
        <w:pStyle w:val="a3"/>
      </w:pPr>
      <w:r w:rsidRPr="001A3D2B">
        <w:t>(c) Radial incisions should not be used except when directly medial or lateral to</w:t>
      </w:r>
      <w:r w:rsidR="003A1917">
        <w:t xml:space="preserve"> the </w:t>
      </w:r>
      <w:r w:rsidRPr="001A3D2B">
        <w:t>nipple;</w:t>
      </w:r>
    </w:p>
    <w:p w:rsidR="003474F2" w:rsidRPr="001A3D2B" w:rsidRDefault="003474F2" w:rsidP="003474F2">
      <w:pPr>
        <w:pStyle w:val="a3"/>
      </w:pPr>
      <w:r w:rsidRPr="001A3D2B">
        <w:t>(d) Drains</w:t>
      </w:r>
      <w:r w:rsidR="005853A9">
        <w:t xml:space="preserve"> and </w:t>
      </w:r>
      <w:r w:rsidRPr="001A3D2B">
        <w:t>approximation sutures should not be used in</w:t>
      </w:r>
      <w:r w:rsidR="003A1917">
        <w:t xml:space="preserve"> the </w:t>
      </w:r>
      <w:r w:rsidRPr="001A3D2B">
        <w:t>breast parenchyma.</w:t>
      </w:r>
    </w:p>
    <w:p w:rsidR="003474F2" w:rsidRPr="001A3D2B" w:rsidRDefault="003474F2" w:rsidP="003474F2">
      <w:pPr>
        <w:pStyle w:val="a3"/>
      </w:pPr>
      <w:r w:rsidRPr="001A3D2B">
        <w:t>Validation:</w:t>
      </w:r>
      <w:r w:rsidR="003A1917">
        <w:t xml:space="preserve"> the </w:t>
      </w:r>
      <w:r w:rsidRPr="001A3D2B">
        <w:t>guidelines were reviewed</w:t>
      </w:r>
      <w:r w:rsidR="005853A9">
        <w:t xml:space="preserve"> and </w:t>
      </w:r>
      <w:r w:rsidRPr="001A3D2B">
        <w:t>revised by a writing committee, expert primary reviewers, secondary reviewers selected from all regions</w:t>
      </w:r>
      <w:r w:rsidR="00427468">
        <w:t xml:space="preserve"> of </w:t>
      </w:r>
      <w:r w:rsidRPr="001A3D2B">
        <w:t>Canada,</w:t>
      </w:r>
      <w:r w:rsidR="005853A9">
        <w:t xml:space="preserve"> and </w:t>
      </w:r>
      <w:r w:rsidRPr="001A3D2B">
        <w:t>by</w:t>
      </w:r>
      <w:r w:rsidR="003A1917">
        <w:t xml:space="preserve"> the </w:t>
      </w:r>
      <w:r w:rsidRPr="001A3D2B">
        <w:t>Steering Committee</w:t>
      </w:r>
      <w:r w:rsidR="00A37C1D">
        <w:t>. The</w:t>
      </w:r>
      <w:r w:rsidR="003A1917">
        <w:t xml:space="preserve"> </w:t>
      </w:r>
      <w:r w:rsidRPr="001A3D2B">
        <w:t>final document reflects a consensus</w:t>
      </w:r>
      <w:r w:rsidR="00427468">
        <w:t xml:space="preserve"> of </w:t>
      </w:r>
      <w:r w:rsidRPr="001A3D2B">
        <w:t>all these contributors</w:t>
      </w:r>
      <w:r w:rsidR="005853A9">
        <w:t xml:space="preserve"> and </w:t>
      </w:r>
      <w:r w:rsidRPr="001A3D2B">
        <w:t>has been endorsed by</w:t>
      </w:r>
      <w:r w:rsidR="003A1917">
        <w:t xml:space="preserve"> the </w:t>
      </w:r>
      <w:r w:rsidRPr="001A3D2B">
        <w:t>Canadian Association</w:t>
      </w:r>
      <w:r w:rsidR="00427468">
        <w:t xml:space="preserve"> of </w:t>
      </w:r>
      <w:r w:rsidRPr="001A3D2B">
        <w:t>Radiation Oncologists.</w:t>
      </w:r>
    </w:p>
    <w:p w:rsidR="003474F2" w:rsidRPr="001A3D2B" w:rsidRDefault="003474F2" w:rsidP="003474F2">
      <w:pPr>
        <w:pStyle w:val="a3"/>
      </w:pPr>
      <w:r w:rsidRPr="001A3D2B">
        <w:t>Keywords: Comparing Total Mastectomy, Extensive Intraductal Component, Surgical Adjuvant Breast, Early Local Recurrence, Radiation-Therapy, Segmental-Mastectomy, Conservative Surgery, Conserving Therapy, Tumor-Excision, Follow-Up</w:t>
      </w:r>
    </w:p>
    <w:p w:rsidR="00C51252" w:rsidRDefault="00C51252" w:rsidP="00C51252">
      <w:pPr>
        <w:pStyle w:val="a3"/>
        <w:rPr>
          <w:kern w:val="0"/>
        </w:rPr>
      </w:pPr>
      <w:r>
        <w:rPr>
          <w:rFonts w:hint="eastAsia"/>
          <w:kern w:val="0"/>
        </w:rPr>
        <w:lastRenderedPageBreak/>
        <w:t>? (</w:t>
      </w:r>
      <w:r>
        <w:rPr>
          <w:kern w:val="0"/>
        </w:rPr>
        <w:t xml:space="preserve">1998), </w:t>
      </w:r>
      <w:r w:rsidRPr="00147CB7">
        <w:rPr>
          <w:i/>
          <w:kern w:val="0"/>
        </w:rPr>
        <w:t>CMAJ</w:t>
      </w:r>
      <w:r>
        <w:rPr>
          <w:kern w:val="0"/>
        </w:rPr>
        <w:t xml:space="preserve"> is Canada</w:t>
      </w:r>
      <w:r w:rsidR="0071223E">
        <w:rPr>
          <w:kern w:val="0"/>
        </w:rPr>
        <w:t>’</w:t>
      </w:r>
      <w:r>
        <w:rPr>
          <w:kern w:val="0"/>
        </w:rPr>
        <w:t xml:space="preserve">s most cited medical journal. </w:t>
      </w:r>
      <w:r>
        <w:rPr>
          <w:i/>
          <w:iCs/>
          <w:kern w:val="0"/>
        </w:rPr>
        <w:t>Canadian Medical Association Journal</w:t>
      </w:r>
      <w:r>
        <w:rPr>
          <w:kern w:val="0"/>
        </w:rPr>
        <w:t xml:space="preserve">, </w:t>
      </w:r>
      <w:r>
        <w:rPr>
          <w:b/>
          <w:bCs/>
          <w:kern w:val="0"/>
        </w:rPr>
        <w:t>159</w:t>
      </w:r>
      <w:r>
        <w:rPr>
          <w:kern w:val="0"/>
        </w:rPr>
        <w:t xml:space="preserve"> (2), 129</w:t>
      </w:r>
      <w:r>
        <w:rPr>
          <w:rFonts w:hint="eastAsia"/>
          <w:kern w:val="0"/>
        </w:rPr>
        <w:t>.</w:t>
      </w:r>
    </w:p>
    <w:p w:rsidR="00C51252" w:rsidRPr="00C73C58" w:rsidRDefault="00C51252" w:rsidP="00C51252">
      <w:pPr>
        <w:pStyle w:val="a3"/>
      </w:pPr>
      <w:r w:rsidRPr="00C73C58">
        <w:t xml:space="preserve">Full Text: </w:t>
      </w:r>
      <w:r>
        <w:rPr>
          <w:rFonts w:hint="eastAsia"/>
          <w:kern w:val="2"/>
        </w:rPr>
        <w:t>1998</w:t>
      </w:r>
      <w:r>
        <w:rPr>
          <w:kern w:val="2"/>
        </w:rPr>
        <w:t>\Can Med Ass J1</w:t>
      </w:r>
      <w:r>
        <w:rPr>
          <w:rFonts w:hint="eastAsia"/>
          <w:kern w:val="2"/>
        </w:rPr>
        <w:t>59</w:t>
      </w:r>
      <w:r>
        <w:rPr>
          <w:kern w:val="2"/>
        </w:rPr>
        <w:t xml:space="preserve">, </w:t>
      </w:r>
      <w:r>
        <w:rPr>
          <w:rFonts w:hint="eastAsia"/>
          <w:kern w:val="2"/>
        </w:rPr>
        <w:t>129</w:t>
      </w:r>
      <w:r w:rsidRPr="00147CB7">
        <w:rPr>
          <w:kern w:val="2"/>
        </w:rPr>
        <w:t>.pdf</w:t>
      </w:r>
    </w:p>
    <w:p w:rsidR="00C51252" w:rsidRDefault="00C51252" w:rsidP="00C51252">
      <w:pPr>
        <w:pStyle w:val="a3"/>
        <w:rPr>
          <w:kern w:val="0"/>
        </w:rPr>
      </w:pPr>
      <w:r>
        <w:rPr>
          <w:kern w:val="0"/>
        </w:rPr>
        <w:t>Keywords: Journal, Medical</w:t>
      </w:r>
    </w:p>
    <w:p w:rsidR="003474F2" w:rsidRPr="001A3D2B" w:rsidRDefault="003474F2" w:rsidP="003474F2">
      <w:pPr>
        <w:pStyle w:val="a3"/>
      </w:pPr>
      <w:r w:rsidRPr="001A3D2B">
        <w:t>Notes: JJournal</w:t>
      </w:r>
    </w:p>
    <w:p w:rsidR="003474F2" w:rsidRPr="001A3D2B" w:rsidRDefault="003474F2" w:rsidP="003474F2">
      <w:pPr>
        <w:pStyle w:val="a3"/>
      </w:pPr>
      <w:r w:rsidRPr="001A3D2B">
        <w:t>Joseph, K.S.</w:t>
      </w:r>
      <w:r w:rsidR="005853A9">
        <w:t xml:space="preserve"> and </w:t>
      </w:r>
      <w:r w:rsidRPr="001A3D2B">
        <w:t xml:space="preserve">Hoey, J. (1999), </w:t>
      </w:r>
      <w:r w:rsidRPr="001A3D2B">
        <w:rPr>
          <w:i/>
          <w:iCs/>
        </w:rPr>
        <w:t>CMAJ</w:t>
      </w:r>
      <w:r w:rsidR="0071223E">
        <w:t>’</w:t>
      </w:r>
      <w:r w:rsidR="00C13DDC">
        <w:t>s</w:t>
      </w:r>
      <w:r w:rsidRPr="001A3D2B">
        <w:t xml:space="preserve"> impact factor: Room for recalculation. </w:t>
      </w:r>
      <w:r w:rsidRPr="001A3D2B">
        <w:rPr>
          <w:i/>
          <w:iCs/>
        </w:rPr>
        <w:t>Canadian Medical Association Journal</w:t>
      </w:r>
      <w:r w:rsidRPr="001A3D2B">
        <w:t xml:space="preserve">, </w:t>
      </w:r>
      <w:r w:rsidRPr="001A3D2B">
        <w:rPr>
          <w:b/>
          <w:bCs/>
        </w:rPr>
        <w:t>161</w:t>
      </w:r>
      <w:r w:rsidRPr="001A3D2B">
        <w:t xml:space="preserve"> (8), 977-978.</w:t>
      </w:r>
    </w:p>
    <w:p w:rsidR="003474F2" w:rsidRPr="001A3D2B" w:rsidRDefault="003474F2" w:rsidP="003474F2">
      <w:pPr>
        <w:pStyle w:val="a3"/>
      </w:pPr>
      <w:r w:rsidRPr="001A3D2B">
        <w:t xml:space="preserve">Full Text: </w:t>
      </w:r>
      <w:hyperlink r:id="rId91" w:history="1">
        <w:r w:rsidRPr="001A3D2B">
          <w:rPr>
            <w:rStyle w:val="a5"/>
          </w:rPr>
          <w:t>1999\Can Med Ass J161, 977.pdf</w:t>
        </w:r>
      </w:hyperlink>
    </w:p>
    <w:p w:rsidR="003474F2" w:rsidRPr="001A3D2B" w:rsidRDefault="003474F2" w:rsidP="003474F2">
      <w:pPr>
        <w:pStyle w:val="a3"/>
      </w:pPr>
      <w:r w:rsidRPr="001A3D2B">
        <w:t>Keywords: Citation</w:t>
      </w:r>
    </w:p>
    <w:p w:rsidR="003474F2" w:rsidRPr="001A3D2B" w:rsidRDefault="003474F2" w:rsidP="003474F2">
      <w:pPr>
        <w:pStyle w:val="a3"/>
      </w:pPr>
      <w:r w:rsidRPr="001A3D2B">
        <w:t>Notes: highly cited, JJournal</w:t>
      </w:r>
    </w:p>
    <w:p w:rsidR="003474F2" w:rsidRPr="001A3D2B" w:rsidRDefault="009D281F" w:rsidP="003474F2">
      <w:pPr>
        <w:pStyle w:val="a3"/>
      </w:pPr>
      <w:r>
        <w:rPr>
          <w:rFonts w:hint="eastAsia"/>
        </w:rPr>
        <w:t xml:space="preserve">? </w:t>
      </w:r>
      <w:r w:rsidR="003474F2" w:rsidRPr="001A3D2B">
        <w:t xml:space="preserve">Garfield, E. (1999), Journal impact factor: A brief review. </w:t>
      </w:r>
      <w:r w:rsidR="003474F2" w:rsidRPr="001A3D2B">
        <w:rPr>
          <w:i/>
          <w:iCs/>
        </w:rPr>
        <w:t>Canadian Medical Association Journal</w:t>
      </w:r>
      <w:r w:rsidR="003474F2" w:rsidRPr="001A3D2B">
        <w:t xml:space="preserve">, </w:t>
      </w:r>
      <w:r w:rsidR="003474F2" w:rsidRPr="001A3D2B">
        <w:rPr>
          <w:b/>
          <w:bCs/>
        </w:rPr>
        <w:t>161</w:t>
      </w:r>
      <w:r w:rsidR="003474F2" w:rsidRPr="001A3D2B">
        <w:t xml:space="preserve"> (8), 979-980.</w:t>
      </w:r>
    </w:p>
    <w:p w:rsidR="003474F2" w:rsidRPr="001A3D2B" w:rsidRDefault="003474F2" w:rsidP="003474F2">
      <w:pPr>
        <w:pStyle w:val="a3"/>
      </w:pPr>
      <w:r w:rsidRPr="001A3D2B">
        <w:t xml:space="preserve">Full Text: </w:t>
      </w:r>
      <w:hyperlink r:id="rId92" w:history="1">
        <w:r w:rsidRPr="001A3D2B">
          <w:rPr>
            <w:rStyle w:val="a5"/>
          </w:rPr>
          <w:t>1999\Can Med Ass J161, 979.pdf</w:t>
        </w:r>
      </w:hyperlink>
    </w:p>
    <w:p w:rsidR="003474F2" w:rsidRPr="001A3D2B" w:rsidRDefault="003474F2" w:rsidP="003474F2">
      <w:pPr>
        <w:pStyle w:val="a3"/>
      </w:pPr>
      <w:r w:rsidRPr="001A3D2B">
        <w:t>Keywords: Impact, Impact Factor, Review</w:t>
      </w:r>
    </w:p>
    <w:p w:rsidR="003474F2" w:rsidRPr="001A3D2B" w:rsidRDefault="003474F2" w:rsidP="003474F2">
      <w:pPr>
        <w:pStyle w:val="a3"/>
      </w:pPr>
      <w:r w:rsidRPr="001A3D2B">
        <w:t>Notes: TTopic</w:t>
      </w:r>
    </w:p>
    <w:p w:rsidR="003474F2" w:rsidRPr="001A3D2B" w:rsidRDefault="003474F2" w:rsidP="003474F2">
      <w:pPr>
        <w:pStyle w:val="a3"/>
      </w:pPr>
      <w:r w:rsidRPr="001A3D2B">
        <w:t>Gagnon, R.E., Macnab, A.J.</w:t>
      </w:r>
      <w:r w:rsidR="005853A9">
        <w:t xml:space="preserve"> and </w:t>
      </w:r>
      <w:r w:rsidRPr="001A3D2B">
        <w:t>Gagnon, F.A. (2000), A quantitative ranking</w:t>
      </w:r>
      <w:r w:rsidR="00427468">
        <w:t xml:space="preserve"> of </w:t>
      </w:r>
      <w:r w:rsidRPr="001A3D2B">
        <w:t>Canada</w:t>
      </w:r>
      <w:r w:rsidR="0071223E">
        <w:t>’</w:t>
      </w:r>
      <w:r w:rsidR="00C13DDC">
        <w:t>s</w:t>
      </w:r>
      <w:r w:rsidRPr="001A3D2B">
        <w:t xml:space="preserve"> research output</w:t>
      </w:r>
      <w:r w:rsidR="00427468">
        <w:t xml:space="preserve"> of </w:t>
      </w:r>
      <w:r w:rsidRPr="001A3D2B">
        <w:t>original human studies for</w:t>
      </w:r>
      <w:r w:rsidR="003A1917">
        <w:t xml:space="preserve"> the </w:t>
      </w:r>
      <w:r w:rsidRPr="001A3D2B">
        <w:t xml:space="preserve">decade 1989 to 1998. </w:t>
      </w:r>
      <w:r w:rsidRPr="001A3D2B">
        <w:rPr>
          <w:i/>
          <w:iCs/>
        </w:rPr>
        <w:t>Canadian Medical Association Journal</w:t>
      </w:r>
      <w:r w:rsidRPr="001A3D2B">
        <w:t xml:space="preserve">, </w:t>
      </w:r>
      <w:r w:rsidRPr="001A3D2B">
        <w:rPr>
          <w:b/>
          <w:bCs/>
        </w:rPr>
        <w:t>162</w:t>
      </w:r>
      <w:r w:rsidRPr="001A3D2B">
        <w:t xml:space="preserve"> (1), 37-40.</w:t>
      </w:r>
    </w:p>
    <w:p w:rsidR="003474F2" w:rsidRPr="001A3D2B" w:rsidRDefault="003474F2" w:rsidP="003474F2">
      <w:pPr>
        <w:pStyle w:val="a3"/>
      </w:pPr>
      <w:r w:rsidRPr="001A3D2B">
        <w:t xml:space="preserve">Full Text: </w:t>
      </w:r>
      <w:hyperlink r:id="rId93" w:history="1">
        <w:r w:rsidRPr="001A3D2B">
          <w:rPr>
            <w:rStyle w:val="a5"/>
          </w:rPr>
          <w:t>2000\Can Med Ass J162, 37.pdf</w:t>
        </w:r>
      </w:hyperlink>
    </w:p>
    <w:p w:rsidR="003474F2" w:rsidRPr="001A3D2B" w:rsidRDefault="003474F2" w:rsidP="003474F2">
      <w:pPr>
        <w:pStyle w:val="a3"/>
      </w:pPr>
      <w:r w:rsidRPr="001A3D2B">
        <w:t>Abstract: Background: Since 1987 research articles have been catalogued with</w:t>
      </w:r>
      <w:r w:rsidR="003A1917">
        <w:t xml:space="preserve"> the </w:t>
      </w:r>
      <w:r w:rsidRPr="001A3D2B">
        <w:t>author</w:t>
      </w:r>
      <w:r w:rsidR="0071223E">
        <w:t>’</w:t>
      </w:r>
      <w:r w:rsidR="00C13DDC">
        <w:t>s</w:t>
      </w:r>
      <w:r w:rsidRPr="001A3D2B">
        <w:t xml:space="preserve"> affiliation address in</w:t>
      </w:r>
      <w:r w:rsidR="003A1917">
        <w:t xml:space="preserve"> the </w:t>
      </w:r>
      <w:r w:rsidRPr="001A3D2B">
        <w:t>40 databases</w:t>
      </w:r>
      <w:r w:rsidR="00427468">
        <w:t xml:space="preserve"> of </w:t>
      </w:r>
      <w:r w:rsidR="003A1917">
        <w:t xml:space="preserve">the </w:t>
      </w:r>
      <w:r w:rsidRPr="001A3D2B">
        <w:t>Medical Literature Analysis</w:t>
      </w:r>
      <w:r w:rsidR="005853A9">
        <w:t xml:space="preserve"> and </w:t>
      </w:r>
      <w:r w:rsidRPr="001A3D2B">
        <w:t>Retrieval System (MEDLARS)</w:t>
      </w:r>
      <w:r w:rsidR="00427468">
        <w:t xml:space="preserve"> of </w:t>
      </w:r>
      <w:r w:rsidR="003A1917">
        <w:t xml:space="preserve">the </w:t>
      </w:r>
      <w:r w:rsidRPr="001A3D2B">
        <w:t>National Library</w:t>
      </w:r>
      <w:r w:rsidR="00427468">
        <w:t xml:space="preserve"> of </w:t>
      </w:r>
      <w:r w:rsidRPr="001A3D2B">
        <w:t xml:space="preserve">Medicine, </w:t>
      </w:r>
      <w:smartTag w:uri="urn:schemas-microsoft-com:office:smarttags" w:element="City">
        <w:r w:rsidRPr="001A3D2B">
          <w:t>Bethesda</w:t>
        </w:r>
      </w:smartTag>
      <w:r w:rsidRPr="001A3D2B">
        <w:t>, Md</w:t>
      </w:r>
      <w:r w:rsidR="00A37C1D">
        <w:t>. The</w:t>
      </w:r>
      <w:r w:rsidR="003A1917">
        <w:t xml:space="preserve"> </w:t>
      </w:r>
      <w:r w:rsidRPr="001A3D2B">
        <w:t>present study was conducted to examine</w:t>
      </w:r>
      <w:r w:rsidR="003A1917">
        <w:t xml:space="preserve"> the </w:t>
      </w:r>
      <w:r w:rsidRPr="001A3D2B">
        <w:t>Canadian entries in MEDLARS to interpret past</w:t>
      </w:r>
      <w:r w:rsidR="005853A9">
        <w:t xml:space="preserve"> and </w:t>
      </w:r>
      <w:r w:rsidRPr="001A3D2B">
        <w:t>future trends</w:t>
      </w:r>
      <w:r w:rsidR="005853A9">
        <w:t xml:space="preserve"> and </w:t>
      </w:r>
      <w:r w:rsidRPr="001A3D2B">
        <w:t>to combine</w:t>
      </w:r>
      <w:r w:rsidR="003A1917">
        <w:t xml:space="preserve"> the </w:t>
      </w:r>
      <w:r w:rsidRPr="001A3D2B">
        <w:t>MEDLARS demographic data with data from other sources to rank Canadian research output</w:t>
      </w:r>
      <w:r w:rsidR="00427468">
        <w:t xml:space="preserve"> of </w:t>
      </w:r>
      <w:r w:rsidRPr="001A3D2B">
        <w:t>human studies both nationally</w:t>
      </w:r>
      <w:r w:rsidR="005853A9">
        <w:t xml:space="preserve"> and </w:t>
      </w:r>
      <w:r w:rsidRPr="001A3D2B">
        <w:t>internationally.</w:t>
      </w:r>
    </w:p>
    <w:p w:rsidR="003474F2" w:rsidRPr="001A3D2B" w:rsidRDefault="003474F2" w:rsidP="003474F2">
      <w:pPr>
        <w:pStyle w:val="a3"/>
      </w:pPr>
      <w:r w:rsidRPr="001A3D2B">
        <w:t>Methods:</w:t>
      </w:r>
      <w:r w:rsidR="003A1917">
        <w:t xml:space="preserve"> the </w:t>
      </w:r>
      <w:r w:rsidR="002C12F0">
        <w:t>PUBMED</w:t>
      </w:r>
      <w:r w:rsidRPr="001A3D2B">
        <w:t xml:space="preserve"> Web site</w:t>
      </w:r>
      <w:r w:rsidR="00427468">
        <w:t xml:space="preserve"> of </w:t>
      </w:r>
      <w:r w:rsidR="003A1917">
        <w:t xml:space="preserve">the </w:t>
      </w:r>
      <w:r w:rsidRPr="001A3D2B">
        <w:t>National Library</w:t>
      </w:r>
      <w:r w:rsidR="00427468">
        <w:t xml:space="preserve"> of </w:t>
      </w:r>
      <w:r w:rsidRPr="001A3D2B">
        <w:t>Medicine was used to count medical articles archived in MEDLARS</w:t>
      </w:r>
      <w:r w:rsidR="005853A9">
        <w:t xml:space="preserve"> and </w:t>
      </w:r>
      <w:r w:rsidRPr="001A3D2B">
        <w:t>published from Jan. 1, 1989, through Dec. 31, 1998</w:t>
      </w:r>
      <w:r w:rsidR="00A37C1D">
        <w:t>. The</w:t>
      </w:r>
      <w:r w:rsidR="003A1917">
        <w:t xml:space="preserve"> </w:t>
      </w:r>
      <w:r w:rsidRPr="001A3D2B">
        <w:t>articles attributed to Canadian authors were compared by country, province, city, medical school, hospital, article type, journal</w:t>
      </w:r>
      <w:r w:rsidR="005853A9">
        <w:t xml:space="preserve"> and </w:t>
      </w:r>
      <w:r w:rsidRPr="001A3D2B">
        <w:t>medical specialty.</w:t>
      </w:r>
    </w:p>
    <w:p w:rsidR="003474F2" w:rsidRPr="001A3D2B" w:rsidRDefault="003474F2" w:rsidP="003474F2">
      <w:pPr>
        <w:pStyle w:val="a3"/>
      </w:pPr>
      <w:r w:rsidRPr="001A3D2B">
        <w:t>Results: During</w:t>
      </w:r>
      <w:r w:rsidR="003A1917">
        <w:t xml:space="preserve"> the </w:t>
      </w:r>
      <w:r w:rsidRPr="001A3D2B">
        <w:t>study period Canadian authors contributed on average 3% (standard deviation [SD] 0.2%)</w:t>
      </w:r>
      <w:r w:rsidR="00427468">
        <w:t xml:space="preserve"> of </w:t>
      </w:r>
      <w:r w:rsidR="003A1917">
        <w:t xml:space="preserve">the </w:t>
      </w:r>
      <w:r w:rsidRPr="001A3D2B">
        <w:t>worldwide MEDLARS content each year, which translated to a mean</w:t>
      </w:r>
      <w:r w:rsidR="00427468">
        <w:t xml:space="preserve"> of </w:t>
      </w:r>
      <w:r w:rsidRPr="001A3D2B">
        <w:t>11 067 (SD 1037) articles per year; 49% were human studies,</w:t>
      </w:r>
      <w:r w:rsidR="00427468">
        <w:t xml:space="preserve"> of </w:t>
      </w:r>
      <w:r w:rsidRPr="001A3D2B">
        <w:t>which 13% were clinical or controlled trials,</w:t>
      </w:r>
      <w:r w:rsidR="005853A9">
        <w:t xml:space="preserve"> and </w:t>
      </w:r>
      <w:r w:rsidRPr="001A3D2B">
        <w:t>55% involved people aged 18 years or less. In total, 68%</w:t>
      </w:r>
      <w:r w:rsidR="00427468">
        <w:t xml:space="preserve"> of </w:t>
      </w:r>
      <w:r w:rsidR="003A1917">
        <w:t xml:space="preserve">the </w:t>
      </w:r>
      <w:r w:rsidRPr="001A3D2B">
        <w:t>articles were by authors affiliated with Canadian medical schools; those affiliated with</w:t>
      </w:r>
      <w:r w:rsidR="003A1917">
        <w:t xml:space="preserve"> the </w:t>
      </w:r>
      <w:r w:rsidRPr="001A3D2B">
        <w:t>University</w:t>
      </w:r>
      <w:r w:rsidR="00427468">
        <w:t xml:space="preserve"> of </w:t>
      </w:r>
      <w:r w:rsidRPr="001A3D2B">
        <w:t>Toronto accounted for</w:t>
      </w:r>
      <w:r w:rsidR="003A1917">
        <w:t xml:space="preserve"> the </w:t>
      </w:r>
      <w:r w:rsidRPr="001A3D2B">
        <w:t>greatest number (8604), whereas authors affiliated with McGill University had</w:t>
      </w:r>
      <w:r w:rsidR="003A1917">
        <w:t xml:space="preserve"> the </w:t>
      </w:r>
      <w:r w:rsidRPr="001A3D2B">
        <w:t>greatest rate</w:t>
      </w:r>
      <w:r w:rsidR="00427468">
        <w:t xml:space="preserve"> of </w:t>
      </w:r>
      <w:r w:rsidRPr="001A3D2B">
        <w:t>annual increase in</w:t>
      </w:r>
      <w:r w:rsidR="003A1917">
        <w:t xml:space="preserve"> the </w:t>
      </w:r>
      <w:r w:rsidRPr="001A3D2B">
        <w:t>quantity published (8%). Over one-third (38%)</w:t>
      </w:r>
      <w:r w:rsidR="00427468">
        <w:t xml:space="preserve"> </w:t>
      </w:r>
      <w:r w:rsidR="00427468">
        <w:lastRenderedPageBreak/>
        <w:t xml:space="preserve">of </w:t>
      </w:r>
      <w:r w:rsidR="003A1917">
        <w:t xml:space="preserve">the </w:t>
      </w:r>
      <w:r w:rsidRPr="001A3D2B">
        <w:t>articles appeared in Canadian journals. When counted by specialty, 17%</w:t>
      </w:r>
      <w:r w:rsidR="00427468">
        <w:t xml:space="preserve"> of </w:t>
      </w:r>
      <w:r w:rsidR="003A1917">
        <w:t xml:space="preserve">the </w:t>
      </w:r>
      <w:r w:rsidRPr="001A3D2B">
        <w:t>articles were by authors with clinical specialties, 5% by those with surgical specialties</w:t>
      </w:r>
      <w:r w:rsidR="005853A9">
        <w:t xml:space="preserve"> and </w:t>
      </w:r>
      <w:r w:rsidRPr="001A3D2B">
        <w:t>3% by those with laboratory specialties.</w:t>
      </w:r>
    </w:p>
    <w:p w:rsidR="003474F2" w:rsidRPr="001A3D2B" w:rsidRDefault="003474F2" w:rsidP="003474F2">
      <w:pPr>
        <w:pStyle w:val="a3"/>
      </w:pPr>
      <w:r w:rsidRPr="001A3D2B">
        <w:t>Interpretation:</w:t>
      </w:r>
      <w:r w:rsidR="003A1917">
        <w:t xml:space="preserve"> the </w:t>
      </w:r>
      <w:r w:rsidRPr="001A3D2B">
        <w:t>annual rate</w:t>
      </w:r>
      <w:r w:rsidR="00427468">
        <w:t xml:space="preserve"> of </w:t>
      </w:r>
      <w:r w:rsidRPr="001A3D2B">
        <w:t xml:space="preserve">increase in research output for </w:t>
      </w:r>
      <w:smartTag w:uri="urn:schemas-microsoft-com:office:smarttags" w:element="place">
        <w:smartTag w:uri="urn:schemas-microsoft-com:office:smarttags" w:element="country-region">
          <w:r w:rsidRPr="001A3D2B">
            <w:t>Canada</w:t>
          </w:r>
        </w:smartTag>
      </w:smartTag>
      <w:r w:rsidRPr="001A3D2B">
        <w:t xml:space="preserve"> was more than 3 times higher than that seen world wide. </w:t>
      </w:r>
      <w:smartTag w:uri="urn:schemas-microsoft-com:office:smarttags" w:element="place">
        <w:smartTag w:uri="urn:schemas-microsoft-com:office:smarttags" w:element="country-region">
          <w:r w:rsidRPr="001A3D2B">
            <w:t>Canada</w:t>
          </w:r>
        </w:smartTag>
      </w:smartTag>
      <w:r w:rsidRPr="001A3D2B">
        <w:t xml:space="preserve"> is now ranked seventh among countries contributing human studies to MEDLARS</w:t>
      </w:r>
      <w:r w:rsidR="00A37C1D">
        <w:t>. The</w:t>
      </w:r>
      <w:r w:rsidR="003A1917">
        <w:t xml:space="preserve"> </w:t>
      </w:r>
      <w:r w:rsidRPr="001A3D2B">
        <w:t>increase indicates that Canada</w:t>
      </w:r>
      <w:r w:rsidR="0071223E">
        <w:t>’</w:t>
      </w:r>
      <w:r w:rsidR="00C13DDC">
        <w:t>s</w:t>
      </w:r>
      <w:r w:rsidRPr="001A3D2B">
        <w:t xml:space="preserve"> medical schools are productive, competitive in making contributions to medical science</w:t>
      </w:r>
      <w:r w:rsidR="005853A9">
        <w:t xml:space="preserve"> and </w:t>
      </w:r>
      <w:r w:rsidRPr="001A3D2B">
        <w:t>are supporting Canadian journals.</w:t>
      </w:r>
    </w:p>
    <w:p w:rsidR="003474F2" w:rsidRPr="001A3D2B" w:rsidRDefault="003474F2" w:rsidP="003474F2">
      <w:pPr>
        <w:pStyle w:val="a3"/>
      </w:pPr>
      <w:r w:rsidRPr="001A3D2B">
        <w:t>Keywords: Impact, Journals, Bias</w:t>
      </w:r>
    </w:p>
    <w:p w:rsidR="003474F2" w:rsidRPr="001A3D2B" w:rsidRDefault="003474F2" w:rsidP="003474F2">
      <w:pPr>
        <w:pStyle w:val="a3"/>
      </w:pPr>
      <w:r w:rsidRPr="001A3D2B">
        <w:t>Garfield, E. (2000), Impact</w:t>
      </w:r>
      <w:r w:rsidR="00427468">
        <w:t xml:space="preserve"> of </w:t>
      </w:r>
      <w:r w:rsidRPr="001A3D2B">
        <w:t>abstracts</w:t>
      </w:r>
      <w:r w:rsidR="005853A9">
        <w:t xml:space="preserve"> and </w:t>
      </w:r>
      <w:r w:rsidRPr="001A3D2B">
        <w:t xml:space="preserve">short reports - Response. </w:t>
      </w:r>
      <w:r w:rsidRPr="001A3D2B">
        <w:rPr>
          <w:i/>
          <w:iCs/>
        </w:rPr>
        <w:t>Canadian Medical Association Journal</w:t>
      </w:r>
      <w:r w:rsidRPr="001A3D2B">
        <w:t xml:space="preserve">, </w:t>
      </w:r>
      <w:r w:rsidRPr="001A3D2B">
        <w:rPr>
          <w:b/>
          <w:bCs/>
        </w:rPr>
        <w:t>162</w:t>
      </w:r>
      <w:r w:rsidRPr="001A3D2B">
        <w:t xml:space="preserve"> (4), 489-490.</w:t>
      </w:r>
    </w:p>
    <w:p w:rsidR="003474F2" w:rsidRPr="001A3D2B" w:rsidRDefault="003474F2" w:rsidP="003474F2">
      <w:pPr>
        <w:pStyle w:val="a3"/>
      </w:pPr>
      <w:r w:rsidRPr="001A3D2B">
        <w:t xml:space="preserve">Full Text: </w:t>
      </w:r>
      <w:hyperlink r:id="rId94" w:history="1">
        <w:r w:rsidRPr="001A3D2B">
          <w:rPr>
            <w:rStyle w:val="a5"/>
          </w:rPr>
          <w:t>2000\Can Med Ass J162, 489.pdf</w:t>
        </w:r>
      </w:hyperlink>
    </w:p>
    <w:p w:rsidR="003474F2" w:rsidRPr="001A3D2B" w:rsidRDefault="003474F2" w:rsidP="003474F2">
      <w:pPr>
        <w:pStyle w:val="a3"/>
      </w:pPr>
      <w:r w:rsidRPr="001A3D2B">
        <w:t>Garfield, E. (2000), Impact</w:t>
      </w:r>
      <w:r w:rsidR="00427468">
        <w:t xml:space="preserve"> of </w:t>
      </w:r>
      <w:r w:rsidRPr="001A3D2B">
        <w:t>abstracts</w:t>
      </w:r>
      <w:r w:rsidR="005853A9">
        <w:t xml:space="preserve"> and </w:t>
      </w:r>
      <w:r w:rsidRPr="001A3D2B">
        <w:t xml:space="preserve">short reports - Response. </w:t>
      </w:r>
      <w:r w:rsidRPr="001A3D2B">
        <w:rPr>
          <w:i/>
          <w:iCs/>
        </w:rPr>
        <w:t>Canadian Medical Association Journal</w:t>
      </w:r>
      <w:r w:rsidRPr="001A3D2B">
        <w:t xml:space="preserve">, </w:t>
      </w:r>
      <w:r w:rsidRPr="001A3D2B">
        <w:rPr>
          <w:b/>
          <w:bCs/>
        </w:rPr>
        <w:t>162</w:t>
      </w:r>
      <w:r w:rsidRPr="001A3D2B">
        <w:t xml:space="preserve"> (4), 490.</w:t>
      </w:r>
    </w:p>
    <w:p w:rsidR="003474F2" w:rsidRPr="001A3D2B" w:rsidRDefault="003474F2" w:rsidP="003474F2">
      <w:pPr>
        <w:pStyle w:val="a3"/>
      </w:pPr>
      <w:r w:rsidRPr="001A3D2B">
        <w:t xml:space="preserve">Full Text: </w:t>
      </w:r>
      <w:hyperlink r:id="rId95" w:history="1">
        <w:r w:rsidRPr="001A3D2B">
          <w:rPr>
            <w:rStyle w:val="a5"/>
          </w:rPr>
          <w:t>2000\Can Med Ass J162, 490.pdf</w:t>
        </w:r>
      </w:hyperlink>
    </w:p>
    <w:p w:rsidR="00326B32" w:rsidRDefault="00326B32" w:rsidP="00326B32">
      <w:pPr>
        <w:pStyle w:val="a3"/>
        <w:rPr>
          <w:kern w:val="0"/>
        </w:rPr>
      </w:pPr>
      <w:r>
        <w:rPr>
          <w:rFonts w:hint="eastAsia"/>
          <w:kern w:val="0"/>
        </w:rPr>
        <w:t xml:space="preserve">? </w:t>
      </w:r>
      <w:r>
        <w:rPr>
          <w:kern w:val="0"/>
        </w:rPr>
        <w:t>Gami, A.S., Montori, V.A., Wilczynski, N.L.</w:t>
      </w:r>
      <w:r w:rsidR="005853A9">
        <w:rPr>
          <w:kern w:val="0"/>
        </w:rPr>
        <w:t xml:space="preserve"> and </w:t>
      </w:r>
      <w:r>
        <w:rPr>
          <w:kern w:val="0"/>
        </w:rPr>
        <w:t>Haynes, R.B. (2004), Author self-citation in</w:t>
      </w:r>
      <w:r w:rsidR="003A1917">
        <w:rPr>
          <w:kern w:val="0"/>
        </w:rPr>
        <w:t xml:space="preserve"> the </w:t>
      </w:r>
      <w:r>
        <w:rPr>
          <w:kern w:val="0"/>
        </w:rPr>
        <w:t xml:space="preserve">diabetes literature. </w:t>
      </w:r>
      <w:r>
        <w:rPr>
          <w:i/>
          <w:iCs/>
          <w:kern w:val="0"/>
        </w:rPr>
        <w:t>Canadian Medical Association Journal</w:t>
      </w:r>
      <w:r>
        <w:rPr>
          <w:kern w:val="0"/>
        </w:rPr>
        <w:t xml:space="preserve">, </w:t>
      </w:r>
      <w:r>
        <w:rPr>
          <w:b/>
          <w:bCs/>
          <w:kern w:val="0"/>
        </w:rPr>
        <w:t>170</w:t>
      </w:r>
      <w:r>
        <w:rPr>
          <w:kern w:val="0"/>
        </w:rPr>
        <w:t xml:space="preserve"> (13), 1925-1927.</w:t>
      </w:r>
    </w:p>
    <w:p w:rsidR="00326B32" w:rsidRPr="00C73C58" w:rsidRDefault="00326B32" w:rsidP="00326B32">
      <w:pPr>
        <w:pStyle w:val="a3"/>
      </w:pPr>
      <w:r w:rsidRPr="00C73C58">
        <w:t xml:space="preserve">Full Text: </w:t>
      </w:r>
      <w:hyperlink r:id="rId96" w:history="1">
        <w:r w:rsidRPr="001F2EE6">
          <w:rPr>
            <w:rStyle w:val="a5"/>
          </w:rPr>
          <w:t>2004\Can Med Ass J170, 1925.pdf</w:t>
        </w:r>
      </w:hyperlink>
    </w:p>
    <w:p w:rsidR="00326B32" w:rsidRDefault="00326B32" w:rsidP="00326B32">
      <w:pPr>
        <w:pStyle w:val="a3"/>
        <w:rPr>
          <w:kern w:val="0"/>
        </w:rPr>
      </w:pPr>
      <w:r>
        <w:rPr>
          <w:kern w:val="0"/>
        </w:rPr>
        <w:t>Abstract: Background: Author self-citation is</w:t>
      </w:r>
      <w:r w:rsidR="003A1917">
        <w:rPr>
          <w:kern w:val="0"/>
        </w:rPr>
        <w:t xml:space="preserve"> the </w:t>
      </w:r>
      <w:r>
        <w:rPr>
          <w:kern w:val="0"/>
        </w:rPr>
        <w:t>practice</w:t>
      </w:r>
      <w:r w:rsidR="00427468">
        <w:rPr>
          <w:kern w:val="0"/>
        </w:rPr>
        <w:t xml:space="preserve"> of </w:t>
      </w:r>
      <w:r>
        <w:rPr>
          <w:kern w:val="0"/>
        </w:rPr>
        <w:t>citing one</w:t>
      </w:r>
      <w:r w:rsidR="0071223E">
        <w:rPr>
          <w:kern w:val="0"/>
        </w:rPr>
        <w:t>’</w:t>
      </w:r>
      <w:r w:rsidR="00C13DDC">
        <w:rPr>
          <w:kern w:val="0"/>
        </w:rPr>
        <w:t>s</w:t>
      </w:r>
      <w:r>
        <w:rPr>
          <w:kern w:val="0"/>
        </w:rPr>
        <w:t xml:space="preserve"> previous publications in a new publication. Its extent is unknown. We studied author self-citation, choosing</w:t>
      </w:r>
      <w:r w:rsidR="003A1917">
        <w:rPr>
          <w:kern w:val="0"/>
        </w:rPr>
        <w:t xml:space="preserve"> the </w:t>
      </w:r>
      <w:r>
        <w:rPr>
          <w:kern w:val="0"/>
        </w:rPr>
        <w:t>major clinical field</w:t>
      </w:r>
      <w:r w:rsidR="00427468">
        <w:rPr>
          <w:kern w:val="0"/>
        </w:rPr>
        <w:t xml:space="preserve"> of </w:t>
      </w:r>
      <w:r>
        <w:rPr>
          <w:kern w:val="0"/>
        </w:rPr>
        <w:t>diabetes mellitus to represent</w:t>
      </w:r>
      <w:r w:rsidR="003A1917">
        <w:rPr>
          <w:kern w:val="0"/>
        </w:rPr>
        <w:t xml:space="preserve"> the </w:t>
      </w:r>
      <w:r>
        <w:rPr>
          <w:kern w:val="0"/>
        </w:rPr>
        <w:t>general medical literature. Methods: We identified every article about diabetes mellitus in 170 hand-searched clinical journals published in 2000. For every article, we recorded</w:t>
      </w:r>
      <w:r w:rsidR="003A1917">
        <w:rPr>
          <w:kern w:val="0"/>
        </w:rPr>
        <w:t xml:space="preserve"> the </w:t>
      </w:r>
      <w:r>
        <w:rPr>
          <w:kern w:val="0"/>
        </w:rPr>
        <w:t>bibliographic citation an publication type (original or review article)</w:t>
      </w:r>
      <w:r w:rsidR="005853A9">
        <w:rPr>
          <w:kern w:val="0"/>
        </w:rPr>
        <w:t xml:space="preserve"> and </w:t>
      </w:r>
      <w:r>
        <w:rPr>
          <w:kern w:val="0"/>
        </w:rPr>
        <w:t>assessed</w:t>
      </w:r>
      <w:r w:rsidR="003A1917">
        <w:rPr>
          <w:kern w:val="0"/>
        </w:rPr>
        <w:t xml:space="preserve"> the </w:t>
      </w:r>
      <w:r>
        <w:rPr>
          <w:kern w:val="0"/>
        </w:rPr>
        <w:t>methodologic rigour. Citation information was obtained from</w:t>
      </w:r>
      <w:r w:rsidR="003A1917">
        <w:rPr>
          <w:kern w:val="0"/>
        </w:rPr>
        <w:t xml:space="preserve"> the </w:t>
      </w:r>
      <w:r>
        <w:rPr>
          <w:kern w:val="0"/>
        </w:rPr>
        <w:t>ISI Web</w:t>
      </w:r>
      <w:r w:rsidR="00427468">
        <w:rPr>
          <w:kern w:val="0"/>
        </w:rPr>
        <w:t xml:space="preserve"> of </w:t>
      </w:r>
      <w:r>
        <w:rPr>
          <w:kern w:val="0"/>
        </w:rPr>
        <w:t>Knowledge in April 2003. Results:</w:t>
      </w:r>
      <w:r w:rsidR="00427468">
        <w:rPr>
          <w:kern w:val="0"/>
        </w:rPr>
        <w:t xml:space="preserve"> of </w:t>
      </w:r>
      <w:r>
        <w:rPr>
          <w:kern w:val="0"/>
        </w:rPr>
        <w:t>49 028 articles, 289 were about diabetes mellitus</w:t>
      </w:r>
      <w:r w:rsidR="005853A9">
        <w:rPr>
          <w:kern w:val="0"/>
        </w:rPr>
        <w:t xml:space="preserve"> and </w:t>
      </w:r>
      <w:r>
        <w:rPr>
          <w:kern w:val="0"/>
        </w:rPr>
        <w:t>had citation information. Citation counts ranged from 0 to 347 (median 6, interquartile range [IQR] 2-12). Author self-citation counts ranged from 0 to 16 (median 1, IQR 0-2). Author self-citations accounted for an average</w:t>
      </w:r>
      <w:r w:rsidR="00427468">
        <w:rPr>
          <w:kern w:val="0"/>
        </w:rPr>
        <w:t xml:space="preserve"> of </w:t>
      </w:r>
      <w:r>
        <w:rPr>
          <w:kern w:val="0"/>
        </w:rPr>
        <w:t>18% (95% confidence interval [CI] 15%-21%)</w:t>
      </w:r>
      <w:r w:rsidR="005853A9">
        <w:rPr>
          <w:kern w:val="0"/>
        </w:rPr>
        <w:t xml:space="preserve"> and </w:t>
      </w:r>
      <w:r>
        <w:rPr>
          <w:kern w:val="0"/>
        </w:rPr>
        <w:t>a median</w:t>
      </w:r>
      <w:r w:rsidR="00427468">
        <w:rPr>
          <w:kern w:val="0"/>
        </w:rPr>
        <w:t xml:space="preserve"> of </w:t>
      </w:r>
      <w:r>
        <w:rPr>
          <w:kern w:val="0"/>
        </w:rPr>
        <w:t>7% (95% CI 5%-11%)</w:t>
      </w:r>
      <w:r w:rsidR="00427468">
        <w:rPr>
          <w:kern w:val="0"/>
        </w:rPr>
        <w:t xml:space="preserve"> of </w:t>
      </w:r>
      <w:r>
        <w:rPr>
          <w:kern w:val="0"/>
        </w:rPr>
        <w:t>all citations</w:t>
      </w:r>
      <w:r w:rsidR="00427468">
        <w:rPr>
          <w:kern w:val="0"/>
        </w:rPr>
        <w:t xml:space="preserve"> of </w:t>
      </w:r>
      <w:r>
        <w:rPr>
          <w:kern w:val="0"/>
        </w:rPr>
        <w:t>each publication that was cited at least once (n = 266). Original articles had double</w:t>
      </w:r>
      <w:r w:rsidR="003A1917">
        <w:rPr>
          <w:kern w:val="0"/>
        </w:rPr>
        <w:t xml:space="preserve"> the </w:t>
      </w:r>
      <w:r>
        <w:rPr>
          <w:kern w:val="0"/>
        </w:rPr>
        <w:t>mean proportion</w:t>
      </w:r>
      <w:r w:rsidR="00427468">
        <w:rPr>
          <w:kern w:val="0"/>
        </w:rPr>
        <w:t xml:space="preserve"> of </w:t>
      </w:r>
      <w:r>
        <w:rPr>
          <w:kern w:val="0"/>
        </w:rPr>
        <w:t>author self-citations compared with review articles (19% v. 9%; median 7% v. 0%, difference 7%, 95% CI 0-10%). Methodologic rigour</w:t>
      </w:r>
      <w:r w:rsidR="005853A9">
        <w:rPr>
          <w:kern w:val="0"/>
        </w:rPr>
        <w:t xml:space="preserve"> and </w:t>
      </w:r>
      <w:r>
        <w:rPr>
          <w:kern w:val="0"/>
        </w:rPr>
        <w:t>review type were not significantly associated with subsequent author self-citation. Interpretation: Nearly one-fifth</w:t>
      </w:r>
      <w:r w:rsidR="00427468">
        <w:rPr>
          <w:kern w:val="0"/>
        </w:rPr>
        <w:t xml:space="preserve"> of </w:t>
      </w:r>
      <w:r>
        <w:rPr>
          <w:kern w:val="0"/>
        </w:rPr>
        <w:t>all citations to articles about diabetes mellitus in clinical journals in</w:t>
      </w:r>
      <w:r w:rsidR="003A1917">
        <w:rPr>
          <w:kern w:val="0"/>
        </w:rPr>
        <w:t xml:space="preserve"> the </w:t>
      </w:r>
      <w:r>
        <w:rPr>
          <w:kern w:val="0"/>
        </w:rPr>
        <w:t>year 2000 were author self-citations</w:t>
      </w:r>
      <w:r w:rsidR="00A37C1D">
        <w:rPr>
          <w:kern w:val="0"/>
        </w:rPr>
        <w:t>. The</w:t>
      </w:r>
      <w:r w:rsidR="003A1917">
        <w:rPr>
          <w:kern w:val="0"/>
        </w:rPr>
        <w:t xml:space="preserve"> </w:t>
      </w:r>
      <w:r>
        <w:rPr>
          <w:kern w:val="0"/>
        </w:rPr>
        <w:t>frequency</w:t>
      </w:r>
      <w:r w:rsidR="00427468">
        <w:rPr>
          <w:kern w:val="0"/>
        </w:rPr>
        <w:t xml:space="preserve"> of </w:t>
      </w:r>
      <w:r>
        <w:rPr>
          <w:kern w:val="0"/>
        </w:rPr>
        <w:t>self-citation was not associated with</w:t>
      </w:r>
      <w:r w:rsidR="003A1917">
        <w:rPr>
          <w:kern w:val="0"/>
        </w:rPr>
        <w:t xml:space="preserve"> the </w:t>
      </w:r>
      <w:r>
        <w:rPr>
          <w:kern w:val="0"/>
        </w:rPr>
        <w:t>quality</w:t>
      </w:r>
      <w:r w:rsidR="00427468">
        <w:rPr>
          <w:kern w:val="0"/>
        </w:rPr>
        <w:t xml:space="preserve"> of </w:t>
      </w:r>
      <w:r>
        <w:rPr>
          <w:kern w:val="0"/>
        </w:rPr>
        <w:t>publications</w:t>
      </w:r>
      <w:r w:rsidR="00A37C1D">
        <w:rPr>
          <w:kern w:val="0"/>
        </w:rPr>
        <w:t>. The</w:t>
      </w:r>
      <w:r>
        <w:rPr>
          <w:kern w:val="0"/>
        </w:rPr>
        <w:t>se findings are likely applicable to</w:t>
      </w:r>
      <w:r w:rsidR="003A1917">
        <w:rPr>
          <w:kern w:val="0"/>
        </w:rPr>
        <w:t xml:space="preserve"> the </w:t>
      </w:r>
      <w:r>
        <w:rPr>
          <w:kern w:val="0"/>
        </w:rPr>
        <w:t xml:space="preserve">general clinical medicine </w:t>
      </w:r>
      <w:r>
        <w:rPr>
          <w:kern w:val="0"/>
        </w:rPr>
        <w:lastRenderedPageBreak/>
        <w:t>literature</w:t>
      </w:r>
      <w:r w:rsidR="005853A9">
        <w:rPr>
          <w:kern w:val="0"/>
        </w:rPr>
        <w:t xml:space="preserve"> and </w:t>
      </w:r>
      <w:r>
        <w:rPr>
          <w:kern w:val="0"/>
        </w:rPr>
        <w:t>may have important implications for</w:t>
      </w:r>
      <w:r w:rsidR="003A1917">
        <w:rPr>
          <w:kern w:val="0"/>
        </w:rPr>
        <w:t xml:space="preserve"> the </w:t>
      </w:r>
      <w:r>
        <w:rPr>
          <w:kern w:val="0"/>
        </w:rPr>
        <w:t>assessment</w:t>
      </w:r>
      <w:r w:rsidR="00427468">
        <w:rPr>
          <w:kern w:val="0"/>
        </w:rPr>
        <w:t xml:space="preserve"> of </w:t>
      </w:r>
      <w:r>
        <w:rPr>
          <w:kern w:val="0"/>
        </w:rPr>
        <w:t>journal or publication importance</w:t>
      </w:r>
      <w:r w:rsidR="005853A9">
        <w:rPr>
          <w:kern w:val="0"/>
        </w:rPr>
        <w:t xml:space="preserve"> and </w:t>
      </w:r>
      <w:r w:rsidR="003A1917">
        <w:rPr>
          <w:kern w:val="0"/>
        </w:rPr>
        <w:t xml:space="preserve">the </w:t>
      </w:r>
      <w:r>
        <w:rPr>
          <w:kern w:val="0"/>
        </w:rPr>
        <w:t>process</w:t>
      </w:r>
      <w:r w:rsidR="00427468">
        <w:rPr>
          <w:kern w:val="0"/>
        </w:rPr>
        <w:t xml:space="preserve"> of </w:t>
      </w:r>
      <w:r>
        <w:rPr>
          <w:kern w:val="0"/>
        </w:rPr>
        <w:t>scientific discovery.</w:t>
      </w:r>
    </w:p>
    <w:p w:rsidR="00326B32" w:rsidRDefault="00326B32" w:rsidP="00326B32">
      <w:pPr>
        <w:pStyle w:val="a3"/>
        <w:rPr>
          <w:kern w:val="0"/>
        </w:rPr>
      </w:pPr>
      <w:r>
        <w:rPr>
          <w:kern w:val="0"/>
        </w:rPr>
        <w:t>Keywords: Author, Citation, Citations, Diabetes Mellitus</w:t>
      </w:r>
      <w:r w:rsidR="00D5664A">
        <w:rPr>
          <w:kern w:val="0"/>
        </w:rPr>
        <w:t>, ISI,</w:t>
      </w:r>
      <w:r>
        <w:rPr>
          <w:kern w:val="0"/>
        </w:rPr>
        <w:t xml:space="preserve"> Journals, Knowledge, Medicine, Publication, Publications, Self-Citations</w:t>
      </w:r>
    </w:p>
    <w:p w:rsidR="00326B32" w:rsidRDefault="00326B32" w:rsidP="00326B32">
      <w:pPr>
        <w:pStyle w:val="a3"/>
        <w:rPr>
          <w:kern w:val="0"/>
        </w:rPr>
      </w:pPr>
      <w:r>
        <w:rPr>
          <w:rFonts w:hint="eastAsia"/>
          <w:kern w:val="0"/>
        </w:rPr>
        <w:t xml:space="preserve">? </w:t>
      </w:r>
      <w:r>
        <w:rPr>
          <w:kern w:val="0"/>
        </w:rPr>
        <w:t>Kovačić, N.</w:t>
      </w:r>
      <w:r w:rsidR="005853A9">
        <w:rPr>
          <w:kern w:val="0"/>
        </w:rPr>
        <w:t xml:space="preserve"> and </w:t>
      </w:r>
      <w:r>
        <w:rPr>
          <w:kern w:val="0"/>
        </w:rPr>
        <w:t xml:space="preserve">Mišak, A. (2004), Author self-citation in medical literature. </w:t>
      </w:r>
      <w:r>
        <w:rPr>
          <w:i/>
          <w:iCs/>
          <w:kern w:val="0"/>
        </w:rPr>
        <w:t>Canadian Medical Association Journal</w:t>
      </w:r>
      <w:r>
        <w:rPr>
          <w:kern w:val="0"/>
        </w:rPr>
        <w:t xml:space="preserve">, </w:t>
      </w:r>
      <w:r>
        <w:rPr>
          <w:b/>
          <w:bCs/>
          <w:kern w:val="0"/>
        </w:rPr>
        <w:t>170</w:t>
      </w:r>
      <w:r>
        <w:rPr>
          <w:kern w:val="0"/>
        </w:rPr>
        <w:t xml:space="preserve"> (13), 1929-1930</w:t>
      </w:r>
      <w:r>
        <w:rPr>
          <w:rFonts w:hint="eastAsia"/>
          <w:kern w:val="0"/>
        </w:rPr>
        <w:t>.</w:t>
      </w:r>
    </w:p>
    <w:p w:rsidR="00326B32" w:rsidRPr="00C73C58" w:rsidRDefault="00326B32" w:rsidP="00326B32">
      <w:pPr>
        <w:pStyle w:val="a3"/>
      </w:pPr>
      <w:r w:rsidRPr="00C73C58">
        <w:t xml:space="preserve">Full Text: </w:t>
      </w:r>
      <w:hyperlink r:id="rId97" w:history="1">
        <w:r w:rsidRPr="001F2EE6">
          <w:rPr>
            <w:rStyle w:val="a5"/>
          </w:rPr>
          <w:t>2004\Can Med Ass J170, 1929.pdf</w:t>
        </w:r>
      </w:hyperlink>
    </w:p>
    <w:p w:rsidR="00326B32" w:rsidRDefault="00326B32" w:rsidP="00326B32">
      <w:pPr>
        <w:pStyle w:val="a3"/>
        <w:rPr>
          <w:kern w:val="0"/>
        </w:rPr>
      </w:pPr>
      <w:r>
        <w:rPr>
          <w:kern w:val="0"/>
        </w:rPr>
        <w:t>Keywords: Impact Factor, Journals</w:t>
      </w:r>
    </w:p>
    <w:p w:rsidR="00F526D5" w:rsidRDefault="00F526D5" w:rsidP="00F526D5">
      <w:pPr>
        <w:pStyle w:val="a3"/>
        <w:rPr>
          <w:kern w:val="0"/>
        </w:rPr>
      </w:pPr>
      <w:r>
        <w:rPr>
          <w:rFonts w:hint="eastAsia"/>
          <w:kern w:val="0"/>
        </w:rPr>
        <w:t xml:space="preserve">? </w:t>
      </w:r>
      <w:r>
        <w:rPr>
          <w:kern w:val="0"/>
        </w:rPr>
        <w:t>Kherani, R.B.</w:t>
      </w:r>
      <w:r w:rsidR="005853A9">
        <w:rPr>
          <w:kern w:val="0"/>
        </w:rPr>
        <w:t xml:space="preserve"> and </w:t>
      </w:r>
      <w:r>
        <w:rPr>
          <w:kern w:val="0"/>
        </w:rPr>
        <w:t xml:space="preserve">Fung, M. (2004), To self-cite or not to self-cite. </w:t>
      </w:r>
      <w:r>
        <w:rPr>
          <w:i/>
          <w:iCs/>
          <w:kern w:val="0"/>
        </w:rPr>
        <w:t>Canadian Medical Association Journal</w:t>
      </w:r>
      <w:r>
        <w:rPr>
          <w:kern w:val="0"/>
        </w:rPr>
        <w:t xml:space="preserve">, </w:t>
      </w:r>
      <w:r>
        <w:rPr>
          <w:b/>
          <w:bCs/>
          <w:kern w:val="0"/>
        </w:rPr>
        <w:t>171</w:t>
      </w:r>
      <w:r>
        <w:rPr>
          <w:kern w:val="0"/>
        </w:rPr>
        <w:t xml:space="preserve"> (9), 1024</w:t>
      </w:r>
      <w:r>
        <w:rPr>
          <w:rFonts w:hint="eastAsia"/>
          <w:kern w:val="0"/>
        </w:rPr>
        <w:t>.</w:t>
      </w:r>
    </w:p>
    <w:p w:rsidR="00F526D5" w:rsidRPr="00C73C58" w:rsidRDefault="00F526D5" w:rsidP="00F526D5">
      <w:pPr>
        <w:pStyle w:val="a3"/>
      </w:pPr>
      <w:r w:rsidRPr="00C73C58">
        <w:t xml:space="preserve">Full Text: </w:t>
      </w:r>
      <w:hyperlink r:id="rId98" w:history="1">
        <w:r w:rsidRPr="006D2537">
          <w:rPr>
            <w:rStyle w:val="a5"/>
          </w:rPr>
          <w:t>2004\Can Med Ass J171, 1024.pdf</w:t>
        </w:r>
      </w:hyperlink>
    </w:p>
    <w:p w:rsidR="00F526D5" w:rsidRDefault="00F526D5" w:rsidP="00F526D5">
      <w:pPr>
        <w:pStyle w:val="a3"/>
        <w:rPr>
          <w:kern w:val="0"/>
        </w:rPr>
      </w:pPr>
      <w:r>
        <w:rPr>
          <w:rFonts w:hint="eastAsia"/>
          <w:kern w:val="0"/>
        </w:rPr>
        <w:t xml:space="preserve">? </w:t>
      </w:r>
      <w:r>
        <w:rPr>
          <w:kern w:val="0"/>
        </w:rPr>
        <w:t>Gami, A.S., Montori, V.M.</w:t>
      </w:r>
      <w:r w:rsidR="005853A9">
        <w:rPr>
          <w:kern w:val="0"/>
        </w:rPr>
        <w:t xml:space="preserve"> and </w:t>
      </w:r>
      <w:r>
        <w:rPr>
          <w:kern w:val="0"/>
        </w:rPr>
        <w:t xml:space="preserve">Haynes, R.B. (2004), To self-cite or not to self-cite - Response. </w:t>
      </w:r>
      <w:r>
        <w:rPr>
          <w:i/>
          <w:iCs/>
          <w:kern w:val="0"/>
        </w:rPr>
        <w:t>Canadian Medical Association Journal</w:t>
      </w:r>
      <w:r>
        <w:rPr>
          <w:kern w:val="0"/>
        </w:rPr>
        <w:t xml:space="preserve">, </w:t>
      </w:r>
      <w:r>
        <w:rPr>
          <w:b/>
          <w:bCs/>
          <w:kern w:val="0"/>
        </w:rPr>
        <w:t>171</w:t>
      </w:r>
      <w:r>
        <w:rPr>
          <w:kern w:val="0"/>
        </w:rPr>
        <w:t xml:space="preserve"> (9), 1024</w:t>
      </w:r>
      <w:r>
        <w:rPr>
          <w:rFonts w:hint="eastAsia"/>
          <w:kern w:val="0"/>
        </w:rPr>
        <w:t>.</w:t>
      </w:r>
    </w:p>
    <w:p w:rsidR="00F526D5" w:rsidRPr="00C73C58" w:rsidRDefault="00F526D5" w:rsidP="00F526D5">
      <w:pPr>
        <w:pStyle w:val="a3"/>
      </w:pPr>
      <w:r w:rsidRPr="00C73C58">
        <w:t xml:space="preserve">Full Text: </w:t>
      </w:r>
      <w:hyperlink r:id="rId99" w:history="1">
        <w:r w:rsidRPr="00F526D5">
          <w:rPr>
            <w:rStyle w:val="a5"/>
          </w:rPr>
          <w:t>2004\Can Med Ass J171, 1024-1.pdf</w:t>
        </w:r>
      </w:hyperlink>
    </w:p>
    <w:p w:rsidR="003474F2" w:rsidRPr="001A3D2B" w:rsidRDefault="003474F2" w:rsidP="003474F2">
      <w:pPr>
        <w:pStyle w:val="a3"/>
      </w:pPr>
      <w:r w:rsidRPr="001A3D2B">
        <w:t>? Falagas, M.E., Michalopoulos, A.S., Bliziotis, I.A.</w:t>
      </w:r>
      <w:r w:rsidR="005853A9">
        <w:t xml:space="preserve"> and </w:t>
      </w:r>
      <w:r w:rsidRPr="001A3D2B">
        <w:t>Soteriades, E.S. (2006), A bibliometric analysis by geographic area</w:t>
      </w:r>
      <w:r w:rsidR="00427468">
        <w:t xml:space="preserve"> of </w:t>
      </w:r>
      <w:r w:rsidRPr="001A3D2B">
        <w:t xml:space="preserve">published research in several biomedical fields, 1995-2003. </w:t>
      </w:r>
      <w:r w:rsidRPr="001A3D2B">
        <w:rPr>
          <w:i/>
          <w:iCs/>
        </w:rPr>
        <w:t>Canadian Medical Association Journal</w:t>
      </w:r>
      <w:r w:rsidRPr="001A3D2B">
        <w:t xml:space="preserve">, </w:t>
      </w:r>
      <w:r w:rsidRPr="001A3D2B">
        <w:rPr>
          <w:b/>
          <w:bCs/>
        </w:rPr>
        <w:t>175</w:t>
      </w:r>
      <w:r w:rsidRPr="001A3D2B">
        <w:t xml:space="preserve"> (11), 1389-1390.</w:t>
      </w:r>
    </w:p>
    <w:p w:rsidR="003474F2" w:rsidRPr="001A3D2B" w:rsidRDefault="003474F2" w:rsidP="003474F2">
      <w:pPr>
        <w:pStyle w:val="a3"/>
      </w:pPr>
      <w:r w:rsidRPr="001A3D2B">
        <w:t xml:space="preserve">Full Text: </w:t>
      </w:r>
      <w:hyperlink r:id="rId100" w:history="1">
        <w:r w:rsidRPr="001A3D2B">
          <w:rPr>
            <w:rStyle w:val="a5"/>
          </w:rPr>
          <w:t>2007\Can Med Ass J175, 1389.pdf</w:t>
        </w:r>
      </w:hyperlink>
    </w:p>
    <w:p w:rsidR="003474F2" w:rsidRPr="001A3D2B" w:rsidRDefault="003474F2" w:rsidP="003474F2">
      <w:pPr>
        <w:pStyle w:val="a3"/>
      </w:pPr>
      <w:r w:rsidRPr="001A3D2B">
        <w:t>Abstract: We summarized</w:t>
      </w:r>
      <w:r w:rsidR="003A1917">
        <w:t xml:space="preserve"> the </w:t>
      </w:r>
      <w:r w:rsidRPr="001A3D2B">
        <w:t>findings</w:t>
      </w:r>
      <w:r w:rsidR="00427468">
        <w:t xml:space="preserve"> of </w:t>
      </w:r>
      <w:r w:rsidRPr="001A3D2B">
        <w:t>several studies</w:t>
      </w:r>
      <w:r w:rsidR="00427468">
        <w:t xml:space="preserve"> of </w:t>
      </w:r>
      <w:r w:rsidRPr="001A3D2B">
        <w:t>ours to compare</w:t>
      </w:r>
      <w:r w:rsidR="003A1917">
        <w:t xml:space="preserve"> the </w:t>
      </w:r>
      <w:r w:rsidRPr="001A3D2B">
        <w:t>quantity</w:t>
      </w:r>
      <w:r w:rsidR="005853A9">
        <w:t xml:space="preserve"> and </w:t>
      </w:r>
      <w:r w:rsidRPr="001A3D2B">
        <w:t>quality</w:t>
      </w:r>
      <w:r w:rsidR="00427468">
        <w:t xml:space="preserve"> of </w:t>
      </w:r>
      <w:r w:rsidRPr="001A3D2B">
        <w:t>published research from around</w:t>
      </w:r>
      <w:r w:rsidR="003A1917">
        <w:t xml:space="preserve"> the </w:t>
      </w:r>
      <w:r w:rsidRPr="001A3D2B">
        <w:t>world for</w:t>
      </w:r>
      <w:r w:rsidR="003A1917">
        <w:t xml:space="preserve"> the </w:t>
      </w:r>
      <w:r w:rsidRPr="001A3D2B">
        <w:t>years 1995 to 2003. We evaluated</w:t>
      </w:r>
      <w:r w:rsidR="003A1917">
        <w:t xml:space="preserve"> the </w:t>
      </w:r>
      <w:r w:rsidRPr="001A3D2B">
        <w:t>number</w:t>
      </w:r>
      <w:r w:rsidR="00427468">
        <w:t xml:space="preserve"> of </w:t>
      </w:r>
      <w:r w:rsidRPr="001A3D2B">
        <w:t>articles published</w:t>
      </w:r>
      <w:r w:rsidR="005853A9">
        <w:t xml:space="preserve"> and </w:t>
      </w:r>
      <w:r w:rsidRPr="001A3D2B">
        <w:t>their mean journal impact factor. We also studied</w:t>
      </w:r>
      <w:r w:rsidR="003A1917">
        <w:t xml:space="preserve"> the </w:t>
      </w:r>
      <w:r w:rsidRPr="001A3D2B">
        <w:t>research productivity</w:t>
      </w:r>
      <w:r w:rsidR="00427468">
        <w:t xml:space="preserve"> of </w:t>
      </w:r>
      <w:r w:rsidRPr="001A3D2B">
        <w:t>various areas adjusted for gross domestic product (GDP)</w:t>
      </w:r>
      <w:r w:rsidR="005853A9">
        <w:t xml:space="preserve"> and </w:t>
      </w:r>
      <w:r w:rsidRPr="001A3D2B">
        <w:t>population. We found that Western Europe leads</w:t>
      </w:r>
      <w:r w:rsidR="003A1917">
        <w:t xml:space="preserve"> the </w:t>
      </w:r>
      <w:r w:rsidRPr="001A3D2B">
        <w:t>world in published research on infectious diseases-microbiology (82 342 articles [38.8%])</w:t>
      </w:r>
      <w:r w:rsidR="005853A9">
        <w:t xml:space="preserve"> and </w:t>
      </w:r>
      <w:r w:rsidRPr="001A3D2B">
        <w:t>in cardiopulmonary medicine (67 783 articles [39.5%]), whereas</w:t>
      </w:r>
      <w:r w:rsidR="003A1917">
        <w:t xml:space="preserve"> the </w:t>
      </w:r>
      <w:r w:rsidRPr="001A3D2B">
        <w:t>United States ranks first in</w:t>
      </w:r>
      <w:r w:rsidR="003A1917">
        <w:t xml:space="preserve"> the </w:t>
      </w:r>
      <w:r w:rsidRPr="001A3D2B">
        <w:t>fields</w:t>
      </w:r>
      <w:r w:rsidR="00427468">
        <w:t xml:space="preserve"> of </w:t>
      </w:r>
      <w:r w:rsidRPr="001A3D2B">
        <w:t>preventive medicine, public health</w:t>
      </w:r>
      <w:r w:rsidR="005853A9">
        <w:t xml:space="preserve"> and </w:t>
      </w:r>
      <w:r w:rsidRPr="001A3D2B">
        <w:t>epidemiology both in quantity (23 918 articles [49.1%])</w:t>
      </w:r>
      <w:r w:rsidR="005853A9">
        <w:t xml:space="preserve"> and </w:t>
      </w:r>
      <w:r w:rsidRPr="001A3D2B">
        <w:t>quality</w:t>
      </w:r>
      <w:r w:rsidR="00427468">
        <w:t xml:space="preserve"> of </w:t>
      </w:r>
      <w:r w:rsidRPr="001A3D2B">
        <w:t>published papers. However, after adjustments for GDP, Canada ranked first, with</w:t>
      </w:r>
      <w:r w:rsidR="003A1917">
        <w:t xml:space="preserve"> the </w:t>
      </w:r>
      <w:r w:rsidRPr="001A3D2B">
        <w:t>United States</w:t>
      </w:r>
      <w:r w:rsidR="005853A9">
        <w:t xml:space="preserve"> and </w:t>
      </w:r>
      <w:r w:rsidRPr="001A3D2B">
        <w:t>Oceania following closely behind. All</w:t>
      </w:r>
      <w:r w:rsidR="00427468">
        <w:t xml:space="preserve"> of </w:t>
      </w:r>
      <w:r w:rsidR="003A1917">
        <w:t xml:space="preserve">the </w:t>
      </w:r>
      <w:r w:rsidRPr="001A3D2B">
        <w:t>developing regions had only small research contributions in all</w:t>
      </w:r>
      <w:r w:rsidR="00427468">
        <w:t xml:space="preserve"> of </w:t>
      </w:r>
      <w:r w:rsidR="003A1917">
        <w:t xml:space="preserve">the </w:t>
      </w:r>
      <w:r w:rsidRPr="001A3D2B">
        <w:t>biomedical fields examined.</w:t>
      </w:r>
    </w:p>
    <w:p w:rsidR="003474F2" w:rsidRPr="001A3D2B" w:rsidRDefault="003474F2" w:rsidP="003474F2">
      <w:pPr>
        <w:pStyle w:val="a3"/>
      </w:pPr>
      <w:r w:rsidRPr="001A3D2B">
        <w:t>Keywords: Analysis, Bibliometric, Bibliometric Analysis, Biomedical, Canada, Cardiopulmonary, Developing, Epidemiology, Europe, First, Gross Domestic Product, Health, Impact, Impact Factor, Journal, Journal Impact, Journal Impact Factor, Medicine, Papers, Population, Productivity, Public, Public Health, Quality, Quality of, Research, Research Productivity, Small, United States, World</w:t>
      </w:r>
    </w:p>
    <w:p w:rsidR="003474F2" w:rsidRPr="001A3D2B" w:rsidRDefault="003474F2" w:rsidP="003474F2">
      <w:pPr>
        <w:pStyle w:val="a3"/>
      </w:pPr>
      <w:r w:rsidRPr="001A3D2B">
        <w:t>? Stanbrook, M.B., Flegel, K., Sibbald, B., Wooltorton, E., McDonald, N., Attaran, A.</w:t>
      </w:r>
      <w:r w:rsidR="005853A9">
        <w:t xml:space="preserve"> and </w:t>
      </w:r>
      <w:r w:rsidRPr="001A3D2B">
        <w:t xml:space="preserve">Hebert, P.C. (2007), Congratulations to our colleagues at Open Medicine. </w:t>
      </w:r>
      <w:r w:rsidRPr="001A3D2B">
        <w:rPr>
          <w:i/>
          <w:iCs/>
        </w:rPr>
        <w:t>Canadian Medical Association Journal</w:t>
      </w:r>
      <w:r w:rsidRPr="001A3D2B">
        <w:t xml:space="preserve">, </w:t>
      </w:r>
      <w:r w:rsidRPr="001A3D2B">
        <w:rPr>
          <w:b/>
          <w:bCs/>
        </w:rPr>
        <w:t>177</w:t>
      </w:r>
      <w:r w:rsidRPr="001A3D2B">
        <w:t xml:space="preserve"> (1), 59-61</w:t>
      </w:r>
      <w:r w:rsidR="00326B32">
        <w:rPr>
          <w:rFonts w:hint="eastAsia"/>
        </w:rPr>
        <w:t>.</w:t>
      </w:r>
    </w:p>
    <w:p w:rsidR="003474F2" w:rsidRPr="001A3D2B" w:rsidRDefault="003474F2" w:rsidP="003474F2">
      <w:pPr>
        <w:pStyle w:val="a3"/>
      </w:pPr>
      <w:r w:rsidRPr="001A3D2B">
        <w:t xml:space="preserve">Full Text: </w:t>
      </w:r>
      <w:hyperlink r:id="rId101" w:history="1">
        <w:r w:rsidRPr="001A3D2B">
          <w:rPr>
            <w:rStyle w:val="a5"/>
          </w:rPr>
          <w:t>2007\Can Med Ass J177, 59.pdf</w:t>
        </w:r>
      </w:hyperlink>
    </w:p>
    <w:p w:rsidR="003474F2" w:rsidRPr="001A3D2B" w:rsidRDefault="003474F2" w:rsidP="003474F2">
      <w:pPr>
        <w:pStyle w:val="a3"/>
      </w:pPr>
      <w:r w:rsidRPr="001A3D2B">
        <w:lastRenderedPageBreak/>
        <w:t>Keywords: Bibliometric Analysis</w:t>
      </w:r>
    </w:p>
    <w:p w:rsidR="003474F2" w:rsidRPr="001A3D2B" w:rsidRDefault="003474F2" w:rsidP="003474F2">
      <w:pPr>
        <w:pStyle w:val="1"/>
      </w:pPr>
      <w:r w:rsidRPr="001A3D2B">
        <w:br w:type="page"/>
      </w:r>
      <w:bookmarkStart w:id="53" w:name="_Toc420814889"/>
      <w:r w:rsidRPr="001A3D2B">
        <w:lastRenderedPageBreak/>
        <w:t>Title: Canadian Psychology-Psychologie Canadie</w:t>
      </w:r>
      <w:bookmarkStart w:id="54" w:name="_Toc213879339"/>
      <w:r w:rsidRPr="001A3D2B">
        <w:t>nne</w:t>
      </w:r>
      <w:bookmarkEnd w:id="53"/>
    </w:p>
    <w:p w:rsidR="003474F2" w:rsidRPr="001A3D2B" w:rsidRDefault="003474F2" w:rsidP="003474F2">
      <w:pPr>
        <w:pStyle w:val="12"/>
        <w:rPr>
          <w:lang w:val="fr-FR"/>
        </w:rPr>
      </w:pPr>
      <w:r w:rsidRPr="001A3D2B">
        <w:rPr>
          <w:lang w:val="fr-FR"/>
        </w:rPr>
        <w:t>Full Journal Title: Canadian Psychology-Psych</w:t>
      </w:r>
      <w:bookmarkEnd w:id="54"/>
      <w:r w:rsidRPr="001A3D2B">
        <w:rPr>
          <w:lang w:val="fr-FR"/>
        </w:rPr>
        <w:t>ologie Canadienne</w:t>
      </w:r>
    </w:p>
    <w:p w:rsidR="003474F2" w:rsidRPr="001A3D2B" w:rsidRDefault="003474F2" w:rsidP="003474F2">
      <w:pPr>
        <w:pStyle w:val="12"/>
      </w:pPr>
      <w:r w:rsidRPr="001A3D2B">
        <w:t xml:space="preserve">ISO Abbreviated Title: Can. </w:t>
      </w:r>
      <w:smartTag w:uri="urn:schemas-microsoft-com:office:smarttags" w:element="place">
        <w:smartTag w:uri="urn:schemas-microsoft-com:office:smarttags" w:element="City">
          <w:r w:rsidRPr="001A3D2B">
            <w:t>Psychol.-Psychol.</w:t>
          </w:r>
        </w:smartTag>
        <w:r w:rsidRPr="001A3D2B">
          <w:t xml:space="preserve"> </w:t>
        </w:r>
        <w:smartTag w:uri="urn:schemas-microsoft-com:office:smarttags" w:element="country-region">
          <w:r w:rsidRPr="001A3D2B">
            <w:t>Can.</w:t>
          </w:r>
        </w:smartTag>
      </w:smartTag>
    </w:p>
    <w:p w:rsidR="003474F2" w:rsidRPr="001A3D2B" w:rsidRDefault="003474F2" w:rsidP="003474F2">
      <w:pPr>
        <w:pStyle w:val="12"/>
      </w:pPr>
      <w:r w:rsidRPr="001A3D2B">
        <w:t>JCR Abbreviated Title: Can Psychol</w:t>
      </w:r>
    </w:p>
    <w:p w:rsidR="003474F2" w:rsidRPr="001A3D2B" w:rsidRDefault="003474F2" w:rsidP="003474F2">
      <w:pPr>
        <w:pStyle w:val="12"/>
      </w:pPr>
      <w:r w:rsidRPr="001A3D2B">
        <w:t>ISSN: 4</w:t>
      </w:r>
    </w:p>
    <w:p w:rsidR="003474F2" w:rsidRPr="001A3D2B" w:rsidRDefault="003474F2" w:rsidP="003474F2">
      <w:pPr>
        <w:pStyle w:val="12"/>
      </w:pPr>
      <w:r w:rsidRPr="001A3D2B">
        <w:t>Issues/Year: 0708-5591</w:t>
      </w:r>
    </w:p>
    <w:p w:rsidR="003474F2" w:rsidRPr="001A3D2B" w:rsidRDefault="00AA25A4" w:rsidP="003474F2">
      <w:pPr>
        <w:pStyle w:val="12"/>
      </w:pPr>
      <w:r w:rsidRPr="001A3D2B">
        <w:t>Journal Country/Territory:</w:t>
      </w:r>
      <w:r w:rsidR="008F46E9" w:rsidRPr="001A3D2B">
        <w:t xml:space="preserve"> </w:t>
      </w:r>
      <w:r w:rsidR="003474F2" w:rsidRPr="001A3D2B">
        <w:t>Canada</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Canadian Psychol Assoc</w:t>
      </w:r>
    </w:p>
    <w:p w:rsidR="003474F2" w:rsidRPr="001A3D2B" w:rsidRDefault="003474F2" w:rsidP="003474F2">
      <w:pPr>
        <w:pStyle w:val="12"/>
      </w:pPr>
      <w:r w:rsidRPr="001A3D2B">
        <w:t>Publisher Address: 151 Slater St, Ste 205, Ottawa, Ontario K1P 5H3, Canada</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Psychology: Impact Factor 0.516, / (2000)</w:t>
      </w:r>
    </w:p>
    <w:p w:rsidR="003474F2" w:rsidRDefault="003474F2" w:rsidP="003474F2">
      <w:pPr>
        <w:pStyle w:val="a3"/>
      </w:pPr>
      <w:r w:rsidRPr="001A3D2B">
        <w:t>? Endler, N.S.</w:t>
      </w:r>
      <w:r w:rsidR="005853A9">
        <w:t xml:space="preserve"> and </w:t>
      </w:r>
      <w:r w:rsidRPr="001A3D2B">
        <w:t>Edwards, J.M. (1987</w:t>
      </w:r>
      <w:r w:rsidR="00F42EAC">
        <w:t>), The</w:t>
      </w:r>
      <w:r w:rsidR="003A1917">
        <w:t xml:space="preserve"> </w:t>
      </w:r>
      <w:r w:rsidR="00B5188C">
        <w:t>“</w:t>
      </w:r>
      <w:r w:rsidRPr="001A3D2B">
        <w:t>stars</w:t>
      </w:r>
      <w:r w:rsidR="00B5188C">
        <w:t>”</w:t>
      </w:r>
      <w:r w:rsidRPr="001A3D2B">
        <w:t xml:space="preserve"> revisited - What are</w:t>
      </w:r>
      <w:r w:rsidR="003A1917">
        <w:t xml:space="preserve"> the </w:t>
      </w:r>
      <w:r w:rsidR="00B5188C">
        <w:t>“</w:t>
      </w:r>
      <w:r w:rsidRPr="001A3D2B">
        <w:t>stars</w:t>
      </w:r>
      <w:r w:rsidR="00B5188C">
        <w:t>”</w:t>
      </w:r>
      <w:r w:rsidR="00427468">
        <w:t xml:space="preserve"> of </w:t>
      </w:r>
      <w:r w:rsidR="003A1917">
        <w:t xml:space="preserve">the </w:t>
      </w:r>
      <w:r w:rsidRPr="001A3D2B">
        <w:t>1970s doing in</w:t>
      </w:r>
      <w:r w:rsidR="003A1917">
        <w:t xml:space="preserve"> the </w:t>
      </w:r>
      <w:r w:rsidRPr="001A3D2B">
        <w:t xml:space="preserve">1980s. </w:t>
      </w:r>
      <w:r w:rsidRPr="001A3D2B">
        <w:rPr>
          <w:i/>
          <w:iCs/>
        </w:rPr>
        <w:t>Canadian Psychology-Psychologie Canadienne</w:t>
      </w:r>
      <w:r w:rsidRPr="001A3D2B">
        <w:t xml:space="preserve">, </w:t>
      </w:r>
      <w:r w:rsidRPr="001A3D2B">
        <w:rPr>
          <w:b/>
          <w:bCs/>
        </w:rPr>
        <w:t>28</w:t>
      </w:r>
      <w:r w:rsidRPr="001A3D2B">
        <w:t xml:space="preserve"> (2), 148-160.</w:t>
      </w:r>
    </w:p>
    <w:p w:rsidR="00705B8D" w:rsidRPr="001A3D2B" w:rsidRDefault="00705B8D" w:rsidP="003474F2">
      <w:pPr>
        <w:pStyle w:val="a3"/>
      </w:pPr>
      <w:r>
        <w:rPr>
          <w:rFonts w:hint="eastAsia"/>
        </w:rPr>
        <w:t xml:space="preserve">Full Text: </w:t>
      </w:r>
      <w:hyperlink r:id="rId102" w:history="1">
        <w:r w:rsidRPr="00705B8D">
          <w:rPr>
            <w:rStyle w:val="a5"/>
          </w:rPr>
          <w:t>1987\Can Psy-Psy Can28, 148.pdf</w:t>
        </w:r>
      </w:hyperlink>
    </w:p>
    <w:p w:rsidR="009D28C9" w:rsidRDefault="009D28C9" w:rsidP="009D28C9">
      <w:pPr>
        <w:pStyle w:val="a3"/>
        <w:rPr>
          <w:kern w:val="0"/>
        </w:rPr>
      </w:pPr>
      <w:r>
        <w:rPr>
          <w:kern w:val="0"/>
        </w:rPr>
        <w:t xml:space="preserve">? Wéry, A., Karila, L., De Sutter, P. and Billieux, J. (2014), Conceptualization, assessment and treatment of cybersexual addiction: A review of the literature. </w:t>
      </w:r>
      <w:r>
        <w:rPr>
          <w:i/>
          <w:iCs/>
          <w:kern w:val="0"/>
        </w:rPr>
        <w:t>Canadian Psychology-Psychologie Canadienne</w:t>
      </w:r>
      <w:r>
        <w:rPr>
          <w:kern w:val="0"/>
        </w:rPr>
        <w:t xml:space="preserve">, </w:t>
      </w:r>
      <w:r>
        <w:rPr>
          <w:b/>
          <w:bCs/>
          <w:kern w:val="0"/>
        </w:rPr>
        <w:t>55</w:t>
      </w:r>
      <w:r>
        <w:rPr>
          <w:kern w:val="0"/>
        </w:rPr>
        <w:t xml:space="preserve"> (4), 266-281.</w:t>
      </w:r>
    </w:p>
    <w:p w:rsidR="009D28C9" w:rsidRPr="001A3D2B" w:rsidRDefault="009D28C9" w:rsidP="009D28C9">
      <w:pPr>
        <w:pStyle w:val="a3"/>
      </w:pPr>
      <w:r>
        <w:rPr>
          <w:rFonts w:hint="eastAsia"/>
        </w:rPr>
        <w:t xml:space="preserve">Full Text: </w:t>
      </w:r>
      <w:hyperlink r:id="rId103" w:history="1">
        <w:r w:rsidRPr="003B1FDD">
          <w:rPr>
            <w:rStyle w:val="a5"/>
          </w:rPr>
          <w:t>2014\Can Psy-Psy Can55, 266.pdf</w:t>
        </w:r>
      </w:hyperlink>
    </w:p>
    <w:p w:rsidR="009D28C9" w:rsidRDefault="009D28C9" w:rsidP="009D28C9">
      <w:pPr>
        <w:pStyle w:val="a3"/>
        <w:rPr>
          <w:kern w:val="0"/>
        </w:rPr>
      </w:pPr>
      <w:r>
        <w:rPr>
          <w:kern w:val="0"/>
        </w:rPr>
        <w:t>Abstract: The purpose of this article is to propose a critical review of current knowledge concerning cybersexual dependence (definition, epidemiology, evaluation and treatment). There is, in fact, a lack of consensus concerning the conceptualization of this disorder. This lack of conceptual clarity is largely due to the existence of a multitude of definitions of the disorder, a significant variety of sexual behaviours concerned and of symptomatologies, and because of methodological problems in the existing research (samples and evaluation tools that are strongly heterogeneous in different studies). Given the context, this article seeks to clarify the state of knowledge concerning cybersexual dependence. We will also make an inventory of empirically validated treatment methods for sexual and cybersexual dependence and we will propose approaches for future research. A non-systematic narrative review was conducted to examine and summarize the English and French literature dealing with cybersexual dependence. That review was carried out using a keyword search for sexual and cybersexual dependence in the data bases of PsycINFO, ISI Web of Science and Francis. Particular attention was paid to articles evaluating risk factors involved in sexual dependence, as well as articles that suggest treatment approaches for the disorder.</w:t>
      </w:r>
    </w:p>
    <w:p w:rsidR="009D28C9" w:rsidRDefault="009D28C9" w:rsidP="009D28C9">
      <w:pPr>
        <w:pStyle w:val="a3"/>
        <w:rPr>
          <w:kern w:val="0"/>
        </w:rPr>
      </w:pPr>
      <w:r>
        <w:rPr>
          <w:kern w:val="0"/>
        </w:rPr>
        <w:lastRenderedPageBreak/>
        <w:t>Keywords: Addiction, Article, Articles, Assessment, Attention, Compulsive Sexual-Behavior, Consensus, Context, Critical Review, Cyber Dependence, Cybersexual Dependence, Data, Definition, English, Epidemiology, Evaluation, Exploration, Factors, Hypersexual Disorder, Hypersexuality, Impact, Internet Addiction, Internet Addiction, Inventory, Isi, Isi Web Of Science, Knowledge, Literature, Men, Methods, Nov, Online, Paraphilias, Pornography, Psychometric Properties, Psycinfo, Purpose, Research, Review, Risk, Risk Factors, Science, Si, State, Treatment, Web, Web Of Science</w:t>
      </w:r>
    </w:p>
    <w:p w:rsidR="00FE0B89" w:rsidRPr="00C73C58" w:rsidRDefault="00FE0B89" w:rsidP="00FE0B89">
      <w:pPr>
        <w:pStyle w:val="1"/>
      </w:pPr>
      <w:r w:rsidRPr="00C73C58">
        <w:br w:type="page"/>
      </w:r>
      <w:bookmarkStart w:id="55" w:name="_Toc420814890"/>
      <w:r w:rsidRPr="00C73C58">
        <w:lastRenderedPageBreak/>
        <w:t xml:space="preserve">Title: </w:t>
      </w:r>
      <w:r w:rsidRPr="00FE0B89">
        <w:rPr>
          <w:szCs w:val="24"/>
        </w:rPr>
        <w:t>Canadian Respiratory Journal</w:t>
      </w:r>
      <w:bookmarkEnd w:id="55"/>
    </w:p>
    <w:p w:rsidR="00FE0B89" w:rsidRPr="00C73C58" w:rsidRDefault="00FE0B89" w:rsidP="00FE0B89">
      <w:pPr>
        <w:pStyle w:val="12"/>
        <w:rPr>
          <w:b/>
        </w:rPr>
      </w:pPr>
      <w:r w:rsidRPr="00C73C58">
        <w:t xml:space="preserve">Full Journal Title: </w:t>
      </w:r>
      <w:r w:rsidRPr="00FE0B89">
        <w:rPr>
          <w:iCs/>
          <w:kern w:val="0"/>
        </w:rPr>
        <w:t>Canadian Respiratory Journal</w:t>
      </w:r>
    </w:p>
    <w:p w:rsidR="00FE0B89" w:rsidRPr="00C73C58" w:rsidRDefault="00FE0B89" w:rsidP="00FE0B89">
      <w:pPr>
        <w:pStyle w:val="12"/>
      </w:pPr>
      <w:r w:rsidRPr="00C73C58">
        <w:t xml:space="preserve">ISO Abbreviated Title: </w:t>
      </w:r>
    </w:p>
    <w:p w:rsidR="00FE0B89" w:rsidRPr="00C73C58" w:rsidRDefault="00FE0B89" w:rsidP="00FE0B89">
      <w:pPr>
        <w:pStyle w:val="12"/>
      </w:pPr>
      <w:r w:rsidRPr="00C73C58">
        <w:t xml:space="preserve">JCR Abbreviated Title: </w:t>
      </w:r>
    </w:p>
    <w:p w:rsidR="00FE0B89" w:rsidRPr="00C73C58" w:rsidRDefault="00FE0B89" w:rsidP="00FE0B89">
      <w:pPr>
        <w:pStyle w:val="12"/>
      </w:pPr>
      <w:r w:rsidRPr="00C73C58">
        <w:t xml:space="preserve">ISSN: </w:t>
      </w:r>
    </w:p>
    <w:p w:rsidR="00FE0B89" w:rsidRPr="00C73C58" w:rsidRDefault="00FE0B89" w:rsidP="00FE0B89">
      <w:pPr>
        <w:pStyle w:val="12"/>
      </w:pPr>
      <w:r w:rsidRPr="00C73C58">
        <w:t xml:space="preserve">Issues/Year: </w:t>
      </w:r>
    </w:p>
    <w:p w:rsidR="00FE0B89" w:rsidRPr="00C73C58" w:rsidRDefault="00FE0B89" w:rsidP="00FE0B89">
      <w:pPr>
        <w:pStyle w:val="12"/>
      </w:pPr>
      <w:r w:rsidRPr="00C73C58">
        <w:t xml:space="preserve">Journal Country/Territory: </w:t>
      </w:r>
    </w:p>
    <w:p w:rsidR="00FE0B89" w:rsidRPr="00C73C58" w:rsidRDefault="00FE0B89" w:rsidP="00FE0B89">
      <w:pPr>
        <w:pStyle w:val="12"/>
      </w:pPr>
      <w:r w:rsidRPr="00C73C58">
        <w:t xml:space="preserve">Language: </w:t>
      </w:r>
    </w:p>
    <w:p w:rsidR="00FE0B89" w:rsidRPr="00C73C58" w:rsidRDefault="00FE0B89" w:rsidP="00FE0B89">
      <w:pPr>
        <w:pStyle w:val="12"/>
      </w:pPr>
      <w:r w:rsidRPr="00C73C58">
        <w:t xml:space="preserve">Publisher: </w:t>
      </w:r>
    </w:p>
    <w:p w:rsidR="00FE0B89" w:rsidRPr="00C73C58" w:rsidRDefault="00FE0B89" w:rsidP="00FE0B89">
      <w:pPr>
        <w:pStyle w:val="12"/>
      </w:pPr>
      <w:r w:rsidRPr="00C73C58">
        <w:t xml:space="preserve">Publisher Address: </w:t>
      </w:r>
    </w:p>
    <w:p w:rsidR="00FE0B89" w:rsidRPr="00C73C58" w:rsidRDefault="00FE0B89" w:rsidP="00FE0B89">
      <w:pPr>
        <w:pStyle w:val="12"/>
      </w:pPr>
      <w:r w:rsidRPr="00C73C58">
        <w:t xml:space="preserve">Subject Categories: </w:t>
      </w:r>
    </w:p>
    <w:p w:rsidR="00FE0B89" w:rsidRPr="00C73C58" w:rsidRDefault="00FE0B89" w:rsidP="00FE0B89">
      <w:pPr>
        <w:pStyle w:val="12"/>
      </w:pPr>
      <w:r w:rsidRPr="00C73C58">
        <w:t xml:space="preserve">: Impact Factor </w:t>
      </w:r>
    </w:p>
    <w:p w:rsidR="00FE0B89" w:rsidRDefault="00FE0B89" w:rsidP="00FE0B89">
      <w:pPr>
        <w:pStyle w:val="a3"/>
        <w:rPr>
          <w:kern w:val="0"/>
          <w:szCs w:val="24"/>
        </w:rPr>
      </w:pPr>
      <w:r>
        <w:rPr>
          <w:rFonts w:hint="eastAsia"/>
          <w:kern w:val="0"/>
          <w:szCs w:val="24"/>
        </w:rPr>
        <w:t xml:space="preserve">? </w:t>
      </w:r>
      <w:r>
        <w:rPr>
          <w:kern w:val="0"/>
          <w:szCs w:val="24"/>
        </w:rPr>
        <w:t>Liak, C.</w:t>
      </w:r>
      <w:r w:rsidR="005853A9">
        <w:rPr>
          <w:kern w:val="0"/>
          <w:szCs w:val="24"/>
        </w:rPr>
        <w:t xml:space="preserve"> and </w:t>
      </w:r>
      <w:r>
        <w:rPr>
          <w:kern w:val="0"/>
          <w:szCs w:val="24"/>
        </w:rPr>
        <w:t xml:space="preserve">Fitzpatrick, M. (2011), Coagulability in obstructive sleep apnea. </w:t>
      </w:r>
      <w:r w:rsidRPr="00FE0B89">
        <w:rPr>
          <w:i/>
          <w:iCs/>
          <w:kern w:val="0"/>
          <w:szCs w:val="24"/>
        </w:rPr>
        <w:t>Canadian Respiratory Journal</w:t>
      </w:r>
      <w:r>
        <w:rPr>
          <w:kern w:val="0"/>
          <w:szCs w:val="24"/>
        </w:rPr>
        <w:t xml:space="preserve">, </w:t>
      </w:r>
      <w:r>
        <w:rPr>
          <w:b/>
          <w:bCs/>
          <w:kern w:val="0"/>
          <w:szCs w:val="24"/>
        </w:rPr>
        <w:t>18</w:t>
      </w:r>
      <w:r>
        <w:rPr>
          <w:kern w:val="0"/>
          <w:szCs w:val="24"/>
        </w:rPr>
        <w:t xml:space="preserve"> (6), 338-348.</w:t>
      </w:r>
    </w:p>
    <w:p w:rsidR="00705B8D" w:rsidRDefault="00705B8D" w:rsidP="00705B8D">
      <w:pPr>
        <w:pStyle w:val="a3"/>
        <w:rPr>
          <w:kern w:val="0"/>
          <w:szCs w:val="24"/>
        </w:rPr>
      </w:pPr>
      <w:r>
        <w:rPr>
          <w:rFonts w:hint="eastAsia"/>
          <w:kern w:val="0"/>
          <w:szCs w:val="24"/>
        </w:rPr>
        <w:t xml:space="preserve">Full Text: </w:t>
      </w:r>
      <w:hyperlink r:id="rId104" w:history="1">
        <w:r w:rsidRPr="00BB4674">
          <w:rPr>
            <w:rStyle w:val="a5"/>
            <w:kern w:val="0"/>
            <w:szCs w:val="24"/>
          </w:rPr>
          <w:t>2011\Can Res J18, 338.pdf</w:t>
        </w:r>
      </w:hyperlink>
    </w:p>
    <w:p w:rsidR="00FE0B89" w:rsidRDefault="00FE0B89" w:rsidP="00FE0B89">
      <w:pPr>
        <w:pStyle w:val="a3"/>
        <w:rPr>
          <w:kern w:val="0"/>
          <w:szCs w:val="24"/>
        </w:rPr>
      </w:pPr>
      <w:r>
        <w:rPr>
          <w:kern w:val="0"/>
          <w:szCs w:val="24"/>
        </w:rPr>
        <w:t>Abstract: BACKGROUND: Obstructive sleep apnea (OSA) is a common disorder that affects both quality</w:t>
      </w:r>
      <w:r w:rsidR="00427468">
        <w:rPr>
          <w:kern w:val="0"/>
          <w:szCs w:val="24"/>
        </w:rPr>
        <w:t xml:space="preserve"> of </w:t>
      </w:r>
      <w:r>
        <w:rPr>
          <w:kern w:val="0"/>
          <w:szCs w:val="24"/>
        </w:rPr>
        <w:t>life</w:t>
      </w:r>
      <w:r w:rsidR="005853A9">
        <w:rPr>
          <w:kern w:val="0"/>
          <w:szCs w:val="24"/>
        </w:rPr>
        <w:t xml:space="preserve"> and </w:t>
      </w:r>
      <w:r>
        <w:rPr>
          <w:kern w:val="0"/>
          <w:szCs w:val="24"/>
        </w:rPr>
        <w:t>cardiovascular health</w:t>
      </w:r>
      <w:r w:rsidR="00A37C1D">
        <w:rPr>
          <w:kern w:val="0"/>
          <w:szCs w:val="24"/>
        </w:rPr>
        <w:t>. The</w:t>
      </w:r>
      <w:r w:rsidR="003A1917">
        <w:rPr>
          <w:kern w:val="0"/>
          <w:szCs w:val="24"/>
        </w:rPr>
        <w:t xml:space="preserve"> </w:t>
      </w:r>
      <w:r>
        <w:rPr>
          <w:kern w:val="0"/>
          <w:szCs w:val="24"/>
        </w:rPr>
        <w:t>ca</w:t>
      </w:r>
      <w:r w:rsidR="00D5664A">
        <w:rPr>
          <w:kern w:val="0"/>
          <w:szCs w:val="24"/>
        </w:rPr>
        <w:t>USA</w:t>
      </w:r>
      <w:r>
        <w:rPr>
          <w:kern w:val="0"/>
          <w:szCs w:val="24"/>
        </w:rPr>
        <w:t>l link between OSA</w:t>
      </w:r>
      <w:r w:rsidR="005853A9">
        <w:rPr>
          <w:kern w:val="0"/>
          <w:szCs w:val="24"/>
        </w:rPr>
        <w:t xml:space="preserve"> and </w:t>
      </w:r>
      <w:r>
        <w:rPr>
          <w:kern w:val="0"/>
          <w:szCs w:val="24"/>
        </w:rPr>
        <w:t>cardiovascular morbidity/mortality remains elusive. One possible explanation is that repeated episodes</w:t>
      </w:r>
      <w:r w:rsidR="00427468">
        <w:rPr>
          <w:kern w:val="0"/>
          <w:szCs w:val="24"/>
        </w:rPr>
        <w:t xml:space="preserve"> of </w:t>
      </w:r>
      <w:r>
        <w:rPr>
          <w:kern w:val="0"/>
          <w:szCs w:val="24"/>
        </w:rPr>
        <w:t>nocturnal hypoxia lead to a hypercoagulable state that predisposes patients to thrombotic events</w:t>
      </w:r>
      <w:r w:rsidR="00A37C1D">
        <w:rPr>
          <w:kern w:val="0"/>
          <w:szCs w:val="24"/>
        </w:rPr>
        <w:t>. The</w:t>
      </w:r>
      <w:r>
        <w:rPr>
          <w:kern w:val="0"/>
          <w:szCs w:val="24"/>
        </w:rPr>
        <w:t>re is evidence supporting a wide array</w:t>
      </w:r>
      <w:r w:rsidR="00427468">
        <w:rPr>
          <w:kern w:val="0"/>
          <w:szCs w:val="24"/>
        </w:rPr>
        <w:t xml:space="preserve"> of </w:t>
      </w:r>
      <w:r>
        <w:rPr>
          <w:kern w:val="0"/>
          <w:szCs w:val="24"/>
        </w:rPr>
        <w:t>hematological changes that affect hemostasis (eg, increased hematocrit, blood viscosity, platelet activation, clotting factors</w:t>
      </w:r>
      <w:r w:rsidR="005853A9">
        <w:rPr>
          <w:kern w:val="0"/>
          <w:szCs w:val="24"/>
        </w:rPr>
        <w:t xml:space="preserve"> and </w:t>
      </w:r>
      <w:r>
        <w:rPr>
          <w:kern w:val="0"/>
          <w:szCs w:val="24"/>
        </w:rPr>
        <w:t>decreased fibrinolytic activity). OBJECTIVE: To provide a comprehensive review</w:t>
      </w:r>
      <w:r w:rsidR="00427468">
        <w:rPr>
          <w:kern w:val="0"/>
          <w:szCs w:val="24"/>
        </w:rPr>
        <w:t xml:space="preserve"> of </w:t>
      </w:r>
      <w:r w:rsidR="003A1917">
        <w:rPr>
          <w:kern w:val="0"/>
          <w:szCs w:val="24"/>
        </w:rPr>
        <w:t xml:space="preserve">the </w:t>
      </w:r>
      <w:r>
        <w:rPr>
          <w:kern w:val="0"/>
          <w:szCs w:val="24"/>
        </w:rPr>
        <w:t>current evidence associating OSA with increased coagulability,</w:t>
      </w:r>
      <w:r w:rsidR="005853A9">
        <w:rPr>
          <w:kern w:val="0"/>
          <w:szCs w:val="24"/>
        </w:rPr>
        <w:t xml:space="preserve"> and </w:t>
      </w:r>
      <w:r>
        <w:rPr>
          <w:kern w:val="0"/>
          <w:szCs w:val="24"/>
        </w:rPr>
        <w:t xml:space="preserve">to highlight areas for future research. METHODS: Keyword searches in Ovid </w:t>
      </w:r>
      <w:r w:rsidR="00D5664A">
        <w:rPr>
          <w:kern w:val="0"/>
          <w:szCs w:val="24"/>
        </w:rPr>
        <w:t>MEDLINE</w:t>
      </w:r>
      <w:r>
        <w:rPr>
          <w:kern w:val="0"/>
          <w:szCs w:val="24"/>
        </w:rPr>
        <w:t xml:space="preserve"> were used to identify relevant articles; all references in</w:t>
      </w:r>
      <w:r w:rsidR="003A1917">
        <w:rPr>
          <w:kern w:val="0"/>
          <w:szCs w:val="24"/>
        </w:rPr>
        <w:t xml:space="preserve"> the </w:t>
      </w:r>
      <w:r>
        <w:rPr>
          <w:kern w:val="0"/>
          <w:szCs w:val="24"/>
        </w:rPr>
        <w:t>articles were searched for relevant titles</w:t>
      </w:r>
      <w:r w:rsidR="00A37C1D">
        <w:rPr>
          <w:kern w:val="0"/>
          <w:szCs w:val="24"/>
        </w:rPr>
        <w:t>. The</w:t>
      </w:r>
      <w:r w:rsidR="003A1917">
        <w:rPr>
          <w:kern w:val="0"/>
          <w:szCs w:val="24"/>
        </w:rPr>
        <w:t xml:space="preserve"> </w:t>
      </w:r>
      <w:r w:rsidR="00D5664A">
        <w:rPr>
          <w:kern w:val="0"/>
          <w:szCs w:val="24"/>
        </w:rPr>
        <w:t>Web</w:t>
      </w:r>
      <w:r w:rsidR="00427468">
        <w:rPr>
          <w:kern w:val="0"/>
          <w:szCs w:val="24"/>
        </w:rPr>
        <w:t xml:space="preserve"> of </w:t>
      </w:r>
      <w:r w:rsidR="00D5664A">
        <w:rPr>
          <w:kern w:val="0"/>
          <w:szCs w:val="24"/>
        </w:rPr>
        <w:t>Science</w:t>
      </w:r>
      <w:r>
        <w:rPr>
          <w:kern w:val="0"/>
          <w:szCs w:val="24"/>
        </w:rPr>
        <w:t xml:space="preserve"> was used to identify articles citing</w:t>
      </w:r>
      <w:r w:rsidR="003A1917">
        <w:rPr>
          <w:kern w:val="0"/>
          <w:szCs w:val="24"/>
        </w:rPr>
        <w:t xml:space="preserve"> the </w:t>
      </w:r>
      <w:r>
        <w:rPr>
          <w:kern w:val="0"/>
          <w:szCs w:val="24"/>
        </w:rPr>
        <w:t>relevant articles found using</w:t>
      </w:r>
      <w:r w:rsidR="003A1917">
        <w:rPr>
          <w:kern w:val="0"/>
          <w:szCs w:val="24"/>
        </w:rPr>
        <w:t xml:space="preserve"> the </w:t>
      </w:r>
      <w:r>
        <w:rPr>
          <w:kern w:val="0"/>
          <w:szCs w:val="24"/>
        </w:rPr>
        <w:t xml:space="preserve">Ovid </w:t>
      </w:r>
      <w:r w:rsidR="00D5664A">
        <w:rPr>
          <w:kern w:val="0"/>
          <w:szCs w:val="24"/>
        </w:rPr>
        <w:t>MEDLINE</w:t>
      </w:r>
      <w:r>
        <w:rPr>
          <w:kern w:val="0"/>
          <w:szCs w:val="24"/>
        </w:rPr>
        <w:t xml:space="preserve"> search. All original peer-reviewed articles, meta-analyses</w:t>
      </w:r>
      <w:r w:rsidR="005853A9">
        <w:rPr>
          <w:kern w:val="0"/>
          <w:szCs w:val="24"/>
        </w:rPr>
        <w:t xml:space="preserve"> and </w:t>
      </w:r>
      <w:r>
        <w:rPr>
          <w:kern w:val="0"/>
          <w:szCs w:val="24"/>
        </w:rPr>
        <w:t>systematic reviews regarding</w:t>
      </w:r>
      <w:r w:rsidR="003A1917">
        <w:rPr>
          <w:kern w:val="0"/>
          <w:szCs w:val="24"/>
        </w:rPr>
        <w:t xml:space="preserve"> the </w:t>
      </w:r>
      <w:r>
        <w:rPr>
          <w:kern w:val="0"/>
          <w:szCs w:val="24"/>
        </w:rPr>
        <w:t>pertinent topics between 1990</w:t>
      </w:r>
      <w:r w:rsidR="005853A9">
        <w:rPr>
          <w:kern w:val="0"/>
          <w:szCs w:val="24"/>
        </w:rPr>
        <w:t xml:space="preserve"> and </w:t>
      </w:r>
      <w:r>
        <w:rPr>
          <w:kern w:val="0"/>
          <w:szCs w:val="24"/>
        </w:rPr>
        <w:t>present were selected for review. RESULTS: Hematocrit, blood viscosity, certain clotting factors, tissue factor, platelet activity</w:t>
      </w:r>
      <w:r w:rsidR="005853A9">
        <w:rPr>
          <w:kern w:val="0"/>
          <w:szCs w:val="24"/>
        </w:rPr>
        <w:t xml:space="preserve"> and </w:t>
      </w:r>
      <w:r>
        <w:rPr>
          <w:kern w:val="0"/>
          <w:szCs w:val="24"/>
        </w:rPr>
        <w:t>whole blood coagulability are increased in patients with OSA, while fibrinolysis is impaired. CONCLUSION: There is considerable evidence that OSA is associated with a procoagulant state. Several factors are involved in</w:t>
      </w:r>
      <w:r w:rsidR="003A1917">
        <w:rPr>
          <w:kern w:val="0"/>
          <w:szCs w:val="24"/>
        </w:rPr>
        <w:t xml:space="preserve"> the </w:t>
      </w:r>
      <w:r>
        <w:rPr>
          <w:kern w:val="0"/>
          <w:szCs w:val="24"/>
        </w:rPr>
        <w:t>procoagulant state associated with OSA</w:t>
      </w:r>
      <w:r w:rsidR="00A37C1D">
        <w:rPr>
          <w:kern w:val="0"/>
          <w:szCs w:val="24"/>
        </w:rPr>
        <w:t>. The</w:t>
      </w:r>
      <w:r>
        <w:rPr>
          <w:kern w:val="0"/>
          <w:szCs w:val="24"/>
        </w:rPr>
        <w:t>re is a need for adequately powered clinical studies involving well-matched control groups to address potential confounding variables,</w:t>
      </w:r>
      <w:r w:rsidR="005853A9">
        <w:rPr>
          <w:kern w:val="0"/>
          <w:szCs w:val="24"/>
        </w:rPr>
        <w:t xml:space="preserve"> and </w:t>
      </w:r>
      <w:r>
        <w:rPr>
          <w:kern w:val="0"/>
          <w:szCs w:val="24"/>
        </w:rPr>
        <w:t>to accurately delineate</w:t>
      </w:r>
      <w:r w:rsidR="003A1917">
        <w:rPr>
          <w:kern w:val="0"/>
          <w:szCs w:val="24"/>
        </w:rPr>
        <w:t xml:space="preserve"> the </w:t>
      </w:r>
      <w:r>
        <w:rPr>
          <w:kern w:val="0"/>
          <w:szCs w:val="24"/>
        </w:rPr>
        <w:t>individual factors involved in</w:t>
      </w:r>
      <w:r w:rsidR="003A1917">
        <w:rPr>
          <w:kern w:val="0"/>
          <w:szCs w:val="24"/>
        </w:rPr>
        <w:t xml:space="preserve"> the </w:t>
      </w:r>
      <w:r>
        <w:rPr>
          <w:kern w:val="0"/>
          <w:szCs w:val="24"/>
        </w:rPr>
        <w:t>procoagulant state associated with OSA</w:t>
      </w:r>
      <w:r w:rsidR="005853A9">
        <w:rPr>
          <w:kern w:val="0"/>
          <w:szCs w:val="24"/>
        </w:rPr>
        <w:t xml:space="preserve"> and </w:t>
      </w:r>
      <w:r>
        <w:rPr>
          <w:kern w:val="0"/>
          <w:szCs w:val="24"/>
        </w:rPr>
        <w:t xml:space="preserve">their response to </w:t>
      </w:r>
      <w:r>
        <w:rPr>
          <w:kern w:val="0"/>
          <w:szCs w:val="24"/>
        </w:rPr>
        <w:lastRenderedPageBreak/>
        <w:t>treatment.</w:t>
      </w:r>
    </w:p>
    <w:p w:rsidR="00FE0B89" w:rsidRDefault="00FE0B89" w:rsidP="00FE0B89">
      <w:pPr>
        <w:pStyle w:val="a3"/>
        <w:rPr>
          <w:kern w:val="0"/>
          <w:szCs w:val="24"/>
        </w:rPr>
      </w:pPr>
      <w:r>
        <w:rPr>
          <w:kern w:val="0"/>
          <w:szCs w:val="24"/>
        </w:rPr>
        <w:t xml:space="preserve">Keywords: Activation, Blood, Blood-Pressure, C-Reactive Protein, Cardiovascular, Cardiovascular Health, Cardiovascular Risk-Factors, Coagulation, Confounding, Control, Control Groups, Disorder, Hemostasis, Hypercoagulable, Hypoxia, Ischemic-Stroke, Lead, </w:t>
      </w:r>
      <w:r w:rsidR="00D5664A">
        <w:rPr>
          <w:kern w:val="0"/>
          <w:szCs w:val="24"/>
        </w:rPr>
        <w:t>MEDLINE</w:t>
      </w:r>
      <w:r>
        <w:rPr>
          <w:kern w:val="0"/>
          <w:szCs w:val="24"/>
        </w:rPr>
        <w:t>, Myocardial-Infarction, Nasal Cpap Treatment, Obstructive Sleep Apnea, Patients, Plasminogen-Activator Inhibitor-1, Platelet Activation, Positive Airway Pressure, Quality, Quality</w:t>
      </w:r>
      <w:r w:rsidR="00427468">
        <w:rPr>
          <w:kern w:val="0"/>
          <w:szCs w:val="24"/>
        </w:rPr>
        <w:t xml:space="preserve"> of </w:t>
      </w:r>
      <w:r>
        <w:rPr>
          <w:kern w:val="0"/>
          <w:szCs w:val="24"/>
        </w:rPr>
        <w:t xml:space="preserve">Life, Research, Review, Science, Systematic, Systematic Reviews, Topics, Treatment, Venous Thromboembolism, </w:t>
      </w:r>
      <w:r w:rsidR="00D5664A">
        <w:rPr>
          <w:kern w:val="0"/>
          <w:szCs w:val="24"/>
        </w:rPr>
        <w:t>Web</w:t>
      </w:r>
      <w:r w:rsidR="00427468">
        <w:rPr>
          <w:kern w:val="0"/>
          <w:szCs w:val="24"/>
        </w:rPr>
        <w:t xml:space="preserve"> of </w:t>
      </w:r>
      <w:r w:rsidR="00D5664A">
        <w:rPr>
          <w:kern w:val="0"/>
          <w:szCs w:val="24"/>
        </w:rPr>
        <w:t>Science</w:t>
      </w:r>
    </w:p>
    <w:p w:rsidR="00765EB7" w:rsidRPr="00C73C58" w:rsidRDefault="00765EB7" w:rsidP="00765EB7">
      <w:pPr>
        <w:pStyle w:val="1"/>
      </w:pPr>
      <w:r w:rsidRPr="00C73C58">
        <w:br w:type="page"/>
      </w:r>
      <w:bookmarkStart w:id="56" w:name="_Toc420814891"/>
      <w:r w:rsidRPr="00C73C58">
        <w:lastRenderedPageBreak/>
        <w:t xml:space="preserve">Title: </w:t>
      </w:r>
      <w:r w:rsidRPr="00BC2D21">
        <w:t>Canadian Social Science</w:t>
      </w:r>
      <w:bookmarkEnd w:id="56"/>
    </w:p>
    <w:p w:rsidR="00765EB7" w:rsidRPr="00C73C58" w:rsidRDefault="00765EB7" w:rsidP="00765EB7">
      <w:pPr>
        <w:pStyle w:val="12"/>
        <w:rPr>
          <w:b/>
        </w:rPr>
      </w:pPr>
      <w:r w:rsidRPr="00C73C58">
        <w:t xml:space="preserve">Full Journal Title: </w:t>
      </w:r>
      <w:r w:rsidRPr="00BC2D21">
        <w:rPr>
          <w:kern w:val="0"/>
        </w:rPr>
        <w:t>Canadian Social Science</w:t>
      </w:r>
    </w:p>
    <w:p w:rsidR="00765EB7" w:rsidRDefault="00765EB7" w:rsidP="00765EB7">
      <w:pPr>
        <w:pStyle w:val="12"/>
      </w:pPr>
      <w:r>
        <w:t xml:space="preserve">ISO Abbrev. Title: </w:t>
      </w:r>
    </w:p>
    <w:p w:rsidR="00765EB7" w:rsidRDefault="00765EB7" w:rsidP="00765EB7">
      <w:pPr>
        <w:pStyle w:val="12"/>
      </w:pPr>
      <w:r>
        <w:t xml:space="preserve">JCR Abbrev. Title: </w:t>
      </w:r>
    </w:p>
    <w:p w:rsidR="00765EB7" w:rsidRDefault="00765EB7" w:rsidP="00765EB7">
      <w:pPr>
        <w:pStyle w:val="12"/>
      </w:pPr>
      <w:r>
        <w:t xml:space="preserve">ISSN: </w:t>
      </w:r>
    </w:p>
    <w:p w:rsidR="00765EB7" w:rsidRDefault="00765EB7" w:rsidP="00765EB7">
      <w:pPr>
        <w:pStyle w:val="12"/>
      </w:pPr>
      <w:r>
        <w:t xml:space="preserve">Issues/Year: </w:t>
      </w:r>
    </w:p>
    <w:p w:rsidR="00765EB7" w:rsidRDefault="00765EB7" w:rsidP="00765EB7">
      <w:pPr>
        <w:pStyle w:val="12"/>
      </w:pPr>
      <w:r>
        <w:t xml:space="preserve">Language: </w:t>
      </w:r>
    </w:p>
    <w:p w:rsidR="00765EB7" w:rsidRDefault="00765EB7" w:rsidP="00765EB7">
      <w:pPr>
        <w:pStyle w:val="12"/>
      </w:pPr>
      <w:r>
        <w:t xml:space="preserve">Journal Country/Territory: </w:t>
      </w:r>
    </w:p>
    <w:p w:rsidR="00765EB7" w:rsidRDefault="00765EB7" w:rsidP="00765EB7">
      <w:pPr>
        <w:pStyle w:val="12"/>
      </w:pPr>
      <w:r>
        <w:t xml:space="preserve">Publisher: </w:t>
      </w:r>
    </w:p>
    <w:p w:rsidR="00765EB7" w:rsidRDefault="00765EB7" w:rsidP="00765EB7">
      <w:pPr>
        <w:pStyle w:val="12"/>
      </w:pPr>
      <w:r>
        <w:t xml:space="preserve">Publisher Address: </w:t>
      </w:r>
    </w:p>
    <w:p w:rsidR="00765EB7" w:rsidRDefault="00765EB7" w:rsidP="00765EB7">
      <w:pPr>
        <w:pStyle w:val="12"/>
      </w:pPr>
      <w:r>
        <w:t>Subject Categories:</w:t>
      </w:r>
    </w:p>
    <w:p w:rsidR="00765EB7" w:rsidRPr="00C73C58" w:rsidRDefault="00765EB7" w:rsidP="00765EB7">
      <w:pPr>
        <w:pStyle w:val="12"/>
      </w:pPr>
      <w:r w:rsidRPr="00C73C58">
        <w:t xml:space="preserve">: Impact Factor </w:t>
      </w:r>
    </w:p>
    <w:p w:rsidR="00765EB7" w:rsidRDefault="00765EB7" w:rsidP="00765EB7">
      <w:pPr>
        <w:pStyle w:val="a3"/>
        <w:rPr>
          <w:kern w:val="0"/>
        </w:rPr>
      </w:pPr>
      <w:r w:rsidRPr="00C73C58">
        <w:rPr>
          <w:kern w:val="0"/>
        </w:rPr>
        <w:t xml:space="preserve">? </w:t>
      </w:r>
      <w:r>
        <w:rPr>
          <w:rFonts w:hint="eastAsia"/>
          <w:kern w:val="0"/>
        </w:rPr>
        <w:t>Fu</w:t>
      </w:r>
      <w:r w:rsidRPr="00C73C58">
        <w:rPr>
          <w:kern w:val="0"/>
        </w:rPr>
        <w:t xml:space="preserve">, </w:t>
      </w:r>
      <w:r>
        <w:rPr>
          <w:rFonts w:hint="eastAsia"/>
          <w:kern w:val="0"/>
        </w:rPr>
        <w:t>H.Z.</w:t>
      </w:r>
      <w:r>
        <w:rPr>
          <w:kern w:val="0"/>
        </w:rPr>
        <w:t xml:space="preserve"> and </w:t>
      </w:r>
      <w:r>
        <w:rPr>
          <w:rFonts w:hint="eastAsia"/>
          <w:kern w:val="0"/>
        </w:rPr>
        <w:t>Ho</w:t>
      </w:r>
      <w:r w:rsidRPr="00C73C58">
        <w:rPr>
          <w:kern w:val="0"/>
        </w:rPr>
        <w:t xml:space="preserve">, </w:t>
      </w:r>
      <w:r>
        <w:rPr>
          <w:rFonts w:hint="eastAsia"/>
          <w:kern w:val="0"/>
        </w:rPr>
        <w:t>Y.S</w:t>
      </w:r>
      <w:r w:rsidRPr="00C73C58">
        <w:rPr>
          <w:kern w:val="0"/>
        </w:rPr>
        <w:t>. (20</w:t>
      </w:r>
      <w:r>
        <w:rPr>
          <w:rFonts w:hint="eastAsia"/>
          <w:kern w:val="0"/>
        </w:rPr>
        <w:t>15</w:t>
      </w:r>
      <w:r>
        <w:rPr>
          <w:kern w:val="0"/>
        </w:rPr>
        <w:t xml:space="preserve">), </w:t>
      </w:r>
      <w:r w:rsidRPr="00BC2D21">
        <w:rPr>
          <w:kern w:val="0"/>
        </w:rPr>
        <w:t>Highly cited Canada articles in Science Citation Index Expanded: A</w:t>
      </w:r>
      <w:r>
        <w:rPr>
          <w:rFonts w:hint="eastAsia"/>
          <w:kern w:val="0"/>
        </w:rPr>
        <w:t xml:space="preserve"> </w:t>
      </w:r>
      <w:r w:rsidRPr="00BC2D21">
        <w:rPr>
          <w:kern w:val="0"/>
        </w:rPr>
        <w:t>bibliometric analysis</w:t>
      </w:r>
      <w:r w:rsidRPr="00C73C58">
        <w:rPr>
          <w:kern w:val="0"/>
        </w:rPr>
        <w:t xml:space="preserve">. </w:t>
      </w:r>
      <w:r w:rsidRPr="00BC2D21">
        <w:rPr>
          <w:i/>
          <w:kern w:val="0"/>
        </w:rPr>
        <w:t>Canadian Social Science</w:t>
      </w:r>
      <w:r w:rsidRPr="00C73C58">
        <w:rPr>
          <w:kern w:val="0"/>
        </w:rPr>
        <w:t xml:space="preserve">, </w:t>
      </w:r>
      <w:r>
        <w:rPr>
          <w:rFonts w:hint="eastAsia"/>
          <w:b/>
          <w:bCs/>
          <w:kern w:val="0"/>
        </w:rPr>
        <w:t>11</w:t>
      </w:r>
      <w:r w:rsidRPr="00C73C58">
        <w:rPr>
          <w:kern w:val="0"/>
        </w:rPr>
        <w:t xml:space="preserve"> (</w:t>
      </w:r>
      <w:r>
        <w:rPr>
          <w:rFonts w:hint="eastAsia"/>
          <w:kern w:val="0"/>
        </w:rPr>
        <w:t>3</w:t>
      </w:r>
      <w:r w:rsidRPr="00C73C58">
        <w:rPr>
          <w:kern w:val="0"/>
        </w:rPr>
        <w:t xml:space="preserve">), </w:t>
      </w:r>
      <w:r w:rsidRPr="00BC2D21">
        <w:rPr>
          <w:kern w:val="0"/>
        </w:rPr>
        <w:t>50-62</w:t>
      </w:r>
      <w:r w:rsidRPr="00C73C58">
        <w:rPr>
          <w:kern w:val="0"/>
        </w:rPr>
        <w:t>.</w:t>
      </w:r>
    </w:p>
    <w:p w:rsidR="00765EB7" w:rsidRDefault="00765EB7" w:rsidP="00765EB7">
      <w:pPr>
        <w:pStyle w:val="a3"/>
        <w:rPr>
          <w:kern w:val="0"/>
        </w:rPr>
      </w:pPr>
      <w:r>
        <w:rPr>
          <w:kern w:val="0"/>
        </w:rPr>
        <w:t>Full</w:t>
      </w:r>
      <w:r>
        <w:rPr>
          <w:rFonts w:hint="eastAsia"/>
          <w:kern w:val="0"/>
        </w:rPr>
        <w:t xml:space="preserve"> Text: </w:t>
      </w:r>
      <w:hyperlink r:id="rId105" w:history="1">
        <w:r w:rsidRPr="00BC2D21">
          <w:rPr>
            <w:rStyle w:val="a5"/>
            <w:kern w:val="0"/>
          </w:rPr>
          <w:t>2015\Can Soc Sci11, 50.pdf</w:t>
        </w:r>
      </w:hyperlink>
    </w:p>
    <w:p w:rsidR="00765EB7" w:rsidRPr="00BC2D21" w:rsidRDefault="00765EB7" w:rsidP="00765EB7">
      <w:pPr>
        <w:pStyle w:val="a3"/>
        <w:rPr>
          <w:kern w:val="0"/>
        </w:rPr>
      </w:pPr>
      <w:r w:rsidRPr="00BC2D21">
        <w:rPr>
          <w:kern w:val="0"/>
        </w:rPr>
        <w:t>Abstract</w:t>
      </w:r>
      <w:r>
        <w:rPr>
          <w:rFonts w:hint="eastAsia"/>
          <w:kern w:val="0"/>
        </w:rPr>
        <w:t xml:space="preserve">: </w:t>
      </w:r>
      <w:r w:rsidRPr="00BC2D21">
        <w:rPr>
          <w:kern w:val="0"/>
        </w:rPr>
        <w:t>The characteristics of the highly cited Canada articles in</w:t>
      </w:r>
      <w:r>
        <w:rPr>
          <w:kern w:val="0"/>
        </w:rPr>
        <w:t xml:space="preserve"> </w:t>
      </w:r>
      <w:r w:rsidRPr="00BC2D21">
        <w:rPr>
          <w:kern w:val="0"/>
        </w:rPr>
        <w:t>Science Citation Index Expanded from 1900 to 2011 were</w:t>
      </w:r>
      <w:r>
        <w:rPr>
          <w:kern w:val="0"/>
        </w:rPr>
        <w:t xml:space="preserve"> </w:t>
      </w:r>
      <w:r w:rsidRPr="00BC2D21">
        <w:rPr>
          <w:kern w:val="0"/>
        </w:rPr>
        <w:t>revealed. Articles that have been cited at least 100 times</w:t>
      </w:r>
      <w:r>
        <w:rPr>
          <w:kern w:val="0"/>
        </w:rPr>
        <w:t xml:space="preserve"> </w:t>
      </w:r>
      <w:r w:rsidRPr="00BC2D21">
        <w:rPr>
          <w:kern w:val="0"/>
        </w:rPr>
        <w:t>since publication to 2011 were assessed regarding their</w:t>
      </w:r>
      <w:r>
        <w:rPr>
          <w:kern w:val="0"/>
        </w:rPr>
        <w:t xml:space="preserve"> </w:t>
      </w:r>
      <w:r w:rsidRPr="00BC2D21">
        <w:rPr>
          <w:kern w:val="0"/>
        </w:rPr>
        <w:t>distribution in indexed journals and categories of the Web</w:t>
      </w:r>
      <w:r>
        <w:rPr>
          <w:kern w:val="0"/>
        </w:rPr>
        <w:t xml:space="preserve"> </w:t>
      </w:r>
      <w:r w:rsidRPr="00BC2D21">
        <w:rPr>
          <w:kern w:val="0"/>
        </w:rPr>
        <w:t>of Science. The citation lives of the top articles depending</w:t>
      </w:r>
      <w:r>
        <w:rPr>
          <w:kern w:val="0"/>
        </w:rPr>
        <w:t xml:space="preserve"> </w:t>
      </w:r>
      <w:r w:rsidRPr="00BC2D21">
        <w:rPr>
          <w:kern w:val="0"/>
        </w:rPr>
        <w:t>on citations in publication year, recent year, and years</w:t>
      </w:r>
      <w:r>
        <w:rPr>
          <w:kern w:val="0"/>
        </w:rPr>
        <w:t xml:space="preserve"> </w:t>
      </w:r>
      <w:r w:rsidRPr="00BC2D21">
        <w:rPr>
          <w:kern w:val="0"/>
        </w:rPr>
        <w:t>after publications were investigated for the impact history</w:t>
      </w:r>
      <w:r>
        <w:rPr>
          <w:kern w:val="0"/>
        </w:rPr>
        <w:t xml:space="preserve"> </w:t>
      </w:r>
      <w:r w:rsidRPr="00BC2D21">
        <w:rPr>
          <w:kern w:val="0"/>
        </w:rPr>
        <w:t>of articles. A new indicator, Y-index, was successfully</w:t>
      </w:r>
      <w:r>
        <w:rPr>
          <w:kern w:val="0"/>
        </w:rPr>
        <w:t xml:space="preserve"> </w:t>
      </w:r>
      <w:r w:rsidRPr="00BC2D21">
        <w:rPr>
          <w:kern w:val="0"/>
        </w:rPr>
        <w:t>applied to evaluate publication characteristics of Canada</w:t>
      </w:r>
      <w:r>
        <w:rPr>
          <w:kern w:val="0"/>
        </w:rPr>
        <w:t xml:space="preserve"> </w:t>
      </w:r>
      <w:r w:rsidRPr="00BC2D21">
        <w:rPr>
          <w:kern w:val="0"/>
        </w:rPr>
        <w:t>authors and institutions. University of Toronto was the</w:t>
      </w:r>
      <w:r>
        <w:rPr>
          <w:kern w:val="0"/>
        </w:rPr>
        <w:t xml:space="preserve"> </w:t>
      </w:r>
      <w:r w:rsidRPr="00BC2D21">
        <w:rPr>
          <w:kern w:val="0"/>
        </w:rPr>
        <w:t>most productive institution. The top three most productive</w:t>
      </w:r>
      <w:r>
        <w:rPr>
          <w:kern w:val="0"/>
        </w:rPr>
        <w:t xml:space="preserve"> </w:t>
      </w:r>
      <w:r w:rsidRPr="00BC2D21">
        <w:rPr>
          <w:kern w:val="0"/>
        </w:rPr>
        <w:t>categories of the Web of Science were biochemistry</w:t>
      </w:r>
      <w:r>
        <w:rPr>
          <w:kern w:val="0"/>
        </w:rPr>
        <w:t xml:space="preserve"> </w:t>
      </w:r>
      <w:r w:rsidRPr="00BC2D21">
        <w:rPr>
          <w:kern w:val="0"/>
        </w:rPr>
        <w:t>and molecular biology, multidisciplinary sciences, and</w:t>
      </w:r>
      <w:r>
        <w:rPr>
          <w:kern w:val="0"/>
        </w:rPr>
        <w:t xml:space="preserve"> </w:t>
      </w:r>
      <w:r w:rsidRPr="00BC2D21">
        <w:rPr>
          <w:kern w:val="0"/>
        </w:rPr>
        <w:t>neurosciences. Journal of Biological Chemistry and</w:t>
      </w:r>
      <w:r>
        <w:rPr>
          <w:kern w:val="0"/>
        </w:rPr>
        <w:t xml:space="preserve"> </w:t>
      </w:r>
      <w:r w:rsidRPr="00BC2D21">
        <w:rPr>
          <w:kern w:val="0"/>
        </w:rPr>
        <w:t>Nature hosted the most highly cited Canada articles.</w:t>
      </w:r>
      <w:r>
        <w:rPr>
          <w:kern w:val="0"/>
        </w:rPr>
        <w:t xml:space="preserve"> </w:t>
      </w:r>
      <w:r w:rsidRPr="00BC2D21">
        <w:rPr>
          <w:kern w:val="0"/>
        </w:rPr>
        <w:t>In addition, the Y-index was applied to evaluate the</w:t>
      </w:r>
      <w:r>
        <w:rPr>
          <w:kern w:val="0"/>
        </w:rPr>
        <w:t xml:space="preserve"> </w:t>
      </w:r>
      <w:r w:rsidRPr="00BC2D21">
        <w:rPr>
          <w:kern w:val="0"/>
        </w:rPr>
        <w:t>publication character of authors and institutions.</w:t>
      </w:r>
    </w:p>
    <w:p w:rsidR="00765EB7" w:rsidRPr="00C73C58" w:rsidRDefault="00765EB7" w:rsidP="00765EB7">
      <w:pPr>
        <w:pStyle w:val="a3"/>
        <w:rPr>
          <w:kern w:val="0"/>
        </w:rPr>
      </w:pPr>
      <w:r>
        <w:rPr>
          <w:kern w:val="0"/>
        </w:rPr>
        <w:t>Key</w:t>
      </w:r>
      <w:r w:rsidRPr="00BC2D21">
        <w:rPr>
          <w:kern w:val="0"/>
        </w:rPr>
        <w:t>words: Scientometrics</w:t>
      </w:r>
      <w:r>
        <w:rPr>
          <w:kern w:val="0"/>
        </w:rPr>
        <w:t>,</w:t>
      </w:r>
      <w:r w:rsidRPr="00BC2D21">
        <w:rPr>
          <w:kern w:val="0"/>
        </w:rPr>
        <w:t xml:space="preserve"> Web of Science</w:t>
      </w:r>
      <w:r>
        <w:rPr>
          <w:kern w:val="0"/>
        </w:rPr>
        <w:t>,</w:t>
      </w:r>
      <w:r w:rsidRPr="00BC2D21">
        <w:rPr>
          <w:kern w:val="0"/>
        </w:rPr>
        <w:t xml:space="preserve"> Y-Index,</w:t>
      </w:r>
      <w:r>
        <w:rPr>
          <w:kern w:val="0"/>
        </w:rPr>
        <w:t xml:space="preserve"> </w:t>
      </w:r>
      <w:r w:rsidRPr="00BC2D21">
        <w:rPr>
          <w:kern w:val="0"/>
        </w:rPr>
        <w:t>Classic Articles</w:t>
      </w:r>
      <w:r>
        <w:rPr>
          <w:kern w:val="0"/>
        </w:rPr>
        <w:t>,</w:t>
      </w:r>
      <w:r w:rsidRPr="00BC2D21">
        <w:rPr>
          <w:kern w:val="0"/>
        </w:rPr>
        <w:t xml:space="preserve"> Country</w:t>
      </w:r>
    </w:p>
    <w:p w:rsidR="00EB5C5F" w:rsidRPr="00C73C58" w:rsidRDefault="00EB5C5F" w:rsidP="00EB5C5F">
      <w:pPr>
        <w:pStyle w:val="1"/>
      </w:pPr>
      <w:r w:rsidRPr="00C73C58">
        <w:br w:type="page"/>
      </w:r>
      <w:bookmarkStart w:id="57" w:name="_Toc321767136"/>
      <w:bookmarkStart w:id="58" w:name="_Toc420814892"/>
      <w:r w:rsidRPr="00C73C58">
        <w:lastRenderedPageBreak/>
        <w:t xml:space="preserve">Title: </w:t>
      </w:r>
      <w:r>
        <w:rPr>
          <w:rFonts w:hint="eastAsia"/>
        </w:rPr>
        <w:t>CUAJ-</w:t>
      </w:r>
      <w:r w:rsidRPr="00C73C58">
        <w:t>Canadian Urological Association Journal</w:t>
      </w:r>
      <w:bookmarkEnd w:id="57"/>
      <w:bookmarkEnd w:id="58"/>
    </w:p>
    <w:p w:rsidR="00EB5C5F" w:rsidRPr="00C73C58" w:rsidRDefault="00EB5C5F" w:rsidP="00EB5C5F">
      <w:pPr>
        <w:pStyle w:val="12"/>
        <w:rPr>
          <w:b/>
        </w:rPr>
      </w:pPr>
      <w:r w:rsidRPr="00C73C58">
        <w:t xml:space="preserve">Full Journal Title: </w:t>
      </w:r>
      <w:hyperlink r:id="rId106" w:history="1">
        <w:r w:rsidRPr="006B2CBF">
          <w:rPr>
            <w:rStyle w:val="a5"/>
            <w:iCs/>
          </w:rPr>
          <w:t>C</w:t>
        </w:r>
        <w:r>
          <w:rPr>
            <w:rStyle w:val="a5"/>
            <w:rFonts w:hint="eastAsia"/>
            <w:iCs/>
          </w:rPr>
          <w:t>UAJ-C</w:t>
        </w:r>
        <w:r w:rsidRPr="006B2CBF">
          <w:rPr>
            <w:rStyle w:val="a5"/>
            <w:iCs/>
          </w:rPr>
          <w:t>anadian Urological Association Journal</w:t>
        </w:r>
      </w:hyperlink>
    </w:p>
    <w:p w:rsidR="00EB5C5F" w:rsidRDefault="00EB5C5F" w:rsidP="00EB5C5F">
      <w:pPr>
        <w:pStyle w:val="12"/>
      </w:pPr>
      <w:r>
        <w:t>ISO Abbrev. Title: CUAJ-Can. Urol. Assoc. J.</w:t>
      </w:r>
    </w:p>
    <w:p w:rsidR="00EB5C5F" w:rsidRDefault="00EB5C5F" w:rsidP="00EB5C5F">
      <w:pPr>
        <w:pStyle w:val="12"/>
      </w:pPr>
      <w:r>
        <w:t>JCR Abbrev. Title: CUAJ-Can Urol Assoc</w:t>
      </w:r>
    </w:p>
    <w:p w:rsidR="00EB5C5F" w:rsidRDefault="00EB5C5F" w:rsidP="00EB5C5F">
      <w:pPr>
        <w:pStyle w:val="12"/>
      </w:pPr>
      <w:r>
        <w:t>ISSN: 1911-6470</w:t>
      </w:r>
    </w:p>
    <w:p w:rsidR="00EB5C5F" w:rsidRDefault="00EB5C5F" w:rsidP="00EB5C5F">
      <w:pPr>
        <w:pStyle w:val="12"/>
      </w:pPr>
      <w:r>
        <w:t>Issues/Year: 6</w:t>
      </w:r>
    </w:p>
    <w:p w:rsidR="00EB5C5F" w:rsidRDefault="00EB5C5F" w:rsidP="00EB5C5F">
      <w:pPr>
        <w:pStyle w:val="12"/>
      </w:pPr>
      <w:r>
        <w:t>Language: English</w:t>
      </w:r>
    </w:p>
    <w:p w:rsidR="00EB5C5F" w:rsidRDefault="00EB5C5F" w:rsidP="00EB5C5F">
      <w:pPr>
        <w:pStyle w:val="12"/>
      </w:pPr>
      <w:r>
        <w:t>Journal Country/Territory: Canada</w:t>
      </w:r>
    </w:p>
    <w:p w:rsidR="00EB5C5F" w:rsidRDefault="00EB5C5F" w:rsidP="00EB5C5F">
      <w:pPr>
        <w:pStyle w:val="12"/>
      </w:pPr>
      <w:r>
        <w:t>Publisher: Canadian Medical Assoc</w:t>
      </w:r>
    </w:p>
    <w:p w:rsidR="00EB5C5F" w:rsidRDefault="00EB5C5F" w:rsidP="00EB5C5F">
      <w:pPr>
        <w:pStyle w:val="12"/>
      </w:pPr>
      <w:r>
        <w:t>Publisher Address: 1867 Alta Vista Dr, Ottawa On Kig 3Y6, Canada</w:t>
      </w:r>
    </w:p>
    <w:p w:rsidR="00EB5C5F" w:rsidRDefault="00EB5C5F" w:rsidP="00EB5C5F">
      <w:pPr>
        <w:pStyle w:val="12"/>
      </w:pPr>
      <w:r>
        <w:t>Subject Categories:</w:t>
      </w:r>
    </w:p>
    <w:p w:rsidR="00EB5C5F" w:rsidRPr="00C73C58" w:rsidRDefault="00EB5C5F" w:rsidP="00EB5C5F">
      <w:pPr>
        <w:pStyle w:val="12"/>
      </w:pPr>
      <w:r>
        <w:t>Urology &amp; Nephrology</w:t>
      </w:r>
      <w:r w:rsidRPr="00C73C58">
        <w:t xml:space="preserve">: Impact Factor </w:t>
      </w:r>
      <w:r>
        <w:rPr>
          <w:rFonts w:hint="eastAsia"/>
        </w:rPr>
        <w:t>1.172, 51/69 (2010)</w:t>
      </w:r>
    </w:p>
    <w:p w:rsidR="00E65B43" w:rsidRDefault="00E65B43" w:rsidP="00E65B43">
      <w:pPr>
        <w:pStyle w:val="a3"/>
        <w:rPr>
          <w:kern w:val="0"/>
        </w:rPr>
      </w:pPr>
      <w:r w:rsidRPr="00C73C58">
        <w:rPr>
          <w:kern w:val="0"/>
        </w:rPr>
        <w:t>? Hennessey, K., Afshar, K.</w:t>
      </w:r>
      <w:r w:rsidR="005853A9">
        <w:rPr>
          <w:kern w:val="0"/>
        </w:rPr>
        <w:t xml:space="preserve"> and </w:t>
      </w:r>
      <w:r w:rsidRPr="00C73C58">
        <w:rPr>
          <w:kern w:val="0"/>
        </w:rPr>
        <w:t>MacNeily, A.E. (2009</w:t>
      </w:r>
      <w:r w:rsidR="00F42EAC">
        <w:rPr>
          <w:kern w:val="0"/>
        </w:rPr>
        <w:t>), The</w:t>
      </w:r>
      <w:r w:rsidR="003A1917">
        <w:rPr>
          <w:kern w:val="0"/>
        </w:rPr>
        <w:t xml:space="preserve"> </w:t>
      </w:r>
      <w:r w:rsidRPr="00C73C58">
        <w:rPr>
          <w:kern w:val="0"/>
        </w:rPr>
        <w:t xml:space="preserve">top 100 cited articles in urology. </w:t>
      </w:r>
      <w:r w:rsidRPr="00C73C58">
        <w:rPr>
          <w:i/>
          <w:iCs/>
          <w:kern w:val="0"/>
        </w:rPr>
        <w:t>C</w:t>
      </w:r>
      <w:r w:rsidR="00EB5C5F">
        <w:rPr>
          <w:rFonts w:hint="eastAsia"/>
          <w:i/>
          <w:iCs/>
          <w:kern w:val="0"/>
        </w:rPr>
        <w:t>UAJ-C</w:t>
      </w:r>
      <w:r w:rsidRPr="00C73C58">
        <w:rPr>
          <w:i/>
          <w:iCs/>
          <w:kern w:val="0"/>
        </w:rPr>
        <w:t>anadian Urological Association Journal</w:t>
      </w:r>
      <w:r w:rsidRPr="00C73C58">
        <w:rPr>
          <w:kern w:val="0"/>
        </w:rPr>
        <w:t xml:space="preserve">, </w:t>
      </w:r>
      <w:r w:rsidRPr="00C73C58">
        <w:rPr>
          <w:b/>
          <w:bCs/>
          <w:kern w:val="0"/>
        </w:rPr>
        <w:t>3</w:t>
      </w:r>
      <w:r w:rsidRPr="00C73C58">
        <w:rPr>
          <w:kern w:val="0"/>
        </w:rPr>
        <w:t xml:space="preserve"> (4), 293-302.</w:t>
      </w:r>
    </w:p>
    <w:p w:rsidR="00E65B43" w:rsidRPr="00C73C58" w:rsidRDefault="00E65B43" w:rsidP="00E65B43">
      <w:pPr>
        <w:pStyle w:val="a3"/>
        <w:rPr>
          <w:kern w:val="0"/>
        </w:rPr>
      </w:pPr>
      <w:r>
        <w:rPr>
          <w:kern w:val="0"/>
        </w:rPr>
        <w:t>Full</w:t>
      </w:r>
      <w:r>
        <w:rPr>
          <w:rFonts w:hint="eastAsia"/>
          <w:kern w:val="0"/>
        </w:rPr>
        <w:t xml:space="preserve"> Text: </w:t>
      </w:r>
      <w:hyperlink r:id="rId107" w:history="1">
        <w:r w:rsidR="003678AA" w:rsidRPr="003678AA">
          <w:rPr>
            <w:rStyle w:val="a5"/>
            <w:kern w:val="0"/>
          </w:rPr>
          <w:t>2009\Can Uro Ass J3, 293.pdf</w:t>
        </w:r>
      </w:hyperlink>
    </w:p>
    <w:p w:rsidR="00E65B43" w:rsidRPr="00C73C58" w:rsidRDefault="00E65B43" w:rsidP="00E65B43">
      <w:pPr>
        <w:pStyle w:val="a3"/>
        <w:rPr>
          <w:kern w:val="0"/>
        </w:rPr>
      </w:pPr>
      <w:r w:rsidRPr="00C73C58">
        <w:rPr>
          <w:kern w:val="0"/>
        </w:rPr>
        <w:t>Abstract: Background: We identified</w:t>
      </w:r>
      <w:r w:rsidR="005853A9">
        <w:rPr>
          <w:kern w:val="0"/>
        </w:rPr>
        <w:t xml:space="preserve"> and </w:t>
      </w:r>
      <w:r w:rsidRPr="00C73C58">
        <w:rPr>
          <w:kern w:val="0"/>
        </w:rPr>
        <w:t>analyzed</w:t>
      </w:r>
      <w:r w:rsidR="003A1917">
        <w:rPr>
          <w:kern w:val="0"/>
        </w:rPr>
        <w:t xml:space="preserve"> the </w:t>
      </w:r>
      <w:r w:rsidRPr="00C73C58">
        <w:rPr>
          <w:kern w:val="0"/>
        </w:rPr>
        <w:t>characteristics</w:t>
      </w:r>
      <w:r w:rsidR="00427468">
        <w:rPr>
          <w:kern w:val="0"/>
        </w:rPr>
        <w:t xml:space="preserve"> of </w:t>
      </w:r>
      <w:r w:rsidR="003A1917">
        <w:rPr>
          <w:kern w:val="0"/>
        </w:rPr>
        <w:t xml:space="preserve">the </w:t>
      </w:r>
      <w:r w:rsidRPr="00C73C58">
        <w:rPr>
          <w:kern w:val="0"/>
        </w:rPr>
        <w:t>100 most frequently cited articles published between 1965</w:t>
      </w:r>
      <w:r w:rsidR="005853A9">
        <w:rPr>
          <w:kern w:val="0"/>
        </w:rPr>
        <w:t xml:space="preserve"> and </w:t>
      </w:r>
      <w:r w:rsidRPr="00C73C58">
        <w:rPr>
          <w:kern w:val="0"/>
        </w:rPr>
        <w:t>2007 in journals pertaining to urology</w:t>
      </w:r>
      <w:r w:rsidR="005853A9">
        <w:rPr>
          <w:kern w:val="0"/>
        </w:rPr>
        <w:t xml:space="preserve"> and </w:t>
      </w:r>
      <w:r w:rsidRPr="00C73C58">
        <w:rPr>
          <w:kern w:val="0"/>
        </w:rPr>
        <w:t>related fields. Methods: We selected 69</w:t>
      </w:r>
      <w:r w:rsidR="00427468">
        <w:rPr>
          <w:kern w:val="0"/>
        </w:rPr>
        <w:t xml:space="preserve"> of </w:t>
      </w:r>
      <w:r w:rsidR="003A1917">
        <w:rPr>
          <w:kern w:val="0"/>
        </w:rPr>
        <w:t xml:space="preserve">the </w:t>
      </w:r>
      <w:r w:rsidRPr="00C73C58">
        <w:rPr>
          <w:kern w:val="0"/>
        </w:rPr>
        <w:t>highest impact urology</w:t>
      </w:r>
      <w:r w:rsidR="005853A9">
        <w:rPr>
          <w:kern w:val="0"/>
        </w:rPr>
        <w:t xml:space="preserve"> and </w:t>
      </w:r>
      <w:r w:rsidRPr="00C73C58">
        <w:rPr>
          <w:kern w:val="0"/>
        </w:rPr>
        <w:t>sub-specialty journals</w:t>
      </w:r>
      <w:r w:rsidR="005853A9">
        <w:rPr>
          <w:kern w:val="0"/>
        </w:rPr>
        <w:t xml:space="preserve"> and </w:t>
      </w:r>
      <w:r w:rsidRPr="00C73C58">
        <w:rPr>
          <w:kern w:val="0"/>
        </w:rPr>
        <w:t>22</w:t>
      </w:r>
      <w:r w:rsidR="00427468">
        <w:rPr>
          <w:kern w:val="0"/>
        </w:rPr>
        <w:t xml:space="preserve"> of </w:t>
      </w:r>
      <w:r w:rsidR="003A1917">
        <w:rPr>
          <w:kern w:val="0"/>
        </w:rPr>
        <w:t xml:space="preserve">the </w:t>
      </w:r>
      <w:r w:rsidRPr="00C73C58">
        <w:rPr>
          <w:kern w:val="0"/>
        </w:rPr>
        <w:t>highest impact general medical</w:t>
      </w:r>
      <w:r w:rsidR="005853A9">
        <w:rPr>
          <w:kern w:val="0"/>
        </w:rPr>
        <w:t xml:space="preserve"> and </w:t>
      </w:r>
      <w:r w:rsidRPr="00C73C58">
        <w:rPr>
          <w:kern w:val="0"/>
        </w:rPr>
        <w:t>medical research journals from</w:t>
      </w:r>
      <w:r w:rsidR="003A1917">
        <w:rPr>
          <w:kern w:val="0"/>
        </w:rPr>
        <w:t xml:space="preserve"> the </w:t>
      </w:r>
      <w:r w:rsidRPr="00C73C58">
        <w:rPr>
          <w:kern w:val="0"/>
        </w:rPr>
        <w:t>2006 edition</w:t>
      </w:r>
      <w:r w:rsidR="00427468">
        <w:rPr>
          <w:kern w:val="0"/>
        </w:rPr>
        <w:t xml:space="preserve"> of </w:t>
      </w:r>
      <w:r w:rsidRPr="00C73C58">
        <w:rPr>
          <w:kern w:val="0"/>
        </w:rPr>
        <w:t>journal Citation Reports: Science edition. We identified</w:t>
      </w:r>
      <w:r w:rsidR="003A1917">
        <w:rPr>
          <w:kern w:val="0"/>
        </w:rPr>
        <w:t xml:space="preserve"> the </w:t>
      </w:r>
      <w:r w:rsidRPr="00C73C58">
        <w:rPr>
          <w:kern w:val="0"/>
        </w:rPr>
        <w:t>100 most frequently cited urological articles published in these 91 journals using</w:t>
      </w:r>
      <w:r w:rsidR="003A1917">
        <w:rPr>
          <w:kern w:val="0"/>
        </w:rPr>
        <w:t xml:space="preserve"> the </w:t>
      </w:r>
      <w:r w:rsidRPr="00C73C58">
        <w:rPr>
          <w:kern w:val="0"/>
        </w:rPr>
        <w:t>Science Citation Index Expanded (1965-present). We reviewed</w:t>
      </w:r>
      <w:r w:rsidR="005853A9">
        <w:rPr>
          <w:kern w:val="0"/>
        </w:rPr>
        <w:t xml:space="preserve"> and </w:t>
      </w:r>
      <w:r w:rsidRPr="00C73C58">
        <w:rPr>
          <w:kern w:val="0"/>
        </w:rPr>
        <w:t>analyzed</w:t>
      </w:r>
      <w:r w:rsidR="003A1917">
        <w:rPr>
          <w:kern w:val="0"/>
        </w:rPr>
        <w:t xml:space="preserve"> the </w:t>
      </w:r>
      <w:r w:rsidRPr="00C73C58">
        <w:rPr>
          <w:kern w:val="0"/>
        </w:rPr>
        <w:t>articles. Results:</w:t>
      </w:r>
      <w:r w:rsidR="003A1917">
        <w:rPr>
          <w:kern w:val="0"/>
        </w:rPr>
        <w:t xml:space="preserve"> the </w:t>
      </w:r>
      <w:r w:rsidRPr="00C73C58">
        <w:rPr>
          <w:kern w:val="0"/>
        </w:rPr>
        <w:t>top 100 articles were cited a mean</w:t>
      </w:r>
      <w:r w:rsidR="00427468">
        <w:rPr>
          <w:kern w:val="0"/>
        </w:rPr>
        <w:t xml:space="preserve"> of </w:t>
      </w:r>
      <w:r w:rsidRPr="00C73C58">
        <w:rPr>
          <w:kern w:val="0"/>
        </w:rPr>
        <w:t>629 times (range 418-1435)</w:t>
      </w:r>
      <w:r w:rsidR="005853A9">
        <w:rPr>
          <w:kern w:val="0"/>
        </w:rPr>
        <w:t xml:space="preserve"> and </w:t>
      </w:r>
      <w:r w:rsidRPr="00C73C58">
        <w:rPr>
          <w:kern w:val="0"/>
        </w:rPr>
        <w:t>published between 1965</w:t>
      </w:r>
      <w:r w:rsidR="005853A9">
        <w:rPr>
          <w:kern w:val="0"/>
        </w:rPr>
        <w:t xml:space="preserve"> and </w:t>
      </w:r>
      <w:r w:rsidRPr="00C73C58">
        <w:rPr>
          <w:kern w:val="0"/>
        </w:rPr>
        <w:t>2003, with 89% published after 1979</w:t>
      </w:r>
      <w:r w:rsidR="005853A9">
        <w:rPr>
          <w:kern w:val="0"/>
        </w:rPr>
        <w:t xml:space="preserve"> and </w:t>
      </w:r>
      <w:r w:rsidRPr="00C73C58">
        <w:rPr>
          <w:kern w:val="0"/>
        </w:rPr>
        <w:t>54% published in</w:t>
      </w:r>
      <w:r w:rsidR="003A1917">
        <w:rPr>
          <w:kern w:val="0"/>
        </w:rPr>
        <w:t xml:space="preserve"> the </w:t>
      </w:r>
      <w:r w:rsidRPr="00C73C58">
        <w:rPr>
          <w:kern w:val="0"/>
        </w:rPr>
        <w:t>1990s. Fifteen journals were represented, led by</w:t>
      </w:r>
      <w:r w:rsidR="003A1917">
        <w:rPr>
          <w:kern w:val="0"/>
        </w:rPr>
        <w:t xml:space="preserve"> the </w:t>
      </w:r>
      <w:r w:rsidRPr="00C73C58">
        <w:rPr>
          <w:kern w:val="0"/>
        </w:rPr>
        <w:t>New England Journal</w:t>
      </w:r>
      <w:r w:rsidR="00427468">
        <w:rPr>
          <w:kern w:val="0"/>
        </w:rPr>
        <w:t xml:space="preserve"> of </w:t>
      </w:r>
      <w:r w:rsidRPr="00C73C58">
        <w:rPr>
          <w:kern w:val="0"/>
        </w:rPr>
        <w:t>Medicine (30</w:t>
      </w:r>
      <w:r w:rsidR="00F42EAC">
        <w:rPr>
          <w:kern w:val="0"/>
        </w:rPr>
        <w:t>), The</w:t>
      </w:r>
      <w:r w:rsidR="003A1917">
        <w:rPr>
          <w:kern w:val="0"/>
        </w:rPr>
        <w:t xml:space="preserve"> </w:t>
      </w:r>
      <w:r w:rsidRPr="00C73C58">
        <w:rPr>
          <w:kern w:val="0"/>
        </w:rPr>
        <w:t>Journal</w:t>
      </w:r>
      <w:r w:rsidR="00427468">
        <w:rPr>
          <w:kern w:val="0"/>
        </w:rPr>
        <w:t xml:space="preserve"> of </w:t>
      </w:r>
      <w:r w:rsidRPr="00C73C58">
        <w:rPr>
          <w:kern w:val="0"/>
        </w:rPr>
        <w:t>Urology (22)</w:t>
      </w:r>
      <w:r w:rsidR="005853A9">
        <w:rPr>
          <w:kern w:val="0"/>
        </w:rPr>
        <w:t xml:space="preserve"> and </w:t>
      </w:r>
      <w:r w:rsidRPr="00C73C58">
        <w:rPr>
          <w:kern w:val="0"/>
        </w:rPr>
        <w:t>Lancet (11). Ninety publications originated from North America (81) or</w:t>
      </w:r>
      <w:r w:rsidR="003A1917">
        <w:rPr>
          <w:kern w:val="0"/>
        </w:rPr>
        <w:t xml:space="preserve"> the </w:t>
      </w:r>
      <w:r w:rsidRPr="00C73C58">
        <w:rPr>
          <w:kern w:val="0"/>
        </w:rPr>
        <w:t>United Kingdom (9). Johns Hopkins University (13), Harvard University (5), Stanford University (5)</w:t>
      </w:r>
      <w:r w:rsidR="005853A9">
        <w:rPr>
          <w:kern w:val="0"/>
        </w:rPr>
        <w:t xml:space="preserve"> and </w:t>
      </w:r>
      <w:r w:rsidRPr="00C73C58">
        <w:rPr>
          <w:kern w:val="0"/>
        </w:rPr>
        <w:t>University</w:t>
      </w:r>
      <w:r w:rsidR="00427468">
        <w:rPr>
          <w:kern w:val="0"/>
        </w:rPr>
        <w:t xml:space="preserve"> of </w:t>
      </w:r>
      <w:r w:rsidRPr="00C73C58">
        <w:rPr>
          <w:kern w:val="0"/>
        </w:rPr>
        <w:t>California, Los Angeles (5) published</w:t>
      </w:r>
      <w:r w:rsidR="003A1917">
        <w:rPr>
          <w:kern w:val="0"/>
        </w:rPr>
        <w:t xml:space="preserve"> the </w:t>
      </w:r>
      <w:r w:rsidRPr="00C73C58">
        <w:rPr>
          <w:kern w:val="0"/>
        </w:rPr>
        <w:t>most articles. Five urologists were first authors</w:t>
      </w:r>
      <w:r w:rsidR="00427468">
        <w:rPr>
          <w:kern w:val="0"/>
        </w:rPr>
        <w:t xml:space="preserve"> of </w:t>
      </w:r>
      <w:r w:rsidRPr="00C73C58">
        <w:rPr>
          <w:kern w:val="0"/>
        </w:rPr>
        <w:t>2 or more</w:t>
      </w:r>
      <w:r w:rsidR="00427468">
        <w:rPr>
          <w:kern w:val="0"/>
        </w:rPr>
        <w:t xml:space="preserve"> of </w:t>
      </w:r>
      <w:r w:rsidR="003A1917">
        <w:rPr>
          <w:kern w:val="0"/>
        </w:rPr>
        <w:t xml:space="preserve">the </w:t>
      </w:r>
      <w:r w:rsidRPr="00C73C58">
        <w:rPr>
          <w:kern w:val="0"/>
        </w:rPr>
        <w:t>articles. Fifty-six articles reported observational studies. Oncology (51)</w:t>
      </w:r>
      <w:r w:rsidR="005853A9">
        <w:rPr>
          <w:kern w:val="0"/>
        </w:rPr>
        <w:t xml:space="preserve"> and </w:t>
      </w:r>
      <w:r w:rsidRPr="00C73C58">
        <w:rPr>
          <w:kern w:val="0"/>
        </w:rPr>
        <w:t>transplantation (20) were</w:t>
      </w:r>
      <w:r w:rsidR="003A1917">
        <w:rPr>
          <w:kern w:val="0"/>
        </w:rPr>
        <w:t xml:space="preserve"> the </w:t>
      </w:r>
      <w:r w:rsidRPr="00C73C58">
        <w:rPr>
          <w:kern w:val="0"/>
        </w:rPr>
        <w:t>most commonly represented urological subfields. Conclusion: These top-cited articles in urology identify topics</w:t>
      </w:r>
      <w:r w:rsidR="005853A9">
        <w:rPr>
          <w:kern w:val="0"/>
        </w:rPr>
        <w:t xml:space="preserve"> and </w:t>
      </w:r>
      <w:r w:rsidRPr="00C73C58">
        <w:rPr>
          <w:kern w:val="0"/>
        </w:rPr>
        <w:t>authors that contributed to major advances in urology. Observational studies</w:t>
      </w:r>
      <w:r w:rsidR="005853A9">
        <w:rPr>
          <w:kern w:val="0"/>
        </w:rPr>
        <w:t xml:space="preserve"> and </w:t>
      </w:r>
      <w:r w:rsidRPr="00C73C58">
        <w:rPr>
          <w:kern w:val="0"/>
        </w:rPr>
        <w:t>randomized controlled trials in oncology published in high-impact urological or medical journals constitute</w:t>
      </w:r>
      <w:r w:rsidR="003A1917">
        <w:rPr>
          <w:kern w:val="0"/>
        </w:rPr>
        <w:t xml:space="preserve"> the </w:t>
      </w:r>
      <w:r w:rsidRPr="00C73C58">
        <w:rPr>
          <w:kern w:val="0"/>
        </w:rPr>
        <w:t>most common type</w:t>
      </w:r>
      <w:r w:rsidR="00427468">
        <w:rPr>
          <w:kern w:val="0"/>
        </w:rPr>
        <w:t xml:space="preserve"> of </w:t>
      </w:r>
      <w:r w:rsidRPr="00C73C58">
        <w:rPr>
          <w:kern w:val="0"/>
        </w:rPr>
        <w:t>highly cited publications.</w:t>
      </w:r>
    </w:p>
    <w:p w:rsidR="00E65B43" w:rsidRPr="00C73C58" w:rsidRDefault="00E65B43" w:rsidP="00E65B43">
      <w:pPr>
        <w:pStyle w:val="a3"/>
        <w:rPr>
          <w:kern w:val="0"/>
        </w:rPr>
      </w:pPr>
      <w:r w:rsidRPr="00C73C58">
        <w:rPr>
          <w:kern w:val="0"/>
        </w:rPr>
        <w:t>Keywords: Citation, Citation-Classics, Journals, Publications, Research, Science, Transplantation, United Kingdom</w:t>
      </w:r>
    </w:p>
    <w:p w:rsidR="0030198C" w:rsidRDefault="0030198C" w:rsidP="0030198C">
      <w:pPr>
        <w:pStyle w:val="a3"/>
        <w:rPr>
          <w:kern w:val="0"/>
        </w:rPr>
      </w:pPr>
      <w:r w:rsidRPr="00C73C58">
        <w:rPr>
          <w:kern w:val="0"/>
        </w:rPr>
        <w:lastRenderedPageBreak/>
        <w:t xml:space="preserve">? </w:t>
      </w:r>
      <w:r w:rsidRPr="004A3BEB">
        <w:rPr>
          <w:kern w:val="0"/>
        </w:rPr>
        <w:t>Nason</w:t>
      </w:r>
      <w:r>
        <w:rPr>
          <w:rFonts w:hint="eastAsia"/>
          <w:kern w:val="0"/>
        </w:rPr>
        <w:t>,</w:t>
      </w:r>
      <w:r w:rsidRPr="004A3BEB">
        <w:rPr>
          <w:kern w:val="0"/>
        </w:rPr>
        <w:t xml:space="preserve"> G</w:t>
      </w:r>
      <w:r>
        <w:rPr>
          <w:rFonts w:hint="eastAsia"/>
          <w:kern w:val="0"/>
        </w:rPr>
        <w:t>.</w:t>
      </w:r>
      <w:r w:rsidRPr="004A3BEB">
        <w:rPr>
          <w:kern w:val="0"/>
        </w:rPr>
        <w:t>J</w:t>
      </w:r>
      <w:r>
        <w:rPr>
          <w:rFonts w:hint="eastAsia"/>
          <w:kern w:val="0"/>
        </w:rPr>
        <w:t>.</w:t>
      </w:r>
      <w:r w:rsidRPr="004A3BEB">
        <w:rPr>
          <w:kern w:val="0"/>
        </w:rPr>
        <w:t>, Tareen</w:t>
      </w:r>
      <w:r>
        <w:rPr>
          <w:rFonts w:hint="eastAsia"/>
          <w:kern w:val="0"/>
        </w:rPr>
        <w:t>,</w:t>
      </w:r>
      <w:r w:rsidRPr="004A3BEB">
        <w:rPr>
          <w:kern w:val="0"/>
        </w:rPr>
        <w:t xml:space="preserve"> F</w:t>
      </w:r>
      <w:r>
        <w:rPr>
          <w:rFonts w:hint="eastAsia"/>
          <w:kern w:val="0"/>
        </w:rPr>
        <w:t>.</w:t>
      </w:r>
      <w:r w:rsidR="005853A9">
        <w:rPr>
          <w:rFonts w:hint="eastAsia"/>
          <w:kern w:val="0"/>
        </w:rPr>
        <w:t xml:space="preserve"> and </w:t>
      </w:r>
      <w:r w:rsidRPr="004A3BEB">
        <w:rPr>
          <w:kern w:val="0"/>
        </w:rPr>
        <w:t>Mortell</w:t>
      </w:r>
      <w:r>
        <w:rPr>
          <w:rFonts w:hint="eastAsia"/>
          <w:kern w:val="0"/>
        </w:rPr>
        <w:t>,</w:t>
      </w:r>
      <w:r w:rsidRPr="004A3BEB">
        <w:rPr>
          <w:kern w:val="0"/>
        </w:rPr>
        <w:t xml:space="preserve"> A.</w:t>
      </w:r>
      <w:r w:rsidRPr="00C73C58">
        <w:rPr>
          <w:kern w:val="0"/>
        </w:rPr>
        <w:t xml:space="preserve"> (20</w:t>
      </w:r>
      <w:r>
        <w:rPr>
          <w:rFonts w:hint="eastAsia"/>
          <w:kern w:val="0"/>
        </w:rPr>
        <w:t>13</w:t>
      </w:r>
      <w:r w:rsidRPr="00C73C58">
        <w:rPr>
          <w:kern w:val="0"/>
        </w:rPr>
        <w:t xml:space="preserve">), </w:t>
      </w:r>
      <w:r w:rsidRPr="004A3BEB">
        <w:rPr>
          <w:kern w:val="0"/>
        </w:rPr>
        <w:t>The top 100 cited articles in urology: An update</w:t>
      </w:r>
      <w:r w:rsidRPr="00C73C58">
        <w:rPr>
          <w:kern w:val="0"/>
        </w:rPr>
        <w:t xml:space="preserve">. </w:t>
      </w:r>
      <w:r w:rsidRPr="00C73C58">
        <w:rPr>
          <w:i/>
          <w:iCs/>
          <w:kern w:val="0"/>
        </w:rPr>
        <w:t>C</w:t>
      </w:r>
      <w:r>
        <w:rPr>
          <w:rFonts w:hint="eastAsia"/>
          <w:i/>
          <w:iCs/>
          <w:kern w:val="0"/>
        </w:rPr>
        <w:t>UAJ-C</w:t>
      </w:r>
      <w:r w:rsidRPr="00C73C58">
        <w:rPr>
          <w:i/>
          <w:iCs/>
          <w:kern w:val="0"/>
        </w:rPr>
        <w:t>anadian Urological Association Journal</w:t>
      </w:r>
      <w:r w:rsidRPr="00C73C58">
        <w:rPr>
          <w:kern w:val="0"/>
        </w:rPr>
        <w:t xml:space="preserve">, </w:t>
      </w:r>
      <w:r>
        <w:rPr>
          <w:rFonts w:hint="eastAsia"/>
          <w:b/>
          <w:bCs/>
          <w:kern w:val="0"/>
        </w:rPr>
        <w:t>7</w:t>
      </w:r>
      <w:r w:rsidRPr="00C73C58">
        <w:rPr>
          <w:kern w:val="0"/>
        </w:rPr>
        <w:t xml:space="preserve"> (</w:t>
      </w:r>
      <w:r>
        <w:rPr>
          <w:rFonts w:hint="eastAsia"/>
          <w:kern w:val="0"/>
        </w:rPr>
        <w:t>1</w:t>
      </w:r>
      <w:r w:rsidRPr="00C73C58">
        <w:rPr>
          <w:kern w:val="0"/>
        </w:rPr>
        <w:t xml:space="preserve">), </w:t>
      </w:r>
      <w:r>
        <w:rPr>
          <w:rFonts w:hint="eastAsia"/>
          <w:kern w:val="0"/>
        </w:rPr>
        <w:t>E16</w:t>
      </w:r>
      <w:r w:rsidRPr="00C73C58">
        <w:rPr>
          <w:kern w:val="0"/>
        </w:rPr>
        <w:t>-</w:t>
      </w:r>
      <w:r>
        <w:rPr>
          <w:rFonts w:hint="eastAsia"/>
          <w:kern w:val="0"/>
        </w:rPr>
        <w:t>E24</w:t>
      </w:r>
      <w:r w:rsidRPr="00C73C58">
        <w:rPr>
          <w:kern w:val="0"/>
        </w:rPr>
        <w:t>.</w:t>
      </w:r>
    </w:p>
    <w:p w:rsidR="0030198C" w:rsidRDefault="0030198C" w:rsidP="0030198C">
      <w:pPr>
        <w:pStyle w:val="a3"/>
        <w:rPr>
          <w:kern w:val="0"/>
        </w:rPr>
      </w:pPr>
      <w:r>
        <w:rPr>
          <w:kern w:val="0"/>
        </w:rPr>
        <w:t>Full</w:t>
      </w:r>
      <w:r>
        <w:rPr>
          <w:rFonts w:hint="eastAsia"/>
          <w:kern w:val="0"/>
        </w:rPr>
        <w:t xml:space="preserve"> Text: </w:t>
      </w:r>
      <w:hyperlink r:id="rId108" w:history="1">
        <w:r w:rsidRPr="004A3BEB">
          <w:rPr>
            <w:rStyle w:val="a5"/>
            <w:kern w:val="0"/>
          </w:rPr>
          <w:t>2013\Can Uro Ass J7, E16.pdf</w:t>
        </w:r>
      </w:hyperlink>
    </w:p>
    <w:p w:rsidR="0030198C" w:rsidRPr="004A3BEB" w:rsidRDefault="0030198C" w:rsidP="0030198C">
      <w:pPr>
        <w:pStyle w:val="a3"/>
        <w:rPr>
          <w:kern w:val="0"/>
        </w:rPr>
      </w:pPr>
      <w:r w:rsidRPr="004A3BEB">
        <w:rPr>
          <w:kern w:val="0"/>
        </w:rPr>
        <w:t>Abstract</w:t>
      </w:r>
      <w:r>
        <w:rPr>
          <w:rFonts w:hint="eastAsia"/>
          <w:kern w:val="0"/>
        </w:rPr>
        <w:t>:</w:t>
      </w:r>
    </w:p>
    <w:p w:rsidR="0030198C" w:rsidRPr="004A3BEB" w:rsidRDefault="0030198C" w:rsidP="0030198C">
      <w:pPr>
        <w:pStyle w:val="a3"/>
        <w:rPr>
          <w:kern w:val="0"/>
        </w:rPr>
      </w:pPr>
      <w:r w:rsidRPr="004A3BEB">
        <w:rPr>
          <w:kern w:val="0"/>
        </w:rPr>
        <w:t>BACKGROUND: In this paper, we identify</w:t>
      </w:r>
      <w:r w:rsidR="005853A9">
        <w:rPr>
          <w:kern w:val="0"/>
        </w:rPr>
        <w:t xml:space="preserve"> and </w:t>
      </w:r>
      <w:r w:rsidRPr="004A3BEB">
        <w:rPr>
          <w:kern w:val="0"/>
        </w:rPr>
        <w:t>analyze the top 100 cited articles in urology since 1965</w:t>
      </w:r>
      <w:r w:rsidR="005853A9">
        <w:rPr>
          <w:kern w:val="0"/>
        </w:rPr>
        <w:t xml:space="preserve"> and </w:t>
      </w:r>
      <w:r w:rsidRPr="004A3BEB">
        <w:rPr>
          <w:kern w:val="0"/>
        </w:rPr>
        <w:t>assess changes in the top 100 since 2007.</w:t>
      </w:r>
    </w:p>
    <w:p w:rsidR="0030198C" w:rsidRPr="004A3BEB" w:rsidRDefault="0030198C" w:rsidP="0030198C">
      <w:pPr>
        <w:pStyle w:val="a3"/>
        <w:rPr>
          <w:kern w:val="0"/>
        </w:rPr>
      </w:pPr>
      <w:r w:rsidRPr="004A3BEB">
        <w:rPr>
          <w:kern w:val="0"/>
        </w:rPr>
        <w:t>METHODS: We selected highest impact journals in both urological</w:t>
      </w:r>
      <w:r w:rsidR="005853A9">
        <w:rPr>
          <w:kern w:val="0"/>
        </w:rPr>
        <w:t xml:space="preserve"> and </w:t>
      </w:r>
      <w:r w:rsidRPr="004A3BEB">
        <w:rPr>
          <w:kern w:val="0"/>
        </w:rPr>
        <w:t>general medicine journals from the 2011 edition</w:t>
      </w:r>
      <w:r w:rsidR="00427468">
        <w:rPr>
          <w:kern w:val="0"/>
        </w:rPr>
        <w:t xml:space="preserve"> of </w:t>
      </w:r>
      <w:r w:rsidRPr="004A3BEB">
        <w:rPr>
          <w:kern w:val="0"/>
        </w:rPr>
        <w:t>Journal Citation Reports: Science edition. We identified</w:t>
      </w:r>
      <w:r w:rsidR="005853A9">
        <w:rPr>
          <w:kern w:val="0"/>
        </w:rPr>
        <w:t xml:space="preserve"> and </w:t>
      </w:r>
      <w:r w:rsidRPr="004A3BEB">
        <w:rPr>
          <w:kern w:val="0"/>
        </w:rPr>
        <w:t>analyzed the 100 most cited articles using the Science Citation Index Expanded (1965-present).</w:t>
      </w:r>
    </w:p>
    <w:p w:rsidR="0030198C" w:rsidRPr="004A3BEB" w:rsidRDefault="0030198C" w:rsidP="0030198C">
      <w:pPr>
        <w:pStyle w:val="a3"/>
        <w:rPr>
          <w:kern w:val="0"/>
        </w:rPr>
      </w:pPr>
      <w:r w:rsidRPr="004A3BEB">
        <w:rPr>
          <w:kern w:val="0"/>
        </w:rPr>
        <w:t>RESULTS: The top 100 articles were cited a mean</w:t>
      </w:r>
      <w:r w:rsidR="00427468">
        <w:rPr>
          <w:kern w:val="0"/>
        </w:rPr>
        <w:t xml:space="preserve"> of </w:t>
      </w:r>
      <w:r w:rsidRPr="004A3BEB">
        <w:rPr>
          <w:kern w:val="0"/>
        </w:rPr>
        <w:t>892 times (range: 529-2088)</w:t>
      </w:r>
      <w:r w:rsidR="005853A9">
        <w:rPr>
          <w:kern w:val="0"/>
        </w:rPr>
        <w:t xml:space="preserve"> and </w:t>
      </w:r>
      <w:r w:rsidRPr="004A3BEB">
        <w:rPr>
          <w:kern w:val="0"/>
        </w:rPr>
        <w:t>published between 1966</w:t>
      </w:r>
      <w:r w:rsidR="005853A9">
        <w:rPr>
          <w:kern w:val="0"/>
        </w:rPr>
        <w:t xml:space="preserve"> and </w:t>
      </w:r>
      <w:r w:rsidRPr="004A3BEB">
        <w:rPr>
          <w:kern w:val="0"/>
        </w:rPr>
        <w:t>2009, with 21 published since 2000. In 2012, 19 new articles appeared in the updated top 100 cited articles. Also, 16 journals were represented, led by the New England Journal</w:t>
      </w:r>
      <w:r w:rsidR="00427468">
        <w:rPr>
          <w:kern w:val="0"/>
        </w:rPr>
        <w:t xml:space="preserve"> of </w:t>
      </w:r>
      <w:r w:rsidRPr="004A3BEB">
        <w:rPr>
          <w:kern w:val="0"/>
        </w:rPr>
        <w:t>Medicine (n=36), the Journal</w:t>
      </w:r>
      <w:r w:rsidR="00427468">
        <w:rPr>
          <w:kern w:val="0"/>
        </w:rPr>
        <w:t xml:space="preserve"> of </w:t>
      </w:r>
      <w:r w:rsidRPr="004A3BEB">
        <w:rPr>
          <w:kern w:val="0"/>
        </w:rPr>
        <w:t>Urology (n=16)</w:t>
      </w:r>
      <w:r w:rsidR="005853A9">
        <w:rPr>
          <w:kern w:val="0"/>
        </w:rPr>
        <w:t xml:space="preserve"> and </w:t>
      </w:r>
      <w:r w:rsidRPr="004A3BEB">
        <w:rPr>
          <w:kern w:val="0"/>
        </w:rPr>
        <w:t>the Lancet (n=12). In total, 81 articles were published from North America (</w:t>
      </w:r>
      <w:r w:rsidR="00D5664A">
        <w:rPr>
          <w:kern w:val="0"/>
        </w:rPr>
        <w:t>USA</w:t>
      </w:r>
      <w:r w:rsidRPr="004A3BEB">
        <w:rPr>
          <w:kern w:val="0"/>
        </w:rPr>
        <w:t>=77, Canada=4). From the United States, the following institutes were among the top 5 represented: Johns Hopkins University (n=12), Harvard University, Memorial Sloan Kettering Cancer Centre, National Institute</w:t>
      </w:r>
      <w:r w:rsidR="00427468">
        <w:rPr>
          <w:kern w:val="0"/>
        </w:rPr>
        <w:t xml:space="preserve"> of </w:t>
      </w:r>
      <w:r w:rsidRPr="004A3BEB">
        <w:rPr>
          <w:kern w:val="0"/>
        </w:rPr>
        <w:t>Health</w:t>
      </w:r>
      <w:r w:rsidR="005853A9">
        <w:rPr>
          <w:kern w:val="0"/>
        </w:rPr>
        <w:t xml:space="preserve"> and </w:t>
      </w:r>
      <w:r w:rsidRPr="004A3BEB">
        <w:rPr>
          <w:kern w:val="0"/>
        </w:rPr>
        <w:t>Washington University (all 5). Only one institute outside the United States published more than one article in the top 100 (Institut Gustave Roussy, France). Nine urologists were first authors</w:t>
      </w:r>
      <w:r w:rsidR="00427468">
        <w:rPr>
          <w:kern w:val="0"/>
        </w:rPr>
        <w:t xml:space="preserve"> of </w:t>
      </w:r>
      <w:r w:rsidRPr="004A3BEB">
        <w:rPr>
          <w:kern w:val="0"/>
        </w:rPr>
        <w:t>2 or more articles. Oncology (n=54)</w:t>
      </w:r>
      <w:r w:rsidR="005853A9">
        <w:rPr>
          <w:kern w:val="0"/>
        </w:rPr>
        <w:t xml:space="preserve"> and </w:t>
      </w:r>
      <w:r w:rsidRPr="004A3BEB">
        <w:rPr>
          <w:kern w:val="0"/>
        </w:rPr>
        <w:t>transplantation (n=22) were the most common subspecialties represented.</w:t>
      </w:r>
    </w:p>
    <w:p w:rsidR="0030198C" w:rsidRPr="00C73C58" w:rsidRDefault="0030198C" w:rsidP="0030198C">
      <w:pPr>
        <w:pStyle w:val="a3"/>
        <w:rPr>
          <w:kern w:val="0"/>
        </w:rPr>
      </w:pPr>
      <w:r w:rsidRPr="004A3BEB">
        <w:rPr>
          <w:kern w:val="0"/>
        </w:rPr>
        <w:t>CONCLUSION: It is important to acknowledge the top cited articles as they mark key topics</w:t>
      </w:r>
      <w:r w:rsidR="005853A9">
        <w:rPr>
          <w:kern w:val="0"/>
        </w:rPr>
        <w:t xml:space="preserve"> and </w:t>
      </w:r>
      <w:r w:rsidRPr="004A3BEB">
        <w:rPr>
          <w:kern w:val="0"/>
        </w:rPr>
        <w:t>advances in urology</w:t>
      </w:r>
      <w:r w:rsidR="00A37C1D">
        <w:rPr>
          <w:kern w:val="0"/>
        </w:rPr>
        <w:t>. The</w:t>
      </w:r>
      <w:r w:rsidRPr="004A3BEB">
        <w:rPr>
          <w:kern w:val="0"/>
        </w:rPr>
        <w:t>re has been a 19% change in the top 100 cited articles in the past 5 years. Oncology</w:t>
      </w:r>
      <w:r w:rsidR="005853A9">
        <w:rPr>
          <w:kern w:val="0"/>
        </w:rPr>
        <w:t xml:space="preserve"> and </w:t>
      </w:r>
      <w:r w:rsidRPr="004A3BEB">
        <w:rPr>
          <w:kern w:val="0"/>
        </w:rPr>
        <w:t>transplantation remain the most highly cited topics.</w:t>
      </w:r>
    </w:p>
    <w:p w:rsidR="00FD3435" w:rsidRPr="00C73C58" w:rsidRDefault="00FD3435" w:rsidP="00FD3435">
      <w:pPr>
        <w:pStyle w:val="1"/>
      </w:pPr>
      <w:r w:rsidRPr="00C73C58">
        <w:br w:type="page"/>
      </w:r>
      <w:bookmarkStart w:id="59" w:name="_Toc420814893"/>
      <w:r w:rsidRPr="00C73C58">
        <w:lastRenderedPageBreak/>
        <w:t>Title: Cancer</w:t>
      </w:r>
      <w:bookmarkEnd w:id="59"/>
    </w:p>
    <w:p w:rsidR="00FD3435" w:rsidRPr="00C73C58" w:rsidRDefault="00FD3435" w:rsidP="00FD3435">
      <w:pPr>
        <w:pStyle w:val="12"/>
      </w:pPr>
      <w:r w:rsidRPr="00C73C58">
        <w:t xml:space="preserve">Full Journal Title: </w:t>
      </w:r>
      <w:r w:rsidR="00DF61FE">
        <w:fldChar w:fldCharType="begin"/>
      </w:r>
      <w:r w:rsidR="00FD158B">
        <w:instrText>HYPERLINK "</w:instrText>
      </w:r>
      <w:bookmarkStart w:id="60" w:name="_Toc302590621"/>
      <w:r w:rsidR="00FD158B">
        <w:instrText>http://www3.i</w:instrText>
      </w:r>
      <w:bookmarkEnd w:id="60"/>
      <w:r w:rsidR="00FD158B">
        <w:instrText>nterscience.wiley.com/cgi-bin/jtoc?ID=28741"</w:instrText>
      </w:r>
      <w:r w:rsidR="00DF61FE">
        <w:fldChar w:fldCharType="separate"/>
      </w:r>
      <w:r w:rsidRPr="00C73C58">
        <w:t>Cancer</w:t>
      </w:r>
      <w:r w:rsidR="00DF61FE">
        <w:fldChar w:fldCharType="end"/>
      </w:r>
    </w:p>
    <w:p w:rsidR="00FD3435" w:rsidRPr="00C73C58" w:rsidRDefault="00FD3435" w:rsidP="00FD3435">
      <w:pPr>
        <w:pStyle w:val="12"/>
      </w:pPr>
      <w:r w:rsidRPr="00C73C58">
        <w:t>ISO Abbreviated Title: Cancer</w:t>
      </w:r>
    </w:p>
    <w:p w:rsidR="00FD3435" w:rsidRPr="00C73C58" w:rsidRDefault="00FD3435" w:rsidP="00FD3435">
      <w:pPr>
        <w:pStyle w:val="12"/>
      </w:pPr>
      <w:r w:rsidRPr="00C73C58">
        <w:t>JCR Abbreviated Title: Cancer</w:t>
      </w:r>
    </w:p>
    <w:p w:rsidR="00FD3435" w:rsidRPr="00C73C58" w:rsidRDefault="00FD3435" w:rsidP="00FD3435">
      <w:pPr>
        <w:pStyle w:val="12"/>
      </w:pPr>
      <w:r w:rsidRPr="00C73C58">
        <w:t>ISSN: 0008-543X</w:t>
      </w:r>
    </w:p>
    <w:p w:rsidR="00FD3435" w:rsidRPr="00C73C58" w:rsidRDefault="00FD3435" w:rsidP="00FD3435">
      <w:pPr>
        <w:pStyle w:val="12"/>
      </w:pPr>
      <w:r w:rsidRPr="00C73C58">
        <w:t>Issues/Year: 24</w:t>
      </w:r>
    </w:p>
    <w:p w:rsidR="00FD3435" w:rsidRPr="00C73C58" w:rsidRDefault="00FD3435" w:rsidP="00FD3435">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FD3435" w:rsidRPr="00C73C58" w:rsidRDefault="00FD3435" w:rsidP="00FD3435">
      <w:pPr>
        <w:pStyle w:val="12"/>
      </w:pPr>
      <w:r w:rsidRPr="00C73C58">
        <w:t>Language: English</w:t>
      </w:r>
    </w:p>
    <w:p w:rsidR="00FD3435" w:rsidRPr="00C73C58" w:rsidRDefault="00FD3435" w:rsidP="00FD3435">
      <w:pPr>
        <w:pStyle w:val="12"/>
      </w:pPr>
      <w:r w:rsidRPr="00C73C58">
        <w:t>Publisher: Wiley-Liss</w:t>
      </w:r>
    </w:p>
    <w:p w:rsidR="00FD3435" w:rsidRPr="00C73C58" w:rsidRDefault="00FD3435" w:rsidP="00FD3435">
      <w:pPr>
        <w:pStyle w:val="12"/>
      </w:pPr>
      <w:r w:rsidRPr="00C73C58">
        <w:t xml:space="preserve">Publisher Address: Div John Wiley &amp; Sons Inc, 605 Third Ave, New York, NY </w:t>
      </w:r>
      <w:smartTag w:uri="urn:schemas-microsoft-com:office:smarttags" w:element="PostalCode">
        <w:r w:rsidRPr="00C73C58">
          <w:t>10158-0012</w:t>
        </w:r>
      </w:smartTag>
    </w:p>
    <w:p w:rsidR="00FD3435" w:rsidRPr="00C73C58" w:rsidRDefault="00FD3435" w:rsidP="00FD3435">
      <w:pPr>
        <w:pStyle w:val="12"/>
      </w:pPr>
      <w:r w:rsidRPr="00C73C58">
        <w:t xml:space="preserve">Subject Categories: </w:t>
      </w:r>
    </w:p>
    <w:p w:rsidR="00FD3435" w:rsidRPr="00C73C58" w:rsidRDefault="00FD3435" w:rsidP="00FD3435">
      <w:pPr>
        <w:pStyle w:val="12"/>
      </w:pPr>
      <w:r w:rsidRPr="00C73C58">
        <w:t>Oncology: Impact Factor 3.941, 21/114 (2002)</w:t>
      </w:r>
    </w:p>
    <w:p w:rsidR="00FD3435" w:rsidRDefault="00FD3435" w:rsidP="00FD3435">
      <w:pPr>
        <w:pStyle w:val="a3"/>
        <w:rPr>
          <w:kern w:val="0"/>
        </w:rPr>
      </w:pPr>
      <w:r>
        <w:rPr>
          <w:rFonts w:hint="eastAsia"/>
          <w:kern w:val="0"/>
        </w:rPr>
        <w:t xml:space="preserve">? </w:t>
      </w:r>
      <w:r>
        <w:rPr>
          <w:kern w:val="0"/>
        </w:rPr>
        <w:t>Akl, E.A., Kamath, G., Yosuico, V., Kim, S.Y., Barba, M., Sperati, F., Cook, D.J.</w:t>
      </w:r>
      <w:r w:rsidR="005853A9">
        <w:rPr>
          <w:kern w:val="0"/>
        </w:rPr>
        <w:t xml:space="preserve"> and </w:t>
      </w:r>
      <w:r>
        <w:rPr>
          <w:kern w:val="0"/>
        </w:rPr>
        <w:t>Schunemann, H.J. (2008), Thromboprophylaxis for patients with cancer</w:t>
      </w:r>
      <w:r w:rsidR="005853A9">
        <w:rPr>
          <w:kern w:val="0"/>
        </w:rPr>
        <w:t xml:space="preserve"> and </w:t>
      </w:r>
      <w:r>
        <w:rPr>
          <w:kern w:val="0"/>
        </w:rPr>
        <w:t xml:space="preserve">central venous catheters. </w:t>
      </w:r>
      <w:r>
        <w:rPr>
          <w:i/>
          <w:iCs/>
          <w:kern w:val="0"/>
        </w:rPr>
        <w:t>Cancer</w:t>
      </w:r>
      <w:r>
        <w:rPr>
          <w:kern w:val="0"/>
        </w:rPr>
        <w:t xml:space="preserve">, </w:t>
      </w:r>
      <w:r>
        <w:rPr>
          <w:b/>
          <w:bCs/>
          <w:kern w:val="0"/>
        </w:rPr>
        <w:t>112</w:t>
      </w:r>
      <w:r>
        <w:rPr>
          <w:kern w:val="0"/>
        </w:rPr>
        <w:t xml:space="preserve"> (11), 2483-2492.</w:t>
      </w:r>
    </w:p>
    <w:p w:rsidR="00FD3435" w:rsidRDefault="00FD3435" w:rsidP="00FD3435">
      <w:pPr>
        <w:pStyle w:val="a3"/>
        <w:rPr>
          <w:kern w:val="0"/>
        </w:rPr>
      </w:pPr>
      <w:r>
        <w:rPr>
          <w:kern w:val="0"/>
        </w:rPr>
        <w:t>Abstract: BACKGROUND. Central venous catheter (CVC) placement increases</w:t>
      </w:r>
      <w:r w:rsidR="003A1917">
        <w:rPr>
          <w:kern w:val="0"/>
        </w:rPr>
        <w:t xml:space="preserve"> the </w:t>
      </w:r>
      <w:r>
        <w:rPr>
          <w:kern w:val="0"/>
        </w:rPr>
        <w:t>risk</w:t>
      </w:r>
      <w:r w:rsidR="00427468">
        <w:rPr>
          <w:kern w:val="0"/>
        </w:rPr>
        <w:t xml:space="preserve"> of </w:t>
      </w:r>
      <w:r>
        <w:rPr>
          <w:kern w:val="0"/>
        </w:rPr>
        <w:t>thrombosis</w:t>
      </w:r>
      <w:r w:rsidR="005853A9">
        <w:rPr>
          <w:kern w:val="0"/>
        </w:rPr>
        <w:t xml:space="preserve"> and </w:t>
      </w:r>
      <w:r>
        <w:rPr>
          <w:kern w:val="0"/>
        </w:rPr>
        <w:t>subsequent death in patients with cancer</w:t>
      </w:r>
      <w:r w:rsidR="00A37C1D">
        <w:rPr>
          <w:kern w:val="0"/>
        </w:rPr>
        <w:t>. The</w:t>
      </w:r>
      <w:r w:rsidR="003A1917">
        <w:rPr>
          <w:kern w:val="0"/>
        </w:rPr>
        <w:t xml:space="preserve"> </w:t>
      </w:r>
      <w:r>
        <w:rPr>
          <w:kern w:val="0"/>
        </w:rPr>
        <w:t>objective</w:t>
      </w:r>
      <w:r w:rsidR="00427468">
        <w:rPr>
          <w:kern w:val="0"/>
        </w:rPr>
        <w:t xml:space="preserve"> of </w:t>
      </w:r>
      <w:r>
        <w:rPr>
          <w:kern w:val="0"/>
        </w:rPr>
        <w:t>this systematic review was to determine</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anticoagulation in reducing mortality</w:t>
      </w:r>
      <w:r w:rsidR="005853A9">
        <w:rPr>
          <w:kern w:val="0"/>
        </w:rPr>
        <w:t xml:space="preserve"> and </w:t>
      </w:r>
      <w:r>
        <w:rPr>
          <w:kern w:val="0"/>
        </w:rPr>
        <w:t>thromboembolic events in cancer patients with a CVC. METHODS</w:t>
      </w:r>
      <w:r w:rsidR="00A37C1D">
        <w:rPr>
          <w:kern w:val="0"/>
        </w:rPr>
        <w:t>. The</w:t>
      </w:r>
      <w:r w:rsidR="003A1917">
        <w:rPr>
          <w:kern w:val="0"/>
        </w:rPr>
        <w:t xml:space="preserve"> </w:t>
      </w:r>
      <w:r>
        <w:rPr>
          <w:kern w:val="0"/>
        </w:rPr>
        <w:t>authors searched</w:t>
      </w:r>
      <w:r w:rsidR="003A1917">
        <w:rPr>
          <w:kern w:val="0"/>
        </w:rPr>
        <w:t xml:space="preserve"> the </w:t>
      </w:r>
      <w:r>
        <w:rPr>
          <w:kern w:val="0"/>
        </w:rPr>
        <w:t>Cochrane Central Register</w:t>
      </w:r>
      <w:r w:rsidR="00427468">
        <w:rPr>
          <w:kern w:val="0"/>
        </w:rPr>
        <w:t xml:space="preserve"> of </w:t>
      </w:r>
      <w:r>
        <w:rPr>
          <w:kern w:val="0"/>
        </w:rPr>
        <w:t xml:space="preserve">Controlled Trials (CENTRAL), </w:t>
      </w:r>
      <w:r w:rsidR="00D5664A">
        <w:rPr>
          <w:kern w:val="0"/>
        </w:rPr>
        <w:t>MEDLINE</w:t>
      </w:r>
      <w:r>
        <w:rPr>
          <w:kern w:val="0"/>
        </w:rPr>
        <w:t>, EMBASE,</w:t>
      </w:r>
      <w:r w:rsidR="005853A9">
        <w:rPr>
          <w:kern w:val="0"/>
        </w:rPr>
        <w:t xml:space="preserve"> and </w:t>
      </w:r>
      <w:r>
        <w:rPr>
          <w:kern w:val="0"/>
        </w:rPr>
        <w:t>ISI</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databases</w:t>
      </w:r>
      <w:r w:rsidR="00A37C1D">
        <w:rPr>
          <w:kern w:val="0"/>
        </w:rPr>
        <w:t>. The</w:t>
      </w:r>
      <w:r>
        <w:rPr>
          <w:kern w:val="0"/>
        </w:rPr>
        <w:t>y included randomized controlled trials in patients with cancer comparing unfractionated heparin (UFH), low-molecular-weight heparin (LMWH), vitamin K antagonists, fondaparinux, or ximelagatran with no intervention, placebo, or each other</w:t>
      </w:r>
      <w:r w:rsidR="00A37C1D">
        <w:rPr>
          <w:kern w:val="0"/>
        </w:rPr>
        <w:t>. The</w:t>
      </w:r>
      <w:r w:rsidR="003A1917">
        <w:rPr>
          <w:kern w:val="0"/>
        </w:rPr>
        <w:t xml:space="preserve"> </w:t>
      </w:r>
      <w:r>
        <w:rPr>
          <w:kern w:val="0"/>
        </w:rPr>
        <w:t>standard methods</w:t>
      </w:r>
      <w:r w:rsidR="00427468">
        <w:rPr>
          <w:kern w:val="0"/>
        </w:rPr>
        <w:t xml:space="preserve"> of </w:t>
      </w:r>
      <w:r w:rsidR="003A1917">
        <w:rPr>
          <w:kern w:val="0"/>
        </w:rPr>
        <w:t xml:space="preserve">the </w:t>
      </w:r>
      <w:r>
        <w:rPr>
          <w:kern w:val="0"/>
        </w:rPr>
        <w:t>Cochrane Collaboration were used for</w:t>
      </w:r>
      <w:r w:rsidR="003A1917">
        <w:rPr>
          <w:kern w:val="0"/>
        </w:rPr>
        <w:t xml:space="preserve"> the </w:t>
      </w:r>
      <w:r>
        <w:rPr>
          <w:kern w:val="0"/>
        </w:rPr>
        <w:t>analyses. RESULTS.</w:t>
      </w:r>
      <w:r w:rsidR="00427468">
        <w:rPr>
          <w:kern w:val="0"/>
        </w:rPr>
        <w:t xml:space="preserve"> of </w:t>
      </w:r>
      <w:r>
        <w:rPr>
          <w:kern w:val="0"/>
        </w:rPr>
        <w:t>3986 identified citations we included 9 randomized clinical trials, none</w:t>
      </w:r>
      <w:r w:rsidR="00427468">
        <w:rPr>
          <w:kern w:val="0"/>
        </w:rPr>
        <w:t xml:space="preserve"> of </w:t>
      </w:r>
      <w:r>
        <w:rPr>
          <w:kern w:val="0"/>
        </w:rPr>
        <w:t>which evaluated fondaparinux or ximelagatran. Heparin therapy (UFH or LMWH) was associated with a trend toward a reduction in symptomatic deep venous thrombosis (DVT) (relative risk (RR), 0.43; 95% confidence interval (95% CI), 0.18-1.06), but there was no statistically significant effect on mortality (RR, 0.74; 95% CI, 0.40-1.36), infection (RR, 0.91; 95% CI, 0.36-2.28), major bleeding (RR, 0.68; 95% CI, 0.10-4.78), or thrombocytopenia (RR, 0.85; 95% CI, 0.49-1.46)</w:t>
      </w:r>
      <w:r w:rsidR="00A37C1D">
        <w:rPr>
          <w:kern w:val="0"/>
        </w:rPr>
        <w:t>. The</w:t>
      </w:r>
      <w:r w:rsidR="003A1917">
        <w:rPr>
          <w:kern w:val="0"/>
        </w:rPr>
        <w:t xml:space="preserve"> </w:t>
      </w:r>
      <w:r>
        <w:rPr>
          <w:kern w:val="0"/>
        </w:rPr>
        <w:t>effect</w:t>
      </w:r>
      <w:r w:rsidR="00427468">
        <w:rPr>
          <w:kern w:val="0"/>
        </w:rPr>
        <w:t xml:space="preserve"> of </w:t>
      </w:r>
      <w:r>
        <w:rPr>
          <w:kern w:val="0"/>
        </w:rPr>
        <w:t>warfarin on symptomatic DVT also was not statistically significant (RR, 0.62; 95% CI, 0.30-1.27). CONCLUSIONS</w:t>
      </w:r>
      <w:r w:rsidR="00A37C1D">
        <w:rPr>
          <w:kern w:val="0"/>
        </w:rPr>
        <w:t>. The</w:t>
      </w:r>
      <w:r w:rsidR="003A1917">
        <w:rPr>
          <w:kern w:val="0"/>
        </w:rPr>
        <w:t xml:space="preserve"> </w:t>
      </w:r>
      <w:r>
        <w:rPr>
          <w:kern w:val="0"/>
        </w:rPr>
        <w:t>balance</w:t>
      </w:r>
      <w:r w:rsidR="00427468">
        <w:rPr>
          <w:kern w:val="0"/>
        </w:rPr>
        <w:t xml:space="preserve"> of </w:t>
      </w:r>
      <w:r>
        <w:rPr>
          <w:kern w:val="0"/>
        </w:rPr>
        <w:t>benefits</w:t>
      </w:r>
      <w:r w:rsidR="005853A9">
        <w:rPr>
          <w:kern w:val="0"/>
        </w:rPr>
        <w:t xml:space="preserve"> and </w:t>
      </w:r>
      <w:r>
        <w:rPr>
          <w:kern w:val="0"/>
        </w:rPr>
        <w:t>downsides</w:t>
      </w:r>
      <w:r w:rsidR="00427468">
        <w:rPr>
          <w:kern w:val="0"/>
        </w:rPr>
        <w:t xml:space="preserve"> of </w:t>
      </w:r>
      <w:r>
        <w:rPr>
          <w:kern w:val="0"/>
        </w:rPr>
        <w:t xml:space="preserve">thromboprophylaxis in cancer patients with CVC are uncertain. Clinicians together with their patients must weigh these factors carefully when making </w:t>
      </w:r>
      <w:r>
        <w:rPr>
          <w:kern w:val="0"/>
        </w:rPr>
        <w:lastRenderedPageBreak/>
        <w:t>decisions regarding thromboprophylaxis.</w:t>
      </w:r>
    </w:p>
    <w:p w:rsidR="00FD3435" w:rsidRDefault="00FD3435" w:rsidP="00FD3435">
      <w:pPr>
        <w:pStyle w:val="a3"/>
        <w:rPr>
          <w:kern w:val="0"/>
        </w:rPr>
      </w:pPr>
      <w:r>
        <w:rPr>
          <w:kern w:val="0"/>
        </w:rPr>
        <w:t>Keywords: Anticoagulants, Authors, Balance, Bleeding Complications, Cancer, Central Vein Catheter, Central Venous, Central Venous Catheterization, Citations, Clinical Trials, Cochrane, Collaboration, Continuous-Infusion, Databases, Dose Unfractionated Heparin, Double-Blind, Efficacy, EMBASE, Heparin, Infection, Intervention</w:t>
      </w:r>
      <w:r w:rsidR="00D5664A">
        <w:rPr>
          <w:kern w:val="0"/>
        </w:rPr>
        <w:t>, ISI,</w:t>
      </w:r>
      <w:r>
        <w:rPr>
          <w:kern w:val="0"/>
        </w:rPr>
        <w:t xml:space="preserve"> Low-Molecular-Weight, </w:t>
      </w:r>
      <w:r w:rsidR="00D5664A">
        <w:rPr>
          <w:kern w:val="0"/>
        </w:rPr>
        <w:t>MEDLINE</w:t>
      </w:r>
      <w:r>
        <w:rPr>
          <w:kern w:val="0"/>
        </w:rPr>
        <w:t xml:space="preserve">, Mortality, Neoplasms, Prevention, Pulmonary-Embolism, Randomized Clinical Trials, Randomized Controlled Trials, Randomized Controlled-Trial, Relative Risk, Review, Risk, Safety, Science, Systematic, Systematic Review, Therapy, Thromboembolism, Thrombosis, Thrombosis, Trend, Venous Thrombosis, Warfarin, </w:t>
      </w:r>
      <w:r w:rsidR="00D5664A">
        <w:rPr>
          <w:kern w:val="0"/>
        </w:rPr>
        <w:t>Web</w:t>
      </w:r>
      <w:r w:rsidR="00427468">
        <w:rPr>
          <w:kern w:val="0"/>
        </w:rPr>
        <w:t xml:space="preserve"> of </w:t>
      </w:r>
      <w:r w:rsidR="00D5664A">
        <w:rPr>
          <w:kern w:val="0"/>
        </w:rPr>
        <w:t>Science</w:t>
      </w:r>
    </w:p>
    <w:p w:rsidR="00FD3435" w:rsidRDefault="00FD3435" w:rsidP="00FD3435">
      <w:pPr>
        <w:pStyle w:val="a3"/>
        <w:rPr>
          <w:kern w:val="0"/>
        </w:rPr>
      </w:pPr>
      <w:r>
        <w:rPr>
          <w:rFonts w:hint="eastAsia"/>
          <w:kern w:val="0"/>
        </w:rPr>
        <w:t xml:space="preserve">? </w:t>
      </w:r>
      <w:r>
        <w:rPr>
          <w:kern w:val="0"/>
        </w:rPr>
        <w:t>Nelson, C.J., Lee, J.S., Garnboa, M.C.</w:t>
      </w:r>
      <w:r w:rsidR="005853A9">
        <w:rPr>
          <w:kern w:val="0"/>
        </w:rPr>
        <w:t xml:space="preserve"> and </w:t>
      </w:r>
      <w:r>
        <w:rPr>
          <w:kern w:val="0"/>
        </w:rPr>
        <w:t>Roth, A.J. (2008), Cognitive effects</w:t>
      </w:r>
      <w:r w:rsidR="00427468">
        <w:rPr>
          <w:kern w:val="0"/>
        </w:rPr>
        <w:t xml:space="preserve"> of </w:t>
      </w:r>
      <w:r>
        <w:rPr>
          <w:kern w:val="0"/>
        </w:rPr>
        <w:t xml:space="preserve">hormone therapy in men with prostate cancer. </w:t>
      </w:r>
      <w:r>
        <w:rPr>
          <w:i/>
          <w:iCs/>
          <w:kern w:val="0"/>
        </w:rPr>
        <w:t>Cancer</w:t>
      </w:r>
      <w:r>
        <w:rPr>
          <w:kern w:val="0"/>
        </w:rPr>
        <w:t xml:space="preserve">, </w:t>
      </w:r>
      <w:r>
        <w:rPr>
          <w:b/>
          <w:bCs/>
          <w:kern w:val="0"/>
        </w:rPr>
        <w:t>113</w:t>
      </w:r>
      <w:r>
        <w:rPr>
          <w:kern w:val="0"/>
        </w:rPr>
        <w:t xml:space="preserve"> (5), 1097-1106.</w:t>
      </w:r>
    </w:p>
    <w:p w:rsidR="00FD3435" w:rsidRDefault="00FD3435" w:rsidP="00FD3435">
      <w:pPr>
        <w:pStyle w:val="a3"/>
        <w:rPr>
          <w:kern w:val="0"/>
        </w:rPr>
      </w:pPr>
      <w:r>
        <w:rPr>
          <w:kern w:val="0"/>
        </w:rPr>
        <w:t>Abstract: BACKGROUND. Men who receive androgen-deprivation therapy (ADT) for prostate cancer experience several side effects from this treatment. A few recent Studies have examined</w:t>
      </w:r>
      <w:r w:rsidR="003A1917">
        <w:rPr>
          <w:kern w:val="0"/>
        </w:rPr>
        <w:t xml:space="preserve"> the </w:t>
      </w:r>
      <w:r>
        <w:rPr>
          <w:kern w:val="0"/>
        </w:rPr>
        <w:t>cognitive implications</w:t>
      </w:r>
      <w:r w:rsidR="00427468">
        <w:rPr>
          <w:kern w:val="0"/>
        </w:rPr>
        <w:t xml:space="preserve"> of </w:t>
      </w:r>
      <w:r>
        <w:rPr>
          <w:kern w:val="0"/>
        </w:rPr>
        <w:t>ADT</w:t>
      </w:r>
      <w:r w:rsidR="005853A9">
        <w:rPr>
          <w:kern w:val="0"/>
        </w:rPr>
        <w:t xml:space="preserve"> and </w:t>
      </w:r>
      <w:r>
        <w:rPr>
          <w:kern w:val="0"/>
        </w:rPr>
        <w:t>how they impact a patient</w:t>
      </w:r>
      <w:r w:rsidR="0071223E">
        <w:rPr>
          <w:kern w:val="0"/>
        </w:rPr>
        <w:t>’</w:t>
      </w:r>
      <w:r w:rsidR="00C13DDC">
        <w:rPr>
          <w:kern w:val="0"/>
        </w:rPr>
        <w:t>s</w:t>
      </w:r>
      <w:r>
        <w:rPr>
          <w:kern w:val="0"/>
        </w:rPr>
        <w:t xml:space="preserve"> treatment decision-making, occupational Pursuits,</w:t>
      </w:r>
      <w:r w:rsidR="005853A9">
        <w:rPr>
          <w:kern w:val="0"/>
        </w:rPr>
        <w:t xml:space="preserve"> and </w:t>
      </w:r>
      <w:r>
        <w:rPr>
          <w:kern w:val="0"/>
        </w:rPr>
        <w:t>quality</w:t>
      </w:r>
      <w:r w:rsidR="00427468">
        <w:rPr>
          <w:kern w:val="0"/>
        </w:rPr>
        <w:t xml:space="preserve"> of </w:t>
      </w:r>
      <w:r>
        <w:rPr>
          <w:kern w:val="0"/>
        </w:rPr>
        <w:t>life. For this report,</w:t>
      </w:r>
      <w:r w:rsidR="003A1917">
        <w:rPr>
          <w:kern w:val="0"/>
        </w:rPr>
        <w:t xml:space="preserve"> the </w:t>
      </w:r>
      <w:r>
        <w:rPr>
          <w:kern w:val="0"/>
        </w:rPr>
        <w:t>authors explored possible mechanisms for this association, reviewed research in animal studies</w:t>
      </w:r>
      <w:r w:rsidR="005853A9">
        <w:rPr>
          <w:kern w:val="0"/>
        </w:rPr>
        <w:t xml:space="preserve"> and </w:t>
      </w:r>
      <w:r>
        <w:rPr>
          <w:kern w:val="0"/>
        </w:rPr>
        <w:t>aging men,</w:t>
      </w:r>
      <w:r w:rsidR="005853A9">
        <w:rPr>
          <w:kern w:val="0"/>
        </w:rPr>
        <w:t xml:space="preserve"> and </w:t>
      </w:r>
      <w:r>
        <w:rPr>
          <w:kern w:val="0"/>
        </w:rPr>
        <w:t>examined</w:t>
      </w:r>
      <w:r w:rsidR="003A1917">
        <w:rPr>
          <w:kern w:val="0"/>
        </w:rPr>
        <w:t xml:space="preserve"> the </w:t>
      </w:r>
      <w:r>
        <w:rPr>
          <w:kern w:val="0"/>
        </w:rPr>
        <w:t>growing literature focused on</w:t>
      </w:r>
      <w:r w:rsidR="003A1917">
        <w:rPr>
          <w:kern w:val="0"/>
        </w:rPr>
        <w:t xml:space="preserve"> the </w:t>
      </w:r>
      <w:r>
        <w:rPr>
          <w:kern w:val="0"/>
        </w:rPr>
        <w:t>relation between ADT</w:t>
      </w:r>
      <w:r w:rsidR="005853A9">
        <w:rPr>
          <w:kern w:val="0"/>
        </w:rPr>
        <w:t xml:space="preserve"> and </w:t>
      </w:r>
      <w:r>
        <w:rPr>
          <w:kern w:val="0"/>
        </w:rPr>
        <w:t>cognitive functioning in patients with prostate cancer. METHODS. A systematic literature search was conducted using</w:t>
      </w:r>
      <w:r w:rsidR="003A1917">
        <w:rPr>
          <w:kern w:val="0"/>
        </w:rPr>
        <w:t xml:space="preserve"> the </w:t>
      </w:r>
      <w:r w:rsidR="002C12F0">
        <w:rPr>
          <w:kern w:val="0"/>
        </w:rPr>
        <w:t>PUBMED</w:t>
      </w:r>
      <w:r w:rsidR="005853A9">
        <w:rPr>
          <w:kern w:val="0"/>
        </w:rPr>
        <w:t xml:space="preserve"> and </w:t>
      </w:r>
      <w:r>
        <w:rPr>
          <w:kern w:val="0"/>
        </w:rPr>
        <w:t>Information Sciences Institute Web</w:t>
      </w:r>
      <w:r w:rsidR="00427468">
        <w:rPr>
          <w:kern w:val="0"/>
        </w:rPr>
        <w:t xml:space="preserve"> of </w:t>
      </w:r>
      <w:r>
        <w:rPr>
          <w:kern w:val="0"/>
        </w:rPr>
        <w:t>Knowledge-</w:t>
      </w:r>
      <w:r w:rsidR="00D5664A">
        <w:rPr>
          <w:kern w:val="0"/>
        </w:rPr>
        <w:t>Web</w:t>
      </w:r>
      <w:r w:rsidR="00427468">
        <w:rPr>
          <w:kern w:val="0"/>
        </w:rPr>
        <w:t xml:space="preserve"> of </w:t>
      </w:r>
      <w:r w:rsidR="00D5664A">
        <w:rPr>
          <w:kern w:val="0"/>
        </w:rPr>
        <w:t>Science</w:t>
      </w:r>
      <w:r>
        <w:rPr>
          <w:kern w:val="0"/>
        </w:rPr>
        <w:t xml:space="preserve"> databases to identify relevant Studies that investigated</w:t>
      </w:r>
      <w:r w:rsidR="003A1917">
        <w:rPr>
          <w:kern w:val="0"/>
        </w:rPr>
        <w:t xml:space="preserve"> the </w:t>
      </w:r>
      <w:r>
        <w:rPr>
          <w:kern w:val="0"/>
        </w:rPr>
        <w:t>relation between ADT in men with prostate cancer</w:t>
      </w:r>
      <w:r w:rsidR="005853A9">
        <w:rPr>
          <w:kern w:val="0"/>
        </w:rPr>
        <w:t xml:space="preserve"> and </w:t>
      </w:r>
      <w:r>
        <w:rPr>
          <w:kern w:val="0"/>
        </w:rPr>
        <w:t>its cognitive effects. RESULTS. Testosterone</w:t>
      </w:r>
      <w:r w:rsidR="005853A9">
        <w:rPr>
          <w:kern w:val="0"/>
        </w:rPr>
        <w:t xml:space="preserve"> and </w:t>
      </w:r>
      <w:r>
        <w:rPr>
          <w:kern w:val="0"/>
        </w:rPr>
        <w:t>its derivatives may have an impact on cognition through several mechanisms in</w:t>
      </w:r>
      <w:r w:rsidR="003A1917">
        <w:rPr>
          <w:kern w:val="0"/>
        </w:rPr>
        <w:t xml:space="preserve"> the </w:t>
      </w:r>
      <w:r>
        <w:rPr>
          <w:kern w:val="0"/>
        </w:rPr>
        <w:t>brain, as supported by Studies</w:t>
      </w:r>
      <w:r w:rsidR="00427468">
        <w:rPr>
          <w:kern w:val="0"/>
        </w:rPr>
        <w:t xml:space="preserve"> of </w:t>
      </w:r>
      <w:r>
        <w:rPr>
          <w:kern w:val="0"/>
        </w:rPr>
        <w:t>animals</w:t>
      </w:r>
      <w:r w:rsidR="005853A9">
        <w:rPr>
          <w:kern w:val="0"/>
        </w:rPr>
        <w:t xml:space="preserve"> and </w:t>
      </w:r>
      <w:r>
        <w:rPr>
          <w:kern w:val="0"/>
        </w:rPr>
        <w:t>in aging men. Studies that researched</w:t>
      </w:r>
      <w:r w:rsidR="003A1917">
        <w:rPr>
          <w:kern w:val="0"/>
        </w:rPr>
        <w:t xml:space="preserve"> the </w:t>
      </w:r>
      <w:r>
        <w:rPr>
          <w:kern w:val="0"/>
        </w:rPr>
        <w:t>impact</w:t>
      </w:r>
      <w:r w:rsidR="00427468">
        <w:rPr>
          <w:kern w:val="0"/>
        </w:rPr>
        <w:t xml:space="preserve"> of </w:t>
      </w:r>
      <w:r>
        <w:rPr>
          <w:kern w:val="0"/>
        </w:rPr>
        <w:t>ADT on cognition in patients with prostate cancer patients were designed relatively well but suffered from small sample sizes. Between 47%</w:t>
      </w:r>
      <w:r w:rsidR="005853A9">
        <w:rPr>
          <w:kern w:val="0"/>
        </w:rPr>
        <w:t xml:space="preserve"> and </w:t>
      </w:r>
      <w:r>
        <w:rPr>
          <w:kern w:val="0"/>
        </w:rPr>
        <w:t>69%</w:t>
      </w:r>
      <w:r w:rsidR="00427468">
        <w:rPr>
          <w:kern w:val="0"/>
        </w:rPr>
        <w:t xml:space="preserve"> of </w:t>
      </w:r>
      <w:r>
        <w:rPr>
          <w:kern w:val="0"/>
        </w:rPr>
        <w:t>men on ADT declined in at least I cognitive area, most commonly in visuospatial abilities</w:t>
      </w:r>
      <w:r w:rsidR="005853A9">
        <w:rPr>
          <w:kern w:val="0"/>
        </w:rPr>
        <w:t xml:space="preserve"> and </w:t>
      </w:r>
      <w:r>
        <w:rPr>
          <w:kern w:val="0"/>
        </w:rPr>
        <w:t>executive functioning. Some Studies reported contradictory results With increased functioning in verbal memory. CONCLUSIONS</w:t>
      </w:r>
      <w:r w:rsidR="00A37C1D">
        <w:rPr>
          <w:kern w:val="0"/>
        </w:rPr>
        <w:t>. The</w:t>
      </w:r>
      <w:r>
        <w:rPr>
          <w:kern w:val="0"/>
        </w:rPr>
        <w:t>re is a strong argument that androgen-ablation therapy is linked to Subtle but significant cognitive declines in men with prostate cancer</w:t>
      </w:r>
      <w:r w:rsidR="00A37C1D">
        <w:rPr>
          <w:kern w:val="0"/>
        </w:rPr>
        <w:t>. The</w:t>
      </w:r>
      <w:r w:rsidR="003A1917">
        <w:rPr>
          <w:kern w:val="0"/>
        </w:rPr>
        <w:t xml:space="preserve"> </w:t>
      </w:r>
      <w:r>
        <w:rPr>
          <w:kern w:val="0"/>
        </w:rPr>
        <w:t>authors believe that clinicians should become aware</w:t>
      </w:r>
      <w:r w:rsidR="00427468">
        <w:rPr>
          <w:kern w:val="0"/>
        </w:rPr>
        <w:t xml:space="preserve"> of </w:t>
      </w:r>
      <w:r>
        <w:rPr>
          <w:kern w:val="0"/>
        </w:rPr>
        <w:t>this correlation as</w:t>
      </w:r>
      <w:r w:rsidR="003A1917">
        <w:rPr>
          <w:kern w:val="0"/>
        </w:rPr>
        <w:t xml:space="preserve"> the </w:t>
      </w:r>
      <w:r>
        <w:rPr>
          <w:kern w:val="0"/>
        </w:rPr>
        <w:t>use</w:t>
      </w:r>
      <w:r w:rsidR="00427468">
        <w:rPr>
          <w:kern w:val="0"/>
        </w:rPr>
        <w:t xml:space="preserve"> of </w:t>
      </w:r>
      <w:r>
        <w:rPr>
          <w:kern w:val="0"/>
        </w:rPr>
        <w:t>ADT increases</w:t>
      </w:r>
      <w:r w:rsidR="005853A9">
        <w:rPr>
          <w:kern w:val="0"/>
        </w:rPr>
        <w:t xml:space="preserve"> and </w:t>
      </w:r>
      <w:r>
        <w:rPr>
          <w:kern w:val="0"/>
        </w:rPr>
        <w:t>should inform</w:t>
      </w:r>
      <w:r w:rsidR="005853A9">
        <w:rPr>
          <w:kern w:val="0"/>
        </w:rPr>
        <w:t xml:space="preserve"> and </w:t>
      </w:r>
      <w:r>
        <w:rPr>
          <w:kern w:val="0"/>
        </w:rPr>
        <w:t>monitor patients for this possible side effect</w:t>
      </w:r>
      <w:r w:rsidR="00427468">
        <w:rPr>
          <w:kern w:val="0"/>
        </w:rPr>
        <w:t xml:space="preserve"> of </w:t>
      </w:r>
      <w:r>
        <w:rPr>
          <w:kern w:val="0"/>
        </w:rPr>
        <w:t>treatment.</w:t>
      </w:r>
    </w:p>
    <w:p w:rsidR="00FD3435" w:rsidRDefault="00FD3435" w:rsidP="00FD3435">
      <w:pPr>
        <w:pStyle w:val="a3"/>
        <w:rPr>
          <w:kern w:val="0"/>
        </w:rPr>
      </w:pPr>
      <w:r>
        <w:rPr>
          <w:kern w:val="0"/>
        </w:rPr>
        <w:t xml:space="preserve">Keywords: Adt, Aging, Altered Cognitive Function, Androgen Ablation, Androgen Deprivation Therapy, Authors, Brain, Cancer, Cognition, Databases, Decision Making, Decision-Making, Dihydrotestosterone, Elderly-Men, Estradiol, Healthy Older Men, Impact, Literature, Male Rats, Memory, Occupational, Prostate Cancer, </w:t>
      </w:r>
      <w:r w:rsidR="002C12F0">
        <w:rPr>
          <w:kern w:val="0"/>
        </w:rPr>
        <w:t>PUBMED</w:t>
      </w:r>
      <w:r>
        <w:rPr>
          <w:kern w:val="0"/>
        </w:rPr>
        <w:t>, Quality</w:t>
      </w:r>
      <w:r w:rsidR="00427468">
        <w:rPr>
          <w:kern w:val="0"/>
        </w:rPr>
        <w:t xml:space="preserve"> of </w:t>
      </w:r>
      <w:r>
        <w:rPr>
          <w:kern w:val="0"/>
        </w:rPr>
        <w:t>Life, Quality</w:t>
      </w:r>
      <w:r w:rsidR="00434900">
        <w:rPr>
          <w:kern w:val="0"/>
        </w:rPr>
        <w:t>-of-</w:t>
      </w:r>
      <w:r>
        <w:rPr>
          <w:kern w:val="0"/>
        </w:rPr>
        <w:t xml:space="preserve">Life, Research, Science, Serum Testosterone, </w:t>
      </w:r>
      <w:r>
        <w:rPr>
          <w:kern w:val="0"/>
        </w:rPr>
        <w:lastRenderedPageBreak/>
        <w:t>Sex-Hormones, Systematic, Testosterone, Testosterone Supplementation, Therapy, Treatment, Verbal Memory, Working-Memory Task</w:t>
      </w:r>
    </w:p>
    <w:p w:rsidR="00FD3435" w:rsidRDefault="00FD3435" w:rsidP="00FD3435">
      <w:pPr>
        <w:pStyle w:val="a3"/>
        <w:rPr>
          <w:kern w:val="0"/>
        </w:rPr>
      </w:pPr>
      <w:r>
        <w:rPr>
          <w:rFonts w:hint="eastAsia"/>
          <w:kern w:val="0"/>
        </w:rPr>
        <w:t xml:space="preserve">? </w:t>
      </w:r>
      <w:r>
        <w:rPr>
          <w:kern w:val="0"/>
        </w:rPr>
        <w:t>Etzioni, D.A., El-Khoueiry, A.B.</w:t>
      </w:r>
      <w:r w:rsidR="005853A9">
        <w:rPr>
          <w:kern w:val="0"/>
        </w:rPr>
        <w:t xml:space="preserve"> and </w:t>
      </w:r>
      <w:r>
        <w:rPr>
          <w:kern w:val="0"/>
        </w:rPr>
        <w:t>Beart, R.W. (2008), Rates</w:t>
      </w:r>
      <w:r w:rsidR="005853A9">
        <w:rPr>
          <w:kern w:val="0"/>
        </w:rPr>
        <w:t xml:space="preserve"> and </w:t>
      </w:r>
      <w:r>
        <w:rPr>
          <w:kern w:val="0"/>
        </w:rPr>
        <w:t>predictors</w:t>
      </w:r>
      <w:r w:rsidR="00427468">
        <w:rPr>
          <w:kern w:val="0"/>
        </w:rPr>
        <w:t xml:space="preserve"> of </w:t>
      </w:r>
      <w:r>
        <w:rPr>
          <w:kern w:val="0"/>
        </w:rPr>
        <w:t xml:space="preserve">chemotherapy use for stage III colon cancer a systematic review. </w:t>
      </w:r>
      <w:r>
        <w:rPr>
          <w:i/>
          <w:iCs/>
          <w:kern w:val="0"/>
        </w:rPr>
        <w:t>Cancer</w:t>
      </w:r>
      <w:r>
        <w:rPr>
          <w:kern w:val="0"/>
        </w:rPr>
        <w:t xml:space="preserve">, </w:t>
      </w:r>
      <w:r>
        <w:rPr>
          <w:b/>
          <w:bCs/>
          <w:kern w:val="0"/>
        </w:rPr>
        <w:t>113</w:t>
      </w:r>
      <w:r>
        <w:rPr>
          <w:kern w:val="0"/>
        </w:rPr>
        <w:t xml:space="preserve"> (12), 3279-3289.</w:t>
      </w:r>
    </w:p>
    <w:p w:rsidR="00FD3435" w:rsidRDefault="00FD3435" w:rsidP="00FD3435">
      <w:pPr>
        <w:pStyle w:val="a3"/>
        <w:rPr>
          <w:kern w:val="0"/>
        </w:rPr>
      </w:pPr>
      <w:r>
        <w:rPr>
          <w:kern w:val="0"/>
        </w:rPr>
        <w:t>Abstract: Despite consensus regarding</w:t>
      </w:r>
      <w:r w:rsidR="003A1917">
        <w:rPr>
          <w:kern w:val="0"/>
        </w:rPr>
        <w:t xml:space="preserve"> the </w:t>
      </w:r>
      <w:r>
        <w:rPr>
          <w:kern w:val="0"/>
        </w:rPr>
        <w:t>benefits</w:t>
      </w:r>
      <w:r w:rsidR="00427468">
        <w:rPr>
          <w:kern w:val="0"/>
        </w:rPr>
        <w:t xml:space="preserve"> of </w:t>
      </w:r>
      <w:r>
        <w:rPr>
          <w:kern w:val="0"/>
        </w:rPr>
        <w:t>chemotherapy for stage III colon cancer, multiple reports have found significant variations in rates</w:t>
      </w:r>
      <w:r w:rsidR="00427468">
        <w:rPr>
          <w:kern w:val="0"/>
        </w:rPr>
        <w:t xml:space="preserve"> of </w:t>
      </w:r>
      <w:r>
        <w:rPr>
          <w:kern w:val="0"/>
        </w:rPr>
        <w:t>use. In</w:t>
      </w:r>
      <w:r w:rsidR="003A1917">
        <w:rPr>
          <w:kern w:val="0"/>
        </w:rPr>
        <w:t xml:space="preserve"> the </w:t>
      </w:r>
      <w:r>
        <w:rPr>
          <w:kern w:val="0"/>
        </w:rPr>
        <w:t>current study,</w:t>
      </w:r>
      <w:r w:rsidR="003A1917">
        <w:rPr>
          <w:kern w:val="0"/>
        </w:rPr>
        <w:t xml:space="preserve"> the </w:t>
      </w:r>
      <w:r>
        <w:rPr>
          <w:kern w:val="0"/>
        </w:rPr>
        <w:t>authors attempted to systematically review reports</w:t>
      </w:r>
      <w:r w:rsidR="00427468">
        <w:rPr>
          <w:kern w:val="0"/>
        </w:rPr>
        <w:t xml:space="preserve"> of </w:t>
      </w:r>
      <w:r w:rsidR="003A1917">
        <w:rPr>
          <w:kern w:val="0"/>
        </w:rPr>
        <w:t xml:space="preserve">the </w:t>
      </w:r>
      <w:r>
        <w:rPr>
          <w:kern w:val="0"/>
        </w:rPr>
        <w:t>community rates at which chemotherapy is administered for stage III colon cancer in</w:t>
      </w:r>
      <w:r w:rsidR="003A1917">
        <w:rPr>
          <w:kern w:val="0"/>
        </w:rPr>
        <w:t xml:space="preserve"> the </w:t>
      </w:r>
      <w:r>
        <w:rPr>
          <w:kern w:val="0"/>
        </w:rPr>
        <w:t>US,</w:t>
      </w:r>
      <w:r w:rsidR="005853A9">
        <w:rPr>
          <w:kern w:val="0"/>
        </w:rPr>
        <w:t xml:space="preserve"> and </w:t>
      </w:r>
      <w:r>
        <w:rPr>
          <w:kern w:val="0"/>
        </w:rPr>
        <w:t>in so doing plan strategies for improving rates</w:t>
      </w:r>
      <w:r w:rsidR="00427468">
        <w:rPr>
          <w:kern w:val="0"/>
        </w:rPr>
        <w:t xml:space="preserve"> of </w:t>
      </w:r>
      <w:r>
        <w:rPr>
          <w:kern w:val="0"/>
        </w:rPr>
        <w:t xml:space="preserve">use. A systematic search strategy was undertaken using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bibliographies to find reports</w:t>
      </w:r>
      <w:r w:rsidR="00427468">
        <w:rPr>
          <w:kern w:val="0"/>
        </w:rPr>
        <w:t xml:space="preserve"> of </w:t>
      </w:r>
      <w:r w:rsidR="003A1917">
        <w:rPr>
          <w:kern w:val="0"/>
        </w:rPr>
        <w:t xml:space="preserve">the </w:t>
      </w:r>
      <w:r>
        <w:rPr>
          <w:kern w:val="0"/>
        </w:rPr>
        <w:t>rates at which patients with stage III colon cancer receive chemotherapy. A total</w:t>
      </w:r>
      <w:r w:rsidR="00427468">
        <w:rPr>
          <w:kern w:val="0"/>
        </w:rPr>
        <w:t xml:space="preserve"> of </w:t>
      </w:r>
      <w:r>
        <w:rPr>
          <w:kern w:val="0"/>
        </w:rPr>
        <w:t>22 studies published since 1990 were identified, with rates</w:t>
      </w:r>
      <w:r w:rsidR="00427468">
        <w:rPr>
          <w:kern w:val="0"/>
        </w:rPr>
        <w:t xml:space="preserve"> of </w:t>
      </w:r>
      <w:r>
        <w:rPr>
          <w:kern w:val="0"/>
        </w:rPr>
        <w:t>chemotherapy use ranging from 39% to 71%. Age</w:t>
      </w:r>
      <w:r w:rsidR="005853A9">
        <w:rPr>
          <w:kern w:val="0"/>
        </w:rPr>
        <w:t xml:space="preserve"> and </w:t>
      </w:r>
      <w:r>
        <w:rPr>
          <w:kern w:val="0"/>
        </w:rPr>
        <w:t>comorbidity were found to be</w:t>
      </w:r>
      <w:r w:rsidR="003A1917">
        <w:rPr>
          <w:kern w:val="0"/>
        </w:rPr>
        <w:t xml:space="preserve"> the </w:t>
      </w:r>
      <w:r>
        <w:rPr>
          <w:kern w:val="0"/>
        </w:rPr>
        <w:t>most significant patient factors, but Studies also found racial/ethnic</w:t>
      </w:r>
      <w:r w:rsidR="005853A9">
        <w:rPr>
          <w:kern w:val="0"/>
        </w:rPr>
        <w:t xml:space="preserve"> and </w:t>
      </w:r>
      <w:r>
        <w:rPr>
          <w:kern w:val="0"/>
        </w:rPr>
        <w:t>socioeconomic disparities in</w:t>
      </w:r>
      <w:r w:rsidR="003A1917">
        <w:rPr>
          <w:kern w:val="0"/>
        </w:rPr>
        <w:t xml:space="preserve"> the </w:t>
      </w:r>
      <w:r>
        <w:rPr>
          <w:kern w:val="0"/>
        </w:rPr>
        <w:t>rates</w:t>
      </w:r>
      <w:r w:rsidR="00427468">
        <w:rPr>
          <w:kern w:val="0"/>
        </w:rPr>
        <w:t xml:space="preserve"> of </w:t>
      </w:r>
      <w:r>
        <w:rPr>
          <w:kern w:val="0"/>
        </w:rPr>
        <w:t>chemotherapy. Patients treated at teaching hospitals did not clearly receive chemotherapy more often. Oncologists</w:t>
      </w:r>
      <w:r w:rsidR="005853A9">
        <w:rPr>
          <w:kern w:val="0"/>
        </w:rPr>
        <w:t xml:space="preserve"> and </w:t>
      </w:r>
      <w:r>
        <w:rPr>
          <w:kern w:val="0"/>
        </w:rPr>
        <w:t>Surgeons who treat a higher volume</w:t>
      </w:r>
      <w:r w:rsidR="00427468">
        <w:rPr>
          <w:kern w:val="0"/>
        </w:rPr>
        <w:t xml:space="preserve"> of </w:t>
      </w:r>
      <w:r>
        <w:rPr>
          <w:kern w:val="0"/>
        </w:rPr>
        <w:t>colorectal cancer patients were more likely to have chemotherapy initiated in their patients</w:t>
      </w:r>
      <w:r w:rsidR="00A37C1D">
        <w:rPr>
          <w:kern w:val="0"/>
        </w:rPr>
        <w:t>. The</w:t>
      </w:r>
      <w:r w:rsidR="003A1917">
        <w:rPr>
          <w:kern w:val="0"/>
        </w:rPr>
        <w:t xml:space="preserve"> </w:t>
      </w:r>
      <w:r>
        <w:rPr>
          <w:kern w:val="0"/>
        </w:rPr>
        <w:t>authors developed a Conceptual model</w:t>
      </w:r>
      <w:r w:rsidR="00427468">
        <w:rPr>
          <w:kern w:val="0"/>
        </w:rPr>
        <w:t xml:space="preserve"> of </w:t>
      </w:r>
      <w:r w:rsidR="003A1917">
        <w:rPr>
          <w:kern w:val="0"/>
        </w:rPr>
        <w:t xml:space="preserve">the </w:t>
      </w:r>
      <w:r>
        <w:rPr>
          <w:kern w:val="0"/>
        </w:rPr>
        <w:t>process pathway experienced by patients with stage III colon cancer to demonstrate areas</w:t>
      </w:r>
      <w:r w:rsidR="00427468">
        <w:rPr>
          <w:kern w:val="0"/>
        </w:rPr>
        <w:t xml:space="preserve"> of </w:t>
      </w:r>
      <w:r>
        <w:rPr>
          <w:kern w:val="0"/>
        </w:rPr>
        <w:t>potential underuse</w:t>
      </w:r>
      <w:r w:rsidR="00427468">
        <w:rPr>
          <w:kern w:val="0"/>
        </w:rPr>
        <w:t xml:space="preserve"> of </w:t>
      </w:r>
      <w:r>
        <w:rPr>
          <w:kern w:val="0"/>
        </w:rPr>
        <w:t>chemotherapy Nearly half</w:t>
      </w:r>
      <w:r w:rsidR="00427468">
        <w:rPr>
          <w:kern w:val="0"/>
        </w:rPr>
        <w:t xml:space="preserve"> of </w:t>
      </w:r>
      <w:r>
        <w:rPr>
          <w:kern w:val="0"/>
        </w:rPr>
        <w:t>patients with stage III chemotherapy in</w:t>
      </w:r>
      <w:r w:rsidR="003A1917">
        <w:rPr>
          <w:kern w:val="0"/>
        </w:rPr>
        <w:t xml:space="preserve"> the </w:t>
      </w:r>
      <w:r>
        <w:rPr>
          <w:kern w:val="0"/>
        </w:rPr>
        <w:t>US do not receive chemotherapy. Although many patients are too old or frail to benefit appropriately, for many patients chemotherapy is simply not initiated. Attention needs to be focused on systematic approaches to prevent systems failures that result in underuse. Guidelines regarding chemotherapy use in elderly patients are especially important. Cancer 2008;113:3279-89. (C) 2008 American Cancer Society.</w:t>
      </w:r>
    </w:p>
    <w:p w:rsidR="00FD3435" w:rsidRDefault="00FD3435" w:rsidP="00FD3435">
      <w:pPr>
        <w:pStyle w:val="a3"/>
        <w:rPr>
          <w:kern w:val="0"/>
        </w:rPr>
      </w:pPr>
      <w:r>
        <w:rPr>
          <w:kern w:val="0"/>
        </w:rPr>
        <w:t xml:space="preserve">Keywords: Adjuvant Chemotherapy, Adjuvant-Chemotherapy, Age, Attention, Authors, Cancer, Care, Chemotherapy, Colon, Colonic Neoplasms, Colorectal Cancer, Colorectal-Cancer, Comorbidity, Disparities, Elderly, Elderly-Patients, Health Disparities, Hospitals, </w:t>
      </w:r>
      <w:r w:rsidR="00D5664A">
        <w:rPr>
          <w:kern w:val="0"/>
        </w:rPr>
        <w:t>MEDLINE</w:t>
      </w:r>
      <w:r>
        <w:rPr>
          <w:kern w:val="0"/>
        </w:rPr>
        <w:t>, Model, Patient, Population, Quality</w:t>
      </w:r>
      <w:r w:rsidR="00427468">
        <w:rPr>
          <w:kern w:val="0"/>
        </w:rPr>
        <w:t xml:space="preserve"> of </w:t>
      </w:r>
      <w:r>
        <w:rPr>
          <w:kern w:val="0"/>
        </w:rPr>
        <w:t xml:space="preserve">Healthcare, Race, Ethnicity, Radiation-Therapy, Rectal-Cancer, Review, Science, Strategy, Systematic, Systematic Review, Teaching Hospitals, US, </w:t>
      </w:r>
      <w:r w:rsidR="00D5664A">
        <w:rPr>
          <w:kern w:val="0"/>
        </w:rPr>
        <w:t>Web</w:t>
      </w:r>
      <w:r w:rsidR="00427468">
        <w:rPr>
          <w:kern w:val="0"/>
        </w:rPr>
        <w:t xml:space="preserve"> of </w:t>
      </w:r>
      <w:r w:rsidR="00D5664A">
        <w:rPr>
          <w:kern w:val="0"/>
        </w:rPr>
        <w:t>Science</w:t>
      </w:r>
    </w:p>
    <w:p w:rsidR="00D62F75" w:rsidRDefault="00D62F75" w:rsidP="00D62F75">
      <w:pPr>
        <w:pStyle w:val="a3"/>
        <w:rPr>
          <w:kern w:val="0"/>
        </w:rPr>
      </w:pPr>
      <w:r>
        <w:rPr>
          <w:kern w:val="0"/>
        </w:rPr>
        <w:t xml:space="preserve">? Acevedo, A.M., Gómez, A., Becerra, H.A., Ríos, A.P., Zambrano, P.C., Obando, E.P., Martí-Carvajal, A.J., Carranza, H., Vargas, C.A., Otero, J.M., Reveiz, L. and Cardona, A.F. (2014), Distribution and trends of hematology and oncology research in Latin America: A decade of uncertainty. </w:t>
      </w:r>
      <w:r>
        <w:rPr>
          <w:i/>
          <w:iCs/>
          <w:kern w:val="0"/>
        </w:rPr>
        <w:t>Cancer</w:t>
      </w:r>
      <w:r>
        <w:rPr>
          <w:kern w:val="0"/>
        </w:rPr>
        <w:t xml:space="preserve">, </w:t>
      </w:r>
      <w:r>
        <w:rPr>
          <w:b/>
          <w:bCs/>
          <w:kern w:val="0"/>
        </w:rPr>
        <w:t>120</w:t>
      </w:r>
      <w:r>
        <w:rPr>
          <w:kern w:val="0"/>
        </w:rPr>
        <w:t xml:space="preserve"> (8), 1237-1245.</w:t>
      </w:r>
    </w:p>
    <w:p w:rsidR="00D62F75" w:rsidRDefault="00D62F75" w:rsidP="00D62F75">
      <w:pPr>
        <w:pStyle w:val="a3"/>
        <w:rPr>
          <w:kern w:val="0"/>
        </w:rPr>
      </w:pPr>
      <w:r>
        <w:rPr>
          <w:kern w:val="0"/>
        </w:rPr>
        <w:t xml:space="preserve">Full Text: </w:t>
      </w:r>
      <w:hyperlink r:id="rId109" w:history="1">
        <w:r w:rsidRPr="006E10CD">
          <w:rPr>
            <w:rStyle w:val="a5"/>
            <w:kern w:val="0"/>
          </w:rPr>
          <w:t>2014\Cancer120, 1237.pdf</w:t>
        </w:r>
      </w:hyperlink>
    </w:p>
    <w:p w:rsidR="00D62F75" w:rsidRDefault="00D62F75" w:rsidP="00D62F75">
      <w:pPr>
        <w:pStyle w:val="a3"/>
        <w:rPr>
          <w:kern w:val="0"/>
        </w:rPr>
      </w:pPr>
      <w:r>
        <w:rPr>
          <w:kern w:val="0"/>
        </w:rPr>
        <w:t xml:space="preserve">Abstract: BACKGROUND Although hematology and oncology research is a highly </w:t>
      </w:r>
      <w:r>
        <w:rPr>
          <w:kern w:val="0"/>
        </w:rPr>
        <w:lastRenderedPageBreak/>
        <w:t>relevant and evolving field, research contributions by Latin American countries, apart from Brazil, remain unclear. METHODS The authors performed a bibliometric analysis through a methodical search of the Latin American abstracts presented at 4 main hematology and oncology annual scientific meetings from 2000 to 2010. Latin American regional and national productivity was described through distribution and trend analyses; the subsequent percentage of full-text publications was also determined. RESULTS In total, 2871 abstracts were identified, of which 1972 abstracts (68.7%) were determined to be original Latin American research and were included in the analysis. Brazil produced by far the most abstracts, with 51.1% of the total, followed by Argentina, Mexico, Peru, Chile, and Uruguay. Together, these 6 countries accounted for 95.2% of the abstracts. Latin America had a positive trend, registering an average increase of 21.5 abstracts per year (P &lt; .001). Significant positive growth trends were observed for Brazil, Mexico, Peru, and Uruguay. Argentina and Uruguay were the most productive countries when considering the rate of abstract presentation per population</w:t>
      </w:r>
      <w:r w:rsidR="00A37C1D">
        <w:rPr>
          <w:kern w:val="0"/>
        </w:rPr>
        <w:t>. The</w:t>
      </w:r>
      <w:r>
        <w:rPr>
          <w:kern w:val="0"/>
        </w:rPr>
        <w:t xml:space="preserve"> full-text publication rate was 17.9%, and the median time to publication after presentation was 1 year. Brazil prevailed as the leading publishing country (60%), followed by Mexico, Argentina, Peru, Chile, and Cuba, all of which together published 96% of the full-text articles. CONCLUSIONS Hematology and oncology research is increasing in Latin America, but this contribution remains limited to a few countries</w:t>
      </w:r>
      <w:r w:rsidR="00A37C1D">
        <w:rPr>
          <w:kern w:val="0"/>
        </w:rPr>
        <w:t>. The</w:t>
      </w:r>
      <w:r>
        <w:rPr>
          <w:kern w:val="0"/>
        </w:rPr>
        <w:t>re is also a low rate of full-text articles derived from annual scientific meetings. More extensive research is recommended. Cancer 2014;120:1237-1245. (c) 2013 American Cancer Society.</w:t>
      </w:r>
    </w:p>
    <w:p w:rsidR="00D62F75" w:rsidRDefault="00D62F75" w:rsidP="00D62F75">
      <w:pPr>
        <w:pStyle w:val="a3"/>
        <w:rPr>
          <w:kern w:val="0"/>
        </w:rPr>
      </w:pPr>
      <w:r>
        <w:rPr>
          <w:kern w:val="0"/>
        </w:rPr>
        <w:t>Keywords: Abstracts, Analyses, Analysis, Annual Scientific Meetings, Argentina, Authors, Background, Bibliometric, Bibliometric Analysis, Bibliometrics, Biomedical Research, Brazil, Cancer, Cancer-Research, Chile, Conclusions, Contribution, Country, Distribution, Field, Full Publication, Google Scholar, Growth, Health, Hematology, Impact, Latin America, Latin American Countries, Literature Searches, Medical Oncology, Meeting Abstract, Methods, Mexico, Oncology, P, Peru, Population, Presentation, Productivity, Publication, Publication Rate, Publications, Publishing, Regional, Research, Science, Scientific Society, Society, Trend, Trends, Uncertainty, Uruguay</w:t>
      </w:r>
    </w:p>
    <w:p w:rsidR="00504551" w:rsidRPr="00C73C58" w:rsidRDefault="00504551" w:rsidP="00504551">
      <w:pPr>
        <w:pStyle w:val="1"/>
      </w:pPr>
      <w:r w:rsidRPr="00C73C58">
        <w:br w:type="page"/>
      </w:r>
      <w:bookmarkStart w:id="61" w:name="_Toc420814894"/>
      <w:r w:rsidRPr="00C73C58">
        <w:lastRenderedPageBreak/>
        <w:t xml:space="preserve">Title: </w:t>
      </w:r>
      <w:r w:rsidRPr="00732235">
        <w:t>Cancer Biology &amp; Therapy</w:t>
      </w:r>
      <w:bookmarkEnd w:id="61"/>
    </w:p>
    <w:p w:rsidR="00504551" w:rsidRPr="00C73C58" w:rsidRDefault="00504551" w:rsidP="00504551">
      <w:pPr>
        <w:pStyle w:val="12"/>
        <w:rPr>
          <w:b/>
        </w:rPr>
      </w:pPr>
      <w:r w:rsidRPr="00C73C58">
        <w:t xml:space="preserve">Full Journal Title: </w:t>
      </w:r>
      <w:r w:rsidRPr="00732235">
        <w:rPr>
          <w:iCs/>
          <w:kern w:val="0"/>
        </w:rPr>
        <w:t>Cancer Biology &amp; Therapy</w:t>
      </w:r>
    </w:p>
    <w:p w:rsidR="00504551" w:rsidRPr="00C73C58" w:rsidRDefault="00504551" w:rsidP="00504551">
      <w:pPr>
        <w:pStyle w:val="12"/>
      </w:pPr>
      <w:r w:rsidRPr="00C73C58">
        <w:t xml:space="preserve">ISO Abbreviated Title: </w:t>
      </w:r>
    </w:p>
    <w:p w:rsidR="00504551" w:rsidRPr="00C73C58" w:rsidRDefault="00504551" w:rsidP="00504551">
      <w:pPr>
        <w:pStyle w:val="12"/>
      </w:pPr>
      <w:r w:rsidRPr="00C73C58">
        <w:t xml:space="preserve">JCR Abbreviated Title: </w:t>
      </w:r>
    </w:p>
    <w:p w:rsidR="00504551" w:rsidRPr="00C73C58" w:rsidRDefault="00504551" w:rsidP="00504551">
      <w:pPr>
        <w:pStyle w:val="12"/>
      </w:pPr>
      <w:r w:rsidRPr="00C73C58">
        <w:t xml:space="preserve">ISSN: </w:t>
      </w:r>
    </w:p>
    <w:p w:rsidR="00504551" w:rsidRPr="00C73C58" w:rsidRDefault="00504551" w:rsidP="00504551">
      <w:pPr>
        <w:pStyle w:val="12"/>
      </w:pPr>
      <w:r w:rsidRPr="00C73C58">
        <w:t xml:space="preserve">Issues/Year: </w:t>
      </w:r>
    </w:p>
    <w:p w:rsidR="00504551" w:rsidRPr="00C73C58" w:rsidRDefault="00504551" w:rsidP="00504551">
      <w:pPr>
        <w:pStyle w:val="12"/>
      </w:pPr>
      <w:r w:rsidRPr="00C73C58">
        <w:t xml:space="preserve">Journal Country/Territory: </w:t>
      </w:r>
    </w:p>
    <w:p w:rsidR="00504551" w:rsidRPr="00C73C58" w:rsidRDefault="00504551" w:rsidP="00504551">
      <w:pPr>
        <w:pStyle w:val="12"/>
      </w:pPr>
      <w:r w:rsidRPr="00C73C58">
        <w:t xml:space="preserve">Language: </w:t>
      </w:r>
    </w:p>
    <w:p w:rsidR="00504551" w:rsidRPr="00C73C58" w:rsidRDefault="00504551" w:rsidP="00504551">
      <w:pPr>
        <w:pStyle w:val="12"/>
      </w:pPr>
      <w:r w:rsidRPr="00C73C58">
        <w:t xml:space="preserve">Publisher: </w:t>
      </w:r>
    </w:p>
    <w:p w:rsidR="00504551" w:rsidRPr="00C73C58" w:rsidRDefault="00504551" w:rsidP="00504551">
      <w:pPr>
        <w:pStyle w:val="12"/>
      </w:pPr>
      <w:r w:rsidRPr="00C73C58">
        <w:t xml:space="preserve">Publisher Address: </w:t>
      </w:r>
    </w:p>
    <w:p w:rsidR="00504551" w:rsidRPr="00C73C58" w:rsidRDefault="00504551" w:rsidP="00504551">
      <w:pPr>
        <w:pStyle w:val="12"/>
      </w:pPr>
      <w:r w:rsidRPr="00C73C58">
        <w:t xml:space="preserve">Subject Categories: </w:t>
      </w:r>
    </w:p>
    <w:p w:rsidR="00504551" w:rsidRPr="00C73C58" w:rsidRDefault="00504551" w:rsidP="00504551">
      <w:pPr>
        <w:pStyle w:val="12"/>
      </w:pPr>
      <w:r w:rsidRPr="00C73C58">
        <w:t xml:space="preserve">: Impact Factor </w:t>
      </w:r>
    </w:p>
    <w:p w:rsidR="00504551" w:rsidRDefault="00504551" w:rsidP="00504551">
      <w:pPr>
        <w:pStyle w:val="a3"/>
        <w:rPr>
          <w:kern w:val="0"/>
        </w:rPr>
      </w:pPr>
      <w:r w:rsidRPr="0065196F">
        <w:rPr>
          <w:kern w:val="0"/>
        </w:rPr>
        <w:t>? Sugar, E., Pascoe, A.J.</w:t>
      </w:r>
      <w:r w:rsidR="005853A9">
        <w:rPr>
          <w:kern w:val="0"/>
        </w:rPr>
        <w:t xml:space="preserve"> and </w:t>
      </w:r>
      <w:r w:rsidRPr="0065196F">
        <w:rPr>
          <w:kern w:val="0"/>
        </w:rPr>
        <w:t>Azad, N. (2012), Reporting</w:t>
      </w:r>
      <w:r w:rsidR="00427468">
        <w:rPr>
          <w:kern w:val="0"/>
        </w:rPr>
        <w:t xml:space="preserve"> of </w:t>
      </w:r>
      <w:r w:rsidRPr="0065196F">
        <w:rPr>
          <w:kern w:val="0"/>
        </w:rPr>
        <w:t xml:space="preserve">preclinical tumor-graft cancer therapeutic studies. </w:t>
      </w:r>
      <w:r w:rsidRPr="00732235">
        <w:rPr>
          <w:i/>
          <w:iCs/>
          <w:kern w:val="0"/>
        </w:rPr>
        <w:t>Cancer Biology &amp; Therapy</w:t>
      </w:r>
      <w:r w:rsidRPr="0065196F">
        <w:rPr>
          <w:kern w:val="0"/>
        </w:rPr>
        <w:t xml:space="preserve">, </w:t>
      </w:r>
      <w:r w:rsidRPr="0065196F">
        <w:rPr>
          <w:b/>
          <w:bCs/>
          <w:kern w:val="0"/>
        </w:rPr>
        <w:t>13</w:t>
      </w:r>
      <w:r w:rsidRPr="0065196F">
        <w:rPr>
          <w:kern w:val="0"/>
        </w:rPr>
        <w:t xml:space="preserve"> (13), 1262-1268.</w:t>
      </w:r>
    </w:p>
    <w:p w:rsidR="00504551" w:rsidRPr="0065196F" w:rsidRDefault="00504551" w:rsidP="00504551">
      <w:pPr>
        <w:pStyle w:val="a3"/>
        <w:rPr>
          <w:kern w:val="0"/>
        </w:rPr>
      </w:pPr>
      <w:r>
        <w:rPr>
          <w:rFonts w:hint="eastAsia"/>
          <w:kern w:val="0"/>
        </w:rPr>
        <w:t xml:space="preserve">Full Text: </w:t>
      </w:r>
      <w:hyperlink r:id="rId110" w:history="1">
        <w:r w:rsidR="008827B1" w:rsidRPr="008827B1">
          <w:rPr>
            <w:rStyle w:val="a5"/>
            <w:kern w:val="0"/>
          </w:rPr>
          <w:t>2012\Can Bio The13, 1262.pdf</w:t>
        </w:r>
      </w:hyperlink>
    </w:p>
    <w:p w:rsidR="00504551" w:rsidRPr="0065196F" w:rsidRDefault="00504551" w:rsidP="00504551">
      <w:pPr>
        <w:pStyle w:val="a3"/>
        <w:rPr>
          <w:kern w:val="0"/>
        </w:rPr>
      </w:pPr>
      <w:r w:rsidRPr="0065196F">
        <w:rPr>
          <w:kern w:val="0"/>
        </w:rPr>
        <w:t>Abstract: Purpose: Characterize the parameters</w:t>
      </w:r>
      <w:r w:rsidR="00427468">
        <w:rPr>
          <w:kern w:val="0"/>
        </w:rPr>
        <w:t xml:space="preserve"> of </w:t>
      </w:r>
      <w:r w:rsidRPr="0065196F">
        <w:rPr>
          <w:kern w:val="0"/>
        </w:rPr>
        <w:t>reporting tumor-graft experiments for oncologic drug development. Experimental Design: Using Institute</w:t>
      </w:r>
      <w:r w:rsidR="00427468">
        <w:rPr>
          <w:kern w:val="0"/>
        </w:rPr>
        <w:t xml:space="preserve"> of </w:t>
      </w:r>
      <w:r w:rsidRPr="0065196F">
        <w:rPr>
          <w:kern w:val="0"/>
        </w:rPr>
        <w:t>Scientific Information impact factors, we identified the most-cited medical</w:t>
      </w:r>
      <w:r w:rsidR="005853A9">
        <w:rPr>
          <w:kern w:val="0"/>
        </w:rPr>
        <w:t xml:space="preserve"> and </w:t>
      </w:r>
      <w:r w:rsidRPr="0065196F">
        <w:rPr>
          <w:kern w:val="0"/>
        </w:rPr>
        <w:t>oncology journals with tumor-graft experiments in murine models. For each article, the characteristics</w:t>
      </w:r>
      <w:r w:rsidR="00427468">
        <w:rPr>
          <w:kern w:val="0"/>
        </w:rPr>
        <w:t xml:space="preserve"> of </w:t>
      </w:r>
      <w:r w:rsidRPr="0065196F">
        <w:rPr>
          <w:kern w:val="0"/>
        </w:rPr>
        <w:t>the experimental design, outcome measurements,</w:t>
      </w:r>
      <w:r w:rsidR="005853A9">
        <w:rPr>
          <w:kern w:val="0"/>
        </w:rPr>
        <w:t xml:space="preserve"> and </w:t>
      </w:r>
      <w:r w:rsidRPr="0065196F">
        <w:rPr>
          <w:kern w:val="0"/>
        </w:rPr>
        <w:t>statistical analysis were examined. Results: We examined 145 articles describing tumor-graft experiments from October through December 2008</w:t>
      </w:r>
      <w:r w:rsidR="00A37C1D">
        <w:rPr>
          <w:kern w:val="0"/>
        </w:rPr>
        <w:t>. The</w:t>
      </w:r>
      <w:r w:rsidRPr="0065196F">
        <w:rPr>
          <w:kern w:val="0"/>
        </w:rPr>
        <w:t xml:space="preserve"> articles spanned a range</w:t>
      </w:r>
      <w:r w:rsidR="00427468">
        <w:rPr>
          <w:kern w:val="0"/>
        </w:rPr>
        <w:t xml:space="preserve"> of </w:t>
      </w:r>
      <w:r w:rsidRPr="0065196F">
        <w:rPr>
          <w:kern w:val="0"/>
        </w:rPr>
        <w:t>disease types, animal models, treatments</w:t>
      </w:r>
      <w:r w:rsidR="005853A9">
        <w:rPr>
          <w:kern w:val="0"/>
        </w:rPr>
        <w:t xml:space="preserve"> and </w:t>
      </w:r>
      <w:r w:rsidRPr="0065196F">
        <w:rPr>
          <w:kern w:val="0"/>
        </w:rPr>
        <w:t>delivery methods. One hundred (69%) articles were missing information needed to replicate the experiments. Outcome measurements included: tumor size (83%), biological changes (57%),</w:t>
      </w:r>
      <w:r w:rsidR="005853A9">
        <w:rPr>
          <w:kern w:val="0"/>
        </w:rPr>
        <w:t xml:space="preserve"> and </w:t>
      </w:r>
      <w:r w:rsidRPr="0065196F">
        <w:rPr>
          <w:kern w:val="0"/>
        </w:rPr>
        <w:t>survival or cure-rate outcomes (28%). Thirty-three percent did not specify how tumor size was measured</w:t>
      </w:r>
      <w:r w:rsidR="005853A9">
        <w:rPr>
          <w:kern w:val="0"/>
        </w:rPr>
        <w:t xml:space="preserve"> and </w:t>
      </w:r>
      <w:r w:rsidRPr="0065196F">
        <w:rPr>
          <w:kern w:val="0"/>
        </w:rPr>
        <w:t>30% were missing the formula for evaluating volume. Only 14% utilized appropriate statistical methods. Ninety-one percent</w:t>
      </w:r>
      <w:r w:rsidR="00427468">
        <w:rPr>
          <w:kern w:val="0"/>
        </w:rPr>
        <w:t xml:space="preserve"> of </w:t>
      </w:r>
      <w:r w:rsidRPr="0065196F">
        <w:rPr>
          <w:kern w:val="0"/>
        </w:rPr>
        <w:t>studies were reported as positive</w:t>
      </w:r>
      <w:r w:rsidR="005853A9">
        <w:rPr>
          <w:kern w:val="0"/>
        </w:rPr>
        <w:t xml:space="preserve"> and </w:t>
      </w:r>
      <w:r w:rsidRPr="0065196F">
        <w:rPr>
          <w:kern w:val="0"/>
        </w:rPr>
        <w:t>7% reported with mixed positive-negative results; only 2%</w:t>
      </w:r>
      <w:r w:rsidR="00427468">
        <w:rPr>
          <w:kern w:val="0"/>
        </w:rPr>
        <w:t xml:space="preserve"> of </w:t>
      </w:r>
      <w:r w:rsidRPr="0065196F">
        <w:rPr>
          <w:kern w:val="0"/>
        </w:rPr>
        <w:t>studies were reported negative or inconclusive. Twenty-two articles from 2012 showed improvement in the utilization</w:t>
      </w:r>
      <w:r w:rsidR="00427468">
        <w:rPr>
          <w:kern w:val="0"/>
        </w:rPr>
        <w:t xml:space="preserve"> of </w:t>
      </w:r>
      <w:r w:rsidRPr="0065196F">
        <w:rPr>
          <w:kern w:val="0"/>
        </w:rPr>
        <w:t>statistical methods (35% optimal, p = 0.05) but had a similar fraction with experimental design issues (82%; p = 0.32) limiting reproducibility</w:t>
      </w:r>
      <w:r w:rsidR="005853A9">
        <w:rPr>
          <w:kern w:val="0"/>
        </w:rPr>
        <w:t xml:space="preserve"> and </w:t>
      </w:r>
      <w:r w:rsidRPr="0065196F">
        <w:rPr>
          <w:kern w:val="0"/>
        </w:rPr>
        <w:t>91% had positive results. Conclusions: Tumor-graft studies are reported without a set standard, often without the methodological information necessary to reproduce the experiments</w:t>
      </w:r>
      <w:r w:rsidR="00A37C1D">
        <w:rPr>
          <w:kern w:val="0"/>
        </w:rPr>
        <w:t>. The</w:t>
      </w:r>
      <w:r w:rsidRPr="0065196F">
        <w:rPr>
          <w:kern w:val="0"/>
        </w:rPr>
        <w:t xml:space="preserve"> high percentage</w:t>
      </w:r>
      <w:r w:rsidR="00427468">
        <w:rPr>
          <w:kern w:val="0"/>
        </w:rPr>
        <w:t xml:space="preserve"> of </w:t>
      </w:r>
      <w:r w:rsidRPr="0065196F">
        <w:rPr>
          <w:kern w:val="0"/>
        </w:rPr>
        <w:t>positive trials suggests possible publication bias. Considering the widespread use</w:t>
      </w:r>
      <w:r w:rsidR="00427468">
        <w:rPr>
          <w:kern w:val="0"/>
        </w:rPr>
        <w:t xml:space="preserve"> of </w:t>
      </w:r>
      <w:r w:rsidRPr="0065196F">
        <w:rPr>
          <w:kern w:val="0"/>
        </w:rPr>
        <w:t>such experiments for oncologic drug development, scientists</w:t>
      </w:r>
      <w:r w:rsidR="005853A9">
        <w:rPr>
          <w:kern w:val="0"/>
        </w:rPr>
        <w:t xml:space="preserve"> and </w:t>
      </w:r>
      <w:r w:rsidRPr="0065196F">
        <w:rPr>
          <w:kern w:val="0"/>
        </w:rPr>
        <w:t xml:space="preserve">publishers should </w:t>
      </w:r>
      <w:r w:rsidRPr="0065196F">
        <w:rPr>
          <w:kern w:val="0"/>
        </w:rPr>
        <w:lastRenderedPageBreak/>
        <w:t>develop experimental</w:t>
      </w:r>
      <w:r w:rsidR="005853A9">
        <w:rPr>
          <w:kern w:val="0"/>
        </w:rPr>
        <w:t xml:space="preserve"> and </w:t>
      </w:r>
      <w:r w:rsidRPr="0065196F">
        <w:rPr>
          <w:kern w:val="0"/>
        </w:rPr>
        <w:t>publication guidelines for such experiments to ensure continued improvements in reporting.</w:t>
      </w:r>
    </w:p>
    <w:p w:rsidR="00504551" w:rsidRPr="0065196F" w:rsidRDefault="00504551" w:rsidP="00504551">
      <w:pPr>
        <w:pStyle w:val="a3"/>
        <w:rPr>
          <w:kern w:val="0"/>
        </w:rPr>
      </w:pPr>
      <w:r w:rsidRPr="0065196F">
        <w:rPr>
          <w:kern w:val="0"/>
        </w:rPr>
        <w:t>Keywords: Analysis, Animals, Benefits, Bias, Biological, Cancer, Changes, Characteristics, Delivery, Delivery Methods, Delivery-Methods, Design, Development, Disease, Drug, Drug Development, Drug Testing, Experimental, Experimental Design, Experiments, Guidelines, Humans, Impact, Impact Factors, Improvement, In-Vitro, Information, Journals, Medical, Methods, Models, Nov, Oncology, Outcome, Outcomes, Publication, Publication Bias, Reporting, Reproducibility, Size, Solid Tumors, Standard, Statistical Analysis, Statistical-Analysis, Survival, Therapeutic, Trials, Tumor, Tumor Grafts, Tumor Models, Utilization, Volume, Xenografts</w:t>
      </w:r>
    </w:p>
    <w:p w:rsidR="000A4FB1" w:rsidRPr="00C73C58" w:rsidRDefault="000A4FB1" w:rsidP="000A4FB1">
      <w:pPr>
        <w:pStyle w:val="1"/>
      </w:pPr>
      <w:r w:rsidRPr="00C73C58">
        <w:br w:type="page"/>
      </w:r>
      <w:bookmarkStart w:id="62" w:name="_Toc420814895"/>
      <w:r w:rsidRPr="00C73C58">
        <w:lastRenderedPageBreak/>
        <w:t xml:space="preserve">Title: </w:t>
      </w:r>
      <w:r w:rsidRPr="000A4FB1">
        <w:rPr>
          <w:szCs w:val="24"/>
        </w:rPr>
        <w:t>Cancer Biomarkers</w:t>
      </w:r>
      <w:bookmarkEnd w:id="62"/>
    </w:p>
    <w:p w:rsidR="000A4FB1" w:rsidRPr="00C73C58" w:rsidRDefault="000A4FB1" w:rsidP="000A4FB1">
      <w:pPr>
        <w:pStyle w:val="12"/>
        <w:rPr>
          <w:b/>
        </w:rPr>
      </w:pPr>
      <w:r w:rsidRPr="00C73C58">
        <w:t xml:space="preserve">Full Journal Title: </w:t>
      </w:r>
      <w:r w:rsidRPr="000A4FB1">
        <w:rPr>
          <w:iCs/>
          <w:kern w:val="0"/>
        </w:rPr>
        <w:t>Cancer Biomarkers</w:t>
      </w:r>
    </w:p>
    <w:p w:rsidR="000A4FB1" w:rsidRPr="00C73C58" w:rsidRDefault="000A4FB1" w:rsidP="000A4FB1">
      <w:pPr>
        <w:pStyle w:val="12"/>
      </w:pPr>
      <w:r w:rsidRPr="00C73C58">
        <w:t xml:space="preserve">ISO Abbreviated Title: </w:t>
      </w:r>
    </w:p>
    <w:p w:rsidR="000A4FB1" w:rsidRPr="00C73C58" w:rsidRDefault="000A4FB1" w:rsidP="000A4FB1">
      <w:pPr>
        <w:pStyle w:val="12"/>
      </w:pPr>
      <w:r w:rsidRPr="00C73C58">
        <w:t xml:space="preserve">JCR Abbreviated Title: </w:t>
      </w:r>
    </w:p>
    <w:p w:rsidR="000A4FB1" w:rsidRPr="00C73C58" w:rsidRDefault="000A4FB1" w:rsidP="000A4FB1">
      <w:pPr>
        <w:pStyle w:val="12"/>
      </w:pPr>
      <w:r w:rsidRPr="00C73C58">
        <w:t xml:space="preserve">ISSN: </w:t>
      </w:r>
    </w:p>
    <w:p w:rsidR="000A4FB1" w:rsidRPr="00C73C58" w:rsidRDefault="000A4FB1" w:rsidP="000A4FB1">
      <w:pPr>
        <w:pStyle w:val="12"/>
      </w:pPr>
      <w:r w:rsidRPr="00C73C58">
        <w:t xml:space="preserve">Issues/Year: </w:t>
      </w:r>
    </w:p>
    <w:p w:rsidR="000A4FB1" w:rsidRPr="00C73C58" w:rsidRDefault="000A4FB1" w:rsidP="000A4FB1">
      <w:pPr>
        <w:pStyle w:val="12"/>
      </w:pPr>
      <w:r w:rsidRPr="00C73C58">
        <w:t xml:space="preserve">Journal Country/Territory: </w:t>
      </w:r>
    </w:p>
    <w:p w:rsidR="000A4FB1" w:rsidRPr="00C73C58" w:rsidRDefault="000A4FB1" w:rsidP="000A4FB1">
      <w:pPr>
        <w:pStyle w:val="12"/>
      </w:pPr>
      <w:r w:rsidRPr="00C73C58">
        <w:t xml:space="preserve">Language: </w:t>
      </w:r>
    </w:p>
    <w:p w:rsidR="000A4FB1" w:rsidRPr="00C73C58" w:rsidRDefault="000A4FB1" w:rsidP="000A4FB1">
      <w:pPr>
        <w:pStyle w:val="12"/>
      </w:pPr>
      <w:r w:rsidRPr="00C73C58">
        <w:t xml:space="preserve">Publisher: </w:t>
      </w:r>
    </w:p>
    <w:p w:rsidR="000A4FB1" w:rsidRPr="00C73C58" w:rsidRDefault="000A4FB1" w:rsidP="000A4FB1">
      <w:pPr>
        <w:pStyle w:val="12"/>
      </w:pPr>
      <w:r w:rsidRPr="00C73C58">
        <w:t xml:space="preserve">Publisher Address: </w:t>
      </w:r>
    </w:p>
    <w:p w:rsidR="000A4FB1" w:rsidRPr="00C73C58" w:rsidRDefault="000A4FB1" w:rsidP="000A4FB1">
      <w:pPr>
        <w:pStyle w:val="12"/>
      </w:pPr>
      <w:r w:rsidRPr="00C73C58">
        <w:t xml:space="preserve">Subject Categories: </w:t>
      </w:r>
    </w:p>
    <w:p w:rsidR="000A4FB1" w:rsidRPr="00C73C58" w:rsidRDefault="000A4FB1" w:rsidP="000A4FB1">
      <w:pPr>
        <w:pStyle w:val="12"/>
      </w:pPr>
      <w:r w:rsidRPr="00C73C58">
        <w:t xml:space="preserve">: Impact Factor </w:t>
      </w:r>
    </w:p>
    <w:p w:rsidR="000A4FB1" w:rsidRDefault="000A4FB1" w:rsidP="000A4FB1">
      <w:pPr>
        <w:pStyle w:val="a3"/>
        <w:rPr>
          <w:kern w:val="0"/>
          <w:szCs w:val="24"/>
        </w:rPr>
      </w:pPr>
      <w:r>
        <w:rPr>
          <w:rFonts w:hint="eastAsia"/>
          <w:kern w:val="0"/>
          <w:szCs w:val="24"/>
        </w:rPr>
        <w:t xml:space="preserve">? </w:t>
      </w:r>
      <w:r>
        <w:rPr>
          <w:kern w:val="0"/>
          <w:szCs w:val="24"/>
        </w:rPr>
        <w:t>Xu, R.B., Wang, F.L., Wu, L., Wang, J.M.</w:t>
      </w:r>
      <w:r w:rsidR="005853A9">
        <w:rPr>
          <w:kern w:val="0"/>
          <w:szCs w:val="24"/>
        </w:rPr>
        <w:t xml:space="preserve"> and </w:t>
      </w:r>
      <w:r>
        <w:rPr>
          <w:kern w:val="0"/>
          <w:szCs w:val="24"/>
        </w:rPr>
        <w:t>Lu, C. (2013), A systematic review</w:t>
      </w:r>
      <w:r w:rsidR="00427468">
        <w:rPr>
          <w:kern w:val="0"/>
          <w:szCs w:val="24"/>
        </w:rPr>
        <w:t xml:space="preserve"> of </w:t>
      </w:r>
      <w:r>
        <w:rPr>
          <w:kern w:val="0"/>
          <w:szCs w:val="24"/>
        </w:rPr>
        <w:t>hypermethylation</w:t>
      </w:r>
      <w:r w:rsidR="00427468">
        <w:rPr>
          <w:kern w:val="0"/>
          <w:szCs w:val="24"/>
        </w:rPr>
        <w:t xml:space="preserve"> of </w:t>
      </w:r>
      <w:r>
        <w:rPr>
          <w:kern w:val="0"/>
          <w:szCs w:val="24"/>
        </w:rPr>
        <w:t xml:space="preserve">p16 gene in esophageal cancer. </w:t>
      </w:r>
      <w:r w:rsidRPr="000A4FB1">
        <w:rPr>
          <w:i/>
          <w:iCs/>
          <w:kern w:val="0"/>
          <w:szCs w:val="24"/>
        </w:rPr>
        <w:t>Cancer Biomarkers</w:t>
      </w:r>
      <w:r>
        <w:rPr>
          <w:kern w:val="0"/>
          <w:szCs w:val="24"/>
        </w:rPr>
        <w:t xml:space="preserve">, </w:t>
      </w:r>
      <w:r>
        <w:rPr>
          <w:b/>
          <w:bCs/>
          <w:kern w:val="0"/>
          <w:szCs w:val="24"/>
        </w:rPr>
        <w:t>13</w:t>
      </w:r>
      <w:r>
        <w:rPr>
          <w:kern w:val="0"/>
          <w:szCs w:val="24"/>
        </w:rPr>
        <w:t xml:space="preserve"> (4), 215-226.</w:t>
      </w:r>
    </w:p>
    <w:p w:rsidR="000A4FB1" w:rsidRDefault="000A4FB1" w:rsidP="000A4FB1">
      <w:pPr>
        <w:pStyle w:val="a3"/>
        <w:rPr>
          <w:kern w:val="0"/>
          <w:szCs w:val="24"/>
        </w:rPr>
      </w:pPr>
      <w:r>
        <w:rPr>
          <w:rFonts w:hint="eastAsia"/>
          <w:kern w:val="0"/>
          <w:szCs w:val="24"/>
        </w:rPr>
        <w:t xml:space="preserve">Full Text: </w:t>
      </w:r>
      <w:hyperlink r:id="rId111" w:history="1">
        <w:r w:rsidRPr="000A4FB1">
          <w:rPr>
            <w:rStyle w:val="a5"/>
            <w:kern w:val="0"/>
            <w:szCs w:val="24"/>
          </w:rPr>
          <w:t>2013\Can Bio13, 215.pdf</w:t>
        </w:r>
      </w:hyperlink>
    </w:p>
    <w:p w:rsidR="000A4FB1" w:rsidRDefault="000A4FB1" w:rsidP="000A4FB1">
      <w:pPr>
        <w:pStyle w:val="a3"/>
        <w:rPr>
          <w:kern w:val="0"/>
          <w:szCs w:val="24"/>
        </w:rPr>
      </w:pPr>
      <w:r>
        <w:rPr>
          <w:kern w:val="0"/>
          <w:szCs w:val="24"/>
        </w:rPr>
        <w:t>Abstract: BACKGROUND: Inactivation</w:t>
      </w:r>
      <w:r w:rsidR="00427468">
        <w:rPr>
          <w:kern w:val="0"/>
          <w:szCs w:val="24"/>
        </w:rPr>
        <w:t xml:space="preserve"> of </w:t>
      </w:r>
      <w:r>
        <w:rPr>
          <w:kern w:val="0"/>
          <w:szCs w:val="24"/>
        </w:rPr>
        <w:t>cell-cycle regulating gene p16, resulting from epigenetic alteration, is common in the carcinogenesis</w:t>
      </w:r>
      <w:r w:rsidR="00427468">
        <w:rPr>
          <w:kern w:val="0"/>
          <w:szCs w:val="24"/>
        </w:rPr>
        <w:t xml:space="preserve"> of </w:t>
      </w:r>
      <w:r>
        <w:rPr>
          <w:kern w:val="0"/>
          <w:szCs w:val="24"/>
        </w:rPr>
        <w:t>human cancers</w:t>
      </w:r>
      <w:r w:rsidR="00A37C1D">
        <w:rPr>
          <w:kern w:val="0"/>
          <w:szCs w:val="24"/>
        </w:rPr>
        <w:t>. The</w:t>
      </w:r>
      <w:r>
        <w:rPr>
          <w:kern w:val="0"/>
          <w:szCs w:val="24"/>
        </w:rPr>
        <w:t xml:space="preserve"> aim</w:t>
      </w:r>
      <w:r w:rsidR="00427468">
        <w:rPr>
          <w:kern w:val="0"/>
          <w:szCs w:val="24"/>
        </w:rPr>
        <w:t xml:space="preserve"> of </w:t>
      </w:r>
      <w:r>
        <w:rPr>
          <w:kern w:val="0"/>
          <w:szCs w:val="24"/>
        </w:rPr>
        <w:t>this study is to offer a systematic review on the aberrant methylation</w:t>
      </w:r>
      <w:r w:rsidR="00427468">
        <w:rPr>
          <w:kern w:val="0"/>
          <w:szCs w:val="24"/>
        </w:rPr>
        <w:t xml:space="preserve"> of </w:t>
      </w:r>
      <w:r>
        <w:rPr>
          <w:kern w:val="0"/>
          <w:szCs w:val="24"/>
        </w:rPr>
        <w:t>p16 gene in esophageal cancer. METHODS: We performed a meta-analysis referring to the guidelines</w:t>
      </w:r>
      <w:r w:rsidR="00427468">
        <w:rPr>
          <w:kern w:val="0"/>
          <w:szCs w:val="24"/>
        </w:rPr>
        <w:t xml:space="preserve"> of </w:t>
      </w:r>
      <w:r>
        <w:rPr>
          <w:kern w:val="0"/>
          <w:szCs w:val="24"/>
        </w:rPr>
        <w:t>PRISMA. We searched for articles published from 1996 to 31 May 2012 using PubMed</w:t>
      </w:r>
      <w:r w:rsidR="005853A9">
        <w:rPr>
          <w:kern w:val="0"/>
          <w:szCs w:val="24"/>
        </w:rPr>
        <w:t xml:space="preserve"> and </w:t>
      </w:r>
      <w:r>
        <w:rPr>
          <w:kern w:val="0"/>
          <w:szCs w:val="24"/>
        </w:rPr>
        <w:t xml:space="preserve">China National Knowledge Infrastructure (CNKI) database. Additional database including </w:t>
      </w:r>
      <w:r w:rsidR="00D5664A">
        <w:rPr>
          <w:kern w:val="0"/>
          <w:szCs w:val="24"/>
        </w:rPr>
        <w:t>Web</w:t>
      </w:r>
      <w:r w:rsidR="00427468">
        <w:rPr>
          <w:kern w:val="0"/>
          <w:szCs w:val="24"/>
        </w:rPr>
        <w:t xml:space="preserve"> of </w:t>
      </w:r>
      <w:r w:rsidR="00D5664A">
        <w:rPr>
          <w:kern w:val="0"/>
          <w:szCs w:val="24"/>
        </w:rPr>
        <w:t>Science</w:t>
      </w:r>
      <w:r w:rsidR="005853A9">
        <w:rPr>
          <w:kern w:val="0"/>
          <w:szCs w:val="24"/>
        </w:rPr>
        <w:t xml:space="preserve"> and </w:t>
      </w:r>
      <w:r>
        <w:rPr>
          <w:kern w:val="0"/>
          <w:szCs w:val="24"/>
        </w:rPr>
        <w:t>EMBASE were also searched for related articles</w:t>
      </w:r>
      <w:r w:rsidR="00A37C1D">
        <w:rPr>
          <w:kern w:val="0"/>
          <w:szCs w:val="24"/>
        </w:rPr>
        <w:t>. The</w:t>
      </w:r>
      <w:r>
        <w:rPr>
          <w:kern w:val="0"/>
          <w:szCs w:val="24"/>
        </w:rPr>
        <w:t xml:space="preserve"> random or fixed effect model was applied to estimate the pooled frequency</w:t>
      </w:r>
      <w:r w:rsidR="00427468">
        <w:rPr>
          <w:kern w:val="0"/>
          <w:szCs w:val="24"/>
        </w:rPr>
        <w:t xml:space="preserve"> of </w:t>
      </w:r>
      <w:r>
        <w:rPr>
          <w:kern w:val="0"/>
          <w:szCs w:val="24"/>
        </w:rPr>
        <w:t>DNA methylation based on the heterogeneity analysis. Subgroup analyses were performed according to the histological type, study area,</w:t>
      </w:r>
      <w:r w:rsidR="005853A9">
        <w:rPr>
          <w:kern w:val="0"/>
          <w:szCs w:val="24"/>
        </w:rPr>
        <w:t xml:space="preserve"> and </w:t>
      </w:r>
      <w:r>
        <w:rPr>
          <w:kern w:val="0"/>
          <w:szCs w:val="24"/>
        </w:rPr>
        <w:t>tumor grade. RESULTS: This meta-analysis included 39 articles related to the methylation studies on p16 gene in cancer tissues</w:t>
      </w:r>
      <w:r w:rsidR="005853A9">
        <w:rPr>
          <w:kern w:val="0"/>
          <w:szCs w:val="24"/>
        </w:rPr>
        <w:t xml:space="preserve"> and </w:t>
      </w:r>
      <w:r>
        <w:rPr>
          <w:kern w:val="0"/>
          <w:szCs w:val="24"/>
        </w:rPr>
        <w:t>7 articles using blood samples</w:t>
      </w:r>
      <w:r w:rsidR="00A37C1D">
        <w:rPr>
          <w:kern w:val="0"/>
          <w:szCs w:val="24"/>
        </w:rPr>
        <w:t>. The</w:t>
      </w:r>
      <w:r>
        <w:rPr>
          <w:kern w:val="0"/>
          <w:szCs w:val="24"/>
        </w:rPr>
        <w:t xml:space="preserve"> summarized frequency</w:t>
      </w:r>
      <w:r w:rsidR="00427468">
        <w:rPr>
          <w:kern w:val="0"/>
          <w:szCs w:val="24"/>
        </w:rPr>
        <w:t xml:space="preserve"> of </w:t>
      </w:r>
      <w:r>
        <w:rPr>
          <w:kern w:val="0"/>
          <w:szCs w:val="24"/>
        </w:rPr>
        <w:t>DNA methylation detected in cancer tissues was 0.53 (95% CI: 0.44-0.61). With the increase</w:t>
      </w:r>
      <w:r w:rsidR="00427468">
        <w:rPr>
          <w:kern w:val="0"/>
          <w:szCs w:val="24"/>
        </w:rPr>
        <w:t xml:space="preserve"> of </w:t>
      </w:r>
      <w:r>
        <w:rPr>
          <w:kern w:val="0"/>
          <w:szCs w:val="24"/>
        </w:rPr>
        <w:t>tumor differentiation grades, the frequency</w:t>
      </w:r>
      <w:r w:rsidR="00427468">
        <w:rPr>
          <w:kern w:val="0"/>
          <w:szCs w:val="24"/>
        </w:rPr>
        <w:t xml:space="preserve"> of </w:t>
      </w:r>
      <w:r>
        <w:rPr>
          <w:kern w:val="0"/>
          <w:szCs w:val="24"/>
        </w:rPr>
        <w:t>DNA methylation increased accordingly (well differentiated: 0.37; moderately differentiated: 0.61; poorly differentiated: 0.63). We further summarized the methylation</w:t>
      </w:r>
      <w:r w:rsidR="00427468">
        <w:rPr>
          <w:kern w:val="0"/>
          <w:szCs w:val="24"/>
        </w:rPr>
        <w:t xml:space="preserve"> of </w:t>
      </w:r>
      <w:r>
        <w:rPr>
          <w:kern w:val="0"/>
          <w:szCs w:val="24"/>
        </w:rPr>
        <w:t>p16 gene detected in patient</w:t>
      </w:r>
      <w:r w:rsidR="0071223E">
        <w:rPr>
          <w:kern w:val="0"/>
          <w:szCs w:val="24"/>
        </w:rPr>
        <w:t>’</w:t>
      </w:r>
      <w:r>
        <w:rPr>
          <w:kern w:val="0"/>
          <w:szCs w:val="24"/>
        </w:rPr>
        <w:t>s peripheral blood samples</w:t>
      </w:r>
      <w:r w:rsidR="00A37C1D">
        <w:rPr>
          <w:kern w:val="0"/>
          <w:szCs w:val="24"/>
        </w:rPr>
        <w:t>. The</w:t>
      </w:r>
      <w:r>
        <w:rPr>
          <w:kern w:val="0"/>
          <w:szCs w:val="24"/>
        </w:rPr>
        <w:t xml:space="preserve"> pooled frequency was 0.33 (95% CI: 0.17-0.49), which was lower than that detected in cancer tissues. CONCLUSION: This meta-analysis revealed the elevated frequency</w:t>
      </w:r>
      <w:r w:rsidR="00427468">
        <w:rPr>
          <w:kern w:val="0"/>
          <w:szCs w:val="24"/>
        </w:rPr>
        <w:t xml:space="preserve"> of </w:t>
      </w:r>
      <w:r>
        <w:rPr>
          <w:kern w:val="0"/>
          <w:szCs w:val="24"/>
        </w:rPr>
        <w:t>DNA methylation</w:t>
      </w:r>
      <w:r w:rsidR="00427468">
        <w:rPr>
          <w:kern w:val="0"/>
          <w:szCs w:val="24"/>
        </w:rPr>
        <w:t xml:space="preserve"> of </w:t>
      </w:r>
      <w:r>
        <w:rPr>
          <w:kern w:val="0"/>
          <w:szCs w:val="24"/>
        </w:rPr>
        <w:t>p16 gene in esophageal cancer, which indicated future potential application</w:t>
      </w:r>
      <w:r w:rsidR="00427468">
        <w:rPr>
          <w:kern w:val="0"/>
          <w:szCs w:val="24"/>
        </w:rPr>
        <w:t xml:space="preserve"> of </w:t>
      </w:r>
      <w:r>
        <w:rPr>
          <w:kern w:val="0"/>
          <w:szCs w:val="24"/>
        </w:rPr>
        <w:t>this biomarker in early detection as well as the prognosis</w:t>
      </w:r>
      <w:r w:rsidR="00427468">
        <w:rPr>
          <w:kern w:val="0"/>
          <w:szCs w:val="24"/>
        </w:rPr>
        <w:t xml:space="preserve"> of </w:t>
      </w:r>
      <w:r>
        <w:rPr>
          <w:kern w:val="0"/>
          <w:szCs w:val="24"/>
        </w:rPr>
        <w:lastRenderedPageBreak/>
        <w:t>the disease.</w:t>
      </w:r>
    </w:p>
    <w:p w:rsidR="000A4FB1" w:rsidRDefault="000A4FB1" w:rsidP="000A4FB1">
      <w:pPr>
        <w:pStyle w:val="a3"/>
        <w:rPr>
          <w:kern w:val="0"/>
          <w:szCs w:val="24"/>
        </w:rPr>
      </w:pPr>
      <w:r>
        <w:rPr>
          <w:kern w:val="0"/>
          <w:szCs w:val="24"/>
        </w:rPr>
        <w:t xml:space="preserve">Keywords: Aberrant Dna Methylation, Analyses, Analysis, Application, Background, Barretts-Esophagus, Biomarker, Blood, Cancer, Cell Cycle, China, Cpg Island Hypermethylation, Database, Differentiation, Disease, Dna, Dna Methylation, Embase, Esophageal Neoplasms, Gene, Genes, Guidelines, Heterogeneity, Homozygous Deletion, Human, Knowledge, Meta Analysis, Meta-Analysis, Metaanalysis, Methods, Methylation, Model, Mthfr C677t, Neoplastic Progression, Netherlands, P16, Peripheral Blood, Potential, Precursor Lesions, Press, Prognosis, Promoter Methylation, Pubmed, R, Review, Science, Squamous-Cell Carcinoma, Systematic Review, Tumor, Tumor-Suppressor, </w:t>
      </w:r>
      <w:r w:rsidR="00D5664A">
        <w:rPr>
          <w:kern w:val="0"/>
          <w:szCs w:val="24"/>
        </w:rPr>
        <w:t>Web</w:t>
      </w:r>
      <w:r w:rsidR="00427468">
        <w:rPr>
          <w:kern w:val="0"/>
          <w:szCs w:val="24"/>
        </w:rPr>
        <w:t xml:space="preserve"> of </w:t>
      </w:r>
      <w:r w:rsidR="00D5664A">
        <w:rPr>
          <w:kern w:val="0"/>
          <w:szCs w:val="24"/>
        </w:rPr>
        <w:t>Science</w:t>
      </w:r>
    </w:p>
    <w:p w:rsidR="00D558FB" w:rsidRDefault="00D558FB" w:rsidP="00D558FB">
      <w:pPr>
        <w:pStyle w:val="a3"/>
        <w:rPr>
          <w:kern w:val="0"/>
        </w:rPr>
      </w:pPr>
      <w:r>
        <w:rPr>
          <w:rFonts w:hint="eastAsia"/>
          <w:kern w:val="0"/>
        </w:rPr>
        <w:t xml:space="preserve">? </w:t>
      </w:r>
      <w:r>
        <w:rPr>
          <w:kern w:val="0"/>
        </w:rPr>
        <w:t>Ma, R.L., Min, L., Chen, D., Tao, W.P., Ge, W. and Wu, Y.G. (2013), N-acetyltransferase 2 phenotype and risk</w:t>
      </w:r>
      <w:r w:rsidR="00427468">
        <w:rPr>
          <w:kern w:val="0"/>
        </w:rPr>
        <w:t xml:space="preserve"> of </w:t>
      </w:r>
      <w:r>
        <w:rPr>
          <w:kern w:val="0"/>
        </w:rPr>
        <w:t xml:space="preserve">esophageal cancer: A meta analysis. </w:t>
      </w:r>
      <w:r>
        <w:rPr>
          <w:i/>
          <w:iCs/>
          <w:kern w:val="0"/>
        </w:rPr>
        <w:t>Cancer Biomarkers</w:t>
      </w:r>
      <w:r>
        <w:rPr>
          <w:kern w:val="0"/>
        </w:rPr>
        <w:t xml:space="preserve">, </w:t>
      </w:r>
      <w:r>
        <w:rPr>
          <w:b/>
          <w:bCs/>
          <w:kern w:val="0"/>
        </w:rPr>
        <w:t>13</w:t>
      </w:r>
      <w:r>
        <w:rPr>
          <w:kern w:val="0"/>
        </w:rPr>
        <w:t xml:space="preserve"> (6), 447-455.</w:t>
      </w:r>
    </w:p>
    <w:p w:rsidR="00D558FB" w:rsidRDefault="00D558FB" w:rsidP="00D558FB">
      <w:pPr>
        <w:pStyle w:val="a3"/>
        <w:rPr>
          <w:kern w:val="0"/>
          <w:szCs w:val="24"/>
        </w:rPr>
      </w:pPr>
      <w:r>
        <w:rPr>
          <w:rFonts w:hint="eastAsia"/>
          <w:kern w:val="0"/>
          <w:szCs w:val="24"/>
        </w:rPr>
        <w:t xml:space="preserve">Full Text: </w:t>
      </w:r>
      <w:hyperlink r:id="rId112" w:history="1">
        <w:r w:rsidRPr="008F60FA">
          <w:rPr>
            <w:rStyle w:val="a5"/>
            <w:kern w:val="0"/>
            <w:szCs w:val="24"/>
          </w:rPr>
          <w:t>2013\Can Bio13, 447.pdf</w:t>
        </w:r>
      </w:hyperlink>
    </w:p>
    <w:p w:rsidR="00D558FB" w:rsidRDefault="00D558FB" w:rsidP="00D558FB">
      <w:pPr>
        <w:pStyle w:val="a3"/>
        <w:rPr>
          <w:kern w:val="0"/>
        </w:rPr>
      </w:pPr>
      <w:r>
        <w:rPr>
          <w:kern w:val="0"/>
        </w:rPr>
        <w:t>Abstract: N-acetyltransferase 2 (NAT2) gene encodes a phase II enzyme taking part in detoxification</w:t>
      </w:r>
      <w:r w:rsidR="00427468">
        <w:rPr>
          <w:kern w:val="0"/>
        </w:rPr>
        <w:t xml:space="preserve"> of </w:t>
      </w:r>
      <w:r>
        <w:rPr>
          <w:kern w:val="0"/>
        </w:rPr>
        <w:t>aromatic amines. Published studies have demonstrated that N-Acetyltransferase 2 (NAT2) phenotype is a risk factor</w:t>
      </w:r>
      <w:r w:rsidR="00427468">
        <w:rPr>
          <w:kern w:val="0"/>
        </w:rPr>
        <w:t xml:space="preserve"> of </w:t>
      </w:r>
      <w:r>
        <w:rPr>
          <w:kern w:val="0"/>
        </w:rPr>
        <w:t>various cancers. Many studies have investigated the association between NAT2 phenotype and susceptibility to esophageal cancer but yielded controversial results. To derive a more precise estimation</w:t>
      </w:r>
      <w:r w:rsidR="00427468">
        <w:rPr>
          <w:kern w:val="0"/>
        </w:rPr>
        <w:t xml:space="preserve"> of </w:t>
      </w:r>
      <w:r>
        <w:rPr>
          <w:kern w:val="0"/>
        </w:rPr>
        <w:t>this association, a meta-analysis was performed. Electronic databases (Pubmed/Medline, ISI Web</w:t>
      </w:r>
      <w:r w:rsidR="00427468">
        <w:rPr>
          <w:kern w:val="0"/>
        </w:rPr>
        <w:t xml:space="preserve"> of </w:t>
      </w:r>
      <w:r>
        <w:rPr>
          <w:kern w:val="0"/>
        </w:rPr>
        <w:t>Science and China National Knowledge Infrastructure) in English and Chinese were searched. A total</w:t>
      </w:r>
      <w:r w:rsidR="00427468">
        <w:rPr>
          <w:kern w:val="0"/>
        </w:rPr>
        <w:t xml:space="preserve"> of </w:t>
      </w:r>
      <w:r>
        <w:rPr>
          <w:kern w:val="0"/>
        </w:rPr>
        <w:t>5 articles including 476 cases and 1,093 controls were included in this meta-analysis. Odds ratio (OR) with 95% confidence interval (95% CI) was used to evaluate intensity</w:t>
      </w:r>
      <w:r w:rsidR="00427468">
        <w:rPr>
          <w:kern w:val="0"/>
        </w:rPr>
        <w:t xml:space="preserve"> of </w:t>
      </w:r>
      <w:r>
        <w:rPr>
          <w:kern w:val="0"/>
        </w:rPr>
        <w:t>associations. Pooling studies together, NAT2 slow acetylator phenotype was a significant risk factor</w:t>
      </w:r>
      <w:r w:rsidR="00427468">
        <w:rPr>
          <w:kern w:val="0"/>
        </w:rPr>
        <w:t xml:space="preserve"> of </w:t>
      </w:r>
      <w:r>
        <w:rPr>
          <w:kern w:val="0"/>
        </w:rPr>
        <w:t>esophageal squamous cell cancer (OR = 1.35, 95% CI = 1.03-1.77, n = 5 studies) but not esophageal adenocarcinoma (OR = 0.97, 95% CI = 0.47-2.04, n = 2 studies)</w:t>
      </w:r>
      <w:r w:rsidR="00A37C1D">
        <w:rPr>
          <w:kern w:val="0"/>
        </w:rPr>
        <w:t>. The</w:t>
      </w:r>
      <w:r>
        <w:rPr>
          <w:kern w:val="0"/>
        </w:rPr>
        <w:t>re was a significant association between NAT2 acetylator phenotypes and ESCC in South Asian populations (OR = 1.51, 95% CI = 1.03-2.20), but not in East Asian populations (OR = 1.19, 95% CI = 0.80-1.77). Significant association between NAT2 acetylator phenotypes and esophageal cancer was found in population-based control subgroup (OR = 1.63, 95% CI = 1.07-2.50) but not in hospital-based control subgroup (OR = 1.19, 95% CI = 0.84-1.69)</w:t>
      </w:r>
      <w:r w:rsidR="00A37C1D">
        <w:rPr>
          <w:kern w:val="0"/>
        </w:rPr>
        <w:t>. The</w:t>
      </w:r>
      <w:r>
        <w:rPr>
          <w:kern w:val="0"/>
        </w:rPr>
        <w:t>re is a significant association between NAT2 acetylator phenotype and esophageal cancer in both smokers (OR = 1.681, 95% CI = 1.179-2.395) and non-smokers (OR = 1.614, 95% CI = 1.173-2.222). In conclusion, NAT2 slow acetylator phenotype was a significant risk factor</w:t>
      </w:r>
      <w:r w:rsidR="00427468">
        <w:rPr>
          <w:kern w:val="0"/>
        </w:rPr>
        <w:t xml:space="preserve"> of </w:t>
      </w:r>
      <w:r>
        <w:rPr>
          <w:kern w:val="0"/>
        </w:rPr>
        <w:t>ESCC in Asian populations.</w:t>
      </w:r>
    </w:p>
    <w:p w:rsidR="00D558FB" w:rsidRDefault="00D558FB" w:rsidP="00D558FB">
      <w:pPr>
        <w:pStyle w:val="a3"/>
        <w:rPr>
          <w:kern w:val="0"/>
        </w:rPr>
      </w:pPr>
      <w:r>
        <w:rPr>
          <w:kern w:val="0"/>
        </w:rPr>
        <w:t xml:space="preserve">Keywords: Adenocarcinoma, Analysis, Asian, Association, Bladder-Cancer, Cancer, Carcinoma, Cell, China, Chinese, Confidence, Control, Databases, Detoxification, </w:t>
      </w:r>
      <w:r>
        <w:rPr>
          <w:kern w:val="0"/>
        </w:rPr>
        <w:lastRenderedPageBreak/>
        <w:t>English, Esophageal Cancer, Expression, Gene, Genetic Polymorphisms, Indian Population, Intensity, Interval, ISI, ISI Web</w:t>
      </w:r>
      <w:r w:rsidR="00427468">
        <w:rPr>
          <w:kern w:val="0"/>
        </w:rPr>
        <w:t xml:space="preserve"> of </w:t>
      </w:r>
      <w:r>
        <w:rPr>
          <w:kern w:val="0"/>
        </w:rPr>
        <w:t>Science, Knowledge, Lung-Cancer, Meta Analysis, Meta-Analysis, Metaanalysis, N-Acetyltransferase 2, N-Acetyltransferase-2, NAT2, Phase II, Population Based, Population-Based, Populations, Risk, Risk Factor, Science, Susceptibility, Web</w:t>
      </w:r>
      <w:r w:rsidR="00427468">
        <w:rPr>
          <w:kern w:val="0"/>
        </w:rPr>
        <w:t xml:space="preserve"> of </w:t>
      </w:r>
      <w:r>
        <w:rPr>
          <w:kern w:val="0"/>
        </w:rPr>
        <w:t>Science</w:t>
      </w:r>
    </w:p>
    <w:p w:rsidR="00795FC7" w:rsidRDefault="00795FC7" w:rsidP="00795FC7">
      <w:pPr>
        <w:pStyle w:val="a3"/>
        <w:rPr>
          <w:kern w:val="0"/>
        </w:rPr>
      </w:pPr>
      <w:r>
        <w:rPr>
          <w:kern w:val="0"/>
        </w:rPr>
        <w:t xml:space="preserve">? Zhao, D.Y., Cheng, L.Y., Yu, J. and Shen, H. (2014), XRCC1 genetic polymorphism Arg339Gln, Arg194Trp, Arg280His and gastric cancer risk: An evidence based decision. </w:t>
      </w:r>
      <w:r>
        <w:rPr>
          <w:i/>
          <w:iCs/>
          <w:kern w:val="0"/>
        </w:rPr>
        <w:t>Cancer Biomarkers</w:t>
      </w:r>
      <w:r>
        <w:rPr>
          <w:kern w:val="0"/>
        </w:rPr>
        <w:t xml:space="preserve">, </w:t>
      </w:r>
      <w:r>
        <w:rPr>
          <w:b/>
          <w:bCs/>
          <w:kern w:val="0"/>
        </w:rPr>
        <w:t>14</w:t>
      </w:r>
      <w:r>
        <w:rPr>
          <w:kern w:val="0"/>
        </w:rPr>
        <w:t xml:space="preserve"> (6), 449-456.</w:t>
      </w:r>
    </w:p>
    <w:p w:rsidR="00795FC7" w:rsidRDefault="00795FC7" w:rsidP="00795FC7">
      <w:pPr>
        <w:pStyle w:val="a3"/>
        <w:rPr>
          <w:kern w:val="0"/>
          <w:szCs w:val="24"/>
        </w:rPr>
      </w:pPr>
      <w:r>
        <w:rPr>
          <w:rFonts w:hint="eastAsia"/>
          <w:kern w:val="0"/>
          <w:szCs w:val="24"/>
        </w:rPr>
        <w:t xml:space="preserve">Full Text: </w:t>
      </w:r>
      <w:r w:rsidRPr="00633272">
        <w:rPr>
          <w:kern w:val="0"/>
          <w:szCs w:val="24"/>
        </w:rPr>
        <w:t>201</w:t>
      </w:r>
      <w:r>
        <w:rPr>
          <w:rFonts w:hint="eastAsia"/>
          <w:kern w:val="0"/>
          <w:szCs w:val="24"/>
        </w:rPr>
        <w:t>4</w:t>
      </w:r>
      <w:r w:rsidRPr="00633272">
        <w:rPr>
          <w:kern w:val="0"/>
          <w:szCs w:val="24"/>
        </w:rPr>
        <w:t>\Can Bio1</w:t>
      </w:r>
      <w:r>
        <w:rPr>
          <w:rFonts w:hint="eastAsia"/>
          <w:kern w:val="0"/>
          <w:szCs w:val="24"/>
        </w:rPr>
        <w:t>4</w:t>
      </w:r>
      <w:r w:rsidRPr="00633272">
        <w:rPr>
          <w:kern w:val="0"/>
          <w:szCs w:val="24"/>
        </w:rPr>
        <w:t xml:space="preserve">, </w:t>
      </w:r>
      <w:r>
        <w:rPr>
          <w:kern w:val="0"/>
        </w:rPr>
        <w:t>4</w:t>
      </w:r>
      <w:r>
        <w:rPr>
          <w:rFonts w:hint="eastAsia"/>
          <w:kern w:val="0"/>
        </w:rPr>
        <w:t>49</w:t>
      </w:r>
      <w:r w:rsidRPr="00633272">
        <w:rPr>
          <w:kern w:val="0"/>
          <w:szCs w:val="24"/>
        </w:rPr>
        <w:t>.pdf</w:t>
      </w:r>
    </w:p>
    <w:p w:rsidR="00795FC7" w:rsidRDefault="00795FC7" w:rsidP="00795FC7">
      <w:pPr>
        <w:pStyle w:val="a3"/>
        <w:rPr>
          <w:kern w:val="0"/>
        </w:rPr>
      </w:pPr>
      <w:r>
        <w:rPr>
          <w:kern w:val="0"/>
        </w:rPr>
        <w:t>Abstract: PURPOSE: The purpose of this study is to investigate the associations of the x-ray repair cross-complementing 1 gene (XRCC1) single nucleotide polymorphisms (SNPs) Arg194Trp, Arg280His, and Arg399Gln with gastric cancer risk. METHODS: The PubMed, Embase, Cochrane Central Register of Controlled Trials, Google Scholar, CINAHL, International Bibliography of the Social Sciences, and Social Sciences Citation Index were searched. Two authors independently searched for relevant studies in any language from 1966 to Jan 2013. RESULTS: Seventeen studies with a total population of 10427 participants were identified. The results showed there were no associations of Arg399Gln polymorphism with gastric cancer, no matter in the co-dominant model, dominant model or recessive model. For Arg194Trp and Arg280His polymorphism, still no significant differences were found between control groups and GC groups in samples regardless of race. However, significant associations between Arg194Trp polymorphism and gastric cancer were found in Asian. The Asia with mutant genotype (Trp/Trp + Arg/Trp) had a higher risk of GC compared with the Asian with wild genotype (Arg/Arg). CONCLUSION: Our meta-analysis indicates that genetic polymorphism of the XRCC1 Arg399Gln and Arg280His do not have an association with gastric cancer risk. However, for Arg194Trp polymorphism, mutant gene carriers had a higher GC risk in Asian.</w:t>
      </w:r>
    </w:p>
    <w:p w:rsidR="00795FC7" w:rsidRDefault="00795FC7" w:rsidP="00795FC7">
      <w:pPr>
        <w:pStyle w:val="a3"/>
        <w:rPr>
          <w:kern w:val="0"/>
        </w:rPr>
      </w:pPr>
      <w:r>
        <w:rPr>
          <w:kern w:val="0"/>
        </w:rPr>
        <w:t>Keywords: Adenocarcinoma, Arg194trp, Arg280his, Arg399gln, Asia, Asian, Association, Authors, Bibliography, Cancer, Cancer Risk, Cardia Cancer, Chinese Population, Citation, Control, Control Groups, Decision, Dna-Repair Polymorphisms, Epic-Eurgast, Esophageal, Evidence, Evidence Based, Evidence-Based, Excision-Repair, From, Gastric, Gastric Cancer, Gene, Genetic, Genetic Polymorphism, Google, Google Scholar, Groups, International, Language, Meta Analysis, Meta-Analysis, Metaanalysis, Methods, Model, Polymorphism, Polymorphisms, Population, Pubmed, Purpose, Race, Repair, Risk, Sciences, Social Sciences, Social Sciences Citation Index, Stomach, Susceptibility, Xrcc1</w:t>
      </w:r>
    </w:p>
    <w:p w:rsidR="00795FC7" w:rsidRDefault="00795FC7" w:rsidP="00795FC7">
      <w:pPr>
        <w:pStyle w:val="a3"/>
        <w:rPr>
          <w:kern w:val="0"/>
        </w:rPr>
      </w:pPr>
      <w:r>
        <w:rPr>
          <w:kern w:val="0"/>
        </w:rPr>
        <w:t xml:space="preserve">? Jia, M., Wang, Z.J., Li, J.Y., Yang, S.L., Zhao, H.Z., Cheng, Y.P., Luo, Z.B. and Tang, Y.M. (2014), The impact of IKZF1 deletion on the prognosis of acute lymphoblastic leukemia: An updated meta-analysis. </w:t>
      </w:r>
      <w:r>
        <w:rPr>
          <w:i/>
          <w:iCs/>
          <w:kern w:val="0"/>
        </w:rPr>
        <w:t>Cancer Biomarkers</w:t>
      </w:r>
      <w:r>
        <w:rPr>
          <w:kern w:val="0"/>
        </w:rPr>
        <w:t xml:space="preserve">, </w:t>
      </w:r>
      <w:r>
        <w:rPr>
          <w:b/>
          <w:bCs/>
          <w:kern w:val="0"/>
        </w:rPr>
        <w:t>14</w:t>
      </w:r>
      <w:r>
        <w:rPr>
          <w:kern w:val="0"/>
        </w:rPr>
        <w:t xml:space="preserve"> (6), 493-503.</w:t>
      </w:r>
    </w:p>
    <w:p w:rsidR="00795FC7" w:rsidRDefault="00795FC7" w:rsidP="00795FC7">
      <w:pPr>
        <w:pStyle w:val="a3"/>
        <w:rPr>
          <w:kern w:val="0"/>
          <w:szCs w:val="24"/>
        </w:rPr>
      </w:pPr>
      <w:r>
        <w:rPr>
          <w:rFonts w:hint="eastAsia"/>
          <w:kern w:val="0"/>
          <w:szCs w:val="24"/>
        </w:rPr>
        <w:lastRenderedPageBreak/>
        <w:t xml:space="preserve">Full Text: </w:t>
      </w:r>
      <w:r w:rsidRPr="00633272">
        <w:rPr>
          <w:kern w:val="0"/>
          <w:szCs w:val="24"/>
        </w:rPr>
        <w:t>201</w:t>
      </w:r>
      <w:r>
        <w:rPr>
          <w:rFonts w:hint="eastAsia"/>
          <w:kern w:val="0"/>
          <w:szCs w:val="24"/>
        </w:rPr>
        <w:t>4</w:t>
      </w:r>
      <w:r w:rsidRPr="00633272">
        <w:rPr>
          <w:kern w:val="0"/>
          <w:szCs w:val="24"/>
        </w:rPr>
        <w:t>\Can Bio1</w:t>
      </w:r>
      <w:r>
        <w:rPr>
          <w:rFonts w:hint="eastAsia"/>
          <w:kern w:val="0"/>
          <w:szCs w:val="24"/>
        </w:rPr>
        <w:t>4</w:t>
      </w:r>
      <w:r w:rsidRPr="00633272">
        <w:rPr>
          <w:kern w:val="0"/>
          <w:szCs w:val="24"/>
        </w:rPr>
        <w:t xml:space="preserve">, </w:t>
      </w:r>
      <w:r>
        <w:rPr>
          <w:kern w:val="0"/>
        </w:rPr>
        <w:t>493</w:t>
      </w:r>
      <w:r w:rsidRPr="00633272">
        <w:rPr>
          <w:kern w:val="0"/>
          <w:szCs w:val="24"/>
        </w:rPr>
        <w:t>.pdf</w:t>
      </w:r>
    </w:p>
    <w:p w:rsidR="00795FC7" w:rsidRDefault="00795FC7" w:rsidP="00795FC7">
      <w:pPr>
        <w:pStyle w:val="a3"/>
        <w:rPr>
          <w:kern w:val="0"/>
        </w:rPr>
      </w:pPr>
      <w:r>
        <w:rPr>
          <w:kern w:val="0"/>
        </w:rPr>
        <w:t>Abstract: BACKGROUND: Various studies have reported that IKZF1 deletion (IKZF1-d) is a poor prognostic factor for acute lymphoblastic leukemia (ALL) patients, however they do not agree on the level of significance for this deletion. OBJECTIVE: To provide a quantitative assessment of this correlation, an updated meta-analysis of cohort studies was performed to derive a more precise estimation of the prognostic significance of IKZF1-d. METHODS: Relevant studies were identified in PubMed, Embase, Cochrane, Web of Science, China National Knowledge Infrastructure (CNKI) and Wanfang databases until January 31, 2014. A total of 15 published studies including 5021 patients were eligible for this meta-analysis. Combined hazard ratios (HRs) with 95% confidence intervals (CIs) were calculated with random-effects model. RESULTS: Combined hazard ratios suggested that IKZF1 deletion (IKZF1-d) had an unfavorable impact on event-free survival (EFS) (HR = 2.32, 95%CI: 1.97-2.74) and overall survival (OS) (HR = 2.56, 95%CI: 1.75-3.74) in patients with ALL. The significant role of IKZF1-d in the prognosis of ALL was also observed among different subgroups stratified by statistical methodology, ethnicity, age, detection method, risk group and duration of follow up. CONCLUSIONS: The findings from this meta-analysis suggest that IKZF1 deletion can be used to serve as an independent predictive factor in patients with ALL.</w:t>
      </w:r>
    </w:p>
    <w:p w:rsidR="00795FC7" w:rsidRDefault="00795FC7" w:rsidP="00795FC7">
      <w:pPr>
        <w:pStyle w:val="a3"/>
        <w:rPr>
          <w:kern w:val="0"/>
        </w:rPr>
      </w:pPr>
      <w:r>
        <w:rPr>
          <w:kern w:val="0"/>
        </w:rPr>
        <w:t>Keywords: Acute Lymphoblastic Leukemia, Age, Assessment, B-Cell Precursor, Background, Children, China, Cohort, Conclusions, Confidence, Confidence Intervals, Correlation, Crlf2, Databases, Deletion, Duration, Ethnicity, Follow-Up, From, Hazard, Ikaros Gene, Ikzf1, Impact, Intervals, Knowledge, Leukemia, Meta Analysis, Meta-Analysis, Metaanalysis, Methodology, Methods, Minimal Residual Disease, Model, Overall Survival, Patients, Predictive, Predictive Factor, Prognosis, Prognostic, Prognostic Factor, Publication Bias, Pubmed, Random Effects Model, Relapse, Risk, Role, Science, Significance, Statistical Methodology, Survival, Therapy, Web Of Science</w:t>
      </w:r>
    </w:p>
    <w:p w:rsidR="00502166" w:rsidRDefault="00502166" w:rsidP="00502166">
      <w:pPr>
        <w:pStyle w:val="a3"/>
        <w:rPr>
          <w:kern w:val="0"/>
        </w:rPr>
      </w:pPr>
      <w:r>
        <w:rPr>
          <w:kern w:val="0"/>
        </w:rPr>
        <w:t xml:space="preserve">? Xu, L.P. and Tang, W.R. (2015), The associations of nucleotide polymorphisms in mir-196a2, mir-146a, mir-149 with lung cancer risk. </w:t>
      </w:r>
      <w:r>
        <w:rPr>
          <w:i/>
          <w:iCs/>
          <w:kern w:val="0"/>
        </w:rPr>
        <w:t>Cancer Biomarkers</w:t>
      </w:r>
      <w:r>
        <w:rPr>
          <w:kern w:val="0"/>
        </w:rPr>
        <w:t xml:space="preserve">, </w:t>
      </w:r>
      <w:r>
        <w:rPr>
          <w:b/>
          <w:bCs/>
          <w:kern w:val="0"/>
        </w:rPr>
        <w:t>15</w:t>
      </w:r>
      <w:r>
        <w:rPr>
          <w:kern w:val="0"/>
        </w:rPr>
        <w:t xml:space="preserve"> (1), 57-63.</w:t>
      </w:r>
    </w:p>
    <w:p w:rsidR="00502166" w:rsidRDefault="00502166" w:rsidP="00502166">
      <w:pPr>
        <w:pStyle w:val="a3"/>
        <w:rPr>
          <w:kern w:val="0"/>
          <w:szCs w:val="24"/>
        </w:rPr>
      </w:pPr>
      <w:r>
        <w:rPr>
          <w:rFonts w:hint="eastAsia"/>
          <w:kern w:val="0"/>
          <w:szCs w:val="24"/>
        </w:rPr>
        <w:t xml:space="preserve">Full Text: </w:t>
      </w:r>
      <w:hyperlink r:id="rId113" w:history="1">
        <w:r w:rsidRPr="00502166">
          <w:rPr>
            <w:rStyle w:val="a5"/>
            <w:kern w:val="0"/>
            <w:szCs w:val="24"/>
          </w:rPr>
          <w:t>2015\Can Bio15, 57.pdf</w:t>
        </w:r>
      </w:hyperlink>
    </w:p>
    <w:p w:rsidR="00502166" w:rsidRDefault="00502166" w:rsidP="00502166">
      <w:pPr>
        <w:pStyle w:val="a3"/>
        <w:rPr>
          <w:kern w:val="0"/>
        </w:rPr>
      </w:pPr>
      <w:r>
        <w:rPr>
          <w:kern w:val="0"/>
        </w:rPr>
        <w:t xml:space="preserve">Abstract: BACKGROUND: Many studies have explored the associations between microRNAs (miRNAs) polymorphisms and lung cancer susceptibility. However, due to their limited statistical sizes, some discrepancies were discovered in these studies. This article summarized eligible studies to identify the roles of miRNAs polymorphisms in lung cancer, and analyzed the associations of polymorphisms in mir-196a2, mir-146a and mir-149 with lung cancer risk respectively. METHODS: </w:t>
      </w:r>
      <w:r>
        <w:rPr>
          <w:kern w:val="0"/>
        </w:rPr>
        <w:lastRenderedPageBreak/>
        <w:t>The PubMed, Web of Science, ScienceDirect and CNKI databases were searched updated to May 30, 2014. The complete data of three miRNAs polymorphisms for lung cancer were analyzed by odd ratios (ORs) and 95% confidence intervals (CIs). Finally, four studies about mir-196a2 single nucleotide polymorphism (SNP), two studies about mir-146a SNP, three studies about mir-149 SNP were investigated in this analysis. RESULTS: The mir-196a2 polymorphism was revealed to be associated with lung cancer susceptibility (additive model: OR = 1.120, 95% CI 1.030 similar to 1.217, P = 0.008; dominant model: OR = 1.118, 95% CI 1.039 similar to 1.357, P = 0.011; recessive model: OR = 1.133, 95% CI 0.987 similar to 1.300, P = 0.077). However, no relationships were discovered between mir-146a or mir-149 polymorphism and lung cancer risk. CONCLUSIONS: This meta-analysis demonstrates that mir-196a2 SNP influences the susceptibility of lung cancer. Mir-146a and mir-149 SNP do not play a role in lung cancer risk. These findings need more validation by larger studies.</w:t>
      </w:r>
    </w:p>
    <w:p w:rsidR="00502166" w:rsidRDefault="00502166" w:rsidP="00502166">
      <w:pPr>
        <w:pStyle w:val="a3"/>
        <w:rPr>
          <w:kern w:val="0"/>
        </w:rPr>
      </w:pPr>
      <w:r>
        <w:rPr>
          <w:kern w:val="0"/>
        </w:rPr>
        <w:t>Keywords: Analysis, Article, Background, Breast-Cancer, Cancer, Cancer Risk, Cancer Susceptibility, Colorectal-Cancer, Complete, Conclusions, Confidence, Confidence Intervals, Data, Databases, Functional Polymorphism, Genetic Variant, Hepatocellular-Carcinoma, Intervals, Korean Population, Lung, Lung Cancer, Lung Cancer Risk, Meta Analysis, Meta-Analysis, Metaanalysis, Methods, Micrornas, Mir-146a, Mir-149, Mir-196a2, Model, P, Polymorphism, Polymorphisms, Pubmed, Risk, Role, Rs2910164, Science, Sciencedirect, Snp, Survival, Susceptibility, Validation, Web, Web Of Science</w:t>
      </w:r>
    </w:p>
    <w:p w:rsidR="00502166" w:rsidRDefault="00502166" w:rsidP="00502166">
      <w:pPr>
        <w:pStyle w:val="a3"/>
        <w:rPr>
          <w:kern w:val="0"/>
        </w:rPr>
      </w:pPr>
      <w:r>
        <w:rPr>
          <w:kern w:val="0"/>
        </w:rPr>
        <w:t xml:space="preserve">? Liu, Q.Y., Yu, Z.B., Xiang, Y., Wu, N., Wu, L., Xu, B., Wang, L., Yang, P., Li, Y.F. and Bai, L. (2015), Prognostic and predictive significance of thymidylate synthase protein expression in non-small cell lung cancer: A systematic review and meta-analysis. </w:t>
      </w:r>
      <w:r>
        <w:rPr>
          <w:i/>
          <w:iCs/>
          <w:kern w:val="0"/>
        </w:rPr>
        <w:t>Cancer Biomarkers</w:t>
      </w:r>
      <w:r>
        <w:rPr>
          <w:kern w:val="0"/>
        </w:rPr>
        <w:t xml:space="preserve">, </w:t>
      </w:r>
      <w:r>
        <w:rPr>
          <w:b/>
          <w:bCs/>
          <w:kern w:val="0"/>
        </w:rPr>
        <w:t>15</w:t>
      </w:r>
      <w:r>
        <w:rPr>
          <w:kern w:val="0"/>
        </w:rPr>
        <w:t xml:space="preserve"> (1), 65-78.</w:t>
      </w:r>
    </w:p>
    <w:p w:rsidR="00502166" w:rsidRDefault="00502166" w:rsidP="00502166">
      <w:pPr>
        <w:pStyle w:val="a3"/>
        <w:rPr>
          <w:kern w:val="0"/>
          <w:szCs w:val="24"/>
        </w:rPr>
      </w:pPr>
      <w:r>
        <w:rPr>
          <w:rFonts w:hint="eastAsia"/>
          <w:kern w:val="0"/>
          <w:szCs w:val="24"/>
        </w:rPr>
        <w:t xml:space="preserve">Full Text: </w:t>
      </w:r>
      <w:hyperlink r:id="rId114" w:history="1">
        <w:r w:rsidRPr="00502166">
          <w:rPr>
            <w:rStyle w:val="a5"/>
            <w:kern w:val="0"/>
            <w:szCs w:val="24"/>
          </w:rPr>
          <w:t>201</w:t>
        </w:r>
        <w:r w:rsidRPr="00502166">
          <w:rPr>
            <w:rStyle w:val="a5"/>
            <w:rFonts w:hint="eastAsia"/>
            <w:kern w:val="0"/>
            <w:szCs w:val="24"/>
          </w:rPr>
          <w:t>5</w:t>
        </w:r>
        <w:r w:rsidRPr="00502166">
          <w:rPr>
            <w:rStyle w:val="a5"/>
            <w:kern w:val="0"/>
            <w:szCs w:val="24"/>
          </w:rPr>
          <w:t>\Can Bio1</w:t>
        </w:r>
        <w:r w:rsidRPr="00502166">
          <w:rPr>
            <w:rStyle w:val="a5"/>
            <w:rFonts w:hint="eastAsia"/>
            <w:kern w:val="0"/>
            <w:szCs w:val="24"/>
          </w:rPr>
          <w:t>5</w:t>
        </w:r>
        <w:r w:rsidRPr="00502166">
          <w:rPr>
            <w:rStyle w:val="a5"/>
            <w:kern w:val="0"/>
            <w:szCs w:val="24"/>
          </w:rPr>
          <w:t xml:space="preserve">, </w:t>
        </w:r>
        <w:r w:rsidRPr="00502166">
          <w:rPr>
            <w:rStyle w:val="a5"/>
            <w:rFonts w:hint="eastAsia"/>
            <w:kern w:val="0"/>
          </w:rPr>
          <w:t>65</w:t>
        </w:r>
        <w:r w:rsidRPr="00502166">
          <w:rPr>
            <w:rStyle w:val="a5"/>
            <w:kern w:val="0"/>
            <w:szCs w:val="24"/>
          </w:rPr>
          <w:t>.pdf</w:t>
        </w:r>
      </w:hyperlink>
    </w:p>
    <w:p w:rsidR="00502166" w:rsidRDefault="00502166" w:rsidP="00502166">
      <w:pPr>
        <w:pStyle w:val="a3"/>
        <w:rPr>
          <w:kern w:val="0"/>
        </w:rPr>
      </w:pPr>
      <w:r>
        <w:rPr>
          <w:kern w:val="0"/>
        </w:rPr>
        <w:t xml:space="preserve">Abstract: BACKGROUND: It remains controversial whether thymidylate synthase (TS) protein expression is associated with survival for patients with non-small cell lung cancer (NSCLC). OBJECTIVE: To evaluate prognostic and predictive significance of tumor TS protein level in NSCLC. METHODS: Electronic searches were performed for relevant studies in PubMed, EMBASE, Web of Science, and Chinese Biomedical Literature Database. Hazard ratios (HRs) for overall survival (OS) and progression-free survival (PFS) were pooled for meta-analysis. Subgroup and sensitivity analyses were performed. Publication bias was evaluated by funnel plot and Begg’s test. RESULTS: Twenty-four studies, including 2280 patients, were eligible. This analysis showed that patients with low TS expression had statistically significantly longer OS and PFS than those with high TS (HR = 0.51 and HR = 0.49, respectively). Based on TS-targeted drug use status, TS expression was significantly </w:t>
      </w:r>
      <w:r>
        <w:rPr>
          <w:kern w:val="0"/>
        </w:rPr>
        <w:lastRenderedPageBreak/>
        <w:t>associated with OS in pemetrexed (HR = 0.42) and 5-Fluorouracil subgroups (HR = 0.34), but not in no TS-targeted drug subgroup. There were similar results for PFS analyses. Sensitivity analysis indicated that the results were robust. Begg’s test did not reveal any publication bias. CONCLUSION: Low TS protein expression is a favorable predictive factor for better OS/PFS in NSCLC patients treated with TS-targeted drugs. Prognostic value of TS protein expression needs further validation.</w:t>
      </w:r>
    </w:p>
    <w:p w:rsidR="00502166" w:rsidRDefault="00502166" w:rsidP="00502166">
      <w:pPr>
        <w:pStyle w:val="a3"/>
        <w:rPr>
          <w:kern w:val="0"/>
        </w:rPr>
      </w:pPr>
      <w:r>
        <w:rPr>
          <w:kern w:val="0"/>
        </w:rPr>
        <w:t>Keywords: Adenocarcinoma, Analyses, Analysis, Antifolate, Background, Bias, Biomedical, Cancer, Cell, Chinese, Correlate, Database, Dihydropyrimidine Dehydrogenase, Drug, Drug Use, Drugs, Embase, Expression, Gene Copy Number, Literature, Lung, Lung Cancer, Meta Analysis, Meta-Analysis, Metaanalysis, Methods, Needs, Non-Small Cell Lung Cancer, Nsclc, Overall Survival, Patients, Pemetrexed-Based Chemotherapy, Phase-Ii, Predictive, Predictive Factor, Prognosis, Prognostic, Prognostic Value, Protein, Publication, Publication Bias, Pubmed, Rectal-Cancer, Review, Science, Sensitivity, Sensitivity Analysis, Significance, Survival, Systematic, Systematic Review, Thymidylate Synthase, Ts, Tumor, Validation, Value, Web, Web Of Science</w:t>
      </w:r>
    </w:p>
    <w:p w:rsidR="00CA00C8" w:rsidRPr="00C73C58" w:rsidRDefault="00CA00C8" w:rsidP="00CA00C8">
      <w:pPr>
        <w:pStyle w:val="1"/>
      </w:pPr>
      <w:r w:rsidRPr="00C73C58">
        <w:br w:type="page"/>
      </w:r>
      <w:bookmarkStart w:id="63" w:name="_Toc420814896"/>
      <w:r w:rsidRPr="00C73C58">
        <w:lastRenderedPageBreak/>
        <w:t xml:space="preserve">Title: </w:t>
      </w:r>
      <w:r w:rsidR="00795FC7" w:rsidRPr="00795FC7">
        <w:t>Cancer Biotherapy and Radiopharmaceuticals</w:t>
      </w:r>
      <w:bookmarkEnd w:id="63"/>
    </w:p>
    <w:p w:rsidR="00CA00C8" w:rsidRPr="00C73C58" w:rsidRDefault="00CA00C8" w:rsidP="00CA00C8">
      <w:pPr>
        <w:pStyle w:val="12"/>
        <w:rPr>
          <w:b/>
        </w:rPr>
      </w:pPr>
      <w:r w:rsidRPr="00C73C58">
        <w:t xml:space="preserve">Full Journal Title: </w:t>
      </w:r>
      <w:r w:rsidR="00795FC7" w:rsidRPr="00795FC7">
        <w:rPr>
          <w:iCs/>
          <w:kern w:val="0"/>
        </w:rPr>
        <w:t>Cancer Biotherapy and Radiopharmaceuticals</w:t>
      </w:r>
    </w:p>
    <w:p w:rsidR="00CA00C8" w:rsidRPr="00C73C58" w:rsidRDefault="00CA00C8" w:rsidP="00CA00C8">
      <w:pPr>
        <w:pStyle w:val="12"/>
      </w:pPr>
      <w:r w:rsidRPr="00C73C58">
        <w:t xml:space="preserve">ISO Abbreviated Title: </w:t>
      </w:r>
    </w:p>
    <w:p w:rsidR="00CA00C8" w:rsidRPr="00C73C58" w:rsidRDefault="00CA00C8" w:rsidP="00CA00C8">
      <w:pPr>
        <w:pStyle w:val="12"/>
      </w:pPr>
      <w:r w:rsidRPr="00C73C58">
        <w:t xml:space="preserve">JCR Abbreviated Title: </w:t>
      </w:r>
    </w:p>
    <w:p w:rsidR="00CA00C8" w:rsidRPr="00C73C58" w:rsidRDefault="00CA00C8" w:rsidP="00CA00C8">
      <w:pPr>
        <w:pStyle w:val="12"/>
      </w:pPr>
      <w:r w:rsidRPr="00C73C58">
        <w:t xml:space="preserve">ISSN: </w:t>
      </w:r>
    </w:p>
    <w:p w:rsidR="00CA00C8" w:rsidRPr="00C73C58" w:rsidRDefault="00CA00C8" w:rsidP="00CA00C8">
      <w:pPr>
        <w:pStyle w:val="12"/>
      </w:pPr>
      <w:r w:rsidRPr="00C73C58">
        <w:t xml:space="preserve">Issues/Year: </w:t>
      </w:r>
    </w:p>
    <w:p w:rsidR="00CA00C8" w:rsidRPr="00C73C58" w:rsidRDefault="00CA00C8" w:rsidP="00CA00C8">
      <w:pPr>
        <w:pStyle w:val="12"/>
      </w:pPr>
      <w:r w:rsidRPr="00C73C58">
        <w:t xml:space="preserve">Journal Country/Territory: </w:t>
      </w:r>
    </w:p>
    <w:p w:rsidR="00CA00C8" w:rsidRPr="00C73C58" w:rsidRDefault="00CA00C8" w:rsidP="00CA00C8">
      <w:pPr>
        <w:pStyle w:val="12"/>
      </w:pPr>
      <w:r w:rsidRPr="00C73C58">
        <w:t xml:space="preserve">Language: </w:t>
      </w:r>
    </w:p>
    <w:p w:rsidR="00CA00C8" w:rsidRPr="00C73C58" w:rsidRDefault="00CA00C8" w:rsidP="00CA00C8">
      <w:pPr>
        <w:pStyle w:val="12"/>
      </w:pPr>
      <w:r w:rsidRPr="00C73C58">
        <w:t xml:space="preserve">Publisher: </w:t>
      </w:r>
    </w:p>
    <w:p w:rsidR="00CA00C8" w:rsidRPr="00C73C58" w:rsidRDefault="00CA00C8" w:rsidP="00CA00C8">
      <w:pPr>
        <w:pStyle w:val="12"/>
      </w:pPr>
      <w:r w:rsidRPr="00C73C58">
        <w:t xml:space="preserve">Publisher Address: </w:t>
      </w:r>
    </w:p>
    <w:p w:rsidR="00CA00C8" w:rsidRPr="00C73C58" w:rsidRDefault="00CA00C8" w:rsidP="00CA00C8">
      <w:pPr>
        <w:pStyle w:val="12"/>
      </w:pPr>
      <w:r w:rsidRPr="00C73C58">
        <w:t xml:space="preserve">Subject Categories: </w:t>
      </w:r>
    </w:p>
    <w:p w:rsidR="00CA00C8" w:rsidRPr="00C73C58" w:rsidRDefault="00CA00C8" w:rsidP="00CA00C8">
      <w:pPr>
        <w:pStyle w:val="12"/>
      </w:pPr>
      <w:r w:rsidRPr="00C73C58">
        <w:t xml:space="preserve">: Impact Factor </w:t>
      </w:r>
    </w:p>
    <w:p w:rsidR="00CA00C8" w:rsidRDefault="00CA00C8" w:rsidP="00CA00C8">
      <w:pPr>
        <w:pStyle w:val="a3"/>
        <w:rPr>
          <w:kern w:val="0"/>
        </w:rPr>
      </w:pPr>
      <w:r>
        <w:rPr>
          <w:kern w:val="0"/>
        </w:rPr>
        <w:t xml:space="preserve">? Wang, H.L., Zhou, P.Y., Zhang, Y. and Liu, P. (2014), Relationships between abnormal MMP2 expression and prognosis in gastric cancer: A meta-analysis of cohort studies. </w:t>
      </w:r>
      <w:r w:rsidRPr="00795FC7">
        <w:rPr>
          <w:i/>
          <w:iCs/>
          <w:kern w:val="0"/>
        </w:rPr>
        <w:t>Cancer Biotherapy and Radiopharmaceuticals</w:t>
      </w:r>
      <w:r>
        <w:rPr>
          <w:kern w:val="0"/>
        </w:rPr>
        <w:t xml:space="preserve">, </w:t>
      </w:r>
      <w:r>
        <w:rPr>
          <w:b/>
          <w:bCs/>
          <w:kern w:val="0"/>
        </w:rPr>
        <w:t>29</w:t>
      </w:r>
      <w:r>
        <w:rPr>
          <w:kern w:val="0"/>
        </w:rPr>
        <w:t xml:space="preserve"> (4), 166-172.</w:t>
      </w:r>
    </w:p>
    <w:p w:rsidR="00CA00C8" w:rsidRDefault="00CA00C8" w:rsidP="00CA00C8">
      <w:pPr>
        <w:pStyle w:val="a3"/>
        <w:rPr>
          <w:kern w:val="0"/>
        </w:rPr>
      </w:pPr>
      <w:r>
        <w:rPr>
          <w:kern w:val="0"/>
        </w:rPr>
        <w:t>Abstract: We carried out this current meta-analysis of relevant cohort studies in an attempt to investigate the relationships between abnormal matrix metalloproteinases-2 (MMP2) expression and gastric cancer (GC) prognosis. A range of electronic databases were searched for relevant articles without any language restrictions: Web of Science (1945-2013), the Cochrane Library Database (Issue 12, 2013), PubMed (1966-2013), EMBASE (1980-2013), CINAHL (1982-2013), and the Chinese Biomedical Database (CBM) (1982-2013). Meta-analysis was conducted using the STATA 12.0 software. Crude hazard ratios (HRs), with 95% confidence intervals (95% CIs), were calculated. Ten clinical cohort studies with a total of 1669 GC patients were included in this meta-analysis</w:t>
      </w:r>
      <w:r w:rsidR="00A37C1D">
        <w:rPr>
          <w:kern w:val="0"/>
        </w:rPr>
        <w:t>. The</w:t>
      </w:r>
      <w:r>
        <w:rPr>
          <w:kern w:val="0"/>
        </w:rPr>
        <w:t xml:space="preserve"> results of our meta-analysis suggested that MMP2-positive patients display a shorter overall survival (OS) than MMP2-negative patients (HR=1.31, 95% CI=0.98-1.63, p&lt;0.001). Subgroup analysis based on ethnicity revealed that abnormal MMP2 expression was associated with significantly worse OS in patients with GC among both Caucasian and Asian populations (all p&lt;0.05). Our meta-analysis indicated that abnormal MMP2 expression may be strongly correlated with poor prognosis in patients with GC. Thus, MMP2 expression may serve as an independent prognostic factor for GC.</w:t>
      </w:r>
    </w:p>
    <w:p w:rsidR="00CA00C8" w:rsidRDefault="00CA00C8" w:rsidP="00CA00C8">
      <w:pPr>
        <w:pStyle w:val="a3"/>
        <w:rPr>
          <w:kern w:val="0"/>
        </w:rPr>
      </w:pPr>
      <w:r>
        <w:rPr>
          <w:kern w:val="0"/>
        </w:rPr>
        <w:t xml:space="preserve">Keywords: America, Analysis, Articles, Asian, Biomedical, Cancer, Caucasian, Chinese, Clinical, Cohort, Confidence, Confidence Intervals, Database, Databases, Embase, Ethnicity, Expression, Gastric, Gastric Cancer, Hazard, Inhibitor Timp-2, Intervals, Invasion, Language, Matrix, Matrix Metalloproteinase-2, Matrix Metalloproteinases-2, Meta Analysis, Meta-Analysis, Metaanalysis, Patients, Poor </w:t>
      </w:r>
      <w:r>
        <w:rPr>
          <w:kern w:val="0"/>
        </w:rPr>
        <w:lastRenderedPageBreak/>
        <w:t>Survival, Populations, Prognosis, Prognostic, Prognostic Factor, Pubmed, Restrictions, Science, Serum-Levels, Software, Survival, Tumor Progression, Web Of Science</w:t>
      </w:r>
    </w:p>
    <w:p w:rsidR="003474F2" w:rsidRPr="001A3D2B" w:rsidRDefault="003474F2" w:rsidP="003474F2">
      <w:pPr>
        <w:pStyle w:val="1"/>
      </w:pPr>
      <w:r w:rsidRPr="001A3D2B">
        <w:br w:type="page"/>
      </w:r>
      <w:bookmarkStart w:id="64" w:name="_Toc420814897"/>
      <w:r w:rsidRPr="001A3D2B">
        <w:lastRenderedPageBreak/>
        <w:t>Title: Cancer Causes &amp; Control</w:t>
      </w:r>
      <w:bookmarkEnd w:id="64"/>
    </w:p>
    <w:p w:rsidR="003474F2" w:rsidRPr="001A3D2B" w:rsidRDefault="003474F2" w:rsidP="003474F2">
      <w:pPr>
        <w:pStyle w:val="12"/>
      </w:pPr>
      <w:r w:rsidRPr="001A3D2B">
        <w:t>Full Journal Ti</w:t>
      </w:r>
      <w:bookmarkStart w:id="65" w:name="_Toc490644664"/>
      <w:bookmarkStart w:id="66" w:name="_Toc490687755"/>
      <w:bookmarkStart w:id="67" w:name="_Toc492779379"/>
      <w:bookmarkStart w:id="68" w:name="_Toc63698046"/>
      <w:bookmarkStart w:id="69" w:name="_Toc81215658"/>
      <w:r w:rsidRPr="001A3D2B">
        <w:t xml:space="preserve">tle: </w:t>
      </w:r>
      <w:r w:rsidR="00DF61FE">
        <w:fldChar w:fldCharType="begin"/>
      </w:r>
      <w:r w:rsidR="00FD158B">
        <w:instrText>HYPERLINK "http://www.sp</w:instrText>
      </w:r>
      <w:bookmarkEnd w:id="65"/>
      <w:bookmarkEnd w:id="66"/>
      <w:bookmarkEnd w:id="67"/>
      <w:bookmarkEnd w:id="68"/>
      <w:bookmarkEnd w:id="69"/>
      <w:r w:rsidR="00FD158B">
        <w:instrText>ringerlink.com/app/home/journal.asp?wasp=ede3d109da9043a0819a1bd09dbebd9e&amp;referrer=parent&amp;backto=linkingpublicationresults,1:100150,1"</w:instrText>
      </w:r>
      <w:r w:rsidR="00DF61FE">
        <w:fldChar w:fldCharType="separate"/>
      </w:r>
      <w:r w:rsidRPr="001A3D2B">
        <w:rPr>
          <w:rStyle w:val="a5"/>
        </w:rPr>
        <w:t>Cancer Causes &amp; Control</w:t>
      </w:r>
      <w:r w:rsidR="00DF61FE">
        <w:fldChar w:fldCharType="end"/>
      </w:r>
    </w:p>
    <w:p w:rsidR="003474F2" w:rsidRPr="001A3D2B" w:rsidRDefault="003474F2" w:rsidP="003474F2">
      <w:pPr>
        <w:pStyle w:val="12"/>
      </w:pPr>
      <w:r w:rsidRPr="001A3D2B">
        <w:t>ISO Abbreviated Title: Cancer Causes Control</w:t>
      </w:r>
    </w:p>
    <w:p w:rsidR="003474F2" w:rsidRPr="001A3D2B" w:rsidRDefault="003474F2" w:rsidP="003474F2">
      <w:pPr>
        <w:pStyle w:val="12"/>
      </w:pPr>
      <w:r w:rsidRPr="001A3D2B">
        <w:t>JCR Abbreviated Title: Cancer Cause Control</w:t>
      </w:r>
    </w:p>
    <w:p w:rsidR="003474F2" w:rsidRPr="001A3D2B" w:rsidRDefault="003474F2" w:rsidP="003474F2">
      <w:pPr>
        <w:pStyle w:val="12"/>
      </w:pPr>
      <w:r w:rsidRPr="001A3D2B">
        <w:t>ISSN: 0957-5243</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Netherlands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Kluwer Academic Publ</w:t>
      </w:r>
    </w:p>
    <w:p w:rsidR="003474F2" w:rsidRPr="001A3D2B" w:rsidRDefault="003474F2" w:rsidP="003474F2">
      <w:pPr>
        <w:pStyle w:val="12"/>
      </w:pPr>
      <w:r w:rsidRPr="001A3D2B">
        <w:t xml:space="preserve">Publisher Address: Spuiboulevard 50, </w:t>
      </w:r>
      <w:smartTag w:uri="urn:schemas-microsoft-com:office:smarttags" w:element="address">
        <w:smartTag w:uri="urn:schemas-microsoft-com:office:smarttags" w:element="Street">
          <w:r w:rsidRPr="001A3D2B">
            <w:t>PO Box</w:t>
          </w:r>
        </w:smartTag>
        <w:r w:rsidRPr="001A3D2B">
          <w:t xml:space="preserve"> 17</w:t>
        </w:r>
      </w:smartTag>
      <w:r w:rsidRPr="001A3D2B">
        <w:t xml:space="preserve">, 3300 AA </w:t>
      </w:r>
      <w:smartTag w:uri="urn:schemas-microsoft-com:office:smarttags" w:element="place">
        <w:smartTag w:uri="urn:schemas-microsoft-com:office:smarttags" w:element="City">
          <w:r w:rsidRPr="001A3D2B">
            <w:t>Dordrecht</w:t>
          </w:r>
        </w:smartTag>
        <w:r w:rsidRPr="001A3D2B">
          <w:t xml:space="preserve">, </w:t>
        </w:r>
        <w:smartTag w:uri="urn:schemas-microsoft-com:office:smarttags" w:element="country-region">
          <w:r w:rsidRPr="001A3D2B">
            <w:t>Netherlands</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Oncology: Impact Factor, 2.896, 33/114 (2002)</w:t>
      </w:r>
    </w:p>
    <w:p w:rsidR="003474F2" w:rsidRPr="001A3D2B" w:rsidRDefault="003474F2" w:rsidP="003474F2">
      <w:pPr>
        <w:pStyle w:val="12"/>
      </w:pPr>
      <w:r w:rsidRPr="001A3D2B">
        <w:t>Public, Environmental &amp; Occupational Health: Impact Factor, 3.044, 5/85</w:t>
      </w:r>
    </w:p>
    <w:p w:rsidR="003474F2" w:rsidRPr="001A3D2B" w:rsidRDefault="003474F2" w:rsidP="003474F2">
      <w:pPr>
        <w:pStyle w:val="a3"/>
      </w:pPr>
      <w:r w:rsidRPr="001A3D2B">
        <w:t>Notes: JJournal</w:t>
      </w:r>
    </w:p>
    <w:p w:rsidR="003474F2" w:rsidRPr="001A3D2B" w:rsidRDefault="003474F2" w:rsidP="003474F2">
      <w:pPr>
        <w:pStyle w:val="a3"/>
      </w:pPr>
      <w:r w:rsidRPr="001A3D2B">
        <w:t>Colditz, G.A. (1999), Year 2000 Cancer mortality falls in</w:t>
      </w:r>
      <w:r w:rsidR="003A1917">
        <w:t xml:space="preserve"> the </w:t>
      </w:r>
      <w:r w:rsidRPr="001A3D2B">
        <w:t>United States Science Citation Index rises for</w:t>
      </w:r>
      <w:r w:rsidR="003A1917">
        <w:t xml:space="preserve"> the </w:t>
      </w:r>
      <w:r w:rsidRPr="001A3D2B">
        <w:t xml:space="preserve">journal </w:t>
      </w:r>
      <w:r w:rsidRPr="001A3D2B">
        <w:rPr>
          <w:i/>
        </w:rPr>
        <w:t>Cancer Causes</w:t>
      </w:r>
      <w:r w:rsidR="005853A9">
        <w:rPr>
          <w:i/>
        </w:rPr>
        <w:t xml:space="preserve"> and </w:t>
      </w:r>
      <w:r w:rsidRPr="001A3D2B">
        <w:rPr>
          <w:i/>
        </w:rPr>
        <w:t>Control</w:t>
      </w:r>
      <w:r w:rsidRPr="001A3D2B">
        <w:t xml:space="preserve"> increases circulation. </w:t>
      </w:r>
      <w:r w:rsidRPr="001A3D2B">
        <w:rPr>
          <w:i/>
        </w:rPr>
        <w:t>Cancer Causes &amp; Control</w:t>
      </w:r>
      <w:r w:rsidRPr="001A3D2B">
        <w:t xml:space="preserve">, </w:t>
      </w:r>
      <w:r w:rsidRPr="001A3D2B">
        <w:rPr>
          <w:b/>
        </w:rPr>
        <w:t>10</w:t>
      </w:r>
      <w:r w:rsidRPr="001A3D2B">
        <w:t xml:space="preserve"> (6), 483.</w:t>
      </w:r>
    </w:p>
    <w:p w:rsidR="003474F2" w:rsidRPr="001A3D2B" w:rsidRDefault="003474F2" w:rsidP="003474F2">
      <w:pPr>
        <w:pStyle w:val="a3"/>
      </w:pPr>
      <w:r w:rsidRPr="001A3D2B">
        <w:t xml:space="preserve">Full Text: </w:t>
      </w:r>
      <w:hyperlink r:id="rId115" w:history="1">
        <w:r w:rsidRPr="001A3D2B">
          <w:rPr>
            <w:rStyle w:val="a5"/>
          </w:rPr>
          <w:t>1999\Can Cau Con10, 483.pdf</w:t>
        </w:r>
      </w:hyperlink>
    </w:p>
    <w:p w:rsidR="003474F2" w:rsidRPr="001A3D2B" w:rsidRDefault="003474F2" w:rsidP="003474F2">
      <w:pPr>
        <w:pStyle w:val="a3"/>
      </w:pPr>
      <w:r w:rsidRPr="001A3D2B">
        <w:t>Keywords: Citation, Control, Journal, Mortality, Science Citation Index, United States</w:t>
      </w:r>
    </w:p>
    <w:p w:rsidR="002C12F0" w:rsidRDefault="002C12F0" w:rsidP="002C12F0">
      <w:pPr>
        <w:pStyle w:val="a3"/>
        <w:rPr>
          <w:kern w:val="0"/>
        </w:rPr>
      </w:pPr>
      <w:r>
        <w:rPr>
          <w:rFonts w:hint="eastAsia"/>
          <w:kern w:val="0"/>
        </w:rPr>
        <w:t xml:space="preserve">? </w:t>
      </w:r>
      <w:r>
        <w:rPr>
          <w:kern w:val="0"/>
        </w:rPr>
        <w:t>Ladeiras-Lopes, R., Pereira, A.K., Nogueira, A., Pinheiro-Torres, T., Pinto, I., Santos-Pereira, R.</w:t>
      </w:r>
      <w:r w:rsidR="005853A9">
        <w:rPr>
          <w:kern w:val="0"/>
        </w:rPr>
        <w:t xml:space="preserve"> and </w:t>
      </w:r>
      <w:r>
        <w:rPr>
          <w:kern w:val="0"/>
        </w:rPr>
        <w:t>Lunet, N. (2008), Smoking</w:t>
      </w:r>
      <w:r w:rsidR="005853A9">
        <w:rPr>
          <w:kern w:val="0"/>
        </w:rPr>
        <w:t xml:space="preserve"> and </w:t>
      </w:r>
      <w:r>
        <w:rPr>
          <w:kern w:val="0"/>
        </w:rPr>
        <w:t>gastric cancer: Systematic review</w:t>
      </w:r>
      <w:r w:rsidR="005853A9">
        <w:rPr>
          <w:kern w:val="0"/>
        </w:rPr>
        <w:t xml:space="preserve"> and </w:t>
      </w:r>
      <w:r>
        <w:rPr>
          <w:kern w:val="0"/>
        </w:rPr>
        <w:t>meta-analysis</w:t>
      </w:r>
      <w:r w:rsidR="00427468">
        <w:rPr>
          <w:kern w:val="0"/>
        </w:rPr>
        <w:t xml:space="preserve"> of </w:t>
      </w:r>
      <w:r>
        <w:rPr>
          <w:kern w:val="0"/>
        </w:rPr>
        <w:t xml:space="preserve">cohort studies. </w:t>
      </w:r>
      <w:r>
        <w:rPr>
          <w:i/>
          <w:iCs/>
          <w:kern w:val="0"/>
        </w:rPr>
        <w:t>Cancer Causes &amp; Control</w:t>
      </w:r>
      <w:r>
        <w:rPr>
          <w:kern w:val="0"/>
        </w:rPr>
        <w:t xml:space="preserve">, </w:t>
      </w:r>
      <w:r>
        <w:rPr>
          <w:b/>
          <w:bCs/>
          <w:kern w:val="0"/>
        </w:rPr>
        <w:t>19</w:t>
      </w:r>
      <w:r>
        <w:rPr>
          <w:kern w:val="0"/>
        </w:rPr>
        <w:t xml:space="preserve"> (7), 689-701.</w:t>
      </w:r>
    </w:p>
    <w:p w:rsidR="006D629A" w:rsidRPr="00C73C58" w:rsidRDefault="006D629A" w:rsidP="006D629A">
      <w:pPr>
        <w:pStyle w:val="a3"/>
      </w:pPr>
      <w:r w:rsidRPr="00C73C58">
        <w:t xml:space="preserve">Full Text: </w:t>
      </w:r>
      <w:hyperlink r:id="rId116" w:history="1">
        <w:r w:rsidRPr="007B5EC4">
          <w:rPr>
            <w:rStyle w:val="a5"/>
          </w:rPr>
          <w:t>2008\Can Cau Con19, 689.pdf</w:t>
        </w:r>
      </w:hyperlink>
    </w:p>
    <w:p w:rsidR="002C12F0" w:rsidRDefault="002C12F0" w:rsidP="002C12F0">
      <w:pPr>
        <w:pStyle w:val="a3"/>
        <w:rPr>
          <w:kern w:val="0"/>
        </w:rPr>
      </w:pPr>
      <w:r>
        <w:rPr>
          <w:kern w:val="0"/>
        </w:rPr>
        <w:t>Abstract: Objective We conducted a systematic review</w:t>
      </w:r>
      <w:r w:rsidR="00427468">
        <w:rPr>
          <w:kern w:val="0"/>
        </w:rPr>
        <w:t xml:space="preserve"> of </w:t>
      </w:r>
      <w:r>
        <w:rPr>
          <w:kern w:val="0"/>
        </w:rPr>
        <w:t>studies addressing</w:t>
      </w:r>
      <w:r w:rsidR="003A1917">
        <w:rPr>
          <w:kern w:val="0"/>
        </w:rPr>
        <w:t xml:space="preserve"> the </w:t>
      </w:r>
      <w:r>
        <w:rPr>
          <w:kern w:val="0"/>
        </w:rPr>
        <w:t>relation between cigarette smoking</w:t>
      </w:r>
      <w:r w:rsidR="005853A9">
        <w:rPr>
          <w:kern w:val="0"/>
        </w:rPr>
        <w:t xml:space="preserve"> and </w:t>
      </w:r>
      <w:r>
        <w:rPr>
          <w:kern w:val="0"/>
        </w:rPr>
        <w:t>gastric cancer to estimate</w:t>
      </w:r>
      <w:r w:rsidR="003A1917">
        <w:rPr>
          <w:kern w:val="0"/>
        </w:rPr>
        <w:t xml:space="preserve"> the </w:t>
      </w:r>
      <w:r>
        <w:rPr>
          <w:kern w:val="0"/>
        </w:rPr>
        <w:t>magnitude</w:t>
      </w:r>
      <w:r w:rsidR="00427468">
        <w:rPr>
          <w:kern w:val="0"/>
        </w:rPr>
        <w:t xml:space="preserve"> of </w:t>
      </w:r>
      <w:r w:rsidR="003A1917">
        <w:rPr>
          <w:kern w:val="0"/>
        </w:rPr>
        <w:t xml:space="preserve">the </w:t>
      </w:r>
      <w:r>
        <w:rPr>
          <w:kern w:val="0"/>
        </w:rPr>
        <w:t>association for different levels</w:t>
      </w:r>
      <w:r w:rsidR="00427468">
        <w:rPr>
          <w:kern w:val="0"/>
        </w:rPr>
        <w:t xml:space="preserve"> of </w:t>
      </w:r>
      <w:r>
        <w:rPr>
          <w:kern w:val="0"/>
        </w:rPr>
        <w:t>exposure</w:t>
      </w:r>
      <w:r w:rsidR="005853A9">
        <w:rPr>
          <w:kern w:val="0"/>
        </w:rPr>
        <w:t xml:space="preserve"> and </w:t>
      </w:r>
      <w:r>
        <w:rPr>
          <w:kern w:val="0"/>
        </w:rPr>
        <w:t>cancer locations. Methods Published cohort, case-cohort,</w:t>
      </w:r>
      <w:r w:rsidR="005853A9">
        <w:rPr>
          <w:kern w:val="0"/>
        </w:rPr>
        <w:t xml:space="preserve"> and </w:t>
      </w:r>
      <w:r>
        <w:rPr>
          <w:kern w:val="0"/>
        </w:rPr>
        <w:t>nested case-control studies were identified through PUBMED,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searches, from inception to July 2007. Relative risk (RR) estimates referring to</w:t>
      </w:r>
      <w:r w:rsidR="003A1917">
        <w:rPr>
          <w:kern w:val="0"/>
        </w:rPr>
        <w:t xml:space="preserve"> the </w:t>
      </w:r>
      <w:r>
        <w:rPr>
          <w:kern w:val="0"/>
        </w:rPr>
        <w:t>comparison</w:t>
      </w:r>
      <w:r w:rsidR="00427468">
        <w:rPr>
          <w:kern w:val="0"/>
        </w:rPr>
        <w:t xml:space="preserve"> of </w:t>
      </w:r>
      <w:r>
        <w:rPr>
          <w:kern w:val="0"/>
        </w:rPr>
        <w:t>two categories</w:t>
      </w:r>
      <w:r w:rsidR="00427468">
        <w:rPr>
          <w:kern w:val="0"/>
        </w:rPr>
        <w:t xml:space="preserve"> of </w:t>
      </w:r>
      <w:r>
        <w:rPr>
          <w:kern w:val="0"/>
        </w:rPr>
        <w:t>exposure (e.g., current smokers vs. never smokers) were combined using a random effects model. Generalized least squares regression was used for trend estimation. Heterogeneity was quantified using</w:t>
      </w:r>
      <w:r w:rsidR="003A1917">
        <w:rPr>
          <w:kern w:val="0"/>
        </w:rPr>
        <w:t xml:space="preserve"> the </w:t>
      </w:r>
      <w:r>
        <w:rPr>
          <w:kern w:val="0"/>
        </w:rPr>
        <w:t>I-2 statistic. Results Forty-two articles were considered for</w:t>
      </w:r>
      <w:r w:rsidR="003A1917">
        <w:rPr>
          <w:kern w:val="0"/>
        </w:rPr>
        <w:t xml:space="preserve"> the </w:t>
      </w:r>
      <w:r>
        <w:rPr>
          <w:kern w:val="0"/>
        </w:rPr>
        <w:t>systematic review. Comparing current smokers with never smokers:</w:t>
      </w:r>
      <w:r w:rsidR="003A1917">
        <w:rPr>
          <w:kern w:val="0"/>
        </w:rPr>
        <w:t xml:space="preserve"> the </w:t>
      </w:r>
      <w:r>
        <w:rPr>
          <w:kern w:val="0"/>
        </w:rPr>
        <w:t>summary RR estimates were 1.62 in males (95% CI: 1.50-1.75; I-2 = 46.0%; 18 studies)</w:t>
      </w:r>
      <w:r w:rsidR="005853A9">
        <w:rPr>
          <w:kern w:val="0"/>
        </w:rPr>
        <w:t xml:space="preserve"> and </w:t>
      </w:r>
      <w:r>
        <w:rPr>
          <w:kern w:val="0"/>
        </w:rPr>
        <w:t>1.20 in females (95% CI: 1.01-1.43; I-2 = 49.8%; nine studies);</w:t>
      </w:r>
      <w:r w:rsidR="003A1917">
        <w:rPr>
          <w:kern w:val="0"/>
        </w:rPr>
        <w:t xml:space="preserve"> the </w:t>
      </w:r>
      <w:r>
        <w:rPr>
          <w:kern w:val="0"/>
        </w:rPr>
        <w:t>RR increased from 1.3 for</w:t>
      </w:r>
      <w:r w:rsidR="003A1917">
        <w:rPr>
          <w:kern w:val="0"/>
        </w:rPr>
        <w:t xml:space="preserve"> the </w:t>
      </w:r>
      <w:r>
        <w:rPr>
          <w:kern w:val="0"/>
        </w:rPr>
        <w:t>lowest consumptions to 1.7 for</w:t>
      </w:r>
      <w:r w:rsidR="003A1917">
        <w:rPr>
          <w:kern w:val="0"/>
        </w:rPr>
        <w:t xml:space="preserve"> the </w:t>
      </w:r>
      <w:r>
        <w:rPr>
          <w:kern w:val="0"/>
        </w:rPr>
        <w:lastRenderedPageBreak/>
        <w:t>smoking</w:t>
      </w:r>
      <w:r w:rsidR="00427468">
        <w:rPr>
          <w:kern w:val="0"/>
        </w:rPr>
        <w:t xml:space="preserve"> of </w:t>
      </w:r>
      <w:r>
        <w:rPr>
          <w:kern w:val="0"/>
        </w:rPr>
        <w:t>approximately 30 cigarettes per day in</w:t>
      </w:r>
      <w:r w:rsidR="003A1917">
        <w:rPr>
          <w:kern w:val="0"/>
        </w:rPr>
        <w:t xml:space="preserve"> the </w:t>
      </w:r>
      <w:r>
        <w:rPr>
          <w:kern w:val="0"/>
        </w:rPr>
        <w:t>trend estimation analysis; smoking was significantly associated with both cardia (RR = 1.87; 95% CI: 1.31-2.67; I-2 = 73.2%; nine studies)</w:t>
      </w:r>
      <w:r w:rsidR="005853A9">
        <w:rPr>
          <w:kern w:val="0"/>
        </w:rPr>
        <w:t xml:space="preserve"> and </w:t>
      </w:r>
      <w:r>
        <w:rPr>
          <w:kern w:val="0"/>
        </w:rPr>
        <w:t>non-cardia (RR = 1.60; 95% CI: 1.41-1.80; I-2 = 18.9%; nine studies) cancers. Conclusions Our study provides solid evidence to classify smoking as</w:t>
      </w:r>
      <w:r w:rsidR="003A1917">
        <w:rPr>
          <w:kern w:val="0"/>
        </w:rPr>
        <w:t xml:space="preserve"> the </w:t>
      </w:r>
      <w:r>
        <w:rPr>
          <w:kern w:val="0"/>
        </w:rPr>
        <w:t>most important behavioral risk factor for gastric cancer.</w:t>
      </w:r>
    </w:p>
    <w:p w:rsidR="002C12F0" w:rsidRDefault="002C12F0" w:rsidP="002C12F0">
      <w:pPr>
        <w:pStyle w:val="a3"/>
        <w:rPr>
          <w:kern w:val="0"/>
        </w:rPr>
      </w:pPr>
      <w:r>
        <w:rPr>
          <w:kern w:val="0"/>
        </w:rPr>
        <w:t xml:space="preserve">Keywords: 26-Year Follow-Up, Alcohol-Consumption, Analysis, Cancer, Case-Control Studies, Cigarette-Smoking, Cohort Studies, Gastric Cancer, Intestinal Metaplasia, Japanese Population, Male British Doctors, Meta-Analysis, Methods, Model, Nested Case-Control, PUBMED, Review, Risk, Science, Scopus, Smoking, Stomach Neoplasms, Stomach-Cancer, Systematic, Systematic Review, Tobacco Smoking, Trend, United-States Veterans, </w:t>
      </w:r>
      <w:r w:rsidR="00D5664A">
        <w:rPr>
          <w:kern w:val="0"/>
        </w:rPr>
        <w:t>Web</w:t>
      </w:r>
      <w:r w:rsidR="00427468">
        <w:rPr>
          <w:kern w:val="0"/>
        </w:rPr>
        <w:t xml:space="preserve"> of </w:t>
      </w:r>
      <w:r w:rsidR="00D5664A">
        <w:rPr>
          <w:kern w:val="0"/>
        </w:rPr>
        <w:t>Science</w:t>
      </w:r>
    </w:p>
    <w:p w:rsidR="00AE5279" w:rsidRDefault="00AE5279" w:rsidP="00AE5279">
      <w:pPr>
        <w:pStyle w:val="a3"/>
        <w:rPr>
          <w:kern w:val="0"/>
        </w:rPr>
      </w:pPr>
      <w:r>
        <w:rPr>
          <w:rFonts w:hint="eastAsia"/>
          <w:kern w:val="0"/>
        </w:rPr>
        <w:t xml:space="preserve">? </w:t>
      </w:r>
      <w:r>
        <w:rPr>
          <w:kern w:val="0"/>
        </w:rPr>
        <w:t>Moriarty, C.M., Jensen, J.D.</w:t>
      </w:r>
      <w:r w:rsidR="005853A9">
        <w:rPr>
          <w:kern w:val="0"/>
        </w:rPr>
        <w:t xml:space="preserve"> and </w:t>
      </w:r>
      <w:r>
        <w:rPr>
          <w:kern w:val="0"/>
        </w:rPr>
        <w:t xml:space="preserve">Stryker, J.E. (2010), Frequently cited sources in cancer news coverage: </w:t>
      </w:r>
      <w:r w:rsidR="002C12F0">
        <w:rPr>
          <w:kern w:val="0"/>
        </w:rPr>
        <w:t xml:space="preserve">A </w:t>
      </w:r>
      <w:r>
        <w:rPr>
          <w:kern w:val="0"/>
        </w:rPr>
        <w:t>content analysis examining</w:t>
      </w:r>
      <w:r w:rsidR="003A1917">
        <w:rPr>
          <w:kern w:val="0"/>
        </w:rPr>
        <w:t xml:space="preserve"> the </w:t>
      </w:r>
      <w:r>
        <w:rPr>
          <w:kern w:val="0"/>
        </w:rPr>
        <w:t>relationship between cancer news content</w:t>
      </w:r>
      <w:r w:rsidR="005853A9">
        <w:rPr>
          <w:kern w:val="0"/>
        </w:rPr>
        <w:t xml:space="preserve"> and </w:t>
      </w:r>
      <w:r>
        <w:rPr>
          <w:kern w:val="0"/>
        </w:rPr>
        <w:t xml:space="preserve">source citation. </w:t>
      </w:r>
      <w:r>
        <w:rPr>
          <w:i/>
          <w:iCs/>
          <w:kern w:val="0"/>
        </w:rPr>
        <w:t>Cancer Causes &amp; Control</w:t>
      </w:r>
      <w:r>
        <w:rPr>
          <w:kern w:val="0"/>
        </w:rPr>
        <w:t xml:space="preserve">, </w:t>
      </w:r>
      <w:r>
        <w:rPr>
          <w:b/>
          <w:bCs/>
          <w:kern w:val="0"/>
        </w:rPr>
        <w:t>21</w:t>
      </w:r>
      <w:r>
        <w:rPr>
          <w:kern w:val="0"/>
        </w:rPr>
        <w:t xml:space="preserve"> (1), 41-49.</w:t>
      </w:r>
    </w:p>
    <w:p w:rsidR="00AE5279" w:rsidRPr="00C73C58" w:rsidRDefault="00AE5279" w:rsidP="00AE5279">
      <w:pPr>
        <w:pStyle w:val="a3"/>
      </w:pPr>
      <w:r w:rsidRPr="00C73C58">
        <w:t xml:space="preserve">Full Text: </w:t>
      </w:r>
      <w:hyperlink r:id="rId117" w:history="1">
        <w:r w:rsidRPr="008723ED">
          <w:rPr>
            <w:rStyle w:val="a5"/>
          </w:rPr>
          <w:t>2010\Can Cau Con21, 41.pdf</w:t>
        </w:r>
      </w:hyperlink>
    </w:p>
    <w:p w:rsidR="00AE5279" w:rsidRDefault="00AE5279" w:rsidP="00AE5279">
      <w:pPr>
        <w:pStyle w:val="a3"/>
        <w:rPr>
          <w:kern w:val="0"/>
        </w:rPr>
      </w:pPr>
      <w:r>
        <w:rPr>
          <w:kern w:val="0"/>
        </w:rPr>
        <w:t>Abstract:</w:t>
      </w:r>
      <w:r w:rsidR="003A1917">
        <w:rPr>
          <w:kern w:val="0"/>
        </w:rPr>
        <w:t xml:space="preserve"> the </w:t>
      </w:r>
      <w:r>
        <w:rPr>
          <w:kern w:val="0"/>
        </w:rPr>
        <w:t>media are a frequent</w:t>
      </w:r>
      <w:r w:rsidR="005853A9">
        <w:rPr>
          <w:kern w:val="0"/>
        </w:rPr>
        <w:t xml:space="preserve"> and </w:t>
      </w:r>
      <w:r>
        <w:rPr>
          <w:kern w:val="0"/>
        </w:rPr>
        <w:t>sometimes sole source</w:t>
      </w:r>
      <w:r w:rsidR="00427468">
        <w:rPr>
          <w:kern w:val="0"/>
        </w:rPr>
        <w:t xml:space="preserve"> of </w:t>
      </w:r>
      <w:r>
        <w:rPr>
          <w:kern w:val="0"/>
        </w:rPr>
        <w:t>cancer information for many people. News coverage</w:t>
      </w:r>
      <w:r w:rsidR="00427468">
        <w:rPr>
          <w:kern w:val="0"/>
        </w:rPr>
        <w:t xml:space="preserve"> of </w:t>
      </w:r>
      <w:r>
        <w:rPr>
          <w:kern w:val="0"/>
        </w:rPr>
        <w:t>cancer can be influential to cancer-related practices such as prevention or detection behaviors,</w:t>
      </w:r>
      <w:r w:rsidR="005853A9">
        <w:rPr>
          <w:kern w:val="0"/>
        </w:rPr>
        <w:t xml:space="preserve"> and </w:t>
      </w:r>
      <w:r>
        <w:rPr>
          <w:kern w:val="0"/>
        </w:rPr>
        <w:t>sources cited by journalists may be influential in shaping this coverage. A content analysis (n = 3,656 stories) revealed that</w:t>
      </w:r>
      <w:r w:rsidR="003A1917">
        <w:rPr>
          <w:kern w:val="0"/>
        </w:rPr>
        <w:t xml:space="preserve"> the </w:t>
      </w:r>
      <w:r>
        <w:rPr>
          <w:kern w:val="0"/>
        </w:rPr>
        <w:t>most frequently cited sources in cancer news articles-research institutions</w:t>
      </w:r>
      <w:r w:rsidR="005853A9">
        <w:rPr>
          <w:kern w:val="0"/>
        </w:rPr>
        <w:t xml:space="preserve"> and </w:t>
      </w:r>
      <w:r>
        <w:rPr>
          <w:kern w:val="0"/>
        </w:rPr>
        <w:t>medical journals-receive disproportionately more attention compared to</w:t>
      </w:r>
      <w:r w:rsidR="003A1917">
        <w:rPr>
          <w:kern w:val="0"/>
        </w:rPr>
        <w:t xml:space="preserve"> the </w:t>
      </w:r>
      <w:r>
        <w:rPr>
          <w:kern w:val="0"/>
        </w:rPr>
        <w:t>National Cancer Institute (NCI</w:t>
      </w:r>
      <w:r w:rsidR="00F42EAC">
        <w:rPr>
          <w:kern w:val="0"/>
        </w:rPr>
        <w:t>), The</w:t>
      </w:r>
      <w:r w:rsidR="003A1917">
        <w:rPr>
          <w:kern w:val="0"/>
        </w:rPr>
        <w:t xml:space="preserve"> </w:t>
      </w:r>
      <w:r>
        <w:rPr>
          <w:kern w:val="0"/>
        </w:rPr>
        <w:t>American Cancer Society (ACS),</w:t>
      </w:r>
      <w:r w:rsidR="005853A9">
        <w:rPr>
          <w:kern w:val="0"/>
        </w:rPr>
        <w:t xml:space="preserve"> and </w:t>
      </w:r>
      <w:r>
        <w:rPr>
          <w:kern w:val="0"/>
        </w:rPr>
        <w:t>pharmaceutical companies. Research institutions were cited twice as frequently as medical journals,</w:t>
      </w:r>
      <w:r w:rsidR="005853A9">
        <w:rPr>
          <w:kern w:val="0"/>
        </w:rPr>
        <w:t xml:space="preserve"> and </w:t>
      </w:r>
      <w:r>
        <w:rPr>
          <w:kern w:val="0"/>
        </w:rPr>
        <w:t>more than three times as frequently as pharmaceutical companies. Most clinical trial stories were optimistic or neutral in tone,</w:t>
      </w:r>
      <w:r w:rsidR="005853A9">
        <w:rPr>
          <w:kern w:val="0"/>
        </w:rPr>
        <w:t xml:space="preserve"> and </w:t>
      </w:r>
      <w:r>
        <w:rPr>
          <w:kern w:val="0"/>
        </w:rPr>
        <w:t>tone was significantly related to citations</w:t>
      </w:r>
      <w:r w:rsidR="00427468">
        <w:rPr>
          <w:kern w:val="0"/>
        </w:rPr>
        <w:t xml:space="preserve"> of </w:t>
      </w:r>
      <w:r>
        <w:rPr>
          <w:kern w:val="0"/>
        </w:rPr>
        <w:t>pharmaceutical companies</w:t>
      </w:r>
      <w:r w:rsidR="005853A9">
        <w:rPr>
          <w:kern w:val="0"/>
        </w:rPr>
        <w:t xml:space="preserve"> and </w:t>
      </w:r>
      <w:r>
        <w:rPr>
          <w:kern w:val="0"/>
        </w:rPr>
        <w:t>medical journals. Implications for effects</w:t>
      </w:r>
      <w:r w:rsidR="00427468">
        <w:rPr>
          <w:kern w:val="0"/>
        </w:rPr>
        <w:t xml:space="preserve"> of </w:t>
      </w:r>
      <w:r>
        <w:rPr>
          <w:kern w:val="0"/>
        </w:rPr>
        <w:t>cancer coverage on behaviors,</w:t>
      </w:r>
      <w:r w:rsidR="005853A9">
        <w:rPr>
          <w:kern w:val="0"/>
        </w:rPr>
        <w:t xml:space="preserve"> and </w:t>
      </w:r>
      <w:r w:rsidR="003A1917">
        <w:rPr>
          <w:kern w:val="0"/>
        </w:rPr>
        <w:t xml:space="preserve">the </w:t>
      </w:r>
      <w:r>
        <w:rPr>
          <w:kern w:val="0"/>
        </w:rPr>
        <w:t>influence</w:t>
      </w:r>
      <w:r w:rsidR="00427468">
        <w:rPr>
          <w:kern w:val="0"/>
        </w:rPr>
        <w:t xml:space="preserve"> of </w:t>
      </w:r>
      <w:r>
        <w:rPr>
          <w:kern w:val="0"/>
        </w:rPr>
        <w:t>sources such as research institutions</w:t>
      </w:r>
      <w:r w:rsidR="005853A9">
        <w:rPr>
          <w:kern w:val="0"/>
        </w:rPr>
        <w:t xml:space="preserve"> and </w:t>
      </w:r>
      <w:r>
        <w:rPr>
          <w:kern w:val="0"/>
        </w:rPr>
        <w:t>pharmaceutical companies, are discussed.</w:t>
      </w:r>
    </w:p>
    <w:p w:rsidR="00AE5279" w:rsidRDefault="00AE5279" w:rsidP="00AE5279">
      <w:pPr>
        <w:pStyle w:val="a3"/>
        <w:rPr>
          <w:kern w:val="0"/>
        </w:rPr>
      </w:pPr>
      <w:r>
        <w:rPr>
          <w:kern w:val="0"/>
        </w:rPr>
        <w:t>Keywords: Breast-Cancer, Cancer, Cancer Control, Citation, Citations, Clinical Trial, Content Analysis, Health Research, Information, Journalists, Journals, Media, Media Coverage, Medical, Pharmaceutical Companies, Popular Press, Press Releases, Prevention, Publication Bias, Research, Screening Mammography, Television</w:t>
      </w:r>
    </w:p>
    <w:p w:rsidR="002C12F0" w:rsidRDefault="002C12F0" w:rsidP="002C12F0">
      <w:pPr>
        <w:pStyle w:val="a3"/>
        <w:rPr>
          <w:kern w:val="0"/>
        </w:rPr>
      </w:pPr>
      <w:r>
        <w:rPr>
          <w:rFonts w:hint="eastAsia"/>
          <w:kern w:val="0"/>
        </w:rPr>
        <w:t xml:space="preserve">? </w:t>
      </w:r>
      <w:r>
        <w:rPr>
          <w:kern w:val="0"/>
        </w:rPr>
        <w:t>Wilson, J.C., Anderson, L.A., Murray, L.J.</w:t>
      </w:r>
      <w:r w:rsidR="005853A9">
        <w:rPr>
          <w:kern w:val="0"/>
        </w:rPr>
        <w:t xml:space="preserve"> and </w:t>
      </w:r>
      <w:r>
        <w:rPr>
          <w:kern w:val="0"/>
        </w:rPr>
        <w:t>Hughes, C.M. (2011), Non-steroidal anti-inflammatory drug</w:t>
      </w:r>
      <w:r w:rsidR="005853A9">
        <w:rPr>
          <w:kern w:val="0"/>
        </w:rPr>
        <w:t xml:space="preserve"> and </w:t>
      </w:r>
      <w:r>
        <w:rPr>
          <w:kern w:val="0"/>
        </w:rPr>
        <w:t>aspirin use</w:t>
      </w:r>
      <w:r w:rsidR="005853A9">
        <w:rPr>
          <w:kern w:val="0"/>
        </w:rPr>
        <w:t xml:space="preserve"> and </w:t>
      </w:r>
      <w:r w:rsidR="003A1917">
        <w:rPr>
          <w:kern w:val="0"/>
        </w:rPr>
        <w:t xml:space="preserve">the </w:t>
      </w:r>
      <w:r>
        <w:rPr>
          <w:kern w:val="0"/>
        </w:rPr>
        <w:t>risk</w:t>
      </w:r>
      <w:r w:rsidR="00427468">
        <w:rPr>
          <w:kern w:val="0"/>
        </w:rPr>
        <w:t xml:space="preserve"> of </w:t>
      </w:r>
      <w:r>
        <w:rPr>
          <w:kern w:val="0"/>
        </w:rPr>
        <w:t>head</w:t>
      </w:r>
      <w:r w:rsidR="005853A9">
        <w:rPr>
          <w:kern w:val="0"/>
        </w:rPr>
        <w:t xml:space="preserve"> and </w:t>
      </w:r>
      <w:r>
        <w:rPr>
          <w:kern w:val="0"/>
        </w:rPr>
        <w:t xml:space="preserve">neck cancer: A systematic review. </w:t>
      </w:r>
      <w:r>
        <w:rPr>
          <w:i/>
          <w:iCs/>
          <w:kern w:val="0"/>
        </w:rPr>
        <w:t>Cancer Causes &amp; Control</w:t>
      </w:r>
      <w:r>
        <w:rPr>
          <w:kern w:val="0"/>
        </w:rPr>
        <w:t xml:space="preserve">, </w:t>
      </w:r>
      <w:r>
        <w:rPr>
          <w:b/>
          <w:bCs/>
          <w:kern w:val="0"/>
        </w:rPr>
        <w:t>22</w:t>
      </w:r>
      <w:r>
        <w:rPr>
          <w:kern w:val="0"/>
        </w:rPr>
        <w:t xml:space="preserve"> (5), 803-810.</w:t>
      </w:r>
    </w:p>
    <w:p w:rsidR="006D629A" w:rsidRPr="00C73C58" w:rsidRDefault="006D629A" w:rsidP="006D629A">
      <w:pPr>
        <w:pStyle w:val="a3"/>
      </w:pPr>
      <w:r w:rsidRPr="00C73C58">
        <w:t xml:space="preserve">Full Text: </w:t>
      </w:r>
      <w:hyperlink r:id="rId118" w:history="1">
        <w:r w:rsidRPr="007B5EC4">
          <w:rPr>
            <w:rStyle w:val="a5"/>
          </w:rPr>
          <w:t>2011\Can Cau Con22, 803.pdf</w:t>
        </w:r>
      </w:hyperlink>
    </w:p>
    <w:p w:rsidR="002C12F0" w:rsidRDefault="002C12F0" w:rsidP="002C12F0">
      <w:pPr>
        <w:pStyle w:val="a3"/>
        <w:rPr>
          <w:kern w:val="0"/>
        </w:rPr>
      </w:pPr>
      <w:r>
        <w:rPr>
          <w:kern w:val="0"/>
        </w:rPr>
        <w:t>Abstract: Background Use</w:t>
      </w:r>
      <w:r w:rsidR="00427468">
        <w:rPr>
          <w:kern w:val="0"/>
        </w:rPr>
        <w:t xml:space="preserve"> of </w:t>
      </w:r>
      <w:r>
        <w:rPr>
          <w:kern w:val="0"/>
        </w:rPr>
        <w:t>non-steroidal anti-inflammatory drugs (NSAIDs) has been associated with a reduced risk</w:t>
      </w:r>
      <w:r w:rsidR="00427468">
        <w:rPr>
          <w:kern w:val="0"/>
        </w:rPr>
        <w:t xml:space="preserve"> of </w:t>
      </w:r>
      <w:r>
        <w:rPr>
          <w:kern w:val="0"/>
        </w:rPr>
        <w:t>several cancers. This is thought to be through</w:t>
      </w:r>
      <w:r w:rsidR="003A1917">
        <w:rPr>
          <w:kern w:val="0"/>
        </w:rPr>
        <w:t xml:space="preserve"> the </w:t>
      </w:r>
      <w:r>
        <w:rPr>
          <w:kern w:val="0"/>
        </w:rPr>
        <w:t>inhibitory action on</w:t>
      </w:r>
      <w:r w:rsidR="003A1917">
        <w:rPr>
          <w:kern w:val="0"/>
        </w:rPr>
        <w:t xml:space="preserve"> the </w:t>
      </w:r>
      <w:r>
        <w:rPr>
          <w:kern w:val="0"/>
        </w:rPr>
        <w:t xml:space="preserve">cyclooxygenase (COX) enzyme, COX-2. Evidence for </w:t>
      </w:r>
      <w:r>
        <w:rPr>
          <w:kern w:val="0"/>
        </w:rPr>
        <w:lastRenderedPageBreak/>
        <w:t>NSAIDs preventing head</w:t>
      </w:r>
      <w:r w:rsidR="005853A9">
        <w:rPr>
          <w:kern w:val="0"/>
        </w:rPr>
        <w:t xml:space="preserve"> and </w:t>
      </w:r>
      <w:r>
        <w:rPr>
          <w:kern w:val="0"/>
        </w:rPr>
        <w:t>neck cancer (HNC) is conflicting. We conducted a systematic literature review to investigate</w:t>
      </w:r>
      <w:r w:rsidR="003A1917">
        <w:rPr>
          <w:kern w:val="0"/>
        </w:rPr>
        <w:t xml:space="preserve"> the </w:t>
      </w:r>
      <w:r>
        <w:rPr>
          <w:kern w:val="0"/>
        </w:rPr>
        <w:t>association between NSAID/aspirin use</w:t>
      </w:r>
      <w:r w:rsidR="005853A9">
        <w:rPr>
          <w:kern w:val="0"/>
        </w:rPr>
        <w:t xml:space="preserve"> and </w:t>
      </w:r>
      <w:r>
        <w:rPr>
          <w:kern w:val="0"/>
        </w:rPr>
        <w:t>risk</w:t>
      </w:r>
      <w:r w:rsidR="00427468">
        <w:rPr>
          <w:kern w:val="0"/>
        </w:rPr>
        <w:t xml:space="preserve"> of </w:t>
      </w:r>
      <w:r>
        <w:rPr>
          <w:kern w:val="0"/>
        </w:rPr>
        <w:t>head</w:t>
      </w:r>
      <w:r w:rsidR="005853A9">
        <w:rPr>
          <w:kern w:val="0"/>
        </w:rPr>
        <w:t xml:space="preserve"> and </w:t>
      </w:r>
      <w:r>
        <w:rPr>
          <w:kern w:val="0"/>
        </w:rPr>
        <w:t xml:space="preserve">neck cancer (HNC). Methodology </w:t>
      </w:r>
      <w:r w:rsidR="00D5664A">
        <w:rPr>
          <w:kern w:val="0"/>
        </w:rPr>
        <w:t>MEDLINE</w:t>
      </w:r>
      <w:r>
        <w:rPr>
          <w:kern w:val="0"/>
        </w:rPr>
        <w:t>, EMBASE, PUBMED, Cochrane Library,</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systematically searched using terms for NSAIDs/aspirin, HNC,</w:t>
      </w:r>
      <w:r w:rsidR="005853A9">
        <w:rPr>
          <w:kern w:val="0"/>
        </w:rPr>
        <w:t xml:space="preserve"> and </w:t>
      </w:r>
      <w:r>
        <w:rPr>
          <w:kern w:val="0"/>
        </w:rPr>
        <w:t>observational/intervention study designs to identify studies published by December 2009. Results</w:t>
      </w:r>
      <w:r w:rsidR="00427468">
        <w:rPr>
          <w:kern w:val="0"/>
        </w:rPr>
        <w:t xml:space="preserve"> of </w:t>
      </w:r>
      <w:r>
        <w:rPr>
          <w:kern w:val="0"/>
        </w:rPr>
        <w:t>9,268 articles identified, two population-based prescribing database studies</w:t>
      </w:r>
      <w:r w:rsidR="005853A9">
        <w:rPr>
          <w:kern w:val="0"/>
        </w:rPr>
        <w:t xml:space="preserve"> and </w:t>
      </w:r>
      <w:r>
        <w:rPr>
          <w:kern w:val="0"/>
        </w:rPr>
        <w:t>three case-control studies met</w:t>
      </w:r>
      <w:r w:rsidR="003A1917">
        <w:rPr>
          <w:kern w:val="0"/>
        </w:rPr>
        <w:t xml:space="preserve"> the </w:t>
      </w:r>
      <w:r>
        <w:rPr>
          <w:kern w:val="0"/>
        </w:rPr>
        <w:t>selection criteria</w:t>
      </w:r>
      <w:r w:rsidR="00A37C1D">
        <w:rPr>
          <w:kern w:val="0"/>
        </w:rPr>
        <w:t>. The</w:t>
      </w:r>
      <w:r w:rsidR="003A1917">
        <w:rPr>
          <w:kern w:val="0"/>
        </w:rPr>
        <w:t xml:space="preserve"> </w:t>
      </w:r>
      <w:r>
        <w:rPr>
          <w:kern w:val="0"/>
        </w:rPr>
        <w:t>studies investigated different HNC sites. Only one study found a significant protective association</w:t>
      </w:r>
      <w:r w:rsidR="00427468">
        <w:rPr>
          <w:kern w:val="0"/>
        </w:rPr>
        <w:t xml:space="preserve"> of </w:t>
      </w:r>
      <w:r>
        <w:rPr>
          <w:kern w:val="0"/>
        </w:rPr>
        <w:t>aspirin use with HNC risk (OR 0.75, 95% CI 0.58-0.96),</w:t>
      </w:r>
      <w:r w:rsidR="005853A9">
        <w:rPr>
          <w:kern w:val="0"/>
        </w:rPr>
        <w:t xml:space="preserve"> and </w:t>
      </w:r>
      <w:r>
        <w:rPr>
          <w:kern w:val="0"/>
        </w:rPr>
        <w:t>one showed a significantly increased risk</w:t>
      </w:r>
      <w:r w:rsidR="00427468">
        <w:rPr>
          <w:kern w:val="0"/>
        </w:rPr>
        <w:t xml:space="preserve"> of </w:t>
      </w:r>
      <w:r>
        <w:rPr>
          <w:kern w:val="0"/>
        </w:rPr>
        <w:t>oral/oropharyngeal cancer with non-low-dose aspirin NSAID use (OR 3.5, 95% CI 1.8-6.7). Many</w:t>
      </w:r>
      <w:r w:rsidR="00427468">
        <w:rPr>
          <w:kern w:val="0"/>
        </w:rPr>
        <w:t xml:space="preserve"> of </w:t>
      </w:r>
      <w:r w:rsidR="003A1917">
        <w:rPr>
          <w:kern w:val="0"/>
        </w:rPr>
        <w:t xml:space="preserve">the </w:t>
      </w:r>
      <w:r>
        <w:rPr>
          <w:kern w:val="0"/>
        </w:rPr>
        <w:t>studies identified lacked information on important confounding factors. Conclusion No definitive conclusion on</w:t>
      </w:r>
      <w:r w:rsidR="003A1917">
        <w:rPr>
          <w:kern w:val="0"/>
        </w:rPr>
        <w:t xml:space="preserve"> the </w:t>
      </w:r>
      <w:r>
        <w:rPr>
          <w:kern w:val="0"/>
        </w:rPr>
        <w:t>effect</w:t>
      </w:r>
      <w:r w:rsidR="00427468">
        <w:rPr>
          <w:kern w:val="0"/>
        </w:rPr>
        <w:t xml:space="preserve"> of </w:t>
      </w:r>
      <w:r>
        <w:rPr>
          <w:kern w:val="0"/>
        </w:rPr>
        <w:t>NSAIDs/aspirin on HNC risk was possible. Aspirin may protect against HNC, although further robust large-scale studies are required to clarify any possible association.</w:t>
      </w:r>
    </w:p>
    <w:p w:rsidR="002C12F0" w:rsidRDefault="002C12F0" w:rsidP="002C12F0">
      <w:pPr>
        <w:pStyle w:val="a3"/>
        <w:rPr>
          <w:kern w:val="0"/>
        </w:rPr>
      </w:pPr>
      <w:r>
        <w:rPr>
          <w:kern w:val="0"/>
        </w:rPr>
        <w:t xml:space="preserve">Keywords: Aspirin, Cancer, Case-Control Studies, Celecoxib, Cochrane, Cohort, Colorectal-Cancer, Confounding, </w:t>
      </w:r>
      <w:r w:rsidR="006D629A">
        <w:rPr>
          <w:kern w:val="0"/>
        </w:rPr>
        <w:t>COX</w:t>
      </w:r>
      <w:r>
        <w:rPr>
          <w:kern w:val="0"/>
        </w:rPr>
        <w:t>-2, Cyclooxygenase-2 Expression, Drug, EMBASE, Head</w:t>
      </w:r>
      <w:r w:rsidR="005853A9">
        <w:rPr>
          <w:kern w:val="0"/>
        </w:rPr>
        <w:t xml:space="preserve"> and </w:t>
      </w:r>
      <w:r>
        <w:rPr>
          <w:kern w:val="0"/>
        </w:rPr>
        <w:t xml:space="preserve">Neck Cancer, Information, Inhibition, Literature, Literature Review, </w:t>
      </w:r>
      <w:r w:rsidR="00D5664A">
        <w:rPr>
          <w:kern w:val="0"/>
        </w:rPr>
        <w:t>MEDLINE</w:t>
      </w:r>
      <w:r>
        <w:rPr>
          <w:kern w:val="0"/>
        </w:rPr>
        <w:t xml:space="preserve">, Methodology, Mortality, Non-Steroidal Antiinflammatory Drugs, Oral Premalignant Lesions, Prevention, PUBMED, Review, Risk, Science, Squamous-Cell Carcinoma, Systematic, Systematic Literature Review, Systematic Review, Upper Aerodigestive Tract, </w:t>
      </w:r>
      <w:r w:rsidR="00D5664A">
        <w:rPr>
          <w:kern w:val="0"/>
        </w:rPr>
        <w:t>Web</w:t>
      </w:r>
      <w:r w:rsidR="00427468">
        <w:rPr>
          <w:kern w:val="0"/>
        </w:rPr>
        <w:t xml:space="preserve"> of </w:t>
      </w:r>
      <w:r w:rsidR="00D5664A">
        <w:rPr>
          <w:kern w:val="0"/>
        </w:rPr>
        <w:t>Science</w:t>
      </w:r>
    </w:p>
    <w:p w:rsidR="006D629A" w:rsidRDefault="006D629A" w:rsidP="006D629A">
      <w:pPr>
        <w:pStyle w:val="a3"/>
        <w:rPr>
          <w:kern w:val="0"/>
        </w:rPr>
      </w:pPr>
      <w:r>
        <w:rPr>
          <w:rFonts w:hint="eastAsia"/>
          <w:kern w:val="0"/>
        </w:rPr>
        <w:t xml:space="preserve">? </w:t>
      </w:r>
      <w:r>
        <w:rPr>
          <w:kern w:val="0"/>
        </w:rPr>
        <w:t>Mc Menamin, U.C., Murray, L.J., Cantwell, M.M.</w:t>
      </w:r>
      <w:r w:rsidR="005853A9">
        <w:rPr>
          <w:kern w:val="0"/>
        </w:rPr>
        <w:t xml:space="preserve"> and </w:t>
      </w:r>
      <w:r>
        <w:rPr>
          <w:kern w:val="0"/>
        </w:rPr>
        <w:t>Hughes, C.M. (2012), Angiotensin-converting enzyme inhibitors</w:t>
      </w:r>
      <w:r w:rsidR="005853A9">
        <w:rPr>
          <w:kern w:val="0"/>
        </w:rPr>
        <w:t xml:space="preserve"> and </w:t>
      </w:r>
      <w:r>
        <w:rPr>
          <w:kern w:val="0"/>
        </w:rPr>
        <w:t>angiotensin receptor blockers in cancer progression</w:t>
      </w:r>
      <w:r w:rsidR="005853A9">
        <w:rPr>
          <w:kern w:val="0"/>
        </w:rPr>
        <w:t xml:space="preserve"> and </w:t>
      </w:r>
      <w:r>
        <w:rPr>
          <w:kern w:val="0"/>
        </w:rPr>
        <w:t xml:space="preserve">survival: A systematic review. </w:t>
      </w:r>
      <w:r>
        <w:rPr>
          <w:i/>
          <w:iCs/>
          <w:kern w:val="0"/>
        </w:rPr>
        <w:t>Cancer Causes &amp; Control</w:t>
      </w:r>
      <w:r>
        <w:rPr>
          <w:kern w:val="0"/>
        </w:rPr>
        <w:t xml:space="preserve">, </w:t>
      </w:r>
      <w:r>
        <w:rPr>
          <w:b/>
          <w:bCs/>
          <w:kern w:val="0"/>
        </w:rPr>
        <w:t>23</w:t>
      </w:r>
      <w:r>
        <w:rPr>
          <w:kern w:val="0"/>
        </w:rPr>
        <w:t xml:space="preserve"> (2), 221-230.</w:t>
      </w:r>
    </w:p>
    <w:p w:rsidR="006D629A" w:rsidRPr="00C73C58" w:rsidRDefault="006D629A" w:rsidP="006D629A">
      <w:pPr>
        <w:pStyle w:val="a3"/>
      </w:pPr>
      <w:r w:rsidRPr="00C73C58">
        <w:t xml:space="preserve">Full Text: </w:t>
      </w:r>
      <w:hyperlink r:id="rId119" w:history="1">
        <w:r w:rsidRPr="007B5EC4">
          <w:rPr>
            <w:rStyle w:val="a5"/>
          </w:rPr>
          <w:t>2012\Can Cau Con23, 221.pdf</w:t>
        </w:r>
      </w:hyperlink>
    </w:p>
    <w:p w:rsidR="006D629A" w:rsidRDefault="006D629A" w:rsidP="006D629A">
      <w:pPr>
        <w:pStyle w:val="a3"/>
        <w:rPr>
          <w:kern w:val="0"/>
        </w:rPr>
      </w:pPr>
      <w:r>
        <w:rPr>
          <w:kern w:val="0"/>
        </w:rPr>
        <w:t>Abstract: Objective To investigate</w:t>
      </w:r>
      <w:r w:rsidR="003A1917">
        <w:rPr>
          <w:kern w:val="0"/>
        </w:rPr>
        <w:t xml:space="preserve"> the </w:t>
      </w:r>
      <w:r>
        <w:rPr>
          <w:kern w:val="0"/>
        </w:rPr>
        <w:t>association between angiotensin- converting enzyme inhibitors (ACEIs)</w:t>
      </w:r>
      <w:r w:rsidR="005853A9">
        <w:rPr>
          <w:kern w:val="0"/>
        </w:rPr>
        <w:t xml:space="preserve"> and </w:t>
      </w:r>
      <w:r>
        <w:rPr>
          <w:kern w:val="0"/>
        </w:rPr>
        <w:t>angiotensin receptor blockers (ARBs)</w:t>
      </w:r>
      <w:r w:rsidR="005853A9">
        <w:rPr>
          <w:kern w:val="0"/>
        </w:rPr>
        <w:t xml:space="preserve"> and </w:t>
      </w:r>
      <w:r>
        <w:rPr>
          <w:kern w:val="0"/>
        </w:rPr>
        <w:t>disease progression</w:t>
      </w:r>
      <w:r w:rsidR="005853A9">
        <w:rPr>
          <w:kern w:val="0"/>
        </w:rPr>
        <w:t xml:space="preserve"> and </w:t>
      </w:r>
      <w:r>
        <w:rPr>
          <w:kern w:val="0"/>
        </w:rPr>
        <w:t>survival in cancer patients. Methods Using terms for cancer</w:t>
      </w:r>
      <w:r w:rsidR="005853A9">
        <w:rPr>
          <w:kern w:val="0"/>
        </w:rPr>
        <w:t xml:space="preserve"> and </w:t>
      </w:r>
      <w:r>
        <w:rPr>
          <w:kern w:val="0"/>
        </w:rPr>
        <w:t xml:space="preserve">ACEIs/ARBs,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systematically searched for observational/interventional studies that used clinically relevant outcomes for cancer progression</w:t>
      </w:r>
      <w:r w:rsidR="005853A9">
        <w:rPr>
          <w:kern w:val="0"/>
        </w:rPr>
        <w:t xml:space="preserve"> and </w:t>
      </w:r>
      <w:r>
        <w:rPr>
          <w:kern w:val="0"/>
        </w:rPr>
        <w:t>survival. Results Ten studies met</w:t>
      </w:r>
      <w:r w:rsidR="003A1917">
        <w:rPr>
          <w:kern w:val="0"/>
        </w:rPr>
        <w:t xml:space="preserve"> the </w:t>
      </w:r>
      <w:r>
        <w:rPr>
          <w:kern w:val="0"/>
        </w:rPr>
        <w:t>inclusion criteria. Two studies showed a significant improvement in overall survival (OS) with ACEI/ARB use among patients with advanced pancreatic (HR 0.52, 95% CI 0.29-0.88)</w:t>
      </w:r>
      <w:r w:rsidR="005853A9">
        <w:rPr>
          <w:kern w:val="0"/>
        </w:rPr>
        <w:t xml:space="preserve"> and </w:t>
      </w:r>
      <w:r>
        <w:rPr>
          <w:kern w:val="0"/>
        </w:rPr>
        <w:t>non-small cell lung cancer (HR 0.56, 95% CI 0.33-0.95). An improvement in progression-free survival (PFS) was also reported for pancreatic cancer patients (HR 0.58, 95% CI 0.34-0.95)</w:t>
      </w:r>
      <w:r w:rsidR="005853A9">
        <w:rPr>
          <w:kern w:val="0"/>
        </w:rPr>
        <w:t xml:space="preserve"> and </w:t>
      </w:r>
      <w:r>
        <w:rPr>
          <w:kern w:val="0"/>
        </w:rPr>
        <w:t xml:space="preserve">patients with renal cell carcinoma (HR 0.54, p = 0.02). ACEI/ARB use was protective against breast cancer recurrence </w:t>
      </w:r>
      <w:r>
        <w:rPr>
          <w:kern w:val="0"/>
        </w:rPr>
        <w:lastRenderedPageBreak/>
        <w:t>(HR 0.60, 95% CI 0.37-0.96), colorectal cancer distant metastasis (OR 0.22, 95% CI 0.08-0.65)</w:t>
      </w:r>
      <w:r w:rsidR="005853A9">
        <w:rPr>
          <w:kern w:val="0"/>
        </w:rPr>
        <w:t xml:space="preserve"> and </w:t>
      </w:r>
      <w:r>
        <w:rPr>
          <w:kern w:val="0"/>
        </w:rPr>
        <w:t>prostate specific antigen (PSA) failure in prostate cancer patients (p = 0.034). One study observed a worse OS (HR 2.01, 95% CI 1.00-4.05)</w:t>
      </w:r>
      <w:r w:rsidR="005853A9">
        <w:rPr>
          <w:kern w:val="0"/>
        </w:rPr>
        <w:t xml:space="preserve"> and </w:t>
      </w:r>
      <w:r>
        <w:rPr>
          <w:kern w:val="0"/>
        </w:rPr>
        <w:t>PFS in ACEI users with multiple myeloma (p = 0.085) while another reported an increased risk</w:t>
      </w:r>
      <w:r w:rsidR="00427468">
        <w:rPr>
          <w:kern w:val="0"/>
        </w:rPr>
        <w:t xml:space="preserve"> of </w:t>
      </w:r>
      <w:r>
        <w:rPr>
          <w:kern w:val="0"/>
        </w:rPr>
        <w:t>breast cancer recurrence (HR = 1.56, 95% CI 1.02-2.39). Conclusion There is some evidence to suggest that ACEI or ARB use may be associated with improved outcomes in cancer patients. Larger, more robust studies are required to explore this relationship further.</w:t>
      </w:r>
    </w:p>
    <w:p w:rsidR="006D629A" w:rsidRDefault="006D629A" w:rsidP="006D629A">
      <w:pPr>
        <w:pStyle w:val="a3"/>
        <w:rPr>
          <w:kern w:val="0"/>
        </w:rPr>
      </w:pPr>
      <w:r>
        <w:rPr>
          <w:kern w:val="0"/>
        </w:rPr>
        <w:t xml:space="preserve">Keywords: Ace-Inhibitors, Angiotensin, Angiotensin Receptor Blockers, Angiotensin-Converting Enzyme Inhibitors, Association, Breast Cancer, Breast-Cancer, Cancer, Cancer Progression, Colorectal Cancer, Colorectal-Cancer, Criteria, Diabetes-Mellitus, Disease, Evidence, Failure, Improvement, Lung, Lung Cancer, </w:t>
      </w:r>
      <w:r w:rsidR="00D5664A">
        <w:rPr>
          <w:kern w:val="0"/>
        </w:rPr>
        <w:t>MEDLINE</w:t>
      </w:r>
      <w:r>
        <w:rPr>
          <w:kern w:val="0"/>
        </w:rPr>
        <w:t xml:space="preserve">, Metaanalysis, Metastasis, Multiple Myeloma, Negative Breast, Outcomes, Pancreatic Cancer, Patients, Prostate Cancer, Prostate-Cancer, Randomized Controlled-Trials, Recurrence, Renal, Review, Risk, Science, Survival, Systematic Review, Tumor Angiogenesis, </w:t>
      </w:r>
      <w:r w:rsidR="00D5664A">
        <w:rPr>
          <w:kern w:val="0"/>
        </w:rPr>
        <w:t>Web</w:t>
      </w:r>
      <w:r w:rsidR="00427468">
        <w:rPr>
          <w:kern w:val="0"/>
        </w:rPr>
        <w:t xml:space="preserve"> of </w:t>
      </w:r>
      <w:r w:rsidR="00D5664A">
        <w:rPr>
          <w:kern w:val="0"/>
        </w:rPr>
        <w:t>Science</w:t>
      </w:r>
    </w:p>
    <w:p w:rsidR="0056127E" w:rsidRDefault="0056127E" w:rsidP="0056127E">
      <w:pPr>
        <w:pStyle w:val="a3"/>
        <w:rPr>
          <w:kern w:val="0"/>
        </w:rPr>
      </w:pPr>
      <w:r>
        <w:rPr>
          <w:rFonts w:hint="eastAsia"/>
          <w:kern w:val="0"/>
        </w:rPr>
        <w:t xml:space="preserve">? </w:t>
      </w:r>
      <w:r>
        <w:rPr>
          <w:kern w:val="0"/>
        </w:rPr>
        <w:t xml:space="preserve">Lu, D.M., Chen, J. and Jin, J. (2014), Vitamin D status and risk of non-Hodgkin lymphoma: A meta-analysis. </w:t>
      </w:r>
      <w:r>
        <w:rPr>
          <w:i/>
          <w:iCs/>
          <w:kern w:val="0"/>
        </w:rPr>
        <w:t>Cancer Causes &amp; Control</w:t>
      </w:r>
      <w:r>
        <w:rPr>
          <w:kern w:val="0"/>
        </w:rPr>
        <w:t xml:space="preserve">, </w:t>
      </w:r>
      <w:r>
        <w:rPr>
          <w:b/>
          <w:bCs/>
          <w:kern w:val="0"/>
        </w:rPr>
        <w:t>25</w:t>
      </w:r>
      <w:r>
        <w:rPr>
          <w:kern w:val="0"/>
        </w:rPr>
        <w:t xml:space="preserve"> (11), 1553-1563.</w:t>
      </w:r>
    </w:p>
    <w:p w:rsidR="0056127E" w:rsidRPr="00C73C58" w:rsidRDefault="0056127E" w:rsidP="0056127E">
      <w:pPr>
        <w:pStyle w:val="a3"/>
      </w:pPr>
      <w:r w:rsidRPr="00C73C58">
        <w:t xml:space="preserve">Full Text: </w:t>
      </w:r>
      <w:hyperlink r:id="rId120" w:history="1">
        <w:r w:rsidRPr="0056127E">
          <w:rPr>
            <w:rStyle w:val="a5"/>
          </w:rPr>
          <w:t>2014\Can Cau Con25, 1553.pdf</w:t>
        </w:r>
      </w:hyperlink>
    </w:p>
    <w:p w:rsidR="0056127E" w:rsidRDefault="0056127E" w:rsidP="0056127E">
      <w:pPr>
        <w:pStyle w:val="a3"/>
        <w:rPr>
          <w:kern w:val="0"/>
        </w:rPr>
      </w:pPr>
      <w:r>
        <w:rPr>
          <w:kern w:val="0"/>
        </w:rPr>
        <w:t>Abstract: Non-Hodgkin lymphoma (NHL) is among the ten most frequent malignancies in Europe and USA. Results for vitamin D status and risk of NHL have been inconsistent. The objective was to perform a meta-analysis to summarize the available evidence from case-control studies and cohort studies on the association of vitamin D status and the risk of NHL. We searched PubMed, ISI Web of Science, the Cochrane Library, EMBASE, and reference lists for relevant articles. Study-specific odds ratios (ORs) or relative risks and 95 % confidence intervals (CIs) were pooled using fixed-effects, random-effects, or linear regression dose-response models. Nine studies (eight case-control and one cohort studies) were included in the meta-analysis. The estimated summary OR for highest compared with lowest categories of vitamin D status was 1.03 (95 % CI 0.84, 1.26; heterogeneity I (2) = 57.5 %). The subgroup analysis showed the similar results for dietary vitamin D intake group (1.07; 95 % CI 0.82, 1.40) and serum 25-hydroxyvitamin D concentration values group (1.03; 95 % CI 0.84, 1.26). The pooling ORs of NHL most common subtypes were 1.05 (0.73, 1.52), 1.00 (0.63, 1.58), 1.10 (0.56, 2.14), and 1.69 (0.68, 4.20) for diffuse large B cell lymphoma, follicular lymphoma, small lymphocytic lymphomas/chronic lymphocytic leukemia, and T cell lymphoma. The result from the linear regression dose-response model was similar (p = 0.205). Higher vitamin D status does not play a protective role in risk of NHL or common NHL subtypes.</w:t>
      </w:r>
    </w:p>
    <w:p w:rsidR="0056127E" w:rsidRDefault="0056127E" w:rsidP="0056127E">
      <w:pPr>
        <w:pStyle w:val="a3"/>
        <w:rPr>
          <w:kern w:val="0"/>
        </w:rPr>
      </w:pPr>
      <w:r>
        <w:rPr>
          <w:kern w:val="0"/>
        </w:rPr>
        <w:t xml:space="preserve">Keywords: 25-Hydroxyvitamin D, Analysis, Articles, Association, Breast-Cancer Risk, </w:t>
      </w:r>
      <w:r>
        <w:rPr>
          <w:kern w:val="0"/>
        </w:rPr>
        <w:lastRenderedPageBreak/>
        <w:t>Case-Control, Case-Control Studies, Cell, Cohort, Colorectal-Cancer, Concentration, Confidence, Confidence Intervals, Embase, Europe, Evidence, Follicular Lymphoma, From, Heterogeneity, Intervals, ISI, ISI Web Of Science, Leukemia, Linear Regression, Lymphoma, Malignant-Lymphoma, Meta Analysis, Meta-Analysis, Metaanalysis, Model, Models, Multiethnic Cohort, Non-Hodgkin Lymphoma, Nov, Pubmed, Reference, Reference Lists, Regression, Results, Risk, Risks, Role, Science, Serum, Serum 25(OH) D, Small, Sun Exposure, Sunlight, Ultraviolet-Radiation Exposure, United-States, USA, Vitamin, Vitamin D, Web, Web Of Science, Women</w:t>
      </w:r>
    </w:p>
    <w:p w:rsidR="00262548" w:rsidRPr="00217FB1" w:rsidRDefault="00262548" w:rsidP="00262548">
      <w:pPr>
        <w:pStyle w:val="1"/>
      </w:pPr>
      <w:r w:rsidRPr="00217FB1">
        <w:rPr>
          <w:lang w:val="en-GB"/>
        </w:rPr>
        <w:br w:type="page"/>
      </w:r>
      <w:bookmarkStart w:id="70" w:name="_Toc420814898"/>
      <w:r>
        <w:lastRenderedPageBreak/>
        <w:t xml:space="preserve">Title: </w:t>
      </w:r>
      <w:r w:rsidRPr="00262548">
        <w:rPr>
          <w:iCs w:val="0"/>
        </w:rPr>
        <w:t>Cancer Cell International</w:t>
      </w:r>
      <w:bookmarkEnd w:id="70"/>
    </w:p>
    <w:p w:rsidR="00262548" w:rsidRPr="00217FB1" w:rsidRDefault="00262548" w:rsidP="00262548">
      <w:pPr>
        <w:pStyle w:val="12"/>
      </w:pPr>
      <w:r w:rsidRPr="00217FB1">
        <w:t xml:space="preserve">Full Journal Title: </w:t>
      </w:r>
      <w:r w:rsidRPr="00262548">
        <w:rPr>
          <w:iCs/>
          <w:kern w:val="0"/>
        </w:rPr>
        <w:t>Cancer Cell International</w:t>
      </w:r>
    </w:p>
    <w:p w:rsidR="00262548" w:rsidRPr="00217FB1" w:rsidRDefault="00262548" w:rsidP="00262548">
      <w:pPr>
        <w:pStyle w:val="12"/>
      </w:pPr>
      <w:r w:rsidRPr="00217FB1">
        <w:t xml:space="preserve">ISO Abbreviated Title: </w:t>
      </w:r>
    </w:p>
    <w:p w:rsidR="00262548" w:rsidRPr="00217FB1" w:rsidRDefault="00262548" w:rsidP="00262548">
      <w:pPr>
        <w:pStyle w:val="12"/>
      </w:pPr>
      <w:r w:rsidRPr="00217FB1">
        <w:t>JCR Abbreviated Title</w:t>
      </w:r>
      <w:r>
        <w:t>:</w:t>
      </w:r>
      <w:r w:rsidRPr="00217FB1">
        <w:t xml:space="preserve"> </w:t>
      </w:r>
    </w:p>
    <w:p w:rsidR="00262548" w:rsidRPr="00217FB1" w:rsidRDefault="00262548" w:rsidP="00262548">
      <w:pPr>
        <w:pStyle w:val="12"/>
      </w:pPr>
      <w:r w:rsidRPr="00217FB1">
        <w:t xml:space="preserve">ISSN: </w:t>
      </w:r>
    </w:p>
    <w:p w:rsidR="00262548" w:rsidRPr="00217FB1" w:rsidRDefault="00262548" w:rsidP="00262548">
      <w:pPr>
        <w:pStyle w:val="12"/>
      </w:pPr>
      <w:r w:rsidRPr="00217FB1">
        <w:t xml:space="preserve">Issues/Year: </w:t>
      </w:r>
    </w:p>
    <w:p w:rsidR="00262548" w:rsidRPr="00217FB1" w:rsidRDefault="00262548" w:rsidP="00262548">
      <w:pPr>
        <w:pStyle w:val="12"/>
      </w:pPr>
      <w:r>
        <w:t xml:space="preserve">Journal Country/Territory: </w:t>
      </w:r>
    </w:p>
    <w:p w:rsidR="00262548" w:rsidRPr="00217FB1" w:rsidRDefault="00262548" w:rsidP="00262548">
      <w:pPr>
        <w:pStyle w:val="12"/>
      </w:pPr>
      <w:r w:rsidRPr="00217FB1">
        <w:t xml:space="preserve">Language: </w:t>
      </w:r>
    </w:p>
    <w:p w:rsidR="00262548" w:rsidRPr="00217FB1" w:rsidRDefault="00262548" w:rsidP="00262548">
      <w:pPr>
        <w:pStyle w:val="12"/>
      </w:pPr>
      <w:r w:rsidRPr="00217FB1">
        <w:t xml:space="preserve">Publisher: </w:t>
      </w:r>
    </w:p>
    <w:p w:rsidR="00262548" w:rsidRPr="00217FB1" w:rsidRDefault="00262548" w:rsidP="00262548">
      <w:pPr>
        <w:pStyle w:val="12"/>
      </w:pPr>
      <w:r w:rsidRPr="00217FB1">
        <w:t xml:space="preserve">Publisher Address: </w:t>
      </w:r>
    </w:p>
    <w:p w:rsidR="00262548" w:rsidRPr="00217FB1" w:rsidRDefault="00262548" w:rsidP="00262548">
      <w:pPr>
        <w:pStyle w:val="12"/>
      </w:pPr>
      <w:r w:rsidRPr="00217FB1">
        <w:t>Subject Categories:</w:t>
      </w:r>
    </w:p>
    <w:p w:rsidR="00262548" w:rsidRPr="00217FB1" w:rsidRDefault="00262548" w:rsidP="00262548">
      <w:pPr>
        <w:pStyle w:val="12"/>
      </w:pPr>
      <w:r w:rsidRPr="00217FB1">
        <w:t xml:space="preserve">: Impact Factor </w:t>
      </w:r>
    </w:p>
    <w:p w:rsidR="00262548" w:rsidRDefault="00262548" w:rsidP="00262548">
      <w:pPr>
        <w:pStyle w:val="a3"/>
        <w:rPr>
          <w:kern w:val="0"/>
        </w:rPr>
      </w:pPr>
      <w:r>
        <w:rPr>
          <w:kern w:val="0"/>
        </w:rPr>
        <w:t>? Cheng, D.Y., Hao, Y.W., Zhou, W.L.</w:t>
      </w:r>
      <w:r w:rsidR="005853A9">
        <w:rPr>
          <w:kern w:val="0"/>
        </w:rPr>
        <w:t xml:space="preserve"> and </w:t>
      </w:r>
      <w:r>
        <w:rPr>
          <w:kern w:val="0"/>
        </w:rPr>
        <w:t>Ma, Y.R. (2013), Positive association between Interleukin-8-251A &gt; T polymorphism</w:t>
      </w:r>
      <w:r w:rsidR="005853A9">
        <w:rPr>
          <w:kern w:val="0"/>
        </w:rPr>
        <w:t xml:space="preserve"> and </w:t>
      </w:r>
      <w:r>
        <w:rPr>
          <w:kern w:val="0"/>
        </w:rPr>
        <w:t xml:space="preserve">susceptibility to gastric carcinogenesis: A meta-analysis. </w:t>
      </w:r>
      <w:r w:rsidRPr="00262548">
        <w:rPr>
          <w:i/>
          <w:iCs/>
          <w:kern w:val="0"/>
        </w:rPr>
        <w:t>Cancer Cell International</w:t>
      </w:r>
      <w:r>
        <w:rPr>
          <w:kern w:val="0"/>
        </w:rPr>
        <w:t xml:space="preserve">, </w:t>
      </w:r>
      <w:r>
        <w:rPr>
          <w:b/>
          <w:bCs/>
          <w:kern w:val="0"/>
        </w:rPr>
        <w:t>13</w:t>
      </w:r>
      <w:r>
        <w:rPr>
          <w:kern w:val="0"/>
        </w:rPr>
        <w:t xml:space="preserve">, </w:t>
      </w:r>
      <w:r w:rsidRPr="00DE550E">
        <w:rPr>
          <w:kern w:val="0"/>
        </w:rPr>
        <w:t>Article Number: 100.</w:t>
      </w:r>
    </w:p>
    <w:p w:rsidR="00262548" w:rsidRDefault="00262548" w:rsidP="00262548">
      <w:pPr>
        <w:pStyle w:val="a3"/>
        <w:rPr>
          <w:kern w:val="0"/>
        </w:rPr>
      </w:pPr>
      <w:r>
        <w:rPr>
          <w:kern w:val="0"/>
        </w:rPr>
        <w:t xml:space="preserve">Full Text: </w:t>
      </w:r>
      <w:hyperlink r:id="rId121" w:history="1">
        <w:r w:rsidRPr="00262548">
          <w:rPr>
            <w:rStyle w:val="a5"/>
            <w:kern w:val="0"/>
          </w:rPr>
          <w:t>2013\Can Cel Int13, 100.pdf</w:t>
        </w:r>
      </w:hyperlink>
    </w:p>
    <w:p w:rsidR="00262548" w:rsidRDefault="00262548" w:rsidP="00262548">
      <w:pPr>
        <w:pStyle w:val="a3"/>
        <w:rPr>
          <w:kern w:val="0"/>
        </w:rPr>
      </w:pPr>
      <w:r>
        <w:rPr>
          <w:kern w:val="0"/>
        </w:rPr>
        <w:t>Abstract: Backgrounds: The associations between the polymorphisms</w:t>
      </w:r>
      <w:r w:rsidR="00427468">
        <w:rPr>
          <w:kern w:val="0"/>
        </w:rPr>
        <w:t xml:space="preserve"> of </w:t>
      </w:r>
      <w:r>
        <w:rPr>
          <w:kern w:val="0"/>
        </w:rPr>
        <w:t>interleukin-8 (IL-8) gene</w:t>
      </w:r>
      <w:r w:rsidR="005853A9">
        <w:rPr>
          <w:kern w:val="0"/>
        </w:rPr>
        <w:t xml:space="preserve"> and </w:t>
      </w:r>
      <w:r>
        <w:rPr>
          <w:kern w:val="0"/>
        </w:rPr>
        <w:t>gastric carcinogenesis have been extensively investigated in recent years. However, the results remain conflicting rather than conclusive. Methods: A meta-analysis</w:t>
      </w:r>
      <w:r w:rsidR="00427468">
        <w:rPr>
          <w:kern w:val="0"/>
        </w:rPr>
        <w:t xml:space="preserve"> of </w:t>
      </w:r>
      <w:r>
        <w:rPr>
          <w:kern w:val="0"/>
        </w:rPr>
        <w:t>18 eligible studies was performed to evaluate the association</w:t>
      </w:r>
      <w:r w:rsidR="00427468">
        <w:rPr>
          <w:kern w:val="0"/>
        </w:rPr>
        <w:t xml:space="preserve"> of </w:t>
      </w:r>
      <w:r>
        <w:rPr>
          <w:kern w:val="0"/>
        </w:rPr>
        <w:t>IL-8 -251A&gt;T polymorphism with risk</w:t>
      </w:r>
      <w:r w:rsidR="00427468">
        <w:rPr>
          <w:kern w:val="0"/>
        </w:rPr>
        <w:t xml:space="preserve"> of </w:t>
      </w:r>
      <w:r>
        <w:rPr>
          <w:kern w:val="0"/>
        </w:rPr>
        <w:t>gastric carcinogenesis. A systematic literature search</w:t>
      </w:r>
      <w:r w:rsidR="00427468">
        <w:rPr>
          <w:kern w:val="0"/>
        </w:rPr>
        <w:t xml:space="preserve"> of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CNKI databases was conducted. Statistical analysis was performed by using the Revman 5.1 software</w:t>
      </w:r>
      <w:r w:rsidR="005853A9">
        <w:rPr>
          <w:kern w:val="0"/>
        </w:rPr>
        <w:t xml:space="preserve"> and </w:t>
      </w:r>
      <w:r>
        <w:rPr>
          <w:kern w:val="0"/>
        </w:rPr>
        <w:t>the Stata 12.0 software. Results:</w:t>
      </w:r>
      <w:r w:rsidR="00427468">
        <w:rPr>
          <w:kern w:val="0"/>
        </w:rPr>
        <w:t xml:space="preserve"> of </w:t>
      </w:r>
      <w:r>
        <w:rPr>
          <w:kern w:val="0"/>
        </w:rPr>
        <w:t>the 293 unique studies identified using our search criteria, 18 studies fulfilled our inclusion criteria</w:t>
      </w:r>
      <w:r w:rsidR="005853A9">
        <w:rPr>
          <w:kern w:val="0"/>
        </w:rPr>
        <w:t xml:space="preserve"> and </w:t>
      </w:r>
      <w:r>
        <w:rPr>
          <w:kern w:val="0"/>
        </w:rPr>
        <w:t>were included in the meta-analysis</w:t>
      </w:r>
      <w:r w:rsidR="00A37C1D">
        <w:rPr>
          <w:kern w:val="0"/>
        </w:rPr>
        <w:t>. The</w:t>
      </w:r>
      <w:r>
        <w:rPr>
          <w:kern w:val="0"/>
        </w:rPr>
        <w:t>se studies cumulatively reported 5,321 cases</w:t>
      </w:r>
      <w:r w:rsidR="005853A9">
        <w:rPr>
          <w:kern w:val="0"/>
        </w:rPr>
        <w:t xml:space="preserve"> and </w:t>
      </w:r>
      <w:r>
        <w:rPr>
          <w:kern w:val="0"/>
        </w:rPr>
        <w:t>6,465 controls</w:t>
      </w:r>
      <w:r w:rsidR="00A37C1D">
        <w:rPr>
          <w:kern w:val="0"/>
        </w:rPr>
        <w:t>. The</w:t>
      </w:r>
      <w:r>
        <w:rPr>
          <w:kern w:val="0"/>
        </w:rPr>
        <w:t xml:space="preserve"> combined results based on all studies showed that the IL-8 -251A&gt;T polymorphism was associated with the risk</w:t>
      </w:r>
      <w:r w:rsidR="00427468">
        <w:rPr>
          <w:kern w:val="0"/>
        </w:rPr>
        <w:t xml:space="preserve"> of </w:t>
      </w:r>
      <w:r>
        <w:rPr>
          <w:kern w:val="0"/>
        </w:rPr>
        <w:t>gastric carciongenesis (A vs. T: OR: 1.14 [1.02, 1.26], P = 0.02), especially gastric cancer (A vs. T: OR: 1.15 [1.03, 1.29], P = 0.02), but not associated with the risk</w:t>
      </w:r>
      <w:r w:rsidR="00427468">
        <w:rPr>
          <w:kern w:val="0"/>
        </w:rPr>
        <w:t xml:space="preserve"> of </w:t>
      </w:r>
      <w:r>
        <w:rPr>
          <w:kern w:val="0"/>
        </w:rPr>
        <w:t>precancerous lesion (A vs. T: OR: 1.09 [0.99, 1.20], P = 0.08). Analysis stratified by ethnicity may seem that IL-8 -251A&gt; T polymorphism was susceptible to gastric cancer in Asian population, but not in Caucasian population. Conclusions: Our meta-analysis results provide evidence that IL-8 -251A&gt; T polymorphism is significantly associated with increased risk</w:t>
      </w:r>
      <w:r w:rsidR="00427468">
        <w:rPr>
          <w:kern w:val="0"/>
        </w:rPr>
        <w:t xml:space="preserve"> of </w:t>
      </w:r>
      <w:r>
        <w:rPr>
          <w:kern w:val="0"/>
        </w:rPr>
        <w:t>gastric carcinogenesis in Asian population, particularly in gastric cancer. Further large</w:t>
      </w:r>
      <w:r w:rsidR="005853A9">
        <w:rPr>
          <w:kern w:val="0"/>
        </w:rPr>
        <w:t xml:space="preserve"> and </w:t>
      </w:r>
      <w:r>
        <w:rPr>
          <w:kern w:val="0"/>
        </w:rPr>
        <w:t>well-designed studies are required to confirm this conclusion.</w:t>
      </w:r>
    </w:p>
    <w:p w:rsidR="00262548" w:rsidRDefault="00262548" w:rsidP="00262548">
      <w:pPr>
        <w:pStyle w:val="a3"/>
        <w:rPr>
          <w:kern w:val="0"/>
        </w:rPr>
      </w:pPr>
      <w:r>
        <w:rPr>
          <w:kern w:val="0"/>
        </w:rPr>
        <w:lastRenderedPageBreak/>
        <w:t xml:space="preserve">Keywords: Adenocarcinoma, Analysis, Asian, Association, Cancer, Carcinoma, Caucasian, Chinese Population, Criteria, Cytokine Gene Polymorphisms, Databases, Ethnicity, Evidence, Gastric, Gastric Cancer, Gene, Helicobacter-Pylori, Il-8, Increased Risk, Interleukin-8, Literature, Literature Search, </w:t>
      </w:r>
      <w:r w:rsidR="00D5664A">
        <w:rPr>
          <w:kern w:val="0"/>
        </w:rPr>
        <w:t>MEDLINE</w:t>
      </w:r>
      <w:r>
        <w:rPr>
          <w:kern w:val="0"/>
        </w:rPr>
        <w:t xml:space="preserve">, Meta Analysis, Meta-Analysis, Metaanalysis, Methods, Necrosis-Factor-Alpha, P, Polymorphism, Polymorphisms, Population, Precancerous Lesions, Promoter Polymorphism, Prostate-Cancer, Recent, Results, Risk, Science, Software, Stata, Statistical Analysis, Systematic Literature Search, </w:t>
      </w:r>
      <w:r w:rsidR="00D5664A">
        <w:rPr>
          <w:kern w:val="0"/>
        </w:rPr>
        <w:t>Web</w:t>
      </w:r>
      <w:r w:rsidR="00427468">
        <w:rPr>
          <w:kern w:val="0"/>
        </w:rPr>
        <w:t xml:space="preserve"> of </w:t>
      </w:r>
      <w:r w:rsidR="00D5664A">
        <w:rPr>
          <w:kern w:val="0"/>
        </w:rPr>
        <w:t>Science</w:t>
      </w:r>
    </w:p>
    <w:p w:rsidR="002C12F0" w:rsidRPr="00217FB1" w:rsidRDefault="002C12F0" w:rsidP="002C12F0">
      <w:pPr>
        <w:pStyle w:val="1"/>
      </w:pPr>
      <w:r w:rsidRPr="00217FB1">
        <w:rPr>
          <w:lang w:val="en-GB"/>
        </w:rPr>
        <w:br w:type="page"/>
      </w:r>
      <w:bookmarkStart w:id="71" w:name="_Toc420814899"/>
      <w:r>
        <w:lastRenderedPageBreak/>
        <w:t xml:space="preserve">Title: </w:t>
      </w:r>
      <w:r w:rsidRPr="00FA1BDB">
        <w:t>Cancer Epidemiology</w:t>
      </w:r>
      <w:bookmarkEnd w:id="71"/>
    </w:p>
    <w:p w:rsidR="002C12F0" w:rsidRPr="00217FB1" w:rsidRDefault="002C12F0" w:rsidP="002C12F0">
      <w:pPr>
        <w:pStyle w:val="12"/>
      </w:pPr>
      <w:r w:rsidRPr="00217FB1">
        <w:t>Full Journal Title:</w:t>
      </w:r>
      <w:bookmarkStart w:id="72" w:name="_Toc234115462"/>
      <w:bookmarkStart w:id="73" w:name="_Toc302405749"/>
      <w:r w:rsidRPr="00217FB1">
        <w:t xml:space="preserve"> </w:t>
      </w:r>
      <w:r w:rsidRPr="00FA1BDB">
        <w:rPr>
          <w:iCs/>
          <w:kern w:val="0"/>
        </w:rPr>
        <w:t>Cancer</w:t>
      </w:r>
      <w:bookmarkEnd w:id="72"/>
      <w:bookmarkEnd w:id="73"/>
      <w:r w:rsidRPr="00FA1BDB">
        <w:rPr>
          <w:iCs/>
          <w:kern w:val="0"/>
        </w:rPr>
        <w:t xml:space="preserve"> Epidemiology</w:t>
      </w:r>
    </w:p>
    <w:p w:rsidR="002C12F0" w:rsidRPr="00217FB1" w:rsidRDefault="002C12F0" w:rsidP="002C12F0">
      <w:pPr>
        <w:pStyle w:val="12"/>
      </w:pPr>
      <w:r w:rsidRPr="00217FB1">
        <w:t xml:space="preserve">ISO Abbreviated Title: </w:t>
      </w:r>
    </w:p>
    <w:p w:rsidR="002C12F0" w:rsidRPr="00217FB1" w:rsidRDefault="002C12F0" w:rsidP="002C12F0">
      <w:pPr>
        <w:pStyle w:val="12"/>
      </w:pPr>
      <w:r w:rsidRPr="00217FB1">
        <w:t>JCR Abbreviated Title</w:t>
      </w:r>
      <w:r>
        <w:t>:</w:t>
      </w:r>
      <w:r w:rsidRPr="00217FB1">
        <w:t xml:space="preserve"> </w:t>
      </w:r>
    </w:p>
    <w:p w:rsidR="002C12F0" w:rsidRPr="00217FB1" w:rsidRDefault="002C12F0" w:rsidP="002C12F0">
      <w:pPr>
        <w:pStyle w:val="12"/>
      </w:pPr>
      <w:r w:rsidRPr="00217FB1">
        <w:t xml:space="preserve">ISSN: </w:t>
      </w:r>
    </w:p>
    <w:p w:rsidR="002C12F0" w:rsidRPr="00217FB1" w:rsidRDefault="002C12F0" w:rsidP="002C12F0">
      <w:pPr>
        <w:pStyle w:val="12"/>
      </w:pPr>
      <w:r w:rsidRPr="00217FB1">
        <w:t xml:space="preserve">Issues/Year: </w:t>
      </w:r>
    </w:p>
    <w:p w:rsidR="002C12F0" w:rsidRPr="00217FB1" w:rsidRDefault="002C12F0" w:rsidP="002C12F0">
      <w:pPr>
        <w:pStyle w:val="12"/>
      </w:pPr>
      <w:r>
        <w:t xml:space="preserve">Journal Country/Territory: </w:t>
      </w:r>
    </w:p>
    <w:p w:rsidR="002C12F0" w:rsidRPr="00217FB1" w:rsidRDefault="002C12F0" w:rsidP="002C12F0">
      <w:pPr>
        <w:pStyle w:val="12"/>
      </w:pPr>
      <w:r w:rsidRPr="00217FB1">
        <w:t xml:space="preserve">Language: </w:t>
      </w:r>
    </w:p>
    <w:p w:rsidR="002C12F0" w:rsidRPr="00217FB1" w:rsidRDefault="002C12F0" w:rsidP="002C12F0">
      <w:pPr>
        <w:pStyle w:val="12"/>
      </w:pPr>
      <w:r w:rsidRPr="00217FB1">
        <w:t xml:space="preserve">Publisher: </w:t>
      </w:r>
    </w:p>
    <w:p w:rsidR="002C12F0" w:rsidRPr="00217FB1" w:rsidRDefault="002C12F0" w:rsidP="002C12F0">
      <w:pPr>
        <w:pStyle w:val="12"/>
      </w:pPr>
      <w:r w:rsidRPr="00217FB1">
        <w:t xml:space="preserve">Publisher Address: </w:t>
      </w:r>
    </w:p>
    <w:p w:rsidR="002C12F0" w:rsidRPr="00217FB1" w:rsidRDefault="002C12F0" w:rsidP="002C12F0">
      <w:pPr>
        <w:pStyle w:val="12"/>
      </w:pPr>
      <w:r w:rsidRPr="00217FB1">
        <w:t>Subject Categories:</w:t>
      </w:r>
    </w:p>
    <w:p w:rsidR="002C12F0" w:rsidRPr="00217FB1" w:rsidRDefault="002C12F0" w:rsidP="002C12F0">
      <w:pPr>
        <w:pStyle w:val="12"/>
      </w:pPr>
      <w:r w:rsidRPr="00217FB1">
        <w:t xml:space="preserve">: Impact Factor </w:t>
      </w:r>
    </w:p>
    <w:p w:rsidR="002C12F0" w:rsidRDefault="002C12F0" w:rsidP="002C12F0">
      <w:pPr>
        <w:pStyle w:val="a3"/>
        <w:rPr>
          <w:kern w:val="0"/>
        </w:rPr>
      </w:pPr>
      <w:r>
        <w:rPr>
          <w:rFonts w:hint="eastAsia"/>
          <w:kern w:val="0"/>
        </w:rPr>
        <w:t xml:space="preserve">? </w:t>
      </w:r>
      <w:r>
        <w:rPr>
          <w:kern w:val="0"/>
        </w:rPr>
        <w:t>Alam, S.S., Cantwell, M.M., Cardwell, C.R., Cook, M.B.</w:t>
      </w:r>
      <w:r w:rsidR="005853A9">
        <w:rPr>
          <w:kern w:val="0"/>
        </w:rPr>
        <w:t xml:space="preserve"> and </w:t>
      </w:r>
      <w:r>
        <w:rPr>
          <w:kern w:val="0"/>
        </w:rPr>
        <w:t>Murray, L.J. (2010), Maternal body mass index</w:t>
      </w:r>
      <w:r w:rsidR="005853A9">
        <w:rPr>
          <w:kern w:val="0"/>
        </w:rPr>
        <w:t xml:space="preserve"> and </w:t>
      </w:r>
      <w:r>
        <w:rPr>
          <w:kern w:val="0"/>
        </w:rPr>
        <w:t>risk</w:t>
      </w:r>
      <w:r w:rsidR="00427468">
        <w:rPr>
          <w:kern w:val="0"/>
        </w:rPr>
        <w:t xml:space="preserve"> of </w:t>
      </w:r>
      <w:r>
        <w:rPr>
          <w:kern w:val="0"/>
        </w:rPr>
        <w:t>testicular cancer in male offspring: A systematic review</w:t>
      </w:r>
      <w:r w:rsidR="005853A9">
        <w:rPr>
          <w:kern w:val="0"/>
        </w:rPr>
        <w:t xml:space="preserve"> and </w:t>
      </w:r>
      <w:r>
        <w:rPr>
          <w:kern w:val="0"/>
        </w:rPr>
        <w:t xml:space="preserve">meta-analysis. </w:t>
      </w:r>
      <w:r w:rsidRPr="00FA1BDB">
        <w:rPr>
          <w:i/>
          <w:iCs/>
          <w:kern w:val="0"/>
        </w:rPr>
        <w:t>Cancer Epidemiology</w:t>
      </w:r>
      <w:r>
        <w:rPr>
          <w:kern w:val="0"/>
        </w:rPr>
        <w:t xml:space="preserve">, </w:t>
      </w:r>
      <w:r>
        <w:rPr>
          <w:b/>
          <w:bCs/>
          <w:kern w:val="0"/>
        </w:rPr>
        <w:t>34</w:t>
      </w:r>
      <w:r>
        <w:rPr>
          <w:kern w:val="0"/>
        </w:rPr>
        <w:t xml:space="preserve"> (5), 509-515.</w:t>
      </w:r>
    </w:p>
    <w:p w:rsidR="002C12F0" w:rsidRDefault="002C12F0" w:rsidP="002C12F0">
      <w:pPr>
        <w:pStyle w:val="a3"/>
        <w:rPr>
          <w:kern w:val="0"/>
        </w:rPr>
      </w:pPr>
      <w:r>
        <w:rPr>
          <w:kern w:val="0"/>
        </w:rPr>
        <w:t>Abstract: Objectives: To date a number</w:t>
      </w:r>
      <w:r w:rsidR="00427468">
        <w:rPr>
          <w:kern w:val="0"/>
        </w:rPr>
        <w:t xml:space="preserve"> of </w:t>
      </w:r>
      <w:r>
        <w:rPr>
          <w:kern w:val="0"/>
        </w:rPr>
        <w:t>studies have examined</w:t>
      </w:r>
      <w:r w:rsidR="003A1917">
        <w:rPr>
          <w:kern w:val="0"/>
        </w:rPr>
        <w:t xml:space="preserve"> the </w:t>
      </w:r>
      <w:r>
        <w:rPr>
          <w:kern w:val="0"/>
        </w:rPr>
        <w:t>association between maternal weight</w:t>
      </w:r>
      <w:r w:rsidR="005853A9">
        <w:rPr>
          <w:kern w:val="0"/>
        </w:rPr>
        <w:t xml:space="preserve"> and </w:t>
      </w:r>
      <w:r>
        <w:rPr>
          <w:kern w:val="0"/>
        </w:rPr>
        <w:t>testicular cancer risk although results have been largely inconsistent. This systematic review</w:t>
      </w:r>
      <w:r w:rsidR="005853A9">
        <w:rPr>
          <w:kern w:val="0"/>
        </w:rPr>
        <w:t xml:space="preserve"> and </w:t>
      </w:r>
      <w:r>
        <w:rPr>
          <w:kern w:val="0"/>
        </w:rPr>
        <w:t>meta-analysis investigated</w:t>
      </w:r>
      <w:r w:rsidR="003A1917">
        <w:rPr>
          <w:kern w:val="0"/>
        </w:rPr>
        <w:t xml:space="preserve"> the </w:t>
      </w:r>
      <w:r>
        <w:rPr>
          <w:kern w:val="0"/>
        </w:rPr>
        <w:t>nature</w:t>
      </w:r>
      <w:r w:rsidR="00427468">
        <w:rPr>
          <w:kern w:val="0"/>
        </w:rPr>
        <w:t xml:space="preserve"> of </w:t>
      </w:r>
      <w:r>
        <w:rPr>
          <w:kern w:val="0"/>
        </w:rPr>
        <w:t xml:space="preserve">this association. Methods: Search strategies were conducted in Ovid </w:t>
      </w:r>
      <w:r w:rsidR="00D5664A">
        <w:rPr>
          <w:kern w:val="0"/>
        </w:rPr>
        <w:t>MEDLINE</w:t>
      </w:r>
      <w:r>
        <w:rPr>
          <w:kern w:val="0"/>
        </w:rPr>
        <w:t xml:space="preserve"> (1950-2009), EMBASE (1980-2009), </w:t>
      </w:r>
      <w:r w:rsidR="00D5664A">
        <w:rPr>
          <w:kern w:val="0"/>
        </w:rPr>
        <w:t>Web</w:t>
      </w:r>
      <w:r w:rsidR="00427468">
        <w:rPr>
          <w:kern w:val="0"/>
        </w:rPr>
        <w:t xml:space="preserve"> of </w:t>
      </w:r>
      <w:r w:rsidR="00D5664A">
        <w:rPr>
          <w:kern w:val="0"/>
        </w:rPr>
        <w:t>Science</w:t>
      </w:r>
      <w:r>
        <w:rPr>
          <w:kern w:val="0"/>
        </w:rPr>
        <w:t xml:space="preserve"> (1970-2009),</w:t>
      </w:r>
      <w:r w:rsidR="005853A9">
        <w:rPr>
          <w:kern w:val="0"/>
        </w:rPr>
        <w:t xml:space="preserve"> and </w:t>
      </w:r>
      <w:r>
        <w:rPr>
          <w:kern w:val="0"/>
        </w:rPr>
        <w:t>CINAHL (1937-2009) using keywords for maternal weight (BMI)</w:t>
      </w:r>
      <w:r w:rsidR="005853A9">
        <w:rPr>
          <w:kern w:val="0"/>
        </w:rPr>
        <w:t xml:space="preserve"> and </w:t>
      </w:r>
      <w:r>
        <w:rPr>
          <w:kern w:val="0"/>
        </w:rPr>
        <w:t>testicular cancer. Results:</w:t>
      </w:r>
      <w:r w:rsidR="003A1917">
        <w:rPr>
          <w:kern w:val="0"/>
        </w:rPr>
        <w:t xml:space="preserve"> the </w:t>
      </w:r>
      <w:r>
        <w:rPr>
          <w:kern w:val="0"/>
        </w:rPr>
        <w:t>literature search produced 1689 hits from which 63 papers were extracted. Only 7 studies met</w:t>
      </w:r>
      <w:r w:rsidR="003A1917">
        <w:rPr>
          <w:kern w:val="0"/>
        </w:rPr>
        <w:t xml:space="preserve"> the </w:t>
      </w:r>
      <w:r>
        <w:rPr>
          <w:kern w:val="0"/>
        </w:rPr>
        <w:t>pre-defined criteria. Random effects meta-analyses were conducted</w:t>
      </w:r>
      <w:r w:rsidR="00A37C1D">
        <w:rPr>
          <w:kern w:val="0"/>
        </w:rPr>
        <w:t>. The</w:t>
      </w:r>
      <w:r w:rsidR="003A1917">
        <w:rPr>
          <w:kern w:val="0"/>
        </w:rPr>
        <w:t xml:space="preserve"> </w:t>
      </w:r>
      <w:r>
        <w:rPr>
          <w:kern w:val="0"/>
        </w:rPr>
        <w:t>combined unadjusted OR (95% Cl)</w:t>
      </w:r>
      <w:r w:rsidR="00427468">
        <w:rPr>
          <w:kern w:val="0"/>
        </w:rPr>
        <w:t xml:space="preserve"> of </w:t>
      </w:r>
      <w:r>
        <w:rPr>
          <w:kern w:val="0"/>
        </w:rPr>
        <w:t>testicular cancer in</w:t>
      </w:r>
      <w:r w:rsidR="003A1917">
        <w:rPr>
          <w:kern w:val="0"/>
        </w:rPr>
        <w:t xml:space="preserve"> the </w:t>
      </w:r>
      <w:r>
        <w:rPr>
          <w:kern w:val="0"/>
        </w:rPr>
        <w:t>highest reported category</w:t>
      </w:r>
      <w:r w:rsidR="00427468">
        <w:rPr>
          <w:kern w:val="0"/>
        </w:rPr>
        <w:t xml:space="preserve"> of </w:t>
      </w:r>
      <w:r>
        <w:rPr>
          <w:kern w:val="0"/>
        </w:rPr>
        <w:t>maternal BMI compared with</w:t>
      </w:r>
      <w:r w:rsidR="003A1917">
        <w:rPr>
          <w:kern w:val="0"/>
        </w:rPr>
        <w:t xml:space="preserve"> the </w:t>
      </w:r>
      <w:r>
        <w:rPr>
          <w:kern w:val="0"/>
        </w:rPr>
        <w:t>moderate maternal BMI was 0.82 (0.65-1.02)</w:t>
      </w:r>
      <w:r w:rsidR="00A37C1D">
        <w:rPr>
          <w:kern w:val="0"/>
        </w:rPr>
        <w:t>. The</w:t>
      </w:r>
      <w:r w:rsidR="003A1917">
        <w:rPr>
          <w:kern w:val="0"/>
        </w:rPr>
        <w:t xml:space="preserve"> </w:t>
      </w:r>
      <w:r>
        <w:rPr>
          <w:kern w:val="0"/>
        </w:rPr>
        <w:t>Cochran</w:t>
      </w:r>
      <w:r w:rsidR="0071223E">
        <w:rPr>
          <w:kern w:val="0"/>
        </w:rPr>
        <w:t>’</w:t>
      </w:r>
      <w:r w:rsidR="00C13DDC">
        <w:rPr>
          <w:kern w:val="0"/>
        </w:rPr>
        <w:t>s</w:t>
      </w:r>
      <w:r>
        <w:rPr>
          <w:kern w:val="0"/>
        </w:rPr>
        <w:t xml:space="preserve"> Q P value was 0.82</w:t>
      </w:r>
      <w:r w:rsidR="005853A9">
        <w:rPr>
          <w:kern w:val="0"/>
        </w:rPr>
        <w:t xml:space="preserve"> and </w:t>
      </w:r>
      <w:r w:rsidR="003A1917">
        <w:rPr>
          <w:kern w:val="0"/>
        </w:rPr>
        <w:t xml:space="preserve">the </w:t>
      </w:r>
      <w:r>
        <w:rPr>
          <w:kern w:val="0"/>
        </w:rPr>
        <w:t>corresponding I(2) was 0%, both indicating very little variability among studies</w:t>
      </w:r>
      <w:r w:rsidR="00A37C1D">
        <w:rPr>
          <w:kern w:val="0"/>
        </w:rPr>
        <w:t>. The</w:t>
      </w:r>
      <w:r w:rsidR="003A1917">
        <w:rPr>
          <w:kern w:val="0"/>
        </w:rPr>
        <w:t xml:space="preserve"> </w:t>
      </w:r>
      <w:r>
        <w:rPr>
          <w:kern w:val="0"/>
        </w:rPr>
        <w:t>combined unadjusted OR (95% Cl) for testicular cancer risk in</w:t>
      </w:r>
      <w:r w:rsidR="003A1917">
        <w:rPr>
          <w:kern w:val="0"/>
        </w:rPr>
        <w:t xml:space="preserve"> the </w:t>
      </w:r>
      <w:r>
        <w:rPr>
          <w:kern w:val="0"/>
        </w:rPr>
        <w:t>lowest reported category</w:t>
      </w:r>
      <w:r w:rsidR="00427468">
        <w:rPr>
          <w:kern w:val="0"/>
        </w:rPr>
        <w:t xml:space="preserve"> of </w:t>
      </w:r>
      <w:r>
        <w:rPr>
          <w:kern w:val="0"/>
        </w:rPr>
        <w:t>maternal BMI compared to a moderate maternal BMI category was 0.88 (0.65-1.20)</w:t>
      </w:r>
      <w:r w:rsidR="00A37C1D">
        <w:rPr>
          <w:kern w:val="0"/>
        </w:rPr>
        <w:t>. The</w:t>
      </w:r>
      <w:r w:rsidR="003A1917">
        <w:rPr>
          <w:kern w:val="0"/>
        </w:rPr>
        <w:t xml:space="preserve"> </w:t>
      </w:r>
      <w:r>
        <w:rPr>
          <w:kern w:val="0"/>
        </w:rPr>
        <w:t>Cochran</w:t>
      </w:r>
      <w:r w:rsidR="0071223E">
        <w:rPr>
          <w:kern w:val="0"/>
        </w:rPr>
        <w:t>’</w:t>
      </w:r>
      <w:r w:rsidR="00C13DDC">
        <w:rPr>
          <w:kern w:val="0"/>
        </w:rPr>
        <w:t>s</w:t>
      </w:r>
      <w:r>
        <w:rPr>
          <w:kern w:val="0"/>
        </w:rPr>
        <w:t xml:space="preserve"> Q P value was 0.05</w:t>
      </w:r>
      <w:r w:rsidR="005853A9">
        <w:rPr>
          <w:kern w:val="0"/>
        </w:rPr>
        <w:t xml:space="preserve"> and </w:t>
      </w:r>
      <w:r w:rsidR="003A1917">
        <w:rPr>
          <w:kern w:val="0"/>
        </w:rPr>
        <w:t xml:space="preserve">the </w:t>
      </w:r>
      <w:r>
        <w:rPr>
          <w:kern w:val="0"/>
        </w:rPr>
        <w:t>corresponding I(2) was 54%, indicating evidence</w:t>
      </w:r>
      <w:r w:rsidR="00427468">
        <w:rPr>
          <w:kern w:val="0"/>
        </w:rPr>
        <w:t xml:space="preserve"> of </w:t>
      </w:r>
      <w:r>
        <w:rPr>
          <w:kern w:val="0"/>
        </w:rPr>
        <w:t>statistical heterogeneity</w:t>
      </w:r>
      <w:r w:rsidR="00A37C1D">
        <w:rPr>
          <w:kern w:val="0"/>
        </w:rPr>
        <w:t>. The</w:t>
      </w:r>
      <w:r w:rsidR="003A1917">
        <w:rPr>
          <w:kern w:val="0"/>
        </w:rPr>
        <w:t xml:space="preserve"> </w:t>
      </w:r>
      <w:r>
        <w:rPr>
          <w:kern w:val="0"/>
        </w:rPr>
        <w:t>combined unadjusted OR (95% Cl)</w:t>
      </w:r>
      <w:r w:rsidR="00427468">
        <w:rPr>
          <w:kern w:val="0"/>
        </w:rPr>
        <w:t xml:space="preserve"> of </w:t>
      </w:r>
      <w:r>
        <w:rPr>
          <w:kern w:val="0"/>
        </w:rPr>
        <w:t>testicular cancer risk per unit increase in maternal BMI was 1.01 (0.97-1.06)</w:t>
      </w:r>
      <w:r w:rsidR="00A37C1D">
        <w:rPr>
          <w:kern w:val="0"/>
        </w:rPr>
        <w:t>. The</w:t>
      </w:r>
      <w:r w:rsidR="003A1917">
        <w:rPr>
          <w:kern w:val="0"/>
        </w:rPr>
        <w:t xml:space="preserve"> </w:t>
      </w:r>
      <w:r>
        <w:rPr>
          <w:kern w:val="0"/>
        </w:rPr>
        <w:t>Cochran</w:t>
      </w:r>
      <w:r w:rsidR="0071223E">
        <w:rPr>
          <w:kern w:val="0"/>
        </w:rPr>
        <w:t>’</w:t>
      </w:r>
      <w:r w:rsidR="00C13DDC">
        <w:rPr>
          <w:kern w:val="0"/>
        </w:rPr>
        <w:t>s</w:t>
      </w:r>
      <w:r>
        <w:rPr>
          <w:kern w:val="0"/>
        </w:rPr>
        <w:t xml:space="preserve"> Q test had a P value</w:t>
      </w:r>
      <w:r w:rsidR="00427468">
        <w:rPr>
          <w:kern w:val="0"/>
        </w:rPr>
        <w:t xml:space="preserve"> of </w:t>
      </w:r>
      <w:r>
        <w:rPr>
          <w:kern w:val="0"/>
        </w:rPr>
        <w:t>0.05</w:t>
      </w:r>
      <w:r w:rsidR="005853A9">
        <w:rPr>
          <w:kern w:val="0"/>
        </w:rPr>
        <w:t xml:space="preserve"> and </w:t>
      </w:r>
      <w:r w:rsidR="003A1917">
        <w:rPr>
          <w:kern w:val="0"/>
        </w:rPr>
        <w:t xml:space="preserve">the </w:t>
      </w:r>
      <w:r>
        <w:rPr>
          <w:kern w:val="0"/>
        </w:rPr>
        <w:t>corresponding I(2) was 55% indicating evidence</w:t>
      </w:r>
      <w:r w:rsidR="00427468">
        <w:rPr>
          <w:kern w:val="0"/>
        </w:rPr>
        <w:t xml:space="preserve"> of </w:t>
      </w:r>
      <w:r>
        <w:rPr>
          <w:kern w:val="0"/>
        </w:rPr>
        <w:t>statistical heterogeneity. Conclusion: This meta-analysis, which included a small number</w:t>
      </w:r>
      <w:r w:rsidR="00427468">
        <w:rPr>
          <w:kern w:val="0"/>
        </w:rPr>
        <w:t xml:space="preserve"> of </w:t>
      </w:r>
      <w:r>
        <w:rPr>
          <w:kern w:val="0"/>
        </w:rPr>
        <w:t>studies, showed that a higher maternal weight does not increase</w:t>
      </w:r>
      <w:r w:rsidR="003A1917">
        <w:rPr>
          <w:kern w:val="0"/>
        </w:rPr>
        <w:t xml:space="preserve"> the </w:t>
      </w:r>
      <w:r>
        <w:rPr>
          <w:kern w:val="0"/>
        </w:rPr>
        <w:t>risk</w:t>
      </w:r>
      <w:r w:rsidR="00427468">
        <w:rPr>
          <w:kern w:val="0"/>
        </w:rPr>
        <w:t xml:space="preserve"> of </w:t>
      </w:r>
      <w:r>
        <w:rPr>
          <w:kern w:val="0"/>
        </w:rPr>
        <w:t>testicular cancer in male offspring. Though an inverse association between high maternal BMI</w:t>
      </w:r>
      <w:r w:rsidR="005853A9">
        <w:rPr>
          <w:kern w:val="0"/>
        </w:rPr>
        <w:t xml:space="preserve"> and </w:t>
      </w:r>
      <w:r>
        <w:rPr>
          <w:kern w:val="0"/>
        </w:rPr>
        <w:t xml:space="preserve">testicular cancer risk was detected, it </w:t>
      </w:r>
      <w:r>
        <w:rPr>
          <w:kern w:val="0"/>
        </w:rPr>
        <w:lastRenderedPageBreak/>
        <w:t>was not statistically significant. Further primary studies with adjustment for appropriate confounders are required. (C) 2010 Elsevier Ltd. All rights reserved.</w:t>
      </w:r>
    </w:p>
    <w:p w:rsidR="002C12F0" w:rsidRDefault="002C12F0" w:rsidP="002C12F0">
      <w:pPr>
        <w:pStyle w:val="a3"/>
        <w:rPr>
          <w:kern w:val="0"/>
        </w:rPr>
      </w:pPr>
      <w:r>
        <w:rPr>
          <w:kern w:val="0"/>
        </w:rPr>
        <w:t xml:space="preserve">Keywords: Age, Birth-Order, Bmi, Body Mass Index, Cancer, Cohort, Cryptorchidism, Disorders, Epidemiology, Estrogen Exposure, Germ-Cell Cancer, Literature, Maternal, Meta-Analysis, Methods, Obesity, Papers, Parity, Pregnancy, Pregnancy, Primary, Review, Risk, Science, Statistical, Systematic, Systematic Review, Testicular Cancer, Testicular Neoplasms, Variability, </w:t>
      </w:r>
      <w:r w:rsidR="00D5664A">
        <w:rPr>
          <w:kern w:val="0"/>
        </w:rPr>
        <w:t>Web</w:t>
      </w:r>
      <w:r w:rsidR="00427468">
        <w:rPr>
          <w:kern w:val="0"/>
        </w:rPr>
        <w:t xml:space="preserve"> of </w:t>
      </w:r>
      <w:r w:rsidR="00D5664A">
        <w:rPr>
          <w:kern w:val="0"/>
        </w:rPr>
        <w:t>Science</w:t>
      </w:r>
      <w:r>
        <w:rPr>
          <w:kern w:val="0"/>
        </w:rPr>
        <w:t>, Weight</w:t>
      </w:r>
    </w:p>
    <w:p w:rsidR="00A42989" w:rsidRPr="00AE5279" w:rsidRDefault="00A42989" w:rsidP="00A42989">
      <w:pPr>
        <w:pStyle w:val="1"/>
      </w:pPr>
      <w:r w:rsidRPr="00C73C58">
        <w:br w:type="page"/>
      </w:r>
      <w:bookmarkStart w:id="74" w:name="_Toc420814900"/>
      <w:r w:rsidRPr="00C73C58">
        <w:lastRenderedPageBreak/>
        <w:t>Title: Cancer Epidemiology Biomarkers &amp; Preven</w:t>
      </w:r>
      <w:bookmarkStart w:id="75" w:name="_Toc258612132"/>
      <w:r w:rsidRPr="00C73C58">
        <w:t>tion</w:t>
      </w:r>
      <w:bookmarkEnd w:id="74"/>
    </w:p>
    <w:p w:rsidR="00A42989" w:rsidRPr="00C73C58" w:rsidRDefault="00A42989" w:rsidP="00A42989">
      <w:pPr>
        <w:pStyle w:val="12"/>
      </w:pPr>
      <w:r w:rsidRPr="00C73C58">
        <w:t xml:space="preserve">Full Journal Title: </w:t>
      </w:r>
      <w:r w:rsidR="00DF61FE">
        <w:fldChar w:fldCharType="begin"/>
      </w:r>
      <w:r w:rsidR="00FD158B">
        <w:instrText>HYPERLINK "http://cebp.a</w:instrText>
      </w:r>
      <w:bookmarkEnd w:id="75"/>
      <w:r w:rsidR="00FD158B">
        <w:instrText>acrjournals.org/content/by/year"</w:instrText>
      </w:r>
      <w:r w:rsidR="00DF61FE">
        <w:fldChar w:fldCharType="separate"/>
      </w:r>
      <w:r w:rsidRPr="00C73C58">
        <w:rPr>
          <w:rStyle w:val="a5"/>
        </w:rPr>
        <w:t>Cancer Epidemiology Biomarkers &amp; Prevention</w:t>
      </w:r>
      <w:r w:rsidR="00DF61FE">
        <w:fldChar w:fldCharType="end"/>
      </w:r>
    </w:p>
    <w:p w:rsidR="00A42989" w:rsidRPr="00C73C58" w:rsidRDefault="00A42989" w:rsidP="00A42989">
      <w:pPr>
        <w:pStyle w:val="12"/>
      </w:pPr>
      <w:r w:rsidRPr="00C73C58">
        <w:t>ISO Abbreviated Title: Cancer Epidemiol. Biomarkers Prev.</w:t>
      </w:r>
    </w:p>
    <w:p w:rsidR="00A42989" w:rsidRPr="00C73C58" w:rsidRDefault="00A42989" w:rsidP="00A42989">
      <w:pPr>
        <w:pStyle w:val="12"/>
      </w:pPr>
      <w:r w:rsidRPr="00C73C58">
        <w:t>JCR Abbreviated Title: Cancer Epidem Biomar</w:t>
      </w:r>
    </w:p>
    <w:p w:rsidR="00A42989" w:rsidRPr="00C73C58" w:rsidRDefault="00A42989" w:rsidP="00A42989">
      <w:pPr>
        <w:pStyle w:val="12"/>
      </w:pPr>
      <w:r w:rsidRPr="00C73C58">
        <w:t>ISSN: 1055-9965</w:t>
      </w:r>
    </w:p>
    <w:p w:rsidR="00A42989" w:rsidRPr="00C73C58" w:rsidRDefault="00A42989" w:rsidP="00A42989">
      <w:pPr>
        <w:pStyle w:val="12"/>
      </w:pPr>
      <w:r w:rsidRPr="00C73C58">
        <w:t>Issues/Year: 12</w:t>
      </w:r>
    </w:p>
    <w:p w:rsidR="00A42989" w:rsidRPr="00C73C58" w:rsidRDefault="00A42989" w:rsidP="00A42989">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42989" w:rsidRPr="00C73C58" w:rsidRDefault="00A42989" w:rsidP="00A42989">
      <w:pPr>
        <w:pStyle w:val="12"/>
      </w:pPr>
      <w:r w:rsidRPr="00C73C58">
        <w:t>Language: English</w:t>
      </w:r>
    </w:p>
    <w:p w:rsidR="00A42989" w:rsidRPr="00C73C58" w:rsidRDefault="00A42989" w:rsidP="00A42989">
      <w:pPr>
        <w:pStyle w:val="12"/>
      </w:pPr>
      <w:r w:rsidRPr="00C73C58">
        <w:t>Publisher: Amer Assoc Cancer Research</w:t>
      </w:r>
    </w:p>
    <w:p w:rsidR="00A42989" w:rsidRPr="00C73C58" w:rsidRDefault="00A42989" w:rsidP="00A42989">
      <w:pPr>
        <w:pStyle w:val="12"/>
      </w:pPr>
      <w:r w:rsidRPr="00C73C58">
        <w:t xml:space="preserve">Publisher Address: PO Box 11806, Birmingham, AL </w:t>
      </w:r>
      <w:smartTag w:uri="urn:schemas-microsoft-com:office:smarttags" w:element="PostalCode">
        <w:r w:rsidRPr="00C73C58">
          <w:t>35202</w:t>
        </w:r>
      </w:smartTag>
    </w:p>
    <w:p w:rsidR="00A42989" w:rsidRPr="00C73C58" w:rsidRDefault="00A42989" w:rsidP="00A42989">
      <w:pPr>
        <w:pStyle w:val="12"/>
      </w:pPr>
      <w:r w:rsidRPr="00C73C58">
        <w:t xml:space="preserve">Subject Categories: </w:t>
      </w:r>
    </w:p>
    <w:p w:rsidR="00A42989" w:rsidRPr="00C73C58" w:rsidRDefault="00A42989" w:rsidP="00A42989">
      <w:pPr>
        <w:pStyle w:val="12"/>
      </w:pPr>
      <w:r w:rsidRPr="00C73C58">
        <w:t>Oncology: Impact Factor 4.354, 10/103 (2000); Impact Factor 5.140, 14/114 (2002)</w:t>
      </w:r>
    </w:p>
    <w:p w:rsidR="00A42989" w:rsidRPr="00C73C58" w:rsidRDefault="00A42989" w:rsidP="00A42989">
      <w:pPr>
        <w:pStyle w:val="12"/>
      </w:pPr>
      <w:r w:rsidRPr="00C73C58">
        <w:t>Public, Environmental &amp; Occupational Health: Impact Factor 3.572, 3/85 (1999); Impact Factor 4.354, 2/89 (2000)</w:t>
      </w:r>
    </w:p>
    <w:p w:rsidR="002C12F0" w:rsidRDefault="002C12F0" w:rsidP="002C12F0">
      <w:pPr>
        <w:pStyle w:val="a3"/>
        <w:rPr>
          <w:kern w:val="0"/>
        </w:rPr>
      </w:pPr>
      <w:r>
        <w:rPr>
          <w:rFonts w:hint="eastAsia"/>
          <w:kern w:val="0"/>
        </w:rPr>
        <w:t xml:space="preserve">? </w:t>
      </w:r>
      <w:r>
        <w:rPr>
          <w:kern w:val="0"/>
        </w:rPr>
        <w:t>Gandini, S., Lowenfels, A.B., Jaffee, E.M., Armstrong, T.D.</w:t>
      </w:r>
      <w:r w:rsidR="005853A9">
        <w:rPr>
          <w:kern w:val="0"/>
        </w:rPr>
        <w:t xml:space="preserve"> and </w:t>
      </w:r>
      <w:r>
        <w:rPr>
          <w:kern w:val="0"/>
        </w:rPr>
        <w:t>Maisonneuve, P. (2005), Allergies</w:t>
      </w:r>
      <w:r w:rsidR="005853A9">
        <w:rPr>
          <w:kern w:val="0"/>
        </w:rPr>
        <w:t xml:space="preserve"> and </w:t>
      </w:r>
      <w:r w:rsidR="003A1917">
        <w:rPr>
          <w:kern w:val="0"/>
        </w:rPr>
        <w:t xml:space="preserve">the </w:t>
      </w:r>
      <w:r>
        <w:rPr>
          <w:kern w:val="0"/>
        </w:rPr>
        <w:t>risk</w:t>
      </w:r>
      <w:r w:rsidR="00427468">
        <w:rPr>
          <w:kern w:val="0"/>
        </w:rPr>
        <w:t xml:space="preserve"> of </w:t>
      </w:r>
      <w:r>
        <w:rPr>
          <w:kern w:val="0"/>
        </w:rPr>
        <w:t>pancreatic cancer: A meta-analysis with review</w:t>
      </w:r>
      <w:r w:rsidR="00427468">
        <w:rPr>
          <w:kern w:val="0"/>
        </w:rPr>
        <w:t xml:space="preserve"> of </w:t>
      </w:r>
      <w:r>
        <w:rPr>
          <w:kern w:val="0"/>
        </w:rPr>
        <w:t>epidemiology</w:t>
      </w:r>
      <w:r w:rsidR="005853A9">
        <w:rPr>
          <w:kern w:val="0"/>
        </w:rPr>
        <w:t xml:space="preserve"> and </w:t>
      </w:r>
      <w:r>
        <w:rPr>
          <w:kern w:val="0"/>
        </w:rPr>
        <w:t xml:space="preserve">biological mechanisms. </w:t>
      </w:r>
      <w:r>
        <w:rPr>
          <w:i/>
          <w:iCs/>
          <w:kern w:val="0"/>
        </w:rPr>
        <w:t>Cancer Epidemiology Biomarkers &amp; Prevention</w:t>
      </w:r>
      <w:r>
        <w:rPr>
          <w:kern w:val="0"/>
        </w:rPr>
        <w:t xml:space="preserve">, </w:t>
      </w:r>
      <w:r>
        <w:rPr>
          <w:b/>
          <w:bCs/>
          <w:kern w:val="0"/>
        </w:rPr>
        <w:t>14</w:t>
      </w:r>
      <w:r>
        <w:rPr>
          <w:kern w:val="0"/>
        </w:rPr>
        <w:t xml:space="preserve"> (8), 1908-1916.</w:t>
      </w:r>
    </w:p>
    <w:p w:rsidR="002C12F0" w:rsidRPr="00C73C58" w:rsidRDefault="002C12F0" w:rsidP="002C12F0">
      <w:pPr>
        <w:pStyle w:val="a3"/>
      </w:pPr>
      <w:r w:rsidRPr="00C73C58">
        <w:t xml:space="preserve">Full Text: </w:t>
      </w:r>
      <w:r>
        <w:rPr>
          <w:rFonts w:hint="eastAsia"/>
        </w:rPr>
        <w:t>2005</w:t>
      </w:r>
      <w:r>
        <w:t>\Can Epi Bio Pre</w:t>
      </w:r>
      <w:r>
        <w:rPr>
          <w:rFonts w:hint="eastAsia"/>
        </w:rPr>
        <w:t>14</w:t>
      </w:r>
      <w:r>
        <w:t xml:space="preserve">, </w:t>
      </w:r>
      <w:r>
        <w:rPr>
          <w:rFonts w:hint="eastAsia"/>
        </w:rPr>
        <w:t>1908</w:t>
      </w:r>
      <w:r w:rsidRPr="00106F37">
        <w:t>.pdf</w:t>
      </w:r>
    </w:p>
    <w:p w:rsidR="002C12F0" w:rsidRDefault="002C12F0" w:rsidP="002C12F0">
      <w:pPr>
        <w:pStyle w:val="a3"/>
        <w:rPr>
          <w:kern w:val="0"/>
        </w:rPr>
      </w:pPr>
      <w:r>
        <w:rPr>
          <w:kern w:val="0"/>
        </w:rPr>
        <w:t>Abstract: Previous reports suggest that allergic disorders may protect against various types</w:t>
      </w:r>
      <w:r w:rsidR="00427468">
        <w:rPr>
          <w:kern w:val="0"/>
        </w:rPr>
        <w:t xml:space="preserve"> of </w:t>
      </w:r>
      <w:r>
        <w:rPr>
          <w:kern w:val="0"/>
        </w:rPr>
        <w:t>cancer, but</w:t>
      </w:r>
      <w:r w:rsidR="003A1917">
        <w:rPr>
          <w:kern w:val="0"/>
        </w:rPr>
        <w:t xml:space="preserve"> the </w:t>
      </w:r>
      <w:r>
        <w:rPr>
          <w:kern w:val="0"/>
        </w:rPr>
        <w:t>association between history</w:t>
      </w:r>
      <w:r w:rsidR="00427468">
        <w:rPr>
          <w:kern w:val="0"/>
        </w:rPr>
        <w:t xml:space="preserve"> of </w:t>
      </w:r>
      <w:r>
        <w:rPr>
          <w:kern w:val="0"/>
        </w:rPr>
        <w:t>allergy</w:t>
      </w:r>
      <w:r w:rsidR="005853A9">
        <w:rPr>
          <w:kern w:val="0"/>
        </w:rPr>
        <w:t xml:space="preserve"> and </w:t>
      </w:r>
      <w:r>
        <w:rPr>
          <w:kern w:val="0"/>
        </w:rPr>
        <w:t>pancreatic cancer risk has not been well studied. We did a systematic review</w:t>
      </w:r>
      <w:r w:rsidR="005853A9">
        <w:rPr>
          <w:kern w:val="0"/>
        </w:rPr>
        <w:t xml:space="preserve"> and </w:t>
      </w:r>
      <w:r>
        <w:rPr>
          <w:kern w:val="0"/>
        </w:rPr>
        <w:t>meta-analysis</w:t>
      </w:r>
      <w:r w:rsidR="00427468">
        <w:rPr>
          <w:kern w:val="0"/>
        </w:rPr>
        <w:t xml:space="preserve"> of </w:t>
      </w:r>
      <w:r>
        <w:rPr>
          <w:kern w:val="0"/>
        </w:rPr>
        <w:t>published studies to evaluate</w:t>
      </w:r>
      <w:r w:rsidR="003A1917">
        <w:rPr>
          <w:kern w:val="0"/>
        </w:rPr>
        <w:t xml:space="preserve"> the </w:t>
      </w:r>
      <w:r>
        <w:rPr>
          <w:kern w:val="0"/>
        </w:rPr>
        <w:t>association</w:t>
      </w:r>
      <w:r w:rsidR="00427468">
        <w:rPr>
          <w:kern w:val="0"/>
        </w:rPr>
        <w:t xml:space="preserve"> of </w:t>
      </w:r>
      <w:r>
        <w:rPr>
          <w:kern w:val="0"/>
        </w:rPr>
        <w:t>any type,</w:t>
      </w:r>
      <w:r w:rsidR="005853A9">
        <w:rPr>
          <w:kern w:val="0"/>
        </w:rPr>
        <w:t xml:space="preserve"> and </w:t>
      </w:r>
      <w:r>
        <w:rPr>
          <w:kern w:val="0"/>
        </w:rPr>
        <w:t>specific types,</w:t>
      </w:r>
      <w:r w:rsidR="00427468">
        <w:rPr>
          <w:kern w:val="0"/>
        </w:rPr>
        <w:t xml:space="preserve"> of </w:t>
      </w:r>
      <w:r>
        <w:rPr>
          <w:kern w:val="0"/>
        </w:rPr>
        <w:t>allergy</w:t>
      </w:r>
      <w:r w:rsidR="005853A9">
        <w:rPr>
          <w:kern w:val="0"/>
        </w:rPr>
        <w:t xml:space="preserve"> and </w:t>
      </w:r>
      <w:r w:rsidR="003A1917">
        <w:rPr>
          <w:kern w:val="0"/>
        </w:rPr>
        <w:t xml:space="preserve">the </w:t>
      </w:r>
      <w:r>
        <w:rPr>
          <w:kern w:val="0"/>
        </w:rPr>
        <w:t>risk</w:t>
      </w:r>
      <w:r w:rsidR="00427468">
        <w:rPr>
          <w:kern w:val="0"/>
        </w:rPr>
        <w:t xml:space="preserve"> of </w:t>
      </w:r>
      <w:r>
        <w:rPr>
          <w:kern w:val="0"/>
        </w:rPr>
        <w:t xml:space="preserve">pancreatic cancer. We did a comprehensive literature search using </w:t>
      </w:r>
      <w:r w:rsidR="00D5664A">
        <w:rPr>
          <w:kern w:val="0"/>
        </w:rPr>
        <w:t>MEDLINE</w:t>
      </w:r>
      <w:r>
        <w:rPr>
          <w:kern w:val="0"/>
        </w:rPr>
        <w:t>, PUBMED,</w:t>
      </w:r>
      <w:r w:rsidR="005853A9">
        <w:rPr>
          <w:kern w:val="0"/>
        </w:rPr>
        <w:t xml:space="preserve"> and </w:t>
      </w:r>
      <w:r w:rsidR="003A1917">
        <w:rPr>
          <w:kern w:val="0"/>
        </w:rPr>
        <w:t xml:space="preserve">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 to identify potential relevant case-control</w:t>
      </w:r>
      <w:r w:rsidR="005853A9">
        <w:rPr>
          <w:kern w:val="0"/>
        </w:rPr>
        <w:t xml:space="preserve"> and </w:t>
      </w:r>
      <w:r>
        <w:rPr>
          <w:kern w:val="0"/>
        </w:rPr>
        <w:t>cohort studies. Pooled relative risks (RR)</w:t>
      </w:r>
      <w:r w:rsidR="005853A9">
        <w:rPr>
          <w:kern w:val="0"/>
        </w:rPr>
        <w:t xml:space="preserve"> and </w:t>
      </w:r>
      <w:r>
        <w:rPr>
          <w:kern w:val="0"/>
        </w:rPr>
        <w:t>95% confidence intervals (95% CI) were calculated using</w:t>
      </w:r>
      <w:r w:rsidR="003A1917">
        <w:rPr>
          <w:kern w:val="0"/>
        </w:rPr>
        <w:t xml:space="preserve"> the </w:t>
      </w:r>
      <w:r>
        <w:rPr>
          <w:kern w:val="0"/>
        </w:rPr>
        <w:t>fixed-</w:t>
      </w:r>
      <w:r w:rsidR="005853A9">
        <w:rPr>
          <w:kern w:val="0"/>
        </w:rPr>
        <w:t xml:space="preserve"> and </w:t>
      </w:r>
      <w:r>
        <w:rPr>
          <w:kern w:val="0"/>
        </w:rPr>
        <w:t>random-effects model. Fourteen population-based studies (4 cohort</w:t>
      </w:r>
      <w:r w:rsidR="005853A9">
        <w:rPr>
          <w:kern w:val="0"/>
        </w:rPr>
        <w:t xml:space="preserve"> and </w:t>
      </w:r>
      <w:r>
        <w:rPr>
          <w:kern w:val="0"/>
        </w:rPr>
        <w:t>10 case-control studies) with a total</w:t>
      </w:r>
      <w:r w:rsidR="00427468">
        <w:rPr>
          <w:kern w:val="0"/>
        </w:rPr>
        <w:t xml:space="preserve"> of </w:t>
      </w:r>
      <w:r>
        <w:rPr>
          <w:kern w:val="0"/>
        </w:rPr>
        <w:t>3,040 pancreatic cancer cases fulfilled our inclusion criteria. A history</w:t>
      </w:r>
      <w:r w:rsidR="00427468">
        <w:rPr>
          <w:kern w:val="0"/>
        </w:rPr>
        <w:t xml:space="preserve"> of </w:t>
      </w:r>
      <w:r>
        <w:rPr>
          <w:kern w:val="0"/>
        </w:rPr>
        <w:t>allergy was associated with a reduced risk</w:t>
      </w:r>
      <w:r w:rsidR="00427468">
        <w:rPr>
          <w:kern w:val="0"/>
        </w:rPr>
        <w:t xml:space="preserve"> of </w:t>
      </w:r>
      <w:r>
        <w:rPr>
          <w:kern w:val="0"/>
        </w:rPr>
        <w:t>pancreatic cancer (RR, 0.82; 95% CI, 0.68-0.99)</w:t>
      </w:r>
      <w:r w:rsidR="00A37C1D">
        <w:rPr>
          <w:kern w:val="0"/>
        </w:rPr>
        <w:t>. The</w:t>
      </w:r>
      <w:r w:rsidR="003A1917">
        <w:rPr>
          <w:kern w:val="0"/>
        </w:rPr>
        <w:t xml:space="preserve"> </w:t>
      </w:r>
      <w:r>
        <w:rPr>
          <w:kern w:val="0"/>
        </w:rPr>
        <w:t>risk reduction was stronger for allergies related to atopy MR, 0.71; 95% Cl, 0.64-0.80), but not for asthma (RR, 1.01; 95% Cl, 0.77-1.31)</w:t>
      </w:r>
      <w:r w:rsidR="00A37C1D">
        <w:rPr>
          <w:kern w:val="0"/>
        </w:rPr>
        <w:t>. The</w:t>
      </w:r>
      <w:r>
        <w:rPr>
          <w:kern w:val="0"/>
        </w:rPr>
        <w:t>re was no association between allergies related to food or drugs</w:t>
      </w:r>
      <w:r w:rsidR="005853A9">
        <w:rPr>
          <w:kern w:val="0"/>
        </w:rPr>
        <w:t xml:space="preserve"> and </w:t>
      </w:r>
      <w:r>
        <w:rPr>
          <w:kern w:val="0"/>
        </w:rPr>
        <w:t>pancreatic cancer (RR, 1.08; 95% CI, 0.74-1.58). Overall, there was no evidence</w:t>
      </w:r>
      <w:r w:rsidR="00427468">
        <w:rPr>
          <w:kern w:val="0"/>
        </w:rPr>
        <w:t xml:space="preserve"> of </w:t>
      </w:r>
      <w:r>
        <w:rPr>
          <w:kern w:val="0"/>
        </w:rPr>
        <w:t>publication bias. Allergies, in particular those related to atopy, seem to be associated with a decreased risk</w:t>
      </w:r>
      <w:r w:rsidR="00427468">
        <w:rPr>
          <w:kern w:val="0"/>
        </w:rPr>
        <w:t xml:space="preserve"> of </w:t>
      </w:r>
      <w:r>
        <w:rPr>
          <w:kern w:val="0"/>
        </w:rPr>
        <w:t>pancreatic cancer</w:t>
      </w:r>
      <w:r w:rsidR="00A37C1D">
        <w:rPr>
          <w:kern w:val="0"/>
        </w:rPr>
        <w:t>. The</w:t>
      </w:r>
      <w:r w:rsidR="003A1917">
        <w:rPr>
          <w:kern w:val="0"/>
        </w:rPr>
        <w:t xml:space="preserve"> </w:t>
      </w:r>
      <w:r>
        <w:rPr>
          <w:kern w:val="0"/>
        </w:rPr>
        <w:t>hyperactive immune system</w:t>
      </w:r>
      <w:r w:rsidR="00427468">
        <w:rPr>
          <w:kern w:val="0"/>
        </w:rPr>
        <w:t xml:space="preserve"> of </w:t>
      </w:r>
      <w:r>
        <w:rPr>
          <w:kern w:val="0"/>
        </w:rPr>
        <w:t xml:space="preserve">allergic individuals may, therefore, in some way lead to increased </w:t>
      </w:r>
      <w:r>
        <w:rPr>
          <w:kern w:val="0"/>
        </w:rPr>
        <w:lastRenderedPageBreak/>
        <w:t>surveillance</w:t>
      </w:r>
      <w:r w:rsidR="005853A9">
        <w:rPr>
          <w:kern w:val="0"/>
        </w:rPr>
        <w:t xml:space="preserve"> and </w:t>
      </w:r>
      <w:r>
        <w:rPr>
          <w:kern w:val="0"/>
        </w:rPr>
        <w:t>protect against pancreatic cancer development.</w:t>
      </w:r>
    </w:p>
    <w:p w:rsidR="002C12F0" w:rsidRDefault="002C12F0" w:rsidP="002C12F0">
      <w:pPr>
        <w:pStyle w:val="a3"/>
        <w:rPr>
          <w:kern w:val="0"/>
        </w:rPr>
      </w:pPr>
      <w:r>
        <w:rPr>
          <w:kern w:val="0"/>
        </w:rPr>
        <w:t>Keywords: Acute Lymphoblastic-Leukemia, Airway Inflammation, Asthma, Bias, Cancer, Case-Control Studies, Cd8(+) T-Cells, Cohort Studies, Confidence Intervals, Databases, Development, Diabetes-Mellitus, Epidemiology, Gamma-Delta, History</w:t>
      </w:r>
      <w:r w:rsidR="00D5664A">
        <w:rPr>
          <w:kern w:val="0"/>
        </w:rPr>
        <w:t>, ISI,</w:t>
      </w:r>
      <w:r>
        <w:rPr>
          <w:kern w:val="0"/>
        </w:rPr>
        <w:t xml:space="preserve"> Lead, Literature, </w:t>
      </w:r>
      <w:r w:rsidR="00D5664A">
        <w:rPr>
          <w:kern w:val="0"/>
        </w:rPr>
        <w:t>MEDLINE</w:t>
      </w:r>
      <w:r>
        <w:rPr>
          <w:kern w:val="0"/>
        </w:rPr>
        <w:t xml:space="preserve">, Meta-Analysis, Model, Pancreatic Cancer, Past Medical History, Publication, Publication Bias, Review, Risk, Risk Reduction, Science, Surveillance, Systematic, Systematic Review, Systematic Reviews, Tumor-Cells, United-States, </w:t>
      </w:r>
      <w:r w:rsidR="00D5664A">
        <w:rPr>
          <w:kern w:val="0"/>
        </w:rPr>
        <w:t>Web</w:t>
      </w:r>
      <w:r w:rsidR="00427468">
        <w:rPr>
          <w:kern w:val="0"/>
        </w:rPr>
        <w:t xml:space="preserve"> of </w:t>
      </w:r>
      <w:r w:rsidR="00D5664A">
        <w:rPr>
          <w:kern w:val="0"/>
        </w:rPr>
        <w:t>Science</w:t>
      </w:r>
    </w:p>
    <w:p w:rsidR="002C12F0" w:rsidRDefault="002C12F0" w:rsidP="002C12F0">
      <w:pPr>
        <w:pStyle w:val="a3"/>
        <w:rPr>
          <w:kern w:val="0"/>
        </w:rPr>
      </w:pPr>
      <w:r>
        <w:rPr>
          <w:rFonts w:hint="eastAsia"/>
          <w:kern w:val="0"/>
        </w:rPr>
        <w:t xml:space="preserve">? </w:t>
      </w:r>
      <w:r>
        <w:rPr>
          <w:kern w:val="0"/>
        </w:rPr>
        <w:t>Kubo, A.</w:t>
      </w:r>
      <w:r w:rsidR="005853A9">
        <w:rPr>
          <w:kern w:val="0"/>
        </w:rPr>
        <w:t xml:space="preserve"> and </w:t>
      </w:r>
      <w:r>
        <w:rPr>
          <w:kern w:val="0"/>
        </w:rPr>
        <w:t>Corley, D.A. (2006), Body mass index</w:t>
      </w:r>
      <w:r w:rsidR="005853A9">
        <w:rPr>
          <w:kern w:val="0"/>
        </w:rPr>
        <w:t xml:space="preserve"> and </w:t>
      </w:r>
      <w:r>
        <w:rPr>
          <w:kern w:val="0"/>
        </w:rPr>
        <w:t>adenocarcinomas</w:t>
      </w:r>
      <w:r w:rsidR="00427468">
        <w:rPr>
          <w:kern w:val="0"/>
        </w:rPr>
        <w:t xml:space="preserve"> of </w:t>
      </w:r>
      <w:r w:rsidR="003A1917">
        <w:rPr>
          <w:kern w:val="0"/>
        </w:rPr>
        <w:t xml:space="preserve">the </w:t>
      </w:r>
      <w:r>
        <w:rPr>
          <w:kern w:val="0"/>
        </w:rPr>
        <w:t>esophagus or gastric cardia: A systematic review</w:t>
      </w:r>
      <w:r w:rsidR="005853A9">
        <w:rPr>
          <w:kern w:val="0"/>
        </w:rPr>
        <w:t xml:space="preserve"> and </w:t>
      </w:r>
      <w:r>
        <w:rPr>
          <w:kern w:val="0"/>
        </w:rPr>
        <w:t xml:space="preserve">meta-analysis. </w:t>
      </w:r>
      <w:r>
        <w:rPr>
          <w:i/>
          <w:iCs/>
          <w:kern w:val="0"/>
        </w:rPr>
        <w:t>Cancer Epidemiology Biomarkers &amp; Prevention</w:t>
      </w:r>
      <w:r>
        <w:rPr>
          <w:kern w:val="0"/>
        </w:rPr>
        <w:t xml:space="preserve">, </w:t>
      </w:r>
      <w:r>
        <w:rPr>
          <w:b/>
          <w:bCs/>
          <w:kern w:val="0"/>
        </w:rPr>
        <w:t>15</w:t>
      </w:r>
      <w:r>
        <w:rPr>
          <w:kern w:val="0"/>
        </w:rPr>
        <w:t xml:space="preserve"> (5), 872-878.</w:t>
      </w:r>
    </w:p>
    <w:p w:rsidR="002C12F0" w:rsidRPr="00C73C58" w:rsidRDefault="002C12F0" w:rsidP="002C12F0">
      <w:pPr>
        <w:pStyle w:val="a3"/>
      </w:pPr>
      <w:r w:rsidRPr="00C73C58">
        <w:t xml:space="preserve">Full Text: </w:t>
      </w:r>
      <w:r>
        <w:rPr>
          <w:rFonts w:hint="eastAsia"/>
        </w:rPr>
        <w:t>2006</w:t>
      </w:r>
      <w:r>
        <w:t>\Can Epi Bio Pre</w:t>
      </w:r>
      <w:r>
        <w:rPr>
          <w:rFonts w:hint="eastAsia"/>
        </w:rPr>
        <w:t>15</w:t>
      </w:r>
      <w:r>
        <w:t xml:space="preserve">, </w:t>
      </w:r>
      <w:r>
        <w:rPr>
          <w:rFonts w:hint="eastAsia"/>
        </w:rPr>
        <w:t>872</w:t>
      </w:r>
      <w:r w:rsidRPr="00106F37">
        <w:t>.pdf</w:t>
      </w:r>
    </w:p>
    <w:p w:rsidR="002C12F0" w:rsidRDefault="002C12F0" w:rsidP="002C12F0">
      <w:pPr>
        <w:pStyle w:val="a3"/>
        <w:rPr>
          <w:kern w:val="0"/>
        </w:rPr>
      </w:pPr>
      <w:r>
        <w:rPr>
          <w:kern w:val="0"/>
        </w:rPr>
        <w:t>Abstract: Background:</w:t>
      </w:r>
      <w:r w:rsidR="003A1917">
        <w:rPr>
          <w:kern w:val="0"/>
        </w:rPr>
        <w:t xml:space="preserve"> the </w:t>
      </w:r>
      <w:r>
        <w:rPr>
          <w:kern w:val="0"/>
        </w:rPr>
        <w:t>incidence</w:t>
      </w:r>
      <w:r w:rsidR="00427468">
        <w:rPr>
          <w:kern w:val="0"/>
        </w:rPr>
        <w:t xml:space="preserve"> of </w:t>
      </w:r>
      <w:r>
        <w:rPr>
          <w:kern w:val="0"/>
        </w:rPr>
        <w:t>esophageal adenocarcinoma has increased markedly in recent decades in many countries. Obesity is a potential risk factor, although</w:t>
      </w:r>
      <w:r w:rsidR="003A1917">
        <w:rPr>
          <w:kern w:val="0"/>
        </w:rPr>
        <w:t xml:space="preserve"> the </w:t>
      </w:r>
      <w:r>
        <w:rPr>
          <w:kern w:val="0"/>
        </w:rPr>
        <w:t>results</w:t>
      </w:r>
      <w:r w:rsidR="00427468">
        <w:rPr>
          <w:kern w:val="0"/>
        </w:rPr>
        <w:t xml:space="preserve"> of </w:t>
      </w:r>
      <w:r>
        <w:rPr>
          <w:kern w:val="0"/>
        </w:rPr>
        <w:t>individual studies differ. We did a systematic review</w:t>
      </w:r>
      <w:r w:rsidR="005853A9">
        <w:rPr>
          <w:kern w:val="0"/>
        </w:rPr>
        <w:t xml:space="preserve"> and </w:t>
      </w:r>
      <w:r>
        <w:rPr>
          <w:kern w:val="0"/>
        </w:rPr>
        <w:t>statistical synthesis</w:t>
      </w:r>
      <w:r w:rsidR="00427468">
        <w:rPr>
          <w:kern w:val="0"/>
        </w:rPr>
        <w:t xml:space="preserve"> of </w:t>
      </w:r>
      <w:r>
        <w:rPr>
          <w:kern w:val="0"/>
        </w:rPr>
        <w:t>studies that evaluated</w:t>
      </w:r>
      <w:r w:rsidR="003A1917">
        <w:rPr>
          <w:kern w:val="0"/>
        </w:rPr>
        <w:t xml:space="preserve"> the </w:t>
      </w:r>
      <w:r>
        <w:rPr>
          <w:kern w:val="0"/>
        </w:rPr>
        <w:t>association between body mass index (BMI)</w:t>
      </w:r>
      <w:r w:rsidR="005853A9">
        <w:rPr>
          <w:kern w:val="0"/>
        </w:rPr>
        <w:t xml:space="preserve"> and </w:t>
      </w:r>
      <w:r w:rsidR="003A1917">
        <w:rPr>
          <w:kern w:val="0"/>
        </w:rPr>
        <w:t xml:space="preserve">the </w:t>
      </w:r>
      <w:r>
        <w:rPr>
          <w:kern w:val="0"/>
        </w:rPr>
        <w:t>risk</w:t>
      </w:r>
      <w:r w:rsidR="00427468">
        <w:rPr>
          <w:kern w:val="0"/>
        </w:rPr>
        <w:t xml:space="preserve"> of </w:t>
      </w:r>
      <w:r>
        <w:rPr>
          <w:kern w:val="0"/>
        </w:rPr>
        <w:t>esophageal adenocarcinorna or</w:t>
      </w:r>
      <w:r w:rsidR="003A1917">
        <w:rPr>
          <w:kern w:val="0"/>
        </w:rPr>
        <w:t xml:space="preserve"> the </w:t>
      </w:r>
      <w:r>
        <w:rPr>
          <w:kern w:val="0"/>
        </w:rPr>
        <w:t xml:space="preserve">adjacent gastric cardia adenocarcinoma. Methods: We identified potential studies using </w:t>
      </w:r>
      <w:r w:rsidR="00D5664A">
        <w:rPr>
          <w:kern w:val="0"/>
        </w:rPr>
        <w:t>MEDLINE</w:t>
      </w:r>
      <w:r>
        <w:rPr>
          <w:kern w:val="0"/>
        </w:rPr>
        <w:t>,</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database, a manual review</w:t>
      </w:r>
      <w:r w:rsidR="00427468">
        <w:rPr>
          <w:kern w:val="0"/>
        </w:rPr>
        <w:t xml:space="preserve"> of </w:t>
      </w:r>
      <w:r w:rsidR="003A1917">
        <w:rPr>
          <w:kern w:val="0"/>
        </w:rPr>
        <w:t xml:space="preserve">the </w:t>
      </w:r>
      <w:r>
        <w:rPr>
          <w:kern w:val="0"/>
        </w:rPr>
        <w:t>literature</w:t>
      </w:r>
      <w:r w:rsidR="005853A9">
        <w:rPr>
          <w:kern w:val="0"/>
        </w:rPr>
        <w:t xml:space="preserve"> and </w:t>
      </w:r>
      <w:r>
        <w:rPr>
          <w:kern w:val="0"/>
        </w:rPr>
        <w:t>expert bibliographies. Studies were included if they reported (a) a measure</w:t>
      </w:r>
      <w:r w:rsidR="00427468">
        <w:rPr>
          <w:kern w:val="0"/>
        </w:rPr>
        <w:t xml:space="preserve"> of </w:t>
      </w:r>
      <w:r>
        <w:rPr>
          <w:kern w:val="0"/>
        </w:rPr>
        <w:t>body mass; (b)</w:t>
      </w:r>
      <w:r w:rsidR="003A1917">
        <w:rPr>
          <w:kern w:val="0"/>
        </w:rPr>
        <w:t xml:space="preserve"> the </w:t>
      </w:r>
      <w:r>
        <w:rPr>
          <w:kern w:val="0"/>
        </w:rPr>
        <w:t>occurrence</w:t>
      </w:r>
      <w:r w:rsidR="00427468">
        <w:rPr>
          <w:kern w:val="0"/>
        </w:rPr>
        <w:t xml:space="preserve"> of </w:t>
      </w:r>
      <w:r>
        <w:rPr>
          <w:kern w:val="0"/>
        </w:rPr>
        <w:t>esophageal or cardia adenocarcinorna diagnosis;</w:t>
      </w:r>
      <w:r w:rsidR="005853A9">
        <w:rPr>
          <w:kern w:val="0"/>
        </w:rPr>
        <w:t xml:space="preserve"> and </w:t>
      </w:r>
      <w:r>
        <w:rPr>
          <w:kern w:val="0"/>
        </w:rPr>
        <w:t>(c) a relative risk or odds ratio (OR) with confidence intervals (CI) or provided sufficient data to permit their calculation. Results: We identified 14 studies (2 cohort, 12 case-control; 2,488 esophageal</w:t>
      </w:r>
      <w:r w:rsidR="005853A9">
        <w:rPr>
          <w:kern w:val="0"/>
        </w:rPr>
        <w:t xml:space="preserve"> and </w:t>
      </w:r>
      <w:r>
        <w:rPr>
          <w:kern w:val="0"/>
        </w:rPr>
        <w:t>2,509 cardia adenocarcinomas). A high BMI (&gt; 25) was associated with an increased risk</w:t>
      </w:r>
      <w:r w:rsidR="00427468">
        <w:rPr>
          <w:kern w:val="0"/>
        </w:rPr>
        <w:t xml:space="preserve"> of </w:t>
      </w:r>
      <w:r>
        <w:rPr>
          <w:kern w:val="0"/>
        </w:rPr>
        <w:t>esophageal adenocarcinoma (males, OR, 2.2; 95% CI, 1.7-2.7; females, OR, 2.0; 95% CI, 1.4-2.9). Higher levels</w:t>
      </w:r>
      <w:r w:rsidR="00427468">
        <w:rPr>
          <w:kern w:val="0"/>
        </w:rPr>
        <w:t xml:space="preserve"> of </w:t>
      </w:r>
      <w:r>
        <w:rPr>
          <w:kern w:val="0"/>
        </w:rPr>
        <w:t>BMI were associated with increased risk (overweight males, OR, 1.8; 95% CI, 1.5-2.2; obese males, OR, 2.4; 95% CI, 1.9-3.2)</w:t>
      </w:r>
      <w:r w:rsidR="00A37C1D">
        <w:rPr>
          <w:kern w:val="0"/>
        </w:rPr>
        <w:t>. The</w:t>
      </w:r>
      <w:r w:rsidR="003A1917">
        <w:rPr>
          <w:kern w:val="0"/>
        </w:rPr>
        <w:t xml:space="preserve"> </w:t>
      </w:r>
      <w:r>
        <w:rPr>
          <w:kern w:val="0"/>
        </w:rPr>
        <w:t>overall associations with cardia cancer were heterogeneous, although stratification by study location provided homogeneous results for populations from</w:t>
      </w:r>
      <w:r w:rsidR="003A1917">
        <w:rPr>
          <w:kern w:val="0"/>
        </w:rPr>
        <w:t xml:space="preserve"> the </w:t>
      </w:r>
      <w:r>
        <w:rPr>
          <w:kern w:val="0"/>
        </w:rPr>
        <w:t>United States or Europe. A high BMI was weakly associated with</w:t>
      </w:r>
      <w:r w:rsidR="003A1917">
        <w:rPr>
          <w:kern w:val="0"/>
        </w:rPr>
        <w:t xml:space="preserve"> the </w:t>
      </w:r>
      <w:r>
        <w:rPr>
          <w:kern w:val="0"/>
        </w:rPr>
        <w:t>risk</w:t>
      </w:r>
      <w:r w:rsidR="00427468">
        <w:rPr>
          <w:kern w:val="0"/>
        </w:rPr>
        <w:t xml:space="preserve"> of </w:t>
      </w:r>
      <w:r>
        <w:rPr>
          <w:kern w:val="0"/>
        </w:rPr>
        <w:t>cardia adenocarcinoma (OR, 1.5; 95% CI, 1.3-1.8; P-heterogeneity = 0.38). Conclusions: Pooled results from observational studies support a positive association between high BMI</w:t>
      </w:r>
      <w:r w:rsidR="005853A9">
        <w:rPr>
          <w:kern w:val="0"/>
        </w:rPr>
        <w:t xml:space="preserve"> and </w:t>
      </w:r>
      <w:r w:rsidR="003A1917">
        <w:rPr>
          <w:kern w:val="0"/>
        </w:rPr>
        <w:t xml:space="preserve">the </w:t>
      </w:r>
      <w:r>
        <w:rPr>
          <w:kern w:val="0"/>
        </w:rPr>
        <w:t>risk for esophageal</w:t>
      </w:r>
      <w:r w:rsidR="005853A9">
        <w:rPr>
          <w:kern w:val="0"/>
        </w:rPr>
        <w:t xml:space="preserve"> and </w:t>
      </w:r>
      <w:r>
        <w:rPr>
          <w:kern w:val="0"/>
        </w:rPr>
        <w:t>possibly for cardia adenocarcinoma.</w:t>
      </w:r>
    </w:p>
    <w:p w:rsidR="002C12F0" w:rsidRDefault="002C12F0" w:rsidP="002C12F0">
      <w:pPr>
        <w:pStyle w:val="a3"/>
        <w:rPr>
          <w:kern w:val="0"/>
        </w:rPr>
      </w:pPr>
      <w:r>
        <w:rPr>
          <w:kern w:val="0"/>
        </w:rPr>
        <w:t xml:space="preserve">Keywords: Black-Men, Bmi, Body Mass Index, Cancer, Cancer Incidence, Cardia Adenocarcinoma, Confidence Intervals, Controlled Clinical-Trials, Diagnosis, Distal Stomach, Europe, Gastroesophageal-Reflux, Literature, Meta-Analysis, Methods, Nested Case-Control, Obesity, Observational Studies, Overweight, Ratio, Regional Variation, Relative Risk, Review, Rising Incidence, Risk, Risk-Factors, Science, </w:t>
      </w:r>
      <w:r>
        <w:rPr>
          <w:kern w:val="0"/>
        </w:rPr>
        <w:lastRenderedPageBreak/>
        <w:t xml:space="preserve">Statistical, Systematic, Systematic Review, United-States, </w:t>
      </w:r>
      <w:r w:rsidR="00D5664A">
        <w:rPr>
          <w:kern w:val="0"/>
        </w:rPr>
        <w:t>Web</w:t>
      </w:r>
      <w:r w:rsidR="00427468">
        <w:rPr>
          <w:kern w:val="0"/>
        </w:rPr>
        <w:t xml:space="preserve"> of </w:t>
      </w:r>
      <w:r w:rsidR="00D5664A">
        <w:rPr>
          <w:kern w:val="0"/>
        </w:rPr>
        <w:t>Science</w:t>
      </w:r>
    </w:p>
    <w:p w:rsidR="00220CB0" w:rsidRPr="00C73C58" w:rsidRDefault="00220CB0" w:rsidP="00220CB0">
      <w:pPr>
        <w:pStyle w:val="a3"/>
        <w:rPr>
          <w:kern w:val="0"/>
        </w:rPr>
      </w:pPr>
      <w:r w:rsidRPr="00C73C58">
        <w:rPr>
          <w:kern w:val="0"/>
        </w:rPr>
        <w:t xml:space="preserve">? </w:t>
      </w:r>
      <w:r>
        <w:t>Olsen</w:t>
      </w:r>
      <w:r>
        <w:rPr>
          <w:rFonts w:hint="eastAsia"/>
        </w:rPr>
        <w:t>,</w:t>
      </w:r>
      <w:r>
        <w:t xml:space="preserve"> C</w:t>
      </w:r>
      <w:r>
        <w:rPr>
          <w:rFonts w:hint="eastAsia"/>
        </w:rPr>
        <w:t>.</w:t>
      </w:r>
      <w:r>
        <w:t>M</w:t>
      </w:r>
      <w:r>
        <w:rPr>
          <w:rFonts w:hint="eastAsia"/>
        </w:rPr>
        <w:t>.,</w:t>
      </w:r>
      <w:r>
        <w:t xml:space="preserve"> Bain</w:t>
      </w:r>
      <w:r>
        <w:rPr>
          <w:rFonts w:hint="eastAsia"/>
        </w:rPr>
        <w:t>,</w:t>
      </w:r>
      <w:r>
        <w:t xml:space="preserve"> C</w:t>
      </w:r>
      <w:r>
        <w:rPr>
          <w:rFonts w:hint="eastAsia"/>
        </w:rPr>
        <w:t>.</w:t>
      </w:r>
      <w:r>
        <w:t>J</w:t>
      </w:r>
      <w:r>
        <w:rPr>
          <w:rFonts w:hint="eastAsia"/>
        </w:rPr>
        <w:t>.,</w:t>
      </w:r>
      <w:r>
        <w:t xml:space="preserve"> Jordan</w:t>
      </w:r>
      <w:r>
        <w:rPr>
          <w:rFonts w:hint="eastAsia"/>
        </w:rPr>
        <w:t>,</w:t>
      </w:r>
      <w:r>
        <w:t xml:space="preserve"> S</w:t>
      </w:r>
      <w:r>
        <w:rPr>
          <w:rFonts w:hint="eastAsia"/>
        </w:rPr>
        <w:t>.</w:t>
      </w:r>
      <w:r>
        <w:t>J</w:t>
      </w:r>
      <w:r>
        <w:rPr>
          <w:rFonts w:hint="eastAsia"/>
        </w:rPr>
        <w:t>.,</w:t>
      </w:r>
      <w:r>
        <w:t xml:space="preserve"> Nagle</w:t>
      </w:r>
      <w:r>
        <w:rPr>
          <w:rFonts w:hint="eastAsia"/>
        </w:rPr>
        <w:t>,</w:t>
      </w:r>
      <w:r>
        <w:t xml:space="preserve"> C</w:t>
      </w:r>
      <w:r>
        <w:rPr>
          <w:rFonts w:hint="eastAsia"/>
        </w:rPr>
        <w:t>.</w:t>
      </w:r>
      <w:r>
        <w:t>M</w:t>
      </w:r>
      <w:r>
        <w:rPr>
          <w:rFonts w:hint="eastAsia"/>
        </w:rPr>
        <w:t>.,</w:t>
      </w:r>
      <w:r>
        <w:t xml:space="preserve"> Green</w:t>
      </w:r>
      <w:r>
        <w:rPr>
          <w:rFonts w:hint="eastAsia"/>
        </w:rPr>
        <w:t>,</w:t>
      </w:r>
      <w:r>
        <w:t xml:space="preserve"> A</w:t>
      </w:r>
      <w:r>
        <w:rPr>
          <w:rFonts w:hint="eastAsia"/>
        </w:rPr>
        <w:t>.</w:t>
      </w:r>
      <w:r>
        <w:t>C</w:t>
      </w:r>
      <w:r>
        <w:rPr>
          <w:rFonts w:hint="eastAsia"/>
        </w:rPr>
        <w:t>.,</w:t>
      </w:r>
      <w:r>
        <w:t xml:space="preserve"> Whiteman</w:t>
      </w:r>
      <w:r>
        <w:rPr>
          <w:rFonts w:hint="eastAsia"/>
        </w:rPr>
        <w:t>,</w:t>
      </w:r>
      <w:r>
        <w:t xml:space="preserve"> D</w:t>
      </w:r>
      <w:r>
        <w:rPr>
          <w:rFonts w:hint="eastAsia"/>
        </w:rPr>
        <w:t>.</w:t>
      </w:r>
      <w:r>
        <w:t>C</w:t>
      </w:r>
      <w:r>
        <w:rPr>
          <w:rFonts w:hint="eastAsia"/>
        </w:rPr>
        <w:t>.,</w:t>
      </w:r>
      <w:r>
        <w:t xml:space="preserve"> Webb</w:t>
      </w:r>
      <w:r>
        <w:rPr>
          <w:rFonts w:hint="eastAsia"/>
        </w:rPr>
        <w:t>,</w:t>
      </w:r>
      <w:r>
        <w:t xml:space="preserve"> P</w:t>
      </w:r>
      <w:r>
        <w:rPr>
          <w:rFonts w:hint="eastAsia"/>
        </w:rPr>
        <w:t>.</w:t>
      </w:r>
      <w:r>
        <w:t>M</w:t>
      </w:r>
      <w:r>
        <w:rPr>
          <w:rFonts w:hint="eastAsia"/>
        </w:rPr>
        <w:t>.</w:t>
      </w:r>
      <w:r w:rsidR="005853A9">
        <w:rPr>
          <w:kern w:val="0"/>
        </w:rPr>
        <w:t xml:space="preserve"> and </w:t>
      </w:r>
      <w:r w:rsidRPr="007C6FE9">
        <w:t>Australian Ovarian Cancer Study Group</w:t>
      </w:r>
      <w:r w:rsidRPr="00C73C58">
        <w:rPr>
          <w:kern w:val="0"/>
        </w:rPr>
        <w:t xml:space="preserve"> (200</w:t>
      </w:r>
      <w:r>
        <w:rPr>
          <w:rFonts w:hint="eastAsia"/>
          <w:kern w:val="0"/>
        </w:rPr>
        <w:t>7</w:t>
      </w:r>
      <w:r w:rsidRPr="00C73C58">
        <w:rPr>
          <w:kern w:val="0"/>
        </w:rPr>
        <w:t xml:space="preserve">), </w:t>
      </w:r>
      <w:r>
        <w:t>Recreational physical activity</w:t>
      </w:r>
      <w:r w:rsidR="005853A9">
        <w:t xml:space="preserve"> and </w:t>
      </w:r>
      <w:r>
        <w:t>epithelial ovarian cancer: A case-control study, systematic review,</w:t>
      </w:r>
      <w:r w:rsidR="005853A9">
        <w:t xml:space="preserve"> and </w:t>
      </w:r>
      <w:r>
        <w:t>meta-analysis</w:t>
      </w:r>
      <w:r w:rsidRPr="00C73C58">
        <w:rPr>
          <w:kern w:val="0"/>
        </w:rPr>
        <w:t xml:space="preserve">. </w:t>
      </w:r>
      <w:r w:rsidRPr="00C73C58">
        <w:rPr>
          <w:i/>
          <w:iCs/>
          <w:kern w:val="0"/>
        </w:rPr>
        <w:t>Cancer Epidemiology Biomarkers &amp; Prevention</w:t>
      </w:r>
      <w:r w:rsidRPr="00C73C58">
        <w:rPr>
          <w:kern w:val="0"/>
        </w:rPr>
        <w:t xml:space="preserve">, </w:t>
      </w:r>
      <w:r w:rsidRPr="00C73C58">
        <w:rPr>
          <w:b/>
          <w:bCs/>
          <w:kern w:val="0"/>
        </w:rPr>
        <w:t>1</w:t>
      </w:r>
      <w:r>
        <w:rPr>
          <w:rFonts w:hint="eastAsia"/>
          <w:b/>
          <w:bCs/>
          <w:kern w:val="0"/>
        </w:rPr>
        <w:t>6</w:t>
      </w:r>
      <w:r w:rsidRPr="00C73C58">
        <w:rPr>
          <w:kern w:val="0"/>
        </w:rPr>
        <w:t xml:space="preserve"> (1</w:t>
      </w:r>
      <w:r>
        <w:rPr>
          <w:rFonts w:hint="eastAsia"/>
          <w:kern w:val="0"/>
        </w:rPr>
        <w:t>1</w:t>
      </w:r>
      <w:r w:rsidRPr="00C73C58">
        <w:rPr>
          <w:kern w:val="0"/>
        </w:rPr>
        <w:t xml:space="preserve">), </w:t>
      </w:r>
      <w:r>
        <w:t>2321-2330</w:t>
      </w:r>
      <w:r w:rsidRPr="00C73C58">
        <w:rPr>
          <w:kern w:val="0"/>
        </w:rPr>
        <w:t>.</w:t>
      </w:r>
    </w:p>
    <w:p w:rsidR="00220CB0" w:rsidRDefault="00220CB0" w:rsidP="00220CB0">
      <w:pPr>
        <w:pStyle w:val="a3"/>
      </w:pPr>
      <w:r w:rsidRPr="00C73C58">
        <w:t xml:space="preserve">Full Text: </w:t>
      </w:r>
      <w:hyperlink r:id="rId122" w:history="1">
        <w:r w:rsidRPr="007C6FE9">
          <w:rPr>
            <w:rStyle w:val="a5"/>
          </w:rPr>
          <w:t>2007\Can Epi Bio Pre16, 2321.pdf</w:t>
        </w:r>
      </w:hyperlink>
    </w:p>
    <w:p w:rsidR="00220CB0" w:rsidRDefault="00220CB0" w:rsidP="00220CB0">
      <w:pPr>
        <w:pStyle w:val="a3"/>
      </w:pPr>
      <w:r>
        <w:t>Abstract: It remains unclear whether physical activity is associated with epithelial ovarian cancer risk. We therefore examined</w:t>
      </w:r>
      <w:r w:rsidR="003A1917">
        <w:t xml:space="preserve"> the </w:t>
      </w:r>
      <w:r>
        <w:t>association between recreational physical activity</w:t>
      </w:r>
      <w:r w:rsidR="005853A9">
        <w:t xml:space="preserve"> and </w:t>
      </w:r>
      <w:r>
        <w:t>risk</w:t>
      </w:r>
      <w:r w:rsidR="00427468">
        <w:t xml:space="preserve"> of </w:t>
      </w:r>
      <w:r>
        <w:t>ovarian cancer in a national population-based case-control study in Australia. We also systematically reviewed all</w:t>
      </w:r>
      <w:r w:rsidR="003A1917">
        <w:t xml:space="preserve"> the </w:t>
      </w:r>
      <w:r>
        <w:t>available evidence linking physical activity with ovarian cancer to provide</w:t>
      </w:r>
      <w:r w:rsidR="003A1917">
        <w:t xml:space="preserve"> the </w:t>
      </w:r>
      <w:r>
        <w:t>best summary estimate</w:t>
      </w:r>
      <w:r w:rsidR="00427468">
        <w:t xml:space="preserve"> of </w:t>
      </w:r>
      <w:r w:rsidR="003A1917">
        <w:t xml:space="preserve">the </w:t>
      </w:r>
      <w:r>
        <w:t>association</w:t>
      </w:r>
      <w:r w:rsidR="00A37C1D">
        <w:t>. The</w:t>
      </w:r>
      <w:r w:rsidR="003A1917">
        <w:t xml:space="preserve"> </w:t>
      </w:r>
      <w:r>
        <w:t>case-control study included women ages 18 to 79 years with a new diagnosis</w:t>
      </w:r>
      <w:r w:rsidR="00427468">
        <w:t xml:space="preserve"> of </w:t>
      </w:r>
      <w:r>
        <w:t>invasive (n = 1,269) or borderline (n = 311) epithelial ovarian cancer identified through a network</w:t>
      </w:r>
      <w:r w:rsidR="00427468">
        <w:t xml:space="preserve"> of </w:t>
      </w:r>
      <w:r>
        <w:t>clinics, physicians,</w:t>
      </w:r>
      <w:r w:rsidR="005853A9">
        <w:t xml:space="preserve"> and </w:t>
      </w:r>
      <w:r>
        <w:t>state cancer registries throughout Australia. Controls (n = 1,509) were randomly selected from</w:t>
      </w:r>
      <w:r w:rsidR="003A1917">
        <w:t xml:space="preserve"> the </w:t>
      </w:r>
      <w:r>
        <w:t>national electoral roll</w:t>
      </w:r>
      <w:r w:rsidR="005853A9">
        <w:t xml:space="preserve"> and </w:t>
      </w:r>
      <w:r>
        <w:t>were frequency matched to cases by age</w:t>
      </w:r>
      <w:r w:rsidR="005853A9">
        <w:t xml:space="preserve"> and </w:t>
      </w:r>
      <w:r>
        <w:t>state. For</w:t>
      </w:r>
      <w:r w:rsidR="003A1917">
        <w:t xml:space="preserve"> the </w:t>
      </w:r>
      <w:r>
        <w:t xml:space="preserve">systematic review, we identified eligible studies using </w:t>
      </w:r>
      <w:r w:rsidR="00D5664A">
        <w:t>MEDLINE</w:t>
      </w:r>
      <w:r>
        <w:t>,</w:t>
      </w:r>
      <w:r w:rsidR="003A1917">
        <w:t xml:space="preserve"> the </w:t>
      </w:r>
      <w:r>
        <w:t>ISI Science Citation Index,</w:t>
      </w:r>
      <w:r w:rsidR="005853A9">
        <w:t xml:space="preserve"> and </w:t>
      </w:r>
      <w:r>
        <w:t>manual review</w:t>
      </w:r>
      <w:r w:rsidR="00427468">
        <w:t xml:space="preserve"> of </w:t>
      </w:r>
      <w:r>
        <w:t>retrieved references,</w:t>
      </w:r>
      <w:r w:rsidR="005853A9">
        <w:t xml:space="preserve"> and </w:t>
      </w:r>
      <w:r>
        <w:t>included all case-control or cohort studies that permitted assessment</w:t>
      </w:r>
      <w:r w:rsidR="00427468">
        <w:t xml:space="preserve"> of </w:t>
      </w:r>
      <w:r>
        <w:t>an association between physical activity (recreational/occupational/sedentary behavior)</w:t>
      </w:r>
      <w:r w:rsidR="005853A9">
        <w:t xml:space="preserve"> and </w:t>
      </w:r>
      <w:r>
        <w:t>histologically confirmed ovarian cancer. Meta-analysis was restricted to</w:t>
      </w:r>
      <w:r w:rsidR="003A1917">
        <w:t xml:space="preserve"> the </w:t>
      </w:r>
      <w:r>
        <w:t>subset</w:t>
      </w:r>
      <w:r w:rsidR="00427468">
        <w:t xml:space="preserve"> of </w:t>
      </w:r>
      <w:r>
        <w:t>these studies that reported on recreational physical activity. In our case-control study, we observed weakly inverse or null associations between recreational physical activity</w:t>
      </w:r>
      <w:r w:rsidR="005853A9">
        <w:t xml:space="preserve"> and </w:t>
      </w:r>
      <w:r>
        <w:t>risk</w:t>
      </w:r>
      <w:r w:rsidR="00427468">
        <w:t xml:space="preserve"> of </w:t>
      </w:r>
      <w:r>
        <w:t>epithelial ovarian cancer overall</w:t>
      </w:r>
      <w:r w:rsidR="00A37C1D">
        <w:t>. The</w:t>
      </w:r>
      <w:r>
        <w:t>re was no evidence that</w:t>
      </w:r>
      <w:r w:rsidR="003A1917">
        <w:t xml:space="preserve"> the </w:t>
      </w:r>
      <w:r>
        <w:t>effects varied by tumor behavior or histologic subtype. Twelve studies were included in</w:t>
      </w:r>
      <w:r w:rsidR="003A1917">
        <w:t xml:space="preserve"> the </w:t>
      </w:r>
      <w:r>
        <w:t>meta-analysis, which gave summary estimates</w:t>
      </w:r>
      <w:r w:rsidR="00427468">
        <w:t xml:space="preserve"> of </w:t>
      </w:r>
      <w:r>
        <w:t>0.79 (95% confidence interval, 0.70-0.85) for case-control studies</w:t>
      </w:r>
      <w:r w:rsidR="005853A9">
        <w:t xml:space="preserve"> and </w:t>
      </w:r>
      <w:r>
        <w:t>0.81 (95% confidence interval, 0.57-1.17) for cohort studies for</w:t>
      </w:r>
      <w:r w:rsidR="003A1917">
        <w:t xml:space="preserve"> the </w:t>
      </w:r>
      <w:r>
        <w:t>risk</w:t>
      </w:r>
      <w:r w:rsidR="00427468">
        <w:t xml:space="preserve"> of </w:t>
      </w:r>
      <w:r>
        <w:t>ovarian cancer associated with highest versus lowest levels</w:t>
      </w:r>
      <w:r w:rsidR="00427468">
        <w:t xml:space="preserve"> of </w:t>
      </w:r>
      <w:r>
        <w:t>recreational physical activity. Thus, pooled results from observational studies suggest that a modest inverse association exists between level</w:t>
      </w:r>
      <w:r w:rsidR="00427468">
        <w:t xml:space="preserve"> of </w:t>
      </w:r>
      <w:r>
        <w:t>recreational physical activity</w:t>
      </w:r>
      <w:r w:rsidR="005853A9">
        <w:t xml:space="preserve"> and </w:t>
      </w:r>
      <w:r w:rsidR="003A1917">
        <w:t xml:space="preserve">the </w:t>
      </w:r>
      <w:r>
        <w:t>risk</w:t>
      </w:r>
      <w:r w:rsidR="00427468">
        <w:t xml:space="preserve"> of </w:t>
      </w:r>
      <w:r>
        <w:t>ovarian cancer.</w:t>
      </w:r>
    </w:p>
    <w:p w:rsidR="00E008E0" w:rsidRDefault="00E008E0" w:rsidP="00E008E0">
      <w:pPr>
        <w:pStyle w:val="a3"/>
        <w:rPr>
          <w:kern w:val="0"/>
        </w:rPr>
      </w:pPr>
      <w:r>
        <w:rPr>
          <w:kern w:val="0"/>
        </w:rPr>
        <w:t>Keywords: Age, Assessment, Association, Australia, Behavior, Borderline, Breast-Cancer, Cancer, Case-Control, Case-Control Studies, Case-Control Study, Circulating Levels, Citation, Cohort, Confidence, Diagnosis, Estimates, Evidence, Exercise, Follow</w:t>
      </w:r>
      <w:r w:rsidR="0062028A">
        <w:rPr>
          <w:kern w:val="0"/>
        </w:rPr>
        <w:t>-up,</w:t>
      </w:r>
      <w:r>
        <w:rPr>
          <w:kern w:val="0"/>
        </w:rPr>
        <w:t xml:space="preserve"> Growth-Factor-I, Interval, Invasive</w:t>
      </w:r>
      <w:r w:rsidR="00D5664A">
        <w:rPr>
          <w:kern w:val="0"/>
        </w:rPr>
        <w:t>, ISI,</w:t>
      </w:r>
      <w:r>
        <w:rPr>
          <w:kern w:val="0"/>
        </w:rPr>
        <w:t xml:space="preserve"> Large Cohort, Meta-Analysis, Metaanalysis, Network, NOV, Observational, Observational Studies, Ovarian Cancer, Physical, Physical Activity, Physicians, Population Based, Population-Based, Postmenopa</w:t>
      </w:r>
      <w:r w:rsidR="00D5664A">
        <w:rPr>
          <w:kern w:val="0"/>
        </w:rPr>
        <w:t>USA</w:t>
      </w:r>
      <w:r>
        <w:rPr>
          <w:kern w:val="0"/>
        </w:rPr>
        <w:t xml:space="preserve">l Women, Prostate-Cancer, Publication Bias, </w:t>
      </w:r>
      <w:r>
        <w:rPr>
          <w:kern w:val="0"/>
        </w:rPr>
        <w:lastRenderedPageBreak/>
        <w:t>References, Registries, Review, Risk, Risk-Factors, Science, Science Citation Index, State, Systematic Review, Tumor, Women</w:t>
      </w:r>
    </w:p>
    <w:p w:rsidR="002C12F0" w:rsidRDefault="002C12F0" w:rsidP="002C12F0">
      <w:pPr>
        <w:pStyle w:val="a3"/>
        <w:rPr>
          <w:kern w:val="0"/>
        </w:rPr>
      </w:pPr>
      <w:r>
        <w:rPr>
          <w:rFonts w:hint="eastAsia"/>
          <w:kern w:val="0"/>
        </w:rPr>
        <w:t xml:space="preserve">? </w:t>
      </w:r>
      <w:r>
        <w:rPr>
          <w:kern w:val="0"/>
        </w:rPr>
        <w:t>Lynch, B.M. (2010), Sedentary behavior</w:t>
      </w:r>
      <w:r w:rsidR="005853A9">
        <w:rPr>
          <w:kern w:val="0"/>
        </w:rPr>
        <w:t xml:space="preserve"> and </w:t>
      </w:r>
      <w:r>
        <w:rPr>
          <w:kern w:val="0"/>
        </w:rPr>
        <w:t>cancer: A systematic review</w:t>
      </w:r>
      <w:r w:rsidR="00427468">
        <w:rPr>
          <w:kern w:val="0"/>
        </w:rPr>
        <w:t xml:space="preserve"> of </w:t>
      </w:r>
      <w:r w:rsidR="003A1917">
        <w:rPr>
          <w:kern w:val="0"/>
        </w:rPr>
        <w:t xml:space="preserve">the </w:t>
      </w:r>
      <w:r>
        <w:rPr>
          <w:kern w:val="0"/>
        </w:rPr>
        <w:t>literature</w:t>
      </w:r>
      <w:r w:rsidR="005853A9">
        <w:rPr>
          <w:kern w:val="0"/>
        </w:rPr>
        <w:t xml:space="preserve"> and </w:t>
      </w:r>
      <w:r>
        <w:rPr>
          <w:kern w:val="0"/>
        </w:rPr>
        <w:t xml:space="preserve">proposed biological mechanisms. </w:t>
      </w:r>
      <w:r>
        <w:rPr>
          <w:i/>
          <w:iCs/>
          <w:kern w:val="0"/>
        </w:rPr>
        <w:t>Cancer Epidemiology Biomarkers &amp; Prevention</w:t>
      </w:r>
      <w:r>
        <w:rPr>
          <w:kern w:val="0"/>
        </w:rPr>
        <w:t xml:space="preserve">, </w:t>
      </w:r>
      <w:r>
        <w:rPr>
          <w:b/>
          <w:bCs/>
          <w:kern w:val="0"/>
        </w:rPr>
        <w:t>19</w:t>
      </w:r>
      <w:r>
        <w:rPr>
          <w:kern w:val="0"/>
        </w:rPr>
        <w:t xml:space="preserve"> (11), 2691-2709.</w:t>
      </w:r>
    </w:p>
    <w:p w:rsidR="002C12F0" w:rsidRPr="00C73C58" w:rsidRDefault="002C12F0" w:rsidP="002C12F0">
      <w:pPr>
        <w:pStyle w:val="a3"/>
      </w:pPr>
      <w:r w:rsidRPr="00C73C58">
        <w:t xml:space="preserve">Full Text: </w:t>
      </w:r>
      <w:r>
        <w:rPr>
          <w:rFonts w:hint="eastAsia"/>
        </w:rPr>
        <w:t>2010</w:t>
      </w:r>
      <w:r>
        <w:t>\Can Epi Bio Pre</w:t>
      </w:r>
      <w:r>
        <w:rPr>
          <w:rFonts w:hint="eastAsia"/>
        </w:rPr>
        <w:t>19</w:t>
      </w:r>
      <w:r>
        <w:t xml:space="preserve">, </w:t>
      </w:r>
      <w:r>
        <w:rPr>
          <w:rFonts w:hint="eastAsia"/>
        </w:rPr>
        <w:t>2691</w:t>
      </w:r>
      <w:r w:rsidRPr="00106F37">
        <w:t>.pdf</w:t>
      </w:r>
    </w:p>
    <w:p w:rsidR="002C12F0" w:rsidRDefault="002C12F0" w:rsidP="002C12F0">
      <w:pPr>
        <w:pStyle w:val="a3"/>
        <w:rPr>
          <w:kern w:val="0"/>
        </w:rPr>
      </w:pPr>
      <w:r>
        <w:rPr>
          <w:kern w:val="0"/>
        </w:rPr>
        <w:t>Abstract: Background: Sedentary behavior (prolonged sitting or reclining characterized by low energy expenditure) is associated with adverse cardiometabolic profiles</w:t>
      </w:r>
      <w:r w:rsidR="005853A9">
        <w:rPr>
          <w:kern w:val="0"/>
        </w:rPr>
        <w:t xml:space="preserve"> and </w:t>
      </w:r>
      <w:r>
        <w:rPr>
          <w:kern w:val="0"/>
        </w:rPr>
        <w:t>premature cardiovascular mortality. Less is known for cancer risk</w:t>
      </w:r>
      <w:r w:rsidR="00A37C1D">
        <w:rPr>
          <w:kern w:val="0"/>
        </w:rPr>
        <w:t>. The</w:t>
      </w:r>
      <w:r w:rsidR="003A1917">
        <w:rPr>
          <w:kern w:val="0"/>
        </w:rPr>
        <w:t xml:space="preserve"> </w:t>
      </w:r>
      <w:r>
        <w:rPr>
          <w:kern w:val="0"/>
        </w:rPr>
        <w:t>purpose</w:t>
      </w:r>
      <w:r w:rsidR="00427468">
        <w:rPr>
          <w:kern w:val="0"/>
        </w:rPr>
        <w:t xml:space="preserve"> of </w:t>
      </w:r>
      <w:r>
        <w:rPr>
          <w:kern w:val="0"/>
        </w:rPr>
        <w:t>this review is to evaluate</w:t>
      </w:r>
      <w:r w:rsidR="003A1917">
        <w:rPr>
          <w:kern w:val="0"/>
        </w:rPr>
        <w:t xml:space="preserve"> the </w:t>
      </w:r>
      <w:r>
        <w:rPr>
          <w:kern w:val="0"/>
        </w:rPr>
        <w:t>research on sedentary behavior</w:t>
      </w:r>
      <w:r w:rsidR="005853A9">
        <w:rPr>
          <w:kern w:val="0"/>
        </w:rPr>
        <w:t xml:space="preserve"> and </w:t>
      </w:r>
      <w:r>
        <w:rPr>
          <w:kern w:val="0"/>
        </w:rPr>
        <w:t>cancer, to summarize possible biological pathways that may underlie these associations,</w:t>
      </w:r>
      <w:r w:rsidR="005853A9">
        <w:rPr>
          <w:kern w:val="0"/>
        </w:rPr>
        <w:t xml:space="preserve"> and </w:t>
      </w:r>
      <w:r>
        <w:rPr>
          <w:kern w:val="0"/>
        </w:rPr>
        <w:t>to propose an agenda for future research. Methods: Articles pertaining to sedentary behavior</w:t>
      </w:r>
      <w:r w:rsidR="005853A9">
        <w:rPr>
          <w:kern w:val="0"/>
        </w:rPr>
        <w:t xml:space="preserve"> and </w:t>
      </w:r>
      <w:r>
        <w:rPr>
          <w:kern w:val="0"/>
        </w:rPr>
        <w:t>(a) cancer outcomes</w:t>
      </w:r>
      <w:r w:rsidR="005853A9">
        <w:rPr>
          <w:kern w:val="0"/>
        </w:rPr>
        <w:t xml:space="preserve"> and </w:t>
      </w:r>
      <w:r>
        <w:rPr>
          <w:kern w:val="0"/>
        </w:rPr>
        <w:t>(b) mechanisms that may underlie</w:t>
      </w:r>
      <w:r w:rsidR="003A1917">
        <w:rPr>
          <w:kern w:val="0"/>
        </w:rPr>
        <w:t xml:space="preserve"> the </w:t>
      </w:r>
      <w:r>
        <w:rPr>
          <w:kern w:val="0"/>
        </w:rPr>
        <w:t>associations between sedentary behavior</w:t>
      </w:r>
      <w:r w:rsidR="005853A9">
        <w:rPr>
          <w:kern w:val="0"/>
        </w:rPr>
        <w:t xml:space="preserve"> and </w:t>
      </w:r>
      <w:r>
        <w:rPr>
          <w:kern w:val="0"/>
        </w:rPr>
        <w:t>cancer were retrieved using Ovid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Results:</w:t>
      </w:r>
      <w:r w:rsidR="003A1917">
        <w:rPr>
          <w:kern w:val="0"/>
        </w:rPr>
        <w:t xml:space="preserve"> the </w:t>
      </w:r>
      <w:r>
        <w:rPr>
          <w:kern w:val="0"/>
        </w:rPr>
        <w:t>literature review identified 18 articles pertaining to sedentary behavior</w:t>
      </w:r>
      <w:r w:rsidR="005853A9">
        <w:rPr>
          <w:kern w:val="0"/>
        </w:rPr>
        <w:t xml:space="preserve"> and </w:t>
      </w:r>
      <w:r>
        <w:rPr>
          <w:kern w:val="0"/>
        </w:rPr>
        <w:t>cancer risk, or to sedentary behavior</w:t>
      </w:r>
      <w:r w:rsidR="005853A9">
        <w:rPr>
          <w:kern w:val="0"/>
        </w:rPr>
        <w:t xml:space="preserve"> and </w:t>
      </w:r>
      <w:r>
        <w:rPr>
          <w:kern w:val="0"/>
        </w:rPr>
        <w:t>health outcomes in cancer survivors. Ten</w:t>
      </w:r>
      <w:r w:rsidR="00427468">
        <w:rPr>
          <w:kern w:val="0"/>
        </w:rPr>
        <w:t xml:space="preserve"> of </w:t>
      </w:r>
      <w:r>
        <w:rPr>
          <w:kern w:val="0"/>
        </w:rPr>
        <w:t>these studies found statistically significant, positive associations between sedentary behavior</w:t>
      </w:r>
      <w:r w:rsidR="005853A9">
        <w:rPr>
          <w:kern w:val="0"/>
        </w:rPr>
        <w:t xml:space="preserve"> and </w:t>
      </w:r>
      <w:r>
        <w:rPr>
          <w:kern w:val="0"/>
        </w:rPr>
        <w:t>cancer outcomes. Sedentary behavior was associated with increased colorectal, endometrial, ovarian,</w:t>
      </w:r>
      <w:r w:rsidR="005853A9">
        <w:rPr>
          <w:kern w:val="0"/>
        </w:rPr>
        <w:t xml:space="preserve"> and </w:t>
      </w:r>
      <w:r>
        <w:rPr>
          <w:kern w:val="0"/>
        </w:rPr>
        <w:t>prostate cancer risk; cancer mortality in women;</w:t>
      </w:r>
      <w:r w:rsidR="005853A9">
        <w:rPr>
          <w:kern w:val="0"/>
        </w:rPr>
        <w:t xml:space="preserve"> and </w:t>
      </w:r>
      <w:r>
        <w:rPr>
          <w:kern w:val="0"/>
        </w:rPr>
        <w:t>weight gain in colorectal cancer survivors</w:t>
      </w:r>
      <w:r w:rsidR="00A37C1D">
        <w:rPr>
          <w:kern w:val="0"/>
        </w:rPr>
        <w:t>. The</w:t>
      </w:r>
      <w:r w:rsidR="003A1917">
        <w:rPr>
          <w:kern w:val="0"/>
        </w:rPr>
        <w:t xml:space="preserve"> </w:t>
      </w:r>
      <w:r>
        <w:rPr>
          <w:kern w:val="0"/>
        </w:rPr>
        <w:t>review</w:t>
      </w:r>
      <w:r w:rsidR="00427468">
        <w:rPr>
          <w:kern w:val="0"/>
        </w:rPr>
        <w:t xml:space="preserve"> of </w:t>
      </w:r>
      <w:r w:rsidR="003A1917">
        <w:rPr>
          <w:kern w:val="0"/>
        </w:rPr>
        <w:t xml:space="preserve">the </w:t>
      </w:r>
      <w:r>
        <w:rPr>
          <w:kern w:val="0"/>
        </w:rPr>
        <w:t>literature on sedentary behavior</w:t>
      </w:r>
      <w:r w:rsidR="005853A9">
        <w:rPr>
          <w:kern w:val="0"/>
        </w:rPr>
        <w:t xml:space="preserve"> and </w:t>
      </w:r>
      <w:r>
        <w:rPr>
          <w:kern w:val="0"/>
        </w:rPr>
        <w:t>biological pathways supported</w:t>
      </w:r>
      <w:r w:rsidR="003A1917">
        <w:rPr>
          <w:kern w:val="0"/>
        </w:rPr>
        <w:t xml:space="preserve"> the </w:t>
      </w:r>
      <w:r>
        <w:rPr>
          <w:kern w:val="0"/>
        </w:rPr>
        <w:t>hypothesized role</w:t>
      </w:r>
      <w:r w:rsidR="00427468">
        <w:rPr>
          <w:kern w:val="0"/>
        </w:rPr>
        <w:t xml:space="preserve"> of </w:t>
      </w:r>
      <w:r>
        <w:rPr>
          <w:kern w:val="0"/>
        </w:rPr>
        <w:t>adiposity</w:t>
      </w:r>
      <w:r w:rsidR="005853A9">
        <w:rPr>
          <w:kern w:val="0"/>
        </w:rPr>
        <w:t xml:space="preserve"> and </w:t>
      </w:r>
      <w:r>
        <w:rPr>
          <w:kern w:val="0"/>
        </w:rPr>
        <w:t>metabolic dysfunction as mechanisms operant in</w:t>
      </w:r>
      <w:r w:rsidR="003A1917">
        <w:rPr>
          <w:kern w:val="0"/>
        </w:rPr>
        <w:t xml:space="preserve"> the </w:t>
      </w:r>
      <w:r>
        <w:rPr>
          <w:kern w:val="0"/>
        </w:rPr>
        <w:t>association between sedentary behavior</w:t>
      </w:r>
      <w:r w:rsidR="005853A9">
        <w:rPr>
          <w:kern w:val="0"/>
        </w:rPr>
        <w:t xml:space="preserve"> and </w:t>
      </w:r>
      <w:r>
        <w:rPr>
          <w:kern w:val="0"/>
        </w:rPr>
        <w:t>cancer. Conclusions: Sedentary behavior is ubiquitous in contemporary society; its role in relation to cancer risk should be a research priority. Improving conceptualization</w:t>
      </w:r>
      <w:r w:rsidR="005853A9">
        <w:rPr>
          <w:kern w:val="0"/>
        </w:rPr>
        <w:t xml:space="preserve"> and </w:t>
      </w:r>
      <w:r>
        <w:rPr>
          <w:kern w:val="0"/>
        </w:rPr>
        <w:t>measurement</w:t>
      </w:r>
      <w:r w:rsidR="00427468">
        <w:rPr>
          <w:kern w:val="0"/>
        </w:rPr>
        <w:t xml:space="preserve"> of </w:t>
      </w:r>
      <w:r>
        <w:rPr>
          <w:kern w:val="0"/>
        </w:rPr>
        <w:t>sedentary behavior is necessary to enhance validity</w:t>
      </w:r>
      <w:r w:rsidR="00427468">
        <w:rPr>
          <w:kern w:val="0"/>
        </w:rPr>
        <w:t xml:space="preserve"> of </w:t>
      </w:r>
      <w:r>
        <w:rPr>
          <w:kern w:val="0"/>
        </w:rPr>
        <w:t>future work. Impact: Reducing sedentary behavior may be a viable new cancer control strategy. Cancer Epidemiol Biomarkers Prev; 19(11); 2691-709. (C) 2010 AACR.</w:t>
      </w:r>
    </w:p>
    <w:p w:rsidR="002C12F0" w:rsidRDefault="002C12F0" w:rsidP="002C12F0">
      <w:pPr>
        <w:pStyle w:val="a3"/>
        <w:rPr>
          <w:kern w:val="0"/>
        </w:rPr>
      </w:pPr>
      <w:r>
        <w:rPr>
          <w:kern w:val="0"/>
        </w:rPr>
        <w:t xml:space="preserve">Keywords: Adiposity, Articles, Body-Mass Index, Breast-Cancer, Cancer, Cardiovascular, Cardiovascular-Disease Risk, Colorectal Cancer, Control, Databases, Growth-Factor-I, Health Outcomes, Impact, Intensity Physical-Activity, Life-Style Factors, Literature, Literature Review, Measurement, Methods, Mortality, Nih-Aarp Diet, Outcomes, Prostate Cancer, Research, Research Priority, Review, Risk, Science, Sitting Time, Strategy, Systematic, Systematic Review, Television Viewing Time, Validity, Vitamin-D Status, </w:t>
      </w:r>
      <w:r w:rsidR="00D5664A">
        <w:rPr>
          <w:kern w:val="0"/>
        </w:rPr>
        <w:t>Web</w:t>
      </w:r>
      <w:r w:rsidR="00427468">
        <w:rPr>
          <w:kern w:val="0"/>
        </w:rPr>
        <w:t xml:space="preserve"> of </w:t>
      </w:r>
      <w:r w:rsidR="00D5664A">
        <w:rPr>
          <w:kern w:val="0"/>
        </w:rPr>
        <w:t>Science</w:t>
      </w:r>
      <w:r>
        <w:rPr>
          <w:kern w:val="0"/>
        </w:rPr>
        <w:t>, Women</w:t>
      </w:r>
    </w:p>
    <w:p w:rsidR="004C21C0" w:rsidRDefault="004C21C0" w:rsidP="004C21C0">
      <w:pPr>
        <w:pStyle w:val="a3"/>
        <w:rPr>
          <w:kern w:val="0"/>
        </w:rPr>
      </w:pPr>
      <w:r>
        <w:rPr>
          <w:rFonts w:hint="eastAsia"/>
          <w:kern w:val="0"/>
        </w:rPr>
        <w:t xml:space="preserve">? </w:t>
      </w:r>
      <w:r>
        <w:rPr>
          <w:kern w:val="0"/>
        </w:rPr>
        <w:t>McShane, C.M., Murray, L.J., Landgren, O., O</w:t>
      </w:r>
      <w:r w:rsidR="0071223E">
        <w:rPr>
          <w:kern w:val="0"/>
        </w:rPr>
        <w:t>’</w:t>
      </w:r>
      <w:r>
        <w:rPr>
          <w:kern w:val="0"/>
        </w:rPr>
        <w:t xml:space="preserve">Rorke, M.A., Korde, N., Kunzmann, A.T., Ismail, M.R. and Anderson, L.A. (2014), Prior autoimmune disease and risk of monoclonal gammopathy of undetermined significance and multiple myeloma: A systematic review. </w:t>
      </w:r>
      <w:r>
        <w:rPr>
          <w:i/>
          <w:iCs/>
          <w:kern w:val="0"/>
        </w:rPr>
        <w:t>Cancer Epidemiology Biomarkers &amp; Prevention</w:t>
      </w:r>
      <w:r>
        <w:rPr>
          <w:kern w:val="0"/>
        </w:rPr>
        <w:t xml:space="preserve">, </w:t>
      </w:r>
      <w:r>
        <w:rPr>
          <w:b/>
          <w:bCs/>
          <w:kern w:val="0"/>
        </w:rPr>
        <w:t>23</w:t>
      </w:r>
      <w:r>
        <w:rPr>
          <w:kern w:val="0"/>
        </w:rPr>
        <w:t xml:space="preserve"> (2), 332-342.</w:t>
      </w:r>
    </w:p>
    <w:p w:rsidR="004C21C0" w:rsidRPr="00C73C58" w:rsidRDefault="004C21C0" w:rsidP="004C21C0">
      <w:pPr>
        <w:pStyle w:val="a3"/>
      </w:pPr>
      <w:r w:rsidRPr="00C73C58">
        <w:lastRenderedPageBreak/>
        <w:t xml:space="preserve">Full Text: </w:t>
      </w:r>
      <w:r w:rsidRPr="004C21C0">
        <w:t>2014\Can Epi Bio Pre23, 332.pdf</w:t>
      </w:r>
    </w:p>
    <w:p w:rsidR="004C21C0" w:rsidRDefault="004C21C0" w:rsidP="004C21C0">
      <w:pPr>
        <w:pStyle w:val="a3"/>
        <w:rPr>
          <w:kern w:val="0"/>
        </w:rPr>
      </w:pPr>
      <w:r>
        <w:rPr>
          <w:kern w:val="0"/>
        </w:rPr>
        <w:t>Abstract: Background: Several observational studies have investigated autoimmune disease and subsequent risk of monoclonal gammopathy of undetermined significance (MGUS) and multiple myeloma. Findings have been largely inconsistent and hindered by the rarity and heterogeneity of the autoimmune disorders investigated. A systematic review of the literature was undertaken to evaluate the strength of the evidence linking prior autoimmune disease and risk of MGUS/multiple myeloma. Methods: A broad search strategy using key terms for MGUS, multiple myeloma, and 50 autoimmune diseases was used to search four electronic databases (PubMed, Medline, Embase, and Web of Science) from inception through November 2011. Results: A total of 52 studies met the inclusion criteria, of which 32 were suitably comparable to perform a meta-analysis. “Any autoimmune disorder” was associated with an increased risk of both MGUS [n 760 patients; pooled relative risk (RR) 1.42; 95% confidence interval (CI), 1.14-1.75] and multiple myeloma (n &gt; 2,530 patients; RR 1.13, 95% CI, 1.04-1.22). This risk was disease dependent with only pernicious anemia showing an increased risk of both MGUS (RR 1.67; 95% CI, 1.21-2.31) and multiple myeloma (RR 1.50; 95% CI, 1.25-1.80). Conclusions: Our findings, based on the largest number of autoimmune disorders and patients with MGUS/multiple myeloma reported to date, suggest that autoimmune diseases and/or their treatment may be important in the etiology of MGUS/multiple myeloma</w:t>
      </w:r>
      <w:r w:rsidR="00A37C1D">
        <w:rPr>
          <w:kern w:val="0"/>
        </w:rPr>
        <w:t>. The</w:t>
      </w:r>
      <w:r>
        <w:rPr>
          <w:kern w:val="0"/>
        </w:rPr>
        <w:t xml:space="preserve"> strong associations observed for pernicious anemia suggest that anemia seen in plasma cell dyscrasias may be of autoimmune origin. Impact: Underlying mechanisms of autoimmune diseases, general immune dysfunction, and/or treatment of autoimmune diseases may be important in the pathogenesis of MGUS/multiple myeloma.</w:t>
      </w:r>
    </w:p>
    <w:p w:rsidR="004C21C0" w:rsidRDefault="004C21C0" w:rsidP="004C21C0">
      <w:pPr>
        <w:pStyle w:val="a3"/>
        <w:rPr>
          <w:kern w:val="0"/>
        </w:rPr>
      </w:pPr>
      <w:r>
        <w:rPr>
          <w:kern w:val="0"/>
        </w:rPr>
        <w:t>Keywords: Anemia, Autoimmune Diseases, Cancer-Risk, Cell, Chronic Antigenic-Stimulation, Confidence, Criteria, Databases, Disease, Diseases, Etiology, Evidence, General, Heterogeneity, Immune, Impact, Inflammatory-Bowel-Disease, Interval, Literature, Long-Term, Lupus-Erythematosus, Mechanisms, Medline, Meta Analysis, Meta-Analysis, Metaanalysis, Methods, Multiple Myeloma, Observational, Observational Studies, Origin, Pathogenesis, Patients, Pernicious-Anemia, Plasma, Population-Based Cohort, Primary Sjogrens-Syndrome, Pubmed, Rarity, Relative Risk, Results, Review, Rheumatoid-Arthritis, Risk, Science, Search Strategy, Significance, Strategy, Strength, Systematic, Systematic Review, Term-Follow-Up, Treatment, Web Of Science</w:t>
      </w:r>
    </w:p>
    <w:p w:rsidR="009D28C9" w:rsidRDefault="009D28C9" w:rsidP="009D28C9">
      <w:pPr>
        <w:pStyle w:val="a3"/>
        <w:rPr>
          <w:kern w:val="0"/>
        </w:rPr>
      </w:pPr>
      <w:r>
        <w:rPr>
          <w:kern w:val="0"/>
        </w:rPr>
        <w:t xml:space="preserve">? Qiu, M.T., Wang, J., Xu, Y.T., Ding, X.X., Li, M., Jiang, F., Xu, L. and Yin, R. (2015), Circulating tumor DNA is effective for the detection of egfr mutation in non-small cell lung cancer: A meta-analysis. </w:t>
      </w:r>
      <w:r>
        <w:rPr>
          <w:i/>
          <w:iCs/>
          <w:kern w:val="0"/>
        </w:rPr>
        <w:t>Cancer Epidemiology Biomarkers &amp; Prevention</w:t>
      </w:r>
      <w:r>
        <w:rPr>
          <w:kern w:val="0"/>
        </w:rPr>
        <w:t xml:space="preserve">, </w:t>
      </w:r>
      <w:r>
        <w:rPr>
          <w:b/>
          <w:bCs/>
          <w:kern w:val="0"/>
        </w:rPr>
        <w:t>24</w:t>
      </w:r>
      <w:r>
        <w:rPr>
          <w:kern w:val="0"/>
        </w:rPr>
        <w:t xml:space="preserve"> (1), 206-212.</w:t>
      </w:r>
    </w:p>
    <w:p w:rsidR="009D28C9" w:rsidRPr="00C73C58" w:rsidRDefault="009D28C9" w:rsidP="009D28C9">
      <w:pPr>
        <w:pStyle w:val="a3"/>
      </w:pPr>
      <w:r w:rsidRPr="00C73C58">
        <w:lastRenderedPageBreak/>
        <w:t xml:space="preserve">Full Text: </w:t>
      </w:r>
      <w:r w:rsidRPr="004C21C0">
        <w:t>201</w:t>
      </w:r>
      <w:r>
        <w:rPr>
          <w:rFonts w:hint="eastAsia"/>
        </w:rPr>
        <w:t>5</w:t>
      </w:r>
      <w:r w:rsidRPr="004C21C0">
        <w:t>\Can Epi Bio Pre2</w:t>
      </w:r>
      <w:r>
        <w:rPr>
          <w:rFonts w:hint="eastAsia"/>
        </w:rPr>
        <w:t>4</w:t>
      </w:r>
      <w:r w:rsidRPr="004C21C0">
        <w:t xml:space="preserve">, </w:t>
      </w:r>
      <w:r>
        <w:rPr>
          <w:rFonts w:hint="eastAsia"/>
        </w:rPr>
        <w:t>206</w:t>
      </w:r>
      <w:r w:rsidRPr="004C21C0">
        <w:t>.pdf</w:t>
      </w:r>
    </w:p>
    <w:p w:rsidR="009D28C9" w:rsidRDefault="009D28C9" w:rsidP="009D28C9">
      <w:pPr>
        <w:pStyle w:val="a3"/>
        <w:rPr>
          <w:kern w:val="0"/>
        </w:rPr>
      </w:pPr>
      <w:r>
        <w:rPr>
          <w:kern w:val="0"/>
        </w:rPr>
        <w:t>Abstract: Background: Circulating tumor DNA (ctDNA) has offered a minimally invasive and feasible approach for detection of EGFR mutation for non-small cell lung cancer (NSCLC). This meta-analysis was designed to investigate the diagnostic value of ctDNA, compared with current “gold standard,” tumor tissues. Methods: We searched PubMed, EMBASE, Cochrane Library, and Web of Science to identify eligible studies that reported the sensitivity and specificity of ctDNA for detection of EGFR mutation status in NSCLC. Eligible studies were pooled to calculate the pooled sensitivity, specificity, and diagnostic odds ratio (DOR). The summary ROC curve (SROC) and area under SROC (AUSROC) were used to evaluate the overall diagnostic performance. Results: Twenty-seven eligible studies involving 3,110 participants were included and analyzed in our meta-analysis, and most studies were conducted among Asian population. The pooled sensitivity, specificity, and DOR were 0.620 [95% confidence intervals (CI), 0.513-0.716), 0.959 (95% CI, 0.929-0.977), and 38.270 (95% CI, 21.090-69.444), respectively. The AUSROC was 0.91 (95% CI, 0.89-0.94), indicating the high diagnostic performance of ctDNA. Conclusion: ctDNA is a highly specific and effective biomarker for the detection of EGFR mutation status. Impact: ctDNA analysis will be a key part of personalized cancer therapy of NSCLC. (C)2014 AACR.</w:t>
      </w:r>
    </w:p>
    <w:p w:rsidR="009D28C9" w:rsidRDefault="009D28C9" w:rsidP="009D28C9">
      <w:pPr>
        <w:pStyle w:val="a3"/>
        <w:rPr>
          <w:kern w:val="0"/>
        </w:rPr>
      </w:pPr>
      <w:r>
        <w:rPr>
          <w:kern w:val="0"/>
        </w:rPr>
        <w:t>Keywords: Analysis, Approach, Asian, Biomarker, Breast-Cancer, Cancer, Cancer Therapy, Cell, Chinese Patients, Circulating, Confidence, Confidence Intervals, Detection, Diagnostic, Diagnostic-Test, Dna, Egfr, Embase, Factor Receptor Mutations, Free Nucleic-Acids, Gefitinib, Impact, Intervals, Invasive, Lung, Lung Cancer, Meta Analysis, Meta-Analysis, Metaanalysis, Methods, Mutation, Nsclc, Odds Ratio, Performance, Peripheral-Blood, Plasma Dna, Population, Pubmed, Resolution Melting Analysis, Results, Roc, Science, Sensitivity, Specificity, Therapy, Tissue, Tumor, Value, Web, Web Of Science</w:t>
      </w:r>
    </w:p>
    <w:p w:rsidR="004C466D" w:rsidRPr="00217FB1" w:rsidRDefault="004C466D" w:rsidP="004C466D">
      <w:pPr>
        <w:pStyle w:val="1"/>
      </w:pPr>
      <w:r w:rsidRPr="00217FB1">
        <w:rPr>
          <w:lang w:val="en-GB"/>
        </w:rPr>
        <w:br w:type="page"/>
      </w:r>
      <w:bookmarkStart w:id="76" w:name="_Toc420814901"/>
      <w:r>
        <w:lastRenderedPageBreak/>
        <w:t xml:space="preserve">Title: </w:t>
      </w:r>
      <w:r w:rsidRPr="00D853FA">
        <w:rPr>
          <w:iCs w:val="0"/>
          <w:szCs w:val="24"/>
        </w:rPr>
        <w:t>Cancer Genetics</w:t>
      </w:r>
      <w:bookmarkEnd w:id="76"/>
    </w:p>
    <w:p w:rsidR="004C466D" w:rsidRPr="00217FB1" w:rsidRDefault="004C466D" w:rsidP="004C466D">
      <w:pPr>
        <w:pStyle w:val="12"/>
      </w:pPr>
      <w:r w:rsidRPr="00217FB1">
        <w:t xml:space="preserve">Full Journal Title: </w:t>
      </w:r>
      <w:r w:rsidRPr="00D853FA">
        <w:rPr>
          <w:iCs/>
          <w:kern w:val="0"/>
        </w:rPr>
        <w:t>Cancer Genetics</w:t>
      </w:r>
    </w:p>
    <w:p w:rsidR="004C466D" w:rsidRPr="00217FB1" w:rsidRDefault="004C466D" w:rsidP="004C466D">
      <w:pPr>
        <w:pStyle w:val="12"/>
      </w:pPr>
      <w:r w:rsidRPr="00217FB1">
        <w:t xml:space="preserve">ISO Abbreviated Title: </w:t>
      </w:r>
    </w:p>
    <w:p w:rsidR="004C466D" w:rsidRPr="00217FB1" w:rsidRDefault="004C466D" w:rsidP="004C466D">
      <w:pPr>
        <w:pStyle w:val="12"/>
      </w:pPr>
      <w:r w:rsidRPr="00217FB1">
        <w:t>JCR Abbreviated Title</w:t>
      </w:r>
      <w:r>
        <w:t>:</w:t>
      </w:r>
      <w:r w:rsidRPr="00217FB1">
        <w:t xml:space="preserve"> </w:t>
      </w:r>
    </w:p>
    <w:p w:rsidR="004C466D" w:rsidRPr="00217FB1" w:rsidRDefault="004C466D" w:rsidP="004C466D">
      <w:pPr>
        <w:pStyle w:val="12"/>
      </w:pPr>
      <w:r w:rsidRPr="00217FB1">
        <w:t xml:space="preserve">ISSN: </w:t>
      </w:r>
    </w:p>
    <w:p w:rsidR="004C466D" w:rsidRPr="00217FB1" w:rsidRDefault="004C466D" w:rsidP="004C466D">
      <w:pPr>
        <w:pStyle w:val="12"/>
      </w:pPr>
      <w:r w:rsidRPr="00217FB1">
        <w:t xml:space="preserve">Issues/Year: </w:t>
      </w:r>
    </w:p>
    <w:p w:rsidR="004C466D" w:rsidRPr="00217FB1" w:rsidRDefault="004C466D" w:rsidP="004C466D">
      <w:pPr>
        <w:pStyle w:val="12"/>
      </w:pPr>
      <w:r>
        <w:t xml:space="preserve">Journal Country/Territory: </w:t>
      </w:r>
    </w:p>
    <w:p w:rsidR="004C466D" w:rsidRPr="00217FB1" w:rsidRDefault="004C466D" w:rsidP="004C466D">
      <w:pPr>
        <w:pStyle w:val="12"/>
      </w:pPr>
      <w:r w:rsidRPr="00217FB1">
        <w:t xml:space="preserve">Language: </w:t>
      </w:r>
    </w:p>
    <w:p w:rsidR="004C466D" w:rsidRPr="00217FB1" w:rsidRDefault="004C466D" w:rsidP="004C466D">
      <w:pPr>
        <w:pStyle w:val="12"/>
      </w:pPr>
      <w:r w:rsidRPr="00217FB1">
        <w:t xml:space="preserve">Publisher: </w:t>
      </w:r>
    </w:p>
    <w:p w:rsidR="004C466D" w:rsidRPr="00217FB1" w:rsidRDefault="004C466D" w:rsidP="004C466D">
      <w:pPr>
        <w:pStyle w:val="12"/>
      </w:pPr>
      <w:r w:rsidRPr="00217FB1">
        <w:t xml:space="preserve">Publisher Address: </w:t>
      </w:r>
    </w:p>
    <w:p w:rsidR="004C466D" w:rsidRPr="00217FB1" w:rsidRDefault="004C466D" w:rsidP="004C466D">
      <w:pPr>
        <w:pStyle w:val="12"/>
      </w:pPr>
      <w:r w:rsidRPr="00217FB1">
        <w:t>Subject Categories:</w:t>
      </w:r>
    </w:p>
    <w:p w:rsidR="004C466D" w:rsidRPr="00217FB1" w:rsidRDefault="004C466D" w:rsidP="004C466D">
      <w:pPr>
        <w:pStyle w:val="12"/>
      </w:pPr>
      <w:r w:rsidRPr="00217FB1">
        <w:t xml:space="preserve">: Impact Factor </w:t>
      </w:r>
    </w:p>
    <w:p w:rsidR="00B6701C" w:rsidRDefault="00B6701C" w:rsidP="00B6701C">
      <w:pPr>
        <w:pStyle w:val="a3"/>
        <w:rPr>
          <w:kern w:val="0"/>
          <w:szCs w:val="24"/>
        </w:rPr>
      </w:pPr>
      <w:r>
        <w:rPr>
          <w:kern w:val="0"/>
          <w:szCs w:val="24"/>
        </w:rPr>
        <w:t xml:space="preserve">? Deng, F., Gao, Y., Ju-hong, L.V. and Gao, J.M. (2014), Methylenetetrahydrofolate reductase gene polymorphisms and skin cancer risk: A meta-analysis. </w:t>
      </w:r>
      <w:r w:rsidRPr="00D853FA">
        <w:rPr>
          <w:i/>
          <w:iCs/>
          <w:kern w:val="0"/>
          <w:szCs w:val="24"/>
        </w:rPr>
        <w:t>Cancer Genetics</w:t>
      </w:r>
      <w:r>
        <w:rPr>
          <w:kern w:val="0"/>
          <w:szCs w:val="24"/>
        </w:rPr>
        <w:t xml:space="preserve">, </w:t>
      </w:r>
      <w:r>
        <w:rPr>
          <w:b/>
          <w:bCs/>
          <w:kern w:val="0"/>
          <w:szCs w:val="24"/>
        </w:rPr>
        <w:t>207</w:t>
      </w:r>
      <w:r>
        <w:rPr>
          <w:kern w:val="0"/>
          <w:szCs w:val="24"/>
        </w:rPr>
        <w:t xml:space="preserve"> (7-8), 299-305.</w:t>
      </w:r>
    </w:p>
    <w:p w:rsidR="00B6701C" w:rsidRDefault="00B6701C" w:rsidP="00B6701C">
      <w:pPr>
        <w:pStyle w:val="a3"/>
        <w:rPr>
          <w:kern w:val="0"/>
          <w:szCs w:val="24"/>
        </w:rPr>
      </w:pPr>
      <w:r>
        <w:rPr>
          <w:kern w:val="0"/>
          <w:szCs w:val="24"/>
        </w:rPr>
        <w:t xml:space="preserve">Full Text: </w:t>
      </w:r>
      <w:hyperlink r:id="rId123" w:history="1">
        <w:r w:rsidRPr="00B6701C">
          <w:rPr>
            <w:rStyle w:val="a5"/>
            <w:kern w:val="0"/>
            <w:szCs w:val="24"/>
          </w:rPr>
          <w:t>2014\Can Gen207, 299.pdf</w:t>
        </w:r>
      </w:hyperlink>
    </w:p>
    <w:p w:rsidR="00B6701C" w:rsidRDefault="00B6701C" w:rsidP="00B6701C">
      <w:pPr>
        <w:pStyle w:val="a3"/>
        <w:rPr>
          <w:kern w:val="0"/>
          <w:szCs w:val="24"/>
        </w:rPr>
      </w:pPr>
      <w:r>
        <w:rPr>
          <w:kern w:val="0"/>
          <w:szCs w:val="24"/>
        </w:rPr>
        <w:t>Abstract: We sought to determine whether the methylenetetrahydrofolate reductase (MTHFR) A1298C and C677T polymorphisms are associated with increased skin cancer risk. We performed literature searches of the PubMed, BIOSIS Previews, and Web of Science databases to identify eligible articles published through September 15, 2013. Pooled odds ratios (ORs) with 95% confidence intervals (Cis) were calculated using fixed-effects or random-effects models. Publication bias and subgroup analyses were also performed. Eight articles, which consisted of 10,066 subjects (2,672 patients and 7,394 controls), were included in the meta-analysis. Homozygous MTHFR 1298C individuals were 1.29 times more likely to develop skin cancer (95% CI, 1.04-1.61) compared with A1298C allele (AA or AC) carriers. There was an increased risk for C allele homozygotes compared with the 1,298 AA+AC carriers (OR, 1.45; 95% CI, 1.08-1.96) when restricted to basal cell carcinomas (BCC). The 1298C homozygote carriers increased the odds of BCC by 1.47 times (95% CI, 1.07-2.01) compared with those who were 1298A homozygote carriers. ORs for all genetic models yielded a null association. The data obtained from this meta-analysis suggest that the MTHFR 1298C allele is associated with increased skin cancer risk, particularly BCC; however, no association was observed between the MTHFR C677T polymorphism and skin cancer.</w:t>
      </w:r>
    </w:p>
    <w:p w:rsidR="00B6701C" w:rsidRDefault="00B6701C" w:rsidP="00B6701C">
      <w:pPr>
        <w:pStyle w:val="a3"/>
        <w:rPr>
          <w:kern w:val="0"/>
          <w:szCs w:val="24"/>
        </w:rPr>
      </w:pPr>
      <w:r>
        <w:rPr>
          <w:kern w:val="0"/>
          <w:szCs w:val="24"/>
        </w:rPr>
        <w:t xml:space="preserve">Keywords: Analyses, Articles, Association, Basal-Cell, Bias, Cancer, Cancer Risk, Cell, Common Mutation, Confidence, Confidence Intervals, Data, Databases, From, Gene, Genetic, Intervals, Literature, Melanoma, Meta Analysis, Meta-Analysis, </w:t>
      </w:r>
      <w:r>
        <w:rPr>
          <w:kern w:val="0"/>
          <w:szCs w:val="24"/>
        </w:rPr>
        <w:lastRenderedPageBreak/>
        <w:t>Metaanalysis, Methylenetetrahydrofolate Reductase, Models, Mthfr, Mthfr C677t, Patients, Polymorphism, Polymorphisms, Publication, Publication Bias, Pubmed, Risk, Science, Skin, Skin Cancer, Squamous-Cell Carcinoma, Susceptibility, Vascular-Disease, Vdr, Web, Web Of Science, Web Of Science Databases</w:t>
      </w:r>
    </w:p>
    <w:p w:rsidR="003474F2" w:rsidRPr="001A3D2B" w:rsidRDefault="003474F2" w:rsidP="003474F2">
      <w:pPr>
        <w:pStyle w:val="1"/>
      </w:pPr>
      <w:r w:rsidRPr="001A3D2B">
        <w:br w:type="page"/>
      </w:r>
      <w:bookmarkStart w:id="77" w:name="_Toc420814902"/>
      <w:r w:rsidRPr="001A3D2B">
        <w:lastRenderedPageBreak/>
        <w:t>Title: Cancer Genetics</w:t>
      </w:r>
      <w:r w:rsidR="005853A9">
        <w:t xml:space="preserve"> and </w:t>
      </w:r>
      <w:r w:rsidRPr="001A3D2B">
        <w:t>Cytogenetics</w:t>
      </w:r>
      <w:bookmarkEnd w:id="77"/>
    </w:p>
    <w:p w:rsidR="003474F2" w:rsidRPr="001A3D2B" w:rsidRDefault="003474F2" w:rsidP="003474F2">
      <w:pPr>
        <w:pStyle w:val="12"/>
      </w:pPr>
      <w:r w:rsidRPr="001A3D2B">
        <w:t>Full J</w:t>
      </w:r>
      <w:bookmarkStart w:id="78" w:name="_Toc43634552"/>
      <w:bookmarkStart w:id="79" w:name="_Toc81215659"/>
      <w:r w:rsidRPr="001A3D2B">
        <w:t xml:space="preserve">ournal Title: </w:t>
      </w:r>
      <w:r w:rsidR="00DF61FE">
        <w:fldChar w:fldCharType="begin"/>
      </w:r>
      <w:r w:rsidR="00FD158B">
        <w:instrText>HYPERLINK "http://www.sc</w:instrText>
      </w:r>
      <w:bookmarkEnd w:id="78"/>
      <w:bookmarkEnd w:id="79"/>
      <w:r w:rsidR="00FD158B">
        <w:instrText>iencedirect.com/science/journal/01654608"</w:instrText>
      </w:r>
      <w:r w:rsidR="00DF61FE">
        <w:fldChar w:fldCharType="separate"/>
      </w:r>
      <w:r w:rsidRPr="00A42989">
        <w:rPr>
          <w:rStyle w:val="a5"/>
        </w:rPr>
        <w:t>Cancer Genetics</w:t>
      </w:r>
      <w:r w:rsidR="005853A9">
        <w:rPr>
          <w:rStyle w:val="a5"/>
        </w:rPr>
        <w:t xml:space="preserve"> and </w:t>
      </w:r>
      <w:r w:rsidRPr="00A42989">
        <w:rPr>
          <w:rStyle w:val="a5"/>
        </w:rPr>
        <w:t>Cytogenetics</w:t>
      </w:r>
      <w:r w:rsidR="00DF61FE">
        <w:fldChar w:fldCharType="end"/>
      </w:r>
    </w:p>
    <w:p w:rsidR="003474F2" w:rsidRPr="001A3D2B" w:rsidRDefault="003474F2" w:rsidP="003474F2">
      <w:pPr>
        <w:pStyle w:val="12"/>
      </w:pPr>
      <w:r w:rsidRPr="001A3D2B">
        <w:t>ISO Abbreviated Title: Cancer Genet. Cytogenet.</w:t>
      </w:r>
    </w:p>
    <w:p w:rsidR="003474F2" w:rsidRPr="001A3D2B" w:rsidRDefault="003474F2" w:rsidP="003474F2">
      <w:pPr>
        <w:pStyle w:val="12"/>
      </w:pPr>
      <w:r w:rsidRPr="001A3D2B">
        <w:t>JCR Abbreviated Title: Cancer Genet Cytogen</w:t>
      </w:r>
    </w:p>
    <w:p w:rsidR="003474F2" w:rsidRPr="001A3D2B" w:rsidRDefault="003474F2" w:rsidP="003474F2">
      <w:pPr>
        <w:pStyle w:val="12"/>
      </w:pPr>
      <w:r w:rsidRPr="001A3D2B">
        <w:t>ISSN: 0165-4608</w:t>
      </w:r>
    </w:p>
    <w:p w:rsidR="003474F2" w:rsidRPr="001A3D2B" w:rsidRDefault="003474F2" w:rsidP="003474F2">
      <w:pPr>
        <w:pStyle w:val="12"/>
      </w:pPr>
      <w:r w:rsidRPr="001A3D2B">
        <w:t>Issues/Year: 14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Science Inc</w:t>
      </w:r>
    </w:p>
    <w:p w:rsidR="003474F2" w:rsidRPr="001A3D2B" w:rsidRDefault="003474F2" w:rsidP="003474F2">
      <w:pPr>
        <w:pStyle w:val="12"/>
      </w:pPr>
      <w:r w:rsidRPr="001A3D2B">
        <w:t>Publisher Address: 655 Avenue</w:t>
      </w:r>
      <w:r w:rsidR="00427468">
        <w:t xml:space="preserve"> of </w:t>
      </w:r>
      <w:r w:rsidR="003A1917">
        <w:t xml:space="preserve">the </w:t>
      </w:r>
      <w:r w:rsidRPr="001A3D2B">
        <w:t xml:space="preserve">Americas, </w:t>
      </w:r>
      <w:smartTag w:uri="urn:schemas-microsoft-com:office:smarttags" w:element="place">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Oncology: Impact Factor 1.529,/(2001)</w:t>
      </w:r>
    </w:p>
    <w:p w:rsidR="003474F2" w:rsidRPr="001A3D2B" w:rsidRDefault="003474F2" w:rsidP="003474F2">
      <w:pPr>
        <w:pStyle w:val="12"/>
      </w:pPr>
      <w:r w:rsidRPr="001A3D2B">
        <w:t>Genetics &amp; Heredity: Impact Factor 1.529,/(2001)</w:t>
      </w:r>
    </w:p>
    <w:p w:rsidR="003474F2" w:rsidRPr="001A3D2B" w:rsidRDefault="003474F2" w:rsidP="003474F2">
      <w:pPr>
        <w:pStyle w:val="a3"/>
      </w:pPr>
      <w:r w:rsidRPr="001A3D2B">
        <w:t>Hecht, F., Hecht, B.K.</w:t>
      </w:r>
      <w:r w:rsidR="005853A9">
        <w:t xml:space="preserve"> and </w:t>
      </w:r>
      <w:r w:rsidRPr="001A3D2B">
        <w:t>Sandberg, A.A. (1998</w:t>
      </w:r>
      <w:r w:rsidR="00F42EAC">
        <w:t>), The</w:t>
      </w:r>
      <w:r w:rsidR="003A1917">
        <w:t xml:space="preserve"> </w:t>
      </w:r>
      <w:r w:rsidRPr="001A3D2B">
        <w:t xml:space="preserve">journal </w:t>
      </w:r>
      <w:r w:rsidR="0071223E">
        <w:t>‘</w:t>
      </w:r>
      <w:r w:rsidRPr="001A3D2B">
        <w:t>Impact Factor</w:t>
      </w:r>
      <w:r w:rsidR="0071223E">
        <w:t>’</w:t>
      </w:r>
      <w:r w:rsidRPr="001A3D2B">
        <w:t xml:space="preserve">: A misnamed, misleading, misused measure. </w:t>
      </w:r>
      <w:r w:rsidRPr="001A3D2B">
        <w:rPr>
          <w:i/>
          <w:iCs/>
        </w:rPr>
        <w:t>Cancer Genetics</w:t>
      </w:r>
      <w:r w:rsidR="005853A9">
        <w:rPr>
          <w:i/>
          <w:iCs/>
        </w:rPr>
        <w:t xml:space="preserve"> and </w:t>
      </w:r>
      <w:r w:rsidRPr="001A3D2B">
        <w:rPr>
          <w:i/>
          <w:iCs/>
        </w:rPr>
        <w:t>Cytogenetics</w:t>
      </w:r>
      <w:r w:rsidRPr="001A3D2B">
        <w:t xml:space="preserve">, </w:t>
      </w:r>
      <w:r w:rsidRPr="001A3D2B">
        <w:rPr>
          <w:b/>
        </w:rPr>
        <w:t>104</w:t>
      </w:r>
      <w:r w:rsidRPr="001A3D2B">
        <w:t xml:space="preserve"> (2), 77-81.</w:t>
      </w:r>
    </w:p>
    <w:p w:rsidR="003474F2" w:rsidRPr="001A3D2B" w:rsidRDefault="003474F2" w:rsidP="003474F2">
      <w:pPr>
        <w:pStyle w:val="a3"/>
      </w:pPr>
      <w:r w:rsidRPr="001A3D2B">
        <w:t xml:space="preserve">Full Text: </w:t>
      </w:r>
      <w:hyperlink r:id="rId124" w:history="1">
        <w:r w:rsidRPr="001A3D2B">
          <w:rPr>
            <w:rStyle w:val="a5"/>
          </w:rPr>
          <w:t>1998\Can Gen Cyt104, 77.pdf</w:t>
        </w:r>
      </w:hyperlink>
    </w:p>
    <w:p w:rsidR="003474F2" w:rsidRPr="001A3D2B" w:rsidRDefault="003474F2" w:rsidP="003474F2">
      <w:pPr>
        <w:pStyle w:val="a3"/>
      </w:pPr>
      <w:r w:rsidRPr="001A3D2B">
        <w:t>Abstract:</w:t>
      </w:r>
      <w:r w:rsidR="003A1917">
        <w:t xml:space="preserve"> the </w:t>
      </w:r>
      <w:r w:rsidRPr="001A3D2B">
        <w:t>Institute for Scientific Information (ISI), a database publishing company that publishes Current Contents</w:t>
      </w:r>
      <w:r w:rsidR="005853A9">
        <w:t xml:space="preserve"> and </w:t>
      </w:r>
      <w:r w:rsidRPr="001A3D2B">
        <w:t>Science Citation Index, has devised</w:t>
      </w:r>
      <w:r w:rsidR="005853A9">
        <w:t xml:space="preserve"> and </w:t>
      </w:r>
      <w:r w:rsidRPr="001A3D2B">
        <w:t>promulgated what it terms</w:t>
      </w:r>
      <w:r w:rsidR="003A1917">
        <w:t xml:space="preserve"> the </w:t>
      </w:r>
      <w:r w:rsidRPr="001A3D2B">
        <w:t xml:space="preserve">journal </w:t>
      </w:r>
      <w:r w:rsidR="0071223E">
        <w:t>‘</w:t>
      </w:r>
      <w:r w:rsidRPr="001A3D2B">
        <w:t>impact factor.</w:t>
      </w:r>
      <w:r w:rsidR="0071223E">
        <w:t>’</w:t>
      </w:r>
      <w:r w:rsidRPr="001A3D2B">
        <w:t xml:space="preserve"> ISI describes this factor as a </w:t>
      </w:r>
      <w:r w:rsidR="0071223E">
        <w:t>‘</w:t>
      </w:r>
      <w:r w:rsidRPr="001A3D2B">
        <w:t>measure</w:t>
      </w:r>
      <w:r w:rsidR="00427468">
        <w:t xml:space="preserve"> of </w:t>
      </w:r>
      <w:r w:rsidR="003A1917">
        <w:t xml:space="preserve">the </w:t>
      </w:r>
      <w:r w:rsidRPr="001A3D2B">
        <w:t>frequency with which</w:t>
      </w:r>
      <w:r w:rsidR="003A1917">
        <w:t xml:space="preserve"> the </w:t>
      </w:r>
      <w:r w:rsidR="0071223E">
        <w:t>‘</w:t>
      </w:r>
      <w:r w:rsidRPr="001A3D2B">
        <w:t>average article</w:t>
      </w:r>
      <w:r w:rsidR="0071223E">
        <w:t>’</w:t>
      </w:r>
      <w:r w:rsidRPr="001A3D2B">
        <w:t xml:space="preserve"> in a journal has been cited in a particular year.</w:t>
      </w:r>
      <w:r w:rsidR="0071223E">
        <w:t>’</w:t>
      </w:r>
      <w:r w:rsidR="003A1917">
        <w:t xml:space="preserve"> the </w:t>
      </w:r>
      <w:r w:rsidRPr="001A3D2B">
        <w:t>factor is a ratio between citations</w:t>
      </w:r>
      <w:r w:rsidR="005853A9">
        <w:t xml:space="preserve"> and </w:t>
      </w:r>
      <w:r w:rsidRPr="001A3D2B">
        <w:t>recent citable published items calculated by dividing</w:t>
      </w:r>
      <w:r w:rsidR="003A1917">
        <w:t xml:space="preserve"> the </w:t>
      </w:r>
      <w:r w:rsidRPr="001A3D2B">
        <w:t>number</w:t>
      </w:r>
      <w:r w:rsidR="00427468">
        <w:t xml:space="preserve"> of </w:t>
      </w:r>
      <w:r w:rsidRPr="001A3D2B">
        <w:t>all current citations</w:t>
      </w:r>
      <w:r w:rsidR="00427468">
        <w:t xml:space="preserve"> of </w:t>
      </w:r>
      <w:r w:rsidRPr="001A3D2B">
        <w:t>items published in a journal during</w:t>
      </w:r>
      <w:r w:rsidR="003A1917">
        <w:t xml:space="preserve"> the </w:t>
      </w:r>
      <w:r w:rsidRPr="001A3D2B">
        <w:t>preceding 2 years by</w:t>
      </w:r>
      <w:r w:rsidR="003A1917">
        <w:t xml:space="preserve"> the </w:t>
      </w:r>
      <w:r w:rsidRPr="001A3D2B">
        <w:t>number</w:t>
      </w:r>
      <w:r w:rsidR="00427468">
        <w:t xml:space="preserve"> of </w:t>
      </w:r>
      <w:r w:rsidRPr="001A3D2B">
        <w:t>articles published in those 2 years by that journal. What, if anything, is wrong with</w:t>
      </w:r>
      <w:r w:rsidR="003A1917">
        <w:t xml:space="preserve"> the </w:t>
      </w:r>
      <w:r w:rsidR="0071223E">
        <w:t>‘</w:t>
      </w:r>
      <w:r w:rsidRPr="001A3D2B">
        <w:t>impact factor</w:t>
      </w:r>
      <w:r w:rsidR="0071223E">
        <w:t>’</w:t>
      </w:r>
      <w:r w:rsidRPr="001A3D2B">
        <w:t>? There is absolutely nothing incorrect with</w:t>
      </w:r>
      <w:r w:rsidR="003A1917">
        <w:t xml:space="preserve"> the </w:t>
      </w:r>
      <w:r w:rsidRPr="001A3D2B">
        <w:t>calculation</w:t>
      </w:r>
      <w:r w:rsidR="00427468">
        <w:t xml:space="preserve"> of </w:t>
      </w:r>
      <w:r w:rsidR="003A1917">
        <w:t xml:space="preserve">the </w:t>
      </w:r>
      <w:r w:rsidRPr="001A3D2B">
        <w:t>ratio itself. However,</w:t>
      </w:r>
      <w:r w:rsidR="003A1917">
        <w:t xml:space="preserve"> the </w:t>
      </w:r>
      <w:r w:rsidR="0071223E">
        <w:t>‘</w:t>
      </w:r>
      <w:r w:rsidRPr="001A3D2B">
        <w:t>impact factor</w:t>
      </w:r>
      <w:r w:rsidR="0071223E">
        <w:t>’</w:t>
      </w:r>
      <w:r w:rsidRPr="001A3D2B">
        <w:t xml:space="preserve"> is misnamed</w:t>
      </w:r>
      <w:r w:rsidR="005853A9">
        <w:t xml:space="preserve"> and </w:t>
      </w:r>
      <w:r w:rsidRPr="001A3D2B">
        <w:t>misleading. Being misnamed</w:t>
      </w:r>
      <w:r w:rsidR="005853A9">
        <w:t xml:space="preserve"> and </w:t>
      </w:r>
      <w:r w:rsidRPr="001A3D2B">
        <w:t>misleading,</w:t>
      </w:r>
      <w:r w:rsidR="003A1917">
        <w:t xml:space="preserve"> the </w:t>
      </w:r>
      <w:r w:rsidR="0071223E">
        <w:t>‘</w:t>
      </w:r>
      <w:r w:rsidRPr="001A3D2B">
        <w:t>impact factor</w:t>
      </w:r>
      <w:r w:rsidR="0071223E">
        <w:t>’</w:t>
      </w:r>
      <w:r w:rsidRPr="001A3D2B">
        <w:t xml:space="preserve"> has been misused. It is being held out as a measure</w:t>
      </w:r>
      <w:r w:rsidR="00427468">
        <w:t xml:space="preserve"> of </w:t>
      </w:r>
      <w:r w:rsidR="003A1917">
        <w:t xml:space="preserve">the </w:t>
      </w:r>
      <w:r w:rsidRPr="001A3D2B">
        <w:t>importance</w:t>
      </w:r>
      <w:r w:rsidR="00427468">
        <w:t xml:space="preserve"> of </w:t>
      </w:r>
      <w:r w:rsidRPr="001A3D2B">
        <w:t>a specific journal article</w:t>
      </w:r>
      <w:r w:rsidR="005853A9">
        <w:t xml:space="preserve"> and </w:t>
      </w:r>
      <w:r w:rsidR="003A1917">
        <w:t xml:space="preserve">the </w:t>
      </w:r>
      <w:r w:rsidRPr="001A3D2B">
        <w:t>journal in which</w:t>
      </w:r>
      <w:r w:rsidR="003A1917">
        <w:t xml:space="preserve"> the </w:t>
      </w:r>
      <w:r w:rsidRPr="001A3D2B">
        <w:t>article appeared. By extension,</w:t>
      </w:r>
      <w:r w:rsidR="003A1917">
        <w:t xml:space="preserve"> the </w:t>
      </w:r>
      <w:r w:rsidR="0071223E">
        <w:t>‘</w:t>
      </w:r>
      <w:r w:rsidRPr="001A3D2B">
        <w:t>impact factor</w:t>
      </w:r>
      <w:r w:rsidR="0071223E">
        <w:t>’</w:t>
      </w:r>
      <w:r w:rsidRPr="001A3D2B">
        <w:t xml:space="preserve"> is also being misused to gauge</w:t>
      </w:r>
      <w:r w:rsidR="003A1917">
        <w:t xml:space="preserve"> the </w:t>
      </w:r>
      <w:r w:rsidRPr="001A3D2B">
        <w:t>relative importance</w:t>
      </w:r>
      <w:r w:rsidR="00427468">
        <w:t xml:space="preserve"> of </w:t>
      </w:r>
      <w:r w:rsidRPr="001A3D2B">
        <w:t>individual researchers, research programs,</w:t>
      </w:r>
      <w:r w:rsidR="005853A9">
        <w:t xml:space="preserve"> and </w:t>
      </w:r>
      <w:r w:rsidRPr="001A3D2B">
        <w:t>even</w:t>
      </w:r>
      <w:r w:rsidR="003A1917">
        <w:t xml:space="preserve"> the </w:t>
      </w:r>
      <w:r w:rsidRPr="001A3D2B">
        <w:t>institution hosting</w:t>
      </w:r>
      <w:r w:rsidR="003A1917">
        <w:t xml:space="preserve"> the </w:t>
      </w:r>
      <w:r w:rsidRPr="001A3D2B">
        <w:t>research. We recommend that</w:t>
      </w:r>
      <w:r w:rsidR="003A1917">
        <w:t xml:space="preserve"> the </w:t>
      </w:r>
      <w:r w:rsidRPr="001A3D2B">
        <w:t xml:space="preserve">term </w:t>
      </w:r>
      <w:r w:rsidR="0071223E">
        <w:t>‘</w:t>
      </w:r>
      <w:r w:rsidRPr="001A3D2B">
        <w:t>impact factor</w:t>
      </w:r>
      <w:r w:rsidR="0071223E">
        <w:t>’</w:t>
      </w:r>
      <w:r w:rsidRPr="001A3D2B">
        <w:t xml:space="preserve"> be abolished</w:t>
      </w:r>
      <w:r w:rsidR="005853A9">
        <w:t xml:space="preserve"> and </w:t>
      </w:r>
      <w:r w:rsidRPr="001A3D2B">
        <w:t>that this measure be renamed in keeping with its actual role, that merely</w:t>
      </w:r>
      <w:r w:rsidR="00427468">
        <w:t xml:space="preserve"> of </w:t>
      </w:r>
      <w:r w:rsidRPr="001A3D2B">
        <w:t xml:space="preserve">a time-specific </w:t>
      </w:r>
      <w:r w:rsidR="0071223E">
        <w:t>‘</w:t>
      </w:r>
      <w:r w:rsidRPr="001A3D2B">
        <w:t>citation rate index</w:t>
      </w:r>
      <w:r w:rsidR="0071223E">
        <w:t>’</w:t>
      </w:r>
      <w:r w:rsidR="005853A9">
        <w:t xml:space="preserve"> and </w:t>
      </w:r>
      <w:r w:rsidRPr="001A3D2B">
        <w:t>nothing more. What is currently called</w:t>
      </w:r>
      <w:r w:rsidR="003A1917">
        <w:t xml:space="preserve"> the </w:t>
      </w:r>
      <w:r w:rsidR="0071223E">
        <w:t>‘</w:t>
      </w:r>
      <w:r w:rsidRPr="001A3D2B">
        <w:t>impact factor</w:t>
      </w:r>
      <w:r w:rsidR="0071223E">
        <w:t>’</w:t>
      </w:r>
      <w:r w:rsidRPr="001A3D2B">
        <w:t xml:space="preserve"> should not be misused to evaluate journals or to validate</w:t>
      </w:r>
      <w:r w:rsidR="003A1917">
        <w:t xml:space="preserve"> the </w:t>
      </w:r>
      <w:r w:rsidRPr="001A3D2B">
        <w:t>scientific relevance</w:t>
      </w:r>
      <w:r w:rsidR="00427468">
        <w:t xml:space="preserve"> of </w:t>
      </w:r>
      <w:r w:rsidRPr="001A3D2B">
        <w:t>a particular researcher or research program, especially in decisions regarding employment, funding,</w:t>
      </w:r>
      <w:r w:rsidR="005853A9">
        <w:t xml:space="preserve"> and </w:t>
      </w:r>
      <w:r w:rsidRPr="001A3D2B">
        <w:t>tenure.</w:t>
      </w:r>
    </w:p>
    <w:p w:rsidR="003474F2" w:rsidRPr="001A3D2B" w:rsidRDefault="003474F2" w:rsidP="003474F2">
      <w:pPr>
        <w:pStyle w:val="a3"/>
      </w:pPr>
      <w:r w:rsidRPr="001A3D2B">
        <w:lastRenderedPageBreak/>
        <w:t>Keywords: Calculation, Citations, Database, Employment, Funding, Institute for Scientific Information</w:t>
      </w:r>
      <w:r w:rsidR="00D5664A">
        <w:t>, ISI,</w:t>
      </w:r>
      <w:r w:rsidRPr="001A3D2B">
        <w:t xml:space="preserve"> Journal, Journal Article, Journals, Measure, Publishing, Relevance, Research, Role, Science Citation Index, Tenure, Term</w:t>
      </w:r>
    </w:p>
    <w:p w:rsidR="00877647" w:rsidRPr="00C73C58" w:rsidRDefault="00877647" w:rsidP="00877647">
      <w:pPr>
        <w:pStyle w:val="1"/>
      </w:pPr>
      <w:r w:rsidRPr="00C73C58">
        <w:br w:type="page"/>
      </w:r>
      <w:bookmarkStart w:id="80" w:name="_Toc420814903"/>
      <w:r w:rsidRPr="00C73C58">
        <w:lastRenderedPageBreak/>
        <w:t>Title: Cancer Investigation</w:t>
      </w:r>
      <w:bookmarkEnd w:id="80"/>
    </w:p>
    <w:p w:rsidR="00877647" w:rsidRPr="00C73C58" w:rsidRDefault="00877647" w:rsidP="00877647">
      <w:pPr>
        <w:pStyle w:val="12"/>
      </w:pPr>
      <w:r w:rsidRPr="00C73C58">
        <w:t>Full Journal Title</w:t>
      </w:r>
      <w:bookmarkStart w:id="81" w:name="_Toc311993522"/>
      <w:r w:rsidRPr="00C73C58">
        <w:t>: Cancer Investigation</w:t>
      </w:r>
    </w:p>
    <w:p w:rsidR="00877647" w:rsidRPr="00C73C58" w:rsidRDefault="00877647" w:rsidP="00877647">
      <w:pPr>
        <w:pStyle w:val="12"/>
      </w:pPr>
      <w:r w:rsidRPr="00C73C58">
        <w:t xml:space="preserve">ISO </w:t>
      </w:r>
      <w:bookmarkEnd w:id="81"/>
      <w:r w:rsidRPr="00C73C58">
        <w:t>Abbreviated Title: Cancer Invest.</w:t>
      </w:r>
    </w:p>
    <w:p w:rsidR="00877647" w:rsidRPr="00C73C58" w:rsidRDefault="00877647" w:rsidP="00877647">
      <w:pPr>
        <w:pStyle w:val="12"/>
      </w:pPr>
      <w:r w:rsidRPr="00C73C58">
        <w:t>JCR Abbreviated Title: Cancer Invest</w:t>
      </w:r>
    </w:p>
    <w:p w:rsidR="00877647" w:rsidRPr="00C73C58" w:rsidRDefault="00877647" w:rsidP="00877647">
      <w:pPr>
        <w:pStyle w:val="12"/>
      </w:pPr>
      <w:r w:rsidRPr="00C73C58">
        <w:t>ISSN: 0735-7907</w:t>
      </w:r>
    </w:p>
    <w:p w:rsidR="00877647" w:rsidRPr="00C73C58" w:rsidRDefault="00877647" w:rsidP="00877647">
      <w:pPr>
        <w:pStyle w:val="12"/>
      </w:pPr>
      <w:r w:rsidRPr="00C73C58">
        <w:t>Issues/Year: 8</w:t>
      </w:r>
    </w:p>
    <w:p w:rsidR="00877647" w:rsidRPr="00C73C58" w:rsidRDefault="00877647" w:rsidP="00877647">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877647" w:rsidRPr="00C73C58" w:rsidRDefault="00877647" w:rsidP="00877647">
      <w:pPr>
        <w:pStyle w:val="12"/>
      </w:pPr>
      <w:r w:rsidRPr="00C73C58">
        <w:t>Language: English</w:t>
      </w:r>
    </w:p>
    <w:p w:rsidR="00877647" w:rsidRPr="00C73C58" w:rsidRDefault="00877647" w:rsidP="00877647">
      <w:pPr>
        <w:pStyle w:val="12"/>
      </w:pPr>
      <w:r w:rsidRPr="00C73C58">
        <w:t>Publisher: Marcel Dekker Inc</w:t>
      </w:r>
    </w:p>
    <w:p w:rsidR="00877647" w:rsidRPr="00C73C58" w:rsidRDefault="00877647" w:rsidP="00877647">
      <w:pPr>
        <w:pStyle w:val="12"/>
      </w:pPr>
      <w:r w:rsidRPr="00C73C58">
        <w:t xml:space="preserve">Publisher Address: 270 Madison Ave, New York, NY </w:t>
      </w:r>
      <w:smartTag w:uri="urn:schemas-microsoft-com:office:smarttags" w:element="PostalCode">
        <w:r w:rsidRPr="00C73C58">
          <w:t>10016</w:t>
        </w:r>
      </w:smartTag>
    </w:p>
    <w:p w:rsidR="00877647" w:rsidRPr="00C73C58" w:rsidRDefault="00877647" w:rsidP="00877647">
      <w:pPr>
        <w:pStyle w:val="12"/>
      </w:pPr>
      <w:r w:rsidRPr="00C73C58">
        <w:t xml:space="preserve">Subject Categories: </w:t>
      </w:r>
    </w:p>
    <w:p w:rsidR="00877647" w:rsidRPr="00C73C58" w:rsidRDefault="00877647" w:rsidP="00877647">
      <w:pPr>
        <w:pStyle w:val="12"/>
      </w:pPr>
      <w:r w:rsidRPr="00C73C58">
        <w:t>Oncology: Impact Factor 1.850, 62/114 (2002)</w:t>
      </w:r>
    </w:p>
    <w:p w:rsidR="00877647" w:rsidRDefault="00877647" w:rsidP="00877647">
      <w:pPr>
        <w:pStyle w:val="a3"/>
        <w:rPr>
          <w:kern w:val="0"/>
        </w:rPr>
      </w:pPr>
      <w:r>
        <w:rPr>
          <w:rFonts w:hint="eastAsia"/>
          <w:kern w:val="0"/>
        </w:rPr>
        <w:t xml:space="preserve">? </w:t>
      </w:r>
      <w:r>
        <w:rPr>
          <w:kern w:val="0"/>
        </w:rPr>
        <w:t>Sparber, A., Ford, D.</w:t>
      </w:r>
      <w:r w:rsidR="005853A9">
        <w:rPr>
          <w:kern w:val="0"/>
        </w:rPr>
        <w:t xml:space="preserve"> and </w:t>
      </w:r>
      <w:r>
        <w:rPr>
          <w:kern w:val="0"/>
        </w:rPr>
        <w:t>Kvochak, P.A. (2004), National Institutes</w:t>
      </w:r>
      <w:r w:rsidR="00427468">
        <w:rPr>
          <w:kern w:val="0"/>
        </w:rPr>
        <w:t xml:space="preserve"> of </w:t>
      </w:r>
      <w:r>
        <w:rPr>
          <w:kern w:val="0"/>
        </w:rPr>
        <w:t>Health</w:t>
      </w:r>
      <w:r w:rsidR="0071223E">
        <w:rPr>
          <w:kern w:val="0"/>
        </w:rPr>
        <w:t>’</w:t>
      </w:r>
      <w:r>
        <w:rPr>
          <w:kern w:val="0"/>
        </w:rPr>
        <w:t>s Clinical Center sets new policy on use</w:t>
      </w:r>
      <w:r w:rsidR="00427468">
        <w:rPr>
          <w:kern w:val="0"/>
        </w:rPr>
        <w:t xml:space="preserve"> of </w:t>
      </w:r>
      <w:r>
        <w:rPr>
          <w:kern w:val="0"/>
        </w:rPr>
        <w:t>herbal</w:t>
      </w:r>
      <w:r w:rsidR="005853A9">
        <w:rPr>
          <w:kern w:val="0"/>
        </w:rPr>
        <w:t xml:space="preserve"> and </w:t>
      </w:r>
      <w:r>
        <w:rPr>
          <w:kern w:val="0"/>
        </w:rPr>
        <w:t xml:space="preserve">other alternative supplements by patients enrolled in clinical trials. </w:t>
      </w:r>
      <w:r>
        <w:rPr>
          <w:i/>
          <w:iCs/>
          <w:kern w:val="0"/>
        </w:rPr>
        <w:t>Cancer Investigation</w:t>
      </w:r>
      <w:r>
        <w:rPr>
          <w:kern w:val="0"/>
        </w:rPr>
        <w:t xml:space="preserve">, </w:t>
      </w:r>
      <w:r>
        <w:rPr>
          <w:b/>
          <w:bCs/>
          <w:kern w:val="0"/>
        </w:rPr>
        <w:t>22</w:t>
      </w:r>
      <w:r>
        <w:rPr>
          <w:kern w:val="0"/>
        </w:rPr>
        <w:t xml:space="preserve"> (1), 132-137.</w:t>
      </w:r>
    </w:p>
    <w:p w:rsidR="00877647" w:rsidRDefault="00877647" w:rsidP="00877647">
      <w:pPr>
        <w:pStyle w:val="a3"/>
        <w:rPr>
          <w:kern w:val="0"/>
        </w:rPr>
      </w:pPr>
      <w:r>
        <w:rPr>
          <w:rFonts w:hint="eastAsia"/>
          <w:kern w:val="0"/>
        </w:rPr>
        <w:t xml:space="preserve">Full Text: </w:t>
      </w:r>
      <w:hyperlink r:id="rId125" w:history="1">
        <w:r w:rsidRPr="00877647">
          <w:rPr>
            <w:rStyle w:val="a5"/>
            <w:kern w:val="0"/>
          </w:rPr>
          <w:t>2004\Can Inv22, 132.pdf</w:t>
        </w:r>
      </w:hyperlink>
    </w:p>
    <w:p w:rsidR="00877647" w:rsidRDefault="00877647" w:rsidP="00877647">
      <w:pPr>
        <w:pStyle w:val="a3"/>
        <w:rPr>
          <w:kern w:val="0"/>
        </w:rPr>
      </w:pPr>
      <w:r>
        <w:rPr>
          <w:kern w:val="0"/>
        </w:rPr>
        <w:t>Abstract:</w:t>
      </w:r>
      <w:r w:rsidR="003A1917">
        <w:rPr>
          <w:kern w:val="0"/>
        </w:rPr>
        <w:t xml:space="preserve"> the </w:t>
      </w:r>
      <w:r>
        <w:rPr>
          <w:kern w:val="0"/>
        </w:rPr>
        <w:t>nationwide concern over</w:t>
      </w:r>
      <w:r w:rsidR="003A1917">
        <w:rPr>
          <w:kern w:val="0"/>
        </w:rPr>
        <w:t xml:space="preserve"> the </w:t>
      </w:r>
      <w:r>
        <w:rPr>
          <w:kern w:val="0"/>
        </w:rPr>
        <w:t>escalating use</w:t>
      </w:r>
      <w:r w:rsidR="00427468">
        <w:rPr>
          <w:kern w:val="0"/>
        </w:rPr>
        <w:t xml:space="preserve"> of </w:t>
      </w:r>
      <w:r>
        <w:rPr>
          <w:kern w:val="0"/>
        </w:rPr>
        <w:t>herbal</w:t>
      </w:r>
      <w:r w:rsidR="005853A9">
        <w:rPr>
          <w:kern w:val="0"/>
        </w:rPr>
        <w:t xml:space="preserve"> and </w:t>
      </w:r>
      <w:r>
        <w:rPr>
          <w:kern w:val="0"/>
        </w:rPr>
        <w:t>other alternative dietary supplements is prompting a call for action in health care organizations. Not only is there mounting evidence to support a strong concern for patient safety, but</w:t>
      </w:r>
      <w:r w:rsidR="003A1917">
        <w:rPr>
          <w:kern w:val="0"/>
        </w:rPr>
        <w:t xml:space="preserve"> the </w:t>
      </w:r>
      <w:r>
        <w:rPr>
          <w:kern w:val="0"/>
        </w:rPr>
        <w:t>use</w:t>
      </w:r>
      <w:r w:rsidR="00427468">
        <w:rPr>
          <w:kern w:val="0"/>
        </w:rPr>
        <w:t xml:space="preserve"> of </w:t>
      </w:r>
      <w:r>
        <w:rPr>
          <w:kern w:val="0"/>
        </w:rPr>
        <w:t>these products by people participating in biomedical research protocols has an added impact on</w:t>
      </w:r>
      <w:r w:rsidR="003A1917">
        <w:rPr>
          <w:kern w:val="0"/>
        </w:rPr>
        <w:t xml:space="preserve"> the </w:t>
      </w:r>
      <w:r>
        <w:rPr>
          <w:kern w:val="0"/>
        </w:rPr>
        <w:t>integrity</w:t>
      </w:r>
      <w:r w:rsidR="00427468">
        <w:rPr>
          <w:kern w:val="0"/>
        </w:rPr>
        <w:t xml:space="preserve"> of </w:t>
      </w:r>
      <w:r w:rsidR="003A1917">
        <w:rPr>
          <w:kern w:val="0"/>
        </w:rPr>
        <w:t xml:space="preserve">the </w:t>
      </w:r>
      <w:r>
        <w:rPr>
          <w:kern w:val="0"/>
        </w:rPr>
        <w:t>research design</w:t>
      </w:r>
      <w:r w:rsidR="005853A9">
        <w:rPr>
          <w:kern w:val="0"/>
        </w:rPr>
        <w:t xml:space="preserve"> and </w:t>
      </w:r>
      <w:r>
        <w:rPr>
          <w:kern w:val="0"/>
        </w:rPr>
        <w:t>data gathering</w:t>
      </w:r>
      <w:r w:rsidR="00A37C1D">
        <w:rPr>
          <w:kern w:val="0"/>
        </w:rPr>
        <w:t>. The</w:t>
      </w:r>
      <w:r>
        <w:rPr>
          <w:kern w:val="0"/>
        </w:rPr>
        <w:t>se issues are</w:t>
      </w:r>
      <w:r w:rsidR="00427468">
        <w:rPr>
          <w:kern w:val="0"/>
        </w:rPr>
        <w:t xml:space="preserve"> of </w:t>
      </w:r>
      <w:r>
        <w:rPr>
          <w:kern w:val="0"/>
        </w:rPr>
        <w:t>increasing concern to</w:t>
      </w:r>
      <w:r w:rsidR="003A1917">
        <w:rPr>
          <w:kern w:val="0"/>
        </w:rPr>
        <w:t xml:space="preserve"> the </w:t>
      </w:r>
      <w:r>
        <w:rPr>
          <w:kern w:val="0"/>
        </w:rPr>
        <w:t>National Institutes</w:t>
      </w:r>
      <w:r w:rsidR="00427468">
        <w:rPr>
          <w:kern w:val="0"/>
        </w:rPr>
        <w:t xml:space="preserve"> of </w:t>
      </w:r>
      <w:r>
        <w:rPr>
          <w:kern w:val="0"/>
        </w:rPr>
        <w:t>Health</w:t>
      </w:r>
      <w:r w:rsidR="0071223E">
        <w:rPr>
          <w:kern w:val="0"/>
        </w:rPr>
        <w:t>’</w:t>
      </w:r>
      <w:r>
        <w:rPr>
          <w:kern w:val="0"/>
        </w:rPr>
        <w:t>s hospital for. biomedical research,</w:t>
      </w:r>
      <w:r w:rsidR="003A1917">
        <w:rPr>
          <w:kern w:val="0"/>
        </w:rPr>
        <w:t xml:space="preserve"> the </w:t>
      </w:r>
      <w:r>
        <w:rPr>
          <w:kern w:val="0"/>
        </w:rPr>
        <w:t>Warren Grant Magnuson Clinical Center. Surveys completed in 2000 showed that 25-45%</w:t>
      </w:r>
      <w:r w:rsidR="00427468">
        <w:rPr>
          <w:kern w:val="0"/>
        </w:rPr>
        <w:t xml:space="preserve"> of </w:t>
      </w:r>
      <w:r>
        <w:rPr>
          <w:kern w:val="0"/>
        </w:rPr>
        <w:t>Clinical Center patients reported taking herbal</w:t>
      </w:r>
      <w:r w:rsidR="005853A9">
        <w:rPr>
          <w:kern w:val="0"/>
        </w:rPr>
        <w:t xml:space="preserve"> and </w:t>
      </w:r>
      <w:r>
        <w:rPr>
          <w:kern w:val="0"/>
        </w:rPr>
        <w:t>other alternative dietary supplements. In 2001,</w:t>
      </w:r>
      <w:r w:rsidR="003A1917">
        <w:rPr>
          <w:kern w:val="0"/>
        </w:rPr>
        <w:t xml:space="preserve"> the </w:t>
      </w:r>
      <w:r>
        <w:rPr>
          <w:kern w:val="0"/>
        </w:rPr>
        <w:t>Clinical Center moved forward to develop</w:t>
      </w:r>
      <w:r w:rsidR="005853A9">
        <w:rPr>
          <w:kern w:val="0"/>
        </w:rPr>
        <w:t xml:space="preserve"> and </w:t>
      </w:r>
      <w:r>
        <w:rPr>
          <w:kern w:val="0"/>
        </w:rPr>
        <w:t>implement a policy to guide hospital staff in</w:t>
      </w:r>
      <w:r w:rsidR="003A1917">
        <w:rPr>
          <w:kern w:val="0"/>
        </w:rPr>
        <w:t xml:space="preserve"> the </w:t>
      </w:r>
      <w:r>
        <w:rPr>
          <w:kern w:val="0"/>
        </w:rPr>
        <w:t>management</w:t>
      </w:r>
      <w:r w:rsidR="00427468">
        <w:rPr>
          <w:kern w:val="0"/>
        </w:rPr>
        <w:t xml:space="preserve"> of </w:t>
      </w:r>
      <w:r>
        <w:rPr>
          <w:kern w:val="0"/>
        </w:rPr>
        <w:t>patient use</w:t>
      </w:r>
      <w:r w:rsidR="00427468">
        <w:rPr>
          <w:kern w:val="0"/>
        </w:rPr>
        <w:t xml:space="preserve"> of </w:t>
      </w:r>
      <w:r>
        <w:rPr>
          <w:kern w:val="0"/>
        </w:rPr>
        <w:t>herbal</w:t>
      </w:r>
      <w:r w:rsidR="005853A9">
        <w:rPr>
          <w:kern w:val="0"/>
        </w:rPr>
        <w:t xml:space="preserve"> and </w:t>
      </w:r>
      <w:r>
        <w:rPr>
          <w:kern w:val="0"/>
        </w:rPr>
        <w:t>alternative supplements</w:t>
      </w:r>
      <w:r w:rsidR="00A37C1D">
        <w:rPr>
          <w:kern w:val="0"/>
        </w:rPr>
        <w:t>. The</w:t>
      </w:r>
      <w:r w:rsidR="003A1917">
        <w:rPr>
          <w:kern w:val="0"/>
        </w:rPr>
        <w:t xml:space="preserve"> </w:t>
      </w:r>
      <w:r>
        <w:rPr>
          <w:kern w:val="0"/>
        </w:rPr>
        <w:t>policy established</w:t>
      </w:r>
      <w:r w:rsidR="003A1917">
        <w:rPr>
          <w:kern w:val="0"/>
        </w:rPr>
        <w:t xml:space="preserve"> the </w:t>
      </w:r>
      <w:r>
        <w:rPr>
          <w:kern w:val="0"/>
        </w:rPr>
        <w:t>requirement for all patients to be screened for supplement use upon admission or outpatient visit. Continued use</w:t>
      </w:r>
      <w:r w:rsidR="00427468">
        <w:rPr>
          <w:kern w:val="0"/>
        </w:rPr>
        <w:t xml:space="preserve"> of </w:t>
      </w:r>
      <w:r>
        <w:rPr>
          <w:kern w:val="0"/>
        </w:rPr>
        <w:t>supplement products during hospitalization and/or outpatient enrollment on protocol require a physician</w:t>
      </w:r>
      <w:r w:rsidR="0071223E">
        <w:rPr>
          <w:kern w:val="0"/>
        </w:rPr>
        <w:t>’</w:t>
      </w:r>
      <w:r>
        <w:rPr>
          <w:kern w:val="0"/>
        </w:rPr>
        <w:t>s authorizing order</w:t>
      </w:r>
      <w:r w:rsidR="00A37C1D">
        <w:rPr>
          <w:kern w:val="0"/>
        </w:rPr>
        <w:t>. The</w:t>
      </w:r>
      <w:r w:rsidR="003A1917">
        <w:rPr>
          <w:kern w:val="0"/>
        </w:rPr>
        <w:t xml:space="preserve"> </w:t>
      </w:r>
      <w:r>
        <w:rPr>
          <w:kern w:val="0"/>
        </w:rPr>
        <w:t>implementation</w:t>
      </w:r>
      <w:r w:rsidR="00427468">
        <w:rPr>
          <w:kern w:val="0"/>
        </w:rPr>
        <w:t xml:space="preserve"> of </w:t>
      </w:r>
      <w:r>
        <w:rPr>
          <w:kern w:val="0"/>
        </w:rPr>
        <w:t>this policy has increased awareness</w:t>
      </w:r>
      <w:r w:rsidR="005853A9">
        <w:rPr>
          <w:kern w:val="0"/>
        </w:rPr>
        <w:t xml:space="preserve"> and </w:t>
      </w:r>
      <w:r>
        <w:rPr>
          <w:kern w:val="0"/>
        </w:rPr>
        <w:t>provided an important step forward in protecting patient safety</w:t>
      </w:r>
      <w:r w:rsidR="005853A9">
        <w:rPr>
          <w:kern w:val="0"/>
        </w:rPr>
        <w:t xml:space="preserve"> and </w:t>
      </w:r>
      <w:r>
        <w:rPr>
          <w:kern w:val="0"/>
        </w:rPr>
        <w:t>preserving</w:t>
      </w:r>
      <w:r w:rsidR="003A1917">
        <w:rPr>
          <w:kern w:val="0"/>
        </w:rPr>
        <w:t xml:space="preserve"> the </w:t>
      </w:r>
      <w:r>
        <w:rPr>
          <w:kern w:val="0"/>
        </w:rPr>
        <w:t>scientific. integrity</w:t>
      </w:r>
      <w:r w:rsidR="00427468">
        <w:rPr>
          <w:kern w:val="0"/>
        </w:rPr>
        <w:t xml:space="preserve"> of </w:t>
      </w:r>
      <w:r w:rsidR="003A1917">
        <w:rPr>
          <w:kern w:val="0"/>
        </w:rPr>
        <w:t xml:space="preserve">the </w:t>
      </w:r>
      <w:r>
        <w:rPr>
          <w:kern w:val="0"/>
        </w:rPr>
        <w:t>research at</w:t>
      </w:r>
      <w:r w:rsidR="003A1917">
        <w:rPr>
          <w:kern w:val="0"/>
        </w:rPr>
        <w:t xml:space="preserve"> the </w:t>
      </w:r>
      <w:r>
        <w:rPr>
          <w:kern w:val="0"/>
        </w:rPr>
        <w:t>NIH</w:t>
      </w:r>
      <w:r w:rsidR="0071223E">
        <w:rPr>
          <w:kern w:val="0"/>
        </w:rPr>
        <w:t>’</w:t>
      </w:r>
      <w:r>
        <w:rPr>
          <w:kern w:val="0"/>
        </w:rPr>
        <w:t>s Clinical Center.</w:t>
      </w:r>
    </w:p>
    <w:p w:rsidR="00877647" w:rsidRDefault="00877647" w:rsidP="00877647">
      <w:pPr>
        <w:pStyle w:val="a3"/>
        <w:rPr>
          <w:kern w:val="0"/>
        </w:rPr>
      </w:pPr>
      <w:r>
        <w:rPr>
          <w:kern w:val="0"/>
        </w:rPr>
        <w:t>Keywords: Adults, Alternative, Awareness, Biomedical, Biomedical Research, Cancer, Care, Clinical Trials, Design, Dietary Supplements, Health Care, Herbal, Hospital, Hospitalization, Impact, Management, Medicine, Patients, Policy, Protocol, Research, Research Design, Safety, St Johns Wort, Supplements, Therapies</w:t>
      </w:r>
    </w:p>
    <w:p w:rsidR="00D64101" w:rsidRPr="00C73C58" w:rsidRDefault="00D64101" w:rsidP="00D64101">
      <w:pPr>
        <w:pStyle w:val="1"/>
      </w:pPr>
      <w:r>
        <w:br w:type="page"/>
      </w:r>
      <w:bookmarkStart w:id="82" w:name="_Toc325708858"/>
      <w:bookmarkStart w:id="83" w:name="_Toc420814904"/>
      <w:r w:rsidRPr="00C73C58">
        <w:lastRenderedPageBreak/>
        <w:t xml:space="preserve">Title: </w:t>
      </w:r>
      <w:r w:rsidRPr="00A26AAE">
        <w:t>CA-A Cancer Journal for Clinicians</w:t>
      </w:r>
      <w:bookmarkEnd w:id="82"/>
      <w:bookmarkEnd w:id="83"/>
    </w:p>
    <w:p w:rsidR="00D64101" w:rsidRPr="00A26AAE" w:rsidRDefault="00D64101" w:rsidP="00D64101">
      <w:pPr>
        <w:pStyle w:val="12"/>
      </w:pPr>
      <w:r w:rsidRPr="00A26AAE">
        <w:t>Full Journal Title: CA-A Cancer Journal for Clinicians</w:t>
      </w:r>
    </w:p>
    <w:p w:rsidR="00D64101" w:rsidRPr="00A26AAE" w:rsidRDefault="00D64101" w:rsidP="00D64101">
      <w:pPr>
        <w:pStyle w:val="12"/>
      </w:pPr>
      <w:r w:rsidRPr="00A26AAE">
        <w:t>ISO Abb</w:t>
      </w:r>
      <w:r>
        <w:t>rev. Title: CA-Cancer J. Clin.</w:t>
      </w:r>
    </w:p>
    <w:p w:rsidR="00D64101" w:rsidRPr="00A26AAE" w:rsidRDefault="00D64101" w:rsidP="00D64101">
      <w:pPr>
        <w:pStyle w:val="12"/>
      </w:pPr>
      <w:r w:rsidRPr="00A26AAE">
        <w:t>JCR A</w:t>
      </w:r>
      <w:r>
        <w:t>bbrev. Title: CA-Cancer J Clin</w:t>
      </w:r>
    </w:p>
    <w:p w:rsidR="00D64101" w:rsidRPr="00A26AAE" w:rsidRDefault="00D64101" w:rsidP="00D64101">
      <w:pPr>
        <w:pStyle w:val="12"/>
      </w:pPr>
      <w:r>
        <w:t>ISSN: 0007-923</w:t>
      </w:r>
    </w:p>
    <w:p w:rsidR="00D64101" w:rsidRPr="00A26AAE" w:rsidRDefault="00D64101" w:rsidP="00D64101">
      <w:pPr>
        <w:pStyle w:val="12"/>
      </w:pPr>
      <w:r>
        <w:t>Issues/Year: 6</w:t>
      </w:r>
    </w:p>
    <w:p w:rsidR="00D64101" w:rsidRPr="00A26AAE" w:rsidRDefault="00D64101" w:rsidP="00D64101">
      <w:pPr>
        <w:pStyle w:val="12"/>
      </w:pPr>
      <w:r w:rsidRPr="00A26AAE">
        <w:t>Language: English</w:t>
      </w:r>
    </w:p>
    <w:p w:rsidR="00D64101" w:rsidRPr="00A26AAE" w:rsidRDefault="00D64101" w:rsidP="00D64101">
      <w:pPr>
        <w:pStyle w:val="12"/>
      </w:pPr>
      <w:r w:rsidRPr="00A26AAE">
        <w:t>Journal Country/Territory: United States</w:t>
      </w:r>
    </w:p>
    <w:p w:rsidR="00D64101" w:rsidRPr="00A26AAE" w:rsidRDefault="00D64101" w:rsidP="00D64101">
      <w:pPr>
        <w:pStyle w:val="12"/>
      </w:pPr>
      <w:r w:rsidRPr="00A26AAE">
        <w:t xml:space="preserve">Publisher: </w:t>
      </w:r>
      <w:r>
        <w:t>Lippincott Williams &amp; Wilkins</w:t>
      </w:r>
    </w:p>
    <w:p w:rsidR="00D64101" w:rsidRPr="00A26AAE" w:rsidRDefault="00D64101" w:rsidP="00D64101">
      <w:pPr>
        <w:pStyle w:val="12"/>
      </w:pPr>
      <w:r w:rsidRPr="00A26AAE">
        <w:t>Publisher Address: 530 Walnut St, Philadelphia</w:t>
      </w:r>
      <w:r>
        <w:t>, PA 19106-3621</w:t>
      </w:r>
    </w:p>
    <w:p w:rsidR="00D64101" w:rsidRDefault="00D64101" w:rsidP="00D64101">
      <w:pPr>
        <w:pStyle w:val="12"/>
      </w:pPr>
      <w:r w:rsidRPr="00A26AAE">
        <w:t>Subject Categories:</w:t>
      </w:r>
    </w:p>
    <w:p w:rsidR="00D64101" w:rsidRPr="00C73C58" w:rsidRDefault="00D64101" w:rsidP="00D64101">
      <w:pPr>
        <w:pStyle w:val="12"/>
      </w:pPr>
      <w:r w:rsidRPr="00A26AAE">
        <w:t>Oncology</w:t>
      </w:r>
      <w:r w:rsidRPr="00C73C58">
        <w:t>: Impact Factor</w:t>
      </w:r>
      <w:r>
        <w:rPr>
          <w:rFonts w:hint="eastAsia"/>
        </w:rPr>
        <w:t xml:space="preserve"> 87.925, 1/166 (2009)</w:t>
      </w:r>
    </w:p>
    <w:p w:rsidR="00D64101" w:rsidRDefault="00D64101" w:rsidP="00D64101">
      <w:pPr>
        <w:pStyle w:val="a3"/>
        <w:rPr>
          <w:kern w:val="0"/>
        </w:rPr>
      </w:pPr>
      <w:r>
        <w:rPr>
          <w:rFonts w:hint="eastAsia"/>
          <w:kern w:val="0"/>
        </w:rPr>
        <w:t xml:space="preserve">? </w:t>
      </w:r>
      <w:r>
        <w:t>Gansler, T</w:t>
      </w:r>
      <w:r>
        <w:rPr>
          <w:rFonts w:hint="eastAsia"/>
        </w:rPr>
        <w:t>.,</w:t>
      </w:r>
      <w:r>
        <w:t xml:space="preserve"> Ganz, P</w:t>
      </w:r>
      <w:r>
        <w:rPr>
          <w:rFonts w:hint="eastAsia"/>
        </w:rPr>
        <w:t>.</w:t>
      </w:r>
      <w:r>
        <w:t>A</w:t>
      </w:r>
      <w:r>
        <w:rPr>
          <w:rFonts w:hint="eastAsia"/>
        </w:rPr>
        <w:t>.,</w:t>
      </w:r>
      <w:r>
        <w:t xml:space="preserve"> Grant, M</w:t>
      </w:r>
      <w:r>
        <w:rPr>
          <w:rFonts w:hint="eastAsia"/>
        </w:rPr>
        <w:t xml:space="preserve">., </w:t>
      </w:r>
      <w:r>
        <w:t>Greene, F</w:t>
      </w:r>
      <w:r>
        <w:rPr>
          <w:rFonts w:hint="eastAsia"/>
        </w:rPr>
        <w:t>.</w:t>
      </w:r>
      <w:r>
        <w:t>L</w:t>
      </w:r>
      <w:r>
        <w:rPr>
          <w:rFonts w:hint="eastAsia"/>
        </w:rPr>
        <w:t>.,</w:t>
      </w:r>
      <w:r>
        <w:t xml:space="preserve"> Johnstone, P</w:t>
      </w:r>
      <w:r>
        <w:rPr>
          <w:rFonts w:hint="eastAsia"/>
        </w:rPr>
        <w:t>.,</w:t>
      </w:r>
      <w:r>
        <w:t xml:space="preserve"> Mahoney, M</w:t>
      </w:r>
      <w:r>
        <w:rPr>
          <w:rFonts w:hint="eastAsia"/>
        </w:rPr>
        <w:t>.,</w:t>
      </w:r>
      <w:r>
        <w:t xml:space="preserve"> Newman, L</w:t>
      </w:r>
      <w:r>
        <w:rPr>
          <w:rFonts w:hint="eastAsia"/>
        </w:rPr>
        <w:t>.</w:t>
      </w:r>
      <w:r>
        <w:t>A</w:t>
      </w:r>
      <w:r>
        <w:rPr>
          <w:rFonts w:hint="eastAsia"/>
        </w:rPr>
        <w:t>.,</w:t>
      </w:r>
      <w:r>
        <w:t xml:space="preserve"> Oh, W</w:t>
      </w:r>
      <w:r>
        <w:rPr>
          <w:rFonts w:hint="eastAsia"/>
        </w:rPr>
        <w:t>.</w:t>
      </w:r>
      <w:r>
        <w:t>K</w:t>
      </w:r>
      <w:r>
        <w:rPr>
          <w:rFonts w:hint="eastAsia"/>
        </w:rPr>
        <w:t>.,</w:t>
      </w:r>
      <w:r>
        <w:t xml:space="preserve"> Thomas, C</w:t>
      </w:r>
      <w:r>
        <w:rPr>
          <w:rFonts w:hint="eastAsia"/>
        </w:rPr>
        <w:t>.</w:t>
      </w:r>
      <w:r>
        <w:t>R</w:t>
      </w:r>
      <w:r>
        <w:rPr>
          <w:rFonts w:hint="eastAsia"/>
        </w:rPr>
        <w:t>.,</w:t>
      </w:r>
      <w:r>
        <w:t xml:space="preserve"> Thun, M</w:t>
      </w:r>
      <w:r>
        <w:rPr>
          <w:rFonts w:hint="eastAsia"/>
        </w:rPr>
        <w:t>.</w:t>
      </w:r>
      <w:r>
        <w:t>J</w:t>
      </w:r>
      <w:r>
        <w:rPr>
          <w:rFonts w:hint="eastAsia"/>
        </w:rPr>
        <w:t>.,</w:t>
      </w:r>
      <w:r>
        <w:t xml:space="preserve"> Vickers, A</w:t>
      </w:r>
      <w:r>
        <w:rPr>
          <w:rFonts w:hint="eastAsia"/>
        </w:rPr>
        <w:t>.</w:t>
      </w:r>
      <w:r>
        <w:t>J</w:t>
      </w:r>
      <w:r>
        <w:rPr>
          <w:rFonts w:hint="eastAsia"/>
        </w:rPr>
        <w:t>.,</w:t>
      </w:r>
      <w:r>
        <w:t xml:space="preserve"> Wender, R</w:t>
      </w:r>
      <w:r>
        <w:rPr>
          <w:rFonts w:hint="eastAsia"/>
        </w:rPr>
        <w:t>.</w:t>
      </w:r>
      <w:r>
        <w:t>C</w:t>
      </w:r>
      <w:r>
        <w:rPr>
          <w:rFonts w:hint="eastAsia"/>
        </w:rPr>
        <w:t>.</w:t>
      </w:r>
      <w:r w:rsidR="005853A9">
        <w:rPr>
          <w:rFonts w:hint="eastAsia"/>
        </w:rPr>
        <w:t xml:space="preserve"> and </w:t>
      </w:r>
      <w:r>
        <w:t>Brawley, O</w:t>
      </w:r>
      <w:r>
        <w:rPr>
          <w:rFonts w:hint="eastAsia"/>
        </w:rPr>
        <w:t>.</w:t>
      </w:r>
      <w:r>
        <w:t>W</w:t>
      </w:r>
      <w:r>
        <w:rPr>
          <w:rFonts w:hint="eastAsia"/>
        </w:rPr>
        <w:t>.</w:t>
      </w:r>
      <w:r>
        <w:rPr>
          <w:kern w:val="0"/>
        </w:rPr>
        <w:t xml:space="preserve"> (20</w:t>
      </w:r>
      <w:r>
        <w:rPr>
          <w:rFonts w:hint="eastAsia"/>
          <w:kern w:val="0"/>
        </w:rPr>
        <w:t>10</w:t>
      </w:r>
      <w:r>
        <w:rPr>
          <w:kern w:val="0"/>
        </w:rPr>
        <w:t xml:space="preserve">), </w:t>
      </w:r>
      <w:r>
        <w:t>Sixty Years</w:t>
      </w:r>
      <w:r w:rsidR="00427468">
        <w:t xml:space="preserve"> of </w:t>
      </w:r>
      <w:r w:rsidRPr="00181C33">
        <w:rPr>
          <w:i/>
        </w:rPr>
        <w:t>CA: A Cancer Journal for Clinicians</w:t>
      </w:r>
      <w:r>
        <w:rPr>
          <w:kern w:val="0"/>
        </w:rPr>
        <w:t xml:space="preserve">. </w:t>
      </w:r>
      <w:r w:rsidRPr="00536EC0">
        <w:rPr>
          <w:i/>
          <w:kern w:val="0"/>
        </w:rPr>
        <w:t xml:space="preserve">CA-A </w:t>
      </w:r>
      <w:r>
        <w:rPr>
          <w:i/>
          <w:iCs/>
          <w:kern w:val="0"/>
        </w:rPr>
        <w:t>Cancer Journal for Clinicians</w:t>
      </w:r>
      <w:r>
        <w:rPr>
          <w:kern w:val="0"/>
        </w:rPr>
        <w:t xml:space="preserve">, </w:t>
      </w:r>
      <w:r>
        <w:rPr>
          <w:rFonts w:hint="eastAsia"/>
          <w:b/>
          <w:bCs/>
          <w:kern w:val="0"/>
        </w:rPr>
        <w:t>60</w:t>
      </w:r>
      <w:r>
        <w:rPr>
          <w:kern w:val="0"/>
        </w:rPr>
        <w:t xml:space="preserve"> (</w:t>
      </w:r>
      <w:r>
        <w:rPr>
          <w:rFonts w:hint="eastAsia"/>
          <w:kern w:val="0"/>
        </w:rPr>
        <w:t>6</w:t>
      </w:r>
      <w:r>
        <w:rPr>
          <w:kern w:val="0"/>
        </w:rPr>
        <w:t xml:space="preserve">), </w:t>
      </w:r>
      <w:r>
        <w:t>345-350</w:t>
      </w:r>
      <w:r>
        <w:rPr>
          <w:kern w:val="0"/>
        </w:rPr>
        <w:t>.</w:t>
      </w:r>
    </w:p>
    <w:p w:rsidR="00D64101" w:rsidRDefault="00D64101" w:rsidP="00D64101">
      <w:pPr>
        <w:pStyle w:val="a3"/>
      </w:pPr>
      <w:r w:rsidRPr="00C73C58">
        <w:t xml:space="preserve">Full Text: </w:t>
      </w:r>
      <w:hyperlink r:id="rId126" w:history="1">
        <w:r w:rsidRPr="00181C33">
          <w:rPr>
            <w:rStyle w:val="a5"/>
          </w:rPr>
          <w:t>2010\CA-A Can J Cli60, 345.pdf</w:t>
        </w:r>
      </w:hyperlink>
    </w:p>
    <w:p w:rsidR="00D64101" w:rsidRDefault="00D64101" w:rsidP="00D64101">
      <w:pPr>
        <w:pStyle w:val="a3"/>
      </w:pPr>
      <w:r>
        <w:t>Abstract:</w:t>
      </w:r>
      <w:r w:rsidR="003A1917">
        <w:t xml:space="preserve"> the </w:t>
      </w:r>
      <w:r>
        <w:t>first issue</w:t>
      </w:r>
      <w:r w:rsidR="00427468">
        <w:t xml:space="preserve"> of </w:t>
      </w:r>
      <w:r>
        <w:t>CA: A Cancer Journal for Clinicians was published in November</w:t>
      </w:r>
      <w:r w:rsidR="00427468">
        <w:t xml:space="preserve"> of </w:t>
      </w:r>
      <w:r>
        <w:t>1950. On</w:t>
      </w:r>
      <w:r w:rsidR="003A1917">
        <w:t xml:space="preserve"> the </w:t>
      </w:r>
      <w:r>
        <w:t>60th anniversary</w:t>
      </w:r>
      <w:r w:rsidR="00427468">
        <w:t xml:space="preserve"> of </w:t>
      </w:r>
      <w:r>
        <w:t>that date, we briefly review several seminal contributions to oncology</w:t>
      </w:r>
      <w:r w:rsidR="005853A9">
        <w:t xml:space="preserve"> and </w:t>
      </w:r>
      <w:r>
        <w:t>cancer control published in our journal during its first decade. CA Cancer J Clin 2010;60:345-350. (C) 2010 American Cancer Society, Inc.</w:t>
      </w:r>
    </w:p>
    <w:p w:rsidR="00D64101" w:rsidRDefault="00D64101" w:rsidP="00D64101">
      <w:pPr>
        <w:pStyle w:val="a3"/>
      </w:pPr>
      <w:r>
        <w:t>Keywords: Tobacco Control, Society Guideline, United-States, Opportunities, Dependence, Progress</w:t>
      </w:r>
    </w:p>
    <w:p w:rsidR="00D72764" w:rsidRPr="00217FB1" w:rsidRDefault="00D72764" w:rsidP="00D72764">
      <w:pPr>
        <w:pStyle w:val="1"/>
      </w:pPr>
      <w:r w:rsidRPr="00217FB1">
        <w:rPr>
          <w:lang w:val="en-GB"/>
        </w:rPr>
        <w:br w:type="page"/>
      </w:r>
      <w:bookmarkStart w:id="84" w:name="_Toc420814905"/>
      <w:r>
        <w:lastRenderedPageBreak/>
        <w:t xml:space="preserve">Title: </w:t>
      </w:r>
      <w:r w:rsidRPr="00D72764">
        <w:rPr>
          <w:iCs w:val="0"/>
        </w:rPr>
        <w:t>Cancer Nursing</w:t>
      </w:r>
      <w:bookmarkEnd w:id="84"/>
    </w:p>
    <w:p w:rsidR="00D72764" w:rsidRPr="00217FB1" w:rsidRDefault="00D72764" w:rsidP="00D72764">
      <w:pPr>
        <w:pStyle w:val="12"/>
      </w:pPr>
      <w:r w:rsidRPr="00217FB1">
        <w:t xml:space="preserve">Full Journal Title: </w:t>
      </w:r>
      <w:r w:rsidRPr="00D72764">
        <w:rPr>
          <w:iCs/>
          <w:kern w:val="0"/>
        </w:rPr>
        <w:t>Cancer Nursing</w:t>
      </w:r>
    </w:p>
    <w:p w:rsidR="00D72764" w:rsidRPr="00217FB1" w:rsidRDefault="00D72764" w:rsidP="00D72764">
      <w:pPr>
        <w:pStyle w:val="12"/>
      </w:pPr>
      <w:r w:rsidRPr="00217FB1">
        <w:t xml:space="preserve">ISO Abbreviated Title: </w:t>
      </w:r>
    </w:p>
    <w:p w:rsidR="00D72764" w:rsidRPr="00217FB1" w:rsidRDefault="00D72764" w:rsidP="00D72764">
      <w:pPr>
        <w:pStyle w:val="12"/>
      </w:pPr>
      <w:r w:rsidRPr="00217FB1">
        <w:t>JCR Abbreviated Title</w:t>
      </w:r>
      <w:r>
        <w:t>:</w:t>
      </w:r>
      <w:r w:rsidRPr="00217FB1">
        <w:t xml:space="preserve"> </w:t>
      </w:r>
    </w:p>
    <w:p w:rsidR="00D72764" w:rsidRPr="00217FB1" w:rsidRDefault="00D72764" w:rsidP="00D72764">
      <w:pPr>
        <w:pStyle w:val="12"/>
      </w:pPr>
      <w:r w:rsidRPr="00217FB1">
        <w:t xml:space="preserve">ISSN: </w:t>
      </w:r>
    </w:p>
    <w:p w:rsidR="00D72764" w:rsidRPr="00217FB1" w:rsidRDefault="00D72764" w:rsidP="00D72764">
      <w:pPr>
        <w:pStyle w:val="12"/>
      </w:pPr>
      <w:r w:rsidRPr="00217FB1">
        <w:t xml:space="preserve">Issues/Year: </w:t>
      </w:r>
    </w:p>
    <w:p w:rsidR="00D72764" w:rsidRPr="00217FB1" w:rsidRDefault="00D72764" w:rsidP="00D72764">
      <w:pPr>
        <w:pStyle w:val="12"/>
      </w:pPr>
      <w:r>
        <w:t xml:space="preserve">Journal Country/Territory: </w:t>
      </w:r>
    </w:p>
    <w:p w:rsidR="00D72764" w:rsidRPr="00217FB1" w:rsidRDefault="00D72764" w:rsidP="00D72764">
      <w:pPr>
        <w:pStyle w:val="12"/>
      </w:pPr>
      <w:r w:rsidRPr="00217FB1">
        <w:t xml:space="preserve">Language: </w:t>
      </w:r>
    </w:p>
    <w:p w:rsidR="00D72764" w:rsidRPr="00217FB1" w:rsidRDefault="00D72764" w:rsidP="00D72764">
      <w:pPr>
        <w:pStyle w:val="12"/>
      </w:pPr>
      <w:r w:rsidRPr="00217FB1">
        <w:t xml:space="preserve">Publisher: </w:t>
      </w:r>
    </w:p>
    <w:p w:rsidR="00D72764" w:rsidRPr="00217FB1" w:rsidRDefault="00D72764" w:rsidP="00D72764">
      <w:pPr>
        <w:pStyle w:val="12"/>
      </w:pPr>
      <w:r w:rsidRPr="00217FB1">
        <w:t xml:space="preserve">Publisher Address: </w:t>
      </w:r>
    </w:p>
    <w:p w:rsidR="00D72764" w:rsidRPr="00217FB1" w:rsidRDefault="00D72764" w:rsidP="00D72764">
      <w:pPr>
        <w:pStyle w:val="12"/>
      </w:pPr>
      <w:r w:rsidRPr="00217FB1">
        <w:t>Subject Categories:</w:t>
      </w:r>
    </w:p>
    <w:p w:rsidR="00D72764" w:rsidRPr="00217FB1" w:rsidRDefault="00D72764" w:rsidP="00D72764">
      <w:pPr>
        <w:pStyle w:val="12"/>
      </w:pPr>
      <w:r w:rsidRPr="00217FB1">
        <w:t xml:space="preserve">: Impact Factor </w:t>
      </w:r>
    </w:p>
    <w:p w:rsidR="00D72764" w:rsidRDefault="00D72764" w:rsidP="00D72764">
      <w:pPr>
        <w:pStyle w:val="a3"/>
        <w:rPr>
          <w:kern w:val="0"/>
        </w:rPr>
      </w:pPr>
      <w:r>
        <w:rPr>
          <w:kern w:val="0"/>
        </w:rPr>
        <w:t>? Ross, A., Sundaramurthi, T.</w:t>
      </w:r>
      <w:r w:rsidR="005853A9">
        <w:rPr>
          <w:kern w:val="0"/>
        </w:rPr>
        <w:t xml:space="preserve"> and </w:t>
      </w:r>
      <w:r>
        <w:rPr>
          <w:kern w:val="0"/>
        </w:rPr>
        <w:t>Bevans, M. (2013), A labor</w:t>
      </w:r>
      <w:r w:rsidR="00427468">
        <w:rPr>
          <w:kern w:val="0"/>
        </w:rPr>
        <w:t xml:space="preserve"> of </w:t>
      </w:r>
      <w:r>
        <w:rPr>
          <w:kern w:val="0"/>
        </w:rPr>
        <w:t>love the influence</w:t>
      </w:r>
      <w:r w:rsidR="00427468">
        <w:rPr>
          <w:kern w:val="0"/>
        </w:rPr>
        <w:t xml:space="preserve"> of </w:t>
      </w:r>
      <w:r>
        <w:rPr>
          <w:kern w:val="0"/>
        </w:rPr>
        <w:t xml:space="preserve">cancer Caregiving on health behaviors. </w:t>
      </w:r>
      <w:r w:rsidRPr="00D72764">
        <w:rPr>
          <w:i/>
          <w:iCs/>
          <w:kern w:val="0"/>
        </w:rPr>
        <w:t>Cancer Nursing</w:t>
      </w:r>
      <w:r>
        <w:rPr>
          <w:kern w:val="0"/>
        </w:rPr>
        <w:t xml:space="preserve">, </w:t>
      </w:r>
      <w:r>
        <w:rPr>
          <w:b/>
          <w:bCs/>
          <w:kern w:val="0"/>
        </w:rPr>
        <w:t>36</w:t>
      </w:r>
      <w:r>
        <w:rPr>
          <w:kern w:val="0"/>
        </w:rPr>
        <w:t xml:space="preserve"> (6), 474-483.</w:t>
      </w:r>
    </w:p>
    <w:p w:rsidR="00D72764" w:rsidRDefault="00D72764" w:rsidP="00D72764">
      <w:pPr>
        <w:pStyle w:val="a3"/>
        <w:rPr>
          <w:kern w:val="0"/>
        </w:rPr>
      </w:pPr>
      <w:r>
        <w:rPr>
          <w:rFonts w:hint="eastAsia"/>
          <w:kern w:val="0"/>
        </w:rPr>
        <w:t xml:space="preserve">Full Text: </w:t>
      </w:r>
      <w:hyperlink r:id="rId127" w:history="1">
        <w:r w:rsidRPr="00D72764">
          <w:rPr>
            <w:rStyle w:val="a5"/>
            <w:kern w:val="0"/>
          </w:rPr>
          <w:t>2013\Can Nur36, 474.pdf</w:t>
        </w:r>
      </w:hyperlink>
    </w:p>
    <w:p w:rsidR="00D72764" w:rsidRDefault="00D72764" w:rsidP="00D72764">
      <w:pPr>
        <w:pStyle w:val="a3"/>
        <w:rPr>
          <w:kern w:val="0"/>
        </w:rPr>
      </w:pPr>
      <w:r>
        <w:rPr>
          <w:kern w:val="0"/>
        </w:rPr>
        <w:t>Abstract: Background: Evidence suggests that emotional distress</w:t>
      </w:r>
      <w:r w:rsidR="005853A9">
        <w:rPr>
          <w:kern w:val="0"/>
        </w:rPr>
        <w:t xml:space="preserve"> and </w:t>
      </w:r>
      <w:r>
        <w:rPr>
          <w:kern w:val="0"/>
        </w:rPr>
        <w:t>objective demands</w:t>
      </w:r>
      <w:r w:rsidR="00427468">
        <w:rPr>
          <w:kern w:val="0"/>
        </w:rPr>
        <w:t xml:space="preserve"> of </w:t>
      </w:r>
      <w:r>
        <w:rPr>
          <w:kern w:val="0"/>
        </w:rPr>
        <w:t>cancer caregiving are comparable to those</w:t>
      </w:r>
      <w:r w:rsidR="00427468">
        <w:rPr>
          <w:kern w:val="0"/>
        </w:rPr>
        <w:t xml:space="preserve"> of </w:t>
      </w:r>
      <w:r>
        <w:rPr>
          <w:kern w:val="0"/>
        </w:rPr>
        <w:t>dementia caregiving, yet little research has focused on the physical health</w:t>
      </w:r>
      <w:r w:rsidR="00427468">
        <w:rPr>
          <w:kern w:val="0"/>
        </w:rPr>
        <w:t xml:space="preserve"> of </w:t>
      </w:r>
      <w:r>
        <w:rPr>
          <w:kern w:val="0"/>
        </w:rPr>
        <w:t>cancer caregivers. Whether the stress leads directly to changes in health or whether the stress leads to changes in health behaviors, which in turn affect health, has not been systematically examined. Objective: The objective</w:t>
      </w:r>
      <w:r w:rsidR="00427468">
        <w:rPr>
          <w:kern w:val="0"/>
        </w:rPr>
        <w:t xml:space="preserve"> of </w:t>
      </w:r>
      <w:r>
        <w:rPr>
          <w:kern w:val="0"/>
        </w:rPr>
        <w:t>this study was to review the research literature regarding changes in health behaviors associated with caring for an individual with cancer. Methods: Literature was reviewed from multiple databases including CINAHL (Cumulative Index to Nursing</w:t>
      </w:r>
      <w:r w:rsidR="005853A9">
        <w:rPr>
          <w:kern w:val="0"/>
        </w:rPr>
        <w:t xml:space="preserve"> and </w:t>
      </w:r>
      <w:r>
        <w:rPr>
          <w:kern w:val="0"/>
        </w:rPr>
        <w:t>Allied Health Literature), CINAHL Plus, PsycNET, PubMed, SCOPUS,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Key words included health behavior, health promotion, caregivers/caregiving, cancer/oncology, diet/nutrition, exercise/physical activity, stress management, smoking</w:t>
      </w:r>
      <w:r w:rsidR="005853A9">
        <w:rPr>
          <w:kern w:val="0"/>
        </w:rPr>
        <w:t xml:space="preserve"> and </w:t>
      </w:r>
      <w:r>
        <w:rPr>
          <w:kern w:val="0"/>
        </w:rPr>
        <w:t>alcohol. Studies were included if they involved informal adult caregivers</w:t>
      </w:r>
      <w:r w:rsidR="005853A9">
        <w:rPr>
          <w:kern w:val="0"/>
        </w:rPr>
        <w:t xml:space="preserve"> and </w:t>
      </w:r>
      <w:r>
        <w:rPr>
          <w:kern w:val="0"/>
        </w:rPr>
        <w:t>at least 1 behavior associated with a healthy lifestyle.</w:t>
      </w:r>
      <w:r w:rsidR="00427468">
        <w:rPr>
          <w:kern w:val="0"/>
        </w:rPr>
        <w:t xml:space="preserve"> of </w:t>
      </w:r>
      <w:r>
        <w:rPr>
          <w:kern w:val="0"/>
        </w:rPr>
        <w:t>the 866 studies identified, 8 met the criteria. Results: Studies revealed conflicting information, with some suggesting deleterious changes in behaviors, whereas others found the changes protective. Conclusions: The lack</w:t>
      </w:r>
      <w:r w:rsidR="00427468">
        <w:rPr>
          <w:kern w:val="0"/>
        </w:rPr>
        <w:t xml:space="preserve"> of </w:t>
      </w:r>
      <w:r>
        <w:rPr>
          <w:kern w:val="0"/>
        </w:rPr>
        <w:t>uniformity</w:t>
      </w:r>
      <w:r w:rsidR="00427468">
        <w:rPr>
          <w:kern w:val="0"/>
        </w:rPr>
        <w:t xml:space="preserve"> of </w:t>
      </w:r>
      <w:r>
        <w:rPr>
          <w:kern w:val="0"/>
        </w:rPr>
        <w:t>terminology</w:t>
      </w:r>
      <w:r w:rsidR="005853A9">
        <w:rPr>
          <w:kern w:val="0"/>
        </w:rPr>
        <w:t xml:space="preserve"> and </w:t>
      </w:r>
      <w:r>
        <w:rPr>
          <w:kern w:val="0"/>
        </w:rPr>
        <w:t>conflicting findings make it difficult to conclude the impact</w:t>
      </w:r>
      <w:r w:rsidR="00427468">
        <w:rPr>
          <w:kern w:val="0"/>
        </w:rPr>
        <w:t xml:space="preserve"> of </w:t>
      </w:r>
      <w:r>
        <w:rPr>
          <w:kern w:val="0"/>
        </w:rPr>
        <w:t>the caregiving experience on the health behaviors</w:t>
      </w:r>
      <w:r w:rsidR="00427468">
        <w:rPr>
          <w:kern w:val="0"/>
        </w:rPr>
        <w:t xml:space="preserve"> of </w:t>
      </w:r>
      <w:r>
        <w:rPr>
          <w:kern w:val="0"/>
        </w:rPr>
        <w:t>cancer caregivers. Something is placing caregivers at risk for illness</w:t>
      </w:r>
      <w:r w:rsidR="005853A9">
        <w:rPr>
          <w:kern w:val="0"/>
        </w:rPr>
        <w:t xml:space="preserve"> and </w:t>
      </w:r>
      <w:r>
        <w:rPr>
          <w:kern w:val="0"/>
        </w:rPr>
        <w:t>early death, but the mechanisms behind the risk</w:t>
      </w:r>
      <w:r w:rsidR="005853A9">
        <w:rPr>
          <w:kern w:val="0"/>
        </w:rPr>
        <w:t xml:space="preserve"> and </w:t>
      </w:r>
      <w:r>
        <w:rPr>
          <w:kern w:val="0"/>
        </w:rPr>
        <w:t>the role</w:t>
      </w:r>
      <w:r w:rsidR="00427468">
        <w:rPr>
          <w:kern w:val="0"/>
        </w:rPr>
        <w:t xml:space="preserve"> of </w:t>
      </w:r>
      <w:r>
        <w:rPr>
          <w:kern w:val="0"/>
        </w:rPr>
        <w:t>unhealthy behaviors are not clear. Implications for Practice: At a minimum, cancer caregivers should be screened for behavior changes</w:t>
      </w:r>
      <w:r w:rsidR="005853A9">
        <w:rPr>
          <w:kern w:val="0"/>
        </w:rPr>
        <w:t xml:space="preserve"> and </w:t>
      </w:r>
      <w:r>
        <w:rPr>
          <w:kern w:val="0"/>
        </w:rPr>
        <w:t xml:space="preserve">disease risk. Developing standardized measures for future </w:t>
      </w:r>
      <w:r>
        <w:rPr>
          <w:kern w:val="0"/>
        </w:rPr>
        <w:lastRenderedPageBreak/>
        <w:t>research including controlled, longitudinal studies is needed.</w:t>
      </w:r>
    </w:p>
    <w:p w:rsidR="00D72764" w:rsidRDefault="00D72764" w:rsidP="00D72764">
      <w:pPr>
        <w:pStyle w:val="a3"/>
        <w:rPr>
          <w:kern w:val="0"/>
        </w:rPr>
      </w:pPr>
      <w:r>
        <w:rPr>
          <w:kern w:val="0"/>
        </w:rPr>
        <w:t xml:space="preserve">Keywords: Activity, Adult, Alcohol, Alcohol-Consumption, Allostatic Load, Behavior, Breast-Cancer, Burden, Cancer, Cardiovascular-Disease, Caregivers, Caregiving, Caring, Cause-Specific Mortality, Changes, Coronary-Heart-Disease, Criteria, Databases, Death, Dementia, Disease, Distress, Embase, Evidence, Experience, Family Caregivers, Health, Health Behavior, Health Behaviors, Health Promotion, Impact, Informal Caregivers, Information, Literature, Longitudinal, Longitudinal Studies, Management, Measures, Mechanisms, Methods, Minimum, Nursing, Physical, Physical-Activity, Promotion, Pubmed, Quality-Of-Life, Research, Results, Review, Risk, Role, Science, Scopus, Screening, Smoking, Stress, Terminology, </w:t>
      </w:r>
      <w:r w:rsidR="00D5664A">
        <w:rPr>
          <w:kern w:val="0"/>
        </w:rPr>
        <w:t>Web</w:t>
      </w:r>
      <w:r w:rsidR="00427468">
        <w:rPr>
          <w:kern w:val="0"/>
        </w:rPr>
        <w:t xml:space="preserve"> of </w:t>
      </w:r>
      <w:r w:rsidR="00D5664A">
        <w:rPr>
          <w:kern w:val="0"/>
        </w:rPr>
        <w:t>Science</w:t>
      </w:r>
    </w:p>
    <w:p w:rsidR="002C12F0" w:rsidRPr="00217FB1" w:rsidRDefault="002C12F0" w:rsidP="002C12F0">
      <w:pPr>
        <w:pStyle w:val="1"/>
      </w:pPr>
      <w:r w:rsidRPr="00217FB1">
        <w:rPr>
          <w:lang w:val="en-GB"/>
        </w:rPr>
        <w:br w:type="page"/>
      </w:r>
      <w:bookmarkStart w:id="85" w:name="_Toc420814906"/>
      <w:r>
        <w:lastRenderedPageBreak/>
        <w:t xml:space="preserve">Title: </w:t>
      </w:r>
      <w:r w:rsidRPr="00C42C00">
        <w:rPr>
          <w:iCs w:val="0"/>
        </w:rPr>
        <w:t>Cancer Prevention Research</w:t>
      </w:r>
      <w:bookmarkEnd w:id="85"/>
    </w:p>
    <w:p w:rsidR="002C12F0" w:rsidRPr="00217FB1" w:rsidRDefault="002C12F0" w:rsidP="002C12F0">
      <w:pPr>
        <w:pStyle w:val="12"/>
      </w:pPr>
      <w:r w:rsidRPr="00217FB1">
        <w:t xml:space="preserve">Full Journal Title: </w:t>
      </w:r>
      <w:r w:rsidRPr="00C42C00">
        <w:rPr>
          <w:iCs/>
          <w:kern w:val="0"/>
        </w:rPr>
        <w:t>Cancer Prevention Research</w:t>
      </w:r>
    </w:p>
    <w:p w:rsidR="002C12F0" w:rsidRPr="00217FB1" w:rsidRDefault="002C12F0" w:rsidP="002C12F0">
      <w:pPr>
        <w:pStyle w:val="12"/>
      </w:pPr>
      <w:r w:rsidRPr="00217FB1">
        <w:t xml:space="preserve">ISO Abbreviated Title: </w:t>
      </w:r>
    </w:p>
    <w:p w:rsidR="002C12F0" w:rsidRPr="00217FB1" w:rsidRDefault="002C12F0" w:rsidP="002C12F0">
      <w:pPr>
        <w:pStyle w:val="12"/>
      </w:pPr>
      <w:r w:rsidRPr="00217FB1">
        <w:t>JCR Abbreviated Title</w:t>
      </w:r>
      <w:r>
        <w:t>:</w:t>
      </w:r>
      <w:r w:rsidRPr="00217FB1">
        <w:t xml:space="preserve"> </w:t>
      </w:r>
    </w:p>
    <w:p w:rsidR="002C12F0" w:rsidRPr="00217FB1" w:rsidRDefault="002C12F0" w:rsidP="002C12F0">
      <w:pPr>
        <w:pStyle w:val="12"/>
      </w:pPr>
      <w:r w:rsidRPr="00217FB1">
        <w:t xml:space="preserve">ISSN: </w:t>
      </w:r>
    </w:p>
    <w:p w:rsidR="002C12F0" w:rsidRPr="00217FB1" w:rsidRDefault="002C12F0" w:rsidP="002C12F0">
      <w:pPr>
        <w:pStyle w:val="12"/>
      </w:pPr>
      <w:r w:rsidRPr="00217FB1">
        <w:t xml:space="preserve">Issues/Year: </w:t>
      </w:r>
    </w:p>
    <w:p w:rsidR="002C12F0" w:rsidRPr="00217FB1" w:rsidRDefault="002C12F0" w:rsidP="002C12F0">
      <w:pPr>
        <w:pStyle w:val="12"/>
      </w:pPr>
      <w:r>
        <w:t xml:space="preserve">Journal Country/Territory: </w:t>
      </w:r>
    </w:p>
    <w:p w:rsidR="002C12F0" w:rsidRPr="00217FB1" w:rsidRDefault="002C12F0" w:rsidP="002C12F0">
      <w:pPr>
        <w:pStyle w:val="12"/>
      </w:pPr>
      <w:r w:rsidRPr="00217FB1">
        <w:t xml:space="preserve">Language: </w:t>
      </w:r>
    </w:p>
    <w:p w:rsidR="002C12F0" w:rsidRPr="00217FB1" w:rsidRDefault="002C12F0" w:rsidP="002C12F0">
      <w:pPr>
        <w:pStyle w:val="12"/>
      </w:pPr>
      <w:r w:rsidRPr="00217FB1">
        <w:t xml:space="preserve">Publisher: </w:t>
      </w:r>
    </w:p>
    <w:p w:rsidR="002C12F0" w:rsidRPr="00217FB1" w:rsidRDefault="002C12F0" w:rsidP="002C12F0">
      <w:pPr>
        <w:pStyle w:val="12"/>
      </w:pPr>
      <w:r w:rsidRPr="00217FB1">
        <w:t xml:space="preserve">Publisher Address: </w:t>
      </w:r>
    </w:p>
    <w:p w:rsidR="002C12F0" w:rsidRPr="00217FB1" w:rsidRDefault="002C12F0" w:rsidP="002C12F0">
      <w:pPr>
        <w:pStyle w:val="12"/>
      </w:pPr>
      <w:r w:rsidRPr="00217FB1">
        <w:t>Subject Categories:</w:t>
      </w:r>
    </w:p>
    <w:p w:rsidR="002C12F0" w:rsidRPr="00217FB1" w:rsidRDefault="002C12F0" w:rsidP="002C12F0">
      <w:pPr>
        <w:pStyle w:val="12"/>
      </w:pPr>
      <w:r w:rsidRPr="00217FB1">
        <w:t xml:space="preserve">: Impact Factor </w:t>
      </w:r>
    </w:p>
    <w:p w:rsidR="002C12F0" w:rsidRDefault="002C12F0" w:rsidP="002C12F0">
      <w:pPr>
        <w:pStyle w:val="a3"/>
        <w:rPr>
          <w:kern w:val="0"/>
        </w:rPr>
      </w:pPr>
      <w:r>
        <w:rPr>
          <w:rFonts w:hint="eastAsia"/>
          <w:kern w:val="0"/>
        </w:rPr>
        <w:t xml:space="preserve">? </w:t>
      </w:r>
      <w:r>
        <w:rPr>
          <w:kern w:val="0"/>
        </w:rPr>
        <w:t>DeCensi, A., Puntoni, M., Goodwin, P., Cazzaniga, M., Gennari, A., Bonanni, B.</w:t>
      </w:r>
      <w:r w:rsidR="005853A9">
        <w:rPr>
          <w:kern w:val="0"/>
        </w:rPr>
        <w:t xml:space="preserve"> and </w:t>
      </w:r>
      <w:r>
        <w:rPr>
          <w:kern w:val="0"/>
        </w:rPr>
        <w:t>Gandini, S. (2010), Metformin</w:t>
      </w:r>
      <w:r w:rsidR="005853A9">
        <w:rPr>
          <w:kern w:val="0"/>
        </w:rPr>
        <w:t xml:space="preserve"> and </w:t>
      </w:r>
      <w:r>
        <w:rPr>
          <w:kern w:val="0"/>
        </w:rPr>
        <w:t>cancer risk in diabetic patients: A systematic review</w:t>
      </w:r>
      <w:r w:rsidR="005853A9">
        <w:rPr>
          <w:kern w:val="0"/>
        </w:rPr>
        <w:t xml:space="preserve"> and </w:t>
      </w:r>
      <w:r>
        <w:rPr>
          <w:kern w:val="0"/>
        </w:rPr>
        <w:t xml:space="preserve">meta-analysis. </w:t>
      </w:r>
      <w:r w:rsidRPr="00C42C00">
        <w:rPr>
          <w:i/>
          <w:iCs/>
          <w:kern w:val="0"/>
        </w:rPr>
        <w:t>Cancer Prevention Research</w:t>
      </w:r>
      <w:r>
        <w:rPr>
          <w:kern w:val="0"/>
        </w:rPr>
        <w:t xml:space="preserve">, </w:t>
      </w:r>
      <w:r>
        <w:rPr>
          <w:b/>
          <w:bCs/>
          <w:kern w:val="0"/>
        </w:rPr>
        <w:t>3</w:t>
      </w:r>
      <w:r>
        <w:rPr>
          <w:kern w:val="0"/>
        </w:rPr>
        <w:t xml:space="preserve"> (11), 1451-1461.</w:t>
      </w:r>
    </w:p>
    <w:p w:rsidR="002C12F0" w:rsidRDefault="002C12F0" w:rsidP="002C12F0">
      <w:pPr>
        <w:pStyle w:val="a3"/>
        <w:rPr>
          <w:kern w:val="0"/>
        </w:rPr>
      </w:pPr>
      <w:r>
        <w:rPr>
          <w:kern w:val="0"/>
        </w:rPr>
        <w:t>Abstract: Metformin, an insulin-lowering agent, has been associated with decreased cancer risk in epidemiologic studies in diabetic patients. We performed a comprehensive literature search</w:t>
      </w:r>
      <w:r w:rsidR="005853A9">
        <w:rPr>
          <w:kern w:val="0"/>
        </w:rPr>
        <w:t xml:space="preserve"> and </w:t>
      </w:r>
      <w:r>
        <w:rPr>
          <w:kern w:val="0"/>
        </w:rPr>
        <w:t>meta-analysis</w:t>
      </w:r>
      <w:r w:rsidR="00427468">
        <w:rPr>
          <w:kern w:val="0"/>
        </w:rPr>
        <w:t xml:space="preserve"> of </w:t>
      </w:r>
      <w:r>
        <w:rPr>
          <w:kern w:val="0"/>
        </w:rPr>
        <w:t>epidemiologic studies to assess</w:t>
      </w:r>
      <w:r w:rsidR="003A1917">
        <w:rPr>
          <w:kern w:val="0"/>
        </w:rPr>
        <w:t xml:space="preserve"> the </w:t>
      </w:r>
      <w:r>
        <w:rPr>
          <w:kern w:val="0"/>
        </w:rPr>
        <w:t>effect</w:t>
      </w:r>
      <w:r w:rsidR="00427468">
        <w:rPr>
          <w:kern w:val="0"/>
        </w:rPr>
        <w:t xml:space="preserve"> of </w:t>
      </w:r>
      <w:r>
        <w:rPr>
          <w:kern w:val="0"/>
        </w:rPr>
        <w:t>metformin on cancer incidence</w:t>
      </w:r>
      <w:r w:rsidR="005853A9">
        <w:rPr>
          <w:kern w:val="0"/>
        </w:rPr>
        <w:t xml:space="preserve"> and </w:t>
      </w:r>
      <w:r>
        <w:rPr>
          <w:kern w:val="0"/>
        </w:rPr>
        <w:t xml:space="preserve">mortality in diabetic patients, using PUBMED,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sidR="003A1917">
        <w:rPr>
          <w:kern w:val="0"/>
        </w:rPr>
        <w:t xml:space="preserve">the </w:t>
      </w:r>
      <w:r>
        <w:rPr>
          <w:kern w:val="0"/>
        </w:rPr>
        <w:t>Cochrane library until May 2009, with no language or time restrictions. Independent reports with sufficient information to allow risk estimation</w:t>
      </w:r>
      <w:r w:rsidR="00427468">
        <w:rPr>
          <w:kern w:val="0"/>
        </w:rPr>
        <w:t xml:space="preserve"> of </w:t>
      </w:r>
      <w:r>
        <w:rPr>
          <w:kern w:val="0"/>
        </w:rPr>
        <w:t>cancer risk/mortality</w:t>
      </w:r>
      <w:r w:rsidR="005853A9">
        <w:rPr>
          <w:kern w:val="0"/>
        </w:rPr>
        <w:t xml:space="preserve"> and </w:t>
      </w:r>
      <w:r>
        <w:rPr>
          <w:kern w:val="0"/>
        </w:rPr>
        <w:t>a measure</w:t>
      </w:r>
      <w:r w:rsidR="00427468">
        <w:rPr>
          <w:kern w:val="0"/>
        </w:rPr>
        <w:t xml:space="preserve"> of </w:t>
      </w:r>
      <w:r>
        <w:rPr>
          <w:kern w:val="0"/>
        </w:rPr>
        <w:t>uncertainty were reviewed</w:t>
      </w:r>
      <w:r w:rsidR="005853A9">
        <w:rPr>
          <w:kern w:val="0"/>
        </w:rPr>
        <w:t xml:space="preserve"> and </w:t>
      </w:r>
      <w:r>
        <w:rPr>
          <w:kern w:val="0"/>
        </w:rPr>
        <w:t>cross-checked independently by three investigators. Eleven studies were selected for relevance in terms</w:t>
      </w:r>
      <w:r w:rsidR="00427468">
        <w:rPr>
          <w:kern w:val="0"/>
        </w:rPr>
        <w:t xml:space="preserve"> of </w:t>
      </w:r>
      <w:r>
        <w:rPr>
          <w:kern w:val="0"/>
        </w:rPr>
        <w:t>intervention, population studied, independence,</w:t>
      </w:r>
      <w:r w:rsidR="005853A9">
        <w:rPr>
          <w:kern w:val="0"/>
        </w:rPr>
        <w:t xml:space="preserve"> and </w:t>
      </w:r>
      <w:r>
        <w:rPr>
          <w:kern w:val="0"/>
        </w:rPr>
        <w:t>reporting</w:t>
      </w:r>
      <w:r w:rsidR="00427468">
        <w:rPr>
          <w:kern w:val="0"/>
        </w:rPr>
        <w:t xml:space="preserve"> of </w:t>
      </w:r>
      <w:r>
        <w:rPr>
          <w:kern w:val="0"/>
        </w:rPr>
        <w:t>cancer incidence or mortality data, reporting 4,042 cancer events</w:t>
      </w:r>
      <w:r w:rsidR="005853A9">
        <w:rPr>
          <w:kern w:val="0"/>
        </w:rPr>
        <w:t xml:space="preserve"> and </w:t>
      </w:r>
      <w:r>
        <w:rPr>
          <w:kern w:val="0"/>
        </w:rPr>
        <w:t>529 cancer deaths. A 31% reduction in overall summary relative risk (0.69; 95% confidence interval, 0.61-0.79) was found in subjects taking metformin compared with other antidiabetic drugs</w:t>
      </w:r>
      <w:r w:rsidR="00A37C1D">
        <w:rPr>
          <w:kern w:val="0"/>
        </w:rPr>
        <w:t>. The</w:t>
      </w:r>
      <w:r w:rsidR="003A1917">
        <w:rPr>
          <w:kern w:val="0"/>
        </w:rPr>
        <w:t xml:space="preserve"> </w:t>
      </w:r>
      <w:r>
        <w:rPr>
          <w:kern w:val="0"/>
        </w:rPr>
        <w:t>inverse association was significant for pancreatic</w:t>
      </w:r>
      <w:r w:rsidR="005853A9">
        <w:rPr>
          <w:kern w:val="0"/>
        </w:rPr>
        <w:t xml:space="preserve"> and </w:t>
      </w:r>
      <w:r>
        <w:rPr>
          <w:kern w:val="0"/>
        </w:rPr>
        <w:t>hepatocellular cancer,</w:t>
      </w:r>
      <w:r w:rsidR="005853A9">
        <w:rPr>
          <w:kern w:val="0"/>
        </w:rPr>
        <w:t xml:space="preserve"> and </w:t>
      </w:r>
      <w:r>
        <w:rPr>
          <w:kern w:val="0"/>
        </w:rPr>
        <w:t>nonsignificant for colon, breast,</w:t>
      </w:r>
      <w:r w:rsidR="005853A9">
        <w:rPr>
          <w:kern w:val="0"/>
        </w:rPr>
        <w:t xml:space="preserve"> and </w:t>
      </w:r>
      <w:r>
        <w:rPr>
          <w:kern w:val="0"/>
        </w:rPr>
        <w:t>prostate cancer. A trend to a dose-response relationship was noted. Metformin is associated with a decreased risk</w:t>
      </w:r>
      <w:r w:rsidR="00427468">
        <w:rPr>
          <w:kern w:val="0"/>
        </w:rPr>
        <w:t xml:space="preserve"> of </w:t>
      </w:r>
      <w:r>
        <w:rPr>
          <w:kern w:val="0"/>
        </w:rPr>
        <w:t>cancer incidence compared with other treatments among diabetic patients. Given</w:t>
      </w:r>
      <w:r w:rsidR="003A1917">
        <w:rPr>
          <w:kern w:val="0"/>
        </w:rPr>
        <w:t xml:space="preserve"> the </w:t>
      </w:r>
      <w:r>
        <w:rPr>
          <w:kern w:val="0"/>
        </w:rPr>
        <w:t>retrospective nature</w:t>
      </w:r>
      <w:r w:rsidR="00427468">
        <w:rPr>
          <w:kern w:val="0"/>
        </w:rPr>
        <w:t xml:space="preserve"> of </w:t>
      </w:r>
      <w:r>
        <w:rPr>
          <w:kern w:val="0"/>
        </w:rPr>
        <w:t>most studies</w:t>
      </w:r>
      <w:r w:rsidR="005853A9">
        <w:rPr>
          <w:kern w:val="0"/>
        </w:rPr>
        <w:t xml:space="preserve"> and </w:t>
      </w:r>
      <w:r w:rsidR="003A1917">
        <w:rPr>
          <w:kern w:val="0"/>
        </w:rPr>
        <w:t xml:space="preserve">the </w:t>
      </w:r>
      <w:r>
        <w:rPr>
          <w:kern w:val="0"/>
        </w:rPr>
        <w:t>possibility that</w:t>
      </w:r>
      <w:r w:rsidR="003A1917">
        <w:rPr>
          <w:kern w:val="0"/>
        </w:rPr>
        <w:t xml:space="preserve"> the </w:t>
      </w:r>
      <w:r>
        <w:rPr>
          <w:kern w:val="0"/>
        </w:rPr>
        <w:t>control treatments increase risk, phase II trials are needed before large cancer prevention trials are launched. Cancer Prev Res; 3(11); 1451-61. (C) 2010 AACR.</w:t>
      </w:r>
    </w:p>
    <w:p w:rsidR="002C12F0" w:rsidRDefault="002C12F0" w:rsidP="002C12F0">
      <w:pPr>
        <w:pStyle w:val="a3"/>
        <w:rPr>
          <w:kern w:val="0"/>
        </w:rPr>
      </w:pPr>
      <w:r>
        <w:rPr>
          <w:kern w:val="0"/>
        </w:rPr>
        <w:t xml:space="preserve">Keywords: Activated Protein-Kinase, Breast-Cancer, C-Peptide, Cancer, Cell-Growth, Cochrane, Control, Dose-Response, Epidemiologic Studies, Follow-Up, </w:t>
      </w:r>
      <w:r>
        <w:rPr>
          <w:kern w:val="0"/>
        </w:rPr>
        <w:lastRenderedPageBreak/>
        <w:t>Hepatocellular-Carcinoma, Information, Insulin-Resistance, Intervention</w:t>
      </w:r>
      <w:r w:rsidR="00D5664A">
        <w:rPr>
          <w:kern w:val="0"/>
        </w:rPr>
        <w:t>, ISI,</w:t>
      </w:r>
      <w:r>
        <w:rPr>
          <w:kern w:val="0"/>
        </w:rPr>
        <w:t xml:space="preserve"> Literature, Meta Analysis, Meta-Analysis, Metabolic Syndrome, Metformin, Mortality, Pancreatic-Cancer, Postmenopa</w:t>
      </w:r>
      <w:r w:rsidR="00D5664A">
        <w:rPr>
          <w:kern w:val="0"/>
        </w:rPr>
        <w:t>USA</w:t>
      </w:r>
      <w:r>
        <w:rPr>
          <w:kern w:val="0"/>
        </w:rPr>
        <w:t xml:space="preserve">l Women, Prevention, Prostate Cancer, Relative Risk, Review, Risk, Science, Systematic, Systematic Review, Trend, </w:t>
      </w:r>
      <w:r w:rsidR="00D5664A">
        <w:rPr>
          <w:kern w:val="0"/>
        </w:rPr>
        <w:t>Web</w:t>
      </w:r>
      <w:r w:rsidR="00427468">
        <w:rPr>
          <w:kern w:val="0"/>
        </w:rPr>
        <w:t xml:space="preserve"> of </w:t>
      </w:r>
      <w:r w:rsidR="00D5664A">
        <w:rPr>
          <w:kern w:val="0"/>
        </w:rPr>
        <w:t>Science</w:t>
      </w:r>
    </w:p>
    <w:p w:rsidR="00D677FA" w:rsidRDefault="00D677FA" w:rsidP="00D677FA">
      <w:pPr>
        <w:pStyle w:val="a3"/>
        <w:rPr>
          <w:kern w:val="0"/>
        </w:rPr>
      </w:pPr>
      <w:r>
        <w:rPr>
          <w:rFonts w:hint="eastAsia"/>
          <w:kern w:val="0"/>
        </w:rPr>
        <w:t xml:space="preserve">? </w:t>
      </w:r>
      <w:r>
        <w:rPr>
          <w:kern w:val="0"/>
        </w:rPr>
        <w:t xml:space="preserve">Gandini, S., Puntoni, M., Heckman-Stoddard, B.M., Dunn, B.K., Ford, L., DeCensi, A. and Szabo, E. (2014), Metformin and cancer risk and mortality: A systematic review and meta-analysis taking into account biases and confounders. </w:t>
      </w:r>
      <w:r>
        <w:rPr>
          <w:i/>
          <w:iCs/>
          <w:kern w:val="0"/>
        </w:rPr>
        <w:t>Cancer Prevention Research</w:t>
      </w:r>
      <w:r>
        <w:rPr>
          <w:kern w:val="0"/>
        </w:rPr>
        <w:t xml:space="preserve">, </w:t>
      </w:r>
      <w:r>
        <w:rPr>
          <w:b/>
          <w:bCs/>
          <w:kern w:val="0"/>
        </w:rPr>
        <w:t>7</w:t>
      </w:r>
      <w:r>
        <w:rPr>
          <w:kern w:val="0"/>
        </w:rPr>
        <w:t xml:space="preserve"> (9), 867-885.</w:t>
      </w:r>
    </w:p>
    <w:p w:rsidR="00D677FA" w:rsidRDefault="00D677FA" w:rsidP="00D677FA">
      <w:pPr>
        <w:pStyle w:val="a3"/>
        <w:rPr>
          <w:kern w:val="0"/>
        </w:rPr>
      </w:pPr>
      <w:r>
        <w:rPr>
          <w:rFonts w:hint="eastAsia"/>
          <w:kern w:val="0"/>
        </w:rPr>
        <w:t>Full Text: 2014\</w:t>
      </w:r>
      <w:r>
        <w:rPr>
          <w:iCs/>
          <w:kern w:val="0"/>
        </w:rPr>
        <w:t>Can Pre Res</w:t>
      </w:r>
      <w:r w:rsidRPr="00E93D82">
        <w:rPr>
          <w:bCs/>
          <w:kern w:val="0"/>
        </w:rPr>
        <w:t>7</w:t>
      </w:r>
      <w:r>
        <w:rPr>
          <w:kern w:val="0"/>
        </w:rPr>
        <w:t>, 867</w:t>
      </w:r>
      <w:r>
        <w:rPr>
          <w:rFonts w:hint="eastAsia"/>
          <w:kern w:val="0"/>
        </w:rPr>
        <w:t>.pdf</w:t>
      </w:r>
    </w:p>
    <w:p w:rsidR="00D677FA" w:rsidRDefault="00D677FA" w:rsidP="00D677FA">
      <w:pPr>
        <w:pStyle w:val="a3"/>
        <w:rPr>
          <w:kern w:val="0"/>
        </w:rPr>
      </w:pPr>
      <w:r>
        <w:rPr>
          <w:kern w:val="0"/>
        </w:rPr>
        <w:t>Abstract: Previous meta-analyses have shown that the antidiabetic agent metformin is associated with reduced cancer incidence and mortality. However, this effect has not been consistently demonstrated in animal models and recent epidemiologic studies. We performed a meta-analysis with a focus on confounders and biases, including body mass index (BMI), study type, and time-related biases. We identified 71 articles published between January 1, 1966, and May 31, 2013, through Pubmed, ISI Web of Science (Science Citation Index Expanded), Embase, and the Cochrane library that were related to metformin and cancer incidence or mortality. Study characteristics and outcomes were abstracted for each study that met inclusion criteria. We included estimates from 47 independent studies and 65,540 cancer cases in patients with diabetes. Overall cancer incidence was reduced by 31% [summary relative risk (SRR), 0.69; 95% confidence interval (CI), 0.52-0.90], although between-study heterogeneity was considerable (I 2 88%). Cancer mortality was reduced by 34% (SRR, 0.66; 95% CI, 0.54-0.81; I-2 = 21%). BMI-adjusted studies and studies without time-related biases also showed significant reduction in cancer incidence (SRR, 0.82; 95% CI, 0.70-0.96 with I-2 = 76% and SRR, 0.90; 95% CI, 0.89-0.91 with I-2 = 56%, respectively), albeit with lesser magnitude (18% and 10% reduction, respectively). However, studies of cancer mortality and individual organ sites did not consistently show significant reductions across all types of analyses. Although these associations may not be causal, our results show that metformin may reduce cancer incidence and mortality in patients with diabetes However, the reduction seems to be of modest magnitude and not affecting all populations equally. Clinical trials are needed to determine if these observations apply to nondiabetic populations and to specific organ sites. (C) 2014 AACR.</w:t>
      </w:r>
    </w:p>
    <w:p w:rsidR="00D677FA" w:rsidRDefault="00D677FA" w:rsidP="00D677FA">
      <w:pPr>
        <w:pStyle w:val="a3"/>
        <w:rPr>
          <w:kern w:val="0"/>
        </w:rPr>
      </w:pPr>
      <w:r>
        <w:rPr>
          <w:kern w:val="0"/>
        </w:rPr>
        <w:t xml:space="preserve">Keywords: Analyses, Articles, Bmi, Body Mass Index, Breast-Cancer, Cancer, Cancer Mortality, Characteristics, Citation, Clinical Trials, Colorectal-Cancer, Confidence, Criteria, Diabetes, Estimates, Glucose-Lowering Therapies, Hepatocellular-Carcinoma, Heterogeneity, Incidence, Incident Cancer, Index, Interval, ISI, ISI Web Of Science, Lung-Cancer, Magnitude, Meta Analysis, </w:t>
      </w:r>
      <w:r>
        <w:rPr>
          <w:kern w:val="0"/>
        </w:rPr>
        <w:lastRenderedPageBreak/>
        <w:t>Meta-Analysis, Metaanalysis, Metformin, Models, Mortality, Observations, Outcomes, Pancreatic-Cancer, Patients, Population-Based Cohort, Populations, Prostate-Cancer, Recent, Reduction, Relative Risk, Review, Risk, Science, Science Citation Index, Science Citation Index Expanded, Systematic, Systematic Review, Type-2 Diabetes-Mellitus, Web Of Science</w:t>
      </w:r>
    </w:p>
    <w:p w:rsidR="007F2DC1" w:rsidRPr="00C73C58" w:rsidRDefault="007F2DC1" w:rsidP="007F2DC1">
      <w:pPr>
        <w:pStyle w:val="1"/>
      </w:pPr>
      <w:r w:rsidRPr="00C73C58">
        <w:br w:type="page"/>
      </w:r>
      <w:bookmarkStart w:id="86" w:name="_Toc420814907"/>
      <w:r w:rsidRPr="00C73C58">
        <w:lastRenderedPageBreak/>
        <w:t>Title: Cancer Research</w:t>
      </w:r>
      <w:bookmarkEnd w:id="86"/>
    </w:p>
    <w:p w:rsidR="007F2DC1" w:rsidRPr="00C73C58" w:rsidRDefault="007F2DC1" w:rsidP="007F2DC1">
      <w:pPr>
        <w:pStyle w:val="12"/>
      </w:pPr>
      <w:r w:rsidRPr="00C73C58">
        <w:t xml:space="preserve">Full Journal Title: </w:t>
      </w:r>
      <w:r w:rsidR="00DF61FE">
        <w:fldChar w:fldCharType="begin"/>
      </w:r>
      <w:r w:rsidR="00FD158B">
        <w:instrText>HY</w:instrText>
      </w:r>
      <w:bookmarkStart w:id="87" w:name="_Toc254055564"/>
      <w:r w:rsidR="00FD158B">
        <w:instrText>PERLINK "http://cancer</w:instrText>
      </w:r>
      <w:bookmarkEnd w:id="87"/>
      <w:r w:rsidR="00FD158B">
        <w:instrText>res.aacrjournals.org/contents-by-date.0.shtml"</w:instrText>
      </w:r>
      <w:r w:rsidR="00DF61FE">
        <w:fldChar w:fldCharType="separate"/>
      </w:r>
      <w:r w:rsidRPr="00F55AC5">
        <w:rPr>
          <w:rStyle w:val="a5"/>
        </w:rPr>
        <w:t>Cancer Research</w:t>
      </w:r>
      <w:r w:rsidR="00DF61FE">
        <w:fldChar w:fldCharType="end"/>
      </w:r>
    </w:p>
    <w:p w:rsidR="007F2DC1" w:rsidRPr="00C73C58" w:rsidRDefault="007F2DC1" w:rsidP="007F2DC1">
      <w:pPr>
        <w:pStyle w:val="12"/>
      </w:pPr>
      <w:r w:rsidRPr="00C73C58">
        <w:t>ISO Abbreviated Title: Cancer Res.</w:t>
      </w:r>
    </w:p>
    <w:p w:rsidR="007F2DC1" w:rsidRPr="00C73C58" w:rsidRDefault="007F2DC1" w:rsidP="007F2DC1">
      <w:pPr>
        <w:pStyle w:val="12"/>
      </w:pPr>
      <w:r w:rsidRPr="00C73C58">
        <w:t>JCR Abbreviated Title: Cancer Res</w:t>
      </w:r>
    </w:p>
    <w:p w:rsidR="007F2DC1" w:rsidRPr="00C73C58" w:rsidRDefault="007F2DC1" w:rsidP="007F2DC1">
      <w:pPr>
        <w:pStyle w:val="12"/>
      </w:pPr>
      <w:r w:rsidRPr="00C73C58">
        <w:t>ISSN: 0008-5472</w:t>
      </w:r>
    </w:p>
    <w:p w:rsidR="007F2DC1" w:rsidRPr="00C73C58" w:rsidRDefault="007F2DC1" w:rsidP="007F2DC1">
      <w:pPr>
        <w:pStyle w:val="12"/>
      </w:pPr>
      <w:r w:rsidRPr="00C73C58">
        <w:t>Issues/Year: 24</w:t>
      </w:r>
    </w:p>
    <w:p w:rsidR="007F2DC1" w:rsidRPr="00C73C58" w:rsidRDefault="007F2DC1" w:rsidP="007F2DC1">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7F2DC1" w:rsidRPr="00C73C58" w:rsidRDefault="007F2DC1" w:rsidP="007F2DC1">
      <w:pPr>
        <w:pStyle w:val="12"/>
      </w:pPr>
      <w:r w:rsidRPr="00C73C58">
        <w:t>Language: English</w:t>
      </w:r>
    </w:p>
    <w:p w:rsidR="007F2DC1" w:rsidRPr="00C73C58" w:rsidRDefault="007F2DC1" w:rsidP="007F2DC1">
      <w:pPr>
        <w:pStyle w:val="12"/>
      </w:pPr>
      <w:r w:rsidRPr="00C73C58">
        <w:t>Publisher: Amer Assoc Cancer Research</w:t>
      </w:r>
    </w:p>
    <w:p w:rsidR="007F2DC1" w:rsidRPr="00C73C58" w:rsidRDefault="007F2DC1" w:rsidP="007F2DC1">
      <w:pPr>
        <w:pStyle w:val="12"/>
      </w:pPr>
      <w:r w:rsidRPr="00C73C58">
        <w:t xml:space="preserve">Publisher Address: PO Box 11806, Birmingham, AL </w:t>
      </w:r>
      <w:smartTag w:uri="urn:schemas-microsoft-com:office:smarttags" w:element="PostalCode">
        <w:r w:rsidRPr="00C73C58">
          <w:t>35202</w:t>
        </w:r>
      </w:smartTag>
    </w:p>
    <w:p w:rsidR="007F2DC1" w:rsidRPr="00C73C58" w:rsidRDefault="007F2DC1" w:rsidP="007F2DC1">
      <w:pPr>
        <w:pStyle w:val="12"/>
      </w:pPr>
      <w:r w:rsidRPr="00C73C58">
        <w:t xml:space="preserve">Subject Categories: </w:t>
      </w:r>
    </w:p>
    <w:p w:rsidR="007F2DC1" w:rsidRPr="00C73C58" w:rsidRDefault="007F2DC1" w:rsidP="007F2DC1">
      <w:pPr>
        <w:pStyle w:val="12"/>
      </w:pPr>
      <w:r w:rsidRPr="00C73C58">
        <w:t>Oncology: Impact Factor 8.318, 7/114 (2002)</w:t>
      </w:r>
    </w:p>
    <w:p w:rsidR="006B70D1" w:rsidRDefault="006B70D1" w:rsidP="007F2DC1">
      <w:pPr>
        <w:pStyle w:val="a3"/>
        <w:rPr>
          <w:kern w:val="0"/>
        </w:rPr>
      </w:pPr>
      <w:r>
        <w:rPr>
          <w:rFonts w:hint="eastAsia"/>
          <w:kern w:val="0"/>
        </w:rPr>
        <w:t>Notes: TTopic</w:t>
      </w:r>
    </w:p>
    <w:p w:rsidR="007F2DC1" w:rsidRDefault="007F2DC1" w:rsidP="007F2DC1">
      <w:pPr>
        <w:pStyle w:val="a3"/>
        <w:rPr>
          <w:kern w:val="0"/>
        </w:rPr>
      </w:pPr>
      <w:r>
        <w:rPr>
          <w:rFonts w:hint="eastAsia"/>
          <w:kern w:val="0"/>
        </w:rPr>
        <w:t xml:space="preserve">? </w:t>
      </w:r>
      <w:r>
        <w:rPr>
          <w:kern w:val="0"/>
        </w:rPr>
        <w:t>Glynn, R.W., Chin, J.Z., Kerin, M.J.</w:t>
      </w:r>
      <w:r w:rsidR="005853A9">
        <w:rPr>
          <w:kern w:val="0"/>
        </w:rPr>
        <w:t xml:space="preserve"> and </w:t>
      </w:r>
      <w:r>
        <w:rPr>
          <w:kern w:val="0"/>
        </w:rPr>
        <w:t>Sweeney, K.J. (2009</w:t>
      </w:r>
      <w:r w:rsidR="00F42EAC">
        <w:rPr>
          <w:kern w:val="0"/>
        </w:rPr>
        <w:t>), The</w:t>
      </w:r>
      <w:r w:rsidR="003A1917">
        <w:rPr>
          <w:kern w:val="0"/>
        </w:rPr>
        <w:t xml:space="preserve"> </w:t>
      </w:r>
      <w:r>
        <w:rPr>
          <w:kern w:val="0"/>
        </w:rPr>
        <w:t>relationship between breast cancer</w:t>
      </w:r>
      <w:r w:rsidR="005853A9">
        <w:rPr>
          <w:kern w:val="0"/>
        </w:rPr>
        <w:t xml:space="preserve"> and </w:t>
      </w:r>
      <w:r>
        <w:rPr>
          <w:kern w:val="0"/>
        </w:rPr>
        <w:t>research</w:t>
      </w:r>
      <w:r>
        <w:rPr>
          <w:rFonts w:hint="eastAsia"/>
          <w:kern w:val="0"/>
        </w:rPr>
        <w:t>:</w:t>
      </w:r>
      <w:r>
        <w:rPr>
          <w:kern w:val="0"/>
        </w:rPr>
        <w:t xml:space="preserve"> </w:t>
      </w:r>
      <w:r>
        <w:rPr>
          <w:rFonts w:hint="eastAsia"/>
          <w:kern w:val="0"/>
        </w:rPr>
        <w:t>A</w:t>
      </w:r>
      <w:r>
        <w:rPr>
          <w:kern w:val="0"/>
        </w:rPr>
        <w:t xml:space="preserve"> bibliometric study. </w:t>
      </w:r>
      <w:r>
        <w:rPr>
          <w:i/>
          <w:iCs/>
          <w:kern w:val="0"/>
        </w:rPr>
        <w:t>Cancer Research</w:t>
      </w:r>
      <w:r>
        <w:rPr>
          <w:kern w:val="0"/>
        </w:rPr>
        <w:t xml:space="preserve">, </w:t>
      </w:r>
      <w:r>
        <w:rPr>
          <w:b/>
          <w:bCs/>
          <w:kern w:val="0"/>
        </w:rPr>
        <w:t>69</w:t>
      </w:r>
      <w:r>
        <w:rPr>
          <w:kern w:val="0"/>
        </w:rPr>
        <w:t xml:space="preserve"> (24), 564S</w:t>
      </w:r>
      <w:r>
        <w:rPr>
          <w:rFonts w:hint="eastAsia"/>
          <w:kern w:val="0"/>
        </w:rPr>
        <w:t>.</w:t>
      </w:r>
    </w:p>
    <w:p w:rsidR="007F2DC1" w:rsidRDefault="007F2DC1" w:rsidP="007F2DC1">
      <w:pPr>
        <w:pStyle w:val="a3"/>
        <w:rPr>
          <w:kern w:val="0"/>
        </w:rPr>
      </w:pPr>
      <w:r>
        <w:rPr>
          <w:rFonts w:hint="eastAsia"/>
          <w:kern w:val="0"/>
        </w:rPr>
        <w:t xml:space="preserve">Full Text: </w:t>
      </w:r>
      <w:r>
        <w:rPr>
          <w:iCs/>
          <w:kern w:val="0"/>
        </w:rPr>
        <w:t>Can Res</w:t>
      </w:r>
      <w:r w:rsidRPr="00F55AC5">
        <w:rPr>
          <w:bCs/>
          <w:kern w:val="0"/>
        </w:rPr>
        <w:t>69</w:t>
      </w:r>
      <w:r>
        <w:rPr>
          <w:kern w:val="0"/>
        </w:rPr>
        <w:t>, 564S</w:t>
      </w:r>
      <w:r>
        <w:rPr>
          <w:rFonts w:hint="eastAsia"/>
          <w:kern w:val="0"/>
        </w:rPr>
        <w:t>.pdf</w:t>
      </w:r>
    </w:p>
    <w:p w:rsidR="00866C8C" w:rsidRDefault="00866C8C" w:rsidP="00866C8C">
      <w:pPr>
        <w:pStyle w:val="a3"/>
        <w:rPr>
          <w:kern w:val="0"/>
        </w:rPr>
      </w:pPr>
      <w:r>
        <w:rPr>
          <w:rFonts w:hint="eastAsia"/>
          <w:kern w:val="0"/>
        </w:rPr>
        <w:t xml:space="preserve">Abstract: </w:t>
      </w:r>
      <w:r w:rsidRPr="00CB0D27">
        <w:rPr>
          <w:kern w:val="0"/>
        </w:rPr>
        <w:t>Background: Tho</w:t>
      </w:r>
      <w:r w:rsidR="00D5664A">
        <w:rPr>
          <w:kern w:val="0"/>
        </w:rPr>
        <w:t>USA</w:t>
      </w:r>
      <w:r w:rsidRPr="00CB0D27">
        <w:rPr>
          <w:kern w:val="0"/>
        </w:rPr>
        <w:t>nds</w:t>
      </w:r>
      <w:r w:rsidR="00427468">
        <w:rPr>
          <w:kern w:val="0"/>
        </w:rPr>
        <w:t xml:space="preserve"> of </w:t>
      </w:r>
      <w:r w:rsidRPr="00CB0D27">
        <w:rPr>
          <w:kern w:val="0"/>
        </w:rPr>
        <w:t>articles are published every year in</w:t>
      </w:r>
      <w:r w:rsidR="003A1917">
        <w:rPr>
          <w:kern w:val="0"/>
        </w:rPr>
        <w:t xml:space="preserve"> the </w:t>
      </w:r>
      <w:r w:rsidRPr="00CB0D27">
        <w:rPr>
          <w:kern w:val="0"/>
        </w:rPr>
        <w:t>medical literature relating to</w:t>
      </w:r>
      <w:r w:rsidR="003A1917">
        <w:rPr>
          <w:kern w:val="0"/>
        </w:rPr>
        <w:t xml:space="preserve"> the </w:t>
      </w:r>
      <w:r w:rsidRPr="00CB0D27">
        <w:rPr>
          <w:kern w:val="0"/>
        </w:rPr>
        <w:t>diagnosis</w:t>
      </w:r>
      <w:r w:rsidR="005853A9">
        <w:rPr>
          <w:kern w:val="0"/>
        </w:rPr>
        <w:t xml:space="preserve"> and </w:t>
      </w:r>
      <w:r w:rsidRPr="00CB0D27">
        <w:rPr>
          <w:kern w:val="0"/>
        </w:rPr>
        <w:t>treatment</w:t>
      </w:r>
      <w:r w:rsidR="00427468">
        <w:rPr>
          <w:kern w:val="0"/>
        </w:rPr>
        <w:t xml:space="preserve"> of </w:t>
      </w:r>
      <w:r w:rsidRPr="00CB0D27">
        <w:rPr>
          <w:kern w:val="0"/>
        </w:rPr>
        <w:t>cancer patients. An area</w:t>
      </w:r>
      <w:r w:rsidR="00427468">
        <w:rPr>
          <w:kern w:val="0"/>
        </w:rPr>
        <w:t xml:space="preserve"> of </w:t>
      </w:r>
      <w:r w:rsidRPr="00CB0D27">
        <w:rPr>
          <w:kern w:val="0"/>
        </w:rPr>
        <w:t>contention</w:t>
      </w:r>
      <w:r w:rsidR="00427468">
        <w:rPr>
          <w:kern w:val="0"/>
        </w:rPr>
        <w:t xml:space="preserve"> of </w:t>
      </w:r>
      <w:r w:rsidRPr="00CB0D27">
        <w:rPr>
          <w:kern w:val="0"/>
        </w:rPr>
        <w:t>late has been</w:t>
      </w:r>
      <w:r w:rsidR="003A1917">
        <w:rPr>
          <w:kern w:val="0"/>
        </w:rPr>
        <w:t xml:space="preserve"> the </w:t>
      </w:r>
      <w:r w:rsidRPr="00CB0D27">
        <w:rPr>
          <w:kern w:val="0"/>
        </w:rPr>
        <w:t>amount</w:t>
      </w:r>
      <w:r w:rsidR="00427468">
        <w:rPr>
          <w:kern w:val="0"/>
        </w:rPr>
        <w:t xml:space="preserve"> of </w:t>
      </w:r>
      <w:r w:rsidRPr="00CB0D27">
        <w:rPr>
          <w:kern w:val="0"/>
        </w:rPr>
        <w:t>research time</w:t>
      </w:r>
      <w:r w:rsidR="005853A9">
        <w:rPr>
          <w:kern w:val="0"/>
        </w:rPr>
        <w:t xml:space="preserve"> and </w:t>
      </w:r>
      <w:r w:rsidRPr="00CB0D27">
        <w:rPr>
          <w:kern w:val="0"/>
        </w:rPr>
        <w:t>money being devoted to breast cancer, to what some believe is to</w:t>
      </w:r>
      <w:r w:rsidR="003A1917">
        <w:rPr>
          <w:kern w:val="0"/>
        </w:rPr>
        <w:t xml:space="preserve"> the </w:t>
      </w:r>
      <w:r w:rsidRPr="00CB0D27">
        <w:rPr>
          <w:kern w:val="0"/>
        </w:rPr>
        <w:t>detriment</w:t>
      </w:r>
      <w:r w:rsidR="00427468">
        <w:rPr>
          <w:kern w:val="0"/>
        </w:rPr>
        <w:t xml:space="preserve"> of </w:t>
      </w:r>
      <w:r w:rsidRPr="00CB0D27">
        <w:rPr>
          <w:kern w:val="0"/>
        </w:rPr>
        <w:t>research into other forms</w:t>
      </w:r>
      <w:r w:rsidR="00427468">
        <w:rPr>
          <w:kern w:val="0"/>
        </w:rPr>
        <w:t xml:space="preserve"> of </w:t>
      </w:r>
      <w:r w:rsidRPr="00CB0D27">
        <w:rPr>
          <w:kern w:val="0"/>
        </w:rPr>
        <w:t>malignancy</w:t>
      </w:r>
      <w:r w:rsidR="00A37C1D">
        <w:rPr>
          <w:kern w:val="0"/>
        </w:rPr>
        <w:t>. The</w:t>
      </w:r>
      <w:r w:rsidR="003A1917">
        <w:rPr>
          <w:kern w:val="0"/>
        </w:rPr>
        <w:t xml:space="preserve"> </w:t>
      </w:r>
      <w:r w:rsidRPr="00CB0D27">
        <w:rPr>
          <w:kern w:val="0"/>
        </w:rPr>
        <w:t>aims</w:t>
      </w:r>
      <w:r w:rsidR="00427468">
        <w:rPr>
          <w:kern w:val="0"/>
        </w:rPr>
        <w:t xml:space="preserve"> of </w:t>
      </w:r>
      <w:r w:rsidRPr="00CB0D27">
        <w:rPr>
          <w:kern w:val="0"/>
        </w:rPr>
        <w:t>this study were to further investigate</w:t>
      </w:r>
      <w:r w:rsidR="003A1917">
        <w:rPr>
          <w:kern w:val="0"/>
        </w:rPr>
        <w:t xml:space="preserve"> the </w:t>
      </w:r>
      <w:r w:rsidRPr="00CB0D27">
        <w:rPr>
          <w:kern w:val="0"/>
        </w:rPr>
        <w:t>relationship between malignancy</w:t>
      </w:r>
      <w:r w:rsidR="005853A9">
        <w:rPr>
          <w:kern w:val="0"/>
        </w:rPr>
        <w:t xml:space="preserve"> and </w:t>
      </w:r>
      <w:r w:rsidRPr="00CB0D27">
        <w:rPr>
          <w:kern w:val="0"/>
        </w:rPr>
        <w:t>research, in order to better quantify</w:t>
      </w:r>
      <w:r w:rsidR="003A1917">
        <w:rPr>
          <w:kern w:val="0"/>
        </w:rPr>
        <w:t xml:space="preserve"> the </w:t>
      </w:r>
      <w:r w:rsidRPr="00CB0D27">
        <w:rPr>
          <w:kern w:val="0"/>
        </w:rPr>
        <w:t>degree to which breast cancer is being over- or under-represented in</w:t>
      </w:r>
      <w:r w:rsidR="003A1917">
        <w:rPr>
          <w:kern w:val="0"/>
        </w:rPr>
        <w:t xml:space="preserve"> the </w:t>
      </w:r>
      <w:r w:rsidRPr="00CB0D27">
        <w:rPr>
          <w:kern w:val="0"/>
        </w:rPr>
        <w:t>research world.</w:t>
      </w:r>
      <w:r>
        <w:rPr>
          <w:rFonts w:hint="eastAsia"/>
          <w:kern w:val="0"/>
        </w:rPr>
        <w:t xml:space="preserve"> </w:t>
      </w:r>
      <w:r w:rsidRPr="00CB0D27">
        <w:rPr>
          <w:kern w:val="0"/>
        </w:rPr>
        <w:t>Methods: Bibliometrics is</w:t>
      </w:r>
      <w:r w:rsidR="003A1917">
        <w:rPr>
          <w:kern w:val="0"/>
        </w:rPr>
        <w:t xml:space="preserve"> the </w:t>
      </w:r>
      <w:r w:rsidRPr="00CB0D27">
        <w:rPr>
          <w:kern w:val="0"/>
        </w:rPr>
        <w:t>science</w:t>
      </w:r>
      <w:r w:rsidR="00427468">
        <w:rPr>
          <w:kern w:val="0"/>
        </w:rPr>
        <w:t xml:space="preserve"> of </w:t>
      </w:r>
      <w:r w:rsidRPr="00CB0D27">
        <w:rPr>
          <w:kern w:val="0"/>
        </w:rPr>
        <w:t>studying written communication by systematic measurement</w:t>
      </w:r>
      <w:r w:rsidR="005853A9">
        <w:rPr>
          <w:kern w:val="0"/>
        </w:rPr>
        <w:t xml:space="preserve"> and </w:t>
      </w:r>
      <w:r w:rsidRPr="00CB0D27">
        <w:rPr>
          <w:kern w:val="0"/>
        </w:rPr>
        <w:t>analysis</w:t>
      </w:r>
      <w:r w:rsidR="00427468">
        <w:rPr>
          <w:kern w:val="0"/>
        </w:rPr>
        <w:t xml:space="preserve"> of </w:t>
      </w:r>
      <w:r w:rsidRPr="00CB0D27">
        <w:rPr>
          <w:kern w:val="0"/>
        </w:rPr>
        <w:t>research publications. In this study, we examined research output over a one-year period for</w:t>
      </w:r>
      <w:r w:rsidR="003A1917">
        <w:rPr>
          <w:kern w:val="0"/>
        </w:rPr>
        <w:t xml:space="preserve"> the </w:t>
      </w:r>
      <w:r w:rsidRPr="00CB0D27">
        <w:rPr>
          <w:kern w:val="0"/>
        </w:rPr>
        <w:t>26 most commonly diagnosed cancers in</w:t>
      </w:r>
      <w:r w:rsidR="003A1917">
        <w:rPr>
          <w:kern w:val="0"/>
        </w:rPr>
        <w:t xml:space="preserve"> the </w:t>
      </w:r>
      <w:r w:rsidRPr="00CB0D27">
        <w:rPr>
          <w:kern w:val="0"/>
        </w:rPr>
        <w:t>UK. Our strategy was based on that employed by a group in Edinburgh in 2001,</w:t>
      </w:r>
      <w:r w:rsidR="005853A9">
        <w:rPr>
          <w:kern w:val="0"/>
        </w:rPr>
        <w:t xml:space="preserve"> and </w:t>
      </w:r>
      <w:r w:rsidRPr="00CB0D27">
        <w:rPr>
          <w:kern w:val="0"/>
        </w:rPr>
        <w:t>involved correlating research output with incidence</w:t>
      </w:r>
      <w:r w:rsidR="005853A9">
        <w:rPr>
          <w:kern w:val="0"/>
        </w:rPr>
        <w:t xml:space="preserve"> and </w:t>
      </w:r>
      <w:r w:rsidRPr="00CB0D27">
        <w:rPr>
          <w:kern w:val="0"/>
        </w:rPr>
        <w:t>mortality statistics. In addition, we sought to elucidate changes in research output over time</w:t>
      </w:r>
      <w:r w:rsidR="005853A9">
        <w:rPr>
          <w:kern w:val="0"/>
        </w:rPr>
        <w:t xml:space="preserve"> and </w:t>
      </w:r>
      <w:r w:rsidRPr="00CB0D27">
        <w:rPr>
          <w:kern w:val="0"/>
        </w:rPr>
        <w:t>then to correlate these changes with improvements in survival</w:t>
      </w:r>
      <w:r w:rsidR="00A37C1D">
        <w:rPr>
          <w:kern w:val="0"/>
        </w:rPr>
        <w:t>. The</w:t>
      </w:r>
      <w:r w:rsidR="003A1917">
        <w:rPr>
          <w:kern w:val="0"/>
        </w:rPr>
        <w:t xml:space="preserve"> </w:t>
      </w:r>
      <w:r w:rsidRPr="00CB0D27">
        <w:rPr>
          <w:kern w:val="0"/>
        </w:rPr>
        <w:t>survival data used was that published by Coleman et al in 2004,</w:t>
      </w:r>
      <w:r w:rsidR="005853A9">
        <w:rPr>
          <w:kern w:val="0"/>
        </w:rPr>
        <w:t xml:space="preserve"> and </w:t>
      </w:r>
      <w:r w:rsidRPr="00CB0D27">
        <w:rPr>
          <w:kern w:val="0"/>
        </w:rPr>
        <w:t>represents changes in survival over 5 year periods between 1986</w:t>
      </w:r>
      <w:r w:rsidR="005853A9">
        <w:rPr>
          <w:kern w:val="0"/>
        </w:rPr>
        <w:t xml:space="preserve"> and </w:t>
      </w:r>
      <w:r w:rsidRPr="00CB0D27">
        <w:rPr>
          <w:kern w:val="0"/>
        </w:rPr>
        <w:t>1999 in England</w:t>
      </w:r>
      <w:r w:rsidR="005853A9">
        <w:rPr>
          <w:kern w:val="0"/>
        </w:rPr>
        <w:t xml:space="preserve"> and </w:t>
      </w:r>
      <w:r w:rsidRPr="00CB0D27">
        <w:rPr>
          <w:kern w:val="0"/>
        </w:rPr>
        <w:t>Wales.</w:t>
      </w:r>
      <w:r>
        <w:rPr>
          <w:rFonts w:hint="eastAsia"/>
          <w:kern w:val="0"/>
        </w:rPr>
        <w:t xml:space="preserve"> </w:t>
      </w:r>
      <w:r w:rsidRPr="00CB0D27">
        <w:rPr>
          <w:kern w:val="0"/>
        </w:rPr>
        <w:t>Results: A total</w:t>
      </w:r>
      <w:r w:rsidR="00427468">
        <w:rPr>
          <w:kern w:val="0"/>
        </w:rPr>
        <w:t xml:space="preserve"> of </w:t>
      </w:r>
      <w:r w:rsidRPr="00CB0D27">
        <w:rPr>
          <w:kern w:val="0"/>
        </w:rPr>
        <w:t>73,798 publications were included in this study. Breast cancer received more research attention than any other malignancy in</w:t>
      </w:r>
      <w:r w:rsidR="003A1917">
        <w:rPr>
          <w:kern w:val="0"/>
        </w:rPr>
        <w:t xml:space="preserve"> the </w:t>
      </w:r>
      <w:r w:rsidRPr="00CB0D27">
        <w:rPr>
          <w:kern w:val="0"/>
        </w:rPr>
        <w:t>time period</w:t>
      </w:r>
      <w:r w:rsidR="00427468">
        <w:rPr>
          <w:kern w:val="0"/>
        </w:rPr>
        <w:t xml:space="preserve"> of </w:t>
      </w:r>
      <w:r w:rsidRPr="00CB0D27">
        <w:rPr>
          <w:kern w:val="0"/>
        </w:rPr>
        <w:t>this study. Proportional to its incidence</w:t>
      </w:r>
      <w:r w:rsidR="005853A9">
        <w:rPr>
          <w:kern w:val="0"/>
        </w:rPr>
        <w:t xml:space="preserve"> and </w:t>
      </w:r>
      <w:r w:rsidRPr="00CB0D27">
        <w:rPr>
          <w:kern w:val="0"/>
        </w:rPr>
        <w:t>associated mortality, however, breast cancer was markedly underrepresented. This relationship was consistent across publication</w:t>
      </w:r>
      <w:r w:rsidR="005853A9">
        <w:rPr>
          <w:kern w:val="0"/>
        </w:rPr>
        <w:t xml:space="preserve"> and </w:t>
      </w:r>
      <w:r w:rsidRPr="00CB0D27">
        <w:rPr>
          <w:kern w:val="0"/>
        </w:rPr>
        <w:lastRenderedPageBreak/>
        <w:t>study types,</w:t>
      </w:r>
      <w:r w:rsidR="005853A9">
        <w:rPr>
          <w:kern w:val="0"/>
        </w:rPr>
        <w:t xml:space="preserve"> and </w:t>
      </w:r>
      <w:r w:rsidRPr="00CB0D27">
        <w:rPr>
          <w:kern w:val="0"/>
        </w:rPr>
        <w:t>in</w:t>
      </w:r>
      <w:r w:rsidR="003A1917">
        <w:rPr>
          <w:kern w:val="0"/>
        </w:rPr>
        <w:t xml:space="preserve"> the </w:t>
      </w:r>
      <w:r w:rsidRPr="00CB0D27">
        <w:rPr>
          <w:kern w:val="0"/>
        </w:rPr>
        <w:t>higher impact journals</w:t>
      </w:r>
      <w:r w:rsidR="00A37C1D">
        <w:rPr>
          <w:kern w:val="0"/>
        </w:rPr>
        <w:t>. The</w:t>
      </w:r>
      <w:r w:rsidRPr="00CB0D27">
        <w:rPr>
          <w:kern w:val="0"/>
        </w:rPr>
        <w:t>re was a strong positive correlation between improvement in 5-year survival</w:t>
      </w:r>
      <w:r w:rsidR="005853A9">
        <w:rPr>
          <w:kern w:val="0"/>
        </w:rPr>
        <w:t xml:space="preserve"> and </w:t>
      </w:r>
      <w:r w:rsidRPr="00CB0D27">
        <w:rPr>
          <w:kern w:val="0"/>
        </w:rPr>
        <w:t>research output (p = 0.003). Those malignancies enjoying</w:t>
      </w:r>
      <w:r w:rsidR="003A1917">
        <w:rPr>
          <w:kern w:val="0"/>
        </w:rPr>
        <w:t xml:space="preserve"> the </w:t>
      </w:r>
      <w:r w:rsidRPr="00CB0D27">
        <w:rPr>
          <w:kern w:val="0"/>
        </w:rPr>
        <w:t>greatest increases in output included those involving</w:t>
      </w:r>
      <w:r w:rsidR="003A1917">
        <w:rPr>
          <w:kern w:val="0"/>
        </w:rPr>
        <w:t xml:space="preserve"> the </w:t>
      </w:r>
      <w:r w:rsidRPr="00CB0D27">
        <w:rPr>
          <w:kern w:val="0"/>
        </w:rPr>
        <w:t>prostate, non-hodgkins lymphoma, breast</w:t>
      </w:r>
      <w:r w:rsidR="005853A9">
        <w:rPr>
          <w:kern w:val="0"/>
        </w:rPr>
        <w:t xml:space="preserve"> and </w:t>
      </w:r>
      <w:r w:rsidRPr="00CB0D27">
        <w:rPr>
          <w:kern w:val="0"/>
        </w:rPr>
        <w:t>vaginal cancer.</w:t>
      </w:r>
      <w:r>
        <w:rPr>
          <w:rFonts w:hint="eastAsia"/>
          <w:kern w:val="0"/>
        </w:rPr>
        <w:t xml:space="preserve"> </w:t>
      </w:r>
      <w:r w:rsidRPr="00CB0D27">
        <w:rPr>
          <w:kern w:val="0"/>
        </w:rPr>
        <w:t>Conclusions: This study was intended to provide a snapshot-in-time</w:t>
      </w:r>
      <w:r w:rsidR="00427468">
        <w:rPr>
          <w:kern w:val="0"/>
        </w:rPr>
        <w:t xml:space="preserve"> of </w:t>
      </w:r>
      <w:r w:rsidRPr="00CB0D27">
        <w:rPr>
          <w:kern w:val="0"/>
        </w:rPr>
        <w:t>research output in malignancy. It has shown that, on</w:t>
      </w:r>
      <w:r w:rsidR="003A1917">
        <w:rPr>
          <w:kern w:val="0"/>
        </w:rPr>
        <w:t xml:space="preserve"> the </w:t>
      </w:r>
      <w:r w:rsidRPr="00CB0D27">
        <w:rPr>
          <w:kern w:val="0"/>
        </w:rPr>
        <w:t>basis</w:t>
      </w:r>
      <w:r w:rsidR="00427468">
        <w:rPr>
          <w:kern w:val="0"/>
        </w:rPr>
        <w:t xml:space="preserve"> of </w:t>
      </w:r>
      <w:r w:rsidRPr="00CB0D27">
        <w:rPr>
          <w:kern w:val="0"/>
        </w:rPr>
        <w:t>both incidence</w:t>
      </w:r>
      <w:r w:rsidR="005853A9">
        <w:rPr>
          <w:kern w:val="0"/>
        </w:rPr>
        <w:t xml:space="preserve"> and </w:t>
      </w:r>
      <w:r w:rsidRPr="00CB0D27">
        <w:rPr>
          <w:kern w:val="0"/>
        </w:rPr>
        <w:t>mortality, breast cancer is not receiving disproportionate attention by</w:t>
      </w:r>
      <w:r w:rsidR="003A1917">
        <w:rPr>
          <w:kern w:val="0"/>
        </w:rPr>
        <w:t xml:space="preserve"> the </w:t>
      </w:r>
      <w:r w:rsidRPr="00CB0D27">
        <w:rPr>
          <w:kern w:val="0"/>
        </w:rPr>
        <w:t>research community, contrary to popular opinion. Whilst</w:t>
      </w:r>
      <w:r w:rsidR="003A1917">
        <w:rPr>
          <w:kern w:val="0"/>
        </w:rPr>
        <w:t xml:space="preserve"> the </w:t>
      </w:r>
      <w:r w:rsidRPr="00CB0D27">
        <w:rPr>
          <w:kern w:val="0"/>
        </w:rPr>
        <w:t>absolute figures clearly reflect</w:t>
      </w:r>
      <w:r w:rsidR="003A1917">
        <w:rPr>
          <w:kern w:val="0"/>
        </w:rPr>
        <w:t xml:space="preserve"> the </w:t>
      </w:r>
      <w:r w:rsidRPr="00CB0D27">
        <w:rPr>
          <w:kern w:val="0"/>
        </w:rPr>
        <w:t>success</w:t>
      </w:r>
      <w:r w:rsidR="00427468">
        <w:rPr>
          <w:kern w:val="0"/>
        </w:rPr>
        <w:t xml:space="preserve"> of </w:t>
      </w:r>
      <w:r w:rsidR="003A1917">
        <w:rPr>
          <w:kern w:val="0"/>
        </w:rPr>
        <w:t xml:space="preserve">the </w:t>
      </w:r>
      <w:r w:rsidRPr="00CB0D27">
        <w:rPr>
          <w:kern w:val="0"/>
        </w:rPr>
        <w:t>breast cancer advocacy community in raising</w:t>
      </w:r>
      <w:r w:rsidR="005853A9">
        <w:rPr>
          <w:kern w:val="0"/>
        </w:rPr>
        <w:t xml:space="preserve"> and </w:t>
      </w:r>
      <w:r w:rsidRPr="00CB0D27">
        <w:rPr>
          <w:kern w:val="0"/>
        </w:rPr>
        <w:t>maintaining</w:t>
      </w:r>
      <w:r w:rsidR="003A1917">
        <w:rPr>
          <w:kern w:val="0"/>
        </w:rPr>
        <w:t xml:space="preserve"> the </w:t>
      </w:r>
      <w:r w:rsidRPr="00CB0D27">
        <w:rPr>
          <w:kern w:val="0"/>
        </w:rPr>
        <w:t>profile</w:t>
      </w:r>
      <w:r w:rsidR="00427468">
        <w:rPr>
          <w:kern w:val="0"/>
        </w:rPr>
        <w:t xml:space="preserve"> of </w:t>
      </w:r>
      <w:r w:rsidR="003A1917">
        <w:rPr>
          <w:kern w:val="0"/>
        </w:rPr>
        <w:t xml:space="preserve">the </w:t>
      </w:r>
      <w:r w:rsidRPr="00CB0D27">
        <w:rPr>
          <w:kern w:val="0"/>
        </w:rPr>
        <w:t>disease,</w:t>
      </w:r>
      <w:r w:rsidR="003A1917">
        <w:rPr>
          <w:kern w:val="0"/>
        </w:rPr>
        <w:t xml:space="preserve"> the </w:t>
      </w:r>
      <w:r w:rsidRPr="00CB0D27">
        <w:rPr>
          <w:kern w:val="0"/>
        </w:rPr>
        <w:t>evidence suggests that, if anything, breast cancer is not receiving</w:t>
      </w:r>
      <w:r w:rsidR="003A1917">
        <w:rPr>
          <w:kern w:val="0"/>
        </w:rPr>
        <w:t xml:space="preserve"> the </w:t>
      </w:r>
      <w:r w:rsidRPr="00CB0D27">
        <w:rPr>
          <w:kern w:val="0"/>
        </w:rPr>
        <w:t>interest it deserves, based on its burden to society.</w:t>
      </w:r>
    </w:p>
    <w:p w:rsidR="007F2DC1" w:rsidRDefault="007F2DC1" w:rsidP="007F2DC1">
      <w:pPr>
        <w:pStyle w:val="a3"/>
        <w:rPr>
          <w:kern w:val="0"/>
        </w:rPr>
      </w:pPr>
      <w:r>
        <w:rPr>
          <w:kern w:val="0"/>
        </w:rPr>
        <w:t>Keywords: Bibliometric</w:t>
      </w:r>
      <w:r>
        <w:rPr>
          <w:rFonts w:hint="eastAsia"/>
          <w:kern w:val="0"/>
        </w:rPr>
        <w:t xml:space="preserve">, </w:t>
      </w:r>
      <w:r>
        <w:rPr>
          <w:kern w:val="0"/>
        </w:rPr>
        <w:t>Research</w:t>
      </w:r>
    </w:p>
    <w:p w:rsidR="00121576" w:rsidRPr="00C73C58" w:rsidRDefault="00121576" w:rsidP="00121576">
      <w:pPr>
        <w:pStyle w:val="1"/>
      </w:pPr>
      <w:r w:rsidRPr="00C73C58">
        <w:br w:type="page"/>
      </w:r>
      <w:bookmarkStart w:id="88" w:name="_Toc420814908"/>
      <w:r w:rsidRPr="00C73C58">
        <w:lastRenderedPageBreak/>
        <w:t xml:space="preserve">Title: </w:t>
      </w:r>
      <w:r w:rsidRPr="00121576">
        <w:t>Cancer Science</w:t>
      </w:r>
      <w:bookmarkEnd w:id="88"/>
    </w:p>
    <w:p w:rsidR="00121576" w:rsidRPr="00C73C58" w:rsidRDefault="00121576" w:rsidP="00121576">
      <w:pPr>
        <w:pStyle w:val="12"/>
      </w:pPr>
      <w:r w:rsidRPr="00C73C58">
        <w:t xml:space="preserve">Full Journal Title: </w:t>
      </w:r>
      <w:r w:rsidRPr="00121576">
        <w:rPr>
          <w:iCs/>
          <w:kern w:val="0"/>
        </w:rPr>
        <w:t>Cancer Science</w:t>
      </w:r>
    </w:p>
    <w:p w:rsidR="00121576" w:rsidRPr="00C73C58" w:rsidRDefault="00121576" w:rsidP="00121576">
      <w:pPr>
        <w:pStyle w:val="12"/>
      </w:pPr>
      <w:r w:rsidRPr="00C73C58">
        <w:t xml:space="preserve">ISO Abbreviated Title: </w:t>
      </w:r>
    </w:p>
    <w:p w:rsidR="00121576" w:rsidRPr="00C73C58" w:rsidRDefault="00121576" w:rsidP="00121576">
      <w:pPr>
        <w:pStyle w:val="12"/>
      </w:pPr>
      <w:r w:rsidRPr="00C73C58">
        <w:t xml:space="preserve">JCR Abbreviated Title: </w:t>
      </w:r>
    </w:p>
    <w:p w:rsidR="00121576" w:rsidRPr="00C73C58" w:rsidRDefault="00121576" w:rsidP="00121576">
      <w:pPr>
        <w:pStyle w:val="12"/>
      </w:pPr>
      <w:r w:rsidRPr="00C73C58">
        <w:t xml:space="preserve">ISSN: </w:t>
      </w:r>
    </w:p>
    <w:p w:rsidR="00121576" w:rsidRPr="00C73C58" w:rsidRDefault="00121576" w:rsidP="00121576">
      <w:pPr>
        <w:pStyle w:val="12"/>
      </w:pPr>
      <w:r w:rsidRPr="00C73C58">
        <w:t xml:space="preserve">Issues/Year: </w:t>
      </w:r>
    </w:p>
    <w:p w:rsidR="00121576" w:rsidRPr="00C73C58" w:rsidRDefault="00121576" w:rsidP="00121576">
      <w:pPr>
        <w:pStyle w:val="12"/>
      </w:pPr>
      <w:r w:rsidRPr="00C73C58">
        <w:t xml:space="preserve">Journal Country/Territory: </w:t>
      </w:r>
    </w:p>
    <w:p w:rsidR="00121576" w:rsidRPr="00C73C58" w:rsidRDefault="00121576" w:rsidP="00121576">
      <w:pPr>
        <w:pStyle w:val="12"/>
      </w:pPr>
      <w:r w:rsidRPr="00C73C58">
        <w:t xml:space="preserve">Language: </w:t>
      </w:r>
    </w:p>
    <w:p w:rsidR="00121576" w:rsidRPr="00C73C58" w:rsidRDefault="00121576" w:rsidP="00121576">
      <w:pPr>
        <w:pStyle w:val="12"/>
      </w:pPr>
      <w:r w:rsidRPr="00C73C58">
        <w:t xml:space="preserve">Publisher: </w:t>
      </w:r>
    </w:p>
    <w:p w:rsidR="00121576" w:rsidRPr="00C73C58" w:rsidRDefault="00121576" w:rsidP="00121576">
      <w:pPr>
        <w:pStyle w:val="12"/>
      </w:pPr>
      <w:r w:rsidRPr="00C73C58">
        <w:t xml:space="preserve">Publisher Address: </w:t>
      </w:r>
    </w:p>
    <w:p w:rsidR="00121576" w:rsidRPr="00C73C58" w:rsidRDefault="00121576" w:rsidP="00121576">
      <w:pPr>
        <w:pStyle w:val="12"/>
      </w:pPr>
      <w:r w:rsidRPr="00C73C58">
        <w:t xml:space="preserve">Subject Categories: </w:t>
      </w:r>
    </w:p>
    <w:p w:rsidR="00121576" w:rsidRPr="00C73C58" w:rsidRDefault="00121576" w:rsidP="00121576">
      <w:pPr>
        <w:pStyle w:val="12"/>
      </w:pPr>
      <w:r w:rsidRPr="00C73C58">
        <w:t xml:space="preserve">: Impact Factor </w:t>
      </w:r>
    </w:p>
    <w:p w:rsidR="00121576" w:rsidRDefault="00121576" w:rsidP="00121576">
      <w:pPr>
        <w:pStyle w:val="a3"/>
        <w:rPr>
          <w:kern w:val="0"/>
        </w:rPr>
      </w:pPr>
      <w:r>
        <w:rPr>
          <w:rFonts w:hint="eastAsia"/>
          <w:kern w:val="0"/>
        </w:rPr>
        <w:t xml:space="preserve">? </w:t>
      </w:r>
      <w:r>
        <w:rPr>
          <w:kern w:val="0"/>
        </w:rPr>
        <w:t xml:space="preserve">Wu, Q.J., Yang, Y., Wang, J., Han, L.H. and Xiang, Y.B. (2013), Cruciferous vegetable consumption and gastric cancer risk: A meta-analysis of epidemiological studies. </w:t>
      </w:r>
      <w:r w:rsidRPr="00121576">
        <w:rPr>
          <w:i/>
          <w:iCs/>
          <w:kern w:val="0"/>
        </w:rPr>
        <w:t>Cancer Science</w:t>
      </w:r>
      <w:r>
        <w:rPr>
          <w:kern w:val="0"/>
        </w:rPr>
        <w:t xml:space="preserve">, </w:t>
      </w:r>
      <w:r>
        <w:rPr>
          <w:b/>
          <w:bCs/>
          <w:kern w:val="0"/>
        </w:rPr>
        <w:t>104</w:t>
      </w:r>
      <w:r>
        <w:rPr>
          <w:kern w:val="0"/>
        </w:rPr>
        <w:t xml:space="preserve"> (8), 1067-1073.</w:t>
      </w:r>
    </w:p>
    <w:p w:rsidR="00121576" w:rsidRDefault="00121576" w:rsidP="00121576">
      <w:pPr>
        <w:pStyle w:val="a3"/>
        <w:rPr>
          <w:kern w:val="0"/>
        </w:rPr>
      </w:pPr>
      <w:r>
        <w:rPr>
          <w:rFonts w:hint="eastAsia"/>
          <w:kern w:val="0"/>
        </w:rPr>
        <w:t xml:space="preserve">Full Text: </w:t>
      </w:r>
      <w:hyperlink r:id="rId128" w:history="1">
        <w:r w:rsidRPr="00121576">
          <w:rPr>
            <w:rStyle w:val="a5"/>
            <w:kern w:val="0"/>
          </w:rPr>
          <w:t>2013\Can Sci104, 1067.pdf</w:t>
        </w:r>
      </w:hyperlink>
    </w:p>
    <w:p w:rsidR="00121576" w:rsidRDefault="00121576" w:rsidP="00121576">
      <w:pPr>
        <w:pStyle w:val="a3"/>
        <w:rPr>
          <w:kern w:val="0"/>
        </w:rPr>
      </w:pPr>
      <w:r>
        <w:rPr>
          <w:kern w:val="0"/>
        </w:rPr>
        <w:t>Abstract: The relationship between consumption of cruciferous vegetables (CV) and risk of gastric cancer has been investigated by many studies, but remains controversial. We carried out a meta-analysis to summarize available evidence from epidemiological studies on this point. Relevant published reports of CV intake and gastric cancer were identified using MEDLINE (PubMed), EMBASE, and Web of Science databases through to the end of September 2012. We pooled the relative risk from individual studies using a fixed-or random-effects model and carried out heterogeneity and publication bias analyses. Sixteen case-control and six prospective studies were included in our analysis. When all studies were pooled, we yielded a significantly inverse association between CV (relative risk = 0.81; 95% confidence interval, 0.75-0.88) intake and gastric cancer risk, with little heterogeneity (Q = 27.27, P = 0.292, I-2 = 12.0%). Specific analysis for cabbage intake yielded similar result. When separately analyzed, case-control studies of CV intake yielded significant results and the results of prospective studies showed borderline statistical significance. Moreover, significant results were consistent for high-quality studies, for North American, European, and Asian studies, for studies on males, and for studies on non-cardia gastric cancer. Findings from this meta-analysis provide evidence that high intake of CV was inversely associated with the risk of gastric cancer and non-cardia gastric cancer in humans. Further studies on other specific CV, food preparation methods, and stratified results by anatomic cancer site and histological type should be extended in the future.</w:t>
      </w:r>
    </w:p>
    <w:p w:rsidR="00121576" w:rsidRDefault="00121576" w:rsidP="00121576">
      <w:pPr>
        <w:pStyle w:val="a3"/>
        <w:rPr>
          <w:kern w:val="0"/>
        </w:rPr>
      </w:pPr>
      <w:r>
        <w:rPr>
          <w:kern w:val="0"/>
        </w:rPr>
        <w:lastRenderedPageBreak/>
        <w:t>Keywords: Ags Cells, Analyses, Analysis, Asian, Association, Bias, Borderline, Cancer, Cancer Risk, Case-Control, Case-Control Studies, Cohort, Confidence, Consumption, Databases, Dietary Factors, Diffuse Types, Embase, Evidence, Food, Gastric, Gastric Cancer, Helicobacter-Pylori Infection, Heterogeneity, Humans, Inhibits Migration, Interval, Medline, Meta Analysis, Meta-Analysis, Metaanalysis, Methods, Model, Multicenter Case-Control, North, P, Preparation, Prospective, Prospective Studies, Publication, Publication Bias, Pubmed, Random Effects Model, Relative Risk, Risk, Science, Signal Pathways, Significance, Site, Stomach-Cancer, United-States, Vegetables, Web Of Science, Web Of Science Databases</w:t>
      </w:r>
    </w:p>
    <w:p w:rsidR="00C51252" w:rsidRPr="00C73C58" w:rsidRDefault="00C51252" w:rsidP="00C51252">
      <w:pPr>
        <w:pStyle w:val="1"/>
      </w:pPr>
      <w:r w:rsidRPr="00C73C58">
        <w:br w:type="page"/>
      </w:r>
      <w:bookmarkStart w:id="89" w:name="_Toc420814909"/>
      <w:r w:rsidRPr="00C73C58">
        <w:lastRenderedPageBreak/>
        <w:t>Title: Cancer Treatment Reports</w:t>
      </w:r>
      <w:bookmarkEnd w:id="89"/>
    </w:p>
    <w:p w:rsidR="00C51252" w:rsidRPr="00C73C58" w:rsidRDefault="00C51252" w:rsidP="00C51252">
      <w:pPr>
        <w:pStyle w:val="12"/>
      </w:pPr>
      <w:r w:rsidRPr="00C73C58">
        <w:t>Full Journal T</w:t>
      </w:r>
      <w:bookmarkStart w:id="90" w:name="_Toc314727163"/>
      <w:r w:rsidRPr="00C73C58">
        <w:t>itle: Cancer Treatment Reports</w:t>
      </w:r>
    </w:p>
    <w:bookmarkEnd w:id="90"/>
    <w:p w:rsidR="00C51252" w:rsidRPr="00C73C58" w:rsidRDefault="00C51252" w:rsidP="00C51252">
      <w:pPr>
        <w:pStyle w:val="12"/>
      </w:pPr>
      <w:r w:rsidRPr="00C73C58">
        <w:t xml:space="preserve">ISO Abbreviated Title: </w:t>
      </w:r>
    </w:p>
    <w:p w:rsidR="00C51252" w:rsidRPr="00C73C58" w:rsidRDefault="00C51252" w:rsidP="00C51252">
      <w:pPr>
        <w:pStyle w:val="12"/>
      </w:pPr>
      <w:r w:rsidRPr="00C73C58">
        <w:t xml:space="preserve">JCR Abbreviated Title: </w:t>
      </w:r>
    </w:p>
    <w:p w:rsidR="00C51252" w:rsidRPr="00C73C58" w:rsidRDefault="00C51252" w:rsidP="00C51252">
      <w:pPr>
        <w:pStyle w:val="12"/>
      </w:pPr>
      <w:r w:rsidRPr="00C73C58">
        <w:t xml:space="preserve">ISSN: </w:t>
      </w:r>
    </w:p>
    <w:p w:rsidR="00C51252" w:rsidRPr="00C73C58" w:rsidRDefault="00C51252" w:rsidP="00C51252">
      <w:pPr>
        <w:pStyle w:val="12"/>
      </w:pPr>
      <w:r w:rsidRPr="00C73C58">
        <w:t xml:space="preserve">Issues/Year: </w:t>
      </w:r>
    </w:p>
    <w:p w:rsidR="00C51252" w:rsidRPr="00C73C58" w:rsidRDefault="00C51252" w:rsidP="00C51252">
      <w:pPr>
        <w:pStyle w:val="12"/>
      </w:pPr>
      <w:r w:rsidRPr="00C73C58">
        <w:t xml:space="preserve">Journal Country/Territory: </w:t>
      </w:r>
    </w:p>
    <w:p w:rsidR="00C51252" w:rsidRPr="00C73C58" w:rsidRDefault="00C51252" w:rsidP="00C51252">
      <w:pPr>
        <w:pStyle w:val="12"/>
      </w:pPr>
      <w:r w:rsidRPr="00C73C58">
        <w:t xml:space="preserve">Language: </w:t>
      </w:r>
    </w:p>
    <w:p w:rsidR="00C51252" w:rsidRPr="00C73C58" w:rsidRDefault="00C51252" w:rsidP="00C51252">
      <w:pPr>
        <w:pStyle w:val="12"/>
      </w:pPr>
      <w:r w:rsidRPr="00C73C58">
        <w:t xml:space="preserve">Publisher: </w:t>
      </w:r>
    </w:p>
    <w:p w:rsidR="00C51252" w:rsidRPr="00C73C58" w:rsidRDefault="00C51252" w:rsidP="00C51252">
      <w:pPr>
        <w:pStyle w:val="12"/>
      </w:pPr>
      <w:r w:rsidRPr="00C73C58">
        <w:t xml:space="preserve">Publisher Address: </w:t>
      </w:r>
    </w:p>
    <w:p w:rsidR="00C51252" w:rsidRPr="00C73C58" w:rsidRDefault="00C51252" w:rsidP="00C51252">
      <w:pPr>
        <w:pStyle w:val="12"/>
      </w:pPr>
      <w:r w:rsidRPr="00C73C58">
        <w:t xml:space="preserve">Subject Categories: </w:t>
      </w:r>
    </w:p>
    <w:p w:rsidR="00C51252" w:rsidRPr="00C73C58" w:rsidRDefault="00C51252" w:rsidP="00C51252">
      <w:pPr>
        <w:pStyle w:val="12"/>
      </w:pPr>
      <w:r w:rsidRPr="00C73C58">
        <w:t xml:space="preserve">: Impact Factor </w:t>
      </w:r>
    </w:p>
    <w:p w:rsidR="00C51252" w:rsidRDefault="00C51252" w:rsidP="00C51252">
      <w:pPr>
        <w:pStyle w:val="a3"/>
        <w:rPr>
          <w:kern w:val="0"/>
        </w:rPr>
      </w:pPr>
      <w:r>
        <w:rPr>
          <w:rFonts w:hint="eastAsia"/>
          <w:kern w:val="0"/>
        </w:rPr>
        <w:t xml:space="preserve">? </w:t>
      </w:r>
      <w:r>
        <w:rPr>
          <w:kern w:val="0"/>
        </w:rPr>
        <w:t>Sloane, E.M., Baum, J.G., Hubbard, S.M.</w:t>
      </w:r>
      <w:r w:rsidR="005853A9">
        <w:rPr>
          <w:kern w:val="0"/>
        </w:rPr>
        <w:t xml:space="preserve"> and </w:t>
      </w:r>
      <w:r>
        <w:rPr>
          <w:kern w:val="0"/>
        </w:rPr>
        <w:t>Wittes, R.E. (1984), Cancer-treatment reports 1959-1983 - Background review</w:t>
      </w:r>
      <w:r w:rsidR="005853A9">
        <w:rPr>
          <w:kern w:val="0"/>
        </w:rPr>
        <w:t xml:space="preserve"> and </w:t>
      </w:r>
      <w:r>
        <w:rPr>
          <w:kern w:val="0"/>
        </w:rPr>
        <w:t>tabular compilation</w:t>
      </w:r>
      <w:r w:rsidR="00427468">
        <w:rPr>
          <w:kern w:val="0"/>
        </w:rPr>
        <w:t xml:space="preserve"> of </w:t>
      </w:r>
      <w:r>
        <w:rPr>
          <w:kern w:val="0"/>
        </w:rPr>
        <w:t xml:space="preserve">most cited articles. </w:t>
      </w:r>
      <w:r>
        <w:rPr>
          <w:i/>
          <w:iCs/>
          <w:kern w:val="0"/>
        </w:rPr>
        <w:t>Cancer Treatment Reports</w:t>
      </w:r>
      <w:r>
        <w:rPr>
          <w:kern w:val="0"/>
        </w:rPr>
        <w:t xml:space="preserve">, </w:t>
      </w:r>
      <w:r>
        <w:rPr>
          <w:b/>
          <w:bCs/>
          <w:kern w:val="0"/>
        </w:rPr>
        <w:t>68</w:t>
      </w:r>
      <w:r>
        <w:rPr>
          <w:kern w:val="0"/>
        </w:rPr>
        <w:t xml:space="preserve"> (1), 329-337</w:t>
      </w:r>
      <w:r>
        <w:rPr>
          <w:rFonts w:hint="eastAsia"/>
          <w:kern w:val="0"/>
        </w:rPr>
        <w:t>.</w:t>
      </w:r>
    </w:p>
    <w:p w:rsidR="00C51252" w:rsidRDefault="00C51252" w:rsidP="00C51252">
      <w:pPr>
        <w:pStyle w:val="a3"/>
        <w:rPr>
          <w:kern w:val="0"/>
        </w:rPr>
      </w:pPr>
      <w:r>
        <w:rPr>
          <w:rFonts w:hint="eastAsia"/>
          <w:kern w:val="0"/>
        </w:rPr>
        <w:t>Full Text: 1984\</w:t>
      </w:r>
      <w:r>
        <w:rPr>
          <w:iCs/>
          <w:kern w:val="0"/>
        </w:rPr>
        <w:t>Can Tre Rep</w:t>
      </w:r>
      <w:r w:rsidRPr="00FF63BF">
        <w:rPr>
          <w:bCs/>
          <w:kern w:val="0"/>
        </w:rPr>
        <w:t>68</w:t>
      </w:r>
      <w:r>
        <w:rPr>
          <w:kern w:val="0"/>
        </w:rPr>
        <w:t>, 329</w:t>
      </w:r>
      <w:r>
        <w:rPr>
          <w:rFonts w:hint="eastAsia"/>
          <w:kern w:val="0"/>
        </w:rPr>
        <w:t>.pdf</w:t>
      </w:r>
    </w:p>
    <w:p w:rsidR="00C51252" w:rsidRDefault="00C51252" w:rsidP="00C51252">
      <w:pPr>
        <w:pStyle w:val="a3"/>
        <w:rPr>
          <w:kern w:val="0"/>
        </w:rPr>
      </w:pPr>
      <w:r>
        <w:rPr>
          <w:kern w:val="0"/>
        </w:rPr>
        <w:t>Keywords: Articles</w:t>
      </w:r>
      <w:r>
        <w:rPr>
          <w:rFonts w:hint="eastAsia"/>
          <w:kern w:val="0"/>
        </w:rPr>
        <w:t xml:space="preserve">, </w:t>
      </w:r>
      <w:r>
        <w:rPr>
          <w:kern w:val="0"/>
        </w:rPr>
        <w:t>Reports</w:t>
      </w:r>
      <w:r>
        <w:rPr>
          <w:rFonts w:hint="eastAsia"/>
          <w:kern w:val="0"/>
        </w:rPr>
        <w:t xml:space="preserve">, </w:t>
      </w:r>
      <w:r>
        <w:rPr>
          <w:kern w:val="0"/>
        </w:rPr>
        <w:t>Review</w:t>
      </w:r>
    </w:p>
    <w:p w:rsidR="003474F2" w:rsidRPr="001A3D2B" w:rsidRDefault="003474F2" w:rsidP="003474F2">
      <w:pPr>
        <w:pStyle w:val="1"/>
      </w:pPr>
      <w:r w:rsidRPr="001A3D2B">
        <w:br w:type="page"/>
      </w:r>
      <w:bookmarkStart w:id="91" w:name="_Toc420814910"/>
      <w:r w:rsidRPr="001A3D2B">
        <w:lastRenderedPageBreak/>
        <w:t>Title: Cancer Treatment Reviews</w:t>
      </w:r>
      <w:bookmarkEnd w:id="91"/>
    </w:p>
    <w:p w:rsidR="003474F2" w:rsidRPr="001A3D2B" w:rsidRDefault="003474F2" w:rsidP="003474F2">
      <w:pPr>
        <w:pStyle w:val="12"/>
      </w:pPr>
      <w:r w:rsidRPr="001A3D2B">
        <w:t xml:space="preserve">Full Journal Title: </w:t>
      </w:r>
      <w:hyperlink r:id="rId129" w:history="1">
        <w:r w:rsidRPr="001A3D2B">
          <w:rPr>
            <w:rStyle w:val="a5"/>
            <w:iCs/>
          </w:rPr>
          <w:t>Cancer Treatment Reviews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Rubens, R.D.</w:t>
      </w:r>
      <w:r w:rsidR="005853A9">
        <w:t xml:space="preserve"> and </w:t>
      </w:r>
      <w:r w:rsidRPr="001A3D2B">
        <w:t>Coleman, R.E. (1999), Twenty-five years</w:t>
      </w:r>
      <w:r w:rsidR="00427468">
        <w:t xml:space="preserve"> of </w:t>
      </w:r>
      <w:r w:rsidRPr="001A3D2B">
        <w:t xml:space="preserve">reviewing cancer treatment. </w:t>
      </w:r>
      <w:r w:rsidRPr="001A3D2B">
        <w:rPr>
          <w:i/>
          <w:iCs/>
        </w:rPr>
        <w:t>Cancer Treatment Reviews</w:t>
      </w:r>
      <w:r w:rsidRPr="001A3D2B">
        <w:t xml:space="preserve">, </w:t>
      </w:r>
      <w:r w:rsidRPr="001A3D2B">
        <w:rPr>
          <w:b/>
          <w:bCs/>
        </w:rPr>
        <w:t>25</w:t>
      </w:r>
      <w:r w:rsidRPr="001A3D2B">
        <w:t xml:space="preserve"> (1), 1-2.</w:t>
      </w:r>
    </w:p>
    <w:p w:rsidR="003474F2" w:rsidRPr="001A3D2B" w:rsidRDefault="003474F2" w:rsidP="003474F2">
      <w:pPr>
        <w:pStyle w:val="a3"/>
      </w:pPr>
      <w:r w:rsidRPr="001A3D2B">
        <w:t xml:space="preserve">Full Text: </w:t>
      </w:r>
      <w:hyperlink r:id="rId130" w:history="1">
        <w:r w:rsidRPr="001A3D2B">
          <w:rPr>
            <w:rStyle w:val="a5"/>
          </w:rPr>
          <w:t>1999\Can Tre Rev25, 1.pdf</w:t>
        </w:r>
      </w:hyperlink>
    </w:p>
    <w:p w:rsidR="003474F2" w:rsidRPr="001A3D2B" w:rsidRDefault="003474F2" w:rsidP="003474F2">
      <w:pPr>
        <w:pStyle w:val="a3"/>
      </w:pPr>
      <w:r w:rsidRPr="001A3D2B">
        <w:t>Keywords: Cancer, Treatment</w:t>
      </w:r>
    </w:p>
    <w:p w:rsidR="00E84364" w:rsidRPr="001A3D2B" w:rsidRDefault="00E84364" w:rsidP="00E84364">
      <w:pPr>
        <w:pStyle w:val="a3"/>
        <w:rPr>
          <w:kern w:val="0"/>
        </w:rPr>
      </w:pPr>
      <w:r w:rsidRPr="001A3D2B">
        <w:rPr>
          <w:kern w:val="0"/>
        </w:rPr>
        <w:t>? Shelley, M.D., Kumar, S., Wilt, T., Staffurth, J., Coles, B.</w:t>
      </w:r>
      <w:r w:rsidR="005853A9">
        <w:rPr>
          <w:kern w:val="0"/>
        </w:rPr>
        <w:t xml:space="preserve"> and </w:t>
      </w:r>
      <w:r w:rsidRPr="001A3D2B">
        <w:rPr>
          <w:kern w:val="0"/>
        </w:rPr>
        <w:t>Mason, M.D. (2009), A systematic review</w:t>
      </w:r>
      <w:r w:rsidR="005853A9">
        <w:rPr>
          <w:kern w:val="0"/>
        </w:rPr>
        <w:t xml:space="preserve"> and </w:t>
      </w:r>
      <w:r w:rsidRPr="001A3D2B">
        <w:rPr>
          <w:kern w:val="0"/>
        </w:rPr>
        <w:t>meta-analysis</w:t>
      </w:r>
      <w:r w:rsidR="00427468">
        <w:rPr>
          <w:kern w:val="0"/>
        </w:rPr>
        <w:t xml:space="preserve"> of </w:t>
      </w:r>
      <w:r w:rsidRPr="001A3D2B">
        <w:rPr>
          <w:kern w:val="0"/>
        </w:rPr>
        <w:t>randomised trials</w:t>
      </w:r>
      <w:r w:rsidR="00427468">
        <w:rPr>
          <w:kern w:val="0"/>
        </w:rPr>
        <w:t xml:space="preserve"> of </w:t>
      </w:r>
      <w:r w:rsidRPr="001A3D2B">
        <w:rPr>
          <w:kern w:val="0"/>
        </w:rPr>
        <w:t>neo-adjuvant hormone therapy for localised</w:t>
      </w:r>
      <w:r w:rsidR="005853A9">
        <w:rPr>
          <w:kern w:val="0"/>
        </w:rPr>
        <w:t xml:space="preserve"> and </w:t>
      </w:r>
      <w:r w:rsidRPr="001A3D2B">
        <w:rPr>
          <w:kern w:val="0"/>
        </w:rPr>
        <w:t xml:space="preserve">locally advanced prostate carcinoma. </w:t>
      </w:r>
      <w:r w:rsidRPr="001A3D2B">
        <w:rPr>
          <w:i/>
          <w:iCs/>
          <w:kern w:val="0"/>
        </w:rPr>
        <w:t>Cancer Treatment Reviews</w:t>
      </w:r>
      <w:r w:rsidRPr="001A3D2B">
        <w:rPr>
          <w:kern w:val="0"/>
        </w:rPr>
        <w:t xml:space="preserve">, </w:t>
      </w:r>
      <w:r w:rsidRPr="001A3D2B">
        <w:rPr>
          <w:b/>
          <w:bCs/>
          <w:kern w:val="0"/>
        </w:rPr>
        <w:t>35</w:t>
      </w:r>
      <w:r w:rsidRPr="001A3D2B">
        <w:rPr>
          <w:kern w:val="0"/>
        </w:rPr>
        <w:t xml:space="preserve"> (1), 9-17.</w:t>
      </w:r>
    </w:p>
    <w:p w:rsidR="0022587B" w:rsidRPr="00C73C58" w:rsidRDefault="0022587B" w:rsidP="0022587B">
      <w:pPr>
        <w:pStyle w:val="a3"/>
      </w:pPr>
      <w:r w:rsidRPr="00C73C58">
        <w:t xml:space="preserve">Full Text: </w:t>
      </w:r>
      <w:hyperlink r:id="rId131" w:history="1">
        <w:r w:rsidRPr="000D3853">
          <w:rPr>
            <w:rStyle w:val="a5"/>
          </w:rPr>
          <w:t>2009\Can Tre Rev35, 9.pdf</w:t>
        </w:r>
      </w:hyperlink>
    </w:p>
    <w:p w:rsidR="00E84364" w:rsidRPr="001A3D2B" w:rsidRDefault="00E84364" w:rsidP="00E84364">
      <w:pPr>
        <w:pStyle w:val="a3"/>
        <w:rPr>
          <w:kern w:val="0"/>
        </w:rPr>
      </w:pPr>
      <w:r w:rsidRPr="001A3D2B">
        <w:rPr>
          <w:kern w:val="0"/>
        </w:rPr>
        <w:t>Abstract: Background: We performed a systematic review</w:t>
      </w:r>
      <w:r w:rsidR="005853A9">
        <w:rPr>
          <w:kern w:val="0"/>
        </w:rPr>
        <w:t xml:space="preserve"> and </w:t>
      </w:r>
      <w:r w:rsidRPr="001A3D2B">
        <w:rPr>
          <w:kern w:val="0"/>
        </w:rPr>
        <w:t>meta-analysis</w:t>
      </w:r>
      <w:r w:rsidR="00427468">
        <w:rPr>
          <w:kern w:val="0"/>
        </w:rPr>
        <w:t xml:space="preserve"> of </w:t>
      </w:r>
      <w:r w:rsidRPr="001A3D2B">
        <w:rPr>
          <w:kern w:val="0"/>
        </w:rPr>
        <w:t>randomised trials</w:t>
      </w:r>
      <w:r w:rsidR="00427468">
        <w:rPr>
          <w:kern w:val="0"/>
        </w:rPr>
        <w:t xml:space="preserve"> of </w:t>
      </w:r>
      <w:r w:rsidRPr="001A3D2B">
        <w:rPr>
          <w:kern w:val="0"/>
        </w:rPr>
        <w:t>neo-adjuvant hormone therapy (NHT) in localised</w:t>
      </w:r>
      <w:r w:rsidR="005853A9">
        <w:rPr>
          <w:kern w:val="0"/>
        </w:rPr>
        <w:t xml:space="preserve"> and </w:t>
      </w:r>
      <w:r w:rsidRPr="001A3D2B">
        <w:rPr>
          <w:kern w:val="0"/>
        </w:rPr>
        <w:t>locally advanced prostate cancer to assess</w:t>
      </w:r>
      <w:r w:rsidR="003A1917">
        <w:rPr>
          <w:kern w:val="0"/>
        </w:rPr>
        <w:t xml:space="preserve"> the </w:t>
      </w:r>
      <w:r w:rsidRPr="001A3D2B">
        <w:rPr>
          <w:kern w:val="0"/>
        </w:rPr>
        <w:t>effectiveness</w:t>
      </w:r>
      <w:r w:rsidR="00427468">
        <w:rPr>
          <w:kern w:val="0"/>
        </w:rPr>
        <w:t xml:space="preserve"> of </w:t>
      </w:r>
      <w:r w:rsidRPr="001A3D2B">
        <w:rPr>
          <w:kern w:val="0"/>
        </w:rPr>
        <w:t xml:space="preserve">this therapy. Methods: We searched </w:t>
      </w:r>
      <w:r w:rsidR="00D5664A">
        <w:rPr>
          <w:kern w:val="0"/>
        </w:rPr>
        <w:t>MEDLINE</w:t>
      </w:r>
      <w:r w:rsidRPr="001A3D2B">
        <w:rPr>
          <w:kern w:val="0"/>
        </w:rPr>
        <w:t>,</w:t>
      </w:r>
      <w:r w:rsidR="003A1917">
        <w:rPr>
          <w:kern w:val="0"/>
        </w:rPr>
        <w:t xml:space="preserve"> the </w:t>
      </w:r>
      <w:r w:rsidRPr="001A3D2B">
        <w:rPr>
          <w:kern w:val="0"/>
        </w:rPr>
        <w:t>Cochrane Library, Science Citation Index, LILACS</w:t>
      </w:r>
      <w:r w:rsidR="005853A9">
        <w:rPr>
          <w:kern w:val="0"/>
        </w:rPr>
        <w:t xml:space="preserve"> and </w:t>
      </w:r>
      <w:r w:rsidRPr="001A3D2B">
        <w:rPr>
          <w:kern w:val="0"/>
        </w:rPr>
        <w:t>SIGLE for randomised trials comparing NHT plus primary therapy (radiotherapy or prostatectomy) with primary therapy alone. Data included information on study design, participants, interventions,</w:t>
      </w:r>
      <w:r w:rsidR="005853A9">
        <w:rPr>
          <w:kern w:val="0"/>
        </w:rPr>
        <w:t xml:space="preserve"> and </w:t>
      </w:r>
      <w:r w:rsidRPr="001A3D2B">
        <w:rPr>
          <w:kern w:val="0"/>
        </w:rPr>
        <w:t>outcomes. Comparable data were extracted from eligible studies</w:t>
      </w:r>
      <w:r w:rsidR="005853A9">
        <w:rPr>
          <w:kern w:val="0"/>
        </w:rPr>
        <w:t xml:space="preserve"> and </w:t>
      </w:r>
      <w:r w:rsidRPr="001A3D2B">
        <w:rPr>
          <w:kern w:val="0"/>
        </w:rPr>
        <w:t>pooled for meta-analysis with intention to treat principle. Findings: NHT prior to prostatectomy did not improve overall or disease-free survival, but did significantly reduce positive margin rates (RR 0.49, 95% Cl 0.42-0.56, p &lt; 0.00001), organconfinement (RR 1.63, 95% CI 1.37-1.95, p &lt; 0.0001)</w:t>
      </w:r>
      <w:r w:rsidR="005853A9">
        <w:rPr>
          <w:kern w:val="0"/>
        </w:rPr>
        <w:t xml:space="preserve"> and </w:t>
      </w:r>
      <w:r w:rsidRPr="001A3D2B">
        <w:rPr>
          <w:kern w:val="0"/>
        </w:rPr>
        <w:t>lymph node invasion (RR 0.49, 95% Cl 0.42-0.56, p &lt; 0.02). In one study NHT before radiotherapy significantly improved overall survival for men with Gleason 2-6 (p = 0.015). In addition, there was a significant improvement in both clinical disease-free survival (RR 1.46, 95% CI 1.24-1.71, p &lt; 0.00001)</w:t>
      </w:r>
      <w:r w:rsidR="005853A9">
        <w:rPr>
          <w:kern w:val="0"/>
        </w:rPr>
        <w:t xml:space="preserve"> and </w:t>
      </w:r>
      <w:r w:rsidRPr="001A3D2B">
        <w:rPr>
          <w:kern w:val="0"/>
        </w:rPr>
        <w:t xml:space="preserve">biochemical disease-free survival (RR 1.59, 95% CI 1.00-2.55, p = 0.05). Toxicities included hot </w:t>
      </w:r>
      <w:r w:rsidRPr="001A3D2B">
        <w:rPr>
          <w:kern w:val="0"/>
        </w:rPr>
        <w:lastRenderedPageBreak/>
        <w:t>flushes, gastrointestinal, hepatic</w:t>
      </w:r>
      <w:r w:rsidR="005853A9">
        <w:rPr>
          <w:kern w:val="0"/>
        </w:rPr>
        <w:t xml:space="preserve"> and </w:t>
      </w:r>
      <w:r w:rsidRPr="001A3D2B">
        <w:rPr>
          <w:kern w:val="0"/>
        </w:rPr>
        <w:t>miscellaneous adverse events. Conclusions: NHT is associated with significant clinical benefit when given with radiotherapy</w:t>
      </w:r>
      <w:r w:rsidR="005853A9">
        <w:rPr>
          <w:kern w:val="0"/>
        </w:rPr>
        <w:t xml:space="preserve"> and </w:t>
      </w:r>
      <w:r w:rsidRPr="001A3D2B">
        <w:rPr>
          <w:kern w:val="0"/>
        </w:rPr>
        <w:t>improves pathological outcome prior to prostatectomy but is</w:t>
      </w:r>
      <w:r w:rsidR="00427468">
        <w:rPr>
          <w:kern w:val="0"/>
        </w:rPr>
        <w:t xml:space="preserve"> of </w:t>
      </w:r>
      <w:r w:rsidRPr="001A3D2B">
        <w:rPr>
          <w:kern w:val="0"/>
        </w:rPr>
        <w:t>minimal value prior to radical prostatectomy</w:t>
      </w:r>
      <w:r w:rsidR="00A37C1D">
        <w:rPr>
          <w:kern w:val="0"/>
        </w:rPr>
        <w:t>. The</w:t>
      </w:r>
      <w:r w:rsidR="003A1917">
        <w:rPr>
          <w:kern w:val="0"/>
        </w:rPr>
        <w:t xml:space="preserve"> </w:t>
      </w:r>
      <w:r w:rsidRPr="001A3D2B">
        <w:rPr>
          <w:kern w:val="0"/>
        </w:rPr>
        <w:t>decision to use hormone therapy should be discussed between</w:t>
      </w:r>
      <w:r w:rsidR="003A1917">
        <w:rPr>
          <w:kern w:val="0"/>
        </w:rPr>
        <w:t xml:space="preserve"> the </w:t>
      </w:r>
      <w:r w:rsidRPr="001A3D2B">
        <w:rPr>
          <w:kern w:val="0"/>
        </w:rPr>
        <w:t>patient,</w:t>
      </w:r>
      <w:r w:rsidR="003A1917">
        <w:rPr>
          <w:kern w:val="0"/>
        </w:rPr>
        <w:t xml:space="preserve"> the </w:t>
      </w:r>
      <w:r w:rsidRPr="001A3D2B">
        <w:rPr>
          <w:kern w:val="0"/>
        </w:rPr>
        <w:t>clinician</w:t>
      </w:r>
      <w:r w:rsidR="005853A9">
        <w:rPr>
          <w:kern w:val="0"/>
        </w:rPr>
        <w:t xml:space="preserve"> and </w:t>
      </w:r>
      <w:r w:rsidRPr="001A3D2B">
        <w:rPr>
          <w:kern w:val="0"/>
        </w:rPr>
        <w:t>policy maker based on</w:t>
      </w:r>
      <w:r w:rsidR="003A1917">
        <w:rPr>
          <w:kern w:val="0"/>
        </w:rPr>
        <w:t xml:space="preserve"> the </w:t>
      </w:r>
      <w:r w:rsidRPr="001A3D2B">
        <w:rPr>
          <w:kern w:val="0"/>
        </w:rPr>
        <w:t>benefits, toxicity</w:t>
      </w:r>
      <w:r w:rsidR="005853A9">
        <w:rPr>
          <w:kern w:val="0"/>
        </w:rPr>
        <w:t xml:space="preserve"> and </w:t>
      </w:r>
      <w:r w:rsidRPr="001A3D2B">
        <w:rPr>
          <w:kern w:val="0"/>
        </w:rPr>
        <w:t>cost. (C) 2008 Elsevier Ltd. All rights reserved.</w:t>
      </w:r>
    </w:p>
    <w:p w:rsidR="00E008E0" w:rsidRDefault="00E008E0" w:rsidP="00E008E0">
      <w:pPr>
        <w:pStyle w:val="a3"/>
        <w:rPr>
          <w:kern w:val="0"/>
          <w:szCs w:val="24"/>
        </w:rPr>
      </w:pPr>
      <w:r>
        <w:rPr>
          <w:kern w:val="0"/>
          <w:szCs w:val="24"/>
        </w:rPr>
        <w:t>Keywords: Ablation, Androgen Deprivation, Blockade, Cancer, Citation, Clinical, Clinician, Cost, Data, Decision, Design, Effectiveness, Endocrine Therapy, Estrogen, Events, Follow</w:t>
      </w:r>
      <w:r w:rsidR="0062028A">
        <w:rPr>
          <w:kern w:val="0"/>
          <w:szCs w:val="24"/>
        </w:rPr>
        <w:t>-up,</w:t>
      </w:r>
      <w:r>
        <w:rPr>
          <w:kern w:val="0"/>
          <w:szCs w:val="24"/>
        </w:rPr>
        <w:t xml:space="preserve"> Improvement, Information, Interventions, </w:t>
      </w:r>
      <w:r w:rsidR="00D5664A">
        <w:rPr>
          <w:kern w:val="0"/>
          <w:szCs w:val="24"/>
        </w:rPr>
        <w:t>MEDLINE</w:t>
      </w:r>
      <w:r>
        <w:rPr>
          <w:kern w:val="0"/>
          <w:szCs w:val="24"/>
        </w:rPr>
        <w:t>, Men, Meta-Analysis, Metaanalysis, NEO-Adjuvant, Neo-Adjuvant Hormone Therapy, Outcome, Outcomes, Policy, Primary, Prostate Cancer, Prostatectomy, Radiation-Therapy, Radical Prostatectomy, Radiotherapy, Radiotherapy, Randomised, Rates, Review, Rights, Science, Science Citation Index, Study Design, Survival, Systematic Review, Therapy, Toxicity, Value</w:t>
      </w:r>
    </w:p>
    <w:p w:rsidR="00CA3156" w:rsidRDefault="00CA3156" w:rsidP="00CA3156">
      <w:pPr>
        <w:pStyle w:val="a3"/>
        <w:rPr>
          <w:kern w:val="0"/>
        </w:rPr>
      </w:pPr>
      <w:r>
        <w:rPr>
          <w:rFonts w:hint="eastAsia"/>
          <w:kern w:val="0"/>
        </w:rPr>
        <w:t xml:space="preserve">? </w:t>
      </w:r>
      <w:r>
        <w:rPr>
          <w:kern w:val="0"/>
        </w:rPr>
        <w:t>R</w:t>
      </w:r>
      <w:r w:rsidR="009D28C9">
        <w:rPr>
          <w:kern w:val="0"/>
        </w:rPr>
        <w:t>ö</w:t>
      </w:r>
      <w:r>
        <w:rPr>
          <w:kern w:val="0"/>
        </w:rPr>
        <w:t>llig, C.</w:t>
      </w:r>
      <w:r w:rsidR="005853A9">
        <w:rPr>
          <w:kern w:val="0"/>
        </w:rPr>
        <w:t xml:space="preserve"> and </w:t>
      </w:r>
      <w:r>
        <w:rPr>
          <w:kern w:val="0"/>
        </w:rPr>
        <w:t>Illmer, T. (2009</w:t>
      </w:r>
      <w:r w:rsidR="00F42EAC">
        <w:rPr>
          <w:kern w:val="0"/>
        </w:rPr>
        <w:t>), The</w:t>
      </w:r>
      <w:r w:rsidR="003A1917">
        <w:rPr>
          <w:kern w:val="0"/>
        </w:rPr>
        <w:t xml:space="preserve"> </w:t>
      </w:r>
      <w:r>
        <w:rPr>
          <w:kern w:val="0"/>
        </w:rPr>
        <w:t>efficacy</w:t>
      </w:r>
      <w:r w:rsidR="00427468">
        <w:rPr>
          <w:kern w:val="0"/>
        </w:rPr>
        <w:t xml:space="preserve"> of </w:t>
      </w:r>
      <w:r>
        <w:rPr>
          <w:kern w:val="0"/>
        </w:rPr>
        <w:t>arsenic trioxide for</w:t>
      </w:r>
      <w:r w:rsidR="003A1917">
        <w:rPr>
          <w:kern w:val="0"/>
        </w:rPr>
        <w:t xml:space="preserve"> the </w:t>
      </w:r>
      <w:r>
        <w:rPr>
          <w:kern w:val="0"/>
        </w:rPr>
        <w:t>treatment</w:t>
      </w:r>
      <w:r w:rsidR="00427468">
        <w:rPr>
          <w:kern w:val="0"/>
        </w:rPr>
        <w:t xml:space="preserve"> of </w:t>
      </w:r>
      <w:r>
        <w:rPr>
          <w:kern w:val="0"/>
        </w:rPr>
        <w:t>relapsed</w:t>
      </w:r>
      <w:r w:rsidR="005853A9">
        <w:rPr>
          <w:kern w:val="0"/>
        </w:rPr>
        <w:t xml:space="preserve"> and </w:t>
      </w:r>
      <w:r>
        <w:rPr>
          <w:kern w:val="0"/>
        </w:rPr>
        <w:t xml:space="preserve">refractory multiple myeloma: A systematic review. </w:t>
      </w:r>
      <w:r>
        <w:rPr>
          <w:i/>
          <w:iCs/>
          <w:kern w:val="0"/>
        </w:rPr>
        <w:t>Cancer Treatment Reviews</w:t>
      </w:r>
      <w:r>
        <w:rPr>
          <w:kern w:val="0"/>
        </w:rPr>
        <w:t xml:space="preserve">, </w:t>
      </w:r>
      <w:r>
        <w:rPr>
          <w:b/>
          <w:bCs/>
          <w:kern w:val="0"/>
        </w:rPr>
        <w:t>35</w:t>
      </w:r>
      <w:r>
        <w:rPr>
          <w:kern w:val="0"/>
        </w:rPr>
        <w:t xml:space="preserve"> (5), 425-430.</w:t>
      </w:r>
    </w:p>
    <w:p w:rsidR="00CA3156" w:rsidRPr="00C73C58" w:rsidRDefault="00CA3156" w:rsidP="00CA3156">
      <w:pPr>
        <w:pStyle w:val="a3"/>
      </w:pPr>
      <w:r w:rsidRPr="00C73C58">
        <w:t xml:space="preserve">Full Text: </w:t>
      </w:r>
      <w:hyperlink r:id="rId132" w:history="1">
        <w:r w:rsidR="009D28C9" w:rsidRPr="009D28C9">
          <w:rPr>
            <w:rStyle w:val="a5"/>
          </w:rPr>
          <w:t>2009\Can Tre Rev35, 425.pdf</w:t>
        </w:r>
      </w:hyperlink>
    </w:p>
    <w:p w:rsidR="00CA3156" w:rsidRDefault="00CA3156" w:rsidP="00CA3156">
      <w:pPr>
        <w:pStyle w:val="a3"/>
        <w:rPr>
          <w:kern w:val="0"/>
        </w:rPr>
      </w:pPr>
      <w:r>
        <w:rPr>
          <w:kern w:val="0"/>
        </w:rPr>
        <w:t>Abstract: Arsenic trioxide (ATO) has been proposed as an option for</w:t>
      </w:r>
      <w:r w:rsidR="003A1917">
        <w:rPr>
          <w:kern w:val="0"/>
        </w:rPr>
        <w:t xml:space="preserve"> the </w:t>
      </w:r>
      <w:r>
        <w:rPr>
          <w:kern w:val="0"/>
        </w:rPr>
        <w:t>treatment</w:t>
      </w:r>
      <w:r w:rsidR="00427468">
        <w:rPr>
          <w:kern w:val="0"/>
        </w:rPr>
        <w:t xml:space="preserve"> of </w:t>
      </w:r>
      <w:r>
        <w:rPr>
          <w:kern w:val="0"/>
        </w:rPr>
        <w:t>relapsing or refractory multiple myeloma. In order to critically appraise</w:t>
      </w:r>
      <w:r w:rsidR="003A1917">
        <w:rPr>
          <w:kern w:val="0"/>
        </w:rPr>
        <w:t xml:space="preserve"> the </w:t>
      </w:r>
      <w:r>
        <w:rPr>
          <w:kern w:val="0"/>
        </w:rPr>
        <w:t>published clinical evidence, a systematic search</w:t>
      </w:r>
      <w:r w:rsidR="00427468">
        <w:rPr>
          <w:kern w:val="0"/>
        </w:rPr>
        <w:t xml:space="preserve"> of </w:t>
      </w:r>
      <w:r w:rsidR="003A1917">
        <w:rPr>
          <w:kern w:val="0"/>
        </w:rPr>
        <w:t xml:space="preserve">the </w:t>
      </w:r>
      <w:r>
        <w:rPr>
          <w:kern w:val="0"/>
        </w:rPr>
        <w:t xml:space="preserve">databases PUBMED, EMBASE,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Cochrane Library was performed. Studies were selected according to prospectively defined criteria. Eventually 16 articles met</w:t>
      </w:r>
      <w:r w:rsidR="003A1917">
        <w:rPr>
          <w:kern w:val="0"/>
        </w:rPr>
        <w:t xml:space="preserve"> the </w:t>
      </w:r>
      <w:r>
        <w:rPr>
          <w:kern w:val="0"/>
        </w:rPr>
        <w:t>inclusion criteria. Six trials evaluated ATO as a single agent or in combination with ascorbic acid</w:t>
      </w:r>
      <w:r w:rsidR="005853A9">
        <w:rPr>
          <w:kern w:val="0"/>
        </w:rPr>
        <w:t xml:space="preserve"> and </w:t>
      </w:r>
      <w:r>
        <w:rPr>
          <w:kern w:val="0"/>
        </w:rPr>
        <w:t>ten trials added ATO to other cytostatic agents. Apart from one randomized controlled trial (RCT), all other studies were designed as case series</w:t>
      </w:r>
      <w:r w:rsidR="00A37C1D">
        <w:rPr>
          <w:kern w:val="0"/>
        </w:rPr>
        <w:t>. The</w:t>
      </w:r>
      <w:r w:rsidR="003A1917">
        <w:rPr>
          <w:kern w:val="0"/>
        </w:rPr>
        <w:t xml:space="preserve"> </w:t>
      </w:r>
      <w:r>
        <w:rPr>
          <w:kern w:val="0"/>
        </w:rPr>
        <w:t>patient numbers were generally small. treatment regimens differed both regarding</w:t>
      </w:r>
      <w:r w:rsidR="003A1917">
        <w:rPr>
          <w:kern w:val="0"/>
        </w:rPr>
        <w:t xml:space="preserve"> the </w:t>
      </w:r>
      <w:r>
        <w:rPr>
          <w:kern w:val="0"/>
        </w:rPr>
        <w:t>dosage</w:t>
      </w:r>
      <w:r w:rsidR="00427468">
        <w:rPr>
          <w:kern w:val="0"/>
        </w:rPr>
        <w:t xml:space="preserve"> of </w:t>
      </w:r>
      <w:r>
        <w:rPr>
          <w:kern w:val="0"/>
        </w:rPr>
        <w:t>ATO</w:t>
      </w:r>
      <w:r w:rsidR="005853A9">
        <w:rPr>
          <w:kern w:val="0"/>
        </w:rPr>
        <w:t xml:space="preserve"> and </w:t>
      </w:r>
      <w:r>
        <w:rPr>
          <w:kern w:val="0"/>
        </w:rPr>
        <w:t>combinations with other drugs. Monotherapy with ATO resulted in partial response rates between 0%</w:t>
      </w:r>
      <w:r w:rsidR="005853A9">
        <w:rPr>
          <w:kern w:val="0"/>
        </w:rPr>
        <w:t xml:space="preserve"> and </w:t>
      </w:r>
      <w:r>
        <w:rPr>
          <w:kern w:val="0"/>
        </w:rPr>
        <w:t>17%</w:t>
      </w:r>
      <w:r w:rsidR="005853A9">
        <w:rPr>
          <w:kern w:val="0"/>
        </w:rPr>
        <w:t xml:space="preserve"> and </w:t>
      </w:r>
      <w:r>
        <w:rPr>
          <w:kern w:val="0"/>
        </w:rPr>
        <w:t>minimal responses</w:t>
      </w:r>
      <w:r w:rsidR="00427468">
        <w:rPr>
          <w:kern w:val="0"/>
        </w:rPr>
        <w:t xml:space="preserve"> of </w:t>
      </w:r>
      <w:r>
        <w:rPr>
          <w:kern w:val="0"/>
        </w:rPr>
        <w:t>7-33%, resulting in mean overall response rates</w:t>
      </w:r>
      <w:r w:rsidR="00427468">
        <w:rPr>
          <w:kern w:val="0"/>
        </w:rPr>
        <w:t xml:space="preserve"> of </w:t>
      </w:r>
      <w:r>
        <w:rPr>
          <w:kern w:val="0"/>
        </w:rPr>
        <w:t>30%. Overall response rates in combined regimens varied widely between 12%</w:t>
      </w:r>
      <w:r w:rsidR="005853A9">
        <w:rPr>
          <w:kern w:val="0"/>
        </w:rPr>
        <w:t xml:space="preserve"> and </w:t>
      </w:r>
      <w:r>
        <w:rPr>
          <w:kern w:val="0"/>
        </w:rPr>
        <w:t>100%. Response rates for patients in</w:t>
      </w:r>
      <w:r w:rsidR="003A1917">
        <w:rPr>
          <w:kern w:val="0"/>
        </w:rPr>
        <w:t xml:space="preserve"> the </w:t>
      </w:r>
      <w:r>
        <w:rPr>
          <w:kern w:val="0"/>
        </w:rPr>
        <w:t>three arms</w:t>
      </w:r>
      <w:r w:rsidR="00427468">
        <w:rPr>
          <w:kern w:val="0"/>
        </w:rPr>
        <w:t xml:space="preserve"> of </w:t>
      </w:r>
      <w:r w:rsidR="003A1917">
        <w:rPr>
          <w:kern w:val="0"/>
        </w:rPr>
        <w:t xml:space="preserve">the </w:t>
      </w:r>
      <w:r>
        <w:rPr>
          <w:kern w:val="0"/>
        </w:rPr>
        <w:t>RCT did not differ significantly</w:t>
      </w:r>
      <w:r w:rsidR="00A37C1D">
        <w:rPr>
          <w:kern w:val="0"/>
        </w:rPr>
        <w:t>. The</w:t>
      </w:r>
      <w:r w:rsidR="003A1917">
        <w:rPr>
          <w:kern w:val="0"/>
        </w:rPr>
        <w:t xml:space="preserve"> </w:t>
      </w:r>
      <w:r>
        <w:rPr>
          <w:kern w:val="0"/>
        </w:rPr>
        <w:t>results demonstrate</w:t>
      </w:r>
      <w:r w:rsidR="003A1917">
        <w:rPr>
          <w:kern w:val="0"/>
        </w:rPr>
        <w:t xml:space="preserve"> the </w:t>
      </w:r>
      <w:r>
        <w:rPr>
          <w:kern w:val="0"/>
        </w:rPr>
        <w:t>potential efficacy</w:t>
      </w:r>
      <w:r w:rsidR="00427468">
        <w:rPr>
          <w:kern w:val="0"/>
        </w:rPr>
        <w:t xml:space="preserve"> of </w:t>
      </w:r>
      <w:r>
        <w:rPr>
          <w:kern w:val="0"/>
        </w:rPr>
        <w:t>ATO in refractory multiple myeloma, but</w:t>
      </w:r>
      <w:r w:rsidR="003A1917">
        <w:rPr>
          <w:kern w:val="0"/>
        </w:rPr>
        <w:t xml:space="preserve"> the </w:t>
      </w:r>
      <w:r>
        <w:rPr>
          <w:kern w:val="0"/>
        </w:rPr>
        <w:t>validity</w:t>
      </w:r>
      <w:r w:rsidR="00427468">
        <w:rPr>
          <w:kern w:val="0"/>
        </w:rPr>
        <w:t xml:space="preserve"> of </w:t>
      </w:r>
      <w:r>
        <w:rPr>
          <w:kern w:val="0"/>
        </w:rPr>
        <w:t>these findings is reduced by considerable methodological flaws. RCTs should further investigate</w:t>
      </w:r>
      <w:r w:rsidR="003A1917">
        <w:rPr>
          <w:kern w:val="0"/>
        </w:rPr>
        <w:t xml:space="preserve"> the </w:t>
      </w:r>
      <w:r>
        <w:rPr>
          <w:kern w:val="0"/>
        </w:rPr>
        <w:t>efficacy</w:t>
      </w:r>
      <w:r w:rsidR="00427468">
        <w:rPr>
          <w:kern w:val="0"/>
        </w:rPr>
        <w:t xml:space="preserve"> of </w:t>
      </w:r>
      <w:r>
        <w:rPr>
          <w:kern w:val="0"/>
        </w:rPr>
        <w:t>ATO or new arsenicals in order to overcome methodological concerns</w:t>
      </w:r>
      <w:r w:rsidR="00427468">
        <w:rPr>
          <w:kern w:val="0"/>
        </w:rPr>
        <w:t xml:space="preserve"> of </w:t>
      </w:r>
      <w:r w:rsidR="003A1917">
        <w:rPr>
          <w:kern w:val="0"/>
        </w:rPr>
        <w:t xml:space="preserve">the </w:t>
      </w:r>
      <w:r>
        <w:rPr>
          <w:kern w:val="0"/>
        </w:rPr>
        <w:t>studies presented here. With respect to</w:t>
      </w:r>
      <w:r w:rsidR="003A1917">
        <w:rPr>
          <w:kern w:val="0"/>
        </w:rPr>
        <w:t xml:space="preserve"> the </w:t>
      </w:r>
      <w:r>
        <w:rPr>
          <w:kern w:val="0"/>
        </w:rPr>
        <w:t>higher evidence level</w:t>
      </w:r>
      <w:r w:rsidR="00427468">
        <w:rPr>
          <w:kern w:val="0"/>
        </w:rPr>
        <w:t xml:space="preserve"> of </w:t>
      </w:r>
      <w:r>
        <w:rPr>
          <w:kern w:val="0"/>
        </w:rPr>
        <w:t>new substances such as bortezomib or lenalidomide, at present ATO has no role in routine management</w:t>
      </w:r>
      <w:r w:rsidR="00427468">
        <w:rPr>
          <w:kern w:val="0"/>
        </w:rPr>
        <w:t xml:space="preserve"> of </w:t>
      </w:r>
      <w:r>
        <w:rPr>
          <w:kern w:val="0"/>
        </w:rPr>
        <w:t>relapsed or refractory myeloma. (C) 2009 Elsevier Ltd. All rights reserved.</w:t>
      </w:r>
    </w:p>
    <w:p w:rsidR="00CA3156" w:rsidRDefault="00CA3156" w:rsidP="00CA3156">
      <w:pPr>
        <w:pStyle w:val="a3"/>
        <w:rPr>
          <w:kern w:val="0"/>
        </w:rPr>
      </w:pPr>
      <w:r>
        <w:rPr>
          <w:kern w:val="0"/>
        </w:rPr>
        <w:t xml:space="preserve">Keywords: Acid Combination Therapy, Arsenic, Ascorbic-Acid, Ato, Case Series, </w:t>
      </w:r>
      <w:r>
        <w:rPr>
          <w:kern w:val="0"/>
        </w:rPr>
        <w:lastRenderedPageBreak/>
        <w:t xml:space="preserve">Cochrane, Databases, Efficacy, High-Dose Melphalan, I, Ii, Lenalidomide Plus Dexamethasone, Management, Multicenter, Multiple Myeloma, Phase-Ii, Plasmacytoma, PUBMED, Randomized Controlled Trial, Refractory, Relapsed, Review, Science, Stem-Cell Transplantation, Systematic, Systematic Review, Treatment, Trial, Validity, Vitamin-C Mac, </w:t>
      </w:r>
      <w:r w:rsidR="00D5664A">
        <w:rPr>
          <w:kern w:val="0"/>
        </w:rPr>
        <w:t>Web</w:t>
      </w:r>
      <w:r w:rsidR="00427468">
        <w:rPr>
          <w:kern w:val="0"/>
        </w:rPr>
        <w:t xml:space="preserve"> of </w:t>
      </w:r>
      <w:r w:rsidR="00D5664A">
        <w:rPr>
          <w:kern w:val="0"/>
        </w:rPr>
        <w:t>Science</w:t>
      </w:r>
    </w:p>
    <w:p w:rsidR="00CA3156" w:rsidRDefault="00CA3156" w:rsidP="00CA3156">
      <w:pPr>
        <w:pStyle w:val="a3"/>
        <w:rPr>
          <w:kern w:val="0"/>
        </w:rPr>
      </w:pPr>
      <w:r>
        <w:rPr>
          <w:rFonts w:hint="eastAsia"/>
          <w:kern w:val="0"/>
        </w:rPr>
        <w:t xml:space="preserve">? </w:t>
      </w:r>
      <w:r>
        <w:rPr>
          <w:kern w:val="0"/>
        </w:rPr>
        <w:t>McCann, P., Stafinski, T., Wong, C.</w:t>
      </w:r>
      <w:r w:rsidR="005853A9">
        <w:rPr>
          <w:kern w:val="0"/>
        </w:rPr>
        <w:t xml:space="preserve"> and </w:t>
      </w:r>
      <w:r>
        <w:rPr>
          <w:kern w:val="0"/>
        </w:rPr>
        <w:t>Menon, D. (2011</w:t>
      </w:r>
      <w:r w:rsidR="00F42EAC">
        <w:rPr>
          <w:kern w:val="0"/>
        </w:rPr>
        <w:t>), The</w:t>
      </w:r>
      <w:r w:rsidR="003A1917">
        <w:rPr>
          <w:kern w:val="0"/>
        </w:rPr>
        <w:t xml:space="preserve"> </w:t>
      </w:r>
      <w:r>
        <w:rPr>
          <w:kern w:val="0"/>
        </w:rPr>
        <w:t>safety</w:t>
      </w:r>
      <w:r w:rsidR="005853A9">
        <w:rPr>
          <w:kern w:val="0"/>
        </w:rPr>
        <w:t xml:space="preserve"> and </w:t>
      </w:r>
      <w:r>
        <w:rPr>
          <w:kern w:val="0"/>
        </w:rPr>
        <w:t>effectiveness</w:t>
      </w:r>
      <w:r w:rsidR="00427468">
        <w:rPr>
          <w:kern w:val="0"/>
        </w:rPr>
        <w:t xml:space="preserve"> of </w:t>
      </w:r>
      <w:r>
        <w:rPr>
          <w:kern w:val="0"/>
        </w:rPr>
        <w:t>endoscopic</w:t>
      </w:r>
      <w:r w:rsidR="005853A9">
        <w:rPr>
          <w:kern w:val="0"/>
        </w:rPr>
        <w:t xml:space="preserve"> and </w:t>
      </w:r>
      <w:r>
        <w:rPr>
          <w:kern w:val="0"/>
        </w:rPr>
        <w:t>non-endoscopic approaches to</w:t>
      </w:r>
      <w:r w:rsidR="003A1917">
        <w:rPr>
          <w:kern w:val="0"/>
        </w:rPr>
        <w:t xml:space="preserve"> the </w:t>
      </w:r>
      <w:r>
        <w:rPr>
          <w:kern w:val="0"/>
        </w:rPr>
        <w:t>management</w:t>
      </w:r>
      <w:r w:rsidR="00427468">
        <w:rPr>
          <w:kern w:val="0"/>
        </w:rPr>
        <w:t xml:space="preserve"> of </w:t>
      </w:r>
      <w:r>
        <w:rPr>
          <w:kern w:val="0"/>
        </w:rPr>
        <w:t xml:space="preserve">early esophageal cancer: A systematic review. </w:t>
      </w:r>
      <w:r>
        <w:rPr>
          <w:i/>
          <w:iCs/>
          <w:kern w:val="0"/>
        </w:rPr>
        <w:t>Cancer Treatment Reviews</w:t>
      </w:r>
      <w:r>
        <w:rPr>
          <w:kern w:val="0"/>
        </w:rPr>
        <w:t xml:space="preserve">, </w:t>
      </w:r>
      <w:r>
        <w:rPr>
          <w:b/>
          <w:bCs/>
          <w:kern w:val="0"/>
        </w:rPr>
        <w:t>37</w:t>
      </w:r>
      <w:r>
        <w:rPr>
          <w:kern w:val="0"/>
        </w:rPr>
        <w:t xml:space="preserve"> (1), 11-62.</w:t>
      </w:r>
    </w:p>
    <w:p w:rsidR="00CA3156" w:rsidRPr="00C73C58" w:rsidRDefault="00CA3156" w:rsidP="00CA3156">
      <w:pPr>
        <w:pStyle w:val="a3"/>
      </w:pPr>
      <w:r w:rsidRPr="00C73C58">
        <w:t xml:space="preserve">Full Text: </w:t>
      </w:r>
      <w:hyperlink r:id="rId133" w:history="1">
        <w:r w:rsidR="009D28C9" w:rsidRPr="009D28C9">
          <w:rPr>
            <w:rStyle w:val="a5"/>
          </w:rPr>
          <w:t>2011\Can Tre Rev37, 11.pdf</w:t>
        </w:r>
      </w:hyperlink>
    </w:p>
    <w:p w:rsidR="00CA3156" w:rsidRDefault="00CA3156" w:rsidP="00CA3156">
      <w:pPr>
        <w:pStyle w:val="a3"/>
        <w:rPr>
          <w:kern w:val="0"/>
        </w:rPr>
      </w:pPr>
      <w:r>
        <w:rPr>
          <w:kern w:val="0"/>
        </w:rPr>
        <w:t>Abstract: Introduction: Traditionally, management</w:t>
      </w:r>
      <w:r w:rsidR="00427468">
        <w:rPr>
          <w:kern w:val="0"/>
        </w:rPr>
        <w:t xml:space="preserve"> of </w:t>
      </w:r>
      <w:r>
        <w:rPr>
          <w:kern w:val="0"/>
        </w:rPr>
        <w:t>early cancer (stages 0-IIA) has comprised esophagectomy, either alone or in combination with chemotherapy and/or radiotherapy. Recent efforts to improve outcomes</w:t>
      </w:r>
      <w:r w:rsidR="005853A9">
        <w:rPr>
          <w:kern w:val="0"/>
        </w:rPr>
        <w:t xml:space="preserve"> and </w:t>
      </w:r>
      <w:r>
        <w:rPr>
          <w:kern w:val="0"/>
        </w:rPr>
        <w:t>minimize side-effects have focussed on minimally invasive, endoscopic treatments that remove lesions while sparing healthy tissue. This review assesses their safety</w:t>
      </w:r>
      <w:r w:rsidR="005853A9">
        <w:rPr>
          <w:kern w:val="0"/>
        </w:rPr>
        <w:t xml:space="preserve"> and </w:t>
      </w:r>
      <w:r>
        <w:rPr>
          <w:kern w:val="0"/>
        </w:rPr>
        <w:t>efficacy/effectiveness relative to traditional, non-endoscopic treatments for early esophageal cancer. Methods: A systematic review</w:t>
      </w:r>
      <w:r w:rsidR="00427468">
        <w:rPr>
          <w:kern w:val="0"/>
        </w:rPr>
        <w:t xml:space="preserve"> of </w:t>
      </w:r>
      <w:r>
        <w:rPr>
          <w:kern w:val="0"/>
        </w:rPr>
        <w:t>peer-reviewed studies was performed using Cochrane guidelines. Bibliographic databases searched to identify relevant English language studies published in</w:t>
      </w:r>
      <w:r w:rsidR="003A1917">
        <w:rPr>
          <w:kern w:val="0"/>
        </w:rPr>
        <w:t xml:space="preserve"> the </w:t>
      </w:r>
      <w:r>
        <w:rPr>
          <w:kern w:val="0"/>
        </w:rPr>
        <w:t xml:space="preserve">last 3 years included: PUBMED (i.e., </w:t>
      </w:r>
      <w:r w:rsidR="00D5664A">
        <w:rPr>
          <w:kern w:val="0"/>
        </w:rPr>
        <w:t>MEDLINE</w:t>
      </w:r>
      <w:r w:rsidR="005853A9">
        <w:rPr>
          <w:kern w:val="0"/>
        </w:rPr>
        <w:t xml:space="preserve"> and </w:t>
      </w:r>
      <w:r>
        <w:rPr>
          <w:kern w:val="0"/>
        </w:rPr>
        <w:t>additional sources), EMBASE, CINAHL,</w:t>
      </w:r>
      <w:r w:rsidR="003A1917">
        <w:rPr>
          <w:kern w:val="0"/>
        </w:rPr>
        <w:t xml:space="preserve"> the </w:t>
      </w:r>
      <w:r>
        <w:rPr>
          <w:kern w:val="0"/>
        </w:rPr>
        <w:t>Cochrane Library,</w:t>
      </w:r>
      <w:r w:rsidR="003A1917">
        <w:rPr>
          <w:kern w:val="0"/>
        </w:rPr>
        <w:t xml:space="preserve"> the </w:t>
      </w:r>
      <w:r>
        <w:rPr>
          <w:kern w:val="0"/>
        </w:rPr>
        <w:t>UK Centre for Reviews</w:t>
      </w:r>
      <w:r w:rsidR="005853A9">
        <w:rPr>
          <w:kern w:val="0"/>
        </w:rPr>
        <w:t xml:space="preserve"> and </w:t>
      </w:r>
      <w:r>
        <w:rPr>
          <w:kern w:val="0"/>
        </w:rPr>
        <w:t>Dissemination (NHS EED, DARE</w:t>
      </w:r>
      <w:r w:rsidR="005853A9">
        <w:rPr>
          <w:kern w:val="0"/>
        </w:rPr>
        <w:t xml:space="preserve"> and </w:t>
      </w:r>
      <w:r>
        <w:rPr>
          <w:kern w:val="0"/>
        </w:rPr>
        <w:t>HTA) databases, EconLit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Web sites</w:t>
      </w:r>
      <w:r w:rsidR="00427468">
        <w:rPr>
          <w:kern w:val="0"/>
        </w:rPr>
        <w:t xml:space="preserve"> of </w:t>
      </w:r>
      <w:r>
        <w:rPr>
          <w:kern w:val="0"/>
        </w:rPr>
        <w:t>professional associations, relevant cancer organizations, clinical practice guidelines,</w:t>
      </w:r>
      <w:r w:rsidR="005853A9">
        <w:rPr>
          <w:kern w:val="0"/>
        </w:rPr>
        <w:t xml:space="preserve"> and </w:t>
      </w:r>
      <w:r>
        <w:rPr>
          <w:kern w:val="0"/>
        </w:rPr>
        <w:t>clinical trials were also searched. Two independent reviewers selected, critically appraised,</w:t>
      </w:r>
      <w:r w:rsidR="005853A9">
        <w:rPr>
          <w:kern w:val="0"/>
        </w:rPr>
        <w:t xml:space="preserve"> and </w:t>
      </w:r>
      <w:r>
        <w:rPr>
          <w:kern w:val="0"/>
        </w:rPr>
        <w:t>extracted information from studies. Results:</w:t>
      </w:r>
      <w:r w:rsidR="003A1917">
        <w:rPr>
          <w:kern w:val="0"/>
        </w:rPr>
        <w:t xml:space="preserve"> the </w:t>
      </w:r>
      <w:r>
        <w:rPr>
          <w:kern w:val="0"/>
        </w:rPr>
        <w:t>review included 75 studies spanning 3124 patients</w:t>
      </w:r>
      <w:r w:rsidR="005853A9">
        <w:rPr>
          <w:kern w:val="0"/>
        </w:rPr>
        <w:t xml:space="preserve"> and </w:t>
      </w:r>
      <w:r>
        <w:rPr>
          <w:kern w:val="0"/>
        </w:rPr>
        <w:t>10 forms</w:t>
      </w:r>
      <w:r w:rsidR="00427468">
        <w:rPr>
          <w:kern w:val="0"/>
        </w:rPr>
        <w:t xml:space="preserve"> of </w:t>
      </w:r>
      <w:r>
        <w:rPr>
          <w:kern w:val="0"/>
        </w:rPr>
        <w:t>treatment. Most studies were</w:t>
      </w:r>
      <w:r w:rsidR="00427468">
        <w:rPr>
          <w:kern w:val="0"/>
        </w:rPr>
        <w:t xml:space="preserve"> of </w:t>
      </w:r>
      <w:r>
        <w:rPr>
          <w:kern w:val="0"/>
        </w:rPr>
        <w:t>short term duration</w:t>
      </w:r>
      <w:r w:rsidR="005853A9">
        <w:rPr>
          <w:kern w:val="0"/>
        </w:rPr>
        <w:t xml:space="preserve"> and </w:t>
      </w:r>
      <w:r>
        <w:rPr>
          <w:kern w:val="0"/>
        </w:rPr>
        <w:t>non-comparative. Adverse events reported across studies</w:t>
      </w:r>
      <w:r w:rsidR="00427468">
        <w:rPr>
          <w:kern w:val="0"/>
        </w:rPr>
        <w:t xml:space="preserve"> of </w:t>
      </w:r>
      <w:r>
        <w:rPr>
          <w:kern w:val="0"/>
        </w:rPr>
        <w:t>endoscopic techniques wore similar</w:t>
      </w:r>
      <w:r w:rsidR="005853A9">
        <w:rPr>
          <w:kern w:val="0"/>
        </w:rPr>
        <w:t xml:space="preserve"> and </w:t>
      </w:r>
      <w:r>
        <w:rPr>
          <w:kern w:val="0"/>
        </w:rPr>
        <w:t>less significant compared to those in</w:t>
      </w:r>
      <w:r w:rsidR="003A1917">
        <w:rPr>
          <w:kern w:val="0"/>
        </w:rPr>
        <w:t xml:space="preserve"> the </w:t>
      </w:r>
      <w:r>
        <w:rPr>
          <w:kern w:val="0"/>
        </w:rPr>
        <w:t>studies</w:t>
      </w:r>
      <w:r w:rsidR="00427468">
        <w:rPr>
          <w:kern w:val="0"/>
        </w:rPr>
        <w:t xml:space="preserve"> of </w:t>
      </w:r>
      <w:r>
        <w:rPr>
          <w:kern w:val="0"/>
        </w:rPr>
        <w:t>non-endoscopic techniques. Complete response rates were slightly lower for photodynamic therapy (PDT) relative to</w:t>
      </w:r>
      <w:r w:rsidR="003A1917">
        <w:rPr>
          <w:kern w:val="0"/>
        </w:rPr>
        <w:t xml:space="preserve"> the </w:t>
      </w:r>
      <w:r>
        <w:rPr>
          <w:kern w:val="0"/>
        </w:rPr>
        <w:t xml:space="preserve">other endoscopic techniques, possibly due to differences in patient populations across studies. No studies compared overall or cause-specific survival in patients who received endoscopic treatments vs. those who received non-endoscopic treatments. Discussion: Based on findings from this review, there is no single </w:t>
      </w:r>
      <w:r w:rsidR="00B5188C">
        <w:rPr>
          <w:kern w:val="0"/>
        </w:rPr>
        <w:t>“</w:t>
      </w:r>
      <w:r>
        <w:rPr>
          <w:kern w:val="0"/>
        </w:rPr>
        <w:t>best practice</w:t>
      </w:r>
      <w:r w:rsidR="00B5188C">
        <w:rPr>
          <w:kern w:val="0"/>
        </w:rPr>
        <w:t>”</w:t>
      </w:r>
      <w:r>
        <w:rPr>
          <w:kern w:val="0"/>
        </w:rPr>
        <w:t xml:space="preserve"> approach to</w:t>
      </w:r>
      <w:r w:rsidR="003A1917">
        <w:rPr>
          <w:kern w:val="0"/>
        </w:rPr>
        <w:t xml:space="preserve"> the </w:t>
      </w:r>
      <w:r>
        <w:rPr>
          <w:kern w:val="0"/>
        </w:rPr>
        <w:t>treatment</w:t>
      </w:r>
      <w:r w:rsidR="00427468">
        <w:rPr>
          <w:kern w:val="0"/>
        </w:rPr>
        <w:t xml:space="preserve"> of </w:t>
      </w:r>
      <w:r>
        <w:rPr>
          <w:kern w:val="0"/>
        </w:rPr>
        <w:t>early esophageal cancer. (C) 2010 Elsevier Ltd. All rights reserved.</w:t>
      </w:r>
    </w:p>
    <w:p w:rsidR="00CA3156" w:rsidRDefault="00CA3156" w:rsidP="00CA3156">
      <w:pPr>
        <w:pStyle w:val="a3"/>
        <w:rPr>
          <w:kern w:val="0"/>
        </w:rPr>
      </w:pPr>
      <w:r>
        <w:rPr>
          <w:kern w:val="0"/>
        </w:rPr>
        <w:t xml:space="preserve">Keywords: Argon Plasma Coagulation, Argon Plasma Coagulation, Bibliographic, Bibliographic Databases, Cancer, Chemotherapy, Clinical Trials, Cochrane, Cryoablation, Databases, Early Esophageal Cancer, Early-Stage Cancer, Effectiveness, EMBASE, Endoscopic Mucosal Resection, Esophagectomy, Extended </w:t>
      </w:r>
      <w:r>
        <w:rPr>
          <w:kern w:val="0"/>
        </w:rPr>
        <w:lastRenderedPageBreak/>
        <w:t xml:space="preserve">Transthoracic Resection, Guidelines, High-Grade Dysplasia, Information, Management, </w:t>
      </w:r>
      <w:r w:rsidR="00D5664A">
        <w:rPr>
          <w:kern w:val="0"/>
        </w:rPr>
        <w:t>MEDLINE</w:t>
      </w:r>
      <w:r>
        <w:rPr>
          <w:kern w:val="0"/>
        </w:rPr>
        <w:t>, Methods, Minimally Invasive Esophagectomy, Outcomes, Photodynamic Therapy, Photodynamic Therapy PDT, Practice, Practice Guidelines, Professional, Professional Associations, PUBMED, Quality</w:t>
      </w:r>
      <w:r w:rsidR="00434900">
        <w:rPr>
          <w:kern w:val="0"/>
        </w:rPr>
        <w:t>-of-</w:t>
      </w:r>
      <w:r>
        <w:rPr>
          <w:kern w:val="0"/>
        </w:rPr>
        <w:t>Life, Radio Frequency Ablation, Radiotherapy, Randomized Clinical-Trial, Review, Safety, Science, Squamous-Cell Carcinoma, Survival, Systematic, Systematic Review, Therapy, Traditional, Transhiatal Laparoscopic Approach, Treatment</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CA3156" w:rsidRDefault="00CA3156" w:rsidP="00CA3156">
      <w:pPr>
        <w:pStyle w:val="a3"/>
        <w:rPr>
          <w:kern w:val="0"/>
        </w:rPr>
      </w:pPr>
      <w:r>
        <w:rPr>
          <w:rFonts w:hint="eastAsia"/>
          <w:kern w:val="0"/>
        </w:rPr>
        <w:t xml:space="preserve">? </w:t>
      </w:r>
      <w:r>
        <w:rPr>
          <w:kern w:val="0"/>
        </w:rPr>
        <w:t>Chen, T., Xu, T., Li, Y., Liang, C., Chen, J.X., Lu, Y.C., Wu, Z.G.</w:t>
      </w:r>
      <w:r w:rsidR="005853A9">
        <w:rPr>
          <w:kern w:val="0"/>
        </w:rPr>
        <w:t xml:space="preserve"> and </w:t>
      </w:r>
      <w:r>
        <w:rPr>
          <w:kern w:val="0"/>
        </w:rPr>
        <w:t>Wu, S.H. (2011), Risk</w:t>
      </w:r>
      <w:r w:rsidR="00427468">
        <w:rPr>
          <w:kern w:val="0"/>
        </w:rPr>
        <w:t xml:space="preserve"> of </w:t>
      </w:r>
      <w:r>
        <w:rPr>
          <w:kern w:val="0"/>
        </w:rPr>
        <w:t xml:space="preserve">cardiac dysfunction with trastuzumab in breast cancer patients: A meta-analysis. </w:t>
      </w:r>
      <w:r>
        <w:rPr>
          <w:i/>
          <w:iCs/>
          <w:kern w:val="0"/>
        </w:rPr>
        <w:t>Cancer Treatment Reviews</w:t>
      </w:r>
      <w:r>
        <w:rPr>
          <w:kern w:val="0"/>
        </w:rPr>
        <w:t xml:space="preserve">, </w:t>
      </w:r>
      <w:r>
        <w:rPr>
          <w:b/>
          <w:bCs/>
          <w:kern w:val="0"/>
        </w:rPr>
        <w:t>37</w:t>
      </w:r>
      <w:r>
        <w:rPr>
          <w:kern w:val="0"/>
        </w:rPr>
        <w:t xml:space="preserve"> (4), 312-320.</w:t>
      </w:r>
    </w:p>
    <w:p w:rsidR="00CA3156" w:rsidRPr="00C73C58" w:rsidRDefault="00CA3156" w:rsidP="00CA3156">
      <w:pPr>
        <w:pStyle w:val="a3"/>
      </w:pPr>
      <w:r w:rsidRPr="00C73C58">
        <w:t xml:space="preserve">Full Text: </w:t>
      </w:r>
      <w:hyperlink r:id="rId134" w:history="1">
        <w:r w:rsidR="009D28C9" w:rsidRPr="009D28C9">
          <w:rPr>
            <w:rStyle w:val="a5"/>
          </w:rPr>
          <w:t>2011\Can Tre Rev37, 312.pdf</w:t>
        </w:r>
      </w:hyperlink>
    </w:p>
    <w:p w:rsidR="00CA3156" w:rsidRDefault="00CA3156" w:rsidP="00CA3156">
      <w:pPr>
        <w:pStyle w:val="a3"/>
        <w:rPr>
          <w:kern w:val="0"/>
        </w:rPr>
      </w:pPr>
      <w:r>
        <w:rPr>
          <w:kern w:val="0"/>
        </w:rPr>
        <w:t>Abstract: Background: Trastuzumab is used widely for</w:t>
      </w:r>
      <w:r w:rsidR="003A1917">
        <w:rPr>
          <w:kern w:val="0"/>
        </w:rPr>
        <w:t xml:space="preserve"> the </w:t>
      </w:r>
      <w:r>
        <w:rPr>
          <w:kern w:val="0"/>
        </w:rPr>
        <w:t>treatment</w:t>
      </w:r>
      <w:r w:rsidR="00427468">
        <w:rPr>
          <w:kern w:val="0"/>
        </w:rPr>
        <w:t xml:space="preserve"> of </w:t>
      </w:r>
      <w:r>
        <w:rPr>
          <w:kern w:val="0"/>
        </w:rPr>
        <w:t>early</w:t>
      </w:r>
      <w:r w:rsidR="005853A9">
        <w:rPr>
          <w:kern w:val="0"/>
        </w:rPr>
        <w:t xml:space="preserve"> and </w:t>
      </w:r>
      <w:r>
        <w:rPr>
          <w:kern w:val="0"/>
        </w:rPr>
        <w:t>advanced breast cancer. However, concerns have arisen regarding its cardiac toxicity. We did a systematic review</w:t>
      </w:r>
      <w:r w:rsidR="005853A9">
        <w:rPr>
          <w:kern w:val="0"/>
        </w:rPr>
        <w:t xml:space="preserve"> and </w:t>
      </w:r>
      <w:r>
        <w:rPr>
          <w:kern w:val="0"/>
        </w:rPr>
        <w:t>meta-analysis</w:t>
      </w:r>
      <w:r w:rsidR="00427468">
        <w:rPr>
          <w:kern w:val="0"/>
        </w:rPr>
        <w:t xml:space="preserve"> of </w:t>
      </w:r>
      <w:r>
        <w:rPr>
          <w:kern w:val="0"/>
        </w:rPr>
        <w:t>published randomized controlled trials (RCT-s) to assess</w:t>
      </w:r>
      <w:r w:rsidR="003A1917">
        <w:rPr>
          <w:kern w:val="0"/>
        </w:rPr>
        <w:t xml:space="preserve"> the </w:t>
      </w:r>
      <w:r>
        <w:rPr>
          <w:kern w:val="0"/>
        </w:rPr>
        <w:t>overall risk</w:t>
      </w:r>
      <w:r w:rsidR="00427468">
        <w:rPr>
          <w:kern w:val="0"/>
        </w:rPr>
        <w:t xml:space="preserve"> of </w:t>
      </w:r>
      <w:r>
        <w:rPr>
          <w:kern w:val="0"/>
        </w:rPr>
        <w:t>cardiac dysfunction associated with trastuzumab treatment. Methods: We searched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(January 1966-July 2009)</w:t>
      </w:r>
      <w:r w:rsidR="005853A9">
        <w:rPr>
          <w:kern w:val="0"/>
        </w:rPr>
        <w:t xml:space="preserve"> and </w:t>
      </w:r>
      <w:r>
        <w:rPr>
          <w:kern w:val="0"/>
        </w:rPr>
        <w:t>American Society</w:t>
      </w:r>
      <w:r w:rsidR="00427468">
        <w:rPr>
          <w:kern w:val="0"/>
        </w:rPr>
        <w:t xml:space="preserve"> of </w:t>
      </w:r>
      <w:r>
        <w:rPr>
          <w:kern w:val="0"/>
        </w:rPr>
        <w:t>Clinical Oncology conferences held (January 2000-July 2009) for relevant articles</w:t>
      </w:r>
      <w:r w:rsidR="005853A9">
        <w:rPr>
          <w:kern w:val="0"/>
        </w:rPr>
        <w:t xml:space="preserve"> and </w:t>
      </w:r>
      <w:r>
        <w:rPr>
          <w:kern w:val="0"/>
        </w:rPr>
        <w:t>abstracts. Summary incidence rates, relative risks (RRs),</w:t>
      </w:r>
      <w:r w:rsidR="005853A9">
        <w:rPr>
          <w:kern w:val="0"/>
        </w:rPr>
        <w:t xml:space="preserve"> and </w:t>
      </w:r>
      <w:r>
        <w:rPr>
          <w:kern w:val="0"/>
        </w:rPr>
        <w:t>95% confident intervals (CIs) were calculated using a fixed-effects or random-effects model. Results: 11,882 patients from 10 RCTs were included for analysis</w:t>
      </w:r>
      <w:r w:rsidR="00A37C1D">
        <w:rPr>
          <w:kern w:val="0"/>
        </w:rPr>
        <w:t>. The</w:t>
      </w:r>
      <w:r w:rsidR="003A1917">
        <w:rPr>
          <w:kern w:val="0"/>
        </w:rPr>
        <w:t xml:space="preserve"> </w:t>
      </w:r>
      <w:r>
        <w:rPr>
          <w:kern w:val="0"/>
        </w:rPr>
        <w:t>incidences</w:t>
      </w:r>
      <w:r w:rsidR="00427468">
        <w:rPr>
          <w:kern w:val="0"/>
        </w:rPr>
        <w:t xml:space="preserve"> of </w:t>
      </w:r>
      <w:r>
        <w:rPr>
          <w:kern w:val="0"/>
        </w:rPr>
        <w:t>LVEF decrease</w:t>
      </w:r>
      <w:r w:rsidR="005853A9">
        <w:rPr>
          <w:kern w:val="0"/>
        </w:rPr>
        <w:t xml:space="preserve"> and </w:t>
      </w:r>
      <w:r>
        <w:rPr>
          <w:kern w:val="0"/>
        </w:rPr>
        <w:t>congestive heart failure (CHF) were 7.5% (95% CI 4.2-13.1)</w:t>
      </w:r>
      <w:r w:rsidR="005853A9">
        <w:rPr>
          <w:kern w:val="0"/>
        </w:rPr>
        <w:t xml:space="preserve"> and </w:t>
      </w:r>
      <w:r>
        <w:rPr>
          <w:kern w:val="0"/>
        </w:rPr>
        <w:t>1.9% (95% CI 1.0-3.8) among patients receiving trastuzumab. Trastuzumab significantly increased</w:t>
      </w:r>
      <w:r w:rsidR="003A1917">
        <w:rPr>
          <w:kern w:val="0"/>
        </w:rPr>
        <w:t xml:space="preserve"> the </w:t>
      </w:r>
      <w:r>
        <w:rPr>
          <w:kern w:val="0"/>
        </w:rPr>
        <w:t>risk</w:t>
      </w:r>
      <w:r w:rsidR="00427468">
        <w:rPr>
          <w:kern w:val="0"/>
        </w:rPr>
        <w:t xml:space="preserve"> of </w:t>
      </w:r>
      <w:r>
        <w:rPr>
          <w:kern w:val="0"/>
        </w:rPr>
        <w:t>LVEF decrease (RR = 2.13, 95% CI, 1.31-3.49; p = 0.003). In addition, it significantly increased</w:t>
      </w:r>
      <w:r w:rsidR="003A1917">
        <w:rPr>
          <w:kern w:val="0"/>
        </w:rPr>
        <w:t xml:space="preserve"> the </w:t>
      </w:r>
      <w:r>
        <w:rPr>
          <w:kern w:val="0"/>
        </w:rPr>
        <w:t>risk</w:t>
      </w:r>
      <w:r w:rsidR="00427468">
        <w:rPr>
          <w:kern w:val="0"/>
        </w:rPr>
        <w:t xml:space="preserve"> of </w:t>
      </w:r>
      <w:r>
        <w:rPr>
          <w:kern w:val="0"/>
        </w:rPr>
        <w:t>CHF (RR = 4.19, 95% CI 2.73-6.42; p &lt; 0.00001)</w:t>
      </w:r>
      <w:r w:rsidR="00A37C1D">
        <w:rPr>
          <w:kern w:val="0"/>
        </w:rPr>
        <w:t>. The</w:t>
      </w:r>
      <w:r w:rsidR="003A1917">
        <w:rPr>
          <w:kern w:val="0"/>
        </w:rPr>
        <w:t xml:space="preserve"> </w:t>
      </w:r>
      <w:r>
        <w:rPr>
          <w:kern w:val="0"/>
        </w:rPr>
        <w:t>increased risk</w:t>
      </w:r>
      <w:r w:rsidR="00427468">
        <w:rPr>
          <w:kern w:val="0"/>
        </w:rPr>
        <w:t xml:space="preserve"> of </w:t>
      </w:r>
      <w:r>
        <w:rPr>
          <w:kern w:val="0"/>
        </w:rPr>
        <w:t>CHF was observed in patients with early stage (RR = 4.05, 95% CI 2.49-6.58; p &lt; 0.00001) as well as metastatic disease (RR = 4.75, 95% CI 1.93-11.71; p = 0.0007). Furthermore, trastuzumab significantly increased</w:t>
      </w:r>
      <w:r w:rsidR="003A1917">
        <w:rPr>
          <w:kern w:val="0"/>
        </w:rPr>
        <w:t xml:space="preserve"> the </w:t>
      </w:r>
      <w:r>
        <w:rPr>
          <w:kern w:val="0"/>
        </w:rPr>
        <w:t>risk</w:t>
      </w:r>
      <w:r w:rsidR="00427468">
        <w:rPr>
          <w:kern w:val="0"/>
        </w:rPr>
        <w:t xml:space="preserve"> of </w:t>
      </w:r>
      <w:r>
        <w:rPr>
          <w:kern w:val="0"/>
        </w:rPr>
        <w:t>CHF (RR = 4.27, 95% CI 2.75-6.61, p &lt; 0.00001) in patients receiving anthracycline-based chemotherapy, but not in patients receiving non-anthracycline chemotherapy (RR = 2.42, 95% CI 0.36-16.19, p = 0.36). Conclusion:</w:t>
      </w:r>
      <w:r w:rsidR="003A1917">
        <w:rPr>
          <w:kern w:val="0"/>
        </w:rPr>
        <w:t xml:space="preserve"> the </w:t>
      </w:r>
      <w:r>
        <w:rPr>
          <w:kern w:val="0"/>
        </w:rPr>
        <w:t>addition</w:t>
      </w:r>
      <w:r w:rsidR="00427468">
        <w:rPr>
          <w:kern w:val="0"/>
        </w:rPr>
        <w:t xml:space="preserve"> of </w:t>
      </w:r>
      <w:r>
        <w:rPr>
          <w:kern w:val="0"/>
        </w:rPr>
        <w:t>trastuzumab to anthracycline-based chemotherapy significantly increase</w:t>
      </w:r>
      <w:r w:rsidR="003A1917">
        <w:rPr>
          <w:kern w:val="0"/>
        </w:rPr>
        <w:t xml:space="preserve"> the </w:t>
      </w:r>
      <w:r>
        <w:rPr>
          <w:kern w:val="0"/>
        </w:rPr>
        <w:t>risk</w:t>
      </w:r>
      <w:r w:rsidR="00427468">
        <w:rPr>
          <w:kern w:val="0"/>
        </w:rPr>
        <w:t xml:space="preserve"> of </w:t>
      </w:r>
      <w:r>
        <w:rPr>
          <w:kern w:val="0"/>
        </w:rPr>
        <w:t>cardiac dysfunction in breast cancer patients. Further studies are recommended for non-anthracycline chemotherapy. (C) 2010 Elsevier Ltd. All rights reserved.</w:t>
      </w:r>
    </w:p>
    <w:p w:rsidR="00CA3156" w:rsidRDefault="00CA3156" w:rsidP="00CA3156">
      <w:pPr>
        <w:pStyle w:val="a3"/>
        <w:rPr>
          <w:kern w:val="0"/>
        </w:rPr>
      </w:pPr>
      <w:r>
        <w:rPr>
          <w:kern w:val="0"/>
        </w:rPr>
        <w:t xml:space="preserve">Keywords: 1st-Line Treatment, Adjuvant Chemotherapy, Analysis, Breast Cancer, Cancer, Chemotherapy, Clinical-Trials, Cyclophosphamide, Disease, Follow-Up, Gene Amplification, Heart Failure, Meta-Analysis, Methods, Model, Oncology, Oncology-Group, Paclitaxel, Phase-II Trial, PUBMED, Randomized Controlled </w:t>
      </w:r>
      <w:r>
        <w:rPr>
          <w:kern w:val="0"/>
        </w:rPr>
        <w:lastRenderedPageBreak/>
        <w:t xml:space="preserve">Trials, Review, Risk, Safety, Science, Systematic, Systematic Review, Toxicity, Trastuzumab, Treatment, </w:t>
      </w:r>
      <w:r w:rsidR="00D5664A">
        <w:rPr>
          <w:kern w:val="0"/>
        </w:rPr>
        <w:t>Web</w:t>
      </w:r>
      <w:r w:rsidR="00427468">
        <w:rPr>
          <w:kern w:val="0"/>
        </w:rPr>
        <w:t xml:space="preserve"> of </w:t>
      </w:r>
      <w:r w:rsidR="00D5664A">
        <w:rPr>
          <w:kern w:val="0"/>
        </w:rPr>
        <w:t>Science</w:t>
      </w:r>
    </w:p>
    <w:p w:rsidR="009D28C9" w:rsidRDefault="009D28C9" w:rsidP="009D28C9">
      <w:pPr>
        <w:pStyle w:val="a3"/>
        <w:rPr>
          <w:kern w:val="0"/>
        </w:rPr>
      </w:pPr>
      <w:r>
        <w:rPr>
          <w:kern w:val="0"/>
        </w:rPr>
        <w:t xml:space="preserve">? Carter, G., Clover, K., Britton, B., Mitchell, A.J., White, M., McLeod, N., Denham, J. and Lambert, S.D. (2015), Wellbeing during Active Surveillance for localised prostate cancer: A systematic review of psychological morbidity and quality of life. </w:t>
      </w:r>
      <w:r>
        <w:rPr>
          <w:i/>
          <w:iCs/>
          <w:kern w:val="0"/>
        </w:rPr>
        <w:t>Cancer Treatment Reviews</w:t>
      </w:r>
      <w:r>
        <w:rPr>
          <w:kern w:val="0"/>
        </w:rPr>
        <w:t xml:space="preserve">, </w:t>
      </w:r>
      <w:r>
        <w:rPr>
          <w:b/>
          <w:bCs/>
          <w:kern w:val="0"/>
        </w:rPr>
        <w:t>41</w:t>
      </w:r>
      <w:r>
        <w:rPr>
          <w:kern w:val="0"/>
        </w:rPr>
        <w:t xml:space="preserve"> (1), 46-60.</w:t>
      </w:r>
    </w:p>
    <w:p w:rsidR="009D28C9" w:rsidRPr="00C73C58" w:rsidRDefault="009D28C9" w:rsidP="009D28C9">
      <w:pPr>
        <w:pStyle w:val="a3"/>
      </w:pPr>
      <w:r w:rsidRPr="00C73C58">
        <w:t xml:space="preserve">Full Text: </w:t>
      </w:r>
      <w:hyperlink r:id="rId135" w:history="1">
        <w:r w:rsidRPr="003B1FDD">
          <w:rPr>
            <w:rStyle w:val="a5"/>
          </w:rPr>
          <w:t>2015\Can Tre Rev41, 46.pdf</w:t>
        </w:r>
      </w:hyperlink>
    </w:p>
    <w:p w:rsidR="009D28C9" w:rsidRDefault="009D28C9" w:rsidP="009D28C9">
      <w:pPr>
        <w:pStyle w:val="a3"/>
        <w:rPr>
          <w:kern w:val="0"/>
        </w:rPr>
      </w:pPr>
      <w:r>
        <w:rPr>
          <w:kern w:val="0"/>
        </w:rPr>
        <w:t>Abstract: Background: Active Surveillance (AS) is recommended for the treatment of localised prostate cancer; however this option may be under-used, at least in part because of expectations of psychological adverse events in those offered or accepting AS. Objective: (1) Determine the impact on psychological wellbeing when treated with AS (non-comparative studies). (2) Compare AS with active treatments for the impact on psychological wellbeing (comparative studies). Method: We used the PRISMA guidelines and searched Medline, PsychInfo, EMBASE, CINHAL, Web of Science, Cochrane Library and Scopus for articles published January 2000-2014. Eligible studies reported original quantitative data on any measures of psychological wellbeing. Results: We identified 34 eligible articles (n = 12,497 individuals); 24 observational, eight RCTs, and two other interventional studies. Studies came from North America (16), Europe (14) Australia (3) and North America/Europe (1). A minority (5/34) were rated as high quality. Most (26/34) used validated instruments, whilst a substantial minority (14/34) used watchful waiting or no active treatment rather than Active Surveillance. There was modest evidence of no adverse impact on psychological wellbeing associated with Active Surveillance; and no differences in psychological wellbeing compared to active treatments. Conclusion: Patients can be informed that Active Surveillance involves no greater threat to their psychological wellbeing as part of the informed consent process, and clinicians need not limit access to Active Surveillance based on an expectation of adverse impacts on psychological wellbeing. (C) 2014 Elsevier Ltd. All rights reserved.</w:t>
      </w:r>
    </w:p>
    <w:p w:rsidR="009D28C9" w:rsidRDefault="009D28C9" w:rsidP="009D28C9">
      <w:pPr>
        <w:pStyle w:val="a3"/>
        <w:rPr>
          <w:kern w:val="0"/>
        </w:rPr>
      </w:pPr>
      <w:r>
        <w:rPr>
          <w:kern w:val="0"/>
        </w:rPr>
        <w:t>Keywords: Access, Active, Active Surveillance, Adjustment, Adverse Events, Anxiety, Articles, Australia, Cancer, Carcinoma, Clinical-Trial, Comparative Studies, Consent, Data, Depression, Distress, Distress, Embase, Epidemiology, Europe, Events, Evidence, Expectations, From, Guidelines, Impact, Impacts, Informed Consent, Instruments, Life, Management, Measures, Medline, Men, Morbidity, North, North America, Observational, Outcomes, Prostate Cancer, Psychological, Quality, Quality Of, Quality Of Life, Radical Prostatectomy, Results, Review, Rights, Science, Scopus, Stress, Surveillance, Symptom Burden, Systematic, Systematic Review, Treatment, Web, Web Of Science, Wellbeing</w:t>
      </w:r>
    </w:p>
    <w:p w:rsidR="003474F2" w:rsidRPr="001A3D2B" w:rsidRDefault="003474F2" w:rsidP="003474F2">
      <w:pPr>
        <w:pStyle w:val="1"/>
      </w:pPr>
      <w:r w:rsidRPr="001A3D2B">
        <w:br w:type="page"/>
      </w:r>
      <w:bookmarkStart w:id="92" w:name="_Toc420814911"/>
      <w:r w:rsidRPr="001A3D2B">
        <w:lastRenderedPageBreak/>
        <w:t>Title: Caravelle-Cahiers du Monde Hispanique et Luso-Bresilien</w:t>
      </w:r>
      <w:bookmarkEnd w:id="92"/>
    </w:p>
    <w:p w:rsidR="003474F2" w:rsidRPr="001A3D2B" w:rsidRDefault="003474F2" w:rsidP="003474F2">
      <w:pPr>
        <w:pStyle w:val="12"/>
      </w:pPr>
      <w:r w:rsidRPr="001A3D2B">
        <w:t>Full Journal Title: Caravelle-Cahiers du Monde Hispanique et Luso-Bresilien</w:t>
      </w:r>
    </w:p>
    <w:p w:rsidR="003474F2" w:rsidRPr="001A3D2B" w:rsidRDefault="003474F2" w:rsidP="003474F2">
      <w:pPr>
        <w:pStyle w:val="12"/>
      </w:pPr>
      <w:r w:rsidRPr="001A3D2B">
        <w:t xml:space="preserve">ISO Abbreviated Title: </w:t>
      </w:r>
    </w:p>
    <w:p w:rsidR="003474F2" w:rsidRPr="001A3D2B" w:rsidRDefault="00CE64DF" w:rsidP="003474F2">
      <w:pPr>
        <w:pStyle w:val="12"/>
      </w:pPr>
      <w:r w:rsidRPr="001A3D2B">
        <w:t>JCR Abbreviated Title:</w:t>
      </w:r>
      <w:r w:rsidR="003474F2" w:rsidRPr="001A3D2B">
        <w:t xml:space="preserv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Fabre, V. (2002), Evolution</w:t>
      </w:r>
      <w:r w:rsidR="00427468">
        <w:t xml:space="preserve"> of </w:t>
      </w:r>
      <w:r w:rsidRPr="001A3D2B">
        <w:t>research on</w:t>
      </w:r>
      <w:r w:rsidR="003A1917">
        <w:t xml:space="preserve"> the </w:t>
      </w:r>
      <w:r w:rsidRPr="001A3D2B">
        <w:t>Latin-American rural environment from 1983 to 2000: Bibliometric analysis</w:t>
      </w:r>
      <w:r w:rsidR="00427468">
        <w:t xml:space="preserve"> of </w:t>
      </w:r>
      <w:r w:rsidRPr="001A3D2B">
        <w:t>francophone travaux-universitaires</w:t>
      </w:r>
      <w:r w:rsidR="005853A9">
        <w:t xml:space="preserve"> and </w:t>
      </w:r>
      <w:r w:rsidRPr="001A3D2B">
        <w:t xml:space="preserve">publications. </w:t>
      </w:r>
      <w:r w:rsidRPr="001A3D2B">
        <w:rPr>
          <w:i/>
          <w:iCs/>
        </w:rPr>
        <w:t>Caravelle-Cahiers du Monde Hispanique et Luso-Bresilien</w:t>
      </w:r>
      <w:r w:rsidRPr="001A3D2B">
        <w:t>, (79), 243-244</w:t>
      </w:r>
    </w:p>
    <w:p w:rsidR="003474F2" w:rsidRPr="001A3D2B" w:rsidRDefault="003474F2" w:rsidP="003474F2">
      <w:pPr>
        <w:pStyle w:val="a3"/>
      </w:pPr>
      <w:r w:rsidRPr="001A3D2B">
        <w:t>Keywords: Analysis, Bibliometric, Bibliometric Analysis, Environment, Evolution, Francophone, Latin American, Publications, Research, Rural, Rural Environment</w:t>
      </w:r>
    </w:p>
    <w:p w:rsidR="00DA1DD1" w:rsidRPr="00C73C58" w:rsidRDefault="00DA1DD1" w:rsidP="00DA1DD1">
      <w:pPr>
        <w:pStyle w:val="1"/>
      </w:pPr>
      <w:r w:rsidRPr="00C73C58">
        <w:br w:type="page"/>
      </w:r>
      <w:bookmarkStart w:id="93" w:name="_Toc420814912"/>
      <w:r w:rsidRPr="00C73C58">
        <w:lastRenderedPageBreak/>
        <w:t>Title: Carbon</w:t>
      </w:r>
      <w:bookmarkEnd w:id="93"/>
    </w:p>
    <w:p w:rsidR="00DA1DD1" w:rsidRPr="00C73C58" w:rsidRDefault="00DA1DD1" w:rsidP="00DA1DD1">
      <w:pPr>
        <w:pStyle w:val="12"/>
      </w:pPr>
      <w:r w:rsidRPr="00C73C58">
        <w:t xml:space="preserve">Full Journal Title: </w:t>
      </w:r>
      <w:r w:rsidR="00DF61FE">
        <w:fldChar w:fldCharType="begin"/>
      </w:r>
      <w:r w:rsidR="00FD158B">
        <w:instrText>HYPERLINK "</w:instrText>
      </w:r>
      <w:bookmarkStart w:id="94" w:name="_Toc290614221"/>
      <w:r w:rsidR="00FD158B">
        <w:instrText>http://sdos.e</w:instrText>
      </w:r>
      <w:bookmarkEnd w:id="94"/>
      <w:r w:rsidR="00FD158B">
        <w:instrText>journal.ascc.net/cgi-bin/sciserv.pl?collection=journals&amp;journal=00086223"</w:instrText>
      </w:r>
      <w:r w:rsidR="00DF61FE">
        <w:fldChar w:fldCharType="separate"/>
      </w:r>
      <w:r w:rsidRPr="00C73C58">
        <w:rPr>
          <w:rStyle w:val="a5"/>
        </w:rPr>
        <w:t>Carbon</w:t>
      </w:r>
      <w:r w:rsidR="00DF61FE">
        <w:fldChar w:fldCharType="end"/>
      </w:r>
      <w:r w:rsidRPr="00C73C58">
        <w:t xml:space="preserve">; </w:t>
      </w:r>
      <w:hyperlink r:id="rId136" w:history="1">
        <w:r w:rsidRPr="00C73C58">
          <w:rPr>
            <w:rStyle w:val="a5"/>
          </w:rPr>
          <w:t>Carbon</w:t>
        </w:r>
      </w:hyperlink>
    </w:p>
    <w:p w:rsidR="00DA1DD1" w:rsidRPr="00C73C58" w:rsidRDefault="00DA1DD1" w:rsidP="00DA1DD1">
      <w:pPr>
        <w:pStyle w:val="12"/>
      </w:pPr>
      <w:r w:rsidRPr="00C73C58">
        <w:t>ISO Abbreviated Title: Carbon</w:t>
      </w:r>
    </w:p>
    <w:p w:rsidR="00DA1DD1" w:rsidRPr="00C73C58" w:rsidRDefault="00DA1DD1" w:rsidP="00DA1DD1">
      <w:pPr>
        <w:pStyle w:val="12"/>
      </w:pPr>
      <w:r w:rsidRPr="00C73C58">
        <w:t>JCR Abbreviated Title: Carbon</w:t>
      </w:r>
    </w:p>
    <w:p w:rsidR="00DA1DD1" w:rsidRPr="00C73C58" w:rsidRDefault="00DA1DD1" w:rsidP="00DA1DD1">
      <w:pPr>
        <w:pStyle w:val="12"/>
      </w:pPr>
      <w:r w:rsidRPr="00C73C58">
        <w:t>ISSN: 0008-6223</w:t>
      </w:r>
    </w:p>
    <w:p w:rsidR="00DA1DD1" w:rsidRPr="00C73C58" w:rsidRDefault="00DA1DD1" w:rsidP="00DA1DD1">
      <w:pPr>
        <w:pStyle w:val="12"/>
      </w:pPr>
      <w:r w:rsidRPr="00C73C58">
        <w:t>Issues/Year: 9</w:t>
      </w:r>
    </w:p>
    <w:p w:rsidR="00DA1DD1" w:rsidRPr="00C73C58" w:rsidRDefault="00DA1DD1" w:rsidP="00DA1DD1">
      <w:pPr>
        <w:pStyle w:val="12"/>
      </w:pPr>
      <w:r w:rsidRPr="00C73C58">
        <w:t>Journal Country/Territory: United States</w:t>
      </w:r>
    </w:p>
    <w:p w:rsidR="00DA1DD1" w:rsidRPr="00C73C58" w:rsidRDefault="00DA1DD1" w:rsidP="00DA1DD1">
      <w:pPr>
        <w:pStyle w:val="12"/>
      </w:pPr>
      <w:r w:rsidRPr="00C73C58">
        <w:t>Language: Multi-Language</w:t>
      </w:r>
    </w:p>
    <w:p w:rsidR="00DA1DD1" w:rsidRPr="00C73C58" w:rsidRDefault="00DA1DD1" w:rsidP="00DA1DD1">
      <w:pPr>
        <w:pStyle w:val="12"/>
      </w:pPr>
      <w:r w:rsidRPr="00C73C58">
        <w:t>Publisher: Pergamon-Elsevier Science Ltd</w:t>
      </w:r>
    </w:p>
    <w:p w:rsidR="00DA1DD1" w:rsidRPr="00C73C58" w:rsidRDefault="00DA1DD1" w:rsidP="00DA1DD1">
      <w:pPr>
        <w:pStyle w:val="12"/>
      </w:pPr>
      <w:r w:rsidRPr="00C73C58">
        <w:t>Publisher Address:</w:t>
      </w:r>
      <w:r w:rsidR="003A1917">
        <w:t xml:space="preserve"> the </w:t>
      </w:r>
      <w:r w:rsidRPr="00C73C58">
        <w:t>Boulevard, Langford Lane, Kidlington, Oxford OX5 1GB, England</w:t>
      </w:r>
    </w:p>
    <w:p w:rsidR="00DA1DD1" w:rsidRPr="00C73C58" w:rsidRDefault="00DA1DD1" w:rsidP="00DA1DD1">
      <w:pPr>
        <w:pStyle w:val="12"/>
      </w:pPr>
      <w:r w:rsidRPr="00C73C58">
        <w:t xml:space="preserve">Subject Categories: </w:t>
      </w:r>
    </w:p>
    <w:p w:rsidR="00DA1DD1" w:rsidRPr="00C73C58" w:rsidRDefault="00DA1DD1" w:rsidP="00DA1DD1">
      <w:pPr>
        <w:pStyle w:val="12"/>
      </w:pPr>
      <w:r w:rsidRPr="00C73C58">
        <w:t>Chemistry, Physical: Impact Factor 1.715, 31/91 (2000); Impact Factor 2.340, 24/93 (2001); Impact Factor 3.048, 20/95 (2002); Impact Factor 3.312, 21/101 (2003); Impact Factor 3.331, 19/108 (2004); Impact Factor 3.419, 22/111 (2005); Impact Factor 3.884, 20/108 (2006)</w:t>
      </w:r>
    </w:p>
    <w:p w:rsidR="00DA1DD1" w:rsidRPr="00C73C58" w:rsidRDefault="00DA1DD1" w:rsidP="00DA1DD1">
      <w:pPr>
        <w:pStyle w:val="12"/>
      </w:pPr>
      <w:r w:rsidRPr="00C73C58">
        <w:t>Materials Science, Multidisciplinary: Impact Factor 1.715, 15/168 (2000); Impact Factor 2.340, 11/170 (2001); Impact Factor 3.048, 10/173 (2002); Impact Factor 3.312, 12/177 (2003); Impact Factor 3.331, 16/177 (2004); Impact Factor 3.419, 16/178 (2005); Impact Factor 3.884, 18/175 (2006)</w:t>
      </w:r>
    </w:p>
    <w:p w:rsidR="00DA1DD1" w:rsidRDefault="00DA1DD1" w:rsidP="00DA1DD1">
      <w:pPr>
        <w:pStyle w:val="a3"/>
        <w:rPr>
          <w:kern w:val="0"/>
          <w:szCs w:val="24"/>
        </w:rPr>
      </w:pPr>
      <w:r>
        <w:rPr>
          <w:rFonts w:hint="eastAsia"/>
          <w:kern w:val="0"/>
          <w:szCs w:val="24"/>
        </w:rPr>
        <w:t xml:space="preserve">? </w:t>
      </w:r>
      <w:r>
        <w:rPr>
          <w:kern w:val="0"/>
          <w:szCs w:val="24"/>
        </w:rPr>
        <w:t>Boehm, H.P.</w:t>
      </w:r>
      <w:r w:rsidR="005853A9">
        <w:rPr>
          <w:kern w:val="0"/>
          <w:szCs w:val="24"/>
        </w:rPr>
        <w:t xml:space="preserve"> and </w:t>
      </w:r>
      <w:r>
        <w:rPr>
          <w:kern w:val="0"/>
          <w:szCs w:val="24"/>
        </w:rPr>
        <w:t>Stumpp, E. (2007), Citation errors concerning</w:t>
      </w:r>
      <w:r w:rsidR="003A1917">
        <w:rPr>
          <w:kern w:val="0"/>
          <w:szCs w:val="24"/>
        </w:rPr>
        <w:t xml:space="preserve"> the </w:t>
      </w:r>
      <w:r>
        <w:rPr>
          <w:kern w:val="0"/>
          <w:szCs w:val="24"/>
        </w:rPr>
        <w:t xml:space="preserve">first report on exfoliated graphite. </w:t>
      </w:r>
      <w:r>
        <w:rPr>
          <w:i/>
          <w:iCs/>
          <w:kern w:val="0"/>
          <w:szCs w:val="24"/>
        </w:rPr>
        <w:t>Carbon</w:t>
      </w:r>
      <w:r>
        <w:rPr>
          <w:kern w:val="0"/>
          <w:szCs w:val="24"/>
        </w:rPr>
        <w:t xml:space="preserve">, </w:t>
      </w:r>
      <w:r>
        <w:rPr>
          <w:b/>
          <w:bCs/>
          <w:kern w:val="0"/>
          <w:szCs w:val="24"/>
        </w:rPr>
        <w:t>45</w:t>
      </w:r>
      <w:r>
        <w:rPr>
          <w:kern w:val="0"/>
          <w:szCs w:val="24"/>
        </w:rPr>
        <w:t xml:space="preserve"> (7), 1381-1383</w:t>
      </w:r>
      <w:r>
        <w:rPr>
          <w:rFonts w:hint="eastAsia"/>
          <w:kern w:val="0"/>
          <w:szCs w:val="24"/>
        </w:rPr>
        <w:t>.</w:t>
      </w:r>
    </w:p>
    <w:p w:rsidR="00DA1DD1" w:rsidRDefault="00DA1DD1" w:rsidP="00DA1DD1">
      <w:pPr>
        <w:pStyle w:val="a3"/>
      </w:pPr>
      <w:r w:rsidRPr="00C73C58">
        <w:t xml:space="preserve">Full Text: </w:t>
      </w:r>
      <w:hyperlink r:id="rId137" w:history="1">
        <w:r w:rsidRPr="00BF70BF">
          <w:rPr>
            <w:rStyle w:val="a5"/>
          </w:rPr>
          <w:t>2007\Carbon45, 1381.pdf</w:t>
        </w:r>
      </w:hyperlink>
    </w:p>
    <w:p w:rsidR="00DA1DD1" w:rsidRDefault="00DA1DD1" w:rsidP="00DA1DD1">
      <w:pPr>
        <w:pStyle w:val="a3"/>
        <w:rPr>
          <w:kern w:val="0"/>
          <w:szCs w:val="24"/>
        </w:rPr>
      </w:pPr>
      <w:r>
        <w:rPr>
          <w:kern w:val="0"/>
          <w:szCs w:val="24"/>
        </w:rPr>
        <w:t>Keywords: Citation, Errors, First, Graphite</w:t>
      </w:r>
    </w:p>
    <w:p w:rsidR="003474F2" w:rsidRPr="001A3D2B" w:rsidRDefault="003474F2" w:rsidP="003474F2">
      <w:pPr>
        <w:pStyle w:val="1"/>
      </w:pPr>
      <w:r w:rsidRPr="001A3D2B">
        <w:br w:type="page"/>
      </w:r>
      <w:bookmarkStart w:id="95" w:name="_Toc420814913"/>
      <w:r w:rsidRPr="001A3D2B">
        <w:lastRenderedPageBreak/>
        <w:t>Title: Carcinogenesis</w:t>
      </w:r>
      <w:bookmarkEnd w:id="95"/>
    </w:p>
    <w:p w:rsidR="003474F2" w:rsidRPr="001A3D2B" w:rsidRDefault="003474F2" w:rsidP="003474F2">
      <w:pPr>
        <w:pStyle w:val="12"/>
      </w:pPr>
      <w:r w:rsidRPr="001A3D2B">
        <w:t xml:space="preserve">Full Journal Title: </w:t>
      </w:r>
      <w:r w:rsidR="00DF61FE">
        <w:fldChar w:fldCharType="begin"/>
      </w:r>
      <w:r w:rsidR="00FD158B">
        <w:instrText>HYP</w:instrText>
      </w:r>
      <w:bookmarkStart w:id="96" w:name="_Toc489709663"/>
      <w:bookmarkStart w:id="97" w:name="_Toc490687764"/>
      <w:bookmarkStart w:id="98" w:name="_Toc492779389"/>
      <w:bookmarkStart w:id="99" w:name="_Toc175163392"/>
      <w:r w:rsidR="00FD158B">
        <w:instrText>ERLINK "http://carcin</w:instrText>
      </w:r>
      <w:bookmarkEnd w:id="96"/>
      <w:bookmarkEnd w:id="97"/>
      <w:bookmarkEnd w:id="98"/>
      <w:bookmarkEnd w:id="99"/>
      <w:r w:rsidR="00FD158B">
        <w:instrText>.oxfordjournals.org/"</w:instrText>
      </w:r>
      <w:r w:rsidR="00DF61FE">
        <w:fldChar w:fldCharType="separate"/>
      </w:r>
      <w:r w:rsidRPr="001A3D2B">
        <w:rPr>
          <w:rStyle w:val="a5"/>
        </w:rPr>
        <w:t>Carcinogenesis</w:t>
      </w:r>
      <w:r w:rsidR="00DF61FE">
        <w:fldChar w:fldCharType="end"/>
      </w:r>
    </w:p>
    <w:p w:rsidR="003474F2" w:rsidRPr="001A3D2B" w:rsidRDefault="003474F2" w:rsidP="003474F2">
      <w:pPr>
        <w:pStyle w:val="12"/>
      </w:pPr>
      <w:r w:rsidRPr="001A3D2B">
        <w:t>ISO Abbreviated Title: Carcinogenesis</w:t>
      </w:r>
    </w:p>
    <w:p w:rsidR="003474F2" w:rsidRPr="001A3D2B" w:rsidRDefault="003474F2" w:rsidP="003474F2">
      <w:pPr>
        <w:pStyle w:val="12"/>
      </w:pPr>
      <w:r w:rsidRPr="001A3D2B">
        <w:t>JCR Abbreviated Title: Carcinogenesis</w:t>
      </w:r>
    </w:p>
    <w:p w:rsidR="003474F2" w:rsidRPr="001A3D2B" w:rsidRDefault="003474F2" w:rsidP="003474F2">
      <w:pPr>
        <w:pStyle w:val="12"/>
      </w:pPr>
      <w:r w:rsidRPr="001A3D2B">
        <w:t>ISSN: 0143-3334</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City">
          <w:r w:rsidRPr="001A3D2B">
            <w:t>Oxford</w:t>
          </w:r>
        </w:smartTag>
      </w:smartTag>
      <w:r w:rsidRPr="001A3D2B">
        <w:t xml:space="preserve"> Univ Press</w:t>
      </w:r>
    </w:p>
    <w:p w:rsidR="003474F2" w:rsidRPr="001A3D2B" w:rsidRDefault="003474F2" w:rsidP="003474F2">
      <w:pPr>
        <w:pStyle w:val="12"/>
      </w:pPr>
      <w:r w:rsidRPr="001A3D2B">
        <w:t xml:space="preserve">Publisher Address: </w:t>
      </w:r>
      <w:smartTag w:uri="urn:schemas-microsoft-com:office:smarttags" w:element="place">
        <w:r w:rsidRPr="001A3D2B">
          <w:t xml:space="preserve">Great Clarendon St, </w:t>
        </w:r>
        <w:smartTag w:uri="urn:schemas-microsoft-com:office:smarttags" w:element="City">
          <w:r w:rsidRPr="001A3D2B">
            <w:t>Oxford</w:t>
          </w:r>
        </w:smartTag>
        <w:r w:rsidRPr="001A3D2B">
          <w:t xml:space="preserve"> </w:t>
        </w:r>
        <w:smartTag w:uri="urn:schemas-microsoft-com:office:smarttags" w:element="PostalCode">
          <w:r w:rsidRPr="001A3D2B">
            <w:t>OX2 6DP</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Oncology: Impact Factor 5.108, 19/123 (2005)</w:t>
      </w:r>
    </w:p>
    <w:p w:rsidR="003474F2" w:rsidRPr="001A3D2B" w:rsidRDefault="003474F2" w:rsidP="003474F2">
      <w:pPr>
        <w:pStyle w:val="a3"/>
      </w:pPr>
      <w:r w:rsidRPr="001A3D2B">
        <w:t>Notes: TTopic</w:t>
      </w:r>
    </w:p>
    <w:p w:rsidR="003474F2" w:rsidRPr="001A3D2B" w:rsidRDefault="003474F2" w:rsidP="003474F2">
      <w:pPr>
        <w:pStyle w:val="a3"/>
      </w:pPr>
      <w:r w:rsidRPr="001A3D2B">
        <w:t>? Ugolini, D., Puntoni, R., Perera, F.P., Schulte, P.A.</w:t>
      </w:r>
      <w:r w:rsidR="005853A9">
        <w:t xml:space="preserve"> and </w:t>
      </w:r>
      <w:r w:rsidRPr="001A3D2B">
        <w:t>Bonassi, S. (2007), A bibliometric analysis</w:t>
      </w:r>
      <w:r w:rsidR="00427468">
        <w:t xml:space="preserve"> of </w:t>
      </w:r>
      <w:r w:rsidRPr="001A3D2B">
        <w:t xml:space="preserve">scientific production in cancer molecular epidemiology. </w:t>
      </w:r>
      <w:r w:rsidRPr="001A3D2B">
        <w:rPr>
          <w:i/>
          <w:iCs/>
        </w:rPr>
        <w:t>Carcinogenesis</w:t>
      </w:r>
      <w:r w:rsidRPr="001A3D2B">
        <w:t xml:space="preserve">, </w:t>
      </w:r>
      <w:r w:rsidRPr="001A3D2B">
        <w:rPr>
          <w:b/>
        </w:rPr>
        <w:t>28</w:t>
      </w:r>
      <w:r w:rsidRPr="001A3D2B">
        <w:t xml:space="preserve"> (8), 1774-1779.</w:t>
      </w:r>
    </w:p>
    <w:p w:rsidR="003474F2" w:rsidRPr="001A3D2B" w:rsidRDefault="003474F2" w:rsidP="003474F2">
      <w:pPr>
        <w:pStyle w:val="a3"/>
      </w:pPr>
      <w:r w:rsidRPr="001A3D2B">
        <w:t xml:space="preserve">Full Text: </w:t>
      </w:r>
      <w:hyperlink r:id="rId138" w:history="1">
        <w:r w:rsidRPr="001A3D2B">
          <w:rPr>
            <w:rStyle w:val="a5"/>
          </w:rPr>
          <w:t>2007\Carcinogenesis28, 1774.pdf</w:t>
        </w:r>
      </w:hyperlink>
    </w:p>
    <w:p w:rsidR="003474F2" w:rsidRPr="001A3D2B" w:rsidRDefault="003474F2" w:rsidP="003474F2">
      <w:pPr>
        <w:pStyle w:val="a3"/>
      </w:pPr>
      <w:r w:rsidRPr="001A3D2B">
        <w:t>Abstract: Objectives:</w:t>
      </w:r>
      <w:r w:rsidR="003A1917">
        <w:t xml:space="preserve"> the </w:t>
      </w:r>
      <w:r w:rsidRPr="001A3D2B">
        <w:t>main purpose</w:t>
      </w:r>
      <w:r w:rsidR="00427468">
        <w:t xml:space="preserve"> of </w:t>
      </w:r>
      <w:r w:rsidRPr="001A3D2B">
        <w:t>this research was to compare</w:t>
      </w:r>
      <w:r w:rsidR="003A1917">
        <w:t xml:space="preserve"> the </w:t>
      </w:r>
      <w:r w:rsidRPr="001A3D2B">
        <w:t>scientific production in</w:t>
      </w:r>
      <w:r w:rsidR="003A1917">
        <w:t xml:space="preserve"> the </w:t>
      </w:r>
      <w:r w:rsidRPr="001A3D2B">
        <w:t>field</w:t>
      </w:r>
      <w:r w:rsidR="00427468">
        <w:t xml:space="preserve"> of </w:t>
      </w:r>
      <w:r w:rsidRPr="001A3D2B">
        <w:t>cancer molecular epidemiology among countries</w:t>
      </w:r>
      <w:r w:rsidR="005853A9">
        <w:t xml:space="preserve"> and </w:t>
      </w:r>
      <w:r w:rsidRPr="001A3D2B">
        <w:t>to evaluate</w:t>
      </w:r>
      <w:r w:rsidR="003A1917">
        <w:t xml:space="preserve"> the </w:t>
      </w:r>
      <w:r w:rsidRPr="001A3D2B">
        <w:t>publication trend between 1995</w:t>
      </w:r>
      <w:r w:rsidR="005853A9">
        <w:t xml:space="preserve"> and </w:t>
      </w:r>
      <w:r w:rsidRPr="001A3D2B">
        <w:t>2004. Methods: A bibliometric study was carried out searching</w:t>
      </w:r>
      <w:r w:rsidR="003A1917">
        <w:t xml:space="preserve"> the </w:t>
      </w:r>
      <w:r w:rsidR="002C12F0">
        <w:t>PUBMED</w:t>
      </w:r>
      <w:r w:rsidRPr="001A3D2B">
        <w:t xml:space="preserve"> database with a combined search strategy based on</w:t>
      </w:r>
      <w:r w:rsidR="003A1917">
        <w:t xml:space="preserve"> the </w:t>
      </w:r>
      <w:r w:rsidRPr="001A3D2B">
        <w:t>keywords listed in</w:t>
      </w:r>
      <w:r w:rsidR="003A1917">
        <w:t xml:space="preserve"> the </w:t>
      </w:r>
      <w:r w:rsidRPr="001A3D2B">
        <w:t>medical subject headings</w:t>
      </w:r>
      <w:r w:rsidR="005853A9">
        <w:t xml:space="preserve"> and </w:t>
      </w:r>
      <w:r w:rsidRPr="001A3D2B">
        <w:t>a free text search. Only articles from a representative subset</w:t>
      </w:r>
      <w:r w:rsidR="00427468">
        <w:t xml:space="preserve"> of </w:t>
      </w:r>
      <w:r w:rsidRPr="001A3D2B">
        <w:t>92 journals—accounting for 80%</w:t>
      </w:r>
      <w:r w:rsidR="00427468">
        <w:t xml:space="preserve"> of </w:t>
      </w:r>
      <w:r w:rsidRPr="001A3D2B">
        <w:t>papers identified—were selected for</w:t>
      </w:r>
      <w:r w:rsidR="003A1917">
        <w:t xml:space="preserve"> the </w:t>
      </w:r>
      <w:r w:rsidRPr="001A3D2B">
        <w:t>analysis,</w:t>
      </w:r>
      <w:r w:rsidR="005853A9">
        <w:t xml:space="preserve"> and </w:t>
      </w:r>
      <w:r w:rsidR="003A1917">
        <w:t xml:space="preserve">the </w:t>
      </w:r>
      <w:r w:rsidRPr="001A3D2B">
        <w:t>resulting 13 240 abstracts were manually checked according to a list</w:t>
      </w:r>
      <w:r w:rsidR="00427468">
        <w:t xml:space="preserve"> of </w:t>
      </w:r>
      <w:r w:rsidRPr="001A3D2B">
        <w:t>basic inclusion criteria</w:t>
      </w:r>
      <w:r w:rsidR="00A37C1D">
        <w:t>. The</w:t>
      </w:r>
      <w:r w:rsidR="003A1917">
        <w:t xml:space="preserve"> </w:t>
      </w:r>
      <w:r w:rsidRPr="001A3D2B">
        <w:t>study evaluated</w:t>
      </w:r>
      <w:r w:rsidR="003A1917">
        <w:t xml:space="preserve"> the </w:t>
      </w:r>
      <w:r w:rsidRPr="001A3D2B">
        <w:t>number</w:t>
      </w:r>
      <w:r w:rsidR="00427468">
        <w:t xml:space="preserve"> of </w:t>
      </w:r>
      <w:r w:rsidRPr="001A3D2B">
        <w:t>publications</w:t>
      </w:r>
      <w:r w:rsidR="005853A9">
        <w:t xml:space="preserve"> and </w:t>
      </w:r>
      <w:r w:rsidR="003A1917">
        <w:t xml:space="preserve">the </w:t>
      </w:r>
      <w:r w:rsidRPr="001A3D2B">
        <w:t>impact factor (mean</w:t>
      </w:r>
      <w:r w:rsidR="005853A9">
        <w:t xml:space="preserve"> and </w:t>
      </w:r>
      <w:r w:rsidRPr="001A3D2B">
        <w:t>sum), absolute</w:t>
      </w:r>
      <w:r w:rsidR="005853A9">
        <w:t xml:space="preserve"> and </w:t>
      </w:r>
      <w:r w:rsidRPr="001A3D2B">
        <w:t>normalized by country population</w:t>
      </w:r>
      <w:r w:rsidR="005853A9">
        <w:t xml:space="preserve"> and </w:t>
      </w:r>
      <w:r w:rsidRPr="001A3D2B">
        <w:t>gross domestic product. Results: A total</w:t>
      </w:r>
      <w:r w:rsidR="00427468">
        <w:t xml:space="preserve"> of </w:t>
      </w:r>
      <w:r w:rsidRPr="001A3D2B">
        <w:t>3842 citations were finally selected for</w:t>
      </w:r>
      <w:r w:rsidR="003A1917">
        <w:t xml:space="preserve"> the </w:t>
      </w:r>
      <w:r w:rsidRPr="001A3D2B">
        <w:t>analysis. Thirty-seven percent came from</w:t>
      </w:r>
      <w:r w:rsidR="003A1917">
        <w:t xml:space="preserve"> the </w:t>
      </w:r>
      <w:r w:rsidRPr="001A3D2B">
        <w:t>European Union (UK, Germany, Italy, France</w:t>
      </w:r>
      <w:r w:rsidR="005853A9">
        <w:t xml:space="preserve"> and </w:t>
      </w:r>
      <w:r w:rsidRPr="001A3D2B">
        <w:t>Sweden ranking at</w:t>
      </w:r>
      <w:r w:rsidR="003A1917">
        <w:t xml:space="preserve"> the </w:t>
      </w:r>
      <w:r w:rsidRPr="001A3D2B">
        <w:t xml:space="preserve">top), 31.6% from </w:t>
      </w:r>
      <w:r w:rsidR="00D5664A">
        <w:t>USA</w:t>
      </w:r>
      <w:r w:rsidR="005853A9">
        <w:t xml:space="preserve"> and </w:t>
      </w:r>
      <w:r w:rsidRPr="001A3D2B">
        <w:t>9.7% from Japan</w:t>
      </w:r>
      <w:r w:rsidR="00A37C1D">
        <w:t>. The</w:t>
      </w:r>
      <w:r w:rsidR="003A1917">
        <w:t xml:space="preserve"> </w:t>
      </w:r>
      <w:r w:rsidRPr="001A3D2B">
        <w:t xml:space="preserve">highest mean impact factor was reported for Canada (6.3), </w:t>
      </w:r>
      <w:r w:rsidR="00D5664A">
        <w:t>USA</w:t>
      </w:r>
      <w:r w:rsidRPr="001A3D2B">
        <w:t xml:space="preserve"> (5.9), Finland (5.8)</w:t>
      </w:r>
      <w:r w:rsidR="005853A9">
        <w:t xml:space="preserve"> and </w:t>
      </w:r>
      <w:r w:rsidRPr="001A3D2B">
        <w:t>UK (5.2). Finland, Sweden</w:t>
      </w:r>
      <w:r w:rsidR="005853A9">
        <w:t xml:space="preserve"> and </w:t>
      </w:r>
      <w:r w:rsidRPr="001A3D2B">
        <w:t>Israel had</w:t>
      </w:r>
      <w:r w:rsidR="003A1917">
        <w:t xml:space="preserve"> the </w:t>
      </w:r>
      <w:r w:rsidRPr="001A3D2B">
        <w:t>best ratio between scientific production</w:t>
      </w:r>
      <w:r w:rsidR="005853A9">
        <w:t xml:space="preserve"> and </w:t>
      </w:r>
      <w:r w:rsidRPr="001A3D2B">
        <w:t xml:space="preserve">available resources. </w:t>
      </w:r>
      <w:r w:rsidR="0071223E">
        <w:t>‘</w:t>
      </w:r>
      <w:r w:rsidRPr="001A3D2B">
        <w:t>Genetic polymorphism, glutathione transferase, breast neoplasm, risk factors, case–control studies</w:t>
      </w:r>
      <w:r w:rsidR="005853A9">
        <w:t xml:space="preserve"> and </w:t>
      </w:r>
      <w:r w:rsidRPr="001A3D2B">
        <w:t>polymerase chain reaction</w:t>
      </w:r>
      <w:r w:rsidR="0071223E">
        <w:t>’</w:t>
      </w:r>
      <w:r w:rsidRPr="001A3D2B">
        <w:t xml:space="preserve"> were</w:t>
      </w:r>
      <w:r w:rsidR="003A1917">
        <w:t xml:space="preserve"> the </w:t>
      </w:r>
      <w:r w:rsidRPr="001A3D2B">
        <w:t>most used keywords in each</w:t>
      </w:r>
      <w:r w:rsidR="00427468">
        <w:t xml:space="preserve"> of </w:t>
      </w:r>
      <w:r w:rsidR="003A1917">
        <w:t xml:space="preserve">the </w:t>
      </w:r>
      <w:r w:rsidRPr="001A3D2B">
        <w:t>subgroups evaluated, although inclusion criteria may have privileged studies dealing with exogenous carcinogens. Conclusion: Cancer molecular epidemiology is an expanding area attracting an increasing interest</w:t>
      </w:r>
      <w:r w:rsidR="00A37C1D">
        <w:t>. The</w:t>
      </w:r>
      <w:r w:rsidR="003A1917">
        <w:t xml:space="preserve"> </w:t>
      </w:r>
      <w:r w:rsidRPr="001A3D2B">
        <w:lastRenderedPageBreak/>
        <w:t>identification</w:t>
      </w:r>
      <w:r w:rsidR="00427468">
        <w:t xml:space="preserve"> of </w:t>
      </w:r>
      <w:r w:rsidRPr="001A3D2B">
        <w:t>an operative definition is a necessary condition to give to this discipline a unique scientific identity.</w:t>
      </w:r>
    </w:p>
    <w:p w:rsidR="003474F2" w:rsidRPr="001A3D2B" w:rsidRDefault="003474F2" w:rsidP="003474F2">
      <w:pPr>
        <w:pStyle w:val="a3"/>
      </w:pPr>
      <w:r w:rsidRPr="001A3D2B">
        <w:t xml:space="preserve">Keywords: Analysis, Bibliometric, Bibliometric Analysis, Bibliometric Study, Breast Neoplasm, Canada, Cancer, Case-Control, Case-Control Studies, Citations, Country, Criteria, Database, Epidemiology, European Union, Field, Finland, France, Germany, Glutathione, Gross Domestic Product, Identification, Impact, Impact Factor, Israel, Italy, Japan, Medical, Neoplasm, Operative, Papers, Polymerase Chain Reaction, Polymorphism, Population, Publication, Publications, </w:t>
      </w:r>
      <w:r w:rsidR="002C12F0">
        <w:t>PUBMED</w:t>
      </w:r>
      <w:r w:rsidRPr="001A3D2B">
        <w:t>, Purpose, Ranking, Research, Risk, Risk Factors, Scientific Production, Search Strategy, Sweden, Trend</w:t>
      </w:r>
      <w:r w:rsidR="00D5664A">
        <w:t>, UK,</w:t>
      </w:r>
      <w:r w:rsidRPr="001A3D2B">
        <w:t xml:space="preserve"> </w:t>
      </w:r>
      <w:r w:rsidR="00D5664A">
        <w:t>USA</w:t>
      </w:r>
    </w:p>
    <w:p w:rsidR="00862E4D" w:rsidRPr="001A3D2B" w:rsidRDefault="00862E4D" w:rsidP="00862E4D">
      <w:pPr>
        <w:pStyle w:val="1"/>
      </w:pPr>
      <w:r w:rsidRPr="001A3D2B">
        <w:br w:type="page"/>
      </w:r>
      <w:bookmarkStart w:id="100" w:name="_Toc420814914"/>
      <w:r w:rsidRPr="001A3D2B">
        <w:lastRenderedPageBreak/>
        <w:t xml:space="preserve">Title: </w:t>
      </w:r>
      <w:r w:rsidRPr="00862E4D">
        <w:t>Cardiology</w:t>
      </w:r>
      <w:bookmarkEnd w:id="100"/>
    </w:p>
    <w:p w:rsidR="00862E4D" w:rsidRPr="001A3D2B" w:rsidRDefault="00862E4D" w:rsidP="00862E4D">
      <w:pPr>
        <w:pStyle w:val="12"/>
      </w:pPr>
      <w:r w:rsidRPr="001A3D2B">
        <w:t xml:space="preserve">Full Journal Title: </w:t>
      </w:r>
      <w:r w:rsidRPr="00862E4D">
        <w:rPr>
          <w:iCs/>
          <w:kern w:val="0"/>
        </w:rPr>
        <w:t>Cardiology</w:t>
      </w:r>
    </w:p>
    <w:p w:rsidR="00862E4D" w:rsidRPr="001A3D2B" w:rsidRDefault="00862E4D" w:rsidP="00862E4D">
      <w:pPr>
        <w:pStyle w:val="12"/>
      </w:pPr>
      <w:r w:rsidRPr="001A3D2B">
        <w:t xml:space="preserve">ISO Abbreviated Title: </w:t>
      </w:r>
      <w:r w:rsidR="00502166" w:rsidRPr="00862E4D">
        <w:rPr>
          <w:iCs/>
          <w:kern w:val="0"/>
        </w:rPr>
        <w:t>Cardiology</w:t>
      </w:r>
    </w:p>
    <w:p w:rsidR="00862E4D" w:rsidRPr="001A3D2B" w:rsidRDefault="00862E4D" w:rsidP="00862E4D">
      <w:pPr>
        <w:pStyle w:val="12"/>
      </w:pPr>
      <w:r w:rsidRPr="001A3D2B">
        <w:t xml:space="preserve">JCR Abbreviated Title: </w:t>
      </w:r>
      <w:r w:rsidR="00502166" w:rsidRPr="00862E4D">
        <w:rPr>
          <w:iCs/>
          <w:kern w:val="0"/>
        </w:rPr>
        <w:t>Cardiology</w:t>
      </w:r>
    </w:p>
    <w:p w:rsidR="00862E4D" w:rsidRPr="001A3D2B" w:rsidRDefault="00862E4D" w:rsidP="00862E4D">
      <w:pPr>
        <w:pStyle w:val="12"/>
      </w:pPr>
      <w:r w:rsidRPr="001A3D2B">
        <w:t xml:space="preserve">ISSN: </w:t>
      </w:r>
    </w:p>
    <w:p w:rsidR="00862E4D" w:rsidRPr="001A3D2B" w:rsidRDefault="00862E4D" w:rsidP="00862E4D">
      <w:pPr>
        <w:pStyle w:val="12"/>
      </w:pPr>
      <w:r w:rsidRPr="001A3D2B">
        <w:t xml:space="preserve">Issues/Year: </w:t>
      </w:r>
    </w:p>
    <w:p w:rsidR="00862E4D" w:rsidRPr="001A3D2B" w:rsidRDefault="00862E4D" w:rsidP="00862E4D">
      <w:pPr>
        <w:pStyle w:val="12"/>
      </w:pPr>
      <w:r w:rsidRPr="001A3D2B">
        <w:t xml:space="preserve">Journal Country/Territory: </w:t>
      </w:r>
    </w:p>
    <w:p w:rsidR="00862E4D" w:rsidRPr="001A3D2B" w:rsidRDefault="00862E4D" w:rsidP="00862E4D">
      <w:pPr>
        <w:pStyle w:val="12"/>
      </w:pPr>
      <w:r w:rsidRPr="001A3D2B">
        <w:t xml:space="preserve">Language: </w:t>
      </w:r>
    </w:p>
    <w:p w:rsidR="00862E4D" w:rsidRPr="001A3D2B" w:rsidRDefault="00862E4D" w:rsidP="00862E4D">
      <w:pPr>
        <w:pStyle w:val="12"/>
      </w:pPr>
      <w:r w:rsidRPr="001A3D2B">
        <w:t xml:space="preserve">Publisher: </w:t>
      </w:r>
    </w:p>
    <w:p w:rsidR="00862E4D" w:rsidRPr="001A3D2B" w:rsidRDefault="00862E4D" w:rsidP="00862E4D">
      <w:pPr>
        <w:pStyle w:val="12"/>
      </w:pPr>
      <w:r w:rsidRPr="001A3D2B">
        <w:t xml:space="preserve">Publisher Address: </w:t>
      </w:r>
    </w:p>
    <w:p w:rsidR="00862E4D" w:rsidRPr="001A3D2B" w:rsidRDefault="00862E4D" w:rsidP="00862E4D">
      <w:pPr>
        <w:pStyle w:val="12"/>
      </w:pPr>
      <w:r w:rsidRPr="001A3D2B">
        <w:t xml:space="preserve">Subject Categories: </w:t>
      </w:r>
    </w:p>
    <w:p w:rsidR="00862E4D" w:rsidRPr="001A3D2B" w:rsidRDefault="00862E4D" w:rsidP="00862E4D">
      <w:pPr>
        <w:pStyle w:val="12"/>
      </w:pPr>
      <w:r w:rsidRPr="001A3D2B">
        <w:t xml:space="preserve">: Impact Factor </w:t>
      </w:r>
    </w:p>
    <w:p w:rsidR="00862E4D" w:rsidRDefault="00862E4D" w:rsidP="00862E4D">
      <w:pPr>
        <w:pStyle w:val="a3"/>
        <w:rPr>
          <w:kern w:val="0"/>
        </w:rPr>
      </w:pPr>
      <w:r>
        <w:rPr>
          <w:rFonts w:hint="eastAsia"/>
          <w:kern w:val="0"/>
        </w:rPr>
        <w:t xml:space="preserve">? </w:t>
      </w:r>
      <w:r>
        <w:rPr>
          <w:kern w:val="0"/>
        </w:rPr>
        <w:t>[Anon]. (2010), Apparent non-cited overlap between two published articles by</w:t>
      </w:r>
      <w:r w:rsidR="003A1917">
        <w:rPr>
          <w:kern w:val="0"/>
        </w:rPr>
        <w:t xml:space="preserve"> the </w:t>
      </w:r>
      <w:r>
        <w:rPr>
          <w:kern w:val="0"/>
        </w:rPr>
        <w:t>same group</w:t>
      </w:r>
      <w:r w:rsidR="00427468">
        <w:rPr>
          <w:kern w:val="0"/>
        </w:rPr>
        <w:t xml:space="preserve"> of </w:t>
      </w:r>
      <w:r>
        <w:rPr>
          <w:kern w:val="0"/>
        </w:rPr>
        <w:t xml:space="preserve">authors. </w:t>
      </w:r>
      <w:r w:rsidRPr="00862E4D">
        <w:rPr>
          <w:i/>
          <w:iCs/>
          <w:kern w:val="0"/>
        </w:rPr>
        <w:t>Cardiology</w:t>
      </w:r>
      <w:r>
        <w:rPr>
          <w:kern w:val="0"/>
        </w:rPr>
        <w:t xml:space="preserve">, </w:t>
      </w:r>
      <w:r>
        <w:rPr>
          <w:b/>
          <w:bCs/>
          <w:kern w:val="0"/>
        </w:rPr>
        <w:t>117</w:t>
      </w:r>
      <w:r>
        <w:rPr>
          <w:kern w:val="0"/>
        </w:rPr>
        <w:t xml:space="preserve"> (3), 197</w:t>
      </w:r>
      <w:r>
        <w:rPr>
          <w:rFonts w:hint="eastAsia"/>
          <w:kern w:val="0"/>
        </w:rPr>
        <w:t>.</w:t>
      </w:r>
    </w:p>
    <w:p w:rsidR="00862E4D" w:rsidRDefault="00862E4D" w:rsidP="00862E4D">
      <w:pPr>
        <w:pStyle w:val="a3"/>
        <w:rPr>
          <w:kern w:val="0"/>
        </w:rPr>
      </w:pPr>
      <w:r>
        <w:rPr>
          <w:rFonts w:hint="eastAsia"/>
          <w:kern w:val="0"/>
        </w:rPr>
        <w:t xml:space="preserve">Full Text: </w:t>
      </w:r>
      <w:hyperlink r:id="rId139" w:history="1">
        <w:r w:rsidRPr="00862E4D">
          <w:rPr>
            <w:rStyle w:val="a5"/>
            <w:kern w:val="0"/>
          </w:rPr>
          <w:t>2010\Cardiology117, 197.pdf</w:t>
        </w:r>
      </w:hyperlink>
    </w:p>
    <w:p w:rsidR="00FA7F60" w:rsidRPr="001A3D2B" w:rsidRDefault="00FA7F60" w:rsidP="00FA7F60">
      <w:pPr>
        <w:pStyle w:val="1"/>
      </w:pPr>
      <w:r w:rsidRPr="001A3D2B">
        <w:br w:type="page"/>
      </w:r>
      <w:bookmarkStart w:id="101" w:name="_Toc420814915"/>
      <w:r w:rsidRPr="001A3D2B">
        <w:lastRenderedPageBreak/>
        <w:t xml:space="preserve">Title: </w:t>
      </w:r>
      <w:r w:rsidRPr="00FA7F60">
        <w:rPr>
          <w:iCs w:val="0"/>
        </w:rPr>
        <w:t>Cardiology in the Young</w:t>
      </w:r>
      <w:bookmarkEnd w:id="101"/>
    </w:p>
    <w:p w:rsidR="00FA7F60" w:rsidRPr="001A3D2B" w:rsidRDefault="00FA7F60" w:rsidP="00FA7F60">
      <w:pPr>
        <w:pStyle w:val="12"/>
      </w:pPr>
      <w:r w:rsidRPr="001A3D2B">
        <w:t xml:space="preserve">Full Journal Title: </w:t>
      </w:r>
      <w:r w:rsidRPr="00FA7F60">
        <w:rPr>
          <w:iCs/>
          <w:kern w:val="0"/>
        </w:rPr>
        <w:t>Cardiology in the Young</w:t>
      </w:r>
    </w:p>
    <w:p w:rsidR="00FA7F60" w:rsidRPr="001A3D2B" w:rsidRDefault="00FA7F60" w:rsidP="00FA7F60">
      <w:pPr>
        <w:pStyle w:val="12"/>
      </w:pPr>
      <w:r w:rsidRPr="001A3D2B">
        <w:t xml:space="preserve">ISO Abbreviated Title: </w:t>
      </w:r>
    </w:p>
    <w:p w:rsidR="00FA7F60" w:rsidRPr="001A3D2B" w:rsidRDefault="00FA7F60" w:rsidP="00FA7F60">
      <w:pPr>
        <w:pStyle w:val="12"/>
      </w:pPr>
      <w:r w:rsidRPr="001A3D2B">
        <w:t xml:space="preserve">JCR Abbreviated Title: </w:t>
      </w:r>
    </w:p>
    <w:p w:rsidR="00FA7F60" w:rsidRPr="001A3D2B" w:rsidRDefault="00FA7F60" w:rsidP="00FA7F60">
      <w:pPr>
        <w:pStyle w:val="12"/>
      </w:pPr>
      <w:r w:rsidRPr="001A3D2B">
        <w:t xml:space="preserve">ISSN: </w:t>
      </w:r>
    </w:p>
    <w:p w:rsidR="00FA7F60" w:rsidRPr="001A3D2B" w:rsidRDefault="00FA7F60" w:rsidP="00FA7F60">
      <w:pPr>
        <w:pStyle w:val="12"/>
      </w:pPr>
      <w:r w:rsidRPr="001A3D2B">
        <w:t xml:space="preserve">Issues/Year: </w:t>
      </w:r>
    </w:p>
    <w:p w:rsidR="00FA7F60" w:rsidRPr="001A3D2B" w:rsidRDefault="00FA7F60" w:rsidP="00FA7F60">
      <w:pPr>
        <w:pStyle w:val="12"/>
      </w:pPr>
      <w:r w:rsidRPr="001A3D2B">
        <w:t xml:space="preserve">Journal Country/Territory: </w:t>
      </w:r>
    </w:p>
    <w:p w:rsidR="00FA7F60" w:rsidRPr="001A3D2B" w:rsidRDefault="00FA7F60" w:rsidP="00FA7F60">
      <w:pPr>
        <w:pStyle w:val="12"/>
      </w:pPr>
      <w:r w:rsidRPr="001A3D2B">
        <w:t xml:space="preserve">Language: </w:t>
      </w:r>
    </w:p>
    <w:p w:rsidR="00FA7F60" w:rsidRPr="001A3D2B" w:rsidRDefault="00FA7F60" w:rsidP="00FA7F60">
      <w:pPr>
        <w:pStyle w:val="12"/>
      </w:pPr>
      <w:r w:rsidRPr="001A3D2B">
        <w:t xml:space="preserve">Publisher: </w:t>
      </w:r>
    </w:p>
    <w:p w:rsidR="00FA7F60" w:rsidRPr="001A3D2B" w:rsidRDefault="00FA7F60" w:rsidP="00FA7F60">
      <w:pPr>
        <w:pStyle w:val="12"/>
      </w:pPr>
      <w:r w:rsidRPr="001A3D2B">
        <w:t xml:space="preserve">Publisher Address: </w:t>
      </w:r>
    </w:p>
    <w:p w:rsidR="00FA7F60" w:rsidRPr="001A3D2B" w:rsidRDefault="00FA7F60" w:rsidP="00FA7F60">
      <w:pPr>
        <w:pStyle w:val="12"/>
      </w:pPr>
      <w:r w:rsidRPr="001A3D2B">
        <w:t xml:space="preserve">Subject Categories: </w:t>
      </w:r>
    </w:p>
    <w:p w:rsidR="00FA7F60" w:rsidRPr="001A3D2B" w:rsidRDefault="00FA7F60" w:rsidP="00FA7F60">
      <w:pPr>
        <w:pStyle w:val="12"/>
      </w:pPr>
      <w:r w:rsidRPr="001A3D2B">
        <w:t xml:space="preserve">: Impact Factor </w:t>
      </w:r>
    </w:p>
    <w:p w:rsidR="00FA7F60" w:rsidRDefault="00FA7F60" w:rsidP="00FA7F60">
      <w:pPr>
        <w:pStyle w:val="a3"/>
        <w:rPr>
          <w:kern w:val="0"/>
        </w:rPr>
      </w:pPr>
      <w:r>
        <w:rPr>
          <w:kern w:val="0"/>
        </w:rPr>
        <w:t xml:space="preserve">? Lin, J., Jin, H.F. and Du, J.B. (2014), Assessment of therapeutic biomarkers in the treatment of children with postural tachycardia syndrome and vasovagal syncope. </w:t>
      </w:r>
      <w:r>
        <w:rPr>
          <w:i/>
          <w:iCs/>
          <w:kern w:val="0"/>
        </w:rPr>
        <w:t>Cardiology in the Young</w:t>
      </w:r>
      <w:r>
        <w:rPr>
          <w:kern w:val="0"/>
        </w:rPr>
        <w:t xml:space="preserve">, </w:t>
      </w:r>
      <w:r>
        <w:rPr>
          <w:b/>
          <w:bCs/>
          <w:kern w:val="0"/>
        </w:rPr>
        <w:t>24</w:t>
      </w:r>
      <w:r>
        <w:rPr>
          <w:kern w:val="0"/>
        </w:rPr>
        <w:t xml:space="preserve"> (5), 792-796.</w:t>
      </w:r>
    </w:p>
    <w:p w:rsidR="00FA7F60" w:rsidRDefault="00FA7F60" w:rsidP="00FA7F60">
      <w:pPr>
        <w:pStyle w:val="a3"/>
        <w:rPr>
          <w:kern w:val="0"/>
        </w:rPr>
      </w:pPr>
      <w:r>
        <w:rPr>
          <w:rFonts w:hint="eastAsia"/>
          <w:kern w:val="0"/>
        </w:rPr>
        <w:t xml:space="preserve">Full Text: </w:t>
      </w:r>
      <w:hyperlink r:id="rId140" w:history="1">
        <w:r w:rsidRPr="00FA7F60">
          <w:rPr>
            <w:rStyle w:val="a5"/>
            <w:rFonts w:hint="eastAsia"/>
            <w:kern w:val="0"/>
          </w:rPr>
          <w:t>2014\</w:t>
        </w:r>
        <w:r w:rsidRPr="00FA7F60">
          <w:rPr>
            <w:rStyle w:val="a5"/>
            <w:iCs/>
            <w:kern w:val="0"/>
          </w:rPr>
          <w:t xml:space="preserve">Car </w:t>
        </w:r>
        <w:r w:rsidRPr="00FA7F60">
          <w:rPr>
            <w:rStyle w:val="a5"/>
            <w:rFonts w:hint="eastAsia"/>
            <w:iCs/>
            <w:kern w:val="0"/>
          </w:rPr>
          <w:t>You</w:t>
        </w:r>
        <w:r w:rsidRPr="00FA7F60">
          <w:rPr>
            <w:rStyle w:val="a5"/>
            <w:bCs/>
            <w:kern w:val="0"/>
          </w:rPr>
          <w:t>2</w:t>
        </w:r>
        <w:r w:rsidRPr="00FA7F60">
          <w:rPr>
            <w:rStyle w:val="a5"/>
            <w:rFonts w:hint="eastAsia"/>
            <w:bCs/>
            <w:kern w:val="0"/>
          </w:rPr>
          <w:t>4</w:t>
        </w:r>
        <w:r w:rsidRPr="00FA7F60">
          <w:rPr>
            <w:rStyle w:val="a5"/>
            <w:kern w:val="0"/>
          </w:rPr>
          <w:t>, 792</w:t>
        </w:r>
        <w:r w:rsidRPr="00FA7F60">
          <w:rPr>
            <w:rStyle w:val="a5"/>
            <w:rFonts w:hint="eastAsia"/>
            <w:kern w:val="0"/>
          </w:rPr>
          <w:t>.pdf</w:t>
        </w:r>
      </w:hyperlink>
    </w:p>
    <w:p w:rsidR="00FA7F60" w:rsidRDefault="00FA7F60" w:rsidP="00FA7F60">
      <w:pPr>
        <w:pStyle w:val="a3"/>
        <w:rPr>
          <w:kern w:val="0"/>
        </w:rPr>
      </w:pPr>
      <w:r>
        <w:rPr>
          <w:kern w:val="0"/>
        </w:rPr>
        <w:t>Abstract: Background: Postural tachycardia syndrome and vasovagal syncope are common causes of orthostatic intolerance in children. The supplementation with water, or salt, or midodrine, or beta-blocker was applied to children with postural tachycardia syndrome or vasovagal syncope. However, the efficacy of such medication varied and was not satisfied. This review aimed to summarise the current biomarkers in the treatment of the diseases. Data sources: Studies were collected from online electronic databases, including OVID Medline, PubMed, ISI Web of Science, and associated references. The main areas assessed in the included studies were clinical improvement, the cure rate, and the individualised treatment for postural tachycardia syndrome and vasovagal syncope in children. Results: Haemodynamic change during head-up tilt test, and detection of 24-hour urinary sodium excretion, flow-mediated vasodilation, erythrocytic H2S, and plasma pro-adrenomedullin as biological markers were the new ways that were inexpensive, non-invasive, and easy to test for finding those who would be suitable for a specific drug and treatment. Conclusion: With the help of biomarkers, the therapeutic efficacy was greatly increased for children with postural tachycardia syndrome and vasovagal syncope.</w:t>
      </w:r>
    </w:p>
    <w:p w:rsidR="00FA7F60" w:rsidRDefault="00FA7F60" w:rsidP="00FA7F60">
      <w:pPr>
        <w:pStyle w:val="a3"/>
        <w:rPr>
          <w:kern w:val="0"/>
        </w:rPr>
      </w:pPr>
      <w:r>
        <w:rPr>
          <w:kern w:val="0"/>
        </w:rPr>
        <w:t xml:space="preserve">Keywords: Adolescents, Assessment, Biological, Biological Markers, Biomarkers, Children, Clinical, Data, Databases, Detection, Diseases, Drug, Efficacy, Flow-Mediated Vasodilation, From, H2s, Hydrogen-Sulfide, Improvement, Intolerance, Isi, Isi Web of Science, Medline, Midodrine Hydrochloride, Online, </w:t>
      </w:r>
      <w:r>
        <w:rPr>
          <w:kern w:val="0"/>
        </w:rPr>
        <w:lastRenderedPageBreak/>
        <w:t>Orthostatic Tachycardia, Plasma, Postural Tachycardia Syndrome, Predictor, Pro-Adrenomedullin, Propranolol, Pubmed, References, Results, Review, Salt, Science, Sodium, Sources, Syncope, Syndrome, Tachycardia, Therapeutic, Therapeutic Biomarkers, Therapeutic Efficacy, Treatment, Urinary, Vasodilation, Vasovagal Syncope, Water, Web, Web of Science</w:t>
      </w:r>
    </w:p>
    <w:p w:rsidR="00502166" w:rsidRPr="001A3D2B" w:rsidRDefault="00502166" w:rsidP="00502166">
      <w:pPr>
        <w:pStyle w:val="1"/>
      </w:pPr>
      <w:r w:rsidRPr="001A3D2B">
        <w:br w:type="page"/>
      </w:r>
      <w:bookmarkStart w:id="102" w:name="_Toc420814916"/>
      <w:r w:rsidRPr="001A3D2B">
        <w:lastRenderedPageBreak/>
        <w:t xml:space="preserve">Title: </w:t>
      </w:r>
      <w:r w:rsidRPr="00502166">
        <w:rPr>
          <w:iCs w:val="0"/>
        </w:rPr>
        <w:t>Cardiology Journal</w:t>
      </w:r>
      <w:bookmarkEnd w:id="102"/>
    </w:p>
    <w:p w:rsidR="00502166" w:rsidRPr="001A3D2B" w:rsidRDefault="00502166" w:rsidP="00502166">
      <w:pPr>
        <w:pStyle w:val="12"/>
      </w:pPr>
      <w:r w:rsidRPr="001A3D2B">
        <w:t xml:space="preserve">Full Journal Title: </w:t>
      </w:r>
      <w:r w:rsidRPr="00502166">
        <w:rPr>
          <w:iCs/>
          <w:kern w:val="0"/>
        </w:rPr>
        <w:t>Cardiology Journal</w:t>
      </w:r>
    </w:p>
    <w:p w:rsidR="00502166" w:rsidRPr="001A3D2B" w:rsidRDefault="00502166" w:rsidP="00502166">
      <w:pPr>
        <w:pStyle w:val="12"/>
      </w:pPr>
      <w:r w:rsidRPr="001A3D2B">
        <w:t xml:space="preserve">ISO Abbreviated Title: </w:t>
      </w:r>
    </w:p>
    <w:p w:rsidR="00502166" w:rsidRPr="001A3D2B" w:rsidRDefault="00502166" w:rsidP="00502166">
      <w:pPr>
        <w:pStyle w:val="12"/>
      </w:pPr>
      <w:r w:rsidRPr="001A3D2B">
        <w:t xml:space="preserve">JCR Abbreviated Title: </w:t>
      </w:r>
    </w:p>
    <w:p w:rsidR="00502166" w:rsidRPr="001A3D2B" w:rsidRDefault="00502166" w:rsidP="00502166">
      <w:pPr>
        <w:pStyle w:val="12"/>
      </w:pPr>
      <w:r w:rsidRPr="001A3D2B">
        <w:t xml:space="preserve">ISSN: </w:t>
      </w:r>
    </w:p>
    <w:p w:rsidR="00502166" w:rsidRPr="001A3D2B" w:rsidRDefault="00502166" w:rsidP="00502166">
      <w:pPr>
        <w:pStyle w:val="12"/>
      </w:pPr>
      <w:r w:rsidRPr="001A3D2B">
        <w:t xml:space="preserve">Issues/Year: </w:t>
      </w:r>
    </w:p>
    <w:p w:rsidR="00502166" w:rsidRPr="001A3D2B" w:rsidRDefault="00502166" w:rsidP="00502166">
      <w:pPr>
        <w:pStyle w:val="12"/>
      </w:pPr>
      <w:r w:rsidRPr="001A3D2B">
        <w:t xml:space="preserve">Journal Country/Territory: </w:t>
      </w:r>
    </w:p>
    <w:p w:rsidR="00502166" w:rsidRPr="001A3D2B" w:rsidRDefault="00502166" w:rsidP="00502166">
      <w:pPr>
        <w:pStyle w:val="12"/>
      </w:pPr>
      <w:r w:rsidRPr="001A3D2B">
        <w:t xml:space="preserve">Language: </w:t>
      </w:r>
    </w:p>
    <w:p w:rsidR="00502166" w:rsidRPr="001A3D2B" w:rsidRDefault="00502166" w:rsidP="00502166">
      <w:pPr>
        <w:pStyle w:val="12"/>
      </w:pPr>
      <w:r w:rsidRPr="001A3D2B">
        <w:t xml:space="preserve">Publisher: </w:t>
      </w:r>
    </w:p>
    <w:p w:rsidR="00502166" w:rsidRPr="001A3D2B" w:rsidRDefault="00502166" w:rsidP="00502166">
      <w:pPr>
        <w:pStyle w:val="12"/>
      </w:pPr>
      <w:r w:rsidRPr="001A3D2B">
        <w:t xml:space="preserve">Publisher Address: </w:t>
      </w:r>
    </w:p>
    <w:p w:rsidR="00502166" w:rsidRPr="001A3D2B" w:rsidRDefault="00502166" w:rsidP="00502166">
      <w:pPr>
        <w:pStyle w:val="12"/>
      </w:pPr>
      <w:r w:rsidRPr="001A3D2B">
        <w:t xml:space="preserve">Subject Categories: </w:t>
      </w:r>
    </w:p>
    <w:p w:rsidR="00502166" w:rsidRPr="001A3D2B" w:rsidRDefault="00502166" w:rsidP="00502166">
      <w:pPr>
        <w:pStyle w:val="12"/>
      </w:pPr>
      <w:r w:rsidRPr="001A3D2B">
        <w:t xml:space="preserve">: Impact Factor </w:t>
      </w:r>
    </w:p>
    <w:p w:rsidR="00502166" w:rsidRDefault="00502166" w:rsidP="00502166">
      <w:pPr>
        <w:pStyle w:val="a3"/>
        <w:rPr>
          <w:kern w:val="0"/>
        </w:rPr>
      </w:pPr>
      <w:r>
        <w:rPr>
          <w:kern w:val="0"/>
        </w:rPr>
        <w:t xml:space="preserve">? Niu, X.W., Yang, C.L., Chen, D., He, S.L., Yan, D. and Yao, Y.L. (2014), Impact of drug-eluting stents with different coating strategies on stent thrombosis: A meta-analysis of 19 randomized trials. </w:t>
      </w:r>
      <w:r w:rsidRPr="00502166">
        <w:rPr>
          <w:i/>
          <w:iCs/>
          <w:kern w:val="0"/>
        </w:rPr>
        <w:t>Cardiology Journal</w:t>
      </w:r>
      <w:r>
        <w:rPr>
          <w:kern w:val="0"/>
        </w:rPr>
        <w:t xml:space="preserve">, </w:t>
      </w:r>
      <w:r>
        <w:rPr>
          <w:b/>
          <w:bCs/>
          <w:kern w:val="0"/>
        </w:rPr>
        <w:t>21</w:t>
      </w:r>
      <w:r>
        <w:rPr>
          <w:kern w:val="0"/>
        </w:rPr>
        <w:t xml:space="preserve"> (5), 557-568.</w:t>
      </w:r>
    </w:p>
    <w:p w:rsidR="00502166" w:rsidRDefault="00502166" w:rsidP="00502166">
      <w:pPr>
        <w:pStyle w:val="a3"/>
        <w:rPr>
          <w:kern w:val="0"/>
        </w:rPr>
      </w:pPr>
      <w:r>
        <w:rPr>
          <w:rFonts w:hint="eastAsia"/>
          <w:kern w:val="0"/>
        </w:rPr>
        <w:t>Full Text: 2014\</w:t>
      </w:r>
      <w:r>
        <w:rPr>
          <w:iCs/>
          <w:kern w:val="0"/>
        </w:rPr>
        <w:t>Car J</w:t>
      </w:r>
      <w:r w:rsidRPr="00C3585C">
        <w:rPr>
          <w:bCs/>
          <w:kern w:val="0"/>
        </w:rPr>
        <w:t>21</w:t>
      </w:r>
      <w:r>
        <w:rPr>
          <w:kern w:val="0"/>
        </w:rPr>
        <w:t>, 557</w:t>
      </w:r>
      <w:r>
        <w:rPr>
          <w:rFonts w:hint="eastAsia"/>
          <w:kern w:val="0"/>
        </w:rPr>
        <w:t>.pdf</w:t>
      </w:r>
    </w:p>
    <w:p w:rsidR="00502166" w:rsidRDefault="00502166" w:rsidP="00502166">
      <w:pPr>
        <w:pStyle w:val="a3"/>
        <w:rPr>
          <w:kern w:val="0"/>
        </w:rPr>
      </w:pPr>
      <w:r>
        <w:rPr>
          <w:kern w:val="0"/>
        </w:rPr>
        <w:t xml:space="preserve">Abstract: Background: Whether drug-eluting stents with biodegradable polymers (BP-DES) improve safety, especially with respect to stent thrombosis (ST) compared with permanent polymers DES (PP-DES), remains uncertain. We aimed to compare the short-and long-term outcomes and the ST risk in patients treated with BP-DES vs. PP-DES. Methods: We searched Medline, Embase, Web of science, CENTRAL databases, and conference proceedings/abstracts for randomized controlled trials (RCTs) comparing BP-DES with PP-DES. The primary endpoint was to compare the risks of overall and different temporal categories of definite/probable ST. Other clinical outcomes were target lesion revascularization (TLR), myocardial infarction (MI), and all-cause death in short-term (&lt;= 1 year) and long-term follow-up. The meta-analyses were performed by computing odds ratios (ORs) with 95% confidence intervals (CIs) using a random-effects model. Results: Nineteen RCTs including 20,229 patients were analyzed. Overall, BP-DES significantly decreased the risks of very late definite/probable ST (OR 0.33; 95% CI 0.16-0.70), and TLR in long-term follow-up (OR 0.70; 95% CI 0.52-0.95) compared with PP-DES. There were no significant differences between the groups regarding MI incidence and mortality during both short and long follow-up periods. In stratified analyses, the long-term superiority of BP-DES was maintained only by using first-generation DES as the comparators. Conclusions: The present meta-analysis indicated that BP-DES were more efficacious than PP-DES at reducing the risks of very late ST and long-term TLR, but it could vary by heterogeneities in the use of PP-DES comparators. </w:t>
      </w:r>
      <w:r>
        <w:rPr>
          <w:kern w:val="0"/>
        </w:rPr>
        <w:lastRenderedPageBreak/>
        <w:t>Additional rigorous RCTs with longer follow-up periods are warranted to verify these very promising long-term endpoints.</w:t>
      </w:r>
    </w:p>
    <w:p w:rsidR="00502166" w:rsidRDefault="00502166" w:rsidP="00502166">
      <w:pPr>
        <w:pStyle w:val="a3"/>
        <w:rPr>
          <w:kern w:val="0"/>
        </w:rPr>
      </w:pPr>
      <w:r>
        <w:rPr>
          <w:kern w:val="0"/>
        </w:rPr>
        <w:t>Keywords: 2-Year Clinical-Outcomes, Analyses, Bare-Metal Stents, Biodegradable Polymer, Biodegradable Polymers, Clinical, Clinical Outcomes, Coating, Confidence, Confidence Intervals, Coronary-Artery Lesions, Databases, Death, Disease, Drug-Eluting Stents, Durable Polymer, Follow-Up, Groups, I Trial, Impact, Incidence, Infarction, Intervals, Long Term, Long-Term, Long-Term Follow-Up, Long-Term Outcomes, Medline, Meta Analysis, Meta-Analysis, Metaanalysis, Methods, Model, Mortality, Myocardial Infarction, Non-Inferiority Trial, Outcomes, Patients, Permanent, Permanent Polymers, Polymers, Primary, Random Effects Model, Randomized, Randomized Controlled Trials, Restenosis, Results, Revascularization, Risk, Risks, Safety, Science, Stent Thrombosis, Stents, Temporal, Thrombosis, Web, Web Of Science</w:t>
      </w:r>
    </w:p>
    <w:p w:rsidR="001267AA" w:rsidRPr="001A3D2B" w:rsidRDefault="001267AA" w:rsidP="001267AA">
      <w:pPr>
        <w:pStyle w:val="1"/>
      </w:pPr>
      <w:r w:rsidRPr="001A3D2B">
        <w:br w:type="page"/>
      </w:r>
      <w:bookmarkStart w:id="103" w:name="_Toc420814917"/>
      <w:r w:rsidRPr="001A3D2B">
        <w:lastRenderedPageBreak/>
        <w:t xml:space="preserve">Title: </w:t>
      </w:r>
      <w:r w:rsidRPr="001267AA">
        <w:t>Cardiovascular Diabetology</w:t>
      </w:r>
      <w:bookmarkEnd w:id="103"/>
    </w:p>
    <w:p w:rsidR="001267AA" w:rsidRPr="001A3D2B" w:rsidRDefault="001267AA" w:rsidP="001267AA">
      <w:pPr>
        <w:pStyle w:val="12"/>
      </w:pPr>
      <w:r w:rsidRPr="001A3D2B">
        <w:t xml:space="preserve">Full Journal Title: </w:t>
      </w:r>
      <w:r w:rsidRPr="001267AA">
        <w:rPr>
          <w:iCs/>
          <w:kern w:val="0"/>
        </w:rPr>
        <w:t>Cardiovascular Diabetology</w:t>
      </w:r>
    </w:p>
    <w:p w:rsidR="001267AA" w:rsidRPr="001A3D2B" w:rsidRDefault="001267AA" w:rsidP="001267AA">
      <w:pPr>
        <w:pStyle w:val="12"/>
      </w:pPr>
      <w:r w:rsidRPr="001A3D2B">
        <w:t xml:space="preserve">ISO Abbreviated Title: </w:t>
      </w:r>
    </w:p>
    <w:p w:rsidR="001267AA" w:rsidRPr="001A3D2B" w:rsidRDefault="001267AA" w:rsidP="001267AA">
      <w:pPr>
        <w:pStyle w:val="12"/>
      </w:pPr>
      <w:r w:rsidRPr="001A3D2B">
        <w:t xml:space="preserve">JCR Abbreviated Title: </w:t>
      </w:r>
    </w:p>
    <w:p w:rsidR="001267AA" w:rsidRPr="001A3D2B" w:rsidRDefault="001267AA" w:rsidP="001267AA">
      <w:pPr>
        <w:pStyle w:val="12"/>
      </w:pPr>
      <w:r w:rsidRPr="001A3D2B">
        <w:t xml:space="preserve">ISSN: </w:t>
      </w:r>
    </w:p>
    <w:p w:rsidR="001267AA" w:rsidRPr="001A3D2B" w:rsidRDefault="001267AA" w:rsidP="001267AA">
      <w:pPr>
        <w:pStyle w:val="12"/>
      </w:pPr>
      <w:r w:rsidRPr="001A3D2B">
        <w:t xml:space="preserve">Issues/Year: </w:t>
      </w:r>
    </w:p>
    <w:p w:rsidR="001267AA" w:rsidRPr="001A3D2B" w:rsidRDefault="001267AA" w:rsidP="001267AA">
      <w:pPr>
        <w:pStyle w:val="12"/>
      </w:pPr>
      <w:r w:rsidRPr="001A3D2B">
        <w:t xml:space="preserve">Journal Country/Territory: </w:t>
      </w:r>
    </w:p>
    <w:p w:rsidR="001267AA" w:rsidRPr="001A3D2B" w:rsidRDefault="001267AA" w:rsidP="001267AA">
      <w:pPr>
        <w:pStyle w:val="12"/>
      </w:pPr>
      <w:r w:rsidRPr="001A3D2B">
        <w:t xml:space="preserve">Language: </w:t>
      </w:r>
    </w:p>
    <w:p w:rsidR="001267AA" w:rsidRPr="001A3D2B" w:rsidRDefault="001267AA" w:rsidP="001267AA">
      <w:pPr>
        <w:pStyle w:val="12"/>
      </w:pPr>
      <w:r w:rsidRPr="001A3D2B">
        <w:t xml:space="preserve">Publisher: </w:t>
      </w:r>
    </w:p>
    <w:p w:rsidR="001267AA" w:rsidRPr="001A3D2B" w:rsidRDefault="001267AA" w:rsidP="001267AA">
      <w:pPr>
        <w:pStyle w:val="12"/>
      </w:pPr>
      <w:r w:rsidRPr="001A3D2B">
        <w:t xml:space="preserve">Publisher Address: </w:t>
      </w:r>
    </w:p>
    <w:p w:rsidR="001267AA" w:rsidRPr="001A3D2B" w:rsidRDefault="001267AA" w:rsidP="001267AA">
      <w:pPr>
        <w:pStyle w:val="12"/>
      </w:pPr>
      <w:r w:rsidRPr="001A3D2B">
        <w:t xml:space="preserve">Subject Categories: </w:t>
      </w:r>
    </w:p>
    <w:p w:rsidR="001267AA" w:rsidRPr="001A3D2B" w:rsidRDefault="001267AA" w:rsidP="001267AA">
      <w:pPr>
        <w:pStyle w:val="12"/>
      </w:pPr>
      <w:r w:rsidRPr="001A3D2B">
        <w:t xml:space="preserve">: Impact Factor </w:t>
      </w:r>
    </w:p>
    <w:p w:rsidR="001267AA" w:rsidRDefault="001267AA" w:rsidP="001267AA">
      <w:pPr>
        <w:pStyle w:val="a3"/>
      </w:pPr>
      <w:r>
        <w:rPr>
          <w:rFonts w:hint="eastAsia"/>
          <w:kern w:val="0"/>
        </w:rPr>
        <w:t xml:space="preserve">? </w:t>
      </w:r>
      <w:r>
        <w:rPr>
          <w:kern w:val="0"/>
        </w:rPr>
        <w:t>Liu, Y., Yang, Y.M., Zhu, J., Tan, H.Q., Liang, Y.</w:t>
      </w:r>
      <w:r w:rsidR="005853A9">
        <w:rPr>
          <w:kern w:val="0"/>
        </w:rPr>
        <w:t xml:space="preserve"> and </w:t>
      </w:r>
      <w:r>
        <w:rPr>
          <w:kern w:val="0"/>
        </w:rPr>
        <w:t>Li, J.D. (2011), Prognostic significance</w:t>
      </w:r>
      <w:r w:rsidR="00427468">
        <w:rPr>
          <w:kern w:val="0"/>
        </w:rPr>
        <w:t xml:space="preserve"> of </w:t>
      </w:r>
      <w:r>
        <w:rPr>
          <w:kern w:val="0"/>
        </w:rPr>
        <w:t>hemoglobin A1c level in patients hospitalized with coronary artery disease. A systematic review</w:t>
      </w:r>
      <w:r w:rsidR="005853A9">
        <w:rPr>
          <w:kern w:val="0"/>
        </w:rPr>
        <w:t xml:space="preserve"> and </w:t>
      </w:r>
      <w:r>
        <w:rPr>
          <w:kern w:val="0"/>
        </w:rPr>
        <w:t xml:space="preserve">meta-analysis. </w:t>
      </w:r>
      <w:r w:rsidRPr="001267AA">
        <w:rPr>
          <w:i/>
          <w:iCs/>
          <w:kern w:val="0"/>
        </w:rPr>
        <w:t>Cardiovascular Diabetology</w:t>
      </w:r>
      <w:r>
        <w:rPr>
          <w:kern w:val="0"/>
        </w:rPr>
        <w:t xml:space="preserve">, </w:t>
      </w:r>
      <w:r>
        <w:rPr>
          <w:b/>
          <w:bCs/>
          <w:kern w:val="0"/>
        </w:rPr>
        <w:t>10</w:t>
      </w:r>
      <w:r>
        <w:rPr>
          <w:rFonts w:hint="eastAsia"/>
          <w:kern w:val="0"/>
        </w:rPr>
        <w:t xml:space="preserve">, </w:t>
      </w:r>
      <w:r>
        <w:t>Article Number: 98</w:t>
      </w:r>
      <w:r>
        <w:rPr>
          <w:rFonts w:hint="eastAsia"/>
        </w:rPr>
        <w:t>.</w:t>
      </w:r>
    </w:p>
    <w:p w:rsidR="001267AA" w:rsidRDefault="001267AA" w:rsidP="001267AA">
      <w:pPr>
        <w:pStyle w:val="a3"/>
        <w:rPr>
          <w:kern w:val="0"/>
        </w:rPr>
      </w:pPr>
      <w:r>
        <w:rPr>
          <w:rFonts w:hint="eastAsia"/>
        </w:rPr>
        <w:t>Full Text: 2011\</w:t>
      </w:r>
      <w:r w:rsidRPr="001267AA">
        <w:rPr>
          <w:iCs/>
          <w:kern w:val="0"/>
        </w:rPr>
        <w:t>Car Dia</w:t>
      </w:r>
      <w:r w:rsidRPr="001267AA">
        <w:rPr>
          <w:bCs/>
          <w:kern w:val="0"/>
        </w:rPr>
        <w:t>10</w:t>
      </w:r>
      <w:r>
        <w:rPr>
          <w:rFonts w:hint="eastAsia"/>
          <w:kern w:val="0"/>
        </w:rPr>
        <w:t xml:space="preserve">, </w:t>
      </w:r>
      <w:r>
        <w:t>98</w:t>
      </w:r>
      <w:r>
        <w:rPr>
          <w:rFonts w:hint="eastAsia"/>
        </w:rPr>
        <w:t>.pdf</w:t>
      </w:r>
    </w:p>
    <w:p w:rsidR="001267AA" w:rsidRDefault="001267AA" w:rsidP="001267AA">
      <w:pPr>
        <w:pStyle w:val="a3"/>
        <w:rPr>
          <w:kern w:val="0"/>
        </w:rPr>
      </w:pPr>
      <w:r>
        <w:rPr>
          <w:kern w:val="0"/>
        </w:rPr>
        <w:t>Abstract: Background:</w:t>
      </w:r>
      <w:r w:rsidR="003A1917">
        <w:rPr>
          <w:kern w:val="0"/>
        </w:rPr>
        <w:t xml:space="preserve"> the </w:t>
      </w:r>
      <w:r>
        <w:rPr>
          <w:kern w:val="0"/>
        </w:rPr>
        <w:t>prognostic value</w:t>
      </w:r>
      <w:r w:rsidR="00427468">
        <w:rPr>
          <w:kern w:val="0"/>
        </w:rPr>
        <w:t xml:space="preserve"> of </w:t>
      </w:r>
      <w:r>
        <w:rPr>
          <w:kern w:val="0"/>
        </w:rPr>
        <w:t>hemoglobin A1c (HbA1c) in coronary artery disease (CAD) remains controversial. Herein, we conducted a systematic review to quantify</w:t>
      </w:r>
      <w:r w:rsidR="003A1917">
        <w:rPr>
          <w:kern w:val="0"/>
        </w:rPr>
        <w:t xml:space="preserve"> the </w:t>
      </w:r>
      <w:r>
        <w:rPr>
          <w:kern w:val="0"/>
        </w:rPr>
        <w:t>association between elevated HbA1c levels</w:t>
      </w:r>
      <w:r w:rsidR="005853A9">
        <w:rPr>
          <w:kern w:val="0"/>
        </w:rPr>
        <w:t xml:space="preserve"> and </w:t>
      </w:r>
      <w:r>
        <w:rPr>
          <w:kern w:val="0"/>
        </w:rPr>
        <w:t>all-cause mortality among patients hospitalized with CAD. Methods: A systematic search</w:t>
      </w:r>
      <w:r w:rsidR="00427468">
        <w:rPr>
          <w:kern w:val="0"/>
        </w:rPr>
        <w:t xml:space="preserve"> of </w:t>
      </w:r>
      <w:r>
        <w:rPr>
          <w:kern w:val="0"/>
        </w:rPr>
        <w:t xml:space="preserve">electronic databases (PubMed, EMBASE, OVID,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 for studies published from 1970 to May 2011 was performed. Cohort, case-control studies,</w:t>
      </w:r>
      <w:r w:rsidR="005853A9">
        <w:rPr>
          <w:kern w:val="0"/>
        </w:rPr>
        <w:t xml:space="preserve"> and </w:t>
      </w:r>
      <w:r>
        <w:rPr>
          <w:kern w:val="0"/>
        </w:rPr>
        <w:t>randomized controlled trials that examined</w:t>
      </w:r>
      <w:r w:rsidR="003A1917">
        <w:rPr>
          <w:kern w:val="0"/>
        </w:rPr>
        <w:t xml:space="preserve"> the </w:t>
      </w:r>
      <w:r>
        <w:rPr>
          <w:kern w:val="0"/>
        </w:rPr>
        <w:t>effect</w:t>
      </w:r>
      <w:r w:rsidR="00427468">
        <w:rPr>
          <w:kern w:val="0"/>
        </w:rPr>
        <w:t xml:space="preserve"> of </w:t>
      </w:r>
      <w:r>
        <w:rPr>
          <w:kern w:val="0"/>
        </w:rPr>
        <w:t>HbA1c on all-cause mortality were included. Results: Twenty studies met final inclusion criteria (total n = 13, 224). From</w:t>
      </w:r>
      <w:r w:rsidR="003A1917">
        <w:rPr>
          <w:kern w:val="0"/>
        </w:rPr>
        <w:t xml:space="preserve"> the </w:t>
      </w:r>
      <w:r>
        <w:rPr>
          <w:kern w:val="0"/>
        </w:rPr>
        <w:t>pooled analyses, elevated HbA1c level was significantly associated with increased short-term (OR 2.32, 95% CI, 1.61 to 3.35)</w:t>
      </w:r>
      <w:r w:rsidR="005853A9">
        <w:rPr>
          <w:kern w:val="0"/>
        </w:rPr>
        <w:t xml:space="preserve"> and </w:t>
      </w:r>
      <w:r>
        <w:rPr>
          <w:kern w:val="0"/>
        </w:rPr>
        <w:t>long-term (OR 1.54, 95% CI, 1.23 to 1.94) mortality risk. Subgroup analyses suggested elevated HbA1c level predicted higher mortality risk in patients without diabetes (OR 1.84, 95% CI, 1.51 to 2.24). In contrast, in patients with diabetes, elevated HbA1c level was not associated with increased risk</w:t>
      </w:r>
      <w:r w:rsidR="00427468">
        <w:rPr>
          <w:kern w:val="0"/>
        </w:rPr>
        <w:t xml:space="preserve"> of </w:t>
      </w:r>
      <w:r>
        <w:rPr>
          <w:kern w:val="0"/>
        </w:rPr>
        <w:t>mortality (OR 0.95, 95% CI, 0.70 to 1.28). In a risk-adjusted sensitivity analyses, elevated HbA1c was also associated with a significantly high risk</w:t>
      </w:r>
      <w:r w:rsidR="00427468">
        <w:rPr>
          <w:kern w:val="0"/>
        </w:rPr>
        <w:t xml:space="preserve"> of </w:t>
      </w:r>
      <w:r>
        <w:rPr>
          <w:kern w:val="0"/>
        </w:rPr>
        <w:t xml:space="preserve">adjusted mortality in patients without diabetes (adjusted OR 1.49, 95% CI, 1.24 to 1.79), but had a borderline effect in patients with diabetes (adjusted OR 1.05, 95% CI, 1.00 to 1.11). Conclusions: Our findings demonstrate that elevated HbA1c level is an independent risk factor for mortality in CAD patients without diabetes, but not in patients with </w:t>
      </w:r>
      <w:r>
        <w:rPr>
          <w:kern w:val="0"/>
        </w:rPr>
        <w:lastRenderedPageBreak/>
        <w:t>established diabetes. Prospective studies should further investigate whether glycemic control might improve outcomes in CAD patients without previously diagnosed diabetes.</w:t>
      </w:r>
    </w:p>
    <w:p w:rsidR="001267AA" w:rsidRDefault="001267AA" w:rsidP="001267AA">
      <w:pPr>
        <w:pStyle w:val="a3"/>
        <w:rPr>
          <w:kern w:val="0"/>
        </w:rPr>
      </w:pPr>
      <w:r>
        <w:rPr>
          <w:kern w:val="0"/>
        </w:rPr>
        <w:t xml:space="preserve">Keywords: Acute Coronary Syndrome, Acute Myocardial-Infarction, Admission Glucose, Adverse Cardiac Events, Association, Bypass Surgery, Cardiovascular-Disease, Case-Control, Case-Control Studies, Cochrane, Control, Coronary Artery Disease, Databases, Diabetes, Diabetes-Mellitus, Disease, Embase, Glycated Hemoglobin, Glycosylated Hemoglobin, Hemoglobin A1c, Long-Term Mortality, Meta Analysis, Meta-Analysis, Methods, Mortality, Nondiabetic Patients, Outcomes, Patients, Prospective, Prospective Studies, Pubmed, Randomized Controlled Trials, Review, Risk, Risk Factor, Science, Sensitivity, Systematic, Systematic Review,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104" w:name="_Toc420814918"/>
      <w:r w:rsidRPr="001A3D2B">
        <w:lastRenderedPageBreak/>
        <w:t>Title: Cardiovascular Research</w:t>
      </w:r>
      <w:bookmarkEnd w:id="104"/>
    </w:p>
    <w:p w:rsidR="003474F2" w:rsidRPr="001A3D2B" w:rsidRDefault="003474F2" w:rsidP="003474F2">
      <w:pPr>
        <w:pStyle w:val="12"/>
      </w:pPr>
      <w:r w:rsidRPr="001A3D2B">
        <w:t>Full Journal Ti</w:t>
      </w:r>
      <w:bookmarkStart w:id="105" w:name="_Toc43634553"/>
      <w:bookmarkStart w:id="106" w:name="_Toc81215660"/>
      <w:r w:rsidRPr="001A3D2B">
        <w:t xml:space="preserve">tle: </w:t>
      </w:r>
      <w:r w:rsidR="00DF61FE">
        <w:fldChar w:fldCharType="begin"/>
      </w:r>
      <w:r w:rsidR="00FD158B">
        <w:instrText>HYPERLINK "http://sdos.e</w:instrText>
      </w:r>
      <w:bookmarkEnd w:id="105"/>
      <w:bookmarkEnd w:id="106"/>
      <w:r w:rsidR="00FD158B">
        <w:instrText>journal.ascc.net/cgi-bin/sciserv.pl?collection=journals&amp;journal=00086363"</w:instrText>
      </w:r>
      <w:r w:rsidR="00DF61FE">
        <w:fldChar w:fldCharType="separate"/>
      </w:r>
      <w:r w:rsidRPr="001A3D2B">
        <w:rPr>
          <w:rStyle w:val="a5"/>
        </w:rPr>
        <w:t>Cardiovascular Research</w:t>
      </w:r>
      <w:r w:rsidR="00DF61FE">
        <w:fldChar w:fldCharType="end"/>
      </w:r>
    </w:p>
    <w:p w:rsidR="003474F2" w:rsidRPr="001A3D2B" w:rsidRDefault="003474F2" w:rsidP="003474F2">
      <w:pPr>
        <w:pStyle w:val="12"/>
      </w:pPr>
      <w:r w:rsidRPr="001A3D2B">
        <w:t>ISO Abbreviated Title: Cardiovasc. Res.</w:t>
      </w:r>
    </w:p>
    <w:p w:rsidR="003474F2" w:rsidRPr="001A3D2B" w:rsidRDefault="003474F2" w:rsidP="003474F2">
      <w:pPr>
        <w:pStyle w:val="12"/>
      </w:pPr>
      <w:r w:rsidRPr="001A3D2B">
        <w:t>JCR Abbreviated Title: Cardiovasc Res</w:t>
      </w:r>
    </w:p>
    <w:p w:rsidR="003474F2" w:rsidRPr="001A3D2B" w:rsidRDefault="003474F2" w:rsidP="003474F2">
      <w:pPr>
        <w:pStyle w:val="12"/>
      </w:pPr>
      <w:r w:rsidRPr="001A3D2B">
        <w:t>ISSN: 0008-6363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Street">
        <w:smartTag w:uri="urn:schemas-microsoft-com:office:smarttags" w:element="address">
          <w:r w:rsidRPr="001A3D2B">
            <w:t>Elsevier Science BV</w:t>
          </w:r>
        </w:smartTag>
      </w:smartTag>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211</w:t>
        </w:r>
      </w:smartTag>
      <w:r w:rsidRPr="001A3D2B">
        <w:t xml:space="preserve">, 1000 </w:t>
      </w:r>
      <w:smartTag w:uri="urn:schemas-microsoft-com:office:smarttags" w:element="place">
        <w:smartTag w:uri="urn:schemas-microsoft-com:office:smarttags" w:element="City">
          <w:r w:rsidRPr="001A3D2B">
            <w:t>Ae Amsterdam</w:t>
          </w:r>
        </w:smartTag>
        <w:r w:rsidRPr="001A3D2B">
          <w:t xml:space="preserve">, </w:t>
        </w:r>
        <w:smartTag w:uri="urn:schemas-microsoft-com:office:smarttags" w:element="country-region">
          <w:r w:rsidRPr="001A3D2B">
            <w:t>Netherlands</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Cardiac &amp; Cardiovascular Systems: Impact Factor </w:t>
      </w:r>
    </w:p>
    <w:p w:rsidR="003474F2" w:rsidRPr="001A3D2B" w:rsidRDefault="003474F2" w:rsidP="003474F2">
      <w:pPr>
        <w:pStyle w:val="a3"/>
      </w:pPr>
      <w:r w:rsidRPr="001A3D2B">
        <w:t>Notes: highly cited</w:t>
      </w:r>
    </w:p>
    <w:p w:rsidR="003474F2" w:rsidRPr="001A3D2B" w:rsidRDefault="003474F2" w:rsidP="003474F2">
      <w:pPr>
        <w:pStyle w:val="a3"/>
      </w:pPr>
      <w:r w:rsidRPr="001A3D2B">
        <w:t>Opthof, T. (1997), Sense</w:t>
      </w:r>
      <w:r w:rsidR="005853A9">
        <w:t xml:space="preserve"> and </w:t>
      </w:r>
      <w:r w:rsidRPr="001A3D2B">
        <w:t>nonsense about</w:t>
      </w:r>
      <w:r w:rsidR="003A1917">
        <w:t xml:space="preserve"> the </w:t>
      </w:r>
      <w:r w:rsidRPr="001A3D2B">
        <w:t xml:space="preserve">impact factor. </w:t>
      </w:r>
      <w:r w:rsidRPr="001A3D2B">
        <w:rPr>
          <w:i/>
          <w:iCs/>
        </w:rPr>
        <w:t>Cardiovascular Research</w:t>
      </w:r>
      <w:r w:rsidRPr="001A3D2B">
        <w:t xml:space="preserve">, </w:t>
      </w:r>
      <w:r w:rsidRPr="001A3D2B">
        <w:rPr>
          <w:b/>
        </w:rPr>
        <w:t>33</w:t>
      </w:r>
      <w:r w:rsidRPr="001A3D2B">
        <w:t xml:space="preserve"> (1), 1-7.</w:t>
      </w:r>
    </w:p>
    <w:p w:rsidR="003474F2" w:rsidRPr="001A3D2B" w:rsidRDefault="003474F2" w:rsidP="003474F2">
      <w:pPr>
        <w:pStyle w:val="a3"/>
      </w:pPr>
      <w:r w:rsidRPr="001A3D2B">
        <w:t xml:space="preserve">Full Text: </w:t>
      </w:r>
      <w:hyperlink r:id="rId141" w:history="1">
        <w:r w:rsidRPr="001A3D2B">
          <w:rPr>
            <w:rStyle w:val="a5"/>
          </w:rPr>
          <w:t>1997\Car Res33, 1.pdf</w:t>
        </w:r>
      </w:hyperlink>
    </w:p>
    <w:p w:rsidR="003474F2" w:rsidRPr="001A3D2B" w:rsidRDefault="003474F2" w:rsidP="003474F2">
      <w:pPr>
        <w:pStyle w:val="a3"/>
      </w:pPr>
      <w:r w:rsidRPr="001A3D2B">
        <w:t>Abstract:</w:t>
      </w:r>
      <w:r w:rsidR="003A1917">
        <w:t xml:space="preserve"> the </w:t>
      </w:r>
      <w:r w:rsidRPr="001A3D2B">
        <w:t>impact factor is based on citations</w:t>
      </w:r>
      <w:r w:rsidR="00427468">
        <w:t xml:space="preserve"> of </w:t>
      </w:r>
      <w:r w:rsidRPr="001A3D2B">
        <w:t>papers published by a scientific journal. It has been published since 1961 by</w:t>
      </w:r>
      <w:r w:rsidR="003A1917">
        <w:t xml:space="preserve"> the </w:t>
      </w:r>
      <w:r w:rsidRPr="001A3D2B">
        <w:t>Institute for Scientific Information. It may be regarded as an estimate</w:t>
      </w:r>
      <w:r w:rsidR="00427468">
        <w:t xml:space="preserve"> of </w:t>
      </w:r>
      <w:r w:rsidR="003A1917">
        <w:t xml:space="preserve">the </w:t>
      </w:r>
      <w:r w:rsidRPr="001A3D2B">
        <w:t>citation rate</w:t>
      </w:r>
      <w:r w:rsidR="00427468">
        <w:t xml:space="preserve"> of </w:t>
      </w:r>
      <w:r w:rsidRPr="001A3D2B">
        <w:t>a journal</w:t>
      </w:r>
      <w:r w:rsidR="0071223E">
        <w:t>’</w:t>
      </w:r>
      <w:r w:rsidR="00C13DDC">
        <w:t>s</w:t>
      </w:r>
      <w:r w:rsidRPr="001A3D2B">
        <w:t xml:space="preserve"> papers,</w:t>
      </w:r>
      <w:r w:rsidR="005853A9">
        <w:t xml:space="preserve"> and </w:t>
      </w:r>
      <w:r w:rsidR="003A1917">
        <w:t xml:space="preserve">the </w:t>
      </w:r>
      <w:r w:rsidRPr="001A3D2B">
        <w:t>higher its value,</w:t>
      </w:r>
      <w:r w:rsidR="003A1917">
        <w:t xml:space="preserve"> the </w:t>
      </w:r>
      <w:r w:rsidRPr="001A3D2B">
        <w:t>higher</w:t>
      </w:r>
      <w:r w:rsidR="003A1917">
        <w:t xml:space="preserve"> the </w:t>
      </w:r>
      <w:r w:rsidRPr="001A3D2B">
        <w:t>scientific esteem</w:t>
      </w:r>
      <w:r w:rsidR="00427468">
        <w:t xml:space="preserve"> of </w:t>
      </w:r>
      <w:r w:rsidR="003A1917">
        <w:t xml:space="preserve">the </w:t>
      </w:r>
      <w:r w:rsidRPr="001A3D2B">
        <w:t>journal. Although</w:t>
      </w:r>
      <w:r w:rsidR="003A1917">
        <w:t xml:space="preserve"> the </w:t>
      </w:r>
      <w:r w:rsidRPr="001A3D2B">
        <w:t>impact factor was originally meant for comparison</w:t>
      </w:r>
      <w:r w:rsidR="00427468">
        <w:t xml:space="preserve"> of </w:t>
      </w:r>
      <w:r w:rsidRPr="001A3D2B">
        <w:t>journals, it is also used for assessment</w:t>
      </w:r>
      <w:r w:rsidR="00427468">
        <w:t xml:space="preserve"> of </w:t>
      </w:r>
      <w:r w:rsidR="003A1917">
        <w:t xml:space="preserve">the </w:t>
      </w:r>
      <w:r w:rsidRPr="001A3D2B">
        <w:t>quality</w:t>
      </w:r>
      <w:r w:rsidR="00427468">
        <w:t xml:space="preserve"> of </w:t>
      </w:r>
      <w:r w:rsidRPr="001A3D2B">
        <w:t>individual papers, scientists</w:t>
      </w:r>
      <w:r w:rsidR="005853A9">
        <w:t xml:space="preserve"> and </w:t>
      </w:r>
      <w:r w:rsidRPr="001A3D2B">
        <w:t>departments. For</w:t>
      </w:r>
      <w:r w:rsidR="003A1917">
        <w:t xml:space="preserve"> the </w:t>
      </w:r>
      <w:r w:rsidRPr="001A3D2B">
        <w:t>latter a scientific basis is lacking, as we will demonstrate in this contribution.</w:t>
      </w:r>
    </w:p>
    <w:p w:rsidR="003474F2" w:rsidRPr="001A3D2B" w:rsidRDefault="003474F2" w:rsidP="003474F2">
      <w:pPr>
        <w:pStyle w:val="a3"/>
      </w:pPr>
      <w:r w:rsidRPr="001A3D2B">
        <w:t>Keywords: Assessment, Citation, Citations, Comparison, Impact, Impact Factor, Institute for Scientific Information, Journal, Journals, Papers, Quality, Quality of, Value</w:t>
      </w:r>
    </w:p>
    <w:p w:rsidR="00992514" w:rsidRDefault="00992514" w:rsidP="00992514">
      <w:pPr>
        <w:pStyle w:val="a3"/>
        <w:rPr>
          <w:kern w:val="0"/>
        </w:rPr>
      </w:pPr>
      <w:r>
        <w:rPr>
          <w:rFonts w:hint="eastAsia"/>
          <w:kern w:val="0"/>
        </w:rPr>
        <w:t xml:space="preserve">? </w:t>
      </w:r>
      <w:r>
        <w:rPr>
          <w:kern w:val="0"/>
        </w:rPr>
        <w:t>Opthof, T.</w:t>
      </w:r>
      <w:r w:rsidR="005853A9">
        <w:rPr>
          <w:kern w:val="0"/>
        </w:rPr>
        <w:t xml:space="preserve"> and </w:t>
      </w:r>
      <w:r>
        <w:rPr>
          <w:kern w:val="0"/>
        </w:rPr>
        <w:t>Coronel, R. (2000</w:t>
      </w:r>
      <w:r w:rsidR="00F42EAC">
        <w:rPr>
          <w:kern w:val="0"/>
        </w:rPr>
        <w:t>), The</w:t>
      </w:r>
      <w:r w:rsidR="003A1917">
        <w:rPr>
          <w:kern w:val="0"/>
        </w:rPr>
        <w:t xml:space="preserve"> </w:t>
      </w:r>
      <w:r>
        <w:rPr>
          <w:kern w:val="0"/>
        </w:rPr>
        <w:t>most frequently cited papers</w:t>
      </w:r>
      <w:r w:rsidR="00427468">
        <w:rPr>
          <w:kern w:val="0"/>
        </w:rPr>
        <w:t xml:space="preserve"> of </w:t>
      </w:r>
      <w:r w:rsidRPr="00DF4E6F">
        <w:rPr>
          <w:i/>
          <w:kern w:val="0"/>
        </w:rPr>
        <w:t>Cardiovascular Research</w:t>
      </w:r>
      <w:r>
        <w:rPr>
          <w:kern w:val="0"/>
        </w:rPr>
        <w:t xml:space="preserve"> (1967-1998): </w:t>
      </w:r>
      <w:r w:rsidR="0071223E">
        <w:rPr>
          <w:kern w:val="0"/>
        </w:rPr>
        <w:t>‘</w:t>
      </w:r>
      <w:r>
        <w:rPr>
          <w:kern w:val="0"/>
        </w:rPr>
        <w:t>The Millennium Minutes</w:t>
      </w:r>
      <w:r w:rsidR="0071223E">
        <w:rPr>
          <w:kern w:val="0"/>
        </w:rPr>
        <w:t>’</w:t>
      </w:r>
      <w:r>
        <w:rPr>
          <w:kern w:val="0"/>
        </w:rPr>
        <w:t xml:space="preserve">. </w:t>
      </w:r>
      <w:r>
        <w:rPr>
          <w:i/>
          <w:iCs/>
          <w:kern w:val="0"/>
        </w:rPr>
        <w:t>Cardiovascular Research</w:t>
      </w:r>
      <w:r>
        <w:rPr>
          <w:kern w:val="0"/>
        </w:rPr>
        <w:t xml:space="preserve">, </w:t>
      </w:r>
      <w:r>
        <w:rPr>
          <w:b/>
          <w:bCs/>
          <w:kern w:val="0"/>
        </w:rPr>
        <w:t>45</w:t>
      </w:r>
      <w:r>
        <w:rPr>
          <w:kern w:val="0"/>
        </w:rPr>
        <w:t xml:space="preserve"> (1), 3-5</w:t>
      </w:r>
      <w:r>
        <w:rPr>
          <w:rFonts w:hint="eastAsia"/>
          <w:kern w:val="0"/>
        </w:rPr>
        <w:t>.</w:t>
      </w:r>
    </w:p>
    <w:p w:rsidR="00992514" w:rsidRPr="001A3D2B" w:rsidRDefault="00992514" w:rsidP="00992514">
      <w:pPr>
        <w:pStyle w:val="a3"/>
      </w:pPr>
      <w:r w:rsidRPr="001A3D2B">
        <w:t xml:space="preserve">Full Text: </w:t>
      </w:r>
      <w:hyperlink r:id="rId142" w:history="1">
        <w:r w:rsidRPr="001401A9">
          <w:rPr>
            <w:rStyle w:val="a5"/>
          </w:rPr>
          <w:t>2000\Car Res45, 3.pdf</w:t>
        </w:r>
      </w:hyperlink>
    </w:p>
    <w:p w:rsidR="00992514" w:rsidRDefault="00992514" w:rsidP="00992514">
      <w:pPr>
        <w:pStyle w:val="a3"/>
        <w:rPr>
          <w:kern w:val="0"/>
        </w:rPr>
      </w:pPr>
      <w:r>
        <w:rPr>
          <w:kern w:val="0"/>
        </w:rPr>
        <w:t>Keywords: Papers</w:t>
      </w:r>
      <w:r>
        <w:rPr>
          <w:rFonts w:hint="eastAsia"/>
          <w:kern w:val="0"/>
        </w:rPr>
        <w:t xml:space="preserve">, </w:t>
      </w:r>
      <w:r>
        <w:rPr>
          <w:kern w:val="0"/>
        </w:rPr>
        <w:t>Research</w:t>
      </w:r>
    </w:p>
    <w:p w:rsidR="003474F2" w:rsidRPr="001A3D2B" w:rsidRDefault="003474F2" w:rsidP="003474F2">
      <w:pPr>
        <w:pStyle w:val="a3"/>
      </w:pPr>
      <w:r w:rsidRPr="001A3D2B">
        <w:t>Coates, R., Sturgeon, B., Bohannan, J.</w:t>
      </w:r>
      <w:r w:rsidR="005853A9">
        <w:t xml:space="preserve"> and </w:t>
      </w:r>
      <w:r w:rsidRPr="001A3D2B">
        <w:t>Pasini, E. (2002), Language</w:t>
      </w:r>
      <w:r w:rsidR="005853A9">
        <w:t xml:space="preserve"> and </w:t>
      </w:r>
      <w:r w:rsidRPr="001A3D2B">
        <w:t xml:space="preserve">publication in </w:t>
      </w:r>
      <w:r w:rsidRPr="001A3D2B">
        <w:rPr>
          <w:i/>
          <w:iCs/>
        </w:rPr>
        <w:t xml:space="preserve">Cardiovascular Research </w:t>
      </w:r>
      <w:r w:rsidRPr="001A3D2B">
        <w:t xml:space="preserve">articles. </w:t>
      </w:r>
      <w:r w:rsidRPr="001A3D2B">
        <w:rPr>
          <w:i/>
          <w:iCs/>
        </w:rPr>
        <w:t>Cardiovascular Research</w:t>
      </w:r>
      <w:r w:rsidRPr="001A3D2B">
        <w:t xml:space="preserve">, </w:t>
      </w:r>
      <w:r w:rsidRPr="001A3D2B">
        <w:rPr>
          <w:b/>
        </w:rPr>
        <w:t>53</w:t>
      </w:r>
      <w:r w:rsidRPr="001A3D2B">
        <w:t xml:space="preserve"> (1), 279-285.</w:t>
      </w:r>
    </w:p>
    <w:p w:rsidR="003474F2" w:rsidRPr="001A3D2B" w:rsidRDefault="003474F2" w:rsidP="003474F2">
      <w:pPr>
        <w:pStyle w:val="a3"/>
      </w:pPr>
      <w:r w:rsidRPr="001A3D2B">
        <w:t xml:space="preserve">Full Text: </w:t>
      </w:r>
      <w:hyperlink r:id="rId143" w:history="1">
        <w:r w:rsidRPr="001A3D2B">
          <w:rPr>
            <w:rStyle w:val="a5"/>
          </w:rPr>
          <w:t>2002\Car Res53, 279.pdf</w:t>
        </w:r>
      </w:hyperlink>
    </w:p>
    <w:p w:rsidR="003474F2" w:rsidRPr="001A3D2B" w:rsidRDefault="003474F2" w:rsidP="003474F2">
      <w:pPr>
        <w:pStyle w:val="a3"/>
      </w:pPr>
      <w:r w:rsidRPr="001A3D2B">
        <w:t>Abstract: Background:</w:t>
      </w:r>
      <w:r w:rsidR="003A1917">
        <w:t xml:space="preserve"> the </w:t>
      </w:r>
      <w:r w:rsidRPr="001A3D2B">
        <w:t>acceptance rate</w:t>
      </w:r>
      <w:r w:rsidR="00427468">
        <w:t xml:space="preserve"> of </w:t>
      </w:r>
      <w:r w:rsidRPr="001A3D2B">
        <w:t>non-mother English tongue authors is generally a lot lower than for native English tongue authors. Obviously</w:t>
      </w:r>
      <w:r w:rsidR="003A1917">
        <w:t xml:space="preserve"> the </w:t>
      </w:r>
      <w:r w:rsidRPr="001A3D2B">
        <w:t>scientific quality</w:t>
      </w:r>
      <w:r w:rsidR="00427468">
        <w:t xml:space="preserve"> of </w:t>
      </w:r>
      <w:r w:rsidRPr="001A3D2B">
        <w:t>an article is</w:t>
      </w:r>
      <w:r w:rsidR="003A1917">
        <w:t xml:space="preserve"> the </w:t>
      </w:r>
      <w:r w:rsidRPr="001A3D2B">
        <w:t xml:space="preserve">principal reason for publication. However, is editorial </w:t>
      </w:r>
      <w:r w:rsidRPr="001A3D2B">
        <w:lastRenderedPageBreak/>
        <w:t xml:space="preserve">rejection </w:t>
      </w:r>
      <w:r w:rsidRPr="001A3D2B">
        <w:rPr>
          <w:i/>
          <w:iCs/>
        </w:rPr>
        <w:t xml:space="preserve">purely </w:t>
      </w:r>
      <w:r w:rsidRPr="001A3D2B">
        <w:t xml:space="preserve">on scientific grounds? English mother tongue writers publish </w:t>
      </w:r>
      <w:r w:rsidRPr="001A3D2B">
        <w:rPr>
          <w:i/>
          <w:iCs/>
        </w:rPr>
        <w:t xml:space="preserve">more </w:t>
      </w:r>
      <w:r w:rsidRPr="001A3D2B">
        <w:t xml:space="preserve">than non mother-tongue writers—so are editors discriminating linguistically? We therefore decided to survey language errors in manuscripts submitted for publication to </w:t>
      </w:r>
      <w:r w:rsidRPr="001A3D2B">
        <w:rPr>
          <w:i/>
          <w:iCs/>
        </w:rPr>
        <w:t xml:space="preserve">Cardiovascular Research </w:t>
      </w:r>
      <w:r w:rsidRPr="001A3D2B">
        <w:t>(CVR). Method: We surveyed language errors in 120 medical articles which had been submitted for publication in 1999</w:t>
      </w:r>
      <w:r w:rsidR="005853A9">
        <w:t xml:space="preserve"> and </w:t>
      </w:r>
      <w:r w:rsidRPr="001A3D2B">
        <w:t>2000</w:t>
      </w:r>
      <w:r w:rsidR="00A37C1D">
        <w:t>. The</w:t>
      </w:r>
      <w:r w:rsidR="003A1917">
        <w:t xml:space="preserve"> </w:t>
      </w:r>
      <w:r w:rsidRPr="001A3D2B">
        <w:t xml:space="preserve">language </w:t>
      </w:r>
      <w:r w:rsidR="0071223E">
        <w:t>‘</w:t>
      </w:r>
      <w:r w:rsidRPr="001A3D2B">
        <w:t>error</w:t>
      </w:r>
      <w:r w:rsidR="0071223E">
        <w:t>’</w:t>
      </w:r>
      <w:r w:rsidRPr="001A3D2B">
        <w:t xml:space="preserve"> categories were divided into three principal groups: grammatical, structural</w:t>
      </w:r>
      <w:r w:rsidR="005853A9">
        <w:t xml:space="preserve"> and </w:t>
      </w:r>
      <w:r w:rsidRPr="001A3D2B">
        <w:t>lexical which were then further sub-divided into key areas</w:t>
      </w:r>
      <w:r w:rsidR="00A37C1D">
        <w:t>. The</w:t>
      </w:r>
      <w:r w:rsidR="003A1917">
        <w:t xml:space="preserve"> </w:t>
      </w:r>
      <w:r w:rsidRPr="001A3D2B">
        <w:t>articles were corrected without any knowledge</w:t>
      </w:r>
      <w:r w:rsidR="00427468">
        <w:t xml:space="preserve"> of </w:t>
      </w:r>
      <w:r w:rsidR="003A1917">
        <w:t xml:space="preserve">the </w:t>
      </w:r>
      <w:r w:rsidRPr="001A3D2B">
        <w:t>author</w:t>
      </w:r>
      <w:r w:rsidR="0071223E">
        <w:t>’</w:t>
      </w:r>
      <w:r w:rsidR="00C13DDC">
        <w:t>s</w:t>
      </w:r>
      <w:r w:rsidRPr="001A3D2B">
        <w:t xml:space="preserve"> nationality or</w:t>
      </w:r>
      <w:r w:rsidR="003A1917">
        <w:t xml:space="preserve"> the </w:t>
      </w:r>
      <w:r w:rsidRPr="001A3D2B">
        <w:t>corrections made by other language researchers. After an initial correction, a sample</w:t>
      </w:r>
      <w:r w:rsidR="00427468">
        <w:t xml:space="preserve"> of </w:t>
      </w:r>
      <w:r w:rsidR="003A1917">
        <w:t xml:space="preserve">the </w:t>
      </w:r>
      <w:r w:rsidRPr="001A3D2B">
        <w:t>papers were cross-checked to verify reliability. Results:</w:t>
      </w:r>
      <w:r w:rsidR="003A1917">
        <w:t xml:space="preserve"> the </w:t>
      </w:r>
      <w:r w:rsidRPr="001A3D2B">
        <w:t>control groups</w:t>
      </w:r>
      <w:r w:rsidR="00427468">
        <w:t xml:space="preserve"> of </w:t>
      </w:r>
      <w:r w:rsidRPr="001A3D2B">
        <w:t>US</w:t>
      </w:r>
      <w:r w:rsidR="005853A9">
        <w:t xml:space="preserve"> and </w:t>
      </w:r>
      <w:r w:rsidRPr="001A3D2B">
        <w:t>UK authors had an almost identical acceptance rate</w:t>
      </w:r>
      <w:r w:rsidR="005853A9">
        <w:t xml:space="preserve"> and </w:t>
      </w:r>
      <w:r w:rsidRPr="001A3D2B">
        <w:t xml:space="preserve">overall </w:t>
      </w:r>
      <w:r w:rsidR="0071223E">
        <w:t>‘</w:t>
      </w:r>
      <w:r w:rsidRPr="001A3D2B">
        <w:t>error</w:t>
      </w:r>
      <w:r w:rsidR="0071223E">
        <w:t>’</w:t>
      </w:r>
      <w:r w:rsidRPr="001A3D2B">
        <w:t xml:space="preserve"> rate indicating that</w:t>
      </w:r>
      <w:r w:rsidR="003A1917">
        <w:t xml:space="preserve"> the </w:t>
      </w:r>
      <w:r w:rsidRPr="001A3D2B">
        <w:t>language categories were objective categories also for</w:t>
      </w:r>
      <w:r w:rsidR="003A1917">
        <w:t xml:space="preserve"> the </w:t>
      </w:r>
      <w:r w:rsidRPr="001A3D2B">
        <w:t>other nationalities. Although there was not a direct relationship between</w:t>
      </w:r>
      <w:r w:rsidR="003A1917">
        <w:t xml:space="preserve"> the </w:t>
      </w:r>
      <w:r w:rsidRPr="001A3D2B">
        <w:t>acceptance rate</w:t>
      </w:r>
      <w:r w:rsidR="005853A9">
        <w:t xml:space="preserve"> and </w:t>
      </w:r>
      <w:r w:rsidR="003A1917">
        <w:t xml:space="preserve">the </w:t>
      </w:r>
      <w:r w:rsidRPr="001A3D2B">
        <w:t>amount</w:t>
      </w:r>
      <w:r w:rsidR="00427468">
        <w:t xml:space="preserve"> of </w:t>
      </w:r>
      <w:r w:rsidRPr="001A3D2B">
        <w:t>language errors, there was a clear indication that badly written articles correlated with a high rejection rate</w:t>
      </w:r>
      <w:r w:rsidR="00A37C1D">
        <w:t>. The</w:t>
      </w:r>
      <w:r w:rsidR="003A1917">
        <w:t xml:space="preserve"> </w:t>
      </w:r>
      <w:r w:rsidRPr="001A3D2B">
        <w:t>US/UK acceptance rate</w:t>
      </w:r>
      <w:r w:rsidR="00427468">
        <w:t xml:space="preserve"> of </w:t>
      </w:r>
      <w:r w:rsidRPr="001A3D2B">
        <w:t>30.4% was higher than for all</w:t>
      </w:r>
      <w:r w:rsidR="003A1917">
        <w:t xml:space="preserve"> the </w:t>
      </w:r>
      <w:r w:rsidRPr="001A3D2B">
        <w:t>other countries</w:t>
      </w:r>
      <w:r w:rsidR="00A37C1D">
        <w:t>. The</w:t>
      </w:r>
      <w:r w:rsidR="003A1917">
        <w:t xml:space="preserve"> </w:t>
      </w:r>
      <w:r w:rsidRPr="001A3D2B">
        <w:t>lowest acceptance rate</w:t>
      </w:r>
      <w:r w:rsidR="00427468">
        <w:t xml:space="preserve"> of </w:t>
      </w:r>
      <w:r w:rsidRPr="001A3D2B">
        <w:t>9% (Italian) also had</w:t>
      </w:r>
      <w:r w:rsidR="003A1917">
        <w:t xml:space="preserve"> the </w:t>
      </w:r>
      <w:r w:rsidRPr="001A3D2B">
        <w:t>highest error rate. Discussion: Many factors could influence</w:t>
      </w:r>
      <w:r w:rsidR="003A1917">
        <w:t xml:space="preserve"> the </w:t>
      </w:r>
      <w:r w:rsidRPr="001A3D2B">
        <w:t>rejection</w:t>
      </w:r>
      <w:r w:rsidR="00427468">
        <w:t xml:space="preserve"> of </w:t>
      </w:r>
      <w:r w:rsidRPr="001A3D2B">
        <w:t>an article. However, we found clear indications that carelessly written articles could often have either a direct or subliminal influence on whether a paper was accepted or rejected. On equal scientific merit, a badly written article will have less chance</w:t>
      </w:r>
      <w:r w:rsidR="00427468">
        <w:t xml:space="preserve"> of </w:t>
      </w:r>
      <w:r w:rsidRPr="001A3D2B">
        <w:t>being accepted. This is even if</w:t>
      </w:r>
      <w:r w:rsidR="003A1917">
        <w:t xml:space="preserve"> the </w:t>
      </w:r>
      <w:r w:rsidRPr="001A3D2B">
        <w:t>editor involved in rejecting a paper does not necessarily identify language problems as a motive for rejection. A more detailed look at</w:t>
      </w:r>
      <w:r w:rsidR="003A1917">
        <w:t xml:space="preserve"> the </w:t>
      </w:r>
      <w:r w:rsidRPr="001A3D2B">
        <w:t>types</w:t>
      </w:r>
      <w:r w:rsidR="005853A9">
        <w:t xml:space="preserve"> and </w:t>
      </w:r>
      <w:r w:rsidRPr="001A3D2B">
        <w:t>categories</w:t>
      </w:r>
      <w:r w:rsidR="00427468">
        <w:t xml:space="preserve"> of </w:t>
      </w:r>
      <w:r w:rsidRPr="001A3D2B">
        <w:t>language errors is needed. Furthermore we suggest</w:t>
      </w:r>
      <w:r w:rsidR="003A1917">
        <w:t xml:space="preserve"> the </w:t>
      </w:r>
      <w:r w:rsidRPr="001A3D2B">
        <w:t>introduction</w:t>
      </w:r>
      <w:r w:rsidR="00427468">
        <w:t xml:space="preserve"> of </w:t>
      </w:r>
      <w:r w:rsidRPr="001A3D2B">
        <w:t>standardised guidelines in scientific writing 2002 Elsevier Science B.V. All rights reserved.</w:t>
      </w:r>
    </w:p>
    <w:p w:rsidR="003474F2" w:rsidRPr="001A3D2B" w:rsidRDefault="003474F2" w:rsidP="003474F2">
      <w:pPr>
        <w:pStyle w:val="a3"/>
      </w:pPr>
      <w:r w:rsidRPr="001A3D2B">
        <w:t>? Opthof, T.</w:t>
      </w:r>
      <w:r w:rsidR="005853A9">
        <w:t xml:space="preserve"> and </w:t>
      </w:r>
      <w:r w:rsidRPr="001A3D2B">
        <w:t>Coronel, R. (2002), Productivity in science: More more</w:t>
      </w:r>
      <w:r w:rsidR="005853A9">
        <w:t xml:space="preserve"> and </w:t>
      </w:r>
      <w:r w:rsidRPr="001A3D2B">
        <w:t xml:space="preserve">more? </w:t>
      </w:r>
      <w:r w:rsidRPr="001A3D2B">
        <w:rPr>
          <w:i/>
          <w:iCs/>
        </w:rPr>
        <w:t>Cardiovascular Research</w:t>
      </w:r>
      <w:r w:rsidRPr="001A3D2B">
        <w:t xml:space="preserve">, </w:t>
      </w:r>
      <w:r w:rsidRPr="001A3D2B">
        <w:rPr>
          <w:b/>
          <w:bCs/>
        </w:rPr>
        <w:t>56</w:t>
      </w:r>
      <w:r w:rsidRPr="001A3D2B">
        <w:t xml:space="preserve"> (2), 175-177.</w:t>
      </w:r>
    </w:p>
    <w:p w:rsidR="003474F2" w:rsidRPr="001A3D2B" w:rsidRDefault="003474F2" w:rsidP="003474F2">
      <w:pPr>
        <w:pStyle w:val="a3"/>
      </w:pPr>
      <w:r w:rsidRPr="001A3D2B">
        <w:t xml:space="preserve">Full Text: </w:t>
      </w:r>
      <w:hyperlink r:id="rId144" w:history="1">
        <w:r w:rsidRPr="001A3D2B">
          <w:rPr>
            <w:rStyle w:val="a5"/>
          </w:rPr>
          <w:t>2002\Car Res56, 175.pdf</w:t>
        </w:r>
      </w:hyperlink>
    </w:p>
    <w:p w:rsidR="003474F2" w:rsidRPr="001A3D2B" w:rsidRDefault="003474F2" w:rsidP="003474F2">
      <w:pPr>
        <w:pStyle w:val="a3"/>
      </w:pPr>
      <w:r w:rsidRPr="001A3D2B">
        <w:t>Keywords: Science</w:t>
      </w:r>
    </w:p>
    <w:p w:rsidR="00CA1A94" w:rsidRPr="00C73C58" w:rsidRDefault="00CA1A94" w:rsidP="00CA1A94">
      <w:pPr>
        <w:pStyle w:val="1"/>
      </w:pPr>
      <w:r w:rsidRPr="001A3D2B">
        <w:br w:type="page"/>
      </w:r>
      <w:bookmarkStart w:id="107" w:name="_Toc420814919"/>
      <w:r w:rsidRPr="00C73C58">
        <w:lastRenderedPageBreak/>
        <w:t xml:space="preserve">Title: </w:t>
      </w:r>
      <w:r w:rsidRPr="00CA1A94">
        <w:t>Cardiovascular Therapy</w:t>
      </w:r>
      <w:r w:rsidR="005853A9">
        <w:t xml:space="preserve"> and </w:t>
      </w:r>
      <w:r w:rsidRPr="00CA1A94">
        <w:t>Prevention</w:t>
      </w:r>
      <w:bookmarkEnd w:id="107"/>
    </w:p>
    <w:p w:rsidR="00CA1A94" w:rsidRPr="001A3D2B" w:rsidRDefault="00CA1A94" w:rsidP="00CA1A94">
      <w:pPr>
        <w:pStyle w:val="12"/>
      </w:pPr>
      <w:r w:rsidRPr="001A3D2B">
        <w:t xml:space="preserve">Full Journal Title: </w:t>
      </w:r>
      <w:r w:rsidRPr="00CA1A94">
        <w:rPr>
          <w:iCs/>
          <w:kern w:val="0"/>
        </w:rPr>
        <w:t>Cardiovascular Therapy</w:t>
      </w:r>
      <w:r w:rsidR="005853A9">
        <w:rPr>
          <w:iCs/>
          <w:kern w:val="0"/>
        </w:rPr>
        <w:t xml:space="preserve"> and </w:t>
      </w:r>
      <w:r w:rsidRPr="00CA1A94">
        <w:rPr>
          <w:iCs/>
          <w:kern w:val="0"/>
        </w:rPr>
        <w:t>Prevention</w:t>
      </w:r>
    </w:p>
    <w:p w:rsidR="00CA1A94" w:rsidRPr="001A3D2B" w:rsidRDefault="00CA1A94" w:rsidP="00CA1A94">
      <w:pPr>
        <w:pStyle w:val="12"/>
      </w:pPr>
      <w:r w:rsidRPr="001A3D2B">
        <w:t xml:space="preserve">ISO Abbreviated Title: </w:t>
      </w:r>
    </w:p>
    <w:p w:rsidR="00CA1A94" w:rsidRPr="001A3D2B" w:rsidRDefault="00CA1A94" w:rsidP="00CA1A94">
      <w:pPr>
        <w:pStyle w:val="12"/>
      </w:pPr>
      <w:r w:rsidRPr="001A3D2B">
        <w:t xml:space="preserve">JCR Abbreviated Title: </w:t>
      </w:r>
    </w:p>
    <w:p w:rsidR="00CA1A94" w:rsidRPr="001A3D2B" w:rsidRDefault="00CA1A94" w:rsidP="00CA1A94">
      <w:pPr>
        <w:pStyle w:val="12"/>
      </w:pPr>
      <w:r w:rsidRPr="001A3D2B">
        <w:t xml:space="preserve">ISSN: </w:t>
      </w:r>
    </w:p>
    <w:p w:rsidR="00CA1A94" w:rsidRPr="001A3D2B" w:rsidRDefault="00CA1A94" w:rsidP="00CA1A94">
      <w:pPr>
        <w:pStyle w:val="12"/>
      </w:pPr>
      <w:r w:rsidRPr="001A3D2B">
        <w:t xml:space="preserve">Issues/Year: </w:t>
      </w:r>
    </w:p>
    <w:p w:rsidR="00CA1A94" w:rsidRPr="001A3D2B" w:rsidRDefault="00CA1A94" w:rsidP="00CA1A94">
      <w:pPr>
        <w:pStyle w:val="12"/>
      </w:pPr>
      <w:r w:rsidRPr="001A3D2B">
        <w:t xml:space="preserve">Journal Country/Territory: </w:t>
      </w:r>
    </w:p>
    <w:p w:rsidR="00CA1A94" w:rsidRPr="001A3D2B" w:rsidRDefault="00CA1A94" w:rsidP="00CA1A94">
      <w:pPr>
        <w:pStyle w:val="12"/>
      </w:pPr>
      <w:r w:rsidRPr="001A3D2B">
        <w:t xml:space="preserve">Language: </w:t>
      </w:r>
    </w:p>
    <w:p w:rsidR="00CA1A94" w:rsidRPr="001A3D2B" w:rsidRDefault="00CA1A94" w:rsidP="00CA1A94">
      <w:pPr>
        <w:pStyle w:val="12"/>
      </w:pPr>
      <w:r w:rsidRPr="001A3D2B">
        <w:t xml:space="preserve">Publisher: </w:t>
      </w:r>
    </w:p>
    <w:p w:rsidR="00CA1A94" w:rsidRPr="001A3D2B" w:rsidRDefault="00CA1A94" w:rsidP="00CA1A94">
      <w:pPr>
        <w:pStyle w:val="12"/>
      </w:pPr>
      <w:r w:rsidRPr="001A3D2B">
        <w:t xml:space="preserve">Publisher Address: </w:t>
      </w:r>
    </w:p>
    <w:p w:rsidR="00CA1A94" w:rsidRPr="001A3D2B" w:rsidRDefault="00CA1A94" w:rsidP="00CA1A94">
      <w:pPr>
        <w:pStyle w:val="12"/>
      </w:pPr>
      <w:r w:rsidRPr="001A3D2B">
        <w:t xml:space="preserve">Subject Categories: </w:t>
      </w:r>
    </w:p>
    <w:p w:rsidR="00CA1A94" w:rsidRPr="001A3D2B" w:rsidRDefault="00CA1A94" w:rsidP="00CA1A94">
      <w:pPr>
        <w:pStyle w:val="12"/>
      </w:pPr>
      <w:r w:rsidRPr="001A3D2B">
        <w:t xml:space="preserve">: Impact Factor </w:t>
      </w:r>
    </w:p>
    <w:p w:rsidR="00CA1A94" w:rsidRDefault="00CA1A94" w:rsidP="00CA1A94">
      <w:pPr>
        <w:pStyle w:val="a3"/>
        <w:rPr>
          <w:kern w:val="0"/>
        </w:rPr>
      </w:pPr>
      <w:r>
        <w:rPr>
          <w:rFonts w:hint="eastAsia"/>
          <w:kern w:val="0"/>
        </w:rPr>
        <w:t xml:space="preserve">? </w:t>
      </w:r>
      <w:r>
        <w:rPr>
          <w:kern w:val="0"/>
        </w:rPr>
        <w:t>Oganov, R.G.</w:t>
      </w:r>
      <w:r w:rsidR="005853A9">
        <w:rPr>
          <w:kern w:val="0"/>
        </w:rPr>
        <w:t xml:space="preserve"> and </w:t>
      </w:r>
      <w:r>
        <w:rPr>
          <w:kern w:val="0"/>
        </w:rPr>
        <w:t>Trushchelev, S.A. (2012), Scientometric approaches to</w:t>
      </w:r>
      <w:r w:rsidR="003A1917">
        <w:rPr>
          <w:kern w:val="0"/>
        </w:rPr>
        <w:t xml:space="preserve"> the </w:t>
      </w:r>
      <w:r>
        <w:rPr>
          <w:kern w:val="0"/>
        </w:rPr>
        <w:t>analysis</w:t>
      </w:r>
      <w:r w:rsidR="00427468">
        <w:rPr>
          <w:kern w:val="0"/>
        </w:rPr>
        <w:t xml:space="preserve"> of </w:t>
      </w:r>
      <w:r>
        <w:rPr>
          <w:kern w:val="0"/>
        </w:rPr>
        <w:t xml:space="preserve">research results. </w:t>
      </w:r>
      <w:r w:rsidRPr="00CA1A94">
        <w:rPr>
          <w:i/>
          <w:iCs/>
          <w:kern w:val="0"/>
        </w:rPr>
        <w:t>Cardiovascular Therapy</w:t>
      </w:r>
      <w:r w:rsidR="005853A9">
        <w:rPr>
          <w:i/>
          <w:iCs/>
          <w:kern w:val="0"/>
        </w:rPr>
        <w:t xml:space="preserve"> and </w:t>
      </w:r>
      <w:r w:rsidRPr="00CA1A94">
        <w:rPr>
          <w:i/>
          <w:iCs/>
          <w:kern w:val="0"/>
        </w:rPr>
        <w:t>Prevention</w:t>
      </w:r>
      <w:r>
        <w:rPr>
          <w:kern w:val="0"/>
        </w:rPr>
        <w:t xml:space="preserve">, </w:t>
      </w:r>
      <w:r>
        <w:rPr>
          <w:b/>
          <w:bCs/>
          <w:kern w:val="0"/>
        </w:rPr>
        <w:t>11</w:t>
      </w:r>
      <w:r>
        <w:rPr>
          <w:kern w:val="0"/>
        </w:rPr>
        <w:t xml:space="preserve"> (2), 90-95.</w:t>
      </w:r>
    </w:p>
    <w:p w:rsidR="00CA1A94" w:rsidRDefault="00CA1A94" w:rsidP="00CA1A94">
      <w:pPr>
        <w:pStyle w:val="a3"/>
        <w:rPr>
          <w:kern w:val="0"/>
        </w:rPr>
      </w:pPr>
      <w:r>
        <w:rPr>
          <w:rFonts w:hint="eastAsia"/>
          <w:kern w:val="0"/>
        </w:rPr>
        <w:t>Full Text: 2012\</w:t>
      </w:r>
      <w:r>
        <w:rPr>
          <w:iCs/>
          <w:kern w:val="0"/>
        </w:rPr>
        <w:t>Car</w:t>
      </w:r>
      <w:r w:rsidR="003A1917">
        <w:rPr>
          <w:iCs/>
          <w:kern w:val="0"/>
        </w:rPr>
        <w:t xml:space="preserve"> the </w:t>
      </w:r>
      <w:r>
        <w:rPr>
          <w:iCs/>
          <w:kern w:val="0"/>
        </w:rPr>
        <w:t>Pre</w:t>
      </w:r>
      <w:r w:rsidRPr="00CA1A94">
        <w:rPr>
          <w:bCs/>
          <w:kern w:val="0"/>
        </w:rPr>
        <w:t>11</w:t>
      </w:r>
      <w:r>
        <w:rPr>
          <w:kern w:val="0"/>
        </w:rPr>
        <w:t>, 90</w:t>
      </w:r>
      <w:r>
        <w:rPr>
          <w:rFonts w:hint="eastAsia"/>
          <w:kern w:val="0"/>
        </w:rPr>
        <w:t>.pdf</w:t>
      </w:r>
    </w:p>
    <w:p w:rsidR="00CA1A94" w:rsidRDefault="00CA1A94" w:rsidP="00CA1A94">
      <w:pPr>
        <w:pStyle w:val="a3"/>
        <w:rPr>
          <w:kern w:val="0"/>
        </w:rPr>
      </w:pPr>
      <w:r>
        <w:rPr>
          <w:kern w:val="0"/>
        </w:rPr>
        <w:t>Abstract:</w:t>
      </w:r>
      <w:r w:rsidR="003A1917">
        <w:rPr>
          <w:kern w:val="0"/>
        </w:rPr>
        <w:t xml:space="preserve"> the </w:t>
      </w:r>
      <w:r>
        <w:rPr>
          <w:kern w:val="0"/>
        </w:rPr>
        <w:t>paper discusses</w:t>
      </w:r>
      <w:r w:rsidR="003A1917">
        <w:rPr>
          <w:kern w:val="0"/>
        </w:rPr>
        <w:t xml:space="preserve"> the </w:t>
      </w:r>
      <w:r>
        <w:rPr>
          <w:kern w:val="0"/>
        </w:rPr>
        <w:t>role</w:t>
      </w:r>
      <w:r w:rsidR="00427468">
        <w:rPr>
          <w:kern w:val="0"/>
        </w:rPr>
        <w:t xml:space="preserve"> of </w:t>
      </w:r>
      <w:r>
        <w:rPr>
          <w:kern w:val="0"/>
        </w:rPr>
        <w:t>scientific medical information</w:t>
      </w:r>
      <w:r w:rsidR="005853A9">
        <w:rPr>
          <w:kern w:val="0"/>
        </w:rPr>
        <w:t xml:space="preserve"> and </w:t>
      </w:r>
      <w:r>
        <w:rPr>
          <w:kern w:val="0"/>
        </w:rPr>
        <w:t>its impact indicators (researcher</w:t>
      </w:r>
      <w:r w:rsidR="0071223E">
        <w:rPr>
          <w:kern w:val="0"/>
        </w:rPr>
        <w:t>’</w:t>
      </w:r>
      <w:r>
        <w:rPr>
          <w:kern w:val="0"/>
        </w:rPr>
        <w:t>s publishing activity, citation index, impact factor, Hirsc</w:t>
      </w:r>
      <w:r w:rsidR="00D5664A">
        <w:rPr>
          <w:kern w:val="0"/>
        </w:rPr>
        <w:t>h Index</w:t>
      </w:r>
      <w:r>
        <w:rPr>
          <w:kern w:val="0"/>
        </w:rPr>
        <w:t>, etc.)</w:t>
      </w:r>
      <w:r w:rsidR="00A37C1D">
        <w:rPr>
          <w:kern w:val="0"/>
        </w:rPr>
        <w:t>. The</w:t>
      </w:r>
      <w:r w:rsidR="003A1917">
        <w:rPr>
          <w:kern w:val="0"/>
        </w:rPr>
        <w:t xml:space="preserve"> </w:t>
      </w:r>
      <w:r>
        <w:rPr>
          <w:kern w:val="0"/>
        </w:rPr>
        <w:t>sources</w:t>
      </w:r>
      <w:r w:rsidR="00427468">
        <w:rPr>
          <w:kern w:val="0"/>
        </w:rPr>
        <w:t xml:space="preserve"> of </w:t>
      </w:r>
      <w:r>
        <w:rPr>
          <w:kern w:val="0"/>
        </w:rPr>
        <w:t>these indicators are specified.</w:t>
      </w:r>
    </w:p>
    <w:p w:rsidR="00CA1A94" w:rsidRDefault="00CA1A94" w:rsidP="00CA1A94">
      <w:pPr>
        <w:pStyle w:val="a3"/>
        <w:rPr>
          <w:kern w:val="0"/>
        </w:rPr>
      </w:pPr>
      <w:r>
        <w:rPr>
          <w:kern w:val="0"/>
        </w:rPr>
        <w:t>Keywords: Analysis, Cardiology, Citation, Citation Index, Hirsch, Hirsc</w:t>
      </w:r>
      <w:r w:rsidR="00D5664A">
        <w:rPr>
          <w:kern w:val="0"/>
        </w:rPr>
        <w:t>h Index</w:t>
      </w:r>
      <w:r>
        <w:rPr>
          <w:kern w:val="0"/>
        </w:rPr>
        <w:t>, Hirsc</w:t>
      </w:r>
      <w:r w:rsidR="00D5664A">
        <w:rPr>
          <w:kern w:val="0"/>
        </w:rPr>
        <w:t>h-Index</w:t>
      </w:r>
      <w:r>
        <w:rPr>
          <w:kern w:val="0"/>
        </w:rPr>
        <w:t>, Impact, Impact Factor, Impact Factors, Index, Indicators, Information, Medical, Medical Information, Medicine, Publishing, Research, Research Results, Role, Science, Scientometric, Sources</w:t>
      </w:r>
    </w:p>
    <w:p w:rsidR="00654610" w:rsidRPr="00C73C58" w:rsidRDefault="003474F2" w:rsidP="00654610">
      <w:pPr>
        <w:pStyle w:val="1"/>
      </w:pPr>
      <w:r w:rsidRPr="001A3D2B">
        <w:br w:type="page"/>
      </w:r>
      <w:bookmarkStart w:id="108" w:name="_Toc211415072"/>
      <w:bookmarkStart w:id="109" w:name="_Toc238324445"/>
      <w:bookmarkStart w:id="110" w:name="_Toc329592601"/>
      <w:bookmarkStart w:id="111" w:name="_Toc420814920"/>
      <w:r w:rsidR="00654610" w:rsidRPr="00C73C58">
        <w:lastRenderedPageBreak/>
        <w:t xml:space="preserve">Title: </w:t>
      </w:r>
      <w:bookmarkEnd w:id="108"/>
      <w:bookmarkEnd w:id="109"/>
      <w:bookmarkEnd w:id="110"/>
      <w:r w:rsidR="00654610" w:rsidRPr="00E94F83">
        <w:t>Casopis Lekaru Ceskych</w:t>
      </w:r>
      <w:bookmarkEnd w:id="111"/>
    </w:p>
    <w:p w:rsidR="00654610" w:rsidRPr="001A3D2B" w:rsidRDefault="00654610" w:rsidP="00654610">
      <w:pPr>
        <w:pStyle w:val="12"/>
      </w:pPr>
      <w:r w:rsidRPr="001A3D2B">
        <w:t xml:space="preserve">Full Journal Title: </w:t>
      </w:r>
      <w:hyperlink r:id="rId145" w:history="1">
        <w:r w:rsidRPr="00E94F83">
          <w:rPr>
            <w:rStyle w:val="a5"/>
          </w:rPr>
          <w:t>Casopís Lékařů Českých</w:t>
        </w:r>
      </w:hyperlink>
    </w:p>
    <w:p w:rsidR="003474F2" w:rsidRPr="001A3D2B" w:rsidRDefault="003474F2" w:rsidP="00654610">
      <w:pPr>
        <w:pStyle w:val="12"/>
      </w:pPr>
      <w:r w:rsidRPr="001A3D2B">
        <w:t xml:space="preserve">ISO Abbreviated Title: </w:t>
      </w:r>
      <w:r w:rsidR="0022587B">
        <w:t>Cas. Lek. Cesk.</w:t>
      </w:r>
    </w:p>
    <w:p w:rsidR="003474F2" w:rsidRPr="001A3D2B" w:rsidRDefault="003474F2" w:rsidP="003474F2">
      <w:pPr>
        <w:pStyle w:val="12"/>
      </w:pPr>
      <w:r w:rsidRPr="001A3D2B">
        <w:t>JCR Abbreviated Title: Cas Lek Cesk</w:t>
      </w:r>
    </w:p>
    <w:p w:rsidR="003474F2" w:rsidRPr="001A3D2B" w:rsidRDefault="003474F2" w:rsidP="003474F2">
      <w:pPr>
        <w:pStyle w:val="12"/>
      </w:pPr>
      <w:r w:rsidRPr="001A3D2B">
        <w:t xml:space="preserve">ISSN: </w:t>
      </w:r>
      <w:r w:rsidR="0022587B">
        <w:t>0008-7335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B964E1" w:rsidRPr="001A3D2B" w:rsidRDefault="00B964E1" w:rsidP="00B964E1">
      <w:pPr>
        <w:pStyle w:val="a3"/>
      </w:pPr>
      <w:r w:rsidRPr="001A3D2B">
        <w:t xml:space="preserve">? Špála, M. (1994), Impact factor - Good servant, but a bad master [Impakt faktor - Dobrý sluha, ale špatný pán]. </w:t>
      </w:r>
      <w:r w:rsidRPr="001A3D2B">
        <w:rPr>
          <w:i/>
        </w:rPr>
        <w:t>Casopis Lekaru Ceskych</w:t>
      </w:r>
      <w:r w:rsidRPr="001A3D2B">
        <w:t xml:space="preserve">, </w:t>
      </w:r>
      <w:r w:rsidRPr="001A3D2B">
        <w:rPr>
          <w:b/>
        </w:rPr>
        <w:t>145</w:t>
      </w:r>
      <w:r w:rsidRPr="001A3D2B">
        <w:t xml:space="preserve"> (1), 69-78.</w:t>
      </w:r>
    </w:p>
    <w:p w:rsidR="00B964E1" w:rsidRPr="001A3D2B" w:rsidRDefault="00B964E1" w:rsidP="00B964E1">
      <w:pPr>
        <w:pStyle w:val="a3"/>
      </w:pPr>
      <w:r w:rsidRPr="001A3D2B">
        <w:t>Full Text: Cas Lek Ces145, 69</w:t>
      </w:r>
      <w:r w:rsidR="0022587B">
        <w:rPr>
          <w:rFonts w:hint="eastAsia"/>
        </w:rPr>
        <w:t>.pdf</w:t>
      </w:r>
    </w:p>
    <w:p w:rsidR="00B964E1" w:rsidRPr="001A3D2B" w:rsidRDefault="00B964E1" w:rsidP="00B964E1">
      <w:pPr>
        <w:pStyle w:val="a3"/>
      </w:pPr>
      <w:r w:rsidRPr="001A3D2B">
        <w:t>Abstract: Our paper presents an overview on</w:t>
      </w:r>
      <w:r w:rsidR="003A1917">
        <w:t xml:space="preserve"> the </w:t>
      </w:r>
      <w:r w:rsidRPr="001A3D2B">
        <w:t>role</w:t>
      </w:r>
      <w:r w:rsidR="00427468">
        <w:t xml:space="preserve"> of </w:t>
      </w:r>
      <w:r w:rsidRPr="001A3D2B">
        <w:t>impact factor (IF) in</w:t>
      </w:r>
      <w:r w:rsidR="003A1917">
        <w:t xml:space="preserve"> the </w:t>
      </w:r>
      <w:r w:rsidRPr="001A3D2B">
        <w:t>valuation</w:t>
      </w:r>
      <w:r w:rsidR="00427468">
        <w:t xml:space="preserve"> of </w:t>
      </w:r>
      <w:r w:rsidR="003A1917">
        <w:t xml:space="preserve">the </w:t>
      </w:r>
      <w:r w:rsidRPr="001A3D2B">
        <w:t>scientific activity. With maximal objectivity based on published articles</w:t>
      </w:r>
      <w:r w:rsidR="003A1917">
        <w:t xml:space="preserve"> the </w:t>
      </w:r>
      <w:r w:rsidRPr="001A3D2B">
        <w:t>perspectives are outlined</w:t>
      </w:r>
      <w:r w:rsidR="005853A9">
        <w:t xml:space="preserve"> and </w:t>
      </w:r>
      <w:r w:rsidR="003A1917">
        <w:t xml:space="preserve">the </w:t>
      </w:r>
      <w:r w:rsidRPr="001A3D2B">
        <w:t>role</w:t>
      </w:r>
      <w:r w:rsidR="00427468">
        <w:t xml:space="preserve"> of </w:t>
      </w:r>
      <w:r w:rsidRPr="001A3D2B">
        <w:t>specialized medical journals like Journal</w:t>
      </w:r>
      <w:r w:rsidR="00427468">
        <w:t xml:space="preserve"> of </w:t>
      </w:r>
      <w:r w:rsidRPr="001A3D2B">
        <w:t>Czech Physicians is shown. When IF is used for evaluation,</w:t>
      </w:r>
      <w:r w:rsidR="003A1917">
        <w:t xml:space="preserve"> the </w:t>
      </w:r>
      <w:r w:rsidRPr="001A3D2B">
        <w:t xml:space="preserve">full English term should be first considered </w:t>
      </w:r>
      <w:r w:rsidR="00B5188C">
        <w:t>“</w:t>
      </w:r>
      <w:r w:rsidRPr="001A3D2B">
        <w:t>journal impact factor</w:t>
      </w:r>
      <w:r w:rsidR="00B5188C">
        <w:t>”</w:t>
      </w:r>
      <w:r w:rsidRPr="001A3D2B">
        <w:t>. It expresses</w:t>
      </w:r>
      <w:r w:rsidR="003A1917">
        <w:t xml:space="preserve"> the </w:t>
      </w:r>
      <w:r w:rsidRPr="001A3D2B">
        <w:t>bibliometric features</w:t>
      </w:r>
      <w:r w:rsidR="00427468">
        <w:t xml:space="preserve"> of </w:t>
      </w:r>
      <w:r w:rsidR="003A1917">
        <w:t xml:space="preserve">the </w:t>
      </w:r>
      <w:r w:rsidRPr="001A3D2B">
        <w:t>given journal, without possibility to transfer this assessment to individual articles or even authors. IF determined on</w:t>
      </w:r>
      <w:r w:rsidR="003A1917">
        <w:t xml:space="preserve"> the </w:t>
      </w:r>
      <w:r w:rsidRPr="001A3D2B">
        <w:t>basis</w:t>
      </w:r>
      <w:r w:rsidR="00427468">
        <w:t xml:space="preserve"> of </w:t>
      </w:r>
      <w:r w:rsidRPr="001A3D2B">
        <w:t>information from citation indexes represents for an article presented in</w:t>
      </w:r>
      <w:r w:rsidR="003A1917">
        <w:t xml:space="preserve"> the </w:t>
      </w:r>
      <w:r w:rsidRPr="001A3D2B">
        <w:t>journal</w:t>
      </w:r>
      <w:r w:rsidR="003A1917">
        <w:t xml:space="preserve"> the </w:t>
      </w:r>
      <w:r w:rsidRPr="001A3D2B">
        <w:t>probability to be cited. It appears to be evident that this valuable parameter can lead in hands</w:t>
      </w:r>
      <w:r w:rsidR="00427468">
        <w:t xml:space="preserve"> of </w:t>
      </w:r>
      <w:r w:rsidRPr="001A3D2B">
        <w:t>inexperienced or irresponsible evaluator to incorrect</w:t>
      </w:r>
      <w:r w:rsidR="005853A9">
        <w:t xml:space="preserve"> and </w:t>
      </w:r>
      <w:r w:rsidRPr="001A3D2B">
        <w:t>erroneous conclusions or to be misused. It is useful neither for evaluation</w:t>
      </w:r>
      <w:r w:rsidR="00427468">
        <w:t xml:space="preserve"> of </w:t>
      </w:r>
      <w:r w:rsidRPr="001A3D2B">
        <w:t>publication or scientific activity</w:t>
      </w:r>
      <w:r w:rsidR="00427468">
        <w:t xml:space="preserve"> of </w:t>
      </w:r>
      <w:r w:rsidRPr="001A3D2B">
        <w:t>an individual nor for</w:t>
      </w:r>
      <w:r w:rsidR="003A1917">
        <w:t xml:space="preserve"> the </w:t>
      </w:r>
      <w:r w:rsidRPr="001A3D2B">
        <w:t>comparison</w:t>
      </w:r>
      <w:r w:rsidR="00427468">
        <w:t xml:space="preserve"> of </w:t>
      </w:r>
      <w:r w:rsidRPr="001A3D2B">
        <w:t>journals in different scientific disciplines. Owing to</w:t>
      </w:r>
      <w:r w:rsidR="003A1917">
        <w:t xml:space="preserve"> the </w:t>
      </w:r>
      <w:r w:rsidRPr="001A3D2B">
        <w:t>relation</w:t>
      </w:r>
      <w:r w:rsidR="00427468">
        <w:t xml:space="preserve"> of </w:t>
      </w:r>
      <w:r w:rsidRPr="001A3D2B">
        <w:t>IF to</w:t>
      </w:r>
      <w:r w:rsidR="003A1917">
        <w:t xml:space="preserve"> the </w:t>
      </w:r>
      <w:r w:rsidRPr="001A3D2B">
        <w:t>probability</w:t>
      </w:r>
      <w:r w:rsidR="00427468">
        <w:t xml:space="preserve"> of </w:t>
      </w:r>
      <w:r w:rsidRPr="001A3D2B">
        <w:t>an article to be cited, IF reflects</w:t>
      </w:r>
      <w:r w:rsidR="003A1917">
        <w:t xml:space="preserve"> the </w:t>
      </w:r>
      <w:r w:rsidRPr="001A3D2B">
        <w:t>features (quality)</w:t>
      </w:r>
      <w:r w:rsidR="00427468">
        <w:t xml:space="preserve"> of </w:t>
      </w:r>
      <w:r w:rsidRPr="001A3D2B">
        <w:t>an article which brought</w:t>
      </w:r>
      <w:r w:rsidR="003A1917">
        <w:t xml:space="preserve"> the </w:t>
      </w:r>
      <w:r w:rsidRPr="001A3D2B">
        <w:t>citation. IF is therefore determined also by</w:t>
      </w:r>
      <w:r w:rsidR="003A1917">
        <w:t xml:space="preserve"> the </w:t>
      </w:r>
      <w:r w:rsidRPr="001A3D2B">
        <w:t>activity</w:t>
      </w:r>
      <w:r w:rsidR="00427468">
        <w:t xml:space="preserve"> of </w:t>
      </w:r>
      <w:r w:rsidRPr="001A3D2B">
        <w:t>scientific editors</w:t>
      </w:r>
      <w:r w:rsidR="005853A9">
        <w:t xml:space="preserve"> and </w:t>
      </w:r>
      <w:r w:rsidRPr="001A3D2B">
        <w:t>referees. IF becomes part</w:t>
      </w:r>
      <w:r w:rsidR="00427468">
        <w:t xml:space="preserve"> of </w:t>
      </w:r>
      <w:r w:rsidRPr="001A3D2B">
        <w:t>everything what is related to</w:t>
      </w:r>
      <w:r w:rsidR="003A1917">
        <w:t xml:space="preserve"> the </w:t>
      </w:r>
      <w:r w:rsidRPr="001A3D2B">
        <w:t>publication</w:t>
      </w:r>
      <w:r w:rsidR="00427468">
        <w:t xml:space="preserve"> of </w:t>
      </w:r>
      <w:r w:rsidRPr="001A3D2B">
        <w:t>scientific results</w:t>
      </w:r>
      <w:r w:rsidR="005853A9">
        <w:t xml:space="preserve"> and </w:t>
      </w:r>
      <w:r w:rsidRPr="001A3D2B">
        <w:t>therefore it becomes object</w:t>
      </w:r>
      <w:r w:rsidR="00427468">
        <w:t xml:space="preserve"> of </w:t>
      </w:r>
      <w:r w:rsidRPr="001A3D2B">
        <w:t>journalogy. It is</w:t>
      </w:r>
      <w:r w:rsidR="003A1917">
        <w:t xml:space="preserve"> the </w:t>
      </w:r>
      <w:r w:rsidRPr="001A3D2B">
        <w:t>source</w:t>
      </w:r>
      <w:r w:rsidR="00427468">
        <w:t xml:space="preserve"> of </w:t>
      </w:r>
      <w:r w:rsidRPr="001A3D2B">
        <w:t>meritorious intentions</w:t>
      </w:r>
      <w:r w:rsidR="00427468">
        <w:t xml:space="preserve"> of </w:t>
      </w:r>
      <w:r w:rsidR="003A1917">
        <w:t xml:space="preserve">the </w:t>
      </w:r>
      <w:r w:rsidRPr="001A3D2B">
        <w:t>editorial board</w:t>
      </w:r>
      <w:r w:rsidR="00427468">
        <w:t xml:space="preserve"> of </w:t>
      </w:r>
      <w:r w:rsidRPr="001A3D2B">
        <w:t>Journal</w:t>
      </w:r>
      <w:r w:rsidR="00427468">
        <w:t xml:space="preserve"> of </w:t>
      </w:r>
      <w:r w:rsidRPr="001A3D2B">
        <w:t>Czech Physicians to deal with this phenomenon.</w:t>
      </w:r>
    </w:p>
    <w:p w:rsidR="00B964E1" w:rsidRPr="001A3D2B" w:rsidRDefault="00B964E1" w:rsidP="00B964E1">
      <w:pPr>
        <w:pStyle w:val="a3"/>
      </w:pPr>
      <w:r w:rsidRPr="001A3D2B">
        <w:t>Keywords: Bibliometric Indicators, Citation Registers, E. Garfield, Evaluation</w:t>
      </w:r>
      <w:r w:rsidR="00427468">
        <w:t xml:space="preserve"> of </w:t>
      </w:r>
      <w:r w:rsidRPr="001A3D2B">
        <w:t>Publication Activity, Evaluation</w:t>
      </w:r>
      <w:r w:rsidR="00427468">
        <w:t xml:space="preserve"> of </w:t>
      </w:r>
      <w:r w:rsidR="003A1917">
        <w:t xml:space="preserve">the </w:t>
      </w:r>
      <w:r w:rsidRPr="001A3D2B">
        <w:t>Research, Impact Factor</w:t>
      </w:r>
    </w:p>
    <w:p w:rsidR="003474F2" w:rsidRPr="001A3D2B" w:rsidRDefault="003474F2" w:rsidP="003474F2">
      <w:pPr>
        <w:pStyle w:val="a3"/>
      </w:pPr>
      <w:r w:rsidRPr="001A3D2B">
        <w:t>? Drbalek, J. (2000), Trends in publishing</w:t>
      </w:r>
      <w:r w:rsidR="00427468">
        <w:t xml:space="preserve"> of </w:t>
      </w:r>
      <w:r w:rsidRPr="001A3D2B">
        <w:t>Czech</w:t>
      </w:r>
      <w:r w:rsidR="005853A9">
        <w:t xml:space="preserve"> and </w:t>
      </w:r>
      <w:r w:rsidRPr="001A3D2B">
        <w:t xml:space="preserve">Slovak medical literature. </w:t>
      </w:r>
      <w:r w:rsidRPr="001A3D2B">
        <w:rPr>
          <w:i/>
        </w:rPr>
        <w:t>Casopís Lékařů Českých</w:t>
      </w:r>
      <w:r w:rsidRPr="001A3D2B">
        <w:t xml:space="preserve">, </w:t>
      </w:r>
      <w:r w:rsidRPr="001A3D2B">
        <w:rPr>
          <w:b/>
          <w:bCs/>
        </w:rPr>
        <w:t>139</w:t>
      </w:r>
      <w:r w:rsidRPr="001A3D2B">
        <w:t xml:space="preserve"> (18), 570-571.</w:t>
      </w:r>
    </w:p>
    <w:p w:rsidR="003474F2" w:rsidRPr="001A3D2B" w:rsidRDefault="003474F2" w:rsidP="003474F2">
      <w:pPr>
        <w:pStyle w:val="a3"/>
      </w:pPr>
      <w:r w:rsidRPr="001A3D2B">
        <w:lastRenderedPageBreak/>
        <w:t>Abstract: Czech</w:t>
      </w:r>
      <w:r w:rsidR="005853A9">
        <w:t xml:space="preserve"> and </w:t>
      </w:r>
      <w:r w:rsidRPr="001A3D2B">
        <w:t>Slovak medical literature (articles in journals</w:t>
      </w:r>
      <w:r w:rsidR="005853A9">
        <w:t xml:space="preserve"> and </w:t>
      </w:r>
      <w:r w:rsidRPr="001A3D2B">
        <w:t>proceedings, book reviews, monographs) is registered in</w:t>
      </w:r>
      <w:r w:rsidR="003A1917">
        <w:t xml:space="preserve"> the </w:t>
      </w:r>
      <w:r w:rsidRPr="001A3D2B">
        <w:t>Bibliographia medica cechoslovaca basis generated by</w:t>
      </w:r>
      <w:r w:rsidR="003A1917">
        <w:t xml:space="preserve"> the </w:t>
      </w:r>
      <w:r w:rsidRPr="001A3D2B">
        <w:t>National Medical Library, Prague. Quantitative trends in</w:t>
      </w:r>
      <w:r w:rsidR="003A1917">
        <w:t xml:space="preserve"> the </w:t>
      </w:r>
      <w:r w:rsidRPr="001A3D2B">
        <w:t>publishing</w:t>
      </w:r>
      <w:r w:rsidR="00427468">
        <w:t xml:space="preserve"> of </w:t>
      </w:r>
      <w:r w:rsidRPr="001A3D2B">
        <w:t>this literature in</w:t>
      </w:r>
      <w:r w:rsidR="003A1917">
        <w:t xml:space="preserve"> the </w:t>
      </w:r>
      <w:r w:rsidRPr="001A3D2B">
        <w:t>period 1978-1999 are outlined.</w:t>
      </w:r>
    </w:p>
    <w:p w:rsidR="003474F2" w:rsidRPr="001A3D2B" w:rsidRDefault="003474F2" w:rsidP="003474F2">
      <w:pPr>
        <w:pStyle w:val="a3"/>
      </w:pPr>
      <w:r w:rsidRPr="001A3D2B">
        <w:t>Keywords: Book Reviews, Journals, Literature, Medical, Medical Literature, Publishing, Reviews, Trends</w:t>
      </w:r>
    </w:p>
    <w:p w:rsidR="00162426" w:rsidRPr="00C73C58" w:rsidRDefault="00162426" w:rsidP="00162426">
      <w:pPr>
        <w:pStyle w:val="1"/>
      </w:pPr>
      <w:r w:rsidRPr="00C73C58">
        <w:br w:type="page"/>
      </w:r>
      <w:bookmarkStart w:id="112" w:name="_Toc420814921"/>
      <w:r w:rsidRPr="00C73C58">
        <w:lastRenderedPageBreak/>
        <w:t>Title: Catheterization</w:t>
      </w:r>
      <w:r w:rsidR="005853A9">
        <w:t xml:space="preserve"> and </w:t>
      </w:r>
      <w:r w:rsidRPr="00C73C58">
        <w:t>Cardiovascular Inte</w:t>
      </w:r>
      <w:bookmarkStart w:id="113" w:name="_Toc280249149"/>
      <w:r w:rsidRPr="00C73C58">
        <w:t>rventions</w:t>
      </w:r>
      <w:bookmarkEnd w:id="112"/>
    </w:p>
    <w:p w:rsidR="00162426" w:rsidRPr="00C73C58" w:rsidRDefault="00162426" w:rsidP="00162426">
      <w:pPr>
        <w:pStyle w:val="12"/>
      </w:pPr>
      <w:r w:rsidRPr="00C73C58">
        <w:t>Full Journal Title: Catheterization</w:t>
      </w:r>
      <w:r w:rsidR="005853A9">
        <w:t xml:space="preserve"> and </w:t>
      </w:r>
      <w:r w:rsidRPr="00C73C58">
        <w:t>Cardi</w:t>
      </w:r>
      <w:bookmarkEnd w:id="113"/>
      <w:r w:rsidRPr="00C73C58">
        <w:t>ovascular Interventions</w:t>
      </w:r>
    </w:p>
    <w:p w:rsidR="00162426" w:rsidRPr="00C73C58" w:rsidRDefault="00162426" w:rsidP="00162426">
      <w:pPr>
        <w:pStyle w:val="12"/>
      </w:pPr>
      <w:r w:rsidRPr="00C73C58">
        <w:t>ISO Abbreviated Title: Catheter. Cardiovasc. Interv.</w:t>
      </w:r>
    </w:p>
    <w:p w:rsidR="00162426" w:rsidRPr="00C73C58" w:rsidRDefault="00162426" w:rsidP="00162426">
      <w:pPr>
        <w:pStyle w:val="12"/>
      </w:pPr>
      <w:r w:rsidRPr="00C73C58">
        <w:t>JCR Abbreviated Title: Catheter Cardio Inte</w:t>
      </w:r>
    </w:p>
    <w:p w:rsidR="00162426" w:rsidRPr="00C73C58" w:rsidRDefault="00162426" w:rsidP="00162426">
      <w:pPr>
        <w:pStyle w:val="12"/>
      </w:pPr>
      <w:r w:rsidRPr="00C73C58">
        <w:t>ISSN: 1522-1946</w:t>
      </w:r>
    </w:p>
    <w:p w:rsidR="00162426" w:rsidRPr="00C73C58" w:rsidRDefault="00162426" w:rsidP="00162426">
      <w:pPr>
        <w:pStyle w:val="12"/>
      </w:pPr>
      <w:r w:rsidRPr="00C73C58">
        <w:t>Issues/Year: 12</w:t>
      </w:r>
    </w:p>
    <w:p w:rsidR="00162426" w:rsidRPr="00C73C58" w:rsidRDefault="00162426" w:rsidP="00162426">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162426" w:rsidRPr="00C73C58" w:rsidRDefault="00162426" w:rsidP="00162426">
      <w:pPr>
        <w:pStyle w:val="12"/>
      </w:pPr>
      <w:r w:rsidRPr="00C73C58">
        <w:t>Language: English</w:t>
      </w:r>
    </w:p>
    <w:p w:rsidR="00162426" w:rsidRPr="00C73C58" w:rsidRDefault="00162426" w:rsidP="00162426">
      <w:pPr>
        <w:pStyle w:val="12"/>
      </w:pPr>
      <w:r w:rsidRPr="00C73C58">
        <w:t>Publisher: Wiley-Liss</w:t>
      </w:r>
    </w:p>
    <w:p w:rsidR="00162426" w:rsidRPr="00C73C58" w:rsidRDefault="00162426" w:rsidP="00162426">
      <w:pPr>
        <w:pStyle w:val="12"/>
      </w:pPr>
      <w:r w:rsidRPr="00C73C58">
        <w:t xml:space="preserve">Publisher Address: Div John Wiley &amp; Sons Inc, 605 Third Ave, New York, NY </w:t>
      </w:r>
      <w:smartTag w:uri="urn:schemas-microsoft-com:office:smarttags" w:element="PostalCode">
        <w:r w:rsidRPr="00C73C58">
          <w:t>10158-0012</w:t>
        </w:r>
      </w:smartTag>
    </w:p>
    <w:p w:rsidR="00162426" w:rsidRPr="00C73C58" w:rsidRDefault="00162426" w:rsidP="00162426">
      <w:pPr>
        <w:pStyle w:val="12"/>
      </w:pPr>
      <w:r w:rsidRPr="00C73C58">
        <w:t xml:space="preserve">Subject Categories: </w:t>
      </w:r>
    </w:p>
    <w:p w:rsidR="00162426" w:rsidRPr="00C73C58" w:rsidRDefault="00162426" w:rsidP="00162426">
      <w:pPr>
        <w:pStyle w:val="12"/>
      </w:pPr>
      <w:r w:rsidRPr="00C73C58">
        <w:t>Cardiac &amp; Cardiovascular Systems: Impact Factor</w:t>
      </w:r>
    </w:p>
    <w:p w:rsidR="00162426" w:rsidRDefault="00162426" w:rsidP="00162426">
      <w:pPr>
        <w:pStyle w:val="a3"/>
        <w:rPr>
          <w:kern w:val="0"/>
          <w:szCs w:val="24"/>
        </w:rPr>
      </w:pPr>
      <w:r>
        <w:rPr>
          <w:rFonts w:hint="eastAsia"/>
          <w:kern w:val="0"/>
          <w:szCs w:val="24"/>
        </w:rPr>
        <w:t>? A</w:t>
      </w:r>
      <w:r>
        <w:rPr>
          <w:kern w:val="0"/>
          <w:szCs w:val="24"/>
        </w:rPr>
        <w:t>bdel-Latif, A., Mukherjee, D., Mesgarzadeh, P.</w:t>
      </w:r>
      <w:r w:rsidR="005853A9">
        <w:rPr>
          <w:kern w:val="0"/>
          <w:szCs w:val="24"/>
        </w:rPr>
        <w:t xml:space="preserve"> and </w:t>
      </w:r>
      <w:r>
        <w:rPr>
          <w:kern w:val="0"/>
          <w:szCs w:val="24"/>
        </w:rPr>
        <w:t>Ziada, K.M. (2010), Drug-eluting stents in patients with end-stage renal disease: Meta-analysis</w:t>
      </w:r>
      <w:r w:rsidR="005853A9">
        <w:rPr>
          <w:kern w:val="0"/>
          <w:szCs w:val="24"/>
        </w:rPr>
        <w:t xml:space="preserve"> and </w:t>
      </w:r>
      <w:r>
        <w:rPr>
          <w:kern w:val="0"/>
          <w:szCs w:val="24"/>
        </w:rPr>
        <w:t>systematic review</w:t>
      </w:r>
      <w:r w:rsidR="00427468">
        <w:rPr>
          <w:kern w:val="0"/>
          <w:szCs w:val="24"/>
        </w:rPr>
        <w:t xml:space="preserve"> of </w:t>
      </w:r>
      <w:r w:rsidR="003A1917">
        <w:rPr>
          <w:kern w:val="0"/>
          <w:szCs w:val="24"/>
        </w:rPr>
        <w:t xml:space="preserve">the </w:t>
      </w:r>
      <w:r>
        <w:rPr>
          <w:kern w:val="0"/>
          <w:szCs w:val="24"/>
        </w:rPr>
        <w:t xml:space="preserve">literature. </w:t>
      </w:r>
      <w:r>
        <w:rPr>
          <w:i/>
          <w:iCs/>
          <w:kern w:val="0"/>
          <w:szCs w:val="24"/>
        </w:rPr>
        <w:t>Catheterization</w:t>
      </w:r>
      <w:r w:rsidR="005853A9">
        <w:rPr>
          <w:i/>
          <w:iCs/>
          <w:kern w:val="0"/>
          <w:szCs w:val="24"/>
        </w:rPr>
        <w:t xml:space="preserve"> and </w:t>
      </w:r>
      <w:r>
        <w:rPr>
          <w:i/>
          <w:iCs/>
          <w:kern w:val="0"/>
          <w:szCs w:val="24"/>
        </w:rPr>
        <w:t>Cardiovascular Interventions</w:t>
      </w:r>
      <w:r>
        <w:rPr>
          <w:kern w:val="0"/>
          <w:szCs w:val="24"/>
        </w:rPr>
        <w:t xml:space="preserve">, </w:t>
      </w:r>
      <w:r>
        <w:rPr>
          <w:b/>
          <w:bCs/>
          <w:kern w:val="0"/>
          <w:szCs w:val="24"/>
        </w:rPr>
        <w:t>76</w:t>
      </w:r>
      <w:r>
        <w:rPr>
          <w:kern w:val="0"/>
          <w:szCs w:val="24"/>
        </w:rPr>
        <w:t xml:space="preserve"> (7), 942-948.</w:t>
      </w:r>
    </w:p>
    <w:p w:rsidR="00162426" w:rsidRDefault="00162426" w:rsidP="00162426">
      <w:pPr>
        <w:pStyle w:val="a3"/>
        <w:rPr>
          <w:kern w:val="0"/>
          <w:szCs w:val="24"/>
        </w:rPr>
      </w:pPr>
      <w:r>
        <w:rPr>
          <w:rFonts w:hint="eastAsia"/>
          <w:kern w:val="0"/>
          <w:szCs w:val="24"/>
        </w:rPr>
        <w:t xml:space="preserve">Full Text: </w:t>
      </w:r>
      <w:hyperlink r:id="rId146" w:history="1">
        <w:r w:rsidRPr="00373BA2">
          <w:rPr>
            <w:rStyle w:val="a5"/>
            <w:kern w:val="0"/>
            <w:szCs w:val="24"/>
          </w:rPr>
          <w:t>2010\Cat Car Int76, 942.pdf</w:t>
        </w:r>
      </w:hyperlink>
    </w:p>
    <w:p w:rsidR="00162426" w:rsidRDefault="00162426" w:rsidP="00162426">
      <w:pPr>
        <w:pStyle w:val="a3"/>
        <w:rPr>
          <w:kern w:val="0"/>
          <w:szCs w:val="24"/>
        </w:rPr>
      </w:pPr>
      <w:r>
        <w:rPr>
          <w:kern w:val="0"/>
          <w:szCs w:val="24"/>
        </w:rPr>
        <w:t>Abstract: Objective:</w:t>
      </w:r>
      <w:r w:rsidR="003A1917">
        <w:rPr>
          <w:kern w:val="0"/>
          <w:szCs w:val="24"/>
        </w:rPr>
        <w:t xml:space="preserve"> the </w:t>
      </w:r>
      <w:r>
        <w:rPr>
          <w:kern w:val="0"/>
          <w:szCs w:val="24"/>
        </w:rPr>
        <w:t>study sought to examine</w:t>
      </w:r>
      <w:r w:rsidR="003A1917">
        <w:rPr>
          <w:kern w:val="0"/>
          <w:szCs w:val="24"/>
        </w:rPr>
        <w:t xml:space="preserve"> the </w:t>
      </w:r>
      <w:r>
        <w:rPr>
          <w:kern w:val="0"/>
          <w:szCs w:val="24"/>
        </w:rPr>
        <w:t>total weight</w:t>
      </w:r>
      <w:r w:rsidR="00427468">
        <w:rPr>
          <w:kern w:val="0"/>
          <w:szCs w:val="24"/>
        </w:rPr>
        <w:t xml:space="preserve"> of </w:t>
      </w:r>
      <w:r>
        <w:rPr>
          <w:kern w:val="0"/>
          <w:szCs w:val="24"/>
        </w:rPr>
        <w:t>evidence regarding</w:t>
      </w:r>
      <w:r w:rsidR="003A1917">
        <w:rPr>
          <w:kern w:val="0"/>
          <w:szCs w:val="24"/>
        </w:rPr>
        <w:t xml:space="preserve"> the </w:t>
      </w:r>
      <w:r>
        <w:rPr>
          <w:kern w:val="0"/>
          <w:szCs w:val="24"/>
        </w:rPr>
        <w:t>use</w:t>
      </w:r>
      <w:r w:rsidR="00427468">
        <w:rPr>
          <w:kern w:val="0"/>
          <w:szCs w:val="24"/>
        </w:rPr>
        <w:t xml:space="preserve"> of </w:t>
      </w:r>
      <w:r>
        <w:rPr>
          <w:kern w:val="0"/>
          <w:szCs w:val="24"/>
        </w:rPr>
        <w:t>drug eluting (DES)</w:t>
      </w:r>
      <w:r w:rsidR="005853A9">
        <w:rPr>
          <w:kern w:val="0"/>
          <w:szCs w:val="24"/>
        </w:rPr>
        <w:t xml:space="preserve"> and </w:t>
      </w:r>
      <w:r>
        <w:rPr>
          <w:kern w:val="0"/>
          <w:szCs w:val="24"/>
        </w:rPr>
        <w:t>bare metal stents (BMS) in patients with end stage renal disease (ESRD). Background:</w:t>
      </w:r>
      <w:r w:rsidR="003A1917">
        <w:rPr>
          <w:kern w:val="0"/>
          <w:szCs w:val="24"/>
        </w:rPr>
        <w:t xml:space="preserve"> the </w:t>
      </w:r>
      <w:r>
        <w:rPr>
          <w:kern w:val="0"/>
          <w:szCs w:val="24"/>
        </w:rPr>
        <w:t>potential superiority</w:t>
      </w:r>
      <w:r w:rsidR="00427468">
        <w:rPr>
          <w:kern w:val="0"/>
          <w:szCs w:val="24"/>
        </w:rPr>
        <w:t xml:space="preserve"> of </w:t>
      </w:r>
      <w:r>
        <w:rPr>
          <w:kern w:val="0"/>
          <w:szCs w:val="24"/>
        </w:rPr>
        <w:t>DES over BMS in reducing target lesion or vessel revascularization (TLR or TVR) in patients with ESRD on dialysis has not been established. Small studies comparing DES to BMS in this population have yielded inconclusive results mainly due to</w:t>
      </w:r>
      <w:r w:rsidR="003A1917">
        <w:rPr>
          <w:kern w:val="0"/>
          <w:szCs w:val="24"/>
        </w:rPr>
        <w:t xml:space="preserve"> the </w:t>
      </w:r>
      <w:r>
        <w:rPr>
          <w:kern w:val="0"/>
          <w:szCs w:val="24"/>
        </w:rPr>
        <w:t xml:space="preserve">small sample size. Methods: We searched </w:t>
      </w:r>
      <w:r w:rsidR="00D5664A">
        <w:rPr>
          <w:kern w:val="0"/>
          <w:szCs w:val="24"/>
        </w:rPr>
        <w:t>MEDLINE</w:t>
      </w:r>
      <w:r>
        <w:rPr>
          <w:kern w:val="0"/>
          <w:szCs w:val="24"/>
        </w:rPr>
        <w:t>, EMBASE, Science Citation Index, CINAHL,</w:t>
      </w:r>
      <w:r w:rsidR="005853A9">
        <w:rPr>
          <w:kern w:val="0"/>
          <w:szCs w:val="24"/>
        </w:rPr>
        <w:t xml:space="preserve"> and </w:t>
      </w:r>
      <w:r w:rsidR="003A1917">
        <w:rPr>
          <w:kern w:val="0"/>
          <w:szCs w:val="24"/>
        </w:rPr>
        <w:t xml:space="preserve">the </w:t>
      </w:r>
      <w:r>
        <w:rPr>
          <w:kern w:val="0"/>
          <w:szCs w:val="24"/>
        </w:rPr>
        <w:t>Cochrane CENTRAL database</w:t>
      </w:r>
      <w:r w:rsidR="00427468">
        <w:rPr>
          <w:kern w:val="0"/>
          <w:szCs w:val="24"/>
        </w:rPr>
        <w:t xml:space="preserve"> of </w:t>
      </w:r>
      <w:r>
        <w:rPr>
          <w:kern w:val="0"/>
          <w:szCs w:val="24"/>
        </w:rPr>
        <w:t>controlled clinical trials (December 2009) for controlled trials comparing DES to BMS in ESRD patients. We conducted a fixed-effects meta-analysis across seven eligible studies (n = 869 patients). Results: Compared with BMS-treated patients, DES-treated patients had significantly lower TLR/TVR (OR 0.55 CI: 0.39-0.79)</w:t>
      </w:r>
      <w:r w:rsidR="005853A9">
        <w:rPr>
          <w:kern w:val="0"/>
          <w:szCs w:val="24"/>
        </w:rPr>
        <w:t xml:space="preserve"> and </w:t>
      </w:r>
      <w:r>
        <w:rPr>
          <w:kern w:val="0"/>
          <w:szCs w:val="24"/>
        </w:rPr>
        <w:t>major adverse cardiac events (MACE) (OR 0.54; CI: 0.40-0.73)</w:t>
      </w:r>
      <w:r w:rsidR="00A37C1D">
        <w:rPr>
          <w:kern w:val="0"/>
          <w:szCs w:val="24"/>
        </w:rPr>
        <w:t>. The</w:t>
      </w:r>
      <w:r w:rsidR="003A1917">
        <w:rPr>
          <w:kern w:val="0"/>
          <w:szCs w:val="24"/>
        </w:rPr>
        <w:t xml:space="preserve"> </w:t>
      </w:r>
      <w:r>
        <w:rPr>
          <w:kern w:val="0"/>
          <w:szCs w:val="24"/>
        </w:rPr>
        <w:t>absolute risk reduction (ARR) with DES in TLR/TVR was -0.09 (CI: -0.14 to -0.04; NNT 11)</w:t>
      </w:r>
      <w:r w:rsidR="005853A9">
        <w:rPr>
          <w:kern w:val="0"/>
          <w:szCs w:val="24"/>
        </w:rPr>
        <w:t xml:space="preserve"> and </w:t>
      </w:r>
      <w:r>
        <w:rPr>
          <w:kern w:val="0"/>
          <w:szCs w:val="24"/>
        </w:rPr>
        <w:t>in MACE was -0.13 (CI: -0.19 to -0.07; NNT 8). A trend towards lower incidence</w:t>
      </w:r>
      <w:r w:rsidR="00427468">
        <w:rPr>
          <w:kern w:val="0"/>
          <w:szCs w:val="24"/>
        </w:rPr>
        <w:t xml:space="preserve"> of </w:t>
      </w:r>
      <w:r>
        <w:rPr>
          <w:kern w:val="0"/>
          <w:szCs w:val="24"/>
        </w:rPr>
        <w:t>all cause mortality was also noted with DES (OR 0.68; CI: 0.45-1.01). No significant differences were noted between both groups in</w:t>
      </w:r>
      <w:r w:rsidR="003A1917">
        <w:rPr>
          <w:kern w:val="0"/>
          <w:szCs w:val="24"/>
        </w:rPr>
        <w:t xml:space="preserve"> the </w:t>
      </w:r>
      <w:r>
        <w:rPr>
          <w:kern w:val="0"/>
          <w:szCs w:val="24"/>
        </w:rPr>
        <w:t>relative or absolute risk</w:t>
      </w:r>
      <w:r w:rsidR="00427468">
        <w:rPr>
          <w:kern w:val="0"/>
          <w:szCs w:val="24"/>
        </w:rPr>
        <w:t xml:space="preserve"> of </w:t>
      </w:r>
      <w:r>
        <w:rPr>
          <w:kern w:val="0"/>
          <w:szCs w:val="24"/>
        </w:rPr>
        <w:t>myocardial infarction. Conclusion:</w:t>
      </w:r>
      <w:r w:rsidR="003A1917">
        <w:rPr>
          <w:kern w:val="0"/>
          <w:szCs w:val="24"/>
        </w:rPr>
        <w:t xml:space="preserve"> the </w:t>
      </w:r>
      <w:r>
        <w:rPr>
          <w:kern w:val="0"/>
          <w:szCs w:val="24"/>
        </w:rPr>
        <w:t>use</w:t>
      </w:r>
      <w:r w:rsidR="00427468">
        <w:rPr>
          <w:kern w:val="0"/>
          <w:szCs w:val="24"/>
        </w:rPr>
        <w:t xml:space="preserve"> of </w:t>
      </w:r>
      <w:r>
        <w:rPr>
          <w:kern w:val="0"/>
          <w:szCs w:val="24"/>
        </w:rPr>
        <w:t>DES in patients with ESRD is safe</w:t>
      </w:r>
      <w:r w:rsidR="005853A9">
        <w:rPr>
          <w:kern w:val="0"/>
          <w:szCs w:val="24"/>
        </w:rPr>
        <w:t xml:space="preserve"> and </w:t>
      </w:r>
      <w:r>
        <w:rPr>
          <w:kern w:val="0"/>
          <w:szCs w:val="24"/>
        </w:rPr>
        <w:t>yields significant reduction in</w:t>
      </w:r>
      <w:r w:rsidR="003A1917">
        <w:rPr>
          <w:kern w:val="0"/>
          <w:szCs w:val="24"/>
        </w:rPr>
        <w:t xml:space="preserve"> the </w:t>
      </w:r>
      <w:r>
        <w:rPr>
          <w:kern w:val="0"/>
          <w:szCs w:val="24"/>
        </w:rPr>
        <w:t>risk</w:t>
      </w:r>
      <w:r w:rsidR="00427468">
        <w:rPr>
          <w:kern w:val="0"/>
          <w:szCs w:val="24"/>
        </w:rPr>
        <w:t xml:space="preserve"> of </w:t>
      </w:r>
      <w:r>
        <w:rPr>
          <w:kern w:val="0"/>
          <w:szCs w:val="24"/>
        </w:rPr>
        <w:t>TLR/TVR</w:t>
      </w:r>
      <w:r w:rsidR="005853A9">
        <w:rPr>
          <w:kern w:val="0"/>
          <w:szCs w:val="24"/>
        </w:rPr>
        <w:t xml:space="preserve"> and </w:t>
      </w:r>
      <w:r>
        <w:rPr>
          <w:kern w:val="0"/>
          <w:szCs w:val="24"/>
        </w:rPr>
        <w:t>MACE. Larger randomized studies are needed to confirm</w:t>
      </w:r>
      <w:r w:rsidR="003A1917">
        <w:rPr>
          <w:kern w:val="0"/>
          <w:szCs w:val="24"/>
        </w:rPr>
        <w:t xml:space="preserve"> the </w:t>
      </w:r>
      <w:r>
        <w:rPr>
          <w:kern w:val="0"/>
          <w:szCs w:val="24"/>
        </w:rPr>
        <w:t>results</w:t>
      </w:r>
      <w:r w:rsidR="00427468">
        <w:rPr>
          <w:kern w:val="0"/>
          <w:szCs w:val="24"/>
        </w:rPr>
        <w:t xml:space="preserve"> </w:t>
      </w:r>
      <w:r w:rsidR="00427468">
        <w:rPr>
          <w:kern w:val="0"/>
          <w:szCs w:val="24"/>
        </w:rPr>
        <w:lastRenderedPageBreak/>
        <w:t xml:space="preserve">of </w:t>
      </w:r>
      <w:r>
        <w:rPr>
          <w:kern w:val="0"/>
          <w:szCs w:val="24"/>
        </w:rPr>
        <w:t>this meta-analysis</w:t>
      </w:r>
      <w:r w:rsidR="005853A9">
        <w:rPr>
          <w:kern w:val="0"/>
          <w:szCs w:val="24"/>
        </w:rPr>
        <w:t xml:space="preserve"> and </w:t>
      </w:r>
      <w:r>
        <w:rPr>
          <w:kern w:val="0"/>
          <w:szCs w:val="24"/>
        </w:rPr>
        <w:t>establish</w:t>
      </w:r>
      <w:r w:rsidR="003A1917">
        <w:rPr>
          <w:kern w:val="0"/>
          <w:szCs w:val="24"/>
        </w:rPr>
        <w:t xml:space="preserve"> the </w:t>
      </w:r>
      <w:r>
        <w:rPr>
          <w:kern w:val="0"/>
          <w:szCs w:val="24"/>
        </w:rPr>
        <w:t>appropriate stent choice in this high risk population. (C) 2010 Wiley-Liss, Inc.</w:t>
      </w:r>
    </w:p>
    <w:p w:rsidR="00162426" w:rsidRDefault="00162426" w:rsidP="00162426">
      <w:pPr>
        <w:pStyle w:val="a3"/>
        <w:rPr>
          <w:kern w:val="0"/>
          <w:szCs w:val="24"/>
        </w:rPr>
      </w:pPr>
      <w:r>
        <w:rPr>
          <w:kern w:val="0"/>
          <w:szCs w:val="24"/>
        </w:rPr>
        <w:t xml:space="preserve">Keywords: Angiographic Outcomes, Artery-Bypass-Surgery, Bare Metal Stents, Bare Metal Stents, Chronic Kidney-Disease, Citation, Clinical-Outcomes, Database, Dialysis Patients, Drug Eluting Stents, Embase, End-Stage Renal Disease, Hemodialysis, Literature, Long-Term Survival, </w:t>
      </w:r>
      <w:r w:rsidR="00D5664A">
        <w:rPr>
          <w:kern w:val="0"/>
          <w:szCs w:val="24"/>
        </w:rPr>
        <w:t>MEDLINE</w:t>
      </w:r>
      <w:r>
        <w:rPr>
          <w:kern w:val="0"/>
          <w:szCs w:val="24"/>
        </w:rPr>
        <w:t>, Meta-Analysis, Mortality, Myocardial Infarction, Myocardial-Infarction, Percutaneous Coronary Intervention, Population, Randomized Controlled-Trials, Reduction, Sample Size, Science, Science Citation Index, Stage, Trend, Weight</w:t>
      </w:r>
    </w:p>
    <w:p w:rsidR="00CA3156" w:rsidRDefault="00CA3156" w:rsidP="00CA3156">
      <w:pPr>
        <w:pStyle w:val="a3"/>
        <w:rPr>
          <w:kern w:val="0"/>
        </w:rPr>
      </w:pPr>
      <w:r>
        <w:rPr>
          <w:rFonts w:hint="eastAsia"/>
          <w:kern w:val="0"/>
        </w:rPr>
        <w:t xml:space="preserve">? </w:t>
      </w:r>
      <w:r>
        <w:rPr>
          <w:kern w:val="0"/>
        </w:rPr>
        <w:t>Dasari, T.W., Hennebry, T.A., Hanna, E.B.</w:t>
      </w:r>
      <w:r w:rsidR="005853A9">
        <w:rPr>
          <w:kern w:val="0"/>
        </w:rPr>
        <w:t xml:space="preserve"> and </w:t>
      </w:r>
      <w:r>
        <w:rPr>
          <w:kern w:val="0"/>
        </w:rPr>
        <w:t>Saucedo, J.F. (2011), Drug eluting versus bare metal stents in cardiac allograft vasculopathy: A systematic review</w:t>
      </w:r>
      <w:r w:rsidR="00427468">
        <w:rPr>
          <w:kern w:val="0"/>
        </w:rPr>
        <w:t xml:space="preserve"> of </w:t>
      </w:r>
      <w:r>
        <w:rPr>
          <w:kern w:val="0"/>
        </w:rPr>
        <w:t xml:space="preserve">literature. </w:t>
      </w:r>
      <w:r>
        <w:rPr>
          <w:i/>
          <w:iCs/>
          <w:kern w:val="0"/>
        </w:rPr>
        <w:t>Catheterization</w:t>
      </w:r>
      <w:r w:rsidR="005853A9">
        <w:rPr>
          <w:i/>
          <w:iCs/>
          <w:kern w:val="0"/>
        </w:rPr>
        <w:t xml:space="preserve"> and </w:t>
      </w:r>
      <w:r>
        <w:rPr>
          <w:i/>
          <w:iCs/>
          <w:kern w:val="0"/>
        </w:rPr>
        <w:t>Cardiovascular Interventions</w:t>
      </w:r>
      <w:r>
        <w:rPr>
          <w:kern w:val="0"/>
        </w:rPr>
        <w:t xml:space="preserve">, </w:t>
      </w:r>
      <w:r>
        <w:rPr>
          <w:b/>
          <w:bCs/>
          <w:kern w:val="0"/>
        </w:rPr>
        <w:t>77</w:t>
      </w:r>
      <w:r>
        <w:rPr>
          <w:kern w:val="0"/>
        </w:rPr>
        <w:t xml:space="preserve"> (7), 962-969.</w:t>
      </w:r>
    </w:p>
    <w:p w:rsidR="00CA3156" w:rsidRDefault="00CA3156" w:rsidP="00CA3156">
      <w:pPr>
        <w:pStyle w:val="a3"/>
        <w:rPr>
          <w:kern w:val="0"/>
          <w:szCs w:val="24"/>
        </w:rPr>
      </w:pPr>
      <w:r>
        <w:rPr>
          <w:rFonts w:hint="eastAsia"/>
          <w:kern w:val="0"/>
          <w:szCs w:val="24"/>
        </w:rPr>
        <w:t>Full Text: 2011</w:t>
      </w:r>
      <w:r>
        <w:rPr>
          <w:kern w:val="0"/>
          <w:szCs w:val="24"/>
        </w:rPr>
        <w:t>\Cat Car Int</w:t>
      </w:r>
      <w:r>
        <w:rPr>
          <w:rFonts w:hint="eastAsia"/>
          <w:kern w:val="0"/>
          <w:szCs w:val="24"/>
        </w:rPr>
        <w:t>7</w:t>
      </w:r>
      <w:r>
        <w:rPr>
          <w:kern w:val="0"/>
          <w:szCs w:val="24"/>
        </w:rPr>
        <w:t xml:space="preserve">7, </w:t>
      </w:r>
      <w:r>
        <w:rPr>
          <w:rFonts w:hint="eastAsia"/>
          <w:kern w:val="0"/>
          <w:szCs w:val="24"/>
        </w:rPr>
        <w:t>962</w:t>
      </w:r>
      <w:r w:rsidRPr="00426B04">
        <w:rPr>
          <w:kern w:val="0"/>
          <w:szCs w:val="24"/>
        </w:rPr>
        <w:t>.pdf</w:t>
      </w:r>
    </w:p>
    <w:p w:rsidR="00CA3156" w:rsidRDefault="00CA3156" w:rsidP="00CA3156">
      <w:pPr>
        <w:pStyle w:val="a3"/>
        <w:rPr>
          <w:kern w:val="0"/>
        </w:rPr>
      </w:pPr>
      <w:r>
        <w:rPr>
          <w:kern w:val="0"/>
        </w:rPr>
        <w:t>Abstract: Background: Cardiac allograft vasculopathy (CAV) is a distinct pathological condition characterized by diffuse</w:t>
      </w:r>
      <w:r w:rsidR="005853A9">
        <w:rPr>
          <w:kern w:val="0"/>
        </w:rPr>
        <w:t xml:space="preserve"> and </w:t>
      </w:r>
      <w:r>
        <w:rPr>
          <w:kern w:val="0"/>
        </w:rPr>
        <w:t>progressive arteriopathy</w:t>
      </w:r>
      <w:r w:rsidR="005853A9">
        <w:rPr>
          <w:kern w:val="0"/>
        </w:rPr>
        <w:t xml:space="preserve"> and </w:t>
      </w:r>
      <w:r>
        <w:rPr>
          <w:kern w:val="0"/>
        </w:rPr>
        <w:t>it is an important determinant</w:t>
      </w:r>
      <w:r w:rsidR="00427468">
        <w:rPr>
          <w:kern w:val="0"/>
        </w:rPr>
        <w:t xml:space="preserve"> of </w:t>
      </w:r>
      <w:r>
        <w:rPr>
          <w:kern w:val="0"/>
        </w:rPr>
        <w:t>long-term graft survival. Definitive CAV treatment is retransplantation but palliation with stenting might temporarily alleviate it</w:t>
      </w:r>
      <w:r w:rsidR="00A37C1D">
        <w:rPr>
          <w:kern w:val="0"/>
        </w:rPr>
        <w:t>. The</w:t>
      </w:r>
      <w:r w:rsidR="003A1917">
        <w:rPr>
          <w:kern w:val="0"/>
        </w:rPr>
        <w:t xml:space="preserve"> </w:t>
      </w:r>
      <w:r>
        <w:rPr>
          <w:kern w:val="0"/>
        </w:rPr>
        <w:t>benefit</w:t>
      </w:r>
      <w:r w:rsidR="00427468">
        <w:rPr>
          <w:kern w:val="0"/>
        </w:rPr>
        <w:t xml:space="preserve"> of </w:t>
      </w:r>
      <w:r>
        <w:rPr>
          <w:kern w:val="0"/>
        </w:rPr>
        <w:t>drug eluting stents (DES) over bare metal stents (BMS) in</w:t>
      </w:r>
      <w:r w:rsidR="003A1917">
        <w:rPr>
          <w:kern w:val="0"/>
        </w:rPr>
        <w:t xml:space="preserve"> the </w:t>
      </w:r>
      <w:r>
        <w:rPr>
          <w:kern w:val="0"/>
        </w:rPr>
        <w:t>treatment</w:t>
      </w:r>
      <w:r w:rsidR="00427468">
        <w:rPr>
          <w:kern w:val="0"/>
        </w:rPr>
        <w:t xml:space="preserve"> of </w:t>
      </w:r>
      <w:r>
        <w:rPr>
          <w:kern w:val="0"/>
        </w:rPr>
        <w:t>such lesions is debatable. We therefore sought to do a literature search to review</w:t>
      </w:r>
      <w:r w:rsidR="003A1917">
        <w:rPr>
          <w:kern w:val="0"/>
        </w:rPr>
        <w:t xml:space="preserve"> the </w:t>
      </w:r>
      <w:r>
        <w:rPr>
          <w:kern w:val="0"/>
        </w:rPr>
        <w:t xml:space="preserve">available evidence comparing DES to BMS. Methods: We conducted Pub Med, EMBASE, Cochrane database review, </w:t>
      </w:r>
      <w:r w:rsidR="00D5664A">
        <w:rPr>
          <w:kern w:val="0"/>
        </w:rPr>
        <w:t>Web</w:t>
      </w:r>
      <w:r w:rsidR="00427468">
        <w:rPr>
          <w:kern w:val="0"/>
        </w:rPr>
        <w:t xml:space="preserve"> of </w:t>
      </w:r>
      <w:r w:rsidR="00D5664A">
        <w:rPr>
          <w:kern w:val="0"/>
        </w:rPr>
        <w:t>Science</w:t>
      </w:r>
      <w:r>
        <w:rPr>
          <w:kern w:val="0"/>
        </w:rPr>
        <w:t xml:space="preserve"> search</w:t>
      </w:r>
      <w:r w:rsidR="00427468">
        <w:rPr>
          <w:kern w:val="0"/>
        </w:rPr>
        <w:t xml:space="preserve"> of </w:t>
      </w:r>
      <w:r>
        <w:rPr>
          <w:kern w:val="0"/>
        </w:rPr>
        <w:t>studies comparing DES with BMS in CAV. Available studies were retrospective in nature with either direct comparison groups (n = 5) or historical controls (n = 1)</w:t>
      </w:r>
      <w:r w:rsidR="00A37C1D">
        <w:rPr>
          <w:kern w:val="0"/>
        </w:rPr>
        <w:t>. The</w:t>
      </w:r>
      <w:r w:rsidR="003A1917">
        <w:rPr>
          <w:kern w:val="0"/>
        </w:rPr>
        <w:t xml:space="preserve"> </w:t>
      </w:r>
      <w:r>
        <w:rPr>
          <w:kern w:val="0"/>
        </w:rPr>
        <w:t>main outcomes analyzed were in stent restenosis (ISR) during follow-up</w:t>
      </w:r>
      <w:r w:rsidR="005853A9">
        <w:rPr>
          <w:kern w:val="0"/>
        </w:rPr>
        <w:t xml:space="preserve"> and </w:t>
      </w:r>
      <w:r>
        <w:rPr>
          <w:kern w:val="0"/>
        </w:rPr>
        <w:t>clinical outcomes. Results: A total</w:t>
      </w:r>
      <w:r w:rsidR="00427468">
        <w:rPr>
          <w:kern w:val="0"/>
        </w:rPr>
        <w:t xml:space="preserve"> of </w:t>
      </w:r>
      <w:r>
        <w:rPr>
          <w:kern w:val="0"/>
        </w:rPr>
        <w:t>312 patients from six studies were included in</w:t>
      </w:r>
      <w:r w:rsidR="003A1917">
        <w:rPr>
          <w:kern w:val="0"/>
        </w:rPr>
        <w:t xml:space="preserve"> the </w:t>
      </w:r>
      <w:r>
        <w:rPr>
          <w:kern w:val="0"/>
        </w:rPr>
        <w:t>review (1995-2007). Most commonly used DES were sirolimus eluting stent. DES appeared to reduce</w:t>
      </w:r>
      <w:r w:rsidR="003A1917">
        <w:rPr>
          <w:kern w:val="0"/>
        </w:rPr>
        <w:t xml:space="preserve"> the </w:t>
      </w:r>
      <w:r>
        <w:rPr>
          <w:kern w:val="0"/>
        </w:rPr>
        <w:t>long-term risk</w:t>
      </w:r>
      <w:r w:rsidR="00427468">
        <w:rPr>
          <w:kern w:val="0"/>
        </w:rPr>
        <w:t xml:space="preserve"> of </w:t>
      </w:r>
      <w:r>
        <w:rPr>
          <w:kern w:val="0"/>
        </w:rPr>
        <w:t>ISR compared with BMS. Three</w:t>
      </w:r>
      <w:r w:rsidR="00427468">
        <w:rPr>
          <w:kern w:val="0"/>
        </w:rPr>
        <w:t xml:space="preserve"> of </w:t>
      </w:r>
      <w:r w:rsidR="003A1917">
        <w:rPr>
          <w:kern w:val="0"/>
        </w:rPr>
        <w:t xml:space="preserve">the </w:t>
      </w:r>
      <w:r>
        <w:rPr>
          <w:kern w:val="0"/>
        </w:rPr>
        <w:t>five studies showed a statistically significant reduction in ISR at 12 months while</w:t>
      </w:r>
      <w:r w:rsidR="003A1917">
        <w:rPr>
          <w:kern w:val="0"/>
        </w:rPr>
        <w:t xml:space="preserve"> the </w:t>
      </w:r>
      <w:r>
        <w:rPr>
          <w:kern w:val="0"/>
        </w:rPr>
        <w:t>one study assessing ISR at 6 months showed no significant difference. Clinical endpoints such as death</w:t>
      </w:r>
      <w:r w:rsidR="005853A9">
        <w:rPr>
          <w:kern w:val="0"/>
        </w:rPr>
        <w:t xml:space="preserve"> and </w:t>
      </w:r>
      <w:r>
        <w:rPr>
          <w:kern w:val="0"/>
        </w:rPr>
        <w:t>major adverse cardiac events were not statistically different. Conclusion: DES appear to reduce</w:t>
      </w:r>
      <w:r w:rsidR="003A1917">
        <w:rPr>
          <w:kern w:val="0"/>
        </w:rPr>
        <w:t xml:space="preserve"> the </w:t>
      </w:r>
      <w:r>
        <w:rPr>
          <w:kern w:val="0"/>
        </w:rPr>
        <w:t>incidence</w:t>
      </w:r>
      <w:r w:rsidR="00427468">
        <w:rPr>
          <w:kern w:val="0"/>
        </w:rPr>
        <w:t xml:space="preserve"> of </w:t>
      </w:r>
      <w:r>
        <w:rPr>
          <w:kern w:val="0"/>
        </w:rPr>
        <w:t>ISR in CAV as compared with BMS. Prospective randomized clinical trials are needed to determine</w:t>
      </w:r>
      <w:r w:rsidR="003A1917">
        <w:rPr>
          <w:kern w:val="0"/>
        </w:rPr>
        <w:t xml:space="preserve"> the </w:t>
      </w:r>
      <w:r>
        <w:rPr>
          <w:kern w:val="0"/>
        </w:rPr>
        <w:t>clinical benefit</w:t>
      </w:r>
      <w:r w:rsidR="00427468">
        <w:rPr>
          <w:kern w:val="0"/>
        </w:rPr>
        <w:t xml:space="preserve"> of </w:t>
      </w:r>
      <w:r>
        <w:rPr>
          <w:kern w:val="0"/>
        </w:rPr>
        <w:t>DES beyond a reduction in ISR. (C) 2011 Wiley-Liss, Inc.</w:t>
      </w:r>
    </w:p>
    <w:p w:rsidR="00CA3156" w:rsidRDefault="00CA3156" w:rsidP="00CA3156">
      <w:pPr>
        <w:pStyle w:val="a3"/>
        <w:rPr>
          <w:kern w:val="0"/>
        </w:rPr>
      </w:pPr>
      <w:r>
        <w:rPr>
          <w:kern w:val="0"/>
        </w:rPr>
        <w:t xml:space="preserve">Keywords: Angioplasty, Bare Metal Stents, Cardiac Allograft Vasculopathy, Clinical Trials, Cochrane, Coronary-Artery-Disease, Drug, Drug Eluting Stents, EMBASE, Endpoints, Experience, Follow-Up, Heart-Transplant Recipients, Implantation, Interventions, Literature, Methods, Outcomes, PCI, Percutaneous Coronary Intervention, Pub Med, Randomized Clinical Trials, Rejection, Review, Risk, Science, Simvastatin, Sirolimus, Survival, Systematic, Systematic Review, </w:t>
      </w:r>
      <w:r>
        <w:rPr>
          <w:kern w:val="0"/>
        </w:rPr>
        <w:lastRenderedPageBreak/>
        <w:t xml:space="preserve">Treatment, </w:t>
      </w:r>
      <w:r w:rsidR="00D5664A">
        <w:rPr>
          <w:kern w:val="0"/>
        </w:rPr>
        <w:t>Web</w:t>
      </w:r>
      <w:r w:rsidR="00427468">
        <w:rPr>
          <w:kern w:val="0"/>
        </w:rPr>
        <w:t xml:space="preserve"> of </w:t>
      </w:r>
      <w:r w:rsidR="00D5664A">
        <w:rPr>
          <w:kern w:val="0"/>
        </w:rPr>
        <w:t>Science</w:t>
      </w:r>
    </w:p>
    <w:p w:rsidR="00617068" w:rsidRPr="001A3D2B" w:rsidRDefault="00617068" w:rsidP="00617068">
      <w:pPr>
        <w:pStyle w:val="1"/>
      </w:pPr>
      <w:r w:rsidRPr="001A3D2B">
        <w:br w:type="page"/>
      </w:r>
      <w:bookmarkStart w:id="114" w:name="_Toc420814922"/>
      <w:r w:rsidRPr="001A3D2B">
        <w:lastRenderedPageBreak/>
        <w:t xml:space="preserve">Title: </w:t>
      </w:r>
      <w:r w:rsidRPr="00617068">
        <w:t>Celestial Mechanics</w:t>
      </w:r>
      <w:bookmarkEnd w:id="114"/>
    </w:p>
    <w:p w:rsidR="00617068" w:rsidRPr="001A3D2B" w:rsidRDefault="00617068" w:rsidP="00617068">
      <w:pPr>
        <w:pStyle w:val="12"/>
      </w:pPr>
      <w:r w:rsidRPr="001A3D2B">
        <w:t xml:space="preserve">Full Journal Title: </w:t>
      </w:r>
      <w:r w:rsidRPr="00617068">
        <w:rPr>
          <w:iCs/>
          <w:kern w:val="0"/>
        </w:rPr>
        <w:t>Celestial Mechanics</w:t>
      </w:r>
    </w:p>
    <w:p w:rsidR="00617068" w:rsidRPr="001A3D2B" w:rsidRDefault="00617068" w:rsidP="00617068">
      <w:pPr>
        <w:pStyle w:val="12"/>
      </w:pPr>
      <w:r w:rsidRPr="001A3D2B">
        <w:t xml:space="preserve">ISO Abbreviated Title: </w:t>
      </w:r>
    </w:p>
    <w:p w:rsidR="00617068" w:rsidRPr="001A3D2B" w:rsidRDefault="00617068" w:rsidP="00617068">
      <w:pPr>
        <w:pStyle w:val="12"/>
      </w:pPr>
      <w:r w:rsidRPr="001A3D2B">
        <w:t xml:space="preserve">JCR Abbreviated Title: </w:t>
      </w:r>
    </w:p>
    <w:p w:rsidR="00617068" w:rsidRPr="001A3D2B" w:rsidRDefault="00617068" w:rsidP="00617068">
      <w:pPr>
        <w:pStyle w:val="12"/>
      </w:pPr>
      <w:r w:rsidRPr="001A3D2B">
        <w:t xml:space="preserve">ISSN: </w:t>
      </w:r>
      <w:r w:rsidR="00A247FE" w:rsidRPr="00A247FE">
        <w:t>0008-8714</w:t>
      </w:r>
    </w:p>
    <w:p w:rsidR="00617068" w:rsidRPr="001A3D2B" w:rsidRDefault="00617068" w:rsidP="00617068">
      <w:pPr>
        <w:pStyle w:val="12"/>
      </w:pPr>
      <w:r w:rsidRPr="001A3D2B">
        <w:t xml:space="preserve">Issues/Year: </w:t>
      </w:r>
    </w:p>
    <w:p w:rsidR="00617068" w:rsidRPr="001A3D2B" w:rsidRDefault="00617068" w:rsidP="00617068">
      <w:pPr>
        <w:pStyle w:val="12"/>
      </w:pPr>
      <w:r w:rsidRPr="001A3D2B">
        <w:t xml:space="preserve">Journal Country/Territory: </w:t>
      </w:r>
    </w:p>
    <w:p w:rsidR="00617068" w:rsidRPr="001A3D2B" w:rsidRDefault="00617068" w:rsidP="00617068">
      <w:pPr>
        <w:pStyle w:val="12"/>
      </w:pPr>
      <w:r w:rsidRPr="001A3D2B">
        <w:t xml:space="preserve">Language: </w:t>
      </w:r>
    </w:p>
    <w:p w:rsidR="00617068" w:rsidRPr="001A3D2B" w:rsidRDefault="00617068" w:rsidP="00617068">
      <w:pPr>
        <w:pStyle w:val="12"/>
      </w:pPr>
      <w:r w:rsidRPr="001A3D2B">
        <w:t xml:space="preserve">Publisher: </w:t>
      </w:r>
    </w:p>
    <w:p w:rsidR="00617068" w:rsidRPr="001A3D2B" w:rsidRDefault="00617068" w:rsidP="00617068">
      <w:pPr>
        <w:pStyle w:val="12"/>
      </w:pPr>
      <w:r w:rsidRPr="001A3D2B">
        <w:t xml:space="preserve">Publisher Address: </w:t>
      </w:r>
    </w:p>
    <w:p w:rsidR="00617068" w:rsidRPr="001A3D2B" w:rsidRDefault="00617068" w:rsidP="00617068">
      <w:pPr>
        <w:pStyle w:val="12"/>
      </w:pPr>
      <w:r w:rsidRPr="001A3D2B">
        <w:t>Subject Categories:</w:t>
      </w:r>
    </w:p>
    <w:p w:rsidR="00617068" w:rsidRPr="001A3D2B" w:rsidRDefault="00617068" w:rsidP="00617068">
      <w:pPr>
        <w:pStyle w:val="12"/>
      </w:pPr>
      <w:r w:rsidRPr="001A3D2B">
        <w:t xml:space="preserve">: Impact Factor </w:t>
      </w:r>
    </w:p>
    <w:p w:rsidR="00443F73" w:rsidRDefault="00443F73" w:rsidP="00443F73">
      <w:pPr>
        <w:pStyle w:val="a3"/>
        <w:rPr>
          <w:kern w:val="0"/>
        </w:rPr>
      </w:pPr>
      <w:r>
        <w:rPr>
          <w:rFonts w:hint="eastAsia"/>
          <w:kern w:val="0"/>
        </w:rPr>
        <w:t xml:space="preserve">? </w:t>
      </w:r>
      <w:r>
        <w:rPr>
          <w:kern w:val="0"/>
        </w:rPr>
        <w:t>Bond, V.R. (1982), Error propagation in</w:t>
      </w:r>
      <w:r w:rsidR="003A1917">
        <w:rPr>
          <w:kern w:val="0"/>
        </w:rPr>
        <w:t xml:space="preserve"> the </w:t>
      </w:r>
      <w:r>
        <w:rPr>
          <w:kern w:val="0"/>
        </w:rPr>
        <w:t>numerical</w:t>
      </w:r>
      <w:r>
        <w:rPr>
          <w:rFonts w:hint="eastAsia"/>
          <w:kern w:val="0"/>
        </w:rPr>
        <w:t xml:space="preserve"> </w:t>
      </w:r>
      <w:r>
        <w:rPr>
          <w:kern w:val="0"/>
        </w:rPr>
        <w:t>solutions</w:t>
      </w:r>
      <w:r w:rsidR="00427468">
        <w:rPr>
          <w:kern w:val="0"/>
        </w:rPr>
        <w:t xml:space="preserve"> of </w:t>
      </w:r>
      <w:r w:rsidR="003A1917">
        <w:rPr>
          <w:kern w:val="0"/>
        </w:rPr>
        <w:t xml:space="preserve">the </w:t>
      </w:r>
      <w:r>
        <w:rPr>
          <w:kern w:val="0"/>
        </w:rPr>
        <w:t>differential</w:t>
      </w:r>
      <w:r>
        <w:rPr>
          <w:rFonts w:hint="eastAsia"/>
          <w:kern w:val="0"/>
        </w:rPr>
        <w:t xml:space="preserve"> </w:t>
      </w:r>
      <w:r>
        <w:rPr>
          <w:kern w:val="0"/>
        </w:rPr>
        <w:t>equations</w:t>
      </w:r>
      <w:r w:rsidR="00427468">
        <w:rPr>
          <w:kern w:val="0"/>
        </w:rPr>
        <w:t xml:space="preserve"> of </w:t>
      </w:r>
      <w:r>
        <w:rPr>
          <w:kern w:val="0"/>
        </w:rPr>
        <w:t xml:space="preserve">orbital mechanics. </w:t>
      </w:r>
      <w:r w:rsidRPr="00617068">
        <w:rPr>
          <w:i/>
          <w:iCs/>
          <w:kern w:val="0"/>
        </w:rPr>
        <w:t>Celestial Mechanics</w:t>
      </w:r>
      <w:r>
        <w:rPr>
          <w:kern w:val="0"/>
        </w:rPr>
        <w:t xml:space="preserve">, </w:t>
      </w:r>
      <w:r>
        <w:rPr>
          <w:b/>
          <w:bCs/>
          <w:kern w:val="0"/>
        </w:rPr>
        <w:t>27</w:t>
      </w:r>
      <w:r>
        <w:rPr>
          <w:kern w:val="0"/>
        </w:rPr>
        <w:t xml:space="preserve"> (1), 65-77</w:t>
      </w:r>
      <w:r>
        <w:rPr>
          <w:rFonts w:hint="eastAsia"/>
          <w:kern w:val="0"/>
        </w:rPr>
        <w:t>.</w:t>
      </w:r>
    </w:p>
    <w:p w:rsidR="00443F73" w:rsidRDefault="00443F73" w:rsidP="00443F73">
      <w:pPr>
        <w:pStyle w:val="a3"/>
        <w:rPr>
          <w:kern w:val="0"/>
        </w:rPr>
      </w:pPr>
      <w:r>
        <w:rPr>
          <w:rFonts w:hint="eastAsia"/>
          <w:kern w:val="0"/>
        </w:rPr>
        <w:t xml:space="preserve">Full Text: </w:t>
      </w:r>
      <w:hyperlink r:id="rId147" w:history="1">
        <w:r w:rsidRPr="009740DB">
          <w:rPr>
            <w:rStyle w:val="a5"/>
            <w:kern w:val="0"/>
          </w:rPr>
          <w:t>1982\Cel Mec27, 65.pdf</w:t>
        </w:r>
      </w:hyperlink>
    </w:p>
    <w:p w:rsidR="00443F73" w:rsidRDefault="00443F73" w:rsidP="00443F73">
      <w:pPr>
        <w:pStyle w:val="a3"/>
        <w:rPr>
          <w:kern w:val="0"/>
        </w:rPr>
      </w:pPr>
      <w:r w:rsidRPr="009740DB">
        <w:rPr>
          <w:kern w:val="0"/>
        </w:rPr>
        <w:t>Abstract</w:t>
      </w:r>
      <w:r w:rsidR="00A37C1D">
        <w:rPr>
          <w:kern w:val="0"/>
        </w:rPr>
        <w:t>. The</w:t>
      </w:r>
      <w:r w:rsidR="003A1917">
        <w:rPr>
          <w:kern w:val="0"/>
        </w:rPr>
        <w:t xml:space="preserve"> </w:t>
      </w:r>
      <w:r w:rsidRPr="009740DB">
        <w:rPr>
          <w:kern w:val="0"/>
        </w:rPr>
        <w:t>relationship between</w:t>
      </w:r>
      <w:r w:rsidR="003A1917">
        <w:rPr>
          <w:kern w:val="0"/>
        </w:rPr>
        <w:t xml:space="preserve"> the </w:t>
      </w:r>
      <w:r w:rsidRPr="009740DB">
        <w:rPr>
          <w:kern w:val="0"/>
        </w:rPr>
        <w:t>eigenvalues</w:t>
      </w:r>
      <w:r w:rsidR="00427468">
        <w:rPr>
          <w:kern w:val="0"/>
        </w:rPr>
        <w:t xml:space="preserve"> of </w:t>
      </w:r>
      <w:r w:rsidR="003A1917">
        <w:rPr>
          <w:kern w:val="0"/>
        </w:rPr>
        <w:t xml:space="preserve">the </w:t>
      </w:r>
      <w:r w:rsidRPr="009740DB">
        <w:rPr>
          <w:kern w:val="0"/>
        </w:rPr>
        <w:t>Iinearized differential equations</w:t>
      </w:r>
      <w:r w:rsidR="00427468">
        <w:rPr>
          <w:kern w:val="0"/>
        </w:rPr>
        <w:t xml:space="preserve"> of </w:t>
      </w:r>
      <w:r w:rsidRPr="009740DB">
        <w:rPr>
          <w:kern w:val="0"/>
        </w:rPr>
        <w:t>orbital mechanics</w:t>
      </w:r>
      <w:r w:rsidR="005853A9">
        <w:rPr>
          <w:kern w:val="0"/>
        </w:rPr>
        <w:t xml:space="preserve"> and </w:t>
      </w:r>
      <w:r w:rsidR="003A1917">
        <w:rPr>
          <w:kern w:val="0"/>
        </w:rPr>
        <w:t xml:space="preserve">the </w:t>
      </w:r>
      <w:r w:rsidRPr="009740DB">
        <w:rPr>
          <w:kern w:val="0"/>
        </w:rPr>
        <w:t>stability characteristics</w:t>
      </w:r>
      <w:r w:rsidR="00427468">
        <w:rPr>
          <w:kern w:val="0"/>
        </w:rPr>
        <w:t xml:space="preserve"> of </w:t>
      </w:r>
      <w:r w:rsidRPr="009740DB">
        <w:rPr>
          <w:kern w:val="0"/>
        </w:rPr>
        <w:t>numerical methods is presented. It is shown that</w:t>
      </w:r>
      <w:r w:rsidR="003A1917">
        <w:rPr>
          <w:kern w:val="0"/>
        </w:rPr>
        <w:t xml:space="preserve"> the </w:t>
      </w:r>
      <w:r w:rsidRPr="009740DB">
        <w:rPr>
          <w:kern w:val="0"/>
        </w:rPr>
        <w:t>Cowell, Encke,</w:t>
      </w:r>
      <w:r w:rsidR="005853A9">
        <w:rPr>
          <w:kern w:val="0"/>
        </w:rPr>
        <w:t xml:space="preserve"> and </w:t>
      </w:r>
      <w:r w:rsidRPr="009740DB">
        <w:rPr>
          <w:kern w:val="0"/>
        </w:rPr>
        <w:t>Encke formulation with an independent variable related to</w:t>
      </w:r>
      <w:r w:rsidR="003A1917">
        <w:rPr>
          <w:kern w:val="0"/>
        </w:rPr>
        <w:t xml:space="preserve"> the </w:t>
      </w:r>
      <w:r w:rsidRPr="009740DB">
        <w:rPr>
          <w:kern w:val="0"/>
        </w:rPr>
        <w:t>eccentric anomaly all have a real positive</w:t>
      </w:r>
      <w:r>
        <w:rPr>
          <w:kern w:val="0"/>
        </w:rPr>
        <w:t xml:space="preserve"> </w:t>
      </w:r>
      <w:r w:rsidRPr="009740DB">
        <w:rPr>
          <w:kern w:val="0"/>
        </w:rPr>
        <w:t>eigenvalue when linearized about</w:t>
      </w:r>
      <w:r w:rsidR="003A1917">
        <w:rPr>
          <w:kern w:val="0"/>
        </w:rPr>
        <w:t xml:space="preserve"> the </w:t>
      </w:r>
      <w:r w:rsidRPr="009740DB">
        <w:rPr>
          <w:kern w:val="0"/>
        </w:rPr>
        <w:t>initial conditions</w:t>
      </w:r>
      <w:r w:rsidR="00A37C1D">
        <w:rPr>
          <w:kern w:val="0"/>
        </w:rPr>
        <w:t>. The</w:t>
      </w:r>
      <w:r w:rsidR="003A1917">
        <w:rPr>
          <w:kern w:val="0"/>
        </w:rPr>
        <w:t xml:space="preserve"> </w:t>
      </w:r>
      <w:r w:rsidRPr="009740DB">
        <w:rPr>
          <w:kern w:val="0"/>
        </w:rPr>
        <w:t>real positive eigenvalue causes an amplification</w:t>
      </w:r>
      <w:r w:rsidR="00427468">
        <w:rPr>
          <w:kern w:val="0"/>
        </w:rPr>
        <w:t xml:space="preserve"> of </w:t>
      </w:r>
      <w:r w:rsidR="003A1917">
        <w:rPr>
          <w:kern w:val="0"/>
        </w:rPr>
        <w:t xml:space="preserve">the </w:t>
      </w:r>
      <w:r w:rsidRPr="009740DB">
        <w:rPr>
          <w:kern w:val="0"/>
        </w:rPr>
        <w:t>error</w:t>
      </w:r>
      <w:r w:rsidR="00427468">
        <w:rPr>
          <w:kern w:val="0"/>
        </w:rPr>
        <w:t xml:space="preserve"> of </w:t>
      </w:r>
      <w:r w:rsidR="003A1917">
        <w:rPr>
          <w:kern w:val="0"/>
        </w:rPr>
        <w:t xml:space="preserve">the </w:t>
      </w:r>
      <w:r w:rsidRPr="009740DB">
        <w:rPr>
          <w:kern w:val="0"/>
        </w:rPr>
        <w:t>solution when used in conjunction with a numerical integration method. In contrast an</w:t>
      </w:r>
      <w:r>
        <w:rPr>
          <w:kern w:val="0"/>
        </w:rPr>
        <w:t xml:space="preserve"> </w:t>
      </w:r>
      <w:r w:rsidRPr="009740DB">
        <w:rPr>
          <w:kern w:val="0"/>
        </w:rPr>
        <w:t>element formulation has zero eigenvalues</w:t>
      </w:r>
      <w:r w:rsidR="005853A9">
        <w:rPr>
          <w:kern w:val="0"/>
        </w:rPr>
        <w:t xml:space="preserve"> and </w:t>
      </w:r>
      <w:r w:rsidRPr="009740DB">
        <w:rPr>
          <w:kern w:val="0"/>
        </w:rPr>
        <w:t>is numerically stable.</w:t>
      </w:r>
    </w:p>
    <w:p w:rsidR="00FA0CA3" w:rsidRPr="001A3D2B" w:rsidRDefault="00FA0CA3" w:rsidP="00FA0CA3">
      <w:pPr>
        <w:pStyle w:val="1"/>
      </w:pPr>
      <w:r w:rsidRPr="001A3D2B">
        <w:br w:type="page"/>
      </w:r>
      <w:bookmarkStart w:id="115" w:name="_Toc420814923"/>
      <w:r w:rsidRPr="001A3D2B">
        <w:lastRenderedPageBreak/>
        <w:t xml:space="preserve">Title: </w:t>
      </w:r>
      <w:r w:rsidRPr="00FA0CA3">
        <w:t>Cell Biochemistry and Biophysics</w:t>
      </w:r>
      <w:bookmarkEnd w:id="115"/>
    </w:p>
    <w:p w:rsidR="00FA0CA3" w:rsidRPr="001A3D2B" w:rsidRDefault="00FA0CA3" w:rsidP="00FA0CA3">
      <w:pPr>
        <w:pStyle w:val="12"/>
      </w:pPr>
      <w:r w:rsidRPr="001A3D2B">
        <w:t xml:space="preserve">Full Journal Title: </w:t>
      </w:r>
      <w:r w:rsidRPr="00FA0CA3">
        <w:rPr>
          <w:iCs/>
          <w:kern w:val="0"/>
        </w:rPr>
        <w:t>Cell Biochemistry and Biophysics</w:t>
      </w:r>
    </w:p>
    <w:p w:rsidR="00FA0CA3" w:rsidRPr="001A3D2B" w:rsidRDefault="00FA0CA3" w:rsidP="00FA0CA3">
      <w:pPr>
        <w:pStyle w:val="12"/>
      </w:pPr>
      <w:r w:rsidRPr="001A3D2B">
        <w:t xml:space="preserve">ISO Abbreviated Title: </w:t>
      </w:r>
    </w:p>
    <w:p w:rsidR="00FA0CA3" w:rsidRPr="001A3D2B" w:rsidRDefault="00FA0CA3" w:rsidP="00FA0CA3">
      <w:pPr>
        <w:pStyle w:val="12"/>
      </w:pPr>
      <w:r w:rsidRPr="001A3D2B">
        <w:t xml:space="preserve">JCR Abbreviated Title: </w:t>
      </w:r>
    </w:p>
    <w:p w:rsidR="00FA0CA3" w:rsidRPr="001A3D2B" w:rsidRDefault="00FA0CA3" w:rsidP="00FA0CA3">
      <w:pPr>
        <w:pStyle w:val="12"/>
      </w:pPr>
      <w:r w:rsidRPr="001A3D2B">
        <w:t xml:space="preserve">ISSN: </w:t>
      </w:r>
    </w:p>
    <w:p w:rsidR="00FA0CA3" w:rsidRPr="001A3D2B" w:rsidRDefault="00FA0CA3" w:rsidP="00FA0CA3">
      <w:pPr>
        <w:pStyle w:val="12"/>
      </w:pPr>
      <w:r w:rsidRPr="001A3D2B">
        <w:t xml:space="preserve">Issues/Year: </w:t>
      </w:r>
    </w:p>
    <w:p w:rsidR="00FA0CA3" w:rsidRPr="001A3D2B" w:rsidRDefault="00FA0CA3" w:rsidP="00FA0CA3">
      <w:pPr>
        <w:pStyle w:val="12"/>
      </w:pPr>
      <w:r w:rsidRPr="001A3D2B">
        <w:t xml:space="preserve">Journal Country/Territory: </w:t>
      </w:r>
    </w:p>
    <w:p w:rsidR="00FA0CA3" w:rsidRPr="001A3D2B" w:rsidRDefault="00FA0CA3" w:rsidP="00FA0CA3">
      <w:pPr>
        <w:pStyle w:val="12"/>
      </w:pPr>
      <w:r w:rsidRPr="001A3D2B">
        <w:t xml:space="preserve">Language: </w:t>
      </w:r>
    </w:p>
    <w:p w:rsidR="00FA0CA3" w:rsidRPr="001A3D2B" w:rsidRDefault="00FA0CA3" w:rsidP="00FA0CA3">
      <w:pPr>
        <w:pStyle w:val="12"/>
      </w:pPr>
      <w:r w:rsidRPr="001A3D2B">
        <w:t xml:space="preserve">Publisher: </w:t>
      </w:r>
    </w:p>
    <w:p w:rsidR="00FA0CA3" w:rsidRPr="001A3D2B" w:rsidRDefault="00FA0CA3" w:rsidP="00FA0CA3">
      <w:pPr>
        <w:pStyle w:val="12"/>
      </w:pPr>
      <w:r w:rsidRPr="001A3D2B">
        <w:t xml:space="preserve">Publisher Address: </w:t>
      </w:r>
    </w:p>
    <w:p w:rsidR="00FA0CA3" w:rsidRPr="001A3D2B" w:rsidRDefault="00FA0CA3" w:rsidP="00FA0CA3">
      <w:pPr>
        <w:pStyle w:val="12"/>
      </w:pPr>
      <w:r w:rsidRPr="001A3D2B">
        <w:t>Subject Categories:</w:t>
      </w:r>
    </w:p>
    <w:p w:rsidR="00FA0CA3" w:rsidRPr="001A3D2B" w:rsidRDefault="00FA0CA3" w:rsidP="00FA0CA3">
      <w:pPr>
        <w:pStyle w:val="12"/>
      </w:pPr>
      <w:r w:rsidRPr="001A3D2B">
        <w:t xml:space="preserve">: Impact Factor </w:t>
      </w:r>
    </w:p>
    <w:p w:rsidR="00FA0CA3" w:rsidRDefault="00FA0CA3" w:rsidP="00FA0CA3">
      <w:pPr>
        <w:pStyle w:val="a3"/>
        <w:rPr>
          <w:kern w:val="0"/>
        </w:rPr>
      </w:pPr>
      <w:r>
        <w:rPr>
          <w:rFonts w:hint="eastAsia"/>
          <w:kern w:val="0"/>
        </w:rPr>
        <w:t xml:space="preserve">? </w:t>
      </w:r>
      <w:r>
        <w:rPr>
          <w:kern w:val="0"/>
        </w:rPr>
        <w:t>Chen, H., Li, Z.X., Liu, N., Zhang, W.W. and Zhu, G.M. (2014), Influence of alpha-2-macroglobulin 5 bp I/D and Ile1000</w:t>
      </w:r>
      <w:r>
        <w:rPr>
          <w:rFonts w:hint="eastAsia"/>
          <w:kern w:val="0"/>
        </w:rPr>
        <w:t>V</w:t>
      </w:r>
      <w:r>
        <w:rPr>
          <w:kern w:val="0"/>
        </w:rPr>
        <w:t>al polymorphisms on the susceptibility of Alzheimer</w:t>
      </w:r>
      <w:r w:rsidR="0071223E">
        <w:rPr>
          <w:kern w:val="0"/>
        </w:rPr>
        <w:t>’</w:t>
      </w:r>
      <w:r>
        <w:rPr>
          <w:kern w:val="0"/>
        </w:rPr>
        <w:t xml:space="preserve">s disease: A systematic review and meta-analysis of 52 studies. </w:t>
      </w:r>
      <w:r w:rsidRPr="00FA0CA3">
        <w:rPr>
          <w:i/>
          <w:iCs/>
          <w:kern w:val="0"/>
        </w:rPr>
        <w:t>Cell Biochemistry and Biophysics</w:t>
      </w:r>
      <w:r>
        <w:rPr>
          <w:kern w:val="0"/>
        </w:rPr>
        <w:t xml:space="preserve">, </w:t>
      </w:r>
      <w:r>
        <w:rPr>
          <w:b/>
          <w:bCs/>
          <w:kern w:val="0"/>
        </w:rPr>
        <w:t>70</w:t>
      </w:r>
      <w:r>
        <w:rPr>
          <w:kern w:val="0"/>
        </w:rPr>
        <w:t xml:space="preserve"> (1), 511-519.</w:t>
      </w:r>
    </w:p>
    <w:p w:rsidR="00FA0CA3" w:rsidRDefault="00FA0CA3" w:rsidP="00FA0CA3">
      <w:pPr>
        <w:pStyle w:val="a3"/>
        <w:rPr>
          <w:kern w:val="0"/>
        </w:rPr>
      </w:pPr>
      <w:r>
        <w:rPr>
          <w:rFonts w:hint="eastAsia"/>
          <w:kern w:val="0"/>
        </w:rPr>
        <w:t xml:space="preserve">Full Text: </w:t>
      </w:r>
      <w:hyperlink r:id="rId148" w:history="1">
        <w:r w:rsidRPr="00FA0CA3">
          <w:rPr>
            <w:rStyle w:val="a5"/>
            <w:kern w:val="0"/>
          </w:rPr>
          <w:t>2014\Cel Bio Bio70, 511.pdf</w:t>
        </w:r>
      </w:hyperlink>
    </w:p>
    <w:p w:rsidR="00FA0CA3" w:rsidRDefault="00FA0CA3" w:rsidP="00FA0CA3">
      <w:pPr>
        <w:pStyle w:val="a3"/>
        <w:rPr>
          <w:kern w:val="0"/>
        </w:rPr>
      </w:pPr>
      <w:r>
        <w:rPr>
          <w:kern w:val="0"/>
        </w:rPr>
        <w:t>Abstract: Accumulating studies have evaluated the association of Alpha-2-Macroglobulin gene (A2M) 5 bp insertion/deletion (5 bp I/D, rs3832852) and Ile1000Val (rs669) polymorphisms with Alzheimer</w:t>
      </w:r>
      <w:r w:rsidR="0071223E">
        <w:rPr>
          <w:kern w:val="0"/>
        </w:rPr>
        <w:t>’</w:t>
      </w:r>
      <w:r>
        <w:rPr>
          <w:kern w:val="0"/>
        </w:rPr>
        <w:t>s disease (AD) risk, but the results remain inconclusive. To investigate whether these two polymorphisms facilitate the susceptibility to AD, we conducted a comprehensive systematic review and meta-analysis. Databases of PubMed, Embase, Web of Science, Medline, CNKI, and Google Scholar were searched to get the genetic association studies. All statistical analyses were conducted with Review Manager 5.2 and STATA11.0. Fifty-two articles were included in the final meta-analysis. We performed meta-analysis of 39 studies involving 8,267 cases and 7,932 controls for the 5 bp I/D polymorphism and 27 studies involving 6,585 cases and 6,637 controls for the Ile/Val polymorphism. Overall results did not show significant association between these two polymorphisms and AD risk in dominant, recessive, and multiplicative genetic models. On the stratification analyses by ethnicity and APOE epsilon 4 status with genotypes of polymorphism sites, similar negative associations were found. The meta-analysis suggests that there is no enough evidence for associations of A2M gene polymorphisms (5 bp I/D, Ile1000Val) with AD risk at present, even after stratification by ethnicity and APOE epsilon 4 with genotypes of polymorphism sites. However, due to the heterogeneity in the meta-analysis, the results should be interpreted with caution.</w:t>
      </w:r>
    </w:p>
    <w:p w:rsidR="00FA0CA3" w:rsidRDefault="00FA0CA3" w:rsidP="00FA0CA3">
      <w:pPr>
        <w:pStyle w:val="a3"/>
        <w:rPr>
          <w:kern w:val="0"/>
        </w:rPr>
      </w:pPr>
      <w:r>
        <w:rPr>
          <w:kern w:val="0"/>
        </w:rPr>
        <w:lastRenderedPageBreak/>
        <w:t>Keywords: A2</w:t>
      </w:r>
      <w:r w:rsidR="005B6453">
        <w:rPr>
          <w:kern w:val="0"/>
        </w:rPr>
        <w:t>M</w:t>
      </w:r>
      <w:r>
        <w:rPr>
          <w:kern w:val="0"/>
        </w:rPr>
        <w:t>, A2</w:t>
      </w:r>
      <w:r w:rsidR="005B6453">
        <w:rPr>
          <w:kern w:val="0"/>
        </w:rPr>
        <w:t>M</w:t>
      </w:r>
      <w:r>
        <w:rPr>
          <w:kern w:val="0"/>
        </w:rPr>
        <w:t xml:space="preserve"> Polymorphisms, A</w:t>
      </w:r>
      <w:r w:rsidR="005B6453">
        <w:rPr>
          <w:kern w:val="0"/>
        </w:rPr>
        <w:t>D</w:t>
      </w:r>
      <w:r>
        <w:rPr>
          <w:kern w:val="0"/>
        </w:rPr>
        <w:t>, Alpha(2)-Macroglobulin Polymorphisms, Alpha-2-Macroglobulin, Alzheimer</w:t>
      </w:r>
      <w:r w:rsidR="0071223E">
        <w:rPr>
          <w:kern w:val="0"/>
        </w:rPr>
        <w:t>’</w:t>
      </w:r>
      <w:r w:rsidR="00AF597B">
        <w:rPr>
          <w:rFonts w:hint="eastAsia"/>
          <w:kern w:val="0"/>
        </w:rPr>
        <w:t>s</w:t>
      </w:r>
      <w:r>
        <w:rPr>
          <w:kern w:val="0"/>
        </w:rPr>
        <w:t>, Alzheimer</w:t>
      </w:r>
      <w:r w:rsidR="0071223E">
        <w:rPr>
          <w:kern w:val="0"/>
        </w:rPr>
        <w:t>’</w:t>
      </w:r>
      <w:r w:rsidR="00AF597B">
        <w:rPr>
          <w:rFonts w:hint="eastAsia"/>
          <w:kern w:val="0"/>
        </w:rPr>
        <w:t>s</w:t>
      </w:r>
      <w:r>
        <w:rPr>
          <w:kern w:val="0"/>
        </w:rPr>
        <w:t xml:space="preserve"> Disease, Analyses, Apoe, Apolipoprotein-E, Articles, Association, Candidate Genes, Databases, Deletion Polymorphism, Disease, Ethnicity, Evidence, Gene, Genetic, Genetic Risk-Factors, Google, Google Scholar, Han Chinese, Heterogeneity, I1000v Polymorphism, Influence, Medline, Meta Analysis, Meta-Analysis, Metaanalysis, Models, No Association, Polymorphism, Polymorphisms, Pubmed, Receptor-Related Protein, Review, Risk, Science, Statistical Analyses, Stratification, Susceptibility, Systematic, Systematic Review, Web Of Science</w:t>
      </w:r>
    </w:p>
    <w:p w:rsidR="000B686F" w:rsidRDefault="000B686F" w:rsidP="000B686F">
      <w:pPr>
        <w:pStyle w:val="a3"/>
        <w:rPr>
          <w:kern w:val="0"/>
        </w:rPr>
      </w:pPr>
      <w:r>
        <w:rPr>
          <w:rFonts w:hint="eastAsia"/>
          <w:kern w:val="0"/>
        </w:rPr>
        <w:t xml:space="preserve">? </w:t>
      </w:r>
      <w:r>
        <w:rPr>
          <w:kern w:val="0"/>
        </w:rPr>
        <w:t xml:space="preserve">Guo, G.N., Zhu, G.Y., Sun, W., Yin, C.L., Ren, X.B., Wang, T.G. and Liu, M.H. (2014), Association of arterial oxygen saturation and acute mountain sickness susceptibility: A meta-analysis. </w:t>
      </w:r>
      <w:r>
        <w:rPr>
          <w:i/>
          <w:iCs/>
          <w:kern w:val="0"/>
        </w:rPr>
        <w:t>Cell Biochemistry and Biophysics</w:t>
      </w:r>
      <w:r>
        <w:rPr>
          <w:kern w:val="0"/>
        </w:rPr>
        <w:t xml:space="preserve">, </w:t>
      </w:r>
      <w:r>
        <w:rPr>
          <w:b/>
          <w:bCs/>
          <w:kern w:val="0"/>
        </w:rPr>
        <w:t>70</w:t>
      </w:r>
      <w:r>
        <w:rPr>
          <w:kern w:val="0"/>
        </w:rPr>
        <w:t xml:space="preserve"> (2), 1427-1432.</w:t>
      </w:r>
    </w:p>
    <w:p w:rsidR="000B686F" w:rsidRDefault="000B686F" w:rsidP="000B686F">
      <w:pPr>
        <w:pStyle w:val="a3"/>
        <w:rPr>
          <w:kern w:val="0"/>
        </w:rPr>
      </w:pPr>
      <w:r>
        <w:rPr>
          <w:rFonts w:hint="eastAsia"/>
          <w:kern w:val="0"/>
        </w:rPr>
        <w:t xml:space="preserve">Full Text: </w:t>
      </w:r>
      <w:hyperlink r:id="rId149" w:history="1">
        <w:r w:rsidRPr="00C2583B">
          <w:rPr>
            <w:rStyle w:val="a5"/>
            <w:kern w:val="0"/>
          </w:rPr>
          <w:t>2014\Cel Bio Bio70, 1427.pdf</w:t>
        </w:r>
      </w:hyperlink>
    </w:p>
    <w:p w:rsidR="000B686F" w:rsidRDefault="000B686F" w:rsidP="000B686F">
      <w:pPr>
        <w:pStyle w:val="a3"/>
        <w:rPr>
          <w:kern w:val="0"/>
        </w:rPr>
      </w:pPr>
      <w:r>
        <w:rPr>
          <w:kern w:val="0"/>
        </w:rPr>
        <w:t>Abstract: Acute mountain sickness (AMS) is the most common high altitude illnesses experienced during rapid ascent to a higher altitude without prior acclimation. It is mainly characterized by a headache which may be accompanied with nausea, vomiting, anorexia, dizziness, lethargy, fatigue, and sleep disturbance. If not diagnosed and treated in a timely manner, AMS can develop into deadly high altitude pulmonary edema or high altitude cerebral edema. In the previous studies of individual variation in susceptibility to AMS, arterial oxygen saturation (S-O2) was identified as being associated with AMS. However, other studies have reported no association between AMS and arterial oxygen saturation. In this study, the association between S-O2 and AMS was assessed through a meta-analysis of published data. The literature databases PubMed, Web of Science, LWW, Science Direct, and Embase were queried for papers published before 15 April 2014. A fixed-effects model and a random-effects model were applied (Revman 5.0) on the basis of heterogeneity, and the study quality was assessed in duplicate. Twelve studies with 614 AMS patients and 1,025 control subjects were analyzed. There was a significant association with differences in S-O2 and the risk of developing AMS. S-O2 values are associated with AMS incidence.</w:t>
      </w:r>
    </w:p>
    <w:p w:rsidR="000B686F" w:rsidRDefault="000B686F" w:rsidP="000B686F">
      <w:pPr>
        <w:pStyle w:val="a3"/>
        <w:rPr>
          <w:kern w:val="0"/>
        </w:rPr>
      </w:pPr>
      <w:r>
        <w:rPr>
          <w:kern w:val="0"/>
        </w:rPr>
        <w:t>Keywords: Acclimation, Altitude, Am, Ams, Anorexia, Arterial Oxygen Saturation, Association, Cerebral, Control, Data, Databases, Developing, Disturbance, Fatigue, Fixed Effects Model, Headache, Heart-Rate-Variability, Heterogeneity, High Altitude, High-Altitude, Hypoxia, Incidence, Jade Mountain, Literature, Meta Analysis, Meta-Analysis, Metaanalysis, Model, Nausea, Nov, Oximetry, Oxygen, Oxygen Saturation, Papers, Pathophysiology, Patients, Prediction, Pressure, Pubmed, Quality, Random Effects Model, Rapid Ascent, Risk, Saturation, Science, Sea-Level, Sickness, Sleep, Sleep Disturbance, So2, Susceptibility, Vomiting, Web Of Science</w:t>
      </w:r>
    </w:p>
    <w:p w:rsidR="0056127E" w:rsidRDefault="0056127E" w:rsidP="0056127E">
      <w:pPr>
        <w:pStyle w:val="a3"/>
        <w:rPr>
          <w:kern w:val="0"/>
        </w:rPr>
      </w:pPr>
      <w:r>
        <w:rPr>
          <w:rFonts w:hint="eastAsia"/>
          <w:kern w:val="0"/>
        </w:rPr>
        <w:lastRenderedPageBreak/>
        <w:t xml:space="preserve">? </w:t>
      </w:r>
      <w:r>
        <w:rPr>
          <w:kern w:val="0"/>
        </w:rPr>
        <w:t xml:space="preserve">Xu, H.D., Zhou, P.Y., Ti, Y.F. and Jia, F.Y. (2014), Quantitative assessment of the association between HDMX polymorphism and sarcoma. </w:t>
      </w:r>
      <w:r>
        <w:rPr>
          <w:i/>
          <w:iCs/>
          <w:kern w:val="0"/>
        </w:rPr>
        <w:t>Cell Biochemistry and Biophysics</w:t>
      </w:r>
      <w:r>
        <w:rPr>
          <w:kern w:val="0"/>
        </w:rPr>
        <w:t xml:space="preserve">, </w:t>
      </w:r>
      <w:r>
        <w:rPr>
          <w:b/>
          <w:bCs/>
          <w:kern w:val="0"/>
        </w:rPr>
        <w:t>70</w:t>
      </w:r>
      <w:r>
        <w:rPr>
          <w:kern w:val="0"/>
        </w:rPr>
        <w:t xml:space="preserve"> (3), 1671-1676.</w:t>
      </w:r>
    </w:p>
    <w:p w:rsidR="0056127E" w:rsidRDefault="0056127E" w:rsidP="0056127E">
      <w:pPr>
        <w:pStyle w:val="a3"/>
        <w:rPr>
          <w:kern w:val="0"/>
        </w:rPr>
      </w:pPr>
      <w:r>
        <w:rPr>
          <w:rFonts w:hint="eastAsia"/>
          <w:kern w:val="0"/>
        </w:rPr>
        <w:t xml:space="preserve">Full Text: </w:t>
      </w:r>
      <w:hyperlink r:id="rId150" w:history="1">
        <w:r w:rsidRPr="0056127E">
          <w:rPr>
            <w:rStyle w:val="a5"/>
            <w:kern w:val="0"/>
          </w:rPr>
          <w:t>2014\Cel Bio Bio70, 1671.pdf</w:t>
        </w:r>
      </w:hyperlink>
    </w:p>
    <w:p w:rsidR="0056127E" w:rsidRDefault="0056127E" w:rsidP="0056127E">
      <w:pPr>
        <w:pStyle w:val="a3"/>
        <w:rPr>
          <w:kern w:val="0"/>
        </w:rPr>
      </w:pPr>
      <w:r>
        <w:rPr>
          <w:kern w:val="0"/>
        </w:rPr>
        <w:t>Abstract: To investigate the effects of the HDMX polymorphism on sarcoma risk. Relevant studies were identified by searching the PubMed, Embase, and Web of Science databases. Data were extracted by two independent investigators. Odds ratios (ORs) and 95 % confidence intervals (CIs) were calculated using a fixed-effects model to assess the association between the HDMX polymorphism and sarcoma risk. We also conducted heterogeneity test, sensitivity analysis, and publication bias test. A meta-analysis of four published case-control studies involving 1,115 subjects (379 cases and 736 controls) showed no statistical association between the HDMX polymorphism and sarcoma risk (ORTT vs. GG 0.88, 95 % CI 0.68-1.14, P (heterogeneity) 0.819; ORTT + TG vs. GG 0.95, 95 % CI 0.79-1.15, P (heterogeneity) 0.937; ORTT vs. TG + GG 0.82, 95 % CI 0.65-1.04, P (heterogeneity) 0.589; ORT allele vs. G allele 0.91, 95 % CI 0.79-1.05, P (heterogeneity) 0.727; ORTG vs. GG 0.95, 95 % CI 0.74-1.22, P (heterogeneity) = 0.869). This null result did not alter when data were stratified according to ethnicity. Our meta-analysis indicates that the HDMX polymorphism is unlikely to contribute to individual susceptibility to sarcoma.</w:t>
      </w:r>
    </w:p>
    <w:p w:rsidR="0056127E" w:rsidRDefault="0056127E" w:rsidP="0056127E">
      <w:pPr>
        <w:pStyle w:val="a3"/>
        <w:rPr>
          <w:kern w:val="0"/>
        </w:rPr>
      </w:pPr>
      <w:r>
        <w:rPr>
          <w:kern w:val="0"/>
        </w:rPr>
        <w:t xml:space="preserve">Keywords: Analysis, Assessment, Association, Bias, Cancer-Risk, Case-Control, Case-Control Studies, Confidence, Confidence Intervals, Data, Databases, Effects, Ethnicity, Ewings-Sarcoma, Fixed Effects Model, Gene, Gg, Hdmx, Heterogeneity, Intervals, Kaposis-Sarcoma, Mdm2 Promoter Polymorphism, Meta Analysis, Meta-Analysis, Metaanalysis, Model, P, Polymorphism, Publication, Publication Bias, Pubmed, Risk, Sarcoma, Science, Sensitivity, Sensitivity Analysis, Single Nucleotide Polymorphism, </w:t>
      </w:r>
      <w:r w:rsidR="0013112D">
        <w:rPr>
          <w:kern w:val="0"/>
        </w:rPr>
        <w:t>SNP309</w:t>
      </w:r>
      <w:r>
        <w:rPr>
          <w:kern w:val="0"/>
        </w:rPr>
        <w:t>, Squamous-Cell Carcinoma, Susceptibility, Web, Web Of Science, Web Of Science Databases</w:t>
      </w:r>
    </w:p>
    <w:p w:rsidR="0013112D" w:rsidRDefault="0013112D" w:rsidP="0013112D">
      <w:pPr>
        <w:pStyle w:val="a3"/>
        <w:rPr>
          <w:kern w:val="0"/>
        </w:rPr>
      </w:pPr>
      <w:r>
        <w:rPr>
          <w:kern w:val="0"/>
        </w:rPr>
        <w:t xml:space="preserve">? Zhang, W., Wang, Y. and Bi, G.R. (2015), Quantitative assessment of association between rs1801133 polymorphism and susceptibility to stroke. </w:t>
      </w:r>
      <w:r>
        <w:rPr>
          <w:i/>
          <w:iCs/>
          <w:kern w:val="0"/>
        </w:rPr>
        <w:t>Cell Biochemistry and Biophysics</w:t>
      </w:r>
      <w:r>
        <w:rPr>
          <w:kern w:val="0"/>
        </w:rPr>
        <w:t xml:space="preserve">, </w:t>
      </w:r>
      <w:r>
        <w:rPr>
          <w:b/>
          <w:bCs/>
          <w:kern w:val="0"/>
        </w:rPr>
        <w:t>71</w:t>
      </w:r>
      <w:r>
        <w:rPr>
          <w:kern w:val="0"/>
        </w:rPr>
        <w:t xml:space="preserve"> (1), 85-98.</w:t>
      </w:r>
    </w:p>
    <w:p w:rsidR="0013112D" w:rsidRDefault="0013112D" w:rsidP="0013112D">
      <w:pPr>
        <w:pStyle w:val="a3"/>
        <w:rPr>
          <w:kern w:val="0"/>
        </w:rPr>
      </w:pPr>
      <w:r>
        <w:rPr>
          <w:rFonts w:hint="eastAsia"/>
          <w:kern w:val="0"/>
        </w:rPr>
        <w:t xml:space="preserve">Full Text: </w:t>
      </w:r>
      <w:hyperlink r:id="rId151" w:history="1">
        <w:r w:rsidRPr="0013112D">
          <w:rPr>
            <w:rStyle w:val="a5"/>
            <w:kern w:val="0"/>
          </w:rPr>
          <w:t>2015\Cel Bio Bio71, 85.pdf</w:t>
        </w:r>
      </w:hyperlink>
    </w:p>
    <w:p w:rsidR="0013112D" w:rsidRDefault="0013112D" w:rsidP="0013112D">
      <w:pPr>
        <w:pStyle w:val="a3"/>
        <w:rPr>
          <w:kern w:val="0"/>
        </w:rPr>
      </w:pPr>
      <w:r>
        <w:rPr>
          <w:kern w:val="0"/>
        </w:rPr>
        <w:t xml:space="preserve">Abstract: Methylenetetrahydrofolate reductase (MTHFR) is an important enzyme involved in folate metabolism, which is essential for DNA synthesis and methylation. Genetic variations in the MTHFR gene seem to contribute to a decreased activity of MTHFR, ultimately confer increased susceptibility to stroke. To assess the association between this polymorphism and stroke risk, we conducted a comprehensive meta-analysis based on 73 eligible studies. A total of 73 studies, including 10,225 cases and 13,800 controls identified between 1999 and 2012, were </w:t>
      </w:r>
      <w:r>
        <w:rPr>
          <w:kern w:val="0"/>
        </w:rPr>
        <w:lastRenderedPageBreak/>
        <w:t>selected through researching the PubMed, MEDLINE, EMBASE, Cochrane Library, Web of Science, and Chinese Biomedical Chinese National Knowledge Infrastructure and Literature database databases. Odds ratios (ORs) with corresponding 95 % confidence intervals (CIs) were used to assess the association. Overall, a significant elevated risk of stroke risk was associated with the rs1801133 polymorphism in all genetic models (homozygote model: OR 1.296, 95 % CI 1.109-1.514; dominant model: OR 1.179, 95 % CI 1.058-1.315; recessive model: OR 1.209, 95 % CI 1.063-1.375; allele comparison model: OR 1.154, 95 % CI 1.061-1.256). In the stratified analyses, significantly increased stroke risks were indicated among Asians in all genetic models (homozygote model: OR 1.726, 95 % CI 1.314-2.267; dominant model: OR 1.535, 95 % CI 1.282-1.838; recessive model: OR 1.452, 95 % CI 1.160-1.818; allele comparison model: OR 1.403, 95 % CI 1.211-1.626).The present meta-analysis suggests that rs1801133 polymorphism contributes to the risk of stroke, of note, in Asian populations.</w:t>
      </w:r>
    </w:p>
    <w:p w:rsidR="0013112D" w:rsidRDefault="0013112D" w:rsidP="0013112D">
      <w:pPr>
        <w:pStyle w:val="a3"/>
        <w:rPr>
          <w:kern w:val="0"/>
        </w:rPr>
      </w:pPr>
      <w:r>
        <w:rPr>
          <w:kern w:val="0"/>
        </w:rPr>
        <w:t>Keywords: 5,10-Methylenetetrahydrofolate Reductase, Activity, Analyses, Asian, Asians, Assessment, Association, Biomedical, Chinese, Comparison, Confidence, Confidence Intervals, Database, Databases, Dna, Elevated Plasma Homocysteine, Embase, Factor-V-Leiden, Gene, Genetic, Intervals, Ischemic Cerebrovascular-Disease, Knowledge, Literature, Medline, Meta Analysis, Meta-Analysis, Metaanalysis, Metabolism, Methionine Synthase, Methylation, Methylenetetrahydrofolate Reductase, Methylenetetrahydrofolate-Reductase Gene, Mild Hyperhomocysteinemia, Model, Models, Mthfr, Mthfr C677t Polymorphism, Polymorphism, Populations, Pubmed, Risk, Risk-Factor, Risks, Rs1801133, Science, Stroke, Susceptibility, Synthesis, Thermolabile Variant, Web, Web Of Science</w:t>
      </w:r>
    </w:p>
    <w:p w:rsidR="005D224E" w:rsidRDefault="005D224E" w:rsidP="005D224E">
      <w:pPr>
        <w:pStyle w:val="a3"/>
        <w:rPr>
          <w:kern w:val="0"/>
        </w:rPr>
      </w:pPr>
      <w:r>
        <w:rPr>
          <w:rFonts w:hint="eastAsia"/>
          <w:kern w:val="0"/>
        </w:rPr>
        <w:t xml:space="preserve">? </w:t>
      </w:r>
      <w:r>
        <w:rPr>
          <w:kern w:val="0"/>
        </w:rPr>
        <w:t xml:space="preserve">Wang, Y.L., Zhang, Y.Y., Meng, H.H., Hou, X.H., Li, Z.H., Liu, Q.P. and Meng, L. (2015), Quantitative assessment of the association between </w:t>
      </w:r>
      <w:r w:rsidRPr="008833E1">
        <w:rPr>
          <w:i/>
          <w:kern w:val="0"/>
        </w:rPr>
        <w:t>CYP17</w:t>
      </w:r>
      <w:r>
        <w:rPr>
          <w:kern w:val="0"/>
        </w:rPr>
        <w:t xml:space="preserve"> rs743572 polymorphism and prostate cancer risk. </w:t>
      </w:r>
      <w:r>
        <w:rPr>
          <w:i/>
          <w:iCs/>
          <w:kern w:val="0"/>
        </w:rPr>
        <w:t>Cell Biochemistry and Biophysics</w:t>
      </w:r>
      <w:r>
        <w:rPr>
          <w:kern w:val="0"/>
        </w:rPr>
        <w:t xml:space="preserve">, </w:t>
      </w:r>
      <w:r>
        <w:rPr>
          <w:b/>
          <w:bCs/>
          <w:kern w:val="0"/>
        </w:rPr>
        <w:t>71</w:t>
      </w:r>
      <w:r>
        <w:rPr>
          <w:kern w:val="0"/>
        </w:rPr>
        <w:t xml:space="preserve"> (2), 983-991.</w:t>
      </w:r>
    </w:p>
    <w:p w:rsidR="005D224E" w:rsidRDefault="005D224E" w:rsidP="005D224E">
      <w:pPr>
        <w:pStyle w:val="a3"/>
        <w:rPr>
          <w:kern w:val="0"/>
        </w:rPr>
      </w:pPr>
      <w:r>
        <w:rPr>
          <w:rFonts w:hint="eastAsia"/>
          <w:kern w:val="0"/>
        </w:rPr>
        <w:t xml:space="preserve">Full Text: </w:t>
      </w:r>
      <w:hyperlink r:id="rId152" w:history="1">
        <w:r w:rsidRPr="007F3E6E">
          <w:rPr>
            <w:rStyle w:val="a5"/>
            <w:kern w:val="0"/>
          </w:rPr>
          <w:t>2015\Cel Bio Bio71, 983.pdf</w:t>
        </w:r>
      </w:hyperlink>
    </w:p>
    <w:p w:rsidR="005D224E" w:rsidRDefault="005D224E" w:rsidP="005D224E">
      <w:pPr>
        <w:pStyle w:val="a3"/>
        <w:rPr>
          <w:kern w:val="0"/>
        </w:rPr>
      </w:pPr>
      <w:r>
        <w:rPr>
          <w:kern w:val="0"/>
        </w:rPr>
        <w:t xml:space="preserve">Abstract: Published data on the association between CYP17 rs743572 polymorphism and risk of PC showed inconclusive results. The aim of this study was to further estimate the pooled effect size of rs743572 polymorphism and PC progression via large-scale meta-analysis. We searched the case-control studies of rs743572 polymorphism and PC risk in PubMed, Embase, and Web of Science databases up to February 2014. Odds ratios (ORs) along with 95 % confidence intervals (CIs) were pooled by means of both fixed effects model and random effects model. A total of 38 publications consisting of 42 studies with 15,735 cases and 17,825 controls were included in this meta-analysis. Overall, no significant association was found between rs743572 polymorphism and PC risk. Stratified analyses by control source and </w:t>
      </w:r>
      <w:r>
        <w:rPr>
          <w:kern w:val="0"/>
        </w:rPr>
        <w:lastRenderedPageBreak/>
        <w:t>sample size did not provide significant results. However, there was a borderline association in African population under A2A2 versus A1A2 + A1A1 genetic model (OR = 1.39, 95 % CI: 1.01-1.92, P = 0.975, I (2) = 0.0 %). Results from the current meta-analysis suggested that CYP17 rs743572 polymorphism might modify the risk of PC in the subjects of African decent.</w:t>
      </w:r>
    </w:p>
    <w:p w:rsidR="005D224E" w:rsidRDefault="005D224E" w:rsidP="005D224E">
      <w:pPr>
        <w:pStyle w:val="a3"/>
        <w:rPr>
          <w:kern w:val="0"/>
        </w:rPr>
      </w:pPr>
      <w:r>
        <w:rPr>
          <w:kern w:val="0"/>
        </w:rPr>
        <w:t>Keywords: Analyses, Androgen Biosynthesis, Assessment, Association, Borderline, Cancer, Case-Control, Case-Control Studies, Confidence, Confidence Intervals, Control, Cyp17, Data, Databases, Effect Size, Effects, Fixed Effects Model, From, Gene Polymorphisms, Genetic, Intervals, Japanese Population, Mar, Meta Analysis, Meta-Analysis, Metaanalysis, Metabolism, Model, North Indian Population, P, Polymorphism, Population, Progression, Promoter, Prostate Cancer, Psa Levels, Publications, Pubmed, Quantitative, Random Effects Model, Results, Risk, Rs743572, Sample Size, Science, Single-Nucleotide Polymorphisms, Size, Source, Srd5a2, Web, Web Of Science, Web Of Science Databases</w:t>
      </w:r>
    </w:p>
    <w:p w:rsidR="003474F2" w:rsidRPr="001A3D2B" w:rsidRDefault="003474F2" w:rsidP="003474F2">
      <w:pPr>
        <w:pStyle w:val="1"/>
      </w:pPr>
      <w:r w:rsidRPr="001A3D2B">
        <w:br w:type="page"/>
      </w:r>
      <w:bookmarkStart w:id="116" w:name="_Toc420814924"/>
      <w:r w:rsidRPr="001A3D2B">
        <w:lastRenderedPageBreak/>
        <w:t>Title: Cell Biophysics</w:t>
      </w:r>
      <w:bookmarkEnd w:id="116"/>
    </w:p>
    <w:p w:rsidR="003474F2" w:rsidRPr="001A3D2B" w:rsidRDefault="003474F2" w:rsidP="003474F2">
      <w:pPr>
        <w:pStyle w:val="12"/>
      </w:pPr>
      <w:r w:rsidRPr="001A3D2B">
        <w:t>Full Journal Title: Cell Biophysics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Balla, M.I, Gandini, E.</w:t>
      </w:r>
      <w:r w:rsidR="005853A9">
        <w:t xml:space="preserve"> and </w:t>
      </w:r>
      <w:r w:rsidRPr="001A3D2B">
        <w:t>Nicolini, C. (1989), Can bibliometric indicators assess science</w:t>
      </w:r>
      <w:r w:rsidR="005853A9">
        <w:t xml:space="preserve"> and </w:t>
      </w:r>
      <w:r w:rsidRPr="001A3D2B">
        <w:t xml:space="preserve">technology? </w:t>
      </w:r>
      <w:r w:rsidRPr="001A3D2B">
        <w:rPr>
          <w:i/>
          <w:iCs/>
        </w:rPr>
        <w:t>Cell Biophysics</w:t>
      </w:r>
      <w:r w:rsidRPr="001A3D2B">
        <w:t xml:space="preserve">, </w:t>
      </w:r>
      <w:r w:rsidRPr="001A3D2B">
        <w:rPr>
          <w:b/>
          <w:bCs/>
        </w:rPr>
        <w:t>14</w:t>
      </w:r>
      <w:r w:rsidRPr="001A3D2B">
        <w:t xml:space="preserve"> (1), 99-116.</w:t>
      </w:r>
    </w:p>
    <w:p w:rsidR="000726FD" w:rsidRPr="001A3D2B" w:rsidRDefault="000726FD" w:rsidP="000726FD">
      <w:pPr>
        <w:pStyle w:val="1"/>
      </w:pPr>
      <w:r w:rsidRPr="001A3D2B">
        <w:br w:type="page"/>
      </w:r>
      <w:bookmarkStart w:id="117" w:name="_Toc420814925"/>
      <w:r w:rsidRPr="001A3D2B">
        <w:lastRenderedPageBreak/>
        <w:t xml:space="preserve">Title: </w:t>
      </w:r>
      <w:r w:rsidRPr="000726FD">
        <w:t>Cell Cycle</w:t>
      </w:r>
      <w:bookmarkEnd w:id="117"/>
    </w:p>
    <w:p w:rsidR="000726FD" w:rsidRPr="001A3D2B" w:rsidRDefault="000726FD" w:rsidP="000726FD">
      <w:pPr>
        <w:pStyle w:val="12"/>
      </w:pPr>
      <w:r w:rsidRPr="001A3D2B">
        <w:t xml:space="preserve">Full Journal Title: </w:t>
      </w:r>
      <w:r w:rsidRPr="000726FD">
        <w:t>Cell Cycle</w:t>
      </w:r>
    </w:p>
    <w:p w:rsidR="000726FD" w:rsidRPr="001A3D2B" w:rsidRDefault="000726FD" w:rsidP="000726FD">
      <w:pPr>
        <w:pStyle w:val="12"/>
      </w:pPr>
      <w:r w:rsidRPr="001A3D2B">
        <w:t xml:space="preserve">ISO Abbreviated Title: </w:t>
      </w:r>
    </w:p>
    <w:p w:rsidR="000726FD" w:rsidRPr="001A3D2B" w:rsidRDefault="000726FD" w:rsidP="000726FD">
      <w:pPr>
        <w:pStyle w:val="12"/>
      </w:pPr>
      <w:r w:rsidRPr="001A3D2B">
        <w:t xml:space="preserve">JCR Abbreviated Title: </w:t>
      </w:r>
    </w:p>
    <w:p w:rsidR="000726FD" w:rsidRPr="001A3D2B" w:rsidRDefault="000726FD" w:rsidP="000726FD">
      <w:pPr>
        <w:pStyle w:val="12"/>
      </w:pPr>
      <w:r w:rsidRPr="001A3D2B">
        <w:t xml:space="preserve">ISSN: </w:t>
      </w:r>
    </w:p>
    <w:p w:rsidR="000726FD" w:rsidRPr="001A3D2B" w:rsidRDefault="000726FD" w:rsidP="000726FD">
      <w:pPr>
        <w:pStyle w:val="12"/>
      </w:pPr>
      <w:r w:rsidRPr="001A3D2B">
        <w:t xml:space="preserve">Issues/Year: </w:t>
      </w:r>
    </w:p>
    <w:p w:rsidR="000726FD" w:rsidRPr="001A3D2B" w:rsidRDefault="000726FD" w:rsidP="000726FD">
      <w:pPr>
        <w:pStyle w:val="12"/>
      </w:pPr>
      <w:r w:rsidRPr="001A3D2B">
        <w:t xml:space="preserve">Journal Country/Territory: </w:t>
      </w:r>
    </w:p>
    <w:p w:rsidR="000726FD" w:rsidRPr="001A3D2B" w:rsidRDefault="000726FD" w:rsidP="000726FD">
      <w:pPr>
        <w:pStyle w:val="12"/>
      </w:pPr>
      <w:r w:rsidRPr="001A3D2B">
        <w:t xml:space="preserve">Language: </w:t>
      </w:r>
    </w:p>
    <w:p w:rsidR="000726FD" w:rsidRPr="001A3D2B" w:rsidRDefault="000726FD" w:rsidP="000726FD">
      <w:pPr>
        <w:pStyle w:val="12"/>
      </w:pPr>
      <w:r w:rsidRPr="001A3D2B">
        <w:t xml:space="preserve">Publisher: </w:t>
      </w:r>
    </w:p>
    <w:p w:rsidR="000726FD" w:rsidRPr="001A3D2B" w:rsidRDefault="000726FD" w:rsidP="000726FD">
      <w:pPr>
        <w:pStyle w:val="12"/>
      </w:pPr>
      <w:r w:rsidRPr="001A3D2B">
        <w:t xml:space="preserve">Publisher Address: </w:t>
      </w:r>
    </w:p>
    <w:p w:rsidR="000726FD" w:rsidRPr="001A3D2B" w:rsidRDefault="000726FD" w:rsidP="000726FD">
      <w:pPr>
        <w:pStyle w:val="12"/>
      </w:pPr>
      <w:r w:rsidRPr="001A3D2B">
        <w:t>Subject Categories:</w:t>
      </w:r>
    </w:p>
    <w:p w:rsidR="000726FD" w:rsidRPr="001A3D2B" w:rsidRDefault="000726FD" w:rsidP="000726FD">
      <w:pPr>
        <w:pStyle w:val="12"/>
      </w:pPr>
      <w:r w:rsidRPr="001A3D2B">
        <w:t xml:space="preserve">: Impact Factor </w:t>
      </w:r>
    </w:p>
    <w:p w:rsidR="000726FD" w:rsidRDefault="000726FD" w:rsidP="000726FD">
      <w:pPr>
        <w:pStyle w:val="a3"/>
        <w:rPr>
          <w:kern w:val="0"/>
        </w:rPr>
      </w:pPr>
      <w:r>
        <w:rPr>
          <w:rFonts w:hint="eastAsia"/>
          <w:kern w:val="0"/>
        </w:rPr>
        <w:t xml:space="preserve">? </w:t>
      </w:r>
      <w:r>
        <w:rPr>
          <w:kern w:val="0"/>
        </w:rPr>
        <w:t xml:space="preserve">Bartek, J. (2010), In their own words: Interviews with </w:t>
      </w:r>
      <w:r w:rsidRPr="000726FD">
        <w:rPr>
          <w:i/>
          <w:kern w:val="0"/>
        </w:rPr>
        <w:t>Cell Cycle</w:t>
      </w:r>
      <w:r>
        <w:rPr>
          <w:kern w:val="0"/>
        </w:rPr>
        <w:t xml:space="preserve"> Dr. Jiri Bartek on his highly cited paper published in </w:t>
      </w:r>
      <w:r w:rsidRPr="000726FD">
        <w:rPr>
          <w:i/>
          <w:kern w:val="0"/>
        </w:rPr>
        <w:t>Cell Cycle</w:t>
      </w:r>
      <w:r>
        <w:rPr>
          <w:kern w:val="0"/>
        </w:rPr>
        <w:t xml:space="preserve">. </w:t>
      </w:r>
      <w:r>
        <w:rPr>
          <w:i/>
          <w:iCs/>
          <w:kern w:val="0"/>
        </w:rPr>
        <w:t>Cell Cycle</w:t>
      </w:r>
      <w:r>
        <w:rPr>
          <w:kern w:val="0"/>
        </w:rPr>
        <w:t xml:space="preserve">, </w:t>
      </w:r>
      <w:r>
        <w:rPr>
          <w:b/>
          <w:bCs/>
          <w:kern w:val="0"/>
        </w:rPr>
        <w:t>9</w:t>
      </w:r>
      <w:r>
        <w:rPr>
          <w:kern w:val="0"/>
        </w:rPr>
        <w:t xml:space="preserve"> (11), 2063-2064</w:t>
      </w:r>
    </w:p>
    <w:p w:rsidR="000726FD" w:rsidRPr="000726FD" w:rsidRDefault="000726FD" w:rsidP="000726FD">
      <w:pPr>
        <w:pStyle w:val="a3"/>
        <w:rPr>
          <w:b/>
          <w:kern w:val="0"/>
        </w:rPr>
      </w:pPr>
      <w:r>
        <w:rPr>
          <w:rFonts w:hint="eastAsia"/>
          <w:kern w:val="0"/>
        </w:rPr>
        <w:t xml:space="preserve">Full Text: </w:t>
      </w:r>
      <w:r w:rsidRPr="000726FD">
        <w:rPr>
          <w:iCs/>
          <w:kern w:val="0"/>
        </w:rPr>
        <w:t>Cell Cycle</w:t>
      </w:r>
      <w:r w:rsidRPr="000726FD">
        <w:rPr>
          <w:bCs/>
          <w:kern w:val="0"/>
        </w:rPr>
        <w:t>9</w:t>
      </w:r>
      <w:r w:rsidRPr="000726FD">
        <w:rPr>
          <w:kern w:val="0"/>
        </w:rPr>
        <w:t>, 2063</w:t>
      </w:r>
      <w:r w:rsidRPr="000726FD">
        <w:rPr>
          <w:rFonts w:hint="eastAsia"/>
          <w:kern w:val="0"/>
        </w:rPr>
        <w:t>.pdf</w:t>
      </w:r>
    </w:p>
    <w:p w:rsidR="000726FD" w:rsidRDefault="000726FD" w:rsidP="000726FD">
      <w:pPr>
        <w:pStyle w:val="a3"/>
        <w:rPr>
          <w:kern w:val="0"/>
        </w:rPr>
      </w:pPr>
      <w:r>
        <w:rPr>
          <w:kern w:val="0"/>
        </w:rPr>
        <w:t>Keywords: Anticancer Barrier, ATM, Cancer, Checkpoint, DNA-Damage Response, Oncogene-Induced Senescence, Tumorigenesis</w:t>
      </w:r>
    </w:p>
    <w:p w:rsidR="000726FD" w:rsidRDefault="000726FD" w:rsidP="000726FD">
      <w:pPr>
        <w:pStyle w:val="a3"/>
        <w:rPr>
          <w:kern w:val="0"/>
        </w:rPr>
      </w:pPr>
      <w:r>
        <w:rPr>
          <w:rFonts w:hint="eastAsia"/>
          <w:kern w:val="0"/>
        </w:rPr>
        <w:t xml:space="preserve">? </w:t>
      </w:r>
      <w:r>
        <w:rPr>
          <w:kern w:val="0"/>
        </w:rPr>
        <w:t xml:space="preserve">Slack, F. (2009), An interview with Dr. Frank Slack on his highly cited paper published in Cell Cycle let-7 microRNA reduces tumor growth. </w:t>
      </w:r>
      <w:r>
        <w:rPr>
          <w:i/>
          <w:iCs/>
          <w:kern w:val="0"/>
        </w:rPr>
        <w:t>Cell Cycle</w:t>
      </w:r>
      <w:r>
        <w:rPr>
          <w:kern w:val="0"/>
        </w:rPr>
        <w:t xml:space="preserve">, </w:t>
      </w:r>
      <w:r>
        <w:rPr>
          <w:b/>
          <w:bCs/>
          <w:kern w:val="0"/>
        </w:rPr>
        <w:t>8</w:t>
      </w:r>
      <w:r>
        <w:rPr>
          <w:kern w:val="0"/>
        </w:rPr>
        <w:t xml:space="preserve"> (12), 1823</w:t>
      </w:r>
      <w:r>
        <w:rPr>
          <w:rFonts w:hint="eastAsia"/>
          <w:kern w:val="0"/>
        </w:rPr>
        <w:t>.</w:t>
      </w:r>
    </w:p>
    <w:p w:rsidR="000726FD" w:rsidRDefault="000726FD" w:rsidP="000726FD">
      <w:pPr>
        <w:pStyle w:val="a3"/>
        <w:rPr>
          <w:kern w:val="0"/>
        </w:rPr>
      </w:pPr>
      <w:r>
        <w:rPr>
          <w:rFonts w:hint="eastAsia"/>
          <w:kern w:val="0"/>
        </w:rPr>
        <w:t xml:space="preserve">? </w:t>
      </w:r>
      <w:r>
        <w:rPr>
          <w:kern w:val="0"/>
        </w:rPr>
        <w:t xml:space="preserve">Viglietto, G. (2009), Giuseppe Viglietto on his highly cited paper. </w:t>
      </w:r>
      <w:r>
        <w:rPr>
          <w:i/>
          <w:iCs/>
          <w:kern w:val="0"/>
        </w:rPr>
        <w:t>Cell Cycle</w:t>
      </w:r>
      <w:r>
        <w:rPr>
          <w:kern w:val="0"/>
        </w:rPr>
        <w:t xml:space="preserve">, </w:t>
      </w:r>
      <w:r>
        <w:rPr>
          <w:b/>
          <w:bCs/>
          <w:kern w:val="0"/>
        </w:rPr>
        <w:t>8</w:t>
      </w:r>
      <w:r>
        <w:rPr>
          <w:kern w:val="0"/>
        </w:rPr>
        <w:t xml:space="preserve"> (18), 2869-2870</w:t>
      </w:r>
      <w:r>
        <w:rPr>
          <w:rFonts w:hint="eastAsia"/>
          <w:kern w:val="0"/>
        </w:rPr>
        <w:t>.</w:t>
      </w:r>
    </w:p>
    <w:p w:rsidR="003474F2" w:rsidRPr="001A3D2B" w:rsidRDefault="003474F2" w:rsidP="003474F2">
      <w:pPr>
        <w:pStyle w:val="1"/>
      </w:pPr>
      <w:r w:rsidRPr="001A3D2B">
        <w:br w:type="page"/>
      </w:r>
      <w:bookmarkStart w:id="118" w:name="_Toc420814926"/>
      <w:r w:rsidRPr="001A3D2B">
        <w:lastRenderedPageBreak/>
        <w:t xml:space="preserve">Title: </w:t>
      </w:r>
      <w:r w:rsidRPr="001A3D2B">
        <w:rPr>
          <w:iCs w:val="0"/>
          <w:szCs w:val="24"/>
        </w:rPr>
        <w:t>Cell Death</w:t>
      </w:r>
      <w:r w:rsidR="005853A9">
        <w:rPr>
          <w:iCs w:val="0"/>
          <w:szCs w:val="24"/>
        </w:rPr>
        <w:t xml:space="preserve"> and </w:t>
      </w:r>
      <w:r w:rsidRPr="001A3D2B">
        <w:rPr>
          <w:iCs w:val="0"/>
          <w:szCs w:val="24"/>
        </w:rPr>
        <w:t>Differentiation</w:t>
      </w:r>
      <w:bookmarkEnd w:id="118"/>
    </w:p>
    <w:p w:rsidR="003474F2" w:rsidRPr="001A3D2B" w:rsidRDefault="003474F2" w:rsidP="003474F2">
      <w:pPr>
        <w:pStyle w:val="12"/>
      </w:pPr>
      <w:r w:rsidRPr="001A3D2B">
        <w:t>Full Journal Title: Cell Death</w:t>
      </w:r>
      <w:r w:rsidR="005853A9">
        <w:t xml:space="preserve"> and </w:t>
      </w:r>
      <w:r w:rsidRPr="001A3D2B">
        <w:t>Differentiation</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Garfield, E.</w:t>
      </w:r>
      <w:r w:rsidR="005853A9">
        <w:t xml:space="preserve"> and </w:t>
      </w:r>
      <w:r w:rsidRPr="001A3D2B">
        <w:t>Melino, G. (1997</w:t>
      </w:r>
      <w:r w:rsidR="00F42EAC">
        <w:t>), The</w:t>
      </w:r>
      <w:r w:rsidR="003A1917">
        <w:t xml:space="preserve"> </w:t>
      </w:r>
      <w:r w:rsidRPr="001A3D2B">
        <w:t>growth</w:t>
      </w:r>
      <w:r w:rsidR="00427468">
        <w:t xml:space="preserve"> of </w:t>
      </w:r>
      <w:r w:rsidR="003A1917">
        <w:t xml:space="preserve">the </w:t>
      </w:r>
      <w:r w:rsidRPr="001A3D2B">
        <w:t>cell death field: An analysis from</w:t>
      </w:r>
      <w:r w:rsidR="003A1917">
        <w:t xml:space="preserve"> the </w:t>
      </w:r>
      <w:r w:rsidRPr="001A3D2B">
        <w:t xml:space="preserve">ISI Science citation index. </w:t>
      </w:r>
      <w:r w:rsidRPr="001A3D2B">
        <w:rPr>
          <w:i/>
          <w:iCs/>
        </w:rPr>
        <w:t>Cell Death</w:t>
      </w:r>
      <w:r w:rsidR="005853A9">
        <w:rPr>
          <w:i/>
          <w:iCs/>
        </w:rPr>
        <w:t xml:space="preserve"> and </w:t>
      </w:r>
      <w:r w:rsidRPr="001A3D2B">
        <w:rPr>
          <w:i/>
          <w:iCs/>
        </w:rPr>
        <w:t>Differentiation</w:t>
      </w:r>
      <w:r w:rsidRPr="001A3D2B">
        <w:t xml:space="preserve">, </w:t>
      </w:r>
      <w:r w:rsidRPr="001A3D2B">
        <w:rPr>
          <w:b/>
          <w:bCs/>
        </w:rPr>
        <w:t>4</w:t>
      </w:r>
      <w:r w:rsidRPr="001A3D2B">
        <w:t xml:space="preserve"> (5), 352-361.</w:t>
      </w:r>
    </w:p>
    <w:p w:rsidR="003474F2" w:rsidRPr="001A3D2B" w:rsidRDefault="003474F2" w:rsidP="003474F2">
      <w:pPr>
        <w:pStyle w:val="a3"/>
      </w:pPr>
      <w:r w:rsidRPr="001A3D2B">
        <w:t xml:space="preserve">Full Text: </w:t>
      </w:r>
      <w:hyperlink r:id="rId153" w:history="1">
        <w:r w:rsidRPr="001A3D2B">
          <w:rPr>
            <w:rStyle w:val="a5"/>
            <w:szCs w:val="24"/>
          </w:rPr>
          <w:t>1997\Cel Dea Dif4, 352.pdf</w:t>
        </w:r>
      </w:hyperlink>
    </w:p>
    <w:p w:rsidR="003474F2" w:rsidRPr="001A3D2B" w:rsidRDefault="003474F2" w:rsidP="003474F2">
      <w:pPr>
        <w:pStyle w:val="a3"/>
      </w:pPr>
      <w:r w:rsidRPr="001A3D2B">
        <w:t>Keywords: Activation, AIDS, Analysis, Antigen, Apoptosis, Caenorhabditis-Elegans, Citation, Death, Endonuclease, Field, Growth, Index, Induction</w:t>
      </w:r>
      <w:r w:rsidR="00D5664A">
        <w:t>, ISI,</w:t>
      </w:r>
      <w:r w:rsidRPr="001A3D2B">
        <w:t xml:space="preserve"> Lineages, Nematode, Thymocytes</w:t>
      </w:r>
    </w:p>
    <w:p w:rsidR="003474F2" w:rsidRPr="001A3D2B" w:rsidRDefault="003474F2" w:rsidP="003474F2">
      <w:pPr>
        <w:pStyle w:val="a3"/>
      </w:pPr>
      <w:r w:rsidRPr="001A3D2B">
        <w:t>? Garfield, E.</w:t>
      </w:r>
      <w:r w:rsidR="005853A9">
        <w:t xml:space="preserve"> and </w:t>
      </w:r>
      <w:r w:rsidRPr="001A3D2B">
        <w:t>Melino, G. (1998</w:t>
      </w:r>
      <w:r w:rsidR="00F42EAC">
        <w:t>), The</w:t>
      </w:r>
      <w:r w:rsidR="003A1917">
        <w:t xml:space="preserve"> </w:t>
      </w:r>
      <w:r w:rsidRPr="001A3D2B">
        <w:t>growth</w:t>
      </w:r>
      <w:r w:rsidR="00427468">
        <w:t xml:space="preserve"> of </w:t>
      </w:r>
      <w:r w:rsidR="003A1917">
        <w:t xml:space="preserve">the </w:t>
      </w:r>
      <w:r w:rsidRPr="001A3D2B">
        <w:t>cell death field: an analysis from</w:t>
      </w:r>
      <w:r w:rsidR="003A1917">
        <w:t xml:space="preserve"> the </w:t>
      </w:r>
      <w:r w:rsidRPr="001A3D2B">
        <w:t xml:space="preserve">ISI Science Citation Index (vol 4, pg 352, 1997). </w:t>
      </w:r>
      <w:r w:rsidRPr="001A3D2B">
        <w:rPr>
          <w:i/>
          <w:iCs/>
        </w:rPr>
        <w:t>Cell Death</w:t>
      </w:r>
      <w:r w:rsidR="005853A9">
        <w:rPr>
          <w:i/>
          <w:iCs/>
        </w:rPr>
        <w:t xml:space="preserve"> and </w:t>
      </w:r>
      <w:r w:rsidRPr="001A3D2B">
        <w:rPr>
          <w:i/>
          <w:iCs/>
        </w:rPr>
        <w:t>Differentiation</w:t>
      </w:r>
      <w:r w:rsidRPr="001A3D2B">
        <w:t xml:space="preserve">, </w:t>
      </w:r>
      <w:r w:rsidRPr="001A3D2B">
        <w:rPr>
          <w:b/>
          <w:bCs/>
        </w:rPr>
        <w:t>5</w:t>
      </w:r>
      <w:r w:rsidRPr="001A3D2B">
        <w:t xml:space="preserve"> (1), 127.</w:t>
      </w:r>
    </w:p>
    <w:p w:rsidR="003474F2" w:rsidRPr="001A3D2B" w:rsidRDefault="003474F2" w:rsidP="003474F2">
      <w:pPr>
        <w:pStyle w:val="a3"/>
      </w:pPr>
      <w:r w:rsidRPr="001A3D2B">
        <w:t xml:space="preserve">Full Text: </w:t>
      </w:r>
      <w:hyperlink r:id="rId154" w:history="1">
        <w:r w:rsidRPr="001A3D2B">
          <w:rPr>
            <w:rStyle w:val="a5"/>
            <w:szCs w:val="24"/>
          </w:rPr>
          <w:t>1998\Cel Dea Dif5, 127.pdf</w:t>
        </w:r>
      </w:hyperlink>
    </w:p>
    <w:p w:rsidR="003474F2" w:rsidRPr="001A3D2B" w:rsidRDefault="003474F2" w:rsidP="003474F2">
      <w:pPr>
        <w:pStyle w:val="a3"/>
      </w:pPr>
      <w:r w:rsidRPr="001A3D2B">
        <w:t>Keywords: Analysis, Citation, Death, Field, Growth</w:t>
      </w:r>
      <w:r w:rsidR="00D5664A">
        <w:t>, ISI,</w:t>
      </w:r>
      <w:r w:rsidRPr="001A3D2B">
        <w:t xml:space="preserve"> Science Citation Index</w:t>
      </w:r>
    </w:p>
    <w:p w:rsidR="00FA3760" w:rsidRPr="001A3D2B" w:rsidRDefault="00FA3760" w:rsidP="00FA3760">
      <w:pPr>
        <w:pStyle w:val="1"/>
      </w:pPr>
      <w:r w:rsidRPr="001A3D2B">
        <w:br w:type="page"/>
      </w:r>
      <w:bookmarkStart w:id="119" w:name="_Toc420814927"/>
      <w:r w:rsidRPr="001A3D2B">
        <w:lastRenderedPageBreak/>
        <w:t xml:space="preserve">Title: </w:t>
      </w:r>
      <w:r>
        <w:t>Cell Journal</w:t>
      </w:r>
      <w:bookmarkEnd w:id="119"/>
    </w:p>
    <w:p w:rsidR="00FC30FC" w:rsidRPr="001A3D2B" w:rsidRDefault="00FC30FC" w:rsidP="00FC30FC">
      <w:pPr>
        <w:pStyle w:val="12"/>
      </w:pPr>
      <w:r w:rsidRPr="001A3D2B">
        <w:t xml:space="preserve">Full Journal Title: </w:t>
      </w:r>
      <w:hyperlink r:id="rId155" w:history="1">
        <w:r w:rsidRPr="00E754AA">
          <w:rPr>
            <w:rStyle w:val="a5"/>
          </w:rPr>
          <w:t>Cell Journal</w:t>
        </w:r>
      </w:hyperlink>
    </w:p>
    <w:p w:rsidR="00FA3760" w:rsidRPr="001A3D2B" w:rsidRDefault="00FA3760" w:rsidP="00FA3760">
      <w:pPr>
        <w:pStyle w:val="12"/>
      </w:pPr>
      <w:r w:rsidRPr="001A3D2B">
        <w:t xml:space="preserve">ISO Abbreviated Title: </w:t>
      </w:r>
    </w:p>
    <w:p w:rsidR="00FA3760" w:rsidRPr="001A3D2B" w:rsidRDefault="00FA3760" w:rsidP="00FA3760">
      <w:pPr>
        <w:pStyle w:val="12"/>
      </w:pPr>
      <w:r w:rsidRPr="001A3D2B">
        <w:t xml:space="preserve">JCR Abbreviated Title: </w:t>
      </w:r>
    </w:p>
    <w:p w:rsidR="00FA3760" w:rsidRPr="001A3D2B" w:rsidRDefault="00FA3760" w:rsidP="00FA3760">
      <w:pPr>
        <w:pStyle w:val="12"/>
      </w:pPr>
      <w:r w:rsidRPr="001A3D2B">
        <w:t xml:space="preserve">ISSN: </w:t>
      </w:r>
    </w:p>
    <w:p w:rsidR="00FA3760" w:rsidRPr="001A3D2B" w:rsidRDefault="00FA3760" w:rsidP="00FA3760">
      <w:pPr>
        <w:pStyle w:val="12"/>
      </w:pPr>
      <w:r w:rsidRPr="001A3D2B">
        <w:t xml:space="preserve">Issues/Year: </w:t>
      </w:r>
    </w:p>
    <w:p w:rsidR="00FA3760" w:rsidRPr="001A3D2B" w:rsidRDefault="00FA3760" w:rsidP="00FA3760">
      <w:pPr>
        <w:pStyle w:val="12"/>
      </w:pPr>
      <w:r w:rsidRPr="001A3D2B">
        <w:t xml:space="preserve">Journal Country/Territory: </w:t>
      </w:r>
    </w:p>
    <w:p w:rsidR="00FA3760" w:rsidRPr="001A3D2B" w:rsidRDefault="00FA3760" w:rsidP="00FA3760">
      <w:pPr>
        <w:pStyle w:val="12"/>
      </w:pPr>
      <w:r w:rsidRPr="001A3D2B">
        <w:t xml:space="preserve">Language: </w:t>
      </w:r>
    </w:p>
    <w:p w:rsidR="00FA3760" w:rsidRPr="001A3D2B" w:rsidRDefault="00FA3760" w:rsidP="00FA3760">
      <w:pPr>
        <w:pStyle w:val="12"/>
      </w:pPr>
      <w:r w:rsidRPr="001A3D2B">
        <w:t xml:space="preserve">Publisher: </w:t>
      </w:r>
    </w:p>
    <w:p w:rsidR="00FA3760" w:rsidRPr="001A3D2B" w:rsidRDefault="00FA3760" w:rsidP="00FA3760">
      <w:pPr>
        <w:pStyle w:val="12"/>
      </w:pPr>
      <w:r w:rsidRPr="001A3D2B">
        <w:t xml:space="preserve">Publisher Address: </w:t>
      </w:r>
    </w:p>
    <w:p w:rsidR="00FA3760" w:rsidRPr="001A3D2B" w:rsidRDefault="00FA3760" w:rsidP="00FA3760">
      <w:pPr>
        <w:pStyle w:val="12"/>
      </w:pPr>
      <w:r w:rsidRPr="001A3D2B">
        <w:t>Subject Categories:</w:t>
      </w:r>
    </w:p>
    <w:p w:rsidR="00FA3760" w:rsidRPr="001A3D2B" w:rsidRDefault="00FA3760" w:rsidP="00FA3760">
      <w:pPr>
        <w:pStyle w:val="12"/>
      </w:pPr>
      <w:r w:rsidRPr="001A3D2B">
        <w:t xml:space="preserve">: Impact Factor </w:t>
      </w:r>
    </w:p>
    <w:p w:rsidR="00FA3760" w:rsidRDefault="00121D67" w:rsidP="00FA3760">
      <w:pPr>
        <w:pStyle w:val="a3"/>
      </w:pPr>
      <w:r>
        <w:rPr>
          <w:rFonts w:hint="eastAsia"/>
        </w:rPr>
        <w:t>? Lin</w:t>
      </w:r>
      <w:r w:rsidR="00FA3760" w:rsidRPr="00C73C58">
        <w:t xml:space="preserve">, </w:t>
      </w:r>
      <w:r>
        <w:rPr>
          <w:rFonts w:hint="eastAsia"/>
        </w:rPr>
        <w:t>C.L</w:t>
      </w:r>
      <w:r w:rsidR="00FA3760" w:rsidRPr="00C73C58">
        <w:t>.</w:t>
      </w:r>
      <w:r w:rsidR="00FA3760">
        <w:t xml:space="preserve"> and </w:t>
      </w:r>
      <w:r>
        <w:rPr>
          <w:rFonts w:hint="eastAsia"/>
        </w:rPr>
        <w:t>Ho</w:t>
      </w:r>
      <w:r w:rsidR="00FA3760" w:rsidRPr="00C73C58">
        <w:t xml:space="preserve">, </w:t>
      </w:r>
      <w:r>
        <w:rPr>
          <w:rFonts w:hint="eastAsia"/>
        </w:rPr>
        <w:t>Y</w:t>
      </w:r>
      <w:r w:rsidR="00FA3760" w:rsidRPr="00C73C58">
        <w:t>.</w:t>
      </w:r>
      <w:r>
        <w:rPr>
          <w:rFonts w:hint="eastAsia"/>
        </w:rPr>
        <w:t>S.</w:t>
      </w:r>
      <w:r w:rsidR="00FA3760" w:rsidRPr="00C73C58">
        <w:t xml:space="preserve"> (</w:t>
      </w:r>
      <w:r>
        <w:rPr>
          <w:rFonts w:hint="eastAsia"/>
        </w:rPr>
        <w:t>2015</w:t>
      </w:r>
      <w:r w:rsidR="00FA3760" w:rsidRPr="00C73C58">
        <w:t xml:space="preserve">), </w:t>
      </w:r>
      <w:bookmarkStart w:id="120" w:name="_Toc150941593"/>
      <w:r w:rsidR="00FA3760">
        <w:t>A bibliometric analysis of publications on pluripotent stem cell research</w:t>
      </w:r>
      <w:bookmarkEnd w:id="120"/>
      <w:r w:rsidR="00FA3760" w:rsidRPr="00C73C58">
        <w:t xml:space="preserve">. </w:t>
      </w:r>
      <w:r w:rsidR="00FA3760" w:rsidRPr="00FA3760">
        <w:rPr>
          <w:i/>
        </w:rPr>
        <w:t>Cell Journal</w:t>
      </w:r>
      <w:r w:rsidR="00FA3760" w:rsidRPr="00C73C58">
        <w:t xml:space="preserve">, </w:t>
      </w:r>
      <w:r>
        <w:rPr>
          <w:rFonts w:hint="eastAsia"/>
          <w:b/>
        </w:rPr>
        <w:t>17</w:t>
      </w:r>
      <w:r w:rsidR="00FA3760" w:rsidRPr="00C73C58">
        <w:t xml:space="preserve"> (</w:t>
      </w:r>
      <w:r>
        <w:rPr>
          <w:rFonts w:hint="eastAsia"/>
        </w:rPr>
        <w:t>1</w:t>
      </w:r>
      <w:r w:rsidR="00FA3760" w:rsidRPr="00C73C58">
        <w:t xml:space="preserve">), </w:t>
      </w:r>
      <w:r w:rsidR="00B434B1">
        <w:rPr>
          <w:rFonts w:hint="eastAsia"/>
        </w:rPr>
        <w:t>5</w:t>
      </w:r>
      <w:r w:rsidR="00F0502D">
        <w:rPr>
          <w:rFonts w:hint="eastAsia"/>
        </w:rPr>
        <w:t>9-</w:t>
      </w:r>
      <w:r w:rsidR="00B434B1">
        <w:rPr>
          <w:rFonts w:hint="eastAsia"/>
        </w:rPr>
        <w:t>7</w:t>
      </w:r>
      <w:r w:rsidR="00F0502D">
        <w:rPr>
          <w:rFonts w:hint="eastAsia"/>
        </w:rPr>
        <w:t>0</w:t>
      </w:r>
      <w:r w:rsidR="00FA3760" w:rsidRPr="00C73C58">
        <w:t>.</w:t>
      </w:r>
    </w:p>
    <w:p w:rsidR="00121D67" w:rsidRDefault="00121D67" w:rsidP="00FA3760">
      <w:pPr>
        <w:pStyle w:val="a3"/>
      </w:pPr>
      <w:r>
        <w:rPr>
          <w:rFonts w:hint="eastAsia"/>
        </w:rPr>
        <w:t>Full Text:</w:t>
      </w:r>
      <w:r w:rsidR="00B434B1">
        <w:rPr>
          <w:rFonts w:hint="eastAsia"/>
        </w:rPr>
        <w:t xml:space="preserve"> </w:t>
      </w:r>
      <w:hyperlink r:id="rId156" w:history="1">
        <w:r w:rsidR="00B434B1" w:rsidRPr="00B434B1">
          <w:rPr>
            <w:rStyle w:val="a5"/>
          </w:rPr>
          <w:t>2015\Cel J17, 59.pdf</w:t>
        </w:r>
      </w:hyperlink>
      <w:r w:rsidR="00B434B1">
        <w:rPr>
          <w:rFonts w:hint="eastAsia"/>
        </w:rPr>
        <w:t>;</w:t>
      </w:r>
      <w:r w:rsidR="00B434B1" w:rsidRPr="00B434B1">
        <w:t xml:space="preserve"> </w:t>
      </w:r>
      <w:hyperlink r:id="rId157" w:history="1">
        <w:r w:rsidR="00B434B1" w:rsidRPr="00F0502D">
          <w:rPr>
            <w:rStyle w:val="a5"/>
          </w:rPr>
          <w:t>2015\Cel J17-Lin.pdf</w:t>
        </w:r>
      </w:hyperlink>
      <w:r w:rsidR="00B434B1">
        <w:rPr>
          <w:rFonts w:hint="eastAsia"/>
        </w:rPr>
        <w:t>;</w:t>
      </w:r>
      <w:r w:rsidR="00DE0C98">
        <w:rPr>
          <w:rFonts w:hint="eastAsia"/>
        </w:rPr>
        <w:t xml:space="preserve"> </w:t>
      </w:r>
      <w:hyperlink r:id="rId158" w:history="1">
        <w:r w:rsidR="00DE0C98" w:rsidRPr="00DE0C98">
          <w:rPr>
            <w:rStyle w:val="a5"/>
          </w:rPr>
          <w:t>2015\Cel J17-Lin</w:t>
        </w:r>
        <w:r w:rsidR="00DE0C98" w:rsidRPr="00DE0C98">
          <w:rPr>
            <w:rStyle w:val="a5"/>
            <w:rFonts w:hint="eastAsia"/>
          </w:rPr>
          <w:t>1</w:t>
        </w:r>
        <w:r w:rsidR="00DE0C98" w:rsidRPr="00DE0C98">
          <w:rPr>
            <w:rStyle w:val="a5"/>
          </w:rPr>
          <w:t>.pdf</w:t>
        </w:r>
      </w:hyperlink>
    </w:p>
    <w:p w:rsidR="00121D67" w:rsidRPr="00121D67" w:rsidRDefault="00121D67" w:rsidP="00121D67">
      <w:pPr>
        <w:pStyle w:val="a3"/>
      </w:pPr>
      <w:r w:rsidRPr="00121D67">
        <w:rPr>
          <w:rFonts w:hint="eastAsia"/>
        </w:rPr>
        <w:t xml:space="preserve">Abstract: </w:t>
      </w:r>
      <w:r w:rsidRPr="00121D67">
        <w:t xml:space="preserve">Objective: Human pluripotent stem cells are self renewing cells with the ability to differentiate into a variety of cells and are viewed as a great potential for the field of regenerative medicine. Research in pluripotent stem cells holds great promise for patient specific therapy in various diseases. In this </w:t>
      </w:r>
      <w:r w:rsidRPr="00121D67">
        <w:rPr>
          <w:rFonts w:eastAsiaTheme="minorEastAsia" w:hint="eastAsia"/>
        </w:rPr>
        <w:t>study</w:t>
      </w:r>
      <w:r w:rsidRPr="00121D67">
        <w:t xml:space="preserve">, pluripotent stem cell articles published from </w:t>
      </w:r>
      <w:r w:rsidRPr="00121D67">
        <w:rPr>
          <w:rFonts w:eastAsiaTheme="minorEastAsia" w:hint="eastAsia"/>
        </w:rPr>
        <w:t>1991</w:t>
      </w:r>
      <w:r w:rsidRPr="00121D67">
        <w:t xml:space="preserve"> to 201</w:t>
      </w:r>
      <w:r w:rsidRPr="00121D67">
        <w:rPr>
          <w:rFonts w:eastAsiaTheme="minorEastAsia" w:hint="eastAsia"/>
        </w:rPr>
        <w:t>2</w:t>
      </w:r>
      <w:r w:rsidRPr="00121D67">
        <w:t xml:space="preserve"> were screened and retrieved from Science Citation Index Expanded (SCI-Expanded).</w:t>
      </w:r>
    </w:p>
    <w:p w:rsidR="00121D67" w:rsidRPr="00121D67" w:rsidRDefault="00121D67" w:rsidP="00121D67">
      <w:pPr>
        <w:pStyle w:val="a3"/>
        <w:rPr>
          <w:rFonts w:eastAsiaTheme="minorEastAsia"/>
        </w:rPr>
      </w:pPr>
      <w:r w:rsidRPr="00121D67">
        <w:t xml:space="preserve">Materials &amp; Methods: The </w:t>
      </w:r>
      <w:r w:rsidRPr="00121D67">
        <w:rPr>
          <w:rFonts w:eastAsiaTheme="minorEastAsia" w:hint="eastAsia"/>
        </w:rPr>
        <w:t>publication trend,</w:t>
      </w:r>
      <w:r w:rsidRPr="00121D67">
        <w:t xml:space="preserve"> citation trends for top </w:t>
      </w:r>
      <w:r w:rsidRPr="00121D67">
        <w:rPr>
          <w:rFonts w:eastAsiaTheme="minorEastAsia" w:hint="eastAsia"/>
        </w:rPr>
        <w:t>article</w:t>
      </w:r>
      <w:r w:rsidRPr="00121D67">
        <w:t>s</w:t>
      </w:r>
      <w:r w:rsidRPr="00121D67">
        <w:rPr>
          <w:rFonts w:eastAsiaTheme="minorEastAsia" w:hint="eastAsia"/>
        </w:rPr>
        <w:t xml:space="preserve">, </w:t>
      </w:r>
      <w:r w:rsidRPr="00121D67">
        <w:rPr>
          <w:rFonts w:eastAsiaTheme="minorEastAsia"/>
        </w:rPr>
        <w:t xml:space="preserve">distributions </w:t>
      </w:r>
      <w:r w:rsidRPr="00121D67">
        <w:rPr>
          <w:rFonts w:eastAsiaTheme="minorEastAsia" w:hint="eastAsia"/>
        </w:rPr>
        <w:t xml:space="preserve">of journals and Web of Science categories were </w:t>
      </w:r>
      <w:r w:rsidRPr="00121D67">
        <w:rPr>
          <w:rFonts w:eastAsiaTheme="minorEastAsia"/>
        </w:rPr>
        <w:t>analyzed</w:t>
      </w:r>
      <w:r w:rsidRPr="00121D67">
        <w:rPr>
          <w:rFonts w:eastAsiaTheme="minorEastAsia" w:hint="eastAsia"/>
        </w:rPr>
        <w:t xml:space="preserve">. Five bibliometric indicators such as total articles, independent articles, </w:t>
      </w:r>
      <w:r w:rsidRPr="00121D67">
        <w:rPr>
          <w:rFonts w:eastAsiaTheme="minorEastAsia"/>
        </w:rPr>
        <w:t>collaborative</w:t>
      </w:r>
      <w:r w:rsidRPr="00121D67">
        <w:rPr>
          <w:rFonts w:eastAsiaTheme="minorEastAsia" w:hint="eastAsia"/>
        </w:rPr>
        <w:t xml:space="preserve"> articles, first author articles, and corresponding author articles were applied to compare publications of </w:t>
      </w:r>
      <w:r w:rsidRPr="00121D67">
        <w:t>countries</w:t>
      </w:r>
      <w:r w:rsidRPr="00121D67">
        <w:rPr>
          <w:rFonts w:eastAsiaTheme="minorEastAsia" w:hint="eastAsia"/>
        </w:rPr>
        <w:t xml:space="preserve"> and</w:t>
      </w:r>
      <w:r w:rsidRPr="00121D67">
        <w:t xml:space="preserve"> institutions.</w:t>
      </w:r>
    </w:p>
    <w:p w:rsidR="00121D67" w:rsidRPr="00121D67" w:rsidRDefault="00121D67" w:rsidP="00121D67">
      <w:pPr>
        <w:pStyle w:val="a3"/>
        <w:rPr>
          <w:rFonts w:eastAsiaTheme="minorEastAsia"/>
        </w:rPr>
      </w:pPr>
      <w:r w:rsidRPr="00121D67">
        <w:t>Result: Results showed that</w:t>
      </w:r>
      <w:r w:rsidRPr="00121D67">
        <w:rPr>
          <w:rFonts w:eastAsiaTheme="minorEastAsia" w:hint="eastAsia"/>
        </w:rPr>
        <w:t xml:space="preserve"> </w:t>
      </w:r>
      <w:r w:rsidRPr="00121D67">
        <w:rPr>
          <w:rFonts w:eastAsiaTheme="minorEastAsia"/>
        </w:rPr>
        <w:t xml:space="preserve">impact of </w:t>
      </w:r>
      <w:r w:rsidRPr="00121D67">
        <w:rPr>
          <w:rFonts w:eastAsiaTheme="minorEastAsia" w:hint="eastAsia"/>
        </w:rPr>
        <w:t>top</w:t>
      </w:r>
      <w:r w:rsidRPr="00121D67">
        <w:rPr>
          <w:rFonts w:eastAsiaTheme="minorEastAsia"/>
        </w:rPr>
        <w:t xml:space="preserve"> articles changed from year to year.</w:t>
      </w:r>
      <w:r w:rsidRPr="00121D67">
        <w:rPr>
          <w:rFonts w:eastAsiaTheme="minorEastAsia" w:hint="eastAsia"/>
        </w:rPr>
        <w:t xml:space="preserve"> Top cited articles in </w:t>
      </w:r>
      <w:r w:rsidRPr="00121D67">
        <w:rPr>
          <w:rFonts w:eastAsiaTheme="minorEastAsia"/>
        </w:rPr>
        <w:t xml:space="preserve">previous </w:t>
      </w:r>
      <w:r w:rsidRPr="00121D67">
        <w:rPr>
          <w:rFonts w:eastAsiaTheme="minorEastAsia" w:hint="eastAsia"/>
        </w:rPr>
        <w:t>publication year</w:t>
      </w:r>
      <w:r w:rsidRPr="00121D67">
        <w:rPr>
          <w:rFonts w:eastAsiaTheme="minorEastAsia"/>
        </w:rPr>
        <w:t>s</w:t>
      </w:r>
      <w:r w:rsidRPr="00121D67">
        <w:rPr>
          <w:rFonts w:eastAsiaTheme="minorEastAsia" w:hint="eastAsia"/>
        </w:rPr>
        <w:t xml:space="preserve"> were not the same </w:t>
      </w:r>
      <w:r w:rsidRPr="00121D67">
        <w:rPr>
          <w:rFonts w:eastAsiaTheme="minorEastAsia"/>
        </w:rPr>
        <w:t>as</w:t>
      </w:r>
      <w:r w:rsidRPr="00121D67">
        <w:rPr>
          <w:rFonts w:eastAsiaTheme="minorEastAsia" w:hint="eastAsia"/>
        </w:rPr>
        <w:t xml:space="preserve"> recent year</w:t>
      </w:r>
      <w:r w:rsidRPr="00121D67">
        <w:rPr>
          <w:rFonts w:eastAsiaTheme="minorEastAsia"/>
        </w:rPr>
        <w:t>s</w:t>
      </w:r>
      <w:r w:rsidRPr="00121D67">
        <w:rPr>
          <w:rFonts w:eastAsiaTheme="minorEastAsia" w:hint="eastAsia"/>
        </w:rPr>
        <w:t xml:space="preserve">. </w:t>
      </w:r>
      <w:r w:rsidRPr="00121D67">
        <w:rPr>
          <w:rFonts w:eastAsiaTheme="minorEastAsia"/>
        </w:rPr>
        <w:t>“Induced pluripotent stem cell</w:t>
      </w:r>
      <w:r w:rsidRPr="00121D67">
        <w:rPr>
          <w:rFonts w:eastAsiaTheme="minorEastAsia" w:hint="eastAsia"/>
        </w:rPr>
        <w:t>(s)</w:t>
      </w:r>
      <w:r w:rsidRPr="00121D67">
        <w:rPr>
          <w:rFonts w:eastAsiaTheme="minorEastAsia"/>
        </w:rPr>
        <w:t>”</w:t>
      </w:r>
      <w:r w:rsidRPr="00121D67">
        <w:rPr>
          <w:rFonts w:eastAsiaTheme="minorEastAsia" w:hint="eastAsia"/>
        </w:rPr>
        <w:t xml:space="preserve"> and </w:t>
      </w:r>
      <w:r w:rsidRPr="00121D67">
        <w:rPr>
          <w:rFonts w:eastAsiaTheme="minorEastAsia"/>
        </w:rPr>
        <w:t>“embryonic stem cell</w:t>
      </w:r>
      <w:r w:rsidRPr="00121D67">
        <w:rPr>
          <w:rFonts w:eastAsiaTheme="minorEastAsia" w:hint="eastAsia"/>
        </w:rPr>
        <w:t>(s)</w:t>
      </w:r>
      <w:r w:rsidRPr="00121D67">
        <w:rPr>
          <w:rFonts w:eastAsiaTheme="minorEastAsia"/>
        </w:rPr>
        <w:t>”</w:t>
      </w:r>
      <w:r w:rsidRPr="00121D67">
        <w:rPr>
          <w:rFonts w:eastAsiaTheme="minorEastAsia" w:hint="eastAsia"/>
        </w:rPr>
        <w:t xml:space="preserve"> were the most used author keywords in </w:t>
      </w:r>
      <w:r w:rsidRPr="00121D67">
        <w:t>pluripotent stem cell research</w:t>
      </w:r>
      <w:r w:rsidRPr="00121D67">
        <w:rPr>
          <w:rFonts w:eastAsiaTheme="minorEastAsia" w:hint="eastAsia"/>
        </w:rPr>
        <w:t xml:space="preserve">. In addition, the winner of </w:t>
      </w:r>
      <w:r w:rsidRPr="00121D67">
        <w:t>the Nobel Prize in physiology or medicine in 201</w:t>
      </w:r>
      <w:r w:rsidRPr="00121D67">
        <w:rPr>
          <w:rFonts w:eastAsiaTheme="minorEastAsia"/>
        </w:rPr>
        <w:t>2</w:t>
      </w:r>
      <w:r w:rsidRPr="00121D67">
        <w:rPr>
          <w:rFonts w:eastAsiaTheme="minorEastAsia" w:hint="eastAsia"/>
        </w:rPr>
        <w:t xml:space="preserve">, </w:t>
      </w:r>
      <w:r w:rsidRPr="00121D67">
        <w:t>Prof. Shinya Yamanaka</w:t>
      </w:r>
      <w:r w:rsidRPr="00121D67">
        <w:rPr>
          <w:rFonts w:eastAsiaTheme="minorEastAsia" w:hint="eastAsia"/>
        </w:rPr>
        <w:t>,</w:t>
      </w:r>
      <w:r w:rsidRPr="00121D67">
        <w:rPr>
          <w:rFonts w:eastAsiaTheme="minorEastAsia"/>
        </w:rPr>
        <w:t xml:space="preserve"> </w:t>
      </w:r>
      <w:r w:rsidRPr="00121D67">
        <w:rPr>
          <w:rFonts w:eastAsiaTheme="minorEastAsia" w:hint="eastAsia"/>
        </w:rPr>
        <w:t>published four of top ten most frequently cited articles.</w:t>
      </w:r>
    </w:p>
    <w:p w:rsidR="00121D67" w:rsidRPr="00121D67" w:rsidRDefault="00121D67" w:rsidP="00121D67">
      <w:pPr>
        <w:pStyle w:val="a3"/>
        <w:rPr>
          <w:rFonts w:eastAsiaTheme="minorEastAsia"/>
        </w:rPr>
      </w:pPr>
      <w:r w:rsidRPr="00121D67">
        <w:t>Conclusion: The comprehensive analysis of highly cited articles in stem cell field could figure out the milestones and important contributors, giving a historic perspective on the scientific progress.</w:t>
      </w:r>
    </w:p>
    <w:p w:rsidR="00121D67" w:rsidRPr="00121D67" w:rsidRDefault="00121D67" w:rsidP="00121D67">
      <w:pPr>
        <w:pStyle w:val="a3"/>
      </w:pPr>
      <w:r w:rsidRPr="00121D67">
        <w:t xml:space="preserve">Keywords: </w:t>
      </w:r>
      <w:r w:rsidRPr="00121D67">
        <w:rPr>
          <w:rFonts w:eastAsiaTheme="minorEastAsia" w:hint="eastAsia"/>
        </w:rPr>
        <w:t>Scientometrics</w:t>
      </w:r>
      <w:r w:rsidRPr="00121D67">
        <w:t>, Web of Science, Pluripotent Stem Cell</w:t>
      </w:r>
      <w:r w:rsidRPr="00121D67">
        <w:rPr>
          <w:rFonts w:eastAsiaTheme="minorEastAsia" w:hint="eastAsia"/>
        </w:rPr>
        <w:t>s</w:t>
      </w:r>
      <w:r w:rsidRPr="00121D67">
        <w:t>, Article Life</w:t>
      </w:r>
    </w:p>
    <w:p w:rsidR="003474F2" w:rsidRPr="001A3D2B" w:rsidRDefault="003474F2" w:rsidP="003474F2">
      <w:pPr>
        <w:pStyle w:val="1"/>
      </w:pPr>
      <w:r w:rsidRPr="001A3D2B">
        <w:br w:type="page"/>
      </w:r>
      <w:bookmarkStart w:id="121" w:name="_Toc420814928"/>
      <w:r w:rsidRPr="001A3D2B">
        <w:lastRenderedPageBreak/>
        <w:t>Title: Cell Stem Cell</w:t>
      </w:r>
      <w:bookmarkEnd w:id="121"/>
    </w:p>
    <w:p w:rsidR="003474F2" w:rsidRPr="001A3D2B" w:rsidRDefault="003474F2" w:rsidP="003474F2">
      <w:pPr>
        <w:pStyle w:val="12"/>
      </w:pPr>
      <w:r w:rsidRPr="001A3D2B">
        <w:t xml:space="preserve">Full Journal Title: </w:t>
      </w:r>
      <w:r w:rsidR="00B964E1" w:rsidRPr="001A3D2B">
        <w:t>Cell Stem Cell</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Levine, A.D. (2008), Identifying under-</w:t>
      </w:r>
      <w:r w:rsidR="005853A9">
        <w:t xml:space="preserve"> and </w:t>
      </w:r>
      <w:r w:rsidRPr="001A3D2B">
        <w:t xml:space="preserve">overperforming countries in research related to human embryonic stem cells. </w:t>
      </w:r>
      <w:r w:rsidRPr="001A3D2B">
        <w:rPr>
          <w:i/>
          <w:iCs/>
        </w:rPr>
        <w:t>Cell Stem Cell</w:t>
      </w:r>
      <w:r w:rsidRPr="001A3D2B">
        <w:t xml:space="preserve">, </w:t>
      </w:r>
      <w:r w:rsidRPr="001A3D2B">
        <w:rPr>
          <w:b/>
          <w:bCs/>
        </w:rPr>
        <w:t>2</w:t>
      </w:r>
      <w:r w:rsidRPr="001A3D2B">
        <w:t>, 521-524.</w:t>
      </w:r>
    </w:p>
    <w:p w:rsidR="003474F2" w:rsidRPr="001A3D2B" w:rsidRDefault="003474F2" w:rsidP="003474F2">
      <w:pPr>
        <w:pStyle w:val="a3"/>
      </w:pPr>
      <w:r w:rsidRPr="001A3D2B">
        <w:t xml:space="preserve">Full Text: </w:t>
      </w:r>
      <w:hyperlink r:id="rId159" w:history="1">
        <w:r w:rsidRPr="001A3D2B">
          <w:rPr>
            <w:rStyle w:val="a5"/>
          </w:rPr>
          <w:t>2008\Cel Ste Cel2, 521.pdf</w:t>
        </w:r>
      </w:hyperlink>
    </w:p>
    <w:p w:rsidR="00BA604F" w:rsidRDefault="00BA604F" w:rsidP="00BA604F">
      <w:pPr>
        <w:pStyle w:val="a3"/>
        <w:rPr>
          <w:kern w:val="0"/>
        </w:rPr>
      </w:pPr>
      <w:r>
        <w:rPr>
          <w:rFonts w:hint="eastAsia"/>
          <w:kern w:val="0"/>
        </w:rPr>
        <w:t xml:space="preserve">? </w:t>
      </w:r>
      <w:r>
        <w:rPr>
          <w:kern w:val="0"/>
        </w:rPr>
        <w:t>Bubela, T., Strotmann, A., Adams, R.</w:t>
      </w:r>
      <w:r w:rsidR="005853A9">
        <w:rPr>
          <w:kern w:val="0"/>
        </w:rPr>
        <w:t xml:space="preserve"> and </w:t>
      </w:r>
      <w:r>
        <w:rPr>
          <w:kern w:val="0"/>
        </w:rPr>
        <w:t>Morrison, S. (2010), Commercialization</w:t>
      </w:r>
      <w:r w:rsidR="005853A9">
        <w:rPr>
          <w:kern w:val="0"/>
        </w:rPr>
        <w:t xml:space="preserve"> and </w:t>
      </w:r>
      <w:r>
        <w:rPr>
          <w:kern w:val="0"/>
        </w:rPr>
        <w:t xml:space="preserve">collaboration: Competing policies in publicly funded stem cell research? </w:t>
      </w:r>
      <w:r>
        <w:rPr>
          <w:i/>
          <w:iCs/>
          <w:kern w:val="0"/>
        </w:rPr>
        <w:t>Cell Stem Cell</w:t>
      </w:r>
      <w:r>
        <w:rPr>
          <w:kern w:val="0"/>
        </w:rPr>
        <w:t xml:space="preserve">, </w:t>
      </w:r>
      <w:r>
        <w:rPr>
          <w:b/>
          <w:bCs/>
          <w:kern w:val="0"/>
        </w:rPr>
        <w:t>7</w:t>
      </w:r>
      <w:r>
        <w:rPr>
          <w:kern w:val="0"/>
        </w:rPr>
        <w:t xml:space="preserve"> (1), 25-30.</w:t>
      </w:r>
    </w:p>
    <w:p w:rsidR="00BA604F" w:rsidRPr="001A3D2B" w:rsidRDefault="00BA604F" w:rsidP="00BA604F">
      <w:pPr>
        <w:pStyle w:val="a3"/>
      </w:pPr>
      <w:r w:rsidRPr="001A3D2B">
        <w:t xml:space="preserve">Full Text: </w:t>
      </w:r>
      <w:hyperlink r:id="rId160" w:history="1">
        <w:r w:rsidR="001F4EFB" w:rsidRPr="001F4EFB">
          <w:rPr>
            <w:rStyle w:val="a5"/>
          </w:rPr>
          <w:t>2010\Cel Ste Cel7, 25.pdf</w:t>
        </w:r>
      </w:hyperlink>
    </w:p>
    <w:p w:rsidR="00BA604F" w:rsidRDefault="00BA604F" w:rsidP="00BA604F">
      <w:pPr>
        <w:pStyle w:val="a3"/>
        <w:rPr>
          <w:kern w:val="0"/>
        </w:rPr>
      </w:pPr>
      <w:r>
        <w:rPr>
          <w:kern w:val="0"/>
        </w:rPr>
        <w:t>Abstract: Advances in bibliometrics present new methods for analyzing emerging collaborative innovation models</w:t>
      </w:r>
      <w:r w:rsidR="00A37C1D">
        <w:rPr>
          <w:kern w:val="0"/>
        </w:rPr>
        <w:t>. The</w:t>
      </w:r>
      <w:r>
        <w:rPr>
          <w:kern w:val="0"/>
        </w:rPr>
        <w:t>se methods are illustrated by</w:t>
      </w:r>
      <w:r w:rsidR="003A1917">
        <w:rPr>
          <w:kern w:val="0"/>
        </w:rPr>
        <w:t xml:space="preserve"> the </w:t>
      </w:r>
      <w:r>
        <w:rPr>
          <w:kern w:val="0"/>
        </w:rPr>
        <w:t>Canadian Stem Cell Network, which fosters high-profile multidisciplinary, collaborative, international research. However, patenting negatively impacts collaboration patterns in published research. Policies directed at collaboration</w:t>
      </w:r>
      <w:r w:rsidR="005853A9">
        <w:rPr>
          <w:kern w:val="0"/>
        </w:rPr>
        <w:t xml:space="preserve"> and </w:t>
      </w:r>
      <w:r>
        <w:rPr>
          <w:kern w:val="0"/>
        </w:rPr>
        <w:t>commercialization may be in conflict, depending on</w:t>
      </w:r>
      <w:r w:rsidR="003A1917">
        <w:rPr>
          <w:kern w:val="0"/>
        </w:rPr>
        <w:t xml:space="preserve"> the </w:t>
      </w:r>
      <w:r>
        <w:rPr>
          <w:kern w:val="0"/>
        </w:rPr>
        <w:t>degree to which one activity is emphasized over</w:t>
      </w:r>
      <w:r w:rsidR="003A1917">
        <w:rPr>
          <w:kern w:val="0"/>
        </w:rPr>
        <w:t xml:space="preserve"> the </w:t>
      </w:r>
      <w:r>
        <w:rPr>
          <w:kern w:val="0"/>
        </w:rPr>
        <w:t>other.</w:t>
      </w:r>
    </w:p>
    <w:p w:rsidR="00BA604F" w:rsidRDefault="00BA604F" w:rsidP="00BA604F">
      <w:pPr>
        <w:pStyle w:val="a3"/>
        <w:rPr>
          <w:kern w:val="0"/>
        </w:rPr>
      </w:pPr>
      <w:r>
        <w:rPr>
          <w:kern w:val="0"/>
        </w:rPr>
        <w:t>Keywords: Bibliometrics, Patents, Research</w:t>
      </w:r>
    </w:p>
    <w:p w:rsidR="00E84364" w:rsidRPr="001A3D2B" w:rsidRDefault="00E84364" w:rsidP="00E84364">
      <w:pPr>
        <w:pStyle w:val="1"/>
      </w:pPr>
      <w:r w:rsidRPr="001A3D2B">
        <w:rPr>
          <w:sz w:val="24"/>
        </w:rPr>
        <w:br w:type="page"/>
      </w:r>
      <w:bookmarkStart w:id="122" w:name="_Toc420814929"/>
      <w:r w:rsidRPr="001A3D2B">
        <w:lastRenderedPageBreak/>
        <w:t xml:space="preserve">Title: </w:t>
      </w:r>
      <w:r w:rsidRPr="001A3D2B">
        <w:rPr>
          <w:iCs w:val="0"/>
        </w:rPr>
        <w:t>Cell Transplantation</w:t>
      </w:r>
      <w:bookmarkEnd w:id="122"/>
    </w:p>
    <w:p w:rsidR="00E84364" w:rsidRPr="001A3D2B" w:rsidRDefault="00E84364" w:rsidP="00E84364">
      <w:pPr>
        <w:pStyle w:val="12"/>
      </w:pPr>
      <w:r w:rsidRPr="001A3D2B">
        <w:t xml:space="preserve">Full Journal Title: </w:t>
      </w:r>
      <w:r w:rsidRPr="001A3D2B">
        <w:rPr>
          <w:iCs/>
          <w:kern w:val="0"/>
        </w:rPr>
        <w:t>Cell Transplantation</w:t>
      </w:r>
    </w:p>
    <w:p w:rsidR="00E84364" w:rsidRPr="001A3D2B" w:rsidRDefault="00E84364" w:rsidP="00E84364">
      <w:pPr>
        <w:pStyle w:val="12"/>
      </w:pPr>
      <w:r w:rsidRPr="001A3D2B">
        <w:t xml:space="preserve">ISO Abbreviated Title: </w:t>
      </w:r>
    </w:p>
    <w:p w:rsidR="00E84364" w:rsidRPr="001A3D2B" w:rsidRDefault="00E84364" w:rsidP="00E84364">
      <w:pPr>
        <w:pStyle w:val="12"/>
      </w:pPr>
      <w:r w:rsidRPr="001A3D2B">
        <w:t xml:space="preserve">JCR Abbreviated Title: </w:t>
      </w:r>
    </w:p>
    <w:p w:rsidR="00E84364" w:rsidRPr="001A3D2B" w:rsidRDefault="00E84364" w:rsidP="00E84364">
      <w:pPr>
        <w:pStyle w:val="12"/>
      </w:pPr>
      <w:r w:rsidRPr="001A3D2B">
        <w:t xml:space="preserve">ISSN: </w:t>
      </w:r>
    </w:p>
    <w:p w:rsidR="00E84364" w:rsidRPr="001A3D2B" w:rsidRDefault="00E84364" w:rsidP="00E84364">
      <w:pPr>
        <w:pStyle w:val="12"/>
      </w:pPr>
      <w:r w:rsidRPr="001A3D2B">
        <w:t xml:space="preserve">Issues/Year: </w:t>
      </w:r>
    </w:p>
    <w:p w:rsidR="00E84364" w:rsidRPr="001A3D2B" w:rsidRDefault="00E84364" w:rsidP="00E84364">
      <w:pPr>
        <w:pStyle w:val="12"/>
      </w:pPr>
      <w:r w:rsidRPr="001A3D2B">
        <w:t xml:space="preserve">Journal Country/Territory: </w:t>
      </w:r>
    </w:p>
    <w:p w:rsidR="00E84364" w:rsidRPr="001A3D2B" w:rsidRDefault="00E84364" w:rsidP="00E84364">
      <w:pPr>
        <w:pStyle w:val="12"/>
      </w:pPr>
      <w:r w:rsidRPr="001A3D2B">
        <w:t xml:space="preserve">Language: </w:t>
      </w:r>
    </w:p>
    <w:p w:rsidR="00E84364" w:rsidRPr="001A3D2B" w:rsidRDefault="00E84364" w:rsidP="00E84364">
      <w:pPr>
        <w:pStyle w:val="12"/>
      </w:pPr>
      <w:r w:rsidRPr="001A3D2B">
        <w:t xml:space="preserve">Publisher: </w:t>
      </w:r>
    </w:p>
    <w:p w:rsidR="00E84364" w:rsidRPr="001A3D2B" w:rsidRDefault="00E84364" w:rsidP="00E84364">
      <w:pPr>
        <w:pStyle w:val="12"/>
      </w:pPr>
      <w:r w:rsidRPr="001A3D2B">
        <w:t xml:space="preserve">Publisher Address: </w:t>
      </w:r>
    </w:p>
    <w:p w:rsidR="00E84364" w:rsidRPr="001A3D2B" w:rsidRDefault="00E84364" w:rsidP="00E84364">
      <w:pPr>
        <w:pStyle w:val="12"/>
      </w:pPr>
      <w:r w:rsidRPr="001A3D2B">
        <w:t xml:space="preserve">Subject Categories: </w:t>
      </w:r>
    </w:p>
    <w:p w:rsidR="00E84364" w:rsidRPr="001A3D2B" w:rsidRDefault="00E84364" w:rsidP="00E84364">
      <w:pPr>
        <w:pStyle w:val="12"/>
      </w:pPr>
      <w:r w:rsidRPr="001A3D2B">
        <w:t>: Impact Factor</w:t>
      </w:r>
    </w:p>
    <w:p w:rsidR="00E84364" w:rsidRPr="001A3D2B" w:rsidRDefault="00E84364" w:rsidP="00E84364">
      <w:pPr>
        <w:pStyle w:val="a3"/>
        <w:rPr>
          <w:kern w:val="0"/>
        </w:rPr>
      </w:pPr>
      <w:r w:rsidRPr="001A3D2B">
        <w:rPr>
          <w:kern w:val="0"/>
        </w:rPr>
        <w:t>? Agrawal, A., Gur</w:t>
      </w:r>
      <w:r w:rsidR="00D5664A">
        <w:rPr>
          <w:kern w:val="0"/>
        </w:rPr>
        <w:t>USA</w:t>
      </w:r>
      <w:r w:rsidRPr="001A3D2B">
        <w:rPr>
          <w:kern w:val="0"/>
        </w:rPr>
        <w:t>my, K., Powis, S., Gray, D.W., Fuller, B.</w:t>
      </w:r>
      <w:r w:rsidR="005853A9">
        <w:rPr>
          <w:kern w:val="0"/>
        </w:rPr>
        <w:t xml:space="preserve"> and </w:t>
      </w:r>
      <w:r w:rsidRPr="001A3D2B">
        <w:rPr>
          <w:kern w:val="0"/>
        </w:rPr>
        <w:t>Davidson, B.R. (2008), A meta-analysis</w:t>
      </w:r>
      <w:r w:rsidR="00427468">
        <w:rPr>
          <w:kern w:val="0"/>
        </w:rPr>
        <w:t xml:space="preserve"> of </w:t>
      </w:r>
      <w:r w:rsidR="003A1917">
        <w:rPr>
          <w:kern w:val="0"/>
        </w:rPr>
        <w:t xml:space="preserve">the </w:t>
      </w:r>
      <w:r w:rsidRPr="001A3D2B">
        <w:rPr>
          <w:kern w:val="0"/>
        </w:rPr>
        <w:t>impact</w:t>
      </w:r>
      <w:r w:rsidR="00427468">
        <w:rPr>
          <w:kern w:val="0"/>
        </w:rPr>
        <w:t xml:space="preserve"> of </w:t>
      </w:r>
      <w:r w:rsidR="003A1917">
        <w:rPr>
          <w:kern w:val="0"/>
        </w:rPr>
        <w:t xml:space="preserve">the </w:t>
      </w:r>
      <w:r w:rsidRPr="001A3D2B">
        <w:rPr>
          <w:kern w:val="0"/>
        </w:rPr>
        <w:t>two-layer method</w:t>
      </w:r>
      <w:r w:rsidR="00427468">
        <w:rPr>
          <w:kern w:val="0"/>
        </w:rPr>
        <w:t xml:space="preserve"> of </w:t>
      </w:r>
      <w:r w:rsidRPr="001A3D2B">
        <w:rPr>
          <w:kern w:val="0"/>
        </w:rPr>
        <w:t xml:space="preserve">preservation on human pancreatic islet transplantation. </w:t>
      </w:r>
      <w:r w:rsidRPr="001A3D2B">
        <w:rPr>
          <w:i/>
          <w:iCs/>
          <w:kern w:val="0"/>
        </w:rPr>
        <w:t>Cell Transplantation</w:t>
      </w:r>
      <w:r w:rsidRPr="001A3D2B">
        <w:rPr>
          <w:kern w:val="0"/>
        </w:rPr>
        <w:t xml:space="preserve">, </w:t>
      </w:r>
      <w:r w:rsidRPr="001A3D2B">
        <w:rPr>
          <w:b/>
          <w:bCs/>
          <w:kern w:val="0"/>
        </w:rPr>
        <w:t>17</w:t>
      </w:r>
      <w:r w:rsidRPr="001A3D2B">
        <w:rPr>
          <w:kern w:val="0"/>
        </w:rPr>
        <w:t xml:space="preserve"> (12), 1315-1322.</w:t>
      </w:r>
    </w:p>
    <w:p w:rsidR="00162F68" w:rsidRDefault="00162F68" w:rsidP="00162F68">
      <w:pPr>
        <w:pStyle w:val="a3"/>
        <w:rPr>
          <w:kern w:val="0"/>
        </w:rPr>
      </w:pPr>
      <w:r>
        <w:rPr>
          <w:rFonts w:hint="eastAsia"/>
          <w:kern w:val="0"/>
        </w:rPr>
        <w:t xml:space="preserve">Full Text: </w:t>
      </w:r>
      <w:r w:rsidRPr="003725D7">
        <w:rPr>
          <w:kern w:val="0"/>
        </w:rPr>
        <w:t>20</w:t>
      </w:r>
      <w:r>
        <w:rPr>
          <w:rFonts w:hint="eastAsia"/>
          <w:kern w:val="0"/>
        </w:rPr>
        <w:t>08</w:t>
      </w:r>
      <w:r w:rsidRPr="003725D7">
        <w:rPr>
          <w:kern w:val="0"/>
        </w:rPr>
        <w:t>\Cel Tra</w:t>
      </w:r>
      <w:r>
        <w:rPr>
          <w:rFonts w:hint="eastAsia"/>
          <w:kern w:val="0"/>
        </w:rPr>
        <w:t>17</w:t>
      </w:r>
      <w:r w:rsidRPr="003725D7">
        <w:rPr>
          <w:kern w:val="0"/>
        </w:rPr>
        <w:t xml:space="preserve">, </w:t>
      </w:r>
      <w:r>
        <w:rPr>
          <w:rFonts w:hint="eastAsia"/>
          <w:kern w:val="0"/>
        </w:rPr>
        <w:t>1315</w:t>
      </w:r>
      <w:r w:rsidRPr="003725D7">
        <w:rPr>
          <w:kern w:val="0"/>
        </w:rPr>
        <w:t>.pdf</w:t>
      </w:r>
    </w:p>
    <w:p w:rsidR="00E84364" w:rsidRPr="001A3D2B" w:rsidRDefault="00E84364" w:rsidP="00E84364">
      <w:pPr>
        <w:pStyle w:val="a3"/>
        <w:rPr>
          <w:kern w:val="0"/>
        </w:rPr>
      </w:pPr>
      <w:r w:rsidRPr="001A3D2B">
        <w:rPr>
          <w:kern w:val="0"/>
        </w:rPr>
        <w:t>Abstract: There are conflicting reports about</w:t>
      </w:r>
      <w:r w:rsidR="003A1917">
        <w:rPr>
          <w:kern w:val="0"/>
        </w:rPr>
        <w:t xml:space="preserve"> the </w:t>
      </w:r>
      <w:r w:rsidRPr="001A3D2B">
        <w:rPr>
          <w:kern w:val="0"/>
        </w:rPr>
        <w:t>effectiveness</w:t>
      </w:r>
      <w:r w:rsidR="00427468">
        <w:rPr>
          <w:kern w:val="0"/>
        </w:rPr>
        <w:t xml:space="preserve"> of </w:t>
      </w:r>
      <w:r w:rsidRPr="001A3D2B">
        <w:rPr>
          <w:kern w:val="0"/>
        </w:rPr>
        <w:t>perfluorocarbons used in</w:t>
      </w:r>
      <w:r w:rsidR="003A1917">
        <w:rPr>
          <w:kern w:val="0"/>
        </w:rPr>
        <w:t xml:space="preserve"> the </w:t>
      </w:r>
      <w:r w:rsidRPr="001A3D2B">
        <w:rPr>
          <w:kern w:val="0"/>
        </w:rPr>
        <w:t>two-layer method (TLM)</w:t>
      </w:r>
      <w:r w:rsidR="00427468">
        <w:rPr>
          <w:kern w:val="0"/>
        </w:rPr>
        <w:t xml:space="preserve"> of </w:t>
      </w:r>
      <w:r w:rsidRPr="001A3D2B">
        <w:rPr>
          <w:kern w:val="0"/>
        </w:rPr>
        <w:t>pancreas preservation for human islet transplantation</w:t>
      </w:r>
      <w:r w:rsidR="00A37C1D">
        <w:rPr>
          <w:kern w:val="0"/>
        </w:rPr>
        <w:t>. The</w:t>
      </w:r>
      <w:r w:rsidR="003A1917">
        <w:rPr>
          <w:kern w:val="0"/>
        </w:rPr>
        <w:t xml:space="preserve"> </w:t>
      </w:r>
      <w:r w:rsidRPr="001A3D2B">
        <w:rPr>
          <w:kern w:val="0"/>
        </w:rPr>
        <w:t>mechanism</w:t>
      </w:r>
      <w:r w:rsidR="00427468">
        <w:rPr>
          <w:kern w:val="0"/>
        </w:rPr>
        <w:t xml:space="preserve"> of </w:t>
      </w:r>
      <w:r w:rsidRPr="001A3D2B">
        <w:rPr>
          <w:kern w:val="0"/>
        </w:rPr>
        <w:t>action is unclear</w:t>
      </w:r>
      <w:r w:rsidR="005853A9">
        <w:rPr>
          <w:kern w:val="0"/>
        </w:rPr>
        <w:t xml:space="preserve"> and </w:t>
      </w:r>
      <w:r w:rsidR="003A1917">
        <w:rPr>
          <w:kern w:val="0"/>
        </w:rPr>
        <w:t xml:space="preserve">the </w:t>
      </w:r>
      <w:r w:rsidRPr="001A3D2B">
        <w:rPr>
          <w:kern w:val="0"/>
        </w:rPr>
        <w:t>optimal role</w:t>
      </w:r>
      <w:r w:rsidR="00427468">
        <w:rPr>
          <w:kern w:val="0"/>
        </w:rPr>
        <w:t xml:space="preserve"> of </w:t>
      </w:r>
      <w:r w:rsidRPr="001A3D2B">
        <w:rPr>
          <w:kern w:val="0"/>
        </w:rPr>
        <w:t>this method uncertain</w:t>
      </w:r>
      <w:r w:rsidR="00A37C1D">
        <w:rPr>
          <w:kern w:val="0"/>
        </w:rPr>
        <w:t>. The</w:t>
      </w:r>
      <w:r w:rsidR="003A1917">
        <w:rPr>
          <w:kern w:val="0"/>
        </w:rPr>
        <w:t xml:space="preserve"> </w:t>
      </w:r>
      <w:r w:rsidRPr="001A3D2B">
        <w:rPr>
          <w:kern w:val="0"/>
        </w:rPr>
        <w:t>study design was a meta-analysis</w:t>
      </w:r>
      <w:r w:rsidR="00427468">
        <w:rPr>
          <w:kern w:val="0"/>
        </w:rPr>
        <w:t xml:space="preserve"> of </w:t>
      </w:r>
      <w:r w:rsidR="003A1917">
        <w:rPr>
          <w:kern w:val="0"/>
        </w:rPr>
        <w:t xml:space="preserve">the </w:t>
      </w:r>
      <w:r w:rsidRPr="001A3D2B">
        <w:rPr>
          <w:kern w:val="0"/>
        </w:rPr>
        <w:t xml:space="preserve">evidence that TLM improves islet isolation outcomes. </w:t>
      </w:r>
      <w:r w:rsidR="002C12F0">
        <w:rPr>
          <w:kern w:val="0"/>
        </w:rPr>
        <w:t>PUBMED</w:t>
      </w:r>
      <w:r w:rsidRPr="001A3D2B">
        <w:rPr>
          <w:kern w:val="0"/>
        </w:rPr>
        <w:t>, CENTRAL, EMBASE, Science Citation Index.</w:t>
      </w:r>
      <w:r w:rsidR="005853A9">
        <w:rPr>
          <w:kern w:val="0"/>
        </w:rPr>
        <w:t xml:space="preserve"> and </w:t>
      </w:r>
      <w:r w:rsidRPr="001A3D2B">
        <w:rPr>
          <w:kern w:val="0"/>
        </w:rPr>
        <w:t>BIOSIS were searched electronically in January 2008. After selecting</w:t>
      </w:r>
      <w:r w:rsidR="003A1917">
        <w:rPr>
          <w:kern w:val="0"/>
        </w:rPr>
        <w:t xml:space="preserve"> the </w:t>
      </w:r>
      <w:r w:rsidRPr="001A3D2B">
        <w:rPr>
          <w:kern w:val="0"/>
        </w:rPr>
        <w:t>relevant human trials for meta-analysis data relating to donor variables, study design, primary</w:t>
      </w:r>
      <w:r w:rsidR="005853A9">
        <w:rPr>
          <w:kern w:val="0"/>
        </w:rPr>
        <w:t xml:space="preserve"> and </w:t>
      </w:r>
      <w:r w:rsidRPr="001A3D2B">
        <w:rPr>
          <w:kern w:val="0"/>
        </w:rPr>
        <w:t>secondary islet isolation Outcomes were extracted. Electronic searches identified eight unique citations, describing I I human Studies that were eligible for</w:t>
      </w:r>
      <w:r w:rsidR="003A1917">
        <w:rPr>
          <w:kern w:val="0"/>
        </w:rPr>
        <w:t xml:space="preserve"> the </w:t>
      </w:r>
      <w:r w:rsidRPr="001A3D2B">
        <w:rPr>
          <w:kern w:val="0"/>
        </w:rPr>
        <w:t>meta-analysis. When comparing TLM with preservation in University</w:t>
      </w:r>
      <w:r w:rsidR="00427468">
        <w:rPr>
          <w:kern w:val="0"/>
        </w:rPr>
        <w:t xml:space="preserve"> of </w:t>
      </w:r>
      <w:r w:rsidRPr="001A3D2B">
        <w:rPr>
          <w:kern w:val="0"/>
        </w:rPr>
        <w:t>Wisconsin (UW) Solution, there was a statistically significant higher islet yield [WMD 711.55, 95% confidence interval (CI) 140.03-1283.07] in</w:t>
      </w:r>
      <w:r w:rsidR="003A1917">
        <w:rPr>
          <w:kern w:val="0"/>
        </w:rPr>
        <w:t xml:space="preserve"> the </w:t>
      </w:r>
      <w:r w:rsidRPr="001A3D2B">
        <w:rPr>
          <w:kern w:val="0"/>
        </w:rPr>
        <w:t>TLM group</w:t>
      </w:r>
      <w:r w:rsidR="00A37C1D">
        <w:rPr>
          <w:kern w:val="0"/>
        </w:rPr>
        <w:t>. The</w:t>
      </w:r>
      <w:r w:rsidR="003A1917">
        <w:rPr>
          <w:kern w:val="0"/>
        </w:rPr>
        <w:t xml:space="preserve"> </w:t>
      </w:r>
      <w:r w:rsidRPr="001A3D2B">
        <w:rPr>
          <w:kern w:val="0"/>
        </w:rPr>
        <w:t>proportion</w:t>
      </w:r>
      <w:r w:rsidR="00427468">
        <w:rPr>
          <w:kern w:val="0"/>
        </w:rPr>
        <w:t xml:space="preserve"> of </w:t>
      </w:r>
      <w:r w:rsidRPr="001A3D2B">
        <w:rPr>
          <w:kern w:val="0"/>
        </w:rPr>
        <w:t>transplantable preparations obtained was not significantly different (OR 1.30, 95% CI 0.89-1.88) between</w:t>
      </w:r>
      <w:r w:rsidR="003A1917">
        <w:rPr>
          <w:kern w:val="0"/>
        </w:rPr>
        <w:t xml:space="preserve"> the </w:t>
      </w:r>
      <w:r w:rsidRPr="001A3D2B">
        <w:rPr>
          <w:kern w:val="0"/>
        </w:rPr>
        <w:t>two groups</w:t>
      </w:r>
      <w:r w:rsidR="00A37C1D">
        <w:rPr>
          <w:kern w:val="0"/>
        </w:rPr>
        <w:t>. The</w:t>
      </w:r>
      <w:r w:rsidR="003A1917">
        <w:rPr>
          <w:kern w:val="0"/>
        </w:rPr>
        <w:t xml:space="preserve"> </w:t>
      </w:r>
      <w:r w:rsidRPr="001A3D2B">
        <w:rPr>
          <w:kern w:val="0"/>
        </w:rPr>
        <w:t>rate</w:t>
      </w:r>
      <w:r w:rsidR="00427468">
        <w:rPr>
          <w:kern w:val="0"/>
        </w:rPr>
        <w:t xml:space="preserve"> of </w:t>
      </w:r>
      <w:r w:rsidRPr="001A3D2B">
        <w:rPr>
          <w:kern w:val="0"/>
        </w:rPr>
        <w:t>successful islet isolations for marginal organs was higher in</w:t>
      </w:r>
      <w:r w:rsidR="003A1917">
        <w:rPr>
          <w:kern w:val="0"/>
        </w:rPr>
        <w:t xml:space="preserve"> the </w:t>
      </w:r>
      <w:r w:rsidRPr="001A3D2B">
        <w:rPr>
          <w:kern w:val="0"/>
        </w:rPr>
        <w:t>TLM group (OR 6.69, 95% CI 1.80-24.87). Improved oxygenation</w:t>
      </w:r>
      <w:r w:rsidR="005853A9">
        <w:rPr>
          <w:kern w:val="0"/>
        </w:rPr>
        <w:t xml:space="preserve"> and </w:t>
      </w:r>
      <w:r w:rsidRPr="001A3D2B">
        <w:rPr>
          <w:kern w:val="0"/>
        </w:rPr>
        <w:t>preservation</w:t>
      </w:r>
      <w:r w:rsidR="00427468">
        <w:rPr>
          <w:kern w:val="0"/>
        </w:rPr>
        <w:t xml:space="preserve"> of </w:t>
      </w:r>
      <w:r w:rsidRPr="001A3D2B">
        <w:rPr>
          <w:kern w:val="0"/>
        </w:rPr>
        <w:t>cellular bioengertics is thought to be</w:t>
      </w:r>
      <w:r w:rsidR="003A1917">
        <w:rPr>
          <w:kern w:val="0"/>
        </w:rPr>
        <w:t xml:space="preserve"> the </w:t>
      </w:r>
      <w:r w:rsidRPr="001A3D2B">
        <w:rPr>
          <w:kern w:val="0"/>
        </w:rPr>
        <w:t>main underlying mechanism, although no single mechanism has yet been confirmed</w:t>
      </w:r>
      <w:r w:rsidR="00A37C1D">
        <w:rPr>
          <w:kern w:val="0"/>
        </w:rPr>
        <w:t>. The</w:t>
      </w:r>
      <w:r w:rsidRPr="001A3D2B">
        <w:rPr>
          <w:kern w:val="0"/>
        </w:rPr>
        <w:t>re is currently no clear evidence that</w:t>
      </w:r>
      <w:r w:rsidR="003A1917">
        <w:rPr>
          <w:kern w:val="0"/>
        </w:rPr>
        <w:t xml:space="preserve"> the </w:t>
      </w:r>
      <w:r w:rsidRPr="001A3D2B">
        <w:rPr>
          <w:kern w:val="0"/>
        </w:rPr>
        <w:t>TLM is beneficial in human islet transplantation. It may improve</w:t>
      </w:r>
      <w:r w:rsidR="003A1917">
        <w:rPr>
          <w:kern w:val="0"/>
        </w:rPr>
        <w:t xml:space="preserve"> the </w:t>
      </w:r>
      <w:r w:rsidRPr="001A3D2B">
        <w:rPr>
          <w:kern w:val="0"/>
        </w:rPr>
        <w:t>preservation</w:t>
      </w:r>
      <w:r w:rsidR="00427468">
        <w:rPr>
          <w:kern w:val="0"/>
        </w:rPr>
        <w:t xml:space="preserve"> of </w:t>
      </w:r>
      <w:r w:rsidRPr="001A3D2B">
        <w:rPr>
          <w:kern w:val="0"/>
        </w:rPr>
        <w:t>marginal organs.</w:t>
      </w:r>
    </w:p>
    <w:p w:rsidR="00E84364" w:rsidRPr="001A3D2B" w:rsidRDefault="00E84364" w:rsidP="00E84364">
      <w:pPr>
        <w:pStyle w:val="a3"/>
        <w:rPr>
          <w:kern w:val="0"/>
        </w:rPr>
      </w:pPr>
      <w:r w:rsidRPr="001A3D2B">
        <w:rPr>
          <w:kern w:val="0"/>
        </w:rPr>
        <w:t xml:space="preserve">Keywords: Apoptosis, Canine Pancreas, Citation, Citations, Clinical-Trials, </w:t>
      </w:r>
      <w:r w:rsidRPr="001A3D2B">
        <w:rPr>
          <w:kern w:val="0"/>
        </w:rPr>
        <w:lastRenderedPageBreak/>
        <w:t>Cold-Storage Method, Injury, Islet Transplantation, Meta-Analysis, Mitochondrial Pathway, of-Wisconsin Solution, Organ Preservation, Outcomes, Oxygenation, Pancreas, Perfluorocarbon, Perfluorocarbon, Transplantation, Two-Layer Method</w:t>
      </w:r>
    </w:p>
    <w:p w:rsidR="007D0CD6" w:rsidRDefault="007D0CD6" w:rsidP="007D0CD6">
      <w:pPr>
        <w:pStyle w:val="a3"/>
        <w:rPr>
          <w:kern w:val="0"/>
        </w:rPr>
      </w:pPr>
      <w:r>
        <w:rPr>
          <w:rFonts w:hint="eastAsia"/>
          <w:kern w:val="0"/>
        </w:rPr>
        <w:t xml:space="preserve">? </w:t>
      </w:r>
      <w:r>
        <w:rPr>
          <w:kern w:val="0"/>
        </w:rPr>
        <w:t xml:space="preserve">Hilling, D.E., Bouwman, E., Terpstra, O.T. and Marang-van de Mheen, P. (2014), Effects of donor-, pancreas-, and isolation-related variables on human islet isolation outcome: A systematic review. </w:t>
      </w:r>
      <w:r>
        <w:rPr>
          <w:i/>
          <w:iCs/>
          <w:kern w:val="0"/>
        </w:rPr>
        <w:t>Cell Transplantation</w:t>
      </w:r>
      <w:r>
        <w:rPr>
          <w:kern w:val="0"/>
        </w:rPr>
        <w:t xml:space="preserve">, </w:t>
      </w:r>
      <w:r>
        <w:rPr>
          <w:b/>
          <w:bCs/>
          <w:kern w:val="0"/>
        </w:rPr>
        <w:t>23</w:t>
      </w:r>
      <w:r>
        <w:rPr>
          <w:kern w:val="0"/>
        </w:rPr>
        <w:t xml:space="preserve"> (8), 921-928.</w:t>
      </w:r>
    </w:p>
    <w:p w:rsidR="007D0CD6" w:rsidRDefault="007D0CD6" w:rsidP="007D0CD6">
      <w:pPr>
        <w:pStyle w:val="a3"/>
        <w:rPr>
          <w:kern w:val="0"/>
        </w:rPr>
      </w:pPr>
      <w:r>
        <w:rPr>
          <w:rFonts w:hint="eastAsia"/>
          <w:kern w:val="0"/>
        </w:rPr>
        <w:t xml:space="preserve">Full Text: </w:t>
      </w:r>
      <w:hyperlink r:id="rId161" w:history="1">
        <w:r w:rsidRPr="007D0CD6">
          <w:rPr>
            <w:rStyle w:val="a5"/>
            <w:kern w:val="0"/>
          </w:rPr>
          <w:t>2014\Cel Tra23, 921.pdf</w:t>
        </w:r>
      </w:hyperlink>
    </w:p>
    <w:p w:rsidR="007D0CD6" w:rsidRDefault="007D0CD6" w:rsidP="007D0CD6">
      <w:pPr>
        <w:pStyle w:val="a3"/>
        <w:rPr>
          <w:kern w:val="0"/>
        </w:rPr>
      </w:pPr>
      <w:r>
        <w:rPr>
          <w:kern w:val="0"/>
        </w:rPr>
        <w:t>Abstract: Different factors have been reported to influence islet isolation outcome, but their importance varies between studies and are hampered by the small sample sizes in most studies. The purpose of this study was to perform a systematic review to assess the impact of donor-, pancreas-, and isolation-related variables on successful human islet isolation outcome. PubMed, Embase, and Web of Science were searched electronically in April 2009. All studies reporting on donor-, pancreas-, and isolation-related factors relating to prepurification and postpurification islet isolation yield and proportion of successful islet isolations were selected. Seventy-four retrospective studies had sufficient data and were included in the analyses. Higher pre- and postpurification islet yields and a higher proportion of successful islet isolations were obtained when pancreata were preserved with the two-layer method rather than University of Wisconsin solution in donors with shorter cold ischemia times (CITs) [1 h longer CIT resulted in an average decline of prepurification and postpurification yields and proportion of successful isolations of 59 islet equivalents (IEQs)/g, 54 IEQs/g, and 21%, respectively]. Higher prepurification yields and higher percentage of successful islet isolations were found in younger donors with higher body mass index. Lower yields were found in donation after brain death donors compared to donation after cardiac death donors. Higher postpurification yields were found for isolation with Serva collagenase. This review identified donor-, pancreas-, and isolation-related factors that influence islet isolation yield. Standardized reports of these factors in all future studies may improve the power and identify additional factors and thereby contribute to improving islet isolation yield.</w:t>
      </w:r>
    </w:p>
    <w:p w:rsidR="007D0CD6" w:rsidRDefault="007D0CD6" w:rsidP="007D0CD6">
      <w:pPr>
        <w:pStyle w:val="a3"/>
        <w:rPr>
          <w:kern w:val="0"/>
        </w:rPr>
      </w:pPr>
      <w:r>
        <w:rPr>
          <w:kern w:val="0"/>
        </w:rPr>
        <w:t>Keywords: 2-Layer Method, Analyses, Body Mass Index, Brain, Brain Death, Cold-Storage, Data, Death, Donor, Heart-Beating-Donors, Human, Impact, Index, Influence, Ischemia, Islet Isolation, Isolation Protocol, Isolation Success, Of-Wisconsin Solution, Outcome, Pancreas, Power, Preservation Solution, Protease Inhibitor, Pubmed, Purpose, Reporting, Retrospective Studies, Review, Science, Single-Donor, Small, Solution, Systematic, Systematic Review, Type-1 Diabetes-Mellitus, University, Web Of Science, Wisconsin</w:t>
      </w:r>
    </w:p>
    <w:p w:rsidR="00FA7F60" w:rsidRPr="00C73C58" w:rsidRDefault="00FA7F60" w:rsidP="00FA7F60">
      <w:pPr>
        <w:pStyle w:val="1"/>
      </w:pPr>
      <w:r w:rsidRPr="00C73C58">
        <w:rPr>
          <w:sz w:val="24"/>
        </w:rPr>
        <w:br w:type="page"/>
      </w:r>
      <w:bookmarkStart w:id="123" w:name="_Toc409685643"/>
      <w:bookmarkStart w:id="124" w:name="_Toc420814930"/>
      <w:r w:rsidRPr="00C73C58">
        <w:lastRenderedPageBreak/>
        <w:t xml:space="preserve">Title: </w:t>
      </w:r>
      <w:r w:rsidRPr="006D36D0">
        <w:t>Cellular Physiology</w:t>
      </w:r>
      <w:r>
        <w:t xml:space="preserve"> and </w:t>
      </w:r>
      <w:r w:rsidRPr="006D36D0">
        <w:t>Biochemistry</w:t>
      </w:r>
      <w:bookmarkEnd w:id="123"/>
      <w:bookmarkEnd w:id="124"/>
    </w:p>
    <w:p w:rsidR="00FA7F60" w:rsidRPr="00C73C58" w:rsidRDefault="00FA7F60" w:rsidP="00FA7F60">
      <w:pPr>
        <w:pStyle w:val="12"/>
      </w:pPr>
      <w:r w:rsidRPr="00C73C58">
        <w:t xml:space="preserve">Full Journal Title: </w:t>
      </w:r>
      <w:r w:rsidRPr="006D36D0">
        <w:t>Cellular Physiology</w:t>
      </w:r>
      <w:r>
        <w:t xml:space="preserve"> and </w:t>
      </w:r>
      <w:r w:rsidRPr="006D36D0">
        <w:t>Biochemistry</w:t>
      </w:r>
    </w:p>
    <w:p w:rsidR="00FA7F60" w:rsidRPr="00C73C58" w:rsidRDefault="00FA7F60" w:rsidP="00FA7F60">
      <w:pPr>
        <w:pStyle w:val="12"/>
      </w:pPr>
      <w:r w:rsidRPr="00C73C58">
        <w:t xml:space="preserve">ISO Abbreviated Title: </w:t>
      </w:r>
    </w:p>
    <w:p w:rsidR="00FA7F60" w:rsidRPr="00C73C58" w:rsidRDefault="00FA7F60" w:rsidP="00FA7F60">
      <w:pPr>
        <w:pStyle w:val="12"/>
      </w:pPr>
      <w:r w:rsidRPr="00C73C58">
        <w:t xml:space="preserve">JCR Abbreviated Title: </w:t>
      </w:r>
    </w:p>
    <w:p w:rsidR="00FA7F60" w:rsidRPr="00C73C58" w:rsidRDefault="00FA7F60" w:rsidP="00FA7F60">
      <w:pPr>
        <w:pStyle w:val="12"/>
      </w:pPr>
      <w:r>
        <w:t xml:space="preserve">ISSN: </w:t>
      </w:r>
    </w:p>
    <w:p w:rsidR="00FA7F60" w:rsidRPr="00C73C58" w:rsidRDefault="00FA7F60" w:rsidP="00FA7F60">
      <w:pPr>
        <w:pStyle w:val="12"/>
      </w:pPr>
      <w:r w:rsidRPr="00C73C58">
        <w:t xml:space="preserve">Issues/Year: </w:t>
      </w:r>
    </w:p>
    <w:p w:rsidR="00FA7F60" w:rsidRPr="00C73C58" w:rsidRDefault="00FA7F60" w:rsidP="00FA7F60">
      <w:pPr>
        <w:pStyle w:val="12"/>
      </w:pPr>
      <w:r w:rsidRPr="00C73C58">
        <w:t xml:space="preserve">Journal Country/Territory: </w:t>
      </w:r>
    </w:p>
    <w:p w:rsidR="00FA7F60" w:rsidRPr="00C73C58" w:rsidRDefault="00FA7F60" w:rsidP="00FA7F60">
      <w:pPr>
        <w:pStyle w:val="12"/>
      </w:pPr>
      <w:r w:rsidRPr="00C73C58">
        <w:t xml:space="preserve">Language: </w:t>
      </w:r>
    </w:p>
    <w:p w:rsidR="00FA7F60" w:rsidRPr="00C73C58" w:rsidRDefault="00FA7F60" w:rsidP="00FA7F60">
      <w:pPr>
        <w:pStyle w:val="12"/>
      </w:pPr>
      <w:r w:rsidRPr="00C73C58">
        <w:t xml:space="preserve">Publisher: </w:t>
      </w:r>
    </w:p>
    <w:p w:rsidR="00FA7F60" w:rsidRPr="00C73C58" w:rsidRDefault="00FA7F60" w:rsidP="00FA7F60">
      <w:pPr>
        <w:pStyle w:val="12"/>
      </w:pPr>
      <w:r w:rsidRPr="00C73C58">
        <w:t xml:space="preserve">Publisher Address: </w:t>
      </w:r>
    </w:p>
    <w:p w:rsidR="00FA7F60" w:rsidRPr="00C73C58" w:rsidRDefault="00FA7F60" w:rsidP="00FA7F60">
      <w:pPr>
        <w:pStyle w:val="12"/>
      </w:pPr>
      <w:r w:rsidRPr="00C73C58">
        <w:t xml:space="preserve">Subject Categories: </w:t>
      </w:r>
    </w:p>
    <w:p w:rsidR="00FA7F60" w:rsidRPr="00C73C58" w:rsidRDefault="00FA7F60" w:rsidP="00FA7F60">
      <w:pPr>
        <w:pStyle w:val="12"/>
      </w:pPr>
      <w:r w:rsidRPr="00C73C58">
        <w:t>: Impact Factor</w:t>
      </w:r>
    </w:p>
    <w:p w:rsidR="00FA7F60" w:rsidRDefault="00FA7F60" w:rsidP="00FA7F60">
      <w:pPr>
        <w:pStyle w:val="a3"/>
        <w:rPr>
          <w:kern w:val="0"/>
        </w:rPr>
      </w:pPr>
      <w:r>
        <w:rPr>
          <w:kern w:val="0"/>
        </w:rPr>
        <w:t xml:space="preserve">? Wang, P.P., He, X.Y., Wang, R.B., Wang, Z.F. and Wang, Y.G. (2014), High leptin level is an independent risk factor of endometrial cancer: A meta-analysis. </w:t>
      </w:r>
      <w:r>
        <w:rPr>
          <w:i/>
          <w:iCs/>
          <w:kern w:val="0"/>
        </w:rPr>
        <w:t>Cellular Physiology and Biochemistry</w:t>
      </w:r>
      <w:r>
        <w:rPr>
          <w:kern w:val="0"/>
        </w:rPr>
        <w:t xml:space="preserve">, </w:t>
      </w:r>
      <w:r>
        <w:rPr>
          <w:b/>
          <w:bCs/>
          <w:kern w:val="0"/>
        </w:rPr>
        <w:t>34</w:t>
      </w:r>
      <w:r>
        <w:rPr>
          <w:kern w:val="0"/>
        </w:rPr>
        <w:t xml:space="preserve"> (5), 1477-1484.</w:t>
      </w:r>
    </w:p>
    <w:p w:rsidR="00FA7F60" w:rsidRDefault="00FA7F60" w:rsidP="00FA7F60">
      <w:pPr>
        <w:pStyle w:val="a3"/>
        <w:rPr>
          <w:kern w:val="0"/>
          <w:szCs w:val="24"/>
        </w:rPr>
      </w:pPr>
      <w:r w:rsidRPr="00C73C58">
        <w:rPr>
          <w:kern w:val="0"/>
          <w:szCs w:val="24"/>
        </w:rPr>
        <w:t xml:space="preserve">Full Text: </w:t>
      </w:r>
      <w:r>
        <w:rPr>
          <w:kern w:val="0"/>
        </w:rPr>
        <w:t>2014</w:t>
      </w:r>
      <w:r w:rsidRPr="006D36D0">
        <w:rPr>
          <w:kern w:val="0"/>
          <w:szCs w:val="24"/>
        </w:rPr>
        <w:t xml:space="preserve">\Cel </w:t>
      </w:r>
      <w:r>
        <w:rPr>
          <w:rFonts w:hint="eastAsia"/>
          <w:kern w:val="0"/>
          <w:szCs w:val="24"/>
        </w:rPr>
        <w:t>Phy</w:t>
      </w:r>
      <w:r w:rsidRPr="006D36D0">
        <w:rPr>
          <w:kern w:val="0"/>
          <w:szCs w:val="24"/>
        </w:rPr>
        <w:t xml:space="preserve"> </w:t>
      </w:r>
      <w:r>
        <w:rPr>
          <w:rFonts w:hint="eastAsia"/>
          <w:kern w:val="0"/>
          <w:szCs w:val="24"/>
        </w:rPr>
        <w:t>Bio34</w:t>
      </w:r>
      <w:r w:rsidRPr="006D36D0">
        <w:rPr>
          <w:kern w:val="0"/>
          <w:szCs w:val="24"/>
        </w:rPr>
        <w:t xml:space="preserve">, </w:t>
      </w:r>
      <w:r>
        <w:rPr>
          <w:kern w:val="0"/>
        </w:rPr>
        <w:t>1477</w:t>
      </w:r>
      <w:r w:rsidRPr="006D36D0">
        <w:rPr>
          <w:kern w:val="0"/>
          <w:szCs w:val="24"/>
        </w:rPr>
        <w:t>.</w:t>
      </w:r>
      <w:r>
        <w:rPr>
          <w:kern w:val="0"/>
          <w:szCs w:val="24"/>
        </w:rPr>
        <w:t>pdf</w:t>
      </w:r>
    </w:p>
    <w:p w:rsidR="00FA7F60" w:rsidRDefault="00FA7F60" w:rsidP="00FA7F60">
      <w:pPr>
        <w:pStyle w:val="a3"/>
        <w:rPr>
          <w:kern w:val="0"/>
        </w:rPr>
      </w:pPr>
      <w:r>
        <w:rPr>
          <w:kern w:val="0"/>
        </w:rPr>
        <w:t>Abstract: Background/Aims: Previous studies suggested that high leptin level might increase risk of endometrial cancer, but available data were conflicting and whether high leptin level was an independent risk factor of endometrial cancer was still unclear. Therefore, a meta-analysis was performed to assess whether high leptin level was an independent risk factor of endometrial cancer. Methods: PubMed, Web of Science, and Embase databases were searched for epidemiological studies published up to June 26, 2014. The pooled risk ratio (RR) with 95% confidence interval (95%CI) was used to assess the association between leptin level and risk of endometrial cancer. Results: Six studies with a total of 3136 individuals were finally included into the meta-analysis. Meta-analysis of total 6 studies showed that high leptin level was associated with increased risk of endometrial cancer (RR = 2.55, 95%CI 1.91-3.41, P &lt; 0.001). After adjusting for confounding factors, high leptin level was also associated with increased risk of endometrial cancer (RR = 1.59, 95%CI 1.27-1.98, P &lt; 0.001). Sensitivity analysis proved the stability of the pooled estimates. The RR of endometrial cancer was 1.10 (95%CI, 1.03-1.18, P = 0.005) per 5 ng/mL increment in leptin levels. There was no obvious risk of publication bias (P Egger = 0.54). Conclusion: Our findings suggest that high leptin level is an independent risk factor of endometrial cancer. More prospective studies are needed to further confirm the association in the future. Copyright (C) 2014 S. Karger AG, Basel.</w:t>
      </w:r>
    </w:p>
    <w:p w:rsidR="00FA7F60" w:rsidRDefault="00FA7F60" w:rsidP="00FA7F60">
      <w:pPr>
        <w:pStyle w:val="a3"/>
        <w:rPr>
          <w:kern w:val="0"/>
        </w:rPr>
      </w:pPr>
      <w:r>
        <w:rPr>
          <w:kern w:val="0"/>
        </w:rPr>
        <w:t xml:space="preserve">Keywords: Adiponectin, Ag, Analysis, Association, Bias, Cancer, Cells, Confidence, </w:t>
      </w:r>
      <w:r>
        <w:rPr>
          <w:kern w:val="0"/>
        </w:rPr>
        <w:lastRenderedPageBreak/>
        <w:t>Confounding, Cyclin D1, Data, Databases, Endometrial Cancer, Estimates, Expression, Factors, Insulin-Resistance, Interval, Leptin, Meta Analysis, Meta-Analysis, Metaanalysis, Methods, Obesity, P, Pathways, Postmenopausal Women, Promotes, Prospective, Prospective Studies, Publication, Publication Bias, Pubmed, Results, Risk, Risk Factor, S, Science, Sensitivity, Sensitivity Analysis, Serum Leptin, Stability, Web, Web of Science</w:t>
      </w:r>
    </w:p>
    <w:p w:rsidR="002C0FA4" w:rsidRDefault="002C0FA4" w:rsidP="002C0FA4">
      <w:pPr>
        <w:pStyle w:val="a3"/>
      </w:pPr>
      <w:r>
        <w:rPr>
          <w:rFonts w:hint="eastAsia"/>
        </w:rPr>
        <w:t xml:space="preserve">? </w:t>
      </w:r>
      <w:r>
        <w:t xml:space="preserve">Wang, W., Li, G.Y., He, X.Y., Gao, J., Wang, R.B., Wang, Y.G. and Zhao, W.J. (2015), Serum 25-hydroxyvitamin D levels and prognosis in hematological malignancies: A systematic review and meta-analysis. </w:t>
      </w:r>
      <w:r>
        <w:rPr>
          <w:i/>
          <w:iCs/>
        </w:rPr>
        <w:t>Cellular Physiology and Biochemistry</w:t>
      </w:r>
      <w:r>
        <w:t xml:space="preserve">, </w:t>
      </w:r>
      <w:r>
        <w:rPr>
          <w:b/>
          <w:bCs/>
        </w:rPr>
        <w:t>35</w:t>
      </w:r>
      <w:r>
        <w:t xml:space="preserve"> (5), 1999-2005.</w:t>
      </w:r>
    </w:p>
    <w:p w:rsidR="002C0FA4" w:rsidRDefault="002C0FA4" w:rsidP="002C0FA4">
      <w:pPr>
        <w:pStyle w:val="a3"/>
        <w:rPr>
          <w:kern w:val="0"/>
          <w:szCs w:val="24"/>
        </w:rPr>
      </w:pPr>
      <w:r w:rsidRPr="00C73C58">
        <w:rPr>
          <w:kern w:val="0"/>
          <w:szCs w:val="24"/>
        </w:rPr>
        <w:t xml:space="preserve">Full Text: </w:t>
      </w:r>
      <w:r>
        <w:rPr>
          <w:kern w:val="0"/>
        </w:rPr>
        <w:t>201</w:t>
      </w:r>
      <w:r>
        <w:rPr>
          <w:rFonts w:hint="eastAsia"/>
          <w:kern w:val="0"/>
        </w:rPr>
        <w:t>5</w:t>
      </w:r>
      <w:r w:rsidRPr="006D36D0">
        <w:rPr>
          <w:kern w:val="0"/>
          <w:szCs w:val="24"/>
        </w:rPr>
        <w:t xml:space="preserve">\Cel </w:t>
      </w:r>
      <w:r>
        <w:rPr>
          <w:rFonts w:hint="eastAsia"/>
          <w:kern w:val="0"/>
          <w:szCs w:val="24"/>
        </w:rPr>
        <w:t>Phy</w:t>
      </w:r>
      <w:r w:rsidRPr="006D36D0">
        <w:rPr>
          <w:kern w:val="0"/>
          <w:szCs w:val="24"/>
        </w:rPr>
        <w:t xml:space="preserve"> </w:t>
      </w:r>
      <w:r>
        <w:rPr>
          <w:rFonts w:hint="eastAsia"/>
          <w:kern w:val="0"/>
          <w:szCs w:val="24"/>
        </w:rPr>
        <w:t>Bio35</w:t>
      </w:r>
      <w:r w:rsidRPr="006D36D0">
        <w:rPr>
          <w:kern w:val="0"/>
          <w:szCs w:val="24"/>
        </w:rPr>
        <w:t xml:space="preserve">, </w:t>
      </w:r>
      <w:r>
        <w:t>1999</w:t>
      </w:r>
      <w:r w:rsidRPr="006D36D0">
        <w:rPr>
          <w:kern w:val="0"/>
          <w:szCs w:val="24"/>
        </w:rPr>
        <w:t>.</w:t>
      </w:r>
      <w:r>
        <w:rPr>
          <w:kern w:val="0"/>
          <w:szCs w:val="24"/>
        </w:rPr>
        <w:t>pdf</w:t>
      </w:r>
    </w:p>
    <w:p w:rsidR="002C0FA4" w:rsidRDefault="002C0FA4" w:rsidP="002C0FA4">
      <w:pPr>
        <w:pStyle w:val="a3"/>
      </w:pPr>
      <w:r>
        <w:t>Abstract: Background/Aims: Serum 25-hydroxyvitamin D [25(OH) D] levels proved to be associated with prognosis of patients with colorectal cancer or breast cancer, but its prognostic role in hematological malignancies was still unclear. A systematic review and meta-analysis was performed to comprehensively evaluate the association between serum 25(OH) D levels and prognosis of patients with hematological malignancies. Methods: We searched Pubmed, Embase, Web of Science, and Google Scholar for studies evaluating the association between serum 25(OH) D levels and prognosis of patients with hematological malignancies. The hazard ratios (HR) with 95% confidence intervals (95% CI) for overall survival (OS) or relapse-free survival (RFS) were pooled using meta-analysis. Results: Seven studies with a total of 2,643 patients with hematological cancer were finally included into the meta-analysis. Overall, compared with normal serum 25(OH) D levels, low serum 25(OH) D levels were significantly associated with both poorer OS (HR = 1.85, 95% CI 1.54-2.23, P &lt; 0.001) and poorer RFS (HR = 1.45, 95% CI 1.25 to 1.70, P &lt; 0.001) in hematological malignancies. Subgroup analysis further showed that low serum 25(OH) D levels were significantly associated with poorer OS and RFS in both lymphoma and leukemia. Conclusion: Low serum 25(OH) D levels are significantly associated with poorer prognosis in patients with hematological malignancies including lymphoma and leukemia. Copyright (C) 2015 S. Karger AG, Basel.</w:t>
      </w:r>
    </w:p>
    <w:p w:rsidR="002C0FA4" w:rsidRDefault="002C0FA4" w:rsidP="002C0FA4">
      <w:pPr>
        <w:pStyle w:val="a3"/>
      </w:pPr>
      <w:r>
        <w:t>Keywords: 25-Hydroxyvitamin D, Ag, Analysis, Association, Breast Cancer, Cancer, Cancer-Patients, Colorectal Cancer, Confidence, Confidence Intervals, Copyright, D Deficiency, D Supplementation, D-Receptor, Google Scholar, Hazard, Intervals, Leukemia, Leukemia, Lymphoma, Lymphoma, Meta-Analysis, Metaanalysis, Multiple-Myeloma, Normal, P, Patients, Prognosis, Prognostic, Review, Role, Science, Serum, Survival, Survival, Systematic Review, Trial Sequential Metaanalysis, Vitamin-D Insufficiency, Web Of Science</w:t>
      </w:r>
    </w:p>
    <w:p w:rsidR="00253ADE" w:rsidRPr="001A3D2B" w:rsidRDefault="00253ADE" w:rsidP="00253ADE">
      <w:pPr>
        <w:pStyle w:val="1"/>
      </w:pPr>
      <w:r>
        <w:br w:type="page"/>
      </w:r>
      <w:bookmarkStart w:id="125" w:name="_Toc420814931"/>
      <w:r>
        <w:lastRenderedPageBreak/>
        <w:t>Title:</w:t>
      </w:r>
      <w:r>
        <w:rPr>
          <w:rFonts w:hint="eastAsia"/>
        </w:rPr>
        <w:t xml:space="preserve"> </w:t>
      </w:r>
      <w:r w:rsidRPr="00253ADE">
        <w:t>Central Asiatic Journal</w:t>
      </w:r>
      <w:bookmarkEnd w:id="125"/>
    </w:p>
    <w:p w:rsidR="00253ADE" w:rsidRPr="001A3D2B" w:rsidRDefault="00253ADE" w:rsidP="00253ADE">
      <w:pPr>
        <w:pStyle w:val="12"/>
      </w:pPr>
      <w:r w:rsidRPr="001A3D2B">
        <w:t xml:space="preserve">Full Journal Title: </w:t>
      </w:r>
      <w:r w:rsidRPr="00253ADE">
        <w:rPr>
          <w:iCs/>
          <w:kern w:val="0"/>
        </w:rPr>
        <w:t>Central Asiatic Journal</w:t>
      </w:r>
    </w:p>
    <w:p w:rsidR="00253ADE" w:rsidRPr="001A3D2B" w:rsidRDefault="00253ADE" w:rsidP="00253ADE">
      <w:pPr>
        <w:pStyle w:val="12"/>
      </w:pPr>
      <w:r w:rsidRPr="001A3D2B">
        <w:t xml:space="preserve">ISO Abbreviated Title: </w:t>
      </w:r>
    </w:p>
    <w:p w:rsidR="00253ADE" w:rsidRPr="001A3D2B" w:rsidRDefault="00253ADE" w:rsidP="00253ADE">
      <w:pPr>
        <w:pStyle w:val="12"/>
      </w:pPr>
      <w:r w:rsidRPr="001A3D2B">
        <w:t xml:space="preserve">JCR Abbreviated Title: </w:t>
      </w:r>
    </w:p>
    <w:p w:rsidR="00253ADE" w:rsidRPr="001A3D2B" w:rsidRDefault="00253ADE" w:rsidP="00253ADE">
      <w:pPr>
        <w:pStyle w:val="12"/>
      </w:pPr>
      <w:r>
        <w:t xml:space="preserve">ISSN: </w:t>
      </w:r>
    </w:p>
    <w:p w:rsidR="00253ADE" w:rsidRPr="001A3D2B" w:rsidRDefault="00253ADE" w:rsidP="00253ADE">
      <w:pPr>
        <w:pStyle w:val="12"/>
      </w:pPr>
      <w:r w:rsidRPr="001A3D2B">
        <w:t xml:space="preserve">Issues/Year: </w:t>
      </w:r>
    </w:p>
    <w:p w:rsidR="00253ADE" w:rsidRPr="001A3D2B" w:rsidRDefault="00253ADE" w:rsidP="00253ADE">
      <w:pPr>
        <w:pStyle w:val="12"/>
      </w:pPr>
      <w:r w:rsidRPr="001A3D2B">
        <w:t xml:space="preserve">Journal Country/Territory: </w:t>
      </w:r>
    </w:p>
    <w:p w:rsidR="00253ADE" w:rsidRPr="001A3D2B" w:rsidRDefault="00253ADE" w:rsidP="00253ADE">
      <w:pPr>
        <w:pStyle w:val="12"/>
      </w:pPr>
      <w:r w:rsidRPr="001A3D2B">
        <w:t xml:space="preserve">Language: </w:t>
      </w:r>
    </w:p>
    <w:p w:rsidR="00253ADE" w:rsidRPr="001A3D2B" w:rsidRDefault="00253ADE" w:rsidP="00253ADE">
      <w:pPr>
        <w:pStyle w:val="12"/>
      </w:pPr>
      <w:r w:rsidRPr="001A3D2B">
        <w:t xml:space="preserve">Publisher: </w:t>
      </w:r>
    </w:p>
    <w:p w:rsidR="00253ADE" w:rsidRPr="001A3D2B" w:rsidRDefault="00253ADE" w:rsidP="00253ADE">
      <w:pPr>
        <w:pStyle w:val="12"/>
      </w:pPr>
      <w:r w:rsidRPr="001A3D2B">
        <w:t xml:space="preserve">Publisher Address: </w:t>
      </w:r>
    </w:p>
    <w:p w:rsidR="00253ADE" w:rsidRPr="001A3D2B" w:rsidRDefault="00253ADE" w:rsidP="00253ADE">
      <w:pPr>
        <w:pStyle w:val="12"/>
      </w:pPr>
      <w:r w:rsidRPr="001A3D2B">
        <w:t>Subject Categories:</w:t>
      </w:r>
    </w:p>
    <w:p w:rsidR="00253ADE" w:rsidRPr="001A3D2B" w:rsidRDefault="00253ADE" w:rsidP="00253ADE">
      <w:pPr>
        <w:pStyle w:val="12"/>
      </w:pPr>
      <w:r w:rsidRPr="001A3D2B">
        <w:t xml:space="preserve">: Impact Factor </w:t>
      </w:r>
    </w:p>
    <w:p w:rsidR="00253ADE" w:rsidRDefault="00253ADE" w:rsidP="00253ADE">
      <w:pPr>
        <w:pStyle w:val="a3"/>
        <w:rPr>
          <w:kern w:val="0"/>
        </w:rPr>
      </w:pPr>
      <w:r>
        <w:rPr>
          <w:rFonts w:hint="eastAsia"/>
          <w:kern w:val="0"/>
        </w:rPr>
        <w:t xml:space="preserve">? </w:t>
      </w:r>
      <w:r>
        <w:rPr>
          <w:kern w:val="0"/>
        </w:rPr>
        <w:t>Hahn, R.F. (1993), Garments from top to toe</w:t>
      </w:r>
      <w:r>
        <w:rPr>
          <w:rFonts w:hint="eastAsia"/>
          <w:kern w:val="0"/>
        </w:rPr>
        <w:t>:</w:t>
      </w:r>
      <w:r>
        <w:rPr>
          <w:kern w:val="0"/>
        </w:rPr>
        <w:t xml:space="preserve"> Eastern turkic texts relating to articles</w:t>
      </w:r>
      <w:r w:rsidR="00427468">
        <w:rPr>
          <w:kern w:val="0"/>
        </w:rPr>
        <w:t xml:space="preserve"> of </w:t>
      </w:r>
      <w:r>
        <w:rPr>
          <w:kern w:val="0"/>
        </w:rPr>
        <w:t>clothing - edited with translation, notes</w:t>
      </w:r>
      <w:r w:rsidR="005853A9">
        <w:rPr>
          <w:kern w:val="0"/>
        </w:rPr>
        <w:t xml:space="preserve"> and </w:t>
      </w:r>
      <w:r>
        <w:rPr>
          <w:kern w:val="0"/>
        </w:rPr>
        <w:t>glossary - Jarring,</w:t>
      </w:r>
      <w:r>
        <w:rPr>
          <w:rFonts w:hint="eastAsia"/>
          <w:kern w:val="0"/>
        </w:rPr>
        <w:t xml:space="preserve"> </w:t>
      </w:r>
      <w:r>
        <w:rPr>
          <w:kern w:val="0"/>
        </w:rPr>
        <w:t xml:space="preserve">G. </w:t>
      </w:r>
      <w:r w:rsidRPr="00253ADE">
        <w:rPr>
          <w:i/>
          <w:iCs/>
          <w:kern w:val="0"/>
        </w:rPr>
        <w:t>Central Asiatic Journal</w:t>
      </w:r>
      <w:r>
        <w:rPr>
          <w:kern w:val="0"/>
        </w:rPr>
        <w:t xml:space="preserve">, </w:t>
      </w:r>
      <w:r>
        <w:rPr>
          <w:b/>
          <w:bCs/>
          <w:kern w:val="0"/>
        </w:rPr>
        <w:t>37</w:t>
      </w:r>
      <w:r>
        <w:rPr>
          <w:kern w:val="0"/>
        </w:rPr>
        <w:t xml:space="preserve"> (3-4), 335-337</w:t>
      </w:r>
    </w:p>
    <w:p w:rsidR="00253ADE" w:rsidRDefault="00253ADE" w:rsidP="00253ADE">
      <w:pPr>
        <w:pStyle w:val="a3"/>
        <w:rPr>
          <w:kern w:val="0"/>
        </w:rPr>
      </w:pPr>
      <w:r>
        <w:rPr>
          <w:kern w:val="0"/>
        </w:rPr>
        <w:t>Keywords: Articles</w:t>
      </w:r>
    </w:p>
    <w:p w:rsidR="004C21C0" w:rsidRPr="00217FB1" w:rsidRDefault="004C21C0" w:rsidP="004C21C0">
      <w:pPr>
        <w:pStyle w:val="1"/>
      </w:pPr>
      <w:r w:rsidRPr="00217FB1">
        <w:rPr>
          <w:lang w:val="en-GB"/>
        </w:rPr>
        <w:br w:type="page"/>
      </w:r>
      <w:bookmarkStart w:id="126" w:name="_Toc420814932"/>
      <w:r>
        <w:lastRenderedPageBreak/>
        <w:t xml:space="preserve">Title: </w:t>
      </w:r>
      <w:r w:rsidRPr="004C21C0">
        <w:t>Central European Journal of Biology</w:t>
      </w:r>
      <w:bookmarkEnd w:id="126"/>
    </w:p>
    <w:p w:rsidR="004C21C0" w:rsidRPr="00217FB1" w:rsidRDefault="004C21C0" w:rsidP="004C21C0">
      <w:pPr>
        <w:pStyle w:val="12"/>
      </w:pPr>
      <w:r w:rsidRPr="00217FB1">
        <w:t xml:space="preserve">Full Journal Title: </w:t>
      </w:r>
      <w:r w:rsidRPr="004C21C0">
        <w:rPr>
          <w:iCs/>
          <w:kern w:val="0"/>
        </w:rPr>
        <w:t>Central European Journal of Biology</w:t>
      </w:r>
    </w:p>
    <w:p w:rsidR="004C21C0" w:rsidRPr="00217FB1" w:rsidRDefault="004C21C0" w:rsidP="004C21C0">
      <w:pPr>
        <w:pStyle w:val="12"/>
      </w:pPr>
      <w:r w:rsidRPr="00217FB1">
        <w:t xml:space="preserve">ISO Abbreviated Title: </w:t>
      </w:r>
    </w:p>
    <w:p w:rsidR="004C21C0" w:rsidRPr="00217FB1" w:rsidRDefault="004C21C0" w:rsidP="004C21C0">
      <w:pPr>
        <w:pStyle w:val="12"/>
      </w:pPr>
      <w:r w:rsidRPr="00217FB1">
        <w:t>JCR Abbreviated Title</w:t>
      </w:r>
      <w:r>
        <w:t>:</w:t>
      </w:r>
      <w:r w:rsidRPr="00217FB1">
        <w:t xml:space="preserve"> </w:t>
      </w:r>
    </w:p>
    <w:p w:rsidR="004C21C0" w:rsidRPr="00217FB1" w:rsidRDefault="004C21C0" w:rsidP="004C21C0">
      <w:pPr>
        <w:pStyle w:val="12"/>
      </w:pPr>
      <w:r w:rsidRPr="00217FB1">
        <w:t xml:space="preserve">ISSN: </w:t>
      </w:r>
    </w:p>
    <w:p w:rsidR="004C21C0" w:rsidRPr="00217FB1" w:rsidRDefault="004C21C0" w:rsidP="004C21C0">
      <w:pPr>
        <w:pStyle w:val="12"/>
      </w:pPr>
      <w:r w:rsidRPr="00217FB1">
        <w:t xml:space="preserve">Issues/Year: </w:t>
      </w:r>
    </w:p>
    <w:p w:rsidR="004C21C0" w:rsidRPr="00217FB1" w:rsidRDefault="004C21C0" w:rsidP="004C21C0">
      <w:pPr>
        <w:pStyle w:val="12"/>
      </w:pPr>
      <w:r>
        <w:t xml:space="preserve">Journal Country/Territory: </w:t>
      </w:r>
    </w:p>
    <w:p w:rsidR="004C21C0" w:rsidRPr="00217FB1" w:rsidRDefault="004C21C0" w:rsidP="004C21C0">
      <w:pPr>
        <w:pStyle w:val="12"/>
      </w:pPr>
      <w:r w:rsidRPr="00217FB1">
        <w:t xml:space="preserve">Language: </w:t>
      </w:r>
    </w:p>
    <w:p w:rsidR="004C21C0" w:rsidRPr="00217FB1" w:rsidRDefault="004C21C0" w:rsidP="004C21C0">
      <w:pPr>
        <w:pStyle w:val="12"/>
      </w:pPr>
      <w:r w:rsidRPr="00217FB1">
        <w:t xml:space="preserve">Publisher: </w:t>
      </w:r>
    </w:p>
    <w:p w:rsidR="004C21C0" w:rsidRPr="00217FB1" w:rsidRDefault="004C21C0" w:rsidP="004C21C0">
      <w:pPr>
        <w:pStyle w:val="12"/>
      </w:pPr>
      <w:r w:rsidRPr="00217FB1">
        <w:t xml:space="preserve">Publisher Address: </w:t>
      </w:r>
    </w:p>
    <w:p w:rsidR="004C21C0" w:rsidRPr="00217FB1" w:rsidRDefault="004C21C0" w:rsidP="004C21C0">
      <w:pPr>
        <w:pStyle w:val="12"/>
      </w:pPr>
      <w:r w:rsidRPr="00217FB1">
        <w:t>Subject Categories:</w:t>
      </w:r>
    </w:p>
    <w:p w:rsidR="004C21C0" w:rsidRPr="00217FB1" w:rsidRDefault="004C21C0" w:rsidP="004C21C0">
      <w:pPr>
        <w:pStyle w:val="12"/>
      </w:pPr>
      <w:r w:rsidRPr="00217FB1">
        <w:t xml:space="preserve">: Impact Factor </w:t>
      </w:r>
    </w:p>
    <w:p w:rsidR="004C21C0" w:rsidRDefault="004C21C0" w:rsidP="004C21C0">
      <w:pPr>
        <w:pStyle w:val="a3"/>
        <w:rPr>
          <w:kern w:val="0"/>
        </w:rPr>
      </w:pPr>
      <w:r>
        <w:rPr>
          <w:rFonts w:hint="eastAsia"/>
          <w:kern w:val="0"/>
        </w:rPr>
        <w:t xml:space="preserve">? </w:t>
      </w:r>
      <w:r>
        <w:rPr>
          <w:kern w:val="0"/>
        </w:rPr>
        <w:t xml:space="preserve">Hochman, B., Tucci-Viegas, V.M., Monteiro, P.K.P., Franca, J.P., Gaiba, S. and Ferreira, L.M. (2014), The action of CGRP and SP on cultured skin fibroblasts. </w:t>
      </w:r>
      <w:r w:rsidRPr="004C21C0">
        <w:rPr>
          <w:i/>
          <w:iCs/>
          <w:kern w:val="0"/>
        </w:rPr>
        <w:t>Central European Journal of Biology</w:t>
      </w:r>
      <w:r>
        <w:rPr>
          <w:kern w:val="0"/>
        </w:rPr>
        <w:t xml:space="preserve">, </w:t>
      </w:r>
      <w:r>
        <w:rPr>
          <w:b/>
          <w:bCs/>
          <w:kern w:val="0"/>
        </w:rPr>
        <w:t>9</w:t>
      </w:r>
      <w:r>
        <w:rPr>
          <w:kern w:val="0"/>
        </w:rPr>
        <w:t xml:space="preserve"> (7), 717-726.</w:t>
      </w:r>
    </w:p>
    <w:p w:rsidR="004C21C0" w:rsidRDefault="004C21C0" w:rsidP="004C21C0">
      <w:pPr>
        <w:pStyle w:val="a3"/>
        <w:rPr>
          <w:kern w:val="0"/>
        </w:rPr>
      </w:pPr>
      <w:r>
        <w:rPr>
          <w:rFonts w:hint="eastAsia"/>
          <w:kern w:val="0"/>
        </w:rPr>
        <w:t xml:space="preserve">Full Text: </w:t>
      </w:r>
      <w:hyperlink r:id="rId162" w:history="1">
        <w:r w:rsidRPr="004C21C0">
          <w:rPr>
            <w:rStyle w:val="a5"/>
            <w:kern w:val="0"/>
          </w:rPr>
          <w:t>2014\Cen Eur J Bio9, 717.pdf</w:t>
        </w:r>
      </w:hyperlink>
    </w:p>
    <w:p w:rsidR="004C21C0" w:rsidRDefault="004C21C0" w:rsidP="004C21C0">
      <w:pPr>
        <w:pStyle w:val="a3"/>
        <w:rPr>
          <w:kern w:val="0"/>
        </w:rPr>
      </w:pPr>
      <w:r>
        <w:rPr>
          <w:kern w:val="0"/>
        </w:rPr>
        <w:t>Abstract: Calcitonin gene-related peptide (CGRP) is the most abundant neuropeptide in the skin, followed by substance P (SP), vasoactive intestinal peptide (VIP), and other neuropeptides in smaller amounts</w:t>
      </w:r>
      <w:r w:rsidR="00A37C1D">
        <w:rPr>
          <w:kern w:val="0"/>
        </w:rPr>
        <w:t>. The</w:t>
      </w:r>
      <w:r>
        <w:rPr>
          <w:kern w:val="0"/>
        </w:rPr>
        <w:t xml:space="preserve"> proliferative effect of neuropeptides on fibroblasts may affect wound healing and may be associated with hyperproliferative skin and mesenchymal disorders. Understanding the neuropeptidergic action on fibroblasts may provide relevant information to a deeper comprehension of the healing process. This study reviews the action of the main neuropeptides, CGRP and SP, on cultured human skin fibroblasts. A systematic literature search was conducted on Medline and Web of Science databases on December 21, 2013. A total of 74 articles were retrieved using the proposed search strategies and 3 were found in the references section of the selected articles. Thirteen of the retrieved articles studied the action of CGRP and SP on cultured human skin fibroblasts, 12 of which related to SP and 1 related to both CGRP and SP. Only one study was retrieved about the action of both CGRP and SP on cultured human skin fibroblasts. Further studies are necessary to investigate CGRP on skin fibroblasts and its role in the fibroplasia phase of wound healing.</w:t>
      </w:r>
    </w:p>
    <w:p w:rsidR="004C21C0" w:rsidRDefault="004C21C0" w:rsidP="004C21C0">
      <w:pPr>
        <w:pStyle w:val="a3"/>
        <w:rPr>
          <w:kern w:val="0"/>
        </w:rPr>
      </w:pPr>
      <w:r>
        <w:rPr>
          <w:kern w:val="0"/>
        </w:rPr>
        <w:t xml:space="preserve">Keywords: Adrenomedullin Binding, Articles, Calcitonin Gene-Related Peptide, Calcitonin-Gene, Cgrp, Databases, Fibroblasts, Gene-Related Peptide, Healing, Human, Information, Keratinocyte Cell-Line, Literature, Literature Search, Medline, Messenger-Rnas, Modifying Proteins Ramps, Nerve Growth-Factor, Neurogenic Inflammation, P, Receptor-Like Receptor, References, Reviews, Role, Science, </w:t>
      </w:r>
      <w:r>
        <w:rPr>
          <w:kern w:val="0"/>
        </w:rPr>
        <w:lastRenderedPageBreak/>
        <w:t>Search Strategies, Skin, Substance P, Substance-P Receptor, Systematic, Systematic Literature Search, Web Of Science, Web Of Science Databases, Wound, Wound Healing</w:t>
      </w:r>
    </w:p>
    <w:p w:rsidR="00D764AD" w:rsidRPr="00217FB1" w:rsidRDefault="00D764AD" w:rsidP="00D764AD">
      <w:pPr>
        <w:pStyle w:val="1"/>
      </w:pPr>
      <w:r w:rsidRPr="00217FB1">
        <w:rPr>
          <w:lang w:val="en-GB"/>
        </w:rPr>
        <w:br w:type="page"/>
      </w:r>
      <w:bookmarkStart w:id="127" w:name="_Toc420814933"/>
      <w:r>
        <w:lastRenderedPageBreak/>
        <w:t xml:space="preserve">Title: </w:t>
      </w:r>
      <w:r w:rsidRPr="00C17CB7">
        <w:rPr>
          <w:iCs w:val="0"/>
        </w:rPr>
        <w:t>Central European Journal</w:t>
      </w:r>
      <w:r w:rsidR="00427468">
        <w:rPr>
          <w:iCs w:val="0"/>
        </w:rPr>
        <w:t xml:space="preserve"> of </w:t>
      </w:r>
      <w:r w:rsidRPr="00C17CB7">
        <w:rPr>
          <w:iCs w:val="0"/>
        </w:rPr>
        <w:t>Medicine</w:t>
      </w:r>
      <w:bookmarkEnd w:id="127"/>
    </w:p>
    <w:p w:rsidR="00D764AD" w:rsidRPr="00217FB1" w:rsidRDefault="00D764AD" w:rsidP="00D764AD">
      <w:pPr>
        <w:pStyle w:val="12"/>
      </w:pPr>
      <w:r w:rsidRPr="00217FB1">
        <w:t xml:space="preserve">Full Journal Title: </w:t>
      </w:r>
      <w:r w:rsidRPr="00C17CB7">
        <w:rPr>
          <w:iCs/>
          <w:kern w:val="0"/>
        </w:rPr>
        <w:t>Central European Journal</w:t>
      </w:r>
      <w:r w:rsidR="00427468">
        <w:rPr>
          <w:iCs/>
          <w:kern w:val="0"/>
        </w:rPr>
        <w:t xml:space="preserve"> of </w:t>
      </w:r>
      <w:r w:rsidRPr="00C17CB7">
        <w:rPr>
          <w:iCs/>
          <w:kern w:val="0"/>
        </w:rPr>
        <w:t>Medicine</w:t>
      </w:r>
    </w:p>
    <w:p w:rsidR="00D764AD" w:rsidRPr="00217FB1" w:rsidRDefault="00D764AD" w:rsidP="00D764AD">
      <w:pPr>
        <w:pStyle w:val="12"/>
      </w:pPr>
      <w:r w:rsidRPr="00217FB1">
        <w:t xml:space="preserve">ISO Abbreviated Title: </w:t>
      </w:r>
    </w:p>
    <w:p w:rsidR="00D764AD" w:rsidRPr="00217FB1" w:rsidRDefault="00D764AD" w:rsidP="00D764AD">
      <w:pPr>
        <w:pStyle w:val="12"/>
      </w:pPr>
      <w:r w:rsidRPr="00217FB1">
        <w:t>JCR Abbreviated Title</w:t>
      </w:r>
      <w:r>
        <w:t>:</w:t>
      </w:r>
      <w:r w:rsidRPr="00217FB1">
        <w:t xml:space="preserve"> </w:t>
      </w:r>
    </w:p>
    <w:p w:rsidR="00D764AD" w:rsidRPr="00217FB1" w:rsidRDefault="00D764AD" w:rsidP="00D764AD">
      <w:pPr>
        <w:pStyle w:val="12"/>
      </w:pPr>
      <w:r w:rsidRPr="00217FB1">
        <w:t xml:space="preserve">ISSN: </w:t>
      </w:r>
    </w:p>
    <w:p w:rsidR="00D764AD" w:rsidRPr="00217FB1" w:rsidRDefault="00D764AD" w:rsidP="00D764AD">
      <w:pPr>
        <w:pStyle w:val="12"/>
      </w:pPr>
      <w:r w:rsidRPr="00217FB1">
        <w:t xml:space="preserve">Issues/Year: </w:t>
      </w:r>
    </w:p>
    <w:p w:rsidR="00D764AD" w:rsidRPr="00217FB1" w:rsidRDefault="00D764AD" w:rsidP="00D764AD">
      <w:pPr>
        <w:pStyle w:val="12"/>
      </w:pPr>
      <w:r>
        <w:t xml:space="preserve">Journal Country/Territory: </w:t>
      </w:r>
    </w:p>
    <w:p w:rsidR="00D764AD" w:rsidRPr="00217FB1" w:rsidRDefault="00D764AD" w:rsidP="00D764AD">
      <w:pPr>
        <w:pStyle w:val="12"/>
      </w:pPr>
      <w:r w:rsidRPr="00217FB1">
        <w:t xml:space="preserve">Language: </w:t>
      </w:r>
    </w:p>
    <w:p w:rsidR="00D764AD" w:rsidRPr="00217FB1" w:rsidRDefault="00D764AD" w:rsidP="00D764AD">
      <w:pPr>
        <w:pStyle w:val="12"/>
      </w:pPr>
      <w:r w:rsidRPr="00217FB1">
        <w:t xml:space="preserve">Publisher: </w:t>
      </w:r>
    </w:p>
    <w:p w:rsidR="00D764AD" w:rsidRPr="00217FB1" w:rsidRDefault="00D764AD" w:rsidP="00D764AD">
      <w:pPr>
        <w:pStyle w:val="12"/>
      </w:pPr>
      <w:r w:rsidRPr="00217FB1">
        <w:t xml:space="preserve">Publisher Address: </w:t>
      </w:r>
    </w:p>
    <w:p w:rsidR="00D764AD" w:rsidRPr="00217FB1" w:rsidRDefault="00D764AD" w:rsidP="00D764AD">
      <w:pPr>
        <w:pStyle w:val="12"/>
      </w:pPr>
      <w:r w:rsidRPr="00217FB1">
        <w:t>Subject Categories:</w:t>
      </w:r>
    </w:p>
    <w:p w:rsidR="00D764AD" w:rsidRPr="00217FB1" w:rsidRDefault="00D764AD" w:rsidP="00D764AD">
      <w:pPr>
        <w:pStyle w:val="12"/>
      </w:pPr>
      <w:r w:rsidRPr="00217FB1">
        <w:t xml:space="preserve">: Impact Factor </w:t>
      </w:r>
    </w:p>
    <w:p w:rsidR="00D764AD" w:rsidRDefault="00D764AD" w:rsidP="00D764AD">
      <w:pPr>
        <w:pStyle w:val="a3"/>
        <w:rPr>
          <w:kern w:val="0"/>
        </w:rPr>
      </w:pPr>
      <w:r>
        <w:rPr>
          <w:rFonts w:hint="eastAsia"/>
          <w:kern w:val="0"/>
        </w:rPr>
        <w:t xml:space="preserve">? </w:t>
      </w:r>
      <w:r>
        <w:rPr>
          <w:kern w:val="0"/>
        </w:rPr>
        <w:t>Elahi, B., Nikfar, S., Derakhshani, S., Vafaie, M.</w:t>
      </w:r>
      <w:r w:rsidR="005853A9">
        <w:rPr>
          <w:kern w:val="0"/>
        </w:rPr>
        <w:t xml:space="preserve"> and </w:t>
      </w:r>
      <w:r>
        <w:rPr>
          <w:kern w:val="0"/>
        </w:rPr>
        <w:t>Abdollahi, M. (2009), Benefit</w:t>
      </w:r>
      <w:r w:rsidR="00427468">
        <w:rPr>
          <w:kern w:val="0"/>
        </w:rPr>
        <w:t xml:space="preserve"> of </w:t>
      </w:r>
      <w:r>
        <w:rPr>
          <w:kern w:val="0"/>
        </w:rPr>
        <w:t>antibiotic therapy on pouchitis after ileal pouch anal anastomosis: A systematic review</w:t>
      </w:r>
      <w:r w:rsidR="005853A9">
        <w:rPr>
          <w:kern w:val="0"/>
        </w:rPr>
        <w:t xml:space="preserve"> and </w:t>
      </w:r>
      <w:r>
        <w:rPr>
          <w:kern w:val="0"/>
        </w:rPr>
        <w:t>meta-analysis</w:t>
      </w:r>
      <w:r w:rsidR="00427468">
        <w:rPr>
          <w:kern w:val="0"/>
        </w:rPr>
        <w:t xml:space="preserve"> of </w:t>
      </w:r>
      <w:r>
        <w:rPr>
          <w:kern w:val="0"/>
        </w:rPr>
        <w:t xml:space="preserve">clinical trials. </w:t>
      </w:r>
      <w:r w:rsidRPr="00C17CB7">
        <w:rPr>
          <w:i/>
          <w:iCs/>
          <w:kern w:val="0"/>
        </w:rPr>
        <w:t>Central European Journal</w:t>
      </w:r>
      <w:r w:rsidR="00427468">
        <w:rPr>
          <w:i/>
          <w:iCs/>
          <w:kern w:val="0"/>
        </w:rPr>
        <w:t xml:space="preserve"> of </w:t>
      </w:r>
      <w:r w:rsidRPr="00C17CB7">
        <w:rPr>
          <w:i/>
          <w:iCs/>
          <w:kern w:val="0"/>
        </w:rPr>
        <w:t>Medicine</w:t>
      </w:r>
      <w:r>
        <w:rPr>
          <w:kern w:val="0"/>
        </w:rPr>
        <w:t xml:space="preserve">, </w:t>
      </w:r>
      <w:r>
        <w:rPr>
          <w:b/>
          <w:bCs/>
          <w:kern w:val="0"/>
        </w:rPr>
        <w:t>4</w:t>
      </w:r>
      <w:r>
        <w:rPr>
          <w:kern w:val="0"/>
        </w:rPr>
        <w:t xml:space="preserve"> (2), 164-170.</w:t>
      </w:r>
    </w:p>
    <w:p w:rsidR="00D764AD" w:rsidRDefault="00D764AD" w:rsidP="00D764AD">
      <w:pPr>
        <w:pStyle w:val="a3"/>
        <w:rPr>
          <w:kern w:val="0"/>
        </w:rPr>
      </w:pPr>
      <w:r>
        <w:rPr>
          <w:kern w:val="0"/>
        </w:rPr>
        <w:t>Abstract:</w:t>
      </w:r>
      <w:r w:rsidR="003A1917">
        <w:rPr>
          <w:kern w:val="0"/>
        </w:rPr>
        <w:t xml:space="preserve"> the </w:t>
      </w:r>
      <w:r>
        <w:rPr>
          <w:kern w:val="0"/>
        </w:rPr>
        <w:t>aim</w:t>
      </w:r>
      <w:r w:rsidR="00427468">
        <w:rPr>
          <w:kern w:val="0"/>
        </w:rPr>
        <w:t xml:space="preserve"> of </w:t>
      </w:r>
      <w:r w:rsidR="003A1917">
        <w:rPr>
          <w:kern w:val="0"/>
        </w:rPr>
        <w:t xml:space="preserve">the </w:t>
      </w:r>
      <w:r>
        <w:rPr>
          <w:kern w:val="0"/>
        </w:rPr>
        <w:t>study was to evaluate</w:t>
      </w:r>
      <w:r w:rsidR="005853A9">
        <w:rPr>
          <w:kern w:val="0"/>
        </w:rPr>
        <w:t xml:space="preserve"> and </w:t>
      </w:r>
      <w:r>
        <w:rPr>
          <w:kern w:val="0"/>
        </w:rPr>
        <w:t>collect current evidence on</w:t>
      </w:r>
      <w:r w:rsidR="003A1917">
        <w:rPr>
          <w:kern w:val="0"/>
        </w:rPr>
        <w:t xml:space="preserve"> the </w:t>
      </w:r>
      <w:r>
        <w:rPr>
          <w:kern w:val="0"/>
        </w:rPr>
        <w:t>effect</w:t>
      </w:r>
      <w:r w:rsidR="00427468">
        <w:rPr>
          <w:kern w:val="0"/>
        </w:rPr>
        <w:t xml:space="preserve"> of </w:t>
      </w:r>
      <w:r>
        <w:rPr>
          <w:kern w:val="0"/>
        </w:rPr>
        <w:t>antibiotics in pretreatment</w:t>
      </w:r>
      <w:r w:rsidR="00427468">
        <w:rPr>
          <w:kern w:val="0"/>
        </w:rPr>
        <w:t xml:space="preserve"> of </w:t>
      </w:r>
      <w:r>
        <w:rPr>
          <w:kern w:val="0"/>
        </w:rPr>
        <w:t xml:space="preserve">pouchitis after restorative ileal pouch anal anastomosis (IPAA). PUBMED, EMBASE,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Pr>
          <w:kern w:val="0"/>
        </w:rPr>
        <w:t>Cochrane Library databases were searched between 1966</w:t>
      </w:r>
      <w:r w:rsidR="005853A9">
        <w:rPr>
          <w:kern w:val="0"/>
        </w:rPr>
        <w:t xml:space="preserve"> and </w:t>
      </w:r>
      <w:r>
        <w:rPr>
          <w:kern w:val="0"/>
        </w:rPr>
        <w:t>July 2008;</w:t>
      </w:r>
      <w:r w:rsidR="005853A9">
        <w:rPr>
          <w:kern w:val="0"/>
        </w:rPr>
        <w:t xml:space="preserve"> and </w:t>
      </w:r>
      <w:r>
        <w:rPr>
          <w:kern w:val="0"/>
        </w:rPr>
        <w:t>relevant clinical trials extracted, reviewed,</w:t>
      </w:r>
      <w:r w:rsidR="005853A9">
        <w:rPr>
          <w:kern w:val="0"/>
        </w:rPr>
        <w:t xml:space="preserve"> and </w:t>
      </w:r>
      <w:r>
        <w:rPr>
          <w:kern w:val="0"/>
        </w:rPr>
        <w:t>validated according to</w:t>
      </w:r>
      <w:r w:rsidR="003A1917">
        <w:rPr>
          <w:kern w:val="0"/>
        </w:rPr>
        <w:t xml:space="preserve"> the </w:t>
      </w:r>
      <w:r>
        <w:rPr>
          <w:kern w:val="0"/>
        </w:rPr>
        <w:t>study protocol</w:t>
      </w:r>
      <w:r w:rsidR="00A37C1D">
        <w:rPr>
          <w:kern w:val="0"/>
        </w:rPr>
        <w:t>. The</w:t>
      </w:r>
      <w:r w:rsidR="003A1917">
        <w:rPr>
          <w:kern w:val="0"/>
        </w:rPr>
        <w:t xml:space="preserve"> </w:t>
      </w:r>
      <w:r>
        <w:rPr>
          <w:kern w:val="0"/>
        </w:rPr>
        <w:t>outcome</w:t>
      </w:r>
      <w:r w:rsidR="00427468">
        <w:rPr>
          <w:kern w:val="0"/>
        </w:rPr>
        <w:t xml:space="preserve"> of </w:t>
      </w:r>
      <w:r>
        <w:rPr>
          <w:kern w:val="0"/>
        </w:rPr>
        <w:t>interest was clinical improvement after treatment. Nine randomized, placebo-controlled clinical trials were found relevant</w:t>
      </w:r>
      <w:r w:rsidR="005853A9">
        <w:rPr>
          <w:kern w:val="0"/>
        </w:rPr>
        <w:t xml:space="preserve"> and </w:t>
      </w:r>
      <w:r>
        <w:rPr>
          <w:kern w:val="0"/>
        </w:rPr>
        <w:t>studied but 3</w:t>
      </w:r>
      <w:r w:rsidR="00427468">
        <w:rPr>
          <w:kern w:val="0"/>
        </w:rPr>
        <w:t xml:space="preserve"> of </w:t>
      </w:r>
      <w:r>
        <w:rPr>
          <w:kern w:val="0"/>
        </w:rPr>
        <w:t>them with 70 patients were entered into meta-analysis. Pooling</w:t>
      </w:r>
      <w:r w:rsidR="00427468">
        <w:rPr>
          <w:kern w:val="0"/>
        </w:rPr>
        <w:t xml:space="preserve"> of </w:t>
      </w:r>
      <w:r w:rsidR="003A1917">
        <w:rPr>
          <w:kern w:val="0"/>
        </w:rPr>
        <w:t xml:space="preserve">the </w:t>
      </w:r>
      <w:r>
        <w:rPr>
          <w:kern w:val="0"/>
        </w:rPr>
        <w:t>results from these trials yielded an odds ratio</w:t>
      </w:r>
      <w:r w:rsidR="00427468">
        <w:rPr>
          <w:kern w:val="0"/>
        </w:rPr>
        <w:t xml:space="preserve"> of </w:t>
      </w:r>
      <w:r>
        <w:rPr>
          <w:kern w:val="0"/>
        </w:rPr>
        <w:t>15.96 with a 95% CI</w:t>
      </w:r>
      <w:r w:rsidR="00427468">
        <w:rPr>
          <w:kern w:val="0"/>
        </w:rPr>
        <w:t xml:space="preserve"> of </w:t>
      </w:r>
      <w:r>
        <w:rPr>
          <w:kern w:val="0"/>
        </w:rPr>
        <w:t>4.20-60.70, indicating a significant OR (p &lt; 0.0001) in treatment group in comparison to</w:t>
      </w:r>
      <w:r w:rsidR="003A1917">
        <w:rPr>
          <w:kern w:val="0"/>
        </w:rPr>
        <w:t xml:space="preserve"> the </w:t>
      </w:r>
      <w:r>
        <w:rPr>
          <w:kern w:val="0"/>
        </w:rPr>
        <w:t>placebo group. In conclusion,</w:t>
      </w:r>
      <w:r w:rsidR="003A1917">
        <w:rPr>
          <w:kern w:val="0"/>
        </w:rPr>
        <w:t xml:space="preserve"> the </w:t>
      </w:r>
      <w:r>
        <w:rPr>
          <w:kern w:val="0"/>
        </w:rPr>
        <w:t>meta-analysis confirms benefit</w:t>
      </w:r>
      <w:r w:rsidR="00427468">
        <w:rPr>
          <w:kern w:val="0"/>
        </w:rPr>
        <w:t xml:space="preserve"> of </w:t>
      </w:r>
      <w:r>
        <w:rPr>
          <w:kern w:val="0"/>
        </w:rPr>
        <w:t>antibiotics in management</w:t>
      </w:r>
      <w:r w:rsidR="00427468">
        <w:rPr>
          <w:kern w:val="0"/>
        </w:rPr>
        <w:t xml:space="preserve"> of </w:t>
      </w:r>
      <w:r>
        <w:rPr>
          <w:kern w:val="0"/>
        </w:rPr>
        <w:t>pouchitis after IPAA operation.</w:t>
      </w:r>
    </w:p>
    <w:p w:rsidR="00D764AD" w:rsidRDefault="00D764AD" w:rsidP="00D764AD">
      <w:pPr>
        <w:pStyle w:val="a3"/>
        <w:rPr>
          <w:kern w:val="0"/>
        </w:rPr>
      </w:pPr>
      <w:r>
        <w:rPr>
          <w:kern w:val="0"/>
        </w:rPr>
        <w:t xml:space="preserve">Keywords: Antibiotic, Antibiotics, Ciprofloxacin, Clinical Trials, Cochrane, Combination Therapy, Crohns-Disease, Databases, Double-Blind, Ileal Pouch Anal Anastomosis, Inflammatory-Bowel-Disease, Interest, Management, Meta-Analysis, Metronidazole, Outcome, Pouchitis, Probiotics, Protocol, Ratio, Restorative Proctocolectomy, Review, Science, Scopus, Systematic, Systematic Review, Therapy, Treat Refractory Pouchitis, Treatment, Ulcerative-Colitis, </w:t>
      </w:r>
      <w:r w:rsidR="00D5664A">
        <w:rPr>
          <w:kern w:val="0"/>
        </w:rPr>
        <w:t>Web</w:t>
      </w:r>
      <w:r w:rsidR="00427468">
        <w:rPr>
          <w:kern w:val="0"/>
        </w:rPr>
        <w:t xml:space="preserve"> of </w:t>
      </w:r>
      <w:r w:rsidR="00D5664A">
        <w:rPr>
          <w:kern w:val="0"/>
        </w:rPr>
        <w:t>Science</w:t>
      </w:r>
    </w:p>
    <w:p w:rsidR="00D764AD" w:rsidRPr="00217FB1" w:rsidRDefault="00D764AD" w:rsidP="00D764AD">
      <w:pPr>
        <w:pStyle w:val="1"/>
      </w:pPr>
      <w:r w:rsidRPr="00217FB1">
        <w:rPr>
          <w:lang w:val="en-GB"/>
        </w:rPr>
        <w:br w:type="page"/>
      </w:r>
      <w:bookmarkStart w:id="128" w:name="_Toc420814934"/>
      <w:r>
        <w:lastRenderedPageBreak/>
        <w:t xml:space="preserve">Title: </w:t>
      </w:r>
      <w:r w:rsidRPr="00C17CB7">
        <w:rPr>
          <w:iCs w:val="0"/>
        </w:rPr>
        <w:t>Central European Neurosurgery</w:t>
      </w:r>
      <w:bookmarkEnd w:id="128"/>
    </w:p>
    <w:p w:rsidR="00D764AD" w:rsidRPr="00217FB1" w:rsidRDefault="00D764AD" w:rsidP="00D764AD">
      <w:pPr>
        <w:pStyle w:val="12"/>
      </w:pPr>
      <w:r w:rsidRPr="00217FB1">
        <w:t xml:space="preserve">Full Journal Title: </w:t>
      </w:r>
      <w:r w:rsidRPr="00C17CB7">
        <w:rPr>
          <w:iCs/>
          <w:kern w:val="0"/>
        </w:rPr>
        <w:t>Central European Neurosurgery</w:t>
      </w:r>
    </w:p>
    <w:p w:rsidR="00D764AD" w:rsidRPr="00217FB1" w:rsidRDefault="00D764AD" w:rsidP="00D764AD">
      <w:pPr>
        <w:pStyle w:val="12"/>
      </w:pPr>
      <w:r w:rsidRPr="00217FB1">
        <w:t xml:space="preserve">ISO Abbreviated Title: </w:t>
      </w:r>
    </w:p>
    <w:p w:rsidR="00D764AD" w:rsidRPr="00217FB1" w:rsidRDefault="00D764AD" w:rsidP="00D764AD">
      <w:pPr>
        <w:pStyle w:val="12"/>
      </w:pPr>
      <w:r w:rsidRPr="00217FB1">
        <w:t>JCR Abbreviated Title</w:t>
      </w:r>
      <w:r>
        <w:t>:</w:t>
      </w:r>
      <w:r w:rsidRPr="00217FB1">
        <w:t xml:space="preserve"> </w:t>
      </w:r>
    </w:p>
    <w:p w:rsidR="00D764AD" w:rsidRPr="00217FB1" w:rsidRDefault="00D764AD" w:rsidP="00D764AD">
      <w:pPr>
        <w:pStyle w:val="12"/>
      </w:pPr>
      <w:r w:rsidRPr="00217FB1">
        <w:t xml:space="preserve">ISSN: </w:t>
      </w:r>
    </w:p>
    <w:p w:rsidR="00D764AD" w:rsidRPr="00217FB1" w:rsidRDefault="00D764AD" w:rsidP="00D764AD">
      <w:pPr>
        <w:pStyle w:val="12"/>
      </w:pPr>
      <w:r w:rsidRPr="00217FB1">
        <w:t xml:space="preserve">Issues/Year: </w:t>
      </w:r>
    </w:p>
    <w:p w:rsidR="00D764AD" w:rsidRPr="00217FB1" w:rsidRDefault="00D764AD" w:rsidP="00D764AD">
      <w:pPr>
        <w:pStyle w:val="12"/>
      </w:pPr>
      <w:r>
        <w:t xml:space="preserve">Journal Country/Territory: </w:t>
      </w:r>
    </w:p>
    <w:p w:rsidR="00D764AD" w:rsidRPr="00217FB1" w:rsidRDefault="00D764AD" w:rsidP="00D764AD">
      <w:pPr>
        <w:pStyle w:val="12"/>
      </w:pPr>
      <w:r w:rsidRPr="00217FB1">
        <w:t xml:space="preserve">Language: </w:t>
      </w:r>
    </w:p>
    <w:p w:rsidR="00D764AD" w:rsidRPr="00217FB1" w:rsidRDefault="00D764AD" w:rsidP="00D764AD">
      <w:pPr>
        <w:pStyle w:val="12"/>
      </w:pPr>
      <w:r w:rsidRPr="00217FB1">
        <w:t xml:space="preserve">Publisher: </w:t>
      </w:r>
    </w:p>
    <w:p w:rsidR="00D764AD" w:rsidRPr="00217FB1" w:rsidRDefault="00D764AD" w:rsidP="00D764AD">
      <w:pPr>
        <w:pStyle w:val="12"/>
      </w:pPr>
      <w:r w:rsidRPr="00217FB1">
        <w:t xml:space="preserve">Publisher Address: </w:t>
      </w:r>
    </w:p>
    <w:p w:rsidR="00D764AD" w:rsidRPr="00217FB1" w:rsidRDefault="00D764AD" w:rsidP="00D764AD">
      <w:pPr>
        <w:pStyle w:val="12"/>
      </w:pPr>
      <w:r w:rsidRPr="00217FB1">
        <w:t>Subject Categories:</w:t>
      </w:r>
    </w:p>
    <w:p w:rsidR="00D764AD" w:rsidRPr="00217FB1" w:rsidRDefault="00D764AD" w:rsidP="00D764AD">
      <w:pPr>
        <w:pStyle w:val="12"/>
      </w:pPr>
      <w:r w:rsidRPr="00217FB1">
        <w:t xml:space="preserve">: Impact Factor </w:t>
      </w:r>
    </w:p>
    <w:p w:rsidR="00D764AD" w:rsidRDefault="00D764AD" w:rsidP="00D764AD">
      <w:pPr>
        <w:pStyle w:val="a3"/>
        <w:rPr>
          <w:kern w:val="0"/>
        </w:rPr>
      </w:pPr>
      <w:r>
        <w:rPr>
          <w:rFonts w:hint="eastAsia"/>
          <w:kern w:val="0"/>
        </w:rPr>
        <w:t xml:space="preserve">? </w:t>
      </w:r>
      <w:r>
        <w:rPr>
          <w:kern w:val="0"/>
        </w:rPr>
        <w:t>Zieger, M., Schwarz, R., Konig, H.H., Harter, M.</w:t>
      </w:r>
      <w:r w:rsidR="005853A9">
        <w:rPr>
          <w:kern w:val="0"/>
        </w:rPr>
        <w:t xml:space="preserve"> and </w:t>
      </w:r>
      <w:r>
        <w:rPr>
          <w:kern w:val="0"/>
        </w:rPr>
        <w:t>Riedel-Heller, S.G. (2010), Depression</w:t>
      </w:r>
      <w:r w:rsidR="005853A9">
        <w:rPr>
          <w:kern w:val="0"/>
        </w:rPr>
        <w:t xml:space="preserve"> and </w:t>
      </w:r>
      <w:r>
        <w:rPr>
          <w:kern w:val="0"/>
        </w:rPr>
        <w:t xml:space="preserve">anxiety in patients undergoing herniated disc surgery: Relevant but underresearched: A systematic review. </w:t>
      </w:r>
      <w:r w:rsidRPr="00C17CB7">
        <w:rPr>
          <w:i/>
          <w:iCs/>
          <w:kern w:val="0"/>
        </w:rPr>
        <w:t>Central European Neurosurgery</w:t>
      </w:r>
      <w:r>
        <w:rPr>
          <w:kern w:val="0"/>
        </w:rPr>
        <w:t xml:space="preserve">, </w:t>
      </w:r>
      <w:r>
        <w:rPr>
          <w:b/>
          <w:bCs/>
          <w:kern w:val="0"/>
        </w:rPr>
        <w:t>71</w:t>
      </w:r>
      <w:r>
        <w:rPr>
          <w:kern w:val="0"/>
        </w:rPr>
        <w:t xml:space="preserve"> (1), 26-34.</w:t>
      </w:r>
    </w:p>
    <w:p w:rsidR="00D764AD" w:rsidRDefault="00D764AD" w:rsidP="00D764AD">
      <w:pPr>
        <w:pStyle w:val="a3"/>
        <w:rPr>
          <w:kern w:val="0"/>
        </w:rPr>
      </w:pPr>
      <w:r>
        <w:rPr>
          <w:kern w:val="0"/>
        </w:rPr>
        <w:t>Abstract: Background: An association between depression</w:t>
      </w:r>
      <w:r w:rsidR="005853A9">
        <w:rPr>
          <w:kern w:val="0"/>
        </w:rPr>
        <w:t xml:space="preserve"> and </w:t>
      </w:r>
      <w:r>
        <w:rPr>
          <w:kern w:val="0"/>
        </w:rPr>
        <w:t>anxiety</w:t>
      </w:r>
      <w:r w:rsidR="005853A9">
        <w:rPr>
          <w:kern w:val="0"/>
        </w:rPr>
        <w:t xml:space="preserve"> and </w:t>
      </w:r>
      <w:r>
        <w:rPr>
          <w:kern w:val="0"/>
        </w:rPr>
        <w:t>musculoskeletal disorders has been consistently reported in</w:t>
      </w:r>
      <w:r w:rsidR="003A1917">
        <w:rPr>
          <w:kern w:val="0"/>
        </w:rPr>
        <w:t xml:space="preserve"> the </w:t>
      </w:r>
      <w:r>
        <w:rPr>
          <w:kern w:val="0"/>
        </w:rPr>
        <w:t>past years. This article provides a systematic overview</w:t>
      </w:r>
      <w:r w:rsidR="00427468">
        <w:rPr>
          <w:kern w:val="0"/>
        </w:rPr>
        <w:t xml:space="preserve"> of </w:t>
      </w:r>
      <w:r w:rsidR="003A1917">
        <w:rPr>
          <w:kern w:val="0"/>
        </w:rPr>
        <w:t xml:space="preserve">the </w:t>
      </w:r>
      <w:r>
        <w:rPr>
          <w:kern w:val="0"/>
        </w:rPr>
        <w:t>literature on</w:t>
      </w:r>
      <w:r w:rsidR="003A1917">
        <w:rPr>
          <w:kern w:val="0"/>
        </w:rPr>
        <w:t xml:space="preserve"> the </w:t>
      </w:r>
      <w:r>
        <w:rPr>
          <w:kern w:val="0"/>
        </w:rPr>
        <w:t>prevalence rates</w:t>
      </w:r>
      <w:r w:rsidR="00427468">
        <w:rPr>
          <w:kern w:val="0"/>
        </w:rPr>
        <w:t xml:space="preserve"> of </w:t>
      </w:r>
      <w:r>
        <w:rPr>
          <w:kern w:val="0"/>
        </w:rPr>
        <w:t>depression</w:t>
      </w:r>
      <w:r w:rsidR="005853A9">
        <w:rPr>
          <w:kern w:val="0"/>
        </w:rPr>
        <w:t xml:space="preserve"> and </w:t>
      </w:r>
      <w:r>
        <w:rPr>
          <w:kern w:val="0"/>
        </w:rPr>
        <w:t>anxiety in patients undergoing surgery for a herniated disc. Methods: A systematic literature search was conducted in</w:t>
      </w:r>
      <w:r w:rsidR="003A1917">
        <w:rPr>
          <w:kern w:val="0"/>
        </w:rPr>
        <w:t xml:space="preserve"> the </w:t>
      </w:r>
      <w:r>
        <w:rPr>
          <w:kern w:val="0"/>
        </w:rPr>
        <w:t xml:space="preserve">following electronic databases: PUBMED, PsycINFO, </w:t>
      </w:r>
      <w:r w:rsidR="00D5664A">
        <w:rPr>
          <w:kern w:val="0"/>
        </w:rPr>
        <w:t>Web</w:t>
      </w:r>
      <w:r w:rsidR="00427468">
        <w:rPr>
          <w:kern w:val="0"/>
        </w:rPr>
        <w:t xml:space="preserve"> of </w:t>
      </w:r>
      <w:r w:rsidR="00D5664A">
        <w:rPr>
          <w:kern w:val="0"/>
        </w:rPr>
        <w:t>Science</w:t>
      </w:r>
      <w:r>
        <w:rPr>
          <w:kern w:val="0"/>
        </w:rPr>
        <w:t>, Cochrane Library</w:t>
      </w:r>
      <w:r w:rsidR="005853A9">
        <w:rPr>
          <w:kern w:val="0"/>
        </w:rPr>
        <w:t xml:space="preserve"> and </w:t>
      </w:r>
      <w:r>
        <w:rPr>
          <w:kern w:val="0"/>
        </w:rPr>
        <w:t>PSYNDEXplus</w:t>
      </w:r>
      <w:r w:rsidR="00A37C1D">
        <w:rPr>
          <w:kern w:val="0"/>
        </w:rPr>
        <w:t>. The</w:t>
      </w:r>
      <w:r w:rsidR="003A1917">
        <w:rPr>
          <w:kern w:val="0"/>
        </w:rPr>
        <w:t xml:space="preserve"> </w:t>
      </w:r>
      <w:r>
        <w:rPr>
          <w:kern w:val="0"/>
        </w:rPr>
        <w:t>identified articles were evaluated for prevalence rates</w:t>
      </w:r>
      <w:r w:rsidR="00427468">
        <w:rPr>
          <w:kern w:val="0"/>
        </w:rPr>
        <w:t xml:space="preserve"> of </w:t>
      </w:r>
      <w:r>
        <w:rPr>
          <w:kern w:val="0"/>
        </w:rPr>
        <w:t>depression</w:t>
      </w:r>
      <w:r w:rsidR="005853A9">
        <w:rPr>
          <w:kern w:val="0"/>
        </w:rPr>
        <w:t xml:space="preserve"> and </w:t>
      </w:r>
      <w:r>
        <w:rPr>
          <w:kern w:val="0"/>
        </w:rPr>
        <w:t>anxiety, methodological issues, change</w:t>
      </w:r>
      <w:r w:rsidR="00427468">
        <w:rPr>
          <w:kern w:val="0"/>
        </w:rPr>
        <w:t xml:space="preserve"> of </w:t>
      </w:r>
      <w:r>
        <w:rPr>
          <w:kern w:val="0"/>
        </w:rPr>
        <w:t>depression</w:t>
      </w:r>
      <w:r w:rsidR="005853A9">
        <w:rPr>
          <w:kern w:val="0"/>
        </w:rPr>
        <w:t xml:space="preserve"> and </w:t>
      </w:r>
      <w:r>
        <w:rPr>
          <w:kern w:val="0"/>
        </w:rPr>
        <w:t>anxiety over time,</w:t>
      </w:r>
      <w:r w:rsidR="005853A9">
        <w:rPr>
          <w:kern w:val="0"/>
        </w:rPr>
        <w:t xml:space="preserve"> and </w:t>
      </w:r>
      <w:r>
        <w:rPr>
          <w:kern w:val="0"/>
        </w:rPr>
        <w:t>major findings on</w:t>
      </w:r>
      <w:r w:rsidR="003A1917">
        <w:rPr>
          <w:kern w:val="0"/>
        </w:rPr>
        <w:t xml:space="preserve"> the </w:t>
      </w:r>
      <w:r>
        <w:rPr>
          <w:kern w:val="0"/>
        </w:rPr>
        <w:t>impact</w:t>
      </w:r>
      <w:r w:rsidR="00427468">
        <w:rPr>
          <w:kern w:val="0"/>
        </w:rPr>
        <w:t xml:space="preserve"> of </w:t>
      </w:r>
      <w:r>
        <w:rPr>
          <w:kern w:val="0"/>
        </w:rPr>
        <w:t>depression</w:t>
      </w:r>
      <w:r w:rsidR="005853A9">
        <w:rPr>
          <w:kern w:val="0"/>
        </w:rPr>
        <w:t xml:space="preserve"> and </w:t>
      </w:r>
      <w:r>
        <w:rPr>
          <w:kern w:val="0"/>
        </w:rPr>
        <w:t>anxiety on patients undergoing disc surgery. Results: Fourteen studies were identified. Prevalence rates for depression</w:t>
      </w:r>
      <w:r w:rsidR="005853A9">
        <w:rPr>
          <w:kern w:val="0"/>
        </w:rPr>
        <w:t xml:space="preserve"> and </w:t>
      </w:r>
      <w:r>
        <w:rPr>
          <w:kern w:val="0"/>
        </w:rPr>
        <w:t>anxiety in patients undergoing disc surgery varied between 21.5%</w:t>
      </w:r>
      <w:r w:rsidR="005853A9">
        <w:rPr>
          <w:kern w:val="0"/>
        </w:rPr>
        <w:t xml:space="preserve"> and </w:t>
      </w:r>
      <w:r>
        <w:rPr>
          <w:kern w:val="0"/>
        </w:rPr>
        <w:t>49.3% before</w:t>
      </w:r>
      <w:r w:rsidR="005853A9">
        <w:rPr>
          <w:kern w:val="0"/>
        </w:rPr>
        <w:t xml:space="preserve"> and </w:t>
      </w:r>
      <w:r>
        <w:rPr>
          <w:kern w:val="0"/>
        </w:rPr>
        <w:t>between 4.1%</w:t>
      </w:r>
      <w:r w:rsidR="005853A9">
        <w:rPr>
          <w:kern w:val="0"/>
        </w:rPr>
        <w:t xml:space="preserve"> and </w:t>
      </w:r>
      <w:r>
        <w:rPr>
          <w:kern w:val="0"/>
        </w:rPr>
        <w:t>79.6% after disc surgery</w:t>
      </w:r>
      <w:r w:rsidR="00A37C1D">
        <w:rPr>
          <w:kern w:val="0"/>
        </w:rPr>
        <w:t>. The</w:t>
      </w:r>
      <w:r w:rsidR="003A1917">
        <w:rPr>
          <w:kern w:val="0"/>
        </w:rPr>
        <w:t xml:space="preserve"> </w:t>
      </w:r>
      <w:r>
        <w:rPr>
          <w:kern w:val="0"/>
        </w:rPr>
        <w:t>study designs,</w:t>
      </w:r>
      <w:r w:rsidR="003A1917">
        <w:rPr>
          <w:kern w:val="0"/>
        </w:rPr>
        <w:t xml:space="preserve"> the </w:t>
      </w:r>
      <w:r>
        <w:rPr>
          <w:kern w:val="0"/>
        </w:rPr>
        <w:t>use</w:t>
      </w:r>
      <w:r w:rsidR="00427468">
        <w:rPr>
          <w:kern w:val="0"/>
        </w:rPr>
        <w:t xml:space="preserve"> of </w:t>
      </w:r>
      <w:r>
        <w:rPr>
          <w:kern w:val="0"/>
        </w:rPr>
        <w:t>assessment instruments</w:t>
      </w:r>
      <w:r w:rsidR="005853A9">
        <w:rPr>
          <w:kern w:val="0"/>
        </w:rPr>
        <w:t xml:space="preserve"> and </w:t>
      </w:r>
      <w:r>
        <w:rPr>
          <w:kern w:val="0"/>
        </w:rPr>
        <w:t>cut-off values varied greatly. Depression</w:t>
      </w:r>
      <w:r w:rsidR="005853A9">
        <w:rPr>
          <w:kern w:val="0"/>
        </w:rPr>
        <w:t xml:space="preserve"> and </w:t>
      </w:r>
      <w:r>
        <w:rPr>
          <w:kern w:val="0"/>
        </w:rPr>
        <w:t>anxiety decreased within</w:t>
      </w:r>
      <w:r w:rsidR="003A1917">
        <w:rPr>
          <w:kern w:val="0"/>
        </w:rPr>
        <w:t xml:space="preserve"> the </w:t>
      </w:r>
      <w:r>
        <w:rPr>
          <w:kern w:val="0"/>
        </w:rPr>
        <w:t>population</w:t>
      </w:r>
      <w:r w:rsidR="00427468">
        <w:rPr>
          <w:kern w:val="0"/>
        </w:rPr>
        <w:t xml:space="preserve"> of </w:t>
      </w:r>
      <w:r>
        <w:rPr>
          <w:kern w:val="0"/>
        </w:rPr>
        <w:t>disc surgery patients over time. Depression</w:t>
      </w:r>
      <w:r w:rsidR="005853A9">
        <w:rPr>
          <w:kern w:val="0"/>
        </w:rPr>
        <w:t xml:space="preserve"> and </w:t>
      </w:r>
      <w:r>
        <w:rPr>
          <w:kern w:val="0"/>
        </w:rPr>
        <w:t>anxiety were found to have a great impact on</w:t>
      </w:r>
      <w:r w:rsidR="003A1917">
        <w:rPr>
          <w:kern w:val="0"/>
        </w:rPr>
        <w:t xml:space="preserve"> the </w:t>
      </w:r>
      <w:r>
        <w:rPr>
          <w:kern w:val="0"/>
        </w:rPr>
        <w:t>postoperative outcome</w:t>
      </w:r>
      <w:r w:rsidR="00427468">
        <w:rPr>
          <w:kern w:val="0"/>
        </w:rPr>
        <w:t xml:space="preserve"> of </w:t>
      </w:r>
      <w:r>
        <w:rPr>
          <w:kern w:val="0"/>
        </w:rPr>
        <w:t>surgery, return to work, analgesia abuse, pain experience,</w:t>
      </w:r>
      <w:r w:rsidR="005853A9">
        <w:rPr>
          <w:kern w:val="0"/>
        </w:rPr>
        <w:t xml:space="preserve"> and </w:t>
      </w:r>
      <w:r>
        <w:rPr>
          <w:kern w:val="0"/>
        </w:rPr>
        <w:t>abnormal illness behaviour. Conclusions: Little research has been done to investigate depression</w:t>
      </w:r>
      <w:r w:rsidR="005853A9">
        <w:rPr>
          <w:kern w:val="0"/>
        </w:rPr>
        <w:t xml:space="preserve"> and </w:t>
      </w:r>
      <w:r>
        <w:rPr>
          <w:kern w:val="0"/>
        </w:rPr>
        <w:t>anxiety in patients undergoing surgery for a herniated disc. Evidently disc surgery patients are at higher risk</w:t>
      </w:r>
      <w:r w:rsidR="00427468">
        <w:rPr>
          <w:kern w:val="0"/>
        </w:rPr>
        <w:t xml:space="preserve"> of </w:t>
      </w:r>
      <w:r>
        <w:rPr>
          <w:kern w:val="0"/>
        </w:rPr>
        <w:t>suffering from depression</w:t>
      </w:r>
      <w:r w:rsidR="005853A9">
        <w:rPr>
          <w:kern w:val="0"/>
        </w:rPr>
        <w:t xml:space="preserve"> and </w:t>
      </w:r>
      <w:r>
        <w:rPr>
          <w:kern w:val="0"/>
        </w:rPr>
        <w:t>anxiety than</w:t>
      </w:r>
      <w:r w:rsidR="003A1917">
        <w:rPr>
          <w:kern w:val="0"/>
        </w:rPr>
        <w:t xml:space="preserve"> the </w:t>
      </w:r>
      <w:r>
        <w:rPr>
          <w:kern w:val="0"/>
        </w:rPr>
        <w:t>general population</w:t>
      </w:r>
      <w:r w:rsidR="00A37C1D">
        <w:rPr>
          <w:kern w:val="0"/>
        </w:rPr>
        <w:t>. The</w:t>
      </w:r>
      <w:r w:rsidR="003A1917">
        <w:rPr>
          <w:kern w:val="0"/>
        </w:rPr>
        <w:t xml:space="preserve"> </w:t>
      </w:r>
      <w:r>
        <w:rPr>
          <w:kern w:val="0"/>
        </w:rPr>
        <w:t>review outlines</w:t>
      </w:r>
      <w:r w:rsidR="003A1917">
        <w:rPr>
          <w:kern w:val="0"/>
        </w:rPr>
        <w:t xml:space="preserve"> the </w:t>
      </w:r>
      <w:r>
        <w:rPr>
          <w:kern w:val="0"/>
        </w:rPr>
        <w:t>importance for clinicians to be more sensitive to psychological concerns in patients undergoing disc surgery. Psychological assessment</w:t>
      </w:r>
      <w:r w:rsidR="005853A9">
        <w:rPr>
          <w:kern w:val="0"/>
        </w:rPr>
        <w:t xml:space="preserve"> and </w:t>
      </w:r>
      <w:r>
        <w:rPr>
          <w:kern w:val="0"/>
        </w:rPr>
        <w:t xml:space="preserve">assistance from </w:t>
      </w:r>
      <w:r>
        <w:rPr>
          <w:kern w:val="0"/>
        </w:rPr>
        <w:lastRenderedPageBreak/>
        <w:t>mental health professionals should be considered during</w:t>
      </w:r>
      <w:r w:rsidR="003A1917">
        <w:rPr>
          <w:kern w:val="0"/>
        </w:rPr>
        <w:t xml:space="preserve"> the </w:t>
      </w:r>
      <w:r>
        <w:rPr>
          <w:kern w:val="0"/>
        </w:rPr>
        <w:t>hospital stay</w:t>
      </w:r>
      <w:r w:rsidR="005853A9">
        <w:rPr>
          <w:kern w:val="0"/>
        </w:rPr>
        <w:t xml:space="preserve"> and </w:t>
      </w:r>
      <w:r>
        <w:rPr>
          <w:kern w:val="0"/>
        </w:rPr>
        <w:t>rehabilitation period, depending on local feasibility. Further investigations are necessary to examine whether</w:t>
      </w:r>
      <w:r w:rsidR="003A1917">
        <w:rPr>
          <w:kern w:val="0"/>
        </w:rPr>
        <w:t xml:space="preserve"> the </w:t>
      </w:r>
      <w:r>
        <w:rPr>
          <w:kern w:val="0"/>
        </w:rPr>
        <w:t>implementation</w:t>
      </w:r>
      <w:r w:rsidR="00427468">
        <w:rPr>
          <w:kern w:val="0"/>
        </w:rPr>
        <w:t xml:space="preserve"> of </w:t>
      </w:r>
      <w:r>
        <w:rPr>
          <w:kern w:val="0"/>
        </w:rPr>
        <w:t>a multidisciplinary in-patient treatment program will improve postoperative outcome in patients undergoing intervertebral disc surgery.</w:t>
      </w:r>
    </w:p>
    <w:p w:rsidR="00D764AD" w:rsidRDefault="00D764AD" w:rsidP="00D764AD">
      <w:pPr>
        <w:pStyle w:val="a3"/>
        <w:rPr>
          <w:kern w:val="0"/>
        </w:rPr>
      </w:pPr>
      <w:r>
        <w:rPr>
          <w:kern w:val="0"/>
        </w:rPr>
        <w:t>Keywords: Analgesia, Anxiety, Assessment, Cervical Diskectomy, Cochrane, Databases, Depression, Depression</w:t>
      </w:r>
      <w:r w:rsidR="005853A9">
        <w:rPr>
          <w:kern w:val="0"/>
        </w:rPr>
        <w:t xml:space="preserve"> and </w:t>
      </w:r>
      <w:r>
        <w:rPr>
          <w:kern w:val="0"/>
        </w:rPr>
        <w:t xml:space="preserve">Anxiety, Disc Surgery, Feasibility, Follow-Up, Hospital, Impact, Literature, Low-Back-Pain, Lumbar Diskectomy, Mental Health, Methods, Musculoskeletal, Outcome, Overview, Pain, Prevalence, Psychiatric-Disorders, Psychological, PUBMED, Rehabilitation, Rehabilitation Patients, Research, Return to Work, Review, Risk, Risk-Factors, Scale, Science, Spine, Surgery, Systematic, Systematic Review, Treatment,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129" w:name="_Toc420814935"/>
      <w:r w:rsidRPr="001A3D2B">
        <w:lastRenderedPageBreak/>
        <w:t>Title: Cephalalgia</w:t>
      </w:r>
      <w:bookmarkEnd w:id="129"/>
    </w:p>
    <w:p w:rsidR="003474F2" w:rsidRPr="001A3D2B" w:rsidRDefault="003474F2" w:rsidP="003474F2">
      <w:pPr>
        <w:pStyle w:val="12"/>
      </w:pPr>
      <w:r w:rsidRPr="001A3D2B">
        <w:t xml:space="preserve">Full Journal Title: </w:t>
      </w:r>
      <w:r w:rsidR="00DF61FE">
        <w:fldChar w:fldCharType="begin"/>
      </w:r>
      <w:r w:rsidR="00FD158B">
        <w:instrText>HYPERL</w:instrText>
      </w:r>
      <w:bookmarkStart w:id="130" w:name="_Toc92480124"/>
      <w:r w:rsidR="00FD158B">
        <w:instrText>INK "http://www.bl</w:instrText>
      </w:r>
      <w:bookmarkEnd w:id="130"/>
      <w:r w:rsidR="00FD158B">
        <w:instrText>ackwell-synergy.com/servlet/useragent?func=showIssues&amp;code=cha"</w:instrText>
      </w:r>
      <w:r w:rsidR="00DF61FE">
        <w:fldChar w:fldCharType="separate"/>
      </w:r>
      <w:r w:rsidRPr="001A3D2B">
        <w:rPr>
          <w:rStyle w:val="a5"/>
        </w:rPr>
        <w:t>Cephalalgia</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0333-1024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Moseley, </w:t>
      </w:r>
      <w:smartTag w:uri="urn:schemas-microsoft-com:office:smarttags" w:element="place">
        <w:r w:rsidRPr="001A3D2B">
          <w:t>I.</w:t>
        </w:r>
      </w:smartTag>
      <w:r w:rsidRPr="001A3D2B">
        <w:t xml:space="preserve"> (2000), How to write</w:t>
      </w:r>
      <w:r w:rsidR="005853A9">
        <w:t xml:space="preserve"> and </w:t>
      </w:r>
      <w:r w:rsidRPr="001A3D2B">
        <w:t xml:space="preserve">publish a scientific paper, 5th edn. </w:t>
      </w:r>
      <w:r w:rsidRPr="001A3D2B">
        <w:rPr>
          <w:i/>
          <w:iCs/>
        </w:rPr>
        <w:t>Cephalalgia</w:t>
      </w:r>
      <w:r w:rsidRPr="001A3D2B">
        <w:t xml:space="preserve">, </w:t>
      </w:r>
      <w:r w:rsidRPr="001A3D2B">
        <w:rPr>
          <w:b/>
          <w:bCs/>
        </w:rPr>
        <w:t>20</w:t>
      </w:r>
      <w:r w:rsidRPr="001A3D2B">
        <w:t xml:space="preserve"> (2), 141-142.</w:t>
      </w:r>
    </w:p>
    <w:p w:rsidR="003474F2" w:rsidRPr="001A3D2B" w:rsidRDefault="003474F2" w:rsidP="003474F2">
      <w:pPr>
        <w:pStyle w:val="a3"/>
      </w:pPr>
      <w:r w:rsidRPr="001A3D2B">
        <w:t xml:space="preserve">Full Text: </w:t>
      </w:r>
      <w:hyperlink r:id="rId163" w:history="1">
        <w:r w:rsidRPr="001A3D2B">
          <w:rPr>
            <w:rStyle w:val="a5"/>
          </w:rPr>
          <w:t>2000\Cephalalgia17, 141.pdf</w:t>
        </w:r>
      </w:hyperlink>
    </w:p>
    <w:p w:rsidR="00FC692B" w:rsidRPr="001A3D2B" w:rsidRDefault="00FC692B" w:rsidP="00FC692B">
      <w:pPr>
        <w:pStyle w:val="1"/>
      </w:pPr>
      <w:r w:rsidRPr="001A3D2B">
        <w:br w:type="page"/>
      </w:r>
      <w:bookmarkStart w:id="131" w:name="_Toc420814936"/>
      <w:r w:rsidRPr="001A3D2B">
        <w:lastRenderedPageBreak/>
        <w:t xml:space="preserve">Title: </w:t>
      </w:r>
      <w:r w:rsidRPr="00FC692B">
        <w:t>Cerebrovascular Diseases</w:t>
      </w:r>
      <w:bookmarkEnd w:id="131"/>
    </w:p>
    <w:p w:rsidR="00FC692B" w:rsidRPr="001A3D2B" w:rsidRDefault="00FC692B" w:rsidP="00FC692B">
      <w:pPr>
        <w:pStyle w:val="12"/>
      </w:pPr>
      <w:r w:rsidRPr="001A3D2B">
        <w:t xml:space="preserve">Full Journal Title: </w:t>
      </w:r>
      <w:r w:rsidRPr="00FC692B">
        <w:rPr>
          <w:iCs/>
          <w:kern w:val="0"/>
        </w:rPr>
        <w:t>Cerebrovascular Diseases</w:t>
      </w:r>
    </w:p>
    <w:p w:rsidR="00FC692B" w:rsidRPr="001A3D2B" w:rsidRDefault="00FC692B" w:rsidP="00FC692B">
      <w:pPr>
        <w:pStyle w:val="12"/>
      </w:pPr>
      <w:r w:rsidRPr="001A3D2B">
        <w:t xml:space="preserve">ISO Abbreviated Title: </w:t>
      </w:r>
    </w:p>
    <w:p w:rsidR="00FC692B" w:rsidRPr="001A3D2B" w:rsidRDefault="00FC692B" w:rsidP="00FC692B">
      <w:pPr>
        <w:pStyle w:val="12"/>
      </w:pPr>
      <w:r w:rsidRPr="001A3D2B">
        <w:t xml:space="preserve">JCR Abbreviated Title: </w:t>
      </w:r>
    </w:p>
    <w:p w:rsidR="00FC692B" w:rsidRPr="001A3D2B" w:rsidRDefault="00FC692B" w:rsidP="00FC692B">
      <w:pPr>
        <w:pStyle w:val="12"/>
      </w:pPr>
      <w:r w:rsidRPr="001A3D2B">
        <w:t xml:space="preserve">ISSN: </w:t>
      </w:r>
    </w:p>
    <w:p w:rsidR="00FC692B" w:rsidRPr="001A3D2B" w:rsidRDefault="00FC692B" w:rsidP="00FC692B">
      <w:pPr>
        <w:pStyle w:val="12"/>
      </w:pPr>
      <w:r w:rsidRPr="001A3D2B">
        <w:t xml:space="preserve">Issues/Year: </w:t>
      </w:r>
    </w:p>
    <w:p w:rsidR="00FC692B" w:rsidRPr="001A3D2B" w:rsidRDefault="00FC692B" w:rsidP="00FC692B">
      <w:pPr>
        <w:pStyle w:val="12"/>
      </w:pPr>
      <w:r w:rsidRPr="001A3D2B">
        <w:t xml:space="preserve">Journal Country/Territory: </w:t>
      </w:r>
    </w:p>
    <w:p w:rsidR="00FC692B" w:rsidRPr="001A3D2B" w:rsidRDefault="00FC692B" w:rsidP="00FC692B">
      <w:pPr>
        <w:pStyle w:val="12"/>
      </w:pPr>
      <w:r w:rsidRPr="001A3D2B">
        <w:t xml:space="preserve">Language: </w:t>
      </w:r>
    </w:p>
    <w:p w:rsidR="00FC692B" w:rsidRPr="001A3D2B" w:rsidRDefault="00FC692B" w:rsidP="00FC692B">
      <w:pPr>
        <w:pStyle w:val="12"/>
      </w:pPr>
      <w:r w:rsidRPr="001A3D2B">
        <w:t xml:space="preserve">Publisher: </w:t>
      </w:r>
    </w:p>
    <w:p w:rsidR="00FC692B" w:rsidRPr="001A3D2B" w:rsidRDefault="00FC692B" w:rsidP="00FC692B">
      <w:pPr>
        <w:pStyle w:val="12"/>
      </w:pPr>
      <w:r w:rsidRPr="001A3D2B">
        <w:t xml:space="preserve">Publisher Address: </w:t>
      </w:r>
    </w:p>
    <w:p w:rsidR="00FC692B" w:rsidRPr="001A3D2B" w:rsidRDefault="00FC692B" w:rsidP="00FC692B">
      <w:pPr>
        <w:pStyle w:val="12"/>
      </w:pPr>
      <w:r w:rsidRPr="001A3D2B">
        <w:t>Subject Categories:</w:t>
      </w:r>
    </w:p>
    <w:p w:rsidR="00FC692B" w:rsidRPr="001A3D2B" w:rsidRDefault="00FC692B" w:rsidP="00FC692B">
      <w:pPr>
        <w:pStyle w:val="12"/>
      </w:pPr>
      <w:r w:rsidRPr="001A3D2B">
        <w:t xml:space="preserve">: Impact Factor </w:t>
      </w:r>
    </w:p>
    <w:p w:rsidR="00FC692B" w:rsidRDefault="00FC692B" w:rsidP="00FC692B">
      <w:pPr>
        <w:pStyle w:val="a3"/>
        <w:rPr>
          <w:kern w:val="0"/>
        </w:rPr>
      </w:pPr>
      <w:r>
        <w:rPr>
          <w:rFonts w:hint="eastAsia"/>
          <w:kern w:val="0"/>
        </w:rPr>
        <w:t xml:space="preserve">? </w:t>
      </w:r>
      <w:r>
        <w:rPr>
          <w:kern w:val="0"/>
        </w:rPr>
        <w:t xml:space="preserve">Zhang, M.J., Hu, Z.C., Yin, Y.W., Li, B.H., Liu, Y., Liao, S.Q., Gao, C.Y., Li, J.C. and Zhang, L.L. (2014), A meta-analysis of the relationship between MTHFR gene A1298C polymorphism and the risk of adult stroke. </w:t>
      </w:r>
      <w:r w:rsidRPr="00FC692B">
        <w:rPr>
          <w:i/>
          <w:iCs/>
          <w:kern w:val="0"/>
        </w:rPr>
        <w:t>Cerebrovascular Diseases</w:t>
      </w:r>
      <w:r>
        <w:rPr>
          <w:kern w:val="0"/>
        </w:rPr>
        <w:t xml:space="preserve">, </w:t>
      </w:r>
      <w:r>
        <w:rPr>
          <w:b/>
          <w:bCs/>
          <w:kern w:val="0"/>
        </w:rPr>
        <w:t>38</w:t>
      </w:r>
      <w:r>
        <w:rPr>
          <w:kern w:val="0"/>
        </w:rPr>
        <w:t xml:space="preserve"> (6), 425-432.</w:t>
      </w:r>
    </w:p>
    <w:p w:rsidR="00FC692B" w:rsidRDefault="00FC692B" w:rsidP="00FC692B">
      <w:pPr>
        <w:pStyle w:val="a3"/>
        <w:rPr>
          <w:kern w:val="0"/>
        </w:rPr>
      </w:pPr>
      <w:r>
        <w:rPr>
          <w:rFonts w:hint="eastAsia"/>
          <w:kern w:val="0"/>
        </w:rPr>
        <w:t>Full Text: 2014\</w:t>
      </w:r>
      <w:r>
        <w:rPr>
          <w:iCs/>
          <w:kern w:val="0"/>
        </w:rPr>
        <w:t>Cer Dis</w:t>
      </w:r>
      <w:r w:rsidRPr="00754C74">
        <w:rPr>
          <w:bCs/>
          <w:kern w:val="0"/>
        </w:rPr>
        <w:t>38</w:t>
      </w:r>
      <w:r>
        <w:rPr>
          <w:kern w:val="0"/>
        </w:rPr>
        <w:t>, 425</w:t>
      </w:r>
      <w:r>
        <w:rPr>
          <w:rFonts w:hint="eastAsia"/>
          <w:kern w:val="0"/>
        </w:rPr>
        <w:t>.pdf</w:t>
      </w:r>
    </w:p>
    <w:p w:rsidR="00FC692B" w:rsidRDefault="00FC692B" w:rsidP="00FC692B">
      <w:pPr>
        <w:pStyle w:val="a3"/>
        <w:rPr>
          <w:kern w:val="0"/>
        </w:rPr>
      </w:pPr>
      <w:r>
        <w:rPr>
          <w:kern w:val="0"/>
        </w:rPr>
        <w:t xml:space="preserve">Abstract: Background: The association between methylenetetrahydrofolate reductase (MTHFR) gene A1298C polymorphism and adult stroke remains controversial. The present article was designed to clarify this relationship through pooled analysis of the numerous epidemiological studies focusing on this association. Methods: We comprehensively searched all published papers in electronic database including PubMed, Embase, Web of Science, Chinese Biomedical Literature on disc (CBMdisc) and China National Knowledge Infrastructure (CNKI) up to 2013. The pooled odds ratios (ORs) with 95% confidence intervals (CIs) for allelic (C allele vs. A allele), additive (CC vs. AA), dominant (CC+AC vs. AA), and recessive (CC vs. AA+AC) models were calculated. Subgroup and sensitivity analyses were performed to detect the heterogeneity and examine the reliability of results, respectively. Begg’s funnel plots and Egger’s regression test were used to assess the potential publication bias. Results: A total of fifteen studies containing 2,361 cases and 2,653 controls were included in the final meta-analysis. The combined re-sults of overall analysis showed that there was significant association between MTHFR gene A1298C polymorphism and adult stroke (allelic model: OR =1.36, 95% CI =1.11-1.67; additive model: OR =1.88, 95% CI =1.12-3.18; dominant model: OR =1.33, 95% CI =1.08-1.65 and recessive model: OR =1.77, 95% CI =1.07-2.94, respectively). On subgroup analysis by ethnicity of study population, significant association was shown in meta-analysis based on Asian population (allelic model: OR =1.40, 95% CI =1.19-1.65; additive </w:t>
      </w:r>
      <w:r>
        <w:rPr>
          <w:kern w:val="0"/>
        </w:rPr>
        <w:lastRenderedPageBreak/>
        <w:t>model: OR =2.58, 95% CI =1.34-4.96; dominant model: OR =1.44, 95% CI =1.20-1.73 and recessive model: OR =2.12, 95% CI = 1.20-3.76, respectively), but not in Caucasian population (allelic model: OR =1.30, 95% CI =0.93-1.82; additive model: OR =1.65, 95% CI =0.81-3.33; dominant model: OR =1.17, 95% CI =0.86-1.61 and recessive model: OR =1.70, 95% CI = 0.83-3.50, respectively). In addition, the heterogeneity was effectively removed or decreased by limiting the included studies with population of Asian ethnicity. Furthermore, the corresponding pooled ORs were not materially changed in all genetic models of meta-analysis after limiting the included studies with population-based controls. However, except the recessive model, publication bias presented in the allelic, additive, dominant models identified by the Begg’s funnel plots and Egger’s regression test. Conclusions: In conclusion, the overall analysis suggests that MTHFR gene A1298C polymorphism plays an important role in the development of adult stroke. Genotype CC of MTHFR-1298A/C could increase the risk of stroke and may act as a predictor for clinical evaluation, especially in the Asian population. More studies with large-scale and different ethnicities are required to further confirm our findings. (c) 2014 S. Karger AG, Basel.</w:t>
      </w:r>
    </w:p>
    <w:p w:rsidR="00FC692B" w:rsidRDefault="00FC692B" w:rsidP="00FC692B">
      <w:pPr>
        <w:pStyle w:val="a3"/>
        <w:rPr>
          <w:kern w:val="0"/>
        </w:rPr>
      </w:pPr>
      <w:r>
        <w:rPr>
          <w:kern w:val="0"/>
        </w:rPr>
        <w:t>Keywords: A1298c, Adult, Ag, Analyses, Analysis, Article, Asian, Association, Bias, Biomedical, C677t, Caucasian, China, Chinese, Clinical, Confidence, Confidence Intervals, Database, Development, Ethnicity, Evaluation, Gene, Gene Polymorphism, Genetic, Genotype, Heart-Disease, Heterogeneity, Homocysteine Levels, Hyperhomocysteinemia, Intervals, Ischemic-Stroke, Knowledge, Literature, Meta Analysis, Meta-Analysis, Metaanalysis, Metabolism, Methods, Methylenetetrahydrofolate Reductase, Methylenetetrahydrofolate Reductase MTHFR, Model, Models, MTHFR, Papers, Polymorphism, Pooled Analysis, Population, Population Based, Population-Based, Potential, Predictor, Publication, Publication Bias, Pubmed, Regression, Reliability, Results, Risk, Role, S, Science, Sensitivity, Stroke, Vascular-Disease, Web, Web Of Science</w:t>
      </w:r>
    </w:p>
    <w:p w:rsidR="00475AEC" w:rsidRPr="001A3D2B" w:rsidRDefault="00475AEC" w:rsidP="00475AEC">
      <w:pPr>
        <w:pStyle w:val="1"/>
      </w:pPr>
      <w:r w:rsidRPr="001A3D2B">
        <w:br w:type="page"/>
      </w:r>
      <w:bookmarkStart w:id="132" w:name="_Toc420814937"/>
      <w:r w:rsidRPr="001A3D2B">
        <w:lastRenderedPageBreak/>
        <w:t xml:space="preserve">Title: </w:t>
      </w:r>
      <w:r w:rsidRPr="00475AEC">
        <w:t>Ceskoslovenska Psychologie</w:t>
      </w:r>
      <w:bookmarkEnd w:id="132"/>
    </w:p>
    <w:p w:rsidR="00475AEC" w:rsidRPr="001A3D2B" w:rsidRDefault="00475AEC" w:rsidP="00475AEC">
      <w:pPr>
        <w:pStyle w:val="12"/>
      </w:pPr>
      <w:r w:rsidRPr="001A3D2B">
        <w:t xml:space="preserve">Full Journal Title: </w:t>
      </w:r>
      <w:r w:rsidRPr="00475AEC">
        <w:rPr>
          <w:iCs/>
          <w:kern w:val="0"/>
        </w:rPr>
        <w:t>Ceskoslovenska Psychologie</w:t>
      </w:r>
    </w:p>
    <w:p w:rsidR="00475AEC" w:rsidRPr="001A3D2B" w:rsidRDefault="00475AEC" w:rsidP="00475AEC">
      <w:pPr>
        <w:pStyle w:val="12"/>
      </w:pPr>
      <w:r w:rsidRPr="001A3D2B">
        <w:t xml:space="preserve">ISO Abbreviated Title: </w:t>
      </w:r>
    </w:p>
    <w:p w:rsidR="00475AEC" w:rsidRPr="001A3D2B" w:rsidRDefault="00475AEC" w:rsidP="00475AEC">
      <w:pPr>
        <w:pStyle w:val="12"/>
      </w:pPr>
      <w:r w:rsidRPr="001A3D2B">
        <w:t xml:space="preserve">JCR Abbreviated Title: </w:t>
      </w:r>
    </w:p>
    <w:p w:rsidR="00475AEC" w:rsidRPr="001A3D2B" w:rsidRDefault="00475AEC" w:rsidP="00475AEC">
      <w:pPr>
        <w:pStyle w:val="12"/>
      </w:pPr>
      <w:r w:rsidRPr="001A3D2B">
        <w:t xml:space="preserve">ISSN: </w:t>
      </w:r>
    </w:p>
    <w:p w:rsidR="00475AEC" w:rsidRPr="001A3D2B" w:rsidRDefault="00475AEC" w:rsidP="00475AEC">
      <w:pPr>
        <w:pStyle w:val="12"/>
      </w:pPr>
      <w:r w:rsidRPr="001A3D2B">
        <w:t xml:space="preserve">Issues/Year: </w:t>
      </w:r>
    </w:p>
    <w:p w:rsidR="00475AEC" w:rsidRPr="001A3D2B" w:rsidRDefault="00475AEC" w:rsidP="00475AEC">
      <w:pPr>
        <w:pStyle w:val="12"/>
      </w:pPr>
      <w:r w:rsidRPr="001A3D2B">
        <w:t xml:space="preserve">Journal Country/Territory: </w:t>
      </w:r>
    </w:p>
    <w:p w:rsidR="00475AEC" w:rsidRPr="001A3D2B" w:rsidRDefault="00475AEC" w:rsidP="00475AEC">
      <w:pPr>
        <w:pStyle w:val="12"/>
      </w:pPr>
      <w:r w:rsidRPr="001A3D2B">
        <w:t xml:space="preserve">Language: </w:t>
      </w:r>
    </w:p>
    <w:p w:rsidR="00475AEC" w:rsidRPr="001A3D2B" w:rsidRDefault="00475AEC" w:rsidP="00475AEC">
      <w:pPr>
        <w:pStyle w:val="12"/>
      </w:pPr>
      <w:r w:rsidRPr="001A3D2B">
        <w:t xml:space="preserve">Publisher: </w:t>
      </w:r>
    </w:p>
    <w:p w:rsidR="00475AEC" w:rsidRPr="001A3D2B" w:rsidRDefault="00475AEC" w:rsidP="00475AEC">
      <w:pPr>
        <w:pStyle w:val="12"/>
      </w:pPr>
      <w:r w:rsidRPr="001A3D2B">
        <w:t xml:space="preserve">Publisher Address: </w:t>
      </w:r>
    </w:p>
    <w:p w:rsidR="00475AEC" w:rsidRPr="001A3D2B" w:rsidRDefault="00475AEC" w:rsidP="00475AEC">
      <w:pPr>
        <w:pStyle w:val="12"/>
      </w:pPr>
      <w:r w:rsidRPr="001A3D2B">
        <w:t>Subject Categories:</w:t>
      </w:r>
    </w:p>
    <w:p w:rsidR="00475AEC" w:rsidRPr="001A3D2B" w:rsidRDefault="00475AEC" w:rsidP="00475AEC">
      <w:pPr>
        <w:pStyle w:val="12"/>
      </w:pPr>
      <w:r w:rsidRPr="001A3D2B">
        <w:t xml:space="preserve">: Impact Factor </w:t>
      </w:r>
    </w:p>
    <w:p w:rsidR="00475AEC" w:rsidRDefault="00475AEC" w:rsidP="00475AEC">
      <w:pPr>
        <w:pStyle w:val="a3"/>
        <w:rPr>
          <w:kern w:val="0"/>
        </w:rPr>
      </w:pPr>
      <w:r>
        <w:rPr>
          <w:rFonts w:hint="eastAsia"/>
          <w:kern w:val="0"/>
        </w:rPr>
        <w:t xml:space="preserve">? </w:t>
      </w:r>
      <w:r>
        <w:rPr>
          <w:kern w:val="0"/>
        </w:rPr>
        <w:t>Solcova, I. (2013), Looking back at the contents</w:t>
      </w:r>
      <w:r w:rsidR="00427468">
        <w:rPr>
          <w:kern w:val="0"/>
        </w:rPr>
        <w:t xml:space="preserve"> of </w:t>
      </w:r>
      <w:r>
        <w:rPr>
          <w:i/>
          <w:iCs/>
          <w:kern w:val="0"/>
        </w:rPr>
        <w:t>Ceskoslovenska Psychologie</w:t>
      </w:r>
      <w:r>
        <w:rPr>
          <w:kern w:val="0"/>
        </w:rPr>
        <w:t xml:space="preserve">. </w:t>
      </w:r>
      <w:r w:rsidRPr="00475AEC">
        <w:rPr>
          <w:i/>
          <w:iCs/>
          <w:kern w:val="0"/>
        </w:rPr>
        <w:t>Ceskoslovenska Psychologie</w:t>
      </w:r>
      <w:r>
        <w:rPr>
          <w:kern w:val="0"/>
        </w:rPr>
        <w:t xml:space="preserve">, </w:t>
      </w:r>
      <w:r>
        <w:rPr>
          <w:b/>
          <w:bCs/>
          <w:kern w:val="0"/>
        </w:rPr>
        <w:t>57</w:t>
      </w:r>
      <w:r>
        <w:rPr>
          <w:kern w:val="0"/>
        </w:rPr>
        <w:t xml:space="preserve"> (4), 379-386.</w:t>
      </w:r>
    </w:p>
    <w:p w:rsidR="00475AEC" w:rsidRDefault="00475AEC" w:rsidP="00475AEC">
      <w:pPr>
        <w:pStyle w:val="a3"/>
        <w:rPr>
          <w:kern w:val="0"/>
        </w:rPr>
      </w:pPr>
      <w:r>
        <w:rPr>
          <w:rFonts w:hint="eastAsia"/>
          <w:kern w:val="0"/>
        </w:rPr>
        <w:t>Full Text: 2013\</w:t>
      </w:r>
      <w:r>
        <w:rPr>
          <w:iCs/>
          <w:kern w:val="0"/>
        </w:rPr>
        <w:t>Ces Psy</w:t>
      </w:r>
      <w:r w:rsidRPr="00475AEC">
        <w:rPr>
          <w:bCs/>
          <w:kern w:val="0"/>
        </w:rPr>
        <w:t>57</w:t>
      </w:r>
      <w:r>
        <w:rPr>
          <w:kern w:val="0"/>
        </w:rPr>
        <w:t>, 379</w:t>
      </w:r>
      <w:r>
        <w:rPr>
          <w:rFonts w:hint="eastAsia"/>
          <w:kern w:val="0"/>
        </w:rPr>
        <w:t>.pdf</w:t>
      </w:r>
    </w:p>
    <w:p w:rsidR="00475AEC" w:rsidRDefault="00475AEC" w:rsidP="00475AEC">
      <w:pPr>
        <w:pStyle w:val="a3"/>
        <w:rPr>
          <w:kern w:val="0"/>
        </w:rPr>
      </w:pPr>
      <w:r>
        <w:rPr>
          <w:kern w:val="0"/>
        </w:rPr>
        <w:t>Abstract: The paper presents the bibliometric analysis</w:t>
      </w:r>
      <w:r w:rsidR="00427468">
        <w:rPr>
          <w:kern w:val="0"/>
        </w:rPr>
        <w:t xml:space="preserve"> of </w:t>
      </w:r>
      <w:r>
        <w:rPr>
          <w:kern w:val="0"/>
        </w:rPr>
        <w:t>production</w:t>
      </w:r>
      <w:r w:rsidR="00427468">
        <w:rPr>
          <w:kern w:val="0"/>
        </w:rPr>
        <w:t xml:space="preserve"> of </w:t>
      </w:r>
      <w:r>
        <w:rPr>
          <w:kern w:val="0"/>
        </w:rPr>
        <w:t xml:space="preserve">the journal Ceskoslovenska psychologie as it is available in the citation data-basis </w:t>
      </w:r>
      <w:r w:rsidR="00D5664A">
        <w:rPr>
          <w:kern w:val="0"/>
        </w:rPr>
        <w:t>Web</w:t>
      </w:r>
      <w:r w:rsidR="00427468">
        <w:rPr>
          <w:kern w:val="0"/>
        </w:rPr>
        <w:t xml:space="preserve"> of </w:t>
      </w:r>
      <w:r w:rsidR="00D5664A">
        <w:rPr>
          <w:kern w:val="0"/>
        </w:rPr>
        <w:t>Science</w:t>
      </w:r>
      <w:r w:rsidR="00A37C1D">
        <w:rPr>
          <w:kern w:val="0"/>
        </w:rPr>
        <w:t>. The</w:t>
      </w:r>
      <w:r>
        <w:rPr>
          <w:kern w:val="0"/>
        </w:rPr>
        <w:t xml:space="preserve"> analyses apply to three overlapping periods</w:t>
      </w:r>
      <w:r w:rsidR="00427468">
        <w:rPr>
          <w:kern w:val="0"/>
        </w:rPr>
        <w:t xml:space="preserve"> of </w:t>
      </w:r>
      <w:r>
        <w:rPr>
          <w:kern w:val="0"/>
        </w:rPr>
        <w:t>the development</w:t>
      </w:r>
      <w:r w:rsidR="00427468">
        <w:rPr>
          <w:kern w:val="0"/>
        </w:rPr>
        <w:t xml:space="preserve"> of </w:t>
      </w:r>
      <w:r>
        <w:rPr>
          <w:kern w:val="0"/>
        </w:rPr>
        <w:t>the journal, namely to (1) general production</w:t>
      </w:r>
      <w:r w:rsidR="00427468">
        <w:rPr>
          <w:kern w:val="0"/>
        </w:rPr>
        <w:t xml:space="preserve"> of </w:t>
      </w:r>
      <w:r>
        <w:rPr>
          <w:kern w:val="0"/>
        </w:rPr>
        <w:t xml:space="preserve">the journal as it is registered in the data-basis </w:t>
      </w:r>
      <w:r w:rsidR="00D5664A">
        <w:rPr>
          <w:kern w:val="0"/>
        </w:rPr>
        <w:t>Web</w:t>
      </w:r>
      <w:r w:rsidR="00427468">
        <w:rPr>
          <w:kern w:val="0"/>
        </w:rPr>
        <w:t xml:space="preserve"> of </w:t>
      </w:r>
      <w:r w:rsidR="00D5664A">
        <w:rPr>
          <w:kern w:val="0"/>
        </w:rPr>
        <w:t>Science</w:t>
      </w:r>
      <w:r>
        <w:rPr>
          <w:kern w:val="0"/>
        </w:rPr>
        <w:t>, i.e. since 1966 till the end</w:t>
      </w:r>
      <w:r w:rsidR="00427468">
        <w:rPr>
          <w:kern w:val="0"/>
        </w:rPr>
        <w:t xml:space="preserve"> of </w:t>
      </w:r>
      <w:r>
        <w:rPr>
          <w:kern w:val="0"/>
        </w:rPr>
        <w:t>2012; (2) period after commencement</w:t>
      </w:r>
      <w:r w:rsidR="00427468">
        <w:rPr>
          <w:kern w:val="0"/>
        </w:rPr>
        <w:t xml:space="preserve"> of </w:t>
      </w:r>
      <w:r>
        <w:rPr>
          <w:kern w:val="0"/>
        </w:rPr>
        <w:t>democracy</w:t>
      </w:r>
      <w:r w:rsidR="005853A9">
        <w:rPr>
          <w:kern w:val="0"/>
        </w:rPr>
        <w:t xml:space="preserve"> and </w:t>
      </w:r>
      <w:r>
        <w:rPr>
          <w:kern w:val="0"/>
        </w:rPr>
        <w:t>the new editorial board, i.e. period since 1991 till the end</w:t>
      </w:r>
      <w:r w:rsidR="00427468">
        <w:rPr>
          <w:kern w:val="0"/>
        </w:rPr>
        <w:t xml:space="preserve"> of </w:t>
      </w:r>
      <w:r>
        <w:rPr>
          <w:kern w:val="0"/>
        </w:rPr>
        <w:t>2012; (3) the complete decade</w:t>
      </w:r>
      <w:r w:rsidR="00427468">
        <w:rPr>
          <w:kern w:val="0"/>
        </w:rPr>
        <w:t xml:space="preserve"> of </w:t>
      </w:r>
      <w:r>
        <w:rPr>
          <w:kern w:val="0"/>
        </w:rPr>
        <w:t>the new millennium, i.e</w:t>
      </w:r>
      <w:r w:rsidR="00A37C1D">
        <w:rPr>
          <w:kern w:val="0"/>
        </w:rPr>
        <w:t>. The</w:t>
      </w:r>
      <w:r>
        <w:rPr>
          <w:kern w:val="0"/>
        </w:rPr>
        <w:t xml:space="preserve"> period since 2001 till 2010.</w:t>
      </w:r>
    </w:p>
    <w:p w:rsidR="00475AEC" w:rsidRDefault="00475AEC" w:rsidP="00475AEC">
      <w:pPr>
        <w:pStyle w:val="a3"/>
        <w:rPr>
          <w:kern w:val="0"/>
        </w:rPr>
      </w:pPr>
      <w:r>
        <w:rPr>
          <w:kern w:val="0"/>
        </w:rPr>
        <w:t>Keywords: Analyses, Analysis, Article, Bibliometric, Bibliometric Analysis, Citation, Citing Journals, Citing Languages, Complete, Cr, Czech Republic, Democracy, Development, General, House, Journal, Most Cited Articles, Overlapping, Psychology</w:t>
      </w:r>
      <w:r w:rsidR="00D5664A">
        <w:rPr>
          <w:kern w:val="0"/>
        </w:rPr>
        <w:t>, SCI,</w:t>
      </w:r>
      <w:r>
        <w:rPr>
          <w:kern w:val="0"/>
        </w:rPr>
        <w:t xml:space="preserve"> Science, Till,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133" w:name="_Toc420814938"/>
      <w:r w:rsidRPr="001A3D2B">
        <w:lastRenderedPageBreak/>
        <w:t xml:space="preserve">Title: </w:t>
      </w:r>
      <w:r w:rsidRPr="001A3D2B">
        <w:rPr>
          <w:iCs w:val="0"/>
          <w:szCs w:val="24"/>
        </w:rPr>
        <w:t>Ceskoslovensky Casopis Pro Fysiku Sekce A</w:t>
      </w:r>
      <w:bookmarkEnd w:id="133"/>
    </w:p>
    <w:p w:rsidR="003474F2" w:rsidRPr="001A3D2B" w:rsidRDefault="003474F2" w:rsidP="003474F2">
      <w:pPr>
        <w:pStyle w:val="12"/>
      </w:pPr>
      <w:r w:rsidRPr="001A3D2B">
        <w:t>Full Journal Title: Ceskoslovensky Casopis Pro Fysiku Sekce 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Silverio, M. (1973), Do you know Science Citation Index. </w:t>
      </w:r>
      <w:r w:rsidRPr="001A3D2B">
        <w:rPr>
          <w:i/>
          <w:iCs/>
        </w:rPr>
        <w:t>Ceskoslovensky Casopis Pro Fysiku Sekce A</w:t>
      </w:r>
      <w:r w:rsidRPr="001A3D2B">
        <w:t xml:space="preserve">, </w:t>
      </w:r>
      <w:r w:rsidRPr="001A3D2B">
        <w:rPr>
          <w:b/>
          <w:bCs/>
        </w:rPr>
        <w:t>23</w:t>
      </w:r>
      <w:r w:rsidRPr="001A3D2B">
        <w:t xml:space="preserve"> (2), 209-??.</w:t>
      </w:r>
    </w:p>
    <w:p w:rsidR="003474F2" w:rsidRPr="001A3D2B" w:rsidRDefault="003474F2" w:rsidP="003474F2">
      <w:pPr>
        <w:pStyle w:val="a3"/>
      </w:pPr>
      <w:r w:rsidRPr="001A3D2B">
        <w:t>Keywords: Citation, Science Citation Index</w:t>
      </w:r>
    </w:p>
    <w:p w:rsidR="00B945EE" w:rsidRPr="00C73C58" w:rsidRDefault="00B945EE" w:rsidP="00B945EE">
      <w:pPr>
        <w:pStyle w:val="1"/>
      </w:pPr>
      <w:r w:rsidRPr="00C73C58">
        <w:br w:type="page"/>
      </w:r>
      <w:bookmarkStart w:id="134" w:name="_Toc420814939"/>
      <w:r w:rsidRPr="00C73C58">
        <w:lastRenderedPageBreak/>
        <w:t xml:space="preserve">Title: </w:t>
      </w:r>
      <w:r w:rsidRPr="00661783">
        <w:t>Chaos Solitons &amp; Fractals</w:t>
      </w:r>
      <w:bookmarkEnd w:id="134"/>
    </w:p>
    <w:p w:rsidR="00B945EE" w:rsidRPr="00C73C58" w:rsidRDefault="00B945EE" w:rsidP="00B945EE">
      <w:pPr>
        <w:pStyle w:val="12"/>
      </w:pPr>
      <w:r w:rsidRPr="00C73C58">
        <w:t xml:space="preserve">Full Journal Title: </w:t>
      </w:r>
      <w:r w:rsidRPr="00661783">
        <w:rPr>
          <w:iCs/>
          <w:kern w:val="0"/>
        </w:rPr>
        <w:t>Chaos Solitons &amp; Fractals</w:t>
      </w:r>
    </w:p>
    <w:p w:rsidR="00B945EE" w:rsidRPr="00C73C58" w:rsidRDefault="00B945EE" w:rsidP="00B945EE">
      <w:pPr>
        <w:pStyle w:val="12"/>
      </w:pPr>
      <w:r w:rsidRPr="00C73C58">
        <w:t xml:space="preserve">ISO Abbreviated Title: </w:t>
      </w:r>
    </w:p>
    <w:p w:rsidR="00B945EE" w:rsidRPr="00C73C58" w:rsidRDefault="00B945EE" w:rsidP="00B945EE">
      <w:pPr>
        <w:pStyle w:val="12"/>
      </w:pPr>
      <w:r w:rsidRPr="00C73C58">
        <w:t xml:space="preserve">JCR Abbreviated Title: </w:t>
      </w:r>
    </w:p>
    <w:p w:rsidR="00B945EE" w:rsidRPr="00C73C58" w:rsidRDefault="00B945EE" w:rsidP="00B945EE">
      <w:pPr>
        <w:pStyle w:val="12"/>
      </w:pPr>
      <w:r w:rsidRPr="00C73C58">
        <w:t xml:space="preserve">ISSN: </w:t>
      </w:r>
    </w:p>
    <w:p w:rsidR="00B945EE" w:rsidRPr="00C73C58" w:rsidRDefault="00B945EE" w:rsidP="00B945EE">
      <w:pPr>
        <w:pStyle w:val="12"/>
      </w:pPr>
      <w:r w:rsidRPr="00C73C58">
        <w:t xml:space="preserve">Issues/Year: </w:t>
      </w:r>
    </w:p>
    <w:p w:rsidR="00B945EE" w:rsidRPr="00C73C58" w:rsidRDefault="00B945EE" w:rsidP="00B945EE">
      <w:pPr>
        <w:pStyle w:val="12"/>
      </w:pPr>
      <w:r w:rsidRPr="00C73C58">
        <w:t xml:space="preserve">Journal Country/Territory: </w:t>
      </w:r>
    </w:p>
    <w:p w:rsidR="00B945EE" w:rsidRPr="00C73C58" w:rsidRDefault="00B945EE" w:rsidP="00B945EE">
      <w:pPr>
        <w:pStyle w:val="12"/>
      </w:pPr>
      <w:r w:rsidRPr="00C73C58">
        <w:t xml:space="preserve">Language: </w:t>
      </w:r>
    </w:p>
    <w:p w:rsidR="00B945EE" w:rsidRPr="00C73C58" w:rsidRDefault="00B945EE" w:rsidP="00B945EE">
      <w:pPr>
        <w:pStyle w:val="12"/>
      </w:pPr>
      <w:r w:rsidRPr="00C73C58">
        <w:t xml:space="preserve">Publisher: </w:t>
      </w:r>
    </w:p>
    <w:p w:rsidR="00B945EE" w:rsidRPr="00C73C58" w:rsidRDefault="00B945EE" w:rsidP="00B945EE">
      <w:pPr>
        <w:pStyle w:val="12"/>
      </w:pPr>
      <w:r w:rsidRPr="00C73C58">
        <w:t xml:space="preserve">Publisher Address: </w:t>
      </w:r>
    </w:p>
    <w:p w:rsidR="00B945EE" w:rsidRPr="00C73C58" w:rsidRDefault="00B945EE" w:rsidP="00B945EE">
      <w:pPr>
        <w:pStyle w:val="12"/>
      </w:pPr>
      <w:r w:rsidRPr="00C73C58">
        <w:t>Subject Categories:</w:t>
      </w:r>
    </w:p>
    <w:p w:rsidR="00B945EE" w:rsidRPr="00C73C58" w:rsidRDefault="00B945EE" w:rsidP="00B945EE">
      <w:pPr>
        <w:pStyle w:val="12"/>
      </w:pPr>
      <w:r w:rsidRPr="00C73C58">
        <w:t xml:space="preserve">: Impact Factor </w:t>
      </w:r>
    </w:p>
    <w:p w:rsidR="00B945EE" w:rsidRDefault="00B945EE" w:rsidP="00B945EE">
      <w:pPr>
        <w:pStyle w:val="a3"/>
        <w:rPr>
          <w:kern w:val="0"/>
        </w:rPr>
      </w:pPr>
      <w:r>
        <w:rPr>
          <w:rFonts w:hint="eastAsia"/>
          <w:kern w:val="0"/>
        </w:rPr>
        <w:t xml:space="preserve">? </w:t>
      </w:r>
      <w:r>
        <w:rPr>
          <w:kern w:val="0"/>
        </w:rPr>
        <w:t>Çavuşoğlu, A.</w:t>
      </w:r>
      <w:r w:rsidR="005853A9">
        <w:rPr>
          <w:kern w:val="0"/>
        </w:rPr>
        <w:t xml:space="preserve"> and </w:t>
      </w:r>
      <w:r>
        <w:rPr>
          <w:kern w:val="0"/>
        </w:rPr>
        <w:t>Türker, İ. (2013), Scientific collaboration network</w:t>
      </w:r>
      <w:r w:rsidR="00427468">
        <w:rPr>
          <w:kern w:val="0"/>
        </w:rPr>
        <w:t xml:space="preserve"> of </w:t>
      </w:r>
      <w:r>
        <w:rPr>
          <w:kern w:val="0"/>
        </w:rPr>
        <w:t xml:space="preserve">Turkey. </w:t>
      </w:r>
      <w:r w:rsidRPr="00661783">
        <w:rPr>
          <w:i/>
          <w:iCs/>
          <w:kern w:val="0"/>
        </w:rPr>
        <w:t>Chaos Solitons &amp; Fractals</w:t>
      </w:r>
      <w:r>
        <w:rPr>
          <w:kern w:val="0"/>
        </w:rPr>
        <w:t xml:space="preserve">, </w:t>
      </w:r>
      <w:r>
        <w:rPr>
          <w:b/>
          <w:bCs/>
          <w:kern w:val="0"/>
        </w:rPr>
        <w:t>57</w:t>
      </w:r>
      <w:r>
        <w:rPr>
          <w:kern w:val="0"/>
        </w:rPr>
        <w:t>, 9-18.</w:t>
      </w:r>
    </w:p>
    <w:p w:rsidR="00B945EE" w:rsidRDefault="00B945EE" w:rsidP="00B945EE">
      <w:pPr>
        <w:pStyle w:val="a3"/>
        <w:rPr>
          <w:kern w:val="0"/>
        </w:rPr>
      </w:pPr>
      <w:r>
        <w:rPr>
          <w:rFonts w:hint="eastAsia"/>
          <w:kern w:val="0"/>
        </w:rPr>
        <w:t xml:space="preserve">Full Text: </w:t>
      </w:r>
      <w:hyperlink r:id="rId164" w:history="1">
        <w:r w:rsidRPr="00661783">
          <w:rPr>
            <w:rStyle w:val="a5"/>
            <w:kern w:val="0"/>
          </w:rPr>
          <w:t>2013\Cha Sol Fra57, 9.pdf</w:t>
        </w:r>
      </w:hyperlink>
    </w:p>
    <w:p w:rsidR="00B945EE" w:rsidRDefault="00B945EE" w:rsidP="00B945EE">
      <w:pPr>
        <w:pStyle w:val="a3"/>
        <w:rPr>
          <w:kern w:val="0"/>
        </w:rPr>
      </w:pPr>
      <w:r>
        <w:rPr>
          <w:kern w:val="0"/>
        </w:rPr>
        <w:t>Abstract: Networking via co-authorship is an important area</w:t>
      </w:r>
      <w:r w:rsidR="00427468">
        <w:rPr>
          <w:kern w:val="0"/>
        </w:rPr>
        <w:t xml:space="preserve"> of </w:t>
      </w:r>
      <w:r>
        <w:rPr>
          <w:kern w:val="0"/>
        </w:rPr>
        <w:t>research</w:t>
      </w:r>
      <w:r w:rsidR="005853A9">
        <w:rPr>
          <w:kern w:val="0"/>
        </w:rPr>
        <w:t xml:space="preserve"> and </w:t>
      </w:r>
      <w:r>
        <w:rPr>
          <w:kern w:val="0"/>
        </w:rPr>
        <w:t>used in many fields such as ranking</w:t>
      </w:r>
      <w:r w:rsidR="00427468">
        <w:rPr>
          <w:kern w:val="0"/>
        </w:rPr>
        <w:t xml:space="preserve"> of </w:t>
      </w:r>
      <w:r>
        <w:rPr>
          <w:kern w:val="0"/>
        </w:rPr>
        <w:t xml:space="preserve">the universities/departments. Studying on the data supplied by the </w:t>
      </w:r>
      <w:r w:rsidR="00D5664A">
        <w:rPr>
          <w:kern w:val="0"/>
        </w:rPr>
        <w:t>Web</w:t>
      </w:r>
      <w:r w:rsidR="00427468">
        <w:rPr>
          <w:kern w:val="0"/>
        </w:rPr>
        <w:t xml:space="preserve"> of </w:t>
      </w:r>
      <w:r w:rsidR="00D5664A">
        <w:rPr>
          <w:kern w:val="0"/>
        </w:rPr>
        <w:t>Science</w:t>
      </w:r>
      <w:r>
        <w:rPr>
          <w:kern w:val="0"/>
        </w:rPr>
        <w:t>, we constructed a structural database that defines the scientific collaboration network</w:t>
      </w:r>
      <w:r w:rsidR="00427468">
        <w:rPr>
          <w:kern w:val="0"/>
        </w:rPr>
        <w:t xml:space="preserve"> of </w:t>
      </w:r>
      <w:r>
        <w:rPr>
          <w:kern w:val="0"/>
        </w:rPr>
        <w:t>the authors from Turkey, based on the publications between 1980</w:t>
      </w:r>
      <w:r w:rsidR="005853A9">
        <w:rPr>
          <w:kern w:val="0"/>
        </w:rPr>
        <w:t xml:space="preserve"> and </w:t>
      </w:r>
      <w:r>
        <w:rPr>
          <w:kern w:val="0"/>
        </w:rPr>
        <w:t>2010. To uncover the evolution</w:t>
      </w:r>
      <w:r w:rsidR="005853A9">
        <w:rPr>
          <w:kern w:val="0"/>
        </w:rPr>
        <w:t xml:space="preserve"> and </w:t>
      </w:r>
      <w:r>
        <w:rPr>
          <w:kern w:val="0"/>
        </w:rPr>
        <w:t>structure</w:t>
      </w:r>
      <w:r w:rsidR="00427468">
        <w:rPr>
          <w:kern w:val="0"/>
        </w:rPr>
        <w:t xml:space="preserve"> of </w:t>
      </w:r>
      <w:r>
        <w:rPr>
          <w:kern w:val="0"/>
        </w:rPr>
        <w:t>this complex network by scientific means, we executed some empirical measurements</w:t>
      </w:r>
      <w:r w:rsidR="00A37C1D">
        <w:rPr>
          <w:kern w:val="0"/>
        </w:rPr>
        <w:t>. The</w:t>
      </w:r>
      <w:r>
        <w:rPr>
          <w:kern w:val="0"/>
        </w:rPr>
        <w:t xml:space="preserve"> Turkish scientific collaboration network is in an accelerating phase in growth, highly governed by the national policies aiming to develop a competitive higher education system in Turkey. As our results suggest the authors tend to make more number</w:t>
      </w:r>
      <w:r w:rsidR="00427468">
        <w:rPr>
          <w:kern w:val="0"/>
        </w:rPr>
        <w:t xml:space="preserve"> of </w:t>
      </w:r>
      <w:r>
        <w:rPr>
          <w:kern w:val="0"/>
        </w:rPr>
        <w:t>collaborations in their studies over the years</w:t>
      </w:r>
      <w:r w:rsidR="00A37C1D">
        <w:rPr>
          <w:kern w:val="0"/>
        </w:rPr>
        <w:t>. The</w:t>
      </w:r>
      <w:r>
        <w:rPr>
          <w:kern w:val="0"/>
        </w:rPr>
        <w:t xml:space="preserve"> results also showed that, node separation</w:t>
      </w:r>
      <w:r w:rsidR="00427468">
        <w:rPr>
          <w:kern w:val="0"/>
        </w:rPr>
        <w:t xml:space="preserve"> of </w:t>
      </w:r>
      <w:r>
        <w:rPr>
          <w:kern w:val="0"/>
        </w:rPr>
        <w:t>the network slightly converges about 4, consistent with the small world phenomenon. Together with this key indicator, the high clustering coefficient, (which is about 0.75) reveals that our network is strongly interconnected. Another quantity</w:t>
      </w:r>
      <w:r w:rsidR="00427468">
        <w:rPr>
          <w:kern w:val="0"/>
        </w:rPr>
        <w:t xml:space="preserve"> of </w:t>
      </w:r>
      <w:r>
        <w:rPr>
          <w:kern w:val="0"/>
        </w:rPr>
        <w:t>major interest about such networks is, “the degree distribution”. It has a power-law tail that defines the network as scale-free. Along with the final values, the time evolutions</w:t>
      </w:r>
      <w:r w:rsidR="00427468">
        <w:rPr>
          <w:kern w:val="0"/>
        </w:rPr>
        <w:t xml:space="preserve"> of </w:t>
      </w:r>
      <w:r>
        <w:rPr>
          <w:kern w:val="0"/>
        </w:rPr>
        <w:t>the above-mentioned parameters are presented in detail with this work. In a good agreement with the recent studies, our network yields some significant differences especially in growing rate, clustering properties</w:t>
      </w:r>
      <w:r w:rsidR="005853A9">
        <w:rPr>
          <w:kern w:val="0"/>
        </w:rPr>
        <w:t xml:space="preserve"> and </w:t>
      </w:r>
      <w:r>
        <w:rPr>
          <w:kern w:val="0"/>
        </w:rPr>
        <w:t>node separation. In contrast with the recent studies, we also showed that preferring to attach popular nodes result with being a more popular node in the future. (C) 2013 Elsevier Ltd. All rights reserved.</w:t>
      </w:r>
    </w:p>
    <w:p w:rsidR="00B945EE" w:rsidRDefault="00B945EE" w:rsidP="00B945EE">
      <w:pPr>
        <w:pStyle w:val="a3"/>
        <w:rPr>
          <w:kern w:val="0"/>
        </w:rPr>
      </w:pPr>
      <w:r>
        <w:rPr>
          <w:kern w:val="0"/>
        </w:rPr>
        <w:t xml:space="preserve">Keywords: Authors, Clustering, Co-Authorship, Coauthorship, Collaboration, </w:t>
      </w:r>
      <w:r>
        <w:rPr>
          <w:kern w:val="0"/>
        </w:rPr>
        <w:lastRenderedPageBreak/>
        <w:t xml:space="preserve">Collaborations, Competitive, Constructed, Data, Database, Education, Evolution, Growth, Higher Education, Indicator, Network, Networks, Policies, Power Law, Properties, Publications, Ranking, Recent, Research, Rights, Science, Scientific Collaboration, Scientific Collaboration Network, Separation, Small, Small-World Networks, Structure, Turkey, </w:t>
      </w:r>
      <w:r w:rsidR="00D5664A">
        <w:rPr>
          <w:kern w:val="0"/>
        </w:rPr>
        <w:t>Web</w:t>
      </w:r>
      <w:r w:rsidR="00427468">
        <w:rPr>
          <w:kern w:val="0"/>
        </w:rPr>
        <w:t xml:space="preserve"> of </w:t>
      </w:r>
      <w:r w:rsidR="00D5664A">
        <w:rPr>
          <w:kern w:val="0"/>
        </w:rPr>
        <w:t>Science</w:t>
      </w:r>
      <w:r>
        <w:rPr>
          <w:kern w:val="0"/>
        </w:rPr>
        <w:t>, Work, World</w:t>
      </w:r>
    </w:p>
    <w:p w:rsidR="00B10B74" w:rsidRPr="00C73C58" w:rsidRDefault="00B10B74" w:rsidP="00B10B74">
      <w:pPr>
        <w:pStyle w:val="1"/>
      </w:pPr>
      <w:r w:rsidRPr="00C73C58">
        <w:br w:type="page"/>
      </w:r>
      <w:bookmarkStart w:id="135" w:name="_Toc344013641"/>
      <w:bookmarkStart w:id="136" w:name="_Toc420814940"/>
      <w:r w:rsidRPr="00C73C58">
        <w:lastRenderedPageBreak/>
        <w:t>Title: Chemical Communications</w:t>
      </w:r>
      <w:bookmarkEnd w:id="135"/>
      <w:bookmarkEnd w:id="136"/>
    </w:p>
    <w:p w:rsidR="00B10B74" w:rsidRPr="00C73C58" w:rsidRDefault="00B10B74" w:rsidP="00B10B74">
      <w:pPr>
        <w:pStyle w:val="12"/>
      </w:pPr>
      <w:r w:rsidRPr="00C73C58">
        <w:t xml:space="preserve">Full Journal Title: </w:t>
      </w:r>
      <w:hyperlink r:id="rId165" w:history="1">
        <w:r w:rsidRPr="00C73C58">
          <w:rPr>
            <w:rStyle w:val="a5"/>
          </w:rPr>
          <w:t>Journal</w:t>
        </w:r>
        <w:r w:rsidR="00427468">
          <w:rPr>
            <w:rStyle w:val="a5"/>
          </w:rPr>
          <w:t xml:space="preserve"> of </w:t>
        </w:r>
        <w:r w:rsidRPr="00C73C58">
          <w:rPr>
            <w:rStyle w:val="a5"/>
          </w:rPr>
          <w:t>the Chemical Society</w:t>
        </w:r>
      </w:hyperlink>
    </w:p>
    <w:p w:rsidR="00B10B74" w:rsidRPr="00C73C58" w:rsidRDefault="00B10B74" w:rsidP="00B10B74">
      <w:pPr>
        <w:pStyle w:val="12"/>
      </w:pPr>
      <w:r w:rsidRPr="00C73C58">
        <w:t xml:space="preserve">Full Journal Title: </w:t>
      </w:r>
      <w:hyperlink r:id="rId166" w:history="1">
        <w:r w:rsidRPr="00C73C58">
          <w:rPr>
            <w:rStyle w:val="a5"/>
          </w:rPr>
          <w:t>Chemical Communications</w:t>
        </w:r>
      </w:hyperlink>
    </w:p>
    <w:p w:rsidR="00B10B74" w:rsidRPr="00C73C58" w:rsidRDefault="00B10B74" w:rsidP="00B10B74">
      <w:pPr>
        <w:pStyle w:val="12"/>
      </w:pPr>
      <w:r w:rsidRPr="00C73C58">
        <w:t>ISO Abbreviated Title: Chem. Commun.</w:t>
      </w:r>
    </w:p>
    <w:p w:rsidR="00B10B74" w:rsidRPr="00C73C58" w:rsidRDefault="00B10B74" w:rsidP="00B10B74">
      <w:pPr>
        <w:pStyle w:val="12"/>
      </w:pPr>
      <w:r w:rsidRPr="00C73C58">
        <w:t>JCR Abbreviated Title: Chem Commun</w:t>
      </w:r>
    </w:p>
    <w:p w:rsidR="00B10B74" w:rsidRPr="00C73C58" w:rsidRDefault="00B10B74" w:rsidP="00B10B74">
      <w:pPr>
        <w:pStyle w:val="12"/>
      </w:pPr>
      <w:r w:rsidRPr="00C73C58">
        <w:t>ISSN: 1359-7345</w:t>
      </w:r>
    </w:p>
    <w:p w:rsidR="00B10B74" w:rsidRPr="00C73C58" w:rsidRDefault="00B10B74" w:rsidP="00B10B74">
      <w:pPr>
        <w:pStyle w:val="12"/>
      </w:pPr>
      <w:r w:rsidRPr="00C73C58">
        <w:t>Issues/Year: 24</w:t>
      </w:r>
    </w:p>
    <w:p w:rsidR="00B10B74" w:rsidRPr="00C73C58" w:rsidRDefault="00B10B74" w:rsidP="00B10B74">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B10B74" w:rsidRPr="00C73C58" w:rsidRDefault="00B10B74" w:rsidP="00B10B74">
      <w:pPr>
        <w:pStyle w:val="12"/>
      </w:pPr>
      <w:r w:rsidRPr="00C73C58">
        <w:t>Language: English</w:t>
      </w:r>
    </w:p>
    <w:p w:rsidR="00B10B74" w:rsidRPr="00C73C58" w:rsidRDefault="00B10B74" w:rsidP="00B10B74">
      <w:pPr>
        <w:pStyle w:val="12"/>
      </w:pPr>
      <w:r w:rsidRPr="00C73C58">
        <w:t>Publisher: Royal Soc Chemistry</w:t>
      </w:r>
    </w:p>
    <w:p w:rsidR="00B10B74" w:rsidRPr="00C73C58" w:rsidRDefault="00B10B74" w:rsidP="00B10B74">
      <w:pPr>
        <w:pStyle w:val="12"/>
      </w:pPr>
      <w:r w:rsidRPr="00C73C58">
        <w:t>Publisher Address: Thomas Graham House, Science Park, Milton Rd, Cambridge CB4 0WF, Cambs, Eng</w:t>
      </w:r>
    </w:p>
    <w:p w:rsidR="00B10B74" w:rsidRPr="00C73C58" w:rsidRDefault="00B10B74" w:rsidP="00B10B74">
      <w:pPr>
        <w:pStyle w:val="12"/>
      </w:pPr>
      <w:r w:rsidRPr="00C73C58">
        <w:t xml:space="preserve">Subject Categories: </w:t>
      </w:r>
    </w:p>
    <w:p w:rsidR="00B10B74" w:rsidRPr="00C73C58" w:rsidRDefault="00B10B74" w:rsidP="00B10B74">
      <w:pPr>
        <w:pStyle w:val="12"/>
      </w:pPr>
      <w:r w:rsidRPr="00C73C58">
        <w:t>Chemistry: Impact Factor 3.477, 9/121</w:t>
      </w:r>
    </w:p>
    <w:p w:rsidR="00CA32DD" w:rsidRDefault="00CA32DD" w:rsidP="00CA32DD">
      <w:pPr>
        <w:pStyle w:val="a3"/>
        <w:rPr>
          <w:kern w:val="0"/>
        </w:rPr>
      </w:pPr>
      <w:r>
        <w:rPr>
          <w:rFonts w:hint="eastAsia"/>
          <w:kern w:val="0"/>
        </w:rPr>
        <w:t xml:space="preserve">? </w:t>
      </w:r>
      <w:r>
        <w:rPr>
          <w:kern w:val="0"/>
        </w:rPr>
        <w:t>Liz-Marzán, L.M. (2013), Gold nanoparticle research before</w:t>
      </w:r>
      <w:r w:rsidR="005853A9">
        <w:rPr>
          <w:kern w:val="0"/>
        </w:rPr>
        <w:t xml:space="preserve"> and </w:t>
      </w:r>
      <w:r>
        <w:rPr>
          <w:kern w:val="0"/>
        </w:rPr>
        <w:t xml:space="preserve">after the Brust-Schiffrin method. </w:t>
      </w:r>
      <w:r>
        <w:rPr>
          <w:i/>
          <w:iCs/>
          <w:kern w:val="0"/>
        </w:rPr>
        <w:t>Chemical Communications</w:t>
      </w:r>
      <w:r>
        <w:rPr>
          <w:kern w:val="0"/>
        </w:rPr>
        <w:t xml:space="preserve">, </w:t>
      </w:r>
      <w:r>
        <w:rPr>
          <w:b/>
          <w:bCs/>
          <w:kern w:val="0"/>
        </w:rPr>
        <w:t>49</w:t>
      </w:r>
      <w:r>
        <w:rPr>
          <w:kern w:val="0"/>
        </w:rPr>
        <w:t xml:space="preserve"> (1), 16-18.</w:t>
      </w:r>
    </w:p>
    <w:p w:rsidR="00CA32DD" w:rsidRPr="007D79E8" w:rsidRDefault="00CA32DD" w:rsidP="00CA32DD">
      <w:pPr>
        <w:pStyle w:val="a3"/>
        <w:rPr>
          <w:kern w:val="0"/>
        </w:rPr>
      </w:pPr>
      <w:r w:rsidRPr="007D79E8">
        <w:rPr>
          <w:kern w:val="0"/>
        </w:rPr>
        <w:t xml:space="preserve">Full Text: </w:t>
      </w:r>
      <w:hyperlink r:id="rId167" w:history="1">
        <w:r w:rsidRPr="00C971EA">
          <w:rPr>
            <w:rStyle w:val="a5"/>
            <w:kern w:val="0"/>
          </w:rPr>
          <w:t>2013\Che Com49, 16.pdf</w:t>
        </w:r>
      </w:hyperlink>
    </w:p>
    <w:p w:rsidR="00CA32DD" w:rsidRDefault="00CA32DD" w:rsidP="00CA32DD">
      <w:pPr>
        <w:pStyle w:val="a3"/>
        <w:rPr>
          <w:kern w:val="0"/>
        </w:rPr>
      </w:pPr>
      <w:r>
        <w:rPr>
          <w:kern w:val="0"/>
        </w:rPr>
        <w:t>Abstract: In this viewpoint we discuss the early contribution from Brust et al., which is not only the most cited paper ever published in Chem. Commun., but also a landmark in gold nanoparticle research</w:t>
      </w:r>
      <w:r w:rsidR="005853A9">
        <w:rPr>
          <w:kern w:val="0"/>
        </w:rPr>
        <w:t xml:space="preserve"> and </w:t>
      </w:r>
      <w:r>
        <w:rPr>
          <w:kern w:val="0"/>
        </w:rPr>
        <w:t>in nanotechnology. We provide here an overview</w:t>
      </w:r>
      <w:r w:rsidR="00427468">
        <w:rPr>
          <w:kern w:val="0"/>
        </w:rPr>
        <w:t xml:space="preserve"> of </w:t>
      </w:r>
      <w:r>
        <w:rPr>
          <w:kern w:val="0"/>
        </w:rPr>
        <w:t>its major contributions</w:t>
      </w:r>
      <w:r w:rsidR="005853A9">
        <w:rPr>
          <w:kern w:val="0"/>
        </w:rPr>
        <w:t xml:space="preserve"> and </w:t>
      </w:r>
      <w:r>
        <w:rPr>
          <w:kern w:val="0"/>
        </w:rPr>
        <w:t>how the field has evolved since its publication in 1994.</w:t>
      </w:r>
    </w:p>
    <w:p w:rsidR="00CA32DD" w:rsidRDefault="00CA32DD" w:rsidP="00CA32DD">
      <w:pPr>
        <w:pStyle w:val="a3"/>
        <w:rPr>
          <w:kern w:val="0"/>
        </w:rPr>
      </w:pPr>
      <w:r>
        <w:rPr>
          <w:kern w:val="0"/>
        </w:rPr>
        <w:t>Keywords: Field, Gold, Gold Nanoparticle, Nanoparticle, Nanotechnology, Publication, Research</w:t>
      </w:r>
    </w:p>
    <w:p w:rsidR="003474F2" w:rsidRPr="001A3D2B" w:rsidRDefault="003474F2" w:rsidP="003474F2">
      <w:pPr>
        <w:pStyle w:val="1"/>
      </w:pPr>
      <w:r w:rsidRPr="001A3D2B">
        <w:br w:type="page"/>
      </w:r>
      <w:bookmarkStart w:id="137" w:name="_Toc420814941"/>
      <w:r w:rsidRPr="001A3D2B">
        <w:lastRenderedPageBreak/>
        <w:t>Title: Chemical Engineering Journal</w:t>
      </w:r>
      <w:bookmarkEnd w:id="137"/>
    </w:p>
    <w:p w:rsidR="003474F2" w:rsidRPr="001A3D2B" w:rsidRDefault="003474F2" w:rsidP="003474F2">
      <w:pPr>
        <w:pStyle w:val="a3"/>
      </w:pPr>
      <w:r w:rsidRPr="001A3D2B">
        <w:t xml:space="preserve">(Formerly </w:t>
      </w:r>
      <w:bookmarkStart w:id="138" w:name="_Toc455569380"/>
      <w:bookmarkStart w:id="139" w:name="_Toc487190565"/>
      <w:bookmarkStart w:id="140" w:name="_Toc487882065"/>
      <w:bookmarkStart w:id="141" w:name="_Toc490687788"/>
      <w:bookmarkStart w:id="142" w:name="_Toc492779412"/>
      <w:bookmarkStart w:id="143" w:name="_Toc31954531"/>
      <w:bookmarkStart w:id="144" w:name="_Toc43634554"/>
      <w:bookmarkStart w:id="145" w:name="_Toc81215661"/>
      <w:r w:rsidRPr="001A3D2B">
        <w:t xml:space="preserve">known as </w:t>
      </w:r>
      <w:r w:rsidR="00DF61FE">
        <w:fldChar w:fldCharType="begin"/>
      </w:r>
      <w:r w:rsidR="00FD158B">
        <w:instrText>HYPERLINK "http://www.sci</w:instrText>
      </w:r>
      <w:bookmarkEnd w:id="138"/>
      <w:bookmarkEnd w:id="139"/>
      <w:bookmarkEnd w:id="140"/>
      <w:bookmarkEnd w:id="141"/>
      <w:bookmarkEnd w:id="142"/>
      <w:bookmarkEnd w:id="143"/>
      <w:bookmarkEnd w:id="144"/>
      <w:bookmarkEnd w:id="145"/>
      <w:r w:rsidR="00FD158B">
        <w:instrText>encedirect.com/science?_ob=JournalURL&amp;_cdi=6672&amp;_auth=y&amp;_acct=C000011279&amp;_version=1&amp;_urlVersion=0&amp;_userid=1134284&amp;md5=373a902012de36b612ccf42fafae7068"</w:instrText>
      </w:r>
      <w:r w:rsidR="00DF61FE">
        <w:fldChar w:fldCharType="separate"/>
      </w:r>
      <w:r w:rsidRPr="001A3D2B">
        <w:rPr>
          <w:rStyle w:val="a5"/>
        </w:rPr>
        <w:t>The Chemical Engineering Journal</w:t>
      </w:r>
      <w:r w:rsidR="00DF61FE">
        <w:fldChar w:fldCharType="end"/>
      </w:r>
      <w:r w:rsidRPr="001A3D2B">
        <w:t>)</w:t>
      </w:r>
    </w:p>
    <w:p w:rsidR="003474F2" w:rsidRPr="001A3D2B" w:rsidRDefault="003474F2" w:rsidP="003474F2">
      <w:pPr>
        <w:pStyle w:val="a3"/>
      </w:pPr>
      <w:r w:rsidRPr="001A3D2B">
        <w:t xml:space="preserve">(Now published as </w:t>
      </w:r>
      <w:hyperlink r:id="rId168" w:history="1">
        <w:r w:rsidRPr="001A3D2B">
          <w:rPr>
            <w:rStyle w:val="a5"/>
          </w:rPr>
          <w:t>Biochemical Engineering Journal</w:t>
        </w:r>
      </w:hyperlink>
      <w:r w:rsidR="005853A9">
        <w:t xml:space="preserve"> and </w:t>
      </w:r>
      <w:hyperlink r:id="rId169" w:history="1">
        <w:r w:rsidRPr="001A3D2B">
          <w:rPr>
            <w:rStyle w:val="a5"/>
          </w:rPr>
          <w:t>Chemical Engineering Journal</w:t>
        </w:r>
      </w:hyperlink>
      <w:r w:rsidRPr="001A3D2B">
        <w:t>)</w:t>
      </w:r>
    </w:p>
    <w:p w:rsidR="003474F2" w:rsidRPr="001A3D2B" w:rsidRDefault="003474F2" w:rsidP="003474F2">
      <w:pPr>
        <w:pStyle w:val="12"/>
      </w:pPr>
      <w:r w:rsidRPr="001A3D2B">
        <w:t xml:space="preserve">Full Journal Title: </w:t>
      </w:r>
      <w:hyperlink r:id="rId170" w:history="1">
        <w:r w:rsidRPr="001A3D2B">
          <w:rPr>
            <w:rStyle w:val="a5"/>
          </w:rPr>
          <w:t>Chemical Engineering Journal</w:t>
        </w:r>
      </w:hyperlink>
      <w:r w:rsidRPr="001A3D2B">
        <w:t xml:space="preserve"> </w:t>
      </w:r>
      <w:hyperlink r:id="rId171" w:history="1">
        <w:r w:rsidRPr="001A3D2B">
          <w:rPr>
            <w:rStyle w:val="a5"/>
          </w:rPr>
          <w:t>Chemical Engineering Journal</w:t>
        </w:r>
      </w:hyperlink>
    </w:p>
    <w:p w:rsidR="003474F2" w:rsidRPr="001A3D2B" w:rsidRDefault="003474F2" w:rsidP="003474F2">
      <w:pPr>
        <w:pStyle w:val="12"/>
      </w:pPr>
      <w:r w:rsidRPr="001A3D2B">
        <w:t>ISO Abbreviated Title: Chem. Eng. J.</w:t>
      </w:r>
    </w:p>
    <w:p w:rsidR="003474F2" w:rsidRPr="001A3D2B" w:rsidRDefault="003474F2" w:rsidP="003474F2">
      <w:pPr>
        <w:pStyle w:val="12"/>
      </w:pPr>
      <w:r w:rsidRPr="001A3D2B">
        <w:t>JCR Abbreviated Title: Chem Eng J</w:t>
      </w:r>
    </w:p>
    <w:p w:rsidR="003474F2" w:rsidRPr="001A3D2B" w:rsidRDefault="003474F2" w:rsidP="003474F2">
      <w:pPr>
        <w:pStyle w:val="12"/>
      </w:pPr>
      <w:r w:rsidRPr="001A3D2B">
        <w:t>ISSN: 1385-8947</w:t>
      </w:r>
    </w:p>
    <w:p w:rsidR="003474F2" w:rsidRPr="001A3D2B" w:rsidRDefault="003474F2" w:rsidP="003474F2">
      <w:pPr>
        <w:pStyle w:val="12"/>
      </w:pPr>
      <w:r w:rsidRPr="001A3D2B">
        <w:t>Issues/Year: 11</w:t>
      </w:r>
    </w:p>
    <w:p w:rsidR="003474F2" w:rsidRPr="001A3D2B" w:rsidRDefault="00AA25A4" w:rsidP="003474F2">
      <w:pPr>
        <w:pStyle w:val="12"/>
      </w:pPr>
      <w:r w:rsidRPr="001A3D2B">
        <w:t>Journal Country/Territory:</w:t>
      </w:r>
      <w:r w:rsidR="008F46E9" w:rsidRPr="001A3D2B">
        <w:t xml:space="preserve"> </w:t>
      </w:r>
      <w:r w:rsidR="003474F2" w:rsidRPr="001A3D2B">
        <w:t>Switzerland</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Elsevier Science SA</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564</w:t>
        </w:r>
      </w:smartTag>
      <w:r w:rsidRPr="001A3D2B">
        <w:t>, 1001 La</w:t>
      </w:r>
      <w:r w:rsidR="00D5664A">
        <w:t>USA</w:t>
      </w:r>
      <w:r w:rsidRPr="001A3D2B">
        <w:t xml:space="preserve">nne, </w:t>
      </w:r>
      <w:smartTag w:uri="urn:schemas-microsoft-com:office:smarttags" w:element="country-region">
        <w:r w:rsidRPr="001A3D2B">
          <w:t>Switzerland</w:t>
        </w:r>
      </w:smartTag>
    </w:p>
    <w:p w:rsidR="003474F2" w:rsidRPr="001A3D2B" w:rsidRDefault="003474F2" w:rsidP="003474F2">
      <w:pPr>
        <w:pStyle w:val="12"/>
      </w:pPr>
      <w:r w:rsidRPr="001A3D2B">
        <w:t>Subject Categories:</w:t>
      </w:r>
    </w:p>
    <w:p w:rsidR="00673B7D" w:rsidRPr="00C73C58" w:rsidRDefault="00673B7D" w:rsidP="00673B7D">
      <w:pPr>
        <w:pStyle w:val="12"/>
      </w:pPr>
      <w:r w:rsidRPr="00C73C58">
        <w:t>Engineering, Chemical: Impact Factor: 0.637 41/110 (1999); Impact Factor: 0.677, 33/117 (2000); Impact Factor: 0.847, 36/123 (2001); Impact Factor 0.671, 52/126 (2002); Impact Factor: 0.992, 30/119 (2003); Impact Factor: 1.383, 19/116 (2004); Impact Factor: 2.034, 11/116 (2005); Impact Factor: 1.707, 22/114 (2007)</w:t>
      </w:r>
      <w:r>
        <w:rPr>
          <w:rFonts w:hint="eastAsia"/>
        </w:rPr>
        <w:t>;</w:t>
      </w:r>
      <w:r w:rsidRPr="00253205">
        <w:t xml:space="preserve"> </w:t>
      </w:r>
      <w:r w:rsidRPr="00C73C58">
        <w:t xml:space="preserve">Impact Factor: </w:t>
      </w:r>
      <w:r>
        <w:rPr>
          <w:rFonts w:hint="eastAsia"/>
        </w:rPr>
        <w:t>2.816</w:t>
      </w:r>
      <w:r w:rsidRPr="00C73C58">
        <w:t xml:space="preserve">, </w:t>
      </w:r>
      <w:r>
        <w:rPr>
          <w:rFonts w:hint="eastAsia"/>
        </w:rPr>
        <w:t>13</w:t>
      </w:r>
      <w:r w:rsidRPr="00C73C58">
        <w:t>/1</w:t>
      </w:r>
      <w:r>
        <w:rPr>
          <w:rFonts w:hint="eastAsia"/>
        </w:rPr>
        <w:t>28</w:t>
      </w:r>
      <w:r w:rsidRPr="00C73C58">
        <w:t xml:space="preserve"> (200</w:t>
      </w:r>
      <w:r>
        <w:rPr>
          <w:rFonts w:hint="eastAsia"/>
        </w:rPr>
        <w:t>9</w:t>
      </w:r>
      <w:r w:rsidRPr="00C73C58">
        <w:t>)</w:t>
      </w:r>
    </w:p>
    <w:p w:rsidR="003474F2" w:rsidRPr="001A3D2B" w:rsidRDefault="003474F2" w:rsidP="003474F2">
      <w:pPr>
        <w:pStyle w:val="a3"/>
      </w:pPr>
      <w:r w:rsidRPr="001A3D2B">
        <w:t>Notes: JJournal</w:t>
      </w:r>
    </w:p>
    <w:p w:rsidR="003474F2" w:rsidRPr="001A3D2B" w:rsidRDefault="003474F2" w:rsidP="003474F2">
      <w:pPr>
        <w:pStyle w:val="a3"/>
      </w:pPr>
      <w:r w:rsidRPr="001A3D2B">
        <w:t>Schubert, A. (1998</w:t>
      </w:r>
      <w:r w:rsidR="00F42EAC">
        <w:t>), The</w:t>
      </w:r>
      <w:r w:rsidR="003A1917">
        <w:t xml:space="preserve"> </w:t>
      </w:r>
      <w:r w:rsidRPr="001A3D2B">
        <w:t>profile</w:t>
      </w:r>
      <w:r w:rsidR="00427468">
        <w:t xml:space="preserve"> of </w:t>
      </w:r>
      <w:r w:rsidR="003A1917">
        <w:t xml:space="preserve">the </w:t>
      </w:r>
      <w:r w:rsidRPr="001A3D2B">
        <w:rPr>
          <w:i/>
          <w:iCs/>
        </w:rPr>
        <w:t>Chemical Engineering Journal</w:t>
      </w:r>
      <w:r w:rsidR="005853A9">
        <w:t xml:space="preserve"> and </w:t>
      </w:r>
      <w:r w:rsidRPr="001A3D2B">
        <w:rPr>
          <w:i/>
          <w:iCs/>
        </w:rPr>
        <w:t>Biochemical Engineering Journal</w:t>
      </w:r>
      <w:r w:rsidRPr="001A3D2B">
        <w:t xml:space="preserve"> as reflected in its publications, references</w:t>
      </w:r>
      <w:r w:rsidR="005853A9">
        <w:t xml:space="preserve"> and </w:t>
      </w:r>
      <w:r w:rsidRPr="001A3D2B">
        <w:t xml:space="preserve">citations, 1983-1996. </w:t>
      </w:r>
      <w:r w:rsidRPr="001A3D2B">
        <w:rPr>
          <w:i/>
        </w:rPr>
        <w:t>Chemical Engineering Journal</w:t>
      </w:r>
      <w:r w:rsidRPr="001A3D2B">
        <w:t xml:space="preserve">, </w:t>
      </w:r>
      <w:r w:rsidRPr="001A3D2B">
        <w:rPr>
          <w:b/>
        </w:rPr>
        <w:t>69</w:t>
      </w:r>
      <w:r w:rsidRPr="001A3D2B">
        <w:t xml:space="preserve"> (3), 151-156.</w:t>
      </w:r>
    </w:p>
    <w:p w:rsidR="003474F2" w:rsidRPr="001A3D2B" w:rsidRDefault="003474F2" w:rsidP="003474F2">
      <w:pPr>
        <w:pStyle w:val="a3"/>
      </w:pPr>
      <w:r w:rsidRPr="001A3D2B">
        <w:t xml:space="preserve">Full Text: </w:t>
      </w:r>
      <w:hyperlink r:id="rId172" w:history="1">
        <w:r w:rsidR="00B94147" w:rsidRPr="00B94147">
          <w:rPr>
            <w:rStyle w:val="a5"/>
          </w:rPr>
          <w:t>1998\Che Eng J69, 151.pdf</w:t>
        </w:r>
      </w:hyperlink>
    </w:p>
    <w:p w:rsidR="003474F2" w:rsidRPr="001A3D2B" w:rsidRDefault="003474F2" w:rsidP="003474F2">
      <w:pPr>
        <w:pStyle w:val="a3"/>
      </w:pPr>
      <w:r w:rsidRPr="001A3D2B">
        <w:t>Abstract: Scientometric techniques have been used to help outline</w:t>
      </w:r>
      <w:r w:rsidR="003A1917">
        <w:t xml:space="preserve"> the </w:t>
      </w:r>
      <w:r w:rsidRPr="001A3D2B">
        <w:t>profile</w:t>
      </w:r>
      <w:r w:rsidR="00427468">
        <w:t xml:space="preserve"> of </w:t>
      </w:r>
      <w:r w:rsidR="003A1917">
        <w:t xml:space="preserve">the </w:t>
      </w:r>
      <w:r w:rsidRPr="001A3D2B">
        <w:t>Chemical Engineering Journal</w:t>
      </w:r>
      <w:r w:rsidR="005853A9">
        <w:t xml:space="preserve"> and </w:t>
      </w:r>
      <w:r w:rsidRPr="001A3D2B">
        <w:t>Biochemical Engineering Journal during</w:t>
      </w:r>
      <w:r w:rsidR="003A1917">
        <w:t xml:space="preserve"> the </w:t>
      </w:r>
      <w:r w:rsidRPr="001A3D2B">
        <w:t>1983-1996 period. (C) 1998 Elsevier Science S.A. All rights reserved.</w:t>
      </w:r>
    </w:p>
    <w:p w:rsidR="003474F2" w:rsidRPr="001A3D2B" w:rsidRDefault="003474F2" w:rsidP="003474F2">
      <w:pPr>
        <w:pStyle w:val="a3"/>
      </w:pPr>
      <w:r w:rsidRPr="001A3D2B">
        <w:t>Keywords: Chemical Engineering Journal, Biochemical Engineering Journal, Scientometric Techniques, Science</w:t>
      </w:r>
    </w:p>
    <w:p w:rsidR="003474F2" w:rsidRPr="001A3D2B" w:rsidRDefault="003474F2" w:rsidP="003474F2">
      <w:pPr>
        <w:pStyle w:val="1"/>
      </w:pPr>
      <w:r w:rsidRPr="001A3D2B">
        <w:br w:type="page"/>
      </w:r>
      <w:bookmarkStart w:id="146" w:name="_Toc420814942"/>
      <w:r w:rsidRPr="001A3D2B">
        <w:lastRenderedPageBreak/>
        <w:t>Title: Chemical &amp; Engineering News</w:t>
      </w:r>
      <w:bookmarkEnd w:id="146"/>
    </w:p>
    <w:p w:rsidR="00D91B36" w:rsidRPr="001A3D2B" w:rsidRDefault="00D91B36" w:rsidP="00D91B36">
      <w:pPr>
        <w:pStyle w:val="12"/>
      </w:pPr>
      <w:r w:rsidRPr="001A3D2B">
        <w:t>Full Journa</w:t>
      </w:r>
      <w:bookmarkStart w:id="147" w:name="_Toc487190567"/>
      <w:bookmarkStart w:id="148" w:name="_Toc487882067"/>
      <w:bookmarkStart w:id="149" w:name="_Toc490687790"/>
      <w:bookmarkStart w:id="150" w:name="_Toc492779414"/>
      <w:bookmarkStart w:id="151" w:name="_Toc92458405"/>
      <w:r w:rsidRPr="001A3D2B">
        <w:t xml:space="preserve">l Title: </w:t>
      </w:r>
      <w:r w:rsidR="00DF61FE">
        <w:fldChar w:fldCharType="begin"/>
      </w:r>
      <w:r w:rsidR="00FD158B">
        <w:instrText>HYPERLINK "http://pubs.a</w:instrText>
      </w:r>
      <w:bookmarkEnd w:id="147"/>
      <w:bookmarkEnd w:id="148"/>
      <w:bookmarkEnd w:id="149"/>
      <w:bookmarkEnd w:id="150"/>
      <w:bookmarkEnd w:id="151"/>
      <w:r w:rsidR="00FD158B">
        <w:instrText>cs.org.ludwig.lub.lu.se/cen/archive/"</w:instrText>
      </w:r>
      <w:r w:rsidR="00DF61FE">
        <w:fldChar w:fldCharType="separate"/>
      </w:r>
      <w:r w:rsidRPr="00084FAD">
        <w:rPr>
          <w:rStyle w:val="a5"/>
        </w:rPr>
        <w:t>Chemical &amp; Engineering News</w:t>
      </w:r>
      <w:r w:rsidR="00DF61FE">
        <w:fldChar w:fldCharType="end"/>
      </w:r>
    </w:p>
    <w:p w:rsidR="003474F2" w:rsidRPr="001A3D2B" w:rsidRDefault="003474F2" w:rsidP="003474F2">
      <w:pPr>
        <w:pStyle w:val="12"/>
      </w:pPr>
      <w:r w:rsidRPr="001A3D2B">
        <w:t xml:space="preserve">ISO Abbreviated Title: Chem. </w:t>
      </w:r>
      <w:smartTag w:uri="urn:schemas-microsoft-com:office:smarttags" w:element="place">
        <w:smartTag w:uri="urn:schemas-microsoft-com:office:smarttags" w:element="country-region">
          <w:r w:rsidRPr="001A3D2B">
            <w:t>Eng.</w:t>
          </w:r>
        </w:smartTag>
      </w:smartTag>
      <w:r w:rsidRPr="001A3D2B">
        <w:t xml:space="preserve"> News</w:t>
      </w:r>
    </w:p>
    <w:p w:rsidR="003474F2" w:rsidRPr="001A3D2B" w:rsidRDefault="003474F2" w:rsidP="003474F2">
      <w:pPr>
        <w:pStyle w:val="12"/>
      </w:pPr>
      <w:r w:rsidRPr="001A3D2B">
        <w:t>JCR Abbreviated Title: Chem Eng News</w:t>
      </w:r>
    </w:p>
    <w:p w:rsidR="003474F2" w:rsidRPr="001A3D2B" w:rsidRDefault="003474F2" w:rsidP="003474F2">
      <w:pPr>
        <w:pStyle w:val="12"/>
      </w:pPr>
      <w:r w:rsidRPr="001A3D2B">
        <w:t>ISSN: 0009-2347</w:t>
      </w:r>
    </w:p>
    <w:p w:rsidR="003474F2" w:rsidRPr="001A3D2B" w:rsidRDefault="003474F2" w:rsidP="003474F2">
      <w:pPr>
        <w:pStyle w:val="12"/>
      </w:pPr>
      <w:r w:rsidRPr="001A3D2B">
        <w:t>Issues/Year: 51</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Chemical 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1155 16th St, NW</w:t>
          </w:r>
        </w:smartTag>
        <w:r w:rsidRPr="001A3D2B">
          <w:t xml:space="preserve">, </w:t>
        </w:r>
        <w:smartTag w:uri="urn:schemas-microsoft-com:office:smarttags" w:element="City">
          <w:r w:rsidRPr="001A3D2B">
            <w:t>Washington</w:t>
          </w:r>
        </w:smartTag>
        <w:r w:rsidRPr="001A3D2B">
          <w:t xml:space="preserve">, </w:t>
        </w:r>
        <w:smartTag w:uri="urn:schemas-microsoft-com:office:smarttags" w:element="State">
          <w:r w:rsidRPr="001A3D2B">
            <w:t>DC</w:t>
          </w:r>
        </w:smartTag>
        <w:r w:rsidRPr="001A3D2B">
          <w:t xml:space="preserve"> </w:t>
        </w:r>
        <w:smartTag w:uri="urn:schemas-microsoft-com:office:smarttags" w:element="PostalCode">
          <w:r w:rsidRPr="001A3D2B">
            <w:t>20036</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Engineering, Chemical: Impact Factor 0.518, 54/110 (1999); Impact Factor 0.564, 57/123 (2001)</w:t>
      </w:r>
    </w:p>
    <w:p w:rsidR="00C51252" w:rsidRDefault="00C51252" w:rsidP="00C51252">
      <w:pPr>
        <w:pStyle w:val="a3"/>
        <w:rPr>
          <w:kern w:val="0"/>
        </w:rPr>
      </w:pPr>
      <w:r>
        <w:rPr>
          <w:rFonts w:hint="eastAsia"/>
          <w:kern w:val="0"/>
        </w:rPr>
        <w:t xml:space="preserve">? </w:t>
      </w:r>
      <w:r>
        <w:rPr>
          <w:kern w:val="0"/>
        </w:rPr>
        <w:t>Stinson, S.C. (1981), Chemists a 4th</w:t>
      </w:r>
      <w:r w:rsidR="00427468">
        <w:rPr>
          <w:kern w:val="0"/>
        </w:rPr>
        <w:t xml:space="preserve"> of </w:t>
      </w:r>
      <w:r>
        <w:rPr>
          <w:kern w:val="0"/>
        </w:rPr>
        <w:t xml:space="preserve">most-cited scientists. </w:t>
      </w:r>
      <w:r>
        <w:rPr>
          <w:i/>
          <w:iCs/>
          <w:kern w:val="0"/>
        </w:rPr>
        <w:t>Chemical &amp; Engineering News</w:t>
      </w:r>
      <w:r>
        <w:rPr>
          <w:kern w:val="0"/>
        </w:rPr>
        <w:t xml:space="preserve">, </w:t>
      </w:r>
      <w:r>
        <w:rPr>
          <w:b/>
          <w:bCs/>
          <w:kern w:val="0"/>
        </w:rPr>
        <w:t>59</w:t>
      </w:r>
      <w:r>
        <w:rPr>
          <w:kern w:val="0"/>
        </w:rPr>
        <w:t xml:space="preserve"> (42), 30-33</w:t>
      </w:r>
      <w:r>
        <w:rPr>
          <w:rFonts w:hint="eastAsia"/>
          <w:kern w:val="0"/>
        </w:rPr>
        <w:t>.</w:t>
      </w:r>
    </w:p>
    <w:p w:rsidR="00C51252" w:rsidRDefault="00C51252" w:rsidP="00C51252">
      <w:pPr>
        <w:pStyle w:val="a3"/>
        <w:rPr>
          <w:kern w:val="0"/>
        </w:rPr>
      </w:pPr>
      <w:r>
        <w:rPr>
          <w:kern w:val="0"/>
        </w:rPr>
        <w:t>Keywords: Scientists</w:t>
      </w:r>
    </w:p>
    <w:p w:rsidR="003474F2" w:rsidRPr="001A3D2B" w:rsidRDefault="003474F2" w:rsidP="003474F2">
      <w:pPr>
        <w:pStyle w:val="a3"/>
      </w:pPr>
      <w:r w:rsidRPr="001A3D2B">
        <w:t>? Alvarez, S.G. (1997), Citation</w:t>
      </w:r>
      <w:r w:rsidRPr="001A3D2B">
        <w:rPr>
          <w:bCs/>
        </w:rPr>
        <w:t xml:space="preserve"> </w:t>
      </w:r>
      <w:r w:rsidRPr="001A3D2B">
        <w:t xml:space="preserve">accuracy. </w:t>
      </w:r>
      <w:r w:rsidRPr="001A3D2B">
        <w:rPr>
          <w:i/>
        </w:rPr>
        <w:t>Chemical &amp; Engineering News</w:t>
      </w:r>
      <w:r w:rsidRPr="001A3D2B">
        <w:t xml:space="preserve">, </w:t>
      </w:r>
      <w:r w:rsidRPr="001A3D2B">
        <w:rPr>
          <w:b/>
        </w:rPr>
        <w:t>75</w:t>
      </w:r>
      <w:r w:rsidRPr="001A3D2B">
        <w:t xml:space="preserve"> (1), 75.</w:t>
      </w:r>
    </w:p>
    <w:p w:rsidR="000726FD" w:rsidRDefault="000726FD" w:rsidP="000726FD">
      <w:pPr>
        <w:pStyle w:val="a3"/>
        <w:rPr>
          <w:kern w:val="0"/>
        </w:rPr>
      </w:pPr>
      <w:r>
        <w:rPr>
          <w:rFonts w:hint="eastAsia"/>
          <w:kern w:val="0"/>
        </w:rPr>
        <w:t xml:space="preserve">? </w:t>
      </w:r>
      <w:r>
        <w:rPr>
          <w:kern w:val="0"/>
        </w:rPr>
        <w:t xml:space="preserve">(2011), FDA cited for lax seafood monitoring. </w:t>
      </w:r>
      <w:r>
        <w:rPr>
          <w:i/>
          <w:iCs/>
          <w:kern w:val="0"/>
        </w:rPr>
        <w:t>Chemical &amp; Engineering News</w:t>
      </w:r>
      <w:r>
        <w:rPr>
          <w:kern w:val="0"/>
        </w:rPr>
        <w:t xml:space="preserve">, </w:t>
      </w:r>
      <w:r>
        <w:rPr>
          <w:b/>
          <w:bCs/>
          <w:kern w:val="0"/>
        </w:rPr>
        <w:t>89</w:t>
      </w:r>
      <w:r>
        <w:rPr>
          <w:kern w:val="0"/>
        </w:rPr>
        <w:t xml:space="preserve"> (21), 28</w:t>
      </w:r>
      <w:r>
        <w:rPr>
          <w:rFonts w:hint="eastAsia"/>
          <w:kern w:val="0"/>
        </w:rPr>
        <w:t>.</w:t>
      </w:r>
    </w:p>
    <w:p w:rsidR="009B748D" w:rsidRPr="00C73C58" w:rsidRDefault="009B748D" w:rsidP="009B748D">
      <w:pPr>
        <w:pStyle w:val="a3"/>
      </w:pPr>
      <w:r w:rsidRPr="00C73C58">
        <w:t xml:space="preserve">Full Text: </w:t>
      </w:r>
      <w:hyperlink r:id="rId173" w:history="1">
        <w:r w:rsidRPr="002C32DD">
          <w:rPr>
            <w:rStyle w:val="a5"/>
          </w:rPr>
          <w:t>2011\Che Eng New89, 28.</w:t>
        </w:r>
        <w:r>
          <w:rPr>
            <w:rStyle w:val="a5"/>
          </w:rPr>
          <w:t>pdf</w:t>
        </w:r>
      </w:hyperlink>
    </w:p>
    <w:p w:rsidR="003474F2" w:rsidRPr="001A3D2B" w:rsidRDefault="003474F2" w:rsidP="003474F2">
      <w:pPr>
        <w:pStyle w:val="1"/>
      </w:pPr>
      <w:r w:rsidRPr="001A3D2B">
        <w:br w:type="page"/>
      </w:r>
      <w:bookmarkStart w:id="152" w:name="_Toc420814943"/>
      <w:r w:rsidRPr="001A3D2B">
        <w:lastRenderedPageBreak/>
        <w:t>Title: Chemical Reviews</w:t>
      </w:r>
      <w:bookmarkEnd w:id="152"/>
    </w:p>
    <w:p w:rsidR="003474F2" w:rsidRPr="001A3D2B" w:rsidRDefault="003474F2" w:rsidP="003474F2">
      <w:pPr>
        <w:pStyle w:val="12"/>
      </w:pPr>
      <w:r w:rsidRPr="001A3D2B">
        <w:t xml:space="preserve">Full Journal Title: </w:t>
      </w:r>
      <w:r w:rsidR="00DF61FE">
        <w:fldChar w:fldCharType="begin"/>
      </w:r>
      <w:r w:rsidR="00FD158B">
        <w:instrText>H</w:instrText>
      </w:r>
      <w:bookmarkStart w:id="153" w:name="_Toc455569396"/>
      <w:bookmarkStart w:id="154" w:name="_Toc487190580"/>
      <w:bookmarkStart w:id="155" w:name="_Toc487882080"/>
      <w:bookmarkStart w:id="156" w:name="_Toc490687804"/>
      <w:bookmarkStart w:id="157" w:name="_Toc492779428"/>
      <w:bookmarkStart w:id="158" w:name="_Toc46455967"/>
      <w:bookmarkStart w:id="159" w:name="_Toc81215662"/>
      <w:r w:rsidR="00FD158B">
        <w:instrText>YPERLINK "http://pubs.a</w:instrText>
      </w:r>
      <w:bookmarkEnd w:id="153"/>
      <w:bookmarkEnd w:id="154"/>
      <w:bookmarkEnd w:id="155"/>
      <w:bookmarkEnd w:id="156"/>
      <w:bookmarkEnd w:id="157"/>
      <w:bookmarkEnd w:id="158"/>
      <w:bookmarkEnd w:id="159"/>
      <w:r w:rsidR="00FD158B">
        <w:instrText>cs.org/journals/chreay/index.html"</w:instrText>
      </w:r>
      <w:r w:rsidR="00DF61FE">
        <w:fldChar w:fldCharType="separate"/>
      </w:r>
      <w:r w:rsidRPr="001A3D2B">
        <w:rPr>
          <w:rStyle w:val="a5"/>
        </w:rPr>
        <w:t>Chemical Reviews</w:t>
      </w:r>
      <w:r w:rsidR="00DF61FE">
        <w:fldChar w:fldCharType="end"/>
      </w:r>
    </w:p>
    <w:p w:rsidR="003474F2" w:rsidRPr="001A3D2B" w:rsidRDefault="003474F2" w:rsidP="003474F2">
      <w:pPr>
        <w:pStyle w:val="12"/>
      </w:pPr>
      <w:r w:rsidRPr="001A3D2B">
        <w:t>ISO Abbreviated Title: Chem. Rev.</w:t>
      </w:r>
    </w:p>
    <w:p w:rsidR="003474F2" w:rsidRPr="001A3D2B" w:rsidRDefault="003474F2" w:rsidP="003474F2">
      <w:pPr>
        <w:pStyle w:val="12"/>
      </w:pPr>
      <w:r w:rsidRPr="001A3D2B">
        <w:t>JCR Abbreviated Title: Chem Rev</w:t>
      </w:r>
    </w:p>
    <w:p w:rsidR="003474F2" w:rsidRPr="001A3D2B" w:rsidRDefault="003474F2" w:rsidP="003474F2">
      <w:pPr>
        <w:pStyle w:val="12"/>
      </w:pPr>
      <w:r w:rsidRPr="001A3D2B">
        <w:t>ISSN: 0009-2665</w:t>
      </w:r>
    </w:p>
    <w:p w:rsidR="003474F2" w:rsidRPr="001A3D2B" w:rsidRDefault="003474F2" w:rsidP="003474F2">
      <w:pPr>
        <w:pStyle w:val="12"/>
      </w:pPr>
      <w:r w:rsidRPr="001A3D2B">
        <w:t>Issues/Year: 8</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Chemical 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1155 16th St, NW</w:t>
          </w:r>
        </w:smartTag>
        <w:r w:rsidRPr="001A3D2B">
          <w:t xml:space="preserve">, </w:t>
        </w:r>
        <w:smartTag w:uri="urn:schemas-microsoft-com:office:smarttags" w:element="City">
          <w:r w:rsidRPr="001A3D2B">
            <w:t>Washington</w:t>
          </w:r>
        </w:smartTag>
        <w:r w:rsidRPr="001A3D2B">
          <w:t xml:space="preserve">, </w:t>
        </w:r>
        <w:smartTag w:uri="urn:schemas-microsoft-com:office:smarttags" w:element="State">
          <w:r w:rsidRPr="001A3D2B">
            <w:t>DC</w:t>
          </w:r>
        </w:smartTag>
        <w:r w:rsidRPr="001A3D2B">
          <w:t xml:space="preserve"> </w:t>
        </w:r>
        <w:smartTag w:uri="urn:schemas-microsoft-com:office:smarttags" w:element="PostalCode">
          <w:r w:rsidRPr="001A3D2B">
            <w:t>20036</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Impact Factor 21.244, 1/121</w:t>
      </w:r>
    </w:p>
    <w:p w:rsidR="003474F2" w:rsidRPr="001A3D2B" w:rsidRDefault="003474F2" w:rsidP="003474F2">
      <w:pPr>
        <w:pStyle w:val="a3"/>
      </w:pPr>
      <w:r w:rsidRPr="001A3D2B">
        <w:t>Notes: JJournal</w:t>
      </w:r>
    </w:p>
    <w:p w:rsidR="003474F2" w:rsidRPr="001A3D2B" w:rsidRDefault="003474F2" w:rsidP="003474F2">
      <w:pPr>
        <w:pStyle w:val="a3"/>
      </w:pPr>
      <w:r w:rsidRPr="001A3D2B">
        <w:t>Braun, T., Schubert, A.P.</w:t>
      </w:r>
      <w:r w:rsidR="005853A9">
        <w:t xml:space="preserve"> and </w:t>
      </w:r>
      <w:r w:rsidRPr="001A3D2B">
        <w:t>Kostoff, R.N. (2000), Growth</w:t>
      </w:r>
      <w:r w:rsidR="005853A9">
        <w:t xml:space="preserve"> and </w:t>
      </w:r>
      <w:r w:rsidRPr="001A3D2B">
        <w:t>trends</w:t>
      </w:r>
      <w:r w:rsidR="00427468">
        <w:t xml:space="preserve"> of </w:t>
      </w:r>
      <w:r w:rsidRPr="001A3D2B">
        <w:t xml:space="preserve">fullerene research as reflected in its journal literature. </w:t>
      </w:r>
      <w:r w:rsidRPr="001A3D2B">
        <w:rPr>
          <w:i/>
        </w:rPr>
        <w:t>Chemical Reviews</w:t>
      </w:r>
      <w:r w:rsidRPr="001A3D2B">
        <w:t xml:space="preserve">, </w:t>
      </w:r>
      <w:r w:rsidRPr="001A3D2B">
        <w:rPr>
          <w:b/>
        </w:rPr>
        <w:t>100</w:t>
      </w:r>
      <w:r w:rsidRPr="001A3D2B">
        <w:rPr>
          <w:bCs/>
        </w:rPr>
        <w:t xml:space="preserve"> (1)</w:t>
      </w:r>
      <w:r w:rsidRPr="001A3D2B">
        <w:t>, 23-38.</w:t>
      </w:r>
    </w:p>
    <w:p w:rsidR="003474F2" w:rsidRPr="001A3D2B" w:rsidRDefault="003474F2" w:rsidP="003474F2">
      <w:pPr>
        <w:pStyle w:val="a3"/>
      </w:pPr>
      <w:r w:rsidRPr="001A3D2B">
        <w:t xml:space="preserve">Full Text: </w:t>
      </w:r>
      <w:hyperlink r:id="rId174" w:history="1">
        <w:r w:rsidRPr="001A3D2B">
          <w:rPr>
            <w:rStyle w:val="a5"/>
          </w:rPr>
          <w:t>2000\Che Rev100, 23.pdf</w:t>
        </w:r>
      </w:hyperlink>
    </w:p>
    <w:p w:rsidR="003474F2" w:rsidRPr="001A3D2B" w:rsidRDefault="003474F2" w:rsidP="003474F2">
      <w:pPr>
        <w:pStyle w:val="1"/>
      </w:pPr>
      <w:r w:rsidRPr="001A3D2B">
        <w:br w:type="page"/>
      </w:r>
      <w:bookmarkStart w:id="160" w:name="_Toc420814944"/>
      <w:r w:rsidRPr="001A3D2B">
        <w:lastRenderedPageBreak/>
        <w:t>Title: Chemicke Listy</w:t>
      </w:r>
      <w:bookmarkEnd w:id="160"/>
    </w:p>
    <w:p w:rsidR="003474F2" w:rsidRPr="001A3D2B" w:rsidRDefault="003474F2" w:rsidP="003474F2">
      <w:pPr>
        <w:pStyle w:val="12"/>
      </w:pPr>
      <w:r w:rsidRPr="001A3D2B">
        <w:t xml:space="preserve">Full Journal Title: </w:t>
      </w:r>
      <w:hyperlink r:id="rId175" w:history="1">
        <w:r w:rsidRPr="00EF030E">
          <w:rPr>
            <w:rStyle w:val="a5"/>
          </w:rPr>
          <w:t>Chemick</w:t>
        </w:r>
        <w:r w:rsidR="00EF030E" w:rsidRPr="00EF030E">
          <w:rPr>
            <w:rStyle w:val="a5"/>
          </w:rPr>
          <w:t>é</w:t>
        </w:r>
        <w:r w:rsidRPr="00EF030E">
          <w:rPr>
            <w:rStyle w:val="a5"/>
          </w:rPr>
          <w:t xml:space="preserve"> Listy</w:t>
        </w:r>
      </w:hyperlink>
    </w:p>
    <w:p w:rsidR="003474F2" w:rsidRPr="001A3D2B" w:rsidRDefault="003474F2" w:rsidP="003474F2">
      <w:pPr>
        <w:pStyle w:val="12"/>
      </w:pPr>
      <w:r w:rsidRPr="001A3D2B">
        <w:t>ISO Abbreviated Title: Chem. Listy</w:t>
      </w:r>
    </w:p>
    <w:p w:rsidR="003474F2" w:rsidRPr="001A3D2B" w:rsidRDefault="003474F2" w:rsidP="003474F2">
      <w:pPr>
        <w:pStyle w:val="12"/>
      </w:pPr>
      <w:r w:rsidRPr="001A3D2B">
        <w:t>JCR Abbreviated Title: Chem Listy</w:t>
      </w:r>
    </w:p>
    <w:p w:rsidR="003474F2" w:rsidRPr="001A3D2B" w:rsidRDefault="003474F2" w:rsidP="003474F2">
      <w:pPr>
        <w:pStyle w:val="12"/>
      </w:pPr>
      <w:r w:rsidRPr="001A3D2B">
        <w:t>ISSN: 0009-2770</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 xml:space="preserve">Czech </w:t>
      </w:r>
      <w:smartTag w:uri="urn:schemas-microsoft-com:office:smarttags" w:element="PlaceType">
        <w:r w:rsidR="003474F2" w:rsidRPr="001A3D2B">
          <w:t>Republic</w:t>
        </w:r>
      </w:smartTag>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Chemicke Listy</w:t>
      </w:r>
    </w:p>
    <w:p w:rsidR="003474F2" w:rsidRPr="001A3D2B" w:rsidRDefault="003474F2" w:rsidP="003474F2">
      <w:pPr>
        <w:pStyle w:val="12"/>
      </w:pPr>
      <w:r w:rsidRPr="001A3D2B">
        <w:t xml:space="preserve">Publisher Address: Novotneho Lavka 5, </w:t>
      </w:r>
      <w:smartTag w:uri="urn:schemas-microsoft-com:office:smarttags" w:element="City">
        <w:r w:rsidRPr="001A3D2B">
          <w:t>Prague</w:t>
        </w:r>
      </w:smartTag>
      <w:r w:rsidRPr="001A3D2B">
        <w:t xml:space="preserve"> 6 116 68, </w:t>
      </w:r>
      <w:smartTag w:uri="urn:schemas-microsoft-com:office:smarttags" w:element="place">
        <w:smartTag w:uri="urn:schemas-microsoft-com:office:smarttags" w:element="PlaceName">
          <w:r w:rsidRPr="001A3D2B">
            <w:t>Czech</w:t>
          </w:r>
        </w:smartTag>
        <w:r w:rsidRPr="001A3D2B">
          <w:t xml:space="preserve"> </w:t>
        </w:r>
        <w:smartTag w:uri="urn:schemas-microsoft-com:office:smarttags" w:element="PlaceType">
          <w:r w:rsidRPr="001A3D2B">
            <w:t>Republic</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Multidisciplinary: Impact Factor 0.278,</w:t>
      </w:r>
      <w:r w:rsidR="00EF030E">
        <w:rPr>
          <w:rFonts w:hint="eastAsia"/>
        </w:rPr>
        <w:t xml:space="preserve"> </w:t>
      </w:r>
      <w:r w:rsidRPr="001A3D2B">
        <w:t>/(2000)</w:t>
      </w:r>
    </w:p>
    <w:p w:rsidR="003474F2" w:rsidRPr="001A3D2B" w:rsidRDefault="003474F2" w:rsidP="003474F2">
      <w:pPr>
        <w:pStyle w:val="a3"/>
      </w:pPr>
      <w:r w:rsidRPr="001A3D2B">
        <w:t>? Skubalova, M. (1976), Science Citation Index</w:t>
      </w:r>
      <w:r w:rsidR="005853A9">
        <w:t xml:space="preserve"> and </w:t>
      </w:r>
      <w:r w:rsidRPr="001A3D2B">
        <w:t xml:space="preserve">its use in search in reference literature. </w:t>
      </w:r>
      <w:r w:rsidRPr="001A3D2B">
        <w:rPr>
          <w:i/>
          <w:iCs/>
        </w:rPr>
        <w:t>Chemick</w:t>
      </w:r>
      <w:r w:rsidR="00EF030E">
        <w:rPr>
          <w:i/>
          <w:iCs/>
        </w:rPr>
        <w:t>é</w:t>
      </w:r>
      <w:r w:rsidRPr="001A3D2B">
        <w:rPr>
          <w:i/>
          <w:iCs/>
        </w:rPr>
        <w:t xml:space="preserve"> Listy</w:t>
      </w:r>
      <w:r w:rsidRPr="001A3D2B">
        <w:t xml:space="preserve">, </w:t>
      </w:r>
      <w:r w:rsidRPr="001A3D2B">
        <w:rPr>
          <w:b/>
          <w:bCs/>
        </w:rPr>
        <w:t>70</w:t>
      </w:r>
      <w:r w:rsidRPr="001A3D2B">
        <w:t xml:space="preserve"> (2), 175-186.</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Stehlicek, J. (1998), More discussion</w:t>
      </w:r>
      <w:r w:rsidR="00427468">
        <w:t xml:space="preserve"> of </w:t>
      </w:r>
      <w:r w:rsidR="003A1917">
        <w:t xml:space="preserve">the </w:t>
      </w:r>
      <w:r w:rsidRPr="001A3D2B">
        <w:t xml:space="preserve">Science Citation Index. </w:t>
      </w:r>
      <w:r w:rsidRPr="001A3D2B">
        <w:rPr>
          <w:i/>
          <w:iCs/>
        </w:rPr>
        <w:t>Chemick</w:t>
      </w:r>
      <w:r w:rsidR="00EF030E">
        <w:rPr>
          <w:i/>
          <w:iCs/>
        </w:rPr>
        <w:t>é</w:t>
      </w:r>
      <w:r w:rsidRPr="001A3D2B">
        <w:rPr>
          <w:i/>
          <w:iCs/>
        </w:rPr>
        <w:t xml:space="preserve"> Listy</w:t>
      </w:r>
      <w:r w:rsidRPr="001A3D2B">
        <w:t xml:space="preserve">, </w:t>
      </w:r>
      <w:r w:rsidRPr="001A3D2B">
        <w:rPr>
          <w:b/>
          <w:bCs/>
        </w:rPr>
        <w:t>92</w:t>
      </w:r>
      <w:r w:rsidRPr="001A3D2B">
        <w:t xml:space="preserve"> (11), 930.</w:t>
      </w:r>
    </w:p>
    <w:p w:rsidR="003474F2" w:rsidRPr="001A3D2B" w:rsidRDefault="003474F2" w:rsidP="003474F2">
      <w:pPr>
        <w:pStyle w:val="a3"/>
      </w:pPr>
      <w:r w:rsidRPr="001A3D2B">
        <w:t>Full Text: Che Lis92, 930.pdf</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xml:space="preserve">Vymĕtal, J. (1999), Contemporary information media in chemistry. </w:t>
      </w:r>
      <w:r w:rsidRPr="001A3D2B">
        <w:rPr>
          <w:i/>
          <w:iCs/>
        </w:rPr>
        <w:t>Chemick</w:t>
      </w:r>
      <w:r w:rsidR="00EF030E">
        <w:rPr>
          <w:i/>
          <w:iCs/>
        </w:rPr>
        <w:t>é</w:t>
      </w:r>
      <w:r w:rsidRPr="001A3D2B">
        <w:rPr>
          <w:i/>
          <w:iCs/>
        </w:rPr>
        <w:t xml:space="preserve"> Listy</w:t>
      </w:r>
      <w:r w:rsidRPr="001A3D2B">
        <w:t xml:space="preserve">, </w:t>
      </w:r>
      <w:r w:rsidRPr="001A3D2B">
        <w:rPr>
          <w:b/>
        </w:rPr>
        <w:t>93</w:t>
      </w:r>
      <w:r w:rsidRPr="001A3D2B">
        <w:t xml:space="preserve"> (6), 382-390.</w:t>
      </w:r>
    </w:p>
    <w:p w:rsidR="003474F2" w:rsidRPr="001A3D2B" w:rsidRDefault="003474F2" w:rsidP="003474F2">
      <w:pPr>
        <w:pStyle w:val="a3"/>
      </w:pPr>
      <w:r w:rsidRPr="001A3D2B">
        <w:t xml:space="preserve">Full Text: </w:t>
      </w:r>
      <w:hyperlink r:id="rId176" w:history="1">
        <w:r w:rsidRPr="001A3D2B">
          <w:rPr>
            <w:rStyle w:val="a5"/>
          </w:rPr>
          <w:t>1999\Che Lis93, 382.pdf</w:t>
        </w:r>
      </w:hyperlink>
    </w:p>
    <w:p w:rsidR="003474F2" w:rsidRPr="001A3D2B" w:rsidRDefault="003474F2" w:rsidP="003474F2">
      <w:pPr>
        <w:pStyle w:val="a3"/>
      </w:pPr>
      <w:r w:rsidRPr="001A3D2B">
        <w:t>Abstract: In</w:t>
      </w:r>
      <w:r w:rsidR="003A1917">
        <w:t xml:space="preserve"> the </w:t>
      </w:r>
      <w:r w:rsidRPr="001A3D2B">
        <w:t>present society information is</w:t>
      </w:r>
      <w:r w:rsidR="003A1917">
        <w:t xml:space="preserve"> the </w:t>
      </w:r>
      <w:r w:rsidRPr="001A3D2B">
        <w:t>key source</w:t>
      </w:r>
      <w:r w:rsidR="00427468">
        <w:t xml:space="preserve"> of </w:t>
      </w:r>
      <w:r w:rsidRPr="001A3D2B">
        <w:t>its further development</w:t>
      </w:r>
      <w:r w:rsidR="00A37C1D">
        <w:t>. The</w:t>
      </w:r>
      <w:r w:rsidR="003A1917">
        <w:t xml:space="preserve"> </w:t>
      </w:r>
      <w:r w:rsidRPr="001A3D2B">
        <w:t>goal</w:t>
      </w:r>
      <w:r w:rsidR="00427468">
        <w:t xml:space="preserve"> of </w:t>
      </w:r>
      <w:r w:rsidRPr="001A3D2B">
        <w:t>such a society is ensuring a universal access to information,</w:t>
      </w:r>
      <w:r w:rsidR="003A1917">
        <w:t xml:space="preserve"> the </w:t>
      </w:r>
      <w:r w:rsidRPr="001A3D2B">
        <w:t>criterion is</w:t>
      </w:r>
      <w:r w:rsidR="003A1917">
        <w:t xml:space="preserve"> the </w:t>
      </w:r>
      <w:r w:rsidRPr="001A3D2B">
        <w:t>scope, content, quality, usefulness</w:t>
      </w:r>
      <w:r w:rsidR="005853A9">
        <w:t xml:space="preserve"> and </w:t>
      </w:r>
      <w:r w:rsidRPr="001A3D2B">
        <w:t>accessibility</w:t>
      </w:r>
      <w:r w:rsidR="00427468">
        <w:t xml:space="preserve"> of </w:t>
      </w:r>
      <w:r w:rsidRPr="001A3D2B">
        <w:t>information services. Chemistry represents a top area dealt with in informatics</w:t>
      </w:r>
      <w:r w:rsidR="00A37C1D">
        <w:t>. The</w:t>
      </w:r>
      <w:r w:rsidR="003A1917">
        <w:t xml:space="preserve"> </w:t>
      </w:r>
      <w:r w:rsidRPr="001A3D2B">
        <w:t>article reflects</w:t>
      </w:r>
      <w:r w:rsidR="003A1917">
        <w:t xml:space="preserve"> the </w:t>
      </w:r>
      <w:r w:rsidRPr="001A3D2B">
        <w:t>publication explosion, including its consequence, it deals with scientometric assessment</w:t>
      </w:r>
      <w:r w:rsidR="00427468">
        <w:t xml:space="preserve"> of </w:t>
      </w:r>
      <w:r w:rsidRPr="001A3D2B">
        <w:t>selected chemical journals</w:t>
      </w:r>
      <w:r w:rsidR="005853A9">
        <w:t xml:space="preserve"> and </w:t>
      </w:r>
      <w:r w:rsidRPr="001A3D2B">
        <w:t>citations, distribution</w:t>
      </w:r>
      <w:r w:rsidR="00427468">
        <w:t xml:space="preserve"> of </w:t>
      </w:r>
      <w:r w:rsidRPr="001A3D2B">
        <w:t>chemical information as regards</w:t>
      </w:r>
      <w:r w:rsidR="003A1917">
        <w:t xml:space="preserve"> the </w:t>
      </w:r>
      <w:r w:rsidRPr="001A3D2B">
        <w:t>principal areas, geographical sources</w:t>
      </w:r>
      <w:r w:rsidR="005853A9">
        <w:t xml:space="preserve"> and </w:t>
      </w:r>
      <w:r w:rsidRPr="001A3D2B">
        <w:t>geographical distribution</w:t>
      </w:r>
      <w:r w:rsidR="00427468">
        <w:t xml:space="preserve"> of </w:t>
      </w:r>
      <w:r w:rsidRPr="001A3D2B">
        <w:t>chemical production.</w:t>
      </w:r>
    </w:p>
    <w:p w:rsidR="003474F2" w:rsidRPr="001A3D2B" w:rsidRDefault="003474F2" w:rsidP="003474F2">
      <w:pPr>
        <w:pStyle w:val="a3"/>
      </w:pPr>
      <w:r w:rsidRPr="001A3D2B">
        <w:t>Keywords: Citation Analysis, Impact Factor</w:t>
      </w:r>
    </w:p>
    <w:p w:rsidR="00EF030E" w:rsidRPr="00C73C58" w:rsidRDefault="00EF030E" w:rsidP="00EF030E">
      <w:pPr>
        <w:pStyle w:val="a3"/>
        <w:rPr>
          <w:kern w:val="0"/>
          <w:szCs w:val="24"/>
        </w:rPr>
      </w:pPr>
      <w:r w:rsidRPr="00C73C58">
        <w:rPr>
          <w:kern w:val="0"/>
          <w:szCs w:val="24"/>
        </w:rPr>
        <w:t>? Exner, O. (2001), What is further fate</w:t>
      </w:r>
      <w:r>
        <w:rPr>
          <w:kern w:val="0"/>
          <w:szCs w:val="24"/>
        </w:rPr>
        <w:t xml:space="preserve"> of </w:t>
      </w:r>
      <w:r w:rsidRPr="00C73C58">
        <w:rPr>
          <w:kern w:val="0"/>
          <w:szCs w:val="24"/>
        </w:rPr>
        <w:t xml:space="preserve">a published scientific paper? </w:t>
      </w:r>
      <w:r w:rsidRPr="00C73C58">
        <w:rPr>
          <w:i/>
          <w:iCs/>
          <w:kern w:val="0"/>
          <w:szCs w:val="24"/>
        </w:rPr>
        <w:t>Chemick</w:t>
      </w:r>
      <w:r>
        <w:rPr>
          <w:i/>
          <w:iCs/>
          <w:kern w:val="0"/>
          <w:szCs w:val="24"/>
        </w:rPr>
        <w:t>é</w:t>
      </w:r>
      <w:r w:rsidRPr="00C73C58">
        <w:rPr>
          <w:i/>
          <w:iCs/>
          <w:kern w:val="0"/>
          <w:szCs w:val="24"/>
        </w:rPr>
        <w:t xml:space="preserve"> Listy</w:t>
      </w:r>
      <w:r w:rsidRPr="00C73C58">
        <w:rPr>
          <w:kern w:val="0"/>
          <w:szCs w:val="24"/>
        </w:rPr>
        <w:t xml:space="preserve">, </w:t>
      </w:r>
      <w:r w:rsidRPr="00C73C58">
        <w:rPr>
          <w:b/>
          <w:bCs/>
          <w:kern w:val="0"/>
          <w:szCs w:val="24"/>
        </w:rPr>
        <w:t>95</w:t>
      </w:r>
      <w:r w:rsidRPr="00C73C58">
        <w:rPr>
          <w:kern w:val="0"/>
          <w:szCs w:val="24"/>
        </w:rPr>
        <w:t xml:space="preserve"> (8), 498-503.</w:t>
      </w:r>
    </w:p>
    <w:p w:rsidR="00EF030E" w:rsidRPr="00F03D2F" w:rsidRDefault="00EF030E" w:rsidP="00EF030E">
      <w:pPr>
        <w:pStyle w:val="a3"/>
        <w:rPr>
          <w:kern w:val="0"/>
        </w:rPr>
      </w:pPr>
      <w:r w:rsidRPr="00F03D2F">
        <w:rPr>
          <w:kern w:val="0"/>
        </w:rPr>
        <w:t>Full Text:</w:t>
      </w:r>
      <w:r w:rsidRPr="00D7601C">
        <w:t xml:space="preserve"> </w:t>
      </w:r>
      <w:hyperlink r:id="rId177" w:history="1">
        <w:r w:rsidRPr="00CC64FC">
          <w:rPr>
            <w:rStyle w:val="a5"/>
          </w:rPr>
          <w:t>2001\Che Lis95, 498.pdf</w:t>
        </w:r>
      </w:hyperlink>
    </w:p>
    <w:p w:rsidR="00EF030E" w:rsidRPr="00C73C58" w:rsidRDefault="00EF030E" w:rsidP="00EF030E">
      <w:pPr>
        <w:pStyle w:val="a3"/>
        <w:rPr>
          <w:kern w:val="0"/>
          <w:szCs w:val="24"/>
        </w:rPr>
      </w:pPr>
      <w:r w:rsidRPr="00C73C58">
        <w:rPr>
          <w:kern w:val="0"/>
          <w:szCs w:val="24"/>
        </w:rPr>
        <w:t>Abstract: Acceptance</w:t>
      </w:r>
      <w:r>
        <w:rPr>
          <w:kern w:val="0"/>
          <w:szCs w:val="24"/>
        </w:rPr>
        <w:t xml:space="preserve"> of </w:t>
      </w:r>
      <w:r w:rsidRPr="00C73C58">
        <w:rPr>
          <w:kern w:val="0"/>
          <w:szCs w:val="24"/>
        </w:rPr>
        <w:t>a published paper may be different as shown on examples from the author</w:t>
      </w:r>
      <w:r>
        <w:rPr>
          <w:kern w:val="0"/>
          <w:szCs w:val="24"/>
        </w:rPr>
        <w:t>’</w:t>
      </w:r>
      <w:r w:rsidRPr="00C73C58">
        <w:rPr>
          <w:kern w:val="0"/>
          <w:szCs w:val="24"/>
        </w:rPr>
        <w:t>s work. A wrong finding was rebutted (acyl derivatives</w:t>
      </w:r>
      <w:r>
        <w:rPr>
          <w:kern w:val="0"/>
          <w:szCs w:val="24"/>
        </w:rPr>
        <w:t xml:space="preserve"> of </w:t>
      </w:r>
      <w:r w:rsidRPr="00C73C58">
        <w:rPr>
          <w:kern w:val="0"/>
          <w:szCs w:val="24"/>
        </w:rPr>
        <w:t>oximes, configuration</w:t>
      </w:r>
      <w:r>
        <w:rPr>
          <w:kern w:val="0"/>
          <w:szCs w:val="24"/>
        </w:rPr>
        <w:t xml:space="preserve"> of </w:t>
      </w:r>
      <w:r w:rsidRPr="00C73C58">
        <w:rPr>
          <w:kern w:val="0"/>
          <w:szCs w:val="24"/>
        </w:rPr>
        <w:t xml:space="preserve">hydroximoyl chlorides), a method was accepted but not always </w:t>
      </w:r>
      <w:r w:rsidRPr="00C73C58">
        <w:rPr>
          <w:kern w:val="0"/>
          <w:szCs w:val="24"/>
        </w:rPr>
        <w:lastRenderedPageBreak/>
        <w:t>followed (isokinetic relationship), a long-term discussion started which has not been resolved (resonance in nitrobenzene), a work was repeated without knowledge</w:t>
      </w:r>
      <w:r>
        <w:rPr>
          <w:kern w:val="0"/>
          <w:szCs w:val="24"/>
        </w:rPr>
        <w:t xml:space="preserve"> of </w:t>
      </w:r>
      <w:r w:rsidRPr="00C73C58">
        <w:rPr>
          <w:kern w:val="0"/>
          <w:szCs w:val="24"/>
        </w:rPr>
        <w:t>the predecessor (acylation</w:t>
      </w:r>
      <w:r>
        <w:rPr>
          <w:kern w:val="0"/>
          <w:szCs w:val="24"/>
        </w:rPr>
        <w:t xml:space="preserve"> of </w:t>
      </w:r>
      <w:r w:rsidRPr="00C73C58">
        <w:rPr>
          <w:kern w:val="0"/>
          <w:szCs w:val="24"/>
        </w:rPr>
        <w:t>a hydroxylamine derivative) or the paper was accepted but not cited (polyvalent iodine derivatives)</w:t>
      </w:r>
      <w:r>
        <w:rPr>
          <w:kern w:val="0"/>
          <w:szCs w:val="24"/>
        </w:rPr>
        <w:t>. The</w:t>
      </w:r>
      <w:r w:rsidRPr="00C73C58">
        <w:rPr>
          <w:kern w:val="0"/>
          <w:szCs w:val="24"/>
        </w:rPr>
        <w:t xml:space="preserve"> consequences are discussed from the philosophic, ethical, psychological</w:t>
      </w:r>
      <w:r>
        <w:rPr>
          <w:kern w:val="0"/>
          <w:szCs w:val="24"/>
        </w:rPr>
        <w:t xml:space="preserve"> and </w:t>
      </w:r>
      <w:r w:rsidRPr="00C73C58">
        <w:rPr>
          <w:kern w:val="0"/>
          <w:szCs w:val="24"/>
        </w:rPr>
        <w:t>scientometric viewpoints.</w:t>
      </w:r>
    </w:p>
    <w:p w:rsidR="00EF030E" w:rsidRPr="00C73C58" w:rsidRDefault="00EF030E" w:rsidP="00EF030E">
      <w:pPr>
        <w:pStyle w:val="a3"/>
        <w:rPr>
          <w:kern w:val="0"/>
          <w:szCs w:val="24"/>
        </w:rPr>
      </w:pPr>
      <w:r w:rsidRPr="00C73C58">
        <w:rPr>
          <w:kern w:val="0"/>
          <w:szCs w:val="24"/>
        </w:rPr>
        <w:t>Keywords: Compensation, Configuration, Field, Ions, Knowledge, Nitro-Group, Resonance, Substituent</w:t>
      </w:r>
    </w:p>
    <w:p w:rsidR="00D764AD" w:rsidRDefault="00D764AD" w:rsidP="00D764AD">
      <w:pPr>
        <w:pStyle w:val="a3"/>
        <w:rPr>
          <w:kern w:val="0"/>
        </w:rPr>
      </w:pPr>
      <w:r>
        <w:rPr>
          <w:rFonts w:hint="eastAsia"/>
          <w:kern w:val="0"/>
        </w:rPr>
        <w:t xml:space="preserve">? </w:t>
      </w:r>
      <w:r>
        <w:rPr>
          <w:kern w:val="0"/>
        </w:rPr>
        <w:t>Kizek, R.</w:t>
      </w:r>
      <w:r w:rsidR="005853A9">
        <w:rPr>
          <w:kern w:val="0"/>
        </w:rPr>
        <w:t xml:space="preserve"> and </w:t>
      </w:r>
      <w:r>
        <w:rPr>
          <w:kern w:val="0"/>
        </w:rPr>
        <w:t>Adam, V. (2008), Impact factors</w:t>
      </w:r>
      <w:r w:rsidR="00427468">
        <w:rPr>
          <w:kern w:val="0"/>
        </w:rPr>
        <w:t xml:space="preserve"> of </w:t>
      </w:r>
      <w:r w:rsidR="003A1917">
        <w:rPr>
          <w:kern w:val="0"/>
        </w:rPr>
        <w:t xml:space="preserve">the </w:t>
      </w:r>
      <w:r>
        <w:rPr>
          <w:kern w:val="0"/>
        </w:rPr>
        <w:t>journals published in</w:t>
      </w:r>
      <w:r w:rsidR="003A1917">
        <w:rPr>
          <w:kern w:val="0"/>
        </w:rPr>
        <w:t xml:space="preserve"> the </w:t>
      </w:r>
      <w:r>
        <w:rPr>
          <w:kern w:val="0"/>
        </w:rPr>
        <w:t xml:space="preserve">Czech Republic in 2007. </w:t>
      </w:r>
      <w:r>
        <w:rPr>
          <w:i/>
          <w:iCs/>
          <w:kern w:val="0"/>
        </w:rPr>
        <w:t>Chemick</w:t>
      </w:r>
      <w:r w:rsidR="00EF030E">
        <w:rPr>
          <w:i/>
          <w:iCs/>
          <w:kern w:val="0"/>
        </w:rPr>
        <w:t>é</w:t>
      </w:r>
      <w:r>
        <w:rPr>
          <w:i/>
          <w:iCs/>
          <w:kern w:val="0"/>
        </w:rPr>
        <w:t xml:space="preserve"> Listy</w:t>
      </w:r>
      <w:r>
        <w:rPr>
          <w:kern w:val="0"/>
        </w:rPr>
        <w:t xml:space="preserve">, </w:t>
      </w:r>
      <w:r>
        <w:rPr>
          <w:b/>
          <w:bCs/>
          <w:kern w:val="0"/>
        </w:rPr>
        <w:t>102</w:t>
      </w:r>
      <w:r>
        <w:rPr>
          <w:kern w:val="0"/>
        </w:rPr>
        <w:t xml:space="preserve"> (10), 926-928.</w:t>
      </w:r>
    </w:p>
    <w:p w:rsidR="00D764AD" w:rsidRPr="00F03D2F" w:rsidRDefault="00D764AD" w:rsidP="00D764AD">
      <w:pPr>
        <w:pStyle w:val="a3"/>
        <w:rPr>
          <w:kern w:val="0"/>
        </w:rPr>
      </w:pPr>
      <w:r w:rsidRPr="00F03D2F">
        <w:rPr>
          <w:kern w:val="0"/>
        </w:rPr>
        <w:t>Full Text:</w:t>
      </w:r>
      <w:r w:rsidRPr="00D7601C">
        <w:t xml:space="preserve"> </w:t>
      </w:r>
      <w:r>
        <w:t>20</w:t>
      </w:r>
      <w:r>
        <w:rPr>
          <w:rFonts w:hint="eastAsia"/>
        </w:rPr>
        <w:t>08</w:t>
      </w:r>
      <w:r>
        <w:t>\Che Lis10</w:t>
      </w:r>
      <w:r>
        <w:rPr>
          <w:rFonts w:hint="eastAsia"/>
        </w:rPr>
        <w:t>2</w:t>
      </w:r>
      <w:r>
        <w:t xml:space="preserve">, </w:t>
      </w:r>
      <w:r>
        <w:rPr>
          <w:rFonts w:hint="eastAsia"/>
        </w:rPr>
        <w:t>926</w:t>
      </w:r>
      <w:r w:rsidRPr="00E91A78">
        <w:t>.pdf</w:t>
      </w:r>
    </w:p>
    <w:p w:rsidR="00D764AD" w:rsidRDefault="00D764AD" w:rsidP="00D764AD">
      <w:pPr>
        <w:pStyle w:val="a3"/>
        <w:rPr>
          <w:kern w:val="0"/>
        </w:rPr>
      </w:pPr>
      <w:r>
        <w:rPr>
          <w:kern w:val="0"/>
        </w:rPr>
        <w:t>Abstract: Thomson Reuters Corporation presents new impact factors (IF)</w:t>
      </w:r>
      <w:r w:rsidR="00427468">
        <w:rPr>
          <w:kern w:val="0"/>
        </w:rPr>
        <w:t xml:space="preserve"> of </w:t>
      </w:r>
      <w:r w:rsidR="003A1917">
        <w:rPr>
          <w:kern w:val="0"/>
        </w:rPr>
        <w:t xml:space="preserve">the </w:t>
      </w:r>
      <w:r>
        <w:rPr>
          <w:kern w:val="0"/>
        </w:rPr>
        <w:t>ISI-indexed journals in 2007</w:t>
      </w:r>
      <w:r w:rsidR="00A37C1D">
        <w:rPr>
          <w:kern w:val="0"/>
        </w:rPr>
        <w:t>. The</w:t>
      </w:r>
      <w:r w:rsidR="003A1917">
        <w:rPr>
          <w:kern w:val="0"/>
        </w:rPr>
        <w:t xml:space="preserve"> </w:t>
      </w:r>
      <w:r>
        <w:rPr>
          <w:kern w:val="0"/>
        </w:rPr>
        <w:t>Czech Republic is represented by twenty-three scientific journals from various branches</w:t>
      </w:r>
      <w:r w:rsidR="00427468">
        <w:rPr>
          <w:kern w:val="0"/>
        </w:rPr>
        <w:t xml:space="preserve"> of </w:t>
      </w:r>
      <w:r>
        <w:rPr>
          <w:kern w:val="0"/>
        </w:rPr>
        <w:t>science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database</w:t>
      </w:r>
      <w:r w:rsidR="00A37C1D">
        <w:rPr>
          <w:kern w:val="0"/>
        </w:rPr>
        <w:t>. The</w:t>
      </w:r>
      <w:r w:rsidR="003A1917">
        <w:rPr>
          <w:kern w:val="0"/>
        </w:rPr>
        <w:t xml:space="preserve"> </w:t>
      </w:r>
      <w:r>
        <w:rPr>
          <w:kern w:val="0"/>
        </w:rPr>
        <w:t>article reports on trends in IFs</w:t>
      </w:r>
      <w:r w:rsidR="00427468">
        <w:rPr>
          <w:kern w:val="0"/>
        </w:rPr>
        <w:t xml:space="preserve"> of </w:t>
      </w:r>
      <w:r w:rsidR="003A1917">
        <w:rPr>
          <w:kern w:val="0"/>
        </w:rPr>
        <w:t xml:space="preserve">the </w:t>
      </w:r>
      <w:r>
        <w:rPr>
          <w:kern w:val="0"/>
        </w:rPr>
        <w:t>journals. Great attention is paid to Chemicke Listy. Its impact factor was 0.683 in 2007, which is by almost 60% higher than in</w:t>
      </w:r>
      <w:r w:rsidR="003A1917">
        <w:rPr>
          <w:kern w:val="0"/>
        </w:rPr>
        <w:t xml:space="preserve"> the </w:t>
      </w:r>
      <w:r>
        <w:rPr>
          <w:kern w:val="0"/>
        </w:rPr>
        <w:t>preceding year. 202 articles</w:t>
      </w:r>
      <w:r w:rsidR="005853A9">
        <w:rPr>
          <w:kern w:val="0"/>
        </w:rPr>
        <w:t xml:space="preserve"> and </w:t>
      </w:r>
      <w:r>
        <w:rPr>
          <w:kern w:val="0"/>
        </w:rPr>
        <w:t>reviews have been published in Chemicke Listy in 2005/2006</w:t>
      </w:r>
      <w:r w:rsidR="005853A9">
        <w:rPr>
          <w:kern w:val="0"/>
        </w:rPr>
        <w:t xml:space="preserve"> and </w:t>
      </w:r>
      <w:r>
        <w:rPr>
          <w:kern w:val="0"/>
        </w:rPr>
        <w:t>approximately</w:t>
      </w:r>
      <w:r w:rsidR="003A1917">
        <w:rPr>
          <w:kern w:val="0"/>
        </w:rPr>
        <w:t xml:space="preserve"> the </w:t>
      </w:r>
      <w:r>
        <w:rPr>
          <w:kern w:val="0"/>
        </w:rPr>
        <w:t>same number</w:t>
      </w:r>
      <w:r w:rsidR="00427468">
        <w:rPr>
          <w:kern w:val="0"/>
        </w:rPr>
        <w:t xml:space="preserve"> of </w:t>
      </w:r>
      <w:r>
        <w:rPr>
          <w:kern w:val="0"/>
        </w:rPr>
        <w:t>papers as in 2004/2005</w:t>
      </w:r>
      <w:r w:rsidR="00A37C1D">
        <w:rPr>
          <w:kern w:val="0"/>
        </w:rPr>
        <w:t>. The</w:t>
      </w:r>
      <w:r w:rsidR="003A1917">
        <w:rPr>
          <w:kern w:val="0"/>
        </w:rPr>
        <w:t xml:space="preserve"> </w:t>
      </w:r>
      <w:r>
        <w:rPr>
          <w:kern w:val="0"/>
        </w:rPr>
        <w:t>papers have been cited 138 times, which represents an increase</w:t>
      </w:r>
      <w:r w:rsidR="00427468">
        <w:rPr>
          <w:kern w:val="0"/>
        </w:rPr>
        <w:t xml:space="preserve"> of </w:t>
      </w:r>
      <w:r>
        <w:rPr>
          <w:kern w:val="0"/>
        </w:rPr>
        <w:t>more than 38% compared with</w:t>
      </w:r>
      <w:r w:rsidR="003A1917">
        <w:rPr>
          <w:kern w:val="0"/>
        </w:rPr>
        <w:t xml:space="preserve"> the </w:t>
      </w:r>
      <w:r>
        <w:rPr>
          <w:kern w:val="0"/>
        </w:rPr>
        <w:t>preceding biennium.</w:t>
      </w:r>
    </w:p>
    <w:p w:rsidR="00D764AD" w:rsidRDefault="00D764AD" w:rsidP="00D764AD">
      <w:pPr>
        <w:pStyle w:val="a3"/>
        <w:rPr>
          <w:kern w:val="0"/>
        </w:rPr>
      </w:pPr>
      <w:r>
        <w:rPr>
          <w:kern w:val="0"/>
        </w:rPr>
        <w:t xml:space="preserve">Keywords: Attention, Chemistry, Extraction, Impact, Impact Factor, Impact Factors, Journals, Papers, Science, Trends, </w:t>
      </w:r>
      <w:r w:rsidR="00D5664A">
        <w:rPr>
          <w:kern w:val="0"/>
        </w:rPr>
        <w:t>Web</w:t>
      </w:r>
      <w:r w:rsidR="00427468">
        <w:rPr>
          <w:kern w:val="0"/>
        </w:rPr>
        <w:t xml:space="preserve"> of </w:t>
      </w:r>
      <w:r w:rsidR="00D5664A">
        <w:rPr>
          <w:kern w:val="0"/>
        </w:rPr>
        <w:t>Science</w:t>
      </w:r>
    </w:p>
    <w:p w:rsidR="002C46B4" w:rsidRDefault="002C46B4" w:rsidP="002C46B4">
      <w:pPr>
        <w:pStyle w:val="a3"/>
        <w:rPr>
          <w:kern w:val="0"/>
        </w:rPr>
      </w:pPr>
      <w:r>
        <w:rPr>
          <w:kern w:val="0"/>
        </w:rPr>
        <w:t xml:space="preserve">? Šilhánek, J. (2015), Current alternatives of patent searches in chemistry. </w:t>
      </w:r>
      <w:r>
        <w:rPr>
          <w:i/>
          <w:iCs/>
          <w:kern w:val="0"/>
        </w:rPr>
        <w:t>Chemick</w:t>
      </w:r>
      <w:r w:rsidR="00EF030E">
        <w:rPr>
          <w:i/>
          <w:iCs/>
          <w:kern w:val="0"/>
        </w:rPr>
        <w:t>é</w:t>
      </w:r>
      <w:r>
        <w:rPr>
          <w:i/>
          <w:iCs/>
          <w:kern w:val="0"/>
        </w:rPr>
        <w:t xml:space="preserve"> Listy</w:t>
      </w:r>
      <w:r>
        <w:rPr>
          <w:kern w:val="0"/>
        </w:rPr>
        <w:t xml:space="preserve">, </w:t>
      </w:r>
      <w:r>
        <w:rPr>
          <w:b/>
          <w:bCs/>
          <w:kern w:val="0"/>
        </w:rPr>
        <w:t>109</w:t>
      </w:r>
      <w:r>
        <w:rPr>
          <w:kern w:val="0"/>
        </w:rPr>
        <w:t xml:space="preserve"> (1), 65-70.</w:t>
      </w:r>
    </w:p>
    <w:p w:rsidR="002C46B4" w:rsidRPr="00F03D2F" w:rsidRDefault="002C46B4" w:rsidP="002C46B4">
      <w:pPr>
        <w:pStyle w:val="a3"/>
        <w:rPr>
          <w:kern w:val="0"/>
        </w:rPr>
      </w:pPr>
      <w:r w:rsidRPr="00F03D2F">
        <w:rPr>
          <w:kern w:val="0"/>
        </w:rPr>
        <w:t>Full Text:</w:t>
      </w:r>
      <w:r w:rsidRPr="00D7601C">
        <w:t xml:space="preserve"> </w:t>
      </w:r>
      <w:hyperlink r:id="rId178" w:history="1">
        <w:r w:rsidRPr="00CC64FC">
          <w:rPr>
            <w:rStyle w:val="a5"/>
          </w:rPr>
          <w:t>2015\Che Lis109, 65.pdf</w:t>
        </w:r>
      </w:hyperlink>
    </w:p>
    <w:p w:rsidR="002C46B4" w:rsidRDefault="002C46B4" w:rsidP="002C46B4">
      <w:pPr>
        <w:pStyle w:val="a3"/>
        <w:rPr>
          <w:kern w:val="0"/>
        </w:rPr>
      </w:pPr>
      <w:r>
        <w:rPr>
          <w:kern w:val="0"/>
        </w:rPr>
        <w:t>Abstract: The aim of this review is to compare alternative patent searches in available chemistry databases. There are cumulative database of world patents operated by European Patent Office under the name Espacenet, a couple of similar databases of other patent offices, then Google Patent Search service and recently also Derwent Innovation Index which is a simplified version of patent database Derwent World Patents Index (DWPI) of Derwent Company. This company and their products are well known for providing exceptionally reliable and carefully elaborated patent documents but until recently accessible only through a database centre, such as STN International. After merging with the Thompson Ltd. an access to simplified DWPI version will be provided as a part of the database system Web of Science (Elsevier). This situation will open the way for comparing patent searches in Elsevier databases with those of patent offices and chemistry databases SciFinder and Reaxys.</w:t>
      </w:r>
    </w:p>
    <w:p w:rsidR="002C46B4" w:rsidRDefault="002C46B4" w:rsidP="002C46B4">
      <w:pPr>
        <w:pStyle w:val="a3"/>
        <w:rPr>
          <w:kern w:val="0"/>
        </w:rPr>
      </w:pPr>
      <w:r>
        <w:rPr>
          <w:kern w:val="0"/>
        </w:rPr>
        <w:t xml:space="preserve">Keywords: Access, Alternative, Chemistry, Chemistry Databases, Couple, Cumulative, Database, Databases, Derwent Innovation Index, Documents, Espacenet, Google, Google Patent Search, Innovation, International, Merging, Open, Patent, Patent </w:t>
      </w:r>
      <w:r>
        <w:rPr>
          <w:kern w:val="0"/>
        </w:rPr>
        <w:lastRenderedPageBreak/>
        <w:t>Searches, Patents, Reaxys, Review, Science, Scifinder, Search, Service, Stn International, Version, Web, Web Of Science, World</w:t>
      </w:r>
    </w:p>
    <w:p w:rsidR="00162F68" w:rsidRPr="00C73C58" w:rsidRDefault="00162F68" w:rsidP="00162F68">
      <w:pPr>
        <w:pStyle w:val="1"/>
      </w:pPr>
      <w:r w:rsidRPr="00C73C58">
        <w:br w:type="page"/>
      </w:r>
      <w:bookmarkStart w:id="161" w:name="_Toc398606437"/>
      <w:bookmarkStart w:id="162" w:name="_Toc420814945"/>
      <w:r w:rsidRPr="00C73C58">
        <w:lastRenderedPageBreak/>
        <w:t>Title: Chemie Ingenieur Technik</w:t>
      </w:r>
      <w:bookmarkEnd w:id="161"/>
      <w:bookmarkEnd w:id="162"/>
    </w:p>
    <w:p w:rsidR="00162F68" w:rsidRPr="00C73C58" w:rsidRDefault="00162F68" w:rsidP="00162F68">
      <w:pPr>
        <w:pStyle w:val="12"/>
      </w:pPr>
      <w:r w:rsidRPr="00C73C58">
        <w:t xml:space="preserve">Full Journal Title: </w:t>
      </w:r>
      <w:hyperlink r:id="rId179" w:history="1">
        <w:r w:rsidRPr="00C73C58">
          <w:rPr>
            <w:rStyle w:val="a5"/>
          </w:rPr>
          <w:t>Chemie Ingenieur Technik</w:t>
        </w:r>
      </w:hyperlink>
      <w:r w:rsidRPr="00C73C58">
        <w:t xml:space="preserve">; </w:t>
      </w:r>
      <w:hyperlink r:id="rId180" w:history="1">
        <w:r w:rsidRPr="00C73C58">
          <w:rPr>
            <w:rStyle w:val="a5"/>
          </w:rPr>
          <w:t>Chemie Ingenieur Technik</w:t>
        </w:r>
      </w:hyperlink>
      <w:r w:rsidRPr="00C73C58">
        <w:t xml:space="preserve"> </w:t>
      </w:r>
    </w:p>
    <w:p w:rsidR="00162F68" w:rsidRPr="00C73C58" w:rsidRDefault="00162F68" w:rsidP="00162F68">
      <w:pPr>
        <w:pStyle w:val="12"/>
      </w:pPr>
      <w:r w:rsidRPr="00C73C58">
        <w:t>ISO Abbreviated Title: Chem. Ing. Tech.</w:t>
      </w:r>
    </w:p>
    <w:p w:rsidR="00162F68" w:rsidRPr="00C73C58" w:rsidRDefault="00162F68" w:rsidP="00162F68">
      <w:pPr>
        <w:pStyle w:val="12"/>
      </w:pPr>
      <w:r w:rsidRPr="00C73C58">
        <w:t>JCR Abbreviated Title: Chem-Ing-Tech</w:t>
      </w:r>
    </w:p>
    <w:p w:rsidR="00162F68" w:rsidRPr="00C73C58" w:rsidRDefault="00162F68" w:rsidP="00162F68">
      <w:pPr>
        <w:pStyle w:val="12"/>
      </w:pPr>
      <w:r w:rsidRPr="00C73C58">
        <w:t>ISSN: 0009-286X</w:t>
      </w:r>
    </w:p>
    <w:p w:rsidR="00162F68" w:rsidRPr="00C73C58" w:rsidRDefault="00162F68" w:rsidP="00162F68">
      <w:pPr>
        <w:pStyle w:val="12"/>
      </w:pPr>
      <w:r w:rsidRPr="00C73C58">
        <w:t>Issues/Year: 1</w:t>
      </w:r>
    </w:p>
    <w:p w:rsidR="00162F68" w:rsidRPr="00C73C58" w:rsidRDefault="00162F68" w:rsidP="00162F68">
      <w:pPr>
        <w:pStyle w:val="12"/>
      </w:pPr>
      <w:r w:rsidRPr="00C73C58">
        <w:t xml:space="preserve">Journal Country/Territory: </w:t>
      </w:r>
      <w:smartTag w:uri="urn:schemas-microsoft-com:office:smarttags" w:element="place">
        <w:smartTag w:uri="urn:schemas-microsoft-com:office:smarttags" w:element="country-region">
          <w:r w:rsidRPr="00C73C58">
            <w:t>Germany</w:t>
          </w:r>
        </w:smartTag>
      </w:smartTag>
    </w:p>
    <w:p w:rsidR="00162F68" w:rsidRPr="00C73C58" w:rsidRDefault="00162F68" w:rsidP="00162F68">
      <w:pPr>
        <w:pStyle w:val="12"/>
      </w:pPr>
      <w:r w:rsidRPr="00C73C58">
        <w:t>Language: English</w:t>
      </w:r>
    </w:p>
    <w:p w:rsidR="00162F68" w:rsidRPr="00C73C58" w:rsidRDefault="00162F68" w:rsidP="00162F68">
      <w:pPr>
        <w:pStyle w:val="12"/>
      </w:pPr>
      <w:r w:rsidRPr="00C73C58">
        <w:t>Publisher: Wiley-V C H Verlag Gmbh</w:t>
      </w:r>
    </w:p>
    <w:p w:rsidR="00162F68" w:rsidRPr="00C73C58" w:rsidRDefault="00162F68" w:rsidP="00162F68">
      <w:pPr>
        <w:pStyle w:val="12"/>
      </w:pPr>
      <w:r w:rsidRPr="00C73C58">
        <w:t xml:space="preserve">Publisher Address: </w:t>
      </w:r>
      <w:smartTag w:uri="urn:schemas-microsoft-com:office:smarttags" w:element="Street">
        <w:r w:rsidRPr="00C73C58">
          <w:t>PO box</w:t>
        </w:r>
      </w:smartTag>
      <w:r w:rsidRPr="00C73C58">
        <w:t xml:space="preserve"> 10 11 61, D-69451 Berlin, Germany</w:t>
      </w:r>
    </w:p>
    <w:p w:rsidR="00162F68" w:rsidRPr="00C73C58" w:rsidRDefault="00162F68" w:rsidP="00162F68">
      <w:pPr>
        <w:pStyle w:val="12"/>
      </w:pPr>
      <w:r w:rsidRPr="00C73C58">
        <w:t xml:space="preserve">Subject Categories: </w:t>
      </w:r>
    </w:p>
    <w:p w:rsidR="00162F68" w:rsidRPr="00C73C58" w:rsidRDefault="00162F68" w:rsidP="00162F68">
      <w:pPr>
        <w:pStyle w:val="12"/>
      </w:pPr>
      <w:r w:rsidRPr="00C73C58">
        <w:t>Engineering, Chemical: Impact Factor 0.386, / (2000)</w:t>
      </w:r>
    </w:p>
    <w:p w:rsidR="00162F68" w:rsidRDefault="00162F68" w:rsidP="00162F68">
      <w:pPr>
        <w:pStyle w:val="a3"/>
        <w:rPr>
          <w:kern w:val="0"/>
        </w:rPr>
      </w:pPr>
      <w:r>
        <w:rPr>
          <w:rFonts w:hint="eastAsia"/>
          <w:kern w:val="0"/>
        </w:rPr>
        <w:t xml:space="preserve">? </w:t>
      </w:r>
      <w:r>
        <w:rPr>
          <w:kern w:val="0"/>
        </w:rPr>
        <w:t>Meisenzahl, S., Sittig, P.P. and Hock, M. (2014), Lithium batteries as technology of the future</w:t>
      </w:r>
      <w:r>
        <w:rPr>
          <w:rFonts w:hint="eastAsia"/>
          <w:kern w:val="0"/>
        </w:rPr>
        <w:t>:</w:t>
      </w:r>
      <w:r>
        <w:rPr>
          <w:kern w:val="0"/>
        </w:rPr>
        <w:t xml:space="preserve"> Technology roadmap for lithium device batteries. </w:t>
      </w:r>
      <w:r>
        <w:rPr>
          <w:i/>
          <w:iCs/>
          <w:kern w:val="0"/>
        </w:rPr>
        <w:t>Chemie Ingenieur Technik</w:t>
      </w:r>
      <w:r>
        <w:rPr>
          <w:kern w:val="0"/>
        </w:rPr>
        <w:t xml:space="preserve">, </w:t>
      </w:r>
      <w:r>
        <w:rPr>
          <w:b/>
          <w:bCs/>
          <w:kern w:val="0"/>
        </w:rPr>
        <w:t>86</w:t>
      </w:r>
      <w:r>
        <w:rPr>
          <w:kern w:val="0"/>
        </w:rPr>
        <w:t xml:space="preserve"> (8), 1180-1186.</w:t>
      </w:r>
    </w:p>
    <w:p w:rsidR="00162F68" w:rsidRDefault="00162F68" w:rsidP="00162F68">
      <w:pPr>
        <w:pStyle w:val="a3"/>
        <w:rPr>
          <w:lang w:val="de-DE"/>
        </w:rPr>
      </w:pPr>
      <w:r w:rsidRPr="00C73C58">
        <w:rPr>
          <w:lang w:val="de-DE"/>
        </w:rPr>
        <w:t xml:space="preserve">Full Text: </w:t>
      </w:r>
      <w:hyperlink r:id="rId181" w:history="1">
        <w:r w:rsidRPr="003725D7">
          <w:rPr>
            <w:rStyle w:val="a5"/>
            <w:lang w:val="de-DE"/>
          </w:rPr>
          <w:t>2014\Che Ing Tec86, 1180.pdf</w:t>
        </w:r>
      </w:hyperlink>
    </w:p>
    <w:p w:rsidR="00162F68" w:rsidRDefault="00162F68" w:rsidP="00162F68">
      <w:pPr>
        <w:pStyle w:val="a3"/>
        <w:rPr>
          <w:kern w:val="0"/>
        </w:rPr>
      </w:pPr>
      <w:r>
        <w:rPr>
          <w:kern w:val="0"/>
        </w:rPr>
        <w:t>Abstract: In the presented paper, the future trends and developments of lithium device batteries were investigated by bibliometric analysis of the battery development together with an expert consultation. The resulting technology roadmap presents typical chemical compositions of lithium-containing primary and secondary batteries, the influence of different substances on various battery features and expected changes in weight of batteries in three surveyed time periods.</w:t>
      </w:r>
    </w:p>
    <w:p w:rsidR="00162F68" w:rsidRDefault="00162F68" w:rsidP="00162F68">
      <w:pPr>
        <w:pStyle w:val="a3"/>
        <w:rPr>
          <w:kern w:val="0"/>
        </w:rPr>
      </w:pPr>
      <w:r>
        <w:rPr>
          <w:kern w:val="0"/>
        </w:rPr>
        <w:t>Keywords: Analysis, Battery System, Battery Trend, Bibliometric, Bibliometric Analysis, Changes, Chemical, Consultation, Development, Influence, Lithium, Lithium Device Battery, Primary, Reverse Logistics, Roadmap, Take-Back System For Batteries, Technology, Trends</w:t>
      </w:r>
    </w:p>
    <w:p w:rsidR="00E8697C" w:rsidRPr="00C73C58" w:rsidRDefault="00E8697C" w:rsidP="00E8697C">
      <w:pPr>
        <w:pStyle w:val="1"/>
      </w:pPr>
      <w:r w:rsidRPr="00C73C58">
        <w:br w:type="page"/>
      </w:r>
      <w:bookmarkStart w:id="163" w:name="_Toc365467589"/>
      <w:bookmarkStart w:id="164" w:name="_Toc420814946"/>
      <w:r w:rsidRPr="00C73C58">
        <w:lastRenderedPageBreak/>
        <w:t xml:space="preserve">Title: </w:t>
      </w:r>
      <w:r w:rsidRPr="00B11F6D">
        <w:t>Chemistry Central Journal</w:t>
      </w:r>
      <w:bookmarkEnd w:id="163"/>
      <w:bookmarkEnd w:id="164"/>
    </w:p>
    <w:p w:rsidR="00E8697C" w:rsidRPr="00C73C58" w:rsidRDefault="00E8697C" w:rsidP="00E8697C">
      <w:pPr>
        <w:pStyle w:val="12"/>
      </w:pPr>
      <w:r w:rsidRPr="00C73C58">
        <w:t xml:space="preserve">Full Journal Title: </w:t>
      </w:r>
      <w:r w:rsidRPr="00B11F6D">
        <w:t>Chemistry Central Journal</w:t>
      </w:r>
    </w:p>
    <w:p w:rsidR="00E8697C" w:rsidRPr="00C73C58" w:rsidRDefault="00E8697C" w:rsidP="00E8697C">
      <w:pPr>
        <w:pStyle w:val="12"/>
      </w:pPr>
      <w:r w:rsidRPr="00C73C58">
        <w:t xml:space="preserve">ISO Abbreviated Title: </w:t>
      </w:r>
    </w:p>
    <w:p w:rsidR="00E8697C" w:rsidRPr="00C73C58" w:rsidRDefault="00E8697C" w:rsidP="00E8697C">
      <w:pPr>
        <w:pStyle w:val="12"/>
      </w:pPr>
      <w:r w:rsidRPr="00C73C58">
        <w:t xml:space="preserve">JCR Abbreviated Title: </w:t>
      </w:r>
    </w:p>
    <w:p w:rsidR="00E8697C" w:rsidRPr="00C73C58" w:rsidRDefault="00E8697C" w:rsidP="00E8697C">
      <w:pPr>
        <w:pStyle w:val="12"/>
      </w:pPr>
      <w:r>
        <w:t xml:space="preserve">ISSN: </w:t>
      </w:r>
    </w:p>
    <w:p w:rsidR="00E8697C" w:rsidRPr="00C73C58" w:rsidRDefault="00E8697C" w:rsidP="00E8697C">
      <w:pPr>
        <w:pStyle w:val="12"/>
      </w:pPr>
      <w:r w:rsidRPr="00C73C58">
        <w:t xml:space="preserve">Issues/Year: </w:t>
      </w:r>
    </w:p>
    <w:p w:rsidR="00E8697C" w:rsidRPr="00C73C58" w:rsidRDefault="00E8697C" w:rsidP="00E8697C">
      <w:pPr>
        <w:pStyle w:val="12"/>
      </w:pPr>
      <w:r w:rsidRPr="00C73C58">
        <w:t xml:space="preserve">Journal Country/Territory: </w:t>
      </w:r>
    </w:p>
    <w:p w:rsidR="00E8697C" w:rsidRPr="00C73C58" w:rsidRDefault="00E8697C" w:rsidP="00E8697C">
      <w:pPr>
        <w:pStyle w:val="12"/>
      </w:pPr>
      <w:r w:rsidRPr="00C73C58">
        <w:t xml:space="preserve">Language: </w:t>
      </w:r>
    </w:p>
    <w:p w:rsidR="00E8697C" w:rsidRPr="00C73C58" w:rsidRDefault="00E8697C" w:rsidP="00E8697C">
      <w:pPr>
        <w:pStyle w:val="12"/>
      </w:pPr>
      <w:r w:rsidRPr="00C73C58">
        <w:t xml:space="preserve">Publisher: </w:t>
      </w:r>
    </w:p>
    <w:p w:rsidR="00E8697C" w:rsidRPr="00C73C58" w:rsidRDefault="00E8697C" w:rsidP="00E8697C">
      <w:pPr>
        <w:pStyle w:val="12"/>
      </w:pPr>
      <w:r w:rsidRPr="00C73C58">
        <w:t xml:space="preserve">Publisher Address: </w:t>
      </w:r>
    </w:p>
    <w:p w:rsidR="00E8697C" w:rsidRPr="00C73C58" w:rsidRDefault="00E8697C" w:rsidP="00E8697C">
      <w:pPr>
        <w:pStyle w:val="12"/>
      </w:pPr>
      <w:r w:rsidRPr="00C73C58">
        <w:t>Subject Categories:</w:t>
      </w:r>
    </w:p>
    <w:p w:rsidR="00E8697C" w:rsidRPr="00C73C58" w:rsidRDefault="00E8697C" w:rsidP="00E8697C">
      <w:pPr>
        <w:pStyle w:val="12"/>
      </w:pPr>
      <w:r w:rsidRPr="00C73C58">
        <w:t xml:space="preserve">: Impact Factor </w:t>
      </w:r>
    </w:p>
    <w:p w:rsidR="00E8697C" w:rsidRDefault="00E8697C" w:rsidP="00E8697C">
      <w:pPr>
        <w:pStyle w:val="a3"/>
        <w:rPr>
          <w:kern w:val="0"/>
        </w:rPr>
      </w:pPr>
      <w:r>
        <w:rPr>
          <w:rFonts w:hint="eastAsia"/>
          <w:kern w:val="0"/>
        </w:rPr>
        <w:t xml:space="preserve">? </w:t>
      </w:r>
      <w:r>
        <w:rPr>
          <w:kern w:val="0"/>
        </w:rPr>
        <w:t>Ciriminna, R.</w:t>
      </w:r>
      <w:r w:rsidR="005853A9">
        <w:rPr>
          <w:kern w:val="0"/>
        </w:rPr>
        <w:t xml:space="preserve"> and </w:t>
      </w:r>
      <w:r>
        <w:rPr>
          <w:kern w:val="0"/>
        </w:rPr>
        <w:t>Pagliaro, M. (2013), On the use</w:t>
      </w:r>
      <w:r w:rsidR="00427468">
        <w:rPr>
          <w:kern w:val="0"/>
        </w:rPr>
        <w:t xml:space="preserve"> of </w:t>
      </w:r>
      <w:r>
        <w:rPr>
          <w:kern w:val="0"/>
        </w:rPr>
        <w:t xml:space="preserve">the </w:t>
      </w:r>
      <w:r w:rsidR="00D5664A">
        <w:rPr>
          <w:kern w:val="0"/>
        </w:rPr>
        <w:t>h-Index</w:t>
      </w:r>
      <w:r>
        <w:rPr>
          <w:kern w:val="0"/>
        </w:rPr>
        <w:t xml:space="preserve"> in evaluating chemical research. </w:t>
      </w:r>
      <w:r>
        <w:rPr>
          <w:i/>
          <w:iCs/>
          <w:kern w:val="0"/>
        </w:rPr>
        <w:t>Chemistry Central Journal</w:t>
      </w:r>
      <w:r>
        <w:rPr>
          <w:kern w:val="0"/>
        </w:rPr>
        <w:t xml:space="preserve">, </w:t>
      </w:r>
      <w:r>
        <w:rPr>
          <w:b/>
          <w:bCs/>
          <w:kern w:val="0"/>
        </w:rPr>
        <w:t>7</w:t>
      </w:r>
      <w:r>
        <w:rPr>
          <w:rFonts w:hint="eastAsia"/>
          <w:kern w:val="0"/>
        </w:rPr>
        <w:t xml:space="preserve">, </w:t>
      </w:r>
      <w:r w:rsidRPr="00727A94">
        <w:rPr>
          <w:kern w:val="0"/>
        </w:rPr>
        <w:t>Article Number: 1</w:t>
      </w:r>
      <w:r>
        <w:rPr>
          <w:rFonts w:hint="eastAsia"/>
          <w:kern w:val="0"/>
        </w:rPr>
        <w:t>32.</w:t>
      </w:r>
    </w:p>
    <w:p w:rsidR="00E8697C" w:rsidRPr="00142C18" w:rsidRDefault="00E8697C" w:rsidP="00E8697C">
      <w:pPr>
        <w:pStyle w:val="a3"/>
        <w:rPr>
          <w:kern w:val="0"/>
        </w:rPr>
      </w:pPr>
      <w:r w:rsidRPr="00142C18">
        <w:rPr>
          <w:kern w:val="0"/>
        </w:rPr>
        <w:t>Full Text:</w:t>
      </w:r>
      <w:r w:rsidRPr="00142C18">
        <w:t xml:space="preserve"> </w:t>
      </w:r>
      <w:hyperlink r:id="rId182" w:history="1">
        <w:r w:rsidRPr="009A3429">
          <w:rPr>
            <w:rStyle w:val="a5"/>
          </w:rPr>
          <w:t>2013\Che Cen J7, 132.pdf</w:t>
        </w:r>
      </w:hyperlink>
    </w:p>
    <w:p w:rsidR="00E8697C" w:rsidRDefault="00E8697C" w:rsidP="00E8697C">
      <w:pPr>
        <w:pStyle w:val="a3"/>
        <w:rPr>
          <w:kern w:val="0"/>
        </w:rPr>
      </w:pPr>
      <w:r>
        <w:rPr>
          <w:kern w:val="0"/>
        </w:rPr>
        <w:t xml:space="preserve">Abstract: Background: The </w:t>
      </w:r>
      <w:r w:rsidR="00D5664A">
        <w:rPr>
          <w:kern w:val="0"/>
        </w:rPr>
        <w:t>h Index</w:t>
      </w:r>
      <w:r>
        <w:rPr>
          <w:kern w:val="0"/>
        </w:rPr>
        <w:t xml:space="preserve"> bibliometric indicator for evaluating scientists</w:t>
      </w:r>
      <w:r w:rsidR="005853A9">
        <w:rPr>
          <w:kern w:val="0"/>
        </w:rPr>
        <w:t xml:space="preserve"> and </w:t>
      </w:r>
      <w:r>
        <w:rPr>
          <w:kern w:val="0"/>
        </w:rPr>
        <w:t>scientific institutions plays an increasingly important role in evaluating contemporary scientific research, including chemistry. Results: Citations are meaningful</w:t>
      </w:r>
      <w:r w:rsidR="00A37C1D">
        <w:rPr>
          <w:kern w:val="0"/>
        </w:rPr>
        <w:t>. The</w:t>
      </w:r>
      <w:r>
        <w:rPr>
          <w:kern w:val="0"/>
        </w:rPr>
        <w:t xml:space="preserve"> best way</w:t>
      </w:r>
      <w:r w:rsidR="00427468">
        <w:rPr>
          <w:kern w:val="0"/>
        </w:rPr>
        <w:t xml:space="preserve"> of </w:t>
      </w:r>
      <w:r>
        <w:rPr>
          <w:kern w:val="0"/>
        </w:rPr>
        <w:t>measuring performance is to use the informed peer review, where peers judge on the base</w:t>
      </w:r>
      <w:r w:rsidR="00427468">
        <w:rPr>
          <w:kern w:val="0"/>
        </w:rPr>
        <w:t xml:space="preserve"> of </w:t>
      </w:r>
      <w:r>
        <w:rPr>
          <w:kern w:val="0"/>
        </w:rPr>
        <w:t>a bibliometric report, once the limits</w:t>
      </w:r>
      <w:r w:rsidR="005853A9">
        <w:rPr>
          <w:kern w:val="0"/>
        </w:rPr>
        <w:t xml:space="preserve"> and </w:t>
      </w:r>
      <w:r>
        <w:rPr>
          <w:kern w:val="0"/>
        </w:rPr>
        <w:t>advantages</w:t>
      </w:r>
      <w:r w:rsidR="00427468">
        <w:rPr>
          <w:kern w:val="0"/>
        </w:rPr>
        <w:t xml:space="preserve"> of </w:t>
      </w:r>
      <w:r>
        <w:rPr>
          <w:kern w:val="0"/>
        </w:rPr>
        <w:t>bibliometric indicators have been thoroughly understood. Conclusions: Expanded</w:t>
      </w:r>
      <w:r w:rsidR="005853A9">
        <w:rPr>
          <w:kern w:val="0"/>
        </w:rPr>
        <w:t xml:space="preserve"> and </w:t>
      </w:r>
      <w:r>
        <w:rPr>
          <w:kern w:val="0"/>
        </w:rPr>
        <w:t>improved use</w:t>
      </w:r>
      <w:r w:rsidR="00427468">
        <w:rPr>
          <w:kern w:val="0"/>
        </w:rPr>
        <w:t xml:space="preserve"> of </w:t>
      </w:r>
      <w:r>
        <w:rPr>
          <w:kern w:val="0"/>
        </w:rPr>
        <w:t xml:space="preserve">bibliometric indicators such as the </w:t>
      </w:r>
      <w:r w:rsidR="00D5664A">
        <w:rPr>
          <w:kern w:val="0"/>
        </w:rPr>
        <w:t>h Index</w:t>
      </w:r>
      <w:r>
        <w:rPr>
          <w:kern w:val="0"/>
        </w:rPr>
        <w:t xml:space="preserve"> in a useful</w:t>
      </w:r>
      <w:r w:rsidR="005853A9">
        <w:rPr>
          <w:kern w:val="0"/>
        </w:rPr>
        <w:t xml:space="preserve"> and </w:t>
      </w:r>
      <w:r>
        <w:rPr>
          <w:kern w:val="0"/>
        </w:rPr>
        <w:t>wise manner is suggested.</w:t>
      </w:r>
    </w:p>
    <w:p w:rsidR="00E8697C" w:rsidRDefault="00E8697C" w:rsidP="00E8697C">
      <w:pPr>
        <w:pStyle w:val="a3"/>
        <w:rPr>
          <w:kern w:val="0"/>
        </w:rPr>
      </w:pPr>
      <w:r>
        <w:rPr>
          <w:kern w:val="0"/>
        </w:rPr>
        <w:t xml:space="preserve">Keywords: Bibliometric, Bibliometric Indicator, Bibliometric Indicators, Chemical, Chemistry, Citations, </w:t>
      </w:r>
      <w:r w:rsidR="00D5664A">
        <w:rPr>
          <w:rFonts w:hint="eastAsia"/>
          <w:kern w:val="0"/>
        </w:rPr>
        <w:t>h Index</w:t>
      </w:r>
      <w:r>
        <w:rPr>
          <w:kern w:val="0"/>
        </w:rPr>
        <w:t xml:space="preserve">, </w:t>
      </w:r>
      <w:r w:rsidR="00D5664A">
        <w:rPr>
          <w:rFonts w:hint="eastAsia"/>
          <w:kern w:val="0"/>
        </w:rPr>
        <w:t>h-Index</w:t>
      </w:r>
      <w:r>
        <w:rPr>
          <w:kern w:val="0"/>
        </w:rPr>
        <w:t>, Index, Indicator, Indicators, Institutions, Peer Review, Peer-Review, Performance, Research, Results, Review, Role, Scientific Institutions, Scientific Research, Scientists</w:t>
      </w:r>
    </w:p>
    <w:p w:rsidR="001C08AF" w:rsidRPr="00C73C58" w:rsidRDefault="001C08AF" w:rsidP="001C08AF">
      <w:pPr>
        <w:pStyle w:val="1"/>
      </w:pPr>
      <w:r w:rsidRPr="00C73C58">
        <w:br w:type="page"/>
      </w:r>
      <w:bookmarkStart w:id="165" w:name="_Toc420814947"/>
      <w:r w:rsidRPr="00C73C58">
        <w:lastRenderedPageBreak/>
        <w:t xml:space="preserve">Title: </w:t>
      </w:r>
      <w:r w:rsidRPr="00DA21C8">
        <w:rPr>
          <w:iCs w:val="0"/>
          <w:szCs w:val="24"/>
        </w:rPr>
        <w:t>Chemistry Education Research</w:t>
      </w:r>
      <w:r w:rsidR="005853A9">
        <w:rPr>
          <w:iCs w:val="0"/>
          <w:szCs w:val="24"/>
        </w:rPr>
        <w:t xml:space="preserve"> and </w:t>
      </w:r>
      <w:r w:rsidRPr="00DA21C8">
        <w:rPr>
          <w:iCs w:val="0"/>
          <w:szCs w:val="24"/>
        </w:rPr>
        <w:t>Practice</w:t>
      </w:r>
      <w:bookmarkEnd w:id="165"/>
    </w:p>
    <w:p w:rsidR="001C08AF" w:rsidRPr="00C73C58" w:rsidRDefault="001C08AF" w:rsidP="001C08AF">
      <w:pPr>
        <w:pStyle w:val="12"/>
      </w:pPr>
      <w:r w:rsidRPr="00C73C58">
        <w:t xml:space="preserve">Full Journal Title: </w:t>
      </w:r>
      <w:r w:rsidRPr="00DA21C8">
        <w:rPr>
          <w:iCs/>
          <w:kern w:val="0"/>
        </w:rPr>
        <w:t>Chemistry Education Research</w:t>
      </w:r>
      <w:r w:rsidR="005853A9">
        <w:rPr>
          <w:iCs/>
          <w:kern w:val="0"/>
        </w:rPr>
        <w:t xml:space="preserve"> and </w:t>
      </w:r>
      <w:r w:rsidRPr="00DA21C8">
        <w:rPr>
          <w:iCs/>
          <w:kern w:val="0"/>
        </w:rPr>
        <w:t>Practice</w:t>
      </w:r>
    </w:p>
    <w:p w:rsidR="001C08AF" w:rsidRPr="00C73C58" w:rsidRDefault="001C08AF" w:rsidP="001C08AF">
      <w:pPr>
        <w:pStyle w:val="12"/>
      </w:pPr>
      <w:r w:rsidRPr="00C73C58">
        <w:t xml:space="preserve">ISO Abbreviated Title: </w:t>
      </w:r>
    </w:p>
    <w:p w:rsidR="001C08AF" w:rsidRPr="00C73C58" w:rsidRDefault="001C08AF" w:rsidP="001C08AF">
      <w:pPr>
        <w:pStyle w:val="12"/>
      </w:pPr>
      <w:r w:rsidRPr="00C73C58">
        <w:t xml:space="preserve">JCR Abbreviated Title: </w:t>
      </w:r>
    </w:p>
    <w:p w:rsidR="001C08AF" w:rsidRPr="00C73C58" w:rsidRDefault="001C08AF" w:rsidP="001C08AF">
      <w:pPr>
        <w:pStyle w:val="12"/>
      </w:pPr>
      <w:r>
        <w:t xml:space="preserve">ISSN: </w:t>
      </w:r>
    </w:p>
    <w:p w:rsidR="001C08AF" w:rsidRPr="00C73C58" w:rsidRDefault="001C08AF" w:rsidP="001C08AF">
      <w:pPr>
        <w:pStyle w:val="12"/>
      </w:pPr>
      <w:r w:rsidRPr="00C73C58">
        <w:t xml:space="preserve">Issues/Year: </w:t>
      </w:r>
    </w:p>
    <w:p w:rsidR="001C08AF" w:rsidRPr="00C73C58" w:rsidRDefault="001C08AF" w:rsidP="001C08AF">
      <w:pPr>
        <w:pStyle w:val="12"/>
      </w:pPr>
      <w:r w:rsidRPr="00C73C58">
        <w:t xml:space="preserve">Journal Country/Territory: </w:t>
      </w:r>
    </w:p>
    <w:p w:rsidR="001C08AF" w:rsidRPr="00C73C58" w:rsidRDefault="001C08AF" w:rsidP="001C08AF">
      <w:pPr>
        <w:pStyle w:val="12"/>
      </w:pPr>
      <w:r w:rsidRPr="00C73C58">
        <w:t xml:space="preserve">Language: </w:t>
      </w:r>
    </w:p>
    <w:p w:rsidR="001C08AF" w:rsidRPr="00C73C58" w:rsidRDefault="001C08AF" w:rsidP="001C08AF">
      <w:pPr>
        <w:pStyle w:val="12"/>
      </w:pPr>
      <w:r w:rsidRPr="00C73C58">
        <w:t xml:space="preserve">Publisher: </w:t>
      </w:r>
    </w:p>
    <w:p w:rsidR="001C08AF" w:rsidRPr="00C73C58" w:rsidRDefault="001C08AF" w:rsidP="001C08AF">
      <w:pPr>
        <w:pStyle w:val="12"/>
      </w:pPr>
      <w:r w:rsidRPr="00C73C58">
        <w:t xml:space="preserve">Publisher Address: </w:t>
      </w:r>
    </w:p>
    <w:p w:rsidR="001C08AF" w:rsidRPr="00C73C58" w:rsidRDefault="001C08AF" w:rsidP="001C08AF">
      <w:pPr>
        <w:pStyle w:val="12"/>
      </w:pPr>
      <w:r w:rsidRPr="00C73C58">
        <w:t xml:space="preserve">Subject Categories: </w:t>
      </w:r>
    </w:p>
    <w:p w:rsidR="001C08AF" w:rsidRPr="00C73C58" w:rsidRDefault="001C08AF" w:rsidP="001C08AF">
      <w:pPr>
        <w:pStyle w:val="12"/>
      </w:pPr>
      <w:r w:rsidRPr="00C73C58">
        <w:t xml:space="preserve">: Impact Factor </w:t>
      </w:r>
    </w:p>
    <w:p w:rsidR="001C08AF" w:rsidRDefault="001C08AF" w:rsidP="001C08AF">
      <w:pPr>
        <w:pStyle w:val="a3"/>
        <w:rPr>
          <w:kern w:val="0"/>
          <w:szCs w:val="24"/>
        </w:rPr>
      </w:pPr>
      <w:r>
        <w:rPr>
          <w:rFonts w:hint="eastAsia"/>
          <w:kern w:val="0"/>
          <w:szCs w:val="24"/>
        </w:rPr>
        <w:t xml:space="preserve">? </w:t>
      </w:r>
      <w:r>
        <w:rPr>
          <w:kern w:val="0"/>
          <w:szCs w:val="24"/>
        </w:rPr>
        <w:t>Verdan, A.M., Ingallinera, J.T.</w:t>
      </w:r>
      <w:r w:rsidR="005853A9">
        <w:rPr>
          <w:kern w:val="0"/>
          <w:szCs w:val="24"/>
        </w:rPr>
        <w:t xml:space="preserve"> and </w:t>
      </w:r>
      <w:r>
        <w:rPr>
          <w:kern w:val="0"/>
          <w:szCs w:val="24"/>
        </w:rPr>
        <w:t>Bhattacharyya, G. (2010), Scientific norms</w:t>
      </w:r>
      <w:r w:rsidR="005853A9">
        <w:rPr>
          <w:kern w:val="0"/>
          <w:szCs w:val="24"/>
        </w:rPr>
        <w:t xml:space="preserve"> and </w:t>
      </w:r>
      <w:r>
        <w:rPr>
          <w:kern w:val="0"/>
          <w:szCs w:val="24"/>
        </w:rPr>
        <w:t>ethical misconduct: Research towards</w:t>
      </w:r>
      <w:r w:rsidR="003A1917">
        <w:rPr>
          <w:kern w:val="0"/>
          <w:szCs w:val="24"/>
        </w:rPr>
        <w:t xml:space="preserve"> the </w:t>
      </w:r>
      <w:r>
        <w:rPr>
          <w:kern w:val="0"/>
          <w:szCs w:val="24"/>
        </w:rPr>
        <w:t>design</w:t>
      </w:r>
      <w:r w:rsidR="00427468">
        <w:rPr>
          <w:kern w:val="0"/>
          <w:szCs w:val="24"/>
        </w:rPr>
        <w:t xml:space="preserve"> of </w:t>
      </w:r>
      <w:r>
        <w:rPr>
          <w:kern w:val="0"/>
          <w:szCs w:val="24"/>
        </w:rPr>
        <w:t xml:space="preserve">a course in scientific ethics. </w:t>
      </w:r>
      <w:r w:rsidRPr="00DA21C8">
        <w:rPr>
          <w:i/>
          <w:iCs/>
          <w:kern w:val="0"/>
          <w:szCs w:val="24"/>
        </w:rPr>
        <w:t>Chemistry Education Research</w:t>
      </w:r>
      <w:r w:rsidR="005853A9">
        <w:rPr>
          <w:i/>
          <w:iCs/>
          <w:kern w:val="0"/>
          <w:szCs w:val="24"/>
        </w:rPr>
        <w:t xml:space="preserve"> and </w:t>
      </w:r>
      <w:r w:rsidRPr="00DA21C8">
        <w:rPr>
          <w:i/>
          <w:iCs/>
          <w:kern w:val="0"/>
          <w:szCs w:val="24"/>
        </w:rPr>
        <w:t>Practice</w:t>
      </w:r>
      <w:r>
        <w:rPr>
          <w:kern w:val="0"/>
          <w:szCs w:val="24"/>
        </w:rPr>
        <w:t xml:space="preserve">, </w:t>
      </w:r>
      <w:r>
        <w:rPr>
          <w:b/>
          <w:bCs/>
          <w:kern w:val="0"/>
          <w:szCs w:val="24"/>
        </w:rPr>
        <w:t>11</w:t>
      </w:r>
      <w:r>
        <w:rPr>
          <w:kern w:val="0"/>
          <w:szCs w:val="24"/>
        </w:rPr>
        <w:t xml:space="preserve"> (2), 118-123.</w:t>
      </w:r>
    </w:p>
    <w:p w:rsidR="001C08AF" w:rsidRDefault="001C08AF" w:rsidP="001C08AF">
      <w:pPr>
        <w:pStyle w:val="a3"/>
        <w:rPr>
          <w:kern w:val="0"/>
          <w:szCs w:val="24"/>
        </w:rPr>
      </w:pPr>
      <w:r>
        <w:rPr>
          <w:rFonts w:hint="eastAsia"/>
          <w:kern w:val="0"/>
          <w:szCs w:val="24"/>
        </w:rPr>
        <w:t xml:space="preserve">Full Text: </w:t>
      </w:r>
      <w:hyperlink r:id="rId183" w:history="1">
        <w:r w:rsidRPr="00DA21C8">
          <w:rPr>
            <w:rStyle w:val="a5"/>
            <w:kern w:val="0"/>
            <w:szCs w:val="24"/>
          </w:rPr>
          <w:t>2010\Che Edu Res Pra11, 118.pdf</w:t>
        </w:r>
      </w:hyperlink>
    </w:p>
    <w:p w:rsidR="001C08AF" w:rsidRDefault="001C08AF" w:rsidP="001C08AF">
      <w:pPr>
        <w:pStyle w:val="a3"/>
        <w:rPr>
          <w:kern w:val="0"/>
          <w:szCs w:val="24"/>
        </w:rPr>
      </w:pPr>
      <w:r>
        <w:rPr>
          <w:kern w:val="0"/>
          <w:szCs w:val="24"/>
        </w:rPr>
        <w:t>Abstract: We report our study</w:t>
      </w:r>
      <w:r w:rsidR="00427468">
        <w:rPr>
          <w:kern w:val="0"/>
          <w:szCs w:val="24"/>
        </w:rPr>
        <w:t xml:space="preserve"> of </w:t>
      </w:r>
      <w:r>
        <w:rPr>
          <w:kern w:val="0"/>
          <w:szCs w:val="24"/>
        </w:rPr>
        <w:t>chemistry graduate students</w:t>
      </w:r>
      <w:r w:rsidR="0071223E">
        <w:rPr>
          <w:kern w:val="0"/>
          <w:szCs w:val="24"/>
        </w:rPr>
        <w:t>’</w:t>
      </w:r>
      <w:r>
        <w:rPr>
          <w:kern w:val="0"/>
          <w:szCs w:val="24"/>
        </w:rPr>
        <w:t xml:space="preserve"> beliefs regarding</w:t>
      </w:r>
      <w:r w:rsidR="003A1917">
        <w:rPr>
          <w:kern w:val="0"/>
          <w:szCs w:val="24"/>
        </w:rPr>
        <w:t xml:space="preserve"> the </w:t>
      </w:r>
      <w:r>
        <w:rPr>
          <w:kern w:val="0"/>
          <w:szCs w:val="24"/>
        </w:rPr>
        <w:t>normative values</w:t>
      </w:r>
      <w:r w:rsidR="00427468">
        <w:rPr>
          <w:kern w:val="0"/>
          <w:szCs w:val="24"/>
        </w:rPr>
        <w:t xml:space="preserve"> of </w:t>
      </w:r>
      <w:r>
        <w:rPr>
          <w:kern w:val="0"/>
          <w:szCs w:val="24"/>
        </w:rPr>
        <w:t>their disciplines</w:t>
      </w:r>
      <w:r w:rsidR="005853A9">
        <w:rPr>
          <w:kern w:val="0"/>
          <w:szCs w:val="24"/>
        </w:rPr>
        <w:t xml:space="preserve"> and </w:t>
      </w:r>
      <w:r>
        <w:rPr>
          <w:kern w:val="0"/>
          <w:szCs w:val="24"/>
        </w:rPr>
        <w:t>their perceptions</w:t>
      </w:r>
      <w:r w:rsidR="00427468">
        <w:rPr>
          <w:kern w:val="0"/>
          <w:szCs w:val="24"/>
        </w:rPr>
        <w:t xml:space="preserve"> of </w:t>
      </w:r>
      <w:r w:rsidR="003A1917">
        <w:rPr>
          <w:kern w:val="0"/>
          <w:szCs w:val="24"/>
        </w:rPr>
        <w:t xml:space="preserve">the </w:t>
      </w:r>
      <w:r>
        <w:rPr>
          <w:kern w:val="0"/>
          <w:szCs w:val="24"/>
        </w:rPr>
        <w:t>ethical challenges they face as students, teachers,</w:t>
      </w:r>
      <w:r w:rsidR="005853A9">
        <w:rPr>
          <w:kern w:val="0"/>
          <w:szCs w:val="24"/>
        </w:rPr>
        <w:t xml:space="preserve"> and </w:t>
      </w:r>
      <w:r>
        <w:rPr>
          <w:kern w:val="0"/>
          <w:szCs w:val="24"/>
        </w:rPr>
        <w:t>scientific researchers. Using a phenomenographical lens, we interviewed seven graduate students who had achieved Ph.D. candidacy</w:t>
      </w:r>
      <w:r w:rsidR="005853A9">
        <w:rPr>
          <w:kern w:val="0"/>
          <w:szCs w:val="24"/>
        </w:rPr>
        <w:t xml:space="preserve"> and </w:t>
      </w:r>
      <w:r>
        <w:rPr>
          <w:kern w:val="0"/>
          <w:szCs w:val="24"/>
        </w:rPr>
        <w:t>at least 3 full years</w:t>
      </w:r>
      <w:r w:rsidR="00427468">
        <w:rPr>
          <w:kern w:val="0"/>
          <w:szCs w:val="24"/>
        </w:rPr>
        <w:t xml:space="preserve"> of </w:t>
      </w:r>
      <w:r>
        <w:rPr>
          <w:kern w:val="0"/>
          <w:szCs w:val="24"/>
        </w:rPr>
        <w:t>experience in</w:t>
      </w:r>
      <w:r w:rsidR="003A1917">
        <w:rPr>
          <w:kern w:val="0"/>
          <w:szCs w:val="24"/>
        </w:rPr>
        <w:t xml:space="preserve"> the </w:t>
      </w:r>
      <w:r>
        <w:rPr>
          <w:kern w:val="0"/>
          <w:szCs w:val="24"/>
        </w:rPr>
        <w:t>program. Inductive, grounded-theory analysis</w:t>
      </w:r>
      <w:r w:rsidR="00427468">
        <w:rPr>
          <w:kern w:val="0"/>
          <w:szCs w:val="24"/>
        </w:rPr>
        <w:t xml:space="preserve"> of </w:t>
      </w:r>
      <w:r w:rsidR="003A1917">
        <w:rPr>
          <w:kern w:val="0"/>
          <w:szCs w:val="24"/>
        </w:rPr>
        <w:t xml:space="preserve">the </w:t>
      </w:r>
      <w:r>
        <w:rPr>
          <w:kern w:val="0"/>
          <w:szCs w:val="24"/>
        </w:rPr>
        <w:t>data indicated that</w:t>
      </w:r>
      <w:r w:rsidR="003A1917">
        <w:rPr>
          <w:kern w:val="0"/>
          <w:szCs w:val="24"/>
        </w:rPr>
        <w:t xml:space="preserve"> the </w:t>
      </w:r>
      <w:r>
        <w:rPr>
          <w:kern w:val="0"/>
          <w:szCs w:val="24"/>
        </w:rPr>
        <w:t>students focused on plagiarism</w:t>
      </w:r>
      <w:r w:rsidR="005853A9">
        <w:rPr>
          <w:kern w:val="0"/>
          <w:szCs w:val="24"/>
        </w:rPr>
        <w:t xml:space="preserve"> and </w:t>
      </w:r>
      <w:r>
        <w:rPr>
          <w:kern w:val="0"/>
          <w:szCs w:val="24"/>
        </w:rPr>
        <w:t>data falsification when speaking</w:t>
      </w:r>
      <w:r w:rsidR="00427468">
        <w:rPr>
          <w:kern w:val="0"/>
          <w:szCs w:val="24"/>
        </w:rPr>
        <w:t xml:space="preserve"> of </w:t>
      </w:r>
      <w:r>
        <w:rPr>
          <w:kern w:val="0"/>
          <w:szCs w:val="24"/>
        </w:rPr>
        <w:t>scientific misconduct,</w:t>
      </w:r>
      <w:r w:rsidR="005853A9">
        <w:rPr>
          <w:kern w:val="0"/>
          <w:szCs w:val="24"/>
        </w:rPr>
        <w:t xml:space="preserve"> and </w:t>
      </w:r>
      <w:r>
        <w:rPr>
          <w:kern w:val="0"/>
          <w:szCs w:val="24"/>
        </w:rPr>
        <w:t>tended to view normative values as</w:t>
      </w:r>
      <w:r w:rsidR="003A1917">
        <w:rPr>
          <w:kern w:val="0"/>
          <w:szCs w:val="24"/>
        </w:rPr>
        <w:t xml:space="preserve"> the </w:t>
      </w:r>
      <w:r>
        <w:rPr>
          <w:kern w:val="0"/>
          <w:szCs w:val="24"/>
        </w:rPr>
        <w:t>opposite</w:t>
      </w:r>
      <w:r w:rsidR="00427468">
        <w:rPr>
          <w:kern w:val="0"/>
          <w:szCs w:val="24"/>
        </w:rPr>
        <w:t xml:space="preserve"> of </w:t>
      </w:r>
      <w:r>
        <w:rPr>
          <w:kern w:val="0"/>
          <w:szCs w:val="24"/>
        </w:rPr>
        <w:t>misconduct. None</w:t>
      </w:r>
      <w:r w:rsidR="00427468">
        <w:rPr>
          <w:kern w:val="0"/>
          <w:szCs w:val="24"/>
        </w:rPr>
        <w:t xml:space="preserve"> of </w:t>
      </w:r>
      <w:r w:rsidR="003A1917">
        <w:rPr>
          <w:kern w:val="0"/>
          <w:szCs w:val="24"/>
        </w:rPr>
        <w:t xml:space="preserve">the </w:t>
      </w:r>
      <w:r>
        <w:rPr>
          <w:kern w:val="0"/>
          <w:szCs w:val="24"/>
        </w:rPr>
        <w:t>students appeared to understand clearly</w:t>
      </w:r>
      <w:r w:rsidR="003A1917">
        <w:rPr>
          <w:kern w:val="0"/>
          <w:szCs w:val="24"/>
        </w:rPr>
        <w:t xml:space="preserve"> the </w:t>
      </w:r>
      <w:r>
        <w:rPr>
          <w:kern w:val="0"/>
          <w:szCs w:val="24"/>
        </w:rPr>
        <w:t>process</w:t>
      </w:r>
      <w:r w:rsidR="00427468">
        <w:rPr>
          <w:kern w:val="0"/>
          <w:szCs w:val="24"/>
        </w:rPr>
        <w:t xml:space="preserve"> of </w:t>
      </w:r>
      <w:r>
        <w:rPr>
          <w:kern w:val="0"/>
          <w:szCs w:val="24"/>
        </w:rPr>
        <w:t>establishing claims in science. Instead, they believed that it was</w:t>
      </w:r>
      <w:r w:rsidR="003A1917">
        <w:rPr>
          <w:kern w:val="0"/>
          <w:szCs w:val="24"/>
        </w:rPr>
        <w:t xml:space="preserve"> the </w:t>
      </w:r>
      <w:r>
        <w:rPr>
          <w:kern w:val="0"/>
          <w:szCs w:val="24"/>
        </w:rPr>
        <w:t>advisors</w:t>
      </w:r>
      <w:r w:rsidR="0071223E">
        <w:rPr>
          <w:kern w:val="0"/>
          <w:szCs w:val="24"/>
        </w:rPr>
        <w:t>’</w:t>
      </w:r>
      <w:r>
        <w:rPr>
          <w:kern w:val="0"/>
          <w:szCs w:val="24"/>
        </w:rPr>
        <w:t xml:space="preserve"> roles to make final judgments regarding</w:t>
      </w:r>
      <w:r w:rsidR="003A1917">
        <w:rPr>
          <w:kern w:val="0"/>
          <w:szCs w:val="24"/>
        </w:rPr>
        <w:t xml:space="preserve"> the </w:t>
      </w:r>
      <w:r>
        <w:rPr>
          <w:kern w:val="0"/>
          <w:szCs w:val="24"/>
        </w:rPr>
        <w:t>validity</w:t>
      </w:r>
      <w:r w:rsidR="00427468">
        <w:rPr>
          <w:kern w:val="0"/>
          <w:szCs w:val="24"/>
        </w:rPr>
        <w:t xml:space="preserve"> of </w:t>
      </w:r>
      <w:r>
        <w:rPr>
          <w:kern w:val="0"/>
          <w:szCs w:val="24"/>
        </w:rPr>
        <w:t>their data. Overall,</w:t>
      </w:r>
      <w:r w:rsidR="003A1917">
        <w:rPr>
          <w:kern w:val="0"/>
          <w:szCs w:val="24"/>
        </w:rPr>
        <w:t xml:space="preserve"> the </w:t>
      </w:r>
      <w:r>
        <w:rPr>
          <w:kern w:val="0"/>
          <w:szCs w:val="24"/>
        </w:rPr>
        <w:t>data indicate that</w:t>
      </w:r>
      <w:r w:rsidR="003A1917">
        <w:rPr>
          <w:kern w:val="0"/>
          <w:szCs w:val="24"/>
        </w:rPr>
        <w:t xml:space="preserve"> the </w:t>
      </w:r>
      <w:r>
        <w:rPr>
          <w:kern w:val="0"/>
          <w:szCs w:val="24"/>
        </w:rPr>
        <w:t>participants</w:t>
      </w:r>
      <w:r w:rsidR="0071223E">
        <w:rPr>
          <w:kern w:val="0"/>
          <w:szCs w:val="24"/>
        </w:rPr>
        <w:t>’</w:t>
      </w:r>
      <w:r>
        <w:rPr>
          <w:kern w:val="0"/>
          <w:szCs w:val="24"/>
        </w:rPr>
        <w:t xml:space="preserve"> impoverished conceptions</w:t>
      </w:r>
      <w:r w:rsidR="00427468">
        <w:rPr>
          <w:kern w:val="0"/>
          <w:szCs w:val="24"/>
        </w:rPr>
        <w:t xml:space="preserve"> of </w:t>
      </w:r>
      <w:r>
        <w:rPr>
          <w:kern w:val="0"/>
          <w:szCs w:val="24"/>
        </w:rPr>
        <w:t>scientific ethics resulted from naive personal epistemologies</w:t>
      </w:r>
      <w:r w:rsidR="00427468">
        <w:rPr>
          <w:kern w:val="0"/>
          <w:szCs w:val="24"/>
        </w:rPr>
        <w:t xml:space="preserve"> of </w:t>
      </w:r>
      <w:r>
        <w:rPr>
          <w:kern w:val="0"/>
          <w:szCs w:val="24"/>
        </w:rPr>
        <w:t>science, which, in turn, was partly due to their under-developed professional identities. We recommend that training in scientific norms</w:t>
      </w:r>
      <w:r w:rsidR="005853A9">
        <w:rPr>
          <w:kern w:val="0"/>
          <w:szCs w:val="24"/>
        </w:rPr>
        <w:t xml:space="preserve"> and </w:t>
      </w:r>
      <w:r w:rsidR="003A1917">
        <w:rPr>
          <w:kern w:val="0"/>
          <w:szCs w:val="24"/>
        </w:rPr>
        <w:t xml:space="preserve">the </w:t>
      </w:r>
      <w:r>
        <w:rPr>
          <w:kern w:val="0"/>
          <w:szCs w:val="24"/>
        </w:rPr>
        <w:t>nature</w:t>
      </w:r>
      <w:r w:rsidR="00427468">
        <w:rPr>
          <w:kern w:val="0"/>
          <w:szCs w:val="24"/>
        </w:rPr>
        <w:t xml:space="preserve"> of </w:t>
      </w:r>
      <w:r>
        <w:rPr>
          <w:kern w:val="0"/>
          <w:szCs w:val="24"/>
        </w:rPr>
        <w:t>science should precede instruction involving case study analysis</w:t>
      </w:r>
      <w:r w:rsidR="00427468">
        <w:rPr>
          <w:kern w:val="0"/>
          <w:szCs w:val="24"/>
        </w:rPr>
        <w:t xml:space="preserve"> of </w:t>
      </w:r>
      <w:r>
        <w:rPr>
          <w:kern w:val="0"/>
          <w:szCs w:val="24"/>
        </w:rPr>
        <w:t>misconduct or ambiguous scenarios.</w:t>
      </w:r>
    </w:p>
    <w:p w:rsidR="001C08AF" w:rsidRDefault="001C08AF" w:rsidP="001C08AF">
      <w:pPr>
        <w:pStyle w:val="a3"/>
        <w:rPr>
          <w:kern w:val="0"/>
          <w:szCs w:val="24"/>
        </w:rPr>
      </w:pPr>
      <w:r>
        <w:rPr>
          <w:kern w:val="0"/>
          <w:szCs w:val="24"/>
        </w:rPr>
        <w:t>Keywords: Chemistry Instruction, Chemists, Epistemic Development, Ethics, Graduate Education, Personal Epistemology, Plagiarism, Professional Identity, Research, Science, Scientific Misconduct, Scientific Norms, Students</w:t>
      </w:r>
    </w:p>
    <w:p w:rsidR="003474F2" w:rsidRPr="001A3D2B" w:rsidRDefault="003474F2" w:rsidP="003474F2">
      <w:pPr>
        <w:pStyle w:val="1"/>
      </w:pPr>
      <w:r w:rsidRPr="001A3D2B">
        <w:br w:type="page"/>
      </w:r>
      <w:bookmarkStart w:id="166" w:name="_Toc420814948"/>
      <w:r w:rsidRPr="001A3D2B">
        <w:lastRenderedPageBreak/>
        <w:t>Title: Chemistry &amp; Industry</w:t>
      </w:r>
      <w:bookmarkEnd w:id="166"/>
    </w:p>
    <w:p w:rsidR="003474F2" w:rsidRPr="001A3D2B" w:rsidRDefault="003474F2" w:rsidP="003474F2">
      <w:pPr>
        <w:pStyle w:val="12"/>
      </w:pPr>
      <w:r w:rsidRPr="001A3D2B">
        <w:t>Full Journal Title</w:t>
      </w:r>
      <w:bookmarkStart w:id="167" w:name="_Toc223507319"/>
      <w:r w:rsidRPr="001A3D2B">
        <w:t xml:space="preserve">: </w:t>
      </w:r>
      <w:r w:rsidR="00DF61FE">
        <w:fldChar w:fldCharType="begin"/>
      </w:r>
      <w:r w:rsidR="00FD158B">
        <w:instrText>HYPERLINK "http://www.ch</w:instrText>
      </w:r>
      <w:bookmarkEnd w:id="167"/>
      <w:r w:rsidR="00FD158B">
        <w:instrText>emind.org/CI/index.jsp"</w:instrText>
      </w:r>
      <w:r w:rsidR="00DF61FE">
        <w:fldChar w:fldCharType="separate"/>
      </w:r>
      <w:r w:rsidRPr="001A3D2B">
        <w:rPr>
          <w:rStyle w:val="a5"/>
        </w:rPr>
        <w:t>Chemistry &amp; Industry</w:t>
      </w:r>
      <w:r w:rsidR="00DF61FE">
        <w:fldChar w:fldCharType="end"/>
      </w:r>
      <w:r w:rsidR="00673B7D">
        <w:rPr>
          <w:rFonts w:hint="eastAsia"/>
        </w:rPr>
        <w:t xml:space="preserve">; </w:t>
      </w:r>
      <w:hyperlink r:id="rId184" w:anchor="db=bth&amp;jid=1BG" w:history="1">
        <w:r w:rsidR="00673B7D" w:rsidRPr="00673B7D">
          <w:rPr>
            <w:rStyle w:val="a5"/>
          </w:rPr>
          <w:t>Chemistry &amp; Industry</w:t>
        </w:r>
      </w:hyperlink>
    </w:p>
    <w:p w:rsidR="003474F2" w:rsidRPr="001A3D2B" w:rsidRDefault="003474F2" w:rsidP="003474F2">
      <w:pPr>
        <w:pStyle w:val="12"/>
      </w:pPr>
      <w:r w:rsidRPr="001A3D2B">
        <w:t xml:space="preserve">ISO Abbreviated Title: </w:t>
      </w:r>
      <w:smartTag w:uri="urn:schemas-microsoft-com:office:smarttags" w:element="place">
        <w:smartTag w:uri="urn:schemas-microsoft-com:office:smarttags" w:element="City">
          <w:r w:rsidRPr="001A3D2B">
            <w:t>Chem.</w:t>
          </w:r>
        </w:smartTag>
        <w:r w:rsidRPr="001A3D2B">
          <w:t xml:space="preserve"> </w:t>
        </w:r>
        <w:smartTag w:uri="urn:schemas-microsoft-com:office:smarttags" w:element="State">
          <w:r w:rsidRPr="001A3D2B">
            <w:t>Ind.</w:t>
          </w:r>
        </w:smartTag>
      </w:smartTag>
    </w:p>
    <w:p w:rsidR="003474F2" w:rsidRPr="001A3D2B" w:rsidRDefault="003474F2" w:rsidP="003474F2">
      <w:pPr>
        <w:pStyle w:val="12"/>
      </w:pPr>
      <w:r w:rsidRPr="001A3D2B">
        <w:t>JCR Abbreviated Title: Chem Ind-London</w:t>
      </w:r>
    </w:p>
    <w:p w:rsidR="003474F2" w:rsidRPr="001A3D2B" w:rsidRDefault="003474F2" w:rsidP="003474F2">
      <w:pPr>
        <w:pStyle w:val="12"/>
      </w:pPr>
      <w:r w:rsidRPr="001A3D2B">
        <w:t>ISSN: 0009-3068</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Soc Chemical Industry</w:t>
      </w:r>
    </w:p>
    <w:p w:rsidR="003474F2" w:rsidRPr="001A3D2B" w:rsidRDefault="003474F2" w:rsidP="003474F2">
      <w:pPr>
        <w:pStyle w:val="12"/>
      </w:pPr>
      <w:r w:rsidRPr="001A3D2B">
        <w:t>Publisher Address: 14 Belgrave Square, London SW1X 8PS, England</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Chemistry, Applied: Impact Factor 0.719, / (2000)</w:t>
      </w:r>
    </w:p>
    <w:p w:rsidR="003474F2" w:rsidRPr="001A3D2B" w:rsidRDefault="003474F2" w:rsidP="003474F2">
      <w:pPr>
        <w:pStyle w:val="a3"/>
      </w:pPr>
      <w:r w:rsidRPr="001A3D2B">
        <w:t xml:space="preserve">? Stonehil, H.I. (1965), Science Citation Index - Information retrieval by propinquity. </w:t>
      </w:r>
      <w:r w:rsidRPr="001A3D2B">
        <w:rPr>
          <w:i/>
          <w:iCs/>
        </w:rPr>
        <w:t>Chemistry &amp; Industry</w:t>
      </w:r>
      <w:r w:rsidRPr="001A3D2B">
        <w:t xml:space="preserve">, </w:t>
      </w:r>
      <w:r w:rsidRPr="001A3D2B">
        <w:rPr>
          <w:b/>
          <w:bCs/>
        </w:rPr>
        <w:t>10</w:t>
      </w:r>
      <w:r w:rsidRPr="001A3D2B">
        <w:t>, 416-</w:t>
      </w:r>
      <w:r w:rsidR="00673B7D">
        <w:rPr>
          <w:rFonts w:hint="eastAsia"/>
        </w:rPr>
        <w:t>417</w:t>
      </w:r>
      <w:r w:rsidRPr="001A3D2B">
        <w:t>.</w:t>
      </w:r>
    </w:p>
    <w:p w:rsidR="003474F2" w:rsidRPr="001A3D2B" w:rsidRDefault="003474F2" w:rsidP="003474F2">
      <w:pPr>
        <w:pStyle w:val="a3"/>
      </w:pPr>
      <w:r w:rsidRPr="001A3D2B">
        <w:t>Keywords: Citation, Science Citation Index</w:t>
      </w:r>
    </w:p>
    <w:p w:rsidR="000C0680" w:rsidRPr="00C73C58" w:rsidRDefault="000C0680" w:rsidP="000C0680">
      <w:pPr>
        <w:pStyle w:val="1"/>
      </w:pPr>
      <w:r w:rsidRPr="00C73C58">
        <w:br w:type="page"/>
      </w:r>
      <w:bookmarkStart w:id="168" w:name="_Toc420814949"/>
      <w:r w:rsidRPr="00C73C58">
        <w:lastRenderedPageBreak/>
        <w:t>Title: Chemometrics</w:t>
      </w:r>
      <w:r w:rsidR="005853A9">
        <w:t xml:space="preserve"> and </w:t>
      </w:r>
      <w:r w:rsidRPr="00C73C58">
        <w:t>Intelligent Laboratory</w:t>
      </w:r>
      <w:bookmarkStart w:id="169" w:name="_Toc290620491"/>
      <w:r w:rsidRPr="00C73C58">
        <w:t xml:space="preserve"> Systems</w:t>
      </w:r>
      <w:bookmarkEnd w:id="168"/>
    </w:p>
    <w:p w:rsidR="000C0680" w:rsidRPr="00C73C58" w:rsidRDefault="000C0680" w:rsidP="000C0680">
      <w:pPr>
        <w:pStyle w:val="12"/>
      </w:pPr>
      <w:r w:rsidRPr="00C73C58">
        <w:t xml:space="preserve">Full Journal Title: </w:t>
      </w:r>
      <w:r w:rsidR="00DF61FE">
        <w:fldChar w:fldCharType="begin"/>
      </w:r>
      <w:r w:rsidR="00FD158B">
        <w:instrText>HYPERLINK "http://www.sc</w:instrText>
      </w:r>
      <w:bookmarkEnd w:id="169"/>
      <w:r w:rsidR="00FD158B">
        <w:instrText>iencedirect.com/science?_ob=JournalURL&amp;_cdi=5232&amp;_auth=y&amp;_acct=C000024058&amp;_version=1&amp;_urlVersion=0&amp;_userid=4191814&amp;md5=84efc7735ec9987dd5719e788bd8ff9a"</w:instrText>
      </w:r>
      <w:r w:rsidR="00DF61FE">
        <w:fldChar w:fldCharType="separate"/>
      </w:r>
      <w:r w:rsidRPr="00C73C58">
        <w:rPr>
          <w:rStyle w:val="a5"/>
        </w:rPr>
        <w:t>Chemometrics</w:t>
      </w:r>
      <w:r w:rsidR="005853A9">
        <w:rPr>
          <w:rStyle w:val="a5"/>
        </w:rPr>
        <w:t xml:space="preserve"> and </w:t>
      </w:r>
      <w:r w:rsidRPr="00C73C58">
        <w:rPr>
          <w:rStyle w:val="a5"/>
        </w:rPr>
        <w:t>Intelligent Laboratory Systems</w:t>
      </w:r>
      <w:r w:rsidR="00DF61FE">
        <w:fldChar w:fldCharType="end"/>
      </w:r>
    </w:p>
    <w:p w:rsidR="000C0680" w:rsidRPr="00C73C58" w:rsidRDefault="000C0680" w:rsidP="000C0680">
      <w:pPr>
        <w:pStyle w:val="12"/>
      </w:pPr>
      <w:r w:rsidRPr="00C73C58">
        <w:t>ISO Abbreviated Title: Chemometrics Intell. Lab. Syst.</w:t>
      </w:r>
    </w:p>
    <w:p w:rsidR="000C0680" w:rsidRPr="00C73C58" w:rsidRDefault="000C0680" w:rsidP="000C0680">
      <w:pPr>
        <w:pStyle w:val="12"/>
      </w:pPr>
      <w:r w:rsidRPr="00C73C58">
        <w:t>JCR Abbreviated Title: Chemometr Intell Lab</w:t>
      </w:r>
    </w:p>
    <w:p w:rsidR="000C0680" w:rsidRPr="00C73C58" w:rsidRDefault="000C0680" w:rsidP="000C0680">
      <w:pPr>
        <w:pStyle w:val="12"/>
      </w:pPr>
      <w:r w:rsidRPr="00C73C58">
        <w:t>ISSN: 0169-7439</w:t>
      </w:r>
    </w:p>
    <w:p w:rsidR="000C0680" w:rsidRPr="00C73C58" w:rsidRDefault="000C0680" w:rsidP="000C0680">
      <w:pPr>
        <w:pStyle w:val="12"/>
      </w:pPr>
      <w:r w:rsidRPr="00C73C58">
        <w:t>Issues/Year: 8</w:t>
      </w:r>
    </w:p>
    <w:p w:rsidR="000C0680" w:rsidRPr="00C73C58" w:rsidRDefault="000C0680" w:rsidP="000C0680">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0C0680" w:rsidRPr="00C73C58" w:rsidRDefault="000C0680" w:rsidP="000C0680">
      <w:pPr>
        <w:pStyle w:val="12"/>
      </w:pPr>
      <w:r w:rsidRPr="00C73C58">
        <w:t>Language: English</w:t>
      </w:r>
    </w:p>
    <w:p w:rsidR="000C0680" w:rsidRPr="00C73C58" w:rsidRDefault="000C0680" w:rsidP="000C0680">
      <w:pPr>
        <w:pStyle w:val="12"/>
      </w:pPr>
      <w:r w:rsidRPr="00C73C58">
        <w:t xml:space="preserve">Publisher: </w:t>
      </w:r>
      <w:smartTag w:uri="urn:schemas-microsoft-com:office:smarttags" w:element="Street">
        <w:smartTag w:uri="urn:schemas-microsoft-com:office:smarttags" w:element="address">
          <w:r w:rsidRPr="00C73C58">
            <w:t>Elsevier Science BV</w:t>
          </w:r>
        </w:smartTag>
      </w:smartTag>
    </w:p>
    <w:p w:rsidR="000C0680" w:rsidRPr="00C73C58" w:rsidRDefault="000C0680" w:rsidP="000C0680">
      <w:pPr>
        <w:pStyle w:val="12"/>
      </w:pPr>
      <w:r w:rsidRPr="00C73C58">
        <w:t xml:space="preserve">Publisher Address: </w:t>
      </w:r>
      <w:smartTag w:uri="urn:schemas-microsoft-com:office:smarttags" w:element="Street">
        <w:r w:rsidRPr="00C73C58">
          <w:t>PO Box</w:t>
        </w:r>
      </w:smartTag>
      <w:r w:rsidRPr="00C73C58">
        <w:t xml:space="preserve"> 211, 1000 AE Amsterdam, Netherlands</w:t>
      </w:r>
    </w:p>
    <w:p w:rsidR="000C0680" w:rsidRPr="00C73C58" w:rsidRDefault="000C0680" w:rsidP="000C0680">
      <w:pPr>
        <w:pStyle w:val="12"/>
      </w:pPr>
      <w:r w:rsidRPr="00C73C58">
        <w:t xml:space="preserve">Subject Categories: </w:t>
      </w:r>
    </w:p>
    <w:p w:rsidR="000C0680" w:rsidRPr="00C73C58" w:rsidRDefault="000C0680" w:rsidP="000C0680">
      <w:pPr>
        <w:pStyle w:val="12"/>
      </w:pPr>
      <w:r w:rsidRPr="00C73C58">
        <w:t xml:space="preserve">Robotics &amp; Automatic Control: </w:t>
      </w:r>
    </w:p>
    <w:p w:rsidR="000C0680" w:rsidRPr="00C73C58" w:rsidRDefault="000C0680" w:rsidP="000C0680">
      <w:pPr>
        <w:pStyle w:val="12"/>
      </w:pPr>
      <w:r w:rsidRPr="00C73C58">
        <w:t xml:space="preserve">Chemistry, Analytical: Impact Factor </w:t>
      </w:r>
    </w:p>
    <w:p w:rsidR="000C0680" w:rsidRPr="00C73C58" w:rsidRDefault="000C0680" w:rsidP="000C0680">
      <w:pPr>
        <w:pStyle w:val="12"/>
      </w:pPr>
      <w:r w:rsidRPr="00C73C58">
        <w:t>Computer Science, Artificial Intelligence Instruments &amp; Instrumentation</w:t>
      </w:r>
    </w:p>
    <w:p w:rsidR="006E2094" w:rsidRDefault="006E2094" w:rsidP="006E2094">
      <w:pPr>
        <w:pStyle w:val="a3"/>
        <w:rPr>
          <w:kern w:val="0"/>
        </w:rPr>
      </w:pPr>
      <w:r>
        <w:rPr>
          <w:rFonts w:hint="eastAsia"/>
          <w:kern w:val="0"/>
        </w:rPr>
        <w:t>Notes: highly cited</w:t>
      </w:r>
    </w:p>
    <w:p w:rsidR="006E2094" w:rsidRDefault="006E2094" w:rsidP="006E2094">
      <w:pPr>
        <w:pStyle w:val="a3"/>
        <w:rPr>
          <w:kern w:val="0"/>
        </w:rPr>
      </w:pPr>
      <w:r>
        <w:rPr>
          <w:rFonts w:hint="eastAsia"/>
          <w:kern w:val="0"/>
        </w:rPr>
        <w:t xml:space="preserve">? </w:t>
      </w:r>
      <w:r>
        <w:t>Wold, S</w:t>
      </w:r>
      <w:r>
        <w:rPr>
          <w:rFonts w:hint="eastAsia"/>
        </w:rPr>
        <w:t>.,</w:t>
      </w:r>
      <w:r>
        <w:t xml:space="preserve"> Sj</w:t>
      </w:r>
      <w:r w:rsidRPr="00773F75">
        <w:rPr>
          <w:rFonts w:hint="eastAsia"/>
        </w:rPr>
        <w:t>ö</w:t>
      </w:r>
      <w:r>
        <w:t>str</w:t>
      </w:r>
      <w:r w:rsidRPr="00773F75">
        <w:rPr>
          <w:rFonts w:hint="eastAsia"/>
        </w:rPr>
        <w:t>ö</w:t>
      </w:r>
      <w:r>
        <w:t>m, M</w:t>
      </w:r>
      <w:r>
        <w:rPr>
          <w:rFonts w:hint="eastAsia"/>
        </w:rPr>
        <w:t>.</w:t>
      </w:r>
      <w:r w:rsidR="005853A9">
        <w:rPr>
          <w:rFonts w:hint="eastAsia"/>
        </w:rPr>
        <w:t xml:space="preserve"> and </w:t>
      </w:r>
      <w:r>
        <w:t>Eriksson, L</w:t>
      </w:r>
      <w:r>
        <w:rPr>
          <w:rFonts w:hint="eastAsia"/>
        </w:rPr>
        <w:t>.</w:t>
      </w:r>
      <w:r>
        <w:rPr>
          <w:kern w:val="0"/>
        </w:rPr>
        <w:t xml:space="preserve"> (200</w:t>
      </w:r>
      <w:r>
        <w:rPr>
          <w:rFonts w:hint="eastAsia"/>
          <w:kern w:val="0"/>
        </w:rPr>
        <w:t>1</w:t>
      </w:r>
      <w:r>
        <w:rPr>
          <w:kern w:val="0"/>
        </w:rPr>
        <w:t xml:space="preserve">), </w:t>
      </w:r>
      <w:r>
        <w:t>PLS-regression: A basic tool</w:t>
      </w:r>
      <w:r w:rsidR="00427468">
        <w:t xml:space="preserve"> of </w:t>
      </w:r>
      <w:r>
        <w:t>chemometrics</w:t>
      </w:r>
      <w:r>
        <w:rPr>
          <w:kern w:val="0"/>
        </w:rPr>
        <w:t xml:space="preserve">. </w:t>
      </w:r>
      <w:r>
        <w:rPr>
          <w:i/>
          <w:iCs/>
          <w:kern w:val="0"/>
        </w:rPr>
        <w:t>Chemometrics</w:t>
      </w:r>
      <w:r w:rsidR="005853A9">
        <w:rPr>
          <w:i/>
          <w:iCs/>
          <w:kern w:val="0"/>
        </w:rPr>
        <w:t xml:space="preserve"> and </w:t>
      </w:r>
      <w:r>
        <w:rPr>
          <w:i/>
          <w:iCs/>
          <w:kern w:val="0"/>
        </w:rPr>
        <w:t>Intelligent Laboratory Systems</w:t>
      </w:r>
      <w:r>
        <w:rPr>
          <w:kern w:val="0"/>
        </w:rPr>
        <w:t xml:space="preserve">, </w:t>
      </w:r>
      <w:r>
        <w:rPr>
          <w:rFonts w:hint="eastAsia"/>
          <w:b/>
          <w:bCs/>
          <w:kern w:val="0"/>
        </w:rPr>
        <w:t>58</w:t>
      </w:r>
      <w:r>
        <w:rPr>
          <w:kern w:val="0"/>
        </w:rPr>
        <w:t xml:space="preserve"> (2), </w:t>
      </w:r>
      <w:r>
        <w:t>109-130</w:t>
      </w:r>
      <w:r>
        <w:rPr>
          <w:kern w:val="0"/>
        </w:rPr>
        <w:t>.</w:t>
      </w:r>
    </w:p>
    <w:p w:rsidR="006E2094" w:rsidRDefault="006E2094" w:rsidP="006E2094">
      <w:pPr>
        <w:pStyle w:val="a3"/>
      </w:pPr>
      <w:r w:rsidRPr="00C73C58">
        <w:t xml:space="preserve">Full Text: </w:t>
      </w:r>
      <w:hyperlink r:id="rId185" w:history="1">
        <w:r w:rsidRPr="00773F75">
          <w:rPr>
            <w:rStyle w:val="a5"/>
          </w:rPr>
          <w:t>2001\Che Int Lab Sys58, 109.pdf</w:t>
        </w:r>
      </w:hyperlink>
    </w:p>
    <w:p w:rsidR="006E2094" w:rsidRDefault="006E2094" w:rsidP="006E2094">
      <w:pPr>
        <w:pStyle w:val="a3"/>
      </w:pPr>
      <w:r>
        <w:t>Abstract: PLS-regression (PLSR) is the PLS approach in its simplest,</w:t>
      </w:r>
      <w:r w:rsidR="005853A9">
        <w:t xml:space="preserve"> and </w:t>
      </w:r>
      <w:r>
        <w:t>in chemistry</w:t>
      </w:r>
      <w:r w:rsidR="005853A9">
        <w:t xml:space="preserve"> and </w:t>
      </w:r>
      <w:r>
        <w:t>technology, most used form (two-block predictive PLS). PLSR is a method for relating two data matrices, X</w:t>
      </w:r>
      <w:r w:rsidR="005853A9">
        <w:t xml:space="preserve"> and </w:t>
      </w:r>
      <w:r>
        <w:t>Y, by a linear multivariate model, but goes beyond traditional regression in that it models also the structure</w:t>
      </w:r>
      <w:r w:rsidR="00427468">
        <w:t xml:space="preserve"> of </w:t>
      </w:r>
      <w:r>
        <w:t>X</w:t>
      </w:r>
      <w:r w:rsidR="005853A9">
        <w:t xml:space="preserve"> and </w:t>
      </w:r>
      <w:r>
        <w:t>Y. PLSR derives its usefulness from its ability to analyze data with many, noisy, collinear,</w:t>
      </w:r>
      <w:r w:rsidR="005853A9">
        <w:t xml:space="preserve"> and </w:t>
      </w:r>
      <w:r>
        <w:t>even incomplete variables in both X</w:t>
      </w:r>
      <w:r w:rsidR="005853A9">
        <w:t xml:space="preserve"> and </w:t>
      </w:r>
      <w:r>
        <w:t>Y. PLSR has the desirable property that the precision</w:t>
      </w:r>
      <w:r w:rsidR="00427468">
        <w:t xml:space="preserve"> of </w:t>
      </w:r>
      <w:r>
        <w:t>the model parameters improves with the increasing number</w:t>
      </w:r>
      <w:r w:rsidR="00427468">
        <w:t xml:space="preserve"> of </w:t>
      </w:r>
      <w:r>
        <w:t>relevant variables</w:t>
      </w:r>
      <w:r w:rsidR="005853A9">
        <w:t xml:space="preserve"> and </w:t>
      </w:r>
      <w:r>
        <w:t>observations.</w:t>
      </w:r>
    </w:p>
    <w:p w:rsidR="006E2094" w:rsidRDefault="006E2094" w:rsidP="006E2094">
      <w:pPr>
        <w:pStyle w:val="a3"/>
      </w:pPr>
      <w:r>
        <w:t>This article reviews PLSR as it has developed to become a standard tool in chemometrics</w:t>
      </w:r>
      <w:r w:rsidR="005853A9">
        <w:t xml:space="preserve"> and </w:t>
      </w:r>
      <w:r>
        <w:t>used in chemistry</w:t>
      </w:r>
      <w:r w:rsidR="005853A9">
        <w:t xml:space="preserve"> and </w:t>
      </w:r>
      <w:r>
        <w:t>engineering</w:t>
      </w:r>
      <w:r w:rsidR="00A37C1D">
        <w:t>. The</w:t>
      </w:r>
      <w:r>
        <w:t xml:space="preserve"> underlying model</w:t>
      </w:r>
      <w:r w:rsidR="005853A9">
        <w:t xml:space="preserve"> and </w:t>
      </w:r>
      <w:r>
        <w:t>its assumptions are discussed,</w:t>
      </w:r>
      <w:r w:rsidR="005853A9">
        <w:t xml:space="preserve"> and </w:t>
      </w:r>
      <w:r>
        <w:t>commonly used diagnostics are reviewed together with the interpretation</w:t>
      </w:r>
      <w:r w:rsidR="00427468">
        <w:t xml:space="preserve"> of </w:t>
      </w:r>
      <w:r>
        <w:t>resulting parameters.</w:t>
      </w:r>
    </w:p>
    <w:p w:rsidR="006E2094" w:rsidRDefault="006E2094" w:rsidP="006E2094">
      <w:pPr>
        <w:pStyle w:val="a3"/>
      </w:pPr>
      <w:r>
        <w:t>Two examples are used as illustrations: First, a Quantitative Structure-Activity Relationship (QSAR)/Quantitative Structure-Property Relationship (QSPR) data set</w:t>
      </w:r>
      <w:r w:rsidR="00427468">
        <w:t xml:space="preserve"> of </w:t>
      </w:r>
      <w:r>
        <w:t>peptides is used to outline how to develop, interpret</w:t>
      </w:r>
      <w:r w:rsidR="005853A9">
        <w:t xml:space="preserve"> and </w:t>
      </w:r>
      <w:r>
        <w:t>refine a PLSR model. Second, a data set from the manufacturing</w:t>
      </w:r>
      <w:r w:rsidR="00427468">
        <w:t xml:space="preserve"> of </w:t>
      </w:r>
      <w:r>
        <w:t>recycled paper is analyzed to illustrate time series modelling</w:t>
      </w:r>
      <w:r w:rsidR="00427468">
        <w:t xml:space="preserve"> of </w:t>
      </w:r>
      <w:r>
        <w:t>process data by means</w:t>
      </w:r>
      <w:r w:rsidR="00427468">
        <w:t xml:space="preserve"> of </w:t>
      </w:r>
      <w:r>
        <w:t>PLSR</w:t>
      </w:r>
      <w:r w:rsidR="005853A9">
        <w:t xml:space="preserve"> and </w:t>
      </w:r>
      <w:r>
        <w:t>time-lagged X-variables. (C) 2001 Elsevier Science B.V. All rights reserved.</w:t>
      </w:r>
    </w:p>
    <w:p w:rsidR="006E2094" w:rsidRPr="00C73C58" w:rsidRDefault="006E2094" w:rsidP="006E2094">
      <w:pPr>
        <w:pStyle w:val="a3"/>
      </w:pPr>
      <w:r>
        <w:t xml:space="preserve">Keywords: PLS, PLSR, Two-Block Predictive PLS, Latent Variables, Multivariate </w:t>
      </w:r>
      <w:r>
        <w:lastRenderedPageBreak/>
        <w:t>Analysis, Partial Least-Squares, Cross-Validation, Kernel Algorithm, Amino-Acids, Prediction, Jackknife, Design</w:t>
      </w:r>
    </w:p>
    <w:p w:rsidR="00D764AD" w:rsidRDefault="00D764AD" w:rsidP="00D764AD">
      <w:pPr>
        <w:pStyle w:val="a3"/>
        <w:rPr>
          <w:kern w:val="0"/>
        </w:rPr>
      </w:pPr>
      <w:r>
        <w:rPr>
          <w:rFonts w:hint="eastAsia"/>
          <w:kern w:val="0"/>
        </w:rPr>
        <w:t xml:space="preserve">? </w:t>
      </w:r>
      <w:r>
        <w:rPr>
          <w:kern w:val="0"/>
        </w:rPr>
        <w:t xml:space="preserve">Hemmateenejad, B. (2006), Chemometrics in Iran. </w:t>
      </w:r>
      <w:r>
        <w:rPr>
          <w:i/>
          <w:iCs/>
          <w:kern w:val="0"/>
        </w:rPr>
        <w:t>Chemometrics</w:t>
      </w:r>
      <w:r w:rsidR="005853A9">
        <w:rPr>
          <w:i/>
          <w:iCs/>
          <w:kern w:val="0"/>
        </w:rPr>
        <w:t xml:space="preserve"> and </w:t>
      </w:r>
      <w:r>
        <w:rPr>
          <w:i/>
          <w:iCs/>
          <w:kern w:val="0"/>
        </w:rPr>
        <w:t>Intelligent Laboratory Systems</w:t>
      </w:r>
      <w:r>
        <w:rPr>
          <w:kern w:val="0"/>
        </w:rPr>
        <w:t xml:space="preserve">, </w:t>
      </w:r>
      <w:r>
        <w:rPr>
          <w:b/>
          <w:bCs/>
          <w:kern w:val="0"/>
        </w:rPr>
        <w:t>81</w:t>
      </w:r>
      <w:r>
        <w:rPr>
          <w:kern w:val="0"/>
        </w:rPr>
        <w:t xml:space="preserve"> (2), 202-208.</w:t>
      </w:r>
    </w:p>
    <w:p w:rsidR="006E2094" w:rsidRPr="00C73C58" w:rsidRDefault="006E2094" w:rsidP="006E2094">
      <w:pPr>
        <w:pStyle w:val="a3"/>
      </w:pPr>
      <w:r w:rsidRPr="00C73C58">
        <w:t xml:space="preserve">Full Text: </w:t>
      </w:r>
      <w:hyperlink r:id="rId186" w:history="1">
        <w:r w:rsidRPr="00773F75">
          <w:rPr>
            <w:rStyle w:val="a5"/>
          </w:rPr>
          <w:t>2006\Che Int Lab Sys81, 202.pdf</w:t>
        </w:r>
      </w:hyperlink>
    </w:p>
    <w:p w:rsidR="00D764AD" w:rsidRDefault="00D764AD" w:rsidP="00D764AD">
      <w:pPr>
        <w:pStyle w:val="a3"/>
        <w:rPr>
          <w:kern w:val="0"/>
        </w:rPr>
      </w:pPr>
      <w:r>
        <w:rPr>
          <w:kern w:val="0"/>
        </w:rPr>
        <w:t>Abstract: To represent</w:t>
      </w:r>
      <w:r w:rsidR="003A1917">
        <w:rPr>
          <w:kern w:val="0"/>
        </w:rPr>
        <w:t xml:space="preserve"> the </w:t>
      </w:r>
      <w:r>
        <w:rPr>
          <w:kern w:val="0"/>
        </w:rPr>
        <w:t>activity</w:t>
      </w:r>
      <w:r w:rsidR="00427468">
        <w:rPr>
          <w:kern w:val="0"/>
        </w:rPr>
        <w:t xml:space="preserve"> of </w:t>
      </w:r>
      <w:r w:rsidR="003A1917">
        <w:rPr>
          <w:kern w:val="0"/>
        </w:rPr>
        <w:t xml:space="preserve">the </w:t>
      </w:r>
      <w:r>
        <w:rPr>
          <w:kern w:val="0"/>
        </w:rPr>
        <w:t>Iranian chemometrics community, a list</w:t>
      </w:r>
      <w:r w:rsidR="00427468">
        <w:rPr>
          <w:kern w:val="0"/>
        </w:rPr>
        <w:t xml:space="preserve"> of </w:t>
      </w:r>
      <w:r w:rsidR="003A1917">
        <w:rPr>
          <w:kern w:val="0"/>
        </w:rPr>
        <w:t xml:space="preserve">the </w:t>
      </w:r>
      <w:r>
        <w:rPr>
          <w:kern w:val="0"/>
        </w:rPr>
        <w:t>publication</w:t>
      </w:r>
      <w:r w:rsidR="00427468">
        <w:rPr>
          <w:kern w:val="0"/>
        </w:rPr>
        <w:t xml:space="preserve"> of </w:t>
      </w:r>
      <w:r w:rsidR="003A1917">
        <w:rPr>
          <w:kern w:val="0"/>
        </w:rPr>
        <w:t xml:space="preserve">the </w:t>
      </w:r>
      <w:r>
        <w:rPr>
          <w:kern w:val="0"/>
        </w:rPr>
        <w:t>Iranian scientists in</w:t>
      </w:r>
      <w:r w:rsidR="003A1917">
        <w:rPr>
          <w:kern w:val="0"/>
        </w:rPr>
        <w:t xml:space="preserve"> the </w:t>
      </w:r>
      <w:r>
        <w:rPr>
          <w:kern w:val="0"/>
        </w:rPr>
        <w:t>chemometrics was collected from</w:t>
      </w:r>
      <w:r w:rsidR="003A1917">
        <w:rPr>
          <w:kern w:val="0"/>
        </w:rPr>
        <w:t xml:space="preserve"> 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 This article will review these publications to increase</w:t>
      </w:r>
      <w:r w:rsidR="003A1917">
        <w:rPr>
          <w:kern w:val="0"/>
        </w:rPr>
        <w:t xml:space="preserve"> the </w:t>
      </w:r>
      <w:r>
        <w:rPr>
          <w:kern w:val="0"/>
        </w:rPr>
        <w:t>awareness about</w:t>
      </w:r>
      <w:r w:rsidR="003A1917">
        <w:rPr>
          <w:kern w:val="0"/>
        </w:rPr>
        <w:t xml:space="preserve"> the </w:t>
      </w:r>
      <w:r>
        <w:rPr>
          <w:kern w:val="0"/>
        </w:rPr>
        <w:t>studies</w:t>
      </w:r>
      <w:r w:rsidR="00427468">
        <w:rPr>
          <w:kern w:val="0"/>
        </w:rPr>
        <w:t xml:space="preserve"> of </w:t>
      </w:r>
      <w:r>
        <w:rPr>
          <w:kern w:val="0"/>
        </w:rPr>
        <w:t>chemometrics in Iran. A rapid growth is observed in</w:t>
      </w:r>
      <w:r w:rsidR="003A1917">
        <w:rPr>
          <w:kern w:val="0"/>
        </w:rPr>
        <w:t xml:space="preserve"> the </w:t>
      </w:r>
      <w:r>
        <w:rPr>
          <w:kern w:val="0"/>
        </w:rPr>
        <w:t>chemometrics publication in Iran</w:t>
      </w:r>
      <w:r w:rsidR="005853A9">
        <w:rPr>
          <w:kern w:val="0"/>
        </w:rPr>
        <w:t xml:space="preserve"> and </w:t>
      </w:r>
      <w:r>
        <w:rPr>
          <w:kern w:val="0"/>
        </w:rPr>
        <w:t>up to June 2005, some 200 scientific papers have been published in this context, in all fields</w:t>
      </w:r>
      <w:r w:rsidR="00427468">
        <w:rPr>
          <w:kern w:val="0"/>
        </w:rPr>
        <w:t xml:space="preserve"> of </w:t>
      </w:r>
      <w:r>
        <w:rPr>
          <w:kern w:val="0"/>
        </w:rPr>
        <w:t>chemometrics. (c) 2005 Elsevier B.V. All rights reserved.</w:t>
      </w:r>
    </w:p>
    <w:p w:rsidR="00D764AD" w:rsidRDefault="00D764AD" w:rsidP="00D764AD">
      <w:pPr>
        <w:pStyle w:val="a3"/>
        <w:rPr>
          <w:kern w:val="0"/>
        </w:rPr>
      </w:pPr>
      <w:r>
        <w:rPr>
          <w:kern w:val="0"/>
        </w:rPr>
        <w:t>Keywords: Artificial Intelligence, Artificial Neural-Networks, Awareness, Calcium-Channel Blockers, Chemometrics, Chromogenic Mixed Reagents, Iran</w:t>
      </w:r>
      <w:r w:rsidR="00D5664A">
        <w:rPr>
          <w:kern w:val="0"/>
        </w:rPr>
        <w:t>, ISI,</w:t>
      </w:r>
      <w:r>
        <w:rPr>
          <w:kern w:val="0"/>
        </w:rPr>
        <w:t xml:space="preserve"> Multiple Linear-Regression, Multivariate Methods, Papers, Partial Least-Squares, Point Standard Addition, Principal Component Analysis, Principal Component Analysis, Publication, Publications, QSAR, QSPR, Review, Science, Simultaneous Kinetic Determination, Simultaneous Spectrophotometric Determination, Structure-Property Relationship, </w:t>
      </w:r>
      <w:r w:rsidR="00D5664A">
        <w:rPr>
          <w:kern w:val="0"/>
        </w:rPr>
        <w:t>Web</w:t>
      </w:r>
      <w:r w:rsidR="00427468">
        <w:rPr>
          <w:kern w:val="0"/>
        </w:rPr>
        <w:t xml:space="preserve"> of </w:t>
      </w:r>
      <w:r w:rsidR="00D5664A">
        <w:rPr>
          <w:kern w:val="0"/>
        </w:rPr>
        <w:t>Science</w:t>
      </w:r>
    </w:p>
    <w:p w:rsidR="000C0680" w:rsidRDefault="000C0680" w:rsidP="000C0680">
      <w:pPr>
        <w:pStyle w:val="a3"/>
        <w:rPr>
          <w:kern w:val="0"/>
        </w:rPr>
      </w:pPr>
      <w:r>
        <w:rPr>
          <w:rFonts w:hint="eastAsia"/>
          <w:kern w:val="0"/>
        </w:rPr>
        <w:t xml:space="preserve">? </w:t>
      </w:r>
      <w:r>
        <w:rPr>
          <w:kern w:val="0"/>
        </w:rPr>
        <w:t>Acar, E., Dunlavy, D.M., Kolda, T.G.</w:t>
      </w:r>
      <w:r w:rsidR="005853A9">
        <w:rPr>
          <w:kern w:val="0"/>
        </w:rPr>
        <w:t xml:space="preserve"> and </w:t>
      </w:r>
      <w:r>
        <w:rPr>
          <w:kern w:val="0"/>
        </w:rPr>
        <w:t xml:space="preserve">Morup, M. (2011), Scalable tensor factorizations for incomplete data. </w:t>
      </w:r>
      <w:r>
        <w:rPr>
          <w:i/>
          <w:iCs/>
          <w:kern w:val="0"/>
        </w:rPr>
        <w:t>Chemometrics</w:t>
      </w:r>
      <w:r w:rsidR="005853A9">
        <w:rPr>
          <w:i/>
          <w:iCs/>
          <w:kern w:val="0"/>
        </w:rPr>
        <w:t xml:space="preserve"> and </w:t>
      </w:r>
      <w:r>
        <w:rPr>
          <w:i/>
          <w:iCs/>
          <w:kern w:val="0"/>
        </w:rPr>
        <w:t>Intelligent Laboratory Systems</w:t>
      </w:r>
      <w:r>
        <w:rPr>
          <w:kern w:val="0"/>
        </w:rPr>
        <w:t xml:space="preserve">, </w:t>
      </w:r>
      <w:r>
        <w:rPr>
          <w:b/>
          <w:bCs/>
          <w:kern w:val="0"/>
        </w:rPr>
        <w:t>106</w:t>
      </w:r>
      <w:r>
        <w:rPr>
          <w:kern w:val="0"/>
        </w:rPr>
        <w:t xml:space="preserve"> (1), 41-56.</w:t>
      </w:r>
    </w:p>
    <w:p w:rsidR="000C0680" w:rsidRPr="00C73C58" w:rsidRDefault="000C0680" w:rsidP="000C0680">
      <w:pPr>
        <w:pStyle w:val="a3"/>
      </w:pPr>
      <w:r w:rsidRPr="00C73C58">
        <w:t xml:space="preserve">Full Text: </w:t>
      </w:r>
      <w:hyperlink r:id="rId187" w:history="1">
        <w:r w:rsidR="00BF4B62" w:rsidRPr="00BF4B62">
          <w:rPr>
            <w:rStyle w:val="a5"/>
          </w:rPr>
          <w:t>2011\Che Int Lab Sys106, 41.pdf</w:t>
        </w:r>
      </w:hyperlink>
    </w:p>
    <w:p w:rsidR="000C0680" w:rsidRDefault="000C0680" w:rsidP="000C0680">
      <w:pPr>
        <w:pStyle w:val="a3"/>
        <w:rPr>
          <w:kern w:val="0"/>
        </w:rPr>
      </w:pPr>
      <w:r>
        <w:rPr>
          <w:kern w:val="0"/>
        </w:rPr>
        <w:t>Abstract:</w:t>
      </w:r>
      <w:r w:rsidR="003A1917">
        <w:rPr>
          <w:kern w:val="0"/>
        </w:rPr>
        <w:t xml:space="preserve"> the </w:t>
      </w:r>
      <w:r>
        <w:rPr>
          <w:kern w:val="0"/>
        </w:rPr>
        <w:t>problem</w:t>
      </w:r>
      <w:r w:rsidR="00427468">
        <w:rPr>
          <w:kern w:val="0"/>
        </w:rPr>
        <w:t xml:space="preserve"> of </w:t>
      </w:r>
      <w:r>
        <w:rPr>
          <w:kern w:val="0"/>
        </w:rPr>
        <w:t>incomplete data - i.e., data with missing or unknown values - in multi-way arrays is ubiquitous in biomedical signal processing, network traffic analysis, bibliometrics, social network analysis, chemometrics, computer vision, communication networks, etc. We consider</w:t>
      </w:r>
      <w:r w:rsidR="003A1917">
        <w:rPr>
          <w:kern w:val="0"/>
        </w:rPr>
        <w:t xml:space="preserve"> the </w:t>
      </w:r>
      <w:r>
        <w:rPr>
          <w:kern w:val="0"/>
        </w:rPr>
        <w:t>problem</w:t>
      </w:r>
      <w:r w:rsidR="00427468">
        <w:rPr>
          <w:kern w:val="0"/>
        </w:rPr>
        <w:t xml:space="preserve"> of </w:t>
      </w:r>
      <w:r>
        <w:rPr>
          <w:kern w:val="0"/>
        </w:rPr>
        <w:t>how to factorize data sets with missing values with</w:t>
      </w:r>
      <w:r w:rsidR="003A1917">
        <w:rPr>
          <w:kern w:val="0"/>
        </w:rPr>
        <w:t xml:space="preserve"> the </w:t>
      </w:r>
      <w:r>
        <w:rPr>
          <w:kern w:val="0"/>
        </w:rPr>
        <w:t>goal</w:t>
      </w:r>
      <w:r w:rsidR="00427468">
        <w:rPr>
          <w:kern w:val="0"/>
        </w:rPr>
        <w:t xml:space="preserve"> of </w:t>
      </w:r>
      <w:r>
        <w:rPr>
          <w:kern w:val="0"/>
        </w:rPr>
        <w:t>capturing</w:t>
      </w:r>
      <w:r w:rsidR="003A1917">
        <w:rPr>
          <w:kern w:val="0"/>
        </w:rPr>
        <w:t xml:space="preserve"> the </w:t>
      </w:r>
      <w:r>
        <w:rPr>
          <w:kern w:val="0"/>
        </w:rPr>
        <w:t>underlying latent structure</w:t>
      </w:r>
      <w:r w:rsidR="00427468">
        <w:rPr>
          <w:kern w:val="0"/>
        </w:rPr>
        <w:t xml:space="preserve"> of </w:t>
      </w:r>
      <w:r w:rsidR="003A1917">
        <w:rPr>
          <w:kern w:val="0"/>
        </w:rPr>
        <w:t xml:space="preserve">the </w:t>
      </w:r>
      <w:r>
        <w:rPr>
          <w:kern w:val="0"/>
        </w:rPr>
        <w:t>data</w:t>
      </w:r>
      <w:r w:rsidR="005853A9">
        <w:rPr>
          <w:kern w:val="0"/>
        </w:rPr>
        <w:t xml:space="preserve"> and </w:t>
      </w:r>
      <w:r>
        <w:rPr>
          <w:kern w:val="0"/>
        </w:rPr>
        <w:t>possibly reconstructing missing values (i.e., tensor completion). We focus on one</w:t>
      </w:r>
      <w:r w:rsidR="00427468">
        <w:rPr>
          <w:kern w:val="0"/>
        </w:rPr>
        <w:t xml:space="preserve"> of </w:t>
      </w:r>
      <w:r w:rsidR="003A1917">
        <w:rPr>
          <w:kern w:val="0"/>
        </w:rPr>
        <w:t xml:space="preserve">the </w:t>
      </w:r>
      <w:r>
        <w:rPr>
          <w:kern w:val="0"/>
        </w:rPr>
        <w:t>most well-known tensor factorizations that captures multi-linear structure, CANDECOMP/PARAFAC (CP). In</w:t>
      </w:r>
      <w:r w:rsidR="003A1917">
        <w:rPr>
          <w:kern w:val="0"/>
        </w:rPr>
        <w:t xml:space="preserve"> the </w:t>
      </w:r>
      <w:r>
        <w:rPr>
          <w:kern w:val="0"/>
        </w:rPr>
        <w:t>presence</w:t>
      </w:r>
      <w:r w:rsidR="00427468">
        <w:rPr>
          <w:kern w:val="0"/>
        </w:rPr>
        <w:t xml:space="preserve"> of </w:t>
      </w:r>
      <w:r>
        <w:rPr>
          <w:kern w:val="0"/>
        </w:rPr>
        <w:t>missing data, CP can be formulated as a weighted least squares problem that models only</w:t>
      </w:r>
      <w:r w:rsidR="003A1917">
        <w:rPr>
          <w:kern w:val="0"/>
        </w:rPr>
        <w:t xml:space="preserve"> the </w:t>
      </w:r>
      <w:r>
        <w:rPr>
          <w:kern w:val="0"/>
        </w:rPr>
        <w:t>known entries. We develop an algorithm called CP-WOPT (CP Weighted OPTimization) that uses a first-order optimization approach to solve</w:t>
      </w:r>
      <w:r w:rsidR="003A1917">
        <w:rPr>
          <w:kern w:val="0"/>
        </w:rPr>
        <w:t xml:space="preserve"> the </w:t>
      </w:r>
      <w:r>
        <w:rPr>
          <w:kern w:val="0"/>
        </w:rPr>
        <w:t>weighted least squares problem. Based on extensive numerical experiments, our algorithm is shown to successfully factorize tensors with noise</w:t>
      </w:r>
      <w:r w:rsidR="005853A9">
        <w:rPr>
          <w:kern w:val="0"/>
        </w:rPr>
        <w:t xml:space="preserve"> and </w:t>
      </w:r>
      <w:r>
        <w:rPr>
          <w:kern w:val="0"/>
        </w:rPr>
        <w:t>up to 99% missing data. A unique aspect</w:t>
      </w:r>
      <w:r w:rsidR="00427468">
        <w:rPr>
          <w:kern w:val="0"/>
        </w:rPr>
        <w:t xml:space="preserve"> of </w:t>
      </w:r>
      <w:r>
        <w:rPr>
          <w:kern w:val="0"/>
        </w:rPr>
        <w:t>our approach is that it scales to sparse large-scale data, e.g., 1000 x 1000 x 1000 with five million known entries (0.5% dense). We further demonstrate</w:t>
      </w:r>
      <w:r w:rsidR="003A1917">
        <w:rPr>
          <w:kern w:val="0"/>
        </w:rPr>
        <w:t xml:space="preserve"> the </w:t>
      </w:r>
      <w:r>
        <w:rPr>
          <w:kern w:val="0"/>
        </w:rPr>
        <w:t>usefulness</w:t>
      </w:r>
      <w:r w:rsidR="00427468">
        <w:rPr>
          <w:kern w:val="0"/>
        </w:rPr>
        <w:t xml:space="preserve"> of </w:t>
      </w:r>
      <w:r>
        <w:rPr>
          <w:kern w:val="0"/>
        </w:rPr>
        <w:t xml:space="preserve">CP-WOPT on two real-world applications: a novel EEG </w:t>
      </w:r>
      <w:r>
        <w:rPr>
          <w:kern w:val="0"/>
        </w:rPr>
        <w:lastRenderedPageBreak/>
        <w:t>(electroencephalogram) application where missing data is frequently encountered due to disconnections</w:t>
      </w:r>
      <w:r w:rsidR="00427468">
        <w:rPr>
          <w:kern w:val="0"/>
        </w:rPr>
        <w:t xml:space="preserve"> of </w:t>
      </w:r>
      <w:r>
        <w:rPr>
          <w:kern w:val="0"/>
        </w:rPr>
        <w:t>electrodes</w:t>
      </w:r>
      <w:r w:rsidR="005853A9">
        <w:rPr>
          <w:kern w:val="0"/>
        </w:rPr>
        <w:t xml:space="preserve"> and </w:t>
      </w:r>
      <w:r w:rsidR="003A1917">
        <w:rPr>
          <w:kern w:val="0"/>
        </w:rPr>
        <w:t xml:space="preserve">the </w:t>
      </w:r>
      <w:r>
        <w:rPr>
          <w:kern w:val="0"/>
        </w:rPr>
        <w:t>problem</w:t>
      </w:r>
      <w:r w:rsidR="00427468">
        <w:rPr>
          <w:kern w:val="0"/>
        </w:rPr>
        <w:t xml:space="preserve"> of </w:t>
      </w:r>
      <w:r>
        <w:rPr>
          <w:kern w:val="0"/>
        </w:rPr>
        <w:t>modeling computer network traffic where data may be absent due to</w:t>
      </w:r>
      <w:r w:rsidR="003A1917">
        <w:rPr>
          <w:kern w:val="0"/>
        </w:rPr>
        <w:t xml:space="preserve"> the </w:t>
      </w:r>
      <w:r>
        <w:rPr>
          <w:kern w:val="0"/>
        </w:rPr>
        <w:t>expense</w:t>
      </w:r>
      <w:r w:rsidR="00427468">
        <w:rPr>
          <w:kern w:val="0"/>
        </w:rPr>
        <w:t xml:space="preserve"> of </w:t>
      </w:r>
      <w:r w:rsidR="003A1917">
        <w:rPr>
          <w:kern w:val="0"/>
        </w:rPr>
        <w:t xml:space="preserve">the </w:t>
      </w:r>
      <w:r>
        <w:rPr>
          <w:kern w:val="0"/>
        </w:rPr>
        <w:t>data collection process. (C) 2010 Elsevier B.V. All rights reserved.</w:t>
      </w:r>
    </w:p>
    <w:p w:rsidR="000C0680" w:rsidRDefault="000C0680" w:rsidP="000C0680">
      <w:pPr>
        <w:pStyle w:val="a3"/>
        <w:rPr>
          <w:kern w:val="0"/>
        </w:rPr>
      </w:pPr>
      <w:r>
        <w:rPr>
          <w:kern w:val="0"/>
        </w:rPr>
        <w:t>Keywords: Algorithm, Analysis, Application, Approach, Bibliometrics, Biomedical, Candecomp, Chemometrics, Collection, Communication, Data, Data Collection, Decompositions, Eeg, Experiments, First Order, Incomplete Data, Least-Squares, Mar, Matlab, Matrices, Missing Data, Modeling, Models, Multiway Analysis, Network, Network Analysis, Networks, Noise, Optimization, Parafac, Rank, Rights, Scales, SI, Social, Social Network Analysis, Structure, Tensor Factorization, Toolbox, Traffic</w:t>
      </w:r>
    </w:p>
    <w:p w:rsidR="00074DF9" w:rsidRDefault="00074DF9" w:rsidP="00074DF9">
      <w:pPr>
        <w:pStyle w:val="a3"/>
        <w:rPr>
          <w:kern w:val="0"/>
        </w:rPr>
      </w:pPr>
      <w:r>
        <w:rPr>
          <w:rFonts w:hint="eastAsia"/>
          <w:kern w:val="0"/>
        </w:rPr>
        <w:t xml:space="preserve">? </w:t>
      </w:r>
      <w:r>
        <w:t>Amigo, J</w:t>
      </w:r>
      <w:r>
        <w:rPr>
          <w:rFonts w:hint="eastAsia"/>
        </w:rPr>
        <w:t>.</w:t>
      </w:r>
      <w:r>
        <w:t>M</w:t>
      </w:r>
      <w:r>
        <w:rPr>
          <w:rFonts w:hint="eastAsia"/>
        </w:rPr>
        <w:t>.,</w:t>
      </w:r>
      <w:r>
        <w:t xml:space="preserve"> Gredilla, A</w:t>
      </w:r>
      <w:r>
        <w:rPr>
          <w:rFonts w:hint="eastAsia"/>
        </w:rPr>
        <w:t>.,</w:t>
      </w:r>
      <w:r>
        <w:t xml:space="preserve"> de Vallejuelo, S</w:t>
      </w:r>
      <w:r>
        <w:rPr>
          <w:rFonts w:hint="eastAsia"/>
        </w:rPr>
        <w:t>.</w:t>
      </w:r>
      <w:r>
        <w:t>F</w:t>
      </w:r>
      <w:r>
        <w:rPr>
          <w:rFonts w:hint="eastAsia"/>
        </w:rPr>
        <w:t>.</w:t>
      </w:r>
      <w:r>
        <w:t>O</w:t>
      </w:r>
      <w:r>
        <w:rPr>
          <w:rFonts w:hint="eastAsia"/>
        </w:rPr>
        <w:t>.,</w:t>
      </w:r>
      <w:r>
        <w:t xml:space="preserve"> de Diego, A</w:t>
      </w:r>
      <w:r>
        <w:rPr>
          <w:rFonts w:hint="eastAsia"/>
        </w:rPr>
        <w:t>.</w:t>
      </w:r>
      <w:r w:rsidR="005853A9">
        <w:rPr>
          <w:rFonts w:hint="eastAsia"/>
        </w:rPr>
        <w:t xml:space="preserve"> and </w:t>
      </w:r>
      <w:r>
        <w:t>Madariaga, J</w:t>
      </w:r>
      <w:r>
        <w:rPr>
          <w:rFonts w:hint="eastAsia"/>
        </w:rPr>
        <w:t>.</w:t>
      </w:r>
      <w:r>
        <w:t>M</w:t>
      </w:r>
      <w:r>
        <w:rPr>
          <w:rFonts w:hint="eastAsia"/>
        </w:rPr>
        <w:t>.</w:t>
      </w:r>
      <w:r>
        <w:rPr>
          <w:kern w:val="0"/>
        </w:rPr>
        <w:t xml:space="preserve"> (201</w:t>
      </w:r>
      <w:r>
        <w:rPr>
          <w:rFonts w:hint="eastAsia"/>
          <w:kern w:val="0"/>
        </w:rPr>
        <w:t>2</w:t>
      </w:r>
      <w:r>
        <w:rPr>
          <w:kern w:val="0"/>
        </w:rPr>
        <w:t xml:space="preserve">), </w:t>
      </w:r>
      <w:r>
        <w:t>Study</w:t>
      </w:r>
      <w:r w:rsidR="00427468">
        <w:t xml:space="preserve"> of </w:t>
      </w:r>
      <w:r>
        <w:t>parameters affecting the behaviour</w:t>
      </w:r>
      <w:r w:rsidR="00427468">
        <w:t xml:space="preserve"> of </w:t>
      </w:r>
      <w:r>
        <w:t>trace elements in a polluted estuary. Canonical correlation analysis as a tool in environmental impact assessment</w:t>
      </w:r>
      <w:r>
        <w:rPr>
          <w:kern w:val="0"/>
        </w:rPr>
        <w:t xml:space="preserve">. </w:t>
      </w:r>
      <w:r>
        <w:rPr>
          <w:i/>
          <w:iCs/>
          <w:kern w:val="0"/>
        </w:rPr>
        <w:t>Chemometrics</w:t>
      </w:r>
      <w:r w:rsidR="005853A9">
        <w:rPr>
          <w:i/>
          <w:iCs/>
          <w:kern w:val="0"/>
        </w:rPr>
        <w:t xml:space="preserve"> and </w:t>
      </w:r>
      <w:r>
        <w:rPr>
          <w:i/>
          <w:iCs/>
          <w:kern w:val="0"/>
        </w:rPr>
        <w:t>Intelligent Laboratory Systems</w:t>
      </w:r>
      <w:r>
        <w:rPr>
          <w:kern w:val="0"/>
        </w:rPr>
        <w:t xml:space="preserve">, </w:t>
      </w:r>
      <w:r>
        <w:rPr>
          <w:b/>
          <w:bCs/>
          <w:kern w:val="0"/>
        </w:rPr>
        <w:t>1</w:t>
      </w:r>
      <w:r>
        <w:rPr>
          <w:rFonts w:hint="eastAsia"/>
          <w:b/>
          <w:bCs/>
          <w:kern w:val="0"/>
        </w:rPr>
        <w:t>19</w:t>
      </w:r>
      <w:r>
        <w:rPr>
          <w:kern w:val="0"/>
        </w:rPr>
        <w:t xml:space="preserve"> (1), </w:t>
      </w:r>
      <w:r>
        <w:t>1-10</w:t>
      </w:r>
      <w:r>
        <w:rPr>
          <w:kern w:val="0"/>
        </w:rPr>
        <w:t>.</w:t>
      </w:r>
    </w:p>
    <w:p w:rsidR="00074DF9" w:rsidRDefault="00074DF9" w:rsidP="00C304B9">
      <w:pPr>
        <w:pStyle w:val="a3"/>
        <w:jc w:val="left"/>
      </w:pPr>
      <w:r w:rsidRPr="00C73C58">
        <w:t xml:space="preserve">Full Text: </w:t>
      </w:r>
      <w:hyperlink r:id="rId188" w:history="1">
        <w:r w:rsidR="00C304B9" w:rsidRPr="00C304B9">
          <w:rPr>
            <w:rStyle w:val="a5"/>
          </w:rPr>
          <w:t>2012\Che Int Lab Sys119, 1.pdf</w:t>
        </w:r>
      </w:hyperlink>
    </w:p>
    <w:p w:rsidR="00074DF9" w:rsidRDefault="00074DF9" w:rsidP="00074DF9">
      <w:pPr>
        <w:pStyle w:val="a3"/>
      </w:pPr>
      <w:r>
        <w:t>Abstract: Understanding metal behaviour in estuaries is a difficult task. It involves highly dynamic systems continuously subjected to fast changes in environmental conditions governed by alternating physico-chemical parameters</w:t>
      </w:r>
      <w:r w:rsidR="005853A9">
        <w:t xml:space="preserve"> and </w:t>
      </w:r>
      <w:r>
        <w:t>human activity. In order to distinguish the most important environmental factors that determine the behaviour</w:t>
      </w:r>
      <w:r w:rsidR="00427468">
        <w:t xml:space="preserve"> of </w:t>
      </w:r>
      <w:r>
        <w:t>trace elements in a polluted estuary, water (superficial</w:t>
      </w:r>
      <w:r w:rsidR="005853A9">
        <w:t xml:space="preserve"> and </w:t>
      </w:r>
      <w:r>
        <w:t>deep, at low</w:t>
      </w:r>
      <w:r w:rsidR="005853A9">
        <w:t xml:space="preserve"> and </w:t>
      </w:r>
      <w:r>
        <w:t>high tides)</w:t>
      </w:r>
      <w:r w:rsidR="005853A9">
        <w:t xml:space="preserve"> and </w:t>
      </w:r>
      <w:r>
        <w:t>sediment samples were collected along the Nerbioi-Ibaizabal River estuary (Basque Country, Spain) every three months for six years</w:t>
      </w:r>
      <w:r w:rsidR="00A37C1D">
        <w:t>. The</w:t>
      </w:r>
      <w:r>
        <w:t xml:space="preserve"> environmental dataset consisted on the concentration</w:t>
      </w:r>
      <w:r w:rsidR="00427468">
        <w:t xml:space="preserve"> of </w:t>
      </w:r>
      <w:r>
        <w:t>trace elements (Al, As, Cd, Co, Cu, Cr, Fe, Mg, Mn, Ni, Pb, Sn, V</w:t>
      </w:r>
      <w:r w:rsidR="005853A9">
        <w:t xml:space="preserve"> and </w:t>
      </w:r>
      <w:r>
        <w:t>Zn in sediment samples</w:t>
      </w:r>
      <w:r w:rsidR="005853A9">
        <w:t xml:space="preserve"> and </w:t>
      </w:r>
      <w:r>
        <w:t>eight</w:t>
      </w:r>
      <w:r w:rsidR="00427468">
        <w:t xml:space="preserve"> of </w:t>
      </w:r>
      <w:r>
        <w:t>them in water samples)</w:t>
      </w:r>
      <w:r w:rsidR="005853A9">
        <w:t xml:space="preserve"> and </w:t>
      </w:r>
      <w:r>
        <w:t>physico-chemical properties (temperature, redox potential, dissolved oxygen percentage, conductivity, pH for water samples</w:t>
      </w:r>
      <w:r w:rsidR="005853A9">
        <w:t xml:space="preserve"> and </w:t>
      </w:r>
      <w:r>
        <w:t>also the content</w:t>
      </w:r>
      <w:r w:rsidR="00427468">
        <w:t xml:space="preserve"> of </w:t>
      </w:r>
      <w:r>
        <w:t>carbonates, total organic carbon (TOC), humic acids (HA)</w:t>
      </w:r>
      <w:r w:rsidR="005853A9">
        <w:t xml:space="preserve"> and </w:t>
      </w:r>
      <w:r>
        <w:t>fulvic acids (FA) in sediment samples)</w:t>
      </w:r>
      <w:r w:rsidR="00A37C1D">
        <w:t>. The</w:t>
      </w:r>
      <w:r>
        <w:t xml:space="preserve"> study</w:t>
      </w:r>
      <w:r w:rsidR="00427468">
        <w:t xml:space="preserve"> of </w:t>
      </w:r>
      <w:r>
        <w:t>these datasets with canonical correlation analysis revealed the existence</w:t>
      </w:r>
      <w:r w:rsidR="00427468">
        <w:t xml:space="preserve"> of </w:t>
      </w:r>
      <w:r>
        <w:t>a strong link between different physico-chemical properties</w:t>
      </w:r>
      <w:r w:rsidR="005853A9">
        <w:t xml:space="preserve"> and </w:t>
      </w:r>
      <w:r>
        <w:t>the concentration</w:t>
      </w:r>
      <w:r w:rsidR="00427468">
        <w:t xml:space="preserve"> of </w:t>
      </w:r>
      <w:r>
        <w:t>certain metals in the estuary. In sediments, for example, strong correlations were found between the carbonate content</w:t>
      </w:r>
      <w:r w:rsidR="005853A9">
        <w:t xml:space="preserve"> and </w:t>
      </w:r>
      <w:r>
        <w:t>some</w:t>
      </w:r>
      <w:r w:rsidR="00427468">
        <w:t xml:space="preserve"> of </w:t>
      </w:r>
      <w:r>
        <w:t>the studied trace elements. In the water, on the other hand, evident relationships were found between the salinity</w:t>
      </w:r>
      <w:r w:rsidR="005853A9">
        <w:t xml:space="preserve"> and </w:t>
      </w:r>
      <w:r>
        <w:t>the pollutants. (C) 2012 Elsevier B.V. All rights reserved.</w:t>
      </w:r>
    </w:p>
    <w:p w:rsidR="00074DF9" w:rsidRPr="00C73C58" w:rsidRDefault="00074DF9" w:rsidP="00074DF9">
      <w:pPr>
        <w:pStyle w:val="a3"/>
      </w:pPr>
      <w:r>
        <w:t>Keywords: Canonical Correlations, Environmental Pollution, Estuary, Metals, Sediments, Nerbioi-Ibaizabal River, Water-Quality, Basque Country, Bilbao Estuary, Pattern-Recognition, Scheldt Estuary, Organic-Matter, Northern Spain, Heavy-Metals, Sediments</w:t>
      </w:r>
    </w:p>
    <w:p w:rsidR="00E84364" w:rsidRPr="001A3D2B" w:rsidRDefault="00E84364" w:rsidP="00E84364">
      <w:pPr>
        <w:pStyle w:val="1"/>
      </w:pPr>
      <w:r w:rsidRPr="001A3D2B">
        <w:lastRenderedPageBreak/>
        <w:br w:type="page"/>
      </w:r>
      <w:bookmarkStart w:id="170" w:name="_Toc420814950"/>
      <w:r w:rsidRPr="001A3D2B">
        <w:lastRenderedPageBreak/>
        <w:t xml:space="preserve">Title: </w:t>
      </w:r>
      <w:r w:rsidRPr="001A3D2B">
        <w:rPr>
          <w:iCs w:val="0"/>
        </w:rPr>
        <w:t>Chemphyschem</w:t>
      </w:r>
      <w:bookmarkEnd w:id="170"/>
    </w:p>
    <w:p w:rsidR="00E84364" w:rsidRPr="001A3D2B" w:rsidRDefault="00E84364" w:rsidP="00E84364">
      <w:pPr>
        <w:pStyle w:val="12"/>
      </w:pPr>
      <w:r w:rsidRPr="001A3D2B">
        <w:t xml:space="preserve">Full Journal Title: </w:t>
      </w:r>
      <w:hyperlink r:id="rId189" w:history="1">
        <w:r w:rsidRPr="001A3D2B">
          <w:rPr>
            <w:rStyle w:val="a5"/>
          </w:rPr>
          <w:t>Chemphyschem</w:t>
        </w:r>
      </w:hyperlink>
    </w:p>
    <w:p w:rsidR="00E84364" w:rsidRPr="001A3D2B" w:rsidRDefault="00E84364" w:rsidP="00E84364">
      <w:pPr>
        <w:pStyle w:val="12"/>
      </w:pPr>
      <w:r w:rsidRPr="001A3D2B">
        <w:t xml:space="preserve">ISO Abbreviated Title: </w:t>
      </w:r>
      <w:r w:rsidRPr="001A3D2B">
        <w:rPr>
          <w:szCs w:val="19"/>
        </w:rPr>
        <w:t>Chemphyschem</w:t>
      </w:r>
    </w:p>
    <w:p w:rsidR="00E84364" w:rsidRPr="001A3D2B" w:rsidRDefault="00E84364" w:rsidP="00E84364">
      <w:pPr>
        <w:pStyle w:val="12"/>
      </w:pPr>
      <w:r w:rsidRPr="001A3D2B">
        <w:t xml:space="preserve">JCR Abbreviated Title: </w:t>
      </w:r>
      <w:r w:rsidRPr="001A3D2B">
        <w:rPr>
          <w:szCs w:val="19"/>
        </w:rPr>
        <w:t>Chemphyschem</w:t>
      </w:r>
    </w:p>
    <w:p w:rsidR="00E84364" w:rsidRPr="001A3D2B" w:rsidRDefault="00E84364" w:rsidP="00E84364">
      <w:pPr>
        <w:pStyle w:val="12"/>
      </w:pPr>
      <w:r w:rsidRPr="001A3D2B">
        <w:t>ISSN: 1439-4235</w:t>
      </w:r>
    </w:p>
    <w:p w:rsidR="00E84364" w:rsidRPr="001A3D2B" w:rsidRDefault="00E84364" w:rsidP="00E84364">
      <w:pPr>
        <w:pStyle w:val="12"/>
      </w:pPr>
      <w:r w:rsidRPr="001A3D2B">
        <w:t xml:space="preserve">Issues/Year: </w:t>
      </w:r>
    </w:p>
    <w:p w:rsidR="00E84364" w:rsidRPr="001A3D2B" w:rsidRDefault="00E84364" w:rsidP="00E84364">
      <w:pPr>
        <w:pStyle w:val="12"/>
      </w:pPr>
      <w:r w:rsidRPr="001A3D2B">
        <w:t xml:space="preserve">Journal Country/Territory: </w:t>
      </w:r>
    </w:p>
    <w:p w:rsidR="00E84364" w:rsidRPr="001A3D2B" w:rsidRDefault="00E84364" w:rsidP="00E84364">
      <w:pPr>
        <w:pStyle w:val="12"/>
      </w:pPr>
      <w:r w:rsidRPr="001A3D2B">
        <w:t xml:space="preserve">Language: </w:t>
      </w:r>
    </w:p>
    <w:p w:rsidR="00E84364" w:rsidRPr="001A3D2B" w:rsidRDefault="00E84364" w:rsidP="00E84364">
      <w:pPr>
        <w:pStyle w:val="12"/>
      </w:pPr>
      <w:r w:rsidRPr="001A3D2B">
        <w:t xml:space="preserve">Publisher: </w:t>
      </w:r>
    </w:p>
    <w:p w:rsidR="00E84364" w:rsidRPr="001A3D2B" w:rsidRDefault="00E84364" w:rsidP="00E84364">
      <w:pPr>
        <w:pStyle w:val="12"/>
      </w:pPr>
      <w:r w:rsidRPr="001A3D2B">
        <w:t xml:space="preserve">Publisher Address: </w:t>
      </w:r>
    </w:p>
    <w:p w:rsidR="00E84364" w:rsidRPr="001A3D2B" w:rsidRDefault="00E84364" w:rsidP="00E84364">
      <w:pPr>
        <w:pStyle w:val="12"/>
      </w:pPr>
      <w:r w:rsidRPr="001A3D2B">
        <w:t xml:space="preserve">Subject Categories: </w:t>
      </w:r>
    </w:p>
    <w:p w:rsidR="00E84364" w:rsidRPr="001A3D2B" w:rsidRDefault="00E84364" w:rsidP="00E84364">
      <w:pPr>
        <w:pStyle w:val="12"/>
      </w:pPr>
      <w:r w:rsidRPr="001A3D2B">
        <w:t xml:space="preserve">: Impact Factor </w:t>
      </w:r>
    </w:p>
    <w:p w:rsidR="00E84364" w:rsidRPr="001A3D2B" w:rsidRDefault="00E84364" w:rsidP="00E84364">
      <w:pPr>
        <w:pStyle w:val="a3"/>
        <w:rPr>
          <w:kern w:val="0"/>
        </w:rPr>
      </w:pPr>
      <w:r w:rsidRPr="001A3D2B">
        <w:rPr>
          <w:kern w:val="0"/>
        </w:rPr>
        <w:t>? Stock, W.G. (2009</w:t>
      </w:r>
      <w:r w:rsidR="00F42EAC">
        <w:rPr>
          <w:kern w:val="0"/>
        </w:rPr>
        <w:t>), The</w:t>
      </w:r>
      <w:r w:rsidR="003A1917">
        <w:rPr>
          <w:kern w:val="0"/>
        </w:rPr>
        <w:t xml:space="preserve"> </w:t>
      </w:r>
      <w:r w:rsidRPr="001A3D2B">
        <w:rPr>
          <w:kern w:val="0"/>
        </w:rPr>
        <w:t>inflation</w:t>
      </w:r>
      <w:r w:rsidR="00427468">
        <w:rPr>
          <w:kern w:val="0"/>
        </w:rPr>
        <w:t xml:space="preserve"> of </w:t>
      </w:r>
      <w:r w:rsidRPr="001A3D2B">
        <w:rPr>
          <w:kern w:val="0"/>
        </w:rPr>
        <w:t>impact factors</w:t>
      </w:r>
      <w:r w:rsidR="00427468">
        <w:rPr>
          <w:kern w:val="0"/>
        </w:rPr>
        <w:t xml:space="preserve"> of </w:t>
      </w:r>
      <w:r w:rsidRPr="001A3D2B">
        <w:rPr>
          <w:kern w:val="0"/>
        </w:rPr>
        <w:t xml:space="preserve">scientific journals. </w:t>
      </w:r>
      <w:r w:rsidRPr="001A3D2B">
        <w:rPr>
          <w:i/>
          <w:iCs/>
          <w:kern w:val="0"/>
        </w:rPr>
        <w:t>Chemphyschem</w:t>
      </w:r>
      <w:r w:rsidRPr="001A3D2B">
        <w:rPr>
          <w:kern w:val="0"/>
        </w:rPr>
        <w:t xml:space="preserve">, </w:t>
      </w:r>
      <w:r w:rsidRPr="001A3D2B">
        <w:rPr>
          <w:b/>
          <w:bCs/>
          <w:kern w:val="0"/>
        </w:rPr>
        <w:t>10</w:t>
      </w:r>
      <w:r w:rsidRPr="001A3D2B">
        <w:rPr>
          <w:kern w:val="0"/>
        </w:rPr>
        <w:t xml:space="preserve"> (13), 2193-2196.</w:t>
      </w:r>
    </w:p>
    <w:p w:rsidR="008905F1" w:rsidRPr="00C73C58" w:rsidRDefault="008905F1" w:rsidP="008905F1">
      <w:pPr>
        <w:pStyle w:val="a3"/>
      </w:pPr>
      <w:r w:rsidRPr="00C73C58">
        <w:t xml:space="preserve">Full Text: </w:t>
      </w:r>
      <w:hyperlink r:id="rId190" w:history="1">
        <w:r w:rsidRPr="001C54CB">
          <w:rPr>
            <w:rStyle w:val="a5"/>
          </w:rPr>
          <w:t>2009\Chemphyschem10, 2193.pdf</w:t>
        </w:r>
      </w:hyperlink>
    </w:p>
    <w:p w:rsidR="00E84364" w:rsidRPr="001A3D2B" w:rsidRDefault="00E84364" w:rsidP="00E84364">
      <w:pPr>
        <w:pStyle w:val="a3"/>
        <w:rPr>
          <w:kern w:val="0"/>
        </w:rPr>
      </w:pPr>
      <w:r w:rsidRPr="001A3D2B">
        <w:rPr>
          <w:kern w:val="0"/>
        </w:rPr>
        <w:t>Keywords: Citation Analysis, Citations, Economics Journals, History, Impact Factor, Journal Impact, LIS Journals, Rank, Relative Impacts, Relevance, Scientific Journal, Scientometrics</w:t>
      </w:r>
    </w:p>
    <w:p w:rsidR="003474F2" w:rsidRPr="001A3D2B" w:rsidRDefault="003474F2" w:rsidP="003474F2">
      <w:pPr>
        <w:pStyle w:val="1"/>
      </w:pPr>
      <w:r w:rsidRPr="001A3D2B">
        <w:br w:type="page"/>
      </w:r>
      <w:bookmarkStart w:id="171" w:name="_Toc420814951"/>
      <w:r w:rsidRPr="001A3D2B">
        <w:lastRenderedPageBreak/>
        <w:t>Title: Chest</w:t>
      </w:r>
      <w:bookmarkEnd w:id="171"/>
    </w:p>
    <w:p w:rsidR="003474F2" w:rsidRPr="001A3D2B" w:rsidRDefault="003474F2" w:rsidP="003474F2">
      <w:pPr>
        <w:pStyle w:val="12"/>
      </w:pPr>
      <w:r w:rsidRPr="001A3D2B">
        <w:t xml:space="preserve">Full Journal Title: </w:t>
      </w:r>
      <w:hyperlink r:id="rId191" w:history="1">
        <w:r w:rsidRPr="001A3D2B">
          <w:rPr>
            <w:rStyle w:val="a5"/>
            <w:iCs/>
          </w:rPr>
          <w:t>Chest</w:t>
        </w:r>
      </w:hyperlink>
    </w:p>
    <w:p w:rsidR="003474F2" w:rsidRPr="001A3D2B" w:rsidRDefault="003474F2" w:rsidP="003474F2">
      <w:pPr>
        <w:pStyle w:val="12"/>
      </w:pPr>
      <w:r w:rsidRPr="001A3D2B">
        <w:t xml:space="preserve">ISO Abbreviated Title: </w:t>
      </w:r>
      <w:r w:rsidR="004E4DB6" w:rsidRPr="001A3D2B">
        <w:t>Chest</w:t>
      </w:r>
    </w:p>
    <w:p w:rsidR="003474F2" w:rsidRPr="001A3D2B" w:rsidRDefault="003474F2" w:rsidP="003474F2">
      <w:pPr>
        <w:pStyle w:val="12"/>
      </w:pPr>
      <w:r w:rsidRPr="001A3D2B">
        <w:t xml:space="preserve">JCR Abbreviated Title: </w:t>
      </w:r>
      <w:r w:rsidR="004E4DB6" w:rsidRPr="001A3D2B">
        <w:t>Chest</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C54793" w:rsidRPr="001A3D2B" w:rsidRDefault="00C54793" w:rsidP="003474F2">
      <w:pPr>
        <w:pStyle w:val="a3"/>
      </w:pPr>
      <w:r w:rsidRPr="001A3D2B">
        <w:t>Notes: FField</w:t>
      </w:r>
    </w:p>
    <w:p w:rsidR="003474F2" w:rsidRPr="001A3D2B" w:rsidRDefault="003474F2" w:rsidP="003474F2">
      <w:pPr>
        <w:pStyle w:val="a3"/>
      </w:pPr>
      <w:r w:rsidRPr="001A3D2B">
        <w:t>Michalopoulos, A.</w:t>
      </w:r>
      <w:r w:rsidR="005853A9">
        <w:t xml:space="preserve"> and </w:t>
      </w:r>
      <w:r w:rsidRPr="001A3D2B">
        <w:t xml:space="preserve">Falagas, </w:t>
      </w:r>
      <w:smartTag w:uri="urn:schemas-microsoft-com:office:smarttags" w:element="State">
        <w:r w:rsidRPr="001A3D2B">
          <w:t>M.E.</w:t>
        </w:r>
      </w:smartTag>
      <w:r w:rsidRPr="001A3D2B">
        <w:t xml:space="preserve"> (2005), A bibliometric analysis</w:t>
      </w:r>
      <w:r w:rsidR="00427468">
        <w:t xml:space="preserve"> of </w:t>
      </w:r>
      <w:r w:rsidRPr="001A3D2B">
        <w:t xml:space="preserve">global research production in respiratory medicine. </w:t>
      </w:r>
      <w:r w:rsidRPr="001A3D2B">
        <w:rPr>
          <w:i/>
          <w:iCs/>
        </w:rPr>
        <w:t>Chest</w:t>
      </w:r>
      <w:r w:rsidRPr="001A3D2B">
        <w:t xml:space="preserve">, </w:t>
      </w:r>
      <w:r w:rsidRPr="001A3D2B">
        <w:rPr>
          <w:b/>
          <w:bCs/>
        </w:rPr>
        <w:t>128</w:t>
      </w:r>
      <w:r w:rsidRPr="001A3D2B">
        <w:t xml:space="preserve"> (6), 3993-3998.</w:t>
      </w:r>
    </w:p>
    <w:p w:rsidR="003474F2" w:rsidRPr="001A3D2B" w:rsidRDefault="003474F2" w:rsidP="003474F2">
      <w:pPr>
        <w:pStyle w:val="a3"/>
      </w:pPr>
      <w:r w:rsidRPr="001A3D2B">
        <w:t xml:space="preserve">Full Text: </w:t>
      </w:r>
      <w:hyperlink r:id="rId192" w:history="1">
        <w:r w:rsidRPr="001A3D2B">
          <w:rPr>
            <w:rStyle w:val="a5"/>
          </w:rPr>
          <w:t>2005\Chest128, 3993.pdf</w:t>
        </w:r>
      </w:hyperlink>
    </w:p>
    <w:p w:rsidR="003474F2" w:rsidRPr="001A3D2B" w:rsidRDefault="003474F2" w:rsidP="003474F2">
      <w:pPr>
        <w:pStyle w:val="a3"/>
      </w:pPr>
      <w:r w:rsidRPr="001A3D2B">
        <w:t>Abstract: Study objectives: To evaluate</w:t>
      </w:r>
      <w:r w:rsidR="003A1917">
        <w:t xml:space="preserve"> the </w:t>
      </w:r>
      <w:r w:rsidRPr="001A3D2B">
        <w:t>contribution</w:t>
      </w:r>
      <w:r w:rsidR="00427468">
        <w:t xml:space="preserve"> of </w:t>
      </w:r>
      <w:r w:rsidRPr="001A3D2B">
        <w:t>different world regions in respiratory research productivity. Methods:</w:t>
      </w:r>
      <w:r w:rsidR="003A1917">
        <w:t xml:space="preserve"> the </w:t>
      </w:r>
      <w:r w:rsidRPr="001A3D2B">
        <w:t>world was divided into nine regions based on a combination</w:t>
      </w:r>
      <w:r w:rsidR="00427468">
        <w:t xml:space="preserve"> of </w:t>
      </w:r>
      <w:r w:rsidRPr="001A3D2B">
        <w:t>geographic, economic,</w:t>
      </w:r>
      <w:r w:rsidR="005853A9">
        <w:t xml:space="preserve"> and </w:t>
      </w:r>
      <w:r w:rsidRPr="001A3D2B">
        <w:t>scientific criteria. Using</w:t>
      </w:r>
      <w:r w:rsidR="003A1917">
        <w:t xml:space="preserve"> the </w:t>
      </w:r>
      <w:r w:rsidR="002C12F0">
        <w:t>PUBMED</w:t>
      </w:r>
      <w:r w:rsidRPr="001A3D2B">
        <w:t xml:space="preserve"> database, we retrieved information about</w:t>
      </w:r>
      <w:r w:rsidR="003A1917">
        <w:t xml:space="preserve"> the </w:t>
      </w:r>
      <w:r w:rsidRPr="001A3D2B">
        <w:t>origin</w:t>
      </w:r>
      <w:r w:rsidR="00427468">
        <w:t xml:space="preserve"> of </w:t>
      </w:r>
      <w:r w:rsidRPr="001A3D2B">
        <w:t>articles from 30 journals included in</w:t>
      </w:r>
      <w:r w:rsidR="003A1917">
        <w:t xml:space="preserve"> the </w:t>
      </w:r>
      <w:r w:rsidRPr="001A3D2B">
        <w:t>Respiratory System category</w:t>
      </w:r>
      <w:r w:rsidR="00427468">
        <w:t xml:space="preserve"> of </w:t>
      </w:r>
      <w:r w:rsidR="003A1917">
        <w:t xml:space="preserve">the </w:t>
      </w:r>
      <w:r w:rsidRPr="001A3D2B">
        <w:t>journal Citation Reports database for a 9-year period (1995 to 2003). We estimated</w:t>
      </w:r>
      <w:r w:rsidR="003A1917">
        <w:t xml:space="preserve"> the </w:t>
      </w:r>
      <w:r w:rsidRPr="001A3D2B">
        <w:t>total number</w:t>
      </w:r>
      <w:r w:rsidR="00427468">
        <w:t xml:space="preserve"> of </w:t>
      </w:r>
      <w:r w:rsidRPr="001A3D2B">
        <w:t>publications, their mean impact factor,</w:t>
      </w:r>
      <w:r w:rsidR="003A1917">
        <w:t xml:space="preserve"> the </w:t>
      </w:r>
      <w:r w:rsidRPr="001A3D2B">
        <w:t>product</w:t>
      </w:r>
      <w:r w:rsidR="00427468">
        <w:t xml:space="preserve"> of </w:t>
      </w:r>
      <w:r w:rsidRPr="001A3D2B">
        <w:t>these two parameters,</w:t>
      </w:r>
      <w:r w:rsidR="005853A9">
        <w:t xml:space="preserve"> and </w:t>
      </w:r>
      <w:r w:rsidR="003A1917">
        <w:t xml:space="preserve">the </w:t>
      </w:r>
      <w:r w:rsidRPr="001A3D2B">
        <w:t>research productivity per million</w:t>
      </w:r>
      <w:r w:rsidR="00427468">
        <w:t xml:space="preserve"> of </w:t>
      </w:r>
      <w:r w:rsidRPr="001A3D2B">
        <w:t>population</w:t>
      </w:r>
      <w:r w:rsidR="00427468">
        <w:t xml:space="preserve"> of </w:t>
      </w:r>
      <w:r w:rsidR="003A1917">
        <w:t xml:space="preserve">the </w:t>
      </w:r>
      <w:r w:rsidRPr="001A3D2B">
        <w:t>world area divided by,</w:t>
      </w:r>
      <w:r w:rsidR="003A1917">
        <w:t xml:space="preserve"> the </w:t>
      </w:r>
      <w:r w:rsidRPr="001A3D2B">
        <w:t>gross national income per capita (GNIPC), for every year</w:t>
      </w:r>
      <w:r w:rsidR="005853A9">
        <w:t xml:space="preserve"> and </w:t>
      </w:r>
      <w:r w:rsidR="003A1917">
        <w:t xml:space="preserve">the </w:t>
      </w:r>
      <w:r w:rsidRPr="001A3D2B">
        <w:t>whole period</w:t>
      </w:r>
      <w:r w:rsidR="00427468">
        <w:t xml:space="preserve"> of </w:t>
      </w:r>
      <w:r w:rsidR="003A1917">
        <w:t xml:space="preserve">the </w:t>
      </w:r>
      <w:r w:rsidRPr="001A3D2B">
        <w:t>study, for all defined world regions. Measurements</w:t>
      </w:r>
      <w:r w:rsidR="005853A9">
        <w:t xml:space="preserve"> and </w:t>
      </w:r>
      <w:r w:rsidRPr="001A3D2B">
        <w:t>results: Data on</w:t>
      </w:r>
      <w:r w:rsidR="003A1917">
        <w:t xml:space="preserve"> the </w:t>
      </w:r>
      <w:r w:rsidRPr="001A3D2B">
        <w:t>country</w:t>
      </w:r>
      <w:r w:rsidR="00427468">
        <w:t xml:space="preserve"> of </w:t>
      </w:r>
      <w:r w:rsidRPr="001A3D2B">
        <w:t>origin</w:t>
      </w:r>
      <w:r w:rsidR="00427468">
        <w:t xml:space="preserve"> of </w:t>
      </w:r>
      <w:r w:rsidR="003A1917">
        <w:t xml:space="preserve">the </w:t>
      </w:r>
      <w:r w:rsidRPr="001A3D2B">
        <w:t>publications was available for 48,614</w:t>
      </w:r>
      <w:r w:rsidR="00427468">
        <w:t xml:space="preserve"> of </w:t>
      </w:r>
      <w:r w:rsidRPr="001A3D2B">
        <w:t>49,382 retrieved articles (98.5%)</w:t>
      </w:r>
      <w:r w:rsidR="00A37C1D">
        <w:t>. The</w:t>
      </w:r>
      <w:r w:rsidR="003A1917">
        <w:t xml:space="preserve"> </w:t>
      </w:r>
      <w:r w:rsidRPr="001A3D2B">
        <w:t>majority</w:t>
      </w:r>
      <w:r w:rsidR="00427468">
        <w:t xml:space="preserve"> of </w:t>
      </w:r>
      <w:r w:rsidRPr="001A3D2B">
        <w:t>articles published between 1995</w:t>
      </w:r>
      <w:r w:rsidR="005853A9">
        <w:t xml:space="preserve"> and </w:t>
      </w:r>
      <w:r w:rsidRPr="001A3D2B">
        <w:t>2003 originated from Western Europe (40.4%)</w:t>
      </w:r>
      <w:r w:rsidR="005853A9">
        <w:t xml:space="preserve"> and </w:t>
      </w:r>
      <w:r w:rsidR="003A1917">
        <w:t xml:space="preserve">the </w:t>
      </w:r>
      <w:r w:rsidRPr="001A3D2B">
        <w:t>United States (35.4%)</w:t>
      </w:r>
      <w:r w:rsidR="00A37C1D">
        <w:t>. The</w:t>
      </w:r>
      <w:r w:rsidR="003A1917">
        <w:t xml:space="preserve"> </w:t>
      </w:r>
      <w:r w:rsidRPr="001A3D2B">
        <w:t>research productivity compared to population</w:t>
      </w:r>
      <w:r w:rsidR="005853A9">
        <w:t xml:space="preserve"> and </w:t>
      </w:r>
      <w:r w:rsidR="003A1917">
        <w:t xml:space="preserve">the </w:t>
      </w:r>
      <w:r w:rsidRPr="001A3D2B">
        <w:t>GNIPC was found to be higher for Canada</w:t>
      </w:r>
      <w:r w:rsidR="005853A9">
        <w:t xml:space="preserve"> and </w:t>
      </w:r>
      <w:r w:rsidRPr="001A3D2B">
        <w:t>Oceania compared to</w:t>
      </w:r>
      <w:r w:rsidR="003A1917">
        <w:t xml:space="preserve"> the </w:t>
      </w:r>
      <w:r w:rsidRPr="001A3D2B">
        <w:t>United States</w:t>
      </w:r>
      <w:r w:rsidR="005853A9">
        <w:t xml:space="preserve"> and </w:t>
      </w:r>
      <w:r w:rsidRPr="001A3D2B">
        <w:t>Western Europe</w:t>
      </w:r>
      <w:r w:rsidR="00A37C1D">
        <w:t>. The</w:t>
      </w:r>
      <w:r w:rsidR="003A1917">
        <w:t xml:space="preserve"> </w:t>
      </w:r>
      <w:r w:rsidRPr="001A3D2B">
        <w:t>rate</w:t>
      </w:r>
      <w:r w:rsidR="00427468">
        <w:t xml:space="preserve"> of </w:t>
      </w:r>
      <w:r w:rsidRPr="001A3D2B">
        <w:t>increase</w:t>
      </w:r>
      <w:r w:rsidR="00427468">
        <w:t xml:space="preserve"> of </w:t>
      </w:r>
      <w:r w:rsidR="003A1917">
        <w:t xml:space="preserve">the </w:t>
      </w:r>
      <w:r w:rsidRPr="001A3D2B">
        <w:t>total published research product (number</w:t>
      </w:r>
      <w:r w:rsidR="00427468">
        <w:t xml:space="preserve"> of </w:t>
      </w:r>
      <w:r w:rsidRPr="001A3D2B">
        <w:t>published articles multiplied by</w:t>
      </w:r>
      <w:r w:rsidR="003A1917">
        <w:t xml:space="preserve"> the </w:t>
      </w:r>
      <w:r w:rsidRPr="001A3D2B">
        <w:t>impact factor) was higher in</w:t>
      </w:r>
      <w:r w:rsidR="003A1917">
        <w:t xml:space="preserve"> the </w:t>
      </w:r>
      <w:r w:rsidRPr="001A3D2B">
        <w:t>United States</w:t>
      </w:r>
      <w:r w:rsidR="005853A9">
        <w:t xml:space="preserve"> and </w:t>
      </w:r>
      <w:r w:rsidRPr="001A3D2B">
        <w:t>Europe</w:t>
      </w:r>
      <w:r w:rsidR="00A37C1D">
        <w:t>. The</w:t>
      </w:r>
      <w:r w:rsidR="003A1917">
        <w:t xml:space="preserve"> </w:t>
      </w:r>
      <w:r w:rsidRPr="001A3D2B">
        <w:t>total research contribution</w:t>
      </w:r>
      <w:r w:rsidR="00427468">
        <w:t xml:space="preserve"> of </w:t>
      </w:r>
      <w:r w:rsidRPr="001A3D2B">
        <w:t>Asia, Eastern Europe, Central</w:t>
      </w:r>
      <w:r w:rsidR="005853A9">
        <w:t xml:space="preserve"> and </w:t>
      </w:r>
      <w:r w:rsidRPr="001A3D2B">
        <w:t>Latin America,</w:t>
      </w:r>
      <w:r w:rsidR="005853A9">
        <w:t xml:space="preserve"> and </w:t>
      </w:r>
      <w:r w:rsidRPr="001A3D2B">
        <w:t>Africa regarding</w:t>
      </w:r>
      <w:r w:rsidR="003A1917">
        <w:t xml:space="preserve"> the </w:t>
      </w:r>
      <w:r w:rsidRPr="001A3D2B">
        <w:t>number</w:t>
      </w:r>
      <w:r w:rsidR="00427468">
        <w:t xml:space="preserve"> of </w:t>
      </w:r>
      <w:r w:rsidRPr="001A3D2B">
        <w:t>published articles was notably very low (approximately 8%). Conclusions:</w:t>
      </w:r>
      <w:r w:rsidR="003A1917">
        <w:t xml:space="preserve"> the </w:t>
      </w:r>
      <w:r w:rsidRPr="001A3D2B">
        <w:t>data suggest that there was a significant research activity in</w:t>
      </w:r>
      <w:r w:rsidR="003A1917">
        <w:t xml:space="preserve"> the </w:t>
      </w:r>
      <w:r w:rsidRPr="001A3D2B">
        <w:t>field</w:t>
      </w:r>
      <w:r w:rsidR="00427468">
        <w:t xml:space="preserve"> of </w:t>
      </w:r>
      <w:r w:rsidRPr="001A3D2B">
        <w:t>respiratory medicine during</w:t>
      </w:r>
      <w:r w:rsidR="003A1917">
        <w:t xml:space="preserve"> the </w:t>
      </w:r>
      <w:r w:rsidRPr="001A3D2B">
        <w:t>studied period. Although leaders</w:t>
      </w:r>
      <w:r w:rsidR="00427468">
        <w:t xml:space="preserve"> of </w:t>
      </w:r>
      <w:r w:rsidRPr="001A3D2B">
        <w:t>production</w:t>
      </w:r>
      <w:r w:rsidR="00427468">
        <w:t xml:space="preserve"> of </w:t>
      </w:r>
      <w:r w:rsidRPr="001A3D2B">
        <w:lastRenderedPageBreak/>
        <w:t>respiratory medicine research were from Western Europe</w:t>
      </w:r>
      <w:r w:rsidR="005853A9">
        <w:t xml:space="preserve"> and </w:t>
      </w:r>
      <w:r w:rsidR="003A1917">
        <w:t xml:space="preserve">the </w:t>
      </w:r>
      <w:r w:rsidRPr="001A3D2B">
        <w:t xml:space="preserve">United States, </w:t>
      </w:r>
      <w:smartTag w:uri="urn:schemas-microsoft-com:office:smarttags" w:element="country-region">
        <w:r w:rsidRPr="001A3D2B">
          <w:t>Canada</w:t>
        </w:r>
      </w:smartTag>
      <w:r w:rsidRPr="001A3D2B">
        <w:t>,</w:t>
      </w:r>
      <w:r w:rsidR="005853A9">
        <w:t xml:space="preserve"> and </w:t>
      </w:r>
      <w:r w:rsidRPr="001A3D2B">
        <w:t>Oceania hail</w:t>
      </w:r>
      <w:r w:rsidR="003A1917">
        <w:t xml:space="preserve"> the </w:t>
      </w:r>
      <w:r w:rsidRPr="001A3D2B">
        <w:t>best performance after adjustment for population</w:t>
      </w:r>
      <w:r w:rsidR="005853A9">
        <w:t xml:space="preserve"> and </w:t>
      </w:r>
      <w:r w:rsidRPr="001A3D2B">
        <w:t>GNIPC.</w:t>
      </w:r>
    </w:p>
    <w:p w:rsidR="003474F2" w:rsidRPr="001A3D2B" w:rsidRDefault="003474F2" w:rsidP="003474F2">
      <w:pPr>
        <w:pStyle w:val="a3"/>
      </w:pPr>
      <w:r w:rsidRPr="001A3D2B">
        <w:t>Keywords: Africa, Analysis, Asia, Bibliometric, Bibliometric Analysis, Canada, Country, Country</w:t>
      </w:r>
      <w:r w:rsidR="00427468">
        <w:t xml:space="preserve"> of </w:t>
      </w:r>
      <w:r w:rsidRPr="001A3D2B">
        <w:t xml:space="preserve">Origin, Criteria, Data, Database, Eastern Europe, Economic, Europe, Field, Gross National Income, Impact, Impact Factor, Information, Journal, Journals, Latin America, Medicine, Origin, Performance, Population, Productivity, Publications, </w:t>
      </w:r>
      <w:r w:rsidR="002C12F0">
        <w:t>PUBMED</w:t>
      </w:r>
      <w:r w:rsidRPr="001A3D2B">
        <w:t>, Research, Research Productivity, United States, World</w:t>
      </w:r>
    </w:p>
    <w:p w:rsidR="00755BF0" w:rsidRDefault="00755BF0" w:rsidP="00755BF0">
      <w:pPr>
        <w:pStyle w:val="a3"/>
        <w:rPr>
          <w:kern w:val="0"/>
        </w:rPr>
      </w:pPr>
      <w:r>
        <w:rPr>
          <w:rFonts w:hint="eastAsia"/>
          <w:kern w:val="0"/>
        </w:rPr>
        <w:t xml:space="preserve">? </w:t>
      </w:r>
      <w:r>
        <w:rPr>
          <w:kern w:val="0"/>
        </w:rPr>
        <w:t>Kaw, R., Hernandez, A.V., Walker, E., Aboussouan, L.</w:t>
      </w:r>
      <w:r w:rsidR="005853A9">
        <w:rPr>
          <w:kern w:val="0"/>
        </w:rPr>
        <w:t xml:space="preserve"> and </w:t>
      </w:r>
      <w:r>
        <w:rPr>
          <w:kern w:val="0"/>
        </w:rPr>
        <w:t>Mokhlesi, B. (2009), Determinants</w:t>
      </w:r>
      <w:r w:rsidR="00427468">
        <w:rPr>
          <w:kern w:val="0"/>
        </w:rPr>
        <w:t xml:space="preserve"> of </w:t>
      </w:r>
      <w:r>
        <w:rPr>
          <w:kern w:val="0"/>
        </w:rPr>
        <w:t>hypercapnia in obese patients with obstructive sleep apnea a systematic review</w:t>
      </w:r>
      <w:r w:rsidR="005853A9">
        <w:rPr>
          <w:kern w:val="0"/>
        </w:rPr>
        <w:t xml:space="preserve"> and </w:t>
      </w:r>
      <w:r>
        <w:rPr>
          <w:kern w:val="0"/>
        </w:rPr>
        <w:t>metaanalysis</w:t>
      </w:r>
      <w:r w:rsidR="00427468">
        <w:rPr>
          <w:kern w:val="0"/>
        </w:rPr>
        <w:t xml:space="preserve"> of </w:t>
      </w:r>
      <w:r>
        <w:rPr>
          <w:kern w:val="0"/>
        </w:rPr>
        <w:t xml:space="preserve">cohort studies. </w:t>
      </w:r>
      <w:r>
        <w:rPr>
          <w:i/>
          <w:iCs/>
          <w:kern w:val="0"/>
        </w:rPr>
        <w:t>Chest</w:t>
      </w:r>
      <w:r>
        <w:rPr>
          <w:kern w:val="0"/>
        </w:rPr>
        <w:t xml:space="preserve">, </w:t>
      </w:r>
      <w:r>
        <w:rPr>
          <w:b/>
          <w:bCs/>
          <w:kern w:val="0"/>
        </w:rPr>
        <w:t>136</w:t>
      </w:r>
      <w:r>
        <w:rPr>
          <w:kern w:val="0"/>
        </w:rPr>
        <w:t xml:space="preserve"> (3), 787-796.</w:t>
      </w:r>
    </w:p>
    <w:p w:rsidR="00755BF0" w:rsidRPr="00C73C58" w:rsidRDefault="00755BF0" w:rsidP="00755BF0">
      <w:pPr>
        <w:pStyle w:val="a3"/>
        <w:rPr>
          <w:kern w:val="0"/>
        </w:rPr>
      </w:pPr>
      <w:r w:rsidRPr="00C73C58">
        <w:rPr>
          <w:kern w:val="0"/>
        </w:rPr>
        <w:t xml:space="preserve">Full Text: </w:t>
      </w:r>
      <w:r>
        <w:rPr>
          <w:kern w:val="0"/>
        </w:rPr>
        <w:t>200</w:t>
      </w:r>
      <w:r>
        <w:rPr>
          <w:rFonts w:hint="eastAsia"/>
          <w:kern w:val="0"/>
        </w:rPr>
        <w:t>9</w:t>
      </w:r>
      <w:r>
        <w:rPr>
          <w:kern w:val="0"/>
        </w:rPr>
        <w:t>\Chest1</w:t>
      </w:r>
      <w:r>
        <w:rPr>
          <w:rFonts w:hint="eastAsia"/>
          <w:kern w:val="0"/>
        </w:rPr>
        <w:t>36</w:t>
      </w:r>
      <w:r>
        <w:rPr>
          <w:kern w:val="0"/>
        </w:rPr>
        <w:t xml:space="preserve">, </w:t>
      </w:r>
      <w:r>
        <w:rPr>
          <w:rFonts w:hint="eastAsia"/>
          <w:kern w:val="0"/>
        </w:rPr>
        <w:t>787</w:t>
      </w:r>
      <w:r w:rsidRPr="00E91A78">
        <w:rPr>
          <w:kern w:val="0"/>
        </w:rPr>
        <w:t>.pdf</w:t>
      </w:r>
    </w:p>
    <w:p w:rsidR="00755BF0" w:rsidRDefault="00755BF0" w:rsidP="00755BF0">
      <w:pPr>
        <w:pStyle w:val="a3"/>
        <w:rPr>
          <w:kern w:val="0"/>
        </w:rPr>
      </w:pPr>
      <w:r>
        <w:rPr>
          <w:kern w:val="0"/>
        </w:rPr>
        <w:t>Abstract: Background: Inconsistent information exists about factors associated with daytime hypercapnia in obese patients with obstructive sleep apnea (OSA). We systematically, evaluated these factors in this population. Methods: We included studies evaluating</w:t>
      </w:r>
      <w:r w:rsidR="003A1917">
        <w:rPr>
          <w:kern w:val="0"/>
        </w:rPr>
        <w:t xml:space="preserve"> the </w:t>
      </w:r>
      <w:r>
        <w:rPr>
          <w:kern w:val="0"/>
        </w:rPr>
        <w:t>association between clinical</w:t>
      </w:r>
      <w:r w:rsidR="005853A9">
        <w:rPr>
          <w:kern w:val="0"/>
        </w:rPr>
        <w:t xml:space="preserve"> and </w:t>
      </w:r>
      <w:r>
        <w:rPr>
          <w:kern w:val="0"/>
        </w:rPr>
        <w:t>physiologic variables</w:t>
      </w:r>
      <w:r w:rsidR="005853A9">
        <w:rPr>
          <w:kern w:val="0"/>
        </w:rPr>
        <w:t xml:space="preserve"> and </w:t>
      </w:r>
      <w:r>
        <w:rPr>
          <w:kern w:val="0"/>
        </w:rPr>
        <w:t>daytime hypercapnia (Paco(2), &gt;= 45 mm Hg) in obese patients (body mass index [BMI], &gt;= 30 kg/m(2)) With OSA (apnea-hypopnea index [AHI], &gt;= 5)</w:t>
      </w:r>
      <w:r w:rsidR="005853A9">
        <w:rPr>
          <w:kern w:val="0"/>
        </w:rPr>
        <w:t xml:space="preserve"> and </w:t>
      </w:r>
      <w:r>
        <w:rPr>
          <w:kern w:val="0"/>
        </w:rPr>
        <w:t>with a &lt; 15% prevalence</w:t>
      </w:r>
      <w:r w:rsidR="00427468">
        <w:rPr>
          <w:kern w:val="0"/>
        </w:rPr>
        <w:t xml:space="preserve"> of </w:t>
      </w:r>
      <w:r>
        <w:rPr>
          <w:kern w:val="0"/>
        </w:rPr>
        <w:t xml:space="preserve">COPD. Two investigators conducted independent literature searches using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Scopus until July 31, 2008</w:t>
      </w:r>
      <w:r w:rsidR="00A37C1D">
        <w:rPr>
          <w:kern w:val="0"/>
        </w:rPr>
        <w:t>. The</w:t>
      </w:r>
      <w:r w:rsidR="003A1917">
        <w:rPr>
          <w:kern w:val="0"/>
        </w:rPr>
        <w:t xml:space="preserve"> </w:t>
      </w:r>
      <w:r>
        <w:rPr>
          <w:kern w:val="0"/>
        </w:rPr>
        <w:t>association between individual factors</w:t>
      </w:r>
      <w:r w:rsidR="005853A9">
        <w:rPr>
          <w:kern w:val="0"/>
        </w:rPr>
        <w:t xml:space="preserve"> and </w:t>
      </w:r>
      <w:r>
        <w:rPr>
          <w:kern w:val="0"/>
        </w:rPr>
        <w:t>hypercapnia was expressed as</w:t>
      </w:r>
      <w:r w:rsidR="003A1917">
        <w:rPr>
          <w:kern w:val="0"/>
        </w:rPr>
        <w:t xml:space="preserve"> the </w:t>
      </w:r>
      <w:r>
        <w:rPr>
          <w:kern w:val="0"/>
        </w:rPr>
        <w:t>mean difference (MD). Random effects models were used to account for heterogeneity. Results: Fifteen studies (n = 4,250) fulfilled</w:t>
      </w:r>
      <w:r w:rsidR="003A1917">
        <w:rPr>
          <w:kern w:val="0"/>
        </w:rPr>
        <w:t xml:space="preserve"> the </w:t>
      </w:r>
      <w:r>
        <w:rPr>
          <w:kern w:val="0"/>
        </w:rPr>
        <w:t>selection criteria. Daytime hypercapnia was present in 788 patients (19%). Age</w:t>
      </w:r>
      <w:r w:rsidR="005853A9">
        <w:rPr>
          <w:kern w:val="0"/>
        </w:rPr>
        <w:t xml:space="preserve"> and </w:t>
      </w:r>
      <w:r>
        <w:rPr>
          <w:kern w:val="0"/>
        </w:rPr>
        <w:t>gender were not associated with hypercapnia. Patients with hypercapnia had higher BMI (MD, 3.1 kg/m(2); 95% confidence interval [CI], 1.9 to 4.4)</w:t>
      </w:r>
      <w:r w:rsidR="005853A9">
        <w:rPr>
          <w:kern w:val="0"/>
        </w:rPr>
        <w:t xml:space="preserve"> and </w:t>
      </w:r>
      <w:r>
        <w:rPr>
          <w:kern w:val="0"/>
        </w:rPr>
        <w:t>AHI (MD, 12.5; 95% CI, 6.6 to 18.4) than eucapnic patients. Patients with hypercapnia had lower percent predicted FEV(1) (MD, -11.2; 95% CI, -15.7 to -6.8), lower percent predicted vital capacity (MD, -8.1; 95% CI, -11.3 to -4.9),</w:t>
      </w:r>
      <w:r w:rsidR="005853A9">
        <w:rPr>
          <w:kern w:val="0"/>
        </w:rPr>
        <w:t xml:space="preserve"> and </w:t>
      </w:r>
      <w:r>
        <w:rPr>
          <w:kern w:val="0"/>
        </w:rPr>
        <w:t>lower percent predicted total lung capacity (MD, -6.4; 95% CI, -10.0 to -2.7). FEV(1)/FVC percent predicted was not different between hypercapnic</w:t>
      </w:r>
      <w:r w:rsidR="005853A9">
        <w:rPr>
          <w:kern w:val="0"/>
        </w:rPr>
        <w:t xml:space="preserve"> and </w:t>
      </w:r>
      <w:r>
        <w:rPr>
          <w:kern w:val="0"/>
        </w:rPr>
        <w:t>eucapnic patients (MD, -1.7; 95% CI, -4.1 to 0.8), but mean overnight pulse oximetric saturation was significantly lower in hyercapnic patients (MD, -4.9; 95% CI, -7.0 to -2.7). Conclusions: In obese patients with OSA</w:t>
      </w:r>
      <w:r w:rsidR="005853A9">
        <w:rPr>
          <w:kern w:val="0"/>
        </w:rPr>
        <w:t xml:space="preserve"> and </w:t>
      </w:r>
      <w:r>
        <w:rPr>
          <w:kern w:val="0"/>
        </w:rPr>
        <w:t>mostly without COPD, daytime hypercapnia was associated with severity</w:t>
      </w:r>
      <w:r w:rsidR="00427468">
        <w:rPr>
          <w:kern w:val="0"/>
        </w:rPr>
        <w:t xml:space="preserve"> of </w:t>
      </w:r>
      <w:r>
        <w:rPr>
          <w:kern w:val="0"/>
        </w:rPr>
        <w:t>OSA, higher BMI levels,</w:t>
      </w:r>
      <w:r w:rsidR="005853A9">
        <w:rPr>
          <w:kern w:val="0"/>
        </w:rPr>
        <w:t xml:space="preserve"> and </w:t>
      </w:r>
      <w:r>
        <w:rPr>
          <w:kern w:val="0"/>
        </w:rPr>
        <w:t>degree</w:t>
      </w:r>
      <w:r w:rsidR="00427468">
        <w:rPr>
          <w:kern w:val="0"/>
        </w:rPr>
        <w:t xml:space="preserve"> of </w:t>
      </w:r>
      <w:r>
        <w:rPr>
          <w:kern w:val="0"/>
        </w:rPr>
        <w:t>restrictive chest wall mechanics. A hig</w:t>
      </w:r>
      <w:r w:rsidR="00D5664A">
        <w:rPr>
          <w:kern w:val="0"/>
        </w:rPr>
        <w:t>h Index</w:t>
      </w:r>
      <w:r w:rsidR="00427468">
        <w:rPr>
          <w:kern w:val="0"/>
        </w:rPr>
        <w:t xml:space="preserve"> of </w:t>
      </w:r>
      <w:r>
        <w:rPr>
          <w:kern w:val="0"/>
        </w:rPr>
        <w:t>suspicion should be maintained in patients with these factors, as early recognition</w:t>
      </w:r>
      <w:r w:rsidR="005853A9">
        <w:rPr>
          <w:kern w:val="0"/>
        </w:rPr>
        <w:t xml:space="preserve"> and </w:t>
      </w:r>
      <w:r>
        <w:rPr>
          <w:kern w:val="0"/>
        </w:rPr>
        <w:t>appropriate treatment can improve outcomes. (CHEST 2009; 136:787-796).</w:t>
      </w:r>
    </w:p>
    <w:p w:rsidR="00755BF0" w:rsidRDefault="00755BF0" w:rsidP="00755BF0">
      <w:pPr>
        <w:pStyle w:val="a3"/>
        <w:rPr>
          <w:kern w:val="0"/>
        </w:rPr>
      </w:pPr>
      <w:r>
        <w:rPr>
          <w:kern w:val="0"/>
        </w:rPr>
        <w:t xml:space="preserve">Keywords: Age, Bmi, Body Mass Index, Cohort Studies, Copd, Cpap, Daytime Hypercapnia, Determinants, Diurnal Hypercapnia, Drive, Gender, Hypopnea </w:t>
      </w:r>
      <w:r>
        <w:rPr>
          <w:kern w:val="0"/>
        </w:rPr>
        <w:lastRenderedPageBreak/>
        <w:t xml:space="preserve">Syndrome, Hypoventilation-Syndrome, Information, Literature, Methods, Outcomes, Positive Airway Pressure, Prevalence, Pulmonary-Hypertension, Review, Science, Scopus, Systematic, Systematic Review, Treatment, Ventilatory Response, </w:t>
      </w:r>
      <w:r w:rsidR="00D5664A">
        <w:rPr>
          <w:kern w:val="0"/>
        </w:rPr>
        <w:t>Web</w:t>
      </w:r>
      <w:r w:rsidR="00427468">
        <w:rPr>
          <w:kern w:val="0"/>
        </w:rPr>
        <w:t xml:space="preserve"> of </w:t>
      </w:r>
      <w:r w:rsidR="00D5664A">
        <w:rPr>
          <w:kern w:val="0"/>
        </w:rPr>
        <w:t>Science</w:t>
      </w:r>
    </w:p>
    <w:p w:rsidR="00755BF0" w:rsidRDefault="00755BF0" w:rsidP="00755BF0">
      <w:pPr>
        <w:pStyle w:val="a3"/>
        <w:rPr>
          <w:kern w:val="0"/>
        </w:rPr>
      </w:pPr>
      <w:r>
        <w:rPr>
          <w:rFonts w:hint="eastAsia"/>
          <w:kern w:val="0"/>
        </w:rPr>
        <w:t xml:space="preserve">? </w:t>
      </w:r>
      <w:r>
        <w:rPr>
          <w:kern w:val="0"/>
        </w:rPr>
        <w:t>Young, L.B., Chan, P.S.</w:t>
      </w:r>
      <w:r w:rsidR="005853A9">
        <w:rPr>
          <w:kern w:val="0"/>
        </w:rPr>
        <w:t xml:space="preserve"> and </w:t>
      </w:r>
      <w:r>
        <w:rPr>
          <w:kern w:val="0"/>
        </w:rPr>
        <w:t>Cram, P. (2011), Staff acceptance</w:t>
      </w:r>
      <w:r w:rsidR="00427468">
        <w:rPr>
          <w:kern w:val="0"/>
        </w:rPr>
        <w:t xml:space="preserve"> of </w:t>
      </w:r>
      <w:r>
        <w:rPr>
          <w:kern w:val="0"/>
        </w:rPr>
        <w:t>tele-ICU coverage</w:t>
      </w:r>
      <w:r>
        <w:rPr>
          <w:rFonts w:hint="eastAsia"/>
          <w:kern w:val="0"/>
        </w:rPr>
        <w:t>:</w:t>
      </w:r>
      <w:r>
        <w:rPr>
          <w:kern w:val="0"/>
        </w:rPr>
        <w:t xml:space="preserve"> A systematic review. </w:t>
      </w:r>
      <w:r>
        <w:rPr>
          <w:i/>
          <w:iCs/>
          <w:kern w:val="0"/>
        </w:rPr>
        <w:t>Chest</w:t>
      </w:r>
      <w:r>
        <w:rPr>
          <w:kern w:val="0"/>
        </w:rPr>
        <w:t xml:space="preserve">, </w:t>
      </w:r>
      <w:r>
        <w:rPr>
          <w:b/>
          <w:bCs/>
          <w:kern w:val="0"/>
        </w:rPr>
        <w:t>139</w:t>
      </w:r>
      <w:r>
        <w:rPr>
          <w:kern w:val="0"/>
        </w:rPr>
        <w:t xml:space="preserve"> (2), 279-288.</w:t>
      </w:r>
    </w:p>
    <w:p w:rsidR="00755BF0" w:rsidRPr="00C73C58" w:rsidRDefault="00755BF0" w:rsidP="00755BF0">
      <w:pPr>
        <w:pStyle w:val="a3"/>
        <w:rPr>
          <w:kern w:val="0"/>
        </w:rPr>
      </w:pPr>
      <w:r w:rsidRPr="00C73C58">
        <w:rPr>
          <w:kern w:val="0"/>
        </w:rPr>
        <w:t xml:space="preserve">Full Text: </w:t>
      </w:r>
      <w:r>
        <w:rPr>
          <w:kern w:val="0"/>
        </w:rPr>
        <w:t>20</w:t>
      </w:r>
      <w:r>
        <w:rPr>
          <w:rFonts w:hint="eastAsia"/>
          <w:kern w:val="0"/>
        </w:rPr>
        <w:t>11</w:t>
      </w:r>
      <w:r>
        <w:rPr>
          <w:kern w:val="0"/>
        </w:rPr>
        <w:t>\Chest1</w:t>
      </w:r>
      <w:r>
        <w:rPr>
          <w:rFonts w:hint="eastAsia"/>
          <w:kern w:val="0"/>
        </w:rPr>
        <w:t>39</w:t>
      </w:r>
      <w:r>
        <w:rPr>
          <w:kern w:val="0"/>
        </w:rPr>
        <w:t xml:space="preserve">, </w:t>
      </w:r>
      <w:r>
        <w:rPr>
          <w:rFonts w:hint="eastAsia"/>
          <w:kern w:val="0"/>
        </w:rPr>
        <w:t>279</w:t>
      </w:r>
      <w:r w:rsidRPr="00E91A78">
        <w:rPr>
          <w:kern w:val="0"/>
        </w:rPr>
        <w:t>.pdf</w:t>
      </w:r>
    </w:p>
    <w:p w:rsidR="00755BF0" w:rsidRDefault="00755BF0" w:rsidP="00755BF0">
      <w:pPr>
        <w:pStyle w:val="a3"/>
        <w:rPr>
          <w:kern w:val="0"/>
        </w:rPr>
      </w:pPr>
      <w:r>
        <w:rPr>
          <w:kern w:val="0"/>
        </w:rPr>
        <w:t>Abstract: Background: Remote coverage</w:t>
      </w:r>
      <w:r w:rsidR="00427468">
        <w:rPr>
          <w:kern w:val="0"/>
        </w:rPr>
        <w:t xml:space="preserve"> of </w:t>
      </w:r>
      <w:r>
        <w:rPr>
          <w:kern w:val="0"/>
        </w:rPr>
        <w:t>ICUs is increasing, but staff acceptance</w:t>
      </w:r>
      <w:r w:rsidR="00427468">
        <w:rPr>
          <w:kern w:val="0"/>
        </w:rPr>
        <w:t xml:space="preserve"> of </w:t>
      </w:r>
      <w:r>
        <w:rPr>
          <w:kern w:val="0"/>
        </w:rPr>
        <w:t>this new technology is incompletely characterized. We conducted a systematic review to summarize existing research on acceptance</w:t>
      </w:r>
      <w:r w:rsidR="00427468">
        <w:rPr>
          <w:kern w:val="0"/>
        </w:rPr>
        <w:t xml:space="preserve"> of </w:t>
      </w:r>
      <w:r>
        <w:rPr>
          <w:kern w:val="0"/>
        </w:rPr>
        <w:t>tele-ICU coverage among ICU staff. Methods: We searched for published articles pertaining to critical care telemedicine systems (aka, tele-ICU) between January 1950</w:t>
      </w:r>
      <w:r w:rsidR="005853A9">
        <w:rPr>
          <w:kern w:val="0"/>
        </w:rPr>
        <w:t xml:space="preserve"> and </w:t>
      </w:r>
      <w:r>
        <w:rPr>
          <w:kern w:val="0"/>
        </w:rPr>
        <w:t>March 2010 using PUBMED, Cumulative Index to Nursing</w:t>
      </w:r>
      <w:r w:rsidR="005853A9">
        <w:rPr>
          <w:kern w:val="0"/>
        </w:rPr>
        <w:t xml:space="preserve"> and </w:t>
      </w:r>
      <w:r>
        <w:rPr>
          <w:kern w:val="0"/>
        </w:rPr>
        <w:t xml:space="preserve">Allied Health Literature, Global Health,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Library</w:t>
      </w:r>
      <w:r w:rsidR="005853A9">
        <w:rPr>
          <w:kern w:val="0"/>
        </w:rPr>
        <w:t xml:space="preserve"> and </w:t>
      </w:r>
      <w:r>
        <w:rPr>
          <w:kern w:val="0"/>
        </w:rPr>
        <w:t>abstracts</w:t>
      </w:r>
      <w:r w:rsidR="005853A9">
        <w:rPr>
          <w:kern w:val="0"/>
        </w:rPr>
        <w:t xml:space="preserve"> and </w:t>
      </w:r>
      <w:r>
        <w:rPr>
          <w:kern w:val="0"/>
        </w:rPr>
        <w:t>presentations delivered at national conferences. Studies were included if they provided original qualitative or quantitative data on staff perceptions</w:t>
      </w:r>
      <w:r w:rsidR="00427468">
        <w:rPr>
          <w:kern w:val="0"/>
        </w:rPr>
        <w:t xml:space="preserve"> of </w:t>
      </w:r>
      <w:r>
        <w:rPr>
          <w:kern w:val="0"/>
        </w:rPr>
        <w:t>tele-ICU coverage. Studies were imported into content analysis software</w:t>
      </w:r>
      <w:r w:rsidR="005853A9">
        <w:rPr>
          <w:kern w:val="0"/>
        </w:rPr>
        <w:t xml:space="preserve"> and </w:t>
      </w:r>
      <w:r>
        <w:rPr>
          <w:kern w:val="0"/>
        </w:rPr>
        <w:t>coded by tele-ICU configuration, methodology, participants,</w:t>
      </w:r>
      <w:r w:rsidR="005853A9">
        <w:rPr>
          <w:kern w:val="0"/>
        </w:rPr>
        <w:t xml:space="preserve"> and </w:t>
      </w:r>
      <w:r>
        <w:rPr>
          <w:kern w:val="0"/>
        </w:rPr>
        <w:t>findings (eg, positive</w:t>
      </w:r>
      <w:r w:rsidR="005853A9">
        <w:rPr>
          <w:kern w:val="0"/>
        </w:rPr>
        <w:t xml:space="preserve"> and </w:t>
      </w:r>
      <w:r>
        <w:rPr>
          <w:kern w:val="0"/>
        </w:rPr>
        <w:t>negative staff evaluations). Results: Review</w:t>
      </w:r>
      <w:r w:rsidR="00427468">
        <w:rPr>
          <w:kern w:val="0"/>
        </w:rPr>
        <w:t xml:space="preserve"> of </w:t>
      </w:r>
      <w:r>
        <w:rPr>
          <w:kern w:val="0"/>
        </w:rPr>
        <w:t>3,086 citations yielded 23 eligible studies. Findings were grouped into four categories</w:t>
      </w:r>
      <w:r w:rsidR="00427468">
        <w:rPr>
          <w:kern w:val="0"/>
        </w:rPr>
        <w:t xml:space="preserve"> of </w:t>
      </w:r>
      <w:r>
        <w:rPr>
          <w:kern w:val="0"/>
        </w:rPr>
        <w:t>staff evaluation: overall acceptance level</w:t>
      </w:r>
      <w:r w:rsidR="00427468">
        <w:rPr>
          <w:kern w:val="0"/>
        </w:rPr>
        <w:t xml:space="preserve"> of </w:t>
      </w:r>
      <w:r>
        <w:rPr>
          <w:kern w:val="0"/>
        </w:rPr>
        <w:t>tele-ICU coverage (measured in 70%</w:t>
      </w:r>
      <w:r w:rsidR="00427468">
        <w:rPr>
          <w:kern w:val="0"/>
        </w:rPr>
        <w:t xml:space="preserve"> of </w:t>
      </w:r>
      <w:r>
        <w:rPr>
          <w:kern w:val="0"/>
        </w:rPr>
        <w:t>studies), impact on patient care (measured in 96%), impact on staff (measured in 100%),</w:t>
      </w:r>
      <w:r w:rsidR="005853A9">
        <w:rPr>
          <w:kern w:val="0"/>
        </w:rPr>
        <w:t xml:space="preserve"> and </w:t>
      </w:r>
      <w:r>
        <w:rPr>
          <w:kern w:val="0"/>
        </w:rPr>
        <w:t>organizational impact (measured in 48%). Overall acceptance was high, despite initial ambivalence. Favorable impact on patient care was perceived by &gt;82%</w:t>
      </w:r>
      <w:r w:rsidR="00427468">
        <w:rPr>
          <w:kern w:val="0"/>
        </w:rPr>
        <w:t xml:space="preserve"> of </w:t>
      </w:r>
      <w:r>
        <w:rPr>
          <w:kern w:val="0"/>
        </w:rPr>
        <w:t>participants. Staff impact referenced enhanced collaboration, autonomy,</w:t>
      </w:r>
      <w:r w:rsidR="005853A9">
        <w:rPr>
          <w:kern w:val="0"/>
        </w:rPr>
        <w:t xml:space="preserve"> and </w:t>
      </w:r>
      <w:r>
        <w:rPr>
          <w:kern w:val="0"/>
        </w:rPr>
        <w:t>training, although scrutiny, malfunctions,</w:t>
      </w:r>
      <w:r w:rsidR="005853A9">
        <w:rPr>
          <w:kern w:val="0"/>
        </w:rPr>
        <w:t xml:space="preserve"> and </w:t>
      </w:r>
      <w:r>
        <w:rPr>
          <w:kern w:val="0"/>
        </w:rPr>
        <w:t>contradictory advice were cited as potential barriers. Staff perceived</w:t>
      </w:r>
      <w:r w:rsidR="003A1917">
        <w:rPr>
          <w:kern w:val="0"/>
        </w:rPr>
        <w:t xml:space="preserve"> the </w:t>
      </w:r>
      <w:r>
        <w:rPr>
          <w:kern w:val="0"/>
        </w:rPr>
        <w:t>organizational impact to vary. An important limitation</w:t>
      </w:r>
      <w:r w:rsidR="00427468">
        <w:rPr>
          <w:kern w:val="0"/>
        </w:rPr>
        <w:t xml:space="preserve"> of </w:t>
      </w:r>
      <w:r>
        <w:rPr>
          <w:kern w:val="0"/>
        </w:rPr>
        <w:t>available studies was a lack</w:t>
      </w:r>
      <w:r w:rsidR="00427468">
        <w:rPr>
          <w:kern w:val="0"/>
        </w:rPr>
        <w:t xml:space="preserve"> of </w:t>
      </w:r>
      <w:r>
        <w:rPr>
          <w:kern w:val="0"/>
        </w:rPr>
        <w:t>rigorous methodology</w:t>
      </w:r>
      <w:r w:rsidR="005853A9">
        <w:rPr>
          <w:kern w:val="0"/>
        </w:rPr>
        <w:t xml:space="preserve"> and </w:t>
      </w:r>
      <w:r>
        <w:rPr>
          <w:kern w:val="0"/>
        </w:rPr>
        <w:t>validated survey instruments in many studies. Conclusions: Initial reports suggest high levels</w:t>
      </w:r>
      <w:r w:rsidR="00427468">
        <w:rPr>
          <w:kern w:val="0"/>
        </w:rPr>
        <w:t xml:space="preserve"> of </w:t>
      </w:r>
      <w:r>
        <w:rPr>
          <w:kern w:val="0"/>
        </w:rPr>
        <w:t>staff acceptance</w:t>
      </w:r>
      <w:r w:rsidR="00427468">
        <w:rPr>
          <w:kern w:val="0"/>
        </w:rPr>
        <w:t xml:space="preserve"> of </w:t>
      </w:r>
      <w:r>
        <w:rPr>
          <w:kern w:val="0"/>
        </w:rPr>
        <w:t>tele-ICU coverage, but more rigorous methodologic study is required. CHEST 2011;139(2):279-288.</w:t>
      </w:r>
    </w:p>
    <w:p w:rsidR="00755BF0" w:rsidRDefault="00755BF0" w:rsidP="00755BF0">
      <w:pPr>
        <w:pStyle w:val="a3"/>
        <w:rPr>
          <w:kern w:val="0"/>
        </w:rPr>
      </w:pPr>
      <w:r>
        <w:rPr>
          <w:kern w:val="0"/>
        </w:rPr>
        <w:t>Keywords: Acceptance, Analysis, Barriers, Citations, Cochrane, Collaboration, Content Analysis, Coverage, Critical Care, EICU, Evaluation, Health, Hospitals, ICU, Ill Patients, Impact, Intensive-Care-Unit, Length</w:t>
      </w:r>
      <w:r w:rsidR="00434900">
        <w:rPr>
          <w:kern w:val="0"/>
        </w:rPr>
        <w:t>-of-</w:t>
      </w:r>
      <w:r>
        <w:rPr>
          <w:kern w:val="0"/>
        </w:rPr>
        <w:t xml:space="preserve">Stay, Methodology, Methods, Mortality, Nursing, Outcomes, Perceptions, PUBMED, Quantitative, Research, Review, Science, Software, Survey, Systematic, Systematic Review, Telemedicine Program, Training, </w:t>
      </w:r>
      <w:r w:rsidR="00D5664A">
        <w:rPr>
          <w:kern w:val="0"/>
        </w:rPr>
        <w:t>Web</w:t>
      </w:r>
      <w:r w:rsidR="00427468">
        <w:rPr>
          <w:kern w:val="0"/>
        </w:rPr>
        <w:t xml:space="preserve"> of </w:t>
      </w:r>
      <w:r w:rsidR="00D5664A">
        <w:rPr>
          <w:kern w:val="0"/>
        </w:rPr>
        <w:t>Science</w:t>
      </w:r>
    </w:p>
    <w:p w:rsidR="005859EB" w:rsidRDefault="005859EB" w:rsidP="005859EB">
      <w:pPr>
        <w:pStyle w:val="a3"/>
        <w:rPr>
          <w:kern w:val="0"/>
        </w:rPr>
      </w:pPr>
      <w:r>
        <w:rPr>
          <w:kern w:val="0"/>
        </w:rPr>
        <w:t xml:space="preserve">? Fava, C., Dorigoni, S., Vedove, F.D., Danese, E., Montagnana, M., Guidi, G.C., Narkiewicz, K. and Minuz, P. (2014), Effect of CPAP on blood pressure in patients </w:t>
      </w:r>
      <w:r>
        <w:rPr>
          <w:kern w:val="0"/>
        </w:rPr>
        <w:lastRenderedPageBreak/>
        <w:t xml:space="preserve">with OSA/hypopnea: A systematic review and meta-analysis. </w:t>
      </w:r>
      <w:r>
        <w:rPr>
          <w:i/>
          <w:iCs/>
          <w:kern w:val="0"/>
        </w:rPr>
        <w:t>Chest</w:t>
      </w:r>
      <w:r>
        <w:rPr>
          <w:kern w:val="0"/>
        </w:rPr>
        <w:t xml:space="preserve">, </w:t>
      </w:r>
      <w:r>
        <w:rPr>
          <w:b/>
          <w:bCs/>
          <w:kern w:val="0"/>
        </w:rPr>
        <w:t>145</w:t>
      </w:r>
      <w:r>
        <w:rPr>
          <w:kern w:val="0"/>
        </w:rPr>
        <w:t xml:space="preserve"> (4), 762-771.</w:t>
      </w:r>
    </w:p>
    <w:p w:rsidR="005859EB" w:rsidRDefault="005859EB" w:rsidP="005859EB">
      <w:pPr>
        <w:pStyle w:val="a3"/>
        <w:rPr>
          <w:kern w:val="0"/>
        </w:rPr>
      </w:pPr>
      <w:r>
        <w:rPr>
          <w:kern w:val="0"/>
        </w:rPr>
        <w:t xml:space="preserve">Full Text: </w:t>
      </w:r>
      <w:hyperlink r:id="rId193" w:history="1">
        <w:r w:rsidRPr="006A3348">
          <w:rPr>
            <w:rStyle w:val="a5"/>
            <w:kern w:val="0"/>
          </w:rPr>
          <w:t>2014\Chest145, 762.pdf</w:t>
        </w:r>
      </w:hyperlink>
    </w:p>
    <w:p w:rsidR="005859EB" w:rsidRDefault="005859EB" w:rsidP="005859EB">
      <w:pPr>
        <w:pStyle w:val="a3"/>
        <w:rPr>
          <w:kern w:val="0"/>
        </w:rPr>
      </w:pPr>
      <w:r>
        <w:rPr>
          <w:kern w:val="0"/>
        </w:rPr>
        <w:t>Abstract: Background: CPAP is considered the therapy of choice for OSA, but the extent to which it can reduce BP is still under debate. We undertook a systematic review and meta-analysis of randomized controlled trials (RCTs) to quantify the effect size of the reduction of BP by CPAP therapy compared with other passive (sham CPAP, tablets of placebo drug, conservative measures) or active (oral appliance, antihypertensive drugs) treatments. Methods: We searched four different databases (MEDLINE, EMBASE, Web of Science, and the Cochrane Library) with specific search terms and selection criteria. Results: From 1,599 articles, we included 31 RCTs that compared CPAP with either passive or active treatment. In a random-effects meta-analysis vs passive treatment (29 RCTs, 1,820 subjects), we observed a mean +/- SEM net difference in systolic BP of 2.6 +/- 0.6 mm Hg and in diastolic BP of 2.0 +/- 0.4 mm Hg, favoring treatment with CPAP (P &lt;.001). Among studies using 24-h ambulatory BP monitoring that presented data on daytime and nighttime periods, the mean difference in systolic and diastolic BP was, respectively, 2.2 +/- 0.7 and 1.9 +/- 0.6 mm Hg during daytime and 3.8 +/- 0.8 and 1.8 +/- 0.6 mm Hg during nighttime. In meta-regression analysis, a higher baseline apnea/hypopnea index was associated with a greater mean net decrease in systolic BP (beta +/- SE, 0.08 +/- 0.04)</w:t>
      </w:r>
      <w:r w:rsidR="00A37C1D">
        <w:rPr>
          <w:kern w:val="0"/>
        </w:rPr>
        <w:t>. The</w:t>
      </w:r>
      <w:r>
        <w:rPr>
          <w:kern w:val="0"/>
        </w:rPr>
        <w:t>re was no evidence of publication bias, and heterogeneity was mild (I 2, 34%-36%). Conclusions: Therapy with CPAP significantly reduces BP in patients with OSA but with a low effect size. Patients with frequent apneic episodes may benefit the most from CPAP.</w:t>
      </w:r>
    </w:p>
    <w:p w:rsidR="005859EB" w:rsidRDefault="005859EB" w:rsidP="005859EB">
      <w:pPr>
        <w:pStyle w:val="a3"/>
        <w:rPr>
          <w:kern w:val="0"/>
        </w:rPr>
      </w:pPr>
      <w:r>
        <w:rPr>
          <w:kern w:val="0"/>
        </w:rPr>
        <w:t>Keywords: Ambulatory, Analysis, Baroreflex Sensitivity, Bias, Blood Pressure, Cardiovascular Events, Choice, Clinical-Trials, Conservative, Cpap, Criteria, Data, Databases, Drug, Drugs, Effect, Effect Size, Embase, Evidence, Heart-Failure Patients, Heterogeneity, Hypertensive Patients, Hypopnea Syndrome, Index, Measures, Medline, Meta Analysis, Meta-Analysis, Meta-Regression, Metaanalysis, Methods, Monitoring, Obstructive Sleep-Apnea, Oral, P, Patients, Placebo, Placebo-Controlled Trial, Positive Airway Pressure, Publication, Publication Bias, Randomized, Randomized Controlled Trials, Randomized Controlled-Trial, Reduction, Results, Review, Science, Se, Selection, Selection Criteria, Sem, Size, Systematic Review, Tablets, Therapy, Treatment, Web Of Science</w:t>
      </w:r>
    </w:p>
    <w:p w:rsidR="005B6453" w:rsidRDefault="005B6453" w:rsidP="005B6453">
      <w:pPr>
        <w:pStyle w:val="a3"/>
        <w:rPr>
          <w:kern w:val="0"/>
        </w:rPr>
      </w:pPr>
      <w:r>
        <w:rPr>
          <w:rFonts w:hint="eastAsia"/>
          <w:kern w:val="0"/>
        </w:rPr>
        <w:t xml:space="preserve">? </w:t>
      </w:r>
      <w:r>
        <w:rPr>
          <w:kern w:val="0"/>
        </w:rPr>
        <w:t xml:space="preserve">Cao, C., Tian, D.H., Wolak, K., Oparka, J., He, J.X., Dunning, J., Walker, W.S. and Yan, T.D. (2014), Cross-sectional survey on lobectomy approach (X-SOLA). </w:t>
      </w:r>
      <w:r>
        <w:rPr>
          <w:i/>
          <w:iCs/>
          <w:kern w:val="0"/>
        </w:rPr>
        <w:t>Chest</w:t>
      </w:r>
      <w:r>
        <w:rPr>
          <w:kern w:val="0"/>
        </w:rPr>
        <w:t xml:space="preserve">, </w:t>
      </w:r>
      <w:r>
        <w:rPr>
          <w:b/>
          <w:bCs/>
          <w:kern w:val="0"/>
        </w:rPr>
        <w:t>146</w:t>
      </w:r>
      <w:r>
        <w:rPr>
          <w:kern w:val="0"/>
        </w:rPr>
        <w:t xml:space="preserve"> (2), 292-298.</w:t>
      </w:r>
    </w:p>
    <w:p w:rsidR="005B6453" w:rsidRDefault="005B6453" w:rsidP="005B6453">
      <w:pPr>
        <w:pStyle w:val="a3"/>
        <w:rPr>
          <w:kern w:val="0"/>
        </w:rPr>
      </w:pPr>
      <w:r>
        <w:rPr>
          <w:kern w:val="0"/>
        </w:rPr>
        <w:t xml:space="preserve">Full Text: </w:t>
      </w:r>
      <w:r w:rsidRPr="00206975">
        <w:rPr>
          <w:kern w:val="0"/>
        </w:rPr>
        <w:t>2014\Chest14</w:t>
      </w:r>
      <w:r>
        <w:rPr>
          <w:rFonts w:hint="eastAsia"/>
          <w:kern w:val="0"/>
        </w:rPr>
        <w:t>6</w:t>
      </w:r>
      <w:r w:rsidRPr="00206975">
        <w:rPr>
          <w:kern w:val="0"/>
        </w:rPr>
        <w:t xml:space="preserve">, </w:t>
      </w:r>
      <w:r>
        <w:rPr>
          <w:rFonts w:hint="eastAsia"/>
          <w:kern w:val="0"/>
        </w:rPr>
        <w:t>292</w:t>
      </w:r>
      <w:r w:rsidRPr="00206975">
        <w:rPr>
          <w:kern w:val="0"/>
        </w:rPr>
        <w:t>.pdf</w:t>
      </w:r>
    </w:p>
    <w:p w:rsidR="005B6453" w:rsidRDefault="005B6453" w:rsidP="005B6453">
      <w:pPr>
        <w:pStyle w:val="a3"/>
        <w:rPr>
          <w:kern w:val="0"/>
        </w:rPr>
      </w:pPr>
      <w:r>
        <w:rPr>
          <w:kern w:val="0"/>
        </w:rPr>
        <w:t xml:space="preserve">Abstract: BACKGROUND: Lobectomy for non-small cell lung cancer (NSCLC) can be </w:t>
      </w:r>
      <w:r>
        <w:rPr>
          <w:kern w:val="0"/>
        </w:rPr>
        <w:lastRenderedPageBreak/>
        <w:t>performed either through open thoracotomy or video-assisted thoracoscopic surgery (VATS). To improve the understanding of current attitudes of the thoracic community toward VATS lobectomy, the Collaborative Research Group conducted the Cross-sectional Survey on Lobectomy Approach (X-SOLA) study. We surveyed a large cohort of lobectomy-performing thoracic surgeons to examine their adoption of VATS lobectomy and their opinions of this technique vs conventional open thoracotomy. METHODS: Participants included thoracic surgeons identified through an international index search from the Web of Science and the cardiothoracic surgery network. A confidential questionnaire was e-mailed in June 2012. Nonresponders were given two reminder e-mails at monthly intervals. RESULTS: The questionnaire, completed by 838 thoracic surgeons within a 3-month period, identified 416 surgeons who only performed lobectomy through open thoracotomy and 422 surgeons who performed VATS or robotic VATS. Of those who performed VATS, 95% agreed with the definition of “true” VATS lobectomy according to the Cancer and Leukemia Group B trial. Ninety-two percent of surgeons who did not perform VATS lobectomy responded that they were willing to learn this technique, but were hindered by limited resources, exposure, and mentoring. Both groups agreed there was a need for VATS lobectomy training in thoracic residency programs and in standardized workshops. CONCLUSIONS: X-SOLA represents the largest cross-sectional report within the thoracic community to date, demonstrating the penetration of VATS lobectomy for NSCLC internationally. From our study, we were able to identify a number of obstacles to broaden the adoption of this minimally invasive technique.</w:t>
      </w:r>
    </w:p>
    <w:p w:rsidR="005B6453" w:rsidRDefault="005B6453" w:rsidP="005B6453">
      <w:pPr>
        <w:pStyle w:val="a3"/>
        <w:rPr>
          <w:kern w:val="0"/>
        </w:rPr>
      </w:pPr>
      <w:r>
        <w:rPr>
          <w:kern w:val="0"/>
        </w:rPr>
        <w:t>Keywords: Adoption, Approach, Assisted Thoracic-Surgery, Attitudes, Background, Cancer, Cell, Cell Lung-Cancer, Cohort, Community, Conclusions, Confidential, Conventional, Cross-Sectional, Definition, Exposure, Groups, Index, International, Intervals, Invasive, Leukemia, Lung, Lung Cancer, Metaanalysis, Methods, Network, NSCLC, Open, Opinions, Questionnaire, Research, Resection, Residency, Resources, Science, Surgery, Survey, Thoracoscopic Lobectomy, Training, Trial, Understanding, Web Of Science, Workshops</w:t>
      </w:r>
    </w:p>
    <w:p w:rsidR="00954395" w:rsidRDefault="00954395" w:rsidP="00954395">
      <w:pPr>
        <w:pStyle w:val="a3"/>
        <w:rPr>
          <w:kern w:val="0"/>
        </w:rPr>
      </w:pPr>
      <w:r>
        <w:rPr>
          <w:rFonts w:hint="eastAsia"/>
          <w:kern w:val="0"/>
        </w:rPr>
        <w:t xml:space="preserve">? </w:t>
      </w:r>
      <w:r>
        <w:rPr>
          <w:kern w:val="0"/>
        </w:rPr>
        <w:t xml:space="preserve">Miller, A.C., Ziad-Miller, A. and Elamin, E.M. (2014), Brain death and islam the interface of religion, culture, history, law, and modern medicine. </w:t>
      </w:r>
      <w:r>
        <w:rPr>
          <w:i/>
          <w:iCs/>
          <w:kern w:val="0"/>
        </w:rPr>
        <w:t>Chest</w:t>
      </w:r>
      <w:r>
        <w:rPr>
          <w:kern w:val="0"/>
        </w:rPr>
        <w:t xml:space="preserve">, </w:t>
      </w:r>
      <w:r>
        <w:rPr>
          <w:b/>
          <w:bCs/>
          <w:kern w:val="0"/>
        </w:rPr>
        <w:t>146</w:t>
      </w:r>
      <w:r>
        <w:rPr>
          <w:kern w:val="0"/>
        </w:rPr>
        <w:t xml:space="preserve"> (4), 1092-1101.</w:t>
      </w:r>
    </w:p>
    <w:p w:rsidR="00954395" w:rsidRDefault="00954395" w:rsidP="00954395">
      <w:pPr>
        <w:pStyle w:val="a3"/>
        <w:rPr>
          <w:kern w:val="0"/>
        </w:rPr>
      </w:pPr>
      <w:r>
        <w:rPr>
          <w:kern w:val="0"/>
        </w:rPr>
        <w:t xml:space="preserve">Full Text: </w:t>
      </w:r>
      <w:r w:rsidRPr="00206975">
        <w:rPr>
          <w:kern w:val="0"/>
        </w:rPr>
        <w:t>2014\Chest14</w:t>
      </w:r>
      <w:r>
        <w:rPr>
          <w:rFonts w:hint="eastAsia"/>
          <w:kern w:val="0"/>
        </w:rPr>
        <w:t>6</w:t>
      </w:r>
      <w:r w:rsidRPr="00206975">
        <w:rPr>
          <w:kern w:val="0"/>
        </w:rPr>
        <w:t xml:space="preserve">, </w:t>
      </w:r>
      <w:r>
        <w:rPr>
          <w:kern w:val="0"/>
        </w:rPr>
        <w:t>1092</w:t>
      </w:r>
      <w:r w:rsidRPr="00206975">
        <w:rPr>
          <w:kern w:val="0"/>
        </w:rPr>
        <w:t>.pdf</w:t>
      </w:r>
    </w:p>
    <w:p w:rsidR="00954395" w:rsidRDefault="00954395" w:rsidP="00954395">
      <w:pPr>
        <w:pStyle w:val="a3"/>
        <w:rPr>
          <w:kern w:val="0"/>
        </w:rPr>
      </w:pPr>
      <w:r>
        <w:rPr>
          <w:kern w:val="0"/>
        </w:rPr>
        <w:t xml:space="preserve">Abstract: How one defines death may vary. It is important for clinicians to recognize those aspects of a patient’s religious beliefs that may directly influence medical care and how such practices may interface with local laws governing the determination of death. Debate continues about the validity and certainty of brain death criteria within Islamic traditions. A search of PubMed, Scopus, EMBASE, Web of Science, </w:t>
      </w:r>
      <w:r>
        <w:rPr>
          <w:kern w:val="0"/>
        </w:rPr>
        <w:lastRenderedPageBreak/>
        <w:t>PsycNet, Sociological Abstracts, DIALOGUE ProQuest, Lexus Nexus, Google, and applicable religious texts was conducted to address the question of whether brain death is accepted as true death among Islamic scholars and clinicians and to discuss how divergent opinions may affect clinical care. The results of the literature review inform this discussion. Brain death has been acknowledged as representing true death by many Muslim scholars and medical organizations, including the Islamic Fiqh Academies of the Organization of the Islamic Conference and the Muslim World League, the Islamic Medical Association of North America, and other faith-based medical organizations as well as legal rulings by multiple Islamic nations. However, consensus in the Muslim world is not unanimous, and a sizable minority accepts death by cardiopulmonary criteria only.</w:t>
      </w:r>
    </w:p>
    <w:p w:rsidR="00954395" w:rsidRDefault="00954395" w:rsidP="00954395">
      <w:pPr>
        <w:pStyle w:val="a3"/>
        <w:rPr>
          <w:kern w:val="0"/>
        </w:rPr>
      </w:pPr>
      <w:r>
        <w:rPr>
          <w:kern w:val="0"/>
        </w:rPr>
        <w:t>Keywords: 10-Year Experience, Affect, Association, Beliefs, Bioethics, Brain, Brain Death, Cardiopulmonary, Care, Clinical, Conference, Consensus, Criteria, Culture, Death, Dialogue, Embase, End-Of-Life, Ethics, Google, History, Influence, Interface, Islam, Law, Laws, Legal, Literature, Literature Review, Local, Medical, Medical Care, Medicine, Muslim, Nations, North, North America, Opinions, Organ Donation, Practices, Pubmed, Religion, Review, Saudi-Arabia, Science, Scopus, Transplantation, Validity, Web Of Science, World</w:t>
      </w:r>
    </w:p>
    <w:p w:rsidR="003F045B" w:rsidRPr="001A3D2B" w:rsidRDefault="003F045B" w:rsidP="003F045B">
      <w:pPr>
        <w:pStyle w:val="1"/>
      </w:pPr>
      <w:r w:rsidRPr="001A3D2B">
        <w:br w:type="page"/>
      </w:r>
      <w:bookmarkStart w:id="172" w:name="_Toc420814952"/>
      <w:r w:rsidRPr="001A3D2B">
        <w:lastRenderedPageBreak/>
        <w:t xml:space="preserve">Title: </w:t>
      </w:r>
      <w:r w:rsidRPr="001A3D2B">
        <w:rPr>
          <w:szCs w:val="24"/>
        </w:rPr>
        <w:t>CHI2009: Proceedings</w:t>
      </w:r>
      <w:r w:rsidR="00427468">
        <w:rPr>
          <w:szCs w:val="24"/>
        </w:rPr>
        <w:t xml:space="preserve"> of </w:t>
      </w:r>
      <w:r w:rsidR="003A1917">
        <w:rPr>
          <w:szCs w:val="24"/>
        </w:rPr>
        <w:t xml:space="preserve">the </w:t>
      </w:r>
      <w:r w:rsidRPr="001A3D2B">
        <w:rPr>
          <w:szCs w:val="24"/>
        </w:rPr>
        <w:t>27th Annual CHI Conference on Human Factors in Computing Systems</w:t>
      </w:r>
      <w:bookmarkEnd w:id="172"/>
    </w:p>
    <w:p w:rsidR="003F045B" w:rsidRPr="001A3D2B" w:rsidRDefault="003F045B" w:rsidP="003F045B">
      <w:pPr>
        <w:pStyle w:val="12"/>
      </w:pPr>
      <w:r w:rsidRPr="001A3D2B">
        <w:t xml:space="preserve">Full Journal Title: </w:t>
      </w:r>
      <w:r w:rsidRPr="001A3D2B">
        <w:rPr>
          <w:kern w:val="0"/>
        </w:rPr>
        <w:t>CHI2009: Proceedings</w:t>
      </w:r>
      <w:r w:rsidR="00427468">
        <w:rPr>
          <w:kern w:val="0"/>
        </w:rPr>
        <w:t xml:space="preserve"> of </w:t>
      </w:r>
      <w:r w:rsidR="003A1917">
        <w:rPr>
          <w:kern w:val="0"/>
        </w:rPr>
        <w:t xml:space="preserve">the </w:t>
      </w:r>
      <w:r w:rsidRPr="001A3D2B">
        <w:rPr>
          <w:kern w:val="0"/>
        </w:rPr>
        <w:t>27th Annual CHI Conference on Human Factors in Computing Systems</w:t>
      </w:r>
    </w:p>
    <w:p w:rsidR="003F045B" w:rsidRPr="001A3D2B" w:rsidRDefault="003F045B" w:rsidP="003F045B">
      <w:pPr>
        <w:pStyle w:val="12"/>
      </w:pPr>
      <w:r w:rsidRPr="001A3D2B">
        <w:t xml:space="preserve">ISO Abbreviated Title: </w:t>
      </w:r>
    </w:p>
    <w:p w:rsidR="003F045B" w:rsidRPr="001A3D2B" w:rsidRDefault="003F045B" w:rsidP="003F045B">
      <w:pPr>
        <w:pStyle w:val="12"/>
      </w:pPr>
      <w:r w:rsidRPr="001A3D2B">
        <w:t xml:space="preserve">JCR Abbreviated Title: </w:t>
      </w:r>
    </w:p>
    <w:p w:rsidR="003F045B" w:rsidRPr="001A3D2B" w:rsidRDefault="003F045B" w:rsidP="003F045B">
      <w:pPr>
        <w:pStyle w:val="12"/>
      </w:pPr>
      <w:r w:rsidRPr="001A3D2B">
        <w:t xml:space="preserve">ISSN: </w:t>
      </w:r>
    </w:p>
    <w:p w:rsidR="003F045B" w:rsidRPr="001A3D2B" w:rsidRDefault="003F045B" w:rsidP="003F045B">
      <w:pPr>
        <w:pStyle w:val="12"/>
      </w:pPr>
      <w:r w:rsidRPr="001A3D2B">
        <w:t xml:space="preserve">Issues/Year: </w:t>
      </w:r>
    </w:p>
    <w:p w:rsidR="003F045B" w:rsidRPr="001A3D2B" w:rsidRDefault="00AA25A4" w:rsidP="003F045B">
      <w:pPr>
        <w:pStyle w:val="12"/>
      </w:pPr>
      <w:r w:rsidRPr="001A3D2B">
        <w:t>Journal Country/Territory:</w:t>
      </w:r>
      <w:r w:rsidR="008F46E9" w:rsidRPr="001A3D2B">
        <w:t xml:space="preserve"> </w:t>
      </w:r>
    </w:p>
    <w:p w:rsidR="003F045B" w:rsidRPr="001A3D2B" w:rsidRDefault="003F045B" w:rsidP="003F045B">
      <w:pPr>
        <w:pStyle w:val="12"/>
      </w:pPr>
      <w:r w:rsidRPr="001A3D2B">
        <w:t xml:space="preserve">Language: </w:t>
      </w:r>
    </w:p>
    <w:p w:rsidR="003F045B" w:rsidRPr="001A3D2B" w:rsidRDefault="003F045B" w:rsidP="003F045B">
      <w:pPr>
        <w:pStyle w:val="12"/>
      </w:pPr>
      <w:r w:rsidRPr="001A3D2B">
        <w:t xml:space="preserve">Publisher: </w:t>
      </w:r>
    </w:p>
    <w:p w:rsidR="003F045B" w:rsidRPr="001A3D2B" w:rsidRDefault="003F045B" w:rsidP="003F045B">
      <w:pPr>
        <w:pStyle w:val="12"/>
      </w:pPr>
      <w:r w:rsidRPr="001A3D2B">
        <w:t xml:space="preserve">Publisher Address: </w:t>
      </w:r>
    </w:p>
    <w:p w:rsidR="003F045B" w:rsidRPr="001A3D2B" w:rsidRDefault="003F045B" w:rsidP="003F045B">
      <w:pPr>
        <w:pStyle w:val="12"/>
      </w:pPr>
      <w:r w:rsidRPr="001A3D2B">
        <w:t xml:space="preserve">Subject Categories: </w:t>
      </w:r>
    </w:p>
    <w:p w:rsidR="003F045B" w:rsidRPr="001A3D2B" w:rsidRDefault="003F045B" w:rsidP="003F045B">
      <w:pPr>
        <w:pStyle w:val="12"/>
      </w:pPr>
      <w:r w:rsidRPr="001A3D2B">
        <w:t xml:space="preserve">: Impact Factor </w:t>
      </w:r>
    </w:p>
    <w:p w:rsidR="003F045B" w:rsidRPr="001A3D2B" w:rsidRDefault="003F045B" w:rsidP="003F045B">
      <w:pPr>
        <w:pStyle w:val="a3"/>
        <w:rPr>
          <w:kern w:val="0"/>
          <w:szCs w:val="24"/>
        </w:rPr>
      </w:pPr>
      <w:r w:rsidRPr="001A3D2B">
        <w:rPr>
          <w:kern w:val="0"/>
          <w:szCs w:val="24"/>
        </w:rPr>
        <w:t>? Bartneck, C.</w:t>
      </w:r>
      <w:r w:rsidR="005853A9">
        <w:rPr>
          <w:kern w:val="0"/>
          <w:szCs w:val="24"/>
        </w:rPr>
        <w:t xml:space="preserve"> and </w:t>
      </w:r>
      <w:r w:rsidRPr="001A3D2B">
        <w:rPr>
          <w:kern w:val="0"/>
          <w:szCs w:val="24"/>
        </w:rPr>
        <w:t>Hu, J. (2009), Scientometric analysis</w:t>
      </w:r>
      <w:r w:rsidR="00427468">
        <w:rPr>
          <w:kern w:val="0"/>
          <w:szCs w:val="24"/>
        </w:rPr>
        <w:t xml:space="preserve"> of </w:t>
      </w:r>
      <w:r w:rsidR="003A1917">
        <w:rPr>
          <w:kern w:val="0"/>
          <w:szCs w:val="24"/>
        </w:rPr>
        <w:t xml:space="preserve">the </w:t>
      </w:r>
      <w:r w:rsidRPr="001A3D2B">
        <w:rPr>
          <w:kern w:val="0"/>
          <w:szCs w:val="24"/>
        </w:rPr>
        <w:t xml:space="preserve">CHI Proceedings. </w:t>
      </w:r>
      <w:r w:rsidRPr="001A3D2B">
        <w:rPr>
          <w:i/>
          <w:iCs/>
          <w:kern w:val="0"/>
          <w:szCs w:val="24"/>
        </w:rPr>
        <w:t>CHI2009: Proceedings</w:t>
      </w:r>
      <w:r w:rsidR="00427468">
        <w:rPr>
          <w:i/>
          <w:iCs/>
          <w:kern w:val="0"/>
          <w:szCs w:val="24"/>
        </w:rPr>
        <w:t xml:space="preserve"> of </w:t>
      </w:r>
      <w:r w:rsidR="003A1917">
        <w:rPr>
          <w:i/>
          <w:iCs/>
          <w:kern w:val="0"/>
          <w:szCs w:val="24"/>
        </w:rPr>
        <w:t xml:space="preserve">the </w:t>
      </w:r>
      <w:r w:rsidRPr="001A3D2B">
        <w:rPr>
          <w:i/>
          <w:iCs/>
          <w:kern w:val="0"/>
          <w:szCs w:val="24"/>
        </w:rPr>
        <w:t>27th Annual CHI Conference on Human Factors in Computing Systems</w:t>
      </w:r>
      <w:r w:rsidRPr="001A3D2B">
        <w:rPr>
          <w:kern w:val="0"/>
          <w:szCs w:val="24"/>
        </w:rPr>
        <w:t xml:space="preserve">, </w:t>
      </w:r>
      <w:r w:rsidRPr="001A3D2B">
        <w:rPr>
          <w:b/>
          <w:bCs/>
          <w:kern w:val="0"/>
          <w:szCs w:val="24"/>
        </w:rPr>
        <w:t>1-4</w:t>
      </w:r>
      <w:r w:rsidRPr="001A3D2B">
        <w:rPr>
          <w:kern w:val="0"/>
          <w:szCs w:val="24"/>
        </w:rPr>
        <w:t>, 699-708.</w:t>
      </w:r>
    </w:p>
    <w:p w:rsidR="003F045B" w:rsidRPr="001A3D2B" w:rsidRDefault="003F045B" w:rsidP="003F045B">
      <w:pPr>
        <w:pStyle w:val="a3"/>
        <w:rPr>
          <w:kern w:val="0"/>
          <w:szCs w:val="24"/>
        </w:rPr>
      </w:pPr>
      <w:r w:rsidRPr="001A3D2B">
        <w:rPr>
          <w:kern w:val="0"/>
          <w:szCs w:val="24"/>
        </w:rPr>
        <w:t>Abstract:</w:t>
      </w:r>
      <w:r w:rsidR="003A1917">
        <w:rPr>
          <w:kern w:val="0"/>
          <w:szCs w:val="24"/>
        </w:rPr>
        <w:t xml:space="preserve"> the </w:t>
      </w:r>
      <w:r w:rsidRPr="001A3D2B">
        <w:rPr>
          <w:kern w:val="0"/>
          <w:szCs w:val="24"/>
        </w:rPr>
        <w:t>CHI conference has grown rapidly over</w:t>
      </w:r>
      <w:r w:rsidR="003A1917">
        <w:rPr>
          <w:kern w:val="0"/>
          <w:szCs w:val="24"/>
        </w:rPr>
        <w:t xml:space="preserve"> the </w:t>
      </w:r>
      <w:r w:rsidRPr="001A3D2B">
        <w:rPr>
          <w:kern w:val="0"/>
          <w:szCs w:val="24"/>
        </w:rPr>
        <w:t>last 26 years. We present a quantitative analysis on</w:t>
      </w:r>
      <w:r w:rsidR="003A1917">
        <w:rPr>
          <w:kern w:val="0"/>
          <w:szCs w:val="24"/>
        </w:rPr>
        <w:t xml:space="preserve"> the </w:t>
      </w:r>
      <w:r w:rsidRPr="001A3D2B">
        <w:rPr>
          <w:kern w:val="0"/>
          <w:szCs w:val="24"/>
        </w:rPr>
        <w:t>countries</w:t>
      </w:r>
      <w:r w:rsidR="005853A9">
        <w:rPr>
          <w:kern w:val="0"/>
          <w:szCs w:val="24"/>
        </w:rPr>
        <w:t xml:space="preserve"> and </w:t>
      </w:r>
      <w:r w:rsidRPr="001A3D2B">
        <w:rPr>
          <w:kern w:val="0"/>
          <w:szCs w:val="24"/>
        </w:rPr>
        <w:t>organizations that contribute to its success. Only 7.8 percent</w:t>
      </w:r>
      <w:r w:rsidR="00427468">
        <w:rPr>
          <w:kern w:val="0"/>
          <w:szCs w:val="24"/>
        </w:rPr>
        <w:t xml:space="preserve"> of </w:t>
      </w:r>
      <w:r w:rsidR="003A1917">
        <w:rPr>
          <w:kern w:val="0"/>
          <w:szCs w:val="24"/>
        </w:rPr>
        <w:t xml:space="preserve">the </w:t>
      </w:r>
      <w:r w:rsidRPr="001A3D2B">
        <w:rPr>
          <w:kern w:val="0"/>
          <w:szCs w:val="24"/>
        </w:rPr>
        <w:t>countries are responsible for 80 percent</w:t>
      </w:r>
      <w:r w:rsidR="00427468">
        <w:rPr>
          <w:kern w:val="0"/>
          <w:szCs w:val="24"/>
        </w:rPr>
        <w:t xml:space="preserve"> of </w:t>
      </w:r>
      <w:r w:rsidR="003A1917">
        <w:rPr>
          <w:kern w:val="0"/>
          <w:szCs w:val="24"/>
        </w:rPr>
        <w:t xml:space="preserve">the </w:t>
      </w:r>
      <w:r w:rsidRPr="001A3D2B">
        <w:rPr>
          <w:kern w:val="0"/>
          <w:szCs w:val="24"/>
        </w:rPr>
        <w:t>papers in</w:t>
      </w:r>
      <w:r w:rsidR="003A1917">
        <w:rPr>
          <w:kern w:val="0"/>
          <w:szCs w:val="24"/>
        </w:rPr>
        <w:t xml:space="preserve"> the </w:t>
      </w:r>
      <w:r w:rsidRPr="001A3D2B">
        <w:rPr>
          <w:kern w:val="0"/>
          <w:szCs w:val="24"/>
        </w:rPr>
        <w:t>CHI proceedings,</w:t>
      </w:r>
      <w:r w:rsidR="005853A9">
        <w:rPr>
          <w:kern w:val="0"/>
          <w:szCs w:val="24"/>
        </w:rPr>
        <w:t xml:space="preserve"> and </w:t>
      </w:r>
      <w:r w:rsidR="003A1917">
        <w:rPr>
          <w:kern w:val="0"/>
          <w:szCs w:val="24"/>
        </w:rPr>
        <w:t xml:space="preserve">the </w:t>
      </w:r>
      <w:r w:rsidR="00D5664A">
        <w:rPr>
          <w:kern w:val="0"/>
          <w:szCs w:val="24"/>
        </w:rPr>
        <w:t>USA</w:t>
      </w:r>
      <w:r w:rsidRPr="001A3D2B">
        <w:rPr>
          <w:kern w:val="0"/>
          <w:szCs w:val="24"/>
        </w:rPr>
        <w:t xml:space="preserve"> is clearly</w:t>
      </w:r>
      <w:r w:rsidR="003A1917">
        <w:rPr>
          <w:kern w:val="0"/>
          <w:szCs w:val="24"/>
        </w:rPr>
        <w:t xml:space="preserve"> the </w:t>
      </w:r>
      <w:r w:rsidRPr="001A3D2B">
        <w:rPr>
          <w:kern w:val="0"/>
          <w:szCs w:val="24"/>
        </w:rPr>
        <w:t>country with most papers. But</w:t>
      </w:r>
      <w:r w:rsidR="003A1917">
        <w:rPr>
          <w:kern w:val="0"/>
          <w:szCs w:val="24"/>
        </w:rPr>
        <w:t xml:space="preserve"> the </w:t>
      </w:r>
      <w:r w:rsidRPr="001A3D2B">
        <w:rPr>
          <w:kern w:val="0"/>
          <w:szCs w:val="24"/>
        </w:rPr>
        <w:t>success</w:t>
      </w:r>
      <w:r w:rsidR="00427468">
        <w:rPr>
          <w:kern w:val="0"/>
          <w:szCs w:val="24"/>
        </w:rPr>
        <w:t xml:space="preserve"> of </w:t>
      </w:r>
      <w:r w:rsidRPr="001A3D2B">
        <w:rPr>
          <w:kern w:val="0"/>
          <w:szCs w:val="24"/>
        </w:rPr>
        <w:t>a country or organization does not depend only on</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accepted papers, but also on their quality. We present a ranking</w:t>
      </w:r>
      <w:r w:rsidR="00427468">
        <w:rPr>
          <w:kern w:val="0"/>
          <w:szCs w:val="24"/>
        </w:rPr>
        <w:t xml:space="preserve"> of </w:t>
      </w:r>
      <w:r w:rsidRPr="001A3D2B">
        <w:rPr>
          <w:kern w:val="0"/>
          <w:szCs w:val="24"/>
        </w:rPr>
        <w:t>countries</w:t>
      </w:r>
      <w:r w:rsidR="005853A9">
        <w:rPr>
          <w:kern w:val="0"/>
          <w:szCs w:val="24"/>
        </w:rPr>
        <w:t xml:space="preserve"> and </w:t>
      </w:r>
      <w:r w:rsidRPr="001A3D2B">
        <w:rPr>
          <w:kern w:val="0"/>
          <w:szCs w:val="24"/>
        </w:rPr>
        <w:t>organizations based on</w:t>
      </w:r>
      <w:r w:rsidR="003A1917">
        <w:rPr>
          <w:kern w:val="0"/>
          <w:szCs w:val="24"/>
        </w:rPr>
        <w:t xml:space="preserve"> the </w:t>
      </w:r>
      <w:r w:rsidR="00D5664A">
        <w:rPr>
          <w:kern w:val="0"/>
          <w:szCs w:val="24"/>
        </w:rPr>
        <w:t>h-Index</w:t>
      </w:r>
      <w:r w:rsidRPr="001A3D2B">
        <w:rPr>
          <w:kern w:val="0"/>
          <w:szCs w:val="24"/>
        </w:rPr>
        <w:t>, an indicator that tries to balance</w:t>
      </w:r>
      <w:r w:rsidR="003A1917">
        <w:rPr>
          <w:kern w:val="0"/>
          <w:szCs w:val="24"/>
        </w:rPr>
        <w:t xml:space="preserve"> the </w:t>
      </w:r>
      <w:r w:rsidRPr="001A3D2B">
        <w:rPr>
          <w:kern w:val="0"/>
          <w:szCs w:val="24"/>
        </w:rPr>
        <w:t>quantity</w:t>
      </w:r>
      <w:r w:rsidR="005853A9">
        <w:rPr>
          <w:kern w:val="0"/>
          <w:szCs w:val="24"/>
        </w:rPr>
        <w:t xml:space="preserve"> and </w:t>
      </w:r>
      <w:r w:rsidRPr="001A3D2B">
        <w:rPr>
          <w:kern w:val="0"/>
          <w:szCs w:val="24"/>
        </w:rPr>
        <w:t>quality</w:t>
      </w:r>
      <w:r w:rsidR="00427468">
        <w:rPr>
          <w:kern w:val="0"/>
          <w:szCs w:val="24"/>
        </w:rPr>
        <w:t xml:space="preserve"> of </w:t>
      </w:r>
      <w:r w:rsidRPr="001A3D2B">
        <w:rPr>
          <w:kern w:val="0"/>
          <w:szCs w:val="24"/>
        </w:rPr>
        <w:t>scientific output based on a. bibliometric analysis</w:t>
      </w:r>
      <w:r w:rsidR="00A37C1D">
        <w:rPr>
          <w:kern w:val="0"/>
          <w:szCs w:val="24"/>
        </w:rPr>
        <w:t>. The</w:t>
      </w:r>
      <w:r w:rsidR="003A1917">
        <w:rPr>
          <w:kern w:val="0"/>
          <w:szCs w:val="24"/>
        </w:rPr>
        <w:t xml:space="preserve"> </w:t>
      </w:r>
      <w:r w:rsidRPr="001A3D2B">
        <w:rPr>
          <w:kern w:val="0"/>
          <w:szCs w:val="24"/>
        </w:rPr>
        <w:t>bibliometric analysis also allowed us to demonstrate</w:t>
      </w:r>
      <w:r w:rsidR="003A1917">
        <w:rPr>
          <w:kern w:val="0"/>
          <w:szCs w:val="24"/>
        </w:rPr>
        <w:t xml:space="preserve"> the </w:t>
      </w:r>
      <w:r w:rsidRPr="001A3D2B">
        <w:rPr>
          <w:kern w:val="0"/>
          <w:szCs w:val="24"/>
        </w:rPr>
        <w:t>difficulty</w:t>
      </w:r>
      <w:r w:rsidR="00427468">
        <w:rPr>
          <w:kern w:val="0"/>
          <w:szCs w:val="24"/>
        </w:rPr>
        <w:t xml:space="preserve"> of </w:t>
      </w:r>
      <w:r w:rsidRPr="001A3D2B">
        <w:rPr>
          <w:kern w:val="0"/>
          <w:szCs w:val="24"/>
        </w:rPr>
        <w:t>judging quality</w:t>
      </w:r>
      <w:r w:rsidR="00A37C1D">
        <w:rPr>
          <w:kern w:val="0"/>
          <w:szCs w:val="24"/>
        </w:rPr>
        <w:t>. The</w:t>
      </w:r>
      <w:r w:rsidR="003A1917">
        <w:rPr>
          <w:kern w:val="0"/>
          <w:szCs w:val="24"/>
        </w:rPr>
        <w:t xml:space="preserve"> </w:t>
      </w:r>
      <w:r w:rsidRPr="001A3D2B">
        <w:rPr>
          <w:kern w:val="0"/>
          <w:szCs w:val="24"/>
        </w:rPr>
        <w:t>papers acknowledged by</w:t>
      </w:r>
      <w:r w:rsidR="003A1917">
        <w:rPr>
          <w:kern w:val="0"/>
          <w:szCs w:val="24"/>
        </w:rPr>
        <w:t xml:space="preserve"> the </w:t>
      </w:r>
      <w:r w:rsidRPr="001A3D2B">
        <w:rPr>
          <w:kern w:val="0"/>
          <w:szCs w:val="24"/>
        </w:rPr>
        <w:t>best paper award committee were not cited more often than a random sample</w:t>
      </w:r>
      <w:r w:rsidR="00427468">
        <w:rPr>
          <w:kern w:val="0"/>
          <w:szCs w:val="24"/>
        </w:rPr>
        <w:t xml:space="preserve"> of </w:t>
      </w:r>
      <w:r w:rsidRPr="001A3D2B">
        <w:rPr>
          <w:kern w:val="0"/>
          <w:szCs w:val="24"/>
        </w:rPr>
        <w:t>papers from</w:t>
      </w:r>
      <w:r w:rsidR="003A1917">
        <w:rPr>
          <w:kern w:val="0"/>
          <w:szCs w:val="24"/>
        </w:rPr>
        <w:t xml:space="preserve"> the </w:t>
      </w:r>
      <w:r w:rsidRPr="001A3D2B">
        <w:rPr>
          <w:kern w:val="0"/>
          <w:szCs w:val="24"/>
        </w:rPr>
        <w:t>same years</w:t>
      </w:r>
      <w:r w:rsidR="00A37C1D">
        <w:rPr>
          <w:kern w:val="0"/>
          <w:szCs w:val="24"/>
        </w:rPr>
        <w:t>. The</w:t>
      </w:r>
      <w:r w:rsidR="003A1917">
        <w:rPr>
          <w:kern w:val="0"/>
          <w:szCs w:val="24"/>
        </w:rPr>
        <w:t xml:space="preserve"> </w:t>
      </w:r>
      <w:r w:rsidRPr="001A3D2B">
        <w:rPr>
          <w:kern w:val="0"/>
          <w:szCs w:val="24"/>
        </w:rPr>
        <w:t>merit</w:t>
      </w:r>
      <w:r w:rsidR="00427468">
        <w:rPr>
          <w:kern w:val="0"/>
          <w:szCs w:val="24"/>
        </w:rPr>
        <w:t xml:space="preserve"> of </w:t>
      </w:r>
      <w:r w:rsidR="003A1917">
        <w:rPr>
          <w:kern w:val="0"/>
          <w:szCs w:val="24"/>
        </w:rPr>
        <w:t xml:space="preserve">the </w:t>
      </w:r>
      <w:r w:rsidRPr="001A3D2B">
        <w:rPr>
          <w:kern w:val="0"/>
          <w:szCs w:val="24"/>
        </w:rPr>
        <w:t>award is therefore unclear,</w:t>
      </w:r>
      <w:r w:rsidR="005853A9">
        <w:rPr>
          <w:kern w:val="0"/>
          <w:szCs w:val="24"/>
        </w:rPr>
        <w:t xml:space="preserve"> and </w:t>
      </w:r>
      <w:r w:rsidRPr="001A3D2B">
        <w:rPr>
          <w:kern w:val="0"/>
          <w:szCs w:val="24"/>
        </w:rPr>
        <w:t>it might be worthwhile to allow</w:t>
      </w:r>
      <w:r w:rsidR="003A1917">
        <w:rPr>
          <w:kern w:val="0"/>
          <w:szCs w:val="24"/>
        </w:rPr>
        <w:t xml:space="preserve"> the </w:t>
      </w:r>
      <w:r w:rsidRPr="001A3D2B">
        <w:rPr>
          <w:kern w:val="0"/>
          <w:szCs w:val="24"/>
        </w:rPr>
        <w:t>visitor to</w:t>
      </w:r>
      <w:r w:rsidR="003A1917">
        <w:rPr>
          <w:kern w:val="0"/>
          <w:szCs w:val="24"/>
        </w:rPr>
        <w:t xml:space="preserve"> the </w:t>
      </w:r>
      <w:r w:rsidRPr="001A3D2B">
        <w:rPr>
          <w:kern w:val="0"/>
          <w:szCs w:val="24"/>
        </w:rPr>
        <w:t>conference to vote for</w:t>
      </w:r>
      <w:r w:rsidR="003A1917">
        <w:rPr>
          <w:kern w:val="0"/>
          <w:szCs w:val="24"/>
        </w:rPr>
        <w:t xml:space="preserve"> the </w:t>
      </w:r>
      <w:r w:rsidRPr="001A3D2B">
        <w:rPr>
          <w:kern w:val="0"/>
          <w:szCs w:val="24"/>
        </w:rPr>
        <w:t>best paper.</w:t>
      </w:r>
    </w:p>
    <w:p w:rsidR="003F045B" w:rsidRPr="001A3D2B" w:rsidRDefault="003F045B" w:rsidP="003F045B">
      <w:pPr>
        <w:pStyle w:val="a3"/>
        <w:rPr>
          <w:kern w:val="0"/>
          <w:szCs w:val="24"/>
        </w:rPr>
      </w:pPr>
      <w:r w:rsidRPr="001A3D2B">
        <w:rPr>
          <w:kern w:val="0"/>
          <w:szCs w:val="24"/>
        </w:rPr>
        <w:t xml:space="preserve">Keywords: Analysis, Balance, Bibliometric, Bibliometric Analysis, Bibliometrics, CHI, Citation Analysis, Committee, Country, Counts, g-Index, Google-Scholar, </w:t>
      </w:r>
      <w:r w:rsidR="00D5664A">
        <w:rPr>
          <w:kern w:val="0"/>
          <w:szCs w:val="24"/>
        </w:rPr>
        <w:t>H Index</w:t>
      </w:r>
      <w:r w:rsidRPr="001A3D2B">
        <w:rPr>
          <w:kern w:val="0"/>
          <w:szCs w:val="24"/>
        </w:rPr>
        <w:t xml:space="preserve">, </w:t>
      </w:r>
      <w:r w:rsidR="00D5664A">
        <w:rPr>
          <w:kern w:val="0"/>
          <w:szCs w:val="24"/>
        </w:rPr>
        <w:t>h-Index</w:t>
      </w:r>
      <w:r w:rsidRPr="001A3D2B">
        <w:rPr>
          <w:kern w:val="0"/>
          <w:szCs w:val="24"/>
        </w:rPr>
        <w:t xml:space="preserve">, History, Impact, Index, Indicator, Organization, Organizations, Papers, Quality, Quality, Quality of, Quantitative Analysis, Random Sample, Ranking, Science, Scientific Output, Scopus, Success, </w:t>
      </w:r>
      <w:r w:rsidR="00D5664A">
        <w:rPr>
          <w:kern w:val="0"/>
          <w:szCs w:val="24"/>
        </w:rPr>
        <w:t>USA</w:t>
      </w:r>
      <w:r w:rsidRPr="001A3D2B">
        <w:rPr>
          <w:kern w:val="0"/>
          <w:szCs w:val="24"/>
        </w:rPr>
        <w:t>, Web</w:t>
      </w:r>
    </w:p>
    <w:p w:rsidR="003474F2" w:rsidRPr="001A3D2B" w:rsidRDefault="003474F2" w:rsidP="003474F2">
      <w:pPr>
        <w:pStyle w:val="1"/>
      </w:pPr>
      <w:r w:rsidRPr="001A3D2B">
        <w:br w:type="page"/>
      </w:r>
      <w:bookmarkStart w:id="173" w:name="_Toc420814953"/>
      <w:r w:rsidRPr="001A3D2B">
        <w:lastRenderedPageBreak/>
        <w:t xml:space="preserve">Title: </w:t>
      </w:r>
      <w:r w:rsidRPr="001A3D2B">
        <w:rPr>
          <w:iCs w:val="0"/>
        </w:rPr>
        <w:t>Child Abuse &amp; Neglect</w:t>
      </w:r>
      <w:bookmarkEnd w:id="173"/>
    </w:p>
    <w:p w:rsidR="003474F2" w:rsidRPr="001A3D2B" w:rsidRDefault="003474F2" w:rsidP="003474F2">
      <w:pPr>
        <w:pStyle w:val="12"/>
      </w:pPr>
      <w:r w:rsidRPr="001A3D2B">
        <w:t>Full Journal Title: Child Abuse &amp; Neglect</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 RReview</w:t>
      </w:r>
    </w:p>
    <w:p w:rsidR="003474F2" w:rsidRDefault="003474F2" w:rsidP="003474F2">
      <w:pPr>
        <w:pStyle w:val="a3"/>
      </w:pPr>
      <w:r w:rsidRPr="001A3D2B">
        <w:t xml:space="preserve">? Lalor, K. (2004), Child sexual abuse in sub-Saharan Africa: A literature review. </w:t>
      </w:r>
      <w:r w:rsidRPr="001A3D2B">
        <w:rPr>
          <w:i/>
          <w:iCs/>
        </w:rPr>
        <w:t>Child Abuse &amp; Neglect</w:t>
      </w:r>
      <w:r w:rsidRPr="001A3D2B">
        <w:t xml:space="preserve">, </w:t>
      </w:r>
      <w:r w:rsidRPr="001A3D2B">
        <w:rPr>
          <w:b/>
          <w:bCs/>
        </w:rPr>
        <w:t>28</w:t>
      </w:r>
      <w:r w:rsidRPr="001A3D2B">
        <w:t xml:space="preserve"> (4), 439-460.</w:t>
      </w:r>
    </w:p>
    <w:p w:rsidR="00197F9D" w:rsidRPr="001A3D2B" w:rsidRDefault="00197F9D" w:rsidP="003474F2">
      <w:pPr>
        <w:pStyle w:val="a3"/>
      </w:pPr>
      <w:r>
        <w:rPr>
          <w:rFonts w:hint="eastAsia"/>
        </w:rPr>
        <w:t xml:space="preserve">Full Text: </w:t>
      </w:r>
      <w:hyperlink r:id="rId194" w:history="1">
        <w:r w:rsidRPr="00197F9D">
          <w:rPr>
            <w:rStyle w:val="a5"/>
          </w:rPr>
          <w:t>2004\Chi Abu Neg28, 439.pdf</w:t>
        </w:r>
      </w:hyperlink>
    </w:p>
    <w:p w:rsidR="003474F2" w:rsidRPr="001A3D2B" w:rsidRDefault="003474F2" w:rsidP="003474F2">
      <w:pPr>
        <w:pStyle w:val="a3"/>
      </w:pPr>
      <w:r w:rsidRPr="001A3D2B">
        <w:t>Abstract: Objective: This article reviews</w:t>
      </w:r>
      <w:r w:rsidR="003A1917">
        <w:t xml:space="preserve"> the </w:t>
      </w:r>
      <w:r w:rsidRPr="001A3D2B">
        <w:t>English-language literature on child sexual abuse in sub-Saharan Africa (SSA)</w:t>
      </w:r>
      <w:r w:rsidR="00A37C1D">
        <w:t>. The</w:t>
      </w:r>
      <w:r w:rsidR="003A1917">
        <w:t xml:space="preserve"> </w:t>
      </w:r>
      <w:r w:rsidRPr="001A3D2B">
        <w:t>focus is on</w:t>
      </w:r>
      <w:r w:rsidR="003A1917">
        <w:t xml:space="preserve"> the </w:t>
      </w:r>
      <w:r w:rsidRPr="001A3D2B">
        <w:t>sexual abuse</w:t>
      </w:r>
      <w:r w:rsidR="00427468">
        <w:t xml:space="preserve"> of </w:t>
      </w:r>
      <w:r w:rsidRPr="001A3D2B">
        <w:t>children in</w:t>
      </w:r>
      <w:r w:rsidR="003A1917">
        <w:t xml:space="preserve"> the </w:t>
      </w:r>
      <w:r w:rsidRPr="001A3D2B">
        <w:t>home/community, as opposed to</w:t>
      </w:r>
      <w:r w:rsidR="003A1917">
        <w:t xml:space="preserve"> the </w:t>
      </w:r>
      <w:r w:rsidRPr="001A3D2B">
        <w:t>commercial sexual exploitation</w:t>
      </w:r>
      <w:r w:rsidR="00427468">
        <w:t xml:space="preserve"> of </w:t>
      </w:r>
      <w:r w:rsidRPr="001A3D2B">
        <w:t>children. Methods: English language, peer-reviewed papers cited in</w:t>
      </w:r>
      <w:r w:rsidR="003A1917">
        <w:t xml:space="preserve"> the </w:t>
      </w:r>
      <w:r w:rsidRPr="001A3D2B">
        <w:t>Social Sciences Citation Index (</w:t>
      </w:r>
      <w:r w:rsidR="00D5664A">
        <w:t>SSCI</w:t>
      </w:r>
      <w:r w:rsidRPr="001A3D2B">
        <w:t>) are examined. Reports from international</w:t>
      </w:r>
      <w:r w:rsidR="005853A9">
        <w:t xml:space="preserve"> and </w:t>
      </w:r>
      <w:r w:rsidRPr="001A3D2B">
        <w:t>local NGOs</w:t>
      </w:r>
      <w:r w:rsidR="005853A9">
        <w:t xml:space="preserve"> and </w:t>
      </w:r>
      <w:r w:rsidRPr="001A3D2B">
        <w:t>UN agencies are also examined. Results: Few published studies on</w:t>
      </w:r>
      <w:r w:rsidR="003A1917">
        <w:t xml:space="preserve"> the </w:t>
      </w:r>
      <w:r w:rsidRPr="001A3D2B">
        <w:t>sexual abuse</w:t>
      </w:r>
      <w:r w:rsidR="00427468">
        <w:t xml:space="preserve"> of </w:t>
      </w:r>
      <w:r w:rsidRPr="001A3D2B">
        <w:t>children have been conducted in</w:t>
      </w:r>
      <w:r w:rsidR="003A1917">
        <w:t xml:space="preserve"> the </w:t>
      </w:r>
      <w:r w:rsidRPr="001A3D2B">
        <w:t>region, with</w:t>
      </w:r>
      <w:r w:rsidR="003A1917">
        <w:t xml:space="preserve"> the </w:t>
      </w:r>
      <w:r w:rsidRPr="001A3D2B">
        <w:t>exception</w:t>
      </w:r>
      <w:r w:rsidR="00427468">
        <w:t xml:space="preserve"> of </w:t>
      </w:r>
      <w:r w:rsidRPr="001A3D2B">
        <w:t>South Africa. Samples are predominantly clinical or University based. A number</w:t>
      </w:r>
      <w:r w:rsidR="00427468">
        <w:t xml:space="preserve"> of </w:t>
      </w:r>
      <w:r w:rsidRPr="001A3D2B">
        <w:t>studies report that approximately 5%</w:t>
      </w:r>
      <w:r w:rsidR="00427468">
        <w:t xml:space="preserve"> of </w:t>
      </w:r>
      <w:r w:rsidR="003A1917">
        <w:t xml:space="preserve">the </w:t>
      </w:r>
      <w:r w:rsidRPr="001A3D2B">
        <w:t>sample reported penetrative sexual abuse during their childhood. No national survey</w:t>
      </w:r>
      <w:r w:rsidR="00427468">
        <w:t xml:space="preserve"> of </w:t>
      </w:r>
      <w:r w:rsidR="003A1917">
        <w:t xml:space="preserve">the </w:t>
      </w:r>
      <w:r w:rsidRPr="001A3D2B">
        <w:t>general population has been conducted</w:t>
      </w:r>
      <w:r w:rsidR="00A37C1D">
        <w:t>. The</w:t>
      </w:r>
      <w:r w:rsidR="003A1917">
        <w:t xml:space="preserve"> </w:t>
      </w:r>
      <w:r w:rsidRPr="001A3D2B">
        <w:t>most frequent explanations for</w:t>
      </w:r>
      <w:r w:rsidR="003A1917">
        <w:t xml:space="preserve"> the </w:t>
      </w:r>
      <w:r w:rsidRPr="001A3D2B">
        <w:t>sexual abuse</w:t>
      </w:r>
      <w:r w:rsidR="00427468">
        <w:t xml:space="preserve"> of </w:t>
      </w:r>
      <w:r w:rsidRPr="001A3D2B">
        <w:t>children in SSA include rapid social change, AIDS/HIV avoidance strategies</w:t>
      </w:r>
      <w:r w:rsidR="005853A9">
        <w:t xml:space="preserve"> and </w:t>
      </w:r>
      <w:r w:rsidR="003A1917">
        <w:t xml:space="preserve">the </w:t>
      </w:r>
      <w:r w:rsidRPr="001A3D2B">
        <w:t>patriarchal nature</w:t>
      </w:r>
      <w:r w:rsidR="00427468">
        <w:t xml:space="preserve"> of </w:t>
      </w:r>
      <w:r w:rsidRPr="001A3D2B">
        <w:t>society. Child sexual abuse is most frequently perpetrated by family members, relatives, neighbors or others known to</w:t>
      </w:r>
      <w:r w:rsidR="003A1917">
        <w:t xml:space="preserve"> the </w:t>
      </w:r>
      <w:r w:rsidRPr="001A3D2B">
        <w:t>child. Conclusions: There is nothing to support</w:t>
      </w:r>
      <w:r w:rsidR="003A1917">
        <w:t xml:space="preserve"> the </w:t>
      </w:r>
      <w:r w:rsidRPr="001A3D2B">
        <w:t>widely held view that child sexual abuse is very rare in SSA-prevalence levels are comparable with studies reported from other regions</w:t>
      </w:r>
      <w:r w:rsidR="00A37C1D">
        <w:t>. The</w:t>
      </w:r>
      <w:r w:rsidR="003A1917">
        <w:t xml:space="preserve"> </w:t>
      </w:r>
      <w:r w:rsidRPr="001A3D2B">
        <w:t>high prevalence levels</w:t>
      </w:r>
      <w:r w:rsidR="00427468">
        <w:t xml:space="preserve"> of </w:t>
      </w:r>
      <w:r w:rsidRPr="001A3D2B">
        <w:t>AIDS/HIV in</w:t>
      </w:r>
      <w:r w:rsidR="003A1917">
        <w:t xml:space="preserve"> the </w:t>
      </w:r>
      <w:r w:rsidRPr="001A3D2B">
        <w:t>region expose sexually abused children to high risks</w:t>
      </w:r>
      <w:r w:rsidR="00427468">
        <w:t xml:space="preserve"> of </w:t>
      </w:r>
      <w:r w:rsidRPr="001A3D2B">
        <w:t>infection. It is estimated that, approximately .6-1.8%</w:t>
      </w:r>
      <w:r w:rsidR="00427468">
        <w:t xml:space="preserve"> of </w:t>
      </w:r>
      <w:r w:rsidRPr="001A3D2B">
        <w:t>all children in high HIV-incidence countries in Southern Africa will experience penetrative sexual abuse by an AIDS/HIV infected perpetrator before 18 years</w:t>
      </w:r>
      <w:r w:rsidR="00427468">
        <w:t xml:space="preserve"> of </w:t>
      </w:r>
      <w:r w:rsidRPr="001A3D2B">
        <w:t>age. (C) 2004 Elsevier Ltd. All rights reserved.</w:t>
      </w:r>
    </w:p>
    <w:p w:rsidR="003474F2" w:rsidRPr="001A3D2B" w:rsidRDefault="003474F2" w:rsidP="003474F2">
      <w:pPr>
        <w:pStyle w:val="a3"/>
      </w:pPr>
      <w:r w:rsidRPr="001A3D2B">
        <w:lastRenderedPageBreak/>
        <w:t>Keywords: Abuse, Africa, Age, Child, Childhood, Children, Clinical, Experience, Family, Family Members, General, Infected, Infection, International, Literature, Literature Review, Local, National Survey, NGOS, Papers, Peer-Reviewed, Population, Prevalence, Review, Reviews, Rights, Risks, Sexual Abuse, Social, Social Change, Society, South Africa,</w:t>
      </w:r>
      <w:r w:rsidR="008E3069">
        <w:t xml:space="preserve"> </w:t>
      </w:r>
      <w:r w:rsidR="00D5664A">
        <w:t>SSCI</w:t>
      </w:r>
      <w:r w:rsidR="008E3069">
        <w:t>,</w:t>
      </w:r>
      <w:r w:rsidRPr="001A3D2B">
        <w:t xml:space="preserve"> Sub-Saharan Africa, Support, Survey</w:t>
      </w:r>
    </w:p>
    <w:p w:rsidR="00755BF0" w:rsidRPr="00C73C58" w:rsidRDefault="00755BF0" w:rsidP="00755BF0">
      <w:pPr>
        <w:pStyle w:val="1"/>
      </w:pPr>
      <w:r w:rsidRPr="00C73C58">
        <w:br w:type="page"/>
      </w:r>
      <w:bookmarkStart w:id="174" w:name="_Toc420814954"/>
      <w:r w:rsidRPr="00C73C58">
        <w:lastRenderedPageBreak/>
        <w:t>Title: Child Care Health</w:t>
      </w:r>
      <w:r w:rsidR="005853A9">
        <w:t xml:space="preserve"> and </w:t>
      </w:r>
      <w:r w:rsidRPr="00C73C58">
        <w:t>Development</w:t>
      </w:r>
      <w:bookmarkEnd w:id="174"/>
    </w:p>
    <w:p w:rsidR="00755BF0" w:rsidRPr="00C73C58" w:rsidRDefault="00755BF0" w:rsidP="00755BF0">
      <w:pPr>
        <w:pStyle w:val="12"/>
      </w:pPr>
      <w:r w:rsidRPr="00C73C58">
        <w:t xml:space="preserve">Full </w:t>
      </w:r>
      <w:bookmarkStart w:id="175" w:name="_Toc302591534"/>
      <w:r w:rsidRPr="00C73C58">
        <w:t xml:space="preserve">Journal Title: </w:t>
      </w:r>
      <w:r w:rsidR="00DF61FE">
        <w:fldChar w:fldCharType="begin"/>
      </w:r>
      <w:r w:rsidR="00FD158B">
        <w:instrText>HYPERLINK "http://webbac</w:instrText>
      </w:r>
      <w:bookmarkEnd w:id="175"/>
      <w:r w:rsidR="00FD158B">
        <w:instrText>kup.epnet.com/HJAFdetail.asp?tb=1&amp;_ug=dbs+3+ln+en%2Dus+sid+C6318672%2DE49D%2D43AC%2DAA21%2DCDC437E1BF92%40sessionmgr3%2Dsessionmgr4+146B&amp;_uh=btn+N+idb+pbhish+jdb+pbhjnh+op+phrase+ss+ID++6NX+8A4F&amp;_us=db+3+sm+ES+8673&amp;"</w:instrText>
      </w:r>
      <w:r w:rsidR="00DF61FE">
        <w:fldChar w:fldCharType="separate"/>
      </w:r>
      <w:r w:rsidRPr="00C73C58">
        <w:rPr>
          <w:rStyle w:val="a5"/>
        </w:rPr>
        <w:t>Child Care Health</w:t>
      </w:r>
      <w:r w:rsidR="005853A9">
        <w:rPr>
          <w:rStyle w:val="a5"/>
        </w:rPr>
        <w:t xml:space="preserve"> and </w:t>
      </w:r>
      <w:r w:rsidRPr="00C73C58">
        <w:rPr>
          <w:rStyle w:val="a5"/>
        </w:rPr>
        <w:t>Development</w:t>
      </w:r>
      <w:r w:rsidR="00DF61FE">
        <w:fldChar w:fldCharType="end"/>
      </w:r>
      <w:r w:rsidRPr="00C73C58">
        <w:t xml:space="preserve">; </w:t>
      </w:r>
      <w:hyperlink r:id="rId195" w:history="1">
        <w:r w:rsidRPr="00C73C58">
          <w:rPr>
            <w:rStyle w:val="a5"/>
          </w:rPr>
          <w:t>Child Care Health</w:t>
        </w:r>
        <w:r w:rsidR="005853A9">
          <w:rPr>
            <w:rStyle w:val="a5"/>
          </w:rPr>
          <w:t xml:space="preserve"> and </w:t>
        </w:r>
        <w:r w:rsidRPr="00C73C58">
          <w:rPr>
            <w:rStyle w:val="a5"/>
          </w:rPr>
          <w:t>Development</w:t>
        </w:r>
      </w:hyperlink>
    </w:p>
    <w:p w:rsidR="00755BF0" w:rsidRPr="00C73C58" w:rsidRDefault="00755BF0" w:rsidP="00755BF0">
      <w:pPr>
        <w:pStyle w:val="12"/>
      </w:pPr>
      <w:r w:rsidRPr="00C73C58">
        <w:t>ISO Abbreviated Title: Child Care Health Dev.</w:t>
      </w:r>
    </w:p>
    <w:p w:rsidR="00755BF0" w:rsidRPr="00C73C58" w:rsidRDefault="00755BF0" w:rsidP="00755BF0">
      <w:pPr>
        <w:pStyle w:val="12"/>
      </w:pPr>
      <w:r w:rsidRPr="00C73C58">
        <w:t>JCR Abbreviated Title: Child Care Hlth Dev</w:t>
      </w:r>
    </w:p>
    <w:p w:rsidR="00755BF0" w:rsidRPr="00C73C58" w:rsidRDefault="00755BF0" w:rsidP="00755BF0">
      <w:pPr>
        <w:pStyle w:val="12"/>
      </w:pPr>
      <w:r w:rsidRPr="00C73C58">
        <w:t>ISSN: 0305-1862</w:t>
      </w:r>
    </w:p>
    <w:p w:rsidR="00755BF0" w:rsidRPr="00C73C58" w:rsidRDefault="00755BF0" w:rsidP="00755BF0">
      <w:pPr>
        <w:pStyle w:val="12"/>
      </w:pPr>
      <w:r w:rsidRPr="00C73C58">
        <w:t>Issues/Year: 6</w:t>
      </w:r>
    </w:p>
    <w:p w:rsidR="00755BF0" w:rsidRPr="00C73C58" w:rsidRDefault="00755BF0" w:rsidP="00755BF0">
      <w:pPr>
        <w:pStyle w:val="12"/>
      </w:pPr>
      <w:r w:rsidRPr="00C73C58">
        <w:t>Journal Country/Territory: England</w:t>
      </w:r>
    </w:p>
    <w:p w:rsidR="00755BF0" w:rsidRPr="00C73C58" w:rsidRDefault="00755BF0" w:rsidP="00755BF0">
      <w:pPr>
        <w:pStyle w:val="12"/>
      </w:pPr>
      <w:r w:rsidRPr="00C73C58">
        <w:t>Language: English</w:t>
      </w:r>
    </w:p>
    <w:p w:rsidR="00755BF0" w:rsidRPr="00C73C58" w:rsidRDefault="00755BF0" w:rsidP="00755BF0">
      <w:pPr>
        <w:pStyle w:val="12"/>
      </w:pPr>
      <w:r w:rsidRPr="00C73C58">
        <w:t>Publisher: Blackwell Science Ltd</w:t>
      </w:r>
    </w:p>
    <w:p w:rsidR="00755BF0" w:rsidRPr="00C73C58" w:rsidRDefault="00755BF0" w:rsidP="00755BF0">
      <w:pPr>
        <w:pStyle w:val="12"/>
      </w:pPr>
      <w:r w:rsidRPr="00C73C58">
        <w:t>Publisher Address: PO Box 88, Osney Mead, Oxford OX2 0NE, Oxon, England</w:t>
      </w:r>
    </w:p>
    <w:p w:rsidR="00755BF0" w:rsidRPr="00C73C58" w:rsidRDefault="00755BF0" w:rsidP="00755BF0">
      <w:pPr>
        <w:pStyle w:val="12"/>
      </w:pPr>
      <w:r w:rsidRPr="00C73C58">
        <w:t xml:space="preserve">Subject Categories: </w:t>
      </w:r>
    </w:p>
    <w:p w:rsidR="00755BF0" w:rsidRPr="00C73C58" w:rsidRDefault="00755BF0" w:rsidP="00755BF0">
      <w:pPr>
        <w:pStyle w:val="12"/>
      </w:pPr>
      <w:r w:rsidRPr="00C73C58">
        <w:t xml:space="preserve">Pediatrics: Impact Factor </w:t>
      </w:r>
    </w:p>
    <w:p w:rsidR="00755BF0" w:rsidRDefault="00755BF0" w:rsidP="00755BF0">
      <w:pPr>
        <w:pStyle w:val="a3"/>
        <w:rPr>
          <w:kern w:val="0"/>
        </w:rPr>
      </w:pPr>
      <w:r>
        <w:rPr>
          <w:kern w:val="0"/>
        </w:rPr>
        <w:t>?</w:t>
      </w:r>
      <w:r>
        <w:rPr>
          <w:rFonts w:hint="eastAsia"/>
          <w:kern w:val="0"/>
        </w:rPr>
        <w:t xml:space="preserve"> </w:t>
      </w:r>
      <w:r>
        <w:rPr>
          <w:kern w:val="0"/>
        </w:rPr>
        <w:t>Whittingham, K., Wee, D.</w:t>
      </w:r>
      <w:r w:rsidR="005853A9">
        <w:rPr>
          <w:kern w:val="0"/>
        </w:rPr>
        <w:t xml:space="preserve"> and </w:t>
      </w:r>
      <w:r>
        <w:rPr>
          <w:kern w:val="0"/>
        </w:rPr>
        <w:t>Boyd, R. (2011), Systematic review</w:t>
      </w:r>
      <w:r w:rsidR="00427468">
        <w:rPr>
          <w:kern w:val="0"/>
        </w:rPr>
        <w:t xml:space="preserve"> of </w:t>
      </w:r>
      <w:r w:rsidR="003A1917">
        <w:rPr>
          <w:kern w:val="0"/>
        </w:rPr>
        <w:t xml:space="preserve">the </w:t>
      </w:r>
      <w:r>
        <w:rPr>
          <w:kern w:val="0"/>
        </w:rPr>
        <w:t>efficacy</w:t>
      </w:r>
      <w:r w:rsidR="00427468">
        <w:rPr>
          <w:kern w:val="0"/>
        </w:rPr>
        <w:t xml:space="preserve"> of </w:t>
      </w:r>
      <w:r>
        <w:rPr>
          <w:kern w:val="0"/>
        </w:rPr>
        <w:t xml:space="preserve">parenting interventions for children with cerebral palsy. </w:t>
      </w:r>
      <w:r>
        <w:rPr>
          <w:i/>
          <w:iCs/>
          <w:kern w:val="0"/>
        </w:rPr>
        <w:t>Child Care Health</w:t>
      </w:r>
      <w:r w:rsidR="005853A9">
        <w:rPr>
          <w:i/>
          <w:iCs/>
          <w:kern w:val="0"/>
        </w:rPr>
        <w:t xml:space="preserve"> and </w:t>
      </w:r>
      <w:r>
        <w:rPr>
          <w:i/>
          <w:iCs/>
          <w:kern w:val="0"/>
        </w:rPr>
        <w:t>Development</w:t>
      </w:r>
      <w:r>
        <w:rPr>
          <w:kern w:val="0"/>
        </w:rPr>
        <w:t xml:space="preserve">, </w:t>
      </w:r>
      <w:r>
        <w:rPr>
          <w:b/>
          <w:bCs/>
          <w:kern w:val="0"/>
        </w:rPr>
        <w:t>37</w:t>
      </w:r>
      <w:r>
        <w:rPr>
          <w:kern w:val="0"/>
        </w:rPr>
        <w:t xml:space="preserve"> (4), 475-483.</w:t>
      </w:r>
    </w:p>
    <w:p w:rsidR="00755BF0" w:rsidRDefault="00755BF0" w:rsidP="00755BF0">
      <w:pPr>
        <w:pStyle w:val="a3"/>
        <w:rPr>
          <w:kern w:val="0"/>
        </w:rPr>
      </w:pPr>
      <w:r>
        <w:rPr>
          <w:rFonts w:hint="eastAsia"/>
          <w:kern w:val="0"/>
        </w:rPr>
        <w:t xml:space="preserve">Full Text: </w:t>
      </w:r>
      <w:r>
        <w:rPr>
          <w:rFonts w:hint="eastAsia"/>
          <w:kern w:val="2"/>
        </w:rPr>
        <w:t>2011</w:t>
      </w:r>
      <w:r w:rsidRPr="00C73C58">
        <w:rPr>
          <w:kern w:val="2"/>
        </w:rPr>
        <w:t>\Chi Car Hea Dev</w:t>
      </w:r>
      <w:r>
        <w:rPr>
          <w:rFonts w:hint="eastAsia"/>
          <w:kern w:val="2"/>
        </w:rPr>
        <w:t>37</w:t>
      </w:r>
      <w:r w:rsidRPr="00C73C58">
        <w:rPr>
          <w:kern w:val="2"/>
        </w:rPr>
        <w:t xml:space="preserve">, </w:t>
      </w:r>
      <w:r>
        <w:rPr>
          <w:rFonts w:hint="eastAsia"/>
          <w:kern w:val="2"/>
        </w:rPr>
        <w:t>475</w:t>
      </w:r>
      <w:r w:rsidRPr="00C73C58">
        <w:rPr>
          <w:kern w:val="2"/>
        </w:rPr>
        <w:t>.pdf</w:t>
      </w:r>
    </w:p>
    <w:p w:rsidR="00755BF0" w:rsidRDefault="00755BF0" w:rsidP="00755BF0">
      <w:pPr>
        <w:pStyle w:val="a3"/>
        <w:rPr>
          <w:kern w:val="0"/>
        </w:rPr>
      </w:pPr>
      <w:r>
        <w:rPr>
          <w:kern w:val="0"/>
        </w:rPr>
        <w:t>Abstract: This systematic review aims to evaluate</w:t>
      </w:r>
      <w:r w:rsidR="003A1917">
        <w:rPr>
          <w:kern w:val="0"/>
        </w:rPr>
        <w:t xml:space="preserve"> the </w:t>
      </w:r>
      <w:r>
        <w:rPr>
          <w:kern w:val="0"/>
        </w:rPr>
        <w:t>efficacy</w:t>
      </w:r>
      <w:r w:rsidR="00427468">
        <w:rPr>
          <w:kern w:val="0"/>
        </w:rPr>
        <w:t xml:space="preserve"> of </w:t>
      </w:r>
      <w:r>
        <w:rPr>
          <w:kern w:val="0"/>
        </w:rPr>
        <w:t>parenting interventions (i.e. behavioural family intervention</w:t>
      </w:r>
      <w:r w:rsidR="005853A9">
        <w:rPr>
          <w:kern w:val="0"/>
        </w:rPr>
        <w:t xml:space="preserve"> and </w:t>
      </w:r>
      <w:r>
        <w:rPr>
          <w:kern w:val="0"/>
        </w:rPr>
        <w:t>parent training) with parents</w:t>
      </w:r>
      <w:r w:rsidR="00427468">
        <w:rPr>
          <w:kern w:val="0"/>
        </w:rPr>
        <w:t xml:space="preserve"> of </w:t>
      </w:r>
      <w:r>
        <w:rPr>
          <w:kern w:val="0"/>
        </w:rPr>
        <w:t>children with cerebral palsy (CP) on child behavioural outcomes</w:t>
      </w:r>
      <w:r w:rsidR="005853A9">
        <w:rPr>
          <w:kern w:val="0"/>
        </w:rPr>
        <w:t xml:space="preserve"> and </w:t>
      </w:r>
      <w:r>
        <w:rPr>
          <w:kern w:val="0"/>
        </w:rPr>
        <w:t>parenting style/skill outcomes</w:t>
      </w:r>
      <w:r w:rsidR="00A37C1D">
        <w:rPr>
          <w:kern w:val="0"/>
        </w:rPr>
        <w:t>. The</w:t>
      </w:r>
      <w:r w:rsidR="003A1917">
        <w:rPr>
          <w:kern w:val="0"/>
        </w:rPr>
        <w:t xml:space="preserve"> </w:t>
      </w:r>
      <w:r>
        <w:rPr>
          <w:kern w:val="0"/>
        </w:rPr>
        <w:t xml:space="preserve">following databases were searched: </w:t>
      </w:r>
      <w:r w:rsidR="00D5664A">
        <w:rPr>
          <w:kern w:val="0"/>
        </w:rPr>
        <w:t>MEDLINE</w:t>
      </w:r>
      <w:r>
        <w:rPr>
          <w:kern w:val="0"/>
        </w:rPr>
        <w:t xml:space="preserve"> (1950-April 2010), PUBMED (1951-April 2010), PsycINFO (1840-April 2010), CINAHL (1982-April 2010)</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(1900-April 2010). No randomized clinical trials</w:t>
      </w:r>
      <w:r w:rsidR="00427468">
        <w:rPr>
          <w:kern w:val="0"/>
        </w:rPr>
        <w:t xml:space="preserve"> of </w:t>
      </w:r>
      <w:r>
        <w:rPr>
          <w:kern w:val="0"/>
        </w:rPr>
        <w:t>parenting interventions with parents</w:t>
      </w:r>
      <w:r w:rsidR="00427468">
        <w:rPr>
          <w:kern w:val="0"/>
        </w:rPr>
        <w:t xml:space="preserve"> of </w:t>
      </w:r>
      <w:r>
        <w:rPr>
          <w:kern w:val="0"/>
        </w:rPr>
        <w:t>children with CP were identified. Three studies were identified that involved</w:t>
      </w:r>
      <w:r w:rsidR="003A1917">
        <w:rPr>
          <w:kern w:val="0"/>
        </w:rPr>
        <w:t xml:space="preserve"> the </w:t>
      </w:r>
      <w:r>
        <w:rPr>
          <w:kern w:val="0"/>
        </w:rPr>
        <w:t>examination</w:t>
      </w:r>
      <w:r w:rsidR="00427468">
        <w:rPr>
          <w:kern w:val="0"/>
        </w:rPr>
        <w:t xml:space="preserve"> of </w:t>
      </w:r>
      <w:r>
        <w:rPr>
          <w:kern w:val="0"/>
        </w:rPr>
        <w:t>a targeted parenting intervention via a pre-post design. Interventions utilized included</w:t>
      </w:r>
      <w:r w:rsidR="003A1917">
        <w:rPr>
          <w:kern w:val="0"/>
        </w:rPr>
        <w:t xml:space="preserve"> the </w:t>
      </w:r>
      <w:r>
        <w:rPr>
          <w:kern w:val="0"/>
        </w:rPr>
        <w:t>implementation</w:t>
      </w:r>
      <w:r w:rsidR="00427468">
        <w:rPr>
          <w:kern w:val="0"/>
        </w:rPr>
        <w:t xml:space="preserve"> of </w:t>
      </w:r>
      <w:r>
        <w:rPr>
          <w:kern w:val="0"/>
        </w:rPr>
        <w:t>parenting interventions in conjunction with behavioural intervention</w:t>
      </w:r>
      <w:r w:rsidR="005853A9">
        <w:rPr>
          <w:kern w:val="0"/>
        </w:rPr>
        <w:t xml:space="preserve"> and </w:t>
      </w:r>
      <w:r>
        <w:rPr>
          <w:kern w:val="0"/>
        </w:rPr>
        <w:t>oral motor exercises for children with CP</w:t>
      </w:r>
      <w:r w:rsidR="005853A9">
        <w:rPr>
          <w:kern w:val="0"/>
        </w:rPr>
        <w:t xml:space="preserve"> and </w:t>
      </w:r>
      <w:r>
        <w:rPr>
          <w:kern w:val="0"/>
        </w:rPr>
        <w:t>feeding difficulties,</w:t>
      </w:r>
      <w:r w:rsidR="003A1917">
        <w:rPr>
          <w:kern w:val="0"/>
        </w:rPr>
        <w:t xml:space="preserve"> the </w:t>
      </w:r>
      <w:r>
        <w:rPr>
          <w:kern w:val="0"/>
        </w:rPr>
        <w:t>Hanen It Takes Two to Talk programme</w:t>
      </w:r>
      <w:r w:rsidR="005853A9">
        <w:rPr>
          <w:kern w:val="0"/>
        </w:rPr>
        <w:t xml:space="preserve"> and </w:t>
      </w:r>
      <w:r>
        <w:rPr>
          <w:kern w:val="0"/>
        </w:rPr>
        <w:t>a Functional Communication Training programme for parents. All studies found changes in relevant child behavioural outcomes</w:t>
      </w:r>
      <w:r w:rsidR="00A37C1D">
        <w:rPr>
          <w:kern w:val="0"/>
        </w:rPr>
        <w:t>. The</w:t>
      </w:r>
      <w:r w:rsidR="003A1917">
        <w:rPr>
          <w:kern w:val="0"/>
        </w:rPr>
        <w:t xml:space="preserve"> </w:t>
      </w:r>
      <w:r>
        <w:rPr>
          <w:kern w:val="0"/>
        </w:rPr>
        <w:t>studies reviewed suggest that parenting interventions may be an effective intervention for parents</w:t>
      </w:r>
      <w:r w:rsidR="00427468">
        <w:rPr>
          <w:kern w:val="0"/>
        </w:rPr>
        <w:t xml:space="preserve"> of </w:t>
      </w:r>
      <w:r>
        <w:rPr>
          <w:kern w:val="0"/>
        </w:rPr>
        <w:t>children with CP. However,</w:t>
      </w:r>
      <w:r w:rsidR="003A1917">
        <w:rPr>
          <w:kern w:val="0"/>
        </w:rPr>
        <w:t xml:space="preserve"> the </w:t>
      </w:r>
      <w:r>
        <w:rPr>
          <w:kern w:val="0"/>
        </w:rPr>
        <w:t>current research is limited to pre-post designs</w:t>
      </w:r>
      <w:r w:rsidR="00427468">
        <w:rPr>
          <w:kern w:val="0"/>
        </w:rPr>
        <w:t xml:space="preserve"> of </w:t>
      </w:r>
      <w:r>
        <w:rPr>
          <w:kern w:val="0"/>
        </w:rPr>
        <w:t>targeted parenting interventions (e. g. parenting interventions focused upon communication). A randomized controlled trial</w:t>
      </w:r>
      <w:r w:rsidR="00427468">
        <w:rPr>
          <w:kern w:val="0"/>
        </w:rPr>
        <w:t xml:space="preserve"> of </w:t>
      </w:r>
      <w:r>
        <w:rPr>
          <w:kern w:val="0"/>
        </w:rPr>
        <w:t>parenting interventions for families</w:t>
      </w:r>
      <w:r w:rsidR="00427468">
        <w:rPr>
          <w:kern w:val="0"/>
        </w:rPr>
        <w:t xml:space="preserve"> of </w:t>
      </w:r>
      <w:r>
        <w:rPr>
          <w:kern w:val="0"/>
        </w:rPr>
        <w:t>children with CP is urgently needed to address this paucity in</w:t>
      </w:r>
      <w:r w:rsidR="003A1917">
        <w:rPr>
          <w:kern w:val="0"/>
        </w:rPr>
        <w:t xml:space="preserve"> the </w:t>
      </w:r>
      <w:r>
        <w:rPr>
          <w:kern w:val="0"/>
        </w:rPr>
        <w:t>literature</w:t>
      </w:r>
      <w:r w:rsidR="005853A9">
        <w:rPr>
          <w:kern w:val="0"/>
        </w:rPr>
        <w:t xml:space="preserve"> and </w:t>
      </w:r>
      <w:r>
        <w:rPr>
          <w:kern w:val="0"/>
        </w:rPr>
        <w:t>provide families</w:t>
      </w:r>
      <w:r w:rsidR="00427468">
        <w:rPr>
          <w:kern w:val="0"/>
        </w:rPr>
        <w:t xml:space="preserve"> of </w:t>
      </w:r>
      <w:r>
        <w:rPr>
          <w:kern w:val="0"/>
        </w:rPr>
        <w:t>children with CP with an evidence-based intervention to address child behavioural</w:t>
      </w:r>
      <w:r w:rsidR="005853A9">
        <w:rPr>
          <w:kern w:val="0"/>
        </w:rPr>
        <w:t xml:space="preserve"> and </w:t>
      </w:r>
      <w:r>
        <w:rPr>
          <w:kern w:val="0"/>
        </w:rPr>
        <w:t xml:space="preserve">emotional problems as </w:t>
      </w:r>
      <w:r>
        <w:rPr>
          <w:kern w:val="0"/>
        </w:rPr>
        <w:lastRenderedPageBreak/>
        <w:t>well as parenting challenges.</w:t>
      </w:r>
    </w:p>
    <w:p w:rsidR="00755BF0" w:rsidRDefault="00755BF0" w:rsidP="00755BF0">
      <w:pPr>
        <w:pStyle w:val="a3"/>
        <w:rPr>
          <w:kern w:val="0"/>
        </w:rPr>
      </w:pPr>
      <w:r>
        <w:rPr>
          <w:kern w:val="0"/>
        </w:rPr>
        <w:t xml:space="preserve">Keywords: Behavior, Behavioural Family Intervention, Cerebral Palsy, Child, Children, Clinical Trials, Communication, Databases, Disabilities, Efficacy, Families, Intervention, Interventions, Literature, Outcomes, Parent, Parenting, Parenting Interventions, Parents, PUBMED, Randomized Clinical Trials, Randomized Controlled Trial, Research, Review, Science, Systematic, Systematic Review, Training, </w:t>
      </w:r>
      <w:r w:rsidR="00D5664A">
        <w:rPr>
          <w:kern w:val="0"/>
        </w:rPr>
        <w:t>Web</w:t>
      </w:r>
      <w:r w:rsidR="00427468">
        <w:rPr>
          <w:kern w:val="0"/>
        </w:rPr>
        <w:t xml:space="preserve"> of </w:t>
      </w:r>
      <w:r w:rsidR="00D5664A">
        <w:rPr>
          <w:kern w:val="0"/>
        </w:rPr>
        <w:t>Science</w:t>
      </w:r>
    </w:p>
    <w:p w:rsidR="002A4A3D" w:rsidRPr="002D0E04" w:rsidRDefault="002A4A3D" w:rsidP="002A4A3D">
      <w:pPr>
        <w:pStyle w:val="1"/>
      </w:pPr>
      <w:r w:rsidRPr="002D0E04">
        <w:br w:type="page"/>
      </w:r>
      <w:bookmarkStart w:id="176" w:name="_Toc420814955"/>
      <w:r w:rsidRPr="002D0E04">
        <w:lastRenderedPageBreak/>
        <w:t xml:space="preserve">Title: </w:t>
      </w:r>
      <w:r w:rsidRPr="0046740F">
        <w:rPr>
          <w:szCs w:val="24"/>
        </w:rPr>
        <w:t>Child Development Perspectives</w:t>
      </w:r>
      <w:bookmarkEnd w:id="176"/>
    </w:p>
    <w:p w:rsidR="002A4A3D" w:rsidRPr="0063289B" w:rsidRDefault="002A4A3D" w:rsidP="002A4A3D">
      <w:pPr>
        <w:pStyle w:val="12"/>
      </w:pPr>
      <w:r w:rsidRPr="0063289B">
        <w:t xml:space="preserve">Full Journal Title: </w:t>
      </w:r>
      <w:r w:rsidRPr="0046740F">
        <w:rPr>
          <w:iCs/>
          <w:kern w:val="0"/>
        </w:rPr>
        <w:t>Child Development Perspectives</w:t>
      </w:r>
    </w:p>
    <w:p w:rsidR="002A4A3D" w:rsidRPr="0063289B" w:rsidRDefault="002A4A3D" w:rsidP="002A4A3D">
      <w:pPr>
        <w:pStyle w:val="12"/>
      </w:pPr>
      <w:r w:rsidRPr="0063289B">
        <w:t xml:space="preserve">ISO Abbreviated Title: </w:t>
      </w:r>
    </w:p>
    <w:p w:rsidR="002A4A3D" w:rsidRPr="0063289B" w:rsidRDefault="002A4A3D" w:rsidP="002A4A3D">
      <w:pPr>
        <w:pStyle w:val="12"/>
      </w:pPr>
      <w:r w:rsidRPr="0063289B">
        <w:t xml:space="preserve">JCR Abbreviated Title: </w:t>
      </w:r>
    </w:p>
    <w:p w:rsidR="002A4A3D" w:rsidRPr="0063289B" w:rsidRDefault="002A4A3D" w:rsidP="002A4A3D">
      <w:pPr>
        <w:pStyle w:val="12"/>
      </w:pPr>
      <w:r w:rsidRPr="0063289B">
        <w:t xml:space="preserve">ISSN: </w:t>
      </w:r>
    </w:p>
    <w:p w:rsidR="002A4A3D" w:rsidRPr="0063289B" w:rsidRDefault="002A4A3D" w:rsidP="002A4A3D">
      <w:pPr>
        <w:pStyle w:val="12"/>
      </w:pPr>
      <w:r w:rsidRPr="0063289B">
        <w:t xml:space="preserve">Issues/Year: </w:t>
      </w:r>
    </w:p>
    <w:p w:rsidR="002A4A3D" w:rsidRPr="0063289B" w:rsidRDefault="002A4A3D" w:rsidP="002A4A3D">
      <w:pPr>
        <w:pStyle w:val="12"/>
      </w:pPr>
      <w:r w:rsidRPr="0063289B">
        <w:t xml:space="preserve">Journal Country/Territory: </w:t>
      </w:r>
    </w:p>
    <w:p w:rsidR="002A4A3D" w:rsidRPr="0063289B" w:rsidRDefault="002A4A3D" w:rsidP="002A4A3D">
      <w:pPr>
        <w:pStyle w:val="12"/>
      </w:pPr>
      <w:r w:rsidRPr="0063289B">
        <w:t xml:space="preserve">Language: </w:t>
      </w:r>
    </w:p>
    <w:p w:rsidR="002A4A3D" w:rsidRPr="0063289B" w:rsidRDefault="002A4A3D" w:rsidP="002A4A3D">
      <w:pPr>
        <w:pStyle w:val="12"/>
      </w:pPr>
      <w:r w:rsidRPr="0063289B">
        <w:t xml:space="preserve">Publisher: </w:t>
      </w:r>
    </w:p>
    <w:p w:rsidR="002A4A3D" w:rsidRPr="0063289B" w:rsidRDefault="002A4A3D" w:rsidP="002A4A3D">
      <w:pPr>
        <w:pStyle w:val="12"/>
      </w:pPr>
      <w:r w:rsidRPr="0063289B">
        <w:t xml:space="preserve">Publisher Address: </w:t>
      </w:r>
    </w:p>
    <w:p w:rsidR="002A4A3D" w:rsidRPr="0063289B" w:rsidRDefault="002A4A3D" w:rsidP="002A4A3D">
      <w:pPr>
        <w:pStyle w:val="12"/>
      </w:pPr>
      <w:r w:rsidRPr="0063289B">
        <w:t xml:space="preserve">Subject Categories: </w:t>
      </w:r>
    </w:p>
    <w:p w:rsidR="002A4A3D" w:rsidRPr="0063289B" w:rsidRDefault="002A4A3D" w:rsidP="002A4A3D">
      <w:pPr>
        <w:pStyle w:val="12"/>
      </w:pPr>
      <w:r w:rsidRPr="0063289B">
        <w:t>: Impact Factor</w:t>
      </w:r>
    </w:p>
    <w:p w:rsidR="002A4A3D" w:rsidRDefault="002A4A3D" w:rsidP="002A4A3D">
      <w:pPr>
        <w:pStyle w:val="a3"/>
        <w:rPr>
          <w:kern w:val="0"/>
          <w:szCs w:val="24"/>
        </w:rPr>
      </w:pPr>
      <w:r>
        <w:rPr>
          <w:rFonts w:hint="eastAsia"/>
          <w:kern w:val="0"/>
          <w:szCs w:val="24"/>
        </w:rPr>
        <w:t xml:space="preserve">? </w:t>
      </w:r>
      <w:r>
        <w:rPr>
          <w:kern w:val="0"/>
          <w:szCs w:val="24"/>
        </w:rPr>
        <w:t>Shiner, R.L., Buss, K.A., McClowry, S.G., Putnam, S.P., Saudino, K.J.</w:t>
      </w:r>
      <w:r w:rsidR="005853A9">
        <w:rPr>
          <w:kern w:val="0"/>
          <w:szCs w:val="24"/>
        </w:rPr>
        <w:t xml:space="preserve"> and </w:t>
      </w:r>
      <w:r>
        <w:rPr>
          <w:kern w:val="0"/>
          <w:szCs w:val="24"/>
        </w:rPr>
        <w:t xml:space="preserve">Zentner, M. (2012), What is temperament </w:t>
      </w:r>
      <w:r w:rsidRPr="0046740F">
        <w:rPr>
          <w:i/>
          <w:kern w:val="0"/>
          <w:szCs w:val="24"/>
        </w:rPr>
        <w:t>now</w:t>
      </w:r>
      <w:r>
        <w:rPr>
          <w:kern w:val="0"/>
          <w:szCs w:val="24"/>
        </w:rPr>
        <w:t>? Assessing progress in temperament research on the twenty-fifth anniversary</w:t>
      </w:r>
      <w:r w:rsidR="00427468">
        <w:rPr>
          <w:kern w:val="0"/>
          <w:szCs w:val="24"/>
        </w:rPr>
        <w:t xml:space="preserve"> of </w:t>
      </w:r>
      <w:r>
        <w:rPr>
          <w:kern w:val="0"/>
          <w:szCs w:val="24"/>
        </w:rPr>
        <w:t>Goldsmith et al. (</w:t>
      </w:r>
      <w:r>
        <w:rPr>
          <w:rFonts w:hint="eastAsia"/>
          <w:kern w:val="0"/>
          <w:szCs w:val="24"/>
        </w:rPr>
        <w:t>1987</w:t>
      </w:r>
      <w:r>
        <w:rPr>
          <w:kern w:val="0"/>
          <w:szCs w:val="24"/>
        </w:rPr>
        <w:t xml:space="preserve">). </w:t>
      </w:r>
      <w:r w:rsidRPr="0046740F">
        <w:rPr>
          <w:i/>
          <w:iCs/>
          <w:kern w:val="0"/>
          <w:szCs w:val="24"/>
        </w:rPr>
        <w:t>Child Development Perspectives</w:t>
      </w:r>
      <w:r>
        <w:rPr>
          <w:kern w:val="0"/>
          <w:szCs w:val="24"/>
        </w:rPr>
        <w:t xml:space="preserve">, </w:t>
      </w:r>
      <w:r>
        <w:rPr>
          <w:b/>
          <w:bCs/>
          <w:kern w:val="0"/>
          <w:szCs w:val="24"/>
        </w:rPr>
        <w:t>6</w:t>
      </w:r>
      <w:r>
        <w:rPr>
          <w:kern w:val="0"/>
          <w:szCs w:val="24"/>
        </w:rPr>
        <w:t xml:space="preserve"> (4), 436-444.</w:t>
      </w:r>
    </w:p>
    <w:p w:rsidR="002A4A3D" w:rsidRDefault="002A4A3D" w:rsidP="002A4A3D">
      <w:pPr>
        <w:pStyle w:val="a3"/>
        <w:rPr>
          <w:kern w:val="0"/>
          <w:szCs w:val="24"/>
        </w:rPr>
      </w:pPr>
      <w:r>
        <w:rPr>
          <w:rFonts w:hint="eastAsia"/>
          <w:kern w:val="0"/>
          <w:szCs w:val="24"/>
        </w:rPr>
        <w:t xml:space="preserve">Full Text: </w:t>
      </w:r>
      <w:hyperlink r:id="rId196" w:history="1">
        <w:r w:rsidRPr="0046740F">
          <w:rPr>
            <w:rStyle w:val="a5"/>
            <w:kern w:val="0"/>
            <w:szCs w:val="24"/>
          </w:rPr>
          <w:t>2012\Chi Dev Per6, 436.pdf</w:t>
        </w:r>
      </w:hyperlink>
    </w:p>
    <w:p w:rsidR="002A4A3D" w:rsidRDefault="002A4A3D" w:rsidP="002A4A3D">
      <w:pPr>
        <w:pStyle w:val="a3"/>
        <w:rPr>
          <w:kern w:val="0"/>
          <w:szCs w:val="24"/>
        </w:rPr>
      </w:pPr>
      <w:r>
        <w:rPr>
          <w:kern w:val="0"/>
          <w:szCs w:val="24"/>
        </w:rPr>
        <w:t>Abstract: The now-classic article What Is Temperament? Four Approaches by H. H. Goldsmith et al. (1987) brought together originators</w:t>
      </w:r>
      <w:r w:rsidR="00427468">
        <w:rPr>
          <w:kern w:val="0"/>
          <w:szCs w:val="24"/>
        </w:rPr>
        <w:t xml:space="preserve"> of </w:t>
      </w:r>
      <w:r>
        <w:rPr>
          <w:kern w:val="0"/>
          <w:szCs w:val="24"/>
        </w:rPr>
        <w:t>four prominent temperament theoriesRothbart, Thomas</w:t>
      </w:r>
      <w:r w:rsidR="005853A9">
        <w:rPr>
          <w:kern w:val="0"/>
          <w:szCs w:val="24"/>
        </w:rPr>
        <w:t xml:space="preserve"> and </w:t>
      </w:r>
      <w:r>
        <w:rPr>
          <w:kern w:val="0"/>
          <w:szCs w:val="24"/>
        </w:rPr>
        <w:t>Chess, Buss</w:t>
      </w:r>
      <w:r w:rsidR="005853A9">
        <w:rPr>
          <w:kern w:val="0"/>
          <w:szCs w:val="24"/>
        </w:rPr>
        <w:t xml:space="preserve"> and </w:t>
      </w:r>
      <w:r>
        <w:rPr>
          <w:kern w:val="0"/>
          <w:szCs w:val="24"/>
        </w:rPr>
        <w:t>Plomin,</w:t>
      </w:r>
      <w:r w:rsidR="005853A9">
        <w:rPr>
          <w:kern w:val="0"/>
          <w:szCs w:val="24"/>
        </w:rPr>
        <w:t xml:space="preserve"> and </w:t>
      </w:r>
      <w:r>
        <w:rPr>
          <w:kern w:val="0"/>
          <w:szCs w:val="24"/>
        </w:rPr>
        <w:t>Goldsmithto address foundational questions about the nature</w:t>
      </w:r>
      <w:r w:rsidR="00427468">
        <w:rPr>
          <w:kern w:val="0"/>
          <w:szCs w:val="24"/>
        </w:rPr>
        <w:t xml:space="preserve"> of </w:t>
      </w:r>
      <w:r>
        <w:rPr>
          <w:kern w:val="0"/>
          <w:szCs w:val="24"/>
        </w:rPr>
        <w:t>temperament. This article reviews what has been learned about the nature</w:t>
      </w:r>
      <w:r w:rsidR="00427468">
        <w:rPr>
          <w:kern w:val="0"/>
          <w:szCs w:val="24"/>
        </w:rPr>
        <w:t xml:space="preserve"> of </w:t>
      </w:r>
      <w:r>
        <w:rPr>
          <w:kern w:val="0"/>
          <w:szCs w:val="24"/>
        </w:rPr>
        <w:t>temperament in the intervening 25 years, It begins with an updating</w:t>
      </w:r>
      <w:r w:rsidR="00427468">
        <w:rPr>
          <w:kern w:val="0"/>
          <w:szCs w:val="24"/>
        </w:rPr>
        <w:t xml:space="preserve"> of </w:t>
      </w:r>
      <w:r>
        <w:rPr>
          <w:kern w:val="0"/>
          <w:szCs w:val="24"/>
        </w:rPr>
        <w:t>the 1987 consensus definition</w:t>
      </w:r>
      <w:r w:rsidR="00427468">
        <w:rPr>
          <w:kern w:val="0"/>
          <w:szCs w:val="24"/>
        </w:rPr>
        <w:t xml:space="preserve"> of </w:t>
      </w:r>
      <w:r>
        <w:rPr>
          <w:kern w:val="0"/>
          <w:szCs w:val="24"/>
        </w:rPr>
        <w:t>temperament that integrates more complex current findings. Next, 4 progeny trained in the original temperament traditions assess contributions</w:t>
      </w:r>
      <w:r w:rsidR="00427468">
        <w:rPr>
          <w:kern w:val="0"/>
          <w:szCs w:val="24"/>
        </w:rPr>
        <w:t xml:space="preserve"> of </w:t>
      </w:r>
      <w:r>
        <w:rPr>
          <w:kern w:val="0"/>
          <w:szCs w:val="24"/>
        </w:rPr>
        <w:t>their respective approaches</w:t>
      </w:r>
      <w:r w:rsidR="00A37C1D">
        <w:rPr>
          <w:kern w:val="0"/>
          <w:szCs w:val="24"/>
        </w:rPr>
        <w:t>. The</w:t>
      </w:r>
      <w:r>
        <w:rPr>
          <w:kern w:val="0"/>
          <w:szCs w:val="24"/>
        </w:rPr>
        <w:t xml:space="preserve"> article then poses essential questions for the next generation</w:t>
      </w:r>
      <w:r w:rsidR="00427468">
        <w:rPr>
          <w:kern w:val="0"/>
          <w:szCs w:val="24"/>
        </w:rPr>
        <w:t xml:space="preserve"> of </w:t>
      </w:r>
      <w:r>
        <w:rPr>
          <w:kern w:val="0"/>
          <w:szCs w:val="24"/>
        </w:rPr>
        <w:t>research on the fundamentals</w:t>
      </w:r>
      <w:r w:rsidR="00427468">
        <w:rPr>
          <w:kern w:val="0"/>
          <w:szCs w:val="24"/>
        </w:rPr>
        <w:t xml:space="preserve"> of </w:t>
      </w:r>
      <w:r>
        <w:rPr>
          <w:kern w:val="0"/>
          <w:szCs w:val="24"/>
        </w:rPr>
        <w:t>temperament, including its structure, links with personality traits, interaction with context,</w:t>
      </w:r>
      <w:r w:rsidR="005853A9">
        <w:rPr>
          <w:kern w:val="0"/>
          <w:szCs w:val="24"/>
        </w:rPr>
        <w:t xml:space="preserve"> and </w:t>
      </w:r>
      <w:r>
        <w:rPr>
          <w:kern w:val="0"/>
          <w:szCs w:val="24"/>
        </w:rPr>
        <w:t>change</w:t>
      </w:r>
      <w:r w:rsidR="005853A9">
        <w:rPr>
          <w:kern w:val="0"/>
          <w:szCs w:val="24"/>
        </w:rPr>
        <w:t xml:space="preserve"> and </w:t>
      </w:r>
      <w:r>
        <w:rPr>
          <w:kern w:val="0"/>
          <w:szCs w:val="24"/>
        </w:rPr>
        <w:t>continuity over time.</w:t>
      </w:r>
    </w:p>
    <w:p w:rsidR="002A4A3D" w:rsidRDefault="002A4A3D" w:rsidP="002A4A3D">
      <w:pPr>
        <w:pStyle w:val="a3"/>
        <w:rPr>
          <w:kern w:val="0"/>
          <w:szCs w:val="24"/>
        </w:rPr>
      </w:pPr>
      <w:r>
        <w:rPr>
          <w:kern w:val="0"/>
          <w:szCs w:val="24"/>
        </w:rPr>
        <w:t>Keywords: Behavior, Childhood, Childhood Development, Consensus, Context, Environmental Effects, Generation, Genes, Interaction, Intervention, Personality, Personality Traits, Plasticity, Preschool, Psychopathology, Research, Resilience, Reviews, Self-Regulation, Structure, Temperament Change</w:t>
      </w:r>
    </w:p>
    <w:p w:rsidR="000B686F" w:rsidRPr="002D0E04" w:rsidRDefault="000B686F" w:rsidP="000B686F">
      <w:pPr>
        <w:pStyle w:val="1"/>
      </w:pPr>
      <w:r w:rsidRPr="002D0E04">
        <w:br w:type="page"/>
      </w:r>
      <w:bookmarkStart w:id="177" w:name="_Toc420814956"/>
      <w:r w:rsidRPr="002D0E04">
        <w:lastRenderedPageBreak/>
        <w:t xml:space="preserve">Title: </w:t>
      </w:r>
      <w:r w:rsidRPr="000B686F">
        <w:t>Child &amp; Family Social Work</w:t>
      </w:r>
      <w:bookmarkEnd w:id="177"/>
    </w:p>
    <w:p w:rsidR="000B686F" w:rsidRPr="0063289B" w:rsidRDefault="000B686F" w:rsidP="000B686F">
      <w:pPr>
        <w:pStyle w:val="12"/>
      </w:pPr>
      <w:r w:rsidRPr="0063289B">
        <w:t xml:space="preserve">Full Journal Title: </w:t>
      </w:r>
      <w:r w:rsidRPr="000B686F">
        <w:rPr>
          <w:iCs/>
          <w:kern w:val="0"/>
        </w:rPr>
        <w:t>Child &amp; Family Social Work</w:t>
      </w:r>
    </w:p>
    <w:p w:rsidR="000B686F" w:rsidRPr="0063289B" w:rsidRDefault="000B686F" w:rsidP="000B686F">
      <w:pPr>
        <w:pStyle w:val="12"/>
      </w:pPr>
      <w:r w:rsidRPr="0063289B">
        <w:t xml:space="preserve">ISO Abbreviated Title: </w:t>
      </w:r>
    </w:p>
    <w:p w:rsidR="000B686F" w:rsidRPr="0063289B" w:rsidRDefault="000B686F" w:rsidP="000B686F">
      <w:pPr>
        <w:pStyle w:val="12"/>
      </w:pPr>
      <w:r w:rsidRPr="0063289B">
        <w:t xml:space="preserve">JCR Abbreviated Title: </w:t>
      </w:r>
    </w:p>
    <w:p w:rsidR="000B686F" w:rsidRPr="0063289B" w:rsidRDefault="000B686F" w:rsidP="000B686F">
      <w:pPr>
        <w:pStyle w:val="12"/>
      </w:pPr>
      <w:r w:rsidRPr="0063289B">
        <w:t xml:space="preserve">ISSN: </w:t>
      </w:r>
    </w:p>
    <w:p w:rsidR="000B686F" w:rsidRPr="0063289B" w:rsidRDefault="000B686F" w:rsidP="000B686F">
      <w:pPr>
        <w:pStyle w:val="12"/>
      </w:pPr>
      <w:r w:rsidRPr="0063289B">
        <w:t xml:space="preserve">Issues/Year: </w:t>
      </w:r>
    </w:p>
    <w:p w:rsidR="000B686F" w:rsidRPr="0063289B" w:rsidRDefault="000B686F" w:rsidP="000B686F">
      <w:pPr>
        <w:pStyle w:val="12"/>
      </w:pPr>
      <w:r w:rsidRPr="0063289B">
        <w:t xml:space="preserve">Journal Country/Territory: </w:t>
      </w:r>
    </w:p>
    <w:p w:rsidR="000B686F" w:rsidRPr="0063289B" w:rsidRDefault="000B686F" w:rsidP="000B686F">
      <w:pPr>
        <w:pStyle w:val="12"/>
      </w:pPr>
      <w:r w:rsidRPr="0063289B">
        <w:t xml:space="preserve">Language: </w:t>
      </w:r>
    </w:p>
    <w:p w:rsidR="000B686F" w:rsidRPr="0063289B" w:rsidRDefault="000B686F" w:rsidP="000B686F">
      <w:pPr>
        <w:pStyle w:val="12"/>
      </w:pPr>
      <w:r w:rsidRPr="0063289B">
        <w:t xml:space="preserve">Publisher: </w:t>
      </w:r>
    </w:p>
    <w:p w:rsidR="000B686F" w:rsidRPr="0063289B" w:rsidRDefault="000B686F" w:rsidP="000B686F">
      <w:pPr>
        <w:pStyle w:val="12"/>
      </w:pPr>
      <w:r w:rsidRPr="0063289B">
        <w:t xml:space="preserve">Publisher Address: </w:t>
      </w:r>
    </w:p>
    <w:p w:rsidR="000B686F" w:rsidRPr="0063289B" w:rsidRDefault="000B686F" w:rsidP="000B686F">
      <w:pPr>
        <w:pStyle w:val="12"/>
      </w:pPr>
      <w:r w:rsidRPr="0063289B">
        <w:t xml:space="preserve">Subject Categories: </w:t>
      </w:r>
    </w:p>
    <w:p w:rsidR="000B686F" w:rsidRPr="0063289B" w:rsidRDefault="000B686F" w:rsidP="000B686F">
      <w:pPr>
        <w:pStyle w:val="12"/>
      </w:pPr>
      <w:r w:rsidRPr="0063289B">
        <w:t>: Impact Factor</w:t>
      </w:r>
    </w:p>
    <w:p w:rsidR="000B686F" w:rsidRDefault="000B686F" w:rsidP="000B686F">
      <w:pPr>
        <w:pStyle w:val="a3"/>
        <w:rPr>
          <w:kern w:val="0"/>
        </w:rPr>
      </w:pPr>
      <w:r>
        <w:rPr>
          <w:rFonts w:hint="eastAsia"/>
          <w:kern w:val="0"/>
        </w:rPr>
        <w:t xml:space="preserve">? </w:t>
      </w:r>
      <w:r>
        <w:rPr>
          <w:kern w:val="0"/>
        </w:rPr>
        <w:t xml:space="preserve">Geens, N. and Vandenbroeck, M. (2014), The (ab)sense of a concept of social support in parenting research: A social work perspective. </w:t>
      </w:r>
      <w:r w:rsidRPr="000B686F">
        <w:rPr>
          <w:i/>
          <w:iCs/>
          <w:kern w:val="0"/>
        </w:rPr>
        <w:t>Child &amp; Family Social Work</w:t>
      </w:r>
      <w:r>
        <w:rPr>
          <w:kern w:val="0"/>
        </w:rPr>
        <w:t xml:space="preserve">, </w:t>
      </w:r>
      <w:r>
        <w:rPr>
          <w:b/>
          <w:bCs/>
          <w:kern w:val="0"/>
        </w:rPr>
        <w:t>19</w:t>
      </w:r>
      <w:r>
        <w:rPr>
          <w:kern w:val="0"/>
        </w:rPr>
        <w:t xml:space="preserve"> (4), 491-500.</w:t>
      </w:r>
    </w:p>
    <w:p w:rsidR="000B686F" w:rsidRDefault="000B686F" w:rsidP="000B686F">
      <w:pPr>
        <w:pStyle w:val="a3"/>
        <w:rPr>
          <w:kern w:val="0"/>
        </w:rPr>
      </w:pPr>
      <w:r>
        <w:rPr>
          <w:rFonts w:hint="eastAsia"/>
          <w:kern w:val="0"/>
        </w:rPr>
        <w:t xml:space="preserve">Full Text: </w:t>
      </w:r>
      <w:hyperlink r:id="rId197" w:history="1">
        <w:r w:rsidRPr="000B686F">
          <w:rPr>
            <w:rStyle w:val="a5"/>
            <w:kern w:val="0"/>
          </w:rPr>
          <w:t>2014\Chi Fam Soc Wor19, 491.pdf</w:t>
        </w:r>
      </w:hyperlink>
    </w:p>
    <w:p w:rsidR="000B686F" w:rsidRDefault="000B686F" w:rsidP="000B686F">
      <w:pPr>
        <w:pStyle w:val="a3"/>
        <w:rPr>
          <w:kern w:val="0"/>
        </w:rPr>
      </w:pPr>
      <w:r>
        <w:rPr>
          <w:kern w:val="0"/>
        </w:rPr>
        <w:t>Abstract: Social support, as a complex, dynamic and multidimensional concept, has been studied extensively. However, a review of research publications on social support and parenting reveals that social work perspectives on social support are underdeveloped in the Social Sciences Citation Index. Social support is predominantly studied in relation to parental health, considering social support as a buffer against potential negative outcomes for children. This, in turn, legitimates extensive research on parents 'at risk'. Specific target groups have been questioned abundantly using social support measures, mainly consisting of self-reports. We conclude that social support is studied as a predefined concept, lacking conceptualizations that encompass the actual enacted support in relation to the perspectives of both givers and receivers of support. Moreover, the focus on targeted groups ignores the experience of social support in more diverse populations in general services and in everyday life. Issues of reciprocity, diversity and multivocality are central to our appeal for social work perspectives truly encompassing the relational aspect of social support. The question whether, and to what extent, social workers (including practitioners, policy-makers and researchers) should give attention to this relational aspect is discussed.</w:t>
      </w:r>
    </w:p>
    <w:p w:rsidR="000B686F" w:rsidRDefault="000B686F" w:rsidP="000B686F">
      <w:pPr>
        <w:pStyle w:val="a3"/>
        <w:rPr>
          <w:kern w:val="0"/>
        </w:rPr>
      </w:pPr>
      <w:r>
        <w:rPr>
          <w:kern w:val="0"/>
        </w:rPr>
        <w:t xml:space="preserve">Keywords: Attention, Buffer, Care, Children, Citation, Concept, Disability, Diversity, Dynamic, Experience, Fathers, General, Groups, Health, Involvement, Life, Low-Income Mothers, Measures, Mental-Health, Multidimensional, Networks, Nov, Outcomes, Parenting, Parenthood, Parents, Populations, Potential, Publications, </w:t>
      </w:r>
      <w:r>
        <w:rPr>
          <w:kern w:val="0"/>
        </w:rPr>
        <w:lastRenderedPageBreak/>
        <w:t>Research, Researchers, Review, Risk, Sciences, Services, Social, Social Networks, Social Sciences, Social Sciences Citation Index, Social Support, Social Work, Stress, Support, Work, Young-Children</w:t>
      </w:r>
    </w:p>
    <w:p w:rsidR="006E0A45" w:rsidRPr="002D0E04" w:rsidRDefault="006E0A45" w:rsidP="006E0A45">
      <w:pPr>
        <w:pStyle w:val="1"/>
      </w:pPr>
      <w:r w:rsidRPr="002D0E04">
        <w:br w:type="page"/>
      </w:r>
      <w:bookmarkStart w:id="178" w:name="_Toc420814957"/>
      <w:r w:rsidRPr="002D0E04">
        <w:lastRenderedPageBreak/>
        <w:t xml:space="preserve">Title: </w:t>
      </w:r>
      <w:r w:rsidRPr="006E0A45">
        <w:rPr>
          <w:iCs w:val="0"/>
        </w:rPr>
        <w:t>Child Language Teaching &amp; Therapy</w:t>
      </w:r>
      <w:bookmarkEnd w:id="178"/>
    </w:p>
    <w:p w:rsidR="006E0A45" w:rsidRPr="0063289B" w:rsidRDefault="006E0A45" w:rsidP="006E0A45">
      <w:pPr>
        <w:pStyle w:val="12"/>
      </w:pPr>
      <w:r w:rsidRPr="0063289B">
        <w:t xml:space="preserve">Full Journal Title: </w:t>
      </w:r>
      <w:r w:rsidRPr="006E0A45">
        <w:rPr>
          <w:iCs/>
          <w:kern w:val="0"/>
        </w:rPr>
        <w:t>Child Language Teaching &amp; Therapy</w:t>
      </w:r>
    </w:p>
    <w:p w:rsidR="006E0A45" w:rsidRPr="0063289B" w:rsidRDefault="006E0A45" w:rsidP="006E0A45">
      <w:pPr>
        <w:pStyle w:val="12"/>
      </w:pPr>
      <w:r w:rsidRPr="0063289B">
        <w:t xml:space="preserve">ISO Abbreviated Title: </w:t>
      </w:r>
    </w:p>
    <w:p w:rsidR="006E0A45" w:rsidRPr="0063289B" w:rsidRDefault="006E0A45" w:rsidP="006E0A45">
      <w:pPr>
        <w:pStyle w:val="12"/>
      </w:pPr>
      <w:r w:rsidRPr="0063289B">
        <w:t xml:space="preserve">JCR Abbreviated Title: </w:t>
      </w:r>
    </w:p>
    <w:p w:rsidR="006E0A45" w:rsidRPr="0063289B" w:rsidRDefault="006E0A45" w:rsidP="006E0A45">
      <w:pPr>
        <w:pStyle w:val="12"/>
      </w:pPr>
      <w:r w:rsidRPr="0063289B">
        <w:t xml:space="preserve">ISSN: </w:t>
      </w:r>
    </w:p>
    <w:p w:rsidR="006E0A45" w:rsidRPr="0063289B" w:rsidRDefault="006E0A45" w:rsidP="006E0A45">
      <w:pPr>
        <w:pStyle w:val="12"/>
      </w:pPr>
      <w:r w:rsidRPr="0063289B">
        <w:t xml:space="preserve">Issues/Year: </w:t>
      </w:r>
    </w:p>
    <w:p w:rsidR="006E0A45" w:rsidRPr="0063289B" w:rsidRDefault="006E0A45" w:rsidP="006E0A45">
      <w:pPr>
        <w:pStyle w:val="12"/>
      </w:pPr>
      <w:r w:rsidRPr="0063289B">
        <w:t xml:space="preserve">Journal Country/Territory: </w:t>
      </w:r>
    </w:p>
    <w:p w:rsidR="006E0A45" w:rsidRPr="0063289B" w:rsidRDefault="006E0A45" w:rsidP="006E0A45">
      <w:pPr>
        <w:pStyle w:val="12"/>
      </w:pPr>
      <w:r w:rsidRPr="0063289B">
        <w:t xml:space="preserve">Language: </w:t>
      </w:r>
    </w:p>
    <w:p w:rsidR="006E0A45" w:rsidRPr="0063289B" w:rsidRDefault="006E0A45" w:rsidP="006E0A45">
      <w:pPr>
        <w:pStyle w:val="12"/>
      </w:pPr>
      <w:r w:rsidRPr="0063289B">
        <w:t xml:space="preserve">Publisher: </w:t>
      </w:r>
    </w:p>
    <w:p w:rsidR="006E0A45" w:rsidRPr="0063289B" w:rsidRDefault="006E0A45" w:rsidP="006E0A45">
      <w:pPr>
        <w:pStyle w:val="12"/>
      </w:pPr>
      <w:r w:rsidRPr="0063289B">
        <w:t xml:space="preserve">Publisher Address: </w:t>
      </w:r>
    </w:p>
    <w:p w:rsidR="006E0A45" w:rsidRPr="0063289B" w:rsidRDefault="006E0A45" w:rsidP="006E0A45">
      <w:pPr>
        <w:pStyle w:val="12"/>
      </w:pPr>
      <w:r w:rsidRPr="0063289B">
        <w:t xml:space="preserve">Subject Categories: </w:t>
      </w:r>
    </w:p>
    <w:p w:rsidR="006E0A45" w:rsidRPr="0063289B" w:rsidRDefault="006E0A45" w:rsidP="006E0A45">
      <w:pPr>
        <w:pStyle w:val="12"/>
      </w:pPr>
      <w:r w:rsidRPr="0063289B">
        <w:t>: Impact Factor</w:t>
      </w:r>
    </w:p>
    <w:p w:rsidR="006E0A45" w:rsidRDefault="006E0A45" w:rsidP="006E0A45">
      <w:pPr>
        <w:pStyle w:val="a3"/>
        <w:rPr>
          <w:kern w:val="0"/>
        </w:rPr>
      </w:pPr>
      <w:r>
        <w:rPr>
          <w:kern w:val="0"/>
        </w:rPr>
        <w:t xml:space="preserve">? te Kaat-van den Os, D., Jongmans, M.J., Volman, M.J.M. and Lauteslager, P.E.M. (2015), Do gestures pave the way?: A systematic review of the transitional role of gesture during the acquisition of early lexical and syntactic milestones in young children with Down syndrome. </w:t>
      </w:r>
      <w:r w:rsidRPr="006E0A45">
        <w:rPr>
          <w:i/>
          <w:iCs/>
          <w:kern w:val="0"/>
        </w:rPr>
        <w:t>Child Language Teaching &amp; Therapy</w:t>
      </w:r>
      <w:r>
        <w:rPr>
          <w:kern w:val="0"/>
        </w:rPr>
        <w:t xml:space="preserve">, </w:t>
      </w:r>
      <w:r>
        <w:rPr>
          <w:b/>
          <w:bCs/>
          <w:kern w:val="0"/>
        </w:rPr>
        <w:t>31</w:t>
      </w:r>
      <w:r>
        <w:rPr>
          <w:kern w:val="0"/>
        </w:rPr>
        <w:t xml:space="preserve"> (1), 71-84.</w:t>
      </w:r>
    </w:p>
    <w:p w:rsidR="006E0A45" w:rsidRDefault="006E0A45" w:rsidP="006E0A45">
      <w:pPr>
        <w:pStyle w:val="a3"/>
        <w:rPr>
          <w:kern w:val="0"/>
        </w:rPr>
      </w:pPr>
      <w:r>
        <w:rPr>
          <w:rFonts w:hint="eastAsia"/>
          <w:kern w:val="0"/>
        </w:rPr>
        <w:t xml:space="preserve">Full Text: </w:t>
      </w:r>
      <w:hyperlink r:id="rId198" w:history="1">
        <w:r w:rsidRPr="00345375">
          <w:rPr>
            <w:rStyle w:val="a5"/>
            <w:kern w:val="0"/>
          </w:rPr>
          <w:t>2015\Chi Lan Tea The31, 71.pdf</w:t>
        </w:r>
      </w:hyperlink>
    </w:p>
    <w:p w:rsidR="006E0A45" w:rsidRDefault="006E0A45" w:rsidP="006E0A45">
      <w:pPr>
        <w:pStyle w:val="a3"/>
        <w:rPr>
          <w:kern w:val="0"/>
        </w:rPr>
      </w:pPr>
      <w:r>
        <w:rPr>
          <w:kern w:val="0"/>
        </w:rPr>
        <w:t>Abstract: Expressive language problems are common among children with Down syndrome (DS). In typically developing (TD) children, gestures play an important role in supporting the transition from one-word utterances to two-word utterances. As far as we know, an overview on the role of gestures to support expressive language development in children with DS is lacking. This systematic review aims to synthesize the current state of empirical evidence on the role of gestures during the acquisition of early lexical and syntactic milestones in young children with DS. A systematic literature search was performed using Pubmed, Scopus, PsycINFO and Web of Science databases. A total of 12 studies met the inclusion criteria. Results show that children with DS produce the same gestures and go through the same early expressive language stages of development as TD children. For children with DS, however, developmental stages are significantly delayed and, most importantly, the stage of supplementary gesture-plus-word combinations is rarely observed. Incorporating both verbal communication and gestures in daily communication between the child with DS and his/her parent might facilitate the child’s transition from one-word utterances to two-word utterances. Such activities should be incorporated into early language intervention programs.</w:t>
      </w:r>
    </w:p>
    <w:p w:rsidR="006E0A45" w:rsidRDefault="006E0A45" w:rsidP="006E0A45">
      <w:pPr>
        <w:pStyle w:val="a3"/>
        <w:rPr>
          <w:kern w:val="0"/>
        </w:rPr>
      </w:pPr>
      <w:r>
        <w:rPr>
          <w:kern w:val="0"/>
        </w:rPr>
        <w:t xml:space="preserve">Keywords: Child, Children, Communication, Criteria, Databases, Developing, Development, Down Syndrome, Early Language Development, Evidence, From, Gestures, Intervention, Language, Language-Development, Literature, Literature </w:t>
      </w:r>
      <w:r>
        <w:rPr>
          <w:kern w:val="0"/>
        </w:rPr>
        <w:lastRenderedPageBreak/>
        <w:t>Search, Overview, Parent, Psycinfo, Results, Review, Role, S, Science, Scopus, Spanish Children, Speech, State, Support, Syndrome, Syntax, Systematic, Systematic Literature Search, Systematic Review, Vocabulary, Vocabulary, Web, Web Of Science, Web Of Science Databases, Words, Young</w:t>
      </w:r>
    </w:p>
    <w:p w:rsidR="00502166" w:rsidRPr="002D0E04" w:rsidRDefault="00502166" w:rsidP="00502166">
      <w:pPr>
        <w:pStyle w:val="1"/>
      </w:pPr>
      <w:r w:rsidRPr="002D0E04">
        <w:br w:type="page"/>
      </w:r>
      <w:bookmarkStart w:id="179" w:name="_Toc420814958"/>
      <w:r w:rsidRPr="002D0E04">
        <w:lastRenderedPageBreak/>
        <w:t xml:space="preserve">Title: </w:t>
      </w:r>
      <w:r w:rsidRPr="00502166">
        <w:rPr>
          <w:iCs w:val="0"/>
        </w:rPr>
        <w:t>Childhood Obesity</w:t>
      </w:r>
      <w:bookmarkEnd w:id="179"/>
    </w:p>
    <w:p w:rsidR="00502166" w:rsidRPr="0063289B" w:rsidRDefault="00502166" w:rsidP="00502166">
      <w:pPr>
        <w:pStyle w:val="12"/>
      </w:pPr>
      <w:r w:rsidRPr="0063289B">
        <w:t xml:space="preserve">Full Journal Title: </w:t>
      </w:r>
      <w:r w:rsidRPr="00502166">
        <w:rPr>
          <w:iCs/>
          <w:kern w:val="0"/>
        </w:rPr>
        <w:t>Childhood Obesity</w:t>
      </w:r>
    </w:p>
    <w:p w:rsidR="00502166" w:rsidRPr="0063289B" w:rsidRDefault="00502166" w:rsidP="00502166">
      <w:pPr>
        <w:pStyle w:val="12"/>
      </w:pPr>
      <w:r w:rsidRPr="0063289B">
        <w:t xml:space="preserve">ISO Abbreviated Title: </w:t>
      </w:r>
    </w:p>
    <w:p w:rsidR="00502166" w:rsidRPr="0063289B" w:rsidRDefault="00502166" w:rsidP="00502166">
      <w:pPr>
        <w:pStyle w:val="12"/>
      </w:pPr>
      <w:r w:rsidRPr="0063289B">
        <w:t xml:space="preserve">JCR Abbreviated Title: </w:t>
      </w:r>
    </w:p>
    <w:p w:rsidR="00502166" w:rsidRPr="0063289B" w:rsidRDefault="00502166" w:rsidP="00502166">
      <w:pPr>
        <w:pStyle w:val="12"/>
      </w:pPr>
      <w:r w:rsidRPr="0063289B">
        <w:t xml:space="preserve">ISSN: </w:t>
      </w:r>
    </w:p>
    <w:p w:rsidR="00502166" w:rsidRPr="0063289B" w:rsidRDefault="00502166" w:rsidP="00502166">
      <w:pPr>
        <w:pStyle w:val="12"/>
      </w:pPr>
      <w:r w:rsidRPr="0063289B">
        <w:t xml:space="preserve">Issues/Year: </w:t>
      </w:r>
    </w:p>
    <w:p w:rsidR="00502166" w:rsidRPr="0063289B" w:rsidRDefault="00502166" w:rsidP="00502166">
      <w:pPr>
        <w:pStyle w:val="12"/>
      </w:pPr>
      <w:r w:rsidRPr="0063289B">
        <w:t xml:space="preserve">Journal Country/Territory: </w:t>
      </w:r>
    </w:p>
    <w:p w:rsidR="00502166" w:rsidRPr="0063289B" w:rsidRDefault="00502166" w:rsidP="00502166">
      <w:pPr>
        <w:pStyle w:val="12"/>
      </w:pPr>
      <w:r w:rsidRPr="0063289B">
        <w:t xml:space="preserve">Language: </w:t>
      </w:r>
    </w:p>
    <w:p w:rsidR="00502166" w:rsidRPr="0063289B" w:rsidRDefault="00502166" w:rsidP="00502166">
      <w:pPr>
        <w:pStyle w:val="12"/>
      </w:pPr>
      <w:r w:rsidRPr="0063289B">
        <w:t xml:space="preserve">Publisher: </w:t>
      </w:r>
    </w:p>
    <w:p w:rsidR="00502166" w:rsidRPr="0063289B" w:rsidRDefault="00502166" w:rsidP="00502166">
      <w:pPr>
        <w:pStyle w:val="12"/>
      </w:pPr>
      <w:r w:rsidRPr="0063289B">
        <w:t xml:space="preserve">Publisher Address: </w:t>
      </w:r>
    </w:p>
    <w:p w:rsidR="00502166" w:rsidRPr="0063289B" w:rsidRDefault="00502166" w:rsidP="00502166">
      <w:pPr>
        <w:pStyle w:val="12"/>
      </w:pPr>
      <w:r w:rsidRPr="0063289B">
        <w:t xml:space="preserve">Subject Categories: </w:t>
      </w:r>
    </w:p>
    <w:p w:rsidR="00502166" w:rsidRPr="0063289B" w:rsidRDefault="00502166" w:rsidP="00502166">
      <w:pPr>
        <w:pStyle w:val="12"/>
      </w:pPr>
      <w:r w:rsidRPr="0063289B">
        <w:t>: Impact Factor</w:t>
      </w:r>
    </w:p>
    <w:p w:rsidR="00502166" w:rsidRDefault="00502166" w:rsidP="00502166">
      <w:pPr>
        <w:pStyle w:val="a3"/>
        <w:rPr>
          <w:kern w:val="0"/>
        </w:rPr>
      </w:pPr>
      <w:r>
        <w:rPr>
          <w:kern w:val="0"/>
        </w:rPr>
        <w:t xml:space="preserve">? van Hoek, E., Feskens, E.J.M., Bouwman, L.I. and Janse, A.J. (2014), Effective interventions in overweight or obese young children: Systematic review and meta-analysis. </w:t>
      </w:r>
      <w:r w:rsidRPr="00502166">
        <w:rPr>
          <w:i/>
          <w:iCs/>
          <w:kern w:val="0"/>
        </w:rPr>
        <w:t>Childhood Obesity</w:t>
      </w:r>
      <w:r>
        <w:rPr>
          <w:kern w:val="0"/>
        </w:rPr>
        <w:t xml:space="preserve">, </w:t>
      </w:r>
      <w:r>
        <w:rPr>
          <w:b/>
          <w:bCs/>
          <w:kern w:val="0"/>
        </w:rPr>
        <w:t>10</w:t>
      </w:r>
      <w:r>
        <w:rPr>
          <w:kern w:val="0"/>
        </w:rPr>
        <w:t xml:space="preserve"> (6), 448-460.</w:t>
      </w:r>
    </w:p>
    <w:p w:rsidR="00502166" w:rsidRDefault="00502166" w:rsidP="00502166">
      <w:pPr>
        <w:pStyle w:val="a3"/>
        <w:rPr>
          <w:kern w:val="0"/>
        </w:rPr>
      </w:pPr>
      <w:r>
        <w:rPr>
          <w:rFonts w:hint="eastAsia"/>
          <w:kern w:val="0"/>
        </w:rPr>
        <w:t xml:space="preserve">Full Text: </w:t>
      </w:r>
      <w:r w:rsidRPr="00806353">
        <w:rPr>
          <w:kern w:val="0"/>
        </w:rPr>
        <w:t>2014\Chi Obe10, 448.pdf</w:t>
      </w:r>
    </w:p>
    <w:p w:rsidR="00502166" w:rsidRDefault="00502166" w:rsidP="00502166">
      <w:pPr>
        <w:pStyle w:val="a3"/>
        <w:rPr>
          <w:kern w:val="0"/>
        </w:rPr>
      </w:pPr>
      <w:r>
        <w:rPr>
          <w:kern w:val="0"/>
        </w:rPr>
        <w:t>Abstract: Background: Treatment programs for overweight and obese young children are of variable effectiveness, and the characteristics of effective programs are unknown. In this systematic review with meta-analysis, the effectiveness of treatment programs for these children is summarized. Methods: PubMed, Embase, Web of Science, and PsycINFO databases were searched up to April 2012. Articles reporting the effect of treatment on the body weight of overweight or obese children with a mean age in the range of 3-z-score with standard error were included in a meta-analysis. For this purpose, a random-effects model was used. Results: The search identified 11,250 articles, of which 27 were included in this review. Eleven studies, including 20 treatment programs with 1015 participants, were eligible for the meta-analysis. The pooled intervention effect showed high heterogeneity; therefore, subgroup analysis was performed. Subgroup analysis showed that program intensity and used components partly explained the heterogeneity. The subgroup with two studies using multicomponent treatment programs (combining dietary and physical activity education and behavioral therapy) of moderate or high intensity showed the largest pooled change in BMI z-score (-0.46; I-2, 0%). Conclusion: Although the subgroup multicomponent treatment programs of moderate to high intensity contained only two studies, these treatment programs appeared to be most effective in treating overweight young children.</w:t>
      </w:r>
    </w:p>
    <w:p w:rsidR="00502166" w:rsidRDefault="00502166" w:rsidP="00502166">
      <w:pPr>
        <w:pStyle w:val="a3"/>
        <w:rPr>
          <w:kern w:val="0"/>
        </w:rPr>
      </w:pPr>
      <w:r>
        <w:rPr>
          <w:kern w:val="0"/>
        </w:rPr>
        <w:t xml:space="preserve">Keywords: Activity, Adolescent Overweight, Age, Age-Children, Analysis, Articles, Bmi, Body Weight, Body-Mass Index, Characteristics, Childhood Obesity, Children, </w:t>
      </w:r>
      <w:r>
        <w:rPr>
          <w:kern w:val="0"/>
        </w:rPr>
        <w:lastRenderedPageBreak/>
        <w:t>Combining, Databases, Education, Effectiveness, Error, Heterogeneity, Intensity, Intervention, Interventions, Life-Style Intervention, Meta Analysis, Meta-Analysis, Metaanalysis, Methods, Model, Obese, Overweight, Pediatric Obesity, Physical, Physical Activity, Primary-Care, Program, Psycinfo, Pubmed, Purpose, Random Effects Model, Randomized Controlled-Trial, Reporting, Results, Review, Science, Standard, Systematic, Systematic Review, Therapy, Treatment, Web, Web Of Science, Weight Management Interventions, Young, Z-Score</w:t>
      </w:r>
    </w:p>
    <w:p w:rsidR="0013351F" w:rsidRPr="002D0E04" w:rsidRDefault="0013351F" w:rsidP="0013351F">
      <w:pPr>
        <w:pStyle w:val="1"/>
      </w:pPr>
      <w:r w:rsidRPr="002D0E04">
        <w:br w:type="page"/>
      </w:r>
      <w:bookmarkStart w:id="180" w:name="_Toc420814959"/>
      <w:r w:rsidRPr="002D0E04">
        <w:lastRenderedPageBreak/>
        <w:t xml:space="preserve">Title: </w:t>
      </w:r>
      <w:r w:rsidRPr="0013351F">
        <w:rPr>
          <w:iCs w:val="0"/>
        </w:rPr>
        <w:t>Childs Nervous System</w:t>
      </w:r>
      <w:bookmarkEnd w:id="180"/>
    </w:p>
    <w:p w:rsidR="0013351F" w:rsidRPr="0063289B" w:rsidRDefault="0013351F" w:rsidP="0013351F">
      <w:pPr>
        <w:pStyle w:val="12"/>
      </w:pPr>
      <w:r w:rsidRPr="0063289B">
        <w:t xml:space="preserve">Full Journal Title: </w:t>
      </w:r>
      <w:r w:rsidRPr="0013351F">
        <w:rPr>
          <w:iCs/>
          <w:kern w:val="0"/>
        </w:rPr>
        <w:t>Childs Nervous System</w:t>
      </w:r>
    </w:p>
    <w:p w:rsidR="0013351F" w:rsidRPr="0063289B" w:rsidRDefault="0013351F" w:rsidP="0013351F">
      <w:pPr>
        <w:pStyle w:val="12"/>
      </w:pPr>
      <w:r w:rsidRPr="0063289B">
        <w:t xml:space="preserve">ISO Abbreviated Title: </w:t>
      </w:r>
    </w:p>
    <w:p w:rsidR="0013351F" w:rsidRPr="0063289B" w:rsidRDefault="0013351F" w:rsidP="0013351F">
      <w:pPr>
        <w:pStyle w:val="12"/>
      </w:pPr>
      <w:r w:rsidRPr="0063289B">
        <w:t xml:space="preserve">JCR Abbreviated Title: </w:t>
      </w:r>
    </w:p>
    <w:p w:rsidR="0013351F" w:rsidRPr="0063289B" w:rsidRDefault="0013351F" w:rsidP="0013351F">
      <w:pPr>
        <w:pStyle w:val="12"/>
      </w:pPr>
      <w:r w:rsidRPr="0063289B">
        <w:t xml:space="preserve">ISSN: </w:t>
      </w:r>
    </w:p>
    <w:p w:rsidR="0013351F" w:rsidRPr="0063289B" w:rsidRDefault="0013351F" w:rsidP="0013351F">
      <w:pPr>
        <w:pStyle w:val="12"/>
      </w:pPr>
      <w:r w:rsidRPr="0063289B">
        <w:t xml:space="preserve">Issues/Year: </w:t>
      </w:r>
    </w:p>
    <w:p w:rsidR="0013351F" w:rsidRPr="0063289B" w:rsidRDefault="0013351F" w:rsidP="0013351F">
      <w:pPr>
        <w:pStyle w:val="12"/>
      </w:pPr>
      <w:r w:rsidRPr="0063289B">
        <w:t xml:space="preserve">Journal Country/Territory: </w:t>
      </w:r>
    </w:p>
    <w:p w:rsidR="0013351F" w:rsidRPr="0063289B" w:rsidRDefault="0013351F" w:rsidP="0013351F">
      <w:pPr>
        <w:pStyle w:val="12"/>
      </w:pPr>
      <w:r w:rsidRPr="0063289B">
        <w:t xml:space="preserve">Language: </w:t>
      </w:r>
    </w:p>
    <w:p w:rsidR="0013351F" w:rsidRPr="0063289B" w:rsidRDefault="0013351F" w:rsidP="0013351F">
      <w:pPr>
        <w:pStyle w:val="12"/>
      </w:pPr>
      <w:r w:rsidRPr="0063289B">
        <w:t xml:space="preserve">Publisher: </w:t>
      </w:r>
    </w:p>
    <w:p w:rsidR="0013351F" w:rsidRPr="0063289B" w:rsidRDefault="0013351F" w:rsidP="0013351F">
      <w:pPr>
        <w:pStyle w:val="12"/>
      </w:pPr>
      <w:r w:rsidRPr="0063289B">
        <w:t xml:space="preserve">Publisher Address: </w:t>
      </w:r>
    </w:p>
    <w:p w:rsidR="0013351F" w:rsidRPr="0063289B" w:rsidRDefault="0013351F" w:rsidP="0013351F">
      <w:pPr>
        <w:pStyle w:val="12"/>
      </w:pPr>
      <w:r w:rsidRPr="0063289B">
        <w:t xml:space="preserve">Subject Categories: </w:t>
      </w:r>
    </w:p>
    <w:p w:rsidR="0013351F" w:rsidRPr="0063289B" w:rsidRDefault="0013351F" w:rsidP="0013351F">
      <w:pPr>
        <w:pStyle w:val="12"/>
      </w:pPr>
      <w:r w:rsidRPr="0063289B">
        <w:t>: Impact Factor</w:t>
      </w:r>
    </w:p>
    <w:p w:rsidR="0071223E" w:rsidRDefault="0071223E" w:rsidP="0071223E">
      <w:pPr>
        <w:pStyle w:val="a3"/>
        <w:rPr>
          <w:kern w:val="0"/>
        </w:rPr>
      </w:pPr>
      <w:r>
        <w:rPr>
          <w:rFonts w:hint="eastAsia"/>
          <w:kern w:val="0"/>
        </w:rPr>
        <w:t xml:space="preserve">? </w:t>
      </w:r>
      <w:r w:rsidRPr="008D5FBC">
        <w:rPr>
          <w:kern w:val="0"/>
        </w:rPr>
        <w:t>Wilcox, M</w:t>
      </w:r>
      <w:r>
        <w:rPr>
          <w:rFonts w:hint="eastAsia"/>
          <w:kern w:val="0"/>
        </w:rPr>
        <w:t>.</w:t>
      </w:r>
      <w:r w:rsidRPr="008D5FBC">
        <w:rPr>
          <w:kern w:val="0"/>
        </w:rPr>
        <w:t>A</w:t>
      </w:r>
      <w:r>
        <w:rPr>
          <w:rFonts w:hint="eastAsia"/>
          <w:kern w:val="0"/>
        </w:rPr>
        <w:t>.,</w:t>
      </w:r>
      <w:r w:rsidRPr="008D5FBC">
        <w:rPr>
          <w:kern w:val="0"/>
        </w:rPr>
        <w:t xml:space="preserve"> Khan, N</w:t>
      </w:r>
      <w:r>
        <w:rPr>
          <w:rFonts w:hint="eastAsia"/>
          <w:kern w:val="0"/>
        </w:rPr>
        <w:t>.</w:t>
      </w:r>
      <w:r w:rsidRPr="008D5FBC">
        <w:rPr>
          <w:kern w:val="0"/>
        </w:rPr>
        <w:t>R</w:t>
      </w:r>
      <w:r>
        <w:rPr>
          <w:rFonts w:hint="eastAsia"/>
          <w:kern w:val="0"/>
        </w:rPr>
        <w:t>.,</w:t>
      </w:r>
      <w:r w:rsidRPr="008D5FBC">
        <w:rPr>
          <w:kern w:val="0"/>
        </w:rPr>
        <w:t xml:space="preserve"> McAbee, J</w:t>
      </w:r>
      <w:r>
        <w:rPr>
          <w:rFonts w:hint="eastAsia"/>
          <w:kern w:val="0"/>
        </w:rPr>
        <w:t>.</w:t>
      </w:r>
      <w:r w:rsidRPr="008D5FBC">
        <w:rPr>
          <w:kern w:val="0"/>
        </w:rPr>
        <w:t>H</w:t>
      </w:r>
      <w:r>
        <w:rPr>
          <w:rFonts w:hint="eastAsia"/>
          <w:kern w:val="0"/>
        </w:rPr>
        <w:t>.,</w:t>
      </w:r>
      <w:r w:rsidRPr="008D5FBC">
        <w:rPr>
          <w:kern w:val="0"/>
        </w:rPr>
        <w:t xml:space="preserve"> Boop, F</w:t>
      </w:r>
      <w:r>
        <w:rPr>
          <w:rFonts w:hint="eastAsia"/>
          <w:kern w:val="0"/>
        </w:rPr>
        <w:t>.</w:t>
      </w:r>
      <w:r w:rsidRPr="008D5FBC">
        <w:rPr>
          <w:kern w:val="0"/>
        </w:rPr>
        <w:t>A</w:t>
      </w:r>
      <w:r>
        <w:rPr>
          <w:rFonts w:hint="eastAsia"/>
          <w:kern w:val="0"/>
        </w:rPr>
        <w:t>. and</w:t>
      </w:r>
      <w:r w:rsidRPr="008D5FBC">
        <w:rPr>
          <w:kern w:val="0"/>
        </w:rPr>
        <w:t xml:space="preserve"> Klimo, P</w:t>
      </w:r>
      <w:r>
        <w:rPr>
          <w:rFonts w:hint="eastAsia"/>
          <w:kern w:val="0"/>
        </w:rPr>
        <w:t>.</w:t>
      </w:r>
      <w:r>
        <w:rPr>
          <w:kern w:val="0"/>
        </w:rPr>
        <w:t xml:space="preserve"> (201</w:t>
      </w:r>
      <w:r>
        <w:rPr>
          <w:rFonts w:hint="eastAsia"/>
          <w:kern w:val="0"/>
        </w:rPr>
        <w:t>3</w:t>
      </w:r>
      <w:r>
        <w:rPr>
          <w:kern w:val="0"/>
        </w:rPr>
        <w:t xml:space="preserve">), </w:t>
      </w:r>
      <w:r w:rsidRPr="008D5FBC">
        <w:rPr>
          <w:kern w:val="0"/>
        </w:rPr>
        <w:t>Highly cited publications in pediatric neurosurgery</w:t>
      </w:r>
      <w:r>
        <w:rPr>
          <w:kern w:val="0"/>
        </w:rPr>
        <w:t xml:space="preserve">. </w:t>
      </w:r>
      <w:r w:rsidRPr="0013351F">
        <w:rPr>
          <w:i/>
          <w:iCs/>
          <w:kern w:val="0"/>
        </w:rPr>
        <w:t>Childs Nervous System</w:t>
      </w:r>
      <w:r>
        <w:rPr>
          <w:kern w:val="0"/>
        </w:rPr>
        <w:t xml:space="preserve">, </w:t>
      </w:r>
      <w:r>
        <w:rPr>
          <w:rFonts w:hint="eastAsia"/>
          <w:b/>
          <w:bCs/>
          <w:kern w:val="0"/>
        </w:rPr>
        <w:t>29</w:t>
      </w:r>
      <w:r>
        <w:rPr>
          <w:kern w:val="0"/>
        </w:rPr>
        <w:t xml:space="preserve"> (1</w:t>
      </w:r>
      <w:r>
        <w:rPr>
          <w:rFonts w:hint="eastAsia"/>
          <w:kern w:val="0"/>
        </w:rPr>
        <w:t>2</w:t>
      </w:r>
      <w:r>
        <w:rPr>
          <w:kern w:val="0"/>
        </w:rPr>
        <w:t xml:space="preserve">), </w:t>
      </w:r>
      <w:r w:rsidRPr="008D5FBC">
        <w:rPr>
          <w:kern w:val="0"/>
        </w:rPr>
        <w:t>2201-2213</w:t>
      </w:r>
      <w:r>
        <w:rPr>
          <w:kern w:val="0"/>
        </w:rPr>
        <w:t>.</w:t>
      </w:r>
    </w:p>
    <w:p w:rsidR="0071223E" w:rsidRDefault="0071223E" w:rsidP="0071223E">
      <w:pPr>
        <w:pStyle w:val="a3"/>
        <w:rPr>
          <w:kern w:val="0"/>
        </w:rPr>
      </w:pPr>
      <w:r>
        <w:rPr>
          <w:rFonts w:hint="eastAsia"/>
          <w:kern w:val="0"/>
        </w:rPr>
        <w:t xml:space="preserve">Full Text: </w:t>
      </w:r>
      <w:hyperlink r:id="rId199" w:history="1">
        <w:r w:rsidRPr="008D5FBC">
          <w:rPr>
            <w:rStyle w:val="a5"/>
            <w:kern w:val="0"/>
          </w:rPr>
          <w:t>2013\Chi Ner Sys29, 2201.pdf</w:t>
        </w:r>
      </w:hyperlink>
    </w:p>
    <w:p w:rsidR="0071223E" w:rsidRPr="008D5FBC" w:rsidRDefault="0071223E" w:rsidP="0071223E">
      <w:pPr>
        <w:pStyle w:val="a3"/>
        <w:rPr>
          <w:kern w:val="0"/>
        </w:rPr>
      </w:pPr>
      <w:r w:rsidRPr="008D5FBC">
        <w:rPr>
          <w:kern w:val="0"/>
        </w:rPr>
        <w:t>Abstract</w:t>
      </w:r>
      <w:r>
        <w:rPr>
          <w:rFonts w:hint="eastAsia"/>
          <w:kern w:val="0"/>
        </w:rPr>
        <w:t xml:space="preserve">: </w:t>
      </w:r>
      <w:r w:rsidRPr="008D5FBC">
        <w:rPr>
          <w:kern w:val="0"/>
        </w:rPr>
        <w:t>The number of citations a publication receives can be used as a surrogate for the impact that article has made on its discipline. This study identifies and characterizes the most cited articles in pediatric neurosurg</w:t>
      </w:r>
      <w:r>
        <w:rPr>
          <w:kern w:val="0"/>
        </w:rPr>
        <w:t>ical journals as of April 2013.</w:t>
      </w:r>
    </w:p>
    <w:p w:rsidR="0071223E" w:rsidRPr="008D5FBC" w:rsidRDefault="0071223E" w:rsidP="0071223E">
      <w:pPr>
        <w:pStyle w:val="a3"/>
        <w:rPr>
          <w:kern w:val="0"/>
        </w:rPr>
      </w:pPr>
      <w:r w:rsidRPr="008D5FBC">
        <w:rPr>
          <w:kern w:val="0"/>
        </w:rPr>
        <w:t>We examined four clinical pediatric neurosurgery journals. The 100 most cited articles in the overall literature and the top 50 articles from 2002 to 2012 were examined. The following information was recorded for each article: number of authors, country of origin, citation-count adjusted for number of years in print</w:t>
      </w:r>
      <w:r>
        <w:rPr>
          <w:kern w:val="0"/>
        </w:rPr>
        <w:t>, topic, and level of evidence.</w:t>
      </w:r>
    </w:p>
    <w:p w:rsidR="0071223E" w:rsidRPr="008D5FBC" w:rsidRDefault="0071223E" w:rsidP="0071223E">
      <w:pPr>
        <w:pStyle w:val="a3"/>
        <w:rPr>
          <w:kern w:val="0"/>
        </w:rPr>
      </w:pPr>
      <w:r w:rsidRPr="008D5FBC">
        <w:rPr>
          <w:kern w:val="0"/>
        </w:rPr>
        <w:t>The 100 most cited articles appeared in three of the four journals: Child</w:t>
      </w:r>
      <w:r>
        <w:rPr>
          <w:kern w:val="0"/>
        </w:rPr>
        <w:t>’</w:t>
      </w:r>
      <w:r w:rsidRPr="008D5FBC">
        <w:rPr>
          <w:kern w:val="0"/>
        </w:rPr>
        <w:t>s Brain, Pediatric Neurosurgery and Child</w:t>
      </w:r>
      <w:r>
        <w:rPr>
          <w:kern w:val="0"/>
        </w:rPr>
        <w:t>’</w:t>
      </w:r>
      <w:r w:rsidRPr="008D5FBC">
        <w:rPr>
          <w:kern w:val="0"/>
        </w:rPr>
        <w:t>s Nervous System. Publication dates ranged from 1975 to 2006; 21 were prospective studies, 64 were retrospective, and 81 were either class 4 evidence (case series, n = 70) or review articles (n = 11). Citations ranged from 65 to 193 (mean of 90); average adjusted citation count per year was 4.5. The 50 most cited articles from 2002 to 2012 appeared in Child</w:t>
      </w:r>
      <w:r>
        <w:rPr>
          <w:kern w:val="0"/>
        </w:rPr>
        <w:t>’</w:t>
      </w:r>
      <w:r w:rsidRPr="008D5FBC">
        <w:rPr>
          <w:kern w:val="0"/>
        </w:rPr>
        <w:t>s Nervous System, Pediatric Neurosurgery, and JNS: Pediatrics. Four were prospective studies, 25 were retrospective, and 38 of the total (76 %) were either class 4 evidence (n = 24) or review articles (n = 14). Citations ranged from 41 to 125 (mean of 54); average adjusted c</w:t>
      </w:r>
      <w:r>
        <w:rPr>
          <w:kern w:val="0"/>
        </w:rPr>
        <w:t>itation count per year was 6.3.</w:t>
      </w:r>
    </w:p>
    <w:p w:rsidR="0071223E" w:rsidRPr="008D5FBC" w:rsidRDefault="0071223E" w:rsidP="0071223E">
      <w:pPr>
        <w:pStyle w:val="a3"/>
        <w:rPr>
          <w:kern w:val="0"/>
        </w:rPr>
      </w:pPr>
      <w:r w:rsidRPr="008D5FBC">
        <w:rPr>
          <w:kern w:val="0"/>
        </w:rPr>
        <w:t xml:space="preserve">An original paper in pediatric neurosurgery having a total citation count of 50 or more, and an average citation count of 5 per year or more can be considered a high impact </w:t>
      </w:r>
      <w:r w:rsidRPr="008D5FBC">
        <w:rPr>
          <w:kern w:val="0"/>
        </w:rPr>
        <w:lastRenderedPageBreak/>
        <w:t>publication.</w:t>
      </w:r>
    </w:p>
    <w:p w:rsidR="0071223E" w:rsidRDefault="0071223E" w:rsidP="0071223E">
      <w:pPr>
        <w:pStyle w:val="a3"/>
        <w:rPr>
          <w:kern w:val="0"/>
        </w:rPr>
      </w:pPr>
      <w:r w:rsidRPr="008D5FBC">
        <w:rPr>
          <w:kern w:val="0"/>
        </w:rPr>
        <w:t>Keywords:</w:t>
      </w:r>
      <w:r>
        <w:rPr>
          <w:kern w:val="0"/>
        </w:rPr>
        <w:t xml:space="preserve"> </w:t>
      </w:r>
      <w:r w:rsidRPr="008D5FBC">
        <w:rPr>
          <w:kern w:val="0"/>
        </w:rPr>
        <w:t>Citation</w:t>
      </w:r>
      <w:r>
        <w:rPr>
          <w:kern w:val="0"/>
        </w:rPr>
        <w:t>,</w:t>
      </w:r>
      <w:r w:rsidRPr="008D5FBC">
        <w:rPr>
          <w:kern w:val="0"/>
        </w:rPr>
        <w:t xml:space="preserve"> Analysis</w:t>
      </w:r>
      <w:r>
        <w:rPr>
          <w:kern w:val="0"/>
        </w:rPr>
        <w:t>,</w:t>
      </w:r>
      <w:r w:rsidRPr="008D5FBC">
        <w:rPr>
          <w:kern w:val="0"/>
        </w:rPr>
        <w:t xml:space="preserve"> Articles</w:t>
      </w:r>
      <w:r>
        <w:rPr>
          <w:kern w:val="0"/>
        </w:rPr>
        <w:t>,</w:t>
      </w:r>
      <w:r w:rsidRPr="008D5FBC">
        <w:rPr>
          <w:kern w:val="0"/>
        </w:rPr>
        <w:t xml:space="preserve"> Pediatric</w:t>
      </w:r>
      <w:r>
        <w:rPr>
          <w:kern w:val="0"/>
        </w:rPr>
        <w:t>,</w:t>
      </w:r>
      <w:r w:rsidRPr="008D5FBC">
        <w:rPr>
          <w:kern w:val="0"/>
        </w:rPr>
        <w:t xml:space="preserve"> Neurosurgery</w:t>
      </w:r>
      <w:r>
        <w:rPr>
          <w:kern w:val="0"/>
        </w:rPr>
        <w:t xml:space="preserve">, </w:t>
      </w:r>
      <w:r w:rsidRPr="008D5FBC">
        <w:rPr>
          <w:kern w:val="0"/>
        </w:rPr>
        <w:t>Citation-Classics</w:t>
      </w:r>
      <w:r>
        <w:rPr>
          <w:kern w:val="0"/>
        </w:rPr>
        <w:t>,</w:t>
      </w:r>
      <w:r w:rsidRPr="008D5FBC">
        <w:rPr>
          <w:kern w:val="0"/>
        </w:rPr>
        <w:t xml:space="preserve"> Orthopedic-Surgery</w:t>
      </w:r>
      <w:r>
        <w:rPr>
          <w:kern w:val="0"/>
        </w:rPr>
        <w:t>,</w:t>
      </w:r>
      <w:r w:rsidRPr="008D5FBC">
        <w:rPr>
          <w:kern w:val="0"/>
        </w:rPr>
        <w:t xml:space="preserve"> Articles</w:t>
      </w:r>
      <w:r>
        <w:rPr>
          <w:kern w:val="0"/>
        </w:rPr>
        <w:t>,</w:t>
      </w:r>
      <w:r w:rsidRPr="008D5FBC">
        <w:rPr>
          <w:kern w:val="0"/>
        </w:rPr>
        <w:t xml:space="preserve"> Journals</w:t>
      </w:r>
      <w:r>
        <w:rPr>
          <w:kern w:val="0"/>
        </w:rPr>
        <w:t>,</w:t>
      </w:r>
      <w:r w:rsidRPr="008D5FBC">
        <w:rPr>
          <w:kern w:val="0"/>
        </w:rPr>
        <w:t xml:space="preserve"> Science</w:t>
      </w:r>
      <w:r>
        <w:rPr>
          <w:kern w:val="0"/>
        </w:rPr>
        <w:t>,</w:t>
      </w:r>
      <w:r w:rsidRPr="008D5FBC">
        <w:rPr>
          <w:kern w:val="0"/>
        </w:rPr>
        <w:t xml:space="preserve"> Impact</w:t>
      </w:r>
      <w:r>
        <w:rPr>
          <w:kern w:val="0"/>
        </w:rPr>
        <w:t>,</w:t>
      </w:r>
      <w:r w:rsidRPr="008D5FBC">
        <w:rPr>
          <w:kern w:val="0"/>
        </w:rPr>
        <w:t xml:space="preserve"> Medicine</w:t>
      </w:r>
      <w:r>
        <w:rPr>
          <w:kern w:val="0"/>
        </w:rPr>
        <w:t>,</w:t>
      </w:r>
      <w:r w:rsidRPr="008D5FBC">
        <w:rPr>
          <w:kern w:val="0"/>
        </w:rPr>
        <w:t xml:space="preserve"> Urology</w:t>
      </w:r>
      <w:r>
        <w:rPr>
          <w:kern w:val="0"/>
        </w:rPr>
        <w:t>,</w:t>
      </w:r>
      <w:r w:rsidRPr="008D5FBC">
        <w:rPr>
          <w:kern w:val="0"/>
        </w:rPr>
        <w:t xml:space="preserve"> History</w:t>
      </w:r>
      <w:r>
        <w:rPr>
          <w:kern w:val="0"/>
        </w:rPr>
        <w:t>,</w:t>
      </w:r>
      <w:r w:rsidRPr="008D5FBC">
        <w:rPr>
          <w:kern w:val="0"/>
        </w:rPr>
        <w:t xml:space="preserve"> Authors</w:t>
      </w:r>
    </w:p>
    <w:p w:rsidR="0013351F" w:rsidRDefault="0013351F" w:rsidP="0013351F">
      <w:pPr>
        <w:pStyle w:val="a3"/>
        <w:rPr>
          <w:kern w:val="0"/>
        </w:rPr>
      </w:pPr>
      <w:r>
        <w:rPr>
          <w:rFonts w:hint="eastAsia"/>
          <w:kern w:val="0"/>
        </w:rPr>
        <w:t xml:space="preserve">? </w:t>
      </w:r>
      <w:r>
        <w:rPr>
          <w:kern w:val="0"/>
        </w:rPr>
        <w:t>Venable, G.T., Shepherd, B.A., Roberts, M.L., Taylor, D.R., Khan, N.R. and Klimo, P. (2014), An application of Bradford</w:t>
      </w:r>
      <w:r w:rsidR="0071223E">
        <w:rPr>
          <w:kern w:val="0"/>
        </w:rPr>
        <w:t>’</w:t>
      </w:r>
      <w:r>
        <w:rPr>
          <w:kern w:val="0"/>
        </w:rPr>
        <w:t xml:space="preserve">s law: Identification of the core journals of pediatric neurosurgery and a regional comparison of citation density. </w:t>
      </w:r>
      <w:r w:rsidRPr="0013351F">
        <w:rPr>
          <w:i/>
          <w:iCs/>
          <w:kern w:val="0"/>
        </w:rPr>
        <w:t>Childs Nervous System</w:t>
      </w:r>
      <w:r>
        <w:rPr>
          <w:kern w:val="0"/>
        </w:rPr>
        <w:t xml:space="preserve">, </w:t>
      </w:r>
      <w:r>
        <w:rPr>
          <w:b/>
          <w:bCs/>
          <w:kern w:val="0"/>
        </w:rPr>
        <w:t>30</w:t>
      </w:r>
      <w:r>
        <w:rPr>
          <w:kern w:val="0"/>
        </w:rPr>
        <w:t xml:space="preserve"> (10), 1717-1727.</w:t>
      </w:r>
    </w:p>
    <w:p w:rsidR="0013351F" w:rsidRDefault="0013351F" w:rsidP="0013351F">
      <w:pPr>
        <w:pStyle w:val="a3"/>
        <w:rPr>
          <w:kern w:val="0"/>
        </w:rPr>
      </w:pPr>
      <w:r>
        <w:rPr>
          <w:rFonts w:hint="eastAsia"/>
          <w:kern w:val="0"/>
        </w:rPr>
        <w:t xml:space="preserve">Full Text: </w:t>
      </w:r>
      <w:hyperlink r:id="rId200" w:history="1">
        <w:r w:rsidRPr="0013351F">
          <w:rPr>
            <w:rStyle w:val="a5"/>
            <w:kern w:val="0"/>
          </w:rPr>
          <w:t>2014\Chi Ner Sys30, 1717.pdf</w:t>
        </w:r>
      </w:hyperlink>
    </w:p>
    <w:p w:rsidR="0013351F" w:rsidRDefault="0013351F" w:rsidP="0013351F">
      <w:pPr>
        <w:pStyle w:val="a3"/>
        <w:rPr>
          <w:kern w:val="0"/>
        </w:rPr>
      </w:pPr>
      <w:r>
        <w:rPr>
          <w:kern w:val="0"/>
        </w:rPr>
        <w:t>Abstract: Bradford</w:t>
      </w:r>
      <w:r w:rsidR="0071223E">
        <w:rPr>
          <w:kern w:val="0"/>
        </w:rPr>
        <w:t>’</w:t>
      </w:r>
      <w:r>
        <w:rPr>
          <w:kern w:val="0"/>
        </w:rPr>
        <w:t>s law describes the number of core journals in a given field or subject and has recently been applied to neurosurgery. The objective of this study was to use currently accepted formulations of Bradford</w:t>
      </w:r>
      <w:r w:rsidR="0071223E">
        <w:rPr>
          <w:kern w:val="0"/>
        </w:rPr>
        <w:t>’</w:t>
      </w:r>
      <w:r>
        <w:rPr>
          <w:kern w:val="0"/>
        </w:rPr>
        <w:t>s law to identify core journals of pediatric neurosurgery. An additional analysis was completed to compare regional dependence on citation density among North American and European neurosurgeons. All original research publications from 2009 to 2013 were analyzed for the 25 top publishing pediatric neurosurgeons in North America and Europe, which were sampled to construct regional citation databases of all journal references. Regional differences were compared with each database. Egghe</w:t>
      </w:r>
      <w:r w:rsidR="0071223E">
        <w:rPr>
          <w:kern w:val="0"/>
        </w:rPr>
        <w:t>’</w:t>
      </w:r>
      <w:r>
        <w:rPr>
          <w:kern w:val="0"/>
        </w:rPr>
        <w:t>s formulation and the verbal formulation of Bradford</w:t>
      </w:r>
      <w:r w:rsidR="0071223E">
        <w:rPr>
          <w:kern w:val="0"/>
        </w:rPr>
        <w:t>’</w:t>
      </w:r>
      <w:r>
        <w:rPr>
          <w:kern w:val="0"/>
        </w:rPr>
        <w:t>s law were applied to create specific citation density zones and identify the core journals. Regional comparison demonstrated a preference for the Journal of Neurosurgery and Child</w:t>
      </w:r>
      <w:r w:rsidR="0071223E">
        <w:rPr>
          <w:kern w:val="0"/>
        </w:rPr>
        <w:t>’</w:t>
      </w:r>
      <w:r>
        <w:rPr>
          <w:kern w:val="0"/>
        </w:rPr>
        <w:t>s Nervous System, respectively, but four of the top five journals were common to both groups. Applying the verbal formulation of Bradford</w:t>
      </w:r>
      <w:r w:rsidR="0071223E">
        <w:rPr>
          <w:kern w:val="0"/>
        </w:rPr>
        <w:t>’</w:t>
      </w:r>
      <w:r>
        <w:rPr>
          <w:kern w:val="0"/>
        </w:rPr>
        <w:t>s law to the North American citation database, a pattern of citation density was identified across the first three zones. Journals residing in the most highly cited first zone are presented as the core journals. Bradford</w:t>
      </w:r>
      <w:r w:rsidR="0071223E">
        <w:rPr>
          <w:kern w:val="0"/>
        </w:rPr>
        <w:t>’</w:t>
      </w:r>
      <w:r>
        <w:rPr>
          <w:kern w:val="0"/>
        </w:rPr>
        <w:t>s law can be applied to identify the core journals of neurosurgical subspecialties. While regional differences exist between the most highly cited and most frequently published in journals among North American and European pediatric neurosurgeons, there is commonality between the top five core journals in both groups.</w:t>
      </w:r>
    </w:p>
    <w:p w:rsidR="0013351F" w:rsidRDefault="0013351F" w:rsidP="0013351F">
      <w:pPr>
        <w:pStyle w:val="a3"/>
        <w:rPr>
          <w:kern w:val="0"/>
        </w:rPr>
      </w:pPr>
      <w:r>
        <w:rPr>
          <w:kern w:val="0"/>
        </w:rPr>
        <w:t>Keywords: Analysis, Application, Bibliometrics, Bradford</w:t>
      </w:r>
      <w:r w:rsidR="0071223E">
        <w:rPr>
          <w:kern w:val="0"/>
        </w:rPr>
        <w:t>’</w:t>
      </w:r>
      <w:r>
        <w:rPr>
          <w:kern w:val="0"/>
        </w:rPr>
        <w:t>S Law, Citation, Citation Analysis, Citation Databases, Comparison, Core Journals, Database, Databases, Europe, Field, First, Formulation, From, Groups, H Index, H-Index, Highly Cited, Highly-Cited, Identification, Journal, Journals, Law, Neurosurgery, North, North America, Pattern, Pediatric, Pediatric Neurosurgery, Preference, Publications, Publishing, References, Regional, Research, Scopus</w:t>
      </w:r>
    </w:p>
    <w:p w:rsidR="00E1774C" w:rsidRPr="002D0E04" w:rsidRDefault="00E1774C" w:rsidP="00E1774C">
      <w:pPr>
        <w:pStyle w:val="1"/>
      </w:pPr>
      <w:r w:rsidRPr="002D0E04">
        <w:br w:type="page"/>
      </w:r>
      <w:bookmarkStart w:id="181" w:name="_Toc420814960"/>
      <w:r w:rsidRPr="002D0E04">
        <w:lastRenderedPageBreak/>
        <w:t xml:space="preserve">Title: </w:t>
      </w:r>
      <w:r w:rsidRPr="00CA6114">
        <w:t>Chilean Journal</w:t>
      </w:r>
      <w:r w:rsidR="00427468">
        <w:t xml:space="preserve"> of </w:t>
      </w:r>
      <w:r w:rsidRPr="00CA6114">
        <w:t>Agricultural Research</w:t>
      </w:r>
      <w:bookmarkEnd w:id="181"/>
    </w:p>
    <w:p w:rsidR="00E1774C" w:rsidRPr="0063289B" w:rsidRDefault="00E1774C" w:rsidP="00E1774C">
      <w:pPr>
        <w:pStyle w:val="12"/>
      </w:pPr>
      <w:r w:rsidRPr="0063289B">
        <w:t xml:space="preserve">Full Journal Title: </w:t>
      </w:r>
      <w:hyperlink r:id="rId201" w:history="1">
        <w:r w:rsidRPr="00CA6114">
          <w:rPr>
            <w:rStyle w:val="a5"/>
            <w:iCs/>
          </w:rPr>
          <w:t>Chilean Journal</w:t>
        </w:r>
        <w:r w:rsidR="00427468">
          <w:rPr>
            <w:rStyle w:val="a5"/>
            <w:iCs/>
          </w:rPr>
          <w:t xml:space="preserve"> of </w:t>
        </w:r>
        <w:r w:rsidRPr="00CA6114">
          <w:rPr>
            <w:rStyle w:val="a5"/>
            <w:iCs/>
          </w:rPr>
          <w:t>Agricultural Research</w:t>
        </w:r>
      </w:hyperlink>
    </w:p>
    <w:p w:rsidR="00E1774C" w:rsidRPr="0063289B" w:rsidRDefault="00E1774C" w:rsidP="00E1774C">
      <w:pPr>
        <w:pStyle w:val="12"/>
      </w:pPr>
      <w:r w:rsidRPr="0063289B">
        <w:t xml:space="preserve">ISO Abbreviated Title: </w:t>
      </w:r>
    </w:p>
    <w:p w:rsidR="00E1774C" w:rsidRPr="0063289B" w:rsidRDefault="00E1774C" w:rsidP="00E1774C">
      <w:pPr>
        <w:pStyle w:val="12"/>
      </w:pPr>
      <w:r w:rsidRPr="0063289B">
        <w:t xml:space="preserve">JCR Abbreviated Title: </w:t>
      </w:r>
    </w:p>
    <w:p w:rsidR="00E1774C" w:rsidRPr="0063289B" w:rsidRDefault="00E1774C" w:rsidP="00E1774C">
      <w:pPr>
        <w:pStyle w:val="12"/>
      </w:pPr>
      <w:r w:rsidRPr="0063289B">
        <w:t xml:space="preserve">ISSN: </w:t>
      </w:r>
    </w:p>
    <w:p w:rsidR="00E1774C" w:rsidRPr="0063289B" w:rsidRDefault="00E1774C" w:rsidP="00E1774C">
      <w:pPr>
        <w:pStyle w:val="12"/>
      </w:pPr>
      <w:r w:rsidRPr="0063289B">
        <w:t xml:space="preserve">Issues/Year: </w:t>
      </w:r>
    </w:p>
    <w:p w:rsidR="00E1774C" w:rsidRPr="0063289B" w:rsidRDefault="00E1774C" w:rsidP="00E1774C">
      <w:pPr>
        <w:pStyle w:val="12"/>
      </w:pPr>
      <w:r w:rsidRPr="0063289B">
        <w:t xml:space="preserve">Journal Country/Territory: </w:t>
      </w:r>
    </w:p>
    <w:p w:rsidR="00E1774C" w:rsidRPr="0063289B" w:rsidRDefault="00E1774C" w:rsidP="00E1774C">
      <w:pPr>
        <w:pStyle w:val="12"/>
      </w:pPr>
      <w:r w:rsidRPr="0063289B">
        <w:t xml:space="preserve">Language: </w:t>
      </w:r>
    </w:p>
    <w:p w:rsidR="00E1774C" w:rsidRPr="0063289B" w:rsidRDefault="00E1774C" w:rsidP="00E1774C">
      <w:pPr>
        <w:pStyle w:val="12"/>
      </w:pPr>
      <w:r w:rsidRPr="0063289B">
        <w:t xml:space="preserve">Publisher: </w:t>
      </w:r>
    </w:p>
    <w:p w:rsidR="00E1774C" w:rsidRPr="0063289B" w:rsidRDefault="00E1774C" w:rsidP="00E1774C">
      <w:pPr>
        <w:pStyle w:val="12"/>
      </w:pPr>
      <w:r w:rsidRPr="0063289B">
        <w:t xml:space="preserve">Publisher Address: </w:t>
      </w:r>
    </w:p>
    <w:p w:rsidR="00E1774C" w:rsidRPr="0063289B" w:rsidRDefault="00E1774C" w:rsidP="00E1774C">
      <w:pPr>
        <w:pStyle w:val="12"/>
      </w:pPr>
      <w:r w:rsidRPr="0063289B">
        <w:t xml:space="preserve">Subject Categories: </w:t>
      </w:r>
    </w:p>
    <w:p w:rsidR="00E1774C" w:rsidRPr="0063289B" w:rsidRDefault="00E1774C" w:rsidP="00E1774C">
      <w:pPr>
        <w:pStyle w:val="12"/>
      </w:pPr>
      <w:r w:rsidRPr="0063289B">
        <w:t>: Impact Factor</w:t>
      </w:r>
    </w:p>
    <w:p w:rsidR="00E1774C" w:rsidRDefault="00E1774C" w:rsidP="00E1774C">
      <w:pPr>
        <w:pStyle w:val="a3"/>
        <w:rPr>
          <w:kern w:val="0"/>
        </w:rPr>
      </w:pPr>
      <w:r>
        <w:rPr>
          <w:rFonts w:hint="eastAsia"/>
          <w:kern w:val="0"/>
        </w:rPr>
        <w:t xml:space="preserve">? </w:t>
      </w:r>
      <w:r>
        <w:rPr>
          <w:kern w:val="0"/>
        </w:rPr>
        <w:t>Krauskopf, E. (2012), Short term impact</w:t>
      </w:r>
      <w:r w:rsidR="00427468">
        <w:rPr>
          <w:kern w:val="0"/>
        </w:rPr>
        <w:t xml:space="preserve"> of </w:t>
      </w:r>
      <w:r w:rsidR="003A1917">
        <w:rPr>
          <w:kern w:val="0"/>
        </w:rPr>
        <w:t xml:space="preserve">the </w:t>
      </w:r>
      <w:r w:rsidRPr="00373981">
        <w:rPr>
          <w:i/>
          <w:kern w:val="0"/>
        </w:rPr>
        <w:t>Chilean Journal</w:t>
      </w:r>
      <w:r w:rsidR="00427468">
        <w:rPr>
          <w:i/>
          <w:kern w:val="0"/>
        </w:rPr>
        <w:t xml:space="preserve"> of </w:t>
      </w:r>
      <w:r w:rsidRPr="00373981">
        <w:rPr>
          <w:i/>
          <w:kern w:val="0"/>
        </w:rPr>
        <w:t>Agricultural Research</w:t>
      </w:r>
      <w:r>
        <w:rPr>
          <w:kern w:val="0"/>
        </w:rPr>
        <w:t xml:space="preserve">: A bibliometric analysis. </w:t>
      </w:r>
      <w:r w:rsidRPr="00CA6114">
        <w:rPr>
          <w:i/>
          <w:iCs/>
          <w:kern w:val="0"/>
        </w:rPr>
        <w:t>Chilean Journal</w:t>
      </w:r>
      <w:r w:rsidR="00427468">
        <w:rPr>
          <w:i/>
          <w:iCs/>
          <w:kern w:val="0"/>
        </w:rPr>
        <w:t xml:space="preserve"> of </w:t>
      </w:r>
      <w:r w:rsidRPr="00CA6114">
        <w:rPr>
          <w:i/>
          <w:iCs/>
          <w:kern w:val="0"/>
        </w:rPr>
        <w:t>Agricultural Research</w:t>
      </w:r>
      <w:r>
        <w:rPr>
          <w:kern w:val="0"/>
        </w:rPr>
        <w:t xml:space="preserve">, </w:t>
      </w:r>
      <w:r>
        <w:rPr>
          <w:b/>
          <w:bCs/>
          <w:kern w:val="0"/>
        </w:rPr>
        <w:t>72</w:t>
      </w:r>
      <w:r>
        <w:rPr>
          <w:kern w:val="0"/>
        </w:rPr>
        <w:t xml:space="preserve"> (1), 161-164.</w:t>
      </w:r>
    </w:p>
    <w:p w:rsidR="00E1774C" w:rsidRDefault="00E1774C" w:rsidP="00E1774C">
      <w:pPr>
        <w:pStyle w:val="a3"/>
        <w:rPr>
          <w:kern w:val="0"/>
        </w:rPr>
      </w:pPr>
      <w:r>
        <w:rPr>
          <w:rFonts w:hint="eastAsia"/>
          <w:kern w:val="0"/>
        </w:rPr>
        <w:t xml:space="preserve">Full Text: </w:t>
      </w:r>
      <w:r w:rsidRPr="00CA6114">
        <w:rPr>
          <w:kern w:val="0"/>
        </w:rPr>
        <w:t>2012\Chi J Agr Res72, 161.pdf</w:t>
      </w:r>
    </w:p>
    <w:p w:rsidR="00E1774C" w:rsidRDefault="00E1774C" w:rsidP="00E1774C">
      <w:pPr>
        <w:pStyle w:val="a3"/>
        <w:rPr>
          <w:kern w:val="0"/>
        </w:rPr>
      </w:pPr>
      <w:r>
        <w:rPr>
          <w:kern w:val="0"/>
        </w:rPr>
        <w:t>Abstract: In January 2007,</w:t>
      </w:r>
      <w:r w:rsidR="003A1917">
        <w:rPr>
          <w:kern w:val="0"/>
        </w:rPr>
        <w:t xml:space="preserve"> the </w:t>
      </w:r>
      <w:r>
        <w:rPr>
          <w:kern w:val="0"/>
        </w:rPr>
        <w:t>Chilean Journal</w:t>
      </w:r>
      <w:r w:rsidR="00427468">
        <w:rPr>
          <w:kern w:val="0"/>
        </w:rPr>
        <w:t xml:space="preserve"> of </w:t>
      </w:r>
      <w:r>
        <w:rPr>
          <w:kern w:val="0"/>
        </w:rPr>
        <w:t>Agricultural Research was indexed by</w:t>
      </w:r>
      <w:r w:rsidR="003A1917">
        <w:rPr>
          <w:kern w:val="0"/>
        </w:rPr>
        <w:t xml:space="preserve"> the </w:t>
      </w:r>
      <w:r>
        <w:rPr>
          <w:kern w:val="0"/>
        </w:rPr>
        <w:t>Institute</w:t>
      </w:r>
      <w:r w:rsidR="00427468">
        <w:rPr>
          <w:kern w:val="0"/>
        </w:rPr>
        <w:t xml:space="preserve"> of </w:t>
      </w:r>
      <w:r>
        <w:rPr>
          <w:kern w:val="0"/>
        </w:rPr>
        <w:t>Scientific Information (ISI). This paper reviews</w:t>
      </w:r>
      <w:r w:rsidR="003A1917">
        <w:rPr>
          <w:kern w:val="0"/>
        </w:rPr>
        <w:t xml:space="preserve"> the </w:t>
      </w:r>
      <w:r>
        <w:rPr>
          <w:kern w:val="0"/>
        </w:rPr>
        <w:t>research that has been published since 2007 by using records extracted from</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database</w:t>
      </w:r>
      <w:r w:rsidR="00A37C1D">
        <w:rPr>
          <w:kern w:val="0"/>
        </w:rPr>
        <w:t>. The</w:t>
      </w:r>
      <w:r w:rsidR="003A1917">
        <w:rPr>
          <w:kern w:val="0"/>
        </w:rPr>
        <w:t xml:space="preserve"> </w:t>
      </w:r>
      <w:r>
        <w:rPr>
          <w:kern w:val="0"/>
        </w:rPr>
        <w:t>papers published were mostly affiliated to researchers from Chile,</w:t>
      </w:r>
      <w:r w:rsidR="005853A9">
        <w:rPr>
          <w:kern w:val="0"/>
        </w:rPr>
        <w:t xml:space="preserve"> and </w:t>
      </w:r>
      <w:r>
        <w:rPr>
          <w:kern w:val="0"/>
        </w:rPr>
        <w:t>six out</w:t>
      </w:r>
      <w:r w:rsidR="00427468">
        <w:rPr>
          <w:kern w:val="0"/>
        </w:rPr>
        <w:t xml:space="preserve"> of </w:t>
      </w:r>
      <w:r w:rsidR="003A1917">
        <w:rPr>
          <w:kern w:val="0"/>
        </w:rPr>
        <w:t xml:space="preserve">the </w:t>
      </w:r>
      <w:r>
        <w:rPr>
          <w:kern w:val="0"/>
        </w:rPr>
        <w:t>ten most-contributing countries were from Latin America</w:t>
      </w:r>
      <w:r w:rsidR="00A37C1D">
        <w:rPr>
          <w:kern w:val="0"/>
        </w:rPr>
        <w:t>. The</w:t>
      </w:r>
      <w:r w:rsidR="003A1917">
        <w:rPr>
          <w:kern w:val="0"/>
        </w:rPr>
        <w:t xml:space="preserve"> </w:t>
      </w:r>
      <w:r>
        <w:rPr>
          <w:kern w:val="0"/>
        </w:rPr>
        <w:t>analysis by institutions showed Universidad de Concepcion as</w:t>
      </w:r>
      <w:r w:rsidR="003A1917">
        <w:rPr>
          <w:kern w:val="0"/>
        </w:rPr>
        <w:t xml:space="preserve"> the </w:t>
      </w:r>
      <w:r>
        <w:rPr>
          <w:kern w:val="0"/>
        </w:rPr>
        <w:t>most prolific, although this result is not valid. A lack</w:t>
      </w:r>
      <w:r w:rsidR="00427468">
        <w:rPr>
          <w:kern w:val="0"/>
        </w:rPr>
        <w:t xml:space="preserve"> of </w:t>
      </w:r>
      <w:r>
        <w:rPr>
          <w:kern w:val="0"/>
        </w:rPr>
        <w:t>standardization in</w:t>
      </w:r>
      <w:r w:rsidR="003A1917">
        <w:rPr>
          <w:kern w:val="0"/>
        </w:rPr>
        <w:t xml:space="preserve"> the </w:t>
      </w:r>
      <w:r>
        <w:rPr>
          <w:kern w:val="0"/>
        </w:rPr>
        <w:t>manner</w:t>
      </w:r>
      <w:r w:rsidR="003A1917">
        <w:rPr>
          <w:kern w:val="0"/>
        </w:rPr>
        <w:t xml:space="preserve"> the </w:t>
      </w:r>
      <w:r>
        <w:rPr>
          <w:kern w:val="0"/>
        </w:rPr>
        <w:t>Instituto de Investigaciones Agropecuarias (INIA) subscribed its address on each paper caused a disaggregation</w:t>
      </w:r>
      <w:r w:rsidR="00427468">
        <w:rPr>
          <w:kern w:val="0"/>
        </w:rPr>
        <w:t xml:space="preserve"> of </w:t>
      </w:r>
      <w:r w:rsidR="003A1917">
        <w:rPr>
          <w:kern w:val="0"/>
        </w:rPr>
        <w:t xml:space="preserve">the </w:t>
      </w:r>
      <w:r>
        <w:rPr>
          <w:kern w:val="0"/>
        </w:rPr>
        <w:t>information. This was proven by</w:t>
      </w:r>
      <w:r w:rsidR="003A1917">
        <w:rPr>
          <w:kern w:val="0"/>
        </w:rPr>
        <w:t xml:space="preserve"> the </w:t>
      </w:r>
      <w:r>
        <w:rPr>
          <w:kern w:val="0"/>
        </w:rPr>
        <w:t>manual curation</w:t>
      </w:r>
      <w:r w:rsidR="00427468">
        <w:rPr>
          <w:kern w:val="0"/>
        </w:rPr>
        <w:t xml:space="preserve"> of </w:t>
      </w:r>
      <w:r>
        <w:rPr>
          <w:kern w:val="0"/>
        </w:rPr>
        <w:t>each record that was affiliated to any</w:t>
      </w:r>
      <w:r w:rsidR="00427468">
        <w:rPr>
          <w:kern w:val="0"/>
        </w:rPr>
        <w:t xml:space="preserve"> of </w:t>
      </w:r>
      <w:r w:rsidR="003A1917">
        <w:rPr>
          <w:kern w:val="0"/>
        </w:rPr>
        <w:t xml:space="preserve">the </w:t>
      </w:r>
      <w:r>
        <w:rPr>
          <w:kern w:val="0"/>
        </w:rPr>
        <w:t>centers belonging to INIA</w:t>
      </w:r>
      <w:r w:rsidR="00A37C1D">
        <w:rPr>
          <w:kern w:val="0"/>
        </w:rPr>
        <w:t>. The</w:t>
      </w:r>
      <w:r w:rsidR="003A1917">
        <w:rPr>
          <w:kern w:val="0"/>
        </w:rPr>
        <w:t xml:space="preserve"> </w:t>
      </w:r>
      <w:r>
        <w:rPr>
          <w:kern w:val="0"/>
        </w:rPr>
        <w:t>journal has a self-citation rate</w:t>
      </w:r>
      <w:r w:rsidR="00427468">
        <w:rPr>
          <w:kern w:val="0"/>
        </w:rPr>
        <w:t xml:space="preserve"> of </w:t>
      </w:r>
      <w:r>
        <w:rPr>
          <w:kern w:val="0"/>
        </w:rPr>
        <w:t>19.3%, value that is relatively high if compared to other journals from</w:t>
      </w:r>
      <w:r w:rsidR="003A1917">
        <w:rPr>
          <w:kern w:val="0"/>
        </w:rPr>
        <w:t xml:space="preserve"> the </w:t>
      </w:r>
      <w:r>
        <w:rPr>
          <w:kern w:val="0"/>
        </w:rPr>
        <w:t>same subject category listed on</w:t>
      </w:r>
      <w:r w:rsidR="003A1917">
        <w:rPr>
          <w:kern w:val="0"/>
        </w:rPr>
        <w:t xml:space="preserve"> the </w:t>
      </w:r>
      <w:r>
        <w:rPr>
          <w:kern w:val="0"/>
        </w:rPr>
        <w:t>Journal Citation Reports 2010. Finally, this work should be considered a bibliometric snapshot</w:t>
      </w:r>
      <w:r w:rsidR="00427468">
        <w:rPr>
          <w:kern w:val="0"/>
        </w:rPr>
        <w:t xml:space="preserve"> of </w:t>
      </w:r>
      <w:r w:rsidR="003A1917">
        <w:rPr>
          <w:kern w:val="0"/>
        </w:rPr>
        <w:t xml:space="preserve">the </w:t>
      </w:r>
      <w:r>
        <w:rPr>
          <w:kern w:val="0"/>
        </w:rPr>
        <w:t>current situation</w:t>
      </w:r>
      <w:r w:rsidR="00427468">
        <w:rPr>
          <w:kern w:val="0"/>
        </w:rPr>
        <w:t xml:space="preserve"> of </w:t>
      </w:r>
      <w:r w:rsidR="003A1917">
        <w:rPr>
          <w:kern w:val="0"/>
        </w:rPr>
        <w:t xml:space="preserve">the </w:t>
      </w:r>
      <w:r>
        <w:rPr>
          <w:kern w:val="0"/>
        </w:rPr>
        <w:t>journal that will serve as a benchmark when new evaluations are made in a few-years time.</w:t>
      </w:r>
    </w:p>
    <w:p w:rsidR="00E1774C" w:rsidRDefault="00E1774C" w:rsidP="00E1774C">
      <w:pPr>
        <w:pStyle w:val="a3"/>
        <w:rPr>
          <w:kern w:val="0"/>
        </w:rPr>
      </w:pPr>
      <w:r>
        <w:rPr>
          <w:kern w:val="0"/>
        </w:rPr>
        <w:t>Keywords: Analysis, Bibliometric, Chile, Citation, Countries, Database, Epistemometry, Impact, Information, Institutions</w:t>
      </w:r>
      <w:r w:rsidR="00D5664A">
        <w:rPr>
          <w:kern w:val="0"/>
        </w:rPr>
        <w:t>, ISI,</w:t>
      </w:r>
      <w:r>
        <w:rPr>
          <w:kern w:val="0"/>
        </w:rPr>
        <w:t xml:space="preserve"> Journal, Journal Citation Reports, Journals, Latin America, Papers, Record, Records, Research, Reviews, Science, Scientific Productivity, Self-Citation, Standardization, Value, </w:t>
      </w:r>
      <w:r w:rsidR="00D5664A">
        <w:rPr>
          <w:kern w:val="0"/>
        </w:rPr>
        <w:t>Web</w:t>
      </w:r>
      <w:r w:rsidR="00427468">
        <w:rPr>
          <w:kern w:val="0"/>
        </w:rPr>
        <w:t xml:space="preserve"> of </w:t>
      </w:r>
      <w:r w:rsidR="00D5664A">
        <w:rPr>
          <w:kern w:val="0"/>
        </w:rPr>
        <w:t>Science</w:t>
      </w:r>
      <w:r>
        <w:rPr>
          <w:kern w:val="0"/>
        </w:rPr>
        <w:t>, Work</w:t>
      </w:r>
    </w:p>
    <w:p w:rsidR="003F045B" w:rsidRPr="001A3D2B" w:rsidRDefault="003F045B" w:rsidP="003F045B">
      <w:pPr>
        <w:pStyle w:val="1"/>
      </w:pPr>
      <w:r w:rsidRPr="001A3D2B">
        <w:br w:type="page"/>
      </w:r>
      <w:bookmarkStart w:id="182" w:name="_Toc420814961"/>
      <w:r w:rsidRPr="001A3D2B">
        <w:lastRenderedPageBreak/>
        <w:t>Title: Chimia</w:t>
      </w:r>
      <w:bookmarkEnd w:id="182"/>
    </w:p>
    <w:p w:rsidR="003F045B" w:rsidRPr="001A3D2B" w:rsidRDefault="003F045B" w:rsidP="003F045B">
      <w:pPr>
        <w:pStyle w:val="12"/>
      </w:pPr>
      <w:r w:rsidRPr="001A3D2B">
        <w:t xml:space="preserve">Full Journal Title: </w:t>
      </w:r>
      <w:r w:rsidR="00DF61FE">
        <w:fldChar w:fldCharType="begin"/>
      </w:r>
      <w:r w:rsidR="00FD158B">
        <w:instrText>HYPERLINK "</w:instrText>
      </w:r>
      <w:bookmarkStart w:id="183" w:name="_Toc230843644"/>
      <w:r w:rsidR="00FD158B">
        <w:instrText>http://www.in</w:instrText>
      </w:r>
      <w:bookmarkEnd w:id="183"/>
      <w:r w:rsidR="00FD158B">
        <w:instrText>gentaconnect.com/content/scs/chimia;jsessionid=1jkvbh04lfaiu.alice"</w:instrText>
      </w:r>
      <w:r w:rsidR="00DF61FE">
        <w:fldChar w:fldCharType="separate"/>
      </w:r>
      <w:r w:rsidRPr="001A3D2B">
        <w:rPr>
          <w:rStyle w:val="a5"/>
        </w:rPr>
        <w:t>Chimia</w:t>
      </w:r>
      <w:r w:rsidR="00DF61FE">
        <w:fldChar w:fldCharType="end"/>
      </w:r>
    </w:p>
    <w:p w:rsidR="003F045B" w:rsidRPr="001A3D2B" w:rsidRDefault="003F045B" w:rsidP="003F045B">
      <w:pPr>
        <w:pStyle w:val="12"/>
      </w:pPr>
      <w:r w:rsidRPr="001A3D2B">
        <w:t>ISO Abbreviated Title: Chimia</w:t>
      </w:r>
    </w:p>
    <w:p w:rsidR="003F045B" w:rsidRPr="001A3D2B" w:rsidRDefault="00CE64DF" w:rsidP="003F045B">
      <w:pPr>
        <w:pStyle w:val="12"/>
      </w:pPr>
      <w:r w:rsidRPr="001A3D2B">
        <w:t>JCR Abbreviated Title:</w:t>
      </w:r>
      <w:r w:rsidR="003F045B" w:rsidRPr="001A3D2B">
        <w:t xml:space="preserve"> Chimia</w:t>
      </w:r>
    </w:p>
    <w:p w:rsidR="003F045B" w:rsidRPr="001A3D2B" w:rsidRDefault="003F045B" w:rsidP="003F045B">
      <w:pPr>
        <w:pStyle w:val="12"/>
      </w:pPr>
      <w:r w:rsidRPr="001A3D2B">
        <w:t>ISSN: 0009-4293</w:t>
      </w:r>
    </w:p>
    <w:p w:rsidR="003F045B" w:rsidRPr="001A3D2B" w:rsidRDefault="003F045B" w:rsidP="003F045B">
      <w:pPr>
        <w:pStyle w:val="12"/>
      </w:pPr>
      <w:r w:rsidRPr="001A3D2B">
        <w:t>Issues/Year: 10</w:t>
      </w:r>
    </w:p>
    <w:p w:rsidR="003F045B" w:rsidRPr="001A3D2B" w:rsidRDefault="00AA25A4" w:rsidP="003F045B">
      <w:pPr>
        <w:pStyle w:val="12"/>
      </w:pPr>
      <w:r w:rsidRPr="001A3D2B">
        <w:t>Journal Country/Territory:</w:t>
      </w:r>
      <w:r w:rsidR="008F46E9" w:rsidRPr="001A3D2B">
        <w:t xml:space="preserve"> </w:t>
      </w:r>
      <w:r w:rsidR="003F045B" w:rsidRPr="001A3D2B">
        <w:t>Switzerland</w:t>
      </w:r>
    </w:p>
    <w:p w:rsidR="003F045B" w:rsidRPr="001A3D2B" w:rsidRDefault="003F045B" w:rsidP="003F045B">
      <w:pPr>
        <w:pStyle w:val="12"/>
      </w:pPr>
      <w:r w:rsidRPr="001A3D2B">
        <w:t>Language: Multi-Language</w:t>
      </w:r>
    </w:p>
    <w:p w:rsidR="003F045B" w:rsidRPr="001A3D2B" w:rsidRDefault="003F045B" w:rsidP="003F045B">
      <w:pPr>
        <w:pStyle w:val="12"/>
      </w:pPr>
      <w:r w:rsidRPr="001A3D2B">
        <w:t>Publisher: New Swiss Chemical Soc</w:t>
      </w:r>
    </w:p>
    <w:p w:rsidR="003F045B" w:rsidRPr="001A3D2B" w:rsidRDefault="003F045B" w:rsidP="003F045B">
      <w:pPr>
        <w:pStyle w:val="12"/>
      </w:pPr>
      <w:r w:rsidRPr="001A3D2B">
        <w:t>Publisher Address: C/O Novartis AG, K-25 1 45, CH-4002 Basel, Switzerland</w:t>
      </w:r>
    </w:p>
    <w:p w:rsidR="003F045B" w:rsidRPr="001A3D2B" w:rsidRDefault="003F045B" w:rsidP="003F045B">
      <w:pPr>
        <w:pStyle w:val="12"/>
      </w:pPr>
      <w:r w:rsidRPr="001A3D2B">
        <w:t xml:space="preserve">Subject Categories: </w:t>
      </w:r>
    </w:p>
    <w:p w:rsidR="003F045B" w:rsidRPr="001A3D2B" w:rsidRDefault="003F045B" w:rsidP="003F045B">
      <w:pPr>
        <w:pStyle w:val="12"/>
      </w:pPr>
      <w:r w:rsidRPr="001A3D2B">
        <w:t>Chemistry: Impact Factor 1.253, 32/121</w:t>
      </w:r>
    </w:p>
    <w:p w:rsidR="00685941" w:rsidRPr="00C73C58" w:rsidRDefault="00685941" w:rsidP="00685941">
      <w:pPr>
        <w:pStyle w:val="a3"/>
        <w:rPr>
          <w:kern w:val="0"/>
          <w:szCs w:val="24"/>
        </w:rPr>
      </w:pPr>
      <w:r w:rsidRPr="00C73C58">
        <w:rPr>
          <w:kern w:val="0"/>
          <w:szCs w:val="24"/>
        </w:rPr>
        <w:t>? Molinie, A.</w:t>
      </w:r>
      <w:r w:rsidR="005853A9">
        <w:rPr>
          <w:kern w:val="0"/>
          <w:szCs w:val="24"/>
        </w:rPr>
        <w:t xml:space="preserve"> and </w:t>
      </w:r>
      <w:r w:rsidRPr="00C73C58">
        <w:rPr>
          <w:kern w:val="0"/>
          <w:szCs w:val="24"/>
        </w:rPr>
        <w:t xml:space="preserve">Bodenhausen, G. (2008), America, America! </w:t>
      </w:r>
      <w:r w:rsidRPr="00C73C58">
        <w:rPr>
          <w:i/>
          <w:iCs/>
          <w:kern w:val="0"/>
          <w:szCs w:val="24"/>
        </w:rPr>
        <w:t>Chimia</w:t>
      </w:r>
      <w:r w:rsidRPr="00C73C58">
        <w:rPr>
          <w:kern w:val="0"/>
          <w:szCs w:val="24"/>
        </w:rPr>
        <w:t xml:space="preserve">, </w:t>
      </w:r>
      <w:r w:rsidRPr="00C73C58">
        <w:rPr>
          <w:b/>
          <w:bCs/>
          <w:kern w:val="0"/>
          <w:szCs w:val="24"/>
        </w:rPr>
        <w:t>62</w:t>
      </w:r>
      <w:r w:rsidRPr="00C73C58">
        <w:rPr>
          <w:kern w:val="0"/>
          <w:szCs w:val="24"/>
        </w:rPr>
        <w:t xml:space="preserve"> (4), 291-299.</w:t>
      </w:r>
    </w:p>
    <w:p w:rsidR="00685941" w:rsidRPr="00C73C58" w:rsidRDefault="00685941" w:rsidP="00685941">
      <w:pPr>
        <w:pStyle w:val="a3"/>
        <w:rPr>
          <w:kern w:val="0"/>
          <w:szCs w:val="24"/>
        </w:rPr>
      </w:pPr>
      <w:r w:rsidRPr="00C73C58">
        <w:rPr>
          <w:kern w:val="0"/>
          <w:szCs w:val="24"/>
        </w:rPr>
        <w:t>Full Text: Chimia6</w:t>
      </w:r>
      <w:r>
        <w:rPr>
          <w:rFonts w:hint="eastAsia"/>
          <w:kern w:val="0"/>
          <w:szCs w:val="24"/>
        </w:rPr>
        <w:t>2</w:t>
      </w:r>
      <w:r w:rsidRPr="00C73C58">
        <w:rPr>
          <w:kern w:val="0"/>
          <w:szCs w:val="24"/>
        </w:rPr>
        <w:t xml:space="preserve">, </w:t>
      </w:r>
      <w:r>
        <w:rPr>
          <w:rFonts w:hint="eastAsia"/>
          <w:kern w:val="0"/>
          <w:szCs w:val="24"/>
        </w:rPr>
        <w:t>291</w:t>
      </w:r>
      <w:r w:rsidRPr="00C73C58">
        <w:rPr>
          <w:kern w:val="0"/>
          <w:szCs w:val="24"/>
        </w:rPr>
        <w:t>.pdf</w:t>
      </w:r>
    </w:p>
    <w:p w:rsidR="00685941" w:rsidRPr="00C73C58" w:rsidRDefault="00685941" w:rsidP="00685941">
      <w:pPr>
        <w:pStyle w:val="a3"/>
        <w:rPr>
          <w:kern w:val="0"/>
          <w:szCs w:val="24"/>
        </w:rPr>
      </w:pPr>
      <w:r w:rsidRPr="00C73C58">
        <w:rPr>
          <w:kern w:val="0"/>
          <w:szCs w:val="24"/>
        </w:rPr>
        <w:t>Abstract: This account was written during a four-month stay in Berkeley from May to August 2007. It was partly inspired by a diary published by Simone de Beauvoir after her four-month lecture tour to</w:t>
      </w:r>
      <w:r w:rsidR="003A1917">
        <w:rPr>
          <w:kern w:val="0"/>
          <w:szCs w:val="24"/>
        </w:rPr>
        <w:t xml:space="preserve"> the </w:t>
      </w:r>
      <w:r w:rsidRPr="00C73C58">
        <w:rPr>
          <w:kern w:val="0"/>
          <w:szCs w:val="24"/>
        </w:rPr>
        <w:t>US in 1947.([1]) We could not resist</w:t>
      </w:r>
      <w:r w:rsidR="003A1917">
        <w:rPr>
          <w:kern w:val="0"/>
          <w:szCs w:val="24"/>
        </w:rPr>
        <w:t xml:space="preserve"> the </w:t>
      </w:r>
      <w:r w:rsidRPr="00C73C58">
        <w:rPr>
          <w:kern w:val="0"/>
          <w:szCs w:val="24"/>
        </w:rPr>
        <w:t>temptation</w:t>
      </w:r>
      <w:r w:rsidR="00427468">
        <w:rPr>
          <w:kern w:val="0"/>
          <w:szCs w:val="24"/>
        </w:rPr>
        <w:t xml:space="preserve"> of </w:t>
      </w:r>
      <w:r w:rsidRPr="00C73C58">
        <w:rPr>
          <w:kern w:val="0"/>
          <w:szCs w:val="24"/>
        </w:rPr>
        <w:t>writing a few pages about our impressions. This text is not intended as an essay about anthropological or chemical sciences. We merely tried to understand</w:t>
      </w:r>
      <w:r w:rsidR="003A1917">
        <w:rPr>
          <w:kern w:val="0"/>
          <w:szCs w:val="24"/>
        </w:rPr>
        <w:t xml:space="preserve"> the </w:t>
      </w:r>
      <w:r w:rsidRPr="00C73C58">
        <w:rPr>
          <w:kern w:val="0"/>
          <w:szCs w:val="24"/>
        </w:rPr>
        <w:t>conditions</w:t>
      </w:r>
      <w:r w:rsidR="00427468">
        <w:rPr>
          <w:kern w:val="0"/>
          <w:szCs w:val="24"/>
        </w:rPr>
        <w:t xml:space="preserve"> of </w:t>
      </w:r>
      <w:r w:rsidR="003A1917">
        <w:rPr>
          <w:kern w:val="0"/>
          <w:szCs w:val="24"/>
        </w:rPr>
        <w:t xml:space="preserve">the </w:t>
      </w:r>
      <w:r w:rsidRPr="00C73C58">
        <w:rPr>
          <w:kern w:val="0"/>
          <w:szCs w:val="24"/>
        </w:rPr>
        <w:t>bubbling creativity that we have so often witnessed in Berkeley. Some</w:t>
      </w:r>
      <w:r w:rsidR="00427468">
        <w:rPr>
          <w:kern w:val="0"/>
          <w:szCs w:val="24"/>
        </w:rPr>
        <w:t xml:space="preserve"> of </w:t>
      </w:r>
      <w:r w:rsidRPr="00C73C58">
        <w:rPr>
          <w:kern w:val="0"/>
          <w:szCs w:val="24"/>
        </w:rPr>
        <w:t>our comments are more or less voluntarily naive, as if Voltaire</w:t>
      </w:r>
      <w:r w:rsidR="0071223E">
        <w:rPr>
          <w:kern w:val="0"/>
          <w:szCs w:val="24"/>
        </w:rPr>
        <w:t>’</w:t>
      </w:r>
      <w:r w:rsidR="00C13DDC">
        <w:rPr>
          <w:kern w:val="0"/>
          <w:szCs w:val="24"/>
        </w:rPr>
        <w:t>s</w:t>
      </w:r>
      <w:r w:rsidRPr="00C73C58">
        <w:rPr>
          <w:kern w:val="0"/>
          <w:szCs w:val="24"/>
        </w:rPr>
        <w:t xml:space="preserve"> Candide had made a trip to America. Our impressions may appear a bit franchouillardes,</w:t>
      </w:r>
      <w:r w:rsidR="005853A9">
        <w:rPr>
          <w:kern w:val="0"/>
          <w:szCs w:val="24"/>
        </w:rPr>
        <w:t xml:space="preserve"> and </w:t>
      </w:r>
      <w:r w:rsidRPr="00C73C58">
        <w:rPr>
          <w:kern w:val="0"/>
          <w:szCs w:val="24"/>
        </w:rPr>
        <w:t>perhaps a trifle rude to our American hosts, whose kindness does not deserve such a harsh treatment.</w:t>
      </w:r>
    </w:p>
    <w:p w:rsidR="00685941" w:rsidRPr="00C73C58" w:rsidRDefault="00685941" w:rsidP="00685941">
      <w:pPr>
        <w:pStyle w:val="a3"/>
        <w:rPr>
          <w:kern w:val="0"/>
          <w:szCs w:val="24"/>
        </w:rPr>
      </w:pPr>
      <w:r w:rsidRPr="00C73C58">
        <w:rPr>
          <w:kern w:val="0"/>
          <w:szCs w:val="24"/>
        </w:rPr>
        <w:t>Keywords: Bibliometrics, Creativity, Cultural Misunderstandings, Funding</w:t>
      </w:r>
      <w:r w:rsidR="00427468">
        <w:rPr>
          <w:kern w:val="0"/>
          <w:szCs w:val="24"/>
        </w:rPr>
        <w:t xml:space="preserve"> of </w:t>
      </w:r>
      <w:r w:rsidRPr="00C73C58">
        <w:rPr>
          <w:kern w:val="0"/>
          <w:szCs w:val="24"/>
        </w:rPr>
        <w:t>Scientific Research, Impact, Sciences, Treatment, US</w:t>
      </w:r>
    </w:p>
    <w:p w:rsidR="003F045B" w:rsidRPr="001A3D2B" w:rsidRDefault="003F045B" w:rsidP="003F045B">
      <w:pPr>
        <w:pStyle w:val="a3"/>
        <w:rPr>
          <w:kern w:val="0"/>
          <w:szCs w:val="24"/>
        </w:rPr>
      </w:pPr>
      <w:r w:rsidRPr="001A3D2B">
        <w:rPr>
          <w:kern w:val="0"/>
          <w:szCs w:val="24"/>
        </w:rPr>
        <w:t>? Meyer, V.R. (2009</w:t>
      </w:r>
      <w:r w:rsidR="00F42EAC">
        <w:rPr>
          <w:kern w:val="0"/>
          <w:szCs w:val="24"/>
        </w:rPr>
        <w:t>), The</w:t>
      </w:r>
      <w:r w:rsidR="003A1917">
        <w:rPr>
          <w:kern w:val="0"/>
          <w:szCs w:val="24"/>
        </w:rPr>
        <w:t xml:space="preserve"> </w:t>
      </w:r>
      <w:r w:rsidR="00D5664A">
        <w:rPr>
          <w:kern w:val="0"/>
          <w:szCs w:val="24"/>
        </w:rPr>
        <w:t>h Index</w:t>
      </w:r>
      <w:r w:rsidR="00E84364" w:rsidRPr="001A3D2B">
        <w:rPr>
          <w:kern w:val="0"/>
          <w:szCs w:val="24"/>
        </w:rPr>
        <w:t xml:space="preserve"> </w:t>
      </w:r>
      <w:r w:rsidRPr="001A3D2B">
        <w:rPr>
          <w:kern w:val="0"/>
          <w:szCs w:val="24"/>
        </w:rPr>
        <w:t xml:space="preserve">- Help or </w:t>
      </w:r>
      <w:r w:rsidR="00E84364" w:rsidRPr="001A3D2B">
        <w:rPr>
          <w:kern w:val="0"/>
          <w:szCs w:val="24"/>
        </w:rPr>
        <w:t>hype</w:t>
      </w:r>
      <w:r w:rsidRPr="001A3D2B">
        <w:rPr>
          <w:kern w:val="0"/>
          <w:szCs w:val="24"/>
        </w:rPr>
        <w:t xml:space="preserve">? </w:t>
      </w:r>
      <w:r w:rsidRPr="001A3D2B">
        <w:rPr>
          <w:i/>
          <w:iCs/>
          <w:kern w:val="0"/>
          <w:szCs w:val="24"/>
        </w:rPr>
        <w:t>Chimia</w:t>
      </w:r>
      <w:r w:rsidRPr="001A3D2B">
        <w:rPr>
          <w:kern w:val="0"/>
          <w:szCs w:val="24"/>
        </w:rPr>
        <w:t xml:space="preserve">, </w:t>
      </w:r>
      <w:r w:rsidRPr="001A3D2B">
        <w:rPr>
          <w:b/>
          <w:bCs/>
          <w:kern w:val="0"/>
          <w:szCs w:val="24"/>
        </w:rPr>
        <w:t>63</w:t>
      </w:r>
      <w:r w:rsidRPr="001A3D2B">
        <w:rPr>
          <w:kern w:val="0"/>
          <w:szCs w:val="24"/>
        </w:rPr>
        <w:t xml:space="preserve"> (1-2), 66-68.</w:t>
      </w:r>
    </w:p>
    <w:p w:rsidR="000933A5" w:rsidRPr="001A3D2B" w:rsidRDefault="000933A5" w:rsidP="000933A5">
      <w:pPr>
        <w:pStyle w:val="a3"/>
        <w:rPr>
          <w:kern w:val="0"/>
          <w:szCs w:val="24"/>
        </w:rPr>
      </w:pPr>
      <w:r w:rsidRPr="001A3D2B">
        <w:rPr>
          <w:kern w:val="0"/>
          <w:szCs w:val="24"/>
        </w:rPr>
        <w:t>Full Text: Chimia63, 66.pdf</w:t>
      </w:r>
    </w:p>
    <w:p w:rsidR="003F045B" w:rsidRPr="001A3D2B" w:rsidRDefault="003F045B" w:rsidP="003F045B">
      <w:pPr>
        <w:pStyle w:val="a3"/>
        <w:rPr>
          <w:kern w:val="0"/>
          <w:szCs w:val="24"/>
        </w:rPr>
      </w:pPr>
      <w:r w:rsidRPr="001A3D2B">
        <w:rPr>
          <w:kern w:val="0"/>
          <w:szCs w:val="24"/>
        </w:rPr>
        <w:t>Abstract: Three years ago a bibliometric index for</w:t>
      </w:r>
      <w:r w:rsidR="003A1917">
        <w:rPr>
          <w:kern w:val="0"/>
          <w:szCs w:val="24"/>
        </w:rPr>
        <w:t xml:space="preserve"> the </w:t>
      </w:r>
      <w:r w:rsidRPr="001A3D2B">
        <w:rPr>
          <w:kern w:val="0"/>
          <w:szCs w:val="24"/>
        </w:rPr>
        <w:t>qualification</w:t>
      </w:r>
      <w:r w:rsidR="00427468">
        <w:rPr>
          <w:kern w:val="0"/>
          <w:szCs w:val="24"/>
        </w:rPr>
        <w:t xml:space="preserve"> of </w:t>
      </w:r>
      <w:r w:rsidRPr="001A3D2B">
        <w:rPr>
          <w:kern w:val="0"/>
          <w:szCs w:val="24"/>
        </w:rPr>
        <w:t>a person</w:t>
      </w:r>
      <w:r w:rsidR="0071223E">
        <w:rPr>
          <w:kern w:val="0"/>
          <w:szCs w:val="24"/>
        </w:rPr>
        <w:t>’</w:t>
      </w:r>
      <w:r w:rsidR="00C13DDC">
        <w:rPr>
          <w:kern w:val="0"/>
          <w:szCs w:val="24"/>
        </w:rPr>
        <w:t>s</w:t>
      </w:r>
      <w:r w:rsidRPr="001A3D2B">
        <w:rPr>
          <w:kern w:val="0"/>
          <w:szCs w:val="24"/>
        </w:rPr>
        <w:t xml:space="preserve"> scientific output was proposed by Hirsch,</w:t>
      </w:r>
      <w:r w:rsidR="003A1917">
        <w:rPr>
          <w:kern w:val="0"/>
          <w:szCs w:val="24"/>
        </w:rPr>
        <w:t xml:space="preserve"> the </w:t>
      </w:r>
      <w:r w:rsidRPr="001A3D2B">
        <w:rPr>
          <w:kern w:val="0"/>
          <w:szCs w:val="24"/>
        </w:rPr>
        <w:t xml:space="preserve">so-called </w:t>
      </w:r>
      <w:r w:rsidR="00D5664A">
        <w:rPr>
          <w:kern w:val="0"/>
          <w:szCs w:val="24"/>
        </w:rPr>
        <w:t>h Index</w:t>
      </w:r>
      <w:r w:rsidRPr="001A3D2B">
        <w:rPr>
          <w:kern w:val="0"/>
          <w:szCs w:val="24"/>
        </w:rPr>
        <w:t>. This is an integer number which combines</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papers</w:t>
      </w:r>
      <w:r w:rsidR="00427468">
        <w:rPr>
          <w:kern w:val="0"/>
          <w:szCs w:val="24"/>
        </w:rPr>
        <w:t xml:space="preserve"> of </w:t>
      </w:r>
      <w:r w:rsidRPr="001A3D2B">
        <w:rPr>
          <w:kern w:val="0"/>
          <w:szCs w:val="24"/>
        </w:rPr>
        <w:t>an author</w:t>
      </w:r>
      <w:r w:rsidR="005853A9">
        <w:rPr>
          <w:kern w:val="0"/>
          <w:szCs w:val="24"/>
        </w:rPr>
        <w:t xml:space="preserve"> and </w:t>
      </w:r>
      <w:r w:rsidR="003A1917">
        <w:rPr>
          <w:kern w:val="0"/>
          <w:szCs w:val="24"/>
        </w:rPr>
        <w:t xml:space="preserve">the </w:t>
      </w:r>
      <w:r w:rsidRPr="001A3D2B">
        <w:rPr>
          <w:kern w:val="0"/>
          <w:szCs w:val="24"/>
        </w:rPr>
        <w:t>number</w:t>
      </w:r>
      <w:r w:rsidR="00427468">
        <w:rPr>
          <w:kern w:val="0"/>
          <w:szCs w:val="24"/>
        </w:rPr>
        <w:t xml:space="preserve"> of </w:t>
      </w:r>
      <w:r w:rsidRPr="001A3D2B">
        <w:rPr>
          <w:kern w:val="0"/>
          <w:szCs w:val="24"/>
        </w:rPr>
        <w:t>citations they gathered. Thus</w:t>
      </w:r>
      <w:r w:rsidR="003A1917">
        <w:rPr>
          <w:kern w:val="0"/>
          <w:szCs w:val="24"/>
        </w:rPr>
        <w:t xml:space="preserve"> the </w:t>
      </w:r>
      <w:r w:rsidR="00D5664A">
        <w:rPr>
          <w:kern w:val="0"/>
          <w:szCs w:val="24"/>
        </w:rPr>
        <w:t>h Index</w:t>
      </w:r>
      <w:r w:rsidRPr="001A3D2B">
        <w:rPr>
          <w:kern w:val="0"/>
          <w:szCs w:val="24"/>
        </w:rPr>
        <w:t xml:space="preserve"> is an indicator for both</w:t>
      </w:r>
      <w:r w:rsidR="003A1917">
        <w:rPr>
          <w:kern w:val="0"/>
          <w:szCs w:val="24"/>
        </w:rPr>
        <w:t xml:space="preserve"> the </w:t>
      </w:r>
      <w:r w:rsidRPr="001A3D2B">
        <w:rPr>
          <w:kern w:val="0"/>
          <w:szCs w:val="24"/>
        </w:rPr>
        <w:t>productivity</w:t>
      </w:r>
      <w:r w:rsidR="005853A9">
        <w:rPr>
          <w:kern w:val="0"/>
          <w:szCs w:val="24"/>
        </w:rPr>
        <w:t xml:space="preserve"> and </w:t>
      </w:r>
      <w:r w:rsidR="003A1917">
        <w:rPr>
          <w:kern w:val="0"/>
          <w:szCs w:val="24"/>
        </w:rPr>
        <w:t xml:space="preserve">the </w:t>
      </w:r>
      <w:r w:rsidRPr="001A3D2B">
        <w:rPr>
          <w:kern w:val="0"/>
          <w:szCs w:val="24"/>
        </w:rPr>
        <w:t>impact</w:t>
      </w:r>
      <w:r w:rsidR="00427468">
        <w:rPr>
          <w:kern w:val="0"/>
          <w:szCs w:val="24"/>
        </w:rPr>
        <w:t xml:space="preserve"> of </w:t>
      </w:r>
      <w:r w:rsidRPr="001A3D2B">
        <w:rPr>
          <w:kern w:val="0"/>
          <w:szCs w:val="24"/>
        </w:rPr>
        <w:t>a scientist. This paper presents</w:t>
      </w:r>
      <w:r w:rsidR="003A1917">
        <w:rPr>
          <w:kern w:val="0"/>
          <w:szCs w:val="24"/>
        </w:rPr>
        <w:t xml:space="preserve"> the </w:t>
      </w:r>
      <w:r w:rsidRPr="001A3D2B">
        <w:rPr>
          <w:kern w:val="0"/>
          <w:szCs w:val="24"/>
        </w:rPr>
        <w:t>properties</w:t>
      </w:r>
      <w:r w:rsidR="00427468">
        <w:rPr>
          <w:kern w:val="0"/>
          <w:szCs w:val="24"/>
        </w:rPr>
        <w:t xml:space="preserve"> of </w:t>
      </w:r>
      <w:r w:rsidR="003A1917">
        <w:rPr>
          <w:kern w:val="0"/>
          <w:szCs w:val="24"/>
        </w:rPr>
        <w:t xml:space="preserve">the </w:t>
      </w:r>
      <w:r w:rsidR="00D5664A">
        <w:rPr>
          <w:kern w:val="0"/>
          <w:szCs w:val="24"/>
        </w:rPr>
        <w:t>h Index</w:t>
      </w:r>
      <w:r w:rsidR="005853A9">
        <w:rPr>
          <w:kern w:val="0"/>
          <w:szCs w:val="24"/>
        </w:rPr>
        <w:t xml:space="preserve"> and </w:t>
      </w:r>
      <w:r w:rsidR="003A1917">
        <w:rPr>
          <w:kern w:val="0"/>
          <w:szCs w:val="24"/>
        </w:rPr>
        <w:t xml:space="preserve">the </w:t>
      </w:r>
      <w:r w:rsidRPr="001A3D2B">
        <w:rPr>
          <w:kern w:val="0"/>
          <w:szCs w:val="24"/>
        </w:rPr>
        <w:t>great attention it attracted within a short time. Numerous other indices, claimed to be better than</w:t>
      </w:r>
      <w:r w:rsidR="003A1917">
        <w:rPr>
          <w:kern w:val="0"/>
          <w:szCs w:val="24"/>
        </w:rPr>
        <w:t xml:space="preserve"> the </w:t>
      </w:r>
      <w:r w:rsidRPr="001A3D2B">
        <w:rPr>
          <w:kern w:val="0"/>
          <w:szCs w:val="24"/>
        </w:rPr>
        <w:t>original, were proposed in</w:t>
      </w:r>
      <w:r w:rsidR="003A1917">
        <w:rPr>
          <w:kern w:val="0"/>
          <w:szCs w:val="24"/>
        </w:rPr>
        <w:t xml:space="preserve"> the </w:t>
      </w:r>
      <w:r w:rsidRPr="001A3D2B">
        <w:rPr>
          <w:kern w:val="0"/>
          <w:szCs w:val="24"/>
        </w:rPr>
        <w:t>meantime</w:t>
      </w:r>
      <w:r w:rsidR="00A37C1D">
        <w:rPr>
          <w:kern w:val="0"/>
          <w:szCs w:val="24"/>
        </w:rPr>
        <w:t>. The</w:t>
      </w:r>
      <w:r w:rsidRPr="001A3D2B">
        <w:rPr>
          <w:kern w:val="0"/>
          <w:szCs w:val="24"/>
        </w:rPr>
        <w:t>se developments are discussed critically.</w:t>
      </w:r>
    </w:p>
    <w:p w:rsidR="003F045B" w:rsidRPr="001A3D2B" w:rsidRDefault="003F045B" w:rsidP="003F045B">
      <w:pPr>
        <w:pStyle w:val="a3"/>
        <w:rPr>
          <w:kern w:val="0"/>
          <w:szCs w:val="24"/>
        </w:rPr>
      </w:pPr>
      <w:r w:rsidRPr="001A3D2B">
        <w:rPr>
          <w:kern w:val="0"/>
          <w:szCs w:val="24"/>
        </w:rPr>
        <w:lastRenderedPageBreak/>
        <w:t xml:space="preserve">Keywords: Attention, Bibliometric, Bibliometry, Citations, </w:t>
      </w:r>
      <w:r w:rsidR="00D5664A">
        <w:rPr>
          <w:kern w:val="0"/>
          <w:szCs w:val="24"/>
        </w:rPr>
        <w:t>h Index</w:t>
      </w:r>
      <w:r w:rsidRPr="001A3D2B">
        <w:rPr>
          <w:kern w:val="0"/>
          <w:szCs w:val="24"/>
        </w:rPr>
        <w:t xml:space="preserve">, </w:t>
      </w:r>
      <w:r w:rsidR="00D5664A">
        <w:rPr>
          <w:kern w:val="0"/>
          <w:szCs w:val="24"/>
        </w:rPr>
        <w:t>h-Index</w:t>
      </w:r>
      <w:r w:rsidRPr="001A3D2B">
        <w:rPr>
          <w:kern w:val="0"/>
          <w:szCs w:val="24"/>
        </w:rPr>
        <w:t>, Hirsch, Hirsc</w:t>
      </w:r>
      <w:r w:rsidR="00D5664A">
        <w:rPr>
          <w:kern w:val="0"/>
          <w:szCs w:val="24"/>
        </w:rPr>
        <w:t>h Index</w:t>
      </w:r>
      <w:r w:rsidRPr="001A3D2B">
        <w:rPr>
          <w:kern w:val="0"/>
          <w:szCs w:val="24"/>
        </w:rPr>
        <w:t>, Hirsc</w:t>
      </w:r>
      <w:r w:rsidR="00D5664A">
        <w:rPr>
          <w:kern w:val="0"/>
          <w:szCs w:val="24"/>
        </w:rPr>
        <w:t>h Index</w:t>
      </w:r>
      <w:r w:rsidRPr="001A3D2B">
        <w:rPr>
          <w:kern w:val="0"/>
          <w:szCs w:val="24"/>
        </w:rPr>
        <w:t>, Impact, Index, Index Inflation, Indicator, Indices, Papers, Productivity, Scientific Output, Time</w:t>
      </w:r>
    </w:p>
    <w:p w:rsidR="00685941" w:rsidRDefault="00685941" w:rsidP="00685941">
      <w:pPr>
        <w:pStyle w:val="a3"/>
        <w:rPr>
          <w:kern w:val="0"/>
          <w:szCs w:val="24"/>
        </w:rPr>
      </w:pPr>
      <w:r>
        <w:rPr>
          <w:rFonts w:hint="eastAsia"/>
          <w:kern w:val="0"/>
          <w:szCs w:val="24"/>
        </w:rPr>
        <w:t xml:space="preserve">? </w:t>
      </w:r>
      <w:r>
        <w:rPr>
          <w:kern w:val="0"/>
          <w:szCs w:val="24"/>
        </w:rPr>
        <w:t>Molinie, A.</w:t>
      </w:r>
      <w:r w:rsidR="005853A9">
        <w:rPr>
          <w:kern w:val="0"/>
          <w:szCs w:val="24"/>
        </w:rPr>
        <w:t xml:space="preserve"> and </w:t>
      </w:r>
      <w:r>
        <w:rPr>
          <w:kern w:val="0"/>
          <w:szCs w:val="24"/>
        </w:rPr>
        <w:t>Bodenhausen, G. (2010), Bibliometrics as weapons</w:t>
      </w:r>
      <w:r w:rsidR="00427468">
        <w:rPr>
          <w:kern w:val="0"/>
          <w:szCs w:val="24"/>
        </w:rPr>
        <w:t xml:space="preserve"> of </w:t>
      </w:r>
      <w:r>
        <w:rPr>
          <w:kern w:val="0"/>
          <w:szCs w:val="24"/>
        </w:rPr>
        <w:t xml:space="preserve">mass citation. </w:t>
      </w:r>
      <w:r>
        <w:rPr>
          <w:i/>
          <w:iCs/>
          <w:kern w:val="0"/>
          <w:szCs w:val="24"/>
        </w:rPr>
        <w:t>Chimia</w:t>
      </w:r>
      <w:r>
        <w:rPr>
          <w:kern w:val="0"/>
          <w:szCs w:val="24"/>
        </w:rPr>
        <w:t xml:space="preserve">, </w:t>
      </w:r>
      <w:r>
        <w:rPr>
          <w:b/>
          <w:bCs/>
          <w:kern w:val="0"/>
          <w:szCs w:val="24"/>
        </w:rPr>
        <w:t>64</w:t>
      </w:r>
      <w:r>
        <w:rPr>
          <w:kern w:val="0"/>
          <w:szCs w:val="24"/>
        </w:rPr>
        <w:t xml:space="preserve"> (1-2), 78-89.</w:t>
      </w:r>
    </w:p>
    <w:p w:rsidR="00685941" w:rsidRPr="001A3D2B" w:rsidRDefault="00685941" w:rsidP="00685941">
      <w:pPr>
        <w:pStyle w:val="a3"/>
        <w:rPr>
          <w:kern w:val="0"/>
          <w:szCs w:val="24"/>
        </w:rPr>
      </w:pPr>
      <w:r w:rsidRPr="001A3D2B">
        <w:rPr>
          <w:kern w:val="0"/>
          <w:szCs w:val="24"/>
        </w:rPr>
        <w:t xml:space="preserve">Full Text: </w:t>
      </w:r>
      <w:r w:rsidR="000449C8">
        <w:rPr>
          <w:rFonts w:hint="eastAsia"/>
          <w:kern w:val="0"/>
          <w:szCs w:val="24"/>
        </w:rPr>
        <w:t>2010\</w:t>
      </w:r>
      <w:r w:rsidRPr="001A3D2B">
        <w:rPr>
          <w:kern w:val="0"/>
          <w:szCs w:val="24"/>
        </w:rPr>
        <w:t>Chimia6</w:t>
      </w:r>
      <w:r>
        <w:rPr>
          <w:rFonts w:hint="eastAsia"/>
          <w:kern w:val="0"/>
          <w:szCs w:val="24"/>
        </w:rPr>
        <w:t>4</w:t>
      </w:r>
      <w:r w:rsidRPr="001A3D2B">
        <w:rPr>
          <w:kern w:val="0"/>
          <w:szCs w:val="24"/>
        </w:rPr>
        <w:t xml:space="preserve">, </w:t>
      </w:r>
      <w:r>
        <w:rPr>
          <w:rFonts w:hint="eastAsia"/>
          <w:kern w:val="0"/>
          <w:szCs w:val="24"/>
        </w:rPr>
        <w:t>78</w:t>
      </w:r>
      <w:r w:rsidRPr="001A3D2B">
        <w:rPr>
          <w:kern w:val="0"/>
          <w:szCs w:val="24"/>
        </w:rPr>
        <w:t>.pdf</w:t>
      </w:r>
    </w:p>
    <w:p w:rsidR="00685941" w:rsidRDefault="00685941" w:rsidP="00685941">
      <w:pPr>
        <w:pStyle w:val="a3"/>
        <w:rPr>
          <w:kern w:val="0"/>
          <w:szCs w:val="24"/>
        </w:rPr>
      </w:pPr>
      <w:r>
        <w:rPr>
          <w:kern w:val="0"/>
          <w:szCs w:val="24"/>
        </w:rPr>
        <w:t>Abstract:</w:t>
      </w:r>
      <w:r w:rsidR="003A1917">
        <w:rPr>
          <w:kern w:val="0"/>
          <w:szCs w:val="24"/>
        </w:rPr>
        <w:t xml:space="preserve"> the </w:t>
      </w:r>
      <w:r>
        <w:rPr>
          <w:kern w:val="0"/>
          <w:szCs w:val="24"/>
        </w:rPr>
        <w:t>allocation</w:t>
      </w:r>
      <w:r w:rsidR="00427468">
        <w:rPr>
          <w:kern w:val="0"/>
          <w:szCs w:val="24"/>
        </w:rPr>
        <w:t xml:space="preserve"> of </w:t>
      </w:r>
      <w:r>
        <w:rPr>
          <w:kern w:val="0"/>
          <w:szCs w:val="24"/>
        </w:rPr>
        <w:t xml:space="preserve">resources for research is increasingly based on so-called </w:t>
      </w:r>
      <w:r w:rsidR="0071223E">
        <w:rPr>
          <w:kern w:val="0"/>
          <w:szCs w:val="24"/>
        </w:rPr>
        <w:t>‘</w:t>
      </w:r>
      <w:r>
        <w:rPr>
          <w:kern w:val="0"/>
          <w:szCs w:val="24"/>
        </w:rPr>
        <w:t>bibliometrics</w:t>
      </w:r>
      <w:r w:rsidR="0071223E">
        <w:rPr>
          <w:kern w:val="0"/>
          <w:szCs w:val="24"/>
        </w:rPr>
        <w:t>’</w:t>
      </w:r>
      <w:r>
        <w:rPr>
          <w:kern w:val="0"/>
          <w:szCs w:val="24"/>
        </w:rPr>
        <w:t>. Scientists are now deemed to be successful on</w:t>
      </w:r>
      <w:r w:rsidR="003A1917">
        <w:rPr>
          <w:kern w:val="0"/>
          <w:szCs w:val="24"/>
        </w:rPr>
        <w:t xml:space="preserve"> the </w:t>
      </w:r>
      <w:r>
        <w:rPr>
          <w:kern w:val="0"/>
          <w:szCs w:val="24"/>
        </w:rPr>
        <w:t>sole condition that their work be abundantly cited. This world-wide trend appears to enjoy support not only by granting agencies (whose task is obviously simplified by extensive recourse to bibliometrics), but also by</w:t>
      </w:r>
      <w:r w:rsidR="003A1917">
        <w:rPr>
          <w:kern w:val="0"/>
          <w:szCs w:val="24"/>
        </w:rPr>
        <w:t xml:space="preserve"> the </w:t>
      </w:r>
      <w:r>
        <w:rPr>
          <w:kern w:val="0"/>
          <w:szCs w:val="24"/>
        </w:rPr>
        <w:t>scientists themselves (who seem to enjoy their status</w:t>
      </w:r>
      <w:r w:rsidR="00427468">
        <w:rPr>
          <w:kern w:val="0"/>
          <w:szCs w:val="24"/>
        </w:rPr>
        <w:t xml:space="preserve"> of </w:t>
      </w:r>
      <w:r>
        <w:rPr>
          <w:kern w:val="0"/>
          <w:szCs w:val="24"/>
        </w:rPr>
        <w:t>celebrities). This trend appears to be fraught with dangers, particularly in</w:t>
      </w:r>
      <w:r w:rsidR="003A1917">
        <w:rPr>
          <w:kern w:val="0"/>
          <w:szCs w:val="24"/>
        </w:rPr>
        <w:t xml:space="preserve"> the </w:t>
      </w:r>
      <w:r>
        <w:rPr>
          <w:kern w:val="0"/>
          <w:szCs w:val="24"/>
        </w:rPr>
        <w:t>area</w:t>
      </w:r>
      <w:r w:rsidR="00427468">
        <w:rPr>
          <w:kern w:val="0"/>
          <w:szCs w:val="24"/>
        </w:rPr>
        <w:t xml:space="preserve"> of </w:t>
      </w:r>
      <w:r>
        <w:rPr>
          <w:kern w:val="0"/>
          <w:szCs w:val="24"/>
        </w:rPr>
        <w:t>social sciences, where bibliometrics are less developed,</w:t>
      </w:r>
      <w:r w:rsidR="005853A9">
        <w:rPr>
          <w:kern w:val="0"/>
          <w:szCs w:val="24"/>
        </w:rPr>
        <w:t xml:space="preserve"> and </w:t>
      </w:r>
      <w:r>
        <w:rPr>
          <w:kern w:val="0"/>
          <w:szCs w:val="24"/>
        </w:rPr>
        <w:t>where monographs (which are not taken into account in citation indexes) are often more important than articles published in journals. We argue in favour</w:t>
      </w:r>
      <w:r w:rsidR="00427468">
        <w:rPr>
          <w:kern w:val="0"/>
          <w:szCs w:val="24"/>
        </w:rPr>
        <w:t xml:space="preserve"> of </w:t>
      </w:r>
      <w:r>
        <w:rPr>
          <w:kern w:val="0"/>
          <w:szCs w:val="24"/>
        </w:rPr>
        <w:t>a return to</w:t>
      </w:r>
      <w:r w:rsidR="003A1917">
        <w:rPr>
          <w:kern w:val="0"/>
          <w:szCs w:val="24"/>
        </w:rPr>
        <w:t xml:space="preserve"> the </w:t>
      </w:r>
      <w:r>
        <w:rPr>
          <w:kern w:val="0"/>
          <w:szCs w:val="24"/>
        </w:rPr>
        <w:t>values</w:t>
      </w:r>
      <w:r w:rsidR="00427468">
        <w:rPr>
          <w:kern w:val="0"/>
          <w:szCs w:val="24"/>
        </w:rPr>
        <w:t xml:space="preserve"> of </w:t>
      </w:r>
      <w:r w:rsidR="0071223E">
        <w:rPr>
          <w:kern w:val="0"/>
          <w:szCs w:val="24"/>
        </w:rPr>
        <w:t>‘</w:t>
      </w:r>
      <w:r>
        <w:rPr>
          <w:kern w:val="0"/>
          <w:szCs w:val="24"/>
        </w:rPr>
        <w:t>real science</w:t>
      </w:r>
      <w:r w:rsidR="0071223E">
        <w:rPr>
          <w:kern w:val="0"/>
          <w:szCs w:val="24"/>
        </w:rPr>
        <w:t>’</w:t>
      </w:r>
      <w:r>
        <w:rPr>
          <w:kern w:val="0"/>
          <w:szCs w:val="24"/>
        </w:rPr>
        <w:t>, in analogy to</w:t>
      </w:r>
      <w:r w:rsidR="003A1917">
        <w:rPr>
          <w:kern w:val="0"/>
          <w:szCs w:val="24"/>
        </w:rPr>
        <w:t xml:space="preserve"> the </w:t>
      </w:r>
      <w:r>
        <w:rPr>
          <w:kern w:val="0"/>
          <w:szCs w:val="24"/>
        </w:rPr>
        <w:t xml:space="preserve">much-promised return to a </w:t>
      </w:r>
      <w:r w:rsidR="0071223E">
        <w:rPr>
          <w:kern w:val="0"/>
          <w:szCs w:val="24"/>
        </w:rPr>
        <w:t>‘</w:t>
      </w:r>
      <w:r>
        <w:rPr>
          <w:kern w:val="0"/>
          <w:szCs w:val="24"/>
        </w:rPr>
        <w:t>real economy</w:t>
      </w:r>
      <w:r w:rsidR="0071223E">
        <w:rPr>
          <w:kern w:val="0"/>
          <w:szCs w:val="24"/>
        </w:rPr>
        <w:t>’</w:t>
      </w:r>
      <w:r>
        <w:rPr>
          <w:kern w:val="0"/>
          <w:szCs w:val="24"/>
        </w:rPr>
        <w:t>. While economists may strive towards a more objective evaluation</w:t>
      </w:r>
      <w:r w:rsidR="00427468">
        <w:rPr>
          <w:kern w:val="0"/>
          <w:szCs w:val="24"/>
        </w:rPr>
        <w:t xml:space="preserve"> of </w:t>
      </w:r>
      <w:r w:rsidR="003A1917">
        <w:rPr>
          <w:kern w:val="0"/>
          <w:szCs w:val="24"/>
        </w:rPr>
        <w:t xml:space="preserve">the </w:t>
      </w:r>
      <w:r>
        <w:rPr>
          <w:kern w:val="0"/>
          <w:szCs w:val="24"/>
        </w:rPr>
        <w:t>prospects</w:t>
      </w:r>
      <w:r w:rsidR="00427468">
        <w:rPr>
          <w:kern w:val="0"/>
          <w:szCs w:val="24"/>
        </w:rPr>
        <w:t xml:space="preserve"> of </w:t>
      </w:r>
      <w:r>
        <w:rPr>
          <w:kern w:val="0"/>
          <w:szCs w:val="24"/>
        </w:rPr>
        <w:t>a company, a market, or an industrial sector, we scientists can only base our appraisal on a responsible practice</w:t>
      </w:r>
      <w:r w:rsidR="00427468">
        <w:rPr>
          <w:kern w:val="0"/>
          <w:szCs w:val="24"/>
        </w:rPr>
        <w:t xml:space="preserve"> of </w:t>
      </w:r>
      <w:r>
        <w:rPr>
          <w:kern w:val="0"/>
          <w:szCs w:val="24"/>
        </w:rPr>
        <w:t>peer review. Since we fear that decision-takers</w:t>
      </w:r>
      <w:r w:rsidR="00427468">
        <w:rPr>
          <w:kern w:val="0"/>
          <w:szCs w:val="24"/>
        </w:rPr>
        <w:t xml:space="preserve"> of </w:t>
      </w:r>
      <w:r>
        <w:rPr>
          <w:kern w:val="0"/>
          <w:szCs w:val="24"/>
        </w:rPr>
        <w:t>granting agencies such as</w:t>
      </w:r>
      <w:r w:rsidR="003A1917">
        <w:rPr>
          <w:kern w:val="0"/>
          <w:szCs w:val="24"/>
        </w:rPr>
        <w:t xml:space="preserve"> the </w:t>
      </w:r>
      <w:r>
        <w:rPr>
          <w:kern w:val="0"/>
          <w:szCs w:val="24"/>
        </w:rPr>
        <w:t>FNRS, CTI, EPFL, ETHZ, ANR, CNRS, NIH, NSF, DOE,([1]) etc. will be too busy to read our humble paper in Chimia, we appeal to scientists</w:t>
      </w:r>
      <w:r w:rsidR="00427468">
        <w:rPr>
          <w:kern w:val="0"/>
          <w:szCs w:val="24"/>
        </w:rPr>
        <w:t xml:space="preserve"> of </w:t>
      </w:r>
      <w:r>
        <w:rPr>
          <w:kern w:val="0"/>
          <w:szCs w:val="24"/>
        </w:rPr>
        <w:t>all countries</w:t>
      </w:r>
      <w:r w:rsidR="005853A9">
        <w:rPr>
          <w:kern w:val="0"/>
          <w:szCs w:val="24"/>
        </w:rPr>
        <w:t xml:space="preserve"> and </w:t>
      </w:r>
      <w:r>
        <w:rPr>
          <w:kern w:val="0"/>
          <w:szCs w:val="24"/>
        </w:rPr>
        <w:t>disciplines to unite against</w:t>
      </w:r>
      <w:r w:rsidR="003A1917">
        <w:rPr>
          <w:kern w:val="0"/>
          <w:szCs w:val="24"/>
        </w:rPr>
        <w:t xml:space="preserve"> the </w:t>
      </w:r>
      <w:r>
        <w:rPr>
          <w:kern w:val="0"/>
          <w:szCs w:val="24"/>
        </w:rPr>
        <w:t>tyranny</w:t>
      </w:r>
      <w:r w:rsidR="00427468">
        <w:rPr>
          <w:kern w:val="0"/>
          <w:szCs w:val="24"/>
        </w:rPr>
        <w:t xml:space="preserve"> of </w:t>
      </w:r>
      <w:r>
        <w:rPr>
          <w:kern w:val="0"/>
          <w:szCs w:val="24"/>
        </w:rPr>
        <w:t>bibliometrics.</w:t>
      </w:r>
    </w:p>
    <w:p w:rsidR="00685941" w:rsidRDefault="00685941" w:rsidP="00685941">
      <w:pPr>
        <w:pStyle w:val="a3"/>
        <w:rPr>
          <w:kern w:val="0"/>
          <w:szCs w:val="24"/>
        </w:rPr>
      </w:pPr>
      <w:r>
        <w:rPr>
          <w:kern w:val="0"/>
          <w:szCs w:val="24"/>
        </w:rPr>
        <w:t xml:space="preserve">Keywords: Articles, Bibliometrics, Citation, Citation Indexes, Citation Indices, Eigenfactors, Enhancement, Evaluation, Extensive, Fun Factors, </w:t>
      </w:r>
      <w:r>
        <w:rPr>
          <w:rFonts w:hint="eastAsia"/>
          <w:kern w:val="0"/>
          <w:szCs w:val="24"/>
        </w:rPr>
        <w:t>h</w:t>
      </w:r>
      <w:r>
        <w:rPr>
          <w:kern w:val="0"/>
          <w:szCs w:val="24"/>
        </w:rPr>
        <w:t>-Factors, Impact Factors, Journals, Magnetic-Resonance, Multiple-Quantum Coherence, Networks, Nmr-Spectroscopy, Peer Review, Peer-Review, Proteins, Research, Resolution, Review, Science, Science Policy, Shifts, Social Sciences, Spectra, Support, Task, Teaching Factors, Trend</w:t>
      </w:r>
    </w:p>
    <w:p w:rsidR="000449C8" w:rsidRDefault="000449C8" w:rsidP="000449C8">
      <w:pPr>
        <w:pStyle w:val="a3"/>
        <w:rPr>
          <w:kern w:val="0"/>
        </w:rPr>
      </w:pPr>
      <w:r>
        <w:rPr>
          <w:rFonts w:hint="eastAsia"/>
          <w:kern w:val="0"/>
        </w:rPr>
        <w:t xml:space="preserve">? </w:t>
      </w:r>
      <w:r>
        <w:rPr>
          <w:kern w:val="0"/>
        </w:rPr>
        <w:t>Molinie, A.</w:t>
      </w:r>
      <w:r w:rsidR="005853A9">
        <w:rPr>
          <w:kern w:val="0"/>
        </w:rPr>
        <w:t xml:space="preserve"> and </w:t>
      </w:r>
      <w:r>
        <w:rPr>
          <w:kern w:val="0"/>
        </w:rPr>
        <w:t>Bodenhausen, G. (2011</w:t>
      </w:r>
      <w:r w:rsidR="00F42EAC">
        <w:rPr>
          <w:kern w:val="0"/>
        </w:rPr>
        <w:t>), The</w:t>
      </w:r>
      <w:r w:rsidR="003A1917">
        <w:rPr>
          <w:kern w:val="0"/>
        </w:rPr>
        <w:t xml:space="preserve"> </w:t>
      </w:r>
      <w:r>
        <w:rPr>
          <w:kern w:val="0"/>
        </w:rPr>
        <w:t>kinship or k-Index as an antidote against</w:t>
      </w:r>
      <w:r w:rsidR="003A1917">
        <w:rPr>
          <w:kern w:val="0"/>
        </w:rPr>
        <w:t xml:space="preserve"> the </w:t>
      </w:r>
      <w:r>
        <w:rPr>
          <w:kern w:val="0"/>
        </w:rPr>
        <w:t>toxic effects</w:t>
      </w:r>
      <w:r w:rsidR="00427468">
        <w:rPr>
          <w:kern w:val="0"/>
        </w:rPr>
        <w:t xml:space="preserve"> of </w:t>
      </w:r>
      <w:r>
        <w:rPr>
          <w:kern w:val="0"/>
        </w:rPr>
        <w:t xml:space="preserve">h-Indices. </w:t>
      </w:r>
      <w:r>
        <w:rPr>
          <w:i/>
          <w:iCs/>
          <w:kern w:val="0"/>
        </w:rPr>
        <w:t>Chimia</w:t>
      </w:r>
      <w:r>
        <w:rPr>
          <w:kern w:val="0"/>
        </w:rPr>
        <w:t xml:space="preserve">, </w:t>
      </w:r>
      <w:r>
        <w:rPr>
          <w:b/>
          <w:bCs/>
          <w:kern w:val="0"/>
        </w:rPr>
        <w:t>65</w:t>
      </w:r>
      <w:r>
        <w:rPr>
          <w:kern w:val="0"/>
        </w:rPr>
        <w:t xml:space="preserve"> (6), 433-436.</w:t>
      </w:r>
    </w:p>
    <w:p w:rsidR="000449C8" w:rsidRPr="001A3D2B" w:rsidRDefault="000449C8" w:rsidP="000449C8">
      <w:pPr>
        <w:pStyle w:val="a3"/>
        <w:rPr>
          <w:kern w:val="0"/>
        </w:rPr>
      </w:pPr>
      <w:r w:rsidRPr="001A3D2B">
        <w:rPr>
          <w:kern w:val="0"/>
        </w:rPr>
        <w:t xml:space="preserve">Full Text: </w:t>
      </w:r>
      <w:r>
        <w:rPr>
          <w:rFonts w:hint="eastAsia"/>
          <w:kern w:val="0"/>
        </w:rPr>
        <w:t>2011\</w:t>
      </w:r>
      <w:r w:rsidRPr="001A3D2B">
        <w:rPr>
          <w:kern w:val="0"/>
        </w:rPr>
        <w:t>Chimia6</w:t>
      </w:r>
      <w:r>
        <w:rPr>
          <w:rFonts w:hint="eastAsia"/>
          <w:kern w:val="0"/>
        </w:rPr>
        <w:t>5</w:t>
      </w:r>
      <w:r w:rsidRPr="001A3D2B">
        <w:rPr>
          <w:kern w:val="0"/>
        </w:rPr>
        <w:t xml:space="preserve">, </w:t>
      </w:r>
      <w:r>
        <w:rPr>
          <w:rFonts w:hint="eastAsia"/>
          <w:kern w:val="0"/>
        </w:rPr>
        <w:t>433</w:t>
      </w:r>
      <w:r w:rsidRPr="001A3D2B">
        <w:rPr>
          <w:kern w:val="0"/>
        </w:rPr>
        <w:t>.pdf</w:t>
      </w:r>
    </w:p>
    <w:p w:rsidR="000449C8" w:rsidRDefault="000449C8" w:rsidP="000449C8">
      <w:pPr>
        <w:pStyle w:val="a3"/>
        <w:rPr>
          <w:kern w:val="0"/>
        </w:rPr>
      </w:pPr>
      <w:r>
        <w:rPr>
          <w:kern w:val="0"/>
        </w:rPr>
        <w:t xml:space="preserve">Abstract: In a bilingual paper entitled </w:t>
      </w:r>
      <w:r w:rsidR="0071223E">
        <w:rPr>
          <w:kern w:val="0"/>
        </w:rPr>
        <w:t>‘</w:t>
      </w:r>
      <w:r>
        <w:rPr>
          <w:kern w:val="0"/>
        </w:rPr>
        <w:t>Bibliometrics as weapons</w:t>
      </w:r>
      <w:r w:rsidR="00427468">
        <w:rPr>
          <w:kern w:val="0"/>
        </w:rPr>
        <w:t xml:space="preserve"> of </w:t>
      </w:r>
      <w:r>
        <w:rPr>
          <w:kern w:val="0"/>
        </w:rPr>
        <w:t>mass citation - La bibliometrie comme arme de citation massive</w:t>
      </w:r>
      <w:r w:rsidR="0071223E">
        <w:rPr>
          <w:kern w:val="0"/>
        </w:rPr>
        <w:t>’</w:t>
      </w:r>
      <w:r>
        <w:rPr>
          <w:kern w:val="0"/>
        </w:rPr>
        <w:t>,([1]) recently translated into English,([2]) we have argued that</w:t>
      </w:r>
      <w:r w:rsidR="003A1917">
        <w:rPr>
          <w:kern w:val="0"/>
        </w:rPr>
        <w:t xml:space="preserve"> the </w:t>
      </w:r>
      <w:r>
        <w:rPr>
          <w:kern w:val="0"/>
        </w:rPr>
        <w:t>current fashion</w:t>
      </w:r>
      <w:r w:rsidR="00427468">
        <w:rPr>
          <w:kern w:val="0"/>
        </w:rPr>
        <w:t xml:space="preserve"> of </w:t>
      </w:r>
      <w:r>
        <w:rPr>
          <w:kern w:val="0"/>
        </w:rPr>
        <w:t>ranking people, papers</w:t>
      </w:r>
      <w:r w:rsidR="005853A9">
        <w:rPr>
          <w:kern w:val="0"/>
        </w:rPr>
        <w:t xml:space="preserve"> and </w:t>
      </w:r>
      <w:r>
        <w:rPr>
          <w:kern w:val="0"/>
        </w:rPr>
        <w:t>journals is anything but harmless</w:t>
      </w:r>
      <w:r w:rsidR="00A37C1D">
        <w:rPr>
          <w:kern w:val="0"/>
        </w:rPr>
        <w:t>. The</w:t>
      </w:r>
      <w:r w:rsidR="003A1917">
        <w:rPr>
          <w:kern w:val="0"/>
        </w:rPr>
        <w:t xml:space="preserve"> </w:t>
      </w:r>
      <w:r>
        <w:rPr>
          <w:kern w:val="0"/>
        </w:rPr>
        <w:t xml:space="preserve">point was forcefully supported by Richard Ernst in a post-face entitled </w:t>
      </w:r>
      <w:r w:rsidR="0071223E">
        <w:rPr>
          <w:kern w:val="0"/>
        </w:rPr>
        <w:t>‘</w:t>
      </w:r>
      <w:r>
        <w:rPr>
          <w:kern w:val="0"/>
        </w:rPr>
        <w:t>The Follies</w:t>
      </w:r>
      <w:r w:rsidR="00427468">
        <w:rPr>
          <w:kern w:val="0"/>
        </w:rPr>
        <w:t xml:space="preserve"> of </w:t>
      </w:r>
      <w:r>
        <w:rPr>
          <w:kern w:val="0"/>
        </w:rPr>
        <w:t>Citation Indices</w:t>
      </w:r>
      <w:r w:rsidR="005853A9">
        <w:rPr>
          <w:kern w:val="0"/>
        </w:rPr>
        <w:t xml:space="preserve"> and </w:t>
      </w:r>
      <w:r>
        <w:rPr>
          <w:kern w:val="0"/>
        </w:rPr>
        <w:t>Academic Ranking Lists.([3,4]) We received a surprising number</w:t>
      </w:r>
      <w:r w:rsidR="00427468">
        <w:rPr>
          <w:kern w:val="0"/>
        </w:rPr>
        <w:t xml:space="preserve"> of </w:t>
      </w:r>
      <w:r>
        <w:rPr>
          <w:kern w:val="0"/>
        </w:rPr>
        <w:t xml:space="preserve">passionate responses, such as </w:t>
      </w:r>
      <w:r w:rsidR="0071223E">
        <w:rPr>
          <w:kern w:val="0"/>
        </w:rPr>
        <w:t>‘</w:t>
      </w:r>
      <w:r>
        <w:rPr>
          <w:kern w:val="0"/>
        </w:rPr>
        <w:t>It</w:t>
      </w:r>
      <w:r w:rsidR="0071223E">
        <w:rPr>
          <w:kern w:val="0"/>
        </w:rPr>
        <w:t>’</w:t>
      </w:r>
      <w:r w:rsidR="00C13DDC">
        <w:rPr>
          <w:kern w:val="0"/>
        </w:rPr>
        <w:t>s</w:t>
      </w:r>
      <w:r>
        <w:rPr>
          <w:kern w:val="0"/>
        </w:rPr>
        <w:t xml:space="preserve"> written out</w:t>
      </w:r>
      <w:r w:rsidR="00427468">
        <w:rPr>
          <w:kern w:val="0"/>
        </w:rPr>
        <w:t xml:space="preserve"> of </w:t>
      </w:r>
      <w:r>
        <w:rPr>
          <w:kern w:val="0"/>
        </w:rPr>
        <w:t>my heart</w:t>
      </w:r>
      <w:r w:rsidR="0071223E">
        <w:rPr>
          <w:kern w:val="0"/>
        </w:rPr>
        <w:t>’</w:t>
      </w:r>
      <w:r>
        <w:rPr>
          <w:kern w:val="0"/>
        </w:rPr>
        <w:t xml:space="preserve"> (TH); </w:t>
      </w:r>
      <w:r w:rsidR="0071223E">
        <w:rPr>
          <w:kern w:val="0"/>
        </w:rPr>
        <w:t>‘</w:t>
      </w:r>
      <w:r>
        <w:rPr>
          <w:kern w:val="0"/>
        </w:rPr>
        <w:t>Je soutiens cette entreprise courageuse de tout coeur</w:t>
      </w:r>
      <w:r w:rsidR="0071223E">
        <w:rPr>
          <w:kern w:val="0"/>
        </w:rPr>
        <w:t>’</w:t>
      </w:r>
      <w:r>
        <w:rPr>
          <w:kern w:val="0"/>
        </w:rPr>
        <w:t xml:space="preserve"> (VT); </w:t>
      </w:r>
      <w:r w:rsidR="0071223E">
        <w:rPr>
          <w:kern w:val="0"/>
        </w:rPr>
        <w:t>‘</w:t>
      </w:r>
      <w:r>
        <w:rPr>
          <w:kern w:val="0"/>
        </w:rPr>
        <w:t xml:space="preserve">Impact Faktoren sind ein Marktinstrument gewisser Verlage (FS); </w:t>
      </w:r>
      <w:r w:rsidR="0071223E">
        <w:rPr>
          <w:kern w:val="0"/>
        </w:rPr>
        <w:t>‘</w:t>
      </w:r>
      <w:r>
        <w:rPr>
          <w:kern w:val="0"/>
        </w:rPr>
        <w:t xml:space="preserve">II y a un </w:t>
      </w:r>
      <w:r>
        <w:rPr>
          <w:kern w:val="0"/>
        </w:rPr>
        <w:lastRenderedPageBreak/>
        <w:t>combat a mener</w:t>
      </w:r>
      <w:r w:rsidR="0071223E">
        <w:rPr>
          <w:kern w:val="0"/>
        </w:rPr>
        <w:t>’</w:t>
      </w:r>
      <w:r>
        <w:rPr>
          <w:kern w:val="0"/>
        </w:rPr>
        <w:t xml:space="preserve"> (SB). Some thoughtful responses have been incorporated into this Essay, albeit in attenuated form. We suggest that</w:t>
      </w:r>
      <w:r w:rsidR="003A1917">
        <w:rPr>
          <w:kern w:val="0"/>
        </w:rPr>
        <w:t xml:space="preserve"> the </w:t>
      </w:r>
      <w:r w:rsidR="0071223E">
        <w:rPr>
          <w:kern w:val="0"/>
        </w:rPr>
        <w:t>‘</w:t>
      </w:r>
      <w:r>
        <w:rPr>
          <w:kern w:val="0"/>
        </w:rPr>
        <w:t>fertility</w:t>
      </w:r>
      <w:r w:rsidR="0071223E">
        <w:rPr>
          <w:kern w:val="0"/>
        </w:rPr>
        <w:t>’</w:t>
      </w:r>
      <w:r w:rsidR="00427468">
        <w:rPr>
          <w:kern w:val="0"/>
        </w:rPr>
        <w:t xml:space="preserve"> of </w:t>
      </w:r>
      <w:r>
        <w:rPr>
          <w:kern w:val="0"/>
        </w:rPr>
        <w:t>individual scientists be appreciated in terms</w:t>
      </w:r>
      <w:r w:rsidR="00427468">
        <w:rPr>
          <w:kern w:val="0"/>
        </w:rPr>
        <w:t xml:space="preserve"> of </w:t>
      </w:r>
      <w:r>
        <w:rPr>
          <w:kern w:val="0"/>
        </w:rPr>
        <w:t>kinship rather than through personalized indices.</w:t>
      </w:r>
    </w:p>
    <w:p w:rsidR="000449C8" w:rsidRDefault="000449C8" w:rsidP="000449C8">
      <w:pPr>
        <w:pStyle w:val="a3"/>
        <w:rPr>
          <w:kern w:val="0"/>
        </w:rPr>
      </w:pPr>
      <w:r>
        <w:rPr>
          <w:kern w:val="0"/>
        </w:rPr>
        <w:t xml:space="preserve">Keywords: Bibliometrics, Citation, </w:t>
      </w:r>
      <w:r>
        <w:rPr>
          <w:rFonts w:hint="eastAsia"/>
          <w:kern w:val="0"/>
        </w:rPr>
        <w:t>h</w:t>
      </w:r>
      <w:r>
        <w:rPr>
          <w:kern w:val="0"/>
        </w:rPr>
        <w:t>-Indices, Journals, K-Indices, Papers, Ranking</w:t>
      </w:r>
    </w:p>
    <w:p w:rsidR="00C874EA" w:rsidRPr="00C73C58" w:rsidRDefault="00C874EA" w:rsidP="00C874EA">
      <w:pPr>
        <w:pStyle w:val="1"/>
      </w:pPr>
      <w:r w:rsidRPr="00C73C58">
        <w:br w:type="page"/>
      </w:r>
      <w:bookmarkStart w:id="184" w:name="_Toc420814962"/>
      <w:r w:rsidRPr="00C73C58">
        <w:lastRenderedPageBreak/>
        <w:t>Title: Chimica Oggi-Chemistry Today</w:t>
      </w:r>
      <w:bookmarkEnd w:id="184"/>
    </w:p>
    <w:p w:rsidR="00C874EA" w:rsidRPr="00C73C58" w:rsidRDefault="00C874EA" w:rsidP="00C874EA">
      <w:pPr>
        <w:pStyle w:val="12"/>
      </w:pPr>
      <w:r w:rsidRPr="00C73C58">
        <w:t>Full Journ</w:t>
      </w:r>
      <w:bookmarkStart w:id="185" w:name="_Toc287277253"/>
      <w:r w:rsidRPr="00C73C58">
        <w:t>al Title: Chimica Oggi-Chemistry To</w:t>
      </w:r>
      <w:bookmarkEnd w:id="185"/>
      <w:r w:rsidRPr="00C73C58">
        <w:t>day</w:t>
      </w:r>
    </w:p>
    <w:p w:rsidR="00C874EA" w:rsidRPr="00C73C58" w:rsidRDefault="00C874EA" w:rsidP="00C874EA">
      <w:pPr>
        <w:pStyle w:val="12"/>
      </w:pPr>
      <w:r w:rsidRPr="00C73C58">
        <w:t>ISO Abbreviated Title: Chim. Oggi-Chem. Today</w:t>
      </w:r>
    </w:p>
    <w:p w:rsidR="00C874EA" w:rsidRPr="00C73C58" w:rsidRDefault="00C874EA" w:rsidP="00C874EA">
      <w:pPr>
        <w:pStyle w:val="12"/>
      </w:pPr>
      <w:r w:rsidRPr="00C73C58">
        <w:t>JCR Abbreviated Title: Chim Oggi</w:t>
      </w:r>
    </w:p>
    <w:p w:rsidR="00C874EA" w:rsidRPr="00C73C58" w:rsidRDefault="00C874EA" w:rsidP="00C874EA">
      <w:pPr>
        <w:pStyle w:val="12"/>
      </w:pPr>
      <w:r w:rsidRPr="00C73C58">
        <w:t>ISSN: 0392-839X</w:t>
      </w:r>
    </w:p>
    <w:p w:rsidR="00C874EA" w:rsidRPr="00C73C58" w:rsidRDefault="00C874EA" w:rsidP="00C874EA">
      <w:pPr>
        <w:pStyle w:val="12"/>
      </w:pPr>
      <w:r w:rsidRPr="00C73C58">
        <w:t>Issues/Year: 9</w:t>
      </w:r>
    </w:p>
    <w:p w:rsidR="00C874EA" w:rsidRPr="00C73C58" w:rsidRDefault="00C874EA" w:rsidP="00C874EA">
      <w:pPr>
        <w:pStyle w:val="12"/>
      </w:pPr>
      <w:r w:rsidRPr="00C73C58">
        <w:t>Journal Country/Territory: Italy</w:t>
      </w:r>
    </w:p>
    <w:p w:rsidR="00C874EA" w:rsidRPr="00C73C58" w:rsidRDefault="00C874EA" w:rsidP="00C874EA">
      <w:pPr>
        <w:pStyle w:val="12"/>
      </w:pPr>
      <w:r w:rsidRPr="00C73C58">
        <w:t>Language: English</w:t>
      </w:r>
    </w:p>
    <w:p w:rsidR="00C874EA" w:rsidRPr="00C73C58" w:rsidRDefault="00C874EA" w:rsidP="00C874EA">
      <w:pPr>
        <w:pStyle w:val="12"/>
      </w:pPr>
      <w:r w:rsidRPr="00C73C58">
        <w:t>Publisher: Teknoscienze Publ</w:t>
      </w:r>
    </w:p>
    <w:p w:rsidR="00C874EA" w:rsidRPr="00C73C58" w:rsidRDefault="00C874EA" w:rsidP="00C874EA">
      <w:pPr>
        <w:pStyle w:val="12"/>
      </w:pPr>
      <w:r w:rsidRPr="00C73C58">
        <w:t>Publisher Address: Via Aurelio Saffi 23, 20123 Milan, Italy</w:t>
      </w:r>
    </w:p>
    <w:p w:rsidR="00C874EA" w:rsidRPr="00C73C58" w:rsidRDefault="00C874EA" w:rsidP="00C874EA">
      <w:pPr>
        <w:pStyle w:val="12"/>
      </w:pPr>
      <w:r w:rsidRPr="00C73C58">
        <w:t xml:space="preserve">Subject Categories: </w:t>
      </w:r>
    </w:p>
    <w:p w:rsidR="00C874EA" w:rsidRPr="00C73C58" w:rsidRDefault="00C874EA" w:rsidP="00C874EA">
      <w:pPr>
        <w:pStyle w:val="12"/>
      </w:pPr>
      <w:r w:rsidRPr="00C73C58">
        <w:t xml:space="preserve">Biotechnology &amp; Applied Microbiology Chemistry: Impact Factor </w:t>
      </w:r>
    </w:p>
    <w:p w:rsidR="00170662" w:rsidRDefault="00170662" w:rsidP="00170662">
      <w:pPr>
        <w:pStyle w:val="a3"/>
      </w:pPr>
      <w:r>
        <w:rPr>
          <w:rFonts w:hint="eastAsia"/>
        </w:rPr>
        <w:t>Notes: CCountry</w:t>
      </w:r>
    </w:p>
    <w:p w:rsidR="00C874EA" w:rsidRDefault="00C874EA" w:rsidP="00C874EA">
      <w:pPr>
        <w:pStyle w:val="a3"/>
      </w:pPr>
      <w:r w:rsidRPr="00C73C58">
        <w:t xml:space="preserve">? </w:t>
      </w:r>
      <w:r>
        <w:t>Zhou</w:t>
      </w:r>
      <w:r>
        <w:rPr>
          <w:rFonts w:hint="eastAsia"/>
        </w:rPr>
        <w:t>,</w:t>
      </w:r>
      <w:r>
        <w:t xml:space="preserve"> P</w:t>
      </w:r>
      <w:r>
        <w:rPr>
          <w:rFonts w:hint="eastAsia"/>
        </w:rPr>
        <w:t>.</w:t>
      </w:r>
      <w:r w:rsidR="005853A9">
        <w:rPr>
          <w:rFonts w:hint="eastAsia"/>
        </w:rPr>
        <w:t xml:space="preserve"> and </w:t>
      </w:r>
      <w:r>
        <w:t>Leydesdorff</w:t>
      </w:r>
      <w:r>
        <w:rPr>
          <w:rFonts w:hint="eastAsia"/>
        </w:rPr>
        <w:t>,</w:t>
      </w:r>
      <w:r>
        <w:t xml:space="preserve"> L</w:t>
      </w:r>
      <w:r>
        <w:rPr>
          <w:rFonts w:hint="eastAsia"/>
        </w:rPr>
        <w:t>.</w:t>
      </w:r>
      <w:r>
        <w:t xml:space="preserve"> </w:t>
      </w:r>
      <w:r w:rsidRPr="00C73C58">
        <w:t>(</w:t>
      </w:r>
      <w:r>
        <w:rPr>
          <w:rFonts w:hint="eastAsia"/>
        </w:rPr>
        <w:t>200</w:t>
      </w:r>
      <w:r w:rsidRPr="00C73C58">
        <w:t xml:space="preserve">9), </w:t>
      </w:r>
      <w:r>
        <w:t>Chemistry in China - a bibliometric view</w:t>
      </w:r>
      <w:r w:rsidRPr="00C73C58">
        <w:t xml:space="preserve">. </w:t>
      </w:r>
      <w:r w:rsidRPr="00C73C58">
        <w:rPr>
          <w:i/>
        </w:rPr>
        <w:t>Chimica Oggi-Chemistry Today</w:t>
      </w:r>
      <w:r w:rsidRPr="00C73C58">
        <w:t xml:space="preserve">, </w:t>
      </w:r>
      <w:r>
        <w:rPr>
          <w:rFonts w:hint="eastAsia"/>
          <w:b/>
        </w:rPr>
        <w:t>2</w:t>
      </w:r>
      <w:r w:rsidRPr="00C73C58">
        <w:rPr>
          <w:b/>
        </w:rPr>
        <w:t>7</w:t>
      </w:r>
      <w:r w:rsidRPr="00C73C58">
        <w:rPr>
          <w:bCs/>
        </w:rPr>
        <w:t xml:space="preserve"> (</w:t>
      </w:r>
      <w:r>
        <w:rPr>
          <w:rFonts w:hint="eastAsia"/>
        </w:rPr>
        <w:t>6</w:t>
      </w:r>
      <w:r w:rsidRPr="00C73C58">
        <w:t xml:space="preserve">), </w:t>
      </w:r>
      <w:r>
        <w:t>19-22</w:t>
      </w:r>
      <w:r w:rsidRPr="00C73C58">
        <w:t>.</w:t>
      </w:r>
    </w:p>
    <w:p w:rsidR="00CA143C" w:rsidRDefault="00CA143C" w:rsidP="00CA143C">
      <w:pPr>
        <w:pStyle w:val="a3"/>
      </w:pPr>
      <w:r>
        <w:rPr>
          <w:rFonts w:hint="eastAsia"/>
        </w:rPr>
        <w:t xml:space="preserve">Full Text: </w:t>
      </w:r>
      <w:hyperlink r:id="rId202" w:history="1">
        <w:r w:rsidRPr="00926A3C">
          <w:rPr>
            <w:rStyle w:val="a5"/>
          </w:rPr>
          <w:t>2009\Chi Ogg-Che Tod27, 19.pdf</w:t>
        </w:r>
      </w:hyperlink>
    </w:p>
    <w:p w:rsidR="00C874EA" w:rsidRDefault="00C874EA" w:rsidP="00C874EA">
      <w:pPr>
        <w:pStyle w:val="a3"/>
      </w:pPr>
      <w:r>
        <w:t>Abstract: Based on bibliometric analysis, this paper explores China</w:t>
      </w:r>
      <w:r w:rsidR="0071223E">
        <w:t>’</w:t>
      </w:r>
      <w:r w:rsidR="00C13DDC">
        <w:t>s</w:t>
      </w:r>
      <w:r>
        <w:t xml:space="preserve"> publication activity in chemistry. China develops fast in chemical research</w:t>
      </w:r>
      <w:r w:rsidR="005853A9">
        <w:t xml:space="preserve"> and </w:t>
      </w:r>
      <w:r>
        <w:t>has taken a leading position in publishing journal papers. International collaboration plays a role in</w:t>
      </w:r>
      <w:r w:rsidR="003A1917">
        <w:t xml:space="preserve"> the </w:t>
      </w:r>
      <w:r>
        <w:t>Chinese chemical community, but this role varies among subfields.</w:t>
      </w:r>
    </w:p>
    <w:p w:rsidR="00C874EA" w:rsidRPr="00C73C58" w:rsidRDefault="00C874EA" w:rsidP="00C874EA">
      <w:pPr>
        <w:pStyle w:val="a3"/>
      </w:pPr>
      <w:r>
        <w:t>Keywords: Science, Korea</w:t>
      </w:r>
    </w:p>
    <w:p w:rsidR="00170662" w:rsidRDefault="00170662" w:rsidP="00C874EA">
      <w:pPr>
        <w:pStyle w:val="a3"/>
      </w:pPr>
      <w:r>
        <w:rPr>
          <w:rFonts w:hint="eastAsia"/>
        </w:rPr>
        <w:t>Notes: CCountry</w:t>
      </w:r>
    </w:p>
    <w:p w:rsidR="00C874EA" w:rsidRDefault="00C874EA" w:rsidP="00C874EA">
      <w:pPr>
        <w:pStyle w:val="a3"/>
      </w:pPr>
      <w:r w:rsidRPr="00C73C58">
        <w:t xml:space="preserve">? </w:t>
      </w:r>
      <w:r w:rsidR="00170662">
        <w:t>Á</w:t>
      </w:r>
      <w:r>
        <w:t>lvarez</w:t>
      </w:r>
      <w:r>
        <w:rPr>
          <w:rFonts w:hint="eastAsia"/>
        </w:rPr>
        <w:t>,</w:t>
      </w:r>
      <w:r>
        <w:t xml:space="preserve"> E</w:t>
      </w:r>
      <w:r>
        <w:rPr>
          <w:rFonts w:hint="eastAsia"/>
        </w:rPr>
        <w:t>.</w:t>
      </w:r>
      <w:r>
        <w:t>C</w:t>
      </w:r>
      <w:r>
        <w:rPr>
          <w:rFonts w:hint="eastAsia"/>
        </w:rPr>
        <w:t>.</w:t>
      </w:r>
      <w:r w:rsidR="005853A9">
        <w:rPr>
          <w:rFonts w:hint="eastAsia"/>
        </w:rPr>
        <w:t xml:space="preserve"> and </w:t>
      </w:r>
      <w:r>
        <w:t>Anegon</w:t>
      </w:r>
      <w:r>
        <w:rPr>
          <w:rFonts w:hint="eastAsia"/>
        </w:rPr>
        <w:t>,</w:t>
      </w:r>
      <w:r>
        <w:t xml:space="preserve"> F</w:t>
      </w:r>
      <w:r>
        <w:rPr>
          <w:rFonts w:hint="eastAsia"/>
        </w:rPr>
        <w:t>.</w:t>
      </w:r>
      <w:r>
        <w:t>D</w:t>
      </w:r>
      <w:r>
        <w:rPr>
          <w:rFonts w:hint="eastAsia"/>
        </w:rPr>
        <w:t>.</w:t>
      </w:r>
      <w:r>
        <w:t xml:space="preserve"> </w:t>
      </w:r>
      <w:r w:rsidRPr="00C73C58">
        <w:t>(</w:t>
      </w:r>
      <w:r>
        <w:rPr>
          <w:rFonts w:hint="eastAsia"/>
        </w:rPr>
        <w:t>200</w:t>
      </w:r>
      <w:r w:rsidRPr="00C73C58">
        <w:t xml:space="preserve">9), </w:t>
      </w:r>
      <w:r>
        <w:t>Chemistry in Spain bibliometric analysis through Scopus</w:t>
      </w:r>
      <w:r w:rsidRPr="00C73C58">
        <w:t xml:space="preserve">. </w:t>
      </w:r>
      <w:r w:rsidRPr="00C73C58">
        <w:rPr>
          <w:i/>
        </w:rPr>
        <w:t>Chimica Oggi-Chemistry Today</w:t>
      </w:r>
      <w:r w:rsidRPr="00C73C58">
        <w:t xml:space="preserve">, </w:t>
      </w:r>
      <w:r>
        <w:rPr>
          <w:rFonts w:hint="eastAsia"/>
          <w:b/>
        </w:rPr>
        <w:t>2</w:t>
      </w:r>
      <w:r w:rsidRPr="00C73C58">
        <w:rPr>
          <w:b/>
        </w:rPr>
        <w:t>7</w:t>
      </w:r>
      <w:r w:rsidRPr="00C73C58">
        <w:rPr>
          <w:bCs/>
        </w:rPr>
        <w:t xml:space="preserve"> (</w:t>
      </w:r>
      <w:r>
        <w:rPr>
          <w:rFonts w:hint="eastAsia"/>
        </w:rPr>
        <w:t>6</w:t>
      </w:r>
      <w:r w:rsidRPr="00C73C58">
        <w:t xml:space="preserve">), </w:t>
      </w:r>
      <w:r>
        <w:t>61-64</w:t>
      </w:r>
      <w:r w:rsidRPr="00C73C58">
        <w:t>.</w:t>
      </w:r>
    </w:p>
    <w:p w:rsidR="00CA143C" w:rsidRDefault="00CA143C" w:rsidP="00CA143C">
      <w:pPr>
        <w:pStyle w:val="a3"/>
      </w:pPr>
      <w:r>
        <w:rPr>
          <w:rFonts w:hint="eastAsia"/>
        </w:rPr>
        <w:t xml:space="preserve">Full Text: </w:t>
      </w:r>
      <w:hyperlink r:id="rId203" w:history="1">
        <w:r w:rsidRPr="00CD26B2">
          <w:rPr>
            <w:rStyle w:val="a5"/>
          </w:rPr>
          <w:t>2009\Chi Ogg-Che Tod27, 61.pdf</w:t>
        </w:r>
      </w:hyperlink>
    </w:p>
    <w:p w:rsidR="00C874EA" w:rsidRDefault="00C874EA" w:rsidP="00C874EA">
      <w:pPr>
        <w:pStyle w:val="a3"/>
      </w:pPr>
      <w:r>
        <w:t>Abstract: A bibliometric analysis</w:t>
      </w:r>
      <w:r w:rsidR="00427468">
        <w:t xml:space="preserve"> of </w:t>
      </w:r>
      <w:r>
        <w:t>data from</w:t>
      </w:r>
      <w:r w:rsidR="003A1917">
        <w:t xml:space="preserve"> the </w:t>
      </w:r>
      <w:r>
        <w:t>Scopus database was performed to assess Chemistry publishing activity in Spain. Results show a slight decrease in Chemistry publication output with respect to total output in Spain, similar to that observed in other regions in</w:t>
      </w:r>
      <w:r w:rsidR="003A1917">
        <w:t xml:space="preserve"> the </w:t>
      </w:r>
      <w:r>
        <w:t>world,</w:t>
      </w:r>
      <w:r w:rsidR="005853A9">
        <w:t xml:space="preserve"> and </w:t>
      </w:r>
      <w:r>
        <w:t>a slight increase in</w:t>
      </w:r>
      <w:r w:rsidR="003A1917">
        <w:t xml:space="preserve"> the </w:t>
      </w:r>
      <w:r>
        <w:t>number</w:t>
      </w:r>
      <w:r w:rsidR="00427468">
        <w:t xml:space="preserve"> of </w:t>
      </w:r>
      <w:r>
        <w:t>citations.</w:t>
      </w:r>
    </w:p>
    <w:p w:rsidR="00051EA9" w:rsidRPr="001A3D2B" w:rsidRDefault="00051EA9" w:rsidP="00051EA9">
      <w:pPr>
        <w:pStyle w:val="1"/>
      </w:pPr>
      <w:r w:rsidRPr="001A3D2B">
        <w:br w:type="page"/>
      </w:r>
      <w:bookmarkStart w:id="186" w:name="_Toc420814963"/>
      <w:r w:rsidRPr="001A3D2B">
        <w:lastRenderedPageBreak/>
        <w:t>Title: China Basic Science</w:t>
      </w:r>
      <w:bookmarkEnd w:id="186"/>
    </w:p>
    <w:p w:rsidR="00051EA9" w:rsidRPr="001A3D2B" w:rsidRDefault="00051EA9" w:rsidP="00051EA9">
      <w:pPr>
        <w:pStyle w:val="12"/>
      </w:pPr>
      <w:r w:rsidRPr="001A3D2B">
        <w:t xml:space="preserve">Full Journal Title: </w:t>
      </w:r>
      <w:hyperlink r:id="rId204" w:history="1">
        <w:r w:rsidRPr="001A3D2B">
          <w:rPr>
            <w:rStyle w:val="a5"/>
          </w:rPr>
          <w:t>China Basic Science</w:t>
        </w:r>
      </w:hyperlink>
    </w:p>
    <w:p w:rsidR="00051EA9" w:rsidRPr="001A3D2B" w:rsidRDefault="00051EA9" w:rsidP="00051EA9">
      <w:pPr>
        <w:pStyle w:val="12"/>
      </w:pPr>
      <w:r w:rsidRPr="001A3D2B">
        <w:t xml:space="preserve">ISO Abbreviated Title: </w:t>
      </w:r>
    </w:p>
    <w:p w:rsidR="00051EA9" w:rsidRPr="001A3D2B" w:rsidRDefault="00051EA9" w:rsidP="00051EA9">
      <w:pPr>
        <w:pStyle w:val="12"/>
      </w:pPr>
      <w:r w:rsidRPr="001A3D2B">
        <w:t xml:space="preserve">JCR Abbreviated Title: </w:t>
      </w:r>
    </w:p>
    <w:p w:rsidR="00051EA9" w:rsidRPr="001A3D2B" w:rsidRDefault="00051EA9" w:rsidP="00051EA9">
      <w:pPr>
        <w:pStyle w:val="12"/>
      </w:pPr>
      <w:r w:rsidRPr="001A3D2B">
        <w:t xml:space="preserve">ISSN: </w:t>
      </w:r>
    </w:p>
    <w:p w:rsidR="00051EA9" w:rsidRPr="001A3D2B" w:rsidRDefault="00051EA9" w:rsidP="00051EA9">
      <w:pPr>
        <w:pStyle w:val="12"/>
      </w:pPr>
      <w:r w:rsidRPr="001A3D2B">
        <w:t xml:space="preserve">Issues/Year: </w:t>
      </w:r>
    </w:p>
    <w:p w:rsidR="00051EA9" w:rsidRPr="001A3D2B" w:rsidRDefault="00051EA9" w:rsidP="00051EA9">
      <w:pPr>
        <w:pStyle w:val="12"/>
      </w:pPr>
      <w:r w:rsidRPr="001A3D2B">
        <w:t xml:space="preserve">Journal Country/Territory: </w:t>
      </w:r>
    </w:p>
    <w:p w:rsidR="00051EA9" w:rsidRPr="001A3D2B" w:rsidRDefault="00051EA9" w:rsidP="00051EA9">
      <w:pPr>
        <w:pStyle w:val="12"/>
      </w:pPr>
      <w:r w:rsidRPr="001A3D2B">
        <w:t xml:space="preserve">Language: </w:t>
      </w:r>
    </w:p>
    <w:p w:rsidR="00051EA9" w:rsidRPr="001A3D2B" w:rsidRDefault="00051EA9" w:rsidP="00051EA9">
      <w:pPr>
        <w:pStyle w:val="12"/>
      </w:pPr>
      <w:r w:rsidRPr="001A3D2B">
        <w:t xml:space="preserve">Publisher: </w:t>
      </w:r>
    </w:p>
    <w:p w:rsidR="00051EA9" w:rsidRPr="001A3D2B" w:rsidRDefault="00051EA9" w:rsidP="00051EA9">
      <w:pPr>
        <w:pStyle w:val="12"/>
      </w:pPr>
      <w:r w:rsidRPr="001A3D2B">
        <w:t xml:space="preserve">Publisher Address: </w:t>
      </w:r>
    </w:p>
    <w:p w:rsidR="00051EA9" w:rsidRPr="001A3D2B" w:rsidRDefault="00051EA9" w:rsidP="00051EA9">
      <w:pPr>
        <w:pStyle w:val="12"/>
      </w:pPr>
      <w:r w:rsidRPr="001A3D2B">
        <w:t xml:space="preserve">Subject Categories: </w:t>
      </w:r>
    </w:p>
    <w:p w:rsidR="00051EA9" w:rsidRPr="001A3D2B" w:rsidRDefault="00051EA9" w:rsidP="00051EA9">
      <w:pPr>
        <w:pStyle w:val="12"/>
      </w:pPr>
      <w:r w:rsidRPr="001A3D2B">
        <w:t xml:space="preserve">: Impact Factor </w:t>
      </w:r>
    </w:p>
    <w:p w:rsidR="00051EA9" w:rsidRPr="001A3D2B" w:rsidRDefault="00051EA9" w:rsidP="00051EA9">
      <w:pPr>
        <w:pStyle w:val="a3"/>
        <w:rPr>
          <w:szCs w:val="24"/>
        </w:rPr>
      </w:pPr>
      <w:r w:rsidRPr="001A3D2B">
        <w:rPr>
          <w:szCs w:val="24"/>
        </w:rPr>
        <w:t xml:space="preserve">? Chen, J. (2009), Statistics on original research papers published in </w:t>
      </w:r>
      <w:r w:rsidRPr="001A3D2B">
        <w:rPr>
          <w:i/>
          <w:iCs/>
          <w:szCs w:val="24"/>
        </w:rPr>
        <w:t>Pain</w:t>
      </w:r>
      <w:r w:rsidRPr="001A3D2B">
        <w:rPr>
          <w:szCs w:val="24"/>
        </w:rPr>
        <w:t xml:space="preserve"> by Chinese Mainland during 1975-2008. </w:t>
      </w:r>
      <w:r w:rsidRPr="001A3D2B">
        <w:rPr>
          <w:i/>
          <w:szCs w:val="24"/>
        </w:rPr>
        <w:t>China Basic Science</w:t>
      </w:r>
      <w:r w:rsidRPr="001A3D2B">
        <w:rPr>
          <w:szCs w:val="24"/>
        </w:rPr>
        <w:t xml:space="preserve">, </w:t>
      </w:r>
      <w:r w:rsidRPr="001A3D2B">
        <w:rPr>
          <w:b/>
          <w:bCs/>
          <w:szCs w:val="24"/>
        </w:rPr>
        <w:t>11</w:t>
      </w:r>
      <w:r w:rsidRPr="001A3D2B">
        <w:rPr>
          <w:szCs w:val="24"/>
        </w:rPr>
        <w:t xml:space="preserve"> (2), 40-45.</w:t>
      </w:r>
    </w:p>
    <w:p w:rsidR="00051EA9" w:rsidRPr="001A3D2B" w:rsidRDefault="00051EA9" w:rsidP="00051EA9">
      <w:pPr>
        <w:pStyle w:val="a3"/>
        <w:rPr>
          <w:szCs w:val="24"/>
        </w:rPr>
      </w:pPr>
      <w:r w:rsidRPr="001A3D2B">
        <w:rPr>
          <w:szCs w:val="24"/>
        </w:rPr>
        <w:t xml:space="preserve">Full Text: </w:t>
      </w:r>
      <w:hyperlink r:id="rId205" w:history="1">
        <w:r w:rsidRPr="001A3D2B">
          <w:rPr>
            <w:rStyle w:val="a5"/>
            <w:szCs w:val="24"/>
          </w:rPr>
          <w:t>2009\Chi Bas Sci11, 40.pdf</w:t>
        </w:r>
      </w:hyperlink>
    </w:p>
    <w:p w:rsidR="00051EA9" w:rsidRPr="001A3D2B" w:rsidRDefault="00051EA9" w:rsidP="00051EA9">
      <w:pPr>
        <w:pStyle w:val="a3"/>
        <w:rPr>
          <w:szCs w:val="24"/>
        </w:rPr>
      </w:pPr>
      <w:r w:rsidRPr="001A3D2B">
        <w:rPr>
          <w:szCs w:val="24"/>
        </w:rPr>
        <w:t>Abstract:</w:t>
      </w:r>
      <w:r w:rsidRPr="001A3D2B">
        <w:t xml:space="preserve"> </w:t>
      </w:r>
      <w:r w:rsidRPr="001A3D2B">
        <w:rPr>
          <w:szCs w:val="24"/>
        </w:rPr>
        <w:t>Based upon</w:t>
      </w:r>
      <w:r w:rsidR="003A1917">
        <w:rPr>
          <w:szCs w:val="24"/>
        </w:rPr>
        <w:t xml:space="preserve"> the </w:t>
      </w:r>
      <w:r w:rsidRPr="001A3D2B">
        <w:rPr>
          <w:szCs w:val="24"/>
        </w:rPr>
        <w:t xml:space="preserve">search results through </w:t>
      </w:r>
      <w:r w:rsidR="002C12F0">
        <w:rPr>
          <w:szCs w:val="24"/>
        </w:rPr>
        <w:t>PUBMED</w:t>
      </w:r>
      <w:r w:rsidRPr="001A3D2B">
        <w:rPr>
          <w:szCs w:val="24"/>
        </w:rPr>
        <w:t xml:space="preserve"> Web with</w:t>
      </w:r>
      <w:r w:rsidR="003A1917">
        <w:rPr>
          <w:szCs w:val="24"/>
        </w:rPr>
        <w:t xml:space="preserve"> the </w:t>
      </w:r>
      <w:r w:rsidRPr="001A3D2B">
        <w:rPr>
          <w:szCs w:val="24"/>
        </w:rPr>
        <w:t>aid</w:t>
      </w:r>
      <w:r w:rsidR="00427468">
        <w:rPr>
          <w:szCs w:val="24"/>
        </w:rPr>
        <w:t xml:space="preserve"> of </w:t>
      </w:r>
      <w:r w:rsidRPr="001A3D2B">
        <w:rPr>
          <w:szCs w:val="24"/>
        </w:rPr>
        <w:t>Note Express</w:t>
      </w:r>
      <w:r w:rsidR="005853A9">
        <w:rPr>
          <w:szCs w:val="24"/>
        </w:rPr>
        <w:t xml:space="preserve"> and </w:t>
      </w:r>
      <w:r w:rsidR="003A1917">
        <w:rPr>
          <w:szCs w:val="24"/>
        </w:rPr>
        <w:t xml:space="preserve">the </w:t>
      </w:r>
      <w:r w:rsidRPr="001A3D2B">
        <w:rPr>
          <w:szCs w:val="24"/>
        </w:rPr>
        <w:t>data published by Mogil et al. (Pain, 2009, 142: 48—58) which examined every one</w:t>
      </w:r>
      <w:r w:rsidR="00427468">
        <w:rPr>
          <w:szCs w:val="24"/>
        </w:rPr>
        <w:t xml:space="preserve"> of </w:t>
      </w:r>
      <w:r w:rsidR="003A1917">
        <w:rPr>
          <w:szCs w:val="24"/>
        </w:rPr>
        <w:t xml:space="preserve">the </w:t>
      </w:r>
      <w:r w:rsidRPr="001A3D2B">
        <w:rPr>
          <w:szCs w:val="24"/>
        </w:rPr>
        <w:t>4525 original Research Papers published in</w:t>
      </w:r>
      <w:r w:rsidR="003A1917">
        <w:rPr>
          <w:szCs w:val="24"/>
        </w:rPr>
        <w:t xml:space="preserve"> the </w:t>
      </w:r>
      <w:r w:rsidRPr="001A3D2B">
        <w:rPr>
          <w:szCs w:val="24"/>
        </w:rPr>
        <w:t>journal, Pain, from 1975 (the first issue) to</w:t>
      </w:r>
      <w:r w:rsidR="003A1917">
        <w:rPr>
          <w:szCs w:val="24"/>
        </w:rPr>
        <w:t xml:space="preserve"> the </w:t>
      </w:r>
      <w:r w:rsidRPr="001A3D2B">
        <w:rPr>
          <w:szCs w:val="24"/>
        </w:rPr>
        <w:t>end</w:t>
      </w:r>
      <w:r w:rsidR="00427468">
        <w:rPr>
          <w:szCs w:val="24"/>
        </w:rPr>
        <w:t xml:space="preserve"> of </w:t>
      </w:r>
      <w:r w:rsidRPr="001A3D2B">
        <w:rPr>
          <w:szCs w:val="24"/>
        </w:rPr>
        <w:t>2007, each</w:t>
      </w:r>
      <w:r w:rsidR="00427468">
        <w:rPr>
          <w:szCs w:val="24"/>
        </w:rPr>
        <w:t xml:space="preserve"> of </w:t>
      </w:r>
      <w:r w:rsidR="003A1917">
        <w:rPr>
          <w:szCs w:val="24"/>
        </w:rPr>
        <w:t xml:space="preserve">the </w:t>
      </w:r>
      <w:r w:rsidRPr="001A3D2B">
        <w:rPr>
          <w:szCs w:val="24"/>
        </w:rPr>
        <w:t>44 original Research Papers contributed to</w:t>
      </w:r>
      <w:r w:rsidR="003A1917">
        <w:rPr>
          <w:szCs w:val="24"/>
        </w:rPr>
        <w:t xml:space="preserve"> the </w:t>
      </w:r>
      <w:r w:rsidRPr="001A3D2B">
        <w:rPr>
          <w:szCs w:val="24"/>
        </w:rPr>
        <w:t>journal Pain by Chinese researchers till March 1, 2009 were reanalyzed. In this report, only those papers coming from institutions in</w:t>
      </w:r>
      <w:r w:rsidR="003A1917">
        <w:rPr>
          <w:szCs w:val="24"/>
        </w:rPr>
        <w:t xml:space="preserve"> the </w:t>
      </w:r>
      <w:r w:rsidRPr="001A3D2B">
        <w:rPr>
          <w:szCs w:val="24"/>
        </w:rPr>
        <w:t>mainland</w:t>
      </w:r>
      <w:r w:rsidR="00427468">
        <w:rPr>
          <w:szCs w:val="24"/>
        </w:rPr>
        <w:t xml:space="preserve"> of </w:t>
      </w:r>
      <w:r w:rsidRPr="001A3D2B">
        <w:rPr>
          <w:szCs w:val="24"/>
        </w:rPr>
        <w:t>People</w:t>
      </w:r>
      <w:r w:rsidR="0071223E">
        <w:rPr>
          <w:szCs w:val="24"/>
        </w:rPr>
        <w:t>’</w:t>
      </w:r>
      <w:r w:rsidR="00C13DDC">
        <w:rPr>
          <w:szCs w:val="24"/>
        </w:rPr>
        <w:t>s</w:t>
      </w:r>
      <w:r w:rsidRPr="001A3D2B">
        <w:rPr>
          <w:szCs w:val="24"/>
        </w:rPr>
        <w:t xml:space="preserve"> Republic</w:t>
      </w:r>
      <w:r w:rsidR="00427468">
        <w:rPr>
          <w:szCs w:val="24"/>
        </w:rPr>
        <w:t xml:space="preserve"> of </w:t>
      </w:r>
      <w:r w:rsidRPr="001A3D2B">
        <w:rPr>
          <w:szCs w:val="24"/>
        </w:rPr>
        <w:t>China were considered</w:t>
      </w:r>
      <w:r w:rsidR="00A37C1D">
        <w:rPr>
          <w:szCs w:val="24"/>
        </w:rPr>
        <w:t>. The</w:t>
      </w:r>
      <w:r w:rsidR="003A1917">
        <w:rPr>
          <w:szCs w:val="24"/>
        </w:rPr>
        <w:t xml:space="preserve"> </w:t>
      </w:r>
      <w:r w:rsidRPr="001A3D2B">
        <w:rPr>
          <w:szCs w:val="24"/>
        </w:rPr>
        <w:t>present data provided with a basic frame outlining how important our country was to</w:t>
      </w:r>
      <w:r w:rsidR="003A1917">
        <w:rPr>
          <w:szCs w:val="24"/>
        </w:rPr>
        <w:t xml:space="preserve"> the </w:t>
      </w:r>
      <w:r w:rsidRPr="001A3D2B">
        <w:rPr>
          <w:szCs w:val="24"/>
        </w:rPr>
        <w:t>development</w:t>
      </w:r>
      <w:r w:rsidR="00427468">
        <w:rPr>
          <w:szCs w:val="24"/>
        </w:rPr>
        <w:t xml:space="preserve"> of </w:t>
      </w:r>
      <w:r w:rsidRPr="001A3D2B">
        <w:rPr>
          <w:szCs w:val="24"/>
        </w:rPr>
        <w:t>pain research, what was</w:t>
      </w:r>
      <w:r w:rsidR="003A1917">
        <w:rPr>
          <w:szCs w:val="24"/>
        </w:rPr>
        <w:t xml:space="preserve"> the </w:t>
      </w:r>
      <w:r w:rsidRPr="001A3D2B">
        <w:rPr>
          <w:szCs w:val="24"/>
        </w:rPr>
        <w:t>regional difference in research interests across</w:t>
      </w:r>
      <w:r w:rsidR="003A1917">
        <w:rPr>
          <w:szCs w:val="24"/>
        </w:rPr>
        <w:t xml:space="preserve"> the </w:t>
      </w:r>
      <w:r w:rsidRPr="001A3D2B">
        <w:rPr>
          <w:szCs w:val="24"/>
        </w:rPr>
        <w:t>mainland,</w:t>
      </w:r>
      <w:r w:rsidR="005853A9">
        <w:rPr>
          <w:szCs w:val="24"/>
        </w:rPr>
        <w:t xml:space="preserve"> and </w:t>
      </w:r>
      <w:r w:rsidRPr="001A3D2B">
        <w:rPr>
          <w:szCs w:val="24"/>
        </w:rPr>
        <w:t>who were highly cited institutions</w:t>
      </w:r>
      <w:r w:rsidR="005853A9">
        <w:rPr>
          <w:szCs w:val="24"/>
        </w:rPr>
        <w:t xml:space="preserve"> and </w:t>
      </w:r>
      <w:r w:rsidRPr="001A3D2B">
        <w:rPr>
          <w:szCs w:val="24"/>
        </w:rPr>
        <w:t>authors in terms</w:t>
      </w:r>
      <w:r w:rsidR="00427468">
        <w:rPr>
          <w:szCs w:val="24"/>
        </w:rPr>
        <w:t xml:space="preserve"> of </w:t>
      </w:r>
      <w:r w:rsidRPr="001A3D2B">
        <w:rPr>
          <w:szCs w:val="24"/>
        </w:rPr>
        <w:t>contribution to</w:t>
      </w:r>
      <w:r w:rsidR="003A1917">
        <w:rPr>
          <w:szCs w:val="24"/>
        </w:rPr>
        <w:t xml:space="preserve"> the </w:t>
      </w:r>
      <w:r w:rsidRPr="001A3D2B">
        <w:rPr>
          <w:szCs w:val="24"/>
        </w:rPr>
        <w:t>journal, Pain. This report suggested that Chinese pain researchers had been</w:t>
      </w:r>
      <w:r w:rsidR="005853A9">
        <w:rPr>
          <w:szCs w:val="24"/>
        </w:rPr>
        <w:t xml:space="preserve"> and </w:t>
      </w:r>
      <w:r w:rsidRPr="001A3D2B">
        <w:rPr>
          <w:szCs w:val="24"/>
        </w:rPr>
        <w:t>would be playing an important role in</w:t>
      </w:r>
      <w:r w:rsidR="003A1917">
        <w:rPr>
          <w:szCs w:val="24"/>
        </w:rPr>
        <w:t xml:space="preserve"> the </w:t>
      </w:r>
      <w:r w:rsidRPr="001A3D2B">
        <w:rPr>
          <w:szCs w:val="24"/>
        </w:rPr>
        <w:t>development</w:t>
      </w:r>
      <w:r w:rsidR="00427468">
        <w:rPr>
          <w:szCs w:val="24"/>
        </w:rPr>
        <w:t xml:space="preserve"> of </w:t>
      </w:r>
      <w:r w:rsidRPr="001A3D2B">
        <w:rPr>
          <w:szCs w:val="24"/>
        </w:rPr>
        <w:t>pain research although their influence was still limited to some specific aspects.</w:t>
      </w:r>
    </w:p>
    <w:p w:rsidR="00051EA9" w:rsidRPr="001A3D2B" w:rsidRDefault="00051EA9" w:rsidP="00051EA9">
      <w:pPr>
        <w:pStyle w:val="a3"/>
        <w:rPr>
          <w:szCs w:val="24"/>
        </w:rPr>
      </w:pPr>
      <w:r w:rsidRPr="001A3D2B">
        <w:rPr>
          <w:szCs w:val="24"/>
        </w:rPr>
        <w:t>Keywords: Pain Research, Chinese Pain Researchers, Chinese Mainland</w:t>
      </w:r>
    </w:p>
    <w:p w:rsidR="002A4A3D" w:rsidRPr="00C73C58" w:rsidRDefault="002A4A3D" w:rsidP="002A4A3D">
      <w:pPr>
        <w:pStyle w:val="1"/>
      </w:pPr>
      <w:r w:rsidRPr="00C73C58">
        <w:br w:type="page"/>
      </w:r>
      <w:bookmarkStart w:id="187" w:name="_Toc342572527"/>
      <w:bookmarkStart w:id="188" w:name="_Toc420814964"/>
      <w:r w:rsidRPr="00C73C58">
        <w:lastRenderedPageBreak/>
        <w:t>Title: China Economic Review</w:t>
      </w:r>
      <w:bookmarkEnd w:id="187"/>
      <w:bookmarkEnd w:id="188"/>
    </w:p>
    <w:p w:rsidR="002A4A3D" w:rsidRPr="00C73C58" w:rsidRDefault="002A4A3D" w:rsidP="002A4A3D">
      <w:pPr>
        <w:pStyle w:val="12"/>
      </w:pPr>
      <w:r w:rsidRPr="00C73C58">
        <w:t xml:space="preserve">Full Journal Title: </w:t>
      </w:r>
      <w:hyperlink r:id="rId206" w:history="1">
        <w:r w:rsidRPr="00C73C58">
          <w:rPr>
            <w:rStyle w:val="a5"/>
          </w:rPr>
          <w:t>China Economic Review</w:t>
        </w:r>
      </w:hyperlink>
    </w:p>
    <w:p w:rsidR="002A4A3D" w:rsidRPr="00C73C58" w:rsidRDefault="002A4A3D" w:rsidP="002A4A3D">
      <w:pPr>
        <w:pStyle w:val="12"/>
      </w:pPr>
      <w:r w:rsidRPr="00C73C58">
        <w:t xml:space="preserve">ISO Abbreviated Title: </w:t>
      </w:r>
    </w:p>
    <w:p w:rsidR="002A4A3D" w:rsidRPr="00C73C58" w:rsidRDefault="002A4A3D" w:rsidP="002A4A3D">
      <w:pPr>
        <w:pStyle w:val="12"/>
      </w:pPr>
      <w:r w:rsidRPr="00C73C58">
        <w:t xml:space="preserve">JCR Abbreviated Title: </w:t>
      </w:r>
    </w:p>
    <w:p w:rsidR="002A4A3D" w:rsidRPr="00C73C58" w:rsidRDefault="002A4A3D" w:rsidP="002A4A3D">
      <w:pPr>
        <w:pStyle w:val="12"/>
      </w:pPr>
      <w:r w:rsidRPr="00C73C58">
        <w:t xml:space="preserve">ISSN: </w:t>
      </w:r>
    </w:p>
    <w:p w:rsidR="002A4A3D" w:rsidRPr="00C73C58" w:rsidRDefault="002A4A3D" w:rsidP="002A4A3D">
      <w:pPr>
        <w:pStyle w:val="12"/>
      </w:pPr>
      <w:r w:rsidRPr="00C73C58">
        <w:t xml:space="preserve">Issues/Year: </w:t>
      </w:r>
    </w:p>
    <w:p w:rsidR="002A4A3D" w:rsidRPr="00C73C58" w:rsidRDefault="002A4A3D" w:rsidP="002A4A3D">
      <w:pPr>
        <w:pStyle w:val="12"/>
      </w:pPr>
      <w:r w:rsidRPr="00C73C58">
        <w:t xml:space="preserve">Journal Country/Territory: </w:t>
      </w:r>
    </w:p>
    <w:p w:rsidR="002A4A3D" w:rsidRPr="00C73C58" w:rsidRDefault="002A4A3D" w:rsidP="002A4A3D">
      <w:pPr>
        <w:pStyle w:val="12"/>
      </w:pPr>
      <w:r w:rsidRPr="00C73C58">
        <w:t xml:space="preserve">Language: </w:t>
      </w:r>
    </w:p>
    <w:p w:rsidR="002A4A3D" w:rsidRPr="00C73C58" w:rsidRDefault="002A4A3D" w:rsidP="002A4A3D">
      <w:pPr>
        <w:pStyle w:val="12"/>
      </w:pPr>
      <w:r w:rsidRPr="00C73C58">
        <w:t xml:space="preserve">Publisher: </w:t>
      </w:r>
    </w:p>
    <w:p w:rsidR="002A4A3D" w:rsidRPr="00C73C58" w:rsidRDefault="002A4A3D" w:rsidP="002A4A3D">
      <w:pPr>
        <w:pStyle w:val="12"/>
      </w:pPr>
      <w:r w:rsidRPr="00C73C58">
        <w:t xml:space="preserve">Publisher Address: </w:t>
      </w:r>
    </w:p>
    <w:p w:rsidR="002A4A3D" w:rsidRPr="00C73C58" w:rsidRDefault="002A4A3D" w:rsidP="002A4A3D">
      <w:pPr>
        <w:pStyle w:val="12"/>
      </w:pPr>
      <w:r w:rsidRPr="00C73C58">
        <w:t xml:space="preserve">Subject Categories: </w:t>
      </w:r>
    </w:p>
    <w:p w:rsidR="002A4A3D" w:rsidRPr="00C73C58" w:rsidRDefault="002A4A3D" w:rsidP="002A4A3D">
      <w:pPr>
        <w:pStyle w:val="12"/>
      </w:pPr>
      <w:r w:rsidRPr="00C73C58">
        <w:t xml:space="preserve">: Impact Factor </w:t>
      </w:r>
    </w:p>
    <w:p w:rsidR="002A4A3D" w:rsidRPr="00C73C58" w:rsidRDefault="002A4A3D" w:rsidP="002A4A3D">
      <w:pPr>
        <w:pStyle w:val="a3"/>
      </w:pPr>
      <w:r w:rsidRPr="00C73C58">
        <w:t xml:space="preserve">? Prasad, E.S. (2009), Is the Chinese growth miracle built to last? </w:t>
      </w:r>
      <w:r w:rsidRPr="00C73C58">
        <w:rPr>
          <w:i/>
        </w:rPr>
        <w:t>China Economic Review</w:t>
      </w:r>
      <w:r w:rsidRPr="00C73C58">
        <w:t xml:space="preserve">, </w:t>
      </w:r>
      <w:r w:rsidRPr="00C73C58">
        <w:rPr>
          <w:b/>
          <w:szCs w:val="19"/>
        </w:rPr>
        <w:t>20</w:t>
      </w:r>
      <w:r w:rsidRPr="00C73C58">
        <w:rPr>
          <w:szCs w:val="19"/>
        </w:rPr>
        <w:t xml:space="preserve"> (1), </w:t>
      </w:r>
      <w:r w:rsidRPr="00C73C58">
        <w:t>103-123.</w:t>
      </w:r>
    </w:p>
    <w:p w:rsidR="002A4A3D" w:rsidRPr="00C73C58" w:rsidRDefault="002A4A3D" w:rsidP="002A4A3D">
      <w:pPr>
        <w:pStyle w:val="a3"/>
      </w:pPr>
      <w:r w:rsidRPr="00C73C58">
        <w:t xml:space="preserve">Full Text: </w:t>
      </w:r>
      <w:hyperlink r:id="rId207" w:history="1">
        <w:r w:rsidRPr="00C73C58">
          <w:rPr>
            <w:rStyle w:val="a5"/>
          </w:rPr>
          <w:t>2009\Chi Wor Eco20, 103.pdf</w:t>
        </w:r>
      </w:hyperlink>
    </w:p>
    <w:p w:rsidR="002A4A3D" w:rsidRPr="00C73C58" w:rsidRDefault="002A4A3D" w:rsidP="002A4A3D">
      <w:pPr>
        <w:pStyle w:val="a3"/>
      </w:pPr>
      <w:r w:rsidRPr="00C73C58">
        <w:t>Abstract: Is the Chinese growth miracle-a remarkably high growth rate sustained for over two decades likely to persist or are the seeds</w:t>
      </w:r>
      <w:r w:rsidR="00427468">
        <w:t xml:space="preserve"> of </w:t>
      </w:r>
      <w:r w:rsidRPr="00C73C58">
        <w:t>its eventual demise contained in the policies that have boosted growth? For all its presumed flaws, the particular approach to macroeconomic</w:t>
      </w:r>
      <w:r w:rsidR="005853A9">
        <w:t xml:space="preserve"> and </w:t>
      </w:r>
      <w:r w:rsidRPr="00C73C58">
        <w:t>structural policies that has been adopted by the Chinese government has helped to deliver high productivity</w:t>
      </w:r>
      <w:r w:rsidR="005853A9">
        <w:t xml:space="preserve"> and </w:t>
      </w:r>
      <w:r w:rsidRPr="00C73C58">
        <w:t>output growth, along with a reasonable degree</w:t>
      </w:r>
      <w:r w:rsidR="00427468">
        <w:t xml:space="preserve"> of </w:t>
      </w:r>
      <w:r w:rsidRPr="00C73C58">
        <w:t>macroeconomic stability</w:t>
      </w:r>
      <w:r w:rsidR="00A37C1D">
        <w:t>. The</w:t>
      </w:r>
      <w:r w:rsidRPr="00C73C58">
        <w:t>re comes a point, however, when the policy distortions needed to maintain this approach could generate imbalances, impose potentially large welfare costs,</w:t>
      </w:r>
      <w:r w:rsidR="005853A9">
        <w:t xml:space="preserve"> and </w:t>
      </w:r>
      <w:r w:rsidRPr="00C73C58">
        <w:t>themselves become a source</w:t>
      </w:r>
      <w:r w:rsidR="00427468">
        <w:t xml:space="preserve"> of </w:t>
      </w:r>
      <w:r w:rsidRPr="00C73C58">
        <w:t>instability.</w:t>
      </w:r>
    </w:p>
    <w:p w:rsidR="002A4A3D" w:rsidRPr="00C73C58" w:rsidRDefault="002A4A3D" w:rsidP="002A4A3D">
      <w:pPr>
        <w:pStyle w:val="a3"/>
      </w:pPr>
      <w:r w:rsidRPr="00C73C58">
        <w:t>The traditional risks faced by emerging market economies, especially those related to having an open capital account, do not loom large in the case</w:t>
      </w:r>
      <w:r w:rsidR="00427468">
        <w:t xml:space="preserve"> of </w:t>
      </w:r>
      <w:r w:rsidRPr="00C73C58">
        <w:t>China. In the process</w:t>
      </w:r>
      <w:r w:rsidR="00427468">
        <w:t xml:space="preserve"> of </w:t>
      </w:r>
      <w:r w:rsidRPr="00C73C58">
        <w:t>securing protection against external risks, however, Chinese policymakers may have increased the risks</w:t>
      </w:r>
      <w:r w:rsidR="00427468">
        <w:t xml:space="preserve"> of </w:t>
      </w:r>
      <w:r w:rsidRPr="00C73C58">
        <w:t>internal instability</w:t>
      </w:r>
      <w:r w:rsidR="00A37C1D">
        <w:t>. The</w:t>
      </w:r>
      <w:r w:rsidRPr="00C73C58">
        <w:t>re are a number</w:t>
      </w:r>
      <w:r w:rsidR="00427468">
        <w:t xml:space="preserve"> of </w:t>
      </w:r>
      <w:r w:rsidRPr="00C73C58">
        <w:t>factors that could trigger unfavorable economic dynamics that, even if they don</w:t>
      </w:r>
      <w:r w:rsidR="0071223E">
        <w:t>’</w:t>
      </w:r>
      <w:r w:rsidRPr="00C73C58">
        <w:t>t rise to the level</w:t>
      </w:r>
      <w:r w:rsidR="00427468">
        <w:t xml:space="preserve"> of </w:t>
      </w:r>
      <w:r w:rsidRPr="00C73C58">
        <w:t>a crisis, could have serious adverse repercussions on growth</w:t>
      </w:r>
      <w:r w:rsidR="005853A9">
        <w:t xml:space="preserve"> and </w:t>
      </w:r>
      <w:r w:rsidRPr="00C73C58">
        <w:t>welfare</w:t>
      </w:r>
      <w:r w:rsidR="00A37C1D">
        <w:t>. The</w:t>
      </w:r>
      <w:r w:rsidRPr="00C73C58">
        <w:t xml:space="preserve"> flexibility</w:t>
      </w:r>
      <w:r w:rsidR="005853A9">
        <w:t xml:space="preserve"> and </w:t>
      </w:r>
      <w:r w:rsidRPr="00C73C58">
        <w:t>potency</w:t>
      </w:r>
      <w:r w:rsidR="00427468">
        <w:t xml:space="preserve"> of </w:t>
      </w:r>
      <w:r w:rsidRPr="00C73C58">
        <w:t>macroeconomic tools to deal with such negative shocks is constrained by the panoply</w:t>
      </w:r>
      <w:r w:rsidR="00427468">
        <w:t xml:space="preserve"> of </w:t>
      </w:r>
      <w:r w:rsidRPr="00C73C58">
        <w:t>policies that has supported growth so far. (C) 2008 Elsevier Inc. All rights reserved.</w:t>
      </w:r>
    </w:p>
    <w:p w:rsidR="002A4A3D" w:rsidRPr="00C73C58" w:rsidRDefault="002A4A3D" w:rsidP="002A4A3D">
      <w:pPr>
        <w:pStyle w:val="a3"/>
      </w:pPr>
      <w:r w:rsidRPr="00C73C58">
        <w:t>Keywords: Exchange Rate Flexibility, Capital Account Liberalization, Growth Model, Macroeconomic Policies, Financial Sector Reforms</w:t>
      </w:r>
    </w:p>
    <w:p w:rsidR="00170662" w:rsidRDefault="00170662" w:rsidP="002A4A3D">
      <w:pPr>
        <w:pStyle w:val="a3"/>
        <w:rPr>
          <w:kern w:val="0"/>
          <w:szCs w:val="24"/>
        </w:rPr>
      </w:pPr>
      <w:r>
        <w:rPr>
          <w:rFonts w:hint="eastAsia"/>
          <w:kern w:val="0"/>
          <w:szCs w:val="24"/>
        </w:rPr>
        <w:t>Notes: CCountry</w:t>
      </w:r>
    </w:p>
    <w:p w:rsidR="002A4A3D" w:rsidRDefault="002A4A3D" w:rsidP="002A4A3D">
      <w:pPr>
        <w:pStyle w:val="a3"/>
        <w:rPr>
          <w:kern w:val="0"/>
          <w:szCs w:val="24"/>
        </w:rPr>
      </w:pPr>
      <w:r>
        <w:rPr>
          <w:rFonts w:hint="eastAsia"/>
          <w:kern w:val="0"/>
          <w:szCs w:val="24"/>
        </w:rPr>
        <w:t xml:space="preserve">? </w:t>
      </w:r>
      <w:r>
        <w:rPr>
          <w:kern w:val="0"/>
          <w:szCs w:val="24"/>
        </w:rPr>
        <w:t>Du, Y.X.</w:t>
      </w:r>
      <w:r w:rsidR="005853A9">
        <w:rPr>
          <w:kern w:val="0"/>
          <w:szCs w:val="24"/>
        </w:rPr>
        <w:t xml:space="preserve"> and </w:t>
      </w:r>
      <w:r>
        <w:rPr>
          <w:kern w:val="0"/>
          <w:szCs w:val="24"/>
        </w:rPr>
        <w:t>Teixeira, A.A.C. (2012), A bibliometric account</w:t>
      </w:r>
      <w:r w:rsidR="00427468">
        <w:rPr>
          <w:kern w:val="0"/>
          <w:szCs w:val="24"/>
        </w:rPr>
        <w:t xml:space="preserve"> of </w:t>
      </w:r>
      <w:r>
        <w:rPr>
          <w:kern w:val="0"/>
          <w:szCs w:val="24"/>
        </w:rPr>
        <w:t xml:space="preserve">Chinese economics </w:t>
      </w:r>
      <w:r>
        <w:rPr>
          <w:kern w:val="0"/>
          <w:szCs w:val="24"/>
        </w:rPr>
        <w:lastRenderedPageBreak/>
        <w:t>research through the lens</w:t>
      </w:r>
      <w:r w:rsidR="00427468">
        <w:rPr>
          <w:kern w:val="0"/>
          <w:szCs w:val="24"/>
        </w:rPr>
        <w:t xml:space="preserve"> of </w:t>
      </w:r>
      <w:r>
        <w:rPr>
          <w:kern w:val="0"/>
          <w:szCs w:val="24"/>
        </w:rPr>
        <w:t xml:space="preserve">the </w:t>
      </w:r>
      <w:r>
        <w:rPr>
          <w:i/>
          <w:iCs/>
          <w:kern w:val="0"/>
          <w:szCs w:val="24"/>
        </w:rPr>
        <w:t>China Economic Review</w:t>
      </w:r>
      <w:r>
        <w:rPr>
          <w:kern w:val="0"/>
          <w:szCs w:val="24"/>
        </w:rPr>
        <w:t xml:space="preserve">. </w:t>
      </w:r>
      <w:r>
        <w:rPr>
          <w:i/>
          <w:iCs/>
          <w:kern w:val="0"/>
          <w:szCs w:val="24"/>
        </w:rPr>
        <w:t>China Economic Review</w:t>
      </w:r>
      <w:r>
        <w:rPr>
          <w:kern w:val="0"/>
          <w:szCs w:val="24"/>
        </w:rPr>
        <w:t xml:space="preserve">, </w:t>
      </w:r>
      <w:r>
        <w:rPr>
          <w:b/>
          <w:bCs/>
          <w:kern w:val="0"/>
          <w:szCs w:val="24"/>
        </w:rPr>
        <w:t>23</w:t>
      </w:r>
      <w:r>
        <w:rPr>
          <w:kern w:val="0"/>
          <w:szCs w:val="24"/>
        </w:rPr>
        <w:t xml:space="preserve"> (4), 743-762.</w:t>
      </w:r>
    </w:p>
    <w:p w:rsidR="002A4A3D" w:rsidRPr="00C73C58" w:rsidRDefault="002A4A3D" w:rsidP="002A4A3D">
      <w:pPr>
        <w:pStyle w:val="a3"/>
      </w:pPr>
      <w:r w:rsidRPr="00C73C58">
        <w:t xml:space="preserve">Full Text: </w:t>
      </w:r>
      <w:hyperlink r:id="rId208" w:history="1">
        <w:r w:rsidRPr="0046740F">
          <w:rPr>
            <w:rStyle w:val="a5"/>
          </w:rPr>
          <w:t>2012\Chi Wor Eco23, 743.pdf</w:t>
        </w:r>
      </w:hyperlink>
    </w:p>
    <w:p w:rsidR="002A4A3D" w:rsidRDefault="002A4A3D" w:rsidP="002A4A3D">
      <w:pPr>
        <w:pStyle w:val="a3"/>
        <w:rPr>
          <w:kern w:val="0"/>
          <w:szCs w:val="24"/>
        </w:rPr>
      </w:pPr>
      <w:r>
        <w:rPr>
          <w:kern w:val="0"/>
          <w:szCs w:val="24"/>
        </w:rPr>
        <w:t>Abstract: Very few studies on the assessment</w:t>
      </w:r>
      <w:r w:rsidR="005853A9">
        <w:rPr>
          <w:kern w:val="0"/>
          <w:szCs w:val="24"/>
        </w:rPr>
        <w:t xml:space="preserve"> and </w:t>
      </w:r>
      <w:r>
        <w:rPr>
          <w:kern w:val="0"/>
          <w:szCs w:val="24"/>
        </w:rPr>
        <w:t>evolution</w:t>
      </w:r>
      <w:r w:rsidR="00427468">
        <w:rPr>
          <w:kern w:val="0"/>
          <w:szCs w:val="24"/>
        </w:rPr>
        <w:t xml:space="preserve"> of </w:t>
      </w:r>
      <w:r>
        <w:rPr>
          <w:kern w:val="0"/>
          <w:szCs w:val="24"/>
        </w:rPr>
        <w:t>Chinese economics research draw on quantitative methods, namely bibliometrics. Bibliometrics is a powerful tool that helps to explore, organize</w:t>
      </w:r>
      <w:r w:rsidR="005853A9">
        <w:rPr>
          <w:kern w:val="0"/>
          <w:szCs w:val="24"/>
        </w:rPr>
        <w:t xml:space="preserve"> and </w:t>
      </w:r>
      <w:r>
        <w:rPr>
          <w:kern w:val="0"/>
          <w:szCs w:val="24"/>
        </w:rPr>
        <w:t>analyze large amounts</w:t>
      </w:r>
      <w:r w:rsidR="00427468">
        <w:rPr>
          <w:kern w:val="0"/>
          <w:szCs w:val="24"/>
        </w:rPr>
        <w:t xml:space="preserve"> of </w:t>
      </w:r>
      <w:r>
        <w:rPr>
          <w:kern w:val="0"/>
          <w:szCs w:val="24"/>
        </w:rPr>
        <w:t>information in a quantitative manner. Selecting the most important economic journal focusing on the Chinese economy - the China Economic Review (CER) - we classified</w:t>
      </w:r>
      <w:r w:rsidR="005853A9">
        <w:rPr>
          <w:kern w:val="0"/>
          <w:szCs w:val="24"/>
        </w:rPr>
        <w:t xml:space="preserve"> and </w:t>
      </w:r>
      <w:r>
        <w:rPr>
          <w:kern w:val="0"/>
          <w:szCs w:val="24"/>
        </w:rPr>
        <w:t>assessed all the (512) articles that have been published in CER from its founding (1989) to December 2010. Based on these articles,</w:t>
      </w:r>
      <w:r w:rsidR="005853A9">
        <w:rPr>
          <w:kern w:val="0"/>
          <w:szCs w:val="24"/>
        </w:rPr>
        <w:t xml:space="preserve"> and </w:t>
      </w:r>
      <w:r>
        <w:rPr>
          <w:kern w:val="0"/>
          <w:szCs w:val="24"/>
        </w:rPr>
        <w:t xml:space="preserve">undertaking an exploratory statistical analysis on three databases - a </w:t>
      </w:r>
      <w:r w:rsidR="0071223E">
        <w:rPr>
          <w:kern w:val="0"/>
          <w:szCs w:val="24"/>
        </w:rPr>
        <w:t>‘</w:t>
      </w:r>
      <w:r>
        <w:rPr>
          <w:kern w:val="0"/>
          <w:szCs w:val="24"/>
        </w:rPr>
        <w:t>bibliographic</w:t>
      </w:r>
      <w:r w:rsidR="0071223E">
        <w:rPr>
          <w:kern w:val="0"/>
          <w:szCs w:val="24"/>
        </w:rPr>
        <w:t>’</w:t>
      </w:r>
      <w:r>
        <w:rPr>
          <w:kern w:val="0"/>
          <w:szCs w:val="24"/>
        </w:rPr>
        <w:t xml:space="preserve"> database (512 articles), a </w:t>
      </w:r>
      <w:r w:rsidR="0071223E">
        <w:rPr>
          <w:kern w:val="0"/>
          <w:szCs w:val="24"/>
        </w:rPr>
        <w:t>‘</w:t>
      </w:r>
      <w:r>
        <w:rPr>
          <w:kern w:val="0"/>
          <w:szCs w:val="24"/>
        </w:rPr>
        <w:t>roots</w:t>
      </w:r>
      <w:r w:rsidR="0071223E">
        <w:rPr>
          <w:kern w:val="0"/>
          <w:szCs w:val="24"/>
        </w:rPr>
        <w:t>’</w:t>
      </w:r>
      <w:r>
        <w:rPr>
          <w:kern w:val="0"/>
          <w:szCs w:val="24"/>
        </w:rPr>
        <w:t xml:space="preserve"> database (over 10 tho</w:t>
      </w:r>
      <w:r w:rsidR="00D5664A">
        <w:rPr>
          <w:kern w:val="0"/>
          <w:szCs w:val="24"/>
        </w:rPr>
        <w:t>USA</w:t>
      </w:r>
      <w:r>
        <w:rPr>
          <w:kern w:val="0"/>
          <w:szCs w:val="24"/>
        </w:rPr>
        <w:t>nd citations),</w:t>
      </w:r>
      <w:r w:rsidR="005853A9">
        <w:rPr>
          <w:kern w:val="0"/>
          <w:szCs w:val="24"/>
        </w:rPr>
        <w:t xml:space="preserve"> and </w:t>
      </w:r>
      <w:r>
        <w:rPr>
          <w:kern w:val="0"/>
          <w:szCs w:val="24"/>
        </w:rPr>
        <w:t xml:space="preserve">an </w:t>
      </w:r>
      <w:r w:rsidR="0071223E">
        <w:rPr>
          <w:kern w:val="0"/>
          <w:szCs w:val="24"/>
        </w:rPr>
        <w:t>‘</w:t>
      </w:r>
      <w:r>
        <w:rPr>
          <w:kern w:val="0"/>
          <w:szCs w:val="24"/>
        </w:rPr>
        <w:t>influence</w:t>
      </w:r>
      <w:r w:rsidR="0071223E">
        <w:rPr>
          <w:kern w:val="0"/>
          <w:szCs w:val="24"/>
        </w:rPr>
        <w:t>’</w:t>
      </w:r>
      <w:r>
        <w:rPr>
          <w:kern w:val="0"/>
          <w:szCs w:val="24"/>
        </w:rPr>
        <w:t xml:space="preserve"> database (over 3 tho</w:t>
      </w:r>
      <w:r w:rsidR="00D5664A">
        <w:rPr>
          <w:kern w:val="0"/>
          <w:szCs w:val="24"/>
        </w:rPr>
        <w:t>USA</w:t>
      </w:r>
      <w:r>
        <w:rPr>
          <w:kern w:val="0"/>
          <w:szCs w:val="24"/>
        </w:rPr>
        <w:t xml:space="preserve">nd citations), we concluded that: 1) </w:t>
      </w:r>
      <w:r w:rsidR="0071223E">
        <w:rPr>
          <w:kern w:val="0"/>
          <w:szCs w:val="24"/>
        </w:rPr>
        <w:t>‘</w:t>
      </w:r>
      <w:r>
        <w:rPr>
          <w:kern w:val="0"/>
          <w:szCs w:val="24"/>
        </w:rPr>
        <w:t>Economic Development, Technological Change,</w:t>
      </w:r>
      <w:r w:rsidR="005853A9">
        <w:rPr>
          <w:kern w:val="0"/>
          <w:szCs w:val="24"/>
        </w:rPr>
        <w:t xml:space="preserve"> and </w:t>
      </w:r>
      <w:r>
        <w:rPr>
          <w:kern w:val="0"/>
          <w:szCs w:val="24"/>
        </w:rPr>
        <w:t>Growth</w:t>
      </w:r>
      <w:r w:rsidR="0071223E">
        <w:rPr>
          <w:kern w:val="0"/>
          <w:szCs w:val="24"/>
        </w:rPr>
        <w:t>’</w:t>
      </w:r>
      <w:r>
        <w:rPr>
          <w:kern w:val="0"/>
          <w:szCs w:val="24"/>
        </w:rPr>
        <w:t xml:space="preserve">: </w:t>
      </w:r>
      <w:r w:rsidR="0071223E">
        <w:rPr>
          <w:kern w:val="0"/>
          <w:szCs w:val="24"/>
        </w:rPr>
        <w:t>‘</w:t>
      </w:r>
      <w:r>
        <w:rPr>
          <w:kern w:val="0"/>
          <w:szCs w:val="24"/>
        </w:rPr>
        <w:t>Economic Systems</w:t>
      </w:r>
      <w:r w:rsidR="0071223E">
        <w:rPr>
          <w:kern w:val="0"/>
          <w:szCs w:val="24"/>
        </w:rPr>
        <w:t>’</w:t>
      </w:r>
      <w:r>
        <w:rPr>
          <w:kern w:val="0"/>
          <w:szCs w:val="24"/>
        </w:rPr>
        <w:t>,</w:t>
      </w:r>
      <w:r w:rsidR="005853A9">
        <w:rPr>
          <w:kern w:val="0"/>
          <w:szCs w:val="24"/>
        </w:rPr>
        <w:t xml:space="preserve"> and </w:t>
      </w:r>
      <w:r w:rsidR="0071223E">
        <w:rPr>
          <w:kern w:val="0"/>
          <w:szCs w:val="24"/>
        </w:rPr>
        <w:t>‘</w:t>
      </w:r>
      <w:r>
        <w:rPr>
          <w:kern w:val="0"/>
          <w:szCs w:val="24"/>
        </w:rPr>
        <w:t>International economics</w:t>
      </w:r>
      <w:r w:rsidR="0071223E">
        <w:rPr>
          <w:kern w:val="0"/>
          <w:szCs w:val="24"/>
        </w:rPr>
        <w:t>’</w:t>
      </w:r>
      <w:r>
        <w:rPr>
          <w:kern w:val="0"/>
          <w:szCs w:val="24"/>
        </w:rPr>
        <w:t xml:space="preserve"> are the most important topics for Chinese economics literature; 2) there is a trend in Chinese economics research for growing </w:t>
      </w:r>
      <w:r w:rsidR="0071223E">
        <w:rPr>
          <w:kern w:val="0"/>
          <w:szCs w:val="24"/>
        </w:rPr>
        <w:t>‘</w:t>
      </w:r>
      <w:r>
        <w:rPr>
          <w:kern w:val="0"/>
          <w:szCs w:val="24"/>
        </w:rPr>
        <w:t>rigor</w:t>
      </w:r>
      <w:r w:rsidR="0071223E">
        <w:rPr>
          <w:kern w:val="0"/>
          <w:szCs w:val="24"/>
        </w:rPr>
        <w:t>’</w:t>
      </w:r>
      <w:r>
        <w:rPr>
          <w:kern w:val="0"/>
          <w:szCs w:val="24"/>
        </w:rPr>
        <w:t>, associated to a noticeable rise in the weight</w:t>
      </w:r>
      <w:r w:rsidR="00427468">
        <w:rPr>
          <w:kern w:val="0"/>
          <w:szCs w:val="24"/>
        </w:rPr>
        <w:t xml:space="preserve"> of </w:t>
      </w:r>
      <w:r>
        <w:rPr>
          <w:kern w:val="0"/>
          <w:szCs w:val="24"/>
        </w:rPr>
        <w:t xml:space="preserve">formal/mathematical-based articles; 3) the </w:t>
      </w:r>
      <w:r w:rsidR="0071223E">
        <w:rPr>
          <w:kern w:val="0"/>
          <w:szCs w:val="24"/>
        </w:rPr>
        <w:t>‘</w:t>
      </w:r>
      <w:r>
        <w:rPr>
          <w:kern w:val="0"/>
          <w:szCs w:val="24"/>
        </w:rPr>
        <w:t>International economics</w:t>
      </w:r>
      <w:r w:rsidR="0071223E">
        <w:rPr>
          <w:kern w:val="0"/>
          <w:szCs w:val="24"/>
        </w:rPr>
        <w:t>’</w:t>
      </w:r>
      <w:r>
        <w:rPr>
          <w:kern w:val="0"/>
          <w:szCs w:val="24"/>
        </w:rPr>
        <w:t xml:space="preserve"> topic does not influence nor is it influenced by Chinese economics literature;</w:t>
      </w:r>
      <w:r w:rsidR="005853A9">
        <w:rPr>
          <w:kern w:val="0"/>
          <w:szCs w:val="24"/>
        </w:rPr>
        <w:t xml:space="preserve"> and </w:t>
      </w:r>
      <w:r>
        <w:rPr>
          <w:kern w:val="0"/>
          <w:szCs w:val="24"/>
        </w:rPr>
        <w:t>4) Chinese economics literature is characterized by a certain level</w:t>
      </w:r>
      <w:r w:rsidR="00427468">
        <w:rPr>
          <w:kern w:val="0"/>
          <w:szCs w:val="24"/>
        </w:rPr>
        <w:t xml:space="preserve"> of </w:t>
      </w:r>
      <w:r>
        <w:rPr>
          <w:kern w:val="0"/>
          <w:szCs w:val="24"/>
        </w:rPr>
        <w:t>endogamy, given that its range</w:t>
      </w:r>
      <w:r w:rsidR="00427468">
        <w:rPr>
          <w:kern w:val="0"/>
          <w:szCs w:val="24"/>
        </w:rPr>
        <w:t xml:space="preserve"> of </w:t>
      </w:r>
      <w:r>
        <w:rPr>
          <w:kern w:val="0"/>
          <w:szCs w:val="24"/>
        </w:rPr>
        <w:t>influence is rather concentrated (geographically) in China</w:t>
      </w:r>
      <w:r w:rsidR="005853A9">
        <w:rPr>
          <w:kern w:val="0"/>
          <w:szCs w:val="24"/>
        </w:rPr>
        <w:t xml:space="preserve"> and </w:t>
      </w:r>
      <w:r>
        <w:rPr>
          <w:kern w:val="0"/>
          <w:szCs w:val="24"/>
        </w:rPr>
        <w:t xml:space="preserve">the </w:t>
      </w:r>
      <w:r w:rsidR="00D5664A">
        <w:rPr>
          <w:kern w:val="0"/>
          <w:szCs w:val="24"/>
        </w:rPr>
        <w:t>USA</w:t>
      </w:r>
      <w:r>
        <w:rPr>
          <w:kern w:val="0"/>
          <w:szCs w:val="24"/>
        </w:rPr>
        <w:t>. (C) 2012 Elsevier Inc. All rights reserved.</w:t>
      </w:r>
    </w:p>
    <w:p w:rsidR="002A4A3D" w:rsidRDefault="002A4A3D" w:rsidP="002A4A3D">
      <w:pPr>
        <w:pStyle w:val="a3"/>
        <w:rPr>
          <w:kern w:val="0"/>
          <w:szCs w:val="24"/>
        </w:rPr>
      </w:pPr>
      <w:r>
        <w:rPr>
          <w:kern w:val="0"/>
          <w:szCs w:val="24"/>
        </w:rPr>
        <w:t>Keywords: Analysis, Assessment, Bibliographic, Bibliometric, Bibliometrics, China, China Economic Review, Chinese, Citations, Cocitation Analysis, Database, Databases, Ecological Economics, Economic, Economics, Economy, Evolution, Evolution</w:t>
      </w:r>
      <w:r w:rsidR="00427468">
        <w:rPr>
          <w:kern w:val="0"/>
          <w:szCs w:val="24"/>
        </w:rPr>
        <w:t xml:space="preserve"> of </w:t>
      </w:r>
      <w:r>
        <w:rPr>
          <w:kern w:val="0"/>
          <w:szCs w:val="24"/>
        </w:rPr>
        <w:t xml:space="preserve">Research, Foreign Direct-Investment, Information, International-Business, Journal, Literature, Marketing Journals, Methods, Quantitative Methods, Reforms, Regional Inequality, Relative Impacts, Research, Review, Rights, Statistical Analysis, Trend, </w:t>
      </w:r>
      <w:r w:rsidR="00D5664A">
        <w:rPr>
          <w:kern w:val="0"/>
          <w:szCs w:val="24"/>
        </w:rPr>
        <w:t>USA</w:t>
      </w:r>
      <w:r>
        <w:rPr>
          <w:kern w:val="0"/>
          <w:szCs w:val="24"/>
        </w:rPr>
        <w:t>, WTO Accession</w:t>
      </w:r>
    </w:p>
    <w:p w:rsidR="003474F2" w:rsidRPr="001A3D2B" w:rsidRDefault="003474F2" w:rsidP="003474F2">
      <w:pPr>
        <w:pStyle w:val="1"/>
      </w:pPr>
      <w:r w:rsidRPr="001A3D2B">
        <w:br w:type="page"/>
      </w:r>
      <w:bookmarkStart w:id="189" w:name="_Toc420814965"/>
      <w:r w:rsidRPr="001A3D2B">
        <w:lastRenderedPageBreak/>
        <w:t xml:space="preserve">Title: </w:t>
      </w:r>
      <w:smartTag w:uri="urn:schemas-microsoft-com:office:smarttags" w:element="place">
        <w:smartTag w:uri="urn:schemas-microsoft-com:office:smarttags" w:element="country-region">
          <w:r w:rsidRPr="001A3D2B">
            <w:rPr>
              <w:szCs w:val="12"/>
            </w:rPr>
            <w:t>China</w:t>
          </w:r>
        </w:smartTag>
      </w:smartTag>
      <w:r w:rsidRPr="001A3D2B">
        <w:rPr>
          <w:szCs w:val="12"/>
        </w:rPr>
        <w:t xml:space="preserve"> Medical Education Technology</w:t>
      </w:r>
      <w:bookmarkEnd w:id="189"/>
    </w:p>
    <w:p w:rsidR="003474F2" w:rsidRPr="001A3D2B" w:rsidRDefault="003474F2" w:rsidP="003474F2">
      <w:pPr>
        <w:pStyle w:val="12"/>
      </w:pPr>
      <w:r w:rsidRPr="001A3D2B">
        <w:t xml:space="preserve">Full Journal Title: </w:t>
      </w:r>
      <w:hyperlink r:id="rId209" w:history="1">
        <w:r w:rsidRPr="001A3D2B">
          <w:rPr>
            <w:rStyle w:val="a5"/>
          </w:rPr>
          <w:t>China Medical Education Technology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1004-5287</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rPr>
          <w:szCs w:val="12"/>
        </w:rPr>
        <w:t>Zhao, J.P., Wang, H.</w:t>
      </w:r>
      <w:r w:rsidR="005853A9">
        <w:rPr>
          <w:szCs w:val="12"/>
        </w:rPr>
        <w:t xml:space="preserve"> and </w:t>
      </w:r>
      <w:r w:rsidRPr="001A3D2B">
        <w:rPr>
          <w:szCs w:val="12"/>
        </w:rPr>
        <w:t>Feng, B.</w:t>
      </w:r>
      <w:r w:rsidRPr="001A3D2B">
        <w:t xml:space="preserve"> (2004), </w:t>
      </w:r>
      <w:r w:rsidRPr="001A3D2B">
        <w:rPr>
          <w:szCs w:val="12"/>
        </w:rPr>
        <w:t>Quantitative analysis</w:t>
      </w:r>
      <w:r w:rsidR="00427468">
        <w:rPr>
          <w:szCs w:val="12"/>
        </w:rPr>
        <w:t xml:space="preserve"> of </w:t>
      </w:r>
      <w:r w:rsidR="003A1917">
        <w:rPr>
          <w:szCs w:val="12"/>
        </w:rPr>
        <w:t xml:space="preserve">the </w:t>
      </w:r>
      <w:r w:rsidRPr="001A3D2B">
        <w:rPr>
          <w:szCs w:val="12"/>
        </w:rPr>
        <w:t>establishment</w:t>
      </w:r>
      <w:r w:rsidR="005853A9">
        <w:rPr>
          <w:szCs w:val="12"/>
        </w:rPr>
        <w:t xml:space="preserve"> and </w:t>
      </w:r>
      <w:r w:rsidRPr="001A3D2B">
        <w:rPr>
          <w:szCs w:val="12"/>
        </w:rPr>
        <w:t>development</w:t>
      </w:r>
      <w:r w:rsidR="00427468">
        <w:rPr>
          <w:szCs w:val="12"/>
        </w:rPr>
        <w:t xml:space="preserve"> of </w:t>
      </w:r>
      <w:r w:rsidRPr="001A3D2B">
        <w:rPr>
          <w:szCs w:val="12"/>
        </w:rPr>
        <w:t>shared resources</w:t>
      </w:r>
      <w:r w:rsidR="00427468">
        <w:rPr>
          <w:szCs w:val="12"/>
        </w:rPr>
        <w:t xml:space="preserve"> of </w:t>
      </w:r>
      <w:r w:rsidRPr="001A3D2B">
        <w:rPr>
          <w:szCs w:val="12"/>
        </w:rPr>
        <w:t>library information</w:t>
      </w:r>
      <w:r w:rsidRPr="001A3D2B">
        <w:t xml:space="preserve">. </w:t>
      </w:r>
      <w:smartTag w:uri="urn:schemas-microsoft-com:office:smarttags" w:element="place">
        <w:smartTag w:uri="urn:schemas-microsoft-com:office:smarttags" w:element="country-region">
          <w:r w:rsidRPr="001A3D2B">
            <w:rPr>
              <w:i/>
              <w:szCs w:val="12"/>
            </w:rPr>
            <w:t>China</w:t>
          </w:r>
        </w:smartTag>
      </w:smartTag>
      <w:r w:rsidRPr="001A3D2B">
        <w:rPr>
          <w:i/>
          <w:szCs w:val="12"/>
        </w:rPr>
        <w:t xml:space="preserve"> Medical Education Technology</w:t>
      </w:r>
      <w:r w:rsidRPr="001A3D2B">
        <w:t xml:space="preserve">, </w:t>
      </w:r>
      <w:r w:rsidRPr="001A3D2B">
        <w:rPr>
          <w:b/>
          <w:bCs/>
        </w:rPr>
        <w:t>18</w:t>
      </w:r>
      <w:r w:rsidRPr="001A3D2B">
        <w:t xml:space="preserve"> (4), 203-206.</w:t>
      </w:r>
    </w:p>
    <w:p w:rsidR="003474F2" w:rsidRPr="001A3D2B" w:rsidRDefault="003474F2" w:rsidP="003474F2">
      <w:pPr>
        <w:pStyle w:val="a3"/>
      </w:pPr>
      <w:r w:rsidRPr="001A3D2B">
        <w:t xml:space="preserve">Full Text: </w:t>
      </w:r>
      <w:hyperlink r:id="rId210" w:history="1">
        <w:r w:rsidRPr="001A3D2B">
          <w:rPr>
            <w:rStyle w:val="a5"/>
            <w:szCs w:val="12"/>
          </w:rPr>
          <w:t>2004\Chi Med Edu Tec18, 203.pdf</w:t>
        </w:r>
      </w:hyperlink>
    </w:p>
    <w:p w:rsidR="003474F2" w:rsidRPr="001A3D2B" w:rsidRDefault="003474F2" w:rsidP="003474F2">
      <w:pPr>
        <w:pStyle w:val="a3"/>
      </w:pPr>
      <w:r w:rsidRPr="001A3D2B">
        <w:t>Abstract: After retrieving</w:t>
      </w:r>
      <w:r w:rsidR="003A1917">
        <w:t xml:space="preserve"> the </w:t>
      </w:r>
      <w:r w:rsidRPr="001A3D2B">
        <w:t>articles published during years 1987</w:t>
      </w:r>
      <w:r w:rsidRPr="001A3D2B">
        <w:rPr>
          <w:szCs w:val="21"/>
        </w:rPr>
        <w:t>～</w:t>
      </w:r>
      <w:r w:rsidRPr="001A3D2B">
        <w:t>2002 concerning</w:t>
      </w:r>
      <w:r w:rsidR="003A1917">
        <w:t xml:space="preserve"> the </w:t>
      </w:r>
      <w:r w:rsidRPr="001A3D2B">
        <w:t>establishment</w:t>
      </w:r>
      <w:r w:rsidR="00427468">
        <w:t xml:space="preserve"> of </w:t>
      </w:r>
      <w:r w:rsidRPr="001A3D2B">
        <w:t>network</w:t>
      </w:r>
      <w:r w:rsidR="00427468">
        <w:t xml:space="preserve"> of </w:t>
      </w:r>
      <w:r w:rsidRPr="001A3D2B">
        <w:t>shared library resources, we made a quantitative analysis</w:t>
      </w:r>
      <w:r w:rsidR="00427468">
        <w:t xml:space="preserve"> of </w:t>
      </w:r>
      <w:r w:rsidR="003A1917">
        <w:t xml:space="preserve">the </w:t>
      </w:r>
      <w:r w:rsidRPr="001A3D2B">
        <w:t>process</w:t>
      </w:r>
      <w:r w:rsidR="00427468">
        <w:t xml:space="preserve"> of </w:t>
      </w:r>
      <w:r w:rsidRPr="001A3D2B">
        <w:t>its advancement, formation</w:t>
      </w:r>
      <w:r w:rsidR="005853A9">
        <w:t xml:space="preserve"> and </w:t>
      </w:r>
      <w:r w:rsidRPr="001A3D2B">
        <w:t>promotion. We then assessed</w:t>
      </w:r>
      <w:r w:rsidR="003A1917">
        <w:t xml:space="preserve"> the </w:t>
      </w:r>
      <w:r w:rsidRPr="001A3D2B">
        <w:t>development</w:t>
      </w:r>
      <w:r w:rsidR="00427468">
        <w:t xml:space="preserve"> of </w:t>
      </w:r>
      <w:r w:rsidR="003A1917">
        <w:t xml:space="preserve">the </w:t>
      </w:r>
      <w:r w:rsidRPr="001A3D2B">
        <w:t>network, summarized experience</w:t>
      </w:r>
      <w:r w:rsidR="005853A9">
        <w:t xml:space="preserve"> and </w:t>
      </w:r>
      <w:r w:rsidRPr="001A3D2B">
        <w:t>discussed our realistic problems. We suggested that efforts should be made to standardize</w:t>
      </w:r>
      <w:r w:rsidR="003A1917">
        <w:t xml:space="preserve"> the </w:t>
      </w:r>
      <w:r w:rsidRPr="001A3D2B">
        <w:t>network</w:t>
      </w:r>
      <w:r w:rsidR="00427468">
        <w:t xml:space="preserve"> of </w:t>
      </w:r>
      <w:r w:rsidRPr="001A3D2B">
        <w:t>shared literature resources through systemic</w:t>
      </w:r>
      <w:r w:rsidR="005853A9">
        <w:t xml:space="preserve"> and </w:t>
      </w:r>
      <w:r w:rsidRPr="001A3D2B">
        <w:t>unified regulation</w:t>
      </w:r>
      <w:r w:rsidR="005853A9">
        <w:t xml:space="preserve"> and </w:t>
      </w:r>
      <w:r w:rsidRPr="001A3D2B">
        <w:t>coordination so as to promote</w:t>
      </w:r>
      <w:r w:rsidR="003A1917">
        <w:t xml:space="preserve"> the </w:t>
      </w:r>
      <w:r w:rsidRPr="001A3D2B">
        <w:t>development</w:t>
      </w:r>
      <w:r w:rsidR="00427468">
        <w:t xml:space="preserve"> of </w:t>
      </w:r>
      <w:r w:rsidRPr="001A3D2B">
        <w:t xml:space="preserve">shared literature resources in </w:t>
      </w:r>
      <w:smartTag w:uri="urn:schemas-microsoft-com:office:smarttags" w:element="place">
        <w:smartTag w:uri="urn:schemas-microsoft-com:office:smarttags" w:element="country-region">
          <w:r w:rsidRPr="001A3D2B">
            <w:t>China</w:t>
          </w:r>
        </w:smartTag>
      </w:smartTag>
      <w:r w:rsidRPr="001A3D2B">
        <w:t>.</w:t>
      </w:r>
    </w:p>
    <w:p w:rsidR="003474F2" w:rsidRPr="001A3D2B" w:rsidRDefault="003474F2" w:rsidP="003474F2">
      <w:pPr>
        <w:pStyle w:val="a3"/>
      </w:pPr>
      <w:r w:rsidRPr="001A3D2B">
        <w:t>Keywords:</w:t>
      </w:r>
      <w:r w:rsidRPr="001A3D2B">
        <w:rPr>
          <w:szCs w:val="12"/>
        </w:rPr>
        <w:t xml:space="preserve"> Bibliometric Statistical Analysis, Library Information, Shared Resources, Internet Environment</w:t>
      </w:r>
    </w:p>
    <w:p w:rsidR="00ED1FD0" w:rsidRPr="00C73C58" w:rsidRDefault="00ED1FD0" w:rsidP="00ED1FD0">
      <w:pPr>
        <w:pStyle w:val="1"/>
      </w:pPr>
      <w:r w:rsidRPr="00C73C58">
        <w:br w:type="page"/>
      </w:r>
      <w:bookmarkStart w:id="190" w:name="_Toc420814966"/>
      <w:r w:rsidRPr="00C73C58">
        <w:lastRenderedPageBreak/>
        <w:t xml:space="preserve">Title: </w:t>
      </w:r>
      <w:r>
        <w:t>China Science &amp; Technology Resources Review</w:t>
      </w:r>
      <w:bookmarkEnd w:id="190"/>
    </w:p>
    <w:p w:rsidR="00ED1FD0" w:rsidRPr="00C73C58" w:rsidRDefault="00ED1FD0" w:rsidP="00ED1FD0">
      <w:pPr>
        <w:pStyle w:val="12"/>
      </w:pPr>
      <w:r w:rsidRPr="00C73C58">
        <w:t xml:space="preserve">Full Journal Title: </w:t>
      </w:r>
      <w:r>
        <w:t>China Science &amp; Technology Resources Review</w:t>
      </w:r>
    </w:p>
    <w:p w:rsidR="00ED1FD0" w:rsidRPr="00C73C58" w:rsidRDefault="00ED1FD0" w:rsidP="00ED1FD0">
      <w:pPr>
        <w:pStyle w:val="12"/>
      </w:pPr>
      <w:r w:rsidRPr="00C73C58">
        <w:t xml:space="preserve">ISO Abbreviated Title: </w:t>
      </w:r>
    </w:p>
    <w:p w:rsidR="00ED1FD0" w:rsidRPr="00C73C58" w:rsidRDefault="00ED1FD0" w:rsidP="00ED1FD0">
      <w:pPr>
        <w:pStyle w:val="12"/>
      </w:pPr>
      <w:r w:rsidRPr="00C73C58">
        <w:t xml:space="preserve">JCR Abbreviated Title: </w:t>
      </w:r>
    </w:p>
    <w:p w:rsidR="00ED1FD0" w:rsidRPr="00C73C58" w:rsidRDefault="00ED1FD0" w:rsidP="00ED1FD0">
      <w:pPr>
        <w:pStyle w:val="12"/>
      </w:pPr>
      <w:r w:rsidRPr="00C73C58">
        <w:t xml:space="preserve">ISSN: </w:t>
      </w:r>
      <w:r>
        <w:rPr>
          <w:rFonts w:hint="eastAsia"/>
        </w:rPr>
        <w:t>1674-1544</w:t>
      </w:r>
    </w:p>
    <w:p w:rsidR="00ED1FD0" w:rsidRPr="00C73C58" w:rsidRDefault="00ED1FD0" w:rsidP="00ED1FD0">
      <w:pPr>
        <w:pStyle w:val="12"/>
      </w:pPr>
      <w:r w:rsidRPr="00C73C58">
        <w:t xml:space="preserve">Issues/Year: </w:t>
      </w:r>
    </w:p>
    <w:p w:rsidR="00ED1FD0" w:rsidRPr="00C73C58" w:rsidRDefault="00ED1FD0" w:rsidP="00ED1FD0">
      <w:pPr>
        <w:pStyle w:val="12"/>
      </w:pPr>
      <w:r w:rsidRPr="00C73C58">
        <w:t xml:space="preserve">Journal Country/Territory: </w:t>
      </w:r>
    </w:p>
    <w:p w:rsidR="00ED1FD0" w:rsidRPr="00C73C58" w:rsidRDefault="00ED1FD0" w:rsidP="00ED1FD0">
      <w:pPr>
        <w:pStyle w:val="12"/>
      </w:pPr>
      <w:r w:rsidRPr="00C73C58">
        <w:t xml:space="preserve">Language: </w:t>
      </w:r>
    </w:p>
    <w:p w:rsidR="00ED1FD0" w:rsidRPr="00C73C58" w:rsidRDefault="00ED1FD0" w:rsidP="00ED1FD0">
      <w:pPr>
        <w:pStyle w:val="12"/>
      </w:pPr>
      <w:r w:rsidRPr="00C73C58">
        <w:t xml:space="preserve">Publisher: </w:t>
      </w:r>
    </w:p>
    <w:p w:rsidR="00ED1FD0" w:rsidRPr="00C73C58" w:rsidRDefault="00ED1FD0" w:rsidP="00ED1FD0">
      <w:pPr>
        <w:pStyle w:val="12"/>
      </w:pPr>
      <w:r w:rsidRPr="00C73C58">
        <w:t xml:space="preserve">Publisher Address: </w:t>
      </w:r>
    </w:p>
    <w:p w:rsidR="00ED1FD0" w:rsidRPr="00C73C58" w:rsidRDefault="00ED1FD0" w:rsidP="00ED1FD0">
      <w:pPr>
        <w:pStyle w:val="12"/>
      </w:pPr>
      <w:r w:rsidRPr="00C73C58">
        <w:t xml:space="preserve">Subject Categories: </w:t>
      </w:r>
    </w:p>
    <w:p w:rsidR="00ED1FD0" w:rsidRPr="00C73C58" w:rsidRDefault="00ED1FD0" w:rsidP="00ED1FD0">
      <w:pPr>
        <w:pStyle w:val="12"/>
      </w:pPr>
      <w:r w:rsidRPr="00C73C58">
        <w:t xml:space="preserve">: Impact Factor </w:t>
      </w:r>
    </w:p>
    <w:p w:rsidR="00ED1FD0" w:rsidRPr="00C73C58" w:rsidRDefault="00ED1FD0" w:rsidP="00ED1FD0">
      <w:pPr>
        <w:pStyle w:val="a3"/>
      </w:pPr>
      <w:r w:rsidRPr="00C73C58">
        <w:t xml:space="preserve">? </w:t>
      </w:r>
      <w:r>
        <w:t>Yang</w:t>
      </w:r>
      <w:r>
        <w:rPr>
          <w:rFonts w:hint="eastAsia"/>
        </w:rPr>
        <w:t>,</w:t>
      </w:r>
      <w:r>
        <w:t xml:space="preserve"> S</w:t>
      </w:r>
      <w:r>
        <w:rPr>
          <w:rFonts w:hint="eastAsia"/>
        </w:rPr>
        <w:t>.L.</w:t>
      </w:r>
      <w:r w:rsidR="005853A9">
        <w:rPr>
          <w:rFonts w:hint="eastAsia"/>
        </w:rPr>
        <w:t xml:space="preserve"> and </w:t>
      </w:r>
      <w:r>
        <w:t>Han</w:t>
      </w:r>
      <w:r>
        <w:rPr>
          <w:rFonts w:hint="eastAsia"/>
        </w:rPr>
        <w:t>,</w:t>
      </w:r>
      <w:r>
        <w:t xml:space="preserve"> R</w:t>
      </w:r>
      <w:r>
        <w:rPr>
          <w:rFonts w:hint="eastAsia"/>
        </w:rPr>
        <w:t>.Z.</w:t>
      </w:r>
      <w:r w:rsidRPr="00C73C58">
        <w:t xml:space="preserve"> (20</w:t>
      </w:r>
      <w:r>
        <w:rPr>
          <w:rFonts w:hint="eastAsia"/>
        </w:rPr>
        <w:t>11</w:t>
      </w:r>
      <w:r w:rsidRPr="00C73C58">
        <w:t xml:space="preserve">), </w:t>
      </w:r>
      <w:r>
        <w:t>Distributions, hotspots</w:t>
      </w:r>
      <w:r w:rsidR="005853A9">
        <w:t xml:space="preserve"> and </w:t>
      </w:r>
      <w:r>
        <w:t>fronts</w:t>
      </w:r>
      <w:r w:rsidR="00427468">
        <w:t xml:space="preserve"> of </w:t>
      </w:r>
      <w:r>
        <w:t>research on citation analysis</w:t>
      </w:r>
      <w:r w:rsidRPr="00C73C58">
        <w:t xml:space="preserve">. </w:t>
      </w:r>
      <w:r w:rsidRPr="00BA7840">
        <w:rPr>
          <w:i/>
        </w:rPr>
        <w:t>China Science &amp; Technology Resources Review</w:t>
      </w:r>
      <w:r w:rsidRPr="00C73C58">
        <w:t xml:space="preserve">, </w:t>
      </w:r>
      <w:r>
        <w:rPr>
          <w:rFonts w:hint="eastAsia"/>
          <w:b/>
          <w:szCs w:val="19"/>
        </w:rPr>
        <w:t>43</w:t>
      </w:r>
      <w:r w:rsidRPr="00C73C58">
        <w:rPr>
          <w:szCs w:val="19"/>
        </w:rPr>
        <w:t xml:space="preserve"> (</w:t>
      </w:r>
      <w:r>
        <w:rPr>
          <w:rFonts w:hint="eastAsia"/>
          <w:szCs w:val="19"/>
        </w:rPr>
        <w:t>4</w:t>
      </w:r>
      <w:r w:rsidRPr="00C73C58">
        <w:rPr>
          <w:szCs w:val="19"/>
        </w:rPr>
        <w:t xml:space="preserve">), </w:t>
      </w:r>
      <w:r>
        <w:rPr>
          <w:rFonts w:hint="eastAsia"/>
        </w:rPr>
        <w:t>47-56</w:t>
      </w:r>
      <w:r w:rsidRPr="00C73C58">
        <w:t>.</w:t>
      </w:r>
    </w:p>
    <w:p w:rsidR="00ED1FD0" w:rsidRDefault="00ED1FD0" w:rsidP="00ED1FD0">
      <w:pPr>
        <w:pStyle w:val="a3"/>
      </w:pPr>
      <w:r w:rsidRPr="00C73C58">
        <w:t xml:space="preserve">Full Text: </w:t>
      </w:r>
      <w:hyperlink r:id="rId211" w:history="1">
        <w:r w:rsidRPr="00BA7840">
          <w:rPr>
            <w:rStyle w:val="a5"/>
          </w:rPr>
          <w:t>2011\Chi Sci Tec Res Rev43, 47.pdf</w:t>
        </w:r>
      </w:hyperlink>
    </w:p>
    <w:p w:rsidR="00ED1FD0" w:rsidRDefault="00ED1FD0" w:rsidP="00ED1FD0">
      <w:pPr>
        <w:pStyle w:val="a3"/>
      </w:pPr>
      <w:r>
        <w:t xml:space="preserve">Abstract: Using knowledge visualization software CiteSpace II, 2863 papers on citation analysis collected during 1975-2010 by </w:t>
      </w:r>
      <w:r w:rsidR="00D5664A">
        <w:t>Web</w:t>
      </w:r>
      <w:r w:rsidR="00427468">
        <w:t xml:space="preserve"> of </w:t>
      </w:r>
      <w:r w:rsidR="00D5664A">
        <w:t>Science</w:t>
      </w:r>
      <w:r>
        <w:t xml:space="preserve"> (SCI-E, </w:t>
      </w:r>
      <w:r w:rsidR="00D5664A">
        <w:t>SSCI</w:t>
      </w:r>
      <w:r>
        <w:t>) are studied</w:t>
      </w:r>
      <w:r w:rsidR="00A37C1D">
        <w:t>. The</w:t>
      </w:r>
      <w:r w:rsidR="003A1917">
        <w:t xml:space="preserve"> </w:t>
      </w:r>
      <w:r>
        <w:t>distributions</w:t>
      </w:r>
      <w:r w:rsidR="00427468">
        <w:t xml:space="preserve"> of </w:t>
      </w:r>
      <w:r>
        <w:t>citation analysis research categoried by time, region, institution, journal</w:t>
      </w:r>
      <w:r w:rsidR="005853A9">
        <w:t xml:space="preserve"> and </w:t>
      </w:r>
      <w:r>
        <w:t>discipline, as well as</w:t>
      </w:r>
      <w:r w:rsidR="003A1917">
        <w:t xml:space="preserve"> the </w:t>
      </w:r>
      <w:r>
        <w:t>representatives</w:t>
      </w:r>
      <w:r w:rsidR="00427468">
        <w:t xml:space="preserve"> of </w:t>
      </w:r>
      <w:r>
        <w:t>each discipline</w:t>
      </w:r>
      <w:r w:rsidR="005853A9">
        <w:t xml:space="preserve"> and </w:t>
      </w:r>
      <w:r>
        <w:t>their typical research works are analyzed to intuitively reveal</w:t>
      </w:r>
      <w:r w:rsidR="003A1917">
        <w:t xml:space="preserve"> the </w:t>
      </w:r>
      <w:r>
        <w:t>current status</w:t>
      </w:r>
      <w:r w:rsidR="00427468">
        <w:t xml:space="preserve"> of </w:t>
      </w:r>
      <w:r w:rsidR="003A1917">
        <w:t xml:space="preserve">the </w:t>
      </w:r>
      <w:r>
        <w:t>citation analysis research. Research hotspots are identified by analyzing</w:t>
      </w:r>
      <w:r w:rsidR="003A1917">
        <w:t xml:space="preserve"> the </w:t>
      </w:r>
      <w:r>
        <w:t>appearance frequency</w:t>
      </w:r>
      <w:r w:rsidR="005853A9">
        <w:t xml:space="preserve"> and </w:t>
      </w:r>
      <w:r>
        <w:t>co-appearance</w:t>
      </w:r>
      <w:r w:rsidR="00427468">
        <w:t xml:space="preserve"> of </w:t>
      </w:r>
      <w:r w:rsidR="003A1917">
        <w:t xml:space="preserve">the </w:t>
      </w:r>
      <w:r>
        <w:t>keywords. Research fronts are depicted on</w:t>
      </w:r>
      <w:r w:rsidR="003A1917">
        <w:t xml:space="preserve"> the </w:t>
      </w:r>
      <w:r>
        <w:t>basis</w:t>
      </w:r>
      <w:r w:rsidR="00427468">
        <w:t xml:space="preserve"> of </w:t>
      </w:r>
      <w:r w:rsidR="003A1917">
        <w:t xml:space="preserve">the </w:t>
      </w:r>
      <w:r>
        <w:t>developing trend</w:t>
      </w:r>
      <w:r w:rsidR="00427468">
        <w:t xml:space="preserve"> of </w:t>
      </w:r>
      <w:r w:rsidR="003A1917">
        <w:t xml:space="preserve">the </w:t>
      </w:r>
      <w:r>
        <w:t>subject words.</w:t>
      </w:r>
    </w:p>
    <w:p w:rsidR="00ED1FD0" w:rsidRPr="00BA7840" w:rsidRDefault="00ED1FD0" w:rsidP="00ED1FD0">
      <w:pPr>
        <w:pStyle w:val="a3"/>
      </w:pPr>
      <w:r>
        <w:t>Keywords: Citation Analysis, CiteSpace, Knowledge Visualization, Research Hotspot, Research Front</w:t>
      </w:r>
    </w:p>
    <w:p w:rsidR="003474F2" w:rsidRPr="001A3D2B" w:rsidRDefault="003474F2" w:rsidP="003474F2">
      <w:pPr>
        <w:pStyle w:val="1"/>
      </w:pPr>
      <w:r w:rsidRPr="001A3D2B">
        <w:br w:type="page"/>
      </w:r>
      <w:bookmarkStart w:id="191" w:name="_Toc420814967"/>
      <w:r w:rsidRPr="001A3D2B">
        <w:lastRenderedPageBreak/>
        <w:t>Title: Chinese Agricultural Science Bulletin</w:t>
      </w:r>
      <w:bookmarkEnd w:id="191"/>
    </w:p>
    <w:p w:rsidR="003474F2" w:rsidRPr="001A3D2B" w:rsidRDefault="003474F2" w:rsidP="003474F2">
      <w:pPr>
        <w:pStyle w:val="12"/>
      </w:pPr>
      <w:r w:rsidRPr="001A3D2B">
        <w:t xml:space="preserve">Full Journal Title: </w:t>
      </w:r>
      <w:hyperlink r:id="rId212" w:history="1">
        <w:r w:rsidRPr="001A3D2B">
          <w:rPr>
            <w:rStyle w:val="a5"/>
          </w:rPr>
          <w:t>Chinese Agricultural Science Bulletin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Zhang, Y., Sun, Y.G. (2007), Bibliometric analysis</w:t>
      </w:r>
      <w:r w:rsidR="00427468">
        <w:t xml:space="preserve"> of </w:t>
      </w:r>
      <w:r w:rsidRPr="001A3D2B">
        <w:t>pear literatures published during</w:t>
      </w:r>
      <w:r w:rsidR="003A1917">
        <w:t xml:space="preserve"> the </w:t>
      </w:r>
      <w:r w:rsidRPr="001A3D2B">
        <w:t>period</w:t>
      </w:r>
      <w:r w:rsidR="00427468">
        <w:t xml:space="preserve"> of </w:t>
      </w:r>
      <w:r w:rsidRPr="001A3D2B">
        <w:t xml:space="preserve">1994—2004. </w:t>
      </w:r>
      <w:r w:rsidRPr="001A3D2B">
        <w:rPr>
          <w:i/>
        </w:rPr>
        <w:t>Chinese Agricultural Science Bulletin</w:t>
      </w:r>
      <w:r w:rsidRPr="001A3D2B">
        <w:t xml:space="preserve">, </w:t>
      </w:r>
      <w:r w:rsidRPr="001A3D2B">
        <w:rPr>
          <w:b/>
          <w:szCs w:val="19"/>
        </w:rPr>
        <w:t>23</w:t>
      </w:r>
      <w:r w:rsidRPr="001A3D2B">
        <w:rPr>
          <w:szCs w:val="19"/>
        </w:rPr>
        <w:t xml:space="preserve"> (3), 448-453</w:t>
      </w:r>
      <w:r w:rsidRPr="001A3D2B">
        <w:t>.</w:t>
      </w:r>
    </w:p>
    <w:p w:rsidR="003474F2" w:rsidRPr="001A3D2B" w:rsidRDefault="003474F2" w:rsidP="003474F2">
      <w:pPr>
        <w:pStyle w:val="a3"/>
      </w:pPr>
      <w:r w:rsidRPr="001A3D2B">
        <w:t xml:space="preserve">Full Text: </w:t>
      </w:r>
      <w:hyperlink r:id="rId213" w:history="1">
        <w:r w:rsidRPr="001A3D2B">
          <w:rPr>
            <w:rStyle w:val="a5"/>
          </w:rPr>
          <w:t>2007\Chi Agr Sci Bul23, 448.pdf</w:t>
        </w:r>
      </w:hyperlink>
    </w:p>
    <w:p w:rsidR="003474F2" w:rsidRPr="001A3D2B" w:rsidRDefault="003474F2" w:rsidP="003474F2">
      <w:pPr>
        <w:pStyle w:val="a3"/>
      </w:pPr>
      <w:r w:rsidRPr="001A3D2B">
        <w:t xml:space="preserve">Abstract: 13 Pyrus species are native to </w:t>
      </w:r>
      <w:smartTag w:uri="urn:schemas-microsoft-com:office:smarttags" w:element="place">
        <w:smartTag w:uri="urn:schemas-microsoft-com:office:smarttags" w:element="country-region">
          <w:r w:rsidRPr="001A3D2B">
            <w:t>China</w:t>
          </w:r>
        </w:smartTag>
      </w:smartTag>
      <w:r w:rsidRPr="001A3D2B">
        <w:t>,</w:t>
      </w:r>
      <w:r w:rsidR="003A1917">
        <w:t xml:space="preserve"> the </w:t>
      </w:r>
      <w:r w:rsidRPr="001A3D2B">
        <w:t>main commercial cultivations attribute to P. pyrifolia (Chinese sand pear), P. ussuriensis (Ussurian pear), P. bretschneideri (Chinese white pear), P. sikiangensis (Xinjiang pear)</w:t>
      </w:r>
      <w:r w:rsidR="005853A9">
        <w:t xml:space="preserve"> and </w:t>
      </w:r>
      <w:r w:rsidRPr="001A3D2B">
        <w:t>P. communis. P. pashia has fewness cultivations. Pear are planted in 30 provinces</w:t>
      </w:r>
      <w:r w:rsidR="00427468">
        <w:t xml:space="preserve"> of </w:t>
      </w:r>
      <w:r w:rsidRPr="001A3D2B">
        <w:t>China,</w:t>
      </w:r>
      <w:r w:rsidR="005853A9">
        <w:t xml:space="preserve"> and </w:t>
      </w:r>
      <w:r w:rsidRPr="001A3D2B">
        <w:t>its production is next to apple. Bibliometric analysis</w:t>
      </w:r>
      <w:r w:rsidR="00427468">
        <w:t xml:space="preserve"> of </w:t>
      </w:r>
      <w:r w:rsidRPr="001A3D2B">
        <w:t>Pear literatures published in professional journals during</w:t>
      </w:r>
      <w:r w:rsidR="003A1917">
        <w:t xml:space="preserve"> the </w:t>
      </w:r>
      <w:r w:rsidRPr="001A3D2B">
        <w:t>period from 1994 to 2002 showed</w:t>
      </w:r>
      <w:r w:rsidR="003A1917">
        <w:t xml:space="preserve"> the </w:t>
      </w:r>
      <w:r w:rsidRPr="001A3D2B">
        <w:t>the gross volume</w:t>
      </w:r>
      <w:r w:rsidR="00427468">
        <w:t xml:space="preserve"> of </w:t>
      </w:r>
      <w:r w:rsidRPr="001A3D2B">
        <w:t>literat</w:t>
      </w:r>
    </w:p>
    <w:p w:rsidR="003474F2" w:rsidRPr="001A3D2B" w:rsidRDefault="003474F2" w:rsidP="003474F2">
      <w:pPr>
        <w:pStyle w:val="a3"/>
      </w:pPr>
      <w:r w:rsidRPr="001A3D2B">
        <w:t>Keywords: Pear, Literature, Bibiometric Analysis, Core Author, Core Journal</w:t>
      </w:r>
    </w:p>
    <w:p w:rsidR="003474F2" w:rsidRPr="001A3D2B" w:rsidRDefault="003474F2" w:rsidP="003474F2">
      <w:pPr>
        <w:pStyle w:val="a3"/>
      </w:pPr>
      <w:r w:rsidRPr="001A3D2B">
        <w:t>? Zhang, Y., Qin Z.H.</w:t>
      </w:r>
      <w:r w:rsidR="005853A9">
        <w:t xml:space="preserve"> and </w:t>
      </w:r>
      <w:r w:rsidRPr="001A3D2B">
        <w:t>Shen, G.N. (2007), Bibliometric analysis</w:t>
      </w:r>
      <w:r w:rsidR="00427468">
        <w:t xml:space="preserve"> of </w:t>
      </w:r>
      <w:r w:rsidRPr="001A3D2B">
        <w:t>gingkgo literatures published during</w:t>
      </w:r>
      <w:r w:rsidR="003A1917">
        <w:t xml:space="preserve"> the </w:t>
      </w:r>
      <w:r w:rsidRPr="001A3D2B">
        <w:t>period</w:t>
      </w:r>
      <w:r w:rsidR="00427468">
        <w:t xml:space="preserve"> of </w:t>
      </w:r>
      <w:r w:rsidRPr="001A3D2B">
        <w:t xml:space="preserve">1994-2004. </w:t>
      </w:r>
      <w:r w:rsidRPr="001A3D2B">
        <w:rPr>
          <w:i/>
        </w:rPr>
        <w:t>Chinese Agricultural Science Bulletin</w:t>
      </w:r>
      <w:r w:rsidRPr="001A3D2B">
        <w:t xml:space="preserve">, </w:t>
      </w:r>
      <w:r w:rsidRPr="001A3D2B">
        <w:rPr>
          <w:b/>
          <w:szCs w:val="19"/>
        </w:rPr>
        <w:t>23</w:t>
      </w:r>
      <w:r w:rsidRPr="001A3D2B">
        <w:rPr>
          <w:szCs w:val="19"/>
        </w:rPr>
        <w:t xml:space="preserve"> (4), 419-425</w:t>
      </w:r>
      <w:r w:rsidRPr="001A3D2B">
        <w:t>.</w:t>
      </w:r>
    </w:p>
    <w:p w:rsidR="003474F2" w:rsidRPr="001A3D2B" w:rsidRDefault="003474F2" w:rsidP="003474F2">
      <w:pPr>
        <w:pStyle w:val="a3"/>
      </w:pPr>
      <w:r w:rsidRPr="001A3D2B">
        <w:t xml:space="preserve">Full Text: </w:t>
      </w:r>
      <w:hyperlink r:id="rId214" w:history="1">
        <w:r w:rsidRPr="001A3D2B">
          <w:rPr>
            <w:rStyle w:val="a5"/>
          </w:rPr>
          <w:t>2007\Chi Agr Sci Bul23, 419.pdf</w:t>
        </w:r>
      </w:hyperlink>
    </w:p>
    <w:p w:rsidR="003474F2" w:rsidRPr="001A3D2B" w:rsidRDefault="003474F2" w:rsidP="003474F2">
      <w:pPr>
        <w:pStyle w:val="a3"/>
      </w:pPr>
      <w:r w:rsidRPr="001A3D2B">
        <w:t xml:space="preserve">Abstract: Gingkgo is native to </w:t>
      </w:r>
      <w:smartTag w:uri="urn:schemas-microsoft-com:office:smarttags" w:element="place">
        <w:smartTag w:uri="urn:schemas-microsoft-com:office:smarttags" w:element="country-region">
          <w:r w:rsidRPr="001A3D2B">
            <w:t>China</w:t>
          </w:r>
        </w:smartTag>
      </w:smartTag>
      <w:r w:rsidRPr="001A3D2B">
        <w:t>, has 1 family, 1 genus</w:t>
      </w:r>
      <w:r w:rsidR="005853A9">
        <w:t xml:space="preserve"> and </w:t>
      </w:r>
      <w:r w:rsidRPr="001A3D2B">
        <w:t>1 species, but has some mutations, e. g. G. biloba var. pendula Carr., G. biloba var. lacinia Carr., G. biloba var. aurea Beiss., G. biloba var varie Carr., G. biloba var. epiphylla Mak.</w:t>
      </w:r>
      <w:r w:rsidR="005853A9">
        <w:t xml:space="preserve"> and </w:t>
      </w:r>
      <w:r w:rsidRPr="001A3D2B">
        <w:t xml:space="preserve">G. biloba var. heterophylla T. </w:t>
      </w:r>
      <w:smartTag w:uri="urn:schemas-microsoft-com:office:smarttags" w:element="PersonName">
        <w:smartTagPr>
          <w:attr w:name="ProductID" w:val="B. Chao"/>
        </w:smartTagPr>
        <w:r w:rsidRPr="001A3D2B">
          <w:t>B. Chao</w:t>
        </w:r>
      </w:smartTag>
      <w:r w:rsidRPr="001A3D2B">
        <w:t xml:space="preserve"> et Z. X. Chen. Commercial cultivation began in</w:t>
      </w:r>
      <w:r w:rsidR="003A1917">
        <w:t xml:space="preserve"> the </w:t>
      </w:r>
      <w:r w:rsidRPr="001A3D2B">
        <w:t>seventies</w:t>
      </w:r>
      <w:r w:rsidR="00427468">
        <w:t xml:space="preserve"> of </w:t>
      </w:r>
      <w:r w:rsidR="003A1917">
        <w:t xml:space="preserve">the </w:t>
      </w:r>
      <w:r w:rsidRPr="001A3D2B">
        <w:t>20th century, but cultivation</w:t>
      </w:r>
      <w:r w:rsidR="005853A9">
        <w:t xml:space="preserve"> and </w:t>
      </w:r>
      <w:r w:rsidRPr="001A3D2B">
        <w:t>research has been developed rapidly. Bibliometric analysis</w:t>
      </w:r>
      <w:r w:rsidR="00427468">
        <w:t xml:space="preserve"> of </w:t>
      </w:r>
      <w:r w:rsidRPr="001A3D2B">
        <w:t>gingkgo literatures published in professional journals during</w:t>
      </w:r>
      <w:r w:rsidR="003A1917">
        <w:t xml:space="preserve"> the </w:t>
      </w:r>
      <w:r w:rsidRPr="001A3D2B">
        <w:t>perio</w:t>
      </w:r>
    </w:p>
    <w:p w:rsidR="003474F2" w:rsidRPr="001A3D2B" w:rsidRDefault="003474F2" w:rsidP="003474F2">
      <w:pPr>
        <w:pStyle w:val="a3"/>
      </w:pPr>
      <w:r w:rsidRPr="001A3D2B">
        <w:t>Keywords: Gingkgo, Literature, Bibiometric Analysis, Core Author, Core Journal</w:t>
      </w:r>
    </w:p>
    <w:p w:rsidR="003010E0" w:rsidRPr="00C73C58" w:rsidRDefault="003010E0" w:rsidP="003010E0">
      <w:pPr>
        <w:pStyle w:val="1"/>
      </w:pPr>
      <w:r w:rsidRPr="00C73C58">
        <w:br w:type="page"/>
      </w:r>
      <w:bookmarkStart w:id="192" w:name="_Toc337070797"/>
      <w:bookmarkStart w:id="193" w:name="_Toc420814968"/>
      <w:r w:rsidRPr="00C73C58">
        <w:lastRenderedPageBreak/>
        <w:t xml:space="preserve">Title: </w:t>
      </w:r>
      <w:r>
        <w:t>Chinese Geographical Science</w:t>
      </w:r>
      <w:bookmarkEnd w:id="192"/>
      <w:bookmarkEnd w:id="193"/>
    </w:p>
    <w:p w:rsidR="003010E0" w:rsidRPr="00C73C58" w:rsidRDefault="003010E0" w:rsidP="003010E0">
      <w:pPr>
        <w:pStyle w:val="12"/>
      </w:pPr>
      <w:r w:rsidRPr="00C73C58">
        <w:t xml:space="preserve">Full Journal Title: </w:t>
      </w:r>
      <w:r>
        <w:t>Chinese Geographical Science</w:t>
      </w:r>
    </w:p>
    <w:p w:rsidR="003010E0" w:rsidRPr="00C73C58" w:rsidRDefault="003010E0" w:rsidP="003010E0">
      <w:pPr>
        <w:pStyle w:val="12"/>
      </w:pPr>
      <w:r w:rsidRPr="00C73C58">
        <w:t xml:space="preserve">ISO Abbreviated Title: </w:t>
      </w:r>
    </w:p>
    <w:p w:rsidR="003010E0" w:rsidRPr="00C73C58" w:rsidRDefault="003010E0" w:rsidP="003010E0">
      <w:pPr>
        <w:pStyle w:val="12"/>
      </w:pPr>
      <w:r w:rsidRPr="00C73C58">
        <w:t xml:space="preserve">JCR Abbreviated Title: </w:t>
      </w:r>
    </w:p>
    <w:p w:rsidR="003010E0" w:rsidRPr="00C73C58" w:rsidRDefault="003010E0" w:rsidP="003010E0">
      <w:pPr>
        <w:pStyle w:val="12"/>
      </w:pPr>
      <w:r w:rsidRPr="00C73C58">
        <w:t xml:space="preserve">ISSN: </w:t>
      </w:r>
    </w:p>
    <w:p w:rsidR="003010E0" w:rsidRPr="00C73C58" w:rsidRDefault="003010E0" w:rsidP="003010E0">
      <w:pPr>
        <w:pStyle w:val="12"/>
      </w:pPr>
      <w:r w:rsidRPr="00C73C58">
        <w:t xml:space="preserve">Issues/Year: </w:t>
      </w:r>
    </w:p>
    <w:p w:rsidR="003010E0" w:rsidRPr="00C73C58" w:rsidRDefault="003010E0" w:rsidP="003010E0">
      <w:pPr>
        <w:pStyle w:val="12"/>
      </w:pPr>
      <w:r w:rsidRPr="00C73C58">
        <w:t xml:space="preserve">Journal Country/Territory: </w:t>
      </w:r>
    </w:p>
    <w:p w:rsidR="003010E0" w:rsidRPr="00C73C58" w:rsidRDefault="003010E0" w:rsidP="003010E0">
      <w:pPr>
        <w:pStyle w:val="12"/>
      </w:pPr>
      <w:r w:rsidRPr="00C73C58">
        <w:t xml:space="preserve">Language: </w:t>
      </w:r>
    </w:p>
    <w:p w:rsidR="003010E0" w:rsidRPr="00C73C58" w:rsidRDefault="003010E0" w:rsidP="003010E0">
      <w:pPr>
        <w:pStyle w:val="12"/>
      </w:pPr>
      <w:r w:rsidRPr="00C73C58">
        <w:t xml:space="preserve">Publisher: </w:t>
      </w:r>
    </w:p>
    <w:p w:rsidR="003010E0" w:rsidRPr="00C73C58" w:rsidRDefault="003010E0" w:rsidP="003010E0">
      <w:pPr>
        <w:pStyle w:val="12"/>
      </w:pPr>
      <w:r w:rsidRPr="00C73C58">
        <w:t xml:space="preserve">Publisher Address: </w:t>
      </w:r>
    </w:p>
    <w:p w:rsidR="003010E0" w:rsidRPr="00C73C58" w:rsidRDefault="003010E0" w:rsidP="003010E0">
      <w:pPr>
        <w:pStyle w:val="12"/>
      </w:pPr>
      <w:r w:rsidRPr="00C73C58">
        <w:t xml:space="preserve">Subject Categories: </w:t>
      </w:r>
    </w:p>
    <w:p w:rsidR="003010E0" w:rsidRPr="00C73C58" w:rsidRDefault="003010E0" w:rsidP="003010E0">
      <w:pPr>
        <w:pStyle w:val="12"/>
      </w:pPr>
      <w:r w:rsidRPr="00C73C58">
        <w:t xml:space="preserve">: Impact Factor </w:t>
      </w:r>
    </w:p>
    <w:p w:rsidR="003010E0" w:rsidRDefault="003010E0" w:rsidP="003010E0">
      <w:pPr>
        <w:pStyle w:val="a3"/>
        <w:rPr>
          <w:kern w:val="0"/>
        </w:rPr>
      </w:pPr>
      <w:r>
        <w:rPr>
          <w:rFonts w:hint="eastAsia"/>
          <w:kern w:val="0"/>
        </w:rPr>
        <w:t xml:space="preserve">? </w:t>
      </w:r>
      <w:r>
        <w:rPr>
          <w:kern w:val="0"/>
        </w:rPr>
        <w:t>Lu, L.C.</w:t>
      </w:r>
      <w:r w:rsidR="005853A9">
        <w:rPr>
          <w:kern w:val="0"/>
        </w:rPr>
        <w:t xml:space="preserve"> and </w:t>
      </w:r>
      <w:r>
        <w:rPr>
          <w:kern w:val="0"/>
        </w:rPr>
        <w:t>Huang, R. (2012), Urban hierarchy</w:t>
      </w:r>
      <w:r w:rsidR="00427468">
        <w:rPr>
          <w:kern w:val="0"/>
        </w:rPr>
        <w:t xml:space="preserve"> of </w:t>
      </w:r>
      <w:r>
        <w:rPr>
          <w:kern w:val="0"/>
        </w:rPr>
        <w:t>innovation capability</w:t>
      </w:r>
      <w:r w:rsidR="005853A9">
        <w:rPr>
          <w:kern w:val="0"/>
        </w:rPr>
        <w:t xml:space="preserve"> and </w:t>
      </w:r>
      <w:r>
        <w:rPr>
          <w:kern w:val="0"/>
        </w:rPr>
        <w:t>inter-city linkages</w:t>
      </w:r>
      <w:r w:rsidR="00427468">
        <w:rPr>
          <w:kern w:val="0"/>
        </w:rPr>
        <w:t xml:space="preserve"> of </w:t>
      </w:r>
      <w:r>
        <w:rPr>
          <w:kern w:val="0"/>
        </w:rPr>
        <w:t xml:space="preserve">knowledge in post-reform China. </w:t>
      </w:r>
      <w:r>
        <w:rPr>
          <w:i/>
          <w:iCs/>
          <w:kern w:val="0"/>
        </w:rPr>
        <w:t>Chinese Geographical Science</w:t>
      </w:r>
      <w:r>
        <w:rPr>
          <w:kern w:val="0"/>
        </w:rPr>
        <w:t xml:space="preserve">, </w:t>
      </w:r>
      <w:r>
        <w:rPr>
          <w:b/>
          <w:bCs/>
          <w:kern w:val="0"/>
        </w:rPr>
        <w:t>22</w:t>
      </w:r>
      <w:r>
        <w:rPr>
          <w:kern w:val="0"/>
        </w:rPr>
        <w:t xml:space="preserve"> (5), 602-616.</w:t>
      </w:r>
    </w:p>
    <w:p w:rsidR="003010E0" w:rsidRDefault="003010E0" w:rsidP="003010E0">
      <w:pPr>
        <w:pStyle w:val="a3"/>
      </w:pPr>
      <w:r w:rsidRPr="00C73C58">
        <w:t xml:space="preserve">Full Text: </w:t>
      </w:r>
      <w:hyperlink r:id="rId215" w:history="1">
        <w:r w:rsidRPr="003010E0">
          <w:rPr>
            <w:rStyle w:val="a5"/>
          </w:rPr>
          <w:t>2012\Chi Geo Sci22, 602.pdf</w:t>
        </w:r>
      </w:hyperlink>
    </w:p>
    <w:p w:rsidR="003010E0" w:rsidRDefault="003010E0" w:rsidP="003010E0">
      <w:pPr>
        <w:pStyle w:val="a3"/>
        <w:rPr>
          <w:kern w:val="0"/>
        </w:rPr>
      </w:pPr>
      <w:r>
        <w:rPr>
          <w:kern w:val="0"/>
        </w:rPr>
        <w:t>Abstract:</w:t>
      </w:r>
      <w:r w:rsidR="003A1917">
        <w:rPr>
          <w:kern w:val="0"/>
        </w:rPr>
        <w:t xml:space="preserve"> the </w:t>
      </w:r>
      <w:r>
        <w:rPr>
          <w:kern w:val="0"/>
        </w:rPr>
        <w:t>2000s has witnessed increasing interests in cities</w:t>
      </w:r>
      <w:r w:rsidR="0071223E">
        <w:rPr>
          <w:kern w:val="0"/>
        </w:rPr>
        <w:t>’</w:t>
      </w:r>
      <w:r>
        <w:rPr>
          <w:kern w:val="0"/>
        </w:rPr>
        <w:t xml:space="preserve"> role</w:t>
      </w:r>
      <w:r w:rsidR="00427468">
        <w:rPr>
          <w:kern w:val="0"/>
        </w:rPr>
        <w:t xml:space="preserve"> of </w:t>
      </w:r>
      <w:r>
        <w:rPr>
          <w:kern w:val="0"/>
        </w:rPr>
        <w:t>innovation in</w:t>
      </w:r>
      <w:r w:rsidR="003A1917">
        <w:rPr>
          <w:kern w:val="0"/>
        </w:rPr>
        <w:t xml:space="preserve"> the </w:t>
      </w:r>
      <w:r>
        <w:rPr>
          <w:kern w:val="0"/>
        </w:rPr>
        <w:t>era</w:t>
      </w:r>
      <w:r w:rsidR="00427468">
        <w:rPr>
          <w:kern w:val="0"/>
        </w:rPr>
        <w:t xml:space="preserve"> of </w:t>
      </w:r>
      <w:r>
        <w:rPr>
          <w:kern w:val="0"/>
        </w:rPr>
        <w:t>knowledge-based economy. Compared with substantial empirical analysis on</w:t>
      </w:r>
      <w:r w:rsidR="003A1917">
        <w:rPr>
          <w:kern w:val="0"/>
        </w:rPr>
        <w:t xml:space="preserve"> the </w:t>
      </w:r>
      <w:r>
        <w:rPr>
          <w:kern w:val="0"/>
        </w:rPr>
        <w:t>world city hierarchy</w:t>
      </w:r>
      <w:r w:rsidR="00427468">
        <w:rPr>
          <w:kern w:val="0"/>
        </w:rPr>
        <w:t xml:space="preserve"> of </w:t>
      </w:r>
      <w:r>
        <w:rPr>
          <w:kern w:val="0"/>
        </w:rPr>
        <w:t>innovation, this paper attempts to examine</w:t>
      </w:r>
      <w:r w:rsidR="003A1917">
        <w:rPr>
          <w:kern w:val="0"/>
        </w:rPr>
        <w:t xml:space="preserve"> the </w:t>
      </w:r>
      <w:r>
        <w:rPr>
          <w:kern w:val="0"/>
        </w:rPr>
        <w:t>national urban hierarchy</w:t>
      </w:r>
      <w:r w:rsidR="00427468">
        <w:rPr>
          <w:kern w:val="0"/>
        </w:rPr>
        <w:t xml:space="preserve"> of </w:t>
      </w:r>
      <w:r>
        <w:rPr>
          <w:kern w:val="0"/>
        </w:rPr>
        <w:t>innovation capability in China, in terms</w:t>
      </w:r>
      <w:r w:rsidR="00427468">
        <w:rPr>
          <w:kern w:val="0"/>
        </w:rPr>
        <w:t xml:space="preserve"> of </w:t>
      </w:r>
      <w:r>
        <w:rPr>
          <w:kern w:val="0"/>
        </w:rPr>
        <w:t>ranking systems, spatial pattern</w:t>
      </w:r>
      <w:r w:rsidR="005853A9">
        <w:rPr>
          <w:kern w:val="0"/>
        </w:rPr>
        <w:t xml:space="preserve"> and </w:t>
      </w:r>
      <w:r>
        <w:rPr>
          <w:kern w:val="0"/>
        </w:rPr>
        <w:t>inter-city linkages</w:t>
      </w:r>
      <w:r w:rsidR="00427468">
        <w:rPr>
          <w:kern w:val="0"/>
        </w:rPr>
        <w:t xml:space="preserve"> of </w:t>
      </w:r>
      <w:r>
        <w:rPr>
          <w:kern w:val="0"/>
        </w:rPr>
        <w:t>knowledge during</w:t>
      </w:r>
      <w:r w:rsidR="003A1917">
        <w:rPr>
          <w:kern w:val="0"/>
        </w:rPr>
        <w:t xml:space="preserve"> the </w:t>
      </w:r>
      <w:r>
        <w:rPr>
          <w:kern w:val="0"/>
        </w:rPr>
        <w:t>post-reform period since</w:t>
      </w:r>
      <w:r w:rsidR="003A1917">
        <w:rPr>
          <w:kern w:val="0"/>
        </w:rPr>
        <w:t xml:space="preserve"> the </w:t>
      </w:r>
      <w:r>
        <w:rPr>
          <w:kern w:val="0"/>
        </w:rPr>
        <w:t>late 1970s. Based on quantitative analysis such as principal component factor analysis</w:t>
      </w:r>
      <w:r w:rsidR="005853A9">
        <w:rPr>
          <w:kern w:val="0"/>
        </w:rPr>
        <w:t xml:space="preserve"> and </w:t>
      </w:r>
      <w:r>
        <w:rPr>
          <w:kern w:val="0"/>
        </w:rPr>
        <w:t>clustering analysis, this paper identifies</w:t>
      </w:r>
      <w:r w:rsidR="003A1917">
        <w:rPr>
          <w:kern w:val="0"/>
        </w:rPr>
        <w:t xml:space="preserve"> the </w:t>
      </w:r>
      <w:r>
        <w:rPr>
          <w:kern w:val="0"/>
        </w:rPr>
        <w:t>five-tier hierarchy</w:t>
      </w:r>
      <w:r w:rsidR="00427468">
        <w:rPr>
          <w:kern w:val="0"/>
        </w:rPr>
        <w:t xml:space="preserve"> of </w:t>
      </w:r>
      <w:r>
        <w:rPr>
          <w:kern w:val="0"/>
        </w:rPr>
        <w:t>innovation, which is headed by Beijing</w:t>
      </w:r>
      <w:r w:rsidR="005853A9">
        <w:rPr>
          <w:kern w:val="0"/>
        </w:rPr>
        <w:t xml:space="preserve"> and </w:t>
      </w:r>
      <w:r>
        <w:rPr>
          <w:kern w:val="0"/>
        </w:rPr>
        <w:t>Shanghai, followed by</w:t>
      </w:r>
      <w:r w:rsidR="003A1917">
        <w:rPr>
          <w:kern w:val="0"/>
        </w:rPr>
        <w:t xml:space="preserve"> the </w:t>
      </w:r>
      <w:r>
        <w:rPr>
          <w:kern w:val="0"/>
        </w:rPr>
        <w:t>capital cities</w:t>
      </w:r>
      <w:r w:rsidR="00427468">
        <w:rPr>
          <w:kern w:val="0"/>
        </w:rPr>
        <w:t xml:space="preserve"> of </w:t>
      </w:r>
      <w:r>
        <w:rPr>
          <w:kern w:val="0"/>
        </w:rPr>
        <w:t>each province</w:t>
      </w:r>
      <w:r w:rsidR="005853A9">
        <w:rPr>
          <w:kern w:val="0"/>
        </w:rPr>
        <w:t xml:space="preserve"> and </w:t>
      </w:r>
      <w:r>
        <w:rPr>
          <w:kern w:val="0"/>
        </w:rPr>
        <w:t>regional centre cities</w:t>
      </w:r>
      <w:r w:rsidR="00A37C1D">
        <w:rPr>
          <w:kern w:val="0"/>
        </w:rPr>
        <w:t>. The</w:t>
      </w:r>
      <w:r w:rsidR="003A1917">
        <w:rPr>
          <w:kern w:val="0"/>
        </w:rPr>
        <w:t xml:space="preserve"> </w:t>
      </w:r>
      <w:r>
        <w:rPr>
          <w:kern w:val="0"/>
        </w:rPr>
        <w:t>development</w:t>
      </w:r>
      <w:r w:rsidR="00427468">
        <w:rPr>
          <w:kern w:val="0"/>
        </w:rPr>
        <w:t xml:space="preserve"> of </w:t>
      </w:r>
      <w:r>
        <w:rPr>
          <w:kern w:val="0"/>
        </w:rPr>
        <w:t>China</w:t>
      </w:r>
      <w:r w:rsidR="0071223E">
        <w:rPr>
          <w:kern w:val="0"/>
        </w:rPr>
        <w:t>’</w:t>
      </w:r>
      <w:r>
        <w:rPr>
          <w:kern w:val="0"/>
        </w:rPr>
        <w:t>s urban hierarchy</w:t>
      </w:r>
      <w:r w:rsidR="00427468">
        <w:rPr>
          <w:kern w:val="0"/>
        </w:rPr>
        <w:t xml:space="preserve"> of </w:t>
      </w:r>
      <w:r>
        <w:rPr>
          <w:kern w:val="0"/>
        </w:rPr>
        <w:t>innovation capability has been driven by such factors as</w:t>
      </w:r>
      <w:r w:rsidR="003A1917">
        <w:rPr>
          <w:kern w:val="0"/>
        </w:rPr>
        <w:t xml:space="preserve"> the </w:t>
      </w:r>
      <w:r>
        <w:rPr>
          <w:kern w:val="0"/>
        </w:rPr>
        <w:t>scale</w:t>
      </w:r>
      <w:r w:rsidR="00427468">
        <w:rPr>
          <w:kern w:val="0"/>
        </w:rPr>
        <w:t xml:space="preserve"> of </w:t>
      </w:r>
      <w:r>
        <w:rPr>
          <w:kern w:val="0"/>
        </w:rPr>
        <w:t>innovation, scientific scale, innovation potential</w:t>
      </w:r>
      <w:r w:rsidR="005853A9">
        <w:rPr>
          <w:kern w:val="0"/>
        </w:rPr>
        <w:t xml:space="preserve"> and </w:t>
      </w:r>
      <w:r>
        <w:rPr>
          <w:kern w:val="0"/>
        </w:rPr>
        <w:t>innovation environment</w:t>
      </w:r>
      <w:r w:rsidR="00A37C1D">
        <w:rPr>
          <w:kern w:val="0"/>
        </w:rPr>
        <w:t>. The</w:t>
      </w:r>
      <w:r w:rsidR="003A1917">
        <w:rPr>
          <w:kern w:val="0"/>
        </w:rPr>
        <w:t xml:space="preserve"> </w:t>
      </w:r>
      <w:r>
        <w:rPr>
          <w:kern w:val="0"/>
        </w:rPr>
        <w:t>paper further investigates</w:t>
      </w:r>
      <w:r w:rsidR="003A1917">
        <w:rPr>
          <w:kern w:val="0"/>
        </w:rPr>
        <w:t xml:space="preserve"> the </w:t>
      </w:r>
      <w:r>
        <w:rPr>
          <w:kern w:val="0"/>
        </w:rPr>
        <w:t>inter-city linkages</w:t>
      </w:r>
      <w:r w:rsidR="00427468">
        <w:rPr>
          <w:kern w:val="0"/>
        </w:rPr>
        <w:t xml:space="preserve"> of </w:t>
      </w:r>
      <w:r>
        <w:rPr>
          <w:kern w:val="0"/>
        </w:rPr>
        <w:t>knowledge measured by</w:t>
      </w:r>
      <w:r w:rsidR="003A1917">
        <w:rPr>
          <w:kern w:val="0"/>
        </w:rPr>
        <w:t xml:space="preserve"> the </w:t>
      </w:r>
      <w:r>
        <w:rPr>
          <w:kern w:val="0"/>
        </w:rPr>
        <w:t>number</w:t>
      </w:r>
      <w:r w:rsidR="00427468">
        <w:rPr>
          <w:kern w:val="0"/>
        </w:rPr>
        <w:t xml:space="preserve"> of </w:t>
      </w:r>
      <w:r>
        <w:rPr>
          <w:kern w:val="0"/>
        </w:rPr>
        <w:t>co-authored papers among</w:t>
      </w:r>
      <w:r w:rsidR="003A1917">
        <w:rPr>
          <w:kern w:val="0"/>
        </w:rPr>
        <w:t xml:space="preserve"> the </w:t>
      </w:r>
      <w:r>
        <w:rPr>
          <w:kern w:val="0"/>
        </w:rPr>
        <w:t>cities. Beijing is positioned in</w:t>
      </w:r>
      <w:r w:rsidR="003A1917">
        <w:rPr>
          <w:kern w:val="0"/>
        </w:rPr>
        <w:t xml:space="preserve"> the </w:t>
      </w:r>
      <w:r>
        <w:rPr>
          <w:kern w:val="0"/>
        </w:rPr>
        <w:t>central position</w:t>
      </w:r>
      <w:r w:rsidR="00427468">
        <w:rPr>
          <w:kern w:val="0"/>
        </w:rPr>
        <w:t xml:space="preserve"> of </w:t>
      </w:r>
      <w:r w:rsidR="003A1917">
        <w:rPr>
          <w:kern w:val="0"/>
        </w:rPr>
        <w:t xml:space="preserve">the </w:t>
      </w:r>
      <w:r>
        <w:rPr>
          <w:kern w:val="0"/>
        </w:rPr>
        <w:t>knowledge diffusion</w:t>
      </w:r>
      <w:r w:rsidR="005853A9">
        <w:rPr>
          <w:kern w:val="0"/>
        </w:rPr>
        <w:t xml:space="preserve"> and </w:t>
      </w:r>
      <w:r>
        <w:rPr>
          <w:kern w:val="0"/>
        </w:rPr>
        <w:t>knowledge cooperation innovation. More knowledge diffusion among high level cities has occurred than that among</w:t>
      </w:r>
      <w:r w:rsidR="003A1917">
        <w:rPr>
          <w:kern w:val="0"/>
        </w:rPr>
        <w:t xml:space="preserve"> the </w:t>
      </w:r>
      <w:r>
        <w:rPr>
          <w:kern w:val="0"/>
        </w:rPr>
        <w:t>low level cities as well as between</w:t>
      </w:r>
      <w:r w:rsidR="003A1917">
        <w:rPr>
          <w:kern w:val="0"/>
        </w:rPr>
        <w:t xml:space="preserve"> the </w:t>
      </w:r>
      <w:r>
        <w:rPr>
          <w:kern w:val="0"/>
        </w:rPr>
        <w:t>low level cities</w:t>
      </w:r>
      <w:r w:rsidR="005853A9">
        <w:rPr>
          <w:kern w:val="0"/>
        </w:rPr>
        <w:t xml:space="preserve"> and </w:t>
      </w:r>
      <w:r>
        <w:rPr>
          <w:kern w:val="0"/>
        </w:rPr>
        <w:t>high level cities,</w:t>
      </w:r>
      <w:r w:rsidR="005853A9">
        <w:rPr>
          <w:kern w:val="0"/>
        </w:rPr>
        <w:t xml:space="preserve"> and </w:t>
      </w:r>
      <w:r>
        <w:rPr>
          <w:kern w:val="0"/>
        </w:rPr>
        <w:t>provincial capital cities</w:t>
      </w:r>
      <w:r w:rsidR="005853A9">
        <w:rPr>
          <w:kern w:val="0"/>
        </w:rPr>
        <w:t xml:space="preserve"> and </w:t>
      </w:r>
      <w:r w:rsidR="003A1917">
        <w:rPr>
          <w:kern w:val="0"/>
        </w:rPr>
        <w:t xml:space="preserve">the </w:t>
      </w:r>
      <w:r>
        <w:rPr>
          <w:kern w:val="0"/>
        </w:rPr>
        <w:t>regional central cities.</w:t>
      </w:r>
    </w:p>
    <w:p w:rsidR="003010E0" w:rsidRDefault="003010E0" w:rsidP="003010E0">
      <w:pPr>
        <w:pStyle w:val="a3"/>
        <w:rPr>
          <w:kern w:val="0"/>
        </w:rPr>
      </w:pPr>
      <w:r>
        <w:rPr>
          <w:kern w:val="0"/>
        </w:rPr>
        <w:t>Keywords: Analysis, Bibliometric Indicators, China, Chinese Cities, Cities, Clustering, Cooperation, Development, Diffusion, Economy, Environment, Factor Analysis, Globalization, Innovation, Innovation Capability, Inter-City Linkages</w:t>
      </w:r>
      <w:r w:rsidR="00427468">
        <w:rPr>
          <w:kern w:val="0"/>
        </w:rPr>
        <w:t xml:space="preserve"> of </w:t>
      </w:r>
      <w:r>
        <w:rPr>
          <w:kern w:val="0"/>
        </w:rPr>
        <w:t xml:space="preserve">Knowledge, Knowledge, Knowledge-Based, Networks, Papers, Pattern, Potential, Quantitative </w:t>
      </w:r>
      <w:r>
        <w:rPr>
          <w:kern w:val="0"/>
        </w:rPr>
        <w:lastRenderedPageBreak/>
        <w:t>Analysis, Ranking, Regional, Role, Scale, Systems, Urban, Urban Hierarchy, World</w:t>
      </w:r>
    </w:p>
    <w:p w:rsidR="00BB404A" w:rsidRDefault="00BB404A" w:rsidP="00BB404A">
      <w:pPr>
        <w:pStyle w:val="a3"/>
        <w:rPr>
          <w:kern w:val="0"/>
        </w:rPr>
      </w:pPr>
      <w:r>
        <w:rPr>
          <w:rFonts w:hint="eastAsia"/>
          <w:kern w:val="0"/>
        </w:rPr>
        <w:t xml:space="preserve">? </w:t>
      </w:r>
      <w:r>
        <w:rPr>
          <w:kern w:val="0"/>
        </w:rPr>
        <w:t xml:space="preserve">Zeng, C., Liu, Y.L., Liu, Y.F. and Qiu, L.Q. (2014), Urban sprawl and related problems: Bibliometric analysis and refined analysis from 1991 to 2011. </w:t>
      </w:r>
      <w:r>
        <w:rPr>
          <w:i/>
          <w:iCs/>
          <w:kern w:val="0"/>
        </w:rPr>
        <w:t>Chinese Geographical Science</w:t>
      </w:r>
      <w:r>
        <w:rPr>
          <w:kern w:val="0"/>
        </w:rPr>
        <w:t xml:space="preserve">, </w:t>
      </w:r>
      <w:r>
        <w:rPr>
          <w:b/>
          <w:bCs/>
          <w:kern w:val="0"/>
        </w:rPr>
        <w:t>24</w:t>
      </w:r>
      <w:r>
        <w:rPr>
          <w:kern w:val="0"/>
        </w:rPr>
        <w:t xml:space="preserve"> (2), 245-257.</w:t>
      </w:r>
    </w:p>
    <w:p w:rsidR="00BB404A" w:rsidRDefault="00BB404A" w:rsidP="00BB404A">
      <w:pPr>
        <w:pStyle w:val="a3"/>
      </w:pPr>
      <w:r w:rsidRPr="00C73C58">
        <w:t xml:space="preserve">Full Text: </w:t>
      </w:r>
      <w:hyperlink r:id="rId216" w:history="1">
        <w:r w:rsidRPr="0065087F">
          <w:rPr>
            <w:rStyle w:val="a5"/>
          </w:rPr>
          <w:t>2014\Chi Geo Sci24, 245.pdf</w:t>
        </w:r>
      </w:hyperlink>
    </w:p>
    <w:p w:rsidR="00BB404A" w:rsidRDefault="00BB404A" w:rsidP="00BB404A">
      <w:pPr>
        <w:pStyle w:val="a3"/>
        <w:rPr>
          <w:kern w:val="0"/>
        </w:rPr>
      </w:pPr>
      <w:r>
        <w:rPr>
          <w:kern w:val="0"/>
        </w:rPr>
        <w:t>Abstract: To shed light on the general patterns and trends in urban sprawl research, and to provide reference for future study, bibliometric analysis and refined analysis are conducted for publications in this area from 1991 to 2011</w:t>
      </w:r>
      <w:r w:rsidR="00A37C1D">
        <w:rPr>
          <w:kern w:val="0"/>
        </w:rPr>
        <w:t>. The</w:t>
      </w:r>
      <w:r>
        <w:rPr>
          <w:kern w:val="0"/>
        </w:rPr>
        <w:t xml:space="preserve"> general publication output, the global geographical distribution</w:t>
      </w:r>
      <w:r w:rsidR="00427468">
        <w:rPr>
          <w:kern w:val="0"/>
        </w:rPr>
        <w:t xml:space="preserve"> of </w:t>
      </w:r>
      <w:r>
        <w:rPr>
          <w:kern w:val="0"/>
        </w:rPr>
        <w:t>the authors, the funding and institutions involved, the research areas, and the source titles are analyzed and discussed. Scholars in the United States and China have produced most</w:t>
      </w:r>
      <w:r w:rsidR="00427468">
        <w:rPr>
          <w:kern w:val="0"/>
        </w:rPr>
        <w:t xml:space="preserve"> of </w:t>
      </w:r>
      <w:r>
        <w:rPr>
          <w:kern w:val="0"/>
        </w:rPr>
        <w:t>the documents in urban sprawl and these two countries are also the largest contributors in terms</w:t>
      </w:r>
      <w:r w:rsidR="00427468">
        <w:rPr>
          <w:kern w:val="0"/>
        </w:rPr>
        <w:t xml:space="preserve"> of </w:t>
      </w:r>
      <w:r>
        <w:rPr>
          <w:kern w:val="0"/>
        </w:rPr>
        <w:t xml:space="preserve">funding and institutions. </w:t>
      </w:r>
      <w:r w:rsidR="0071223E">
        <w:rPr>
          <w:kern w:val="0"/>
        </w:rPr>
        <w:t>‘</w:t>
      </w:r>
      <w:r>
        <w:rPr>
          <w:kern w:val="0"/>
        </w:rPr>
        <w:t>Environmental Sciences &amp; Ecology</w:t>
      </w:r>
      <w:r w:rsidR="0071223E">
        <w:rPr>
          <w:kern w:val="0"/>
        </w:rPr>
        <w:t>’</w:t>
      </w:r>
      <w:r>
        <w:rPr>
          <w:kern w:val="0"/>
        </w:rPr>
        <w:t xml:space="preserve">, </w:t>
      </w:r>
      <w:r w:rsidR="0071223E">
        <w:rPr>
          <w:kern w:val="0"/>
        </w:rPr>
        <w:t>‘</w:t>
      </w:r>
      <w:r>
        <w:rPr>
          <w:kern w:val="0"/>
        </w:rPr>
        <w:t>Urban Studies</w:t>
      </w:r>
      <w:r w:rsidR="0071223E">
        <w:rPr>
          <w:kern w:val="0"/>
        </w:rPr>
        <w:t>’</w:t>
      </w:r>
      <w:r>
        <w:rPr>
          <w:kern w:val="0"/>
        </w:rPr>
        <w:t xml:space="preserve">, and </w:t>
      </w:r>
      <w:r w:rsidR="0071223E">
        <w:rPr>
          <w:kern w:val="0"/>
        </w:rPr>
        <w:t>‘</w:t>
      </w:r>
      <w:r>
        <w:rPr>
          <w:kern w:val="0"/>
        </w:rPr>
        <w:t>Geography</w:t>
      </w:r>
      <w:r w:rsidR="0071223E">
        <w:rPr>
          <w:kern w:val="0"/>
        </w:rPr>
        <w:t>’</w:t>
      </w:r>
      <w:r>
        <w:rPr>
          <w:kern w:val="0"/>
        </w:rPr>
        <w:t xml:space="preserve"> are the most common research areas, and the journal titled Urban Studies has contributed the most articles. Furthermore, the refined analyses on the 500 top-cited and most relevant publications have revealed that research on urban sprawl is closely associated with the categories</w:t>
      </w:r>
      <w:r w:rsidR="00427468">
        <w:rPr>
          <w:kern w:val="0"/>
        </w:rPr>
        <w:t xml:space="preserve"> of </w:t>
      </w:r>
      <w:r w:rsidR="0071223E">
        <w:rPr>
          <w:kern w:val="0"/>
        </w:rPr>
        <w:t>‘</w:t>
      </w:r>
      <w:r>
        <w:rPr>
          <w:kern w:val="0"/>
        </w:rPr>
        <w:t>Urban form and development</w:t>
      </w:r>
      <w:r w:rsidR="0071223E">
        <w:rPr>
          <w:kern w:val="0"/>
        </w:rPr>
        <w:t>’</w:t>
      </w:r>
      <w:r>
        <w:rPr>
          <w:kern w:val="0"/>
        </w:rPr>
        <w:t xml:space="preserve">, </w:t>
      </w:r>
      <w:r w:rsidR="0071223E">
        <w:rPr>
          <w:kern w:val="0"/>
        </w:rPr>
        <w:t>‘</w:t>
      </w:r>
      <w:r>
        <w:rPr>
          <w:kern w:val="0"/>
        </w:rPr>
        <w:t>Land use/land development</w:t>
      </w:r>
      <w:r w:rsidR="0071223E">
        <w:rPr>
          <w:kern w:val="0"/>
        </w:rPr>
        <w:t>’</w:t>
      </w:r>
      <w:r>
        <w:rPr>
          <w:kern w:val="0"/>
        </w:rPr>
        <w:t xml:space="preserve"> and </w:t>
      </w:r>
      <w:r w:rsidR="0071223E">
        <w:rPr>
          <w:kern w:val="0"/>
        </w:rPr>
        <w:t>‘</w:t>
      </w:r>
      <w:r>
        <w:rPr>
          <w:kern w:val="0"/>
        </w:rPr>
        <w:t>environment/ecology/biology</w:t>
      </w:r>
      <w:r w:rsidR="0071223E">
        <w:rPr>
          <w:kern w:val="0"/>
        </w:rPr>
        <w:t>’</w:t>
      </w:r>
      <w:r>
        <w:rPr>
          <w:kern w:val="0"/>
        </w:rPr>
        <w:t>. Conclusions are made with respect to the basic paradigm</w:t>
      </w:r>
      <w:r w:rsidR="00427468">
        <w:rPr>
          <w:kern w:val="0"/>
        </w:rPr>
        <w:t xml:space="preserve"> of </w:t>
      </w:r>
      <w:r>
        <w:rPr>
          <w:kern w:val="0"/>
        </w:rPr>
        <w:t>research on urban sprawl</w:t>
      </w:r>
      <w:r w:rsidR="00A37C1D">
        <w:rPr>
          <w:kern w:val="0"/>
        </w:rPr>
        <w:t>. The</w:t>
      </w:r>
      <w:r>
        <w:rPr>
          <w:kern w:val="0"/>
        </w:rPr>
        <w:t xml:space="preserve"> multi-disciplinary research into urban sprawl are expected to be more diversified and integrated.</w:t>
      </w:r>
    </w:p>
    <w:p w:rsidR="00BB404A" w:rsidRDefault="00BB404A" w:rsidP="00BB404A">
      <w:pPr>
        <w:pStyle w:val="a3"/>
        <w:rPr>
          <w:kern w:val="0"/>
        </w:rPr>
      </w:pPr>
      <w:r>
        <w:rPr>
          <w:kern w:val="0"/>
        </w:rPr>
        <w:t>Keywords: Air-Quality, Analyses, Analysis, Authors, Bibliometric, Bibliometric Analysis, Bibliometrics, Built Environment, China, Cities, Climate-Change, Development, Distribution, Ecology, Environmental, Expansion, Funding, General, Geography, Global, Institutions, Journal, Land-Use Change, Multi-Discipline, Multidisciplinary, Paradigm, Physical-Activity, Publication, Publications, Reference, Research, Sciences, Scientific Output, Source, Top-Cited, Trends, United States, United-States, Urban, Urban Sprawl, Zhujiang Delta</w:t>
      </w:r>
    </w:p>
    <w:p w:rsidR="003474F2" w:rsidRPr="001A3D2B" w:rsidRDefault="003474F2" w:rsidP="003474F2">
      <w:pPr>
        <w:pStyle w:val="1"/>
      </w:pPr>
      <w:r w:rsidRPr="001A3D2B">
        <w:br w:type="page"/>
      </w:r>
      <w:bookmarkStart w:id="194" w:name="_Toc420814969"/>
      <w:r w:rsidRPr="001A3D2B">
        <w:lastRenderedPageBreak/>
        <w:t xml:space="preserve">Title: </w:t>
      </w:r>
      <w:smartTag w:uri="urn:schemas-microsoft-com:office:smarttags" w:element="place">
        <w:smartTag w:uri="urn:schemas-microsoft-com:office:smarttags" w:element="PlaceName">
          <w:r w:rsidRPr="001A3D2B">
            <w:t>Chinese</w:t>
          </w:r>
        </w:smartTag>
        <w:r w:rsidRPr="001A3D2B">
          <w:t xml:space="preserve"> </w:t>
        </w:r>
        <w:smartTag w:uri="urn:schemas-microsoft-com:office:smarttags" w:element="PlaceType">
          <w:r w:rsidRPr="001A3D2B">
            <w:t>Hospital</w:t>
          </w:r>
        </w:smartTag>
      </w:smartTag>
      <w:r w:rsidRPr="001A3D2B">
        <w:t xml:space="preserve"> Management</w:t>
      </w:r>
      <w:bookmarkEnd w:id="194"/>
    </w:p>
    <w:p w:rsidR="003474F2" w:rsidRPr="001A3D2B" w:rsidRDefault="003474F2" w:rsidP="003474F2">
      <w:pPr>
        <w:pStyle w:val="12"/>
      </w:pPr>
      <w:r w:rsidRPr="001A3D2B">
        <w:t xml:space="preserve">Full Journal Title: </w:t>
      </w:r>
      <w:hyperlink r:id="rId217" w:history="1">
        <w:r w:rsidRPr="001A3D2B">
          <w:rPr>
            <w:rStyle w:val="a5"/>
          </w:rPr>
          <w:t>Chinese Hospital Management</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He, W.</w:t>
      </w:r>
      <w:r w:rsidR="005853A9">
        <w:t xml:space="preserve"> and </w:t>
      </w:r>
      <w:r w:rsidRPr="001A3D2B">
        <w:t>Qi, Y. (2006), A bibliometric analysis</w:t>
      </w:r>
      <w:r w:rsidR="00427468">
        <w:t xml:space="preserve"> of </w:t>
      </w:r>
      <w:r w:rsidRPr="001A3D2B">
        <w:t>correlative subject headings on</w:t>
      </w:r>
      <w:r w:rsidR="003A1917">
        <w:t xml:space="preserve"> the </w:t>
      </w:r>
      <w:r w:rsidRPr="001A3D2B">
        <w:t>studies</w:t>
      </w:r>
      <w:r w:rsidR="00427468">
        <w:t xml:space="preserve"> of </w:t>
      </w:r>
      <w:r w:rsidRPr="001A3D2B">
        <w:t xml:space="preserve">hospital administration. </w:t>
      </w:r>
      <w:smartTag w:uri="urn:schemas-microsoft-com:office:smarttags" w:element="place">
        <w:smartTag w:uri="urn:schemas-microsoft-com:office:smarttags" w:element="PlaceName">
          <w:r w:rsidRPr="001A3D2B">
            <w:rPr>
              <w:i/>
            </w:rPr>
            <w:t>Chinese</w:t>
          </w:r>
        </w:smartTag>
        <w:r w:rsidRPr="001A3D2B">
          <w:rPr>
            <w:i/>
          </w:rPr>
          <w:t xml:space="preserve"> </w:t>
        </w:r>
        <w:smartTag w:uri="urn:schemas-microsoft-com:office:smarttags" w:element="PlaceType">
          <w:r w:rsidRPr="001A3D2B">
            <w:rPr>
              <w:i/>
            </w:rPr>
            <w:t>Hospital</w:t>
          </w:r>
        </w:smartTag>
      </w:smartTag>
      <w:r w:rsidRPr="001A3D2B">
        <w:rPr>
          <w:i/>
        </w:rPr>
        <w:t xml:space="preserve"> Management</w:t>
      </w:r>
      <w:r w:rsidRPr="001A3D2B">
        <w:t xml:space="preserve">, </w:t>
      </w:r>
      <w:r w:rsidRPr="001A3D2B">
        <w:rPr>
          <w:b/>
          <w:szCs w:val="19"/>
        </w:rPr>
        <w:t>26</w:t>
      </w:r>
      <w:r w:rsidRPr="001A3D2B">
        <w:rPr>
          <w:szCs w:val="19"/>
        </w:rPr>
        <w:t xml:space="preserve"> (12), 32-35</w:t>
      </w:r>
      <w:r w:rsidRPr="001A3D2B">
        <w:t>.</w:t>
      </w:r>
    </w:p>
    <w:p w:rsidR="003474F2" w:rsidRPr="001A3D2B" w:rsidRDefault="003474F2" w:rsidP="003474F2">
      <w:pPr>
        <w:pStyle w:val="a3"/>
      </w:pPr>
      <w:r w:rsidRPr="001A3D2B">
        <w:t xml:space="preserve">Full Text: </w:t>
      </w:r>
      <w:hyperlink r:id="rId218" w:history="1">
        <w:r w:rsidRPr="001A3D2B">
          <w:rPr>
            <w:rStyle w:val="a5"/>
          </w:rPr>
          <w:t>2007\Chi Hos Man26, 32.pdf</w:t>
        </w:r>
      </w:hyperlink>
    </w:p>
    <w:p w:rsidR="003474F2" w:rsidRPr="001A3D2B" w:rsidRDefault="003474F2" w:rsidP="003474F2">
      <w:pPr>
        <w:pStyle w:val="a3"/>
      </w:pPr>
      <w:r w:rsidRPr="001A3D2B">
        <w:t>Abstract: Objective To investigate</w:t>
      </w:r>
      <w:r w:rsidR="003A1917">
        <w:t xml:space="preserve"> the </w:t>
      </w:r>
      <w:r w:rsidRPr="001A3D2B">
        <w:t>status</w:t>
      </w:r>
      <w:r w:rsidR="005853A9">
        <w:t xml:space="preserve"> and </w:t>
      </w:r>
      <w:r w:rsidRPr="001A3D2B">
        <w:t>trends</w:t>
      </w:r>
      <w:r w:rsidR="00427468">
        <w:t xml:space="preserve"> of </w:t>
      </w:r>
      <w:r w:rsidRPr="001A3D2B">
        <w:t>hospital administration. Method A new dedical biblione tric analysis method, correlative subject headings (CoSH) assay, is used to ananlyze all relevant publications</w:t>
      </w:r>
      <w:r w:rsidR="00427468">
        <w:t xml:space="preserve"> of </w:t>
      </w:r>
      <w:r w:rsidRPr="001A3D2B">
        <w:t>subject HOSPITAL ADMINISTRATION on their CoSH in major MeSH fields</w:t>
      </w:r>
      <w:r w:rsidR="00427468">
        <w:t xml:space="preserve"> of </w:t>
      </w:r>
      <w:r w:rsidRPr="001A3D2B">
        <w:t xml:space="preserve">document database from </w:t>
      </w:r>
      <w:r w:rsidR="00D5664A">
        <w:t>MEDLINE</w:t>
      </w:r>
      <w:r w:rsidRPr="001A3D2B">
        <w:t xml:space="preserve"> CD-ROM 2000-2005. Results</w:t>
      </w:r>
      <w:r w:rsidR="003A1917">
        <w:t xml:space="preserve"> the </w:t>
      </w:r>
      <w:r w:rsidRPr="001A3D2B">
        <w:t>hot topics</w:t>
      </w:r>
      <w:r w:rsidR="00427468">
        <w:t xml:space="preserve"> of </w:t>
      </w:r>
      <w:r w:rsidRPr="001A3D2B">
        <w:t>studies focuses on</w:t>
      </w:r>
      <w:r w:rsidR="003A1917">
        <w:t xml:space="preserve"> the </w:t>
      </w:r>
      <w:r w:rsidRPr="001A3D2B">
        <w:t>subject such as hospital emergency service, hospital information systems quality</w:t>
      </w:r>
      <w:r w:rsidR="00427468">
        <w:t xml:space="preserve"> of </w:t>
      </w:r>
      <w:r w:rsidRPr="001A3D2B">
        <w:t>health care</w:t>
      </w:r>
      <w:r w:rsidR="005853A9">
        <w:t xml:space="preserve"> and </w:t>
      </w:r>
      <w:r w:rsidR="003A1917">
        <w:t xml:space="preserve">the </w:t>
      </w:r>
      <w:r w:rsidRPr="001A3D2B">
        <w:t>art</w:t>
      </w:r>
      <w:r w:rsidR="00427468">
        <w:t xml:space="preserve"> of </w:t>
      </w:r>
      <w:r w:rsidRPr="001A3D2B">
        <w:t>hospital administra...</w:t>
      </w:r>
    </w:p>
    <w:p w:rsidR="003474F2" w:rsidRPr="001A3D2B" w:rsidRDefault="003474F2" w:rsidP="003474F2">
      <w:pPr>
        <w:pStyle w:val="a3"/>
      </w:pPr>
      <w:r w:rsidRPr="001A3D2B">
        <w:t>Keywords: Hospital Administration, Correlative Subject Analyze, Information</w:t>
      </w:r>
    </w:p>
    <w:p w:rsidR="005B6453" w:rsidRPr="001A3D2B" w:rsidRDefault="005B6453" w:rsidP="005B6453">
      <w:pPr>
        <w:pStyle w:val="1"/>
      </w:pPr>
      <w:r w:rsidRPr="001A3D2B">
        <w:br w:type="page"/>
      </w:r>
      <w:bookmarkStart w:id="195" w:name="_Toc420814970"/>
      <w:r w:rsidRPr="001A3D2B">
        <w:lastRenderedPageBreak/>
        <w:t xml:space="preserve">Title: </w:t>
      </w:r>
      <w:r w:rsidRPr="005B6453">
        <w:t>Chinese Journal of Cancer</w:t>
      </w:r>
      <w:bookmarkEnd w:id="195"/>
    </w:p>
    <w:p w:rsidR="005B6453" w:rsidRPr="001A3D2B" w:rsidRDefault="005B6453" w:rsidP="005B6453">
      <w:pPr>
        <w:pStyle w:val="12"/>
      </w:pPr>
      <w:r w:rsidRPr="001A3D2B">
        <w:t xml:space="preserve">Full Journal Title: </w:t>
      </w:r>
      <w:r w:rsidRPr="005B6453">
        <w:rPr>
          <w:iCs/>
          <w:kern w:val="0"/>
        </w:rPr>
        <w:t>Chinese Journal of Cancer</w:t>
      </w:r>
    </w:p>
    <w:p w:rsidR="005B6453" w:rsidRPr="001A3D2B" w:rsidRDefault="005B6453" w:rsidP="005B6453">
      <w:pPr>
        <w:pStyle w:val="12"/>
      </w:pPr>
      <w:r w:rsidRPr="001A3D2B">
        <w:t xml:space="preserve">ISO Abbreviated Title: </w:t>
      </w:r>
    </w:p>
    <w:p w:rsidR="005B6453" w:rsidRPr="001A3D2B" w:rsidRDefault="005B6453" w:rsidP="005B6453">
      <w:pPr>
        <w:pStyle w:val="12"/>
      </w:pPr>
      <w:r w:rsidRPr="001A3D2B">
        <w:t xml:space="preserve">JCR Abbreviated Title: </w:t>
      </w:r>
    </w:p>
    <w:p w:rsidR="005B6453" w:rsidRPr="001A3D2B" w:rsidRDefault="005B6453" w:rsidP="005B6453">
      <w:pPr>
        <w:pStyle w:val="12"/>
      </w:pPr>
      <w:r>
        <w:t xml:space="preserve">ISSN: </w:t>
      </w:r>
    </w:p>
    <w:p w:rsidR="005B6453" w:rsidRPr="001A3D2B" w:rsidRDefault="005B6453" w:rsidP="005B6453">
      <w:pPr>
        <w:pStyle w:val="12"/>
      </w:pPr>
      <w:r w:rsidRPr="001A3D2B">
        <w:t xml:space="preserve">Issues/Year: </w:t>
      </w:r>
    </w:p>
    <w:p w:rsidR="005B6453" w:rsidRPr="001A3D2B" w:rsidRDefault="005B6453" w:rsidP="005B6453">
      <w:pPr>
        <w:pStyle w:val="12"/>
      </w:pPr>
      <w:r w:rsidRPr="001A3D2B">
        <w:t xml:space="preserve">Journal Country/Territory: </w:t>
      </w:r>
    </w:p>
    <w:p w:rsidR="005B6453" w:rsidRPr="001A3D2B" w:rsidRDefault="005B6453" w:rsidP="005B6453">
      <w:pPr>
        <w:pStyle w:val="12"/>
      </w:pPr>
      <w:r w:rsidRPr="001A3D2B">
        <w:t xml:space="preserve">Language: </w:t>
      </w:r>
    </w:p>
    <w:p w:rsidR="005B6453" w:rsidRPr="001A3D2B" w:rsidRDefault="005B6453" w:rsidP="005B6453">
      <w:pPr>
        <w:pStyle w:val="12"/>
      </w:pPr>
      <w:r w:rsidRPr="001A3D2B">
        <w:t xml:space="preserve">Publisher: </w:t>
      </w:r>
    </w:p>
    <w:p w:rsidR="005B6453" w:rsidRPr="001A3D2B" w:rsidRDefault="005B6453" w:rsidP="005B6453">
      <w:pPr>
        <w:pStyle w:val="12"/>
      </w:pPr>
      <w:r w:rsidRPr="001A3D2B">
        <w:t xml:space="preserve">Publisher Address: </w:t>
      </w:r>
    </w:p>
    <w:p w:rsidR="005B6453" w:rsidRPr="001A3D2B" w:rsidRDefault="005B6453" w:rsidP="005B6453">
      <w:pPr>
        <w:pStyle w:val="12"/>
      </w:pPr>
      <w:r w:rsidRPr="001A3D2B">
        <w:t xml:space="preserve">Subject Categories: </w:t>
      </w:r>
    </w:p>
    <w:p w:rsidR="005B6453" w:rsidRPr="001A3D2B" w:rsidRDefault="005B6453" w:rsidP="005B6453">
      <w:pPr>
        <w:pStyle w:val="12"/>
      </w:pPr>
      <w:r w:rsidRPr="001A3D2B">
        <w:t xml:space="preserve">: Impact Factor </w:t>
      </w:r>
    </w:p>
    <w:p w:rsidR="005B6453" w:rsidRDefault="005B6453" w:rsidP="005B6453">
      <w:pPr>
        <w:pStyle w:val="a3"/>
        <w:rPr>
          <w:kern w:val="0"/>
        </w:rPr>
      </w:pPr>
      <w:r>
        <w:rPr>
          <w:rFonts w:hint="eastAsia"/>
          <w:kern w:val="0"/>
        </w:rPr>
        <w:t xml:space="preserve">? </w:t>
      </w:r>
      <w:r>
        <w:rPr>
          <w:kern w:val="0"/>
        </w:rPr>
        <w:t xml:space="preserve">Zeng, Y.X., Zhang, W., Qian, C.N., Xu, R.H. and Ruan, J. (2014), The </w:t>
      </w:r>
      <w:r w:rsidRPr="00206975">
        <w:rPr>
          <w:i/>
          <w:kern w:val="0"/>
        </w:rPr>
        <w:t>Chinese Journal of Cancer</w:t>
      </w:r>
      <w:r>
        <w:rPr>
          <w:kern w:val="0"/>
        </w:rPr>
        <w:t xml:space="preserve"> is indexed in Science Citation Index (SCI) Expanded. </w:t>
      </w:r>
      <w:r w:rsidRPr="005B6453">
        <w:rPr>
          <w:i/>
          <w:iCs/>
          <w:kern w:val="0"/>
        </w:rPr>
        <w:t>Chinese Journal of Cancer</w:t>
      </w:r>
      <w:r>
        <w:rPr>
          <w:kern w:val="0"/>
        </w:rPr>
        <w:t xml:space="preserve">, </w:t>
      </w:r>
      <w:r>
        <w:rPr>
          <w:b/>
          <w:bCs/>
          <w:kern w:val="0"/>
        </w:rPr>
        <w:t>33</w:t>
      </w:r>
      <w:r>
        <w:rPr>
          <w:kern w:val="0"/>
        </w:rPr>
        <w:t xml:space="preserve"> (8), 367-368</w:t>
      </w:r>
      <w:r>
        <w:rPr>
          <w:rFonts w:hint="eastAsia"/>
          <w:kern w:val="0"/>
        </w:rPr>
        <w:t>.</w:t>
      </w:r>
    </w:p>
    <w:p w:rsidR="005B6453" w:rsidRDefault="005B6453" w:rsidP="005B6453">
      <w:pPr>
        <w:pStyle w:val="a3"/>
        <w:rPr>
          <w:kern w:val="0"/>
        </w:rPr>
      </w:pPr>
      <w:r>
        <w:rPr>
          <w:rFonts w:hint="eastAsia"/>
          <w:kern w:val="0"/>
        </w:rPr>
        <w:t xml:space="preserve">Full Text: </w:t>
      </w:r>
      <w:hyperlink r:id="rId219" w:history="1">
        <w:r w:rsidRPr="005B6453">
          <w:rPr>
            <w:rStyle w:val="a5"/>
            <w:kern w:val="0"/>
          </w:rPr>
          <w:t>2014\Chi J Can33, 367.pdf</w:t>
        </w:r>
      </w:hyperlink>
    </w:p>
    <w:p w:rsidR="005B6453" w:rsidRDefault="005B6453" w:rsidP="005B6453">
      <w:pPr>
        <w:pStyle w:val="a3"/>
        <w:rPr>
          <w:kern w:val="0"/>
        </w:rPr>
      </w:pPr>
      <w:r>
        <w:rPr>
          <w:kern w:val="0"/>
        </w:rPr>
        <w:t>Keywords: Cancer, Chinese, Citation, Journal, SCI, Science, Science Citation Index</w:t>
      </w:r>
    </w:p>
    <w:p w:rsidR="00790E45" w:rsidRPr="001A3D2B" w:rsidRDefault="00790E45" w:rsidP="00790E45">
      <w:pPr>
        <w:pStyle w:val="1"/>
      </w:pPr>
      <w:r w:rsidRPr="001A3D2B">
        <w:br w:type="page"/>
      </w:r>
      <w:bookmarkStart w:id="196" w:name="_Toc420814971"/>
      <w:r w:rsidRPr="001A3D2B">
        <w:lastRenderedPageBreak/>
        <w:t xml:space="preserve">Title: </w:t>
      </w:r>
      <w:r w:rsidR="00EB3E6D" w:rsidRPr="00EB3E6D">
        <w:t>Chinese Journal</w:t>
      </w:r>
      <w:r w:rsidR="00427468">
        <w:t xml:space="preserve"> of </w:t>
      </w:r>
      <w:r w:rsidR="00EB3E6D" w:rsidRPr="00EB3E6D">
        <w:t>Cancer Research</w:t>
      </w:r>
      <w:bookmarkEnd w:id="196"/>
    </w:p>
    <w:p w:rsidR="00790E45" w:rsidRPr="001A3D2B" w:rsidRDefault="00790E45" w:rsidP="00790E45">
      <w:pPr>
        <w:pStyle w:val="12"/>
      </w:pPr>
      <w:r w:rsidRPr="001A3D2B">
        <w:t xml:space="preserve">Full Journal Title: </w:t>
      </w:r>
      <w:r w:rsidR="00EB3E6D" w:rsidRPr="00EB3E6D">
        <w:rPr>
          <w:iCs/>
          <w:kern w:val="0"/>
        </w:rPr>
        <w:t>Chinese Journal</w:t>
      </w:r>
      <w:r w:rsidR="00427468">
        <w:rPr>
          <w:iCs/>
          <w:kern w:val="0"/>
        </w:rPr>
        <w:t xml:space="preserve"> of </w:t>
      </w:r>
      <w:r w:rsidR="00EB3E6D" w:rsidRPr="00EB3E6D">
        <w:rPr>
          <w:iCs/>
          <w:kern w:val="0"/>
        </w:rPr>
        <w:t>Cancer Research</w:t>
      </w:r>
    </w:p>
    <w:p w:rsidR="00790E45" w:rsidRPr="001A3D2B" w:rsidRDefault="00790E45" w:rsidP="00790E45">
      <w:pPr>
        <w:pStyle w:val="12"/>
      </w:pPr>
      <w:r w:rsidRPr="001A3D2B">
        <w:t xml:space="preserve">ISO Abbreviated Title: </w:t>
      </w:r>
    </w:p>
    <w:p w:rsidR="00790E45" w:rsidRPr="001A3D2B" w:rsidRDefault="00790E45" w:rsidP="00790E45">
      <w:pPr>
        <w:pStyle w:val="12"/>
      </w:pPr>
      <w:r w:rsidRPr="001A3D2B">
        <w:t xml:space="preserve">JCR Abbreviated Title: </w:t>
      </w:r>
    </w:p>
    <w:p w:rsidR="00790E45" w:rsidRPr="001A3D2B" w:rsidRDefault="00EB3E6D" w:rsidP="00790E45">
      <w:pPr>
        <w:pStyle w:val="12"/>
      </w:pPr>
      <w:r>
        <w:t xml:space="preserve">ISSN: </w:t>
      </w:r>
    </w:p>
    <w:p w:rsidR="00790E45" w:rsidRPr="001A3D2B" w:rsidRDefault="00790E45" w:rsidP="00790E45">
      <w:pPr>
        <w:pStyle w:val="12"/>
      </w:pPr>
      <w:r w:rsidRPr="001A3D2B">
        <w:t xml:space="preserve">Issues/Year: </w:t>
      </w:r>
    </w:p>
    <w:p w:rsidR="00790E45" w:rsidRPr="001A3D2B" w:rsidRDefault="00790E45" w:rsidP="00790E45">
      <w:pPr>
        <w:pStyle w:val="12"/>
      </w:pPr>
      <w:r w:rsidRPr="001A3D2B">
        <w:t xml:space="preserve">Journal Country/Territory: </w:t>
      </w:r>
    </w:p>
    <w:p w:rsidR="00790E45" w:rsidRPr="001A3D2B" w:rsidRDefault="00790E45" w:rsidP="00790E45">
      <w:pPr>
        <w:pStyle w:val="12"/>
      </w:pPr>
      <w:r w:rsidRPr="001A3D2B">
        <w:t xml:space="preserve">Language: </w:t>
      </w:r>
    </w:p>
    <w:p w:rsidR="00790E45" w:rsidRPr="001A3D2B" w:rsidRDefault="00790E45" w:rsidP="00790E45">
      <w:pPr>
        <w:pStyle w:val="12"/>
      </w:pPr>
      <w:r w:rsidRPr="001A3D2B">
        <w:t xml:space="preserve">Publisher: </w:t>
      </w:r>
    </w:p>
    <w:p w:rsidR="00790E45" w:rsidRPr="001A3D2B" w:rsidRDefault="00790E45" w:rsidP="00790E45">
      <w:pPr>
        <w:pStyle w:val="12"/>
      </w:pPr>
      <w:r w:rsidRPr="001A3D2B">
        <w:t xml:space="preserve">Publisher Address: </w:t>
      </w:r>
    </w:p>
    <w:p w:rsidR="00790E45" w:rsidRPr="001A3D2B" w:rsidRDefault="00790E45" w:rsidP="00790E45">
      <w:pPr>
        <w:pStyle w:val="12"/>
      </w:pPr>
      <w:r w:rsidRPr="001A3D2B">
        <w:t xml:space="preserve">Subject Categories: </w:t>
      </w:r>
    </w:p>
    <w:p w:rsidR="00790E45" w:rsidRPr="001A3D2B" w:rsidRDefault="00790E45" w:rsidP="00790E45">
      <w:pPr>
        <w:pStyle w:val="12"/>
      </w:pPr>
      <w:r w:rsidRPr="001A3D2B">
        <w:t xml:space="preserve">: Impact Factor </w:t>
      </w:r>
    </w:p>
    <w:p w:rsidR="00840253" w:rsidRDefault="00840253" w:rsidP="00840253">
      <w:pPr>
        <w:pStyle w:val="a3"/>
        <w:rPr>
          <w:kern w:val="0"/>
        </w:rPr>
      </w:pPr>
      <w:r>
        <w:rPr>
          <w:rFonts w:hint="eastAsia"/>
          <w:kern w:val="0"/>
        </w:rPr>
        <w:t xml:space="preserve">? </w:t>
      </w:r>
      <w:r>
        <w:rPr>
          <w:kern w:val="0"/>
        </w:rPr>
        <w:t xml:space="preserve">Shen, W.D., Chen, H.L. and Liu, P.F. (2011), XRCC1 polymorphisms and pancreatic cancer: A meta-analysis. </w:t>
      </w:r>
      <w:r w:rsidRPr="00EB3E6D">
        <w:rPr>
          <w:i/>
          <w:iCs/>
          <w:kern w:val="0"/>
        </w:rPr>
        <w:t>Chinese Journal</w:t>
      </w:r>
      <w:r>
        <w:rPr>
          <w:i/>
          <w:iCs/>
          <w:kern w:val="0"/>
        </w:rPr>
        <w:t xml:space="preserve"> of </w:t>
      </w:r>
      <w:r w:rsidRPr="00EB3E6D">
        <w:rPr>
          <w:i/>
          <w:iCs/>
          <w:kern w:val="0"/>
        </w:rPr>
        <w:t>Cancer Research</w:t>
      </w:r>
      <w:r>
        <w:rPr>
          <w:kern w:val="0"/>
        </w:rPr>
        <w:t xml:space="preserve">, </w:t>
      </w:r>
      <w:r>
        <w:rPr>
          <w:b/>
          <w:bCs/>
          <w:kern w:val="0"/>
        </w:rPr>
        <w:t>23</w:t>
      </w:r>
      <w:r>
        <w:rPr>
          <w:kern w:val="0"/>
        </w:rPr>
        <w:t xml:space="preserve"> (3), 165-170.</w:t>
      </w:r>
    </w:p>
    <w:p w:rsidR="00840253" w:rsidRDefault="00840253" w:rsidP="00840253">
      <w:pPr>
        <w:pStyle w:val="a3"/>
        <w:rPr>
          <w:kern w:val="0"/>
        </w:rPr>
      </w:pPr>
      <w:r>
        <w:rPr>
          <w:rFonts w:hint="eastAsia"/>
          <w:kern w:val="0"/>
        </w:rPr>
        <w:t xml:space="preserve">Full Text: </w:t>
      </w:r>
      <w:hyperlink r:id="rId220" w:history="1">
        <w:r w:rsidRPr="00EB3E6D">
          <w:rPr>
            <w:rStyle w:val="a5"/>
            <w:kern w:val="0"/>
          </w:rPr>
          <w:t>2011\Chi J Can Res23, 165.</w:t>
        </w:r>
        <w:r>
          <w:rPr>
            <w:rStyle w:val="a5"/>
            <w:kern w:val="0"/>
          </w:rPr>
          <w:t>pdf</w:t>
        </w:r>
      </w:hyperlink>
    </w:p>
    <w:p w:rsidR="00840253" w:rsidRDefault="00840253" w:rsidP="00840253">
      <w:pPr>
        <w:pStyle w:val="a3"/>
        <w:rPr>
          <w:kern w:val="0"/>
        </w:rPr>
      </w:pPr>
      <w:r>
        <w:rPr>
          <w:kern w:val="0"/>
        </w:rPr>
        <w:t>Abstract: Objective: To assess the association between X-ray repair cross-complementating group 1 (XRCC1) polymorphisms and pancreatic cancer. Methods: We searched MEDLINE, Web of Science and HuGE Navigator at June 2010, and then quantitatively summarized associations of the XRCC1 polymorphisms with pancreatic cancer risk using meta-analysis. Results: Four studies with 1343 cases and 2302 controls were included. Our analysis found: at codon 194, the Trp allele did not decrease pancreatic cancer risk (Arg/Arg versus Trp/Trp: OR=0.97; 95% CI: 0.48-1.96; P=0.97; Arg/Arg versus Arg/Trp: OR=0.89; 95% CI: 0.70-1.13; P=0.55; Arg/Trp versus Trp/Trp: OR=1.06; 95% CI: 0.52-2.16; P=0.90); at codon 280, only a study showed a nonsignificant association between single nucleotide polymorphism with pancreatic cancer risk; at codon 399, the Gln allele also showed no significant effect on pancreatic cancer compared to Arg allele (Arg/Arg versus Gln/Gln: OR=0.94; 95% CI: 0.74-1.18; Arg/Arg versus Arg/Gln: OR=0.97; 95% CI: 0.83-1.13; Arg/Gln versus Gln/Gln: OR=0.97; 95% CI: 0.77-1.22). The shape of the funnel plot and the Egger</w:t>
      </w:r>
      <w:r w:rsidR="0071223E">
        <w:rPr>
          <w:kern w:val="0"/>
        </w:rPr>
        <w:t>’</w:t>
      </w:r>
      <w:r>
        <w:rPr>
          <w:kern w:val="0"/>
        </w:rPr>
        <w:t>s test did not detect any publication bias. Conclusion: There is no evidence that XRCC1 polymorphisms (Arg194Trp, Arg280His, and Arg399Gln) are associated with pancreatic cancer risk.</w:t>
      </w:r>
    </w:p>
    <w:p w:rsidR="00840253" w:rsidRDefault="00840253" w:rsidP="00840253">
      <w:pPr>
        <w:pStyle w:val="a3"/>
        <w:rPr>
          <w:kern w:val="0"/>
        </w:rPr>
      </w:pPr>
      <w:r>
        <w:rPr>
          <w:kern w:val="0"/>
        </w:rPr>
        <w:t xml:space="preserve">Keywords: Adducts, Adenocarcinoma, Analysis, Arg399Gln, Association, Bias, Cancer, Damage, DNA-Repair Genes, Epidemiology, Frequency, Gene Polymorphism, Medline, Meta Analysis, Meta-Analysis, Methods, Molecular Epidemiology, Pancreatic Cancer, Polymorphism, Polymorphisms, Publication, Publication Bias, Risk, Science, Single Nucleotide, Smoking, Web of Science, X-Ray Repair </w:t>
      </w:r>
      <w:r>
        <w:rPr>
          <w:kern w:val="0"/>
        </w:rPr>
        <w:lastRenderedPageBreak/>
        <w:t>Cross-Complementating Group 1, XRCC1</w:t>
      </w:r>
    </w:p>
    <w:p w:rsidR="00840253" w:rsidRDefault="00840253" w:rsidP="00840253">
      <w:pPr>
        <w:pStyle w:val="a3"/>
        <w:rPr>
          <w:kern w:val="0"/>
        </w:rPr>
      </w:pPr>
      <w:r>
        <w:rPr>
          <w:rFonts w:hint="eastAsia"/>
          <w:kern w:val="0"/>
        </w:rPr>
        <w:t xml:space="preserve">? </w:t>
      </w:r>
      <w:r>
        <w:rPr>
          <w:kern w:val="0"/>
        </w:rPr>
        <w:t xml:space="preserve">Zeng, R., Duan, L., Kong, Y.K., Liang, Y.J., Wu, X.L., Wei, X.Q. and Yang, K.H. (2013), Clinicopathological and prognostic role of MMP-9 in esophageal squamous cell carcinoma: A meta-analysis. </w:t>
      </w:r>
      <w:r>
        <w:rPr>
          <w:i/>
          <w:iCs/>
          <w:kern w:val="0"/>
        </w:rPr>
        <w:t>Chinese Journal of Cancer Research</w:t>
      </w:r>
      <w:r>
        <w:rPr>
          <w:kern w:val="0"/>
        </w:rPr>
        <w:t xml:space="preserve">, </w:t>
      </w:r>
      <w:r>
        <w:rPr>
          <w:b/>
          <w:bCs/>
          <w:kern w:val="0"/>
        </w:rPr>
        <w:t>25</w:t>
      </w:r>
      <w:r>
        <w:rPr>
          <w:kern w:val="0"/>
        </w:rPr>
        <w:t xml:space="preserve"> (6), 637-645.</w:t>
      </w:r>
    </w:p>
    <w:p w:rsidR="00840253" w:rsidRDefault="00840253" w:rsidP="00840253">
      <w:pPr>
        <w:pStyle w:val="a3"/>
        <w:rPr>
          <w:kern w:val="0"/>
        </w:rPr>
      </w:pPr>
      <w:r>
        <w:rPr>
          <w:rFonts w:hint="eastAsia"/>
          <w:kern w:val="0"/>
        </w:rPr>
        <w:t xml:space="preserve">Full Text: </w:t>
      </w:r>
      <w:hyperlink r:id="rId221" w:history="1">
        <w:r w:rsidRPr="002D3EEA">
          <w:rPr>
            <w:rStyle w:val="a5"/>
            <w:kern w:val="0"/>
          </w:rPr>
          <w:t>2013\Chi J Can Res25, 637.pdf</w:t>
        </w:r>
      </w:hyperlink>
    </w:p>
    <w:p w:rsidR="00840253" w:rsidRDefault="00840253" w:rsidP="00840253">
      <w:pPr>
        <w:pStyle w:val="a3"/>
        <w:rPr>
          <w:kern w:val="0"/>
        </w:rPr>
      </w:pPr>
      <w:r>
        <w:rPr>
          <w:kern w:val="0"/>
        </w:rPr>
        <w:t>Abstract: Objective: Many studies reported that matrix metalloproteinase-9 (MMP-9) participated in the development of esophageal squamous cell carcinoma (ESCC) and resulted in poor prognosis, however, they all included few patients and had inconsistent results. So we conducted a meta-analysis to explore the correlation between overexpression of MMP-9 and the clinicopathological characteristics and overall survival (OS) of ESCC. Methods: PubMed, EMBASE, Web of Science, Chinese Biomedical Literature Database, Google Scholar and other databases were searched for relevant studies. The Newcastle-Ottawa quality assessment scale was used to assess the methodological quality of included study and RevMan 5.2 software was used to conduct meta-analysis. Results: A total of 35 studies were included, and the results of meta-analysis showed that overexpression of MMP-9 was associated with grade of differentiation [well/moderate vs. poor: odds ratio (OR): 0.39, 95% confidence interval (Cl): 0.29-0.52; P&lt;0.00001], lymph node metastasis (negative vs. positive: OR: 0.24, 95% CI: 0.16-0.34; P&lt;0.00001), TNM stage (T1/T2 vs. T3/T4: OR: 0.28, 95% CI: 0.14-0.54; P=0.0002), The depth of invasion (T1/T2 vs. T3/T4: OR: 0.29, 95% CI: 0.17-0.49; P&lt;0.00001), and vascular invasion of ESCC (negative vs. positive: OR: 0.35, 95% CI: 0.21-0.58; P&lt;0.0001), and also associated with poor overall survival of ESCC (HR: 2.17, 95% CI: 1.32-3.57; P=0.002). Subgroup analysis showed that more than 10% of carcinoma cell staining was associated with significant increase of mortality risk (HR: 2.44, 95% CI: 1.16-5.15; P=0.02), and sensitive analysis suggested that MNIP-9 was an independent prognostic factor in ESCC (FIR: 1.49, 95% CI: 1.16-1.91; P=0.002). Conclusions: On the basis of limited evidence, overexpression of MMP-9 may be a potential independent prognosis factor of ESCC patients in Asia, and high-quality studies assessing the prognostic significance of MNIP-9 for ESCC patients are still needed.</w:t>
      </w:r>
    </w:p>
    <w:p w:rsidR="00840253" w:rsidRDefault="00840253" w:rsidP="00840253">
      <w:pPr>
        <w:pStyle w:val="a3"/>
        <w:rPr>
          <w:kern w:val="0"/>
        </w:rPr>
      </w:pPr>
      <w:r>
        <w:rPr>
          <w:kern w:val="0"/>
        </w:rPr>
        <w:t xml:space="preserve">Keywords: Analysis, Asia, Assessing, Assessment, Biomedical, Cancer, Characteristics, Chinese, Confidence, Correlation, Database, Databases, Development, Differentiation, Embase, Esophageal Squamous Cell Carcinoma (Escc), Evidence, Google, Google Scholar, Growth, Interval, Literature, Matrix, Matrix Metalloproteinase 9, Matrix Metalloproteinase-7, Matrix Metalloproteinase-9, Matrix Metalloproteinase-9 (Mmp-9), Matrix-Metalloproteinase-9 Expression, Meta Analysis, Meta-Analysis, Metaanalysis, Metastasis, Methods, Mmp-9, Mortality, Odds Ratio, Overall Survival (Os), Patients, Potential, Prognosis, Prognostic, </w:t>
      </w:r>
      <w:r>
        <w:rPr>
          <w:kern w:val="0"/>
        </w:rPr>
        <w:lastRenderedPageBreak/>
        <w:t>Prognostic Factor, Pubmed, Quality, Quality Of, Results, Risk, Role, Scale, Science, Significance, Software, Squamous Cell Carcinoma, Survival, Web of Science</w:t>
      </w:r>
    </w:p>
    <w:p w:rsidR="00840253" w:rsidRDefault="00840253" w:rsidP="00840253">
      <w:pPr>
        <w:pStyle w:val="a3"/>
        <w:rPr>
          <w:kern w:val="0"/>
        </w:rPr>
      </w:pPr>
      <w:r>
        <w:rPr>
          <w:rFonts w:hint="eastAsia"/>
          <w:kern w:val="0"/>
        </w:rPr>
        <w:t xml:space="preserve">? </w:t>
      </w:r>
      <w:r>
        <w:rPr>
          <w:kern w:val="0"/>
        </w:rPr>
        <w:t xml:space="preserve">Deng, Z.T., Zhang, S., Yi, L. and Chen, S.L. (2013), Can statins reduce risk of lung cancer, especially among elderly people? A meta-analysis. </w:t>
      </w:r>
      <w:r>
        <w:rPr>
          <w:i/>
          <w:iCs/>
          <w:kern w:val="0"/>
        </w:rPr>
        <w:t>Chinese Journal of Cancer Research</w:t>
      </w:r>
      <w:r>
        <w:rPr>
          <w:kern w:val="0"/>
        </w:rPr>
        <w:t xml:space="preserve">, </w:t>
      </w:r>
      <w:r>
        <w:rPr>
          <w:b/>
          <w:bCs/>
          <w:kern w:val="0"/>
        </w:rPr>
        <w:t>25</w:t>
      </w:r>
      <w:r>
        <w:rPr>
          <w:kern w:val="0"/>
        </w:rPr>
        <w:t xml:space="preserve"> (6), 679-688.</w:t>
      </w:r>
    </w:p>
    <w:p w:rsidR="00840253" w:rsidRDefault="00840253" w:rsidP="00840253">
      <w:pPr>
        <w:pStyle w:val="a3"/>
        <w:rPr>
          <w:kern w:val="0"/>
        </w:rPr>
      </w:pPr>
      <w:r>
        <w:rPr>
          <w:rFonts w:hint="eastAsia"/>
          <w:kern w:val="0"/>
        </w:rPr>
        <w:t xml:space="preserve">Full Text: </w:t>
      </w:r>
      <w:hyperlink r:id="rId222" w:history="1">
        <w:r w:rsidRPr="002D3EEA">
          <w:rPr>
            <w:rStyle w:val="a5"/>
            <w:kern w:val="0"/>
          </w:rPr>
          <w:t>2013\Chi J Can Res25, 679.pdf</w:t>
        </w:r>
      </w:hyperlink>
    </w:p>
    <w:p w:rsidR="00840253" w:rsidRDefault="00840253" w:rsidP="00840253">
      <w:pPr>
        <w:pStyle w:val="a3"/>
        <w:rPr>
          <w:kern w:val="0"/>
        </w:rPr>
      </w:pPr>
      <w:r>
        <w:rPr>
          <w:kern w:val="0"/>
        </w:rPr>
        <w:t>Abstract: Objective: As the most common cause of cancer mortality throughout the world, lung cancer has drawn people</w:t>
      </w:r>
      <w:r w:rsidR="0071223E">
        <w:rPr>
          <w:kern w:val="0"/>
        </w:rPr>
        <w:t>’</w:t>
      </w:r>
      <w:r>
        <w:rPr>
          <w:kern w:val="0"/>
        </w:rPr>
        <w:t>s attention on how to reduce the risk with chemopreventive ways. Many epidemiological studies have shown inconsistent effects of statins on lung cancer, but some observational studies have showed that statins had protective effect on lung cancer among elderly people. So we preformed this meta-analysis to find whether statins were chemopreventive. Methods: We searched MEDLINE, EMBASE and Web of Science databases from inception to September, 2013. A total of 23 studies were selected, including 15 observational studies and 8 randomized controlled trials (RCTs). Both fixed and random-effects models were used to calculate pooled estimates in primary and sensitivity analyses. We used Q and 12 statistics to assess statistical heterogeneity, and evaluated publication bias by B egg</w:t>
      </w:r>
      <w:r w:rsidR="0071223E">
        <w:rPr>
          <w:kern w:val="0"/>
        </w:rPr>
        <w:t>’</w:t>
      </w:r>
      <w:r>
        <w:rPr>
          <w:kern w:val="0"/>
        </w:rPr>
        <w:t>s test and Egger</w:t>
      </w:r>
      <w:r w:rsidR="0071223E">
        <w:rPr>
          <w:kern w:val="0"/>
        </w:rPr>
        <w:t>’</w:t>
      </w:r>
      <w:r>
        <w:rPr>
          <w:kern w:val="0"/>
        </w:rPr>
        <w:t>s test. Results: No association between statins and lung cancer risk was identified either in the meta-analysis among RCTs [relative risk (RR): 0.95, 95% confidence interval (95% Cl): 0.85-1.06] or observational studies (RR: 0.89, 95% CI: 0.77-1.04). We also selected 6 observational studies that all researched on elderly people. The result of meta-analysis showed that there was still no protective effect between statins and lung cancer among elderly people (RR: 1.03, 95% CI: 0.96-1.11). Conclusions: Our results did not support a protective effect of stadns on the overall lung cancer risk and the lung cancer risk among elderly people. More well-designed RCTs are needed to enhance our understanding of the chemopreventive effect of statins on lung cancer.</w:t>
      </w:r>
    </w:p>
    <w:p w:rsidR="00840253" w:rsidRDefault="00840253" w:rsidP="00840253">
      <w:pPr>
        <w:pStyle w:val="a3"/>
        <w:rPr>
          <w:kern w:val="0"/>
        </w:rPr>
      </w:pPr>
      <w:r>
        <w:rPr>
          <w:kern w:val="0"/>
        </w:rPr>
        <w:t>Keywords: Analyses, Association, Attention, Bias, Cancer, Clinical-Trials, Coenzyme-A Reductase, Colorectal-Cancer, Confidence, Databases, Effects, Elderly, Elderly People, Embase, Estimates, Follow-Up, Heterogeneity, Interval, Lovastatin, Lung, Lung Cancer, Medline, Meta Analysis, Meta-Analysis, Metaanalysis, Methods, Models, Mortality, Observational, Observational Studies, Population-Based Cohort, Pravastatin, Prevention, Primary, Publication, Publication Bias, Randomized, Randomized Controlled Trial, Randomized Controlled Trials, Results, Risk, Science, Sensitivity, Simvastatin, Statins, Statistics, Support, Understanding, Web of Science, Web of Science Databases, World</w:t>
      </w:r>
    </w:p>
    <w:p w:rsidR="00840253" w:rsidRDefault="00840253" w:rsidP="00840253">
      <w:pPr>
        <w:pStyle w:val="a3"/>
        <w:rPr>
          <w:kern w:val="0"/>
        </w:rPr>
      </w:pPr>
      <w:r>
        <w:rPr>
          <w:rFonts w:hint="eastAsia"/>
          <w:kern w:val="0"/>
        </w:rPr>
        <w:t xml:space="preserve">? </w:t>
      </w:r>
      <w:r>
        <w:rPr>
          <w:kern w:val="0"/>
        </w:rPr>
        <w:t>Zhu, H.C., Yang, X., Qin, Q., Bian, K.Q., Zhang, C., Liu, J., Cheng, H.Y. and Sun, X.C. (2014), Report of China</w:t>
      </w:r>
      <w:r w:rsidR="0071223E">
        <w:rPr>
          <w:kern w:val="0"/>
        </w:rPr>
        <w:t>’</w:t>
      </w:r>
      <w:r>
        <w:rPr>
          <w:kern w:val="0"/>
        </w:rPr>
        <w:t xml:space="preserve">s innovation increase and research growth in radiation </w:t>
      </w:r>
      <w:r>
        <w:rPr>
          <w:kern w:val="0"/>
        </w:rPr>
        <w:lastRenderedPageBreak/>
        <w:t xml:space="preserve">oncology. </w:t>
      </w:r>
      <w:r>
        <w:rPr>
          <w:i/>
          <w:iCs/>
          <w:kern w:val="0"/>
        </w:rPr>
        <w:t>Chinese Journal of Cancer Research</w:t>
      </w:r>
      <w:r>
        <w:rPr>
          <w:kern w:val="0"/>
        </w:rPr>
        <w:t xml:space="preserve">, </w:t>
      </w:r>
      <w:r>
        <w:rPr>
          <w:b/>
          <w:bCs/>
          <w:kern w:val="0"/>
        </w:rPr>
        <w:t>26</w:t>
      </w:r>
      <w:r>
        <w:rPr>
          <w:kern w:val="0"/>
        </w:rPr>
        <w:t xml:space="preserve"> (3), 293-298.</w:t>
      </w:r>
    </w:p>
    <w:p w:rsidR="00840253" w:rsidRDefault="00840253" w:rsidP="00840253">
      <w:pPr>
        <w:pStyle w:val="a3"/>
        <w:rPr>
          <w:kern w:val="0"/>
        </w:rPr>
      </w:pPr>
      <w:r>
        <w:rPr>
          <w:rFonts w:hint="eastAsia"/>
          <w:kern w:val="0"/>
        </w:rPr>
        <w:t xml:space="preserve">Full Text: </w:t>
      </w:r>
      <w:hyperlink r:id="rId223" w:history="1">
        <w:r w:rsidRPr="002D3EEA">
          <w:rPr>
            <w:rStyle w:val="a5"/>
            <w:kern w:val="0"/>
          </w:rPr>
          <w:t>2014\Chi J Can Res26, 293.pdf</w:t>
        </w:r>
      </w:hyperlink>
    </w:p>
    <w:p w:rsidR="00840253" w:rsidRDefault="00840253" w:rsidP="00840253">
      <w:pPr>
        <w:pStyle w:val="a3"/>
        <w:rPr>
          <w:kern w:val="0"/>
        </w:rPr>
      </w:pPr>
      <w:r>
        <w:rPr>
          <w:kern w:val="0"/>
        </w:rPr>
        <w:t>Abstract: Aims: To investigate the research status of radiation oncology in China through survey of literature in international radiation oncology journals and retrospectively compare the outputs of radiation oncology articles of the three major regions of China-Mainland (ML), Taiwan (TW) and Hong Kong (HK). Methods: Radiation oncology journals were selected from “oncology” and “radiology, nuclear &amp; medical image” category from Science Citation Index Expand (SCIE). Articles from the ML, TW and HK were retrieved from MEDLINE. The number of total articles, clinical trials, case reports, impact factors (IF), institutions and articles published in each journals were conducted for quantity and quality comparisons. Results: A total 818 articles from 13 radiation oncology journals were searched, of which 427 are from ML, 259 from TW, and 132 from HK. Ninety-seven clinical trials and 5 case reports are reported in China. Accumulated IF of articles from ML (1,417.11) was much higher than that of TW (1,003.093) and HK (544.711), while the average IF of articles from ML is the lowest. Conclusions: The total number of articles from China especially ML increased significantly in the last decade. The number of articles published from the ML has exceeded those from TW and HK. However, the quality of articles from TW and HK is better than that from ML.</w:t>
      </w:r>
    </w:p>
    <w:p w:rsidR="00840253" w:rsidRDefault="00840253" w:rsidP="00840253">
      <w:pPr>
        <w:pStyle w:val="a3"/>
        <w:rPr>
          <w:kern w:val="0"/>
        </w:rPr>
      </w:pPr>
      <w:r>
        <w:rPr>
          <w:kern w:val="0"/>
        </w:rPr>
        <w:t>Keywords: Articles, Case Reports, China, Chinese Authors, Citation, Clinical, Clinical Trials, Growth, Hong Kong, Impact, Impact Factors, Innovation, Institutions, International, Journals, Literature, Medical, Medline, Methods, Oncology, Quality, Quality Of, Radiation, Radiation Oncology, Research, Results, Scie, Science, Science Citation Index, Survey, Taiwan</w:t>
      </w:r>
    </w:p>
    <w:p w:rsidR="00840253" w:rsidRDefault="00840253" w:rsidP="00840253">
      <w:pPr>
        <w:pStyle w:val="a3"/>
        <w:rPr>
          <w:kern w:val="0"/>
        </w:rPr>
      </w:pPr>
      <w:r>
        <w:rPr>
          <w:kern w:val="0"/>
        </w:rPr>
        <w:t xml:space="preserve">? Tao, T., Chen, S.Q., Xu, B., Liu, C.H., Wang, Y.D., Huang, Y.Q. and Chen, M. (2014), Association between hsa-miR-34b/c rs4938723 T &gt; C promoter polymorphism and cancer risk: A meta-analysis based on 6,036 cases and 6,204 controls. </w:t>
      </w:r>
      <w:r>
        <w:rPr>
          <w:i/>
          <w:iCs/>
          <w:kern w:val="0"/>
        </w:rPr>
        <w:t>Chinese Journal of Cancer Research</w:t>
      </w:r>
      <w:r>
        <w:rPr>
          <w:kern w:val="0"/>
        </w:rPr>
        <w:t xml:space="preserve">, </w:t>
      </w:r>
      <w:r>
        <w:rPr>
          <w:b/>
          <w:bCs/>
          <w:kern w:val="0"/>
        </w:rPr>
        <w:t>26</w:t>
      </w:r>
      <w:r>
        <w:rPr>
          <w:kern w:val="0"/>
        </w:rPr>
        <w:t xml:space="preserve"> (3), 315-322.</w:t>
      </w:r>
    </w:p>
    <w:p w:rsidR="00840253" w:rsidRDefault="00840253" w:rsidP="00840253">
      <w:pPr>
        <w:pStyle w:val="a3"/>
        <w:rPr>
          <w:kern w:val="0"/>
        </w:rPr>
      </w:pPr>
      <w:r>
        <w:rPr>
          <w:rFonts w:hint="eastAsia"/>
          <w:kern w:val="0"/>
        </w:rPr>
        <w:t xml:space="preserve">Full Text: </w:t>
      </w:r>
      <w:hyperlink r:id="rId224" w:history="1">
        <w:r w:rsidRPr="002D3EEA">
          <w:rPr>
            <w:rStyle w:val="a5"/>
            <w:kern w:val="0"/>
          </w:rPr>
          <w:t>2014\Chi J Can Res26, 315.pdf</w:t>
        </w:r>
      </w:hyperlink>
    </w:p>
    <w:p w:rsidR="00840253" w:rsidRDefault="00840253" w:rsidP="00840253">
      <w:pPr>
        <w:pStyle w:val="a3"/>
        <w:rPr>
          <w:kern w:val="0"/>
        </w:rPr>
      </w:pPr>
      <w:r>
        <w:rPr>
          <w:kern w:val="0"/>
        </w:rPr>
        <w:t xml:space="preserve">Abstract: Objective: Emerging evidence shows that microRNAs (miRNAs) function as tumor suppressors or oncogenes in human carcinogenesis. A single nucleotide polymorphism (SNP) located in the pri-miRNA promoter may affect the processing and expression of mature miRNA. However, previous studies showed conflicting results regarding the association of hsa-miR-34b/c rs4938723 T &gt; C promoter polymorphism with cancer. Therefore, we conducted a meta-analysis to determine the association of polymorphism with cancer risk. Methods: A computerized search of PubMed, Web of Science, and Chinese National Knowledge Infrastructure (CNKI) for publications on hsa-miR-34b/c rs4938723 T &gt; C promoter polymorphism and cancer risk was performed and the genotype data were analyzed in a meta-analysis. </w:t>
      </w:r>
      <w:r>
        <w:rPr>
          <w:kern w:val="0"/>
        </w:rPr>
        <w:lastRenderedPageBreak/>
        <w:t>Odds ratios (ORs) with 95% confidence intervals (CIs) were estimated to assess the association. Test of heterogeneity, cumulative meta-analysis, sensitivity analysis and assessment of bias were performed in our meta-analysis by STATA software 12.0. Results: There was no significant association between hsa-miR-34b/c rs4938723 polymorphism and overall cancer risk in the comparison models. Moreover, subgroup analysis revealed that the variant CT (OR = 1.19, 95% CI: 1.03-1.37) and CC/CT (OR = 1.18, 95% CI: 1.03-2.35) genotypes were associated with an increased risk of hepatocellular carcinoma (HCC) compared with wild-type TT genotype. However, a decreased risk of colorectal cancer (CRC) was found in the genetic model of CC/TT (OR =0.66, 95% CI: 0.47-0.92) and CC/CTTT (OR =0.67, 95% CI: 0.49-0.93). Conclusions: The results suggest that hsa-miR-34b/c rs4938723 polymorphism may play an opposite role in different types of cancer based on current studies, which is the main origin of heterogeneity in this meta-analysis. Further large-scale studies and functional studies between this polymorphism and cancer risk are warranted.</w:t>
      </w:r>
    </w:p>
    <w:p w:rsidR="00840253" w:rsidRDefault="00840253" w:rsidP="00840253">
      <w:pPr>
        <w:pStyle w:val="a3"/>
        <w:rPr>
          <w:kern w:val="0"/>
        </w:rPr>
      </w:pPr>
      <w:r>
        <w:rPr>
          <w:kern w:val="0"/>
        </w:rPr>
        <w:t>Keywords: Analysis, Assessment, Association, Bias, Cancer, Cancer Risk, Carcinoma, Chinese, Colorectal Cancer, Colorectal-Cancer, Comparison, Confidence, Confidence Intervals, Ct, Cumulative, Data, Evidence, Expression, Function, Genetic, Hcc, Hepatocellular Carcinoma, Hepatocellular-Carcinoma, Heterogeneity, Hsa-Mir-34b, C, Human, Intervals, Knowledge, Mechanism, Meta Analysis, Meta-Analysis, Metaanalysis, Metabolism, Methods, Microrna-Related Genes, Mir-34b, C, Mirna, Model, Models, Oncogenes, Origin, Polymorphism, Potentially Functional Polymorphism, Pri-Mir-34b, C, Publications, Pubmed, Region, Results, Risk, Role, Science, Sensitivity, Sensitivity Analysis, Snp, Software, Test, Tumor, Variants, Web Of Science</w:t>
      </w:r>
    </w:p>
    <w:p w:rsidR="006C4EC5" w:rsidRDefault="006C4EC5" w:rsidP="006C4EC5">
      <w:pPr>
        <w:pStyle w:val="1"/>
      </w:pPr>
      <w:r>
        <w:rPr>
          <w:b w:val="0"/>
        </w:rPr>
        <w:br w:type="page"/>
      </w:r>
      <w:bookmarkStart w:id="197" w:name="_Toc326785234"/>
      <w:bookmarkStart w:id="198" w:name="_Toc420814972"/>
      <w:r>
        <w:lastRenderedPageBreak/>
        <w:t>Title: Chinese Journal</w:t>
      </w:r>
      <w:r w:rsidR="00427468">
        <w:t xml:space="preserve"> of </w:t>
      </w:r>
      <w:r>
        <w:t>Chemical Engineering</w:t>
      </w:r>
      <w:bookmarkEnd w:id="197"/>
      <w:bookmarkEnd w:id="198"/>
    </w:p>
    <w:p w:rsidR="008B7581" w:rsidRPr="00C73C58" w:rsidRDefault="008B7581" w:rsidP="008B7581">
      <w:pPr>
        <w:pStyle w:val="12"/>
      </w:pPr>
      <w:r w:rsidRPr="00C73C58">
        <w:t xml:space="preserve">Full Journal Title: </w:t>
      </w:r>
      <w:hyperlink r:id="rId225" w:history="1">
        <w:r w:rsidRPr="003B0084">
          <w:rPr>
            <w:rStyle w:val="a5"/>
          </w:rPr>
          <w:t>Chinese Journal</w:t>
        </w:r>
        <w:r w:rsidR="00427468">
          <w:rPr>
            <w:rStyle w:val="a5"/>
          </w:rPr>
          <w:t xml:space="preserve"> of </w:t>
        </w:r>
        <w:r w:rsidRPr="003B0084">
          <w:rPr>
            <w:rStyle w:val="a5"/>
          </w:rPr>
          <w:t>Chemical Engineering</w:t>
        </w:r>
      </w:hyperlink>
    </w:p>
    <w:p w:rsidR="001F2B36" w:rsidRDefault="001F2B36" w:rsidP="001F2B36">
      <w:pPr>
        <w:pStyle w:val="12"/>
      </w:pPr>
      <w:r>
        <w:t>ISO Abbrev. Title: Chin. J. Chem. Eng.</w:t>
      </w:r>
    </w:p>
    <w:p w:rsidR="001F2B36" w:rsidRDefault="001F2B36" w:rsidP="001F2B36">
      <w:pPr>
        <w:pStyle w:val="12"/>
      </w:pPr>
      <w:r>
        <w:t>JCR Abbrev. Title: Chinese J Chem Eng</w:t>
      </w:r>
    </w:p>
    <w:p w:rsidR="001F2B36" w:rsidRDefault="001F2B36" w:rsidP="001F2B36">
      <w:pPr>
        <w:pStyle w:val="12"/>
      </w:pPr>
      <w:r>
        <w:t>ISSN: 1004-9541</w:t>
      </w:r>
    </w:p>
    <w:p w:rsidR="001F2B36" w:rsidRDefault="001F2B36" w:rsidP="001F2B36">
      <w:pPr>
        <w:pStyle w:val="12"/>
      </w:pPr>
      <w:r>
        <w:t>Issues/Year: 6</w:t>
      </w:r>
    </w:p>
    <w:p w:rsidR="001F2B36" w:rsidRDefault="001F2B36" w:rsidP="001F2B36">
      <w:pPr>
        <w:pStyle w:val="12"/>
      </w:pPr>
      <w:r>
        <w:t>Language: English</w:t>
      </w:r>
    </w:p>
    <w:p w:rsidR="001F2B36" w:rsidRDefault="001F2B36" w:rsidP="001F2B36">
      <w:pPr>
        <w:pStyle w:val="12"/>
      </w:pPr>
      <w:r>
        <w:t>Journal Country/Territory: Peoples R China</w:t>
      </w:r>
    </w:p>
    <w:p w:rsidR="001F2B36" w:rsidRDefault="001F2B36" w:rsidP="001F2B36">
      <w:pPr>
        <w:pStyle w:val="12"/>
      </w:pPr>
      <w:r>
        <w:t>Publisher: Chemical Industry Press</w:t>
      </w:r>
    </w:p>
    <w:p w:rsidR="001F2B36" w:rsidRDefault="001F2B36" w:rsidP="001F2B36">
      <w:pPr>
        <w:pStyle w:val="12"/>
      </w:pPr>
      <w:r>
        <w:t>Publisher Address: NO. 3 Huixinli Chaoyangqu, Beijing 100029, Peoples R China</w:t>
      </w:r>
    </w:p>
    <w:p w:rsidR="001F2B36" w:rsidRDefault="001F2B36" w:rsidP="001F2B36">
      <w:pPr>
        <w:pStyle w:val="12"/>
      </w:pPr>
      <w:r>
        <w:t>Subject Categories:</w:t>
      </w:r>
    </w:p>
    <w:p w:rsidR="001F2B36" w:rsidRDefault="001F2B36" w:rsidP="001F2B36">
      <w:pPr>
        <w:pStyle w:val="12"/>
      </w:pPr>
      <w:r>
        <w:t>Engineering, Chemical</w:t>
      </w:r>
      <w:r w:rsidRPr="00C73C58">
        <w:t>: Impact Factor 0.261, 82/110 (1999); Impact Factor 0.223, 90/123 (2001)</w:t>
      </w:r>
      <w:r>
        <w:rPr>
          <w:rFonts w:hint="eastAsia"/>
        </w:rPr>
        <w:t>;</w:t>
      </w:r>
      <w:r w:rsidRPr="00F326BF">
        <w:t xml:space="preserve"> </w:t>
      </w:r>
      <w:r w:rsidRPr="00C73C58">
        <w:t>Impact Factor 0.</w:t>
      </w:r>
      <w:r>
        <w:rPr>
          <w:rFonts w:hint="eastAsia"/>
        </w:rPr>
        <w:t>826</w:t>
      </w:r>
      <w:r>
        <w:t>,</w:t>
      </w:r>
      <w:r>
        <w:rPr>
          <w:rFonts w:hint="eastAsia"/>
        </w:rPr>
        <w:t xml:space="preserve"> 78</w:t>
      </w:r>
      <w:r w:rsidRPr="00C73C58">
        <w:t>/1</w:t>
      </w:r>
      <w:r>
        <w:rPr>
          <w:rFonts w:hint="eastAsia"/>
        </w:rPr>
        <w:t>33</w:t>
      </w:r>
      <w:r w:rsidRPr="00C73C58">
        <w:t xml:space="preserve"> (</w:t>
      </w:r>
      <w:r>
        <w:rPr>
          <w:rFonts w:hint="eastAsia"/>
        </w:rPr>
        <w:t>2011</w:t>
      </w:r>
      <w:r w:rsidRPr="00C73C58">
        <w:t>)</w:t>
      </w:r>
    </w:p>
    <w:p w:rsidR="006C4EC5" w:rsidRDefault="006C4EC5" w:rsidP="006C4EC5">
      <w:pPr>
        <w:pStyle w:val="a3"/>
      </w:pPr>
      <w:r>
        <w:t xml:space="preserve">? Ho, Y.S. (2012), Top-cited articles in chemical engineering in Science Citation Index Expanded: A bibliometric analysis. </w:t>
      </w:r>
      <w:r>
        <w:rPr>
          <w:i/>
          <w:iCs/>
        </w:rPr>
        <w:t>Chinese Journal</w:t>
      </w:r>
      <w:r w:rsidR="00427468">
        <w:rPr>
          <w:i/>
          <w:iCs/>
        </w:rPr>
        <w:t xml:space="preserve"> of </w:t>
      </w:r>
      <w:r>
        <w:rPr>
          <w:i/>
          <w:iCs/>
        </w:rPr>
        <w:t>Chemical Engineering</w:t>
      </w:r>
      <w:r>
        <w:t xml:space="preserve">, </w:t>
      </w:r>
      <w:r w:rsidR="00AA593A" w:rsidRPr="00841606">
        <w:rPr>
          <w:rFonts w:hint="eastAsia"/>
          <w:b/>
        </w:rPr>
        <w:t>20</w:t>
      </w:r>
      <w:r w:rsidR="00AA593A">
        <w:rPr>
          <w:rFonts w:hint="eastAsia"/>
        </w:rPr>
        <w:t xml:space="preserve"> (3), 478-488</w:t>
      </w:r>
      <w:r>
        <w:t>.</w:t>
      </w:r>
    </w:p>
    <w:p w:rsidR="006C4EC5" w:rsidRDefault="006C4EC5" w:rsidP="006C4EC5">
      <w:pPr>
        <w:pStyle w:val="a3"/>
        <w:rPr>
          <w:kern w:val="0"/>
        </w:rPr>
      </w:pPr>
      <w:r>
        <w:rPr>
          <w:kern w:val="0"/>
        </w:rPr>
        <w:t>Full Text:</w:t>
      </w:r>
      <w:r w:rsidR="005E4E5F" w:rsidRPr="005E4E5F">
        <w:t xml:space="preserve"> </w:t>
      </w:r>
      <w:hyperlink r:id="rId226" w:history="1">
        <w:r w:rsidR="005E4E5F" w:rsidRPr="005E4E5F">
          <w:rPr>
            <w:rStyle w:val="a5"/>
          </w:rPr>
          <w:t>2012\Chi J Che Eng20, 478.pdf</w:t>
        </w:r>
      </w:hyperlink>
      <w:r w:rsidR="005E4E5F">
        <w:rPr>
          <w:rFonts w:hint="eastAsia"/>
        </w:rPr>
        <w:t xml:space="preserve">; </w:t>
      </w:r>
      <w:hyperlink r:id="rId227" w:history="1">
        <w:r>
          <w:rPr>
            <w:rStyle w:val="a5"/>
          </w:rPr>
          <w:t>2012\Chi J Che Eng20-Ho.pdf</w:t>
        </w:r>
      </w:hyperlink>
    </w:p>
    <w:p w:rsidR="000D4317" w:rsidRDefault="000D4317" w:rsidP="000D4317">
      <w:pPr>
        <w:pStyle w:val="a3"/>
        <w:rPr>
          <w:kern w:val="0"/>
          <w:szCs w:val="24"/>
        </w:rPr>
      </w:pPr>
      <w:r>
        <w:rPr>
          <w:kern w:val="0"/>
          <w:szCs w:val="24"/>
        </w:rPr>
        <w:t>Abstract: This study aimed to identify</w:t>
      </w:r>
      <w:r w:rsidR="005853A9">
        <w:rPr>
          <w:kern w:val="0"/>
          <w:szCs w:val="24"/>
        </w:rPr>
        <w:t xml:space="preserve"> and </w:t>
      </w:r>
      <w:r>
        <w:rPr>
          <w:kern w:val="0"/>
          <w:szCs w:val="24"/>
        </w:rPr>
        <w:t>to analyze characteristics</w:t>
      </w:r>
      <w:r w:rsidR="00427468">
        <w:rPr>
          <w:kern w:val="0"/>
          <w:szCs w:val="24"/>
        </w:rPr>
        <w:t xml:space="preserve"> of </w:t>
      </w:r>
      <w:r>
        <w:rPr>
          <w:kern w:val="0"/>
          <w:szCs w:val="24"/>
        </w:rPr>
        <w:t>top-cited articles published in</w:t>
      </w:r>
      <w:r w:rsidR="003A1917">
        <w:rPr>
          <w:kern w:val="0"/>
          <w:szCs w:val="24"/>
        </w:rPr>
        <w:t xml:space="preserve"> the </w:t>
      </w:r>
      <w:r w:rsidR="00D5664A">
        <w:rPr>
          <w:kern w:val="0"/>
          <w:szCs w:val="24"/>
        </w:rPr>
        <w:t>Web</w:t>
      </w:r>
      <w:r w:rsidR="00427468">
        <w:rPr>
          <w:kern w:val="0"/>
          <w:szCs w:val="24"/>
        </w:rPr>
        <w:t xml:space="preserve"> of </w:t>
      </w:r>
      <w:r w:rsidR="00D5664A">
        <w:rPr>
          <w:kern w:val="0"/>
          <w:szCs w:val="24"/>
        </w:rPr>
        <w:t>Science</w:t>
      </w:r>
      <w:r>
        <w:rPr>
          <w:kern w:val="0"/>
          <w:szCs w:val="24"/>
        </w:rPr>
        <w:t xml:space="preserve"> chemical engineering subject category from 1899 to 2011. Articles that have been cited more than 100 times were assessed regarding publication outputs,</w:t>
      </w:r>
      <w:r w:rsidR="005853A9">
        <w:rPr>
          <w:kern w:val="0"/>
          <w:szCs w:val="24"/>
        </w:rPr>
        <w:t xml:space="preserve"> and </w:t>
      </w:r>
      <w:r>
        <w:rPr>
          <w:kern w:val="0"/>
          <w:szCs w:val="24"/>
        </w:rPr>
        <w:t>distribution</w:t>
      </w:r>
      <w:r w:rsidR="00427468">
        <w:rPr>
          <w:kern w:val="0"/>
          <w:szCs w:val="24"/>
        </w:rPr>
        <w:t xml:space="preserve"> of </w:t>
      </w:r>
      <w:r>
        <w:rPr>
          <w:kern w:val="0"/>
          <w:szCs w:val="24"/>
        </w:rPr>
        <w:t>outputs in journals. Five bibliometric indicators were used to evaluate source countries, institution</w:t>
      </w:r>
      <w:r w:rsidR="005853A9">
        <w:rPr>
          <w:kern w:val="0"/>
          <w:szCs w:val="24"/>
        </w:rPr>
        <w:t xml:space="preserve"> and </w:t>
      </w:r>
      <w:r>
        <w:rPr>
          <w:kern w:val="0"/>
          <w:szCs w:val="24"/>
        </w:rPr>
        <w:t>authors. A new indicator, Y-index, was created to assess quantity</w:t>
      </w:r>
      <w:r w:rsidR="005853A9">
        <w:rPr>
          <w:kern w:val="0"/>
          <w:szCs w:val="24"/>
        </w:rPr>
        <w:t xml:space="preserve"> and </w:t>
      </w:r>
      <w:r>
        <w:rPr>
          <w:kern w:val="0"/>
          <w:szCs w:val="24"/>
        </w:rPr>
        <w:t>quality</w:t>
      </w:r>
      <w:r w:rsidR="00427468">
        <w:rPr>
          <w:kern w:val="0"/>
          <w:szCs w:val="24"/>
        </w:rPr>
        <w:t xml:space="preserve"> of </w:t>
      </w:r>
      <w:r>
        <w:rPr>
          <w:kern w:val="0"/>
          <w:szCs w:val="24"/>
        </w:rPr>
        <w:t>contribution to articles. Results showed that 3828 articles, published between 1931</w:t>
      </w:r>
      <w:r w:rsidR="005853A9">
        <w:rPr>
          <w:kern w:val="0"/>
          <w:szCs w:val="24"/>
        </w:rPr>
        <w:t xml:space="preserve"> and </w:t>
      </w:r>
      <w:r>
        <w:rPr>
          <w:kern w:val="0"/>
          <w:szCs w:val="24"/>
        </w:rPr>
        <w:t>2010, had been cited at least 100 times. Among them 54% published before 1991,</w:t>
      </w:r>
      <w:r w:rsidR="005853A9">
        <w:rPr>
          <w:kern w:val="0"/>
          <w:szCs w:val="24"/>
        </w:rPr>
        <w:t xml:space="preserve"> and </w:t>
      </w:r>
      <w:r>
        <w:rPr>
          <w:kern w:val="0"/>
          <w:szCs w:val="24"/>
        </w:rPr>
        <w:t>49% top-cited articles originated from US</w:t>
      </w:r>
      <w:r w:rsidR="00A37C1D">
        <w:rPr>
          <w:kern w:val="0"/>
          <w:szCs w:val="24"/>
        </w:rPr>
        <w:t>. The</w:t>
      </w:r>
      <w:r w:rsidR="003A1917">
        <w:rPr>
          <w:kern w:val="0"/>
          <w:szCs w:val="24"/>
        </w:rPr>
        <w:t xml:space="preserve"> </w:t>
      </w:r>
      <w:r>
        <w:rPr>
          <w:kern w:val="0"/>
          <w:szCs w:val="24"/>
        </w:rPr>
        <w:t>top eight productive institutions were all located in US</w:t>
      </w:r>
      <w:r w:rsidR="00A37C1D">
        <w:rPr>
          <w:kern w:val="0"/>
          <w:szCs w:val="24"/>
        </w:rPr>
        <w:t>. The</w:t>
      </w:r>
      <w:r w:rsidR="003A1917">
        <w:rPr>
          <w:kern w:val="0"/>
          <w:szCs w:val="24"/>
        </w:rPr>
        <w:t xml:space="preserve"> </w:t>
      </w:r>
      <w:r>
        <w:rPr>
          <w:kern w:val="0"/>
          <w:szCs w:val="24"/>
        </w:rPr>
        <w:t>top journals were Journal</w:t>
      </w:r>
      <w:r w:rsidR="00427468">
        <w:rPr>
          <w:kern w:val="0"/>
          <w:szCs w:val="24"/>
        </w:rPr>
        <w:t xml:space="preserve"> of </w:t>
      </w:r>
      <w:r>
        <w:rPr>
          <w:kern w:val="0"/>
          <w:szCs w:val="24"/>
        </w:rPr>
        <w:t>Catalysis, AIChE Journal, Chemical Engineering Science</w:t>
      </w:r>
      <w:r w:rsidR="005853A9">
        <w:rPr>
          <w:kern w:val="0"/>
          <w:szCs w:val="24"/>
        </w:rPr>
        <w:t xml:space="preserve"> and </w:t>
      </w:r>
      <w:r>
        <w:rPr>
          <w:kern w:val="0"/>
          <w:szCs w:val="24"/>
        </w:rPr>
        <w:t>Journal</w:t>
      </w:r>
      <w:r w:rsidR="00427468">
        <w:rPr>
          <w:kern w:val="0"/>
          <w:szCs w:val="24"/>
        </w:rPr>
        <w:t xml:space="preserve"> of </w:t>
      </w:r>
      <w:r>
        <w:rPr>
          <w:kern w:val="0"/>
          <w:szCs w:val="24"/>
        </w:rPr>
        <w:t>Membrane Science. Y-index was successfully applied to evaluate publication character</w:t>
      </w:r>
      <w:r w:rsidR="00427468">
        <w:rPr>
          <w:kern w:val="0"/>
          <w:szCs w:val="24"/>
        </w:rPr>
        <w:t xml:space="preserve"> of </w:t>
      </w:r>
      <w:r>
        <w:rPr>
          <w:kern w:val="0"/>
          <w:szCs w:val="24"/>
        </w:rPr>
        <w:t>authors, institutions,</w:t>
      </w:r>
      <w:r w:rsidR="005853A9">
        <w:rPr>
          <w:kern w:val="0"/>
          <w:szCs w:val="24"/>
        </w:rPr>
        <w:t xml:space="preserve"> and </w:t>
      </w:r>
      <w:r>
        <w:rPr>
          <w:kern w:val="0"/>
          <w:szCs w:val="24"/>
        </w:rPr>
        <w:t>countries/regions.</w:t>
      </w:r>
    </w:p>
    <w:p w:rsidR="000D4317" w:rsidRDefault="000D4317" w:rsidP="000D4317">
      <w:pPr>
        <w:pStyle w:val="a3"/>
        <w:rPr>
          <w:kern w:val="0"/>
          <w:szCs w:val="24"/>
        </w:rPr>
      </w:pPr>
      <w:r>
        <w:rPr>
          <w:kern w:val="0"/>
          <w:szCs w:val="24"/>
        </w:rPr>
        <w:t xml:space="preserve">Keywords: Articles, Authors, Authorship, Bibliometric, Bibliometric Indicators, Catalysis, Characteristics, Chemical, Chemical Engineering, Citation, Coefficients, Distribution, Engineering, Gold, Highly Cited, Indicator, Indicators, Institutions, Journal, Journals, Liquid-Mixtures, Low-Temperature Oxidation, Membrane, Order, Performance, Porous Solids Diffusion, Publication, Publication Character, Publications, Quality, Quality of, Science, Science Citation Index, Science Citation Index Expanded, Source, US, </w:t>
      </w:r>
      <w:r w:rsidR="00D5664A">
        <w:rPr>
          <w:kern w:val="0"/>
          <w:szCs w:val="24"/>
        </w:rPr>
        <w:t>Web</w:t>
      </w:r>
      <w:r w:rsidR="00427468">
        <w:rPr>
          <w:kern w:val="0"/>
          <w:szCs w:val="24"/>
        </w:rPr>
        <w:t xml:space="preserve"> of </w:t>
      </w:r>
      <w:r w:rsidR="00D5664A">
        <w:rPr>
          <w:kern w:val="0"/>
          <w:szCs w:val="24"/>
        </w:rPr>
        <w:t>Science</w:t>
      </w:r>
      <w:r>
        <w:rPr>
          <w:kern w:val="0"/>
          <w:szCs w:val="24"/>
        </w:rPr>
        <w:t>, Y-Index</w:t>
      </w:r>
    </w:p>
    <w:p w:rsidR="003474F2" w:rsidRPr="001A3D2B" w:rsidRDefault="003474F2" w:rsidP="003474F2">
      <w:pPr>
        <w:pStyle w:val="1"/>
      </w:pPr>
      <w:r w:rsidRPr="001A3D2B">
        <w:br w:type="page"/>
      </w:r>
      <w:bookmarkStart w:id="199" w:name="_Toc420814973"/>
      <w:r w:rsidRPr="001A3D2B">
        <w:lastRenderedPageBreak/>
        <w:t>Title: Chinese Journal</w:t>
      </w:r>
      <w:r w:rsidR="00427468">
        <w:t xml:space="preserve"> of </w:t>
      </w:r>
      <w:r w:rsidRPr="001A3D2B">
        <w:t>Evidence-Based Medicine</w:t>
      </w:r>
      <w:bookmarkEnd w:id="199"/>
    </w:p>
    <w:p w:rsidR="003474F2" w:rsidRPr="001A3D2B" w:rsidRDefault="003474F2" w:rsidP="003474F2">
      <w:pPr>
        <w:pStyle w:val="12"/>
      </w:pPr>
      <w:r w:rsidRPr="001A3D2B">
        <w:t xml:space="preserve">Full Journal Title: </w:t>
      </w:r>
      <w:hyperlink r:id="rId228" w:history="1">
        <w:r w:rsidRPr="001A3D2B">
          <w:rPr>
            <w:rStyle w:val="a5"/>
          </w:rPr>
          <w:t>Chinese Journal</w:t>
        </w:r>
        <w:r w:rsidR="00427468">
          <w:rPr>
            <w:rStyle w:val="a5"/>
          </w:rPr>
          <w:t xml:space="preserve"> of </w:t>
        </w:r>
        <w:r w:rsidRPr="001A3D2B">
          <w:rPr>
            <w:rStyle w:val="a5"/>
          </w:rPr>
          <w:t>Evidence-Based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1672-2531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Chen, Y.L., Ai, C.L.,</w:t>
      </w:r>
      <w:r w:rsidR="005853A9">
        <w:t xml:space="preserve"> and </w:t>
      </w:r>
      <w:r w:rsidRPr="001A3D2B">
        <w:t xml:space="preserve">Li, Y.P. (2007), Comparative studies on </w:t>
      </w:r>
      <w:r w:rsidRPr="001A3D2B">
        <w:rPr>
          <w:i/>
        </w:rPr>
        <w:t>Evidence-Based Medical Journals</w:t>
      </w:r>
      <w:r w:rsidRPr="001A3D2B">
        <w:t xml:space="preserve">. </w:t>
      </w:r>
      <w:r w:rsidRPr="001A3D2B">
        <w:rPr>
          <w:i/>
        </w:rPr>
        <w:t>Chinese Journal</w:t>
      </w:r>
      <w:r w:rsidR="00427468">
        <w:rPr>
          <w:i/>
        </w:rPr>
        <w:t xml:space="preserve"> of </w:t>
      </w:r>
      <w:r w:rsidRPr="001A3D2B">
        <w:rPr>
          <w:i/>
        </w:rPr>
        <w:t>Evidence-Based Medicine</w:t>
      </w:r>
      <w:r w:rsidRPr="001A3D2B">
        <w:t xml:space="preserve">, </w:t>
      </w:r>
      <w:r w:rsidRPr="001A3D2B">
        <w:rPr>
          <w:b/>
          <w:szCs w:val="19"/>
        </w:rPr>
        <w:t>7</w:t>
      </w:r>
      <w:r w:rsidRPr="001A3D2B">
        <w:rPr>
          <w:szCs w:val="19"/>
        </w:rPr>
        <w:t xml:space="preserve"> (4), 289-295</w:t>
      </w:r>
      <w:r w:rsidRPr="001A3D2B">
        <w:t>.</w:t>
      </w:r>
    </w:p>
    <w:p w:rsidR="003474F2" w:rsidRPr="001A3D2B" w:rsidRDefault="003474F2" w:rsidP="003474F2">
      <w:pPr>
        <w:pStyle w:val="a3"/>
      </w:pPr>
      <w:r w:rsidRPr="001A3D2B">
        <w:t xml:space="preserve">Full Text: </w:t>
      </w:r>
      <w:hyperlink r:id="rId229" w:history="1">
        <w:r w:rsidRPr="001A3D2B">
          <w:rPr>
            <w:rStyle w:val="a5"/>
          </w:rPr>
          <w:t>2007\Chi J Evi-Bas Med7, 289.pdf</w:t>
        </w:r>
      </w:hyperlink>
    </w:p>
    <w:p w:rsidR="003474F2" w:rsidRPr="001A3D2B" w:rsidRDefault="003474F2" w:rsidP="003474F2">
      <w:pPr>
        <w:pStyle w:val="a3"/>
      </w:pPr>
      <w:r w:rsidRPr="001A3D2B">
        <w:t>Abstract: Objective To compare</w:t>
      </w:r>
      <w:r w:rsidR="005853A9">
        <w:t xml:space="preserve"> and </w:t>
      </w:r>
      <w:r w:rsidRPr="001A3D2B">
        <w:t>review worldwide journals titled</w:t>
      </w:r>
      <w:r w:rsidR="0071223E">
        <w:t>’</w:t>
      </w:r>
      <w:r w:rsidRPr="001A3D2B">
        <w:t>evidence-based</w:t>
      </w:r>
      <w:r w:rsidR="0071223E">
        <w:t>’</w:t>
      </w:r>
      <w:r w:rsidRPr="001A3D2B">
        <w:t>in order to provide an overview</w:t>
      </w:r>
      <w:r w:rsidR="00427468">
        <w:t xml:space="preserve"> of </w:t>
      </w:r>
      <w:r w:rsidRPr="001A3D2B">
        <w:t>these healthcare journals</w:t>
      </w:r>
      <w:r w:rsidR="005853A9">
        <w:t xml:space="preserve"> and </w:t>
      </w:r>
      <w:r w:rsidRPr="001A3D2B">
        <w:t>suggestions for improving</w:t>
      </w:r>
      <w:r w:rsidR="003A1917">
        <w:t xml:space="preserve"> the </w:t>
      </w:r>
      <w:r w:rsidRPr="001A3D2B">
        <w:t>quality</w:t>
      </w:r>
      <w:r w:rsidR="00427468">
        <w:t xml:space="preserve"> of </w:t>
      </w:r>
      <w:r w:rsidRPr="001A3D2B">
        <w:t>this type</w:t>
      </w:r>
      <w:r w:rsidR="00427468">
        <w:t xml:space="preserve"> of </w:t>
      </w:r>
      <w:r w:rsidRPr="001A3D2B">
        <w:t>journal in China</w:t>
      </w:r>
      <w:r w:rsidR="005853A9">
        <w:t xml:space="preserve"> and </w:t>
      </w:r>
      <w:r w:rsidRPr="001A3D2B">
        <w:t>to introduce a quick way for healthcare professionals</w:t>
      </w:r>
      <w:r w:rsidR="005853A9">
        <w:t xml:space="preserve"> and </w:t>
      </w:r>
      <w:r w:rsidRPr="001A3D2B">
        <w:t xml:space="preserve">patients to obtain high quality clinical evidence. Methods We searched </w:t>
      </w:r>
      <w:r w:rsidR="002C12F0">
        <w:t>PUBMED</w:t>
      </w:r>
      <w:r w:rsidRPr="001A3D2B">
        <w:t>, EMBASE, Ulrich</w:t>
      </w:r>
      <w:r w:rsidR="0071223E">
        <w:t>’</w:t>
      </w:r>
      <w:r w:rsidR="00C13DDC">
        <w:t>s</w:t>
      </w:r>
      <w:r w:rsidRPr="001A3D2B">
        <w:t xml:space="preserve"> Periodicals Directory, Wanfang</w:t>
      </w:r>
      <w:r w:rsidR="005853A9">
        <w:t xml:space="preserve"> and </w:t>
      </w:r>
      <w:r w:rsidRPr="001A3D2B">
        <w:t>some relevant websites to identify journals titled</w:t>
      </w:r>
      <w:r w:rsidR="0071223E">
        <w:t>’</w:t>
      </w:r>
      <w:r w:rsidRPr="001A3D2B">
        <w:t>evidence-based</w:t>
      </w:r>
      <w:r w:rsidR="0071223E">
        <w:t>’</w:t>
      </w:r>
      <w:r w:rsidR="00A37C1D">
        <w:t>. The</w:t>
      </w:r>
      <w:r w:rsidR="003A1917">
        <w:t xml:space="preserve"> </w:t>
      </w:r>
      <w:r w:rsidRPr="001A3D2B">
        <w:t>last issues in 2006</w:t>
      </w:r>
      <w:r w:rsidR="00427468">
        <w:t xml:space="preserve"> of </w:t>
      </w:r>
      <w:r w:rsidRPr="001A3D2B">
        <w:t>these kind</w:t>
      </w:r>
      <w:r w:rsidR="00427468">
        <w:t xml:space="preserve"> of </w:t>
      </w:r>
      <w:r w:rsidRPr="001A3D2B">
        <w:t>journ</w:t>
      </w:r>
    </w:p>
    <w:p w:rsidR="003474F2" w:rsidRPr="001A3D2B" w:rsidRDefault="003474F2" w:rsidP="003474F2">
      <w:pPr>
        <w:pStyle w:val="a3"/>
      </w:pPr>
      <w:r w:rsidRPr="001A3D2B">
        <w:t>Keywords: Evidence-Based Medicine, Periodical, Bibliometrics</w:t>
      </w:r>
    </w:p>
    <w:p w:rsidR="003474F2" w:rsidRPr="001A3D2B" w:rsidRDefault="003474F2" w:rsidP="003474F2">
      <w:pPr>
        <w:pStyle w:val="1"/>
      </w:pPr>
      <w:r w:rsidRPr="001A3D2B">
        <w:br w:type="page"/>
      </w:r>
      <w:bookmarkStart w:id="200" w:name="_Toc420814974"/>
      <w:r w:rsidRPr="001A3D2B">
        <w:lastRenderedPageBreak/>
        <w:t>Title: Chinese Journal</w:t>
      </w:r>
      <w:r w:rsidR="00427468">
        <w:t xml:space="preserve"> of </w:t>
      </w:r>
      <w:r w:rsidRPr="001A3D2B">
        <w:t>Disease Control &amp; Prevention</w:t>
      </w:r>
      <w:bookmarkEnd w:id="200"/>
    </w:p>
    <w:p w:rsidR="003474F2" w:rsidRPr="001A3D2B" w:rsidRDefault="003474F2" w:rsidP="003474F2">
      <w:pPr>
        <w:pStyle w:val="12"/>
      </w:pPr>
      <w:r w:rsidRPr="001A3D2B">
        <w:t xml:space="preserve">Full Journal Title: </w:t>
      </w:r>
      <w:hyperlink r:id="rId230" w:history="1">
        <w:r w:rsidRPr="001A3D2B">
          <w:rPr>
            <w:rStyle w:val="a5"/>
          </w:rPr>
          <w:t>Chinese Journal</w:t>
        </w:r>
        <w:r w:rsidR="00427468">
          <w:rPr>
            <w:rStyle w:val="a5"/>
          </w:rPr>
          <w:t xml:space="preserve"> of </w:t>
        </w:r>
        <w:r w:rsidRPr="001A3D2B">
          <w:rPr>
            <w:rStyle w:val="a5"/>
          </w:rPr>
          <w:t>Disease Control &amp; Prevention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1008-6013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Jie, Y.L.</w:t>
      </w:r>
      <w:r w:rsidR="005853A9">
        <w:t xml:space="preserve"> and </w:t>
      </w:r>
      <w:r w:rsidRPr="001A3D2B">
        <w:t>Tang, X.X. (2007), Bibliometric analysis on mental disorders in China</w:t>
      </w:r>
      <w:r w:rsidR="005853A9">
        <w:t xml:space="preserve"> and </w:t>
      </w:r>
      <w:r w:rsidRPr="001A3D2B">
        <w:t>abroad, 1996</w:t>
      </w:r>
      <w:r w:rsidRPr="001A3D2B">
        <w:t>～</w:t>
      </w:r>
      <w:r w:rsidRPr="001A3D2B">
        <w:t xml:space="preserve">2005. </w:t>
      </w:r>
      <w:r w:rsidRPr="001A3D2B">
        <w:rPr>
          <w:i/>
        </w:rPr>
        <w:t>Chinese Journal</w:t>
      </w:r>
      <w:r w:rsidR="00427468">
        <w:rPr>
          <w:i/>
        </w:rPr>
        <w:t xml:space="preserve"> of </w:t>
      </w:r>
      <w:r w:rsidRPr="001A3D2B">
        <w:rPr>
          <w:i/>
        </w:rPr>
        <w:t>Disease Control &amp; Prevention</w:t>
      </w:r>
      <w:r w:rsidRPr="001A3D2B">
        <w:t xml:space="preserve">, </w:t>
      </w:r>
      <w:r w:rsidRPr="001A3D2B">
        <w:rPr>
          <w:b/>
          <w:szCs w:val="19"/>
        </w:rPr>
        <w:t>11</w:t>
      </w:r>
      <w:r w:rsidRPr="001A3D2B">
        <w:rPr>
          <w:szCs w:val="19"/>
        </w:rPr>
        <w:t xml:space="preserve"> (1), 72-74</w:t>
      </w:r>
      <w:r w:rsidRPr="001A3D2B">
        <w:t>.</w:t>
      </w:r>
    </w:p>
    <w:p w:rsidR="003474F2" w:rsidRPr="001A3D2B" w:rsidRDefault="003474F2" w:rsidP="003474F2">
      <w:pPr>
        <w:pStyle w:val="a3"/>
      </w:pPr>
      <w:r w:rsidRPr="001A3D2B">
        <w:t xml:space="preserve">Full Text: </w:t>
      </w:r>
      <w:hyperlink r:id="rId231" w:history="1">
        <w:r w:rsidRPr="001A3D2B">
          <w:rPr>
            <w:rStyle w:val="a5"/>
          </w:rPr>
          <w:t>2007\Chi J Dis Con Pre11, 72.pdf</w:t>
        </w:r>
      </w:hyperlink>
    </w:p>
    <w:p w:rsidR="003474F2" w:rsidRPr="001A3D2B" w:rsidRDefault="003474F2" w:rsidP="003474F2">
      <w:pPr>
        <w:pStyle w:val="a3"/>
      </w:pPr>
      <w:r w:rsidRPr="001A3D2B">
        <w:t>Abstract: Objective To investigate</w:t>
      </w:r>
      <w:r w:rsidR="003A1917">
        <w:t xml:space="preserve"> the </w:t>
      </w:r>
      <w:r w:rsidRPr="001A3D2B">
        <w:t>status</w:t>
      </w:r>
      <w:r w:rsidR="005853A9">
        <w:t xml:space="preserve"> and </w:t>
      </w:r>
      <w:r w:rsidRPr="001A3D2B">
        <w:t>development trend</w:t>
      </w:r>
      <w:r w:rsidR="00427468">
        <w:t xml:space="preserve"> of </w:t>
      </w:r>
      <w:r w:rsidR="003A1917">
        <w:t xml:space="preserve">the </w:t>
      </w:r>
      <w:r w:rsidRPr="001A3D2B">
        <w:t>research on mental disorders in China</w:t>
      </w:r>
      <w:r w:rsidR="005853A9">
        <w:t xml:space="preserve"> and </w:t>
      </w:r>
      <w:r w:rsidRPr="001A3D2B">
        <w:t>abroad. Methods</w:t>
      </w:r>
      <w:r w:rsidR="003A1917">
        <w:t xml:space="preserve"> the </w:t>
      </w:r>
      <w:r w:rsidRPr="001A3D2B">
        <w:t>method</w:t>
      </w:r>
      <w:r w:rsidR="00427468">
        <w:t xml:space="preserve"> of </w:t>
      </w:r>
      <w:r w:rsidRPr="001A3D2B">
        <w:t>subject-word retrieval was used to select</w:t>
      </w:r>
      <w:r w:rsidR="003A1917">
        <w:t xml:space="preserve"> the </w:t>
      </w:r>
      <w:r w:rsidRPr="001A3D2B">
        <w:t xml:space="preserve">articles on mental disorders from </w:t>
      </w:r>
      <w:r w:rsidR="002C12F0">
        <w:t>PUBMED</w:t>
      </w:r>
      <w:r w:rsidR="005853A9">
        <w:t xml:space="preserve"> and </w:t>
      </w:r>
      <w:r w:rsidRPr="001A3D2B">
        <w:t>CBMWeb</w:t>
      </w:r>
      <w:r w:rsidR="00A37C1D">
        <w:t>. The</w:t>
      </w:r>
      <w:r w:rsidR="003A1917">
        <w:t xml:space="preserve"> </w:t>
      </w:r>
      <w:r w:rsidRPr="001A3D2B">
        <w:t>bibliometrics analysis was performed. Results</w:t>
      </w:r>
      <w:r w:rsidR="003A1917">
        <w:t xml:space="preserve"> the </w:t>
      </w:r>
      <w:r w:rsidRPr="001A3D2B">
        <w:t>number</w:t>
      </w:r>
      <w:r w:rsidR="00427468">
        <w:t xml:space="preserve"> of </w:t>
      </w:r>
      <w:r w:rsidR="003A1917">
        <w:t xml:space="preserve">the </w:t>
      </w:r>
      <w:r w:rsidRPr="001A3D2B">
        <w:t>literatures about mental disorders in China</w:t>
      </w:r>
      <w:r w:rsidR="005853A9">
        <w:t xml:space="preserve"> and </w:t>
      </w:r>
      <w:r w:rsidRPr="001A3D2B">
        <w:t>abroad increased year by year</w:t>
      </w:r>
      <w:r w:rsidR="00A37C1D">
        <w:t>. The</w:t>
      </w:r>
      <w:r w:rsidR="003A1917">
        <w:t xml:space="preserve"> </w:t>
      </w:r>
      <w:r w:rsidRPr="001A3D2B">
        <w:t>research structure</w:t>
      </w:r>
      <w:r w:rsidR="00427468">
        <w:t xml:space="preserve"> of </w:t>
      </w:r>
      <w:r w:rsidRPr="001A3D2B">
        <w:t xml:space="preserve">mental disorders in </w:t>
      </w:r>
      <w:smartTag w:uri="urn:schemas-microsoft-com:office:smarttags" w:element="place">
        <w:smartTag w:uri="urn:schemas-microsoft-com:office:smarttags" w:element="country-region">
          <w:r w:rsidRPr="001A3D2B">
            <w:t>China</w:t>
          </w:r>
        </w:smartTag>
      </w:smartTag>
      <w:r w:rsidRPr="001A3D2B">
        <w:t xml:space="preserve"> was similar to that abroad</w:t>
      </w:r>
      <w:r w:rsidR="00A37C1D">
        <w:t>. The</w:t>
      </w:r>
      <w:r w:rsidRPr="001A3D2B">
        <w:t>re were no significant differences in</w:t>
      </w:r>
      <w:r w:rsidR="003A1917">
        <w:t xml:space="preserve"> the </w:t>
      </w:r>
      <w:r w:rsidRPr="001A3D2B">
        <w:t>numb...</w:t>
      </w:r>
    </w:p>
    <w:p w:rsidR="003474F2" w:rsidRPr="001A3D2B" w:rsidRDefault="003474F2" w:rsidP="003474F2">
      <w:pPr>
        <w:pStyle w:val="a3"/>
      </w:pPr>
      <w:r w:rsidRPr="001A3D2B">
        <w:t>Keywords: Mental Disorders, Bibliometrics, Subject Headings</w:t>
      </w:r>
    </w:p>
    <w:p w:rsidR="003474F2" w:rsidRPr="001A3D2B" w:rsidRDefault="003474F2" w:rsidP="003474F2">
      <w:pPr>
        <w:pStyle w:val="1"/>
      </w:pPr>
      <w:r w:rsidRPr="001A3D2B">
        <w:br w:type="page"/>
      </w:r>
      <w:bookmarkStart w:id="201" w:name="_Toc420814975"/>
      <w:r w:rsidRPr="001A3D2B">
        <w:lastRenderedPageBreak/>
        <w:t>Title: Chinese Journal</w:t>
      </w:r>
      <w:r w:rsidR="00427468">
        <w:t xml:space="preserve"> of </w:t>
      </w:r>
      <w:r w:rsidRPr="001A3D2B">
        <w:t>Health Laboratory Technology</w:t>
      </w:r>
      <w:bookmarkEnd w:id="201"/>
    </w:p>
    <w:p w:rsidR="003474F2" w:rsidRPr="001A3D2B" w:rsidRDefault="003474F2" w:rsidP="003474F2">
      <w:pPr>
        <w:pStyle w:val="12"/>
      </w:pPr>
      <w:r w:rsidRPr="001A3D2B">
        <w:t xml:space="preserve">Full Journal Title: </w:t>
      </w:r>
      <w:hyperlink r:id="rId232" w:history="1">
        <w:r w:rsidRPr="001A3D2B">
          <w:rPr>
            <w:rStyle w:val="a5"/>
          </w:rPr>
          <w:t>Chinese Journal</w:t>
        </w:r>
        <w:r w:rsidR="00427468">
          <w:rPr>
            <w:rStyle w:val="a5"/>
          </w:rPr>
          <w:t xml:space="preserve"> of </w:t>
        </w:r>
        <w:r w:rsidRPr="001A3D2B">
          <w:rPr>
            <w:rStyle w:val="a5"/>
          </w:rPr>
          <w:t>Health Laboratory Technology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w:t>
      </w:r>
      <w:r w:rsidRPr="001A3D2B">
        <w:rPr>
          <w:lang w:eastAsia="zh-CN"/>
        </w:rPr>
        <w:t>Liu</w:t>
      </w:r>
      <w:r w:rsidRPr="001A3D2B">
        <w:t>,</w:t>
      </w:r>
      <w:r w:rsidRPr="001A3D2B">
        <w:rPr>
          <w:lang w:eastAsia="zh-CN"/>
        </w:rPr>
        <w:t xml:space="preserve"> D</w:t>
      </w:r>
      <w:r w:rsidRPr="001A3D2B">
        <w:t>.</w:t>
      </w:r>
      <w:r w:rsidRPr="001A3D2B">
        <w:rPr>
          <w:lang w:eastAsia="zh-CN"/>
        </w:rPr>
        <w:t>J</w:t>
      </w:r>
      <w:r w:rsidRPr="001A3D2B">
        <w:t>.,</w:t>
      </w:r>
      <w:r w:rsidRPr="001A3D2B">
        <w:rPr>
          <w:lang w:eastAsia="zh-CN"/>
        </w:rPr>
        <w:t xml:space="preserve"> Hu</w:t>
      </w:r>
      <w:r w:rsidRPr="001A3D2B">
        <w:t>,</w:t>
      </w:r>
      <w:r w:rsidRPr="001A3D2B">
        <w:rPr>
          <w:lang w:eastAsia="zh-CN"/>
        </w:rPr>
        <w:t xml:space="preserve"> M</w:t>
      </w:r>
      <w:r w:rsidRPr="001A3D2B">
        <w:t>.,</w:t>
      </w:r>
      <w:r w:rsidRPr="001A3D2B">
        <w:rPr>
          <w:lang w:eastAsia="zh-CN"/>
        </w:rPr>
        <w:t xml:space="preserve"> Wang</w:t>
      </w:r>
      <w:r w:rsidRPr="001A3D2B">
        <w:t>,</w:t>
      </w:r>
      <w:r w:rsidRPr="001A3D2B">
        <w:rPr>
          <w:lang w:eastAsia="zh-CN"/>
        </w:rPr>
        <w:t xml:space="preserve"> S</w:t>
      </w:r>
      <w:r w:rsidRPr="001A3D2B">
        <w:t>.,</w:t>
      </w:r>
      <w:r w:rsidRPr="001A3D2B">
        <w:rPr>
          <w:lang w:eastAsia="zh-CN"/>
        </w:rPr>
        <w:t xml:space="preserve"> Lu</w:t>
      </w:r>
      <w:r w:rsidRPr="001A3D2B">
        <w:t>,</w:t>
      </w:r>
      <w:r w:rsidRPr="001A3D2B">
        <w:rPr>
          <w:lang w:eastAsia="zh-CN"/>
        </w:rPr>
        <w:t xml:space="preserve"> F</w:t>
      </w:r>
      <w:r w:rsidRPr="001A3D2B">
        <w:t>.</w:t>
      </w:r>
      <w:r w:rsidRPr="001A3D2B">
        <w:rPr>
          <w:lang w:eastAsia="zh-CN"/>
        </w:rPr>
        <w:t>Y</w:t>
      </w:r>
      <w:r w:rsidRPr="001A3D2B">
        <w:t>.</w:t>
      </w:r>
      <w:r w:rsidR="005853A9">
        <w:t xml:space="preserve"> and </w:t>
      </w:r>
      <w:r w:rsidRPr="001A3D2B">
        <w:rPr>
          <w:lang w:eastAsia="zh-CN"/>
        </w:rPr>
        <w:t>Zhang</w:t>
      </w:r>
      <w:r w:rsidRPr="001A3D2B">
        <w:t>,</w:t>
      </w:r>
      <w:r w:rsidRPr="001A3D2B">
        <w:rPr>
          <w:lang w:eastAsia="zh-CN"/>
        </w:rPr>
        <w:t xml:space="preserve"> T</w:t>
      </w:r>
      <w:r w:rsidRPr="001A3D2B">
        <w:t xml:space="preserve">. (2006), </w:t>
      </w:r>
      <w:r w:rsidRPr="001A3D2B">
        <w:rPr>
          <w:lang w:eastAsia="zh-CN"/>
        </w:rPr>
        <w:t>Statistical analysis</w:t>
      </w:r>
      <w:r w:rsidR="00427468">
        <w:rPr>
          <w:lang w:eastAsia="zh-CN"/>
        </w:rPr>
        <w:t xml:space="preserve"> of </w:t>
      </w:r>
      <w:r w:rsidRPr="001A3D2B">
        <w:rPr>
          <w:lang w:eastAsia="zh-CN"/>
        </w:rPr>
        <w:t>citations</w:t>
      </w:r>
      <w:r w:rsidR="00427468">
        <w:rPr>
          <w:lang w:eastAsia="zh-CN"/>
        </w:rPr>
        <w:t xml:space="preserve"> of </w:t>
      </w:r>
      <w:r w:rsidRPr="001A3D2B">
        <w:rPr>
          <w:lang w:eastAsia="zh-CN"/>
        </w:rPr>
        <w:t xml:space="preserve">papers in </w:t>
      </w:r>
      <w:r w:rsidRPr="00DA69BB">
        <w:rPr>
          <w:i/>
          <w:lang w:eastAsia="zh-CN"/>
        </w:rPr>
        <w:t>Chinese Journal</w:t>
      </w:r>
      <w:r w:rsidR="00427468">
        <w:rPr>
          <w:i/>
          <w:lang w:eastAsia="zh-CN"/>
        </w:rPr>
        <w:t xml:space="preserve"> of </w:t>
      </w:r>
      <w:r w:rsidRPr="00DA69BB">
        <w:rPr>
          <w:i/>
          <w:lang w:eastAsia="zh-CN"/>
        </w:rPr>
        <w:t>Health Laboratory Technology</w:t>
      </w:r>
      <w:r w:rsidRPr="001A3D2B">
        <w:rPr>
          <w:lang w:eastAsia="zh-CN"/>
        </w:rPr>
        <w:t xml:space="preserve"> published during 2003~2005</w:t>
      </w:r>
      <w:r w:rsidRPr="001A3D2B">
        <w:t xml:space="preserve">. </w:t>
      </w:r>
      <w:r w:rsidRPr="001A3D2B">
        <w:rPr>
          <w:i/>
        </w:rPr>
        <w:t>Chinese Journal</w:t>
      </w:r>
      <w:r w:rsidR="00427468">
        <w:rPr>
          <w:i/>
        </w:rPr>
        <w:t xml:space="preserve"> of </w:t>
      </w:r>
      <w:r w:rsidRPr="001A3D2B">
        <w:rPr>
          <w:i/>
        </w:rPr>
        <w:t>Health Laboratory Technology</w:t>
      </w:r>
      <w:r w:rsidRPr="001A3D2B">
        <w:t xml:space="preserve">, </w:t>
      </w:r>
      <w:r w:rsidRPr="001A3D2B">
        <w:rPr>
          <w:b/>
          <w:szCs w:val="19"/>
        </w:rPr>
        <w:t>16</w:t>
      </w:r>
      <w:r w:rsidRPr="001A3D2B">
        <w:rPr>
          <w:szCs w:val="19"/>
        </w:rPr>
        <w:t xml:space="preserve"> (7), 894-896</w:t>
      </w:r>
      <w:r w:rsidRPr="001A3D2B">
        <w:t>.</w:t>
      </w:r>
    </w:p>
    <w:p w:rsidR="003474F2" w:rsidRPr="001A3D2B" w:rsidRDefault="003474F2" w:rsidP="003474F2">
      <w:pPr>
        <w:pStyle w:val="a3"/>
      </w:pPr>
      <w:r w:rsidRPr="001A3D2B">
        <w:t xml:space="preserve">Full Text: </w:t>
      </w:r>
      <w:hyperlink r:id="rId233" w:history="1">
        <w:r w:rsidRPr="001A3D2B">
          <w:rPr>
            <w:rStyle w:val="a5"/>
          </w:rPr>
          <w:t>2006\Chi J Hea Lab Tec16, 894.pdf</w:t>
        </w:r>
      </w:hyperlink>
    </w:p>
    <w:p w:rsidR="003474F2" w:rsidRPr="001A3D2B" w:rsidRDefault="003474F2" w:rsidP="003474F2">
      <w:pPr>
        <w:pStyle w:val="a3"/>
        <w:rPr>
          <w:lang w:eastAsia="zh-CN"/>
        </w:rPr>
      </w:pPr>
      <w:r w:rsidRPr="001A3D2B">
        <w:rPr>
          <w:lang w:eastAsia="zh-CN"/>
        </w:rPr>
        <w:t>Abstract: Objective:To statistically analyze</w:t>
      </w:r>
      <w:r w:rsidR="003A1917">
        <w:rPr>
          <w:lang w:eastAsia="zh-CN"/>
        </w:rPr>
        <w:t xml:space="preserve"> the </w:t>
      </w:r>
      <w:r w:rsidRPr="001A3D2B">
        <w:rPr>
          <w:lang w:eastAsia="zh-CN"/>
        </w:rPr>
        <w:t>citations</w:t>
      </w:r>
      <w:r w:rsidR="00427468">
        <w:rPr>
          <w:lang w:eastAsia="zh-CN"/>
        </w:rPr>
        <w:t xml:space="preserve"> of </w:t>
      </w:r>
      <w:r w:rsidRPr="001A3D2B">
        <w:rPr>
          <w:lang w:eastAsia="zh-CN"/>
        </w:rPr>
        <w:t>papers in Chinese Journal</w:t>
      </w:r>
      <w:r w:rsidR="00427468">
        <w:rPr>
          <w:lang w:eastAsia="zh-CN"/>
        </w:rPr>
        <w:t xml:space="preserve"> of </w:t>
      </w:r>
      <w:r w:rsidRPr="001A3D2B">
        <w:rPr>
          <w:lang w:eastAsia="zh-CN"/>
        </w:rPr>
        <w:t>Health Laboratory Technology(CJHLT) published during 2003~2005.Methods:The bibliometric method was employed to determine</w:t>
      </w:r>
      <w:r w:rsidR="003A1917">
        <w:rPr>
          <w:lang w:eastAsia="zh-CN"/>
        </w:rPr>
        <w:t xml:space="preserve"> the </w:t>
      </w:r>
      <w:r w:rsidRPr="001A3D2B">
        <w:rPr>
          <w:lang w:eastAsia="zh-CN"/>
        </w:rPr>
        <w:t>number</w:t>
      </w:r>
      <w:r w:rsidR="00427468">
        <w:rPr>
          <w:lang w:eastAsia="zh-CN"/>
        </w:rPr>
        <w:t xml:space="preserve"> of </w:t>
      </w:r>
      <w:r w:rsidRPr="001A3D2B">
        <w:rPr>
          <w:lang w:eastAsia="zh-CN"/>
        </w:rPr>
        <w:t>citations, citation rate, number</w:t>
      </w:r>
      <w:r w:rsidR="00427468">
        <w:rPr>
          <w:lang w:eastAsia="zh-CN"/>
        </w:rPr>
        <w:t xml:space="preserve"> of </w:t>
      </w:r>
      <w:r w:rsidRPr="001A3D2B">
        <w:rPr>
          <w:lang w:eastAsia="zh-CN"/>
        </w:rPr>
        <w:t>citations per paper, types</w:t>
      </w:r>
      <w:r w:rsidR="00427468">
        <w:rPr>
          <w:lang w:eastAsia="zh-CN"/>
        </w:rPr>
        <w:t xml:space="preserve"> of </w:t>
      </w:r>
      <w:r w:rsidRPr="001A3D2B">
        <w:rPr>
          <w:lang w:eastAsia="zh-CN"/>
        </w:rPr>
        <w:t>citations, language-based citation number, Price index</w:t>
      </w:r>
      <w:r w:rsidR="005853A9">
        <w:rPr>
          <w:lang w:eastAsia="zh-CN"/>
        </w:rPr>
        <w:t xml:space="preserve"> and </w:t>
      </w:r>
      <w:r w:rsidRPr="001A3D2B">
        <w:rPr>
          <w:lang w:eastAsia="zh-CN"/>
        </w:rPr>
        <w:t>self-citation rate.Results:During 2003~2005,</w:t>
      </w:r>
      <w:r w:rsidR="003A1917">
        <w:rPr>
          <w:lang w:eastAsia="zh-CN"/>
        </w:rPr>
        <w:t xml:space="preserve"> the </w:t>
      </w:r>
      <w:r w:rsidRPr="001A3D2B">
        <w:rPr>
          <w:lang w:eastAsia="zh-CN"/>
        </w:rPr>
        <w:t>average citation rate was 86.72%</w:t>
      </w:r>
      <w:r w:rsidR="005853A9">
        <w:rPr>
          <w:lang w:eastAsia="zh-CN"/>
        </w:rPr>
        <w:t xml:space="preserve"> and </w:t>
      </w:r>
      <w:r w:rsidRPr="001A3D2B">
        <w:rPr>
          <w:lang w:eastAsia="zh-CN"/>
        </w:rPr>
        <w:t>number</w:t>
      </w:r>
      <w:r w:rsidR="00427468">
        <w:rPr>
          <w:lang w:eastAsia="zh-CN"/>
        </w:rPr>
        <w:t xml:space="preserve"> of </w:t>
      </w:r>
      <w:r w:rsidRPr="001A3D2B">
        <w:rPr>
          <w:lang w:eastAsia="zh-CN"/>
        </w:rPr>
        <w:t>citations per paper 4.36.The number</w:t>
      </w:r>
      <w:r w:rsidR="00427468">
        <w:rPr>
          <w:lang w:eastAsia="zh-CN"/>
        </w:rPr>
        <w:t xml:space="preserve"> of </w:t>
      </w:r>
      <w:r w:rsidRPr="001A3D2B">
        <w:rPr>
          <w:lang w:eastAsia="zh-CN"/>
        </w:rPr>
        <w:t xml:space="preserve">citations in Chinese was significant... </w:t>
      </w:r>
    </w:p>
    <w:p w:rsidR="003474F2" w:rsidRPr="001A3D2B" w:rsidRDefault="003474F2" w:rsidP="003474F2">
      <w:pPr>
        <w:pStyle w:val="a3"/>
      </w:pPr>
      <w:r w:rsidRPr="001A3D2B">
        <w:rPr>
          <w:lang w:eastAsia="zh-CN"/>
        </w:rPr>
        <w:t>Keywords: Chinese Journal</w:t>
      </w:r>
      <w:r w:rsidR="00427468">
        <w:rPr>
          <w:lang w:eastAsia="zh-CN"/>
        </w:rPr>
        <w:t xml:space="preserve"> of </w:t>
      </w:r>
      <w:r w:rsidRPr="001A3D2B">
        <w:rPr>
          <w:lang w:eastAsia="zh-CN"/>
        </w:rPr>
        <w:t>Health Laboratory Technology, Citation Analysis</w:t>
      </w:r>
    </w:p>
    <w:p w:rsidR="003474F2" w:rsidRPr="001A3D2B" w:rsidRDefault="003474F2" w:rsidP="003474F2">
      <w:pPr>
        <w:pStyle w:val="1"/>
      </w:pPr>
      <w:r w:rsidRPr="001A3D2B">
        <w:br w:type="page"/>
      </w:r>
      <w:bookmarkStart w:id="202" w:name="_Toc420814976"/>
      <w:r w:rsidRPr="001A3D2B">
        <w:lastRenderedPageBreak/>
        <w:t>Title: Chinese Journal</w:t>
      </w:r>
      <w:r w:rsidR="00427468">
        <w:t xml:space="preserve"> of </w:t>
      </w:r>
      <w:r w:rsidRPr="001A3D2B">
        <w:t>Hospital Administration</w:t>
      </w:r>
      <w:bookmarkEnd w:id="202"/>
    </w:p>
    <w:p w:rsidR="003474F2" w:rsidRPr="001A3D2B" w:rsidRDefault="003474F2" w:rsidP="003474F2">
      <w:pPr>
        <w:pStyle w:val="12"/>
      </w:pPr>
      <w:r w:rsidRPr="001A3D2B">
        <w:t xml:space="preserve">Full Journal Title: </w:t>
      </w:r>
      <w:hyperlink r:id="rId234" w:history="1">
        <w:r w:rsidRPr="001A3D2B">
          <w:rPr>
            <w:rStyle w:val="a5"/>
          </w:rPr>
          <w:t>Chinese Journal</w:t>
        </w:r>
        <w:r w:rsidR="00427468">
          <w:rPr>
            <w:rStyle w:val="a5"/>
          </w:rPr>
          <w:t xml:space="preserve"> of </w:t>
        </w:r>
        <w:r w:rsidRPr="001A3D2B">
          <w:rPr>
            <w:rStyle w:val="a5"/>
          </w:rPr>
          <w:t>Hospital Administration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1000-6672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Zhang, L.H. (2006), Analysis</w:t>
      </w:r>
      <w:r w:rsidR="00427468">
        <w:t xml:space="preserve"> of </w:t>
      </w:r>
      <w:r w:rsidR="003A1917">
        <w:t xml:space="preserve">the </w:t>
      </w:r>
      <w:r w:rsidRPr="001A3D2B">
        <w:t>major bibliometric indexes</w:t>
      </w:r>
      <w:r w:rsidR="00427468">
        <w:t xml:space="preserve"> of </w:t>
      </w:r>
      <w:r w:rsidR="003A1917">
        <w:t xml:space="preserve">the </w:t>
      </w:r>
      <w:r w:rsidRPr="001A3D2B">
        <w:rPr>
          <w:i/>
        </w:rPr>
        <w:t>Chinese Journal</w:t>
      </w:r>
      <w:r w:rsidR="00427468">
        <w:rPr>
          <w:i/>
        </w:rPr>
        <w:t xml:space="preserve"> of </w:t>
      </w:r>
      <w:r w:rsidRPr="001A3D2B">
        <w:rPr>
          <w:i/>
        </w:rPr>
        <w:t>Hospital Administration</w:t>
      </w:r>
      <w:r w:rsidRPr="001A3D2B">
        <w:t xml:space="preserve">. </w:t>
      </w:r>
      <w:r w:rsidRPr="001A3D2B">
        <w:rPr>
          <w:i/>
        </w:rPr>
        <w:t>Chinese Journal</w:t>
      </w:r>
      <w:r w:rsidR="00427468">
        <w:rPr>
          <w:i/>
        </w:rPr>
        <w:t xml:space="preserve"> of </w:t>
      </w:r>
      <w:r w:rsidRPr="001A3D2B">
        <w:rPr>
          <w:i/>
        </w:rPr>
        <w:t>Hospital Administration</w:t>
      </w:r>
      <w:r w:rsidRPr="001A3D2B">
        <w:t xml:space="preserve">, </w:t>
      </w:r>
      <w:r w:rsidRPr="001A3D2B">
        <w:rPr>
          <w:b/>
          <w:szCs w:val="19"/>
        </w:rPr>
        <w:t>22</w:t>
      </w:r>
      <w:r w:rsidRPr="001A3D2B">
        <w:rPr>
          <w:szCs w:val="19"/>
        </w:rPr>
        <w:t xml:space="preserve"> (4), 282-284</w:t>
      </w:r>
      <w:r w:rsidRPr="001A3D2B">
        <w:t>.</w:t>
      </w:r>
    </w:p>
    <w:p w:rsidR="003474F2" w:rsidRPr="001A3D2B" w:rsidRDefault="003474F2" w:rsidP="003474F2">
      <w:pPr>
        <w:pStyle w:val="a3"/>
      </w:pPr>
      <w:r w:rsidRPr="001A3D2B">
        <w:t xml:space="preserve">Full Text: </w:t>
      </w:r>
      <w:hyperlink r:id="rId235" w:history="1">
        <w:r w:rsidRPr="001A3D2B">
          <w:rPr>
            <w:rStyle w:val="a5"/>
          </w:rPr>
          <w:t>2006\Chi J Hos Adm22, 282.pdf</w:t>
        </w:r>
      </w:hyperlink>
    </w:p>
    <w:p w:rsidR="003474F2" w:rsidRPr="001A3D2B" w:rsidRDefault="003474F2" w:rsidP="003474F2">
      <w:pPr>
        <w:pStyle w:val="a3"/>
      </w:pPr>
      <w:r w:rsidRPr="001A3D2B">
        <w:t>Abstract: Based on data provided by</w:t>
      </w:r>
      <w:r w:rsidR="003A1917">
        <w:t xml:space="preserve"> the </w:t>
      </w:r>
      <w:r w:rsidRPr="001A3D2B">
        <w:t>China Scientific</w:t>
      </w:r>
      <w:r w:rsidR="005853A9">
        <w:t xml:space="preserve"> and </w:t>
      </w:r>
      <w:r w:rsidRPr="001A3D2B">
        <w:t>Technical Papers</w:t>
      </w:r>
      <w:r w:rsidR="005853A9">
        <w:t xml:space="preserve"> and </w:t>
      </w:r>
      <w:r w:rsidRPr="001A3D2B">
        <w:t>Citations Database, an analysis was made</w:t>
      </w:r>
      <w:r w:rsidR="00427468">
        <w:t xml:space="preserve"> of </w:t>
      </w:r>
      <w:r w:rsidRPr="001A3D2B">
        <w:t>some bibliometric indexes</w:t>
      </w:r>
      <w:r w:rsidR="00427468">
        <w:t xml:space="preserve"> of </w:t>
      </w:r>
      <w:r w:rsidR="003A1917">
        <w:t xml:space="preserve">the </w:t>
      </w:r>
      <w:r w:rsidRPr="001A3D2B">
        <w:t>Chinese Journal</w:t>
      </w:r>
      <w:r w:rsidR="00427468">
        <w:t xml:space="preserve"> of </w:t>
      </w:r>
      <w:r w:rsidRPr="001A3D2B">
        <w:t>Hospital Administration over</w:t>
      </w:r>
      <w:r w:rsidR="003A1917">
        <w:t xml:space="preserve"> the </w:t>
      </w:r>
      <w:r w:rsidRPr="001A3D2B">
        <w:t>2001-2004 period, including total citation frequency, impact factor, citation index,</w:t>
      </w:r>
      <w:r w:rsidR="005853A9">
        <w:t xml:space="preserve"> and </w:t>
      </w:r>
      <w:r w:rsidR="003A1917">
        <w:t xml:space="preserve">the </w:t>
      </w:r>
      <w:r w:rsidRPr="001A3D2B">
        <w:t>proportion</w:t>
      </w:r>
      <w:r w:rsidR="00427468">
        <w:t xml:space="preserve"> of </w:t>
      </w:r>
      <w:r w:rsidRPr="001A3D2B">
        <w:t>papers based on fund-assisted projects</w:t>
      </w:r>
      <w:r w:rsidR="00A37C1D">
        <w:t>. The</w:t>
      </w:r>
      <w:r w:rsidR="003A1917">
        <w:t xml:space="preserve"> </w:t>
      </w:r>
      <w:r w:rsidRPr="001A3D2B">
        <w:t>result indicates that</w:t>
      </w:r>
      <w:r w:rsidR="003A1917">
        <w:t xml:space="preserve"> the </w:t>
      </w:r>
      <w:r w:rsidRPr="001A3D2B">
        <w:t>journal has high impact factor</w:t>
      </w:r>
      <w:r w:rsidR="005853A9">
        <w:t xml:space="preserve"> and </w:t>
      </w:r>
      <w:r w:rsidRPr="001A3D2B">
        <w:t>total citation frequency in periodicals covered by</w:t>
      </w:r>
      <w:r w:rsidR="003A1917">
        <w:t xml:space="preserve"> the </w:t>
      </w:r>
      <w:r w:rsidRPr="001A3D2B">
        <w:t>China Scientific</w:t>
      </w:r>
      <w:r w:rsidR="005853A9">
        <w:t xml:space="preserve"> and </w:t>
      </w:r>
      <w:r w:rsidRPr="001A3D2B">
        <w:t>Technical Papers</w:t>
      </w:r>
      <w:r w:rsidR="005853A9">
        <w:t xml:space="preserve"> and </w:t>
      </w:r>
      <w:r w:rsidRPr="001A3D2B">
        <w:t>Ci...</w:t>
      </w:r>
    </w:p>
    <w:p w:rsidR="003474F2" w:rsidRPr="001A3D2B" w:rsidRDefault="003474F2" w:rsidP="003474F2">
      <w:pPr>
        <w:pStyle w:val="a3"/>
      </w:pPr>
      <w:r w:rsidRPr="001A3D2B">
        <w:t>Keywords: Citation Frequency, Impact Factor, Bibliometric Index</w:t>
      </w:r>
    </w:p>
    <w:p w:rsidR="003474F2" w:rsidRPr="001A3D2B" w:rsidRDefault="003474F2" w:rsidP="003474F2">
      <w:pPr>
        <w:pStyle w:val="1"/>
      </w:pPr>
      <w:r w:rsidRPr="001A3D2B">
        <w:br w:type="page"/>
      </w:r>
      <w:bookmarkStart w:id="203" w:name="_Toc420814977"/>
      <w:r w:rsidRPr="001A3D2B">
        <w:lastRenderedPageBreak/>
        <w:t xml:space="preserve">Title: </w:t>
      </w:r>
      <w:r w:rsidRPr="001A3D2B">
        <w:rPr>
          <w:iCs w:val="0"/>
          <w:szCs w:val="24"/>
        </w:rPr>
        <w:t>Chinese Journal</w:t>
      </w:r>
      <w:r w:rsidR="00427468">
        <w:rPr>
          <w:iCs w:val="0"/>
          <w:szCs w:val="24"/>
        </w:rPr>
        <w:t xml:space="preserve"> of </w:t>
      </w:r>
      <w:r w:rsidRPr="001A3D2B">
        <w:rPr>
          <w:iCs w:val="0"/>
          <w:szCs w:val="24"/>
        </w:rPr>
        <w:t>Integrative Medicine</w:t>
      </w:r>
      <w:bookmarkEnd w:id="203"/>
    </w:p>
    <w:p w:rsidR="003474F2" w:rsidRPr="001A3D2B" w:rsidRDefault="003474F2" w:rsidP="003474F2">
      <w:pPr>
        <w:pStyle w:val="12"/>
      </w:pPr>
      <w:r w:rsidRPr="001A3D2B">
        <w:t>Full Journal Title: Chinese Journal</w:t>
      </w:r>
      <w:r w:rsidR="00427468">
        <w:t xml:space="preserve"> of </w:t>
      </w:r>
      <w:r w:rsidRPr="001A3D2B">
        <w:t>Integrative Medicine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(2008), </w:t>
      </w:r>
      <w:r w:rsidRPr="001A3D2B">
        <w:rPr>
          <w:i/>
          <w:iCs/>
        </w:rPr>
        <w:t>Chinese Journal</w:t>
      </w:r>
      <w:r w:rsidR="00427468">
        <w:rPr>
          <w:i/>
          <w:iCs/>
        </w:rPr>
        <w:t xml:space="preserve"> of </w:t>
      </w:r>
      <w:r w:rsidRPr="001A3D2B">
        <w:rPr>
          <w:i/>
          <w:iCs/>
        </w:rPr>
        <w:t>Integrative Medicine</w:t>
      </w:r>
      <w:r w:rsidRPr="001A3D2B">
        <w:t xml:space="preserve"> is included in Science Citation Index expanded journal list from 2008. </w:t>
      </w:r>
      <w:r w:rsidRPr="001A3D2B">
        <w:rPr>
          <w:i/>
          <w:iCs/>
        </w:rPr>
        <w:t>Chinese Journal</w:t>
      </w:r>
      <w:r w:rsidR="00427468">
        <w:rPr>
          <w:i/>
          <w:iCs/>
        </w:rPr>
        <w:t xml:space="preserve"> of </w:t>
      </w:r>
      <w:r w:rsidRPr="001A3D2B">
        <w:rPr>
          <w:i/>
          <w:iCs/>
        </w:rPr>
        <w:t>Integrative Medicine</w:t>
      </w:r>
      <w:r w:rsidRPr="001A3D2B">
        <w:t xml:space="preserve">, </w:t>
      </w:r>
      <w:r w:rsidRPr="001A3D2B">
        <w:rPr>
          <w:b/>
          <w:bCs/>
        </w:rPr>
        <w:t>14</w:t>
      </w:r>
      <w:r w:rsidRPr="001A3D2B">
        <w:t xml:space="preserve"> (2), 110.</w:t>
      </w:r>
    </w:p>
    <w:p w:rsidR="006A1A1C" w:rsidRPr="00C73C58" w:rsidRDefault="006A1A1C" w:rsidP="006A1A1C">
      <w:pPr>
        <w:pStyle w:val="a3"/>
      </w:pPr>
      <w:r w:rsidRPr="00C73C58">
        <w:t xml:space="preserve">Full Text: </w:t>
      </w:r>
      <w:hyperlink r:id="rId236" w:history="1">
        <w:r w:rsidR="002E5872" w:rsidRPr="002E5872">
          <w:rPr>
            <w:rStyle w:val="a5"/>
          </w:rPr>
          <w:t>2008\Chi J Int Med14, 110.pdf</w:t>
        </w:r>
      </w:hyperlink>
    </w:p>
    <w:p w:rsidR="006A1A1C" w:rsidRPr="00C73C58" w:rsidRDefault="006A1A1C" w:rsidP="006A1A1C">
      <w:pPr>
        <w:pStyle w:val="a3"/>
      </w:pPr>
      <w:r w:rsidRPr="00C73C58">
        <w:t>Keywords: Chinese, Citation, Jun, Science Citation Index</w:t>
      </w:r>
    </w:p>
    <w:p w:rsidR="00666900" w:rsidRDefault="00666900" w:rsidP="00666900">
      <w:pPr>
        <w:pStyle w:val="a3"/>
        <w:rPr>
          <w:kern w:val="0"/>
        </w:rPr>
      </w:pPr>
      <w:r>
        <w:rPr>
          <w:rFonts w:hint="eastAsia"/>
          <w:kern w:val="0"/>
        </w:rPr>
        <w:t xml:space="preserve">? </w:t>
      </w:r>
      <w:r>
        <w:rPr>
          <w:kern w:val="0"/>
        </w:rPr>
        <w:t xml:space="preserve">Kim, B.Y., Kang, J.S., Han, J.S. and Jeon, W.K. (2014), Mapping the dementia research area at the micro-level using co-terms analysis and positioning for traditional herbal medicine. </w:t>
      </w:r>
      <w:r>
        <w:rPr>
          <w:i/>
          <w:iCs/>
          <w:kern w:val="0"/>
        </w:rPr>
        <w:t>Chinese Journal of Integrative Medicine</w:t>
      </w:r>
      <w:r>
        <w:rPr>
          <w:kern w:val="0"/>
        </w:rPr>
        <w:t xml:space="preserve">, </w:t>
      </w:r>
      <w:r>
        <w:rPr>
          <w:b/>
          <w:bCs/>
          <w:kern w:val="0"/>
        </w:rPr>
        <w:t>20</w:t>
      </w:r>
      <w:r>
        <w:rPr>
          <w:kern w:val="0"/>
        </w:rPr>
        <w:t xml:space="preserve"> (9), 706-711.</w:t>
      </w:r>
    </w:p>
    <w:p w:rsidR="00666900" w:rsidRPr="00C73C58" w:rsidRDefault="00666900" w:rsidP="00666900">
      <w:pPr>
        <w:pStyle w:val="a3"/>
      </w:pPr>
      <w:r w:rsidRPr="00C73C58">
        <w:t xml:space="preserve">Full Text: </w:t>
      </w:r>
      <w:hyperlink r:id="rId237" w:history="1">
        <w:r w:rsidRPr="00933E41">
          <w:rPr>
            <w:rStyle w:val="a5"/>
          </w:rPr>
          <w:t>2014\Chi J Int Med20, 706.pdf</w:t>
        </w:r>
      </w:hyperlink>
    </w:p>
    <w:p w:rsidR="00666900" w:rsidRDefault="00666900" w:rsidP="00666900">
      <w:pPr>
        <w:pStyle w:val="a3"/>
        <w:rPr>
          <w:kern w:val="0"/>
        </w:rPr>
      </w:pPr>
      <w:r>
        <w:rPr>
          <w:kern w:val="0"/>
        </w:rPr>
        <w:t>Abstract: To identify the position of traditional herbal medicine in dementia research field using mapping technology. Keywords for dementia and traditional herbal medicine for treating dementia were used to extract scientific articles from the Web of Science database from January 2000 to July 2010. A co-occurrence matrix was created based on the concurrent set of author</w:t>
      </w:r>
      <w:r w:rsidR="0071223E">
        <w:rPr>
          <w:kern w:val="0"/>
        </w:rPr>
        <w:t>’</w:t>
      </w:r>
      <w:r>
        <w:rPr>
          <w:kern w:val="0"/>
        </w:rPr>
        <w:t xml:space="preserve">s keywords occurring in each scientific article, and technology network maps were created from similarity index matrices. Twenty specialized research areas were identified in the dementia field, and the relationship strength was 0.2-0.6. Many research fields were associated with diagnosis and risk factors for dementia. Additionally, the mechanism or cause of dementia is an actively studied field. Traditional herbal medicine for treating dementia was located on a map near the cortical dementia diagnosis and therapy, and frontotemporal dementia research field with a relationship strength of 0.53 and 0.31-0.33 respectively, which demonstrates that traditional herbal medicine for dementia occupies an independent research area with a relationship to existing scientific research fields. Traditional herbal medicine can provide an alternative and </w:t>
      </w:r>
      <w:r>
        <w:rPr>
          <w:kern w:val="0"/>
        </w:rPr>
        <w:lastRenderedPageBreak/>
        <w:t>complementary approach for treating dementia as evidenced by a scientific mapping analysis.</w:t>
      </w:r>
    </w:p>
    <w:p w:rsidR="00666900" w:rsidRDefault="00666900" w:rsidP="00666900">
      <w:pPr>
        <w:pStyle w:val="a3"/>
        <w:rPr>
          <w:kern w:val="0"/>
        </w:rPr>
      </w:pPr>
      <w:r>
        <w:rPr>
          <w:kern w:val="0"/>
        </w:rPr>
        <w:t>Keywords: Alternative, Alzheimers-Disease, Analysis, Approach, Article, Articles, Complementary, Database, Dementia, Diagnosis, Field, Herbal Medicine, Index, Keywords, Mapping, Matrix, Mechanism, Medicine, Network, Positioning, Prevalence, Psychological Symptoms, Research, Research Areas, Risk, Risk Factors, Science, Scientific Research, Similarity, Strength, Technology, Therapy, Traditional, Traditional Herbal Medicine, Web Of Science</w:t>
      </w:r>
    </w:p>
    <w:p w:rsidR="003474F2" w:rsidRPr="001A3D2B" w:rsidRDefault="003474F2" w:rsidP="003474F2">
      <w:pPr>
        <w:pStyle w:val="1"/>
      </w:pPr>
      <w:r w:rsidRPr="001A3D2B">
        <w:br w:type="page"/>
      </w:r>
      <w:bookmarkStart w:id="204" w:name="_Toc420814978"/>
      <w:r w:rsidRPr="001A3D2B">
        <w:lastRenderedPageBreak/>
        <w:t>Title: Chinese Journal</w:t>
      </w:r>
      <w:r w:rsidR="00427468">
        <w:t xml:space="preserve"> of </w:t>
      </w:r>
      <w:r w:rsidRPr="001A3D2B">
        <w:t>Medical Library</w:t>
      </w:r>
      <w:r w:rsidR="005853A9">
        <w:t xml:space="preserve"> and </w:t>
      </w:r>
      <w:r w:rsidRPr="001A3D2B">
        <w:t>Information Science</w:t>
      </w:r>
      <w:bookmarkEnd w:id="204"/>
    </w:p>
    <w:p w:rsidR="003474F2" w:rsidRPr="001A3D2B" w:rsidRDefault="003474F2" w:rsidP="003474F2">
      <w:pPr>
        <w:pStyle w:val="12"/>
      </w:pPr>
      <w:r w:rsidRPr="001A3D2B">
        <w:t xml:space="preserve">Full Journal Title: </w:t>
      </w:r>
      <w:hyperlink r:id="rId238" w:history="1">
        <w:r w:rsidRPr="001A3D2B">
          <w:rPr>
            <w:rStyle w:val="a5"/>
          </w:rPr>
          <w:t>Chinese Journal</w:t>
        </w:r>
        <w:r w:rsidR="00427468">
          <w:rPr>
            <w:rStyle w:val="a5"/>
          </w:rPr>
          <w:t xml:space="preserve"> of </w:t>
        </w:r>
        <w:r w:rsidRPr="001A3D2B">
          <w:rPr>
            <w:rStyle w:val="a5"/>
          </w:rPr>
          <w:t>Medical Library</w:t>
        </w:r>
        <w:r w:rsidR="005853A9">
          <w:rPr>
            <w:rStyle w:val="a5"/>
          </w:rPr>
          <w:t xml:space="preserve"> and </w:t>
        </w:r>
        <w:r w:rsidRPr="001A3D2B">
          <w:rPr>
            <w:rStyle w:val="a5"/>
          </w:rPr>
          <w:t>Information 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1617-3982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UUniversity, TTopic</w:t>
      </w:r>
    </w:p>
    <w:p w:rsidR="003474F2" w:rsidRPr="001A3D2B" w:rsidRDefault="003474F2" w:rsidP="003474F2">
      <w:pPr>
        <w:pStyle w:val="a3"/>
        <w:rPr>
          <w:szCs w:val="24"/>
        </w:rPr>
      </w:pPr>
      <w:r w:rsidRPr="001A3D2B">
        <w:rPr>
          <w:szCs w:val="24"/>
        </w:rPr>
        <w:t xml:space="preserve">? </w:t>
      </w:r>
      <w:r w:rsidRPr="001A3D2B">
        <w:t>Huang, R.M., Zhao, W.Z.</w:t>
      </w:r>
      <w:r w:rsidR="005853A9">
        <w:t xml:space="preserve"> and </w:t>
      </w:r>
      <w:r w:rsidRPr="001A3D2B">
        <w:t>Lin, X.H.</w:t>
      </w:r>
      <w:r w:rsidRPr="001A3D2B">
        <w:rPr>
          <w:szCs w:val="24"/>
        </w:rPr>
        <w:t xml:space="preserve"> (2006),</w:t>
      </w:r>
      <w:r w:rsidRPr="001A3D2B">
        <w:t xml:space="preserve"> Scientific papers in China</w:t>
      </w:r>
      <w:r w:rsidR="0071223E">
        <w:t>’</w:t>
      </w:r>
      <w:r w:rsidR="00C13DDC">
        <w:t>s</w:t>
      </w:r>
      <w:r w:rsidRPr="001A3D2B">
        <w:t xml:space="preserve"> TCM colleges</w:t>
      </w:r>
      <w:r w:rsidR="005853A9">
        <w:t xml:space="preserve"> and </w:t>
      </w:r>
      <w:r w:rsidRPr="001A3D2B">
        <w:t>universities from 1997 to 2005: A bibliometric analysis.</w:t>
      </w:r>
      <w:r w:rsidRPr="001A3D2B">
        <w:rPr>
          <w:szCs w:val="24"/>
        </w:rPr>
        <w:t xml:space="preserve"> </w:t>
      </w:r>
      <w:r w:rsidRPr="001A3D2B">
        <w:rPr>
          <w:i/>
        </w:rPr>
        <w:t>Chinese Journal</w:t>
      </w:r>
      <w:r w:rsidR="00427468">
        <w:rPr>
          <w:i/>
        </w:rPr>
        <w:t xml:space="preserve"> of </w:t>
      </w:r>
      <w:r w:rsidRPr="001A3D2B">
        <w:rPr>
          <w:i/>
        </w:rPr>
        <w:t>Medical Library</w:t>
      </w:r>
      <w:r w:rsidR="005853A9">
        <w:rPr>
          <w:i/>
        </w:rPr>
        <w:t xml:space="preserve"> and </w:t>
      </w:r>
      <w:r w:rsidRPr="001A3D2B">
        <w:rPr>
          <w:i/>
        </w:rPr>
        <w:t>Information Science</w:t>
      </w:r>
      <w:r w:rsidRPr="001A3D2B">
        <w:rPr>
          <w:szCs w:val="24"/>
        </w:rPr>
        <w:t xml:space="preserve">, </w:t>
      </w:r>
      <w:r w:rsidRPr="001A3D2B">
        <w:rPr>
          <w:b/>
          <w:szCs w:val="24"/>
        </w:rPr>
        <w:t>15</w:t>
      </w:r>
      <w:r w:rsidRPr="001A3D2B">
        <w:rPr>
          <w:szCs w:val="24"/>
        </w:rPr>
        <w:t xml:space="preserve"> (6), 74-76.</w:t>
      </w:r>
    </w:p>
    <w:p w:rsidR="003474F2" w:rsidRPr="001A3D2B" w:rsidRDefault="003474F2" w:rsidP="003474F2">
      <w:pPr>
        <w:pStyle w:val="a3"/>
      </w:pPr>
      <w:r w:rsidRPr="001A3D2B">
        <w:rPr>
          <w:szCs w:val="24"/>
        </w:rPr>
        <w:t xml:space="preserve">Full Text: </w:t>
      </w:r>
      <w:hyperlink r:id="rId239" w:history="1">
        <w:r w:rsidRPr="001A3D2B">
          <w:rPr>
            <w:rStyle w:val="a5"/>
            <w:szCs w:val="24"/>
          </w:rPr>
          <w:t>2006\Chi J Med Lib Inf Sci15, 74.pdf</w:t>
        </w:r>
      </w:hyperlink>
    </w:p>
    <w:p w:rsidR="003474F2" w:rsidRPr="001A3D2B" w:rsidRDefault="003474F2" w:rsidP="003474F2">
      <w:pPr>
        <w:pStyle w:val="a3"/>
      </w:pPr>
      <w:r w:rsidRPr="001A3D2B">
        <w:t>Abstract:</w:t>
      </w:r>
      <w:r w:rsidR="003A1917">
        <w:t xml:space="preserve"> the </w:t>
      </w:r>
      <w:r w:rsidRPr="001A3D2B">
        <w:t>scientific papers in 23 colleges</w:t>
      </w:r>
      <w:r w:rsidR="005853A9">
        <w:t xml:space="preserve"> and </w:t>
      </w:r>
      <w:r w:rsidRPr="001A3D2B">
        <w:t>universities</w:t>
      </w:r>
      <w:r w:rsidR="00427468">
        <w:t xml:space="preserve"> of </w:t>
      </w:r>
      <w:r w:rsidRPr="001A3D2B">
        <w:t xml:space="preserve">TCM in </w:t>
      </w:r>
      <w:smartTag w:uri="urn:schemas-microsoft-com:office:smarttags" w:element="place">
        <w:smartTag w:uri="urn:schemas-microsoft-com:office:smarttags" w:element="country-region">
          <w:r w:rsidRPr="001A3D2B">
            <w:t>China</w:t>
          </w:r>
        </w:smartTag>
      </w:smartTag>
      <w:r w:rsidRPr="001A3D2B">
        <w:t xml:space="preserve"> from 1997 to 2005 are statistically analyzed based on</w:t>
      </w:r>
      <w:r w:rsidR="003A1917">
        <w:t xml:space="preserve"> the </w:t>
      </w:r>
      <w:r w:rsidRPr="001A3D2B">
        <w:t>data on CBMdisc</w:t>
      </w:r>
      <w:r w:rsidR="00A37C1D">
        <w:t>. The</w:t>
      </w:r>
      <w:r w:rsidR="003A1917">
        <w:t xml:space="preserve"> </w:t>
      </w:r>
      <w:r w:rsidRPr="001A3D2B">
        <w:t>aim</w:t>
      </w:r>
      <w:r w:rsidR="00427468">
        <w:t xml:space="preserve"> of </w:t>
      </w:r>
      <w:r w:rsidRPr="001A3D2B">
        <w:t>this article is to reveal</w:t>
      </w:r>
      <w:r w:rsidR="003A1917">
        <w:t xml:space="preserve"> the </w:t>
      </w:r>
      <w:r w:rsidRPr="001A3D2B">
        <w:t>current status</w:t>
      </w:r>
      <w:r w:rsidR="005853A9">
        <w:t xml:space="preserve"> and </w:t>
      </w:r>
      <w:r w:rsidRPr="001A3D2B">
        <w:t>distribution</w:t>
      </w:r>
      <w:r w:rsidR="00427468">
        <w:t xml:space="preserve"> of </w:t>
      </w:r>
      <w:r w:rsidRPr="001A3D2B">
        <w:t>scientific papers in China</w:t>
      </w:r>
      <w:r w:rsidR="0071223E">
        <w:t>’</w:t>
      </w:r>
      <w:r w:rsidR="00C13DDC">
        <w:t>s</w:t>
      </w:r>
      <w:r w:rsidRPr="001A3D2B">
        <w:t xml:space="preserve"> TCM colleges</w:t>
      </w:r>
      <w:r w:rsidR="005853A9">
        <w:t xml:space="preserve"> and </w:t>
      </w:r>
      <w:r w:rsidRPr="001A3D2B">
        <w:t>universities,</w:t>
      </w:r>
      <w:r w:rsidR="003A1917">
        <w:t xml:space="preserve"> the </w:t>
      </w:r>
      <w:r w:rsidRPr="001A3D2B">
        <w:t>scientific research level</w:t>
      </w:r>
      <w:r w:rsidR="005853A9">
        <w:t xml:space="preserve"> and </w:t>
      </w:r>
      <w:r w:rsidRPr="001A3D2B">
        <w:t>position in</w:t>
      </w:r>
      <w:r w:rsidR="003A1917">
        <w:t xml:space="preserve"> the </w:t>
      </w:r>
      <w:r w:rsidRPr="001A3D2B">
        <w:t>same kind</w:t>
      </w:r>
      <w:r w:rsidR="00427468">
        <w:t xml:space="preserve"> of </w:t>
      </w:r>
      <w:r w:rsidRPr="001A3D2B">
        <w:t>colleges</w:t>
      </w:r>
      <w:r w:rsidR="005853A9">
        <w:t xml:space="preserve"> and </w:t>
      </w:r>
      <w:r w:rsidRPr="001A3D2B">
        <w:t xml:space="preserve">universities in </w:t>
      </w:r>
      <w:smartTag w:uri="urn:schemas-microsoft-com:office:smarttags" w:element="place">
        <w:smartTag w:uri="urn:schemas-microsoft-com:office:smarttags" w:element="country-region">
          <w:r w:rsidRPr="001A3D2B">
            <w:t>China</w:t>
          </w:r>
        </w:smartTag>
      </w:smartTag>
      <w:r w:rsidRPr="001A3D2B">
        <w:t xml:space="preserve"> so as to offer a valuable reference to managers</w:t>
      </w:r>
      <w:r w:rsidR="005853A9">
        <w:t xml:space="preserve"> and </w:t>
      </w:r>
      <w:r w:rsidRPr="001A3D2B">
        <w:t>scientific personnel.</w:t>
      </w:r>
    </w:p>
    <w:p w:rsidR="003474F2" w:rsidRPr="001A3D2B" w:rsidRDefault="003474F2" w:rsidP="003474F2">
      <w:pPr>
        <w:pStyle w:val="a3"/>
      </w:pPr>
      <w:r w:rsidRPr="001A3D2B">
        <w:t xml:space="preserve">Keywords: TCM Papers, </w:t>
      </w:r>
      <w:smartTag w:uri="urn:schemas-microsoft-com:office:smarttags" w:element="PlaceName">
        <w:r w:rsidRPr="001A3D2B">
          <w:t>TCM</w:t>
        </w:r>
      </w:smartTag>
      <w:r w:rsidRPr="001A3D2B">
        <w:t xml:space="preserve"> Colleges</w:t>
      </w:r>
      <w:r w:rsidR="005853A9">
        <w:t xml:space="preserve"> and </w:t>
      </w:r>
      <w:r w:rsidRPr="001A3D2B">
        <w:t>Universities, Bibliometrics</w:t>
      </w:r>
    </w:p>
    <w:p w:rsidR="003474F2" w:rsidRPr="001A3D2B" w:rsidRDefault="003474F2" w:rsidP="003474F2">
      <w:pPr>
        <w:pStyle w:val="a3"/>
        <w:rPr>
          <w:szCs w:val="24"/>
        </w:rPr>
      </w:pPr>
      <w:r w:rsidRPr="001A3D2B">
        <w:rPr>
          <w:szCs w:val="24"/>
        </w:rPr>
        <w:t xml:space="preserve">? </w:t>
      </w:r>
      <w:r w:rsidRPr="001A3D2B">
        <w:t>Chen, J.Q., Du, Y.X., Zhang, Y., Liu J.Y. Wang, G.Q., Zhang, X.M., Lei, C.B.</w:t>
      </w:r>
      <w:r w:rsidR="005853A9">
        <w:t xml:space="preserve"> and </w:t>
      </w:r>
      <w:r w:rsidRPr="001A3D2B">
        <w:t>Yan, S.G.</w:t>
      </w:r>
      <w:r w:rsidRPr="001A3D2B">
        <w:rPr>
          <w:szCs w:val="24"/>
        </w:rPr>
        <w:t xml:space="preserve"> (2007),</w:t>
      </w:r>
      <w:r w:rsidRPr="001A3D2B">
        <w:t xml:space="preserve"> Area distribution</w:t>
      </w:r>
      <w:r w:rsidR="00427468">
        <w:t xml:space="preserve"> of </w:t>
      </w:r>
      <w:r w:rsidRPr="001A3D2B">
        <w:t>highly influential medical articles in China.</w:t>
      </w:r>
      <w:r w:rsidRPr="001A3D2B">
        <w:rPr>
          <w:szCs w:val="24"/>
        </w:rPr>
        <w:t xml:space="preserve"> </w:t>
      </w:r>
      <w:r w:rsidRPr="001A3D2B">
        <w:rPr>
          <w:i/>
        </w:rPr>
        <w:t>Chinese Journal</w:t>
      </w:r>
      <w:r w:rsidR="00427468">
        <w:rPr>
          <w:i/>
        </w:rPr>
        <w:t xml:space="preserve"> of </w:t>
      </w:r>
      <w:r w:rsidRPr="001A3D2B">
        <w:rPr>
          <w:i/>
        </w:rPr>
        <w:t>Medical Library</w:t>
      </w:r>
      <w:r w:rsidR="005853A9">
        <w:rPr>
          <w:i/>
        </w:rPr>
        <w:t xml:space="preserve"> and </w:t>
      </w:r>
      <w:r w:rsidRPr="001A3D2B">
        <w:rPr>
          <w:i/>
        </w:rPr>
        <w:t>Information Science</w:t>
      </w:r>
      <w:r w:rsidRPr="001A3D2B">
        <w:rPr>
          <w:szCs w:val="24"/>
        </w:rPr>
        <w:t xml:space="preserve">, </w:t>
      </w:r>
      <w:r w:rsidRPr="001A3D2B">
        <w:rPr>
          <w:b/>
          <w:szCs w:val="24"/>
        </w:rPr>
        <w:t>16</w:t>
      </w:r>
      <w:r w:rsidRPr="001A3D2B">
        <w:rPr>
          <w:szCs w:val="24"/>
        </w:rPr>
        <w:t xml:space="preserve"> (1), 63-67.</w:t>
      </w:r>
    </w:p>
    <w:p w:rsidR="003474F2" w:rsidRPr="001A3D2B" w:rsidRDefault="003474F2" w:rsidP="003474F2">
      <w:pPr>
        <w:pStyle w:val="a3"/>
      </w:pPr>
      <w:r w:rsidRPr="001A3D2B">
        <w:rPr>
          <w:szCs w:val="24"/>
        </w:rPr>
        <w:t xml:space="preserve">Full Text: </w:t>
      </w:r>
      <w:hyperlink r:id="rId240" w:history="1">
        <w:r w:rsidRPr="001A3D2B">
          <w:rPr>
            <w:rStyle w:val="a5"/>
            <w:szCs w:val="24"/>
          </w:rPr>
          <w:t>2007\Chi J Med Lib Inf Sci16, 63.pdf</w:t>
        </w:r>
      </w:hyperlink>
    </w:p>
    <w:p w:rsidR="003474F2" w:rsidRPr="001A3D2B" w:rsidRDefault="003474F2" w:rsidP="003474F2">
      <w:pPr>
        <w:pStyle w:val="a3"/>
      </w:pPr>
      <w:r w:rsidRPr="001A3D2B">
        <w:t>Abstract: A bibliometric analysis</w:t>
      </w:r>
      <w:r w:rsidR="00427468">
        <w:t xml:space="preserve"> of </w:t>
      </w:r>
      <w:r w:rsidRPr="001A3D2B">
        <w:t>3548 highly influential medical articles with 30 citations searched on CMCI is conducted</w:t>
      </w:r>
      <w:r w:rsidR="00A37C1D">
        <w:t>. The</w:t>
      </w:r>
      <w:r w:rsidR="003A1917">
        <w:t xml:space="preserve"> </w:t>
      </w:r>
      <w:r w:rsidRPr="001A3D2B">
        <w:t>results show more articles scattered in</w:t>
      </w:r>
      <w:r w:rsidR="003A1917">
        <w:t xml:space="preserve"> the </w:t>
      </w:r>
      <w:r w:rsidRPr="001A3D2B">
        <w:t>Southeast Area</w:t>
      </w:r>
      <w:r w:rsidR="005853A9">
        <w:t xml:space="preserve"> and </w:t>
      </w:r>
      <w:r w:rsidRPr="001A3D2B">
        <w:t>Middle East Area</w:t>
      </w:r>
      <w:r w:rsidR="00427468">
        <w:t xml:space="preserve"> of </w:t>
      </w:r>
      <w:r w:rsidRPr="001A3D2B">
        <w:t>China than that in</w:t>
      </w:r>
      <w:r w:rsidR="003A1917">
        <w:t xml:space="preserve"> the </w:t>
      </w:r>
      <w:r w:rsidRPr="001A3D2B">
        <w:t>West Area.</w:t>
      </w:r>
    </w:p>
    <w:p w:rsidR="003474F2" w:rsidRPr="001A3D2B" w:rsidRDefault="003474F2" w:rsidP="003474F2">
      <w:pPr>
        <w:pStyle w:val="a3"/>
      </w:pPr>
      <w:r w:rsidRPr="001A3D2B">
        <w:t xml:space="preserve">Keywords: Highly Influential Medical Articles, Bibliometric Analysis, Area Distribution, Medical Articles, </w:t>
      </w:r>
      <w:smartTag w:uri="urn:schemas-microsoft-com:office:smarttags" w:element="place">
        <w:smartTag w:uri="urn:schemas-microsoft-com:office:smarttags" w:element="country-region">
          <w:r w:rsidRPr="001A3D2B">
            <w:t>China</w:t>
          </w:r>
        </w:smartTag>
      </w:smartTag>
      <w:r w:rsidRPr="001A3D2B">
        <w:t>, CMCI, Citation Databases</w:t>
      </w:r>
    </w:p>
    <w:p w:rsidR="003474F2" w:rsidRPr="001A3D2B" w:rsidRDefault="003474F2" w:rsidP="003474F2">
      <w:pPr>
        <w:pStyle w:val="a3"/>
        <w:rPr>
          <w:szCs w:val="24"/>
        </w:rPr>
      </w:pPr>
      <w:r w:rsidRPr="001A3D2B">
        <w:rPr>
          <w:szCs w:val="24"/>
        </w:rPr>
        <w:t xml:space="preserve">? </w:t>
      </w:r>
      <w:r w:rsidRPr="001A3D2B">
        <w:t>Su, X.M., Li, H.Y.</w:t>
      </w:r>
      <w:r w:rsidR="005853A9">
        <w:t xml:space="preserve"> and </w:t>
      </w:r>
      <w:r w:rsidRPr="001A3D2B">
        <w:t>Wan, M.</w:t>
      </w:r>
      <w:r w:rsidRPr="001A3D2B">
        <w:rPr>
          <w:szCs w:val="24"/>
        </w:rPr>
        <w:t xml:space="preserve"> (2007),</w:t>
      </w:r>
      <w:r w:rsidRPr="001A3D2B">
        <w:t xml:space="preserve"> Papers released by </w:t>
      </w:r>
      <w:smartTag w:uri="urn:schemas-microsoft-com:office:smarttags" w:element="place">
        <w:smartTag w:uri="urn:schemas-microsoft-com:office:smarttags" w:element="PlaceName">
          <w:r w:rsidRPr="001A3D2B">
            <w:t>Chinese</w:t>
          </w:r>
        </w:smartTag>
        <w:r w:rsidRPr="001A3D2B">
          <w:t xml:space="preserve"> </w:t>
        </w:r>
        <w:smartTag w:uri="urn:schemas-microsoft-com:office:smarttags" w:element="PlaceType">
          <w:r w:rsidRPr="001A3D2B">
            <w:t>Center</w:t>
          </w:r>
        </w:smartTag>
      </w:smartTag>
      <w:r w:rsidRPr="001A3D2B">
        <w:t xml:space="preserve"> for Disease Prevention &amp; Control cited by SCI-E from 2003-2005: A bibliometric analysis.</w:t>
      </w:r>
      <w:r w:rsidRPr="001A3D2B">
        <w:rPr>
          <w:szCs w:val="24"/>
        </w:rPr>
        <w:t xml:space="preserve"> </w:t>
      </w:r>
      <w:r w:rsidRPr="001A3D2B">
        <w:rPr>
          <w:i/>
        </w:rPr>
        <w:t>Chinese Journal</w:t>
      </w:r>
      <w:r w:rsidR="00427468">
        <w:rPr>
          <w:i/>
        </w:rPr>
        <w:t xml:space="preserve"> of </w:t>
      </w:r>
      <w:r w:rsidRPr="001A3D2B">
        <w:rPr>
          <w:i/>
        </w:rPr>
        <w:t>Medical Library</w:t>
      </w:r>
      <w:r w:rsidR="005853A9">
        <w:rPr>
          <w:i/>
        </w:rPr>
        <w:t xml:space="preserve"> and </w:t>
      </w:r>
      <w:r w:rsidRPr="001A3D2B">
        <w:rPr>
          <w:i/>
        </w:rPr>
        <w:t>Information Science</w:t>
      </w:r>
      <w:r w:rsidRPr="001A3D2B">
        <w:rPr>
          <w:szCs w:val="24"/>
        </w:rPr>
        <w:t xml:space="preserve">, </w:t>
      </w:r>
      <w:r w:rsidRPr="001A3D2B">
        <w:rPr>
          <w:b/>
          <w:szCs w:val="24"/>
        </w:rPr>
        <w:t>16</w:t>
      </w:r>
      <w:r w:rsidRPr="001A3D2B">
        <w:rPr>
          <w:szCs w:val="24"/>
        </w:rPr>
        <w:t xml:space="preserve"> (1), 67-70.</w:t>
      </w:r>
    </w:p>
    <w:p w:rsidR="003474F2" w:rsidRPr="001A3D2B" w:rsidRDefault="003474F2" w:rsidP="003474F2">
      <w:pPr>
        <w:pStyle w:val="a3"/>
      </w:pPr>
      <w:r w:rsidRPr="001A3D2B">
        <w:rPr>
          <w:szCs w:val="24"/>
        </w:rPr>
        <w:lastRenderedPageBreak/>
        <w:t xml:space="preserve">Full Text: </w:t>
      </w:r>
      <w:hyperlink r:id="rId241" w:history="1">
        <w:r w:rsidRPr="001A3D2B">
          <w:rPr>
            <w:rStyle w:val="a5"/>
            <w:szCs w:val="24"/>
          </w:rPr>
          <w:t>2007\Chi J Med Lib Inf Sci16, 67.pdf</w:t>
        </w:r>
      </w:hyperlink>
    </w:p>
    <w:p w:rsidR="003474F2" w:rsidRPr="001A3D2B" w:rsidRDefault="003474F2" w:rsidP="003474F2">
      <w:pPr>
        <w:pStyle w:val="a3"/>
      </w:pPr>
      <w:r w:rsidRPr="001A3D2B">
        <w:t>Abstract: A bibliometric analysis</w:t>
      </w:r>
      <w:r w:rsidR="00427468">
        <w:t xml:space="preserve"> of </w:t>
      </w:r>
      <w:r w:rsidR="003A1917">
        <w:t xml:space="preserve">the </w:t>
      </w:r>
      <w:r w:rsidRPr="001A3D2B">
        <w:t xml:space="preserve">papers released by </w:t>
      </w:r>
      <w:smartTag w:uri="urn:schemas-microsoft-com:office:smarttags" w:element="place">
        <w:smartTag w:uri="urn:schemas-microsoft-com:office:smarttags" w:element="PlaceName">
          <w:r w:rsidRPr="001A3D2B">
            <w:t>Chinese</w:t>
          </w:r>
        </w:smartTag>
        <w:r w:rsidRPr="001A3D2B">
          <w:t xml:space="preserve"> </w:t>
        </w:r>
        <w:smartTag w:uri="urn:schemas-microsoft-com:office:smarttags" w:element="PlaceType">
          <w:r w:rsidRPr="001A3D2B">
            <w:t>Center</w:t>
          </w:r>
        </w:smartTag>
      </w:smartTag>
      <w:r w:rsidRPr="001A3D2B">
        <w:t xml:space="preserve"> for Disease Prevention &amp; Control cited by SCIE from 2003 to 2005 is conducted in order to understand</w:t>
      </w:r>
      <w:r w:rsidR="003A1917">
        <w:t xml:space="preserve"> the </w:t>
      </w:r>
      <w:r w:rsidRPr="001A3D2B">
        <w:t>status quo</w:t>
      </w:r>
      <w:r w:rsidR="005853A9">
        <w:t xml:space="preserve"> and </w:t>
      </w:r>
      <w:r w:rsidRPr="001A3D2B">
        <w:t>level</w:t>
      </w:r>
      <w:r w:rsidR="00427468">
        <w:t xml:space="preserve"> of </w:t>
      </w:r>
      <w:r w:rsidRPr="001A3D2B">
        <w:t>scientific papers released by</w:t>
      </w:r>
      <w:r w:rsidR="003A1917">
        <w:t xml:space="preserve"> the </w:t>
      </w:r>
      <w:r w:rsidRPr="001A3D2B">
        <w:t>Center.</w:t>
      </w:r>
      <w:r w:rsidR="005853A9">
        <w:t xml:space="preserve"> and </w:t>
      </w:r>
      <w:r w:rsidRPr="001A3D2B">
        <w:t>some suggestions are put forward based on</w:t>
      </w:r>
      <w:r w:rsidR="003A1917">
        <w:t xml:space="preserve"> the </w:t>
      </w:r>
      <w:r w:rsidRPr="001A3D2B">
        <w:t>analysis.</w:t>
      </w:r>
    </w:p>
    <w:p w:rsidR="003474F2" w:rsidRPr="001A3D2B" w:rsidRDefault="003474F2" w:rsidP="003474F2">
      <w:pPr>
        <w:pStyle w:val="a3"/>
      </w:pPr>
      <w:r w:rsidRPr="001A3D2B">
        <w:t xml:space="preserve">Keywords: </w:t>
      </w:r>
      <w:smartTag w:uri="urn:schemas-microsoft-com:office:smarttags" w:element="place">
        <w:smartTag w:uri="urn:schemas-microsoft-com:office:smarttags" w:element="PlaceName">
          <w:r w:rsidRPr="001A3D2B">
            <w:t>Chinese</w:t>
          </w:r>
        </w:smartTag>
        <w:r w:rsidRPr="001A3D2B">
          <w:t xml:space="preserve"> </w:t>
        </w:r>
        <w:smartTag w:uri="urn:schemas-microsoft-com:office:smarttags" w:element="PlaceType">
          <w:r w:rsidRPr="001A3D2B">
            <w:t>Center</w:t>
          </w:r>
        </w:smartTag>
      </w:smartTag>
      <w:r w:rsidRPr="001A3D2B">
        <w:t xml:space="preserve"> for Disease Prevention &amp; Control</w:t>
      </w:r>
      <w:r w:rsidR="00D5664A">
        <w:t>, SCI,</w:t>
      </w:r>
      <w:r w:rsidRPr="001A3D2B">
        <w:t xml:space="preserve"> Bibliometrics, Impact factors</w:t>
      </w:r>
    </w:p>
    <w:p w:rsidR="003474F2" w:rsidRPr="001A3D2B" w:rsidRDefault="003474F2" w:rsidP="003474F2">
      <w:pPr>
        <w:pStyle w:val="a3"/>
        <w:rPr>
          <w:szCs w:val="24"/>
        </w:rPr>
      </w:pPr>
      <w:r w:rsidRPr="001A3D2B">
        <w:rPr>
          <w:szCs w:val="24"/>
        </w:rPr>
        <w:t xml:space="preserve">? </w:t>
      </w:r>
      <w:r w:rsidRPr="001A3D2B">
        <w:t>Wu, L.P.</w:t>
      </w:r>
      <w:r w:rsidRPr="001A3D2B">
        <w:rPr>
          <w:szCs w:val="24"/>
        </w:rPr>
        <w:t xml:space="preserve"> (2007),</w:t>
      </w:r>
      <w:r w:rsidRPr="001A3D2B">
        <w:t xml:space="preserve"> Medical papers</w:t>
      </w:r>
      <w:r w:rsidR="00427468">
        <w:t xml:space="preserve"> of </w:t>
      </w:r>
      <w:r w:rsidRPr="001A3D2B">
        <w:t>Xiamen municipality from 1995 to 2004: A bibliometric analysis.</w:t>
      </w:r>
      <w:r w:rsidRPr="001A3D2B">
        <w:rPr>
          <w:szCs w:val="24"/>
        </w:rPr>
        <w:t xml:space="preserve"> </w:t>
      </w:r>
      <w:r w:rsidRPr="001A3D2B">
        <w:rPr>
          <w:i/>
        </w:rPr>
        <w:t>Chinese Journal</w:t>
      </w:r>
      <w:r w:rsidR="00427468">
        <w:rPr>
          <w:i/>
        </w:rPr>
        <w:t xml:space="preserve"> of </w:t>
      </w:r>
      <w:r w:rsidRPr="001A3D2B">
        <w:rPr>
          <w:i/>
        </w:rPr>
        <w:t>Medical Library</w:t>
      </w:r>
      <w:r w:rsidR="005853A9">
        <w:rPr>
          <w:i/>
        </w:rPr>
        <w:t xml:space="preserve"> and </w:t>
      </w:r>
      <w:r w:rsidRPr="001A3D2B">
        <w:rPr>
          <w:i/>
        </w:rPr>
        <w:t>Information Science</w:t>
      </w:r>
      <w:r w:rsidRPr="001A3D2B">
        <w:rPr>
          <w:szCs w:val="24"/>
        </w:rPr>
        <w:t xml:space="preserve">, </w:t>
      </w:r>
      <w:r w:rsidRPr="001A3D2B">
        <w:rPr>
          <w:b/>
          <w:szCs w:val="24"/>
        </w:rPr>
        <w:t>16</w:t>
      </w:r>
      <w:r w:rsidRPr="001A3D2B">
        <w:rPr>
          <w:szCs w:val="24"/>
        </w:rPr>
        <w:t xml:space="preserve"> (1), 73-77.</w:t>
      </w:r>
    </w:p>
    <w:p w:rsidR="003474F2" w:rsidRPr="001A3D2B" w:rsidRDefault="003474F2" w:rsidP="003474F2">
      <w:pPr>
        <w:pStyle w:val="a3"/>
      </w:pPr>
      <w:r w:rsidRPr="001A3D2B">
        <w:rPr>
          <w:szCs w:val="24"/>
        </w:rPr>
        <w:t xml:space="preserve">Full Text: </w:t>
      </w:r>
      <w:hyperlink r:id="rId242" w:history="1">
        <w:r w:rsidRPr="001A3D2B">
          <w:rPr>
            <w:rStyle w:val="a5"/>
            <w:szCs w:val="24"/>
          </w:rPr>
          <w:t>2007\Chi J Med Lib Inf Sci16, 73.pdf</w:t>
        </w:r>
      </w:hyperlink>
    </w:p>
    <w:p w:rsidR="003474F2" w:rsidRPr="001A3D2B" w:rsidRDefault="003474F2" w:rsidP="003474F2">
      <w:pPr>
        <w:pStyle w:val="a3"/>
      </w:pPr>
      <w:r w:rsidRPr="001A3D2B">
        <w:t>Abstract: Bibliometrically analyzed are</w:t>
      </w:r>
      <w:r w:rsidR="003A1917">
        <w:t xml:space="preserve"> the </w:t>
      </w:r>
      <w:r w:rsidRPr="001A3D2B">
        <w:t>medical papers</w:t>
      </w:r>
      <w:r w:rsidR="00427468">
        <w:t xml:space="preserve"> of </w:t>
      </w:r>
      <w:r w:rsidRPr="001A3D2B">
        <w:t xml:space="preserve">Xiamen </w:t>
      </w:r>
      <w:smartTag w:uri="urn:schemas-microsoft-com:office:smarttags" w:element="PlaceType">
        <w:r w:rsidRPr="001A3D2B">
          <w:t>Municipality</w:t>
        </w:r>
      </w:smartTag>
      <w:r w:rsidRPr="001A3D2B">
        <w:t xml:space="preserve"> from 1995 to 2004 on CBMdisc</w:t>
      </w:r>
      <w:r w:rsidR="00A37C1D">
        <w:t>. The</w:t>
      </w:r>
      <w:r w:rsidR="003A1917">
        <w:t xml:space="preserve"> </w:t>
      </w:r>
      <w:r w:rsidRPr="001A3D2B">
        <w:t>results show that</w:t>
      </w:r>
      <w:r w:rsidR="003A1917">
        <w:t xml:space="preserve"> the </w:t>
      </w:r>
      <w:r w:rsidRPr="001A3D2B">
        <w:t>scientific</w:t>
      </w:r>
      <w:r w:rsidR="005853A9">
        <w:t xml:space="preserve"> and </w:t>
      </w:r>
      <w:r w:rsidRPr="001A3D2B">
        <w:t>technological level</w:t>
      </w:r>
      <w:r w:rsidR="00427468">
        <w:t xml:space="preserve"> of </w:t>
      </w:r>
      <w:r w:rsidRPr="001A3D2B">
        <w:t>medical</w:t>
      </w:r>
      <w:r w:rsidR="005853A9">
        <w:t xml:space="preserve"> and </w:t>
      </w:r>
      <w:r w:rsidRPr="001A3D2B">
        <w:t>health sciences in Xiaman has been raising gradually,</w:t>
      </w:r>
      <w:r w:rsidR="005853A9">
        <w:t xml:space="preserve"> and </w:t>
      </w:r>
      <w:r w:rsidR="003A1917">
        <w:t xml:space="preserve">the </w:t>
      </w:r>
      <w:r w:rsidRPr="001A3D2B">
        <w:t>scientific research</w:t>
      </w:r>
      <w:r w:rsidR="00427468">
        <w:t xml:space="preserve"> of </w:t>
      </w:r>
      <w:r w:rsidRPr="001A3D2B">
        <w:t>Xiamen University</w:t>
      </w:r>
      <w:r w:rsidR="005853A9">
        <w:t xml:space="preserve"> and </w:t>
      </w:r>
      <w:r w:rsidR="003A1917">
        <w:t xml:space="preserve">the </w:t>
      </w:r>
      <w:r w:rsidRPr="001A3D2B">
        <w:t>hospitals at Grade</w:t>
      </w:r>
      <w:r w:rsidR="008C1C37">
        <w:t xml:space="preserve"> III </w:t>
      </w:r>
      <w:r w:rsidRPr="001A3D2B">
        <w:t>is more powerful</w:t>
      </w:r>
      <w:r w:rsidR="005853A9">
        <w:t xml:space="preserve"> and </w:t>
      </w:r>
      <w:r w:rsidRPr="001A3D2B">
        <w:t>plays a leading role in</w:t>
      </w:r>
      <w:r w:rsidR="003A1917">
        <w:t xml:space="preserve"> the </w:t>
      </w:r>
      <w:r w:rsidRPr="001A3D2B">
        <w:t>medical</w:t>
      </w:r>
      <w:r w:rsidR="005853A9">
        <w:t xml:space="preserve"> and </w:t>
      </w:r>
      <w:r w:rsidRPr="001A3D2B">
        <w:t>health development in Xiaman, but</w:t>
      </w:r>
      <w:r w:rsidR="003A1917">
        <w:t xml:space="preserve"> the </w:t>
      </w:r>
      <w:r w:rsidRPr="001A3D2B">
        <w:t>cooperation</w:t>
      </w:r>
      <w:r w:rsidR="005853A9">
        <w:t xml:space="preserve"> and </w:t>
      </w:r>
      <w:r w:rsidRPr="001A3D2B">
        <w:t>information awareness</w:t>
      </w:r>
      <w:r w:rsidR="00427468">
        <w:t xml:space="preserve"> of </w:t>
      </w:r>
      <w:r w:rsidR="003A1917">
        <w:t xml:space="preserve">the </w:t>
      </w:r>
      <w:r w:rsidRPr="001A3D2B">
        <w:t xml:space="preserve">medical personnel needs to be improved. </w:t>
      </w:r>
    </w:p>
    <w:p w:rsidR="003474F2" w:rsidRPr="001A3D2B" w:rsidRDefault="003474F2" w:rsidP="003474F2">
      <w:pPr>
        <w:pStyle w:val="a3"/>
      </w:pPr>
      <w:r w:rsidRPr="001A3D2B">
        <w:t xml:space="preserve">Keywords: Bibliometrics, Medical papers, </w:t>
      </w:r>
      <w:smartTag w:uri="urn:schemas-microsoft-com:office:smarttags" w:element="place">
        <w:smartTag w:uri="urn:schemas-microsoft-com:office:smarttags" w:element="City">
          <w:r w:rsidRPr="001A3D2B">
            <w:t>Xiamen</w:t>
          </w:r>
        </w:smartTag>
      </w:smartTag>
    </w:p>
    <w:p w:rsidR="003474F2" w:rsidRPr="001A3D2B" w:rsidRDefault="003474F2" w:rsidP="003474F2">
      <w:pPr>
        <w:pStyle w:val="a3"/>
        <w:rPr>
          <w:szCs w:val="24"/>
        </w:rPr>
      </w:pPr>
      <w:r w:rsidRPr="001A3D2B">
        <w:rPr>
          <w:szCs w:val="24"/>
        </w:rPr>
        <w:t xml:space="preserve">? </w:t>
      </w:r>
      <w:r w:rsidRPr="001A3D2B">
        <w:t>Lu, Z.H., Hu, W., Qin, Y.M., Wang, N.</w:t>
      </w:r>
      <w:r w:rsidR="005853A9">
        <w:t xml:space="preserve"> and </w:t>
      </w:r>
      <w:r w:rsidRPr="001A3D2B">
        <w:t>Wang, M.</w:t>
      </w:r>
      <w:r w:rsidRPr="001A3D2B">
        <w:rPr>
          <w:szCs w:val="24"/>
        </w:rPr>
        <w:t xml:space="preserve"> (2007),</w:t>
      </w:r>
      <w:r w:rsidRPr="001A3D2B">
        <w:t xml:space="preserve"> Literature on</w:t>
      </w:r>
      <w:r w:rsidR="003A1917">
        <w:t xml:space="preserve"> the </w:t>
      </w:r>
      <w:r w:rsidRPr="001A3D2B">
        <w:t>drugs for breast cancer from 2001 to 2005: A bibliometric analysis.</w:t>
      </w:r>
      <w:r w:rsidRPr="001A3D2B">
        <w:rPr>
          <w:szCs w:val="24"/>
        </w:rPr>
        <w:t xml:space="preserve"> </w:t>
      </w:r>
      <w:r w:rsidRPr="001A3D2B">
        <w:rPr>
          <w:i/>
        </w:rPr>
        <w:t>Chinese Journal</w:t>
      </w:r>
      <w:r w:rsidR="00427468">
        <w:rPr>
          <w:i/>
        </w:rPr>
        <w:t xml:space="preserve"> of </w:t>
      </w:r>
      <w:r w:rsidRPr="001A3D2B">
        <w:rPr>
          <w:i/>
        </w:rPr>
        <w:t>Medical Library</w:t>
      </w:r>
      <w:r w:rsidR="005853A9">
        <w:rPr>
          <w:i/>
        </w:rPr>
        <w:t xml:space="preserve"> and </w:t>
      </w:r>
      <w:r w:rsidRPr="001A3D2B">
        <w:rPr>
          <w:i/>
        </w:rPr>
        <w:t>Information Science</w:t>
      </w:r>
      <w:r w:rsidRPr="001A3D2B">
        <w:rPr>
          <w:szCs w:val="24"/>
        </w:rPr>
        <w:t xml:space="preserve">, </w:t>
      </w:r>
      <w:r w:rsidRPr="001A3D2B">
        <w:rPr>
          <w:b/>
          <w:szCs w:val="24"/>
        </w:rPr>
        <w:t>16</w:t>
      </w:r>
      <w:r w:rsidRPr="001A3D2B">
        <w:rPr>
          <w:szCs w:val="24"/>
        </w:rPr>
        <w:t xml:space="preserve"> (2), 75-76.</w:t>
      </w:r>
    </w:p>
    <w:p w:rsidR="003474F2" w:rsidRPr="001A3D2B" w:rsidRDefault="003474F2" w:rsidP="003474F2">
      <w:pPr>
        <w:pStyle w:val="a3"/>
      </w:pPr>
      <w:r w:rsidRPr="001A3D2B">
        <w:rPr>
          <w:szCs w:val="24"/>
        </w:rPr>
        <w:t xml:space="preserve">Full Text: </w:t>
      </w:r>
      <w:hyperlink r:id="rId243" w:history="1">
        <w:r w:rsidRPr="001A3D2B">
          <w:rPr>
            <w:rStyle w:val="a5"/>
            <w:szCs w:val="24"/>
          </w:rPr>
          <w:t>2007\Chi J Med Lib Inf Sci16, 75.pdf</w:t>
        </w:r>
      </w:hyperlink>
    </w:p>
    <w:p w:rsidR="003474F2" w:rsidRPr="001A3D2B" w:rsidRDefault="003474F2" w:rsidP="003474F2">
      <w:pPr>
        <w:pStyle w:val="a3"/>
      </w:pPr>
      <w:r w:rsidRPr="001A3D2B">
        <w:t>Abstract: Based on</w:t>
      </w:r>
      <w:r w:rsidR="003A1917">
        <w:t xml:space="preserve"> the </w:t>
      </w:r>
      <w:r w:rsidRPr="001A3D2B">
        <w:t xml:space="preserve">literature on drugs for breast cancer on </w:t>
      </w:r>
      <w:r w:rsidR="00D5664A">
        <w:t>MEDLINE</w:t>
      </w:r>
      <w:r w:rsidRPr="001A3D2B">
        <w:t xml:space="preserve"> (CD-ROM, 2001-2005</w:t>
      </w:r>
      <w:r w:rsidR="00F42EAC">
        <w:t>), The</w:t>
      </w:r>
      <w:r w:rsidR="003A1917">
        <w:t xml:space="preserve"> </w:t>
      </w:r>
      <w:r w:rsidRPr="001A3D2B">
        <w:t>major subject headings</w:t>
      </w:r>
      <w:r w:rsidR="005853A9">
        <w:t xml:space="preserve"> and </w:t>
      </w:r>
      <w:r w:rsidRPr="001A3D2B">
        <w:t>correlative subject headings</w:t>
      </w:r>
      <w:r w:rsidR="00427468">
        <w:t xml:space="preserve"> of </w:t>
      </w:r>
      <w:r w:rsidR="003A1917">
        <w:t xml:space="preserve">the </w:t>
      </w:r>
      <w:r w:rsidRPr="001A3D2B">
        <w:t>drugs for breast cancer are analyzed bibliometrically so as to explore</w:t>
      </w:r>
      <w:r w:rsidR="003A1917">
        <w:t xml:space="preserve"> the </w:t>
      </w:r>
      <w:r w:rsidRPr="001A3D2B">
        <w:t>main types</w:t>
      </w:r>
      <w:r w:rsidR="00427468">
        <w:t xml:space="preserve"> of </w:t>
      </w:r>
      <w:r w:rsidR="003A1917">
        <w:t xml:space="preserve">the </w:t>
      </w:r>
      <w:r w:rsidRPr="001A3D2B">
        <w:t>drugs for breast cancer in</w:t>
      </w:r>
      <w:r w:rsidR="003A1917">
        <w:t xml:space="preserve"> the </w:t>
      </w:r>
      <w:r w:rsidRPr="001A3D2B">
        <w:t>foreign literature in</w:t>
      </w:r>
      <w:r w:rsidR="003A1917">
        <w:t xml:space="preserve"> the </w:t>
      </w:r>
      <w:r w:rsidRPr="001A3D2B">
        <w:t>last five years</w:t>
      </w:r>
      <w:r w:rsidR="005853A9">
        <w:t xml:space="preserve"> and </w:t>
      </w:r>
      <w:r w:rsidRPr="001A3D2B">
        <w:t>their development.</w:t>
      </w:r>
    </w:p>
    <w:p w:rsidR="003474F2" w:rsidRPr="001A3D2B" w:rsidRDefault="003474F2" w:rsidP="003474F2">
      <w:pPr>
        <w:pStyle w:val="a3"/>
      </w:pPr>
      <w:r w:rsidRPr="001A3D2B">
        <w:t>Keywords: Breast Neoplasms, Drug Therapy, Bibliometrics</w:t>
      </w:r>
    </w:p>
    <w:p w:rsidR="003474F2" w:rsidRPr="001A3D2B" w:rsidRDefault="003474F2" w:rsidP="003474F2">
      <w:pPr>
        <w:pStyle w:val="a3"/>
        <w:rPr>
          <w:szCs w:val="24"/>
        </w:rPr>
      </w:pPr>
      <w:r w:rsidRPr="001A3D2B">
        <w:rPr>
          <w:szCs w:val="24"/>
        </w:rPr>
        <w:t xml:space="preserve">? </w:t>
      </w:r>
      <w:r w:rsidRPr="001A3D2B">
        <w:t>Li, F., Wang, F., Hou, Y.F.</w:t>
      </w:r>
      <w:r w:rsidR="005853A9">
        <w:t xml:space="preserve"> and </w:t>
      </w:r>
      <w:r w:rsidRPr="001A3D2B">
        <w:t>Zhao, Y.H.</w:t>
      </w:r>
      <w:r w:rsidRPr="001A3D2B">
        <w:rPr>
          <w:szCs w:val="24"/>
        </w:rPr>
        <w:t xml:space="preserve"> (2007), </w:t>
      </w:r>
      <w:r w:rsidRPr="001A3D2B">
        <w:t>Literature on medical records: A bibliometric analysis</w:t>
      </w:r>
      <w:r w:rsidRPr="001A3D2B">
        <w:rPr>
          <w:szCs w:val="24"/>
        </w:rPr>
        <w:t xml:space="preserve">. </w:t>
      </w:r>
      <w:r w:rsidRPr="001A3D2B">
        <w:rPr>
          <w:i/>
        </w:rPr>
        <w:t>Chinese Journal</w:t>
      </w:r>
      <w:r w:rsidR="00427468">
        <w:rPr>
          <w:i/>
        </w:rPr>
        <w:t xml:space="preserve"> of </w:t>
      </w:r>
      <w:r w:rsidRPr="001A3D2B">
        <w:rPr>
          <w:i/>
        </w:rPr>
        <w:t>Medical Library</w:t>
      </w:r>
      <w:r w:rsidR="005853A9">
        <w:rPr>
          <w:i/>
        </w:rPr>
        <w:t xml:space="preserve"> and </w:t>
      </w:r>
      <w:r w:rsidRPr="001A3D2B">
        <w:rPr>
          <w:i/>
        </w:rPr>
        <w:t>Information Science</w:t>
      </w:r>
      <w:r w:rsidRPr="001A3D2B">
        <w:rPr>
          <w:szCs w:val="24"/>
        </w:rPr>
        <w:t xml:space="preserve">, </w:t>
      </w:r>
      <w:r w:rsidRPr="001A3D2B">
        <w:rPr>
          <w:b/>
          <w:szCs w:val="24"/>
        </w:rPr>
        <w:t>16</w:t>
      </w:r>
      <w:r w:rsidRPr="001A3D2B">
        <w:rPr>
          <w:szCs w:val="24"/>
        </w:rPr>
        <w:t xml:space="preserve"> (3), 70-72.</w:t>
      </w:r>
    </w:p>
    <w:p w:rsidR="003474F2" w:rsidRPr="001A3D2B" w:rsidRDefault="003474F2" w:rsidP="003474F2">
      <w:pPr>
        <w:pStyle w:val="a3"/>
      </w:pPr>
      <w:r w:rsidRPr="001A3D2B">
        <w:rPr>
          <w:szCs w:val="24"/>
        </w:rPr>
        <w:t xml:space="preserve">Full Text: </w:t>
      </w:r>
      <w:hyperlink r:id="rId244" w:history="1">
        <w:r w:rsidRPr="001A3D2B">
          <w:rPr>
            <w:rStyle w:val="a5"/>
            <w:szCs w:val="24"/>
          </w:rPr>
          <w:t>2007\Chi J Med Lib Inf Sci16, 70.pdf</w:t>
        </w:r>
      </w:hyperlink>
    </w:p>
    <w:p w:rsidR="003474F2" w:rsidRPr="001A3D2B" w:rsidRDefault="003474F2" w:rsidP="003474F2">
      <w:pPr>
        <w:pStyle w:val="a3"/>
      </w:pPr>
      <w:r w:rsidRPr="001A3D2B">
        <w:t>Abstract: An analysis</w:t>
      </w:r>
      <w:r w:rsidR="00427468">
        <w:t xml:space="preserve"> of </w:t>
      </w:r>
      <w:r w:rsidR="003A1917">
        <w:t xml:space="preserve">the </w:t>
      </w:r>
      <w:r w:rsidRPr="001A3D2B">
        <w:t xml:space="preserve">literature on medical records from 2001 to 2005 on </w:t>
      </w:r>
      <w:r w:rsidR="002C12F0">
        <w:t>PUBMED</w:t>
      </w:r>
      <w:r w:rsidRPr="001A3D2B">
        <w:t xml:space="preserve"> is conducted with bibliometric methods.</w:t>
      </w:r>
      <w:r w:rsidR="005853A9">
        <w:t xml:space="preserve"> and </w:t>
      </w:r>
      <w:r w:rsidR="003A1917">
        <w:t xml:space="preserve">the </w:t>
      </w:r>
      <w:r w:rsidRPr="001A3D2B">
        <w:t>6 indices including annual number, type, language</w:t>
      </w:r>
      <w:r w:rsidR="005853A9">
        <w:t xml:space="preserve"> and </w:t>
      </w:r>
      <w:r w:rsidRPr="001A3D2B">
        <w:t>author</w:t>
      </w:r>
      <w:r w:rsidR="00427468">
        <w:t xml:space="preserve"> of </w:t>
      </w:r>
      <w:r w:rsidR="003A1917">
        <w:t xml:space="preserve">the </w:t>
      </w:r>
      <w:r w:rsidRPr="001A3D2B">
        <w:t>articles</w:t>
      </w:r>
      <w:r w:rsidR="005853A9">
        <w:t xml:space="preserve"> and </w:t>
      </w:r>
      <w:r w:rsidRPr="001A3D2B">
        <w:t>author units are calculated</w:t>
      </w:r>
      <w:r w:rsidR="00A37C1D">
        <w:t>. The</w:t>
      </w:r>
      <w:r w:rsidR="003A1917">
        <w:t xml:space="preserve"> </w:t>
      </w:r>
      <w:r w:rsidRPr="001A3D2B">
        <w:t>results show that</w:t>
      </w:r>
      <w:r w:rsidR="003A1917">
        <w:t xml:space="preserve"> the </w:t>
      </w:r>
      <w:r w:rsidRPr="001A3D2B">
        <w:t>number</w:t>
      </w:r>
      <w:r w:rsidR="00427468">
        <w:t xml:space="preserve"> of </w:t>
      </w:r>
      <w:r w:rsidR="003A1917">
        <w:t xml:space="preserve">the </w:t>
      </w:r>
      <w:r w:rsidRPr="001A3D2B">
        <w:t>articles has been generally increased year by year,</w:t>
      </w:r>
      <w:r w:rsidR="005853A9">
        <w:t xml:space="preserve"> and </w:t>
      </w:r>
      <w:r w:rsidR="003A1917">
        <w:t xml:space="preserve">the </w:t>
      </w:r>
      <w:r w:rsidRPr="001A3D2B">
        <w:t>authors are mainly from</w:t>
      </w:r>
      <w:r w:rsidR="003A1917">
        <w:t xml:space="preserve"> the </w:t>
      </w:r>
      <w:r w:rsidRPr="001A3D2B">
        <w:t xml:space="preserve">advanced countries such as </w:t>
      </w:r>
      <w:r w:rsidR="00D5664A">
        <w:t>USA</w:t>
      </w:r>
      <w:r w:rsidRPr="001A3D2B">
        <w:t xml:space="preserve">, </w:t>
      </w:r>
      <w:smartTag w:uri="urn:schemas-microsoft-com:office:smarttags" w:element="country-region">
        <w:r w:rsidRPr="001A3D2B">
          <w:t>Germany</w:t>
        </w:r>
      </w:smartTag>
      <w:r w:rsidRPr="001A3D2B">
        <w:t>,</w:t>
      </w:r>
      <w:r w:rsidR="005853A9">
        <w:t xml:space="preserve"> and </w:t>
      </w:r>
      <w:r w:rsidRPr="001A3D2B">
        <w:t>UK.</w:t>
      </w:r>
    </w:p>
    <w:p w:rsidR="003474F2" w:rsidRPr="001A3D2B" w:rsidRDefault="003474F2" w:rsidP="003474F2">
      <w:pPr>
        <w:pStyle w:val="a3"/>
      </w:pPr>
      <w:r w:rsidRPr="001A3D2B">
        <w:lastRenderedPageBreak/>
        <w:t>Keywords: Medical Record Literature, Bibliometrics</w:t>
      </w:r>
    </w:p>
    <w:p w:rsidR="003474F2" w:rsidRPr="001A3D2B" w:rsidRDefault="003474F2" w:rsidP="003474F2">
      <w:pPr>
        <w:pStyle w:val="1"/>
      </w:pPr>
      <w:r w:rsidRPr="001A3D2B">
        <w:br w:type="page"/>
      </w:r>
      <w:bookmarkStart w:id="205" w:name="_Toc420814979"/>
      <w:r w:rsidRPr="001A3D2B">
        <w:lastRenderedPageBreak/>
        <w:t>Title: Chinese Journal</w:t>
      </w:r>
      <w:r w:rsidR="00427468">
        <w:t xml:space="preserve"> of </w:t>
      </w:r>
      <w:r w:rsidRPr="001A3D2B">
        <w:t>Medical Science Research Management</w:t>
      </w:r>
      <w:bookmarkEnd w:id="205"/>
    </w:p>
    <w:p w:rsidR="003474F2" w:rsidRPr="001A3D2B" w:rsidRDefault="003474F2" w:rsidP="003474F2">
      <w:pPr>
        <w:pStyle w:val="12"/>
      </w:pPr>
      <w:r w:rsidRPr="001A3D2B">
        <w:t xml:space="preserve">Full Journal Title: </w:t>
      </w:r>
      <w:hyperlink r:id="rId245" w:history="1">
        <w:r w:rsidRPr="001A3D2B">
          <w:rPr>
            <w:rStyle w:val="a5"/>
          </w:rPr>
          <w:t>Chinese Journal</w:t>
        </w:r>
        <w:r w:rsidR="00427468">
          <w:rPr>
            <w:rStyle w:val="a5"/>
          </w:rPr>
          <w:t xml:space="preserve"> of </w:t>
        </w:r>
        <w:r w:rsidRPr="001A3D2B">
          <w:rPr>
            <w:rStyle w:val="a5"/>
          </w:rPr>
          <w:t>Medical Science Research Management</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w:t>
      </w:r>
      <w:r w:rsidRPr="001A3D2B">
        <w:rPr>
          <w:szCs w:val="12"/>
        </w:rPr>
        <w:t xml:space="preserve"> </w:t>
      </w:r>
      <w:r w:rsidRPr="001A3D2B">
        <w:t>Li, X.R</w:t>
      </w:r>
      <w:r w:rsidRPr="001A3D2B">
        <w:rPr>
          <w:szCs w:val="12"/>
        </w:rPr>
        <w:t>.</w:t>
      </w:r>
      <w:r w:rsidRPr="001A3D2B">
        <w:t xml:space="preserve"> (2001), Ranking analysis</w:t>
      </w:r>
      <w:r w:rsidR="00427468">
        <w:t xml:space="preserve"> of </w:t>
      </w:r>
      <w:r w:rsidRPr="001A3D2B">
        <w:t xml:space="preserve">publications from </w:t>
      </w:r>
      <w:smartTag w:uri="urn:schemas-microsoft-com:office:smarttags" w:element="place">
        <w:smartTag w:uri="urn:schemas-microsoft-com:office:smarttags" w:element="country-region">
          <w:r w:rsidRPr="001A3D2B">
            <w:t>China</w:t>
          </w:r>
        </w:smartTag>
      </w:smartTag>
      <w:r w:rsidRPr="001A3D2B">
        <w:t xml:space="preserve"> hospitals in 2005. </w:t>
      </w:r>
      <w:r w:rsidRPr="001A3D2B">
        <w:rPr>
          <w:i/>
        </w:rPr>
        <w:t>Chinese Journal</w:t>
      </w:r>
      <w:r w:rsidR="00427468">
        <w:rPr>
          <w:i/>
        </w:rPr>
        <w:t xml:space="preserve"> of </w:t>
      </w:r>
      <w:r w:rsidRPr="001A3D2B">
        <w:rPr>
          <w:i/>
        </w:rPr>
        <w:t>Medical Science Research Management</w:t>
      </w:r>
      <w:r w:rsidRPr="001A3D2B">
        <w:t xml:space="preserve">, </w:t>
      </w:r>
      <w:r w:rsidRPr="001A3D2B">
        <w:rPr>
          <w:b/>
        </w:rPr>
        <w:t>20</w:t>
      </w:r>
      <w:r w:rsidRPr="001A3D2B">
        <w:t xml:space="preserve"> (2), 107-111.</w:t>
      </w:r>
    </w:p>
    <w:p w:rsidR="003474F2" w:rsidRPr="001A3D2B" w:rsidRDefault="003474F2" w:rsidP="003474F2">
      <w:pPr>
        <w:pStyle w:val="a3"/>
      </w:pPr>
      <w:r w:rsidRPr="001A3D2B">
        <w:t>Full Text:</w:t>
      </w:r>
      <w:r w:rsidRPr="001A3D2B">
        <w:rPr>
          <w:szCs w:val="12"/>
        </w:rPr>
        <w:t xml:space="preserve"> </w:t>
      </w:r>
      <w:hyperlink r:id="rId246" w:history="1">
        <w:r w:rsidRPr="001A3D2B">
          <w:rPr>
            <w:rStyle w:val="a5"/>
            <w:szCs w:val="12"/>
          </w:rPr>
          <w:t>2007\Chi J Med Sci Res Man20, 107.pdf</w:t>
        </w:r>
      </w:hyperlink>
    </w:p>
    <w:p w:rsidR="003474F2" w:rsidRPr="001A3D2B" w:rsidRDefault="003474F2" w:rsidP="003474F2">
      <w:pPr>
        <w:pStyle w:val="a3"/>
      </w:pPr>
      <w:r w:rsidRPr="001A3D2B">
        <w:t>Abstract: Objectives To provide reference for</w:t>
      </w:r>
      <w:r w:rsidR="003A1917">
        <w:t xml:space="preserve"> the </w:t>
      </w:r>
      <w:r w:rsidRPr="001A3D2B">
        <w:t>Research &amp; Development depart merit</w:t>
      </w:r>
      <w:r w:rsidR="00427468">
        <w:t xml:space="preserve"> of </w:t>
      </w:r>
      <w:r w:rsidRPr="001A3D2B">
        <w:t>hospi- tals by analyzing</w:t>
      </w:r>
      <w:r w:rsidR="003A1917">
        <w:t xml:space="preserve"> the </w:t>
      </w:r>
      <w:r w:rsidRPr="001A3D2B">
        <w:t>quantity</w:t>
      </w:r>
      <w:r w:rsidR="00427468">
        <w:t xml:space="preserve"> of </w:t>
      </w:r>
      <w:r w:rsidRPr="001A3D2B">
        <w:t>publications</w:t>
      </w:r>
      <w:r w:rsidR="005853A9">
        <w:t xml:space="preserve"> and </w:t>
      </w:r>
      <w:r w:rsidRPr="001A3D2B">
        <w:t>their citation data</w:t>
      </w:r>
      <w:r w:rsidR="00427468">
        <w:t xml:space="preserve"> of </w:t>
      </w:r>
      <w:r w:rsidR="003A1917">
        <w:t xml:space="preserve">the </w:t>
      </w:r>
      <w:r w:rsidRPr="001A3D2B">
        <w:t>top 20 hospitals in SCI</w:t>
      </w:r>
      <w:r w:rsidR="005853A9">
        <w:t xml:space="preserve"> and </w:t>
      </w:r>
      <w:r w:rsidRPr="001A3D2B">
        <w:t>MED- LINE,</w:t>
      </w:r>
      <w:r w:rsidR="005853A9">
        <w:t xml:space="preserve"> and </w:t>
      </w:r>
      <w:r w:rsidRPr="001A3D2B">
        <w:t>top 100 hospitals in domesti c publications during 2005. Methods</w:t>
      </w:r>
      <w:r w:rsidR="003A1917">
        <w:t xml:space="preserve"> the </w:t>
      </w:r>
      <w:r w:rsidRPr="001A3D2B">
        <w:t>number</w:t>
      </w:r>
      <w:r w:rsidR="00427468">
        <w:t xml:space="preserve"> of </w:t>
      </w:r>
      <w:r w:rsidRPr="001A3D2B">
        <w:t>publications</w:t>
      </w:r>
      <w:r w:rsidR="005853A9">
        <w:t xml:space="preserve"> and </w:t>
      </w:r>
      <w:r w:rsidRPr="001A3D2B">
        <w:t>their citati on counts</w:t>
      </w:r>
      <w:r w:rsidR="00427468">
        <w:t xml:space="preserve"> of </w:t>
      </w:r>
      <w:r w:rsidR="003A1917">
        <w:t xml:space="preserve">the </w:t>
      </w:r>
      <w:r w:rsidRPr="001A3D2B">
        <w:t>first 20 hospitals in SCI</w:t>
      </w:r>
      <w:r w:rsidR="005853A9">
        <w:t xml:space="preserve"> and </w:t>
      </w:r>
      <w:r w:rsidR="00D5664A">
        <w:t>MEDLINE</w:t>
      </w:r>
      <w:r w:rsidRPr="001A3D2B">
        <w:t>,</w:t>
      </w:r>
      <w:r w:rsidR="005853A9">
        <w:t xml:space="preserve"> and </w:t>
      </w:r>
      <w:r w:rsidR="003A1917">
        <w:t xml:space="preserve">the </w:t>
      </w:r>
      <w:r w:rsidRPr="001A3D2B">
        <w:t>top 100 hospital s in domes- tic publications in 2005 were analyzed with bibliometric methods. Results In 2005,</w:t>
      </w:r>
      <w:r w:rsidR="003A1917">
        <w:t xml:space="preserve"> the </w:t>
      </w:r>
      <w:r w:rsidRPr="001A3D2B">
        <w:t>average increas...</w:t>
      </w:r>
    </w:p>
    <w:p w:rsidR="003474F2" w:rsidRPr="001A3D2B" w:rsidRDefault="003474F2" w:rsidP="003474F2">
      <w:pPr>
        <w:pStyle w:val="a3"/>
      </w:pPr>
      <w:r w:rsidRPr="001A3D2B">
        <w:t>Keywords: Hospital Management, Scientific Publications, Scientific Evaluation</w:t>
      </w:r>
    </w:p>
    <w:p w:rsidR="003474F2" w:rsidRPr="001A3D2B" w:rsidRDefault="003474F2" w:rsidP="003474F2">
      <w:pPr>
        <w:pStyle w:val="1"/>
      </w:pPr>
      <w:r w:rsidRPr="001A3D2B">
        <w:br w:type="page"/>
      </w:r>
      <w:bookmarkStart w:id="206" w:name="_Toc420814980"/>
      <w:r w:rsidRPr="001A3D2B">
        <w:lastRenderedPageBreak/>
        <w:t>Title: Chinese Journal</w:t>
      </w:r>
      <w:r w:rsidR="00427468">
        <w:t xml:space="preserve"> of </w:t>
      </w:r>
      <w:r w:rsidRPr="001A3D2B">
        <w:t>Neuroimmunology</w:t>
      </w:r>
      <w:r w:rsidR="005853A9">
        <w:t xml:space="preserve"> and </w:t>
      </w:r>
      <w:r w:rsidRPr="001A3D2B">
        <w:t>Neurology</w:t>
      </w:r>
      <w:bookmarkEnd w:id="206"/>
    </w:p>
    <w:p w:rsidR="003474F2" w:rsidRPr="001A3D2B" w:rsidRDefault="003474F2" w:rsidP="003474F2">
      <w:pPr>
        <w:pStyle w:val="12"/>
      </w:pPr>
      <w:r w:rsidRPr="001A3D2B">
        <w:t xml:space="preserve">Full Journal Title: </w:t>
      </w:r>
      <w:hyperlink r:id="rId247" w:history="1">
        <w:r w:rsidRPr="001A3D2B">
          <w:rPr>
            <w:rStyle w:val="a5"/>
          </w:rPr>
          <w:t>Chinese Journal</w:t>
        </w:r>
        <w:r w:rsidR="00427468">
          <w:rPr>
            <w:rStyle w:val="a5"/>
          </w:rPr>
          <w:t xml:space="preserve"> of </w:t>
        </w:r>
        <w:r w:rsidRPr="001A3D2B">
          <w:rPr>
            <w:rStyle w:val="a5"/>
          </w:rPr>
          <w:t>Neuroimmunology</w:t>
        </w:r>
        <w:r w:rsidR="005853A9">
          <w:rPr>
            <w:rStyle w:val="a5"/>
          </w:rPr>
          <w:t xml:space="preserve"> and </w:t>
        </w:r>
        <w:r w:rsidRPr="001A3D2B">
          <w:rPr>
            <w:rStyle w:val="a5"/>
          </w:rPr>
          <w:t>Neurology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1006-2963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Shi, Q.K. (2007), Analysis</w:t>
      </w:r>
      <w:r w:rsidR="00427468">
        <w:t xml:space="preserve"> of </w:t>
      </w:r>
      <w:r w:rsidRPr="001A3D2B">
        <w:t>citations</w:t>
      </w:r>
      <w:r w:rsidR="005853A9">
        <w:t xml:space="preserve"> and </w:t>
      </w:r>
      <w:r w:rsidRPr="001A3D2B">
        <w:t xml:space="preserve">articles published in </w:t>
      </w:r>
      <w:r w:rsidRPr="001A3D2B">
        <w:rPr>
          <w:i/>
        </w:rPr>
        <w:t>Chinese Journal</w:t>
      </w:r>
      <w:r w:rsidR="00427468">
        <w:rPr>
          <w:i/>
        </w:rPr>
        <w:t xml:space="preserve"> of </w:t>
      </w:r>
      <w:r w:rsidRPr="001A3D2B">
        <w:rPr>
          <w:i/>
        </w:rPr>
        <w:t>Neuroimmunology</w:t>
      </w:r>
      <w:r w:rsidR="005853A9">
        <w:rPr>
          <w:i/>
        </w:rPr>
        <w:t xml:space="preserve"> and </w:t>
      </w:r>
      <w:r w:rsidRPr="001A3D2B">
        <w:rPr>
          <w:i/>
        </w:rPr>
        <w:t>Neurology</w:t>
      </w:r>
      <w:r w:rsidRPr="001A3D2B">
        <w:t xml:space="preserve"> from 2003 to 2005. </w:t>
      </w:r>
      <w:r w:rsidRPr="001A3D2B">
        <w:rPr>
          <w:i/>
        </w:rPr>
        <w:t>Chinese Journal</w:t>
      </w:r>
      <w:r w:rsidR="00427468">
        <w:rPr>
          <w:i/>
        </w:rPr>
        <w:t xml:space="preserve"> of </w:t>
      </w:r>
      <w:r w:rsidRPr="001A3D2B">
        <w:rPr>
          <w:i/>
        </w:rPr>
        <w:t>Neuroimmunology</w:t>
      </w:r>
      <w:r w:rsidR="005853A9">
        <w:rPr>
          <w:i/>
        </w:rPr>
        <w:t xml:space="preserve"> and </w:t>
      </w:r>
      <w:r w:rsidRPr="001A3D2B">
        <w:rPr>
          <w:i/>
        </w:rPr>
        <w:t>Neurology</w:t>
      </w:r>
      <w:r w:rsidRPr="001A3D2B">
        <w:t xml:space="preserve">, </w:t>
      </w:r>
      <w:r w:rsidRPr="001A3D2B">
        <w:rPr>
          <w:b/>
          <w:szCs w:val="19"/>
        </w:rPr>
        <w:t>12</w:t>
      </w:r>
      <w:r w:rsidRPr="001A3D2B">
        <w:rPr>
          <w:szCs w:val="19"/>
        </w:rPr>
        <w:t xml:space="preserve"> (2), 111-114</w:t>
      </w:r>
      <w:r w:rsidRPr="001A3D2B">
        <w:t>.</w:t>
      </w:r>
    </w:p>
    <w:p w:rsidR="003474F2" w:rsidRPr="001A3D2B" w:rsidRDefault="003474F2" w:rsidP="003474F2">
      <w:pPr>
        <w:pStyle w:val="a3"/>
        <w:rPr>
          <w:szCs w:val="19"/>
        </w:rPr>
      </w:pPr>
      <w:r w:rsidRPr="001A3D2B">
        <w:t xml:space="preserve">Full Text: </w:t>
      </w:r>
      <w:hyperlink r:id="rId248" w:history="1">
        <w:r w:rsidRPr="001A3D2B">
          <w:rPr>
            <w:rStyle w:val="a5"/>
          </w:rPr>
          <w:t>2007\Chi J Neu Neu12, 111.pdf</w:t>
        </w:r>
      </w:hyperlink>
    </w:p>
    <w:p w:rsidR="003474F2" w:rsidRPr="001A3D2B" w:rsidRDefault="003474F2" w:rsidP="003474F2">
      <w:pPr>
        <w:pStyle w:val="a3"/>
      </w:pPr>
      <w:r w:rsidRPr="001A3D2B">
        <w:t>Abstract: Objective To investigate</w:t>
      </w:r>
      <w:r w:rsidR="003A1917">
        <w:t xml:space="preserve"> the </w:t>
      </w:r>
      <w:r w:rsidRPr="001A3D2B">
        <w:t>characteristics</w:t>
      </w:r>
      <w:r w:rsidR="00427468">
        <w:t xml:space="preserve"> of </w:t>
      </w:r>
      <w:r w:rsidRPr="001A3D2B">
        <w:t>citations</w:t>
      </w:r>
      <w:r w:rsidR="005853A9">
        <w:t xml:space="preserve"> and </w:t>
      </w:r>
      <w:r w:rsidRPr="001A3D2B">
        <w:t>articles in Chinese Journal</w:t>
      </w:r>
      <w:r w:rsidR="00427468">
        <w:t xml:space="preserve"> of </w:t>
      </w:r>
      <w:r w:rsidRPr="001A3D2B">
        <w:t>Neuroimmunology</w:t>
      </w:r>
      <w:r w:rsidR="005853A9">
        <w:t xml:space="preserve"> and </w:t>
      </w:r>
      <w:r w:rsidRPr="001A3D2B">
        <w:t>Neurology. Methods</w:t>
      </w:r>
      <w:r w:rsidR="003A1917">
        <w:t xml:space="preserve"> the </w:t>
      </w:r>
      <w:r w:rsidRPr="001A3D2B">
        <w:t>data about citations</w:t>
      </w:r>
      <w:r w:rsidR="005853A9">
        <w:t xml:space="preserve"> and </w:t>
      </w:r>
      <w:r w:rsidRPr="001A3D2B">
        <w:t>articles</w:t>
      </w:r>
      <w:r w:rsidR="00427468">
        <w:t xml:space="preserve"> of </w:t>
      </w:r>
      <w:r w:rsidRPr="001A3D2B">
        <w:t>Chinese Journal</w:t>
      </w:r>
      <w:r w:rsidR="00427468">
        <w:t xml:space="preserve"> of </w:t>
      </w:r>
      <w:r w:rsidRPr="001A3D2B">
        <w:t>Neuroimmunology</w:t>
      </w:r>
      <w:r w:rsidR="005853A9">
        <w:t xml:space="preserve"> and </w:t>
      </w:r>
      <w:r w:rsidRPr="001A3D2B">
        <w:t>Neurology form 2003 to 2005 were collected</w:t>
      </w:r>
      <w:r w:rsidR="005853A9">
        <w:t xml:space="preserve"> and </w:t>
      </w:r>
      <w:r w:rsidRPr="001A3D2B">
        <w:t>analyzed in terms</w:t>
      </w:r>
      <w:r w:rsidR="00427468">
        <w:t xml:space="preserve"> of </w:t>
      </w:r>
      <w:r w:rsidRPr="001A3D2B">
        <w:t>bibliometric parameters. Results There were 332 papers published in Chinese Journal</w:t>
      </w:r>
      <w:r w:rsidR="00427468">
        <w:t xml:space="preserve"> of </w:t>
      </w:r>
      <w:r w:rsidRPr="001A3D2B">
        <w:t>Neuroimmunology</w:t>
      </w:r>
      <w:r w:rsidR="005853A9">
        <w:t xml:space="preserve"> and </w:t>
      </w:r>
      <w:r w:rsidRPr="001A3D2B">
        <w:t>Neurology during 3 years</w:t>
      </w:r>
      <w:r w:rsidR="005853A9">
        <w:t xml:space="preserve"> and </w:t>
      </w:r>
      <w:r w:rsidRPr="001A3D2B">
        <w:t>papers with funed projects accounted for 34. 0%</w:t>
      </w:r>
      <w:r w:rsidR="00A37C1D">
        <w:t>. The</w:t>
      </w:r>
      <w:r w:rsidR="003A1917">
        <w:t xml:space="preserve"> </w:t>
      </w:r>
      <w:r w:rsidRPr="001A3D2B">
        <w:t>average citation rate was 91. 3%,</w:t>
      </w:r>
      <w:r w:rsidR="005853A9">
        <w:t xml:space="preserve"> and </w:t>
      </w:r>
      <w:r w:rsidRPr="001A3D2B">
        <w:t>8. 66 ...</w:t>
      </w:r>
    </w:p>
    <w:p w:rsidR="003474F2" w:rsidRPr="001A3D2B" w:rsidRDefault="003474F2" w:rsidP="003474F2">
      <w:pPr>
        <w:pStyle w:val="a3"/>
      </w:pPr>
      <w:r w:rsidRPr="001A3D2B">
        <w:t>Keywords: Neuroimmunology</w:t>
      </w:r>
      <w:r w:rsidR="005853A9">
        <w:t xml:space="preserve"> and </w:t>
      </w:r>
      <w:r w:rsidRPr="001A3D2B">
        <w:t>Neurology, Bibliometrics, Citation Analysis</w:t>
      </w:r>
    </w:p>
    <w:p w:rsidR="003474F2" w:rsidRPr="001A3D2B" w:rsidRDefault="003474F2" w:rsidP="003474F2">
      <w:pPr>
        <w:pStyle w:val="1"/>
      </w:pPr>
      <w:r w:rsidRPr="001A3D2B">
        <w:br w:type="page"/>
      </w:r>
      <w:bookmarkStart w:id="207" w:name="_Toc420814981"/>
      <w:r w:rsidRPr="001A3D2B">
        <w:lastRenderedPageBreak/>
        <w:t>Title: Chinese Journal</w:t>
      </w:r>
      <w:r w:rsidR="00427468">
        <w:t xml:space="preserve"> of </w:t>
      </w:r>
      <w:r w:rsidRPr="001A3D2B">
        <w:t>Nosocomiology</w:t>
      </w:r>
      <w:bookmarkEnd w:id="207"/>
    </w:p>
    <w:p w:rsidR="003474F2" w:rsidRPr="001A3D2B" w:rsidRDefault="003474F2" w:rsidP="003474F2">
      <w:pPr>
        <w:pStyle w:val="12"/>
      </w:pPr>
      <w:r w:rsidRPr="001A3D2B">
        <w:t xml:space="preserve">Full Journal Title: </w:t>
      </w:r>
      <w:hyperlink r:id="rId249" w:history="1">
        <w:r w:rsidRPr="001A3D2B">
          <w:rPr>
            <w:rStyle w:val="a5"/>
          </w:rPr>
          <w:t>Chinese Journal</w:t>
        </w:r>
        <w:r w:rsidR="00427468">
          <w:rPr>
            <w:rStyle w:val="a5"/>
          </w:rPr>
          <w:t xml:space="preserve"> of </w:t>
        </w:r>
        <w:r w:rsidRPr="001A3D2B">
          <w:rPr>
            <w:rStyle w:val="a5"/>
          </w:rPr>
          <w:t>Nosocomiology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Du, Y.</w:t>
      </w:r>
      <w:r w:rsidR="005853A9">
        <w:t xml:space="preserve"> and </w:t>
      </w:r>
      <w:r w:rsidRPr="001A3D2B">
        <w:t xml:space="preserve">Chen J.K. (2007), </w:t>
      </w:r>
      <w:r w:rsidRPr="001A3D2B">
        <w:rPr>
          <w:i/>
        </w:rPr>
        <w:t>Chinese Journal</w:t>
      </w:r>
      <w:r w:rsidR="00427468">
        <w:rPr>
          <w:i/>
        </w:rPr>
        <w:t xml:space="preserve"> of </w:t>
      </w:r>
      <w:r w:rsidRPr="001A3D2B">
        <w:rPr>
          <w:i/>
        </w:rPr>
        <w:t>Nosocomiology</w:t>
      </w:r>
      <w:r w:rsidRPr="001A3D2B">
        <w:t xml:space="preserve">: A citation analysis. </w:t>
      </w:r>
      <w:r w:rsidRPr="001A3D2B">
        <w:rPr>
          <w:i/>
        </w:rPr>
        <w:t>Chinese Journal</w:t>
      </w:r>
      <w:r w:rsidR="00427468">
        <w:rPr>
          <w:i/>
        </w:rPr>
        <w:t xml:space="preserve"> of </w:t>
      </w:r>
      <w:r w:rsidRPr="001A3D2B">
        <w:rPr>
          <w:i/>
        </w:rPr>
        <w:t>Nosocomiology</w:t>
      </w:r>
      <w:r w:rsidRPr="001A3D2B">
        <w:t>, 1</w:t>
      </w:r>
      <w:r w:rsidRPr="001A3D2B">
        <w:rPr>
          <w:b/>
          <w:szCs w:val="19"/>
        </w:rPr>
        <w:t>7</w:t>
      </w:r>
      <w:r w:rsidRPr="001A3D2B">
        <w:rPr>
          <w:szCs w:val="19"/>
        </w:rPr>
        <w:t xml:space="preserve"> (3), 285-289</w:t>
      </w:r>
      <w:r w:rsidRPr="001A3D2B">
        <w:t>.</w:t>
      </w:r>
    </w:p>
    <w:p w:rsidR="003474F2" w:rsidRPr="001A3D2B" w:rsidRDefault="003474F2" w:rsidP="003474F2">
      <w:pPr>
        <w:pStyle w:val="a3"/>
      </w:pPr>
      <w:r w:rsidRPr="001A3D2B">
        <w:t xml:space="preserve">Full Text: </w:t>
      </w:r>
      <w:hyperlink r:id="rId250" w:history="1">
        <w:r w:rsidRPr="001A3D2B">
          <w:rPr>
            <w:rStyle w:val="a5"/>
          </w:rPr>
          <w:t>2007\Chi J Nos17, 285.pdf</w:t>
        </w:r>
      </w:hyperlink>
    </w:p>
    <w:p w:rsidR="003474F2" w:rsidRPr="001A3D2B" w:rsidRDefault="003474F2" w:rsidP="003474F2">
      <w:pPr>
        <w:pStyle w:val="a3"/>
      </w:pPr>
      <w:r w:rsidRPr="001A3D2B">
        <w:t>Abstract: OBJECTIVE</w:t>
      </w:r>
      <w:r w:rsidR="003A1917">
        <w:t xml:space="preserve"> the </w:t>
      </w:r>
      <w:r w:rsidRPr="001A3D2B">
        <w:t>bibliometric index</w:t>
      </w:r>
      <w:r w:rsidR="00427468">
        <w:t xml:space="preserve"> of </w:t>
      </w:r>
      <w:r w:rsidRPr="001A3D2B">
        <w:t>papers published in Chinese Journal</w:t>
      </w:r>
      <w:r w:rsidR="00427468">
        <w:t xml:space="preserve"> of </w:t>
      </w:r>
      <w:r w:rsidRPr="001A3D2B">
        <w:t>Nosocomiology in sequential 11 years was analyzed by</w:t>
      </w:r>
      <w:r w:rsidR="003A1917">
        <w:t xml:space="preserve"> the </w:t>
      </w:r>
      <w:r w:rsidRPr="001A3D2B">
        <w:t>citation method in order to get comprehensive understanding</w:t>
      </w:r>
      <w:r w:rsidR="00427468">
        <w:t xml:space="preserve"> of </w:t>
      </w:r>
      <w:r w:rsidR="003A1917">
        <w:t xml:space="preserve">the </w:t>
      </w:r>
      <w:r w:rsidRPr="001A3D2B">
        <w:t>articles in academic quality</w:t>
      </w:r>
      <w:r w:rsidR="005853A9">
        <w:t xml:space="preserve"> and </w:t>
      </w:r>
      <w:r w:rsidRPr="001A3D2B">
        <w:t>level. METHODS</w:t>
      </w:r>
      <w:r w:rsidR="003A1917">
        <w:t xml:space="preserve"> the </w:t>
      </w:r>
      <w:r w:rsidRPr="001A3D2B">
        <w:t>cited articles in</w:t>
      </w:r>
      <w:r w:rsidR="003A1917">
        <w:t xml:space="preserve"> the </w:t>
      </w:r>
      <w:r w:rsidRPr="001A3D2B">
        <w:t>journal were analyzed</w:t>
      </w:r>
      <w:r w:rsidR="005853A9">
        <w:t xml:space="preserve"> and </w:t>
      </w:r>
      <w:r w:rsidRPr="001A3D2B">
        <w:t>evaluated using quantitative approach on</w:t>
      </w:r>
      <w:r w:rsidR="003A1917">
        <w:t xml:space="preserve"> the </w:t>
      </w:r>
      <w:r w:rsidRPr="001A3D2B">
        <w:t>basis</w:t>
      </w:r>
      <w:r w:rsidR="00427468">
        <w:t xml:space="preserve"> of </w:t>
      </w:r>
      <w:r w:rsidR="003A1917">
        <w:t xml:space="preserve">the </w:t>
      </w:r>
      <w:r w:rsidRPr="001A3D2B">
        <w:t>data searched from Chinese Medical Citation Index(CMCI) database developed by Medical Library</w:t>
      </w:r>
      <w:r w:rsidR="00427468">
        <w:t xml:space="preserve"> of </w:t>
      </w:r>
      <w:r w:rsidRPr="001A3D2B">
        <w:t>Chinese PLA. RESULTS</w:t>
      </w:r>
      <w:r w:rsidR="003A1917">
        <w:t xml:space="preserve"> the </w:t>
      </w:r>
      <w:r w:rsidRPr="001A3D2B">
        <w:t>total cites, immediacy index a...</w:t>
      </w:r>
    </w:p>
    <w:p w:rsidR="003474F2" w:rsidRPr="001A3D2B" w:rsidRDefault="003474F2" w:rsidP="003474F2">
      <w:pPr>
        <w:pStyle w:val="a3"/>
      </w:pPr>
      <w:r w:rsidRPr="001A3D2B">
        <w:t>Keywords: Medical Journals, Bibliometry, Citation Analysis, Chinese Journal</w:t>
      </w:r>
      <w:r w:rsidR="00427468">
        <w:t xml:space="preserve"> of </w:t>
      </w:r>
      <w:r w:rsidRPr="001A3D2B">
        <w:t>Nosocomiology</w:t>
      </w:r>
    </w:p>
    <w:p w:rsidR="003474F2" w:rsidRPr="001A3D2B" w:rsidRDefault="003474F2" w:rsidP="003474F2">
      <w:pPr>
        <w:pStyle w:val="1"/>
      </w:pPr>
      <w:r w:rsidRPr="001A3D2B">
        <w:br w:type="page"/>
      </w:r>
      <w:bookmarkStart w:id="208" w:name="_Toc420814982"/>
      <w:r w:rsidRPr="001A3D2B">
        <w:lastRenderedPageBreak/>
        <w:t xml:space="preserve">Title: </w:t>
      </w:r>
      <w:r w:rsidRPr="001A3D2B">
        <w:rPr>
          <w:szCs w:val="12"/>
        </w:rPr>
        <w:t>Chinese Journal</w:t>
      </w:r>
      <w:r w:rsidR="00427468">
        <w:rPr>
          <w:szCs w:val="12"/>
        </w:rPr>
        <w:t xml:space="preserve"> of </w:t>
      </w:r>
      <w:r w:rsidRPr="001A3D2B">
        <w:rPr>
          <w:szCs w:val="12"/>
        </w:rPr>
        <w:t>Nursing</w:t>
      </w:r>
      <w:bookmarkEnd w:id="208"/>
    </w:p>
    <w:p w:rsidR="003474F2" w:rsidRPr="001A3D2B" w:rsidRDefault="003474F2" w:rsidP="003474F2">
      <w:pPr>
        <w:pStyle w:val="12"/>
      </w:pPr>
      <w:r w:rsidRPr="001A3D2B">
        <w:t xml:space="preserve">Full Journal Title: </w:t>
      </w:r>
      <w:hyperlink r:id="rId251" w:history="1">
        <w:r w:rsidRPr="001A3D2B">
          <w:rPr>
            <w:rStyle w:val="a5"/>
            <w:szCs w:val="12"/>
          </w:rPr>
          <w:t>Chinese Journal</w:t>
        </w:r>
        <w:r w:rsidR="00427468">
          <w:rPr>
            <w:rStyle w:val="a5"/>
            <w:szCs w:val="12"/>
          </w:rPr>
          <w:t xml:space="preserve"> of </w:t>
        </w:r>
        <w:r w:rsidRPr="001A3D2B">
          <w:rPr>
            <w:rStyle w:val="a5"/>
            <w:szCs w:val="12"/>
          </w:rPr>
          <w:t>Nursing</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0254-1769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rPr>
          <w:szCs w:val="12"/>
        </w:rPr>
        <w:t>Ma, X.Q., Ding, L.S.</w:t>
      </w:r>
      <w:r w:rsidR="005853A9">
        <w:rPr>
          <w:szCs w:val="12"/>
        </w:rPr>
        <w:t xml:space="preserve"> and </w:t>
      </w:r>
      <w:r w:rsidRPr="001A3D2B">
        <w:rPr>
          <w:szCs w:val="12"/>
        </w:rPr>
        <w:t>Ma, W.J.</w:t>
      </w:r>
      <w:r w:rsidRPr="001A3D2B">
        <w:t xml:space="preserve"> (2001), </w:t>
      </w:r>
      <w:r w:rsidRPr="001A3D2B">
        <w:rPr>
          <w:szCs w:val="12"/>
        </w:rPr>
        <w:t>A bibliometric analysis</w:t>
      </w:r>
      <w:r w:rsidR="00427468">
        <w:rPr>
          <w:szCs w:val="12"/>
        </w:rPr>
        <w:t xml:space="preserve"> of </w:t>
      </w:r>
      <w:r w:rsidR="003A1917">
        <w:rPr>
          <w:szCs w:val="12"/>
        </w:rPr>
        <w:t xml:space="preserve">the </w:t>
      </w:r>
      <w:r w:rsidRPr="001A3D2B">
        <w:rPr>
          <w:szCs w:val="12"/>
        </w:rPr>
        <w:t>correlative subject headings</w:t>
      </w:r>
      <w:r w:rsidR="00427468">
        <w:rPr>
          <w:szCs w:val="12"/>
        </w:rPr>
        <w:t xml:space="preserve"> of </w:t>
      </w:r>
      <w:r w:rsidRPr="001A3D2B">
        <w:rPr>
          <w:szCs w:val="12"/>
        </w:rPr>
        <w:t>health education studies</w:t>
      </w:r>
      <w:r w:rsidRPr="001A3D2B">
        <w:t xml:space="preserve">. </w:t>
      </w:r>
      <w:r w:rsidRPr="001A3D2B">
        <w:rPr>
          <w:i/>
          <w:szCs w:val="12"/>
        </w:rPr>
        <w:t>Chinese Journal</w:t>
      </w:r>
      <w:r w:rsidR="00427468">
        <w:rPr>
          <w:i/>
          <w:szCs w:val="12"/>
        </w:rPr>
        <w:t xml:space="preserve"> of </w:t>
      </w:r>
      <w:r w:rsidRPr="001A3D2B">
        <w:rPr>
          <w:i/>
          <w:szCs w:val="12"/>
        </w:rPr>
        <w:t>Nursing</w:t>
      </w:r>
      <w:r w:rsidRPr="001A3D2B">
        <w:t xml:space="preserve">, </w:t>
      </w:r>
      <w:r w:rsidRPr="001A3D2B">
        <w:rPr>
          <w:b/>
        </w:rPr>
        <w:t>36</w:t>
      </w:r>
      <w:r w:rsidRPr="001A3D2B">
        <w:t xml:space="preserve"> (6), 405-408.</w:t>
      </w:r>
    </w:p>
    <w:p w:rsidR="003474F2" w:rsidRPr="001A3D2B" w:rsidRDefault="003474F2" w:rsidP="003474F2">
      <w:pPr>
        <w:pStyle w:val="a3"/>
      </w:pPr>
      <w:r w:rsidRPr="001A3D2B">
        <w:t xml:space="preserve">Full Text: </w:t>
      </w:r>
      <w:hyperlink r:id="rId252" w:history="1">
        <w:r w:rsidRPr="001A3D2B">
          <w:rPr>
            <w:rStyle w:val="a5"/>
            <w:szCs w:val="12"/>
          </w:rPr>
          <w:t>2001\Chi J Nur36, 405.pdf</w:t>
        </w:r>
      </w:hyperlink>
    </w:p>
    <w:p w:rsidR="003474F2" w:rsidRPr="001A3D2B" w:rsidRDefault="003474F2" w:rsidP="003474F2">
      <w:pPr>
        <w:pStyle w:val="a3"/>
      </w:pPr>
      <w:r w:rsidRPr="001A3D2B">
        <w:t>Abstract:</w:t>
      </w:r>
      <w:r w:rsidRPr="001A3D2B">
        <w:rPr>
          <w:szCs w:val="18"/>
        </w:rPr>
        <w:t xml:space="preserve"> </w:t>
      </w:r>
      <w:r w:rsidRPr="001A3D2B">
        <w:rPr>
          <w:szCs w:val="17"/>
        </w:rPr>
        <w:t>Bibliometrics can give various detailed information on medical studies, such as research contents, methods</w:t>
      </w:r>
      <w:r w:rsidR="005853A9">
        <w:rPr>
          <w:szCs w:val="17"/>
        </w:rPr>
        <w:t xml:space="preserve"> and </w:t>
      </w:r>
      <w:r w:rsidRPr="001A3D2B">
        <w:rPr>
          <w:szCs w:val="17"/>
        </w:rPr>
        <w:t>trends in a specialty. In this study,</w:t>
      </w:r>
      <w:r w:rsidR="003A1917">
        <w:rPr>
          <w:szCs w:val="17"/>
        </w:rPr>
        <w:t xml:space="preserve"> the </w:t>
      </w:r>
      <w:r w:rsidRPr="001A3D2B">
        <w:rPr>
          <w:szCs w:val="17"/>
        </w:rPr>
        <w:t>authors used a new medical bibliometric analysis method, correlative subject headings (COSH) analysis to analyse all relevant publications on</w:t>
      </w:r>
      <w:r w:rsidR="003A1917">
        <w:rPr>
          <w:szCs w:val="17"/>
        </w:rPr>
        <w:t xml:space="preserve"> the </w:t>
      </w:r>
      <w:r w:rsidRPr="001A3D2B">
        <w:rPr>
          <w:szCs w:val="17"/>
        </w:rPr>
        <w:t>subject HEALTH</w:t>
      </w:r>
      <w:r w:rsidR="005853A9">
        <w:rPr>
          <w:szCs w:val="17"/>
        </w:rPr>
        <w:t xml:space="preserve"> and </w:t>
      </w:r>
      <w:r w:rsidRPr="001A3D2B">
        <w:rPr>
          <w:szCs w:val="17"/>
        </w:rPr>
        <w:t>EDUCATION on their COSH in major MESH(MJME) fields</w:t>
      </w:r>
      <w:r w:rsidR="00427468">
        <w:rPr>
          <w:szCs w:val="17"/>
        </w:rPr>
        <w:t xml:space="preserve"> of </w:t>
      </w:r>
      <w:r w:rsidR="003A1917">
        <w:rPr>
          <w:szCs w:val="17"/>
        </w:rPr>
        <w:t xml:space="preserve">the </w:t>
      </w:r>
      <w:r w:rsidRPr="001A3D2B">
        <w:rPr>
          <w:szCs w:val="17"/>
        </w:rPr>
        <w:t>document database from</w:t>
      </w:r>
      <w:r w:rsidR="003A1917">
        <w:rPr>
          <w:szCs w:val="17"/>
        </w:rPr>
        <w:t xml:space="preserve"> the </w:t>
      </w:r>
      <w:r w:rsidR="00D5664A">
        <w:rPr>
          <w:szCs w:val="17"/>
        </w:rPr>
        <w:t>MEDLINE</w:t>
      </w:r>
      <w:r w:rsidRPr="001A3D2B">
        <w:rPr>
          <w:szCs w:val="17"/>
        </w:rPr>
        <w:t xml:space="preserve"> CD</w:t>
      </w:r>
      <w:r w:rsidRPr="001A3D2B">
        <w:rPr>
          <w:szCs w:val="18"/>
        </w:rPr>
        <w:t>-</w:t>
      </w:r>
      <w:r w:rsidRPr="001A3D2B">
        <w:rPr>
          <w:szCs w:val="17"/>
        </w:rPr>
        <w:t>ROM (silver platter) 1990</w:t>
      </w:r>
      <w:r w:rsidRPr="001A3D2B">
        <w:rPr>
          <w:szCs w:val="18"/>
        </w:rPr>
        <w:t>～</w:t>
      </w:r>
      <w:r w:rsidRPr="001A3D2B">
        <w:rPr>
          <w:szCs w:val="17"/>
        </w:rPr>
        <w:t>1998. According to</w:t>
      </w:r>
      <w:r w:rsidR="003A1917">
        <w:rPr>
          <w:szCs w:val="17"/>
        </w:rPr>
        <w:t xml:space="preserve"> the </w:t>
      </w:r>
      <w:r w:rsidRPr="001A3D2B">
        <w:rPr>
          <w:szCs w:val="17"/>
        </w:rPr>
        <w:t>computer statistical results</w:t>
      </w:r>
      <w:r w:rsidR="00427468">
        <w:rPr>
          <w:szCs w:val="17"/>
        </w:rPr>
        <w:t xml:space="preserve"> of </w:t>
      </w:r>
      <w:r w:rsidRPr="001A3D2B">
        <w:rPr>
          <w:szCs w:val="17"/>
        </w:rPr>
        <w:t>document retrieval,</w:t>
      </w:r>
      <w:r w:rsidR="003A1917">
        <w:rPr>
          <w:szCs w:val="17"/>
        </w:rPr>
        <w:t xml:space="preserve"> the </w:t>
      </w:r>
      <w:r w:rsidRPr="001A3D2B">
        <w:rPr>
          <w:szCs w:val="17"/>
        </w:rPr>
        <w:t>authors presented</w:t>
      </w:r>
      <w:r w:rsidR="005853A9">
        <w:rPr>
          <w:szCs w:val="17"/>
        </w:rPr>
        <w:t xml:space="preserve"> and </w:t>
      </w:r>
      <w:r w:rsidRPr="001A3D2B">
        <w:rPr>
          <w:szCs w:val="17"/>
        </w:rPr>
        <w:t>discuss</w:t>
      </w:r>
      <w:r w:rsidR="003A1917">
        <w:rPr>
          <w:szCs w:val="17"/>
        </w:rPr>
        <w:t xml:space="preserve"> the </w:t>
      </w:r>
      <w:r w:rsidRPr="001A3D2B">
        <w:rPr>
          <w:szCs w:val="17"/>
        </w:rPr>
        <w:t>new trends</w:t>
      </w:r>
      <w:r w:rsidR="005853A9">
        <w:rPr>
          <w:szCs w:val="17"/>
        </w:rPr>
        <w:t xml:space="preserve"> and </w:t>
      </w:r>
      <w:r w:rsidRPr="001A3D2B">
        <w:rPr>
          <w:szCs w:val="17"/>
        </w:rPr>
        <w:t>directions in health education studies. It provides theoretical grounds for</w:t>
      </w:r>
      <w:r w:rsidR="003A1917">
        <w:rPr>
          <w:szCs w:val="17"/>
        </w:rPr>
        <w:t xml:space="preserve"> the </w:t>
      </w:r>
      <w:r w:rsidRPr="001A3D2B">
        <w:rPr>
          <w:szCs w:val="17"/>
        </w:rPr>
        <w:t>management</w:t>
      </w:r>
      <w:r w:rsidR="005853A9">
        <w:rPr>
          <w:szCs w:val="17"/>
        </w:rPr>
        <w:t xml:space="preserve"> and </w:t>
      </w:r>
      <w:r w:rsidRPr="001A3D2B">
        <w:rPr>
          <w:szCs w:val="17"/>
        </w:rPr>
        <w:t>establishment</w:t>
      </w:r>
      <w:r w:rsidR="00427468">
        <w:rPr>
          <w:szCs w:val="17"/>
        </w:rPr>
        <w:t xml:space="preserve"> of </w:t>
      </w:r>
      <w:r w:rsidRPr="001A3D2B">
        <w:rPr>
          <w:szCs w:val="17"/>
        </w:rPr>
        <w:t>health education study</w:t>
      </w:r>
      <w:r w:rsidR="005853A9">
        <w:rPr>
          <w:szCs w:val="17"/>
        </w:rPr>
        <w:t xml:space="preserve"> and </w:t>
      </w:r>
      <w:r w:rsidRPr="001A3D2B">
        <w:rPr>
          <w:szCs w:val="17"/>
        </w:rPr>
        <w:t>practice.</w:t>
      </w:r>
    </w:p>
    <w:p w:rsidR="003474F2" w:rsidRPr="001A3D2B" w:rsidRDefault="003474F2" w:rsidP="003474F2">
      <w:pPr>
        <w:pStyle w:val="a3"/>
      </w:pPr>
      <w:r w:rsidRPr="001A3D2B">
        <w:t>Keywords:</w:t>
      </w:r>
      <w:r w:rsidRPr="001A3D2B">
        <w:rPr>
          <w:szCs w:val="12"/>
        </w:rPr>
        <w:t xml:space="preserve"> Health Education Correlative Subject Headings Bibliometric</w:t>
      </w:r>
    </w:p>
    <w:p w:rsidR="003474F2" w:rsidRPr="001A3D2B" w:rsidRDefault="003474F2" w:rsidP="003474F2">
      <w:pPr>
        <w:pStyle w:val="1"/>
      </w:pPr>
      <w:r w:rsidRPr="001A3D2B">
        <w:br w:type="page"/>
      </w:r>
      <w:bookmarkStart w:id="209" w:name="_Toc420814983"/>
      <w:r w:rsidRPr="001A3D2B">
        <w:lastRenderedPageBreak/>
        <w:t>Title: Chinese Journal</w:t>
      </w:r>
      <w:r w:rsidR="00427468">
        <w:t xml:space="preserve"> of </w:t>
      </w:r>
      <w:r w:rsidRPr="001A3D2B">
        <w:t>Orthopaedic Trauma</w:t>
      </w:r>
      <w:bookmarkEnd w:id="209"/>
    </w:p>
    <w:p w:rsidR="003474F2" w:rsidRPr="001A3D2B" w:rsidRDefault="003474F2" w:rsidP="003474F2">
      <w:pPr>
        <w:pStyle w:val="12"/>
      </w:pPr>
      <w:r w:rsidRPr="001A3D2B">
        <w:t xml:space="preserve">Full Journal Title: </w:t>
      </w:r>
      <w:hyperlink r:id="rId253" w:history="1">
        <w:r w:rsidRPr="001A3D2B">
          <w:rPr>
            <w:rStyle w:val="a5"/>
          </w:rPr>
          <w:t>Chinese Journal</w:t>
        </w:r>
        <w:r w:rsidR="00427468">
          <w:rPr>
            <w:rStyle w:val="a5"/>
          </w:rPr>
          <w:t xml:space="preserve"> of </w:t>
        </w:r>
        <w:r w:rsidRPr="001A3D2B">
          <w:rPr>
            <w:rStyle w:val="a5"/>
          </w:rPr>
          <w:t>Orthopaedic Trauma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1671-7600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Li, G.Y.,Zhang, N.and J.,D. (2007), An analysis</w:t>
      </w:r>
      <w:r w:rsidR="00427468">
        <w:t xml:space="preserve"> of </w:t>
      </w:r>
      <w:r w:rsidRPr="001A3D2B">
        <w:t xml:space="preserve">articles published from 1999 to </w:t>
      </w:r>
      <w:smartTag w:uri="urn:schemas-microsoft-com:office:smarttags" w:element="chmetcnv">
        <w:smartTagPr>
          <w:attr w:name="UnitName" w:val="in"/>
          <w:attr w:name="SourceValue" w:val="2006"/>
          <w:attr w:name="HasSpace" w:val="True"/>
          <w:attr w:name="Negative" w:val="False"/>
          <w:attr w:name="NumberType" w:val="1"/>
          <w:attr w:name="TCSC" w:val="0"/>
        </w:smartTagPr>
        <w:r w:rsidRPr="001A3D2B">
          <w:t>2006 in</w:t>
        </w:r>
      </w:smartTag>
      <w:r w:rsidRPr="001A3D2B">
        <w:t xml:space="preserve"> Chinese Journal</w:t>
      </w:r>
      <w:r w:rsidR="00427468">
        <w:t xml:space="preserve"> of </w:t>
      </w:r>
      <w:r w:rsidRPr="001A3D2B">
        <w:t xml:space="preserve">Orthopaedic Trauma. </w:t>
      </w:r>
      <w:r w:rsidRPr="001A3D2B">
        <w:rPr>
          <w:i/>
        </w:rPr>
        <w:t>Chinese Journal</w:t>
      </w:r>
      <w:r w:rsidR="00427468">
        <w:rPr>
          <w:i/>
        </w:rPr>
        <w:t xml:space="preserve"> of </w:t>
      </w:r>
      <w:r w:rsidRPr="001A3D2B">
        <w:rPr>
          <w:i/>
        </w:rPr>
        <w:t>Orthopaedic Trauma</w:t>
      </w:r>
      <w:r w:rsidRPr="001A3D2B">
        <w:t xml:space="preserve">, </w:t>
      </w:r>
      <w:r w:rsidRPr="001A3D2B">
        <w:rPr>
          <w:b/>
          <w:szCs w:val="19"/>
        </w:rPr>
        <w:t>9</w:t>
      </w:r>
      <w:r w:rsidRPr="001A3D2B">
        <w:rPr>
          <w:szCs w:val="19"/>
        </w:rPr>
        <w:t xml:space="preserve"> (1), 74-76</w:t>
      </w:r>
      <w:r w:rsidRPr="001A3D2B">
        <w:t>.</w:t>
      </w:r>
    </w:p>
    <w:p w:rsidR="003474F2" w:rsidRPr="001A3D2B" w:rsidRDefault="003474F2" w:rsidP="003474F2">
      <w:pPr>
        <w:pStyle w:val="a3"/>
      </w:pPr>
      <w:r w:rsidRPr="001A3D2B">
        <w:t xml:space="preserve">Full Text: </w:t>
      </w:r>
      <w:hyperlink r:id="rId254" w:history="1">
        <w:r w:rsidRPr="001A3D2B">
          <w:rPr>
            <w:rStyle w:val="a5"/>
          </w:rPr>
          <w:t>2007\Chi J Ort Tra9, 74.pdf</w:t>
        </w:r>
      </w:hyperlink>
    </w:p>
    <w:p w:rsidR="003474F2" w:rsidRPr="001A3D2B" w:rsidRDefault="003474F2" w:rsidP="003474F2">
      <w:pPr>
        <w:pStyle w:val="a3"/>
      </w:pPr>
      <w:r w:rsidRPr="001A3D2B">
        <w:t>Abstract: Objective To analyze papers published in Chinese Journal</w:t>
      </w:r>
      <w:r w:rsidR="00427468">
        <w:t xml:space="preserve"> of </w:t>
      </w:r>
      <w:r w:rsidRPr="001A3D2B">
        <w:t>Orthopaedic Trauma (CJOT)so as to evaluate its current academic status. Methods A bibliometric survey was done to analyze</w:t>
      </w:r>
      <w:r w:rsidR="003A1917">
        <w:t xml:space="preserve"> the </w:t>
      </w:r>
      <w:r w:rsidRPr="001A3D2B">
        <w:t>quantity, types, foundation support, intervals between receiving</w:t>
      </w:r>
      <w:r w:rsidR="005853A9">
        <w:t xml:space="preserve"> and </w:t>
      </w:r>
      <w:r w:rsidRPr="001A3D2B">
        <w:t>publication</w:t>
      </w:r>
      <w:r w:rsidR="00427468">
        <w:t xml:space="preserve"> of </w:t>
      </w:r>
      <w:r w:rsidRPr="001A3D2B">
        <w:t>all</w:t>
      </w:r>
      <w:r w:rsidR="003A1917">
        <w:t xml:space="preserve"> the </w:t>
      </w:r>
      <w:r w:rsidRPr="001A3D2B">
        <w:t xml:space="preserve">articles published from 1999 to </w:t>
      </w:r>
      <w:smartTag w:uri="urn:schemas-microsoft-com:office:smarttags" w:element="chmetcnv">
        <w:smartTagPr>
          <w:attr w:name="UnitName" w:val="in"/>
          <w:attr w:name="SourceValue" w:val="2006"/>
          <w:attr w:name="HasSpace" w:val="True"/>
          <w:attr w:name="Negative" w:val="False"/>
          <w:attr w:name="NumberType" w:val="1"/>
          <w:attr w:name="TCSC" w:val="0"/>
        </w:smartTagPr>
        <w:r w:rsidRPr="001A3D2B">
          <w:t>2006 in</w:t>
        </w:r>
      </w:smartTag>
      <w:r w:rsidRPr="001A3D2B">
        <w:t xml:space="preserve"> CJOT. Results From 1999 to 2006, 1807 articles were published, with 225. 9 ones every year. 14. 61%</w:t>
      </w:r>
      <w:r w:rsidR="00427468">
        <w:t xml:space="preserve"> of </w:t>
      </w:r>
      <w:r w:rsidR="003A1917">
        <w:t xml:space="preserve">the </w:t>
      </w:r>
      <w:r w:rsidRPr="001A3D2B">
        <w:t>total papers got foundation support, with</w:t>
      </w:r>
      <w:r w:rsidR="003A1917">
        <w:t xml:space="preserve"> the </w:t>
      </w:r>
      <w:r w:rsidRPr="001A3D2B">
        <w:t>support rates for each year being 0. 12 (1999).</w:t>
      </w:r>
    </w:p>
    <w:p w:rsidR="003474F2" w:rsidRPr="001A3D2B" w:rsidRDefault="003474F2" w:rsidP="003474F2">
      <w:pPr>
        <w:pStyle w:val="a3"/>
      </w:pPr>
      <w:r w:rsidRPr="001A3D2B">
        <w:t>Keywords: Periodical Research, Analysis</w:t>
      </w:r>
      <w:r w:rsidR="00427468">
        <w:t xml:space="preserve"> of </w:t>
      </w:r>
      <w:r w:rsidRPr="001A3D2B">
        <w:t>Published Articles, Bibiometrics, Evaluation</w:t>
      </w:r>
    </w:p>
    <w:p w:rsidR="003474F2" w:rsidRPr="001A3D2B" w:rsidRDefault="003474F2" w:rsidP="003474F2">
      <w:pPr>
        <w:pStyle w:val="1"/>
      </w:pPr>
      <w:r w:rsidRPr="001A3D2B">
        <w:br w:type="page"/>
      </w:r>
      <w:bookmarkStart w:id="210" w:name="_Toc420814984"/>
      <w:r w:rsidRPr="001A3D2B">
        <w:lastRenderedPageBreak/>
        <w:t>Title: Chinese Journal</w:t>
      </w:r>
      <w:r w:rsidR="00427468">
        <w:t xml:space="preserve"> of </w:t>
      </w:r>
      <w:r w:rsidRPr="001A3D2B">
        <w:t>Ultrasound in Medicine</w:t>
      </w:r>
      <w:bookmarkEnd w:id="210"/>
    </w:p>
    <w:p w:rsidR="003474F2" w:rsidRPr="001A3D2B" w:rsidRDefault="003474F2" w:rsidP="003474F2">
      <w:pPr>
        <w:pStyle w:val="12"/>
      </w:pPr>
      <w:r w:rsidRPr="001A3D2B">
        <w:t xml:space="preserve">Full Journal Title: </w:t>
      </w:r>
      <w:hyperlink r:id="rId255" w:history="1">
        <w:r w:rsidRPr="001A3D2B">
          <w:rPr>
            <w:rStyle w:val="a5"/>
          </w:rPr>
          <w:t>Chinese Journal</w:t>
        </w:r>
        <w:r w:rsidR="00427468">
          <w:rPr>
            <w:rStyle w:val="a5"/>
          </w:rPr>
          <w:t xml:space="preserve"> of </w:t>
        </w:r>
        <w:r w:rsidRPr="001A3D2B">
          <w:rPr>
            <w:rStyle w:val="a5"/>
          </w:rPr>
          <w:t>Ultrasound in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1002-0101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Fan, C.M. (2007), Bibliometric analysis</w:t>
      </w:r>
      <w:r w:rsidR="00427468">
        <w:t xml:space="preserve"> of </w:t>
      </w:r>
      <w:r w:rsidRPr="001A3D2B">
        <w:rPr>
          <w:i/>
        </w:rPr>
        <w:t>Chinese Journal</w:t>
      </w:r>
      <w:r w:rsidR="00427468">
        <w:rPr>
          <w:i/>
        </w:rPr>
        <w:t xml:space="preserve"> of </w:t>
      </w:r>
      <w:r w:rsidRPr="001A3D2B">
        <w:rPr>
          <w:i/>
        </w:rPr>
        <w:t>Ultrasound in Medicine</w:t>
      </w:r>
      <w:r w:rsidRPr="001A3D2B">
        <w:t xml:space="preserve">. </w:t>
      </w:r>
      <w:r w:rsidRPr="001A3D2B">
        <w:rPr>
          <w:i/>
        </w:rPr>
        <w:t>Chinese Journal</w:t>
      </w:r>
      <w:r w:rsidR="00427468">
        <w:rPr>
          <w:i/>
        </w:rPr>
        <w:t xml:space="preserve"> of </w:t>
      </w:r>
      <w:r w:rsidRPr="001A3D2B">
        <w:rPr>
          <w:i/>
        </w:rPr>
        <w:t>Ultrasound in Medicine</w:t>
      </w:r>
      <w:r w:rsidRPr="001A3D2B">
        <w:t xml:space="preserve">, </w:t>
      </w:r>
      <w:r w:rsidRPr="001A3D2B">
        <w:rPr>
          <w:b/>
          <w:szCs w:val="19"/>
        </w:rPr>
        <w:t>23</w:t>
      </w:r>
      <w:r w:rsidRPr="001A3D2B">
        <w:rPr>
          <w:szCs w:val="19"/>
        </w:rPr>
        <w:t xml:space="preserve"> (1), 1-2</w:t>
      </w:r>
      <w:r w:rsidRPr="001A3D2B">
        <w:t>.</w:t>
      </w:r>
    </w:p>
    <w:p w:rsidR="003474F2" w:rsidRPr="001A3D2B" w:rsidRDefault="003474F2" w:rsidP="003474F2">
      <w:pPr>
        <w:pStyle w:val="a3"/>
      </w:pPr>
      <w:r w:rsidRPr="001A3D2B">
        <w:t xml:space="preserve">Full Text: </w:t>
      </w:r>
      <w:hyperlink r:id="rId256" w:history="1">
        <w:r w:rsidRPr="001A3D2B">
          <w:rPr>
            <w:rStyle w:val="a5"/>
          </w:rPr>
          <w:t>2007\Chi J Ult Med23, 1.pdf</w:t>
        </w:r>
      </w:hyperlink>
    </w:p>
    <w:p w:rsidR="003474F2" w:rsidRPr="001A3D2B" w:rsidRDefault="003474F2" w:rsidP="003474F2">
      <w:pPr>
        <w:pStyle w:val="a3"/>
      </w:pPr>
      <w:r w:rsidRPr="001A3D2B">
        <w:t>Abstract: Objective To evaluate</w:t>
      </w:r>
      <w:r w:rsidR="003A1917">
        <w:t xml:space="preserve"> the </w:t>
      </w:r>
      <w:r w:rsidRPr="001A3D2B">
        <w:t>quality</w:t>
      </w:r>
      <w:r w:rsidR="00427468">
        <w:t xml:space="preserve"> of </w:t>
      </w:r>
      <w:r w:rsidR="003A1917">
        <w:t xml:space="preserve">the </w:t>
      </w:r>
      <w:r w:rsidRPr="001A3D2B">
        <w:t>publications</w:t>
      </w:r>
      <w:r w:rsidR="005853A9">
        <w:t xml:space="preserve"> and </w:t>
      </w:r>
      <w:r w:rsidRPr="001A3D2B">
        <w:t>effects</w:t>
      </w:r>
      <w:r w:rsidR="00427468">
        <w:t xml:space="preserve"> of </w:t>
      </w:r>
      <w:r w:rsidRPr="001A3D2B">
        <w:t>Chinese Journal</w:t>
      </w:r>
      <w:r w:rsidR="00427468">
        <w:t xml:space="preserve"> of </w:t>
      </w:r>
      <w:r w:rsidRPr="001A3D2B">
        <w:t>Ultrasound in Medicine(CJUM). Methods Based on</w:t>
      </w:r>
      <w:r w:rsidR="003A1917">
        <w:t xml:space="preserve"> the </w:t>
      </w:r>
      <w:r w:rsidRPr="001A3D2B">
        <w:t>database</w:t>
      </w:r>
      <w:r w:rsidR="00427468">
        <w:t xml:space="preserve"> of </w:t>
      </w:r>
      <w:r w:rsidRPr="001A3D2B">
        <w:t>Chinese Science &amp; Technology Journal Citation Reports 2002-2005,</w:t>
      </w:r>
      <w:r w:rsidR="003A1917">
        <w:t xml:space="preserve"> the </w:t>
      </w:r>
      <w:r w:rsidRPr="001A3D2B">
        <w:t>six indicators, including impact factor (IF), total cited numbers, immediate index, ratio</w:t>
      </w:r>
      <w:r w:rsidR="00427468">
        <w:t xml:space="preserve"> of </w:t>
      </w:r>
      <w:r w:rsidRPr="001A3D2B">
        <w:t>cited numbers by other journals to total cited numbers, number</w:t>
      </w:r>
      <w:r w:rsidR="00427468">
        <w:t xml:space="preserve"> of </w:t>
      </w:r>
      <w:r w:rsidRPr="001A3D2B">
        <w:t>citing journals</w:t>
      </w:r>
      <w:r w:rsidR="005853A9">
        <w:t xml:space="preserve"> and </w:t>
      </w:r>
      <w:r w:rsidRPr="001A3D2B">
        <w:t>cited half-life, were evaluated</w:t>
      </w:r>
      <w:r w:rsidR="005853A9">
        <w:t xml:space="preserve"> and </w:t>
      </w:r>
      <w:r w:rsidRPr="001A3D2B">
        <w:t>compared with other Chinese periodicals in</w:t>
      </w:r>
      <w:r w:rsidR="003A1917">
        <w:t xml:space="preserve"> the </w:t>
      </w:r>
      <w:r w:rsidRPr="001A3D2B">
        <w:t>field</w:t>
      </w:r>
      <w:r w:rsidR="00427468">
        <w:t xml:space="preserve"> of </w:t>
      </w:r>
      <w:r w:rsidRPr="001A3D2B">
        <w:t>ultrasound medicine. Results F...</w:t>
      </w:r>
    </w:p>
    <w:p w:rsidR="003474F2" w:rsidRPr="001A3D2B" w:rsidRDefault="003474F2" w:rsidP="003474F2">
      <w:pPr>
        <w:pStyle w:val="a3"/>
      </w:pPr>
      <w:r w:rsidRPr="001A3D2B">
        <w:t>Keywords: Bibliometrics, Chinese Journal</w:t>
      </w:r>
      <w:r w:rsidR="00427468">
        <w:t xml:space="preserve"> of </w:t>
      </w:r>
      <w:r w:rsidRPr="001A3D2B">
        <w:t>Ultrasound in Medicine.</w:t>
      </w:r>
    </w:p>
    <w:p w:rsidR="00990401" w:rsidRPr="00C73C58" w:rsidRDefault="00990401" w:rsidP="00990401">
      <w:pPr>
        <w:pStyle w:val="1"/>
      </w:pPr>
      <w:r w:rsidRPr="00C73C58">
        <w:br w:type="page"/>
      </w:r>
      <w:bookmarkStart w:id="211" w:name="_Toc420814985"/>
      <w:r w:rsidRPr="00C73C58">
        <w:lastRenderedPageBreak/>
        <w:t xml:space="preserve">Title: </w:t>
      </w:r>
      <w:r w:rsidRPr="006A09D6">
        <w:t>Chinese Journal</w:t>
      </w:r>
      <w:r w:rsidR="00427468">
        <w:t xml:space="preserve"> of </w:t>
      </w:r>
      <w:r w:rsidRPr="006A09D6">
        <w:t>Zoology</w:t>
      </w:r>
      <w:bookmarkEnd w:id="211"/>
    </w:p>
    <w:p w:rsidR="00990401" w:rsidRPr="00C73C58" w:rsidRDefault="00990401" w:rsidP="00990401">
      <w:pPr>
        <w:pStyle w:val="12"/>
      </w:pPr>
      <w:r w:rsidRPr="00C73C58">
        <w:t xml:space="preserve">Full Journal Title: </w:t>
      </w:r>
      <w:r w:rsidRPr="006A09D6">
        <w:rPr>
          <w:iCs/>
          <w:kern w:val="0"/>
        </w:rPr>
        <w:t>Chinese Journal</w:t>
      </w:r>
      <w:r w:rsidR="00427468">
        <w:rPr>
          <w:iCs/>
          <w:kern w:val="0"/>
        </w:rPr>
        <w:t xml:space="preserve"> of </w:t>
      </w:r>
      <w:r w:rsidRPr="006A09D6">
        <w:rPr>
          <w:iCs/>
          <w:kern w:val="0"/>
        </w:rPr>
        <w:t>Zoology</w:t>
      </w:r>
    </w:p>
    <w:p w:rsidR="00990401" w:rsidRPr="00C73C58" w:rsidRDefault="00990401" w:rsidP="00990401">
      <w:pPr>
        <w:pStyle w:val="12"/>
      </w:pPr>
      <w:r w:rsidRPr="00C73C58">
        <w:t xml:space="preserve">ISO Abbreviated Title: </w:t>
      </w:r>
    </w:p>
    <w:p w:rsidR="00990401" w:rsidRPr="00C73C58" w:rsidRDefault="00990401" w:rsidP="00990401">
      <w:pPr>
        <w:pStyle w:val="12"/>
      </w:pPr>
      <w:r w:rsidRPr="00C73C58">
        <w:t xml:space="preserve">JCR Abbreviated Title: </w:t>
      </w:r>
    </w:p>
    <w:p w:rsidR="00990401" w:rsidRPr="00C73C58" w:rsidRDefault="00990401" w:rsidP="00990401">
      <w:pPr>
        <w:pStyle w:val="12"/>
      </w:pPr>
      <w:r w:rsidRPr="00C73C58">
        <w:t xml:space="preserve">ISSN: </w:t>
      </w:r>
    </w:p>
    <w:p w:rsidR="00990401" w:rsidRPr="00C73C58" w:rsidRDefault="00990401" w:rsidP="00990401">
      <w:pPr>
        <w:pStyle w:val="12"/>
      </w:pPr>
      <w:r w:rsidRPr="00C73C58">
        <w:t xml:space="preserve">Issues/Year: </w:t>
      </w:r>
    </w:p>
    <w:p w:rsidR="00990401" w:rsidRPr="00C73C58" w:rsidRDefault="00990401" w:rsidP="00990401">
      <w:pPr>
        <w:pStyle w:val="12"/>
      </w:pPr>
      <w:r w:rsidRPr="00C73C58">
        <w:t xml:space="preserve">Journal Country/Territory: </w:t>
      </w:r>
    </w:p>
    <w:p w:rsidR="00990401" w:rsidRPr="00C73C58" w:rsidRDefault="00990401" w:rsidP="00990401">
      <w:pPr>
        <w:pStyle w:val="12"/>
      </w:pPr>
      <w:r w:rsidRPr="00C73C58">
        <w:t xml:space="preserve">Language: </w:t>
      </w:r>
    </w:p>
    <w:p w:rsidR="00990401" w:rsidRPr="00C73C58" w:rsidRDefault="00990401" w:rsidP="00990401">
      <w:pPr>
        <w:pStyle w:val="12"/>
      </w:pPr>
      <w:r w:rsidRPr="00C73C58">
        <w:t xml:space="preserve">Publisher: </w:t>
      </w:r>
    </w:p>
    <w:p w:rsidR="00990401" w:rsidRPr="00C73C58" w:rsidRDefault="00990401" w:rsidP="00990401">
      <w:pPr>
        <w:pStyle w:val="12"/>
      </w:pPr>
      <w:r w:rsidRPr="00C73C58">
        <w:t xml:space="preserve">Publisher Address: </w:t>
      </w:r>
    </w:p>
    <w:p w:rsidR="00990401" w:rsidRPr="00C73C58" w:rsidRDefault="00990401" w:rsidP="00990401">
      <w:pPr>
        <w:pStyle w:val="12"/>
      </w:pPr>
      <w:r w:rsidRPr="00C73C58">
        <w:t xml:space="preserve">Subject Categories: </w:t>
      </w:r>
    </w:p>
    <w:p w:rsidR="00990401" w:rsidRPr="00C73C58" w:rsidRDefault="00990401" w:rsidP="00990401">
      <w:pPr>
        <w:pStyle w:val="12"/>
      </w:pPr>
      <w:r w:rsidRPr="00C73C58">
        <w:t xml:space="preserve">: Impact Factor </w:t>
      </w:r>
    </w:p>
    <w:p w:rsidR="00990401" w:rsidRDefault="00990401" w:rsidP="00990401">
      <w:pPr>
        <w:pStyle w:val="a3"/>
        <w:rPr>
          <w:kern w:val="0"/>
        </w:rPr>
      </w:pPr>
      <w:r>
        <w:rPr>
          <w:rFonts w:hint="eastAsia"/>
          <w:kern w:val="0"/>
        </w:rPr>
        <w:t xml:space="preserve">? </w:t>
      </w:r>
      <w:r>
        <w:rPr>
          <w:kern w:val="0"/>
        </w:rPr>
        <w:t>Jiang, W. (1997), Twenty important zoological science journals covered by</w:t>
      </w:r>
      <w:r w:rsidR="003A1917">
        <w:rPr>
          <w:kern w:val="0"/>
        </w:rPr>
        <w:t xml:space="preserve"> the </w:t>
      </w:r>
      <w:r>
        <w:rPr>
          <w:kern w:val="0"/>
        </w:rPr>
        <w:t xml:space="preserve">Science Citation Index. </w:t>
      </w:r>
      <w:r w:rsidRPr="006A09D6">
        <w:rPr>
          <w:i/>
          <w:iCs/>
          <w:kern w:val="0"/>
        </w:rPr>
        <w:t>Chinese Journal</w:t>
      </w:r>
      <w:r w:rsidR="00427468">
        <w:rPr>
          <w:i/>
          <w:iCs/>
          <w:kern w:val="0"/>
        </w:rPr>
        <w:t xml:space="preserve"> of </w:t>
      </w:r>
      <w:r w:rsidRPr="006A09D6">
        <w:rPr>
          <w:i/>
          <w:iCs/>
          <w:kern w:val="0"/>
        </w:rPr>
        <w:t>Zoology</w:t>
      </w:r>
      <w:r>
        <w:rPr>
          <w:kern w:val="0"/>
        </w:rPr>
        <w:t xml:space="preserve">, </w:t>
      </w:r>
      <w:r>
        <w:rPr>
          <w:b/>
          <w:bCs/>
          <w:kern w:val="0"/>
        </w:rPr>
        <w:t>32</w:t>
      </w:r>
      <w:r>
        <w:rPr>
          <w:kern w:val="0"/>
        </w:rPr>
        <w:t xml:space="preserve"> (4</w:t>
      </w:r>
      <w:r>
        <w:rPr>
          <w:rFonts w:hint="eastAsia"/>
          <w:kern w:val="0"/>
        </w:rPr>
        <w:t>), 43-46.</w:t>
      </w:r>
    </w:p>
    <w:p w:rsidR="00990401" w:rsidRDefault="00990401" w:rsidP="00990401">
      <w:pPr>
        <w:pStyle w:val="a3"/>
        <w:rPr>
          <w:kern w:val="0"/>
        </w:rPr>
      </w:pPr>
      <w:r>
        <w:rPr>
          <w:kern w:val="0"/>
        </w:rPr>
        <w:t>Keywords: Citation, Journals, Science, Science Citation Index, Science Journals</w:t>
      </w:r>
    </w:p>
    <w:p w:rsidR="00B30DE6" w:rsidRPr="001A3D2B" w:rsidRDefault="00B30DE6" w:rsidP="00B30DE6">
      <w:pPr>
        <w:pStyle w:val="1"/>
      </w:pPr>
      <w:r w:rsidRPr="001A3D2B">
        <w:br w:type="page"/>
      </w:r>
      <w:bookmarkStart w:id="212" w:name="_Toc420814986"/>
      <w:r w:rsidRPr="001A3D2B">
        <w:lastRenderedPageBreak/>
        <w:t>Title: Chinese Medical Equipment Journal</w:t>
      </w:r>
      <w:bookmarkEnd w:id="212"/>
    </w:p>
    <w:p w:rsidR="00B30DE6" w:rsidRPr="001A3D2B" w:rsidRDefault="00B30DE6" w:rsidP="00B30DE6">
      <w:pPr>
        <w:pStyle w:val="12"/>
      </w:pPr>
      <w:r w:rsidRPr="001A3D2B">
        <w:t xml:space="preserve">Full Journal Title: </w:t>
      </w:r>
      <w:hyperlink r:id="rId257" w:history="1">
        <w:r w:rsidRPr="001A3D2B">
          <w:rPr>
            <w:rStyle w:val="a5"/>
          </w:rPr>
          <w:t>Chinese Medical Equipment Journal</w:t>
        </w:r>
      </w:hyperlink>
    </w:p>
    <w:p w:rsidR="00B30DE6" w:rsidRPr="001A3D2B" w:rsidRDefault="00B30DE6" w:rsidP="00B30DE6">
      <w:pPr>
        <w:pStyle w:val="12"/>
      </w:pPr>
      <w:r w:rsidRPr="001A3D2B">
        <w:t xml:space="preserve">ISO Abbreviated Title: </w:t>
      </w:r>
    </w:p>
    <w:p w:rsidR="00B30DE6" w:rsidRPr="001A3D2B" w:rsidRDefault="00B30DE6" w:rsidP="00B30DE6">
      <w:pPr>
        <w:pStyle w:val="12"/>
      </w:pPr>
      <w:r w:rsidRPr="001A3D2B">
        <w:t xml:space="preserve">JCR Abbreviated Title: </w:t>
      </w:r>
    </w:p>
    <w:p w:rsidR="00B30DE6" w:rsidRPr="001A3D2B" w:rsidRDefault="00B30DE6" w:rsidP="00B30DE6">
      <w:pPr>
        <w:pStyle w:val="12"/>
      </w:pPr>
      <w:r w:rsidRPr="001A3D2B">
        <w:t xml:space="preserve">ISSN: </w:t>
      </w:r>
    </w:p>
    <w:p w:rsidR="00B30DE6" w:rsidRPr="001A3D2B" w:rsidRDefault="00B30DE6" w:rsidP="00B30DE6">
      <w:pPr>
        <w:pStyle w:val="12"/>
      </w:pPr>
      <w:r w:rsidRPr="001A3D2B">
        <w:t xml:space="preserve">Issues/Year: </w:t>
      </w:r>
    </w:p>
    <w:p w:rsidR="00B30DE6" w:rsidRPr="001A3D2B" w:rsidRDefault="00B30DE6" w:rsidP="00B30DE6">
      <w:pPr>
        <w:pStyle w:val="12"/>
      </w:pPr>
      <w:r w:rsidRPr="001A3D2B">
        <w:t xml:space="preserve">Journal Country/Territory: </w:t>
      </w:r>
    </w:p>
    <w:p w:rsidR="00B30DE6" w:rsidRPr="001A3D2B" w:rsidRDefault="00B30DE6" w:rsidP="00B30DE6">
      <w:pPr>
        <w:pStyle w:val="12"/>
      </w:pPr>
      <w:r w:rsidRPr="001A3D2B">
        <w:t xml:space="preserve">Language: </w:t>
      </w:r>
    </w:p>
    <w:p w:rsidR="00B30DE6" w:rsidRPr="001A3D2B" w:rsidRDefault="00B30DE6" w:rsidP="00B30DE6">
      <w:pPr>
        <w:pStyle w:val="12"/>
      </w:pPr>
      <w:r w:rsidRPr="001A3D2B">
        <w:t xml:space="preserve">Publisher: </w:t>
      </w:r>
    </w:p>
    <w:p w:rsidR="00B30DE6" w:rsidRPr="001A3D2B" w:rsidRDefault="00B30DE6" w:rsidP="00B30DE6">
      <w:pPr>
        <w:pStyle w:val="12"/>
      </w:pPr>
      <w:r w:rsidRPr="001A3D2B">
        <w:t xml:space="preserve">Publisher Address: </w:t>
      </w:r>
    </w:p>
    <w:p w:rsidR="00B30DE6" w:rsidRPr="001A3D2B" w:rsidRDefault="00B30DE6" w:rsidP="00B30DE6">
      <w:pPr>
        <w:pStyle w:val="12"/>
      </w:pPr>
      <w:r w:rsidRPr="001A3D2B">
        <w:t xml:space="preserve">Subject Categories: </w:t>
      </w:r>
    </w:p>
    <w:p w:rsidR="00B30DE6" w:rsidRPr="001A3D2B" w:rsidRDefault="00B30DE6" w:rsidP="00B30DE6">
      <w:pPr>
        <w:pStyle w:val="12"/>
      </w:pPr>
      <w:r w:rsidRPr="001A3D2B">
        <w:t xml:space="preserve">: Impact Factor </w:t>
      </w:r>
    </w:p>
    <w:p w:rsidR="00B30DE6" w:rsidRPr="001A3D2B" w:rsidRDefault="00B30DE6" w:rsidP="00B30DE6">
      <w:pPr>
        <w:pStyle w:val="a3"/>
      </w:pPr>
      <w:r w:rsidRPr="001A3D2B">
        <w:t>? Zheng, Y.L., Liu, Y.Q., Liu, G.Z., Ma, B.J.</w:t>
      </w:r>
      <w:r w:rsidR="005853A9">
        <w:t xml:space="preserve"> and </w:t>
      </w:r>
      <w:r w:rsidRPr="001A3D2B">
        <w:t>Huang T. (2006), Reinforcement on construction</w:t>
      </w:r>
      <w:r w:rsidR="005853A9">
        <w:t xml:space="preserve"> and </w:t>
      </w:r>
      <w:r w:rsidRPr="001A3D2B">
        <w:t>management</w:t>
      </w:r>
      <w:r w:rsidR="00427468">
        <w:t xml:space="preserve"> of </w:t>
      </w:r>
      <w:r w:rsidRPr="001A3D2B">
        <w:t>software</w:t>
      </w:r>
      <w:r w:rsidR="005853A9">
        <w:t xml:space="preserve"> and </w:t>
      </w:r>
      <w:r w:rsidRPr="001A3D2B">
        <w:t>hardware in laboratory for better utilization</w:t>
      </w:r>
      <w:r w:rsidR="00427468">
        <w:t xml:space="preserve"> of </w:t>
      </w:r>
      <w:r w:rsidRPr="001A3D2B">
        <w:t xml:space="preserve">large-scale instruments. </w:t>
      </w:r>
      <w:r w:rsidRPr="001A3D2B">
        <w:rPr>
          <w:i/>
        </w:rPr>
        <w:t>Chinese Medical Equipment Journal</w:t>
      </w:r>
      <w:r w:rsidRPr="001A3D2B">
        <w:t xml:space="preserve">, </w:t>
      </w:r>
      <w:r w:rsidRPr="001A3D2B">
        <w:rPr>
          <w:b/>
        </w:rPr>
        <w:t>27</w:t>
      </w:r>
      <w:r w:rsidRPr="001A3D2B">
        <w:t xml:space="preserve"> (7), 43-44.</w:t>
      </w:r>
    </w:p>
    <w:p w:rsidR="00B30DE6" w:rsidRPr="001A3D2B" w:rsidRDefault="00B30DE6" w:rsidP="00B30DE6">
      <w:pPr>
        <w:pStyle w:val="a3"/>
      </w:pPr>
      <w:r w:rsidRPr="001A3D2B">
        <w:t xml:space="preserve">Full Text: </w:t>
      </w:r>
      <w:hyperlink r:id="rId258" w:history="1">
        <w:r w:rsidRPr="001A3D2B">
          <w:rPr>
            <w:rStyle w:val="a5"/>
          </w:rPr>
          <w:t>2006\Chi Med Equ J27, 43.pdf</w:t>
        </w:r>
      </w:hyperlink>
    </w:p>
    <w:p w:rsidR="00B30DE6" w:rsidRPr="001A3D2B" w:rsidRDefault="00B30DE6" w:rsidP="00B30DE6">
      <w:pPr>
        <w:pStyle w:val="a3"/>
      </w:pPr>
      <w:r w:rsidRPr="001A3D2B">
        <w:t>Abstract: Besides good teaching</w:t>
      </w:r>
      <w:r w:rsidR="005853A9">
        <w:t xml:space="preserve"> and </w:t>
      </w:r>
      <w:r w:rsidRPr="001A3D2B">
        <w:t>researching personnel</w:t>
      </w:r>
      <w:r w:rsidR="005853A9">
        <w:t xml:space="preserve"> and </w:t>
      </w:r>
      <w:r w:rsidRPr="001A3D2B">
        <w:t>research basis, such factors as large- scale instruments</w:t>
      </w:r>
      <w:r w:rsidR="005853A9">
        <w:t xml:space="preserve"> and </w:t>
      </w:r>
      <w:r w:rsidRPr="001A3D2B">
        <w:t>good lab software</w:t>
      </w:r>
      <w:r w:rsidR="005853A9">
        <w:t xml:space="preserve"> and </w:t>
      </w:r>
      <w:r w:rsidRPr="001A3D2B">
        <w:t>hardware construction are very important for colleges</w:t>
      </w:r>
      <w:r w:rsidR="005853A9">
        <w:t xml:space="preserve"> and </w:t>
      </w:r>
      <w:r w:rsidRPr="001A3D2B">
        <w:t>universities to cultivate advanced person with ability as well as take high- level scientific achievements.</w:t>
      </w:r>
    </w:p>
    <w:p w:rsidR="00B30DE6" w:rsidRPr="001A3D2B" w:rsidRDefault="001043A9" w:rsidP="00B30DE6">
      <w:pPr>
        <w:pStyle w:val="a3"/>
      </w:pPr>
      <w:r>
        <w:t>Keywords:</w:t>
      </w:r>
      <w:r w:rsidR="00B30DE6" w:rsidRPr="001A3D2B">
        <w:t xml:space="preserve"> Laboratory, Large- Scale Instrument, Software Construction</w:t>
      </w:r>
    </w:p>
    <w:p w:rsidR="003474F2" w:rsidRPr="001A3D2B" w:rsidRDefault="003474F2" w:rsidP="003474F2">
      <w:pPr>
        <w:pStyle w:val="1"/>
      </w:pPr>
      <w:r w:rsidRPr="001A3D2B">
        <w:br w:type="page"/>
      </w:r>
      <w:bookmarkStart w:id="213" w:name="_Toc420814987"/>
      <w:r w:rsidRPr="001A3D2B">
        <w:lastRenderedPageBreak/>
        <w:t>Title: Chinese Medical Journal</w:t>
      </w:r>
      <w:bookmarkEnd w:id="213"/>
    </w:p>
    <w:p w:rsidR="003474F2" w:rsidRPr="001A3D2B" w:rsidRDefault="003474F2" w:rsidP="003474F2">
      <w:pPr>
        <w:pStyle w:val="12"/>
      </w:pPr>
      <w:r w:rsidRPr="001A3D2B">
        <w:t xml:space="preserve">Full Journal Title: </w:t>
      </w:r>
      <w:r w:rsidR="00DF61FE">
        <w:fldChar w:fldCharType="begin"/>
      </w:r>
      <w:r w:rsidR="00FD158B">
        <w:instrText xml:space="preserve">HYPERLINK </w:instrText>
      </w:r>
      <w:bookmarkStart w:id="214" w:name="_Toc489709672"/>
      <w:bookmarkStart w:id="215" w:name="_Toc490687821"/>
      <w:bookmarkStart w:id="216" w:name="_Toc492779445"/>
      <w:bookmarkStart w:id="217" w:name="_Toc47758927"/>
      <w:bookmarkStart w:id="218" w:name="_Toc81215664"/>
      <w:r w:rsidR="00FD158B">
        <w:instrText>"http:/</w:instrText>
      </w:r>
      <w:bookmarkEnd w:id="214"/>
      <w:bookmarkEnd w:id="215"/>
      <w:bookmarkEnd w:id="216"/>
      <w:r w:rsidR="00FD158B">
        <w:instrText>/hk.wanfangdata.com.cn/</w:instrText>
      </w:r>
      <w:bookmarkEnd w:id="217"/>
      <w:bookmarkEnd w:id="218"/>
      <w:r w:rsidR="00FD158B">
        <w:instrText>wf/%7Ekjqk/zhcmj/index.html"</w:instrText>
      </w:r>
      <w:r w:rsidR="00DF61FE">
        <w:fldChar w:fldCharType="separate"/>
      </w:r>
      <w:r w:rsidRPr="001A3D2B">
        <w:rPr>
          <w:rStyle w:val="a5"/>
        </w:rPr>
        <w:t>Chinese Medical Journal</w:t>
      </w:r>
      <w:r w:rsidR="00DF61FE">
        <w:fldChar w:fldCharType="end"/>
      </w:r>
    </w:p>
    <w:p w:rsidR="003474F2" w:rsidRPr="001A3D2B" w:rsidRDefault="003474F2" w:rsidP="003474F2">
      <w:pPr>
        <w:pStyle w:val="12"/>
      </w:pPr>
      <w:r w:rsidRPr="001A3D2B">
        <w:t>ISO Abbreviated Title: Chin. Med. J.</w:t>
      </w:r>
    </w:p>
    <w:p w:rsidR="003474F2" w:rsidRPr="001A3D2B" w:rsidRDefault="003474F2" w:rsidP="003474F2">
      <w:pPr>
        <w:pStyle w:val="12"/>
      </w:pPr>
      <w:r w:rsidRPr="001A3D2B">
        <w:t>JCR Abbreviated Title: Chinese Med J-Peking</w:t>
      </w:r>
    </w:p>
    <w:p w:rsidR="003474F2" w:rsidRPr="001A3D2B" w:rsidRDefault="003474F2" w:rsidP="003474F2">
      <w:pPr>
        <w:pStyle w:val="12"/>
      </w:pPr>
      <w:r w:rsidRPr="001A3D2B">
        <w:t>ISSN: 0366-6999</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 xml:space="preserve">Peoples R </w:t>
      </w:r>
      <w:smartTag w:uri="urn:schemas-microsoft-com:office:smarttags" w:element="place">
        <w:smartTag w:uri="urn:schemas-microsoft-com:office:smarttags" w:element="country-region">
          <w:r w:rsidR="003474F2" w:rsidRPr="001A3D2B">
            <w:t>China</w:t>
          </w:r>
        </w:smartTag>
      </w:smartTag>
    </w:p>
    <w:p w:rsidR="003474F2" w:rsidRPr="001A3D2B" w:rsidRDefault="003474F2" w:rsidP="003474F2">
      <w:pPr>
        <w:pStyle w:val="12"/>
      </w:pPr>
      <w:r w:rsidRPr="001A3D2B">
        <w:t>Language: English</w:t>
      </w:r>
    </w:p>
    <w:p w:rsidR="003474F2" w:rsidRPr="001A3D2B" w:rsidRDefault="003474F2" w:rsidP="003474F2">
      <w:pPr>
        <w:pStyle w:val="12"/>
      </w:pPr>
      <w:r w:rsidRPr="001A3D2B">
        <w:t>Publisher: Chinese Medical Association</w:t>
      </w:r>
    </w:p>
    <w:p w:rsidR="003474F2" w:rsidRPr="001A3D2B" w:rsidRDefault="003474F2" w:rsidP="003474F2">
      <w:pPr>
        <w:pStyle w:val="12"/>
      </w:pPr>
      <w:r w:rsidRPr="001A3D2B">
        <w:t xml:space="preserve">Publisher Address: 42 Dongsi Xidajie, </w:t>
      </w:r>
      <w:smartTag w:uri="urn:schemas-microsoft-com:office:smarttags" w:element="City">
        <w:r w:rsidRPr="001A3D2B">
          <w:t>Beijing</w:t>
        </w:r>
      </w:smartTag>
      <w:r w:rsidRPr="001A3D2B">
        <w:t xml:space="preserve"> 100710, Peoples R </w:t>
      </w:r>
      <w:smartTag w:uri="urn:schemas-microsoft-com:office:smarttags" w:element="place">
        <w:smartTag w:uri="urn:schemas-microsoft-com:office:smarttags" w:element="country-region">
          <w:r w:rsidRPr="001A3D2B">
            <w:t>China</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Medicine, General &amp; Internal: Impact Factor</w:t>
      </w:r>
    </w:p>
    <w:p w:rsidR="003474F2" w:rsidRPr="001A3D2B" w:rsidRDefault="003474F2" w:rsidP="003474F2">
      <w:pPr>
        <w:pStyle w:val="a3"/>
      </w:pPr>
      <w:r w:rsidRPr="001A3D2B">
        <w:t>Notes: TTopic</w:t>
      </w:r>
    </w:p>
    <w:p w:rsidR="003474F2" w:rsidRPr="001A3D2B" w:rsidRDefault="003474F2" w:rsidP="003474F2">
      <w:pPr>
        <w:pStyle w:val="a3"/>
      </w:pPr>
      <w:r w:rsidRPr="001A3D2B">
        <w:t>? Yang, K.H., Guo, Y.S.</w:t>
      </w:r>
      <w:r w:rsidR="005853A9">
        <w:t xml:space="preserve"> and </w:t>
      </w:r>
      <w:r w:rsidRPr="001A3D2B">
        <w:t xml:space="preserve">Xing, Z.L. (1998), Bibliometric analysis on asthma literature. </w:t>
      </w:r>
      <w:r w:rsidRPr="001A3D2B">
        <w:rPr>
          <w:i/>
        </w:rPr>
        <w:t>Chinese Medical Journal</w:t>
      </w:r>
      <w:r w:rsidRPr="001A3D2B">
        <w:t xml:space="preserve">, </w:t>
      </w:r>
      <w:r w:rsidRPr="001A3D2B">
        <w:rPr>
          <w:b/>
        </w:rPr>
        <w:t>111</w:t>
      </w:r>
      <w:r w:rsidRPr="001A3D2B">
        <w:t xml:space="preserve"> (3), 227-228.</w:t>
      </w:r>
    </w:p>
    <w:p w:rsidR="003474F2" w:rsidRPr="001A3D2B" w:rsidRDefault="003474F2" w:rsidP="003474F2">
      <w:pPr>
        <w:pStyle w:val="a3"/>
      </w:pPr>
      <w:r w:rsidRPr="001A3D2B">
        <w:t xml:space="preserve">Full Text: </w:t>
      </w:r>
      <w:hyperlink r:id="rId259" w:history="1">
        <w:r w:rsidRPr="001A3D2B">
          <w:rPr>
            <w:rStyle w:val="a5"/>
          </w:rPr>
          <w:t>1998\Chi Med J111, 227.pdf</w:t>
        </w:r>
      </w:hyperlink>
    </w:p>
    <w:p w:rsidR="003474F2" w:rsidRPr="001A3D2B" w:rsidRDefault="003474F2" w:rsidP="003474F2">
      <w:pPr>
        <w:pStyle w:val="a3"/>
      </w:pPr>
      <w:r w:rsidRPr="001A3D2B">
        <w:t>Abstract: Objective To provide scientific information for comprehending</w:t>
      </w:r>
      <w:r w:rsidR="003A1917">
        <w:t xml:space="preserve"> the </w:t>
      </w:r>
      <w:r w:rsidRPr="001A3D2B">
        <w:t>progress</w:t>
      </w:r>
      <w:r w:rsidR="00427468">
        <w:t xml:space="preserve"> of </w:t>
      </w:r>
      <w:r w:rsidRPr="001A3D2B">
        <w:t>asthma research, speculating asthma research trends</w:t>
      </w:r>
      <w:r w:rsidR="005853A9">
        <w:t xml:space="preserve"> and </w:t>
      </w:r>
      <w:r w:rsidRPr="001A3D2B">
        <w:t>selecting</w:t>
      </w:r>
      <w:r w:rsidR="003A1917">
        <w:t xml:space="preserve"> the </w:t>
      </w:r>
      <w:r w:rsidRPr="001A3D2B">
        <w:t>reserach topics</w:t>
      </w:r>
      <w:r w:rsidR="005853A9">
        <w:t xml:space="preserve"> and </w:t>
      </w:r>
      <w:r w:rsidRPr="001A3D2B">
        <w:t>promoting thorough asthma research by studying</w:t>
      </w:r>
      <w:r w:rsidR="003A1917">
        <w:t xml:space="preserve"> the </w:t>
      </w:r>
      <w:r w:rsidRPr="001A3D2B">
        <w:t>speciality distribution</w:t>
      </w:r>
      <w:r w:rsidR="00427468">
        <w:t xml:space="preserve"> of </w:t>
      </w:r>
      <w:r w:rsidRPr="001A3D2B">
        <w:t>asthma papers. Data</w:t>
      </w:r>
      <w:r w:rsidR="005853A9">
        <w:t xml:space="preserve"> and </w:t>
      </w:r>
      <w:r w:rsidRPr="001A3D2B">
        <w:t xml:space="preserve">Methods </w:t>
      </w:r>
      <w:r w:rsidR="00D5664A">
        <w:t>MEDLINE</w:t>
      </w:r>
      <w:r w:rsidRPr="001A3D2B">
        <w:t xml:space="preserve"> search was conducted to retrieve</w:t>
      </w:r>
      <w:r w:rsidR="003A1917">
        <w:t xml:space="preserve"> the </w:t>
      </w:r>
      <w:r w:rsidRPr="001A3D2B">
        <w:t>papers published between</w:t>
      </w:r>
      <w:r w:rsidR="003A1917">
        <w:t xml:space="preserve"> the </w:t>
      </w:r>
      <w:r w:rsidRPr="001A3D2B">
        <w:t>years 1983-1996 under</w:t>
      </w:r>
      <w:r w:rsidR="003A1917">
        <w:t xml:space="preserve"> the </w:t>
      </w:r>
      <w:r w:rsidRPr="001A3D2B">
        <w:t>main headings</w:t>
      </w:r>
      <w:r w:rsidR="00427468">
        <w:t xml:space="preserve"> of </w:t>
      </w:r>
      <w:r w:rsidRPr="001A3D2B">
        <w:t>asthma. Nationalities, languages, journals, authors</w:t>
      </w:r>
      <w:r w:rsidR="005853A9">
        <w:t xml:space="preserve"> and </w:t>
      </w:r>
      <w:r w:rsidRPr="001A3D2B">
        <w:t>headings frequency</w:t>
      </w:r>
      <w:r w:rsidR="00427468">
        <w:t xml:space="preserve"> of </w:t>
      </w:r>
      <w:r w:rsidRPr="001A3D2B">
        <w:t>24 276 papers were analysed with bibliometrics. Results 24 276 papers on asthma research between</w:t>
      </w:r>
      <w:r w:rsidR="003A1917">
        <w:t xml:space="preserve"> the </w:t>
      </w:r>
      <w:r w:rsidRPr="001A3D2B">
        <w:t xml:space="preserve">years 1983-1996 were found in </w:t>
      </w:r>
      <w:r w:rsidR="00D5664A">
        <w:t>MEDLINE</w:t>
      </w:r>
      <w:r w:rsidR="00A37C1D">
        <w:t>. The</w:t>
      </w:r>
      <w:r w:rsidRPr="001A3D2B">
        <w:t>y came from 74 nations</w:t>
      </w:r>
      <w:r w:rsidR="005853A9">
        <w:t xml:space="preserve"> and </w:t>
      </w:r>
      <w:r w:rsidRPr="001A3D2B">
        <w:t>regions, in 27 languages</w:t>
      </w:r>
      <w:r w:rsidR="005853A9">
        <w:t xml:space="preserve"> and </w:t>
      </w:r>
      <w:r w:rsidRPr="001A3D2B">
        <w:t>451 journals. 91. 36% came from America</w:t>
      </w:r>
      <w:r w:rsidR="005853A9">
        <w:t xml:space="preserve"> and </w:t>
      </w:r>
      <w:r w:rsidRPr="001A3D2B">
        <w:t xml:space="preserve">14 other nations, while 59 other nations made up less than 9%. Six nations publishing papers more than others were </w:t>
      </w:r>
      <w:smartTag w:uri="urn:schemas-microsoft-com:office:smarttags" w:element="country-region">
        <w:r w:rsidRPr="001A3D2B">
          <w:t>America</w:t>
        </w:r>
      </w:smartTag>
      <w:r w:rsidRPr="001A3D2B">
        <w:t xml:space="preserve"> 8778 (36.4%), </w:t>
      </w:r>
      <w:smartTag w:uri="urn:schemas-microsoft-com:office:smarttags" w:element="country-region">
        <w:r w:rsidRPr="001A3D2B">
          <w:t>England</w:t>
        </w:r>
      </w:smartTag>
      <w:r w:rsidRPr="001A3D2B">
        <w:t xml:space="preserve"> 4143 (17. 07%), </w:t>
      </w:r>
      <w:smartTag w:uri="urn:schemas-microsoft-com:office:smarttags" w:element="country-region">
        <w:r w:rsidRPr="001A3D2B">
          <w:t>Denmark</w:t>
        </w:r>
      </w:smartTag>
      <w:r w:rsidRPr="001A3D2B">
        <w:t xml:space="preserve"> 1465 (6.03%), Japan 1288 (5. 31%), </w:t>
      </w:r>
      <w:smartTag w:uri="urn:schemas-microsoft-com:office:smarttags" w:element="country-region">
        <w:r w:rsidRPr="001A3D2B">
          <w:t>Germany</w:t>
        </w:r>
      </w:smartTag>
      <w:r w:rsidRPr="001A3D2B">
        <w:t xml:space="preserve"> 1079 (4.44%)</w:t>
      </w:r>
      <w:r w:rsidR="005853A9">
        <w:t xml:space="preserve"> and </w:t>
      </w:r>
      <w:r w:rsidRPr="001A3D2B">
        <w:t>Switzerland 1075 (4.43%). 74.21% were in English</w:t>
      </w:r>
      <w:r w:rsidR="005853A9">
        <w:t xml:space="preserve"> and </w:t>
      </w:r>
      <w:r w:rsidRPr="001A3D2B">
        <w:t>26other languages were only 25.8%</w:t>
      </w:r>
      <w:r w:rsidR="00A37C1D">
        <w:t>. The</w:t>
      </w:r>
      <w:r w:rsidR="003A1917">
        <w:t xml:space="preserve"> </w:t>
      </w:r>
      <w:r w:rsidRPr="001A3D2B">
        <w:t>source journals</w:t>
      </w:r>
      <w:r w:rsidR="00427468">
        <w:t xml:space="preserve"> of </w:t>
      </w:r>
      <w:r w:rsidRPr="001A3D2B">
        <w:t>papers showed</w:t>
      </w:r>
      <w:r w:rsidR="003A1917">
        <w:t xml:space="preserve"> the </w:t>
      </w:r>
      <w:r w:rsidRPr="001A3D2B">
        <w:t>distribution</w:t>
      </w:r>
      <w:r w:rsidR="00427468">
        <w:t xml:space="preserve"> of </w:t>
      </w:r>
      <w:r w:rsidR="003A1917">
        <w:t xml:space="preserve">the </w:t>
      </w:r>
      <w:r w:rsidRPr="001A3D2B">
        <w:t>Bradford</w:t>
      </w:r>
      <w:r w:rsidR="0071223E">
        <w:t>’</w:t>
      </w:r>
      <w:r w:rsidR="00C13DDC">
        <w:t>s</w:t>
      </w:r>
      <w:r w:rsidRPr="001A3D2B">
        <w:t xml:space="preserve"> law. Less than 1% journals carried more than 20%</w:t>
      </w:r>
      <w:r w:rsidR="00427468">
        <w:t xml:space="preserve"> of </w:t>
      </w:r>
      <w:r w:rsidRPr="001A3D2B">
        <w:t>all papers. 5 journals that carried more papers than others were Am J Respir Crit Cam Med 1212 (5%), J Allergy Clin Immunol 1124 (4. 63%), Chest 960 (3.96%), Eur Respir J 825 (3.40%),</w:t>
      </w:r>
      <w:r w:rsidR="005853A9">
        <w:t xml:space="preserve"> and </w:t>
      </w:r>
      <w:r w:rsidRPr="001A3D2B">
        <w:t>Ann Allergy Asthma Immunol 800 (3.30%)</w:t>
      </w:r>
      <w:r w:rsidR="00A37C1D">
        <w:t>. The</w:t>
      </w:r>
      <w:r w:rsidRPr="001A3D2B">
        <w:t>re were 15 authors who each presented more than 30 papers in first position, among whom, Barnes PJ (English) produced 70 papers, Tanizaki Y (Japanese) 53 papers, Mole JL (Canadian) 48 papers, Sears MR (New Zealander) 47 papers,</w:t>
      </w:r>
      <w:r w:rsidR="005853A9">
        <w:t xml:space="preserve"> and </w:t>
      </w:r>
      <w:r w:rsidRPr="001A3D2B">
        <w:t>Holgate ST (English) 43 papers</w:t>
      </w:r>
      <w:r w:rsidR="00A37C1D">
        <w:t>. The</w:t>
      </w:r>
      <w:r w:rsidR="003A1917">
        <w:t xml:space="preserve"> </w:t>
      </w:r>
      <w:r w:rsidRPr="001A3D2B">
        <w:t>variety</w:t>
      </w:r>
      <w:r w:rsidR="00427468">
        <w:t xml:space="preserve"> of </w:t>
      </w:r>
      <w:r w:rsidRPr="001A3D2B">
        <w:lastRenderedPageBreak/>
        <w:t>subject heading frequency reflected</w:t>
      </w:r>
      <w:r w:rsidR="003A1917">
        <w:t xml:space="preserve"> the </w:t>
      </w:r>
      <w:r w:rsidRPr="001A3D2B">
        <w:t>hot topics</w:t>
      </w:r>
      <w:r w:rsidR="005853A9">
        <w:t xml:space="preserve"> and </w:t>
      </w:r>
      <w:r w:rsidR="003A1917">
        <w:t xml:space="preserve">the </w:t>
      </w:r>
      <w:r w:rsidRPr="001A3D2B">
        <w:t>developing direction</w:t>
      </w:r>
      <w:r w:rsidR="00427468">
        <w:t xml:space="preserve"> of </w:t>
      </w:r>
      <w:r w:rsidR="003A1917">
        <w:t xml:space="preserve">the </w:t>
      </w:r>
      <w:r w:rsidRPr="001A3D2B">
        <w:t>research. Heading frequency on asthma research focused on therapeutics 27. 20% (including drug therapy 20.07%, comprehensive therapy 7. 01%, diet therapy 0.09%,</w:t>
      </w:r>
      <w:r w:rsidR="005853A9">
        <w:t xml:space="preserve"> and </w:t>
      </w:r>
      <w:r w:rsidRPr="001A3D2B">
        <w:t>radiotherapy 0.03%); physiopathology 18. 10%; immunology 8.03%; diagnosis 7.88%and etiology 7.82% . It is worth noticing that little has been done before on epidemiology, economics, microbiology</w:t>
      </w:r>
      <w:r w:rsidR="005853A9">
        <w:t xml:space="preserve"> and </w:t>
      </w:r>
      <w:r w:rsidRPr="001A3D2B">
        <w:t>virology</w:t>
      </w:r>
      <w:r w:rsidR="00427468">
        <w:t xml:space="preserve"> of </w:t>
      </w:r>
      <w:r w:rsidRPr="001A3D2B">
        <w:t>asthma, but literature on these aspects has increased obviously in recent years. Conclusion Asthma literature mainly came from America</w:t>
      </w:r>
      <w:r w:rsidR="005853A9">
        <w:t xml:space="preserve"> and </w:t>
      </w:r>
      <w:r w:rsidRPr="001A3D2B">
        <w:t>5 other nations. English was</w:t>
      </w:r>
      <w:r w:rsidR="003A1917">
        <w:t xml:space="preserve"> the </w:t>
      </w:r>
      <w:r w:rsidRPr="001A3D2B">
        <w:t>major language</w:t>
      </w:r>
      <w:r w:rsidR="00A37C1D">
        <w:t>. The</w:t>
      </w:r>
      <w:r w:rsidR="003A1917">
        <w:t xml:space="preserve"> </w:t>
      </w:r>
      <w:r w:rsidRPr="001A3D2B">
        <w:t>source journals</w:t>
      </w:r>
      <w:r w:rsidR="00427468">
        <w:t xml:space="preserve"> of </w:t>
      </w:r>
      <w:r w:rsidR="003A1917">
        <w:t xml:space="preserve">the </w:t>
      </w:r>
      <w:r w:rsidRPr="001A3D2B">
        <w:t>papers showed</w:t>
      </w:r>
      <w:r w:rsidR="003A1917">
        <w:t xml:space="preserve"> the </w:t>
      </w:r>
      <w:r w:rsidRPr="001A3D2B">
        <w:t>distribution</w:t>
      </w:r>
      <w:r w:rsidR="00427468">
        <w:t xml:space="preserve"> of </w:t>
      </w:r>
      <w:r w:rsidR="003A1917">
        <w:t xml:space="preserve">the </w:t>
      </w:r>
      <w:r w:rsidRPr="001A3D2B">
        <w:t>Bradford</w:t>
      </w:r>
      <w:r w:rsidR="0071223E">
        <w:t>’</w:t>
      </w:r>
      <w:r w:rsidR="00C13DDC">
        <w:t>s</w:t>
      </w:r>
      <w:r w:rsidRPr="001A3D2B">
        <w:t xml:space="preserve"> law. Am J Respir Crit Care Med</w:t>
      </w:r>
      <w:r w:rsidR="005853A9">
        <w:t xml:space="preserve"> and </w:t>
      </w:r>
      <w:r w:rsidRPr="001A3D2B">
        <w:t>4 other journals were core journals</w:t>
      </w:r>
      <w:r w:rsidR="00427468">
        <w:t xml:space="preserve"> of </w:t>
      </w:r>
      <w:r w:rsidRPr="001A3D2B">
        <w:t>asthma research. Barnes PJ</w:t>
      </w:r>
      <w:r w:rsidR="005853A9">
        <w:t xml:space="preserve"> and </w:t>
      </w:r>
      <w:r w:rsidRPr="001A3D2B">
        <w:t>14 other authors were</w:t>
      </w:r>
      <w:r w:rsidR="003A1917">
        <w:t xml:space="preserve"> the </w:t>
      </w:r>
      <w:r w:rsidRPr="001A3D2B">
        <w:t>most active</w:t>
      </w:r>
      <w:r w:rsidR="005853A9">
        <w:t xml:space="preserve"> and </w:t>
      </w:r>
      <w:r w:rsidR="003A1917">
        <w:t xml:space="preserve">the </w:t>
      </w:r>
      <w:r w:rsidRPr="001A3D2B">
        <w:t>most important researchers in this field. Treatment, physiopathology, immunology, diagnosis</w:t>
      </w:r>
      <w:r w:rsidR="005853A9">
        <w:t xml:space="preserve"> and </w:t>
      </w:r>
      <w:r w:rsidRPr="001A3D2B">
        <w:t>etiology were</w:t>
      </w:r>
      <w:r w:rsidR="003A1917">
        <w:t xml:space="preserve"> the </w:t>
      </w:r>
      <w:r w:rsidRPr="001A3D2B">
        <w:t>emphasis</w:t>
      </w:r>
      <w:r w:rsidR="005853A9">
        <w:t xml:space="preserve"> and </w:t>
      </w:r>
      <w:r w:rsidRPr="001A3D2B">
        <w:t>hot topics on asthma research. Great attention has been paid to</w:t>
      </w:r>
      <w:r w:rsidR="003A1917">
        <w:t xml:space="preserve"> the </w:t>
      </w:r>
      <w:r w:rsidRPr="001A3D2B">
        <w:t>research on epidemiology, economics, microbiology</w:t>
      </w:r>
      <w:r w:rsidR="005853A9">
        <w:t xml:space="preserve"> and </w:t>
      </w:r>
      <w:r w:rsidRPr="001A3D2B">
        <w:t>virology</w:t>
      </w:r>
      <w:r w:rsidR="00427468">
        <w:t xml:space="preserve"> of </w:t>
      </w:r>
      <w:r w:rsidRPr="001A3D2B">
        <w:t>asthma year after year.</w:t>
      </w:r>
    </w:p>
    <w:p w:rsidR="003474F2" w:rsidRPr="001A3D2B" w:rsidRDefault="003474F2" w:rsidP="003474F2">
      <w:pPr>
        <w:pStyle w:val="a3"/>
      </w:pPr>
      <w:r w:rsidRPr="001A3D2B">
        <w:t>Keywords: Analysis, Asthma, Bibliometric Analysis, Literature</w:t>
      </w:r>
    </w:p>
    <w:p w:rsidR="00FA447A" w:rsidRDefault="00FA447A" w:rsidP="00FA447A">
      <w:pPr>
        <w:pStyle w:val="a3"/>
        <w:rPr>
          <w:kern w:val="0"/>
          <w:szCs w:val="24"/>
        </w:rPr>
      </w:pPr>
      <w:r>
        <w:rPr>
          <w:rFonts w:hint="eastAsia"/>
          <w:kern w:val="0"/>
          <w:szCs w:val="24"/>
        </w:rPr>
        <w:t xml:space="preserve">? </w:t>
      </w:r>
      <w:r>
        <w:rPr>
          <w:kern w:val="0"/>
          <w:szCs w:val="24"/>
        </w:rPr>
        <w:t>Wu, H., Xu, M.J., Zou, D.J., Han, Q.J.</w:t>
      </w:r>
      <w:r w:rsidR="005853A9">
        <w:rPr>
          <w:kern w:val="0"/>
          <w:szCs w:val="24"/>
        </w:rPr>
        <w:t xml:space="preserve"> and </w:t>
      </w:r>
      <w:r>
        <w:rPr>
          <w:kern w:val="0"/>
          <w:szCs w:val="24"/>
        </w:rPr>
        <w:t>Hu, X. (2010), Intensive glycemic control</w:t>
      </w:r>
      <w:r w:rsidR="005853A9">
        <w:rPr>
          <w:kern w:val="0"/>
          <w:szCs w:val="24"/>
        </w:rPr>
        <w:t xml:space="preserve"> and </w:t>
      </w:r>
      <w:r>
        <w:rPr>
          <w:kern w:val="0"/>
          <w:szCs w:val="24"/>
        </w:rPr>
        <w:t>macrovascular events in type 2 diabetes mellitus: A meta-analysis</w:t>
      </w:r>
      <w:r w:rsidR="00427468">
        <w:rPr>
          <w:kern w:val="0"/>
          <w:szCs w:val="24"/>
        </w:rPr>
        <w:t xml:space="preserve"> of </w:t>
      </w:r>
      <w:r>
        <w:rPr>
          <w:kern w:val="0"/>
          <w:szCs w:val="24"/>
        </w:rPr>
        <w:t xml:space="preserve">randomized controlled trials. </w:t>
      </w:r>
      <w:r>
        <w:rPr>
          <w:i/>
          <w:iCs/>
          <w:kern w:val="0"/>
          <w:szCs w:val="24"/>
        </w:rPr>
        <w:t>Chinese Medical Journal</w:t>
      </w:r>
      <w:r>
        <w:rPr>
          <w:kern w:val="0"/>
          <w:szCs w:val="24"/>
        </w:rPr>
        <w:t xml:space="preserve">, </w:t>
      </w:r>
      <w:r>
        <w:rPr>
          <w:b/>
          <w:bCs/>
          <w:kern w:val="0"/>
          <w:szCs w:val="24"/>
        </w:rPr>
        <w:t>123</w:t>
      </w:r>
      <w:r>
        <w:rPr>
          <w:kern w:val="0"/>
          <w:szCs w:val="24"/>
        </w:rPr>
        <w:t xml:space="preserve"> (20), 2908-2913.</w:t>
      </w:r>
    </w:p>
    <w:p w:rsidR="00FA447A" w:rsidRPr="00C73C58" w:rsidRDefault="00FA447A" w:rsidP="00FA447A">
      <w:pPr>
        <w:pStyle w:val="a3"/>
      </w:pPr>
      <w:r w:rsidRPr="00C73C58">
        <w:t xml:space="preserve">Full Text: </w:t>
      </w:r>
      <w:hyperlink r:id="rId260" w:history="1">
        <w:r w:rsidRPr="009A529D">
          <w:rPr>
            <w:rStyle w:val="a5"/>
          </w:rPr>
          <w:t>2010\Chi Med J123, 2908.pdf</w:t>
        </w:r>
      </w:hyperlink>
    </w:p>
    <w:p w:rsidR="00FA447A" w:rsidRDefault="00FA447A" w:rsidP="00FA447A">
      <w:pPr>
        <w:pStyle w:val="a3"/>
        <w:rPr>
          <w:kern w:val="0"/>
          <w:szCs w:val="24"/>
        </w:rPr>
      </w:pPr>
      <w:r>
        <w:rPr>
          <w:kern w:val="0"/>
          <w:szCs w:val="24"/>
        </w:rPr>
        <w:t>Abstract: Background There is no agreement as to whether intensive glucose control in type 2 diabetes can reduce</w:t>
      </w:r>
      <w:r w:rsidR="003A1917">
        <w:rPr>
          <w:kern w:val="0"/>
          <w:szCs w:val="24"/>
        </w:rPr>
        <w:t xml:space="preserve"> the </w:t>
      </w:r>
      <w:r>
        <w:rPr>
          <w:kern w:val="0"/>
          <w:szCs w:val="24"/>
        </w:rPr>
        <w:t>incidence</w:t>
      </w:r>
      <w:r w:rsidR="00427468">
        <w:rPr>
          <w:kern w:val="0"/>
          <w:szCs w:val="24"/>
        </w:rPr>
        <w:t xml:space="preserve"> of </w:t>
      </w:r>
      <w:r>
        <w:rPr>
          <w:kern w:val="0"/>
          <w:szCs w:val="24"/>
        </w:rPr>
        <w:t xml:space="preserve">macrovascular events in these patients. We performed a meta-analysis comparing intensive glucose control or conventional glucose control in randomized controlled trials. Methods Databases including </w:t>
      </w:r>
      <w:r w:rsidR="00D5664A">
        <w:rPr>
          <w:kern w:val="0"/>
          <w:szCs w:val="24"/>
        </w:rPr>
        <w:t>MEDLINE</w:t>
      </w:r>
      <w:r>
        <w:rPr>
          <w:kern w:val="0"/>
          <w:szCs w:val="24"/>
        </w:rPr>
        <w:t>, EMBASE,</w:t>
      </w:r>
      <w:r w:rsidR="005853A9">
        <w:rPr>
          <w:kern w:val="0"/>
          <w:szCs w:val="24"/>
        </w:rPr>
        <w:t xml:space="preserve"> and </w:t>
      </w:r>
      <w:r>
        <w:rPr>
          <w:kern w:val="0"/>
          <w:szCs w:val="24"/>
        </w:rPr>
        <w:t>Cochrane controlled trials register,</w:t>
      </w:r>
      <w:r w:rsidR="003A1917">
        <w:rPr>
          <w:kern w:val="0"/>
          <w:szCs w:val="24"/>
        </w:rPr>
        <w:t xml:space="preserve"> the </w:t>
      </w:r>
      <w:r>
        <w:rPr>
          <w:kern w:val="0"/>
          <w:szCs w:val="24"/>
        </w:rPr>
        <w:t>Cochrane Library,</w:t>
      </w:r>
      <w:r w:rsidR="005853A9">
        <w:rPr>
          <w:kern w:val="0"/>
          <w:szCs w:val="24"/>
        </w:rPr>
        <w:t xml:space="preserve"> and </w:t>
      </w:r>
      <w:r>
        <w:rPr>
          <w:kern w:val="0"/>
          <w:szCs w:val="24"/>
        </w:rPr>
        <w:t>Science Citation Index were searched to find relevant trials. Outcome measures were</w:t>
      </w:r>
      <w:r w:rsidR="003A1917">
        <w:rPr>
          <w:kern w:val="0"/>
          <w:szCs w:val="24"/>
        </w:rPr>
        <w:t xml:space="preserve"> the </w:t>
      </w:r>
      <w:r>
        <w:rPr>
          <w:kern w:val="0"/>
          <w:szCs w:val="24"/>
        </w:rPr>
        <w:t>incidence</w:t>
      </w:r>
      <w:r w:rsidR="00427468">
        <w:rPr>
          <w:kern w:val="0"/>
          <w:szCs w:val="24"/>
        </w:rPr>
        <w:t xml:space="preserve"> of </w:t>
      </w:r>
      <w:r>
        <w:rPr>
          <w:kern w:val="0"/>
          <w:szCs w:val="24"/>
        </w:rPr>
        <w:t>major macrovascular events. Results Six trials involving 28 065 patients were included. Analysis suggested that there was an obviously decreased incidence</w:t>
      </w:r>
      <w:r w:rsidR="00427468">
        <w:rPr>
          <w:kern w:val="0"/>
          <w:szCs w:val="24"/>
        </w:rPr>
        <w:t xml:space="preserve"> of </w:t>
      </w:r>
      <w:r>
        <w:rPr>
          <w:kern w:val="0"/>
          <w:szCs w:val="24"/>
        </w:rPr>
        <w:t>major macrovascular events in patients having intensive glucose treatment vs. controls (RR 0.92; 95% CI 0.87, 0.98; P=0.005). However, intensive glycemia control strategies in type 2 diabetes showed no significant impact on</w:t>
      </w:r>
      <w:r w:rsidR="003A1917">
        <w:rPr>
          <w:kern w:val="0"/>
          <w:szCs w:val="24"/>
        </w:rPr>
        <w:t xml:space="preserve"> the </w:t>
      </w:r>
      <w:r>
        <w:rPr>
          <w:kern w:val="0"/>
          <w:szCs w:val="24"/>
        </w:rPr>
        <w:t>incidence</w:t>
      </w:r>
      <w:r w:rsidR="00427468">
        <w:rPr>
          <w:kern w:val="0"/>
          <w:szCs w:val="24"/>
        </w:rPr>
        <w:t xml:space="preserve"> of </w:t>
      </w:r>
      <w:r>
        <w:rPr>
          <w:kern w:val="0"/>
          <w:szCs w:val="24"/>
        </w:rPr>
        <w:t>death from any cause compared with conventional glycemia control strategies, intensive 14.7%, controls 12.0% (RR 0.95; 95% CI 0.80, 1.12; P=0.55), as well as on</w:t>
      </w:r>
      <w:r w:rsidR="003A1917">
        <w:rPr>
          <w:kern w:val="0"/>
          <w:szCs w:val="24"/>
        </w:rPr>
        <w:t xml:space="preserve"> the </w:t>
      </w:r>
      <w:r>
        <w:rPr>
          <w:kern w:val="0"/>
          <w:szCs w:val="24"/>
        </w:rPr>
        <w:t>incidence</w:t>
      </w:r>
      <w:r w:rsidR="00427468">
        <w:rPr>
          <w:kern w:val="0"/>
          <w:szCs w:val="24"/>
        </w:rPr>
        <w:t xml:space="preserve"> of </w:t>
      </w:r>
      <w:r>
        <w:rPr>
          <w:kern w:val="0"/>
          <w:szCs w:val="24"/>
        </w:rPr>
        <w:t>cardiovascular death, intensive 3.7%, controls 3.6% (RR 1.10, 95% CL 0.79, 1.53; P=0.57). Conclusions Control</w:t>
      </w:r>
      <w:r w:rsidR="00427468">
        <w:rPr>
          <w:kern w:val="0"/>
          <w:szCs w:val="24"/>
        </w:rPr>
        <w:t xml:space="preserve"> of </w:t>
      </w:r>
      <w:r>
        <w:rPr>
          <w:kern w:val="0"/>
          <w:szCs w:val="24"/>
        </w:rPr>
        <w:t>glycemia to normal (or near normal levels) in type 2 diabetes appears to be effective in reducing</w:t>
      </w:r>
      <w:r w:rsidR="003A1917">
        <w:rPr>
          <w:kern w:val="0"/>
          <w:szCs w:val="24"/>
        </w:rPr>
        <w:t xml:space="preserve"> the </w:t>
      </w:r>
      <w:r>
        <w:rPr>
          <w:kern w:val="0"/>
          <w:szCs w:val="24"/>
        </w:rPr>
        <w:t>incidence</w:t>
      </w:r>
      <w:r w:rsidR="00427468">
        <w:rPr>
          <w:kern w:val="0"/>
          <w:szCs w:val="24"/>
        </w:rPr>
        <w:t xml:space="preserve"> of </w:t>
      </w:r>
      <w:r>
        <w:rPr>
          <w:kern w:val="0"/>
          <w:szCs w:val="24"/>
        </w:rPr>
        <w:t>major macrovascular events, but there were no significant differences</w:t>
      </w:r>
      <w:r w:rsidR="00427468">
        <w:rPr>
          <w:kern w:val="0"/>
          <w:szCs w:val="24"/>
        </w:rPr>
        <w:t xml:space="preserve"> of </w:t>
      </w:r>
      <w:r>
        <w:rPr>
          <w:kern w:val="0"/>
          <w:szCs w:val="24"/>
        </w:rPr>
        <w:t>either</w:t>
      </w:r>
      <w:r w:rsidR="003A1917">
        <w:rPr>
          <w:kern w:val="0"/>
          <w:szCs w:val="24"/>
        </w:rPr>
        <w:t xml:space="preserve"> the </w:t>
      </w:r>
      <w:r>
        <w:rPr>
          <w:kern w:val="0"/>
          <w:szCs w:val="24"/>
        </w:rPr>
        <w:t>mortality from any cause or from cardiovascular death between</w:t>
      </w:r>
      <w:r w:rsidR="003A1917">
        <w:rPr>
          <w:kern w:val="0"/>
          <w:szCs w:val="24"/>
        </w:rPr>
        <w:t xml:space="preserve"> the </w:t>
      </w:r>
      <w:r>
        <w:rPr>
          <w:kern w:val="0"/>
          <w:szCs w:val="24"/>
        </w:rPr>
        <w:t>two glycemia-control strategies. Chin Med J 2010;123(20):2908-2913.</w:t>
      </w:r>
    </w:p>
    <w:p w:rsidR="00FA447A" w:rsidRDefault="00FA447A" w:rsidP="00FA447A">
      <w:pPr>
        <w:pStyle w:val="a3"/>
        <w:rPr>
          <w:kern w:val="0"/>
          <w:szCs w:val="24"/>
        </w:rPr>
      </w:pPr>
      <w:r>
        <w:rPr>
          <w:kern w:val="0"/>
          <w:szCs w:val="24"/>
        </w:rPr>
        <w:lastRenderedPageBreak/>
        <w:t xml:space="preserve">Keywords: Cardiovascular-Disease, Citation, Complications, Control, Databases, Death, Diabetes Mellitus, Glucose Control, Intervention, </w:t>
      </w:r>
      <w:r w:rsidR="00D5664A">
        <w:rPr>
          <w:kern w:val="0"/>
          <w:szCs w:val="24"/>
        </w:rPr>
        <w:t>MEDLINE</w:t>
      </w:r>
      <w:r>
        <w:rPr>
          <w:kern w:val="0"/>
          <w:szCs w:val="24"/>
        </w:rPr>
        <w:t>, Meta-Analysis, Pioglitazone, Quality, Randomized Controlled Trial, Risk, Science Citation Index, Treatment, Type 2 Diabetes, Type 2 Diabetes Mellitus, Veterans</w:t>
      </w:r>
    </w:p>
    <w:p w:rsidR="004E7AD7" w:rsidRDefault="004E7AD7" w:rsidP="004E7AD7">
      <w:pPr>
        <w:pStyle w:val="a3"/>
        <w:rPr>
          <w:kern w:val="0"/>
          <w:szCs w:val="24"/>
        </w:rPr>
      </w:pPr>
      <w:r>
        <w:rPr>
          <w:rFonts w:hint="eastAsia"/>
          <w:kern w:val="0"/>
          <w:szCs w:val="24"/>
        </w:rPr>
        <w:t xml:space="preserve">? </w:t>
      </w:r>
      <w:r>
        <w:rPr>
          <w:kern w:val="0"/>
          <w:szCs w:val="24"/>
        </w:rPr>
        <w:t>Liao, X.M.</w:t>
      </w:r>
      <w:r w:rsidR="005853A9">
        <w:rPr>
          <w:kern w:val="0"/>
          <w:szCs w:val="24"/>
        </w:rPr>
        <w:t xml:space="preserve"> and </w:t>
      </w:r>
      <w:r>
        <w:rPr>
          <w:kern w:val="0"/>
          <w:szCs w:val="24"/>
        </w:rPr>
        <w:t>Chen, P.Y. (2011), Citation analysis</w:t>
      </w:r>
      <w:r w:rsidR="00427468">
        <w:rPr>
          <w:kern w:val="0"/>
          <w:szCs w:val="24"/>
        </w:rPr>
        <w:t xml:space="preserve"> of </w:t>
      </w:r>
      <w:r>
        <w:rPr>
          <w:kern w:val="0"/>
          <w:szCs w:val="24"/>
        </w:rPr>
        <w:t xml:space="preserve">meta-analysis articles on posttraumatic stress disorder. </w:t>
      </w:r>
      <w:r>
        <w:rPr>
          <w:i/>
          <w:iCs/>
          <w:kern w:val="0"/>
          <w:szCs w:val="24"/>
        </w:rPr>
        <w:t>Chinese Medical Journal</w:t>
      </w:r>
      <w:r>
        <w:rPr>
          <w:kern w:val="0"/>
          <w:szCs w:val="24"/>
        </w:rPr>
        <w:t xml:space="preserve">, </w:t>
      </w:r>
      <w:r>
        <w:rPr>
          <w:b/>
          <w:bCs/>
          <w:kern w:val="0"/>
          <w:szCs w:val="24"/>
        </w:rPr>
        <w:t>124</w:t>
      </w:r>
      <w:r>
        <w:rPr>
          <w:kern w:val="0"/>
          <w:szCs w:val="24"/>
        </w:rPr>
        <w:t xml:space="preserve"> (7), 1088-1093.</w:t>
      </w:r>
    </w:p>
    <w:p w:rsidR="004E7AD7" w:rsidRPr="00C73C58" w:rsidRDefault="004E7AD7" w:rsidP="004E7AD7">
      <w:pPr>
        <w:pStyle w:val="a3"/>
      </w:pPr>
      <w:r w:rsidRPr="00C73C58">
        <w:t xml:space="preserve">Full Text: </w:t>
      </w:r>
      <w:hyperlink r:id="rId261" w:history="1">
        <w:r w:rsidRPr="004E7AD7">
          <w:rPr>
            <w:rStyle w:val="a5"/>
          </w:rPr>
          <w:t>2011\Chi Med J124, 1088.pdf</w:t>
        </w:r>
      </w:hyperlink>
    </w:p>
    <w:p w:rsidR="004E7AD7" w:rsidRDefault="004E7AD7" w:rsidP="004E7AD7">
      <w:pPr>
        <w:pStyle w:val="a3"/>
        <w:rPr>
          <w:kern w:val="0"/>
          <w:szCs w:val="24"/>
        </w:rPr>
      </w:pPr>
      <w:r>
        <w:rPr>
          <w:kern w:val="0"/>
          <w:szCs w:val="24"/>
        </w:rPr>
        <w:t>Abstract: Background In</w:t>
      </w:r>
      <w:r w:rsidR="003A1917">
        <w:rPr>
          <w:kern w:val="0"/>
          <w:szCs w:val="24"/>
        </w:rPr>
        <w:t xml:space="preserve"> the </w:t>
      </w:r>
      <w:r>
        <w:rPr>
          <w:kern w:val="0"/>
          <w:szCs w:val="24"/>
        </w:rPr>
        <w:t>past two decades enormously scientific researches on posttraumatic stress disorder (PTSD) have been undertaken</w:t>
      </w:r>
      <w:r w:rsidR="005853A9">
        <w:rPr>
          <w:kern w:val="0"/>
          <w:szCs w:val="24"/>
        </w:rPr>
        <w:t xml:space="preserve"> and </w:t>
      </w:r>
      <w:r>
        <w:rPr>
          <w:kern w:val="0"/>
          <w:szCs w:val="24"/>
        </w:rPr>
        <w:t>many related meta-analyses have been published. Citation analysis was used to get comprehensive perspectives</w:t>
      </w:r>
      <w:r w:rsidR="00427468">
        <w:rPr>
          <w:kern w:val="0"/>
          <w:szCs w:val="24"/>
        </w:rPr>
        <w:t xml:space="preserve"> of </w:t>
      </w:r>
      <w:r>
        <w:rPr>
          <w:kern w:val="0"/>
          <w:szCs w:val="24"/>
        </w:rPr>
        <w:t>meta-analysis articles (MA articles) on PTSD for</w:t>
      </w:r>
      <w:r w:rsidR="003A1917">
        <w:rPr>
          <w:kern w:val="0"/>
          <w:szCs w:val="24"/>
        </w:rPr>
        <w:t xml:space="preserve"> the </w:t>
      </w:r>
      <w:r>
        <w:rPr>
          <w:kern w:val="0"/>
          <w:szCs w:val="24"/>
        </w:rPr>
        <w:t>purpose</w:t>
      </w:r>
      <w:r w:rsidR="00427468">
        <w:rPr>
          <w:kern w:val="0"/>
          <w:szCs w:val="24"/>
        </w:rPr>
        <w:t xml:space="preserve"> of </w:t>
      </w:r>
      <w:r>
        <w:rPr>
          <w:kern w:val="0"/>
          <w:szCs w:val="24"/>
        </w:rPr>
        <w:t>facilitating</w:t>
      </w:r>
      <w:r w:rsidR="003A1917">
        <w:rPr>
          <w:kern w:val="0"/>
          <w:szCs w:val="24"/>
        </w:rPr>
        <w:t xml:space="preserve"> the </w:t>
      </w:r>
      <w:r>
        <w:rPr>
          <w:kern w:val="0"/>
          <w:szCs w:val="24"/>
        </w:rPr>
        <w:t>researchers, physicians</w:t>
      </w:r>
      <w:r w:rsidR="005853A9">
        <w:rPr>
          <w:kern w:val="0"/>
          <w:szCs w:val="24"/>
        </w:rPr>
        <w:t xml:space="preserve"> and </w:t>
      </w:r>
      <w:r>
        <w:rPr>
          <w:kern w:val="0"/>
          <w:szCs w:val="24"/>
        </w:rPr>
        <w:t>policy-makers to understand</w:t>
      </w:r>
      <w:r w:rsidR="003A1917">
        <w:rPr>
          <w:kern w:val="0"/>
          <w:szCs w:val="24"/>
        </w:rPr>
        <w:t xml:space="preserve"> the </w:t>
      </w:r>
      <w:r>
        <w:rPr>
          <w:kern w:val="0"/>
          <w:szCs w:val="24"/>
        </w:rPr>
        <w:t>PTSD. Methods MA articles on PTSD in any languages from January 1980 to March 2009 were included if they presented meta-analytical methods</w:t>
      </w:r>
      <w:r w:rsidR="005853A9">
        <w:rPr>
          <w:kern w:val="0"/>
          <w:szCs w:val="24"/>
        </w:rPr>
        <w:t xml:space="preserve"> and </w:t>
      </w:r>
      <w:r>
        <w:rPr>
          <w:kern w:val="0"/>
          <w:szCs w:val="24"/>
        </w:rPr>
        <w:t>received at least one citation recorded in</w:t>
      </w:r>
      <w:r w:rsidR="003A1917">
        <w:rPr>
          <w:kern w:val="0"/>
          <w:szCs w:val="24"/>
        </w:rPr>
        <w:t xml:space="preserve"> the </w:t>
      </w:r>
      <w:r w:rsidR="00D5664A">
        <w:rPr>
          <w:kern w:val="0"/>
          <w:szCs w:val="24"/>
        </w:rPr>
        <w:t>Web</w:t>
      </w:r>
      <w:r w:rsidR="00427468">
        <w:rPr>
          <w:kern w:val="0"/>
          <w:szCs w:val="24"/>
        </w:rPr>
        <w:t xml:space="preserve"> of </w:t>
      </w:r>
      <w:r w:rsidR="00D5664A">
        <w:rPr>
          <w:kern w:val="0"/>
          <w:szCs w:val="24"/>
        </w:rPr>
        <w:t>Science</w:t>
      </w:r>
      <w:r>
        <w:rPr>
          <w:kern w:val="0"/>
          <w:szCs w:val="24"/>
        </w:rPr>
        <w:t xml:space="preserve"> (WoS). Whereas studies, in which any effect sizes</w:t>
      </w:r>
      <w:r w:rsidR="00427468">
        <w:rPr>
          <w:kern w:val="0"/>
          <w:szCs w:val="24"/>
        </w:rPr>
        <w:t xml:space="preserve"> of </w:t>
      </w:r>
      <w:r>
        <w:rPr>
          <w:kern w:val="0"/>
          <w:szCs w:val="24"/>
        </w:rPr>
        <w:t>PTSD were not distinguished from other psychological disorders, were excluded. Citations to</w:t>
      </w:r>
      <w:r w:rsidR="005853A9">
        <w:rPr>
          <w:kern w:val="0"/>
          <w:szCs w:val="24"/>
        </w:rPr>
        <w:t xml:space="preserve"> and </w:t>
      </w:r>
      <w:r>
        <w:rPr>
          <w:kern w:val="0"/>
          <w:szCs w:val="24"/>
        </w:rPr>
        <w:t>by identified MA articles were documented basing on records in WoS. Citation analysis was used to examine distribution patterns</w:t>
      </w:r>
      <w:r w:rsidR="00427468">
        <w:rPr>
          <w:kern w:val="0"/>
          <w:szCs w:val="24"/>
        </w:rPr>
        <w:t xml:space="preserve"> of </w:t>
      </w:r>
      <w:r>
        <w:rPr>
          <w:kern w:val="0"/>
          <w:szCs w:val="24"/>
        </w:rPr>
        <w:t>characteristics</w:t>
      </w:r>
      <w:r w:rsidR="005853A9">
        <w:rPr>
          <w:kern w:val="0"/>
          <w:szCs w:val="24"/>
        </w:rPr>
        <w:t xml:space="preserve"> and </w:t>
      </w:r>
      <w:r>
        <w:rPr>
          <w:kern w:val="0"/>
          <w:szCs w:val="24"/>
        </w:rPr>
        <w:t>citation impact</w:t>
      </w:r>
      <w:r w:rsidR="00427468">
        <w:rPr>
          <w:kern w:val="0"/>
          <w:szCs w:val="24"/>
        </w:rPr>
        <w:t xml:space="preserve"> of </w:t>
      </w:r>
      <w:r>
        <w:rPr>
          <w:kern w:val="0"/>
          <w:szCs w:val="24"/>
        </w:rPr>
        <w:t>MA articles on PTSD. Canonical analysis was used to explore</w:t>
      </w:r>
      <w:r w:rsidR="003A1917">
        <w:rPr>
          <w:kern w:val="0"/>
          <w:szCs w:val="24"/>
        </w:rPr>
        <w:t xml:space="preserve"> the </w:t>
      </w:r>
      <w:r>
        <w:rPr>
          <w:kern w:val="0"/>
          <w:szCs w:val="24"/>
        </w:rPr>
        <w:t>relationship between</w:t>
      </w:r>
      <w:r w:rsidR="003A1917">
        <w:rPr>
          <w:kern w:val="0"/>
          <w:szCs w:val="24"/>
        </w:rPr>
        <w:t xml:space="preserve"> the </w:t>
      </w:r>
      <w:r>
        <w:rPr>
          <w:kern w:val="0"/>
          <w:szCs w:val="24"/>
        </w:rPr>
        <w:t>characteristics</w:t>
      </w:r>
      <w:r w:rsidR="00427468">
        <w:rPr>
          <w:kern w:val="0"/>
          <w:szCs w:val="24"/>
        </w:rPr>
        <w:t xml:space="preserve"> of </w:t>
      </w:r>
      <w:r>
        <w:rPr>
          <w:kern w:val="0"/>
          <w:szCs w:val="24"/>
        </w:rPr>
        <w:t>MA articles</w:t>
      </w:r>
      <w:r w:rsidR="005853A9">
        <w:rPr>
          <w:kern w:val="0"/>
          <w:szCs w:val="24"/>
        </w:rPr>
        <w:t xml:space="preserve"> and </w:t>
      </w:r>
      <w:r>
        <w:rPr>
          <w:kern w:val="0"/>
          <w:szCs w:val="24"/>
        </w:rPr>
        <w:t>citation impact. Results Thirty-four MA articles published during 1998</w:t>
      </w:r>
      <w:r w:rsidR="005853A9">
        <w:rPr>
          <w:kern w:val="0"/>
          <w:szCs w:val="24"/>
        </w:rPr>
        <w:t xml:space="preserve"> and </w:t>
      </w:r>
      <w:r>
        <w:rPr>
          <w:kern w:val="0"/>
          <w:szCs w:val="24"/>
        </w:rPr>
        <w:t>2008 were identified</w:t>
      </w:r>
      <w:r w:rsidR="005853A9">
        <w:rPr>
          <w:kern w:val="0"/>
          <w:szCs w:val="24"/>
        </w:rPr>
        <w:t xml:space="preserve"> and </w:t>
      </w:r>
      <w:r>
        <w:rPr>
          <w:kern w:val="0"/>
          <w:szCs w:val="24"/>
        </w:rPr>
        <w:t>revealed multiple study topics on PTSD: 10 (29.4%) were about epidemiology, 13 (38.2%) about treatment or intervention, 6 (17.6%) about pathophysiology or neurophysiology or neuroendocrine, 3 (8.8%) about childhood</w:t>
      </w:r>
      <w:r w:rsidR="005853A9">
        <w:rPr>
          <w:kern w:val="0"/>
          <w:szCs w:val="24"/>
        </w:rPr>
        <w:t xml:space="preserve"> and </w:t>
      </w:r>
      <w:r>
        <w:rPr>
          <w:kern w:val="0"/>
          <w:szCs w:val="24"/>
        </w:rPr>
        <w:t>2 (5.9%) about psychosocial adversity. Two articles cited most frequently with 456</w:t>
      </w:r>
      <w:r w:rsidR="005853A9">
        <w:rPr>
          <w:kern w:val="0"/>
          <w:szCs w:val="24"/>
        </w:rPr>
        <w:t xml:space="preserve"> and </w:t>
      </w:r>
      <w:r>
        <w:rPr>
          <w:kern w:val="0"/>
          <w:szCs w:val="24"/>
        </w:rPr>
        <w:t>145 counts were published in Journal</w:t>
      </w:r>
      <w:r w:rsidR="00427468">
        <w:rPr>
          <w:kern w:val="0"/>
          <w:szCs w:val="24"/>
        </w:rPr>
        <w:t xml:space="preserve"> of </w:t>
      </w:r>
      <w:r>
        <w:rPr>
          <w:kern w:val="0"/>
          <w:szCs w:val="24"/>
        </w:rPr>
        <w:t>Consulting</w:t>
      </w:r>
      <w:r w:rsidR="005853A9">
        <w:rPr>
          <w:kern w:val="0"/>
          <w:szCs w:val="24"/>
        </w:rPr>
        <w:t xml:space="preserve"> and </w:t>
      </w:r>
      <w:r>
        <w:rPr>
          <w:kern w:val="0"/>
          <w:szCs w:val="24"/>
        </w:rPr>
        <w:t>Clinical Psychology by Brewin (2000)</w:t>
      </w:r>
      <w:r w:rsidR="005853A9">
        <w:rPr>
          <w:kern w:val="0"/>
          <w:szCs w:val="24"/>
        </w:rPr>
        <w:t xml:space="preserve"> and </w:t>
      </w:r>
      <w:r>
        <w:rPr>
          <w:kern w:val="0"/>
          <w:szCs w:val="24"/>
        </w:rPr>
        <w:t>Psychological Bulletin by Ozer (2003), respectively. Mean cited count was 7.48 +/- 10.56</w:t>
      </w:r>
      <w:r w:rsidR="005853A9">
        <w:rPr>
          <w:kern w:val="0"/>
          <w:szCs w:val="24"/>
        </w:rPr>
        <w:t xml:space="preserve"> and </w:t>
      </w:r>
      <w:r>
        <w:rPr>
          <w:kern w:val="0"/>
          <w:szCs w:val="24"/>
        </w:rPr>
        <w:t>mean age (year 2009 minus article publication year) was (4.24 +/- 2.91) years</w:t>
      </w:r>
      <w:r w:rsidR="00A37C1D">
        <w:rPr>
          <w:kern w:val="0"/>
          <w:szCs w:val="24"/>
        </w:rPr>
        <w:t>. The</w:t>
      </w:r>
      <w:r>
        <w:rPr>
          <w:kern w:val="0"/>
          <w:szCs w:val="24"/>
        </w:rPr>
        <w:t>y had been cited approximately by 67 disciplines</w:t>
      </w:r>
      <w:r w:rsidR="005853A9">
        <w:rPr>
          <w:kern w:val="0"/>
          <w:szCs w:val="24"/>
        </w:rPr>
        <w:t xml:space="preserve"> and </w:t>
      </w:r>
      <w:r>
        <w:rPr>
          <w:kern w:val="0"/>
          <w:szCs w:val="24"/>
        </w:rPr>
        <w:t>by authors from 42 countries or territories. Characteristics</w:t>
      </w:r>
      <w:r w:rsidR="00427468">
        <w:rPr>
          <w:kern w:val="0"/>
          <w:szCs w:val="24"/>
        </w:rPr>
        <w:t xml:space="preserve"> of </w:t>
      </w:r>
      <w:r>
        <w:rPr>
          <w:kern w:val="0"/>
          <w:szCs w:val="24"/>
        </w:rPr>
        <w:t>meta-analysis highly correlated with citation impact</w:t>
      </w:r>
      <w:r w:rsidR="005853A9">
        <w:rPr>
          <w:kern w:val="0"/>
          <w:szCs w:val="24"/>
        </w:rPr>
        <w:t xml:space="preserve"> and </w:t>
      </w:r>
      <w:r>
        <w:rPr>
          <w:kern w:val="0"/>
          <w:szCs w:val="24"/>
        </w:rPr>
        <w:t>reflected by canonical correlation</w:t>
      </w:r>
      <w:r w:rsidR="00427468">
        <w:rPr>
          <w:kern w:val="0"/>
          <w:szCs w:val="24"/>
        </w:rPr>
        <w:t xml:space="preserve"> of </w:t>
      </w:r>
      <w:r>
        <w:rPr>
          <w:kern w:val="0"/>
          <w:szCs w:val="24"/>
        </w:rPr>
        <w:t>0.899 (P&lt;0.000 01). Conclusions</w:t>
      </w:r>
      <w:r w:rsidR="003A1917">
        <w:rPr>
          <w:kern w:val="0"/>
          <w:szCs w:val="24"/>
        </w:rPr>
        <w:t xml:space="preserve"> the </w:t>
      </w:r>
      <w:r>
        <w:rPr>
          <w:kern w:val="0"/>
          <w:szCs w:val="24"/>
        </w:rPr>
        <w:t>age</w:t>
      </w:r>
      <w:r w:rsidR="00427468">
        <w:rPr>
          <w:kern w:val="0"/>
          <w:szCs w:val="24"/>
        </w:rPr>
        <w:t xml:space="preserve"> of </w:t>
      </w:r>
      <w:r>
        <w:rPr>
          <w:kern w:val="0"/>
          <w:szCs w:val="24"/>
        </w:rPr>
        <w:t>MA articles predicted their citation impact. Citation analysis would serve to capture</w:t>
      </w:r>
      <w:r w:rsidR="003A1917">
        <w:rPr>
          <w:kern w:val="0"/>
          <w:szCs w:val="24"/>
        </w:rPr>
        <w:t xml:space="preserve"> the </w:t>
      </w:r>
      <w:r>
        <w:rPr>
          <w:kern w:val="0"/>
          <w:szCs w:val="24"/>
        </w:rPr>
        <w:t>global perspectives</w:t>
      </w:r>
      <w:r w:rsidR="005853A9">
        <w:rPr>
          <w:kern w:val="0"/>
          <w:szCs w:val="24"/>
        </w:rPr>
        <w:t xml:space="preserve"> and </w:t>
      </w:r>
      <w:r>
        <w:rPr>
          <w:kern w:val="0"/>
          <w:szCs w:val="24"/>
        </w:rPr>
        <w:t>topics</w:t>
      </w:r>
      <w:r w:rsidR="00427468">
        <w:rPr>
          <w:kern w:val="0"/>
          <w:szCs w:val="24"/>
        </w:rPr>
        <w:t xml:space="preserve"> of </w:t>
      </w:r>
      <w:r>
        <w:rPr>
          <w:kern w:val="0"/>
          <w:szCs w:val="24"/>
        </w:rPr>
        <w:t>MA articles on PTSD. Chin Med J 2011;124(7):1088-1093.</w:t>
      </w:r>
    </w:p>
    <w:p w:rsidR="004E7AD7" w:rsidRDefault="004E7AD7" w:rsidP="004E7AD7">
      <w:pPr>
        <w:pStyle w:val="a3"/>
        <w:rPr>
          <w:kern w:val="0"/>
          <w:szCs w:val="24"/>
        </w:rPr>
      </w:pPr>
      <w:r>
        <w:rPr>
          <w:kern w:val="0"/>
          <w:szCs w:val="24"/>
        </w:rPr>
        <w:t xml:space="preserve">Keywords: Authors, Bibliometric Analysis, Citation, Citation Analysis, Controlled Clinical-Trials, Effect-Sizes, Epidemiology, Hippocampal Volume, Intervention, Journals, Meta-Analysis, Pharmacotherapy, Posttraumatic Stress Disorder, Psychology, PTSD, Publication, Publications, Survivors, Trauma-Exposed Adults, </w:t>
      </w:r>
      <w:r w:rsidR="00D5664A">
        <w:rPr>
          <w:kern w:val="0"/>
          <w:szCs w:val="24"/>
        </w:rPr>
        <w:t>Web</w:t>
      </w:r>
      <w:r w:rsidR="00427468">
        <w:rPr>
          <w:kern w:val="0"/>
          <w:szCs w:val="24"/>
        </w:rPr>
        <w:t xml:space="preserve"> of </w:t>
      </w:r>
      <w:r w:rsidR="00D5664A">
        <w:rPr>
          <w:kern w:val="0"/>
          <w:szCs w:val="24"/>
        </w:rPr>
        <w:t>Science</w:t>
      </w:r>
    </w:p>
    <w:p w:rsidR="00740C0D" w:rsidRDefault="00740C0D" w:rsidP="00740C0D">
      <w:pPr>
        <w:pStyle w:val="a3"/>
        <w:rPr>
          <w:kern w:val="0"/>
        </w:rPr>
      </w:pPr>
      <w:r>
        <w:rPr>
          <w:kern w:val="0"/>
        </w:rPr>
        <w:lastRenderedPageBreak/>
        <w:t>? Liu, X.Y., Wan, X.H.</w:t>
      </w:r>
      <w:r w:rsidR="005853A9">
        <w:rPr>
          <w:kern w:val="0"/>
        </w:rPr>
        <w:t xml:space="preserve"> and </w:t>
      </w:r>
      <w:r>
        <w:rPr>
          <w:kern w:val="0"/>
        </w:rPr>
        <w:t>Li, Z.W. (2011), Ten-year survey on oncology publications from China</w:t>
      </w:r>
      <w:r w:rsidR="005853A9">
        <w:rPr>
          <w:kern w:val="0"/>
        </w:rPr>
        <w:t xml:space="preserve"> and </w:t>
      </w:r>
      <w:r>
        <w:rPr>
          <w:kern w:val="0"/>
        </w:rPr>
        <w:t xml:space="preserve">other top-ranking countries. </w:t>
      </w:r>
      <w:r>
        <w:rPr>
          <w:i/>
          <w:iCs/>
          <w:kern w:val="0"/>
        </w:rPr>
        <w:t>Chinese Medical Journal</w:t>
      </w:r>
      <w:r>
        <w:rPr>
          <w:kern w:val="0"/>
        </w:rPr>
        <w:t xml:space="preserve">, </w:t>
      </w:r>
      <w:r>
        <w:rPr>
          <w:b/>
          <w:bCs/>
          <w:kern w:val="0"/>
        </w:rPr>
        <w:t>124</w:t>
      </w:r>
      <w:r>
        <w:rPr>
          <w:kern w:val="0"/>
        </w:rPr>
        <w:t xml:space="preserve"> (20), 3314-3319.</w:t>
      </w:r>
    </w:p>
    <w:p w:rsidR="00740C0D" w:rsidRPr="00C73C58" w:rsidRDefault="00740C0D" w:rsidP="00740C0D">
      <w:pPr>
        <w:pStyle w:val="a3"/>
      </w:pPr>
      <w:r w:rsidRPr="00C73C58">
        <w:t xml:space="preserve">Full Text: </w:t>
      </w:r>
      <w:hyperlink r:id="rId262" w:history="1">
        <w:r w:rsidRPr="005823D9">
          <w:rPr>
            <w:rStyle w:val="a5"/>
          </w:rPr>
          <w:t>2011\Chi Med J124, 3314.pdf</w:t>
        </w:r>
      </w:hyperlink>
    </w:p>
    <w:p w:rsidR="00740C0D" w:rsidRDefault="00740C0D" w:rsidP="00740C0D">
      <w:pPr>
        <w:pStyle w:val="a3"/>
        <w:rPr>
          <w:kern w:val="0"/>
        </w:rPr>
      </w:pPr>
      <w:r>
        <w:rPr>
          <w:kern w:val="0"/>
        </w:rPr>
        <w:t>Abstract: Background Cancer is a global disease that knows no borders. Over</w:t>
      </w:r>
      <w:r w:rsidR="003A1917">
        <w:rPr>
          <w:kern w:val="0"/>
        </w:rPr>
        <w:t xml:space="preserve"> the </w:t>
      </w:r>
      <w:r>
        <w:rPr>
          <w:kern w:val="0"/>
        </w:rPr>
        <w:t>past decade, oncology research had developed rapidly worldwide</w:t>
      </w:r>
      <w:r w:rsidR="00A37C1D">
        <w:rPr>
          <w:kern w:val="0"/>
        </w:rPr>
        <w:t>. The</w:t>
      </w:r>
      <w:r w:rsidR="003A1917">
        <w:rPr>
          <w:kern w:val="0"/>
        </w:rPr>
        <w:t xml:space="preserve"> </w:t>
      </w:r>
      <w:r>
        <w:rPr>
          <w:kern w:val="0"/>
        </w:rPr>
        <w:t>aim</w:t>
      </w:r>
      <w:r w:rsidR="00427468">
        <w:rPr>
          <w:kern w:val="0"/>
        </w:rPr>
        <w:t xml:space="preserve"> of </w:t>
      </w:r>
      <w:r>
        <w:rPr>
          <w:kern w:val="0"/>
        </w:rPr>
        <w:t>this study was to evaluate</w:t>
      </w:r>
      <w:r w:rsidR="003A1917">
        <w:rPr>
          <w:kern w:val="0"/>
        </w:rPr>
        <w:t xml:space="preserve"> the </w:t>
      </w:r>
      <w:r>
        <w:rPr>
          <w:kern w:val="0"/>
        </w:rPr>
        <w:t>publication characteristics in oncology journals from China</w:t>
      </w:r>
      <w:r w:rsidR="005853A9">
        <w:rPr>
          <w:kern w:val="0"/>
        </w:rPr>
        <w:t xml:space="preserve"> and </w:t>
      </w:r>
      <w:r>
        <w:rPr>
          <w:kern w:val="0"/>
        </w:rPr>
        <w:t>other top-ranking countries. Methods</w:t>
      </w:r>
      <w:r w:rsidR="003A1917">
        <w:rPr>
          <w:kern w:val="0"/>
        </w:rPr>
        <w:t xml:space="preserve"> the </w:t>
      </w:r>
      <w:r>
        <w:rPr>
          <w:kern w:val="0"/>
        </w:rPr>
        <w:t>present study was designed to study publication characteristics in oncology journals from China</w:t>
      </w:r>
      <w:r w:rsidR="005853A9">
        <w:rPr>
          <w:kern w:val="0"/>
        </w:rPr>
        <w:t xml:space="preserve"> and </w:t>
      </w:r>
      <w:r>
        <w:rPr>
          <w:kern w:val="0"/>
        </w:rPr>
        <w:t>other top-ranking countries,</w:t>
      </w:r>
      <w:r w:rsidR="003A1917">
        <w:rPr>
          <w:kern w:val="0"/>
        </w:rPr>
        <w:t xml:space="preserve"> the </w:t>
      </w:r>
      <w:r>
        <w:rPr>
          <w:kern w:val="0"/>
        </w:rPr>
        <w:t>United States (</w:t>
      </w:r>
      <w:r w:rsidR="00D5664A">
        <w:rPr>
          <w:kern w:val="0"/>
        </w:rPr>
        <w:t>USA</w:t>
      </w:r>
      <w:r>
        <w:rPr>
          <w:kern w:val="0"/>
        </w:rPr>
        <w:t>), Japan, Germany,</w:t>
      </w:r>
      <w:r w:rsidR="003A1917">
        <w:rPr>
          <w:kern w:val="0"/>
        </w:rPr>
        <w:t xml:space="preserve"> the </w:t>
      </w:r>
      <w:r>
        <w:rPr>
          <w:kern w:val="0"/>
        </w:rPr>
        <w:t>United Kingdom (UK)</w:t>
      </w:r>
      <w:r w:rsidR="005853A9">
        <w:rPr>
          <w:kern w:val="0"/>
        </w:rPr>
        <w:t xml:space="preserve"> and </w:t>
      </w:r>
      <w:r>
        <w:rPr>
          <w:kern w:val="0"/>
        </w:rPr>
        <w:t>France, from 2001 to 2010. We also examined</w:t>
      </w:r>
      <w:r w:rsidR="003A1917">
        <w:rPr>
          <w:kern w:val="0"/>
        </w:rPr>
        <w:t xml:space="preserve"> the </w:t>
      </w:r>
      <w:r>
        <w:rPr>
          <w:kern w:val="0"/>
        </w:rPr>
        <w:t>research output from</w:t>
      </w:r>
      <w:r w:rsidR="003A1917">
        <w:rPr>
          <w:kern w:val="0"/>
        </w:rPr>
        <w:t xml:space="preserve"> the </w:t>
      </w:r>
      <w:r>
        <w:rPr>
          <w:kern w:val="0"/>
        </w:rPr>
        <w:t>three different regions</w:t>
      </w:r>
      <w:r w:rsidR="00427468">
        <w:rPr>
          <w:kern w:val="0"/>
        </w:rPr>
        <w:t xml:space="preserve"> of </w:t>
      </w:r>
      <w:r>
        <w:rPr>
          <w:kern w:val="0"/>
        </w:rPr>
        <w:t>China:</w:t>
      </w:r>
      <w:r w:rsidR="003A1917">
        <w:rPr>
          <w:kern w:val="0"/>
        </w:rPr>
        <w:t xml:space="preserve"> the </w:t>
      </w:r>
      <w:r>
        <w:rPr>
          <w:kern w:val="0"/>
        </w:rPr>
        <w:t>mainland</w:t>
      </w:r>
      <w:r w:rsidR="00427468">
        <w:rPr>
          <w:kern w:val="0"/>
        </w:rPr>
        <w:t xml:space="preserve"> of </w:t>
      </w:r>
      <w:r>
        <w:rPr>
          <w:kern w:val="0"/>
        </w:rPr>
        <w:t>China, Hong Kong</w:t>
      </w:r>
      <w:r w:rsidR="005853A9">
        <w:rPr>
          <w:kern w:val="0"/>
        </w:rPr>
        <w:t xml:space="preserve"> and </w:t>
      </w:r>
      <w:r>
        <w:rPr>
          <w:kern w:val="0"/>
        </w:rPr>
        <w:t>Taiwan. Results Articles published in 163 journals related to oncology were retrieved from</w:t>
      </w:r>
      <w:r w:rsidR="003A1917">
        <w:rPr>
          <w:kern w:val="0"/>
        </w:rPr>
        <w:t xml:space="preserve"> the </w:t>
      </w:r>
      <w:r>
        <w:rPr>
          <w:kern w:val="0"/>
        </w:rPr>
        <w:t>PubMed database</w:t>
      </w:r>
      <w:r w:rsidR="00A37C1D">
        <w:rPr>
          <w:kern w:val="0"/>
        </w:rPr>
        <w:t>. The</w:t>
      </w:r>
      <w:r w:rsidR="003A1917">
        <w:rPr>
          <w:kern w:val="0"/>
        </w:rPr>
        <w:t xml:space="preserve"> </w:t>
      </w:r>
      <w:r>
        <w:rPr>
          <w:kern w:val="0"/>
        </w:rPr>
        <w:t>number</w:t>
      </w:r>
      <w:r w:rsidR="00427468">
        <w:rPr>
          <w:kern w:val="0"/>
        </w:rPr>
        <w:t xml:space="preserve"> of </w:t>
      </w:r>
      <w:r>
        <w:rPr>
          <w:kern w:val="0"/>
        </w:rPr>
        <w:t>articles showed significantly positive trends for</w:t>
      </w:r>
      <w:r w:rsidR="003A1917">
        <w:rPr>
          <w:kern w:val="0"/>
        </w:rPr>
        <w:t xml:space="preserve"> the </w:t>
      </w:r>
      <w:r>
        <w:rPr>
          <w:kern w:val="0"/>
        </w:rPr>
        <w:t>six countries</w:t>
      </w:r>
      <w:r w:rsidR="00A37C1D">
        <w:rPr>
          <w:kern w:val="0"/>
        </w:rPr>
        <w:t>. The</w:t>
      </w:r>
      <w:r w:rsidR="003A1917">
        <w:rPr>
          <w:kern w:val="0"/>
        </w:rPr>
        <w:t xml:space="preserve"> </w:t>
      </w:r>
      <w:r>
        <w:rPr>
          <w:kern w:val="0"/>
        </w:rPr>
        <w:t>percentage</w:t>
      </w:r>
      <w:r w:rsidR="00427468">
        <w:rPr>
          <w:kern w:val="0"/>
        </w:rPr>
        <w:t xml:space="preserve"> of </w:t>
      </w:r>
      <w:r>
        <w:rPr>
          <w:kern w:val="0"/>
        </w:rPr>
        <w:t>articles in</w:t>
      </w:r>
      <w:r w:rsidR="003A1917">
        <w:rPr>
          <w:kern w:val="0"/>
        </w:rPr>
        <w:t xml:space="preserve"> the </w:t>
      </w:r>
      <w:r>
        <w:rPr>
          <w:kern w:val="0"/>
        </w:rPr>
        <w:t>world output showed a significantly positive increase in contributions from China, especially</w:t>
      </w:r>
      <w:r w:rsidR="003A1917">
        <w:rPr>
          <w:kern w:val="0"/>
        </w:rPr>
        <w:t xml:space="preserve"> the </w:t>
      </w:r>
      <w:r>
        <w:rPr>
          <w:kern w:val="0"/>
        </w:rPr>
        <w:t>mainland</w:t>
      </w:r>
      <w:r w:rsidR="00427468">
        <w:rPr>
          <w:kern w:val="0"/>
        </w:rPr>
        <w:t xml:space="preserve"> of </w:t>
      </w:r>
      <w:r>
        <w:rPr>
          <w:kern w:val="0"/>
        </w:rPr>
        <w:t>China. China contributed 4.5%</w:t>
      </w:r>
      <w:r w:rsidR="00427468">
        <w:rPr>
          <w:kern w:val="0"/>
        </w:rPr>
        <w:t xml:space="preserve"> of </w:t>
      </w:r>
      <w:r w:rsidR="003A1917">
        <w:rPr>
          <w:kern w:val="0"/>
        </w:rPr>
        <w:t xml:space="preserve">the </w:t>
      </w:r>
      <w:r>
        <w:rPr>
          <w:kern w:val="0"/>
        </w:rPr>
        <w:t>total 163 journals,</w:t>
      </w:r>
      <w:r w:rsidR="005853A9">
        <w:rPr>
          <w:kern w:val="0"/>
        </w:rPr>
        <w:t xml:space="preserve"> and </w:t>
      </w:r>
      <w:r>
        <w:rPr>
          <w:kern w:val="0"/>
        </w:rPr>
        <w:t>2.5%</w:t>
      </w:r>
      <w:r w:rsidR="00427468">
        <w:rPr>
          <w:kern w:val="0"/>
        </w:rPr>
        <w:t xml:space="preserve"> of </w:t>
      </w:r>
      <w:r w:rsidR="003A1917">
        <w:rPr>
          <w:kern w:val="0"/>
        </w:rPr>
        <w:t xml:space="preserve">the </w:t>
      </w:r>
      <w:r>
        <w:rPr>
          <w:kern w:val="0"/>
        </w:rPr>
        <w:t>journals with</w:t>
      </w:r>
      <w:r w:rsidR="003A1917">
        <w:rPr>
          <w:kern w:val="0"/>
        </w:rPr>
        <w:t xml:space="preserve"> the </w:t>
      </w:r>
      <w:r>
        <w:rPr>
          <w:kern w:val="0"/>
        </w:rPr>
        <w:t xml:space="preserve">top 10% impact factor (IF) scores. </w:t>
      </w:r>
      <w:r w:rsidR="00D5664A">
        <w:rPr>
          <w:kern w:val="0"/>
        </w:rPr>
        <w:t>USA</w:t>
      </w:r>
      <w:r>
        <w:rPr>
          <w:kern w:val="0"/>
        </w:rPr>
        <w:t xml:space="preserve"> contributed 31.4%</w:t>
      </w:r>
      <w:r w:rsidR="00427468">
        <w:rPr>
          <w:kern w:val="0"/>
        </w:rPr>
        <w:t xml:space="preserve"> of </w:t>
      </w:r>
      <w:r w:rsidR="003A1917">
        <w:rPr>
          <w:kern w:val="0"/>
        </w:rPr>
        <w:t xml:space="preserve">the </w:t>
      </w:r>
      <w:r>
        <w:rPr>
          <w:kern w:val="0"/>
        </w:rPr>
        <w:t>total world output, 40.5%</w:t>
      </w:r>
      <w:r w:rsidR="00427468">
        <w:rPr>
          <w:kern w:val="0"/>
        </w:rPr>
        <w:t xml:space="preserve"> of </w:t>
      </w:r>
      <w:r w:rsidR="003A1917">
        <w:rPr>
          <w:kern w:val="0"/>
        </w:rPr>
        <w:t xml:space="preserve">the </w:t>
      </w:r>
      <w:r>
        <w:rPr>
          <w:kern w:val="0"/>
        </w:rPr>
        <w:t>top 10% IF score journals</w:t>
      </w:r>
      <w:r w:rsidR="005853A9">
        <w:rPr>
          <w:kern w:val="0"/>
        </w:rPr>
        <w:t xml:space="preserve"> and </w:t>
      </w:r>
      <w:r>
        <w:rPr>
          <w:kern w:val="0"/>
        </w:rPr>
        <w:t>ranked</w:t>
      </w:r>
      <w:r w:rsidR="003A1917">
        <w:rPr>
          <w:kern w:val="0"/>
        </w:rPr>
        <w:t xml:space="preserve"> the </w:t>
      </w:r>
      <w:r>
        <w:rPr>
          <w:kern w:val="0"/>
        </w:rPr>
        <w:t>first. Conclusions This analysis described</w:t>
      </w:r>
      <w:r w:rsidR="003A1917">
        <w:rPr>
          <w:kern w:val="0"/>
        </w:rPr>
        <w:t xml:space="preserve"> the </w:t>
      </w:r>
      <w:r>
        <w:rPr>
          <w:kern w:val="0"/>
        </w:rPr>
        <w:t>research output from each country</w:t>
      </w:r>
      <w:r w:rsidR="005853A9">
        <w:rPr>
          <w:kern w:val="0"/>
        </w:rPr>
        <w:t xml:space="preserve"> and </w:t>
      </w:r>
      <w:r>
        <w:rPr>
          <w:kern w:val="0"/>
        </w:rPr>
        <w:t>region</w:t>
      </w:r>
      <w:r w:rsidR="00427468">
        <w:rPr>
          <w:kern w:val="0"/>
        </w:rPr>
        <w:t xml:space="preserve"> of </w:t>
      </w:r>
      <w:r>
        <w:rPr>
          <w:kern w:val="0"/>
        </w:rPr>
        <w:t>China,</w:t>
      </w:r>
      <w:r w:rsidR="005853A9">
        <w:rPr>
          <w:kern w:val="0"/>
        </w:rPr>
        <w:t xml:space="preserve"> and </w:t>
      </w:r>
      <w:r>
        <w:rPr>
          <w:kern w:val="0"/>
        </w:rPr>
        <w:t>revealed</w:t>
      </w:r>
      <w:r w:rsidR="003A1917">
        <w:rPr>
          <w:kern w:val="0"/>
        </w:rPr>
        <w:t xml:space="preserve"> the </w:t>
      </w:r>
      <w:r>
        <w:rPr>
          <w:kern w:val="0"/>
        </w:rPr>
        <w:t>positive trend in China during 2001</w:t>
      </w:r>
      <w:r w:rsidR="005853A9">
        <w:rPr>
          <w:kern w:val="0"/>
        </w:rPr>
        <w:t xml:space="preserve"> and </w:t>
      </w:r>
      <w:r>
        <w:rPr>
          <w:kern w:val="0"/>
        </w:rPr>
        <w:t>2010. Also, by contrast with other top-ranking countries, these results imply that China falls behind</w:t>
      </w:r>
      <w:r w:rsidR="003A1917">
        <w:rPr>
          <w:kern w:val="0"/>
        </w:rPr>
        <w:t xml:space="preserve"> the </w:t>
      </w:r>
      <w:r>
        <w:rPr>
          <w:kern w:val="0"/>
        </w:rPr>
        <w:t>others in conducting high-quality oncology research. Chin Med J 2011;124(20):3314-3319.</w:t>
      </w:r>
    </w:p>
    <w:p w:rsidR="00740C0D" w:rsidRDefault="00740C0D" w:rsidP="00740C0D">
      <w:pPr>
        <w:pStyle w:val="a3"/>
        <w:rPr>
          <w:kern w:val="0"/>
        </w:rPr>
      </w:pPr>
      <w:r>
        <w:rPr>
          <w:kern w:val="0"/>
        </w:rPr>
        <w:t>Keywords: 2 Systems, Analysis, Articles, Cancer, China, Disease, Falls, France, Germany, Health-Care, Hong Kong, Hong-Kong, Impact, Impact Factor, Japan, Journal Citation Reports, Journal Impact Factor, Journals, Methods, Oncology, Projections, Publication, Publications, Pubmed, Research, Research Output, Science Citation Index Expanded, Survey, Taiwan, Trend, Trends</w:t>
      </w:r>
      <w:r w:rsidR="00D5664A">
        <w:rPr>
          <w:kern w:val="0"/>
        </w:rPr>
        <w:t>, UK,</w:t>
      </w:r>
      <w:r>
        <w:rPr>
          <w:kern w:val="0"/>
        </w:rPr>
        <w:t xml:space="preserve"> United Kingdom, </w:t>
      </w:r>
      <w:r w:rsidR="00D5664A">
        <w:rPr>
          <w:kern w:val="0"/>
        </w:rPr>
        <w:t>USA</w:t>
      </w:r>
    </w:p>
    <w:p w:rsidR="00F42E0C" w:rsidRDefault="00F42E0C" w:rsidP="00F42E0C">
      <w:pPr>
        <w:pStyle w:val="a3"/>
        <w:rPr>
          <w:kern w:val="0"/>
        </w:rPr>
      </w:pPr>
      <w:r>
        <w:rPr>
          <w:rFonts w:hint="eastAsia"/>
          <w:kern w:val="0"/>
        </w:rPr>
        <w:t xml:space="preserve">? </w:t>
      </w:r>
      <w:r>
        <w:rPr>
          <w:kern w:val="0"/>
        </w:rPr>
        <w:t>Chen, Y.B., Shu, J., Yang, W.T., Shi, L., Guo, X.F., Wang, F.G.</w:t>
      </w:r>
      <w:r w:rsidR="005853A9">
        <w:rPr>
          <w:kern w:val="0"/>
        </w:rPr>
        <w:t xml:space="preserve"> and </w:t>
      </w:r>
      <w:r>
        <w:rPr>
          <w:kern w:val="0"/>
        </w:rPr>
        <w:t>Qian, Y.Y. (2012), Meta-analysis</w:t>
      </w:r>
      <w:r w:rsidR="00427468">
        <w:rPr>
          <w:kern w:val="0"/>
        </w:rPr>
        <w:t xml:space="preserve"> of </w:t>
      </w:r>
      <w:r>
        <w:rPr>
          <w:kern w:val="0"/>
        </w:rPr>
        <w:t>randomized trials comparing</w:t>
      </w:r>
      <w:r w:rsidR="003A1917">
        <w:rPr>
          <w:kern w:val="0"/>
        </w:rPr>
        <w:t xml:space="preserve"> the </w:t>
      </w:r>
      <w:r>
        <w:rPr>
          <w:kern w:val="0"/>
        </w:rPr>
        <w:t>effectiveness</w:t>
      </w:r>
      <w:r w:rsidR="00427468">
        <w:rPr>
          <w:kern w:val="0"/>
        </w:rPr>
        <w:t xml:space="preserve"> of </w:t>
      </w:r>
      <w:r>
        <w:rPr>
          <w:kern w:val="0"/>
        </w:rPr>
        <w:t>on-pump</w:t>
      </w:r>
      <w:r w:rsidR="005853A9">
        <w:rPr>
          <w:kern w:val="0"/>
        </w:rPr>
        <w:t xml:space="preserve"> and </w:t>
      </w:r>
      <w:r>
        <w:rPr>
          <w:kern w:val="0"/>
        </w:rPr>
        <w:t xml:space="preserve">off-pump coronary artery bypass. </w:t>
      </w:r>
      <w:r>
        <w:rPr>
          <w:i/>
          <w:iCs/>
          <w:kern w:val="0"/>
        </w:rPr>
        <w:t>Chinese Medical Journal</w:t>
      </w:r>
      <w:r>
        <w:rPr>
          <w:kern w:val="0"/>
        </w:rPr>
        <w:t xml:space="preserve">, </w:t>
      </w:r>
      <w:r>
        <w:rPr>
          <w:b/>
          <w:bCs/>
          <w:kern w:val="0"/>
        </w:rPr>
        <w:t>125</w:t>
      </w:r>
      <w:r>
        <w:rPr>
          <w:kern w:val="0"/>
        </w:rPr>
        <w:t xml:space="preserve"> (2), 338-344.</w:t>
      </w:r>
    </w:p>
    <w:p w:rsidR="00F42E0C" w:rsidRPr="00C73C58" w:rsidRDefault="00F42E0C" w:rsidP="00F42E0C">
      <w:pPr>
        <w:pStyle w:val="a3"/>
      </w:pPr>
      <w:r w:rsidRPr="00C73C58">
        <w:t xml:space="preserve">Full Text: </w:t>
      </w:r>
      <w:hyperlink r:id="rId263" w:history="1">
        <w:r w:rsidRPr="00267A42">
          <w:rPr>
            <w:rStyle w:val="a5"/>
          </w:rPr>
          <w:t>2012\Chi Med J125, 338.pdf</w:t>
        </w:r>
      </w:hyperlink>
    </w:p>
    <w:p w:rsidR="00F42E0C" w:rsidRDefault="00F42E0C" w:rsidP="00F42E0C">
      <w:pPr>
        <w:pStyle w:val="a3"/>
        <w:rPr>
          <w:kern w:val="0"/>
        </w:rPr>
      </w:pPr>
      <w:r>
        <w:rPr>
          <w:kern w:val="0"/>
        </w:rPr>
        <w:t>Abstract: Background</w:t>
      </w:r>
      <w:r w:rsidR="003A1917">
        <w:rPr>
          <w:kern w:val="0"/>
        </w:rPr>
        <w:t xml:space="preserve"> the </w:t>
      </w:r>
      <w:r>
        <w:rPr>
          <w:kern w:val="0"/>
        </w:rPr>
        <w:t>growing enthusiasm for coronary artery bypass grafting (CABG) without cardiopulmonary bypass (CPB) is emerging, but</w:t>
      </w:r>
      <w:r w:rsidR="003A1917">
        <w:rPr>
          <w:kern w:val="0"/>
        </w:rPr>
        <w:t xml:space="preserve"> the </w:t>
      </w:r>
      <w:r>
        <w:rPr>
          <w:kern w:val="0"/>
        </w:rPr>
        <w:t>role</w:t>
      </w:r>
      <w:r w:rsidR="00427468">
        <w:rPr>
          <w:kern w:val="0"/>
        </w:rPr>
        <w:t xml:space="preserve"> of </w:t>
      </w:r>
      <w:r>
        <w:rPr>
          <w:kern w:val="0"/>
        </w:rPr>
        <w:t>off-pump coronary artery bypass (OPCAB) in clinical practice remains controversial</w:t>
      </w:r>
      <w:r w:rsidR="00A37C1D">
        <w:rPr>
          <w:kern w:val="0"/>
        </w:rPr>
        <w:t>. The</w:t>
      </w:r>
      <w:r w:rsidR="003A1917">
        <w:rPr>
          <w:kern w:val="0"/>
        </w:rPr>
        <w:t xml:space="preserve"> </w:t>
      </w:r>
      <w:r>
        <w:rPr>
          <w:kern w:val="0"/>
        </w:rPr>
        <w:t>purpose</w:t>
      </w:r>
      <w:r w:rsidR="00427468">
        <w:rPr>
          <w:kern w:val="0"/>
        </w:rPr>
        <w:t xml:space="preserve"> of </w:t>
      </w:r>
      <w:r>
        <w:rPr>
          <w:kern w:val="0"/>
        </w:rPr>
        <w:t>this study was to assess differences in</w:t>
      </w:r>
      <w:r w:rsidR="003A1917">
        <w:rPr>
          <w:kern w:val="0"/>
        </w:rPr>
        <w:t xml:space="preserve"> the </w:t>
      </w:r>
      <w:r>
        <w:rPr>
          <w:kern w:val="0"/>
        </w:rPr>
        <w:t>incidences</w:t>
      </w:r>
      <w:r w:rsidR="00427468">
        <w:rPr>
          <w:kern w:val="0"/>
        </w:rPr>
        <w:t xml:space="preserve"> of </w:t>
      </w:r>
      <w:r>
        <w:rPr>
          <w:kern w:val="0"/>
        </w:rPr>
        <w:t>stroke, atrial fibrillation (AF),</w:t>
      </w:r>
      <w:r w:rsidR="005853A9">
        <w:rPr>
          <w:kern w:val="0"/>
        </w:rPr>
        <w:t xml:space="preserve"> and </w:t>
      </w:r>
      <w:r>
        <w:rPr>
          <w:kern w:val="0"/>
        </w:rPr>
        <w:t>myocardial infarction (MI) between OPCAB</w:t>
      </w:r>
      <w:r w:rsidR="005853A9">
        <w:rPr>
          <w:kern w:val="0"/>
        </w:rPr>
        <w:t xml:space="preserve"> and </w:t>
      </w:r>
      <w:r>
        <w:rPr>
          <w:kern w:val="0"/>
        </w:rPr>
        <w:t>conventional coronary artery bypass grafting (CCABG) by meta-analyses</w:t>
      </w:r>
      <w:r w:rsidR="00427468">
        <w:rPr>
          <w:kern w:val="0"/>
        </w:rPr>
        <w:t xml:space="preserve"> of </w:t>
      </w:r>
      <w:r>
        <w:rPr>
          <w:kern w:val="0"/>
        </w:rPr>
        <w:t xml:space="preserve">randomized clinical </w:t>
      </w:r>
      <w:r>
        <w:rPr>
          <w:kern w:val="0"/>
        </w:rPr>
        <w:lastRenderedPageBreak/>
        <w:t>trials. Methods A literature search for</w:t>
      </w:r>
      <w:r w:rsidR="003A1917">
        <w:rPr>
          <w:kern w:val="0"/>
        </w:rPr>
        <w:t xml:space="preserve"> the </w:t>
      </w:r>
      <w:r>
        <w:rPr>
          <w:kern w:val="0"/>
        </w:rPr>
        <w:t xml:space="preserve">period before March 2010 supplemented with manual bibliographic review was performed for all Chinese or English publications in </w:t>
      </w:r>
      <w:r w:rsidR="00D5664A">
        <w:rPr>
          <w:kern w:val="0"/>
        </w:rPr>
        <w:t>MEDLINE</w:t>
      </w:r>
      <w:r>
        <w:rPr>
          <w:kern w:val="0"/>
        </w:rPr>
        <w:t>,</w:t>
      </w:r>
      <w:r w:rsidR="003A1917">
        <w:rPr>
          <w:kern w:val="0"/>
        </w:rPr>
        <w:t xml:space="preserve"> the </w:t>
      </w:r>
      <w:r>
        <w:rPr>
          <w:kern w:val="0"/>
        </w:rPr>
        <w:t>Science Citation Index Expanded,</w:t>
      </w:r>
      <w:r w:rsidR="003A1917">
        <w:rPr>
          <w:kern w:val="0"/>
        </w:rPr>
        <w:t xml:space="preserve"> the </w:t>
      </w:r>
      <w:r>
        <w:rPr>
          <w:kern w:val="0"/>
        </w:rPr>
        <w:t>Cochrane Central Register</w:t>
      </w:r>
      <w:r w:rsidR="00427468">
        <w:rPr>
          <w:kern w:val="0"/>
        </w:rPr>
        <w:t xml:space="preserve"> of </w:t>
      </w:r>
      <w:r>
        <w:rPr>
          <w:kern w:val="0"/>
        </w:rPr>
        <w:t>Controlled Trials (CENTRAL)</w:t>
      </w:r>
      <w:r w:rsidR="005853A9">
        <w:rPr>
          <w:kern w:val="0"/>
        </w:rPr>
        <w:t xml:space="preserve"> and </w:t>
      </w:r>
      <w:r>
        <w:rPr>
          <w:kern w:val="0"/>
        </w:rPr>
        <w:t>CBMdisc. A systematic overview (meta-analyses)</w:t>
      </w:r>
      <w:r w:rsidR="00427468">
        <w:rPr>
          <w:kern w:val="0"/>
        </w:rPr>
        <w:t xml:space="preserve"> of </w:t>
      </w:r>
      <w:r>
        <w:rPr>
          <w:kern w:val="0"/>
        </w:rPr>
        <w:t>randomized clinical trials was conducted to evaluate</w:t>
      </w:r>
      <w:r w:rsidR="003A1917">
        <w:rPr>
          <w:kern w:val="0"/>
        </w:rPr>
        <w:t xml:space="preserve"> the </w:t>
      </w:r>
      <w:r>
        <w:rPr>
          <w:kern w:val="0"/>
        </w:rPr>
        <w:t>differences between OPCAB</w:t>
      </w:r>
      <w:r w:rsidR="005853A9">
        <w:rPr>
          <w:kern w:val="0"/>
        </w:rPr>
        <w:t xml:space="preserve"> and </w:t>
      </w:r>
      <w:r>
        <w:rPr>
          <w:kern w:val="0"/>
        </w:rPr>
        <w:t>CCABG in</w:t>
      </w:r>
      <w:r w:rsidR="003A1917">
        <w:rPr>
          <w:kern w:val="0"/>
        </w:rPr>
        <w:t xml:space="preserve"> the </w:t>
      </w:r>
      <w:r>
        <w:rPr>
          <w:kern w:val="0"/>
        </w:rPr>
        <w:t>incidences</w:t>
      </w:r>
      <w:r w:rsidR="00427468">
        <w:rPr>
          <w:kern w:val="0"/>
        </w:rPr>
        <w:t xml:space="preserve"> of </w:t>
      </w:r>
      <w:r>
        <w:rPr>
          <w:kern w:val="0"/>
        </w:rPr>
        <w:t>stroke, AF,</w:t>
      </w:r>
      <w:r w:rsidR="005853A9">
        <w:rPr>
          <w:kern w:val="0"/>
        </w:rPr>
        <w:t xml:space="preserve"> and </w:t>
      </w:r>
      <w:r>
        <w:rPr>
          <w:kern w:val="0"/>
        </w:rPr>
        <w:t>MI</w:t>
      </w:r>
      <w:r w:rsidR="00A37C1D">
        <w:rPr>
          <w:kern w:val="0"/>
        </w:rPr>
        <w:t>. The</w:t>
      </w:r>
      <w:r w:rsidR="003A1917">
        <w:rPr>
          <w:kern w:val="0"/>
        </w:rPr>
        <w:t xml:space="preserve"> </w:t>
      </w:r>
      <w:r>
        <w:rPr>
          <w:kern w:val="0"/>
        </w:rPr>
        <w:t>meta-analysis was performed using RevMan 5 software. Results Forty-three randomized clinical trials were selected for meta-analysis after screening a total</w:t>
      </w:r>
      <w:r w:rsidR="00427468">
        <w:rPr>
          <w:kern w:val="0"/>
        </w:rPr>
        <w:t xml:space="preserve"> of </w:t>
      </w:r>
      <w:r>
        <w:rPr>
          <w:kern w:val="0"/>
        </w:rPr>
        <w:t>356 references, with 8104 patients in</w:t>
      </w:r>
      <w:r w:rsidR="003A1917">
        <w:rPr>
          <w:kern w:val="0"/>
        </w:rPr>
        <w:t xml:space="preserve"> the </w:t>
      </w:r>
      <w:r>
        <w:rPr>
          <w:kern w:val="0"/>
        </w:rPr>
        <w:t>OPCAB group</w:t>
      </w:r>
      <w:r w:rsidR="005853A9">
        <w:rPr>
          <w:kern w:val="0"/>
        </w:rPr>
        <w:t xml:space="preserve"> and </w:t>
      </w:r>
      <w:r>
        <w:rPr>
          <w:kern w:val="0"/>
        </w:rPr>
        <w:t>8724 cases in</w:t>
      </w:r>
      <w:r w:rsidR="003A1917">
        <w:rPr>
          <w:kern w:val="0"/>
        </w:rPr>
        <w:t xml:space="preserve"> the </w:t>
      </w:r>
      <w:r>
        <w:rPr>
          <w:kern w:val="0"/>
        </w:rPr>
        <w:t>CCABG group</w:t>
      </w:r>
      <w:r w:rsidR="00A37C1D">
        <w:rPr>
          <w:kern w:val="0"/>
        </w:rPr>
        <w:t>. The</w:t>
      </w:r>
      <w:r w:rsidR="003A1917">
        <w:rPr>
          <w:kern w:val="0"/>
        </w:rPr>
        <w:t xml:space="preserve"> </w:t>
      </w:r>
      <w:r>
        <w:rPr>
          <w:kern w:val="0"/>
        </w:rPr>
        <w:t>meta-analyses</w:t>
      </w:r>
      <w:r w:rsidR="00427468">
        <w:rPr>
          <w:kern w:val="0"/>
        </w:rPr>
        <w:t xml:space="preserve"> of </w:t>
      </w:r>
      <w:r>
        <w:rPr>
          <w:kern w:val="0"/>
        </w:rPr>
        <w:t>these trials showed no significant difference between OPCAB</w:t>
      </w:r>
      <w:r w:rsidR="005853A9">
        <w:rPr>
          <w:kern w:val="0"/>
        </w:rPr>
        <w:t xml:space="preserve"> and </w:t>
      </w:r>
      <w:r>
        <w:rPr>
          <w:kern w:val="0"/>
        </w:rPr>
        <w:t>CCABG in</w:t>
      </w:r>
      <w:r w:rsidR="003A1917">
        <w:rPr>
          <w:kern w:val="0"/>
        </w:rPr>
        <w:t xml:space="preserve"> the </w:t>
      </w:r>
      <w:r>
        <w:rPr>
          <w:kern w:val="0"/>
        </w:rPr>
        <w:t>incidences</w:t>
      </w:r>
      <w:r w:rsidR="00427468">
        <w:rPr>
          <w:kern w:val="0"/>
        </w:rPr>
        <w:t xml:space="preserve"> of </w:t>
      </w:r>
      <w:r>
        <w:rPr>
          <w:kern w:val="0"/>
        </w:rPr>
        <w:t>stroke (odds ratio (OR)=0.80, 95% confidence interval (CI)=0.52-1.22, P=0.30)</w:t>
      </w:r>
      <w:r w:rsidR="005853A9">
        <w:rPr>
          <w:kern w:val="0"/>
        </w:rPr>
        <w:t xml:space="preserve"> and </w:t>
      </w:r>
      <w:r>
        <w:rPr>
          <w:kern w:val="0"/>
        </w:rPr>
        <w:t>MI (OR=0.73, 95%CI=0.52-1.02, P=0.06). However, we found a significantly reduced risk</w:t>
      </w:r>
      <w:r w:rsidR="00427468">
        <w:rPr>
          <w:kern w:val="0"/>
        </w:rPr>
        <w:t xml:space="preserve"> of </w:t>
      </w:r>
      <w:r>
        <w:rPr>
          <w:kern w:val="0"/>
        </w:rPr>
        <w:t>AF (OR=0.65, 95%CI = 0.52-0.82, P=0.0002) in off-pump patients. Conclusions Our meta-analyses suggest that OPCAB reduces</w:t>
      </w:r>
      <w:r w:rsidR="003A1917">
        <w:rPr>
          <w:kern w:val="0"/>
        </w:rPr>
        <w:t xml:space="preserve"> the </w:t>
      </w:r>
      <w:r>
        <w:rPr>
          <w:kern w:val="0"/>
        </w:rPr>
        <w:t>risk</w:t>
      </w:r>
      <w:r w:rsidR="00427468">
        <w:rPr>
          <w:kern w:val="0"/>
        </w:rPr>
        <w:t xml:space="preserve"> of </w:t>
      </w:r>
      <w:r>
        <w:rPr>
          <w:kern w:val="0"/>
        </w:rPr>
        <w:t>postoperative AF compared with CCABG, but there is no significant difference in</w:t>
      </w:r>
      <w:r w:rsidR="003A1917">
        <w:rPr>
          <w:kern w:val="0"/>
        </w:rPr>
        <w:t xml:space="preserve"> the </w:t>
      </w:r>
      <w:r>
        <w:rPr>
          <w:kern w:val="0"/>
        </w:rPr>
        <w:t>incidences</w:t>
      </w:r>
      <w:r w:rsidR="00427468">
        <w:rPr>
          <w:kern w:val="0"/>
        </w:rPr>
        <w:t xml:space="preserve"> of </w:t>
      </w:r>
      <w:r>
        <w:rPr>
          <w:kern w:val="0"/>
        </w:rPr>
        <w:t>stroke</w:t>
      </w:r>
      <w:r w:rsidR="005853A9">
        <w:rPr>
          <w:kern w:val="0"/>
        </w:rPr>
        <w:t xml:space="preserve"> and </w:t>
      </w:r>
      <w:r>
        <w:rPr>
          <w:kern w:val="0"/>
        </w:rPr>
        <w:t>MI between OPCAB</w:t>
      </w:r>
      <w:r w:rsidR="005853A9">
        <w:rPr>
          <w:kern w:val="0"/>
        </w:rPr>
        <w:t xml:space="preserve"> and </w:t>
      </w:r>
      <w:r>
        <w:rPr>
          <w:kern w:val="0"/>
        </w:rPr>
        <w:t>CCABG. Chin Med J 2012;125(2):338-344.</w:t>
      </w:r>
    </w:p>
    <w:p w:rsidR="00F42E0C" w:rsidRDefault="00F42E0C" w:rsidP="00F42E0C">
      <w:pPr>
        <w:pStyle w:val="a3"/>
        <w:rPr>
          <w:kern w:val="0"/>
        </w:rPr>
      </w:pPr>
      <w:r>
        <w:rPr>
          <w:kern w:val="0"/>
        </w:rPr>
        <w:t xml:space="preserve">Keywords: Artery, Atrial Fibrillation, Atrial-Fibrillation, Beating-Heart, Cardiac-Surgery, Cardiopulmonary, Cardiopulmonary Bypass, Chinese, Citation, Clinical, Clinical Practice, Clinical Trials, Confidence, Conventional, Coronary Artery, Coronary Artery Bypass Grafting, Effectiveness, Graft-Surgery, Grafting, Infarction, Interval, Life Outcomes, Literature, Low-Risk Patients, </w:t>
      </w:r>
      <w:r w:rsidR="00D5664A">
        <w:rPr>
          <w:kern w:val="0"/>
        </w:rPr>
        <w:t>MEDLINE</w:t>
      </w:r>
      <w:r>
        <w:rPr>
          <w:kern w:val="0"/>
        </w:rPr>
        <w:t>, Meta-Analysis, Metaanalysis, Myocardial Infarction, Myocardial Revascularization, Odds Ratio, Off Pump, Patients, Postoperative, Practice, Publications, Purpose, Quality, Randomized, Randomized Clinical Trials, References, Resource Utilization, Review, Risk, Role, Science, Science Citation Index, Science Citation Index Expanded, Screening, Software, Stroke</w:t>
      </w:r>
    </w:p>
    <w:p w:rsidR="00F42E0C" w:rsidRDefault="00F42E0C" w:rsidP="00F42E0C">
      <w:pPr>
        <w:pStyle w:val="a3"/>
        <w:rPr>
          <w:kern w:val="0"/>
        </w:rPr>
      </w:pPr>
      <w:r>
        <w:rPr>
          <w:rFonts w:hint="eastAsia"/>
          <w:kern w:val="0"/>
        </w:rPr>
        <w:t xml:space="preserve">? </w:t>
      </w:r>
      <w:r>
        <w:rPr>
          <w:kern w:val="0"/>
        </w:rPr>
        <w:t>Zhong, C., Zhao, T.F., Xu, Z.J.</w:t>
      </w:r>
      <w:r w:rsidR="005853A9">
        <w:rPr>
          <w:kern w:val="0"/>
        </w:rPr>
        <w:t xml:space="preserve"> and </w:t>
      </w:r>
      <w:r>
        <w:rPr>
          <w:kern w:val="0"/>
        </w:rPr>
        <w:t>He, R.X. (2012), Effects</w:t>
      </w:r>
      <w:r w:rsidR="00427468">
        <w:rPr>
          <w:kern w:val="0"/>
        </w:rPr>
        <w:t xml:space="preserve"> of </w:t>
      </w:r>
      <w:r>
        <w:rPr>
          <w:kern w:val="0"/>
        </w:rPr>
        <w:t>electromagnetic fields on bone regeneration in experimental</w:t>
      </w:r>
      <w:r w:rsidR="005853A9">
        <w:rPr>
          <w:kern w:val="0"/>
        </w:rPr>
        <w:t xml:space="preserve"> and </w:t>
      </w:r>
      <w:r>
        <w:rPr>
          <w:kern w:val="0"/>
        </w:rPr>
        <w:t>clinical studies: A review</w:t>
      </w:r>
      <w:r w:rsidR="00427468">
        <w:rPr>
          <w:kern w:val="0"/>
        </w:rPr>
        <w:t xml:space="preserve"> of </w:t>
      </w:r>
      <w:r w:rsidR="003A1917">
        <w:rPr>
          <w:kern w:val="0"/>
        </w:rPr>
        <w:t xml:space="preserve">the </w:t>
      </w:r>
      <w:r>
        <w:rPr>
          <w:kern w:val="0"/>
        </w:rPr>
        <w:t xml:space="preserve">literature. </w:t>
      </w:r>
      <w:r>
        <w:rPr>
          <w:i/>
          <w:iCs/>
          <w:kern w:val="0"/>
        </w:rPr>
        <w:t>Chinese Medical Journal</w:t>
      </w:r>
      <w:r>
        <w:rPr>
          <w:kern w:val="0"/>
        </w:rPr>
        <w:t xml:space="preserve">, </w:t>
      </w:r>
      <w:r>
        <w:rPr>
          <w:b/>
          <w:bCs/>
          <w:kern w:val="0"/>
        </w:rPr>
        <w:t>125</w:t>
      </w:r>
      <w:r>
        <w:rPr>
          <w:kern w:val="0"/>
        </w:rPr>
        <w:t xml:space="preserve"> (2), 367-372.</w:t>
      </w:r>
    </w:p>
    <w:p w:rsidR="00F42E0C" w:rsidRPr="00C73C58" w:rsidRDefault="00F42E0C" w:rsidP="00F42E0C">
      <w:pPr>
        <w:pStyle w:val="a3"/>
      </w:pPr>
      <w:r w:rsidRPr="00C73C58">
        <w:t xml:space="preserve">Full Text: </w:t>
      </w:r>
      <w:hyperlink r:id="rId264" w:history="1">
        <w:r w:rsidRPr="00267A42">
          <w:rPr>
            <w:rStyle w:val="a5"/>
          </w:rPr>
          <w:t>2012\Chi Med J125, 367.pdf</w:t>
        </w:r>
      </w:hyperlink>
    </w:p>
    <w:p w:rsidR="00F42E0C" w:rsidRDefault="00F42E0C" w:rsidP="00F42E0C">
      <w:pPr>
        <w:pStyle w:val="a3"/>
        <w:rPr>
          <w:kern w:val="0"/>
        </w:rPr>
      </w:pPr>
      <w:r>
        <w:rPr>
          <w:kern w:val="0"/>
        </w:rPr>
        <w:t>Abstract: Objective To assess</w:t>
      </w:r>
      <w:r w:rsidR="003A1917">
        <w:rPr>
          <w:kern w:val="0"/>
        </w:rPr>
        <w:t xml:space="preserve"> the </w:t>
      </w:r>
      <w:r>
        <w:rPr>
          <w:kern w:val="0"/>
        </w:rPr>
        <w:t>experimental</w:t>
      </w:r>
      <w:r w:rsidR="005853A9">
        <w:rPr>
          <w:kern w:val="0"/>
        </w:rPr>
        <w:t xml:space="preserve"> and </w:t>
      </w:r>
      <w:r>
        <w:rPr>
          <w:kern w:val="0"/>
        </w:rPr>
        <w:t>clinical data regarding</w:t>
      </w:r>
      <w:r w:rsidR="003A1917">
        <w:rPr>
          <w:kern w:val="0"/>
        </w:rPr>
        <w:t xml:space="preserve"> the </w:t>
      </w:r>
      <w:r>
        <w:rPr>
          <w:kern w:val="0"/>
        </w:rPr>
        <w:t>effects</w:t>
      </w:r>
      <w:r w:rsidR="00427468">
        <w:rPr>
          <w:kern w:val="0"/>
        </w:rPr>
        <w:t xml:space="preserve"> of </w:t>
      </w:r>
      <w:r>
        <w:rPr>
          <w:kern w:val="0"/>
        </w:rPr>
        <w:t>electromagnetic fields (EMFs) on fracture non-union. Data sources</w:t>
      </w:r>
      <w:r w:rsidR="003A1917">
        <w:rPr>
          <w:kern w:val="0"/>
        </w:rPr>
        <w:t xml:space="preserve"> the </w:t>
      </w:r>
      <w:r>
        <w:rPr>
          <w:kern w:val="0"/>
        </w:rPr>
        <w:t xml:space="preserve">English language literature regarding EMFs on fracture non-union were searched using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Embase, for</w:t>
      </w:r>
      <w:r w:rsidR="003A1917">
        <w:rPr>
          <w:kern w:val="0"/>
        </w:rPr>
        <w:t xml:space="preserve"> the </w:t>
      </w:r>
      <w:r>
        <w:rPr>
          <w:kern w:val="0"/>
        </w:rPr>
        <w:t>period January 2006 to June 2011</w:t>
      </w:r>
      <w:r w:rsidR="00A37C1D">
        <w:rPr>
          <w:kern w:val="0"/>
        </w:rPr>
        <w:t>. The</w:t>
      </w:r>
      <w:r w:rsidR="003A1917">
        <w:rPr>
          <w:kern w:val="0"/>
        </w:rPr>
        <w:t xml:space="preserve"> </w:t>
      </w:r>
      <w:r>
        <w:rPr>
          <w:kern w:val="0"/>
        </w:rPr>
        <w:t>search terms were electromagnetic fields</w:t>
      </w:r>
      <w:r w:rsidR="005853A9">
        <w:rPr>
          <w:kern w:val="0"/>
        </w:rPr>
        <w:t xml:space="preserve"> and </w:t>
      </w:r>
      <w:r>
        <w:rPr>
          <w:kern w:val="0"/>
        </w:rPr>
        <w:t>non-union/ bone marrow stem cells (BMSCs)/bone. Study selection Articles were included in</w:t>
      </w:r>
      <w:r w:rsidR="003A1917">
        <w:rPr>
          <w:kern w:val="0"/>
        </w:rPr>
        <w:t xml:space="preserve"> the </w:t>
      </w:r>
      <w:r>
        <w:rPr>
          <w:kern w:val="0"/>
        </w:rPr>
        <w:t>review if they were related to</w:t>
      </w:r>
      <w:r w:rsidR="003A1917">
        <w:rPr>
          <w:kern w:val="0"/>
        </w:rPr>
        <w:t xml:space="preserve"> the </w:t>
      </w:r>
      <w:r>
        <w:rPr>
          <w:kern w:val="0"/>
        </w:rPr>
        <w:t>use</w:t>
      </w:r>
      <w:r w:rsidR="00427468">
        <w:rPr>
          <w:kern w:val="0"/>
        </w:rPr>
        <w:t xml:space="preserve"> of </w:t>
      </w:r>
      <w:r>
        <w:rPr>
          <w:kern w:val="0"/>
        </w:rPr>
        <w:t>EMFs on BMSCs or bone tissue. Papers without full manuscripts available were excluded. Results</w:t>
      </w:r>
      <w:r w:rsidR="003A1917">
        <w:rPr>
          <w:kern w:val="0"/>
        </w:rPr>
        <w:t xml:space="preserve"> the </w:t>
      </w:r>
      <w:r>
        <w:rPr>
          <w:kern w:val="0"/>
        </w:rPr>
        <w:t>basic</w:t>
      </w:r>
      <w:r w:rsidR="005853A9">
        <w:rPr>
          <w:kern w:val="0"/>
        </w:rPr>
        <w:t xml:space="preserve"> and </w:t>
      </w:r>
      <w:r>
        <w:rPr>
          <w:kern w:val="0"/>
        </w:rPr>
        <w:t xml:space="preserve">clinical research in this field, while </w:t>
      </w:r>
      <w:r>
        <w:rPr>
          <w:kern w:val="0"/>
        </w:rPr>
        <w:lastRenderedPageBreak/>
        <w:t>somewhat limited, supports</w:t>
      </w:r>
      <w:r w:rsidR="003A1917">
        <w:rPr>
          <w:kern w:val="0"/>
        </w:rPr>
        <w:t xml:space="preserve"> the </w:t>
      </w:r>
      <w:r>
        <w:rPr>
          <w:kern w:val="0"/>
        </w:rPr>
        <w:t>insightful application</w:t>
      </w:r>
      <w:r w:rsidR="00427468">
        <w:rPr>
          <w:kern w:val="0"/>
        </w:rPr>
        <w:t xml:space="preserve"> of </w:t>
      </w:r>
      <w:r>
        <w:rPr>
          <w:kern w:val="0"/>
        </w:rPr>
        <w:t>EMFs to ameliorate disability due to fracture non-union. Conclusions Further basic</w:t>
      </w:r>
      <w:r w:rsidR="005853A9">
        <w:rPr>
          <w:kern w:val="0"/>
        </w:rPr>
        <w:t xml:space="preserve"> and </w:t>
      </w:r>
      <w:r>
        <w:rPr>
          <w:kern w:val="0"/>
        </w:rPr>
        <w:t>clinical research to validate</w:t>
      </w:r>
      <w:r w:rsidR="003A1917">
        <w:rPr>
          <w:kern w:val="0"/>
        </w:rPr>
        <w:t xml:space="preserve"> the </w:t>
      </w:r>
      <w:r>
        <w:rPr>
          <w:kern w:val="0"/>
        </w:rPr>
        <w:t>use</w:t>
      </w:r>
      <w:r w:rsidR="00427468">
        <w:rPr>
          <w:kern w:val="0"/>
        </w:rPr>
        <w:t xml:space="preserve"> of </w:t>
      </w:r>
      <w:r>
        <w:rPr>
          <w:kern w:val="0"/>
        </w:rPr>
        <w:t>EMFs in facilitating function</w:t>
      </w:r>
      <w:r w:rsidR="005853A9">
        <w:rPr>
          <w:kern w:val="0"/>
        </w:rPr>
        <w:t xml:space="preserve"> and </w:t>
      </w:r>
      <w:r>
        <w:rPr>
          <w:kern w:val="0"/>
        </w:rPr>
        <w:t>bone reparative processes in fracture non-union is required. Chin Med J 2012;125(2):367-372.</w:t>
      </w:r>
    </w:p>
    <w:p w:rsidR="00F42E0C" w:rsidRDefault="00F42E0C" w:rsidP="00F42E0C">
      <w:pPr>
        <w:pStyle w:val="a3"/>
        <w:rPr>
          <w:kern w:val="0"/>
        </w:rPr>
      </w:pPr>
      <w:r>
        <w:rPr>
          <w:kern w:val="0"/>
        </w:rPr>
        <w:t xml:space="preserve">Keywords: Application, Articles, Bone, Bone Marrow, Bone Marrow Stem Cells, Clinical, Clinical Research, Clinical Studies, Data, Disability, Effects, Electromagnetic Fields, Experimental, Extremely-Low-Frequency, Field, Fracture, Function, Gene-Expression, In-Vivo, Literature, Magnetic-Field, </w:t>
      </w:r>
      <w:r w:rsidR="00D5664A">
        <w:rPr>
          <w:kern w:val="0"/>
        </w:rPr>
        <w:t>MEDLINE</w:t>
      </w:r>
      <w:r>
        <w:rPr>
          <w:kern w:val="0"/>
        </w:rPr>
        <w:t xml:space="preserve">, Mesenchymal Stem-Cells, Non-Union, Proliferation, Rats, Regeneration, Research, Review, SAOS-2 Cells, Science, Sources, Staphylococcus-Aureus, Stem Cells, Stimulation, </w:t>
      </w:r>
      <w:r w:rsidR="00D5664A">
        <w:rPr>
          <w:kern w:val="0"/>
        </w:rPr>
        <w:t>Web</w:t>
      </w:r>
      <w:r w:rsidR="00427468">
        <w:rPr>
          <w:kern w:val="0"/>
        </w:rPr>
        <w:t xml:space="preserve"> of </w:t>
      </w:r>
      <w:r w:rsidR="00D5664A">
        <w:rPr>
          <w:kern w:val="0"/>
        </w:rPr>
        <w:t>Science</w:t>
      </w:r>
    </w:p>
    <w:p w:rsidR="00E3140D" w:rsidRDefault="00E3140D" w:rsidP="00E3140D">
      <w:pPr>
        <w:pStyle w:val="a3"/>
        <w:rPr>
          <w:kern w:val="0"/>
        </w:rPr>
      </w:pPr>
      <w:r>
        <w:rPr>
          <w:rFonts w:hint="eastAsia"/>
          <w:kern w:val="0"/>
        </w:rPr>
        <w:t xml:space="preserve">? </w:t>
      </w:r>
      <w:r>
        <w:rPr>
          <w:kern w:val="0"/>
        </w:rPr>
        <w:t>Xu, Y., Zhou, H.M., Li, J., Ke, B.L.</w:t>
      </w:r>
      <w:r w:rsidR="005853A9">
        <w:rPr>
          <w:kern w:val="0"/>
        </w:rPr>
        <w:t xml:space="preserve"> and </w:t>
      </w:r>
      <w:r>
        <w:rPr>
          <w:kern w:val="0"/>
        </w:rPr>
        <w:t>Xu, X. (2012), Efficacy</w:t>
      </w:r>
      <w:r w:rsidR="00427468">
        <w:rPr>
          <w:kern w:val="0"/>
        </w:rPr>
        <w:t xml:space="preserve"> of </w:t>
      </w:r>
      <w:r>
        <w:rPr>
          <w:kern w:val="0"/>
        </w:rPr>
        <w:t>treatment for pterygium by autologous conjunctival transplantation</w:t>
      </w:r>
      <w:r w:rsidR="005853A9">
        <w:rPr>
          <w:kern w:val="0"/>
        </w:rPr>
        <w:t xml:space="preserve"> and </w:t>
      </w:r>
      <w:r>
        <w:rPr>
          <w:kern w:val="0"/>
        </w:rPr>
        <w:t xml:space="preserve">mitomycin C. </w:t>
      </w:r>
      <w:r>
        <w:rPr>
          <w:i/>
          <w:iCs/>
          <w:kern w:val="0"/>
        </w:rPr>
        <w:t>Chinese Medical Journal</w:t>
      </w:r>
      <w:r>
        <w:rPr>
          <w:kern w:val="0"/>
        </w:rPr>
        <w:t xml:space="preserve">, </w:t>
      </w:r>
      <w:r>
        <w:rPr>
          <w:b/>
          <w:bCs/>
          <w:kern w:val="0"/>
        </w:rPr>
        <w:t>125</w:t>
      </w:r>
      <w:r>
        <w:rPr>
          <w:kern w:val="0"/>
        </w:rPr>
        <w:t xml:space="preserve"> (20), 3730-3734.</w:t>
      </w:r>
    </w:p>
    <w:p w:rsidR="00E3140D" w:rsidRPr="00C73C58" w:rsidRDefault="00E3140D" w:rsidP="00E3140D">
      <w:pPr>
        <w:pStyle w:val="a3"/>
      </w:pPr>
      <w:r w:rsidRPr="00C73C58">
        <w:t xml:space="preserve">Full Text: </w:t>
      </w:r>
      <w:hyperlink r:id="rId265" w:history="1">
        <w:r w:rsidRPr="00F85480">
          <w:rPr>
            <w:rStyle w:val="a5"/>
          </w:rPr>
          <w:t>2012\Chi Med J125, 3730.pdf</w:t>
        </w:r>
      </w:hyperlink>
    </w:p>
    <w:p w:rsidR="00E3140D" w:rsidRDefault="00E3140D" w:rsidP="00E3140D">
      <w:pPr>
        <w:pStyle w:val="a3"/>
        <w:rPr>
          <w:kern w:val="0"/>
        </w:rPr>
      </w:pPr>
      <w:r>
        <w:rPr>
          <w:kern w:val="0"/>
        </w:rPr>
        <w:t>Abstract: Background The recurrence</w:t>
      </w:r>
      <w:r w:rsidR="00427468">
        <w:rPr>
          <w:kern w:val="0"/>
        </w:rPr>
        <w:t xml:space="preserve"> of </w:t>
      </w:r>
      <w:r>
        <w:rPr>
          <w:kern w:val="0"/>
        </w:rPr>
        <w:t>pterygium after surgery is high. A variety</w:t>
      </w:r>
      <w:r w:rsidR="00427468">
        <w:rPr>
          <w:kern w:val="0"/>
        </w:rPr>
        <w:t xml:space="preserve"> of </w:t>
      </w:r>
      <w:r>
        <w:rPr>
          <w:kern w:val="0"/>
        </w:rPr>
        <w:t>adjunctive treatment approaches have been developed to improve the clinical efficacy</w:t>
      </w:r>
      <w:r w:rsidR="005853A9">
        <w:rPr>
          <w:kern w:val="0"/>
        </w:rPr>
        <w:t xml:space="preserve"> and </w:t>
      </w:r>
      <w:r>
        <w:rPr>
          <w:kern w:val="0"/>
        </w:rPr>
        <w:t xml:space="preserve">many related articles have been published. This study aimed to determine the risk for postoperative pterygium recurrence comparing autologous conjunctival transplantation (ACT) versus mitomycin C (MMC). Methods Relevant literature published until December 2010 in </w:t>
      </w:r>
      <w:r w:rsidR="00D5664A">
        <w:rPr>
          <w:kern w:val="0"/>
        </w:rPr>
        <w:t>MEDLINE</w:t>
      </w:r>
      <w:r>
        <w:rPr>
          <w:kern w:val="0"/>
        </w:rPr>
        <w:t>, Embase, Cochrane, Cochrane library, Science Citation Index,</w:t>
      </w:r>
      <w:r w:rsidR="005853A9">
        <w:rPr>
          <w:kern w:val="0"/>
        </w:rPr>
        <w:t xml:space="preserve"> and </w:t>
      </w:r>
      <w:r>
        <w:rPr>
          <w:kern w:val="0"/>
        </w:rPr>
        <w:t>Google Scholar were searched. Qualified random clinical trial (RCT) studies on the comparison</w:t>
      </w:r>
      <w:r w:rsidR="00427468">
        <w:rPr>
          <w:kern w:val="0"/>
        </w:rPr>
        <w:t xml:space="preserve"> of </w:t>
      </w:r>
      <w:r>
        <w:rPr>
          <w:kern w:val="0"/>
        </w:rPr>
        <w:t>recurrence rate</w:t>
      </w:r>
      <w:r w:rsidR="00427468">
        <w:rPr>
          <w:kern w:val="0"/>
        </w:rPr>
        <w:t xml:space="preserve"> of </w:t>
      </w:r>
      <w:r>
        <w:rPr>
          <w:kern w:val="0"/>
        </w:rPr>
        <w:t>pterygium after ACT</w:t>
      </w:r>
      <w:r w:rsidR="005853A9">
        <w:rPr>
          <w:kern w:val="0"/>
        </w:rPr>
        <w:t xml:space="preserve"> and </w:t>
      </w:r>
      <w:r>
        <w:rPr>
          <w:kern w:val="0"/>
        </w:rPr>
        <w:t>MMC treatment were included in this study. Results Eight RCTs with 663 eyes entered the final analysis</w:t>
      </w:r>
      <w:r w:rsidR="00A37C1D">
        <w:rPr>
          <w:kern w:val="0"/>
        </w:rPr>
        <w:t>. The</w:t>
      </w:r>
      <w:r>
        <w:rPr>
          <w:kern w:val="0"/>
        </w:rPr>
        <w:t xml:space="preserve"> recurrent rate</w:t>
      </w:r>
      <w:r w:rsidR="00427468">
        <w:rPr>
          <w:kern w:val="0"/>
        </w:rPr>
        <w:t xml:space="preserve"> of </w:t>
      </w:r>
      <w:r>
        <w:rPr>
          <w:kern w:val="0"/>
        </w:rPr>
        <w:t>pterygium was 8.7% (30/343) for ACT</w:t>
      </w:r>
      <w:r w:rsidR="005853A9">
        <w:rPr>
          <w:kern w:val="0"/>
        </w:rPr>
        <w:t xml:space="preserve"> and </w:t>
      </w:r>
      <w:r>
        <w:rPr>
          <w:kern w:val="0"/>
        </w:rPr>
        <w:t>18.75% (60/320) for MMC. Using fixed-effect meta analysis, we found that the recurrence was significantly lower after ACT than MMC treatment (odds ratio (OR)=0.40, 95% confidence index (Cl), 0.25-0.63, P&lt;0.0001). In sensitivity analyses, we employed random-effects model</w:t>
      </w:r>
      <w:r w:rsidR="005853A9">
        <w:rPr>
          <w:kern w:val="0"/>
        </w:rPr>
        <w:t xml:space="preserve"> and </w:t>
      </w:r>
      <w:r>
        <w:rPr>
          <w:kern w:val="0"/>
        </w:rPr>
        <w:t>excluded studies</w:t>
      </w:r>
      <w:r w:rsidR="00427468">
        <w:rPr>
          <w:kern w:val="0"/>
        </w:rPr>
        <w:t xml:space="preserve"> of </w:t>
      </w:r>
      <w:r>
        <w:rPr>
          <w:kern w:val="0"/>
        </w:rPr>
        <w:t>low quality or studies in which MMC was administrated after the operation. All the sensitivity analyses confirmed that ACT led to lower recurrence rates than MMC. Sub-group analysis revealed that the recurrence rate was 20.2% (20/99)</w:t>
      </w:r>
      <w:r w:rsidR="005853A9">
        <w:rPr>
          <w:kern w:val="0"/>
        </w:rPr>
        <w:t xml:space="preserve"> and </w:t>
      </w:r>
      <w:r>
        <w:rPr>
          <w:kern w:val="0"/>
        </w:rPr>
        <w:t>27.65% (26/94) for conjunctival autograft (CA)</w:t>
      </w:r>
      <w:r w:rsidR="005853A9">
        <w:rPr>
          <w:kern w:val="0"/>
        </w:rPr>
        <w:t xml:space="preserve"> and </w:t>
      </w:r>
      <w:r>
        <w:rPr>
          <w:kern w:val="0"/>
        </w:rPr>
        <w:t>MMC respectively,</w:t>
      </w:r>
      <w:r w:rsidR="005853A9">
        <w:rPr>
          <w:kern w:val="0"/>
        </w:rPr>
        <w:t xml:space="preserve"> and </w:t>
      </w:r>
      <w:r>
        <w:rPr>
          <w:kern w:val="0"/>
        </w:rPr>
        <w:t>no significant difference in the recurrence rate was detected (OR=0.65, 95% Cl 0.33-1.28, P=0.22). However, we found that conjunctival limbal autograft (CLA) had lower recurrence rate than MMC (OR=0.26, 95% Cl 0.14-0.48, P=0.0001). Conclusion CLA has better therapy efficacy against the recurrence</w:t>
      </w:r>
      <w:r w:rsidR="00427468">
        <w:rPr>
          <w:kern w:val="0"/>
        </w:rPr>
        <w:t xml:space="preserve"> of </w:t>
      </w:r>
      <w:r>
        <w:rPr>
          <w:kern w:val="0"/>
        </w:rPr>
        <w:t>pterygium than MMC. Chin Med J 2012;125(20):3730-3734.</w:t>
      </w:r>
    </w:p>
    <w:p w:rsidR="00E3140D" w:rsidRDefault="00E3140D" w:rsidP="00E3140D">
      <w:pPr>
        <w:pStyle w:val="a3"/>
        <w:rPr>
          <w:kern w:val="0"/>
        </w:rPr>
      </w:pPr>
      <w:r>
        <w:rPr>
          <w:kern w:val="0"/>
        </w:rPr>
        <w:t xml:space="preserve">Keywords: Act, Analyses, Analysis, Autograft-Transplantation, Autologous </w:t>
      </w:r>
      <w:r>
        <w:rPr>
          <w:kern w:val="0"/>
        </w:rPr>
        <w:lastRenderedPageBreak/>
        <w:t xml:space="preserve">Conjunctival Transplantation, Citation, Clinical, Clinical Trial, Comparison, Confidence, Conjunctival Limbal Autograft, Efficacy, Excision, Eye Drops, Google, Google Scholar, Index, Intraoperative Mitomycin, Limbal, Literature, </w:t>
      </w:r>
      <w:r w:rsidR="00D5664A">
        <w:rPr>
          <w:kern w:val="0"/>
        </w:rPr>
        <w:t>MEDLINE</w:t>
      </w:r>
      <w:r>
        <w:rPr>
          <w:kern w:val="0"/>
        </w:rPr>
        <w:t>, Meta Analysis, Meta-Analysis, Mitomycin, Mitomycin C, Model, Odds Ratio, Operation, Postoperative, Prevention, Pterygium, Quality, Random Effects Model, Randomized-Trial, Rates, RCT, Recurrence, Recurrent, Recurrent Pterygium, Risk, Science, Science Citation Index, Sensitivity, Surgery, Therapy, Transplantation, Treatment, Trial</w:t>
      </w:r>
    </w:p>
    <w:p w:rsidR="00270256" w:rsidRDefault="00270256" w:rsidP="00270256">
      <w:pPr>
        <w:pStyle w:val="a3"/>
        <w:rPr>
          <w:kern w:val="0"/>
        </w:rPr>
      </w:pPr>
      <w:r>
        <w:rPr>
          <w:rFonts w:hint="eastAsia"/>
          <w:kern w:val="0"/>
        </w:rPr>
        <w:t xml:space="preserve">? </w:t>
      </w:r>
      <w:r>
        <w:rPr>
          <w:kern w:val="0"/>
        </w:rPr>
        <w:t>Liu, S.L., Zhao, Y.P., Dai, M.H., You, L., Wen, Z.</w:t>
      </w:r>
      <w:r w:rsidR="005853A9">
        <w:rPr>
          <w:kern w:val="0"/>
        </w:rPr>
        <w:t xml:space="preserve"> and </w:t>
      </w:r>
      <w:r>
        <w:rPr>
          <w:kern w:val="0"/>
        </w:rPr>
        <w:t>Xu, J.W. (2013), Vitamin D status</w:t>
      </w:r>
      <w:r w:rsidR="005853A9">
        <w:rPr>
          <w:kern w:val="0"/>
        </w:rPr>
        <w:t xml:space="preserve"> and </w:t>
      </w:r>
      <w:r>
        <w:rPr>
          <w:kern w:val="0"/>
        </w:rPr>
        <w:t>the risk</w:t>
      </w:r>
      <w:r w:rsidR="00427468">
        <w:rPr>
          <w:kern w:val="0"/>
        </w:rPr>
        <w:t xml:space="preserve"> of </w:t>
      </w:r>
      <w:r>
        <w:rPr>
          <w:kern w:val="0"/>
        </w:rPr>
        <w:t xml:space="preserve">pancreatic cancer: A meta-analysis. </w:t>
      </w:r>
      <w:r>
        <w:rPr>
          <w:i/>
          <w:iCs/>
          <w:kern w:val="0"/>
        </w:rPr>
        <w:t>Chinese Medical Journal</w:t>
      </w:r>
      <w:r>
        <w:rPr>
          <w:kern w:val="0"/>
        </w:rPr>
        <w:t xml:space="preserve">, </w:t>
      </w:r>
      <w:r>
        <w:rPr>
          <w:b/>
          <w:bCs/>
          <w:kern w:val="0"/>
        </w:rPr>
        <w:t>126</w:t>
      </w:r>
      <w:r>
        <w:rPr>
          <w:kern w:val="0"/>
        </w:rPr>
        <w:t xml:space="preserve"> (17), 3356-3359.</w:t>
      </w:r>
    </w:p>
    <w:p w:rsidR="00270256" w:rsidRPr="00C73C58" w:rsidRDefault="00270256" w:rsidP="00270256">
      <w:pPr>
        <w:pStyle w:val="a3"/>
      </w:pPr>
      <w:r w:rsidRPr="00C73C58">
        <w:t xml:space="preserve">Full Text: </w:t>
      </w:r>
      <w:r w:rsidRPr="00641171">
        <w:t>201</w:t>
      </w:r>
      <w:r>
        <w:rPr>
          <w:rFonts w:hint="eastAsia"/>
        </w:rPr>
        <w:t>3</w:t>
      </w:r>
      <w:r w:rsidRPr="00641171">
        <w:t>\Chi Med J12</w:t>
      </w:r>
      <w:r>
        <w:rPr>
          <w:rFonts w:hint="eastAsia"/>
        </w:rPr>
        <w:t>6</w:t>
      </w:r>
      <w:r w:rsidRPr="00641171">
        <w:t xml:space="preserve">, </w:t>
      </w:r>
      <w:r>
        <w:rPr>
          <w:kern w:val="0"/>
        </w:rPr>
        <w:t>3356</w:t>
      </w:r>
      <w:r w:rsidRPr="00641171">
        <w:t>.pdf</w:t>
      </w:r>
    </w:p>
    <w:p w:rsidR="00270256" w:rsidRDefault="00270256" w:rsidP="00270256">
      <w:pPr>
        <w:pStyle w:val="a3"/>
        <w:rPr>
          <w:kern w:val="0"/>
        </w:rPr>
      </w:pPr>
      <w:r>
        <w:rPr>
          <w:kern w:val="0"/>
        </w:rPr>
        <w:t>Abstract: Background Vitamin D status in relation to pancreatic cancer risks is still inconsistent. This study was performed to evaluate the association between vitamin D status</w:t>
      </w:r>
      <w:r w:rsidR="005853A9">
        <w:rPr>
          <w:kern w:val="0"/>
        </w:rPr>
        <w:t xml:space="preserve"> and </w:t>
      </w:r>
      <w:r>
        <w:rPr>
          <w:kern w:val="0"/>
        </w:rPr>
        <w:t>risk</w:t>
      </w:r>
      <w:r w:rsidR="00427468">
        <w:rPr>
          <w:kern w:val="0"/>
        </w:rPr>
        <w:t xml:space="preserve"> of </w:t>
      </w:r>
      <w:r>
        <w:rPr>
          <w:kern w:val="0"/>
        </w:rPr>
        <w:t>pancreatic cancer using a meta-analysis approach. Methods A systemic review</w:t>
      </w:r>
      <w:r w:rsidR="00427468">
        <w:rPr>
          <w:kern w:val="0"/>
        </w:rPr>
        <w:t xml:space="preserve"> of </w:t>
      </w:r>
      <w:r>
        <w:rPr>
          <w:kern w:val="0"/>
        </w:rPr>
        <w:t>all relevant literature in English was performed by searching Pubmed, Web</w:t>
      </w:r>
      <w:r w:rsidR="00427468">
        <w:rPr>
          <w:kern w:val="0"/>
        </w:rPr>
        <w:t xml:space="preserve"> of </w:t>
      </w:r>
      <w:r>
        <w:rPr>
          <w:kern w:val="0"/>
        </w:rPr>
        <w:t>Science</w:t>
      </w:r>
      <w:r w:rsidR="005853A9">
        <w:rPr>
          <w:kern w:val="0"/>
        </w:rPr>
        <w:t xml:space="preserve"> and </w:t>
      </w:r>
      <w:r>
        <w:rPr>
          <w:kern w:val="0"/>
        </w:rPr>
        <w:t>Embase to identify eligible studies from the earliest available date to April 1, 2012</w:t>
      </w:r>
      <w:r w:rsidR="00A37C1D">
        <w:rPr>
          <w:kern w:val="0"/>
        </w:rPr>
        <w:t>. The</w:t>
      </w:r>
      <w:r>
        <w:rPr>
          <w:kern w:val="0"/>
        </w:rPr>
        <w:t xml:space="preserve"> search terms “vitamin D”, “25-hydroxyvitamin D”, “pancreatic cancer” or “pancreatic neoplasms” were used to retrieve relevant papers. Inclusion criteria were: (1) the exposure</w:t>
      </w:r>
      <w:r w:rsidR="00427468">
        <w:rPr>
          <w:kern w:val="0"/>
        </w:rPr>
        <w:t xml:space="preserve"> of </w:t>
      </w:r>
      <w:r>
        <w:rPr>
          <w:kern w:val="0"/>
        </w:rPr>
        <w:t>interest was intake</w:t>
      </w:r>
      <w:r w:rsidR="00427468">
        <w:rPr>
          <w:kern w:val="0"/>
        </w:rPr>
        <w:t xml:space="preserve"> of </w:t>
      </w:r>
      <w:r>
        <w:rPr>
          <w:kern w:val="0"/>
        </w:rPr>
        <w:t>vitamin D or blood levels</w:t>
      </w:r>
      <w:r w:rsidR="00427468">
        <w:rPr>
          <w:kern w:val="0"/>
        </w:rPr>
        <w:t xml:space="preserve"> of </w:t>
      </w:r>
      <w:r>
        <w:rPr>
          <w:kern w:val="0"/>
        </w:rPr>
        <w:t>vitamin D; (2) the outcome</w:t>
      </w:r>
      <w:r w:rsidR="00427468">
        <w:rPr>
          <w:kern w:val="0"/>
        </w:rPr>
        <w:t xml:space="preserve"> of </w:t>
      </w:r>
      <w:r>
        <w:rPr>
          <w:kern w:val="0"/>
        </w:rPr>
        <w:t>interest was pancreatic cancer; (3) data on high</w:t>
      </w:r>
      <w:r w:rsidR="005853A9">
        <w:rPr>
          <w:kern w:val="0"/>
        </w:rPr>
        <w:t xml:space="preserve"> and </w:t>
      </w:r>
      <w:r>
        <w:rPr>
          <w:kern w:val="0"/>
        </w:rPr>
        <w:t>low intake or blood vitamin D in cases</w:t>
      </w:r>
      <w:r w:rsidR="005853A9">
        <w:rPr>
          <w:kern w:val="0"/>
        </w:rPr>
        <w:t xml:space="preserve"> and </w:t>
      </w:r>
      <w:r>
        <w:rPr>
          <w:kern w:val="0"/>
        </w:rPr>
        <w:t>controls were available; (4) odds ratio (OR) estimates with 95% confidence interval (CI) were provided; (5) primary epidemiological data were provided reporting pancreatic cancer incidence</w:t>
      </w:r>
      <w:r w:rsidR="00A37C1D">
        <w:rPr>
          <w:kern w:val="0"/>
        </w:rPr>
        <w:t>. The</w:t>
      </w:r>
      <w:r>
        <w:rPr>
          <w:kern w:val="0"/>
        </w:rPr>
        <w:t xml:space="preserve"> combined OR values</w:t>
      </w:r>
      <w:r w:rsidR="005853A9">
        <w:rPr>
          <w:kern w:val="0"/>
        </w:rPr>
        <w:t xml:space="preserve"> and </w:t>
      </w:r>
      <w:r>
        <w:rPr>
          <w:kern w:val="0"/>
        </w:rPr>
        <w:t>their 95% CIs were calculated via a meta-analysis</w:t>
      </w:r>
      <w:r w:rsidR="00A37C1D">
        <w:rPr>
          <w:kern w:val="0"/>
        </w:rPr>
        <w:t>. The</w:t>
      </w:r>
      <w:r>
        <w:rPr>
          <w:kern w:val="0"/>
        </w:rPr>
        <w:t xml:space="preserve"> potential presence</w:t>
      </w:r>
      <w:r w:rsidR="00427468">
        <w:rPr>
          <w:kern w:val="0"/>
        </w:rPr>
        <w:t xml:space="preserve"> of </w:t>
      </w:r>
      <w:r>
        <w:rPr>
          <w:kern w:val="0"/>
        </w:rPr>
        <w:t>publication bias was estimated using Egger</w:t>
      </w:r>
      <w:r w:rsidR="0071223E">
        <w:rPr>
          <w:kern w:val="0"/>
        </w:rPr>
        <w:t>’</w:t>
      </w:r>
      <w:r>
        <w:rPr>
          <w:kern w:val="0"/>
        </w:rPr>
        <w:t>s regression asymmetry test. Results Nine studies with a total</w:t>
      </w:r>
      <w:r w:rsidR="00427468">
        <w:rPr>
          <w:kern w:val="0"/>
        </w:rPr>
        <w:t xml:space="preserve"> of </w:t>
      </w:r>
      <w:r>
        <w:rPr>
          <w:kern w:val="0"/>
        </w:rPr>
        <w:t>1 206 011 participants met the inclusion criteria</w:t>
      </w:r>
      <w:r w:rsidR="00A37C1D">
        <w:rPr>
          <w:kern w:val="0"/>
        </w:rPr>
        <w:t>. The</w:t>
      </w:r>
      <w:r>
        <w:rPr>
          <w:kern w:val="0"/>
        </w:rPr>
        <w:t xml:space="preserve"> test for heterogeneity showed there were significant differences among the included studies (I-2=70.9%, P=0.001), so a randomized-effects model was used in the meta-analysis</w:t>
      </w:r>
      <w:r w:rsidR="00A37C1D">
        <w:rPr>
          <w:kern w:val="0"/>
        </w:rPr>
        <w:t>. The</w:t>
      </w:r>
      <w:r>
        <w:rPr>
          <w:kern w:val="0"/>
        </w:rPr>
        <w:t xml:space="preserve"> pooled OR</w:t>
      </w:r>
      <w:r w:rsidR="00427468">
        <w:rPr>
          <w:kern w:val="0"/>
        </w:rPr>
        <w:t xml:space="preserve"> of </w:t>
      </w:r>
      <w:r>
        <w:rPr>
          <w:kern w:val="0"/>
        </w:rPr>
        <w:t>pancreatic cancer for the highest versus the lowest categories</w:t>
      </w:r>
      <w:r w:rsidR="00427468">
        <w:rPr>
          <w:kern w:val="0"/>
        </w:rPr>
        <w:t xml:space="preserve"> of </w:t>
      </w:r>
      <w:r>
        <w:rPr>
          <w:kern w:val="0"/>
        </w:rPr>
        <w:t>vitamin D level was 1.14 (95% CI 0.896-1.451),</w:t>
      </w:r>
      <w:r w:rsidR="005853A9">
        <w:rPr>
          <w:kern w:val="0"/>
        </w:rPr>
        <w:t xml:space="preserve"> and </w:t>
      </w:r>
      <w:r>
        <w:rPr>
          <w:kern w:val="0"/>
        </w:rPr>
        <w:t>the Z-score for the overall effect was 1.06 (P=0.288), showing that there was no significant association between vitamin D levels</w:t>
      </w:r>
      <w:r w:rsidR="005853A9">
        <w:rPr>
          <w:kern w:val="0"/>
        </w:rPr>
        <w:t xml:space="preserve"> and </w:t>
      </w:r>
      <w:r>
        <w:rPr>
          <w:kern w:val="0"/>
        </w:rPr>
        <w:t>the risk</w:t>
      </w:r>
      <w:r w:rsidR="00427468">
        <w:rPr>
          <w:kern w:val="0"/>
        </w:rPr>
        <w:t xml:space="preserve"> of </w:t>
      </w:r>
      <w:r>
        <w:rPr>
          <w:kern w:val="0"/>
        </w:rPr>
        <w:t>pancreatic cancer. Egger</w:t>
      </w:r>
      <w:r w:rsidR="0071223E">
        <w:rPr>
          <w:kern w:val="0"/>
        </w:rPr>
        <w:t>’</w:t>
      </w:r>
      <w:r>
        <w:rPr>
          <w:kern w:val="0"/>
        </w:rPr>
        <w:t>s test indicated there was a low possibility</w:t>
      </w:r>
      <w:r w:rsidR="00427468">
        <w:rPr>
          <w:kern w:val="0"/>
        </w:rPr>
        <w:t xml:space="preserve"> of </w:t>
      </w:r>
      <w:r>
        <w:rPr>
          <w:kern w:val="0"/>
        </w:rPr>
        <w:t>publication bias in this study (P=0.348). Conclusion Dietary vitamin D or circulating concentrations</w:t>
      </w:r>
      <w:r w:rsidR="00427468">
        <w:rPr>
          <w:kern w:val="0"/>
        </w:rPr>
        <w:t xml:space="preserve"> of </w:t>
      </w:r>
      <w:r>
        <w:rPr>
          <w:kern w:val="0"/>
        </w:rPr>
        <w:t>25-hydroxyvitamin D are not associated with the risk</w:t>
      </w:r>
      <w:r w:rsidR="00427468">
        <w:rPr>
          <w:kern w:val="0"/>
        </w:rPr>
        <w:t xml:space="preserve"> of </w:t>
      </w:r>
      <w:r>
        <w:rPr>
          <w:kern w:val="0"/>
        </w:rPr>
        <w:t>pancreatic cancer based on evidence from currently published studies.</w:t>
      </w:r>
    </w:p>
    <w:p w:rsidR="00270256" w:rsidRDefault="00270256" w:rsidP="00270256">
      <w:pPr>
        <w:pStyle w:val="a3"/>
        <w:rPr>
          <w:kern w:val="0"/>
        </w:rPr>
      </w:pPr>
      <w:r>
        <w:rPr>
          <w:kern w:val="0"/>
        </w:rPr>
        <w:t xml:space="preserve">Keywords: Approach, Article, Association, Asymmetry, Bias, Blood, Cancer, China, Chinese, Circulating 25-Hydroxyvitamin D, Cohort, Confidence, Criteria, Data, </w:t>
      </w:r>
      <w:r>
        <w:rPr>
          <w:kern w:val="0"/>
        </w:rPr>
        <w:lastRenderedPageBreak/>
        <w:t>Estimates, Evidence, Exposure, Heterogeneity, Incidence, Interval, Irradiance, Literature, Medicine, Meta Analysis, Meta-Analysis, Metaanalysis, Methods, Model, Odds Ratio, Outcome, Pancreatic Cancer, Papers, People, Potential, Prevention, Primary, Prostate, Publication, Publication Bias, R, Rates, Regression, Reporting, Results, Review, Risk, Risks, Science, Vitamin, Vitamin D, Web</w:t>
      </w:r>
      <w:r w:rsidR="00427468">
        <w:rPr>
          <w:kern w:val="0"/>
        </w:rPr>
        <w:t xml:space="preserve"> of </w:t>
      </w:r>
      <w:r>
        <w:rPr>
          <w:kern w:val="0"/>
        </w:rPr>
        <w:t>Science</w:t>
      </w:r>
    </w:p>
    <w:p w:rsidR="0005697A" w:rsidRDefault="0005697A" w:rsidP="0005697A">
      <w:pPr>
        <w:pStyle w:val="a3"/>
        <w:rPr>
          <w:kern w:val="0"/>
          <w:szCs w:val="24"/>
        </w:rPr>
      </w:pPr>
      <w:r>
        <w:rPr>
          <w:rFonts w:hint="eastAsia"/>
          <w:kern w:val="0"/>
          <w:szCs w:val="24"/>
        </w:rPr>
        <w:t xml:space="preserve">? </w:t>
      </w:r>
      <w:r>
        <w:rPr>
          <w:kern w:val="0"/>
          <w:szCs w:val="24"/>
        </w:rPr>
        <w:t xml:space="preserve">Fan, X.H., Wu, Q.H., Li, Y., Hao, Y.H., Ning, N., Kang, Z., Cui, Y., Liu, R.H. and Han, L.Y. (2014), Association between adiponectin concentrations and diabetic retinopathy in patients with type 2 diabetes: A meta analysis. </w:t>
      </w:r>
      <w:r>
        <w:rPr>
          <w:i/>
          <w:iCs/>
          <w:kern w:val="0"/>
          <w:szCs w:val="24"/>
        </w:rPr>
        <w:t>Chinese Medical Journal</w:t>
      </w:r>
      <w:r>
        <w:rPr>
          <w:kern w:val="0"/>
          <w:szCs w:val="24"/>
        </w:rPr>
        <w:t xml:space="preserve">, </w:t>
      </w:r>
      <w:r>
        <w:rPr>
          <w:b/>
          <w:bCs/>
          <w:kern w:val="0"/>
          <w:szCs w:val="24"/>
        </w:rPr>
        <w:t>127</w:t>
      </w:r>
      <w:r>
        <w:rPr>
          <w:kern w:val="0"/>
          <w:szCs w:val="24"/>
        </w:rPr>
        <w:t xml:space="preserve"> (4), 765-771.</w:t>
      </w:r>
    </w:p>
    <w:p w:rsidR="0005697A" w:rsidRPr="00C73C58" w:rsidRDefault="0005697A" w:rsidP="0005697A">
      <w:pPr>
        <w:pStyle w:val="a3"/>
      </w:pPr>
      <w:r w:rsidRPr="00C73C58">
        <w:t xml:space="preserve">Full Text: </w:t>
      </w:r>
      <w:r w:rsidRPr="00641171">
        <w:t>201</w:t>
      </w:r>
      <w:r>
        <w:rPr>
          <w:rFonts w:hint="eastAsia"/>
        </w:rPr>
        <w:t>4</w:t>
      </w:r>
      <w:r w:rsidRPr="00641171">
        <w:t>\Chi Med J12</w:t>
      </w:r>
      <w:r>
        <w:rPr>
          <w:rFonts w:hint="eastAsia"/>
        </w:rPr>
        <w:t>7</w:t>
      </w:r>
      <w:r w:rsidRPr="00641171">
        <w:t xml:space="preserve">, </w:t>
      </w:r>
      <w:r>
        <w:rPr>
          <w:rFonts w:hint="eastAsia"/>
          <w:kern w:val="0"/>
        </w:rPr>
        <w:t>765</w:t>
      </w:r>
      <w:r w:rsidRPr="00641171">
        <w:t>.pdf</w:t>
      </w:r>
    </w:p>
    <w:p w:rsidR="0005697A" w:rsidRDefault="0005697A" w:rsidP="0005697A">
      <w:pPr>
        <w:pStyle w:val="a3"/>
        <w:rPr>
          <w:kern w:val="0"/>
          <w:szCs w:val="24"/>
        </w:rPr>
      </w:pPr>
      <w:r>
        <w:rPr>
          <w:kern w:val="0"/>
          <w:szCs w:val="24"/>
        </w:rPr>
        <w:t>Abstract: Background Numerous studies have investigated the association between adiponectin concentrations and diabetic retinopathy (DR) caused by type 2 diabetic mellitus. However, the results remain conflicting. We performed a meta-analysis to explore the relationship between adiponectin concentrations and risk</w:t>
      </w:r>
      <w:r w:rsidR="00427468">
        <w:rPr>
          <w:kern w:val="0"/>
          <w:szCs w:val="24"/>
        </w:rPr>
        <w:t xml:space="preserve"> of </w:t>
      </w:r>
      <w:r>
        <w:rPr>
          <w:kern w:val="0"/>
          <w:szCs w:val="24"/>
        </w:rPr>
        <w:t>DR caused by type 2 diabetic mellitus from published articles. Methods A published literature search was performed through the PubMed, Cochrane Library, EMBASE, Science Citation Index Expanded database, Chinese CNKI, and Chinese Wan Fang databases for articles published in English and Chinese. Pooled standardized mean differences (SMDs) and 95% confidence intervals (95% CIs) were calculated using random or fixed effects model. Heterogeneity between studies was assessed using the Cochrane Q test and 2 statistics. Results Nineteen studies with a total</w:t>
      </w:r>
      <w:r w:rsidR="00427468">
        <w:rPr>
          <w:kern w:val="0"/>
          <w:szCs w:val="24"/>
        </w:rPr>
        <w:t xml:space="preserve"> of </w:t>
      </w:r>
      <w:r>
        <w:rPr>
          <w:kern w:val="0"/>
          <w:szCs w:val="24"/>
        </w:rPr>
        <w:t>1 545 cases and 1 502 controls were retrieved</w:t>
      </w:r>
      <w:r w:rsidR="00A37C1D">
        <w:rPr>
          <w:kern w:val="0"/>
          <w:szCs w:val="24"/>
        </w:rPr>
        <w:t>. The</w:t>
      </w:r>
      <w:r>
        <w:rPr>
          <w:kern w:val="0"/>
          <w:szCs w:val="24"/>
        </w:rPr>
        <w:t xml:space="preserve"> original meta-analysis found a significant difference in the adiponectin concentrations between the DR and non-DR (NDR) groups. After excluding the high heterogeneity studies, the second meta-analysis also demonstrated the significant association (SMD (95% CI)=-0.62 (-0.80 to 0.44), P=0.0001). According to the available data, there was statistical significance in the adiponectin concentrations considering non-proliferative DR (NPDR) versus NDR, PDR versus NPDR in Chinese populations with high heterogeneity. Conclusion Adiponectin concentrations are correlated with DR; however, the relationship between adiponectin concentrations and DR needs more in-depth investigations with larger sample sizes.</w:t>
      </w:r>
    </w:p>
    <w:p w:rsidR="0005697A" w:rsidRDefault="0005697A" w:rsidP="0005697A">
      <w:pPr>
        <w:pStyle w:val="a3"/>
        <w:rPr>
          <w:kern w:val="0"/>
          <w:szCs w:val="24"/>
        </w:rPr>
      </w:pPr>
      <w:r>
        <w:rPr>
          <w:kern w:val="0"/>
          <w:szCs w:val="24"/>
        </w:rPr>
        <w:t xml:space="preserve">Keywords: Adipocytes, Adiponectin, Adiponectin Concentrations, Adipose-Specific Protein, Analysis, Association, Chinese, Citation, Confidence, Confidence Intervals, Data, Database, Databases, Diabetes, Diabetic Retinopathy, Disease, Effects, Embase, Endothelial-Cells, English, Expression, Fixed Effects Model, Groups, Heterogeneity, Hypoadiponectinemia, Intervals, Investigations, Literature, Literature Search, Meta Analysis, Meta-Analysis, Metaanalysis, Methods, Model, Needs, Nitric-Oxide, Patients, Plasma, Population, Populations, Published Articles, Pubmed, Results, Risk, Science, Science Citation Index, Science Citation Index Expanded, Serum-Levels, </w:t>
      </w:r>
      <w:r>
        <w:rPr>
          <w:kern w:val="0"/>
          <w:szCs w:val="24"/>
        </w:rPr>
        <w:lastRenderedPageBreak/>
        <w:t>Significance, Statistics, Type 2 Diabetes, Type 2 Diabetic Mellitus</w:t>
      </w:r>
    </w:p>
    <w:p w:rsidR="001D3A71" w:rsidRDefault="001D3A71" w:rsidP="001D3A71">
      <w:pPr>
        <w:pStyle w:val="a3"/>
        <w:rPr>
          <w:kern w:val="0"/>
        </w:rPr>
      </w:pPr>
      <w:r>
        <w:rPr>
          <w:kern w:val="0"/>
        </w:rPr>
        <w:t xml:space="preserve">? Luo, Y., Gou, X., Huang, P. and Mou, C. (2014), Prostate cancer antigen 3 test for prostate biopsy decision: A systematic review and meta analysis. </w:t>
      </w:r>
      <w:r>
        <w:rPr>
          <w:i/>
          <w:iCs/>
          <w:kern w:val="0"/>
        </w:rPr>
        <w:t>Chinese Medical Journal</w:t>
      </w:r>
      <w:r>
        <w:rPr>
          <w:kern w:val="0"/>
        </w:rPr>
        <w:t xml:space="preserve">, </w:t>
      </w:r>
      <w:r>
        <w:rPr>
          <w:b/>
          <w:bCs/>
          <w:kern w:val="0"/>
        </w:rPr>
        <w:t>127</w:t>
      </w:r>
      <w:r>
        <w:rPr>
          <w:kern w:val="0"/>
        </w:rPr>
        <w:t xml:space="preserve"> (9), 1768-1774.</w:t>
      </w:r>
    </w:p>
    <w:p w:rsidR="001D3A71" w:rsidRPr="00C73C58" w:rsidRDefault="001D3A71" w:rsidP="001D3A71">
      <w:pPr>
        <w:pStyle w:val="a3"/>
      </w:pPr>
      <w:r w:rsidRPr="00C73C58">
        <w:t xml:space="preserve">Full Text: </w:t>
      </w:r>
      <w:r w:rsidRPr="00D418BC">
        <w:t>201</w:t>
      </w:r>
      <w:r>
        <w:t>4</w:t>
      </w:r>
      <w:r w:rsidRPr="00D418BC">
        <w:t>\Chi Med J12</w:t>
      </w:r>
      <w:r>
        <w:t>7</w:t>
      </w:r>
      <w:r w:rsidRPr="00D418BC">
        <w:t xml:space="preserve">, </w:t>
      </w:r>
      <w:r>
        <w:rPr>
          <w:kern w:val="0"/>
        </w:rPr>
        <w:t>1768</w:t>
      </w:r>
      <w:r w:rsidRPr="00D418BC">
        <w:t>.pdf</w:t>
      </w:r>
    </w:p>
    <w:p w:rsidR="001D3A71" w:rsidRDefault="001D3A71" w:rsidP="001D3A71">
      <w:pPr>
        <w:pStyle w:val="a3"/>
        <w:rPr>
          <w:kern w:val="0"/>
        </w:rPr>
      </w:pPr>
      <w:r>
        <w:rPr>
          <w:kern w:val="0"/>
        </w:rPr>
        <w:t>Abstract: Background The specificity for early interventions of prostate-specific antigen (PSA) in prostate cancer (PCa) is not satisfactory. It is likely that prostate cancer antigen 3 (PCA3) can be used to predict biopsy outcomes more accurately than PSA for the early detection of PCa. We systematically reviewed literatures and subsequently performed a meta-analysis. Methods A bibliographic search in the database of Embase, Medline, Web of Science, NCBI, PubMed, CNKI, and those of health technology assessment agencies published before April 2013 was conducted</w:t>
      </w:r>
      <w:r w:rsidR="00A37C1D">
        <w:rPr>
          <w:kern w:val="0"/>
        </w:rPr>
        <w:t>. The</w:t>
      </w:r>
      <w:r>
        <w:rPr>
          <w:kern w:val="0"/>
        </w:rPr>
        <w:t xml:space="preserve"> key words used were “prostatic neoplasms”, “prostate”, “</w:t>
      </w:r>
      <w:r w:rsidR="0071223E">
        <w:rPr>
          <w:kern w:val="0"/>
        </w:rPr>
        <w:t>‘</w:t>
      </w:r>
      <w:r>
        <w:rPr>
          <w:kern w:val="0"/>
        </w:rPr>
        <w:t>prostate,</w:t>
      </w:r>
      <w:r w:rsidR="0071223E">
        <w:rPr>
          <w:kern w:val="0"/>
        </w:rPr>
        <w:t>’</w:t>
      </w:r>
      <w:r>
        <w:rPr>
          <w:kern w:val="0"/>
        </w:rPr>
        <w:t xml:space="preserve"> </w:t>
      </w:r>
      <w:r w:rsidR="0071223E">
        <w:rPr>
          <w:kern w:val="0"/>
        </w:rPr>
        <w:t>‘</w:t>
      </w:r>
      <w:r>
        <w:rPr>
          <w:kern w:val="0"/>
        </w:rPr>
        <w:t>carcinoma</w:t>
      </w:r>
      <w:r w:rsidR="0071223E">
        <w:rPr>
          <w:kern w:val="0"/>
        </w:rPr>
        <w:t>’</w:t>
      </w:r>
      <w:r>
        <w:rPr>
          <w:kern w:val="0"/>
        </w:rPr>
        <w:t xml:space="preserve"> or </w:t>
      </w:r>
      <w:r w:rsidR="0071223E">
        <w:rPr>
          <w:kern w:val="0"/>
        </w:rPr>
        <w:t>‘</w:t>
      </w:r>
      <w:r>
        <w:rPr>
          <w:kern w:val="0"/>
        </w:rPr>
        <w:t>cancer</w:t>
      </w:r>
      <w:r w:rsidR="0071223E">
        <w:rPr>
          <w:kern w:val="0"/>
        </w:rPr>
        <w:t>’</w:t>
      </w:r>
      <w:r>
        <w:rPr>
          <w:kern w:val="0"/>
        </w:rPr>
        <w:t xml:space="preserve"> or </w:t>
      </w:r>
      <w:r w:rsidR="0071223E">
        <w:rPr>
          <w:kern w:val="0"/>
        </w:rPr>
        <w:t>‘</w:t>
      </w:r>
      <w:r>
        <w:rPr>
          <w:kern w:val="0"/>
        </w:rPr>
        <w:t>tumor</w:t>
      </w:r>
      <w:r w:rsidR="0071223E">
        <w:rPr>
          <w:kern w:val="0"/>
        </w:rPr>
        <w:t>’</w:t>
      </w:r>
      <w:r>
        <w:rPr>
          <w:kern w:val="0"/>
        </w:rPr>
        <w:t xml:space="preserve">, or </w:t>
      </w:r>
      <w:r w:rsidR="0071223E">
        <w:rPr>
          <w:kern w:val="0"/>
        </w:rPr>
        <w:t>‘</w:t>
      </w:r>
      <w:r>
        <w:rPr>
          <w:kern w:val="0"/>
        </w:rPr>
        <w:t>PCa,” and free terms of “upm3”, “pca3”, “dd3”, “aptinnapca 3”, and “prostate cancer antigen 3”. All patients were adults</w:t>
      </w:r>
      <w:r w:rsidR="00A37C1D">
        <w:rPr>
          <w:kern w:val="0"/>
        </w:rPr>
        <w:t>. The</w:t>
      </w:r>
      <w:r>
        <w:rPr>
          <w:kern w:val="0"/>
        </w:rPr>
        <w:t xml:space="preserve"> intervention was detecting PCA3 in urine samples for PCa diagnosis. We checked the quality based on the QUADAS criteria, collected data, and developed a meta-analysis to synthesize results. Twenty-four studies of diagnostic tests with moderate to high quality were selected. Results The sensitivity was between 46.9% and 82.3%; specificity was from 55% to 92%; positive predictive value had a range of 39.0%-86.0%; and the negative predictive value was 61.0%-89.7%</w:t>
      </w:r>
      <w:r w:rsidR="00A37C1D">
        <w:rPr>
          <w:kern w:val="0"/>
        </w:rPr>
        <w:t>. The</w:t>
      </w:r>
      <w:r>
        <w:rPr>
          <w:kern w:val="0"/>
        </w:rPr>
        <w:t xml:space="preserve"> meta-analysis has heterogeneity between studies</w:t>
      </w:r>
      <w:r w:rsidR="00A37C1D">
        <w:rPr>
          <w:kern w:val="0"/>
        </w:rPr>
        <w:t>. The</w:t>
      </w:r>
      <w:r>
        <w:rPr>
          <w:kern w:val="0"/>
        </w:rPr>
        <w:t xml:space="preserve"> global sensitivity value was 0.82 (95% CI 0.72-0.90); specificity was 0.962 (95% CI 0.73-0.99); positive likelihood ratio was 2.39 (95% CI 2.10-2.71); negative likelihood ratio was 0.51 (95% CI 0.46-0.86); diagnostic odds ratio was 4.89 (95% CI 3.94-6.06); and AUC in SROC curve was 0.744 1. Conclusion PCA3 can be used for early diagnosis of PCa and to avoid unnecessary biopsies.</w:t>
      </w:r>
    </w:p>
    <w:p w:rsidR="001D3A71" w:rsidRDefault="001D3A71" w:rsidP="001D3A71">
      <w:pPr>
        <w:pStyle w:val="a3"/>
        <w:rPr>
          <w:kern w:val="0"/>
        </w:rPr>
      </w:pPr>
      <w:r>
        <w:rPr>
          <w:kern w:val="0"/>
        </w:rPr>
        <w:t>Keywords: 4.0 Ng, Ml, Analysis, Assessment, Auc, Bibliographic, Biopsy, Cancer, Carcinoma, Clinical Utility, Criteria, Data, Database, Decision, Diagnosis, Diagnostic, Diagnostic Performance, Diagnostic Tests, Early Detection, Early Diagnosis, Gene, Global, Health, Health Technology Assessment, Heterogeneity, Intervention, Interventions, Japanese Men, Likelihood Ratio, Medline, Messenger-Rna, Meta Analysis, Meta-Analysis, Metaanalysis, Methods, Molecular Urine Assay, Odds Ratio, Outcomes, Patients, Pca, Pca3, Predictive, Predictive Value, Prostate Cancer, Prostate Cancer Antigen 3, PubMed, Quality, Repeat Biopsy, Results, Review, Science, Sensitivity, Specificity, Systematic, Systematic Review, Technology, Technology Assessment, Tumor, Urine, Validation, Value, Web of Science</w:t>
      </w:r>
    </w:p>
    <w:p w:rsidR="00B707CA" w:rsidRDefault="00B707CA" w:rsidP="00B707CA">
      <w:pPr>
        <w:pStyle w:val="a3"/>
        <w:rPr>
          <w:kern w:val="0"/>
        </w:rPr>
      </w:pPr>
      <w:r>
        <w:rPr>
          <w:rFonts w:hint="eastAsia"/>
          <w:kern w:val="0"/>
        </w:rPr>
        <w:t xml:space="preserve">? </w:t>
      </w:r>
      <w:r>
        <w:rPr>
          <w:kern w:val="0"/>
        </w:rPr>
        <w:t xml:space="preserve">Wang, S.Q., Qin, C., Peng, Z.H., Cao, Q., Li, P., Shao, P.F., Ju, X.B., Meng, X.X., Lu, </w:t>
      </w:r>
      <w:r>
        <w:rPr>
          <w:kern w:val="0"/>
        </w:rPr>
        <w:lastRenderedPageBreak/>
        <w:t xml:space="preserve">Q., Li, J., Wang, M.L., Zhang, Z.D., Gu, M., Zhang, W. and Yin, C.J. (2014), Radiofrequency ablation versus partial nephrectomy for the treatment of clinical stage 1 renal masses: A systematic review and meta-analysis. </w:t>
      </w:r>
      <w:r>
        <w:rPr>
          <w:i/>
          <w:iCs/>
          <w:kern w:val="0"/>
        </w:rPr>
        <w:t>Chinese Medical Journal</w:t>
      </w:r>
      <w:r>
        <w:rPr>
          <w:kern w:val="0"/>
        </w:rPr>
        <w:t xml:space="preserve">, </w:t>
      </w:r>
      <w:r>
        <w:rPr>
          <w:b/>
          <w:bCs/>
          <w:kern w:val="0"/>
        </w:rPr>
        <w:t>127</w:t>
      </w:r>
      <w:r>
        <w:rPr>
          <w:kern w:val="0"/>
        </w:rPr>
        <w:t xml:space="preserve"> (13), 2497-2503.</w:t>
      </w:r>
    </w:p>
    <w:p w:rsidR="00B707CA" w:rsidRPr="00C73C58" w:rsidRDefault="00B707CA" w:rsidP="00B707CA">
      <w:pPr>
        <w:pStyle w:val="a3"/>
      </w:pPr>
      <w:r w:rsidRPr="00C73C58">
        <w:t xml:space="preserve">Full Text: </w:t>
      </w:r>
      <w:r w:rsidRPr="00D418BC">
        <w:t>201</w:t>
      </w:r>
      <w:r>
        <w:t>4</w:t>
      </w:r>
      <w:r w:rsidRPr="00D418BC">
        <w:t>\Chi Med J12</w:t>
      </w:r>
      <w:r>
        <w:t>7</w:t>
      </w:r>
      <w:r w:rsidRPr="00D418BC">
        <w:t xml:space="preserve">, </w:t>
      </w:r>
      <w:r>
        <w:rPr>
          <w:kern w:val="0"/>
        </w:rPr>
        <w:t>2497</w:t>
      </w:r>
      <w:r w:rsidRPr="00D418BC">
        <w:t>.pdf</w:t>
      </w:r>
    </w:p>
    <w:p w:rsidR="00B707CA" w:rsidRDefault="00B707CA" w:rsidP="00B707CA">
      <w:pPr>
        <w:pStyle w:val="a3"/>
        <w:rPr>
          <w:kern w:val="0"/>
        </w:rPr>
      </w:pPr>
      <w:r>
        <w:rPr>
          <w:kern w:val="0"/>
        </w:rPr>
        <w:t>Abstract: Background Over the past two decades, the clinical presentation of renal masses has evolved, where the rising incidence of small renal masses (SRMs) and concomitant minimal invasive treatments have led to noteworthy changes in paradigm of kidney cancer. This study was to perform a proportional meta-analysis of observational studies on perioperative complications and oncological outcomes of partial nephrectomy (PN) and radiofrequency ablation (RFA). Methods The US National Library of Medicine</w:t>
      </w:r>
      <w:r w:rsidR="0071223E">
        <w:rPr>
          <w:kern w:val="0"/>
        </w:rPr>
        <w:t>’</w:t>
      </w:r>
      <w:r>
        <w:rPr>
          <w:kern w:val="0"/>
        </w:rPr>
        <w:t>s life science database (Medline) and the Web of Science were exhaustly searched before August 1, 2013. Clinical stage 1 SRMs that were treated with PN or RFA were included, and perioperative complications and oncological outcomes of a total of 9 565 patients were analyzed. Results Patients who underwent RFA were significantly older (P &lt;0.001). In the subanalysis of stage T1 tumors, the major complication rate of PN was greater than that of RFA (laparoscopic partial nephrectomy (LPN)/robotic partial nephrectomy (RPN): 7.2%, open partial nephrectomy (OPN): 7.9%, RFA: 3.1%, both P &lt;0.001). Minor complications occurred more frequently after RFA (RFA: 13.8%, LPN/RPN: 7.5%, OPN: 9.5%, both P &lt;0.001). By multivariate analysis, the relative risks for minor complications of RFA, compared with LPN and OPN, were 1.7-fold and 1.5-fold greater (both P &lt;0.01), respectively. Patients treated with RFA had a greater local progression rate than those treated by PN (RFA: 4.6%, LPN/RPN: 1.2%, OPN: 1.9%, both P &lt;0.001). By multivariate analysis, the local tumor progression for RFA versus LPN/RPN and OPN were 4.5-fold and 3.1-fold greater, respectively (both P&lt;0.001). Conclusions The current data illustrate that both PN and RFA are viable strategies for the treatment of SRMs. Compared with PN, RFA showed a greater risk of local tumor progression but a lower major complication rate, which is considered better for poor candidates. PN is with no doubt the golden treatment for SRMs, and LPN has been widely accepted as the first option for nephron-sparing surgery by experienced urologists. RFA may be the best option for select patients with significant comorbidity.</w:t>
      </w:r>
    </w:p>
    <w:p w:rsidR="00B707CA" w:rsidRDefault="00B707CA" w:rsidP="00B707CA">
      <w:pPr>
        <w:pStyle w:val="a3"/>
        <w:rPr>
          <w:kern w:val="0"/>
        </w:rPr>
      </w:pPr>
      <w:r>
        <w:rPr>
          <w:kern w:val="0"/>
        </w:rPr>
        <w:t xml:space="preserve">Keywords: Ablation, Analysis, Cancer, Changes, Clinical, Comorbidity, Complication, Complications, Concomitant, Data, Database, First, Incidence, Invasive, Kidney, Laparoscopic, Life, Local, Medline, Meta Analysis, Meta-Analysis, Metaanalysis, Methods, Minor, Multivariate, Multivariate Analysis, Nephrectomy, Observational, Observational Studies, Oncological Outcomes, Open, Outcomes, P, Paradigm, Partial Nephrectomy, Patients, Perioperative Complications, Presentation, Progression, </w:t>
      </w:r>
      <w:r>
        <w:rPr>
          <w:kern w:val="0"/>
        </w:rPr>
        <w:lastRenderedPageBreak/>
        <w:t>Radiofrequency Ablation, Renal, Results, Review, Risk, Risks, Science, Small, Surgery, Systematic, Systematic Review, T1, Treatment, Tumor, Us, Web Of Science</w:t>
      </w:r>
    </w:p>
    <w:p w:rsidR="00B707CA" w:rsidRDefault="00B707CA" w:rsidP="00B707CA">
      <w:pPr>
        <w:pStyle w:val="a3"/>
        <w:rPr>
          <w:kern w:val="0"/>
        </w:rPr>
      </w:pPr>
      <w:r>
        <w:rPr>
          <w:rFonts w:hint="eastAsia"/>
          <w:kern w:val="0"/>
        </w:rPr>
        <w:t xml:space="preserve">? </w:t>
      </w:r>
      <w:r>
        <w:rPr>
          <w:kern w:val="0"/>
        </w:rPr>
        <w:t xml:space="preserve">Mao, Z., Wang, G.Q., Mei, X.F., Chen, S., Liu, X.X., Zeng, X.T., Long, A.H., Zhang, L.C., Zhang, L.H. and Tang, P.F. (2014), Systematic reviews on reports of hip fractures in Web of Science: A bibliometric analysis of publication activity. </w:t>
      </w:r>
      <w:r>
        <w:rPr>
          <w:i/>
          <w:iCs/>
          <w:kern w:val="0"/>
        </w:rPr>
        <w:t>Chinese Medical Journal</w:t>
      </w:r>
      <w:r>
        <w:rPr>
          <w:kern w:val="0"/>
        </w:rPr>
        <w:t xml:space="preserve">, </w:t>
      </w:r>
      <w:r>
        <w:rPr>
          <w:b/>
          <w:bCs/>
          <w:kern w:val="0"/>
        </w:rPr>
        <w:t>127</w:t>
      </w:r>
      <w:r>
        <w:rPr>
          <w:kern w:val="0"/>
        </w:rPr>
        <w:t xml:space="preserve"> (13), 2518-2522.</w:t>
      </w:r>
    </w:p>
    <w:p w:rsidR="00B707CA" w:rsidRPr="00C73C58" w:rsidRDefault="00B707CA" w:rsidP="00B707CA">
      <w:pPr>
        <w:pStyle w:val="a3"/>
      </w:pPr>
      <w:r w:rsidRPr="00C73C58">
        <w:t xml:space="preserve">Full Text: </w:t>
      </w:r>
      <w:r w:rsidRPr="00D418BC">
        <w:t>201</w:t>
      </w:r>
      <w:r>
        <w:t>4</w:t>
      </w:r>
      <w:r w:rsidRPr="00D418BC">
        <w:t>\Chi Med J12</w:t>
      </w:r>
      <w:r>
        <w:t>7</w:t>
      </w:r>
      <w:r w:rsidRPr="00D418BC">
        <w:t xml:space="preserve">, </w:t>
      </w:r>
      <w:r>
        <w:rPr>
          <w:kern w:val="0"/>
        </w:rPr>
        <w:t>2518</w:t>
      </w:r>
      <w:r w:rsidRPr="00D418BC">
        <w:t>.pdf</w:t>
      </w:r>
    </w:p>
    <w:p w:rsidR="00B707CA" w:rsidRDefault="00B707CA" w:rsidP="00B707CA">
      <w:pPr>
        <w:pStyle w:val="a3"/>
        <w:rPr>
          <w:kern w:val="0"/>
        </w:rPr>
      </w:pPr>
      <w:r>
        <w:rPr>
          <w:kern w:val="0"/>
        </w:rPr>
        <w:t>Abstract: Background The objective of this study was to analyze the trend in the publication of systematic reviews on hip fractures through a bibliometric approach. Methods Literature including systematic reviews or meta-analyses on hip fractures was searched from the ISI Web of Science citation database. The search results were analyzed in terms of geographical authorship and frequency of citation by country, institution, author, and periodical distribution. Results A total of 654 published systematic reviews from 1995 to 2013 in 48 countries or regions were retrieved. The United States (171) was the predominant country in terms of the number of total publications, followed by the United Kingdom (149), Canada (120), Australia (76), and China (54). The number of systematic reviews significantly increased during the last 6 years, especially in China. The production ranking changed in 2012, at which time the United States and China were the leaders in the yearly production of systematic reviews on hip fractures. The amount of literature (27 publications) from China contributed almost one-quarter of the total literature (109 publications) in 2012. However, the average number of citations of each article from China was still low (6.70), while the highest number of citations of each article was from Sweden (193.36). The references were published in 239 different journals, with 15 journals contributing to 41.3% of the systematic reviews on hip fractures. The two journals that contributed the most were Osteoporosis International (10.6%) and the Cochrane Database of Systematic Reviews (7.6%). The predominant institution in terms of the number of publications was McMaster University (36) in Canada. Conclusions The best evidence in the field of hip fractures has attracted increasing attention. Systematic reviews on hip fractures from China have been increasingly more frequent during the past 6 years, particularly in 2012.</w:t>
      </w:r>
    </w:p>
    <w:p w:rsidR="00B707CA" w:rsidRDefault="00B707CA" w:rsidP="00B707CA">
      <w:pPr>
        <w:pStyle w:val="a3"/>
        <w:rPr>
          <w:kern w:val="0"/>
        </w:rPr>
      </w:pPr>
      <w:r>
        <w:rPr>
          <w:kern w:val="0"/>
        </w:rPr>
        <w:t>Keywords: Activity, Analysis, Approach, Article, Attention, Australia, Authorship, Bibliometric, Bibliometric Analysis, Canada, China, Citation, Citations, Country, Database, Distribution, Evidence, Field, Hip Fractures, International, Isi, Isi Web Of Science, Journals, Literature, Methods, Osteoporosis, Periodical, Publication, Publication Activity, Publications, Ranking, References, Results, Reviews, Science, Sweden, Systematic, Systematic Reviews, Trend, United Kingdom, United States, University, Web Of Science</w:t>
      </w:r>
    </w:p>
    <w:p w:rsidR="00137DE3" w:rsidRDefault="00137DE3" w:rsidP="00137DE3">
      <w:pPr>
        <w:pStyle w:val="a3"/>
        <w:rPr>
          <w:kern w:val="0"/>
        </w:rPr>
      </w:pPr>
      <w:r>
        <w:rPr>
          <w:rFonts w:hint="eastAsia"/>
          <w:kern w:val="0"/>
        </w:rPr>
        <w:lastRenderedPageBreak/>
        <w:t xml:space="preserve">? </w:t>
      </w:r>
      <w:r>
        <w:rPr>
          <w:kern w:val="0"/>
        </w:rPr>
        <w:t xml:space="preserve">Liu, Y.W., Xiao, Y.Y., Chen, X.G. and Zhang, F.X. (2014), Association between plasma brain natriuretic peptide/N-terminal pro-brain natriuretic peptide levels and atrial fibrillation: Evidence from a meta-analysis. </w:t>
      </w:r>
      <w:r>
        <w:rPr>
          <w:i/>
          <w:iCs/>
          <w:kern w:val="0"/>
        </w:rPr>
        <w:t>Chinese Medical Journal</w:t>
      </w:r>
      <w:r>
        <w:rPr>
          <w:kern w:val="0"/>
        </w:rPr>
        <w:t xml:space="preserve">, </w:t>
      </w:r>
      <w:r>
        <w:rPr>
          <w:b/>
          <w:bCs/>
          <w:kern w:val="0"/>
        </w:rPr>
        <w:t>127</w:t>
      </w:r>
      <w:r>
        <w:rPr>
          <w:kern w:val="0"/>
        </w:rPr>
        <w:t xml:space="preserve"> (15), 2824-2828.</w:t>
      </w:r>
    </w:p>
    <w:p w:rsidR="00137DE3" w:rsidRPr="00C73C58" w:rsidRDefault="00137DE3" w:rsidP="00137DE3">
      <w:pPr>
        <w:pStyle w:val="a3"/>
      </w:pPr>
      <w:r w:rsidRPr="00C73C58">
        <w:t xml:space="preserve">Full Text: </w:t>
      </w:r>
      <w:r w:rsidRPr="00D418BC">
        <w:t>201</w:t>
      </w:r>
      <w:r>
        <w:t>4</w:t>
      </w:r>
      <w:r w:rsidRPr="00D418BC">
        <w:t>\Chi Med J12</w:t>
      </w:r>
      <w:r>
        <w:t>7</w:t>
      </w:r>
      <w:r w:rsidRPr="00D418BC">
        <w:t xml:space="preserve">, </w:t>
      </w:r>
      <w:r>
        <w:rPr>
          <w:kern w:val="0"/>
        </w:rPr>
        <w:t>2824</w:t>
      </w:r>
      <w:r w:rsidRPr="00D418BC">
        <w:t>.pdf</w:t>
      </w:r>
    </w:p>
    <w:p w:rsidR="00137DE3" w:rsidRDefault="00137DE3" w:rsidP="00137DE3">
      <w:pPr>
        <w:pStyle w:val="a3"/>
        <w:rPr>
          <w:kern w:val="0"/>
        </w:rPr>
      </w:pPr>
      <w:r>
        <w:rPr>
          <w:kern w:val="0"/>
        </w:rPr>
        <w:t>Abstract: Background Several small sample-size observational studies evaluated the association of plasma brain natriuretic peptide (BNP) or N-terminal pro-brain natriuretic peptide (NT-proBNP) with atrial fibrillation (AF), but the results were contradictory. We aimed to perform a meta-analysis of relevant studies to evaluate the availability of this association. Methods We performed an extensive literature search on PubMed, Web of Science (WOS) and the Cochrane Library databases. Pooled standardized mean difference (SMD) and 95% confidence interval (C/) were calculated to assess the strength of association using random effects models. We performed sensitivity and subgroup analyses to explore the potential sources of heterogeneity. We also estimated publication biases. Statistical analyses were performed using the STATA 12.0 software. Results A total of 11 studies including 777 cases and 870 controls were finally analyzed. Overall, the brain natriuretic peptide/N-terminal pro-brain natriuretic peptide levels were higher in atrial fibrillation patients than controls without atrial fibrillation. Results showed that the SMD in the natriuretic peptide levels between cases and controls was 2.68 units (95% Cl 1.76 to 3.60); test for overall effect z-score=5.7 (P&lt;0.001). There was significant heterogeneity between individual studies (12=97.8%; P&lt;0.001). Further analysis revealed that differences in the assay of natriuretic peptide possibly account for this heterogeneity. Conclusions Increased BNP/NT-proBNP levels were associated with the presence of atrial fibrillation. This finding indicates that BNP/NT-proBNP may prove to be a biomarker of an underlying predisposition to AF.</w:t>
      </w:r>
    </w:p>
    <w:p w:rsidR="00137DE3" w:rsidRDefault="00137DE3" w:rsidP="00137DE3">
      <w:pPr>
        <w:pStyle w:val="a3"/>
        <w:rPr>
          <w:kern w:val="0"/>
        </w:rPr>
      </w:pPr>
      <w:r>
        <w:rPr>
          <w:kern w:val="0"/>
        </w:rPr>
        <w:t>Keywords: Af, Analyses, Analysis, Association, Atrial Fibrillation, Availability, Bias, Biomarker, BNP, Brain, Brain Natriuretic Peptide, Confidence, Databases, Determinants, Diagnosis, Effects, Ejection Fraction, Evidence, Heart-Failure, Heterogeneity, Interval, Literature, Literature Search, Marker, Meta Analysis, Meta-Analysis, Metaanalysis, Methods, Models, N-Terminal Pro-Brain Natriuretic Peptide, Nt-Probnp, Observational, Observational Studies, Patients, Plasma, Potential, Prevalence, Publication, Pubmed, Results, Sample Size, Science, Sensitivity, Small, Software, Sources, Strength, Web Of Science, Wos</w:t>
      </w:r>
    </w:p>
    <w:p w:rsidR="000B686F" w:rsidRDefault="000B686F" w:rsidP="000B686F">
      <w:pPr>
        <w:pStyle w:val="a3"/>
        <w:rPr>
          <w:kern w:val="0"/>
        </w:rPr>
      </w:pPr>
      <w:r>
        <w:rPr>
          <w:rFonts w:hint="eastAsia"/>
          <w:kern w:val="0"/>
        </w:rPr>
        <w:t xml:space="preserve">? </w:t>
      </w:r>
      <w:r>
        <w:rPr>
          <w:kern w:val="0"/>
        </w:rPr>
        <w:t xml:space="preserve">Xia, J.Y., Shi, L.Y., Zhao, L.F. and Xu, F. (2014), Impact of vitamin D supplementation on the outcome of tuberculosis treatment: A systematic review and meta-analysis of randomized controlled trials. </w:t>
      </w:r>
      <w:r>
        <w:rPr>
          <w:i/>
          <w:iCs/>
          <w:kern w:val="0"/>
        </w:rPr>
        <w:t>Chinese Medical Journal</w:t>
      </w:r>
      <w:r>
        <w:rPr>
          <w:kern w:val="0"/>
        </w:rPr>
        <w:t xml:space="preserve">, </w:t>
      </w:r>
      <w:r>
        <w:rPr>
          <w:b/>
          <w:bCs/>
          <w:kern w:val="0"/>
        </w:rPr>
        <w:t>127</w:t>
      </w:r>
      <w:r>
        <w:rPr>
          <w:kern w:val="0"/>
        </w:rPr>
        <w:t xml:space="preserve"> (17), 3127-3134.</w:t>
      </w:r>
    </w:p>
    <w:p w:rsidR="000B686F" w:rsidRPr="00C73C58" w:rsidRDefault="000B686F" w:rsidP="000B686F">
      <w:pPr>
        <w:pStyle w:val="a3"/>
      </w:pPr>
      <w:r w:rsidRPr="00C73C58">
        <w:lastRenderedPageBreak/>
        <w:t xml:space="preserve">Full Text: </w:t>
      </w:r>
      <w:r w:rsidRPr="00D418BC">
        <w:t>201</w:t>
      </w:r>
      <w:r>
        <w:t>4</w:t>
      </w:r>
      <w:r w:rsidRPr="00D418BC">
        <w:t>\Chi Med J12</w:t>
      </w:r>
      <w:r>
        <w:t>7</w:t>
      </w:r>
      <w:r w:rsidRPr="00D418BC">
        <w:t xml:space="preserve">, </w:t>
      </w:r>
      <w:r>
        <w:rPr>
          <w:kern w:val="0"/>
        </w:rPr>
        <w:t>3127</w:t>
      </w:r>
      <w:r w:rsidRPr="00D418BC">
        <w:t>.pdf</w:t>
      </w:r>
    </w:p>
    <w:p w:rsidR="000B686F" w:rsidRDefault="000B686F" w:rsidP="000B686F">
      <w:pPr>
        <w:pStyle w:val="a3"/>
        <w:rPr>
          <w:kern w:val="0"/>
        </w:rPr>
      </w:pPr>
      <w:r>
        <w:rPr>
          <w:kern w:val="0"/>
        </w:rPr>
        <w:t>Abstract: Background Vitamin D supplementation is believed to be beneficial in the treatment of patients with tuberculosis (TB), however, results from clinical trials have been inconclusive. Methods We performed a systematic literature search across MEDLINE, EMBASE, the Cochrane Central Register of Controlled Trials, Springer, EBSCO, Pro Quest, High Wire Press, and Web of Science, published as of December 2013. We individually inspected citations and extracted data independently. We estimated pooled risk ratios (RR) and 95% confidence intervals (CI) using random-effect models. We also assessed risk of bias using the Jadad scale and the quality of the evidence using GRADE. We included all randomized controlled trials comparing vitamin D with or without standard TB therapy or placebo. Results A total of five studies were analyzed in our meta analysis covering 841 newly-diagnosed TB cases. Patients receiving vitamin D supplementation had a 39% reduced risk of sputum smear or culture positive after six weeks of anti-TB treatment than those in the control group, although this is not statistically significant (pooled RR 0.61, 95% CI 0.24 to 1.56, P=0.30). Apart from an increased serum vitamin D level in the supplement group after eight weeks of treatment there was no evidence of any additional adverse effects related to vitamin D. Conclusions The meta analysis results indicate that vitamin D supplementation does not seem to have any beneficial effect in the treatment of TB. Future rigorous randomized controlled trials are needed to explore whether the supplementation of vitamin D could shorten treatment duration and to confirm whether the polymorphisms of vitamin D receptor have any potentially beneficial effect.</w:t>
      </w:r>
    </w:p>
    <w:p w:rsidR="000B686F" w:rsidRDefault="000B686F" w:rsidP="000B686F">
      <w:pPr>
        <w:pStyle w:val="a3"/>
        <w:rPr>
          <w:kern w:val="0"/>
        </w:rPr>
      </w:pPr>
      <w:r>
        <w:rPr>
          <w:kern w:val="0"/>
        </w:rPr>
        <w:t>Keywords: Adverse Effects, Analysis, Bias, Citations, Clinical, Clinical Trials, Confidence, Confidence Intervals, Control, Culture, Data, Double-Blind, Duration, Effects, Embase, Evidence, From, Grade, Impact, Intervals, Literature, Literature Search, Medline, Meta Analysis, Meta-Analysis, Metaanalysis, Methods, Models, Mycobacterium-Tuberculosis, Outcome, Patients, Placebo, Polymorphisms, Pulmonary Tuberculosis, Quality, Quality Of, Randomized, Randomized Controlled Trials, Results, Review, Risk, Scale, Science, Seasonality, Serum, Springer, Sputum, Standard, Systematic, Systematic Literature Search, Systematic Review, Tb, Therapy, Treatment, Tuberculosis, Vitamin, Vitamin D, Vitamin D Supplementation, Web Of Science</w:t>
      </w:r>
    </w:p>
    <w:p w:rsidR="000B686F" w:rsidRDefault="000B686F" w:rsidP="000B686F">
      <w:pPr>
        <w:pStyle w:val="a3"/>
        <w:rPr>
          <w:kern w:val="0"/>
        </w:rPr>
      </w:pPr>
      <w:r>
        <w:rPr>
          <w:rFonts w:hint="eastAsia"/>
          <w:kern w:val="0"/>
        </w:rPr>
        <w:t xml:space="preserve">? </w:t>
      </w:r>
      <w:r>
        <w:rPr>
          <w:kern w:val="0"/>
        </w:rPr>
        <w:t xml:space="preserve">Yang, H.T., Tan, Q. and Zhao, H. (2014), Progress in various crosslinking modification for acellular matrix. </w:t>
      </w:r>
      <w:r>
        <w:rPr>
          <w:i/>
          <w:iCs/>
          <w:kern w:val="0"/>
        </w:rPr>
        <w:t>Chinese Medical Journal</w:t>
      </w:r>
      <w:r>
        <w:rPr>
          <w:kern w:val="0"/>
        </w:rPr>
        <w:t xml:space="preserve">, </w:t>
      </w:r>
      <w:r>
        <w:rPr>
          <w:b/>
          <w:bCs/>
          <w:kern w:val="0"/>
        </w:rPr>
        <w:t>127</w:t>
      </w:r>
      <w:r>
        <w:rPr>
          <w:kern w:val="0"/>
        </w:rPr>
        <w:t xml:space="preserve"> (17), 3156-3164.</w:t>
      </w:r>
    </w:p>
    <w:p w:rsidR="000B686F" w:rsidRPr="00C73C58" w:rsidRDefault="000B686F" w:rsidP="000B686F">
      <w:pPr>
        <w:pStyle w:val="a3"/>
      </w:pPr>
      <w:r w:rsidRPr="00C73C58">
        <w:t xml:space="preserve">Full Text: </w:t>
      </w:r>
      <w:r w:rsidRPr="00D418BC">
        <w:t>201</w:t>
      </w:r>
      <w:r>
        <w:t>4</w:t>
      </w:r>
      <w:r w:rsidRPr="00D418BC">
        <w:t>\Chi Med J12</w:t>
      </w:r>
      <w:r>
        <w:t>7</w:t>
      </w:r>
      <w:r w:rsidRPr="00D418BC">
        <w:t xml:space="preserve">, </w:t>
      </w:r>
      <w:r>
        <w:rPr>
          <w:kern w:val="0"/>
        </w:rPr>
        <w:t>3156</w:t>
      </w:r>
      <w:r w:rsidRPr="00D418BC">
        <w:t>.pdf</w:t>
      </w:r>
    </w:p>
    <w:p w:rsidR="000B686F" w:rsidRDefault="000B686F" w:rsidP="000B686F">
      <w:pPr>
        <w:pStyle w:val="a3"/>
        <w:rPr>
          <w:kern w:val="0"/>
        </w:rPr>
      </w:pPr>
      <w:r>
        <w:rPr>
          <w:kern w:val="0"/>
        </w:rPr>
        <w:t xml:space="preserve">Abstract: Objective To review the current crosslinking strategies for acelluar matrix scaffold, laying the foundation for subsequent experiment. Data sources Data were mainly obtained from recent papers published in PubMed or indexed by Web of </w:t>
      </w:r>
      <w:r>
        <w:rPr>
          <w:kern w:val="0"/>
        </w:rPr>
        <w:lastRenderedPageBreak/>
        <w:t>Science, with keyword like crosslinking. Results Various crosslinking strategies, including chemical, physical and biological methods, have been introduced to facilitate the performance of fresh acellular matrix. Chemical crosslinking reagents, involved in synthetic and naturally derived agents, need to be eliminated before implantation in case of their potential biotoxicity, although several crosslinking agents with less toxicity and specific characteristics have been developed. Physical crosslinking methods present to be safe, additive-free and relatively controllable for rapid surface functionalization with no consideration of remaining radioactivity. Biological crosslinking strategies have attracted great interest, and have been demonstrated to enhance collagen-based crosslinking since their preparations do not need toxic or potentially biologically contaminated substances and can be carried out under physiological conditions. Conclusions Kinds of crosslinking methods with its potential advantages have been developed to modify raw acelluar matrix, of which the performance are promising after being crosslinked by several crosslinking treatments. Further preclinical and clinical evaluations should be taken to vertify their safety and efficacy for the tissues and organs substitutes in tissue and regenerative medicine.</w:t>
      </w:r>
    </w:p>
    <w:p w:rsidR="000B686F" w:rsidRDefault="000B686F" w:rsidP="000B686F">
      <w:pPr>
        <w:pStyle w:val="a3"/>
        <w:rPr>
          <w:kern w:val="0"/>
        </w:rPr>
      </w:pPr>
      <w:r>
        <w:rPr>
          <w:kern w:val="0"/>
        </w:rPr>
        <w:t>Keywords: Acellular Dermis, Alginate Dialdehyde, Biocompatible Materials, Biological, Biological Tissue, Biomedical Applications, Bovine Pericardium, Characteristics, Chemical, Clinical, Cross-Linking Reagents, Crosslinking, Data, Dermal Matrix, Efficacy, Electron-Beam Irradiation, Experiment, From, Implantation, In-Vitro Evaluation, Linked Collagen, Matrix, Medicine, Mesenchymal Stem-Cells, Methods, Modification, Papers, Performance, Physical, Potential, Pubmed, Radioactivity, Recent, Regenerative Medicine, Results, Review, Safety, Scaffold, Science, Sources, Surface, Tissue Engineering, Tissue Engineering Scaffold, Toxic, Toxicity, Web Of Science</w:t>
      </w:r>
    </w:p>
    <w:p w:rsidR="00954395" w:rsidRDefault="00954395" w:rsidP="00954395">
      <w:pPr>
        <w:pStyle w:val="a3"/>
        <w:rPr>
          <w:kern w:val="0"/>
        </w:rPr>
      </w:pPr>
      <w:r>
        <w:rPr>
          <w:rFonts w:hint="eastAsia"/>
          <w:kern w:val="0"/>
        </w:rPr>
        <w:t xml:space="preserve">? </w:t>
      </w:r>
      <w:r>
        <w:rPr>
          <w:kern w:val="0"/>
        </w:rPr>
        <w:t xml:space="preserve">Xu, Y., Hu, D.M., Zhu, Q. and Sun, Y.W. (2014), Performance of K-ras mutation analysis plus endoscopic ultrasound-guided fine-needle aspiration for differentiating diagnosis of pancreatic solid mass: A meta-analysis. </w:t>
      </w:r>
      <w:r>
        <w:rPr>
          <w:i/>
          <w:iCs/>
          <w:kern w:val="0"/>
        </w:rPr>
        <w:t>Chinese Medical Journal</w:t>
      </w:r>
      <w:r>
        <w:rPr>
          <w:kern w:val="0"/>
        </w:rPr>
        <w:t xml:space="preserve">, </w:t>
      </w:r>
      <w:r>
        <w:rPr>
          <w:b/>
          <w:bCs/>
          <w:kern w:val="0"/>
        </w:rPr>
        <w:t>127</w:t>
      </w:r>
      <w:r>
        <w:rPr>
          <w:kern w:val="0"/>
        </w:rPr>
        <w:t xml:space="preserve"> (18), 3296-3301.</w:t>
      </w:r>
    </w:p>
    <w:p w:rsidR="00954395" w:rsidRPr="00C73C58" w:rsidRDefault="00954395" w:rsidP="00954395">
      <w:pPr>
        <w:pStyle w:val="a3"/>
      </w:pPr>
      <w:r w:rsidRPr="00C73C58">
        <w:t xml:space="preserve">Full Text: </w:t>
      </w:r>
      <w:r w:rsidRPr="00D418BC">
        <w:t>201</w:t>
      </w:r>
      <w:r>
        <w:t>4</w:t>
      </w:r>
      <w:r w:rsidRPr="00D418BC">
        <w:t>\Chi Med J12</w:t>
      </w:r>
      <w:r>
        <w:t>7</w:t>
      </w:r>
      <w:r w:rsidRPr="00D418BC">
        <w:t xml:space="preserve">, </w:t>
      </w:r>
      <w:r>
        <w:rPr>
          <w:kern w:val="0"/>
        </w:rPr>
        <w:t>3296</w:t>
      </w:r>
      <w:r w:rsidRPr="00D418BC">
        <w:t>.pdf</w:t>
      </w:r>
    </w:p>
    <w:p w:rsidR="00954395" w:rsidRDefault="00954395" w:rsidP="00954395">
      <w:pPr>
        <w:pStyle w:val="a3"/>
        <w:rPr>
          <w:kern w:val="0"/>
        </w:rPr>
      </w:pPr>
      <w:r>
        <w:rPr>
          <w:kern w:val="0"/>
        </w:rPr>
        <w:t xml:space="preserve">Abstract: Background Difficulties persist in differentiating pancreatic ductal adenocarcinomas (PDAC) from pancreatic inflammatory masses (PIM). Auxiliary diagnostic techniques which enhance the endoscopic ultrasound-guided fine-needle aspiration (EUS-FNA) diagnostic yield have been attempted, for example, K-ras mutation analysis. We aimed to evaluate the accuracy of K-ras mutation analysis combined with EUS-FNA for the differential diagnosis of PDAC and PIM by pooling data of existing trials. Methods We systematically searched the Medline, PubMed, Web of Science, Embase, and Cochrane Central Trials databases for </w:t>
      </w:r>
      <w:r>
        <w:rPr>
          <w:kern w:val="0"/>
        </w:rPr>
        <w:lastRenderedPageBreak/>
        <w:t>relevant published studies. Meta-analysis was performed. Pooling was conducted in fixed-effect model or random-effect model. Results In total eight studies, with 696 cases of PDAC and 138 cases of PIM, met our inclusion criteria. The pooled sensitivity, specificity, positive likely ratio and negative likely ratio of K-ras mutation analysis combined with cytopathology for diagnosis of PDAC versus PIM were 90%, 95%, 13.45, and 0.13, respectively. Especially, among total 123 patients whose EUS-FNA results were in conclusive or negative, fifty-nine had K-ras mutations and were finally diagnosed with PDAC (48%, 59/123). Publication bias was not present. Conclusions Combining K-ras mutation analysis with routine cytology moderately improves the ability of EUS-FNA to differentially diagnose between PDAC and PIM, especially for patients with suspected PDAC yet inconclusive EUS-FNA findings, and may prove to be a valuable supplemental method to EUS-FNA.</w:t>
      </w:r>
    </w:p>
    <w:p w:rsidR="00954395" w:rsidRDefault="00954395" w:rsidP="00954395">
      <w:pPr>
        <w:pStyle w:val="a3"/>
        <w:rPr>
          <w:kern w:val="0"/>
        </w:rPr>
      </w:pPr>
      <w:r>
        <w:rPr>
          <w:kern w:val="0"/>
        </w:rPr>
        <w:t>Keywords: Accuracy, Adenocarcinoma, Analysis, Aspiration, Attempted, Bias, Biopsy, Cancer, Carcinoma, Clinical Utility, Criteria, Cytology, Data, Databases, Diagnosis, Diagnostic, Differential Diagnosis, Endoscopic Ultrasonography, Eus-Fna, Fna, From, Gene Mutation, Guidance, Heterogeneity, K-Ras Mutation Analysis, Medline, Meta Analysis, Meta-Analysis, Metaanalysis, Methods, Model, Mutation, Mutations, Pancreatic Ductal Adenocarcinoma, Patients, Performance, Publication, Publication Bias, Pubmed, Results, Roc Curve, Science, Sensitivity, Specificity, Techniques, Web Of Science</w:t>
      </w:r>
    </w:p>
    <w:p w:rsidR="0056127E" w:rsidRDefault="0056127E" w:rsidP="0056127E">
      <w:pPr>
        <w:pStyle w:val="a3"/>
        <w:rPr>
          <w:kern w:val="0"/>
        </w:rPr>
      </w:pPr>
      <w:r>
        <w:rPr>
          <w:rFonts w:hint="eastAsia"/>
          <w:kern w:val="0"/>
        </w:rPr>
        <w:t xml:space="preserve">? </w:t>
      </w:r>
      <w:r>
        <w:rPr>
          <w:kern w:val="0"/>
        </w:rPr>
        <w:t xml:space="preserve">Wei, J.B., Chen, L. and Zhu, X.D. (2014), Tea drinking and risk of pancreatic cancer. </w:t>
      </w:r>
      <w:r>
        <w:rPr>
          <w:i/>
          <w:iCs/>
          <w:kern w:val="0"/>
        </w:rPr>
        <w:t>Chinese Medical Journal</w:t>
      </w:r>
      <w:r>
        <w:rPr>
          <w:kern w:val="0"/>
        </w:rPr>
        <w:t xml:space="preserve">, </w:t>
      </w:r>
      <w:r>
        <w:rPr>
          <w:b/>
          <w:bCs/>
          <w:kern w:val="0"/>
        </w:rPr>
        <w:t>127</w:t>
      </w:r>
      <w:r>
        <w:rPr>
          <w:kern w:val="0"/>
        </w:rPr>
        <w:t xml:space="preserve"> (20), 3638-3644.</w:t>
      </w:r>
    </w:p>
    <w:p w:rsidR="0056127E" w:rsidRPr="00C73C58" w:rsidRDefault="0056127E" w:rsidP="0056127E">
      <w:pPr>
        <w:pStyle w:val="a3"/>
      </w:pPr>
      <w:r w:rsidRPr="00C73C58">
        <w:t xml:space="preserve">Full Text: </w:t>
      </w:r>
      <w:r w:rsidRPr="00D418BC">
        <w:t>201</w:t>
      </w:r>
      <w:r>
        <w:t>4</w:t>
      </w:r>
      <w:r w:rsidRPr="00D418BC">
        <w:t>\Chi Med J12</w:t>
      </w:r>
      <w:r>
        <w:t>7</w:t>
      </w:r>
      <w:r w:rsidRPr="00D418BC">
        <w:t xml:space="preserve">, </w:t>
      </w:r>
      <w:r>
        <w:rPr>
          <w:kern w:val="0"/>
        </w:rPr>
        <w:t>3638</w:t>
      </w:r>
      <w:r w:rsidRPr="00D418BC">
        <w:t>.pdf</w:t>
      </w:r>
    </w:p>
    <w:p w:rsidR="0056127E" w:rsidRDefault="0056127E" w:rsidP="0056127E">
      <w:pPr>
        <w:pStyle w:val="a3"/>
        <w:rPr>
          <w:kern w:val="0"/>
        </w:rPr>
      </w:pPr>
      <w:r>
        <w:rPr>
          <w:kern w:val="0"/>
        </w:rPr>
        <w:t xml:space="preserve">Abstract: Background Epidemiologic studies have reported inconsistent results regarding tea consumption and the risk of pancreatic cancer. This study aimed to investigate whether tea consumption is related to the risk of pancreatic cancer. Methods We searched Medline, EMBASE, ISI Web of Science, and the Cochrane library for studies published up to November 2013. We used a meta-analytic approach to estimate overall odds ratio (OR) and 95% confidence interval (CI) for the highest versus the lowest tea consumption categories. Results The summary OR for high versus no/almost never tea drinkers was 1.04 (95% CI: 0.91-1.20), with no significant heterogeneity across studies (P=0.751; I-2=0.0%). The OR was 0.99 (95% CI: 0.77-1.28) in males and 1.01(95% CI: 0.79-1.29) in females. The OR was 1.07 (95% CI: 0.85-1.34) in Asian studies, 1.05 (95% CI: 0.84-1.31) in European studies, and 0.98 (95% CI: 0.72-1.34) in the US studies. The OR was 0.87 (95% CI: 0.69-1.10) without adjustment for a history of diabetes and 1.16 (95% CI: 0.97-0.39) after adjustment for a history of diabetes. The OR was 0.90 (95% CI: 0.72-1.12) without adjustment for alcohol drinking and 1.16 (95% CI: 0.96-1.39) after </w:t>
      </w:r>
      <w:r>
        <w:rPr>
          <w:kern w:val="0"/>
        </w:rPr>
        <w:lastRenderedPageBreak/>
        <w:t>adjustment for alcohol drinking. The OR was 0.97 (95% CI: 0.76-1.25) without adjustment for BMI and 1.07 (95% CI: 0.87-1.31) after adjustment for BMI. Conclusion This systematic meta-analysis of cohort studies dose not provide quantitative evidence that tea consumption is appreciably related to the risk of pancreatic cancer, even at high doses.</w:t>
      </w:r>
    </w:p>
    <w:p w:rsidR="0056127E" w:rsidRDefault="0056127E" w:rsidP="0056127E">
      <w:pPr>
        <w:pStyle w:val="a3"/>
        <w:rPr>
          <w:kern w:val="0"/>
        </w:rPr>
      </w:pPr>
      <w:r>
        <w:rPr>
          <w:kern w:val="0"/>
        </w:rPr>
        <w:t>Keywords: Alcohol, Alcohol Drinking, Alcohol-Consumption, Approach, Asian, Bmi, Cancer, Coffee, Cohort, Confidence, Consumption, Diabetes, Diabetes-Mellitus, Embase, Epidemiologic, Evidence, Green Tea, Heterogeneity, History, Interval, ISI, ISI Web Of Science, Male Smokers, Medline, Meta Analysis, Meta-Analysis, Metaanalysis, Methods, Odds Ratio, Pancreatic Cancer, Pooled Analysis, Primary Liver-Cancer, Prospective Cohort, Results, Risk, Science, Systematic, Tea, US, Web, Web Of Science, Womens Health</w:t>
      </w:r>
    </w:p>
    <w:p w:rsidR="0078166C" w:rsidRDefault="0078166C" w:rsidP="0078166C">
      <w:pPr>
        <w:pStyle w:val="a3"/>
        <w:rPr>
          <w:kern w:val="0"/>
        </w:rPr>
      </w:pPr>
      <w:r>
        <w:rPr>
          <w:rFonts w:hint="eastAsia"/>
          <w:kern w:val="0"/>
        </w:rPr>
        <w:t xml:space="preserve">? </w:t>
      </w:r>
      <w:r>
        <w:rPr>
          <w:kern w:val="0"/>
        </w:rPr>
        <w:t xml:space="preserve">Liao, Y., Lu, X.L., Yang, S.T. and Yang, R.Y. (2014), A bibliometric analysis of </w:t>
      </w:r>
      <w:r w:rsidRPr="00531D9E">
        <w:rPr>
          <w:i/>
          <w:kern w:val="0"/>
        </w:rPr>
        <w:t>Chinese Medical Journal</w:t>
      </w:r>
      <w:r>
        <w:rPr>
          <w:kern w:val="0"/>
        </w:rPr>
        <w:t xml:space="preserve"> from 1999 to 2013: Progress of a journal. </w:t>
      </w:r>
      <w:r>
        <w:rPr>
          <w:i/>
          <w:iCs/>
          <w:kern w:val="0"/>
        </w:rPr>
        <w:t>Chinese Medical Journal</w:t>
      </w:r>
      <w:r>
        <w:rPr>
          <w:kern w:val="0"/>
        </w:rPr>
        <w:t xml:space="preserve">, </w:t>
      </w:r>
      <w:r>
        <w:rPr>
          <w:b/>
          <w:bCs/>
          <w:kern w:val="0"/>
        </w:rPr>
        <w:t>127</w:t>
      </w:r>
      <w:r>
        <w:rPr>
          <w:kern w:val="0"/>
        </w:rPr>
        <w:t xml:space="preserve"> (23), 4145-4146</w:t>
      </w:r>
    </w:p>
    <w:p w:rsidR="0078166C" w:rsidRPr="00C73C58" w:rsidRDefault="0078166C" w:rsidP="0078166C">
      <w:pPr>
        <w:pStyle w:val="a3"/>
      </w:pPr>
      <w:r w:rsidRPr="00C73C58">
        <w:t xml:space="preserve">Full Text: </w:t>
      </w:r>
      <w:r w:rsidRPr="00641171">
        <w:t>201</w:t>
      </w:r>
      <w:r>
        <w:rPr>
          <w:rFonts w:hint="eastAsia"/>
        </w:rPr>
        <w:t>4</w:t>
      </w:r>
      <w:r w:rsidRPr="00641171">
        <w:t>\Chi Med J12</w:t>
      </w:r>
      <w:r>
        <w:rPr>
          <w:rFonts w:hint="eastAsia"/>
        </w:rPr>
        <w:t>7</w:t>
      </w:r>
      <w:r w:rsidRPr="00641171">
        <w:t xml:space="preserve">, </w:t>
      </w:r>
      <w:r>
        <w:rPr>
          <w:rFonts w:hint="eastAsia"/>
          <w:kern w:val="0"/>
        </w:rPr>
        <w:t>4145</w:t>
      </w:r>
      <w:r w:rsidRPr="00641171">
        <w:t>.pdf</w:t>
      </w:r>
    </w:p>
    <w:p w:rsidR="0078166C" w:rsidRDefault="0078166C" w:rsidP="0078166C">
      <w:pPr>
        <w:pStyle w:val="a3"/>
        <w:rPr>
          <w:kern w:val="0"/>
        </w:rPr>
      </w:pPr>
      <w:r>
        <w:rPr>
          <w:kern w:val="0"/>
        </w:rPr>
        <w:t>Keywords: Analysis, Bibliometric, Bibliometric Analysis, Chinese, Chinese Medical Journal, From, Journal, Medical, Progress</w:t>
      </w:r>
    </w:p>
    <w:p w:rsidR="003474F2" w:rsidRPr="001A3D2B" w:rsidRDefault="003474F2" w:rsidP="003474F2">
      <w:pPr>
        <w:pStyle w:val="1"/>
      </w:pPr>
      <w:r w:rsidRPr="001A3D2B">
        <w:br w:type="page"/>
      </w:r>
      <w:bookmarkStart w:id="219" w:name="_Toc420814988"/>
      <w:r w:rsidRPr="001A3D2B">
        <w:lastRenderedPageBreak/>
        <w:t>Title: Chinese Science Bulletin</w:t>
      </w:r>
      <w:bookmarkEnd w:id="219"/>
    </w:p>
    <w:p w:rsidR="003474F2" w:rsidRPr="001A3D2B" w:rsidRDefault="003474F2" w:rsidP="003474F2">
      <w:pPr>
        <w:pStyle w:val="12"/>
      </w:pPr>
      <w:r w:rsidRPr="001A3D2B">
        <w:t xml:space="preserve">Full Journal Title: </w:t>
      </w:r>
      <w:r w:rsidR="00DF61FE">
        <w:fldChar w:fldCharType="begin"/>
      </w:r>
      <w:r w:rsidR="00FD158B">
        <w:instrText>HYPERLINK</w:instrText>
      </w:r>
      <w:bookmarkStart w:id="220" w:name="_Toc490687825"/>
      <w:bookmarkStart w:id="221" w:name="_Toc492779449"/>
      <w:bookmarkStart w:id="222" w:name="_Toc74870983"/>
      <w:bookmarkStart w:id="223" w:name="_Toc81215665"/>
      <w:r w:rsidR="00FD158B">
        <w:instrText xml:space="preserve"> "http://www.scienceinchina.com</w:instrText>
      </w:r>
      <w:bookmarkEnd w:id="220"/>
      <w:bookmarkEnd w:id="221"/>
      <w:bookmarkEnd w:id="222"/>
      <w:bookmarkEnd w:id="223"/>
      <w:r w:rsidR="00FD158B">
        <w:instrText>/csb_en.htm"</w:instrText>
      </w:r>
      <w:r w:rsidR="00DF61FE">
        <w:fldChar w:fldCharType="separate"/>
      </w:r>
      <w:r w:rsidRPr="001A3D2B">
        <w:rPr>
          <w:rStyle w:val="a5"/>
        </w:rPr>
        <w:t>Chinese Science Bulletin</w:t>
      </w:r>
      <w:r w:rsidR="00DF61FE">
        <w:fldChar w:fldCharType="end"/>
      </w:r>
      <w:r w:rsidRPr="001A3D2B">
        <w:t xml:space="preserve">; </w:t>
      </w:r>
      <w:hyperlink r:id="rId266" w:history="1">
        <w:r w:rsidRPr="001A3D2B">
          <w:rPr>
            <w:rStyle w:val="a5"/>
          </w:rPr>
          <w:t>Chinese Science Bulletin</w:t>
        </w:r>
      </w:hyperlink>
    </w:p>
    <w:p w:rsidR="003474F2" w:rsidRPr="001A3D2B" w:rsidRDefault="003474F2" w:rsidP="003474F2">
      <w:pPr>
        <w:pStyle w:val="12"/>
      </w:pPr>
      <w:r w:rsidRPr="001A3D2B">
        <w:t>ISO Abbreviated Title: Chin. Sci. Bull.</w:t>
      </w:r>
    </w:p>
    <w:p w:rsidR="003474F2" w:rsidRPr="001A3D2B" w:rsidRDefault="003474F2" w:rsidP="003474F2">
      <w:pPr>
        <w:pStyle w:val="12"/>
      </w:pPr>
      <w:r w:rsidRPr="001A3D2B">
        <w:t>JCR Abbreviated Title: Chinese Sci Bull</w:t>
      </w:r>
    </w:p>
    <w:p w:rsidR="003474F2" w:rsidRPr="001A3D2B" w:rsidRDefault="003474F2" w:rsidP="003474F2">
      <w:pPr>
        <w:pStyle w:val="12"/>
      </w:pPr>
      <w:r w:rsidRPr="001A3D2B">
        <w:t>ISSN: 1001-6538</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 xml:space="preserve">Peoples R </w:t>
      </w:r>
      <w:smartTag w:uri="urn:schemas-microsoft-com:office:smarttags" w:element="place">
        <w:smartTag w:uri="urn:schemas-microsoft-com:office:smarttags" w:element="country-region">
          <w:r w:rsidR="003474F2" w:rsidRPr="001A3D2B">
            <w:t>China</w:t>
          </w:r>
        </w:smartTag>
      </w:smartTag>
    </w:p>
    <w:p w:rsidR="003474F2" w:rsidRPr="001A3D2B" w:rsidRDefault="003474F2" w:rsidP="003474F2">
      <w:pPr>
        <w:pStyle w:val="12"/>
      </w:pPr>
      <w:r w:rsidRPr="001A3D2B">
        <w:t>Language: English</w:t>
      </w:r>
    </w:p>
    <w:p w:rsidR="003474F2" w:rsidRPr="001A3D2B" w:rsidRDefault="003474F2" w:rsidP="003474F2">
      <w:pPr>
        <w:pStyle w:val="12"/>
      </w:pPr>
      <w:r w:rsidRPr="001A3D2B">
        <w:t>Publisher: Science Press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16 Donghuangchenggen North St</w:t>
          </w:r>
        </w:smartTag>
        <w:r w:rsidRPr="001A3D2B">
          <w:t xml:space="preserve">, </w:t>
        </w:r>
        <w:smartTag w:uri="urn:schemas-microsoft-com:office:smarttags" w:element="City">
          <w:r w:rsidRPr="001A3D2B">
            <w:t>Beijing</w:t>
          </w:r>
        </w:smartTag>
      </w:smartTag>
      <w:r w:rsidRPr="001A3D2B">
        <w:t xml:space="preserve"> 100717, Peoples R </w:t>
      </w:r>
      <w:smartTag w:uri="urn:schemas-microsoft-com:office:smarttags" w:element="place">
        <w:smartTag w:uri="urn:schemas-microsoft-com:office:smarttags" w:element="country-region">
          <w:r w:rsidRPr="001A3D2B">
            <w:t>China</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Multidisciplinary Sciences: Impact Factor 0.593 18/46 (2003)</w:t>
      </w:r>
    </w:p>
    <w:p w:rsidR="003474F2" w:rsidRPr="001A3D2B" w:rsidRDefault="003474F2" w:rsidP="003474F2">
      <w:pPr>
        <w:pStyle w:val="a3"/>
      </w:pPr>
      <w:r w:rsidRPr="001A3D2B">
        <w:t>Ingwersen, P., Larsen, B., Rousseau, R.</w:t>
      </w:r>
      <w:r w:rsidR="005853A9">
        <w:t xml:space="preserve"> and </w:t>
      </w:r>
      <w:r w:rsidRPr="001A3D2B">
        <w:t>Russell, J. (2001</w:t>
      </w:r>
      <w:r w:rsidR="00F42EAC">
        <w:t>), The</w:t>
      </w:r>
      <w:r w:rsidR="003A1917">
        <w:t xml:space="preserve"> </w:t>
      </w:r>
      <w:r w:rsidRPr="001A3D2B">
        <w:t>publication-citation matrix</w:t>
      </w:r>
      <w:r w:rsidR="005853A9">
        <w:t xml:space="preserve"> and </w:t>
      </w:r>
      <w:r w:rsidRPr="001A3D2B">
        <w:t xml:space="preserve">its derived quantities. </w:t>
      </w:r>
      <w:r w:rsidRPr="001A3D2B">
        <w:rPr>
          <w:i/>
          <w:iCs/>
        </w:rPr>
        <w:t>Chinese Science Bulletin</w:t>
      </w:r>
      <w:r w:rsidRPr="001A3D2B">
        <w:t xml:space="preserve">, </w:t>
      </w:r>
      <w:r w:rsidRPr="001A3D2B">
        <w:rPr>
          <w:b/>
          <w:bCs/>
        </w:rPr>
        <w:t>46</w:t>
      </w:r>
      <w:r w:rsidRPr="001A3D2B">
        <w:t xml:space="preserve"> (6), 524-528.</w:t>
      </w:r>
    </w:p>
    <w:p w:rsidR="003474F2" w:rsidRPr="001A3D2B" w:rsidRDefault="003474F2" w:rsidP="003474F2">
      <w:pPr>
        <w:pStyle w:val="a3"/>
      </w:pPr>
      <w:r w:rsidRPr="001A3D2B">
        <w:t xml:space="preserve">Full Text: </w:t>
      </w:r>
      <w:r w:rsidR="00DF61FE" w:rsidRPr="001A3D2B">
        <w:fldChar w:fldCharType="begin"/>
      </w:r>
      <w:r w:rsidR="00695295">
        <w:instrText>HYPERLINK "C:</w:instrText>
      </w:r>
      <w:r w:rsidR="00E83E65">
        <w:instrText>/</w:instrText>
      </w:r>
      <w:r w:rsidR="00695295">
        <w:instrText>Users</w:instrText>
      </w:r>
      <w:r w:rsidR="00E83E65">
        <w:instrText>/</w:instrText>
      </w:r>
      <w:r w:rsidR="00695295">
        <w:instrText>YSHo</w:instrText>
      </w:r>
      <w:r w:rsidR="00E83E65">
        <w:instrText>/</w:instrText>
      </w:r>
      <w:r w:rsidR="00695295">
        <w:instrText>AppData</w:instrText>
      </w:r>
      <w:r w:rsidR="00E83E65">
        <w:instrText>/</w:instrText>
      </w:r>
      <w:r w:rsidR="00695295">
        <w:instrText>Roaming</w:instrText>
      </w:r>
      <w:r w:rsidR="00E83E65">
        <w:instrText>/</w:instrText>
      </w:r>
      <w:r w:rsidR="00695295">
        <w:instrText>Microsoft</w:instrText>
      </w:r>
      <w:r w:rsidR="00E83E65">
        <w:instrText>/</w:instrText>
      </w:r>
      <w:r w:rsidR="00695295">
        <w:instrText>Word</w:instrText>
      </w:r>
      <w:r w:rsidR="00E83E65">
        <w:instrText>/</w:instrText>
      </w:r>
      <w:r w:rsidR="00695295">
        <w:instrText>2001</w:instrText>
      </w:r>
      <w:r w:rsidR="00E83E65">
        <w:instrText>/</w:instrText>
      </w:r>
      <w:bookmarkStart w:id="224" w:name="OLE_LINK10"/>
      <w:r w:rsidR="00695295">
        <w:instrText>Chi Sci Bul46, 524.pdf"</w:instrText>
      </w:r>
      <w:r w:rsidR="00DF61FE" w:rsidRPr="001A3D2B">
        <w:fldChar w:fldCharType="separate"/>
      </w:r>
      <w:r w:rsidRPr="001A3D2B">
        <w:rPr>
          <w:rStyle w:val="a5"/>
        </w:rPr>
        <w:t>2001\Chi Sci Bul46, 524.pdf</w:t>
      </w:r>
      <w:r w:rsidR="00DF61FE" w:rsidRPr="001A3D2B">
        <w:fldChar w:fldCharType="end"/>
      </w:r>
    </w:p>
    <w:p w:rsidR="003474F2" w:rsidRPr="001A3D2B" w:rsidRDefault="003474F2" w:rsidP="003474F2">
      <w:pPr>
        <w:pStyle w:val="a3"/>
      </w:pPr>
      <w:r w:rsidRPr="001A3D2B">
        <w:t>Abstract: We give an overview</w:t>
      </w:r>
      <w:r w:rsidR="00427468">
        <w:t xml:space="preserve"> of </w:t>
      </w:r>
      <w:r w:rsidR="003A1917">
        <w:t xml:space="preserve">the </w:t>
      </w:r>
      <w:r w:rsidRPr="001A3D2B">
        <w:t>main data</w:t>
      </w:r>
      <w:r w:rsidR="00427468">
        <w:t xml:space="preserve"> of </w:t>
      </w:r>
      <w:r w:rsidRPr="001A3D2B">
        <w:t>a publicati</w:t>
      </w:r>
      <w:bookmarkEnd w:id="224"/>
      <w:r w:rsidRPr="001A3D2B">
        <w:t>on-citation matrix. We show how impact factors are defined, and, in particular, point out</w:t>
      </w:r>
      <w:r w:rsidR="003A1917">
        <w:t xml:space="preserve"> the </w:t>
      </w:r>
      <w:r w:rsidRPr="001A3D2B">
        <w:t>difference between</w:t>
      </w:r>
      <w:r w:rsidR="003A1917">
        <w:t xml:space="preserve"> the </w:t>
      </w:r>
      <w:r w:rsidRPr="001A3D2B">
        <w:t>synchronous</w:t>
      </w:r>
      <w:r w:rsidR="005853A9">
        <w:t xml:space="preserve"> and </w:t>
      </w:r>
      <w:r w:rsidR="003A1917">
        <w:t xml:space="preserve">the </w:t>
      </w:r>
      <w:r w:rsidRPr="001A3D2B">
        <w:t>diachronous impact factor</w:t>
      </w:r>
      <w:r w:rsidR="00A37C1D">
        <w:t>. The</w:t>
      </w:r>
      <w:r w:rsidR="003A1917">
        <w:t xml:space="preserve"> </w:t>
      </w:r>
      <w:r w:rsidRPr="001A3D2B">
        <w:t>advantages</w:t>
      </w:r>
      <w:r w:rsidR="005853A9">
        <w:t xml:space="preserve"> and </w:t>
      </w:r>
      <w:r w:rsidRPr="001A3D2B">
        <w:t>disadvantages</w:t>
      </w:r>
      <w:r w:rsidR="00427468">
        <w:t xml:space="preserve"> of </w:t>
      </w:r>
      <w:r w:rsidRPr="001A3D2B">
        <w:t>using both as tools in research evaluation are discussed.</w:t>
      </w:r>
    </w:p>
    <w:p w:rsidR="003474F2" w:rsidRPr="001A3D2B" w:rsidRDefault="003474F2" w:rsidP="003474F2">
      <w:pPr>
        <w:pStyle w:val="a3"/>
      </w:pPr>
      <w:r w:rsidRPr="001A3D2B">
        <w:t>Keywords: Research Evaluation, Publication-Citation Matrix, Diachronous Impact Factor, Synchronous Impact Factor, Science, Impact</w:t>
      </w:r>
    </w:p>
    <w:p w:rsidR="007C07F7" w:rsidRDefault="007C07F7" w:rsidP="0031685C">
      <w:pPr>
        <w:pStyle w:val="a3"/>
        <w:rPr>
          <w:rStyle w:val="a4"/>
        </w:rPr>
      </w:pPr>
      <w:r>
        <w:rPr>
          <w:rStyle w:val="a4"/>
          <w:rFonts w:hint="eastAsia"/>
        </w:rPr>
        <w:t>Notes: highly cited</w:t>
      </w:r>
    </w:p>
    <w:p w:rsidR="003474F2" w:rsidRPr="001A3D2B" w:rsidRDefault="003474F2" w:rsidP="0031685C">
      <w:pPr>
        <w:pStyle w:val="a3"/>
        <w:rPr>
          <w:rStyle w:val="a4"/>
        </w:rPr>
      </w:pPr>
      <w:r w:rsidRPr="001A3D2B">
        <w:rPr>
          <w:rStyle w:val="a4"/>
        </w:rPr>
        <w:t>? Jin, B.H., Liang, L.M., Rousseau, R.</w:t>
      </w:r>
      <w:r w:rsidR="005853A9">
        <w:rPr>
          <w:rStyle w:val="a4"/>
        </w:rPr>
        <w:t xml:space="preserve"> and </w:t>
      </w:r>
      <w:r w:rsidRPr="001A3D2B">
        <w:rPr>
          <w:rStyle w:val="a4"/>
        </w:rPr>
        <w:t>Egghe, L. (2007</w:t>
      </w:r>
      <w:r w:rsidR="00F42EAC">
        <w:rPr>
          <w:rStyle w:val="a4"/>
        </w:rPr>
        <w:t>), The</w:t>
      </w:r>
      <w:r w:rsidR="003A1917">
        <w:rPr>
          <w:rStyle w:val="a4"/>
        </w:rPr>
        <w:t xml:space="preserve"> </w:t>
      </w:r>
      <w:r w:rsidRPr="001A3D2B">
        <w:rPr>
          <w:rStyle w:val="a4"/>
        </w:rPr>
        <w:t>R-</w:t>
      </w:r>
      <w:r w:rsidR="005853A9">
        <w:rPr>
          <w:rStyle w:val="a4"/>
        </w:rPr>
        <w:t xml:space="preserve"> and </w:t>
      </w:r>
      <w:r w:rsidRPr="001A3D2B">
        <w:rPr>
          <w:rStyle w:val="a4"/>
        </w:rPr>
        <w:t>AR-indices: Complementing</w:t>
      </w:r>
      <w:r w:rsidR="003A1917">
        <w:rPr>
          <w:rStyle w:val="a4"/>
        </w:rPr>
        <w:t xml:space="preserve"> the </w:t>
      </w:r>
      <w:r w:rsidR="00D5664A">
        <w:rPr>
          <w:rStyle w:val="a4"/>
        </w:rPr>
        <w:t>h-Index</w:t>
      </w:r>
      <w:r w:rsidRPr="001A3D2B">
        <w:rPr>
          <w:rStyle w:val="a4"/>
        </w:rPr>
        <w:t xml:space="preserve">. </w:t>
      </w:r>
      <w:r w:rsidRPr="0031685C">
        <w:rPr>
          <w:rStyle w:val="a4"/>
          <w:i/>
        </w:rPr>
        <w:t>Chinese Science Bulletin</w:t>
      </w:r>
      <w:r w:rsidRPr="001A3D2B">
        <w:rPr>
          <w:rStyle w:val="a4"/>
        </w:rPr>
        <w:t xml:space="preserve">, </w:t>
      </w:r>
      <w:r w:rsidRPr="0031685C">
        <w:rPr>
          <w:rStyle w:val="a4"/>
          <w:b/>
        </w:rPr>
        <w:t>52</w:t>
      </w:r>
      <w:r w:rsidRPr="001A3D2B">
        <w:rPr>
          <w:rStyle w:val="a4"/>
        </w:rPr>
        <w:t xml:space="preserve"> (6), 855-863.</w:t>
      </w:r>
    </w:p>
    <w:p w:rsidR="003474F2" w:rsidRPr="001A3D2B" w:rsidRDefault="003474F2" w:rsidP="003474F2">
      <w:pPr>
        <w:pStyle w:val="a3"/>
      </w:pPr>
      <w:r w:rsidRPr="001A3D2B">
        <w:t xml:space="preserve">Full Text: </w:t>
      </w:r>
      <w:hyperlink r:id="rId267" w:history="1">
        <w:r w:rsidRPr="001A3D2B">
          <w:rPr>
            <w:rStyle w:val="a5"/>
          </w:rPr>
          <w:t>2007\Chi Sci Bul52, 855.pdf</w:t>
        </w:r>
      </w:hyperlink>
    </w:p>
    <w:p w:rsidR="003474F2" w:rsidRPr="001A3D2B" w:rsidRDefault="003474F2" w:rsidP="003474F2">
      <w:pPr>
        <w:pStyle w:val="a3"/>
      </w:pPr>
      <w:r w:rsidRPr="001A3D2B">
        <w:t>Abstract: Based on</w:t>
      </w:r>
      <w:r w:rsidR="003A1917">
        <w:t xml:space="preserve"> the </w:t>
      </w:r>
      <w:r w:rsidRPr="001A3D2B">
        <w:t>foundation laid by</w:t>
      </w:r>
      <w:r w:rsidR="003A1917">
        <w:t xml:space="preserve"> the </w:t>
      </w:r>
      <w:r w:rsidR="00D5664A">
        <w:t>h-Index</w:t>
      </w:r>
      <w:r w:rsidRPr="001A3D2B">
        <w:t xml:space="preserve"> we introduce</w:t>
      </w:r>
      <w:r w:rsidR="005853A9">
        <w:t xml:space="preserve"> and </w:t>
      </w:r>
      <w:r w:rsidRPr="001A3D2B">
        <w:t>study</w:t>
      </w:r>
      <w:r w:rsidR="003A1917">
        <w:t xml:space="preserve"> the </w:t>
      </w:r>
      <w:r w:rsidRPr="001A3D2B">
        <w:t>R-</w:t>
      </w:r>
      <w:r w:rsidR="005853A9">
        <w:t xml:space="preserve"> and </w:t>
      </w:r>
      <w:r w:rsidRPr="001A3D2B">
        <w:t>AR-indices</w:t>
      </w:r>
      <w:r w:rsidR="00A37C1D">
        <w:t>. The</w:t>
      </w:r>
      <w:r w:rsidRPr="001A3D2B">
        <w:t>se new indices eliminate some</w:t>
      </w:r>
      <w:r w:rsidR="00427468">
        <w:t xml:space="preserve"> of </w:t>
      </w:r>
      <w:r w:rsidR="003A1917">
        <w:t xml:space="preserve">the </w:t>
      </w:r>
      <w:r w:rsidRPr="001A3D2B">
        <w:t>disadvantages</w:t>
      </w:r>
      <w:r w:rsidR="00427468">
        <w:t xml:space="preserve"> of </w:t>
      </w:r>
      <w:r w:rsidR="003A1917">
        <w:t xml:space="preserve">the </w:t>
      </w:r>
      <w:r w:rsidR="00D5664A">
        <w:t>h-Index</w:t>
      </w:r>
      <w:r w:rsidRPr="001A3D2B">
        <w:t>, especially when they are used in combination with</w:t>
      </w:r>
      <w:r w:rsidR="003A1917">
        <w:t xml:space="preserve"> the </w:t>
      </w:r>
      <w:r w:rsidR="00D5664A">
        <w:t>h-Index</w:t>
      </w:r>
      <w:r w:rsidR="00A37C1D">
        <w:t>. The</w:t>
      </w:r>
      <w:r w:rsidR="003A1917">
        <w:t xml:space="preserve"> </w:t>
      </w:r>
      <w:r w:rsidRPr="001A3D2B">
        <w:t>R-index measures</w:t>
      </w:r>
      <w:r w:rsidR="003A1917">
        <w:t xml:space="preserve"> the </w:t>
      </w:r>
      <w:r w:rsidRPr="001A3D2B">
        <w:t>h-core</w:t>
      </w:r>
      <w:r w:rsidR="0071223E">
        <w:t>’</w:t>
      </w:r>
      <w:r w:rsidR="00C13DDC">
        <w:t>s</w:t>
      </w:r>
      <w:r w:rsidRPr="001A3D2B">
        <w:t xml:space="preserve"> citation intensity, while AR goes one step further</w:t>
      </w:r>
      <w:r w:rsidR="005853A9">
        <w:t xml:space="preserve"> and </w:t>
      </w:r>
      <w:r w:rsidRPr="001A3D2B">
        <w:t>takes</w:t>
      </w:r>
      <w:r w:rsidR="003A1917">
        <w:t xml:space="preserve"> the </w:t>
      </w:r>
      <w:r w:rsidRPr="001A3D2B">
        <w:t>age</w:t>
      </w:r>
      <w:r w:rsidR="00427468">
        <w:t xml:space="preserve"> of </w:t>
      </w:r>
      <w:r w:rsidRPr="001A3D2B">
        <w:t>publications into account. This allows for an index that can actually increase</w:t>
      </w:r>
      <w:r w:rsidR="005853A9">
        <w:t xml:space="preserve"> and </w:t>
      </w:r>
      <w:r w:rsidRPr="001A3D2B">
        <w:t>decrease over time. We propose</w:t>
      </w:r>
      <w:r w:rsidR="003A1917">
        <w:t xml:space="preserve"> the </w:t>
      </w:r>
      <w:r w:rsidRPr="001A3D2B">
        <w:t>pair (h, AR) as a meaningful indicator for research evaluation. We further prove a relation characterizing</w:t>
      </w:r>
      <w:r w:rsidR="003A1917">
        <w:t xml:space="preserve"> the </w:t>
      </w:r>
      <w:r w:rsidR="00D5664A">
        <w:t>h-Index</w:t>
      </w:r>
      <w:r w:rsidRPr="001A3D2B">
        <w:t xml:space="preserve"> in</w:t>
      </w:r>
      <w:r w:rsidR="003A1917">
        <w:t xml:space="preserve"> the </w:t>
      </w:r>
      <w:r w:rsidRPr="001A3D2B">
        <w:t>power law model.</w:t>
      </w:r>
    </w:p>
    <w:p w:rsidR="003474F2" w:rsidRPr="001A3D2B" w:rsidRDefault="003474F2" w:rsidP="003474F2">
      <w:pPr>
        <w:pStyle w:val="a3"/>
      </w:pPr>
      <w:r w:rsidRPr="001A3D2B">
        <w:t xml:space="preserve">Keywords: A-Index, Age, AR-Index, Citation, Evaluation, G Index, </w:t>
      </w:r>
      <w:r w:rsidR="00D5664A">
        <w:t>h Index</w:t>
      </w:r>
      <w:r w:rsidRPr="001A3D2B">
        <w:t xml:space="preserve">, </w:t>
      </w:r>
      <w:r w:rsidR="00D5664A">
        <w:t>h-Index</w:t>
      </w:r>
      <w:r w:rsidRPr="001A3D2B">
        <w:t>, Hirsc</w:t>
      </w:r>
      <w:r w:rsidR="00D5664A">
        <w:t>h-Index</w:t>
      </w:r>
      <w:r w:rsidRPr="001A3D2B">
        <w:t>, Indicator, Law, Model, Performance Evaluation, Power Law, Publications, R-Index, Ranking, Research, Research Evaluation, Scientists</w:t>
      </w:r>
    </w:p>
    <w:p w:rsidR="004814D8" w:rsidRDefault="004814D8" w:rsidP="003474F2">
      <w:pPr>
        <w:pStyle w:val="a3"/>
      </w:pPr>
      <w:r>
        <w:rPr>
          <w:rFonts w:hint="eastAsia"/>
        </w:rPr>
        <w:t>Notes: CCountry</w:t>
      </w:r>
    </w:p>
    <w:p w:rsidR="003474F2" w:rsidRPr="001A3D2B" w:rsidRDefault="003474F2" w:rsidP="003474F2">
      <w:pPr>
        <w:pStyle w:val="a3"/>
        <w:rPr>
          <w:rStyle w:val="a4"/>
        </w:rPr>
      </w:pPr>
      <w:r w:rsidRPr="001A3D2B">
        <w:lastRenderedPageBreak/>
        <w:t>? Kostoff, R.N., Barth, R.B.</w:t>
      </w:r>
      <w:r w:rsidR="005853A9">
        <w:t xml:space="preserve"> and </w:t>
      </w:r>
      <w:r w:rsidRPr="001A3D2B">
        <w:t>Lau, C.G.Y. (2008), Quality vs. quantity</w:t>
      </w:r>
      <w:r w:rsidR="00427468">
        <w:t xml:space="preserve"> of </w:t>
      </w:r>
      <w:r w:rsidRPr="001A3D2B">
        <w:t>publications in nanotechnology field from</w:t>
      </w:r>
      <w:r w:rsidR="003A1917">
        <w:t xml:space="preserve"> the </w:t>
      </w:r>
      <w:r w:rsidRPr="001A3D2B">
        <w:t>People</w:t>
      </w:r>
      <w:r w:rsidR="0071223E">
        <w:t>’</w:t>
      </w:r>
      <w:r w:rsidR="00C13DDC">
        <w:t>s</w:t>
      </w:r>
      <w:r w:rsidRPr="001A3D2B">
        <w:t xml:space="preserve"> Republic</w:t>
      </w:r>
      <w:r w:rsidR="00427468">
        <w:t xml:space="preserve"> of </w:t>
      </w:r>
      <w:r w:rsidRPr="001A3D2B">
        <w:t xml:space="preserve">China. </w:t>
      </w:r>
      <w:r w:rsidRPr="001A3D2B">
        <w:rPr>
          <w:i/>
          <w:iCs/>
        </w:rPr>
        <w:t>Chinese Science Bulletin</w:t>
      </w:r>
      <w:r w:rsidRPr="001A3D2B">
        <w:rPr>
          <w:rStyle w:val="a4"/>
        </w:rPr>
        <w:t xml:space="preserve">, </w:t>
      </w:r>
      <w:r w:rsidRPr="001A3D2B">
        <w:rPr>
          <w:b/>
          <w:bCs/>
        </w:rPr>
        <w:t>53</w:t>
      </w:r>
      <w:r w:rsidRPr="001A3D2B">
        <w:rPr>
          <w:rStyle w:val="a4"/>
        </w:rPr>
        <w:t xml:space="preserve"> (8), 1272-1280.</w:t>
      </w:r>
    </w:p>
    <w:p w:rsidR="003474F2" w:rsidRPr="001A3D2B" w:rsidRDefault="003474F2" w:rsidP="003474F2">
      <w:pPr>
        <w:pStyle w:val="a3"/>
      </w:pPr>
      <w:r w:rsidRPr="001A3D2B">
        <w:t xml:space="preserve">Full Text: </w:t>
      </w:r>
      <w:hyperlink r:id="rId268" w:history="1">
        <w:r w:rsidRPr="001A3D2B">
          <w:rPr>
            <w:rStyle w:val="a5"/>
          </w:rPr>
          <w:t>2008\Chi Sci Bul53, 1272.pdf</w:t>
        </w:r>
      </w:hyperlink>
    </w:p>
    <w:p w:rsidR="003474F2" w:rsidRPr="001A3D2B" w:rsidRDefault="003474F2" w:rsidP="003474F2">
      <w:pPr>
        <w:pStyle w:val="a3"/>
      </w:pPr>
      <w:r w:rsidRPr="001A3D2B">
        <w:t>Abstract: This study evaluates trends in quality</w:t>
      </w:r>
      <w:r w:rsidR="00427468">
        <w:t xml:space="preserve"> of </w:t>
      </w:r>
      <w:r w:rsidRPr="001A3D2B">
        <w:t>nanotechnology</w:t>
      </w:r>
      <w:r w:rsidR="005853A9">
        <w:t xml:space="preserve"> and </w:t>
      </w:r>
      <w:r w:rsidRPr="001A3D2B">
        <w:t>nanoscience papers produced by authors from</w:t>
      </w:r>
      <w:r w:rsidR="003A1917">
        <w:t xml:space="preserve"> the </w:t>
      </w:r>
      <w:r w:rsidRPr="001A3D2B">
        <w:t>People</w:t>
      </w:r>
      <w:r w:rsidR="0071223E">
        <w:t>’</w:t>
      </w:r>
      <w:r w:rsidR="00C13DDC">
        <w:t>s</w:t>
      </w:r>
      <w:r w:rsidRPr="001A3D2B">
        <w:t xml:space="preserve"> Republic</w:t>
      </w:r>
      <w:r w:rsidR="00427468">
        <w:t xml:space="preserve"> of </w:t>
      </w:r>
      <w:r w:rsidRPr="001A3D2B">
        <w:t>China (PRC)</w:t>
      </w:r>
      <w:r w:rsidR="00A37C1D">
        <w:t>. The</w:t>
      </w:r>
      <w:r w:rsidR="003A1917">
        <w:t xml:space="preserve"> </w:t>
      </w:r>
      <w:r w:rsidRPr="001A3D2B">
        <w:t>metric used to gauge quality is ratio</w:t>
      </w:r>
      <w:r w:rsidR="00427468">
        <w:t xml:space="preserve"> of </w:t>
      </w:r>
      <w:r w:rsidRPr="001A3D2B">
        <w:t>highly cited nanotechnology papers to total nanotechnology papers produced in sequential time frames</w:t>
      </w:r>
      <w:r w:rsidR="00A37C1D">
        <w:t>. The</w:t>
      </w:r>
      <w:r w:rsidR="003A1917">
        <w:t xml:space="preserve"> </w:t>
      </w:r>
      <w:r w:rsidR="00D5664A">
        <w:t>USA</w:t>
      </w:r>
      <w:r w:rsidRPr="001A3D2B">
        <w:t xml:space="preserve"> is both</w:t>
      </w:r>
      <w:r w:rsidR="003A1917">
        <w:t xml:space="preserve"> the </w:t>
      </w:r>
      <w:r w:rsidRPr="001A3D2B">
        <w:t>most prolific nanotechnology publishing country</w:t>
      </w:r>
      <w:r w:rsidR="005853A9">
        <w:t xml:space="preserve"> and </w:t>
      </w:r>
      <w:r w:rsidRPr="001A3D2B">
        <w:t>most represented country on highly cited nanotechnology papers (both in absolute numbers</w:t>
      </w:r>
      <w:r w:rsidR="00427468">
        <w:t xml:space="preserve"> of </w:t>
      </w:r>
      <w:r w:rsidRPr="001A3D2B">
        <w:t>highly cited papers</w:t>
      </w:r>
      <w:r w:rsidR="005853A9">
        <w:t xml:space="preserve"> and </w:t>
      </w:r>
      <w:r w:rsidRPr="001A3D2B">
        <w:t>highly cited papers relative to total publications) over</w:t>
      </w:r>
      <w:r w:rsidR="003A1917">
        <w:t xml:space="preserve"> the </w:t>
      </w:r>
      <w:r w:rsidRPr="001A3D2B">
        <w:t>1998-2003 time frame, based on</w:t>
      </w:r>
      <w:r w:rsidR="003A1917">
        <w:t xml:space="preserve"> the </w:t>
      </w:r>
      <w:r w:rsidRPr="001A3D2B">
        <w:t>SCI/</w:t>
      </w:r>
      <w:r w:rsidR="00D5664A">
        <w:t>SSCI</w:t>
      </w:r>
      <w:r w:rsidRPr="001A3D2B">
        <w:t xml:space="preserve"> databases. Some</w:t>
      </w:r>
      <w:r w:rsidR="00427468">
        <w:t xml:space="preserve"> of </w:t>
      </w:r>
      <w:r w:rsidR="003A1917">
        <w:t xml:space="preserve">the </w:t>
      </w:r>
      <w:r w:rsidRPr="001A3D2B">
        <w:t>smaller hi-tech countries have relatively high ratios (similar to 2)</w:t>
      </w:r>
      <w:r w:rsidR="00427468">
        <w:t xml:space="preserve"> of </w:t>
      </w:r>
      <w:r w:rsidRPr="001A3D2B">
        <w:t>highly cited papers to total publications (e.g. Denmark, Netherlands, Switzerland). Countries that have exhibited rapid growth in SCI/</w:t>
      </w:r>
      <w:r w:rsidR="00D5664A">
        <w:t>SSCI</w:t>
      </w:r>
      <w:r w:rsidRPr="001A3D2B">
        <w:t xml:space="preserve"> nanotechnology paper production in recent years (e.g. PRC, South Korea) had ratios an order</w:t>
      </w:r>
      <w:r w:rsidR="00427468">
        <w:t xml:space="preserve"> of </w:t>
      </w:r>
      <w:r w:rsidRPr="001A3D2B">
        <w:t>magnitude less than that</w:t>
      </w:r>
      <w:r w:rsidR="00427468">
        <w:t xml:space="preserve"> of </w:t>
      </w:r>
      <w:r w:rsidR="003A1917">
        <w:t xml:space="preserve">the </w:t>
      </w:r>
      <w:r w:rsidR="00D5664A">
        <w:t>USA</w:t>
      </w:r>
      <w:r w:rsidRPr="001A3D2B">
        <w:t xml:space="preserve"> for 1998, but by 2003 had increased to about 20% that</w:t>
      </w:r>
      <w:r w:rsidR="00427468">
        <w:t xml:space="preserve"> of </w:t>
      </w:r>
      <w:r w:rsidR="003A1917">
        <w:t xml:space="preserve">the </w:t>
      </w:r>
      <w:r w:rsidR="00D5664A">
        <w:t>USA</w:t>
      </w:r>
      <w:r w:rsidRPr="001A3D2B">
        <w:t xml:space="preserve"> (similar to 2.5). PRC</w:t>
      </w:r>
      <w:r w:rsidR="005853A9">
        <w:t xml:space="preserve"> and </w:t>
      </w:r>
      <w:r w:rsidRPr="001A3D2B">
        <w:t>South Korea have climbed in</w:t>
      </w:r>
      <w:r w:rsidR="003A1917">
        <w:t xml:space="preserve"> the </w:t>
      </w:r>
      <w:r w:rsidRPr="001A3D2B">
        <w:t>publications rankings from 6th</w:t>
      </w:r>
      <w:r w:rsidR="005853A9">
        <w:t xml:space="preserve"> and </w:t>
      </w:r>
      <w:r w:rsidRPr="001A3D2B">
        <w:t>9th in 1998, respectively, to 2nd</w:t>
      </w:r>
      <w:r w:rsidR="005853A9">
        <w:t xml:space="preserve"> and </w:t>
      </w:r>
      <w:r w:rsidRPr="001A3D2B">
        <w:t>6th in 2005, respectively. PRC</w:t>
      </w:r>
      <w:r w:rsidR="0071223E">
        <w:t>’</w:t>
      </w:r>
      <w:r w:rsidR="00C13DDC">
        <w:t>s</w:t>
      </w:r>
      <w:r w:rsidRPr="001A3D2B">
        <w:t xml:space="preserve"> ratio monotonically increased from 0.16 to 0.45 over</w:t>
      </w:r>
      <w:r w:rsidR="003A1917">
        <w:t xml:space="preserve"> the </w:t>
      </w:r>
      <w:r w:rsidRPr="001A3D2B">
        <w:t>1998-2003 period,</w:t>
      </w:r>
      <w:r w:rsidR="005853A9">
        <w:t xml:space="preserve"> and </w:t>
      </w:r>
      <w:r w:rsidRPr="001A3D2B">
        <w:t>South Korea</w:t>
      </w:r>
      <w:r w:rsidR="0071223E">
        <w:t>’</w:t>
      </w:r>
      <w:r w:rsidR="00C13DDC">
        <w:t>s</w:t>
      </w:r>
      <w:r w:rsidRPr="001A3D2B">
        <w:t xml:space="preserve"> ratio increased from 0.11 to about 0.6 over that same period, indicating their papers are getting more</w:t>
      </w:r>
      <w:r w:rsidR="005853A9">
        <w:t xml:space="preserve"> and </w:t>
      </w:r>
      <w:r w:rsidRPr="001A3D2B">
        <w:t>more citations proportionately. Thus, under rapid growth conditions, PRC</w:t>
      </w:r>
      <w:r w:rsidR="005853A9">
        <w:t xml:space="preserve"> and </w:t>
      </w:r>
      <w:r w:rsidRPr="001A3D2B">
        <w:t>South Korea have been able to increase their share</w:t>
      </w:r>
      <w:r w:rsidR="00427468">
        <w:t xml:space="preserve"> of </w:t>
      </w:r>
      <w:r w:rsidRPr="001A3D2B">
        <w:t>participation in highly cited papers. As</w:t>
      </w:r>
      <w:r w:rsidR="00427468">
        <w:t xml:space="preserve"> of </w:t>
      </w:r>
      <w:r w:rsidRPr="001A3D2B">
        <w:t>2003, PRC</w:t>
      </w:r>
      <w:r w:rsidR="005853A9">
        <w:t xml:space="preserve"> and </w:t>
      </w:r>
      <w:r w:rsidRPr="001A3D2B">
        <w:t>South Korea have ratios comparable to nations like Japan, France, Italy,</w:t>
      </w:r>
      <w:r w:rsidR="005853A9">
        <w:t xml:space="preserve"> and </w:t>
      </w:r>
      <w:r w:rsidRPr="001A3D2B">
        <w:t>Australia but not yet approaching those</w:t>
      </w:r>
      <w:r w:rsidR="00427468">
        <w:t xml:space="preserve"> of </w:t>
      </w:r>
      <w:r w:rsidR="003A1917">
        <w:t xml:space="preserve">the </w:t>
      </w:r>
      <w:r w:rsidRPr="001A3D2B">
        <w:t>highly cited countries. None</w:t>
      </w:r>
      <w:r w:rsidR="00427468">
        <w:t xml:space="preserve"> of </w:t>
      </w:r>
      <w:r w:rsidR="003A1917">
        <w:t xml:space="preserve">the </w:t>
      </w:r>
      <w:r w:rsidRPr="001A3D2B">
        <w:t>top ten publications producing institutions are from</w:t>
      </w:r>
      <w:r w:rsidR="003A1917">
        <w:t xml:space="preserve"> the </w:t>
      </w:r>
      <w:r w:rsidR="00D5664A">
        <w:t>USA</w:t>
      </w:r>
      <w:r w:rsidRPr="001A3D2B">
        <w:t>, while all</w:t>
      </w:r>
      <w:r w:rsidR="00427468">
        <w:t xml:space="preserve"> of </w:t>
      </w:r>
      <w:r w:rsidR="003A1917">
        <w:t xml:space="preserve">the </w:t>
      </w:r>
      <w:r w:rsidRPr="001A3D2B">
        <w:t>top ten highly cited publications producers are from</w:t>
      </w:r>
      <w:r w:rsidR="003A1917">
        <w:t xml:space="preserve"> the </w:t>
      </w:r>
      <w:r w:rsidR="00D5664A">
        <w:t>USA</w:t>
      </w:r>
      <w:r w:rsidRPr="001A3D2B">
        <w:t>. Over</w:t>
      </w:r>
      <w:r w:rsidR="003A1917">
        <w:t xml:space="preserve"> the </w:t>
      </w:r>
      <w:r w:rsidRPr="001A3D2B">
        <w:t>1998-2003 time period,</w:t>
      </w:r>
      <w:r w:rsidR="003A1917">
        <w:t xml:space="preserve"> the </w:t>
      </w:r>
      <w:r w:rsidRPr="001A3D2B">
        <w:t>top six total publications producing institutions (globally) remained</w:t>
      </w:r>
      <w:r w:rsidR="003A1917">
        <w:t xml:space="preserve"> the </w:t>
      </w:r>
      <w:r w:rsidRPr="001A3D2B">
        <w:t>same, with Chinese Academy</w:t>
      </w:r>
      <w:r w:rsidR="00427468">
        <w:t xml:space="preserve"> of </w:t>
      </w:r>
      <w:r w:rsidRPr="001A3D2B">
        <w:t>Sciences (which consists</w:t>
      </w:r>
      <w:r w:rsidR="00427468">
        <w:t xml:space="preserve"> of </w:t>
      </w:r>
      <w:r w:rsidRPr="001A3D2B">
        <w:t>many research institutes) wresting</w:t>
      </w:r>
      <w:r w:rsidR="003A1917">
        <w:t xml:space="preserve"> the </w:t>
      </w:r>
      <w:r w:rsidRPr="001A3D2B">
        <w:t>lead from Russian Academy</w:t>
      </w:r>
      <w:r w:rsidR="00427468">
        <w:t xml:space="preserve"> of </w:t>
      </w:r>
      <w:r w:rsidRPr="001A3D2B">
        <w:t>Sciences in 1999,</w:t>
      </w:r>
      <w:r w:rsidR="005853A9">
        <w:t xml:space="preserve"> and </w:t>
      </w:r>
      <w:r w:rsidRPr="001A3D2B">
        <w:t>thereafter increasing</w:t>
      </w:r>
      <w:r w:rsidR="003A1917">
        <w:t xml:space="preserve"> the </w:t>
      </w:r>
      <w:r w:rsidRPr="001A3D2B">
        <w:t>gap. Over this same time period,</w:t>
      </w:r>
      <w:r w:rsidR="003A1917">
        <w:t xml:space="preserve"> the </w:t>
      </w:r>
      <w:r w:rsidR="00D5664A">
        <w:t>USA</w:t>
      </w:r>
      <w:r w:rsidRPr="001A3D2B">
        <w:t xml:space="preserve"> institutions constituted about 90%</w:t>
      </w:r>
      <w:r w:rsidR="00427468">
        <w:t xml:space="preserve"> of </w:t>
      </w:r>
      <w:r w:rsidR="003A1917">
        <w:t xml:space="preserve">the </w:t>
      </w:r>
      <w:r w:rsidRPr="001A3D2B">
        <w:t>top ten most cited papers list. For Chinese institutions specifically in</w:t>
      </w:r>
      <w:r w:rsidR="003A1917">
        <w:t xml:space="preserve"> the </w:t>
      </w:r>
      <w:r w:rsidRPr="001A3D2B">
        <w:t>period 1998-2003,</w:t>
      </w:r>
      <w:r w:rsidR="003A1917">
        <w:t xml:space="preserve"> the </w:t>
      </w:r>
      <w:r w:rsidRPr="001A3D2B">
        <w:t>nanotechnology publication leading Chinese Academy</w:t>
      </w:r>
      <w:r w:rsidR="00427468">
        <w:t xml:space="preserve"> of </w:t>
      </w:r>
      <w:r w:rsidRPr="001A3D2B">
        <w:t>Sciences has maintained an average</w:t>
      </w:r>
      <w:r w:rsidR="00427468">
        <w:t xml:space="preserve"> of </w:t>
      </w:r>
      <w:r w:rsidRPr="001A3D2B">
        <w:t>about 30%</w:t>
      </w:r>
      <w:r w:rsidR="00427468">
        <w:t xml:space="preserve"> of </w:t>
      </w:r>
      <w:r w:rsidRPr="001A3D2B">
        <w:t>nanotechnology publications over that time frame</w:t>
      </w:r>
      <w:r w:rsidR="00A37C1D">
        <w:t>. The</w:t>
      </w:r>
      <w:r w:rsidR="003A1917">
        <w:t xml:space="preserve"> </w:t>
      </w:r>
      <w:r w:rsidRPr="001A3D2B">
        <w:t>second tier (in terms</w:t>
      </w:r>
      <w:r w:rsidR="00427468">
        <w:t xml:space="preserve"> of </w:t>
      </w:r>
      <w:r w:rsidRPr="001A3D2B">
        <w:t>quantity) for</w:t>
      </w:r>
      <w:r w:rsidR="003A1917">
        <w:t xml:space="preserve"> the </w:t>
      </w:r>
      <w:r w:rsidRPr="001A3D2B">
        <w:t>last few years has consisted</w:t>
      </w:r>
      <w:r w:rsidR="00427468">
        <w:t xml:space="preserve"> of </w:t>
      </w:r>
      <w:r w:rsidRPr="001A3D2B">
        <w:t>Tsinghua University, Nanjing University, University</w:t>
      </w:r>
      <w:r w:rsidR="00427468">
        <w:t xml:space="preserve"> of </w:t>
      </w:r>
      <w:r w:rsidRPr="001A3D2B">
        <w:t>Science</w:t>
      </w:r>
      <w:r w:rsidR="005853A9">
        <w:t xml:space="preserve"> and </w:t>
      </w:r>
      <w:r w:rsidRPr="001A3D2B">
        <w:t>Technology</w:t>
      </w:r>
      <w:r w:rsidR="00427468">
        <w:t xml:space="preserve"> of </w:t>
      </w:r>
      <w:r w:rsidRPr="001A3D2B">
        <w:t>China, Peking University, Jilin University, Zhejiang University, Shandong University,</w:t>
      </w:r>
      <w:r w:rsidR="005853A9">
        <w:t xml:space="preserve"> and </w:t>
      </w:r>
      <w:r w:rsidRPr="001A3D2B">
        <w:t>Fudan University. Hong Kong institutions have, on average, been strong in ratio, especially City University Hong Kong,</w:t>
      </w:r>
      <w:r w:rsidR="005853A9">
        <w:t xml:space="preserve"> and </w:t>
      </w:r>
      <w:r w:rsidRPr="001A3D2B">
        <w:t xml:space="preserve">Hong Kong </w:t>
      </w:r>
      <w:r w:rsidRPr="001A3D2B">
        <w:lastRenderedPageBreak/>
        <w:t>University</w:t>
      </w:r>
      <w:r w:rsidR="00427468">
        <w:t xml:space="preserve"> of </w:t>
      </w:r>
      <w:r w:rsidRPr="001A3D2B">
        <w:t>Science</w:t>
      </w:r>
      <w:r w:rsidR="005853A9">
        <w:t xml:space="preserve"> and </w:t>
      </w:r>
      <w:r w:rsidRPr="001A3D2B">
        <w:t>Technology, indicating significant citations.</w:t>
      </w:r>
    </w:p>
    <w:p w:rsidR="003474F2" w:rsidRPr="001A3D2B" w:rsidRDefault="003474F2" w:rsidP="003474F2">
      <w:pPr>
        <w:pStyle w:val="a3"/>
      </w:pPr>
      <w:r w:rsidRPr="001A3D2B">
        <w:t>Keywords: Australia, China, Chinese, Citations, Country, Databases, Denmark, Field, France, Growth, Hong Kong, Institutions, Italy, Japan, Korea, Lead, Nanoscience, Nanotechnology, Nanotechnology Publication, Nations, Papers, Participation, People</w:t>
      </w:r>
      <w:r w:rsidR="0071223E">
        <w:t>’</w:t>
      </w:r>
      <w:r w:rsidR="00C13DDC">
        <w:t>s</w:t>
      </w:r>
      <w:r w:rsidRPr="001A3D2B">
        <w:t xml:space="preserve"> Republic</w:t>
      </w:r>
      <w:r w:rsidR="00427468">
        <w:t xml:space="preserve"> of </w:t>
      </w:r>
      <w:r w:rsidRPr="001A3D2B">
        <w:t xml:space="preserve">China, Publication, Publications, Publishing, Quality, Quality of, Rankings, Research, Switzerland, Trends, </w:t>
      </w:r>
      <w:r w:rsidR="00D5664A">
        <w:t>USA</w:t>
      </w:r>
    </w:p>
    <w:p w:rsidR="0031685C" w:rsidRPr="00C73C58" w:rsidRDefault="0031685C" w:rsidP="0031685C">
      <w:pPr>
        <w:pStyle w:val="a3"/>
      </w:pPr>
      <w:r w:rsidRPr="00C73C58">
        <w:t xml:space="preserve">? </w:t>
      </w:r>
      <w:r>
        <w:t>Feng, Z</w:t>
      </w:r>
      <w:r>
        <w:rPr>
          <w:rFonts w:hint="eastAsia"/>
        </w:rPr>
        <w:t>.</w:t>
      </w:r>
      <w:r>
        <w:t>Z</w:t>
      </w:r>
      <w:r>
        <w:rPr>
          <w:rFonts w:hint="eastAsia"/>
        </w:rPr>
        <w:t>.,</w:t>
      </w:r>
      <w:r>
        <w:t xml:space="preserve"> Kobayashi, K</w:t>
      </w:r>
      <w:r>
        <w:rPr>
          <w:rFonts w:hint="eastAsia"/>
        </w:rPr>
        <w:t>.,</w:t>
      </w:r>
      <w:r>
        <w:t xml:space="preserve"> Wang, X</w:t>
      </w:r>
      <w:r>
        <w:rPr>
          <w:rFonts w:hint="eastAsia"/>
        </w:rPr>
        <w:t>.</w:t>
      </w:r>
      <w:r>
        <w:t>K</w:t>
      </w:r>
      <w:r>
        <w:rPr>
          <w:rFonts w:hint="eastAsia"/>
        </w:rPr>
        <w:t>.</w:t>
      </w:r>
      <w:r w:rsidR="005853A9">
        <w:rPr>
          <w:rFonts w:hint="eastAsia"/>
        </w:rPr>
        <w:t xml:space="preserve"> and </w:t>
      </w:r>
      <w:r>
        <w:t>Feng, Z</w:t>
      </w:r>
      <w:r>
        <w:rPr>
          <w:rFonts w:hint="eastAsia"/>
        </w:rPr>
        <w:t>.</w:t>
      </w:r>
      <w:r>
        <w:t>W</w:t>
      </w:r>
      <w:r>
        <w:rPr>
          <w:rFonts w:hint="eastAsia"/>
        </w:rPr>
        <w:t>.</w:t>
      </w:r>
      <w:r w:rsidRPr="00C73C58">
        <w:t xml:space="preserve"> (200</w:t>
      </w:r>
      <w:r>
        <w:rPr>
          <w:rFonts w:hint="eastAsia"/>
        </w:rPr>
        <w:t>9</w:t>
      </w:r>
      <w:r w:rsidRPr="00C73C58">
        <w:t xml:space="preserve">), </w:t>
      </w:r>
      <w:r>
        <w:t>A meta-analysis</w:t>
      </w:r>
      <w:r w:rsidR="00427468">
        <w:t xml:space="preserve"> of </w:t>
      </w:r>
      <w:r>
        <w:t>responses</w:t>
      </w:r>
      <w:r w:rsidR="00427468">
        <w:t xml:space="preserve"> of </w:t>
      </w:r>
      <w:r>
        <w:t>wheat yield formation to elevated ozone concentration</w:t>
      </w:r>
      <w:r w:rsidRPr="00C73C58">
        <w:t xml:space="preserve">. </w:t>
      </w:r>
      <w:r w:rsidRPr="00C73C58">
        <w:rPr>
          <w:i/>
          <w:iCs/>
        </w:rPr>
        <w:t>Chinese Science Bulletin</w:t>
      </w:r>
      <w:r w:rsidRPr="00C73C58">
        <w:t xml:space="preserve">, </w:t>
      </w:r>
      <w:r>
        <w:rPr>
          <w:rFonts w:hint="eastAsia"/>
          <w:b/>
          <w:bCs/>
        </w:rPr>
        <w:t>54</w:t>
      </w:r>
      <w:r w:rsidRPr="00C73C58">
        <w:t xml:space="preserve"> (</w:t>
      </w:r>
      <w:r>
        <w:rPr>
          <w:rFonts w:hint="eastAsia"/>
        </w:rPr>
        <w:t>2</w:t>
      </w:r>
      <w:r w:rsidRPr="00C73C58">
        <w:t xml:space="preserve">), </w:t>
      </w:r>
      <w:r>
        <w:t>249-255</w:t>
      </w:r>
      <w:r w:rsidRPr="00C73C58">
        <w:t>.</w:t>
      </w:r>
    </w:p>
    <w:p w:rsidR="0031685C" w:rsidRDefault="0031685C" w:rsidP="0031685C">
      <w:pPr>
        <w:pStyle w:val="a3"/>
      </w:pPr>
      <w:r w:rsidRPr="00C73C58">
        <w:t xml:space="preserve">Full Text: </w:t>
      </w:r>
      <w:hyperlink r:id="rId269" w:history="1">
        <w:r w:rsidRPr="00B16090">
          <w:rPr>
            <w:rStyle w:val="a5"/>
          </w:rPr>
          <w:t>2009\Chi Sci Bul54, 249.pdf</w:t>
        </w:r>
      </w:hyperlink>
    </w:p>
    <w:p w:rsidR="0031685C" w:rsidRDefault="0031685C" w:rsidP="0031685C">
      <w:pPr>
        <w:pStyle w:val="a3"/>
      </w:pPr>
      <w:r>
        <w:t>Abstract:</w:t>
      </w:r>
      <w:r w:rsidR="003A1917">
        <w:t xml:space="preserve"> the </w:t>
      </w:r>
      <w:r>
        <w:t>meta-analysis method was applied to quantitatively investigate effects</w:t>
      </w:r>
      <w:r w:rsidR="00427468">
        <w:t xml:space="preserve"> of </w:t>
      </w:r>
      <w:r w:rsidR="003A1917">
        <w:t xml:space="preserve">the </w:t>
      </w:r>
      <w:r>
        <w:t>elevated ozone concentration ([O(3)]) on chlorophyll concentration, gas exchange</w:t>
      </w:r>
      <w:r w:rsidR="005853A9">
        <w:t xml:space="preserve"> and </w:t>
      </w:r>
      <w:r>
        <w:t>yield components</w:t>
      </w:r>
      <w:r w:rsidR="00427468">
        <w:t xml:space="preserve"> of </w:t>
      </w:r>
      <w:r>
        <w:t>wheat</w:t>
      </w:r>
      <w:r w:rsidR="00A37C1D">
        <w:t>. The</w:t>
      </w:r>
      <w:r>
        <w:t xml:space="preserve">re were 39 effective references through </w:t>
      </w:r>
      <w:r w:rsidR="00D5664A">
        <w:t>Web</w:t>
      </w:r>
      <w:r w:rsidR="00427468">
        <w:t xml:space="preserve"> of </w:t>
      </w:r>
      <w:r w:rsidR="00D5664A">
        <w:t>Science</w:t>
      </w:r>
      <w:r>
        <w:t xml:space="preserve"> (ISI, </w:t>
      </w:r>
      <w:r w:rsidR="00D5664A">
        <w:t>USA</w:t>
      </w:r>
      <w:r>
        <w:t>)</w:t>
      </w:r>
      <w:r w:rsidR="005853A9">
        <w:t xml:space="preserve"> and </w:t>
      </w:r>
      <w:r>
        <w:t>Chinese journal full-text database (CNKI, China)</w:t>
      </w:r>
      <w:r w:rsidR="00A37C1D">
        <w:t>. The</w:t>
      </w:r>
      <w:r w:rsidR="003A1917">
        <w:t xml:space="preserve"> </w:t>
      </w:r>
      <w:r>
        <w:t>results</w:t>
      </w:r>
      <w:r w:rsidR="00427468">
        <w:t xml:space="preserve"> of </w:t>
      </w:r>
      <w:r>
        <w:t>meta-analysis indicated that elevated [O(3)] decreased grain yield, grain weight, grain number per ear, ear number per plant</w:t>
      </w:r>
      <w:r w:rsidR="005853A9">
        <w:t xml:space="preserve"> and </w:t>
      </w:r>
      <w:r>
        <w:t>harvest index by 26%, 18%, 11%, 5%</w:t>
      </w:r>
      <w:r w:rsidR="005853A9">
        <w:t xml:space="preserve"> and </w:t>
      </w:r>
      <w:r>
        <w:t>11%, respectively, relative to ambient air</w:t>
      </w:r>
      <w:r w:rsidR="00A37C1D">
        <w:t>. The</w:t>
      </w:r>
      <w:r w:rsidR="003A1917">
        <w:t xml:space="preserve"> </w:t>
      </w:r>
      <w:r>
        <w:t>decrease in leaf physiological characters was much greater than that in yield when wheat was expose to elevated [O(3)], while light-saturated photosynthetic rate (Asat), stomatal conductance (Gs)</w:t>
      </w:r>
      <w:r w:rsidR="005853A9">
        <w:t xml:space="preserve"> and </w:t>
      </w:r>
      <w:r>
        <w:t>chlorophyll content (Chl) decreased by 40%, 31%,</w:t>
      </w:r>
      <w:r w:rsidR="005853A9">
        <w:t xml:space="preserve"> and </w:t>
      </w:r>
      <w:r>
        <w:t>46%, respectively</w:t>
      </w:r>
      <w:r w:rsidR="00A37C1D">
        <w:t>. The</w:t>
      </w:r>
      <w:r w:rsidR="003A1917">
        <w:t xml:space="preserve"> </w:t>
      </w:r>
      <w:r>
        <w:t>responses to elevated [O(3)] between spring wheat</w:t>
      </w:r>
      <w:r w:rsidR="005853A9">
        <w:t xml:space="preserve"> and </w:t>
      </w:r>
      <w:r>
        <w:t>winter wheat were similar. Most</w:t>
      </w:r>
      <w:r w:rsidR="00427468">
        <w:t xml:space="preserve"> of </w:t>
      </w:r>
      <w:r w:rsidR="003A1917">
        <w:t xml:space="preserve">the </w:t>
      </w:r>
      <w:r>
        <w:t>variables showed a linear decrease trend with an increase</w:t>
      </w:r>
      <w:r w:rsidR="00427468">
        <w:t xml:space="preserve"> of </w:t>
      </w:r>
      <w:r>
        <w:t>[O(3)]</w:t>
      </w:r>
      <w:r w:rsidR="00A37C1D">
        <w:t>. The</w:t>
      </w:r>
      <w:r w:rsidR="003A1917">
        <w:t xml:space="preserve"> </w:t>
      </w:r>
      <w:r>
        <w:t>most significant decrease for Asat, Gs</w:t>
      </w:r>
      <w:r w:rsidR="005853A9">
        <w:t xml:space="preserve"> and </w:t>
      </w:r>
      <w:r>
        <w:t>Chl was found in grain filling stage. Elevated [CO(2)] could significantly ameliorated or offset</w:t>
      </w:r>
      <w:r w:rsidR="003A1917">
        <w:t xml:space="preserve"> the </w:t>
      </w:r>
      <w:r>
        <w:t>detrimental effects caused by elevated [O(3)].</w:t>
      </w:r>
    </w:p>
    <w:p w:rsidR="0031685C" w:rsidRPr="00C73C58" w:rsidRDefault="0031685C" w:rsidP="0031685C">
      <w:pPr>
        <w:pStyle w:val="a3"/>
      </w:pPr>
      <w:r>
        <w:t>Keywords: Meta-Analysis, Elevated [C</w:t>
      </w:r>
      <w:r>
        <w:rPr>
          <w:rFonts w:hint="eastAsia"/>
        </w:rPr>
        <w:t>O</w:t>
      </w:r>
      <w:r>
        <w:rPr>
          <w:rFonts w:hint="eastAsia"/>
          <w:vertAlign w:val="subscript"/>
        </w:rPr>
        <w:t>2</w:t>
      </w:r>
      <w:r>
        <w:t>], Wheat, Ozone, Gas Exchange, Yield, Triticum-Aestivum l., Ambient Ozone, Stomatal Conductance, Air-Pollution, Spring Wheat, Photosynthesis, C</w:t>
      </w:r>
      <w:r>
        <w:rPr>
          <w:rFonts w:hint="eastAsia"/>
        </w:rPr>
        <w:t>O</w:t>
      </w:r>
      <w:r>
        <w:rPr>
          <w:rFonts w:hint="eastAsia"/>
          <w:vertAlign w:val="subscript"/>
        </w:rPr>
        <w:t>2</w:t>
      </w:r>
      <w:r>
        <w:t>, Impact, Growth, Crops</w:t>
      </w:r>
    </w:p>
    <w:p w:rsidR="003474F2" w:rsidRPr="001A3D2B" w:rsidRDefault="003474F2" w:rsidP="003474F2">
      <w:pPr>
        <w:pStyle w:val="1"/>
      </w:pPr>
      <w:r w:rsidRPr="001A3D2B">
        <w:br w:type="page"/>
      </w:r>
      <w:bookmarkStart w:id="225" w:name="_Toc420814989"/>
      <w:r w:rsidRPr="001A3D2B">
        <w:lastRenderedPageBreak/>
        <w:t>Title: Chirurg</w:t>
      </w:r>
      <w:bookmarkEnd w:id="225"/>
    </w:p>
    <w:p w:rsidR="003474F2" w:rsidRPr="001A3D2B" w:rsidRDefault="003474F2" w:rsidP="003474F2">
      <w:pPr>
        <w:pStyle w:val="12"/>
      </w:pPr>
      <w:r w:rsidRPr="001A3D2B">
        <w:t>Full Journal Title: Chirurg</w:t>
      </w:r>
    </w:p>
    <w:p w:rsidR="003474F2" w:rsidRPr="001A3D2B" w:rsidRDefault="003474F2" w:rsidP="003474F2">
      <w:pPr>
        <w:pStyle w:val="12"/>
      </w:pPr>
      <w:r w:rsidRPr="001A3D2B">
        <w:t>ISO Abbreviated Title: Chirurg</w:t>
      </w:r>
    </w:p>
    <w:p w:rsidR="003474F2" w:rsidRPr="001A3D2B" w:rsidRDefault="003474F2" w:rsidP="003474F2">
      <w:pPr>
        <w:pStyle w:val="12"/>
      </w:pPr>
      <w:r w:rsidRPr="001A3D2B">
        <w:t>JCR Abbreviated Title: Chirurg</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F526D5" w:rsidRPr="00C73C58" w:rsidRDefault="00F526D5" w:rsidP="00F526D5">
      <w:pPr>
        <w:pStyle w:val="a3"/>
      </w:pPr>
      <w:r w:rsidRPr="00C73C58">
        <w:t>? Haller, U., Hepp, H.</w:t>
      </w:r>
      <w:r w:rsidR="005853A9">
        <w:t xml:space="preserve"> and </w:t>
      </w:r>
      <w:r w:rsidRPr="00C73C58">
        <w:t>Reinold, E. (1999), Does</w:t>
      </w:r>
      <w:r w:rsidR="003A1917">
        <w:t xml:space="preserve"> the </w:t>
      </w:r>
      <w:r w:rsidR="00B5188C">
        <w:t>“</w:t>
      </w:r>
      <w:r w:rsidRPr="00C73C58">
        <w:t>impact factor</w:t>
      </w:r>
      <w:r w:rsidR="00B5188C">
        <w:t>”</w:t>
      </w:r>
      <w:r w:rsidRPr="00C73C58">
        <w:t xml:space="preserve"> kill</w:t>
      </w:r>
      <w:r w:rsidR="003A1917">
        <w:t xml:space="preserve"> the </w:t>
      </w:r>
      <w:r w:rsidRPr="00C73C58">
        <w:t xml:space="preserve">German language? </w:t>
      </w:r>
      <w:r w:rsidRPr="00C73C58">
        <w:rPr>
          <w:i/>
          <w:iCs/>
        </w:rPr>
        <w:t>Chirurg</w:t>
      </w:r>
      <w:r w:rsidRPr="00C73C58">
        <w:t xml:space="preserve">, </w:t>
      </w:r>
      <w:r w:rsidRPr="00C73C58">
        <w:rPr>
          <w:b/>
          <w:bCs/>
        </w:rPr>
        <w:t>70</w:t>
      </w:r>
      <w:r w:rsidRPr="00C73C58">
        <w:t xml:space="preserve"> (2), S39-S41.</w:t>
      </w:r>
    </w:p>
    <w:p w:rsidR="00F526D5" w:rsidRDefault="00F526D5" w:rsidP="00F526D5">
      <w:pPr>
        <w:pStyle w:val="a3"/>
        <w:rPr>
          <w:kern w:val="0"/>
        </w:rPr>
      </w:pPr>
      <w:r>
        <w:rPr>
          <w:rFonts w:hint="eastAsia"/>
          <w:kern w:val="0"/>
        </w:rPr>
        <w:t>Full Text: 1999</w:t>
      </w:r>
      <w:r>
        <w:rPr>
          <w:kern w:val="0"/>
        </w:rPr>
        <w:t>\Chirurg</w:t>
      </w:r>
      <w:r>
        <w:rPr>
          <w:rFonts w:hint="eastAsia"/>
          <w:kern w:val="0"/>
        </w:rPr>
        <w:t>70</w:t>
      </w:r>
      <w:r>
        <w:rPr>
          <w:kern w:val="0"/>
        </w:rPr>
        <w:t xml:space="preserve">, </w:t>
      </w:r>
      <w:r>
        <w:rPr>
          <w:rFonts w:hint="eastAsia"/>
          <w:kern w:val="0"/>
        </w:rPr>
        <w:t>S39</w:t>
      </w:r>
      <w:r w:rsidRPr="006D2537">
        <w:rPr>
          <w:kern w:val="0"/>
        </w:rPr>
        <w:t>.pdf</w:t>
      </w:r>
    </w:p>
    <w:p w:rsidR="00F526D5" w:rsidRDefault="00F526D5" w:rsidP="00F526D5">
      <w:pPr>
        <w:pStyle w:val="a3"/>
        <w:rPr>
          <w:kern w:val="0"/>
        </w:rPr>
      </w:pPr>
      <w:r>
        <w:rPr>
          <w:rFonts w:hint="eastAsia"/>
          <w:kern w:val="0"/>
        </w:rPr>
        <w:t xml:space="preserve">? </w:t>
      </w:r>
      <w:r>
        <w:rPr>
          <w:kern w:val="0"/>
        </w:rPr>
        <w:t>Hasse, W.</w:t>
      </w:r>
      <w:r w:rsidR="005853A9">
        <w:rPr>
          <w:kern w:val="0"/>
        </w:rPr>
        <w:t xml:space="preserve"> and </w:t>
      </w:r>
      <w:r>
        <w:rPr>
          <w:kern w:val="0"/>
        </w:rPr>
        <w:t>Fischer, R.J. (2010), Citation characteristics</w:t>
      </w:r>
      <w:r w:rsidR="00427468">
        <w:rPr>
          <w:kern w:val="0"/>
        </w:rPr>
        <w:t xml:space="preserve"> of </w:t>
      </w:r>
      <w:r>
        <w:rPr>
          <w:kern w:val="0"/>
        </w:rPr>
        <w:t xml:space="preserve">German authors in </w:t>
      </w:r>
      <w:r w:rsidR="00B5188C">
        <w:rPr>
          <w:kern w:val="0"/>
        </w:rPr>
        <w:t>“</w:t>
      </w:r>
      <w:r w:rsidRPr="006D2537">
        <w:rPr>
          <w:i/>
          <w:kern w:val="0"/>
        </w:rPr>
        <w:t>Der Chirurg</w:t>
      </w:r>
      <w:r w:rsidR="00B5188C">
        <w:rPr>
          <w:kern w:val="0"/>
        </w:rPr>
        <w:t>”</w:t>
      </w:r>
      <w:r>
        <w:rPr>
          <w:kern w:val="0"/>
        </w:rPr>
        <w:t xml:space="preserve"> - Hegemony</w:t>
      </w:r>
      <w:r w:rsidR="00427468">
        <w:rPr>
          <w:kern w:val="0"/>
        </w:rPr>
        <w:t xml:space="preserve"> of </w:t>
      </w:r>
      <w:r w:rsidR="003A1917">
        <w:rPr>
          <w:kern w:val="0"/>
        </w:rPr>
        <w:t xml:space="preserve">the </w:t>
      </w:r>
      <w:r>
        <w:rPr>
          <w:kern w:val="0"/>
        </w:rPr>
        <w:t xml:space="preserve">impact factor. </w:t>
      </w:r>
      <w:r>
        <w:rPr>
          <w:i/>
          <w:iCs/>
          <w:kern w:val="0"/>
        </w:rPr>
        <w:t>Chirurg</w:t>
      </w:r>
      <w:r>
        <w:rPr>
          <w:kern w:val="0"/>
        </w:rPr>
        <w:t xml:space="preserve">, </w:t>
      </w:r>
      <w:r>
        <w:rPr>
          <w:b/>
          <w:bCs/>
          <w:kern w:val="0"/>
        </w:rPr>
        <w:t>81</w:t>
      </w:r>
      <w:r>
        <w:rPr>
          <w:kern w:val="0"/>
        </w:rPr>
        <w:t xml:space="preserve"> (4), 361-364.</w:t>
      </w:r>
    </w:p>
    <w:p w:rsidR="00F526D5" w:rsidRDefault="00F526D5" w:rsidP="00F526D5">
      <w:pPr>
        <w:pStyle w:val="a3"/>
        <w:rPr>
          <w:kern w:val="0"/>
        </w:rPr>
      </w:pPr>
      <w:r>
        <w:rPr>
          <w:rFonts w:hint="eastAsia"/>
          <w:kern w:val="0"/>
        </w:rPr>
        <w:t xml:space="preserve">Full Text: </w:t>
      </w:r>
      <w:hyperlink r:id="rId270" w:history="1">
        <w:r w:rsidRPr="00F526D5">
          <w:rPr>
            <w:rStyle w:val="a5"/>
            <w:kern w:val="0"/>
          </w:rPr>
          <w:t>2010\Chirurg81, 361.pdf</w:t>
        </w:r>
      </w:hyperlink>
    </w:p>
    <w:p w:rsidR="00F526D5" w:rsidRDefault="00F526D5" w:rsidP="00F526D5">
      <w:pPr>
        <w:pStyle w:val="a3"/>
        <w:rPr>
          <w:kern w:val="0"/>
        </w:rPr>
      </w:pPr>
      <w:r>
        <w:rPr>
          <w:kern w:val="0"/>
        </w:rPr>
        <w:t>Abstract: Characteristics</w:t>
      </w:r>
      <w:r w:rsidR="00427468">
        <w:rPr>
          <w:kern w:val="0"/>
        </w:rPr>
        <w:t xml:space="preserve"> of </w:t>
      </w:r>
      <w:r>
        <w:rPr>
          <w:kern w:val="0"/>
        </w:rPr>
        <w:t>citation</w:t>
      </w:r>
      <w:r w:rsidR="005853A9">
        <w:rPr>
          <w:kern w:val="0"/>
        </w:rPr>
        <w:t xml:space="preserve"> and </w:t>
      </w:r>
      <w:r>
        <w:rPr>
          <w:kern w:val="0"/>
        </w:rPr>
        <w:t>language in publications</w:t>
      </w:r>
      <w:r w:rsidR="00427468">
        <w:rPr>
          <w:kern w:val="0"/>
        </w:rPr>
        <w:t xml:space="preserve"> of </w:t>
      </w:r>
      <w:r>
        <w:rPr>
          <w:kern w:val="0"/>
        </w:rPr>
        <w:t>German authors from</w:t>
      </w:r>
      <w:r w:rsidR="003A1917">
        <w:rPr>
          <w:kern w:val="0"/>
        </w:rPr>
        <w:t xml:space="preserve"> the </w:t>
      </w:r>
      <w:r>
        <w:rPr>
          <w:kern w:val="0"/>
        </w:rPr>
        <w:t>journal aEuroDer Chirurg</w:t>
      </w:r>
      <w:r w:rsidR="00B5188C">
        <w:rPr>
          <w:kern w:val="0"/>
        </w:rPr>
        <w:t>”</w:t>
      </w:r>
      <w:r>
        <w:rPr>
          <w:kern w:val="0"/>
        </w:rPr>
        <w:t xml:space="preserve"> (vol 78, 2007) were analysed. Out</w:t>
      </w:r>
      <w:r w:rsidR="00427468">
        <w:rPr>
          <w:kern w:val="0"/>
        </w:rPr>
        <w:t xml:space="preserve"> of </w:t>
      </w:r>
      <w:r>
        <w:rPr>
          <w:kern w:val="0"/>
        </w:rPr>
        <w:t>a total</w:t>
      </w:r>
      <w:r w:rsidR="00427468">
        <w:rPr>
          <w:kern w:val="0"/>
        </w:rPr>
        <w:t xml:space="preserve"> of </w:t>
      </w:r>
      <w:r>
        <w:rPr>
          <w:kern w:val="0"/>
        </w:rPr>
        <w:t>3,342 citations, 756 (22.62%) were from German authors with 248 (32.8) self-citations</w:t>
      </w:r>
      <w:r w:rsidR="00A37C1D">
        <w:rPr>
          <w:kern w:val="0"/>
        </w:rPr>
        <w:t>. The</w:t>
      </w:r>
      <w:r w:rsidR="003A1917">
        <w:rPr>
          <w:kern w:val="0"/>
        </w:rPr>
        <w:t xml:space="preserve"> </w:t>
      </w:r>
      <w:r>
        <w:rPr>
          <w:kern w:val="0"/>
        </w:rPr>
        <w:t>hegemony</w:t>
      </w:r>
      <w:r w:rsidR="00427468">
        <w:rPr>
          <w:kern w:val="0"/>
        </w:rPr>
        <w:t xml:space="preserve"> of </w:t>
      </w:r>
      <w:r w:rsidR="003A1917">
        <w:rPr>
          <w:kern w:val="0"/>
        </w:rPr>
        <w:t xml:space="preserve">the </w:t>
      </w:r>
      <w:r>
        <w:rPr>
          <w:kern w:val="0"/>
        </w:rPr>
        <w:t>impact factor in science, research</w:t>
      </w:r>
      <w:r w:rsidR="005853A9">
        <w:rPr>
          <w:kern w:val="0"/>
        </w:rPr>
        <w:t xml:space="preserve"> and </w:t>
      </w:r>
      <w:r>
        <w:rPr>
          <w:kern w:val="0"/>
        </w:rPr>
        <w:t>education is critically discussed</w:t>
      </w:r>
      <w:r w:rsidR="00A37C1D">
        <w:rPr>
          <w:kern w:val="0"/>
        </w:rPr>
        <w:t>. The</w:t>
      </w:r>
      <w:r w:rsidR="003A1917">
        <w:rPr>
          <w:kern w:val="0"/>
        </w:rPr>
        <w:t xml:space="preserve"> </w:t>
      </w:r>
      <w:r>
        <w:rPr>
          <w:kern w:val="0"/>
        </w:rPr>
        <w:t>imbalance between</w:t>
      </w:r>
      <w:r w:rsidR="003A1917">
        <w:rPr>
          <w:kern w:val="0"/>
        </w:rPr>
        <w:t xml:space="preserve"> the </w:t>
      </w:r>
      <w:r>
        <w:rPr>
          <w:kern w:val="0"/>
        </w:rPr>
        <w:t>number</w:t>
      </w:r>
      <w:r w:rsidR="00427468">
        <w:rPr>
          <w:kern w:val="0"/>
        </w:rPr>
        <w:t xml:space="preserve"> of </w:t>
      </w:r>
      <w:r>
        <w:rPr>
          <w:kern w:val="0"/>
        </w:rPr>
        <w:t>surgeons in</w:t>
      </w:r>
      <w:r w:rsidR="003A1917">
        <w:rPr>
          <w:kern w:val="0"/>
        </w:rPr>
        <w:t xml:space="preserve"> the </w:t>
      </w:r>
      <w:r>
        <w:rPr>
          <w:kern w:val="0"/>
        </w:rPr>
        <w:t>US</w:t>
      </w:r>
      <w:r w:rsidR="005853A9">
        <w:rPr>
          <w:kern w:val="0"/>
        </w:rPr>
        <w:t xml:space="preserve"> and </w:t>
      </w:r>
      <w:r>
        <w:rPr>
          <w:kern w:val="0"/>
        </w:rPr>
        <w:t>United Kingdom (66,032)</w:t>
      </w:r>
      <w:r w:rsidR="005853A9">
        <w:rPr>
          <w:kern w:val="0"/>
        </w:rPr>
        <w:t xml:space="preserve"> and </w:t>
      </w:r>
      <w:r>
        <w:rPr>
          <w:kern w:val="0"/>
        </w:rPr>
        <w:t>surgeons in</w:t>
      </w:r>
      <w:r w:rsidR="003A1917">
        <w:rPr>
          <w:kern w:val="0"/>
        </w:rPr>
        <w:t xml:space="preserve"> the </w:t>
      </w:r>
      <w:r>
        <w:rPr>
          <w:kern w:val="0"/>
        </w:rPr>
        <w:t>German speaking countries in Europe (25,300) is compared with respect to</w:t>
      </w:r>
      <w:r w:rsidR="003A1917">
        <w:rPr>
          <w:kern w:val="0"/>
        </w:rPr>
        <w:t xml:space="preserve"> the </w:t>
      </w:r>
      <w:r>
        <w:rPr>
          <w:kern w:val="0"/>
        </w:rPr>
        <w:t>counting methods used to create</w:t>
      </w:r>
      <w:r w:rsidR="003A1917">
        <w:rPr>
          <w:kern w:val="0"/>
        </w:rPr>
        <w:t xml:space="preserve"> the </w:t>
      </w:r>
      <w:r>
        <w:rPr>
          <w:kern w:val="0"/>
        </w:rPr>
        <w:t>impact factor</w:t>
      </w:r>
      <w:r w:rsidR="00427468">
        <w:rPr>
          <w:kern w:val="0"/>
        </w:rPr>
        <w:t xml:space="preserve"> of </w:t>
      </w:r>
      <w:r>
        <w:rPr>
          <w:kern w:val="0"/>
        </w:rPr>
        <w:t>a journal</w:t>
      </w:r>
      <w:r w:rsidR="00A37C1D">
        <w:rPr>
          <w:kern w:val="0"/>
        </w:rPr>
        <w:t>. The</w:t>
      </w:r>
      <w:r w:rsidR="003A1917">
        <w:rPr>
          <w:kern w:val="0"/>
        </w:rPr>
        <w:t xml:space="preserve"> </w:t>
      </w:r>
      <w:r>
        <w:rPr>
          <w:kern w:val="0"/>
        </w:rPr>
        <w:t>creation</w:t>
      </w:r>
      <w:r w:rsidR="00427468">
        <w:rPr>
          <w:kern w:val="0"/>
        </w:rPr>
        <w:t xml:space="preserve"> of </w:t>
      </w:r>
      <w:r>
        <w:rPr>
          <w:kern w:val="0"/>
        </w:rPr>
        <w:t>an independent impact factor in Europe</w:t>
      </w:r>
      <w:r w:rsidR="005853A9">
        <w:rPr>
          <w:kern w:val="0"/>
        </w:rPr>
        <w:t xml:space="preserve"> and </w:t>
      </w:r>
      <w:r w:rsidR="003A1917">
        <w:rPr>
          <w:kern w:val="0"/>
        </w:rPr>
        <w:t xml:space="preserve">the </w:t>
      </w:r>
      <w:r>
        <w:rPr>
          <w:kern w:val="0"/>
        </w:rPr>
        <w:t>development</w:t>
      </w:r>
      <w:r w:rsidR="00427468">
        <w:rPr>
          <w:kern w:val="0"/>
        </w:rPr>
        <w:t xml:space="preserve"> of </w:t>
      </w:r>
      <w:r>
        <w:rPr>
          <w:kern w:val="0"/>
        </w:rPr>
        <w:t>an EU-based citation data bank which allows unselected access to national language scientific literature are strongly needed.</w:t>
      </w:r>
    </w:p>
    <w:p w:rsidR="00F526D5" w:rsidRDefault="00F526D5" w:rsidP="00F526D5">
      <w:pPr>
        <w:pStyle w:val="a3"/>
        <w:rPr>
          <w:kern w:val="0"/>
        </w:rPr>
      </w:pPr>
      <w:r>
        <w:rPr>
          <w:kern w:val="0"/>
        </w:rPr>
        <w:t>Keywords: Citation, Citations, European Citations Databank, Impact Factor, Journals, Language, Medicine, Publications, Research, Science, Self-Citation, Self-Citations, US</w:t>
      </w:r>
    </w:p>
    <w:p w:rsidR="00533624" w:rsidRPr="00C73C58" w:rsidRDefault="00533624" w:rsidP="00533624">
      <w:pPr>
        <w:pStyle w:val="1"/>
      </w:pPr>
      <w:r w:rsidRPr="00C73C58">
        <w:br w:type="page"/>
      </w:r>
      <w:bookmarkStart w:id="226" w:name="_Toc420814990"/>
      <w:r w:rsidRPr="00C73C58">
        <w:lastRenderedPageBreak/>
        <w:t xml:space="preserve">Title: </w:t>
      </w:r>
      <w:r w:rsidRPr="00E7058C">
        <w:rPr>
          <w:iCs w:val="0"/>
        </w:rPr>
        <w:t>Chronobiology International</w:t>
      </w:r>
      <w:bookmarkEnd w:id="226"/>
    </w:p>
    <w:p w:rsidR="00533624" w:rsidRPr="00C73C58" w:rsidRDefault="00533624" w:rsidP="00533624">
      <w:pPr>
        <w:pStyle w:val="12"/>
      </w:pPr>
      <w:r w:rsidRPr="00C73C58">
        <w:t xml:space="preserve">Full Journal Title: </w:t>
      </w:r>
      <w:r w:rsidRPr="00E7058C">
        <w:rPr>
          <w:iCs/>
          <w:kern w:val="0"/>
        </w:rPr>
        <w:t>Chronobiology International</w:t>
      </w:r>
    </w:p>
    <w:p w:rsidR="00533624" w:rsidRPr="00C73C58" w:rsidRDefault="00533624" w:rsidP="00533624">
      <w:pPr>
        <w:pStyle w:val="12"/>
      </w:pPr>
      <w:r w:rsidRPr="00C73C58">
        <w:t>ISO Abbre</w:t>
      </w:r>
      <w:r>
        <w:t xml:space="preserve">viated Title: </w:t>
      </w:r>
    </w:p>
    <w:p w:rsidR="00533624" w:rsidRPr="00C73C58" w:rsidRDefault="00533624" w:rsidP="00533624">
      <w:pPr>
        <w:pStyle w:val="12"/>
      </w:pPr>
      <w:r w:rsidRPr="00C73C58">
        <w:t xml:space="preserve">JCR Abbreviated Title: </w:t>
      </w:r>
    </w:p>
    <w:p w:rsidR="00533624" w:rsidRPr="00C73C58" w:rsidRDefault="00533624" w:rsidP="00533624">
      <w:pPr>
        <w:pStyle w:val="12"/>
      </w:pPr>
      <w:r w:rsidRPr="00C73C58">
        <w:t xml:space="preserve">ISSN: </w:t>
      </w:r>
    </w:p>
    <w:p w:rsidR="00533624" w:rsidRPr="00C73C58" w:rsidRDefault="00533624" w:rsidP="00533624">
      <w:pPr>
        <w:pStyle w:val="12"/>
      </w:pPr>
      <w:r w:rsidRPr="00C73C58">
        <w:t xml:space="preserve">Issues/Year: </w:t>
      </w:r>
    </w:p>
    <w:p w:rsidR="00533624" w:rsidRPr="00C73C58" w:rsidRDefault="00533624" w:rsidP="00533624">
      <w:pPr>
        <w:pStyle w:val="12"/>
      </w:pPr>
      <w:r w:rsidRPr="00C73C58">
        <w:t xml:space="preserve">Journal Country/Territory: </w:t>
      </w:r>
    </w:p>
    <w:p w:rsidR="00533624" w:rsidRPr="00C73C58" w:rsidRDefault="00533624" w:rsidP="00533624">
      <w:pPr>
        <w:pStyle w:val="12"/>
      </w:pPr>
      <w:r w:rsidRPr="00C73C58">
        <w:t xml:space="preserve">Language: </w:t>
      </w:r>
    </w:p>
    <w:p w:rsidR="00533624" w:rsidRPr="00C73C58" w:rsidRDefault="00533624" w:rsidP="00533624">
      <w:pPr>
        <w:pStyle w:val="12"/>
      </w:pPr>
      <w:r w:rsidRPr="00C73C58">
        <w:t xml:space="preserve">Publisher: </w:t>
      </w:r>
    </w:p>
    <w:p w:rsidR="00533624" w:rsidRPr="00C73C58" w:rsidRDefault="00533624" w:rsidP="00533624">
      <w:pPr>
        <w:pStyle w:val="12"/>
      </w:pPr>
      <w:r w:rsidRPr="00C73C58">
        <w:t xml:space="preserve">Publisher Address: </w:t>
      </w:r>
    </w:p>
    <w:p w:rsidR="00533624" w:rsidRPr="00C73C58" w:rsidRDefault="00533624" w:rsidP="00533624">
      <w:pPr>
        <w:pStyle w:val="12"/>
      </w:pPr>
      <w:r w:rsidRPr="00C73C58">
        <w:t xml:space="preserve">Subject Categories: </w:t>
      </w:r>
    </w:p>
    <w:p w:rsidR="00533624" w:rsidRPr="00C73C58" w:rsidRDefault="00533624" w:rsidP="00533624">
      <w:pPr>
        <w:pStyle w:val="12"/>
      </w:pPr>
      <w:r w:rsidRPr="00C73C58">
        <w:t xml:space="preserve">: Impact Factor </w:t>
      </w:r>
    </w:p>
    <w:p w:rsidR="00533624" w:rsidRDefault="00533624" w:rsidP="00533624">
      <w:pPr>
        <w:pStyle w:val="a3"/>
        <w:rPr>
          <w:kern w:val="0"/>
        </w:rPr>
      </w:pPr>
      <w:r>
        <w:rPr>
          <w:rFonts w:hint="eastAsia"/>
          <w:kern w:val="0"/>
        </w:rPr>
        <w:t xml:space="preserve">? </w:t>
      </w:r>
      <w:r>
        <w:rPr>
          <w:kern w:val="0"/>
        </w:rPr>
        <w:t>Schlarb, A.A., Sopp, R., Ambiel, D.</w:t>
      </w:r>
      <w:r w:rsidR="005853A9">
        <w:rPr>
          <w:kern w:val="0"/>
        </w:rPr>
        <w:t xml:space="preserve"> and </w:t>
      </w:r>
      <w:r>
        <w:rPr>
          <w:kern w:val="0"/>
        </w:rPr>
        <w:t>Grunwald, J. (2014), Chronotype-related differences in childhood</w:t>
      </w:r>
      <w:r w:rsidR="005853A9">
        <w:rPr>
          <w:kern w:val="0"/>
        </w:rPr>
        <w:t xml:space="preserve"> and </w:t>
      </w:r>
      <w:r>
        <w:rPr>
          <w:kern w:val="0"/>
        </w:rPr>
        <w:t>adolescent aggression</w:t>
      </w:r>
      <w:r w:rsidR="005853A9">
        <w:rPr>
          <w:kern w:val="0"/>
        </w:rPr>
        <w:t xml:space="preserve"> and </w:t>
      </w:r>
      <w:r>
        <w:rPr>
          <w:kern w:val="0"/>
        </w:rPr>
        <w:t>antisocial behavior</w:t>
      </w:r>
      <w:r>
        <w:rPr>
          <w:rFonts w:hint="eastAsia"/>
          <w:kern w:val="0"/>
        </w:rPr>
        <w:t>:</w:t>
      </w:r>
      <w:r>
        <w:rPr>
          <w:kern w:val="0"/>
        </w:rPr>
        <w:t xml:space="preserve"> A review</w:t>
      </w:r>
      <w:r w:rsidR="00427468">
        <w:rPr>
          <w:kern w:val="0"/>
        </w:rPr>
        <w:t xml:space="preserve"> of </w:t>
      </w:r>
      <w:r>
        <w:rPr>
          <w:kern w:val="0"/>
        </w:rPr>
        <w:t xml:space="preserve">the literature. </w:t>
      </w:r>
      <w:r w:rsidRPr="00E7058C">
        <w:rPr>
          <w:i/>
          <w:iCs/>
          <w:kern w:val="0"/>
        </w:rPr>
        <w:t>Chronobiology International</w:t>
      </w:r>
      <w:r>
        <w:rPr>
          <w:kern w:val="0"/>
        </w:rPr>
        <w:t xml:space="preserve">, </w:t>
      </w:r>
      <w:r>
        <w:rPr>
          <w:b/>
          <w:bCs/>
          <w:kern w:val="0"/>
        </w:rPr>
        <w:t>31</w:t>
      </w:r>
      <w:r>
        <w:rPr>
          <w:kern w:val="0"/>
        </w:rPr>
        <w:t xml:space="preserve"> (1), 1-16.</w:t>
      </w:r>
    </w:p>
    <w:p w:rsidR="00533624" w:rsidRDefault="00533624" w:rsidP="00533624">
      <w:pPr>
        <w:pStyle w:val="a3"/>
        <w:rPr>
          <w:kern w:val="0"/>
        </w:rPr>
      </w:pPr>
      <w:r>
        <w:rPr>
          <w:rFonts w:hint="eastAsia"/>
          <w:kern w:val="0"/>
        </w:rPr>
        <w:t xml:space="preserve">Full Text: </w:t>
      </w:r>
      <w:hyperlink r:id="rId271" w:history="1">
        <w:r w:rsidRPr="00E7058C">
          <w:rPr>
            <w:rStyle w:val="a5"/>
            <w:kern w:val="0"/>
          </w:rPr>
          <w:t>2014\Chr Int31, 1.pdf</w:t>
        </w:r>
      </w:hyperlink>
    </w:p>
    <w:p w:rsidR="00533624" w:rsidRDefault="00533624" w:rsidP="00533624">
      <w:pPr>
        <w:pStyle w:val="a3"/>
        <w:rPr>
          <w:kern w:val="0"/>
        </w:rPr>
      </w:pPr>
      <w:r>
        <w:rPr>
          <w:kern w:val="0"/>
        </w:rPr>
        <w:t>Abstract: Eveningness has been found to negatively affect adolescents</w:t>
      </w:r>
      <w:r w:rsidR="0071223E">
        <w:rPr>
          <w:kern w:val="0"/>
        </w:rPr>
        <w:t>’</w:t>
      </w:r>
      <w:r>
        <w:rPr>
          <w:kern w:val="0"/>
        </w:rPr>
        <w:t xml:space="preserve"> sleep</w:t>
      </w:r>
      <w:r w:rsidR="005853A9">
        <w:rPr>
          <w:kern w:val="0"/>
        </w:rPr>
        <w:t xml:space="preserve"> and </w:t>
      </w:r>
      <w:r>
        <w:rPr>
          <w:kern w:val="0"/>
        </w:rPr>
        <w:t>daytime functioning. Furthermore, eveningness is associated with greater impulsivity than morningness. Externalizing behavior could be chronotype-related, implying that the alteration</w:t>
      </w:r>
      <w:r w:rsidR="00427468">
        <w:rPr>
          <w:kern w:val="0"/>
        </w:rPr>
        <w:t xml:space="preserve"> of </w:t>
      </w:r>
      <w:r>
        <w:rPr>
          <w:kern w:val="0"/>
        </w:rPr>
        <w:t>the circadian rhythm itself is connected to aspects</w:t>
      </w:r>
      <w:r w:rsidR="00427468">
        <w:rPr>
          <w:kern w:val="0"/>
        </w:rPr>
        <w:t xml:space="preserve"> of </w:t>
      </w:r>
      <w:r>
        <w:rPr>
          <w:kern w:val="0"/>
        </w:rPr>
        <w:t>emotion</w:t>
      </w:r>
      <w:r w:rsidR="005853A9">
        <w:rPr>
          <w:kern w:val="0"/>
        </w:rPr>
        <w:t xml:space="preserve"> and </w:t>
      </w:r>
      <w:r>
        <w:rPr>
          <w:kern w:val="0"/>
        </w:rPr>
        <w:t>emotion regulation</w:t>
      </w:r>
      <w:r w:rsidR="00A37C1D">
        <w:rPr>
          <w:kern w:val="0"/>
        </w:rPr>
        <w:t>. The</w:t>
      </w:r>
      <w:r>
        <w:rPr>
          <w:kern w:val="0"/>
        </w:rPr>
        <w:t xml:space="preserve"> present study investigated chronotype-related differences in emotional</w:t>
      </w:r>
      <w:r w:rsidR="005853A9">
        <w:rPr>
          <w:kern w:val="0"/>
        </w:rPr>
        <w:t xml:space="preserve"> and </w:t>
      </w:r>
      <w:r>
        <w:rPr>
          <w:kern w:val="0"/>
        </w:rPr>
        <w:t>behavioral problems, especially aggression</w:t>
      </w:r>
      <w:r w:rsidR="005853A9">
        <w:rPr>
          <w:kern w:val="0"/>
        </w:rPr>
        <w:t xml:space="preserve"> and </w:t>
      </w:r>
      <w:r>
        <w:rPr>
          <w:kern w:val="0"/>
        </w:rPr>
        <w:t>antisocial behavior in children</w:t>
      </w:r>
      <w:r w:rsidR="005853A9">
        <w:rPr>
          <w:kern w:val="0"/>
        </w:rPr>
        <w:t xml:space="preserve"> and </w:t>
      </w:r>
      <w:r>
        <w:rPr>
          <w:kern w:val="0"/>
        </w:rPr>
        <w:t>adolescents. We conducted a comprehensive search via web</w:t>
      </w:r>
      <w:r w:rsidR="00427468">
        <w:rPr>
          <w:kern w:val="0"/>
        </w:rPr>
        <w:t xml:space="preserve"> of </w:t>
      </w:r>
      <w:r>
        <w:rPr>
          <w:kern w:val="0"/>
        </w:rPr>
        <w:t>knowledge (MEDLINE, web</w:t>
      </w:r>
      <w:r w:rsidR="00427468">
        <w:rPr>
          <w:kern w:val="0"/>
        </w:rPr>
        <w:t xml:space="preserve"> of </w:t>
      </w:r>
      <w:r>
        <w:rPr>
          <w:kern w:val="0"/>
        </w:rPr>
        <w:t>science), EBSCO, Ovid, PubMed, Google Scholar</w:t>
      </w:r>
      <w:r w:rsidR="005853A9">
        <w:rPr>
          <w:kern w:val="0"/>
        </w:rPr>
        <w:t xml:space="preserve"> and </w:t>
      </w:r>
      <w:r>
        <w:rPr>
          <w:kern w:val="0"/>
        </w:rPr>
        <w:t>PsycINDEX using the keywords: chronotype, chronobiology, morningness, eveningness, owls</w:t>
      </w:r>
      <w:r w:rsidR="005853A9">
        <w:rPr>
          <w:kern w:val="0"/>
        </w:rPr>
        <w:t xml:space="preserve"> and </w:t>
      </w:r>
      <w:r>
        <w:rPr>
          <w:kern w:val="0"/>
        </w:rPr>
        <w:t>larks as well as diurnal preference to fully capture every aspect</w:t>
      </w:r>
      <w:r w:rsidR="00427468">
        <w:rPr>
          <w:kern w:val="0"/>
        </w:rPr>
        <w:t xml:space="preserve"> of </w:t>
      </w:r>
      <w:r>
        <w:rPr>
          <w:kern w:val="0"/>
        </w:rPr>
        <w:t>chronotype. For aggression we used the search terms: aggression, anger, hostility, violence, anti-social behavior, conduct disorder, oppositional defiant disorder, delinquency, social adjustment</w:t>
      </w:r>
      <w:r w:rsidR="005853A9">
        <w:rPr>
          <w:kern w:val="0"/>
        </w:rPr>
        <w:t xml:space="preserve"> and </w:t>
      </w:r>
      <w:r>
        <w:rPr>
          <w:kern w:val="0"/>
        </w:rPr>
        <w:t>externalizing behavior. N = 13 studies were included concerning chronotype, childhood, adolescence</w:t>
      </w:r>
      <w:r w:rsidR="005853A9">
        <w:rPr>
          <w:kern w:val="0"/>
        </w:rPr>
        <w:t xml:space="preserve"> and </w:t>
      </w:r>
      <w:r>
        <w:rPr>
          <w:kern w:val="0"/>
        </w:rPr>
        <w:t>antisocial behavior. Results showed that children</w:t>
      </w:r>
      <w:r w:rsidR="005853A9">
        <w:rPr>
          <w:kern w:val="0"/>
        </w:rPr>
        <w:t xml:space="preserve"> and </w:t>
      </w:r>
      <w:r>
        <w:rPr>
          <w:kern w:val="0"/>
        </w:rPr>
        <w:t>adolescents being E-types were more affected by daytime impairments. Additionally, behavioral</w:t>
      </w:r>
      <w:r w:rsidR="005853A9">
        <w:rPr>
          <w:kern w:val="0"/>
        </w:rPr>
        <w:t xml:space="preserve"> and </w:t>
      </w:r>
      <w:r>
        <w:rPr>
          <w:kern w:val="0"/>
        </w:rPr>
        <w:t>emotional problems as aggression or antisocial behavior were more pronounced in E-than in M-types. Our findings support an association</w:t>
      </w:r>
      <w:r w:rsidR="00427468">
        <w:rPr>
          <w:kern w:val="0"/>
        </w:rPr>
        <w:t xml:space="preserve"> of </w:t>
      </w:r>
      <w:r>
        <w:rPr>
          <w:kern w:val="0"/>
        </w:rPr>
        <w:t>eveningness</w:t>
      </w:r>
      <w:r w:rsidR="005853A9">
        <w:rPr>
          <w:kern w:val="0"/>
        </w:rPr>
        <w:t xml:space="preserve"> and </w:t>
      </w:r>
      <w:r>
        <w:rPr>
          <w:kern w:val="0"/>
        </w:rPr>
        <w:t>the impact</w:t>
      </w:r>
      <w:r w:rsidR="00427468">
        <w:rPr>
          <w:kern w:val="0"/>
        </w:rPr>
        <w:t xml:space="preserve"> of </w:t>
      </w:r>
      <w:r>
        <w:rPr>
          <w:kern w:val="0"/>
        </w:rPr>
        <w:t>aggression on children</w:t>
      </w:r>
      <w:r w:rsidR="005853A9">
        <w:rPr>
          <w:kern w:val="0"/>
        </w:rPr>
        <w:t xml:space="preserve"> and </w:t>
      </w:r>
      <w:r>
        <w:rPr>
          <w:kern w:val="0"/>
        </w:rPr>
        <w:t>adolescents. Longitudinal investigations should be conducted in order to insure causality</w:t>
      </w:r>
      <w:r w:rsidR="00427468">
        <w:rPr>
          <w:kern w:val="0"/>
        </w:rPr>
        <w:t xml:space="preserve"> of </w:t>
      </w:r>
      <w:r>
        <w:rPr>
          <w:kern w:val="0"/>
        </w:rPr>
        <w:t>the effects in question. in addition, the elevated vulnerability toward aggression in evening types demonstrates the need for prevention</w:t>
      </w:r>
      <w:r w:rsidR="005853A9">
        <w:rPr>
          <w:kern w:val="0"/>
        </w:rPr>
        <w:t xml:space="preserve"> and </w:t>
      </w:r>
      <w:r>
        <w:rPr>
          <w:kern w:val="0"/>
        </w:rPr>
        <w:lastRenderedPageBreak/>
        <w:t>intervention programs that educate youths in proper sleep hygiene</w:t>
      </w:r>
      <w:r w:rsidR="005853A9">
        <w:rPr>
          <w:kern w:val="0"/>
        </w:rPr>
        <w:t xml:space="preserve"> and </w:t>
      </w:r>
      <w:r>
        <w:rPr>
          <w:kern w:val="0"/>
        </w:rPr>
        <w:t>evoke an awareness</w:t>
      </w:r>
      <w:r w:rsidR="00427468">
        <w:rPr>
          <w:kern w:val="0"/>
        </w:rPr>
        <w:t xml:space="preserve"> of </w:t>
      </w:r>
      <w:r>
        <w:rPr>
          <w:kern w:val="0"/>
        </w:rPr>
        <w:t>the consequences</w:t>
      </w:r>
      <w:r w:rsidR="00427468">
        <w:rPr>
          <w:kern w:val="0"/>
        </w:rPr>
        <w:t xml:space="preserve"> of </w:t>
      </w:r>
      <w:r>
        <w:rPr>
          <w:kern w:val="0"/>
        </w:rPr>
        <w:t>a habitually diminished sleep quality.</w:t>
      </w:r>
    </w:p>
    <w:p w:rsidR="00533624" w:rsidRDefault="00533624" w:rsidP="00533624">
      <w:pPr>
        <w:pStyle w:val="a3"/>
        <w:rPr>
          <w:kern w:val="0"/>
        </w:rPr>
      </w:pPr>
      <w:r>
        <w:rPr>
          <w:kern w:val="0"/>
        </w:rPr>
        <w:t>Keywords: Adolescence, Adolescent, Adolescents, Aggression, Association, Behavior, Causality, Cem, Childhood, Children, Chronobiology, Circadian Rhythm, Circadian-Rhythm, Conduct Disorder, Cortisol, Delayed Phase, Difficulties Questionnaire, Diurnal Preference, Effects, Emotional Behavior, Google, Google Scholar, Hygiene, Impact, Intervention, Investigations, Knowledge, Literature, Medline, Morningness-Eveningness, Morningness-Eveningness, N, Preference, Prevention, Pubmed, Quality, Regulation, Results, Review, Science, Serotonin, Sleep, Sleep-Deprivation, Social, Support, Violence, Vulnerability, Web, Web</w:t>
      </w:r>
      <w:r w:rsidR="00427468">
        <w:rPr>
          <w:kern w:val="0"/>
        </w:rPr>
        <w:t xml:space="preserve"> of </w:t>
      </w:r>
      <w:r>
        <w:rPr>
          <w:kern w:val="0"/>
        </w:rPr>
        <w:t>Science, Young-Adults</w:t>
      </w:r>
    </w:p>
    <w:p w:rsidR="002C0FA4" w:rsidRPr="001A3D2B" w:rsidRDefault="002C0FA4" w:rsidP="002C0FA4">
      <w:pPr>
        <w:pStyle w:val="1"/>
      </w:pPr>
      <w:r w:rsidRPr="001A3D2B">
        <w:br w:type="page"/>
      </w:r>
      <w:bookmarkStart w:id="227" w:name="_Toc420814991"/>
      <w:r w:rsidRPr="001A3D2B">
        <w:lastRenderedPageBreak/>
        <w:t xml:space="preserve">Title: </w:t>
      </w:r>
      <w:r w:rsidRPr="002C0FA4">
        <w:t>Chronic Respiratory Disease</w:t>
      </w:r>
      <w:bookmarkEnd w:id="227"/>
    </w:p>
    <w:p w:rsidR="002C0FA4" w:rsidRPr="001A3D2B" w:rsidRDefault="002C0FA4" w:rsidP="002C0FA4">
      <w:pPr>
        <w:pStyle w:val="12"/>
      </w:pPr>
      <w:r w:rsidRPr="001A3D2B">
        <w:t xml:space="preserve">Full Journal Title: </w:t>
      </w:r>
      <w:r w:rsidRPr="002C0FA4">
        <w:rPr>
          <w:iCs/>
        </w:rPr>
        <w:t>Chronic Respiratory Disease</w:t>
      </w:r>
    </w:p>
    <w:p w:rsidR="002C0FA4" w:rsidRPr="001A3D2B" w:rsidRDefault="002C0FA4" w:rsidP="002C0FA4">
      <w:pPr>
        <w:pStyle w:val="12"/>
      </w:pPr>
      <w:r w:rsidRPr="001A3D2B">
        <w:t xml:space="preserve">ISO Abbreviated Title: </w:t>
      </w:r>
    </w:p>
    <w:p w:rsidR="002C0FA4" w:rsidRPr="001A3D2B" w:rsidRDefault="002C0FA4" w:rsidP="002C0FA4">
      <w:pPr>
        <w:pStyle w:val="12"/>
      </w:pPr>
      <w:r w:rsidRPr="001A3D2B">
        <w:t xml:space="preserve">JCR Abbreviated Title: </w:t>
      </w:r>
    </w:p>
    <w:p w:rsidR="002C0FA4" w:rsidRPr="001A3D2B" w:rsidRDefault="002C0FA4" w:rsidP="002C0FA4">
      <w:pPr>
        <w:pStyle w:val="12"/>
      </w:pPr>
      <w:r w:rsidRPr="001A3D2B">
        <w:t xml:space="preserve">ISSN: </w:t>
      </w:r>
    </w:p>
    <w:p w:rsidR="002C0FA4" w:rsidRPr="001A3D2B" w:rsidRDefault="002C0FA4" w:rsidP="002C0FA4">
      <w:pPr>
        <w:pStyle w:val="12"/>
      </w:pPr>
      <w:r w:rsidRPr="001A3D2B">
        <w:t xml:space="preserve">Issues/Year: </w:t>
      </w:r>
    </w:p>
    <w:p w:rsidR="002C0FA4" w:rsidRPr="001A3D2B" w:rsidRDefault="002C0FA4" w:rsidP="002C0FA4">
      <w:pPr>
        <w:pStyle w:val="12"/>
      </w:pPr>
      <w:r w:rsidRPr="001A3D2B">
        <w:t xml:space="preserve">Journal Country/Territory: </w:t>
      </w:r>
    </w:p>
    <w:p w:rsidR="002C0FA4" w:rsidRPr="001A3D2B" w:rsidRDefault="002C0FA4" w:rsidP="002C0FA4">
      <w:pPr>
        <w:pStyle w:val="12"/>
      </w:pPr>
      <w:r w:rsidRPr="001A3D2B">
        <w:t xml:space="preserve">Language: </w:t>
      </w:r>
    </w:p>
    <w:p w:rsidR="002C0FA4" w:rsidRPr="001A3D2B" w:rsidRDefault="002C0FA4" w:rsidP="002C0FA4">
      <w:pPr>
        <w:pStyle w:val="12"/>
      </w:pPr>
      <w:r w:rsidRPr="001A3D2B">
        <w:t xml:space="preserve">Publisher: </w:t>
      </w:r>
    </w:p>
    <w:p w:rsidR="002C0FA4" w:rsidRPr="001A3D2B" w:rsidRDefault="002C0FA4" w:rsidP="002C0FA4">
      <w:pPr>
        <w:pStyle w:val="12"/>
      </w:pPr>
      <w:r w:rsidRPr="001A3D2B">
        <w:t xml:space="preserve">Publisher Address: </w:t>
      </w:r>
    </w:p>
    <w:p w:rsidR="002C0FA4" w:rsidRPr="001A3D2B" w:rsidRDefault="002C0FA4" w:rsidP="002C0FA4">
      <w:pPr>
        <w:pStyle w:val="12"/>
      </w:pPr>
      <w:r w:rsidRPr="001A3D2B">
        <w:t>Subject Categories:</w:t>
      </w:r>
    </w:p>
    <w:p w:rsidR="002C0FA4" w:rsidRDefault="002C0FA4" w:rsidP="002C0FA4">
      <w:pPr>
        <w:pStyle w:val="a3"/>
      </w:pPr>
      <w:r>
        <w:rPr>
          <w:rFonts w:hint="eastAsia"/>
        </w:rPr>
        <w:t xml:space="preserve">? </w:t>
      </w:r>
      <w:r>
        <w:t xml:space="preserve">Raoof, S.A., Agaku, I.T. and Vardavas, C.I. (2015), A systematic review of secondhand smoke exposure in a car: Attributable changes in atmospheric and biological markers. </w:t>
      </w:r>
      <w:r w:rsidRPr="002C0FA4">
        <w:rPr>
          <w:i/>
          <w:iCs/>
        </w:rPr>
        <w:t>Chronic Respiratory Disease</w:t>
      </w:r>
      <w:r>
        <w:t xml:space="preserve">, </w:t>
      </w:r>
      <w:r>
        <w:rPr>
          <w:b/>
          <w:bCs/>
        </w:rPr>
        <w:t>12</w:t>
      </w:r>
      <w:r>
        <w:t xml:space="preserve"> (2), 120-131.</w:t>
      </w:r>
    </w:p>
    <w:p w:rsidR="002C0FA4" w:rsidRDefault="002C0FA4" w:rsidP="002C0FA4">
      <w:pPr>
        <w:pStyle w:val="a3"/>
      </w:pPr>
      <w:r>
        <w:rPr>
          <w:rFonts w:hint="eastAsia"/>
        </w:rPr>
        <w:t xml:space="preserve">Full Text: </w:t>
      </w:r>
      <w:hyperlink r:id="rId272" w:history="1">
        <w:r w:rsidRPr="002C0FA4">
          <w:rPr>
            <w:rStyle w:val="a5"/>
          </w:rPr>
          <w:t>2015\Chr Res Dis12, 120.pdf</w:t>
        </w:r>
      </w:hyperlink>
    </w:p>
    <w:p w:rsidR="002C0FA4" w:rsidRDefault="002C0FA4" w:rsidP="002C0FA4">
      <w:pPr>
        <w:pStyle w:val="a3"/>
      </w:pPr>
      <w:r>
        <w:t>Abstract: Exposure to secondhand smoke (SHS) has been linked to disease, disability, and premature death. While several countries have enacted smoke-free legislations, exposure to SHS may still occur in unregulated private environments, such as in the family car. We performed a systematic review of peer-reviewed literature in PubMed and Web of Science up to May 2013. Articles were selected if they provided a quantitative measure of SHS exposure (biological or atmospheric markers); the study was conducted inside a car; and the assessed exposure was attributable to cigarette combustion. From 202 articles identified, 12 met the inclusion criteria. Among all studies that assessed smoking in cars with at least one window partially open, the particulate matter 2.5 m or less in diameter (PM2.5) concentrations ranged from 47 g/m(3) to 12,150 g/m(3). For studies with all windows closed, PM2.5 ranged from 203.6 g/m(3) to 13,150 g/m(3). SHS concentration in a car was mediated by air-conditioning status, extent of airflow, and driving speed. Smoking in cars leads to extremely high exposure to SHS and increased concentration of atmospheric markers of exposureeven in the presence of air-conditioning or increased airflow from open windows. This clearly shows that the only way to protect nonsmokers, especially children, from SHS within cars is by eliminating tobacco smoking.</w:t>
      </w:r>
    </w:p>
    <w:p w:rsidR="002C0FA4" w:rsidRDefault="002C0FA4" w:rsidP="002C0FA4">
      <w:pPr>
        <w:pStyle w:val="a3"/>
      </w:pPr>
      <w:r>
        <w:t xml:space="preserve">Keywords: 2nd-Hand Smoke, Articles, Bar, Biological, Biomarkers, Car, Changes, Children, Cigarettes, Combustion, Concentration, Criteria, Death, Disability, Disease, Driving, Environmental Tobacco-Smoke, Exposure, Family, Free Legislation, Literature, Measure, Motor-Vehicles, Open, Particulate, Particulate Matter, Peer-Reviewed, Pm2.5, Premature, Pubmed, Review, Science, Secondhand Smoke, </w:t>
      </w:r>
      <w:r>
        <w:lastRenderedPageBreak/>
        <w:t>Smoking, Systematic Review, Tobacco, Ventilation, Web Of Science, Workers</w:t>
      </w:r>
    </w:p>
    <w:p w:rsidR="003474F2" w:rsidRPr="001A3D2B" w:rsidRDefault="003474F2" w:rsidP="003474F2">
      <w:pPr>
        <w:pStyle w:val="1"/>
      </w:pPr>
      <w:r w:rsidRPr="001A3D2B">
        <w:br w:type="page"/>
      </w:r>
      <w:bookmarkStart w:id="228" w:name="_Toc420814992"/>
      <w:r w:rsidRPr="001A3D2B">
        <w:lastRenderedPageBreak/>
        <w:t>Title: Ciencia da Informacao Ciencia da Informacao</w:t>
      </w:r>
      <w:bookmarkEnd w:id="228"/>
    </w:p>
    <w:p w:rsidR="003474F2" w:rsidRPr="001A3D2B" w:rsidRDefault="003474F2" w:rsidP="003474F2">
      <w:pPr>
        <w:pStyle w:val="12"/>
      </w:pPr>
      <w:r w:rsidRPr="001A3D2B">
        <w:t>Full Journal Title: Ciencia da Informacao Ciencia da Informacao</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a3"/>
      </w:pPr>
      <w:r w:rsidRPr="001A3D2B">
        <w:t>? guiar Poblacin, D.</w:t>
      </w:r>
      <w:r w:rsidR="005853A9">
        <w:t xml:space="preserve"> and </w:t>
      </w:r>
      <w:r w:rsidRPr="001A3D2B">
        <w:t xml:space="preserve">Pires Noronha, D. (2002), </w:t>
      </w:r>
      <w:r w:rsidR="00B5188C">
        <w:t>“</w:t>
      </w:r>
      <w:r w:rsidRPr="001A3D2B">
        <w:t>White</w:t>
      </w:r>
      <w:r w:rsidR="00B5188C">
        <w:t>”</w:t>
      </w:r>
      <w:r w:rsidR="005853A9">
        <w:t xml:space="preserve"> and </w:t>
      </w:r>
      <w:r w:rsidR="00B5188C">
        <w:t>“</w:t>
      </w:r>
      <w:r w:rsidRPr="001A3D2B">
        <w:t>grey</w:t>
      </w:r>
      <w:r w:rsidR="00B5188C">
        <w:t>”</w:t>
      </w:r>
      <w:r w:rsidRPr="001A3D2B">
        <w:t xml:space="preserve"> literature produced in information science by doctors/lectures from</w:t>
      </w:r>
      <w:r w:rsidR="003A1917">
        <w:t xml:space="preserve"> the </w:t>
      </w:r>
      <w:r w:rsidRPr="001A3D2B">
        <w:t xml:space="preserve">Brazilian graduate programs. </w:t>
      </w:r>
      <w:r w:rsidRPr="001A3D2B">
        <w:rPr>
          <w:i/>
          <w:iCs/>
        </w:rPr>
        <w:t>Ciencia da Informacao Ciencia da Informacao</w:t>
      </w:r>
      <w:r w:rsidRPr="001A3D2B">
        <w:t xml:space="preserve">, </w:t>
      </w:r>
      <w:r w:rsidRPr="001A3D2B">
        <w:rPr>
          <w:b/>
          <w:bCs/>
        </w:rPr>
        <w:t>31</w:t>
      </w:r>
      <w:r w:rsidRPr="001A3D2B">
        <w:t>, (2), 98-106.</w:t>
      </w:r>
    </w:p>
    <w:p w:rsidR="003474F2" w:rsidRPr="001A3D2B" w:rsidRDefault="003474F2" w:rsidP="003474F2">
      <w:pPr>
        <w:pStyle w:val="a3"/>
      </w:pPr>
      <w:r w:rsidRPr="001A3D2B">
        <w:t>Abstract: A scientometric study</w:t>
      </w:r>
      <w:r w:rsidR="00427468">
        <w:t xml:space="preserve"> of </w:t>
      </w:r>
      <w:r w:rsidR="003A1917">
        <w:t xml:space="preserve">the </w:t>
      </w:r>
      <w:r w:rsidRPr="001A3D2B">
        <w:t>doctor/lecturer scientific production</w:t>
      </w:r>
      <w:r w:rsidR="00427468">
        <w:t xml:space="preserve"> of </w:t>
      </w:r>
      <w:r w:rsidRPr="001A3D2B">
        <w:t>information science graduate programs in Brazil was undertaken with</w:t>
      </w:r>
      <w:r w:rsidR="003A1917">
        <w:t xml:space="preserve"> the </w:t>
      </w:r>
      <w:r w:rsidRPr="001A3D2B">
        <w:t>purpose</w:t>
      </w:r>
      <w:r w:rsidR="00427468">
        <w:t xml:space="preserve"> of </w:t>
      </w:r>
      <w:r w:rsidRPr="001A3D2B">
        <w:t>finding</w:t>
      </w:r>
      <w:r w:rsidR="003A1917">
        <w:t xml:space="preserve"> the </w:t>
      </w:r>
      <w:r w:rsidRPr="001A3D2B">
        <w:t>doctors</w:t>
      </w:r>
      <w:r w:rsidR="0071223E">
        <w:t>’</w:t>
      </w:r>
      <w:r w:rsidRPr="001A3D2B">
        <w:t xml:space="preserve"> profiles</w:t>
      </w:r>
      <w:r w:rsidR="005853A9">
        <w:t xml:space="preserve"> and </w:t>
      </w:r>
      <w:r w:rsidR="003A1917">
        <w:t xml:space="preserve">the </w:t>
      </w:r>
      <w:r w:rsidRPr="001A3D2B">
        <w:t>trends</w:t>
      </w:r>
      <w:r w:rsidR="00427468">
        <w:t xml:space="preserve"> of </w:t>
      </w:r>
      <w:r w:rsidR="00B5188C">
        <w:t>“</w:t>
      </w:r>
      <w:r w:rsidRPr="001A3D2B">
        <w:t>white</w:t>
      </w:r>
      <w:r w:rsidR="00B5188C">
        <w:t>”</w:t>
      </w:r>
      <w:r w:rsidR="005853A9">
        <w:t xml:space="preserve"> and </w:t>
      </w:r>
      <w:r w:rsidRPr="001A3D2B">
        <w:t>grey</w:t>
      </w:r>
      <w:r w:rsidR="00B5188C">
        <w:t>”</w:t>
      </w:r>
      <w:r w:rsidRPr="001A3D2B">
        <w:t xml:space="preserve"> literature produced by them</w:t>
      </w:r>
      <w:r w:rsidR="00A37C1D">
        <w:t>. The</w:t>
      </w:r>
      <w:r w:rsidR="003A1917">
        <w:t xml:space="preserve"> </w:t>
      </w:r>
      <w:r w:rsidRPr="001A3D2B">
        <w:t>data were obtained directly from doctors using</w:t>
      </w:r>
      <w:r w:rsidR="003A1917">
        <w:t xml:space="preserve"> the </w:t>
      </w:r>
      <w:r w:rsidRPr="001A3D2B">
        <w:t>Delfos Conference technique. It was found that 66 doctors were developing their studies in 22 research fields; 54.5%</w:t>
      </w:r>
      <w:r w:rsidR="00427468">
        <w:t xml:space="preserve"> of </w:t>
      </w:r>
      <w:r w:rsidRPr="001A3D2B">
        <w:t xml:space="preserve">them graduated in information science. 1108 documents were produced between 1990 to 1999, 59.8% being </w:t>
      </w:r>
      <w:r w:rsidR="00B5188C">
        <w:t>“</w:t>
      </w:r>
      <w:r w:rsidRPr="001A3D2B">
        <w:t>white</w:t>
      </w:r>
      <w:r w:rsidR="00B5188C">
        <w:t>”</w:t>
      </w:r>
      <w:r w:rsidRPr="001A3D2B">
        <w:t xml:space="preserve"> literature, with articles published in scientific journals predominating. Among</w:t>
      </w:r>
      <w:r w:rsidR="003A1917">
        <w:t xml:space="preserve"> the </w:t>
      </w:r>
      <w:r w:rsidR="00B5188C">
        <w:t>“</w:t>
      </w:r>
      <w:r w:rsidRPr="001A3D2B">
        <w:t>grey</w:t>
      </w:r>
      <w:r w:rsidR="00B5188C">
        <w:t>”</w:t>
      </w:r>
      <w:r w:rsidRPr="001A3D2B">
        <w:t xml:space="preserve"> literature, congress communications were more frequent. Individual works are more common. Doctors</w:t>
      </w:r>
      <w:r w:rsidR="0071223E">
        <w:t>’</w:t>
      </w:r>
      <w:r w:rsidRPr="001A3D2B">
        <w:t xml:space="preserve"> scientific production, linked to research fields, has influenced</w:t>
      </w:r>
      <w:r w:rsidR="003A1917">
        <w:t xml:space="preserve"> the </w:t>
      </w:r>
      <w:r w:rsidRPr="001A3D2B">
        <w:t>establishment</w:t>
      </w:r>
      <w:r w:rsidR="00427468">
        <w:t xml:space="preserve"> of </w:t>
      </w:r>
      <w:r w:rsidRPr="001A3D2B">
        <w:t>research groups.</w:t>
      </w:r>
    </w:p>
    <w:p w:rsidR="003474F2" w:rsidRPr="001A3D2B" w:rsidRDefault="003474F2" w:rsidP="003474F2">
      <w:pPr>
        <w:pStyle w:val="a3"/>
      </w:pPr>
      <w:r w:rsidRPr="001A3D2B">
        <w:t>Keywords: Brazil, Communications, Data, Developing, Doctors, Graduate, Information, Information Science, Journals, Literature, Profiles, Purpose, Research, Science, Scientific Journals, Scientific Production, Scientometric, Trends</w:t>
      </w:r>
    </w:p>
    <w:p w:rsidR="00A835C9" w:rsidRPr="001A3D2B" w:rsidRDefault="00A835C9" w:rsidP="00A835C9">
      <w:pPr>
        <w:pStyle w:val="1"/>
      </w:pPr>
      <w:r w:rsidRPr="001A3D2B">
        <w:br w:type="page"/>
      </w:r>
      <w:bookmarkStart w:id="229" w:name="_Toc420814993"/>
      <w:r w:rsidRPr="001A3D2B">
        <w:lastRenderedPageBreak/>
        <w:t xml:space="preserve">Title: </w:t>
      </w:r>
      <w:r w:rsidRPr="00A835C9">
        <w:rPr>
          <w:iCs w:val="0"/>
        </w:rPr>
        <w:t>Ciencia e Investigacion Agraria</w:t>
      </w:r>
      <w:bookmarkEnd w:id="229"/>
    </w:p>
    <w:p w:rsidR="00A835C9" w:rsidRPr="001A3D2B" w:rsidRDefault="00A835C9" w:rsidP="00A835C9">
      <w:pPr>
        <w:pStyle w:val="12"/>
      </w:pPr>
      <w:r w:rsidRPr="001A3D2B">
        <w:t xml:space="preserve">Full Journal Title: </w:t>
      </w:r>
      <w:r w:rsidRPr="00A835C9">
        <w:rPr>
          <w:iCs/>
          <w:kern w:val="0"/>
        </w:rPr>
        <w:t>Ciencia e Investigacion Agraria</w:t>
      </w:r>
    </w:p>
    <w:p w:rsidR="00A835C9" w:rsidRPr="001A3D2B" w:rsidRDefault="00A835C9" w:rsidP="00A835C9">
      <w:pPr>
        <w:pStyle w:val="12"/>
      </w:pPr>
      <w:r w:rsidRPr="001A3D2B">
        <w:t xml:space="preserve">ISO Abbreviated Title: </w:t>
      </w:r>
    </w:p>
    <w:p w:rsidR="00A835C9" w:rsidRPr="001A3D2B" w:rsidRDefault="00A835C9" w:rsidP="00A835C9">
      <w:pPr>
        <w:pStyle w:val="12"/>
      </w:pPr>
      <w:r w:rsidRPr="001A3D2B">
        <w:t xml:space="preserve">JCR Abbreviated Title: </w:t>
      </w:r>
    </w:p>
    <w:p w:rsidR="00A835C9" w:rsidRPr="001A3D2B" w:rsidRDefault="00A835C9" w:rsidP="00A835C9">
      <w:pPr>
        <w:pStyle w:val="12"/>
      </w:pPr>
      <w:r w:rsidRPr="001A3D2B">
        <w:t xml:space="preserve">ISSN: </w:t>
      </w:r>
    </w:p>
    <w:p w:rsidR="00A835C9" w:rsidRPr="001A3D2B" w:rsidRDefault="00A835C9" w:rsidP="00A835C9">
      <w:pPr>
        <w:pStyle w:val="12"/>
      </w:pPr>
      <w:r w:rsidRPr="001A3D2B">
        <w:t xml:space="preserve">Issues/Year: </w:t>
      </w:r>
    </w:p>
    <w:p w:rsidR="00A835C9" w:rsidRPr="001A3D2B" w:rsidRDefault="00A835C9" w:rsidP="00A835C9">
      <w:pPr>
        <w:pStyle w:val="12"/>
      </w:pPr>
      <w:r w:rsidRPr="001A3D2B">
        <w:t xml:space="preserve">Journal Country/Territory: </w:t>
      </w:r>
    </w:p>
    <w:p w:rsidR="00A835C9" w:rsidRPr="001A3D2B" w:rsidRDefault="00A835C9" w:rsidP="00A835C9">
      <w:pPr>
        <w:pStyle w:val="12"/>
      </w:pPr>
      <w:r w:rsidRPr="001A3D2B">
        <w:t xml:space="preserve">Language: </w:t>
      </w:r>
    </w:p>
    <w:p w:rsidR="00A835C9" w:rsidRPr="001A3D2B" w:rsidRDefault="00A835C9" w:rsidP="00A835C9">
      <w:pPr>
        <w:pStyle w:val="12"/>
      </w:pPr>
      <w:r w:rsidRPr="001A3D2B">
        <w:t xml:space="preserve">Publisher: </w:t>
      </w:r>
    </w:p>
    <w:p w:rsidR="00A835C9" w:rsidRPr="001A3D2B" w:rsidRDefault="00A835C9" w:rsidP="00A835C9">
      <w:pPr>
        <w:pStyle w:val="12"/>
      </w:pPr>
      <w:r w:rsidRPr="001A3D2B">
        <w:t xml:space="preserve">Publisher Address: </w:t>
      </w:r>
    </w:p>
    <w:p w:rsidR="00A835C9" w:rsidRPr="001A3D2B" w:rsidRDefault="00A835C9" w:rsidP="00A835C9">
      <w:pPr>
        <w:pStyle w:val="12"/>
      </w:pPr>
      <w:r w:rsidRPr="001A3D2B">
        <w:t>Subject Categories:</w:t>
      </w:r>
    </w:p>
    <w:p w:rsidR="00A835C9" w:rsidRDefault="00A835C9" w:rsidP="00A835C9">
      <w:pPr>
        <w:pStyle w:val="a3"/>
        <w:rPr>
          <w:kern w:val="0"/>
        </w:rPr>
      </w:pPr>
      <w:r>
        <w:rPr>
          <w:rFonts w:hint="eastAsia"/>
          <w:kern w:val="0"/>
        </w:rPr>
        <w:t xml:space="preserve">? </w:t>
      </w:r>
      <w:r>
        <w:rPr>
          <w:kern w:val="0"/>
        </w:rPr>
        <w:t>Aleixandre, J.L., Bordeu, E., Aleixandre-Tudo, J.L., Bolanos, M.</w:t>
      </w:r>
      <w:r w:rsidR="005853A9">
        <w:rPr>
          <w:kern w:val="0"/>
        </w:rPr>
        <w:t xml:space="preserve"> and </w:t>
      </w:r>
      <w:r>
        <w:rPr>
          <w:kern w:val="0"/>
        </w:rPr>
        <w:t>Aleixandre-Benavent, R. (2013), Scientific productivity</w:t>
      </w:r>
      <w:r w:rsidR="005853A9">
        <w:rPr>
          <w:kern w:val="0"/>
        </w:rPr>
        <w:t xml:space="preserve"> and </w:t>
      </w:r>
      <w:r>
        <w:rPr>
          <w:kern w:val="0"/>
        </w:rPr>
        <w:t>collaboration in viticulture</w:t>
      </w:r>
      <w:r w:rsidR="005853A9">
        <w:rPr>
          <w:kern w:val="0"/>
        </w:rPr>
        <w:t xml:space="preserve"> and </w:t>
      </w:r>
      <w:r>
        <w:rPr>
          <w:kern w:val="0"/>
        </w:rPr>
        <w:t xml:space="preserve">enology in Latin American countries. </w:t>
      </w:r>
      <w:r w:rsidRPr="00A835C9">
        <w:rPr>
          <w:i/>
          <w:iCs/>
          <w:kern w:val="0"/>
        </w:rPr>
        <w:t>Ciencia e Investigacion Agraria</w:t>
      </w:r>
      <w:r>
        <w:rPr>
          <w:kern w:val="0"/>
        </w:rPr>
        <w:t xml:space="preserve">, </w:t>
      </w:r>
      <w:r>
        <w:rPr>
          <w:b/>
          <w:bCs/>
          <w:kern w:val="0"/>
        </w:rPr>
        <w:t>40</w:t>
      </w:r>
      <w:r>
        <w:rPr>
          <w:kern w:val="0"/>
        </w:rPr>
        <w:t xml:space="preserve"> (2), 429-443.</w:t>
      </w:r>
    </w:p>
    <w:p w:rsidR="00A835C9" w:rsidRDefault="00A835C9" w:rsidP="00A835C9">
      <w:pPr>
        <w:pStyle w:val="a3"/>
        <w:rPr>
          <w:kern w:val="0"/>
        </w:rPr>
      </w:pPr>
      <w:r>
        <w:rPr>
          <w:rFonts w:hint="eastAsia"/>
          <w:kern w:val="0"/>
        </w:rPr>
        <w:t>Full Text: 2013\</w:t>
      </w:r>
      <w:r>
        <w:rPr>
          <w:iCs/>
          <w:kern w:val="0"/>
        </w:rPr>
        <w:t>Cie Inv Agr</w:t>
      </w:r>
      <w:r w:rsidRPr="00251A6F">
        <w:rPr>
          <w:bCs/>
          <w:kern w:val="0"/>
        </w:rPr>
        <w:t>40</w:t>
      </w:r>
      <w:r>
        <w:rPr>
          <w:kern w:val="0"/>
        </w:rPr>
        <w:t>, 429</w:t>
      </w:r>
      <w:r>
        <w:rPr>
          <w:rFonts w:hint="eastAsia"/>
          <w:kern w:val="0"/>
        </w:rPr>
        <w:t>.pdf</w:t>
      </w:r>
    </w:p>
    <w:p w:rsidR="00A835C9" w:rsidRDefault="00A835C9" w:rsidP="00A835C9">
      <w:pPr>
        <w:pStyle w:val="a3"/>
        <w:rPr>
          <w:kern w:val="0"/>
        </w:rPr>
      </w:pPr>
      <w:r>
        <w:rPr>
          <w:kern w:val="0"/>
        </w:rPr>
        <w:t>Abstract: The aim</w:t>
      </w:r>
      <w:r w:rsidR="00427468">
        <w:rPr>
          <w:kern w:val="0"/>
        </w:rPr>
        <w:t xml:space="preserve"> of </w:t>
      </w:r>
      <w:r>
        <w:rPr>
          <w:kern w:val="0"/>
        </w:rPr>
        <w:t>this study was to analyze the scientific activity</w:t>
      </w:r>
      <w:r w:rsidR="00427468">
        <w:rPr>
          <w:kern w:val="0"/>
        </w:rPr>
        <w:t xml:space="preserve"> of </w:t>
      </w:r>
      <w:r>
        <w:rPr>
          <w:kern w:val="0"/>
        </w:rPr>
        <w:t>Latin American researchers in viticulture</w:t>
      </w:r>
      <w:r w:rsidR="005853A9">
        <w:rPr>
          <w:kern w:val="0"/>
        </w:rPr>
        <w:t xml:space="preserve"> and </w:t>
      </w:r>
      <w:r>
        <w:rPr>
          <w:kern w:val="0"/>
        </w:rPr>
        <w:t>oenology through bibliometric analyses</w:t>
      </w:r>
      <w:r w:rsidR="00427468">
        <w:rPr>
          <w:kern w:val="0"/>
        </w:rPr>
        <w:t xml:space="preserve"> of </w:t>
      </w:r>
      <w:r>
        <w:rPr>
          <w:kern w:val="0"/>
        </w:rPr>
        <w:t>articles included in the Science Citation Index Expanded database for the period</w:t>
      </w:r>
      <w:r w:rsidR="00427468">
        <w:rPr>
          <w:kern w:val="0"/>
        </w:rPr>
        <w:t xml:space="preserve"> of </w:t>
      </w:r>
      <w:r>
        <w:rPr>
          <w:kern w:val="0"/>
        </w:rPr>
        <w:t>2006 to 2010. A total</w:t>
      </w:r>
      <w:r w:rsidR="00427468">
        <w:rPr>
          <w:kern w:val="0"/>
        </w:rPr>
        <w:t xml:space="preserve"> of </w:t>
      </w:r>
      <w:r>
        <w:rPr>
          <w:kern w:val="0"/>
        </w:rPr>
        <w:t>917 research articles were published in 364 domestic</w:t>
      </w:r>
      <w:r w:rsidR="005853A9">
        <w:rPr>
          <w:kern w:val="0"/>
        </w:rPr>
        <w:t xml:space="preserve"> and </w:t>
      </w:r>
      <w:r>
        <w:rPr>
          <w:kern w:val="0"/>
        </w:rPr>
        <w:t>international journals. We highlight the important growth in the number</w:t>
      </w:r>
      <w:r w:rsidR="00427468">
        <w:rPr>
          <w:kern w:val="0"/>
        </w:rPr>
        <w:t xml:space="preserve"> of </w:t>
      </w:r>
      <w:r>
        <w:rPr>
          <w:kern w:val="0"/>
        </w:rPr>
        <w:t>research papers published during the period, especially in Brazil, Argentina</w:t>
      </w:r>
      <w:r w:rsidR="005853A9">
        <w:rPr>
          <w:kern w:val="0"/>
        </w:rPr>
        <w:t xml:space="preserve"> and </w:t>
      </w:r>
      <w:r>
        <w:rPr>
          <w:kern w:val="0"/>
        </w:rPr>
        <w:t>Chile, as well as an increasing number</w:t>
      </w:r>
      <w:r w:rsidR="00427468">
        <w:rPr>
          <w:kern w:val="0"/>
        </w:rPr>
        <w:t xml:space="preserve"> of </w:t>
      </w:r>
      <w:r>
        <w:rPr>
          <w:kern w:val="0"/>
        </w:rPr>
        <w:t>international collaborations, mainly with non-American grape- and-wine producing countries. A social network analysis</w:t>
      </w:r>
      <w:r w:rsidR="00427468">
        <w:rPr>
          <w:kern w:val="0"/>
        </w:rPr>
        <w:t xml:space="preserve"> of </w:t>
      </w:r>
      <w:r>
        <w:rPr>
          <w:kern w:val="0"/>
        </w:rPr>
        <w:t>collaborations between institutions</w:t>
      </w:r>
      <w:r w:rsidR="005853A9">
        <w:rPr>
          <w:kern w:val="0"/>
        </w:rPr>
        <w:t xml:space="preserve"> and </w:t>
      </w:r>
      <w:r>
        <w:rPr>
          <w:kern w:val="0"/>
        </w:rPr>
        <w:t>countries was also performed</w:t>
      </w:r>
      <w:r w:rsidR="00A37C1D">
        <w:rPr>
          <w:kern w:val="0"/>
        </w:rPr>
        <w:t>. The</w:t>
      </w:r>
      <w:r>
        <w:rPr>
          <w:kern w:val="0"/>
        </w:rPr>
        <w:t xml:space="preserve"> combined analysis</w:t>
      </w:r>
      <w:r w:rsidR="00427468">
        <w:rPr>
          <w:kern w:val="0"/>
        </w:rPr>
        <w:t xml:space="preserve"> of </w:t>
      </w:r>
      <w:r>
        <w:rPr>
          <w:kern w:val="0"/>
        </w:rPr>
        <w:t>productivity, collaboration</w:t>
      </w:r>
      <w:r w:rsidR="005853A9">
        <w:rPr>
          <w:kern w:val="0"/>
        </w:rPr>
        <w:t xml:space="preserve"> and </w:t>
      </w:r>
      <w:r>
        <w:rPr>
          <w:kern w:val="0"/>
        </w:rPr>
        <w:t>scientific impact provides a global</w:t>
      </w:r>
      <w:r w:rsidR="005853A9">
        <w:rPr>
          <w:kern w:val="0"/>
        </w:rPr>
        <w:t xml:space="preserve"> and </w:t>
      </w:r>
      <w:r>
        <w:rPr>
          <w:kern w:val="0"/>
        </w:rPr>
        <w:t>integrated vision</w:t>
      </w:r>
      <w:r w:rsidR="00427468">
        <w:rPr>
          <w:kern w:val="0"/>
        </w:rPr>
        <w:t xml:space="preserve"> of </w:t>
      </w:r>
      <w:r>
        <w:rPr>
          <w:kern w:val="0"/>
        </w:rPr>
        <w:t>the research conducted in this area in Latin America.</w:t>
      </w:r>
    </w:p>
    <w:p w:rsidR="00A835C9" w:rsidRDefault="00A835C9" w:rsidP="00A835C9">
      <w:pPr>
        <w:pStyle w:val="a3"/>
        <w:rPr>
          <w:kern w:val="0"/>
        </w:rPr>
      </w:pPr>
      <w:r>
        <w:rPr>
          <w:kern w:val="0"/>
        </w:rPr>
        <w:t>Keywords: Activity, Analyses, Analysis, Argentina, Bibliometric, Bibliometric Analyses, Bibliometric Analysis, Brazil, Chile, Citation, Coauthorship Networks, Collaboration, Collaborations, Database, Global, Growth, Impact, Impact Factor, Institutional Collaboration, Institutions, International, Journals, Latin America, Latin American Countries, Network, Network Analysis, Papers, Patterns, Productivity, Publications, Research, Science, Science Citation Index, Science Citation Index Expanded, Scientific Collaboration, Scientific Impact, Scientific Productivity, Social, Social Network Analysis, Viticulture</w:t>
      </w:r>
      <w:r w:rsidR="005853A9">
        <w:rPr>
          <w:kern w:val="0"/>
        </w:rPr>
        <w:t xml:space="preserve"> and </w:t>
      </w:r>
      <w:r>
        <w:rPr>
          <w:kern w:val="0"/>
        </w:rPr>
        <w:t>Enology, Wines</w:t>
      </w:r>
    </w:p>
    <w:p w:rsidR="004E1BE3" w:rsidRPr="001A3D2B" w:rsidRDefault="004E1BE3" w:rsidP="004E1BE3">
      <w:pPr>
        <w:pStyle w:val="1"/>
      </w:pPr>
      <w:r w:rsidRPr="001A3D2B">
        <w:br w:type="page"/>
      </w:r>
      <w:bookmarkStart w:id="230" w:name="_Toc420814994"/>
      <w:r w:rsidRPr="001A3D2B">
        <w:lastRenderedPageBreak/>
        <w:t xml:space="preserve">Title: </w:t>
      </w:r>
      <w:r w:rsidRPr="004E1BE3">
        <w:t>Ciencia Rural</w:t>
      </w:r>
      <w:bookmarkEnd w:id="230"/>
    </w:p>
    <w:p w:rsidR="004E1BE3" w:rsidRPr="001A3D2B" w:rsidRDefault="004E1BE3" w:rsidP="004E1BE3">
      <w:pPr>
        <w:pStyle w:val="12"/>
      </w:pPr>
      <w:r w:rsidRPr="001A3D2B">
        <w:t xml:space="preserve">Full Journal Title: </w:t>
      </w:r>
      <w:r w:rsidRPr="004E1BE3">
        <w:rPr>
          <w:iCs/>
          <w:kern w:val="0"/>
        </w:rPr>
        <w:t>Ci</w:t>
      </w:r>
      <w:r>
        <w:rPr>
          <w:iCs/>
          <w:kern w:val="0"/>
        </w:rPr>
        <w:t>ê</w:t>
      </w:r>
      <w:r w:rsidRPr="004E1BE3">
        <w:rPr>
          <w:iCs/>
          <w:kern w:val="0"/>
        </w:rPr>
        <w:t>ncia Rural</w:t>
      </w:r>
    </w:p>
    <w:p w:rsidR="004E1BE3" w:rsidRPr="001A3D2B" w:rsidRDefault="004E1BE3" w:rsidP="004E1BE3">
      <w:pPr>
        <w:pStyle w:val="12"/>
      </w:pPr>
      <w:r w:rsidRPr="001A3D2B">
        <w:t xml:space="preserve">ISO Abbreviated Title: </w:t>
      </w:r>
    </w:p>
    <w:p w:rsidR="004E1BE3" w:rsidRPr="001A3D2B" w:rsidRDefault="004E1BE3" w:rsidP="004E1BE3">
      <w:pPr>
        <w:pStyle w:val="12"/>
      </w:pPr>
      <w:r w:rsidRPr="001A3D2B">
        <w:t xml:space="preserve">JCR Abbreviated Title: </w:t>
      </w:r>
    </w:p>
    <w:p w:rsidR="004E1BE3" w:rsidRPr="001A3D2B" w:rsidRDefault="004E1BE3" w:rsidP="004E1BE3">
      <w:pPr>
        <w:pStyle w:val="12"/>
      </w:pPr>
      <w:r w:rsidRPr="001A3D2B">
        <w:t xml:space="preserve">ISSN: </w:t>
      </w:r>
    </w:p>
    <w:p w:rsidR="004E1BE3" w:rsidRPr="001A3D2B" w:rsidRDefault="004E1BE3" w:rsidP="004E1BE3">
      <w:pPr>
        <w:pStyle w:val="12"/>
      </w:pPr>
      <w:r w:rsidRPr="001A3D2B">
        <w:t xml:space="preserve">Issues/Year: </w:t>
      </w:r>
    </w:p>
    <w:p w:rsidR="004E1BE3" w:rsidRPr="001A3D2B" w:rsidRDefault="004E1BE3" w:rsidP="004E1BE3">
      <w:pPr>
        <w:pStyle w:val="12"/>
      </w:pPr>
      <w:r w:rsidRPr="001A3D2B">
        <w:t xml:space="preserve">Journal Country/Territory: </w:t>
      </w:r>
    </w:p>
    <w:p w:rsidR="004E1BE3" w:rsidRPr="001A3D2B" w:rsidRDefault="004E1BE3" w:rsidP="004E1BE3">
      <w:pPr>
        <w:pStyle w:val="12"/>
      </w:pPr>
      <w:r w:rsidRPr="001A3D2B">
        <w:t xml:space="preserve">Language: </w:t>
      </w:r>
    </w:p>
    <w:p w:rsidR="004E1BE3" w:rsidRPr="001A3D2B" w:rsidRDefault="004E1BE3" w:rsidP="004E1BE3">
      <w:pPr>
        <w:pStyle w:val="12"/>
      </w:pPr>
      <w:r w:rsidRPr="001A3D2B">
        <w:t xml:space="preserve">Publisher: </w:t>
      </w:r>
    </w:p>
    <w:p w:rsidR="004E1BE3" w:rsidRPr="001A3D2B" w:rsidRDefault="004E1BE3" w:rsidP="004E1BE3">
      <w:pPr>
        <w:pStyle w:val="12"/>
      </w:pPr>
      <w:r w:rsidRPr="001A3D2B">
        <w:t xml:space="preserve">Publisher Address: </w:t>
      </w:r>
    </w:p>
    <w:p w:rsidR="004E1BE3" w:rsidRPr="001A3D2B" w:rsidRDefault="004E1BE3" w:rsidP="004E1BE3">
      <w:pPr>
        <w:pStyle w:val="12"/>
      </w:pPr>
      <w:r w:rsidRPr="001A3D2B">
        <w:t>Subject Categories:</w:t>
      </w:r>
    </w:p>
    <w:p w:rsidR="004E1BE3" w:rsidRDefault="004E1BE3" w:rsidP="004E1BE3">
      <w:pPr>
        <w:pStyle w:val="a3"/>
        <w:rPr>
          <w:kern w:val="0"/>
        </w:rPr>
      </w:pPr>
      <w:r>
        <w:rPr>
          <w:rFonts w:hint="eastAsia"/>
          <w:kern w:val="0"/>
        </w:rPr>
        <w:t xml:space="preserve">? </w:t>
      </w:r>
      <w:r>
        <w:rPr>
          <w:kern w:val="0"/>
        </w:rPr>
        <w:t xml:space="preserve">Vargas, R.D. and Vanz, S.A.D. (2014), The scientific production of Rio Grande do Sul in the Agricultural Sciences represented in the database Web of Science. </w:t>
      </w:r>
      <w:r w:rsidRPr="004E1BE3">
        <w:rPr>
          <w:i/>
          <w:iCs/>
          <w:kern w:val="0"/>
        </w:rPr>
        <w:t>Ci</w:t>
      </w:r>
      <w:r>
        <w:rPr>
          <w:i/>
          <w:iCs/>
          <w:kern w:val="0"/>
        </w:rPr>
        <w:t>ê</w:t>
      </w:r>
      <w:r w:rsidRPr="004E1BE3">
        <w:rPr>
          <w:i/>
          <w:iCs/>
          <w:kern w:val="0"/>
        </w:rPr>
        <w:t>ncia Rural</w:t>
      </w:r>
      <w:r>
        <w:rPr>
          <w:kern w:val="0"/>
        </w:rPr>
        <w:t xml:space="preserve">, </w:t>
      </w:r>
      <w:r>
        <w:rPr>
          <w:b/>
          <w:bCs/>
          <w:kern w:val="0"/>
        </w:rPr>
        <w:t>44</w:t>
      </w:r>
      <w:r>
        <w:rPr>
          <w:kern w:val="0"/>
        </w:rPr>
        <w:t xml:space="preserve"> (5), 950-956.</w:t>
      </w:r>
    </w:p>
    <w:p w:rsidR="004E1BE3" w:rsidRDefault="004E1BE3" w:rsidP="004E1BE3">
      <w:pPr>
        <w:pStyle w:val="a3"/>
        <w:rPr>
          <w:kern w:val="0"/>
        </w:rPr>
      </w:pPr>
      <w:r>
        <w:rPr>
          <w:rFonts w:hint="eastAsia"/>
          <w:kern w:val="0"/>
        </w:rPr>
        <w:t xml:space="preserve">Full Text: </w:t>
      </w:r>
      <w:hyperlink r:id="rId273" w:history="1">
        <w:r w:rsidRPr="004E1BE3">
          <w:rPr>
            <w:rStyle w:val="a5"/>
            <w:kern w:val="0"/>
          </w:rPr>
          <w:t>2014\Cie Rur44, 950.pdf</w:t>
        </w:r>
      </w:hyperlink>
    </w:p>
    <w:p w:rsidR="004E1BE3" w:rsidRDefault="004E1BE3" w:rsidP="004E1BE3">
      <w:pPr>
        <w:pStyle w:val="a3"/>
        <w:rPr>
          <w:kern w:val="0"/>
        </w:rPr>
      </w:pPr>
      <w:r>
        <w:rPr>
          <w:kern w:val="0"/>
        </w:rPr>
        <w:t>Abstract: This paper characterizes the scientific output of the state of Rio Grande do Sul in agricultural sciences as represented in the database Web of Science between 2000-2010. Based on the analysis of 6,617 indexed documents, using Bibexcel, we identified types of documents, languages and journals most frequently used by authors to disseminate their research</w:t>
      </w:r>
      <w:r w:rsidR="00A37C1D">
        <w:rPr>
          <w:kern w:val="0"/>
        </w:rPr>
        <w:t>. The</w:t>
      </w:r>
      <w:r>
        <w:rPr>
          <w:kern w:val="0"/>
        </w:rPr>
        <w:t xml:space="preserve"> annual production growth and a list of the most productive institutions are also presented</w:t>
      </w:r>
      <w:r w:rsidR="00A37C1D">
        <w:rPr>
          <w:kern w:val="0"/>
        </w:rPr>
        <w:t>. The</w:t>
      </w:r>
      <w:r>
        <w:rPr>
          <w:kern w:val="0"/>
        </w:rPr>
        <w:t xml:space="preserve"> results reveal that agricultural research in Rio Grande do Sul, indexed in the Web of Science, showed a strong growth, increasing from 179 articles in 2000 to 1,107 documents in 2010. Scientific papers accounted for 92% of the publications. English and Portuguese were the most used languages by the authors. As to the journals, 18 out of the 20 titles most used by researchers are published in Brazil</w:t>
      </w:r>
      <w:r w:rsidR="00A37C1D">
        <w:rPr>
          <w:kern w:val="0"/>
        </w:rPr>
        <w:t>. The</w:t>
      </w:r>
      <w:r>
        <w:rPr>
          <w:kern w:val="0"/>
        </w:rPr>
        <w:t xml:space="preserve"> journal Ciencia Rural led the ranking of the most used journals, accounting 10% of total output during 2000-2010.</w:t>
      </w:r>
    </w:p>
    <w:p w:rsidR="004E1BE3" w:rsidRDefault="004E1BE3" w:rsidP="004E1BE3">
      <w:pPr>
        <w:pStyle w:val="a3"/>
        <w:rPr>
          <w:kern w:val="0"/>
        </w:rPr>
      </w:pPr>
      <w:r>
        <w:rPr>
          <w:kern w:val="0"/>
        </w:rPr>
        <w:t>Keywords: 2000-2010, Agricultural, Agricultural Sciences, Analysis, Articles, Authors, Bibexcel, Bibliometrics, Brazil, Database, Documents, English, Growth, Institutions, Journal, Journals, Languages, Papers, Publications, Ranking, Research, Rio Grande, Science, Sciences, Scientific Indicators, Scientific Output, Scientific Papers, Scientific Production, State, Web Of Science</w:t>
      </w:r>
    </w:p>
    <w:p w:rsidR="00997C84" w:rsidRPr="001A3D2B" w:rsidRDefault="00997C84" w:rsidP="00997C84">
      <w:pPr>
        <w:pStyle w:val="1"/>
      </w:pPr>
      <w:r w:rsidRPr="001A3D2B">
        <w:br w:type="page"/>
      </w:r>
      <w:bookmarkStart w:id="231" w:name="_Toc420814995"/>
      <w:r w:rsidRPr="001A3D2B">
        <w:lastRenderedPageBreak/>
        <w:t xml:space="preserve">Title: </w:t>
      </w:r>
      <w:r w:rsidR="00FE0B89">
        <w:rPr>
          <w:szCs w:val="24"/>
        </w:rPr>
        <w:t>Ci</w:t>
      </w:r>
      <w:r w:rsidR="00FE0B89">
        <w:rPr>
          <w:rFonts w:hint="eastAsia"/>
          <w:szCs w:val="24"/>
        </w:rPr>
        <w:t>e</w:t>
      </w:r>
      <w:r w:rsidR="00FE0B89">
        <w:rPr>
          <w:szCs w:val="24"/>
        </w:rPr>
        <w:t>ncia &amp; Sa</w:t>
      </w:r>
      <w:r w:rsidR="00FE0B89">
        <w:rPr>
          <w:rFonts w:hint="eastAsia"/>
          <w:szCs w:val="24"/>
        </w:rPr>
        <w:t>u</w:t>
      </w:r>
      <w:r w:rsidR="00FE0B89">
        <w:rPr>
          <w:szCs w:val="24"/>
        </w:rPr>
        <w:t>de Coletiva</w:t>
      </w:r>
      <w:bookmarkEnd w:id="231"/>
    </w:p>
    <w:p w:rsidR="00997C84" w:rsidRPr="001A3D2B" w:rsidRDefault="00997C84" w:rsidP="00997C84">
      <w:pPr>
        <w:pStyle w:val="12"/>
      </w:pPr>
      <w:r w:rsidRPr="001A3D2B">
        <w:t xml:space="preserve">Full Journal Title: </w:t>
      </w:r>
      <w:r w:rsidR="00FE0B89">
        <w:rPr>
          <w:kern w:val="0"/>
        </w:rPr>
        <w:t>Ciência &amp; Saúde Coletiva</w:t>
      </w:r>
    </w:p>
    <w:p w:rsidR="00997C84" w:rsidRPr="001A3D2B" w:rsidRDefault="00997C84" w:rsidP="00997C84">
      <w:pPr>
        <w:pStyle w:val="12"/>
      </w:pPr>
      <w:r w:rsidRPr="001A3D2B">
        <w:t xml:space="preserve">ISO Abbreviated Title: </w:t>
      </w:r>
    </w:p>
    <w:p w:rsidR="00997C84" w:rsidRPr="001A3D2B" w:rsidRDefault="00997C84" w:rsidP="00997C84">
      <w:pPr>
        <w:pStyle w:val="12"/>
      </w:pPr>
      <w:r w:rsidRPr="001A3D2B">
        <w:t xml:space="preserve">JCR Abbreviated Title: </w:t>
      </w:r>
    </w:p>
    <w:p w:rsidR="00997C84" w:rsidRPr="001A3D2B" w:rsidRDefault="00997C84" w:rsidP="00997C84">
      <w:pPr>
        <w:pStyle w:val="12"/>
      </w:pPr>
      <w:r w:rsidRPr="001A3D2B">
        <w:t xml:space="preserve">ISSN: </w:t>
      </w:r>
    </w:p>
    <w:p w:rsidR="00997C84" w:rsidRPr="001A3D2B" w:rsidRDefault="00997C84" w:rsidP="00997C84">
      <w:pPr>
        <w:pStyle w:val="12"/>
      </w:pPr>
      <w:r w:rsidRPr="001A3D2B">
        <w:t xml:space="preserve">Issues/Year: </w:t>
      </w:r>
    </w:p>
    <w:p w:rsidR="00997C84" w:rsidRPr="001A3D2B" w:rsidRDefault="00AA25A4" w:rsidP="00997C84">
      <w:pPr>
        <w:pStyle w:val="12"/>
      </w:pPr>
      <w:r w:rsidRPr="001A3D2B">
        <w:t>Journal Country/Territory:</w:t>
      </w:r>
      <w:r w:rsidR="008F46E9" w:rsidRPr="001A3D2B">
        <w:t xml:space="preserve"> </w:t>
      </w:r>
    </w:p>
    <w:p w:rsidR="00997C84" w:rsidRPr="001A3D2B" w:rsidRDefault="00997C84" w:rsidP="00997C84">
      <w:pPr>
        <w:pStyle w:val="12"/>
      </w:pPr>
      <w:r w:rsidRPr="001A3D2B">
        <w:t xml:space="preserve">Language: </w:t>
      </w:r>
    </w:p>
    <w:p w:rsidR="00997C84" w:rsidRPr="001A3D2B" w:rsidRDefault="00997C84" w:rsidP="00997C84">
      <w:pPr>
        <w:pStyle w:val="12"/>
      </w:pPr>
      <w:r w:rsidRPr="001A3D2B">
        <w:t xml:space="preserve">Publisher: </w:t>
      </w:r>
    </w:p>
    <w:p w:rsidR="00997C84" w:rsidRPr="001A3D2B" w:rsidRDefault="00997C84" w:rsidP="00997C84">
      <w:pPr>
        <w:pStyle w:val="12"/>
      </w:pPr>
      <w:r w:rsidRPr="001A3D2B">
        <w:t xml:space="preserve">Publisher Address: </w:t>
      </w:r>
    </w:p>
    <w:p w:rsidR="00997C84" w:rsidRPr="001A3D2B" w:rsidRDefault="00997C84" w:rsidP="00997C84">
      <w:pPr>
        <w:pStyle w:val="12"/>
      </w:pPr>
      <w:r w:rsidRPr="001A3D2B">
        <w:t>Subject Categories:</w:t>
      </w:r>
    </w:p>
    <w:p w:rsidR="00BC65EF" w:rsidRDefault="00BC65EF" w:rsidP="00BC65EF">
      <w:pPr>
        <w:pStyle w:val="a3"/>
        <w:rPr>
          <w:kern w:val="0"/>
        </w:rPr>
      </w:pPr>
      <w:r>
        <w:rPr>
          <w:rFonts w:hint="eastAsia"/>
          <w:kern w:val="0"/>
        </w:rPr>
        <w:t xml:space="preserve">? </w:t>
      </w:r>
      <w:r>
        <w:rPr>
          <w:kern w:val="0"/>
        </w:rPr>
        <w:t>Edwards, T.M.</w:t>
      </w:r>
      <w:r w:rsidR="005853A9">
        <w:rPr>
          <w:kern w:val="0"/>
        </w:rPr>
        <w:t xml:space="preserve"> and </w:t>
      </w:r>
      <w:r>
        <w:rPr>
          <w:kern w:val="0"/>
        </w:rPr>
        <w:t>Myers, J.P. (2008), Environmental exposures</w:t>
      </w:r>
      <w:r w:rsidR="005853A9">
        <w:rPr>
          <w:kern w:val="0"/>
        </w:rPr>
        <w:t xml:space="preserve"> and </w:t>
      </w:r>
      <w:r>
        <w:rPr>
          <w:kern w:val="0"/>
        </w:rPr>
        <w:t xml:space="preserve">gene regulation in disease etiology (Reprinted from Environmental Health Perpectives, vol 115, pg 1264-1270, 2007). </w:t>
      </w:r>
      <w:r w:rsidR="00FE0B89">
        <w:rPr>
          <w:i/>
          <w:iCs/>
          <w:kern w:val="0"/>
        </w:rPr>
        <w:t>Ciência &amp; Saúde Coletiva</w:t>
      </w:r>
      <w:r>
        <w:rPr>
          <w:kern w:val="0"/>
        </w:rPr>
        <w:t xml:space="preserve">, </w:t>
      </w:r>
      <w:r>
        <w:rPr>
          <w:b/>
          <w:bCs/>
          <w:kern w:val="0"/>
        </w:rPr>
        <w:t>13</w:t>
      </w:r>
      <w:r>
        <w:rPr>
          <w:kern w:val="0"/>
        </w:rPr>
        <w:t xml:space="preserve"> (1), 269-281.</w:t>
      </w:r>
    </w:p>
    <w:p w:rsidR="007647D8" w:rsidRPr="001A3D2B" w:rsidRDefault="007647D8" w:rsidP="007647D8">
      <w:pPr>
        <w:pStyle w:val="a3"/>
        <w:rPr>
          <w:kern w:val="0"/>
          <w:szCs w:val="24"/>
        </w:rPr>
      </w:pPr>
      <w:r w:rsidRPr="001A3D2B">
        <w:rPr>
          <w:kern w:val="0"/>
          <w:szCs w:val="24"/>
        </w:rPr>
        <w:t xml:space="preserve">Full Text: </w:t>
      </w:r>
      <w:hyperlink r:id="rId274" w:history="1">
        <w:r w:rsidRPr="009137F3">
          <w:rPr>
            <w:rStyle w:val="a5"/>
            <w:kern w:val="0"/>
            <w:szCs w:val="24"/>
          </w:rPr>
          <w:t>2008\Cie Sau Col13, 269.pdf</w:t>
        </w:r>
      </w:hyperlink>
    </w:p>
    <w:p w:rsidR="00BC65EF" w:rsidRDefault="00BC65EF" w:rsidP="00BC65EF">
      <w:pPr>
        <w:pStyle w:val="a3"/>
        <w:rPr>
          <w:kern w:val="0"/>
        </w:rPr>
      </w:pPr>
      <w:r>
        <w:rPr>
          <w:kern w:val="0"/>
        </w:rPr>
        <w:t>Abstract: Health or disease is shaped for all individuals by interactions between their genes</w:t>
      </w:r>
      <w:r w:rsidR="005853A9">
        <w:rPr>
          <w:kern w:val="0"/>
        </w:rPr>
        <w:t xml:space="preserve"> and </w:t>
      </w:r>
      <w:r>
        <w:rPr>
          <w:kern w:val="0"/>
        </w:rPr>
        <w:t>environment. Exactly how</w:t>
      </w:r>
      <w:r w:rsidR="003A1917">
        <w:rPr>
          <w:kern w:val="0"/>
        </w:rPr>
        <w:t xml:space="preserve"> the </w:t>
      </w:r>
      <w:r>
        <w:rPr>
          <w:kern w:val="0"/>
        </w:rPr>
        <w:t>environment changes gene expression</w:t>
      </w:r>
      <w:r w:rsidR="005853A9">
        <w:rPr>
          <w:kern w:val="0"/>
        </w:rPr>
        <w:t xml:space="preserve"> and </w:t>
      </w:r>
      <w:r>
        <w:rPr>
          <w:kern w:val="0"/>
        </w:rPr>
        <w:t>how this can lead to disease are being explored in a fruitful new approach to environmental health research, representative studies</w:t>
      </w:r>
      <w:r w:rsidR="00427468">
        <w:rPr>
          <w:kern w:val="0"/>
        </w:rPr>
        <w:t xml:space="preserve"> of </w:t>
      </w:r>
      <w:r>
        <w:rPr>
          <w:kern w:val="0"/>
        </w:rPr>
        <w:t xml:space="preserve">which are reviewed here. We searched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references</w:t>
      </w:r>
      <w:r w:rsidR="00427468">
        <w:rPr>
          <w:kern w:val="0"/>
        </w:rPr>
        <w:t xml:space="preserve"> of </w:t>
      </w:r>
      <w:r>
        <w:rPr>
          <w:kern w:val="0"/>
        </w:rPr>
        <w:t>relevant publications to understand</w:t>
      </w:r>
      <w:r w:rsidR="003A1917">
        <w:rPr>
          <w:kern w:val="0"/>
        </w:rPr>
        <w:t xml:space="preserve"> the </w:t>
      </w:r>
      <w:r>
        <w:rPr>
          <w:kern w:val="0"/>
        </w:rPr>
        <w:t>diversity</w:t>
      </w:r>
      <w:r w:rsidR="00427468">
        <w:rPr>
          <w:kern w:val="0"/>
        </w:rPr>
        <w:t xml:space="preserve"> of </w:t>
      </w:r>
      <w:r>
        <w:rPr>
          <w:kern w:val="0"/>
        </w:rPr>
        <w:t>gene regulatory mechanisms affected by environmental exposures with disease implications. Pharmaceuticals, pesticides, air pollutants, industrial chemicals, heavy metals, hormones, nutrition,</w:t>
      </w:r>
      <w:r w:rsidR="005853A9">
        <w:rPr>
          <w:kern w:val="0"/>
        </w:rPr>
        <w:t xml:space="preserve"> and </w:t>
      </w:r>
      <w:r>
        <w:rPr>
          <w:kern w:val="0"/>
        </w:rPr>
        <w:t>behavior can change gene expression through a broad array</w:t>
      </w:r>
      <w:r w:rsidR="00427468">
        <w:rPr>
          <w:kern w:val="0"/>
        </w:rPr>
        <w:t xml:space="preserve"> of </w:t>
      </w:r>
      <w:r>
        <w:rPr>
          <w:kern w:val="0"/>
        </w:rPr>
        <w:t>gene regulatory mechanisms. Furthermore, chemically induced changes in gene regulation are associated with serious</w:t>
      </w:r>
      <w:r w:rsidR="005853A9">
        <w:rPr>
          <w:kern w:val="0"/>
        </w:rPr>
        <w:t xml:space="preserve"> and </w:t>
      </w:r>
      <w:r>
        <w:rPr>
          <w:kern w:val="0"/>
        </w:rPr>
        <w:t>complex human diseases, including cancer, diabetes</w:t>
      </w:r>
      <w:r w:rsidR="005853A9">
        <w:rPr>
          <w:kern w:val="0"/>
        </w:rPr>
        <w:t xml:space="preserve"> and </w:t>
      </w:r>
      <w:r>
        <w:rPr>
          <w:kern w:val="0"/>
        </w:rPr>
        <w:t>obesity, infertility, respiratory diseases, allergies,</w:t>
      </w:r>
      <w:r w:rsidR="005853A9">
        <w:rPr>
          <w:kern w:val="0"/>
        </w:rPr>
        <w:t xml:space="preserve"> and </w:t>
      </w:r>
      <w:r>
        <w:rPr>
          <w:kern w:val="0"/>
        </w:rPr>
        <w:t>neurodegenerative disorders such as Parkinson</w:t>
      </w:r>
      <w:r w:rsidR="005853A9">
        <w:rPr>
          <w:kern w:val="0"/>
        </w:rPr>
        <w:t xml:space="preserve"> and </w:t>
      </w:r>
      <w:r>
        <w:rPr>
          <w:kern w:val="0"/>
        </w:rPr>
        <w:t>Alzheimer diseases</w:t>
      </w:r>
      <w:r w:rsidR="00A37C1D">
        <w:rPr>
          <w:kern w:val="0"/>
        </w:rPr>
        <w:t>. The</w:t>
      </w:r>
      <w:r w:rsidR="003A1917">
        <w:rPr>
          <w:kern w:val="0"/>
        </w:rPr>
        <w:t xml:space="preserve"> </w:t>
      </w:r>
      <w:r>
        <w:rPr>
          <w:kern w:val="0"/>
        </w:rPr>
        <w:t>reviewed studies indicate that genetic predisposition for disease is best predicted in</w:t>
      </w:r>
      <w:r w:rsidR="003A1917">
        <w:rPr>
          <w:kern w:val="0"/>
        </w:rPr>
        <w:t xml:space="preserve"> the </w:t>
      </w:r>
      <w:r>
        <w:rPr>
          <w:kern w:val="0"/>
        </w:rPr>
        <w:t>context</w:t>
      </w:r>
      <w:r w:rsidR="00427468">
        <w:rPr>
          <w:kern w:val="0"/>
        </w:rPr>
        <w:t xml:space="preserve"> of </w:t>
      </w:r>
      <w:r>
        <w:rPr>
          <w:kern w:val="0"/>
        </w:rPr>
        <w:t>environmental exposures.</w:t>
      </w:r>
      <w:r w:rsidR="005853A9">
        <w:rPr>
          <w:kern w:val="0"/>
        </w:rPr>
        <w:t xml:space="preserve"> and </w:t>
      </w:r>
      <w:r w:rsidR="003A1917">
        <w:rPr>
          <w:kern w:val="0"/>
        </w:rPr>
        <w:t xml:space="preserve">the </w:t>
      </w:r>
      <w:r>
        <w:rPr>
          <w:kern w:val="0"/>
        </w:rPr>
        <w:t>genetic mechanisms investigated in these studies offer new avenues for risk assessment research. Finally, we are likely to witness dramatic improvements in human health,</w:t>
      </w:r>
      <w:r w:rsidR="005853A9">
        <w:rPr>
          <w:kern w:val="0"/>
        </w:rPr>
        <w:t xml:space="preserve"> and </w:t>
      </w:r>
      <w:r>
        <w:rPr>
          <w:kern w:val="0"/>
        </w:rPr>
        <w:t>reductions in medical costs, if environmental pollution is decreased.</w:t>
      </w:r>
    </w:p>
    <w:p w:rsidR="00BC65EF" w:rsidRDefault="00BC65EF" w:rsidP="00BC65EF">
      <w:pPr>
        <w:pStyle w:val="a3"/>
        <w:rPr>
          <w:kern w:val="0"/>
        </w:rPr>
      </w:pPr>
      <w:r>
        <w:rPr>
          <w:kern w:val="0"/>
        </w:rPr>
        <w:t xml:space="preserve">Keywords: 2,3,7,8-Tetrachlorodibenzo-P-Dioxin Tcdd, Activator Messenger-Rna, Airway Epithelial-Cells, Alpha-Synuclein, Alzheimer, Assessment, Cancer, Chemicals, Costs, Diabetes, Diesel Exhaust Particles, Disease, DNA Methylation, Drug Resistance, Endocrine Disruption, Environment, Environmental, Environmental Health, Environmental Health Research, Etiology, Gene Expression, </w:t>
      </w:r>
      <w:r>
        <w:rPr>
          <w:kern w:val="0"/>
        </w:rPr>
        <w:lastRenderedPageBreak/>
        <w:t xml:space="preserve">Gene Regulation, Genetic, Health, Heavy Metals, Human, IGF-II Genes, Induced, Lead, Medical, Nutrition, Obesity, Parkinsons-Disease, Pollutants, Primordial Germ-Cells, Prostate-Cancer, Publications, Research, Risk, Risk Assessment, Science, Smooth-Muscle-Cells, </w:t>
      </w:r>
      <w:r w:rsidR="00D5664A">
        <w:rPr>
          <w:kern w:val="0"/>
        </w:rPr>
        <w:t>Web</w:t>
      </w:r>
      <w:r w:rsidR="00427468">
        <w:rPr>
          <w:kern w:val="0"/>
        </w:rPr>
        <w:t xml:space="preserve"> of </w:t>
      </w:r>
      <w:r w:rsidR="00D5664A">
        <w:rPr>
          <w:kern w:val="0"/>
        </w:rPr>
        <w:t>Science</w:t>
      </w:r>
    </w:p>
    <w:p w:rsidR="00997C84" w:rsidRPr="001A3D2B" w:rsidRDefault="00997C84" w:rsidP="00997C84">
      <w:pPr>
        <w:pStyle w:val="a3"/>
        <w:rPr>
          <w:kern w:val="0"/>
          <w:szCs w:val="24"/>
        </w:rPr>
      </w:pPr>
      <w:r w:rsidRPr="001A3D2B">
        <w:rPr>
          <w:kern w:val="0"/>
          <w:szCs w:val="24"/>
        </w:rPr>
        <w:t>? Engel-Cox, J., Van Houten, B., Phelps, J.</w:t>
      </w:r>
      <w:r w:rsidR="005853A9">
        <w:rPr>
          <w:kern w:val="0"/>
          <w:szCs w:val="24"/>
        </w:rPr>
        <w:t xml:space="preserve"> and </w:t>
      </w:r>
      <w:r w:rsidRPr="001A3D2B">
        <w:rPr>
          <w:kern w:val="0"/>
          <w:szCs w:val="24"/>
        </w:rPr>
        <w:t>Rose, S. (2009), Conceptual model</w:t>
      </w:r>
      <w:r w:rsidR="00427468">
        <w:rPr>
          <w:kern w:val="0"/>
          <w:szCs w:val="24"/>
        </w:rPr>
        <w:t xml:space="preserve"> of </w:t>
      </w:r>
      <w:r w:rsidRPr="001A3D2B">
        <w:rPr>
          <w:kern w:val="0"/>
          <w:szCs w:val="24"/>
        </w:rPr>
        <w:t>comprehensive research metrics for improved human health</w:t>
      </w:r>
      <w:r w:rsidR="005853A9">
        <w:rPr>
          <w:kern w:val="0"/>
          <w:szCs w:val="24"/>
        </w:rPr>
        <w:t xml:space="preserve"> and </w:t>
      </w:r>
      <w:r w:rsidRPr="001A3D2B">
        <w:rPr>
          <w:kern w:val="0"/>
          <w:szCs w:val="24"/>
        </w:rPr>
        <w:t xml:space="preserve">environment. </w:t>
      </w:r>
      <w:r w:rsidR="00FE0B89">
        <w:rPr>
          <w:i/>
          <w:iCs/>
          <w:kern w:val="0"/>
          <w:szCs w:val="24"/>
        </w:rPr>
        <w:t>Ciência &amp; Saúde Coletiva</w:t>
      </w:r>
      <w:r w:rsidRPr="001A3D2B">
        <w:rPr>
          <w:kern w:val="0"/>
          <w:szCs w:val="24"/>
        </w:rPr>
        <w:t xml:space="preserve">, </w:t>
      </w:r>
      <w:r w:rsidRPr="001A3D2B">
        <w:rPr>
          <w:b/>
          <w:bCs/>
          <w:kern w:val="0"/>
          <w:szCs w:val="24"/>
        </w:rPr>
        <w:t>14</w:t>
      </w:r>
      <w:r w:rsidRPr="001A3D2B">
        <w:rPr>
          <w:kern w:val="0"/>
          <w:szCs w:val="24"/>
        </w:rPr>
        <w:t xml:space="preserve"> (2), 519-531.</w:t>
      </w:r>
    </w:p>
    <w:p w:rsidR="000933A5" w:rsidRPr="001A3D2B" w:rsidRDefault="000933A5" w:rsidP="000933A5">
      <w:pPr>
        <w:pStyle w:val="a3"/>
        <w:rPr>
          <w:kern w:val="0"/>
          <w:szCs w:val="24"/>
        </w:rPr>
      </w:pPr>
      <w:r w:rsidRPr="001A3D2B">
        <w:rPr>
          <w:kern w:val="0"/>
          <w:szCs w:val="24"/>
        </w:rPr>
        <w:t xml:space="preserve">Full Text: </w:t>
      </w:r>
      <w:hyperlink r:id="rId275" w:history="1">
        <w:r w:rsidRPr="001A3D2B">
          <w:rPr>
            <w:rStyle w:val="a5"/>
            <w:kern w:val="0"/>
            <w:szCs w:val="24"/>
          </w:rPr>
          <w:t>2009\Cie Sau Col14, 519.pdf</w:t>
        </w:r>
      </w:hyperlink>
    </w:p>
    <w:p w:rsidR="00997C84" w:rsidRPr="001A3D2B" w:rsidRDefault="00997C84" w:rsidP="00997C84">
      <w:pPr>
        <w:pStyle w:val="a3"/>
        <w:rPr>
          <w:kern w:val="0"/>
          <w:szCs w:val="24"/>
        </w:rPr>
      </w:pPr>
      <w:r w:rsidRPr="001A3D2B">
        <w:rPr>
          <w:kern w:val="0"/>
          <w:szCs w:val="24"/>
        </w:rPr>
        <w:t>Abstract: Performance measurement predominantly consisted</w:t>
      </w:r>
      <w:r w:rsidR="00427468">
        <w:rPr>
          <w:kern w:val="0"/>
          <w:szCs w:val="24"/>
        </w:rPr>
        <w:t xml:space="preserve"> of </w:t>
      </w:r>
      <w:r w:rsidRPr="001A3D2B">
        <w:rPr>
          <w:kern w:val="0"/>
          <w:szCs w:val="24"/>
        </w:rPr>
        <w:t>near-term outputs measured through bibliometrics, but</w:t>
      </w:r>
      <w:r w:rsidR="003A1917">
        <w:rPr>
          <w:kern w:val="0"/>
          <w:szCs w:val="24"/>
        </w:rPr>
        <w:t xml:space="preserve"> the </w:t>
      </w:r>
      <w:r w:rsidRPr="001A3D2B">
        <w:rPr>
          <w:kern w:val="0"/>
          <w:szCs w:val="24"/>
        </w:rPr>
        <w:t>recent focus is on accountability for investment based on long-term outcomes. Our objective is to build a logic model</w:t>
      </w:r>
      <w:r w:rsidR="005853A9">
        <w:rPr>
          <w:kern w:val="0"/>
          <w:szCs w:val="24"/>
        </w:rPr>
        <w:t xml:space="preserve"> and </w:t>
      </w:r>
      <w:r w:rsidRPr="001A3D2B">
        <w:rPr>
          <w:kern w:val="0"/>
          <w:szCs w:val="24"/>
        </w:rPr>
        <w:t>associated metrics through which to measure</w:t>
      </w:r>
      <w:r w:rsidR="003A1917">
        <w:rPr>
          <w:kern w:val="0"/>
          <w:szCs w:val="24"/>
        </w:rPr>
        <w:t xml:space="preserve"> the </w:t>
      </w:r>
      <w:r w:rsidRPr="001A3D2B">
        <w:rPr>
          <w:kern w:val="0"/>
          <w:szCs w:val="24"/>
        </w:rPr>
        <w:t>contribution</w:t>
      </w:r>
      <w:r w:rsidR="00427468">
        <w:rPr>
          <w:kern w:val="0"/>
          <w:szCs w:val="24"/>
        </w:rPr>
        <w:t xml:space="preserve"> of </w:t>
      </w:r>
      <w:r w:rsidRPr="001A3D2B">
        <w:rPr>
          <w:kern w:val="0"/>
          <w:szCs w:val="24"/>
        </w:rPr>
        <w:t>environmental health research programs to improvements in human health,</w:t>
      </w:r>
      <w:r w:rsidR="003A1917">
        <w:rPr>
          <w:kern w:val="0"/>
          <w:szCs w:val="24"/>
        </w:rPr>
        <w:t xml:space="preserve"> the </w:t>
      </w:r>
      <w:r w:rsidRPr="001A3D2B">
        <w:rPr>
          <w:kern w:val="0"/>
          <w:szCs w:val="24"/>
        </w:rPr>
        <w:t>environment,</w:t>
      </w:r>
      <w:r w:rsidR="005853A9">
        <w:rPr>
          <w:kern w:val="0"/>
          <w:szCs w:val="24"/>
        </w:rPr>
        <w:t xml:space="preserve"> and </w:t>
      </w:r>
      <w:r w:rsidR="003A1917">
        <w:rPr>
          <w:kern w:val="0"/>
          <w:szCs w:val="24"/>
        </w:rPr>
        <w:t xml:space="preserve">the </w:t>
      </w:r>
      <w:r w:rsidRPr="001A3D2B">
        <w:rPr>
          <w:kern w:val="0"/>
          <w:szCs w:val="24"/>
        </w:rPr>
        <w:t>economy. We developed a logic model that defines</w:t>
      </w:r>
      <w:r w:rsidR="003A1917">
        <w:rPr>
          <w:kern w:val="0"/>
          <w:szCs w:val="24"/>
        </w:rPr>
        <w:t xml:space="preserve"> the </w:t>
      </w:r>
      <w:r w:rsidRPr="001A3D2B">
        <w:rPr>
          <w:kern w:val="0"/>
          <w:szCs w:val="24"/>
        </w:rPr>
        <w:t>components</w:t>
      </w:r>
      <w:r w:rsidR="005853A9">
        <w:rPr>
          <w:kern w:val="0"/>
          <w:szCs w:val="24"/>
        </w:rPr>
        <w:t xml:space="preserve"> and </w:t>
      </w:r>
      <w:r w:rsidRPr="001A3D2B">
        <w:rPr>
          <w:kern w:val="0"/>
          <w:szCs w:val="24"/>
        </w:rPr>
        <w:t>linkages between extramural environmental health research grant programs</w:t>
      </w:r>
      <w:r w:rsidR="005853A9">
        <w:rPr>
          <w:kern w:val="0"/>
          <w:szCs w:val="24"/>
        </w:rPr>
        <w:t xml:space="preserve"> and </w:t>
      </w:r>
      <w:r w:rsidR="003A1917">
        <w:rPr>
          <w:kern w:val="0"/>
          <w:szCs w:val="24"/>
        </w:rPr>
        <w:t xml:space="preserve">the </w:t>
      </w:r>
      <w:r w:rsidRPr="001A3D2B">
        <w:rPr>
          <w:kern w:val="0"/>
          <w:szCs w:val="24"/>
        </w:rPr>
        <w:t>outputs</w:t>
      </w:r>
      <w:r w:rsidR="005853A9">
        <w:rPr>
          <w:kern w:val="0"/>
          <w:szCs w:val="24"/>
        </w:rPr>
        <w:t xml:space="preserve"> and </w:t>
      </w:r>
      <w:r w:rsidRPr="001A3D2B">
        <w:rPr>
          <w:kern w:val="0"/>
          <w:szCs w:val="24"/>
        </w:rPr>
        <w:t>outcomes related to health</w:t>
      </w:r>
      <w:r w:rsidR="005853A9">
        <w:rPr>
          <w:kern w:val="0"/>
          <w:szCs w:val="24"/>
        </w:rPr>
        <w:t xml:space="preserve"> and </w:t>
      </w:r>
      <w:r w:rsidRPr="001A3D2B">
        <w:rPr>
          <w:kern w:val="0"/>
          <w:szCs w:val="24"/>
        </w:rPr>
        <w:t>social welfare, environmental quality</w:t>
      </w:r>
      <w:r w:rsidR="005853A9">
        <w:rPr>
          <w:kern w:val="0"/>
          <w:szCs w:val="24"/>
        </w:rPr>
        <w:t xml:space="preserve"> and </w:t>
      </w:r>
      <w:r w:rsidRPr="001A3D2B">
        <w:rPr>
          <w:kern w:val="0"/>
          <w:szCs w:val="24"/>
        </w:rPr>
        <w:t>sustainability, economics,</w:t>
      </w:r>
      <w:r w:rsidR="005853A9">
        <w:rPr>
          <w:kern w:val="0"/>
          <w:szCs w:val="24"/>
        </w:rPr>
        <w:t xml:space="preserve"> and </w:t>
      </w:r>
      <w:r w:rsidRPr="001A3D2B">
        <w:rPr>
          <w:kern w:val="0"/>
          <w:szCs w:val="24"/>
        </w:rPr>
        <w:t>quality</w:t>
      </w:r>
      <w:r w:rsidR="00427468">
        <w:rPr>
          <w:kern w:val="0"/>
          <w:szCs w:val="24"/>
        </w:rPr>
        <w:t xml:space="preserve"> of </w:t>
      </w:r>
      <w:r w:rsidRPr="001A3D2B">
        <w:rPr>
          <w:kern w:val="0"/>
          <w:szCs w:val="24"/>
        </w:rPr>
        <w:t>life, focusing on</w:t>
      </w:r>
      <w:r w:rsidR="003A1917">
        <w:rPr>
          <w:kern w:val="0"/>
          <w:szCs w:val="24"/>
        </w:rPr>
        <w:t xml:space="preserve"> the </w:t>
      </w:r>
      <w:r w:rsidRPr="001A3D2B">
        <w:rPr>
          <w:kern w:val="0"/>
          <w:szCs w:val="24"/>
        </w:rPr>
        <w:t>environmental health research portfolio</w:t>
      </w:r>
      <w:r w:rsidR="00427468">
        <w:rPr>
          <w:kern w:val="0"/>
          <w:szCs w:val="24"/>
        </w:rPr>
        <w:t xml:space="preserve"> of </w:t>
      </w:r>
      <w:r w:rsidR="003A1917">
        <w:rPr>
          <w:kern w:val="0"/>
          <w:szCs w:val="24"/>
        </w:rPr>
        <w:t xml:space="preserve">the </w:t>
      </w:r>
      <w:r w:rsidRPr="001A3D2B">
        <w:rPr>
          <w:kern w:val="0"/>
          <w:szCs w:val="24"/>
        </w:rPr>
        <w:t>National Institute</w:t>
      </w:r>
      <w:r w:rsidR="00427468">
        <w:rPr>
          <w:kern w:val="0"/>
          <w:szCs w:val="24"/>
        </w:rPr>
        <w:t xml:space="preserve"> of </w:t>
      </w:r>
      <w:r w:rsidRPr="001A3D2B">
        <w:rPr>
          <w:kern w:val="0"/>
          <w:szCs w:val="24"/>
        </w:rPr>
        <w:t>Environmental Health Sciences (NIEHS) Division</w:t>
      </w:r>
      <w:r w:rsidR="00427468">
        <w:rPr>
          <w:kern w:val="0"/>
          <w:szCs w:val="24"/>
        </w:rPr>
        <w:t xml:space="preserve"> of </w:t>
      </w:r>
      <w:r w:rsidRPr="001A3D2B">
        <w:rPr>
          <w:kern w:val="0"/>
          <w:szCs w:val="24"/>
        </w:rPr>
        <w:t>Extramural Research</w:t>
      </w:r>
      <w:r w:rsidR="005853A9">
        <w:rPr>
          <w:kern w:val="0"/>
          <w:szCs w:val="24"/>
        </w:rPr>
        <w:t xml:space="preserve"> and </w:t>
      </w:r>
      <w:r w:rsidRPr="001A3D2B">
        <w:rPr>
          <w:kern w:val="0"/>
          <w:szCs w:val="24"/>
        </w:rPr>
        <w:t>Training</w:t>
      </w:r>
      <w:r w:rsidR="005853A9">
        <w:rPr>
          <w:kern w:val="0"/>
          <w:szCs w:val="24"/>
        </w:rPr>
        <w:t xml:space="preserve"> and </w:t>
      </w:r>
      <w:r w:rsidRPr="001A3D2B">
        <w:rPr>
          <w:kern w:val="0"/>
          <w:szCs w:val="24"/>
        </w:rPr>
        <w:t>delineates pathways for contributions by five types</w:t>
      </w:r>
      <w:r w:rsidR="00427468">
        <w:rPr>
          <w:kern w:val="0"/>
          <w:szCs w:val="24"/>
        </w:rPr>
        <w:t xml:space="preserve"> of </w:t>
      </w:r>
      <w:r w:rsidRPr="001A3D2B">
        <w:rPr>
          <w:kern w:val="0"/>
          <w:szCs w:val="24"/>
        </w:rPr>
        <w:t>institutional partners in</w:t>
      </w:r>
      <w:r w:rsidR="003A1917">
        <w:rPr>
          <w:kern w:val="0"/>
          <w:szCs w:val="24"/>
        </w:rPr>
        <w:t xml:space="preserve"> the </w:t>
      </w:r>
      <w:r w:rsidRPr="001A3D2B">
        <w:rPr>
          <w:kern w:val="0"/>
          <w:szCs w:val="24"/>
        </w:rPr>
        <w:t>research process</w:t>
      </w:r>
      <w:r w:rsidR="00A37C1D">
        <w:rPr>
          <w:kern w:val="0"/>
          <w:szCs w:val="24"/>
        </w:rPr>
        <w:t>. The</w:t>
      </w:r>
      <w:r w:rsidR="003A1917">
        <w:rPr>
          <w:kern w:val="0"/>
          <w:szCs w:val="24"/>
        </w:rPr>
        <w:t xml:space="preserve"> </w:t>
      </w:r>
      <w:r w:rsidRPr="001A3D2B">
        <w:rPr>
          <w:kern w:val="0"/>
          <w:szCs w:val="24"/>
        </w:rPr>
        <w:t>model is being applied to specific NIEHS research applications</w:t>
      </w:r>
      <w:r w:rsidR="005853A9">
        <w:rPr>
          <w:kern w:val="0"/>
          <w:szCs w:val="24"/>
        </w:rPr>
        <w:t xml:space="preserve"> and </w:t>
      </w:r>
      <w:r w:rsidR="003A1917">
        <w:rPr>
          <w:kern w:val="0"/>
          <w:szCs w:val="24"/>
        </w:rPr>
        <w:t xml:space="preserve">the </w:t>
      </w:r>
      <w:r w:rsidRPr="001A3D2B">
        <w:rPr>
          <w:kern w:val="0"/>
          <w:szCs w:val="24"/>
        </w:rPr>
        <w:t>broader research community. We briefly discuss two examples</w:t>
      </w:r>
      <w:r w:rsidR="005853A9">
        <w:rPr>
          <w:kern w:val="0"/>
          <w:szCs w:val="24"/>
        </w:rPr>
        <w:t xml:space="preserve"> and </w:t>
      </w:r>
      <w:r w:rsidRPr="001A3D2B">
        <w:rPr>
          <w:kern w:val="0"/>
          <w:szCs w:val="24"/>
        </w:rPr>
        <w:t>discuss</w:t>
      </w:r>
      <w:r w:rsidR="003A1917">
        <w:rPr>
          <w:kern w:val="0"/>
          <w:szCs w:val="24"/>
        </w:rPr>
        <w:t xml:space="preserve"> the </w:t>
      </w:r>
      <w:r w:rsidRPr="001A3D2B">
        <w:rPr>
          <w:kern w:val="0"/>
          <w:szCs w:val="24"/>
        </w:rPr>
        <w:t>strengths</w:t>
      </w:r>
      <w:r w:rsidR="005853A9">
        <w:rPr>
          <w:kern w:val="0"/>
          <w:szCs w:val="24"/>
        </w:rPr>
        <w:t xml:space="preserve"> and </w:t>
      </w:r>
      <w:r w:rsidRPr="001A3D2B">
        <w:rPr>
          <w:kern w:val="0"/>
          <w:szCs w:val="24"/>
        </w:rPr>
        <w:t>limits</w:t>
      </w:r>
      <w:r w:rsidR="00427468">
        <w:rPr>
          <w:kern w:val="0"/>
          <w:szCs w:val="24"/>
        </w:rPr>
        <w:t xml:space="preserve"> of </w:t>
      </w:r>
      <w:r w:rsidRPr="001A3D2B">
        <w:rPr>
          <w:kern w:val="0"/>
          <w:szCs w:val="24"/>
        </w:rPr>
        <w:t>outcome- based evaluation</w:t>
      </w:r>
      <w:r w:rsidR="00427468">
        <w:rPr>
          <w:kern w:val="0"/>
          <w:szCs w:val="24"/>
        </w:rPr>
        <w:t xml:space="preserve"> of </w:t>
      </w:r>
      <w:r w:rsidRPr="001A3D2B">
        <w:rPr>
          <w:kern w:val="0"/>
          <w:szCs w:val="24"/>
        </w:rPr>
        <w:t>research programs.</w:t>
      </w:r>
    </w:p>
    <w:p w:rsidR="00997C84" w:rsidRPr="001A3D2B" w:rsidRDefault="00997C84" w:rsidP="00997C84">
      <w:pPr>
        <w:pStyle w:val="a3"/>
        <w:rPr>
          <w:kern w:val="0"/>
          <w:szCs w:val="24"/>
        </w:rPr>
      </w:pPr>
      <w:r w:rsidRPr="001A3D2B">
        <w:rPr>
          <w:kern w:val="0"/>
          <w:szCs w:val="24"/>
        </w:rPr>
        <w:t>Keywords: Accountability,</w:t>
      </w:r>
      <w:r w:rsidR="005853A9">
        <w:rPr>
          <w:kern w:val="0"/>
          <w:szCs w:val="24"/>
        </w:rPr>
        <w:t xml:space="preserve"> and </w:t>
      </w:r>
      <w:r w:rsidRPr="001A3D2B">
        <w:rPr>
          <w:kern w:val="0"/>
          <w:szCs w:val="24"/>
        </w:rPr>
        <w:t>Sustainability, Bibliometrics, Children, Community, Conceptual Model Development, Contribution, Developed, Economics, Economy, Environment, Environmental, Environmental Health, Environmental Health Research, Environmental Quality, Epidemiologic Evidence, Evaluation, Health, Health Research, Human, Human Health, Institutional, Investment, Lead, Life, Logic, Long Term, Long-Term, Long-Term Outcomes, Measure, Measurement, Metrics, Metrics Development, Model, Mortality, Objective, Outcome, Outcomes, Particulate Air-Pollution, Pathways, Performance, Performance Measurement, Portfolio, Process, Quality, Quality of, Quality</w:t>
      </w:r>
      <w:r w:rsidR="00427468">
        <w:rPr>
          <w:kern w:val="0"/>
          <w:szCs w:val="24"/>
        </w:rPr>
        <w:t xml:space="preserve"> of </w:t>
      </w:r>
      <w:r w:rsidRPr="001A3D2B">
        <w:rPr>
          <w:kern w:val="0"/>
          <w:szCs w:val="24"/>
        </w:rPr>
        <w:t>Life, Research, Research Impact Evaluation, Social, Social Welfare, Sustainability, Welfare</w:t>
      </w:r>
    </w:p>
    <w:p w:rsidR="007647D8" w:rsidRDefault="007647D8" w:rsidP="007647D8">
      <w:pPr>
        <w:pStyle w:val="a3"/>
        <w:rPr>
          <w:kern w:val="0"/>
        </w:rPr>
      </w:pPr>
      <w:r>
        <w:rPr>
          <w:rFonts w:hint="eastAsia"/>
          <w:kern w:val="0"/>
        </w:rPr>
        <w:t xml:space="preserve">? </w:t>
      </w:r>
      <w:r>
        <w:rPr>
          <w:kern w:val="0"/>
        </w:rPr>
        <w:t>Karn, B., Kuiken, T.</w:t>
      </w:r>
      <w:r w:rsidR="005853A9">
        <w:rPr>
          <w:kern w:val="0"/>
        </w:rPr>
        <w:t xml:space="preserve"> and </w:t>
      </w:r>
      <w:r>
        <w:rPr>
          <w:kern w:val="0"/>
        </w:rPr>
        <w:t>Otto, M. (2011), Nanotechnology</w:t>
      </w:r>
      <w:r w:rsidR="005853A9">
        <w:rPr>
          <w:kern w:val="0"/>
        </w:rPr>
        <w:t xml:space="preserve"> and </w:t>
      </w:r>
      <w:r w:rsidRPr="009137F3">
        <w:rPr>
          <w:i/>
          <w:kern w:val="0"/>
        </w:rPr>
        <w:t>in situ</w:t>
      </w:r>
      <w:r>
        <w:rPr>
          <w:kern w:val="0"/>
        </w:rPr>
        <w:t xml:space="preserve"> remediation: A review</w:t>
      </w:r>
      <w:r w:rsidR="00427468">
        <w:rPr>
          <w:kern w:val="0"/>
        </w:rPr>
        <w:t xml:space="preserve"> of </w:t>
      </w:r>
      <w:r w:rsidR="003A1917">
        <w:rPr>
          <w:kern w:val="0"/>
        </w:rPr>
        <w:t xml:space="preserve">the </w:t>
      </w:r>
      <w:r>
        <w:rPr>
          <w:kern w:val="0"/>
        </w:rPr>
        <w:t>benefits</w:t>
      </w:r>
      <w:r w:rsidR="005853A9">
        <w:rPr>
          <w:kern w:val="0"/>
        </w:rPr>
        <w:t xml:space="preserve"> and </w:t>
      </w:r>
      <w:r>
        <w:rPr>
          <w:kern w:val="0"/>
        </w:rPr>
        <w:t xml:space="preserve">potential risks. </w:t>
      </w:r>
      <w:r>
        <w:rPr>
          <w:i/>
          <w:iCs/>
          <w:kern w:val="0"/>
        </w:rPr>
        <w:t>Ciência &amp; Saúde Coletiva</w:t>
      </w:r>
      <w:r>
        <w:rPr>
          <w:kern w:val="0"/>
        </w:rPr>
        <w:t xml:space="preserve">, </w:t>
      </w:r>
      <w:r>
        <w:rPr>
          <w:b/>
          <w:bCs/>
          <w:kern w:val="0"/>
        </w:rPr>
        <w:t>16</w:t>
      </w:r>
      <w:r>
        <w:rPr>
          <w:kern w:val="0"/>
        </w:rPr>
        <w:t xml:space="preserve"> (1), 165-178.</w:t>
      </w:r>
    </w:p>
    <w:p w:rsidR="007647D8" w:rsidRPr="001A3D2B" w:rsidRDefault="007647D8" w:rsidP="007647D8">
      <w:pPr>
        <w:pStyle w:val="a3"/>
        <w:rPr>
          <w:kern w:val="0"/>
          <w:szCs w:val="24"/>
        </w:rPr>
      </w:pPr>
      <w:r w:rsidRPr="001A3D2B">
        <w:rPr>
          <w:kern w:val="0"/>
          <w:szCs w:val="24"/>
        </w:rPr>
        <w:t xml:space="preserve">Full Text: </w:t>
      </w:r>
      <w:hyperlink r:id="rId276" w:history="1">
        <w:r w:rsidRPr="007647D8">
          <w:rPr>
            <w:rStyle w:val="a5"/>
            <w:kern w:val="0"/>
            <w:szCs w:val="24"/>
          </w:rPr>
          <w:t>2011\Cie Sau Col16, 165.pdf</w:t>
        </w:r>
      </w:hyperlink>
    </w:p>
    <w:p w:rsidR="00BC65EF" w:rsidRDefault="00BC65EF" w:rsidP="00BC65EF">
      <w:pPr>
        <w:pStyle w:val="a3"/>
        <w:rPr>
          <w:kern w:val="0"/>
        </w:rPr>
      </w:pPr>
      <w:r>
        <w:rPr>
          <w:kern w:val="0"/>
        </w:rPr>
        <w:t>Abstract: In this review, we focus on environmental cleanup</w:t>
      </w:r>
      <w:r w:rsidR="005853A9">
        <w:rPr>
          <w:kern w:val="0"/>
        </w:rPr>
        <w:t xml:space="preserve"> and </w:t>
      </w:r>
      <w:r>
        <w:rPr>
          <w:kern w:val="0"/>
        </w:rPr>
        <w:t>provide a background</w:t>
      </w:r>
      <w:r w:rsidR="005853A9">
        <w:rPr>
          <w:kern w:val="0"/>
        </w:rPr>
        <w:t xml:space="preserve"> and </w:t>
      </w:r>
      <w:r>
        <w:rPr>
          <w:kern w:val="0"/>
        </w:rPr>
        <w:t>overview</w:t>
      </w:r>
      <w:r w:rsidR="00427468">
        <w:rPr>
          <w:kern w:val="0"/>
        </w:rPr>
        <w:t xml:space="preserve"> of </w:t>
      </w:r>
      <w:r>
        <w:rPr>
          <w:kern w:val="0"/>
        </w:rPr>
        <w:t>current practice; research findings; societal issues; potential environment, health,</w:t>
      </w:r>
      <w:r w:rsidR="005853A9">
        <w:rPr>
          <w:kern w:val="0"/>
        </w:rPr>
        <w:t xml:space="preserve"> and </w:t>
      </w:r>
      <w:r>
        <w:rPr>
          <w:kern w:val="0"/>
        </w:rPr>
        <w:t>safety implications;</w:t>
      </w:r>
      <w:r w:rsidR="005853A9">
        <w:rPr>
          <w:kern w:val="0"/>
        </w:rPr>
        <w:t xml:space="preserve"> and </w:t>
      </w:r>
      <w:r>
        <w:rPr>
          <w:kern w:val="0"/>
        </w:rPr>
        <w:t xml:space="preserve">future directions for </w:t>
      </w:r>
      <w:r>
        <w:rPr>
          <w:kern w:val="0"/>
        </w:rPr>
        <w:lastRenderedPageBreak/>
        <w:t>nanoremediation. We also discuss nanoscale zero-valent iron in detail. We searched</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for research studies</w:t>
      </w:r>
      <w:r w:rsidR="005853A9">
        <w:rPr>
          <w:kern w:val="0"/>
        </w:rPr>
        <w:t xml:space="preserve"> and </w:t>
      </w:r>
      <w:r>
        <w:rPr>
          <w:kern w:val="0"/>
        </w:rPr>
        <w:t>accessed recent publicly available reports from</w:t>
      </w:r>
      <w:r w:rsidR="003A1917">
        <w:rPr>
          <w:kern w:val="0"/>
        </w:rPr>
        <w:t xml:space="preserve"> the </w:t>
      </w:r>
      <w:r>
        <w:rPr>
          <w:kern w:val="0"/>
        </w:rPr>
        <w:t>U.S. Environmental Protection Agency</w:t>
      </w:r>
      <w:r w:rsidR="005853A9">
        <w:rPr>
          <w:kern w:val="0"/>
        </w:rPr>
        <w:t xml:space="preserve"> and </w:t>
      </w:r>
      <w:r>
        <w:rPr>
          <w:kern w:val="0"/>
        </w:rPr>
        <w:t>other agencies</w:t>
      </w:r>
      <w:r w:rsidR="005853A9">
        <w:rPr>
          <w:kern w:val="0"/>
        </w:rPr>
        <w:t xml:space="preserve"> and </w:t>
      </w:r>
      <w:r>
        <w:rPr>
          <w:kern w:val="0"/>
        </w:rPr>
        <w:t>organizations that addressed</w:t>
      </w:r>
      <w:r w:rsidR="003A1917">
        <w:rPr>
          <w:kern w:val="0"/>
        </w:rPr>
        <w:t xml:space="preserve"> the </w:t>
      </w:r>
      <w:r>
        <w:rPr>
          <w:kern w:val="0"/>
        </w:rPr>
        <w:t>applications</w:t>
      </w:r>
      <w:r w:rsidR="005853A9">
        <w:rPr>
          <w:kern w:val="0"/>
        </w:rPr>
        <w:t xml:space="preserve"> and </w:t>
      </w:r>
      <w:r>
        <w:rPr>
          <w:kern w:val="0"/>
        </w:rPr>
        <w:t>implications associated with nanoremediation techniques. We also conducted personal interviews with practitioners about specific site remediations. We aggregated information from 45 sites, a representative portion</w:t>
      </w:r>
      <w:r w:rsidR="00427468">
        <w:rPr>
          <w:kern w:val="0"/>
        </w:rPr>
        <w:t xml:space="preserve"> of </w:t>
      </w:r>
      <w:r w:rsidR="003A1917">
        <w:rPr>
          <w:kern w:val="0"/>
        </w:rPr>
        <w:t xml:space="preserve">the </w:t>
      </w:r>
      <w:r>
        <w:rPr>
          <w:kern w:val="0"/>
        </w:rPr>
        <w:t>total projects under way, to show nanomaterials used, types</w:t>
      </w:r>
      <w:r w:rsidR="00427468">
        <w:rPr>
          <w:kern w:val="0"/>
        </w:rPr>
        <w:t xml:space="preserve"> of </w:t>
      </w:r>
      <w:r>
        <w:rPr>
          <w:kern w:val="0"/>
        </w:rPr>
        <w:t>pollutants addressed,</w:t>
      </w:r>
      <w:r w:rsidR="005853A9">
        <w:rPr>
          <w:kern w:val="0"/>
        </w:rPr>
        <w:t xml:space="preserve"> and </w:t>
      </w:r>
      <w:r>
        <w:rPr>
          <w:kern w:val="0"/>
        </w:rPr>
        <w:t>organizations responsible for each site. Nanoremediation has</w:t>
      </w:r>
      <w:r w:rsidR="003A1917">
        <w:rPr>
          <w:kern w:val="0"/>
        </w:rPr>
        <w:t xml:space="preserve"> the </w:t>
      </w:r>
      <w:r>
        <w:rPr>
          <w:kern w:val="0"/>
        </w:rPr>
        <w:t>potential not only to reduce</w:t>
      </w:r>
      <w:r w:rsidR="003A1917">
        <w:rPr>
          <w:kern w:val="0"/>
        </w:rPr>
        <w:t xml:space="preserve"> the </w:t>
      </w:r>
      <w:r>
        <w:rPr>
          <w:kern w:val="0"/>
        </w:rPr>
        <w:t>overall costs</w:t>
      </w:r>
      <w:r w:rsidR="00427468">
        <w:rPr>
          <w:kern w:val="0"/>
        </w:rPr>
        <w:t xml:space="preserve"> of </w:t>
      </w:r>
      <w:r>
        <w:rPr>
          <w:kern w:val="0"/>
        </w:rPr>
        <w:t>cleaning up large-scale contaminated sites but also to reduce cleanup time, eliminate</w:t>
      </w:r>
      <w:r w:rsidR="003A1917">
        <w:rPr>
          <w:kern w:val="0"/>
        </w:rPr>
        <w:t xml:space="preserve"> the </w:t>
      </w:r>
      <w:r>
        <w:rPr>
          <w:kern w:val="0"/>
        </w:rPr>
        <w:t>need for treatment</w:t>
      </w:r>
      <w:r w:rsidR="005853A9">
        <w:rPr>
          <w:kern w:val="0"/>
        </w:rPr>
        <w:t xml:space="preserve"> and </w:t>
      </w:r>
      <w:r>
        <w:rPr>
          <w:kern w:val="0"/>
        </w:rPr>
        <w:t>disposal</w:t>
      </w:r>
      <w:r w:rsidR="00427468">
        <w:rPr>
          <w:kern w:val="0"/>
        </w:rPr>
        <w:t xml:space="preserve"> of </w:t>
      </w:r>
      <w:r>
        <w:rPr>
          <w:kern w:val="0"/>
        </w:rPr>
        <w:t>contaminated soil,</w:t>
      </w:r>
      <w:r w:rsidR="005853A9">
        <w:rPr>
          <w:kern w:val="0"/>
        </w:rPr>
        <w:t xml:space="preserve"> and </w:t>
      </w:r>
      <w:r>
        <w:rPr>
          <w:kern w:val="0"/>
        </w:rPr>
        <w:t>reduce some contaminant concentrations to near zero -all in situ.</w:t>
      </w:r>
    </w:p>
    <w:p w:rsidR="00BC65EF" w:rsidRDefault="00BC65EF" w:rsidP="00BC65EF">
      <w:pPr>
        <w:pStyle w:val="a3"/>
        <w:rPr>
          <w:kern w:val="0"/>
        </w:rPr>
      </w:pPr>
      <w:r>
        <w:rPr>
          <w:kern w:val="0"/>
        </w:rPr>
        <w:t xml:space="preserve">Keywords: C-60, Costs, Ecotoxicology, Engineered Nanoparticles, Environment, Environmental, Environmental Implications, Environmental Technology, Field, Hazardous Wastes, Information, Iron, Nanoremediation, Nanoscale Iron Particles, Nanotechnology, Overview, Pollutants, Practice, Remediation, Research, Review, Safety, Science, Suspensions, Toxicity, Transport, Treatment, Waste Sites, Water, </w:t>
      </w:r>
      <w:r w:rsidR="00D5664A">
        <w:rPr>
          <w:kern w:val="0"/>
        </w:rPr>
        <w:t>Web</w:t>
      </w:r>
      <w:r w:rsidR="00427468">
        <w:rPr>
          <w:kern w:val="0"/>
        </w:rPr>
        <w:t xml:space="preserve"> of </w:t>
      </w:r>
      <w:r w:rsidR="00D5664A">
        <w:rPr>
          <w:kern w:val="0"/>
        </w:rPr>
        <w:t>Science</w:t>
      </w:r>
      <w:r>
        <w:rPr>
          <w:kern w:val="0"/>
        </w:rPr>
        <w:t>, Zero-Valent Iron, Zero-Valent Iron, Zerovalent Iron</w:t>
      </w:r>
    </w:p>
    <w:p w:rsidR="00FE0B89" w:rsidRDefault="00FE0B89" w:rsidP="00FE0B89">
      <w:pPr>
        <w:pStyle w:val="a3"/>
        <w:rPr>
          <w:kern w:val="0"/>
          <w:szCs w:val="24"/>
        </w:rPr>
      </w:pPr>
      <w:r>
        <w:rPr>
          <w:rFonts w:hint="eastAsia"/>
          <w:kern w:val="0"/>
          <w:szCs w:val="24"/>
        </w:rPr>
        <w:t xml:space="preserve">? </w:t>
      </w:r>
      <w:r>
        <w:rPr>
          <w:kern w:val="0"/>
          <w:szCs w:val="24"/>
        </w:rPr>
        <w:t>Costa, E.A.M.</w:t>
      </w:r>
      <w:r w:rsidR="005853A9">
        <w:rPr>
          <w:kern w:val="0"/>
          <w:szCs w:val="24"/>
        </w:rPr>
        <w:t xml:space="preserve"> and </w:t>
      </w:r>
      <w:r>
        <w:rPr>
          <w:kern w:val="0"/>
          <w:szCs w:val="24"/>
        </w:rPr>
        <w:t>Costa, E.A. (2011</w:t>
      </w:r>
      <w:r w:rsidR="00F42EAC">
        <w:rPr>
          <w:kern w:val="0"/>
          <w:szCs w:val="24"/>
        </w:rPr>
        <w:t>), The</w:t>
      </w:r>
      <w:r w:rsidR="003A1917">
        <w:rPr>
          <w:kern w:val="0"/>
          <w:szCs w:val="24"/>
        </w:rPr>
        <w:t xml:space="preserve"> </w:t>
      </w:r>
      <w:r>
        <w:rPr>
          <w:kern w:val="0"/>
          <w:szCs w:val="24"/>
        </w:rPr>
        <w:t>reprocessing</w:t>
      </w:r>
      <w:r w:rsidR="00427468">
        <w:rPr>
          <w:kern w:val="0"/>
          <w:szCs w:val="24"/>
        </w:rPr>
        <w:t xml:space="preserve"> of </w:t>
      </w:r>
      <w:r>
        <w:rPr>
          <w:kern w:val="0"/>
          <w:szCs w:val="24"/>
        </w:rPr>
        <w:t xml:space="preserve">medical products: From regulatory polices to operational practices. </w:t>
      </w:r>
      <w:r>
        <w:rPr>
          <w:i/>
          <w:iCs/>
          <w:kern w:val="0"/>
          <w:szCs w:val="24"/>
        </w:rPr>
        <w:t>Ciência &amp; Saúde Coletiva</w:t>
      </w:r>
      <w:r>
        <w:rPr>
          <w:kern w:val="0"/>
          <w:szCs w:val="24"/>
        </w:rPr>
        <w:t xml:space="preserve">, </w:t>
      </w:r>
      <w:r>
        <w:rPr>
          <w:b/>
          <w:bCs/>
          <w:kern w:val="0"/>
          <w:szCs w:val="24"/>
        </w:rPr>
        <w:t>16</w:t>
      </w:r>
      <w:r>
        <w:rPr>
          <w:kern w:val="0"/>
          <w:szCs w:val="24"/>
        </w:rPr>
        <w:t xml:space="preserve"> (12), 4787-4794.</w:t>
      </w:r>
    </w:p>
    <w:p w:rsidR="00FE0B89" w:rsidRPr="001A3D2B" w:rsidRDefault="00FE0B89" w:rsidP="00FE0B89">
      <w:pPr>
        <w:pStyle w:val="a3"/>
        <w:rPr>
          <w:kern w:val="0"/>
          <w:szCs w:val="24"/>
        </w:rPr>
      </w:pPr>
      <w:r w:rsidRPr="001A3D2B">
        <w:rPr>
          <w:kern w:val="0"/>
          <w:szCs w:val="24"/>
        </w:rPr>
        <w:t xml:space="preserve">Full Text: </w:t>
      </w:r>
      <w:hyperlink r:id="rId277" w:history="1">
        <w:r w:rsidR="00144CB8" w:rsidRPr="00144CB8">
          <w:rPr>
            <w:rStyle w:val="a5"/>
            <w:kern w:val="0"/>
            <w:szCs w:val="24"/>
          </w:rPr>
          <w:t>2011\Cie Sau Col16, 4787.pdf</w:t>
        </w:r>
      </w:hyperlink>
    </w:p>
    <w:p w:rsidR="00FE0B89" w:rsidRDefault="00FE0B89" w:rsidP="00FE0B89">
      <w:pPr>
        <w:pStyle w:val="a3"/>
        <w:rPr>
          <w:kern w:val="0"/>
          <w:szCs w:val="24"/>
        </w:rPr>
      </w:pPr>
      <w:r>
        <w:rPr>
          <w:kern w:val="0"/>
          <w:szCs w:val="24"/>
        </w:rPr>
        <w:t>Abstract:</w:t>
      </w:r>
      <w:r w:rsidR="003A1917">
        <w:rPr>
          <w:kern w:val="0"/>
          <w:szCs w:val="24"/>
        </w:rPr>
        <w:t xml:space="preserve"> the </w:t>
      </w:r>
      <w:r>
        <w:rPr>
          <w:kern w:val="0"/>
          <w:szCs w:val="24"/>
        </w:rPr>
        <w:t>number</w:t>
      </w:r>
      <w:r w:rsidR="00427468">
        <w:rPr>
          <w:kern w:val="0"/>
          <w:szCs w:val="24"/>
        </w:rPr>
        <w:t xml:space="preserve"> of </w:t>
      </w:r>
      <w:r>
        <w:rPr>
          <w:kern w:val="0"/>
          <w:szCs w:val="24"/>
        </w:rPr>
        <w:t>technological resources used in health care interventions is growing</w:t>
      </w:r>
      <w:r w:rsidR="005853A9">
        <w:rPr>
          <w:kern w:val="0"/>
          <w:szCs w:val="24"/>
        </w:rPr>
        <w:t xml:space="preserve"> and </w:t>
      </w:r>
      <w:r>
        <w:rPr>
          <w:kern w:val="0"/>
          <w:szCs w:val="24"/>
        </w:rPr>
        <w:t>continually expanding with</w:t>
      </w:r>
      <w:r w:rsidR="003A1917">
        <w:rPr>
          <w:kern w:val="0"/>
          <w:szCs w:val="24"/>
        </w:rPr>
        <w:t xml:space="preserve"> the </w:t>
      </w:r>
      <w:r>
        <w:rPr>
          <w:kern w:val="0"/>
          <w:szCs w:val="24"/>
        </w:rPr>
        <w:t>introduction</w:t>
      </w:r>
      <w:r w:rsidR="00427468">
        <w:rPr>
          <w:kern w:val="0"/>
          <w:szCs w:val="24"/>
        </w:rPr>
        <w:t xml:space="preserve"> of </w:t>
      </w:r>
      <w:r>
        <w:rPr>
          <w:kern w:val="0"/>
          <w:szCs w:val="24"/>
        </w:rPr>
        <w:t>new products</w:t>
      </w:r>
      <w:r w:rsidR="005853A9">
        <w:rPr>
          <w:kern w:val="0"/>
          <w:szCs w:val="24"/>
        </w:rPr>
        <w:t xml:space="preserve"> and </w:t>
      </w:r>
      <w:r>
        <w:rPr>
          <w:kern w:val="0"/>
          <w:szCs w:val="24"/>
        </w:rPr>
        <w:t>articles. Problems associated with</w:t>
      </w:r>
      <w:r w:rsidR="003A1917">
        <w:rPr>
          <w:kern w:val="0"/>
          <w:szCs w:val="24"/>
        </w:rPr>
        <w:t xml:space="preserve"> the </w:t>
      </w:r>
      <w:r>
        <w:rPr>
          <w:kern w:val="0"/>
          <w:szCs w:val="24"/>
        </w:rPr>
        <w:t>reutilization</w:t>
      </w:r>
      <w:r w:rsidR="00427468">
        <w:rPr>
          <w:kern w:val="0"/>
          <w:szCs w:val="24"/>
        </w:rPr>
        <w:t xml:space="preserve"> of </w:t>
      </w:r>
      <w:r>
        <w:rPr>
          <w:kern w:val="0"/>
          <w:szCs w:val="24"/>
        </w:rPr>
        <w:t>medical products, both re</w:t>
      </w:r>
      <w:r w:rsidR="00D5664A">
        <w:rPr>
          <w:kern w:val="0"/>
          <w:szCs w:val="24"/>
        </w:rPr>
        <w:t>USA</w:t>
      </w:r>
      <w:r>
        <w:rPr>
          <w:kern w:val="0"/>
          <w:szCs w:val="24"/>
        </w:rPr>
        <w:t>ble</w:t>
      </w:r>
      <w:r w:rsidR="005853A9">
        <w:rPr>
          <w:kern w:val="0"/>
          <w:szCs w:val="24"/>
        </w:rPr>
        <w:t xml:space="preserve"> and</w:t>
      </w:r>
      <w:r w:rsidR="00427468">
        <w:rPr>
          <w:kern w:val="0"/>
          <w:szCs w:val="24"/>
        </w:rPr>
        <w:t xml:space="preserve"> of </w:t>
      </w:r>
      <w:r>
        <w:rPr>
          <w:kern w:val="0"/>
          <w:szCs w:val="24"/>
        </w:rPr>
        <w:t>single use, affect policies</w:t>
      </w:r>
      <w:r w:rsidR="005853A9">
        <w:rPr>
          <w:kern w:val="0"/>
          <w:szCs w:val="24"/>
        </w:rPr>
        <w:t xml:space="preserve"> and </w:t>
      </w:r>
      <w:r>
        <w:rPr>
          <w:kern w:val="0"/>
          <w:szCs w:val="24"/>
        </w:rPr>
        <w:t>related technical-operational, economic, political, ethical, legal,</w:t>
      </w:r>
      <w:r w:rsidR="005853A9">
        <w:rPr>
          <w:kern w:val="0"/>
          <w:szCs w:val="24"/>
        </w:rPr>
        <w:t xml:space="preserve"> and </w:t>
      </w:r>
      <w:r>
        <w:rPr>
          <w:kern w:val="0"/>
          <w:szCs w:val="24"/>
        </w:rPr>
        <w:t>environmental matters. This study aims to contextualize</w:t>
      </w:r>
      <w:r w:rsidR="003A1917">
        <w:rPr>
          <w:kern w:val="0"/>
          <w:szCs w:val="24"/>
        </w:rPr>
        <w:t xml:space="preserve"> the </w:t>
      </w:r>
      <w:r>
        <w:rPr>
          <w:kern w:val="0"/>
          <w:szCs w:val="24"/>
        </w:rPr>
        <w:t>regulatory systems</w:t>
      </w:r>
      <w:r w:rsidR="00427468">
        <w:rPr>
          <w:kern w:val="0"/>
          <w:szCs w:val="24"/>
        </w:rPr>
        <w:t xml:space="preserve"> of </w:t>
      </w:r>
      <w:r>
        <w:rPr>
          <w:kern w:val="0"/>
          <w:szCs w:val="24"/>
        </w:rPr>
        <w:t>medical products,</w:t>
      </w:r>
      <w:r w:rsidR="005853A9">
        <w:rPr>
          <w:kern w:val="0"/>
          <w:szCs w:val="24"/>
        </w:rPr>
        <w:t xml:space="preserve"> and </w:t>
      </w:r>
      <w:r>
        <w:rPr>
          <w:kern w:val="0"/>
          <w:szCs w:val="24"/>
        </w:rPr>
        <w:t>analyze</w:t>
      </w:r>
      <w:r w:rsidR="003A1917">
        <w:rPr>
          <w:kern w:val="0"/>
          <w:szCs w:val="24"/>
        </w:rPr>
        <w:t xml:space="preserve"> the </w:t>
      </w:r>
      <w:r>
        <w:rPr>
          <w:kern w:val="0"/>
          <w:szCs w:val="24"/>
        </w:rPr>
        <w:t>subsequent operational implications for Brazilian hospital practices</w:t>
      </w:r>
      <w:r w:rsidR="00A37C1D">
        <w:rPr>
          <w:kern w:val="0"/>
          <w:szCs w:val="24"/>
        </w:rPr>
        <w:t>. The</w:t>
      </w:r>
      <w:r w:rsidR="003A1917">
        <w:rPr>
          <w:kern w:val="0"/>
          <w:szCs w:val="24"/>
        </w:rPr>
        <w:t xml:space="preserve"> </w:t>
      </w:r>
      <w:r>
        <w:rPr>
          <w:kern w:val="0"/>
          <w:szCs w:val="24"/>
        </w:rPr>
        <w:t>article consists</w:t>
      </w:r>
      <w:r w:rsidR="00427468">
        <w:rPr>
          <w:kern w:val="0"/>
          <w:szCs w:val="24"/>
        </w:rPr>
        <w:t xml:space="preserve"> of </w:t>
      </w:r>
      <w:r>
        <w:rPr>
          <w:kern w:val="0"/>
          <w:szCs w:val="24"/>
        </w:rPr>
        <w:t>a bibliographic review, carried out without time</w:t>
      </w:r>
      <w:r w:rsidR="005853A9">
        <w:rPr>
          <w:kern w:val="0"/>
          <w:szCs w:val="24"/>
        </w:rPr>
        <w:t xml:space="preserve"> and </w:t>
      </w:r>
      <w:r>
        <w:rPr>
          <w:kern w:val="0"/>
          <w:szCs w:val="24"/>
        </w:rPr>
        <w:t>language restriction, utilizing</w:t>
      </w:r>
      <w:r w:rsidR="003A1917">
        <w:rPr>
          <w:kern w:val="0"/>
          <w:szCs w:val="24"/>
        </w:rPr>
        <w:t xml:space="preserve"> the </w:t>
      </w:r>
      <w:r w:rsidR="00D5664A">
        <w:rPr>
          <w:kern w:val="0"/>
          <w:szCs w:val="24"/>
        </w:rPr>
        <w:t>Web</w:t>
      </w:r>
      <w:r w:rsidR="00427468">
        <w:rPr>
          <w:kern w:val="0"/>
          <w:szCs w:val="24"/>
        </w:rPr>
        <w:t xml:space="preserve"> of </w:t>
      </w:r>
      <w:r w:rsidR="00D5664A">
        <w:rPr>
          <w:kern w:val="0"/>
          <w:szCs w:val="24"/>
        </w:rPr>
        <w:t>Science</w:t>
      </w:r>
      <w:r>
        <w:rPr>
          <w:kern w:val="0"/>
          <w:szCs w:val="24"/>
        </w:rPr>
        <w:t>, Bireme, Scielo</w:t>
      </w:r>
      <w:r w:rsidR="005853A9">
        <w:rPr>
          <w:kern w:val="0"/>
          <w:szCs w:val="24"/>
        </w:rPr>
        <w:t xml:space="preserve"> and </w:t>
      </w:r>
      <w:r>
        <w:rPr>
          <w:kern w:val="0"/>
          <w:szCs w:val="24"/>
        </w:rPr>
        <w:t>Lilacs databases, with</w:t>
      </w:r>
      <w:r w:rsidR="003A1917">
        <w:rPr>
          <w:kern w:val="0"/>
          <w:szCs w:val="24"/>
        </w:rPr>
        <w:t xml:space="preserve"> the </w:t>
      </w:r>
      <w:r>
        <w:rPr>
          <w:kern w:val="0"/>
          <w:szCs w:val="24"/>
        </w:rPr>
        <w:t>support</w:t>
      </w:r>
      <w:r w:rsidR="00427468">
        <w:rPr>
          <w:kern w:val="0"/>
          <w:szCs w:val="24"/>
        </w:rPr>
        <w:t xml:space="preserve"> of </w:t>
      </w:r>
      <w:r>
        <w:rPr>
          <w:kern w:val="0"/>
          <w:szCs w:val="24"/>
        </w:rPr>
        <w:t>specific descriptors. This study uses</w:t>
      </w:r>
      <w:r w:rsidR="003A1917">
        <w:rPr>
          <w:kern w:val="0"/>
          <w:szCs w:val="24"/>
        </w:rPr>
        <w:t xml:space="preserve"> the </w:t>
      </w:r>
      <w:r>
        <w:rPr>
          <w:kern w:val="0"/>
          <w:szCs w:val="24"/>
        </w:rPr>
        <w:t>contextualization</w:t>
      </w:r>
      <w:r w:rsidR="00427468">
        <w:rPr>
          <w:kern w:val="0"/>
          <w:szCs w:val="24"/>
        </w:rPr>
        <w:t xml:space="preserve"> of </w:t>
      </w:r>
      <w:r>
        <w:rPr>
          <w:kern w:val="0"/>
          <w:szCs w:val="24"/>
        </w:rPr>
        <w:t>regulatory plans for medical products across</w:t>
      </w:r>
      <w:r w:rsidR="003A1917">
        <w:rPr>
          <w:kern w:val="0"/>
          <w:szCs w:val="24"/>
        </w:rPr>
        <w:t xml:space="preserve"> the </w:t>
      </w:r>
      <w:r>
        <w:rPr>
          <w:kern w:val="0"/>
          <w:szCs w:val="24"/>
        </w:rPr>
        <w:t>world</w:t>
      </w:r>
      <w:r w:rsidR="005853A9">
        <w:rPr>
          <w:kern w:val="0"/>
          <w:szCs w:val="24"/>
        </w:rPr>
        <w:t xml:space="preserve"> and </w:t>
      </w:r>
      <w:r>
        <w:rPr>
          <w:kern w:val="0"/>
          <w:szCs w:val="24"/>
        </w:rPr>
        <w:t>in Brazil</w:t>
      </w:r>
      <w:r w:rsidR="005853A9">
        <w:rPr>
          <w:kern w:val="0"/>
          <w:szCs w:val="24"/>
        </w:rPr>
        <w:t xml:space="preserve"> and </w:t>
      </w:r>
      <w:r w:rsidR="003A1917">
        <w:rPr>
          <w:kern w:val="0"/>
          <w:szCs w:val="24"/>
        </w:rPr>
        <w:t xml:space="preserve">the </w:t>
      </w:r>
      <w:r>
        <w:rPr>
          <w:kern w:val="0"/>
          <w:szCs w:val="24"/>
        </w:rPr>
        <w:t>existing condition</w:t>
      </w:r>
      <w:r w:rsidR="00427468">
        <w:rPr>
          <w:kern w:val="0"/>
          <w:szCs w:val="24"/>
        </w:rPr>
        <w:t xml:space="preserve"> of </w:t>
      </w:r>
      <w:r>
        <w:rPr>
          <w:kern w:val="0"/>
          <w:szCs w:val="24"/>
        </w:rPr>
        <w:t>standardization</w:t>
      </w:r>
      <w:r w:rsidR="00427468">
        <w:rPr>
          <w:kern w:val="0"/>
          <w:szCs w:val="24"/>
        </w:rPr>
        <w:t xml:space="preserve"> of </w:t>
      </w:r>
      <w:r w:rsidR="003A1917">
        <w:rPr>
          <w:kern w:val="0"/>
          <w:szCs w:val="24"/>
        </w:rPr>
        <w:t xml:space="preserve">the </w:t>
      </w:r>
      <w:r>
        <w:rPr>
          <w:kern w:val="0"/>
          <w:szCs w:val="24"/>
        </w:rPr>
        <w:t>reprocessing</w:t>
      </w:r>
      <w:r w:rsidR="00427468">
        <w:rPr>
          <w:kern w:val="0"/>
          <w:szCs w:val="24"/>
        </w:rPr>
        <w:t xml:space="preserve"> of </w:t>
      </w:r>
      <w:r>
        <w:rPr>
          <w:kern w:val="0"/>
          <w:szCs w:val="24"/>
        </w:rPr>
        <w:t>these products as</w:t>
      </w:r>
      <w:r w:rsidR="003A1917">
        <w:rPr>
          <w:kern w:val="0"/>
          <w:szCs w:val="24"/>
        </w:rPr>
        <w:t xml:space="preserve"> the </w:t>
      </w:r>
      <w:r>
        <w:rPr>
          <w:kern w:val="0"/>
          <w:szCs w:val="24"/>
        </w:rPr>
        <w:t>assessment sources with which to analyze</w:t>
      </w:r>
      <w:r w:rsidR="003A1917">
        <w:rPr>
          <w:kern w:val="0"/>
          <w:szCs w:val="24"/>
        </w:rPr>
        <w:t xml:space="preserve"> the </w:t>
      </w:r>
      <w:r>
        <w:rPr>
          <w:kern w:val="0"/>
          <w:szCs w:val="24"/>
        </w:rPr>
        <w:t>operational implications for these practices in Brazilian hospitals.</w:t>
      </w:r>
    </w:p>
    <w:p w:rsidR="00FE0B89" w:rsidRDefault="00FE0B89" w:rsidP="00FE0B89">
      <w:pPr>
        <w:pStyle w:val="a3"/>
        <w:rPr>
          <w:kern w:val="0"/>
          <w:szCs w:val="24"/>
        </w:rPr>
      </w:pPr>
      <w:r>
        <w:rPr>
          <w:kern w:val="0"/>
          <w:szCs w:val="24"/>
        </w:rPr>
        <w:t xml:space="preserve">Keywords: Assessment, Bibliographic, Brazil, Care, Databases, Devices, Environmental, FDA Regulation, Health Care, Hospital, Hospitals, Interventions, Medical, Medical Devices, Operational Pratices, Policies, Questions, Regulation, Reprocessing, Review, Sanitary Surveillance, Science, </w:t>
      </w:r>
      <w:r w:rsidR="00D5664A">
        <w:rPr>
          <w:kern w:val="0"/>
          <w:szCs w:val="24"/>
        </w:rPr>
        <w:t>Web</w:t>
      </w:r>
      <w:r w:rsidR="00427468">
        <w:rPr>
          <w:kern w:val="0"/>
          <w:szCs w:val="24"/>
        </w:rPr>
        <w:t xml:space="preserve"> of </w:t>
      </w:r>
      <w:r w:rsidR="00D5664A">
        <w:rPr>
          <w:kern w:val="0"/>
          <w:szCs w:val="24"/>
        </w:rPr>
        <w:t>Science</w:t>
      </w:r>
    </w:p>
    <w:p w:rsidR="00985ABD" w:rsidRDefault="00985ABD" w:rsidP="00985ABD">
      <w:pPr>
        <w:pStyle w:val="a3"/>
        <w:rPr>
          <w:kern w:val="0"/>
        </w:rPr>
      </w:pPr>
      <w:r>
        <w:rPr>
          <w:kern w:val="0"/>
        </w:rPr>
        <w:lastRenderedPageBreak/>
        <w:t>? de Souza, M.K.B.</w:t>
      </w:r>
      <w:r w:rsidR="005853A9">
        <w:rPr>
          <w:kern w:val="0"/>
        </w:rPr>
        <w:t xml:space="preserve"> and </w:t>
      </w:r>
      <w:r>
        <w:rPr>
          <w:kern w:val="0"/>
        </w:rPr>
        <w:t xml:space="preserve">Teixeira, C.F. (2012), Scientific output on health systems management: A study carried out in web space (1987-2009). </w:t>
      </w:r>
      <w:r w:rsidR="004E1BE3" w:rsidRPr="00C5439D">
        <w:rPr>
          <w:i/>
          <w:iCs/>
          <w:kern w:val="0"/>
        </w:rPr>
        <w:t>Ciência &amp; Saúde Coletiva</w:t>
      </w:r>
      <w:r>
        <w:rPr>
          <w:kern w:val="0"/>
        </w:rPr>
        <w:t xml:space="preserve">, </w:t>
      </w:r>
      <w:r>
        <w:rPr>
          <w:b/>
          <w:bCs/>
          <w:kern w:val="0"/>
        </w:rPr>
        <w:t>17</w:t>
      </w:r>
      <w:r>
        <w:rPr>
          <w:kern w:val="0"/>
        </w:rPr>
        <w:t xml:space="preserve"> (4), 935-944.</w:t>
      </w:r>
    </w:p>
    <w:p w:rsidR="00985ABD" w:rsidRPr="001A3D2B" w:rsidRDefault="00985ABD" w:rsidP="00985ABD">
      <w:pPr>
        <w:pStyle w:val="a3"/>
        <w:rPr>
          <w:kern w:val="0"/>
        </w:rPr>
      </w:pPr>
      <w:r w:rsidRPr="001A3D2B">
        <w:rPr>
          <w:kern w:val="0"/>
        </w:rPr>
        <w:t xml:space="preserve">Full Text: </w:t>
      </w:r>
      <w:hyperlink r:id="rId278" w:history="1">
        <w:r w:rsidRPr="00CF231B">
          <w:rPr>
            <w:rStyle w:val="a5"/>
            <w:kern w:val="0"/>
          </w:rPr>
          <w:t>2012\Cie Sau Col17, 935.pdf</w:t>
        </w:r>
      </w:hyperlink>
    </w:p>
    <w:p w:rsidR="00985ABD" w:rsidRDefault="00985ABD" w:rsidP="00985ABD">
      <w:pPr>
        <w:pStyle w:val="a3"/>
        <w:rPr>
          <w:kern w:val="0"/>
        </w:rPr>
      </w:pPr>
      <w:r>
        <w:rPr>
          <w:kern w:val="0"/>
        </w:rPr>
        <w:t>Abstract:</w:t>
      </w:r>
      <w:r w:rsidR="003A1917">
        <w:rPr>
          <w:kern w:val="0"/>
        </w:rPr>
        <w:t xml:space="preserve"> the </w:t>
      </w:r>
      <w:r>
        <w:rPr>
          <w:kern w:val="0"/>
        </w:rPr>
        <w:t>objective</w:t>
      </w:r>
      <w:r w:rsidR="00427468">
        <w:rPr>
          <w:kern w:val="0"/>
        </w:rPr>
        <w:t xml:space="preserve"> of </w:t>
      </w:r>
      <w:r>
        <w:rPr>
          <w:kern w:val="0"/>
        </w:rPr>
        <w:t>this study is to characterize Brazilian/Latin American scientific output in</w:t>
      </w:r>
      <w:r w:rsidR="003A1917">
        <w:rPr>
          <w:kern w:val="0"/>
        </w:rPr>
        <w:t xml:space="preserve"> the </w:t>
      </w:r>
      <w:r w:rsidR="00B5188C">
        <w:rPr>
          <w:kern w:val="0"/>
        </w:rPr>
        <w:t>“</w:t>
      </w:r>
      <w:r>
        <w:rPr>
          <w:kern w:val="0"/>
        </w:rPr>
        <w:t>field</w:t>
      </w:r>
      <w:r w:rsidR="00B5188C">
        <w:rPr>
          <w:kern w:val="0"/>
        </w:rPr>
        <w:t>”</w:t>
      </w:r>
      <w:r w:rsidR="00427468">
        <w:rPr>
          <w:kern w:val="0"/>
        </w:rPr>
        <w:t xml:space="preserve"> of </w:t>
      </w:r>
      <w:r>
        <w:rPr>
          <w:kern w:val="0"/>
        </w:rPr>
        <w:t>health</w:t>
      </w:r>
      <w:r w:rsidR="005853A9">
        <w:rPr>
          <w:kern w:val="0"/>
        </w:rPr>
        <w:t xml:space="preserve"> and </w:t>
      </w:r>
      <w:r>
        <w:rPr>
          <w:kern w:val="0"/>
        </w:rPr>
        <w:t>on health systems management specifically, based on work registered on</w:t>
      </w:r>
      <w:r w:rsidR="003A1917">
        <w:rPr>
          <w:kern w:val="0"/>
        </w:rPr>
        <w:t xml:space="preserve"> the </w:t>
      </w:r>
      <w:r>
        <w:rPr>
          <w:kern w:val="0"/>
        </w:rPr>
        <w:t>Lilacs database in</w:t>
      </w:r>
      <w:r w:rsidR="003A1917">
        <w:rPr>
          <w:kern w:val="0"/>
        </w:rPr>
        <w:t xml:space="preserve"> the </w:t>
      </w:r>
      <w:r>
        <w:rPr>
          <w:kern w:val="0"/>
        </w:rPr>
        <w:t>period from 1987 to 2009</w:t>
      </w:r>
      <w:r w:rsidR="00A37C1D">
        <w:rPr>
          <w:kern w:val="0"/>
        </w:rPr>
        <w:t>. The</w:t>
      </w:r>
      <w:r w:rsidR="003A1917">
        <w:rPr>
          <w:kern w:val="0"/>
        </w:rPr>
        <w:t xml:space="preserve"> </w:t>
      </w:r>
      <w:r>
        <w:rPr>
          <w:kern w:val="0"/>
        </w:rPr>
        <w:t xml:space="preserve">terms </w:t>
      </w:r>
      <w:r w:rsidR="00B5188C">
        <w:rPr>
          <w:kern w:val="0"/>
        </w:rPr>
        <w:t>“</w:t>
      </w:r>
      <w:r>
        <w:rPr>
          <w:kern w:val="0"/>
        </w:rPr>
        <w:t>health management</w:t>
      </w:r>
      <w:r w:rsidR="00B5188C">
        <w:rPr>
          <w:kern w:val="0"/>
        </w:rPr>
        <w:t>”</w:t>
      </w:r>
      <w:r w:rsidR="005853A9">
        <w:rPr>
          <w:kern w:val="0"/>
        </w:rPr>
        <w:t xml:space="preserve"> and </w:t>
      </w:r>
      <w:r w:rsidR="00B5188C">
        <w:rPr>
          <w:kern w:val="0"/>
        </w:rPr>
        <w:t>“</w:t>
      </w:r>
      <w:r>
        <w:rPr>
          <w:kern w:val="0"/>
        </w:rPr>
        <w:t>health systems</w:t>
      </w:r>
      <w:r w:rsidR="00B5188C">
        <w:rPr>
          <w:kern w:val="0"/>
        </w:rPr>
        <w:t>”</w:t>
      </w:r>
      <w:r>
        <w:rPr>
          <w:kern w:val="0"/>
        </w:rPr>
        <w:t>, identified in</w:t>
      </w:r>
      <w:r w:rsidR="003A1917">
        <w:rPr>
          <w:kern w:val="0"/>
        </w:rPr>
        <w:t xml:space="preserve"> the </w:t>
      </w:r>
      <w:r>
        <w:rPr>
          <w:kern w:val="0"/>
        </w:rPr>
        <w:t xml:space="preserve">BVS/Bireme </w:t>
      </w:r>
      <w:r w:rsidR="00B5188C">
        <w:rPr>
          <w:kern w:val="0"/>
        </w:rPr>
        <w:t>“</w:t>
      </w:r>
      <w:r>
        <w:rPr>
          <w:kern w:val="0"/>
        </w:rPr>
        <w:t>Health Science Descriptors</w:t>
      </w:r>
      <w:r w:rsidR="00B5188C">
        <w:rPr>
          <w:kern w:val="0"/>
        </w:rPr>
        <w:t>”</w:t>
      </w:r>
      <w:r>
        <w:rPr>
          <w:kern w:val="0"/>
        </w:rPr>
        <w:t xml:space="preserve"> were used</w:t>
      </w:r>
      <w:r w:rsidR="005853A9">
        <w:rPr>
          <w:kern w:val="0"/>
        </w:rPr>
        <w:t xml:space="preserve"> and </w:t>
      </w:r>
      <w:r>
        <w:rPr>
          <w:kern w:val="0"/>
        </w:rPr>
        <w:t>1,544 works were identified,</w:t>
      </w:r>
      <w:r w:rsidR="00427468">
        <w:rPr>
          <w:kern w:val="0"/>
        </w:rPr>
        <w:t xml:space="preserve"> of </w:t>
      </w:r>
      <w:r>
        <w:rPr>
          <w:kern w:val="0"/>
        </w:rPr>
        <w:t>which 298 were selected (19.3%)</w:t>
      </w:r>
      <w:r w:rsidR="00A37C1D">
        <w:rPr>
          <w:kern w:val="0"/>
        </w:rPr>
        <w:t>. The</w:t>
      </w:r>
      <w:r w:rsidR="003A1917">
        <w:rPr>
          <w:kern w:val="0"/>
        </w:rPr>
        <w:t xml:space="preserve"> </w:t>
      </w:r>
      <w:r>
        <w:rPr>
          <w:kern w:val="0"/>
        </w:rPr>
        <w:t>reading</w:t>
      </w:r>
      <w:r w:rsidR="005853A9">
        <w:rPr>
          <w:kern w:val="0"/>
        </w:rPr>
        <w:t xml:space="preserve"> and </w:t>
      </w:r>
      <w:r>
        <w:rPr>
          <w:kern w:val="0"/>
        </w:rPr>
        <w:t>analysis</w:t>
      </w:r>
      <w:r w:rsidR="00427468">
        <w:rPr>
          <w:kern w:val="0"/>
        </w:rPr>
        <w:t xml:space="preserve"> of </w:t>
      </w:r>
      <w:r>
        <w:rPr>
          <w:kern w:val="0"/>
        </w:rPr>
        <w:t>these abstracts enabled</w:t>
      </w:r>
      <w:r w:rsidR="003A1917">
        <w:rPr>
          <w:kern w:val="0"/>
        </w:rPr>
        <w:t xml:space="preserve"> the </w:t>
      </w:r>
      <w:r>
        <w:rPr>
          <w:kern w:val="0"/>
        </w:rPr>
        <w:t>identification</w:t>
      </w:r>
      <w:r w:rsidR="00427468">
        <w:rPr>
          <w:kern w:val="0"/>
        </w:rPr>
        <w:t xml:space="preserve"> of </w:t>
      </w:r>
      <w:r>
        <w:rPr>
          <w:kern w:val="0"/>
        </w:rPr>
        <w:t>a set</w:t>
      </w:r>
      <w:r w:rsidR="00427468">
        <w:rPr>
          <w:kern w:val="0"/>
        </w:rPr>
        <w:t xml:space="preserve"> of </w:t>
      </w:r>
      <w:r>
        <w:rPr>
          <w:kern w:val="0"/>
        </w:rPr>
        <w:t>variables processed with</w:t>
      </w:r>
      <w:r w:rsidR="003A1917">
        <w:rPr>
          <w:kern w:val="0"/>
        </w:rPr>
        <w:t xml:space="preserve"> the </w:t>
      </w:r>
      <w:r>
        <w:rPr>
          <w:kern w:val="0"/>
        </w:rPr>
        <w:t>use</w:t>
      </w:r>
      <w:r w:rsidR="00427468">
        <w:rPr>
          <w:kern w:val="0"/>
        </w:rPr>
        <w:t xml:space="preserve"> of </w:t>
      </w:r>
      <w:r>
        <w:rPr>
          <w:kern w:val="0"/>
        </w:rPr>
        <w:t>Epi-Info software, such as: year</w:t>
      </w:r>
      <w:r w:rsidR="00427468">
        <w:rPr>
          <w:kern w:val="0"/>
        </w:rPr>
        <w:t xml:space="preserve"> of </w:t>
      </w:r>
      <w:r>
        <w:rPr>
          <w:kern w:val="0"/>
        </w:rPr>
        <w:t>publication</w:t>
      </w:r>
      <w:r w:rsidR="00427468">
        <w:rPr>
          <w:kern w:val="0"/>
        </w:rPr>
        <w:t xml:space="preserve"> of </w:t>
      </w:r>
      <w:r w:rsidR="003A1917">
        <w:rPr>
          <w:kern w:val="0"/>
        </w:rPr>
        <w:t xml:space="preserve">the </w:t>
      </w:r>
      <w:r>
        <w:rPr>
          <w:kern w:val="0"/>
        </w:rPr>
        <w:t>work; type</w:t>
      </w:r>
      <w:r w:rsidR="00427468">
        <w:rPr>
          <w:kern w:val="0"/>
        </w:rPr>
        <w:t xml:space="preserve"> of </w:t>
      </w:r>
      <w:r>
        <w:rPr>
          <w:kern w:val="0"/>
        </w:rPr>
        <w:t>document; object</w:t>
      </w:r>
      <w:r w:rsidR="00427468">
        <w:rPr>
          <w:kern w:val="0"/>
        </w:rPr>
        <w:t xml:space="preserve"> of </w:t>
      </w:r>
      <w:r w:rsidR="003A1917">
        <w:rPr>
          <w:kern w:val="0"/>
        </w:rPr>
        <w:t xml:space="preserve">the </w:t>
      </w:r>
      <w:r>
        <w:rPr>
          <w:kern w:val="0"/>
        </w:rPr>
        <w:t>study; type</w:t>
      </w:r>
      <w:r w:rsidR="00427468">
        <w:rPr>
          <w:kern w:val="0"/>
        </w:rPr>
        <w:t xml:space="preserve"> of </w:t>
      </w:r>
      <w:r>
        <w:rPr>
          <w:kern w:val="0"/>
        </w:rPr>
        <w:t>study; theoretical bases</w:t>
      </w:r>
      <w:r w:rsidR="005853A9">
        <w:rPr>
          <w:kern w:val="0"/>
        </w:rPr>
        <w:t xml:space="preserve"> and </w:t>
      </w:r>
      <w:r>
        <w:rPr>
          <w:kern w:val="0"/>
        </w:rPr>
        <w:t>methodological approach/nature</w:t>
      </w:r>
      <w:r w:rsidR="00A37C1D">
        <w:rPr>
          <w:kern w:val="0"/>
        </w:rPr>
        <w:t>. The</w:t>
      </w:r>
      <w:r w:rsidR="003A1917">
        <w:rPr>
          <w:kern w:val="0"/>
        </w:rPr>
        <w:t xml:space="preserve"> </w:t>
      </w:r>
      <w:r>
        <w:rPr>
          <w:kern w:val="0"/>
        </w:rPr>
        <w:t>results point to an irregular, albeit increasing trend, in</w:t>
      </w:r>
      <w:r w:rsidR="003A1917">
        <w:rPr>
          <w:kern w:val="0"/>
        </w:rPr>
        <w:t xml:space="preserve"> the </w:t>
      </w:r>
      <w:r>
        <w:rPr>
          <w:kern w:val="0"/>
        </w:rPr>
        <w:t>volume</w:t>
      </w:r>
      <w:r w:rsidR="00427468">
        <w:rPr>
          <w:kern w:val="0"/>
        </w:rPr>
        <w:t xml:space="preserve"> of </w:t>
      </w:r>
      <w:r w:rsidR="003A1917">
        <w:rPr>
          <w:kern w:val="0"/>
        </w:rPr>
        <w:t xml:space="preserve">the </w:t>
      </w:r>
      <w:r>
        <w:rPr>
          <w:kern w:val="0"/>
        </w:rPr>
        <w:t>output in</w:t>
      </w:r>
      <w:r w:rsidR="003A1917">
        <w:rPr>
          <w:kern w:val="0"/>
        </w:rPr>
        <w:t xml:space="preserve"> the </w:t>
      </w:r>
      <w:r>
        <w:rPr>
          <w:kern w:val="0"/>
        </w:rPr>
        <w:t>area from</w:t>
      </w:r>
      <w:r w:rsidR="003A1917">
        <w:rPr>
          <w:kern w:val="0"/>
        </w:rPr>
        <w:t xml:space="preserve"> the </w:t>
      </w:r>
      <w:r>
        <w:rPr>
          <w:kern w:val="0"/>
        </w:rPr>
        <w:t>year 1988 onwards, with</w:t>
      </w:r>
      <w:r w:rsidR="003A1917">
        <w:rPr>
          <w:kern w:val="0"/>
        </w:rPr>
        <w:t xml:space="preserve"> the </w:t>
      </w:r>
      <w:r>
        <w:rPr>
          <w:kern w:val="0"/>
        </w:rPr>
        <w:t>emergence</w:t>
      </w:r>
      <w:r w:rsidR="00427468">
        <w:rPr>
          <w:kern w:val="0"/>
        </w:rPr>
        <w:t xml:space="preserve"> of </w:t>
      </w:r>
      <w:r>
        <w:rPr>
          <w:kern w:val="0"/>
        </w:rPr>
        <w:t>studies</w:t>
      </w:r>
      <w:r w:rsidR="005853A9">
        <w:rPr>
          <w:kern w:val="0"/>
        </w:rPr>
        <w:t xml:space="preserve"> and </w:t>
      </w:r>
      <w:r>
        <w:rPr>
          <w:kern w:val="0"/>
        </w:rPr>
        <w:t>research in sub-areas that reveal</w:t>
      </w:r>
      <w:r w:rsidR="003A1917">
        <w:rPr>
          <w:kern w:val="0"/>
        </w:rPr>
        <w:t xml:space="preserve"> the </w:t>
      </w:r>
      <w:r>
        <w:rPr>
          <w:kern w:val="0"/>
        </w:rPr>
        <w:t>influence</w:t>
      </w:r>
      <w:r w:rsidR="00427468">
        <w:rPr>
          <w:kern w:val="0"/>
        </w:rPr>
        <w:t xml:space="preserve"> of </w:t>
      </w:r>
      <w:r w:rsidR="003A1917">
        <w:rPr>
          <w:kern w:val="0"/>
        </w:rPr>
        <w:t xml:space="preserve">the </w:t>
      </w:r>
      <w:r>
        <w:rPr>
          <w:kern w:val="0"/>
        </w:rPr>
        <w:t>process</w:t>
      </w:r>
      <w:r w:rsidR="00427468">
        <w:rPr>
          <w:kern w:val="0"/>
        </w:rPr>
        <w:t xml:space="preserve"> of </w:t>
      </w:r>
      <w:r>
        <w:rPr>
          <w:kern w:val="0"/>
        </w:rPr>
        <w:t>construction</w:t>
      </w:r>
      <w:r w:rsidR="00427468">
        <w:rPr>
          <w:kern w:val="0"/>
        </w:rPr>
        <w:t xml:space="preserve"> of </w:t>
      </w:r>
      <w:r w:rsidR="003A1917">
        <w:rPr>
          <w:kern w:val="0"/>
        </w:rPr>
        <w:t xml:space="preserve">the </w:t>
      </w:r>
      <w:r>
        <w:rPr>
          <w:kern w:val="0"/>
        </w:rPr>
        <w:t>Brazilian Unified Health System in</w:t>
      </w:r>
      <w:r w:rsidR="003A1917">
        <w:rPr>
          <w:kern w:val="0"/>
        </w:rPr>
        <w:t xml:space="preserve"> the </w:t>
      </w:r>
      <w:r>
        <w:rPr>
          <w:kern w:val="0"/>
        </w:rPr>
        <w:t>1990s</w:t>
      </w:r>
      <w:r w:rsidR="005853A9">
        <w:rPr>
          <w:kern w:val="0"/>
        </w:rPr>
        <w:t xml:space="preserve"> and </w:t>
      </w:r>
      <w:r>
        <w:rPr>
          <w:kern w:val="0"/>
        </w:rPr>
        <w:t>thereafter</w:t>
      </w:r>
      <w:r w:rsidR="00A37C1D">
        <w:rPr>
          <w:kern w:val="0"/>
        </w:rPr>
        <w:t>. The</w:t>
      </w:r>
      <w:r w:rsidR="003A1917">
        <w:rPr>
          <w:kern w:val="0"/>
        </w:rPr>
        <w:t xml:space="preserve"> </w:t>
      </w:r>
      <w:r>
        <w:rPr>
          <w:kern w:val="0"/>
        </w:rPr>
        <w:t>fact that very few abstracts made reference to</w:t>
      </w:r>
      <w:r w:rsidR="003A1917">
        <w:rPr>
          <w:kern w:val="0"/>
        </w:rPr>
        <w:t xml:space="preserve"> the </w:t>
      </w:r>
      <w:r>
        <w:rPr>
          <w:kern w:val="0"/>
        </w:rPr>
        <w:t>theoretical bases used is noticeable. From a methodological point</w:t>
      </w:r>
      <w:r w:rsidR="00427468">
        <w:rPr>
          <w:kern w:val="0"/>
        </w:rPr>
        <w:t xml:space="preserve"> of </w:t>
      </w:r>
      <w:r>
        <w:rPr>
          <w:kern w:val="0"/>
        </w:rPr>
        <w:t>view it is seen that when they are declared in abstracts, descriptive studies with a qualitative approach are predominant.</w:t>
      </w:r>
    </w:p>
    <w:p w:rsidR="00985ABD" w:rsidRDefault="00985ABD" w:rsidP="00985ABD">
      <w:pPr>
        <w:pStyle w:val="a3"/>
        <w:rPr>
          <w:kern w:val="0"/>
        </w:rPr>
      </w:pPr>
      <w:r>
        <w:rPr>
          <w:kern w:val="0"/>
        </w:rPr>
        <w:t>Keywords: Analysis, Approach, Bibliometrics, Construction, Database, Health, Health Systems, Identification, Internet, Management, Public Administration, Publication, Qualitative, Reading, Reference, Research, Science, Scientific Output, Software, Space, Systems, Trend, Volume, Web, Work</w:t>
      </w:r>
    </w:p>
    <w:p w:rsidR="00CA1A94" w:rsidRDefault="00CA1A94" w:rsidP="00CA1A94">
      <w:pPr>
        <w:pStyle w:val="a3"/>
        <w:rPr>
          <w:kern w:val="0"/>
        </w:rPr>
      </w:pPr>
      <w:r>
        <w:rPr>
          <w:rFonts w:hint="eastAsia"/>
          <w:kern w:val="0"/>
        </w:rPr>
        <w:t xml:space="preserve">? </w:t>
      </w:r>
      <w:r>
        <w:rPr>
          <w:kern w:val="0"/>
        </w:rPr>
        <w:t>Luchs, A. (2012), Profile</w:t>
      </w:r>
      <w:r w:rsidR="00427468">
        <w:rPr>
          <w:kern w:val="0"/>
        </w:rPr>
        <w:t xml:space="preserve"> of </w:t>
      </w:r>
      <w:r>
        <w:rPr>
          <w:kern w:val="0"/>
        </w:rPr>
        <w:t xml:space="preserve">Brazilian scientific production on A/H1N1 pandemic influenza. </w:t>
      </w:r>
      <w:r>
        <w:rPr>
          <w:i/>
          <w:iCs/>
          <w:kern w:val="0"/>
        </w:rPr>
        <w:t>Ciência &amp; Saúde Coletiva</w:t>
      </w:r>
      <w:r>
        <w:rPr>
          <w:kern w:val="0"/>
        </w:rPr>
        <w:t xml:space="preserve">, </w:t>
      </w:r>
      <w:r>
        <w:rPr>
          <w:b/>
          <w:bCs/>
          <w:kern w:val="0"/>
        </w:rPr>
        <w:t>17</w:t>
      </w:r>
      <w:r>
        <w:rPr>
          <w:kern w:val="0"/>
        </w:rPr>
        <w:t xml:space="preserve"> (6), 1629-1634.</w:t>
      </w:r>
    </w:p>
    <w:p w:rsidR="00CA1A94" w:rsidRPr="001A3D2B" w:rsidRDefault="00CA1A94" w:rsidP="00CA1A94">
      <w:pPr>
        <w:pStyle w:val="a3"/>
        <w:rPr>
          <w:kern w:val="0"/>
        </w:rPr>
      </w:pPr>
      <w:r w:rsidRPr="001A3D2B">
        <w:rPr>
          <w:kern w:val="0"/>
        </w:rPr>
        <w:t xml:space="preserve">Full Text: </w:t>
      </w:r>
      <w:hyperlink r:id="rId279" w:history="1">
        <w:r w:rsidRPr="00DC4431">
          <w:rPr>
            <w:rStyle w:val="a5"/>
            <w:kern w:val="0"/>
          </w:rPr>
          <w:t>2012\Cie Sau Col17, 1629.pdf</w:t>
        </w:r>
      </w:hyperlink>
    </w:p>
    <w:p w:rsidR="00CA1A94" w:rsidRDefault="00CA1A94" w:rsidP="00CA1A94">
      <w:pPr>
        <w:pStyle w:val="a3"/>
        <w:rPr>
          <w:kern w:val="0"/>
        </w:rPr>
      </w:pPr>
      <w:r>
        <w:rPr>
          <w:kern w:val="0"/>
        </w:rPr>
        <w:t>Abstract: In</w:t>
      </w:r>
      <w:r w:rsidR="003A1917">
        <w:rPr>
          <w:kern w:val="0"/>
        </w:rPr>
        <w:t xml:space="preserve"> the </w:t>
      </w:r>
      <w:r>
        <w:rPr>
          <w:kern w:val="0"/>
        </w:rPr>
        <w:t>last few years, bibliometric studies have proliferated, seeking to provide data on world research. This study analyzes</w:t>
      </w:r>
      <w:r w:rsidR="003A1917">
        <w:rPr>
          <w:kern w:val="0"/>
        </w:rPr>
        <w:t xml:space="preserve"> the </w:t>
      </w:r>
      <w:r>
        <w:rPr>
          <w:kern w:val="0"/>
        </w:rPr>
        <w:t>profile</w:t>
      </w:r>
      <w:r w:rsidR="00427468">
        <w:rPr>
          <w:kern w:val="0"/>
        </w:rPr>
        <w:t xml:space="preserve"> of </w:t>
      </w:r>
      <w:r w:rsidR="003A1917">
        <w:rPr>
          <w:kern w:val="0"/>
        </w:rPr>
        <w:t xml:space="preserve">the </w:t>
      </w:r>
      <w:r>
        <w:rPr>
          <w:kern w:val="0"/>
        </w:rPr>
        <w:t>Brazilian scientific production in</w:t>
      </w:r>
      <w:r w:rsidR="003A1917">
        <w:rPr>
          <w:kern w:val="0"/>
        </w:rPr>
        <w:t xml:space="preserve"> the </w:t>
      </w:r>
      <w:r>
        <w:rPr>
          <w:kern w:val="0"/>
        </w:rPr>
        <w:t>A (H1N1) influenza field between 2009</w:t>
      </w:r>
      <w:r w:rsidR="005853A9">
        <w:rPr>
          <w:kern w:val="0"/>
        </w:rPr>
        <w:t xml:space="preserve"> and </w:t>
      </w:r>
      <w:r>
        <w:rPr>
          <w:kern w:val="0"/>
        </w:rPr>
        <w:t>2011</w:t>
      </w:r>
      <w:r w:rsidR="00A37C1D">
        <w:rPr>
          <w:kern w:val="0"/>
        </w:rPr>
        <w:t>. The</w:t>
      </w:r>
      <w:r w:rsidR="003A1917">
        <w:rPr>
          <w:kern w:val="0"/>
        </w:rPr>
        <w:t xml:space="preserve"> </w:t>
      </w:r>
      <w:r>
        <w:rPr>
          <w:kern w:val="0"/>
        </w:rPr>
        <w:t xml:space="preserve">research was conducted in </w:t>
      </w:r>
      <w:r w:rsidR="00D5664A">
        <w:rPr>
          <w:kern w:val="0"/>
        </w:rPr>
        <w:t>MEDLINE</w:t>
      </w:r>
      <w:r>
        <w:rPr>
          <w:kern w:val="0"/>
        </w:rPr>
        <w:t>, SciELO</w:t>
      </w:r>
      <w:r w:rsidR="005853A9">
        <w:rPr>
          <w:kern w:val="0"/>
        </w:rPr>
        <w:t xml:space="preserve"> and </w:t>
      </w:r>
      <w:r>
        <w:rPr>
          <w:kern w:val="0"/>
        </w:rPr>
        <w:t>LILACS databases, selecting papers in which</w:t>
      </w:r>
      <w:r w:rsidR="003A1917">
        <w:rPr>
          <w:kern w:val="0"/>
        </w:rPr>
        <w:t xml:space="preserve"> the </w:t>
      </w:r>
      <w:r>
        <w:rPr>
          <w:kern w:val="0"/>
        </w:rPr>
        <w:t xml:space="preserve">term </w:t>
      </w:r>
      <w:r w:rsidR="00B5188C">
        <w:rPr>
          <w:kern w:val="0"/>
        </w:rPr>
        <w:t>“</w:t>
      </w:r>
      <w:r>
        <w:rPr>
          <w:kern w:val="0"/>
        </w:rPr>
        <w:t>H1N1</w:t>
      </w:r>
      <w:r w:rsidR="00B5188C">
        <w:rPr>
          <w:kern w:val="0"/>
        </w:rPr>
        <w:t>”</w:t>
      </w:r>
      <w:r w:rsidR="005853A9">
        <w:rPr>
          <w:kern w:val="0"/>
        </w:rPr>
        <w:t xml:space="preserve"> and </w:t>
      </w:r>
      <w:r w:rsidR="00B5188C">
        <w:rPr>
          <w:kern w:val="0"/>
        </w:rPr>
        <w:t>“</w:t>
      </w:r>
      <w:r>
        <w:rPr>
          <w:kern w:val="0"/>
        </w:rPr>
        <w:t>Brazil</w:t>
      </w:r>
      <w:r w:rsidR="00B5188C">
        <w:rPr>
          <w:kern w:val="0"/>
        </w:rPr>
        <w:t>”</w:t>
      </w:r>
      <w:r>
        <w:rPr>
          <w:kern w:val="0"/>
        </w:rPr>
        <w:t xml:space="preserve"> were defined as</w:t>
      </w:r>
      <w:r w:rsidR="003A1917">
        <w:rPr>
          <w:kern w:val="0"/>
        </w:rPr>
        <w:t xml:space="preserve"> the </w:t>
      </w:r>
      <w:r>
        <w:rPr>
          <w:kern w:val="0"/>
        </w:rPr>
        <w:t>main topics</w:t>
      </w:r>
      <w:r w:rsidR="00A37C1D">
        <w:rPr>
          <w:kern w:val="0"/>
        </w:rPr>
        <w:t>. The</w:t>
      </w:r>
      <w:r w:rsidR="003A1917">
        <w:rPr>
          <w:kern w:val="0"/>
        </w:rPr>
        <w:t xml:space="preserve"> </w:t>
      </w:r>
      <w:r>
        <w:rPr>
          <w:kern w:val="0"/>
        </w:rPr>
        <w:t>data were analyzed taking into consideration</w:t>
      </w:r>
      <w:r w:rsidR="003A1917">
        <w:rPr>
          <w:kern w:val="0"/>
        </w:rPr>
        <w:t xml:space="preserve"> the </w:t>
      </w:r>
      <w:r>
        <w:rPr>
          <w:kern w:val="0"/>
        </w:rPr>
        <w:t>Brazilian state</w:t>
      </w:r>
      <w:r w:rsidR="005853A9">
        <w:rPr>
          <w:kern w:val="0"/>
        </w:rPr>
        <w:t xml:space="preserve"> and </w:t>
      </w:r>
      <w:r>
        <w:rPr>
          <w:kern w:val="0"/>
        </w:rPr>
        <w:t>institution in which</w:t>
      </w:r>
      <w:r w:rsidR="003A1917">
        <w:rPr>
          <w:kern w:val="0"/>
        </w:rPr>
        <w:t xml:space="preserve"> the </w:t>
      </w:r>
      <w:r>
        <w:rPr>
          <w:kern w:val="0"/>
        </w:rPr>
        <w:t>articles were produced,</w:t>
      </w:r>
      <w:r w:rsidR="003A1917">
        <w:rPr>
          <w:kern w:val="0"/>
        </w:rPr>
        <w:t xml:space="preserve"> the </w:t>
      </w:r>
      <w:r>
        <w:rPr>
          <w:kern w:val="0"/>
        </w:rPr>
        <w:t>impact factor</w:t>
      </w:r>
      <w:r w:rsidR="00427468">
        <w:rPr>
          <w:kern w:val="0"/>
        </w:rPr>
        <w:t xml:space="preserve"> of </w:t>
      </w:r>
      <w:r w:rsidR="003A1917">
        <w:rPr>
          <w:kern w:val="0"/>
        </w:rPr>
        <w:t xml:space="preserve">the </w:t>
      </w:r>
      <w:r>
        <w:rPr>
          <w:kern w:val="0"/>
        </w:rPr>
        <w:t>journal</w:t>
      </w:r>
      <w:r w:rsidR="005853A9">
        <w:rPr>
          <w:kern w:val="0"/>
        </w:rPr>
        <w:t xml:space="preserve"> and </w:t>
      </w:r>
      <w:r w:rsidR="003A1917">
        <w:rPr>
          <w:kern w:val="0"/>
        </w:rPr>
        <w:t xml:space="preserve">the </w:t>
      </w:r>
      <w:r>
        <w:rPr>
          <w:kern w:val="0"/>
        </w:rPr>
        <w:t>language</w:t>
      </w:r>
      <w:r w:rsidR="00A37C1D">
        <w:rPr>
          <w:kern w:val="0"/>
        </w:rPr>
        <w:t>. The</w:t>
      </w:r>
      <w:r w:rsidR="003A1917">
        <w:rPr>
          <w:kern w:val="0"/>
        </w:rPr>
        <w:t xml:space="preserve"> </w:t>
      </w:r>
      <w:r>
        <w:rPr>
          <w:kern w:val="0"/>
        </w:rPr>
        <w:t xml:space="preserve">research revealed 40 documents (27 from </w:t>
      </w:r>
      <w:r w:rsidR="00D5664A">
        <w:rPr>
          <w:kern w:val="0"/>
        </w:rPr>
        <w:t>MEDLINE</w:t>
      </w:r>
      <w:r>
        <w:rPr>
          <w:kern w:val="0"/>
        </w:rPr>
        <w:t>, 16 from SciELO</w:t>
      </w:r>
      <w:r w:rsidR="005853A9">
        <w:rPr>
          <w:kern w:val="0"/>
        </w:rPr>
        <w:t xml:space="preserve"> and </w:t>
      </w:r>
      <w:r>
        <w:rPr>
          <w:kern w:val="0"/>
        </w:rPr>
        <w:t>24 from LILACS)</w:t>
      </w:r>
      <w:r w:rsidR="00A37C1D">
        <w:rPr>
          <w:kern w:val="0"/>
        </w:rPr>
        <w:t>. The</w:t>
      </w:r>
      <w:r w:rsidR="003A1917">
        <w:rPr>
          <w:kern w:val="0"/>
        </w:rPr>
        <w:t xml:space="preserve"> </w:t>
      </w:r>
      <w:r>
        <w:rPr>
          <w:kern w:val="0"/>
        </w:rPr>
        <w:t>journal impact factor ranged from 0.0977 to 8.1230. A similar amount</w:t>
      </w:r>
      <w:r w:rsidR="00427468">
        <w:rPr>
          <w:kern w:val="0"/>
        </w:rPr>
        <w:t xml:space="preserve"> of </w:t>
      </w:r>
      <w:r>
        <w:rPr>
          <w:kern w:val="0"/>
        </w:rPr>
        <w:t>articles were written in English</w:t>
      </w:r>
      <w:r w:rsidR="005853A9">
        <w:rPr>
          <w:kern w:val="0"/>
        </w:rPr>
        <w:t xml:space="preserve"> and </w:t>
      </w:r>
      <w:r>
        <w:rPr>
          <w:kern w:val="0"/>
        </w:rPr>
        <w:t>Portuguese</w:t>
      </w:r>
      <w:r w:rsidR="005853A9">
        <w:rPr>
          <w:kern w:val="0"/>
        </w:rPr>
        <w:t xml:space="preserve"> and </w:t>
      </w:r>
      <w:r>
        <w:rPr>
          <w:kern w:val="0"/>
        </w:rPr>
        <w:t>Sao Paulo was</w:t>
      </w:r>
      <w:r w:rsidR="003A1917">
        <w:rPr>
          <w:kern w:val="0"/>
        </w:rPr>
        <w:t xml:space="preserve"> the </w:t>
      </w:r>
      <w:r>
        <w:rPr>
          <w:kern w:val="0"/>
        </w:rPr>
        <w:t>most productive state in</w:t>
      </w:r>
      <w:r w:rsidR="003A1917">
        <w:rPr>
          <w:kern w:val="0"/>
        </w:rPr>
        <w:t xml:space="preserve"> the </w:t>
      </w:r>
      <w:r>
        <w:rPr>
          <w:kern w:val="0"/>
        </w:rPr>
        <w:t>country, with 95%</w:t>
      </w:r>
      <w:r w:rsidR="00427468">
        <w:rPr>
          <w:kern w:val="0"/>
        </w:rPr>
        <w:t xml:space="preserve"> of </w:t>
      </w:r>
      <w:r w:rsidR="003A1917">
        <w:rPr>
          <w:kern w:val="0"/>
        </w:rPr>
        <w:t xml:space="preserve">the </w:t>
      </w:r>
      <w:r>
        <w:rPr>
          <w:kern w:val="0"/>
        </w:rPr>
        <w:t>Brazilian production originating from</w:t>
      </w:r>
      <w:r w:rsidR="003A1917">
        <w:rPr>
          <w:kern w:val="0"/>
        </w:rPr>
        <w:t xml:space="preserve"> the </w:t>
      </w:r>
      <w:r>
        <w:rPr>
          <w:kern w:val="0"/>
        </w:rPr>
        <w:t>Southern</w:t>
      </w:r>
      <w:r w:rsidR="005853A9">
        <w:rPr>
          <w:kern w:val="0"/>
        </w:rPr>
        <w:t xml:space="preserve"> and </w:t>
      </w:r>
      <w:r>
        <w:rPr>
          <w:kern w:val="0"/>
        </w:rPr>
        <w:t xml:space="preserve">Southeastern regions. Linguistic data indicate that previous </w:t>
      </w:r>
      <w:r>
        <w:rPr>
          <w:kern w:val="0"/>
        </w:rPr>
        <w:lastRenderedPageBreak/>
        <w:t>efforts made in order to improve</w:t>
      </w:r>
      <w:r w:rsidR="003A1917">
        <w:rPr>
          <w:kern w:val="0"/>
        </w:rPr>
        <w:t xml:space="preserve"> the </w:t>
      </w:r>
      <w:r>
        <w:rPr>
          <w:kern w:val="0"/>
        </w:rPr>
        <w:t>scientific production</w:t>
      </w:r>
      <w:r w:rsidR="00427468">
        <w:rPr>
          <w:kern w:val="0"/>
        </w:rPr>
        <w:t xml:space="preserve"> of </w:t>
      </w:r>
      <w:r>
        <w:rPr>
          <w:kern w:val="0"/>
        </w:rPr>
        <w:t>Brazilian researchers making their observations attain a broader scientific audience produced results. It is necessary to assess</w:t>
      </w:r>
      <w:r w:rsidR="003A1917">
        <w:rPr>
          <w:kern w:val="0"/>
        </w:rPr>
        <w:t xml:space="preserve"> the </w:t>
      </w:r>
      <w:r>
        <w:rPr>
          <w:kern w:val="0"/>
        </w:rPr>
        <w:t>scientific studies, especially those conducted with public funds, in order to ensure that</w:t>
      </w:r>
      <w:r w:rsidR="003A1917">
        <w:rPr>
          <w:kern w:val="0"/>
        </w:rPr>
        <w:t xml:space="preserve"> the </w:t>
      </w:r>
      <w:r>
        <w:rPr>
          <w:kern w:val="0"/>
        </w:rPr>
        <w:t>results will benefit society.</w:t>
      </w:r>
    </w:p>
    <w:p w:rsidR="00CA1A94" w:rsidRDefault="00CA1A94" w:rsidP="00CA1A94">
      <w:pPr>
        <w:pStyle w:val="a3"/>
        <w:rPr>
          <w:kern w:val="0"/>
        </w:rPr>
      </w:pPr>
      <w:r>
        <w:rPr>
          <w:kern w:val="0"/>
        </w:rPr>
        <w:t xml:space="preserve">Keywords: A (H1N1) Influenza, A H1N1 Virus, Articles, Bibliometric, Bibliometric Studies, Brazil, Country, Data, Databases, Field, Health, Humans, Impact, Impact Factor, Influenza, Journal, Journal Impact, Journal Impact Factor, </w:t>
      </w:r>
      <w:r w:rsidR="00D5664A">
        <w:rPr>
          <w:kern w:val="0"/>
        </w:rPr>
        <w:t>MEDLINE</w:t>
      </w:r>
      <w:r>
        <w:rPr>
          <w:kern w:val="0"/>
        </w:rPr>
        <w:t>, Papers, Public, Research, Scielo, Scientific Production, Sciento-Metrics, Society, State, Term, Topics, World</w:t>
      </w:r>
    </w:p>
    <w:p w:rsidR="0096099C" w:rsidRDefault="0096099C" w:rsidP="0096099C">
      <w:pPr>
        <w:pStyle w:val="a3"/>
        <w:rPr>
          <w:kern w:val="0"/>
        </w:rPr>
      </w:pPr>
      <w:r>
        <w:rPr>
          <w:rFonts w:hint="eastAsia"/>
          <w:kern w:val="0"/>
        </w:rPr>
        <w:t xml:space="preserve">? </w:t>
      </w:r>
      <w:r>
        <w:rPr>
          <w:kern w:val="0"/>
        </w:rPr>
        <w:t>Barbosa, V.C., de Campos, W. and Lopes, A.D. (2014), Epidemiology</w:t>
      </w:r>
      <w:r w:rsidR="00427468">
        <w:rPr>
          <w:kern w:val="0"/>
        </w:rPr>
        <w:t xml:space="preserve"> of </w:t>
      </w:r>
      <w:r>
        <w:rPr>
          <w:kern w:val="0"/>
        </w:rPr>
        <w:t xml:space="preserve">physical inactivity, sedentary behaviors, and unhealthy eating habits among Brazilian adolescents: A systematic review. </w:t>
      </w:r>
      <w:r w:rsidR="004E1BE3" w:rsidRPr="00C5439D">
        <w:rPr>
          <w:i/>
          <w:iCs/>
          <w:kern w:val="0"/>
        </w:rPr>
        <w:t>Ciência &amp; Saúde Coletiva</w:t>
      </w:r>
      <w:r>
        <w:rPr>
          <w:kern w:val="0"/>
        </w:rPr>
        <w:t xml:space="preserve">, </w:t>
      </w:r>
      <w:r>
        <w:rPr>
          <w:b/>
          <w:bCs/>
          <w:kern w:val="0"/>
        </w:rPr>
        <w:t>19</w:t>
      </w:r>
      <w:r>
        <w:rPr>
          <w:kern w:val="0"/>
        </w:rPr>
        <w:t xml:space="preserve"> (1), 173-193.</w:t>
      </w:r>
    </w:p>
    <w:p w:rsidR="0096099C" w:rsidRPr="001A3D2B" w:rsidRDefault="0096099C" w:rsidP="0096099C">
      <w:pPr>
        <w:pStyle w:val="a3"/>
        <w:rPr>
          <w:kern w:val="0"/>
        </w:rPr>
      </w:pPr>
      <w:r w:rsidRPr="001A3D2B">
        <w:rPr>
          <w:kern w:val="0"/>
        </w:rPr>
        <w:t xml:space="preserve">Full Text: </w:t>
      </w:r>
      <w:hyperlink r:id="rId280" w:history="1">
        <w:r w:rsidRPr="00A13F78">
          <w:rPr>
            <w:rStyle w:val="a5"/>
            <w:kern w:val="0"/>
          </w:rPr>
          <w:t>2014\Cie Sau Col19, 173.pdf</w:t>
        </w:r>
      </w:hyperlink>
    </w:p>
    <w:p w:rsidR="0096099C" w:rsidRDefault="0096099C" w:rsidP="0096099C">
      <w:pPr>
        <w:pStyle w:val="a3"/>
        <w:rPr>
          <w:kern w:val="0"/>
        </w:rPr>
      </w:pPr>
      <w:r>
        <w:rPr>
          <w:kern w:val="0"/>
        </w:rPr>
        <w:t>Abstract: This systematic review analyzed the prevalence</w:t>
      </w:r>
      <w:r w:rsidR="00427468">
        <w:rPr>
          <w:kern w:val="0"/>
        </w:rPr>
        <w:t xml:space="preserve"> of </w:t>
      </w:r>
      <w:r>
        <w:rPr>
          <w:kern w:val="0"/>
        </w:rPr>
        <w:t>physical inactivity, sedentary behaviors and unhealthy eating habits among Brazilian adolescents. Searches were conducted in five databases (Lilacs, SciELO, Medline, Web</w:t>
      </w:r>
      <w:r w:rsidR="00427468">
        <w:rPr>
          <w:kern w:val="0"/>
        </w:rPr>
        <w:t xml:space="preserve"> of </w:t>
      </w:r>
      <w:r>
        <w:rPr>
          <w:kern w:val="0"/>
        </w:rPr>
        <w:t>Science, and Google Scholar) and in the references cited in the articles retrieved</w:t>
      </w:r>
      <w:r w:rsidR="00A37C1D">
        <w:rPr>
          <w:kern w:val="0"/>
        </w:rPr>
        <w:t>. The</w:t>
      </w:r>
      <w:r>
        <w:rPr>
          <w:kern w:val="0"/>
        </w:rPr>
        <w:t xml:space="preserve"> literature search yielded 5,872 potentially relevant titles and a total</w:t>
      </w:r>
      <w:r w:rsidR="00427468">
        <w:rPr>
          <w:kern w:val="0"/>
        </w:rPr>
        <w:t xml:space="preserve"> of </w:t>
      </w:r>
      <w:r>
        <w:rPr>
          <w:kern w:val="0"/>
        </w:rPr>
        <w:t>69 studies met all the inclusion criteria</w:t>
      </w:r>
      <w:r w:rsidR="00A37C1D">
        <w:rPr>
          <w:kern w:val="0"/>
        </w:rPr>
        <w:t>. The</w:t>
      </w:r>
      <w:r>
        <w:rPr>
          <w:kern w:val="0"/>
        </w:rPr>
        <w:t xml:space="preserve"> risk behavior most often evaluated was physical inactivity (48/69; 69.6%), and its prevalence rate ranged from 2.3% to 93.5%. Twenty-eight studies estimated the prevalence</w:t>
      </w:r>
      <w:r w:rsidR="00427468">
        <w:rPr>
          <w:kern w:val="0"/>
        </w:rPr>
        <w:t xml:space="preserve"> of </w:t>
      </w:r>
      <w:r>
        <w:rPr>
          <w:kern w:val="0"/>
        </w:rPr>
        <w:t>physical inactivity at over 50%. Most studies observed the prevalence</w:t>
      </w:r>
      <w:r w:rsidR="00427468">
        <w:rPr>
          <w:kern w:val="0"/>
        </w:rPr>
        <w:t xml:space="preserve"> of </w:t>
      </w:r>
      <w:r>
        <w:rPr>
          <w:kern w:val="0"/>
        </w:rPr>
        <w:t>greater physical inactivity among girls</w:t>
      </w:r>
      <w:r w:rsidR="00A37C1D">
        <w:rPr>
          <w:kern w:val="0"/>
        </w:rPr>
        <w:t>. The</w:t>
      </w:r>
      <w:r>
        <w:rPr>
          <w:kern w:val="0"/>
        </w:rPr>
        <w:t xml:space="preserve"> prevalence</w:t>
      </w:r>
      <w:r w:rsidR="00427468">
        <w:rPr>
          <w:kern w:val="0"/>
        </w:rPr>
        <w:t xml:space="preserve"> of </w:t>
      </w:r>
      <w:r>
        <w:rPr>
          <w:kern w:val="0"/>
        </w:rPr>
        <w:t>sedentary behaviors (lengthy screen time or TV use) was also frequently over 50%. Several variables were used to identify unhealthy eating habits, and some criteria/studies have indicated unhealthy eating habit estimates at close to 100% among adolescents. In conclusion, the estimates</w:t>
      </w:r>
      <w:r w:rsidR="00427468">
        <w:rPr>
          <w:kern w:val="0"/>
        </w:rPr>
        <w:t xml:space="preserve"> of </w:t>
      </w:r>
      <w:r>
        <w:rPr>
          <w:kern w:val="0"/>
        </w:rPr>
        <w:t>these risk behaviors among Brazilians adolescents were very close to or even greater than those found in developed countries in several studies analyzed in this review.</w:t>
      </w:r>
    </w:p>
    <w:p w:rsidR="0096099C" w:rsidRDefault="0096099C" w:rsidP="0096099C">
      <w:pPr>
        <w:pStyle w:val="a3"/>
        <w:rPr>
          <w:kern w:val="0"/>
        </w:rPr>
      </w:pPr>
      <w:r>
        <w:rPr>
          <w:kern w:val="0"/>
        </w:rPr>
        <w:t>Keywords: Adolescent, Adolescents, Behavior, Birth Cohort, Body-Mass Index, Cardiovascular Risk-Factors, Criteria, Databases, Eating Behavior, Epidemiology, Estimates, Follow-Up, Food-Habits, Google, Google Scholar, High-School-Students, Literature, Literature Search, Medline, Minas-Gerais State, Physical, Prevalence, Public-Schools, References, Review, Risk, Risk Behaviors, Risk Factors, Sao-Paulo, Scielo, Science, Sedentary Lifestyle, Southern Brazil, Systematic Review, Web</w:t>
      </w:r>
      <w:r w:rsidR="00427468">
        <w:rPr>
          <w:kern w:val="0"/>
        </w:rPr>
        <w:t xml:space="preserve"> of </w:t>
      </w:r>
      <w:r>
        <w:rPr>
          <w:kern w:val="0"/>
        </w:rPr>
        <w:t>Science</w:t>
      </w:r>
    </w:p>
    <w:p w:rsidR="004E1BE3" w:rsidRDefault="004E1BE3" w:rsidP="004E1BE3">
      <w:pPr>
        <w:pStyle w:val="a3"/>
        <w:rPr>
          <w:kern w:val="0"/>
        </w:rPr>
      </w:pPr>
      <w:r>
        <w:rPr>
          <w:rFonts w:hint="eastAsia"/>
          <w:kern w:val="0"/>
        </w:rPr>
        <w:t xml:space="preserve">? </w:t>
      </w:r>
      <w:r>
        <w:rPr>
          <w:kern w:val="0"/>
        </w:rPr>
        <w:t xml:space="preserve">de Paiva, F.S., Van Stralen, C.J. and da Costa, P.H.A. (2014), Social participation and health in Brazil: A systematic review on the topic. </w:t>
      </w:r>
      <w:r w:rsidRPr="00C5439D">
        <w:rPr>
          <w:i/>
          <w:iCs/>
          <w:kern w:val="0"/>
        </w:rPr>
        <w:t>Ciência &amp; Saúde Coletiva</w:t>
      </w:r>
      <w:r>
        <w:rPr>
          <w:kern w:val="0"/>
        </w:rPr>
        <w:t xml:space="preserve">, </w:t>
      </w:r>
      <w:r>
        <w:rPr>
          <w:b/>
          <w:bCs/>
          <w:kern w:val="0"/>
        </w:rPr>
        <w:t>19</w:t>
      </w:r>
      <w:r>
        <w:rPr>
          <w:kern w:val="0"/>
        </w:rPr>
        <w:t xml:space="preserve"> (2), 487-498.</w:t>
      </w:r>
    </w:p>
    <w:p w:rsidR="004E1BE3" w:rsidRPr="001A3D2B" w:rsidRDefault="004E1BE3" w:rsidP="004E1BE3">
      <w:pPr>
        <w:pStyle w:val="a3"/>
        <w:rPr>
          <w:kern w:val="0"/>
        </w:rPr>
      </w:pPr>
      <w:r w:rsidRPr="001A3D2B">
        <w:rPr>
          <w:kern w:val="0"/>
        </w:rPr>
        <w:t xml:space="preserve">Full Text: </w:t>
      </w:r>
      <w:hyperlink r:id="rId281" w:history="1">
        <w:r w:rsidRPr="00C5439D">
          <w:rPr>
            <w:rStyle w:val="a5"/>
            <w:kern w:val="0"/>
          </w:rPr>
          <w:t>2014\Cie Sau Col19, 487.pdf</w:t>
        </w:r>
      </w:hyperlink>
    </w:p>
    <w:p w:rsidR="004E1BE3" w:rsidRDefault="004E1BE3" w:rsidP="004E1BE3">
      <w:pPr>
        <w:pStyle w:val="a3"/>
        <w:rPr>
          <w:kern w:val="0"/>
        </w:rPr>
      </w:pPr>
      <w:r>
        <w:rPr>
          <w:kern w:val="0"/>
        </w:rPr>
        <w:lastRenderedPageBreak/>
        <w:t>Abstract: The process of democratization of Brazil contributed to the emergence of management councils and thematic conferences in the context of public health policies</w:t>
      </w:r>
      <w:r w:rsidR="00A37C1D">
        <w:rPr>
          <w:kern w:val="0"/>
        </w:rPr>
        <w:t>. The</w:t>
      </w:r>
      <w:r>
        <w:rPr>
          <w:kern w:val="0"/>
        </w:rPr>
        <w:t xml:space="preserve"> scope of this article was to conduct a systematic review of the literature in order to establish the factors associated with the process of institutionalization of these democratic areas</w:t>
      </w:r>
      <w:r w:rsidR="00A37C1D">
        <w:rPr>
          <w:kern w:val="0"/>
        </w:rPr>
        <w:t>. The</w:t>
      </w:r>
      <w:r>
        <w:rPr>
          <w:kern w:val="0"/>
        </w:rPr>
        <w:t xml:space="preserve"> following databases were researched: LILACS, IBECS, MEDLINE, SciELO, PAHO, PsycINFO, Web of Science, Social Science and EBSCO. For the composition of the sample of 25 articles, the following key words were used: Social Control, Social Participation, Consumer Participation, Community Participation, Public Participation, Citizen Participation, Political Participation, Participative Management, Participative Democracy, Deliberative Democracy with Health Councils and Health Conferences</w:t>
      </w:r>
      <w:r w:rsidR="00A37C1D">
        <w:rPr>
          <w:kern w:val="0"/>
        </w:rPr>
        <w:t>. The</w:t>
      </w:r>
      <w:r>
        <w:rPr>
          <w:kern w:val="0"/>
        </w:rPr>
        <w:t xml:space="preserve"> results found synthesize a set of categories that has impacted the participatory public spaces: political representation and qualification, relationships among the social actors, institutional design, political culture, discourses about health/disease and the debate about democracy</w:t>
      </w:r>
      <w:r w:rsidR="00A37C1D">
        <w:rPr>
          <w:kern w:val="0"/>
        </w:rPr>
        <w:t>. The</w:t>
      </w:r>
      <w:r>
        <w:rPr>
          <w:kern w:val="0"/>
        </w:rPr>
        <w:t xml:space="preserve"> findings help to move forward in the understanding of such institutions, fostering the construction of alternatives committed to the strengthening of democracy in Brazil.</w:t>
      </w:r>
    </w:p>
    <w:p w:rsidR="004E1BE3" w:rsidRDefault="004E1BE3" w:rsidP="004E1BE3">
      <w:pPr>
        <w:pStyle w:val="a3"/>
        <w:rPr>
          <w:kern w:val="0"/>
        </w:rPr>
      </w:pPr>
      <w:r>
        <w:rPr>
          <w:kern w:val="0"/>
        </w:rPr>
        <w:t>Keywords: Alternatives, Article, Articles, Brazil, Composition, Conferences, Construction, Context, Control, Councils, Culture, Databases, Democracy, Democracy, Design, Health, Health Counseling, Institutions, Literature, Management, Medline, Participation, Participatory, Policies, Psycinfo, Public, Public Health, Representation, Review, Scielo, Science, Scope, Social, Social Participation, Systematic, Systematic Review, Topic, Understanding, Web Of Science</w:t>
      </w:r>
    </w:p>
    <w:p w:rsidR="00F31AFF" w:rsidRDefault="00F31AFF" w:rsidP="00F31AFF">
      <w:pPr>
        <w:pStyle w:val="a3"/>
        <w:rPr>
          <w:kern w:val="0"/>
        </w:rPr>
      </w:pPr>
      <w:r>
        <w:rPr>
          <w:rFonts w:hint="eastAsia"/>
          <w:kern w:val="0"/>
        </w:rPr>
        <w:t xml:space="preserve">? </w:t>
      </w:r>
      <w:r>
        <w:rPr>
          <w:kern w:val="0"/>
        </w:rPr>
        <w:t xml:space="preserve">Celeste, R.K. and Warmling, C.M. (2014), Brazilian bibliographical output on public oral health in public health and dentistry journals. </w:t>
      </w:r>
      <w:r>
        <w:rPr>
          <w:i/>
          <w:iCs/>
          <w:kern w:val="0"/>
        </w:rPr>
        <w:t>Ciencia &amp; Saude Coletiva</w:t>
      </w:r>
      <w:r>
        <w:rPr>
          <w:kern w:val="0"/>
        </w:rPr>
        <w:t xml:space="preserve">, </w:t>
      </w:r>
      <w:r>
        <w:rPr>
          <w:b/>
          <w:bCs/>
          <w:kern w:val="0"/>
        </w:rPr>
        <w:t>19</w:t>
      </w:r>
      <w:r>
        <w:rPr>
          <w:kern w:val="0"/>
        </w:rPr>
        <w:t xml:space="preserve"> (6), 1921-1932.</w:t>
      </w:r>
    </w:p>
    <w:p w:rsidR="00F31AFF" w:rsidRPr="001A3D2B" w:rsidRDefault="00F31AFF" w:rsidP="00F31AFF">
      <w:pPr>
        <w:pStyle w:val="a3"/>
        <w:rPr>
          <w:kern w:val="0"/>
        </w:rPr>
      </w:pPr>
      <w:r w:rsidRPr="001A3D2B">
        <w:rPr>
          <w:kern w:val="0"/>
        </w:rPr>
        <w:t xml:space="preserve">Full Text: </w:t>
      </w:r>
      <w:hyperlink r:id="rId282" w:history="1">
        <w:r w:rsidRPr="000F5812">
          <w:rPr>
            <w:rStyle w:val="a5"/>
            <w:kern w:val="0"/>
          </w:rPr>
          <w:t>2014\Cie Sau Col19, 1921.pdf</w:t>
        </w:r>
      </w:hyperlink>
    </w:p>
    <w:p w:rsidR="00F31AFF" w:rsidRDefault="00F31AFF" w:rsidP="00F31AFF">
      <w:pPr>
        <w:pStyle w:val="a3"/>
        <w:rPr>
          <w:kern w:val="0"/>
        </w:rPr>
      </w:pPr>
      <w:r>
        <w:rPr>
          <w:kern w:val="0"/>
        </w:rPr>
        <w:t>Abstract: The scope of this paper is to describe characteristics of the scientific output in the area of public oral health in journals on public health and dentistry nationwide</w:t>
      </w:r>
      <w:r w:rsidR="00A37C1D">
        <w:rPr>
          <w:kern w:val="0"/>
        </w:rPr>
        <w:t>. The</w:t>
      </w:r>
      <w:r>
        <w:rPr>
          <w:kern w:val="0"/>
        </w:rPr>
        <w:t xml:space="preserve"> Scopus database of abstracts and quotations was used and eight journals in public health, as well as ten in dentistry, dating from 1947 to 2011 were selected. A research strategy using key words regarding oral health in public health and key words about public health in dentistry was used to locate articles</w:t>
      </w:r>
      <w:r w:rsidR="00A37C1D">
        <w:rPr>
          <w:kern w:val="0"/>
        </w:rPr>
        <w:t>. The</w:t>
      </w:r>
      <w:r>
        <w:rPr>
          <w:kern w:val="0"/>
        </w:rPr>
        <w:t xml:space="preserve"> themes selected were based on the frequency of key words. Of the total number of articles, 4.7% (n = 642) were found in oral health journals and 6.8% (n = 245) in public health journals. Among the authors who published most, only 12% published in both fields</w:t>
      </w:r>
      <w:r w:rsidR="00A37C1D">
        <w:rPr>
          <w:kern w:val="0"/>
        </w:rPr>
        <w:t>. The</w:t>
      </w:r>
      <w:r>
        <w:rPr>
          <w:kern w:val="0"/>
        </w:rPr>
        <w:t xml:space="preserve">re was a percentile growth of public oral health publications in dentistry journals, though not in public health journals. In dentistry, only studies indexed as being on the topic of epidemiology showed an increase. In the area of public health, planning was predominant in all the phases studied. Research to evaluate the impact </w:t>
      </w:r>
      <w:r>
        <w:rPr>
          <w:kern w:val="0"/>
        </w:rPr>
        <w:lastRenderedPageBreak/>
        <w:t>of research and postgraduate policies in scientific production is required.</w:t>
      </w:r>
    </w:p>
    <w:p w:rsidR="00F31AFF" w:rsidRDefault="00F31AFF" w:rsidP="00F31AFF">
      <w:pPr>
        <w:pStyle w:val="a3"/>
        <w:rPr>
          <w:kern w:val="0"/>
        </w:rPr>
      </w:pPr>
      <w:r>
        <w:rPr>
          <w:kern w:val="0"/>
        </w:rPr>
        <w:t>Keywords: Articles, Authors, Bibliometrics, Characteristics, Database, De-Saude-Publica, Dental Research, Dentistry, Epidemiology, Growth, Health, Impact, Journals, Oral, Oral Health, Percentile, Planning, Policies, Public, Public Health, Publications, Research, Science, Scientific Output, Scientific Production, Scope, Scopus, Scopus Database, Strategy, Topic, Trends, World</w:t>
      </w:r>
    </w:p>
    <w:p w:rsidR="003474F2" w:rsidRPr="001A3D2B" w:rsidRDefault="003474F2" w:rsidP="003474F2">
      <w:pPr>
        <w:pStyle w:val="1"/>
      </w:pPr>
      <w:r w:rsidRPr="001A3D2B">
        <w:br w:type="page"/>
      </w:r>
      <w:bookmarkStart w:id="232" w:name="_Toc420814996"/>
      <w:r w:rsidRPr="001A3D2B">
        <w:lastRenderedPageBreak/>
        <w:t>Title: Circulation</w:t>
      </w:r>
      <w:bookmarkEnd w:id="232"/>
    </w:p>
    <w:p w:rsidR="003474F2" w:rsidRPr="001A3D2B" w:rsidRDefault="003474F2" w:rsidP="003474F2">
      <w:pPr>
        <w:pStyle w:val="12"/>
      </w:pPr>
      <w:r w:rsidRPr="001A3D2B">
        <w:t xml:space="preserve">Full Journal Title: </w:t>
      </w:r>
      <w:r w:rsidR="00DF61FE">
        <w:fldChar w:fldCharType="begin"/>
      </w:r>
      <w:r w:rsidR="00FD158B">
        <w:instrText>HYPERLINK "http://circ</w:instrText>
      </w:r>
      <w:bookmarkStart w:id="233" w:name="_Toc211415199"/>
      <w:r w:rsidR="00FD158B">
        <w:instrText>.ahajournals.org/c</w:instrText>
      </w:r>
      <w:bookmarkEnd w:id="233"/>
      <w:r w:rsidR="00FD158B">
        <w:instrText>ontents-by-date.0.shtml"</w:instrText>
      </w:r>
      <w:r w:rsidR="00DF61FE">
        <w:fldChar w:fldCharType="separate"/>
      </w:r>
      <w:r w:rsidRPr="001A3D2B">
        <w:rPr>
          <w:rStyle w:val="a5"/>
        </w:rPr>
        <w:t>Circulation</w:t>
      </w:r>
      <w:r w:rsidR="00DF61FE">
        <w:fldChar w:fldCharType="end"/>
      </w:r>
    </w:p>
    <w:p w:rsidR="003474F2" w:rsidRPr="001A3D2B" w:rsidRDefault="003474F2" w:rsidP="003474F2">
      <w:pPr>
        <w:pStyle w:val="12"/>
      </w:pPr>
      <w:r w:rsidRPr="001A3D2B">
        <w:t>ISO Abbreviated Title: Circulation</w:t>
      </w:r>
    </w:p>
    <w:p w:rsidR="003474F2" w:rsidRPr="001A3D2B" w:rsidRDefault="003474F2" w:rsidP="003474F2">
      <w:pPr>
        <w:pStyle w:val="12"/>
      </w:pPr>
      <w:r w:rsidRPr="001A3D2B">
        <w:t>JCR Abbreviated Title: Circulation</w:t>
      </w:r>
    </w:p>
    <w:p w:rsidR="003474F2" w:rsidRPr="001A3D2B" w:rsidRDefault="003474F2" w:rsidP="003474F2">
      <w:pPr>
        <w:pStyle w:val="12"/>
      </w:pPr>
      <w:r w:rsidRPr="001A3D2B">
        <w:t>ISSN: 0009-7322</w:t>
      </w:r>
    </w:p>
    <w:p w:rsidR="003474F2" w:rsidRPr="001A3D2B" w:rsidRDefault="003474F2" w:rsidP="003474F2">
      <w:pPr>
        <w:pStyle w:val="12"/>
      </w:pPr>
      <w:r w:rsidRPr="001A3D2B">
        <w:t>Issues/Year: 52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Lippincott Williams &amp; Wilkins</w:t>
      </w:r>
    </w:p>
    <w:p w:rsidR="003474F2" w:rsidRPr="001A3D2B" w:rsidRDefault="003474F2" w:rsidP="003474F2">
      <w:pPr>
        <w:pStyle w:val="12"/>
      </w:pPr>
      <w:r w:rsidRPr="001A3D2B">
        <w:t xml:space="preserve">Publisher Address: 530 Walnut St, Philadelphia, PA </w:t>
      </w:r>
      <w:smartTag w:uri="urn:schemas-microsoft-com:office:smarttags" w:element="PostalCode">
        <w:r w:rsidRPr="001A3D2B">
          <w:t>19106-3621</w:t>
        </w:r>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Cardiac &amp; Cardiovascular Systems Hematology Peripheral Vascular Disease: Impact Factor </w:t>
      </w:r>
    </w:p>
    <w:p w:rsidR="003474F2" w:rsidRPr="001A3D2B" w:rsidRDefault="003474F2" w:rsidP="003474F2">
      <w:pPr>
        <w:pStyle w:val="a3"/>
      </w:pPr>
      <w:r w:rsidRPr="001A3D2B">
        <w:t>? Wang, T.J., Ausiello, J.C.</w:t>
      </w:r>
      <w:r w:rsidR="005853A9">
        <w:t xml:space="preserve"> and </w:t>
      </w:r>
      <w:r w:rsidRPr="001A3D2B">
        <w:t xml:space="preserve">Stafford, R.S. (1999), Trends in antihypertensive drug advertising, 1985-1996. </w:t>
      </w:r>
      <w:r w:rsidRPr="001A3D2B">
        <w:rPr>
          <w:i/>
          <w:iCs/>
        </w:rPr>
        <w:t>Circulation</w:t>
      </w:r>
      <w:r w:rsidRPr="001A3D2B">
        <w:t xml:space="preserve">, </w:t>
      </w:r>
      <w:r w:rsidRPr="001A3D2B">
        <w:rPr>
          <w:b/>
          <w:bCs/>
        </w:rPr>
        <w:t>99</w:t>
      </w:r>
      <w:r w:rsidRPr="001A3D2B">
        <w:t xml:space="preserve"> (15), 2055-2057.</w:t>
      </w:r>
    </w:p>
    <w:p w:rsidR="003474F2" w:rsidRPr="001A3D2B" w:rsidRDefault="003474F2" w:rsidP="003474F2">
      <w:pPr>
        <w:pStyle w:val="a3"/>
      </w:pPr>
      <w:r w:rsidRPr="001A3D2B">
        <w:t xml:space="preserve">Full Text: </w:t>
      </w:r>
      <w:hyperlink r:id="rId283" w:history="1">
        <w:r w:rsidRPr="001A3D2B">
          <w:rPr>
            <w:rStyle w:val="a5"/>
          </w:rPr>
          <w:t>1999\Circulation99, 2055.pdf</w:t>
        </w:r>
      </w:hyperlink>
    </w:p>
    <w:p w:rsidR="003474F2" w:rsidRPr="001A3D2B" w:rsidRDefault="003474F2" w:rsidP="003474F2">
      <w:pPr>
        <w:pStyle w:val="a3"/>
      </w:pPr>
      <w:r w:rsidRPr="001A3D2B">
        <w:t>Abstract: Background-Over</w:t>
      </w:r>
      <w:r w:rsidR="003A1917">
        <w:t xml:space="preserve"> the </w:t>
      </w:r>
      <w:r w:rsidRPr="001A3D2B">
        <w:t>past decade, calcium channel blockers (CCBs)</w:t>
      </w:r>
      <w:r w:rsidR="005853A9">
        <w:t xml:space="preserve"> and </w:t>
      </w:r>
      <w:r w:rsidRPr="001A3D2B">
        <w:t>ACE inhibitors have been used increasingly in</w:t>
      </w:r>
      <w:r w:rsidR="003A1917">
        <w:t xml:space="preserve"> the </w:t>
      </w:r>
      <w:r w:rsidRPr="001A3D2B">
        <w:t>treatment</w:t>
      </w:r>
      <w:r w:rsidR="00427468">
        <w:t xml:space="preserve"> of </w:t>
      </w:r>
      <w:r w:rsidRPr="001A3D2B">
        <w:t>hypertension. In contrast, beta-blocker</w:t>
      </w:r>
      <w:r w:rsidR="005853A9">
        <w:t xml:space="preserve"> and </w:t>
      </w:r>
      <w:r w:rsidRPr="001A3D2B">
        <w:t>diuretic use has decreased. It has been suggested that pharmaceutical marketing has influenced these prescribing patterns. No objective analysis</w:t>
      </w:r>
      <w:r w:rsidR="00427468">
        <w:t xml:space="preserve"> of </w:t>
      </w:r>
      <w:r w:rsidRPr="001A3D2B">
        <w:t>advertising for antihypertensive therapies exists, however. Methods</w:t>
      </w:r>
      <w:r w:rsidR="005853A9">
        <w:t xml:space="preserve"> and </w:t>
      </w:r>
      <w:r w:rsidRPr="001A3D2B">
        <w:t>Results-We reviewed</w:t>
      </w:r>
      <w:r w:rsidR="003A1917">
        <w:t xml:space="preserve"> the </w:t>
      </w:r>
      <w:r w:rsidRPr="001A3D2B">
        <w:t>January, April, July,</w:t>
      </w:r>
      <w:r w:rsidR="005853A9">
        <w:t xml:space="preserve"> and </w:t>
      </w:r>
      <w:r w:rsidRPr="001A3D2B">
        <w:t>October issues</w:t>
      </w:r>
      <w:r w:rsidR="00427468">
        <w:t xml:space="preserve"> of </w:t>
      </w:r>
      <w:r w:rsidR="003A1917">
        <w:t xml:space="preserve">the </w:t>
      </w:r>
      <w:r w:rsidRPr="001A3D2B">
        <w:t>New England Journal</w:t>
      </w:r>
      <w:r w:rsidR="00427468">
        <w:t xml:space="preserve"> of </w:t>
      </w:r>
      <w:r w:rsidRPr="001A3D2B">
        <w:t>Medicine from 1985 to 1996 (210 issues)</w:t>
      </w:r>
      <w:r w:rsidR="00A37C1D">
        <w:t>. The</w:t>
      </w:r>
      <w:r w:rsidR="003A1917">
        <w:t xml:space="preserve"> </w:t>
      </w:r>
      <w:r w:rsidRPr="001A3D2B">
        <w:t>intensity</w:t>
      </w:r>
      <w:r w:rsidR="00427468">
        <w:t xml:space="preserve"> of </w:t>
      </w:r>
      <w:r w:rsidRPr="001A3D2B">
        <w:t>drug promotion was measured as</w:t>
      </w:r>
      <w:r w:rsidR="003A1917">
        <w:t xml:space="preserve"> the </w:t>
      </w:r>
      <w:r w:rsidRPr="001A3D2B">
        <w:t>proportion</w:t>
      </w:r>
      <w:r w:rsidR="00427468">
        <w:t xml:space="preserve"> of </w:t>
      </w:r>
      <w:r w:rsidRPr="001A3D2B">
        <w:t>advertising pages used to promote a given medication. Statistical analyses used</w:t>
      </w:r>
      <w:r w:rsidR="003A1917">
        <w:t xml:space="preserve"> the </w:t>
      </w:r>
      <w:r w:rsidRPr="001A3D2B">
        <w:t>chi(2) test for trend. Advertising for CCBs increased from 4.6%</w:t>
      </w:r>
      <w:r w:rsidR="00427468">
        <w:t xml:space="preserve"> of </w:t>
      </w:r>
      <w:r w:rsidRPr="001A3D2B">
        <w:t>advertising pages in 1985 to 26.9% in 1996, while advertising for beta-blockers (12.4% in 1985 to 0% in 1996)</w:t>
      </w:r>
      <w:r w:rsidR="005853A9">
        <w:t xml:space="preserve"> and </w:t>
      </w:r>
      <w:r w:rsidRPr="001A3D2B">
        <w:t>diuretics (4.2% to 0%) decreased (all P&lt;0.0001). A nonsignificant increase was observed in advertising for ACE inhibitors (3.5% to 4.3%, P=0.17). Although</w:t>
      </w:r>
      <w:r w:rsidR="003A1917">
        <w:t xml:space="preserve"> the </w:t>
      </w:r>
      <w:r w:rsidRPr="001A3D2B">
        <w:t>total number</w:t>
      </w:r>
      <w:r w:rsidR="00427468">
        <w:t xml:space="preserve"> of </w:t>
      </w:r>
      <w:r w:rsidRPr="001A3D2B">
        <w:t>drug advertising pages per issue decreased from 60 pages in 1985 to 42 pages in 1996 (P&lt;0.001</w:t>
      </w:r>
      <w:r w:rsidR="00F42EAC">
        <w:t>), The</w:t>
      </w:r>
      <w:r w:rsidR="003A1917">
        <w:t xml:space="preserve"> </w:t>
      </w:r>
      <w:r w:rsidRPr="001A3D2B">
        <w:t>number</w:t>
      </w:r>
      <w:r w:rsidR="00427468">
        <w:t xml:space="preserve"> of </w:t>
      </w:r>
      <w:r w:rsidRPr="001A3D2B">
        <w:t>pages devoted to calcium channel blocker advertisements nearly quadrupled. Conclusions-Increasing promotion</w:t>
      </w:r>
      <w:r w:rsidR="00427468">
        <w:t xml:space="preserve"> of </w:t>
      </w:r>
      <w:r w:rsidRPr="001A3D2B">
        <w:t>CCBs has mirrored trends in physician prescribing. An association between advertising</w:t>
      </w:r>
      <w:r w:rsidR="005853A9">
        <w:t xml:space="preserve"> and </w:t>
      </w:r>
      <w:r w:rsidRPr="001A3D2B">
        <w:t>prescribing patterns could explain why CCBs have supplanted better-substantiated therapies for hypertension.</w:t>
      </w:r>
    </w:p>
    <w:p w:rsidR="003474F2" w:rsidRPr="001A3D2B" w:rsidRDefault="003474F2" w:rsidP="003474F2">
      <w:pPr>
        <w:pStyle w:val="a3"/>
      </w:pPr>
      <w:r w:rsidRPr="001A3D2B">
        <w:t xml:space="preserve">Keywords: Advertising, Analyses, Analysis, Association, Calcium, Drug, England, Hypertension, Marketing, Physician, Prescribing, Promotion, Treatment, Trend, </w:t>
      </w:r>
      <w:r w:rsidRPr="001A3D2B">
        <w:lastRenderedPageBreak/>
        <w:t>Trends</w:t>
      </w:r>
    </w:p>
    <w:p w:rsidR="00D8755F" w:rsidRPr="001A3D2B" w:rsidRDefault="00D8755F" w:rsidP="00D8755F">
      <w:pPr>
        <w:pStyle w:val="a3"/>
        <w:rPr>
          <w:kern w:val="0"/>
          <w:szCs w:val="24"/>
        </w:rPr>
      </w:pPr>
      <w:r w:rsidRPr="001A3D2B">
        <w:rPr>
          <w:kern w:val="0"/>
          <w:szCs w:val="24"/>
        </w:rPr>
        <w:t>? Conen, D., Torres, J.</w:t>
      </w:r>
      <w:r w:rsidR="005853A9">
        <w:rPr>
          <w:kern w:val="0"/>
          <w:szCs w:val="24"/>
        </w:rPr>
        <w:t xml:space="preserve"> and </w:t>
      </w:r>
      <w:r w:rsidRPr="001A3D2B">
        <w:rPr>
          <w:kern w:val="0"/>
          <w:szCs w:val="24"/>
        </w:rPr>
        <w:t>Ridker, P.M. (2008), Differential citation rates</w:t>
      </w:r>
      <w:r w:rsidR="00427468">
        <w:rPr>
          <w:kern w:val="0"/>
          <w:szCs w:val="24"/>
        </w:rPr>
        <w:t xml:space="preserve"> of </w:t>
      </w:r>
      <w:r w:rsidRPr="001A3D2B">
        <w:rPr>
          <w:kern w:val="0"/>
          <w:szCs w:val="24"/>
        </w:rPr>
        <w:t>major cardiovascular clinical trials according to source</w:t>
      </w:r>
      <w:r w:rsidR="00427468">
        <w:rPr>
          <w:kern w:val="0"/>
          <w:szCs w:val="24"/>
        </w:rPr>
        <w:t xml:space="preserve"> of </w:t>
      </w:r>
      <w:r w:rsidRPr="001A3D2B">
        <w:rPr>
          <w:kern w:val="0"/>
          <w:szCs w:val="24"/>
        </w:rPr>
        <w:t>funding</w:t>
      </w:r>
      <w:r w:rsidR="00BC65EF">
        <w:rPr>
          <w:rFonts w:hint="eastAsia"/>
          <w:kern w:val="0"/>
          <w:szCs w:val="24"/>
        </w:rPr>
        <w:t>:</w:t>
      </w:r>
      <w:r w:rsidRPr="001A3D2B">
        <w:rPr>
          <w:kern w:val="0"/>
          <w:szCs w:val="24"/>
        </w:rPr>
        <w:t xml:space="preserve"> A survey from 2000 to 2005. </w:t>
      </w:r>
      <w:r w:rsidRPr="001A3D2B">
        <w:rPr>
          <w:i/>
          <w:iCs/>
          <w:kern w:val="0"/>
          <w:szCs w:val="24"/>
        </w:rPr>
        <w:t>Circulation</w:t>
      </w:r>
      <w:r w:rsidRPr="001A3D2B">
        <w:rPr>
          <w:kern w:val="0"/>
          <w:szCs w:val="24"/>
        </w:rPr>
        <w:t xml:space="preserve">, </w:t>
      </w:r>
      <w:r w:rsidRPr="001A3D2B">
        <w:rPr>
          <w:b/>
          <w:bCs/>
          <w:kern w:val="0"/>
          <w:szCs w:val="24"/>
        </w:rPr>
        <w:t>118</w:t>
      </w:r>
      <w:r w:rsidRPr="001A3D2B">
        <w:rPr>
          <w:kern w:val="0"/>
          <w:szCs w:val="24"/>
        </w:rPr>
        <w:t xml:space="preserve"> (13), 1321-1327.</w:t>
      </w:r>
    </w:p>
    <w:p w:rsidR="00D8755F" w:rsidRPr="001A3D2B" w:rsidRDefault="00D8755F" w:rsidP="00D8755F">
      <w:pPr>
        <w:pStyle w:val="a3"/>
      </w:pPr>
      <w:r w:rsidRPr="001A3D2B">
        <w:t xml:space="preserve">Full Text: </w:t>
      </w:r>
      <w:hyperlink r:id="rId284" w:history="1">
        <w:r w:rsidRPr="001A3D2B">
          <w:rPr>
            <w:rStyle w:val="a5"/>
          </w:rPr>
          <w:t>2008\Circulation118, 1321.pdf</w:t>
        </w:r>
      </w:hyperlink>
    </w:p>
    <w:p w:rsidR="00D8755F" w:rsidRPr="001A3D2B" w:rsidRDefault="00D8755F" w:rsidP="00D8755F">
      <w:pPr>
        <w:pStyle w:val="a3"/>
        <w:rPr>
          <w:kern w:val="0"/>
          <w:szCs w:val="24"/>
        </w:rPr>
      </w:pPr>
      <w:r w:rsidRPr="001A3D2B">
        <w:rPr>
          <w:kern w:val="0"/>
          <w:szCs w:val="24"/>
        </w:rPr>
        <w:t>Abstract: Background - Prior work indicates that therapeutic trials funded by for-profit organizations are more likely to report positive findings than trials funded by not-for-profit organizations. What impact, if any, funding source has on subsequent dissemination</w:t>
      </w:r>
      <w:r w:rsidR="00427468">
        <w:rPr>
          <w:kern w:val="0"/>
          <w:szCs w:val="24"/>
        </w:rPr>
        <w:t xml:space="preserve"> of </w:t>
      </w:r>
      <w:r w:rsidRPr="001A3D2B">
        <w:rPr>
          <w:kern w:val="0"/>
          <w:szCs w:val="24"/>
        </w:rPr>
        <w:t>trial data is uncertain. To address this issue, we used</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citations per publication per year to assess differences in trial dissemination according to funding source. Methods</w:t>
      </w:r>
      <w:r w:rsidR="005853A9">
        <w:rPr>
          <w:kern w:val="0"/>
          <w:szCs w:val="24"/>
        </w:rPr>
        <w:t xml:space="preserve"> and </w:t>
      </w:r>
      <w:r w:rsidRPr="001A3D2B">
        <w:rPr>
          <w:kern w:val="0"/>
          <w:szCs w:val="24"/>
        </w:rPr>
        <w:t>Results - We assessed 303 consecutive superiority trials</w:t>
      </w:r>
      <w:r w:rsidR="00427468">
        <w:rPr>
          <w:kern w:val="0"/>
          <w:szCs w:val="24"/>
        </w:rPr>
        <w:t xml:space="preserve"> of </w:t>
      </w:r>
      <w:r w:rsidRPr="001A3D2B">
        <w:rPr>
          <w:kern w:val="0"/>
          <w:szCs w:val="24"/>
        </w:rPr>
        <w:t>cardiovascular medicine published between January 1, 2000,</w:t>
      </w:r>
      <w:r w:rsidR="005853A9">
        <w:rPr>
          <w:kern w:val="0"/>
          <w:szCs w:val="24"/>
        </w:rPr>
        <w:t xml:space="preserve"> and </w:t>
      </w:r>
      <w:r w:rsidRPr="001A3D2B">
        <w:rPr>
          <w:kern w:val="0"/>
          <w:szCs w:val="24"/>
        </w:rPr>
        <w:t>July 30, 2005, in</w:t>
      </w:r>
      <w:r w:rsidR="003A1917">
        <w:rPr>
          <w:kern w:val="0"/>
          <w:szCs w:val="24"/>
        </w:rPr>
        <w:t xml:space="preserve"> the </w:t>
      </w:r>
      <w:r w:rsidRPr="001A3D2B">
        <w:rPr>
          <w:kern w:val="0"/>
          <w:szCs w:val="24"/>
        </w:rPr>
        <w:t>Journal</w:t>
      </w:r>
      <w:r w:rsidR="00427468">
        <w:rPr>
          <w:kern w:val="0"/>
          <w:szCs w:val="24"/>
        </w:rPr>
        <w:t xml:space="preserve"> of </w:t>
      </w:r>
      <w:r w:rsidR="003A1917">
        <w:rPr>
          <w:kern w:val="0"/>
          <w:szCs w:val="24"/>
        </w:rPr>
        <w:t xml:space="preserve">the </w:t>
      </w:r>
      <w:r w:rsidRPr="001A3D2B">
        <w:rPr>
          <w:kern w:val="0"/>
          <w:szCs w:val="24"/>
        </w:rPr>
        <w:t>American Medical Association,</w:t>
      </w:r>
      <w:r w:rsidR="003A1917">
        <w:rPr>
          <w:kern w:val="0"/>
          <w:szCs w:val="24"/>
        </w:rPr>
        <w:t xml:space="preserve"> the </w:t>
      </w:r>
      <w:r w:rsidRPr="001A3D2B">
        <w:rPr>
          <w:kern w:val="0"/>
          <w:szCs w:val="24"/>
        </w:rPr>
        <w:t>Lancet,</w:t>
      </w:r>
      <w:r w:rsidR="005853A9">
        <w:rPr>
          <w:kern w:val="0"/>
          <w:szCs w:val="24"/>
        </w:rPr>
        <w:t xml:space="preserve"> and </w:t>
      </w:r>
      <w:r w:rsidR="003A1917">
        <w:rPr>
          <w:kern w:val="0"/>
          <w:szCs w:val="24"/>
        </w:rPr>
        <w:t xml:space="preserve">the </w:t>
      </w:r>
      <w:r w:rsidRPr="001A3D2B">
        <w:rPr>
          <w:kern w:val="0"/>
          <w:szCs w:val="24"/>
        </w:rPr>
        <w:t>New England Journal</w:t>
      </w:r>
      <w:r w:rsidR="00427468">
        <w:rPr>
          <w:kern w:val="0"/>
          <w:szCs w:val="24"/>
        </w:rPr>
        <w:t xml:space="preserve"> of </w:t>
      </w:r>
      <w:r w:rsidRPr="001A3D2B">
        <w:rPr>
          <w:kern w:val="0"/>
          <w:szCs w:val="24"/>
        </w:rPr>
        <w:t>Medicine</w:t>
      </w:r>
      <w:r w:rsidR="00A37C1D">
        <w:rPr>
          <w:kern w:val="0"/>
          <w:szCs w:val="24"/>
        </w:rPr>
        <w:t>. The</w:t>
      </w:r>
      <w:r w:rsidR="003A1917">
        <w:rPr>
          <w:kern w:val="0"/>
          <w:szCs w:val="24"/>
        </w:rPr>
        <w:t xml:space="preserve"> </w:t>
      </w:r>
      <w:r w:rsidRPr="001A3D2B">
        <w:rPr>
          <w:kern w:val="0"/>
          <w:szCs w:val="24"/>
        </w:rPr>
        <w:t>primary outcome measure was</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citations per publication per year up to December 31, 2006. Overall,</w:t>
      </w:r>
      <w:r w:rsidR="003A1917">
        <w:rPr>
          <w:kern w:val="0"/>
          <w:szCs w:val="24"/>
        </w:rPr>
        <w:t xml:space="preserve"> the </w:t>
      </w:r>
      <w:r w:rsidRPr="001A3D2B">
        <w:rPr>
          <w:kern w:val="0"/>
          <w:szCs w:val="24"/>
        </w:rPr>
        <w:t>median number</w:t>
      </w:r>
      <w:r w:rsidR="00427468">
        <w:rPr>
          <w:kern w:val="0"/>
          <w:szCs w:val="24"/>
        </w:rPr>
        <w:t xml:space="preserve"> of </w:t>
      </w:r>
      <w:r w:rsidRPr="001A3D2B">
        <w:rPr>
          <w:kern w:val="0"/>
          <w:szCs w:val="24"/>
        </w:rPr>
        <w:t>citations per publication per year was 46 for trials funded exclusively by for-profit organizations, 37 for trials jointly funded,</w:t>
      </w:r>
      <w:r w:rsidR="005853A9">
        <w:rPr>
          <w:kern w:val="0"/>
          <w:szCs w:val="24"/>
        </w:rPr>
        <w:t xml:space="preserve"> and </w:t>
      </w:r>
      <w:r w:rsidRPr="001A3D2B">
        <w:rPr>
          <w:kern w:val="0"/>
          <w:szCs w:val="24"/>
        </w:rPr>
        <w:t>29 for trials funded by not-for-profit organizations (P = 0.0007). Higher citation rates for trials funded by for-profit organizations were consistently observed in analyses stratified by journal</w:t>
      </w:r>
      <w:r w:rsidR="005853A9">
        <w:rPr>
          <w:kern w:val="0"/>
          <w:szCs w:val="24"/>
        </w:rPr>
        <w:t xml:space="preserve"> and </w:t>
      </w:r>
      <w:r w:rsidRPr="001A3D2B">
        <w:rPr>
          <w:kern w:val="0"/>
          <w:szCs w:val="24"/>
        </w:rPr>
        <w:t>various trial design features</w:t>
      </w:r>
      <w:r w:rsidR="005853A9">
        <w:rPr>
          <w:kern w:val="0"/>
          <w:szCs w:val="24"/>
        </w:rPr>
        <w:t xml:space="preserve"> and </w:t>
      </w:r>
      <w:r w:rsidRPr="001A3D2B">
        <w:rPr>
          <w:kern w:val="0"/>
          <w:szCs w:val="24"/>
        </w:rPr>
        <w:t>were most striking when</w:t>
      </w:r>
      <w:r w:rsidR="003A1917">
        <w:rPr>
          <w:kern w:val="0"/>
          <w:szCs w:val="24"/>
        </w:rPr>
        <w:t xml:space="preserve"> the </w:t>
      </w:r>
      <w:r w:rsidRPr="001A3D2B">
        <w:rPr>
          <w:kern w:val="0"/>
          <w:szCs w:val="24"/>
        </w:rPr>
        <w:t>new intervention was favored over</w:t>
      </w:r>
      <w:r w:rsidR="003A1917">
        <w:rPr>
          <w:kern w:val="0"/>
          <w:szCs w:val="24"/>
        </w:rPr>
        <w:t xml:space="preserve"> the </w:t>
      </w:r>
      <w:r w:rsidRPr="001A3D2B">
        <w:rPr>
          <w:kern w:val="0"/>
          <w:szCs w:val="24"/>
        </w:rPr>
        <w:t>standard</w:t>
      </w:r>
      <w:r w:rsidR="00427468">
        <w:rPr>
          <w:kern w:val="0"/>
          <w:szCs w:val="24"/>
        </w:rPr>
        <w:t xml:space="preserve"> of </w:t>
      </w:r>
      <w:r w:rsidRPr="001A3D2B">
        <w:rPr>
          <w:kern w:val="0"/>
          <w:szCs w:val="24"/>
        </w:rPr>
        <w:t>care; in this subgroup,</w:t>
      </w:r>
      <w:r w:rsidR="003A1917">
        <w:rPr>
          <w:kern w:val="0"/>
          <w:szCs w:val="24"/>
        </w:rPr>
        <w:t xml:space="preserve"> the </w:t>
      </w:r>
      <w:r w:rsidRPr="001A3D2B">
        <w:rPr>
          <w:kern w:val="0"/>
          <w:szCs w:val="24"/>
        </w:rPr>
        <w:t>median number</w:t>
      </w:r>
      <w:r w:rsidR="00427468">
        <w:rPr>
          <w:kern w:val="0"/>
          <w:szCs w:val="24"/>
        </w:rPr>
        <w:t xml:space="preserve"> of </w:t>
      </w:r>
      <w:r w:rsidRPr="001A3D2B">
        <w:rPr>
          <w:kern w:val="0"/>
          <w:szCs w:val="24"/>
        </w:rPr>
        <w:t>citations per publication per year was 52 for trials funded by for-profit organizations compared with 25 for trials funded by not-for-profit organizations (P = 0.0006). In marked contrast, in analyses limited to trials in which</w:t>
      </w:r>
      <w:r w:rsidR="003A1917">
        <w:rPr>
          <w:kern w:val="0"/>
          <w:szCs w:val="24"/>
        </w:rPr>
        <w:t xml:space="preserve"> the </w:t>
      </w:r>
      <w:r w:rsidRPr="001A3D2B">
        <w:rPr>
          <w:kern w:val="0"/>
          <w:szCs w:val="24"/>
        </w:rPr>
        <w:t>new intervention was significantly worse than</w:t>
      </w:r>
      <w:r w:rsidR="003A1917">
        <w:rPr>
          <w:kern w:val="0"/>
          <w:szCs w:val="24"/>
        </w:rPr>
        <w:t xml:space="preserve"> the </w:t>
      </w:r>
      <w:r w:rsidRPr="001A3D2B">
        <w:rPr>
          <w:kern w:val="0"/>
          <w:szCs w:val="24"/>
        </w:rPr>
        <w:t>standard</w:t>
      </w:r>
      <w:r w:rsidR="00427468">
        <w:rPr>
          <w:kern w:val="0"/>
          <w:szCs w:val="24"/>
        </w:rPr>
        <w:t xml:space="preserve"> of </w:t>
      </w:r>
      <w:r w:rsidRPr="001A3D2B">
        <w:rPr>
          <w:kern w:val="0"/>
          <w:szCs w:val="24"/>
        </w:rPr>
        <w:t>care, an inverse pattern was observed with fewer citations per publication per year for trials funded by for-profit organizations compared with not-for-profit organizations (33 versus 41; P = 0.048). Higher citation rates were observed for industry-funded trials than for federally funded trials even when</w:t>
      </w:r>
      <w:r w:rsidR="003A1917">
        <w:rPr>
          <w:kern w:val="0"/>
          <w:szCs w:val="24"/>
        </w:rPr>
        <w:t xml:space="preserve"> the </w:t>
      </w:r>
      <w:r w:rsidRPr="001A3D2B">
        <w:rPr>
          <w:kern w:val="0"/>
          <w:szCs w:val="24"/>
        </w:rPr>
        <w:t>trials dealt with similar issues</w:t>
      </w:r>
      <w:r w:rsidR="005853A9">
        <w:rPr>
          <w:kern w:val="0"/>
          <w:szCs w:val="24"/>
        </w:rPr>
        <w:t xml:space="preserve"> and </w:t>
      </w:r>
      <w:r w:rsidRPr="001A3D2B">
        <w:rPr>
          <w:kern w:val="0"/>
          <w:szCs w:val="24"/>
        </w:rPr>
        <w:t>were published back-to-back in</w:t>
      </w:r>
      <w:r w:rsidR="003A1917">
        <w:rPr>
          <w:kern w:val="0"/>
          <w:szCs w:val="24"/>
        </w:rPr>
        <w:t xml:space="preserve"> the </w:t>
      </w:r>
      <w:r w:rsidRPr="001A3D2B">
        <w:rPr>
          <w:kern w:val="0"/>
          <w:szCs w:val="24"/>
        </w:rPr>
        <w:t>same journal. Conclusions - Dissemination</w:t>
      </w:r>
      <w:r w:rsidR="00427468">
        <w:rPr>
          <w:kern w:val="0"/>
          <w:szCs w:val="24"/>
        </w:rPr>
        <w:t xml:space="preserve"> of </w:t>
      </w:r>
      <w:r w:rsidRPr="001A3D2B">
        <w:rPr>
          <w:kern w:val="0"/>
          <w:szCs w:val="24"/>
        </w:rPr>
        <w:t>clinical trial results is important for clinical practice but appears to be biased in favor</w:t>
      </w:r>
      <w:r w:rsidR="00427468">
        <w:rPr>
          <w:kern w:val="0"/>
          <w:szCs w:val="24"/>
        </w:rPr>
        <w:t xml:space="preserve"> of </w:t>
      </w:r>
      <w:r w:rsidRPr="001A3D2B">
        <w:rPr>
          <w:kern w:val="0"/>
          <w:szCs w:val="24"/>
        </w:rPr>
        <w:t>for-profit entities. Consideration should be given to more extensive promotion</w:t>
      </w:r>
      <w:r w:rsidR="00427468">
        <w:rPr>
          <w:kern w:val="0"/>
          <w:szCs w:val="24"/>
        </w:rPr>
        <w:t xml:space="preserve"> of </w:t>
      </w:r>
      <w:r w:rsidRPr="001A3D2B">
        <w:rPr>
          <w:kern w:val="0"/>
          <w:szCs w:val="24"/>
        </w:rPr>
        <w:t>clinical trial results that are funded by not-for-profit organizations.</w:t>
      </w:r>
    </w:p>
    <w:p w:rsidR="00D8755F" w:rsidRPr="001A3D2B" w:rsidRDefault="00D8755F" w:rsidP="00D8755F">
      <w:pPr>
        <w:pStyle w:val="a3"/>
        <w:rPr>
          <w:kern w:val="0"/>
          <w:szCs w:val="24"/>
        </w:rPr>
      </w:pPr>
      <w:r w:rsidRPr="001A3D2B">
        <w:rPr>
          <w:kern w:val="0"/>
          <w:szCs w:val="24"/>
        </w:rPr>
        <w:t>Keywords: Access, Articles, Bibliometrics, Cardiovascular Diseases, Chronic Heart-Failure, Citation, Citations, Clinical Trials, Financial Support, Impact, Journals, Organizations,Nonprofit, Publication, Radiation Therapy, Randomized Controlled Trials as Topic, Registration, Restenosis</w:t>
      </w:r>
    </w:p>
    <w:p w:rsidR="00BC65EF" w:rsidRDefault="00BC65EF" w:rsidP="00BC65EF">
      <w:pPr>
        <w:pStyle w:val="a3"/>
        <w:rPr>
          <w:kern w:val="0"/>
        </w:rPr>
      </w:pPr>
      <w:r>
        <w:rPr>
          <w:rFonts w:hint="eastAsia"/>
          <w:kern w:val="0"/>
        </w:rPr>
        <w:t xml:space="preserve">? </w:t>
      </w:r>
      <w:r>
        <w:rPr>
          <w:kern w:val="0"/>
        </w:rPr>
        <w:t xml:space="preserve">Young, G., Albisetti, M., Bonduel, M., Brandao, L., Chan, A., Friedrichs, F., Goldenberg, N.A., Grabowski, E., Heller, C., Journeycake, J., Kenet, G., Krumpel, </w:t>
      </w:r>
      <w:r>
        <w:rPr>
          <w:kern w:val="0"/>
        </w:rPr>
        <w:lastRenderedPageBreak/>
        <w:t>A., Kurnik, K., Lubetsky, A., Male, C., Manco-Johnson, M., Mathew, P., Monagle, P., van Ommen, H., Simioni, P., Svirin, P., Tormene, D.</w:t>
      </w:r>
      <w:r w:rsidR="005853A9">
        <w:rPr>
          <w:kern w:val="0"/>
        </w:rPr>
        <w:t xml:space="preserve"> and </w:t>
      </w:r>
      <w:r>
        <w:rPr>
          <w:kern w:val="0"/>
        </w:rPr>
        <w:t>Nowak-Gottl, U. (2008), Impact</w:t>
      </w:r>
      <w:r w:rsidR="00427468">
        <w:rPr>
          <w:kern w:val="0"/>
        </w:rPr>
        <w:t xml:space="preserve"> of </w:t>
      </w:r>
      <w:r>
        <w:rPr>
          <w:kern w:val="0"/>
        </w:rPr>
        <w:t>inherited thrombophilia on venous thromboembolism in children: A systematic review</w:t>
      </w:r>
      <w:r w:rsidR="005853A9">
        <w:rPr>
          <w:kern w:val="0"/>
        </w:rPr>
        <w:t xml:space="preserve"> and </w:t>
      </w:r>
      <w:r>
        <w:rPr>
          <w:kern w:val="0"/>
        </w:rPr>
        <w:t>meta-analysis</w:t>
      </w:r>
      <w:r w:rsidR="00427468">
        <w:rPr>
          <w:kern w:val="0"/>
        </w:rPr>
        <w:t xml:space="preserve"> of </w:t>
      </w:r>
      <w:r>
        <w:rPr>
          <w:kern w:val="0"/>
        </w:rPr>
        <w:t xml:space="preserve">observational studies. </w:t>
      </w:r>
      <w:r>
        <w:rPr>
          <w:i/>
          <w:iCs/>
          <w:kern w:val="0"/>
        </w:rPr>
        <w:t>Circulation</w:t>
      </w:r>
      <w:r>
        <w:rPr>
          <w:kern w:val="0"/>
        </w:rPr>
        <w:t xml:space="preserve">, </w:t>
      </w:r>
      <w:r>
        <w:rPr>
          <w:b/>
          <w:bCs/>
          <w:kern w:val="0"/>
        </w:rPr>
        <w:t>118</w:t>
      </w:r>
      <w:r>
        <w:rPr>
          <w:kern w:val="0"/>
        </w:rPr>
        <w:t xml:space="preserve"> (13), 1373-1382.</w:t>
      </w:r>
    </w:p>
    <w:p w:rsidR="00626FF9" w:rsidRPr="00C73C58" w:rsidRDefault="00626FF9" w:rsidP="00626FF9">
      <w:pPr>
        <w:pStyle w:val="a3"/>
      </w:pPr>
      <w:r w:rsidRPr="00C73C58">
        <w:t xml:space="preserve">Full Text: </w:t>
      </w:r>
      <w:hyperlink r:id="rId285" w:history="1">
        <w:r w:rsidRPr="00433D83">
          <w:rPr>
            <w:rStyle w:val="a5"/>
          </w:rPr>
          <w:t>2008\Circulation118, 1373.pdf</w:t>
        </w:r>
      </w:hyperlink>
    </w:p>
    <w:p w:rsidR="00BC65EF" w:rsidRDefault="00BC65EF" w:rsidP="00BC65EF">
      <w:pPr>
        <w:pStyle w:val="a3"/>
        <w:rPr>
          <w:kern w:val="0"/>
        </w:rPr>
      </w:pPr>
      <w:r>
        <w:rPr>
          <w:kern w:val="0"/>
        </w:rPr>
        <w:t>Abstract: Background -</w:t>
      </w:r>
      <w:r w:rsidR="003A1917">
        <w:rPr>
          <w:kern w:val="0"/>
        </w:rPr>
        <w:t xml:space="preserve"> the </w:t>
      </w:r>
      <w:r>
        <w:rPr>
          <w:kern w:val="0"/>
        </w:rPr>
        <w:t>aim</w:t>
      </w:r>
      <w:r w:rsidR="00427468">
        <w:rPr>
          <w:kern w:val="0"/>
        </w:rPr>
        <w:t xml:space="preserve"> of </w:t>
      </w:r>
      <w:r w:rsidR="003A1917">
        <w:rPr>
          <w:kern w:val="0"/>
        </w:rPr>
        <w:t xml:space="preserve">the </w:t>
      </w:r>
      <w:r>
        <w:rPr>
          <w:kern w:val="0"/>
        </w:rPr>
        <w:t>present study was to estimate</w:t>
      </w:r>
      <w:r w:rsidR="003A1917">
        <w:rPr>
          <w:kern w:val="0"/>
        </w:rPr>
        <w:t xml:space="preserve"> the </w:t>
      </w:r>
      <w:r>
        <w:rPr>
          <w:kern w:val="0"/>
        </w:rPr>
        <w:t>impact</w:t>
      </w:r>
      <w:r w:rsidR="00427468">
        <w:rPr>
          <w:kern w:val="0"/>
        </w:rPr>
        <w:t xml:space="preserve"> of </w:t>
      </w:r>
      <w:r>
        <w:rPr>
          <w:kern w:val="0"/>
        </w:rPr>
        <w:t>inherited thrombophilia (IT) on</w:t>
      </w:r>
      <w:r w:rsidR="003A1917">
        <w:rPr>
          <w:kern w:val="0"/>
        </w:rPr>
        <w:t xml:space="preserve"> the </w:t>
      </w:r>
      <w:r>
        <w:rPr>
          <w:kern w:val="0"/>
        </w:rPr>
        <w:t>risk</w:t>
      </w:r>
      <w:r w:rsidR="00427468">
        <w:rPr>
          <w:kern w:val="0"/>
        </w:rPr>
        <w:t xml:space="preserve"> of </w:t>
      </w:r>
      <w:r>
        <w:rPr>
          <w:kern w:val="0"/>
        </w:rPr>
        <w:t>venous thromboembolism (VTE) onset</w:t>
      </w:r>
      <w:r w:rsidR="005853A9">
        <w:rPr>
          <w:kern w:val="0"/>
        </w:rPr>
        <w:t xml:space="preserve"> and </w:t>
      </w:r>
      <w:r>
        <w:rPr>
          <w:kern w:val="0"/>
        </w:rPr>
        <w:t>recurrence in children by a meta-analysis</w:t>
      </w:r>
      <w:r w:rsidR="00427468">
        <w:rPr>
          <w:kern w:val="0"/>
        </w:rPr>
        <w:t xml:space="preserve"> of </w:t>
      </w:r>
      <w:r>
        <w:rPr>
          <w:kern w:val="0"/>
        </w:rPr>
        <w:t>published observational studies. Methods</w:t>
      </w:r>
      <w:r w:rsidR="005853A9">
        <w:rPr>
          <w:kern w:val="0"/>
        </w:rPr>
        <w:t xml:space="preserve"> and </w:t>
      </w:r>
      <w:r>
        <w:rPr>
          <w:kern w:val="0"/>
        </w:rPr>
        <w:t>Results - A systematic search</w:t>
      </w:r>
      <w:r w:rsidR="00427468">
        <w:rPr>
          <w:kern w:val="0"/>
        </w:rPr>
        <w:t xml:space="preserve"> of </w:t>
      </w:r>
      <w:r>
        <w:rPr>
          <w:kern w:val="0"/>
        </w:rPr>
        <w:t>electronic databases (</w:t>
      </w:r>
      <w:r w:rsidR="00D5664A">
        <w:rPr>
          <w:kern w:val="0"/>
        </w:rPr>
        <w:t>MEDLINE</w:t>
      </w:r>
      <w:r>
        <w:rPr>
          <w:kern w:val="0"/>
        </w:rPr>
        <w:t xml:space="preserve">, EMBASE, OVID,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 for studies published from 1970 to 2007 was conducted using key words in combination as both MeSH terms</w:t>
      </w:r>
      <w:r w:rsidR="005853A9">
        <w:rPr>
          <w:kern w:val="0"/>
        </w:rPr>
        <w:t xml:space="preserve"> and </w:t>
      </w:r>
      <w:r>
        <w:rPr>
          <w:kern w:val="0"/>
        </w:rPr>
        <w:t>text words. Citations were independently screened by 2 authors,</w:t>
      </w:r>
      <w:r w:rsidR="005853A9">
        <w:rPr>
          <w:kern w:val="0"/>
        </w:rPr>
        <w:t xml:space="preserve"> and </w:t>
      </w:r>
      <w:r>
        <w:rPr>
          <w:kern w:val="0"/>
        </w:rPr>
        <w:t>those meeting</w:t>
      </w:r>
      <w:r w:rsidR="003A1917">
        <w:rPr>
          <w:kern w:val="0"/>
        </w:rPr>
        <w:t xml:space="preserve"> the </w:t>
      </w:r>
      <w:r>
        <w:rPr>
          <w:kern w:val="0"/>
        </w:rPr>
        <w:t>inclusion criteria defined a priori were retained. Data on year</w:t>
      </w:r>
      <w:r w:rsidR="00427468">
        <w:rPr>
          <w:kern w:val="0"/>
        </w:rPr>
        <w:t xml:space="preserve"> of </w:t>
      </w:r>
      <w:r>
        <w:rPr>
          <w:kern w:val="0"/>
        </w:rPr>
        <w:t>publication, study design, country</w:t>
      </w:r>
      <w:r w:rsidR="00427468">
        <w:rPr>
          <w:kern w:val="0"/>
        </w:rPr>
        <w:t xml:space="preserve"> of </w:t>
      </w:r>
      <w:r>
        <w:rPr>
          <w:kern w:val="0"/>
        </w:rPr>
        <w:t>origin, number</w:t>
      </w:r>
      <w:r w:rsidR="00427468">
        <w:rPr>
          <w:kern w:val="0"/>
        </w:rPr>
        <w:t xml:space="preserve"> of </w:t>
      </w:r>
      <w:r>
        <w:rPr>
          <w:kern w:val="0"/>
        </w:rPr>
        <w:t>patients/controls, ethnicity, VTE type,</w:t>
      </w:r>
      <w:r w:rsidR="005853A9">
        <w:rPr>
          <w:kern w:val="0"/>
        </w:rPr>
        <w:t xml:space="preserve"> and </w:t>
      </w:r>
      <w:r>
        <w:rPr>
          <w:kern w:val="0"/>
        </w:rPr>
        <w:t>frequency</w:t>
      </w:r>
      <w:r w:rsidR="00427468">
        <w:rPr>
          <w:kern w:val="0"/>
        </w:rPr>
        <w:t xml:space="preserve"> of </w:t>
      </w:r>
      <w:r>
        <w:rPr>
          <w:kern w:val="0"/>
        </w:rPr>
        <w:t>recurrence were abstracted. Heterogeneity across studies was evaluated,</w:t>
      </w:r>
      <w:r w:rsidR="005853A9">
        <w:rPr>
          <w:kern w:val="0"/>
        </w:rPr>
        <w:t xml:space="preserve"> and </w:t>
      </w:r>
      <w:r>
        <w:rPr>
          <w:kern w:val="0"/>
        </w:rPr>
        <w:t>summary odds ratios</w:t>
      </w:r>
      <w:r w:rsidR="005853A9">
        <w:rPr>
          <w:kern w:val="0"/>
        </w:rPr>
        <w:t xml:space="preserve"> and </w:t>
      </w:r>
      <w:r>
        <w:rPr>
          <w:kern w:val="0"/>
        </w:rPr>
        <w:t>95% CIs were calculated with both fixed-effects</w:t>
      </w:r>
      <w:r w:rsidR="005853A9">
        <w:rPr>
          <w:kern w:val="0"/>
        </w:rPr>
        <w:t xml:space="preserve"> and </w:t>
      </w:r>
      <w:r>
        <w:rPr>
          <w:kern w:val="0"/>
        </w:rPr>
        <w:t>random-effects models. Thirty-five</w:t>
      </w:r>
      <w:r w:rsidR="00427468">
        <w:rPr>
          <w:kern w:val="0"/>
        </w:rPr>
        <w:t xml:space="preserve"> of </w:t>
      </w:r>
      <w:r>
        <w:rPr>
          <w:kern w:val="0"/>
        </w:rPr>
        <w:t>50 studies met inclusion criteria. No significant heterogeneity was discerned across studies. Although &gt; 70%</w:t>
      </w:r>
      <w:r w:rsidR="00427468">
        <w:rPr>
          <w:kern w:val="0"/>
        </w:rPr>
        <w:t xml:space="preserve"> of </w:t>
      </w:r>
      <w:r>
        <w:rPr>
          <w:kern w:val="0"/>
        </w:rPr>
        <w:t>patients had at least 1 clinical risk factor for VTE, a statistically significant association with VTE onset was demonstrated for each IT trait evaluated (and for combined IT traits), with summary odds ratios ranging from 2.63 (95% CI, 1.61 to 4.29) for</w:t>
      </w:r>
      <w:r w:rsidR="003A1917">
        <w:rPr>
          <w:kern w:val="0"/>
        </w:rPr>
        <w:t xml:space="preserve"> the </w:t>
      </w:r>
      <w:r>
        <w:rPr>
          <w:kern w:val="0"/>
        </w:rPr>
        <w:t>factor II variant to 9.44 (95% CI, 3.34 to 26.66) for antithrombin deficiency. Furthermore, a significant association with recurrent VTE was found for all IT traits except</w:t>
      </w:r>
      <w:r w:rsidR="003A1917">
        <w:rPr>
          <w:kern w:val="0"/>
        </w:rPr>
        <w:t xml:space="preserve"> the </w:t>
      </w:r>
      <w:r>
        <w:rPr>
          <w:kern w:val="0"/>
        </w:rPr>
        <w:t>factor V variant</w:t>
      </w:r>
      <w:r w:rsidR="005853A9">
        <w:rPr>
          <w:kern w:val="0"/>
        </w:rPr>
        <w:t xml:space="preserve"> and </w:t>
      </w:r>
      <w:r>
        <w:rPr>
          <w:kern w:val="0"/>
        </w:rPr>
        <w:t>elevated lipoprotein(a). Conclusions -</w:t>
      </w:r>
      <w:r w:rsidR="003A1917">
        <w:rPr>
          <w:kern w:val="0"/>
        </w:rPr>
        <w:t xml:space="preserve"> the </w:t>
      </w:r>
      <w:r>
        <w:rPr>
          <w:kern w:val="0"/>
        </w:rPr>
        <w:t>present meta-analysis indicates that detection</w:t>
      </w:r>
      <w:r w:rsidR="00427468">
        <w:rPr>
          <w:kern w:val="0"/>
        </w:rPr>
        <w:t xml:space="preserve"> of </w:t>
      </w:r>
      <w:r>
        <w:rPr>
          <w:kern w:val="0"/>
        </w:rPr>
        <w:t>IT is clinically meaningful in children with, or at risk for, VTE</w:t>
      </w:r>
      <w:r w:rsidR="005853A9">
        <w:rPr>
          <w:kern w:val="0"/>
        </w:rPr>
        <w:t xml:space="preserve"> and </w:t>
      </w:r>
      <w:r>
        <w:rPr>
          <w:kern w:val="0"/>
        </w:rPr>
        <w:t>underscores</w:t>
      </w:r>
      <w:r w:rsidR="003A1917">
        <w:rPr>
          <w:kern w:val="0"/>
        </w:rPr>
        <w:t xml:space="preserve"> the </w:t>
      </w:r>
      <w:r>
        <w:rPr>
          <w:kern w:val="0"/>
        </w:rPr>
        <w:t>importance</w:t>
      </w:r>
      <w:r w:rsidR="00427468">
        <w:rPr>
          <w:kern w:val="0"/>
        </w:rPr>
        <w:t xml:space="preserve"> of </w:t>
      </w:r>
      <w:r>
        <w:rPr>
          <w:kern w:val="0"/>
        </w:rPr>
        <w:t>pediatric thrombophilia screening programs.</w:t>
      </w:r>
    </w:p>
    <w:p w:rsidR="00BC65EF" w:rsidRDefault="00BC65EF" w:rsidP="00BC65EF">
      <w:pPr>
        <w:pStyle w:val="a3"/>
        <w:rPr>
          <w:kern w:val="0"/>
        </w:rPr>
      </w:pPr>
      <w:r>
        <w:rPr>
          <w:kern w:val="0"/>
        </w:rPr>
        <w:t xml:space="preserve">Keywords: Activated Protein-C, Acute Lymphoblastic-Leukemia, Arterial Ischemic-Stroke, Authors, Cerebral Sinovenous Thrombosis, Children, Citations, Cochrane, Databases, EMBASE, Ethnicity, Factor-V-Leiden, Frequency, G-A Mutation, Gene G20210a Mutation, Impact, Meta-Analysis, Methods, Observational Studies, Pediatric, Pediatrics, Portal-Vein Thrombosis, Prothrombotic Risk-Factors, Publication, Recurrence, Review, Risk, Science, Screening, Single-Center, Systematic, Systematic Review, Thrombophilia, Thrombosis, </w:t>
      </w:r>
      <w:r w:rsidR="00D5664A">
        <w:rPr>
          <w:kern w:val="0"/>
        </w:rPr>
        <w:t>Web</w:t>
      </w:r>
      <w:r w:rsidR="00427468">
        <w:rPr>
          <w:kern w:val="0"/>
        </w:rPr>
        <w:t xml:space="preserve"> of </w:t>
      </w:r>
      <w:r w:rsidR="00D5664A">
        <w:rPr>
          <w:kern w:val="0"/>
        </w:rPr>
        <w:t>Science</w:t>
      </w:r>
    </w:p>
    <w:p w:rsidR="00A72A46" w:rsidRDefault="00A72A46" w:rsidP="00A72A46">
      <w:pPr>
        <w:pStyle w:val="a3"/>
        <w:rPr>
          <w:kern w:val="0"/>
        </w:rPr>
      </w:pPr>
      <w:r>
        <w:rPr>
          <w:rFonts w:hint="eastAsia"/>
          <w:kern w:val="0"/>
        </w:rPr>
        <w:t xml:space="preserve">? </w:t>
      </w:r>
      <w:r>
        <w:rPr>
          <w:kern w:val="0"/>
        </w:rPr>
        <w:t>Taylor, J.</w:t>
      </w:r>
      <w:r w:rsidR="005853A9">
        <w:rPr>
          <w:kern w:val="0"/>
        </w:rPr>
        <w:t xml:space="preserve"> and </w:t>
      </w:r>
      <w:r>
        <w:rPr>
          <w:kern w:val="0"/>
        </w:rPr>
        <w:t xml:space="preserve">Adam, O. (2009), </w:t>
      </w:r>
      <w:r w:rsidR="00B5188C">
        <w:rPr>
          <w:kern w:val="0"/>
        </w:rPr>
        <w:t>“</w:t>
      </w:r>
      <w:r>
        <w:rPr>
          <w:kern w:val="0"/>
        </w:rPr>
        <w:t>On all</w:t>
      </w:r>
      <w:r w:rsidR="003A1917">
        <w:rPr>
          <w:kern w:val="0"/>
        </w:rPr>
        <w:t xml:space="preserve"> the </w:t>
      </w:r>
      <w:r>
        <w:rPr>
          <w:kern w:val="0"/>
        </w:rPr>
        <w:t>papers, I</w:t>
      </w:r>
      <w:r w:rsidR="0071223E">
        <w:rPr>
          <w:kern w:val="0"/>
        </w:rPr>
        <w:t>’</w:t>
      </w:r>
      <w:r>
        <w:rPr>
          <w:kern w:val="0"/>
        </w:rPr>
        <w:t>m</w:t>
      </w:r>
      <w:r w:rsidR="003A1917">
        <w:rPr>
          <w:kern w:val="0"/>
        </w:rPr>
        <w:t xml:space="preserve"> the </w:t>
      </w:r>
      <w:r>
        <w:rPr>
          <w:kern w:val="0"/>
        </w:rPr>
        <w:t>first author,</w:t>
      </w:r>
      <w:r w:rsidR="005853A9">
        <w:rPr>
          <w:kern w:val="0"/>
        </w:rPr>
        <w:t xml:space="preserve"> and </w:t>
      </w:r>
      <w:r w:rsidR="003A1917">
        <w:rPr>
          <w:kern w:val="0"/>
        </w:rPr>
        <w:t xml:space="preserve">the </w:t>
      </w:r>
      <w:r>
        <w:rPr>
          <w:kern w:val="0"/>
        </w:rPr>
        <w:t>Goal is to be</w:t>
      </w:r>
      <w:r w:rsidR="003A1917">
        <w:rPr>
          <w:kern w:val="0"/>
        </w:rPr>
        <w:t xml:space="preserve"> the </w:t>
      </w:r>
      <w:r>
        <w:rPr>
          <w:kern w:val="0"/>
        </w:rPr>
        <w:t>last one</w:t>
      </w:r>
      <w:r w:rsidR="00B5188C">
        <w:rPr>
          <w:kern w:val="0"/>
        </w:rPr>
        <w:t>”</w:t>
      </w:r>
      <w:r>
        <w:rPr>
          <w:kern w:val="0"/>
        </w:rPr>
        <w:t xml:space="preserve">. </w:t>
      </w:r>
      <w:r>
        <w:rPr>
          <w:i/>
          <w:iCs/>
          <w:kern w:val="0"/>
        </w:rPr>
        <w:t>Circulation</w:t>
      </w:r>
      <w:r>
        <w:rPr>
          <w:kern w:val="0"/>
        </w:rPr>
        <w:t xml:space="preserve">, </w:t>
      </w:r>
      <w:r>
        <w:rPr>
          <w:b/>
          <w:bCs/>
          <w:kern w:val="0"/>
        </w:rPr>
        <w:t>119</w:t>
      </w:r>
      <w:r>
        <w:rPr>
          <w:kern w:val="0"/>
        </w:rPr>
        <w:t xml:space="preserve"> (10), F55-F57</w:t>
      </w:r>
      <w:r w:rsidR="00BC65EF">
        <w:rPr>
          <w:rFonts w:hint="eastAsia"/>
          <w:kern w:val="0"/>
        </w:rPr>
        <w:t>.</w:t>
      </w:r>
    </w:p>
    <w:p w:rsidR="00A72A46" w:rsidRPr="00C73C58" w:rsidRDefault="00A72A46" w:rsidP="00A72A46">
      <w:pPr>
        <w:pStyle w:val="a3"/>
      </w:pPr>
      <w:r w:rsidRPr="00C73C58">
        <w:t xml:space="preserve">Full Text: </w:t>
      </w:r>
      <w:hyperlink r:id="rId286" w:history="1">
        <w:r w:rsidRPr="00D41263">
          <w:rPr>
            <w:rStyle w:val="a5"/>
          </w:rPr>
          <w:t>2009\Circulation119, F55.pdf</w:t>
        </w:r>
      </w:hyperlink>
    </w:p>
    <w:p w:rsidR="00A72A46" w:rsidRDefault="00A72A46" w:rsidP="00A72A46">
      <w:pPr>
        <w:pStyle w:val="a3"/>
        <w:rPr>
          <w:kern w:val="0"/>
        </w:rPr>
      </w:pPr>
      <w:r>
        <w:rPr>
          <w:kern w:val="0"/>
        </w:rPr>
        <w:t>Keywords: Atrial-Fibrillation, Gtpase</w:t>
      </w:r>
    </w:p>
    <w:p w:rsidR="00BC65EF" w:rsidRDefault="00BC65EF" w:rsidP="00BC65EF">
      <w:pPr>
        <w:pStyle w:val="a3"/>
        <w:rPr>
          <w:kern w:val="0"/>
        </w:rPr>
      </w:pPr>
      <w:r>
        <w:rPr>
          <w:rFonts w:hint="eastAsia"/>
          <w:kern w:val="0"/>
        </w:rPr>
        <w:lastRenderedPageBreak/>
        <w:t xml:space="preserve">? </w:t>
      </w:r>
      <w:r>
        <w:rPr>
          <w:kern w:val="0"/>
        </w:rPr>
        <w:t>Kenet, G., Lutkhoff, L.K., Albisetti, M., Bernard, T., Bonduel, M., Brandao, L., Chabrier, S., Chan, A., deVeber, G., Fiedler, B., Fullerton, H.J., Goldenberg, N.A., Grabowski, E., Gunther, G., Heller, C., Holzhauer, S., Iorio, A., Journeycake, J., Junker, R., Kirkham, F.J., Kurnik, K., Lynch, J.K., Male, C., Manco-Johnson, M., Mesters, R., Monagle, P., van Ommen, C.H., Raffini, L., Rostasy, K., Simioni, P., Strater, R.D., Young, G.</w:t>
      </w:r>
      <w:r w:rsidR="005853A9">
        <w:rPr>
          <w:kern w:val="0"/>
        </w:rPr>
        <w:t xml:space="preserve"> and </w:t>
      </w:r>
      <w:r>
        <w:rPr>
          <w:kern w:val="0"/>
        </w:rPr>
        <w:t>Nowak-Gottl, U. (2010), Impact</w:t>
      </w:r>
      <w:r w:rsidR="00427468">
        <w:rPr>
          <w:kern w:val="0"/>
        </w:rPr>
        <w:t xml:space="preserve"> of </w:t>
      </w:r>
      <w:r>
        <w:rPr>
          <w:kern w:val="0"/>
        </w:rPr>
        <w:t>thrombophilia on risk</w:t>
      </w:r>
      <w:r w:rsidR="00427468">
        <w:rPr>
          <w:kern w:val="0"/>
        </w:rPr>
        <w:t xml:space="preserve"> of </w:t>
      </w:r>
      <w:r>
        <w:rPr>
          <w:kern w:val="0"/>
        </w:rPr>
        <w:t>arterial ischemic stroke or cerebral sinovenous thrombosis in neonates</w:t>
      </w:r>
      <w:r w:rsidR="005853A9">
        <w:rPr>
          <w:kern w:val="0"/>
        </w:rPr>
        <w:t xml:space="preserve"> and </w:t>
      </w:r>
      <w:r>
        <w:rPr>
          <w:kern w:val="0"/>
        </w:rPr>
        <w:t>children a systematic review</w:t>
      </w:r>
      <w:r w:rsidR="005853A9">
        <w:rPr>
          <w:kern w:val="0"/>
        </w:rPr>
        <w:t xml:space="preserve"> and </w:t>
      </w:r>
      <w:r>
        <w:rPr>
          <w:kern w:val="0"/>
        </w:rPr>
        <w:t>meta-analysis</w:t>
      </w:r>
      <w:r w:rsidR="00427468">
        <w:rPr>
          <w:kern w:val="0"/>
        </w:rPr>
        <w:t xml:space="preserve"> of </w:t>
      </w:r>
      <w:r>
        <w:rPr>
          <w:kern w:val="0"/>
        </w:rPr>
        <w:t xml:space="preserve">observational studies. </w:t>
      </w:r>
      <w:r>
        <w:rPr>
          <w:i/>
          <w:iCs/>
          <w:kern w:val="0"/>
        </w:rPr>
        <w:t>Circulation</w:t>
      </w:r>
      <w:r>
        <w:rPr>
          <w:kern w:val="0"/>
        </w:rPr>
        <w:t xml:space="preserve">, </w:t>
      </w:r>
      <w:r>
        <w:rPr>
          <w:b/>
          <w:bCs/>
          <w:kern w:val="0"/>
        </w:rPr>
        <w:t>121</w:t>
      </w:r>
      <w:r>
        <w:rPr>
          <w:kern w:val="0"/>
        </w:rPr>
        <w:t xml:space="preserve"> (16), 1838-</w:t>
      </w:r>
      <w:r w:rsidR="00626FF9">
        <w:rPr>
          <w:rFonts w:hint="eastAsia"/>
          <w:kern w:val="0"/>
        </w:rPr>
        <w:t>U</w:t>
      </w:r>
      <w:r>
        <w:rPr>
          <w:kern w:val="0"/>
        </w:rPr>
        <w:t>92.</w:t>
      </w:r>
    </w:p>
    <w:p w:rsidR="00626FF9" w:rsidRPr="00C73C58" w:rsidRDefault="00626FF9" w:rsidP="00626FF9">
      <w:pPr>
        <w:pStyle w:val="a3"/>
      </w:pPr>
      <w:r w:rsidRPr="00C73C58">
        <w:t xml:space="preserve">Full Text: </w:t>
      </w:r>
      <w:hyperlink r:id="rId287" w:history="1">
        <w:r w:rsidRPr="00433D83">
          <w:rPr>
            <w:rStyle w:val="a5"/>
          </w:rPr>
          <w:t>2010\Circulation121, 1838.pdf</w:t>
        </w:r>
      </w:hyperlink>
    </w:p>
    <w:p w:rsidR="00BC65EF" w:rsidRDefault="00BC65EF" w:rsidP="00BC65EF">
      <w:pPr>
        <w:pStyle w:val="a3"/>
        <w:rPr>
          <w:kern w:val="0"/>
        </w:rPr>
      </w:pPr>
      <w:r>
        <w:rPr>
          <w:kern w:val="0"/>
        </w:rPr>
        <w:t>Abstract: Background-The aim</w:t>
      </w:r>
      <w:r w:rsidR="00427468">
        <w:rPr>
          <w:kern w:val="0"/>
        </w:rPr>
        <w:t xml:space="preserve"> of </w:t>
      </w:r>
      <w:r>
        <w:rPr>
          <w:kern w:val="0"/>
        </w:rPr>
        <w:t>this study was to estimate</w:t>
      </w:r>
      <w:r w:rsidR="003A1917">
        <w:rPr>
          <w:kern w:val="0"/>
        </w:rPr>
        <w:t xml:space="preserve"> the </w:t>
      </w:r>
      <w:r>
        <w:rPr>
          <w:kern w:val="0"/>
        </w:rPr>
        <w:t>impact</w:t>
      </w:r>
      <w:r w:rsidR="00427468">
        <w:rPr>
          <w:kern w:val="0"/>
        </w:rPr>
        <w:t xml:space="preserve"> of </w:t>
      </w:r>
      <w:r>
        <w:rPr>
          <w:kern w:val="0"/>
        </w:rPr>
        <w:t>thrombophilia on risk</w:t>
      </w:r>
      <w:r w:rsidR="00427468">
        <w:rPr>
          <w:kern w:val="0"/>
        </w:rPr>
        <w:t xml:space="preserve"> of </w:t>
      </w:r>
      <w:r>
        <w:rPr>
          <w:kern w:val="0"/>
        </w:rPr>
        <w:t>first childhood stroke through a meta-analysis</w:t>
      </w:r>
      <w:r w:rsidR="00427468">
        <w:rPr>
          <w:kern w:val="0"/>
        </w:rPr>
        <w:t xml:space="preserve"> of </w:t>
      </w:r>
      <w:r>
        <w:rPr>
          <w:kern w:val="0"/>
        </w:rPr>
        <w:t>published observational studies. Methods</w:t>
      </w:r>
      <w:r w:rsidR="005853A9">
        <w:rPr>
          <w:kern w:val="0"/>
        </w:rPr>
        <w:t xml:space="preserve"> and </w:t>
      </w:r>
      <w:r>
        <w:rPr>
          <w:kern w:val="0"/>
        </w:rPr>
        <w:t>Results-A systematic search</w:t>
      </w:r>
      <w:r w:rsidR="00427468">
        <w:rPr>
          <w:kern w:val="0"/>
        </w:rPr>
        <w:t xml:space="preserve"> of </w:t>
      </w:r>
      <w:r>
        <w:rPr>
          <w:kern w:val="0"/>
        </w:rPr>
        <w:t>electronic databases (</w:t>
      </w:r>
      <w:r w:rsidR="00D5664A">
        <w:rPr>
          <w:kern w:val="0"/>
        </w:rPr>
        <w:t>MEDLINE</w:t>
      </w:r>
      <w:r>
        <w:rPr>
          <w:kern w:val="0"/>
        </w:rPr>
        <w:t xml:space="preserve"> via PUBMED, EMBASE, OVID,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 for studies published from 1970 to 2009 was conducted. Data on year</w:t>
      </w:r>
      <w:r w:rsidR="00427468">
        <w:rPr>
          <w:kern w:val="0"/>
        </w:rPr>
        <w:t xml:space="preserve"> of </w:t>
      </w:r>
      <w:r>
        <w:rPr>
          <w:kern w:val="0"/>
        </w:rPr>
        <w:t>publication, study design, country</w:t>
      </w:r>
      <w:r w:rsidR="00427468">
        <w:rPr>
          <w:kern w:val="0"/>
        </w:rPr>
        <w:t xml:space="preserve"> of </w:t>
      </w:r>
      <w:r>
        <w:rPr>
          <w:kern w:val="0"/>
        </w:rPr>
        <w:t>origin, number</w:t>
      </w:r>
      <w:r w:rsidR="00427468">
        <w:rPr>
          <w:kern w:val="0"/>
        </w:rPr>
        <w:t xml:space="preserve"> of </w:t>
      </w:r>
      <w:r>
        <w:rPr>
          <w:kern w:val="0"/>
        </w:rPr>
        <w:t>patients/control subjects, ethnicity, stroke type (arterial ischemic stroke [AIS], cerebral venous sinus thrombosis [CSVT]) were abstracted. Publication bias indicator</w:t>
      </w:r>
      <w:r w:rsidR="005853A9">
        <w:rPr>
          <w:kern w:val="0"/>
        </w:rPr>
        <w:t xml:space="preserve"> and </w:t>
      </w:r>
      <w:r>
        <w:rPr>
          <w:kern w:val="0"/>
        </w:rPr>
        <w:t>heterogeneity across studies were evaluated,</w:t>
      </w:r>
      <w:r w:rsidR="005853A9">
        <w:rPr>
          <w:kern w:val="0"/>
        </w:rPr>
        <w:t xml:space="preserve"> and </w:t>
      </w:r>
      <w:r>
        <w:rPr>
          <w:kern w:val="0"/>
        </w:rPr>
        <w:t>summary odds ratios (ORs)</w:t>
      </w:r>
      <w:r w:rsidR="005853A9">
        <w:rPr>
          <w:kern w:val="0"/>
        </w:rPr>
        <w:t xml:space="preserve"> and </w:t>
      </w:r>
      <w:r>
        <w:rPr>
          <w:kern w:val="0"/>
        </w:rPr>
        <w:t>95% confidence intervals (CIs) were calculated with fixed-effects or random-effects models. Twenty-two</w:t>
      </w:r>
      <w:r w:rsidR="00427468">
        <w:rPr>
          <w:kern w:val="0"/>
        </w:rPr>
        <w:t xml:space="preserve"> of </w:t>
      </w:r>
      <w:r>
        <w:rPr>
          <w:kern w:val="0"/>
        </w:rPr>
        <w:t>185 references met inclusion criteria. Thus, 1764 patients (arterial ischemic stroke [AIS], 1526; cerebral sinus venous thrombosis [CSVT], 238)</w:t>
      </w:r>
      <w:r w:rsidR="005853A9">
        <w:rPr>
          <w:kern w:val="0"/>
        </w:rPr>
        <w:t xml:space="preserve"> and </w:t>
      </w:r>
      <w:r>
        <w:rPr>
          <w:kern w:val="0"/>
        </w:rPr>
        <w:t>2799 control subjects (neonate to 18 years</w:t>
      </w:r>
      <w:r w:rsidR="00427468">
        <w:rPr>
          <w:kern w:val="0"/>
        </w:rPr>
        <w:t xml:space="preserve"> of </w:t>
      </w:r>
      <w:r>
        <w:rPr>
          <w:kern w:val="0"/>
        </w:rPr>
        <w:t>age) were enrolled. No significant heterogeneity was discerned across studies,</w:t>
      </w:r>
      <w:r w:rsidR="005853A9">
        <w:rPr>
          <w:kern w:val="0"/>
        </w:rPr>
        <w:t xml:space="preserve"> and </w:t>
      </w:r>
      <w:r>
        <w:rPr>
          <w:kern w:val="0"/>
        </w:rPr>
        <w:t>no publication bias was detected. A statistically significant association with first stroke was demonstrated for each thrombophilia trait evaluated, with no difference found between AIS</w:t>
      </w:r>
      <w:r w:rsidR="005853A9">
        <w:rPr>
          <w:kern w:val="0"/>
        </w:rPr>
        <w:t xml:space="preserve"> and </w:t>
      </w:r>
      <w:r>
        <w:rPr>
          <w:kern w:val="0"/>
        </w:rPr>
        <w:t>CSVT. Summary ORs (fixed-effects model) were as follows: antithrombin deficiency, 7.06 (95% CI, 2.44 to 22.42); protein C deficiency, 8.76 (95% CI, 4.53 to 16.96); protein S deficiency, 3.20 (95% CI, 1.22 to 8.40), factor V G1691A, 3.26 (95% CI, 2.59 to 4.10); factor II G20210A, 2.43 (95% CI, 1.67 to 3.51); MTHFR C677T (AIS), 1.58 (95% CI, 1.20 to 2.08); antiphospholipid antibodies (AIS), 6.95 (95% CI, 3.67 to 13.14); elevated lipoprotein(a), 6.27 (95% CI, 4.52 to 8.69),</w:t>
      </w:r>
      <w:r w:rsidR="005853A9">
        <w:rPr>
          <w:kern w:val="0"/>
        </w:rPr>
        <w:t xml:space="preserve"> and </w:t>
      </w:r>
      <w:r>
        <w:rPr>
          <w:kern w:val="0"/>
        </w:rPr>
        <w:t>combined thrombophilias, 11.86 (95% CI, 5.93 to 23.73). In</w:t>
      </w:r>
      <w:r w:rsidR="003A1917">
        <w:rPr>
          <w:kern w:val="0"/>
        </w:rPr>
        <w:t xml:space="preserve"> the </w:t>
      </w:r>
      <w:r>
        <w:rPr>
          <w:kern w:val="0"/>
        </w:rPr>
        <w:t>6 exclusively perinatal AIS studies, summary ORs were as follows: factor V, 3.56 (95% CI, 2.29 to 5.53);</w:t>
      </w:r>
      <w:r w:rsidR="005853A9">
        <w:rPr>
          <w:kern w:val="0"/>
        </w:rPr>
        <w:t xml:space="preserve"> and </w:t>
      </w:r>
      <w:r>
        <w:rPr>
          <w:kern w:val="0"/>
        </w:rPr>
        <w:t>factor II, 2.02 (95% CI, 1.02 to 3.99). Conclusions-The present meta-analysis indicates that thrombophilias serve as risk factors for incident stroke. However,</w:t>
      </w:r>
      <w:r w:rsidR="003A1917">
        <w:rPr>
          <w:kern w:val="0"/>
        </w:rPr>
        <w:t xml:space="preserve"> the </w:t>
      </w:r>
      <w:r>
        <w:rPr>
          <w:kern w:val="0"/>
        </w:rPr>
        <w:t>impact</w:t>
      </w:r>
      <w:r w:rsidR="00427468">
        <w:rPr>
          <w:kern w:val="0"/>
        </w:rPr>
        <w:t xml:space="preserve"> of </w:t>
      </w:r>
      <w:r>
        <w:rPr>
          <w:kern w:val="0"/>
        </w:rPr>
        <w:t>thrombophilias on outcome</w:t>
      </w:r>
      <w:r w:rsidR="005853A9">
        <w:rPr>
          <w:kern w:val="0"/>
        </w:rPr>
        <w:t xml:space="preserve"> and </w:t>
      </w:r>
      <w:r>
        <w:rPr>
          <w:kern w:val="0"/>
        </w:rPr>
        <w:t>recurrence risk needs to be further investigated. (Circulation. 2010; 121: 1838-1847).</w:t>
      </w:r>
    </w:p>
    <w:p w:rsidR="00BC65EF" w:rsidRDefault="00BC65EF" w:rsidP="00BC65EF">
      <w:pPr>
        <w:pStyle w:val="a3"/>
        <w:rPr>
          <w:kern w:val="0"/>
        </w:rPr>
      </w:pPr>
      <w:r>
        <w:rPr>
          <w:kern w:val="0"/>
        </w:rPr>
        <w:t xml:space="preserve">Keywords: Antiphospholipid Antibodies, Bias, Cerebrovascular Disorders, Childhood </w:t>
      </w:r>
      <w:r>
        <w:rPr>
          <w:kern w:val="0"/>
        </w:rPr>
        <w:lastRenderedPageBreak/>
        <w:t xml:space="preserve">Stroke, Cochrane, Confidence Intervals, Control, Databases, EMBASE, Ethnicity, Factor-V-Leiden, Gene G20210a Mutation, Homocysteine Metabolism, Impact, Meta-Analysis, Methods, Methylenetetrahydrofolate Reductase, Model, Mthfr, Observational Studies, Outcome, Pediatric Stroke, Pediatrics, Perinatal, Protein-C, Prothrombin 20210 G, Publication, Publication Bias, PUBMED, Recurrence, Review, Risk, Risk Factors, Science, Stroke, Systematic, Systematic Review, Thrombophilia, Thrombosis, Venous Sinus Thrombosis, Venous Thrombosis, </w:t>
      </w:r>
      <w:r w:rsidR="00D5664A">
        <w:rPr>
          <w:kern w:val="0"/>
        </w:rPr>
        <w:t>Web</w:t>
      </w:r>
      <w:r w:rsidR="00427468">
        <w:rPr>
          <w:kern w:val="0"/>
        </w:rPr>
        <w:t xml:space="preserve"> of </w:t>
      </w:r>
      <w:r w:rsidR="00D5664A">
        <w:rPr>
          <w:kern w:val="0"/>
        </w:rPr>
        <w:t>Science</w:t>
      </w:r>
    </w:p>
    <w:p w:rsidR="00B140A6" w:rsidRDefault="00B140A6" w:rsidP="003010E0">
      <w:pPr>
        <w:pStyle w:val="a3"/>
        <w:rPr>
          <w:kern w:val="0"/>
        </w:rPr>
      </w:pPr>
      <w:r>
        <w:rPr>
          <w:rFonts w:hint="eastAsia"/>
          <w:kern w:val="0"/>
        </w:rPr>
        <w:t>Notes: CCountry</w:t>
      </w:r>
    </w:p>
    <w:p w:rsidR="003010E0" w:rsidRDefault="003010E0" w:rsidP="003010E0">
      <w:pPr>
        <w:pStyle w:val="a3"/>
        <w:rPr>
          <w:kern w:val="0"/>
        </w:rPr>
      </w:pPr>
      <w:r>
        <w:rPr>
          <w:rFonts w:hint="eastAsia"/>
          <w:kern w:val="0"/>
        </w:rPr>
        <w:t xml:space="preserve">? </w:t>
      </w:r>
      <w:r>
        <w:rPr>
          <w:kern w:val="0"/>
        </w:rPr>
        <w:t>Huffman, M.D., Bloomfield, G.S., Colantonio, L., Ajay, V.S., Prabhakaran, P., Lewison, G.</w:t>
      </w:r>
      <w:r w:rsidR="005853A9">
        <w:rPr>
          <w:kern w:val="0"/>
        </w:rPr>
        <w:t xml:space="preserve"> and </w:t>
      </w:r>
      <w:r>
        <w:rPr>
          <w:kern w:val="0"/>
        </w:rPr>
        <w:t>Prabhakaran, D. (2012), Cardiovascular research output</w:t>
      </w:r>
      <w:r w:rsidR="005853A9">
        <w:rPr>
          <w:kern w:val="0"/>
        </w:rPr>
        <w:t xml:space="preserve"> and </w:t>
      </w:r>
      <w:r>
        <w:rPr>
          <w:kern w:val="0"/>
        </w:rPr>
        <w:t>actual citation impact</w:t>
      </w:r>
      <w:r w:rsidR="00427468">
        <w:rPr>
          <w:kern w:val="0"/>
        </w:rPr>
        <w:t xml:space="preserve"> of </w:t>
      </w:r>
      <w:r>
        <w:rPr>
          <w:kern w:val="0"/>
        </w:rPr>
        <w:t>Argentina, India,</w:t>
      </w:r>
      <w:r w:rsidR="005853A9">
        <w:rPr>
          <w:kern w:val="0"/>
        </w:rPr>
        <w:t xml:space="preserve"> and </w:t>
      </w:r>
      <w:r>
        <w:rPr>
          <w:kern w:val="0"/>
        </w:rPr>
        <w:t xml:space="preserve">South Africa: A bibliometric approach. </w:t>
      </w:r>
      <w:r>
        <w:rPr>
          <w:i/>
          <w:iCs/>
          <w:kern w:val="0"/>
        </w:rPr>
        <w:t>Circulation</w:t>
      </w:r>
      <w:r>
        <w:rPr>
          <w:kern w:val="0"/>
        </w:rPr>
        <w:t xml:space="preserve">, </w:t>
      </w:r>
      <w:r>
        <w:rPr>
          <w:b/>
          <w:bCs/>
          <w:kern w:val="0"/>
        </w:rPr>
        <w:t>125</w:t>
      </w:r>
      <w:r>
        <w:rPr>
          <w:kern w:val="0"/>
        </w:rPr>
        <w:t xml:space="preserve"> (19), E890</w:t>
      </w:r>
      <w:r>
        <w:rPr>
          <w:rFonts w:hint="eastAsia"/>
          <w:kern w:val="0"/>
        </w:rPr>
        <w:t>.</w:t>
      </w:r>
    </w:p>
    <w:p w:rsidR="003010E0" w:rsidRPr="00C73C58" w:rsidRDefault="003010E0" w:rsidP="003010E0">
      <w:pPr>
        <w:pStyle w:val="a3"/>
      </w:pPr>
      <w:r w:rsidRPr="00C73C58">
        <w:t xml:space="preserve">Full Text: </w:t>
      </w:r>
      <w:hyperlink r:id="rId288" w:history="1">
        <w:r w:rsidRPr="00E04670">
          <w:rPr>
            <w:rStyle w:val="a5"/>
          </w:rPr>
          <w:t>2012\Circulation125, E890.pdf</w:t>
        </w:r>
      </w:hyperlink>
    </w:p>
    <w:p w:rsidR="003010E0" w:rsidRDefault="003010E0" w:rsidP="003010E0">
      <w:pPr>
        <w:pStyle w:val="a3"/>
        <w:rPr>
          <w:kern w:val="0"/>
        </w:rPr>
      </w:pPr>
      <w:r>
        <w:rPr>
          <w:kern w:val="0"/>
        </w:rPr>
        <w:t>Keywords: Africa, Approach, Argentina, Bibliometric, Citation, Impact, India, Research, South Africa</w:t>
      </w:r>
    </w:p>
    <w:p w:rsidR="00111E21" w:rsidRDefault="00111E21" w:rsidP="00111E21">
      <w:pPr>
        <w:pStyle w:val="a3"/>
        <w:rPr>
          <w:kern w:val="0"/>
          <w:szCs w:val="24"/>
        </w:rPr>
      </w:pPr>
      <w:r>
        <w:rPr>
          <w:rFonts w:hint="eastAsia"/>
          <w:kern w:val="0"/>
          <w:szCs w:val="24"/>
        </w:rPr>
        <w:t xml:space="preserve">? </w:t>
      </w:r>
      <w:r>
        <w:rPr>
          <w:kern w:val="0"/>
          <w:szCs w:val="24"/>
        </w:rPr>
        <w:t>Tan, C.E.</w:t>
      </w:r>
      <w:r w:rsidR="005853A9">
        <w:rPr>
          <w:kern w:val="0"/>
          <w:szCs w:val="24"/>
        </w:rPr>
        <w:t xml:space="preserve"> and </w:t>
      </w:r>
      <w:r>
        <w:rPr>
          <w:kern w:val="0"/>
          <w:szCs w:val="24"/>
        </w:rPr>
        <w:t>Glantz, S.A. (2012), Association between smoke-free legislation</w:t>
      </w:r>
      <w:r w:rsidR="005853A9">
        <w:rPr>
          <w:kern w:val="0"/>
          <w:szCs w:val="24"/>
        </w:rPr>
        <w:t xml:space="preserve"> and </w:t>
      </w:r>
      <w:r>
        <w:rPr>
          <w:kern w:val="0"/>
          <w:szCs w:val="24"/>
        </w:rPr>
        <w:t>hospitalizations for cardiac, cerebrovascular,</w:t>
      </w:r>
      <w:r w:rsidR="005853A9">
        <w:rPr>
          <w:kern w:val="0"/>
          <w:szCs w:val="24"/>
        </w:rPr>
        <w:t xml:space="preserve"> and </w:t>
      </w:r>
      <w:r>
        <w:rPr>
          <w:kern w:val="0"/>
          <w:szCs w:val="24"/>
        </w:rPr>
        <w:t>respiratory diseases</w:t>
      </w:r>
      <w:r>
        <w:rPr>
          <w:rFonts w:hint="eastAsia"/>
          <w:kern w:val="0"/>
          <w:szCs w:val="24"/>
        </w:rPr>
        <w:t>:</w:t>
      </w:r>
      <w:r>
        <w:rPr>
          <w:kern w:val="0"/>
          <w:szCs w:val="24"/>
        </w:rPr>
        <w:t xml:space="preserve"> A meta-analysis. </w:t>
      </w:r>
      <w:r>
        <w:rPr>
          <w:i/>
          <w:iCs/>
          <w:kern w:val="0"/>
          <w:szCs w:val="24"/>
        </w:rPr>
        <w:t>Circulation</w:t>
      </w:r>
      <w:r>
        <w:rPr>
          <w:kern w:val="0"/>
          <w:szCs w:val="24"/>
        </w:rPr>
        <w:t xml:space="preserve">, </w:t>
      </w:r>
      <w:r>
        <w:rPr>
          <w:b/>
          <w:bCs/>
          <w:kern w:val="0"/>
          <w:szCs w:val="24"/>
        </w:rPr>
        <w:t>126</w:t>
      </w:r>
      <w:r>
        <w:rPr>
          <w:kern w:val="0"/>
          <w:szCs w:val="24"/>
        </w:rPr>
        <w:t xml:space="preserve"> (18), 2177-2183.</w:t>
      </w:r>
    </w:p>
    <w:p w:rsidR="00111E21" w:rsidRPr="00C73C58" w:rsidRDefault="00111E21" w:rsidP="00111E21">
      <w:pPr>
        <w:pStyle w:val="a3"/>
      </w:pPr>
      <w:r w:rsidRPr="00C73C58">
        <w:t xml:space="preserve">Full Text: </w:t>
      </w:r>
      <w:hyperlink r:id="rId289" w:history="1">
        <w:r w:rsidRPr="0001608F">
          <w:rPr>
            <w:rStyle w:val="a5"/>
          </w:rPr>
          <w:t>2012\Circulation126, 2177.pdf</w:t>
        </w:r>
      </w:hyperlink>
    </w:p>
    <w:p w:rsidR="00111E21" w:rsidRDefault="00111E21" w:rsidP="00111E21">
      <w:pPr>
        <w:pStyle w:val="a3"/>
        <w:rPr>
          <w:kern w:val="0"/>
          <w:szCs w:val="24"/>
        </w:rPr>
      </w:pPr>
      <w:r>
        <w:rPr>
          <w:kern w:val="0"/>
          <w:szCs w:val="24"/>
        </w:rPr>
        <w:t>Abstract: Background-Secondhand smoke causes cardiovascular</w:t>
      </w:r>
      <w:r w:rsidR="005853A9">
        <w:rPr>
          <w:kern w:val="0"/>
          <w:szCs w:val="24"/>
        </w:rPr>
        <w:t xml:space="preserve"> and </w:t>
      </w:r>
      <w:r>
        <w:rPr>
          <w:kern w:val="0"/>
          <w:szCs w:val="24"/>
        </w:rPr>
        <w:t>respiratory disease. Smoke-free legislation is associated with a lower risk</w:t>
      </w:r>
      <w:r w:rsidR="00427468">
        <w:rPr>
          <w:kern w:val="0"/>
          <w:szCs w:val="24"/>
        </w:rPr>
        <w:t xml:space="preserve"> of </w:t>
      </w:r>
      <w:r>
        <w:rPr>
          <w:kern w:val="0"/>
          <w:szCs w:val="24"/>
        </w:rPr>
        <w:t>hospitalization</w:t>
      </w:r>
      <w:r w:rsidR="005853A9">
        <w:rPr>
          <w:kern w:val="0"/>
          <w:szCs w:val="24"/>
        </w:rPr>
        <w:t xml:space="preserve"> and </w:t>
      </w:r>
      <w:r>
        <w:rPr>
          <w:kern w:val="0"/>
          <w:szCs w:val="24"/>
        </w:rPr>
        <w:t>death from these diseases. Methods</w:t>
      </w:r>
      <w:r w:rsidR="005853A9">
        <w:rPr>
          <w:kern w:val="0"/>
          <w:szCs w:val="24"/>
        </w:rPr>
        <w:t xml:space="preserve"> and </w:t>
      </w:r>
      <w:r>
        <w:rPr>
          <w:kern w:val="0"/>
          <w:szCs w:val="24"/>
        </w:rPr>
        <w:t>Results-Random-effects meta-analysis was conducted by law comprehensiveness to determine</w:t>
      </w:r>
      <w:r w:rsidR="003A1917">
        <w:rPr>
          <w:kern w:val="0"/>
          <w:szCs w:val="24"/>
        </w:rPr>
        <w:t xml:space="preserve"> the </w:t>
      </w:r>
      <w:r>
        <w:rPr>
          <w:kern w:val="0"/>
          <w:szCs w:val="24"/>
        </w:rPr>
        <w:t>relationship between smoke-free legislation</w:t>
      </w:r>
      <w:r w:rsidR="005853A9">
        <w:rPr>
          <w:kern w:val="0"/>
          <w:szCs w:val="24"/>
        </w:rPr>
        <w:t xml:space="preserve"> and </w:t>
      </w:r>
      <w:r>
        <w:rPr>
          <w:kern w:val="0"/>
          <w:szCs w:val="24"/>
        </w:rPr>
        <w:t>hospital admission or death from cardiac, cerebrovascular,</w:t>
      </w:r>
      <w:r w:rsidR="005853A9">
        <w:rPr>
          <w:kern w:val="0"/>
          <w:szCs w:val="24"/>
        </w:rPr>
        <w:t xml:space="preserve"> and </w:t>
      </w:r>
      <w:r>
        <w:rPr>
          <w:kern w:val="0"/>
          <w:szCs w:val="24"/>
        </w:rPr>
        <w:t>respiratory diseases. Studies were identified by using a systematic search for studies published before November 30, 2011 with</w:t>
      </w:r>
      <w:r w:rsidR="003A1917">
        <w:rPr>
          <w:kern w:val="0"/>
          <w:szCs w:val="24"/>
        </w:rPr>
        <w:t xml:space="preserve"> the </w:t>
      </w:r>
      <w:r>
        <w:rPr>
          <w:kern w:val="0"/>
          <w:szCs w:val="24"/>
        </w:rPr>
        <w:t>use</w:t>
      </w:r>
      <w:r w:rsidR="00427468">
        <w:rPr>
          <w:kern w:val="0"/>
          <w:szCs w:val="24"/>
        </w:rPr>
        <w:t xml:space="preserve"> of </w:t>
      </w:r>
      <w:r w:rsidR="003A1917">
        <w:rPr>
          <w:kern w:val="0"/>
          <w:szCs w:val="24"/>
        </w:rPr>
        <w:t xml:space="preserve">the </w:t>
      </w:r>
      <w:r>
        <w:rPr>
          <w:kern w:val="0"/>
          <w:szCs w:val="24"/>
        </w:rPr>
        <w:t>Science Citation Index, Google Scholar, PubMed,</w:t>
      </w:r>
      <w:r w:rsidR="005853A9">
        <w:rPr>
          <w:kern w:val="0"/>
          <w:szCs w:val="24"/>
        </w:rPr>
        <w:t xml:space="preserve"> and </w:t>
      </w:r>
      <w:r>
        <w:rPr>
          <w:kern w:val="0"/>
          <w:szCs w:val="24"/>
        </w:rPr>
        <w:t>Embase</w:t>
      </w:r>
      <w:r w:rsidR="005853A9">
        <w:rPr>
          <w:kern w:val="0"/>
          <w:szCs w:val="24"/>
        </w:rPr>
        <w:t xml:space="preserve"> and </w:t>
      </w:r>
      <w:r>
        <w:rPr>
          <w:kern w:val="0"/>
          <w:szCs w:val="24"/>
        </w:rPr>
        <w:t>references in identified articles. Change in hospital admissions (or deaths) in</w:t>
      </w:r>
      <w:r w:rsidR="003A1917">
        <w:rPr>
          <w:kern w:val="0"/>
          <w:szCs w:val="24"/>
        </w:rPr>
        <w:t xml:space="preserve"> the </w:t>
      </w:r>
      <w:r>
        <w:rPr>
          <w:kern w:val="0"/>
          <w:szCs w:val="24"/>
        </w:rPr>
        <w:t>presence</w:t>
      </w:r>
      <w:r w:rsidR="00427468">
        <w:rPr>
          <w:kern w:val="0"/>
          <w:szCs w:val="24"/>
        </w:rPr>
        <w:t xml:space="preserve"> of </w:t>
      </w:r>
      <w:r>
        <w:rPr>
          <w:kern w:val="0"/>
          <w:szCs w:val="24"/>
        </w:rPr>
        <w:t>a smoke-free law, duration</w:t>
      </w:r>
      <w:r w:rsidR="00427468">
        <w:rPr>
          <w:kern w:val="0"/>
          <w:szCs w:val="24"/>
        </w:rPr>
        <w:t xml:space="preserve"> of </w:t>
      </w:r>
      <w:r>
        <w:rPr>
          <w:kern w:val="0"/>
          <w:szCs w:val="24"/>
        </w:rPr>
        <w:t>follow-up,</w:t>
      </w:r>
      <w:r w:rsidR="005853A9">
        <w:rPr>
          <w:kern w:val="0"/>
          <w:szCs w:val="24"/>
        </w:rPr>
        <w:t xml:space="preserve"> and </w:t>
      </w:r>
      <w:r>
        <w:rPr>
          <w:kern w:val="0"/>
          <w:szCs w:val="24"/>
        </w:rPr>
        <w:t>law comprehensiveness (workplaces only; workplaces</w:t>
      </w:r>
      <w:r w:rsidR="005853A9">
        <w:rPr>
          <w:kern w:val="0"/>
          <w:szCs w:val="24"/>
        </w:rPr>
        <w:t xml:space="preserve"> and </w:t>
      </w:r>
      <w:r>
        <w:rPr>
          <w:kern w:val="0"/>
          <w:szCs w:val="24"/>
        </w:rPr>
        <w:t>restaurants; or workplaces, restaurants,</w:t>
      </w:r>
      <w:r w:rsidR="005853A9">
        <w:rPr>
          <w:kern w:val="0"/>
          <w:szCs w:val="24"/>
        </w:rPr>
        <w:t xml:space="preserve"> and </w:t>
      </w:r>
      <w:r>
        <w:rPr>
          <w:kern w:val="0"/>
          <w:szCs w:val="24"/>
        </w:rPr>
        <w:t>bars) were recorded. Forty-five studies</w:t>
      </w:r>
      <w:r w:rsidR="00427468">
        <w:rPr>
          <w:kern w:val="0"/>
          <w:szCs w:val="24"/>
        </w:rPr>
        <w:t xml:space="preserve"> of </w:t>
      </w:r>
      <w:r>
        <w:rPr>
          <w:kern w:val="0"/>
          <w:szCs w:val="24"/>
        </w:rPr>
        <w:t>33 smoke-free laws with median follow-up</w:t>
      </w:r>
      <w:r w:rsidR="00427468">
        <w:rPr>
          <w:kern w:val="0"/>
          <w:szCs w:val="24"/>
        </w:rPr>
        <w:t xml:space="preserve"> of </w:t>
      </w:r>
      <w:r>
        <w:rPr>
          <w:kern w:val="0"/>
          <w:szCs w:val="24"/>
        </w:rPr>
        <w:t>24 months (range, 2-57 months) were included. Comprehensive smoke-free legislation was associated with significantly lower rates</w:t>
      </w:r>
      <w:r w:rsidR="00427468">
        <w:rPr>
          <w:kern w:val="0"/>
          <w:szCs w:val="24"/>
        </w:rPr>
        <w:t xml:space="preserve"> of </w:t>
      </w:r>
      <w:r>
        <w:rPr>
          <w:kern w:val="0"/>
          <w:szCs w:val="24"/>
        </w:rPr>
        <w:t>hospital admissions (or deaths) for all 4 diagnostic groups: coronary events (relative risk, 0.848; 95% confidence interval 0.816-0.881), other heart disease (relative risk, 0.610; 95% confidence interval, 0.440-0.847), cerebrovascular accidents (relative risk, 0.840; 95% confidence interval, 0.753-0.936),</w:t>
      </w:r>
      <w:r w:rsidR="005853A9">
        <w:rPr>
          <w:kern w:val="0"/>
          <w:szCs w:val="24"/>
        </w:rPr>
        <w:t xml:space="preserve"> and </w:t>
      </w:r>
      <w:r>
        <w:rPr>
          <w:kern w:val="0"/>
          <w:szCs w:val="24"/>
        </w:rPr>
        <w:t>respiratory disease (relative risk, 0.760; 95% confidence interval, 0.682-0.846)</w:t>
      </w:r>
      <w:r w:rsidR="00A37C1D">
        <w:rPr>
          <w:kern w:val="0"/>
          <w:szCs w:val="24"/>
        </w:rPr>
        <w:t>. The</w:t>
      </w:r>
      <w:r w:rsidR="003A1917">
        <w:rPr>
          <w:kern w:val="0"/>
          <w:szCs w:val="24"/>
        </w:rPr>
        <w:t xml:space="preserve"> </w:t>
      </w:r>
      <w:r>
        <w:rPr>
          <w:kern w:val="0"/>
          <w:szCs w:val="24"/>
        </w:rPr>
        <w:t xml:space="preserve">difference in risk following comprehensive smoke-free laws does not change with longer follow-up. More comprehensive laws were associated with larger changes in </w:t>
      </w:r>
      <w:r>
        <w:rPr>
          <w:kern w:val="0"/>
          <w:szCs w:val="24"/>
        </w:rPr>
        <w:lastRenderedPageBreak/>
        <w:t>risk. Conclusions-Smoke-free legislation was associated with a lower risk</w:t>
      </w:r>
      <w:r w:rsidR="00427468">
        <w:rPr>
          <w:kern w:val="0"/>
          <w:szCs w:val="24"/>
        </w:rPr>
        <w:t xml:space="preserve"> of </w:t>
      </w:r>
      <w:r>
        <w:rPr>
          <w:kern w:val="0"/>
          <w:szCs w:val="24"/>
        </w:rPr>
        <w:t>smoking-related cardiac, cerebrovascular,</w:t>
      </w:r>
      <w:r w:rsidR="005853A9">
        <w:rPr>
          <w:kern w:val="0"/>
          <w:szCs w:val="24"/>
        </w:rPr>
        <w:t xml:space="preserve"> and </w:t>
      </w:r>
      <w:r>
        <w:rPr>
          <w:kern w:val="0"/>
          <w:szCs w:val="24"/>
        </w:rPr>
        <w:t>respiratory diseases, with more comprehensive laws associated with greater changes in risk. (Circulation. 2012;126:2177-2183.).</w:t>
      </w:r>
    </w:p>
    <w:p w:rsidR="00111E21" w:rsidRDefault="00111E21" w:rsidP="00111E21">
      <w:pPr>
        <w:pStyle w:val="a3"/>
        <w:rPr>
          <w:kern w:val="0"/>
          <w:szCs w:val="24"/>
        </w:rPr>
      </w:pPr>
      <w:r>
        <w:rPr>
          <w:kern w:val="0"/>
          <w:szCs w:val="24"/>
        </w:rPr>
        <w:t>Keywords: Accidents, Acute Coronary Syndrome, Acute Myocardial-Infarction, Admissions, Asthma, Ban, Cardiovascular, Changes, Citation, Confidence, Death, Disease, Diseases, Duration, Events, Follow-Up, Google, Google Scholar, Health Care Policy, Heart, Hospital, Hospitalization, Impact, Implementation, Interval, Law, Laws, Legislation, Lung, Meta-Analysis, Metaanalysis, Myocardial Infarction, Public Places, Pubmed, Rates, Reduced Incidence, References, Relative Risk, Respiratory Disease, Risk, Science, Science Citation Index, Secondhand Smoke, Stroke, Tobacco, Tobacco Smoke Pollution</w:t>
      </w:r>
    </w:p>
    <w:p w:rsidR="00BE5EF1" w:rsidRDefault="00BE5EF1" w:rsidP="00BE5EF1">
      <w:pPr>
        <w:pStyle w:val="a3"/>
        <w:rPr>
          <w:kern w:val="0"/>
          <w:szCs w:val="24"/>
        </w:rPr>
      </w:pPr>
      <w:r>
        <w:rPr>
          <w:kern w:val="0"/>
          <w:szCs w:val="24"/>
        </w:rPr>
        <w:t xml:space="preserve">? </w:t>
      </w:r>
      <w:r>
        <w:t>Ridker, P.M.</w:t>
      </w:r>
      <w:r w:rsidR="005853A9">
        <w:t xml:space="preserve"> and </w:t>
      </w:r>
      <w:r>
        <w:t>Rifai, N.</w:t>
      </w:r>
      <w:r>
        <w:rPr>
          <w:kern w:val="0"/>
          <w:szCs w:val="24"/>
        </w:rPr>
        <w:t xml:space="preserve"> (2013), </w:t>
      </w:r>
      <w:r>
        <w:t>Expanding options for scientific publication: Is more always better?</w:t>
      </w:r>
      <w:r>
        <w:rPr>
          <w:kern w:val="0"/>
          <w:szCs w:val="24"/>
        </w:rPr>
        <w:t xml:space="preserve"> </w:t>
      </w:r>
      <w:r>
        <w:rPr>
          <w:i/>
          <w:iCs/>
          <w:kern w:val="0"/>
          <w:szCs w:val="24"/>
        </w:rPr>
        <w:t>Circulation</w:t>
      </w:r>
      <w:r>
        <w:rPr>
          <w:kern w:val="0"/>
          <w:szCs w:val="24"/>
        </w:rPr>
        <w:t xml:space="preserve">, </w:t>
      </w:r>
      <w:r>
        <w:rPr>
          <w:b/>
          <w:bCs/>
          <w:kern w:val="0"/>
          <w:szCs w:val="24"/>
        </w:rPr>
        <w:t>127</w:t>
      </w:r>
      <w:r>
        <w:rPr>
          <w:kern w:val="0"/>
          <w:szCs w:val="24"/>
        </w:rPr>
        <w:t xml:space="preserve"> (??), </w:t>
      </w:r>
      <w:r>
        <w:t>155-156</w:t>
      </w:r>
      <w:r>
        <w:rPr>
          <w:kern w:val="0"/>
          <w:szCs w:val="24"/>
        </w:rPr>
        <w:t>.</w:t>
      </w:r>
    </w:p>
    <w:p w:rsidR="00BE5EF1" w:rsidRDefault="00BE5EF1" w:rsidP="00BE5EF1">
      <w:pPr>
        <w:pStyle w:val="a3"/>
        <w:rPr>
          <w:kern w:val="2"/>
        </w:rPr>
      </w:pPr>
      <w:r>
        <w:t xml:space="preserve">Full Text: </w:t>
      </w:r>
      <w:hyperlink r:id="rId290" w:history="1">
        <w:r>
          <w:rPr>
            <w:rStyle w:val="a5"/>
          </w:rPr>
          <w:t>2013\Circulation127, 155.pdf</w:t>
        </w:r>
      </w:hyperlink>
    </w:p>
    <w:p w:rsidR="00280D74" w:rsidRDefault="00280D74" w:rsidP="00280D74">
      <w:pPr>
        <w:pStyle w:val="a3"/>
        <w:rPr>
          <w:kern w:val="0"/>
        </w:rPr>
      </w:pPr>
      <w:r>
        <w:rPr>
          <w:rFonts w:hint="eastAsia"/>
          <w:kern w:val="0"/>
        </w:rPr>
        <w:t xml:space="preserve">? </w:t>
      </w:r>
      <w:r>
        <w:rPr>
          <w:kern w:val="0"/>
        </w:rPr>
        <w:t xml:space="preserve">Huffman, M.D., Baldridge, A., Bloomfield, G.S., Colantonio, L.D., Prabhakaran, P., Ajay, V.S., Suh, S., Lewison, G. and Prabhakaran, D. (2013), Global cardiovascular research output, citations, and collaborations: An ecologic, time-trend, bibliometric analysis (1999-2008). </w:t>
      </w:r>
      <w:r>
        <w:rPr>
          <w:i/>
          <w:iCs/>
          <w:kern w:val="0"/>
        </w:rPr>
        <w:t>Circulation</w:t>
      </w:r>
      <w:r>
        <w:rPr>
          <w:kern w:val="0"/>
        </w:rPr>
        <w:t xml:space="preserve">, </w:t>
      </w:r>
      <w:r>
        <w:rPr>
          <w:b/>
          <w:bCs/>
          <w:kern w:val="0"/>
        </w:rPr>
        <w:t>128</w:t>
      </w:r>
      <w:r>
        <w:rPr>
          <w:kern w:val="0"/>
        </w:rPr>
        <w:t xml:space="preserve"> (22</w:t>
      </w:r>
      <w:r>
        <w:rPr>
          <w:rFonts w:hint="eastAsia"/>
          <w:kern w:val="0"/>
        </w:rPr>
        <w:t xml:space="preserve">S), </w:t>
      </w:r>
      <w:r>
        <w:rPr>
          <w:kern w:val="0"/>
        </w:rPr>
        <w:t>Meeting</w:t>
      </w:r>
      <w:r w:rsidR="001E1D98">
        <w:rPr>
          <w:kern w:val="0"/>
        </w:rPr>
        <w:t>Abstract:</w:t>
      </w:r>
      <w:r>
        <w:rPr>
          <w:kern w:val="0"/>
        </w:rPr>
        <w:t xml:space="preserve"> 16150</w:t>
      </w:r>
      <w:r>
        <w:rPr>
          <w:rFonts w:hint="eastAsia"/>
          <w:kern w:val="0"/>
        </w:rPr>
        <w:t>.</w:t>
      </w:r>
    </w:p>
    <w:p w:rsidR="00280D74" w:rsidRDefault="00280D74" w:rsidP="00280D74">
      <w:pPr>
        <w:pStyle w:val="a3"/>
        <w:rPr>
          <w:kern w:val="2"/>
        </w:rPr>
      </w:pPr>
      <w:r>
        <w:t xml:space="preserve">Full Text: </w:t>
      </w:r>
      <w:r w:rsidRPr="0028109F">
        <w:t>2013\Circulation12</w:t>
      </w:r>
      <w:r>
        <w:rPr>
          <w:rFonts w:hint="eastAsia"/>
        </w:rPr>
        <w:t>8</w:t>
      </w:r>
      <w:r w:rsidRPr="0028109F">
        <w:t xml:space="preserve">, </w:t>
      </w:r>
      <w:r>
        <w:rPr>
          <w:kern w:val="0"/>
        </w:rPr>
        <w:t>16150</w:t>
      </w:r>
      <w:r w:rsidRPr="0028109F">
        <w:t>.pdf</w:t>
      </w:r>
    </w:p>
    <w:p w:rsidR="00280D74" w:rsidRDefault="00280D74" w:rsidP="00280D74">
      <w:pPr>
        <w:pStyle w:val="a3"/>
        <w:rPr>
          <w:kern w:val="0"/>
        </w:rPr>
      </w:pPr>
      <w:r>
        <w:rPr>
          <w:kern w:val="0"/>
        </w:rPr>
        <w:t>Keywords: Analysis, Bibliometric, Bibliometric Analysis, Citations, Collaborations, Epidemiology, Equity, Health Policy, Nov, Reearch, Research</w:t>
      </w:r>
    </w:p>
    <w:p w:rsidR="009D28C9" w:rsidRPr="001A3D2B" w:rsidRDefault="009D28C9" w:rsidP="009D28C9">
      <w:pPr>
        <w:pStyle w:val="1"/>
      </w:pPr>
      <w:r w:rsidRPr="001A3D2B">
        <w:br w:type="page"/>
      </w:r>
      <w:bookmarkStart w:id="234" w:name="_Toc420814997"/>
      <w:r w:rsidRPr="001A3D2B">
        <w:lastRenderedPageBreak/>
        <w:t xml:space="preserve">Title: </w:t>
      </w:r>
      <w:r w:rsidRPr="00EB5589">
        <w:rPr>
          <w:iCs w:val="0"/>
        </w:rPr>
        <w:t>Circulation-Cardiovascular Imaging</w:t>
      </w:r>
      <w:bookmarkEnd w:id="234"/>
    </w:p>
    <w:p w:rsidR="009D28C9" w:rsidRPr="001A3D2B" w:rsidRDefault="009D28C9" w:rsidP="009D28C9">
      <w:pPr>
        <w:pStyle w:val="12"/>
      </w:pPr>
      <w:r w:rsidRPr="001A3D2B">
        <w:t xml:space="preserve">Full Journal Title: </w:t>
      </w:r>
      <w:r w:rsidRPr="00EB5589">
        <w:rPr>
          <w:iCs/>
          <w:kern w:val="0"/>
        </w:rPr>
        <w:t>Circulation-Cardiovascular Imaging</w:t>
      </w:r>
    </w:p>
    <w:p w:rsidR="009D28C9" w:rsidRPr="001A3D2B" w:rsidRDefault="009D28C9" w:rsidP="009D28C9">
      <w:pPr>
        <w:pStyle w:val="12"/>
      </w:pPr>
      <w:r w:rsidRPr="001A3D2B">
        <w:t xml:space="preserve">ISO Abbreviated Title: </w:t>
      </w:r>
    </w:p>
    <w:p w:rsidR="009D28C9" w:rsidRPr="001A3D2B" w:rsidRDefault="009D28C9" w:rsidP="009D28C9">
      <w:pPr>
        <w:pStyle w:val="12"/>
      </w:pPr>
      <w:r w:rsidRPr="001A3D2B">
        <w:t xml:space="preserve">JCR Abbreviated Title: </w:t>
      </w:r>
    </w:p>
    <w:p w:rsidR="009D28C9" w:rsidRPr="001A3D2B" w:rsidRDefault="009D28C9" w:rsidP="009D28C9">
      <w:pPr>
        <w:pStyle w:val="12"/>
      </w:pPr>
      <w:r w:rsidRPr="001A3D2B">
        <w:t xml:space="preserve">ISSN: </w:t>
      </w:r>
    </w:p>
    <w:p w:rsidR="009D28C9" w:rsidRPr="001A3D2B" w:rsidRDefault="009D28C9" w:rsidP="009D28C9">
      <w:pPr>
        <w:pStyle w:val="12"/>
      </w:pPr>
      <w:r w:rsidRPr="001A3D2B">
        <w:t xml:space="preserve">Issues/Year: </w:t>
      </w:r>
    </w:p>
    <w:p w:rsidR="009D28C9" w:rsidRPr="001A3D2B" w:rsidRDefault="009D28C9" w:rsidP="009D28C9">
      <w:pPr>
        <w:pStyle w:val="12"/>
      </w:pPr>
      <w:r w:rsidRPr="001A3D2B">
        <w:t xml:space="preserve">Journal Country/Territory: </w:t>
      </w:r>
    </w:p>
    <w:p w:rsidR="009D28C9" w:rsidRPr="001A3D2B" w:rsidRDefault="009D28C9" w:rsidP="009D28C9">
      <w:pPr>
        <w:pStyle w:val="12"/>
      </w:pPr>
      <w:r w:rsidRPr="001A3D2B">
        <w:t xml:space="preserve">Language: </w:t>
      </w:r>
    </w:p>
    <w:p w:rsidR="009D28C9" w:rsidRPr="001A3D2B" w:rsidRDefault="009D28C9" w:rsidP="009D28C9">
      <w:pPr>
        <w:pStyle w:val="12"/>
      </w:pPr>
      <w:r w:rsidRPr="001A3D2B">
        <w:t xml:space="preserve">Publisher: </w:t>
      </w:r>
    </w:p>
    <w:p w:rsidR="009D28C9" w:rsidRPr="001A3D2B" w:rsidRDefault="009D28C9" w:rsidP="009D28C9">
      <w:pPr>
        <w:pStyle w:val="12"/>
      </w:pPr>
      <w:r w:rsidRPr="001A3D2B">
        <w:t xml:space="preserve">Publisher Address: </w:t>
      </w:r>
    </w:p>
    <w:p w:rsidR="009D28C9" w:rsidRPr="001A3D2B" w:rsidRDefault="009D28C9" w:rsidP="009D28C9">
      <w:pPr>
        <w:pStyle w:val="12"/>
      </w:pPr>
      <w:r w:rsidRPr="001A3D2B">
        <w:t>Subject Categories:</w:t>
      </w:r>
    </w:p>
    <w:p w:rsidR="009D28C9" w:rsidRPr="001A3D2B" w:rsidRDefault="009D28C9" w:rsidP="009D28C9">
      <w:pPr>
        <w:pStyle w:val="12"/>
      </w:pPr>
      <w:r w:rsidRPr="001A3D2B">
        <w:t>: Impact Factor</w:t>
      </w:r>
    </w:p>
    <w:p w:rsidR="009D28C9" w:rsidRDefault="009D28C9" w:rsidP="009D28C9">
      <w:pPr>
        <w:pStyle w:val="a3"/>
        <w:rPr>
          <w:kern w:val="0"/>
        </w:rPr>
      </w:pPr>
      <w:r>
        <w:rPr>
          <w:kern w:val="0"/>
        </w:rPr>
        <w:t xml:space="preserve">? Takx, R.A.P., Blomberg, B.A., El Aidi, H., Habets, J., de Jong, P.A., Nagel, E., Hoffmann, U. and Leiner, T. (2015), Diagnostic accuracy of stress myocardial perfusion imaging compared to invasive coronary angiography with fractional flow reserve meta-analysis. </w:t>
      </w:r>
      <w:r w:rsidRPr="00EB5589">
        <w:rPr>
          <w:i/>
          <w:iCs/>
          <w:kern w:val="0"/>
        </w:rPr>
        <w:t>Circulation-Cardiovascular Imaging</w:t>
      </w:r>
      <w:r>
        <w:rPr>
          <w:kern w:val="0"/>
        </w:rPr>
        <w:t xml:space="preserve">, </w:t>
      </w:r>
      <w:r>
        <w:rPr>
          <w:b/>
          <w:bCs/>
          <w:kern w:val="0"/>
        </w:rPr>
        <w:t>8</w:t>
      </w:r>
      <w:r>
        <w:rPr>
          <w:kern w:val="0"/>
        </w:rPr>
        <w:t xml:space="preserve"> (1),</w:t>
      </w:r>
      <w:r w:rsidRPr="003D179D">
        <w:t xml:space="preserve"> </w:t>
      </w:r>
      <w:r w:rsidRPr="003D179D">
        <w:rPr>
          <w:kern w:val="0"/>
        </w:rPr>
        <w:t>Article Number: UNSP e002666</w:t>
      </w:r>
      <w:r>
        <w:rPr>
          <w:rFonts w:hint="eastAsia"/>
          <w:kern w:val="0"/>
        </w:rPr>
        <w:t>.</w:t>
      </w:r>
    </w:p>
    <w:p w:rsidR="009D28C9" w:rsidRDefault="009D28C9" w:rsidP="009D28C9">
      <w:pPr>
        <w:pStyle w:val="a3"/>
        <w:rPr>
          <w:kern w:val="0"/>
        </w:rPr>
      </w:pPr>
      <w:r>
        <w:rPr>
          <w:rFonts w:hint="eastAsia"/>
          <w:kern w:val="0"/>
        </w:rPr>
        <w:t>Full Text: 2015\</w:t>
      </w:r>
      <w:r w:rsidRPr="003D179D">
        <w:rPr>
          <w:iCs/>
          <w:kern w:val="0"/>
        </w:rPr>
        <w:t>Ci</w:t>
      </w:r>
      <w:r>
        <w:rPr>
          <w:iCs/>
          <w:kern w:val="0"/>
        </w:rPr>
        <w:t>r-Car Im</w:t>
      </w:r>
      <w:r>
        <w:rPr>
          <w:rFonts w:hint="eastAsia"/>
          <w:iCs/>
          <w:kern w:val="0"/>
        </w:rPr>
        <w:t>a</w:t>
      </w:r>
      <w:r w:rsidRPr="003D179D">
        <w:rPr>
          <w:bCs/>
          <w:kern w:val="0"/>
        </w:rPr>
        <w:t>8</w:t>
      </w:r>
      <w:r>
        <w:rPr>
          <w:kern w:val="0"/>
        </w:rPr>
        <w:t>,</w:t>
      </w:r>
      <w:r w:rsidRPr="003D179D">
        <w:t xml:space="preserve"> </w:t>
      </w:r>
      <w:r w:rsidRPr="003D179D">
        <w:rPr>
          <w:kern w:val="0"/>
        </w:rPr>
        <w:t>UNSP e002666</w:t>
      </w:r>
      <w:r>
        <w:rPr>
          <w:rFonts w:hint="eastAsia"/>
          <w:kern w:val="0"/>
        </w:rPr>
        <w:t>.pdf</w:t>
      </w:r>
    </w:p>
    <w:p w:rsidR="009D28C9" w:rsidRDefault="009D28C9" w:rsidP="009D28C9">
      <w:pPr>
        <w:pStyle w:val="a3"/>
        <w:rPr>
          <w:kern w:val="0"/>
        </w:rPr>
      </w:pPr>
      <w:r>
        <w:rPr>
          <w:kern w:val="0"/>
        </w:rPr>
        <w:t xml:space="preserve">Abstract: Background-Hemodynamically significant coronary artery disease is an important indication for revascularization. Stress myocardial perfusion imaging is a noninvasive alternative to invasive fractional flow reserve for evaluating hemodynamically significant coronary artery disease. The aim was to determine the diagnostic accuracy of myocardial perfusion imaging by single-photon emission computed tomography, echocardiography, MRI, positron emission tomography, and computed tomography compared with invasive coronary angiography with fractional flow reserve for the diagnosis of hemodynamically significant coronary artery disease. Methods and Results-The meta-analysis adhered to the Preferred Reporting Items for Systematic Reviews and Meta-analyses statement. PubMed, EMBASE, and Web of Science were searched until May 2014. Thirty-seven studies, reporting on 4721 vessels and 2048 patients, were included. Meta-analysis yielded pooled sensitivity, pooled specificity, pooled likelihood ratios (LR), pooled diagnostic odds ratio, and summary area under the receiver operating characteristic curve. The negative LR (NLR) was chosen as the primary outcome. At the vessel level, MRI (pooled NLR, 0.16; 95% confidence interval [CI], 0.13-0.21) was performed similar to computed tomography (pooled NLR, 0.22; 95% CI, 0.12-0.39) and positron emission tomography (pooled NLR, 0.15; 95% CI, 0.05-0.44), and better than single-photon emission computed tomography (pooled NLR, 0.47; 95% CI, </w:t>
      </w:r>
      <w:r>
        <w:rPr>
          <w:kern w:val="0"/>
        </w:rPr>
        <w:lastRenderedPageBreak/>
        <w:t>0.37-0.59). At the patient level, MRI (pooled NLR, 0.14; 95% CI, 0.10-0.18) performed similar to computed tomography (pooled NLR, 0.12; 95% CI, 0.04-0.33) and positron emission tomography (pooled NLR, 0.14; 95% CI, 0.02-0.87), and better than single-photon emission computed tomography (pooled NLR, 0.39; 95% CI, 0.27-0.55) and echocardiography (pooled NLR, 0.42; 95% CI, 0.30-0.59). Conclusions-Stress myocardial perfusion imaging with MRI, computed tomography, or positron emission tomography can accurately rule out hemodynamically significant coronary artery disease and can act as a gatekeeper for invasive revascularization. Single-photon emission computed tomography and echocardiography are less suited for this purpose.</w:t>
      </w:r>
    </w:p>
    <w:p w:rsidR="009D28C9" w:rsidRDefault="009D28C9" w:rsidP="009D28C9">
      <w:pPr>
        <w:pStyle w:val="a3"/>
        <w:rPr>
          <w:kern w:val="0"/>
        </w:rPr>
      </w:pPr>
      <w:r>
        <w:rPr>
          <w:kern w:val="0"/>
        </w:rPr>
        <w:t>Keywords: Accuracy, Alternative, Angiography, Artery, Artery-Disease, Association, Cardiac Magnetic-Resonance, Catheterization, Clinical-Outcomes, Computed Tomography, Confidence, Coronary Artery, Coronary Artery Disease, Diagnosis, Diagnostic, Diagnostic Accuracy, Disease, Echocardiography, Embase, Emission, Flow, Fractional Flow Reserve,Myocardial, Imaging, Indication, Interval, Intervention, Invasive, Lr, Meta Analysis, Meta-Analyses, Meta-Analysis, Metaanalysis, Methods, Mri, Myocardial Perfusion Imaging, Negative, Odds Ratio, Outcome, Patient, Patients, Positron Emission Tomography, Primary, Pubmed, Purpose, Quantification, Receiver Operating Characteristic Curve, Reporting, Revascularization, Science, Sensitivity, Severity, Specificity, Statement, Stress, Systematic, Systematic Reviews, Web, Web Of Science</w:t>
      </w:r>
    </w:p>
    <w:p w:rsidR="00E3140D" w:rsidRPr="001A3D2B" w:rsidRDefault="00E3140D" w:rsidP="00E3140D">
      <w:pPr>
        <w:pStyle w:val="1"/>
      </w:pPr>
      <w:r w:rsidRPr="001A3D2B">
        <w:br w:type="page"/>
      </w:r>
      <w:bookmarkStart w:id="235" w:name="_Toc343194322"/>
      <w:bookmarkStart w:id="236" w:name="_Toc420814998"/>
      <w:r w:rsidRPr="001A3D2B">
        <w:lastRenderedPageBreak/>
        <w:t xml:space="preserve">Title: </w:t>
      </w:r>
      <w:r w:rsidRPr="00BC65EF">
        <w:t>Circulation</w:t>
      </w:r>
      <w:r>
        <w:rPr>
          <w:rFonts w:hint="eastAsia"/>
          <w:iCs w:val="0"/>
        </w:rPr>
        <w:t xml:space="preserve">: </w:t>
      </w:r>
      <w:r w:rsidRPr="00BC65EF">
        <w:t>Cardiovascular Quality</w:t>
      </w:r>
      <w:r w:rsidR="005853A9">
        <w:t xml:space="preserve"> and </w:t>
      </w:r>
      <w:r w:rsidRPr="00BC65EF">
        <w:t>Outcomes</w:t>
      </w:r>
      <w:bookmarkEnd w:id="235"/>
      <w:bookmarkEnd w:id="236"/>
    </w:p>
    <w:p w:rsidR="00E3140D" w:rsidRPr="001A3D2B" w:rsidRDefault="00E3140D" w:rsidP="00E3140D">
      <w:pPr>
        <w:pStyle w:val="12"/>
      </w:pPr>
      <w:r w:rsidRPr="001A3D2B">
        <w:t xml:space="preserve">Full Journal Title: </w:t>
      </w:r>
      <w:r w:rsidRPr="00BC65EF">
        <w:rPr>
          <w:iCs/>
        </w:rPr>
        <w:t>Circulation</w:t>
      </w:r>
      <w:r>
        <w:rPr>
          <w:rFonts w:hint="eastAsia"/>
          <w:iCs/>
        </w:rPr>
        <w:t xml:space="preserve">: </w:t>
      </w:r>
      <w:r w:rsidRPr="00BC65EF">
        <w:rPr>
          <w:iCs/>
        </w:rPr>
        <w:t>Cardiovascular Quality</w:t>
      </w:r>
      <w:r w:rsidR="005853A9">
        <w:rPr>
          <w:iCs/>
        </w:rPr>
        <w:t xml:space="preserve"> and </w:t>
      </w:r>
      <w:r w:rsidRPr="00BC65EF">
        <w:rPr>
          <w:iCs/>
        </w:rPr>
        <w:t>Outcomes</w:t>
      </w:r>
    </w:p>
    <w:p w:rsidR="00E3140D" w:rsidRPr="001A3D2B" w:rsidRDefault="00E3140D" w:rsidP="00E3140D">
      <w:pPr>
        <w:pStyle w:val="12"/>
      </w:pPr>
      <w:r w:rsidRPr="001A3D2B">
        <w:t xml:space="preserve">ISO Abbreviated Title: </w:t>
      </w:r>
    </w:p>
    <w:p w:rsidR="00E3140D" w:rsidRPr="001A3D2B" w:rsidRDefault="00E3140D" w:rsidP="00E3140D">
      <w:pPr>
        <w:pStyle w:val="12"/>
      </w:pPr>
      <w:r w:rsidRPr="001A3D2B">
        <w:t xml:space="preserve">JCR Abbreviated Title: </w:t>
      </w:r>
    </w:p>
    <w:p w:rsidR="00E3140D" w:rsidRPr="001A3D2B" w:rsidRDefault="00E3140D" w:rsidP="00E3140D">
      <w:pPr>
        <w:pStyle w:val="12"/>
      </w:pPr>
      <w:r w:rsidRPr="001A3D2B">
        <w:t xml:space="preserve">ISSN: </w:t>
      </w:r>
    </w:p>
    <w:p w:rsidR="00E3140D" w:rsidRPr="001A3D2B" w:rsidRDefault="00E3140D" w:rsidP="00E3140D">
      <w:pPr>
        <w:pStyle w:val="12"/>
      </w:pPr>
      <w:r w:rsidRPr="001A3D2B">
        <w:t xml:space="preserve">Issues/Year: </w:t>
      </w:r>
    </w:p>
    <w:p w:rsidR="00E3140D" w:rsidRPr="001A3D2B" w:rsidRDefault="00E3140D" w:rsidP="00E3140D">
      <w:pPr>
        <w:pStyle w:val="12"/>
      </w:pPr>
      <w:r w:rsidRPr="001A3D2B">
        <w:t xml:space="preserve">Journal Country/Territory: </w:t>
      </w:r>
    </w:p>
    <w:p w:rsidR="00E3140D" w:rsidRPr="001A3D2B" w:rsidRDefault="00E3140D" w:rsidP="00E3140D">
      <w:pPr>
        <w:pStyle w:val="12"/>
      </w:pPr>
      <w:r w:rsidRPr="001A3D2B">
        <w:t xml:space="preserve">Language: </w:t>
      </w:r>
    </w:p>
    <w:p w:rsidR="00E3140D" w:rsidRPr="001A3D2B" w:rsidRDefault="00E3140D" w:rsidP="00E3140D">
      <w:pPr>
        <w:pStyle w:val="12"/>
      </w:pPr>
      <w:r w:rsidRPr="001A3D2B">
        <w:t xml:space="preserve">Publisher: </w:t>
      </w:r>
    </w:p>
    <w:p w:rsidR="00E3140D" w:rsidRPr="001A3D2B" w:rsidRDefault="00E3140D" w:rsidP="00E3140D">
      <w:pPr>
        <w:pStyle w:val="12"/>
      </w:pPr>
      <w:r w:rsidRPr="001A3D2B">
        <w:t xml:space="preserve">Publisher Address: </w:t>
      </w:r>
    </w:p>
    <w:p w:rsidR="00E3140D" w:rsidRPr="001A3D2B" w:rsidRDefault="00E3140D" w:rsidP="00E3140D">
      <w:pPr>
        <w:pStyle w:val="12"/>
      </w:pPr>
      <w:r w:rsidRPr="001A3D2B">
        <w:t>Subject Categories:</w:t>
      </w:r>
    </w:p>
    <w:p w:rsidR="00E3140D" w:rsidRPr="001A3D2B" w:rsidRDefault="00E3140D" w:rsidP="00E3140D">
      <w:pPr>
        <w:pStyle w:val="12"/>
      </w:pPr>
      <w:r w:rsidRPr="001A3D2B">
        <w:t>: Impact Factor</w:t>
      </w:r>
    </w:p>
    <w:p w:rsidR="00E3140D" w:rsidRDefault="00E3140D" w:rsidP="00E3140D">
      <w:pPr>
        <w:pStyle w:val="a3"/>
        <w:rPr>
          <w:kern w:val="0"/>
        </w:rPr>
      </w:pPr>
      <w:r>
        <w:rPr>
          <w:rFonts w:hint="eastAsia"/>
          <w:kern w:val="0"/>
        </w:rPr>
        <w:t xml:space="preserve">? </w:t>
      </w:r>
      <w:r>
        <w:rPr>
          <w:kern w:val="0"/>
        </w:rPr>
        <w:t>Sasson, C., Rogers, M.A.M., Dahl, J.</w:t>
      </w:r>
      <w:r w:rsidR="005853A9">
        <w:rPr>
          <w:kern w:val="0"/>
        </w:rPr>
        <w:t xml:space="preserve"> and </w:t>
      </w:r>
      <w:r>
        <w:rPr>
          <w:kern w:val="0"/>
        </w:rPr>
        <w:t>Kellermann, A.L. (2010), Predictors</w:t>
      </w:r>
      <w:r w:rsidR="00427468">
        <w:rPr>
          <w:kern w:val="0"/>
        </w:rPr>
        <w:t xml:space="preserve"> of </w:t>
      </w:r>
      <w:r>
        <w:rPr>
          <w:kern w:val="0"/>
        </w:rPr>
        <w:t>survival from out-of-hospital cardiac arrest</w:t>
      </w:r>
      <w:r>
        <w:rPr>
          <w:rFonts w:hint="eastAsia"/>
          <w:kern w:val="0"/>
        </w:rPr>
        <w:t xml:space="preserve">: </w:t>
      </w:r>
      <w:r>
        <w:rPr>
          <w:kern w:val="0"/>
        </w:rPr>
        <w:t>A systematic review</w:t>
      </w:r>
      <w:r w:rsidR="005853A9">
        <w:rPr>
          <w:kern w:val="0"/>
        </w:rPr>
        <w:t xml:space="preserve"> and </w:t>
      </w:r>
      <w:r>
        <w:rPr>
          <w:kern w:val="0"/>
        </w:rPr>
        <w:t xml:space="preserve">meta-analysis. </w:t>
      </w:r>
      <w:r w:rsidRPr="00BC65EF">
        <w:rPr>
          <w:i/>
          <w:iCs/>
          <w:kern w:val="0"/>
        </w:rPr>
        <w:t>Circulation</w:t>
      </w:r>
      <w:r>
        <w:rPr>
          <w:rFonts w:hint="eastAsia"/>
          <w:i/>
          <w:iCs/>
          <w:kern w:val="0"/>
        </w:rPr>
        <w:t xml:space="preserve">: </w:t>
      </w:r>
      <w:r w:rsidRPr="00BC65EF">
        <w:rPr>
          <w:i/>
          <w:iCs/>
          <w:kern w:val="0"/>
        </w:rPr>
        <w:t>Cardiovascular Quality</w:t>
      </w:r>
      <w:r w:rsidR="005853A9">
        <w:rPr>
          <w:i/>
          <w:iCs/>
          <w:kern w:val="0"/>
        </w:rPr>
        <w:t xml:space="preserve"> and </w:t>
      </w:r>
      <w:r w:rsidRPr="00BC65EF">
        <w:rPr>
          <w:i/>
          <w:iCs/>
          <w:kern w:val="0"/>
        </w:rPr>
        <w:t>Outcomes</w:t>
      </w:r>
      <w:r>
        <w:rPr>
          <w:kern w:val="0"/>
        </w:rPr>
        <w:t xml:space="preserve">, </w:t>
      </w:r>
      <w:r>
        <w:rPr>
          <w:b/>
          <w:bCs/>
          <w:kern w:val="0"/>
        </w:rPr>
        <w:t>3</w:t>
      </w:r>
      <w:r>
        <w:rPr>
          <w:kern w:val="0"/>
        </w:rPr>
        <w:t xml:space="preserve"> (1), 63-</w:t>
      </w:r>
      <w:r>
        <w:rPr>
          <w:rFonts w:hint="eastAsia"/>
          <w:kern w:val="0"/>
        </w:rPr>
        <w:t>81</w:t>
      </w:r>
      <w:r>
        <w:rPr>
          <w:kern w:val="0"/>
        </w:rPr>
        <w:t>.</w:t>
      </w:r>
    </w:p>
    <w:p w:rsidR="00E3140D" w:rsidRDefault="00E3140D" w:rsidP="00E3140D">
      <w:pPr>
        <w:pStyle w:val="a3"/>
        <w:rPr>
          <w:kern w:val="0"/>
        </w:rPr>
      </w:pPr>
      <w:r>
        <w:rPr>
          <w:rFonts w:hint="eastAsia"/>
          <w:kern w:val="0"/>
        </w:rPr>
        <w:t xml:space="preserve">Full Text: </w:t>
      </w:r>
      <w:hyperlink r:id="rId291" w:history="1">
        <w:r w:rsidRPr="00F85480">
          <w:rPr>
            <w:rStyle w:val="a5"/>
            <w:kern w:val="0"/>
          </w:rPr>
          <w:t>2010\Cir-Car Qua Out3, 63.pdf</w:t>
        </w:r>
      </w:hyperlink>
    </w:p>
    <w:p w:rsidR="00E3140D" w:rsidRDefault="00E3140D" w:rsidP="00E3140D">
      <w:pPr>
        <w:pStyle w:val="a3"/>
        <w:rPr>
          <w:kern w:val="0"/>
        </w:rPr>
      </w:pPr>
      <w:r>
        <w:rPr>
          <w:kern w:val="0"/>
        </w:rPr>
        <w:t>Abstract: Background-Prior studies have identified key predictors</w:t>
      </w:r>
      <w:r w:rsidR="00427468">
        <w:rPr>
          <w:kern w:val="0"/>
        </w:rPr>
        <w:t xml:space="preserve"> of </w:t>
      </w:r>
      <w:r>
        <w:rPr>
          <w:kern w:val="0"/>
        </w:rPr>
        <w:t>out-of-hospital cardiac arrest (OHCA), but differences exist in the magnitude</w:t>
      </w:r>
      <w:r w:rsidR="00427468">
        <w:rPr>
          <w:kern w:val="0"/>
        </w:rPr>
        <w:t xml:space="preserve"> of </w:t>
      </w:r>
      <w:r>
        <w:rPr>
          <w:kern w:val="0"/>
        </w:rPr>
        <w:t>these findings. In this meta-analysis, we evaluated the strength</w:t>
      </w:r>
      <w:r w:rsidR="00427468">
        <w:rPr>
          <w:kern w:val="0"/>
        </w:rPr>
        <w:t xml:space="preserve"> of </w:t>
      </w:r>
      <w:r>
        <w:rPr>
          <w:kern w:val="0"/>
        </w:rPr>
        <w:t>associations between OHCA</w:t>
      </w:r>
      <w:r w:rsidR="005853A9">
        <w:rPr>
          <w:kern w:val="0"/>
        </w:rPr>
        <w:t xml:space="preserve"> and </w:t>
      </w:r>
      <w:r>
        <w:rPr>
          <w:kern w:val="0"/>
        </w:rPr>
        <w:t>key factors (event witnessed by a bystander or emergency medical services [EMS], provision</w:t>
      </w:r>
      <w:r w:rsidR="00427468">
        <w:rPr>
          <w:kern w:val="0"/>
        </w:rPr>
        <w:t xml:space="preserve"> of </w:t>
      </w:r>
      <w:r>
        <w:rPr>
          <w:kern w:val="0"/>
        </w:rPr>
        <w:t>bystander cardiopulmonary resuscitation [CPR], initial cardiac rhythm, or the return</w:t>
      </w:r>
      <w:r w:rsidR="00427468">
        <w:rPr>
          <w:kern w:val="0"/>
        </w:rPr>
        <w:t xml:space="preserve"> of </w:t>
      </w:r>
      <w:r>
        <w:rPr>
          <w:kern w:val="0"/>
        </w:rPr>
        <w:t>spontaneous circulation). We also examined trends in OHCA survival over time. Methods</w:t>
      </w:r>
      <w:r w:rsidR="005853A9">
        <w:rPr>
          <w:kern w:val="0"/>
        </w:rPr>
        <w:t xml:space="preserve"> and </w:t>
      </w:r>
      <w:r>
        <w:rPr>
          <w:kern w:val="0"/>
        </w:rPr>
        <w:t>Results-An electronic search</w:t>
      </w:r>
      <w:r w:rsidR="00427468">
        <w:rPr>
          <w:kern w:val="0"/>
        </w:rPr>
        <w:t xml:space="preserve"> of </w:t>
      </w:r>
      <w:r>
        <w:rPr>
          <w:kern w:val="0"/>
        </w:rPr>
        <w:t xml:space="preserve">PUBMED, EMBASE, </w:t>
      </w:r>
      <w:r w:rsidR="00D5664A">
        <w:rPr>
          <w:kern w:val="0"/>
        </w:rPr>
        <w:t>Web</w:t>
      </w:r>
      <w:r w:rsidR="00427468">
        <w:rPr>
          <w:kern w:val="0"/>
        </w:rPr>
        <w:t xml:space="preserve"> of </w:t>
      </w:r>
      <w:r w:rsidR="00D5664A">
        <w:rPr>
          <w:kern w:val="0"/>
        </w:rPr>
        <w:t>Science</w:t>
      </w:r>
      <w:r>
        <w:rPr>
          <w:kern w:val="0"/>
        </w:rPr>
        <w:t>, CINAHL, Cochrane DSR, DARE, ACP Journal Club,</w:t>
      </w:r>
      <w:r w:rsidR="005853A9">
        <w:rPr>
          <w:kern w:val="0"/>
        </w:rPr>
        <w:t xml:space="preserve"> and </w:t>
      </w:r>
      <w:r>
        <w:rPr>
          <w:kern w:val="0"/>
        </w:rPr>
        <w:t>CCTR was conducted (January 1, 1950 to August 21, 2008) for studies reporting OHCA</w:t>
      </w:r>
      <w:r w:rsidR="00427468">
        <w:rPr>
          <w:kern w:val="0"/>
        </w:rPr>
        <w:t xml:space="preserve"> of </w:t>
      </w:r>
      <w:r>
        <w:rPr>
          <w:kern w:val="0"/>
        </w:rPr>
        <w:t>presumed cardiac etiology in adults. Data were extracted from 79 studies involving 142 740 patients</w:t>
      </w:r>
      <w:r w:rsidR="00A37C1D">
        <w:rPr>
          <w:kern w:val="0"/>
        </w:rPr>
        <w:t>. The</w:t>
      </w:r>
      <w:r>
        <w:rPr>
          <w:kern w:val="0"/>
        </w:rPr>
        <w:t xml:space="preserve"> pooled survival rate to hospital admission was 23.8% (95% CI, 21.1 to 26.6)</w:t>
      </w:r>
      <w:r w:rsidR="005853A9">
        <w:rPr>
          <w:kern w:val="0"/>
        </w:rPr>
        <w:t xml:space="preserve"> and </w:t>
      </w:r>
      <w:r>
        <w:rPr>
          <w:kern w:val="0"/>
        </w:rPr>
        <w:t>to hospital discharge was 7.6% (95% CI, 6.7 to 8.4). Stratified by baseline rates, survival to hospital discharge was more likely among those: witnessed by a bystander (6.4% to 13.5%), witnessed by EMS (4.9% to 18.2%), who received bystander CPR (3.9% to 16.1%), were found in ventricular fibrillation/ventricular tachycardia (14.8% to 23.0%), or achieved return</w:t>
      </w:r>
      <w:r w:rsidR="00427468">
        <w:rPr>
          <w:kern w:val="0"/>
        </w:rPr>
        <w:t xml:space="preserve"> of </w:t>
      </w:r>
      <w:r>
        <w:rPr>
          <w:kern w:val="0"/>
        </w:rPr>
        <w:t>spontaneous circulation (15.5% to 33.6%). Although 53% (95% CI, 45.0% to 59.9%)</w:t>
      </w:r>
      <w:r w:rsidR="00427468">
        <w:rPr>
          <w:kern w:val="0"/>
        </w:rPr>
        <w:t xml:space="preserve"> of </w:t>
      </w:r>
      <w:r>
        <w:rPr>
          <w:kern w:val="0"/>
        </w:rPr>
        <w:t>events were witnessed by a bystander, only 32% (95% CI, 26.7% to 37.8%) received bystander CPR</w:t>
      </w:r>
      <w:r w:rsidR="00A37C1D">
        <w:rPr>
          <w:kern w:val="0"/>
        </w:rPr>
        <w:t>. The</w:t>
      </w:r>
      <w:r>
        <w:rPr>
          <w:kern w:val="0"/>
        </w:rPr>
        <w:t xml:space="preserve"> number needed to treat to save 1 life ranged from 16 to 23 for EMS-witnessed arrests, 17 to 71 for bystander-witnessed,</w:t>
      </w:r>
      <w:r w:rsidR="005853A9">
        <w:rPr>
          <w:kern w:val="0"/>
        </w:rPr>
        <w:t xml:space="preserve"> and </w:t>
      </w:r>
      <w:r>
        <w:rPr>
          <w:kern w:val="0"/>
        </w:rPr>
        <w:t>24 to 36 for those receiving bystander CPR, depending on baseline survival rates</w:t>
      </w:r>
      <w:r w:rsidR="00A37C1D">
        <w:rPr>
          <w:kern w:val="0"/>
        </w:rPr>
        <w:t>. The</w:t>
      </w:r>
      <w:r>
        <w:rPr>
          <w:kern w:val="0"/>
        </w:rPr>
        <w:t xml:space="preserve"> aggregate survival rate</w:t>
      </w:r>
      <w:r w:rsidR="00427468">
        <w:rPr>
          <w:kern w:val="0"/>
        </w:rPr>
        <w:t xml:space="preserve"> of </w:t>
      </w:r>
      <w:r>
        <w:rPr>
          <w:kern w:val="0"/>
        </w:rPr>
        <w:t xml:space="preserve">OHCA (7.6%) </w:t>
      </w:r>
      <w:r>
        <w:rPr>
          <w:kern w:val="0"/>
        </w:rPr>
        <w:lastRenderedPageBreak/>
        <w:t>has not significantly changed in almost 3 decades. Conclusions-Overall survival from OHCA has been stable for almost 30 years, as have the strong associations between key predictors</w:t>
      </w:r>
      <w:r w:rsidR="005853A9">
        <w:rPr>
          <w:kern w:val="0"/>
        </w:rPr>
        <w:t xml:space="preserve"> and </w:t>
      </w:r>
      <w:r>
        <w:rPr>
          <w:kern w:val="0"/>
        </w:rPr>
        <w:t>survival. Because most OHCA events are witnessed, efforts to improve survival should focus on prompt delivery</w:t>
      </w:r>
      <w:r w:rsidR="00427468">
        <w:rPr>
          <w:kern w:val="0"/>
        </w:rPr>
        <w:t xml:space="preserve"> of </w:t>
      </w:r>
      <w:r>
        <w:rPr>
          <w:kern w:val="0"/>
        </w:rPr>
        <w:t>interventions</w:t>
      </w:r>
      <w:r w:rsidR="00427468">
        <w:rPr>
          <w:kern w:val="0"/>
        </w:rPr>
        <w:t xml:space="preserve"> of </w:t>
      </w:r>
      <w:r>
        <w:rPr>
          <w:kern w:val="0"/>
        </w:rPr>
        <w:t>known effectiveness by those who witness the event. (Circ Cardiovasc Qual Outcomes. 2010; 3: 63-81.).</w:t>
      </w:r>
    </w:p>
    <w:p w:rsidR="00E3140D" w:rsidRDefault="00E3140D" w:rsidP="00E3140D">
      <w:pPr>
        <w:pStyle w:val="a3"/>
        <w:rPr>
          <w:kern w:val="0"/>
        </w:rPr>
      </w:pPr>
      <w:r>
        <w:rPr>
          <w:kern w:val="0"/>
        </w:rPr>
        <w:t>Keywords: Adults, Advanced Life-Support, American-Heart-Association, Automated External Defibrillators, Cardiac Arrest, Cardiopulmonary-Resuscitation, Cochrane, Death,</w:t>
      </w:r>
      <w:r>
        <w:rPr>
          <w:rFonts w:hint="eastAsia"/>
          <w:kern w:val="0"/>
        </w:rPr>
        <w:t xml:space="preserve"> </w:t>
      </w:r>
      <w:r>
        <w:rPr>
          <w:kern w:val="0"/>
        </w:rPr>
        <w:t xml:space="preserve">Sudden, Effectiveness, EMBASE, Emergency Medical Services, Emergency Medical-Services, EMS, Etiology, European-Resuscitation-Council, Health-Care Professionals, Heart Arrest, Hospital, Hospital Admission, International Liaison Committee, Interventions, Journal, Medical, Meta-Analysis, Methods, Outcomes, PUBMED, Review, Rhythm, Science, Survival, Systematic, Systematic Review, Trends, Utstein Style, Ventricular-Fibrillation, </w:t>
      </w:r>
      <w:r w:rsidR="00D5664A">
        <w:rPr>
          <w:kern w:val="0"/>
        </w:rPr>
        <w:t>Web</w:t>
      </w:r>
      <w:r w:rsidR="00427468">
        <w:rPr>
          <w:kern w:val="0"/>
        </w:rPr>
        <w:t xml:space="preserve"> of </w:t>
      </w:r>
      <w:r w:rsidR="00D5664A">
        <w:rPr>
          <w:kern w:val="0"/>
        </w:rPr>
        <w:t>Science</w:t>
      </w:r>
    </w:p>
    <w:p w:rsidR="00E3140D" w:rsidRDefault="00E3140D" w:rsidP="00E3140D">
      <w:pPr>
        <w:pStyle w:val="a3"/>
        <w:rPr>
          <w:kern w:val="0"/>
        </w:rPr>
      </w:pPr>
      <w:r>
        <w:rPr>
          <w:rFonts w:hint="eastAsia"/>
          <w:kern w:val="0"/>
        </w:rPr>
        <w:t xml:space="preserve">? </w:t>
      </w:r>
      <w:r>
        <w:rPr>
          <w:kern w:val="0"/>
        </w:rPr>
        <w:t>Xu, S., Avorn, J.</w:t>
      </w:r>
      <w:r w:rsidR="005853A9">
        <w:rPr>
          <w:kern w:val="0"/>
        </w:rPr>
        <w:t xml:space="preserve"> and </w:t>
      </w:r>
      <w:r>
        <w:rPr>
          <w:kern w:val="0"/>
        </w:rPr>
        <w:t>Kesselheim, A.S. (2012), Origins</w:t>
      </w:r>
      <w:r w:rsidR="00427468">
        <w:rPr>
          <w:kern w:val="0"/>
        </w:rPr>
        <w:t xml:space="preserve"> of </w:t>
      </w:r>
      <w:r>
        <w:rPr>
          <w:kern w:val="0"/>
        </w:rPr>
        <w:t>medical innovation</w:t>
      </w:r>
      <w:r>
        <w:rPr>
          <w:rFonts w:hint="eastAsia"/>
          <w:kern w:val="0"/>
        </w:rPr>
        <w:t>:</w:t>
      </w:r>
      <w:r>
        <w:rPr>
          <w:kern w:val="0"/>
        </w:rPr>
        <w:t xml:space="preserve"> The case</w:t>
      </w:r>
      <w:r w:rsidR="00427468">
        <w:rPr>
          <w:kern w:val="0"/>
        </w:rPr>
        <w:t xml:space="preserve"> of </w:t>
      </w:r>
      <w:r>
        <w:rPr>
          <w:kern w:val="0"/>
        </w:rPr>
        <w:t xml:space="preserve">coronary artery stents. </w:t>
      </w:r>
      <w:r>
        <w:rPr>
          <w:i/>
          <w:iCs/>
          <w:kern w:val="0"/>
        </w:rPr>
        <w:t>Circulation</w:t>
      </w:r>
      <w:r>
        <w:rPr>
          <w:rFonts w:hint="eastAsia"/>
          <w:i/>
          <w:iCs/>
          <w:kern w:val="0"/>
        </w:rPr>
        <w:t xml:space="preserve">: </w:t>
      </w:r>
      <w:r>
        <w:rPr>
          <w:i/>
          <w:iCs/>
          <w:kern w:val="0"/>
        </w:rPr>
        <w:t>Cardiovascular Quality</w:t>
      </w:r>
      <w:r w:rsidR="005853A9">
        <w:rPr>
          <w:i/>
          <w:iCs/>
          <w:kern w:val="0"/>
        </w:rPr>
        <w:t xml:space="preserve"> and </w:t>
      </w:r>
      <w:r>
        <w:rPr>
          <w:i/>
          <w:iCs/>
          <w:kern w:val="0"/>
        </w:rPr>
        <w:t>Outcomes</w:t>
      </w:r>
      <w:r>
        <w:rPr>
          <w:kern w:val="0"/>
        </w:rPr>
        <w:t xml:space="preserve">, </w:t>
      </w:r>
      <w:r>
        <w:rPr>
          <w:b/>
          <w:bCs/>
          <w:kern w:val="0"/>
        </w:rPr>
        <w:t>5</w:t>
      </w:r>
      <w:r>
        <w:rPr>
          <w:kern w:val="0"/>
        </w:rPr>
        <w:t xml:space="preserve"> (6), 743-749.</w:t>
      </w:r>
    </w:p>
    <w:p w:rsidR="00E3140D" w:rsidRDefault="00E3140D" w:rsidP="00E3140D">
      <w:pPr>
        <w:pStyle w:val="a3"/>
        <w:rPr>
          <w:kern w:val="0"/>
        </w:rPr>
      </w:pPr>
      <w:r>
        <w:rPr>
          <w:rFonts w:hint="eastAsia"/>
          <w:kern w:val="0"/>
        </w:rPr>
        <w:t xml:space="preserve">Full Text: </w:t>
      </w:r>
      <w:hyperlink r:id="rId292" w:history="1">
        <w:r w:rsidRPr="00F85480">
          <w:rPr>
            <w:rStyle w:val="a5"/>
            <w:kern w:val="0"/>
          </w:rPr>
          <w:t>2012\Cir-Car Qua Out5, 743.pdf</w:t>
        </w:r>
      </w:hyperlink>
    </w:p>
    <w:p w:rsidR="00E3140D" w:rsidRDefault="00E3140D" w:rsidP="00E3140D">
      <w:pPr>
        <w:pStyle w:val="a3"/>
        <w:rPr>
          <w:kern w:val="0"/>
        </w:rPr>
      </w:pPr>
      <w:r>
        <w:rPr>
          <w:kern w:val="0"/>
        </w:rPr>
        <w:t>Abstract: Background-Innovative medical devices make major contributions to patient welfare,</w:t>
      </w:r>
      <w:r w:rsidR="005853A9">
        <w:rPr>
          <w:kern w:val="0"/>
        </w:rPr>
        <w:t xml:space="preserve"> and </w:t>
      </w:r>
      <w:r>
        <w:rPr>
          <w:kern w:val="0"/>
        </w:rPr>
        <w:t>coronary stents have been among the most important device developments</w:t>
      </w:r>
      <w:r w:rsidR="00427468">
        <w:rPr>
          <w:kern w:val="0"/>
        </w:rPr>
        <w:t xml:space="preserve"> of </w:t>
      </w:r>
      <w:r>
        <w:rPr>
          <w:kern w:val="0"/>
        </w:rPr>
        <w:t>recent decades. However, the origins</w:t>
      </w:r>
      <w:r w:rsidR="00427468">
        <w:rPr>
          <w:kern w:val="0"/>
        </w:rPr>
        <w:t xml:space="preserve"> of </w:t>
      </w:r>
      <w:r>
        <w:rPr>
          <w:kern w:val="0"/>
        </w:rPr>
        <w:t>such breakthrough medical technologies remain poorly understood. Methods</w:t>
      </w:r>
      <w:r w:rsidR="005853A9">
        <w:rPr>
          <w:kern w:val="0"/>
        </w:rPr>
        <w:t xml:space="preserve"> and </w:t>
      </w:r>
      <w:r>
        <w:rPr>
          <w:kern w:val="0"/>
        </w:rPr>
        <w:t>Results-Using a comprehensive database</w:t>
      </w:r>
      <w:r w:rsidR="00427468">
        <w:rPr>
          <w:kern w:val="0"/>
        </w:rPr>
        <w:t xml:space="preserve"> of </w:t>
      </w:r>
      <w:r>
        <w:rPr>
          <w:kern w:val="0"/>
        </w:rPr>
        <w:t>patents, we identified all individuals</w:t>
      </w:r>
      <w:r w:rsidR="005853A9">
        <w:rPr>
          <w:kern w:val="0"/>
        </w:rPr>
        <w:t xml:space="preserve"> and </w:t>
      </w:r>
      <w:r>
        <w:rPr>
          <w:kern w:val="0"/>
        </w:rPr>
        <w:t>institutions that developed intellectual property related to stent technology early in its development process</w:t>
      </w:r>
      <w:r w:rsidR="00A37C1D">
        <w:rPr>
          <w:kern w:val="0"/>
        </w:rPr>
        <w:t>. The</w:t>
      </w:r>
      <w:r>
        <w:rPr>
          <w:kern w:val="0"/>
        </w:rPr>
        <w:t xml:space="preserve"> patents were categorized</w:t>
      </w:r>
      <w:r w:rsidR="005853A9">
        <w:rPr>
          <w:kern w:val="0"/>
        </w:rPr>
        <w:t xml:space="preserve"> and </w:t>
      </w:r>
      <w:r>
        <w:rPr>
          <w:kern w:val="0"/>
        </w:rPr>
        <w:t>described using a predetermined qualitative coding strategy. We found 245 granted patents related to bare metal coronary artery stents from 1984 (when the first patent issued in this field) to 1994 (after the first stents were approved). Each year showed an increase in the number</w:t>
      </w:r>
      <w:r w:rsidR="00427468">
        <w:rPr>
          <w:kern w:val="0"/>
        </w:rPr>
        <w:t xml:space="preserve"> of </w:t>
      </w:r>
      <w:r>
        <w:rPr>
          <w:kern w:val="0"/>
        </w:rPr>
        <w:t>patent filings: from 1 in 1984 to 97 in 1994</w:t>
      </w:r>
      <w:r w:rsidR="00A37C1D">
        <w:rPr>
          <w:kern w:val="0"/>
        </w:rPr>
        <w:t>. The</w:t>
      </w:r>
      <w:r>
        <w:rPr>
          <w:kern w:val="0"/>
        </w:rPr>
        <w:t xml:space="preserve"> largest fraction</w:t>
      </w:r>
      <w:r w:rsidR="00427468">
        <w:rPr>
          <w:kern w:val="0"/>
        </w:rPr>
        <w:t xml:space="preserve"> of </w:t>
      </w:r>
      <w:r>
        <w:rPr>
          <w:kern w:val="0"/>
        </w:rPr>
        <w:t>patents was issued to private entities (44.9%</w:t>
      </w:r>
      <w:r w:rsidR="00427468">
        <w:rPr>
          <w:kern w:val="0"/>
        </w:rPr>
        <w:t xml:space="preserve"> of </w:t>
      </w:r>
      <w:r>
        <w:rPr>
          <w:kern w:val="0"/>
        </w:rPr>
        <w:t>the total). Public companies, individual inventors,</w:t>
      </w:r>
      <w:r w:rsidR="005853A9">
        <w:rPr>
          <w:kern w:val="0"/>
        </w:rPr>
        <w:t xml:space="preserve"> and </w:t>
      </w:r>
      <w:r>
        <w:rPr>
          <w:kern w:val="0"/>
        </w:rPr>
        <w:t>nonprofit institutions represented 31.4%, 18.0%,</w:t>
      </w:r>
      <w:r w:rsidR="005853A9">
        <w:rPr>
          <w:kern w:val="0"/>
        </w:rPr>
        <w:t xml:space="preserve"> and </w:t>
      </w:r>
      <w:r>
        <w:rPr>
          <w:kern w:val="0"/>
        </w:rPr>
        <w:t>5.7%, respectively</w:t>
      </w:r>
      <w:r w:rsidR="00A37C1D">
        <w:rPr>
          <w:kern w:val="0"/>
        </w:rPr>
        <w:t>. The</w:t>
      </w:r>
      <w:r>
        <w:rPr>
          <w:kern w:val="0"/>
        </w:rPr>
        <w:t xml:space="preserve"> top 10 most-cited patents in the field were dominated by 2 private entities, Expandable Grafts Partnership</w:t>
      </w:r>
      <w:r w:rsidR="005853A9">
        <w:rPr>
          <w:kern w:val="0"/>
        </w:rPr>
        <w:t xml:space="preserve"> and </w:t>
      </w:r>
      <w:r>
        <w:rPr>
          <w:kern w:val="0"/>
        </w:rPr>
        <w:t>Cook Inc, organizations created by or dependent on the work</w:t>
      </w:r>
      <w:r w:rsidR="00427468">
        <w:rPr>
          <w:kern w:val="0"/>
        </w:rPr>
        <w:t xml:space="preserve"> of </w:t>
      </w:r>
      <w:r>
        <w:rPr>
          <w:kern w:val="0"/>
        </w:rPr>
        <w:t>independent academic physician-inventors. Conclusions-Coronary artery stent technology first arose from individual physician-inventors within academic medical centers</w:t>
      </w:r>
      <w:r w:rsidR="005853A9">
        <w:rPr>
          <w:kern w:val="0"/>
        </w:rPr>
        <w:t xml:space="preserve"> and </w:t>
      </w:r>
      <w:r>
        <w:rPr>
          <w:kern w:val="0"/>
        </w:rPr>
        <w:t>their associated private companies. After these initial innovations were in place, the field became dominated by large public companies. This history suggests that policies aimed at encouraging transformative medical device development would have their greatest effect if focused on individual inventors</w:t>
      </w:r>
      <w:r w:rsidR="005853A9">
        <w:rPr>
          <w:kern w:val="0"/>
        </w:rPr>
        <w:t xml:space="preserve"> and </w:t>
      </w:r>
      <w:r>
        <w:rPr>
          <w:kern w:val="0"/>
        </w:rPr>
        <w:t xml:space="preserve">scientists performing </w:t>
      </w:r>
      <w:r>
        <w:rPr>
          <w:kern w:val="0"/>
        </w:rPr>
        <w:lastRenderedPageBreak/>
        <w:t>the early stages</w:t>
      </w:r>
      <w:r w:rsidR="00427468">
        <w:rPr>
          <w:kern w:val="0"/>
        </w:rPr>
        <w:t xml:space="preserve"> of </w:t>
      </w:r>
      <w:r>
        <w:rPr>
          <w:kern w:val="0"/>
        </w:rPr>
        <w:t>technology development. (Circ Cardiovasc Qual Outcomes. 2012;5:743-749.).</w:t>
      </w:r>
    </w:p>
    <w:p w:rsidR="00E3140D" w:rsidRDefault="00E3140D" w:rsidP="00E3140D">
      <w:pPr>
        <w:pStyle w:val="a3"/>
        <w:rPr>
          <w:kern w:val="0"/>
        </w:rPr>
      </w:pPr>
      <w:r>
        <w:rPr>
          <w:kern w:val="0"/>
        </w:rPr>
        <w:t>Keywords: Artery, Balloon Angioplasty, Breakthrough, Coding, Coronary Artery, Database, Development, Device Innovation, Disease, Field, First, History, Innovation, Institutions, Intellectual Property, Medical, Medical Device, Medical Devices, Metal, Nov, Partnership, Patent, Patent Citations, Patents, Policies, Property, Public, Qualitative, Recent, Stents, Strategy, Technologies, Technology, Welfare, Work</w:t>
      </w:r>
    </w:p>
    <w:p w:rsidR="003474F2" w:rsidRPr="001A3D2B" w:rsidRDefault="003474F2" w:rsidP="003474F2">
      <w:pPr>
        <w:pStyle w:val="1"/>
      </w:pPr>
      <w:r w:rsidRPr="001A3D2B">
        <w:br w:type="page"/>
      </w:r>
      <w:bookmarkStart w:id="237" w:name="_Toc420814999"/>
      <w:r w:rsidRPr="001A3D2B">
        <w:lastRenderedPageBreak/>
        <w:t>Title: Circulation Research</w:t>
      </w:r>
      <w:bookmarkEnd w:id="237"/>
    </w:p>
    <w:p w:rsidR="003474F2" w:rsidRPr="001A3D2B" w:rsidRDefault="003474F2" w:rsidP="003474F2">
      <w:pPr>
        <w:pStyle w:val="12"/>
      </w:pPr>
      <w:r w:rsidRPr="001A3D2B">
        <w:t xml:space="preserve">Full Journal Title: </w:t>
      </w:r>
      <w:r w:rsidR="00DF61FE">
        <w:fldChar w:fldCharType="begin"/>
      </w:r>
      <w:r w:rsidR="00FD158B">
        <w:instrText>HYPERLINK "ht</w:instrText>
      </w:r>
      <w:bookmarkStart w:id="238" w:name="_Toc43634556"/>
      <w:bookmarkStart w:id="239" w:name="_Toc81215667"/>
      <w:r w:rsidR="00FD158B">
        <w:instrText>tp://circres.ahajournals.or</w:instrText>
      </w:r>
      <w:bookmarkEnd w:id="238"/>
      <w:bookmarkEnd w:id="239"/>
      <w:r w:rsidR="00FD158B">
        <w:instrText>g/"</w:instrText>
      </w:r>
      <w:r w:rsidR="00DF61FE">
        <w:fldChar w:fldCharType="separate"/>
      </w:r>
      <w:r w:rsidRPr="001A3D2B">
        <w:rPr>
          <w:rStyle w:val="a5"/>
        </w:rPr>
        <w:t>Circulation Research</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Marbán, E., Bolli, R., Breitwieser, G., Busse, R., Dietz, H., Endoh, M., Finkel, T., Kass, D., Lowenstein, C., Rabinovitch, M.</w:t>
      </w:r>
      <w:r w:rsidR="005853A9">
        <w:t xml:space="preserve"> and </w:t>
      </w:r>
      <w:r w:rsidRPr="001A3D2B">
        <w:t>Tomaselli, G. (2000), Circulation research editors</w:t>
      </w:r>
      <w:r w:rsidR="0071223E">
        <w:t>’</w:t>
      </w:r>
      <w:r w:rsidRPr="001A3D2B">
        <w:t xml:space="preserve"> yearly report: 1999–2000. </w:t>
      </w:r>
      <w:r w:rsidRPr="001A3D2B">
        <w:rPr>
          <w:i/>
          <w:iCs/>
        </w:rPr>
        <w:t>Circulation Research</w:t>
      </w:r>
      <w:r w:rsidRPr="001A3D2B">
        <w:t xml:space="preserve">, </w:t>
      </w:r>
      <w:r w:rsidRPr="001A3D2B">
        <w:rPr>
          <w:b/>
          <w:bCs/>
        </w:rPr>
        <w:t>87</w:t>
      </w:r>
      <w:r w:rsidRPr="001A3D2B">
        <w:t xml:space="preserve"> (4), 261-263.</w:t>
      </w:r>
    </w:p>
    <w:p w:rsidR="003474F2" w:rsidRPr="001A3D2B" w:rsidRDefault="003474F2" w:rsidP="003474F2">
      <w:pPr>
        <w:pStyle w:val="a3"/>
      </w:pPr>
      <w:r w:rsidRPr="001A3D2B">
        <w:t xml:space="preserve">Full Text: </w:t>
      </w:r>
      <w:hyperlink r:id="rId293" w:history="1">
        <w:r w:rsidRPr="001A3D2B">
          <w:rPr>
            <w:rStyle w:val="a5"/>
          </w:rPr>
          <w:t>2000\Cir Res87, 261.pdf</w:t>
        </w:r>
      </w:hyperlink>
    </w:p>
    <w:p w:rsidR="003474F2" w:rsidRPr="001A3D2B" w:rsidRDefault="003474F2" w:rsidP="003474F2">
      <w:pPr>
        <w:pStyle w:val="a3"/>
      </w:pPr>
      <w:r w:rsidRPr="001A3D2B">
        <w:t>Marbán, E., Bolli, R., Breitwieser, G., Busse, R., Dietz, H., Endoh, M., Finkel, T., Kass, D., Lowenstein, C., Rabinovitch, M.</w:t>
      </w:r>
      <w:r w:rsidR="005853A9">
        <w:t xml:space="preserve"> and </w:t>
      </w:r>
      <w:r w:rsidRPr="001A3D2B">
        <w:t>Tomaselli, G. (2002), Circulation research editors</w:t>
      </w:r>
      <w:r w:rsidR="0071223E">
        <w:t>’</w:t>
      </w:r>
      <w:r w:rsidRPr="001A3D2B">
        <w:t xml:space="preserve"> yearly report: 2001. </w:t>
      </w:r>
      <w:r w:rsidRPr="001A3D2B">
        <w:rPr>
          <w:i/>
          <w:iCs/>
        </w:rPr>
        <w:t>Circulation Research</w:t>
      </w:r>
      <w:r w:rsidRPr="001A3D2B">
        <w:t xml:space="preserve">, </w:t>
      </w:r>
      <w:r w:rsidRPr="001A3D2B">
        <w:rPr>
          <w:b/>
          <w:bCs/>
        </w:rPr>
        <w:t>90</w:t>
      </w:r>
      <w:r w:rsidRPr="001A3D2B">
        <w:t xml:space="preserve"> (2), 115-117.</w:t>
      </w:r>
    </w:p>
    <w:p w:rsidR="003474F2" w:rsidRPr="001A3D2B" w:rsidRDefault="003474F2" w:rsidP="003474F2">
      <w:pPr>
        <w:pStyle w:val="a3"/>
      </w:pPr>
      <w:r w:rsidRPr="001A3D2B">
        <w:t xml:space="preserve">Full Text: </w:t>
      </w:r>
      <w:hyperlink r:id="rId294" w:history="1">
        <w:r w:rsidRPr="001A3D2B">
          <w:rPr>
            <w:rStyle w:val="a5"/>
          </w:rPr>
          <w:t>2002\Cir Res90, 115.pdf</w:t>
        </w:r>
      </w:hyperlink>
    </w:p>
    <w:p w:rsidR="003474F2" w:rsidRPr="001A3D2B" w:rsidRDefault="003474F2" w:rsidP="003474F2">
      <w:pPr>
        <w:pStyle w:val="a3"/>
      </w:pPr>
      <w:r w:rsidRPr="001A3D2B">
        <w:t>Marbán, E., Bolli, R., Breitwieser, G., Busse, R., Dietz, H., Endoh, M., Finkel, T., Kass, D., Lowenstein, C., Rabinovitch, M., Tomaselli, G.</w:t>
      </w:r>
      <w:r w:rsidR="005853A9">
        <w:t xml:space="preserve"> and </w:t>
      </w:r>
      <w:r w:rsidRPr="001A3D2B">
        <w:t>Keehan, K.H. (2003), Circulation Research Editors</w:t>
      </w:r>
      <w:r w:rsidR="0071223E">
        <w:t>’</w:t>
      </w:r>
      <w:r w:rsidRPr="001A3D2B">
        <w:t xml:space="preserve"> Yearly Report: 2002. </w:t>
      </w:r>
      <w:r w:rsidRPr="001A3D2B">
        <w:rPr>
          <w:i/>
          <w:iCs/>
        </w:rPr>
        <w:t>Circulation Research</w:t>
      </w:r>
      <w:r w:rsidRPr="001A3D2B">
        <w:t xml:space="preserve">, </w:t>
      </w:r>
      <w:r w:rsidRPr="001A3D2B">
        <w:rPr>
          <w:b/>
          <w:bCs/>
        </w:rPr>
        <w:t>92</w:t>
      </w:r>
      <w:r w:rsidRPr="001A3D2B">
        <w:t xml:space="preserve"> (2), 121-123.</w:t>
      </w:r>
    </w:p>
    <w:p w:rsidR="003474F2" w:rsidRPr="001A3D2B" w:rsidRDefault="003474F2" w:rsidP="003474F2">
      <w:pPr>
        <w:pStyle w:val="a3"/>
      </w:pPr>
      <w:r w:rsidRPr="001A3D2B">
        <w:t xml:space="preserve">Full Text: </w:t>
      </w:r>
      <w:hyperlink r:id="rId295" w:history="1">
        <w:r w:rsidRPr="001A3D2B">
          <w:rPr>
            <w:rStyle w:val="a5"/>
          </w:rPr>
          <w:t>2003\Cir Res92, 121.pdf</w:t>
        </w:r>
      </w:hyperlink>
    </w:p>
    <w:p w:rsidR="003474F2" w:rsidRPr="001A3D2B" w:rsidRDefault="003474F2" w:rsidP="003474F2">
      <w:pPr>
        <w:pStyle w:val="a3"/>
      </w:pPr>
      <w:r w:rsidRPr="001A3D2B">
        <w:t xml:space="preserve">Vatner, S.F. (2003), A three-decade dialectic with Circulation Research. </w:t>
      </w:r>
      <w:r w:rsidRPr="001A3D2B">
        <w:rPr>
          <w:i/>
          <w:iCs/>
        </w:rPr>
        <w:t>Circulation Research</w:t>
      </w:r>
      <w:r w:rsidRPr="001A3D2B">
        <w:t xml:space="preserve">, </w:t>
      </w:r>
      <w:r w:rsidRPr="001A3D2B">
        <w:rPr>
          <w:b/>
          <w:bCs/>
        </w:rPr>
        <w:t>92</w:t>
      </w:r>
      <w:r w:rsidRPr="001A3D2B">
        <w:t xml:space="preserve"> (9), 939-940.</w:t>
      </w:r>
    </w:p>
    <w:p w:rsidR="003474F2" w:rsidRPr="001A3D2B" w:rsidRDefault="003474F2" w:rsidP="003474F2">
      <w:pPr>
        <w:pStyle w:val="a3"/>
      </w:pPr>
      <w:r w:rsidRPr="001A3D2B">
        <w:t xml:space="preserve">Full Text: </w:t>
      </w:r>
      <w:hyperlink r:id="rId296" w:history="1">
        <w:r w:rsidRPr="001A3D2B">
          <w:rPr>
            <w:rStyle w:val="a5"/>
          </w:rPr>
          <w:t>2003\Cir Res92, 939.pdf</w:t>
        </w:r>
      </w:hyperlink>
    </w:p>
    <w:p w:rsidR="003474F2" w:rsidRPr="001A3D2B" w:rsidRDefault="003474F2" w:rsidP="003474F2">
      <w:pPr>
        <w:pStyle w:val="a3"/>
      </w:pPr>
      <w:r w:rsidRPr="001A3D2B">
        <w:t>Keywords: Scientific Publishing, Cardiovascular Research, Impact Factor, Molecular Biology, Vascular Biology</w:t>
      </w:r>
    </w:p>
    <w:p w:rsidR="00CA00C8" w:rsidRDefault="00CA00C8" w:rsidP="00CA00C8">
      <w:pPr>
        <w:pStyle w:val="a3"/>
        <w:rPr>
          <w:kern w:val="0"/>
        </w:rPr>
      </w:pPr>
      <w:r>
        <w:rPr>
          <w:kern w:val="0"/>
        </w:rPr>
        <w:t xml:space="preserve">? Danthi, N., Wu, C.O., Shi, P.B. and Lauer, M. (2014), Percentile ranking and citation impact of a large cohort of national heart, lung, and blood institute-funded cardiovascular R01 grants. </w:t>
      </w:r>
      <w:r>
        <w:rPr>
          <w:i/>
          <w:iCs/>
          <w:kern w:val="0"/>
        </w:rPr>
        <w:t>Circulation Research</w:t>
      </w:r>
      <w:r>
        <w:rPr>
          <w:kern w:val="0"/>
        </w:rPr>
        <w:t xml:space="preserve">, </w:t>
      </w:r>
      <w:r>
        <w:rPr>
          <w:b/>
          <w:bCs/>
          <w:kern w:val="0"/>
        </w:rPr>
        <w:t>114</w:t>
      </w:r>
      <w:r>
        <w:rPr>
          <w:kern w:val="0"/>
        </w:rPr>
        <w:t xml:space="preserve"> (4), 600-606.</w:t>
      </w:r>
    </w:p>
    <w:p w:rsidR="00CA00C8" w:rsidRPr="001A3D2B" w:rsidRDefault="00CA00C8" w:rsidP="00CA00C8">
      <w:pPr>
        <w:pStyle w:val="a3"/>
      </w:pPr>
      <w:r w:rsidRPr="001A3D2B">
        <w:t xml:space="preserve">Full Text: </w:t>
      </w:r>
      <w:hyperlink r:id="rId297" w:history="1">
        <w:r w:rsidRPr="00BD6CCB">
          <w:rPr>
            <w:rStyle w:val="a5"/>
          </w:rPr>
          <w:t>2014\Cir Res114, 600.pdf</w:t>
        </w:r>
      </w:hyperlink>
    </w:p>
    <w:p w:rsidR="00CA00C8" w:rsidRDefault="00CA00C8" w:rsidP="00CA00C8">
      <w:pPr>
        <w:pStyle w:val="a3"/>
        <w:rPr>
          <w:kern w:val="0"/>
        </w:rPr>
      </w:pPr>
      <w:r>
        <w:rPr>
          <w:kern w:val="0"/>
        </w:rPr>
        <w:t xml:space="preserve">Abstract: Rationale: Funding decisions for cardiovascular R01 grant applications at the National Heart, Lung, and Blood Institute (NHLBI) largely hinge on percentile rankings. It is not known whether this approach enables the highest impact science. </w:t>
      </w:r>
      <w:r>
        <w:rPr>
          <w:kern w:val="0"/>
        </w:rPr>
        <w:lastRenderedPageBreak/>
        <w:t>Objective: Our aim was to conduct an observational analysis of percentile rankings and bibliometric outcomes for a contemporary set of funded NHLBI cardiovascular R01 grants. Methods and Results: We identified 1492 investigator-initiated de novo R01 grant applications that were funded between 2001 and 2008 and followed their progress for linked publications and citations to those publications. Our coprimary end points were citations received per million dollars of funding, citations obtained &lt;2 years of publication, and 2-year citations for each grant</w:t>
      </w:r>
      <w:r w:rsidR="0071223E">
        <w:rPr>
          <w:kern w:val="0"/>
        </w:rPr>
        <w:t>’</w:t>
      </w:r>
      <w:r>
        <w:rPr>
          <w:kern w:val="0"/>
        </w:rPr>
        <w:t>s maximally cited paper. In 7654 grant-years of funding that generated $3004 million of total National Institutes of Health awards, the portfolio yielded 16 793 publications that appeared between 2001 and 2012 (median per grant, 8; 25th and 75th percentiles, 4 and 14; range, 0-123), which received 2 224 255 citations (median per grant, 1048; 25th and 75th percentiles, 492 and 1932; range, 0-16 295). We found no association between percentile rankings and citation metrics; the absence of association persisted even after accounting for calendar time, grant duration, number of grants acknowledged per paper, number of authors per paper, early investigator status, human versus nonhuman focus, and institutional funding. An exploratory machine learning analysis suggested that grants with the best percentile rankings did yield more maximally cited papers. Conclusions: In a large cohort of NHLBI-funded cardiovascular R01 grants, we were unable to find a monotonic association between better percentile ranking and higher scientific impact as assessed by citation metrics.</w:t>
      </w:r>
    </w:p>
    <w:p w:rsidR="00CA00C8" w:rsidRDefault="00CA00C8" w:rsidP="00CA00C8">
      <w:pPr>
        <w:pStyle w:val="a3"/>
        <w:rPr>
          <w:kern w:val="0"/>
        </w:rPr>
      </w:pPr>
      <w:r>
        <w:rPr>
          <w:kern w:val="0"/>
        </w:rPr>
        <w:t>Keywords: Analysis, And Blood Institute U, Approach, Association, Authors, Bibliometric, Bibliometrics, Cardiovascular, Citation, Citation Metrics, Citations, Cohort, Duration, Funding, Health, Human, Impact, Learning, Lung, Machine, Machine Learning, Methods, Metrics, National Heart, National Institutes Of Health, Observational, Outcomes, Papers, Percentile, Percentiles, Progress, Publication, Publications, Ranking, Rankings, Results, S, Science, Scientific Impact, Scientific Productivity</w:t>
      </w:r>
    </w:p>
    <w:p w:rsidR="002F0F1A" w:rsidRDefault="002F0F1A" w:rsidP="002F0F1A">
      <w:pPr>
        <w:pStyle w:val="a3"/>
        <w:rPr>
          <w:kern w:val="0"/>
        </w:rPr>
      </w:pPr>
      <w:r>
        <w:rPr>
          <w:rFonts w:hint="eastAsia"/>
          <w:kern w:val="0"/>
        </w:rPr>
        <w:t xml:space="preserve">? </w:t>
      </w:r>
      <w:r>
        <w:rPr>
          <w:kern w:val="0"/>
        </w:rPr>
        <w:t xml:space="preserve">Kaltman, J.R., Evans, F.J., Danthi, N.S., Wu, C.O., DiMichele, D.M. and Lauer, M.S. (2014), Prior publication productivity, grant percentile ranking, and topic-normalized citation impact of NHLBI cardiovascular R01 grants. </w:t>
      </w:r>
      <w:r>
        <w:rPr>
          <w:i/>
          <w:iCs/>
          <w:kern w:val="0"/>
        </w:rPr>
        <w:t>Circulation Research</w:t>
      </w:r>
      <w:r>
        <w:rPr>
          <w:kern w:val="0"/>
        </w:rPr>
        <w:t xml:space="preserve">, </w:t>
      </w:r>
      <w:r>
        <w:rPr>
          <w:b/>
          <w:bCs/>
          <w:kern w:val="0"/>
        </w:rPr>
        <w:t>115</w:t>
      </w:r>
      <w:r>
        <w:rPr>
          <w:kern w:val="0"/>
        </w:rPr>
        <w:t xml:space="preserve"> (7), 617-624.</w:t>
      </w:r>
    </w:p>
    <w:p w:rsidR="002F0F1A" w:rsidRPr="001A3D2B" w:rsidRDefault="002F0F1A" w:rsidP="002F0F1A">
      <w:pPr>
        <w:pStyle w:val="a3"/>
      </w:pPr>
      <w:r w:rsidRPr="001A3D2B">
        <w:t xml:space="preserve">Full Text: </w:t>
      </w:r>
      <w:hyperlink r:id="rId298" w:history="1">
        <w:r w:rsidRPr="002F0F1A">
          <w:rPr>
            <w:rStyle w:val="a5"/>
          </w:rPr>
          <w:t>2014\Cir Res115, 617.pdf</w:t>
        </w:r>
      </w:hyperlink>
    </w:p>
    <w:p w:rsidR="002F0F1A" w:rsidRDefault="002F0F1A" w:rsidP="002F0F1A">
      <w:pPr>
        <w:pStyle w:val="a3"/>
        <w:rPr>
          <w:kern w:val="0"/>
        </w:rPr>
      </w:pPr>
      <w:r>
        <w:rPr>
          <w:kern w:val="0"/>
        </w:rPr>
        <w:t>Abstract: Rationale: We previously demonstrated absence of association between peer-review-derived percentile ranking and raw citation impact in a large cohort of National Heart, Lung, and Blood Institute cardiovascular R01 grants, but we did not consider pregrant investigator publication productivity. We also did not normalize citation counts for scientific field, type of article, and year of publication. Objective: To determine whether measures of investigator prior productivity predict a grant</w:t>
      </w:r>
      <w:r w:rsidR="0071223E">
        <w:rPr>
          <w:kern w:val="0"/>
        </w:rPr>
        <w:t>’</w:t>
      </w:r>
      <w:r>
        <w:rPr>
          <w:kern w:val="0"/>
        </w:rPr>
        <w:t xml:space="preserve">s subsequent scientific impact as measured by normalized citation metrics. Methods </w:t>
      </w:r>
      <w:r>
        <w:rPr>
          <w:kern w:val="0"/>
        </w:rPr>
        <w:lastRenderedPageBreak/>
        <w:t>and Results: We identified 1492 investigator-initiated de novo National Heart, Lung, and Blood Institute R01 grant applications funded between 2001 and 2008 and linked the publications from these grants to their InCites (Thompson Reuters) citation record. InCites provides a normalized citation count for each publication stratifying by year of publication, type of publication, and field of science. The coprimary end points for this analysis were the normalized citation impact per million dollars allocated and the number of publications per grant that has normalized citation rate in the top decile per million dollars allocated (top 10% articles). Prior productivity measures included the number of National Heart, Lung, and Blood Institute-supported publications each principal investigator published in the 5 years before grant review and the corresponding prior normalized citation impact score. After accounting for potential confounders, there was no association between peer-review percentile ranking and bibliometric end points (all adjusted P&gt;0.5). However, prior productivity was predictive (P&lt;0.0001). Conclusions: Even after normalizing citation counts, we confirmed a lack of association between peer-review grant percentile ranking and grant citation impact. However, prior investigator publication productivity was predictive of grant-specific citation impact.</w:t>
      </w:r>
    </w:p>
    <w:p w:rsidR="002F0F1A" w:rsidRDefault="002F0F1A" w:rsidP="002F0F1A">
      <w:pPr>
        <w:pStyle w:val="a3"/>
        <w:rPr>
          <w:kern w:val="0"/>
        </w:rPr>
      </w:pPr>
      <w:r>
        <w:rPr>
          <w:kern w:val="0"/>
        </w:rPr>
        <w:t>Keywords: Analysis, Article, Articles, Association, Bibliometric, Bibliometrics, Cardiovascular, Citation, Citation Counts, Citation Impact, Citation Metrics, Citation Record, Cohort, Field, From, Impact, Incites, Lung, Measures, Methods, Metrics, National Heart, National Heart,Lung,And Blood Institute (Us), Peer Review, Peer-Review, Percentile, Potential, Predictive, Productivity, Publication, Publication Productivity, Publications, Ranking, Record, Results, Review, Science, Scientific Impact</w:t>
      </w:r>
    </w:p>
    <w:p w:rsidR="00F46F75" w:rsidRDefault="00F46F75" w:rsidP="00F46F75">
      <w:pPr>
        <w:pStyle w:val="a3"/>
        <w:rPr>
          <w:kern w:val="0"/>
          <w:szCs w:val="24"/>
        </w:rPr>
      </w:pPr>
      <w:r>
        <w:rPr>
          <w:kern w:val="0"/>
          <w:szCs w:val="24"/>
        </w:rPr>
        <w:t xml:space="preserve">? Danthi, N.S., Wu, C.O., DiMichele, D.M., Hoots, W.K. and Lauer, M.S. (2015), Citation impact of NHLBI R01 grants funded through the American Recovery and Reinvestment Act as compared to R01 grants funded through a standard payline. </w:t>
      </w:r>
      <w:r>
        <w:rPr>
          <w:i/>
          <w:iCs/>
          <w:kern w:val="0"/>
          <w:szCs w:val="24"/>
        </w:rPr>
        <w:t>Circulation Research</w:t>
      </w:r>
      <w:r>
        <w:rPr>
          <w:kern w:val="0"/>
          <w:szCs w:val="24"/>
        </w:rPr>
        <w:t xml:space="preserve">, </w:t>
      </w:r>
      <w:r>
        <w:rPr>
          <w:b/>
          <w:bCs/>
          <w:kern w:val="0"/>
          <w:szCs w:val="24"/>
        </w:rPr>
        <w:t>116</w:t>
      </w:r>
      <w:r>
        <w:rPr>
          <w:kern w:val="0"/>
          <w:szCs w:val="24"/>
        </w:rPr>
        <w:t xml:space="preserve"> (5), 784-788.</w:t>
      </w:r>
    </w:p>
    <w:p w:rsidR="00F46F75" w:rsidRPr="001A3D2B" w:rsidRDefault="00F46F75" w:rsidP="00F46F75">
      <w:pPr>
        <w:pStyle w:val="a3"/>
      </w:pPr>
      <w:r w:rsidRPr="001A3D2B">
        <w:t xml:space="preserve">Full Text: </w:t>
      </w:r>
      <w:r w:rsidRPr="0017742A">
        <w:t>201</w:t>
      </w:r>
      <w:r>
        <w:rPr>
          <w:rFonts w:hint="eastAsia"/>
        </w:rPr>
        <w:t>5</w:t>
      </w:r>
      <w:r w:rsidRPr="0017742A">
        <w:t>\Cir Res11</w:t>
      </w:r>
      <w:r>
        <w:rPr>
          <w:rFonts w:hint="eastAsia"/>
        </w:rPr>
        <w:t>6</w:t>
      </w:r>
      <w:r w:rsidRPr="0017742A">
        <w:t xml:space="preserve">, </w:t>
      </w:r>
      <w:r>
        <w:rPr>
          <w:kern w:val="0"/>
          <w:szCs w:val="24"/>
        </w:rPr>
        <w:t>784</w:t>
      </w:r>
      <w:r w:rsidRPr="0017742A">
        <w:t>.pdf</w:t>
      </w:r>
    </w:p>
    <w:p w:rsidR="00F46F75" w:rsidRDefault="00F46F75" w:rsidP="00F46F75">
      <w:pPr>
        <w:pStyle w:val="a3"/>
        <w:rPr>
          <w:kern w:val="0"/>
          <w:szCs w:val="24"/>
        </w:rPr>
      </w:pPr>
      <w:r>
        <w:rPr>
          <w:kern w:val="0"/>
          <w:szCs w:val="24"/>
        </w:rPr>
        <w:t xml:space="preserve">Abstract: Rationale: The American Recovery and Reinvestment Act (ARRA) allowed National Heart, Lung, and Blood Institute to fund R01 grants that fared less well on peer review than those funded by meeting a payline threshold. It is not clear whether the sudden availability of additional funding enabled research of similar or lesser citation impact than already funded work. Objective: To compare the citation impact of ARRA-funded de novo National Heart, Lung, and Blood Institute R01 grants with concurrent de novo National Heart, Lung, and Blood Institute R01 grants funded by standard payline mechanisms. Methods and Results: We identified de novo (type 1) R01 grants funded by National Heart, Lung, and Blood Institute in fiscal year 2009: these included 458 funded by meeting Institute’s published payline and 165 funded </w:t>
      </w:r>
      <w:r>
        <w:rPr>
          <w:kern w:val="0"/>
          <w:szCs w:val="24"/>
        </w:rPr>
        <w:lastRenderedPageBreak/>
        <w:t>only because of ARRA funding. Compared with payline grants, ARRA grants received fewer total funds (median values, $1.03 versus $1.87 million; P&lt;0.001) for a shorter duration (median values including no-cost extensions, 3.0 versus 4.9 years; P&lt;0.001). Through May 2014, the payline R01 grants generated 3895 publications, whereas the ARRA R01 grants generated 996. Using the InCites database from Thomson-Reuters, we calculated a normalized citation impact for each grant by weighting each article for the number of citations it received normalizing for subject, article type, and year of publication. The ARRA R01 grants had a similar normalized citation impact per $1 million spent as the payline grants (median values [interquartile range], 2.15 [0.73-4.68] versus 2.03 [0.75-4.10]; P=0.61). The similar impact of the ARRA grants persisted even after accounting for potential confounders. Conclusions: Despite shorter durations and lower budgets, ARRA R01 grants had comparable citation outcomes per $million spent to that of contemporaneously funded payline R01 grants.</w:t>
      </w:r>
    </w:p>
    <w:p w:rsidR="00F46F75" w:rsidRDefault="00F46F75" w:rsidP="00F46F75">
      <w:pPr>
        <w:pStyle w:val="a3"/>
        <w:rPr>
          <w:kern w:val="0"/>
          <w:szCs w:val="24"/>
        </w:rPr>
      </w:pPr>
      <w:r>
        <w:rPr>
          <w:kern w:val="0"/>
          <w:szCs w:val="24"/>
        </w:rPr>
        <w:t>Keywords: Act, Article, Availability, Bibliometrics, Biomedical-Research, Blood, Citation, Citation Impact, Citations, Database, Duration, Economics, From, Funding, Impact, Incites, Lung, Mechanisms, Methods, National Heart, Outcomes, Peer Review, Peer-Review, Percentile Ranking, Potential, Publication, Publications, Recovery, Research, Results, Review, Standard, Thomson Reuters, Thomson-Reuters, Threshold, Weighting, Work</w:t>
      </w:r>
    </w:p>
    <w:p w:rsidR="003474F2" w:rsidRPr="001A3D2B" w:rsidRDefault="003474F2" w:rsidP="003474F2">
      <w:pPr>
        <w:pStyle w:val="1"/>
      </w:pPr>
      <w:r w:rsidRPr="001A3D2B">
        <w:br w:type="page"/>
      </w:r>
      <w:bookmarkStart w:id="240" w:name="_Toc420815000"/>
      <w:r w:rsidRPr="001A3D2B">
        <w:lastRenderedPageBreak/>
        <w:t>Title: Cirugía Española</w:t>
      </w:r>
      <w:bookmarkEnd w:id="240"/>
    </w:p>
    <w:p w:rsidR="003474F2" w:rsidRPr="001A3D2B" w:rsidRDefault="003474F2" w:rsidP="003474F2">
      <w:pPr>
        <w:pStyle w:val="12"/>
      </w:pPr>
      <w:r w:rsidRPr="001A3D2B">
        <w:t>Full Journal Title: Cirug</w:t>
      </w:r>
      <w:r w:rsidR="000A44FA" w:rsidRPr="001A3D2B">
        <w:t>i</w:t>
      </w:r>
      <w:r w:rsidRPr="001A3D2B">
        <w:t>a Espa</w:t>
      </w:r>
      <w:r w:rsidR="000A44FA" w:rsidRPr="001A3D2B">
        <w:t>n</w:t>
      </w:r>
      <w:r w:rsidRPr="001A3D2B">
        <w:t>ola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Cir Esp</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a3"/>
      </w:pPr>
      <w:r w:rsidRPr="001A3D2B">
        <w:t>? Manterola, C., Busquets, J., Pascual, M.</w:t>
      </w:r>
      <w:r w:rsidR="005853A9">
        <w:t xml:space="preserve"> and </w:t>
      </w:r>
      <w:r w:rsidRPr="001A3D2B">
        <w:t>Grande, L. (2006), What is</w:t>
      </w:r>
      <w:r w:rsidR="003A1917">
        <w:t xml:space="preserve"> the </w:t>
      </w:r>
      <w:r w:rsidRPr="001A3D2B">
        <w:t>methodological quality</w:t>
      </w:r>
      <w:r w:rsidR="00427468">
        <w:t xml:space="preserve"> of </w:t>
      </w:r>
      <w:r w:rsidRPr="001A3D2B">
        <w:t xml:space="preserve">articles on therapeutic procedures published in </w:t>
      </w:r>
      <w:r w:rsidRPr="001A3D2B">
        <w:rPr>
          <w:i/>
        </w:rPr>
        <w:t>Cirugía Española</w:t>
      </w:r>
      <w:r w:rsidRPr="001A3D2B">
        <w:t xml:space="preserve">? </w:t>
      </w:r>
      <w:r w:rsidRPr="001A3D2B">
        <w:rPr>
          <w:i/>
        </w:rPr>
        <w:t>Cirugía Española</w:t>
      </w:r>
      <w:r w:rsidRPr="001A3D2B">
        <w:t xml:space="preserve">, </w:t>
      </w:r>
      <w:r w:rsidRPr="001A3D2B">
        <w:rPr>
          <w:b/>
          <w:bCs/>
        </w:rPr>
        <w:t>79</w:t>
      </w:r>
      <w:r w:rsidRPr="001A3D2B">
        <w:t xml:space="preserve"> (2), 95-100.</w:t>
      </w:r>
    </w:p>
    <w:p w:rsidR="003474F2" w:rsidRPr="001A3D2B" w:rsidRDefault="003474F2" w:rsidP="003474F2">
      <w:pPr>
        <w:pStyle w:val="a3"/>
      </w:pPr>
      <w:r w:rsidRPr="001A3D2B">
        <w:t>Abstract: INTRODUCTION:</w:t>
      </w:r>
      <w:r w:rsidR="003A1917">
        <w:t xml:space="preserve"> the </w:t>
      </w:r>
      <w:r w:rsidRPr="001A3D2B">
        <w:t>aim</w:t>
      </w:r>
      <w:r w:rsidR="00427468">
        <w:t xml:space="preserve"> of </w:t>
      </w:r>
      <w:r w:rsidRPr="001A3D2B">
        <w:t>this study was to determine</w:t>
      </w:r>
      <w:r w:rsidR="003A1917">
        <w:t xml:space="preserve"> the </w:t>
      </w:r>
      <w:r w:rsidRPr="001A3D2B">
        <w:t>methodological quality</w:t>
      </w:r>
      <w:r w:rsidR="00427468">
        <w:t xml:space="preserve"> of </w:t>
      </w:r>
      <w:r w:rsidRPr="001A3D2B">
        <w:t>articles on therapeutic procedures published in Cirugia Espanola</w:t>
      </w:r>
      <w:r w:rsidR="005853A9">
        <w:t xml:space="preserve"> and </w:t>
      </w:r>
      <w:r w:rsidRPr="001A3D2B">
        <w:t>to study its association with</w:t>
      </w:r>
      <w:r w:rsidR="003A1917">
        <w:t xml:space="preserve"> the </w:t>
      </w:r>
      <w:r w:rsidRPr="001A3D2B">
        <w:t>publication year, center,</w:t>
      </w:r>
      <w:r w:rsidR="005853A9">
        <w:t xml:space="preserve"> and </w:t>
      </w:r>
      <w:r w:rsidRPr="001A3D2B">
        <w:t>subject-matter. MATERIAL</w:t>
      </w:r>
      <w:r w:rsidR="005853A9">
        <w:t xml:space="preserve"> and </w:t>
      </w:r>
      <w:r w:rsidRPr="001A3D2B">
        <w:t>METHOD: A bibliometric study that included all articles on therapeutic procedures published in Cirugia Espanola between 2001</w:t>
      </w:r>
      <w:r w:rsidR="005853A9">
        <w:t xml:space="preserve"> and </w:t>
      </w:r>
      <w:r w:rsidRPr="001A3D2B">
        <w:t>2004 was performed. All kinds</w:t>
      </w:r>
      <w:r w:rsidR="00427468">
        <w:t xml:space="preserve"> of </w:t>
      </w:r>
      <w:r w:rsidRPr="001A3D2B">
        <w:t>clinical designs were considered, excluding editorials, review articles, letters to editor,</w:t>
      </w:r>
      <w:r w:rsidR="005853A9">
        <w:t xml:space="preserve"> and </w:t>
      </w:r>
      <w:r w:rsidRPr="001A3D2B">
        <w:t>experimental studies</w:t>
      </w:r>
      <w:r w:rsidR="00A37C1D">
        <w:t>. The</w:t>
      </w:r>
      <w:r w:rsidR="003A1917">
        <w:t xml:space="preserve"> </w:t>
      </w:r>
      <w:r w:rsidRPr="001A3D2B">
        <w:t>variables analyzed were: year</w:t>
      </w:r>
      <w:r w:rsidR="00427468">
        <w:t xml:space="preserve"> of </w:t>
      </w:r>
      <w:r w:rsidRPr="001A3D2B">
        <w:t>publication, center, design,</w:t>
      </w:r>
      <w:r w:rsidR="005853A9">
        <w:t xml:space="preserve"> and </w:t>
      </w:r>
      <w:r w:rsidRPr="001A3D2B">
        <w:t>methodological quality. Methodological quality was determined by a valid</w:t>
      </w:r>
      <w:r w:rsidR="005853A9">
        <w:t xml:space="preserve"> and </w:t>
      </w:r>
      <w:r w:rsidRPr="001A3D2B">
        <w:t>reliable scale. Descriptive statistics (calculation</w:t>
      </w:r>
      <w:r w:rsidR="00427468">
        <w:t xml:space="preserve"> of </w:t>
      </w:r>
      <w:r w:rsidRPr="001A3D2B">
        <w:t>means, standard deviation</w:t>
      </w:r>
      <w:r w:rsidR="005853A9">
        <w:t xml:space="preserve"> and </w:t>
      </w:r>
      <w:r w:rsidRPr="001A3D2B">
        <w:t>medians)</w:t>
      </w:r>
      <w:r w:rsidR="005853A9">
        <w:t xml:space="preserve"> and </w:t>
      </w:r>
      <w:r w:rsidRPr="001A3D2B">
        <w:t>analytical statistics (Pearson</w:t>
      </w:r>
      <w:r w:rsidR="0071223E">
        <w:t>’</w:t>
      </w:r>
      <w:r w:rsidR="00C13DDC">
        <w:t>s</w:t>
      </w:r>
      <w:r w:rsidRPr="001A3D2B">
        <w:t xml:space="preserve"> chi2, nonparametric, ANOVA</w:t>
      </w:r>
      <w:r w:rsidR="005853A9">
        <w:t xml:space="preserve"> and </w:t>
      </w:r>
      <w:r w:rsidRPr="001A3D2B">
        <w:t>Bonferroni tests) were used. RESULTS: A total</w:t>
      </w:r>
      <w:r w:rsidR="00427468">
        <w:t xml:space="preserve"> of </w:t>
      </w:r>
      <w:r w:rsidRPr="001A3D2B">
        <w:t>244 articles were studied (197 case series [81%], 28 cohort studies [12%], 17 clinical trials [7%], 1 cross sectional study</w:t>
      </w:r>
      <w:r w:rsidR="005853A9">
        <w:t xml:space="preserve"> and </w:t>
      </w:r>
      <w:r w:rsidRPr="001A3D2B">
        <w:t>1 case-control study [0.8%])</w:t>
      </w:r>
      <w:r w:rsidR="00A37C1D">
        <w:t>. The</w:t>
      </w:r>
      <w:r w:rsidR="003A1917">
        <w:t xml:space="preserve"> </w:t>
      </w:r>
      <w:r w:rsidRPr="001A3D2B">
        <w:t>studies were performed mainly in Catalonia</w:t>
      </w:r>
      <w:r w:rsidR="005853A9">
        <w:t xml:space="preserve"> and </w:t>
      </w:r>
      <w:r w:rsidRPr="001A3D2B">
        <w:t>Murcia (22%</w:t>
      </w:r>
      <w:r w:rsidR="005853A9">
        <w:t xml:space="preserve"> and </w:t>
      </w:r>
      <w:r w:rsidRPr="001A3D2B">
        <w:t>16%, respectively)</w:t>
      </w:r>
      <w:r w:rsidR="00A37C1D">
        <w:t>. The</w:t>
      </w:r>
      <w:r w:rsidR="003A1917">
        <w:t xml:space="preserve"> </w:t>
      </w:r>
      <w:r w:rsidRPr="001A3D2B">
        <w:t>most frequent subject areas were soft tissue</w:t>
      </w:r>
      <w:r w:rsidR="005853A9">
        <w:t xml:space="preserve"> and </w:t>
      </w:r>
      <w:r w:rsidRPr="001A3D2B">
        <w:t>hepatobiliopancreatic surgery (23%</w:t>
      </w:r>
      <w:r w:rsidR="005853A9">
        <w:t xml:space="preserve"> and </w:t>
      </w:r>
      <w:r w:rsidRPr="001A3D2B">
        <w:t>19%, respectively)</w:t>
      </w:r>
      <w:r w:rsidR="00A37C1D">
        <w:t>. The</w:t>
      </w:r>
      <w:r w:rsidR="003A1917">
        <w:t xml:space="preserve"> </w:t>
      </w:r>
      <w:r w:rsidRPr="001A3D2B">
        <w:t>mean</w:t>
      </w:r>
      <w:r w:rsidR="005853A9">
        <w:t xml:space="preserve"> and </w:t>
      </w:r>
      <w:r w:rsidRPr="001A3D2B">
        <w:t>median</w:t>
      </w:r>
      <w:r w:rsidR="00427468">
        <w:t xml:space="preserve"> of </w:t>
      </w:r>
      <w:r w:rsidR="003A1917">
        <w:t xml:space="preserve">the </w:t>
      </w:r>
      <w:r w:rsidRPr="001A3D2B">
        <w:t>methodological quality score calculated for</w:t>
      </w:r>
      <w:r w:rsidR="003A1917">
        <w:t xml:space="preserve"> the </w:t>
      </w:r>
      <w:r w:rsidRPr="001A3D2B">
        <w:t>entire series was 10.2±3.9 points</w:t>
      </w:r>
      <w:r w:rsidR="005853A9">
        <w:t xml:space="preserve"> and </w:t>
      </w:r>
      <w:r w:rsidRPr="001A3D2B">
        <w:t>9.5 points, respectively. Methodological quality significantly increased by publication year (p &lt; 0.001). An association between methodological quality</w:t>
      </w:r>
      <w:r w:rsidR="005853A9">
        <w:t xml:space="preserve"> and </w:t>
      </w:r>
      <w:r w:rsidRPr="001A3D2B">
        <w:t>subject area was observed but no association was detected with</w:t>
      </w:r>
      <w:r w:rsidR="003A1917">
        <w:t xml:space="preserve"> the </w:t>
      </w:r>
      <w:r w:rsidRPr="001A3D2B">
        <w:t>center performing</w:t>
      </w:r>
      <w:r w:rsidR="003A1917">
        <w:t xml:space="preserve"> the </w:t>
      </w:r>
      <w:r w:rsidRPr="001A3D2B">
        <w:t>study. CONCLUSIONS:</w:t>
      </w:r>
      <w:r w:rsidR="003A1917">
        <w:t xml:space="preserve"> the </w:t>
      </w:r>
      <w:r w:rsidRPr="001A3D2B">
        <w:t>methodological quality</w:t>
      </w:r>
      <w:r w:rsidR="00427468">
        <w:t xml:space="preserve"> of </w:t>
      </w:r>
      <w:r w:rsidRPr="001A3D2B">
        <w:t>articles on therapeutic procedures published in Cirugia Espanola between 2001</w:t>
      </w:r>
      <w:r w:rsidR="005853A9">
        <w:t xml:space="preserve"> and </w:t>
      </w:r>
      <w:r w:rsidRPr="001A3D2B">
        <w:t>2004 is low. However, a statistically significant trend toward improvement was observed.</w:t>
      </w:r>
    </w:p>
    <w:p w:rsidR="003474F2" w:rsidRPr="001A3D2B" w:rsidRDefault="003474F2" w:rsidP="003474F2">
      <w:pPr>
        <w:pStyle w:val="a3"/>
      </w:pPr>
      <w:r w:rsidRPr="001A3D2B">
        <w:lastRenderedPageBreak/>
        <w:t>Keywords: Anova, Association, Bibliometric, Bibliometric Study, Calculation, Case-Control, Case-Control Study, Clinical, Clinical Trials, Cohort, Design, Experimental, Improvement, Procedures, Publication, Quality, Quality of, Review, Scale, Standard, Statistics, Surgery, Therapeutic, Trend</w:t>
      </w:r>
    </w:p>
    <w:p w:rsidR="00D0249A" w:rsidRPr="001A3D2B" w:rsidRDefault="00D0249A" w:rsidP="00D0249A">
      <w:pPr>
        <w:pStyle w:val="a3"/>
        <w:rPr>
          <w:kern w:val="0"/>
          <w:szCs w:val="24"/>
        </w:rPr>
      </w:pPr>
      <w:r w:rsidRPr="001A3D2B">
        <w:rPr>
          <w:kern w:val="0"/>
          <w:szCs w:val="24"/>
        </w:rPr>
        <w:t>? Gisbert, J.P.</w:t>
      </w:r>
      <w:r w:rsidR="005853A9">
        <w:rPr>
          <w:kern w:val="0"/>
          <w:szCs w:val="24"/>
        </w:rPr>
        <w:t xml:space="preserve"> and </w:t>
      </w:r>
      <w:r w:rsidRPr="001A3D2B">
        <w:rPr>
          <w:kern w:val="0"/>
          <w:szCs w:val="24"/>
        </w:rPr>
        <w:t>Panes, J. (2009</w:t>
      </w:r>
      <w:r w:rsidR="00F42EAC">
        <w:rPr>
          <w:kern w:val="0"/>
          <w:szCs w:val="24"/>
        </w:rPr>
        <w:t>), The</w:t>
      </w:r>
      <w:r w:rsidR="003A1917">
        <w:rPr>
          <w:kern w:val="0"/>
          <w:szCs w:val="24"/>
        </w:rPr>
        <w:t xml:space="preserve"> </w:t>
      </w:r>
      <w:r w:rsidRPr="001A3D2B">
        <w:rPr>
          <w:kern w:val="0"/>
          <w:szCs w:val="24"/>
        </w:rPr>
        <w:t>Hirsch</w:t>
      </w:r>
      <w:r w:rsidR="0071223E">
        <w:rPr>
          <w:kern w:val="0"/>
          <w:szCs w:val="24"/>
        </w:rPr>
        <w:t>’</w:t>
      </w:r>
      <w:r w:rsidR="00C13DDC">
        <w:rPr>
          <w:kern w:val="0"/>
          <w:szCs w:val="24"/>
        </w:rPr>
        <w:t>s</w:t>
      </w:r>
      <w:r w:rsidRPr="001A3D2B">
        <w:rPr>
          <w:kern w:val="0"/>
          <w:szCs w:val="24"/>
        </w:rPr>
        <w:t xml:space="preserve"> </w:t>
      </w:r>
      <w:r w:rsidR="00D5664A">
        <w:rPr>
          <w:kern w:val="0"/>
          <w:szCs w:val="24"/>
        </w:rPr>
        <w:t>h-Index</w:t>
      </w:r>
      <w:r w:rsidRPr="001A3D2B">
        <w:rPr>
          <w:kern w:val="0"/>
          <w:szCs w:val="24"/>
        </w:rPr>
        <w:t xml:space="preserve">: A new tool for measuring scientific production. </w:t>
      </w:r>
      <w:r w:rsidRPr="001A3D2B">
        <w:rPr>
          <w:i/>
        </w:rPr>
        <w:t>Cirugía Española</w:t>
      </w:r>
      <w:r w:rsidRPr="001A3D2B">
        <w:rPr>
          <w:kern w:val="0"/>
          <w:szCs w:val="24"/>
        </w:rPr>
        <w:t xml:space="preserve">, </w:t>
      </w:r>
      <w:r w:rsidRPr="001A3D2B">
        <w:rPr>
          <w:b/>
          <w:bCs/>
          <w:kern w:val="0"/>
          <w:szCs w:val="24"/>
        </w:rPr>
        <w:t>86</w:t>
      </w:r>
      <w:r w:rsidRPr="001A3D2B">
        <w:rPr>
          <w:kern w:val="0"/>
          <w:szCs w:val="24"/>
        </w:rPr>
        <w:t xml:space="preserve"> (4), 193-195</w:t>
      </w:r>
    </w:p>
    <w:p w:rsidR="00D0249A" w:rsidRPr="001A3D2B" w:rsidRDefault="00D0249A" w:rsidP="00D0249A">
      <w:pPr>
        <w:pStyle w:val="a3"/>
        <w:rPr>
          <w:kern w:val="0"/>
          <w:szCs w:val="24"/>
        </w:rPr>
      </w:pPr>
      <w:r w:rsidRPr="001A3D2B">
        <w:rPr>
          <w:kern w:val="0"/>
          <w:szCs w:val="24"/>
        </w:rPr>
        <w:t xml:space="preserve">Keywords: Bibliometric Indicators, </w:t>
      </w:r>
      <w:r w:rsidR="00D5664A">
        <w:rPr>
          <w:kern w:val="0"/>
          <w:szCs w:val="24"/>
        </w:rPr>
        <w:t>h Index</w:t>
      </w:r>
      <w:r w:rsidRPr="001A3D2B">
        <w:rPr>
          <w:kern w:val="0"/>
          <w:szCs w:val="24"/>
        </w:rPr>
        <w:t xml:space="preserve">, </w:t>
      </w:r>
      <w:r w:rsidR="00D5664A">
        <w:rPr>
          <w:kern w:val="0"/>
          <w:szCs w:val="24"/>
        </w:rPr>
        <w:t>h-Index</w:t>
      </w:r>
      <w:r w:rsidRPr="001A3D2B">
        <w:rPr>
          <w:kern w:val="0"/>
          <w:szCs w:val="24"/>
        </w:rPr>
        <w:t>, Scientific Production</w:t>
      </w:r>
    </w:p>
    <w:p w:rsidR="003474F2" w:rsidRPr="001A3D2B" w:rsidRDefault="003474F2" w:rsidP="003474F2">
      <w:pPr>
        <w:pStyle w:val="1"/>
      </w:pPr>
      <w:r w:rsidRPr="001A3D2B">
        <w:br w:type="page"/>
      </w:r>
      <w:bookmarkStart w:id="241" w:name="_Toc420815001"/>
      <w:r w:rsidRPr="001A3D2B">
        <w:lastRenderedPageBreak/>
        <w:t>Title: Cirugia Pediatr</w:t>
      </w:r>
      <w:bookmarkEnd w:id="241"/>
    </w:p>
    <w:p w:rsidR="003474F2" w:rsidRPr="001A3D2B" w:rsidRDefault="003474F2" w:rsidP="003474F2">
      <w:pPr>
        <w:pStyle w:val="12"/>
      </w:pPr>
      <w:r w:rsidRPr="001A3D2B">
        <w:t>Full Journal Title: Cirugia Pediatr</w:t>
      </w:r>
    </w:p>
    <w:p w:rsidR="003474F2" w:rsidRPr="001A3D2B" w:rsidRDefault="003474F2" w:rsidP="003474F2">
      <w:pPr>
        <w:pStyle w:val="12"/>
      </w:pPr>
      <w:r w:rsidRPr="001A3D2B">
        <w:t>ISO</w:t>
      </w:r>
      <w:bookmarkStart w:id="242" w:name="_Toc81215666"/>
      <w:r w:rsidRPr="001A3D2B">
        <w:t xml:space="preserve"> Abbreviated Title: </w:t>
      </w:r>
    </w:p>
    <w:p w:rsidR="003474F2" w:rsidRPr="001A3D2B" w:rsidRDefault="003474F2" w:rsidP="003474F2">
      <w:pPr>
        <w:pStyle w:val="12"/>
      </w:pPr>
      <w:r w:rsidRPr="001A3D2B">
        <w:t>J</w:t>
      </w:r>
      <w:bookmarkEnd w:id="242"/>
      <w:r w:rsidRPr="001A3D2B">
        <w:t>CR Abbreviated Title: Cir Pediatr</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a3"/>
      </w:pPr>
      <w:r w:rsidRPr="001A3D2B">
        <w:t>Notes: TTopic</w:t>
      </w:r>
    </w:p>
    <w:p w:rsidR="003474F2" w:rsidRPr="001A3D2B" w:rsidRDefault="003474F2" w:rsidP="003474F2">
      <w:pPr>
        <w:pStyle w:val="a3"/>
      </w:pPr>
      <w:r w:rsidRPr="001A3D2B">
        <w:t>? Gonzalez de Dios, J.</w:t>
      </w:r>
      <w:r w:rsidR="005853A9">
        <w:t xml:space="preserve"> and </w:t>
      </w:r>
      <w:r w:rsidRPr="001A3D2B">
        <w:t xml:space="preserve">Martinez Lorente, A. (1998), </w:t>
      </w:r>
      <w:r w:rsidRPr="001A3D2B">
        <w:rPr>
          <w:szCs w:val="27"/>
        </w:rPr>
        <w:t>Model</w:t>
      </w:r>
      <w:r w:rsidR="00427468">
        <w:rPr>
          <w:szCs w:val="27"/>
        </w:rPr>
        <w:t xml:space="preserve"> of </w:t>
      </w:r>
      <w:r w:rsidRPr="001A3D2B">
        <w:rPr>
          <w:szCs w:val="27"/>
        </w:rPr>
        <w:t>bibliometric analysis</w:t>
      </w:r>
      <w:r w:rsidR="00427468">
        <w:rPr>
          <w:szCs w:val="27"/>
        </w:rPr>
        <w:t xml:space="preserve"> of </w:t>
      </w:r>
      <w:r w:rsidRPr="001A3D2B">
        <w:rPr>
          <w:szCs w:val="27"/>
        </w:rPr>
        <w:t>publications on pediatric surgery: 1984-1996</w:t>
      </w:r>
      <w:r w:rsidRPr="001A3D2B">
        <w:t xml:space="preserve">. </w:t>
      </w:r>
      <w:r w:rsidRPr="001A3D2B">
        <w:rPr>
          <w:i/>
          <w:iCs/>
        </w:rPr>
        <w:t>Cirugia Pediatr</w:t>
      </w:r>
      <w:r w:rsidRPr="001A3D2B">
        <w:t xml:space="preserve">, </w:t>
      </w:r>
      <w:r w:rsidRPr="001A3D2B">
        <w:rPr>
          <w:b/>
          <w:bCs/>
        </w:rPr>
        <w:t>11</w:t>
      </w:r>
      <w:r w:rsidRPr="001A3D2B">
        <w:t xml:space="preserve"> (4), 139-146.</w:t>
      </w:r>
    </w:p>
    <w:p w:rsidR="003474F2" w:rsidRPr="001A3D2B" w:rsidRDefault="003474F2" w:rsidP="003474F2">
      <w:pPr>
        <w:pStyle w:val="a3"/>
      </w:pPr>
      <w:r w:rsidRPr="001A3D2B">
        <w:t>Abstract: BACKGROUND: There is no detailed information on</w:t>
      </w:r>
      <w:r w:rsidR="003A1917">
        <w:t xml:space="preserve"> the </w:t>
      </w:r>
      <w:r w:rsidRPr="001A3D2B">
        <w:t xml:space="preserve">scientific production in Pediatric Surgery (PS) in </w:t>
      </w:r>
      <w:smartTag w:uri="urn:schemas-microsoft-com:office:smarttags" w:element="place">
        <w:smartTag w:uri="urn:schemas-microsoft-com:office:smarttags" w:element="country-region">
          <w:r w:rsidRPr="001A3D2B">
            <w:t>Spain</w:t>
          </w:r>
        </w:smartTag>
      </w:smartTag>
      <w:r w:rsidRPr="001A3D2B">
        <w:t>,</w:t>
      </w:r>
      <w:r w:rsidR="005853A9">
        <w:t xml:space="preserve"> and </w:t>
      </w:r>
      <w:r w:rsidRPr="001A3D2B">
        <w:t>we studied this problem by means</w:t>
      </w:r>
      <w:r w:rsidR="00427468">
        <w:t xml:space="preserve"> of </w:t>
      </w:r>
      <w:r w:rsidRPr="001A3D2B">
        <w:t>a model</w:t>
      </w:r>
      <w:r w:rsidR="00427468">
        <w:t xml:space="preserve"> of </w:t>
      </w:r>
      <w:r w:rsidRPr="001A3D2B">
        <w:t>bibliometric analysis. MATERIALS</w:t>
      </w:r>
      <w:r w:rsidR="005853A9">
        <w:t xml:space="preserve"> and </w:t>
      </w:r>
      <w:r w:rsidRPr="001A3D2B">
        <w:t>METHODS: Retrospective study</w:t>
      </w:r>
      <w:r w:rsidR="00427468">
        <w:t xml:space="preserve"> of </w:t>
      </w:r>
      <w:r w:rsidRPr="001A3D2B">
        <w:t>all</w:t>
      </w:r>
      <w:r w:rsidR="003A1917">
        <w:t xml:space="preserve"> the </w:t>
      </w:r>
      <w:r w:rsidRPr="001A3D2B">
        <w:t>articles published in</w:t>
      </w:r>
      <w:r w:rsidR="003A1917">
        <w:t xml:space="preserve"> the </w:t>
      </w:r>
      <w:r w:rsidRPr="001A3D2B">
        <w:t>main pediatric Spanish journal (Anales Espanoles de Pediadria) over a 13-year period (1984-1996). Quantitative</w:t>
      </w:r>
      <w:r w:rsidR="005853A9">
        <w:t xml:space="preserve"> and </w:t>
      </w:r>
      <w:r w:rsidRPr="001A3D2B">
        <w:t>qualitative bibliometric indicators</w:t>
      </w:r>
      <w:r w:rsidR="00427468">
        <w:t xml:space="preserve"> of </w:t>
      </w:r>
      <w:r w:rsidR="003A1917">
        <w:t xml:space="preserve">the </w:t>
      </w:r>
      <w:r w:rsidRPr="001A3D2B">
        <w:t>articles over PS were performed,</w:t>
      </w:r>
      <w:r w:rsidR="005853A9">
        <w:t xml:space="preserve"> and </w:t>
      </w:r>
      <w:r w:rsidRPr="001A3D2B">
        <w:t>we studied also</w:t>
      </w:r>
      <w:r w:rsidR="003A1917">
        <w:t xml:space="preserve"> the </w:t>
      </w:r>
      <w:r w:rsidRPr="001A3D2B">
        <w:t>main differences found between</w:t>
      </w:r>
      <w:r w:rsidR="003A1917">
        <w:t xml:space="preserve"> the </w:t>
      </w:r>
      <w:r w:rsidRPr="001A3D2B">
        <w:t>period before (1984-87)</w:t>
      </w:r>
      <w:r w:rsidR="005853A9">
        <w:t xml:space="preserve"> and </w:t>
      </w:r>
      <w:r w:rsidRPr="001A3D2B">
        <w:t>after (1988-96)</w:t>
      </w:r>
      <w:r w:rsidR="003A1917">
        <w:t xml:space="preserve"> the </w:t>
      </w:r>
      <w:r w:rsidRPr="001A3D2B">
        <w:t>foundation</w:t>
      </w:r>
      <w:r w:rsidR="00427468">
        <w:t xml:space="preserve"> of </w:t>
      </w:r>
      <w:r w:rsidR="003A1917">
        <w:t xml:space="preserve">the </w:t>
      </w:r>
      <w:r w:rsidRPr="001A3D2B">
        <w:t>journal Cirugia Pediatrica. RESULTS: PS is</w:t>
      </w:r>
      <w:r w:rsidR="003A1917">
        <w:t xml:space="preserve"> the </w:t>
      </w:r>
      <w:r w:rsidRPr="001A3D2B">
        <w:t>subject matter in 7.6% (n = 227)</w:t>
      </w:r>
      <w:r w:rsidR="00427468">
        <w:t xml:space="preserve"> of </w:t>
      </w:r>
      <w:r w:rsidRPr="001A3D2B">
        <w:t>all</w:t>
      </w:r>
      <w:r w:rsidR="003A1917">
        <w:t xml:space="preserve"> the </w:t>
      </w:r>
      <w:r w:rsidRPr="001A3D2B">
        <w:t>articles published in this pediatric journal</w:t>
      </w:r>
      <w:r w:rsidR="00A37C1D">
        <w:t>. The</w:t>
      </w:r>
      <w:r w:rsidR="003A1917">
        <w:t xml:space="preserve"> </w:t>
      </w:r>
      <w:r w:rsidRPr="001A3D2B">
        <w:t>main type</w:t>
      </w:r>
      <w:r w:rsidR="00427468">
        <w:t xml:space="preserve"> of </w:t>
      </w:r>
      <w:r w:rsidRPr="001A3D2B">
        <w:t>articles in PS were Clinical Notes (56.9%)</w:t>
      </w:r>
      <w:r w:rsidR="005853A9">
        <w:t xml:space="preserve"> and </w:t>
      </w:r>
      <w:r w:rsidRPr="001A3D2B">
        <w:t>Originals (31.7%)</w:t>
      </w:r>
      <w:r w:rsidR="00A37C1D">
        <w:t>. The</w:t>
      </w:r>
      <w:r w:rsidR="003A1917">
        <w:t xml:space="preserve"> </w:t>
      </w:r>
      <w:r w:rsidRPr="001A3D2B">
        <w:t>autonomous regions</w:t>
      </w:r>
      <w:r w:rsidR="00427468">
        <w:t xml:space="preserve"> of </w:t>
      </w:r>
      <w:r w:rsidRPr="001A3D2B">
        <w:t>Madrid, Cataluna, Valencia, Andalucia</w:t>
      </w:r>
      <w:r w:rsidR="005853A9">
        <w:t xml:space="preserve"> and </w:t>
      </w:r>
      <w:r w:rsidRPr="001A3D2B">
        <w:t>Pais Vasco have</w:t>
      </w:r>
      <w:r w:rsidR="003A1917">
        <w:t xml:space="preserve"> the </w:t>
      </w:r>
      <w:r w:rsidRPr="001A3D2B">
        <w:t>70.4%</w:t>
      </w:r>
      <w:r w:rsidR="00427468">
        <w:t xml:space="preserve"> of </w:t>
      </w:r>
      <w:r w:rsidR="003A1917">
        <w:t xml:space="preserve">the </w:t>
      </w:r>
      <w:r w:rsidRPr="001A3D2B">
        <w:t>total productivity in PS,</w:t>
      </w:r>
      <w:r w:rsidR="005853A9">
        <w:t xml:space="preserve"> and </w:t>
      </w:r>
      <w:r w:rsidRPr="001A3D2B">
        <w:t>we also emphasize</w:t>
      </w:r>
      <w:r w:rsidR="003A1917">
        <w:t xml:space="preserve"> the </w:t>
      </w:r>
      <w:r w:rsidRPr="001A3D2B">
        <w:t>relative productivity</w:t>
      </w:r>
      <w:r w:rsidR="00427468">
        <w:t xml:space="preserve"> of </w:t>
      </w:r>
      <w:r w:rsidRPr="001A3D2B">
        <w:t>others autonomous regions (mainly Extremadura)</w:t>
      </w:r>
      <w:r w:rsidR="00A37C1D">
        <w:t>. The</w:t>
      </w:r>
      <w:r w:rsidR="003A1917">
        <w:t xml:space="preserve"> </w:t>
      </w:r>
      <w:r w:rsidRPr="001A3D2B">
        <w:t>essential authorship</w:t>
      </w:r>
      <w:r w:rsidR="00427468">
        <w:t xml:space="preserve"> of </w:t>
      </w:r>
      <w:r w:rsidR="003A1917">
        <w:t xml:space="preserve">the </w:t>
      </w:r>
      <w:r w:rsidRPr="001A3D2B">
        <w:t>scientific activity in PS falls on hospitals, with no authorship on University</w:t>
      </w:r>
      <w:r w:rsidR="005853A9">
        <w:t xml:space="preserve"> and </w:t>
      </w:r>
      <w:r w:rsidRPr="001A3D2B">
        <w:t>Health Care Centers</w:t>
      </w:r>
      <w:r w:rsidR="00A37C1D">
        <w:t>. The</w:t>
      </w:r>
      <w:r w:rsidR="003A1917">
        <w:t xml:space="preserve"> </w:t>
      </w:r>
      <w:r w:rsidRPr="001A3D2B">
        <w:t>two different bibliometric indicators in PS in relation to</w:t>
      </w:r>
      <w:r w:rsidR="003A1917">
        <w:t xml:space="preserve"> the </w:t>
      </w:r>
      <w:r w:rsidRPr="001A3D2B">
        <w:t>other pediatric subspecialties are:</w:t>
      </w:r>
      <w:r w:rsidR="003A1917">
        <w:t xml:space="preserve"> the </w:t>
      </w:r>
      <w:r w:rsidRPr="001A3D2B">
        <w:t>low statistical accessibility</w:t>
      </w:r>
      <w:r w:rsidR="005853A9">
        <w:t xml:space="preserve"> and </w:t>
      </w:r>
      <w:r w:rsidR="003A1917">
        <w:t xml:space="preserve">the </w:t>
      </w:r>
      <w:r w:rsidRPr="001A3D2B">
        <w:t>excessive use</w:t>
      </w:r>
      <w:r w:rsidR="00427468">
        <w:t xml:space="preserve"> of </w:t>
      </w:r>
      <w:r w:rsidRPr="001A3D2B">
        <w:t>English references, with a very low insularity index. After</w:t>
      </w:r>
      <w:r w:rsidR="003A1917">
        <w:t xml:space="preserve"> the </w:t>
      </w:r>
      <w:r w:rsidRPr="001A3D2B">
        <w:t>foundation</w:t>
      </w:r>
      <w:r w:rsidR="003A1917">
        <w:t xml:space="preserve"> the </w:t>
      </w:r>
      <w:r w:rsidRPr="001A3D2B">
        <w:t>journal Cirugia Pediaatrica, a reduction in</w:t>
      </w:r>
      <w:r w:rsidR="003A1917">
        <w:t xml:space="preserve"> the </w:t>
      </w:r>
      <w:r w:rsidRPr="001A3D2B">
        <w:t>number</w:t>
      </w:r>
      <w:r w:rsidR="00427468">
        <w:t xml:space="preserve"> of </w:t>
      </w:r>
      <w:r w:rsidRPr="001A3D2B">
        <w:t>articles over PS (mainly Originals) published in Anales Espanoles de Pediatria is noted. CONCLUSIONS: PS have a significant quantitative importance in pediatric journals, with two negative differences in relation to</w:t>
      </w:r>
      <w:r w:rsidR="003A1917">
        <w:t xml:space="preserve"> the </w:t>
      </w:r>
      <w:r w:rsidRPr="001A3D2B">
        <w:t>other pediatric subspecialties: low statistical accessibility</w:t>
      </w:r>
      <w:r w:rsidR="005853A9">
        <w:t xml:space="preserve"> and </w:t>
      </w:r>
      <w:r w:rsidRPr="001A3D2B">
        <w:t>low insularity index. We think is important to increase</w:t>
      </w:r>
      <w:r w:rsidR="003A1917">
        <w:t xml:space="preserve"> the </w:t>
      </w:r>
      <w:r w:rsidRPr="001A3D2B">
        <w:t>citation</w:t>
      </w:r>
      <w:r w:rsidR="00427468">
        <w:t xml:space="preserve"> of </w:t>
      </w:r>
      <w:r w:rsidRPr="001A3D2B">
        <w:t>Spanish publications and, specifically, articles at</w:t>
      </w:r>
      <w:r w:rsidR="003A1917">
        <w:t xml:space="preserve"> the </w:t>
      </w:r>
      <w:r w:rsidRPr="001A3D2B">
        <w:t xml:space="preserve">journal Cirugia </w:t>
      </w:r>
      <w:r w:rsidRPr="001A3D2B">
        <w:lastRenderedPageBreak/>
        <w:t>Pediatrica.</w:t>
      </w:r>
    </w:p>
    <w:p w:rsidR="003474F2" w:rsidRPr="001A3D2B" w:rsidRDefault="003474F2" w:rsidP="003474F2">
      <w:pPr>
        <w:pStyle w:val="1"/>
      </w:pPr>
      <w:r w:rsidRPr="001A3D2B">
        <w:br w:type="page"/>
      </w:r>
      <w:bookmarkStart w:id="243" w:name="_Toc420815002"/>
      <w:r w:rsidRPr="001A3D2B">
        <w:lastRenderedPageBreak/>
        <w:t>Title: Cities</w:t>
      </w:r>
      <w:bookmarkEnd w:id="243"/>
    </w:p>
    <w:p w:rsidR="003474F2" w:rsidRPr="001A3D2B" w:rsidRDefault="003474F2" w:rsidP="003474F2">
      <w:pPr>
        <w:pStyle w:val="12"/>
      </w:pPr>
      <w:r w:rsidRPr="001A3D2B">
        <w:t xml:space="preserve">Full Journal Title: </w:t>
      </w:r>
      <w:r w:rsidR="00DF61FE">
        <w:fldChar w:fldCharType="begin"/>
      </w:r>
      <w:r w:rsidR="00FD158B">
        <w:instrText>HYPERLINK "http://www.scien</w:instrText>
      </w:r>
      <w:bookmarkStart w:id="244" w:name="_Toc81215668"/>
      <w:r w:rsidR="00FD158B">
        <w:instrText>cedirect.com/</w:instrText>
      </w:r>
      <w:bookmarkEnd w:id="244"/>
      <w:r w:rsidR="00FD158B">
        <w:instrText>science?_ob=JournalURL&amp;_cdi=5909&amp;_auth=y&amp;_acct=C000011279&amp;_version=1&amp;_urlVersion=0&amp;_userid=1134284&amp;md5=78f20bf0e8051a2f2aa7040b7be7767d"</w:instrText>
      </w:r>
      <w:r w:rsidR="00DF61FE">
        <w:fldChar w:fldCharType="separate"/>
      </w:r>
      <w:r w:rsidRPr="001A3D2B">
        <w:rPr>
          <w:rStyle w:val="a5"/>
        </w:rPr>
        <w:t>Cities</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Naude, W.A.</w:t>
      </w:r>
      <w:r w:rsidR="005853A9">
        <w:t xml:space="preserve"> and </w:t>
      </w:r>
      <w:r w:rsidRPr="001A3D2B">
        <w:t>Krugell, W.F. (2003), Are South Africa</w:t>
      </w:r>
      <w:r w:rsidR="0071223E">
        <w:t>’</w:t>
      </w:r>
      <w:r w:rsidR="00C13DDC">
        <w:t>s</w:t>
      </w:r>
      <w:r w:rsidRPr="001A3D2B">
        <w:t xml:space="preserve"> cities too small? </w:t>
      </w:r>
      <w:r w:rsidRPr="001A3D2B">
        <w:rPr>
          <w:i/>
          <w:iCs/>
        </w:rPr>
        <w:t>Cities</w:t>
      </w:r>
      <w:r w:rsidRPr="001A3D2B">
        <w:t xml:space="preserve">, </w:t>
      </w:r>
      <w:r w:rsidRPr="001A3D2B">
        <w:rPr>
          <w:b/>
        </w:rPr>
        <w:t>20</w:t>
      </w:r>
      <w:r w:rsidRPr="001A3D2B">
        <w:t xml:space="preserve"> (3), 175-180.</w:t>
      </w:r>
    </w:p>
    <w:p w:rsidR="003474F2" w:rsidRPr="001A3D2B" w:rsidRDefault="003474F2" w:rsidP="003474F2">
      <w:pPr>
        <w:pStyle w:val="a3"/>
      </w:pPr>
      <w:r w:rsidRPr="001A3D2B">
        <w:t xml:space="preserve">Full Text: </w:t>
      </w:r>
      <w:r w:rsidR="00DF61FE" w:rsidRPr="001A3D2B">
        <w:fldChar w:fldCharType="begin"/>
      </w:r>
      <w:r w:rsidR="00695295">
        <w:instrText>HYPERLINK "C:</w:instrText>
      </w:r>
      <w:r w:rsidR="00E83E65">
        <w:instrText>/</w:instrText>
      </w:r>
      <w:r w:rsidR="00695295">
        <w:instrText>Users</w:instrText>
      </w:r>
      <w:r w:rsidR="00E83E65">
        <w:instrText>/</w:instrText>
      </w:r>
      <w:r w:rsidR="00695295">
        <w:instrText>YSHo</w:instrText>
      </w:r>
      <w:r w:rsidR="00E83E65">
        <w:instrText>/</w:instrText>
      </w:r>
      <w:r w:rsidR="00695295">
        <w:instrText>AppData</w:instrText>
      </w:r>
      <w:r w:rsidR="00E83E65">
        <w:instrText>/</w:instrText>
      </w:r>
      <w:r w:rsidR="00695295">
        <w:instrText>Roaming</w:instrText>
      </w:r>
      <w:r w:rsidR="00E83E65">
        <w:instrText>/</w:instrText>
      </w:r>
      <w:r w:rsidR="00695295">
        <w:instrText>Microsoft</w:instrText>
      </w:r>
      <w:r w:rsidR="00E83E65">
        <w:instrText>/</w:instrText>
      </w:r>
      <w:r w:rsidR="00695295">
        <w:instrText>Word</w:instrText>
      </w:r>
      <w:r w:rsidR="00E83E65">
        <w:instrText>/</w:instrText>
      </w:r>
      <w:r w:rsidR="00695295">
        <w:instrText>2003</w:instrText>
      </w:r>
      <w:r w:rsidR="00E83E65">
        <w:instrText>/</w:instrText>
      </w:r>
      <w:bookmarkStart w:id="245" w:name="OLE_LINK28"/>
      <w:r w:rsidR="00695295">
        <w:instrText>Cities20, 175.pdf"</w:instrText>
      </w:r>
      <w:r w:rsidR="00DF61FE" w:rsidRPr="001A3D2B">
        <w:fldChar w:fldCharType="separate"/>
      </w:r>
      <w:r w:rsidRPr="001A3D2B">
        <w:rPr>
          <w:rStyle w:val="a5"/>
        </w:rPr>
        <w:t>2003\Cities20, 175.pdf</w:t>
      </w:r>
      <w:r w:rsidR="00DF61FE" w:rsidRPr="001A3D2B">
        <w:fldChar w:fldCharType="end"/>
      </w:r>
    </w:p>
    <w:p w:rsidR="003474F2" w:rsidRPr="001A3D2B" w:rsidRDefault="003474F2" w:rsidP="003474F2">
      <w:pPr>
        <w:pStyle w:val="a3"/>
      </w:pPr>
      <w:r w:rsidRPr="001A3D2B">
        <w:t>Abstract: Are South African cities to small? Given</w:t>
      </w:r>
      <w:r w:rsidR="003A1917">
        <w:t xml:space="preserve"> the </w:t>
      </w:r>
      <w:r w:rsidRPr="001A3D2B">
        <w:t>histor</w:t>
      </w:r>
      <w:bookmarkEnd w:id="245"/>
      <w:r w:rsidRPr="001A3D2B">
        <w:t>y</w:t>
      </w:r>
      <w:r w:rsidR="00427468">
        <w:t xml:space="preserve"> of </w:t>
      </w:r>
      <w:r w:rsidRPr="001A3D2B">
        <w:t>South Africa</w:t>
      </w:r>
      <w:r w:rsidR="0071223E">
        <w:t>’</w:t>
      </w:r>
      <w:r w:rsidR="00C13DDC">
        <w:t>s</w:t>
      </w:r>
      <w:r w:rsidRPr="001A3D2B">
        <w:t xml:space="preserve"> spatial development, one might expect that South African cities might be under-sized,</w:t>
      </w:r>
      <w:r w:rsidR="005853A9">
        <w:t xml:space="preserve"> and </w:t>
      </w:r>
      <w:r w:rsidRPr="001A3D2B">
        <w:t>not over-sized as in many other developing countries. It is found that</w:t>
      </w:r>
      <w:r w:rsidR="003A1917">
        <w:t xml:space="preserve"> the </w:t>
      </w:r>
      <w:r w:rsidRPr="001A3D2B">
        <w:t>rank-size distribution explains</w:t>
      </w:r>
      <w:r w:rsidR="003A1917">
        <w:t xml:space="preserve"> the </w:t>
      </w:r>
      <w:r w:rsidRPr="001A3D2B">
        <w:t>sizes</w:t>
      </w:r>
      <w:r w:rsidR="00427468">
        <w:t xml:space="preserve"> of </w:t>
      </w:r>
      <w:r w:rsidRPr="001A3D2B">
        <w:t>South Africa</w:t>
      </w:r>
      <w:r w:rsidR="0071223E">
        <w:t>’</w:t>
      </w:r>
      <w:r w:rsidR="00C13DDC">
        <w:t>s</w:t>
      </w:r>
      <w:r w:rsidRPr="001A3D2B">
        <w:t xml:space="preserve"> cities but that Zipf</w:t>
      </w:r>
      <w:r w:rsidR="0071223E">
        <w:t>’</w:t>
      </w:r>
      <w:r w:rsidR="00C13DDC">
        <w:t>s</w:t>
      </w:r>
      <w:r w:rsidRPr="001A3D2B">
        <w:t xml:space="preserve"> Law does not hold for</w:t>
      </w:r>
      <w:r w:rsidR="003A1917">
        <w:t xml:space="preserve"> the </w:t>
      </w:r>
      <w:r w:rsidRPr="001A3D2B">
        <w:t>country</w:t>
      </w:r>
      <w:r w:rsidR="0071223E">
        <w:t>’</w:t>
      </w:r>
      <w:r w:rsidR="00C13DDC">
        <w:t>s</w:t>
      </w:r>
      <w:r w:rsidRPr="001A3D2B">
        <w:t xml:space="preserve"> cities</w:t>
      </w:r>
      <w:r w:rsidR="00A37C1D">
        <w:t>. The</w:t>
      </w:r>
      <w:r w:rsidR="003A1917">
        <w:t xml:space="preserve"> </w:t>
      </w:r>
      <w:r w:rsidRPr="001A3D2B">
        <w:t>so-called q-coefficient was found to be equal to -0.75 for</w:t>
      </w:r>
      <w:r w:rsidR="003A1917">
        <w:t xml:space="preserve"> the </w:t>
      </w:r>
      <w:r w:rsidRPr="001A3D2B">
        <w:t>123 places with population in excess</w:t>
      </w:r>
      <w:r w:rsidR="00427468">
        <w:t xml:space="preserve"> of </w:t>
      </w:r>
      <w:r w:rsidRPr="001A3D2B">
        <w:t xml:space="preserve">100 000. It was also found that urbanisation in </w:t>
      </w:r>
      <w:smartTag w:uri="urn:schemas-microsoft-com:office:smarttags" w:element="place">
        <w:smartTag w:uri="urn:schemas-microsoft-com:office:smarttags" w:element="country-region">
          <w:r w:rsidRPr="001A3D2B">
            <w:t>South Africa</w:t>
          </w:r>
        </w:smartTag>
      </w:smartTag>
      <w:r w:rsidRPr="001A3D2B">
        <w:t xml:space="preserve"> over</w:t>
      </w:r>
      <w:r w:rsidR="003A1917">
        <w:t xml:space="preserve"> the </w:t>
      </w:r>
      <w:r w:rsidRPr="001A3D2B">
        <w:t>past decade seems to have taken</w:t>
      </w:r>
      <w:r w:rsidR="003A1917">
        <w:t xml:space="preserve"> the </w:t>
      </w:r>
      <w:r w:rsidRPr="001A3D2B">
        <w:t>form</w:t>
      </w:r>
      <w:r w:rsidR="00427468">
        <w:t xml:space="preserve"> of </w:t>
      </w:r>
      <w:r w:rsidR="003A1917">
        <w:t xml:space="preserve">the </w:t>
      </w:r>
      <w:r w:rsidRPr="001A3D2B">
        <w:t>parallel (slow, 1.04%) growth</w:t>
      </w:r>
      <w:r w:rsidR="00427468">
        <w:t xml:space="preserve"> of </w:t>
      </w:r>
      <w:r w:rsidRPr="001A3D2B">
        <w:t>five large cities. Finally, calculating</w:t>
      </w:r>
      <w:r w:rsidR="003A1917">
        <w:t xml:space="preserve"> the </w:t>
      </w:r>
      <w:r w:rsidR="0071223E">
        <w:t>‘</w:t>
      </w:r>
      <w:r w:rsidRPr="001A3D2B">
        <w:rPr>
          <w:i/>
          <w:iCs/>
        </w:rPr>
        <w:t>H</w:t>
      </w:r>
      <w:r w:rsidRPr="001A3D2B">
        <w:t>-measure</w:t>
      </w:r>
      <w:r w:rsidR="0071223E">
        <w:t>’</w:t>
      </w:r>
      <w:r w:rsidRPr="001A3D2B">
        <w:t xml:space="preserve"> for 19 metropolitan areas in </w:t>
      </w:r>
      <w:smartTag w:uri="urn:schemas-microsoft-com:office:smarttags" w:element="place">
        <w:smartTag w:uri="urn:schemas-microsoft-com:office:smarttags" w:element="country-region">
          <w:r w:rsidRPr="001A3D2B">
            <w:t>South Africa</w:t>
          </w:r>
        </w:smartTag>
      </w:smartTag>
      <w:r w:rsidRPr="001A3D2B">
        <w:t xml:space="preserve"> yields an inverse </w:t>
      </w:r>
      <w:r w:rsidRPr="001A3D2B">
        <w:rPr>
          <w:i/>
          <w:iCs/>
        </w:rPr>
        <w:t>H</w:t>
      </w:r>
      <w:r w:rsidRPr="001A3D2B">
        <w:t>-measure</w:t>
      </w:r>
      <w:r w:rsidR="00427468">
        <w:t xml:space="preserve"> of </w:t>
      </w:r>
      <w:r w:rsidRPr="001A3D2B">
        <w:t>11.3. This suggests a reasonable degree</w:t>
      </w:r>
      <w:r w:rsidR="00427468">
        <w:t xml:space="preserve"> of </w:t>
      </w:r>
      <w:r w:rsidRPr="001A3D2B">
        <w:t>dispersal, which would only be consistent with optimal city size if transport costs were low</w:t>
      </w:r>
      <w:r w:rsidR="005853A9">
        <w:t xml:space="preserve"> and </w:t>
      </w:r>
      <w:r w:rsidRPr="001A3D2B">
        <w:t>manufacturing not in need</w:t>
      </w:r>
      <w:r w:rsidR="00427468">
        <w:t xml:space="preserve"> of </w:t>
      </w:r>
      <w:r w:rsidRPr="001A3D2B">
        <w:t xml:space="preserve">scale economies; two conditions unlikely to apply to </w:t>
      </w:r>
      <w:smartTag w:uri="urn:schemas-microsoft-com:office:smarttags" w:element="place">
        <w:smartTag w:uri="urn:schemas-microsoft-com:office:smarttags" w:element="country-region">
          <w:r w:rsidRPr="001A3D2B">
            <w:t>South Africa</w:t>
          </w:r>
        </w:smartTag>
      </w:smartTag>
      <w:r w:rsidRPr="001A3D2B">
        <w:t>. Finally,</w:t>
      </w:r>
      <w:r w:rsidR="003A1917">
        <w:t xml:space="preserve"> the </w:t>
      </w:r>
      <w:r w:rsidRPr="001A3D2B">
        <w:t>primacy ratio for South Africa</w:t>
      </w:r>
      <w:r w:rsidR="0071223E">
        <w:t>’</w:t>
      </w:r>
      <w:r w:rsidR="00C13DDC">
        <w:t>s</w:t>
      </w:r>
      <w:r w:rsidRPr="001A3D2B">
        <w:t xml:space="preserve"> largest urban agglomeration was found to be 38%. This suggests that</w:t>
      </w:r>
      <w:r w:rsidR="003A1917">
        <w:t xml:space="preserve"> the </w:t>
      </w:r>
      <w:r w:rsidRPr="001A3D2B">
        <w:t>size</w:t>
      </w:r>
      <w:r w:rsidR="00427468">
        <w:t xml:space="preserve"> of </w:t>
      </w:r>
      <w:r w:rsidR="003A1917">
        <w:t xml:space="preserve">the </w:t>
      </w:r>
      <w:r w:rsidRPr="001A3D2B">
        <w:t>Johannesburg-East Rand urban agglomeration (the primate city) may be relatively too large, whereas more efficient growth may come from larger harbour cities.</w:t>
      </w:r>
    </w:p>
    <w:p w:rsidR="003474F2" w:rsidRPr="001A3D2B" w:rsidRDefault="003474F2" w:rsidP="003474F2">
      <w:pPr>
        <w:pStyle w:val="a3"/>
      </w:pPr>
      <w:r w:rsidRPr="001A3D2B">
        <w:t>Keywords: Spatial Development, Transportation, Scale Economies, Developing Nations</w:t>
      </w:r>
    </w:p>
    <w:p w:rsidR="006D629A" w:rsidRDefault="006D629A" w:rsidP="006D629A">
      <w:pPr>
        <w:pStyle w:val="a3"/>
        <w:rPr>
          <w:kern w:val="0"/>
        </w:rPr>
      </w:pPr>
      <w:r>
        <w:rPr>
          <w:rFonts w:hint="eastAsia"/>
          <w:kern w:val="0"/>
        </w:rPr>
        <w:t xml:space="preserve">? </w:t>
      </w:r>
      <w:r>
        <w:rPr>
          <w:kern w:val="0"/>
        </w:rPr>
        <w:t xml:space="preserve">Kirby, A. (2012), </w:t>
      </w:r>
      <w:r w:rsidRPr="006D629A">
        <w:rPr>
          <w:i/>
          <w:kern w:val="0"/>
        </w:rPr>
        <w:t>Current Research</w:t>
      </w:r>
      <w:r>
        <w:rPr>
          <w:kern w:val="0"/>
        </w:rPr>
        <w:t xml:space="preserve"> on </w:t>
      </w:r>
      <w:r w:rsidRPr="006D629A">
        <w:rPr>
          <w:i/>
          <w:kern w:val="0"/>
        </w:rPr>
        <w:t>Cities</w:t>
      </w:r>
      <w:r w:rsidR="005853A9">
        <w:rPr>
          <w:kern w:val="0"/>
        </w:rPr>
        <w:t xml:space="preserve"> and </w:t>
      </w:r>
      <w:r>
        <w:rPr>
          <w:kern w:val="0"/>
        </w:rPr>
        <w:t xml:space="preserve">its contribution to urban studies. </w:t>
      </w:r>
      <w:r>
        <w:rPr>
          <w:i/>
          <w:iCs/>
          <w:kern w:val="0"/>
        </w:rPr>
        <w:t>Cities</w:t>
      </w:r>
      <w:r>
        <w:rPr>
          <w:kern w:val="0"/>
        </w:rPr>
        <w:t xml:space="preserve">, </w:t>
      </w:r>
      <w:r>
        <w:rPr>
          <w:b/>
          <w:bCs/>
          <w:kern w:val="0"/>
        </w:rPr>
        <w:t>29</w:t>
      </w:r>
      <w:r>
        <w:rPr>
          <w:kern w:val="0"/>
        </w:rPr>
        <w:t>, S3-S8.</w:t>
      </w:r>
    </w:p>
    <w:p w:rsidR="006D629A" w:rsidRPr="00C73C58" w:rsidRDefault="006D629A" w:rsidP="006D629A">
      <w:pPr>
        <w:pStyle w:val="a3"/>
      </w:pPr>
      <w:r w:rsidRPr="00C73C58">
        <w:t xml:space="preserve">Full Text: </w:t>
      </w:r>
      <w:hyperlink r:id="rId299" w:history="1">
        <w:r w:rsidRPr="006D629A">
          <w:rPr>
            <w:rStyle w:val="a5"/>
          </w:rPr>
          <w:t>2012\Cities29, S3.pdf</w:t>
        </w:r>
      </w:hyperlink>
    </w:p>
    <w:p w:rsidR="006D629A" w:rsidRDefault="006D629A" w:rsidP="006D629A">
      <w:pPr>
        <w:pStyle w:val="a3"/>
        <w:rPr>
          <w:kern w:val="0"/>
        </w:rPr>
      </w:pPr>
      <w:r>
        <w:rPr>
          <w:kern w:val="0"/>
        </w:rPr>
        <w:t>Abstract: This paper discusses</w:t>
      </w:r>
      <w:r w:rsidR="003A1917">
        <w:rPr>
          <w:kern w:val="0"/>
        </w:rPr>
        <w:t xml:space="preserve"> the </w:t>
      </w:r>
      <w:r>
        <w:rPr>
          <w:kern w:val="0"/>
        </w:rPr>
        <w:t>potential</w:t>
      </w:r>
      <w:r w:rsidR="00427468">
        <w:rPr>
          <w:kern w:val="0"/>
        </w:rPr>
        <w:t xml:space="preserve"> of </w:t>
      </w:r>
      <w:r>
        <w:rPr>
          <w:kern w:val="0"/>
        </w:rPr>
        <w:t>bibliometrics</w:t>
      </w:r>
      <w:r w:rsidR="003A1917">
        <w:rPr>
          <w:kern w:val="0"/>
        </w:rPr>
        <w:t xml:space="preserve"> the </w:t>
      </w:r>
      <w:r>
        <w:rPr>
          <w:kern w:val="0"/>
        </w:rPr>
        <w:t>analysis</w:t>
      </w:r>
      <w:r w:rsidR="00427468">
        <w:rPr>
          <w:kern w:val="0"/>
        </w:rPr>
        <w:t xml:space="preserve"> of </w:t>
      </w:r>
      <w:r>
        <w:rPr>
          <w:kern w:val="0"/>
        </w:rPr>
        <w:t>digital information transfer especially as it is relevant to an understanding</w:t>
      </w:r>
      <w:r w:rsidR="00427468">
        <w:rPr>
          <w:kern w:val="0"/>
        </w:rPr>
        <w:t xml:space="preserve"> of </w:t>
      </w:r>
      <w:r>
        <w:rPr>
          <w:kern w:val="0"/>
        </w:rPr>
        <w:t xml:space="preserve">urban studies. </w:t>
      </w:r>
      <w:r>
        <w:rPr>
          <w:kern w:val="0"/>
        </w:rPr>
        <w:lastRenderedPageBreak/>
        <w:t>It provides some examples</w:t>
      </w:r>
      <w:r w:rsidR="005853A9">
        <w:rPr>
          <w:kern w:val="0"/>
        </w:rPr>
        <w:t xml:space="preserve"> and </w:t>
      </w:r>
      <w:r>
        <w:rPr>
          <w:kern w:val="0"/>
        </w:rPr>
        <w:t>illustrates how</w:t>
      </w:r>
      <w:r w:rsidR="003A1917">
        <w:rPr>
          <w:kern w:val="0"/>
        </w:rPr>
        <w:t xml:space="preserve"> the </w:t>
      </w:r>
      <w:r>
        <w:rPr>
          <w:kern w:val="0"/>
        </w:rPr>
        <w:t>journal Current Research on Cities operates to provide meta-analysis</w:t>
      </w:r>
      <w:r w:rsidR="00427468">
        <w:rPr>
          <w:kern w:val="0"/>
        </w:rPr>
        <w:t xml:space="preserve"> of </w:t>
      </w:r>
      <w:r w:rsidR="003A1917">
        <w:rPr>
          <w:kern w:val="0"/>
        </w:rPr>
        <w:t xml:space="preserve">the </w:t>
      </w:r>
      <w:r>
        <w:rPr>
          <w:kern w:val="0"/>
        </w:rPr>
        <w:t>field. (C) 2011 Elsevier Ltd. All rights reserved.</w:t>
      </w:r>
    </w:p>
    <w:p w:rsidR="006D629A" w:rsidRDefault="006D629A" w:rsidP="006D629A">
      <w:pPr>
        <w:pStyle w:val="a3"/>
        <w:rPr>
          <w:kern w:val="0"/>
        </w:rPr>
      </w:pPr>
      <w:r>
        <w:rPr>
          <w:kern w:val="0"/>
        </w:rPr>
        <w:t>Keywords: Analysis, Bibliometrics, Cities, Digital Information Transfer, Editorial Processes, Field, Information, Journal, Mar, Meta-Analysis, Metaanalysis, Potential, Research, Rights, SI, Understanding, Urban, Urban Studies</w:t>
      </w:r>
    </w:p>
    <w:p w:rsidR="00624F6C" w:rsidRDefault="00624F6C" w:rsidP="00624F6C">
      <w:pPr>
        <w:pStyle w:val="a3"/>
        <w:rPr>
          <w:kern w:val="0"/>
          <w:szCs w:val="24"/>
        </w:rPr>
      </w:pPr>
      <w:r>
        <w:rPr>
          <w:rFonts w:hint="eastAsia"/>
          <w:kern w:val="0"/>
          <w:szCs w:val="24"/>
        </w:rPr>
        <w:t xml:space="preserve">? </w:t>
      </w:r>
      <w:r>
        <w:rPr>
          <w:kern w:val="0"/>
          <w:szCs w:val="24"/>
        </w:rPr>
        <w:t>Zannin, P.H.T., Engel, M.S., Fiedler, P.E.K.</w:t>
      </w:r>
      <w:r w:rsidR="005853A9">
        <w:rPr>
          <w:kern w:val="0"/>
          <w:szCs w:val="24"/>
        </w:rPr>
        <w:t xml:space="preserve"> and </w:t>
      </w:r>
      <w:r>
        <w:rPr>
          <w:kern w:val="0"/>
          <w:szCs w:val="24"/>
        </w:rPr>
        <w:t>Bunn, F. (2013), Characterization</w:t>
      </w:r>
      <w:r w:rsidR="00427468">
        <w:rPr>
          <w:kern w:val="0"/>
          <w:szCs w:val="24"/>
        </w:rPr>
        <w:t xml:space="preserve"> of </w:t>
      </w:r>
      <w:r>
        <w:rPr>
          <w:kern w:val="0"/>
          <w:szCs w:val="24"/>
        </w:rPr>
        <w:t>environmental noise based on noise measurements, noise mapping</w:t>
      </w:r>
      <w:r w:rsidR="005853A9">
        <w:rPr>
          <w:kern w:val="0"/>
          <w:szCs w:val="24"/>
        </w:rPr>
        <w:t xml:space="preserve"> and </w:t>
      </w:r>
      <w:r>
        <w:rPr>
          <w:kern w:val="0"/>
          <w:szCs w:val="24"/>
        </w:rPr>
        <w:t xml:space="preserve">interviews: A case study at a university campus in Brazil. </w:t>
      </w:r>
      <w:r>
        <w:rPr>
          <w:i/>
          <w:iCs/>
          <w:kern w:val="0"/>
          <w:szCs w:val="24"/>
        </w:rPr>
        <w:t>Cities</w:t>
      </w:r>
      <w:r>
        <w:rPr>
          <w:kern w:val="0"/>
          <w:szCs w:val="24"/>
        </w:rPr>
        <w:t xml:space="preserve">, </w:t>
      </w:r>
      <w:r>
        <w:rPr>
          <w:b/>
          <w:bCs/>
          <w:kern w:val="0"/>
          <w:szCs w:val="24"/>
        </w:rPr>
        <w:t>31</w:t>
      </w:r>
      <w:r>
        <w:rPr>
          <w:kern w:val="0"/>
          <w:szCs w:val="24"/>
        </w:rPr>
        <w:t>, 317-327.</w:t>
      </w:r>
    </w:p>
    <w:p w:rsidR="00624F6C" w:rsidRPr="00C73C58" w:rsidRDefault="00624F6C" w:rsidP="00624F6C">
      <w:pPr>
        <w:pStyle w:val="a3"/>
      </w:pPr>
      <w:r w:rsidRPr="00C73C58">
        <w:t xml:space="preserve">Full Text: </w:t>
      </w:r>
      <w:hyperlink r:id="rId300" w:history="1">
        <w:r w:rsidRPr="003D70F3">
          <w:rPr>
            <w:rStyle w:val="a5"/>
          </w:rPr>
          <w:t>2013\Cities31, 317.pdf</w:t>
        </w:r>
      </w:hyperlink>
    </w:p>
    <w:p w:rsidR="00624F6C" w:rsidRDefault="00624F6C" w:rsidP="00624F6C">
      <w:pPr>
        <w:pStyle w:val="a3"/>
        <w:rPr>
          <w:kern w:val="0"/>
          <w:szCs w:val="24"/>
        </w:rPr>
      </w:pPr>
      <w:r>
        <w:rPr>
          <w:kern w:val="0"/>
          <w:szCs w:val="24"/>
        </w:rPr>
        <w:t>Abstract: The purpose</w:t>
      </w:r>
      <w:r w:rsidR="00427468">
        <w:rPr>
          <w:kern w:val="0"/>
          <w:szCs w:val="24"/>
        </w:rPr>
        <w:t xml:space="preserve"> of </w:t>
      </w:r>
      <w:r>
        <w:rPr>
          <w:kern w:val="0"/>
          <w:szCs w:val="24"/>
        </w:rPr>
        <w:t>this research was to characterize the environmental noise on the campus</w:t>
      </w:r>
      <w:r w:rsidR="00427468">
        <w:rPr>
          <w:kern w:val="0"/>
          <w:szCs w:val="24"/>
        </w:rPr>
        <w:t xml:space="preserve"> of </w:t>
      </w:r>
      <w:r>
        <w:rPr>
          <w:kern w:val="0"/>
          <w:szCs w:val="24"/>
        </w:rPr>
        <w:t>the Polytechnic Center</w:t>
      </w:r>
      <w:r w:rsidR="00427468">
        <w:rPr>
          <w:kern w:val="0"/>
          <w:szCs w:val="24"/>
        </w:rPr>
        <w:t xml:space="preserve"> of </w:t>
      </w:r>
      <w:r>
        <w:rPr>
          <w:kern w:val="0"/>
          <w:szCs w:val="24"/>
        </w:rPr>
        <w:t>the Federal University</w:t>
      </w:r>
      <w:r w:rsidR="00427468">
        <w:rPr>
          <w:kern w:val="0"/>
          <w:szCs w:val="24"/>
        </w:rPr>
        <w:t xml:space="preserve"> of </w:t>
      </w:r>
      <w:r>
        <w:rPr>
          <w:kern w:val="0"/>
          <w:szCs w:val="24"/>
        </w:rPr>
        <w:t>Parana, Brazil. This research was divided into two parts: (1) Objective - in situ measurements</w:t>
      </w:r>
      <w:r w:rsidR="00427468">
        <w:rPr>
          <w:kern w:val="0"/>
          <w:szCs w:val="24"/>
        </w:rPr>
        <w:t xml:space="preserve"> of </w:t>
      </w:r>
      <w:r>
        <w:rPr>
          <w:kern w:val="0"/>
          <w:szCs w:val="24"/>
        </w:rPr>
        <w:t>the equivalent continuous sound pressure level L-Aeq followed by noise mapping</w:t>
      </w:r>
      <w:r w:rsidR="00427468">
        <w:rPr>
          <w:kern w:val="0"/>
          <w:szCs w:val="24"/>
        </w:rPr>
        <w:t xml:space="preserve"> of </w:t>
      </w:r>
      <w:r>
        <w:rPr>
          <w:kern w:val="0"/>
          <w:szCs w:val="24"/>
        </w:rPr>
        <w:t>the whole campus area, using B&amp;K Predictor 7810 software; (2) Subjective - involving the preparation</w:t>
      </w:r>
      <w:r w:rsidR="005853A9">
        <w:rPr>
          <w:kern w:val="0"/>
          <w:szCs w:val="24"/>
        </w:rPr>
        <w:t xml:space="preserve"> and </w:t>
      </w:r>
      <w:r>
        <w:rPr>
          <w:kern w:val="0"/>
          <w:szCs w:val="24"/>
        </w:rPr>
        <w:t>application</w:t>
      </w:r>
      <w:r w:rsidR="00427468">
        <w:rPr>
          <w:kern w:val="0"/>
          <w:szCs w:val="24"/>
        </w:rPr>
        <w:t xml:space="preserve"> of </w:t>
      </w:r>
      <w:r>
        <w:rPr>
          <w:kern w:val="0"/>
          <w:szCs w:val="24"/>
        </w:rPr>
        <w:t>a questionnaire to a sample</w:t>
      </w:r>
      <w:r w:rsidR="00427468">
        <w:rPr>
          <w:kern w:val="0"/>
          <w:szCs w:val="24"/>
        </w:rPr>
        <w:t xml:space="preserve"> of </w:t>
      </w:r>
      <w:r>
        <w:rPr>
          <w:kern w:val="0"/>
          <w:szCs w:val="24"/>
        </w:rPr>
        <w:t>389 people from the campus population to gather information about their reactions to noise</w:t>
      </w:r>
      <w:r w:rsidR="00A37C1D">
        <w:rPr>
          <w:kern w:val="0"/>
          <w:szCs w:val="24"/>
        </w:rPr>
        <w:t>. The</w:t>
      </w:r>
      <w:r>
        <w:rPr>
          <w:kern w:val="0"/>
          <w:szCs w:val="24"/>
        </w:rPr>
        <w:t xml:space="preserve"> L-Aeq data were compared with the noise immission limits for outdoor environments in educational areas recommended by WHO - L-Aeq, = 55 dB(A)</w:t>
      </w:r>
      <w:r w:rsidR="00A37C1D">
        <w:rPr>
          <w:kern w:val="0"/>
          <w:szCs w:val="24"/>
        </w:rPr>
        <w:t>. The</w:t>
      </w:r>
      <w:r>
        <w:rPr>
          <w:kern w:val="0"/>
          <w:szCs w:val="24"/>
        </w:rPr>
        <w:t xml:space="preserve"> results indicated that 89.65%</w:t>
      </w:r>
      <w:r w:rsidR="00427468">
        <w:rPr>
          <w:kern w:val="0"/>
          <w:szCs w:val="24"/>
        </w:rPr>
        <w:t xml:space="preserve"> of </w:t>
      </w:r>
      <w:r>
        <w:rPr>
          <w:kern w:val="0"/>
          <w:szCs w:val="24"/>
        </w:rPr>
        <w:t>the 58 evaluated points exceeded the 55 dB(A) limit. Concentration difficulties</w:t>
      </w:r>
      <w:r w:rsidR="005853A9">
        <w:rPr>
          <w:kern w:val="0"/>
          <w:szCs w:val="24"/>
        </w:rPr>
        <w:t xml:space="preserve"> and </w:t>
      </w:r>
      <w:r>
        <w:rPr>
          <w:kern w:val="0"/>
          <w:szCs w:val="24"/>
        </w:rPr>
        <w:t>irritation were the most cited effects in all educational sectors evaluated. Together, these two effects were cited by 61%</w:t>
      </w:r>
      <w:r w:rsidR="00427468">
        <w:rPr>
          <w:kern w:val="0"/>
          <w:szCs w:val="24"/>
        </w:rPr>
        <w:t xml:space="preserve"> of </w:t>
      </w:r>
      <w:r>
        <w:rPr>
          <w:kern w:val="0"/>
          <w:szCs w:val="24"/>
        </w:rPr>
        <w:t>the interviewed people in the Biological Science Sector, 81% in the Exact Science Sector, 69% in the Earth Science Sector</w:t>
      </w:r>
      <w:r w:rsidR="005853A9">
        <w:rPr>
          <w:kern w:val="0"/>
          <w:szCs w:val="24"/>
        </w:rPr>
        <w:t xml:space="preserve"> and </w:t>
      </w:r>
      <w:r>
        <w:rPr>
          <w:kern w:val="0"/>
          <w:szCs w:val="24"/>
        </w:rPr>
        <w:t>74% in the Technological Sector. Further, there were strong positive correlations between measured noise levels</w:t>
      </w:r>
      <w:r w:rsidR="005853A9">
        <w:rPr>
          <w:kern w:val="0"/>
          <w:szCs w:val="24"/>
        </w:rPr>
        <w:t xml:space="preserve"> and </w:t>
      </w:r>
      <w:r>
        <w:rPr>
          <w:kern w:val="0"/>
          <w:szCs w:val="24"/>
        </w:rPr>
        <w:t>reports</w:t>
      </w:r>
      <w:r w:rsidR="00427468">
        <w:rPr>
          <w:kern w:val="0"/>
          <w:szCs w:val="24"/>
        </w:rPr>
        <w:t xml:space="preserve"> of </w:t>
      </w:r>
      <w:r>
        <w:rPr>
          <w:kern w:val="0"/>
          <w:szCs w:val="24"/>
        </w:rPr>
        <w:t>annoyance from noise levels perceived by the interviewed campus population. (c) 2012 Elsevier Ltd. All rights reserved.</w:t>
      </w:r>
    </w:p>
    <w:p w:rsidR="00624F6C" w:rsidRDefault="00624F6C" w:rsidP="00624F6C">
      <w:pPr>
        <w:pStyle w:val="a3"/>
        <w:rPr>
          <w:kern w:val="0"/>
          <w:szCs w:val="24"/>
        </w:rPr>
      </w:pPr>
      <w:r>
        <w:rPr>
          <w:kern w:val="0"/>
          <w:szCs w:val="24"/>
        </w:rPr>
        <w:t>Keywords: Application, Brazil, Case Study, Characterization, Classrooms, Correlations, Data, Effects, Environmental, Environmental Noise, In Situ, Information, Interviews, Mapping, Noise, Noise Mapping, Noise Pollution, Pollution, Population, Preparation, Pressure, Purpose, Questionnaire, Research, Rights, School, Science, Software, Sound, Sound Perception, Traffic Noise, University, University Campus, Urban Traffic Noise, WHO</w:t>
      </w:r>
    </w:p>
    <w:p w:rsidR="000726FD" w:rsidRPr="00C73C58" w:rsidRDefault="000726FD" w:rsidP="000726FD">
      <w:pPr>
        <w:pStyle w:val="1"/>
      </w:pPr>
      <w:r w:rsidRPr="00C73C58">
        <w:br w:type="page"/>
      </w:r>
      <w:bookmarkStart w:id="246" w:name="_Toc420815003"/>
      <w:r w:rsidRPr="00C73C58">
        <w:lastRenderedPageBreak/>
        <w:t xml:space="preserve">Title: </w:t>
      </w:r>
      <w:r w:rsidR="006236B4" w:rsidRPr="006236B4">
        <w:rPr>
          <w:iCs w:val="0"/>
        </w:rPr>
        <w:t>Classical Philology</w:t>
      </w:r>
      <w:bookmarkEnd w:id="246"/>
    </w:p>
    <w:p w:rsidR="000726FD" w:rsidRPr="00C73C58" w:rsidRDefault="000726FD" w:rsidP="000726FD">
      <w:pPr>
        <w:pStyle w:val="12"/>
      </w:pPr>
      <w:r w:rsidRPr="00C73C58">
        <w:t xml:space="preserve">Full Journal Title: </w:t>
      </w:r>
      <w:r w:rsidR="006236B4" w:rsidRPr="006236B4">
        <w:rPr>
          <w:iCs/>
          <w:kern w:val="0"/>
        </w:rPr>
        <w:t>Classical Philology</w:t>
      </w:r>
    </w:p>
    <w:p w:rsidR="000726FD" w:rsidRPr="00C73C58" w:rsidRDefault="000726FD" w:rsidP="000726FD">
      <w:pPr>
        <w:pStyle w:val="12"/>
      </w:pPr>
      <w:r w:rsidRPr="00C73C58">
        <w:t xml:space="preserve">ISO Abbreviated Title: </w:t>
      </w:r>
    </w:p>
    <w:p w:rsidR="000726FD" w:rsidRPr="00C73C58" w:rsidRDefault="000726FD" w:rsidP="000726FD">
      <w:pPr>
        <w:pStyle w:val="12"/>
      </w:pPr>
      <w:r w:rsidRPr="00C73C58">
        <w:t xml:space="preserve">JCR Abbreviated Title: </w:t>
      </w:r>
    </w:p>
    <w:p w:rsidR="000726FD" w:rsidRPr="00C73C58" w:rsidRDefault="000726FD" w:rsidP="000726FD">
      <w:pPr>
        <w:pStyle w:val="12"/>
      </w:pPr>
      <w:r>
        <w:t xml:space="preserve">ISSN: </w:t>
      </w:r>
    </w:p>
    <w:p w:rsidR="000726FD" w:rsidRPr="00C73C58" w:rsidRDefault="000726FD" w:rsidP="000726FD">
      <w:pPr>
        <w:pStyle w:val="12"/>
      </w:pPr>
      <w:r w:rsidRPr="00C73C58">
        <w:t xml:space="preserve">Issues/Year: </w:t>
      </w:r>
    </w:p>
    <w:p w:rsidR="000726FD" w:rsidRPr="00C73C58" w:rsidRDefault="000726FD" w:rsidP="000726FD">
      <w:pPr>
        <w:pStyle w:val="12"/>
      </w:pPr>
      <w:r w:rsidRPr="00C73C58">
        <w:t xml:space="preserve">Journal Country/Territory: </w:t>
      </w:r>
    </w:p>
    <w:p w:rsidR="000726FD" w:rsidRPr="00C73C58" w:rsidRDefault="000726FD" w:rsidP="000726FD">
      <w:pPr>
        <w:pStyle w:val="12"/>
      </w:pPr>
      <w:r w:rsidRPr="00C73C58">
        <w:t xml:space="preserve">Language: </w:t>
      </w:r>
    </w:p>
    <w:p w:rsidR="000726FD" w:rsidRPr="00C73C58" w:rsidRDefault="000726FD" w:rsidP="000726FD">
      <w:pPr>
        <w:pStyle w:val="12"/>
      </w:pPr>
      <w:r w:rsidRPr="00C73C58">
        <w:t xml:space="preserve">Publisher: </w:t>
      </w:r>
    </w:p>
    <w:p w:rsidR="000726FD" w:rsidRPr="00C73C58" w:rsidRDefault="000726FD" w:rsidP="000726FD">
      <w:pPr>
        <w:pStyle w:val="12"/>
      </w:pPr>
      <w:r w:rsidRPr="00C73C58">
        <w:t xml:space="preserve">Publisher Address: </w:t>
      </w:r>
    </w:p>
    <w:p w:rsidR="000726FD" w:rsidRPr="00C73C58" w:rsidRDefault="000726FD" w:rsidP="000726FD">
      <w:pPr>
        <w:pStyle w:val="12"/>
      </w:pPr>
      <w:r w:rsidRPr="00C73C58">
        <w:t xml:space="preserve">Subject Categories: </w:t>
      </w:r>
    </w:p>
    <w:p w:rsidR="000726FD" w:rsidRPr="00C73C58" w:rsidRDefault="000726FD" w:rsidP="000726FD">
      <w:pPr>
        <w:pStyle w:val="12"/>
      </w:pPr>
      <w:r w:rsidRPr="00C73C58">
        <w:t xml:space="preserve">: Impact Factor </w:t>
      </w:r>
    </w:p>
    <w:p w:rsidR="000726FD" w:rsidRDefault="000726FD" w:rsidP="000726FD">
      <w:pPr>
        <w:pStyle w:val="a3"/>
        <w:rPr>
          <w:kern w:val="0"/>
        </w:rPr>
      </w:pPr>
      <w:r>
        <w:rPr>
          <w:rFonts w:hint="eastAsia"/>
          <w:kern w:val="0"/>
        </w:rPr>
        <w:t xml:space="preserve">? </w:t>
      </w:r>
      <w:r>
        <w:rPr>
          <w:kern w:val="0"/>
        </w:rPr>
        <w:t>Tyrrell, W.B. (2009), A meaning for (</w:t>
      </w:r>
      <w:r w:rsidR="006236B4">
        <w:rPr>
          <w:kern w:val="0"/>
        </w:rPr>
        <w:t>SIC</w:t>
      </w:r>
      <w:r>
        <w:rPr>
          <w:kern w:val="0"/>
        </w:rPr>
        <w:t xml:space="preserve">) not cited in </w:t>
      </w:r>
      <w:r w:rsidR="006236B4">
        <w:rPr>
          <w:kern w:val="0"/>
        </w:rPr>
        <w:t>LSJ</w:t>
      </w:r>
      <w:r>
        <w:rPr>
          <w:kern w:val="0"/>
        </w:rPr>
        <w:t xml:space="preserve">. </w:t>
      </w:r>
      <w:r w:rsidRPr="006236B4">
        <w:rPr>
          <w:i/>
          <w:iCs/>
          <w:kern w:val="0"/>
        </w:rPr>
        <w:t>Classical Philology</w:t>
      </w:r>
      <w:r>
        <w:rPr>
          <w:kern w:val="0"/>
        </w:rPr>
        <w:t xml:space="preserve">, </w:t>
      </w:r>
      <w:r>
        <w:rPr>
          <w:b/>
          <w:bCs/>
          <w:kern w:val="0"/>
        </w:rPr>
        <w:t>104</w:t>
      </w:r>
      <w:r>
        <w:rPr>
          <w:kern w:val="0"/>
        </w:rPr>
        <w:t xml:space="preserve"> (1), 82-84</w:t>
      </w:r>
      <w:r>
        <w:rPr>
          <w:rFonts w:hint="eastAsia"/>
          <w:kern w:val="0"/>
        </w:rPr>
        <w:t>.</w:t>
      </w:r>
    </w:p>
    <w:p w:rsidR="000726FD" w:rsidRPr="00C73C58" w:rsidRDefault="000726FD" w:rsidP="000726FD">
      <w:pPr>
        <w:pStyle w:val="1"/>
      </w:pPr>
      <w:r w:rsidRPr="00C73C58">
        <w:br w:type="page"/>
      </w:r>
      <w:bookmarkStart w:id="247" w:name="_Toc420815004"/>
      <w:r w:rsidRPr="00C73C58">
        <w:lastRenderedPageBreak/>
        <w:t xml:space="preserve">Title: </w:t>
      </w:r>
      <w:r w:rsidRPr="005F7995">
        <w:t>Classical Review</w:t>
      </w:r>
      <w:bookmarkEnd w:id="247"/>
    </w:p>
    <w:p w:rsidR="000726FD" w:rsidRPr="00C73C58" w:rsidRDefault="000726FD" w:rsidP="000726FD">
      <w:pPr>
        <w:pStyle w:val="12"/>
      </w:pPr>
      <w:r w:rsidRPr="00C73C58">
        <w:t xml:space="preserve">Full Journal Title: </w:t>
      </w:r>
      <w:r w:rsidRPr="005F7995">
        <w:rPr>
          <w:iCs/>
          <w:kern w:val="0"/>
        </w:rPr>
        <w:t>Classical Review</w:t>
      </w:r>
    </w:p>
    <w:p w:rsidR="000726FD" w:rsidRPr="00C73C58" w:rsidRDefault="000726FD" w:rsidP="000726FD">
      <w:pPr>
        <w:pStyle w:val="12"/>
      </w:pPr>
      <w:r w:rsidRPr="00C73C58">
        <w:t xml:space="preserve">ISO Abbreviated Title: </w:t>
      </w:r>
    </w:p>
    <w:p w:rsidR="000726FD" w:rsidRPr="00C73C58" w:rsidRDefault="000726FD" w:rsidP="000726FD">
      <w:pPr>
        <w:pStyle w:val="12"/>
      </w:pPr>
      <w:r w:rsidRPr="00C73C58">
        <w:t xml:space="preserve">JCR Abbreviated Title: </w:t>
      </w:r>
    </w:p>
    <w:p w:rsidR="000726FD" w:rsidRPr="00C73C58" w:rsidRDefault="000726FD" w:rsidP="000726FD">
      <w:pPr>
        <w:pStyle w:val="12"/>
      </w:pPr>
      <w:r>
        <w:t xml:space="preserve">ISSN: </w:t>
      </w:r>
    </w:p>
    <w:p w:rsidR="000726FD" w:rsidRPr="00C73C58" w:rsidRDefault="000726FD" w:rsidP="000726FD">
      <w:pPr>
        <w:pStyle w:val="12"/>
      </w:pPr>
      <w:r w:rsidRPr="00C73C58">
        <w:t xml:space="preserve">Issues/Year: </w:t>
      </w:r>
    </w:p>
    <w:p w:rsidR="000726FD" w:rsidRPr="00C73C58" w:rsidRDefault="000726FD" w:rsidP="000726FD">
      <w:pPr>
        <w:pStyle w:val="12"/>
      </w:pPr>
      <w:r w:rsidRPr="00C73C58">
        <w:t xml:space="preserve">Journal Country/Territory: </w:t>
      </w:r>
    </w:p>
    <w:p w:rsidR="000726FD" w:rsidRPr="00C73C58" w:rsidRDefault="000726FD" w:rsidP="000726FD">
      <w:pPr>
        <w:pStyle w:val="12"/>
      </w:pPr>
      <w:r w:rsidRPr="00C73C58">
        <w:t xml:space="preserve">Language: </w:t>
      </w:r>
    </w:p>
    <w:p w:rsidR="000726FD" w:rsidRPr="00C73C58" w:rsidRDefault="000726FD" w:rsidP="000726FD">
      <w:pPr>
        <w:pStyle w:val="12"/>
      </w:pPr>
      <w:r w:rsidRPr="00C73C58">
        <w:t xml:space="preserve">Publisher: </w:t>
      </w:r>
    </w:p>
    <w:p w:rsidR="000726FD" w:rsidRPr="00C73C58" w:rsidRDefault="000726FD" w:rsidP="000726FD">
      <w:pPr>
        <w:pStyle w:val="12"/>
      </w:pPr>
      <w:r w:rsidRPr="00C73C58">
        <w:t xml:space="preserve">Publisher Address: </w:t>
      </w:r>
    </w:p>
    <w:p w:rsidR="000726FD" w:rsidRPr="00C73C58" w:rsidRDefault="000726FD" w:rsidP="000726FD">
      <w:pPr>
        <w:pStyle w:val="12"/>
      </w:pPr>
      <w:r w:rsidRPr="00C73C58">
        <w:t xml:space="preserve">Subject Categories: </w:t>
      </w:r>
    </w:p>
    <w:p w:rsidR="000726FD" w:rsidRPr="00C73C58" w:rsidRDefault="000726FD" w:rsidP="000726FD">
      <w:pPr>
        <w:pStyle w:val="12"/>
      </w:pPr>
      <w:r w:rsidRPr="00C73C58">
        <w:t xml:space="preserve">: Impact Factor </w:t>
      </w:r>
    </w:p>
    <w:p w:rsidR="00E570A1" w:rsidRDefault="00E570A1" w:rsidP="00E570A1">
      <w:pPr>
        <w:pStyle w:val="a3"/>
        <w:rPr>
          <w:kern w:val="0"/>
        </w:rPr>
      </w:pPr>
      <w:r>
        <w:rPr>
          <w:rFonts w:hint="eastAsia"/>
          <w:kern w:val="0"/>
        </w:rPr>
        <w:t xml:space="preserve">? </w:t>
      </w:r>
      <w:r>
        <w:rPr>
          <w:kern w:val="0"/>
        </w:rPr>
        <w:t>Ohrman, M. (2009</w:t>
      </w:r>
      <w:r w:rsidR="00F42EAC">
        <w:rPr>
          <w:kern w:val="0"/>
        </w:rPr>
        <w:t>), The</w:t>
      </w:r>
      <w:r w:rsidR="003A1917">
        <w:rPr>
          <w:kern w:val="0"/>
        </w:rPr>
        <w:t xml:space="preserve"> </w:t>
      </w:r>
      <w:r>
        <w:rPr>
          <w:kern w:val="0"/>
        </w:rPr>
        <w:t>game with own texts. Repetition</w:t>
      </w:r>
      <w:r w:rsidR="005853A9">
        <w:rPr>
          <w:kern w:val="0"/>
        </w:rPr>
        <w:t xml:space="preserve"> and </w:t>
      </w:r>
      <w:r>
        <w:rPr>
          <w:kern w:val="0"/>
        </w:rPr>
        <w:t xml:space="preserve">self citation during Ovid. </w:t>
      </w:r>
      <w:r w:rsidRPr="005F7995">
        <w:rPr>
          <w:i/>
          <w:iCs/>
          <w:kern w:val="0"/>
        </w:rPr>
        <w:t>Classical Review</w:t>
      </w:r>
      <w:r>
        <w:rPr>
          <w:kern w:val="0"/>
        </w:rPr>
        <w:t xml:space="preserve">, </w:t>
      </w:r>
      <w:r>
        <w:rPr>
          <w:b/>
          <w:bCs/>
          <w:kern w:val="0"/>
        </w:rPr>
        <w:t>59</w:t>
      </w:r>
      <w:r>
        <w:rPr>
          <w:kern w:val="0"/>
        </w:rPr>
        <w:t xml:space="preserve"> (1), 298-299</w:t>
      </w:r>
    </w:p>
    <w:p w:rsidR="00E570A1" w:rsidRDefault="00E570A1" w:rsidP="00E570A1">
      <w:pPr>
        <w:pStyle w:val="a3"/>
        <w:rPr>
          <w:kern w:val="0"/>
        </w:rPr>
      </w:pPr>
      <w:r>
        <w:rPr>
          <w:kern w:val="0"/>
        </w:rPr>
        <w:t xml:space="preserve">Keywords: </w:t>
      </w:r>
      <w:r w:rsidR="0071223E">
        <w:rPr>
          <w:kern w:val="0"/>
        </w:rPr>
        <w:t>‘</w:t>
      </w:r>
      <w:r>
        <w:rPr>
          <w:kern w:val="0"/>
        </w:rPr>
        <w:t>Epistulae-ex-Ponto</w:t>
      </w:r>
      <w:r w:rsidR="0071223E">
        <w:rPr>
          <w:kern w:val="0"/>
        </w:rPr>
        <w:t>’</w:t>
      </w:r>
      <w:r>
        <w:rPr>
          <w:kern w:val="0"/>
        </w:rPr>
        <w:t xml:space="preserve"> 3.1</w:t>
      </w:r>
      <w:r>
        <w:rPr>
          <w:rFonts w:hint="eastAsia"/>
          <w:kern w:val="0"/>
        </w:rPr>
        <w:t xml:space="preserve">, </w:t>
      </w:r>
      <w:r>
        <w:rPr>
          <w:kern w:val="0"/>
        </w:rPr>
        <w:t>Citation</w:t>
      </w:r>
      <w:r>
        <w:rPr>
          <w:rFonts w:hint="eastAsia"/>
          <w:kern w:val="0"/>
        </w:rPr>
        <w:t xml:space="preserve">, </w:t>
      </w:r>
      <w:r>
        <w:rPr>
          <w:kern w:val="0"/>
        </w:rPr>
        <w:t>Self-Citation</w:t>
      </w:r>
    </w:p>
    <w:p w:rsidR="0069476F" w:rsidRPr="00C73C58" w:rsidRDefault="0069476F" w:rsidP="0069476F">
      <w:pPr>
        <w:pStyle w:val="1"/>
      </w:pPr>
      <w:r w:rsidRPr="00C73C58">
        <w:br w:type="page"/>
      </w:r>
      <w:bookmarkStart w:id="248" w:name="_Toc420815005"/>
      <w:r w:rsidRPr="00C73C58">
        <w:lastRenderedPageBreak/>
        <w:t xml:space="preserve">Title: </w:t>
      </w:r>
      <w:r w:rsidRPr="0069476F">
        <w:t>Climacteric</w:t>
      </w:r>
      <w:bookmarkEnd w:id="248"/>
    </w:p>
    <w:p w:rsidR="0069476F" w:rsidRPr="00C73C58" w:rsidRDefault="0069476F" w:rsidP="0069476F">
      <w:pPr>
        <w:pStyle w:val="12"/>
      </w:pPr>
      <w:r w:rsidRPr="00C73C58">
        <w:t xml:space="preserve">Full Journal Title: </w:t>
      </w:r>
      <w:r w:rsidRPr="0069476F">
        <w:rPr>
          <w:iCs/>
          <w:kern w:val="0"/>
        </w:rPr>
        <w:t>Climacteric</w:t>
      </w:r>
    </w:p>
    <w:p w:rsidR="0069476F" w:rsidRPr="00C73C58" w:rsidRDefault="0069476F" w:rsidP="0069476F">
      <w:pPr>
        <w:pStyle w:val="12"/>
      </w:pPr>
      <w:r w:rsidRPr="00C73C58">
        <w:t xml:space="preserve">ISO Abbreviated Title: </w:t>
      </w:r>
    </w:p>
    <w:p w:rsidR="0069476F" w:rsidRPr="00C73C58" w:rsidRDefault="0069476F" w:rsidP="0069476F">
      <w:pPr>
        <w:pStyle w:val="12"/>
      </w:pPr>
      <w:r w:rsidRPr="00C73C58">
        <w:t xml:space="preserve">JCR Abbreviated Title: </w:t>
      </w:r>
    </w:p>
    <w:p w:rsidR="0069476F" w:rsidRPr="00C73C58" w:rsidRDefault="0069476F" w:rsidP="0069476F">
      <w:pPr>
        <w:pStyle w:val="12"/>
      </w:pPr>
      <w:r>
        <w:t xml:space="preserve">ISSN: </w:t>
      </w:r>
    </w:p>
    <w:p w:rsidR="0069476F" w:rsidRPr="00C73C58" w:rsidRDefault="0069476F" w:rsidP="0069476F">
      <w:pPr>
        <w:pStyle w:val="12"/>
      </w:pPr>
      <w:r w:rsidRPr="00C73C58">
        <w:t xml:space="preserve">Issues/Year: </w:t>
      </w:r>
    </w:p>
    <w:p w:rsidR="0069476F" w:rsidRPr="00C73C58" w:rsidRDefault="0069476F" w:rsidP="0069476F">
      <w:pPr>
        <w:pStyle w:val="12"/>
      </w:pPr>
      <w:r w:rsidRPr="00C73C58">
        <w:t xml:space="preserve">Journal Country/Territory: </w:t>
      </w:r>
    </w:p>
    <w:p w:rsidR="0069476F" w:rsidRPr="00C73C58" w:rsidRDefault="0069476F" w:rsidP="0069476F">
      <w:pPr>
        <w:pStyle w:val="12"/>
      </w:pPr>
      <w:r w:rsidRPr="00C73C58">
        <w:t xml:space="preserve">Language: </w:t>
      </w:r>
    </w:p>
    <w:p w:rsidR="0069476F" w:rsidRPr="00C73C58" w:rsidRDefault="0069476F" w:rsidP="0069476F">
      <w:pPr>
        <w:pStyle w:val="12"/>
      </w:pPr>
      <w:r w:rsidRPr="00C73C58">
        <w:t xml:space="preserve">Publisher: </w:t>
      </w:r>
    </w:p>
    <w:p w:rsidR="0069476F" w:rsidRPr="00C73C58" w:rsidRDefault="0069476F" w:rsidP="0069476F">
      <w:pPr>
        <w:pStyle w:val="12"/>
      </w:pPr>
      <w:r w:rsidRPr="00C73C58">
        <w:t xml:space="preserve">Publisher Address: </w:t>
      </w:r>
    </w:p>
    <w:p w:rsidR="0069476F" w:rsidRPr="00C73C58" w:rsidRDefault="0069476F" w:rsidP="0069476F">
      <w:pPr>
        <w:pStyle w:val="12"/>
      </w:pPr>
      <w:r w:rsidRPr="00C73C58">
        <w:t xml:space="preserve">Subject Categories: </w:t>
      </w:r>
    </w:p>
    <w:p w:rsidR="0069476F" w:rsidRPr="00C73C58" w:rsidRDefault="0069476F" w:rsidP="0069476F">
      <w:pPr>
        <w:pStyle w:val="12"/>
      </w:pPr>
      <w:r w:rsidRPr="00C73C58">
        <w:t xml:space="preserve">: Impact Factor </w:t>
      </w:r>
    </w:p>
    <w:p w:rsidR="0069476F" w:rsidRDefault="0069476F" w:rsidP="0069476F">
      <w:pPr>
        <w:pStyle w:val="a3"/>
        <w:rPr>
          <w:kern w:val="0"/>
        </w:rPr>
      </w:pPr>
      <w:r>
        <w:rPr>
          <w:rFonts w:hint="eastAsia"/>
          <w:kern w:val="0"/>
        </w:rPr>
        <w:t xml:space="preserve">? </w:t>
      </w:r>
      <w:r>
        <w:rPr>
          <w:kern w:val="0"/>
        </w:rPr>
        <w:t>Woods, N.F., Mitchell, E.S., Schnall, J.G., Cray, L., Ismail, R., Taylor-Swanson, L.</w:t>
      </w:r>
      <w:r w:rsidR="005853A9">
        <w:rPr>
          <w:kern w:val="0"/>
        </w:rPr>
        <w:t xml:space="preserve"> and </w:t>
      </w:r>
      <w:r>
        <w:rPr>
          <w:kern w:val="0"/>
        </w:rPr>
        <w:t>Thomas, A. (2014), Effects</w:t>
      </w:r>
      <w:r w:rsidR="00427468">
        <w:rPr>
          <w:kern w:val="0"/>
        </w:rPr>
        <w:t xml:space="preserve"> of </w:t>
      </w:r>
      <w:r>
        <w:rPr>
          <w:kern w:val="0"/>
        </w:rPr>
        <w:t xml:space="preserve">mind-body therapies on symptom clusters during the menopausal transition. </w:t>
      </w:r>
      <w:r w:rsidRPr="0069476F">
        <w:rPr>
          <w:i/>
          <w:iCs/>
          <w:kern w:val="0"/>
        </w:rPr>
        <w:t>Climacteric</w:t>
      </w:r>
      <w:r>
        <w:rPr>
          <w:kern w:val="0"/>
        </w:rPr>
        <w:t xml:space="preserve">, </w:t>
      </w:r>
      <w:r>
        <w:rPr>
          <w:b/>
          <w:bCs/>
          <w:kern w:val="0"/>
        </w:rPr>
        <w:t>17</w:t>
      </w:r>
      <w:r>
        <w:rPr>
          <w:kern w:val="0"/>
        </w:rPr>
        <w:t xml:space="preserve"> (1), 10-22.</w:t>
      </w:r>
    </w:p>
    <w:p w:rsidR="0069476F" w:rsidRDefault="0069476F" w:rsidP="0069476F">
      <w:pPr>
        <w:pStyle w:val="a3"/>
        <w:rPr>
          <w:kern w:val="0"/>
        </w:rPr>
      </w:pPr>
      <w:r>
        <w:rPr>
          <w:rFonts w:hint="eastAsia"/>
          <w:kern w:val="0"/>
        </w:rPr>
        <w:t xml:space="preserve">Full Text: </w:t>
      </w:r>
      <w:hyperlink r:id="rId301" w:history="1">
        <w:r w:rsidRPr="0069476F">
          <w:rPr>
            <w:rStyle w:val="a5"/>
            <w:kern w:val="0"/>
          </w:rPr>
          <w:t>2014\Climacteric17, 10.pdf</w:t>
        </w:r>
      </w:hyperlink>
    </w:p>
    <w:p w:rsidR="0069476F" w:rsidRDefault="0069476F" w:rsidP="0069476F">
      <w:pPr>
        <w:pStyle w:val="a3"/>
        <w:rPr>
          <w:kern w:val="0"/>
        </w:rPr>
      </w:pPr>
      <w:r>
        <w:rPr>
          <w:kern w:val="0"/>
        </w:rPr>
        <w:t>Abstract: Aims Although most women experience symptom clusters during the menopausal transition</w:t>
      </w:r>
      <w:r w:rsidR="005853A9">
        <w:rPr>
          <w:kern w:val="0"/>
        </w:rPr>
        <w:t xml:space="preserve"> and </w:t>
      </w:r>
      <w:r>
        <w:rPr>
          <w:kern w:val="0"/>
        </w:rPr>
        <w:t>early postmenopause, investigators reporting clinical trial effects for hot flushes often omit co-occurring symptoms. Our aim was to review controlled clinical trials</w:t>
      </w:r>
      <w:r w:rsidR="00427468">
        <w:rPr>
          <w:kern w:val="0"/>
        </w:rPr>
        <w:t xml:space="preserve"> of </w:t>
      </w:r>
      <w:r>
        <w:rPr>
          <w:kern w:val="0"/>
        </w:rPr>
        <w:t>mind-body therapies for hot flushes</w:t>
      </w:r>
      <w:r w:rsidR="005853A9">
        <w:rPr>
          <w:kern w:val="0"/>
        </w:rPr>
        <w:t xml:space="preserve"> and </w:t>
      </w:r>
      <w:r>
        <w:rPr>
          <w:kern w:val="0"/>
        </w:rPr>
        <w:t>at least one other co-occurring symptom from these groups: sleep, cognitive function, mood,</w:t>
      </w:r>
      <w:r w:rsidR="005853A9">
        <w:rPr>
          <w:kern w:val="0"/>
        </w:rPr>
        <w:t xml:space="preserve"> and </w:t>
      </w:r>
      <w:r>
        <w:rPr>
          <w:kern w:val="0"/>
        </w:rPr>
        <w:t>pain. Methods An experienced reference librarian performed an extensive search</w:t>
      </w:r>
      <w:r w:rsidR="00427468">
        <w:rPr>
          <w:kern w:val="0"/>
        </w:rPr>
        <w:t xml:space="preserve"> of </w:t>
      </w:r>
      <w:r>
        <w:rPr>
          <w:kern w:val="0"/>
        </w:rPr>
        <w:t>PubMed/Medline, CINAHL Plus, PsycInfo, Cochrane Database</w:t>
      </w:r>
      <w:r w:rsidR="00427468">
        <w:rPr>
          <w:kern w:val="0"/>
        </w:rPr>
        <w:t xml:space="preserve"> of </w:t>
      </w:r>
      <w:r>
        <w:rPr>
          <w:kern w:val="0"/>
        </w:rPr>
        <w:t>Systematic Reviews, Cochrane Central Register</w:t>
      </w:r>
      <w:r w:rsidR="00427468">
        <w:rPr>
          <w:kern w:val="0"/>
        </w:rPr>
        <w:t xml:space="preserve"> of </w:t>
      </w:r>
      <w:r>
        <w:rPr>
          <w:kern w:val="0"/>
        </w:rPr>
        <w:t>Controlled Trials, Web</w:t>
      </w:r>
      <w:r w:rsidR="00427468">
        <w:rPr>
          <w:kern w:val="0"/>
        </w:rPr>
        <w:t xml:space="preserve"> of </w:t>
      </w:r>
      <w:r>
        <w:rPr>
          <w:kern w:val="0"/>
        </w:rPr>
        <w:t>Science, EMBASE, AMED,</w:t>
      </w:r>
      <w:r w:rsidR="005853A9">
        <w:rPr>
          <w:kern w:val="0"/>
        </w:rPr>
        <w:t xml:space="preserve"> and </w:t>
      </w:r>
      <w:r>
        <w:rPr>
          <w:kern w:val="0"/>
        </w:rPr>
        <w:t>Alt-Health Watch for randomized controlled trials reported in English between 2004</w:t>
      </w:r>
      <w:r w:rsidR="005853A9">
        <w:rPr>
          <w:kern w:val="0"/>
        </w:rPr>
        <w:t xml:space="preserve"> and </w:t>
      </w:r>
      <w:r>
        <w:rPr>
          <w:kern w:val="0"/>
        </w:rPr>
        <w:t>July 2011.</w:t>
      </w:r>
      <w:r w:rsidR="00427468">
        <w:rPr>
          <w:kern w:val="0"/>
        </w:rPr>
        <w:t xml:space="preserve"> of </w:t>
      </w:r>
      <w:r>
        <w:rPr>
          <w:kern w:val="0"/>
        </w:rPr>
        <w:t>1193 abstracts identified, 58 trials examining effectiveness</w:t>
      </w:r>
      <w:r w:rsidR="00427468">
        <w:rPr>
          <w:kern w:val="0"/>
        </w:rPr>
        <w:t xml:space="preserve"> of </w:t>
      </w:r>
      <w:r>
        <w:rPr>
          <w:kern w:val="0"/>
        </w:rPr>
        <w:t>therapies for hot flushes</w:t>
      </w:r>
      <w:r w:rsidR="005853A9">
        <w:rPr>
          <w:kern w:val="0"/>
        </w:rPr>
        <w:t xml:space="preserve"> and </w:t>
      </w:r>
      <w:r>
        <w:rPr>
          <w:kern w:val="0"/>
        </w:rPr>
        <w:t>at least one additional co-occurring symptom</w:t>
      </w:r>
      <w:r w:rsidR="00427468">
        <w:rPr>
          <w:kern w:val="0"/>
        </w:rPr>
        <w:t xml:space="preserve"> of </w:t>
      </w:r>
      <w:r>
        <w:rPr>
          <w:kern w:val="0"/>
        </w:rPr>
        <w:t>interest were identified. Results Eight trials (ten publications) examined relaxation, yoga, or exercise. Physical activity/exercise trials (six) yielded mixed results; only one significantly reduced hot flushes</w:t>
      </w:r>
      <w:r w:rsidR="005853A9">
        <w:rPr>
          <w:kern w:val="0"/>
        </w:rPr>
        <w:t xml:space="preserve"> and </w:t>
      </w:r>
      <w:r>
        <w:rPr>
          <w:kern w:val="0"/>
        </w:rPr>
        <w:t>mood symptoms.</w:t>
      </w:r>
      <w:r w:rsidR="00427468">
        <w:rPr>
          <w:kern w:val="0"/>
        </w:rPr>
        <w:t xml:space="preserve"> of </w:t>
      </w:r>
      <w:r>
        <w:rPr>
          <w:kern w:val="0"/>
        </w:rPr>
        <w:t>two relaxation therapy trials, only mindfulness-based stress reduction training reduced sleep</w:t>
      </w:r>
      <w:r w:rsidR="005853A9">
        <w:rPr>
          <w:kern w:val="0"/>
        </w:rPr>
        <w:t xml:space="preserve"> and </w:t>
      </w:r>
      <w:r>
        <w:rPr>
          <w:kern w:val="0"/>
        </w:rPr>
        <w:t>mood symptoms</w:t>
      </w:r>
      <w:r w:rsidR="005853A9">
        <w:rPr>
          <w:kern w:val="0"/>
        </w:rPr>
        <w:t xml:space="preserve"> and </w:t>
      </w:r>
      <w:r>
        <w:rPr>
          <w:kern w:val="0"/>
        </w:rPr>
        <w:t>had within-group treatment effects on hot flushes. Yoga (one trial) significantly reduced hot flushes</w:t>
      </w:r>
      <w:r w:rsidR="005853A9">
        <w:rPr>
          <w:kern w:val="0"/>
        </w:rPr>
        <w:t xml:space="preserve"> and </w:t>
      </w:r>
      <w:r>
        <w:rPr>
          <w:kern w:val="0"/>
        </w:rPr>
        <w:t>improved cognitive symptoms more than exercise,</w:t>
      </w:r>
      <w:r w:rsidR="005853A9">
        <w:rPr>
          <w:kern w:val="0"/>
        </w:rPr>
        <w:t xml:space="preserve"> and </w:t>
      </w:r>
      <w:r>
        <w:rPr>
          <w:kern w:val="0"/>
        </w:rPr>
        <w:t>also had within-group effects on sleep</w:t>
      </w:r>
      <w:r w:rsidR="005853A9">
        <w:rPr>
          <w:kern w:val="0"/>
        </w:rPr>
        <w:t xml:space="preserve"> and </w:t>
      </w:r>
      <w:r>
        <w:rPr>
          <w:kern w:val="0"/>
        </w:rPr>
        <w:t>pain symptoms. Conclusions Studies</w:t>
      </w:r>
      <w:r w:rsidR="00427468">
        <w:rPr>
          <w:kern w:val="0"/>
        </w:rPr>
        <w:t xml:space="preserve"> of </w:t>
      </w:r>
      <w:r>
        <w:rPr>
          <w:kern w:val="0"/>
        </w:rPr>
        <w:t xml:space="preserve">mind-body therapies for hot flushes increasingly measure multiple symptom outcomes, but few report treatment effects in ways that allow clinicians to consider symptom clusters when prescribing therapies. Future studies </w:t>
      </w:r>
      <w:r>
        <w:rPr>
          <w:kern w:val="0"/>
        </w:rPr>
        <w:lastRenderedPageBreak/>
        <w:t>need to measure</w:t>
      </w:r>
      <w:r w:rsidR="005853A9">
        <w:rPr>
          <w:kern w:val="0"/>
        </w:rPr>
        <w:t xml:space="preserve"> and </w:t>
      </w:r>
      <w:r>
        <w:rPr>
          <w:kern w:val="0"/>
        </w:rPr>
        <w:t>report results for individual symptoms or group like symptoms together into subscales rather than use subscales with mixed dimensions. Trials with larger numbers</w:t>
      </w:r>
      <w:r w:rsidR="00427468">
        <w:rPr>
          <w:kern w:val="0"/>
        </w:rPr>
        <w:t xml:space="preserve"> of </w:t>
      </w:r>
      <w:r>
        <w:rPr>
          <w:kern w:val="0"/>
        </w:rPr>
        <w:t>participants are essential to allow evaluation</w:t>
      </w:r>
      <w:r w:rsidR="00427468">
        <w:rPr>
          <w:kern w:val="0"/>
        </w:rPr>
        <w:t xml:space="preserve"> of </w:t>
      </w:r>
      <w:r>
        <w:rPr>
          <w:kern w:val="0"/>
        </w:rPr>
        <w:t>these therapies on multiple co-occurring symptoms.</w:t>
      </w:r>
    </w:p>
    <w:p w:rsidR="0069476F" w:rsidRDefault="0069476F" w:rsidP="0069476F">
      <w:pPr>
        <w:pStyle w:val="a3"/>
        <w:rPr>
          <w:kern w:val="0"/>
        </w:rPr>
      </w:pPr>
      <w:r>
        <w:rPr>
          <w:kern w:val="0"/>
        </w:rPr>
        <w:t>Keywords: Clinical, Clinical Trial, Clinical Trials, Cognitive Function, Database, Effectiveness, Effects, Embase, Evaluation, Exercise, Experience, Function, Groups, Measure, Methods, Outcomes, Pain, Prescribing, Publications, Randomized, Randomized Controlled Trials, Reduction, Reference, Relaxation, Reporting, Results, Review, Science, Sleep, Stress, Symptoms, Systematic Reviews, Therapy, Training, Treatment, Trial, Web</w:t>
      </w:r>
      <w:r w:rsidR="00427468">
        <w:rPr>
          <w:kern w:val="0"/>
        </w:rPr>
        <w:t xml:space="preserve"> of </w:t>
      </w:r>
      <w:r>
        <w:rPr>
          <w:kern w:val="0"/>
        </w:rPr>
        <w:t>Science, Women</w:t>
      </w:r>
    </w:p>
    <w:p w:rsidR="00B707CA" w:rsidRDefault="00B707CA" w:rsidP="00B707CA">
      <w:pPr>
        <w:pStyle w:val="a3"/>
        <w:rPr>
          <w:kern w:val="0"/>
        </w:rPr>
      </w:pPr>
      <w:r>
        <w:rPr>
          <w:rFonts w:hint="eastAsia"/>
          <w:kern w:val="0"/>
        </w:rPr>
        <w:t xml:space="preserve">? </w:t>
      </w:r>
      <w:r>
        <w:rPr>
          <w:kern w:val="0"/>
        </w:rPr>
        <w:t xml:space="preserve">Shen, H., Xie, J. and Lu, H. (2014), Vitamin D receptor gene and risk of fracture in postmenopausal women: A meta-analysis. </w:t>
      </w:r>
      <w:r>
        <w:rPr>
          <w:i/>
          <w:iCs/>
          <w:kern w:val="0"/>
        </w:rPr>
        <w:t>Climacteric</w:t>
      </w:r>
      <w:r>
        <w:rPr>
          <w:kern w:val="0"/>
        </w:rPr>
        <w:t xml:space="preserve">, </w:t>
      </w:r>
      <w:r>
        <w:rPr>
          <w:b/>
          <w:bCs/>
          <w:kern w:val="0"/>
        </w:rPr>
        <w:t>17</w:t>
      </w:r>
      <w:r>
        <w:rPr>
          <w:kern w:val="0"/>
        </w:rPr>
        <w:t xml:space="preserve"> (4), 319-324.</w:t>
      </w:r>
    </w:p>
    <w:p w:rsidR="00B707CA" w:rsidRDefault="00B707CA" w:rsidP="00B707CA">
      <w:pPr>
        <w:pStyle w:val="a3"/>
        <w:rPr>
          <w:kern w:val="0"/>
        </w:rPr>
      </w:pPr>
      <w:r>
        <w:rPr>
          <w:rFonts w:hint="eastAsia"/>
          <w:kern w:val="0"/>
        </w:rPr>
        <w:t xml:space="preserve">Full Text: </w:t>
      </w:r>
      <w:hyperlink r:id="rId302" w:history="1">
        <w:r w:rsidRPr="00B32029">
          <w:rPr>
            <w:rStyle w:val="a5"/>
            <w:kern w:val="0"/>
          </w:rPr>
          <w:t>2014\Climacteric17, 319.pdf</w:t>
        </w:r>
      </w:hyperlink>
    </w:p>
    <w:p w:rsidR="00B707CA" w:rsidRDefault="00B707CA" w:rsidP="00B707CA">
      <w:pPr>
        <w:pStyle w:val="a3"/>
        <w:rPr>
          <w:kern w:val="0"/>
        </w:rPr>
      </w:pPr>
      <w:r>
        <w:rPr>
          <w:kern w:val="0"/>
        </w:rPr>
        <w:t>Abstract: Objective Fracture is the major clinical outcome of osteoporosis. The vitamin D receptor (VDR) gene is thought to be a candidate gene for osteoporosis. Many genetic studies have suggested an association of VDR polymorphisms and fracture risk, but evidence remains conflicting. The aim of this study was to evaluate the genetic effect of the BsmI, TaqI, ApaI and FokI polymorphisms in the VDR gene on fracture risk in postmenopausal women. Methods Relevant studies were identified from the following electronic databases: PubMed, Embase, and Web of Science before September 2013. Statistical analysis was performed by using the software STATA 12.0. A total 1975 fracture cases and 4565 controls in 14 studies with a total of 16 eligible comparisons were identified for data analysis. Results No evidence of relationship between the VDR BsmI, TaqI, ApaI or FokI polymorphisms and fracture risk was observed with any genetic model in postmenopausal women (BsmI: b vs. B: odds ratio (OR) 1.07, 95% confidence interval (CI) 0.90-1.29; TaqI: T vs. t: OR 0.89, 95% CI 0.68-1.15; ApaI: A vs. a: OR 0.91, 95% CI 0.76-1.08; FokI: F vs. f: OR 1.20, 95% CI 0.76-1.90). Conclusion This meta-analysis suggests that ApaI, BsmI, TaqI and FokI polymorphisms may be not associated with the risk of fracture in postmenopausal women. Further studies in a larger sample population are required to confirm this finding.</w:t>
      </w:r>
    </w:p>
    <w:p w:rsidR="00B707CA" w:rsidRDefault="00B707CA" w:rsidP="00B707CA">
      <w:pPr>
        <w:pStyle w:val="a3"/>
        <w:rPr>
          <w:kern w:val="0"/>
        </w:rPr>
      </w:pPr>
      <w:r>
        <w:rPr>
          <w:kern w:val="0"/>
        </w:rPr>
        <w:t>Keywords: Analysis, Association, Clinical, Confidence, Data, Data Analysis, Databases, Evidence, Foki, Fracture, Gene, Genetic, Interval, Meta Analysis, Meta-Analysis, Metaanalysis, Methods, Model, Odds Ratio, Osteoporosis, Outcome, Polymorphisms, Population, Postmenopausal, Postmenopausal Women, Pubmed, Results, Risk, Science, Software, Statistical Analysis, T, Taqi, Vdr, Vitamin, Vitamin D, Vitamin D Receptor, Web Of Science, Women</w:t>
      </w:r>
    </w:p>
    <w:p w:rsidR="00B707CA" w:rsidRDefault="00B707CA" w:rsidP="00B707CA">
      <w:pPr>
        <w:pStyle w:val="a3"/>
        <w:rPr>
          <w:kern w:val="0"/>
        </w:rPr>
      </w:pPr>
      <w:r>
        <w:rPr>
          <w:rFonts w:hint="eastAsia"/>
          <w:kern w:val="0"/>
        </w:rPr>
        <w:t xml:space="preserve">? </w:t>
      </w:r>
      <w:r>
        <w:rPr>
          <w:kern w:val="0"/>
        </w:rPr>
        <w:t xml:space="preserve">Liu, Y.R., Jiang, Y.L., Huang, R.Q., Yang, J.Y., Xiao, B.K. and Dong, J.X. (2014), </w:t>
      </w:r>
      <w:r w:rsidRPr="00B32029">
        <w:rPr>
          <w:i/>
          <w:kern w:val="0"/>
        </w:rPr>
        <w:t>Hypericum perforatum L</w:t>
      </w:r>
      <w:r>
        <w:rPr>
          <w:kern w:val="0"/>
        </w:rPr>
        <w:t xml:space="preserve">. preparations for menopause: A meta-analysis of efficacy </w:t>
      </w:r>
      <w:r>
        <w:rPr>
          <w:kern w:val="0"/>
        </w:rPr>
        <w:lastRenderedPageBreak/>
        <w:t xml:space="preserve">and safety. </w:t>
      </w:r>
      <w:r>
        <w:rPr>
          <w:i/>
          <w:iCs/>
          <w:kern w:val="0"/>
        </w:rPr>
        <w:t>Climacteric</w:t>
      </w:r>
      <w:r>
        <w:rPr>
          <w:kern w:val="0"/>
        </w:rPr>
        <w:t xml:space="preserve">, </w:t>
      </w:r>
      <w:r>
        <w:rPr>
          <w:b/>
          <w:bCs/>
          <w:kern w:val="0"/>
        </w:rPr>
        <w:t>17</w:t>
      </w:r>
      <w:r>
        <w:rPr>
          <w:kern w:val="0"/>
        </w:rPr>
        <w:t xml:space="preserve"> (4), 325-335.</w:t>
      </w:r>
    </w:p>
    <w:p w:rsidR="00B707CA" w:rsidRDefault="00B707CA" w:rsidP="00B707CA">
      <w:pPr>
        <w:pStyle w:val="a3"/>
        <w:rPr>
          <w:kern w:val="0"/>
        </w:rPr>
      </w:pPr>
      <w:r>
        <w:rPr>
          <w:rFonts w:hint="eastAsia"/>
          <w:kern w:val="0"/>
        </w:rPr>
        <w:t xml:space="preserve">Full Text: </w:t>
      </w:r>
      <w:hyperlink r:id="rId303" w:history="1">
        <w:r w:rsidRPr="00B32029">
          <w:rPr>
            <w:rStyle w:val="a5"/>
            <w:kern w:val="0"/>
          </w:rPr>
          <w:t>2014\Climacteric17, 325.pdf</w:t>
        </w:r>
      </w:hyperlink>
    </w:p>
    <w:p w:rsidR="00B707CA" w:rsidRDefault="00B707CA" w:rsidP="00B707CA">
      <w:pPr>
        <w:pStyle w:val="a3"/>
        <w:rPr>
          <w:kern w:val="0"/>
        </w:rPr>
      </w:pPr>
      <w:r>
        <w:rPr>
          <w:kern w:val="0"/>
        </w:rPr>
        <w:t>Abstract: Objective To compare by meta-analysis the efficacy and adverse events of Hypericum perforatum L. (St. John</w:t>
      </w:r>
      <w:r w:rsidR="0071223E">
        <w:rPr>
          <w:kern w:val="0"/>
        </w:rPr>
        <w:t>’</w:t>
      </w:r>
      <w:r>
        <w:rPr>
          <w:kern w:val="0"/>
        </w:rPr>
        <w:t>s Wort), or its combinations, and placebo for menopausal women. Design A systematic review and meta-analysis were carried out by searching in Pubmed, Cochrane Library, Embase and the Web of Science database. Results Extracts of Hypericum perforatum L. and its combination with herbs were significantly superior to placebo (standard mean difference = -1.08; 95% confidence interval -1.38 to -0.77); extracts of Hypericum perforatum L. proved to be more effective than placebo in the treatment of menopause. Adverse events occurred in 53 (17.4%) patients on Hypericum perforatum L. preparations and 45 (15.4%) patients on placebo (relative risk = 1.16; 95% confidence interval 0.81-1.66). Conclusion Extracts of Hypericum perforatum L. have possibly fewer side-effects than placebo for the treatment of menopausal women.</w:t>
      </w:r>
    </w:p>
    <w:p w:rsidR="00B707CA" w:rsidRDefault="00B707CA" w:rsidP="00B707CA">
      <w:pPr>
        <w:pStyle w:val="a3"/>
        <w:rPr>
          <w:kern w:val="0"/>
        </w:rPr>
      </w:pPr>
      <w:r>
        <w:rPr>
          <w:kern w:val="0"/>
        </w:rPr>
        <w:t>Keywords: Adverse Events, Confidence, Database, Design, Efficacy, Events, Interval, Menopause, Meta Analysis, Meta-Analysis, Metaanalysis, Patients, Placebo, Relative Risk, Results, Review, Risk, Safety, Science, Side Effects, Standard, Systematic, Systematic Review, Treatment, Web Of Science, Women</w:t>
      </w:r>
    </w:p>
    <w:p w:rsidR="00671A77" w:rsidRDefault="00671A77" w:rsidP="00671A77">
      <w:pPr>
        <w:pStyle w:val="a3"/>
        <w:rPr>
          <w:kern w:val="0"/>
        </w:rPr>
      </w:pPr>
      <w:r>
        <w:rPr>
          <w:kern w:val="0"/>
        </w:rPr>
        <w:t xml:space="preserve">? Ismail, R., Taylor-Swanson, L., Thomas, A., Schnall, J.G., Cray, L., Mitchell, E.S. and Woods, N.F. (2015), Effects of herbal preparations on symptom clusters during the menopausal transition. </w:t>
      </w:r>
      <w:r>
        <w:rPr>
          <w:i/>
          <w:iCs/>
          <w:kern w:val="0"/>
        </w:rPr>
        <w:t>Climacteric</w:t>
      </w:r>
      <w:r>
        <w:rPr>
          <w:kern w:val="0"/>
        </w:rPr>
        <w:t xml:space="preserve">, </w:t>
      </w:r>
      <w:r>
        <w:rPr>
          <w:b/>
          <w:bCs/>
          <w:kern w:val="0"/>
        </w:rPr>
        <w:t>18</w:t>
      </w:r>
      <w:r>
        <w:rPr>
          <w:kern w:val="0"/>
        </w:rPr>
        <w:t xml:space="preserve"> (1), 11-28.</w:t>
      </w:r>
    </w:p>
    <w:p w:rsidR="00671A77" w:rsidRDefault="00671A77" w:rsidP="00671A77">
      <w:pPr>
        <w:pStyle w:val="a3"/>
        <w:rPr>
          <w:kern w:val="0"/>
        </w:rPr>
      </w:pPr>
      <w:r>
        <w:rPr>
          <w:rFonts w:hint="eastAsia"/>
          <w:kern w:val="0"/>
        </w:rPr>
        <w:t xml:space="preserve">Full Text: </w:t>
      </w:r>
      <w:hyperlink r:id="rId304" w:history="1">
        <w:r w:rsidRPr="00671A77">
          <w:rPr>
            <w:rStyle w:val="a5"/>
            <w:kern w:val="0"/>
          </w:rPr>
          <w:t>2015\Climacteric18, 11.pdf</w:t>
        </w:r>
      </w:hyperlink>
    </w:p>
    <w:p w:rsidR="00671A77" w:rsidRDefault="00671A77" w:rsidP="00671A77">
      <w:pPr>
        <w:pStyle w:val="a3"/>
        <w:rPr>
          <w:kern w:val="0"/>
        </w:rPr>
      </w:pPr>
      <w:r>
        <w:rPr>
          <w:kern w:val="0"/>
        </w:rPr>
        <w:t xml:space="preserve">Abstract: Aims To determine the effects of herbal therapies on hot flushes and at least one other symptom including, sleep, mood, cognition, and pain that women experience during the menopausal transition and early postmenopause. Methods An extensive search of PubMed/Medline, CINAHL Plus, PsycInfo, Cochrane Database of Systematic Reviews, Cochrane Central Register of Controlled Trials, Web of Science, EMBASE, AMED, and Alt-Health Watch for randomized, controlled trials reported in English between January 2004 and July was conducted by an experienced reference librarian. There were 1193 abstracts identified but only 58 trials examined effectiveness of therapies for hot flushes and at least one additional co-occurring symptom. Results Seventeen studies used herbal preparation including seven studies of black cohosh, two studies of black cohosh mixed with other herbals, and eight studies of other herbals. Of these, one study of black cohosh, two studies of black cohosh mixed with other herbals, and four other herbal studies had significant effects on hot flushes and at least one additional co-occurring symptom. The adverse events of herbal therapies were various, ranging from mild to moderate and women were generally tolerant of the preparations. Conclusions Black cohosh mixed with other herbals, Rheum rhaponticum, and French maritime pine bark had significant effects </w:t>
      </w:r>
      <w:r>
        <w:rPr>
          <w:kern w:val="0"/>
        </w:rPr>
        <w:lastRenderedPageBreak/>
        <w:t>on hot flushes and at least one other symptom. These herbal therapies may be a promising alternative treatment to hormonal treatment. Future studies should classify women based on their menopausal stages, report each symptom separately, have adequate sample size, focus on multiple co-occurring symptoms, and target symptom management of menopausal symptoms.</w:t>
      </w:r>
    </w:p>
    <w:p w:rsidR="00671A77" w:rsidRDefault="00671A77" w:rsidP="00671A77">
      <w:pPr>
        <w:pStyle w:val="a3"/>
        <w:rPr>
          <w:kern w:val="0"/>
        </w:rPr>
      </w:pPr>
      <w:r>
        <w:rPr>
          <w:kern w:val="0"/>
        </w:rPr>
        <w:t>Keywords: Abstracts, Adverse Events, Alternative, Black Cohosh Extract, Cimicifuga-Racemosa, Cognition, Cognitive, Database, Double-Blind, Early Postmenopause Observations, Effectiveness, Effects, Embase, English, Events, Experience, From, Herbal Therapies, Hormonal, Hot Flushes, Major Depressive Disorder, Management, Menopause, Methods, Midlife Womens Health, Mild, Mood, Pain, Pine Bark, Placebo-Controlled Trial, Preparation, Quality-Of-Life, Randomized, Randomized Controlled-Trial, Reference, Results, Sample Size, Science, Size, Sleep, St-Johns-Wort, Symptom Management, Symptoms, Systematic, Systematic Reviews, Treatment, Web, Web Of Science, Women</w:t>
      </w:r>
    </w:p>
    <w:p w:rsidR="00EE2C3E" w:rsidRDefault="00EE2C3E" w:rsidP="00EE2C3E">
      <w:pPr>
        <w:pStyle w:val="a3"/>
        <w:rPr>
          <w:kern w:val="0"/>
        </w:rPr>
      </w:pPr>
      <w:r>
        <w:rPr>
          <w:rFonts w:hint="eastAsia"/>
          <w:kern w:val="0"/>
        </w:rPr>
        <w:t xml:space="preserve">? </w:t>
      </w:r>
      <w:r>
        <w:rPr>
          <w:kern w:val="0"/>
        </w:rPr>
        <w:t xml:space="preserve">Taylor-Swanson, L., Thomas, A., Ismail, R., Schnall, J.G., Cray, L., Mitchell, E.S. and Woods, N.F. (2015), Effects of traditional Chinese medicine on symptom clusters during the menopausal transition. </w:t>
      </w:r>
      <w:r>
        <w:rPr>
          <w:i/>
          <w:iCs/>
          <w:kern w:val="0"/>
        </w:rPr>
        <w:t>Climacteric</w:t>
      </w:r>
      <w:r>
        <w:rPr>
          <w:kern w:val="0"/>
        </w:rPr>
        <w:t xml:space="preserve">, </w:t>
      </w:r>
      <w:r>
        <w:rPr>
          <w:b/>
          <w:bCs/>
          <w:kern w:val="0"/>
        </w:rPr>
        <w:t>18</w:t>
      </w:r>
      <w:r>
        <w:rPr>
          <w:kern w:val="0"/>
        </w:rPr>
        <w:t xml:space="preserve"> (2), 142-156.</w:t>
      </w:r>
    </w:p>
    <w:p w:rsidR="00EE2C3E" w:rsidRDefault="00EE2C3E" w:rsidP="00EE2C3E">
      <w:pPr>
        <w:pStyle w:val="a3"/>
        <w:rPr>
          <w:kern w:val="0"/>
        </w:rPr>
      </w:pPr>
      <w:r>
        <w:rPr>
          <w:rFonts w:hint="eastAsia"/>
          <w:kern w:val="0"/>
        </w:rPr>
        <w:t xml:space="preserve">Full Text: </w:t>
      </w:r>
      <w:hyperlink r:id="rId305" w:history="1">
        <w:r w:rsidRPr="00EE2C3E">
          <w:rPr>
            <w:rStyle w:val="a5"/>
            <w:kern w:val="0"/>
          </w:rPr>
          <w:t>2015\Climacteric18, 142.pdf</w:t>
        </w:r>
      </w:hyperlink>
    </w:p>
    <w:p w:rsidR="00EE2C3E" w:rsidRDefault="00EE2C3E" w:rsidP="00EE2C3E">
      <w:pPr>
        <w:pStyle w:val="a3"/>
        <w:rPr>
          <w:kern w:val="0"/>
        </w:rPr>
      </w:pPr>
      <w:r>
        <w:rPr>
          <w:kern w:val="0"/>
        </w:rPr>
        <w:t xml:space="preserve">Abstract: Aims To review controlled clinical trials of traditional Chinese medicine (TCM) therapies for hot flushes and at least one other co-occurring symptom among sleep, cognitive function, mood, and pain. Methods An experienced reference librarian performed an extensive search of PubMed/Medline, CINAHL Plus, PsycInfo, Cochrane Database of Systematic Reviews, Cochrane Central Register of Controlled Trials, Web of Science, EMBASE, AMED, and Alt-Health Watch for randomized, controlled trials reported in English between 2004 and July 2011. Of 1193 abstracts identified, 58 trials examined effectiveness of therapies for hot flushes and at least one additional co-occurring symptom. Results Eleven trials (13 publications) examined TCM therapeutics of acupuncture, Chinese herbal medicine (CHM) or moxibustion. Acupuncture trials (eight) yielded mixed results; five trials significantly reduced hot flushes. Of those five trials, one also showed benefit for sleep and pain and two trials found benefit for mood symptoms. Of three CHM trials, three trials had significant findings: one for hot flushes and mood, one for hot flushes and pain, and one for hot flushes, sleep, mood symptoms and pain. Moxibustion and counseling (one trial) significantly reduced hot flushes, mood symptoms and pain. None of the trials reported any serious adverse events. Conclusions TCM therapeutics of acupuncture, CHM and moxibustion show promising results for the treatment of mood and pain symptoms co-occurring with hot flushes. Although the controlled clinical trials of TCM therapeutics reviewed here measured multiple symptom outcomes, few report treatment effects in ways that allow clinicians to </w:t>
      </w:r>
      <w:r>
        <w:rPr>
          <w:kern w:val="0"/>
        </w:rPr>
        <w:lastRenderedPageBreak/>
        <w:t>consider symptom clusters when prescribing therapies. Future studies need to measure and report results for individual symptoms or group like symptoms together into subscales. Controlled clinical trials with larger numbers of participants are essential to allow evaluation of these therapies on hot flushes and multiple co-occurring symptoms.</w:t>
      </w:r>
    </w:p>
    <w:p w:rsidR="00EE2C3E" w:rsidRDefault="00EE2C3E" w:rsidP="00EE2C3E">
      <w:pPr>
        <w:pStyle w:val="a3"/>
        <w:rPr>
          <w:kern w:val="0"/>
        </w:rPr>
      </w:pPr>
      <w:r>
        <w:rPr>
          <w:kern w:val="0"/>
        </w:rPr>
        <w:t>Keywords: Abstracts, Acupuncture, Adverse Events, Blind, Chinese, Chinese Herbal Medicine, Chinese Medicine, Clinical, Clinical Trials, Cognitive, Cognitive Function, Database, Decoction, Effectiveness, Effects, Embase, English, Evaluation, Events, Flushes, Function, Herbal Medicine, Hot Flushes, Measure, Medicine, Menopausal Transition, Menopause, Methods, Mood, Moxibustion, Outcomes, Pain, Placebo, Postmenopausal Hot Flashes, Prescribing, Publications, Randomized, Randomized Clinical-Trial, Reference, Results, Review, Science, Sleep, Symptom Cluster, Symptoms, Systematic, Systematic Review, Systematic Reviews, Therapy, Traditional Chinese Medicine, Treatment, Trial, Vasomotor Symptoms, Web, Web Of Science, Women</w:t>
      </w:r>
    </w:p>
    <w:p w:rsidR="00845498" w:rsidRPr="00C73C58" w:rsidRDefault="00845498" w:rsidP="00845498">
      <w:pPr>
        <w:pStyle w:val="1"/>
      </w:pPr>
      <w:r w:rsidRPr="00C73C58">
        <w:br w:type="page"/>
      </w:r>
      <w:bookmarkStart w:id="249" w:name="_Toc420815006"/>
      <w:r w:rsidRPr="00C73C58">
        <w:lastRenderedPageBreak/>
        <w:t xml:space="preserve">Title: </w:t>
      </w:r>
      <w:r>
        <w:t>Climate Research</w:t>
      </w:r>
      <w:bookmarkEnd w:id="249"/>
    </w:p>
    <w:p w:rsidR="00845498" w:rsidRPr="00C73C58" w:rsidRDefault="00845498" w:rsidP="00845498">
      <w:pPr>
        <w:pStyle w:val="12"/>
      </w:pPr>
      <w:r w:rsidRPr="00C73C58">
        <w:t xml:space="preserve">Full Journal Title: </w:t>
      </w:r>
      <w:r>
        <w:t>Climate Research</w:t>
      </w:r>
    </w:p>
    <w:p w:rsidR="00845498" w:rsidRPr="00C73C58" w:rsidRDefault="00845498" w:rsidP="00845498">
      <w:pPr>
        <w:pStyle w:val="12"/>
      </w:pPr>
      <w:r w:rsidRPr="00C73C58">
        <w:t xml:space="preserve">ISO Abbreviated Title: </w:t>
      </w:r>
      <w:r>
        <w:t>Clim. Res.</w:t>
      </w:r>
    </w:p>
    <w:p w:rsidR="00845498" w:rsidRPr="00C73C58" w:rsidRDefault="00845498" w:rsidP="00845498">
      <w:pPr>
        <w:pStyle w:val="12"/>
      </w:pPr>
      <w:r w:rsidRPr="00C73C58">
        <w:t xml:space="preserve">JCR Abbreviated Title: </w:t>
      </w:r>
      <w:r>
        <w:t>Clim Res</w:t>
      </w:r>
    </w:p>
    <w:p w:rsidR="00845498" w:rsidRPr="00C73C58" w:rsidRDefault="00845498" w:rsidP="00845498">
      <w:pPr>
        <w:pStyle w:val="12"/>
      </w:pPr>
      <w:r>
        <w:t>ISSN: 0936-577X</w:t>
      </w:r>
    </w:p>
    <w:p w:rsidR="00845498" w:rsidRPr="00C73C58" w:rsidRDefault="00845498" w:rsidP="00845498">
      <w:pPr>
        <w:pStyle w:val="12"/>
      </w:pPr>
      <w:r w:rsidRPr="00C73C58">
        <w:t xml:space="preserve">Issues/Year: </w:t>
      </w:r>
      <w:r>
        <w:rPr>
          <w:rFonts w:hint="eastAsia"/>
        </w:rPr>
        <w:t>9</w:t>
      </w:r>
    </w:p>
    <w:p w:rsidR="00845498" w:rsidRPr="00C73C58" w:rsidRDefault="00845498" w:rsidP="00845498">
      <w:pPr>
        <w:pStyle w:val="12"/>
      </w:pPr>
      <w:r w:rsidRPr="00C73C58">
        <w:t xml:space="preserve">Language: </w:t>
      </w:r>
      <w:r>
        <w:t>English</w:t>
      </w:r>
    </w:p>
    <w:p w:rsidR="00845498" w:rsidRPr="00C73C58" w:rsidRDefault="00845498" w:rsidP="00845498">
      <w:pPr>
        <w:pStyle w:val="12"/>
      </w:pPr>
      <w:r>
        <w:t>Journal Country/Territory: Germany</w:t>
      </w:r>
    </w:p>
    <w:p w:rsidR="00845498" w:rsidRPr="00C73C58" w:rsidRDefault="00845498" w:rsidP="00845498">
      <w:pPr>
        <w:pStyle w:val="12"/>
      </w:pPr>
      <w:r w:rsidRPr="00C73C58">
        <w:t xml:space="preserve">Publisher: </w:t>
      </w:r>
      <w:r>
        <w:t>Inter-Research</w:t>
      </w:r>
    </w:p>
    <w:p w:rsidR="00845498" w:rsidRPr="00C73C58" w:rsidRDefault="00845498" w:rsidP="00845498">
      <w:pPr>
        <w:pStyle w:val="12"/>
      </w:pPr>
      <w:r w:rsidRPr="00C73C58">
        <w:t xml:space="preserve">Publisher Address: </w:t>
      </w:r>
      <w:r>
        <w:t>Nordbunte 23, D-21385 Oldendorf Luhe, Germany</w:t>
      </w:r>
    </w:p>
    <w:p w:rsidR="00845498" w:rsidRPr="00C73C58" w:rsidRDefault="00845498" w:rsidP="00845498">
      <w:pPr>
        <w:pStyle w:val="12"/>
      </w:pPr>
      <w:r w:rsidRPr="00C73C58">
        <w:t xml:space="preserve">Subject Categories: </w:t>
      </w:r>
    </w:p>
    <w:p w:rsidR="00845498" w:rsidRDefault="00845498" w:rsidP="00845498">
      <w:pPr>
        <w:pStyle w:val="12"/>
      </w:pPr>
      <w:r>
        <w:t>Environmental Sciences</w:t>
      </w:r>
      <w:r w:rsidRPr="00C73C58">
        <w:t xml:space="preserve">: Impact Factor </w:t>
      </w:r>
      <w:r>
        <w:rPr>
          <w:rFonts w:hint="eastAsia"/>
        </w:rPr>
        <w:t>2.250, 57/181 (2009)</w:t>
      </w:r>
    </w:p>
    <w:p w:rsidR="00845498" w:rsidRDefault="00845498" w:rsidP="00845498">
      <w:pPr>
        <w:pStyle w:val="12"/>
      </w:pPr>
      <w:r>
        <w:t>Meteorology &amp; Atmospheric Sciences</w:t>
      </w:r>
      <w:r w:rsidRPr="00C73C58">
        <w:t>: Impact Factor</w:t>
      </w:r>
      <w:r>
        <w:rPr>
          <w:rFonts w:hint="eastAsia"/>
        </w:rPr>
        <w:t xml:space="preserve"> 2.250, 19/63 (2009)</w:t>
      </w:r>
    </w:p>
    <w:p w:rsidR="00845498" w:rsidRPr="00C73C58" w:rsidRDefault="00845498" w:rsidP="00845498">
      <w:pPr>
        <w:pStyle w:val="a3"/>
      </w:pPr>
    </w:p>
    <w:p w:rsidR="003474F2" w:rsidRPr="001A3D2B" w:rsidRDefault="003474F2" w:rsidP="003474F2">
      <w:pPr>
        <w:pStyle w:val="1"/>
      </w:pPr>
      <w:r w:rsidRPr="001A3D2B">
        <w:br w:type="page"/>
      </w:r>
      <w:bookmarkStart w:id="250" w:name="_Toc420815007"/>
      <w:r w:rsidRPr="001A3D2B">
        <w:lastRenderedPageBreak/>
        <w:t>Title: Climatic Change</w:t>
      </w:r>
      <w:bookmarkEnd w:id="250"/>
    </w:p>
    <w:p w:rsidR="00845498" w:rsidRPr="001A3D2B" w:rsidRDefault="00845498" w:rsidP="00845498">
      <w:pPr>
        <w:pStyle w:val="12"/>
      </w:pPr>
      <w:r w:rsidRPr="001A3D2B">
        <w:t xml:space="preserve">Full Journal Title: </w:t>
      </w:r>
      <w:r w:rsidR="00DF61FE">
        <w:fldChar w:fldCharType="begin"/>
      </w:r>
      <w:r w:rsidR="00FD158B">
        <w:instrText>HYPERLINK "http://</w:instrText>
      </w:r>
      <w:bookmarkStart w:id="251" w:name="_Toc43634557"/>
      <w:bookmarkStart w:id="252" w:name="_Toc81215669"/>
      <w:r w:rsidR="00FD158B">
        <w:instrText>www.swetswise.com/eAcc</w:instrText>
      </w:r>
      <w:bookmarkEnd w:id="251"/>
      <w:bookmarkEnd w:id="252"/>
      <w:r w:rsidR="00FD158B">
        <w:instrText>ess/viewTitleIssues.do?titleID=42773"</w:instrText>
      </w:r>
      <w:r w:rsidR="00DF61FE">
        <w:fldChar w:fldCharType="separate"/>
      </w:r>
      <w:r w:rsidRPr="001A3D2B">
        <w:rPr>
          <w:rStyle w:val="a5"/>
        </w:rPr>
        <w:t>Climatic Change</w:t>
      </w:r>
      <w:r w:rsidR="00DF61FE">
        <w:fldChar w:fldCharType="end"/>
      </w:r>
    </w:p>
    <w:p w:rsidR="00845498" w:rsidRPr="00C73C58" w:rsidRDefault="00845498" w:rsidP="00845498">
      <w:pPr>
        <w:pStyle w:val="12"/>
      </w:pPr>
      <w:r w:rsidRPr="00C73C58">
        <w:t>ISO Abbreviated Title: Clim. Change</w:t>
      </w:r>
    </w:p>
    <w:p w:rsidR="00845498" w:rsidRPr="00C73C58" w:rsidRDefault="00845498" w:rsidP="00845498">
      <w:pPr>
        <w:pStyle w:val="12"/>
      </w:pPr>
      <w:r w:rsidRPr="00C73C58">
        <w:t>JCR Abbreviated Title: Climatic Change</w:t>
      </w:r>
    </w:p>
    <w:p w:rsidR="00845498" w:rsidRPr="00C73C58" w:rsidRDefault="00845498" w:rsidP="00845498">
      <w:pPr>
        <w:pStyle w:val="12"/>
      </w:pPr>
      <w:r w:rsidRPr="00C73C58">
        <w:t>ISSN: 0165-0009</w:t>
      </w:r>
    </w:p>
    <w:p w:rsidR="00845498" w:rsidRPr="00C73C58" w:rsidRDefault="00845498" w:rsidP="00845498">
      <w:pPr>
        <w:pStyle w:val="12"/>
      </w:pPr>
      <w:r w:rsidRPr="00C73C58">
        <w:t>Issues/Year: 12</w:t>
      </w:r>
    </w:p>
    <w:p w:rsidR="00845498" w:rsidRPr="00C73C58" w:rsidRDefault="00845498" w:rsidP="00845498">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845498" w:rsidRPr="00C73C58" w:rsidRDefault="00845498" w:rsidP="00845498">
      <w:pPr>
        <w:pStyle w:val="12"/>
      </w:pPr>
      <w:r w:rsidRPr="00C73C58">
        <w:t>Language: English</w:t>
      </w:r>
    </w:p>
    <w:p w:rsidR="00845498" w:rsidRPr="00C73C58" w:rsidRDefault="00845498" w:rsidP="00845498">
      <w:pPr>
        <w:pStyle w:val="12"/>
      </w:pPr>
      <w:r w:rsidRPr="00C73C58">
        <w:t>Publisher: Kluwer Academic Publ</w:t>
      </w:r>
    </w:p>
    <w:p w:rsidR="00845498" w:rsidRPr="00C73C58" w:rsidRDefault="00845498" w:rsidP="00845498">
      <w:pPr>
        <w:pStyle w:val="12"/>
        <w:rPr>
          <w:lang w:val="nl-NL"/>
        </w:rPr>
      </w:pPr>
      <w:r w:rsidRPr="00C73C58">
        <w:rPr>
          <w:lang w:val="nl-NL"/>
        </w:rPr>
        <w:t>Publisher Address: Van Godewijckstraat 30, 3311 GZ Dordrecht, Netherlands</w:t>
      </w:r>
    </w:p>
    <w:p w:rsidR="00845498" w:rsidRPr="00C73C58" w:rsidRDefault="00845498" w:rsidP="00845498">
      <w:pPr>
        <w:pStyle w:val="12"/>
      </w:pPr>
      <w:r w:rsidRPr="00C73C58">
        <w:t xml:space="preserve">Subject Categories: </w:t>
      </w:r>
    </w:p>
    <w:p w:rsidR="00845498" w:rsidRPr="00C73C58" w:rsidRDefault="00845498" w:rsidP="00845498">
      <w:pPr>
        <w:pStyle w:val="12"/>
      </w:pPr>
      <w:r w:rsidRPr="00C73C58">
        <w:t>Environmental Sciences: Impact Factor 1.870, / (2001)</w:t>
      </w:r>
    </w:p>
    <w:p w:rsidR="00845498" w:rsidRPr="00C73C58" w:rsidRDefault="00845498" w:rsidP="00845498">
      <w:pPr>
        <w:pStyle w:val="12"/>
      </w:pPr>
      <w:r w:rsidRPr="00C73C58">
        <w:t>Meteorology &amp; Atmospheric Sciences: Impact Factor 1.870, / (2001)</w:t>
      </w:r>
    </w:p>
    <w:p w:rsidR="003474F2" w:rsidRPr="001A3D2B" w:rsidRDefault="003474F2" w:rsidP="003474F2">
      <w:pPr>
        <w:pStyle w:val="a3"/>
      </w:pPr>
      <w:r w:rsidRPr="001A3D2B">
        <w:t>Notes: TTopic</w:t>
      </w:r>
    </w:p>
    <w:p w:rsidR="003474F2" w:rsidRPr="001A3D2B" w:rsidRDefault="003474F2" w:rsidP="003474F2">
      <w:pPr>
        <w:pStyle w:val="a3"/>
      </w:pPr>
      <w:r w:rsidRPr="001A3D2B">
        <w:t>Stanhill, G. (1996</w:t>
      </w:r>
      <w:r w:rsidR="00F42EAC">
        <w:t>), The</w:t>
      </w:r>
      <w:r w:rsidR="003A1917">
        <w:t xml:space="preserve"> </w:t>
      </w:r>
      <w:r w:rsidRPr="001A3D2B">
        <w:t>growth</w:t>
      </w:r>
      <w:r w:rsidR="00427468">
        <w:t xml:space="preserve"> of </w:t>
      </w:r>
      <w:r w:rsidRPr="001A3D2B">
        <w:t xml:space="preserve">climate change science: A scientometric study. </w:t>
      </w:r>
      <w:r w:rsidRPr="001A3D2B">
        <w:rPr>
          <w:i/>
          <w:iCs/>
        </w:rPr>
        <w:t>Climatic Change</w:t>
      </w:r>
      <w:r w:rsidRPr="001A3D2B">
        <w:t xml:space="preserve">, </w:t>
      </w:r>
      <w:r w:rsidRPr="001A3D2B">
        <w:rPr>
          <w:b/>
        </w:rPr>
        <w:t>48</w:t>
      </w:r>
      <w:r w:rsidRPr="001A3D2B">
        <w:t xml:space="preserve"> (2-3), 515-524.</w:t>
      </w:r>
    </w:p>
    <w:p w:rsidR="003474F2" w:rsidRPr="001A3D2B" w:rsidRDefault="003474F2" w:rsidP="003474F2">
      <w:pPr>
        <w:pStyle w:val="a3"/>
      </w:pPr>
      <w:r w:rsidRPr="001A3D2B">
        <w:t xml:space="preserve">Full Text: </w:t>
      </w:r>
      <w:hyperlink r:id="rId306" w:history="1">
        <w:r w:rsidRPr="001A3D2B">
          <w:rPr>
            <w:rStyle w:val="a5"/>
          </w:rPr>
          <w:t>1996\Cli Cha48, 515.pdf</w:t>
        </w:r>
      </w:hyperlink>
    </w:p>
    <w:p w:rsidR="003474F2" w:rsidRPr="001A3D2B" w:rsidRDefault="003474F2" w:rsidP="003474F2">
      <w:pPr>
        <w:pStyle w:val="a3"/>
      </w:pPr>
      <w:r w:rsidRPr="001A3D2B">
        <w:t>Abstract: A quantitative description</w:t>
      </w:r>
      <w:r w:rsidR="00427468">
        <w:t xml:space="preserve"> of </w:t>
      </w:r>
      <w:r w:rsidR="003A1917">
        <w:t xml:space="preserve">the </w:t>
      </w:r>
      <w:r w:rsidRPr="001A3D2B">
        <w:t>growth</w:t>
      </w:r>
      <w:r w:rsidR="00427468">
        <w:t xml:space="preserve"> of </w:t>
      </w:r>
      <w:r w:rsidRPr="001A3D2B">
        <w:t>climate change science is presented based on</w:t>
      </w:r>
      <w:r w:rsidR="003A1917">
        <w:t xml:space="preserve"> the </w:t>
      </w:r>
      <w:r w:rsidRPr="001A3D2B">
        <w:t>increase in</w:t>
      </w:r>
      <w:r w:rsidR="003A1917">
        <w:t xml:space="preserve"> the </w:t>
      </w:r>
      <w:r w:rsidRPr="001A3D2B">
        <w:t>number</w:t>
      </w:r>
      <w:r w:rsidR="00427468">
        <w:t xml:space="preserve"> of </w:t>
      </w:r>
      <w:r w:rsidRPr="001A3D2B">
        <w:t>abstracts</w:t>
      </w:r>
      <w:r w:rsidR="00427468">
        <w:t xml:space="preserve"> of </w:t>
      </w:r>
      <w:r w:rsidRPr="001A3D2B">
        <w:t>scientific publications dealing with</w:t>
      </w:r>
      <w:r w:rsidR="003A1917">
        <w:t xml:space="preserve"> the </w:t>
      </w:r>
      <w:r w:rsidRPr="001A3D2B">
        <w:t>many aspects</w:t>
      </w:r>
      <w:r w:rsidR="00427468">
        <w:t xml:space="preserve"> of </w:t>
      </w:r>
      <w:r w:rsidRPr="001A3D2B">
        <w:t>this broad subject. This number now totals 7000</w:t>
      </w:r>
      <w:r w:rsidR="005853A9">
        <w:t xml:space="preserve"> and </w:t>
      </w:r>
      <w:r w:rsidRPr="001A3D2B">
        <w:t>is doubling every 11 years</w:t>
      </w:r>
      <w:r w:rsidR="00A37C1D">
        <w:t>. The</w:t>
      </w:r>
      <w:r w:rsidR="003A1917">
        <w:t xml:space="preserve"> </w:t>
      </w:r>
      <w:r w:rsidRPr="001A3D2B">
        <w:t>annual rate</w:t>
      </w:r>
      <w:r w:rsidR="00427468">
        <w:t xml:space="preserve"> of </w:t>
      </w:r>
      <w:r w:rsidRPr="001A3D2B">
        <w:t>publication per author</w:t>
      </w:r>
      <w:r w:rsidR="005853A9">
        <w:t xml:space="preserve"> and </w:t>
      </w:r>
      <w:r w:rsidRPr="001A3D2B">
        <w:t>number</w:t>
      </w:r>
      <w:r w:rsidR="00427468">
        <w:t xml:space="preserve"> of </w:t>
      </w:r>
      <w:r w:rsidRPr="001A3D2B">
        <w:t>authors per paper in climate change science, 1.75</w:t>
      </w:r>
      <w:r w:rsidR="005853A9">
        <w:t xml:space="preserve"> and </w:t>
      </w:r>
      <w:r w:rsidRPr="001A3D2B">
        <w:t>2.5 respectively, were similar to those for scientific publications in general but, based on</w:t>
      </w:r>
      <w:r w:rsidR="003A1917">
        <w:t xml:space="preserve"> the </w:t>
      </w:r>
      <w:r w:rsidRPr="001A3D2B">
        <w:t>U.S. data,</w:t>
      </w:r>
      <w:r w:rsidR="003A1917">
        <w:t xml:space="preserve"> the </w:t>
      </w:r>
      <w:r w:rsidRPr="001A3D2B">
        <w:t>cost per publishing scientist is very high largely because</w:t>
      </w:r>
      <w:r w:rsidR="00427468">
        <w:t xml:space="preserve"> of </w:t>
      </w:r>
      <w:r w:rsidR="003A1917">
        <w:t xml:space="preserve">the </w:t>
      </w:r>
      <w:r w:rsidRPr="001A3D2B">
        <w:t>sums allocated to satellite programs related to climate change research</w:t>
      </w:r>
      <w:r w:rsidR="00A37C1D">
        <w:t>. The</w:t>
      </w:r>
      <w:r w:rsidR="003A1917">
        <w:t xml:space="preserve"> </w:t>
      </w:r>
      <w:r w:rsidRPr="001A3D2B">
        <w:t>total global cost</w:t>
      </w:r>
      <w:r w:rsidR="00427468">
        <w:t xml:space="preserve"> of </w:t>
      </w:r>
      <w:r w:rsidRPr="001A3D2B">
        <w:t>current climate change research is estimated at three billion U.S. dollars annually. Two plausible but very different interpretations</w:t>
      </w:r>
      <w:r w:rsidR="00427468">
        <w:t xml:space="preserve"> of </w:t>
      </w:r>
      <w:r w:rsidR="003A1917">
        <w:t xml:space="preserve">the </w:t>
      </w:r>
      <w:r w:rsidRPr="001A3D2B">
        <w:t>growth curve</w:t>
      </w:r>
      <w:r w:rsidR="00427468">
        <w:t xml:space="preserve"> of </w:t>
      </w:r>
      <w:r w:rsidRPr="001A3D2B">
        <w:t>climate change research are presented</w:t>
      </w:r>
      <w:r w:rsidR="005853A9">
        <w:t xml:space="preserve"> and </w:t>
      </w:r>
      <w:r w:rsidRPr="001A3D2B">
        <w:t>used to discuss its future</w:t>
      </w:r>
      <w:r w:rsidR="00A37C1D">
        <w:t>. The</w:t>
      </w:r>
      <w:r w:rsidR="003A1917">
        <w:t xml:space="preserve"> </w:t>
      </w:r>
      <w:r w:rsidRPr="001A3D2B">
        <w:t>importance</w:t>
      </w:r>
      <w:r w:rsidR="00427468">
        <w:t xml:space="preserve"> of </w:t>
      </w:r>
      <w:r w:rsidRPr="001A3D2B">
        <w:t>extra-scientific factors in controlling</w:t>
      </w:r>
      <w:r w:rsidR="003A1917">
        <w:t xml:space="preserve"> the </w:t>
      </w:r>
      <w:r w:rsidRPr="001A3D2B">
        <w:t>growth</w:t>
      </w:r>
      <w:r w:rsidR="00427468">
        <w:t xml:space="preserve"> of </w:t>
      </w:r>
      <w:r w:rsidRPr="001A3D2B">
        <w:t>climate change studies is emphasized, limiting</w:t>
      </w:r>
      <w:r w:rsidR="003A1917">
        <w:t xml:space="preserve"> the </w:t>
      </w:r>
      <w:r w:rsidRPr="001A3D2B">
        <w:t>predictive value</w:t>
      </w:r>
      <w:r w:rsidR="00427468">
        <w:t xml:space="preserve"> of </w:t>
      </w:r>
      <w:r w:rsidR="003A1917">
        <w:t xml:space="preserve">the </w:t>
      </w:r>
      <w:r w:rsidRPr="001A3D2B">
        <w:t>scientometric analysis presented.</w:t>
      </w:r>
    </w:p>
    <w:p w:rsidR="005F7C9E" w:rsidRDefault="005F7C9E" w:rsidP="005F7C9E">
      <w:pPr>
        <w:pStyle w:val="a3"/>
        <w:rPr>
          <w:kern w:val="0"/>
          <w:szCs w:val="24"/>
        </w:rPr>
      </w:pPr>
      <w:r>
        <w:rPr>
          <w:rFonts w:hint="eastAsia"/>
          <w:kern w:val="0"/>
          <w:szCs w:val="24"/>
        </w:rPr>
        <w:t xml:space="preserve">? </w:t>
      </w:r>
      <w:r>
        <w:rPr>
          <w:kern w:val="0"/>
          <w:szCs w:val="24"/>
        </w:rPr>
        <w:t>Bjurstrom, A.</w:t>
      </w:r>
      <w:r w:rsidR="005853A9">
        <w:rPr>
          <w:kern w:val="0"/>
          <w:szCs w:val="24"/>
        </w:rPr>
        <w:t xml:space="preserve"> and </w:t>
      </w:r>
      <w:r>
        <w:rPr>
          <w:kern w:val="0"/>
          <w:szCs w:val="24"/>
        </w:rPr>
        <w:t>Polk, M. (2011), Physical</w:t>
      </w:r>
      <w:r w:rsidR="005853A9">
        <w:rPr>
          <w:kern w:val="0"/>
          <w:szCs w:val="24"/>
        </w:rPr>
        <w:t xml:space="preserve"> and </w:t>
      </w:r>
      <w:r>
        <w:rPr>
          <w:kern w:val="0"/>
          <w:szCs w:val="24"/>
        </w:rPr>
        <w:t>economic bias in climate change research: A scientometric study</w:t>
      </w:r>
      <w:r w:rsidR="00427468">
        <w:rPr>
          <w:kern w:val="0"/>
          <w:szCs w:val="24"/>
        </w:rPr>
        <w:t xml:space="preserve"> of </w:t>
      </w:r>
      <w:r>
        <w:rPr>
          <w:kern w:val="0"/>
          <w:szCs w:val="24"/>
        </w:rPr>
        <w:t xml:space="preserve">IPCC Third Assessment Report. </w:t>
      </w:r>
      <w:r>
        <w:rPr>
          <w:i/>
          <w:iCs/>
          <w:kern w:val="0"/>
          <w:szCs w:val="24"/>
        </w:rPr>
        <w:t>Climatic Change</w:t>
      </w:r>
      <w:r>
        <w:rPr>
          <w:kern w:val="0"/>
          <w:szCs w:val="24"/>
        </w:rPr>
        <w:t xml:space="preserve">, </w:t>
      </w:r>
      <w:r>
        <w:rPr>
          <w:b/>
          <w:bCs/>
          <w:kern w:val="0"/>
          <w:szCs w:val="24"/>
        </w:rPr>
        <w:t>108</w:t>
      </w:r>
      <w:r>
        <w:rPr>
          <w:kern w:val="0"/>
          <w:szCs w:val="24"/>
        </w:rPr>
        <w:t xml:space="preserve"> (1-2), 1-22.</w:t>
      </w:r>
    </w:p>
    <w:p w:rsidR="005F7C9E" w:rsidRPr="001A3D2B" w:rsidRDefault="005F7C9E" w:rsidP="005F7C9E">
      <w:pPr>
        <w:pStyle w:val="a3"/>
      </w:pPr>
      <w:r w:rsidRPr="001A3D2B">
        <w:t xml:space="preserve">Full Text: </w:t>
      </w:r>
      <w:hyperlink r:id="rId307" w:history="1">
        <w:r w:rsidRPr="0049581B">
          <w:rPr>
            <w:rStyle w:val="a5"/>
          </w:rPr>
          <w:t>2011\Cli Cha108, 1.pdf</w:t>
        </w:r>
      </w:hyperlink>
    </w:p>
    <w:p w:rsidR="005F7C9E" w:rsidRDefault="005F7C9E" w:rsidP="005F7C9E">
      <w:pPr>
        <w:pStyle w:val="a3"/>
        <w:rPr>
          <w:kern w:val="0"/>
          <w:szCs w:val="24"/>
        </w:rPr>
      </w:pPr>
      <w:r>
        <w:rPr>
          <w:kern w:val="0"/>
          <w:szCs w:val="24"/>
        </w:rPr>
        <w:t>Abstract: This study demonstrates that IPCC Third Assessment Report is strongly dominated by Natural sciences, especially</w:t>
      </w:r>
      <w:r w:rsidR="003A1917">
        <w:rPr>
          <w:kern w:val="0"/>
          <w:szCs w:val="24"/>
        </w:rPr>
        <w:t xml:space="preserve"> the </w:t>
      </w:r>
      <w:r>
        <w:rPr>
          <w:kern w:val="0"/>
          <w:szCs w:val="24"/>
        </w:rPr>
        <w:t>Earth sciences</w:t>
      </w:r>
      <w:r w:rsidR="00A37C1D">
        <w:rPr>
          <w:kern w:val="0"/>
          <w:szCs w:val="24"/>
        </w:rPr>
        <w:t>. The</w:t>
      </w:r>
      <w:r w:rsidR="003A1917">
        <w:rPr>
          <w:kern w:val="0"/>
          <w:szCs w:val="24"/>
        </w:rPr>
        <w:t xml:space="preserve"> </w:t>
      </w:r>
      <w:r>
        <w:rPr>
          <w:kern w:val="0"/>
          <w:szCs w:val="24"/>
        </w:rPr>
        <w:t>Social sciences are dominated by Economics</w:t>
      </w:r>
      <w:r w:rsidR="00A37C1D">
        <w:rPr>
          <w:kern w:val="0"/>
          <w:szCs w:val="24"/>
        </w:rPr>
        <w:t>. The</w:t>
      </w:r>
      <w:r w:rsidR="003A1917">
        <w:rPr>
          <w:kern w:val="0"/>
          <w:szCs w:val="24"/>
        </w:rPr>
        <w:t xml:space="preserve"> </w:t>
      </w:r>
      <w:r>
        <w:rPr>
          <w:kern w:val="0"/>
          <w:szCs w:val="24"/>
        </w:rPr>
        <w:t>IPCC assessment also results in</w:t>
      </w:r>
      <w:r w:rsidR="003A1917">
        <w:rPr>
          <w:kern w:val="0"/>
          <w:szCs w:val="24"/>
        </w:rPr>
        <w:t xml:space="preserve"> the </w:t>
      </w:r>
      <w:r>
        <w:rPr>
          <w:kern w:val="0"/>
          <w:szCs w:val="24"/>
        </w:rPr>
        <w:t>separation</w:t>
      </w:r>
      <w:r w:rsidR="00427468">
        <w:rPr>
          <w:kern w:val="0"/>
          <w:szCs w:val="24"/>
        </w:rPr>
        <w:t xml:space="preserve"> of </w:t>
      </w:r>
      <w:r w:rsidR="003A1917">
        <w:rPr>
          <w:kern w:val="0"/>
          <w:szCs w:val="24"/>
        </w:rPr>
        <w:t xml:space="preserve">the </w:t>
      </w:r>
      <w:r>
        <w:rPr>
          <w:kern w:val="0"/>
          <w:szCs w:val="24"/>
        </w:rPr>
        <w:lastRenderedPageBreak/>
        <w:t>Earth, Biological</w:t>
      </w:r>
      <w:r w:rsidR="005853A9">
        <w:rPr>
          <w:kern w:val="0"/>
          <w:szCs w:val="24"/>
        </w:rPr>
        <w:t xml:space="preserve"> and </w:t>
      </w:r>
      <w:r>
        <w:rPr>
          <w:kern w:val="0"/>
          <w:szCs w:val="24"/>
        </w:rPr>
        <w:t>Social sciences</w:t>
      </w:r>
      <w:r w:rsidR="00A37C1D">
        <w:rPr>
          <w:kern w:val="0"/>
          <w:szCs w:val="24"/>
        </w:rPr>
        <w:t>. The</w:t>
      </w:r>
      <w:r w:rsidR="003A1917">
        <w:rPr>
          <w:kern w:val="0"/>
          <w:szCs w:val="24"/>
        </w:rPr>
        <w:t xml:space="preserve"> </w:t>
      </w:r>
      <w:r>
        <w:rPr>
          <w:kern w:val="0"/>
          <w:szCs w:val="24"/>
        </w:rPr>
        <w:t>integration that occurs is mainly between closely related scientific fields</w:t>
      </w:r>
      <w:r w:rsidR="00A37C1D">
        <w:rPr>
          <w:kern w:val="0"/>
          <w:szCs w:val="24"/>
        </w:rPr>
        <w:t>. The</w:t>
      </w:r>
      <w:r w:rsidR="003A1917">
        <w:rPr>
          <w:kern w:val="0"/>
          <w:szCs w:val="24"/>
        </w:rPr>
        <w:t xml:space="preserve"> </w:t>
      </w:r>
      <w:r>
        <w:rPr>
          <w:kern w:val="0"/>
          <w:szCs w:val="24"/>
        </w:rPr>
        <w:t>research community consequently imposes a physical</w:t>
      </w:r>
      <w:r w:rsidR="005853A9">
        <w:rPr>
          <w:kern w:val="0"/>
          <w:szCs w:val="24"/>
        </w:rPr>
        <w:t xml:space="preserve"> and </w:t>
      </w:r>
      <w:r>
        <w:rPr>
          <w:kern w:val="0"/>
          <w:szCs w:val="24"/>
        </w:rPr>
        <w:t>economic bias</w:t>
      </w:r>
      <w:r w:rsidR="005853A9">
        <w:rPr>
          <w:kern w:val="0"/>
          <w:szCs w:val="24"/>
        </w:rPr>
        <w:t xml:space="preserve"> and </w:t>
      </w:r>
      <w:r>
        <w:rPr>
          <w:kern w:val="0"/>
          <w:szCs w:val="24"/>
        </w:rPr>
        <w:t>a separation</w:t>
      </w:r>
      <w:r w:rsidR="00427468">
        <w:rPr>
          <w:kern w:val="0"/>
          <w:szCs w:val="24"/>
        </w:rPr>
        <w:t xml:space="preserve"> of </w:t>
      </w:r>
      <w:r>
        <w:rPr>
          <w:kern w:val="0"/>
          <w:szCs w:val="24"/>
        </w:rPr>
        <w:t>scientific fields that</w:t>
      </w:r>
      <w:r w:rsidR="003A1917">
        <w:rPr>
          <w:kern w:val="0"/>
          <w:szCs w:val="24"/>
        </w:rPr>
        <w:t xml:space="preserve"> the </w:t>
      </w:r>
      <w:r>
        <w:rPr>
          <w:kern w:val="0"/>
          <w:szCs w:val="24"/>
        </w:rPr>
        <w:t>IPCC reproduces in</w:t>
      </w:r>
      <w:r w:rsidR="003A1917">
        <w:rPr>
          <w:kern w:val="0"/>
          <w:szCs w:val="24"/>
        </w:rPr>
        <w:t xml:space="preserve"> the </w:t>
      </w:r>
      <w:r>
        <w:rPr>
          <w:kern w:val="0"/>
          <w:szCs w:val="24"/>
        </w:rPr>
        <w:t>policy sphere. It is argued that this physical</w:t>
      </w:r>
      <w:r w:rsidR="005853A9">
        <w:rPr>
          <w:kern w:val="0"/>
          <w:szCs w:val="24"/>
        </w:rPr>
        <w:t xml:space="preserve"> and </w:t>
      </w:r>
      <w:r>
        <w:rPr>
          <w:kern w:val="0"/>
          <w:szCs w:val="24"/>
        </w:rPr>
        <w:t>economic bias distorts a comprehensive understanding</w:t>
      </w:r>
      <w:r w:rsidR="00427468">
        <w:rPr>
          <w:kern w:val="0"/>
          <w:szCs w:val="24"/>
        </w:rPr>
        <w:t xml:space="preserve"> of </w:t>
      </w:r>
      <w:r>
        <w:rPr>
          <w:kern w:val="0"/>
          <w:szCs w:val="24"/>
        </w:rPr>
        <w:t>climate change</w:t>
      </w:r>
      <w:r w:rsidR="005853A9">
        <w:rPr>
          <w:kern w:val="0"/>
          <w:szCs w:val="24"/>
        </w:rPr>
        <w:t xml:space="preserve"> and </w:t>
      </w:r>
      <w:r>
        <w:rPr>
          <w:kern w:val="0"/>
          <w:szCs w:val="24"/>
        </w:rPr>
        <w:t>that</w:t>
      </w:r>
      <w:r w:rsidR="003A1917">
        <w:rPr>
          <w:kern w:val="0"/>
          <w:szCs w:val="24"/>
        </w:rPr>
        <w:t xml:space="preserve"> the </w:t>
      </w:r>
      <w:r>
        <w:rPr>
          <w:kern w:val="0"/>
          <w:szCs w:val="24"/>
        </w:rPr>
        <w:t>weak integration</w:t>
      </w:r>
      <w:r w:rsidR="00427468">
        <w:rPr>
          <w:kern w:val="0"/>
          <w:szCs w:val="24"/>
        </w:rPr>
        <w:t xml:space="preserve"> of </w:t>
      </w:r>
      <w:r>
        <w:rPr>
          <w:kern w:val="0"/>
          <w:szCs w:val="24"/>
        </w:rPr>
        <w:t>scientific fields hinders climate change from being fully addressed as an integral environmental</w:t>
      </w:r>
      <w:r w:rsidR="005853A9">
        <w:rPr>
          <w:kern w:val="0"/>
          <w:szCs w:val="24"/>
        </w:rPr>
        <w:t xml:space="preserve"> and </w:t>
      </w:r>
      <w:r>
        <w:rPr>
          <w:kern w:val="0"/>
          <w:szCs w:val="24"/>
        </w:rPr>
        <w:t>social problem. If climate change is to be understood, evaluated</w:t>
      </w:r>
      <w:r w:rsidR="005853A9">
        <w:rPr>
          <w:kern w:val="0"/>
          <w:szCs w:val="24"/>
        </w:rPr>
        <w:t xml:space="preserve"> and </w:t>
      </w:r>
      <w:r>
        <w:rPr>
          <w:kern w:val="0"/>
          <w:szCs w:val="24"/>
        </w:rPr>
        <w:t>responded to in its fullness,</w:t>
      </w:r>
      <w:r w:rsidR="003A1917">
        <w:rPr>
          <w:kern w:val="0"/>
          <w:szCs w:val="24"/>
        </w:rPr>
        <w:t xml:space="preserve"> the </w:t>
      </w:r>
      <w:r>
        <w:rPr>
          <w:kern w:val="0"/>
          <w:szCs w:val="24"/>
        </w:rPr>
        <w:t>IPCC must broaden its knowledge base</w:t>
      </w:r>
      <w:r w:rsidR="005853A9">
        <w:rPr>
          <w:kern w:val="0"/>
          <w:szCs w:val="24"/>
        </w:rPr>
        <w:t xml:space="preserve"> and </w:t>
      </w:r>
      <w:r>
        <w:rPr>
          <w:kern w:val="0"/>
          <w:szCs w:val="24"/>
        </w:rPr>
        <w:t>challenge</w:t>
      </w:r>
      <w:r w:rsidR="003A1917">
        <w:rPr>
          <w:kern w:val="0"/>
          <w:szCs w:val="24"/>
        </w:rPr>
        <w:t xml:space="preserve"> the </w:t>
      </w:r>
      <w:r>
        <w:rPr>
          <w:kern w:val="0"/>
          <w:szCs w:val="24"/>
        </w:rPr>
        <w:t>anthropocentric worldview that places humans outside</w:t>
      </w:r>
      <w:r w:rsidR="00427468">
        <w:rPr>
          <w:kern w:val="0"/>
          <w:szCs w:val="24"/>
        </w:rPr>
        <w:t xml:space="preserve"> of </w:t>
      </w:r>
      <w:r>
        <w:rPr>
          <w:kern w:val="0"/>
          <w:szCs w:val="24"/>
        </w:rPr>
        <w:t>nature.</w:t>
      </w:r>
    </w:p>
    <w:p w:rsidR="005F7C9E" w:rsidRDefault="005F7C9E" w:rsidP="005F7C9E">
      <w:pPr>
        <w:pStyle w:val="a3"/>
        <w:rPr>
          <w:kern w:val="0"/>
          <w:szCs w:val="24"/>
        </w:rPr>
      </w:pPr>
      <w:r>
        <w:rPr>
          <w:kern w:val="0"/>
          <w:szCs w:val="24"/>
        </w:rPr>
        <w:t>Keywords: Assessment, Bias, Change Science, Climate Change, Construction, Domains, Economics, Environmental, Global Environmental-Change, Humans, Intergovernmental Panel, IPCC, Knowledge, Policy, Protection Policy, Research, Sciences, Scientific Advice, Social, Social Sciences, Society, Sociology, Uncertainty</w:t>
      </w:r>
    </w:p>
    <w:p w:rsidR="003474F2" w:rsidRPr="001A3D2B" w:rsidRDefault="003474F2" w:rsidP="003474F2">
      <w:pPr>
        <w:pStyle w:val="1"/>
      </w:pPr>
      <w:r w:rsidRPr="001A3D2B">
        <w:br w:type="page"/>
      </w:r>
      <w:bookmarkStart w:id="253" w:name="_Toc420815008"/>
      <w:r w:rsidRPr="001A3D2B">
        <w:lastRenderedPageBreak/>
        <w:t>Title: Clinica Chimica Acta</w:t>
      </w:r>
      <w:bookmarkEnd w:id="253"/>
    </w:p>
    <w:p w:rsidR="003474F2" w:rsidRPr="001A3D2B" w:rsidRDefault="003474F2" w:rsidP="003474F2">
      <w:pPr>
        <w:pStyle w:val="12"/>
      </w:pPr>
      <w:r w:rsidRPr="001A3D2B">
        <w:t>Full Journal Title: Clinica Chimica Acta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0009-8981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Panteghini, M., Linsinger, T., Wu, A.H.B., Dati, F., Apple, F.S., Christenson, R.H., Mair, J.</w:t>
      </w:r>
      <w:r w:rsidR="005853A9">
        <w:t xml:space="preserve"> and </w:t>
      </w:r>
      <w:r w:rsidRPr="001A3D2B">
        <w:t>Schimmel, H. (2004), Standardization</w:t>
      </w:r>
      <w:r w:rsidR="00427468">
        <w:t xml:space="preserve"> of </w:t>
      </w:r>
      <w:r w:rsidRPr="001A3D2B">
        <w:t>immunoassays for measurement</w:t>
      </w:r>
      <w:r w:rsidR="00427468">
        <w:t xml:space="preserve"> of </w:t>
      </w:r>
      <w:r w:rsidRPr="001A3D2B">
        <w:t>myoglobin in serum. Phase 1: Evaluation</w:t>
      </w:r>
      <w:r w:rsidR="00427468">
        <w:t xml:space="preserve"> of </w:t>
      </w:r>
      <w:r w:rsidRPr="001A3D2B">
        <w:t>candidate secondary reference materials</w:t>
      </w:r>
      <w:r w:rsidRPr="001A3D2B">
        <w:rPr>
          <w:szCs w:val="27"/>
        </w:rPr>
        <w:t>.</w:t>
      </w:r>
      <w:r w:rsidRPr="001A3D2B">
        <w:t xml:space="preserve"> </w:t>
      </w:r>
      <w:r w:rsidRPr="001A3D2B">
        <w:rPr>
          <w:i/>
          <w:iCs/>
        </w:rPr>
        <w:t>Clinica Chimica Acta</w:t>
      </w:r>
      <w:r w:rsidRPr="001A3D2B">
        <w:t xml:space="preserve">, </w:t>
      </w:r>
      <w:r w:rsidRPr="001A3D2B">
        <w:rPr>
          <w:b/>
          <w:bCs/>
        </w:rPr>
        <w:t>341</w:t>
      </w:r>
      <w:r w:rsidRPr="001A3D2B">
        <w:t xml:space="preserve"> (1-2), 65-72.</w:t>
      </w:r>
    </w:p>
    <w:p w:rsidR="003474F2" w:rsidRPr="001A3D2B" w:rsidRDefault="003474F2" w:rsidP="003474F2">
      <w:pPr>
        <w:pStyle w:val="a3"/>
      </w:pPr>
      <w:r w:rsidRPr="001A3D2B">
        <w:t xml:space="preserve">Full Text: </w:t>
      </w:r>
      <w:hyperlink r:id="rId308" w:history="1">
        <w:r w:rsidRPr="001A3D2B">
          <w:rPr>
            <w:rStyle w:val="a5"/>
          </w:rPr>
          <w:t>2004\Cli Chi Act341, 65.pdf</w:t>
        </w:r>
      </w:hyperlink>
    </w:p>
    <w:p w:rsidR="003474F2" w:rsidRPr="001A3D2B" w:rsidRDefault="003474F2" w:rsidP="003474F2">
      <w:pPr>
        <w:pStyle w:val="a3"/>
      </w:pPr>
      <w:r w:rsidRPr="001A3D2B">
        <w:t>Abstract: Background: Myoglobin is a low-molecular weight protein present in</w:t>
      </w:r>
      <w:r w:rsidR="003A1917">
        <w:t xml:space="preserve"> the </w:t>
      </w:r>
      <w:r w:rsidRPr="001A3D2B">
        <w:t>cytosol</w:t>
      </w:r>
      <w:r w:rsidR="00427468">
        <w:t xml:space="preserve"> of </w:t>
      </w:r>
      <w:r w:rsidRPr="001A3D2B">
        <w:t>striated muscles. Its concentrations in serum can be measured by immunoassays</w:t>
      </w:r>
      <w:r w:rsidR="005853A9">
        <w:t xml:space="preserve"> and </w:t>
      </w:r>
      <w:r w:rsidRPr="001A3D2B">
        <w:t>are used as an early indicator</w:t>
      </w:r>
      <w:r w:rsidR="00427468">
        <w:t xml:space="preserve"> of </w:t>
      </w:r>
      <w:r w:rsidRPr="001A3D2B">
        <w:t>myocardial necrosis. Since variability among commercial myoglobin assays exists, standardization</w:t>
      </w:r>
      <w:r w:rsidR="00427468">
        <w:t xml:space="preserve"> of </w:t>
      </w:r>
      <w:r w:rsidRPr="001A3D2B">
        <w:t>myoglobin assays is needed. Methods: An international collaborative study was organized with</w:t>
      </w:r>
      <w:r w:rsidR="003A1917">
        <w:t xml:space="preserve"> the </w:t>
      </w:r>
      <w:r w:rsidRPr="001A3D2B">
        <w:t>involvement</w:t>
      </w:r>
      <w:r w:rsidR="00427468">
        <w:t xml:space="preserve"> of </w:t>
      </w:r>
      <w:r w:rsidRPr="001A3D2B">
        <w:t>seven companies using 12 different automated platforms for measuring myoglobin. Five candidate secondary, i.e., matrixed, reference materials were assayed in relation to linearity, imprecision, recovery rate</w:t>
      </w:r>
      <w:r w:rsidR="005853A9">
        <w:t xml:space="preserve"> and </w:t>
      </w:r>
      <w:r w:rsidRPr="001A3D2B">
        <w:t>commutability to demonstrate a possible identity between</w:t>
      </w:r>
      <w:r w:rsidR="003A1917">
        <w:t xml:space="preserve"> the </w:t>
      </w:r>
      <w:r w:rsidRPr="001A3D2B">
        <w:t>materials</w:t>
      </w:r>
      <w:r w:rsidR="005853A9">
        <w:t xml:space="preserve"> and </w:t>
      </w:r>
      <w:r w:rsidR="003A1917">
        <w:t xml:space="preserve">the </w:t>
      </w:r>
      <w:r w:rsidRPr="001A3D2B">
        <w:t>usual routine serum samples. Results: One Iyophilized candidate material (human heart myoglobin in human serum) was selected as</w:t>
      </w:r>
      <w:r w:rsidR="003A1917">
        <w:t xml:space="preserve"> the </w:t>
      </w:r>
      <w:r w:rsidRPr="001A3D2B">
        <w:t>most suitable secondary reference material, based on</w:t>
      </w:r>
      <w:r w:rsidR="003A1917">
        <w:t xml:space="preserve"> the </w:t>
      </w:r>
      <w:r w:rsidRPr="001A3D2B">
        <w:t>criteria examined. Used as a calibrator a posteriori,</w:t>
      </w:r>
      <w:r w:rsidR="003A1917">
        <w:t xml:space="preserve"> the </w:t>
      </w:r>
      <w:r w:rsidRPr="001A3D2B">
        <w:t>bias between</w:t>
      </w:r>
      <w:r w:rsidR="003A1917">
        <w:t xml:space="preserve"> the </w:t>
      </w:r>
      <w:r w:rsidRPr="001A3D2B">
        <w:t>various myoglobin assays for a frozen human serum pool was reduced from 32% to 13%. Conclusion: This study provides</w:t>
      </w:r>
      <w:r w:rsidR="003A1917">
        <w:t xml:space="preserve"> the </w:t>
      </w:r>
      <w:r w:rsidRPr="001A3D2B">
        <w:t>basis for</w:t>
      </w:r>
      <w:r w:rsidR="003A1917">
        <w:t xml:space="preserve"> the </w:t>
      </w:r>
      <w:r w:rsidRPr="001A3D2B">
        <w:t>selection</w:t>
      </w:r>
      <w:r w:rsidR="00427468">
        <w:t xml:space="preserve"> of </w:t>
      </w:r>
      <w:r w:rsidRPr="001A3D2B">
        <w:t>an internationally recognized secondary reference material. (C) 2004 Elsevier B.V. All rights reserved.</w:t>
      </w:r>
    </w:p>
    <w:p w:rsidR="003474F2" w:rsidRPr="001A3D2B" w:rsidRDefault="003474F2" w:rsidP="003474F2">
      <w:pPr>
        <w:pStyle w:val="a3"/>
      </w:pPr>
      <w:r w:rsidRPr="001A3D2B">
        <w:t>Keywords: Myoglobin, Standardization, Commutability, Reference Materials, Acute Myocardial-Infarction, Cardiac Markers, Troponin-I, Assays, MB</w:t>
      </w:r>
    </w:p>
    <w:p w:rsidR="00475D6B" w:rsidRPr="00C73C58" w:rsidRDefault="00475D6B" w:rsidP="00475D6B">
      <w:pPr>
        <w:pStyle w:val="a3"/>
      </w:pPr>
      <w:r w:rsidRPr="00C73C58">
        <w:t xml:space="preserve">? </w:t>
      </w:r>
      <w:r>
        <w:t>Csako, G</w:t>
      </w:r>
      <w:r>
        <w:rPr>
          <w:rFonts w:hint="eastAsia"/>
        </w:rPr>
        <w:t>.</w:t>
      </w:r>
      <w:r w:rsidRPr="00C73C58">
        <w:t xml:space="preserve"> (200</w:t>
      </w:r>
      <w:r>
        <w:rPr>
          <w:rFonts w:hint="eastAsia"/>
        </w:rPr>
        <w:t>7</w:t>
      </w:r>
      <w:r w:rsidRPr="00C73C58">
        <w:t xml:space="preserve">), </w:t>
      </w:r>
      <w:r>
        <w:t>Analysis</w:t>
      </w:r>
      <w:r w:rsidR="00427468">
        <w:t xml:space="preserve"> of </w:t>
      </w:r>
      <w:r w:rsidR="003A1917">
        <w:t xml:space="preserve">the </w:t>
      </w:r>
      <w:r>
        <w:t>most highly cited articles from</w:t>
      </w:r>
      <w:r w:rsidR="003A1917">
        <w:t xml:space="preserve"> the </w:t>
      </w:r>
      <w:r>
        <w:t>50-year history</w:t>
      </w:r>
      <w:r w:rsidR="00427468">
        <w:t xml:space="preserve"> of </w:t>
      </w:r>
      <w:r w:rsidRPr="005A6CFA">
        <w:rPr>
          <w:i/>
        </w:rPr>
        <w:t>CCA</w:t>
      </w:r>
      <w:r w:rsidRPr="00C73C58">
        <w:rPr>
          <w:szCs w:val="27"/>
        </w:rPr>
        <w:t>.</w:t>
      </w:r>
      <w:r w:rsidRPr="00C73C58">
        <w:t xml:space="preserve"> </w:t>
      </w:r>
      <w:r w:rsidRPr="00C73C58">
        <w:rPr>
          <w:i/>
          <w:iCs/>
        </w:rPr>
        <w:t>Clinica Chimica Acta</w:t>
      </w:r>
      <w:r w:rsidRPr="00C73C58">
        <w:t xml:space="preserve">, </w:t>
      </w:r>
      <w:r w:rsidRPr="00C73C58">
        <w:rPr>
          <w:b/>
          <w:bCs/>
        </w:rPr>
        <w:t>3</w:t>
      </w:r>
      <w:r>
        <w:rPr>
          <w:rFonts w:hint="eastAsia"/>
          <w:b/>
          <w:bCs/>
        </w:rPr>
        <w:t>75</w:t>
      </w:r>
      <w:r w:rsidRPr="00C73C58">
        <w:t xml:space="preserve"> (1-2), </w:t>
      </w:r>
      <w:r>
        <w:t>43-48</w:t>
      </w:r>
      <w:r w:rsidRPr="00C73C58">
        <w:t>.</w:t>
      </w:r>
    </w:p>
    <w:p w:rsidR="00475D6B" w:rsidRDefault="00475D6B" w:rsidP="00475D6B">
      <w:pPr>
        <w:pStyle w:val="a3"/>
      </w:pPr>
      <w:r w:rsidRPr="00C73C58">
        <w:t xml:space="preserve">Full Text: </w:t>
      </w:r>
      <w:hyperlink r:id="rId309" w:history="1">
        <w:r w:rsidRPr="005A6CFA">
          <w:rPr>
            <w:rStyle w:val="a5"/>
          </w:rPr>
          <w:t>2007\Cli Chi Act375, 43.pdf</w:t>
        </w:r>
      </w:hyperlink>
    </w:p>
    <w:p w:rsidR="00475D6B" w:rsidRDefault="00475D6B" w:rsidP="00475D6B">
      <w:pPr>
        <w:pStyle w:val="a3"/>
      </w:pPr>
      <w:r>
        <w:lastRenderedPageBreak/>
        <w:t>Abstract: Background:</w:t>
      </w:r>
      <w:r w:rsidR="003A1917">
        <w:t xml:space="preserve"> the </w:t>
      </w:r>
      <w:r>
        <w:t>50th anniversary</w:t>
      </w:r>
      <w:r w:rsidR="00427468">
        <w:t xml:space="preserve"> of </w:t>
      </w:r>
      <w:r>
        <w:t>CCA in 2006 prompted analysis</w:t>
      </w:r>
      <w:r w:rsidR="00427468">
        <w:t xml:space="preserve"> of </w:t>
      </w:r>
      <w:r w:rsidR="003A1917">
        <w:t xml:space="preserve">the </w:t>
      </w:r>
      <w:r>
        <w:t>most highly cited articles from</w:t>
      </w:r>
      <w:r w:rsidR="003A1917">
        <w:t xml:space="preserve"> the </w:t>
      </w:r>
      <w:r>
        <w:t>Journal</w:t>
      </w:r>
      <w:r w:rsidR="0071223E">
        <w:t>’</w:t>
      </w:r>
      <w:r>
        <w:t>s history. Methods: Lists</w:t>
      </w:r>
      <w:r w:rsidR="00427468">
        <w:t xml:space="preserve"> of </w:t>
      </w:r>
      <w:r>
        <w:t>most highly cited CCA articles were obtained from Current Contents (1974, 1991)</w:t>
      </w:r>
      <w:r w:rsidR="005853A9">
        <w:t xml:space="preserve"> and </w:t>
      </w:r>
      <w:r>
        <w:t>CCA (2006); all based on</w:t>
      </w:r>
      <w:r w:rsidR="003A1917">
        <w:t xml:space="preserve"> the </w:t>
      </w:r>
      <w:r>
        <w:t>ISI/Thomson Scientific database. PubMed search identified country</w:t>
      </w:r>
      <w:r w:rsidR="00427468">
        <w:t xml:space="preserve"> of </w:t>
      </w:r>
      <w:r>
        <w:t>origin.</w:t>
      </w:r>
    </w:p>
    <w:p w:rsidR="00475D6B" w:rsidRDefault="00475D6B" w:rsidP="00475D6B">
      <w:pPr>
        <w:pStyle w:val="a3"/>
      </w:pPr>
      <w:r>
        <w:t>Results: Distribution</w:t>
      </w:r>
      <w:r w:rsidR="00427468">
        <w:t xml:space="preserve"> of </w:t>
      </w:r>
      <w:r w:rsidR="003A1917">
        <w:t xml:space="preserve">the </w:t>
      </w:r>
      <w:r>
        <w:t>most highly cited CCA articles was skewed towards those with high total citations. From</w:t>
      </w:r>
      <w:r w:rsidR="003A1917">
        <w:t xml:space="preserve"> the </w:t>
      </w:r>
      <w:r>
        <w:t>beginning, these articles originated from a diverse group</w:t>
      </w:r>
      <w:r w:rsidR="00427468">
        <w:t xml:space="preserve"> of </w:t>
      </w:r>
      <w:r>
        <w:t>countries. This diversity increased with time to include countries from 4 continents</w:t>
      </w:r>
      <w:r w:rsidR="00A37C1D">
        <w:t>. The</w:t>
      </w:r>
      <w:r w:rsidR="003A1917">
        <w:t xml:space="preserve"> </w:t>
      </w:r>
      <w:r>
        <w:t>most highly cited articles emerged at least 8-16 years following their publication. During</w:t>
      </w:r>
      <w:r w:rsidR="003A1917">
        <w:t xml:space="preserve"> the </w:t>
      </w:r>
      <w:r>
        <w:t>first 35 years</w:t>
      </w:r>
      <w:r w:rsidR="00427468">
        <w:t xml:space="preserve"> of </w:t>
      </w:r>
      <w:r w:rsidR="003A1917">
        <w:t xml:space="preserve">the </w:t>
      </w:r>
      <w:r>
        <w:t>Journal, there was a significant positive correlation between</w:t>
      </w:r>
      <w:r w:rsidR="003A1917">
        <w:t xml:space="preserve"> the </w:t>
      </w:r>
      <w:r>
        <w:t>total number</w:t>
      </w:r>
      <w:r w:rsidR="00427468">
        <w:t xml:space="preserve"> of </w:t>
      </w:r>
      <w:r>
        <w:t>citations</w:t>
      </w:r>
      <w:r w:rsidR="005853A9">
        <w:t xml:space="preserve"> and </w:t>
      </w:r>
      <w:r w:rsidR="003A1917">
        <w:t xml:space="preserve">the </w:t>
      </w:r>
      <w:r>
        <w:t>publication date</w:t>
      </w:r>
      <w:r w:rsidR="00427468">
        <w:t xml:space="preserve"> of </w:t>
      </w:r>
      <w:r>
        <w:t>cited articles. Initially, virtually all most highly cited articles were methods papers, whereas during</w:t>
      </w:r>
      <w:r w:rsidR="003A1917">
        <w:t xml:space="preserve"> the </w:t>
      </w:r>
      <w:r>
        <w:t>past 25 years less than half</w:t>
      </w:r>
      <w:r w:rsidR="00427468">
        <w:t xml:space="preserve"> of </w:t>
      </w:r>
      <w:r>
        <w:t>them reported methods; clinical research papers</w:t>
      </w:r>
      <w:r w:rsidR="005853A9">
        <w:t xml:space="preserve"> and </w:t>
      </w:r>
      <w:r>
        <w:t>reviews making up</w:t>
      </w:r>
      <w:r w:rsidR="003A1917">
        <w:t xml:space="preserve"> the </w:t>
      </w:r>
      <w:r>
        <w:t>rest.</w:t>
      </w:r>
    </w:p>
    <w:p w:rsidR="00475D6B" w:rsidRDefault="00475D6B" w:rsidP="00475D6B">
      <w:pPr>
        <w:pStyle w:val="a3"/>
      </w:pPr>
      <w:r>
        <w:t>Conclusions: Results</w:t>
      </w:r>
      <w:r w:rsidR="00427468">
        <w:t xml:space="preserve"> of </w:t>
      </w:r>
      <w:r>
        <w:t>this analysis may help in editorial policy-making</w:t>
      </w:r>
      <w:r w:rsidR="005853A9">
        <w:t xml:space="preserve"> and </w:t>
      </w:r>
      <w:r>
        <w:t>marketing</w:t>
      </w:r>
      <w:r w:rsidR="00427468">
        <w:t xml:space="preserve"> of </w:t>
      </w:r>
      <w:r w:rsidR="003A1917">
        <w:t xml:space="preserve">the </w:t>
      </w:r>
      <w:r>
        <w:t>Journal</w:t>
      </w:r>
      <w:r w:rsidR="005853A9">
        <w:t xml:space="preserve"> and </w:t>
      </w:r>
      <w:r>
        <w:t>in assessing</w:t>
      </w:r>
      <w:r w:rsidR="003A1917">
        <w:t xml:space="preserve"> the </w:t>
      </w:r>
      <w:r>
        <w:t>impact</w:t>
      </w:r>
      <w:r w:rsidR="00427468">
        <w:t xml:space="preserve"> of </w:t>
      </w:r>
      <w:r>
        <w:t>individual countries on</w:t>
      </w:r>
      <w:r w:rsidR="003A1917">
        <w:t xml:space="preserve"> the </w:t>
      </w:r>
      <w:r>
        <w:t>field,</w:t>
      </w:r>
      <w:r w:rsidR="005853A9">
        <w:t xml:space="preserve"> and </w:t>
      </w:r>
      <w:r>
        <w:t>may guide authors</w:t>
      </w:r>
      <w:r w:rsidR="0071223E">
        <w:t>’</w:t>
      </w:r>
      <w:r>
        <w:t xml:space="preserve"> decision in submitting articles to</w:t>
      </w:r>
      <w:r w:rsidR="003A1917">
        <w:t xml:space="preserve"> the </w:t>
      </w:r>
      <w:r>
        <w:t>Journal. (c) 2006 Elsevier B.V. All rights reserved.</w:t>
      </w:r>
    </w:p>
    <w:p w:rsidR="00475D6B" w:rsidRPr="00C73C58" w:rsidRDefault="00475D6B" w:rsidP="00475D6B">
      <w:pPr>
        <w:pStyle w:val="a3"/>
      </w:pPr>
      <w:r>
        <w:t>Keywords: Citation Analysis, Current Contents, Geographic Distribution, Impact Factor, Journalology, Science Citation Index, Citation Indexes, Impact, Science</w:t>
      </w:r>
    </w:p>
    <w:p w:rsidR="004941B5" w:rsidRDefault="004941B5" w:rsidP="004941B5">
      <w:pPr>
        <w:pStyle w:val="a3"/>
        <w:rPr>
          <w:kern w:val="0"/>
        </w:rPr>
      </w:pPr>
      <w:r>
        <w:rPr>
          <w:rFonts w:hint="eastAsia"/>
          <w:kern w:val="0"/>
        </w:rPr>
        <w:t xml:space="preserve">? </w:t>
      </w:r>
      <w:r>
        <w:rPr>
          <w:kern w:val="0"/>
        </w:rPr>
        <w:t>Lippi, G.</w:t>
      </w:r>
      <w:r w:rsidR="005853A9">
        <w:rPr>
          <w:kern w:val="0"/>
        </w:rPr>
        <w:t xml:space="preserve"> and </w:t>
      </w:r>
      <w:r>
        <w:rPr>
          <w:kern w:val="0"/>
        </w:rPr>
        <w:t>Mattiuzzi, C. (2013), The challenges</w:t>
      </w:r>
      <w:r w:rsidR="00427468">
        <w:rPr>
          <w:kern w:val="0"/>
        </w:rPr>
        <w:t xml:space="preserve"> of </w:t>
      </w:r>
      <w:r>
        <w:rPr>
          <w:kern w:val="0"/>
        </w:rPr>
        <w:t xml:space="preserve">evaluating scientists by </w:t>
      </w:r>
      <w:r w:rsidR="00D5664A">
        <w:rPr>
          <w:rFonts w:hint="eastAsia"/>
          <w:kern w:val="0"/>
        </w:rPr>
        <w:t>h-Index</w:t>
      </w:r>
      <w:r w:rsidR="005853A9">
        <w:rPr>
          <w:kern w:val="0"/>
        </w:rPr>
        <w:t xml:space="preserve"> and </w:t>
      </w:r>
      <w:r>
        <w:rPr>
          <w:kern w:val="0"/>
        </w:rPr>
        <w:t xml:space="preserve">citations in different biomedical research platforms. </w:t>
      </w:r>
      <w:r>
        <w:rPr>
          <w:i/>
          <w:iCs/>
          <w:kern w:val="0"/>
        </w:rPr>
        <w:t>Clinica Chimica Acta</w:t>
      </w:r>
      <w:r>
        <w:rPr>
          <w:kern w:val="0"/>
        </w:rPr>
        <w:t xml:space="preserve">, </w:t>
      </w:r>
      <w:r>
        <w:rPr>
          <w:b/>
          <w:bCs/>
          <w:kern w:val="0"/>
        </w:rPr>
        <w:t>421</w:t>
      </w:r>
      <w:r>
        <w:rPr>
          <w:kern w:val="0"/>
        </w:rPr>
        <w:t>, 57-58</w:t>
      </w:r>
      <w:r>
        <w:rPr>
          <w:rFonts w:hint="eastAsia"/>
          <w:kern w:val="0"/>
        </w:rPr>
        <w:t>.</w:t>
      </w:r>
    </w:p>
    <w:p w:rsidR="004941B5" w:rsidRDefault="004941B5" w:rsidP="004941B5">
      <w:pPr>
        <w:pStyle w:val="a3"/>
      </w:pPr>
      <w:r w:rsidRPr="00C73C58">
        <w:t xml:space="preserve">Full Text: </w:t>
      </w:r>
      <w:hyperlink r:id="rId310" w:history="1">
        <w:r w:rsidRPr="00F76732">
          <w:rPr>
            <w:rStyle w:val="a5"/>
          </w:rPr>
          <w:t>2013\Cli Chi Act421, 57.pdf</w:t>
        </w:r>
      </w:hyperlink>
    </w:p>
    <w:p w:rsidR="004941B5" w:rsidRDefault="004941B5" w:rsidP="004941B5">
      <w:pPr>
        <w:pStyle w:val="a3"/>
        <w:rPr>
          <w:kern w:val="0"/>
        </w:rPr>
      </w:pPr>
      <w:r>
        <w:rPr>
          <w:kern w:val="0"/>
        </w:rPr>
        <w:t xml:space="preserve">Keywords: Biomedical, Biomedical Research, Citations, Evaluation, </w:t>
      </w:r>
      <w:r w:rsidR="00D5664A">
        <w:rPr>
          <w:rFonts w:hint="eastAsia"/>
          <w:kern w:val="0"/>
        </w:rPr>
        <w:t>h Index</w:t>
      </w:r>
      <w:r>
        <w:rPr>
          <w:kern w:val="0"/>
        </w:rPr>
        <w:t xml:space="preserve">, </w:t>
      </w:r>
      <w:r w:rsidR="00D5664A">
        <w:rPr>
          <w:rFonts w:hint="eastAsia"/>
          <w:kern w:val="0"/>
        </w:rPr>
        <w:t>h-Index</w:t>
      </w:r>
      <w:r>
        <w:rPr>
          <w:kern w:val="0"/>
        </w:rPr>
        <w:t>, Impact Factor, Publications, Research, Scientists</w:t>
      </w:r>
    </w:p>
    <w:p w:rsidR="005A1591" w:rsidRDefault="005A1591" w:rsidP="005A1591">
      <w:pPr>
        <w:pStyle w:val="a3"/>
        <w:rPr>
          <w:kern w:val="0"/>
        </w:rPr>
      </w:pPr>
      <w:r>
        <w:rPr>
          <w:rFonts w:hint="eastAsia"/>
          <w:kern w:val="0"/>
        </w:rPr>
        <w:t xml:space="preserve">? </w:t>
      </w:r>
      <w:r>
        <w:rPr>
          <w:kern w:val="0"/>
        </w:rPr>
        <w:t xml:space="preserve">Wang, W., He, Y.F., Sun, Q.K., Wang, Y., Han, X.H., Peng, D.F., Yao, Y.W., Ji, C.S. and Hu, B. (2014), Hypoxia-inducible factor 1 </w:t>
      </w:r>
      <w:r>
        <w:rPr>
          <w:kern w:val="0"/>
        </w:rPr>
        <w:sym w:font="Symbol" w:char="F061"/>
      </w:r>
      <w:r>
        <w:rPr>
          <w:rFonts w:hint="eastAsia"/>
          <w:kern w:val="0"/>
        </w:rPr>
        <w:t xml:space="preserve"> </w:t>
      </w:r>
      <w:r>
        <w:rPr>
          <w:kern w:val="0"/>
        </w:rPr>
        <w:t xml:space="preserve">in breast cancer prognosis. </w:t>
      </w:r>
      <w:r>
        <w:rPr>
          <w:i/>
          <w:iCs/>
          <w:kern w:val="0"/>
        </w:rPr>
        <w:t>Clinica Chimica Acta</w:t>
      </w:r>
      <w:r>
        <w:rPr>
          <w:kern w:val="0"/>
        </w:rPr>
        <w:t xml:space="preserve">, </w:t>
      </w:r>
      <w:r>
        <w:rPr>
          <w:b/>
          <w:bCs/>
          <w:kern w:val="0"/>
        </w:rPr>
        <w:t>428</w:t>
      </w:r>
      <w:r>
        <w:rPr>
          <w:kern w:val="0"/>
        </w:rPr>
        <w:t>, 32-37.</w:t>
      </w:r>
    </w:p>
    <w:p w:rsidR="005A1591" w:rsidRDefault="005A1591" w:rsidP="005A1591">
      <w:pPr>
        <w:pStyle w:val="a3"/>
      </w:pPr>
      <w:r w:rsidRPr="00C73C58">
        <w:t xml:space="preserve">Full Text: </w:t>
      </w:r>
      <w:hyperlink r:id="rId311" w:history="1">
        <w:r w:rsidRPr="00D147E4">
          <w:rPr>
            <w:rStyle w:val="a5"/>
          </w:rPr>
          <w:t>2014\Cli Chi Act428, 32.pdf</w:t>
        </w:r>
      </w:hyperlink>
    </w:p>
    <w:p w:rsidR="007A584A" w:rsidRDefault="007A584A" w:rsidP="007A584A">
      <w:pPr>
        <w:pStyle w:val="a3"/>
        <w:rPr>
          <w:kern w:val="0"/>
        </w:rPr>
      </w:pPr>
      <w:r>
        <w:rPr>
          <w:kern w:val="0"/>
        </w:rPr>
        <w:t>Abstract: Background: Recent studies have assessed the relationship between hypoxia-inducible factor 1 alpha (HIF-1 alpha) expression and prognosis in breast cancer patients with inconsistent conclusions. To comprehensively and quantitatively summarize the evidence on the survival</w:t>
      </w:r>
      <w:r w:rsidR="00427468">
        <w:rPr>
          <w:kern w:val="0"/>
        </w:rPr>
        <w:t xml:space="preserve"> of </w:t>
      </w:r>
      <w:r>
        <w:rPr>
          <w:kern w:val="0"/>
        </w:rPr>
        <w:t>patients with breast cancer, a meta-analysis was performed. Methods: Systematic literature searching was applied to the databases</w:t>
      </w:r>
      <w:r w:rsidR="00427468">
        <w:rPr>
          <w:kern w:val="0"/>
        </w:rPr>
        <w:t xml:space="preserve"> of </w:t>
      </w:r>
      <w:r>
        <w:rPr>
          <w:kern w:val="0"/>
        </w:rPr>
        <w:t>PubMed, Embase and Web</w:t>
      </w:r>
      <w:r w:rsidR="00427468">
        <w:rPr>
          <w:kern w:val="0"/>
        </w:rPr>
        <w:t xml:space="preserve"> of </w:t>
      </w:r>
      <w:r>
        <w:rPr>
          <w:kern w:val="0"/>
        </w:rPr>
        <w:t>science until April 1, 2013. Pooled HR with 95% CI was used to evaluate the association between HIF-1 alpha expression and survival in breast cancer patients. Results: Fourteen papers including 2933 patients were subjected to the final analysis.</w:t>
      </w:r>
      <w:r w:rsidR="00427468">
        <w:rPr>
          <w:kern w:val="0"/>
        </w:rPr>
        <w:t xml:space="preserve"> of </w:t>
      </w:r>
      <w:r>
        <w:rPr>
          <w:kern w:val="0"/>
        </w:rPr>
        <w:t xml:space="preserve">these, 7 provided data on </w:t>
      </w:r>
      <w:r>
        <w:rPr>
          <w:kern w:val="0"/>
        </w:rPr>
        <w:lastRenderedPageBreak/>
        <w:t>overall survival (OS), 8 on disease-free survival (DES), 3 on distant metastasis-free survival (DMFS) and 3 on relapse-free survival (RFS). We observed that high expression</w:t>
      </w:r>
      <w:r w:rsidR="00427468">
        <w:rPr>
          <w:kern w:val="0"/>
        </w:rPr>
        <w:t xml:space="preserve"> of </w:t>
      </w:r>
      <w:r>
        <w:rPr>
          <w:kern w:val="0"/>
        </w:rPr>
        <w:t>HIF-1 alpha in breast cancer patients was an indicator</w:t>
      </w:r>
      <w:r w:rsidR="00427468">
        <w:rPr>
          <w:kern w:val="0"/>
        </w:rPr>
        <w:t xml:space="preserve"> of </w:t>
      </w:r>
      <w:r>
        <w:rPr>
          <w:kern w:val="0"/>
        </w:rPr>
        <w:t>poor prognosis on OS (HR = 1.46, 95% CI: 1.12-1.92, P = 0.006), DFS (HR = 1.91, 95% CI: 1.43-257, P&lt;0.001), DMFS (HR = 2.17 95% CI: 1.16-4.05, P=0.015) and RFS (HR = 1.33 95% CI: 1.09-1.61, P=0.005). Significant heterogeneity was observed in the analyses</w:t>
      </w:r>
      <w:r w:rsidR="00427468">
        <w:rPr>
          <w:kern w:val="0"/>
        </w:rPr>
        <w:t xml:space="preserve"> of </w:t>
      </w:r>
      <w:r>
        <w:rPr>
          <w:kern w:val="0"/>
        </w:rPr>
        <w:t>OS and DFS. Subgroup analyses by the cut-off value and antibody for IHC were conducted. Conclusion: High expression</w:t>
      </w:r>
      <w:r w:rsidR="00427468">
        <w:rPr>
          <w:kern w:val="0"/>
        </w:rPr>
        <w:t xml:space="preserve"> of </w:t>
      </w:r>
      <w:r>
        <w:rPr>
          <w:kern w:val="0"/>
        </w:rPr>
        <w:t>HIF-1 alpha indicated a poor prognosis for patients with breast cancer. Published by Elsevier B.V.</w:t>
      </w:r>
    </w:p>
    <w:p w:rsidR="007A584A" w:rsidRDefault="007A584A" w:rsidP="007A584A">
      <w:pPr>
        <w:pStyle w:val="a3"/>
        <w:rPr>
          <w:kern w:val="0"/>
        </w:rPr>
      </w:pPr>
      <w:r>
        <w:rPr>
          <w:kern w:val="0"/>
        </w:rPr>
        <w:t>Keywords: Analyses, Analysis, Antibody, Association, Breast Cancer, Cancer, Cell Lung-Cancer, Data, Databases, Evidence, Expression, Factor-1-Alpha, Factor-I, Heterogeneity, Hif-1-Alpha Expression, Hif-Alpha, Hypoxia-Inducible Factor, Indicator, Literature, Meta Analysis, Meta-Analysis, Metaanalysis, Methods, Overexpression, P, Papers, Patients, Poor-Prognosis, Prognosis, Publication Bias, Pubmed, Recent, Results, Science, Survival, Tumors, Value, Web</w:t>
      </w:r>
      <w:r w:rsidR="00427468">
        <w:rPr>
          <w:kern w:val="0"/>
        </w:rPr>
        <w:t xml:space="preserve"> of </w:t>
      </w:r>
      <w:r>
        <w:rPr>
          <w:kern w:val="0"/>
        </w:rPr>
        <w:t>Science</w:t>
      </w:r>
    </w:p>
    <w:p w:rsidR="00390F0A" w:rsidRPr="001A3D2B" w:rsidRDefault="00390F0A" w:rsidP="00390F0A">
      <w:pPr>
        <w:pStyle w:val="1"/>
      </w:pPr>
      <w:r w:rsidRPr="001A3D2B">
        <w:br w:type="page"/>
      </w:r>
      <w:bookmarkStart w:id="254" w:name="_Toc420815009"/>
      <w:r w:rsidRPr="001A3D2B">
        <w:lastRenderedPageBreak/>
        <w:t>Title: Clinica Terapeutica</w:t>
      </w:r>
      <w:bookmarkEnd w:id="254"/>
    </w:p>
    <w:p w:rsidR="00390F0A" w:rsidRPr="001A3D2B" w:rsidRDefault="00390F0A" w:rsidP="00390F0A">
      <w:pPr>
        <w:pStyle w:val="12"/>
      </w:pPr>
      <w:r w:rsidRPr="001A3D2B">
        <w:t xml:space="preserve">Full Journal Title: </w:t>
      </w:r>
      <w:hyperlink r:id="rId312" w:history="1">
        <w:r w:rsidRPr="001A3D2B">
          <w:rPr>
            <w:rStyle w:val="a5"/>
            <w:iCs/>
          </w:rPr>
          <w:t>Clinica Terapeutica</w:t>
        </w:r>
      </w:hyperlink>
    </w:p>
    <w:p w:rsidR="00390F0A" w:rsidRPr="001A3D2B" w:rsidRDefault="00390F0A" w:rsidP="00390F0A">
      <w:pPr>
        <w:pStyle w:val="12"/>
      </w:pPr>
      <w:r w:rsidRPr="001A3D2B">
        <w:t xml:space="preserve">ISO Abbreviated Title: </w:t>
      </w:r>
    </w:p>
    <w:p w:rsidR="00390F0A" w:rsidRPr="001A3D2B" w:rsidRDefault="00390F0A" w:rsidP="00390F0A">
      <w:pPr>
        <w:pStyle w:val="12"/>
      </w:pPr>
      <w:r w:rsidRPr="001A3D2B">
        <w:t xml:space="preserve">JCR Abbreviated Title: </w:t>
      </w:r>
    </w:p>
    <w:p w:rsidR="00390F0A" w:rsidRPr="001A3D2B" w:rsidRDefault="00390F0A" w:rsidP="00390F0A">
      <w:pPr>
        <w:pStyle w:val="12"/>
      </w:pPr>
      <w:r w:rsidRPr="001A3D2B">
        <w:t xml:space="preserve">ISSN: </w:t>
      </w:r>
    </w:p>
    <w:p w:rsidR="00390F0A" w:rsidRPr="001A3D2B" w:rsidRDefault="00390F0A" w:rsidP="00390F0A">
      <w:pPr>
        <w:pStyle w:val="12"/>
      </w:pPr>
      <w:r w:rsidRPr="001A3D2B">
        <w:t xml:space="preserve">Issues/Year: </w:t>
      </w:r>
    </w:p>
    <w:p w:rsidR="00390F0A" w:rsidRPr="001A3D2B" w:rsidRDefault="00390F0A" w:rsidP="00390F0A">
      <w:pPr>
        <w:pStyle w:val="12"/>
      </w:pPr>
      <w:r w:rsidRPr="001A3D2B">
        <w:t xml:space="preserve">Journal Country/Territory: </w:t>
      </w:r>
    </w:p>
    <w:p w:rsidR="00390F0A" w:rsidRPr="001A3D2B" w:rsidRDefault="00390F0A" w:rsidP="00390F0A">
      <w:pPr>
        <w:pStyle w:val="12"/>
      </w:pPr>
      <w:r w:rsidRPr="001A3D2B">
        <w:t xml:space="preserve">Language: </w:t>
      </w:r>
    </w:p>
    <w:p w:rsidR="00390F0A" w:rsidRPr="001A3D2B" w:rsidRDefault="00390F0A" w:rsidP="00390F0A">
      <w:pPr>
        <w:pStyle w:val="12"/>
      </w:pPr>
      <w:r w:rsidRPr="001A3D2B">
        <w:t xml:space="preserve">Publisher: </w:t>
      </w:r>
    </w:p>
    <w:p w:rsidR="00390F0A" w:rsidRPr="001A3D2B" w:rsidRDefault="00390F0A" w:rsidP="00390F0A">
      <w:pPr>
        <w:pStyle w:val="12"/>
      </w:pPr>
      <w:r w:rsidRPr="001A3D2B">
        <w:t xml:space="preserve">Publisher Address: </w:t>
      </w:r>
    </w:p>
    <w:p w:rsidR="00390F0A" w:rsidRPr="001A3D2B" w:rsidRDefault="00390F0A" w:rsidP="00390F0A">
      <w:pPr>
        <w:pStyle w:val="12"/>
      </w:pPr>
      <w:r w:rsidRPr="001A3D2B">
        <w:t xml:space="preserve">Subject Categories: </w:t>
      </w:r>
    </w:p>
    <w:p w:rsidR="00390F0A" w:rsidRPr="001A3D2B" w:rsidRDefault="00390F0A" w:rsidP="00390F0A">
      <w:pPr>
        <w:pStyle w:val="12"/>
      </w:pPr>
      <w:r w:rsidRPr="001A3D2B">
        <w:t xml:space="preserve">: Impact Factor </w:t>
      </w:r>
    </w:p>
    <w:p w:rsidR="00390F0A" w:rsidRPr="001A3D2B" w:rsidRDefault="00390F0A" w:rsidP="00390F0A">
      <w:pPr>
        <w:pStyle w:val="a3"/>
        <w:rPr>
          <w:kern w:val="0"/>
        </w:rPr>
      </w:pPr>
      <w:r w:rsidRPr="001A3D2B">
        <w:rPr>
          <w:kern w:val="0"/>
        </w:rPr>
        <w:t>? Tambone, V.</w:t>
      </w:r>
      <w:r w:rsidR="005853A9">
        <w:rPr>
          <w:kern w:val="0"/>
        </w:rPr>
        <w:t xml:space="preserve"> and </w:t>
      </w:r>
      <w:r w:rsidRPr="001A3D2B">
        <w:rPr>
          <w:kern w:val="0"/>
        </w:rPr>
        <w:t>Pennacchini, M. (2009), From a case</w:t>
      </w:r>
      <w:r w:rsidR="00427468">
        <w:rPr>
          <w:kern w:val="0"/>
        </w:rPr>
        <w:t xml:space="preserve"> of </w:t>
      </w:r>
      <w:r w:rsidRPr="001A3D2B">
        <w:rPr>
          <w:kern w:val="0"/>
        </w:rPr>
        <w:t>plagiarism to rethinking</w:t>
      </w:r>
      <w:r w:rsidR="003A1917">
        <w:rPr>
          <w:kern w:val="0"/>
        </w:rPr>
        <w:t xml:space="preserve"> the </w:t>
      </w:r>
      <w:r w:rsidRPr="001A3D2B">
        <w:rPr>
          <w:kern w:val="0"/>
        </w:rPr>
        <w:t>use</w:t>
      </w:r>
      <w:r w:rsidR="00427468">
        <w:rPr>
          <w:kern w:val="0"/>
        </w:rPr>
        <w:t xml:space="preserve"> of </w:t>
      </w:r>
      <w:r w:rsidRPr="001A3D2B">
        <w:rPr>
          <w:kern w:val="0"/>
        </w:rPr>
        <w:t xml:space="preserve">impact factor. </w:t>
      </w:r>
      <w:r w:rsidRPr="001A3D2B">
        <w:rPr>
          <w:i/>
          <w:iCs/>
          <w:kern w:val="0"/>
        </w:rPr>
        <w:t>Clinica Terapeutica</w:t>
      </w:r>
      <w:r w:rsidRPr="001A3D2B">
        <w:rPr>
          <w:kern w:val="0"/>
        </w:rPr>
        <w:t xml:space="preserve">, </w:t>
      </w:r>
      <w:r w:rsidRPr="001A3D2B">
        <w:rPr>
          <w:b/>
          <w:bCs/>
          <w:kern w:val="0"/>
        </w:rPr>
        <w:t>160</w:t>
      </w:r>
      <w:r w:rsidRPr="001A3D2B">
        <w:rPr>
          <w:kern w:val="0"/>
        </w:rPr>
        <w:t xml:space="preserve"> (4), 295-297.</w:t>
      </w:r>
    </w:p>
    <w:p w:rsidR="00E570A1" w:rsidRPr="00C73C58" w:rsidRDefault="00E570A1" w:rsidP="00E570A1">
      <w:pPr>
        <w:pStyle w:val="a3"/>
        <w:rPr>
          <w:kern w:val="0"/>
        </w:rPr>
      </w:pPr>
      <w:r w:rsidRPr="00C73C58">
        <w:rPr>
          <w:kern w:val="0"/>
        </w:rPr>
        <w:t xml:space="preserve">Full Text: </w:t>
      </w:r>
      <w:r>
        <w:rPr>
          <w:rFonts w:hint="eastAsia"/>
          <w:kern w:val="0"/>
        </w:rPr>
        <w:t>2009\</w:t>
      </w:r>
      <w:r w:rsidRPr="00C73C58">
        <w:rPr>
          <w:iCs/>
          <w:kern w:val="0"/>
        </w:rPr>
        <w:t>Cli Ter</w:t>
      </w:r>
      <w:r w:rsidRPr="00C73C58">
        <w:rPr>
          <w:bCs/>
          <w:kern w:val="0"/>
        </w:rPr>
        <w:t>160</w:t>
      </w:r>
      <w:r w:rsidRPr="00C73C58">
        <w:rPr>
          <w:kern w:val="0"/>
        </w:rPr>
        <w:t>, 295.pdf</w:t>
      </w:r>
    </w:p>
    <w:p w:rsidR="00390F0A" w:rsidRPr="001A3D2B" w:rsidRDefault="00390F0A" w:rsidP="00390F0A">
      <w:pPr>
        <w:pStyle w:val="a3"/>
        <w:rPr>
          <w:kern w:val="0"/>
        </w:rPr>
      </w:pPr>
      <w:r w:rsidRPr="001A3D2B">
        <w:rPr>
          <w:kern w:val="0"/>
        </w:rPr>
        <w:t>Abstract: In Italy</w:t>
      </w:r>
      <w:r w:rsidR="003A1917">
        <w:rPr>
          <w:kern w:val="0"/>
        </w:rPr>
        <w:t xml:space="preserve"> the </w:t>
      </w:r>
      <w:r w:rsidRPr="001A3D2B">
        <w:rPr>
          <w:kern w:val="0"/>
        </w:rPr>
        <w:t>impact factor (IF) is used to evaluate individual or collective scientific research (Universities, Departments</w:t>
      </w:r>
      <w:r w:rsidR="005853A9">
        <w:rPr>
          <w:kern w:val="0"/>
        </w:rPr>
        <w:t xml:space="preserve"> and </w:t>
      </w:r>
      <w:r w:rsidRPr="001A3D2B">
        <w:rPr>
          <w:kern w:val="0"/>
        </w:rPr>
        <w:t>Research groups); such Universities</w:t>
      </w:r>
      <w:r w:rsidR="0071223E">
        <w:rPr>
          <w:kern w:val="0"/>
        </w:rPr>
        <w:t>’</w:t>
      </w:r>
      <w:r w:rsidRPr="001A3D2B">
        <w:rPr>
          <w:kern w:val="0"/>
        </w:rPr>
        <w:t xml:space="preserve"> evaluation is also used to assign funds by Government</w:t>
      </w:r>
      <w:r w:rsidR="00A37C1D">
        <w:rPr>
          <w:kern w:val="0"/>
        </w:rPr>
        <w:t>. The</w:t>
      </w:r>
      <w:r w:rsidR="003A1917">
        <w:rPr>
          <w:kern w:val="0"/>
        </w:rPr>
        <w:t xml:space="preserve"> </w:t>
      </w:r>
      <w:r w:rsidRPr="001A3D2B">
        <w:rPr>
          <w:kern w:val="0"/>
        </w:rPr>
        <w:t>IF is an indicator</w:t>
      </w:r>
      <w:r w:rsidR="00427468">
        <w:rPr>
          <w:kern w:val="0"/>
        </w:rPr>
        <w:t xml:space="preserve"> of </w:t>
      </w:r>
      <w:r w:rsidRPr="001A3D2B">
        <w:rPr>
          <w:kern w:val="0"/>
        </w:rPr>
        <w:t>a journal</w:t>
      </w:r>
      <w:r w:rsidR="0071223E">
        <w:rPr>
          <w:kern w:val="0"/>
        </w:rPr>
        <w:t>’</w:t>
      </w:r>
      <w:r w:rsidR="00C13DDC">
        <w:rPr>
          <w:kern w:val="0"/>
        </w:rPr>
        <w:t>s</w:t>
      </w:r>
      <w:r w:rsidRPr="001A3D2B">
        <w:rPr>
          <w:kern w:val="0"/>
        </w:rPr>
        <w:t xml:space="preserve"> prestige. It varies a lot according to: 1. type</w:t>
      </w:r>
      <w:r w:rsidR="00427468">
        <w:rPr>
          <w:kern w:val="0"/>
        </w:rPr>
        <w:t xml:space="preserve"> of </w:t>
      </w:r>
      <w:r w:rsidRPr="001A3D2B">
        <w:rPr>
          <w:kern w:val="0"/>
        </w:rPr>
        <w:t>discipline</w:t>
      </w:r>
      <w:r w:rsidR="005853A9">
        <w:rPr>
          <w:kern w:val="0"/>
        </w:rPr>
        <w:t xml:space="preserve"> and </w:t>
      </w:r>
      <w:r w:rsidRPr="001A3D2B">
        <w:rPr>
          <w:kern w:val="0"/>
        </w:rPr>
        <w:t>thematic area which</w:t>
      </w:r>
      <w:r w:rsidR="003A1917">
        <w:rPr>
          <w:kern w:val="0"/>
        </w:rPr>
        <w:t xml:space="preserve"> the </w:t>
      </w:r>
      <w:r w:rsidRPr="001A3D2B">
        <w:rPr>
          <w:kern w:val="0"/>
        </w:rPr>
        <w:t>journal cover; 2. authors</w:t>
      </w:r>
      <w:r w:rsidR="0071223E">
        <w:rPr>
          <w:kern w:val="0"/>
        </w:rPr>
        <w:t>’</w:t>
      </w:r>
      <w:r w:rsidRPr="001A3D2B">
        <w:rPr>
          <w:kern w:val="0"/>
        </w:rPr>
        <w:t xml:space="preserve"> number; 3. weight given to citations: 4. self-citations. On these data it seems to us that IF, normalized also, is little profit to evaluate scientific quality</w:t>
      </w:r>
      <w:r w:rsidR="00427468">
        <w:rPr>
          <w:kern w:val="0"/>
        </w:rPr>
        <w:t xml:space="preserve"> of </w:t>
      </w:r>
      <w:r w:rsidRPr="001A3D2B">
        <w:rPr>
          <w:kern w:val="0"/>
        </w:rPr>
        <w:t>a work and/or researchers</w:t>
      </w:r>
      <w:r w:rsidR="0071223E">
        <w:rPr>
          <w:kern w:val="0"/>
        </w:rPr>
        <w:t>’</w:t>
      </w:r>
      <w:r w:rsidRPr="001A3D2B">
        <w:rPr>
          <w:kern w:val="0"/>
        </w:rPr>
        <w:t xml:space="preserve"> activity. Additionally, such use</w:t>
      </w:r>
      <w:r w:rsidR="00427468">
        <w:rPr>
          <w:kern w:val="0"/>
        </w:rPr>
        <w:t xml:space="preserve"> of </w:t>
      </w:r>
      <w:r w:rsidR="003A1917">
        <w:rPr>
          <w:kern w:val="0"/>
        </w:rPr>
        <w:t xml:space="preserve">the </w:t>
      </w:r>
      <w:r w:rsidRPr="001A3D2B">
        <w:rPr>
          <w:kern w:val="0"/>
        </w:rPr>
        <w:t>IF: 1. hits made it difficult to use</w:t>
      </w:r>
      <w:r w:rsidR="003A1917">
        <w:rPr>
          <w:kern w:val="0"/>
        </w:rPr>
        <w:t xml:space="preserve"> the </w:t>
      </w:r>
      <w:r w:rsidRPr="001A3D2B">
        <w:rPr>
          <w:kern w:val="0"/>
        </w:rPr>
        <w:t>same Science Citation Index, since unjustified citations</w:t>
      </w:r>
      <w:r w:rsidR="005853A9">
        <w:rPr>
          <w:kern w:val="0"/>
        </w:rPr>
        <w:t xml:space="preserve"> and </w:t>
      </w:r>
      <w:r w:rsidRPr="001A3D2B">
        <w:rPr>
          <w:kern w:val="0"/>
        </w:rPr>
        <w:t>self-citations are augmented; 2. can compromise</w:t>
      </w:r>
      <w:r w:rsidR="003A1917">
        <w:rPr>
          <w:kern w:val="0"/>
        </w:rPr>
        <w:t xml:space="preserve"> the </w:t>
      </w:r>
      <w:r w:rsidRPr="001A3D2B">
        <w:rPr>
          <w:kern w:val="0"/>
        </w:rPr>
        <w:t>research</w:t>
      </w:r>
      <w:r w:rsidR="005853A9">
        <w:rPr>
          <w:kern w:val="0"/>
        </w:rPr>
        <w:t xml:space="preserve"> and </w:t>
      </w:r>
      <w:r w:rsidRPr="001A3D2B">
        <w:rPr>
          <w:kern w:val="0"/>
        </w:rPr>
        <w:t>increase</w:t>
      </w:r>
      <w:r w:rsidR="003A1917">
        <w:rPr>
          <w:kern w:val="0"/>
        </w:rPr>
        <w:t xml:space="preserve"> the </w:t>
      </w:r>
      <w:r w:rsidRPr="001A3D2B">
        <w:rPr>
          <w:kern w:val="0"/>
        </w:rPr>
        <w:t>cases</w:t>
      </w:r>
      <w:r w:rsidR="00427468">
        <w:rPr>
          <w:kern w:val="0"/>
        </w:rPr>
        <w:t xml:space="preserve"> of </w:t>
      </w:r>
      <w:r w:rsidRPr="001A3D2B">
        <w:rPr>
          <w:kern w:val="0"/>
        </w:rPr>
        <w:t>scientific misconduct, since researchers are inclined to publish also in absence</w:t>
      </w:r>
      <w:r w:rsidR="00427468">
        <w:rPr>
          <w:kern w:val="0"/>
        </w:rPr>
        <w:t xml:space="preserve"> of </w:t>
      </w:r>
      <w:r w:rsidRPr="001A3D2B">
        <w:rPr>
          <w:kern w:val="0"/>
        </w:rPr>
        <w:t>meaningful scientific results, only to augment own IF. Quality</w:t>
      </w:r>
      <w:r w:rsidR="00427468">
        <w:rPr>
          <w:kern w:val="0"/>
        </w:rPr>
        <w:t xml:space="preserve"> of </w:t>
      </w:r>
      <w:r w:rsidRPr="001A3D2B">
        <w:rPr>
          <w:kern w:val="0"/>
        </w:rPr>
        <w:t>a research depends on intrinsic factors (i.e. originality, methodology, etc.), that are perceivable only by experts (peer-reviewers),</w:t>
      </w:r>
      <w:r w:rsidR="005853A9">
        <w:rPr>
          <w:kern w:val="0"/>
        </w:rPr>
        <w:t xml:space="preserve"> and </w:t>
      </w:r>
      <w:r w:rsidRPr="001A3D2B">
        <w:rPr>
          <w:kern w:val="0"/>
        </w:rPr>
        <w:t>it doesn</w:t>
      </w:r>
      <w:r w:rsidR="0071223E">
        <w:rPr>
          <w:kern w:val="0"/>
        </w:rPr>
        <w:t>’</w:t>
      </w:r>
      <w:r w:rsidRPr="001A3D2B">
        <w:rPr>
          <w:kern w:val="0"/>
        </w:rPr>
        <w:t>t depend on external factors as</w:t>
      </w:r>
      <w:r w:rsidR="003A1917">
        <w:rPr>
          <w:kern w:val="0"/>
        </w:rPr>
        <w:t xml:space="preserve"> the </w:t>
      </w:r>
      <w:r w:rsidRPr="001A3D2B">
        <w:rPr>
          <w:kern w:val="0"/>
        </w:rPr>
        <w:t>place</w:t>
      </w:r>
      <w:r w:rsidR="00427468">
        <w:rPr>
          <w:kern w:val="0"/>
        </w:rPr>
        <w:t xml:space="preserve"> of </w:t>
      </w:r>
      <w:r w:rsidRPr="001A3D2B">
        <w:rPr>
          <w:kern w:val="0"/>
        </w:rPr>
        <w:t>publication or</w:t>
      </w:r>
      <w:r w:rsidR="003A1917">
        <w:rPr>
          <w:kern w:val="0"/>
        </w:rPr>
        <w:t xml:space="preserve"> the </w:t>
      </w:r>
      <w:r w:rsidRPr="001A3D2B">
        <w:rPr>
          <w:kern w:val="0"/>
        </w:rPr>
        <w:t>citation success. Conclusions: scientific literature hits to reacquire its role: to introduce best evidence for scientific research avoiding contaminations caused by economic affairs</w:t>
      </w:r>
      <w:r w:rsidR="005853A9">
        <w:rPr>
          <w:kern w:val="0"/>
        </w:rPr>
        <w:t xml:space="preserve"> and </w:t>
      </w:r>
      <w:r w:rsidRPr="001A3D2B">
        <w:rPr>
          <w:kern w:val="0"/>
        </w:rPr>
        <w:t>competition consequent IF. To such end</w:t>
      </w:r>
      <w:r w:rsidR="003A1917">
        <w:rPr>
          <w:kern w:val="0"/>
        </w:rPr>
        <w:t xml:space="preserve"> the </w:t>
      </w:r>
      <w:r w:rsidRPr="001A3D2B">
        <w:rPr>
          <w:kern w:val="0"/>
        </w:rPr>
        <w:t>evaluation from peer-reviewers is a more reliable way, even though not perfect. Clin Ter 2009; 160(4):295-297.</w:t>
      </w:r>
    </w:p>
    <w:p w:rsidR="00390F0A" w:rsidRPr="001A3D2B" w:rsidRDefault="00390F0A" w:rsidP="00390F0A">
      <w:pPr>
        <w:pStyle w:val="a3"/>
        <w:rPr>
          <w:kern w:val="0"/>
        </w:rPr>
      </w:pPr>
      <w:r w:rsidRPr="001A3D2B">
        <w:rPr>
          <w:kern w:val="0"/>
        </w:rPr>
        <w:t>Keywords: Citation, Citations, Evaluation, Impact Factor, Journals, Peer-Review, Quality, Research, Scientific Research, Universities</w:t>
      </w:r>
    </w:p>
    <w:p w:rsidR="00533624" w:rsidRDefault="00533624" w:rsidP="00533624">
      <w:pPr>
        <w:pStyle w:val="a3"/>
        <w:rPr>
          <w:kern w:val="0"/>
        </w:rPr>
      </w:pPr>
      <w:r>
        <w:rPr>
          <w:rFonts w:hint="eastAsia"/>
          <w:kern w:val="0"/>
        </w:rPr>
        <w:t xml:space="preserve">? </w:t>
      </w:r>
      <w:r>
        <w:rPr>
          <w:kern w:val="0"/>
        </w:rPr>
        <w:t>Petraccia, L., Mennuni, G., Fontana, M., Nocchi, S., Libri, F., Conte, S., Alhadeff, A., Romano, B., Messini, F., Grassi, M.</w:t>
      </w:r>
      <w:r w:rsidR="005853A9">
        <w:rPr>
          <w:kern w:val="0"/>
        </w:rPr>
        <w:t xml:space="preserve"> and </w:t>
      </w:r>
      <w:r>
        <w:rPr>
          <w:kern w:val="0"/>
        </w:rPr>
        <w:t>Fraioli, A. (2013), The possible uses</w:t>
      </w:r>
      <w:r w:rsidR="00427468">
        <w:rPr>
          <w:kern w:val="0"/>
        </w:rPr>
        <w:t xml:space="preserve"> of </w:t>
      </w:r>
      <w:r>
        <w:rPr>
          <w:kern w:val="0"/>
        </w:rPr>
        <w:lastRenderedPageBreak/>
        <w:t>balneotherapy in treating chronic venous insufficiency</w:t>
      </w:r>
      <w:r w:rsidR="00427468">
        <w:rPr>
          <w:kern w:val="0"/>
        </w:rPr>
        <w:t xml:space="preserve"> of </w:t>
      </w:r>
      <w:r>
        <w:rPr>
          <w:kern w:val="0"/>
        </w:rPr>
        <w:t xml:space="preserve">lower limbs. </w:t>
      </w:r>
      <w:r>
        <w:rPr>
          <w:i/>
          <w:iCs/>
          <w:kern w:val="0"/>
        </w:rPr>
        <w:t>Clinica Terapeutica</w:t>
      </w:r>
      <w:r>
        <w:rPr>
          <w:kern w:val="0"/>
        </w:rPr>
        <w:t xml:space="preserve">, </w:t>
      </w:r>
      <w:r>
        <w:rPr>
          <w:b/>
          <w:bCs/>
          <w:kern w:val="0"/>
        </w:rPr>
        <w:t>164</w:t>
      </w:r>
      <w:r>
        <w:rPr>
          <w:kern w:val="0"/>
        </w:rPr>
        <w:t xml:space="preserve"> (3), 233-238.</w:t>
      </w:r>
    </w:p>
    <w:p w:rsidR="00533624" w:rsidRPr="00C73C58" w:rsidRDefault="00533624" w:rsidP="00533624">
      <w:pPr>
        <w:pStyle w:val="a3"/>
        <w:rPr>
          <w:kern w:val="0"/>
        </w:rPr>
      </w:pPr>
      <w:r w:rsidRPr="00C73C58">
        <w:rPr>
          <w:kern w:val="0"/>
        </w:rPr>
        <w:t xml:space="preserve">Full Text: </w:t>
      </w:r>
      <w:r>
        <w:rPr>
          <w:rFonts w:hint="eastAsia"/>
          <w:kern w:val="0"/>
        </w:rPr>
        <w:t>2013\</w:t>
      </w:r>
      <w:r w:rsidRPr="00C73C58">
        <w:rPr>
          <w:iCs/>
          <w:kern w:val="0"/>
        </w:rPr>
        <w:t>Cli Ter</w:t>
      </w:r>
      <w:r w:rsidRPr="00C73C58">
        <w:rPr>
          <w:bCs/>
          <w:kern w:val="0"/>
        </w:rPr>
        <w:t>16</w:t>
      </w:r>
      <w:r>
        <w:rPr>
          <w:rFonts w:hint="eastAsia"/>
          <w:bCs/>
          <w:kern w:val="0"/>
        </w:rPr>
        <w:t>4</w:t>
      </w:r>
      <w:r w:rsidRPr="00C73C58">
        <w:rPr>
          <w:kern w:val="0"/>
        </w:rPr>
        <w:t xml:space="preserve">, </w:t>
      </w:r>
      <w:r>
        <w:rPr>
          <w:kern w:val="0"/>
        </w:rPr>
        <w:t>233</w:t>
      </w:r>
      <w:r w:rsidRPr="00C73C58">
        <w:rPr>
          <w:kern w:val="0"/>
        </w:rPr>
        <w:t>.</w:t>
      </w:r>
      <w:r>
        <w:rPr>
          <w:kern w:val="0"/>
        </w:rPr>
        <w:t>pdf</w:t>
      </w:r>
    </w:p>
    <w:p w:rsidR="00533624" w:rsidRDefault="00533624" w:rsidP="00533624">
      <w:pPr>
        <w:pStyle w:val="a3"/>
        <w:rPr>
          <w:kern w:val="0"/>
        </w:rPr>
      </w:pPr>
      <w:r>
        <w:rPr>
          <w:kern w:val="0"/>
        </w:rPr>
        <w:t>Abstract: The Chronic Venous Insufficiency (CVI)</w:t>
      </w:r>
      <w:r w:rsidR="00427468">
        <w:rPr>
          <w:kern w:val="0"/>
        </w:rPr>
        <w:t xml:space="preserve"> of </w:t>
      </w:r>
      <w:r>
        <w:rPr>
          <w:kern w:val="0"/>
        </w:rPr>
        <w:t>inferior limbs is a widespread disease, with an increasing incidence as a consequence</w:t>
      </w:r>
      <w:r w:rsidR="00427468">
        <w:rPr>
          <w:kern w:val="0"/>
        </w:rPr>
        <w:t xml:space="preserve"> of </w:t>
      </w:r>
      <w:r>
        <w:rPr>
          <w:kern w:val="0"/>
        </w:rPr>
        <w:t>longer life expectance, life-style, obesity, smoking, use</w:t>
      </w:r>
      <w:r w:rsidR="00427468">
        <w:rPr>
          <w:kern w:val="0"/>
        </w:rPr>
        <w:t xml:space="preserve"> of </w:t>
      </w:r>
      <w:r>
        <w:rPr>
          <w:kern w:val="0"/>
        </w:rPr>
        <w:t>drugs as oestrogens</w:t>
      </w:r>
      <w:r w:rsidR="005853A9">
        <w:rPr>
          <w:kern w:val="0"/>
        </w:rPr>
        <w:t xml:space="preserve"> and </w:t>
      </w:r>
      <w:r>
        <w:rPr>
          <w:kern w:val="0"/>
        </w:rPr>
        <w:t>progestins</w:t>
      </w:r>
      <w:r w:rsidR="005853A9">
        <w:rPr>
          <w:kern w:val="0"/>
        </w:rPr>
        <w:t xml:space="preserve"> and </w:t>
      </w:r>
      <w:r>
        <w:rPr>
          <w:kern w:val="0"/>
        </w:rPr>
        <w:t>working conditions. Medical therapy is still lacking for evidence</w:t>
      </w:r>
      <w:r w:rsidR="00427468">
        <w:rPr>
          <w:kern w:val="0"/>
        </w:rPr>
        <w:t xml:space="preserve"> of </w:t>
      </w:r>
      <w:r>
        <w:rPr>
          <w:kern w:val="0"/>
        </w:rPr>
        <w:t>efficacy,</w:t>
      </w:r>
      <w:r w:rsidR="005853A9">
        <w:rPr>
          <w:kern w:val="0"/>
        </w:rPr>
        <w:t xml:space="preserve"> and </w:t>
      </w:r>
      <w:r>
        <w:rPr>
          <w:kern w:val="0"/>
        </w:rPr>
        <w:t>compression therapy is useful only in preventing a worsening</w:t>
      </w:r>
      <w:r w:rsidR="00427468">
        <w:rPr>
          <w:kern w:val="0"/>
        </w:rPr>
        <w:t xml:space="preserve"> of </w:t>
      </w:r>
      <w:r>
        <w:rPr>
          <w:kern w:val="0"/>
        </w:rPr>
        <w:t>this condition. Surgical treatment is the only radical therapy effective for the advanced phases</w:t>
      </w:r>
      <w:r w:rsidR="00427468">
        <w:rPr>
          <w:kern w:val="0"/>
        </w:rPr>
        <w:t xml:space="preserve"> of </w:t>
      </w:r>
      <w:r>
        <w:rPr>
          <w:kern w:val="0"/>
        </w:rPr>
        <w:t>the disease. in this context spa balneotherapy can be considered as a possible chance to improve some subjective</w:t>
      </w:r>
      <w:r w:rsidR="005853A9">
        <w:rPr>
          <w:kern w:val="0"/>
        </w:rPr>
        <w:t xml:space="preserve"> and </w:t>
      </w:r>
      <w:r>
        <w:rPr>
          <w:kern w:val="0"/>
        </w:rPr>
        <w:t>objective symptoms</w:t>
      </w:r>
      <w:r w:rsidR="00427468">
        <w:rPr>
          <w:kern w:val="0"/>
        </w:rPr>
        <w:t xml:space="preserve"> of </w:t>
      </w:r>
      <w:r>
        <w:rPr>
          <w:kern w:val="0"/>
        </w:rPr>
        <w:t>CVI</w:t>
      </w:r>
      <w:r w:rsidR="00427468">
        <w:rPr>
          <w:kern w:val="0"/>
        </w:rPr>
        <w:t xml:space="preserve"> of </w:t>
      </w:r>
      <w:r>
        <w:rPr>
          <w:kern w:val="0"/>
        </w:rPr>
        <w:t>inferior limbs,</w:t>
      </w:r>
      <w:r w:rsidR="005853A9">
        <w:rPr>
          <w:kern w:val="0"/>
        </w:rPr>
        <w:t xml:space="preserve"> and </w:t>
      </w:r>
      <w:r>
        <w:rPr>
          <w:kern w:val="0"/>
        </w:rPr>
        <w:t>to prevent worsening</w:t>
      </w:r>
      <w:r w:rsidR="00427468">
        <w:rPr>
          <w:kern w:val="0"/>
        </w:rPr>
        <w:t xml:space="preserve"> of </w:t>
      </w:r>
      <w:r>
        <w:rPr>
          <w:kern w:val="0"/>
        </w:rPr>
        <w:t>this condition</w:t>
      </w:r>
      <w:r w:rsidR="00A37C1D">
        <w:rPr>
          <w:kern w:val="0"/>
        </w:rPr>
        <w:t>. The</w:t>
      </w:r>
      <w:r>
        <w:rPr>
          <w:kern w:val="0"/>
        </w:rPr>
        <w:t xml:space="preserve"> authors performed a review</w:t>
      </w:r>
      <w:r w:rsidR="00427468">
        <w:rPr>
          <w:kern w:val="0"/>
        </w:rPr>
        <w:t xml:space="preserve"> of </w:t>
      </w:r>
      <w:r>
        <w:rPr>
          <w:kern w:val="0"/>
        </w:rPr>
        <w:t>the relevant scientific literature concerning the treatment</w:t>
      </w:r>
      <w:r w:rsidR="00427468">
        <w:rPr>
          <w:kern w:val="0"/>
        </w:rPr>
        <w:t xml:space="preserve"> of </w:t>
      </w:r>
      <w:r>
        <w:rPr>
          <w:kern w:val="0"/>
        </w:rPr>
        <w:t>CVI</w:t>
      </w:r>
      <w:r w:rsidR="00427468">
        <w:rPr>
          <w:kern w:val="0"/>
        </w:rPr>
        <w:t xml:space="preserve"> of </w:t>
      </w:r>
      <w:r>
        <w:rPr>
          <w:kern w:val="0"/>
        </w:rPr>
        <w:t>inferior limbs with mineral water balneotherapy, in order to evaluate its effects on objective</w:t>
      </w:r>
      <w:r w:rsidR="005853A9">
        <w:rPr>
          <w:kern w:val="0"/>
        </w:rPr>
        <w:t xml:space="preserve"> and </w:t>
      </w:r>
      <w:r>
        <w:rPr>
          <w:kern w:val="0"/>
        </w:rPr>
        <w:t>subjective symptoms</w:t>
      </w:r>
      <w:r w:rsidR="005853A9">
        <w:rPr>
          <w:kern w:val="0"/>
        </w:rPr>
        <w:t xml:space="preserve"> and </w:t>
      </w:r>
      <w:r>
        <w:rPr>
          <w:kern w:val="0"/>
        </w:rPr>
        <w:t>its effectiveness to prevent further worsening. We searched the PubMed/Medline, Cochrane Library, Embase, Web</w:t>
      </w:r>
      <w:r w:rsidR="00427468">
        <w:rPr>
          <w:kern w:val="0"/>
        </w:rPr>
        <w:t xml:space="preserve"> of </w:t>
      </w:r>
      <w:r>
        <w:rPr>
          <w:kern w:val="0"/>
        </w:rPr>
        <w:t>Science databases for articles published between 1990</w:t>
      </w:r>
      <w:r w:rsidR="005853A9">
        <w:rPr>
          <w:kern w:val="0"/>
        </w:rPr>
        <w:t xml:space="preserve"> and </w:t>
      </w:r>
      <w:r>
        <w:rPr>
          <w:kern w:val="0"/>
        </w:rPr>
        <w:t>2011 on this topic. To this end, the authors selected few clinical-controlled</w:t>
      </w:r>
      <w:r w:rsidR="005853A9">
        <w:rPr>
          <w:kern w:val="0"/>
        </w:rPr>
        <w:t xml:space="preserve"> and </w:t>
      </w:r>
      <w:r>
        <w:rPr>
          <w:kern w:val="0"/>
        </w:rPr>
        <w:t>case-controlled studies; patients affected from CVI</w:t>
      </w:r>
      <w:r w:rsidR="00427468">
        <w:rPr>
          <w:kern w:val="0"/>
        </w:rPr>
        <w:t xml:space="preserve"> of </w:t>
      </w:r>
      <w:r>
        <w:rPr>
          <w:kern w:val="0"/>
        </w:rPr>
        <w:t>inferior limbs were treated with balneotherapy at health spas with sulphureous, sulphate, salsojodic or salsobromojodic mineral waters. Baths in mineral waters were often associated with idromassotherapy</w:t>
      </w:r>
      <w:r w:rsidR="005853A9">
        <w:rPr>
          <w:kern w:val="0"/>
        </w:rPr>
        <w:t xml:space="preserve"> and </w:t>
      </w:r>
      <w:r>
        <w:rPr>
          <w:kern w:val="0"/>
        </w:rPr>
        <w:t>vascular pathway. Effects</w:t>
      </w:r>
      <w:r w:rsidR="00427468">
        <w:rPr>
          <w:kern w:val="0"/>
        </w:rPr>
        <w:t xml:space="preserve"> of </w:t>
      </w:r>
      <w:r>
        <w:rPr>
          <w:kern w:val="0"/>
        </w:rPr>
        <w:t>spa balneotherapy are related to some aspecific properties, like hydrostatic pressure, osmotic pressure</w:t>
      </w:r>
      <w:r w:rsidR="005853A9">
        <w:rPr>
          <w:kern w:val="0"/>
        </w:rPr>
        <w:t xml:space="preserve"> and </w:t>
      </w:r>
      <w:r>
        <w:rPr>
          <w:kern w:val="0"/>
        </w:rPr>
        <w:t>water temperature, partly related with specific chemico-physical properties</w:t>
      </w:r>
      <w:r w:rsidR="00427468">
        <w:rPr>
          <w:kern w:val="0"/>
        </w:rPr>
        <w:t xml:space="preserve"> of </w:t>
      </w:r>
      <w:r>
        <w:rPr>
          <w:kern w:val="0"/>
        </w:rPr>
        <w:t>the adopted mineral water</w:t>
      </w:r>
      <w:r w:rsidR="00A37C1D">
        <w:rPr>
          <w:kern w:val="0"/>
        </w:rPr>
        <w:t>. The</w:t>
      </w:r>
      <w:r>
        <w:rPr>
          <w:kern w:val="0"/>
        </w:rPr>
        <w:t xml:space="preserve"> controlled clinical studies on spa therapy showed significant improvement</w:t>
      </w:r>
      <w:r w:rsidR="00427468">
        <w:rPr>
          <w:kern w:val="0"/>
        </w:rPr>
        <w:t xml:space="preserve"> of </w:t>
      </w:r>
      <w:r>
        <w:rPr>
          <w:kern w:val="0"/>
        </w:rPr>
        <w:t>subjective (such as itch, paresthesias, pain, heaviness)</w:t>
      </w:r>
      <w:r w:rsidR="005853A9">
        <w:rPr>
          <w:kern w:val="0"/>
        </w:rPr>
        <w:t xml:space="preserve"> and </w:t>
      </w:r>
      <w:r>
        <w:rPr>
          <w:kern w:val="0"/>
        </w:rPr>
        <w:t>objective symptoms (namely edema</w:t>
      </w:r>
      <w:r w:rsidR="005853A9">
        <w:rPr>
          <w:kern w:val="0"/>
        </w:rPr>
        <w:t xml:space="preserve"> and </w:t>
      </w:r>
      <w:r>
        <w:rPr>
          <w:kern w:val="0"/>
        </w:rPr>
        <w:t>skin discromias)</w:t>
      </w:r>
      <w:r w:rsidR="00A37C1D">
        <w:rPr>
          <w:kern w:val="0"/>
        </w:rPr>
        <w:t>. The</w:t>
      </w:r>
      <w:r>
        <w:rPr>
          <w:kern w:val="0"/>
        </w:rPr>
        <w:t>se studies suggest that spa balneotherapy may give a good chance</w:t>
      </w:r>
      <w:r w:rsidR="00427468">
        <w:rPr>
          <w:kern w:val="0"/>
        </w:rPr>
        <w:t xml:space="preserve"> of </w:t>
      </w:r>
      <w:r>
        <w:rPr>
          <w:kern w:val="0"/>
        </w:rPr>
        <w:t>secondary prevention</w:t>
      </w:r>
      <w:r w:rsidR="005853A9">
        <w:rPr>
          <w:kern w:val="0"/>
        </w:rPr>
        <w:t xml:space="preserve"> and </w:t>
      </w:r>
      <w:r>
        <w:rPr>
          <w:kern w:val="0"/>
        </w:rPr>
        <w:t>effective therapy</w:t>
      </w:r>
      <w:r w:rsidR="00427468">
        <w:rPr>
          <w:kern w:val="0"/>
        </w:rPr>
        <w:t xml:space="preserve"> of </w:t>
      </w:r>
      <w:r>
        <w:rPr>
          <w:kern w:val="0"/>
        </w:rPr>
        <w:t>CVI</w:t>
      </w:r>
      <w:r w:rsidR="00427468">
        <w:rPr>
          <w:kern w:val="0"/>
        </w:rPr>
        <w:t xml:space="preserve"> of </w:t>
      </w:r>
      <w:r>
        <w:rPr>
          <w:kern w:val="0"/>
        </w:rPr>
        <w:t>inferior limbs, but also that it needs</w:t>
      </w:r>
      <w:r w:rsidR="00427468">
        <w:rPr>
          <w:kern w:val="0"/>
        </w:rPr>
        <w:t xml:space="preserve"> of </w:t>
      </w:r>
      <w:r>
        <w:rPr>
          <w:kern w:val="0"/>
        </w:rPr>
        <w:t>other clinical controlled trials.</w:t>
      </w:r>
    </w:p>
    <w:p w:rsidR="00533624" w:rsidRDefault="00533624" w:rsidP="00533624">
      <w:pPr>
        <w:pStyle w:val="a3"/>
        <w:rPr>
          <w:kern w:val="0"/>
        </w:rPr>
      </w:pPr>
      <w:r>
        <w:rPr>
          <w:kern w:val="0"/>
        </w:rPr>
        <w:t>Keywords: Authors, Balneotherapy, Chronic, Chronic Venous Insufficiency, Clinical, Clinical Studies, Compression, Consensus Statement, Context, Databases, Disease, Disorders, Drugs, Edinburgh Vein, Effectiveness, Effects, Efficacy, Epidemiology, Evidence, Health, Improvement, Incidence, Life, Life Style, Literature, Management, Medical, Mineral Waters, Needs, Obesity, Pain, Patients, Population, Pressure, Prevalence, Prevent, Prevention, Properties, Review, Risk-Factors, Science, Scientific Literature, Skin, Smoking, Spa Therapy, Surgical, Symptoms, Temperature, Therapy, Topic, Treatment, Varicose-Veins, Water, Water Temperature, Waters, Web</w:t>
      </w:r>
      <w:r w:rsidR="00427468">
        <w:rPr>
          <w:kern w:val="0"/>
        </w:rPr>
        <w:t xml:space="preserve"> of </w:t>
      </w:r>
      <w:r>
        <w:rPr>
          <w:kern w:val="0"/>
        </w:rPr>
        <w:t>Science, Web</w:t>
      </w:r>
      <w:r w:rsidR="00427468">
        <w:rPr>
          <w:kern w:val="0"/>
        </w:rPr>
        <w:t xml:space="preserve"> of </w:t>
      </w:r>
      <w:r>
        <w:rPr>
          <w:kern w:val="0"/>
        </w:rPr>
        <w:t>Science Databases, Working Conditions</w:t>
      </w:r>
    </w:p>
    <w:p w:rsidR="003474F2" w:rsidRPr="001A3D2B" w:rsidRDefault="003474F2" w:rsidP="003474F2">
      <w:pPr>
        <w:pStyle w:val="1"/>
      </w:pPr>
      <w:r w:rsidRPr="001A3D2B">
        <w:br w:type="page"/>
      </w:r>
      <w:bookmarkStart w:id="255" w:name="_Toc420815010"/>
      <w:r w:rsidRPr="001A3D2B">
        <w:lastRenderedPageBreak/>
        <w:t>Title: Clinical Anatomy</w:t>
      </w:r>
      <w:bookmarkEnd w:id="255"/>
    </w:p>
    <w:p w:rsidR="003474F2" w:rsidRPr="001A3D2B" w:rsidRDefault="003474F2" w:rsidP="003474F2">
      <w:pPr>
        <w:pStyle w:val="12"/>
      </w:pPr>
      <w:r w:rsidRPr="001A3D2B">
        <w:t xml:space="preserve">Full Journal Title: </w:t>
      </w:r>
      <w:hyperlink r:id="rId313" w:history="1">
        <w:r w:rsidRPr="001A3D2B">
          <w:rPr>
            <w:rStyle w:val="a5"/>
          </w:rPr>
          <w:t>Clinical Anatomy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Lukić, I.K., Lukić, A., Glunčić, V., Katavić, V., Vučenik, V.</w:t>
      </w:r>
      <w:r w:rsidR="005853A9">
        <w:t xml:space="preserve"> and </w:t>
      </w:r>
      <w:r w:rsidRPr="001A3D2B">
        <w:t>Marušić, A. (2004), Citation</w:t>
      </w:r>
      <w:r w:rsidR="005853A9">
        <w:t xml:space="preserve"> and </w:t>
      </w:r>
      <w:r w:rsidRPr="001A3D2B">
        <w:t>quotation accuracy in three anatomy journals</w:t>
      </w:r>
      <w:r w:rsidRPr="001A3D2B">
        <w:rPr>
          <w:szCs w:val="27"/>
        </w:rPr>
        <w:t>.</w:t>
      </w:r>
      <w:r w:rsidRPr="001A3D2B">
        <w:t xml:space="preserve"> </w:t>
      </w:r>
      <w:r w:rsidRPr="001A3D2B">
        <w:rPr>
          <w:i/>
          <w:iCs/>
        </w:rPr>
        <w:t>Clinical Anatomy</w:t>
      </w:r>
      <w:r w:rsidRPr="001A3D2B">
        <w:t xml:space="preserve">, </w:t>
      </w:r>
      <w:r w:rsidRPr="001A3D2B">
        <w:rPr>
          <w:b/>
          <w:bCs/>
        </w:rPr>
        <w:t>17</w:t>
      </w:r>
      <w:r w:rsidRPr="001A3D2B">
        <w:t xml:space="preserve"> (7), 534-539.</w:t>
      </w:r>
    </w:p>
    <w:p w:rsidR="003474F2" w:rsidRPr="001A3D2B" w:rsidRDefault="003474F2" w:rsidP="003474F2">
      <w:pPr>
        <w:pStyle w:val="a3"/>
      </w:pPr>
      <w:r w:rsidRPr="001A3D2B">
        <w:t xml:space="preserve">Full Text: </w:t>
      </w:r>
      <w:hyperlink r:id="rId314" w:history="1">
        <w:r w:rsidRPr="001A3D2B">
          <w:rPr>
            <w:rStyle w:val="a5"/>
          </w:rPr>
          <w:t>2004\Cli Ana17, 534.pdf</w:t>
        </w:r>
      </w:hyperlink>
    </w:p>
    <w:p w:rsidR="003474F2" w:rsidRPr="001A3D2B" w:rsidRDefault="003474F2" w:rsidP="003474F2">
      <w:pPr>
        <w:pStyle w:val="a3"/>
      </w:pPr>
      <w:r w:rsidRPr="001A3D2B">
        <w:t>Abstract: Citation</w:t>
      </w:r>
      <w:r w:rsidR="005853A9">
        <w:t xml:space="preserve"> and </w:t>
      </w:r>
      <w:r w:rsidRPr="001A3D2B">
        <w:t>quotation errors are common in medical journals. We assessed</w:t>
      </w:r>
      <w:r w:rsidR="003A1917">
        <w:t xml:space="preserve"> the </w:t>
      </w:r>
      <w:r w:rsidRPr="001A3D2B">
        <w:t>prevalence</w:t>
      </w:r>
      <w:r w:rsidR="00427468">
        <w:t xml:space="preserve"> of </w:t>
      </w:r>
      <w:r w:rsidRPr="001A3D2B">
        <w:t>those errors in gross anatomy journals, where articles often cite old anatomical studies</w:t>
      </w:r>
      <w:r w:rsidR="00A37C1D">
        <w:t>. The</w:t>
      </w:r>
      <w:r w:rsidR="003A1917">
        <w:t xml:space="preserve"> </w:t>
      </w:r>
      <w:r w:rsidRPr="001A3D2B">
        <w:t>study included 199 randomly selected references from articles published in</w:t>
      </w:r>
      <w:r w:rsidR="003A1917">
        <w:t xml:space="preserve"> the </w:t>
      </w:r>
      <w:r w:rsidRPr="001A3D2B">
        <w:t>first 2001 issue</w:t>
      </w:r>
      <w:r w:rsidR="00427468">
        <w:t xml:space="preserve"> of </w:t>
      </w:r>
      <w:r w:rsidRPr="001A3D2B">
        <w:t>three major gross anatomy journals: Annals</w:t>
      </w:r>
      <w:r w:rsidR="00427468">
        <w:t xml:space="preserve"> of </w:t>
      </w:r>
      <w:r w:rsidRPr="001A3D2B">
        <w:t>Anatomy, Clinical Anatomy,</w:t>
      </w:r>
      <w:r w:rsidR="005853A9">
        <w:t xml:space="preserve"> and </w:t>
      </w:r>
      <w:r w:rsidRPr="001A3D2B">
        <w:t>Surgical</w:t>
      </w:r>
      <w:r w:rsidR="005853A9">
        <w:t xml:space="preserve"> and </w:t>
      </w:r>
      <w:r w:rsidRPr="001A3D2B">
        <w:t>Radiologic Anatomy</w:t>
      </w:r>
      <w:r w:rsidR="00A37C1D">
        <w:t>. The</w:t>
      </w:r>
      <w:r w:rsidR="003A1917">
        <w:t xml:space="preserve"> </w:t>
      </w:r>
      <w:r w:rsidRPr="001A3D2B">
        <w:t>selected references were checked for accuracy against</w:t>
      </w:r>
      <w:r w:rsidR="003A1917">
        <w:t xml:space="preserve"> the </w:t>
      </w:r>
      <w:r w:rsidRPr="001A3D2B">
        <w:t>original articles. Citation errors were classified as major, intermediate,</w:t>
      </w:r>
      <w:r w:rsidR="005853A9">
        <w:t xml:space="preserve"> and </w:t>
      </w:r>
      <w:r w:rsidRPr="001A3D2B">
        <w:t>minor. Quotation errors were classified as major</w:t>
      </w:r>
      <w:r w:rsidR="005853A9">
        <w:t xml:space="preserve"> and </w:t>
      </w:r>
      <w:r w:rsidRPr="001A3D2B">
        <w:t>minor. Citations errors were found in 27% (54/199)</w:t>
      </w:r>
      <w:r w:rsidR="00427468">
        <w:t xml:space="preserve"> of </w:t>
      </w:r>
      <w:r w:rsidR="003A1917">
        <w:t xml:space="preserve">the </w:t>
      </w:r>
      <w:r w:rsidRPr="001A3D2B">
        <w:t>references</w:t>
      </w:r>
      <w:r w:rsidR="005853A9">
        <w:t xml:space="preserve"> and </w:t>
      </w:r>
      <w:r w:rsidRPr="001A3D2B">
        <w:t>38%</w:t>
      </w:r>
      <w:r w:rsidR="00427468">
        <w:t xml:space="preserve"> of </w:t>
      </w:r>
      <w:r w:rsidRPr="001A3D2B">
        <w:t>them were major errors. Errors occurred in 19% (52/272)</w:t>
      </w:r>
      <w:r w:rsidR="00427468">
        <w:t xml:space="preserve"> of </w:t>
      </w:r>
      <w:r w:rsidRPr="001A3D2B">
        <w:t>quotations</w:t>
      </w:r>
      <w:r w:rsidR="005853A9">
        <w:t xml:space="preserve"> and </w:t>
      </w:r>
      <w:r w:rsidRPr="001A3D2B">
        <w:t>nearly all (94%) were major. Furthermore, 24%</w:t>
      </w:r>
      <w:r w:rsidR="00427468">
        <w:t xml:space="preserve"> of </w:t>
      </w:r>
      <w:r w:rsidR="003A1917">
        <w:t xml:space="preserve">the </w:t>
      </w:r>
      <w:r w:rsidRPr="001A3D2B">
        <w:t>quotations were indirect references to a secondary, instead</w:t>
      </w:r>
      <w:r w:rsidR="00427468">
        <w:t xml:space="preserve"> of </w:t>
      </w:r>
      <w:r w:rsidRPr="001A3D2B">
        <w:t>original, source</w:t>
      </w:r>
      <w:r w:rsidR="00A37C1D">
        <w:t>. The</w:t>
      </w:r>
      <w:r w:rsidRPr="001A3D2B">
        <w:t>re was no statistically significant difference in</w:t>
      </w:r>
      <w:r w:rsidR="003A1917">
        <w:t xml:space="preserve"> the </w:t>
      </w:r>
      <w:r w:rsidRPr="001A3D2B">
        <w:t>rates</w:t>
      </w:r>
      <w:r w:rsidR="00427468">
        <w:t xml:space="preserve"> of </w:t>
      </w:r>
      <w:r w:rsidRPr="001A3D2B">
        <w:t>citation or quotation errors between</w:t>
      </w:r>
      <w:r w:rsidR="003A1917">
        <w:t xml:space="preserve"> the </w:t>
      </w:r>
      <w:r w:rsidRPr="001A3D2B">
        <w:t>references published before or after</w:t>
      </w:r>
      <w:r w:rsidR="003A1917">
        <w:t xml:space="preserve"> the </w:t>
      </w:r>
      <w:r w:rsidRPr="001A3D2B">
        <w:t>introduction</w:t>
      </w:r>
      <w:r w:rsidR="00427468">
        <w:t xml:space="preserve"> of </w:t>
      </w:r>
      <w:r w:rsidR="00D5664A">
        <w:t>MEDLINE</w:t>
      </w:r>
      <w:r w:rsidRPr="001A3D2B">
        <w:t xml:space="preserve"> (chi(2) test, P &gt; 0.05) in 1963,</w:t>
      </w:r>
      <w:r w:rsidR="005853A9">
        <w:t xml:space="preserve"> and </w:t>
      </w:r>
      <w:r w:rsidR="003A1917">
        <w:t xml:space="preserve">the </w:t>
      </w:r>
      <w:r w:rsidRPr="001A3D2B">
        <w:t>prevalence</w:t>
      </w:r>
      <w:r w:rsidR="00427468">
        <w:t xml:space="preserve"> of </w:t>
      </w:r>
      <w:r w:rsidRPr="001A3D2B">
        <w:t>these errors in gross anatomy journals was similar to that found in other medical fields. A high proportion</w:t>
      </w:r>
      <w:r w:rsidR="00427468">
        <w:t xml:space="preserve"> of </w:t>
      </w:r>
      <w:r w:rsidRPr="001A3D2B">
        <w:t>major citation errors, a very high proportion</w:t>
      </w:r>
      <w:r w:rsidR="00427468">
        <w:t xml:space="preserve"> of </w:t>
      </w:r>
      <w:r w:rsidRPr="001A3D2B">
        <w:t>major quotation errors,</w:t>
      </w:r>
      <w:r w:rsidR="005853A9">
        <w:t xml:space="preserve"> and </w:t>
      </w:r>
      <w:r w:rsidR="003A1917">
        <w:t xml:space="preserve">the </w:t>
      </w:r>
      <w:r w:rsidRPr="001A3D2B">
        <w:t>substantial number</w:t>
      </w:r>
      <w:r w:rsidR="00427468">
        <w:t xml:space="preserve"> of </w:t>
      </w:r>
      <w:r w:rsidRPr="001A3D2B">
        <w:t>indirect quotations call for serious editorial action in anatomy journals. (C) 2004 Wiley-Liss, Inc.</w:t>
      </w:r>
    </w:p>
    <w:p w:rsidR="003474F2" w:rsidRPr="001A3D2B" w:rsidRDefault="003474F2" w:rsidP="003474F2">
      <w:pPr>
        <w:pStyle w:val="a3"/>
      </w:pPr>
      <w:r w:rsidRPr="001A3D2B">
        <w:t xml:space="preserve">Keywords: Accuracy, Anatomy, Anesthesia, Bibliography, Citation, Citation Errors, Citations, Dissection, Documentation, Errors, First, Journals, Literature, Medical, Medical Journals, </w:t>
      </w:r>
      <w:r w:rsidR="00D5664A">
        <w:t>MEDLINE</w:t>
      </w:r>
      <w:r w:rsidRPr="001A3D2B">
        <w:t xml:space="preserve">, Minor, P, Paper, Periodicals, Prevalence, Publishing, </w:t>
      </w:r>
      <w:r w:rsidRPr="001A3D2B">
        <w:lastRenderedPageBreak/>
        <w:t>Quotation, Quotation Accuracy, Quotation Errors, Rates, References, Source</w:t>
      </w:r>
    </w:p>
    <w:p w:rsidR="00BC65EF" w:rsidRDefault="00BC65EF" w:rsidP="00BC65EF">
      <w:pPr>
        <w:pStyle w:val="a3"/>
        <w:rPr>
          <w:kern w:val="0"/>
        </w:rPr>
      </w:pPr>
      <w:r>
        <w:rPr>
          <w:rFonts w:hint="eastAsia"/>
          <w:kern w:val="0"/>
        </w:rPr>
        <w:t xml:space="preserve">? </w:t>
      </w:r>
      <w:r>
        <w:rPr>
          <w:kern w:val="0"/>
        </w:rPr>
        <w:t>Turp, J.C., Arma, T.</w:t>
      </w:r>
      <w:r w:rsidR="005853A9">
        <w:rPr>
          <w:kern w:val="0"/>
        </w:rPr>
        <w:t xml:space="preserve"> and </w:t>
      </w:r>
      <w:r>
        <w:rPr>
          <w:kern w:val="0"/>
        </w:rPr>
        <w:t>Minagi, S. (2005), Is</w:t>
      </w:r>
      <w:r w:rsidR="003A1917">
        <w:rPr>
          <w:kern w:val="0"/>
        </w:rPr>
        <w:t xml:space="preserve"> the </w:t>
      </w:r>
      <w:r>
        <w:rPr>
          <w:kern w:val="0"/>
        </w:rPr>
        <w:t>posterior belly</w:t>
      </w:r>
      <w:r w:rsidR="00427468">
        <w:rPr>
          <w:kern w:val="0"/>
        </w:rPr>
        <w:t xml:space="preserve"> of </w:t>
      </w:r>
      <w:r w:rsidR="003A1917">
        <w:rPr>
          <w:kern w:val="0"/>
        </w:rPr>
        <w:t xml:space="preserve">the </w:t>
      </w:r>
      <w:r>
        <w:rPr>
          <w:kern w:val="0"/>
        </w:rPr>
        <w:t>digastric muscle palpable? A qualitative systematic review</w:t>
      </w:r>
      <w:r w:rsidR="00427468">
        <w:rPr>
          <w:kern w:val="0"/>
        </w:rPr>
        <w:t xml:space="preserve"> of </w:t>
      </w:r>
      <w:r w:rsidR="003A1917">
        <w:rPr>
          <w:kern w:val="0"/>
        </w:rPr>
        <w:t xml:space="preserve">the </w:t>
      </w:r>
      <w:r>
        <w:rPr>
          <w:kern w:val="0"/>
        </w:rPr>
        <w:t xml:space="preserve">literature. </w:t>
      </w:r>
      <w:r>
        <w:rPr>
          <w:i/>
          <w:iCs/>
          <w:kern w:val="0"/>
        </w:rPr>
        <w:t>Clinical Anatomy</w:t>
      </w:r>
      <w:r>
        <w:rPr>
          <w:kern w:val="0"/>
        </w:rPr>
        <w:t xml:space="preserve">, </w:t>
      </w:r>
      <w:r>
        <w:rPr>
          <w:b/>
          <w:bCs/>
          <w:kern w:val="0"/>
        </w:rPr>
        <w:t>18</w:t>
      </w:r>
      <w:r>
        <w:rPr>
          <w:kern w:val="0"/>
        </w:rPr>
        <w:t xml:space="preserve"> (5), 318-322.</w:t>
      </w:r>
    </w:p>
    <w:p w:rsidR="00BC65EF" w:rsidRPr="001A3D2B" w:rsidRDefault="00BC65EF" w:rsidP="00BC65EF">
      <w:pPr>
        <w:pStyle w:val="a3"/>
      </w:pPr>
      <w:r w:rsidRPr="001A3D2B">
        <w:t xml:space="preserve">Full Text: </w:t>
      </w:r>
      <w:r>
        <w:t>20</w:t>
      </w:r>
      <w:r>
        <w:rPr>
          <w:rFonts w:hint="eastAsia"/>
        </w:rPr>
        <w:t>05</w:t>
      </w:r>
      <w:r>
        <w:t>\Cli Ana</w:t>
      </w:r>
      <w:r>
        <w:rPr>
          <w:rFonts w:hint="eastAsia"/>
        </w:rPr>
        <w:t>18</w:t>
      </w:r>
      <w:r>
        <w:t xml:space="preserve">, </w:t>
      </w:r>
      <w:r>
        <w:rPr>
          <w:rFonts w:hint="eastAsia"/>
        </w:rPr>
        <w:t>318</w:t>
      </w:r>
      <w:r w:rsidRPr="00405F15">
        <w:t>.pdf</w:t>
      </w:r>
    </w:p>
    <w:p w:rsidR="00BC65EF" w:rsidRDefault="00BC65EF" w:rsidP="00BC65EF">
      <w:pPr>
        <w:pStyle w:val="a3"/>
        <w:rPr>
          <w:kern w:val="0"/>
        </w:rPr>
      </w:pPr>
      <w:r>
        <w:rPr>
          <w:kern w:val="0"/>
        </w:rPr>
        <w:t>Abstract: Palpation</w:t>
      </w:r>
      <w:r w:rsidR="00427468">
        <w:rPr>
          <w:kern w:val="0"/>
        </w:rPr>
        <w:t xml:space="preserve"> of </w:t>
      </w:r>
      <w:r w:rsidR="003A1917">
        <w:rPr>
          <w:kern w:val="0"/>
        </w:rPr>
        <w:t xml:space="preserve">the </w:t>
      </w:r>
      <w:r>
        <w:rPr>
          <w:kern w:val="0"/>
        </w:rPr>
        <w:t>posterior belly</w:t>
      </w:r>
      <w:r w:rsidR="00427468">
        <w:rPr>
          <w:kern w:val="0"/>
        </w:rPr>
        <w:t xml:space="preserve"> of </w:t>
      </w:r>
      <w:r w:rsidR="003A1917">
        <w:rPr>
          <w:kern w:val="0"/>
        </w:rPr>
        <w:t xml:space="preserve">the </w:t>
      </w:r>
      <w:r>
        <w:rPr>
          <w:kern w:val="0"/>
        </w:rPr>
        <w:t>digastric muscle in</w:t>
      </w:r>
      <w:r w:rsidR="003A1917">
        <w:rPr>
          <w:kern w:val="0"/>
        </w:rPr>
        <w:t xml:space="preserve"> the </w:t>
      </w:r>
      <w:r>
        <w:rPr>
          <w:kern w:val="0"/>
        </w:rPr>
        <w:t>postmandibular region is included in many study protocols</w:t>
      </w:r>
      <w:r w:rsidR="005853A9">
        <w:rPr>
          <w:kern w:val="0"/>
        </w:rPr>
        <w:t xml:space="preserve"> and </w:t>
      </w:r>
      <w:r>
        <w:rPr>
          <w:kern w:val="0"/>
        </w:rPr>
        <w:t>examination schemes</w:t>
      </w:r>
      <w:r w:rsidR="00427468">
        <w:rPr>
          <w:kern w:val="0"/>
        </w:rPr>
        <w:t xml:space="preserve"> of </w:t>
      </w:r>
      <w:r w:rsidR="003A1917">
        <w:rPr>
          <w:kern w:val="0"/>
        </w:rPr>
        <w:t xml:space="preserve">the </w:t>
      </w:r>
      <w:r>
        <w:rPr>
          <w:kern w:val="0"/>
        </w:rPr>
        <w:t>masticatory system</w:t>
      </w:r>
      <w:r w:rsidR="00A37C1D">
        <w:rPr>
          <w:kern w:val="0"/>
        </w:rPr>
        <w:t>. The</w:t>
      </w:r>
      <w:r w:rsidR="003A1917">
        <w:rPr>
          <w:kern w:val="0"/>
        </w:rPr>
        <w:t xml:space="preserve"> </w:t>
      </w:r>
      <w:r>
        <w:rPr>
          <w:kern w:val="0"/>
        </w:rPr>
        <w:t>aim</w:t>
      </w:r>
      <w:r w:rsidR="00427468">
        <w:rPr>
          <w:kern w:val="0"/>
        </w:rPr>
        <w:t xml:space="preserve"> of </w:t>
      </w:r>
      <w:r w:rsidR="003A1917">
        <w:rPr>
          <w:kern w:val="0"/>
        </w:rPr>
        <w:t xml:space="preserve">the </w:t>
      </w:r>
      <w:r>
        <w:rPr>
          <w:kern w:val="0"/>
        </w:rPr>
        <w:t>present investigation was to systematically search</w:t>
      </w:r>
      <w:r w:rsidR="003A1917">
        <w:rPr>
          <w:kern w:val="0"/>
        </w:rPr>
        <w:t xml:space="preserve"> the </w:t>
      </w:r>
      <w:r>
        <w:rPr>
          <w:kern w:val="0"/>
        </w:rPr>
        <w:t>dental/medical literature to find evidence for</w:t>
      </w:r>
      <w:r w:rsidR="003A1917">
        <w:rPr>
          <w:kern w:val="0"/>
        </w:rPr>
        <w:t xml:space="preserve"> the </w:t>
      </w:r>
      <w:r>
        <w:rPr>
          <w:kern w:val="0"/>
        </w:rPr>
        <w:t>palpability</w:t>
      </w:r>
      <w:r w:rsidR="00427468">
        <w:rPr>
          <w:kern w:val="0"/>
        </w:rPr>
        <w:t xml:space="preserve"> of </w:t>
      </w:r>
      <w:r>
        <w:rPr>
          <w:kern w:val="0"/>
        </w:rPr>
        <w:t xml:space="preserve">this muscle. In August 2004, a systematic search was carried out using different electronic databases (PUBMED, Cochrane Library, </w:t>
      </w:r>
      <w:r w:rsidR="00D5664A">
        <w:rPr>
          <w:kern w:val="0"/>
        </w:rPr>
        <w:t>Web</w:t>
      </w:r>
      <w:r w:rsidR="00427468">
        <w:rPr>
          <w:kern w:val="0"/>
        </w:rPr>
        <w:t xml:space="preserve"> of </w:t>
      </w:r>
      <w:r w:rsidR="00D5664A">
        <w:rPr>
          <w:kern w:val="0"/>
        </w:rPr>
        <w:t>Science</w:t>
      </w:r>
      <w:r>
        <w:rPr>
          <w:kern w:val="0"/>
        </w:rPr>
        <w:t>, Japana Centra Revuo Medicina, MedPilot, Latin American</w:t>
      </w:r>
      <w:r w:rsidR="005853A9">
        <w:rPr>
          <w:kern w:val="0"/>
        </w:rPr>
        <w:t xml:space="preserve"> and </w:t>
      </w:r>
      <w:r>
        <w:rPr>
          <w:kern w:val="0"/>
        </w:rPr>
        <w:t>Caribbean Health Sciences,</w:t>
      </w:r>
      <w:r w:rsidR="005853A9">
        <w:rPr>
          <w:kern w:val="0"/>
        </w:rPr>
        <w:t xml:space="preserve"> and </w:t>
      </w:r>
      <w:r>
        <w:rPr>
          <w:kern w:val="0"/>
        </w:rPr>
        <w:t>three on-line databases</w:t>
      </w:r>
      <w:r w:rsidR="00427468">
        <w:rPr>
          <w:kern w:val="0"/>
        </w:rPr>
        <w:t xml:space="preserve"> of </w:t>
      </w:r>
      <w:r>
        <w:rPr>
          <w:kern w:val="0"/>
        </w:rPr>
        <w:t xml:space="preserve">dental journals not listed currently in </w:t>
      </w:r>
      <w:r w:rsidR="00D5664A">
        <w:rPr>
          <w:kern w:val="0"/>
        </w:rPr>
        <w:t>MEDLINE</w:t>
      </w:r>
      <w:r>
        <w:rPr>
          <w:kern w:val="0"/>
        </w:rPr>
        <w:t>), supplemented by manual search in</w:t>
      </w:r>
      <w:r w:rsidR="003A1917">
        <w:rPr>
          <w:kern w:val="0"/>
        </w:rPr>
        <w:t xml:space="preserve"> the </w:t>
      </w:r>
      <w:r>
        <w:rPr>
          <w:kern w:val="0"/>
        </w:rPr>
        <w:t>Austrian journal Stoniatologie. Additional manual searches were carried out in</w:t>
      </w:r>
      <w:r w:rsidR="003A1917">
        <w:rPr>
          <w:kern w:val="0"/>
        </w:rPr>
        <w:t xml:space="preserve"> the </w:t>
      </w:r>
      <w:r>
        <w:rPr>
          <w:kern w:val="0"/>
        </w:rPr>
        <w:t>Journal</w:t>
      </w:r>
      <w:r w:rsidR="00427468">
        <w:rPr>
          <w:kern w:val="0"/>
        </w:rPr>
        <w:t xml:space="preserve"> of </w:t>
      </w:r>
      <w:r>
        <w:rPr>
          <w:kern w:val="0"/>
        </w:rPr>
        <w:t>Orofacial Pain</w:t>
      </w:r>
      <w:r w:rsidR="005853A9">
        <w:rPr>
          <w:kern w:val="0"/>
        </w:rPr>
        <w:t xml:space="preserve"> and </w:t>
      </w:r>
      <w:r>
        <w:rPr>
          <w:kern w:val="0"/>
        </w:rPr>
        <w:t>Journal</w:t>
      </w:r>
      <w:r w:rsidR="00427468">
        <w:rPr>
          <w:kern w:val="0"/>
        </w:rPr>
        <w:t xml:space="preserve"> of </w:t>
      </w:r>
      <w:r>
        <w:rPr>
          <w:kern w:val="0"/>
        </w:rPr>
        <w:t>Dental Research to identify pertinent abstracts</w:t>
      </w:r>
      <w:r w:rsidR="00427468">
        <w:rPr>
          <w:kern w:val="0"/>
        </w:rPr>
        <w:t xml:space="preserve"> of </w:t>
      </w:r>
      <w:r>
        <w:rPr>
          <w:kern w:val="0"/>
        </w:rPr>
        <w:t>scientific congresses. One relevant hit was found in</w:t>
      </w:r>
      <w:r w:rsidR="003A1917">
        <w:rPr>
          <w:kern w:val="0"/>
        </w:rPr>
        <w:t xml:space="preserve"> the </w:t>
      </w:r>
      <w:r>
        <w:rPr>
          <w:kern w:val="0"/>
        </w:rPr>
        <w:t>Japanese database</w:t>
      </w:r>
      <w:r w:rsidR="00A37C1D">
        <w:rPr>
          <w:kern w:val="0"/>
        </w:rPr>
        <w:t>. The</w:t>
      </w:r>
      <w:r w:rsidR="003A1917">
        <w:rPr>
          <w:kern w:val="0"/>
        </w:rPr>
        <w:t xml:space="preserve"> </w:t>
      </w:r>
      <w:r>
        <w:rPr>
          <w:kern w:val="0"/>
        </w:rPr>
        <w:t>manual search showed one pertinent congress abstract. In both publications,</w:t>
      </w:r>
      <w:r w:rsidR="003A1917">
        <w:rPr>
          <w:kern w:val="0"/>
        </w:rPr>
        <w:t xml:space="preserve"> the </w:t>
      </w:r>
      <w:r>
        <w:rPr>
          <w:kern w:val="0"/>
        </w:rPr>
        <w:t>authors concluded that due to anatomical reasons</w:t>
      </w:r>
      <w:r w:rsidR="003A1917">
        <w:rPr>
          <w:kern w:val="0"/>
        </w:rPr>
        <w:t xml:space="preserve"> the </w:t>
      </w:r>
      <w:r>
        <w:rPr>
          <w:kern w:val="0"/>
        </w:rPr>
        <w:t>posterior belly</w:t>
      </w:r>
      <w:r w:rsidR="00427468">
        <w:rPr>
          <w:kern w:val="0"/>
        </w:rPr>
        <w:t xml:space="preserve"> of </w:t>
      </w:r>
      <w:r w:rsidR="003A1917">
        <w:rPr>
          <w:kern w:val="0"/>
        </w:rPr>
        <w:t xml:space="preserve">the </w:t>
      </w:r>
      <w:r>
        <w:rPr>
          <w:kern w:val="0"/>
        </w:rPr>
        <w:t>digastric muscle was not palpable. Hence, evidence is lacking that</w:t>
      </w:r>
      <w:r w:rsidR="003A1917">
        <w:rPr>
          <w:kern w:val="0"/>
        </w:rPr>
        <w:t xml:space="preserve"> the </w:t>
      </w:r>
      <w:r>
        <w:rPr>
          <w:kern w:val="0"/>
        </w:rPr>
        <w:t>posterior digastric muscle is accessible to palpation. Because</w:t>
      </w:r>
      <w:r w:rsidR="003A1917">
        <w:rPr>
          <w:kern w:val="0"/>
        </w:rPr>
        <w:t xml:space="preserve"> the </w:t>
      </w:r>
      <w:r>
        <w:rPr>
          <w:kern w:val="0"/>
        </w:rPr>
        <w:t>postmandibular region is usually tender upon palpation, a high incidence</w:t>
      </w:r>
      <w:r w:rsidR="00427468">
        <w:rPr>
          <w:kern w:val="0"/>
        </w:rPr>
        <w:t xml:space="preserve"> of </w:t>
      </w:r>
      <w:r>
        <w:rPr>
          <w:kern w:val="0"/>
        </w:rPr>
        <w:t>positive findings can be expected even among healthy subjects. This may lead to wrong clinical judgments, possibly provoking unnecessary diagnostic</w:t>
      </w:r>
      <w:r w:rsidR="005853A9">
        <w:rPr>
          <w:kern w:val="0"/>
        </w:rPr>
        <w:t xml:space="preserve"> and </w:t>
      </w:r>
      <w:r>
        <w:rPr>
          <w:kern w:val="0"/>
        </w:rPr>
        <w:t>therapeutic measures. (c) 2005 Wiley-Liss, Inc.</w:t>
      </w:r>
    </w:p>
    <w:p w:rsidR="00BC65EF" w:rsidRDefault="00BC65EF" w:rsidP="00BC65EF">
      <w:pPr>
        <w:pStyle w:val="a3"/>
        <w:rPr>
          <w:kern w:val="0"/>
        </w:rPr>
      </w:pPr>
      <w:r>
        <w:rPr>
          <w:kern w:val="0"/>
        </w:rPr>
        <w:t xml:space="preserve">Keywords: Authors, Clinical Examination, Cochrane, Databases, Diagnosis, Health, Japanese, Journal, Journals, Latin American, Lead, Literature, Mandibular Dysfunction, Palpation, Palpation, Prevalence, Publications, PUBMED, Research, Review, Science, Systematic, Systematic Review, Temporomandibular Disorders, Temporomandibular Joint Disorders, Validity, </w:t>
      </w:r>
      <w:r w:rsidR="00D5664A">
        <w:rPr>
          <w:kern w:val="0"/>
        </w:rPr>
        <w:t>Web</w:t>
      </w:r>
      <w:r w:rsidR="00427468">
        <w:rPr>
          <w:kern w:val="0"/>
        </w:rPr>
        <w:t xml:space="preserve"> of </w:t>
      </w:r>
      <w:r w:rsidR="00D5664A">
        <w:rPr>
          <w:kern w:val="0"/>
        </w:rPr>
        <w:t>Science</w:t>
      </w:r>
    </w:p>
    <w:p w:rsidR="001C08AF" w:rsidRDefault="001C08AF" w:rsidP="001C08AF">
      <w:pPr>
        <w:pStyle w:val="a3"/>
        <w:rPr>
          <w:kern w:val="0"/>
          <w:szCs w:val="24"/>
        </w:rPr>
      </w:pPr>
      <w:r>
        <w:rPr>
          <w:rFonts w:hint="eastAsia"/>
          <w:kern w:val="0"/>
          <w:szCs w:val="24"/>
        </w:rPr>
        <w:t xml:space="preserve">? </w:t>
      </w:r>
      <w:r>
        <w:rPr>
          <w:kern w:val="0"/>
          <w:szCs w:val="24"/>
        </w:rPr>
        <w:t>Loukas, M., Akiyama, M., Shoja, M.M., Yalçin, B., Tubbs, R.S.</w:t>
      </w:r>
      <w:r w:rsidR="005853A9">
        <w:rPr>
          <w:kern w:val="0"/>
          <w:szCs w:val="24"/>
        </w:rPr>
        <w:t xml:space="preserve"> and </w:t>
      </w:r>
      <w:r>
        <w:rPr>
          <w:kern w:val="0"/>
          <w:szCs w:val="24"/>
        </w:rPr>
        <w:t>Cohen-Gadol, A.A. (2010), John Browne (1642-1702): Anatomist</w:t>
      </w:r>
      <w:r w:rsidR="005853A9">
        <w:rPr>
          <w:kern w:val="0"/>
          <w:szCs w:val="24"/>
        </w:rPr>
        <w:t xml:space="preserve"> and </w:t>
      </w:r>
      <w:r>
        <w:rPr>
          <w:kern w:val="0"/>
          <w:szCs w:val="24"/>
        </w:rPr>
        <w:t xml:space="preserve">plagiarist. </w:t>
      </w:r>
      <w:r>
        <w:rPr>
          <w:i/>
          <w:iCs/>
          <w:kern w:val="0"/>
          <w:szCs w:val="24"/>
        </w:rPr>
        <w:t>Clinical Anatomy</w:t>
      </w:r>
      <w:r>
        <w:rPr>
          <w:kern w:val="0"/>
          <w:szCs w:val="24"/>
        </w:rPr>
        <w:t xml:space="preserve">, </w:t>
      </w:r>
      <w:r>
        <w:rPr>
          <w:b/>
          <w:bCs/>
          <w:kern w:val="0"/>
          <w:szCs w:val="24"/>
        </w:rPr>
        <w:t>23</w:t>
      </w:r>
      <w:r>
        <w:rPr>
          <w:kern w:val="0"/>
          <w:szCs w:val="24"/>
        </w:rPr>
        <w:t xml:space="preserve"> (1), 1-7.</w:t>
      </w:r>
    </w:p>
    <w:p w:rsidR="001C08AF" w:rsidRPr="001A3D2B" w:rsidRDefault="001C08AF" w:rsidP="001C08AF">
      <w:pPr>
        <w:pStyle w:val="a3"/>
      </w:pPr>
      <w:r w:rsidRPr="001A3D2B">
        <w:t xml:space="preserve">Full Text: </w:t>
      </w:r>
      <w:hyperlink r:id="rId315" w:history="1">
        <w:r w:rsidRPr="00DA21C8">
          <w:rPr>
            <w:rStyle w:val="a5"/>
          </w:rPr>
          <w:t>2010\Cli Ana23, 1.pdf</w:t>
        </w:r>
      </w:hyperlink>
    </w:p>
    <w:p w:rsidR="001C08AF" w:rsidRDefault="001C08AF" w:rsidP="001C08AF">
      <w:pPr>
        <w:pStyle w:val="a3"/>
        <w:rPr>
          <w:kern w:val="0"/>
          <w:szCs w:val="24"/>
        </w:rPr>
      </w:pPr>
      <w:r>
        <w:rPr>
          <w:kern w:val="0"/>
          <w:szCs w:val="24"/>
        </w:rPr>
        <w:t>Abstract: In contrast to many other physicians</w:t>
      </w:r>
      <w:r w:rsidR="00427468">
        <w:rPr>
          <w:kern w:val="0"/>
          <w:szCs w:val="24"/>
        </w:rPr>
        <w:t xml:space="preserve"> of </w:t>
      </w:r>
      <w:r>
        <w:rPr>
          <w:kern w:val="0"/>
          <w:szCs w:val="24"/>
        </w:rPr>
        <w:t>his age, John Browne (1642-1702), an English anatomist</w:t>
      </w:r>
      <w:r w:rsidR="005853A9">
        <w:rPr>
          <w:kern w:val="0"/>
          <w:szCs w:val="24"/>
        </w:rPr>
        <w:t xml:space="preserve"> and </w:t>
      </w:r>
      <w:r>
        <w:rPr>
          <w:kern w:val="0"/>
          <w:szCs w:val="24"/>
        </w:rPr>
        <w:t>surgeon, managed to strike a balance in his career that spanned relative obscurity, prestige,</w:t>
      </w:r>
      <w:r w:rsidR="005853A9">
        <w:rPr>
          <w:kern w:val="0"/>
          <w:szCs w:val="24"/>
        </w:rPr>
        <w:t xml:space="preserve"> and </w:t>
      </w:r>
      <w:r>
        <w:rPr>
          <w:kern w:val="0"/>
          <w:szCs w:val="24"/>
        </w:rPr>
        <w:t>notoriety. Among his more prestigious credits, Browne was Surgeon in Ordinary to King Charles II</w:t>
      </w:r>
      <w:r w:rsidR="005853A9">
        <w:rPr>
          <w:kern w:val="0"/>
          <w:szCs w:val="24"/>
        </w:rPr>
        <w:t xml:space="preserve"> and </w:t>
      </w:r>
      <w:r>
        <w:rPr>
          <w:kern w:val="0"/>
          <w:szCs w:val="24"/>
        </w:rPr>
        <w:t>William III. He also had numerous publications to his name, some</w:t>
      </w:r>
      <w:r w:rsidR="00427468">
        <w:rPr>
          <w:kern w:val="0"/>
          <w:szCs w:val="24"/>
        </w:rPr>
        <w:t xml:space="preserve"> of </w:t>
      </w:r>
      <w:r>
        <w:rPr>
          <w:kern w:val="0"/>
          <w:szCs w:val="24"/>
        </w:rPr>
        <w:t xml:space="preserve">which are credited as great innovations. His career, however, was tempered by his most important book, which </w:t>
      </w:r>
      <w:r>
        <w:rPr>
          <w:kern w:val="0"/>
          <w:szCs w:val="24"/>
        </w:rPr>
        <w:lastRenderedPageBreak/>
        <w:t>has been critiqued by his contemporaries as well as modern historians as plagiarism. Although Browne undeniably copied</w:t>
      </w:r>
      <w:r w:rsidR="003A1917">
        <w:rPr>
          <w:kern w:val="0"/>
          <w:szCs w:val="24"/>
        </w:rPr>
        <w:t xml:space="preserve"> the </w:t>
      </w:r>
      <w:r>
        <w:rPr>
          <w:kern w:val="0"/>
          <w:szCs w:val="24"/>
        </w:rPr>
        <w:t>works</w:t>
      </w:r>
      <w:r w:rsidR="00427468">
        <w:rPr>
          <w:kern w:val="0"/>
          <w:szCs w:val="24"/>
        </w:rPr>
        <w:t xml:space="preserve"> of </w:t>
      </w:r>
      <w:r>
        <w:rPr>
          <w:kern w:val="0"/>
          <w:szCs w:val="24"/>
        </w:rPr>
        <w:t>others</w:t>
      </w:r>
      <w:r w:rsidR="005853A9">
        <w:rPr>
          <w:kern w:val="0"/>
          <w:szCs w:val="24"/>
        </w:rPr>
        <w:t xml:space="preserve"> and </w:t>
      </w:r>
      <w:r>
        <w:rPr>
          <w:kern w:val="0"/>
          <w:szCs w:val="24"/>
        </w:rPr>
        <w:t>published them under his name, he was not alone in this practice. Various forms</w:t>
      </w:r>
      <w:r w:rsidR="00427468">
        <w:rPr>
          <w:kern w:val="0"/>
          <w:szCs w:val="24"/>
        </w:rPr>
        <w:t xml:space="preserve"> of </w:t>
      </w:r>
      <w:r>
        <w:rPr>
          <w:kern w:val="0"/>
          <w:szCs w:val="24"/>
        </w:rPr>
        <w:t>intellectual thievery were common in Browne</w:t>
      </w:r>
      <w:r w:rsidR="0071223E">
        <w:rPr>
          <w:kern w:val="0"/>
          <w:szCs w:val="24"/>
        </w:rPr>
        <w:t>’</w:t>
      </w:r>
      <w:r w:rsidR="00C13DDC">
        <w:rPr>
          <w:kern w:val="0"/>
          <w:szCs w:val="24"/>
        </w:rPr>
        <w:t>s</w:t>
      </w:r>
      <w:r>
        <w:rPr>
          <w:kern w:val="0"/>
          <w:szCs w:val="24"/>
        </w:rPr>
        <w:t xml:space="preserve"> day,</w:t>
      </w:r>
      <w:r w:rsidR="005853A9">
        <w:rPr>
          <w:kern w:val="0"/>
          <w:szCs w:val="24"/>
        </w:rPr>
        <w:t xml:space="preserve"> and </w:t>
      </w:r>
      <w:r>
        <w:rPr>
          <w:kern w:val="0"/>
          <w:szCs w:val="24"/>
        </w:rPr>
        <w:t>there were many perpetrators</w:t>
      </w:r>
      <w:r w:rsidR="00A37C1D">
        <w:rPr>
          <w:kern w:val="0"/>
          <w:szCs w:val="24"/>
        </w:rPr>
        <w:t>. The</w:t>
      </w:r>
      <w:r w:rsidR="003A1917">
        <w:rPr>
          <w:kern w:val="0"/>
          <w:szCs w:val="24"/>
        </w:rPr>
        <w:t xml:space="preserve"> </w:t>
      </w:r>
      <w:r>
        <w:rPr>
          <w:kern w:val="0"/>
          <w:szCs w:val="24"/>
        </w:rPr>
        <w:t>life</w:t>
      </w:r>
      <w:r w:rsidR="00427468">
        <w:rPr>
          <w:kern w:val="0"/>
          <w:szCs w:val="24"/>
        </w:rPr>
        <w:t xml:space="preserve"> of </w:t>
      </w:r>
      <w:r>
        <w:rPr>
          <w:kern w:val="0"/>
          <w:szCs w:val="24"/>
        </w:rPr>
        <w:t>this overlooked figure in</w:t>
      </w:r>
      <w:r w:rsidR="003A1917">
        <w:rPr>
          <w:kern w:val="0"/>
          <w:szCs w:val="24"/>
        </w:rPr>
        <w:t xml:space="preserve"> the </w:t>
      </w:r>
      <w:r>
        <w:rPr>
          <w:kern w:val="0"/>
          <w:szCs w:val="24"/>
        </w:rPr>
        <w:t>history</w:t>
      </w:r>
      <w:r w:rsidR="00427468">
        <w:rPr>
          <w:kern w:val="0"/>
          <w:szCs w:val="24"/>
        </w:rPr>
        <w:t xml:space="preserve"> of </w:t>
      </w:r>
      <w:r>
        <w:rPr>
          <w:kern w:val="0"/>
          <w:szCs w:val="24"/>
        </w:rPr>
        <w:t>anatomy</w:t>
      </w:r>
      <w:r w:rsidR="005853A9">
        <w:rPr>
          <w:kern w:val="0"/>
          <w:szCs w:val="24"/>
        </w:rPr>
        <w:t xml:space="preserve"> and </w:t>
      </w:r>
      <w:r w:rsidR="003A1917">
        <w:rPr>
          <w:kern w:val="0"/>
          <w:szCs w:val="24"/>
        </w:rPr>
        <w:t xml:space="preserve">the </w:t>
      </w:r>
      <w:r>
        <w:rPr>
          <w:kern w:val="0"/>
          <w:szCs w:val="24"/>
        </w:rPr>
        <w:t>stigma attached to him will be examined. Clin. Anat. 23:1-7, 2010. (C) 2009 Wiley-Liss, Inc.</w:t>
      </w:r>
    </w:p>
    <w:p w:rsidR="001C08AF" w:rsidRDefault="001C08AF" w:rsidP="001C08AF">
      <w:pPr>
        <w:pStyle w:val="a3"/>
        <w:rPr>
          <w:kern w:val="0"/>
          <w:szCs w:val="24"/>
        </w:rPr>
      </w:pPr>
      <w:r>
        <w:rPr>
          <w:kern w:val="0"/>
          <w:szCs w:val="24"/>
        </w:rPr>
        <w:t>Keywords: Anatomy, England, History, Plagiarism, Publications</w:t>
      </w:r>
    </w:p>
    <w:p w:rsidR="00683038" w:rsidRDefault="00683038" w:rsidP="00683038">
      <w:pPr>
        <w:pStyle w:val="a3"/>
        <w:rPr>
          <w:kern w:val="0"/>
        </w:rPr>
      </w:pPr>
      <w:r>
        <w:rPr>
          <w:rFonts w:hint="eastAsia"/>
          <w:kern w:val="0"/>
        </w:rPr>
        <w:t xml:space="preserve">? </w:t>
      </w:r>
      <w:r>
        <w:rPr>
          <w:kern w:val="0"/>
        </w:rPr>
        <w:t>Castorina, S., Luca, T., Privitera, G.</w:t>
      </w:r>
      <w:r w:rsidR="005853A9">
        <w:rPr>
          <w:kern w:val="0"/>
        </w:rPr>
        <w:t xml:space="preserve"> and </w:t>
      </w:r>
      <w:r>
        <w:rPr>
          <w:kern w:val="0"/>
        </w:rPr>
        <w:t xml:space="preserve">El-Bernawi, H. (2012), An evidence-based approach for laparoscopic inguinal hernia repair: Lessons learned from over 1,000 repairs. </w:t>
      </w:r>
      <w:r>
        <w:rPr>
          <w:i/>
          <w:iCs/>
          <w:kern w:val="0"/>
        </w:rPr>
        <w:t>Clinical Anatomy</w:t>
      </w:r>
      <w:r>
        <w:rPr>
          <w:kern w:val="0"/>
        </w:rPr>
        <w:t xml:space="preserve">, </w:t>
      </w:r>
      <w:r>
        <w:rPr>
          <w:b/>
          <w:bCs/>
          <w:kern w:val="0"/>
        </w:rPr>
        <w:t>25</w:t>
      </w:r>
      <w:r>
        <w:rPr>
          <w:kern w:val="0"/>
        </w:rPr>
        <w:t xml:space="preserve"> (6), 687-696.</w:t>
      </w:r>
    </w:p>
    <w:p w:rsidR="00683038" w:rsidRPr="001A3D2B" w:rsidRDefault="00683038" w:rsidP="00683038">
      <w:pPr>
        <w:pStyle w:val="a3"/>
      </w:pPr>
      <w:r w:rsidRPr="001A3D2B">
        <w:t xml:space="preserve">Full Text: </w:t>
      </w:r>
      <w:hyperlink r:id="rId316" w:history="1">
        <w:r w:rsidRPr="00683038">
          <w:rPr>
            <w:rStyle w:val="a5"/>
          </w:rPr>
          <w:t>2012\Cli Ana25, 687.pdf</w:t>
        </w:r>
      </w:hyperlink>
    </w:p>
    <w:p w:rsidR="00683038" w:rsidRDefault="00683038" w:rsidP="00683038">
      <w:pPr>
        <w:pStyle w:val="a3"/>
        <w:rPr>
          <w:kern w:val="0"/>
        </w:rPr>
      </w:pPr>
      <w:r>
        <w:rPr>
          <w:kern w:val="0"/>
        </w:rPr>
        <w:t>Abstract: In this educational article, we aim to provide a literature review on laparoscopic anatomy</w:t>
      </w:r>
      <w:r w:rsidR="00427468">
        <w:rPr>
          <w:kern w:val="0"/>
        </w:rPr>
        <w:t xml:space="preserve"> of </w:t>
      </w:r>
      <w:r w:rsidR="003A1917">
        <w:rPr>
          <w:kern w:val="0"/>
        </w:rPr>
        <w:t xml:space="preserve">the </w:t>
      </w:r>
      <w:r>
        <w:rPr>
          <w:kern w:val="0"/>
        </w:rPr>
        <w:t>inguinal region. We share</w:t>
      </w:r>
      <w:r w:rsidR="003A1917">
        <w:rPr>
          <w:kern w:val="0"/>
        </w:rPr>
        <w:t xml:space="preserve"> the </w:t>
      </w:r>
      <w:r>
        <w:rPr>
          <w:kern w:val="0"/>
        </w:rPr>
        <w:t>lessons learnt from</w:t>
      </w:r>
      <w:r w:rsidR="003A1917">
        <w:rPr>
          <w:kern w:val="0"/>
        </w:rPr>
        <w:t xml:space="preserve"> the </w:t>
      </w:r>
      <w:r>
        <w:rPr>
          <w:kern w:val="0"/>
        </w:rPr>
        <w:t>1,194 laparoscopic hernia operations we have performed in 16 years</w:t>
      </w:r>
      <w:r w:rsidR="00427468">
        <w:rPr>
          <w:kern w:val="0"/>
        </w:rPr>
        <w:t xml:space="preserve"> of </w:t>
      </w:r>
      <w:r>
        <w:rPr>
          <w:kern w:val="0"/>
        </w:rPr>
        <w:t>experience, trying to provide an anatomical</w:t>
      </w:r>
      <w:r w:rsidR="005853A9">
        <w:rPr>
          <w:kern w:val="0"/>
        </w:rPr>
        <w:t xml:space="preserve"> and </w:t>
      </w:r>
      <w:r>
        <w:rPr>
          <w:kern w:val="0"/>
        </w:rPr>
        <w:t>physiological basis for surgeons</w:t>
      </w:r>
      <w:r w:rsidR="00A37C1D">
        <w:rPr>
          <w:kern w:val="0"/>
        </w:rPr>
        <w:t>. The</w:t>
      </w:r>
      <w:r w:rsidR="003A1917">
        <w:rPr>
          <w:kern w:val="0"/>
        </w:rPr>
        <w:t xml:space="preserve"> </w:t>
      </w:r>
      <w:r>
        <w:rPr>
          <w:kern w:val="0"/>
        </w:rPr>
        <w:t>current study reports a personal experience with a transabdominal preperitoneal (TAPP) hernioplasty procedure. A literature review using</w:t>
      </w:r>
      <w:r w:rsidR="003A1917">
        <w:rPr>
          <w:kern w:val="0"/>
        </w:rPr>
        <w:t xml:space="preserve"> the </w:t>
      </w:r>
      <w:r>
        <w:rPr>
          <w:kern w:val="0"/>
        </w:rPr>
        <w:t>keywords hernia, laparoscopic approach,</w:t>
      </w:r>
      <w:r w:rsidR="005853A9">
        <w:rPr>
          <w:kern w:val="0"/>
        </w:rPr>
        <w:t xml:space="preserve"> and </w:t>
      </w:r>
      <w:r>
        <w:rPr>
          <w:kern w:val="0"/>
        </w:rPr>
        <w:t>hernia repair was performed using</w:t>
      </w:r>
      <w:r w:rsidR="003A1917">
        <w:rPr>
          <w:kern w:val="0"/>
        </w:rPr>
        <w:t xml:space="preserve"> the </w:t>
      </w:r>
      <w:r>
        <w:rPr>
          <w:kern w:val="0"/>
        </w:rPr>
        <w:t xml:space="preserve">electronic biomedical database PubMed, </w:t>
      </w:r>
      <w:r w:rsidR="00D5664A">
        <w:rPr>
          <w:kern w:val="0"/>
        </w:rPr>
        <w:t>MEDLINE</w:t>
      </w:r>
      <w:r>
        <w:rPr>
          <w:kern w:val="0"/>
        </w:rPr>
        <w:t xml:space="preserve"> Extra, Embase, Biosis, Science Citation Index, Ovid</w:t>
      </w:r>
      <w:r w:rsidR="005853A9">
        <w:rPr>
          <w:kern w:val="0"/>
        </w:rPr>
        <w:t xml:space="preserve"> and </w:t>
      </w:r>
      <w:r>
        <w:rPr>
          <w:kern w:val="0"/>
        </w:rPr>
        <w:t>text books. Between January 1994</w:t>
      </w:r>
      <w:r w:rsidR="005853A9">
        <w:rPr>
          <w:kern w:val="0"/>
        </w:rPr>
        <w:t xml:space="preserve"> and </w:t>
      </w:r>
      <w:r>
        <w:rPr>
          <w:kern w:val="0"/>
        </w:rPr>
        <w:t>December 2010, a total</w:t>
      </w:r>
      <w:r w:rsidR="00427468">
        <w:rPr>
          <w:kern w:val="0"/>
        </w:rPr>
        <w:t xml:space="preserve"> of </w:t>
      </w:r>
      <w:r>
        <w:rPr>
          <w:kern w:val="0"/>
        </w:rPr>
        <w:t>1,194 patients, males</w:t>
      </w:r>
      <w:r w:rsidR="005853A9">
        <w:rPr>
          <w:kern w:val="0"/>
        </w:rPr>
        <w:t xml:space="preserve"> and </w:t>
      </w:r>
      <w:r>
        <w:rPr>
          <w:kern w:val="0"/>
        </w:rPr>
        <w:t>females (average age, 56.7 years), underwent laparoscopic TAPP inguinal hernia repair. Following reduction</w:t>
      </w:r>
      <w:r w:rsidR="00427468">
        <w:rPr>
          <w:kern w:val="0"/>
        </w:rPr>
        <w:t xml:space="preserve"> of </w:t>
      </w:r>
      <w:r w:rsidR="003A1917">
        <w:rPr>
          <w:kern w:val="0"/>
        </w:rPr>
        <w:t xml:space="preserve">the </w:t>
      </w:r>
      <w:r>
        <w:rPr>
          <w:kern w:val="0"/>
        </w:rPr>
        <w:t>hernia sac</w:t>
      </w:r>
      <w:r w:rsidR="005853A9">
        <w:rPr>
          <w:kern w:val="0"/>
        </w:rPr>
        <w:t xml:space="preserve"> and </w:t>
      </w:r>
      <w:r>
        <w:rPr>
          <w:kern w:val="0"/>
        </w:rPr>
        <w:t>creation</w:t>
      </w:r>
      <w:r w:rsidR="00427468">
        <w:rPr>
          <w:kern w:val="0"/>
        </w:rPr>
        <w:t xml:space="preserve"> of </w:t>
      </w:r>
      <w:r w:rsidR="003A1917">
        <w:rPr>
          <w:kern w:val="0"/>
        </w:rPr>
        <w:t xml:space="preserve">the </w:t>
      </w:r>
      <w:r>
        <w:rPr>
          <w:kern w:val="0"/>
        </w:rPr>
        <w:t>preperitoneal flap, a polypropylene mesh (10 x 16)</w:t>
      </w:r>
      <w:r w:rsidR="005853A9">
        <w:rPr>
          <w:kern w:val="0"/>
        </w:rPr>
        <w:t xml:space="preserve"> and </w:t>
      </w:r>
      <w:r>
        <w:rPr>
          <w:kern w:val="0"/>
        </w:rPr>
        <w:t>four spiral tacks were placed. TAPP is easy to learn</w:t>
      </w:r>
      <w:r w:rsidR="005853A9">
        <w:rPr>
          <w:kern w:val="0"/>
        </w:rPr>
        <w:t xml:space="preserve"> and </w:t>
      </w:r>
      <w:r>
        <w:rPr>
          <w:kern w:val="0"/>
        </w:rPr>
        <w:t>perform. Through this approach, a much better view from</w:t>
      </w:r>
      <w:r w:rsidR="003A1917">
        <w:rPr>
          <w:kern w:val="0"/>
        </w:rPr>
        <w:t xml:space="preserve"> the </w:t>
      </w:r>
      <w:r>
        <w:rPr>
          <w:kern w:val="0"/>
        </w:rPr>
        <w:t>inguinal anatomy is achieved,</w:t>
      </w:r>
      <w:r w:rsidR="005853A9">
        <w:rPr>
          <w:kern w:val="0"/>
        </w:rPr>
        <w:t xml:space="preserve"> and </w:t>
      </w:r>
      <w:r w:rsidR="003A1917">
        <w:rPr>
          <w:kern w:val="0"/>
        </w:rPr>
        <w:t xml:space="preserve">the </w:t>
      </w:r>
      <w:r>
        <w:rPr>
          <w:kern w:val="0"/>
        </w:rPr>
        <w:t>procedure also offers a brief learning curve. Our patients reported minimal postoperative pain</w:t>
      </w:r>
      <w:r w:rsidR="005853A9">
        <w:rPr>
          <w:kern w:val="0"/>
        </w:rPr>
        <w:t xml:space="preserve"> and </w:t>
      </w:r>
      <w:r>
        <w:rPr>
          <w:kern w:val="0"/>
        </w:rPr>
        <w:t>returned to work after 510 days, which is in accordance with</w:t>
      </w:r>
      <w:r w:rsidR="003A1917">
        <w:rPr>
          <w:kern w:val="0"/>
        </w:rPr>
        <w:t xml:space="preserve"> the </w:t>
      </w:r>
      <w:r>
        <w:rPr>
          <w:kern w:val="0"/>
        </w:rPr>
        <w:t>general anesthesia series. During</w:t>
      </w:r>
      <w:r w:rsidR="003A1917">
        <w:rPr>
          <w:kern w:val="0"/>
        </w:rPr>
        <w:t xml:space="preserve"> the </w:t>
      </w:r>
      <w:r>
        <w:rPr>
          <w:kern w:val="0"/>
        </w:rPr>
        <w:t>follow-up period, 10%</w:t>
      </w:r>
      <w:r w:rsidR="00427468">
        <w:rPr>
          <w:kern w:val="0"/>
        </w:rPr>
        <w:t xml:space="preserve"> of </w:t>
      </w:r>
      <w:r>
        <w:rPr>
          <w:kern w:val="0"/>
        </w:rPr>
        <w:t>seromas, 3%</w:t>
      </w:r>
      <w:r w:rsidR="00427468">
        <w:rPr>
          <w:kern w:val="0"/>
        </w:rPr>
        <w:t xml:space="preserve"> of </w:t>
      </w:r>
      <w:r>
        <w:rPr>
          <w:kern w:val="0"/>
        </w:rPr>
        <w:t>scrotal hematomas, 1%</w:t>
      </w:r>
      <w:r w:rsidR="00427468">
        <w:rPr>
          <w:kern w:val="0"/>
        </w:rPr>
        <w:t xml:space="preserve"> of </w:t>
      </w:r>
      <w:r>
        <w:rPr>
          <w:kern w:val="0"/>
        </w:rPr>
        <w:t>hemorrhages,</w:t>
      </w:r>
      <w:r w:rsidR="005853A9">
        <w:rPr>
          <w:kern w:val="0"/>
        </w:rPr>
        <w:t xml:space="preserve"> and </w:t>
      </w:r>
      <w:r>
        <w:rPr>
          <w:kern w:val="0"/>
        </w:rPr>
        <w:t>3%</w:t>
      </w:r>
      <w:r w:rsidR="00427468">
        <w:rPr>
          <w:kern w:val="0"/>
        </w:rPr>
        <w:t xml:space="preserve"> of </w:t>
      </w:r>
      <w:r>
        <w:rPr>
          <w:kern w:val="0"/>
        </w:rPr>
        <w:t>recurrent hernias were observed. It should be emphasized that we have not observed abscess formation or acute infection related to</w:t>
      </w:r>
      <w:r w:rsidR="003A1917">
        <w:rPr>
          <w:kern w:val="0"/>
        </w:rPr>
        <w:t xml:space="preserve"> the </w:t>
      </w:r>
      <w:r>
        <w:rPr>
          <w:kern w:val="0"/>
        </w:rPr>
        <w:t>presence</w:t>
      </w:r>
      <w:r w:rsidR="00427468">
        <w:rPr>
          <w:kern w:val="0"/>
        </w:rPr>
        <w:t xml:space="preserve"> of </w:t>
      </w:r>
      <w:r>
        <w:rPr>
          <w:kern w:val="0"/>
        </w:rPr>
        <w:t>mesh. Clin. Anat. 25:687696, 2012. (C) 2012 Wiley Periodicals, Inc.</w:t>
      </w:r>
    </w:p>
    <w:p w:rsidR="00683038" w:rsidRDefault="00683038" w:rsidP="00683038">
      <w:pPr>
        <w:pStyle w:val="a3"/>
        <w:rPr>
          <w:kern w:val="0"/>
        </w:rPr>
      </w:pPr>
      <w:r>
        <w:rPr>
          <w:kern w:val="0"/>
        </w:rPr>
        <w:t>Keywords: Abdominal-Wall, Age, Anatomy, Anesthesia, Approach, Biomedical, Citation, Database, Evidence Based, Evidence-Based, Experience, Follow-Up, General, General Anesthesia, Groin Hernia, Hernioplasty, Herniorrhaphy, Infection, Inguinal Hernia, Laparoscopic, Laparoscopic Surgery, Learning, Literature, Literature Review, Marlex-Mesh, Pain, Patients, Periodicals, Polypropylene, Postoperative, Postoperative Pain, Pre-Peritoneal Tapp, Procedure, Pubmed, Randomized Clinical-Trial, Recurrent, Reduction, Region, Review, Risk-Factors, Science, Science Citation Index, Shouldice Repair, TAPP, Work</w:t>
      </w:r>
    </w:p>
    <w:p w:rsidR="00FA7F60" w:rsidRDefault="00FA7F60" w:rsidP="00FA7F60">
      <w:pPr>
        <w:pStyle w:val="a3"/>
        <w:rPr>
          <w:kern w:val="0"/>
        </w:rPr>
      </w:pPr>
      <w:r>
        <w:rPr>
          <w:kern w:val="0"/>
        </w:rPr>
        <w:lastRenderedPageBreak/>
        <w:t xml:space="preserve">? Wing, L. and Massoud, T.F. (2015), Trends in performance indicators of neuroimaging anatomy research publications: A bibliometric study of major neuroradiology journal output over four decades based on Web of Science database. </w:t>
      </w:r>
      <w:r>
        <w:rPr>
          <w:i/>
          <w:iCs/>
          <w:kern w:val="0"/>
        </w:rPr>
        <w:t>Clinical Anatomy</w:t>
      </w:r>
      <w:r>
        <w:rPr>
          <w:kern w:val="0"/>
        </w:rPr>
        <w:t xml:space="preserve">, </w:t>
      </w:r>
      <w:r>
        <w:rPr>
          <w:b/>
          <w:bCs/>
          <w:kern w:val="0"/>
        </w:rPr>
        <w:t>28</w:t>
      </w:r>
      <w:r>
        <w:rPr>
          <w:kern w:val="0"/>
        </w:rPr>
        <w:t xml:space="preserve"> (1), 16-26.</w:t>
      </w:r>
    </w:p>
    <w:p w:rsidR="00FA7F60" w:rsidRPr="001A3D2B" w:rsidRDefault="00FA7F60" w:rsidP="00FA7F60">
      <w:pPr>
        <w:pStyle w:val="a3"/>
      </w:pPr>
      <w:r w:rsidRPr="001A3D2B">
        <w:t xml:space="preserve">Full Text: </w:t>
      </w:r>
      <w:hyperlink r:id="rId317" w:history="1">
        <w:r w:rsidRPr="00FA7F60">
          <w:rPr>
            <w:rStyle w:val="a5"/>
          </w:rPr>
          <w:t>201</w:t>
        </w:r>
        <w:r w:rsidRPr="00FA7F60">
          <w:rPr>
            <w:rStyle w:val="a5"/>
            <w:rFonts w:hint="eastAsia"/>
          </w:rPr>
          <w:t>5</w:t>
        </w:r>
        <w:r w:rsidRPr="00FA7F60">
          <w:rPr>
            <w:rStyle w:val="a5"/>
          </w:rPr>
          <w:t>\Cli Ana2</w:t>
        </w:r>
        <w:r w:rsidRPr="00FA7F60">
          <w:rPr>
            <w:rStyle w:val="a5"/>
            <w:rFonts w:hint="eastAsia"/>
          </w:rPr>
          <w:t>8</w:t>
        </w:r>
        <w:r w:rsidRPr="00FA7F60">
          <w:rPr>
            <w:rStyle w:val="a5"/>
          </w:rPr>
          <w:t xml:space="preserve">, </w:t>
        </w:r>
        <w:r w:rsidRPr="00FA7F60">
          <w:rPr>
            <w:rStyle w:val="a5"/>
            <w:rFonts w:hint="eastAsia"/>
          </w:rPr>
          <w:t>16</w:t>
        </w:r>
        <w:r w:rsidRPr="00FA7F60">
          <w:rPr>
            <w:rStyle w:val="a5"/>
          </w:rPr>
          <w:t>.pdf</w:t>
        </w:r>
      </w:hyperlink>
    </w:p>
    <w:p w:rsidR="00FA7F60" w:rsidRDefault="00FA7F60" w:rsidP="00FA7F60">
      <w:pPr>
        <w:pStyle w:val="a3"/>
        <w:rPr>
          <w:kern w:val="0"/>
        </w:rPr>
      </w:pPr>
      <w:r>
        <w:rPr>
          <w:kern w:val="0"/>
        </w:rPr>
        <w:t>Abstract: Quantitative, qualitative, and innovative application of bibliometric research performance indicators to anatomy and radiology research and education can enhance cross-fertilization between the two disciplines. We aim to use these indicators to identify long-term trends in dissemination of publications in neuroimaging anatomy (including both productivity and citation rates), which has subjectively waned in prestige during recent years. We examined publications over the last 40 years in two neuroradiological journals, AJNR and Neuroradiology, and selected and categorized all neuroimaging anatomy research articles according to theme and type. We studied trends in their citation activity over time, and mathematically analyzed these trends for 1977, 1987, and 1997 publications. We created a novel metric, citation half-life at 10 years postpublication (CHL-10), and used this to examine trends in the skew of citation numbers for anatomy articles each year. We identified 367 anatomy articles amongst a total of 18,110 in these journals: 74.2% were original articles, with study of normal anatomy being the commonest theme (46.7%). We recorded a mean of 18.03 citations for each anatomy article, 35% higher than for general neuroradiology articles. Graphs summarizing the rise (upslope) in citation rates after publication revealed similar trends spanning two decades. CHL-10 trends demonstrated that more recently published anatomy articles were likely to take longer to reach peak citation rate. Bibliometric analysis suggests that anatomical research in neuroradiology is not languishing. This novel analytical approach can be applied to other aspects of neuroimaging research, and within other subspecialties in radiology and anatomy, and also to foster anatomical education. Clin. Anat. 28:16-26, 2015. (c) 2014 Wiley Periodicals, Inc.</w:t>
      </w:r>
    </w:p>
    <w:p w:rsidR="00FA7F60" w:rsidRDefault="00FA7F60" w:rsidP="00FA7F60">
      <w:pPr>
        <w:pStyle w:val="a3"/>
        <w:rPr>
          <w:kern w:val="0"/>
        </w:rPr>
      </w:pPr>
      <w:r>
        <w:rPr>
          <w:kern w:val="0"/>
        </w:rPr>
        <w:t>Keywords: Activity, Analysis, Anatomy, Application, Approach, Artery, Article, Articles, Bibliometric, Bibliometric Analysis, Bibliometric Research, Bibliometric Study, Bibliometrics, Citation, Citation Rates, Citations, Citations, Database, Disciplines, Education, Facet Joints, General, Graphs, Half-Life, Impact Factor, Indicators, Journal, Journals, Knowledge, Long Term, Long-Term, Medical-Students, Mr, Neuroanatomy, Neuroimaging, Neuroradiology, Normal, Performance, Performance Indicators, Periodicals, Productivity, Publication, Publications, Qualitative, Quality, Radiology, Rates, Recent, Research, Research Performance, Science, Si, Sinus, Trends, Vein, Web, Web of Science</w:t>
      </w:r>
    </w:p>
    <w:p w:rsidR="006D629A" w:rsidRPr="001A3D2B" w:rsidRDefault="006D629A" w:rsidP="006D629A">
      <w:pPr>
        <w:pStyle w:val="1"/>
      </w:pPr>
      <w:r w:rsidRPr="001A3D2B">
        <w:br w:type="page"/>
      </w:r>
      <w:bookmarkStart w:id="256" w:name="_Toc420815011"/>
      <w:r w:rsidRPr="001A3D2B">
        <w:lastRenderedPageBreak/>
        <w:t xml:space="preserve">Title: </w:t>
      </w:r>
      <w:r w:rsidR="007950AF" w:rsidRPr="007950AF">
        <w:t>Clinical</w:t>
      </w:r>
      <w:r w:rsidR="005853A9">
        <w:t xml:space="preserve"> and </w:t>
      </w:r>
      <w:r w:rsidR="007950AF" w:rsidRPr="007950AF">
        <w:t>Applied Thrombosis-Hemostasis</w:t>
      </w:r>
      <w:bookmarkEnd w:id="256"/>
    </w:p>
    <w:p w:rsidR="006D629A" w:rsidRPr="001A3D2B" w:rsidRDefault="006D629A" w:rsidP="006D629A">
      <w:pPr>
        <w:pStyle w:val="12"/>
      </w:pPr>
      <w:r w:rsidRPr="001A3D2B">
        <w:t xml:space="preserve">Full Journal Title: </w:t>
      </w:r>
      <w:r w:rsidR="007950AF" w:rsidRPr="007950AF">
        <w:rPr>
          <w:iCs/>
          <w:kern w:val="0"/>
        </w:rPr>
        <w:t>Clinical</w:t>
      </w:r>
      <w:r w:rsidR="005853A9">
        <w:rPr>
          <w:iCs/>
          <w:kern w:val="0"/>
        </w:rPr>
        <w:t xml:space="preserve"> and </w:t>
      </w:r>
      <w:r w:rsidR="007950AF" w:rsidRPr="007950AF">
        <w:rPr>
          <w:iCs/>
          <w:kern w:val="0"/>
        </w:rPr>
        <w:t>Applied Thrombosis-Hemostasis</w:t>
      </w:r>
    </w:p>
    <w:p w:rsidR="006D629A" w:rsidRPr="001A3D2B" w:rsidRDefault="006D629A" w:rsidP="006D629A">
      <w:pPr>
        <w:pStyle w:val="12"/>
      </w:pPr>
      <w:r w:rsidRPr="001A3D2B">
        <w:t xml:space="preserve">ISO Abbreviated Title: </w:t>
      </w:r>
    </w:p>
    <w:p w:rsidR="006D629A" w:rsidRPr="001A3D2B" w:rsidRDefault="006D629A" w:rsidP="006D629A">
      <w:pPr>
        <w:pStyle w:val="12"/>
      </w:pPr>
      <w:r w:rsidRPr="001A3D2B">
        <w:t xml:space="preserve">JCR Abbreviated Title: </w:t>
      </w:r>
    </w:p>
    <w:p w:rsidR="006D629A" w:rsidRPr="001A3D2B" w:rsidRDefault="006D629A" w:rsidP="006D629A">
      <w:pPr>
        <w:pStyle w:val="12"/>
      </w:pPr>
      <w:r w:rsidRPr="001A3D2B">
        <w:t xml:space="preserve">ISSN: </w:t>
      </w:r>
    </w:p>
    <w:p w:rsidR="006D629A" w:rsidRPr="001A3D2B" w:rsidRDefault="006D629A" w:rsidP="006D629A">
      <w:pPr>
        <w:pStyle w:val="12"/>
      </w:pPr>
      <w:r w:rsidRPr="001A3D2B">
        <w:t xml:space="preserve">Issues/Year: </w:t>
      </w:r>
    </w:p>
    <w:p w:rsidR="006D629A" w:rsidRPr="001A3D2B" w:rsidRDefault="006D629A" w:rsidP="006D629A">
      <w:pPr>
        <w:pStyle w:val="12"/>
      </w:pPr>
      <w:r w:rsidRPr="001A3D2B">
        <w:t xml:space="preserve">Journal Country/Territory: </w:t>
      </w:r>
    </w:p>
    <w:p w:rsidR="006D629A" w:rsidRPr="001A3D2B" w:rsidRDefault="006D629A" w:rsidP="006D629A">
      <w:pPr>
        <w:pStyle w:val="12"/>
      </w:pPr>
      <w:r w:rsidRPr="001A3D2B">
        <w:t xml:space="preserve">Language: </w:t>
      </w:r>
    </w:p>
    <w:p w:rsidR="006D629A" w:rsidRPr="001A3D2B" w:rsidRDefault="006D629A" w:rsidP="006D629A">
      <w:pPr>
        <w:pStyle w:val="12"/>
      </w:pPr>
      <w:r w:rsidRPr="001A3D2B">
        <w:t xml:space="preserve">Publisher: </w:t>
      </w:r>
    </w:p>
    <w:p w:rsidR="006D629A" w:rsidRPr="001A3D2B" w:rsidRDefault="006D629A" w:rsidP="006D629A">
      <w:pPr>
        <w:pStyle w:val="12"/>
      </w:pPr>
      <w:r w:rsidRPr="001A3D2B">
        <w:t xml:space="preserve">Publisher Address: </w:t>
      </w:r>
    </w:p>
    <w:p w:rsidR="006D629A" w:rsidRPr="001A3D2B" w:rsidRDefault="006D629A" w:rsidP="006D629A">
      <w:pPr>
        <w:pStyle w:val="12"/>
      </w:pPr>
      <w:r w:rsidRPr="001A3D2B">
        <w:t>Subject Categories:</w:t>
      </w:r>
    </w:p>
    <w:p w:rsidR="006D629A" w:rsidRPr="001A3D2B" w:rsidRDefault="006D629A" w:rsidP="006D629A">
      <w:pPr>
        <w:pStyle w:val="12"/>
      </w:pPr>
      <w:r w:rsidRPr="001A3D2B">
        <w:t xml:space="preserve">: Impact Factor </w:t>
      </w:r>
    </w:p>
    <w:p w:rsidR="006D629A" w:rsidRDefault="006D629A" w:rsidP="006D629A">
      <w:pPr>
        <w:pStyle w:val="a3"/>
        <w:rPr>
          <w:kern w:val="0"/>
        </w:rPr>
      </w:pPr>
      <w:r>
        <w:rPr>
          <w:rFonts w:hint="eastAsia"/>
          <w:kern w:val="0"/>
        </w:rPr>
        <w:t xml:space="preserve">? </w:t>
      </w:r>
      <w:r>
        <w:rPr>
          <w:kern w:val="0"/>
        </w:rPr>
        <w:t>Eroglu, A., Sertkaya, D.</w:t>
      </w:r>
      <w:r w:rsidR="005853A9">
        <w:rPr>
          <w:kern w:val="0"/>
        </w:rPr>
        <w:t xml:space="preserve"> and </w:t>
      </w:r>
      <w:r>
        <w:rPr>
          <w:kern w:val="0"/>
        </w:rPr>
        <w:t>Akar, N. (2012</w:t>
      </w:r>
      <w:r w:rsidR="00F42EAC">
        <w:rPr>
          <w:kern w:val="0"/>
        </w:rPr>
        <w:t>), The</w:t>
      </w:r>
      <w:r w:rsidR="003A1917">
        <w:rPr>
          <w:kern w:val="0"/>
        </w:rPr>
        <w:t xml:space="preserve"> </w:t>
      </w:r>
      <w:r>
        <w:rPr>
          <w:kern w:val="0"/>
        </w:rPr>
        <w:t>role</w:t>
      </w:r>
      <w:r w:rsidR="00427468">
        <w:rPr>
          <w:kern w:val="0"/>
        </w:rPr>
        <w:t xml:space="preserve"> of </w:t>
      </w:r>
      <w:r>
        <w:rPr>
          <w:kern w:val="0"/>
        </w:rPr>
        <w:t>factor v leiden in adult patients with venous thromboembolism: A meta-analysis</w:t>
      </w:r>
      <w:r w:rsidR="00427468">
        <w:rPr>
          <w:kern w:val="0"/>
        </w:rPr>
        <w:t xml:space="preserve"> of </w:t>
      </w:r>
      <w:r>
        <w:rPr>
          <w:kern w:val="0"/>
        </w:rPr>
        <w:t xml:space="preserve">published studies from Turkey. </w:t>
      </w:r>
      <w:r w:rsidRPr="007950AF">
        <w:rPr>
          <w:i/>
          <w:iCs/>
          <w:kern w:val="0"/>
        </w:rPr>
        <w:t>Clinical</w:t>
      </w:r>
      <w:r w:rsidR="005853A9">
        <w:rPr>
          <w:i/>
          <w:iCs/>
          <w:kern w:val="0"/>
        </w:rPr>
        <w:t xml:space="preserve"> and </w:t>
      </w:r>
      <w:r w:rsidRPr="007950AF">
        <w:rPr>
          <w:i/>
          <w:iCs/>
          <w:kern w:val="0"/>
        </w:rPr>
        <w:t>Applied Thrombosis-Hemostasis</w:t>
      </w:r>
      <w:r>
        <w:rPr>
          <w:kern w:val="0"/>
        </w:rPr>
        <w:t xml:space="preserve">, </w:t>
      </w:r>
      <w:r>
        <w:rPr>
          <w:b/>
          <w:bCs/>
          <w:kern w:val="0"/>
        </w:rPr>
        <w:t>18</w:t>
      </w:r>
      <w:r>
        <w:rPr>
          <w:kern w:val="0"/>
        </w:rPr>
        <w:t xml:space="preserve"> (1), 40-44.</w:t>
      </w:r>
    </w:p>
    <w:p w:rsidR="006D629A" w:rsidRDefault="006D629A" w:rsidP="006D629A">
      <w:pPr>
        <w:pStyle w:val="a3"/>
        <w:rPr>
          <w:kern w:val="0"/>
        </w:rPr>
      </w:pPr>
      <w:r>
        <w:rPr>
          <w:rFonts w:hint="eastAsia"/>
          <w:kern w:val="0"/>
        </w:rPr>
        <w:t xml:space="preserve">Full Text: </w:t>
      </w:r>
      <w:hyperlink r:id="rId318" w:history="1">
        <w:r w:rsidR="007950AF" w:rsidRPr="007950AF">
          <w:rPr>
            <w:rStyle w:val="a5"/>
            <w:kern w:val="0"/>
          </w:rPr>
          <w:t>2012\Cli App Thr-Hem18, 40.pdf</w:t>
        </w:r>
      </w:hyperlink>
    </w:p>
    <w:p w:rsidR="006D629A" w:rsidRDefault="006D629A" w:rsidP="006D629A">
      <w:pPr>
        <w:pStyle w:val="a3"/>
        <w:rPr>
          <w:kern w:val="0"/>
        </w:rPr>
      </w:pPr>
      <w:r>
        <w:rPr>
          <w:kern w:val="0"/>
        </w:rPr>
        <w:t>Abstract: Factor V Leiden (FVL) is</w:t>
      </w:r>
      <w:r w:rsidR="003A1917">
        <w:rPr>
          <w:kern w:val="0"/>
        </w:rPr>
        <w:t xml:space="preserve"> the </w:t>
      </w:r>
      <w:r>
        <w:rPr>
          <w:kern w:val="0"/>
        </w:rPr>
        <w:t>most common inherited risk factor for venous thromboembolism (VTE)</w:t>
      </w:r>
      <w:r w:rsidR="00A37C1D">
        <w:rPr>
          <w:kern w:val="0"/>
        </w:rPr>
        <w:t>. The</w:t>
      </w:r>
      <w:r w:rsidR="003A1917">
        <w:rPr>
          <w:kern w:val="0"/>
        </w:rPr>
        <w:t xml:space="preserve"> </w:t>
      </w:r>
      <w:r>
        <w:rPr>
          <w:kern w:val="0"/>
        </w:rPr>
        <w:t>frequency</w:t>
      </w:r>
      <w:r w:rsidR="00427468">
        <w:rPr>
          <w:kern w:val="0"/>
        </w:rPr>
        <w:t xml:space="preserve"> of </w:t>
      </w:r>
      <w:r>
        <w:rPr>
          <w:kern w:val="0"/>
        </w:rPr>
        <w:t>FVL in patients with VTE has been reported from different parts</w:t>
      </w:r>
      <w:r w:rsidR="00427468">
        <w:rPr>
          <w:kern w:val="0"/>
        </w:rPr>
        <w:t xml:space="preserve"> of </w:t>
      </w:r>
      <w:r>
        <w:rPr>
          <w:kern w:val="0"/>
        </w:rPr>
        <w:t>Turkey. A meta-analysis was performed to estimate</w:t>
      </w:r>
      <w:r w:rsidR="003A1917">
        <w:rPr>
          <w:kern w:val="0"/>
        </w:rPr>
        <w:t xml:space="preserve"> the </w:t>
      </w:r>
      <w:r>
        <w:rPr>
          <w:kern w:val="0"/>
        </w:rPr>
        <w:t>risk</w:t>
      </w:r>
      <w:r w:rsidR="00427468">
        <w:rPr>
          <w:kern w:val="0"/>
        </w:rPr>
        <w:t xml:space="preserve"> of </w:t>
      </w:r>
      <w:r>
        <w:rPr>
          <w:kern w:val="0"/>
        </w:rPr>
        <w:t>VTE associated with FVL in Turkish population. Published studies were retrieved from Pubmed</w:t>
      </w:r>
      <w:r w:rsidR="005853A9">
        <w:rPr>
          <w:kern w:val="0"/>
        </w:rPr>
        <w:t xml:space="preserve"> and </w:t>
      </w:r>
      <w:r>
        <w:rPr>
          <w:kern w:val="0"/>
        </w:rPr>
        <w:t>Science Citation Index/Expanded. We selected studies comparing</w:t>
      </w:r>
      <w:r w:rsidR="003A1917">
        <w:rPr>
          <w:kern w:val="0"/>
        </w:rPr>
        <w:t xml:space="preserve"> the </w:t>
      </w:r>
      <w:r>
        <w:rPr>
          <w:kern w:val="0"/>
        </w:rPr>
        <w:t>prevalence</w:t>
      </w:r>
      <w:r w:rsidR="00427468">
        <w:rPr>
          <w:kern w:val="0"/>
        </w:rPr>
        <w:t xml:space="preserve"> of </w:t>
      </w:r>
      <w:r>
        <w:rPr>
          <w:kern w:val="0"/>
        </w:rPr>
        <w:t>FVL in patients with VTE with controls</w:t>
      </w:r>
      <w:r w:rsidR="00A37C1D">
        <w:rPr>
          <w:kern w:val="0"/>
        </w:rPr>
        <w:t>. The</w:t>
      </w:r>
      <w:r w:rsidR="003A1917">
        <w:rPr>
          <w:kern w:val="0"/>
        </w:rPr>
        <w:t xml:space="preserve"> </w:t>
      </w:r>
      <w:r>
        <w:rPr>
          <w:kern w:val="0"/>
        </w:rPr>
        <w:t>analysis was performed by</w:t>
      </w:r>
      <w:r w:rsidR="003A1917">
        <w:rPr>
          <w:kern w:val="0"/>
        </w:rPr>
        <w:t xml:space="preserve"> the </w:t>
      </w:r>
      <w:r>
        <w:rPr>
          <w:kern w:val="0"/>
        </w:rPr>
        <w:t>software comprehensive meta-analysis</w:t>
      </w:r>
      <w:r w:rsidR="00A37C1D">
        <w:rPr>
          <w:kern w:val="0"/>
        </w:rPr>
        <w:t>. The</w:t>
      </w:r>
      <w:r w:rsidR="003A1917">
        <w:rPr>
          <w:kern w:val="0"/>
        </w:rPr>
        <w:t xml:space="preserve"> </w:t>
      </w:r>
      <w:r>
        <w:rPr>
          <w:kern w:val="0"/>
        </w:rPr>
        <w:t>analysis consisted</w:t>
      </w:r>
      <w:r w:rsidR="00427468">
        <w:rPr>
          <w:kern w:val="0"/>
        </w:rPr>
        <w:t xml:space="preserve"> of </w:t>
      </w:r>
      <w:r>
        <w:rPr>
          <w:kern w:val="0"/>
        </w:rPr>
        <w:t>10 studies including 1202 patients with VTE</w:t>
      </w:r>
      <w:r w:rsidR="005853A9">
        <w:rPr>
          <w:kern w:val="0"/>
        </w:rPr>
        <w:t xml:space="preserve"> and </w:t>
      </w:r>
      <w:r>
        <w:rPr>
          <w:kern w:val="0"/>
        </w:rPr>
        <w:t>1283 controls</w:t>
      </w:r>
      <w:r w:rsidR="00A37C1D">
        <w:rPr>
          <w:kern w:val="0"/>
        </w:rPr>
        <w:t>. The</w:t>
      </w:r>
      <w:r w:rsidR="003A1917">
        <w:rPr>
          <w:kern w:val="0"/>
        </w:rPr>
        <w:t xml:space="preserve"> </w:t>
      </w:r>
      <w:r>
        <w:rPr>
          <w:kern w:val="0"/>
        </w:rPr>
        <w:t>pooled frequency</w:t>
      </w:r>
      <w:r w:rsidR="00427468">
        <w:rPr>
          <w:kern w:val="0"/>
        </w:rPr>
        <w:t xml:space="preserve"> of </w:t>
      </w:r>
      <w:r>
        <w:rPr>
          <w:kern w:val="0"/>
        </w:rPr>
        <w:t>FVL was significantly higher in patients with VTE (22.8%) than controls (7.6%)</w:t>
      </w:r>
      <w:r w:rsidR="00A37C1D">
        <w:rPr>
          <w:kern w:val="0"/>
        </w:rPr>
        <w:t>. The</w:t>
      </w:r>
      <w:r w:rsidR="003A1917">
        <w:rPr>
          <w:kern w:val="0"/>
        </w:rPr>
        <w:t xml:space="preserve"> </w:t>
      </w:r>
      <w:r>
        <w:rPr>
          <w:kern w:val="0"/>
        </w:rPr>
        <w:t>pooled odds ratio (OR) was 3.4 (95% confidence interval [CI], 2.6-4.5)</w:t>
      </w:r>
      <w:r w:rsidR="00A37C1D">
        <w:rPr>
          <w:kern w:val="0"/>
        </w:rPr>
        <w:t>. The</w:t>
      </w:r>
      <w:r w:rsidR="003A1917">
        <w:rPr>
          <w:kern w:val="0"/>
        </w:rPr>
        <w:t xml:space="preserve"> </w:t>
      </w:r>
      <w:r>
        <w:rPr>
          <w:kern w:val="0"/>
        </w:rPr>
        <w:t>study showed homogeneity (Q value, 9.955). No publication bias was observed in any comparison model. Our meta-analysis showed an association</w:t>
      </w:r>
      <w:r w:rsidR="00427468">
        <w:rPr>
          <w:kern w:val="0"/>
        </w:rPr>
        <w:t xml:space="preserve"> of </w:t>
      </w:r>
      <w:r>
        <w:rPr>
          <w:kern w:val="0"/>
        </w:rPr>
        <w:t>FVL with VTE in Turkey.</w:t>
      </w:r>
    </w:p>
    <w:p w:rsidR="006D629A" w:rsidRDefault="006D629A" w:rsidP="006D629A">
      <w:pPr>
        <w:pStyle w:val="a3"/>
        <w:rPr>
          <w:kern w:val="0"/>
        </w:rPr>
      </w:pPr>
      <w:r>
        <w:rPr>
          <w:kern w:val="0"/>
        </w:rPr>
        <w:t>Keywords: Activated Protein-C, Analysis, Association, Bias, Citation, Common, Comparison, Confidence, Factor V Leiden, Gene, Interval, Meta-Analysis, Metaanalysis, Model, Mutation, Odds Ratio, Patients, Population, Prevalence, Prothrombin G20210A, Publication, Publication Bias, Resistance, Risk, Risk Factor, Risk-Factors, Science, Selection, Software, Thromboembolism, Thrombosis Patients, Turkey, Turkish Population, Value, Venous Thromboembolism</w:t>
      </w:r>
    </w:p>
    <w:p w:rsidR="007619F9" w:rsidRPr="001A3D2B" w:rsidRDefault="007619F9" w:rsidP="007619F9">
      <w:pPr>
        <w:pStyle w:val="1"/>
      </w:pPr>
      <w:r w:rsidRPr="001A3D2B">
        <w:br w:type="page"/>
      </w:r>
      <w:bookmarkStart w:id="257" w:name="_Toc420815012"/>
      <w:r w:rsidRPr="001A3D2B">
        <w:lastRenderedPageBreak/>
        <w:t xml:space="preserve">Title: </w:t>
      </w:r>
      <w:r w:rsidRPr="007619F9">
        <w:t>Clinical Biochemistry</w:t>
      </w:r>
      <w:bookmarkEnd w:id="257"/>
    </w:p>
    <w:p w:rsidR="007619F9" w:rsidRPr="001A3D2B" w:rsidRDefault="007619F9" w:rsidP="007619F9">
      <w:pPr>
        <w:pStyle w:val="12"/>
      </w:pPr>
      <w:r w:rsidRPr="001A3D2B">
        <w:t xml:space="preserve">Full Journal Title: </w:t>
      </w:r>
      <w:r w:rsidRPr="007619F9">
        <w:rPr>
          <w:iCs/>
          <w:kern w:val="0"/>
        </w:rPr>
        <w:t>Clinical Biochemistry</w:t>
      </w:r>
    </w:p>
    <w:p w:rsidR="007619F9" w:rsidRPr="001A3D2B" w:rsidRDefault="007619F9" w:rsidP="007619F9">
      <w:pPr>
        <w:pStyle w:val="12"/>
      </w:pPr>
      <w:r w:rsidRPr="001A3D2B">
        <w:t xml:space="preserve">ISO Abbreviated Title: </w:t>
      </w:r>
    </w:p>
    <w:p w:rsidR="007619F9" w:rsidRPr="001A3D2B" w:rsidRDefault="007619F9" w:rsidP="007619F9">
      <w:pPr>
        <w:pStyle w:val="12"/>
      </w:pPr>
      <w:r w:rsidRPr="001A3D2B">
        <w:t xml:space="preserve">JCR Abbreviated Title: </w:t>
      </w:r>
    </w:p>
    <w:p w:rsidR="007619F9" w:rsidRPr="001A3D2B" w:rsidRDefault="007619F9" w:rsidP="007619F9">
      <w:pPr>
        <w:pStyle w:val="12"/>
      </w:pPr>
      <w:r w:rsidRPr="001A3D2B">
        <w:t xml:space="preserve">ISSN: </w:t>
      </w:r>
    </w:p>
    <w:p w:rsidR="007619F9" w:rsidRPr="001A3D2B" w:rsidRDefault="007619F9" w:rsidP="007619F9">
      <w:pPr>
        <w:pStyle w:val="12"/>
      </w:pPr>
      <w:r w:rsidRPr="001A3D2B">
        <w:t xml:space="preserve">Issues/Year: </w:t>
      </w:r>
    </w:p>
    <w:p w:rsidR="007619F9" w:rsidRPr="001A3D2B" w:rsidRDefault="007619F9" w:rsidP="007619F9">
      <w:pPr>
        <w:pStyle w:val="12"/>
      </w:pPr>
      <w:r w:rsidRPr="001A3D2B">
        <w:t xml:space="preserve">Journal Country/Territory: </w:t>
      </w:r>
    </w:p>
    <w:p w:rsidR="007619F9" w:rsidRPr="001A3D2B" w:rsidRDefault="007619F9" w:rsidP="007619F9">
      <w:pPr>
        <w:pStyle w:val="12"/>
      </w:pPr>
      <w:r w:rsidRPr="001A3D2B">
        <w:t xml:space="preserve">Language: </w:t>
      </w:r>
    </w:p>
    <w:p w:rsidR="007619F9" w:rsidRPr="001A3D2B" w:rsidRDefault="007619F9" w:rsidP="007619F9">
      <w:pPr>
        <w:pStyle w:val="12"/>
      </w:pPr>
      <w:r w:rsidRPr="001A3D2B">
        <w:t xml:space="preserve">Publisher: </w:t>
      </w:r>
    </w:p>
    <w:p w:rsidR="007619F9" w:rsidRPr="001A3D2B" w:rsidRDefault="007619F9" w:rsidP="007619F9">
      <w:pPr>
        <w:pStyle w:val="12"/>
      </w:pPr>
      <w:r w:rsidRPr="001A3D2B">
        <w:t xml:space="preserve">Publisher Address: </w:t>
      </w:r>
    </w:p>
    <w:p w:rsidR="007619F9" w:rsidRPr="001A3D2B" w:rsidRDefault="007619F9" w:rsidP="007619F9">
      <w:pPr>
        <w:pStyle w:val="12"/>
      </w:pPr>
      <w:r w:rsidRPr="001A3D2B">
        <w:t>Subject Categories:</w:t>
      </w:r>
    </w:p>
    <w:p w:rsidR="007619F9" w:rsidRPr="001A3D2B" w:rsidRDefault="007619F9" w:rsidP="007619F9">
      <w:pPr>
        <w:pStyle w:val="12"/>
      </w:pPr>
      <w:r w:rsidRPr="001A3D2B">
        <w:t xml:space="preserve">: Impact Factor </w:t>
      </w:r>
    </w:p>
    <w:p w:rsidR="007619F9" w:rsidRDefault="007619F9" w:rsidP="007619F9">
      <w:pPr>
        <w:pStyle w:val="a3"/>
        <w:rPr>
          <w:kern w:val="0"/>
        </w:rPr>
      </w:pPr>
      <w:r>
        <w:rPr>
          <w:rFonts w:hint="eastAsia"/>
          <w:kern w:val="0"/>
        </w:rPr>
        <w:t xml:space="preserve">? </w:t>
      </w:r>
      <w:r>
        <w:rPr>
          <w:kern w:val="0"/>
        </w:rPr>
        <w:t xml:space="preserve">Montagnana, M., Danese, E. and Lippi, G. (2014), Calprotectin and cardiovascular events. A narrative review. </w:t>
      </w:r>
      <w:r w:rsidRPr="007619F9">
        <w:rPr>
          <w:i/>
          <w:iCs/>
          <w:kern w:val="0"/>
        </w:rPr>
        <w:t>Clinical Biochemistry</w:t>
      </w:r>
      <w:r>
        <w:rPr>
          <w:kern w:val="0"/>
        </w:rPr>
        <w:t xml:space="preserve">, </w:t>
      </w:r>
      <w:r>
        <w:rPr>
          <w:b/>
          <w:bCs/>
          <w:kern w:val="0"/>
        </w:rPr>
        <w:t>47</w:t>
      </w:r>
      <w:r>
        <w:rPr>
          <w:kern w:val="0"/>
        </w:rPr>
        <w:t xml:space="preserve"> (12), 996-1001.</w:t>
      </w:r>
    </w:p>
    <w:p w:rsidR="007619F9" w:rsidRDefault="007619F9" w:rsidP="007619F9">
      <w:pPr>
        <w:pStyle w:val="a3"/>
        <w:rPr>
          <w:kern w:val="0"/>
        </w:rPr>
      </w:pPr>
      <w:r>
        <w:rPr>
          <w:rFonts w:hint="eastAsia"/>
          <w:kern w:val="0"/>
        </w:rPr>
        <w:t xml:space="preserve">Full Text: </w:t>
      </w:r>
      <w:hyperlink r:id="rId319" w:history="1">
        <w:r w:rsidRPr="007619F9">
          <w:rPr>
            <w:rStyle w:val="a5"/>
            <w:kern w:val="0"/>
          </w:rPr>
          <w:t>2014\Cli Bio47, 996.pdf</w:t>
        </w:r>
      </w:hyperlink>
    </w:p>
    <w:p w:rsidR="007619F9" w:rsidRDefault="007619F9" w:rsidP="007619F9">
      <w:pPr>
        <w:pStyle w:val="a3"/>
        <w:rPr>
          <w:kern w:val="0"/>
        </w:rPr>
      </w:pPr>
      <w:r>
        <w:rPr>
          <w:kern w:val="0"/>
        </w:rPr>
        <w:t xml:space="preserve">Abstract: Objectives: Calprotectin, also known as S100A8/A9 complex, is currently considered as a valid biomarker for diagnosis, follow-up and therapeutic monitoring of inflammatory bowel diseases. The attractive evidence that this protein may be actively produced and released by leukocytes (especially neutrophils) and by nonmyeloid cardiovascular cell types has paved the way to a series of studies that have assessed its biology in the setting of cardiovascular disease. The aim of this review was thus to investigate the diagnostic and prognostic utility of this biomarker in cardiovascular disease and in particular in myocardial infarction. Design and methods: We performed a systematic, electronic search on Medline, Scosus and Web of Science, using the keywords “calprotectin” or “S100A8/A9” or “MRP-8/14” and “myocardial infarction” or “acute coronary syndrome” or “cardiovascular disease”, from inception to June 2013. The bibliographic references of articles published in English, French and Italian were reviewed for additional relevant studies. Results: The data of the current scientific literature seems to confirm that calprotectin is actively secreted in the setting of cardiac ischemia and its concentration is significantly associated with the prognosis. Nevertheless, the evidence provided by recent articles that have assessed its performance for diagnosing acute myocardial infarction, either alone or in combination with troponin, supports the hypothesis that this biomarker may be of limited value for enabling a better or faster diagnosis of cardiac ischemia. Even its putative role as an independent prognostic biomarker of cardiovascular morbidity and death is still largely uncertain. Conclusions: It can hence be concluded that calprotectin does not currently meet the requirements for </w:t>
      </w:r>
      <w:r>
        <w:rPr>
          <w:kern w:val="0"/>
        </w:rPr>
        <w:lastRenderedPageBreak/>
        <w:t>efficient diagnosis and prognostication of patients with cardiovascular disease. (C) 2014 The Canadian Society of Clinical Chemists. Published by Elsevier Inc.</w:t>
      </w:r>
    </w:p>
    <w:p w:rsidR="007619F9" w:rsidRDefault="007619F9" w:rsidP="007619F9">
      <w:pPr>
        <w:pStyle w:val="a3"/>
        <w:rPr>
          <w:kern w:val="0"/>
        </w:rPr>
      </w:pPr>
      <w:r>
        <w:rPr>
          <w:kern w:val="0"/>
        </w:rPr>
        <w:t>Keywords: Acute Coronary Syndrome, Acute Myocardial Infarction, Acute Myocardial-Infarction, Articles, Bibliographic, Biology, Biomarker, Bowel, Calcium-Binding, Calprotectin, Cardiovascular, Cardiovascular Disease, Cell, Chest-Pain, Clinical Validation, Concentration, Data, Death, Design, Diagnosis, Diagnostic, Disease, Diseases, Early-Diagnosis, English, Events, Evidence, Follow-Up, Infarction, Inflammatory Bowel Diseases, Ischemia, Leukocytes, Literature, Medline, Methods, Monitoring, Morbidity, Myeloid-Related Protein-14, Myocardial Infarction, Neutrophils, Patients, Percutaneous Coronary Intervention, Performance, Plaque Instability, Plasma Calprotectin, Prognosis, Prognostic, Prognostication, Protein, Recent, References, Results, Review, Risk Stratification, Role, S100a8, A9, S100a8, A9 Complex, Science, Scientific Literature, Systematic, Therapeutic, Therapeutic Monitoring, Utility, Value, Web Of Science</w:t>
      </w:r>
    </w:p>
    <w:p w:rsidR="003B1470" w:rsidRDefault="003B1470" w:rsidP="003B1470">
      <w:pPr>
        <w:pStyle w:val="a3"/>
        <w:rPr>
          <w:kern w:val="0"/>
        </w:rPr>
      </w:pPr>
      <w:r>
        <w:rPr>
          <w:rFonts w:hint="eastAsia"/>
          <w:kern w:val="0"/>
        </w:rPr>
        <w:t xml:space="preserve">? </w:t>
      </w:r>
      <w:r>
        <w:rPr>
          <w:kern w:val="0"/>
        </w:rPr>
        <w:t xml:space="preserve">Zhao, Y.Y., Cheng, X.L., Vaziri, N.D., Liu, S.M. and Lin, R.C. (2014), UPLC-based metabonomic applications for discovering biomarkers of diseases in clinical chemistry. </w:t>
      </w:r>
      <w:r>
        <w:rPr>
          <w:i/>
          <w:iCs/>
          <w:kern w:val="0"/>
        </w:rPr>
        <w:t>Clinical Biochemistry</w:t>
      </w:r>
      <w:r>
        <w:rPr>
          <w:kern w:val="0"/>
        </w:rPr>
        <w:t xml:space="preserve">, </w:t>
      </w:r>
      <w:r>
        <w:rPr>
          <w:b/>
          <w:bCs/>
          <w:kern w:val="0"/>
        </w:rPr>
        <w:t>47</w:t>
      </w:r>
      <w:r>
        <w:rPr>
          <w:kern w:val="0"/>
        </w:rPr>
        <w:t xml:space="preserve"> (15), 16-26.</w:t>
      </w:r>
    </w:p>
    <w:p w:rsidR="003B1470" w:rsidRDefault="003B1470" w:rsidP="003B1470">
      <w:pPr>
        <w:pStyle w:val="a3"/>
        <w:rPr>
          <w:kern w:val="0"/>
        </w:rPr>
      </w:pPr>
      <w:r>
        <w:rPr>
          <w:rFonts w:hint="eastAsia"/>
          <w:kern w:val="0"/>
        </w:rPr>
        <w:t xml:space="preserve">Full Text: </w:t>
      </w:r>
      <w:hyperlink r:id="rId320" w:history="1">
        <w:r w:rsidRPr="003B1470">
          <w:rPr>
            <w:rStyle w:val="a5"/>
            <w:kern w:val="0"/>
          </w:rPr>
          <w:t>2014\Cli Bio47, 16.pdf</w:t>
        </w:r>
      </w:hyperlink>
    </w:p>
    <w:p w:rsidR="003B1470" w:rsidRDefault="003B1470" w:rsidP="003B1470">
      <w:pPr>
        <w:pStyle w:val="a3"/>
        <w:rPr>
          <w:kern w:val="0"/>
        </w:rPr>
      </w:pPr>
      <w:r>
        <w:rPr>
          <w:kern w:val="0"/>
        </w:rPr>
        <w:t>Abstract: Objectives: Metabonomics is a powerful and promising analytic tool that allows assessment of global low-molecular-weight metabolites in biological systems. It has a great potential for identifying useful biomarkers for early diagnosis, prognosis and assessment of therapeutic interventions in clinical practice. The aim of this review is to provide a brief summary of the recent advances in UPLC-based metabonomic approach for biomarker discovery in a variety of diseases, and to discuss their significance in clinical chemistry. Design and methods: All the available information on UPLC-based metabonomic applications for discovering biomarkers of diseases were collected via a library and electronic search (using Web of Science, Pubmed, ScienceDirect, Springer, Google Scholar, etc.). Results: Metabonomics has been used in clinical chemistry to identify and evaluate potential biomarkers and therapeutic targets in various diseases affecting the liver (hepatocarcinoma and liver cirrhosis), lung (lung cancer and pneumonia), gastrointestinal tract (colorectal cancer) and urogenital tract (prostate cancer, ovarian cancer and chronic kidney disease), as well as metabolic diseases (diabetes) and neuropsychiatric disorders (Alzheimer</w:t>
      </w:r>
      <w:r w:rsidR="0071223E">
        <w:rPr>
          <w:kern w:val="0"/>
        </w:rPr>
        <w:t>’</w:t>
      </w:r>
      <w:r>
        <w:rPr>
          <w:kern w:val="0"/>
        </w:rPr>
        <w:t>s disease and schizophrenia), etc. Conclusions: The information provided highlights the potential value of determination of endogenous low-molecular-weight metabolites and the advantages and potential drawbacks of the application of UPLC-based metabonomics in clinical setting. (C) 2014 The Canadian Society of Clinical Chemists. Published by Elsevier Inc. All rights reserved.</w:t>
      </w:r>
    </w:p>
    <w:p w:rsidR="003B1470" w:rsidRDefault="003B1470" w:rsidP="003B1470">
      <w:pPr>
        <w:pStyle w:val="a3"/>
        <w:rPr>
          <w:kern w:val="0"/>
        </w:rPr>
      </w:pPr>
      <w:r>
        <w:rPr>
          <w:kern w:val="0"/>
        </w:rPr>
        <w:lastRenderedPageBreak/>
        <w:t>Keywords: Advances, Alzheimer</w:t>
      </w:r>
      <w:r w:rsidR="0071223E">
        <w:rPr>
          <w:kern w:val="0"/>
        </w:rPr>
        <w:t>’</w:t>
      </w:r>
      <w:r>
        <w:rPr>
          <w:rFonts w:hint="eastAsia"/>
          <w:kern w:val="0"/>
        </w:rPr>
        <w:t>s</w:t>
      </w:r>
      <w:r>
        <w:rPr>
          <w:kern w:val="0"/>
        </w:rPr>
        <w:t>, Alzheimer</w:t>
      </w:r>
      <w:r w:rsidR="0071223E">
        <w:rPr>
          <w:kern w:val="0"/>
        </w:rPr>
        <w:t>’</w:t>
      </w:r>
      <w:r>
        <w:rPr>
          <w:rFonts w:hint="eastAsia"/>
          <w:kern w:val="0"/>
        </w:rPr>
        <w:t>s</w:t>
      </w:r>
      <w:r>
        <w:rPr>
          <w:kern w:val="0"/>
        </w:rPr>
        <w:t xml:space="preserve"> Disease, Alzheimers-Disease, Application, Approach, Assessment, Biochemical-Changes, Biological, Biomarker, Biomarkers, Cancer, Chemistry, Chromatography-Mass-Spectrometry, Chronic, Chronic Kidney Disease, Chronic Kidney-Disease, Chronic-Renal-Failure, Cirrhosis, Clinical, Clinical Chemistry, Clinical Practice, Colorectal Cancer, Data-Collection Technique, Design, Diabetes, Diagnosis, Discovery, Disease, Disease Biomarkers, Diseases, Early Diagnosis, Global, Google, Google Scholar, Hepatocellular-Carcinoma, I Diabetic-Patients, Information, Interventions, Kidney, Kidney Disease, Liver, Liver Cirrhosis, Lung, Lung Cancer, Lung-Cancer, Mass Spectrometry, Metabolites, Metabonomics, Methods, Ovarian Cancer, Pneumonia, Potential, Potential Biomarkers, Practice, Prognosis, Prostate Cancer, Recent, Results, Review, Rights, Schizophrenia, Science, Significance, Springer, Systems, Therapeutic, Ultra Performance Liquid Chromatography, Urogenital, Value, Web Of Science</w:t>
      </w:r>
    </w:p>
    <w:p w:rsidR="00806353" w:rsidRPr="001A3D2B" w:rsidRDefault="0096099C" w:rsidP="00806353">
      <w:pPr>
        <w:pStyle w:val="1"/>
      </w:pPr>
      <w:r w:rsidRPr="001A3D2B">
        <w:br w:type="page"/>
      </w:r>
      <w:bookmarkStart w:id="258" w:name="_Toc407256513"/>
      <w:bookmarkStart w:id="259" w:name="_Toc420815013"/>
      <w:r w:rsidR="00806353" w:rsidRPr="001A3D2B">
        <w:lastRenderedPageBreak/>
        <w:t xml:space="preserve">Title: </w:t>
      </w:r>
      <w:bookmarkEnd w:id="258"/>
      <w:r w:rsidR="00806353" w:rsidRPr="002876F4">
        <w:rPr>
          <w:iCs w:val="0"/>
        </w:rPr>
        <w:t>Clinical Biomechanics</w:t>
      </w:r>
      <w:bookmarkEnd w:id="259"/>
    </w:p>
    <w:p w:rsidR="00806353" w:rsidRPr="001A3D2B" w:rsidRDefault="00806353" w:rsidP="00806353">
      <w:pPr>
        <w:pStyle w:val="12"/>
      </w:pPr>
      <w:r w:rsidRPr="001A3D2B">
        <w:t xml:space="preserve">Full Journal Title: </w:t>
      </w:r>
      <w:r w:rsidRPr="002876F4">
        <w:rPr>
          <w:iCs/>
          <w:kern w:val="0"/>
        </w:rPr>
        <w:t>Clinical Biomechanics</w:t>
      </w:r>
    </w:p>
    <w:p w:rsidR="0096099C" w:rsidRPr="001A3D2B" w:rsidRDefault="0096099C" w:rsidP="00806353">
      <w:pPr>
        <w:pStyle w:val="12"/>
      </w:pPr>
      <w:r w:rsidRPr="001A3D2B">
        <w:t xml:space="preserve">ISO Abbreviated Title: </w:t>
      </w:r>
    </w:p>
    <w:p w:rsidR="0096099C" w:rsidRPr="001A3D2B" w:rsidRDefault="0096099C" w:rsidP="0096099C">
      <w:pPr>
        <w:pStyle w:val="12"/>
      </w:pPr>
      <w:r w:rsidRPr="001A3D2B">
        <w:t xml:space="preserve">JCR Abbreviated Title: </w:t>
      </w:r>
    </w:p>
    <w:p w:rsidR="0096099C" w:rsidRPr="001A3D2B" w:rsidRDefault="0096099C" w:rsidP="0096099C">
      <w:pPr>
        <w:pStyle w:val="12"/>
      </w:pPr>
      <w:r w:rsidRPr="001A3D2B">
        <w:t xml:space="preserve">ISSN: </w:t>
      </w:r>
    </w:p>
    <w:p w:rsidR="0096099C" w:rsidRPr="001A3D2B" w:rsidRDefault="0096099C" w:rsidP="0096099C">
      <w:pPr>
        <w:pStyle w:val="12"/>
      </w:pPr>
      <w:r w:rsidRPr="001A3D2B">
        <w:t xml:space="preserve">Issues/Year: </w:t>
      </w:r>
    </w:p>
    <w:p w:rsidR="0096099C" w:rsidRPr="001A3D2B" w:rsidRDefault="0096099C" w:rsidP="0096099C">
      <w:pPr>
        <w:pStyle w:val="12"/>
      </w:pPr>
      <w:r w:rsidRPr="001A3D2B">
        <w:t xml:space="preserve">Journal Country/Territory: </w:t>
      </w:r>
    </w:p>
    <w:p w:rsidR="0096099C" w:rsidRPr="001A3D2B" w:rsidRDefault="0096099C" w:rsidP="0096099C">
      <w:pPr>
        <w:pStyle w:val="12"/>
      </w:pPr>
      <w:r w:rsidRPr="001A3D2B">
        <w:t xml:space="preserve">Language: </w:t>
      </w:r>
    </w:p>
    <w:p w:rsidR="0096099C" w:rsidRPr="001A3D2B" w:rsidRDefault="0096099C" w:rsidP="0096099C">
      <w:pPr>
        <w:pStyle w:val="12"/>
      </w:pPr>
      <w:r w:rsidRPr="001A3D2B">
        <w:t xml:space="preserve">Publisher: </w:t>
      </w:r>
    </w:p>
    <w:p w:rsidR="0096099C" w:rsidRPr="001A3D2B" w:rsidRDefault="0096099C" w:rsidP="0096099C">
      <w:pPr>
        <w:pStyle w:val="12"/>
      </w:pPr>
      <w:r w:rsidRPr="001A3D2B">
        <w:t xml:space="preserve">Publisher Address: </w:t>
      </w:r>
    </w:p>
    <w:p w:rsidR="0096099C" w:rsidRPr="001A3D2B" w:rsidRDefault="0096099C" w:rsidP="0096099C">
      <w:pPr>
        <w:pStyle w:val="12"/>
      </w:pPr>
      <w:r w:rsidRPr="001A3D2B">
        <w:t>Subject Categories:</w:t>
      </w:r>
    </w:p>
    <w:p w:rsidR="0096099C" w:rsidRPr="001A3D2B" w:rsidRDefault="0096099C" w:rsidP="0096099C">
      <w:pPr>
        <w:pStyle w:val="12"/>
      </w:pPr>
      <w:r w:rsidRPr="001A3D2B">
        <w:t xml:space="preserve">: Impact Factor </w:t>
      </w:r>
    </w:p>
    <w:p w:rsidR="0096099C" w:rsidRDefault="0096099C" w:rsidP="0096099C">
      <w:pPr>
        <w:pStyle w:val="a3"/>
        <w:rPr>
          <w:kern w:val="0"/>
        </w:rPr>
      </w:pPr>
      <w:r>
        <w:rPr>
          <w:rFonts w:hint="eastAsia"/>
          <w:kern w:val="0"/>
        </w:rPr>
        <w:t xml:space="preserve">? </w:t>
      </w:r>
      <w:r>
        <w:rPr>
          <w:kern w:val="0"/>
        </w:rPr>
        <w:t>Gholizadeh, H., Abu Osman, N.A., Eshraghi, A., Ali, S. and Razak, N.A. (2014), Transtibial prosthesis suspension systems: Systematic review</w:t>
      </w:r>
      <w:r w:rsidR="00427468">
        <w:rPr>
          <w:kern w:val="0"/>
        </w:rPr>
        <w:t xml:space="preserve"> of </w:t>
      </w:r>
      <w:r>
        <w:rPr>
          <w:kern w:val="0"/>
        </w:rPr>
        <w:t xml:space="preserve">literature. </w:t>
      </w:r>
      <w:r>
        <w:rPr>
          <w:i/>
          <w:iCs/>
          <w:kern w:val="0"/>
        </w:rPr>
        <w:t>Clinical Biomechanics</w:t>
      </w:r>
      <w:r>
        <w:rPr>
          <w:kern w:val="0"/>
        </w:rPr>
        <w:t xml:space="preserve">, </w:t>
      </w:r>
      <w:r>
        <w:rPr>
          <w:b/>
          <w:bCs/>
          <w:kern w:val="0"/>
        </w:rPr>
        <w:t>29</w:t>
      </w:r>
      <w:r>
        <w:rPr>
          <w:kern w:val="0"/>
        </w:rPr>
        <w:t xml:space="preserve"> (1), 87-97.</w:t>
      </w:r>
    </w:p>
    <w:p w:rsidR="0096099C" w:rsidRDefault="0096099C" w:rsidP="0096099C">
      <w:pPr>
        <w:pStyle w:val="a3"/>
        <w:rPr>
          <w:kern w:val="0"/>
        </w:rPr>
      </w:pPr>
      <w:r>
        <w:rPr>
          <w:rFonts w:hint="eastAsia"/>
          <w:kern w:val="0"/>
        </w:rPr>
        <w:t xml:space="preserve">Full Text: </w:t>
      </w:r>
      <w:hyperlink r:id="rId321" w:history="1">
        <w:r w:rsidRPr="0096099C">
          <w:rPr>
            <w:rStyle w:val="a5"/>
            <w:kern w:val="0"/>
          </w:rPr>
          <w:t>2014\Cli Bio29, 87.pdf</w:t>
        </w:r>
      </w:hyperlink>
    </w:p>
    <w:p w:rsidR="0096099C" w:rsidRDefault="0096099C" w:rsidP="0096099C">
      <w:pPr>
        <w:pStyle w:val="a3"/>
        <w:rPr>
          <w:kern w:val="0"/>
        </w:rPr>
      </w:pPr>
      <w:r>
        <w:rPr>
          <w:kern w:val="0"/>
        </w:rPr>
        <w:t>Abstract: Background: Today a number</w:t>
      </w:r>
      <w:r w:rsidR="00427468">
        <w:rPr>
          <w:kern w:val="0"/>
        </w:rPr>
        <w:t xml:space="preserve"> of </w:t>
      </w:r>
      <w:r>
        <w:rPr>
          <w:kern w:val="0"/>
        </w:rPr>
        <w:t>prosthetic suspension systems are available for transtibial amputees. Consideration</w:t>
      </w:r>
      <w:r w:rsidR="00427468">
        <w:rPr>
          <w:kern w:val="0"/>
        </w:rPr>
        <w:t xml:space="preserve"> of </w:t>
      </w:r>
      <w:r>
        <w:rPr>
          <w:kern w:val="0"/>
        </w:rPr>
        <w:t>an appropriate suspension system can ensure that amputee</w:t>
      </w:r>
      <w:r w:rsidR="0071223E">
        <w:rPr>
          <w:kern w:val="0"/>
        </w:rPr>
        <w:t>’</w:t>
      </w:r>
      <w:r>
        <w:rPr>
          <w:kern w:val="0"/>
        </w:rPr>
        <w:t>s functional needs are satisfied</w:t>
      </w:r>
      <w:r w:rsidR="00A37C1D">
        <w:rPr>
          <w:kern w:val="0"/>
        </w:rPr>
        <w:t>. The</w:t>
      </w:r>
      <w:r>
        <w:rPr>
          <w:kern w:val="0"/>
        </w:rPr>
        <w:t xml:space="preserve"> higher the insight to suspension systems, the easier would be the selection for prosthetists. This review attempted to find scientific evidence pertaining to various transtibial suspension systems to provide selection criteria for clinicians. Methods: Databases</w:t>
      </w:r>
      <w:r w:rsidR="00427468">
        <w:rPr>
          <w:kern w:val="0"/>
        </w:rPr>
        <w:t xml:space="preserve"> of </w:t>
      </w:r>
      <w:r>
        <w:rPr>
          <w:kern w:val="0"/>
        </w:rPr>
        <w:t>PubMed, Web</w:t>
      </w:r>
      <w:r w:rsidR="00427468">
        <w:rPr>
          <w:kern w:val="0"/>
        </w:rPr>
        <w:t xml:space="preserve"> of </w:t>
      </w:r>
      <w:r>
        <w:rPr>
          <w:kern w:val="0"/>
        </w:rPr>
        <w:t>Science, and ScienceDirect were explored to find related articles. Search terms were as follows: “Transtibial prosthesis (32), prosthetic suspension (48), lower limb prosthesis (54), below-knee prosthesis (58), prosthetic liner (20), transtibial (193), and prosthetic socket (111)”. Two reviewers separately examined the papers. Study design (case series</w:t>
      </w:r>
      <w:r w:rsidR="00427468">
        <w:rPr>
          <w:kern w:val="0"/>
        </w:rPr>
        <w:t xml:space="preserve"> of </w:t>
      </w:r>
      <w:r>
        <w:rPr>
          <w:kern w:val="0"/>
        </w:rPr>
        <w:t>five or more subjects, retrospective or prospective), research instrument, sampling method, outcome measures and protocols were reviewed.. Findings: Based on the selection criteria, 22 articles (15 prospective studies, and 7 surveys) remained. Sweat control was found to be a major concern with the available suspension liners. Donning and doffing procedures for soft liners are also problematic for some users, particularly those with upper limb weakness. Moreover, the total surface bearing (TSB) socket with pin/lock system is favored by the majority</w:t>
      </w:r>
      <w:r w:rsidR="00427468">
        <w:rPr>
          <w:kern w:val="0"/>
        </w:rPr>
        <w:t xml:space="preserve"> of </w:t>
      </w:r>
      <w:r>
        <w:rPr>
          <w:kern w:val="0"/>
        </w:rPr>
        <w:t>amputees. Interpretation: In summary, no clinical evidence is available to suggest what kind</w:t>
      </w:r>
      <w:r w:rsidR="00427468">
        <w:rPr>
          <w:kern w:val="0"/>
        </w:rPr>
        <w:t xml:space="preserve"> of </w:t>
      </w:r>
      <w:r>
        <w:rPr>
          <w:kern w:val="0"/>
        </w:rPr>
        <w:t xml:space="preserve">suspension system could have an influential effect as a “standard” system for all transtibial amputees. However, among various suspension systems for transtibial amputees, the Iceross system was favored by the </w:t>
      </w:r>
      <w:r>
        <w:rPr>
          <w:kern w:val="0"/>
        </w:rPr>
        <w:lastRenderedPageBreak/>
        <w:t>majority</w:t>
      </w:r>
      <w:r w:rsidR="00427468">
        <w:rPr>
          <w:kern w:val="0"/>
        </w:rPr>
        <w:t xml:space="preserve"> of </w:t>
      </w:r>
      <w:r>
        <w:rPr>
          <w:kern w:val="0"/>
        </w:rPr>
        <w:t>users in terms</w:t>
      </w:r>
      <w:r w:rsidR="00427468">
        <w:rPr>
          <w:kern w:val="0"/>
        </w:rPr>
        <w:t xml:space="preserve"> of </w:t>
      </w:r>
      <w:r>
        <w:rPr>
          <w:kern w:val="0"/>
        </w:rPr>
        <w:t>function and comfort. (C) 2013 Elsevier Ltd. All rights reserved.</w:t>
      </w:r>
    </w:p>
    <w:p w:rsidR="0096099C" w:rsidRDefault="0096099C" w:rsidP="0096099C">
      <w:pPr>
        <w:pStyle w:val="a3"/>
        <w:rPr>
          <w:kern w:val="0"/>
        </w:rPr>
      </w:pPr>
      <w:r>
        <w:rPr>
          <w:kern w:val="0"/>
        </w:rPr>
        <w:t>Keywords: Amputees, Attempted, Below-Knee Prosthesis, Clinical, Control, Criteria, Databases, Design, Evidence, Function, Instrument, Interface Pressures, Interpretation, Knee Amputees, Literature, Lower Limb Prosthesis, Lower-Limb Amputees, Measures, Methods, Motion-Analysis, Needs, Outcome, Outcome Measures, Papers, Patellar Tendon-Bearing, Patient Satisfaction, Perceived Problems, Pin Suspension, Procedures, Prospective, Prospective Studies, Prosthetic Liner, Prosthetic Socket, Prosthetic Suspension, Protocols, Pubmed, Research, Residual-Limb, Review, Review</w:t>
      </w:r>
      <w:r w:rsidR="00427468">
        <w:rPr>
          <w:kern w:val="0"/>
        </w:rPr>
        <w:t xml:space="preserve"> of </w:t>
      </w:r>
      <w:r>
        <w:rPr>
          <w:kern w:val="0"/>
        </w:rPr>
        <w:t>Literature, Rights, Sampling, Science, Scientific Evidence, Search, Selection, Selection Criteria, Surface, Surveys, Suspension, Systematic Review, Systems, Trans-Tibial Amputees, Transtibial Prostheses, Web</w:t>
      </w:r>
      <w:r w:rsidR="00427468">
        <w:rPr>
          <w:kern w:val="0"/>
        </w:rPr>
        <w:t xml:space="preserve"> of </w:t>
      </w:r>
      <w:r>
        <w:rPr>
          <w:kern w:val="0"/>
        </w:rPr>
        <w:t>Science</w:t>
      </w:r>
    </w:p>
    <w:p w:rsidR="00806353" w:rsidRDefault="00806353" w:rsidP="00806353">
      <w:pPr>
        <w:pStyle w:val="a3"/>
        <w:rPr>
          <w:kern w:val="0"/>
        </w:rPr>
      </w:pPr>
      <w:r>
        <w:rPr>
          <w:kern w:val="0"/>
        </w:rPr>
        <w:t xml:space="preserve">? Silva, A., Manso, A., Andrade, R., Domingues, V., Brandao, M.P. and Silva, A.G. (2014), Quantitative in vivo longitudinal nerve excursion and strain in response to joint movement: A systematic literature review. </w:t>
      </w:r>
      <w:r>
        <w:rPr>
          <w:i/>
          <w:iCs/>
          <w:kern w:val="0"/>
        </w:rPr>
        <w:t>Clinical Biomechanics</w:t>
      </w:r>
      <w:r>
        <w:rPr>
          <w:kern w:val="0"/>
        </w:rPr>
        <w:t xml:space="preserve">, </w:t>
      </w:r>
      <w:r>
        <w:rPr>
          <w:b/>
          <w:bCs/>
          <w:kern w:val="0"/>
        </w:rPr>
        <w:t>29</w:t>
      </w:r>
      <w:r>
        <w:rPr>
          <w:kern w:val="0"/>
        </w:rPr>
        <w:t xml:space="preserve"> (8), 839-847.</w:t>
      </w:r>
    </w:p>
    <w:p w:rsidR="00806353" w:rsidRDefault="00806353" w:rsidP="00806353">
      <w:pPr>
        <w:pStyle w:val="a3"/>
        <w:rPr>
          <w:kern w:val="0"/>
        </w:rPr>
      </w:pPr>
      <w:r>
        <w:rPr>
          <w:rFonts w:hint="eastAsia"/>
          <w:kern w:val="0"/>
        </w:rPr>
        <w:t xml:space="preserve">Full Text: </w:t>
      </w:r>
      <w:r w:rsidRPr="00804B40">
        <w:rPr>
          <w:kern w:val="0"/>
        </w:rPr>
        <w:t xml:space="preserve">2014\Cli Bio29, </w:t>
      </w:r>
      <w:r>
        <w:rPr>
          <w:kern w:val="0"/>
        </w:rPr>
        <w:t>839</w:t>
      </w:r>
      <w:r w:rsidRPr="00804B40">
        <w:rPr>
          <w:kern w:val="0"/>
        </w:rPr>
        <w:t>.pdf</w:t>
      </w:r>
    </w:p>
    <w:p w:rsidR="00806353" w:rsidRDefault="00806353" w:rsidP="00806353">
      <w:pPr>
        <w:pStyle w:val="a3"/>
        <w:rPr>
          <w:kern w:val="0"/>
        </w:rPr>
      </w:pPr>
      <w:r>
        <w:rPr>
          <w:kern w:val="0"/>
        </w:rPr>
        <w:t>Abstract: Background: Neural system mobilization is widely used in the treatment of several painful conditions. Data on nerve biomechanics is crucial to inform the design of mobilization exercises. Therefore, the aim of this review is to characterize normal nervous system biomechanics in terms of excursion and strain. Methods: Studies were sought from Pubmed, Physiotherapy Evidence Database, Cochrane Library, Web of Science and Scielo. Two reviewers’ screened titles and abstracts, assessed full reports for potentially eligible studies, extracted information on studies’ characteristics and assessed its methodological quality. Findings: Twelve studies were included in this review that assessed the median nerve (n = 8), the ulnar nerve (n = 1), the tibial nerve (n = 1), the sciatic nerve (n = 1) and both the tibial and the sciatic nerves (n = 1). All included studies assessed longitudinal nerve excursion and one assessed nerve strain. Absolute values varied between 0.1 mm and 12.5 mm for median nerve excursion, between 0.1 mm and 4.0 mm for ulnar nerve excursion, between 0.7 mm and 52 mm for tibial nerve excursion and between 0.1 mm and 3.5 mm for sciatic nerve excursion. Maximum reported median nerve strain was 2.0%. Interpretation: Range of motion for the moving joint, distance from the moving joint to the site of the lesion, position of adjacent joints, number of moving joints and whether joint movement stretches or shortens the nerve bed need to be considered when designing neural mobilization exercises as all of these factors seem to have an impact on nerve excursion. (C) 2014 Elsevier Ltd. All rights reserved.</w:t>
      </w:r>
    </w:p>
    <w:p w:rsidR="00806353" w:rsidRDefault="00806353" w:rsidP="00806353">
      <w:pPr>
        <w:pStyle w:val="a3"/>
        <w:rPr>
          <w:kern w:val="0"/>
        </w:rPr>
      </w:pPr>
      <w:r>
        <w:rPr>
          <w:kern w:val="0"/>
        </w:rPr>
        <w:t xml:space="preserve">Keywords: Absolute, Biomechanics, Carpal-Tunnel-Syndrome, Characteristics, Data, </w:t>
      </w:r>
      <w:r>
        <w:rPr>
          <w:kern w:val="0"/>
        </w:rPr>
        <w:lastRenderedPageBreak/>
        <w:t>Database, Design, Evidence, Excursion, Exercises, Factors, From, Gliding Exercises, Impact, In Vivo, Information, Interpretation, Literature, Literature Review, Longitudinal, Median Nerve, Methods, Mobilization, Movement, Nerves, Neural Mobilization, Neuropathy, Normal, People, Physiotherapy, Plantar Nerves, Position, Quality, Reliability, Response, Review, Reviewers, Rights, Science, Site, Sonography, Strain, Systematic, Systematic Literature Review, Tibial Nerve, Treatment, Ultrasound, Web, Web Of Science</w:t>
      </w:r>
    </w:p>
    <w:p w:rsidR="002C0FA4" w:rsidRDefault="002C0FA4" w:rsidP="002C0FA4">
      <w:pPr>
        <w:pStyle w:val="a3"/>
      </w:pPr>
      <w:r>
        <w:rPr>
          <w:rFonts w:hint="eastAsia"/>
        </w:rPr>
        <w:t xml:space="preserve">? </w:t>
      </w:r>
      <w:r>
        <w:t xml:space="preserve">Lawson, T., Morrison, A., Blaxland, S., Wenman, M., Schmidt, C.G. and Hunt, M.A. (2015), Laboratory-based measurement of standing balance in individuals with knee osteoarthritis: A systematic review. </w:t>
      </w:r>
      <w:r>
        <w:rPr>
          <w:i/>
          <w:iCs/>
        </w:rPr>
        <w:t>Clinical Biomechanics</w:t>
      </w:r>
      <w:r>
        <w:t xml:space="preserve">, </w:t>
      </w:r>
      <w:r>
        <w:rPr>
          <w:b/>
          <w:bCs/>
        </w:rPr>
        <w:t>30</w:t>
      </w:r>
      <w:r>
        <w:t xml:space="preserve"> (4), 330-342.</w:t>
      </w:r>
    </w:p>
    <w:p w:rsidR="002C0FA4" w:rsidRDefault="002C0FA4" w:rsidP="002C0FA4">
      <w:pPr>
        <w:pStyle w:val="a3"/>
        <w:rPr>
          <w:kern w:val="0"/>
        </w:rPr>
      </w:pPr>
      <w:r>
        <w:rPr>
          <w:rFonts w:hint="eastAsia"/>
          <w:kern w:val="0"/>
        </w:rPr>
        <w:t xml:space="preserve">Full Text: </w:t>
      </w:r>
      <w:hyperlink r:id="rId322" w:history="1">
        <w:r w:rsidRPr="007F5569">
          <w:rPr>
            <w:rStyle w:val="a5"/>
            <w:kern w:val="0"/>
          </w:rPr>
          <w:t>2015\Cli Bio30, 330.pdf</w:t>
        </w:r>
      </w:hyperlink>
    </w:p>
    <w:p w:rsidR="002C0FA4" w:rsidRDefault="002C0FA4" w:rsidP="002C0FA4">
      <w:pPr>
        <w:pStyle w:val="a3"/>
      </w:pPr>
      <w:r>
        <w:t>Abstract: Background: Laboratory-based measurement of standing balance is used to assess postural control in people with and without pathology, including knee osteoarthritis. However, no summary of available data has been reported in this patient population. This study aimed to summarize available data and testing methods for individuals with knee osteoarthritis. Methods: Medline (OvidSP and PubMed), Embase, CINAHL, and Web of Science were searched from 1994 to October 25, 2014 to identify studies containing a quantifiable measure of standing balance. Methodological quality was assessed using a modified 17-item Downs &amp; Black quality index. Studies scoring &lt;50% were eliminated. Findings: The search strategy initially yielded 1523 unique papers; 21 met all inclusion and quality assessment criteria. The variables measured in three or more of the 21 papers were anteroposterior centre of pressure (COP) velocity, mediolateral COP velocity, mean COP velocity, anteroposterior range of COP, mediolateral range of COP, anteroposterior COP standard deviation, mediolateral COP standard deviation, COP path length, COP area, Biodex anteroposterior score, Biodex mediolateral score, and overall Biodex score. In general, people with knee osteoarthritis exhibited worse standing balance compared to healthy controls. However, there remained much discrepancy in testing procedures across studies. Interpretation: These findings indicate that people with knee osteoarthritis exhibit altered postural control. However, no conclusions could be made on the differences between radiographic seventies. That said, these findings provide an opportunity for future researchers and clinicians to compare their findings with the currently published data. (C) 2015 Elsevier Ltd. All rights reserved.</w:t>
      </w:r>
    </w:p>
    <w:p w:rsidR="002C0FA4" w:rsidRDefault="002C0FA4" w:rsidP="002C0FA4">
      <w:pPr>
        <w:pStyle w:val="a3"/>
      </w:pPr>
      <w:r>
        <w:t xml:space="preserve">Keywords: Arthroplasty, Assessment, Balance, Control, Criteria, Data, Feasibility, General, Index, Knee Osteoarthritis, Length, Measure, Measurement, Methods, Modified, Pain, Papers, Pathology, Physical-Activity, Population, Postural Control, Postural Stability, Predictors, Pressure, Pressure Measures, Procedures, Pubmed, Quality, Quality Assessment, Reliability, Review, Rights, Science, Search Strategy, </w:t>
      </w:r>
      <w:r>
        <w:lastRenderedPageBreak/>
        <w:t>Standard, Strategy, Sway, Systematic Review, Testing, Web Of Science, Women</w:t>
      </w:r>
    </w:p>
    <w:p w:rsidR="00BC65EF" w:rsidRPr="001A3D2B" w:rsidRDefault="00BC65EF" w:rsidP="00BC65EF">
      <w:pPr>
        <w:pStyle w:val="1"/>
      </w:pPr>
      <w:r w:rsidRPr="001A3D2B">
        <w:br w:type="page"/>
      </w:r>
      <w:bookmarkStart w:id="260" w:name="_Toc420815014"/>
      <w:r w:rsidRPr="001A3D2B">
        <w:lastRenderedPageBreak/>
        <w:t xml:space="preserve">Title: </w:t>
      </w:r>
      <w:r w:rsidRPr="00BC65EF">
        <w:rPr>
          <w:iCs w:val="0"/>
        </w:rPr>
        <w:t>Clinical Cancer Research</w:t>
      </w:r>
      <w:bookmarkEnd w:id="260"/>
    </w:p>
    <w:p w:rsidR="00BC65EF" w:rsidRPr="001A3D2B" w:rsidRDefault="00BC65EF" w:rsidP="00BC65EF">
      <w:pPr>
        <w:pStyle w:val="12"/>
      </w:pPr>
      <w:r w:rsidRPr="001A3D2B">
        <w:t xml:space="preserve">Full Journal Title: </w:t>
      </w:r>
      <w:r w:rsidRPr="00BC65EF">
        <w:rPr>
          <w:iCs/>
          <w:kern w:val="0"/>
        </w:rPr>
        <w:t>Clinical Cancer Research</w:t>
      </w:r>
    </w:p>
    <w:p w:rsidR="00BC65EF" w:rsidRPr="001A3D2B" w:rsidRDefault="00BC65EF" w:rsidP="00BC65EF">
      <w:pPr>
        <w:pStyle w:val="12"/>
      </w:pPr>
      <w:r w:rsidRPr="001A3D2B">
        <w:t xml:space="preserve">ISO Abbreviated Title: </w:t>
      </w:r>
    </w:p>
    <w:p w:rsidR="00BC65EF" w:rsidRPr="001A3D2B" w:rsidRDefault="00BC65EF" w:rsidP="00BC65EF">
      <w:pPr>
        <w:pStyle w:val="12"/>
      </w:pPr>
      <w:r w:rsidRPr="001A3D2B">
        <w:t xml:space="preserve">JCR Abbreviated Title: </w:t>
      </w:r>
    </w:p>
    <w:p w:rsidR="00BC65EF" w:rsidRPr="001A3D2B" w:rsidRDefault="00BC65EF" w:rsidP="00BC65EF">
      <w:pPr>
        <w:pStyle w:val="12"/>
      </w:pPr>
      <w:r w:rsidRPr="001A3D2B">
        <w:t xml:space="preserve">ISSN: </w:t>
      </w:r>
    </w:p>
    <w:p w:rsidR="00BC65EF" w:rsidRPr="001A3D2B" w:rsidRDefault="00BC65EF" w:rsidP="00BC65EF">
      <w:pPr>
        <w:pStyle w:val="12"/>
      </w:pPr>
      <w:r w:rsidRPr="001A3D2B">
        <w:t xml:space="preserve">Issues/Year: </w:t>
      </w:r>
    </w:p>
    <w:p w:rsidR="00BC65EF" w:rsidRPr="001A3D2B" w:rsidRDefault="00BC65EF" w:rsidP="00BC65EF">
      <w:pPr>
        <w:pStyle w:val="12"/>
      </w:pPr>
      <w:r w:rsidRPr="001A3D2B">
        <w:t xml:space="preserve">Journal Country/Territory: </w:t>
      </w:r>
    </w:p>
    <w:p w:rsidR="00BC65EF" w:rsidRPr="001A3D2B" w:rsidRDefault="00BC65EF" w:rsidP="00BC65EF">
      <w:pPr>
        <w:pStyle w:val="12"/>
      </w:pPr>
      <w:r w:rsidRPr="001A3D2B">
        <w:t xml:space="preserve">Language: </w:t>
      </w:r>
    </w:p>
    <w:p w:rsidR="00BC65EF" w:rsidRPr="001A3D2B" w:rsidRDefault="00BC65EF" w:rsidP="00BC65EF">
      <w:pPr>
        <w:pStyle w:val="12"/>
      </w:pPr>
      <w:r w:rsidRPr="001A3D2B">
        <w:t xml:space="preserve">Publisher: </w:t>
      </w:r>
    </w:p>
    <w:p w:rsidR="00BC65EF" w:rsidRPr="001A3D2B" w:rsidRDefault="00BC65EF" w:rsidP="00BC65EF">
      <w:pPr>
        <w:pStyle w:val="12"/>
      </w:pPr>
      <w:r w:rsidRPr="001A3D2B">
        <w:t xml:space="preserve">Publisher Address: </w:t>
      </w:r>
    </w:p>
    <w:p w:rsidR="00BC65EF" w:rsidRPr="001A3D2B" w:rsidRDefault="00BC65EF" w:rsidP="00BC65EF">
      <w:pPr>
        <w:pStyle w:val="12"/>
      </w:pPr>
      <w:r w:rsidRPr="001A3D2B">
        <w:t>Subject Categories:</w:t>
      </w:r>
    </w:p>
    <w:p w:rsidR="00BC65EF" w:rsidRPr="001A3D2B" w:rsidRDefault="00BC65EF" w:rsidP="00BC65EF">
      <w:pPr>
        <w:pStyle w:val="12"/>
      </w:pPr>
      <w:r w:rsidRPr="001A3D2B">
        <w:t xml:space="preserve">: Impact Factor </w:t>
      </w:r>
    </w:p>
    <w:p w:rsidR="00BC65EF" w:rsidRDefault="00BC65EF" w:rsidP="00BC65EF">
      <w:pPr>
        <w:pStyle w:val="a3"/>
        <w:rPr>
          <w:kern w:val="0"/>
        </w:rPr>
      </w:pPr>
      <w:r>
        <w:rPr>
          <w:rFonts w:hint="eastAsia"/>
          <w:kern w:val="0"/>
        </w:rPr>
        <w:t xml:space="preserve">? </w:t>
      </w:r>
      <w:r>
        <w:rPr>
          <w:kern w:val="0"/>
        </w:rPr>
        <w:t>Nagorsen, D.</w:t>
      </w:r>
      <w:r w:rsidR="005853A9">
        <w:rPr>
          <w:kern w:val="0"/>
        </w:rPr>
        <w:t xml:space="preserve"> and </w:t>
      </w:r>
      <w:r>
        <w:rPr>
          <w:kern w:val="0"/>
        </w:rPr>
        <w:t>Thiel, E. (2006), Clinical</w:t>
      </w:r>
      <w:r w:rsidR="005853A9">
        <w:rPr>
          <w:kern w:val="0"/>
        </w:rPr>
        <w:t xml:space="preserve"> and </w:t>
      </w:r>
      <w:r>
        <w:rPr>
          <w:kern w:val="0"/>
        </w:rPr>
        <w:t xml:space="preserve">immunologic responses to active specific cancer vaccines in human colorectal cancer. </w:t>
      </w:r>
      <w:r>
        <w:rPr>
          <w:i/>
          <w:iCs/>
          <w:kern w:val="0"/>
        </w:rPr>
        <w:t>Clinical Cancer Research</w:t>
      </w:r>
      <w:r>
        <w:rPr>
          <w:kern w:val="0"/>
        </w:rPr>
        <w:t xml:space="preserve">, </w:t>
      </w:r>
      <w:r>
        <w:rPr>
          <w:b/>
          <w:bCs/>
          <w:kern w:val="0"/>
        </w:rPr>
        <w:t>12</w:t>
      </w:r>
      <w:r>
        <w:rPr>
          <w:kern w:val="0"/>
        </w:rPr>
        <w:t xml:space="preserve"> (10), 3064-3069.</w:t>
      </w:r>
    </w:p>
    <w:p w:rsidR="00BC65EF" w:rsidRDefault="00BC65EF" w:rsidP="00BC65EF">
      <w:pPr>
        <w:pStyle w:val="a3"/>
        <w:rPr>
          <w:kern w:val="0"/>
        </w:rPr>
      </w:pPr>
      <w:r>
        <w:rPr>
          <w:kern w:val="0"/>
        </w:rPr>
        <w:t>Abstract: Colorectal cancer is a common malignant disease, which, despite some progress, still requires improved therapeutic options. Several clinical studies have used active specific immunotherapy (i.e., vaccination) in colorectal cancer. However,</w:t>
      </w:r>
      <w:r w:rsidR="003A1917">
        <w:rPr>
          <w:kern w:val="0"/>
        </w:rPr>
        <w:t xml:space="preserve"> the </w:t>
      </w:r>
      <w:r>
        <w:rPr>
          <w:kern w:val="0"/>
        </w:rPr>
        <w:t>literature still lacks a comprehensive meta-analysis</w:t>
      </w:r>
      <w:r w:rsidR="00427468">
        <w:rPr>
          <w:kern w:val="0"/>
        </w:rPr>
        <w:t xml:space="preserve"> of </w:t>
      </w:r>
      <w:r>
        <w:rPr>
          <w:kern w:val="0"/>
        </w:rPr>
        <w:t>this approach in advanced colorectal cancer. We did a systematic review with a meta-analysis</w:t>
      </w:r>
      <w:r w:rsidR="00427468">
        <w:rPr>
          <w:kern w:val="0"/>
        </w:rPr>
        <w:t xml:space="preserve"> of </w:t>
      </w:r>
      <w:r>
        <w:rPr>
          <w:kern w:val="0"/>
        </w:rPr>
        <w:t>clinical studies to evaluate</w:t>
      </w:r>
      <w:r w:rsidR="003A1917">
        <w:rPr>
          <w:kern w:val="0"/>
        </w:rPr>
        <w:t xml:space="preserve"> the </w:t>
      </w:r>
      <w:r>
        <w:rPr>
          <w:kern w:val="0"/>
        </w:rPr>
        <w:t>objective clinical</w:t>
      </w:r>
      <w:r w:rsidR="005853A9">
        <w:rPr>
          <w:kern w:val="0"/>
        </w:rPr>
        <w:t xml:space="preserve"> and </w:t>
      </w:r>
      <w:r>
        <w:rPr>
          <w:kern w:val="0"/>
        </w:rPr>
        <w:t>immunologic response to active specific immunotherapy in patients with colorectal cancer. We conducted a search</w:t>
      </w:r>
      <w:r w:rsidR="00427468">
        <w:rPr>
          <w:kern w:val="0"/>
        </w:rPr>
        <w:t xml:space="preserve"> of </w:t>
      </w:r>
      <w:r w:rsidR="00D5664A">
        <w:rPr>
          <w:kern w:val="0"/>
        </w:rPr>
        <w:t>MEDLINE</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manually reviewed</w:t>
      </w:r>
      <w:r w:rsidR="003A1917">
        <w:rPr>
          <w:kern w:val="0"/>
        </w:rPr>
        <w:t xml:space="preserve"> the </w:t>
      </w:r>
      <w:r>
        <w:rPr>
          <w:kern w:val="0"/>
        </w:rPr>
        <w:t>literature,</w:t>
      </w:r>
      <w:r w:rsidR="005853A9">
        <w:rPr>
          <w:kern w:val="0"/>
        </w:rPr>
        <w:t xml:space="preserve"> and </w:t>
      </w:r>
      <w:r>
        <w:rPr>
          <w:kern w:val="0"/>
        </w:rPr>
        <w:t>consulted with experts. Criteria for including studies were colorectal cancer patients, active specific immunotherapy to induce a response directed against cancer or cancer antigens, an evaluable tumor burden (i.e., advanced or metastatic colorectal cancer),</w:t>
      </w:r>
      <w:r w:rsidR="005853A9">
        <w:rPr>
          <w:kern w:val="0"/>
        </w:rPr>
        <w:t xml:space="preserve"> and </w:t>
      </w:r>
      <w:r>
        <w:rPr>
          <w:kern w:val="0"/>
        </w:rPr>
        <w:t>precise classification</w:t>
      </w:r>
      <w:r w:rsidR="00427468">
        <w:rPr>
          <w:kern w:val="0"/>
        </w:rPr>
        <w:t xml:space="preserve"> of </w:t>
      </w:r>
      <w:r w:rsidR="003A1917">
        <w:rPr>
          <w:kern w:val="0"/>
        </w:rPr>
        <w:t xml:space="preserve">the </w:t>
      </w:r>
      <w:r>
        <w:rPr>
          <w:kern w:val="0"/>
        </w:rPr>
        <w:t>patient, disease,</w:t>
      </w:r>
      <w:r w:rsidR="005853A9">
        <w:rPr>
          <w:kern w:val="0"/>
        </w:rPr>
        <w:t xml:space="preserve"> and </w:t>
      </w:r>
      <w:r>
        <w:rPr>
          <w:kern w:val="0"/>
        </w:rPr>
        <w:t>response. Response rates were assessed according to WHO criteria. Primary end points were</w:t>
      </w:r>
      <w:r w:rsidR="003A1917">
        <w:rPr>
          <w:kern w:val="0"/>
        </w:rPr>
        <w:t xml:space="preserve"> the </w:t>
      </w:r>
      <w:r>
        <w:rPr>
          <w:kern w:val="0"/>
        </w:rPr>
        <w:t>objective clinical response rate</w:t>
      </w:r>
      <w:r w:rsidR="005853A9">
        <w:rPr>
          <w:kern w:val="0"/>
        </w:rPr>
        <w:t xml:space="preserve"> and </w:t>
      </w:r>
      <w:r w:rsidR="003A1917">
        <w:rPr>
          <w:kern w:val="0"/>
        </w:rPr>
        <w:t xml:space="preserve">the </w:t>
      </w:r>
      <w:r>
        <w:rPr>
          <w:kern w:val="0"/>
        </w:rPr>
        <w:t>rate</w:t>
      </w:r>
      <w:r w:rsidR="00427468">
        <w:rPr>
          <w:kern w:val="0"/>
        </w:rPr>
        <w:t xml:space="preserve"> of </w:t>
      </w:r>
      <w:r>
        <w:rPr>
          <w:kern w:val="0"/>
        </w:rPr>
        <w:t>immunologic responses</w:t>
      </w:r>
      <w:r w:rsidR="00A37C1D">
        <w:rPr>
          <w:kern w:val="0"/>
        </w:rPr>
        <w:t>. The</w:t>
      </w:r>
      <w:r w:rsidR="003A1917">
        <w:rPr>
          <w:kern w:val="0"/>
        </w:rPr>
        <w:t xml:space="preserve"> </w:t>
      </w:r>
      <w:r>
        <w:rPr>
          <w:kern w:val="0"/>
        </w:rPr>
        <w:t>secondary end point was</w:t>
      </w:r>
      <w:r w:rsidR="003A1917">
        <w:rPr>
          <w:kern w:val="0"/>
        </w:rPr>
        <w:t xml:space="preserve"> the </w:t>
      </w:r>
      <w:r>
        <w:rPr>
          <w:kern w:val="0"/>
        </w:rPr>
        <w:t>distribution</w:t>
      </w:r>
      <w:r w:rsidR="00427468">
        <w:rPr>
          <w:kern w:val="0"/>
        </w:rPr>
        <w:t xml:space="preserve"> of </w:t>
      </w:r>
      <w:r>
        <w:rPr>
          <w:kern w:val="0"/>
        </w:rPr>
        <w:t>immune</w:t>
      </w:r>
      <w:r w:rsidR="005853A9">
        <w:rPr>
          <w:kern w:val="0"/>
        </w:rPr>
        <w:t xml:space="preserve"> and </w:t>
      </w:r>
      <w:r>
        <w:rPr>
          <w:kern w:val="0"/>
        </w:rPr>
        <w:t>clinical responses in relation to</w:t>
      </w:r>
      <w:r w:rsidR="003A1917">
        <w:rPr>
          <w:kern w:val="0"/>
        </w:rPr>
        <w:t xml:space="preserve"> the </w:t>
      </w:r>
      <w:r>
        <w:rPr>
          <w:kern w:val="0"/>
        </w:rPr>
        <w:t>route</w:t>
      </w:r>
      <w:r w:rsidR="00427468">
        <w:rPr>
          <w:kern w:val="0"/>
        </w:rPr>
        <w:t xml:space="preserve"> of </w:t>
      </w:r>
      <w:r>
        <w:rPr>
          <w:kern w:val="0"/>
        </w:rPr>
        <w:t>vaccination</w:t>
      </w:r>
      <w:r w:rsidR="005853A9">
        <w:rPr>
          <w:kern w:val="0"/>
        </w:rPr>
        <w:t xml:space="preserve"> and </w:t>
      </w:r>
      <w:r w:rsidR="003A1917">
        <w:rPr>
          <w:kern w:val="0"/>
        </w:rPr>
        <w:t xml:space="preserve">the </w:t>
      </w:r>
      <w:r>
        <w:rPr>
          <w:kern w:val="0"/>
        </w:rPr>
        <w:t>type</w:t>
      </w:r>
      <w:r w:rsidR="00427468">
        <w:rPr>
          <w:kern w:val="0"/>
        </w:rPr>
        <w:t xml:space="preserve"> of </w:t>
      </w:r>
      <w:r>
        <w:rPr>
          <w:kern w:val="0"/>
        </w:rPr>
        <w:t>vaccine. Thirty-two phase I/II studies reporting on 527 patients with advanced or metastatic colorectal cancer met all inclusion criteria. Pooled analysis showed an overall response rate (complete response + partial response)</w:t>
      </w:r>
      <w:r w:rsidR="00427468">
        <w:rPr>
          <w:kern w:val="0"/>
        </w:rPr>
        <w:t xml:space="preserve"> of </w:t>
      </w:r>
      <w:r>
        <w:rPr>
          <w:kern w:val="0"/>
        </w:rPr>
        <w:t>0.9% for advanced/metastatic colorectal cancer patients who underwent active specific immunization with a broad variety</w:t>
      </w:r>
      <w:r w:rsidR="00427468">
        <w:rPr>
          <w:kern w:val="0"/>
        </w:rPr>
        <w:t xml:space="preserve"> of </w:t>
      </w:r>
      <w:r>
        <w:rPr>
          <w:kern w:val="0"/>
        </w:rPr>
        <w:t>substances (e.g., autologous tumor cells, peptide vaccine, dendritic cells, idiotypic antibody,</w:t>
      </w:r>
      <w:r w:rsidR="005853A9">
        <w:rPr>
          <w:kern w:val="0"/>
        </w:rPr>
        <w:t xml:space="preserve"> and </w:t>
      </w:r>
      <w:r>
        <w:rPr>
          <w:kern w:val="0"/>
        </w:rPr>
        <w:t>virus-based vaccine). Humoral immune responses were reported in 59%,</w:t>
      </w:r>
      <w:r w:rsidR="005853A9">
        <w:rPr>
          <w:kern w:val="0"/>
        </w:rPr>
        <w:t xml:space="preserve"> and </w:t>
      </w:r>
      <w:r>
        <w:rPr>
          <w:kern w:val="0"/>
        </w:rPr>
        <w:t xml:space="preserve">cellular ones were </w:t>
      </w:r>
      <w:r>
        <w:rPr>
          <w:kern w:val="0"/>
        </w:rPr>
        <w:lastRenderedPageBreak/>
        <w:t>reported in 44%</w:t>
      </w:r>
      <w:r w:rsidR="00427468">
        <w:rPr>
          <w:kern w:val="0"/>
        </w:rPr>
        <w:t xml:space="preserve"> of </w:t>
      </w:r>
      <w:r w:rsidR="003A1917">
        <w:rPr>
          <w:kern w:val="0"/>
        </w:rPr>
        <w:t xml:space="preserve">the </w:t>
      </w:r>
      <w:r>
        <w:rPr>
          <w:kern w:val="0"/>
        </w:rPr>
        <w:t>cases. Mixed or minor responses</w:t>
      </w:r>
      <w:r w:rsidR="005853A9">
        <w:rPr>
          <w:kern w:val="0"/>
        </w:rPr>
        <w:t xml:space="preserve"> and </w:t>
      </w:r>
      <w:r>
        <w:rPr>
          <w:kern w:val="0"/>
        </w:rPr>
        <w:t>disease stabilization are described in 1.9%</w:t>
      </w:r>
      <w:r w:rsidR="005853A9">
        <w:rPr>
          <w:kern w:val="0"/>
        </w:rPr>
        <w:t xml:space="preserve"> and </w:t>
      </w:r>
      <w:r>
        <w:rPr>
          <w:kern w:val="0"/>
        </w:rPr>
        <w:t>8.3%</w:t>
      </w:r>
      <w:r w:rsidR="00427468">
        <w:rPr>
          <w:kern w:val="0"/>
        </w:rPr>
        <w:t xml:space="preserve"> of </w:t>
      </w:r>
      <w:r>
        <w:rPr>
          <w:kern w:val="0"/>
        </w:rPr>
        <w:t>colorectal cancer patients, respectively. Pooled results</w:t>
      </w:r>
      <w:r w:rsidR="00427468">
        <w:rPr>
          <w:kern w:val="0"/>
        </w:rPr>
        <w:t xml:space="preserve"> of </w:t>
      </w:r>
      <w:r>
        <w:rPr>
          <w:kern w:val="0"/>
        </w:rPr>
        <w:t>clinical trials reveal a very weak clinical response rate</w:t>
      </w:r>
      <w:r w:rsidR="00427468">
        <w:rPr>
          <w:kern w:val="0"/>
        </w:rPr>
        <w:t xml:space="preserve"> of </w:t>
      </w:r>
      <w:r>
        <w:rPr>
          <w:kern w:val="0"/>
        </w:rPr>
        <w:t>0% for active specific immunization procedures currently available for advanced colorectal cancer. Immune response induction is described in approximately half</w:t>
      </w:r>
      <w:r w:rsidR="003A1917">
        <w:rPr>
          <w:kern w:val="0"/>
        </w:rPr>
        <w:t xml:space="preserve"> the </w:t>
      </w:r>
      <w:r>
        <w:rPr>
          <w:kern w:val="0"/>
        </w:rPr>
        <w:t>patients.</w:t>
      </w:r>
    </w:p>
    <w:p w:rsidR="00BC65EF" w:rsidRDefault="00BC65EF" w:rsidP="00BC65EF">
      <w:pPr>
        <w:pStyle w:val="a3"/>
        <w:rPr>
          <w:kern w:val="0"/>
        </w:rPr>
      </w:pPr>
      <w:r>
        <w:rPr>
          <w:kern w:val="0"/>
        </w:rPr>
        <w:t xml:space="preserve">Keywords: Analysis, Antibody Vaccine, Burden, Cancer, Carcinoma Patients, Clinical Trials, Colony-Stimulating Factor, Colorectal Cancer, Dendritic Cells, Disease, Encoding Carcinoembryonic Antigen, Gastrointestinal Malignancies, Human, I, Ii, Immune-Responses, Immunization, Immunotherapy, Literature, Meta-Analysis, Peptide Vaccine, Phase-I Trial, Points, Pooled Analysis, Primary, Review, Science, Systematic, Systematic Review, Tumor-Cell Vaccine, Vaccination, Vaccine, Vaccines, </w:t>
      </w:r>
      <w:r w:rsidR="00D5664A">
        <w:rPr>
          <w:kern w:val="0"/>
        </w:rPr>
        <w:t>Web</w:t>
      </w:r>
      <w:r w:rsidR="00427468">
        <w:rPr>
          <w:kern w:val="0"/>
        </w:rPr>
        <w:t xml:space="preserve"> of </w:t>
      </w:r>
      <w:r w:rsidR="00D5664A">
        <w:rPr>
          <w:kern w:val="0"/>
        </w:rPr>
        <w:t>Science</w:t>
      </w:r>
      <w:r>
        <w:rPr>
          <w:kern w:val="0"/>
        </w:rPr>
        <w:t>, Who</w:t>
      </w:r>
    </w:p>
    <w:p w:rsidR="00BC65EF" w:rsidRDefault="00BC65EF" w:rsidP="00BC65EF">
      <w:pPr>
        <w:pStyle w:val="a3"/>
        <w:rPr>
          <w:kern w:val="0"/>
        </w:rPr>
      </w:pPr>
      <w:r>
        <w:rPr>
          <w:rFonts w:hint="eastAsia"/>
          <w:kern w:val="0"/>
        </w:rPr>
        <w:t xml:space="preserve">? </w:t>
      </w:r>
      <w:r>
        <w:rPr>
          <w:kern w:val="0"/>
        </w:rPr>
        <w:t>Maitland, M.L., Hudoba, C., Snider, K.L.</w:t>
      </w:r>
      <w:r w:rsidR="005853A9">
        <w:rPr>
          <w:kern w:val="0"/>
        </w:rPr>
        <w:t xml:space="preserve"> and </w:t>
      </w:r>
      <w:r>
        <w:rPr>
          <w:kern w:val="0"/>
        </w:rPr>
        <w:t>Ratain, M.J. (2010), Analysis</w:t>
      </w:r>
      <w:r w:rsidR="00427468">
        <w:rPr>
          <w:kern w:val="0"/>
        </w:rPr>
        <w:t xml:space="preserve"> of </w:t>
      </w:r>
      <w:r w:rsidR="003A1917">
        <w:rPr>
          <w:kern w:val="0"/>
        </w:rPr>
        <w:t xml:space="preserve">the </w:t>
      </w:r>
      <w:r>
        <w:rPr>
          <w:kern w:val="0"/>
        </w:rPr>
        <w:t>yield</w:t>
      </w:r>
      <w:r w:rsidR="00427468">
        <w:rPr>
          <w:kern w:val="0"/>
        </w:rPr>
        <w:t xml:space="preserve"> of </w:t>
      </w:r>
      <w:r>
        <w:rPr>
          <w:kern w:val="0"/>
        </w:rPr>
        <w:t xml:space="preserve">phase II combination therapy trials in medical oncology. </w:t>
      </w:r>
      <w:r w:rsidRPr="00BC65EF">
        <w:rPr>
          <w:i/>
          <w:iCs/>
          <w:kern w:val="0"/>
        </w:rPr>
        <w:t>Clinical Cancer Research</w:t>
      </w:r>
      <w:r>
        <w:rPr>
          <w:kern w:val="0"/>
        </w:rPr>
        <w:t xml:space="preserve">, </w:t>
      </w:r>
      <w:r>
        <w:rPr>
          <w:b/>
          <w:bCs/>
          <w:kern w:val="0"/>
        </w:rPr>
        <w:t>16</w:t>
      </w:r>
      <w:r>
        <w:rPr>
          <w:kern w:val="0"/>
        </w:rPr>
        <w:t xml:space="preserve"> (21), 5296-5302.</w:t>
      </w:r>
    </w:p>
    <w:p w:rsidR="00BC65EF" w:rsidRDefault="00BC65EF" w:rsidP="00BC65EF">
      <w:pPr>
        <w:pStyle w:val="a3"/>
        <w:rPr>
          <w:kern w:val="0"/>
        </w:rPr>
      </w:pPr>
      <w:r>
        <w:rPr>
          <w:kern w:val="0"/>
        </w:rPr>
        <w:t>Abstract: Purpose: Phase II clinical studies screen for treatment regimens that improve patient care, but screening combination regimens is especially challenging. We hypothesized that recognized flaws</w:t>
      </w:r>
      <w:r w:rsidR="00427468">
        <w:rPr>
          <w:kern w:val="0"/>
        </w:rPr>
        <w:t xml:space="preserve"> of </w:t>
      </w:r>
      <w:r>
        <w:rPr>
          <w:kern w:val="0"/>
        </w:rPr>
        <w:t xml:space="preserve">single-arm trials could be magnified in combination treatment studies, leading to many reported positive phase II trials but with a low fraction resulting in practice-changing phase III trials. Experimental Design: We searched </w:t>
      </w:r>
      <w:r w:rsidR="00D5664A">
        <w:rPr>
          <w:kern w:val="0"/>
        </w:rPr>
        <w:t>MEDLINE</w:t>
      </w:r>
      <w:r w:rsidR="005853A9">
        <w:rPr>
          <w:kern w:val="0"/>
        </w:rPr>
        <w:t xml:space="preserve"> and </w:t>
      </w:r>
      <w:r>
        <w:rPr>
          <w:kern w:val="0"/>
        </w:rPr>
        <w:t>identified 363 combination chemotherapy clinical trials published in 2001</w:t>
      </w:r>
      <w:r w:rsidR="005853A9">
        <w:rPr>
          <w:kern w:val="0"/>
        </w:rPr>
        <w:t xml:space="preserve"> and </w:t>
      </w:r>
      <w:r>
        <w:rPr>
          <w:kern w:val="0"/>
        </w:rPr>
        <w:t>2002. Studies were rated as positive, negative, or inconclusive based on a standardized review</w:t>
      </w:r>
      <w:r w:rsidR="00427468">
        <w:rPr>
          <w:kern w:val="0"/>
        </w:rPr>
        <w:t xml:space="preserve"> of </w:t>
      </w:r>
      <w:r>
        <w:rPr>
          <w:kern w:val="0"/>
        </w:rPr>
        <w:t>abstract</w:t>
      </w:r>
      <w:r w:rsidR="005853A9">
        <w:rPr>
          <w:kern w:val="0"/>
        </w:rPr>
        <w:t xml:space="preserve"> and </w:t>
      </w:r>
      <w:r>
        <w:rPr>
          <w:kern w:val="0"/>
        </w:rPr>
        <w:t>text</w:t>
      </w:r>
      <w:r w:rsidR="00A37C1D">
        <w:rPr>
          <w:kern w:val="0"/>
        </w:rPr>
        <w:t>. The</w:t>
      </w:r>
      <w:r w:rsidR="003A1917">
        <w:rPr>
          <w:kern w:val="0"/>
        </w:rPr>
        <w:t xml:space="preserve"> </w:t>
      </w:r>
      <w:r w:rsidR="00D5664A">
        <w:rPr>
          <w:kern w:val="0"/>
        </w:rPr>
        <w:t>Web</w:t>
      </w:r>
      <w:r w:rsidR="00427468">
        <w:rPr>
          <w:kern w:val="0"/>
        </w:rPr>
        <w:t xml:space="preserve"> of </w:t>
      </w:r>
      <w:r w:rsidR="00D5664A">
        <w:rPr>
          <w:kern w:val="0"/>
        </w:rPr>
        <w:t>Science</w:t>
      </w:r>
      <w:r>
        <w:rPr>
          <w:kern w:val="0"/>
        </w:rPr>
        <w:t xml:space="preserve"> Index (Thomson Reuters, NY, NY) was searched for all articles published between January 2003</w:t>
      </w:r>
      <w:r w:rsidR="005853A9">
        <w:rPr>
          <w:kern w:val="0"/>
        </w:rPr>
        <w:t xml:space="preserve"> and </w:t>
      </w:r>
      <w:r>
        <w:rPr>
          <w:kern w:val="0"/>
        </w:rPr>
        <w:t>October 2007 that cited at least one</w:t>
      </w:r>
      <w:r w:rsidR="00427468">
        <w:rPr>
          <w:kern w:val="0"/>
        </w:rPr>
        <w:t xml:space="preserve"> of </w:t>
      </w:r>
      <w:r>
        <w:rPr>
          <w:kern w:val="0"/>
        </w:rPr>
        <w:t>these 363 published trials. Results:</w:t>
      </w:r>
      <w:r w:rsidR="00427468">
        <w:rPr>
          <w:kern w:val="0"/>
        </w:rPr>
        <w:t xml:space="preserve"> of </w:t>
      </w:r>
      <w:r>
        <w:rPr>
          <w:kern w:val="0"/>
        </w:rPr>
        <w:t>363 published phase II combination chemotherapy trials, 262 (72%) were declared to be positive. Among 3,760 unique subsequent citing papers, 20 reported randomized phase III trials</w:t>
      </w:r>
      <w:r w:rsidR="00427468">
        <w:rPr>
          <w:kern w:val="0"/>
        </w:rPr>
        <w:t xml:space="preserve"> of </w:t>
      </w:r>
      <w:r w:rsidR="003A1917">
        <w:rPr>
          <w:kern w:val="0"/>
        </w:rPr>
        <w:t xml:space="preserve">the </w:t>
      </w:r>
      <w:r>
        <w:rPr>
          <w:kern w:val="0"/>
        </w:rPr>
        <w:t>same combination in</w:t>
      </w:r>
      <w:r w:rsidR="003A1917">
        <w:rPr>
          <w:kern w:val="0"/>
        </w:rPr>
        <w:t xml:space="preserve"> the </w:t>
      </w:r>
      <w:r>
        <w:rPr>
          <w:kern w:val="0"/>
        </w:rPr>
        <w:t>same disease as</w:t>
      </w:r>
      <w:r w:rsidR="003A1917">
        <w:rPr>
          <w:kern w:val="0"/>
        </w:rPr>
        <w:t xml:space="preserve"> the </w:t>
      </w:r>
      <w:r>
        <w:rPr>
          <w:kern w:val="0"/>
        </w:rPr>
        <w:t>source paper,</w:t>
      </w:r>
      <w:r w:rsidR="005853A9">
        <w:rPr>
          <w:kern w:val="0"/>
        </w:rPr>
        <w:t xml:space="preserve"> and </w:t>
      </w:r>
      <w:r>
        <w:rPr>
          <w:kern w:val="0"/>
        </w:rPr>
        <w:t>10</w:t>
      </w:r>
      <w:r w:rsidR="00427468">
        <w:rPr>
          <w:kern w:val="0"/>
        </w:rPr>
        <w:t xml:space="preserve"> of </w:t>
      </w:r>
      <w:r>
        <w:rPr>
          <w:kern w:val="0"/>
        </w:rPr>
        <w:t>these resulted in improved standards</w:t>
      </w:r>
      <w:r w:rsidR="00427468">
        <w:rPr>
          <w:kern w:val="0"/>
        </w:rPr>
        <w:t xml:space="preserve"> of </w:t>
      </w:r>
      <w:r>
        <w:rPr>
          <w:kern w:val="0"/>
        </w:rPr>
        <w:t>care. Estimating from these data,</w:t>
      </w:r>
      <w:r w:rsidR="003A1917">
        <w:rPr>
          <w:kern w:val="0"/>
        </w:rPr>
        <w:t xml:space="preserve"> the </w:t>
      </w:r>
      <w:r>
        <w:rPr>
          <w:kern w:val="0"/>
        </w:rPr>
        <w:t>likelihood that a published, positive phase II combination chemotherapy trial will result in a subsequent trial showing an improvement in standard</w:t>
      </w:r>
      <w:r w:rsidR="00427468">
        <w:rPr>
          <w:kern w:val="0"/>
        </w:rPr>
        <w:t xml:space="preserve"> of </w:t>
      </w:r>
      <w:r>
        <w:rPr>
          <w:kern w:val="0"/>
        </w:rPr>
        <w:t>care within five years was 0.038 (95% confidence interval, 0.016-0.064). Conclusions:</w:t>
      </w:r>
      <w:r w:rsidR="003A1917">
        <w:rPr>
          <w:kern w:val="0"/>
        </w:rPr>
        <w:t xml:space="preserve"> the </w:t>
      </w:r>
      <w:r>
        <w:rPr>
          <w:kern w:val="0"/>
        </w:rPr>
        <w:t>contributory value</w:t>
      </w:r>
      <w:r w:rsidR="00427468">
        <w:rPr>
          <w:kern w:val="0"/>
        </w:rPr>
        <w:t xml:space="preserve"> of </w:t>
      </w:r>
      <w:r>
        <w:rPr>
          <w:kern w:val="0"/>
        </w:rPr>
        <w:t>combination chemotherapy phase II trials done by 2001-2002 standards is low despite</w:t>
      </w:r>
      <w:r w:rsidR="003A1917">
        <w:rPr>
          <w:kern w:val="0"/>
        </w:rPr>
        <w:t xml:space="preserve"> the </w:t>
      </w:r>
      <w:r>
        <w:rPr>
          <w:kern w:val="0"/>
        </w:rPr>
        <w:t>participation</w:t>
      </w:r>
      <w:r w:rsidR="00427468">
        <w:rPr>
          <w:kern w:val="0"/>
        </w:rPr>
        <w:t xml:space="preserve"> of </w:t>
      </w:r>
      <w:r>
        <w:rPr>
          <w:kern w:val="0"/>
        </w:rPr>
        <w:t>more than 16,000 subjects. Future phase II studies</w:t>
      </w:r>
      <w:r w:rsidR="00427468">
        <w:rPr>
          <w:kern w:val="0"/>
        </w:rPr>
        <w:t xml:space="preserve"> of </w:t>
      </w:r>
      <w:r>
        <w:rPr>
          <w:kern w:val="0"/>
        </w:rPr>
        <w:t>combination regimens require better methods to screen for treatments most likely to improve standards</w:t>
      </w:r>
      <w:r w:rsidR="00427468">
        <w:rPr>
          <w:kern w:val="0"/>
        </w:rPr>
        <w:t xml:space="preserve"> of </w:t>
      </w:r>
      <w:r>
        <w:rPr>
          <w:kern w:val="0"/>
        </w:rPr>
        <w:t>care. Clin Cancer Res; 16(21); 5296-302. (C)2010 AACR.</w:t>
      </w:r>
    </w:p>
    <w:p w:rsidR="00BC65EF" w:rsidRDefault="00BC65EF" w:rsidP="00BC65EF">
      <w:pPr>
        <w:pStyle w:val="a3"/>
        <w:rPr>
          <w:kern w:val="0"/>
        </w:rPr>
      </w:pPr>
      <w:r>
        <w:rPr>
          <w:kern w:val="0"/>
        </w:rPr>
        <w:t xml:space="preserve">Keywords: Cancer, Carboplatin, Cell Lung-Cancer, Chemotherapy, Clinical Trials, Clinical-Trials, Design, Disease, </w:t>
      </w:r>
      <w:r w:rsidR="00D5664A">
        <w:rPr>
          <w:kern w:val="0"/>
        </w:rPr>
        <w:t>MEDLINE</w:t>
      </w:r>
      <w:r>
        <w:rPr>
          <w:kern w:val="0"/>
        </w:rPr>
        <w:t xml:space="preserve">, Oncology, Outcomes, Paclitaxel, </w:t>
      </w:r>
      <w:r>
        <w:rPr>
          <w:kern w:val="0"/>
        </w:rPr>
        <w:lastRenderedPageBreak/>
        <w:t xml:space="preserve">Papers, Predictors, Rates, Review, Science, Screening, Standards, Success, Targeted Agents, Treatment, </w:t>
      </w:r>
      <w:r w:rsidR="00D5664A">
        <w:rPr>
          <w:kern w:val="0"/>
        </w:rPr>
        <w:t>Web</w:t>
      </w:r>
      <w:r w:rsidR="00427468">
        <w:rPr>
          <w:kern w:val="0"/>
        </w:rPr>
        <w:t xml:space="preserve"> of </w:t>
      </w:r>
      <w:r w:rsidR="00D5664A">
        <w:rPr>
          <w:kern w:val="0"/>
        </w:rPr>
        <w:t>Science</w:t>
      </w:r>
    </w:p>
    <w:p w:rsidR="00D72764" w:rsidRPr="001A3D2B" w:rsidRDefault="00D72764" w:rsidP="00D72764">
      <w:pPr>
        <w:pStyle w:val="1"/>
      </w:pPr>
      <w:r w:rsidRPr="001A3D2B">
        <w:br w:type="page"/>
      </w:r>
      <w:bookmarkStart w:id="261" w:name="_Toc420815015"/>
      <w:r w:rsidRPr="001A3D2B">
        <w:lastRenderedPageBreak/>
        <w:t xml:space="preserve">Title: </w:t>
      </w:r>
      <w:r w:rsidRPr="00D72764">
        <w:rPr>
          <w:iCs w:val="0"/>
        </w:rPr>
        <w:t>Clinical Cardiology</w:t>
      </w:r>
      <w:bookmarkEnd w:id="261"/>
    </w:p>
    <w:p w:rsidR="00D72764" w:rsidRPr="001A3D2B" w:rsidRDefault="00D72764" w:rsidP="00D72764">
      <w:pPr>
        <w:pStyle w:val="12"/>
      </w:pPr>
      <w:r w:rsidRPr="001A3D2B">
        <w:t xml:space="preserve">Full Journal Title: </w:t>
      </w:r>
      <w:r w:rsidRPr="00D72764">
        <w:rPr>
          <w:iCs/>
          <w:kern w:val="0"/>
        </w:rPr>
        <w:t>Clinical Cardiology</w:t>
      </w:r>
    </w:p>
    <w:p w:rsidR="00D72764" w:rsidRPr="001A3D2B" w:rsidRDefault="00D72764" w:rsidP="00D72764">
      <w:pPr>
        <w:pStyle w:val="12"/>
      </w:pPr>
      <w:r w:rsidRPr="001A3D2B">
        <w:t xml:space="preserve">ISO Abbreviated Title: </w:t>
      </w:r>
    </w:p>
    <w:p w:rsidR="00D72764" w:rsidRPr="001A3D2B" w:rsidRDefault="00D72764" w:rsidP="00D72764">
      <w:pPr>
        <w:pStyle w:val="12"/>
      </w:pPr>
      <w:r w:rsidRPr="001A3D2B">
        <w:t xml:space="preserve">JCR Abbreviated Title: </w:t>
      </w:r>
    </w:p>
    <w:p w:rsidR="00D72764" w:rsidRPr="001A3D2B" w:rsidRDefault="00D72764" w:rsidP="00D72764">
      <w:pPr>
        <w:pStyle w:val="12"/>
      </w:pPr>
      <w:r w:rsidRPr="001A3D2B">
        <w:t xml:space="preserve">ISSN: </w:t>
      </w:r>
    </w:p>
    <w:p w:rsidR="00D72764" w:rsidRPr="001A3D2B" w:rsidRDefault="00D72764" w:rsidP="00D72764">
      <w:pPr>
        <w:pStyle w:val="12"/>
      </w:pPr>
      <w:r w:rsidRPr="001A3D2B">
        <w:t xml:space="preserve">Issues/Year: </w:t>
      </w:r>
    </w:p>
    <w:p w:rsidR="00D72764" w:rsidRPr="001A3D2B" w:rsidRDefault="00D72764" w:rsidP="00D72764">
      <w:pPr>
        <w:pStyle w:val="12"/>
      </w:pPr>
      <w:r w:rsidRPr="001A3D2B">
        <w:t xml:space="preserve">Journal Country/Territory: </w:t>
      </w:r>
    </w:p>
    <w:p w:rsidR="00D72764" w:rsidRPr="001A3D2B" w:rsidRDefault="00D72764" w:rsidP="00D72764">
      <w:pPr>
        <w:pStyle w:val="12"/>
      </w:pPr>
      <w:r w:rsidRPr="001A3D2B">
        <w:t xml:space="preserve">Language: </w:t>
      </w:r>
    </w:p>
    <w:p w:rsidR="00D72764" w:rsidRPr="001A3D2B" w:rsidRDefault="00D72764" w:rsidP="00D72764">
      <w:pPr>
        <w:pStyle w:val="12"/>
      </w:pPr>
      <w:r w:rsidRPr="001A3D2B">
        <w:t xml:space="preserve">Publisher: </w:t>
      </w:r>
    </w:p>
    <w:p w:rsidR="00D72764" w:rsidRPr="001A3D2B" w:rsidRDefault="00D72764" w:rsidP="00D72764">
      <w:pPr>
        <w:pStyle w:val="12"/>
      </w:pPr>
      <w:r w:rsidRPr="001A3D2B">
        <w:t xml:space="preserve">Publisher Address: </w:t>
      </w:r>
    </w:p>
    <w:p w:rsidR="00D72764" w:rsidRPr="001A3D2B" w:rsidRDefault="00D72764" w:rsidP="00D72764">
      <w:pPr>
        <w:pStyle w:val="12"/>
      </w:pPr>
      <w:r w:rsidRPr="001A3D2B">
        <w:t>Subject Categories:</w:t>
      </w:r>
    </w:p>
    <w:p w:rsidR="00D72764" w:rsidRPr="001A3D2B" w:rsidRDefault="00D72764" w:rsidP="00D72764">
      <w:pPr>
        <w:pStyle w:val="12"/>
      </w:pPr>
      <w:r w:rsidRPr="001A3D2B">
        <w:t xml:space="preserve">: Impact Factor </w:t>
      </w:r>
    </w:p>
    <w:p w:rsidR="00D72764" w:rsidRDefault="00D72764" w:rsidP="00D72764">
      <w:pPr>
        <w:pStyle w:val="a3"/>
        <w:rPr>
          <w:kern w:val="0"/>
        </w:rPr>
      </w:pPr>
      <w:r>
        <w:rPr>
          <w:kern w:val="0"/>
        </w:rPr>
        <w:t>? Chatterjee, S., Kim, J., Dahhan, A., Choudhary, G., Sharma, S.</w:t>
      </w:r>
      <w:r w:rsidR="005853A9">
        <w:rPr>
          <w:kern w:val="0"/>
        </w:rPr>
        <w:t xml:space="preserve"> and </w:t>
      </w:r>
      <w:r>
        <w:rPr>
          <w:kern w:val="0"/>
        </w:rPr>
        <w:t>Wu, W.C. (2013), Use</w:t>
      </w:r>
      <w:r w:rsidR="00427468">
        <w:rPr>
          <w:kern w:val="0"/>
        </w:rPr>
        <w:t xml:space="preserve"> of </w:t>
      </w:r>
      <w:r>
        <w:rPr>
          <w:kern w:val="0"/>
        </w:rPr>
        <w:t xml:space="preserve">high-sensitivity Troponin assays predicts mortality in patients with normal conventional Troponin assays on admission-insights from a meta-analysis. </w:t>
      </w:r>
      <w:r w:rsidRPr="00D72764">
        <w:rPr>
          <w:i/>
          <w:iCs/>
          <w:kern w:val="0"/>
        </w:rPr>
        <w:t>Clinical Cardiology</w:t>
      </w:r>
      <w:r>
        <w:rPr>
          <w:kern w:val="0"/>
        </w:rPr>
        <w:t xml:space="preserve">, </w:t>
      </w:r>
      <w:r>
        <w:rPr>
          <w:b/>
          <w:bCs/>
          <w:kern w:val="0"/>
        </w:rPr>
        <w:t>36</w:t>
      </w:r>
      <w:r>
        <w:rPr>
          <w:kern w:val="0"/>
        </w:rPr>
        <w:t xml:space="preserve"> (11), 649-653.</w:t>
      </w:r>
    </w:p>
    <w:p w:rsidR="00D72764" w:rsidRDefault="00D72764" w:rsidP="00D72764">
      <w:pPr>
        <w:pStyle w:val="a3"/>
        <w:rPr>
          <w:kern w:val="0"/>
        </w:rPr>
      </w:pPr>
      <w:r>
        <w:rPr>
          <w:rFonts w:hint="eastAsia"/>
          <w:kern w:val="0"/>
        </w:rPr>
        <w:t xml:space="preserve">Full Text: </w:t>
      </w:r>
      <w:hyperlink r:id="rId323" w:history="1">
        <w:r w:rsidRPr="00D72764">
          <w:rPr>
            <w:rStyle w:val="a5"/>
            <w:kern w:val="0"/>
          </w:rPr>
          <w:t>2013\Cli Car36, 649.pdf</w:t>
        </w:r>
      </w:hyperlink>
    </w:p>
    <w:p w:rsidR="00D72764" w:rsidRDefault="00D72764" w:rsidP="00D72764">
      <w:pPr>
        <w:pStyle w:val="a3"/>
        <w:rPr>
          <w:kern w:val="0"/>
        </w:rPr>
      </w:pPr>
      <w:r>
        <w:rPr>
          <w:kern w:val="0"/>
        </w:rPr>
        <w:t>Abstract: BackgroundUse</w:t>
      </w:r>
      <w:r w:rsidR="00427468">
        <w:rPr>
          <w:kern w:val="0"/>
        </w:rPr>
        <w:t xml:space="preserve"> of </w:t>
      </w:r>
      <w:r>
        <w:rPr>
          <w:kern w:val="0"/>
        </w:rPr>
        <w:t>high-sensitivity troponin (hs-Tn) assays can detect small levels</w:t>
      </w:r>
      <w:r w:rsidR="00427468">
        <w:rPr>
          <w:kern w:val="0"/>
        </w:rPr>
        <w:t xml:space="preserve"> of </w:t>
      </w:r>
      <w:r>
        <w:rPr>
          <w:kern w:val="0"/>
        </w:rPr>
        <w:t>myocardial damage previously undetectable with conventional troponin (c-Tn) assays. However, prognostic utility</w:t>
      </w:r>
      <w:r w:rsidR="00427468">
        <w:rPr>
          <w:kern w:val="0"/>
        </w:rPr>
        <w:t xml:space="preserve"> of </w:t>
      </w:r>
      <w:r>
        <w:rPr>
          <w:kern w:val="0"/>
        </w:rPr>
        <w:t>these hs-Tn assays in prediction</w:t>
      </w:r>
      <w:r w:rsidR="00427468">
        <w:rPr>
          <w:kern w:val="0"/>
        </w:rPr>
        <w:t xml:space="preserve"> of </w:t>
      </w:r>
      <w:r>
        <w:rPr>
          <w:kern w:val="0"/>
        </w:rPr>
        <w:t>mortality remains unclear in the presence</w:t>
      </w:r>
      <w:r w:rsidR="00427468">
        <w:rPr>
          <w:kern w:val="0"/>
        </w:rPr>
        <w:t xml:space="preserve"> of </w:t>
      </w:r>
      <w:r>
        <w:rPr>
          <w:kern w:val="0"/>
        </w:rPr>
        <w:t>nonelevated c-Tn levels on admission. A systematic review</w:t>
      </w:r>
      <w:r w:rsidR="005853A9">
        <w:rPr>
          <w:kern w:val="0"/>
        </w:rPr>
        <w:t xml:space="preserve"> and </w:t>
      </w:r>
      <w:r>
        <w:rPr>
          <w:kern w:val="0"/>
        </w:rPr>
        <w:t>meta-analysis was performed to assess mortality risk</w:t>
      </w:r>
      <w:r w:rsidR="00427468">
        <w:rPr>
          <w:kern w:val="0"/>
        </w:rPr>
        <w:t xml:space="preserve"> of </w:t>
      </w:r>
      <w:r>
        <w:rPr>
          <w:kern w:val="0"/>
        </w:rPr>
        <w:t>patients with hs-Tn elevations in the setting</w:t>
      </w:r>
      <w:r w:rsidR="00427468">
        <w:rPr>
          <w:kern w:val="0"/>
        </w:rPr>
        <w:t xml:space="preserve"> of </w:t>
      </w:r>
      <w:r>
        <w:rPr>
          <w:kern w:val="0"/>
        </w:rPr>
        <w:t>normal c-Tn levels. HypothesisPatients with hs-Tn elevations with normal c-Tn levels on admission blood samples, drawn to rule out acute coronary syndrome (ACS), have a higher mortality risk than those without hs-Tn or c-Tn elevations. MethodsA search was made</w:t>
      </w:r>
      <w:r w:rsidR="00427468">
        <w:rPr>
          <w:kern w:val="0"/>
        </w:rPr>
        <w:t xml:space="preserve"> of </w:t>
      </w:r>
      <w:r>
        <w:rPr>
          <w:kern w:val="0"/>
        </w:rPr>
        <w:t>the PubMed, CENTRAL, EMBASE, CINAHL, EBSCO,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Studies evaluating patients with suspected ACS that reported mortality rates for those with elevated hs-Tn levels but normal c-Tn levels on admission were included. A random-effects model was used to pool event rates,</w:t>
      </w:r>
      <w:r w:rsidR="005853A9">
        <w:rPr>
          <w:kern w:val="0"/>
        </w:rPr>
        <w:t xml:space="preserve"> and </w:t>
      </w:r>
      <w:r>
        <w:rPr>
          <w:kern w:val="0"/>
        </w:rPr>
        <w:t>data were reported in odds ratios (95% confidence interval). ResultsFour studies (N = 2033, mean age 64-75 years, 49%-70% male) revealed that nearly 32%</w:t>
      </w:r>
      <w:r w:rsidR="00427468">
        <w:rPr>
          <w:kern w:val="0"/>
        </w:rPr>
        <w:t xml:space="preserve"> of </w:t>
      </w:r>
      <w:r>
        <w:rPr>
          <w:kern w:val="0"/>
        </w:rPr>
        <w:t>suspected ACS patients with normal c-Tn levels on admission had elevated hs-Tn levels. Elevated hs-Tn levels conferred a significantly higher risk</w:t>
      </w:r>
      <w:r w:rsidR="00427468">
        <w:rPr>
          <w:kern w:val="0"/>
        </w:rPr>
        <w:t xml:space="preserve"> of </w:t>
      </w:r>
      <w:r>
        <w:rPr>
          <w:kern w:val="0"/>
        </w:rPr>
        <w:t>all-cause mortality vs normal hs-Tn levels (odds ratio: 4.35, 95% confidence interval: 2.81-6.73, P &lt; 0.01), with negligible heterogeneity (I-2 = 0%). ConclusionsElevation</w:t>
      </w:r>
      <w:r w:rsidR="00427468">
        <w:rPr>
          <w:kern w:val="0"/>
        </w:rPr>
        <w:t xml:space="preserve"> of </w:t>
      </w:r>
      <w:r>
        <w:rPr>
          <w:kern w:val="0"/>
        </w:rPr>
        <w:t>hs-Tn levels predicted a higher risk</w:t>
      </w:r>
      <w:r w:rsidR="00427468">
        <w:rPr>
          <w:kern w:val="0"/>
        </w:rPr>
        <w:t xml:space="preserve"> of </w:t>
      </w:r>
      <w:r>
        <w:rPr>
          <w:kern w:val="0"/>
        </w:rPr>
        <w:t>mortality in patients with suspected ACS</w:t>
      </w:r>
      <w:r w:rsidR="005853A9">
        <w:rPr>
          <w:kern w:val="0"/>
        </w:rPr>
        <w:t xml:space="preserve"> and </w:t>
      </w:r>
      <w:r>
        <w:rPr>
          <w:kern w:val="0"/>
        </w:rPr>
        <w:t xml:space="preserve">may aid in </w:t>
      </w:r>
      <w:r>
        <w:rPr>
          <w:kern w:val="0"/>
        </w:rPr>
        <w:lastRenderedPageBreak/>
        <w:t>the early identification</w:t>
      </w:r>
      <w:r w:rsidR="00427468">
        <w:rPr>
          <w:kern w:val="0"/>
        </w:rPr>
        <w:t xml:space="preserve"> of </w:t>
      </w:r>
      <w:r>
        <w:rPr>
          <w:kern w:val="0"/>
        </w:rPr>
        <w:t>higher-risk patients in this setting. Future studies are needed to investigate further optimal management strategies.</w:t>
      </w:r>
    </w:p>
    <w:p w:rsidR="00D72764" w:rsidRDefault="00D72764" w:rsidP="00D72764">
      <w:pPr>
        <w:pStyle w:val="a3"/>
        <w:rPr>
          <w:kern w:val="0"/>
        </w:rPr>
      </w:pPr>
      <w:r>
        <w:rPr>
          <w:kern w:val="0"/>
        </w:rPr>
        <w:t xml:space="preserve">Keywords: Acute Coronary Syndrome, Acute Coronary Syndromes, Acute Myocardial-Infarction, Age, Artery-Disease, Blood, Cardiac Troponin, Confidence, Conventional, Damage, Data, Databases, Decision-Making, Early-Diagnosis, Embase, Heterogeneity, I Assay, Identification, Interval, Male, Management, Meta Analysis, Meta-Analysis, Metaanalysis, Model, Mortality, N, Normal, Nov, Odds Ratio, P, Patients, Prediction, Prognostic, Prognostic Value, Pubmed, Random Effects Model, Rates, Review, Risk, Science, Small, Syndrome, Systematic Review, T Assay, Unstable Angina, Utility, </w:t>
      </w:r>
      <w:r w:rsidR="00D5664A">
        <w:rPr>
          <w:kern w:val="0"/>
        </w:rPr>
        <w:t>Web</w:t>
      </w:r>
      <w:r w:rsidR="00427468">
        <w:rPr>
          <w:kern w:val="0"/>
        </w:rPr>
        <w:t xml:space="preserve"> of </w:t>
      </w:r>
      <w:r w:rsidR="00D5664A">
        <w:rPr>
          <w:kern w:val="0"/>
        </w:rPr>
        <w:t>Science</w:t>
      </w:r>
      <w:r>
        <w:rPr>
          <w:kern w:val="0"/>
        </w:rPr>
        <w:t xml:space="preserve">, </w:t>
      </w:r>
      <w:r w:rsidR="00D5664A">
        <w:rPr>
          <w:kern w:val="0"/>
        </w:rPr>
        <w:t>Web</w:t>
      </w:r>
      <w:r w:rsidR="00427468">
        <w:rPr>
          <w:kern w:val="0"/>
        </w:rPr>
        <w:t xml:space="preserve"> of </w:t>
      </w:r>
      <w:r w:rsidR="00D5664A">
        <w:rPr>
          <w:kern w:val="0"/>
        </w:rPr>
        <w:t>Science</w:t>
      </w:r>
      <w:r>
        <w:rPr>
          <w:kern w:val="0"/>
        </w:rPr>
        <w:t xml:space="preserve"> Databases</w:t>
      </w:r>
    </w:p>
    <w:p w:rsidR="003474F2" w:rsidRPr="001A3D2B" w:rsidRDefault="003474F2" w:rsidP="003474F2">
      <w:pPr>
        <w:pStyle w:val="1"/>
      </w:pPr>
      <w:r w:rsidRPr="001A3D2B">
        <w:br w:type="page"/>
      </w:r>
      <w:bookmarkStart w:id="262" w:name="_Toc420815016"/>
      <w:r w:rsidRPr="001A3D2B">
        <w:lastRenderedPageBreak/>
        <w:t>Title: Clinical Chemistry</w:t>
      </w:r>
      <w:bookmarkEnd w:id="262"/>
    </w:p>
    <w:p w:rsidR="003474F2" w:rsidRPr="001A3D2B" w:rsidRDefault="003474F2" w:rsidP="003474F2">
      <w:pPr>
        <w:pStyle w:val="12"/>
      </w:pPr>
      <w:r w:rsidRPr="001A3D2B">
        <w:t xml:space="preserve">Full Journal Title: </w:t>
      </w:r>
      <w:r w:rsidR="00DF61FE">
        <w:fldChar w:fldCharType="begin"/>
      </w:r>
      <w:r w:rsidR="00FD158B">
        <w:instrText>HYPERLINK "http</w:instrText>
      </w:r>
      <w:bookmarkStart w:id="263" w:name="_Toc516560409"/>
      <w:bookmarkStart w:id="264" w:name="_Toc44827147"/>
      <w:bookmarkStart w:id="265" w:name="_Toc81215671"/>
      <w:r w:rsidR="00FD158B">
        <w:instrText>://www.clinchem.org/"</w:instrText>
      </w:r>
      <w:r w:rsidR="00DF61FE">
        <w:fldChar w:fldCharType="separate"/>
      </w:r>
      <w:r w:rsidRPr="001A3D2B">
        <w:rPr>
          <w:rStyle w:val="a5"/>
        </w:rPr>
        <w:t>Cli</w:t>
      </w:r>
      <w:bookmarkEnd w:id="263"/>
      <w:bookmarkEnd w:id="264"/>
      <w:bookmarkEnd w:id="265"/>
      <w:r w:rsidRPr="001A3D2B">
        <w:rPr>
          <w:rStyle w:val="a5"/>
        </w:rPr>
        <w:t>nical Chemistry</w:t>
      </w:r>
      <w:r w:rsidR="00DF61FE">
        <w:fldChar w:fldCharType="end"/>
      </w:r>
      <w:r w:rsidRPr="001A3D2B">
        <w:t xml:space="preserve">; </w:t>
      </w:r>
      <w:hyperlink r:id="rId324" w:history="1">
        <w:r w:rsidRPr="001A3D2B">
          <w:rPr>
            <w:rStyle w:val="a5"/>
          </w:rPr>
          <w:t>Clinical Chemistry</w:t>
        </w:r>
      </w:hyperlink>
    </w:p>
    <w:p w:rsidR="003474F2" w:rsidRPr="001A3D2B" w:rsidRDefault="003474F2" w:rsidP="003474F2">
      <w:pPr>
        <w:pStyle w:val="12"/>
      </w:pPr>
      <w:r w:rsidRPr="001A3D2B">
        <w:t>ISO Abbreviated Title: Clin. Chem.</w:t>
      </w:r>
    </w:p>
    <w:p w:rsidR="003474F2" w:rsidRPr="001A3D2B" w:rsidRDefault="003474F2" w:rsidP="003474F2">
      <w:pPr>
        <w:pStyle w:val="12"/>
      </w:pPr>
      <w:r w:rsidRPr="001A3D2B">
        <w:t>JCR Abbreviated Title: Clin Chem</w:t>
      </w:r>
    </w:p>
    <w:p w:rsidR="003474F2" w:rsidRPr="001A3D2B" w:rsidRDefault="003474F2" w:rsidP="003474F2">
      <w:pPr>
        <w:pStyle w:val="12"/>
      </w:pPr>
      <w:r w:rsidRPr="001A3D2B">
        <w:t>ISSN: 0009-9147</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Assoc Clinical Chemistry</w:t>
      </w:r>
    </w:p>
    <w:p w:rsidR="003474F2" w:rsidRPr="001A3D2B" w:rsidRDefault="003474F2" w:rsidP="003474F2">
      <w:pPr>
        <w:pStyle w:val="12"/>
      </w:pPr>
      <w:r w:rsidRPr="001A3D2B">
        <w:t xml:space="preserve">Publisher Address: </w:t>
      </w:r>
      <w:smartTag w:uri="urn:schemas-microsoft-com:office:smarttags" w:element="chmetcnv">
        <w:smartTagPr>
          <w:attr w:name="TCSC" w:val="0"/>
          <w:attr w:name="NumberType" w:val="1"/>
          <w:attr w:name="Negative" w:val="False"/>
          <w:attr w:name="HasSpace" w:val="True"/>
          <w:attr w:name="SourceValue" w:val="2101"/>
          <w:attr w:name="UnitName" w:val="l"/>
        </w:smartTagPr>
        <w:r w:rsidRPr="001A3D2B">
          <w:t>2101 L</w:t>
        </w:r>
      </w:smartTag>
      <w:r w:rsidRPr="001A3D2B">
        <w:t xml:space="preserve"> Street NW, Suite 202, Washington, DC 20037-1526</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Medical Laboratory Technology: Impact Factor 4.261, / (2000)</w:t>
      </w:r>
    </w:p>
    <w:p w:rsidR="003474F2" w:rsidRPr="001A3D2B" w:rsidRDefault="003474F2" w:rsidP="003474F2">
      <w:pPr>
        <w:pStyle w:val="a3"/>
      </w:pPr>
      <w:r w:rsidRPr="001A3D2B">
        <w:t>Notes: JJournal</w:t>
      </w:r>
    </w:p>
    <w:p w:rsidR="003474F2" w:rsidRPr="001A3D2B" w:rsidRDefault="003474F2" w:rsidP="003474F2">
      <w:pPr>
        <w:pStyle w:val="a3"/>
      </w:pPr>
      <w:r w:rsidRPr="001A3D2B">
        <w:t>Rice, E.W. (1983), Bibliometric evaluations</w:t>
      </w:r>
      <w:r w:rsidR="00427468">
        <w:t xml:space="preserve"> of </w:t>
      </w:r>
      <w:r w:rsidRPr="001A3D2B">
        <w:t xml:space="preserve">modern </w:t>
      </w:r>
      <w:r w:rsidRPr="001A3D2B">
        <w:rPr>
          <w:i/>
          <w:iCs/>
        </w:rPr>
        <w:t>Clinical Chemistry</w:t>
      </w:r>
      <w:r w:rsidRPr="001A3D2B">
        <w:t xml:space="preserve"> are needed. </w:t>
      </w:r>
      <w:r w:rsidRPr="001A3D2B">
        <w:rPr>
          <w:i/>
        </w:rPr>
        <w:t>Clinical Chemistry</w:t>
      </w:r>
      <w:r w:rsidRPr="001A3D2B">
        <w:t xml:space="preserve">, </w:t>
      </w:r>
      <w:r w:rsidRPr="001A3D2B">
        <w:rPr>
          <w:b/>
        </w:rPr>
        <w:t>29</w:t>
      </w:r>
      <w:r w:rsidRPr="001A3D2B">
        <w:t xml:space="preserve"> (10), 1858-1859.</w:t>
      </w:r>
    </w:p>
    <w:p w:rsidR="003474F2" w:rsidRPr="001A3D2B" w:rsidRDefault="003474F2" w:rsidP="003474F2">
      <w:pPr>
        <w:pStyle w:val="a3"/>
      </w:pPr>
      <w:r w:rsidRPr="001A3D2B">
        <w:t xml:space="preserve">Full Text: </w:t>
      </w:r>
      <w:hyperlink r:id="rId325" w:history="1">
        <w:r w:rsidRPr="001A3D2B">
          <w:rPr>
            <w:rStyle w:val="a5"/>
          </w:rPr>
          <w:t>1983\Cli Che29, 1858.pdf</w:t>
        </w:r>
      </w:hyperlink>
    </w:p>
    <w:p w:rsidR="003474F2" w:rsidRPr="001A3D2B" w:rsidRDefault="003474F2" w:rsidP="003474F2">
      <w:pPr>
        <w:pStyle w:val="a3"/>
      </w:pPr>
      <w:r w:rsidRPr="001A3D2B">
        <w:t>Notes: JJournal</w:t>
      </w:r>
    </w:p>
    <w:p w:rsidR="003474F2" w:rsidRPr="001A3D2B" w:rsidRDefault="003474F2" w:rsidP="003474F2">
      <w:pPr>
        <w:pStyle w:val="a3"/>
      </w:pPr>
      <w:smartTag w:uri="urn:schemas-microsoft-com:office:smarttags" w:element="place">
        <w:smartTag w:uri="urn:schemas-microsoft-com:office:smarttags" w:element="City">
          <w:r w:rsidRPr="001A3D2B">
            <w:t>Campos</w:t>
          </w:r>
        </w:smartTag>
      </w:smartTag>
      <w:r w:rsidRPr="001A3D2B">
        <w:t>, C.</w:t>
      </w:r>
      <w:r w:rsidR="005853A9">
        <w:t xml:space="preserve"> and </w:t>
      </w:r>
      <w:r w:rsidRPr="001A3D2B">
        <w:t>Redondo, F.L. (1991), Bibliometrics</w:t>
      </w:r>
      <w:r w:rsidR="005853A9">
        <w:t xml:space="preserve"> and </w:t>
      </w:r>
      <w:r w:rsidRPr="001A3D2B">
        <w:rPr>
          <w:i/>
          <w:iCs/>
        </w:rPr>
        <w:t>Clinical Chemistry</w:t>
      </w:r>
      <w:r w:rsidRPr="001A3D2B">
        <w:t xml:space="preserve">. </w:t>
      </w:r>
      <w:r w:rsidRPr="001A3D2B">
        <w:rPr>
          <w:i/>
        </w:rPr>
        <w:t>Clinical Chemistry</w:t>
      </w:r>
      <w:r w:rsidRPr="001A3D2B">
        <w:t xml:space="preserve">, </w:t>
      </w:r>
      <w:r w:rsidRPr="001A3D2B">
        <w:rPr>
          <w:b/>
        </w:rPr>
        <w:t>37</w:t>
      </w:r>
      <w:r w:rsidRPr="001A3D2B">
        <w:t xml:space="preserve"> (2), 303-304.</w:t>
      </w:r>
    </w:p>
    <w:p w:rsidR="003474F2" w:rsidRPr="001A3D2B" w:rsidRDefault="003474F2" w:rsidP="003474F2">
      <w:pPr>
        <w:pStyle w:val="a3"/>
      </w:pPr>
      <w:r w:rsidRPr="001A3D2B">
        <w:t xml:space="preserve">Full Text: </w:t>
      </w:r>
      <w:hyperlink r:id="rId326" w:history="1">
        <w:r w:rsidRPr="001A3D2B">
          <w:rPr>
            <w:rStyle w:val="a5"/>
          </w:rPr>
          <w:t>1991\Cli Che37, 303.pdf</w:t>
        </w:r>
      </w:hyperlink>
    </w:p>
    <w:p w:rsidR="003474F2" w:rsidRPr="001A3D2B" w:rsidRDefault="003474F2" w:rsidP="003474F2">
      <w:pPr>
        <w:pStyle w:val="a3"/>
      </w:pPr>
      <w:r w:rsidRPr="001A3D2B">
        <w:t>Notes: JJournal</w:t>
      </w:r>
    </w:p>
    <w:p w:rsidR="003474F2" w:rsidRPr="001A3D2B" w:rsidRDefault="003474F2" w:rsidP="003474F2">
      <w:pPr>
        <w:pStyle w:val="a3"/>
      </w:pPr>
      <w:r w:rsidRPr="001A3D2B">
        <w:t xml:space="preserve">? Bruns, D.E. (1995), Notes on journal citation analyses. </w:t>
      </w:r>
      <w:r w:rsidRPr="001A3D2B">
        <w:rPr>
          <w:i/>
        </w:rPr>
        <w:t>Clinical Chemistry</w:t>
      </w:r>
      <w:r w:rsidRPr="001A3D2B">
        <w:t xml:space="preserve">, </w:t>
      </w:r>
      <w:r w:rsidRPr="001A3D2B">
        <w:rPr>
          <w:b/>
        </w:rPr>
        <w:t>41</w:t>
      </w:r>
      <w:r w:rsidRPr="001A3D2B">
        <w:rPr>
          <w:bCs/>
        </w:rPr>
        <w:t xml:space="preserve"> (9)</w:t>
      </w:r>
      <w:r w:rsidRPr="001A3D2B">
        <w:t>, 1325.</w:t>
      </w:r>
    </w:p>
    <w:p w:rsidR="003474F2" w:rsidRPr="001A3D2B" w:rsidRDefault="003474F2" w:rsidP="003474F2">
      <w:pPr>
        <w:pStyle w:val="a3"/>
      </w:pPr>
      <w:r w:rsidRPr="001A3D2B">
        <w:t xml:space="preserve">Full Text: </w:t>
      </w:r>
      <w:hyperlink r:id="rId327" w:history="1">
        <w:r w:rsidRPr="001A3D2B">
          <w:rPr>
            <w:rStyle w:val="a5"/>
          </w:rPr>
          <w:t>1995\Cli Che41, 1325.pdf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t xml:space="preserve">Peters, Jr., T. (1998), Citation classics in intermediary metabolism. </w:t>
      </w:r>
      <w:r w:rsidRPr="001A3D2B">
        <w:rPr>
          <w:i/>
        </w:rPr>
        <w:t>Clinical Chemistry</w:t>
      </w:r>
      <w:r w:rsidRPr="001A3D2B">
        <w:t xml:space="preserve">, </w:t>
      </w:r>
      <w:r w:rsidRPr="001A3D2B">
        <w:rPr>
          <w:b/>
        </w:rPr>
        <w:t>44</w:t>
      </w:r>
      <w:r w:rsidRPr="001A3D2B">
        <w:rPr>
          <w:bCs/>
        </w:rPr>
        <w:t xml:space="preserve"> (7)</w:t>
      </w:r>
      <w:r w:rsidRPr="001A3D2B">
        <w:t>, 1371-1375.</w:t>
      </w:r>
    </w:p>
    <w:p w:rsidR="003474F2" w:rsidRPr="001A3D2B" w:rsidRDefault="003474F2" w:rsidP="003474F2">
      <w:pPr>
        <w:pStyle w:val="a3"/>
      </w:pPr>
      <w:r w:rsidRPr="001A3D2B">
        <w:t xml:space="preserve">Full Text: </w:t>
      </w:r>
      <w:hyperlink r:id="rId328" w:history="1">
        <w:r w:rsidRPr="001A3D2B">
          <w:rPr>
            <w:rStyle w:val="a5"/>
          </w:rPr>
          <w:t>1998\Cli Che44, 1371.pdf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t>Gotto, A.M.</w:t>
      </w:r>
      <w:r w:rsidR="005853A9">
        <w:t xml:space="preserve"> and </w:t>
      </w:r>
      <w:r w:rsidRPr="001A3D2B">
        <w:t>Cooper, G.R. (1998), Citation classics in lipid measurement</w:t>
      </w:r>
      <w:r w:rsidR="005853A9">
        <w:t xml:space="preserve"> and </w:t>
      </w:r>
      <w:r w:rsidRPr="001A3D2B">
        <w:t xml:space="preserve">applications. </w:t>
      </w:r>
      <w:r w:rsidRPr="001A3D2B">
        <w:rPr>
          <w:i/>
        </w:rPr>
        <w:t>Clinical Chemistry</w:t>
      </w:r>
      <w:r w:rsidRPr="001A3D2B">
        <w:t xml:space="preserve">, </w:t>
      </w:r>
      <w:r w:rsidRPr="001A3D2B">
        <w:rPr>
          <w:b/>
        </w:rPr>
        <w:t>44</w:t>
      </w:r>
      <w:r w:rsidRPr="001A3D2B">
        <w:rPr>
          <w:bCs/>
        </w:rPr>
        <w:t xml:space="preserve"> (11)</w:t>
      </w:r>
      <w:r w:rsidRPr="001A3D2B">
        <w:t>, 2234-2237.</w:t>
      </w:r>
    </w:p>
    <w:p w:rsidR="003474F2" w:rsidRPr="001A3D2B" w:rsidRDefault="003474F2" w:rsidP="003474F2">
      <w:pPr>
        <w:pStyle w:val="a3"/>
      </w:pPr>
      <w:r w:rsidRPr="001A3D2B">
        <w:t xml:space="preserve">Full Text: </w:t>
      </w:r>
      <w:hyperlink r:id="rId329" w:history="1">
        <w:r w:rsidRPr="001A3D2B">
          <w:rPr>
            <w:rStyle w:val="a5"/>
          </w:rPr>
          <w:t>1998\Cli Che44, 2234.pdf</w:t>
        </w:r>
      </w:hyperlink>
    </w:p>
    <w:p w:rsidR="003474F2" w:rsidRPr="001A3D2B" w:rsidRDefault="003474F2" w:rsidP="003474F2">
      <w:pPr>
        <w:pStyle w:val="a3"/>
      </w:pPr>
      <w:r w:rsidRPr="001A3D2B">
        <w:t>Keywords: Density-Lipoprotein Cholesterol, Education-Program Recommendations, Definitive Method, Serum, Triglycerides, Plasma, A-1</w:t>
      </w:r>
    </w:p>
    <w:p w:rsidR="003474F2" w:rsidRPr="001A3D2B" w:rsidRDefault="003474F2" w:rsidP="003474F2">
      <w:pPr>
        <w:pStyle w:val="a3"/>
      </w:pPr>
      <w:r w:rsidRPr="001A3D2B">
        <w:t xml:space="preserve">Rice, E.W. (1999), </w:t>
      </w:r>
      <w:r w:rsidR="0071223E">
        <w:t>‘</w:t>
      </w:r>
      <w:r w:rsidRPr="001A3D2B">
        <w:t>Citation classics in Clinical Chemistry</w:t>
      </w:r>
      <w:r w:rsidR="0071223E">
        <w:t>’</w:t>
      </w:r>
      <w:r w:rsidRPr="001A3D2B">
        <w:t xml:space="preserve">: Contributions by AACC members duly noted. </w:t>
      </w:r>
      <w:r w:rsidRPr="001A3D2B">
        <w:rPr>
          <w:i/>
        </w:rPr>
        <w:t>Clinical Chemistry</w:t>
      </w:r>
      <w:r w:rsidRPr="001A3D2B">
        <w:t xml:space="preserve">, </w:t>
      </w:r>
      <w:r w:rsidRPr="001A3D2B">
        <w:rPr>
          <w:b/>
        </w:rPr>
        <w:t>45</w:t>
      </w:r>
      <w:r w:rsidRPr="001A3D2B">
        <w:rPr>
          <w:bCs/>
        </w:rPr>
        <w:t xml:space="preserve"> (2)</w:t>
      </w:r>
      <w:r w:rsidRPr="001A3D2B">
        <w:t>, 311.</w:t>
      </w:r>
    </w:p>
    <w:p w:rsidR="003474F2" w:rsidRPr="001A3D2B" w:rsidRDefault="003474F2" w:rsidP="003474F2">
      <w:pPr>
        <w:pStyle w:val="a3"/>
      </w:pPr>
      <w:r w:rsidRPr="001A3D2B">
        <w:t xml:space="preserve">Full Text: </w:t>
      </w:r>
      <w:hyperlink r:id="rId330" w:history="1">
        <w:r w:rsidRPr="001A3D2B">
          <w:rPr>
            <w:rStyle w:val="a5"/>
          </w:rPr>
          <w:t>1999\Cli Che45, 311.pdf</w:t>
        </w:r>
      </w:hyperlink>
    </w:p>
    <w:p w:rsidR="003474F2" w:rsidRPr="001A3D2B" w:rsidRDefault="003474F2" w:rsidP="003474F2">
      <w:pPr>
        <w:pStyle w:val="a3"/>
      </w:pPr>
      <w:r w:rsidRPr="001A3D2B">
        <w:lastRenderedPageBreak/>
        <w:t>Notes: TTopic</w:t>
      </w:r>
    </w:p>
    <w:p w:rsidR="003474F2" w:rsidRPr="001A3D2B" w:rsidRDefault="003474F2" w:rsidP="003474F2">
      <w:pPr>
        <w:pStyle w:val="a3"/>
      </w:pPr>
      <w:r w:rsidRPr="001A3D2B">
        <w:t>Arndt, T. (2001), Carbohydrate-deficient transferrin as a marker</w:t>
      </w:r>
      <w:r w:rsidR="00427468">
        <w:t xml:space="preserve"> of </w:t>
      </w:r>
      <w:r w:rsidRPr="001A3D2B">
        <w:t>chronic alcohol abuse: A critical review</w:t>
      </w:r>
      <w:r w:rsidR="00427468">
        <w:t xml:space="preserve"> of </w:t>
      </w:r>
      <w:r w:rsidRPr="001A3D2B">
        <w:t>preanalysis, analysis,</w:t>
      </w:r>
      <w:r w:rsidR="005853A9">
        <w:t xml:space="preserve"> and </w:t>
      </w:r>
      <w:r w:rsidRPr="001A3D2B">
        <w:t xml:space="preserve">interpretation. </w:t>
      </w:r>
      <w:r w:rsidRPr="001A3D2B">
        <w:rPr>
          <w:i/>
        </w:rPr>
        <w:t>Clinical Chemistry</w:t>
      </w:r>
      <w:r w:rsidRPr="001A3D2B">
        <w:t xml:space="preserve">, </w:t>
      </w:r>
      <w:r w:rsidRPr="001A3D2B">
        <w:rPr>
          <w:b/>
        </w:rPr>
        <w:t>47</w:t>
      </w:r>
      <w:r w:rsidRPr="001A3D2B">
        <w:rPr>
          <w:bCs/>
        </w:rPr>
        <w:t xml:space="preserve"> (1)</w:t>
      </w:r>
      <w:r w:rsidRPr="001A3D2B">
        <w:t>, 13-27.</w:t>
      </w:r>
    </w:p>
    <w:p w:rsidR="003474F2" w:rsidRPr="001A3D2B" w:rsidRDefault="003474F2" w:rsidP="003474F2">
      <w:pPr>
        <w:pStyle w:val="a3"/>
      </w:pPr>
      <w:r w:rsidRPr="001A3D2B">
        <w:t xml:space="preserve">Full Text: </w:t>
      </w:r>
      <w:hyperlink r:id="rId331" w:history="1">
        <w:r w:rsidRPr="001A3D2B">
          <w:rPr>
            <w:rStyle w:val="a5"/>
          </w:rPr>
          <w:t>2001\Cli Che47, 13.pdf</w:t>
        </w:r>
      </w:hyperlink>
    </w:p>
    <w:p w:rsidR="003474F2" w:rsidRPr="001A3D2B" w:rsidRDefault="003474F2" w:rsidP="003474F2">
      <w:pPr>
        <w:pStyle w:val="a3"/>
      </w:pPr>
      <w:r w:rsidRPr="001A3D2B">
        <w:t>Abstract: Background: Carbohydrate-deficient transferrin (CDT) is</w:t>
      </w:r>
      <w:r w:rsidR="0071223E">
        <w:t>’</w:t>
      </w:r>
      <w:r w:rsidRPr="001A3D2B">
        <w:t xml:space="preserve"> used for diagnosis</w:t>
      </w:r>
      <w:r w:rsidR="00427468">
        <w:t xml:space="preserve"> of </w:t>
      </w:r>
      <w:r w:rsidRPr="001A3D2B">
        <w:t>chronic alcohol abuse. Some 200-300 reports on CDT have been published in impact factor-listed journals</w:t>
      </w:r>
      <w:r w:rsidR="00A37C1D">
        <w:t>. The</w:t>
      </w:r>
      <w:r w:rsidR="003A1917">
        <w:t xml:space="preserve"> </w:t>
      </w:r>
      <w:r w:rsidRPr="001A3D2B">
        <w:t>aims</w:t>
      </w:r>
      <w:r w:rsidR="00427468">
        <w:t xml:space="preserve"> of </w:t>
      </w:r>
      <w:r w:rsidRPr="001A3D2B">
        <w:t>this review were to condense</w:t>
      </w:r>
      <w:r w:rsidR="003A1917">
        <w:t xml:space="preserve"> the </w:t>
      </w:r>
      <w:r w:rsidRPr="001A3D2B">
        <w:t>current knowledge</w:t>
      </w:r>
      <w:r w:rsidR="005853A9">
        <w:t xml:space="preserve"> and </w:t>
      </w:r>
      <w:r w:rsidRPr="001A3D2B">
        <w:t>to resolve remaining issues on CDT.</w:t>
      </w:r>
    </w:p>
    <w:p w:rsidR="003474F2" w:rsidRPr="001A3D2B" w:rsidRDefault="003474F2" w:rsidP="003474F2">
      <w:pPr>
        <w:pStyle w:val="a3"/>
      </w:pPr>
      <w:r w:rsidRPr="001A3D2B">
        <w:t>Approach:</w:t>
      </w:r>
      <w:r w:rsidR="003A1917">
        <w:t xml:space="preserve"> the </w:t>
      </w:r>
      <w:r w:rsidRPr="001A3D2B">
        <w:t xml:space="preserve">literature (1976-2000) was searched using </w:t>
      </w:r>
      <w:r w:rsidR="00D5664A">
        <w:t>MEDLINE</w:t>
      </w:r>
      <w:r w:rsidR="005853A9">
        <w:t xml:space="preserve"> and </w:t>
      </w:r>
      <w:r w:rsidRPr="001A3D2B">
        <w:t xml:space="preserve">Knowledge Server with </w:t>
      </w:r>
      <w:r w:rsidR="0071223E">
        <w:t>‘</w:t>
      </w:r>
      <w:r w:rsidRPr="001A3D2B">
        <w:t>alcohol</w:t>
      </w:r>
      <w:r w:rsidR="005853A9">
        <w:t xml:space="preserve"> and </w:t>
      </w:r>
      <w:r w:rsidRPr="001A3D2B">
        <w:t>CDT</w:t>
      </w:r>
      <w:r w:rsidR="0071223E">
        <w:t>’</w:t>
      </w:r>
      <w:r w:rsidRPr="001A3D2B">
        <w:t>-as</w:t>
      </w:r>
      <w:r w:rsidR="003A1917">
        <w:t xml:space="preserve"> the </w:t>
      </w:r>
      <w:r w:rsidRPr="001A3D2B">
        <w:t>search items</w:t>
      </w:r>
      <w:r w:rsidR="00A37C1D">
        <w:t>. The</w:t>
      </w:r>
      <w:r w:rsidR="003A1917">
        <w:t xml:space="preserve"> </w:t>
      </w:r>
      <w:r w:rsidRPr="001A3D2B">
        <w:t>data were reviewed systematically, checked for redundancy,</w:t>
      </w:r>
      <w:r w:rsidR="005853A9">
        <w:t xml:space="preserve"> and </w:t>
      </w:r>
      <w:r w:rsidRPr="001A3D2B">
        <w:t>organized in sequence based on</w:t>
      </w:r>
      <w:r w:rsidR="003A1917">
        <w:t xml:space="preserve"> the </w:t>
      </w:r>
      <w:r w:rsidRPr="001A3D2B">
        <w:t>steps involved in CDT analysis.</w:t>
      </w:r>
    </w:p>
    <w:p w:rsidR="003474F2" w:rsidRPr="001A3D2B" w:rsidRDefault="003474F2" w:rsidP="003474F2">
      <w:pPr>
        <w:pStyle w:val="a3"/>
      </w:pPr>
      <w:r w:rsidRPr="001A3D2B">
        <w:t>Content:</w:t>
      </w:r>
      <w:r w:rsidR="003A1917">
        <w:t xml:space="preserve"> the </w:t>
      </w:r>
      <w:r w:rsidRPr="001A3D2B">
        <w:t>review is divided into sections based on microheterogeneity</w:t>
      </w:r>
      <w:r w:rsidR="00427468">
        <w:t xml:space="preserve"> of </w:t>
      </w:r>
      <w:r w:rsidRPr="001A3D2B">
        <w:t>human serum transferrin (Tf), definition</w:t>
      </w:r>
      <w:r w:rsidR="00427468">
        <w:t xml:space="preserve"> of </w:t>
      </w:r>
      <w:r w:rsidRPr="001A3D2B">
        <w:t>CDT, structure</w:t>
      </w:r>
      <w:r w:rsidR="00427468">
        <w:t xml:space="preserve"> of </w:t>
      </w:r>
      <w:r w:rsidRPr="001A3D2B">
        <w:t>human serum CDT, pathomechanisms</w:t>
      </w:r>
      <w:r w:rsidR="00427468">
        <w:t xml:space="preserve"> of </w:t>
      </w:r>
      <w:r w:rsidRPr="001A3D2B">
        <w:t>ethanol induced CDT increase, preanalysis, analysis,</w:t>
      </w:r>
      <w:r w:rsidR="005853A9">
        <w:t xml:space="preserve"> and </w:t>
      </w:r>
      <w:r w:rsidRPr="001A3D2B">
        <w:t>medical interpretation (postanalysis). Test-specific cutoff values for serum CDT</w:t>
      </w:r>
      <w:r w:rsidR="005853A9">
        <w:t xml:space="preserve"> and </w:t>
      </w:r>
      <w:r w:rsidRPr="001A3D2B">
        <w:t>causes</w:t>
      </w:r>
      <w:r w:rsidR="00427468">
        <w:t xml:space="preserve"> of </w:t>
      </w:r>
      <w:r w:rsidRPr="001A3D2B">
        <w:t>false positives</w:t>
      </w:r>
      <w:r w:rsidR="005853A9">
        <w:t xml:space="preserve"> and </w:t>
      </w:r>
      <w:r w:rsidRPr="001A3D2B">
        <w:t>negatives for chronic alcohol abuse are discussed</w:t>
      </w:r>
      <w:r w:rsidR="005853A9">
        <w:t xml:space="preserve"> and </w:t>
      </w:r>
      <w:r w:rsidRPr="001A3D2B">
        <w:t>summarized. Summary: Asialo-and disialo-Fe-2-Tf, which lack one or. two complete N-glycans,</w:t>
      </w:r>
      <w:r w:rsidR="005853A9">
        <w:t xml:space="preserve"> and </w:t>
      </w:r>
      <w:r w:rsidRPr="001A3D2B">
        <w:t>monosialo-Fe-2-Tf (structure-remains unclear) are collectively referred to as CDT. Diminished mRNA concentration</w:t>
      </w:r>
      <w:r w:rsidR="005853A9">
        <w:t xml:space="preserve"> and </w:t>
      </w:r>
      <w:r w:rsidRPr="001A3D2B">
        <w:t>glycoprotein glycosyltransferase activities involved in Tf N-glycan synthesis</w:t>
      </w:r>
      <w:r w:rsidR="005853A9">
        <w:t xml:space="preserve"> and </w:t>
      </w:r>
      <w:r w:rsidRPr="001A3D2B">
        <w:t>increased sialidase activity most likely account for alcohol-induced increases in CDT. Knowledge about in vivo</w:t>
      </w:r>
      <w:r w:rsidR="005853A9">
        <w:t xml:space="preserve"> and </w:t>
      </w:r>
      <w:r w:rsidRPr="001A3D2B">
        <w:t>in vitro effects on serum CDT is poor. Reliable CDT</w:t>
      </w:r>
      <w:r w:rsidR="005853A9">
        <w:t xml:space="preserve"> and </w:t>
      </w:r>
      <w:r w:rsidRPr="001A3D2B">
        <w:t>non-CDT fractionation is heeded for CDT- measurement. Analysis methods with different analytical, specificities</w:t>
      </w:r>
      <w:r w:rsidR="005853A9">
        <w:t xml:space="preserve"> and </w:t>
      </w:r>
      <w:r w:rsidRPr="001A3D2B">
        <w:t>recoveries decreased</w:t>
      </w:r>
      <w:r w:rsidR="003A1917">
        <w:t xml:space="preserve"> the </w:t>
      </w:r>
      <w:r w:rsidRPr="001A3D2B">
        <w:t>: comparability</w:t>
      </w:r>
      <w:r w:rsidR="00427468">
        <w:t xml:space="preserve"> of </w:t>
      </w:r>
      <w:r w:rsidRPr="001A3D2B">
        <w:t>values</w:t>
      </w:r>
      <w:r w:rsidR="005853A9">
        <w:t xml:space="preserve"> and </w:t>
      </w:r>
      <w:r w:rsidRPr="001A3D2B">
        <w:t>statistical parameters</w:t>
      </w:r>
      <w:r w:rsidR="00427468">
        <w:t xml:space="preserve"> of </w:t>
      </w:r>
      <w:r w:rsidR="003A1917">
        <w:t xml:space="preserve">the </w:t>
      </w:r>
      <w:r w:rsidRPr="001A3D2B">
        <w:t>diagnosis efficiency</w:t>
      </w:r>
      <w:r w:rsidR="00427468">
        <w:t xml:space="preserve"> of </w:t>
      </w:r>
      <w:r w:rsidRPr="001A3D2B">
        <w:t>CDT. CDT is</w:t>
      </w:r>
      <w:r w:rsidR="003A1917">
        <w:t xml:space="preserve"> the </w:t>
      </w:r>
      <w:r w:rsidRPr="001A3D2B">
        <w:t>most specific marker</w:t>
      </w:r>
      <w:r w:rsidR="00427468">
        <w:t xml:space="preserve"> of </w:t>
      </w:r>
      <w:r w:rsidRPr="001A3D2B">
        <w:t>chronic alcohol abuse to date. Efforts should concentrate on</w:t>
      </w:r>
      <w:r w:rsidR="003A1917">
        <w:t xml:space="preserve"> the </w:t>
      </w:r>
      <w:r w:rsidRPr="001A3D2B">
        <w:t>pathomechanisms (in vivo), preanalysis,</w:t>
      </w:r>
      <w:r w:rsidR="005853A9">
        <w:t xml:space="preserve"> and </w:t>
      </w:r>
      <w:r w:rsidRPr="001A3D2B">
        <w:t>standardization</w:t>
      </w:r>
      <w:r w:rsidR="00427468">
        <w:t xml:space="preserve"> of </w:t>
      </w:r>
      <w:r w:rsidRPr="001A3D2B">
        <w:t>CDT analysis. (C) 2001 American Association for Clinical Chemistry.</w:t>
      </w:r>
    </w:p>
    <w:p w:rsidR="003474F2" w:rsidRPr="001A3D2B" w:rsidRDefault="003474F2" w:rsidP="003474F2">
      <w:pPr>
        <w:pStyle w:val="a3"/>
      </w:pPr>
      <w:r w:rsidRPr="001A3D2B">
        <w:t>Keywords: Gamma-Glutamyl-Transferase, Capillary-Zone-Electrophoresis, Mean Corpuscular Volume, Human-Serum Transferrin, Liver-Disease, Exchange Chromatography, Differential-Diagnosis, Clinical-Significance, Glycoprotein Syndrome, Sialo-Transferrins</w:t>
      </w:r>
    </w:p>
    <w:p w:rsidR="003474F2" w:rsidRPr="001A3D2B" w:rsidRDefault="003474F2" w:rsidP="003474F2">
      <w:pPr>
        <w:pStyle w:val="a3"/>
      </w:pPr>
      <w:r w:rsidRPr="001A3D2B">
        <w:t xml:space="preserve">Siebers, R. (2001), How accurate are references in clinical chemistry? </w:t>
      </w:r>
      <w:r w:rsidRPr="001A3D2B">
        <w:rPr>
          <w:i/>
        </w:rPr>
        <w:t>Clinical Chemistry</w:t>
      </w:r>
      <w:r w:rsidRPr="001A3D2B">
        <w:t xml:space="preserve">, </w:t>
      </w:r>
      <w:r w:rsidRPr="001A3D2B">
        <w:rPr>
          <w:b/>
        </w:rPr>
        <w:t>47</w:t>
      </w:r>
      <w:r w:rsidRPr="001A3D2B">
        <w:rPr>
          <w:bCs/>
        </w:rPr>
        <w:t xml:space="preserve"> (3)</w:t>
      </w:r>
      <w:r w:rsidRPr="001A3D2B">
        <w:t>, 606-607.</w:t>
      </w:r>
    </w:p>
    <w:p w:rsidR="003474F2" w:rsidRPr="001A3D2B" w:rsidRDefault="003474F2" w:rsidP="003474F2">
      <w:pPr>
        <w:pStyle w:val="a3"/>
      </w:pPr>
      <w:r w:rsidRPr="001A3D2B">
        <w:t xml:space="preserve">Full Text: </w:t>
      </w:r>
      <w:hyperlink r:id="rId332" w:history="1">
        <w:r w:rsidRPr="001A3D2B">
          <w:rPr>
            <w:rStyle w:val="a5"/>
          </w:rPr>
          <w:t>2001\Cli Che47, 606.pdf</w:t>
        </w:r>
      </w:hyperlink>
    </w:p>
    <w:p w:rsidR="00850CCA" w:rsidRPr="001A3D2B" w:rsidRDefault="00850CCA" w:rsidP="00850CCA">
      <w:pPr>
        <w:pStyle w:val="a3"/>
        <w:rPr>
          <w:kern w:val="0"/>
        </w:rPr>
      </w:pPr>
      <w:r w:rsidRPr="001A3D2B">
        <w:rPr>
          <w:kern w:val="0"/>
        </w:rPr>
        <w:t>? Yazdanyar, S., Weischer, M.</w:t>
      </w:r>
      <w:r w:rsidR="005853A9">
        <w:rPr>
          <w:kern w:val="0"/>
        </w:rPr>
        <w:t xml:space="preserve"> and </w:t>
      </w:r>
      <w:r w:rsidRPr="001A3D2B">
        <w:rPr>
          <w:kern w:val="0"/>
        </w:rPr>
        <w:t>Nordestgaard, B.G. (2009), Genotyping for NOD2 genetic variants</w:t>
      </w:r>
      <w:r w:rsidR="005853A9">
        <w:rPr>
          <w:kern w:val="0"/>
        </w:rPr>
        <w:t xml:space="preserve"> and </w:t>
      </w:r>
      <w:r w:rsidRPr="001A3D2B">
        <w:rPr>
          <w:kern w:val="0"/>
        </w:rPr>
        <w:t xml:space="preserve">crohn disease: A metaanalysis. </w:t>
      </w:r>
      <w:r w:rsidRPr="001A3D2B">
        <w:rPr>
          <w:i/>
          <w:iCs/>
          <w:kern w:val="0"/>
        </w:rPr>
        <w:t>Clinical Chemistry</w:t>
      </w:r>
      <w:r w:rsidRPr="001A3D2B">
        <w:rPr>
          <w:kern w:val="0"/>
        </w:rPr>
        <w:t xml:space="preserve">, </w:t>
      </w:r>
      <w:r w:rsidRPr="001A3D2B">
        <w:rPr>
          <w:b/>
          <w:bCs/>
          <w:kern w:val="0"/>
        </w:rPr>
        <w:t>55</w:t>
      </w:r>
      <w:r w:rsidRPr="001A3D2B">
        <w:rPr>
          <w:kern w:val="0"/>
        </w:rPr>
        <w:t xml:space="preserve"> (11), </w:t>
      </w:r>
      <w:r w:rsidRPr="001A3D2B">
        <w:rPr>
          <w:kern w:val="0"/>
        </w:rPr>
        <w:lastRenderedPageBreak/>
        <w:t>1950-1957.</w:t>
      </w:r>
    </w:p>
    <w:p w:rsidR="00850CCA" w:rsidRPr="001A3D2B" w:rsidRDefault="00850CCA" w:rsidP="00850CCA">
      <w:pPr>
        <w:pStyle w:val="a3"/>
      </w:pPr>
      <w:r w:rsidRPr="001A3D2B">
        <w:t xml:space="preserve">Full Text: </w:t>
      </w:r>
      <w:hyperlink r:id="rId333" w:history="1">
        <w:r w:rsidRPr="001A3D2B">
          <w:rPr>
            <w:rStyle w:val="a5"/>
          </w:rPr>
          <w:t>2009\Cli Che55, 1950.pdf</w:t>
        </w:r>
      </w:hyperlink>
    </w:p>
    <w:p w:rsidR="00850CCA" w:rsidRPr="001A3D2B" w:rsidRDefault="00850CCA" w:rsidP="00850CCA">
      <w:pPr>
        <w:pStyle w:val="a3"/>
        <w:rPr>
          <w:kern w:val="0"/>
        </w:rPr>
      </w:pPr>
      <w:r w:rsidRPr="001A3D2B">
        <w:rPr>
          <w:kern w:val="0"/>
        </w:rPr>
        <w:t>Abstract: BACKGROUND: Arg7702Trp, Gly908Arg,</w:t>
      </w:r>
      <w:r w:rsidR="005853A9">
        <w:rPr>
          <w:kern w:val="0"/>
        </w:rPr>
        <w:t xml:space="preserve"> and </w:t>
      </w:r>
      <w:r w:rsidRPr="001A3D2B">
        <w:rPr>
          <w:kern w:val="0"/>
        </w:rPr>
        <w:t>Leu1007fisinsC variants</w:t>
      </w:r>
      <w:r w:rsidR="00427468">
        <w:rPr>
          <w:kern w:val="0"/>
        </w:rPr>
        <w:t xml:space="preserve"> of </w:t>
      </w:r>
      <w:r w:rsidR="003A1917">
        <w:rPr>
          <w:kern w:val="0"/>
        </w:rPr>
        <w:t xml:space="preserve">the </w:t>
      </w:r>
      <w:r w:rsidRPr="001A3D2B">
        <w:rPr>
          <w:kern w:val="0"/>
        </w:rPr>
        <w:t>NOD2 gene (nucleotide-binding oligomerization domain containing 2; alias, CARD15) influence</w:t>
      </w:r>
      <w:r w:rsidR="003A1917">
        <w:rPr>
          <w:kern w:val="0"/>
        </w:rPr>
        <w:t xml:space="preserve"> the </w:t>
      </w:r>
      <w:r w:rsidRPr="001A3D2B">
        <w:rPr>
          <w:kern w:val="0"/>
        </w:rPr>
        <w:t>risk</w:t>
      </w:r>
      <w:r w:rsidR="00427468">
        <w:rPr>
          <w:kern w:val="0"/>
        </w:rPr>
        <w:t xml:space="preserve"> of </w:t>
      </w:r>
      <w:r w:rsidRPr="001A3D2B">
        <w:rPr>
          <w:kern w:val="0"/>
        </w:rPr>
        <w:t>Crohn disease. METHODS: We conducted a systematic review to examine,whether Arg702Trp, Gly908Arg,</w:t>
      </w:r>
      <w:r w:rsidR="005853A9">
        <w:rPr>
          <w:kern w:val="0"/>
        </w:rPr>
        <w:t xml:space="preserve"> and </w:t>
      </w:r>
      <w:r w:rsidRPr="001A3D2B">
        <w:rPr>
          <w:kern w:val="0"/>
        </w:rPr>
        <w:t>Leu1007fsinsC are equally Important risk factors for Crohn disease. In addition, we used studies for which combined information from all genotypes was available to compare risks in simple heterozygotes, compound heterozygotes,</w:t>
      </w:r>
      <w:r w:rsidR="005853A9">
        <w:rPr>
          <w:kern w:val="0"/>
        </w:rPr>
        <w:t xml:space="preserve"> and </w:t>
      </w:r>
      <w:r w:rsidRPr="001A3D2B">
        <w:rPr>
          <w:kern w:val="0"/>
        </w:rPr>
        <w:t xml:space="preserve">homozygotes. </w:t>
      </w:r>
      <w:r w:rsidR="002C12F0">
        <w:rPr>
          <w:kern w:val="0"/>
        </w:rPr>
        <w:t>PUBMED</w:t>
      </w:r>
      <w:r w:rsidRPr="001A3D2B">
        <w:rPr>
          <w:kern w:val="0"/>
        </w:rPr>
        <w:t>, EM BASE,</w:t>
      </w:r>
      <w:r w:rsidR="005853A9">
        <w:rPr>
          <w:kern w:val="0"/>
        </w:rPr>
        <w:t xml:space="preserve"> and </w:t>
      </w:r>
      <w:r w:rsidR="00D5664A">
        <w:rPr>
          <w:kern w:val="0"/>
        </w:rPr>
        <w:t>Web</w:t>
      </w:r>
      <w:r w:rsidR="00427468">
        <w:rPr>
          <w:kern w:val="0"/>
        </w:rPr>
        <w:t xml:space="preserve"> of </w:t>
      </w:r>
      <w:r w:rsidR="00D5664A">
        <w:rPr>
          <w:kern w:val="0"/>
        </w:rPr>
        <w:t>Science</w:t>
      </w:r>
      <w:r w:rsidRPr="001A3D2B">
        <w:rPr>
          <w:kern w:val="0"/>
        </w:rPr>
        <w:t xml:space="preserve"> were searched. Seventy-five articles (18 727 cases</w:t>
      </w:r>
      <w:r w:rsidR="005853A9">
        <w:rPr>
          <w:kern w:val="0"/>
        </w:rPr>
        <w:t xml:space="preserve"> and </w:t>
      </w:r>
      <w:r w:rsidRPr="001A3D2B">
        <w:rPr>
          <w:kern w:val="0"/>
        </w:rPr>
        <w:t>17 102 controls) met</w:t>
      </w:r>
      <w:r w:rsidR="003A1917">
        <w:rPr>
          <w:kern w:val="0"/>
        </w:rPr>
        <w:t xml:space="preserve"> the </w:t>
      </w:r>
      <w:r w:rsidRPr="001A3D2B">
        <w:rPr>
          <w:kern w:val="0"/>
        </w:rPr>
        <w:t>inclusion criteria</w:t>
      </w:r>
      <w:r w:rsidR="005853A9">
        <w:rPr>
          <w:kern w:val="0"/>
        </w:rPr>
        <w:t xml:space="preserve"> and </w:t>
      </w:r>
      <w:r w:rsidRPr="001A3D2B">
        <w:rPr>
          <w:kern w:val="0"/>
        </w:rPr>
        <w:t>contributed data to</w:t>
      </w:r>
      <w:r w:rsidR="003A1917">
        <w:rPr>
          <w:kern w:val="0"/>
        </w:rPr>
        <w:t xml:space="preserve"> the </w:t>
      </w:r>
      <w:r w:rsidRPr="001A3D2B">
        <w:rPr>
          <w:kern w:val="0"/>
        </w:rPr>
        <w:t>metaanalyses. RESULTS:</w:t>
      </w:r>
      <w:r w:rsidR="003A1917">
        <w:rPr>
          <w:kern w:val="0"/>
        </w:rPr>
        <w:t xml:space="preserve"> the </w:t>
      </w:r>
      <w:r w:rsidRPr="001A3D2B">
        <w:rPr>
          <w:kern w:val="0"/>
        </w:rPr>
        <w:t>odds ratios per allele for Crohn disease were 2.2 (95% CI, 2.0-2.5) for Arg702Trp, 2.6 (2.2-2.9) for Gly908Arg,</w:t>
      </w:r>
      <w:r w:rsidR="005853A9">
        <w:rPr>
          <w:kern w:val="0"/>
        </w:rPr>
        <w:t xml:space="preserve"> and </w:t>
      </w:r>
      <w:r w:rsidRPr="001A3D2B">
        <w:rPr>
          <w:kern w:val="0"/>
        </w:rPr>
        <w:t>3.8 (3.4-4.3) for Leu1007fsinsC (z-test results: Arg702Trp vs Gly908Arg, P = 0.03; Arg702Trp vs Leu1007fsinsC, P &lt; 0.001; Gly908Arg vs Leu1007fisinsC, P &lt; 0.001). When all 3 genotypes were combined, odds ratios for Crohn disease were 2.4 (95% CI, 2.0-2.8) for simple heterozygotes, 9.0 (6.0-13.5) for Compound heterozygotes,</w:t>
      </w:r>
      <w:r w:rsidR="005853A9">
        <w:rPr>
          <w:kern w:val="0"/>
        </w:rPr>
        <w:t xml:space="preserve"> and </w:t>
      </w:r>
      <w:r w:rsidRPr="001A3D2B">
        <w:rPr>
          <w:kern w:val="0"/>
        </w:rPr>
        <w:t>6.7 (4.1-10.9) for homozygotes, compared with noncarriers (z-test results: simple heterozygotes vs compound heterozygotes, P &lt; 0.001; simple heterozygotes vs homozygotes, P &lt; 0.001; compound heterozygotes vs homozygotes, P = 0.18). CONCLUSIONS:</w:t>
      </w:r>
      <w:r w:rsidR="003A1917">
        <w:rPr>
          <w:kern w:val="0"/>
        </w:rPr>
        <w:t xml:space="preserve"> the </w:t>
      </w:r>
      <w:r w:rsidRPr="001A3D2B">
        <w:rPr>
          <w:kern w:val="0"/>
        </w:rPr>
        <w:t>per-allele risk</w:t>
      </w:r>
      <w:r w:rsidR="00427468">
        <w:rPr>
          <w:kern w:val="0"/>
        </w:rPr>
        <w:t xml:space="preserve"> of </w:t>
      </w:r>
      <w:r w:rsidRPr="001A3D2B">
        <w:rPr>
          <w:kern w:val="0"/>
        </w:rPr>
        <w:t>Crohn disease was markedly higher for Leu1007fsinsC than for Arg702Trp</w:t>
      </w:r>
      <w:r w:rsidR="005853A9">
        <w:rPr>
          <w:kern w:val="0"/>
        </w:rPr>
        <w:t xml:space="preserve"> and </w:t>
      </w:r>
      <w:r w:rsidRPr="001A3D2B">
        <w:rPr>
          <w:kern w:val="0"/>
        </w:rPr>
        <w:t>Gly908Arg. Combining all genotypes revealed</w:t>
      </w:r>
      <w:r w:rsidR="003A1917">
        <w:rPr>
          <w:kern w:val="0"/>
        </w:rPr>
        <w:t xml:space="preserve"> the </w:t>
      </w:r>
      <w:r w:rsidRPr="001A3D2B">
        <w:rPr>
          <w:kern w:val="0"/>
        </w:rPr>
        <w:t>risks</w:t>
      </w:r>
      <w:r w:rsidR="00427468">
        <w:rPr>
          <w:kern w:val="0"/>
        </w:rPr>
        <w:t xml:space="preserve"> of </w:t>
      </w:r>
      <w:r w:rsidRPr="001A3D2B">
        <w:rPr>
          <w:kern w:val="0"/>
        </w:rPr>
        <w:t>Crohn disease for compound heterozygotes</w:t>
      </w:r>
      <w:r w:rsidR="005853A9">
        <w:rPr>
          <w:kern w:val="0"/>
        </w:rPr>
        <w:t xml:space="preserve"> and </w:t>
      </w:r>
      <w:r w:rsidRPr="001A3D2B">
        <w:rPr>
          <w:kern w:val="0"/>
        </w:rPr>
        <w:t>homozygotes to be similar</w:t>
      </w:r>
      <w:r w:rsidR="005853A9">
        <w:rPr>
          <w:kern w:val="0"/>
        </w:rPr>
        <w:t xml:space="preserve"> and </w:t>
      </w:r>
      <w:r w:rsidRPr="001A3D2B">
        <w:rPr>
          <w:kern w:val="0"/>
        </w:rPr>
        <w:t>markedly higher than for simple heterozygotes. (C) 2009 American Association for Clinical Chemistry.</w:t>
      </w:r>
    </w:p>
    <w:p w:rsidR="00850CCA" w:rsidRPr="001A3D2B" w:rsidRDefault="00850CCA" w:rsidP="00850CCA">
      <w:pPr>
        <w:pStyle w:val="a3"/>
        <w:rPr>
          <w:kern w:val="0"/>
        </w:rPr>
      </w:pPr>
      <w:r w:rsidRPr="001A3D2B">
        <w:rPr>
          <w:kern w:val="0"/>
        </w:rPr>
        <w:t>Keywords: Association, Card15, Inflammatory-Bowel-Disease, Mutations, NOD2, Card15, Phenotype Relationship, Polymorphisms, Population, Prevalence, Risk Factors, Susceptibility</w:t>
      </w:r>
    </w:p>
    <w:p w:rsidR="00AB72AF" w:rsidRDefault="00AB72AF" w:rsidP="00AB72AF">
      <w:pPr>
        <w:pStyle w:val="a3"/>
        <w:rPr>
          <w:kern w:val="0"/>
        </w:rPr>
      </w:pPr>
      <w:r>
        <w:rPr>
          <w:rFonts w:hint="eastAsia"/>
          <w:kern w:val="0"/>
        </w:rPr>
        <w:t xml:space="preserve">? </w:t>
      </w:r>
      <w:r>
        <w:rPr>
          <w:kern w:val="0"/>
        </w:rPr>
        <w:t xml:space="preserve">Korevaar, D.A., Ochodo, E.A., Bossuyt, P.M.M. and Hooft, L. (2014), Publication and reporting of test accuracy studies registered in ClinicalTrials.gov. </w:t>
      </w:r>
      <w:r>
        <w:rPr>
          <w:i/>
          <w:iCs/>
          <w:kern w:val="0"/>
        </w:rPr>
        <w:t>Clinical Chemistry</w:t>
      </w:r>
      <w:r>
        <w:rPr>
          <w:kern w:val="0"/>
        </w:rPr>
        <w:t xml:space="preserve">, </w:t>
      </w:r>
      <w:r>
        <w:rPr>
          <w:b/>
          <w:bCs/>
          <w:kern w:val="0"/>
        </w:rPr>
        <w:t>60</w:t>
      </w:r>
      <w:r>
        <w:rPr>
          <w:kern w:val="0"/>
        </w:rPr>
        <w:t xml:space="preserve"> (4), 651-659.</w:t>
      </w:r>
    </w:p>
    <w:p w:rsidR="00AB72AF" w:rsidRPr="001A3D2B" w:rsidRDefault="00AB72AF" w:rsidP="00AB72AF">
      <w:pPr>
        <w:pStyle w:val="a3"/>
      </w:pPr>
      <w:r w:rsidRPr="001A3D2B">
        <w:t xml:space="preserve">Full Text: </w:t>
      </w:r>
      <w:r w:rsidRPr="00E903FC">
        <w:t>20</w:t>
      </w:r>
      <w:r>
        <w:rPr>
          <w:rFonts w:hint="eastAsia"/>
        </w:rPr>
        <w:t>14</w:t>
      </w:r>
      <w:r w:rsidRPr="00E903FC">
        <w:t>\Cli Che</w:t>
      </w:r>
      <w:r>
        <w:rPr>
          <w:rFonts w:hint="eastAsia"/>
        </w:rPr>
        <w:t>60</w:t>
      </w:r>
      <w:r w:rsidRPr="00E903FC">
        <w:t xml:space="preserve">, </w:t>
      </w:r>
      <w:r>
        <w:rPr>
          <w:rFonts w:hint="eastAsia"/>
        </w:rPr>
        <w:t>651</w:t>
      </w:r>
      <w:r w:rsidRPr="00E903FC">
        <w:t>.pdf</w:t>
      </w:r>
    </w:p>
    <w:p w:rsidR="00AB72AF" w:rsidRDefault="00AB72AF" w:rsidP="00AB72AF">
      <w:pPr>
        <w:pStyle w:val="a3"/>
        <w:rPr>
          <w:kern w:val="0"/>
        </w:rPr>
      </w:pPr>
      <w:r>
        <w:rPr>
          <w:kern w:val="0"/>
        </w:rPr>
        <w:t>Abstract: BACKGROUND: Failure to publish and selective reporting are recognized problems in the biomedical literature, but their extent in the field of diagnostic testing is unknown. We aimed to identify nonpublication and discrepancies between registered records and publications among registered test accuracy studies. METHODS: We identified studies evaluating a test</w:t>
      </w:r>
      <w:r w:rsidR="0071223E">
        <w:rPr>
          <w:kern w:val="0"/>
        </w:rPr>
        <w:t>’</w:t>
      </w:r>
      <w:r>
        <w:rPr>
          <w:kern w:val="0"/>
        </w:rPr>
        <w:t xml:space="preserve">s accuracy against a reference standard that were registered in ClinicalTrials. gov between January 2006 and December 2010. We included studies if their completion date was set before October </w:t>
      </w:r>
      <w:r>
        <w:rPr>
          <w:kern w:val="0"/>
        </w:rPr>
        <w:lastRenderedPageBreak/>
        <w:t>2011, allowing at least 18 months until publication. We searched PubMed, EMBASE, and Web of Science and contacted investigators for publications. RESULTS: We included 418 studies, of which 224 (54%) had been published by mid-2013. Among studies that had been completed at least 30 months before our analyses, 45% were published within 30 months after their completion. Publication rates were high in studies registered after study completion (76%) and low for studies with an unknown (rather than completed) study status (36%). After we excluded these 2 categories, study duration was the only characteristic significantly associated with publication, with lower rates in studies lasting up to 1 year (39%) compared to studies of 13-24 months (62%) or longer (67%) (P = 0.01). In the 153 published studies that had been registered before completion, 49 (32%) showed discrepancies between the registry and publication regarding inclusion criteria (n = 19), test/ threshold (n = 9), and outcomes (n = 32). CONCLUSIONS: Failure to publish and selective reporting are prevalent in test accuracy studies</w:t>
      </w:r>
      <w:r w:rsidR="00A37C1D">
        <w:rPr>
          <w:kern w:val="0"/>
        </w:rPr>
        <w:t>. The</w:t>
      </w:r>
      <w:r>
        <w:rPr>
          <w:kern w:val="0"/>
        </w:rPr>
        <w:t>ir registration should be further promoted among researchers and journal editors. (C) 2013 American Association for Clinical Chemistry.</w:t>
      </w:r>
    </w:p>
    <w:p w:rsidR="00AB72AF" w:rsidRDefault="00AB72AF" w:rsidP="00AB72AF">
      <w:pPr>
        <w:pStyle w:val="a3"/>
        <w:rPr>
          <w:kern w:val="0"/>
        </w:rPr>
      </w:pPr>
      <w:r>
        <w:rPr>
          <w:kern w:val="0"/>
        </w:rPr>
        <w:t>Keywords: Accuracy, Analyses, Association, Background, Bias, Biomedical, Chemistry, Conclusions, Criteria, Diagnostic, Diagnostic Testing, Diagnostic-Accuracy, Duration, Editors, Embase, Field, Journal, Journal Editors, Literature, Methods, Outcomes, P, Publication, Publications, Published Primary Outcomes, Pubmed, Rates, Records, Reference, Registration, Registry, Reporting, Science, Standard, Systematic Reviews, Test, Testing, Threshold, Time, Trials, Web Of Science</w:t>
      </w:r>
    </w:p>
    <w:p w:rsidR="003474F2" w:rsidRPr="001A3D2B" w:rsidRDefault="003474F2" w:rsidP="003474F2">
      <w:pPr>
        <w:pStyle w:val="1"/>
      </w:pPr>
      <w:r w:rsidRPr="001A3D2B">
        <w:br w:type="page"/>
      </w:r>
      <w:bookmarkStart w:id="266" w:name="_Toc420815017"/>
      <w:r w:rsidRPr="001A3D2B">
        <w:lastRenderedPageBreak/>
        <w:t xml:space="preserve">Title: </w:t>
      </w:r>
      <w:r w:rsidRPr="001A3D2B">
        <w:rPr>
          <w:szCs w:val="24"/>
        </w:rPr>
        <w:t>Clinical Chemistry</w:t>
      </w:r>
      <w:r w:rsidR="005853A9">
        <w:rPr>
          <w:szCs w:val="24"/>
        </w:rPr>
        <w:t xml:space="preserve"> and </w:t>
      </w:r>
      <w:r w:rsidRPr="001A3D2B">
        <w:rPr>
          <w:szCs w:val="24"/>
        </w:rPr>
        <w:t>Laboratory Medicine</w:t>
      </w:r>
      <w:bookmarkEnd w:id="266"/>
    </w:p>
    <w:p w:rsidR="003474F2" w:rsidRPr="001A3D2B" w:rsidRDefault="003474F2" w:rsidP="003474F2">
      <w:pPr>
        <w:pStyle w:val="12"/>
      </w:pPr>
      <w:r w:rsidRPr="001A3D2B">
        <w:t xml:space="preserve">Full Journal Title: </w:t>
      </w:r>
      <w:hyperlink r:id="rId334" w:anchor="db=a9h&amp;jid=9EC" w:history="1">
        <w:r w:rsidRPr="000A700B">
          <w:rPr>
            <w:rStyle w:val="a5"/>
          </w:rPr>
          <w:t>Clinical Chemistry</w:t>
        </w:r>
        <w:r w:rsidR="005853A9">
          <w:rPr>
            <w:rStyle w:val="a5"/>
          </w:rPr>
          <w:t xml:space="preserve"> and </w:t>
        </w:r>
        <w:r w:rsidRPr="000A700B">
          <w:rPr>
            <w:rStyle w:val="a5"/>
          </w:rPr>
          <w:t>Laboratory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 xml:space="preserve">Language: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Uysal, S., Tuglu, B., Ozalp, Y.</w:t>
      </w:r>
      <w:r w:rsidR="005853A9">
        <w:t xml:space="preserve"> and </w:t>
      </w:r>
      <w:r w:rsidRPr="001A3D2B">
        <w:t>Onvural, B. (2008), Fate</w:t>
      </w:r>
      <w:r w:rsidR="00427468">
        <w:t xml:space="preserve"> of </w:t>
      </w:r>
      <w:r w:rsidRPr="001A3D2B">
        <w:t>abstracts presented at</w:t>
      </w:r>
      <w:r w:rsidR="003A1917">
        <w:t xml:space="preserve"> the </w:t>
      </w:r>
      <w:r w:rsidRPr="001A3D2B">
        <w:t xml:space="preserve">2002 IFCC meeting. </w:t>
      </w:r>
      <w:r w:rsidRPr="001A3D2B">
        <w:rPr>
          <w:i/>
          <w:iCs/>
        </w:rPr>
        <w:t>Clinical Chemistry</w:t>
      </w:r>
      <w:r w:rsidR="005853A9">
        <w:rPr>
          <w:i/>
          <w:iCs/>
        </w:rPr>
        <w:t xml:space="preserve"> and </w:t>
      </w:r>
      <w:r w:rsidRPr="001A3D2B">
        <w:rPr>
          <w:i/>
          <w:iCs/>
        </w:rPr>
        <w:t>Laboratory Medicine</w:t>
      </w:r>
      <w:r w:rsidRPr="001A3D2B">
        <w:t xml:space="preserve">, </w:t>
      </w:r>
      <w:r w:rsidRPr="001A3D2B">
        <w:rPr>
          <w:b/>
        </w:rPr>
        <w:t>46</w:t>
      </w:r>
      <w:r w:rsidRPr="001A3D2B">
        <w:t xml:space="preserve"> (11), 1562-1567.</w:t>
      </w:r>
    </w:p>
    <w:p w:rsidR="000A700B" w:rsidRDefault="000A700B" w:rsidP="000A700B">
      <w:pPr>
        <w:pStyle w:val="a3"/>
      </w:pPr>
      <w:r>
        <w:rPr>
          <w:rFonts w:hint="eastAsia"/>
        </w:rPr>
        <w:t xml:space="preserve">Full Text: </w:t>
      </w:r>
      <w:hyperlink r:id="rId335" w:history="1">
        <w:r w:rsidRPr="009F253E">
          <w:rPr>
            <w:rStyle w:val="a5"/>
          </w:rPr>
          <w:t>2008\Cli Che Lab Med46, 1562.pdf</w:t>
        </w:r>
      </w:hyperlink>
    </w:p>
    <w:p w:rsidR="003474F2" w:rsidRPr="001A3D2B" w:rsidRDefault="003474F2" w:rsidP="003474F2">
      <w:pPr>
        <w:pStyle w:val="a3"/>
      </w:pPr>
      <w:r w:rsidRPr="001A3D2B">
        <w:t>Abstract: Background: Poster presentations at major meetings serve to rapidly present</w:t>
      </w:r>
      <w:r w:rsidR="005853A9">
        <w:t xml:space="preserve"> and </w:t>
      </w:r>
      <w:r w:rsidRPr="001A3D2B">
        <w:t>share study results with</w:t>
      </w:r>
      <w:r w:rsidR="003A1917">
        <w:t xml:space="preserve"> the </w:t>
      </w:r>
      <w:r w:rsidRPr="001A3D2B">
        <w:t>scientific community. On</w:t>
      </w:r>
      <w:r w:rsidR="003A1917">
        <w:t xml:space="preserve"> the </w:t>
      </w:r>
      <w:r w:rsidRPr="001A3D2B">
        <w:t>other hand, full-text publication</w:t>
      </w:r>
      <w:r w:rsidR="00427468">
        <w:t xml:space="preserve"> of </w:t>
      </w:r>
      <w:r w:rsidRPr="001A3D2B">
        <w:t>abstracts in peer-reviewed journals provides dissemination</w:t>
      </w:r>
      <w:r w:rsidR="00427468">
        <w:t xml:space="preserve"> of </w:t>
      </w:r>
      <w:r w:rsidRPr="001A3D2B">
        <w:t>knowledge</w:t>
      </w:r>
      <w:r w:rsidR="00A37C1D">
        <w:t>. The</w:t>
      </w:r>
      <w:r w:rsidR="003A1917">
        <w:t xml:space="preserve"> </w:t>
      </w:r>
      <w:r w:rsidRPr="001A3D2B">
        <w:t>purpose</w:t>
      </w:r>
      <w:r w:rsidR="00427468">
        <w:t xml:space="preserve"> of </w:t>
      </w:r>
      <w:r w:rsidRPr="001A3D2B">
        <w:t>this study was to evaluate</w:t>
      </w:r>
      <w:r w:rsidR="003A1917">
        <w:t xml:space="preserve"> the </w:t>
      </w:r>
      <w:r w:rsidRPr="001A3D2B">
        <w:t>publication rate</w:t>
      </w:r>
      <w:r w:rsidR="00427468">
        <w:t xml:space="preserve"> of </w:t>
      </w:r>
      <w:r w:rsidRPr="001A3D2B">
        <w:t>abstracts presented at</w:t>
      </w:r>
      <w:r w:rsidR="003A1917">
        <w:t xml:space="preserve"> the </w:t>
      </w:r>
      <w:r w:rsidRPr="001A3D2B">
        <w:t>International Federation</w:t>
      </w:r>
      <w:r w:rsidR="00427468">
        <w:t xml:space="preserve"> of </w:t>
      </w:r>
      <w:r w:rsidRPr="001A3D2B">
        <w:t>Clinical Chemistry</w:t>
      </w:r>
      <w:r w:rsidR="005853A9">
        <w:t xml:space="preserve"> and </w:t>
      </w:r>
      <w:r w:rsidRPr="001A3D2B">
        <w:t>Laboratory Medicine (IFCC) Meeting, to assess</w:t>
      </w:r>
      <w:r w:rsidR="003A1917">
        <w:t xml:space="preserve"> the </w:t>
      </w:r>
      <w:r w:rsidRPr="001A3D2B">
        <w:t>factors influencing publication</w:t>
      </w:r>
      <w:r w:rsidR="005853A9">
        <w:t xml:space="preserve"> and </w:t>
      </w:r>
      <w:r w:rsidRPr="001A3D2B">
        <w:t>determine</w:t>
      </w:r>
      <w:r w:rsidR="003A1917">
        <w:t xml:space="preserve"> the </w:t>
      </w:r>
      <w:r w:rsidRPr="001A3D2B">
        <w:t>impact factor</w:t>
      </w:r>
      <w:r w:rsidR="00427468">
        <w:t xml:space="preserve"> of </w:t>
      </w:r>
      <w:r w:rsidRPr="001A3D2B">
        <w:t>these journals. Methods: All poster abstracts presented at</w:t>
      </w:r>
      <w:r w:rsidR="003A1917">
        <w:t xml:space="preserve"> the </w:t>
      </w:r>
      <w:r w:rsidRPr="001A3D2B">
        <w:t>2002 IFCC Meeting were included in</w:t>
      </w:r>
      <w:r w:rsidR="003A1917">
        <w:t xml:space="preserve"> the </w:t>
      </w:r>
      <w:r w:rsidRPr="001A3D2B">
        <w:t xml:space="preserve">study. A </w:t>
      </w:r>
      <w:r w:rsidR="00D5664A">
        <w:t>MEDLINE</w:t>
      </w:r>
      <w:r w:rsidRPr="001A3D2B">
        <w:t xml:space="preserve"> search was performed to identify a matching journal article. Topics, country</w:t>
      </w:r>
      <w:r w:rsidR="00427468">
        <w:t xml:space="preserve"> of </w:t>
      </w:r>
      <w:r w:rsidRPr="001A3D2B">
        <w:t>origin, study type, study center</w:t>
      </w:r>
      <w:r w:rsidR="005853A9">
        <w:t xml:space="preserve"> and </w:t>
      </w:r>
      <w:r w:rsidRPr="001A3D2B">
        <w:t>publication year were tabulated. Journals</w:t>
      </w:r>
      <w:r w:rsidR="005853A9">
        <w:t xml:space="preserve"> and </w:t>
      </w:r>
      <w:r w:rsidRPr="001A3D2B">
        <w:t>impact factors</w:t>
      </w:r>
      <w:r w:rsidR="00427468">
        <w:t xml:space="preserve"> of </w:t>
      </w:r>
      <w:r w:rsidRPr="001A3D2B">
        <w:t>publication were noted. Results: Out</w:t>
      </w:r>
      <w:r w:rsidR="00427468">
        <w:t xml:space="preserve"> of </w:t>
      </w:r>
      <w:r w:rsidRPr="001A3D2B">
        <w:t>900 presented abstracts, 125 (13.9%) were published as full-text articles. Publication rates according to topics</w:t>
      </w:r>
      <w:r w:rsidR="00427468">
        <w:t xml:space="preserve"> of </w:t>
      </w:r>
      <w:r w:rsidR="003A1917">
        <w:t xml:space="preserve">the </w:t>
      </w:r>
      <w:r w:rsidRPr="001A3D2B">
        <w:t>meeting, country</w:t>
      </w:r>
      <w:r w:rsidR="00427468">
        <w:t xml:space="preserve"> of </w:t>
      </w:r>
      <w:r w:rsidRPr="001A3D2B">
        <w:t>origin</w:t>
      </w:r>
      <w:r w:rsidR="005853A9">
        <w:t xml:space="preserve"> and </w:t>
      </w:r>
      <w:r w:rsidRPr="001A3D2B">
        <w:t>university affiliation demonstrated significant differences. Abstracts from multi-centered studies had higher publication rates,</w:t>
      </w:r>
      <w:r w:rsidR="005853A9">
        <w:t xml:space="preserve"> and </w:t>
      </w:r>
      <w:r w:rsidR="003A1917">
        <w:t xml:space="preserve">the </w:t>
      </w:r>
      <w:r w:rsidRPr="001A3D2B">
        <w:t>journals they were published in had higher impact factors than single center studies</w:t>
      </w:r>
      <w:r w:rsidR="00A37C1D">
        <w:t>. The</w:t>
      </w:r>
      <w:r w:rsidR="003A1917">
        <w:t xml:space="preserve"> </w:t>
      </w:r>
      <w:r w:rsidRPr="001A3D2B">
        <w:t>median impact factor</w:t>
      </w:r>
      <w:r w:rsidR="00427468">
        <w:t xml:space="preserve"> of </w:t>
      </w:r>
      <w:r w:rsidR="003A1917">
        <w:t xml:space="preserve">the </w:t>
      </w:r>
      <w:r w:rsidRPr="001A3D2B">
        <w:t>journals was 2.093. According to regression analysis,</w:t>
      </w:r>
      <w:r w:rsidR="003A1917">
        <w:t xml:space="preserve"> the </w:t>
      </w:r>
      <w:r w:rsidRPr="001A3D2B">
        <w:t>major predictors for publication were interventional research</w:t>
      </w:r>
      <w:r w:rsidR="005853A9">
        <w:t xml:space="preserve"> and </w:t>
      </w:r>
      <w:r w:rsidRPr="001A3D2B">
        <w:t>university affiliation (odds ratios 2.916</w:t>
      </w:r>
      <w:r w:rsidR="005853A9">
        <w:t xml:space="preserve"> and </w:t>
      </w:r>
      <w:r w:rsidRPr="001A3D2B">
        <w:t>1.782, respectively; p&lt;0.05). Conclusions:</w:t>
      </w:r>
      <w:r w:rsidR="003A1917">
        <w:t xml:space="preserve"> the </w:t>
      </w:r>
      <w:r w:rsidRPr="001A3D2B">
        <w:t>publication rate for abstracts</w:t>
      </w:r>
      <w:r w:rsidR="00427468">
        <w:t xml:space="preserve"> of </w:t>
      </w:r>
      <w:r w:rsidRPr="001A3D2B">
        <w:t>this clinical chemistry meeting was lower than rates from other fields</w:t>
      </w:r>
      <w:r w:rsidR="00427468">
        <w:t xml:space="preserve"> of </w:t>
      </w:r>
      <w:r w:rsidRPr="001A3D2B">
        <w:t xml:space="preserve">medicine. Factors leading to failure require elucidation. Encouraging authors to submit their presentations for full-text publication might </w:t>
      </w:r>
      <w:r w:rsidRPr="001A3D2B">
        <w:lastRenderedPageBreak/>
        <w:t>improve</w:t>
      </w:r>
      <w:r w:rsidR="003A1917">
        <w:t xml:space="preserve"> the </w:t>
      </w:r>
      <w:r w:rsidRPr="001A3D2B">
        <w:t>rate</w:t>
      </w:r>
      <w:r w:rsidR="00427468">
        <w:t xml:space="preserve"> of </w:t>
      </w:r>
      <w:r w:rsidRPr="001A3D2B">
        <w:t>publication.</w:t>
      </w:r>
    </w:p>
    <w:p w:rsidR="003474F2" w:rsidRPr="001A3D2B" w:rsidRDefault="003474F2" w:rsidP="003474F2">
      <w:pPr>
        <w:pStyle w:val="a3"/>
      </w:pPr>
      <w:r w:rsidRPr="001A3D2B">
        <w:t>Keywords: Affiliation, Analysis, Association, Authors, Chemistry, Clinical, Clinical Chemistry, Community, Country, Country</w:t>
      </w:r>
      <w:r w:rsidR="00427468">
        <w:t xml:space="preserve"> of </w:t>
      </w:r>
      <w:r w:rsidRPr="001A3D2B">
        <w:t>Origin, Factors, Failure, Impact, Impact Factor, Impact Factors, Journal, Journal Article, Journals, Knowledge, Matching, Medicine, Meeting, Meetings, NOV, Origin, Peer Reviewed Journals, Peer-Reviewed, Predictors, Publication, Publication Rate, Publish, Purpose, Rates, Regression, Regression Analysis, Research, Search, Society, Subsequent Publication, Trials, University</w:t>
      </w:r>
    </w:p>
    <w:p w:rsidR="00C51252" w:rsidRDefault="00C51252" w:rsidP="00C51252">
      <w:pPr>
        <w:pStyle w:val="a3"/>
        <w:rPr>
          <w:kern w:val="0"/>
        </w:rPr>
      </w:pPr>
      <w:r>
        <w:rPr>
          <w:rFonts w:hint="eastAsia"/>
          <w:kern w:val="0"/>
        </w:rPr>
        <w:t xml:space="preserve">? </w:t>
      </w:r>
      <w:r>
        <w:rPr>
          <w:kern w:val="0"/>
        </w:rPr>
        <w:t>Siest, G.</w:t>
      </w:r>
      <w:r w:rsidR="005853A9">
        <w:rPr>
          <w:kern w:val="0"/>
        </w:rPr>
        <w:t xml:space="preserve"> and </w:t>
      </w:r>
      <w:r>
        <w:rPr>
          <w:kern w:val="0"/>
        </w:rPr>
        <w:t xml:space="preserve">Jahnke, H. (2008), </w:t>
      </w:r>
      <w:r w:rsidRPr="00147CB7">
        <w:rPr>
          <w:i/>
          <w:kern w:val="0"/>
        </w:rPr>
        <w:t>CCLM</w:t>
      </w:r>
      <w:r>
        <w:rPr>
          <w:kern w:val="0"/>
        </w:rPr>
        <w:t xml:space="preserve"> Award for</w:t>
      </w:r>
      <w:r w:rsidR="003A1917">
        <w:rPr>
          <w:kern w:val="0"/>
        </w:rPr>
        <w:t xml:space="preserve"> the </w:t>
      </w:r>
      <w:r>
        <w:rPr>
          <w:kern w:val="0"/>
        </w:rPr>
        <w:t xml:space="preserve">most cited paper recently published. </w:t>
      </w:r>
      <w:r>
        <w:rPr>
          <w:i/>
          <w:iCs/>
          <w:kern w:val="0"/>
        </w:rPr>
        <w:t>Clinical Chemistry</w:t>
      </w:r>
      <w:r w:rsidR="005853A9">
        <w:rPr>
          <w:i/>
          <w:iCs/>
          <w:kern w:val="0"/>
        </w:rPr>
        <w:t xml:space="preserve"> and </w:t>
      </w:r>
      <w:r>
        <w:rPr>
          <w:i/>
          <w:iCs/>
          <w:kern w:val="0"/>
        </w:rPr>
        <w:t>Laboratory Medicine</w:t>
      </w:r>
      <w:r>
        <w:rPr>
          <w:kern w:val="0"/>
        </w:rPr>
        <w:t xml:space="preserve">, </w:t>
      </w:r>
      <w:r>
        <w:rPr>
          <w:b/>
          <w:bCs/>
          <w:kern w:val="0"/>
        </w:rPr>
        <w:t>46</w:t>
      </w:r>
      <w:r>
        <w:rPr>
          <w:kern w:val="0"/>
        </w:rPr>
        <w:t xml:space="preserve"> (12), 1663</w:t>
      </w:r>
      <w:r>
        <w:rPr>
          <w:rFonts w:hint="eastAsia"/>
          <w:kern w:val="0"/>
        </w:rPr>
        <w:t>.</w:t>
      </w:r>
    </w:p>
    <w:p w:rsidR="00C51252" w:rsidRDefault="00C51252" w:rsidP="00C51252">
      <w:pPr>
        <w:pStyle w:val="a3"/>
      </w:pPr>
      <w:r>
        <w:rPr>
          <w:rFonts w:hint="eastAsia"/>
        </w:rPr>
        <w:t xml:space="preserve">Full Text: </w:t>
      </w:r>
      <w:hyperlink r:id="rId336" w:history="1">
        <w:r w:rsidRPr="00687A8B">
          <w:rPr>
            <w:rStyle w:val="a5"/>
          </w:rPr>
          <w:t>2008\Cli Che Lab Med46, 1663.pdf</w:t>
        </w:r>
      </w:hyperlink>
    </w:p>
    <w:p w:rsidR="000A700B" w:rsidRDefault="000A700B" w:rsidP="000A700B">
      <w:pPr>
        <w:pStyle w:val="a3"/>
      </w:pPr>
      <w:r w:rsidRPr="001A3D2B">
        <w:t xml:space="preserve">? </w:t>
      </w:r>
      <w:r>
        <w:t>Wan</w:t>
      </w:r>
      <w:r>
        <w:rPr>
          <w:rFonts w:hint="eastAsia"/>
        </w:rPr>
        <w:t>,</w:t>
      </w:r>
      <w:r>
        <w:t xml:space="preserve"> X</w:t>
      </w:r>
      <w:r>
        <w:rPr>
          <w:rFonts w:hint="eastAsia"/>
        </w:rPr>
        <w:t>.</w:t>
      </w:r>
      <w:r>
        <w:t>H</w:t>
      </w:r>
      <w:r>
        <w:rPr>
          <w:rFonts w:hint="eastAsia"/>
        </w:rPr>
        <w:t>.,</w:t>
      </w:r>
      <w:r>
        <w:t xml:space="preserve"> Li</w:t>
      </w:r>
      <w:r>
        <w:rPr>
          <w:rFonts w:hint="eastAsia"/>
        </w:rPr>
        <w:t>,</w:t>
      </w:r>
      <w:r>
        <w:t xml:space="preserve"> Z</w:t>
      </w:r>
      <w:r>
        <w:rPr>
          <w:rFonts w:hint="eastAsia"/>
        </w:rPr>
        <w:t>.</w:t>
      </w:r>
      <w:r>
        <w:t>W</w:t>
      </w:r>
      <w:r>
        <w:rPr>
          <w:rFonts w:hint="eastAsia"/>
        </w:rPr>
        <w:t>.</w:t>
      </w:r>
      <w:r w:rsidR="005853A9">
        <w:rPr>
          <w:rFonts w:hint="eastAsia"/>
        </w:rPr>
        <w:t xml:space="preserve"> and </w:t>
      </w:r>
      <w:r>
        <w:t>Wang</w:t>
      </w:r>
      <w:r>
        <w:rPr>
          <w:rFonts w:hint="eastAsia"/>
        </w:rPr>
        <w:t>,</w:t>
      </w:r>
      <w:r>
        <w:t xml:space="preserve"> M</w:t>
      </w:r>
      <w:r>
        <w:rPr>
          <w:rFonts w:hint="eastAsia"/>
        </w:rPr>
        <w:t>.</w:t>
      </w:r>
      <w:r w:rsidRPr="001A3D2B">
        <w:t xml:space="preserve"> (200</w:t>
      </w:r>
      <w:r>
        <w:rPr>
          <w:rFonts w:hint="eastAsia"/>
        </w:rPr>
        <w:t>9</w:t>
      </w:r>
      <w:r w:rsidRPr="001A3D2B">
        <w:t xml:space="preserve">), </w:t>
      </w:r>
      <w:r>
        <w:t xml:space="preserve">Contributions in </w:t>
      </w:r>
      <w:r w:rsidR="005B2904">
        <w:t>biochemistry</w:t>
      </w:r>
      <w:r w:rsidR="005853A9">
        <w:t xml:space="preserve"> and </w:t>
      </w:r>
      <w:r w:rsidR="005B2904">
        <w:t>molecular biolog</w:t>
      </w:r>
      <w:r>
        <w:t>y from China</w:t>
      </w:r>
      <w:r w:rsidR="005853A9">
        <w:t xml:space="preserve"> and </w:t>
      </w:r>
      <w:r>
        <w:t>other top-ranking countries: A 10-year survey</w:t>
      </w:r>
      <w:r w:rsidR="00427468">
        <w:t xml:space="preserve"> of </w:t>
      </w:r>
      <w:r w:rsidR="003A1917">
        <w:t xml:space="preserve">the </w:t>
      </w:r>
      <w:r>
        <w:t>literature</w:t>
      </w:r>
      <w:r w:rsidRPr="001A3D2B">
        <w:t xml:space="preserve">. </w:t>
      </w:r>
      <w:r w:rsidRPr="001A3D2B">
        <w:rPr>
          <w:i/>
          <w:iCs/>
        </w:rPr>
        <w:t>Clinical Chemistry</w:t>
      </w:r>
      <w:r w:rsidR="005853A9">
        <w:rPr>
          <w:i/>
          <w:iCs/>
        </w:rPr>
        <w:t xml:space="preserve"> and </w:t>
      </w:r>
      <w:r w:rsidRPr="001A3D2B">
        <w:rPr>
          <w:i/>
          <w:iCs/>
        </w:rPr>
        <w:t>Laboratory Medicine</w:t>
      </w:r>
      <w:r w:rsidRPr="001A3D2B">
        <w:t xml:space="preserve">, </w:t>
      </w:r>
      <w:r w:rsidRPr="001A3D2B">
        <w:rPr>
          <w:b/>
        </w:rPr>
        <w:t>4</w:t>
      </w:r>
      <w:r>
        <w:rPr>
          <w:rFonts w:hint="eastAsia"/>
          <w:b/>
        </w:rPr>
        <w:t>7</w:t>
      </w:r>
      <w:r w:rsidRPr="001A3D2B">
        <w:t xml:space="preserve"> (1</w:t>
      </w:r>
      <w:r>
        <w:rPr>
          <w:rFonts w:hint="eastAsia"/>
        </w:rPr>
        <w:t>0</w:t>
      </w:r>
      <w:r w:rsidRPr="001A3D2B">
        <w:t xml:space="preserve">), </w:t>
      </w:r>
      <w:r>
        <w:t>1211-1216</w:t>
      </w:r>
      <w:r w:rsidRPr="001A3D2B">
        <w:t>.</w:t>
      </w:r>
    </w:p>
    <w:p w:rsidR="00FA41AE" w:rsidRDefault="00FA41AE" w:rsidP="00FA41AE">
      <w:pPr>
        <w:pStyle w:val="a3"/>
      </w:pPr>
      <w:r>
        <w:rPr>
          <w:rFonts w:hint="eastAsia"/>
        </w:rPr>
        <w:t xml:space="preserve">Full Text: </w:t>
      </w:r>
      <w:hyperlink r:id="rId337" w:history="1">
        <w:r w:rsidRPr="009F253E">
          <w:rPr>
            <w:rStyle w:val="a5"/>
          </w:rPr>
          <w:t>2009\Cli Che Lab Med47, 1211.pdf</w:t>
        </w:r>
      </w:hyperlink>
    </w:p>
    <w:p w:rsidR="000A700B" w:rsidRDefault="000A700B" w:rsidP="000A700B">
      <w:pPr>
        <w:pStyle w:val="a3"/>
      </w:pPr>
      <w:r>
        <w:t>Abstract: Over</w:t>
      </w:r>
      <w:r w:rsidR="003A1917">
        <w:t xml:space="preserve"> the </w:t>
      </w:r>
      <w:r>
        <w:t>past decade, research in Biochemistry</w:t>
      </w:r>
      <w:r w:rsidR="005853A9">
        <w:t xml:space="preserve"> and </w:t>
      </w:r>
      <w:r>
        <w:t>Molecular Biology has developed rapidly worldwide</w:t>
      </w:r>
      <w:r w:rsidR="00A37C1D">
        <w:t>. The</w:t>
      </w:r>
      <w:r w:rsidR="003A1917">
        <w:t xml:space="preserve"> </w:t>
      </w:r>
      <w:r>
        <w:t>present study was designed to study</w:t>
      </w:r>
      <w:r w:rsidR="003A1917">
        <w:t xml:space="preserve"> the </w:t>
      </w:r>
      <w:r>
        <w:t>characteristics</w:t>
      </w:r>
      <w:r w:rsidR="00427468">
        <w:t xml:space="preserve"> of </w:t>
      </w:r>
      <w:r>
        <w:t>publications in Biochemistry</w:t>
      </w:r>
      <w:r w:rsidR="005853A9">
        <w:t xml:space="preserve"> and </w:t>
      </w:r>
      <w:r>
        <w:t>Molecular Biology journals between 1999</w:t>
      </w:r>
      <w:r w:rsidR="005853A9">
        <w:t xml:space="preserve"> and </w:t>
      </w:r>
      <w:r>
        <w:t>2008 from</w:t>
      </w:r>
      <w:r w:rsidR="003A1917">
        <w:t xml:space="preserve"> the </w:t>
      </w:r>
      <w:r>
        <w:t>six top-ranking countries -</w:t>
      </w:r>
      <w:r w:rsidR="003A1917">
        <w:t xml:space="preserve"> the </w:t>
      </w:r>
      <w:r>
        <w:t>United States (</w:t>
      </w:r>
      <w:r w:rsidR="00D5664A">
        <w:t>USA</w:t>
      </w:r>
      <w:r>
        <w:t>), Japan, Germany, United Kingdom (UK), China</w:t>
      </w:r>
      <w:r w:rsidR="005853A9">
        <w:t xml:space="preserve"> and </w:t>
      </w:r>
      <w:r>
        <w:t>France. We also examined</w:t>
      </w:r>
      <w:r w:rsidR="003A1917">
        <w:t xml:space="preserve"> the </w:t>
      </w:r>
      <w:r>
        <w:t>research output from three different regions - Mainland China (ML), Hong Kong (HK)</w:t>
      </w:r>
      <w:r w:rsidR="005853A9">
        <w:t xml:space="preserve"> and </w:t>
      </w:r>
      <w:r>
        <w:t>Taiwan (TW)</w:t>
      </w:r>
      <w:r w:rsidR="00A37C1D">
        <w:t>. The</w:t>
      </w:r>
      <w:r w:rsidR="003A1917">
        <w:t xml:space="preserve"> </w:t>
      </w:r>
      <w:r w:rsidR="00D5664A">
        <w:t>USA</w:t>
      </w:r>
      <w:r>
        <w:t xml:space="preserve"> contributed 34.1%</w:t>
      </w:r>
      <w:r w:rsidR="00427468">
        <w:t xml:space="preserve"> of </w:t>
      </w:r>
      <w:r w:rsidR="003A1917">
        <w:t xml:space="preserve">the </w:t>
      </w:r>
      <w:r>
        <w:t>world</w:t>
      </w:r>
      <w:r w:rsidR="0071223E">
        <w:t>’</w:t>
      </w:r>
      <w:r w:rsidR="00C13DDC">
        <w:t>s</w:t>
      </w:r>
      <w:r>
        <w:t xml:space="preserve"> total output</w:t>
      </w:r>
      <w:r w:rsidR="005853A9">
        <w:t xml:space="preserve"> and </w:t>
      </w:r>
      <w:r>
        <w:t>ranked first, but its percentage</w:t>
      </w:r>
      <w:r w:rsidR="00427468">
        <w:t xml:space="preserve"> of </w:t>
      </w:r>
      <w:r>
        <w:t>research articles in this field went down. In total, 26,867 articles were published in journals with an impact factor (IF) &lt; 10.000,</w:t>
      </w:r>
      <w:r w:rsidR="005853A9">
        <w:t xml:space="preserve"> and </w:t>
      </w:r>
      <w:r>
        <w:t>46.5%</w:t>
      </w:r>
      <w:r w:rsidR="00427468">
        <w:t xml:space="preserve"> of </w:t>
      </w:r>
      <w:r>
        <w:t>these were from</w:t>
      </w:r>
      <w:r w:rsidR="003A1917">
        <w:t xml:space="preserve"> the </w:t>
      </w:r>
      <w:r w:rsidR="00D5664A">
        <w:t>USA</w:t>
      </w:r>
      <w:r>
        <w:t>. China contributed 4.2%</w:t>
      </w:r>
      <w:r w:rsidR="00427468">
        <w:t xml:space="preserve"> of </w:t>
      </w:r>
      <w:r w:rsidR="003A1917">
        <w:t xml:space="preserve">the </w:t>
      </w:r>
      <w:r>
        <w:t>total in 268 journals, 0.5%</w:t>
      </w:r>
      <w:r w:rsidR="00427468">
        <w:t xml:space="preserve"> of </w:t>
      </w:r>
      <w:r>
        <w:t>which were journals with</w:t>
      </w:r>
      <w:r w:rsidR="003A1917">
        <w:t xml:space="preserve"> the </w:t>
      </w:r>
      <w:r>
        <w:t>top 10 IF. Our analysis describes</w:t>
      </w:r>
      <w:r w:rsidR="003A1917">
        <w:t xml:space="preserve"> the </w:t>
      </w:r>
      <w:r>
        <w:t>output from each country</w:t>
      </w:r>
      <w:r w:rsidR="005853A9">
        <w:t xml:space="preserve"> and </w:t>
      </w:r>
      <w:r>
        <w:t>region,</w:t>
      </w:r>
      <w:r w:rsidR="005853A9">
        <w:t xml:space="preserve"> and </w:t>
      </w:r>
      <w:r>
        <w:t>reveals</w:t>
      </w:r>
      <w:r w:rsidR="003A1917">
        <w:t xml:space="preserve"> the </w:t>
      </w:r>
      <w:r>
        <w:t>positive trend in China during</w:t>
      </w:r>
      <w:r w:rsidR="003A1917">
        <w:t xml:space="preserve"> the </w:t>
      </w:r>
      <w:r>
        <w:t>period</w:t>
      </w:r>
      <w:r w:rsidR="00427468">
        <w:t xml:space="preserve"> of </w:t>
      </w:r>
      <w:r>
        <w:t>1999-2008. In contrast to other countries, our results suggest that China is behind in conducting high-quality research. Clin Chem Lab Med 2009;47:1211-6.</w:t>
      </w:r>
    </w:p>
    <w:p w:rsidR="000A700B" w:rsidRPr="001A3D2B" w:rsidRDefault="000A700B" w:rsidP="000A700B">
      <w:pPr>
        <w:pStyle w:val="a3"/>
      </w:pPr>
      <w:r>
        <w:t>Keywords: Biochemistry</w:t>
      </w:r>
      <w:r w:rsidR="005853A9">
        <w:t xml:space="preserve"> and </w:t>
      </w:r>
      <w:r>
        <w:t>Molecular Biology, China, Impact Factor, Journal Citation Reports, Science Citation Index Expanded, Life Sciences, Journals, Biotechnology, Health, Impact</w:t>
      </w:r>
    </w:p>
    <w:p w:rsidR="00D90B3C" w:rsidRDefault="00D90B3C" w:rsidP="00D90B3C">
      <w:pPr>
        <w:pStyle w:val="a3"/>
        <w:rPr>
          <w:kern w:val="0"/>
        </w:rPr>
      </w:pPr>
      <w:r>
        <w:rPr>
          <w:rFonts w:hint="eastAsia"/>
          <w:kern w:val="0"/>
        </w:rPr>
        <w:t xml:space="preserve">? </w:t>
      </w:r>
      <w:r>
        <w:rPr>
          <w:kern w:val="0"/>
        </w:rPr>
        <w:t>Plebani, M.</w:t>
      </w:r>
      <w:r w:rsidR="005853A9">
        <w:rPr>
          <w:kern w:val="0"/>
        </w:rPr>
        <w:t xml:space="preserve"> and </w:t>
      </w:r>
      <w:r>
        <w:rPr>
          <w:kern w:val="0"/>
        </w:rPr>
        <w:t>Grossmann, A. (2011), CCLM award for</w:t>
      </w:r>
      <w:r w:rsidR="003A1917">
        <w:rPr>
          <w:kern w:val="0"/>
        </w:rPr>
        <w:t xml:space="preserve"> the </w:t>
      </w:r>
      <w:r>
        <w:rPr>
          <w:kern w:val="0"/>
        </w:rPr>
        <w:t xml:space="preserve">most cited paper recently published. </w:t>
      </w:r>
      <w:r>
        <w:rPr>
          <w:i/>
          <w:iCs/>
          <w:kern w:val="0"/>
        </w:rPr>
        <w:t>Clinical Chemistry</w:t>
      </w:r>
      <w:r w:rsidR="005853A9">
        <w:rPr>
          <w:i/>
          <w:iCs/>
          <w:kern w:val="0"/>
        </w:rPr>
        <w:t xml:space="preserve"> and </w:t>
      </w:r>
      <w:r>
        <w:rPr>
          <w:i/>
          <w:iCs/>
          <w:kern w:val="0"/>
        </w:rPr>
        <w:t>Laboratory Medicine</w:t>
      </w:r>
      <w:r>
        <w:rPr>
          <w:kern w:val="0"/>
        </w:rPr>
        <w:t xml:space="preserve">, </w:t>
      </w:r>
      <w:r>
        <w:rPr>
          <w:b/>
          <w:bCs/>
          <w:kern w:val="0"/>
        </w:rPr>
        <w:t>49</w:t>
      </w:r>
      <w:r>
        <w:rPr>
          <w:kern w:val="0"/>
        </w:rPr>
        <w:t xml:space="preserve"> (6), 941-942</w:t>
      </w:r>
      <w:r>
        <w:rPr>
          <w:rFonts w:hint="eastAsia"/>
          <w:kern w:val="0"/>
        </w:rPr>
        <w:t>.</w:t>
      </w:r>
    </w:p>
    <w:p w:rsidR="00D90B3C" w:rsidRDefault="00D90B3C" w:rsidP="00D90B3C">
      <w:pPr>
        <w:pStyle w:val="a3"/>
      </w:pPr>
      <w:r>
        <w:rPr>
          <w:rFonts w:hint="eastAsia"/>
        </w:rPr>
        <w:t xml:space="preserve">Full Text: </w:t>
      </w:r>
      <w:hyperlink r:id="rId338" w:history="1">
        <w:r w:rsidR="00473E39" w:rsidRPr="00473E39">
          <w:rPr>
            <w:rStyle w:val="a5"/>
          </w:rPr>
          <w:t>2011\Cli Che Lab Med49, 941.pdf</w:t>
        </w:r>
      </w:hyperlink>
    </w:p>
    <w:p w:rsidR="00FC692B" w:rsidRDefault="00FC692B" w:rsidP="00FC692B">
      <w:pPr>
        <w:pStyle w:val="a3"/>
        <w:rPr>
          <w:kern w:val="0"/>
        </w:rPr>
      </w:pPr>
      <w:r>
        <w:rPr>
          <w:rFonts w:hint="eastAsia"/>
          <w:kern w:val="0"/>
        </w:rPr>
        <w:t xml:space="preserve">? </w:t>
      </w:r>
      <w:r>
        <w:rPr>
          <w:kern w:val="0"/>
        </w:rPr>
        <w:t xml:space="preserve">Lippi, G., Mattiuzzi, C. and Cervellin, G. (2014), C-reactive protein and migraine. Facts or speculations? </w:t>
      </w:r>
      <w:r>
        <w:rPr>
          <w:i/>
          <w:iCs/>
          <w:kern w:val="0"/>
        </w:rPr>
        <w:t>Clinical Chemistry and Laboratory Medicine</w:t>
      </w:r>
      <w:r>
        <w:rPr>
          <w:kern w:val="0"/>
        </w:rPr>
        <w:t xml:space="preserve">, </w:t>
      </w:r>
      <w:r>
        <w:rPr>
          <w:b/>
          <w:bCs/>
          <w:kern w:val="0"/>
        </w:rPr>
        <w:t>5</w:t>
      </w:r>
      <w:r>
        <w:rPr>
          <w:rFonts w:hint="eastAsia"/>
          <w:b/>
          <w:bCs/>
          <w:kern w:val="0"/>
        </w:rPr>
        <w:t>2</w:t>
      </w:r>
      <w:r>
        <w:rPr>
          <w:kern w:val="0"/>
        </w:rPr>
        <w:t xml:space="preserve"> (9), 1265-1272.</w:t>
      </w:r>
    </w:p>
    <w:p w:rsidR="00FC692B" w:rsidRDefault="00FC692B" w:rsidP="00FC692B">
      <w:pPr>
        <w:pStyle w:val="a3"/>
      </w:pPr>
      <w:r>
        <w:rPr>
          <w:rFonts w:hint="eastAsia"/>
        </w:rPr>
        <w:t xml:space="preserve">Full Text: </w:t>
      </w:r>
      <w:hyperlink r:id="rId339" w:history="1">
        <w:r w:rsidRPr="007D126B">
          <w:rPr>
            <w:rStyle w:val="a5"/>
          </w:rPr>
          <w:t>2014\Cli Che Lab Med52, 1265.pdf</w:t>
        </w:r>
      </w:hyperlink>
    </w:p>
    <w:p w:rsidR="00137DE3" w:rsidRDefault="00137DE3" w:rsidP="00137DE3">
      <w:pPr>
        <w:pStyle w:val="a3"/>
        <w:rPr>
          <w:kern w:val="0"/>
        </w:rPr>
      </w:pPr>
      <w:r>
        <w:rPr>
          <w:kern w:val="0"/>
        </w:rPr>
        <w:lastRenderedPageBreak/>
        <w:t>Abstract: Migraine is a highly prevalent and frequently disabling disorder. Since the pathogenesis of this condition has a strong inflammatory component and migraine is significantly associated with cardiovascular disease, we assess whether C-reactive protein (CRP) may be epidemiologically or casually linked with migraine. An electronic search on Medline, Scopus and Web of Science produced 17 studies reporting original data about the epidemiological association between CRP and migraine (1 retrospective, 1 interventional, 14 cross-sectional and 1 both interventional and cross-sectional). When all studies reporting sufficient data about CRP values were pooled (n = 12; 6980 cases and 38,975 controls), the concentration of CRP was found to be significantly higher in patients with migraine than in controls (weighted mean difference 1.12 mg/L; 95% CI 1.01-1.25 mg/L; p &lt; 0.001). In further analysis of studies containing separate data for migraine with and without aura (n = 7), CRP values remained significantly higher in both migraineur patients with aura (n = 1939; weighted mean difference 0.88 mg/L; 95% CI 0.63-1.14 mg/L; p &lt; 0.001) or without aura (n = 2483; weighted mean difference 1.04 mg/L; 95% CI 0.78-1.30 mg/L; p &lt; 0.001) when compared with controls (n = 29,354). Despite a large inter-study heterogeneity (99.3%), our analysis provides evidence of a potential epidemiological association between increased concentration of CRP and migraine, thus paving the way for further clinical investigations about therapeutic agents that may contextually decrease the risk of cardiovascular disease and reduce the burden of migraine.</w:t>
      </w:r>
    </w:p>
    <w:p w:rsidR="00137DE3" w:rsidRDefault="00137DE3" w:rsidP="00137DE3">
      <w:pPr>
        <w:pStyle w:val="a3"/>
        <w:rPr>
          <w:kern w:val="0"/>
        </w:rPr>
      </w:pPr>
      <w:r>
        <w:rPr>
          <w:kern w:val="0"/>
        </w:rPr>
        <w:t>Keywords: Analysis, Association, Biomarkers, Burden, C-Reactive Protein, C-Reactive Protein (CRP), Cardiovascular, Cardiovascular Disease, Cardiovascular-Disease, Children, Clinical, Concentration, CRP, Data, Disease, Endothelial Function, Epidemiology, Evidence, Headache, Headache, Heterogeneity, Inflammation, Insulin-Resistance, Investigations, Mechanisms, Medline, Metaanalyses, Migraine, Pathogenesis, Patients, Potential, Protein, Reporting, Risk, Science, Scopus, Therapeutic, Web Of Science, Women</w:t>
      </w:r>
    </w:p>
    <w:p w:rsidR="003474F2" w:rsidRPr="001A3D2B" w:rsidRDefault="003474F2" w:rsidP="003474F2">
      <w:pPr>
        <w:pStyle w:val="1"/>
      </w:pPr>
      <w:r w:rsidRPr="001A3D2B">
        <w:br w:type="page"/>
      </w:r>
      <w:bookmarkStart w:id="267" w:name="_Toc420815018"/>
      <w:r w:rsidRPr="001A3D2B">
        <w:lastRenderedPageBreak/>
        <w:t>Title: Clinical Endocrinology</w:t>
      </w:r>
      <w:bookmarkEnd w:id="267"/>
    </w:p>
    <w:p w:rsidR="003474F2" w:rsidRPr="001A3D2B" w:rsidRDefault="003474F2" w:rsidP="003474F2">
      <w:pPr>
        <w:pStyle w:val="12"/>
      </w:pPr>
      <w:r w:rsidRPr="001A3D2B">
        <w:t>Full Journal Title: Clinical End</w:t>
      </w:r>
      <w:bookmarkStart w:id="268" w:name="_Toc488467650"/>
      <w:bookmarkStart w:id="269" w:name="_Toc489709676"/>
      <w:bookmarkStart w:id="270" w:name="_Toc490687833"/>
      <w:bookmarkStart w:id="271" w:name="_Toc492779457"/>
      <w:bookmarkStart w:id="272" w:name="_Toc92023225"/>
      <w:r w:rsidRPr="001A3D2B">
        <w:t>ocrinology</w:t>
      </w:r>
    </w:p>
    <w:p w:rsidR="003474F2" w:rsidRPr="001A3D2B" w:rsidRDefault="003474F2" w:rsidP="003474F2">
      <w:pPr>
        <w:pStyle w:val="12"/>
      </w:pPr>
      <w:r w:rsidRPr="001A3D2B">
        <w:t>ISO Abbreviated Ti</w:t>
      </w:r>
      <w:bookmarkEnd w:id="268"/>
      <w:bookmarkEnd w:id="269"/>
      <w:bookmarkEnd w:id="270"/>
      <w:bookmarkEnd w:id="271"/>
      <w:bookmarkEnd w:id="272"/>
      <w:r w:rsidRPr="001A3D2B">
        <w:t>tle: Clin. Endocrinol.</w:t>
      </w:r>
    </w:p>
    <w:p w:rsidR="003474F2" w:rsidRPr="001A3D2B" w:rsidRDefault="003474F2" w:rsidP="003474F2">
      <w:pPr>
        <w:pStyle w:val="12"/>
      </w:pPr>
      <w:r w:rsidRPr="001A3D2B">
        <w:t>JCR Abbreviated Title: Clin Endocrinol</w:t>
      </w:r>
    </w:p>
    <w:p w:rsidR="003474F2" w:rsidRPr="001A3D2B" w:rsidRDefault="003474F2" w:rsidP="003474F2">
      <w:pPr>
        <w:pStyle w:val="12"/>
      </w:pPr>
      <w:r w:rsidRPr="001A3D2B">
        <w:t>ISSN: 0300-0664</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Science Ltd</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88</w:t>
        </w:r>
      </w:smartTag>
      <w:r w:rsidRPr="001A3D2B">
        <w:t xml:space="preserve">, Osney Mead, </w:t>
      </w:r>
      <w:smartTag w:uri="urn:schemas-microsoft-com:office:smarttags" w:element="City">
        <w:r w:rsidRPr="001A3D2B">
          <w:t>Oxford</w:t>
        </w:r>
      </w:smartTag>
      <w:r w:rsidRPr="001A3D2B">
        <w:t xml:space="preserve"> OX2 0NE, </w:t>
      </w:r>
      <w:smartTag w:uri="urn:schemas-microsoft-com:office:smarttags" w:element="place">
        <w:smartTag w:uri="urn:schemas-microsoft-com:office:smarttags" w:element="City">
          <w:r w:rsidRPr="001A3D2B">
            <w:t>Oxon</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Endocrinology &amp; Metabolism: Impact Factor </w:t>
      </w:r>
    </w:p>
    <w:p w:rsidR="003474F2" w:rsidRPr="001A3D2B" w:rsidRDefault="003474F2" w:rsidP="003474F2">
      <w:pPr>
        <w:pStyle w:val="a3"/>
      </w:pPr>
      <w:r w:rsidRPr="001A3D2B">
        <w:t>Norrelund, H.</w:t>
      </w:r>
      <w:r w:rsidR="005853A9">
        <w:t xml:space="preserve"> and </w:t>
      </w:r>
      <w:r w:rsidRPr="001A3D2B">
        <w:t xml:space="preserve">Moller, N. (2000), Reply. </w:t>
      </w:r>
      <w:r w:rsidRPr="001A3D2B">
        <w:rPr>
          <w:i/>
        </w:rPr>
        <w:t>Clinical Endocrinology</w:t>
      </w:r>
      <w:r w:rsidRPr="001A3D2B">
        <w:t xml:space="preserve">, </w:t>
      </w:r>
      <w:r w:rsidRPr="001A3D2B">
        <w:rPr>
          <w:b/>
        </w:rPr>
        <w:t>53</w:t>
      </w:r>
      <w:r w:rsidRPr="001A3D2B">
        <w:t xml:space="preserve"> (4), 541.</w:t>
      </w:r>
    </w:p>
    <w:p w:rsidR="003474F2" w:rsidRPr="001A3D2B" w:rsidRDefault="003474F2" w:rsidP="003474F2">
      <w:pPr>
        <w:pStyle w:val="a3"/>
      </w:pPr>
      <w:r w:rsidRPr="001A3D2B">
        <w:t xml:space="preserve">Full Text: </w:t>
      </w:r>
      <w:hyperlink r:id="rId340" w:history="1">
        <w:r w:rsidRPr="001A3D2B">
          <w:rPr>
            <w:rStyle w:val="a5"/>
          </w:rPr>
          <w:t>2000\Cli End53, 541.pdf</w:t>
        </w:r>
      </w:hyperlink>
    </w:p>
    <w:p w:rsidR="00705223" w:rsidRDefault="00705223" w:rsidP="00705223">
      <w:pPr>
        <w:pStyle w:val="a3"/>
        <w:rPr>
          <w:kern w:val="0"/>
        </w:rPr>
      </w:pPr>
      <w:r>
        <w:rPr>
          <w:rFonts w:hint="eastAsia"/>
          <w:kern w:val="0"/>
        </w:rPr>
        <w:t xml:space="preserve">? </w:t>
      </w:r>
      <w:r>
        <w:rPr>
          <w:kern w:val="0"/>
        </w:rPr>
        <w:t>Nielsen, E.H., Lindholm, J.</w:t>
      </w:r>
      <w:r w:rsidR="005853A9">
        <w:rPr>
          <w:kern w:val="0"/>
        </w:rPr>
        <w:t xml:space="preserve"> and </w:t>
      </w:r>
      <w:r>
        <w:rPr>
          <w:kern w:val="0"/>
        </w:rPr>
        <w:t xml:space="preserve">Laurberg, P. (2007), Excess mortality in women with pituitary disease: A meta-analysis. </w:t>
      </w:r>
      <w:r>
        <w:rPr>
          <w:i/>
          <w:iCs/>
          <w:kern w:val="0"/>
        </w:rPr>
        <w:t>Clinical Endocrinology</w:t>
      </w:r>
      <w:r>
        <w:rPr>
          <w:kern w:val="0"/>
        </w:rPr>
        <w:t xml:space="preserve">, </w:t>
      </w:r>
      <w:r>
        <w:rPr>
          <w:b/>
          <w:bCs/>
          <w:kern w:val="0"/>
        </w:rPr>
        <w:t>67</w:t>
      </w:r>
      <w:r>
        <w:rPr>
          <w:kern w:val="0"/>
        </w:rPr>
        <w:t xml:space="preserve"> (5), 693-697.</w:t>
      </w:r>
    </w:p>
    <w:p w:rsidR="00705223" w:rsidRPr="001A3D2B" w:rsidRDefault="00705223" w:rsidP="00705223">
      <w:pPr>
        <w:pStyle w:val="a3"/>
      </w:pPr>
      <w:r w:rsidRPr="001A3D2B">
        <w:t xml:space="preserve">Full Text: </w:t>
      </w:r>
      <w:hyperlink r:id="rId341" w:history="1">
        <w:r w:rsidR="0046448A" w:rsidRPr="0046448A">
          <w:rPr>
            <w:rStyle w:val="a5"/>
          </w:rPr>
          <w:t>2007\Cli End67, 693.pdf</w:t>
        </w:r>
      </w:hyperlink>
    </w:p>
    <w:p w:rsidR="00705223" w:rsidRDefault="00705223" w:rsidP="00705223">
      <w:pPr>
        <w:pStyle w:val="a3"/>
        <w:rPr>
          <w:kern w:val="0"/>
        </w:rPr>
      </w:pPr>
      <w:r>
        <w:rPr>
          <w:kern w:val="0"/>
        </w:rPr>
        <w:t>Abstract: Background Increased mortality has been reported in patients with pituitary disease, with some studies showing higher standard mortality rates (SMR) in women than in men. Objective To assess overall SMR for men</w:t>
      </w:r>
      <w:r w:rsidR="005853A9">
        <w:rPr>
          <w:kern w:val="0"/>
        </w:rPr>
        <w:t xml:space="preserve"> and </w:t>
      </w:r>
      <w:r>
        <w:rPr>
          <w:kern w:val="0"/>
        </w:rPr>
        <w:t>women with benign pituitary disease without excessive ATCH or GH secretion</w:t>
      </w:r>
      <w:r w:rsidR="005853A9">
        <w:rPr>
          <w:kern w:val="0"/>
        </w:rPr>
        <w:t xml:space="preserve"> and </w:t>
      </w:r>
      <w:r>
        <w:rPr>
          <w:kern w:val="0"/>
        </w:rPr>
        <w:t>to investigate associations between SMR</w:t>
      </w:r>
      <w:r w:rsidR="005853A9">
        <w:rPr>
          <w:kern w:val="0"/>
        </w:rPr>
        <w:t xml:space="preserve"> and </w:t>
      </w:r>
      <w:r>
        <w:rPr>
          <w:kern w:val="0"/>
        </w:rPr>
        <w:t>time period</w:t>
      </w:r>
      <w:r w:rsidR="00427468">
        <w:rPr>
          <w:kern w:val="0"/>
        </w:rPr>
        <w:t xml:space="preserve"> of </w:t>
      </w:r>
      <w:r>
        <w:rPr>
          <w:kern w:val="0"/>
        </w:rPr>
        <w:t>diagnosis. Design From searches in PUBMED,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w:t>
      </w:r>
      <w:r w:rsidR="005853A9">
        <w:rPr>
          <w:kern w:val="0"/>
        </w:rPr>
        <w:t xml:space="preserve"> and </w:t>
      </w:r>
      <w:r>
        <w:rPr>
          <w:kern w:val="0"/>
        </w:rPr>
        <w:t>reference lists</w:t>
      </w:r>
      <w:r w:rsidR="00427468">
        <w:rPr>
          <w:kern w:val="0"/>
        </w:rPr>
        <w:t xml:space="preserve"> of </w:t>
      </w:r>
      <w:r>
        <w:rPr>
          <w:kern w:val="0"/>
        </w:rPr>
        <w:t>major reviews</w:t>
      </w:r>
      <w:r w:rsidR="005853A9">
        <w:rPr>
          <w:kern w:val="0"/>
        </w:rPr>
        <w:t xml:space="preserve"> and </w:t>
      </w:r>
      <w:r>
        <w:rPr>
          <w:kern w:val="0"/>
        </w:rPr>
        <w:t>original articles, we included original studies providing SMR values</w:t>
      </w:r>
      <w:r w:rsidR="005853A9">
        <w:rPr>
          <w:kern w:val="0"/>
        </w:rPr>
        <w:t xml:space="preserve"> and </w:t>
      </w:r>
      <w:r>
        <w:rPr>
          <w:kern w:val="0"/>
        </w:rPr>
        <w:t>95% confidence intervals (CI) for men</w:t>
      </w:r>
      <w:r w:rsidR="005853A9">
        <w:rPr>
          <w:kern w:val="0"/>
        </w:rPr>
        <w:t xml:space="preserve"> and </w:t>
      </w:r>
      <w:r>
        <w:rPr>
          <w:kern w:val="0"/>
        </w:rPr>
        <w:t>women separately. Thirty articles were studied in detail. Six studies were eligible for</w:t>
      </w:r>
      <w:r w:rsidR="003A1917">
        <w:rPr>
          <w:kern w:val="0"/>
        </w:rPr>
        <w:t xml:space="preserve"> the </w:t>
      </w:r>
      <w:r>
        <w:rPr>
          <w:kern w:val="0"/>
        </w:rPr>
        <w:t>meta-analysis</w:t>
      </w:r>
      <w:r w:rsidR="00427468">
        <w:rPr>
          <w:kern w:val="0"/>
        </w:rPr>
        <w:t xml:space="preserve"> of </w:t>
      </w:r>
      <w:r>
        <w:rPr>
          <w:kern w:val="0"/>
        </w:rPr>
        <w:t>sex-specific mortality,</w:t>
      </w:r>
      <w:r w:rsidR="005853A9">
        <w:rPr>
          <w:kern w:val="0"/>
        </w:rPr>
        <w:t xml:space="preserve"> and </w:t>
      </w:r>
      <w:r>
        <w:rPr>
          <w:kern w:val="0"/>
        </w:rPr>
        <w:t>seven for</w:t>
      </w:r>
      <w:r w:rsidR="003A1917">
        <w:rPr>
          <w:kern w:val="0"/>
        </w:rPr>
        <w:t xml:space="preserve"> the </w:t>
      </w:r>
      <w:r>
        <w:rPr>
          <w:kern w:val="0"/>
        </w:rPr>
        <w:t>analysis</w:t>
      </w:r>
      <w:r w:rsidR="00427468">
        <w:rPr>
          <w:kern w:val="0"/>
        </w:rPr>
        <w:t xml:space="preserve"> of </w:t>
      </w:r>
      <w:r>
        <w:rPr>
          <w:kern w:val="0"/>
        </w:rPr>
        <w:t>association between SMR</w:t>
      </w:r>
      <w:r w:rsidR="005853A9">
        <w:rPr>
          <w:kern w:val="0"/>
        </w:rPr>
        <w:t xml:space="preserve"> and </w:t>
      </w:r>
      <w:r>
        <w:rPr>
          <w:kern w:val="0"/>
        </w:rPr>
        <w:t>diagnosis period. Results Individual studies (total 5412 patients) reported total SMR values (men</w:t>
      </w:r>
      <w:r w:rsidR="005853A9">
        <w:rPr>
          <w:kern w:val="0"/>
        </w:rPr>
        <w:t xml:space="preserve"> and </w:t>
      </w:r>
      <w:r>
        <w:rPr>
          <w:kern w:val="0"/>
        </w:rPr>
        <w:t>women together) ranging from 1.21 to 3.80. SMR varied from 0.98 to 3.36 in men</w:t>
      </w:r>
      <w:r w:rsidR="005853A9">
        <w:rPr>
          <w:kern w:val="0"/>
        </w:rPr>
        <w:t xml:space="preserve"> and </w:t>
      </w:r>
      <w:r>
        <w:rPr>
          <w:kern w:val="0"/>
        </w:rPr>
        <w:t>from 2.11 to 4.54 in women. Weighted SMR values were significantly higher in women (2.80; CI 2.59-3.02) than in men (2.06; CI 1.94-2 20) (P &lt; 0.0001). SMR was negatively correlated with first year</w:t>
      </w:r>
      <w:r w:rsidR="00427468">
        <w:rPr>
          <w:kern w:val="0"/>
        </w:rPr>
        <w:t xml:space="preserve"> of </w:t>
      </w:r>
      <w:r>
        <w:rPr>
          <w:kern w:val="0"/>
        </w:rPr>
        <w:t>diagnosis in individual studies (partial correlation analysis controlling for sex, P = 0.017),</w:t>
      </w:r>
      <w:r w:rsidR="005853A9">
        <w:rPr>
          <w:kern w:val="0"/>
        </w:rPr>
        <w:t xml:space="preserve"> and </w:t>
      </w:r>
      <w:r>
        <w:rPr>
          <w:kern w:val="0"/>
        </w:rPr>
        <w:t>approached normal in recent studies in men but not in women. Conclusions In our meta-analysis</w:t>
      </w:r>
      <w:r w:rsidR="00427468">
        <w:rPr>
          <w:kern w:val="0"/>
        </w:rPr>
        <w:t xml:space="preserve"> of </w:t>
      </w:r>
      <w:r>
        <w:rPr>
          <w:kern w:val="0"/>
        </w:rPr>
        <w:t>patients with pituitary disease without ACTH or GH excess, SMR was significantly higher in women than in men. SMR reached normal levels in men treated in recent decades, but remained elevated in women.</w:t>
      </w:r>
    </w:p>
    <w:p w:rsidR="00705223" w:rsidRDefault="00705223" w:rsidP="00705223">
      <w:pPr>
        <w:pStyle w:val="a3"/>
        <w:rPr>
          <w:kern w:val="0"/>
        </w:rPr>
      </w:pPr>
      <w:r>
        <w:rPr>
          <w:kern w:val="0"/>
        </w:rPr>
        <w:lastRenderedPageBreak/>
        <w:t xml:space="preserve">Keywords: Analysis, Cardiovascular-Disease, Confidence Intervals, Databases, Diagnosis, Disease, GH-Deficient Adults, Hormone-Therapy, Hypopituitarism, Life Expectancy, Meta-Analysis, Mortality, Normal, Premature Mortality, PUBMED, Science, </w:t>
      </w:r>
      <w:r w:rsidR="00D5664A">
        <w:rPr>
          <w:kern w:val="0"/>
        </w:rPr>
        <w:t>Web</w:t>
      </w:r>
      <w:r w:rsidR="00427468">
        <w:rPr>
          <w:kern w:val="0"/>
        </w:rPr>
        <w:t xml:space="preserve"> of </w:t>
      </w:r>
      <w:r w:rsidR="00D5664A">
        <w:rPr>
          <w:kern w:val="0"/>
        </w:rPr>
        <w:t>Science</w:t>
      </w:r>
      <w:r>
        <w:rPr>
          <w:kern w:val="0"/>
        </w:rPr>
        <w:t>, Women</w:t>
      </w:r>
    </w:p>
    <w:p w:rsidR="0046448A" w:rsidRDefault="0046448A" w:rsidP="0046448A">
      <w:pPr>
        <w:pStyle w:val="a3"/>
        <w:rPr>
          <w:kern w:val="0"/>
        </w:rPr>
      </w:pPr>
      <w:r>
        <w:rPr>
          <w:rFonts w:hint="eastAsia"/>
          <w:kern w:val="0"/>
        </w:rPr>
        <w:t xml:space="preserve">? </w:t>
      </w:r>
      <w:r>
        <w:rPr>
          <w:kern w:val="0"/>
        </w:rPr>
        <w:t>Dong, M., Parsaik, A.K., Erwin, P.J., Farnell, M.B., Murad, M.H.</w:t>
      </w:r>
      <w:r w:rsidR="005853A9">
        <w:rPr>
          <w:kern w:val="0"/>
        </w:rPr>
        <w:t xml:space="preserve"> and </w:t>
      </w:r>
      <w:r>
        <w:rPr>
          <w:kern w:val="0"/>
        </w:rPr>
        <w:t>Kudva, Y.C. (2011), Systematic review</w:t>
      </w:r>
      <w:r w:rsidR="005853A9">
        <w:rPr>
          <w:kern w:val="0"/>
        </w:rPr>
        <w:t xml:space="preserve"> and </w:t>
      </w:r>
      <w:r>
        <w:rPr>
          <w:kern w:val="0"/>
        </w:rPr>
        <w:t xml:space="preserve">meta-analysis: Islet autotransplantation after pancreatectomy for minimizing diabetes. </w:t>
      </w:r>
      <w:r>
        <w:rPr>
          <w:i/>
          <w:iCs/>
          <w:kern w:val="0"/>
        </w:rPr>
        <w:t>Clinical Endocrinology</w:t>
      </w:r>
      <w:r>
        <w:rPr>
          <w:kern w:val="0"/>
        </w:rPr>
        <w:t xml:space="preserve">, </w:t>
      </w:r>
      <w:r>
        <w:rPr>
          <w:b/>
          <w:bCs/>
          <w:kern w:val="0"/>
        </w:rPr>
        <w:t>75</w:t>
      </w:r>
      <w:r>
        <w:rPr>
          <w:kern w:val="0"/>
        </w:rPr>
        <w:t xml:space="preserve"> (6), 771-779.</w:t>
      </w:r>
    </w:p>
    <w:p w:rsidR="0046448A" w:rsidRPr="001A3D2B" w:rsidRDefault="0046448A" w:rsidP="0046448A">
      <w:pPr>
        <w:pStyle w:val="a3"/>
      </w:pPr>
      <w:r w:rsidRPr="001A3D2B">
        <w:t xml:space="preserve">Full Text: </w:t>
      </w:r>
      <w:hyperlink r:id="rId342" w:history="1">
        <w:r w:rsidRPr="00194F54">
          <w:rPr>
            <w:rStyle w:val="a5"/>
          </w:rPr>
          <w:t>2011\Cli End75, 771.pdf</w:t>
        </w:r>
      </w:hyperlink>
    </w:p>
    <w:p w:rsidR="0046448A" w:rsidRDefault="0046448A" w:rsidP="0046448A">
      <w:pPr>
        <w:pStyle w:val="a3"/>
        <w:rPr>
          <w:kern w:val="0"/>
        </w:rPr>
      </w:pPr>
      <w:r>
        <w:rPr>
          <w:kern w:val="0"/>
        </w:rPr>
        <w:t>Abstract: Objective Islet autotransplantation (IAT) may decrease</w:t>
      </w:r>
      <w:r w:rsidR="003A1917">
        <w:rPr>
          <w:kern w:val="0"/>
        </w:rPr>
        <w:t xml:space="preserve"> the </w:t>
      </w:r>
      <w:r>
        <w:rPr>
          <w:kern w:val="0"/>
        </w:rPr>
        <w:t>morbidity</w:t>
      </w:r>
      <w:r w:rsidR="005853A9">
        <w:rPr>
          <w:kern w:val="0"/>
        </w:rPr>
        <w:t xml:space="preserve"> and </w:t>
      </w:r>
      <w:r>
        <w:rPr>
          <w:kern w:val="0"/>
        </w:rPr>
        <w:t>mortality</w:t>
      </w:r>
      <w:r w:rsidR="00427468">
        <w:rPr>
          <w:kern w:val="0"/>
        </w:rPr>
        <w:t xml:space="preserve"> of </w:t>
      </w:r>
      <w:r>
        <w:rPr>
          <w:kern w:val="0"/>
        </w:rPr>
        <w:t>postpancreatectomy diabetes mellitus</w:t>
      </w:r>
      <w:r w:rsidR="00A37C1D">
        <w:rPr>
          <w:kern w:val="0"/>
        </w:rPr>
        <w:t>. The</w:t>
      </w:r>
      <w:r w:rsidR="003A1917">
        <w:rPr>
          <w:kern w:val="0"/>
        </w:rPr>
        <w:t xml:space="preserve"> </w:t>
      </w:r>
      <w:r>
        <w:rPr>
          <w:kern w:val="0"/>
        </w:rPr>
        <w:t>current systematic review</w:t>
      </w:r>
      <w:r w:rsidR="005853A9">
        <w:rPr>
          <w:kern w:val="0"/>
        </w:rPr>
        <w:t xml:space="preserve"> and </w:t>
      </w:r>
      <w:r>
        <w:rPr>
          <w:kern w:val="0"/>
        </w:rPr>
        <w:t>meta-analysis examined</w:t>
      </w:r>
      <w:r w:rsidR="003A1917">
        <w:rPr>
          <w:kern w:val="0"/>
        </w:rPr>
        <w:t xml:space="preserve"> the </w:t>
      </w:r>
      <w:r>
        <w:rPr>
          <w:kern w:val="0"/>
        </w:rPr>
        <w:t>rate</w:t>
      </w:r>
      <w:r w:rsidR="00427468">
        <w:rPr>
          <w:kern w:val="0"/>
        </w:rPr>
        <w:t xml:space="preserve"> of </w:t>
      </w:r>
      <w:r>
        <w:rPr>
          <w:kern w:val="0"/>
        </w:rPr>
        <w:t>insulin independence (II)</w:t>
      </w:r>
      <w:r w:rsidR="005853A9">
        <w:rPr>
          <w:kern w:val="0"/>
        </w:rPr>
        <w:t xml:space="preserve"> and </w:t>
      </w:r>
      <w:r>
        <w:rPr>
          <w:kern w:val="0"/>
        </w:rPr>
        <w:t xml:space="preserve">mortality after IAT post-total (TP) or partial pancreatectomy (PP). Methods Ovid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Pr>
          <w:kern w:val="0"/>
        </w:rPr>
        <w:t>reference lists were searched until 31 January 2011. Eligible studies enrolled adult patients with IAT post-TP or PP, regardless</w:t>
      </w:r>
      <w:r w:rsidR="00427468">
        <w:rPr>
          <w:kern w:val="0"/>
        </w:rPr>
        <w:t xml:space="preserve"> of </w:t>
      </w:r>
      <w:r>
        <w:rPr>
          <w:kern w:val="0"/>
        </w:rPr>
        <w:t>study design, sample size</w:t>
      </w:r>
      <w:r w:rsidR="005853A9">
        <w:rPr>
          <w:kern w:val="0"/>
        </w:rPr>
        <w:t xml:space="preserve"> and </w:t>
      </w:r>
      <w:r>
        <w:rPr>
          <w:kern w:val="0"/>
        </w:rPr>
        <w:t>language. Two investigators identified eligible studies</w:t>
      </w:r>
      <w:r w:rsidR="005853A9">
        <w:rPr>
          <w:kern w:val="0"/>
        </w:rPr>
        <w:t xml:space="preserve"> and </w:t>
      </w:r>
      <w:r>
        <w:rPr>
          <w:kern w:val="0"/>
        </w:rPr>
        <w:t>extracted data independently. From each study, 95% confidence intervals (CIs) were estimated</w:t>
      </w:r>
      <w:r w:rsidR="005853A9">
        <w:rPr>
          <w:kern w:val="0"/>
        </w:rPr>
        <w:t xml:space="preserve"> and </w:t>
      </w:r>
      <w:r>
        <w:rPr>
          <w:kern w:val="0"/>
        </w:rPr>
        <w:t>pooled using random effects meta-analysis. Results Fifteen observational studies were eligible (11 IAT post-TP, two post-PP</w:t>
      </w:r>
      <w:r w:rsidR="005853A9">
        <w:rPr>
          <w:kern w:val="0"/>
        </w:rPr>
        <w:t xml:space="preserve"> and </w:t>
      </w:r>
      <w:r>
        <w:rPr>
          <w:kern w:val="0"/>
        </w:rPr>
        <w:t>two including both)</w:t>
      </w:r>
      <w:r w:rsidR="00A37C1D">
        <w:rPr>
          <w:kern w:val="0"/>
        </w:rPr>
        <w:t>. The</w:t>
      </w:r>
      <w:r w:rsidR="003A1917">
        <w:rPr>
          <w:kern w:val="0"/>
        </w:rPr>
        <w:t xml:space="preserve"> </w:t>
      </w:r>
      <w:r>
        <w:rPr>
          <w:kern w:val="0"/>
        </w:rPr>
        <w:t>II rates for IAT post-TP at last follow-up</w:t>
      </w:r>
      <w:r w:rsidR="005853A9">
        <w:rPr>
          <w:kern w:val="0"/>
        </w:rPr>
        <w:t xml:space="preserve"> and </w:t>
      </w:r>
      <w:r>
        <w:rPr>
          <w:kern w:val="0"/>
        </w:rPr>
        <w:t>transiently during</w:t>
      </w:r>
      <w:r w:rsidR="003A1917">
        <w:rPr>
          <w:kern w:val="0"/>
        </w:rPr>
        <w:t xml:space="preserve"> the </w:t>
      </w:r>
      <w:r>
        <w:rPr>
          <w:kern w:val="0"/>
        </w:rPr>
        <w:t>study were 4.62 per 100 person-years (95% CI: 1.53-7.72)</w:t>
      </w:r>
      <w:r w:rsidR="005853A9">
        <w:rPr>
          <w:kern w:val="0"/>
        </w:rPr>
        <w:t xml:space="preserve"> and </w:t>
      </w:r>
      <w:r>
        <w:rPr>
          <w:kern w:val="0"/>
        </w:rPr>
        <w:t>8.34 per 100 person-years (95% CI: 3.32-13.37), respectively. In</w:t>
      </w:r>
      <w:r w:rsidR="003A1917">
        <w:rPr>
          <w:kern w:val="0"/>
        </w:rPr>
        <w:t xml:space="preserve"> the </w:t>
      </w:r>
      <w:r>
        <w:rPr>
          <w:kern w:val="0"/>
        </w:rPr>
        <w:t>later group, patients achieved transient II lasting 15.57 months (95% CI: 10.35-20.79)</w:t>
      </w:r>
      <w:r w:rsidR="00A37C1D">
        <w:rPr>
          <w:kern w:val="0"/>
        </w:rPr>
        <w:t>. The</w:t>
      </w:r>
      <w:r w:rsidR="003A1917">
        <w:rPr>
          <w:kern w:val="0"/>
        </w:rPr>
        <w:t xml:space="preserve"> </w:t>
      </w:r>
      <w:r>
        <w:rPr>
          <w:kern w:val="0"/>
        </w:rPr>
        <w:t>II rate at last follow-up for IAT post-PP was 24 28 per 100 person-years (95% CI: 0.00-48.96). Whereas</w:t>
      </w:r>
      <w:r w:rsidR="003A1917">
        <w:rPr>
          <w:kern w:val="0"/>
        </w:rPr>
        <w:t xml:space="preserve"> the </w:t>
      </w:r>
      <w:r>
        <w:rPr>
          <w:kern w:val="0"/>
        </w:rPr>
        <w:t>30-day mortality for IAT post-TP</w:t>
      </w:r>
      <w:r w:rsidR="005853A9">
        <w:rPr>
          <w:kern w:val="0"/>
        </w:rPr>
        <w:t xml:space="preserve"> and </w:t>
      </w:r>
      <w:r>
        <w:rPr>
          <w:kern w:val="0"/>
        </w:rPr>
        <w:t>post-PP was 5% (95% CI: 2-10%)</w:t>
      </w:r>
      <w:r w:rsidR="005853A9">
        <w:rPr>
          <w:kern w:val="0"/>
        </w:rPr>
        <w:t xml:space="preserve"> and </w:t>
      </w:r>
      <w:r>
        <w:rPr>
          <w:kern w:val="0"/>
        </w:rPr>
        <w:t>0, respectively,</w:t>
      </w:r>
      <w:r w:rsidR="003A1917">
        <w:rPr>
          <w:kern w:val="0"/>
        </w:rPr>
        <w:t xml:space="preserve"> the </w:t>
      </w:r>
      <w:r>
        <w:rPr>
          <w:kern w:val="0"/>
        </w:rPr>
        <w:t>long-term mortality was 1 38 per 100 personyears (95% CI: 0.66-2.11)</w:t>
      </w:r>
      <w:r w:rsidR="005853A9">
        <w:rPr>
          <w:kern w:val="0"/>
        </w:rPr>
        <w:t xml:space="preserve"> and </w:t>
      </w:r>
      <w:r>
        <w:rPr>
          <w:kern w:val="0"/>
        </w:rPr>
        <w:t>0.70 per 100 person-years (95% CI: 0 00-1 80) respectively. Conclusions IAT postpancreatectomy offers some patients a chance for insulin independence. Better data reporting are essential to establish</w:t>
      </w:r>
      <w:r w:rsidR="003A1917">
        <w:rPr>
          <w:kern w:val="0"/>
        </w:rPr>
        <w:t xml:space="preserve"> the </w:t>
      </w:r>
      <w:r>
        <w:rPr>
          <w:kern w:val="0"/>
        </w:rPr>
        <w:t>risks</w:t>
      </w:r>
      <w:r w:rsidR="005853A9">
        <w:rPr>
          <w:kern w:val="0"/>
        </w:rPr>
        <w:t xml:space="preserve"> and </w:t>
      </w:r>
      <w:r>
        <w:rPr>
          <w:kern w:val="0"/>
        </w:rPr>
        <w:t>benefits</w:t>
      </w:r>
      <w:r w:rsidR="00427468">
        <w:rPr>
          <w:kern w:val="0"/>
        </w:rPr>
        <w:t xml:space="preserve"> of </w:t>
      </w:r>
      <w:r>
        <w:rPr>
          <w:kern w:val="0"/>
        </w:rPr>
        <w:t>IAT after pancreatic surgery.</w:t>
      </w:r>
    </w:p>
    <w:p w:rsidR="0046448A" w:rsidRDefault="0046448A" w:rsidP="0046448A">
      <w:pPr>
        <w:pStyle w:val="a3"/>
        <w:rPr>
          <w:kern w:val="0"/>
        </w:rPr>
      </w:pPr>
      <w:r>
        <w:rPr>
          <w:kern w:val="0"/>
        </w:rPr>
        <w:t xml:space="preserve">Keywords: Adult, Auto-Transplantation, Cell Transplantation, Confidence Intervals, Design, Diabetes, Diabetes Mellitus, Embase, Experience, Follow-Up, Humans, Insulin, Liberase, Management, </w:t>
      </w:r>
      <w:r w:rsidR="00D5664A">
        <w:rPr>
          <w:kern w:val="0"/>
        </w:rPr>
        <w:t>MEDLINE</w:t>
      </w:r>
      <w:r>
        <w:rPr>
          <w:kern w:val="0"/>
        </w:rPr>
        <w:t xml:space="preserve">, Meta Analysis, Meta-Analysis, Methods, Morbidity, Mortality, Observational, Observational Studies, Outcomes, Patients, Resection, Review, Science, Scopus, Severe Chronic-Pancreatitis, Surgery, Systematic, Systematic Review, </w:t>
      </w:r>
      <w:r w:rsidR="00D5664A">
        <w:rPr>
          <w:kern w:val="0"/>
        </w:rPr>
        <w:t>Web</w:t>
      </w:r>
      <w:r w:rsidR="00427468">
        <w:rPr>
          <w:kern w:val="0"/>
        </w:rPr>
        <w:t xml:space="preserve"> of </w:t>
      </w:r>
      <w:r w:rsidR="00D5664A">
        <w:rPr>
          <w:kern w:val="0"/>
        </w:rPr>
        <w:t>Science</w:t>
      </w:r>
    </w:p>
    <w:p w:rsidR="006E0A45" w:rsidRDefault="006E0A45" w:rsidP="006E0A45">
      <w:pPr>
        <w:pStyle w:val="a3"/>
        <w:rPr>
          <w:kern w:val="0"/>
        </w:rPr>
      </w:pPr>
      <w:r>
        <w:rPr>
          <w:kern w:val="0"/>
        </w:rPr>
        <w:t xml:space="preserve">? Hariri, M., Ghiasvand, R., Shiranian, A., Askari, G., Iraj, B. and Salehi-Abargouei, A. (2015), Does omega-3 fatty acids supplementation affect circulating leptin levels? A systematic review and meta-analysis on randomized controlled clinical trials. </w:t>
      </w:r>
      <w:r>
        <w:rPr>
          <w:i/>
          <w:iCs/>
          <w:kern w:val="0"/>
        </w:rPr>
        <w:t>Clinical Endocrinology</w:t>
      </w:r>
      <w:r>
        <w:rPr>
          <w:kern w:val="0"/>
        </w:rPr>
        <w:t xml:space="preserve">, </w:t>
      </w:r>
      <w:r>
        <w:rPr>
          <w:b/>
          <w:bCs/>
          <w:kern w:val="0"/>
        </w:rPr>
        <w:t>82</w:t>
      </w:r>
      <w:r>
        <w:rPr>
          <w:kern w:val="0"/>
        </w:rPr>
        <w:t xml:space="preserve"> (2), 221-228.</w:t>
      </w:r>
    </w:p>
    <w:p w:rsidR="006E0A45" w:rsidRPr="001A3D2B" w:rsidRDefault="006E0A45" w:rsidP="006E0A45">
      <w:pPr>
        <w:pStyle w:val="a3"/>
      </w:pPr>
      <w:r w:rsidRPr="001A3D2B">
        <w:lastRenderedPageBreak/>
        <w:t xml:space="preserve">Full Text: </w:t>
      </w:r>
      <w:hyperlink r:id="rId343" w:history="1">
        <w:r w:rsidRPr="00C94229">
          <w:rPr>
            <w:rStyle w:val="a5"/>
          </w:rPr>
          <w:t>2015\Cli End82, 221.pdf</w:t>
        </w:r>
      </w:hyperlink>
    </w:p>
    <w:p w:rsidR="006E0A45" w:rsidRDefault="006E0A45" w:rsidP="006E0A45">
      <w:pPr>
        <w:pStyle w:val="a3"/>
        <w:rPr>
          <w:kern w:val="0"/>
        </w:rPr>
      </w:pPr>
      <w:r>
        <w:rPr>
          <w:kern w:val="0"/>
        </w:rPr>
        <w:t>Abstract: BackgroundOmega-3 fatty acids have attracted researchers for their effect on circulatory hormone-like peptides affecting weight control. ObjectiveOur objective was to conduct a systematic review and meta-analysis on randomized controlled trials (RCTs) assessed the effects of omega-3 supplementation on serum leptin concentration and to find the possible sources of heterogeneity in their results. MethodsWe searched PubMed/Medline, Google Scholar, Ovid, SCOPUS and ISI web of science up to April 2014. RCTs conducted among human adults, examined the effect of omega-3 fatty acid supplements on serum leptin concentrations as an outcome variable were included. The mean difference and standard deviation (SD) of changes in serum leptin levels were used as effect size for the meta-analysis. Summary mean estimates with their corresponding SDs were derived using random effects model. ResultsTotally 14 RCTs were eligible to be included in the systematic review, and the meta-analysis was performed on 13 articles. Our analysis showed that omega-3 supplementation significantly reduces leptin levels (mean difference (MD)= -171ng/ml 95% confidence interval (CI): -317 to -024, P=0022). Subgroup analysis based on BMI status showed that the omega-3 supplementation reduces leptin when used for nonobese subjects (MD=-360ng/ml; 95% CI -623 to -090; P=0011); however, this was not true for obese participants (MD=-086ng/ml; 95% CI: -263 to -090; P=0296). Subgroup analysis based on omega-3 source also showed that omega-3 from marine sources may significantly reduce leptin levels (MD=-173ng/ml; 95% CI -325 to -02; P=0026), but plant sources do not significantly affect serum leptin levels (MD=-148ng/ml; 95% CI -678 to 323; P=0585). Our results were highly sensitive to one study. ConclusionsOmega-3 supplementation might moderately decrease circulatory leptin levels only among nonobese adults. RCTs with longer follow-up period, using higher doses for obese adults and exploring the effect in different genders, are needed to replicate our results.</w:t>
      </w:r>
    </w:p>
    <w:p w:rsidR="006E0A45" w:rsidRDefault="006E0A45" w:rsidP="006E0A45">
      <w:pPr>
        <w:pStyle w:val="a3"/>
        <w:rPr>
          <w:kern w:val="0"/>
        </w:rPr>
      </w:pPr>
      <w:r>
        <w:rPr>
          <w:kern w:val="0"/>
        </w:rPr>
        <w:t>Keywords: Adiponectin, Adults, Affect, Analysis, Articles, Bmi, Changes, Clinical, Clinical Trials, Concentration, Confidence, Control, Disease, Effect Size, Effects, Estimates, Fatty Acid, Fatty Acids, Fish-Oil, Follow-Up, From, Google, Google Scholar, Heterogeneity, Human, Insulin-Resistance, Interval, Iran, ISI, ISI Web Of Science, Leptin, Linoleic-Acid, Long-Chain, Meta Analysis, Meta-Analysis, Metaanalysis, Model, Obese, Obesity, Omega-3 Fatty Acid, Outcome, Plant, Polyunsaturated Fatty-Acids, Purified Eicosapentaenoic Acid, Random Effects Model, Randomized, Randomized Controlled Trials, Researchers, Review, Science, Scopus, Serum, Size, Source, Sources, Standard, Systematic, Systematic Review, Web, Web Of Science, Weight-Loss</w:t>
      </w:r>
    </w:p>
    <w:p w:rsidR="00BC65EF" w:rsidRPr="00C73C58" w:rsidRDefault="00BC65EF" w:rsidP="00BC65EF">
      <w:pPr>
        <w:pStyle w:val="1"/>
      </w:pPr>
      <w:r w:rsidRPr="00C73C58">
        <w:br w:type="page"/>
      </w:r>
      <w:bookmarkStart w:id="273" w:name="_Toc420815019"/>
      <w:r w:rsidRPr="00C73C58">
        <w:lastRenderedPageBreak/>
        <w:t xml:space="preserve">Title: </w:t>
      </w:r>
      <w:r w:rsidRPr="00BC65EF">
        <w:rPr>
          <w:iCs w:val="0"/>
        </w:rPr>
        <w:t>Clinical</w:t>
      </w:r>
      <w:r w:rsidR="005853A9">
        <w:rPr>
          <w:iCs w:val="0"/>
        </w:rPr>
        <w:t xml:space="preserve"> and </w:t>
      </w:r>
      <w:r w:rsidRPr="00BC65EF">
        <w:rPr>
          <w:iCs w:val="0"/>
        </w:rPr>
        <w:t>Experimental Allergy</w:t>
      </w:r>
      <w:bookmarkEnd w:id="273"/>
    </w:p>
    <w:p w:rsidR="00BC65EF" w:rsidRDefault="00BC65EF" w:rsidP="00BC65EF">
      <w:pPr>
        <w:pStyle w:val="12"/>
      </w:pPr>
      <w:r w:rsidRPr="001A3D2B">
        <w:t xml:space="preserve">Full Journal Title: </w:t>
      </w:r>
      <w:r w:rsidRPr="00BC65EF">
        <w:rPr>
          <w:iCs/>
          <w:kern w:val="0"/>
        </w:rPr>
        <w:t>Clinical</w:t>
      </w:r>
      <w:r w:rsidR="005853A9">
        <w:rPr>
          <w:iCs/>
          <w:kern w:val="0"/>
        </w:rPr>
        <w:t xml:space="preserve"> and </w:t>
      </w:r>
      <w:r w:rsidRPr="00BC65EF">
        <w:rPr>
          <w:iCs/>
          <w:kern w:val="0"/>
        </w:rPr>
        <w:t>Experimental Allergy</w:t>
      </w:r>
    </w:p>
    <w:p w:rsidR="00BC65EF" w:rsidRPr="00C73C58" w:rsidRDefault="00BC65EF" w:rsidP="00BC65EF">
      <w:pPr>
        <w:pStyle w:val="12"/>
      </w:pPr>
      <w:r w:rsidRPr="00C73C58">
        <w:t xml:space="preserve">ISO Abbreviated Title: </w:t>
      </w:r>
    </w:p>
    <w:p w:rsidR="00BC65EF" w:rsidRPr="00C73C58" w:rsidRDefault="00BC65EF" w:rsidP="00BC65EF">
      <w:pPr>
        <w:pStyle w:val="12"/>
      </w:pPr>
      <w:r w:rsidRPr="00C73C58">
        <w:t xml:space="preserve">JCR Abbreviated Title: </w:t>
      </w:r>
    </w:p>
    <w:p w:rsidR="00BC65EF" w:rsidRPr="00C73C58" w:rsidRDefault="00BC65EF" w:rsidP="00BC65EF">
      <w:pPr>
        <w:pStyle w:val="12"/>
      </w:pPr>
      <w:r w:rsidRPr="00C73C58">
        <w:t xml:space="preserve">ISSN: </w:t>
      </w:r>
    </w:p>
    <w:p w:rsidR="00BC65EF" w:rsidRPr="00C73C58" w:rsidRDefault="00BC65EF" w:rsidP="00BC65EF">
      <w:pPr>
        <w:pStyle w:val="12"/>
      </w:pPr>
      <w:r w:rsidRPr="00C73C58">
        <w:t xml:space="preserve">Issues/Year: </w:t>
      </w:r>
    </w:p>
    <w:p w:rsidR="00BC65EF" w:rsidRPr="00C73C58" w:rsidRDefault="00BC65EF" w:rsidP="00BC65EF">
      <w:pPr>
        <w:pStyle w:val="12"/>
      </w:pPr>
      <w:r w:rsidRPr="00C73C58">
        <w:t xml:space="preserve">Language: </w:t>
      </w:r>
    </w:p>
    <w:p w:rsidR="00BC65EF" w:rsidRPr="00C73C58" w:rsidRDefault="00BC65EF" w:rsidP="00BC65EF">
      <w:pPr>
        <w:pStyle w:val="12"/>
      </w:pPr>
      <w:r w:rsidRPr="00C73C58">
        <w:t xml:space="preserve">Journal Country/Territory: </w:t>
      </w:r>
    </w:p>
    <w:p w:rsidR="00BC65EF" w:rsidRPr="00C73C58" w:rsidRDefault="00BC65EF" w:rsidP="00BC65EF">
      <w:pPr>
        <w:pStyle w:val="12"/>
      </w:pPr>
      <w:r w:rsidRPr="00C73C58">
        <w:t xml:space="preserve">Publisher: </w:t>
      </w:r>
    </w:p>
    <w:p w:rsidR="00BC65EF" w:rsidRPr="00C73C58" w:rsidRDefault="00BC65EF" w:rsidP="00BC65EF">
      <w:pPr>
        <w:pStyle w:val="12"/>
      </w:pPr>
      <w:r w:rsidRPr="00C73C58">
        <w:t xml:space="preserve">Publisher Address: </w:t>
      </w:r>
    </w:p>
    <w:p w:rsidR="00BC65EF" w:rsidRPr="00C73C58" w:rsidRDefault="00BC65EF" w:rsidP="00BC65EF">
      <w:pPr>
        <w:pStyle w:val="12"/>
      </w:pPr>
      <w:r w:rsidRPr="00C73C58">
        <w:t xml:space="preserve">Subject Categories: </w:t>
      </w:r>
    </w:p>
    <w:p w:rsidR="00BC65EF" w:rsidRPr="00C73C58" w:rsidRDefault="00BC65EF" w:rsidP="00BC65EF">
      <w:pPr>
        <w:pStyle w:val="12"/>
      </w:pPr>
      <w:r w:rsidRPr="00C73C58">
        <w:t>: Impact Factor</w:t>
      </w:r>
    </w:p>
    <w:p w:rsidR="00BC65EF" w:rsidRDefault="00BC65EF" w:rsidP="00BC65EF">
      <w:pPr>
        <w:pStyle w:val="a3"/>
        <w:rPr>
          <w:kern w:val="0"/>
        </w:rPr>
      </w:pPr>
      <w:r>
        <w:rPr>
          <w:rFonts w:hint="eastAsia"/>
          <w:kern w:val="0"/>
        </w:rPr>
        <w:t xml:space="preserve">? </w:t>
      </w:r>
      <w:r>
        <w:rPr>
          <w:kern w:val="0"/>
        </w:rPr>
        <w:t>Boyle, R.J., Bath-Hextall, F.J., Leonardi-Bee, J., Murrell, D.F.</w:t>
      </w:r>
      <w:r w:rsidR="005853A9">
        <w:rPr>
          <w:kern w:val="0"/>
        </w:rPr>
        <w:t xml:space="preserve"> and </w:t>
      </w:r>
      <w:r>
        <w:rPr>
          <w:kern w:val="0"/>
        </w:rPr>
        <w:t>Tang, M.L.K. (2009), Probiotics for</w:t>
      </w:r>
      <w:r w:rsidR="003A1917">
        <w:rPr>
          <w:kern w:val="0"/>
        </w:rPr>
        <w:t xml:space="preserve"> the </w:t>
      </w:r>
      <w:r>
        <w:rPr>
          <w:kern w:val="0"/>
        </w:rPr>
        <w:t>treatment</w:t>
      </w:r>
      <w:r w:rsidR="00427468">
        <w:rPr>
          <w:kern w:val="0"/>
        </w:rPr>
        <w:t xml:space="preserve"> of </w:t>
      </w:r>
      <w:r>
        <w:rPr>
          <w:kern w:val="0"/>
        </w:rPr>
        <w:t xml:space="preserve">eczema: A systematic review. </w:t>
      </w:r>
      <w:r w:rsidRPr="00BC65EF">
        <w:rPr>
          <w:i/>
          <w:iCs/>
          <w:kern w:val="0"/>
        </w:rPr>
        <w:t>Clinical</w:t>
      </w:r>
      <w:r w:rsidR="005853A9">
        <w:rPr>
          <w:i/>
          <w:iCs/>
          <w:kern w:val="0"/>
        </w:rPr>
        <w:t xml:space="preserve"> and </w:t>
      </w:r>
      <w:r w:rsidRPr="00BC65EF">
        <w:rPr>
          <w:i/>
          <w:iCs/>
          <w:kern w:val="0"/>
        </w:rPr>
        <w:t>Experimental Allergy</w:t>
      </w:r>
      <w:r>
        <w:rPr>
          <w:kern w:val="0"/>
        </w:rPr>
        <w:t xml:space="preserve">, </w:t>
      </w:r>
      <w:r>
        <w:rPr>
          <w:b/>
          <w:bCs/>
          <w:kern w:val="0"/>
        </w:rPr>
        <w:t>39</w:t>
      </w:r>
      <w:r>
        <w:rPr>
          <w:kern w:val="0"/>
        </w:rPr>
        <w:t xml:space="preserve"> (8), 1117-1127.</w:t>
      </w:r>
    </w:p>
    <w:p w:rsidR="00666900" w:rsidRDefault="00666900" w:rsidP="00666900">
      <w:pPr>
        <w:pStyle w:val="a3"/>
        <w:rPr>
          <w:kern w:val="0"/>
        </w:rPr>
      </w:pPr>
      <w:r>
        <w:rPr>
          <w:rFonts w:hint="eastAsia"/>
          <w:kern w:val="0"/>
        </w:rPr>
        <w:t xml:space="preserve">Full Text: </w:t>
      </w:r>
      <w:hyperlink r:id="rId344" w:history="1">
        <w:r w:rsidR="0035492C" w:rsidRPr="0035492C">
          <w:rPr>
            <w:rStyle w:val="a5"/>
            <w:kern w:val="0"/>
          </w:rPr>
          <w:t>2009\Cli Exp All39, 1117.pdf</w:t>
        </w:r>
      </w:hyperlink>
    </w:p>
    <w:p w:rsidR="00BC65EF" w:rsidRDefault="00BC65EF" w:rsidP="00BC65EF">
      <w:pPr>
        <w:pStyle w:val="a3"/>
        <w:rPr>
          <w:kern w:val="0"/>
        </w:rPr>
      </w:pPr>
      <w:r>
        <w:rPr>
          <w:kern w:val="0"/>
        </w:rPr>
        <w:t>Abstract: P&gt;Background Probiotics have been proposed as a treatment for eczema, but</w:t>
      </w:r>
      <w:r w:rsidR="003A1917">
        <w:rPr>
          <w:kern w:val="0"/>
        </w:rPr>
        <w:t xml:space="preserve"> the </w:t>
      </w:r>
      <w:r>
        <w:rPr>
          <w:kern w:val="0"/>
        </w:rPr>
        <w:t>results</w:t>
      </w:r>
      <w:r w:rsidR="00427468">
        <w:rPr>
          <w:kern w:val="0"/>
        </w:rPr>
        <w:t xml:space="preserve"> of </w:t>
      </w:r>
      <w:r>
        <w:rPr>
          <w:kern w:val="0"/>
        </w:rPr>
        <w:t>intervention trials have been mixed. Objective To evaluate</w:t>
      </w:r>
      <w:r w:rsidR="003A1917">
        <w:rPr>
          <w:kern w:val="0"/>
        </w:rPr>
        <w:t xml:space="preserve"> the </w:t>
      </w:r>
      <w:r>
        <w:rPr>
          <w:kern w:val="0"/>
        </w:rPr>
        <w:t>efficacy</w:t>
      </w:r>
      <w:r w:rsidR="00427468">
        <w:rPr>
          <w:kern w:val="0"/>
        </w:rPr>
        <w:t xml:space="preserve"> of </w:t>
      </w:r>
      <w:r>
        <w:rPr>
          <w:kern w:val="0"/>
        </w:rPr>
        <w:t>probiotics for treating eczema by performing a systematic review</w:t>
      </w:r>
      <w:r w:rsidR="00427468">
        <w:rPr>
          <w:kern w:val="0"/>
        </w:rPr>
        <w:t xml:space="preserve"> of </w:t>
      </w:r>
      <w:r>
        <w:rPr>
          <w:kern w:val="0"/>
        </w:rPr>
        <w:t>randomized-controlled trials (RCTs). Design We searched</w:t>
      </w:r>
      <w:r w:rsidR="003A1917">
        <w:rPr>
          <w:kern w:val="0"/>
        </w:rPr>
        <w:t xml:space="preserve"> the </w:t>
      </w:r>
      <w:r>
        <w:rPr>
          <w:kern w:val="0"/>
        </w:rPr>
        <w:t>Cochrane Skin Group Specialised Register, Cochrane Central Register</w:t>
      </w:r>
      <w:r w:rsidR="00427468">
        <w:rPr>
          <w:kern w:val="0"/>
        </w:rPr>
        <w:t xml:space="preserve"> of </w:t>
      </w:r>
      <w:r>
        <w:rPr>
          <w:kern w:val="0"/>
        </w:rPr>
        <w:t xml:space="preserve">Controlled Trials, </w:t>
      </w:r>
      <w:r w:rsidR="00D5664A">
        <w:rPr>
          <w:kern w:val="0"/>
        </w:rPr>
        <w:t>MEDLINE</w:t>
      </w:r>
      <w:r>
        <w:rPr>
          <w:kern w:val="0"/>
        </w:rPr>
        <w:t xml:space="preserve">, EMBASE, PsycINFO, AMED, LILACS,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reference lists</w:t>
      </w:r>
      <w:r w:rsidR="00427468">
        <w:rPr>
          <w:kern w:val="0"/>
        </w:rPr>
        <w:t xml:space="preserve"> of </w:t>
      </w:r>
      <w:r>
        <w:rPr>
          <w:kern w:val="0"/>
        </w:rPr>
        <w:t>articles, ongoing clinical trial registers</w:t>
      </w:r>
      <w:r w:rsidR="005853A9">
        <w:rPr>
          <w:kern w:val="0"/>
        </w:rPr>
        <w:t xml:space="preserve"> and </w:t>
      </w:r>
      <w:r>
        <w:rPr>
          <w:kern w:val="0"/>
        </w:rPr>
        <w:t>conference proceedings. RCTs</w:t>
      </w:r>
      <w:r w:rsidR="00427468">
        <w:rPr>
          <w:kern w:val="0"/>
        </w:rPr>
        <w:t xml:space="preserve"> of </w:t>
      </w:r>
      <w:r>
        <w:rPr>
          <w:kern w:val="0"/>
        </w:rPr>
        <w:t>live orally ingested microorganisms for</w:t>
      </w:r>
      <w:r w:rsidR="003A1917">
        <w:rPr>
          <w:kern w:val="0"/>
        </w:rPr>
        <w:t xml:space="preserve"> the </w:t>
      </w:r>
      <w:r>
        <w:rPr>
          <w:kern w:val="0"/>
        </w:rPr>
        <w:t>treatment</w:t>
      </w:r>
      <w:r w:rsidR="00427468">
        <w:rPr>
          <w:kern w:val="0"/>
        </w:rPr>
        <w:t xml:space="preserve"> of </w:t>
      </w:r>
      <w:r>
        <w:rPr>
          <w:kern w:val="0"/>
        </w:rPr>
        <w:t>eczema were eligible for inclusion. Results Twelve trials (781 participants) were identified. Meta-analysis</w:t>
      </w:r>
      <w:r w:rsidR="00427468">
        <w:rPr>
          <w:kern w:val="0"/>
        </w:rPr>
        <w:t xml:space="preserve"> of </w:t>
      </w:r>
      <w:r>
        <w:rPr>
          <w:kern w:val="0"/>
        </w:rPr>
        <w:t>data from five</w:t>
      </w:r>
      <w:r w:rsidR="00427468">
        <w:rPr>
          <w:kern w:val="0"/>
        </w:rPr>
        <w:t xml:space="preserve"> of </w:t>
      </w:r>
      <w:r>
        <w:rPr>
          <w:kern w:val="0"/>
        </w:rPr>
        <w:t>these trials showed that there was no significant reduction in eczema symptoms with probiotic treatment compared with placebo (mean difference -0.90 points on a 20-point visual analogue scale; 95% confidence interval -2.84, 1.04). Meta-analysis</w:t>
      </w:r>
      <w:r w:rsidR="00427468">
        <w:rPr>
          <w:kern w:val="0"/>
        </w:rPr>
        <w:t xml:space="preserve"> of </w:t>
      </w:r>
      <w:r>
        <w:rPr>
          <w:kern w:val="0"/>
        </w:rPr>
        <w:t>data from seven trials showed no significant difference in investigator rated eczema severity between probiotic</w:t>
      </w:r>
      <w:r w:rsidR="005853A9">
        <w:rPr>
          <w:kern w:val="0"/>
        </w:rPr>
        <w:t xml:space="preserve"> and </w:t>
      </w:r>
      <w:r>
        <w:rPr>
          <w:kern w:val="0"/>
        </w:rPr>
        <w:t>placebo treatments. Subgroup analysis by eczema severity or presence</w:t>
      </w:r>
      <w:r w:rsidR="00427468">
        <w:rPr>
          <w:kern w:val="0"/>
        </w:rPr>
        <w:t xml:space="preserve"> of </w:t>
      </w:r>
      <w:r>
        <w:rPr>
          <w:kern w:val="0"/>
        </w:rPr>
        <w:t>atopy did not identify a specific population in which probiotic treatment was effective</w:t>
      </w:r>
      <w:r w:rsidR="00A37C1D">
        <w:rPr>
          <w:kern w:val="0"/>
        </w:rPr>
        <w:t>. The</w:t>
      </w:r>
      <w:r>
        <w:rPr>
          <w:kern w:val="0"/>
        </w:rPr>
        <w:t>re was significant heterogeneity between studies; however,</w:t>
      </w:r>
      <w:r w:rsidR="003A1917">
        <w:rPr>
          <w:kern w:val="0"/>
        </w:rPr>
        <w:t xml:space="preserve"> the </w:t>
      </w:r>
      <w:r>
        <w:rPr>
          <w:kern w:val="0"/>
        </w:rPr>
        <w:t>results</w:t>
      </w:r>
      <w:r w:rsidR="00427468">
        <w:rPr>
          <w:kern w:val="0"/>
        </w:rPr>
        <w:t xml:space="preserve"> of </w:t>
      </w:r>
      <w:r>
        <w:rPr>
          <w:kern w:val="0"/>
        </w:rPr>
        <w:t>three studies that used</w:t>
      </w:r>
      <w:r w:rsidR="003A1917">
        <w:rPr>
          <w:kern w:val="0"/>
        </w:rPr>
        <w:t xml:space="preserve"> the </w:t>
      </w:r>
      <w:r>
        <w:rPr>
          <w:kern w:val="0"/>
        </w:rPr>
        <w:t>same probiotic strain were concordant</w:t>
      </w:r>
      <w:r w:rsidR="00A37C1D">
        <w:rPr>
          <w:kern w:val="0"/>
        </w:rPr>
        <w:t>. The</w:t>
      </w:r>
      <w:r w:rsidR="003A1917">
        <w:rPr>
          <w:kern w:val="0"/>
        </w:rPr>
        <w:t xml:space="preserve"> </w:t>
      </w:r>
      <w:r>
        <w:rPr>
          <w:kern w:val="0"/>
        </w:rPr>
        <w:t>adverse events search identified case reports</w:t>
      </w:r>
      <w:r w:rsidR="00427468">
        <w:rPr>
          <w:kern w:val="0"/>
        </w:rPr>
        <w:t xml:space="preserve"> of </w:t>
      </w:r>
      <w:r>
        <w:rPr>
          <w:kern w:val="0"/>
        </w:rPr>
        <w:t>sepsis</w:t>
      </w:r>
      <w:r w:rsidR="005853A9">
        <w:rPr>
          <w:kern w:val="0"/>
        </w:rPr>
        <w:t xml:space="preserve"> and </w:t>
      </w:r>
      <w:r>
        <w:rPr>
          <w:kern w:val="0"/>
        </w:rPr>
        <w:t>bowel ischaemia caused by probiotics. Conclusions Currently, probiotics cannot be recommended for treating eczema</w:t>
      </w:r>
      <w:r w:rsidR="00A37C1D">
        <w:rPr>
          <w:kern w:val="0"/>
        </w:rPr>
        <w:t>. The</w:t>
      </w:r>
      <w:r w:rsidR="003A1917">
        <w:rPr>
          <w:kern w:val="0"/>
        </w:rPr>
        <w:t xml:space="preserve"> </w:t>
      </w:r>
      <w:r>
        <w:rPr>
          <w:kern w:val="0"/>
        </w:rPr>
        <w:t xml:space="preserve">heterogeneity between studies may be attributable to probiotic strain-specific effects, which means that </w:t>
      </w:r>
      <w:r>
        <w:rPr>
          <w:kern w:val="0"/>
        </w:rPr>
        <w:lastRenderedPageBreak/>
        <w:t>novel probiotic strains may still have a role in eczema management.</w:t>
      </w:r>
    </w:p>
    <w:p w:rsidR="00BC65EF" w:rsidRDefault="00BC65EF" w:rsidP="00BC65EF">
      <w:pPr>
        <w:pStyle w:val="a3"/>
        <w:rPr>
          <w:kern w:val="0"/>
        </w:rPr>
      </w:pPr>
      <w:r>
        <w:rPr>
          <w:kern w:val="0"/>
        </w:rPr>
        <w:t>Keywords: Analysis, Case Reports, Children, Clinical Trial, Cochrane, Double-Blind, Eczema, Efficacy, EMBASE, Fecal Microbiota, Gastrointestinal Symptoms, Intervention, Intestinal Microflora, Ischaemia</w:t>
      </w:r>
      <w:r w:rsidR="00D5664A">
        <w:rPr>
          <w:kern w:val="0"/>
        </w:rPr>
        <w:t>, ISI,</w:t>
      </w:r>
      <w:r>
        <w:rPr>
          <w:kern w:val="0"/>
        </w:rPr>
        <w:t xml:space="preserve"> Lactobacillus-Rhamnosus Gg, Management, </w:t>
      </w:r>
      <w:r w:rsidR="00D5664A">
        <w:rPr>
          <w:kern w:val="0"/>
        </w:rPr>
        <w:t>MEDLINE</w:t>
      </w:r>
      <w:r>
        <w:rPr>
          <w:kern w:val="0"/>
        </w:rPr>
        <w:t xml:space="preserve">, Meta Analysis, Meta-Analysis, Microorganisms, Pediatric Atopic-Dermatitis, Placebo-Controlled Trial, Points, Probiotic, Probiotics, Randomized Controlled Trials, Randomized Controlled-Trial, Review, Saccharomyces-Cerevisiae Fungemia, Science, Symptoms, Systematic, Systematic Review, Treatment, </w:t>
      </w:r>
      <w:r w:rsidR="00D5664A">
        <w:rPr>
          <w:kern w:val="0"/>
        </w:rPr>
        <w:t>Web</w:t>
      </w:r>
      <w:r w:rsidR="00427468">
        <w:rPr>
          <w:kern w:val="0"/>
        </w:rPr>
        <w:t xml:space="preserve"> of </w:t>
      </w:r>
      <w:r w:rsidR="00D5664A">
        <w:rPr>
          <w:kern w:val="0"/>
        </w:rPr>
        <w:t>Science</w:t>
      </w:r>
    </w:p>
    <w:p w:rsidR="00666900" w:rsidRDefault="00666900" w:rsidP="00666900">
      <w:pPr>
        <w:pStyle w:val="a3"/>
        <w:rPr>
          <w:kern w:val="0"/>
        </w:rPr>
      </w:pPr>
      <w:r>
        <w:rPr>
          <w:rFonts w:hint="eastAsia"/>
          <w:kern w:val="0"/>
        </w:rPr>
        <w:t xml:space="preserve">? </w:t>
      </w:r>
      <w:r>
        <w:rPr>
          <w:kern w:val="0"/>
        </w:rPr>
        <w:t xml:space="preserve">Umasunthar, T., Leonardi-Bee, J., Hodes, M., Turner, P.J., Gore, C., Habibi, P., Warner, J.O. and Boyle, R.J. (2013), Incidence of fatal food anaphylaxis in people with food allergy: A systematic review and meta-analysis. </w:t>
      </w:r>
      <w:r>
        <w:rPr>
          <w:i/>
          <w:iCs/>
          <w:kern w:val="0"/>
        </w:rPr>
        <w:t>Clinical and Experimental Allergy</w:t>
      </w:r>
      <w:r>
        <w:rPr>
          <w:kern w:val="0"/>
        </w:rPr>
        <w:t xml:space="preserve">, </w:t>
      </w:r>
      <w:r>
        <w:rPr>
          <w:b/>
          <w:bCs/>
          <w:kern w:val="0"/>
        </w:rPr>
        <w:t>43</w:t>
      </w:r>
      <w:r>
        <w:rPr>
          <w:kern w:val="0"/>
        </w:rPr>
        <w:t xml:space="preserve"> (12), 1333-1341.</w:t>
      </w:r>
    </w:p>
    <w:p w:rsidR="00666900" w:rsidRDefault="00666900" w:rsidP="00666900">
      <w:pPr>
        <w:pStyle w:val="a3"/>
        <w:rPr>
          <w:kern w:val="0"/>
        </w:rPr>
      </w:pPr>
      <w:r>
        <w:rPr>
          <w:rFonts w:hint="eastAsia"/>
          <w:kern w:val="0"/>
        </w:rPr>
        <w:t xml:space="preserve">Full Text: </w:t>
      </w:r>
      <w:hyperlink r:id="rId345" w:history="1">
        <w:r w:rsidRPr="00261EA7">
          <w:rPr>
            <w:rStyle w:val="a5"/>
            <w:kern w:val="0"/>
          </w:rPr>
          <w:t>2013\Cli Exp All43, 1333.pdf</w:t>
        </w:r>
      </w:hyperlink>
    </w:p>
    <w:p w:rsidR="00666900" w:rsidRDefault="00666900" w:rsidP="00666900">
      <w:pPr>
        <w:pStyle w:val="a3"/>
        <w:rPr>
          <w:kern w:val="0"/>
        </w:rPr>
      </w:pPr>
      <w:r>
        <w:rPr>
          <w:kern w:val="0"/>
        </w:rPr>
        <w:t>Abstract: Background Food allergy is a common cause of anaphylaxis, but the incidence of fatal food anaphylaxis is not known. The aim of this study was to estimate the incidence of fatal food anaphylaxis for people with food allergy and relate this to other mortality risks in the general population. Methods We undertook a systematic review and meta-analysis, using the generic inverse variance method. Two authors selected studies by consensus, independently extracted data and assessed the quality of included studies using the Newcastle-Ottawa assessment scale. We searched Medline, Embase, PsychInfo, CINAHL, Web of Science, LILACS or AMED, between January 1946 and September 2012, and recent conference abstracts. We included registries, databases or cohort studies which described the number of fatal food anaphylaxis cases in a defined population and time period and applied an assumed population prevalence rate of food allergy. Results We included data from 13 studies describing 240 fatal food anaphylaxis episodes over an estimated 165 million food-allergic person-years. Study quality was mixed, and there was high heterogeneity between study results, possibly due to variation in food allergy prevalence and data collection methods. In food-allergic people, fatal food anaphylaxis has an incidence rate of 1.81 per million person-years (95%CI 0.94, 3.45; range 0.63, 6.68). In sensitivity analysis with different estimated food allergy prevalence, the incidence varied from 1.35 to 2.71 per million person-years. At age 0-19, the incidence rate is 3.25 (1.73, 6.10; range 0.94, 15.75; sensitivity analysis 1.18-6.13). The incidence of fatal food anaphylaxis in food-allergic people is lower than accidental death in the general European population. Conclusion Fatal food anaphylaxis for a food-allergic person is rarer than accidental death in the general population.</w:t>
      </w:r>
    </w:p>
    <w:p w:rsidR="00666900" w:rsidRDefault="00666900" w:rsidP="00666900">
      <w:pPr>
        <w:pStyle w:val="a3"/>
        <w:rPr>
          <w:kern w:val="0"/>
        </w:rPr>
      </w:pPr>
      <w:r>
        <w:rPr>
          <w:kern w:val="0"/>
        </w:rPr>
        <w:t xml:space="preserve">Keywords: Age, Allergy, Analysis, Anaphylaxis, Assessment, Asthma, Authors, </w:t>
      </w:r>
      <w:r>
        <w:rPr>
          <w:kern w:val="0"/>
        </w:rPr>
        <w:lastRenderedPageBreak/>
        <w:t>Childhood, Children, Cohort, Collection, Consensus, Data, Data Collection, Databases, Death, Food, Food Allergy, General, General Population, Heterogeneity, Hospitalizations, Incidence, Life, Medline, Meta Analysis, Meta-Analysis, Metaanalysis, Methods, Mortality, Mortality, Peanut Allergy, Person, Population, Prevalence, Quality, Quality Of, Recent, Registries, Results, Review, Risks, Scale, Science, Sensitivity, Sensitivity Analysis, Severity, Study Quality, Systematic, Systematic Review, Time Period, United-States, Web Of Science</w:t>
      </w:r>
    </w:p>
    <w:p w:rsidR="00FF2C9E" w:rsidRPr="00C73C58" w:rsidRDefault="00FF2C9E" w:rsidP="00FF2C9E">
      <w:pPr>
        <w:pStyle w:val="1"/>
      </w:pPr>
      <w:r w:rsidRPr="00C73C58">
        <w:br w:type="page"/>
      </w:r>
      <w:bookmarkStart w:id="274" w:name="_Toc420815020"/>
      <w:r w:rsidRPr="00C73C58">
        <w:lastRenderedPageBreak/>
        <w:t xml:space="preserve">Title: </w:t>
      </w:r>
      <w:r w:rsidRPr="00882E19">
        <w:t>Clinical</w:t>
      </w:r>
      <w:r w:rsidR="005853A9">
        <w:t xml:space="preserve"> and </w:t>
      </w:r>
      <w:r w:rsidRPr="00882E19">
        <w:t>Experimental Dermatology</w:t>
      </w:r>
      <w:bookmarkEnd w:id="274"/>
    </w:p>
    <w:p w:rsidR="00FF2C9E" w:rsidRDefault="00FF2C9E" w:rsidP="00FF2C9E">
      <w:pPr>
        <w:pStyle w:val="12"/>
      </w:pPr>
      <w:r w:rsidRPr="001A3D2B">
        <w:t xml:space="preserve">Full Journal Title: </w:t>
      </w:r>
      <w:r w:rsidRPr="00882E19">
        <w:rPr>
          <w:iCs/>
          <w:kern w:val="0"/>
        </w:rPr>
        <w:t>Clinical</w:t>
      </w:r>
      <w:r w:rsidR="005853A9">
        <w:rPr>
          <w:iCs/>
          <w:kern w:val="0"/>
        </w:rPr>
        <w:t xml:space="preserve"> and </w:t>
      </w:r>
      <w:r w:rsidRPr="00882E19">
        <w:rPr>
          <w:iCs/>
          <w:kern w:val="0"/>
        </w:rPr>
        <w:t>Experimental Dermatology</w:t>
      </w:r>
    </w:p>
    <w:p w:rsidR="00FF2C9E" w:rsidRPr="00C73C58" w:rsidRDefault="00FF2C9E" w:rsidP="00FF2C9E">
      <w:pPr>
        <w:pStyle w:val="12"/>
      </w:pPr>
      <w:r w:rsidRPr="00C73C58">
        <w:t xml:space="preserve">ISO Abbreviated Title: </w:t>
      </w:r>
    </w:p>
    <w:p w:rsidR="00FF2C9E" w:rsidRPr="00C73C58" w:rsidRDefault="00FF2C9E" w:rsidP="00FF2C9E">
      <w:pPr>
        <w:pStyle w:val="12"/>
      </w:pPr>
      <w:r w:rsidRPr="00C73C58">
        <w:t xml:space="preserve">JCR Abbreviated Title: </w:t>
      </w:r>
    </w:p>
    <w:p w:rsidR="00FF2C9E" w:rsidRPr="00C73C58" w:rsidRDefault="00FF2C9E" w:rsidP="00FF2C9E">
      <w:pPr>
        <w:pStyle w:val="12"/>
      </w:pPr>
      <w:r w:rsidRPr="00C73C58">
        <w:t xml:space="preserve">ISSN: </w:t>
      </w:r>
    </w:p>
    <w:p w:rsidR="00FF2C9E" w:rsidRPr="00C73C58" w:rsidRDefault="00FF2C9E" w:rsidP="00FF2C9E">
      <w:pPr>
        <w:pStyle w:val="12"/>
      </w:pPr>
      <w:r w:rsidRPr="00C73C58">
        <w:t xml:space="preserve">Issues/Year: </w:t>
      </w:r>
    </w:p>
    <w:p w:rsidR="00FF2C9E" w:rsidRPr="00C73C58" w:rsidRDefault="00FF2C9E" w:rsidP="00FF2C9E">
      <w:pPr>
        <w:pStyle w:val="12"/>
      </w:pPr>
      <w:r w:rsidRPr="00C73C58">
        <w:t xml:space="preserve">Language: </w:t>
      </w:r>
    </w:p>
    <w:p w:rsidR="00FF2C9E" w:rsidRPr="00C73C58" w:rsidRDefault="00FF2C9E" w:rsidP="00FF2C9E">
      <w:pPr>
        <w:pStyle w:val="12"/>
      </w:pPr>
      <w:r w:rsidRPr="00C73C58">
        <w:t xml:space="preserve">Journal Country/Territory: </w:t>
      </w:r>
    </w:p>
    <w:p w:rsidR="00FF2C9E" w:rsidRPr="00C73C58" w:rsidRDefault="00FF2C9E" w:rsidP="00FF2C9E">
      <w:pPr>
        <w:pStyle w:val="12"/>
      </w:pPr>
      <w:r w:rsidRPr="00C73C58">
        <w:t xml:space="preserve">Publisher: </w:t>
      </w:r>
    </w:p>
    <w:p w:rsidR="00FF2C9E" w:rsidRPr="00C73C58" w:rsidRDefault="00FF2C9E" w:rsidP="00FF2C9E">
      <w:pPr>
        <w:pStyle w:val="12"/>
      </w:pPr>
      <w:r w:rsidRPr="00C73C58">
        <w:t xml:space="preserve">Publisher Address: </w:t>
      </w:r>
    </w:p>
    <w:p w:rsidR="00FF2C9E" w:rsidRPr="00C73C58" w:rsidRDefault="00FF2C9E" w:rsidP="00FF2C9E">
      <w:pPr>
        <w:pStyle w:val="12"/>
      </w:pPr>
      <w:r w:rsidRPr="00C73C58">
        <w:t xml:space="preserve">Subject Categories: </w:t>
      </w:r>
    </w:p>
    <w:p w:rsidR="00FF2C9E" w:rsidRPr="00C73C58" w:rsidRDefault="00FF2C9E" w:rsidP="00FF2C9E">
      <w:pPr>
        <w:pStyle w:val="12"/>
      </w:pPr>
      <w:r w:rsidRPr="00C73C58">
        <w:t>: Impact Factor</w:t>
      </w:r>
    </w:p>
    <w:p w:rsidR="00FF2C9E" w:rsidRDefault="00FF2C9E" w:rsidP="00FF2C9E">
      <w:pPr>
        <w:pStyle w:val="a3"/>
        <w:rPr>
          <w:kern w:val="0"/>
        </w:rPr>
      </w:pPr>
      <w:r>
        <w:rPr>
          <w:rFonts w:hint="eastAsia"/>
          <w:kern w:val="0"/>
        </w:rPr>
        <w:t>? (</w:t>
      </w:r>
      <w:r>
        <w:rPr>
          <w:kern w:val="0"/>
        </w:rPr>
        <w:t xml:space="preserve">2011), Laser resurfacing for facial acne scars: A summarised cochrane review. </w:t>
      </w:r>
      <w:r w:rsidRPr="00882E19">
        <w:rPr>
          <w:i/>
          <w:iCs/>
          <w:kern w:val="0"/>
        </w:rPr>
        <w:t>Clinical</w:t>
      </w:r>
      <w:r w:rsidR="005853A9">
        <w:rPr>
          <w:i/>
          <w:iCs/>
          <w:kern w:val="0"/>
        </w:rPr>
        <w:t xml:space="preserve"> and </w:t>
      </w:r>
      <w:r w:rsidRPr="00882E19">
        <w:rPr>
          <w:i/>
          <w:iCs/>
          <w:kern w:val="0"/>
        </w:rPr>
        <w:t>Experimental Dermatology</w:t>
      </w:r>
      <w:r>
        <w:rPr>
          <w:kern w:val="0"/>
        </w:rPr>
        <w:t xml:space="preserve">, </w:t>
      </w:r>
      <w:r>
        <w:rPr>
          <w:b/>
          <w:bCs/>
          <w:kern w:val="0"/>
        </w:rPr>
        <w:t>36</w:t>
      </w:r>
      <w:r>
        <w:rPr>
          <w:kern w:val="0"/>
        </w:rPr>
        <w:t xml:space="preserve"> (6), 699-700.</w:t>
      </w:r>
    </w:p>
    <w:p w:rsidR="00FF2C9E" w:rsidRDefault="00FF2C9E" w:rsidP="00FF2C9E">
      <w:pPr>
        <w:pStyle w:val="a3"/>
        <w:rPr>
          <w:kern w:val="0"/>
        </w:rPr>
      </w:pPr>
      <w:r>
        <w:rPr>
          <w:rFonts w:hint="eastAsia"/>
          <w:kern w:val="0"/>
        </w:rPr>
        <w:t xml:space="preserve">Full Text: </w:t>
      </w:r>
      <w:hyperlink r:id="rId346" w:history="1">
        <w:r w:rsidRPr="00FF2C9E">
          <w:rPr>
            <w:rStyle w:val="a5"/>
            <w:kern w:val="0"/>
          </w:rPr>
          <w:t>2011\Cli Exp Der36, 699.pdf</w:t>
        </w:r>
      </w:hyperlink>
    </w:p>
    <w:p w:rsidR="00FF2C9E" w:rsidRDefault="00FF2C9E" w:rsidP="00FF2C9E">
      <w:pPr>
        <w:pStyle w:val="a3"/>
        <w:rPr>
          <w:kern w:val="0"/>
        </w:rPr>
      </w:pPr>
      <w:r>
        <w:rPr>
          <w:kern w:val="0"/>
        </w:rPr>
        <w:t>Abstract: Background Most people have acne at some stage during their life, with about one per cent being left with permanent acne scars. Recent laser techniques are thought to be more effective than chemical peels</w:t>
      </w:r>
      <w:r w:rsidR="005853A9">
        <w:rPr>
          <w:kern w:val="0"/>
        </w:rPr>
        <w:t xml:space="preserve"> and </w:t>
      </w:r>
      <w:r>
        <w:rPr>
          <w:kern w:val="0"/>
        </w:rPr>
        <w:t>dermabrasion. Objectives To assess</w:t>
      </w:r>
      <w:r w:rsidR="003A1917">
        <w:rPr>
          <w:kern w:val="0"/>
        </w:rPr>
        <w:t xml:space="preserve"> the </w:t>
      </w:r>
      <w:r>
        <w:rPr>
          <w:kern w:val="0"/>
        </w:rPr>
        <w:t>effects</w:t>
      </w:r>
      <w:r w:rsidR="00427468">
        <w:rPr>
          <w:kern w:val="0"/>
        </w:rPr>
        <w:t xml:space="preserve"> of </w:t>
      </w:r>
      <w:r>
        <w:rPr>
          <w:kern w:val="0"/>
        </w:rPr>
        <w:t xml:space="preserve">laser resurfacing for treating facial acne scars. Search strategy We searched </w:t>
      </w:r>
      <w:r w:rsidR="00D5664A">
        <w:rPr>
          <w:kern w:val="0"/>
        </w:rPr>
        <w:t>MEDLINE</w:t>
      </w:r>
      <w:r>
        <w:rPr>
          <w:kern w:val="0"/>
        </w:rPr>
        <w:t xml:space="preserve"> (1966 to April 1999), EMBASE (1980 to April 1999), Science Citation Index (1981 to April 1999</w:t>
      </w:r>
      <w:r w:rsidR="00F42EAC">
        <w:rPr>
          <w:kern w:val="0"/>
        </w:rPr>
        <w:t>), The</w:t>
      </w:r>
      <w:r w:rsidR="003A1917">
        <w:rPr>
          <w:kern w:val="0"/>
        </w:rPr>
        <w:t xml:space="preserve"> </w:t>
      </w:r>
      <w:r>
        <w:rPr>
          <w:kern w:val="0"/>
        </w:rPr>
        <w:t>Cochrane Controlled Trials Register (April 1999), DARE (April 1999), INAHTA (April 1999), NHS HTA Internet site (April 1999). Dermatological Surgery (1995 to March 1999)</w:t>
      </w:r>
      <w:r w:rsidR="005853A9">
        <w:rPr>
          <w:kern w:val="0"/>
        </w:rPr>
        <w:t xml:space="preserve"> and </w:t>
      </w:r>
      <w:r w:rsidR="003A1917">
        <w:rPr>
          <w:kern w:val="0"/>
        </w:rPr>
        <w:t xml:space="preserve">the </w:t>
      </w:r>
      <w:r>
        <w:rPr>
          <w:kern w:val="0"/>
        </w:rPr>
        <w:t>British Journal</w:t>
      </w:r>
      <w:r w:rsidR="00427468">
        <w:rPr>
          <w:kern w:val="0"/>
        </w:rPr>
        <w:t xml:space="preserve"> of </w:t>
      </w:r>
      <w:r>
        <w:rPr>
          <w:kern w:val="0"/>
        </w:rPr>
        <w:t>Dermatology (1995 to September 1999) were handsearched. We searched</w:t>
      </w:r>
      <w:r w:rsidR="003A1917">
        <w:rPr>
          <w:kern w:val="0"/>
        </w:rPr>
        <w:t xml:space="preserve"> the </w:t>
      </w:r>
      <w:r>
        <w:rPr>
          <w:kern w:val="0"/>
        </w:rPr>
        <w:t>reference lists</w:t>
      </w:r>
      <w:r w:rsidR="00427468">
        <w:rPr>
          <w:kern w:val="0"/>
        </w:rPr>
        <w:t xml:space="preserve"> of </w:t>
      </w:r>
      <w:r>
        <w:rPr>
          <w:kern w:val="0"/>
        </w:rPr>
        <w:t>relevant articles</w:t>
      </w:r>
      <w:r w:rsidR="005853A9">
        <w:rPr>
          <w:kern w:val="0"/>
        </w:rPr>
        <w:t xml:space="preserve"> and </w:t>
      </w:r>
      <w:r>
        <w:rPr>
          <w:kern w:val="0"/>
        </w:rPr>
        <w:t>contacted experts</w:t>
      </w:r>
      <w:r w:rsidR="005853A9">
        <w:rPr>
          <w:kern w:val="0"/>
        </w:rPr>
        <w:t xml:space="preserve"> and </w:t>
      </w:r>
      <w:r>
        <w:rPr>
          <w:kern w:val="0"/>
        </w:rPr>
        <w:t>commercial laser manufacturers. Selection criteria Randomised controlled trials which compare different laser resurfacing techniques for treating patients with facial acne scars, or compare laser resurfacing with other resurfacing techniques or no treatment. Data collection</w:t>
      </w:r>
      <w:r w:rsidR="005853A9">
        <w:rPr>
          <w:kern w:val="0"/>
        </w:rPr>
        <w:t xml:space="preserve"> and </w:t>
      </w:r>
      <w:r>
        <w:rPr>
          <w:kern w:val="0"/>
        </w:rPr>
        <w:t>analysis Two reviewers independently extracted data</w:t>
      </w:r>
      <w:r w:rsidR="005853A9">
        <w:rPr>
          <w:kern w:val="0"/>
        </w:rPr>
        <w:t xml:space="preserve"> and </w:t>
      </w:r>
      <w:r>
        <w:rPr>
          <w:kern w:val="0"/>
        </w:rPr>
        <w:t>assessed trial quality. Two reviewers independently selected studies, assessed</w:t>
      </w:r>
      <w:r w:rsidR="003A1917">
        <w:rPr>
          <w:kern w:val="0"/>
        </w:rPr>
        <w:t xml:space="preserve"> the </w:t>
      </w:r>
      <w:r>
        <w:rPr>
          <w:kern w:val="0"/>
        </w:rPr>
        <w:t>quality</w:t>
      </w:r>
      <w:r w:rsidR="00427468">
        <w:rPr>
          <w:kern w:val="0"/>
        </w:rPr>
        <w:t xml:space="preserve"> of </w:t>
      </w:r>
      <w:r>
        <w:rPr>
          <w:kern w:val="0"/>
        </w:rPr>
        <w:t>studies</w:t>
      </w:r>
      <w:r w:rsidR="005853A9">
        <w:rPr>
          <w:kern w:val="0"/>
        </w:rPr>
        <w:t xml:space="preserve"> and </w:t>
      </w:r>
      <w:r>
        <w:rPr>
          <w:kern w:val="0"/>
        </w:rPr>
        <w:t>extracted data. Main results No randomised controlled trials where laser treatment was compared to either placebo or a different type</w:t>
      </w:r>
      <w:r w:rsidR="00427468">
        <w:rPr>
          <w:kern w:val="0"/>
        </w:rPr>
        <w:t xml:space="preserve"> of </w:t>
      </w:r>
      <w:r>
        <w:rPr>
          <w:kern w:val="0"/>
        </w:rPr>
        <w:t>laser were found. Most</w:t>
      </w:r>
      <w:r w:rsidR="00427468">
        <w:rPr>
          <w:kern w:val="0"/>
        </w:rPr>
        <w:t xml:space="preserve"> of </w:t>
      </w:r>
      <w:r w:rsidR="003A1917">
        <w:rPr>
          <w:kern w:val="0"/>
        </w:rPr>
        <w:t xml:space="preserve">the </w:t>
      </w:r>
      <w:r>
        <w:rPr>
          <w:kern w:val="0"/>
        </w:rPr>
        <w:t>27 studies uncovered were poor quality case series with small numbers</w:t>
      </w:r>
      <w:r w:rsidR="00427468">
        <w:rPr>
          <w:kern w:val="0"/>
        </w:rPr>
        <w:t xml:space="preserve"> of </w:t>
      </w:r>
      <w:r>
        <w:rPr>
          <w:kern w:val="0"/>
        </w:rPr>
        <w:t>acne-scarred patients. Authors</w:t>
      </w:r>
      <w:r w:rsidR="0071223E">
        <w:rPr>
          <w:kern w:val="0"/>
        </w:rPr>
        <w:t>’</w:t>
      </w:r>
      <w:r>
        <w:rPr>
          <w:kern w:val="0"/>
        </w:rPr>
        <w:t xml:space="preserve"> conclusions</w:t>
      </w:r>
      <w:r w:rsidR="003A1917">
        <w:rPr>
          <w:kern w:val="0"/>
        </w:rPr>
        <w:t xml:space="preserve"> the </w:t>
      </w:r>
      <w:r>
        <w:rPr>
          <w:kern w:val="0"/>
        </w:rPr>
        <w:t>lack</w:t>
      </w:r>
      <w:r w:rsidR="00427468">
        <w:rPr>
          <w:kern w:val="0"/>
        </w:rPr>
        <w:t xml:space="preserve"> of </w:t>
      </w:r>
      <w:r>
        <w:rPr>
          <w:kern w:val="0"/>
        </w:rPr>
        <w:t>good quality evidence does not enable any conclusions to be drawn about</w:t>
      </w:r>
      <w:r w:rsidR="003A1917">
        <w:rPr>
          <w:kern w:val="0"/>
        </w:rPr>
        <w:t xml:space="preserve"> the </w:t>
      </w:r>
      <w:r>
        <w:rPr>
          <w:kern w:val="0"/>
        </w:rPr>
        <w:t>effectiveness</w:t>
      </w:r>
      <w:r w:rsidR="00427468">
        <w:rPr>
          <w:kern w:val="0"/>
        </w:rPr>
        <w:t xml:space="preserve"> of </w:t>
      </w:r>
      <w:r>
        <w:rPr>
          <w:kern w:val="0"/>
        </w:rPr>
        <w:t>lasers for treating atrophic or ice-pick acne scars. Well designed randomised controlled comparisons</w:t>
      </w:r>
      <w:r w:rsidR="00427468">
        <w:rPr>
          <w:kern w:val="0"/>
        </w:rPr>
        <w:t xml:space="preserve"> of </w:t>
      </w:r>
      <w:r>
        <w:rPr>
          <w:kern w:val="0"/>
        </w:rPr>
        <w:t>carbon dioxide versus Erbium: YAG laser are urgently needed.</w:t>
      </w:r>
    </w:p>
    <w:p w:rsidR="00FF2C9E" w:rsidRDefault="00FF2C9E" w:rsidP="00FF2C9E">
      <w:pPr>
        <w:pStyle w:val="a3"/>
        <w:rPr>
          <w:kern w:val="0"/>
        </w:rPr>
      </w:pPr>
      <w:r>
        <w:rPr>
          <w:kern w:val="0"/>
        </w:rPr>
        <w:lastRenderedPageBreak/>
        <w:t xml:space="preserve">Keywords: Case Series, Citation, Embase, Journal, </w:t>
      </w:r>
      <w:r w:rsidR="00D5664A">
        <w:rPr>
          <w:kern w:val="0"/>
        </w:rPr>
        <w:t>MEDLINE</w:t>
      </w:r>
      <w:r>
        <w:rPr>
          <w:kern w:val="0"/>
        </w:rPr>
        <w:t>, Review, Science, Science Citation Index, Search Strategy</w:t>
      </w:r>
    </w:p>
    <w:p w:rsidR="005D224E" w:rsidRPr="00C73C58" w:rsidRDefault="005D224E" w:rsidP="005D224E">
      <w:pPr>
        <w:pStyle w:val="1"/>
      </w:pPr>
      <w:r w:rsidRPr="00C73C58">
        <w:br w:type="page"/>
      </w:r>
      <w:bookmarkStart w:id="275" w:name="_Toc420815021"/>
      <w:r w:rsidRPr="00C73C58">
        <w:lastRenderedPageBreak/>
        <w:t xml:space="preserve">Title: </w:t>
      </w:r>
      <w:r w:rsidRPr="00693CA5">
        <w:t>Clinical &amp; Experimental Metastasis</w:t>
      </w:r>
      <w:bookmarkEnd w:id="275"/>
    </w:p>
    <w:p w:rsidR="005D224E" w:rsidRDefault="005D224E" w:rsidP="005D224E">
      <w:pPr>
        <w:pStyle w:val="12"/>
      </w:pPr>
      <w:r w:rsidRPr="001A3D2B">
        <w:t xml:space="preserve">Full Journal Title: </w:t>
      </w:r>
      <w:r w:rsidRPr="00693CA5">
        <w:rPr>
          <w:iCs/>
          <w:kern w:val="0"/>
        </w:rPr>
        <w:t>Clinical &amp; Experimental Metastasis</w:t>
      </w:r>
    </w:p>
    <w:p w:rsidR="005D224E" w:rsidRPr="00C73C58" w:rsidRDefault="005D224E" w:rsidP="005D224E">
      <w:pPr>
        <w:pStyle w:val="12"/>
      </w:pPr>
      <w:r w:rsidRPr="00C73C58">
        <w:t xml:space="preserve">ISO Abbreviated Title: </w:t>
      </w:r>
    </w:p>
    <w:p w:rsidR="005D224E" w:rsidRPr="00C73C58" w:rsidRDefault="005D224E" w:rsidP="005D224E">
      <w:pPr>
        <w:pStyle w:val="12"/>
      </w:pPr>
      <w:r w:rsidRPr="00C73C58">
        <w:t xml:space="preserve">JCR Abbreviated Title: </w:t>
      </w:r>
    </w:p>
    <w:p w:rsidR="005D224E" w:rsidRPr="00C73C58" w:rsidRDefault="005D224E" w:rsidP="005D224E">
      <w:pPr>
        <w:pStyle w:val="12"/>
      </w:pPr>
      <w:r w:rsidRPr="00C73C58">
        <w:t xml:space="preserve">ISSN: </w:t>
      </w:r>
    </w:p>
    <w:p w:rsidR="005D224E" w:rsidRPr="00C73C58" w:rsidRDefault="005D224E" w:rsidP="005D224E">
      <w:pPr>
        <w:pStyle w:val="12"/>
      </w:pPr>
      <w:r w:rsidRPr="00C73C58">
        <w:t xml:space="preserve">Issues/Year: </w:t>
      </w:r>
    </w:p>
    <w:p w:rsidR="005D224E" w:rsidRPr="00C73C58" w:rsidRDefault="005D224E" w:rsidP="005D224E">
      <w:pPr>
        <w:pStyle w:val="12"/>
      </w:pPr>
      <w:r w:rsidRPr="00C73C58">
        <w:t xml:space="preserve">Language: </w:t>
      </w:r>
    </w:p>
    <w:p w:rsidR="005D224E" w:rsidRPr="00C73C58" w:rsidRDefault="005D224E" w:rsidP="005D224E">
      <w:pPr>
        <w:pStyle w:val="12"/>
      </w:pPr>
      <w:r w:rsidRPr="00C73C58">
        <w:t xml:space="preserve">Journal Country/Territory: </w:t>
      </w:r>
    </w:p>
    <w:p w:rsidR="005D224E" w:rsidRPr="00C73C58" w:rsidRDefault="005D224E" w:rsidP="005D224E">
      <w:pPr>
        <w:pStyle w:val="12"/>
      </w:pPr>
      <w:r w:rsidRPr="00C73C58">
        <w:t xml:space="preserve">Publisher: </w:t>
      </w:r>
    </w:p>
    <w:p w:rsidR="005D224E" w:rsidRPr="00C73C58" w:rsidRDefault="005D224E" w:rsidP="005D224E">
      <w:pPr>
        <w:pStyle w:val="12"/>
      </w:pPr>
      <w:r w:rsidRPr="00C73C58">
        <w:t xml:space="preserve">Publisher Address: </w:t>
      </w:r>
    </w:p>
    <w:p w:rsidR="005D224E" w:rsidRPr="00C73C58" w:rsidRDefault="005D224E" w:rsidP="005D224E">
      <w:pPr>
        <w:pStyle w:val="12"/>
      </w:pPr>
      <w:r w:rsidRPr="00C73C58">
        <w:t xml:space="preserve">Subject Categories: </w:t>
      </w:r>
    </w:p>
    <w:p w:rsidR="005D224E" w:rsidRPr="00C73C58" w:rsidRDefault="005D224E" w:rsidP="005D224E">
      <w:pPr>
        <w:pStyle w:val="12"/>
      </w:pPr>
      <w:r w:rsidRPr="00C73C58">
        <w:t>: Impact Factor</w:t>
      </w:r>
    </w:p>
    <w:p w:rsidR="005D224E" w:rsidRDefault="005D224E" w:rsidP="005D224E">
      <w:pPr>
        <w:pStyle w:val="a3"/>
        <w:rPr>
          <w:kern w:val="0"/>
        </w:rPr>
      </w:pPr>
      <w:r>
        <w:rPr>
          <w:rFonts w:hint="eastAsia"/>
          <w:kern w:val="0"/>
        </w:rPr>
        <w:t xml:space="preserve">? </w:t>
      </w:r>
      <w:r>
        <w:rPr>
          <w:kern w:val="0"/>
        </w:rPr>
        <w:t xml:space="preserve">Matsumoto, K., Hayakawa, N., Nakamura, S. and Oya, M. (2015), Bladder metastasis from renal cell carcinoma: Retrospective analysis of 65 reported cases. </w:t>
      </w:r>
      <w:r w:rsidRPr="00693CA5">
        <w:rPr>
          <w:i/>
          <w:iCs/>
          <w:kern w:val="0"/>
        </w:rPr>
        <w:t>Clinical &amp; Experimental Metastasis</w:t>
      </w:r>
      <w:r>
        <w:rPr>
          <w:kern w:val="0"/>
        </w:rPr>
        <w:t xml:space="preserve">, </w:t>
      </w:r>
      <w:r>
        <w:rPr>
          <w:b/>
          <w:bCs/>
          <w:kern w:val="0"/>
        </w:rPr>
        <w:t>32</w:t>
      </w:r>
      <w:r>
        <w:rPr>
          <w:kern w:val="0"/>
        </w:rPr>
        <w:t xml:space="preserve"> (2), 135-141.</w:t>
      </w:r>
    </w:p>
    <w:p w:rsidR="005D224E" w:rsidRDefault="005D224E" w:rsidP="005D224E">
      <w:pPr>
        <w:pStyle w:val="a3"/>
        <w:rPr>
          <w:kern w:val="0"/>
        </w:rPr>
      </w:pPr>
      <w:r>
        <w:rPr>
          <w:rFonts w:hint="eastAsia"/>
          <w:kern w:val="0"/>
        </w:rPr>
        <w:t xml:space="preserve">Full Text: </w:t>
      </w:r>
      <w:hyperlink r:id="rId347" w:history="1">
        <w:r w:rsidRPr="00693CA5">
          <w:rPr>
            <w:rStyle w:val="a5"/>
            <w:kern w:val="0"/>
          </w:rPr>
          <w:t>2015\Cli Exp Met32, 135.pdf</w:t>
        </w:r>
      </w:hyperlink>
    </w:p>
    <w:p w:rsidR="005D224E" w:rsidRDefault="005D224E" w:rsidP="005D224E">
      <w:pPr>
        <w:pStyle w:val="a3"/>
        <w:rPr>
          <w:kern w:val="0"/>
        </w:rPr>
      </w:pPr>
      <w:r>
        <w:rPr>
          <w:kern w:val="0"/>
        </w:rPr>
        <w:t>Abstract: This study was carried out to clarify the presentation, treatment options, and prognosis of renal cell carcinoma (RCC) metastasis to the bladder in which we do not yet have a comprehensive understanding. A systematic Medline, Web of Science, Embase, Google, and Ichushi Web search was performed to identify articles describing RCC metastasis to the bladder. The final cohort included 65 patients. The majority (75 %) experienced gross hematuria at the point of diagnosis of RCC. RCC metastasis to the bladder occurred both synchronously (23 %) and metachronously (77 %), and the median time for metachronous bladder metastasis following the diagnosis of RCC was 33 months. Of the 58 patients whose metastatic data were available, 36 (62 %) had metastasis to the bladder only, while 22 (38 %) had additional sites of metastasis. On pathology, clear cell carcinoma was the most common histology (92 %) and all bladder tumors were consistent with RCC metastasis; the median tumor size was 2.1 cm, and two-thirds of cases were superficial (non-muscle invasive) disease. The 2-year cancer-specific survival rate in patients with solitary bladder metastasis was 71.1 %, which was significantly higher than in patients with additional distant metastasis (25.8 %, p = 0.007). Regarding the interval after the diagnosis of primary RCC, the 2-year cancer-specific survival rate in patients who experienced bladder metastasis after more than a 1 year follow-up was 58.4 %, compared to 34.6 % in their counterparts (p = 0.063). A curative resection may provide a good possibility of long-term survival, particularly in those with a solitary bladder metastasis and/or a long interval after nephrectomy.</w:t>
      </w:r>
    </w:p>
    <w:p w:rsidR="005D224E" w:rsidRDefault="005D224E" w:rsidP="005D224E">
      <w:pPr>
        <w:pStyle w:val="a3"/>
        <w:rPr>
          <w:kern w:val="0"/>
        </w:rPr>
      </w:pPr>
      <w:r>
        <w:rPr>
          <w:kern w:val="0"/>
        </w:rPr>
        <w:lastRenderedPageBreak/>
        <w:t>Keywords: Adenocarcinoma, Analysis, Articles, Bladder, Bladder Metastasis, Cancer, Carcinoma, Cell, Cohort, Data, Diagnosis, Disease, Follow-Up, From, Google, Hematuria, Histology, Interval, Invasive, Kidney Cancer, Long Term, Long-Term, Medline, Metastasis, Metastatic, Metastatic Tumor, Nephrectomy, Options, Pathology, Patients, Presentation, Primary, Prognosis, RCC, Renal, Renal Cell Carcinoma, Retrospective, Retrospective Analysis, Science, Size, Surgical-Treatment, Surveillance, Survival, Survival Rate, Systematic, Treatment, Tumor, Understanding, Web, Web Of Science</w:t>
      </w:r>
    </w:p>
    <w:p w:rsidR="003474F2" w:rsidRPr="001A3D2B" w:rsidRDefault="003474F2" w:rsidP="003474F2">
      <w:pPr>
        <w:pStyle w:val="1"/>
      </w:pPr>
      <w:r w:rsidRPr="001A3D2B">
        <w:br w:type="page"/>
      </w:r>
      <w:bookmarkStart w:id="276" w:name="_Toc420815022"/>
      <w:r w:rsidRPr="001A3D2B">
        <w:lastRenderedPageBreak/>
        <w:t>Title: Clinical</w:t>
      </w:r>
      <w:r w:rsidR="005853A9">
        <w:t xml:space="preserve"> and </w:t>
      </w:r>
      <w:r w:rsidRPr="001A3D2B">
        <w:t>Experimental Ophthalmology</w:t>
      </w:r>
      <w:bookmarkEnd w:id="276"/>
    </w:p>
    <w:p w:rsidR="00521804" w:rsidRPr="00FC7835" w:rsidRDefault="00521804" w:rsidP="00521804">
      <w:pPr>
        <w:pStyle w:val="a3"/>
        <w:rPr>
          <w:color w:val="0000FF"/>
        </w:rPr>
      </w:pPr>
      <w:r w:rsidRPr="00FC7835">
        <w:rPr>
          <w:color w:val="0000FF"/>
        </w:rPr>
        <w:t>Full Journal Ti</w:t>
      </w:r>
      <w:bookmarkStart w:id="277" w:name="_Toc43634558"/>
      <w:bookmarkStart w:id="278" w:name="_Toc81215672"/>
      <w:r w:rsidRPr="00FC7835">
        <w:rPr>
          <w:color w:val="0000FF"/>
        </w:rPr>
        <w:t xml:space="preserve">tle: </w:t>
      </w:r>
      <w:r w:rsidR="00DF61FE">
        <w:fldChar w:fldCharType="begin"/>
      </w:r>
      <w:r w:rsidR="00FD158B">
        <w:instrText>HYPERLINK "http://www3.interscience.wile</w:instrText>
      </w:r>
      <w:bookmarkEnd w:id="277"/>
      <w:bookmarkEnd w:id="278"/>
      <w:r w:rsidR="00FD158B">
        <w:instrText>y.com/journal/123208572/grouphome/home.html"</w:instrText>
      </w:r>
      <w:r w:rsidR="00DF61FE">
        <w:fldChar w:fldCharType="separate"/>
      </w:r>
      <w:r w:rsidRPr="00C73C58">
        <w:rPr>
          <w:rStyle w:val="a5"/>
        </w:rPr>
        <w:t>Clinical</w:t>
      </w:r>
      <w:r w:rsidR="005853A9">
        <w:rPr>
          <w:rStyle w:val="a5"/>
        </w:rPr>
        <w:t xml:space="preserve"> and </w:t>
      </w:r>
      <w:r w:rsidRPr="00C73C58">
        <w:rPr>
          <w:rStyle w:val="a5"/>
        </w:rPr>
        <w:t>Experimental Ophthalmology</w:t>
      </w:r>
      <w:r w:rsidR="00DF61FE">
        <w:fldChar w:fldCharType="end"/>
      </w:r>
    </w:p>
    <w:p w:rsidR="003474F2" w:rsidRPr="001A3D2B" w:rsidRDefault="003474F2" w:rsidP="003474F2">
      <w:pPr>
        <w:pStyle w:val="12"/>
      </w:pPr>
      <w:r w:rsidRPr="001A3D2B">
        <w:t>ISO Abbreviated Title: Clin. Exp. Ophthalmol.</w:t>
      </w:r>
    </w:p>
    <w:p w:rsidR="003474F2" w:rsidRPr="001A3D2B" w:rsidRDefault="003474F2" w:rsidP="003474F2">
      <w:pPr>
        <w:pStyle w:val="12"/>
      </w:pPr>
      <w:r w:rsidRPr="001A3D2B">
        <w:t>JCR Abbreviated Title: Clin Exp Ophthalmol</w:t>
      </w:r>
    </w:p>
    <w:p w:rsidR="003474F2" w:rsidRPr="001A3D2B" w:rsidRDefault="003474F2" w:rsidP="003474F2">
      <w:pPr>
        <w:pStyle w:val="12"/>
      </w:pPr>
      <w:r w:rsidRPr="001A3D2B">
        <w:t>ISSN: 1442-6404</w:t>
      </w:r>
    </w:p>
    <w:p w:rsidR="003474F2" w:rsidRPr="001A3D2B" w:rsidRDefault="003474F2" w:rsidP="003474F2">
      <w:pPr>
        <w:pStyle w:val="12"/>
      </w:pPr>
      <w:r w:rsidRPr="001A3D2B">
        <w:t>Issues/Year: 6</w:t>
      </w:r>
    </w:p>
    <w:p w:rsidR="003474F2" w:rsidRPr="001A3D2B" w:rsidRDefault="003474F2" w:rsidP="003474F2">
      <w:pPr>
        <w:pStyle w:val="12"/>
      </w:pPr>
      <w:r w:rsidRPr="001A3D2B">
        <w:t>Language: English</w:t>
      </w:r>
    </w:p>
    <w:p w:rsidR="003474F2" w:rsidRPr="001A3D2B" w:rsidRDefault="00AA25A4" w:rsidP="003474F2">
      <w:pPr>
        <w:pStyle w:val="12"/>
      </w:pPr>
      <w:r w:rsidRPr="001A3D2B">
        <w:t>Journal Country/Territory:</w:t>
      </w:r>
      <w:r w:rsidR="008F46E9" w:rsidRPr="001A3D2B">
        <w:t xml:space="preserve"> </w:t>
      </w:r>
      <w:r w:rsidR="003474F2" w:rsidRPr="001A3D2B">
        <w:t>Australia</w:t>
      </w:r>
    </w:p>
    <w:p w:rsidR="003474F2" w:rsidRPr="001A3D2B" w:rsidRDefault="003474F2" w:rsidP="003474F2">
      <w:pPr>
        <w:pStyle w:val="12"/>
      </w:pPr>
      <w:r w:rsidRPr="001A3D2B">
        <w:t>Publisher: Blackwell Publishing Asia</w:t>
      </w:r>
    </w:p>
    <w:p w:rsidR="003474F2" w:rsidRPr="001A3D2B" w:rsidRDefault="003474F2" w:rsidP="003474F2">
      <w:pPr>
        <w:pStyle w:val="12"/>
      </w:pPr>
      <w:r w:rsidRPr="001A3D2B">
        <w:t>Publisher Address: 54 University St, P O Box 378, Carlton, Victoria 3053, Australia</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Ophthalmology: Impact Factor</w:t>
      </w:r>
    </w:p>
    <w:p w:rsidR="003474F2" w:rsidRPr="001A3D2B" w:rsidRDefault="003474F2" w:rsidP="003474F2">
      <w:pPr>
        <w:pStyle w:val="a3"/>
      </w:pPr>
      <w:r w:rsidRPr="001A3D2B">
        <w:t>? Mcghee, C.N.J. (2003</w:t>
      </w:r>
      <w:r w:rsidR="00F42EAC">
        <w:t>), The</w:t>
      </w:r>
      <w:r w:rsidR="003A1917">
        <w:t xml:space="preserve"> </w:t>
      </w:r>
      <w:r w:rsidRPr="001A3D2B">
        <w:t>future</w:t>
      </w:r>
      <w:r w:rsidR="00427468">
        <w:t xml:space="preserve"> of </w:t>
      </w:r>
      <w:r w:rsidRPr="001A3D2B">
        <w:rPr>
          <w:i/>
          <w:iCs/>
        </w:rPr>
        <w:t>Clinical</w:t>
      </w:r>
      <w:r w:rsidR="005853A9">
        <w:rPr>
          <w:i/>
          <w:iCs/>
        </w:rPr>
        <w:t xml:space="preserve"> and </w:t>
      </w:r>
      <w:r w:rsidRPr="001A3D2B">
        <w:rPr>
          <w:i/>
          <w:iCs/>
        </w:rPr>
        <w:t>Experimental Ophthalmology</w:t>
      </w:r>
      <w:r w:rsidRPr="001A3D2B">
        <w:t xml:space="preserve">. </w:t>
      </w:r>
      <w:r w:rsidRPr="001A3D2B">
        <w:rPr>
          <w:i/>
          <w:iCs/>
        </w:rPr>
        <w:t>Clinical</w:t>
      </w:r>
      <w:r w:rsidR="005853A9">
        <w:rPr>
          <w:i/>
          <w:iCs/>
        </w:rPr>
        <w:t xml:space="preserve"> and </w:t>
      </w:r>
      <w:r w:rsidRPr="001A3D2B">
        <w:rPr>
          <w:i/>
          <w:iCs/>
        </w:rPr>
        <w:t>Experimental Ophthalmology</w:t>
      </w:r>
      <w:r w:rsidRPr="001A3D2B">
        <w:t xml:space="preserve">, </w:t>
      </w:r>
      <w:r w:rsidRPr="001A3D2B">
        <w:rPr>
          <w:b/>
          <w:bCs/>
        </w:rPr>
        <w:t>31</w:t>
      </w:r>
      <w:r w:rsidRPr="001A3D2B">
        <w:t xml:space="preserve"> (1), 1-3.</w:t>
      </w:r>
    </w:p>
    <w:p w:rsidR="003474F2" w:rsidRPr="001A3D2B" w:rsidRDefault="003474F2" w:rsidP="003474F2">
      <w:pPr>
        <w:pStyle w:val="a3"/>
      </w:pPr>
      <w:r w:rsidRPr="001A3D2B">
        <w:t xml:space="preserve">Full Text: </w:t>
      </w:r>
      <w:hyperlink r:id="rId348" w:history="1">
        <w:r w:rsidRPr="001A3D2B">
          <w:rPr>
            <w:rStyle w:val="a5"/>
          </w:rPr>
          <w:t>2003\Cli Exp Oph31, 1.pdf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t>Sims, J.L.</w:t>
      </w:r>
      <w:r w:rsidR="005853A9">
        <w:t xml:space="preserve"> and </w:t>
      </w:r>
      <w:r w:rsidRPr="001A3D2B">
        <w:t>McGhee, C.N.J. (2003), Citation analysis</w:t>
      </w:r>
      <w:r w:rsidR="005853A9">
        <w:t xml:space="preserve"> and </w:t>
      </w:r>
      <w:r w:rsidRPr="001A3D2B">
        <w:t>journal impact factors in ophthalmology</w:t>
      </w:r>
      <w:r w:rsidR="005853A9">
        <w:t xml:space="preserve"> and </w:t>
      </w:r>
      <w:r w:rsidRPr="001A3D2B">
        <w:t xml:space="preserve">vision science journals. </w:t>
      </w:r>
      <w:r w:rsidRPr="001A3D2B">
        <w:rPr>
          <w:i/>
          <w:iCs/>
        </w:rPr>
        <w:t>Clinical</w:t>
      </w:r>
      <w:r w:rsidR="005853A9">
        <w:rPr>
          <w:i/>
          <w:iCs/>
        </w:rPr>
        <w:t xml:space="preserve"> and </w:t>
      </w:r>
      <w:r w:rsidRPr="001A3D2B">
        <w:rPr>
          <w:i/>
          <w:iCs/>
        </w:rPr>
        <w:t>Experimental Ophthalmology</w:t>
      </w:r>
      <w:r w:rsidRPr="001A3D2B">
        <w:t xml:space="preserve">, </w:t>
      </w:r>
      <w:r w:rsidRPr="001A3D2B">
        <w:rPr>
          <w:b/>
          <w:bCs/>
        </w:rPr>
        <w:t>31</w:t>
      </w:r>
      <w:r w:rsidRPr="001A3D2B">
        <w:t xml:space="preserve"> (1), 14-22.</w:t>
      </w:r>
    </w:p>
    <w:p w:rsidR="003474F2" w:rsidRPr="001A3D2B" w:rsidRDefault="003474F2" w:rsidP="003474F2">
      <w:pPr>
        <w:pStyle w:val="a3"/>
      </w:pPr>
      <w:r w:rsidRPr="001A3D2B">
        <w:t xml:space="preserve">Full Text: </w:t>
      </w:r>
      <w:hyperlink r:id="rId349" w:history="1">
        <w:r w:rsidRPr="001A3D2B">
          <w:rPr>
            <w:rStyle w:val="a5"/>
          </w:rPr>
          <w:t>2003\Cli Exp Oph31, 14.pdf</w:t>
        </w:r>
      </w:hyperlink>
    </w:p>
    <w:p w:rsidR="003474F2" w:rsidRPr="001A3D2B" w:rsidRDefault="003474F2" w:rsidP="003474F2">
      <w:pPr>
        <w:pStyle w:val="a3"/>
      </w:pPr>
      <w:r w:rsidRPr="001A3D2B">
        <w:t>Abstract: Citation analysis has evolved over</w:t>
      </w:r>
      <w:r w:rsidR="003A1917">
        <w:t xml:space="preserve"> the </w:t>
      </w:r>
      <w:r w:rsidRPr="001A3D2B">
        <w:t>last 50 years as one parameter for assessing</w:t>
      </w:r>
      <w:r w:rsidR="003A1917">
        <w:t xml:space="preserve"> the </w:t>
      </w:r>
      <w:r w:rsidRPr="001A3D2B">
        <w:t>quality</w:t>
      </w:r>
      <w:r w:rsidR="00427468">
        <w:t xml:space="preserve"> of </w:t>
      </w:r>
      <w:r w:rsidRPr="001A3D2B">
        <w:t>research published in scientific, technology</w:t>
      </w:r>
      <w:r w:rsidR="005853A9">
        <w:t xml:space="preserve"> and </w:t>
      </w:r>
      <w:r w:rsidRPr="001A3D2B">
        <w:t>social science journals. This is based on</w:t>
      </w:r>
      <w:r w:rsidR="003A1917">
        <w:t xml:space="preserve"> the </w:t>
      </w:r>
      <w:r w:rsidRPr="001A3D2B">
        <w:t>assumption that influential research is widely cited by other scientists</w:t>
      </w:r>
      <w:r w:rsidR="005853A9">
        <w:t xml:space="preserve"> and </w:t>
      </w:r>
      <w:r w:rsidRPr="001A3D2B">
        <w:t>clinicians. With</w:t>
      </w:r>
      <w:r w:rsidR="003A1917">
        <w:t xml:space="preserve"> the </w:t>
      </w:r>
      <w:r w:rsidRPr="001A3D2B">
        <w:t>advent</w:t>
      </w:r>
      <w:r w:rsidR="00427468">
        <w:t xml:space="preserve"> of </w:t>
      </w:r>
      <w:r w:rsidR="003A1917">
        <w:t xml:space="preserve">the </w:t>
      </w:r>
      <w:r w:rsidRPr="001A3D2B">
        <w:t>Internet, Journal Citation Reports from</w:t>
      </w:r>
      <w:r w:rsidR="003A1917">
        <w:t xml:space="preserve"> the </w:t>
      </w:r>
      <w:r w:rsidRPr="001A3D2B">
        <w:t>Institute for Scientific Information (ISI-JCR) have become widely available to individuals</w:t>
      </w:r>
      <w:r w:rsidR="005853A9">
        <w:t xml:space="preserve"> and </w:t>
      </w:r>
      <w:r w:rsidRPr="001A3D2B">
        <w:t>institutions. In an increasingly competitive research environ-ment, aspects</w:t>
      </w:r>
      <w:r w:rsidR="00427468">
        <w:t xml:space="preserve"> of </w:t>
      </w:r>
      <w:r w:rsidRPr="001A3D2B">
        <w:t>citation analysis have been suggested as simple proxy, objective measures to evaluate</w:t>
      </w:r>
      <w:r w:rsidR="003A1917">
        <w:t xml:space="preserve"> the </w:t>
      </w:r>
      <w:r w:rsidRPr="001A3D2B">
        <w:t>research quality</w:t>
      </w:r>
      <w:r w:rsidR="00427468">
        <w:t xml:space="preserve"> of </w:t>
      </w:r>
      <w:r w:rsidRPr="001A3D2B">
        <w:t>a journal, published articles, research institutions</w:t>
      </w:r>
      <w:r w:rsidR="005853A9">
        <w:t xml:space="preserve"> and </w:t>
      </w:r>
      <w:r w:rsidRPr="001A3D2B">
        <w:t>even individual researchers. This review article provides an overview</w:t>
      </w:r>
      <w:r w:rsidR="00427468">
        <w:t xml:space="preserve"> of </w:t>
      </w:r>
      <w:r w:rsidRPr="001A3D2B">
        <w:t>citation analysis, including definitions, uses</w:t>
      </w:r>
      <w:r w:rsidR="00427468">
        <w:t xml:space="preserve"> of </w:t>
      </w:r>
      <w:r w:rsidRPr="001A3D2B">
        <w:t>these reports,</w:t>
      </w:r>
      <w:r w:rsidR="005853A9">
        <w:t xml:space="preserve"> and </w:t>
      </w:r>
      <w:r w:rsidRPr="001A3D2B">
        <w:t>related controversies</w:t>
      </w:r>
      <w:r w:rsidR="005853A9">
        <w:t xml:space="preserve"> and </w:t>
      </w:r>
      <w:r w:rsidRPr="001A3D2B">
        <w:t>potential abuses. As it has become</w:t>
      </w:r>
      <w:r w:rsidR="003A1917">
        <w:t xml:space="preserve"> the </w:t>
      </w:r>
      <w:r w:rsidRPr="001A3D2B">
        <w:t>most commonly used indicator, there is a particular focus on</w:t>
      </w:r>
      <w:r w:rsidR="003A1917">
        <w:t xml:space="preserve"> the </w:t>
      </w:r>
      <w:r w:rsidRPr="001A3D2B">
        <w:t>use</w:t>
      </w:r>
      <w:r w:rsidR="00427468">
        <w:t xml:space="preserve"> of </w:t>
      </w:r>
      <w:r w:rsidR="003A1917">
        <w:t xml:space="preserve">the </w:t>
      </w:r>
      <w:r w:rsidRPr="001A3D2B">
        <w:t>Journal Impact Factor (JIF). This is a widely quoted measure indicating</w:t>
      </w:r>
      <w:r w:rsidR="003A1917">
        <w:t xml:space="preserve"> the </w:t>
      </w:r>
      <w:r w:rsidRPr="001A3D2B">
        <w:t>frequency with which</w:t>
      </w:r>
      <w:r w:rsidR="003A1917">
        <w:t xml:space="preserve"> the </w:t>
      </w:r>
      <w:r w:rsidRPr="001A3D2B">
        <w:t>average article published in a journal</w:t>
      </w:r>
      <w:r w:rsidR="00427468">
        <w:t xml:space="preserve"> of </w:t>
      </w:r>
      <w:r w:rsidRPr="001A3D2B">
        <w:t>interest will be quoted within a specified time frame that therefore allows approximate comparisons</w:t>
      </w:r>
      <w:r w:rsidR="00427468">
        <w:t xml:space="preserve"> of </w:t>
      </w:r>
      <w:r w:rsidRPr="001A3D2B">
        <w:t>journals within a particular field</w:t>
      </w:r>
      <w:r w:rsidR="00427468">
        <w:t xml:space="preserve"> of </w:t>
      </w:r>
      <w:r w:rsidRPr="001A3D2B">
        <w:t>interest. Given</w:t>
      </w:r>
      <w:r w:rsidR="003A1917">
        <w:t xml:space="preserve"> the </w:t>
      </w:r>
      <w:r w:rsidRPr="001A3D2B">
        <w:t>relative paucity</w:t>
      </w:r>
      <w:r w:rsidR="00427468">
        <w:t xml:space="preserve"> of </w:t>
      </w:r>
      <w:r w:rsidRPr="001A3D2B">
        <w:t xml:space="preserve">information in this area, emphasis is placed on citation analysis within ophthalmology, in particular in regard </w:t>
      </w:r>
      <w:r w:rsidRPr="001A3D2B">
        <w:lastRenderedPageBreak/>
        <w:t>to</w:t>
      </w:r>
      <w:r w:rsidR="003A1917">
        <w:t xml:space="preserve"> the </w:t>
      </w:r>
      <w:r w:rsidRPr="001A3D2B">
        <w:t>43 ophthal-mology, vision science</w:t>
      </w:r>
      <w:r w:rsidR="005853A9">
        <w:t xml:space="preserve"> and </w:t>
      </w:r>
      <w:r w:rsidRPr="001A3D2B">
        <w:t>optometry journals that are listed in</w:t>
      </w:r>
      <w:r w:rsidR="003A1917">
        <w:t xml:space="preserve"> the </w:t>
      </w:r>
      <w:r w:rsidRPr="001A3D2B">
        <w:t>ISI-JCR 2001 reports.</w:t>
      </w:r>
    </w:p>
    <w:p w:rsidR="003474F2" w:rsidRPr="001A3D2B" w:rsidRDefault="003474F2" w:rsidP="003474F2">
      <w:pPr>
        <w:pStyle w:val="a3"/>
      </w:pPr>
      <w:r w:rsidRPr="001A3D2B">
        <w:t>Keywords: Citation Analysis, Journal Impact Factors, Journal Citation Reports, Ophthalmology, Optometry, Vision Science, Medical Journals</w:t>
      </w:r>
    </w:p>
    <w:p w:rsidR="003474F2" w:rsidRPr="001A3D2B" w:rsidRDefault="003474F2" w:rsidP="003474F2">
      <w:pPr>
        <w:pStyle w:val="a3"/>
      </w:pPr>
      <w:r w:rsidRPr="001A3D2B">
        <w:t>Notes: TTopic</w:t>
      </w:r>
    </w:p>
    <w:p w:rsidR="003474F2" w:rsidRPr="001A3D2B" w:rsidRDefault="003474F2" w:rsidP="003474F2">
      <w:pPr>
        <w:pStyle w:val="a3"/>
      </w:pPr>
      <w:r w:rsidRPr="001A3D2B">
        <w:t>Davis, M.</w:t>
      </w:r>
      <w:r w:rsidR="005853A9">
        <w:t xml:space="preserve"> and </w:t>
      </w:r>
      <w:r w:rsidRPr="001A3D2B">
        <w:t>Wilson, C.S. (2003), Research contributions in ophthalmology: Australia</w:t>
      </w:r>
      <w:r w:rsidR="0071223E">
        <w:t>’</w:t>
      </w:r>
      <w:r w:rsidR="00C13DDC">
        <w:t>s</w:t>
      </w:r>
      <w:r w:rsidRPr="001A3D2B">
        <w:t xml:space="preserve"> productivity. </w:t>
      </w:r>
      <w:r w:rsidRPr="001A3D2B">
        <w:rPr>
          <w:i/>
          <w:iCs/>
        </w:rPr>
        <w:t>Clinical</w:t>
      </w:r>
      <w:r w:rsidR="005853A9">
        <w:rPr>
          <w:i/>
          <w:iCs/>
        </w:rPr>
        <w:t xml:space="preserve"> and </w:t>
      </w:r>
      <w:r w:rsidRPr="001A3D2B">
        <w:rPr>
          <w:i/>
          <w:iCs/>
        </w:rPr>
        <w:t>Experimental Ophthalmology</w:t>
      </w:r>
      <w:r w:rsidRPr="001A3D2B">
        <w:t xml:space="preserve">, </w:t>
      </w:r>
      <w:r w:rsidRPr="001A3D2B">
        <w:rPr>
          <w:b/>
          <w:bCs/>
        </w:rPr>
        <w:t>31</w:t>
      </w:r>
      <w:r w:rsidRPr="001A3D2B">
        <w:t xml:space="preserve"> (4), 286-293.</w:t>
      </w:r>
    </w:p>
    <w:p w:rsidR="003474F2" w:rsidRPr="001A3D2B" w:rsidRDefault="003474F2" w:rsidP="003474F2">
      <w:pPr>
        <w:pStyle w:val="a3"/>
      </w:pPr>
      <w:r w:rsidRPr="001A3D2B">
        <w:t xml:space="preserve">Full Text: </w:t>
      </w:r>
      <w:hyperlink r:id="rId350" w:history="1">
        <w:r w:rsidRPr="001A3D2B">
          <w:rPr>
            <w:rStyle w:val="a5"/>
          </w:rPr>
          <w:t>2003\Cli Exp Oph31, 286.pdf</w:t>
        </w:r>
      </w:hyperlink>
    </w:p>
    <w:p w:rsidR="003474F2" w:rsidRPr="001A3D2B" w:rsidRDefault="003474F2" w:rsidP="003474F2">
      <w:pPr>
        <w:pStyle w:val="a3"/>
      </w:pPr>
      <w:r w:rsidRPr="001A3D2B">
        <w:t>Abstract: Background: In 2000,</w:t>
      </w:r>
      <w:r w:rsidR="003A1917">
        <w:t xml:space="preserve"> the </w:t>
      </w:r>
      <w:r w:rsidRPr="001A3D2B">
        <w:t>Australian</w:t>
      </w:r>
      <w:r w:rsidR="005853A9">
        <w:t xml:space="preserve"> and </w:t>
      </w:r>
      <w:r w:rsidRPr="001A3D2B">
        <w:t>New Zealand Journal</w:t>
      </w:r>
      <w:r w:rsidR="00427468">
        <w:t xml:space="preserve"> of </w:t>
      </w:r>
      <w:r w:rsidRPr="001A3D2B">
        <w:t>Ophthalmology (ANZJO) changed title to Clinical</w:t>
      </w:r>
      <w:r w:rsidR="005853A9">
        <w:t xml:space="preserve"> and </w:t>
      </w:r>
      <w:r w:rsidRPr="001A3D2B">
        <w:t>Experimental Ophthalmology. At this time, a review</w:t>
      </w:r>
      <w:r w:rsidR="00427468">
        <w:t xml:space="preserve"> of </w:t>
      </w:r>
      <w:r w:rsidRPr="001A3D2B">
        <w:t>Australia</w:t>
      </w:r>
      <w:r w:rsidR="0071223E">
        <w:t>’</w:t>
      </w:r>
      <w:r w:rsidR="00C13DDC">
        <w:t>s</w:t>
      </w:r>
      <w:r w:rsidRPr="001A3D2B">
        <w:t xml:space="preserve"> contributions to</w:t>
      </w:r>
      <w:r w:rsidR="003A1917">
        <w:t xml:space="preserve"> the </w:t>
      </w:r>
      <w:r w:rsidRPr="001A3D2B">
        <w:t>literature over</w:t>
      </w:r>
      <w:r w:rsidR="003A1917">
        <w:t xml:space="preserve"> the </w:t>
      </w:r>
      <w:r w:rsidRPr="001A3D2B">
        <w:t>previous 21 years appears timely. Bibliometric indicators are used extensively to assess research performance as they offer views</w:t>
      </w:r>
      <w:r w:rsidR="00427468">
        <w:t xml:space="preserve"> of </w:t>
      </w:r>
      <w:r w:rsidRPr="001A3D2B">
        <w:t>a field that might not otherwise be apparent</w:t>
      </w:r>
      <w:r w:rsidR="00A37C1D">
        <w:t>. The</w:t>
      </w:r>
      <w:r w:rsidR="003A1917">
        <w:t xml:space="preserve"> </w:t>
      </w:r>
      <w:r w:rsidRPr="001A3D2B">
        <w:t>aim</w:t>
      </w:r>
      <w:r w:rsidR="00427468">
        <w:t xml:space="preserve"> of </w:t>
      </w:r>
      <w:r w:rsidRPr="001A3D2B">
        <w:t>this study was to explore publication output data to construct a picture</w:t>
      </w:r>
      <w:r w:rsidR="00427468">
        <w:t xml:space="preserve"> of </w:t>
      </w:r>
      <w:r w:rsidRPr="001A3D2B">
        <w:t>ophthalmology that may be</w:t>
      </w:r>
      <w:r w:rsidR="00427468">
        <w:t xml:space="preserve"> of </w:t>
      </w:r>
      <w:r w:rsidRPr="001A3D2B">
        <w:t>benefit to researchers</w:t>
      </w:r>
      <w:r w:rsidR="005853A9">
        <w:t xml:space="preserve"> and </w:t>
      </w:r>
      <w:r w:rsidRPr="001A3D2B">
        <w:t>ophthalmologists. Methods: Science Citation Index</w:t>
      </w:r>
      <w:r w:rsidR="005853A9">
        <w:t xml:space="preserve"> and </w:t>
      </w:r>
      <w:r w:rsidRPr="001A3D2B">
        <w:t>Social Sciences Citation Index databases were used to collate data on ophthal-mology research literature from 1980 to 2000. Subsequent analysis particularly focused on Australia</w:t>
      </w:r>
      <w:r w:rsidR="0071223E">
        <w:t>’</w:t>
      </w:r>
      <w:r w:rsidR="00C13DDC">
        <w:t>s</w:t>
      </w:r>
      <w:r w:rsidRPr="001A3D2B">
        <w:t xml:space="preserve"> contribution to this literature, including publication frequency vis-a-vis</w:t>
      </w:r>
      <w:r w:rsidR="003A1917">
        <w:t xml:space="preserve"> the </w:t>
      </w:r>
      <w:r w:rsidRPr="001A3D2B">
        <w:t>world, collaboration,</w:t>
      </w:r>
      <w:r w:rsidR="005853A9">
        <w:t xml:space="preserve"> and </w:t>
      </w:r>
      <w:r w:rsidR="003A1917">
        <w:t xml:space="preserve">the </w:t>
      </w:r>
      <w:r w:rsidRPr="001A3D2B">
        <w:t>journals in which Australian researchers frequently publish</w:t>
      </w:r>
      <w:r w:rsidR="00A37C1D">
        <w:t>. The</w:t>
      </w:r>
      <w:r w:rsidRPr="001A3D2B">
        <w:t>se data were also compared with other countries</w:t>
      </w:r>
      <w:r w:rsidR="00427468">
        <w:t xml:space="preserve"> of </w:t>
      </w:r>
      <w:r w:rsidRPr="001A3D2B">
        <w:t xml:space="preserve">similar scientific stature or language. Results: Since 1980, </w:t>
      </w:r>
      <w:smartTag w:uri="urn:schemas-microsoft-com:office:smarttags" w:element="place">
        <w:smartTag w:uri="urn:schemas-microsoft-com:office:smarttags" w:element="country-region">
          <w:r w:rsidRPr="001A3D2B">
            <w:t>Australia</w:t>
          </w:r>
        </w:smartTag>
      </w:smartTag>
      <w:r w:rsidRPr="001A3D2B">
        <w:t xml:space="preserve"> has ranked in</w:t>
      </w:r>
      <w:r w:rsidR="003A1917">
        <w:t xml:space="preserve"> the </w:t>
      </w:r>
      <w:r w:rsidRPr="001A3D2B">
        <w:t>top 10 nations contributing to world ophthalmology research. Its contribution was close to world average in</w:t>
      </w:r>
      <w:r w:rsidR="003A1917">
        <w:t xml:space="preserve"> the </w:t>
      </w:r>
      <w:r w:rsidRPr="001A3D2B">
        <w:t>1980s, but increasing numbers</w:t>
      </w:r>
      <w:r w:rsidR="00427468">
        <w:t xml:space="preserve"> of </w:t>
      </w:r>
      <w:r w:rsidRPr="001A3D2B">
        <w:t>researchers</w:t>
      </w:r>
      <w:r w:rsidR="005853A9">
        <w:t xml:space="preserve"> and </w:t>
      </w:r>
      <w:r w:rsidRPr="001A3D2B">
        <w:t xml:space="preserve">papers show </w:t>
      </w:r>
      <w:smartTag w:uri="urn:schemas-microsoft-com:office:smarttags" w:element="place">
        <w:smartTag w:uri="urn:schemas-microsoft-com:office:smarttags" w:element="country-region">
          <w:r w:rsidRPr="001A3D2B">
            <w:t>Australia</w:t>
          </w:r>
        </w:smartTag>
      </w:smartTag>
      <w:r w:rsidRPr="001A3D2B">
        <w:t xml:space="preserve"> exceeding</w:t>
      </w:r>
      <w:r w:rsidR="003A1917">
        <w:t xml:space="preserve"> the </w:t>
      </w:r>
      <w:r w:rsidRPr="001A3D2B">
        <w:t>world average during</w:t>
      </w:r>
      <w:r w:rsidR="003A1917">
        <w:t xml:space="preserve"> the </w:t>
      </w:r>
      <w:r w:rsidRPr="001A3D2B">
        <w:t xml:space="preserve">1990s. Most ophthalmology research collaboration by Australians is within </w:t>
      </w:r>
      <w:smartTag w:uri="urn:schemas-microsoft-com:office:smarttags" w:element="place">
        <w:smartTag w:uri="urn:schemas-microsoft-com:office:smarttags" w:element="country-region">
          <w:r w:rsidRPr="001A3D2B">
            <w:t>Australia</w:t>
          </w:r>
        </w:smartTag>
      </w:smartTag>
      <w:r w:rsidRPr="001A3D2B">
        <w:t>. Although fewer in number, collaborative papers with overseas researchers include 28 other countries. Data on</w:t>
      </w:r>
      <w:r w:rsidR="003A1917">
        <w:t xml:space="preserve"> the </w:t>
      </w:r>
      <w:r w:rsidRPr="001A3D2B">
        <w:t>journals in which Australians publish show that Australian researchers continue to exhibit a preference for publication in their own regional journals. Conclusions: This paper, one</w:t>
      </w:r>
      <w:r w:rsidR="00427468">
        <w:t xml:space="preserve"> of </w:t>
      </w:r>
      <w:r w:rsidRPr="001A3D2B">
        <w:t>a series on</w:t>
      </w:r>
      <w:r w:rsidR="003A1917">
        <w:t xml:space="preserve"> the </w:t>
      </w:r>
      <w:r w:rsidRPr="001A3D2B">
        <w:t>literature</w:t>
      </w:r>
      <w:r w:rsidR="00427468">
        <w:t xml:space="preserve"> of </w:t>
      </w:r>
      <w:r w:rsidR="003A1917">
        <w:t xml:space="preserve">the </w:t>
      </w:r>
      <w:r w:rsidRPr="001A3D2B">
        <w:t>vision sciences, provides some initial benchmarks on Australia</w:t>
      </w:r>
      <w:r w:rsidR="0071223E">
        <w:t>’</w:t>
      </w:r>
      <w:r w:rsidR="00C13DDC">
        <w:t>s</w:t>
      </w:r>
      <w:r w:rsidRPr="001A3D2B">
        <w:t xml:space="preserve"> standing</w:t>
      </w:r>
      <w:r w:rsidR="005853A9">
        <w:t xml:space="preserve"> and </w:t>
      </w:r>
      <w:r w:rsidRPr="001A3D2B">
        <w:t>contribution to</w:t>
      </w:r>
      <w:r w:rsidR="003A1917">
        <w:t xml:space="preserve"> the </w:t>
      </w:r>
      <w:r w:rsidRPr="001A3D2B">
        <w:t>field</w:t>
      </w:r>
      <w:r w:rsidR="00427468">
        <w:t xml:space="preserve"> of </w:t>
      </w:r>
      <w:r w:rsidRPr="001A3D2B">
        <w:t>ophthalmology research.</w:t>
      </w:r>
    </w:p>
    <w:p w:rsidR="003474F2" w:rsidRPr="001A3D2B" w:rsidRDefault="003474F2" w:rsidP="003474F2">
      <w:pPr>
        <w:pStyle w:val="a3"/>
      </w:pPr>
      <w:r w:rsidRPr="001A3D2B">
        <w:t>Keywords: Analysis, Australia, Australian, Collaboration, Data, Databases, Field, Indicators, Journals, Literature, Nations, New Zealand, Papers, Performance, Preference, Productivity, Publication, Regional, Research, Research Collaboration, Research Performance, Review, Science Citation Index, Sciences, World</w:t>
      </w:r>
    </w:p>
    <w:p w:rsidR="003474F2" w:rsidRPr="001A3D2B" w:rsidRDefault="003474F2" w:rsidP="003474F2">
      <w:pPr>
        <w:pStyle w:val="a3"/>
      </w:pPr>
      <w:r w:rsidRPr="001A3D2B">
        <w:t>Notes: CCountry</w:t>
      </w:r>
    </w:p>
    <w:p w:rsidR="003474F2" w:rsidRPr="001A3D2B" w:rsidRDefault="003474F2" w:rsidP="003474F2">
      <w:pPr>
        <w:pStyle w:val="a3"/>
      </w:pPr>
      <w:r w:rsidRPr="001A3D2B">
        <w:t>? Pon, J.A.M.C., Carroll, S.C.</w:t>
      </w:r>
      <w:r w:rsidR="005853A9">
        <w:t xml:space="preserve"> and </w:t>
      </w:r>
      <w:r w:rsidRPr="001A3D2B">
        <w:t>Mcghee, C.N.J. (2004), Analysis</w:t>
      </w:r>
      <w:r w:rsidR="00427468">
        <w:t xml:space="preserve"> of </w:t>
      </w:r>
      <w:r w:rsidRPr="001A3D2B">
        <w:t>New Zealand</w:t>
      </w:r>
      <w:r w:rsidR="0071223E">
        <w:t>’</w:t>
      </w:r>
      <w:r w:rsidR="00C13DDC">
        <w:t>s</w:t>
      </w:r>
      <w:r w:rsidRPr="001A3D2B">
        <w:t xml:space="preserve"> research productivity in ophthalmology</w:t>
      </w:r>
      <w:r w:rsidR="005853A9">
        <w:t xml:space="preserve"> and </w:t>
      </w:r>
      <w:r w:rsidRPr="001A3D2B">
        <w:t xml:space="preserve">vision science: 1993-2002. </w:t>
      </w:r>
      <w:r w:rsidRPr="001A3D2B">
        <w:rPr>
          <w:i/>
          <w:iCs/>
        </w:rPr>
        <w:t>Clinical</w:t>
      </w:r>
      <w:r w:rsidR="005853A9">
        <w:rPr>
          <w:i/>
          <w:iCs/>
        </w:rPr>
        <w:t xml:space="preserve"> and </w:t>
      </w:r>
      <w:r w:rsidRPr="001A3D2B">
        <w:rPr>
          <w:i/>
          <w:iCs/>
        </w:rPr>
        <w:t>Experimental Ophthalmology</w:t>
      </w:r>
      <w:r w:rsidRPr="001A3D2B">
        <w:t xml:space="preserve">, </w:t>
      </w:r>
      <w:r w:rsidRPr="001A3D2B">
        <w:rPr>
          <w:b/>
          <w:bCs/>
        </w:rPr>
        <w:t>32</w:t>
      </w:r>
      <w:r w:rsidRPr="001A3D2B">
        <w:t xml:space="preserve"> (6), 607-613.</w:t>
      </w:r>
    </w:p>
    <w:p w:rsidR="003474F2" w:rsidRPr="001A3D2B" w:rsidRDefault="003474F2" w:rsidP="003474F2">
      <w:pPr>
        <w:pStyle w:val="a3"/>
      </w:pPr>
      <w:r w:rsidRPr="001A3D2B">
        <w:lastRenderedPageBreak/>
        <w:t xml:space="preserve">Full Text: </w:t>
      </w:r>
      <w:hyperlink r:id="rId351" w:history="1">
        <w:r w:rsidRPr="001A3D2B">
          <w:rPr>
            <w:rStyle w:val="a5"/>
          </w:rPr>
          <w:t>2004\Cli Exp Oph32, 607.pdf</w:t>
        </w:r>
      </w:hyperlink>
    </w:p>
    <w:p w:rsidR="003474F2" w:rsidRPr="001A3D2B" w:rsidRDefault="003474F2" w:rsidP="003474F2">
      <w:pPr>
        <w:pStyle w:val="a3"/>
      </w:pPr>
      <w:r w:rsidRPr="001A3D2B">
        <w:t>Abstract: Aim: To assess New Zealand</w:t>
      </w:r>
      <w:r w:rsidR="0071223E">
        <w:t>’</w:t>
      </w:r>
      <w:r w:rsidR="00C13DDC">
        <w:t>s</w:t>
      </w:r>
      <w:r w:rsidRPr="001A3D2B">
        <w:t xml:space="preserve"> research productivity in</w:t>
      </w:r>
      <w:r w:rsidR="003A1917">
        <w:t xml:space="preserve"> the </w:t>
      </w:r>
      <w:r w:rsidRPr="001A3D2B">
        <w:t>area</w:t>
      </w:r>
      <w:r w:rsidR="00427468">
        <w:t xml:space="preserve"> of </w:t>
      </w:r>
      <w:r w:rsidRPr="001A3D2B">
        <w:t>ophthalmology</w:t>
      </w:r>
      <w:r w:rsidR="005853A9">
        <w:t xml:space="preserve"> and </w:t>
      </w:r>
      <w:r w:rsidRPr="001A3D2B">
        <w:t>vision science over</w:t>
      </w:r>
      <w:r w:rsidR="003A1917">
        <w:t xml:space="preserve"> the </w:t>
      </w:r>
      <w:r w:rsidRPr="001A3D2B">
        <w:t>decade 1993-2002. Methods: New Zealand-based researchers involved in ophthalmology or vision science research, including ophthalmologists, optometrists</w:t>
      </w:r>
      <w:r w:rsidR="005853A9">
        <w:t xml:space="preserve"> and </w:t>
      </w:r>
      <w:r w:rsidRPr="001A3D2B">
        <w:t>vision scientists were identified via professional colleges, universities</w:t>
      </w:r>
      <w:r w:rsidR="005853A9">
        <w:t xml:space="preserve"> and </w:t>
      </w:r>
      <w:r w:rsidRPr="001A3D2B">
        <w:t>electronic databases. Peer-reviewed publications by these authors were identified by both searching electronic databases (</w:t>
      </w:r>
      <w:r w:rsidR="00D5664A">
        <w:t>MEDLINE</w:t>
      </w:r>
      <w:r w:rsidRPr="001A3D2B">
        <w:t>/</w:t>
      </w:r>
      <w:r w:rsidR="002C12F0">
        <w:t>PUBMED</w:t>
      </w:r>
      <w:r w:rsidRPr="001A3D2B">
        <w:t>)</w:t>
      </w:r>
      <w:r w:rsidR="005853A9">
        <w:t xml:space="preserve"> and </w:t>
      </w:r>
      <w:r w:rsidRPr="001A3D2B">
        <w:t>personal communication with individual researchers. Results: Eighty-five New Zealand-based researchers involved in ophthalmology or vision science research published 446 articles in 84 scientific journals during</w:t>
      </w:r>
      <w:r w:rsidR="003A1917">
        <w:t xml:space="preserve"> the </w:t>
      </w:r>
      <w:r w:rsidRPr="001A3D2B">
        <w:t>10-year period</w:t>
      </w:r>
      <w:r w:rsidR="00A37C1D">
        <w:t>. The</w:t>
      </w:r>
      <w:r w:rsidR="003A1917">
        <w:t xml:space="preserve"> </w:t>
      </w:r>
      <w:r w:rsidRPr="001A3D2B">
        <w:t>cohort consisted</w:t>
      </w:r>
      <w:r w:rsidR="00427468">
        <w:t xml:space="preserve"> of </w:t>
      </w:r>
      <w:r w:rsidRPr="001A3D2B">
        <w:t>59 ophthalmologists</w:t>
      </w:r>
      <w:r w:rsidR="005853A9">
        <w:t xml:space="preserve"> and </w:t>
      </w:r>
      <w:r w:rsidRPr="001A3D2B">
        <w:t>26 other researchers based in a diverse range</w:t>
      </w:r>
      <w:r w:rsidR="00427468">
        <w:t xml:space="preserve"> of </w:t>
      </w:r>
      <w:r w:rsidRPr="001A3D2B">
        <w:t>ophthalmology, optometry</w:t>
      </w:r>
      <w:r w:rsidR="005853A9">
        <w:t xml:space="preserve"> and </w:t>
      </w:r>
      <w:r w:rsidRPr="001A3D2B">
        <w:t>university departments. Significant collaboration was observed between groups within New Zealand</w:t>
      </w:r>
      <w:r w:rsidR="005853A9">
        <w:t xml:space="preserve"> and </w:t>
      </w:r>
      <w:r w:rsidRPr="001A3D2B">
        <w:t>with international institutions. Comparing ophthalmologists</w:t>
      </w:r>
      <w:r w:rsidR="005853A9">
        <w:t xml:space="preserve"> and </w:t>
      </w:r>
      <w:r w:rsidR="0071223E">
        <w:t>‘</w:t>
      </w:r>
      <w:r w:rsidRPr="001A3D2B">
        <w:t>other</w:t>
      </w:r>
      <w:r w:rsidR="0071223E">
        <w:t>’</w:t>
      </w:r>
      <w:r w:rsidRPr="001A3D2B">
        <w:t xml:space="preserve"> researchers, ophthalmologists produced 69%</w:t>
      </w:r>
      <w:r w:rsidR="00427468">
        <w:t xml:space="preserve"> of </w:t>
      </w:r>
      <w:r w:rsidRPr="001A3D2B">
        <w:t>all ophthalmology</w:t>
      </w:r>
      <w:r w:rsidR="005853A9">
        <w:t xml:space="preserve"> and </w:t>
      </w:r>
      <w:r w:rsidRPr="001A3D2B">
        <w:t>vision science research publications</w:t>
      </w:r>
      <w:r w:rsidR="005853A9">
        <w:t xml:space="preserve"> and </w:t>
      </w:r>
      <w:r w:rsidRPr="001A3D2B">
        <w:t xml:space="preserve">those classified as </w:t>
      </w:r>
      <w:r w:rsidR="0071223E">
        <w:t>‘</w:t>
      </w:r>
      <w:r w:rsidRPr="001A3D2B">
        <w:t>active ophthalmologist researchers</w:t>
      </w:r>
      <w:r w:rsidR="0071223E">
        <w:t>’</w:t>
      </w:r>
      <w:r w:rsidRPr="001A3D2B">
        <w:t xml:space="preserve"> published an average</w:t>
      </w:r>
      <w:r w:rsidR="00427468">
        <w:t xml:space="preserve"> of </w:t>
      </w:r>
      <w:r w:rsidRPr="001A3D2B">
        <w:t>11 (range 5-55) papers each during this decade, compared to eight (range 5-25) for</w:t>
      </w:r>
      <w:r w:rsidR="003A1917">
        <w:t xml:space="preserve"> the </w:t>
      </w:r>
      <w:r w:rsidRPr="001A3D2B">
        <w:t xml:space="preserve">group </w:t>
      </w:r>
      <w:r w:rsidR="0071223E">
        <w:t>‘</w:t>
      </w:r>
      <w:r w:rsidRPr="001A3D2B">
        <w:t>other active researchers</w:t>
      </w:r>
      <w:r w:rsidR="0071223E">
        <w:t>’</w:t>
      </w:r>
      <w:r w:rsidRPr="001A3D2B">
        <w:t>. This was also reflected in</w:t>
      </w:r>
      <w:r w:rsidR="003A1917">
        <w:t xml:space="preserve"> the </w:t>
      </w:r>
      <w:r w:rsidRPr="001A3D2B">
        <w:t>high productivity rate by ophthalmologists</w:t>
      </w:r>
      <w:r w:rsidR="00427468">
        <w:t xml:space="preserve"> of </w:t>
      </w:r>
      <w:r w:rsidRPr="001A3D2B">
        <w:t>277 publications per 1000. Publications were identified in a wide range</w:t>
      </w:r>
      <w:r w:rsidR="00427468">
        <w:t xml:space="preserve"> of </w:t>
      </w:r>
      <w:r w:rsidRPr="001A3D2B">
        <w:t>journals with</w:t>
      </w:r>
      <w:r w:rsidR="003A1917">
        <w:t xml:space="preserve"> the </w:t>
      </w:r>
      <w:r w:rsidRPr="001A3D2B">
        <w:t>majority in top 20-ranked ophthalmology journals</w:t>
      </w:r>
      <w:r w:rsidR="00A37C1D">
        <w:t>. The</w:t>
      </w:r>
      <w:r w:rsidR="003A1917">
        <w:t xml:space="preserve"> </w:t>
      </w:r>
      <w:r w:rsidRPr="001A3D2B">
        <w:t>trend over</w:t>
      </w:r>
      <w:r w:rsidR="003A1917">
        <w:t xml:space="preserve"> the </w:t>
      </w:r>
      <w:r w:rsidRPr="001A3D2B">
        <w:t>decade highlighted an increase in number</w:t>
      </w:r>
      <w:r w:rsidR="00427468">
        <w:t xml:space="preserve"> of </w:t>
      </w:r>
      <w:r w:rsidRPr="001A3D2B">
        <w:t>scientific publications, from 43 per annum in 1993, to 68 per annum in 2002. Conclusions: Despite a relatively small</w:t>
      </w:r>
      <w:r w:rsidR="005853A9">
        <w:t xml:space="preserve"> and </w:t>
      </w:r>
      <w:r w:rsidRPr="001A3D2B">
        <w:t>geographically isolated population, New Zealand ophthalmology</w:t>
      </w:r>
      <w:r w:rsidR="005853A9">
        <w:t xml:space="preserve"> and </w:t>
      </w:r>
      <w:r w:rsidRPr="001A3D2B">
        <w:t>vision science research is highly active</w:t>
      </w:r>
      <w:r w:rsidR="005853A9">
        <w:t xml:space="preserve"> and </w:t>
      </w:r>
      <w:r w:rsidRPr="001A3D2B">
        <w:t>collaborative, with significantly increased research productivity during</w:t>
      </w:r>
      <w:r w:rsidR="003A1917">
        <w:t xml:space="preserve"> the </w:t>
      </w:r>
      <w:r w:rsidRPr="001A3D2B">
        <w:t>period 1993-2002</w:t>
      </w:r>
      <w:r w:rsidR="00A37C1D">
        <w:t>. The</w:t>
      </w:r>
      <w:r w:rsidR="003A1917">
        <w:t xml:space="preserve"> </w:t>
      </w:r>
      <w:r w:rsidRPr="001A3D2B">
        <w:t>present study is</w:t>
      </w:r>
      <w:r w:rsidR="003A1917">
        <w:t xml:space="preserve"> the </w:t>
      </w:r>
      <w:r w:rsidRPr="001A3D2B">
        <w:t>first to document these trends</w:t>
      </w:r>
      <w:r w:rsidR="005853A9">
        <w:t xml:space="preserve"> and </w:t>
      </w:r>
      <w:r w:rsidRPr="001A3D2B">
        <w:t>provides strong evidence to justify continued support for ophthalmology</w:t>
      </w:r>
      <w:r w:rsidR="005853A9">
        <w:t xml:space="preserve"> and </w:t>
      </w:r>
      <w:r w:rsidRPr="001A3D2B">
        <w:t>vision science research in New Zealand.</w:t>
      </w:r>
    </w:p>
    <w:p w:rsidR="003474F2" w:rsidRPr="001A3D2B" w:rsidRDefault="003474F2" w:rsidP="003474F2">
      <w:pPr>
        <w:pStyle w:val="a3"/>
      </w:pPr>
      <w:r w:rsidRPr="001A3D2B">
        <w:t>Keywords: Cohort, Collaboration, Communication, Databases, Evidence, First, Highly Active, Institutions, International, Journals, New Zealand, Papers, Population, Productivity, Professional Colleges, Publications, Research, Research Productivity, Science, Science Research, Scientific Journals, Scientific Publications, Small, Support, Trend, Trends, Universities, University</w:t>
      </w:r>
    </w:p>
    <w:p w:rsidR="006D1994" w:rsidRDefault="006D1994" w:rsidP="006D1994">
      <w:pPr>
        <w:pStyle w:val="a3"/>
        <w:rPr>
          <w:kern w:val="0"/>
        </w:rPr>
      </w:pPr>
      <w:r>
        <w:rPr>
          <w:rFonts w:hint="eastAsia"/>
          <w:kern w:val="0"/>
        </w:rPr>
        <w:t xml:space="preserve">? </w:t>
      </w:r>
      <w:r>
        <w:rPr>
          <w:kern w:val="0"/>
        </w:rPr>
        <w:t>Fan, J.C.</w:t>
      </w:r>
      <w:r w:rsidR="005853A9">
        <w:rPr>
          <w:kern w:val="0"/>
        </w:rPr>
        <w:t xml:space="preserve"> and </w:t>
      </w:r>
      <w:r>
        <w:rPr>
          <w:kern w:val="0"/>
        </w:rPr>
        <w:t>Mcghee, C.N.J. (2008), Citation analysis</w:t>
      </w:r>
      <w:r w:rsidR="00427468">
        <w:rPr>
          <w:kern w:val="0"/>
        </w:rPr>
        <w:t xml:space="preserve"> of </w:t>
      </w:r>
      <w:r w:rsidR="003A1917">
        <w:rPr>
          <w:kern w:val="0"/>
        </w:rPr>
        <w:t xml:space="preserve">the </w:t>
      </w:r>
      <w:r>
        <w:rPr>
          <w:kern w:val="0"/>
        </w:rPr>
        <w:t>most influential authors</w:t>
      </w:r>
      <w:r w:rsidR="005853A9">
        <w:rPr>
          <w:kern w:val="0"/>
        </w:rPr>
        <w:t xml:space="preserve"> and </w:t>
      </w:r>
      <w:r>
        <w:rPr>
          <w:kern w:val="0"/>
        </w:rPr>
        <w:t>ophthalmology journals in</w:t>
      </w:r>
      <w:r w:rsidR="003A1917">
        <w:rPr>
          <w:kern w:val="0"/>
        </w:rPr>
        <w:t xml:space="preserve"> the </w:t>
      </w:r>
      <w:r>
        <w:rPr>
          <w:kern w:val="0"/>
        </w:rPr>
        <w:t>field</w:t>
      </w:r>
      <w:r w:rsidR="00427468">
        <w:rPr>
          <w:kern w:val="0"/>
        </w:rPr>
        <w:t xml:space="preserve"> of </w:t>
      </w:r>
      <w:r>
        <w:rPr>
          <w:kern w:val="0"/>
        </w:rPr>
        <w:t>cataract</w:t>
      </w:r>
      <w:r w:rsidR="005853A9">
        <w:rPr>
          <w:kern w:val="0"/>
        </w:rPr>
        <w:t xml:space="preserve"> and </w:t>
      </w:r>
      <w:r>
        <w:rPr>
          <w:kern w:val="0"/>
        </w:rPr>
        <w:t xml:space="preserve">corneal refractive surgery 2000-2004. </w:t>
      </w:r>
      <w:r>
        <w:rPr>
          <w:i/>
          <w:iCs/>
          <w:kern w:val="0"/>
        </w:rPr>
        <w:t>Clinical</w:t>
      </w:r>
      <w:r w:rsidR="005853A9">
        <w:rPr>
          <w:i/>
          <w:iCs/>
          <w:kern w:val="0"/>
        </w:rPr>
        <w:t xml:space="preserve"> and </w:t>
      </w:r>
      <w:r>
        <w:rPr>
          <w:i/>
          <w:iCs/>
          <w:kern w:val="0"/>
        </w:rPr>
        <w:t>Experimental Ophthalmology</w:t>
      </w:r>
      <w:r>
        <w:rPr>
          <w:kern w:val="0"/>
        </w:rPr>
        <w:t xml:space="preserve">, </w:t>
      </w:r>
      <w:r>
        <w:rPr>
          <w:b/>
          <w:bCs/>
          <w:kern w:val="0"/>
        </w:rPr>
        <w:t>36</w:t>
      </w:r>
      <w:r>
        <w:rPr>
          <w:kern w:val="0"/>
        </w:rPr>
        <w:t xml:space="preserve"> (1), 54-61.</w:t>
      </w:r>
    </w:p>
    <w:p w:rsidR="006D1994" w:rsidRPr="00C73C58" w:rsidRDefault="006D1994" w:rsidP="006D1994">
      <w:pPr>
        <w:pStyle w:val="a3"/>
      </w:pPr>
      <w:r w:rsidRPr="00C73C58">
        <w:t xml:space="preserve">Full Text: </w:t>
      </w:r>
      <w:hyperlink r:id="rId352" w:history="1">
        <w:r w:rsidR="00DA69BB" w:rsidRPr="00DA69BB">
          <w:rPr>
            <w:rStyle w:val="a5"/>
          </w:rPr>
          <w:t>2008\Cli Exp Oph36, 54.pdf</w:t>
        </w:r>
      </w:hyperlink>
    </w:p>
    <w:p w:rsidR="006D1994" w:rsidRDefault="006D1994" w:rsidP="006D1994">
      <w:pPr>
        <w:pStyle w:val="a3"/>
        <w:rPr>
          <w:kern w:val="0"/>
        </w:rPr>
      </w:pPr>
      <w:r>
        <w:rPr>
          <w:kern w:val="0"/>
        </w:rPr>
        <w:t>Abstract: Purpose: To identify</w:t>
      </w:r>
      <w:r w:rsidR="003A1917">
        <w:rPr>
          <w:kern w:val="0"/>
        </w:rPr>
        <w:t xml:space="preserve"> the </w:t>
      </w:r>
      <w:r>
        <w:rPr>
          <w:kern w:val="0"/>
        </w:rPr>
        <w:t>most published authors on</w:t>
      </w:r>
      <w:r w:rsidR="003A1917">
        <w:rPr>
          <w:kern w:val="0"/>
        </w:rPr>
        <w:t xml:space="preserve"> the </w:t>
      </w:r>
      <w:r>
        <w:rPr>
          <w:kern w:val="0"/>
        </w:rPr>
        <w:t>topics</w:t>
      </w:r>
      <w:r w:rsidR="00427468">
        <w:rPr>
          <w:kern w:val="0"/>
        </w:rPr>
        <w:t xml:space="preserve"> of </w:t>
      </w:r>
      <w:r w:rsidR="0071223E">
        <w:rPr>
          <w:kern w:val="0"/>
        </w:rPr>
        <w:t>‘</w:t>
      </w:r>
      <w:r>
        <w:rPr>
          <w:kern w:val="0"/>
        </w:rPr>
        <w:t>cataract</w:t>
      </w:r>
      <w:r w:rsidR="0071223E">
        <w:rPr>
          <w:kern w:val="0"/>
        </w:rPr>
        <w:t>’</w:t>
      </w:r>
      <w:r w:rsidR="005853A9">
        <w:rPr>
          <w:kern w:val="0"/>
        </w:rPr>
        <w:t xml:space="preserve"> and </w:t>
      </w:r>
      <w:r w:rsidR="0071223E">
        <w:rPr>
          <w:kern w:val="0"/>
        </w:rPr>
        <w:t>‘</w:t>
      </w:r>
      <w:r>
        <w:rPr>
          <w:kern w:val="0"/>
        </w:rPr>
        <w:t>LASIK</w:t>
      </w:r>
      <w:r w:rsidR="0071223E">
        <w:rPr>
          <w:kern w:val="0"/>
        </w:rPr>
        <w:t>’</w:t>
      </w:r>
      <w:r>
        <w:rPr>
          <w:kern w:val="0"/>
        </w:rPr>
        <w:t>,</w:t>
      </w:r>
      <w:r w:rsidR="003A1917">
        <w:rPr>
          <w:kern w:val="0"/>
        </w:rPr>
        <w:t xml:space="preserve"> the </w:t>
      </w:r>
      <w:r>
        <w:rPr>
          <w:kern w:val="0"/>
        </w:rPr>
        <w:t>journals in which they publish,</w:t>
      </w:r>
      <w:r w:rsidR="005853A9">
        <w:rPr>
          <w:kern w:val="0"/>
        </w:rPr>
        <w:t xml:space="preserve"> and </w:t>
      </w:r>
      <w:r w:rsidR="003A1917">
        <w:rPr>
          <w:kern w:val="0"/>
        </w:rPr>
        <w:t xml:space="preserve">the </w:t>
      </w:r>
      <w:r>
        <w:rPr>
          <w:kern w:val="0"/>
        </w:rPr>
        <w:t>citation patterns</w:t>
      </w:r>
      <w:r w:rsidR="00427468">
        <w:rPr>
          <w:kern w:val="0"/>
        </w:rPr>
        <w:t xml:space="preserve"> of </w:t>
      </w:r>
      <w:r w:rsidR="003A1917">
        <w:rPr>
          <w:kern w:val="0"/>
        </w:rPr>
        <w:t xml:space="preserve">the </w:t>
      </w:r>
      <w:r>
        <w:rPr>
          <w:kern w:val="0"/>
        </w:rPr>
        <w:lastRenderedPageBreak/>
        <w:t>most-cited articles by these authors over a 5-year publication period. Methods: Science Citation Index Expanded (SCI) was used to identify</w:t>
      </w:r>
      <w:r w:rsidR="003A1917">
        <w:rPr>
          <w:kern w:val="0"/>
        </w:rPr>
        <w:t xml:space="preserve"> the </w:t>
      </w:r>
      <w:r>
        <w:rPr>
          <w:kern w:val="0"/>
        </w:rPr>
        <w:t xml:space="preserve">30 most-published authors in </w:t>
      </w:r>
      <w:r w:rsidR="0071223E">
        <w:rPr>
          <w:kern w:val="0"/>
        </w:rPr>
        <w:t>‘</w:t>
      </w:r>
      <w:r>
        <w:rPr>
          <w:kern w:val="0"/>
        </w:rPr>
        <w:t>cataract</w:t>
      </w:r>
      <w:r w:rsidR="0071223E">
        <w:rPr>
          <w:kern w:val="0"/>
        </w:rPr>
        <w:t>’</w:t>
      </w:r>
      <w:r w:rsidR="005853A9">
        <w:rPr>
          <w:kern w:val="0"/>
        </w:rPr>
        <w:t xml:space="preserve"> and </w:t>
      </w:r>
      <w:r w:rsidR="0071223E">
        <w:rPr>
          <w:kern w:val="0"/>
        </w:rPr>
        <w:t>‘</w:t>
      </w:r>
      <w:r>
        <w:rPr>
          <w:kern w:val="0"/>
        </w:rPr>
        <w:t>laser in situ keratomileusis</w:t>
      </w:r>
      <w:r w:rsidR="0071223E">
        <w:rPr>
          <w:kern w:val="0"/>
        </w:rPr>
        <w:t>’</w:t>
      </w:r>
      <w:r>
        <w:rPr>
          <w:kern w:val="0"/>
        </w:rPr>
        <w:t xml:space="preserve"> (LASIK) (2000-2004 inclusive). SCI was subsequently used to analyse</w:t>
      </w:r>
      <w:r w:rsidR="003A1917">
        <w:rPr>
          <w:kern w:val="0"/>
        </w:rPr>
        <w:t xml:space="preserve"> the </w:t>
      </w:r>
      <w:r>
        <w:rPr>
          <w:kern w:val="0"/>
        </w:rPr>
        <w:t>recorded articles for each author in terms</w:t>
      </w:r>
      <w:r w:rsidR="00427468">
        <w:rPr>
          <w:kern w:val="0"/>
        </w:rPr>
        <w:t xml:space="preserve"> of </w:t>
      </w:r>
      <w:r>
        <w:rPr>
          <w:kern w:val="0"/>
        </w:rPr>
        <w:t>source journal,</w:t>
      </w:r>
      <w:r w:rsidR="003A1917">
        <w:rPr>
          <w:kern w:val="0"/>
        </w:rPr>
        <w:t xml:space="preserve"> the </w:t>
      </w:r>
      <w:r>
        <w:rPr>
          <w:kern w:val="0"/>
        </w:rPr>
        <w:t>most commonly cited articles</w:t>
      </w:r>
      <w:r w:rsidR="005853A9">
        <w:rPr>
          <w:kern w:val="0"/>
        </w:rPr>
        <w:t xml:space="preserve"> and </w:t>
      </w:r>
      <w:r>
        <w:rPr>
          <w:kern w:val="0"/>
        </w:rPr>
        <w:t>citation source. Results:</w:t>
      </w:r>
      <w:r w:rsidR="00427468">
        <w:rPr>
          <w:kern w:val="0"/>
        </w:rPr>
        <w:t xml:space="preserve"> of </w:t>
      </w:r>
      <w:r w:rsidR="003A1917">
        <w:rPr>
          <w:kern w:val="0"/>
        </w:rPr>
        <w:t xml:space="preserve">the </w:t>
      </w:r>
      <w:r>
        <w:rPr>
          <w:kern w:val="0"/>
        </w:rPr>
        <w:t>30 most-published authors in</w:t>
      </w:r>
      <w:r w:rsidR="003A1917">
        <w:rPr>
          <w:kern w:val="0"/>
        </w:rPr>
        <w:t xml:space="preserve"> the </w:t>
      </w:r>
      <w:r>
        <w:rPr>
          <w:kern w:val="0"/>
        </w:rPr>
        <w:t>fields</w:t>
      </w:r>
      <w:r w:rsidR="00427468">
        <w:rPr>
          <w:kern w:val="0"/>
        </w:rPr>
        <w:t xml:space="preserve"> of </w:t>
      </w:r>
      <w:r>
        <w:rPr>
          <w:kern w:val="0"/>
        </w:rPr>
        <w:t>cataract</w:t>
      </w:r>
      <w:r w:rsidR="005853A9">
        <w:rPr>
          <w:kern w:val="0"/>
        </w:rPr>
        <w:t xml:space="preserve"> and </w:t>
      </w:r>
      <w:r>
        <w:rPr>
          <w:kern w:val="0"/>
        </w:rPr>
        <w:t>LASIK,</w:t>
      </w:r>
      <w:r w:rsidR="003A1917">
        <w:rPr>
          <w:kern w:val="0"/>
        </w:rPr>
        <w:t xml:space="preserve"> the </w:t>
      </w:r>
      <w:r w:rsidR="00D5664A">
        <w:rPr>
          <w:kern w:val="0"/>
        </w:rPr>
        <w:t>USA</w:t>
      </w:r>
      <w:r>
        <w:rPr>
          <w:kern w:val="0"/>
        </w:rPr>
        <w:t xml:space="preserve"> was</w:t>
      </w:r>
      <w:r w:rsidR="003A1917">
        <w:rPr>
          <w:kern w:val="0"/>
        </w:rPr>
        <w:t xml:space="preserve"> the </w:t>
      </w:r>
      <w:r>
        <w:rPr>
          <w:kern w:val="0"/>
        </w:rPr>
        <w:t>most well-represented source country, accounting for 33%; 20% were from Australia,</w:t>
      </w:r>
      <w:r w:rsidR="005853A9">
        <w:rPr>
          <w:kern w:val="0"/>
        </w:rPr>
        <w:t xml:space="preserve"> and </w:t>
      </w:r>
      <w:r>
        <w:rPr>
          <w:kern w:val="0"/>
        </w:rPr>
        <w:t>17% from Austria. Germany</w:t>
      </w:r>
      <w:r w:rsidR="005853A9">
        <w:rPr>
          <w:kern w:val="0"/>
        </w:rPr>
        <w:t xml:space="preserve"> and </w:t>
      </w:r>
      <w:r>
        <w:rPr>
          <w:kern w:val="0"/>
        </w:rPr>
        <w:t>Japan each contributed 7%. Eighty per cent</w:t>
      </w:r>
      <w:r w:rsidR="00427468">
        <w:rPr>
          <w:kern w:val="0"/>
        </w:rPr>
        <w:t xml:space="preserve"> of </w:t>
      </w:r>
      <w:r w:rsidR="003A1917">
        <w:rPr>
          <w:kern w:val="0"/>
        </w:rPr>
        <w:t xml:space="preserve">the </w:t>
      </w:r>
      <w:r>
        <w:rPr>
          <w:kern w:val="0"/>
        </w:rPr>
        <w:t>publications produced by these 30 authors (2000-2004) were in 10 journals,</w:t>
      </w:r>
      <w:r w:rsidR="00427468">
        <w:rPr>
          <w:kern w:val="0"/>
        </w:rPr>
        <w:t xml:space="preserve"> of </w:t>
      </w:r>
      <w:r>
        <w:rPr>
          <w:kern w:val="0"/>
        </w:rPr>
        <w:t>which</w:t>
      </w:r>
      <w:r w:rsidR="003A1917">
        <w:rPr>
          <w:kern w:val="0"/>
        </w:rPr>
        <w:t xml:space="preserve"> the </w:t>
      </w:r>
      <w:r>
        <w:rPr>
          <w:kern w:val="0"/>
        </w:rPr>
        <w:t>Journal</w:t>
      </w:r>
      <w:r w:rsidR="00427468">
        <w:rPr>
          <w:kern w:val="0"/>
        </w:rPr>
        <w:t xml:space="preserve"> of </w:t>
      </w:r>
      <w:r>
        <w:rPr>
          <w:kern w:val="0"/>
        </w:rPr>
        <w:t>Cataract</w:t>
      </w:r>
      <w:r w:rsidR="005853A9">
        <w:rPr>
          <w:kern w:val="0"/>
        </w:rPr>
        <w:t xml:space="preserve"> and </w:t>
      </w:r>
      <w:r>
        <w:rPr>
          <w:kern w:val="0"/>
        </w:rPr>
        <w:t>Refractive Surgery (JCRS) published more than one-third.</w:t>
      </w:r>
      <w:r w:rsidR="00427468">
        <w:rPr>
          <w:kern w:val="0"/>
        </w:rPr>
        <w:t xml:space="preserve"> of </w:t>
      </w:r>
      <w:r w:rsidR="003A1917">
        <w:rPr>
          <w:kern w:val="0"/>
        </w:rPr>
        <w:t xml:space="preserve">the </w:t>
      </w:r>
      <w:r>
        <w:rPr>
          <w:kern w:val="0"/>
        </w:rPr>
        <w:t>three most-cited articles for each author,</w:t>
      </w:r>
      <w:r w:rsidR="003A1917">
        <w:rPr>
          <w:kern w:val="0"/>
        </w:rPr>
        <w:t xml:space="preserve"> the </w:t>
      </w:r>
      <w:r>
        <w:rPr>
          <w:kern w:val="0"/>
        </w:rPr>
        <w:t>greatest number were published in JCRS (35.6%)</w:t>
      </w:r>
      <w:r w:rsidR="00A37C1D">
        <w:rPr>
          <w:kern w:val="0"/>
        </w:rPr>
        <w:t>. The</w:t>
      </w:r>
      <w:r w:rsidR="003A1917">
        <w:rPr>
          <w:kern w:val="0"/>
        </w:rPr>
        <w:t xml:space="preserve"> </w:t>
      </w:r>
      <w:r>
        <w:rPr>
          <w:kern w:val="0"/>
        </w:rPr>
        <w:t>citation count</w:t>
      </w:r>
      <w:r w:rsidR="00427468">
        <w:rPr>
          <w:kern w:val="0"/>
        </w:rPr>
        <w:t xml:space="preserve"> of </w:t>
      </w:r>
      <w:r w:rsidR="003A1917">
        <w:rPr>
          <w:kern w:val="0"/>
        </w:rPr>
        <w:t xml:space="preserve">the </w:t>
      </w:r>
      <w:r>
        <w:rPr>
          <w:kern w:val="0"/>
        </w:rPr>
        <w:t>articles had a weak correlation to</w:t>
      </w:r>
      <w:r w:rsidR="003A1917">
        <w:rPr>
          <w:kern w:val="0"/>
        </w:rPr>
        <w:t xml:space="preserve"> the </w:t>
      </w:r>
      <w:r>
        <w:rPr>
          <w:kern w:val="0"/>
        </w:rPr>
        <w:t>journal impact factor</w:t>
      </w:r>
      <w:r w:rsidR="00427468">
        <w:rPr>
          <w:kern w:val="0"/>
        </w:rPr>
        <w:t xml:space="preserve"> of </w:t>
      </w:r>
      <w:r w:rsidR="003A1917">
        <w:rPr>
          <w:kern w:val="0"/>
        </w:rPr>
        <w:t xml:space="preserve">the </w:t>
      </w:r>
      <w:r>
        <w:rPr>
          <w:kern w:val="0"/>
        </w:rPr>
        <w:t>source journal; however,</w:t>
      </w:r>
      <w:r w:rsidR="003A1917">
        <w:rPr>
          <w:kern w:val="0"/>
        </w:rPr>
        <w:t xml:space="preserve"> the </w:t>
      </w:r>
      <w:r>
        <w:rPr>
          <w:kern w:val="0"/>
        </w:rPr>
        <w:t>self-citation rate</w:t>
      </w:r>
      <w:r w:rsidR="00427468">
        <w:rPr>
          <w:kern w:val="0"/>
        </w:rPr>
        <w:t xml:space="preserve"> of </w:t>
      </w:r>
      <w:r>
        <w:rPr>
          <w:kern w:val="0"/>
        </w:rPr>
        <w:t>these articles did not. Conclusions:</w:t>
      </w:r>
      <w:r w:rsidR="003A1917">
        <w:rPr>
          <w:kern w:val="0"/>
        </w:rPr>
        <w:t xml:space="preserve"> the </w:t>
      </w:r>
      <w:r w:rsidR="00D5664A">
        <w:rPr>
          <w:kern w:val="0"/>
        </w:rPr>
        <w:t>USA</w:t>
      </w:r>
      <w:r w:rsidR="005853A9">
        <w:rPr>
          <w:kern w:val="0"/>
        </w:rPr>
        <w:t xml:space="preserve"> and </w:t>
      </w:r>
      <w:r>
        <w:rPr>
          <w:kern w:val="0"/>
        </w:rPr>
        <w:t>Australia together were</w:t>
      </w:r>
      <w:r w:rsidR="003A1917">
        <w:rPr>
          <w:kern w:val="0"/>
        </w:rPr>
        <w:t xml:space="preserve"> the </w:t>
      </w:r>
      <w:r>
        <w:rPr>
          <w:kern w:val="0"/>
        </w:rPr>
        <w:t>source</w:t>
      </w:r>
      <w:r w:rsidR="00427468">
        <w:rPr>
          <w:kern w:val="0"/>
        </w:rPr>
        <w:t xml:space="preserve"> of </w:t>
      </w:r>
      <w:r>
        <w:rPr>
          <w:kern w:val="0"/>
        </w:rPr>
        <w:t>more than half</w:t>
      </w:r>
      <w:r w:rsidR="00427468">
        <w:rPr>
          <w:kern w:val="0"/>
        </w:rPr>
        <w:t xml:space="preserve"> of </w:t>
      </w:r>
      <w:r w:rsidR="003A1917">
        <w:rPr>
          <w:kern w:val="0"/>
        </w:rPr>
        <w:t xml:space="preserve">the </w:t>
      </w:r>
      <w:r>
        <w:rPr>
          <w:kern w:val="0"/>
        </w:rPr>
        <w:t>most-published authors on cataract</w:t>
      </w:r>
      <w:r w:rsidR="005853A9">
        <w:rPr>
          <w:kern w:val="0"/>
        </w:rPr>
        <w:t xml:space="preserve"> and </w:t>
      </w:r>
      <w:r>
        <w:rPr>
          <w:kern w:val="0"/>
        </w:rPr>
        <w:t>LASIK</w:t>
      </w:r>
      <w:r w:rsidR="005853A9">
        <w:rPr>
          <w:kern w:val="0"/>
        </w:rPr>
        <w:t xml:space="preserve"> and </w:t>
      </w:r>
      <w:r w:rsidR="003A1917">
        <w:rPr>
          <w:kern w:val="0"/>
        </w:rPr>
        <w:t xml:space="preserve">the </w:t>
      </w:r>
      <w:r>
        <w:rPr>
          <w:kern w:val="0"/>
        </w:rPr>
        <w:t>majority</w:t>
      </w:r>
      <w:r w:rsidR="00427468">
        <w:rPr>
          <w:kern w:val="0"/>
        </w:rPr>
        <w:t xml:space="preserve"> of </w:t>
      </w:r>
      <w:r>
        <w:rPr>
          <w:kern w:val="0"/>
        </w:rPr>
        <w:t>articles published by</w:t>
      </w:r>
      <w:r w:rsidR="003A1917">
        <w:rPr>
          <w:kern w:val="0"/>
        </w:rPr>
        <w:t xml:space="preserve"> the </w:t>
      </w:r>
      <w:r>
        <w:rPr>
          <w:kern w:val="0"/>
        </w:rPr>
        <w:t>30 most prolific authors were published in only 10 journals</w:t>
      </w:r>
      <w:r w:rsidR="00A37C1D">
        <w:rPr>
          <w:kern w:val="0"/>
        </w:rPr>
        <w:t>. The</w:t>
      </w:r>
      <w:r w:rsidR="003A1917">
        <w:rPr>
          <w:kern w:val="0"/>
        </w:rPr>
        <w:t xml:space="preserve"> </w:t>
      </w:r>
      <w:r>
        <w:rPr>
          <w:kern w:val="0"/>
        </w:rPr>
        <w:t>impact factors</w:t>
      </w:r>
      <w:r w:rsidR="00427468">
        <w:rPr>
          <w:kern w:val="0"/>
        </w:rPr>
        <w:t xml:space="preserve"> of </w:t>
      </w:r>
      <w:r w:rsidR="003A1917">
        <w:rPr>
          <w:kern w:val="0"/>
        </w:rPr>
        <w:t xml:space="preserve">the </w:t>
      </w:r>
      <w:r>
        <w:rPr>
          <w:kern w:val="0"/>
        </w:rPr>
        <w:t>publication journals preferred by these authors are influenced by</w:t>
      </w:r>
      <w:r w:rsidR="003A1917">
        <w:rPr>
          <w:kern w:val="0"/>
        </w:rPr>
        <w:t xml:space="preserve"> the </w:t>
      </w:r>
      <w:r>
        <w:rPr>
          <w:kern w:val="0"/>
        </w:rPr>
        <w:t>article citation counts, not vice versa.</w:t>
      </w:r>
    </w:p>
    <w:p w:rsidR="006D1994" w:rsidRDefault="006D1994" w:rsidP="006D1994">
      <w:pPr>
        <w:pStyle w:val="a3"/>
        <w:rPr>
          <w:kern w:val="0"/>
        </w:rPr>
      </w:pPr>
      <w:r>
        <w:rPr>
          <w:kern w:val="0"/>
        </w:rPr>
        <w:t>Keywords: Articles, Association, Australia, Cataract, Citation, Citation Analysis, Citation Count, Citation Counts, Correlation, Germany, Impact, Impact Factor, Impact Factors, Impact-Factor, Indexes, Intravitreal Triamcinolone, Journal, Journal Impact, Journal Impact Factor, Journals, Lasik, Macular Edema, Microvascular Complications, Most-Cited Articles, Ophthalmology Publication, Productivity, Publication, Publications, Quality, Refractive Surgery</w:t>
      </w:r>
      <w:r w:rsidR="00D5664A">
        <w:rPr>
          <w:kern w:val="0"/>
        </w:rPr>
        <w:t>, SCI,</w:t>
      </w:r>
      <w:r>
        <w:rPr>
          <w:kern w:val="0"/>
        </w:rPr>
        <w:t xml:space="preserve"> Science, Science Citation Index, Self-Citation, Surgery, Topics, </w:t>
      </w:r>
      <w:r w:rsidR="00D5664A">
        <w:rPr>
          <w:kern w:val="0"/>
        </w:rPr>
        <w:t>USA</w:t>
      </w:r>
    </w:p>
    <w:p w:rsidR="00331531" w:rsidRDefault="00331531" w:rsidP="00331531">
      <w:pPr>
        <w:pStyle w:val="a3"/>
        <w:rPr>
          <w:kern w:val="0"/>
        </w:rPr>
      </w:pPr>
      <w:r>
        <w:rPr>
          <w:rFonts w:hint="eastAsia"/>
          <w:kern w:val="0"/>
        </w:rPr>
        <w:t>Notes: JJournal</w:t>
      </w:r>
    </w:p>
    <w:p w:rsidR="00521804" w:rsidRDefault="00521804" w:rsidP="00331531">
      <w:pPr>
        <w:pStyle w:val="a3"/>
        <w:rPr>
          <w:kern w:val="0"/>
        </w:rPr>
      </w:pPr>
      <w:r>
        <w:rPr>
          <w:rFonts w:hint="eastAsia"/>
          <w:kern w:val="0"/>
        </w:rPr>
        <w:t xml:space="preserve">? </w:t>
      </w:r>
      <w:r>
        <w:rPr>
          <w:kern w:val="0"/>
        </w:rPr>
        <w:t>Chou, C.Y., Chew, S.S.L., Patel, D.V., Ormonde, S.E.</w:t>
      </w:r>
      <w:r w:rsidR="005853A9">
        <w:rPr>
          <w:kern w:val="0"/>
        </w:rPr>
        <w:t xml:space="preserve"> and </w:t>
      </w:r>
      <w:r>
        <w:rPr>
          <w:kern w:val="0"/>
        </w:rPr>
        <w:t xml:space="preserve">Mcghee, C.N.J. (2009), </w:t>
      </w:r>
      <w:r w:rsidR="00331531" w:rsidRPr="00331531">
        <w:rPr>
          <w:kern w:val="0"/>
        </w:rPr>
        <w:t>Publication</w:t>
      </w:r>
      <w:r w:rsidR="005853A9">
        <w:rPr>
          <w:kern w:val="0"/>
        </w:rPr>
        <w:t xml:space="preserve"> and </w:t>
      </w:r>
      <w:r w:rsidR="00331531" w:rsidRPr="00331531">
        <w:rPr>
          <w:kern w:val="0"/>
        </w:rPr>
        <w:t>citation analysis</w:t>
      </w:r>
      <w:r w:rsidR="00427468">
        <w:rPr>
          <w:kern w:val="0"/>
        </w:rPr>
        <w:t xml:space="preserve"> of </w:t>
      </w:r>
      <w:r w:rsidR="003A1917">
        <w:rPr>
          <w:kern w:val="0"/>
        </w:rPr>
        <w:t xml:space="preserve">the </w:t>
      </w:r>
      <w:r w:rsidR="00331531" w:rsidRPr="00331531">
        <w:rPr>
          <w:i/>
          <w:kern w:val="0"/>
        </w:rPr>
        <w:t>Australian</w:t>
      </w:r>
      <w:r w:rsidR="005853A9">
        <w:rPr>
          <w:rFonts w:hint="eastAsia"/>
          <w:i/>
          <w:kern w:val="0"/>
        </w:rPr>
        <w:t xml:space="preserve"> and </w:t>
      </w:r>
      <w:r w:rsidR="00331531" w:rsidRPr="00331531">
        <w:rPr>
          <w:i/>
          <w:kern w:val="0"/>
        </w:rPr>
        <w:t>New Zealand Journal</w:t>
      </w:r>
      <w:r w:rsidR="00427468">
        <w:rPr>
          <w:i/>
          <w:kern w:val="0"/>
        </w:rPr>
        <w:t xml:space="preserve"> of </w:t>
      </w:r>
      <w:r w:rsidR="00331531" w:rsidRPr="00331531">
        <w:rPr>
          <w:i/>
          <w:kern w:val="0"/>
        </w:rPr>
        <w:t>Ophthalmology</w:t>
      </w:r>
      <w:r w:rsidR="005853A9">
        <w:rPr>
          <w:kern w:val="0"/>
        </w:rPr>
        <w:t xml:space="preserve"> and </w:t>
      </w:r>
      <w:r w:rsidR="00331531" w:rsidRPr="00331531">
        <w:rPr>
          <w:i/>
          <w:kern w:val="0"/>
        </w:rPr>
        <w:t>Clinical</w:t>
      </w:r>
      <w:r w:rsidR="005853A9">
        <w:rPr>
          <w:i/>
          <w:kern w:val="0"/>
        </w:rPr>
        <w:t xml:space="preserve"> and </w:t>
      </w:r>
      <w:r w:rsidR="00331531" w:rsidRPr="00331531">
        <w:rPr>
          <w:i/>
          <w:kern w:val="0"/>
        </w:rPr>
        <w:t>Experimental Ophthalmology</w:t>
      </w:r>
      <w:r w:rsidR="00331531" w:rsidRPr="00331531">
        <w:rPr>
          <w:kern w:val="0"/>
        </w:rPr>
        <w:t xml:space="preserve"> over a</w:t>
      </w:r>
      <w:r w:rsidR="00331531">
        <w:rPr>
          <w:rFonts w:hint="eastAsia"/>
          <w:kern w:val="0"/>
        </w:rPr>
        <w:t xml:space="preserve"> </w:t>
      </w:r>
      <w:r w:rsidR="00331531" w:rsidRPr="00331531">
        <w:rPr>
          <w:kern w:val="0"/>
        </w:rPr>
        <w:t>10-year period:</w:t>
      </w:r>
      <w:r w:rsidR="003A1917">
        <w:rPr>
          <w:kern w:val="0"/>
        </w:rPr>
        <w:t xml:space="preserve"> the </w:t>
      </w:r>
      <w:r w:rsidR="00331531" w:rsidRPr="00331531">
        <w:rPr>
          <w:kern w:val="0"/>
        </w:rPr>
        <w:t>evolution</w:t>
      </w:r>
      <w:r w:rsidR="00427468">
        <w:rPr>
          <w:kern w:val="0"/>
        </w:rPr>
        <w:t xml:space="preserve"> of </w:t>
      </w:r>
      <w:r w:rsidR="00331531" w:rsidRPr="00331531">
        <w:rPr>
          <w:kern w:val="0"/>
        </w:rPr>
        <w:t>an</w:t>
      </w:r>
      <w:r w:rsidR="00331531">
        <w:rPr>
          <w:rFonts w:hint="eastAsia"/>
          <w:kern w:val="0"/>
        </w:rPr>
        <w:t xml:space="preserve"> </w:t>
      </w:r>
      <w:r w:rsidR="00331531" w:rsidRPr="00331531">
        <w:rPr>
          <w:kern w:val="0"/>
        </w:rPr>
        <w:t>ophthalmology</w:t>
      </w:r>
      <w:r>
        <w:rPr>
          <w:kern w:val="0"/>
        </w:rPr>
        <w:t xml:space="preserve">. </w:t>
      </w:r>
      <w:r>
        <w:rPr>
          <w:i/>
          <w:iCs/>
          <w:kern w:val="0"/>
        </w:rPr>
        <w:t>Clinical</w:t>
      </w:r>
      <w:r w:rsidR="005853A9">
        <w:rPr>
          <w:i/>
          <w:iCs/>
          <w:kern w:val="0"/>
        </w:rPr>
        <w:t xml:space="preserve"> and </w:t>
      </w:r>
      <w:r>
        <w:rPr>
          <w:i/>
          <w:iCs/>
          <w:kern w:val="0"/>
        </w:rPr>
        <w:t>Experimental Ophthalmology</w:t>
      </w:r>
      <w:r>
        <w:rPr>
          <w:kern w:val="0"/>
        </w:rPr>
        <w:t xml:space="preserve">, </w:t>
      </w:r>
      <w:r>
        <w:rPr>
          <w:b/>
          <w:bCs/>
          <w:kern w:val="0"/>
        </w:rPr>
        <w:t>37</w:t>
      </w:r>
      <w:r>
        <w:rPr>
          <w:kern w:val="0"/>
        </w:rPr>
        <w:t xml:space="preserve"> (9), 868-873.</w:t>
      </w:r>
    </w:p>
    <w:p w:rsidR="00521804" w:rsidRPr="001A3D2B" w:rsidRDefault="00521804" w:rsidP="00521804">
      <w:pPr>
        <w:pStyle w:val="a3"/>
      </w:pPr>
      <w:r w:rsidRPr="001A3D2B">
        <w:t xml:space="preserve">Full Text: </w:t>
      </w:r>
      <w:hyperlink r:id="rId353" w:history="1">
        <w:r w:rsidR="00331531" w:rsidRPr="00331531">
          <w:rPr>
            <w:rStyle w:val="a5"/>
          </w:rPr>
          <w:t>2009\Cli Exp Oph37, 868.pdf</w:t>
        </w:r>
      </w:hyperlink>
    </w:p>
    <w:p w:rsidR="00521804" w:rsidRDefault="00521804" w:rsidP="00521804">
      <w:pPr>
        <w:pStyle w:val="a3"/>
        <w:rPr>
          <w:kern w:val="0"/>
        </w:rPr>
      </w:pPr>
      <w:r>
        <w:rPr>
          <w:kern w:val="0"/>
        </w:rPr>
        <w:t>Abstract: P&gt;Purpose: To analyse</w:t>
      </w:r>
      <w:r w:rsidR="003A1917">
        <w:rPr>
          <w:kern w:val="0"/>
        </w:rPr>
        <w:t xml:space="preserve"> the </w:t>
      </w:r>
      <w:r>
        <w:rPr>
          <w:kern w:val="0"/>
        </w:rPr>
        <w:t>pattern</w:t>
      </w:r>
      <w:r w:rsidR="00427468">
        <w:rPr>
          <w:kern w:val="0"/>
        </w:rPr>
        <w:t xml:space="preserve"> of </w:t>
      </w:r>
      <w:r>
        <w:rPr>
          <w:kern w:val="0"/>
        </w:rPr>
        <w:t>change in publication content</w:t>
      </w:r>
      <w:r w:rsidR="005853A9">
        <w:rPr>
          <w:kern w:val="0"/>
        </w:rPr>
        <w:t xml:space="preserve"> and </w:t>
      </w:r>
      <w:r>
        <w:rPr>
          <w:kern w:val="0"/>
        </w:rPr>
        <w:t>citations generated by a mid-ranking ophthalmology journal as it evolved from</w:t>
      </w:r>
      <w:r w:rsidR="003A1917">
        <w:rPr>
          <w:kern w:val="0"/>
        </w:rPr>
        <w:t xml:space="preserve"> the </w:t>
      </w:r>
      <w:r>
        <w:rPr>
          <w:kern w:val="0"/>
        </w:rPr>
        <w:t>Australian</w:t>
      </w:r>
      <w:r w:rsidR="005853A9">
        <w:rPr>
          <w:kern w:val="0"/>
        </w:rPr>
        <w:t xml:space="preserve"> and </w:t>
      </w:r>
      <w:r>
        <w:rPr>
          <w:kern w:val="0"/>
        </w:rPr>
        <w:t>New Zealand Journal</w:t>
      </w:r>
      <w:r w:rsidR="00427468">
        <w:rPr>
          <w:kern w:val="0"/>
        </w:rPr>
        <w:t xml:space="preserve"> of </w:t>
      </w:r>
      <w:r>
        <w:rPr>
          <w:kern w:val="0"/>
        </w:rPr>
        <w:t>Ophthalmology (ANZJO) to its successor, Clinical 0mp; Experimental Ophthalmology (CEO). Methods:</w:t>
      </w:r>
      <w:r w:rsidR="003A1917">
        <w:rPr>
          <w:kern w:val="0"/>
        </w:rPr>
        <w:t xml:space="preserve"> the </w:t>
      </w:r>
      <w:r>
        <w:rPr>
          <w:kern w:val="0"/>
        </w:rPr>
        <w:t>Science Citation Index was used to analyse</w:t>
      </w:r>
      <w:r w:rsidR="003A1917">
        <w:rPr>
          <w:kern w:val="0"/>
        </w:rPr>
        <w:t xml:space="preserve"> the </w:t>
      </w:r>
      <w:r>
        <w:rPr>
          <w:kern w:val="0"/>
        </w:rPr>
        <w:t>publications</w:t>
      </w:r>
      <w:r w:rsidR="00427468">
        <w:rPr>
          <w:kern w:val="0"/>
        </w:rPr>
        <w:t xml:space="preserve"> of </w:t>
      </w:r>
      <w:r>
        <w:rPr>
          <w:kern w:val="0"/>
        </w:rPr>
        <w:t>ANZJO</w:t>
      </w:r>
      <w:r w:rsidR="005853A9">
        <w:rPr>
          <w:kern w:val="0"/>
        </w:rPr>
        <w:t xml:space="preserve"> and </w:t>
      </w:r>
      <w:r>
        <w:rPr>
          <w:kern w:val="0"/>
        </w:rPr>
        <w:t>CEO over two 10-year periods (1990-1999</w:t>
      </w:r>
      <w:r w:rsidR="005853A9">
        <w:rPr>
          <w:kern w:val="0"/>
        </w:rPr>
        <w:t xml:space="preserve"> and </w:t>
      </w:r>
      <w:r>
        <w:rPr>
          <w:kern w:val="0"/>
        </w:rPr>
        <w:t>2000-2009, respectively). Publication</w:t>
      </w:r>
      <w:r w:rsidR="005853A9">
        <w:rPr>
          <w:kern w:val="0"/>
        </w:rPr>
        <w:t xml:space="preserve"> and </w:t>
      </w:r>
      <w:r>
        <w:rPr>
          <w:kern w:val="0"/>
        </w:rPr>
        <w:t>citation patterns were analysed in terms</w:t>
      </w:r>
      <w:r w:rsidR="00427468">
        <w:rPr>
          <w:kern w:val="0"/>
        </w:rPr>
        <w:t xml:space="preserve"> of </w:t>
      </w:r>
      <w:r>
        <w:rPr>
          <w:kern w:val="0"/>
        </w:rPr>
        <w:t>source authors, institutions</w:t>
      </w:r>
      <w:r w:rsidR="005853A9">
        <w:rPr>
          <w:kern w:val="0"/>
        </w:rPr>
        <w:t xml:space="preserve"> and </w:t>
      </w:r>
      <w:r>
        <w:rPr>
          <w:kern w:val="0"/>
        </w:rPr>
        <w:t xml:space="preserve">countries. As a secondary </w:t>
      </w:r>
      <w:r>
        <w:rPr>
          <w:kern w:val="0"/>
        </w:rPr>
        <w:lastRenderedPageBreak/>
        <w:t>measure, journal impact factors (JIFs) were retrieved from</w:t>
      </w:r>
      <w:r w:rsidR="003A1917">
        <w:rPr>
          <w:kern w:val="0"/>
        </w:rPr>
        <w:t xml:space="preserve"> the </w:t>
      </w:r>
      <w:r>
        <w:rPr>
          <w:kern w:val="0"/>
        </w:rPr>
        <w:t>Journal Citation Reports at</w:t>
      </w:r>
      <w:r w:rsidR="003A1917">
        <w:rPr>
          <w:kern w:val="0"/>
        </w:rPr>
        <w:t xml:space="preserve"> the </w:t>
      </w:r>
      <w:r>
        <w:rPr>
          <w:kern w:val="0"/>
        </w:rPr>
        <w:t>end</w:t>
      </w:r>
      <w:r w:rsidR="00427468">
        <w:rPr>
          <w:kern w:val="0"/>
        </w:rPr>
        <w:t xml:space="preserve"> of </w:t>
      </w:r>
      <w:r>
        <w:rPr>
          <w:kern w:val="0"/>
        </w:rPr>
        <w:t>each period. Results: Over</w:t>
      </w:r>
      <w:r w:rsidR="003A1917">
        <w:rPr>
          <w:kern w:val="0"/>
        </w:rPr>
        <w:t xml:space="preserve"> the </w:t>
      </w:r>
      <w:r>
        <w:rPr>
          <w:kern w:val="0"/>
        </w:rPr>
        <w:t>specified periods, 859 articles published in ANZJO were cited 1210 times,</w:t>
      </w:r>
      <w:r w:rsidR="005853A9">
        <w:rPr>
          <w:kern w:val="0"/>
        </w:rPr>
        <w:t xml:space="preserve"> and </w:t>
      </w:r>
      <w:r>
        <w:rPr>
          <w:kern w:val="0"/>
        </w:rPr>
        <w:t>1529 articles published in CEO were cited 5374 times. Australia was</w:t>
      </w:r>
      <w:r w:rsidR="003A1917">
        <w:rPr>
          <w:kern w:val="0"/>
        </w:rPr>
        <w:t xml:space="preserve"> the </w:t>
      </w:r>
      <w:r>
        <w:rPr>
          <w:kern w:val="0"/>
        </w:rPr>
        <w:t>largest contributing country to both journals; however,</w:t>
      </w:r>
      <w:r w:rsidR="003A1917">
        <w:rPr>
          <w:kern w:val="0"/>
        </w:rPr>
        <w:t xml:space="preserve"> the </w:t>
      </w:r>
      <w:r>
        <w:rPr>
          <w:kern w:val="0"/>
        </w:rPr>
        <w:t>proportional contributions from other countries including New Zealand</w:t>
      </w:r>
      <w:r w:rsidR="00D5664A">
        <w:rPr>
          <w:kern w:val="0"/>
        </w:rPr>
        <w:t>, UK,</w:t>
      </w:r>
      <w:r>
        <w:rPr>
          <w:kern w:val="0"/>
        </w:rPr>
        <w:t xml:space="preserve"> </w:t>
      </w:r>
      <w:r w:rsidR="00D5664A">
        <w:rPr>
          <w:kern w:val="0"/>
        </w:rPr>
        <w:t>USA</w:t>
      </w:r>
      <w:r>
        <w:rPr>
          <w:kern w:val="0"/>
        </w:rPr>
        <w:t>, India</w:t>
      </w:r>
      <w:r w:rsidR="005853A9">
        <w:rPr>
          <w:kern w:val="0"/>
        </w:rPr>
        <w:t xml:space="preserve"> and </w:t>
      </w:r>
      <w:r>
        <w:rPr>
          <w:kern w:val="0"/>
        </w:rPr>
        <w:t>China increased significantly in CEO. Articles were cited by authors from 793 institutions in 60 countries for ANZJO</w:t>
      </w:r>
      <w:r w:rsidR="005853A9">
        <w:rPr>
          <w:kern w:val="0"/>
        </w:rPr>
        <w:t xml:space="preserve"> and </w:t>
      </w:r>
      <w:r>
        <w:rPr>
          <w:kern w:val="0"/>
        </w:rPr>
        <w:t>2997 institutions in 95 countries for CEO</w:t>
      </w:r>
      <w:r w:rsidR="00A37C1D">
        <w:rPr>
          <w:kern w:val="0"/>
        </w:rPr>
        <w:t>. The</w:t>
      </w:r>
      <w:r w:rsidR="003A1917">
        <w:rPr>
          <w:kern w:val="0"/>
        </w:rPr>
        <w:t xml:space="preserve"> </w:t>
      </w:r>
      <w:r>
        <w:rPr>
          <w:kern w:val="0"/>
        </w:rPr>
        <w:t>contribution by key authors (identified as</w:t>
      </w:r>
      <w:r w:rsidR="003A1917">
        <w:rPr>
          <w:kern w:val="0"/>
        </w:rPr>
        <w:t xml:space="preserve"> the </w:t>
      </w:r>
      <w:r>
        <w:rPr>
          <w:kern w:val="0"/>
        </w:rPr>
        <w:t>top 10 most-published authors) towards total journal publications was 24% in ANZJO, but only 16% in CEO; however, these publications were responsible for 26.6%</w:t>
      </w:r>
      <w:r w:rsidR="005853A9">
        <w:rPr>
          <w:kern w:val="0"/>
        </w:rPr>
        <w:t xml:space="preserve"> and </w:t>
      </w:r>
      <w:r>
        <w:rPr>
          <w:kern w:val="0"/>
        </w:rPr>
        <w:t>28.8%</w:t>
      </w:r>
      <w:r w:rsidR="00427468">
        <w:rPr>
          <w:kern w:val="0"/>
        </w:rPr>
        <w:t xml:space="preserve"> of </w:t>
      </w:r>
      <w:r w:rsidR="003A1917">
        <w:rPr>
          <w:kern w:val="0"/>
        </w:rPr>
        <w:t xml:space="preserve">the </w:t>
      </w:r>
      <w:r>
        <w:rPr>
          <w:kern w:val="0"/>
        </w:rPr>
        <w:t>total citations, respectively. With respect to</w:t>
      </w:r>
      <w:r w:rsidR="003A1917">
        <w:rPr>
          <w:kern w:val="0"/>
        </w:rPr>
        <w:t xml:space="preserve"> the </w:t>
      </w:r>
      <w:r>
        <w:rPr>
          <w:kern w:val="0"/>
        </w:rPr>
        <w:t>most recent JIFs, ANZJO was 0.433 in 1999 (ranked 33</w:t>
      </w:r>
      <w:r w:rsidR="00427468">
        <w:rPr>
          <w:kern w:val="0"/>
        </w:rPr>
        <w:t xml:space="preserve"> of </w:t>
      </w:r>
      <w:r>
        <w:rPr>
          <w:kern w:val="0"/>
        </w:rPr>
        <w:t>43 journals)</w:t>
      </w:r>
      <w:r w:rsidR="005853A9">
        <w:rPr>
          <w:kern w:val="0"/>
        </w:rPr>
        <w:t xml:space="preserve"> and </w:t>
      </w:r>
      <w:r>
        <w:rPr>
          <w:kern w:val="0"/>
        </w:rPr>
        <w:t>CEO was 1.35 in 2008 (ranked 27</w:t>
      </w:r>
      <w:r w:rsidR="00427468">
        <w:rPr>
          <w:kern w:val="0"/>
        </w:rPr>
        <w:t xml:space="preserve"> of </w:t>
      </w:r>
      <w:r>
        <w:rPr>
          <w:kern w:val="0"/>
        </w:rPr>
        <w:t>48 journals). Conclusion: CEO has substantially increased</w:t>
      </w:r>
      <w:r w:rsidR="003A1917">
        <w:rPr>
          <w:kern w:val="0"/>
        </w:rPr>
        <w:t xml:space="preserve"> the </w:t>
      </w:r>
      <w:r>
        <w:rPr>
          <w:kern w:val="0"/>
        </w:rPr>
        <w:t>number</w:t>
      </w:r>
      <w:r w:rsidR="00427468">
        <w:rPr>
          <w:kern w:val="0"/>
        </w:rPr>
        <w:t xml:space="preserve"> of </w:t>
      </w:r>
      <w:r>
        <w:rPr>
          <w:kern w:val="0"/>
        </w:rPr>
        <w:t>publications, citation counts</w:t>
      </w:r>
      <w:r w:rsidR="005853A9">
        <w:rPr>
          <w:kern w:val="0"/>
        </w:rPr>
        <w:t xml:space="preserve"> and </w:t>
      </w:r>
      <w:r>
        <w:rPr>
          <w:kern w:val="0"/>
        </w:rPr>
        <w:t>international sources compared with its well-established predecessor, ANZJO, over</w:t>
      </w:r>
      <w:r w:rsidR="003A1917">
        <w:rPr>
          <w:kern w:val="0"/>
        </w:rPr>
        <w:t xml:space="preserve"> the </w:t>
      </w:r>
      <w:r>
        <w:rPr>
          <w:kern w:val="0"/>
        </w:rPr>
        <w:t>assessed periods. CEO also appears to have a higher international profile with increasing citations counts from more countries. This evolution from a regional, to a more international, journal has been substantial</w:t>
      </w:r>
      <w:r w:rsidR="005853A9">
        <w:rPr>
          <w:kern w:val="0"/>
        </w:rPr>
        <w:t xml:space="preserve"> and </w:t>
      </w:r>
      <w:r>
        <w:rPr>
          <w:kern w:val="0"/>
        </w:rPr>
        <w:t>is reflected by a significant increment in JIF,</w:t>
      </w:r>
      <w:r w:rsidR="005853A9">
        <w:rPr>
          <w:kern w:val="0"/>
        </w:rPr>
        <w:t xml:space="preserve"> and </w:t>
      </w:r>
      <w:r>
        <w:rPr>
          <w:kern w:val="0"/>
        </w:rPr>
        <w:t>a modest increase in overall JIF-ranking, for CEO.</w:t>
      </w:r>
    </w:p>
    <w:p w:rsidR="00521804" w:rsidRDefault="00521804" w:rsidP="00521804">
      <w:pPr>
        <w:pStyle w:val="a3"/>
        <w:rPr>
          <w:kern w:val="0"/>
        </w:rPr>
      </w:pPr>
      <w:r>
        <w:rPr>
          <w:kern w:val="0"/>
        </w:rPr>
        <w:t>Keywords: Australian</w:t>
      </w:r>
      <w:r w:rsidR="005853A9">
        <w:rPr>
          <w:kern w:val="0"/>
        </w:rPr>
        <w:t xml:space="preserve"> and </w:t>
      </w:r>
      <w:r>
        <w:rPr>
          <w:kern w:val="0"/>
        </w:rPr>
        <w:t>New Zealand Journal</w:t>
      </w:r>
      <w:r w:rsidR="00427468">
        <w:rPr>
          <w:kern w:val="0"/>
        </w:rPr>
        <w:t xml:space="preserve"> of </w:t>
      </w:r>
      <w:r>
        <w:rPr>
          <w:kern w:val="0"/>
        </w:rPr>
        <w:t>Ophthalmology, China, Citation, Citation Analysis, Citation Counts, Citations, Clinical</w:t>
      </w:r>
      <w:r w:rsidR="005853A9">
        <w:rPr>
          <w:kern w:val="0"/>
        </w:rPr>
        <w:t xml:space="preserve"> and </w:t>
      </w:r>
      <w:r>
        <w:rPr>
          <w:kern w:val="0"/>
        </w:rPr>
        <w:t>Experimental Ophthalmology, Impact, Impact Factor, Impact Factors, Indexes, Journal Citation Reports, Journal Impact Factor, Journals, Publication, Publications, Quality, Science, Science Citation Index, UK</w:t>
      </w:r>
    </w:p>
    <w:p w:rsidR="00764D0E" w:rsidRDefault="00764D0E" w:rsidP="00764D0E">
      <w:pPr>
        <w:pStyle w:val="a3"/>
        <w:rPr>
          <w:kern w:val="0"/>
        </w:rPr>
      </w:pPr>
      <w:r>
        <w:rPr>
          <w:rFonts w:hint="eastAsia"/>
          <w:kern w:val="0"/>
        </w:rPr>
        <w:t xml:space="preserve">? </w:t>
      </w:r>
      <w:r>
        <w:rPr>
          <w:kern w:val="0"/>
        </w:rPr>
        <w:t>Fenwick, E., Rees, G., Pesudovs, K., Dirani, M., Kawasaki, R., Franzco, T.Y.W.</w:t>
      </w:r>
      <w:r w:rsidR="005853A9">
        <w:rPr>
          <w:kern w:val="0"/>
        </w:rPr>
        <w:t xml:space="preserve"> and </w:t>
      </w:r>
      <w:r>
        <w:rPr>
          <w:kern w:val="0"/>
        </w:rPr>
        <w:t>Lamoureux, E. (2012), Social</w:t>
      </w:r>
      <w:r w:rsidR="005853A9">
        <w:rPr>
          <w:kern w:val="0"/>
        </w:rPr>
        <w:t xml:space="preserve"> and </w:t>
      </w:r>
      <w:r>
        <w:rPr>
          <w:kern w:val="0"/>
        </w:rPr>
        <w:t>emotional impact</w:t>
      </w:r>
      <w:r w:rsidR="00427468">
        <w:rPr>
          <w:kern w:val="0"/>
        </w:rPr>
        <w:t xml:space="preserve"> of </w:t>
      </w:r>
      <w:r>
        <w:rPr>
          <w:kern w:val="0"/>
        </w:rPr>
        <w:t xml:space="preserve">diabetic retinopathy: A review. </w:t>
      </w:r>
      <w:r>
        <w:rPr>
          <w:i/>
          <w:iCs/>
          <w:kern w:val="0"/>
        </w:rPr>
        <w:t>Clinical</w:t>
      </w:r>
      <w:r w:rsidR="005853A9">
        <w:rPr>
          <w:i/>
          <w:iCs/>
          <w:kern w:val="0"/>
        </w:rPr>
        <w:t xml:space="preserve"> and </w:t>
      </w:r>
      <w:r>
        <w:rPr>
          <w:i/>
          <w:iCs/>
          <w:kern w:val="0"/>
        </w:rPr>
        <w:t>Experimental Ophthalmology</w:t>
      </w:r>
      <w:r>
        <w:rPr>
          <w:kern w:val="0"/>
        </w:rPr>
        <w:t xml:space="preserve">, </w:t>
      </w:r>
      <w:r>
        <w:rPr>
          <w:b/>
          <w:bCs/>
          <w:kern w:val="0"/>
        </w:rPr>
        <w:t>40</w:t>
      </w:r>
      <w:r>
        <w:rPr>
          <w:kern w:val="0"/>
        </w:rPr>
        <w:t xml:space="preserve"> (1), 27-38.</w:t>
      </w:r>
    </w:p>
    <w:p w:rsidR="00764D0E" w:rsidRPr="001A3D2B" w:rsidRDefault="00764D0E" w:rsidP="00764D0E">
      <w:pPr>
        <w:pStyle w:val="a3"/>
      </w:pPr>
      <w:r w:rsidRPr="001A3D2B">
        <w:t xml:space="preserve">Full Text: </w:t>
      </w:r>
      <w:hyperlink r:id="rId354" w:history="1">
        <w:r w:rsidRPr="00496B3A">
          <w:rPr>
            <w:rStyle w:val="a5"/>
          </w:rPr>
          <w:t>2012\Cli Exp Oph40, 27.pdf</w:t>
        </w:r>
      </w:hyperlink>
    </w:p>
    <w:p w:rsidR="00764D0E" w:rsidRDefault="00764D0E" w:rsidP="00764D0E">
      <w:pPr>
        <w:pStyle w:val="a3"/>
        <w:rPr>
          <w:kern w:val="0"/>
        </w:rPr>
      </w:pPr>
      <w:r>
        <w:rPr>
          <w:kern w:val="0"/>
        </w:rPr>
        <w:t>Abstract: People with vision-threatening diabetic retinopathy are likely to experience enhanced social</w:t>
      </w:r>
      <w:r w:rsidR="005853A9">
        <w:rPr>
          <w:kern w:val="0"/>
        </w:rPr>
        <w:t xml:space="preserve"> and </w:t>
      </w:r>
      <w:r>
        <w:rPr>
          <w:kern w:val="0"/>
        </w:rPr>
        <w:t>emotional strain. Critically, those with both vision-threatening diabetic retinopathy</w:t>
      </w:r>
      <w:r w:rsidR="005853A9">
        <w:rPr>
          <w:kern w:val="0"/>
        </w:rPr>
        <w:t xml:space="preserve"> and </w:t>
      </w:r>
      <w:r>
        <w:rPr>
          <w:kern w:val="0"/>
        </w:rPr>
        <w:t>psychosocial problems may have significantly reduced levels</w:t>
      </w:r>
      <w:r w:rsidR="00427468">
        <w:rPr>
          <w:kern w:val="0"/>
        </w:rPr>
        <w:t xml:space="preserve"> of </w:t>
      </w:r>
      <w:r>
        <w:rPr>
          <w:kern w:val="0"/>
        </w:rPr>
        <w:t>functioning compared with psychologically healthy counterparts. This can cause inadequate compliance, increased strain on family functioning, worse diabetes control, increased progression</w:t>
      </w:r>
      <w:r w:rsidR="00427468">
        <w:rPr>
          <w:kern w:val="0"/>
        </w:rPr>
        <w:t xml:space="preserve"> of </w:t>
      </w:r>
      <w:r>
        <w:rPr>
          <w:kern w:val="0"/>
        </w:rPr>
        <w:t>diabetic retinopathy and, consequently, further psychosocial stress resulting in a number</w:t>
      </w:r>
      <w:r w:rsidR="00427468">
        <w:rPr>
          <w:kern w:val="0"/>
        </w:rPr>
        <w:t xml:space="preserve"> of </w:t>
      </w:r>
      <w:r>
        <w:rPr>
          <w:kern w:val="0"/>
        </w:rPr>
        <w:t>concerning implications for disease management, clinical outcomes</w:t>
      </w:r>
      <w:r w:rsidR="005853A9">
        <w:rPr>
          <w:kern w:val="0"/>
        </w:rPr>
        <w:t xml:space="preserve"> and </w:t>
      </w:r>
      <w:r>
        <w:rPr>
          <w:kern w:val="0"/>
        </w:rPr>
        <w:t>healthcare costs. However,</w:t>
      </w:r>
      <w:r w:rsidR="003A1917">
        <w:rPr>
          <w:kern w:val="0"/>
        </w:rPr>
        <w:t xml:space="preserve"> the </w:t>
      </w:r>
      <w:r>
        <w:rPr>
          <w:kern w:val="0"/>
        </w:rPr>
        <w:t>emotional</w:t>
      </w:r>
      <w:r w:rsidR="005853A9">
        <w:rPr>
          <w:kern w:val="0"/>
        </w:rPr>
        <w:t xml:space="preserve"> and </w:t>
      </w:r>
      <w:r>
        <w:rPr>
          <w:kern w:val="0"/>
        </w:rPr>
        <w:t>social health consequences</w:t>
      </w:r>
      <w:r w:rsidR="00427468">
        <w:rPr>
          <w:kern w:val="0"/>
        </w:rPr>
        <w:t xml:space="preserve"> of </w:t>
      </w:r>
      <w:r>
        <w:rPr>
          <w:kern w:val="0"/>
        </w:rPr>
        <w:t>diabetic retinopathy have not yet been systematically explored. This information is crucial as it allows for a targeted approach to treatment</w:t>
      </w:r>
      <w:r w:rsidR="005853A9">
        <w:rPr>
          <w:kern w:val="0"/>
        </w:rPr>
        <w:t xml:space="preserve"> and </w:t>
      </w:r>
      <w:r>
        <w:rPr>
          <w:kern w:val="0"/>
        </w:rPr>
        <w:t>prevention</w:t>
      </w:r>
      <w:r w:rsidR="005853A9">
        <w:rPr>
          <w:kern w:val="0"/>
        </w:rPr>
        <w:t xml:space="preserve"> and </w:t>
      </w:r>
      <w:r>
        <w:rPr>
          <w:kern w:val="0"/>
        </w:rPr>
        <w:t>avoidance</w:t>
      </w:r>
      <w:r w:rsidR="00427468">
        <w:rPr>
          <w:kern w:val="0"/>
        </w:rPr>
        <w:t xml:space="preserve"> of </w:t>
      </w:r>
      <w:r w:rsidR="003A1917">
        <w:rPr>
          <w:kern w:val="0"/>
        </w:rPr>
        <w:t xml:space="preserve">the </w:t>
      </w:r>
      <w:r>
        <w:rPr>
          <w:kern w:val="0"/>
        </w:rPr>
        <w:t xml:space="preserve">potentially detrimental implications described </w:t>
      </w:r>
      <w:r>
        <w:rPr>
          <w:kern w:val="0"/>
        </w:rPr>
        <w:lastRenderedPageBreak/>
        <w:t>above</w:t>
      </w:r>
      <w:r w:rsidR="00A37C1D">
        <w:rPr>
          <w:kern w:val="0"/>
        </w:rPr>
        <w:t>. The</w:t>
      </w:r>
      <w:r>
        <w:rPr>
          <w:kern w:val="0"/>
        </w:rPr>
        <w:t>refore, this paper reviews</w:t>
      </w:r>
      <w:r w:rsidR="003A1917">
        <w:rPr>
          <w:kern w:val="0"/>
        </w:rPr>
        <w:t xml:space="preserve"> the </w:t>
      </w:r>
      <w:r>
        <w:rPr>
          <w:kern w:val="0"/>
        </w:rPr>
        <w:t>current qualitative</w:t>
      </w:r>
      <w:r w:rsidR="005853A9">
        <w:rPr>
          <w:kern w:val="0"/>
        </w:rPr>
        <w:t xml:space="preserve"> and </w:t>
      </w:r>
      <w:r>
        <w:rPr>
          <w:kern w:val="0"/>
        </w:rPr>
        <w:t>quantitative evidence regarding</w:t>
      </w:r>
      <w:r w:rsidR="003A1917">
        <w:rPr>
          <w:kern w:val="0"/>
        </w:rPr>
        <w:t xml:space="preserve"> the </w:t>
      </w:r>
      <w:r>
        <w:rPr>
          <w:kern w:val="0"/>
        </w:rPr>
        <w:t>social</w:t>
      </w:r>
      <w:r w:rsidR="005853A9">
        <w:rPr>
          <w:kern w:val="0"/>
        </w:rPr>
        <w:t xml:space="preserve"> and </w:t>
      </w:r>
      <w:r>
        <w:rPr>
          <w:kern w:val="0"/>
        </w:rPr>
        <w:t>emotional impact</w:t>
      </w:r>
      <w:r w:rsidR="00427468">
        <w:rPr>
          <w:kern w:val="0"/>
        </w:rPr>
        <w:t xml:space="preserve"> of </w:t>
      </w:r>
      <w:r>
        <w:rPr>
          <w:kern w:val="0"/>
        </w:rPr>
        <w:t>diabetic retinopathy</w:t>
      </w:r>
      <w:r w:rsidR="005853A9">
        <w:rPr>
          <w:kern w:val="0"/>
        </w:rPr>
        <w:t xml:space="preserve"> and </w:t>
      </w:r>
      <w:r>
        <w:rPr>
          <w:kern w:val="0"/>
        </w:rPr>
        <w:t>identifies directions for future research. Key search terms were applied to</w:t>
      </w:r>
      <w:r w:rsidR="003A1917">
        <w:rPr>
          <w:kern w:val="0"/>
        </w:rPr>
        <w:t xml:space="preserve"> the </w:t>
      </w:r>
      <w:r>
        <w:rPr>
          <w:kern w:val="0"/>
        </w:rPr>
        <w:t xml:space="preserve">electronic databases Pubmed,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Embase</w:t>
      </w:r>
      <w:r w:rsidR="005853A9">
        <w:rPr>
          <w:kern w:val="0"/>
        </w:rPr>
        <w:t xml:space="preserve"> and </w:t>
      </w:r>
      <w:r w:rsidR="003A1917">
        <w:rPr>
          <w:kern w:val="0"/>
        </w:rPr>
        <w:t xml:space="preserve">the </w:t>
      </w:r>
      <w:r>
        <w:rPr>
          <w:kern w:val="0"/>
        </w:rPr>
        <w:t>bibliographies</w:t>
      </w:r>
      <w:r w:rsidR="00427468">
        <w:rPr>
          <w:kern w:val="0"/>
        </w:rPr>
        <w:t xml:space="preserve"> of </w:t>
      </w:r>
      <w:r>
        <w:rPr>
          <w:kern w:val="0"/>
        </w:rPr>
        <w:t>relevant papers were systematically reviewed for additional references. Overall,</w:t>
      </w:r>
      <w:r w:rsidR="003A1917">
        <w:rPr>
          <w:kern w:val="0"/>
        </w:rPr>
        <w:t xml:space="preserve"> the </w:t>
      </w:r>
      <w:r>
        <w:rPr>
          <w:kern w:val="0"/>
        </w:rPr>
        <w:t>evidence suggests that diabetic retinopathy</w:t>
      </w:r>
      <w:r w:rsidR="005853A9">
        <w:rPr>
          <w:kern w:val="0"/>
        </w:rPr>
        <w:t xml:space="preserve"> and </w:t>
      </w:r>
      <w:r>
        <w:rPr>
          <w:kern w:val="0"/>
        </w:rPr>
        <w:t>associated vision loss have several debilitating effects, including disruption</w:t>
      </w:r>
      <w:r w:rsidR="00427468">
        <w:rPr>
          <w:kern w:val="0"/>
        </w:rPr>
        <w:t xml:space="preserve"> of </w:t>
      </w:r>
      <w:r>
        <w:rPr>
          <w:kern w:val="0"/>
        </w:rPr>
        <w:t>family functioning, relationships</w:t>
      </w:r>
      <w:r w:rsidR="005853A9">
        <w:rPr>
          <w:kern w:val="0"/>
        </w:rPr>
        <w:t xml:space="preserve"> and </w:t>
      </w:r>
      <w:r>
        <w:rPr>
          <w:kern w:val="0"/>
        </w:rPr>
        <w:t>roles; increased social isolation</w:t>
      </w:r>
      <w:r w:rsidR="005853A9">
        <w:rPr>
          <w:kern w:val="0"/>
        </w:rPr>
        <w:t xml:space="preserve"> and </w:t>
      </w:r>
      <w:r>
        <w:rPr>
          <w:kern w:val="0"/>
        </w:rPr>
        <w:t>dependence;</w:t>
      </w:r>
      <w:r w:rsidR="005853A9">
        <w:rPr>
          <w:kern w:val="0"/>
        </w:rPr>
        <w:t xml:space="preserve"> and </w:t>
      </w:r>
      <w:r>
        <w:rPr>
          <w:kern w:val="0"/>
        </w:rPr>
        <w:t>deterioration</w:t>
      </w:r>
      <w:r w:rsidR="00427468">
        <w:rPr>
          <w:kern w:val="0"/>
        </w:rPr>
        <w:t xml:space="preserve"> of </w:t>
      </w:r>
      <w:r>
        <w:rPr>
          <w:kern w:val="0"/>
        </w:rPr>
        <w:t>work prospects resulting in increased financial strain. Adverse emotional responses include fear, anxiety, vulnerability, guilt, loss</w:t>
      </w:r>
      <w:r w:rsidR="00427468">
        <w:rPr>
          <w:kern w:val="0"/>
        </w:rPr>
        <w:t xml:space="preserve"> of </w:t>
      </w:r>
      <w:r>
        <w:rPr>
          <w:kern w:val="0"/>
        </w:rPr>
        <w:t>confidence, anger, stress</w:t>
      </w:r>
      <w:r w:rsidR="005853A9">
        <w:rPr>
          <w:kern w:val="0"/>
        </w:rPr>
        <w:t xml:space="preserve"> and </w:t>
      </w:r>
      <w:r>
        <w:rPr>
          <w:kern w:val="0"/>
        </w:rPr>
        <w:t>self-perception issues. However,</w:t>
      </w:r>
      <w:r w:rsidR="003A1917">
        <w:rPr>
          <w:kern w:val="0"/>
        </w:rPr>
        <w:t xml:space="preserve"> the </w:t>
      </w:r>
      <w:r>
        <w:rPr>
          <w:kern w:val="0"/>
        </w:rPr>
        <w:t>research to date is largely qualitative in nature, with most quantitative studies being small, cross-sectional</w:t>
      </w:r>
      <w:r w:rsidR="005853A9">
        <w:rPr>
          <w:kern w:val="0"/>
        </w:rPr>
        <w:t xml:space="preserve"> and </w:t>
      </w:r>
      <w:r>
        <w:rPr>
          <w:kern w:val="0"/>
        </w:rPr>
        <w:t>somewhat outdated. Similarly,</w:t>
      </w:r>
      <w:r w:rsidR="003A1917">
        <w:rPr>
          <w:kern w:val="0"/>
        </w:rPr>
        <w:t xml:space="preserve"> the </w:t>
      </w:r>
      <w:r>
        <w:rPr>
          <w:kern w:val="0"/>
        </w:rPr>
        <w:t>outcome measures used in many studies to date are suboptimal in terms</w:t>
      </w:r>
      <w:r w:rsidR="00427468">
        <w:rPr>
          <w:kern w:val="0"/>
        </w:rPr>
        <w:t xml:space="preserve"> of </w:t>
      </w:r>
      <w:r>
        <w:rPr>
          <w:kern w:val="0"/>
        </w:rPr>
        <w:t>content</w:t>
      </w:r>
      <w:r w:rsidR="005853A9">
        <w:rPr>
          <w:kern w:val="0"/>
        </w:rPr>
        <w:t xml:space="preserve"> and </w:t>
      </w:r>
      <w:r>
        <w:rPr>
          <w:kern w:val="0"/>
        </w:rPr>
        <w:t>validity</w:t>
      </w:r>
      <w:r w:rsidR="00A37C1D">
        <w:rPr>
          <w:kern w:val="0"/>
        </w:rPr>
        <w:t>. The</w:t>
      </w:r>
      <w:r>
        <w:rPr>
          <w:kern w:val="0"/>
        </w:rPr>
        <w:t>refore, this review identifies</w:t>
      </w:r>
      <w:r w:rsidR="003A1917">
        <w:rPr>
          <w:kern w:val="0"/>
        </w:rPr>
        <w:t xml:space="preserve"> the </w:t>
      </w:r>
      <w:r>
        <w:rPr>
          <w:kern w:val="0"/>
        </w:rPr>
        <w:t>need for improved outcome measures to provide valid, meaningful measurement</w:t>
      </w:r>
      <w:r w:rsidR="00427468">
        <w:rPr>
          <w:kern w:val="0"/>
        </w:rPr>
        <w:t xml:space="preserve"> of </w:t>
      </w:r>
      <w:r w:rsidR="003A1917">
        <w:rPr>
          <w:kern w:val="0"/>
        </w:rPr>
        <w:t xml:space="preserve">the </w:t>
      </w:r>
      <w:r>
        <w:rPr>
          <w:kern w:val="0"/>
        </w:rPr>
        <w:t>social</w:t>
      </w:r>
      <w:r w:rsidR="005853A9">
        <w:rPr>
          <w:kern w:val="0"/>
        </w:rPr>
        <w:t xml:space="preserve"> and </w:t>
      </w:r>
      <w:r>
        <w:rPr>
          <w:kern w:val="0"/>
        </w:rPr>
        <w:t>emotional impact</w:t>
      </w:r>
      <w:r w:rsidR="00427468">
        <w:rPr>
          <w:kern w:val="0"/>
        </w:rPr>
        <w:t xml:space="preserve"> of </w:t>
      </w:r>
      <w:r>
        <w:rPr>
          <w:kern w:val="0"/>
        </w:rPr>
        <w:t>diabetic retinopathy</w:t>
      </w:r>
      <w:r w:rsidR="005853A9">
        <w:rPr>
          <w:kern w:val="0"/>
        </w:rPr>
        <w:t xml:space="preserve"> and </w:t>
      </w:r>
      <w:r>
        <w:rPr>
          <w:kern w:val="0"/>
        </w:rPr>
        <w:t>discusses potential directions for future research such as item banking</w:t>
      </w:r>
      <w:r w:rsidR="005853A9">
        <w:rPr>
          <w:kern w:val="0"/>
        </w:rPr>
        <w:t xml:space="preserve"> and </w:t>
      </w:r>
      <w:r>
        <w:rPr>
          <w:kern w:val="0"/>
        </w:rPr>
        <w:t>computer adaptive testing.</w:t>
      </w:r>
    </w:p>
    <w:p w:rsidR="00764D0E" w:rsidRDefault="00764D0E" w:rsidP="00764D0E">
      <w:pPr>
        <w:pStyle w:val="a3"/>
        <w:rPr>
          <w:kern w:val="0"/>
        </w:rPr>
      </w:pPr>
      <w:r>
        <w:rPr>
          <w:kern w:val="0"/>
        </w:rPr>
        <w:t>Keywords: Anxiety, Comorbid Depression, Compliance, Computer, Control, Costs, Databases, Debilitating, Diabetes, Diabetic Retinopathy, Disease, Disease Management, Distress, Emotional Well-Being, Eye Disease, Family, Glycemic Control, Health, Impact, Information</w:t>
      </w:r>
      <w:r w:rsidR="00D5664A">
        <w:rPr>
          <w:kern w:val="0"/>
        </w:rPr>
        <w:t>, ISI,</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Item Banking, Laser Treatment, Macular Degeneration, Management, Measurement, Outcome, Outcomes, Papers, Prevalence, Prevention, Progression, Psychosocial, Psychosocial Stress, Qualitative, Quality</w:t>
      </w:r>
      <w:r w:rsidR="00434900">
        <w:rPr>
          <w:kern w:val="0"/>
        </w:rPr>
        <w:t>-of-</w:t>
      </w:r>
      <w:r>
        <w:rPr>
          <w:kern w:val="0"/>
        </w:rPr>
        <w:t xml:space="preserve">Life, Quantitative, Research, Retinopathy, Review, Science, Social, Social Isolation, Social Well-Being, Stress, Treatment, Validity, Vision, Visual Function Questionnaire, Vulnerability,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BC65EF" w:rsidRPr="00C73C58" w:rsidRDefault="00BC65EF" w:rsidP="00BC65EF">
      <w:pPr>
        <w:pStyle w:val="1"/>
      </w:pPr>
      <w:r w:rsidRPr="00C73C58">
        <w:br w:type="page"/>
      </w:r>
      <w:bookmarkStart w:id="279" w:name="_Toc420815023"/>
      <w:r w:rsidRPr="00C73C58">
        <w:lastRenderedPageBreak/>
        <w:t xml:space="preserve">Title: </w:t>
      </w:r>
      <w:r w:rsidRPr="00646DC4">
        <w:rPr>
          <w:iCs w:val="0"/>
        </w:rPr>
        <w:t>Clinical</w:t>
      </w:r>
      <w:r w:rsidR="005853A9">
        <w:rPr>
          <w:iCs w:val="0"/>
        </w:rPr>
        <w:t xml:space="preserve"> and </w:t>
      </w:r>
      <w:r w:rsidRPr="00646DC4">
        <w:rPr>
          <w:iCs w:val="0"/>
        </w:rPr>
        <w:t>Experimental Rheumatology</w:t>
      </w:r>
      <w:bookmarkEnd w:id="279"/>
    </w:p>
    <w:p w:rsidR="00BC65EF" w:rsidRDefault="00BC65EF" w:rsidP="00BC65EF">
      <w:pPr>
        <w:pStyle w:val="12"/>
      </w:pPr>
      <w:r w:rsidRPr="001A3D2B">
        <w:t xml:space="preserve">Full Journal Title: </w:t>
      </w:r>
      <w:r w:rsidRPr="00646DC4">
        <w:rPr>
          <w:iCs/>
          <w:kern w:val="0"/>
        </w:rPr>
        <w:t>Clinical</w:t>
      </w:r>
      <w:r w:rsidR="005853A9">
        <w:rPr>
          <w:iCs/>
          <w:kern w:val="0"/>
        </w:rPr>
        <w:t xml:space="preserve"> and </w:t>
      </w:r>
      <w:r w:rsidRPr="00646DC4">
        <w:rPr>
          <w:iCs/>
          <w:kern w:val="0"/>
        </w:rPr>
        <w:t>Experimental Rheumatology</w:t>
      </w:r>
    </w:p>
    <w:p w:rsidR="00BC65EF" w:rsidRPr="00C73C58" w:rsidRDefault="00BC65EF" w:rsidP="00BC65EF">
      <w:pPr>
        <w:pStyle w:val="12"/>
      </w:pPr>
      <w:r w:rsidRPr="00C73C58">
        <w:t xml:space="preserve">ISO Abbreviated Title: </w:t>
      </w:r>
    </w:p>
    <w:p w:rsidR="00BC65EF" w:rsidRPr="00C73C58" w:rsidRDefault="00BC65EF" w:rsidP="00BC65EF">
      <w:pPr>
        <w:pStyle w:val="12"/>
      </w:pPr>
      <w:r w:rsidRPr="00C73C58">
        <w:t xml:space="preserve">JCR Abbreviated Title: </w:t>
      </w:r>
    </w:p>
    <w:p w:rsidR="00BC65EF" w:rsidRPr="00C73C58" w:rsidRDefault="00BC65EF" w:rsidP="00BC65EF">
      <w:pPr>
        <w:pStyle w:val="12"/>
      </w:pPr>
      <w:r w:rsidRPr="00C73C58">
        <w:t xml:space="preserve">ISSN: </w:t>
      </w:r>
    </w:p>
    <w:p w:rsidR="00BC65EF" w:rsidRPr="00C73C58" w:rsidRDefault="00BC65EF" w:rsidP="00BC65EF">
      <w:pPr>
        <w:pStyle w:val="12"/>
      </w:pPr>
      <w:r w:rsidRPr="00C73C58">
        <w:t xml:space="preserve">Issues/Year: </w:t>
      </w:r>
    </w:p>
    <w:p w:rsidR="00BC65EF" w:rsidRPr="00C73C58" w:rsidRDefault="00BC65EF" w:rsidP="00BC65EF">
      <w:pPr>
        <w:pStyle w:val="12"/>
      </w:pPr>
      <w:r w:rsidRPr="00C73C58">
        <w:t xml:space="preserve">Language: </w:t>
      </w:r>
    </w:p>
    <w:p w:rsidR="00BC65EF" w:rsidRPr="00C73C58" w:rsidRDefault="00BC65EF" w:rsidP="00BC65EF">
      <w:pPr>
        <w:pStyle w:val="12"/>
      </w:pPr>
      <w:r w:rsidRPr="00C73C58">
        <w:t xml:space="preserve">Journal Country/Territory: </w:t>
      </w:r>
    </w:p>
    <w:p w:rsidR="00BC65EF" w:rsidRPr="00C73C58" w:rsidRDefault="00BC65EF" w:rsidP="00BC65EF">
      <w:pPr>
        <w:pStyle w:val="12"/>
      </w:pPr>
      <w:r w:rsidRPr="00C73C58">
        <w:t xml:space="preserve">Publisher: </w:t>
      </w:r>
    </w:p>
    <w:p w:rsidR="00BC65EF" w:rsidRPr="00C73C58" w:rsidRDefault="00BC65EF" w:rsidP="00BC65EF">
      <w:pPr>
        <w:pStyle w:val="12"/>
      </w:pPr>
      <w:r w:rsidRPr="00C73C58">
        <w:t xml:space="preserve">Publisher Address: </w:t>
      </w:r>
    </w:p>
    <w:p w:rsidR="00BC65EF" w:rsidRPr="00C73C58" w:rsidRDefault="00BC65EF" w:rsidP="00BC65EF">
      <w:pPr>
        <w:pStyle w:val="12"/>
      </w:pPr>
      <w:r w:rsidRPr="00C73C58">
        <w:t xml:space="preserve">Subject Categories: </w:t>
      </w:r>
    </w:p>
    <w:p w:rsidR="00BC65EF" w:rsidRPr="00C73C58" w:rsidRDefault="00BC65EF" w:rsidP="00BC65EF">
      <w:pPr>
        <w:pStyle w:val="12"/>
      </w:pPr>
      <w:r w:rsidRPr="00C73C58">
        <w:t>: Impact Factor</w:t>
      </w:r>
    </w:p>
    <w:p w:rsidR="00BC65EF" w:rsidRDefault="00BC65EF" w:rsidP="00BC65EF">
      <w:pPr>
        <w:pStyle w:val="a3"/>
        <w:rPr>
          <w:kern w:val="0"/>
        </w:rPr>
      </w:pPr>
      <w:r>
        <w:rPr>
          <w:rFonts w:hint="eastAsia"/>
          <w:kern w:val="0"/>
        </w:rPr>
        <w:t xml:space="preserve">? </w:t>
      </w:r>
      <w:r>
        <w:rPr>
          <w:kern w:val="0"/>
        </w:rPr>
        <w:t>Ow, M.Y.L., Ho, P.C., Thumboo, J.</w:t>
      </w:r>
      <w:r w:rsidR="005853A9">
        <w:rPr>
          <w:kern w:val="0"/>
        </w:rPr>
        <w:t xml:space="preserve"> and </w:t>
      </w:r>
      <w:r>
        <w:rPr>
          <w:kern w:val="0"/>
        </w:rPr>
        <w:t xml:space="preserve">Wee, H.L. (2010), Factors associated with health service utilisation in patients with systemic lupus erythematosus: A systematic review. </w:t>
      </w:r>
      <w:r w:rsidRPr="00646DC4">
        <w:rPr>
          <w:i/>
          <w:iCs/>
          <w:kern w:val="0"/>
        </w:rPr>
        <w:t>Clinical</w:t>
      </w:r>
      <w:r w:rsidR="005853A9">
        <w:rPr>
          <w:i/>
          <w:iCs/>
          <w:kern w:val="0"/>
        </w:rPr>
        <w:t xml:space="preserve"> and </w:t>
      </w:r>
      <w:r w:rsidRPr="00646DC4">
        <w:rPr>
          <w:i/>
          <w:iCs/>
          <w:kern w:val="0"/>
        </w:rPr>
        <w:t>Experimental Rheumatology</w:t>
      </w:r>
      <w:r>
        <w:rPr>
          <w:kern w:val="0"/>
        </w:rPr>
        <w:t xml:space="preserve">, </w:t>
      </w:r>
      <w:r>
        <w:rPr>
          <w:b/>
          <w:bCs/>
          <w:kern w:val="0"/>
        </w:rPr>
        <w:t>28</w:t>
      </w:r>
      <w:r>
        <w:rPr>
          <w:kern w:val="0"/>
        </w:rPr>
        <w:t xml:space="preserve"> (6), 892-904.</w:t>
      </w:r>
    </w:p>
    <w:p w:rsidR="00BC65EF" w:rsidRDefault="00BC65EF" w:rsidP="00BC65EF">
      <w:pPr>
        <w:pStyle w:val="a3"/>
        <w:rPr>
          <w:kern w:val="0"/>
        </w:rPr>
      </w:pPr>
      <w:r>
        <w:rPr>
          <w:kern w:val="0"/>
        </w:rPr>
        <w:t>Abstract: Objectives. SLE patients require varying levels</w:t>
      </w:r>
      <w:r w:rsidR="00427468">
        <w:rPr>
          <w:kern w:val="0"/>
        </w:rPr>
        <w:t xml:space="preserve"> of </w:t>
      </w:r>
      <w:r>
        <w:rPr>
          <w:kern w:val="0"/>
        </w:rPr>
        <w:t>health services since disease severity</w:t>
      </w:r>
      <w:r w:rsidR="005853A9">
        <w:rPr>
          <w:kern w:val="0"/>
        </w:rPr>
        <w:t xml:space="preserve"> and </w:t>
      </w:r>
      <w:r>
        <w:rPr>
          <w:kern w:val="0"/>
        </w:rPr>
        <w:t>activity differ among individuals. Understanding</w:t>
      </w:r>
      <w:r w:rsidR="003A1917">
        <w:rPr>
          <w:kern w:val="0"/>
        </w:rPr>
        <w:t xml:space="preserve"> the </w:t>
      </w:r>
      <w:r>
        <w:rPr>
          <w:kern w:val="0"/>
        </w:rPr>
        <w:t>factors associated with health service utilisation would be useful in improving equitable access. It would also help to identify modifiable factors</w:t>
      </w:r>
      <w:r w:rsidR="005853A9">
        <w:rPr>
          <w:kern w:val="0"/>
        </w:rPr>
        <w:t xml:space="preserve"> and </w:t>
      </w:r>
      <w:r>
        <w:rPr>
          <w:kern w:val="0"/>
        </w:rPr>
        <w:t>current good practices so as to improve quality</w:t>
      </w:r>
      <w:r w:rsidR="00427468">
        <w:rPr>
          <w:kern w:val="0"/>
        </w:rPr>
        <w:t xml:space="preserve"> of </w:t>
      </w:r>
      <w:r>
        <w:rPr>
          <w:kern w:val="0"/>
        </w:rPr>
        <w:t>care</w:t>
      </w:r>
      <w:r w:rsidR="005853A9">
        <w:rPr>
          <w:kern w:val="0"/>
        </w:rPr>
        <w:t xml:space="preserve"> and </w:t>
      </w:r>
      <w:r>
        <w:rPr>
          <w:kern w:val="0"/>
        </w:rPr>
        <w:t>thus reduce utilisation. Thus,</w:t>
      </w:r>
      <w:r w:rsidR="003A1917">
        <w:rPr>
          <w:kern w:val="0"/>
        </w:rPr>
        <w:t xml:space="preserve"> the </w:t>
      </w:r>
      <w:r>
        <w:rPr>
          <w:kern w:val="0"/>
        </w:rPr>
        <w:t>objective</w:t>
      </w:r>
      <w:r w:rsidR="00427468">
        <w:rPr>
          <w:kern w:val="0"/>
        </w:rPr>
        <w:t xml:space="preserve"> of </w:t>
      </w:r>
      <w:r>
        <w:rPr>
          <w:kern w:val="0"/>
        </w:rPr>
        <w:t xml:space="preserve">this review is to identify factors associated with health services utilisation. Methods. Five electronic databases (PUBMED, PsycINFO, EMBASE, International Pharmaceutical Abstract,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bibliographies</w:t>
      </w:r>
      <w:r w:rsidR="00427468">
        <w:rPr>
          <w:kern w:val="0"/>
        </w:rPr>
        <w:t xml:space="preserve"> of </w:t>
      </w:r>
      <w:r>
        <w:rPr>
          <w:kern w:val="0"/>
        </w:rPr>
        <w:t>short-listed articles were searched. All indicators</w:t>
      </w:r>
      <w:r w:rsidR="00427468">
        <w:rPr>
          <w:kern w:val="0"/>
        </w:rPr>
        <w:t xml:space="preserve"> of </w:t>
      </w:r>
      <w:r>
        <w:rPr>
          <w:kern w:val="0"/>
        </w:rPr>
        <w:t>health service utilisation (physician</w:t>
      </w:r>
      <w:r w:rsidR="005853A9">
        <w:rPr>
          <w:kern w:val="0"/>
        </w:rPr>
        <w:t xml:space="preserve"> and </w:t>
      </w:r>
      <w:r>
        <w:rPr>
          <w:kern w:val="0"/>
        </w:rPr>
        <w:t>specialist visits, hospitalisations, direct costs)</w:t>
      </w:r>
      <w:r w:rsidR="005853A9">
        <w:rPr>
          <w:kern w:val="0"/>
        </w:rPr>
        <w:t xml:space="preserve"> and </w:t>
      </w:r>
      <w:r>
        <w:rPr>
          <w:kern w:val="0"/>
        </w:rPr>
        <w:t>alternative medicine utilisation were accepted as outcomes in primary studies. Two authors independently selected</w:t>
      </w:r>
      <w:r w:rsidR="003A1917">
        <w:rPr>
          <w:kern w:val="0"/>
        </w:rPr>
        <w:t xml:space="preserve"> the </w:t>
      </w:r>
      <w:r>
        <w:rPr>
          <w:kern w:val="0"/>
        </w:rPr>
        <w:t>studies based on pre-specified inclusion</w:t>
      </w:r>
      <w:r w:rsidR="005853A9">
        <w:rPr>
          <w:kern w:val="0"/>
        </w:rPr>
        <w:t xml:space="preserve"> and </w:t>
      </w:r>
      <w:r>
        <w:rPr>
          <w:kern w:val="0"/>
        </w:rPr>
        <w:t>exclusion criteria. Results.</w:t>
      </w:r>
      <w:r w:rsidR="00427468">
        <w:rPr>
          <w:kern w:val="0"/>
        </w:rPr>
        <w:t xml:space="preserve"> of </w:t>
      </w:r>
      <w:r>
        <w:rPr>
          <w:kern w:val="0"/>
        </w:rPr>
        <w:t>1,276 papers retrieved from electronic</w:t>
      </w:r>
      <w:r w:rsidR="005853A9">
        <w:rPr>
          <w:kern w:val="0"/>
        </w:rPr>
        <w:t xml:space="preserve"> and </w:t>
      </w:r>
      <w:r>
        <w:rPr>
          <w:kern w:val="0"/>
        </w:rPr>
        <w:t>hand searches, 25 were finally selected</w:t>
      </w:r>
      <w:r w:rsidR="005853A9">
        <w:rPr>
          <w:kern w:val="0"/>
        </w:rPr>
        <w:t xml:space="preserve"> and </w:t>
      </w:r>
      <w:r>
        <w:rPr>
          <w:kern w:val="0"/>
        </w:rPr>
        <w:t>reviewed in totality,</w:t>
      </w:r>
      <w:r w:rsidR="00427468">
        <w:rPr>
          <w:kern w:val="0"/>
        </w:rPr>
        <w:t xml:space="preserve"> of </w:t>
      </w:r>
      <w:r>
        <w:rPr>
          <w:kern w:val="0"/>
        </w:rPr>
        <w:t>which 13 were cross-sectional, 5 were prospective,</w:t>
      </w:r>
      <w:r w:rsidR="005853A9">
        <w:rPr>
          <w:kern w:val="0"/>
        </w:rPr>
        <w:t xml:space="preserve"> and </w:t>
      </w:r>
      <w:r>
        <w:rPr>
          <w:kern w:val="0"/>
        </w:rPr>
        <w:t>7 were retrospective studies. A variety</w:t>
      </w:r>
      <w:r w:rsidR="00427468">
        <w:rPr>
          <w:kern w:val="0"/>
        </w:rPr>
        <w:t xml:space="preserve"> of </w:t>
      </w:r>
      <w:r>
        <w:rPr>
          <w:kern w:val="0"/>
        </w:rPr>
        <w:t>service types (e.g. outpatient visits, hospitalisations, etc.)</w:t>
      </w:r>
      <w:r w:rsidR="005853A9">
        <w:rPr>
          <w:kern w:val="0"/>
        </w:rPr>
        <w:t xml:space="preserve"> and </w:t>
      </w:r>
      <w:r>
        <w:rPr>
          <w:kern w:val="0"/>
        </w:rPr>
        <w:t>factors (e.g. demographic, socioeconomic, laboratory indices, etc.) were evaluated. Type</w:t>
      </w:r>
      <w:r w:rsidR="00427468">
        <w:rPr>
          <w:kern w:val="0"/>
        </w:rPr>
        <w:t xml:space="preserve"> of </w:t>
      </w:r>
      <w:r>
        <w:rPr>
          <w:kern w:val="0"/>
        </w:rPr>
        <w:t>health insurance, poorer physical functioning</w:t>
      </w:r>
      <w:r w:rsidR="005853A9">
        <w:rPr>
          <w:kern w:val="0"/>
        </w:rPr>
        <w:t xml:space="preserve"> and </w:t>
      </w:r>
      <w:r>
        <w:rPr>
          <w:kern w:val="0"/>
        </w:rPr>
        <w:t>greater disease severity were found to be associated with higher utilisation across several studies. Conclusion. Modifying</w:t>
      </w:r>
      <w:r w:rsidR="003A1917">
        <w:rPr>
          <w:kern w:val="0"/>
        </w:rPr>
        <w:t xml:space="preserve"> the </w:t>
      </w:r>
      <w:r>
        <w:rPr>
          <w:kern w:val="0"/>
        </w:rPr>
        <w:t>choice or coverage</w:t>
      </w:r>
      <w:r w:rsidR="00427468">
        <w:rPr>
          <w:kern w:val="0"/>
        </w:rPr>
        <w:t xml:space="preserve"> of </w:t>
      </w:r>
      <w:r>
        <w:rPr>
          <w:kern w:val="0"/>
        </w:rPr>
        <w:t>health insurance plans</w:t>
      </w:r>
      <w:r w:rsidR="00427468">
        <w:rPr>
          <w:kern w:val="0"/>
        </w:rPr>
        <w:t xml:space="preserve"> of </w:t>
      </w:r>
      <w:r>
        <w:rPr>
          <w:kern w:val="0"/>
        </w:rPr>
        <w:t>SLE patients is a possible option in improving equitable access. Better management</w:t>
      </w:r>
      <w:r w:rsidR="00427468">
        <w:rPr>
          <w:kern w:val="0"/>
        </w:rPr>
        <w:t xml:space="preserve"> of </w:t>
      </w:r>
      <w:r>
        <w:rPr>
          <w:kern w:val="0"/>
        </w:rPr>
        <w:t>patient reported outcomes such as physical functioning</w:t>
      </w:r>
      <w:r w:rsidR="005853A9">
        <w:rPr>
          <w:kern w:val="0"/>
        </w:rPr>
        <w:t xml:space="preserve"> and </w:t>
      </w:r>
      <w:r>
        <w:rPr>
          <w:kern w:val="0"/>
        </w:rPr>
        <w:t>timely management</w:t>
      </w:r>
      <w:r w:rsidR="00427468">
        <w:rPr>
          <w:kern w:val="0"/>
        </w:rPr>
        <w:t xml:space="preserve"> of </w:t>
      </w:r>
      <w:r>
        <w:rPr>
          <w:kern w:val="0"/>
        </w:rPr>
        <w:t>SLE to reduce disease severity may reduce health services utilisation in</w:t>
      </w:r>
      <w:r w:rsidR="003A1917">
        <w:rPr>
          <w:kern w:val="0"/>
        </w:rPr>
        <w:t xml:space="preserve"> the </w:t>
      </w:r>
      <w:r>
        <w:rPr>
          <w:kern w:val="0"/>
        </w:rPr>
        <w:t>long term.</w:t>
      </w:r>
    </w:p>
    <w:p w:rsidR="00BC65EF" w:rsidRDefault="00BC65EF" w:rsidP="00BC65EF">
      <w:pPr>
        <w:pStyle w:val="a3"/>
        <w:rPr>
          <w:kern w:val="0"/>
        </w:rPr>
      </w:pPr>
      <w:r>
        <w:rPr>
          <w:kern w:val="0"/>
        </w:rPr>
        <w:lastRenderedPageBreak/>
        <w:t>Keywords: 3 Ethnic-Groups, Access, Authors, Care Costs, Costs, Coverage, Databases, Disease, EMBASE, Health Economics, Health Services, Health Services Evaluation, Hospitalization, Lumina Cohort, Management, Medicaid, Medicine, Methods, Mortality, Outcomes, Papers, Predictors, Primary, PUBMED, Quality</w:t>
      </w:r>
      <w:r w:rsidR="00427468">
        <w:rPr>
          <w:kern w:val="0"/>
        </w:rPr>
        <w:t xml:space="preserve"> of </w:t>
      </w:r>
      <w:r>
        <w:rPr>
          <w:kern w:val="0"/>
        </w:rPr>
        <w:t xml:space="preserve">Care, Review, Rheumatology, Rheumatology, Science, SLE, Systematic, Systematic Review, Systemic Lupus Erythematosus, Utilisation, </w:t>
      </w:r>
      <w:r w:rsidR="00D5664A">
        <w:rPr>
          <w:kern w:val="0"/>
        </w:rPr>
        <w:t>Web</w:t>
      </w:r>
      <w:r w:rsidR="00427468">
        <w:rPr>
          <w:kern w:val="0"/>
        </w:rPr>
        <w:t xml:space="preserve"> of </w:t>
      </w:r>
      <w:r w:rsidR="00D5664A">
        <w:rPr>
          <w:kern w:val="0"/>
        </w:rPr>
        <w:t>Science</w:t>
      </w:r>
    </w:p>
    <w:p w:rsidR="00CB0126" w:rsidRDefault="00CB0126" w:rsidP="00CB0126">
      <w:pPr>
        <w:pStyle w:val="a3"/>
        <w:rPr>
          <w:kern w:val="0"/>
        </w:rPr>
      </w:pPr>
      <w:r>
        <w:rPr>
          <w:rFonts w:hint="eastAsia"/>
          <w:kern w:val="0"/>
        </w:rPr>
        <w:t xml:space="preserve">? </w:t>
      </w:r>
      <w:r>
        <w:rPr>
          <w:kern w:val="0"/>
        </w:rPr>
        <w:t>Capron, J., Grateau, G.</w:t>
      </w:r>
      <w:r w:rsidR="005853A9">
        <w:rPr>
          <w:kern w:val="0"/>
        </w:rPr>
        <w:t xml:space="preserve"> and </w:t>
      </w:r>
      <w:r>
        <w:rPr>
          <w:kern w:val="0"/>
        </w:rPr>
        <w:t>Steichen, O. (2013), Is recurrent aseptic meningitis a manifestation</w:t>
      </w:r>
      <w:r w:rsidR="00427468">
        <w:rPr>
          <w:kern w:val="0"/>
        </w:rPr>
        <w:t xml:space="preserve"> of </w:t>
      </w:r>
      <w:r>
        <w:rPr>
          <w:kern w:val="0"/>
        </w:rPr>
        <w:t xml:space="preserve">familial Mediterranean fever? A systematic review. </w:t>
      </w:r>
      <w:r>
        <w:rPr>
          <w:i/>
          <w:iCs/>
          <w:kern w:val="0"/>
        </w:rPr>
        <w:t>Clinical</w:t>
      </w:r>
      <w:r w:rsidR="005853A9">
        <w:rPr>
          <w:i/>
          <w:iCs/>
          <w:kern w:val="0"/>
        </w:rPr>
        <w:t xml:space="preserve"> and </w:t>
      </w:r>
      <w:r>
        <w:rPr>
          <w:i/>
          <w:iCs/>
          <w:kern w:val="0"/>
        </w:rPr>
        <w:t>Experimental Rheumatology</w:t>
      </w:r>
      <w:r>
        <w:rPr>
          <w:kern w:val="0"/>
        </w:rPr>
        <w:t xml:space="preserve">, </w:t>
      </w:r>
      <w:r>
        <w:rPr>
          <w:b/>
          <w:bCs/>
          <w:kern w:val="0"/>
        </w:rPr>
        <w:t>31</w:t>
      </w:r>
      <w:r>
        <w:rPr>
          <w:kern w:val="0"/>
        </w:rPr>
        <w:t xml:space="preserve"> (3), S127-S132.</w:t>
      </w:r>
    </w:p>
    <w:p w:rsidR="00CB0126" w:rsidRDefault="00CB0126" w:rsidP="00CB0126">
      <w:pPr>
        <w:pStyle w:val="a3"/>
        <w:rPr>
          <w:kern w:val="0"/>
        </w:rPr>
      </w:pPr>
      <w:r>
        <w:rPr>
          <w:rFonts w:hint="eastAsia"/>
          <w:kern w:val="0"/>
        </w:rPr>
        <w:t>Full Text: 2013\</w:t>
      </w:r>
      <w:r>
        <w:rPr>
          <w:iCs/>
          <w:kern w:val="0"/>
        </w:rPr>
        <w:t>Cli Exp Rhe</w:t>
      </w:r>
      <w:r w:rsidRPr="00FF5018">
        <w:rPr>
          <w:bCs/>
          <w:kern w:val="0"/>
        </w:rPr>
        <w:t>31</w:t>
      </w:r>
      <w:r>
        <w:rPr>
          <w:kern w:val="0"/>
        </w:rPr>
        <w:t>, S127</w:t>
      </w:r>
      <w:r>
        <w:rPr>
          <w:rFonts w:hint="eastAsia"/>
          <w:kern w:val="0"/>
        </w:rPr>
        <w:t>.pdf</w:t>
      </w:r>
    </w:p>
    <w:p w:rsidR="00CB0126" w:rsidRDefault="00CB0126" w:rsidP="00CB0126">
      <w:pPr>
        <w:pStyle w:val="a3"/>
        <w:rPr>
          <w:kern w:val="0"/>
        </w:rPr>
      </w:pPr>
      <w:r>
        <w:rPr>
          <w:kern w:val="0"/>
        </w:rPr>
        <w:t>Abstract: Objectives. Familial Mediterranean fever (FMF) causes recurrent episodes</w:t>
      </w:r>
      <w:r w:rsidR="00427468">
        <w:rPr>
          <w:kern w:val="0"/>
        </w:rPr>
        <w:t xml:space="preserve"> of </w:t>
      </w:r>
      <w:r>
        <w:rPr>
          <w:kern w:val="0"/>
        </w:rPr>
        <w:t>fever</w:t>
      </w:r>
      <w:r w:rsidR="005853A9">
        <w:rPr>
          <w:kern w:val="0"/>
        </w:rPr>
        <w:t xml:space="preserve"> and </w:t>
      </w:r>
      <w:r>
        <w:rPr>
          <w:kern w:val="0"/>
        </w:rPr>
        <w:t>painful serositis. It has been suggested that FMF can cause recurrent aseptic meningitis (RAM). Due to the rarity</w:t>
      </w:r>
      <w:r w:rsidR="00427468">
        <w:rPr>
          <w:kern w:val="0"/>
        </w:rPr>
        <w:t xml:space="preserve"> of </w:t>
      </w:r>
      <w:r>
        <w:rPr>
          <w:kern w:val="0"/>
        </w:rPr>
        <w:t>both diseases, this claim cannot be assessed with epidemiological methods. We therefore decided to perform a systematic review</w:t>
      </w:r>
      <w:r w:rsidR="00427468">
        <w:rPr>
          <w:kern w:val="0"/>
        </w:rPr>
        <w:t xml:space="preserve"> of </w:t>
      </w:r>
      <w:r>
        <w:rPr>
          <w:kern w:val="0"/>
        </w:rPr>
        <w:t>the literature to assess the number</w:t>
      </w:r>
      <w:r w:rsidR="005853A9">
        <w:rPr>
          <w:kern w:val="0"/>
        </w:rPr>
        <w:t xml:space="preserve"> and </w:t>
      </w:r>
      <w:r>
        <w:rPr>
          <w:kern w:val="0"/>
        </w:rPr>
        <w:t>validity</w:t>
      </w:r>
      <w:r w:rsidR="00427468">
        <w:rPr>
          <w:kern w:val="0"/>
        </w:rPr>
        <w:t xml:space="preserve"> of </w:t>
      </w:r>
      <w:r>
        <w:rPr>
          <w:kern w:val="0"/>
        </w:rPr>
        <w:t xml:space="preserve">published case reports. Methods. </w:t>
      </w:r>
      <w:r w:rsidR="00D5664A">
        <w:rPr>
          <w:kern w:val="0"/>
        </w:rPr>
        <w:t>MEDLINE</w:t>
      </w:r>
      <w:r>
        <w:rPr>
          <w:kern w:val="0"/>
        </w:rPr>
        <w:t xml:space="preserve">, Embase, Pascal, </w:t>
      </w:r>
      <w:r w:rsidR="00D5664A">
        <w:rPr>
          <w:kern w:val="0"/>
        </w:rPr>
        <w:t>Web</w:t>
      </w:r>
      <w:r w:rsidR="00427468">
        <w:rPr>
          <w:kern w:val="0"/>
        </w:rPr>
        <w:t xml:space="preserve"> of </w:t>
      </w:r>
      <w:r w:rsidR="00D5664A">
        <w:rPr>
          <w:kern w:val="0"/>
        </w:rPr>
        <w:t>Science</w:t>
      </w:r>
      <w:r w:rsidR="005853A9">
        <w:rPr>
          <w:kern w:val="0"/>
        </w:rPr>
        <w:t xml:space="preserve"> and </w:t>
      </w:r>
      <w:r>
        <w:rPr>
          <w:kern w:val="0"/>
        </w:rPr>
        <w:t>the proceedings</w:t>
      </w:r>
      <w:r w:rsidR="00427468">
        <w:rPr>
          <w:kern w:val="0"/>
        </w:rPr>
        <w:t xml:space="preserve"> of </w:t>
      </w:r>
      <w:r>
        <w:rPr>
          <w:kern w:val="0"/>
        </w:rPr>
        <w:t>relevant conferences were searched. Two independent investigators selected reports asserting RAM in FMF patients, abstracted data</w:t>
      </w:r>
      <w:r w:rsidR="005853A9">
        <w:rPr>
          <w:kern w:val="0"/>
        </w:rPr>
        <w:t xml:space="preserve"> and </w:t>
      </w:r>
      <w:r>
        <w:rPr>
          <w:kern w:val="0"/>
        </w:rPr>
        <w:t>rated the strength</w:t>
      </w:r>
      <w:r w:rsidR="00427468">
        <w:rPr>
          <w:kern w:val="0"/>
        </w:rPr>
        <w:t xml:space="preserve"> of </w:t>
      </w:r>
      <w:r>
        <w:rPr>
          <w:kern w:val="0"/>
        </w:rPr>
        <w:t>evidence with a custom tool designed to assess: (a) the diagnosis</w:t>
      </w:r>
      <w:r w:rsidR="00427468">
        <w:rPr>
          <w:kern w:val="0"/>
        </w:rPr>
        <w:t xml:space="preserve"> of </w:t>
      </w:r>
      <w:r>
        <w:rPr>
          <w:kern w:val="0"/>
        </w:rPr>
        <w:t>FMF; (b) the diagnosis</w:t>
      </w:r>
      <w:r w:rsidR="00427468">
        <w:rPr>
          <w:kern w:val="0"/>
        </w:rPr>
        <w:t xml:space="preserve"> of </w:t>
      </w:r>
      <w:r>
        <w:rPr>
          <w:kern w:val="0"/>
        </w:rPr>
        <w:t>RAM;</w:t>
      </w:r>
      <w:r w:rsidR="005853A9">
        <w:rPr>
          <w:kern w:val="0"/>
        </w:rPr>
        <w:t xml:space="preserve"> and </w:t>
      </w:r>
      <w:r>
        <w:rPr>
          <w:kern w:val="0"/>
        </w:rPr>
        <w:t>(c) the link between FMF</w:t>
      </w:r>
      <w:r w:rsidR="005853A9">
        <w:rPr>
          <w:kern w:val="0"/>
        </w:rPr>
        <w:t xml:space="preserve"> and </w:t>
      </w:r>
      <w:r>
        <w:rPr>
          <w:kern w:val="0"/>
        </w:rPr>
        <w:t>RAM. A ca</w:t>
      </w:r>
      <w:r w:rsidR="00D5664A">
        <w:rPr>
          <w:kern w:val="0"/>
        </w:rPr>
        <w:t>USA</w:t>
      </w:r>
      <w:r>
        <w:rPr>
          <w:kern w:val="0"/>
        </w:rPr>
        <w:t>l link was supported by (i) evidence</w:t>
      </w:r>
      <w:r w:rsidR="00427468">
        <w:rPr>
          <w:kern w:val="0"/>
        </w:rPr>
        <w:t xml:space="preserve"> of </w:t>
      </w:r>
      <w:r>
        <w:rPr>
          <w:kern w:val="0"/>
        </w:rPr>
        <w:t>inflammation and/or clinical FMF features during episodes</w:t>
      </w:r>
      <w:r w:rsidR="00427468">
        <w:rPr>
          <w:kern w:val="0"/>
        </w:rPr>
        <w:t xml:space="preserve"> of </w:t>
      </w:r>
      <w:r>
        <w:rPr>
          <w:kern w:val="0"/>
        </w:rPr>
        <w:t>RAM; (ii) effectiveness</w:t>
      </w:r>
      <w:r w:rsidR="00427468">
        <w:rPr>
          <w:kern w:val="0"/>
        </w:rPr>
        <w:t xml:space="preserve"> of </w:t>
      </w:r>
      <w:r>
        <w:rPr>
          <w:kern w:val="0"/>
        </w:rPr>
        <w:t>colchicine to prevent further bouts</w:t>
      </w:r>
      <w:r w:rsidR="00427468">
        <w:rPr>
          <w:kern w:val="0"/>
        </w:rPr>
        <w:t xml:space="preserve"> of </w:t>
      </w:r>
      <w:r>
        <w:rPr>
          <w:kern w:val="0"/>
        </w:rPr>
        <w:t>meningitis;</w:t>
      </w:r>
      <w:r w:rsidR="005853A9">
        <w:rPr>
          <w:kern w:val="0"/>
        </w:rPr>
        <w:t xml:space="preserve"> and </w:t>
      </w:r>
      <w:r>
        <w:rPr>
          <w:kern w:val="0"/>
        </w:rPr>
        <w:t>(iii) the exclusion</w:t>
      </w:r>
      <w:r w:rsidR="00427468">
        <w:rPr>
          <w:kern w:val="0"/>
        </w:rPr>
        <w:t xml:space="preserve"> of </w:t>
      </w:r>
      <w:r>
        <w:rPr>
          <w:kern w:val="0"/>
        </w:rPr>
        <w:t>other causes</w:t>
      </w:r>
      <w:r w:rsidR="00427468">
        <w:rPr>
          <w:kern w:val="0"/>
        </w:rPr>
        <w:t xml:space="preserve"> of </w:t>
      </w:r>
      <w:r>
        <w:rPr>
          <w:kern w:val="0"/>
        </w:rPr>
        <w:t>RAM. Results. Among 944 retrieved references, 917 were rejected by title</w:t>
      </w:r>
      <w:r w:rsidR="005853A9">
        <w:rPr>
          <w:kern w:val="0"/>
        </w:rPr>
        <w:t xml:space="preserve"> and </w:t>
      </w:r>
      <w:r>
        <w:rPr>
          <w:kern w:val="0"/>
        </w:rPr>
        <w:t>abstract screening</w:t>
      </w:r>
      <w:r w:rsidR="005853A9">
        <w:rPr>
          <w:kern w:val="0"/>
        </w:rPr>
        <w:t xml:space="preserve"> and </w:t>
      </w:r>
      <w:r>
        <w:rPr>
          <w:kern w:val="0"/>
        </w:rPr>
        <w:t>15 after full text review</w:t>
      </w:r>
      <w:r w:rsidR="00A37C1D">
        <w:rPr>
          <w:kern w:val="0"/>
        </w:rPr>
        <w:t>. The</w:t>
      </w:r>
      <w:r>
        <w:rPr>
          <w:kern w:val="0"/>
        </w:rPr>
        <w:t xml:space="preserve"> strength</w:t>
      </w:r>
      <w:r w:rsidR="00427468">
        <w:rPr>
          <w:kern w:val="0"/>
        </w:rPr>
        <w:t xml:space="preserve"> of </w:t>
      </w:r>
      <w:r>
        <w:rPr>
          <w:kern w:val="0"/>
        </w:rPr>
        <w:t>evidence</w:t>
      </w:r>
      <w:r w:rsidR="00427468">
        <w:rPr>
          <w:kern w:val="0"/>
        </w:rPr>
        <w:t xml:space="preserve"> of </w:t>
      </w:r>
      <w:r>
        <w:rPr>
          <w:kern w:val="0"/>
        </w:rPr>
        <w:t>12 alleged cases</w:t>
      </w:r>
      <w:r w:rsidR="00427468">
        <w:rPr>
          <w:kern w:val="0"/>
        </w:rPr>
        <w:t xml:space="preserve"> of </w:t>
      </w:r>
      <w:r>
        <w:rPr>
          <w:kern w:val="0"/>
        </w:rPr>
        <w:t>RAM due to FMF was assessed. FMF was unsupported in 4 cases</w:t>
      </w:r>
      <w:r w:rsidR="005853A9">
        <w:rPr>
          <w:kern w:val="0"/>
        </w:rPr>
        <w:t xml:space="preserve"> and </w:t>
      </w:r>
      <w:r>
        <w:rPr>
          <w:kern w:val="0"/>
        </w:rPr>
        <w:t>RAM in 3 further cases. Four</w:t>
      </w:r>
      <w:r w:rsidR="00427468">
        <w:rPr>
          <w:kern w:val="0"/>
        </w:rPr>
        <w:t xml:space="preserve"> of </w:t>
      </w:r>
      <w:r>
        <w:rPr>
          <w:kern w:val="0"/>
        </w:rPr>
        <w:t>the 5 remaining cases did not provide adequate evidence to support a. ca</w:t>
      </w:r>
      <w:r w:rsidR="00D5664A">
        <w:rPr>
          <w:kern w:val="0"/>
        </w:rPr>
        <w:t>USA</w:t>
      </w:r>
      <w:r>
        <w:rPr>
          <w:kern w:val="0"/>
        </w:rPr>
        <w:t>l relationship between FMF</w:t>
      </w:r>
      <w:r w:rsidR="005853A9">
        <w:rPr>
          <w:kern w:val="0"/>
        </w:rPr>
        <w:t xml:space="preserve"> and </w:t>
      </w:r>
      <w:r>
        <w:rPr>
          <w:kern w:val="0"/>
        </w:rPr>
        <w:t>RAM. Conclusion</w:t>
      </w:r>
      <w:r w:rsidR="00A37C1D">
        <w:rPr>
          <w:kern w:val="0"/>
        </w:rPr>
        <w:t>. The</w:t>
      </w:r>
      <w:r>
        <w:rPr>
          <w:kern w:val="0"/>
        </w:rPr>
        <w:t xml:space="preserve"> possibility</w:t>
      </w:r>
      <w:r w:rsidR="00427468">
        <w:rPr>
          <w:kern w:val="0"/>
        </w:rPr>
        <w:t xml:space="preserve"> of </w:t>
      </w:r>
      <w:r>
        <w:rPr>
          <w:kern w:val="0"/>
        </w:rPr>
        <w:t>RAM due to FMF is poorly supported by a single fairly documented case report that does not, however, meet current diagnostic standards.</w:t>
      </w:r>
    </w:p>
    <w:p w:rsidR="00CB0126" w:rsidRDefault="00CB0126" w:rsidP="00CB0126">
      <w:pPr>
        <w:pStyle w:val="a3"/>
        <w:rPr>
          <w:kern w:val="0"/>
        </w:rPr>
      </w:pPr>
      <w:r>
        <w:rPr>
          <w:kern w:val="0"/>
        </w:rPr>
        <w:t>Keywords: Acute Abdomen, Aseptic, Case Report, Case Reports, Case-Series, Ca</w:t>
      </w:r>
      <w:r w:rsidR="00D5664A">
        <w:rPr>
          <w:kern w:val="0"/>
        </w:rPr>
        <w:t>USA</w:t>
      </w:r>
      <w:r>
        <w:rPr>
          <w:kern w:val="0"/>
        </w:rPr>
        <w:t xml:space="preserve">lity, Children, Clin, Clinical, Colchicine, Conferences, Data, Diagnosis, Disease, Diseases, Effectiveness, Evidence, Familial, Familial Mediterranean Fever, Fever, France, Inflammation, Italy, Literature, Lymphocytic Meningitis, Mediterranean, </w:t>
      </w:r>
      <w:r w:rsidR="00D5664A">
        <w:rPr>
          <w:kern w:val="0"/>
        </w:rPr>
        <w:t>MEDLINE</w:t>
      </w:r>
      <w:r>
        <w:rPr>
          <w:kern w:val="0"/>
        </w:rPr>
        <w:t xml:space="preserve">, Meningitis, Metaraminol, Methods, Mollarets Meningitis, Patients, Periodic Meningitis, Polyserositis, Prevent, Rarity, Recurrent, References, Results, Review, Science, Screening, Standards, Strength, Support, Systematic Review, Validity, </w:t>
      </w:r>
      <w:r w:rsidR="00D5664A">
        <w:rPr>
          <w:kern w:val="0"/>
        </w:rPr>
        <w:t>Web</w:t>
      </w:r>
      <w:r w:rsidR="00427468">
        <w:rPr>
          <w:kern w:val="0"/>
        </w:rPr>
        <w:t xml:space="preserve"> of </w:t>
      </w:r>
      <w:r w:rsidR="00D5664A">
        <w:rPr>
          <w:kern w:val="0"/>
        </w:rPr>
        <w:t>Science</w:t>
      </w:r>
    </w:p>
    <w:p w:rsidR="00705223" w:rsidRPr="00C73C58" w:rsidRDefault="00705223" w:rsidP="00705223">
      <w:pPr>
        <w:pStyle w:val="1"/>
      </w:pPr>
      <w:r w:rsidRPr="00C73C58">
        <w:br w:type="page"/>
      </w:r>
      <w:bookmarkStart w:id="280" w:name="_Toc420815024"/>
      <w:r w:rsidRPr="00C73C58">
        <w:lastRenderedPageBreak/>
        <w:t xml:space="preserve">Title: </w:t>
      </w:r>
      <w:r w:rsidRPr="002A48E2">
        <w:rPr>
          <w:iCs w:val="0"/>
        </w:rPr>
        <w:t>Clinical Gastroenterology</w:t>
      </w:r>
      <w:r w:rsidR="005853A9">
        <w:rPr>
          <w:iCs w:val="0"/>
        </w:rPr>
        <w:t xml:space="preserve"> and </w:t>
      </w:r>
      <w:r w:rsidRPr="002A48E2">
        <w:rPr>
          <w:iCs w:val="0"/>
        </w:rPr>
        <w:t>Hepatology</w:t>
      </w:r>
      <w:bookmarkEnd w:id="280"/>
    </w:p>
    <w:p w:rsidR="00705223" w:rsidRDefault="00705223" w:rsidP="00705223">
      <w:pPr>
        <w:pStyle w:val="12"/>
      </w:pPr>
      <w:r w:rsidRPr="001A3D2B">
        <w:t xml:space="preserve">Full Journal Title: </w:t>
      </w:r>
      <w:r w:rsidRPr="002A48E2">
        <w:rPr>
          <w:iCs/>
          <w:kern w:val="0"/>
        </w:rPr>
        <w:t>Clinical Gastroenterology</w:t>
      </w:r>
      <w:r w:rsidR="005853A9">
        <w:rPr>
          <w:iCs/>
          <w:kern w:val="0"/>
        </w:rPr>
        <w:t xml:space="preserve"> and </w:t>
      </w:r>
      <w:r w:rsidRPr="002A48E2">
        <w:rPr>
          <w:iCs/>
          <w:kern w:val="0"/>
        </w:rPr>
        <w:t>Hepatology</w:t>
      </w:r>
    </w:p>
    <w:p w:rsidR="00705223" w:rsidRPr="00C73C58" w:rsidRDefault="00705223" w:rsidP="00705223">
      <w:pPr>
        <w:pStyle w:val="12"/>
      </w:pPr>
      <w:r w:rsidRPr="00C73C58">
        <w:t xml:space="preserve">ISO Abbreviated Title: </w:t>
      </w:r>
    </w:p>
    <w:p w:rsidR="00705223" w:rsidRPr="00C73C58" w:rsidRDefault="00705223" w:rsidP="00705223">
      <w:pPr>
        <w:pStyle w:val="12"/>
      </w:pPr>
      <w:r w:rsidRPr="00C73C58">
        <w:t xml:space="preserve">JCR Abbreviated Title: </w:t>
      </w:r>
    </w:p>
    <w:p w:rsidR="00705223" w:rsidRPr="00C73C58" w:rsidRDefault="00705223" w:rsidP="00705223">
      <w:pPr>
        <w:pStyle w:val="12"/>
      </w:pPr>
      <w:r w:rsidRPr="00C73C58">
        <w:t xml:space="preserve">ISSN: </w:t>
      </w:r>
    </w:p>
    <w:p w:rsidR="00705223" w:rsidRPr="00C73C58" w:rsidRDefault="00705223" w:rsidP="00705223">
      <w:pPr>
        <w:pStyle w:val="12"/>
      </w:pPr>
      <w:r w:rsidRPr="00C73C58">
        <w:t xml:space="preserve">Issues/Year: </w:t>
      </w:r>
    </w:p>
    <w:p w:rsidR="00705223" w:rsidRPr="00C73C58" w:rsidRDefault="00705223" w:rsidP="00705223">
      <w:pPr>
        <w:pStyle w:val="12"/>
      </w:pPr>
      <w:r w:rsidRPr="00C73C58">
        <w:t xml:space="preserve">Language: </w:t>
      </w:r>
    </w:p>
    <w:p w:rsidR="00705223" w:rsidRPr="00C73C58" w:rsidRDefault="00705223" w:rsidP="00705223">
      <w:pPr>
        <w:pStyle w:val="12"/>
      </w:pPr>
      <w:r w:rsidRPr="00C73C58">
        <w:t xml:space="preserve">Journal Country/Territory: </w:t>
      </w:r>
    </w:p>
    <w:p w:rsidR="00705223" w:rsidRPr="00C73C58" w:rsidRDefault="00705223" w:rsidP="00705223">
      <w:pPr>
        <w:pStyle w:val="12"/>
      </w:pPr>
      <w:r w:rsidRPr="00C73C58">
        <w:t xml:space="preserve">Publisher: </w:t>
      </w:r>
    </w:p>
    <w:p w:rsidR="00705223" w:rsidRPr="00C73C58" w:rsidRDefault="00705223" w:rsidP="00705223">
      <w:pPr>
        <w:pStyle w:val="12"/>
      </w:pPr>
      <w:r w:rsidRPr="00C73C58">
        <w:t xml:space="preserve">Publisher Address: </w:t>
      </w:r>
    </w:p>
    <w:p w:rsidR="00705223" w:rsidRPr="00C73C58" w:rsidRDefault="00705223" w:rsidP="00705223">
      <w:pPr>
        <w:pStyle w:val="12"/>
      </w:pPr>
      <w:r w:rsidRPr="00C73C58">
        <w:t xml:space="preserve">Subject Categories: </w:t>
      </w:r>
    </w:p>
    <w:p w:rsidR="00705223" w:rsidRPr="00C73C58" w:rsidRDefault="00705223" w:rsidP="00705223">
      <w:pPr>
        <w:pStyle w:val="12"/>
      </w:pPr>
      <w:r w:rsidRPr="00C73C58">
        <w:t>: Impact Factor</w:t>
      </w:r>
    </w:p>
    <w:p w:rsidR="00705223" w:rsidRDefault="00705223" w:rsidP="00705223">
      <w:pPr>
        <w:pStyle w:val="a3"/>
        <w:rPr>
          <w:kern w:val="0"/>
        </w:rPr>
      </w:pPr>
      <w:r>
        <w:rPr>
          <w:rFonts w:hint="eastAsia"/>
          <w:kern w:val="0"/>
        </w:rPr>
        <w:t xml:space="preserve">? </w:t>
      </w:r>
      <w:r>
        <w:rPr>
          <w:kern w:val="0"/>
        </w:rPr>
        <w:t>Andresen, V., Montori, V.M., Keller, J., West, C.P., Layer, P.</w:t>
      </w:r>
      <w:r w:rsidR="005853A9">
        <w:rPr>
          <w:kern w:val="0"/>
        </w:rPr>
        <w:t xml:space="preserve"> and </w:t>
      </w:r>
      <w:r>
        <w:rPr>
          <w:kern w:val="0"/>
        </w:rPr>
        <w:t>Camilleri, M. (2008), Effects</w:t>
      </w:r>
      <w:r w:rsidR="00427468">
        <w:rPr>
          <w:kern w:val="0"/>
        </w:rPr>
        <w:t xml:space="preserve"> of </w:t>
      </w:r>
      <w:r>
        <w:rPr>
          <w:kern w:val="0"/>
        </w:rPr>
        <w:t>5-hydroxytryptamine (serotonin) type 3 antagoniosts on symptom relief</w:t>
      </w:r>
      <w:r w:rsidR="005853A9">
        <w:rPr>
          <w:kern w:val="0"/>
        </w:rPr>
        <w:t xml:space="preserve"> and </w:t>
      </w:r>
      <w:r>
        <w:rPr>
          <w:kern w:val="0"/>
        </w:rPr>
        <w:t>constipation in nonconstipated irritable bowel syndrome: A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sidRPr="002A48E2">
        <w:rPr>
          <w:i/>
          <w:iCs/>
          <w:kern w:val="0"/>
        </w:rPr>
        <w:t>Clinical Gastroenterology</w:t>
      </w:r>
      <w:r w:rsidR="005853A9">
        <w:rPr>
          <w:i/>
          <w:iCs/>
          <w:kern w:val="0"/>
        </w:rPr>
        <w:t xml:space="preserve"> and </w:t>
      </w:r>
      <w:r w:rsidRPr="002A48E2">
        <w:rPr>
          <w:i/>
          <w:iCs/>
          <w:kern w:val="0"/>
        </w:rPr>
        <w:t>Hepatology</w:t>
      </w:r>
      <w:r>
        <w:rPr>
          <w:kern w:val="0"/>
        </w:rPr>
        <w:t xml:space="preserve">, </w:t>
      </w:r>
      <w:r>
        <w:rPr>
          <w:b/>
          <w:bCs/>
          <w:kern w:val="0"/>
        </w:rPr>
        <w:t>6</w:t>
      </w:r>
      <w:r>
        <w:rPr>
          <w:kern w:val="0"/>
        </w:rPr>
        <w:t xml:space="preserve"> (5), 545-555.</w:t>
      </w:r>
    </w:p>
    <w:p w:rsidR="00705223" w:rsidRDefault="00705223" w:rsidP="00705223">
      <w:pPr>
        <w:pStyle w:val="a3"/>
        <w:rPr>
          <w:kern w:val="0"/>
        </w:rPr>
      </w:pPr>
      <w:r>
        <w:rPr>
          <w:kern w:val="0"/>
        </w:rPr>
        <w:t>Abstract: Background &amp; Aims: We performed a systematic review</w:t>
      </w:r>
      <w:r w:rsidR="005853A9">
        <w:rPr>
          <w:kern w:val="0"/>
        </w:rPr>
        <w:t xml:space="preserve"> and </w:t>
      </w:r>
      <w:r>
        <w:rPr>
          <w:kern w:val="0"/>
        </w:rPr>
        <w:t>meta-analyses to estimate treatment efficacy</w:t>
      </w:r>
      <w:r w:rsidR="005853A9">
        <w:rPr>
          <w:kern w:val="0"/>
        </w:rPr>
        <w:t xml:space="preserve"> and </w:t>
      </w:r>
      <w:r>
        <w:rPr>
          <w:kern w:val="0"/>
        </w:rPr>
        <w:t>constipation rate</w:t>
      </w:r>
      <w:r w:rsidR="00427468">
        <w:rPr>
          <w:kern w:val="0"/>
        </w:rPr>
        <w:t xml:space="preserve"> of </w:t>
      </w:r>
      <w:r>
        <w:rPr>
          <w:kern w:val="0"/>
        </w:rPr>
        <w:t xml:space="preserve">5-hydroxytryptamine (serotonin) (5-HT3) antagonists in patients with nonconstipated (NC) or diarrhea-predominant (D)-irritable bowel syndrome (IBS). Methods: Two reviewers independently searched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(January 1, 1966 to December 15, 2006) for randomized controlled trials</w:t>
      </w:r>
      <w:r w:rsidR="00427468">
        <w:rPr>
          <w:kern w:val="0"/>
        </w:rPr>
        <w:t xml:space="preserve"> of </w:t>
      </w:r>
      <w:r>
        <w:rPr>
          <w:kern w:val="0"/>
        </w:rPr>
        <w:t>5-HT3 antagonists in IBS reporting clinical end points</w:t>
      </w:r>
      <w:r w:rsidR="00427468">
        <w:rPr>
          <w:kern w:val="0"/>
        </w:rPr>
        <w:t xml:space="preserve"> of </w:t>
      </w:r>
      <w:r w:rsidR="003A1917">
        <w:rPr>
          <w:kern w:val="0"/>
        </w:rPr>
        <w:t xml:space="preserve">the </w:t>
      </w:r>
      <w:r>
        <w:rPr>
          <w:kern w:val="0"/>
        </w:rPr>
        <w:t>IBS symptom complex</w:t>
      </w:r>
      <w:r w:rsidR="005853A9">
        <w:rPr>
          <w:kern w:val="0"/>
        </w:rPr>
        <w:t xml:space="preserve"> and </w:t>
      </w:r>
      <w:r>
        <w:rPr>
          <w:kern w:val="0"/>
        </w:rPr>
        <w:t>safety parameters. Study characteristics, markers</w:t>
      </w:r>
      <w:r w:rsidR="00427468">
        <w:rPr>
          <w:kern w:val="0"/>
        </w:rPr>
        <w:t xml:space="preserve"> of </w:t>
      </w:r>
      <w:r>
        <w:rPr>
          <w:kern w:val="0"/>
        </w:rPr>
        <w:t>methodologic quality,</w:t>
      </w:r>
      <w:r w:rsidR="005853A9">
        <w:rPr>
          <w:kern w:val="0"/>
        </w:rPr>
        <w:t xml:space="preserve"> and </w:t>
      </w:r>
      <w:r>
        <w:rPr>
          <w:kern w:val="0"/>
        </w:rPr>
        <w:t>outcomes for</w:t>
      </w:r>
      <w:r w:rsidR="003A1917">
        <w:rPr>
          <w:kern w:val="0"/>
        </w:rPr>
        <w:t xml:space="preserve"> the </w:t>
      </w:r>
      <w:r>
        <w:rPr>
          <w:kern w:val="0"/>
        </w:rPr>
        <w:t>intention-to-treat population for each randomized controlled trial were extracted independently. Results: We found 14 eligible randomized controlled trials</w:t>
      </w:r>
      <w:r w:rsidR="00427468">
        <w:rPr>
          <w:kern w:val="0"/>
        </w:rPr>
        <w:t xml:space="preserve"> of </w:t>
      </w:r>
      <w:r>
        <w:rPr>
          <w:kern w:val="0"/>
        </w:rPr>
        <w:t>alosetron (n = 3024) or cilansetron (n = 1116) versus placebo (n = 3043) or mebeverine (n = 304). Random-effects meta-analyses found 5-HT3 antagonists more effective than</w:t>
      </w:r>
      <w:r w:rsidR="003A1917">
        <w:rPr>
          <w:kern w:val="0"/>
        </w:rPr>
        <w:t xml:space="preserve"> the </w:t>
      </w:r>
      <w:r>
        <w:rPr>
          <w:kern w:val="0"/>
        </w:rPr>
        <w:t>comparators in achieving global improvement in IBS symptoms (pooled relative risk, 1.60; 95% confidence interval [0], 1.49-1.72; I-2 = 0%)</w:t>
      </w:r>
      <w:r w:rsidR="005853A9">
        <w:rPr>
          <w:kern w:val="0"/>
        </w:rPr>
        <w:t xml:space="preserve"> and </w:t>
      </w:r>
      <w:r>
        <w:rPr>
          <w:kern w:val="0"/>
        </w:rPr>
        <w:t>relief</w:t>
      </w:r>
      <w:r w:rsidR="00427468">
        <w:rPr>
          <w:kern w:val="0"/>
        </w:rPr>
        <w:t xml:space="preserve"> of </w:t>
      </w:r>
      <w:r>
        <w:rPr>
          <w:kern w:val="0"/>
        </w:rPr>
        <w:t>abdominal pain</w:t>
      </w:r>
      <w:r w:rsidR="005853A9">
        <w:rPr>
          <w:kern w:val="0"/>
        </w:rPr>
        <w:t xml:space="preserve"> and </w:t>
      </w:r>
      <w:r>
        <w:rPr>
          <w:kern w:val="0"/>
        </w:rPr>
        <w:t>discomfort (pooled relative risk, 1.30; 95% CI, 1.22-1.39; 12 = 22%). Benefit was apparent for both agents, in patients</w:t>
      </w:r>
      <w:r w:rsidR="00427468">
        <w:rPr>
          <w:kern w:val="0"/>
        </w:rPr>
        <w:t xml:space="preserve"> of </w:t>
      </w:r>
      <w:r>
        <w:rPr>
          <w:kern w:val="0"/>
        </w:rPr>
        <w:t>either sex</w:t>
      </w:r>
      <w:r w:rsidR="00A37C1D">
        <w:rPr>
          <w:kern w:val="0"/>
        </w:rPr>
        <w:t>. The</w:t>
      </w:r>
      <w:r>
        <w:rPr>
          <w:kern w:val="0"/>
        </w:rPr>
        <w:t>se agents were more likely to cause constipation (pooled relative risk, 4.28; 95% CI, 3.28-5.60, 12 = 65%); there was less constipation with 5-HT3 antagonists in D-IBS patients than in mixed populations (NC-IBS</w:t>
      </w:r>
      <w:r w:rsidR="005853A9">
        <w:rPr>
          <w:kern w:val="0"/>
        </w:rPr>
        <w:t xml:space="preserve"> and </w:t>
      </w:r>
      <w:r>
        <w:rPr>
          <w:kern w:val="0"/>
        </w:rPr>
        <w:t xml:space="preserve">D-IBS; relative risk ratio, 0.65; 95% CI, 0.41-0.99). Nine patients (0.2%) using 5-HT3 antagonists had possible </w:t>
      </w:r>
      <w:r>
        <w:rPr>
          <w:kern w:val="0"/>
        </w:rPr>
        <w:lastRenderedPageBreak/>
        <w:t>ischemic colitis versus none in control groups. Conclusions: 5-HT3 antagonists significantly improve symptoms</w:t>
      </w:r>
      <w:r w:rsidR="00427468">
        <w:rPr>
          <w:kern w:val="0"/>
        </w:rPr>
        <w:t xml:space="preserve"> of </w:t>
      </w:r>
      <w:r>
        <w:rPr>
          <w:kern w:val="0"/>
        </w:rPr>
        <w:t>NC-IBS or D-IBS in men</w:t>
      </w:r>
      <w:r w:rsidR="005853A9">
        <w:rPr>
          <w:kern w:val="0"/>
        </w:rPr>
        <w:t xml:space="preserve"> and </w:t>
      </w:r>
      <w:r>
        <w:rPr>
          <w:kern w:val="0"/>
        </w:rPr>
        <w:t>women</w:t>
      </w:r>
      <w:r w:rsidR="00A37C1D">
        <w:rPr>
          <w:kern w:val="0"/>
        </w:rPr>
        <w:t>. The</w:t>
      </w:r>
      <w:r>
        <w:rPr>
          <w:kern w:val="0"/>
        </w:rPr>
        <w:t>re is an increased risk</w:t>
      </w:r>
      <w:r w:rsidR="00427468">
        <w:rPr>
          <w:kern w:val="0"/>
        </w:rPr>
        <w:t xml:space="preserve"> of </w:t>
      </w:r>
      <w:r>
        <w:rPr>
          <w:kern w:val="0"/>
        </w:rPr>
        <w:t>constipation with 5-HT3 antagonists, although</w:t>
      </w:r>
      <w:r w:rsidR="003A1917">
        <w:rPr>
          <w:kern w:val="0"/>
        </w:rPr>
        <w:t xml:space="preserve"> the </w:t>
      </w:r>
      <w:r>
        <w:rPr>
          <w:kern w:val="0"/>
        </w:rPr>
        <w:t>risk is lower in those with D-IBS.</w:t>
      </w:r>
    </w:p>
    <w:p w:rsidR="00705223" w:rsidRDefault="00705223" w:rsidP="00705223">
      <w:pPr>
        <w:pStyle w:val="a3"/>
        <w:rPr>
          <w:kern w:val="0"/>
        </w:rPr>
      </w:pPr>
      <w:r>
        <w:rPr>
          <w:kern w:val="0"/>
        </w:rPr>
        <w:t xml:space="preserve">Keywords: 5-Ht3 Receptor Antagonist, Abdominal Pain, Alosetron, Clinical-Trials, Colonic Transit, Constipation, Control, Control Groups, Double-Blind, Efficacy, EMBASE, Health-Care, Irritable Bowel Syndrome, Ischemic Colitis, </w:t>
      </w:r>
      <w:r w:rsidR="00D5664A">
        <w:rPr>
          <w:kern w:val="0"/>
        </w:rPr>
        <w:t>MEDLINE</w:t>
      </w:r>
      <w:r>
        <w:rPr>
          <w:kern w:val="0"/>
        </w:rPr>
        <w:t xml:space="preserve">, Meta-Analysis, Methods, Outcomes, Pain, Placebo-Controlled Trial, Points, Predominance Ibs-D, Randomized Controlled Trial, Randomized Controlled Trials, Ratio, Relative Risk, Review, Risk, Safety, Science, Serotonin, Symptoms, Systematic, Systematic Review, Treatment, </w:t>
      </w:r>
      <w:r w:rsidR="00D5664A">
        <w:rPr>
          <w:kern w:val="0"/>
        </w:rPr>
        <w:t>Web</w:t>
      </w:r>
      <w:r w:rsidR="00427468">
        <w:rPr>
          <w:kern w:val="0"/>
        </w:rPr>
        <w:t xml:space="preserve"> of </w:t>
      </w:r>
      <w:r w:rsidR="00D5664A">
        <w:rPr>
          <w:kern w:val="0"/>
        </w:rPr>
        <w:t>Science</w:t>
      </w:r>
      <w:r>
        <w:rPr>
          <w:kern w:val="0"/>
        </w:rPr>
        <w:t>, Women</w:t>
      </w:r>
    </w:p>
    <w:p w:rsidR="00705223" w:rsidRDefault="00705223" w:rsidP="00705223">
      <w:pPr>
        <w:pStyle w:val="a3"/>
        <w:rPr>
          <w:kern w:val="0"/>
        </w:rPr>
      </w:pPr>
      <w:r>
        <w:rPr>
          <w:rFonts w:hint="eastAsia"/>
          <w:kern w:val="0"/>
        </w:rPr>
        <w:t xml:space="preserve">? </w:t>
      </w:r>
      <w:r>
        <w:rPr>
          <w:kern w:val="0"/>
        </w:rPr>
        <w:t>Loomba, R., Rowley, A.K., Wesley, R., Smith, K.G., Liang, T.J., Pucino, F.</w:t>
      </w:r>
      <w:r w:rsidR="005853A9">
        <w:rPr>
          <w:kern w:val="0"/>
        </w:rPr>
        <w:t xml:space="preserve"> and </w:t>
      </w:r>
      <w:r>
        <w:rPr>
          <w:kern w:val="0"/>
        </w:rPr>
        <w:t>Csako, G. (2008), Hepatitis B immunoglobulin</w:t>
      </w:r>
      <w:r w:rsidR="005853A9">
        <w:rPr>
          <w:kern w:val="0"/>
        </w:rPr>
        <w:t xml:space="preserve"> and </w:t>
      </w:r>
      <w:r>
        <w:rPr>
          <w:kern w:val="0"/>
        </w:rPr>
        <w:t xml:space="preserve">lamivudine improve hepatitis B-related outcomes after liver transplantation: Meta-analysis. </w:t>
      </w:r>
      <w:r>
        <w:rPr>
          <w:i/>
          <w:iCs/>
          <w:kern w:val="0"/>
        </w:rPr>
        <w:t>Clinical Gastroenterology</w:t>
      </w:r>
      <w:r w:rsidR="005853A9">
        <w:rPr>
          <w:i/>
          <w:iCs/>
          <w:kern w:val="0"/>
        </w:rPr>
        <w:t xml:space="preserve"> and </w:t>
      </w:r>
      <w:r>
        <w:rPr>
          <w:i/>
          <w:iCs/>
          <w:kern w:val="0"/>
        </w:rPr>
        <w:t>Hepatology</w:t>
      </w:r>
      <w:r>
        <w:rPr>
          <w:kern w:val="0"/>
        </w:rPr>
        <w:t xml:space="preserve">, </w:t>
      </w:r>
      <w:r>
        <w:rPr>
          <w:b/>
          <w:bCs/>
          <w:kern w:val="0"/>
        </w:rPr>
        <w:t>6</w:t>
      </w:r>
      <w:r>
        <w:rPr>
          <w:kern w:val="0"/>
        </w:rPr>
        <w:t xml:space="preserve"> (6), 696-700.</w:t>
      </w:r>
    </w:p>
    <w:p w:rsidR="00705223" w:rsidRDefault="00705223" w:rsidP="00705223">
      <w:pPr>
        <w:pStyle w:val="a3"/>
        <w:rPr>
          <w:kern w:val="0"/>
        </w:rPr>
      </w:pPr>
      <w:r>
        <w:rPr>
          <w:kern w:val="0"/>
        </w:rPr>
        <w:t>Abstract: Background &amp; Aims: HBV recurrence increases morbidity</w:t>
      </w:r>
      <w:r w:rsidR="005853A9">
        <w:rPr>
          <w:kern w:val="0"/>
        </w:rPr>
        <w:t xml:space="preserve"> and </w:t>
      </w:r>
      <w:r>
        <w:rPr>
          <w:kern w:val="0"/>
        </w:rPr>
        <w:t>mortality in HBsAg+ patients undergoing liver transplantation. We aimed to estimate</w:t>
      </w:r>
      <w:r w:rsidR="003A1917">
        <w:rPr>
          <w:kern w:val="0"/>
        </w:rPr>
        <w:t xml:space="preserve"> the </w:t>
      </w:r>
      <w:r>
        <w:rPr>
          <w:kern w:val="0"/>
        </w:rPr>
        <w:t>relative efficacy</w:t>
      </w:r>
      <w:r w:rsidR="00427468">
        <w:rPr>
          <w:kern w:val="0"/>
        </w:rPr>
        <w:t xml:space="preserve"> of </w:t>
      </w:r>
      <w:r>
        <w:rPr>
          <w:kern w:val="0"/>
        </w:rPr>
        <w:t>combined therapy with hepatitis B immunoglobulin (HBIG)</w:t>
      </w:r>
      <w:r w:rsidR="005853A9">
        <w:rPr>
          <w:kern w:val="0"/>
        </w:rPr>
        <w:t xml:space="preserve"> and </w:t>
      </w:r>
      <w:r>
        <w:rPr>
          <w:kern w:val="0"/>
        </w:rPr>
        <w:t>lamivudine (LAM) versus HBIG monotherapy for preventing HBV-related morbidity</w:t>
      </w:r>
      <w:r w:rsidR="005853A9">
        <w:rPr>
          <w:kern w:val="0"/>
        </w:rPr>
        <w:t xml:space="preserve"> and </w:t>
      </w:r>
      <w:r>
        <w:rPr>
          <w:kern w:val="0"/>
        </w:rPr>
        <w:t>mortality in this setting. Methods: We performed a meta-analysis</w:t>
      </w:r>
      <w:r w:rsidR="00427468">
        <w:rPr>
          <w:kern w:val="0"/>
        </w:rPr>
        <w:t xml:space="preserve"> of </w:t>
      </w:r>
      <w:r>
        <w:rPr>
          <w:kern w:val="0"/>
        </w:rPr>
        <w:t>clinical trials that met</w:t>
      </w:r>
      <w:r w:rsidR="003A1917">
        <w:rPr>
          <w:kern w:val="0"/>
        </w:rPr>
        <w:t xml:space="preserve"> the </w:t>
      </w:r>
      <w:r>
        <w:rPr>
          <w:kern w:val="0"/>
        </w:rPr>
        <w:t>prespecified criteria</w:t>
      </w:r>
      <w:r w:rsidR="005853A9">
        <w:rPr>
          <w:kern w:val="0"/>
        </w:rPr>
        <w:t xml:space="preserve"> and </w:t>
      </w:r>
      <w:r>
        <w:rPr>
          <w:kern w:val="0"/>
        </w:rPr>
        <w:t>provided data for risk estimation</w:t>
      </w:r>
      <w:r w:rsidR="00427468">
        <w:rPr>
          <w:kern w:val="0"/>
        </w:rPr>
        <w:t xml:space="preserve"> of </w:t>
      </w:r>
      <w:r>
        <w:rPr>
          <w:kern w:val="0"/>
        </w:rPr>
        <w:t>HBV recurrence in HBsAg+ liver transplant patients receiving HBIG</w:t>
      </w:r>
      <w:r w:rsidR="005853A9">
        <w:rPr>
          <w:kern w:val="0"/>
        </w:rPr>
        <w:t xml:space="preserve"> and </w:t>
      </w:r>
      <w:r>
        <w:rPr>
          <w:kern w:val="0"/>
        </w:rPr>
        <w:t xml:space="preserve">LAM versus HBIG alone. Databases searched until May 2007 included </w:t>
      </w:r>
      <w:r w:rsidR="00D5664A">
        <w:rPr>
          <w:kern w:val="0"/>
        </w:rPr>
        <w:t>MEDLINE</w:t>
      </w:r>
      <w:r>
        <w:rPr>
          <w:kern w:val="0"/>
        </w:rPr>
        <w:t xml:space="preserve"> (Ovid), PUBMED, EMBASE, Toxnet,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Literature search</w:t>
      </w:r>
      <w:r w:rsidR="005853A9">
        <w:rPr>
          <w:kern w:val="0"/>
        </w:rPr>
        <w:t xml:space="preserve"> and </w:t>
      </w:r>
      <w:r>
        <w:rPr>
          <w:kern w:val="0"/>
        </w:rPr>
        <w:t>data extraction were conducted independently by 2 study investigators; then 2 other investigators reviewed</w:t>
      </w:r>
      <w:r w:rsidR="005853A9">
        <w:rPr>
          <w:kern w:val="0"/>
        </w:rPr>
        <w:t xml:space="preserve"> and </w:t>
      </w:r>
      <w:r>
        <w:rPr>
          <w:kern w:val="0"/>
        </w:rPr>
        <w:t>screened eligible studies. Odds ratios (ORs) for</w:t>
      </w:r>
      <w:r w:rsidR="003A1917">
        <w:rPr>
          <w:kern w:val="0"/>
        </w:rPr>
        <w:t xml:space="preserve"> the </w:t>
      </w:r>
      <w:r>
        <w:rPr>
          <w:kern w:val="0"/>
        </w:rPr>
        <w:t>risk reduction with HBIG</w:t>
      </w:r>
      <w:r w:rsidR="005853A9">
        <w:rPr>
          <w:kern w:val="0"/>
        </w:rPr>
        <w:t xml:space="preserve"> and </w:t>
      </w:r>
      <w:r>
        <w:rPr>
          <w:kern w:val="0"/>
        </w:rPr>
        <w:t>LAM versus HBIG alone were calculated by using a random-effects model. Results: Two prospective</w:t>
      </w:r>
      <w:r w:rsidR="005853A9">
        <w:rPr>
          <w:kern w:val="0"/>
        </w:rPr>
        <w:t xml:space="preserve"> and </w:t>
      </w:r>
      <w:r>
        <w:rPr>
          <w:kern w:val="0"/>
        </w:rPr>
        <w:t>4 retrospective studies were included in</w:t>
      </w:r>
      <w:r w:rsidR="003A1917">
        <w:rPr>
          <w:kern w:val="0"/>
        </w:rPr>
        <w:t xml:space="preserve"> the </w:t>
      </w:r>
      <w:r>
        <w:rPr>
          <w:kern w:val="0"/>
        </w:rPr>
        <w:t>meta-analysis</w:t>
      </w:r>
      <w:r w:rsidR="00A37C1D">
        <w:rPr>
          <w:kern w:val="0"/>
        </w:rPr>
        <w:t>. The</w:t>
      </w:r>
      <w:r w:rsidR="003A1917">
        <w:rPr>
          <w:kern w:val="0"/>
        </w:rPr>
        <w:t xml:space="preserve"> </w:t>
      </w:r>
      <w:r>
        <w:rPr>
          <w:kern w:val="0"/>
        </w:rPr>
        <w:t>OR showing risk reduction in HBV recurrence with HBIG</w:t>
      </w:r>
      <w:r w:rsidR="005853A9">
        <w:rPr>
          <w:kern w:val="0"/>
        </w:rPr>
        <w:t xml:space="preserve"> and </w:t>
      </w:r>
      <w:r>
        <w:rPr>
          <w:kern w:val="0"/>
        </w:rPr>
        <w:t>LAM (n = 193) versus HBIG alone (n = 124) was 0.08 (95% confidence interval [CI], 0.03-0.21). HBV-related death</w:t>
      </w:r>
      <w:r w:rsidR="005853A9">
        <w:rPr>
          <w:kern w:val="0"/>
        </w:rPr>
        <w:t xml:space="preserve"> and </w:t>
      </w:r>
      <w:r>
        <w:rPr>
          <w:kern w:val="0"/>
        </w:rPr>
        <w:t>all-cause mortality could only be assessed in 3 studies each</w:t>
      </w:r>
      <w:r w:rsidR="00A37C1D">
        <w:rPr>
          <w:kern w:val="0"/>
        </w:rPr>
        <w:t>. The</w:t>
      </w:r>
      <w:r w:rsidR="003A1917">
        <w:rPr>
          <w:kern w:val="0"/>
        </w:rPr>
        <w:t xml:space="preserve"> </w:t>
      </w:r>
      <w:r>
        <w:rPr>
          <w:kern w:val="0"/>
        </w:rPr>
        <w:t>ORs showing HBV-related death</w:t>
      </w:r>
      <w:r w:rsidR="005853A9">
        <w:rPr>
          <w:kern w:val="0"/>
        </w:rPr>
        <w:t xml:space="preserve"> and </w:t>
      </w:r>
      <w:r>
        <w:rPr>
          <w:kern w:val="0"/>
        </w:rPr>
        <w:t>all-cause mortality reduction with HBIG</w:t>
      </w:r>
      <w:r w:rsidR="005853A9">
        <w:rPr>
          <w:kern w:val="0"/>
        </w:rPr>
        <w:t xml:space="preserve"> and </w:t>
      </w:r>
      <w:r>
        <w:rPr>
          <w:kern w:val="0"/>
        </w:rPr>
        <w:t>LAM versus HBIG alone were 0.08 (95% CI, 0.02-0.33)</w:t>
      </w:r>
      <w:r w:rsidR="005853A9">
        <w:rPr>
          <w:kern w:val="0"/>
        </w:rPr>
        <w:t xml:space="preserve"> and </w:t>
      </w:r>
      <w:r>
        <w:rPr>
          <w:kern w:val="0"/>
        </w:rPr>
        <w:t>0.02 (95% CI, 0.06-0.82), respectively. Conclusions: Although this meta-analysis was limited by small studies</w:t>
      </w:r>
      <w:r w:rsidR="005853A9">
        <w:rPr>
          <w:kern w:val="0"/>
        </w:rPr>
        <w:t xml:space="preserve"> and </w:t>
      </w:r>
      <w:r>
        <w:rPr>
          <w:kern w:val="0"/>
        </w:rPr>
        <w:t>varying levels</w:t>
      </w:r>
      <w:r w:rsidR="00427468">
        <w:rPr>
          <w:kern w:val="0"/>
        </w:rPr>
        <w:t xml:space="preserve"> of </w:t>
      </w:r>
      <w:r>
        <w:rPr>
          <w:kern w:val="0"/>
        </w:rPr>
        <w:t>immunosuppression, it is apparent that adding LAM to HBIG improved HBV-related morbidity</w:t>
      </w:r>
      <w:r w:rsidR="005853A9">
        <w:rPr>
          <w:kern w:val="0"/>
        </w:rPr>
        <w:t xml:space="preserve"> and </w:t>
      </w:r>
      <w:r>
        <w:rPr>
          <w:kern w:val="0"/>
        </w:rPr>
        <w:t>mortality in HBsAg+ recipients</w:t>
      </w:r>
      <w:r w:rsidR="00427468">
        <w:rPr>
          <w:kern w:val="0"/>
        </w:rPr>
        <w:t xml:space="preserve"> of </w:t>
      </w:r>
      <w:r>
        <w:rPr>
          <w:kern w:val="0"/>
        </w:rPr>
        <w:t>liver transplants.</w:t>
      </w:r>
    </w:p>
    <w:p w:rsidR="00705223" w:rsidRDefault="00705223" w:rsidP="00705223">
      <w:pPr>
        <w:pStyle w:val="a3"/>
        <w:rPr>
          <w:kern w:val="0"/>
        </w:rPr>
      </w:pPr>
      <w:r>
        <w:rPr>
          <w:kern w:val="0"/>
        </w:rPr>
        <w:t xml:space="preserve">Keywords: Anti-HBS, Clinical Trials, Combination, Databases, Efficacy, HBIG, HBV, Hepatitis, Immune Globulin, Liver Transplantation, </w:t>
      </w:r>
      <w:r w:rsidR="00D5664A">
        <w:rPr>
          <w:kern w:val="0"/>
        </w:rPr>
        <w:t>MEDLINE</w:t>
      </w:r>
      <w:r>
        <w:rPr>
          <w:kern w:val="0"/>
        </w:rPr>
        <w:t xml:space="preserve">, Meta Analysis, </w:t>
      </w:r>
      <w:r>
        <w:rPr>
          <w:kern w:val="0"/>
        </w:rPr>
        <w:lastRenderedPageBreak/>
        <w:t xml:space="preserve">Meta-Analysis, Methods, Model, Monotherapy, Morbidity, Mortality, Outcomes, Prevention, Prophylaxis, PUBMED, Recurrence, Replication, Risk, Risk Reduction, Science, Scopus, Therapy, Virus Recurrence, </w:t>
      </w:r>
      <w:r w:rsidR="00D5664A">
        <w:rPr>
          <w:kern w:val="0"/>
        </w:rPr>
        <w:t>Web</w:t>
      </w:r>
      <w:r w:rsidR="00427468">
        <w:rPr>
          <w:kern w:val="0"/>
        </w:rPr>
        <w:t xml:space="preserve"> of </w:t>
      </w:r>
      <w:r w:rsidR="00D5664A">
        <w:rPr>
          <w:kern w:val="0"/>
        </w:rPr>
        <w:t>Science</w:t>
      </w:r>
    </w:p>
    <w:p w:rsidR="00705223" w:rsidRDefault="00705223" w:rsidP="00705223">
      <w:pPr>
        <w:pStyle w:val="a3"/>
        <w:rPr>
          <w:kern w:val="0"/>
        </w:rPr>
      </w:pPr>
      <w:r>
        <w:rPr>
          <w:rFonts w:hint="eastAsia"/>
          <w:kern w:val="0"/>
        </w:rPr>
        <w:t xml:space="preserve">? </w:t>
      </w:r>
      <w:r>
        <w:rPr>
          <w:kern w:val="0"/>
        </w:rPr>
        <w:t>Loomba, R., Wesley, R., Bain, A., Csako, G.</w:t>
      </w:r>
      <w:r w:rsidR="005853A9">
        <w:rPr>
          <w:kern w:val="0"/>
        </w:rPr>
        <w:t xml:space="preserve"> and </w:t>
      </w:r>
      <w:r>
        <w:rPr>
          <w:kern w:val="0"/>
        </w:rPr>
        <w:t>Pucino, F. (2009), Role</w:t>
      </w:r>
      <w:r w:rsidR="00427468">
        <w:rPr>
          <w:kern w:val="0"/>
        </w:rPr>
        <w:t xml:space="preserve"> of </w:t>
      </w:r>
      <w:r>
        <w:rPr>
          <w:kern w:val="0"/>
        </w:rPr>
        <w:t>fluoroquinolones in</w:t>
      </w:r>
      <w:r w:rsidR="003A1917">
        <w:rPr>
          <w:kern w:val="0"/>
        </w:rPr>
        <w:t xml:space="preserve"> the </w:t>
      </w:r>
      <w:r>
        <w:rPr>
          <w:kern w:val="0"/>
        </w:rPr>
        <w:t>primary prophylaxis</w:t>
      </w:r>
      <w:r w:rsidR="00427468">
        <w:rPr>
          <w:kern w:val="0"/>
        </w:rPr>
        <w:t xml:space="preserve"> of </w:t>
      </w:r>
      <w:r>
        <w:rPr>
          <w:kern w:val="0"/>
        </w:rPr>
        <w:t xml:space="preserve">spontaneous bacterial peritonitis: Meta-analysis. </w:t>
      </w:r>
      <w:r>
        <w:rPr>
          <w:i/>
          <w:iCs/>
          <w:kern w:val="0"/>
        </w:rPr>
        <w:t>Clinical Gastroenterology</w:t>
      </w:r>
      <w:r w:rsidR="005853A9">
        <w:rPr>
          <w:i/>
          <w:iCs/>
          <w:kern w:val="0"/>
        </w:rPr>
        <w:t xml:space="preserve"> and </w:t>
      </w:r>
      <w:r>
        <w:rPr>
          <w:i/>
          <w:iCs/>
          <w:kern w:val="0"/>
        </w:rPr>
        <w:t>Hepatology</w:t>
      </w:r>
      <w:r>
        <w:rPr>
          <w:kern w:val="0"/>
        </w:rPr>
        <w:t xml:space="preserve">, </w:t>
      </w:r>
      <w:r>
        <w:rPr>
          <w:b/>
          <w:bCs/>
          <w:kern w:val="0"/>
        </w:rPr>
        <w:t>7</w:t>
      </w:r>
      <w:r>
        <w:rPr>
          <w:kern w:val="0"/>
        </w:rPr>
        <w:t xml:space="preserve"> (4), 487-493.</w:t>
      </w:r>
    </w:p>
    <w:p w:rsidR="00705223" w:rsidRDefault="00705223" w:rsidP="00705223">
      <w:pPr>
        <w:pStyle w:val="a3"/>
        <w:rPr>
          <w:kern w:val="0"/>
        </w:rPr>
      </w:pPr>
      <w:r>
        <w:rPr>
          <w:kern w:val="0"/>
        </w:rPr>
        <w:t>Abstract: Background &amp; Aims:</w:t>
      </w:r>
      <w:r w:rsidR="003A1917">
        <w:rPr>
          <w:kern w:val="0"/>
        </w:rPr>
        <w:t xml:space="preserve"> the </w:t>
      </w:r>
      <w:r>
        <w:rPr>
          <w:kern w:val="0"/>
        </w:rPr>
        <w:t>use</w:t>
      </w:r>
      <w:r w:rsidR="00427468">
        <w:rPr>
          <w:kern w:val="0"/>
        </w:rPr>
        <w:t xml:space="preserve"> of </w:t>
      </w:r>
      <w:r>
        <w:rPr>
          <w:kern w:val="0"/>
        </w:rPr>
        <w:t>antibiotics in</w:t>
      </w:r>
      <w:r w:rsidR="003A1917">
        <w:rPr>
          <w:kern w:val="0"/>
        </w:rPr>
        <w:t xml:space="preserve"> the </w:t>
      </w:r>
      <w:r>
        <w:rPr>
          <w:kern w:val="0"/>
        </w:rPr>
        <w:t>primary prophylaxis for spontaneous bacterial peritonitis (SBP) in patients with cirrhosis is controversial. Our purpose was to determine</w:t>
      </w:r>
      <w:r w:rsidR="003A1917">
        <w:rPr>
          <w:kern w:val="0"/>
        </w:rPr>
        <w:t xml:space="preserve"> the </w:t>
      </w:r>
      <w:r>
        <w:rPr>
          <w:kern w:val="0"/>
        </w:rPr>
        <w:t>beneficial effect</w:t>
      </w:r>
      <w:r w:rsidR="00427468">
        <w:rPr>
          <w:kern w:val="0"/>
        </w:rPr>
        <w:t xml:space="preserve"> of </w:t>
      </w:r>
      <w:r>
        <w:rPr>
          <w:kern w:val="0"/>
        </w:rPr>
        <w:t>fluoroquinolones as compared with placebo in primary prophylaxis</w:t>
      </w:r>
      <w:r w:rsidR="00427468">
        <w:rPr>
          <w:kern w:val="0"/>
        </w:rPr>
        <w:t xml:space="preserve"> of </w:t>
      </w:r>
      <w:r>
        <w:rPr>
          <w:kern w:val="0"/>
        </w:rPr>
        <w:t xml:space="preserve">SBP in high-risk patients with cirrhosis by using meta-analysis. Methods: </w:t>
      </w:r>
      <w:r w:rsidR="00D5664A">
        <w:rPr>
          <w:kern w:val="0"/>
        </w:rPr>
        <w:t>MEDLINE</w:t>
      </w:r>
      <w:r>
        <w:rPr>
          <w:kern w:val="0"/>
        </w:rPr>
        <w:t>, EMBASE, Cochrane,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searched in all languages until August 2008 for randomized placebo-controlled studies evaluating</w:t>
      </w:r>
      <w:r w:rsidR="003A1917">
        <w:rPr>
          <w:kern w:val="0"/>
        </w:rPr>
        <w:t xml:space="preserve"> the </w:t>
      </w:r>
      <w:r>
        <w:rPr>
          <w:kern w:val="0"/>
        </w:rPr>
        <w:t>role</w:t>
      </w:r>
      <w:r w:rsidR="00427468">
        <w:rPr>
          <w:kern w:val="0"/>
        </w:rPr>
        <w:t xml:space="preserve"> of </w:t>
      </w:r>
      <w:r>
        <w:rPr>
          <w:kern w:val="0"/>
        </w:rPr>
        <w:t>fluoroquinolones in primary prevention</w:t>
      </w:r>
      <w:r w:rsidR="00427468">
        <w:rPr>
          <w:kern w:val="0"/>
        </w:rPr>
        <w:t xml:space="preserve"> of </w:t>
      </w:r>
      <w:r>
        <w:rPr>
          <w:kern w:val="0"/>
        </w:rPr>
        <w:t>SBP in patients with low protein ascites (total ascitic protein, &lt; 1.5 g/dL)</w:t>
      </w:r>
      <w:r w:rsidR="005853A9">
        <w:rPr>
          <w:kern w:val="0"/>
        </w:rPr>
        <w:t xml:space="preserve"> and </w:t>
      </w:r>
      <w:r>
        <w:rPr>
          <w:kern w:val="0"/>
        </w:rPr>
        <w:t>without history</w:t>
      </w:r>
      <w:r w:rsidR="00427468">
        <w:rPr>
          <w:kern w:val="0"/>
        </w:rPr>
        <w:t xml:space="preserve"> of </w:t>
      </w:r>
      <w:r>
        <w:rPr>
          <w:kern w:val="0"/>
        </w:rPr>
        <w:t>SBP. Two investigators independently performed literature search</w:t>
      </w:r>
      <w:r w:rsidR="005853A9">
        <w:rPr>
          <w:kern w:val="0"/>
        </w:rPr>
        <w:t xml:space="preserve"> and </w:t>
      </w:r>
      <w:r>
        <w:rPr>
          <w:kern w:val="0"/>
        </w:rPr>
        <w:t>data extraction,</w:t>
      </w:r>
      <w:r w:rsidR="005853A9">
        <w:rPr>
          <w:kern w:val="0"/>
        </w:rPr>
        <w:t xml:space="preserve"> and </w:t>
      </w:r>
      <w:r>
        <w:rPr>
          <w:kern w:val="0"/>
        </w:rPr>
        <w:t>then another investigator independently reviewed whether</w:t>
      </w:r>
      <w:r w:rsidR="003A1917">
        <w:rPr>
          <w:kern w:val="0"/>
        </w:rPr>
        <w:t xml:space="preserve"> the </w:t>
      </w:r>
      <w:r>
        <w:rPr>
          <w:kern w:val="0"/>
        </w:rPr>
        <w:t>studies met prespecified criteria</w:t>
      </w:r>
      <w:r w:rsidR="005853A9">
        <w:rPr>
          <w:kern w:val="0"/>
        </w:rPr>
        <w:t xml:space="preserve"> and </w:t>
      </w:r>
      <w:r>
        <w:rPr>
          <w:kern w:val="0"/>
        </w:rPr>
        <w:t>rechecked data extraction. Odds ratios (Peto method) for</w:t>
      </w:r>
      <w:r w:rsidR="003A1917">
        <w:rPr>
          <w:kern w:val="0"/>
        </w:rPr>
        <w:t xml:space="preserve"> the </w:t>
      </w:r>
      <w:r>
        <w:rPr>
          <w:kern w:val="0"/>
        </w:rPr>
        <w:t>risk reduction with fluoroquinolones were calculated for each study</w:t>
      </w:r>
      <w:r w:rsidR="005853A9">
        <w:rPr>
          <w:kern w:val="0"/>
        </w:rPr>
        <w:t xml:space="preserve"> and </w:t>
      </w:r>
      <w:r>
        <w:rPr>
          <w:kern w:val="0"/>
        </w:rPr>
        <w:t>combined by using a random-effects model. Results: Four randomized controlled studies met predefined criteria</w:t>
      </w:r>
      <w:r w:rsidR="00A37C1D">
        <w:rPr>
          <w:kern w:val="0"/>
        </w:rPr>
        <w:t>. The</w:t>
      </w:r>
      <w:r w:rsidR="003A1917">
        <w:rPr>
          <w:kern w:val="0"/>
        </w:rPr>
        <w:t xml:space="preserve"> </w:t>
      </w:r>
      <w:r>
        <w:rPr>
          <w:kern w:val="0"/>
        </w:rPr>
        <w:t>odds ratios for developing first episode</w:t>
      </w:r>
      <w:r w:rsidR="00427468">
        <w:rPr>
          <w:kern w:val="0"/>
        </w:rPr>
        <w:t xml:space="preserve"> of </w:t>
      </w:r>
      <w:r>
        <w:rPr>
          <w:kern w:val="0"/>
        </w:rPr>
        <w:t>SBP, serious infections,</w:t>
      </w:r>
      <w:r w:rsidR="005853A9">
        <w:rPr>
          <w:kern w:val="0"/>
        </w:rPr>
        <w:t xml:space="preserve"> and </w:t>
      </w:r>
      <w:r>
        <w:rPr>
          <w:kern w:val="0"/>
        </w:rPr>
        <w:t>mortality with fluoroquinolone prophylaxis (n = 194) versus placebo (n = 190) were 0.18 (95% confidence interval [CI], 0.09-0.35), 0.18 (95% Cl, 0.10-0.32),</w:t>
      </w:r>
      <w:r w:rsidR="005853A9">
        <w:rPr>
          <w:kern w:val="0"/>
        </w:rPr>
        <w:t xml:space="preserve"> and </w:t>
      </w:r>
      <w:r>
        <w:rPr>
          <w:kern w:val="0"/>
        </w:rPr>
        <w:t>0.60 (95% Cl, 0.37-0.97), respectively. All studies were unidirectional in showing</w:t>
      </w:r>
      <w:r w:rsidR="003A1917">
        <w:rPr>
          <w:kern w:val="0"/>
        </w:rPr>
        <w:t xml:space="preserve"> the </w:t>
      </w:r>
      <w:r>
        <w:rPr>
          <w:kern w:val="0"/>
        </w:rPr>
        <w:t>beneficial effect</w:t>
      </w:r>
      <w:r w:rsidR="00427468">
        <w:rPr>
          <w:kern w:val="0"/>
        </w:rPr>
        <w:t xml:space="preserve"> of </w:t>
      </w:r>
      <w:r>
        <w:rPr>
          <w:kern w:val="0"/>
        </w:rPr>
        <w:t>fluoroquinolone prophylaxis. We were limited by finding few studies with relatively small sample sizes. Conclusions: Daily oral fluoroquinolone prophylaxis reduces</w:t>
      </w:r>
      <w:r w:rsidR="003A1917">
        <w:rPr>
          <w:kern w:val="0"/>
        </w:rPr>
        <w:t xml:space="preserve"> the </w:t>
      </w:r>
      <w:r>
        <w:rPr>
          <w:kern w:val="0"/>
        </w:rPr>
        <w:t>risk</w:t>
      </w:r>
      <w:r w:rsidR="00427468">
        <w:rPr>
          <w:kern w:val="0"/>
        </w:rPr>
        <w:t xml:space="preserve"> of </w:t>
      </w:r>
      <w:r>
        <w:rPr>
          <w:kern w:val="0"/>
        </w:rPr>
        <w:t>development</w:t>
      </w:r>
      <w:r w:rsidR="00427468">
        <w:rPr>
          <w:kern w:val="0"/>
        </w:rPr>
        <w:t xml:space="preserve"> of </w:t>
      </w:r>
      <w:r>
        <w:rPr>
          <w:kern w:val="0"/>
        </w:rPr>
        <w:t>first episode</w:t>
      </w:r>
      <w:r w:rsidR="00427468">
        <w:rPr>
          <w:kern w:val="0"/>
        </w:rPr>
        <w:t xml:space="preserve"> of </w:t>
      </w:r>
      <w:r>
        <w:rPr>
          <w:kern w:val="0"/>
        </w:rPr>
        <w:t>SBP</w:t>
      </w:r>
      <w:r w:rsidR="005853A9">
        <w:rPr>
          <w:kern w:val="0"/>
        </w:rPr>
        <w:t xml:space="preserve"> and </w:t>
      </w:r>
      <w:r>
        <w:rPr>
          <w:kern w:val="0"/>
        </w:rPr>
        <w:t>mortality in cirrhotic patients with low total protein in</w:t>
      </w:r>
      <w:r w:rsidR="003A1917">
        <w:rPr>
          <w:kern w:val="0"/>
        </w:rPr>
        <w:t xml:space="preserve"> the </w:t>
      </w:r>
      <w:r>
        <w:rPr>
          <w:kern w:val="0"/>
        </w:rPr>
        <w:t>ascitic fluid. Fluoroquinolones might be advisable for</w:t>
      </w:r>
      <w:r w:rsidR="003A1917">
        <w:rPr>
          <w:kern w:val="0"/>
        </w:rPr>
        <w:t xml:space="preserve"> the </w:t>
      </w:r>
      <w:r>
        <w:rPr>
          <w:kern w:val="0"/>
        </w:rPr>
        <w:t>primary prophylaxis</w:t>
      </w:r>
      <w:r w:rsidR="00427468">
        <w:rPr>
          <w:kern w:val="0"/>
        </w:rPr>
        <w:t xml:space="preserve"> of </w:t>
      </w:r>
      <w:r>
        <w:rPr>
          <w:kern w:val="0"/>
        </w:rPr>
        <w:t>SBP in selected high-risk patients with cirrhosis.</w:t>
      </w:r>
    </w:p>
    <w:p w:rsidR="00705223" w:rsidRDefault="00705223" w:rsidP="00705223">
      <w:pPr>
        <w:pStyle w:val="a3"/>
        <w:rPr>
          <w:kern w:val="0"/>
        </w:rPr>
      </w:pPr>
      <w:r>
        <w:rPr>
          <w:kern w:val="0"/>
        </w:rPr>
        <w:t xml:space="preserve">Keywords: Antibiotics, Ascitic Fluid, Cirrhosis, Cirrhotic-Patients, Cochrane, Controlled Studies, Databases, Development, High-Risk Patients, History, Literature, Management, Meta-Analysis, Methods, Model, Mortality, Norfloxacin, Peritonitis, Prevention, Primary, Primary Prevention, Risk, Risk Reduction, Science, Trials, </w:t>
      </w:r>
      <w:r w:rsidR="00D5664A">
        <w:rPr>
          <w:kern w:val="0"/>
        </w:rPr>
        <w:t>Web</w:t>
      </w:r>
      <w:r w:rsidR="00427468">
        <w:rPr>
          <w:kern w:val="0"/>
        </w:rPr>
        <w:t xml:space="preserve"> of </w:t>
      </w:r>
      <w:r w:rsidR="00D5664A">
        <w:rPr>
          <w:kern w:val="0"/>
        </w:rPr>
        <w:t>Science</w:t>
      </w:r>
    </w:p>
    <w:p w:rsidR="005A1591" w:rsidRDefault="005A1591" w:rsidP="005A1591">
      <w:pPr>
        <w:pStyle w:val="a3"/>
        <w:rPr>
          <w:kern w:val="0"/>
        </w:rPr>
      </w:pPr>
      <w:r>
        <w:rPr>
          <w:rFonts w:hint="eastAsia"/>
          <w:kern w:val="0"/>
        </w:rPr>
        <w:t xml:space="preserve">? </w:t>
      </w:r>
      <w:r>
        <w:rPr>
          <w:kern w:val="0"/>
        </w:rPr>
        <w:t>Wang, X.F., Li, J.D., Riaz, D.R., Shi, G., Liu, C.Q. and Dai, Y. (2014), Outcomes</w:t>
      </w:r>
      <w:r w:rsidR="00427468">
        <w:rPr>
          <w:kern w:val="0"/>
        </w:rPr>
        <w:t xml:space="preserve"> of </w:t>
      </w:r>
      <w:r>
        <w:rPr>
          <w:kern w:val="0"/>
        </w:rPr>
        <w:t xml:space="preserve">liver transplantation for nonalcoholic steatohepatitis: A systematic review and meta-analysis. </w:t>
      </w:r>
      <w:r>
        <w:rPr>
          <w:i/>
          <w:iCs/>
          <w:kern w:val="0"/>
        </w:rPr>
        <w:t>Clinical Gastroenterology and Hepatology</w:t>
      </w:r>
      <w:r>
        <w:rPr>
          <w:kern w:val="0"/>
        </w:rPr>
        <w:t xml:space="preserve">, </w:t>
      </w:r>
      <w:r>
        <w:rPr>
          <w:b/>
          <w:bCs/>
          <w:kern w:val="0"/>
        </w:rPr>
        <w:t>12</w:t>
      </w:r>
      <w:r>
        <w:rPr>
          <w:kern w:val="0"/>
        </w:rPr>
        <w:t xml:space="preserve"> (3), 394-</w:t>
      </w:r>
      <w:r w:rsidR="000F7D56">
        <w:rPr>
          <w:rFonts w:hint="eastAsia"/>
          <w:kern w:val="0"/>
        </w:rPr>
        <w:t>402</w:t>
      </w:r>
      <w:r>
        <w:rPr>
          <w:kern w:val="0"/>
        </w:rPr>
        <w:t>.</w:t>
      </w:r>
    </w:p>
    <w:p w:rsidR="005A1591" w:rsidRDefault="005A1591" w:rsidP="005A1591">
      <w:pPr>
        <w:pStyle w:val="a3"/>
        <w:rPr>
          <w:kern w:val="0"/>
        </w:rPr>
      </w:pPr>
      <w:r>
        <w:rPr>
          <w:rFonts w:hint="eastAsia"/>
          <w:kern w:val="0"/>
        </w:rPr>
        <w:t xml:space="preserve">Full Text: </w:t>
      </w:r>
      <w:hyperlink r:id="rId355" w:history="1">
        <w:r w:rsidR="000F7D56" w:rsidRPr="000F7D56">
          <w:rPr>
            <w:rStyle w:val="a5"/>
            <w:kern w:val="0"/>
          </w:rPr>
          <w:t>2014\Cli Gas Hep12, 394.pdf</w:t>
        </w:r>
      </w:hyperlink>
    </w:p>
    <w:p w:rsidR="005A1591" w:rsidRDefault="005A1591" w:rsidP="005A1591">
      <w:pPr>
        <w:pStyle w:val="a3"/>
        <w:rPr>
          <w:kern w:val="0"/>
        </w:rPr>
      </w:pPr>
      <w:r>
        <w:rPr>
          <w:kern w:val="0"/>
        </w:rPr>
        <w:lastRenderedPageBreak/>
        <w:t>Abstract: BACKGROUND &amp; AIMS: Little is known about outcomes</w:t>
      </w:r>
      <w:r w:rsidR="00427468">
        <w:rPr>
          <w:kern w:val="0"/>
        </w:rPr>
        <w:t xml:space="preserve"> of </w:t>
      </w:r>
      <w:r>
        <w:rPr>
          <w:kern w:val="0"/>
        </w:rPr>
        <w:t>patients with nonalcoholic steatohepatitis (NASH) who receive liver transplants. We performed a systematic review and meta-analysis to estimate post-transplant outcomes, survival times, and mortality from cardiovascular complications, sepsis, and graft failure in these patients. METHODS: We searched PubMed and EMBASE, and Cochrane library and Web</w:t>
      </w:r>
      <w:r w:rsidR="00427468">
        <w:rPr>
          <w:kern w:val="0"/>
        </w:rPr>
        <w:t xml:space="preserve"> of </w:t>
      </w:r>
      <w:r>
        <w:rPr>
          <w:kern w:val="0"/>
        </w:rPr>
        <w:t>Science databases for studies published through September 1, 2012</w:t>
      </w:r>
      <w:r w:rsidR="00427468">
        <w:rPr>
          <w:kern w:val="0"/>
        </w:rPr>
        <w:t xml:space="preserve"> of </w:t>
      </w:r>
      <w:r>
        <w:rPr>
          <w:kern w:val="0"/>
        </w:rPr>
        <w:t>patients who underwent liver transplantation for NASH or nonalcoholic fatty liver disease (NAFLD). All original studies from single institutions that reported outcomes</w:t>
      </w:r>
      <w:r w:rsidR="00427468">
        <w:rPr>
          <w:kern w:val="0"/>
        </w:rPr>
        <w:t xml:space="preserve"> of </w:t>
      </w:r>
      <w:r>
        <w:rPr>
          <w:kern w:val="0"/>
        </w:rPr>
        <w:t>patients with or without NASH after liver transplantation were considered. Odds ratios (ORs) were calculated for patients with NASH, compared with patients without NASH; 95% confidence intervals (CIs) were calculated. RESULTS: Our final analysis included 9 publications, on 717 patients with NASH and 3520 without, all</w:t>
      </w:r>
      <w:r w:rsidR="00427468">
        <w:rPr>
          <w:kern w:val="0"/>
        </w:rPr>
        <w:t xml:space="preserve"> of </w:t>
      </w:r>
      <w:r>
        <w:rPr>
          <w:kern w:val="0"/>
        </w:rPr>
        <w:t>whom underwent liver transplantation. Similar proportions</w:t>
      </w:r>
      <w:r w:rsidR="00427468">
        <w:rPr>
          <w:kern w:val="0"/>
        </w:rPr>
        <w:t xml:space="preserve"> of </w:t>
      </w:r>
      <w:r>
        <w:rPr>
          <w:kern w:val="0"/>
        </w:rPr>
        <w:t>patients with and without NASH who received liver transplants survived for 1, 3, and 5 years (OR for survival</w:t>
      </w:r>
      <w:r w:rsidR="00427468">
        <w:rPr>
          <w:kern w:val="0"/>
        </w:rPr>
        <w:t xml:space="preserve"> of </w:t>
      </w:r>
      <w:r>
        <w:rPr>
          <w:kern w:val="0"/>
        </w:rPr>
        <w:t>patient with NASH 1 year after liver transplantation, 0.77; 95% CI, 0.59-1.00; P [.05; OR 3 years after transplantation, 0.97; 95% CI, 0.67-1.40; P [.86; OR 5 years after transplantation, 1.09; 95% CI, 0.77-1.56; P [.63). Patients with NASH had a greater risk</w:t>
      </w:r>
      <w:r w:rsidR="00427468">
        <w:rPr>
          <w:kern w:val="0"/>
        </w:rPr>
        <w:t xml:space="preserve"> of </w:t>
      </w:r>
      <w:r>
        <w:rPr>
          <w:kern w:val="0"/>
        </w:rPr>
        <w:t>death from cardiovascular complications after liver transplantation (OR, 1.65; 95% CI, 1.01-2.70; P[. 05) and from sepsis (OR, 1.71; 95% CI, 1.17-2.50; P[. 006). However, patients with NASH were at lower risk</w:t>
      </w:r>
      <w:r w:rsidR="00427468">
        <w:rPr>
          <w:kern w:val="0"/>
        </w:rPr>
        <w:t xml:space="preserve"> of </w:t>
      </w:r>
      <w:r>
        <w:rPr>
          <w:kern w:val="0"/>
        </w:rPr>
        <w:t>graft failure compared with patients without NASH (OR, 0.21; 95% CI, 0.05-0.89; P [.03). CONCLUSIONS: Similar proportions</w:t>
      </w:r>
      <w:r w:rsidR="00427468">
        <w:rPr>
          <w:kern w:val="0"/>
        </w:rPr>
        <w:t xml:space="preserve"> of </w:t>
      </w:r>
      <w:r>
        <w:rPr>
          <w:kern w:val="0"/>
        </w:rPr>
        <w:t>patients with and without NASH survive for 1, 3, and 5 years after liver transplantation. However, patients with NASH are more likely to die from cardiovascular complications or sepsis. More attention and careful consideration are therefore required in selecting patients with NASH for liver transplantation, along with aggressive management</w:t>
      </w:r>
      <w:r w:rsidR="00427468">
        <w:rPr>
          <w:kern w:val="0"/>
        </w:rPr>
        <w:t xml:space="preserve"> of </w:t>
      </w:r>
      <w:r>
        <w:rPr>
          <w:kern w:val="0"/>
        </w:rPr>
        <w:t>cardiovascular complications and sepsis after transplantation.</w:t>
      </w:r>
    </w:p>
    <w:p w:rsidR="005A1591" w:rsidRDefault="005A1591" w:rsidP="005A1591">
      <w:pPr>
        <w:pStyle w:val="a3"/>
        <w:rPr>
          <w:kern w:val="0"/>
        </w:rPr>
      </w:pPr>
      <w:r>
        <w:rPr>
          <w:kern w:val="0"/>
        </w:rPr>
        <w:t>Keywords: Analysis, Association, Attention, Background, Cardiovascular, Cardiovascular-Disease, Clinical-Trials, Complications, Conclusions, Confidence, Confidence Intervals, Cryptogenic Cirrhosis, Databases, Death, Disease, Embase, Failure, Fatty Liver, Graft, Graft Failure, Institutions, Intervals, Liver, Liver Transplantation, Management, Mar, Meta Analysis, Meta-Analysis, Metaanalysis, Methods, Mortality, Nash, Nonalcoholic Steatohepatitis, Outcomes, P, Patients, Publications, Pubmed, Review, Risk, Science, Sepsis, Survival, Systematic Review, Transplantation, Transplants, United-States, Web</w:t>
      </w:r>
      <w:r w:rsidR="00427468">
        <w:rPr>
          <w:kern w:val="0"/>
        </w:rPr>
        <w:t xml:space="preserve"> of </w:t>
      </w:r>
      <w:r>
        <w:rPr>
          <w:kern w:val="0"/>
        </w:rPr>
        <w:t>Science, Web</w:t>
      </w:r>
      <w:r w:rsidR="00427468">
        <w:rPr>
          <w:kern w:val="0"/>
        </w:rPr>
        <w:t xml:space="preserve"> of </w:t>
      </w:r>
      <w:r>
        <w:rPr>
          <w:kern w:val="0"/>
        </w:rPr>
        <w:t>Science Databases</w:t>
      </w:r>
    </w:p>
    <w:p w:rsidR="00705223" w:rsidRPr="00C73C58" w:rsidRDefault="00705223" w:rsidP="00705223">
      <w:pPr>
        <w:pStyle w:val="1"/>
      </w:pPr>
      <w:r w:rsidRPr="00C73C58">
        <w:br w:type="page"/>
      </w:r>
      <w:bookmarkStart w:id="281" w:name="_Toc420815025"/>
      <w:r w:rsidRPr="00C73C58">
        <w:lastRenderedPageBreak/>
        <w:t xml:space="preserve">Title: </w:t>
      </w:r>
      <w:r w:rsidRPr="002A48E2">
        <w:rPr>
          <w:iCs w:val="0"/>
        </w:rPr>
        <w:t>Clinical Genetics</w:t>
      </w:r>
      <w:bookmarkEnd w:id="281"/>
    </w:p>
    <w:p w:rsidR="00705223" w:rsidRDefault="00705223" w:rsidP="00705223">
      <w:pPr>
        <w:pStyle w:val="12"/>
      </w:pPr>
      <w:r w:rsidRPr="001A3D2B">
        <w:t xml:space="preserve">Full Journal Title: </w:t>
      </w:r>
      <w:r w:rsidRPr="002A48E2">
        <w:rPr>
          <w:iCs/>
          <w:kern w:val="0"/>
        </w:rPr>
        <w:t>Clinical Genetics</w:t>
      </w:r>
    </w:p>
    <w:p w:rsidR="00705223" w:rsidRPr="00C73C58" w:rsidRDefault="00705223" w:rsidP="00705223">
      <w:pPr>
        <w:pStyle w:val="12"/>
      </w:pPr>
      <w:r w:rsidRPr="00C73C58">
        <w:t xml:space="preserve">ISO Abbreviated Title: </w:t>
      </w:r>
    </w:p>
    <w:p w:rsidR="00705223" w:rsidRPr="00C73C58" w:rsidRDefault="00705223" w:rsidP="00705223">
      <w:pPr>
        <w:pStyle w:val="12"/>
      </w:pPr>
      <w:r w:rsidRPr="00C73C58">
        <w:t xml:space="preserve">JCR Abbreviated Title: </w:t>
      </w:r>
    </w:p>
    <w:p w:rsidR="00705223" w:rsidRPr="00C73C58" w:rsidRDefault="00705223" w:rsidP="00705223">
      <w:pPr>
        <w:pStyle w:val="12"/>
      </w:pPr>
      <w:r w:rsidRPr="00C73C58">
        <w:t xml:space="preserve">ISSN: </w:t>
      </w:r>
    </w:p>
    <w:p w:rsidR="00705223" w:rsidRPr="00C73C58" w:rsidRDefault="00705223" w:rsidP="00705223">
      <w:pPr>
        <w:pStyle w:val="12"/>
      </w:pPr>
      <w:r w:rsidRPr="00C73C58">
        <w:t xml:space="preserve">Issues/Year: </w:t>
      </w:r>
    </w:p>
    <w:p w:rsidR="00705223" w:rsidRPr="00C73C58" w:rsidRDefault="00705223" w:rsidP="00705223">
      <w:pPr>
        <w:pStyle w:val="12"/>
      </w:pPr>
      <w:r w:rsidRPr="00C73C58">
        <w:t xml:space="preserve">Language: </w:t>
      </w:r>
    </w:p>
    <w:p w:rsidR="00705223" w:rsidRPr="00C73C58" w:rsidRDefault="00705223" w:rsidP="00705223">
      <w:pPr>
        <w:pStyle w:val="12"/>
      </w:pPr>
      <w:r w:rsidRPr="00C73C58">
        <w:t xml:space="preserve">Journal Country/Territory: </w:t>
      </w:r>
    </w:p>
    <w:p w:rsidR="00705223" w:rsidRPr="00C73C58" w:rsidRDefault="00705223" w:rsidP="00705223">
      <w:pPr>
        <w:pStyle w:val="12"/>
      </w:pPr>
      <w:r w:rsidRPr="00C73C58">
        <w:t xml:space="preserve">Publisher: </w:t>
      </w:r>
    </w:p>
    <w:p w:rsidR="00705223" w:rsidRPr="00C73C58" w:rsidRDefault="00705223" w:rsidP="00705223">
      <w:pPr>
        <w:pStyle w:val="12"/>
      </w:pPr>
      <w:r w:rsidRPr="00C73C58">
        <w:t xml:space="preserve">Publisher Address: </w:t>
      </w:r>
    </w:p>
    <w:p w:rsidR="00705223" w:rsidRPr="00C73C58" w:rsidRDefault="00705223" w:rsidP="00705223">
      <w:pPr>
        <w:pStyle w:val="12"/>
      </w:pPr>
      <w:r w:rsidRPr="00C73C58">
        <w:t xml:space="preserve">Subject Categories: </w:t>
      </w:r>
    </w:p>
    <w:p w:rsidR="00705223" w:rsidRPr="00C73C58" w:rsidRDefault="00705223" w:rsidP="00705223">
      <w:pPr>
        <w:pStyle w:val="12"/>
      </w:pPr>
      <w:r w:rsidRPr="00C73C58">
        <w:t>: Impact Factor</w:t>
      </w:r>
    </w:p>
    <w:p w:rsidR="00705223" w:rsidRDefault="00705223" w:rsidP="00705223">
      <w:pPr>
        <w:pStyle w:val="a3"/>
        <w:rPr>
          <w:kern w:val="0"/>
        </w:rPr>
      </w:pPr>
      <w:r>
        <w:rPr>
          <w:rFonts w:hint="eastAsia"/>
          <w:kern w:val="0"/>
        </w:rPr>
        <w:t xml:space="preserve">? </w:t>
      </w:r>
      <w:r>
        <w:rPr>
          <w:kern w:val="0"/>
        </w:rPr>
        <w:t>Borry, P., Stultiens, L., Nys, H., Cassiman, J.J.</w:t>
      </w:r>
      <w:r w:rsidR="005853A9">
        <w:rPr>
          <w:kern w:val="0"/>
        </w:rPr>
        <w:t xml:space="preserve"> and </w:t>
      </w:r>
      <w:r>
        <w:rPr>
          <w:kern w:val="0"/>
        </w:rPr>
        <w:t>Dierickx, K. (2006), Statement on genetic diagnosis in children</w:t>
      </w:r>
      <w:r w:rsidR="005853A9">
        <w:rPr>
          <w:kern w:val="0"/>
        </w:rPr>
        <w:t xml:space="preserve"> and </w:t>
      </w:r>
      <w:r>
        <w:rPr>
          <w:kern w:val="0"/>
        </w:rPr>
        <w:t xml:space="preserve">adolescents. </w:t>
      </w:r>
      <w:r w:rsidRPr="002A48E2">
        <w:rPr>
          <w:i/>
          <w:iCs/>
          <w:kern w:val="0"/>
        </w:rPr>
        <w:t>Clinical Genetics</w:t>
      </w:r>
      <w:r>
        <w:rPr>
          <w:kern w:val="0"/>
        </w:rPr>
        <w:t xml:space="preserve">, </w:t>
      </w:r>
      <w:r>
        <w:rPr>
          <w:b/>
          <w:bCs/>
          <w:kern w:val="0"/>
        </w:rPr>
        <w:t>70</w:t>
      </w:r>
      <w:r>
        <w:rPr>
          <w:kern w:val="0"/>
        </w:rPr>
        <w:t xml:space="preserve"> (5), 374-381.</w:t>
      </w:r>
    </w:p>
    <w:p w:rsidR="00705223" w:rsidRDefault="00705223" w:rsidP="00705223">
      <w:pPr>
        <w:pStyle w:val="a3"/>
        <w:rPr>
          <w:kern w:val="0"/>
        </w:rPr>
      </w:pPr>
      <w:r>
        <w:rPr>
          <w:kern w:val="0"/>
        </w:rPr>
        <w:t>Abstract:</w:t>
      </w:r>
      <w:r w:rsidR="003A1917">
        <w:rPr>
          <w:kern w:val="0"/>
        </w:rPr>
        <w:t xml:space="preserve"> the </w:t>
      </w:r>
      <w:r>
        <w:rPr>
          <w:kern w:val="0"/>
        </w:rPr>
        <w:t>objective</w:t>
      </w:r>
      <w:r w:rsidR="00427468">
        <w:rPr>
          <w:kern w:val="0"/>
        </w:rPr>
        <w:t xml:space="preserve"> of </w:t>
      </w:r>
      <w:r>
        <w:rPr>
          <w:kern w:val="0"/>
        </w:rPr>
        <w:t>this study is to review ethical</w:t>
      </w:r>
      <w:r w:rsidR="005853A9">
        <w:rPr>
          <w:kern w:val="0"/>
        </w:rPr>
        <w:t xml:space="preserve"> and </w:t>
      </w:r>
      <w:r>
        <w:rPr>
          <w:kern w:val="0"/>
        </w:rPr>
        <w:t>clinical guidelines</w:t>
      </w:r>
      <w:r w:rsidR="005853A9">
        <w:rPr>
          <w:kern w:val="0"/>
        </w:rPr>
        <w:t xml:space="preserve"> and </w:t>
      </w:r>
      <w:r>
        <w:rPr>
          <w:kern w:val="0"/>
        </w:rPr>
        <w:t>position papers concerning</w:t>
      </w:r>
      <w:r w:rsidR="003A1917">
        <w:rPr>
          <w:kern w:val="0"/>
        </w:rPr>
        <w:t xml:space="preserve"> the </w:t>
      </w:r>
      <w:r>
        <w:rPr>
          <w:kern w:val="0"/>
        </w:rPr>
        <w:t>presymptomatic</w:t>
      </w:r>
      <w:r w:rsidR="005853A9">
        <w:rPr>
          <w:kern w:val="0"/>
        </w:rPr>
        <w:t xml:space="preserve"> and </w:t>
      </w:r>
      <w:r>
        <w:rPr>
          <w:kern w:val="0"/>
        </w:rPr>
        <w:t>predictive genetic testing</w:t>
      </w:r>
      <w:r w:rsidR="00427468">
        <w:rPr>
          <w:kern w:val="0"/>
        </w:rPr>
        <w:t xml:space="preserve"> of </w:t>
      </w:r>
      <w:r>
        <w:rPr>
          <w:kern w:val="0"/>
        </w:rPr>
        <w:t>minors</w:t>
      </w:r>
      <w:r w:rsidR="00A37C1D">
        <w:rPr>
          <w:kern w:val="0"/>
        </w:rPr>
        <w:t>. The</w:t>
      </w:r>
      <w:r w:rsidR="003A1917">
        <w:rPr>
          <w:kern w:val="0"/>
        </w:rPr>
        <w:t xml:space="preserve"> </w:t>
      </w:r>
      <w:r>
        <w:rPr>
          <w:kern w:val="0"/>
        </w:rPr>
        <w:t xml:space="preserve">databases </w:t>
      </w:r>
      <w:r w:rsidR="00D5664A">
        <w:rPr>
          <w:kern w:val="0"/>
        </w:rPr>
        <w:t>MEDLINE</w:t>
      </w:r>
      <w:r>
        <w:rPr>
          <w:kern w:val="0"/>
        </w:rPr>
        <w:t>, Philosopher</w:t>
      </w:r>
      <w:r w:rsidR="0071223E">
        <w:rPr>
          <w:kern w:val="0"/>
        </w:rPr>
        <w:t>’</w:t>
      </w:r>
      <w:r w:rsidR="00C13DDC">
        <w:rPr>
          <w:kern w:val="0"/>
        </w:rPr>
        <w:t>s</w:t>
      </w:r>
      <w:r>
        <w:rPr>
          <w:kern w:val="0"/>
        </w:rPr>
        <w:t xml:space="preserve"> Index, Biological Abstracts,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Google Scholar were searched using keywords relating to</w:t>
      </w:r>
      <w:r w:rsidR="003A1917">
        <w:rPr>
          <w:kern w:val="0"/>
        </w:rPr>
        <w:t xml:space="preserve"> the </w:t>
      </w:r>
      <w:r>
        <w:rPr>
          <w:kern w:val="0"/>
        </w:rPr>
        <w:t>presymptomatic</w:t>
      </w:r>
      <w:r w:rsidR="005853A9">
        <w:rPr>
          <w:kern w:val="0"/>
        </w:rPr>
        <w:t xml:space="preserve"> and </w:t>
      </w:r>
      <w:r>
        <w:rPr>
          <w:kern w:val="0"/>
        </w:rPr>
        <w:t>predictive testing</w:t>
      </w:r>
      <w:r w:rsidR="00427468">
        <w:rPr>
          <w:kern w:val="0"/>
        </w:rPr>
        <w:t xml:space="preserve"> of </w:t>
      </w:r>
      <w:r>
        <w:rPr>
          <w:kern w:val="0"/>
        </w:rPr>
        <w:t>children. We also searched</w:t>
      </w:r>
      <w:r w:rsidR="003A1917">
        <w:rPr>
          <w:kern w:val="0"/>
        </w:rPr>
        <w:t xml:space="preserve"> the </w:t>
      </w:r>
      <w:r>
        <w:rPr>
          <w:kern w:val="0"/>
        </w:rPr>
        <w:t>websites</w:t>
      </w:r>
      <w:r w:rsidR="00427468">
        <w:rPr>
          <w:kern w:val="0"/>
        </w:rPr>
        <w:t xml:space="preserve"> of </w:t>
      </w:r>
      <w:r w:rsidR="003A1917">
        <w:rPr>
          <w:kern w:val="0"/>
        </w:rPr>
        <w:t xml:space="preserve">the </w:t>
      </w:r>
      <w:r>
        <w:rPr>
          <w:kern w:val="0"/>
        </w:rPr>
        <w:t>national bioethics committees indexed on</w:t>
      </w:r>
      <w:r w:rsidR="003A1917">
        <w:rPr>
          <w:kern w:val="0"/>
        </w:rPr>
        <w:t xml:space="preserve"> the </w:t>
      </w:r>
      <w:r>
        <w:rPr>
          <w:kern w:val="0"/>
        </w:rPr>
        <w:t>websites</w:t>
      </w:r>
      <w:r w:rsidR="00427468">
        <w:rPr>
          <w:kern w:val="0"/>
        </w:rPr>
        <w:t xml:space="preserve"> of </w:t>
      </w:r>
      <w:r>
        <w:rPr>
          <w:kern w:val="0"/>
        </w:rPr>
        <w:t>World Health Organization (WHO)</w:t>
      </w:r>
      <w:r w:rsidR="005853A9">
        <w:rPr>
          <w:kern w:val="0"/>
        </w:rPr>
        <w:t xml:space="preserve"> and </w:t>
      </w:r>
      <w:r w:rsidR="003A1917">
        <w:rPr>
          <w:kern w:val="0"/>
        </w:rPr>
        <w:t xml:space="preserve">the </w:t>
      </w:r>
      <w:r>
        <w:rPr>
          <w:kern w:val="0"/>
        </w:rPr>
        <w:t>German Reference Centre for Ethics in</w:t>
      </w:r>
      <w:r w:rsidR="003A1917">
        <w:rPr>
          <w:kern w:val="0"/>
        </w:rPr>
        <w:t xml:space="preserve"> the </w:t>
      </w:r>
      <w:r>
        <w:rPr>
          <w:kern w:val="0"/>
        </w:rPr>
        <w:t>Life Sciences,</w:t>
      </w:r>
      <w:r w:rsidR="003A1917">
        <w:rPr>
          <w:kern w:val="0"/>
        </w:rPr>
        <w:t xml:space="preserve"> the </w:t>
      </w:r>
      <w:r>
        <w:rPr>
          <w:kern w:val="0"/>
        </w:rPr>
        <w:t>websites</w:t>
      </w:r>
      <w:r w:rsidR="00427468">
        <w:rPr>
          <w:kern w:val="0"/>
        </w:rPr>
        <w:t xml:space="preserve"> of </w:t>
      </w:r>
      <w:r w:rsidR="003A1917">
        <w:rPr>
          <w:kern w:val="0"/>
        </w:rPr>
        <w:t xml:space="preserve">the </w:t>
      </w:r>
      <w:r>
        <w:rPr>
          <w:kern w:val="0"/>
        </w:rPr>
        <w:t>Human Genetics Societies</w:t>
      </w:r>
      <w:r w:rsidR="00427468">
        <w:rPr>
          <w:kern w:val="0"/>
        </w:rPr>
        <w:t xml:space="preserve"> of </w:t>
      </w:r>
      <w:r>
        <w:rPr>
          <w:kern w:val="0"/>
        </w:rPr>
        <w:t>various nations indexed on</w:t>
      </w:r>
      <w:r w:rsidR="003A1917">
        <w:rPr>
          <w:kern w:val="0"/>
        </w:rPr>
        <w:t xml:space="preserve"> the </w:t>
      </w:r>
      <w:r>
        <w:rPr>
          <w:kern w:val="0"/>
        </w:rPr>
        <w:t>website</w:t>
      </w:r>
      <w:r w:rsidR="00427468">
        <w:rPr>
          <w:kern w:val="0"/>
        </w:rPr>
        <w:t xml:space="preserve"> of </w:t>
      </w:r>
      <w:r w:rsidR="003A1917">
        <w:rPr>
          <w:kern w:val="0"/>
        </w:rPr>
        <w:t xml:space="preserve">the </w:t>
      </w:r>
      <w:r>
        <w:rPr>
          <w:kern w:val="0"/>
        </w:rPr>
        <w:t>International Federation</w:t>
      </w:r>
      <w:r w:rsidR="00427468">
        <w:rPr>
          <w:kern w:val="0"/>
        </w:rPr>
        <w:t xml:space="preserve"> of </w:t>
      </w:r>
      <w:r>
        <w:rPr>
          <w:kern w:val="0"/>
        </w:rPr>
        <w:t>Human Genetics Societies</w:t>
      </w:r>
      <w:r w:rsidR="005853A9">
        <w:rPr>
          <w:kern w:val="0"/>
        </w:rPr>
        <w:t xml:space="preserve"> and </w:t>
      </w:r>
      <w:r>
        <w:rPr>
          <w:kern w:val="0"/>
        </w:rPr>
        <w:t>related links</w:t>
      </w:r>
      <w:r w:rsidR="005853A9">
        <w:rPr>
          <w:kern w:val="0"/>
        </w:rPr>
        <w:t xml:space="preserve"> and </w:t>
      </w:r>
      <w:r w:rsidR="003A1917">
        <w:rPr>
          <w:kern w:val="0"/>
        </w:rPr>
        <w:t xml:space="preserve">the </w:t>
      </w:r>
      <w:r>
        <w:rPr>
          <w:kern w:val="0"/>
        </w:rPr>
        <w:t>national medical associations indexed on</w:t>
      </w:r>
      <w:r w:rsidR="003A1917">
        <w:rPr>
          <w:kern w:val="0"/>
        </w:rPr>
        <w:t xml:space="preserve"> the </w:t>
      </w:r>
      <w:r>
        <w:rPr>
          <w:kern w:val="0"/>
        </w:rPr>
        <w:t>website</w:t>
      </w:r>
      <w:r w:rsidR="00427468">
        <w:rPr>
          <w:kern w:val="0"/>
        </w:rPr>
        <w:t xml:space="preserve"> of </w:t>
      </w:r>
      <w:r w:rsidR="003A1917">
        <w:rPr>
          <w:kern w:val="0"/>
        </w:rPr>
        <w:t xml:space="preserve">the </w:t>
      </w:r>
      <w:r>
        <w:rPr>
          <w:kern w:val="0"/>
        </w:rPr>
        <w:t>World Medical Association. We retrieved 27 different papers dealing with guidelines or position papers that fulfilled our search criteria</w:t>
      </w:r>
      <w:r w:rsidR="00A37C1D">
        <w:rPr>
          <w:kern w:val="0"/>
        </w:rPr>
        <w:t>. The</w:t>
      </w:r>
      <w:r>
        <w:rPr>
          <w:kern w:val="0"/>
        </w:rPr>
        <w:t>y encompassed</w:t>
      </w:r>
      <w:r w:rsidR="003A1917">
        <w:rPr>
          <w:kern w:val="0"/>
        </w:rPr>
        <w:t xml:space="preserve"> the </w:t>
      </w:r>
      <w:r>
        <w:rPr>
          <w:kern w:val="0"/>
        </w:rPr>
        <w:t>period 1991-2005</w:t>
      </w:r>
      <w:r w:rsidR="005853A9">
        <w:rPr>
          <w:kern w:val="0"/>
        </w:rPr>
        <w:t xml:space="preserve"> and </w:t>
      </w:r>
      <w:r>
        <w:rPr>
          <w:kern w:val="0"/>
        </w:rPr>
        <w:t>originated from 31 different organizations</w:t>
      </w:r>
      <w:r w:rsidR="00A37C1D">
        <w:rPr>
          <w:kern w:val="0"/>
        </w:rPr>
        <w:t>. The</w:t>
      </w:r>
      <w:r w:rsidR="003A1917">
        <w:rPr>
          <w:kern w:val="0"/>
        </w:rPr>
        <w:t xml:space="preserve"> </w:t>
      </w:r>
      <w:r>
        <w:rPr>
          <w:kern w:val="0"/>
        </w:rPr>
        <w:t>main justification for presymptomatic</w:t>
      </w:r>
      <w:r w:rsidR="005853A9">
        <w:rPr>
          <w:kern w:val="0"/>
        </w:rPr>
        <w:t xml:space="preserve"> and </w:t>
      </w:r>
      <w:r>
        <w:rPr>
          <w:kern w:val="0"/>
        </w:rPr>
        <w:t>predictive genetic testing was</w:t>
      </w:r>
      <w:r w:rsidR="003A1917">
        <w:rPr>
          <w:kern w:val="0"/>
        </w:rPr>
        <w:t xml:space="preserve"> the </w:t>
      </w:r>
      <w:r>
        <w:rPr>
          <w:kern w:val="0"/>
        </w:rPr>
        <w:t>direct benefit to</w:t>
      </w:r>
      <w:r w:rsidR="003A1917">
        <w:rPr>
          <w:kern w:val="0"/>
        </w:rPr>
        <w:t xml:space="preserve"> the </w:t>
      </w:r>
      <w:r>
        <w:rPr>
          <w:kern w:val="0"/>
        </w:rPr>
        <w:t>minor through either medical intervention or preventive measures. If there were no urgent medical reasons, all guidelines recommend postponing testing until</w:t>
      </w:r>
      <w:r w:rsidR="003A1917">
        <w:rPr>
          <w:kern w:val="0"/>
        </w:rPr>
        <w:t xml:space="preserve"> the </w:t>
      </w:r>
      <w:r>
        <w:rPr>
          <w:kern w:val="0"/>
        </w:rPr>
        <w:t>child could consent to testing as a competent adolescent or as an adult. Ambiguity existed for childhood-onset disorders for which preventive or therapeutic measures are not available</w:t>
      </w:r>
      <w:r w:rsidR="005853A9">
        <w:rPr>
          <w:kern w:val="0"/>
        </w:rPr>
        <w:t xml:space="preserve"> and </w:t>
      </w:r>
      <w:r>
        <w:rPr>
          <w:kern w:val="0"/>
        </w:rPr>
        <w:t>for</w:t>
      </w:r>
      <w:r w:rsidR="003A1917">
        <w:rPr>
          <w:kern w:val="0"/>
        </w:rPr>
        <w:t xml:space="preserve"> the </w:t>
      </w:r>
      <w:r>
        <w:rPr>
          <w:kern w:val="0"/>
        </w:rPr>
        <w:t>timing</w:t>
      </w:r>
      <w:r w:rsidR="00427468">
        <w:rPr>
          <w:kern w:val="0"/>
        </w:rPr>
        <w:t xml:space="preserve"> of </w:t>
      </w:r>
      <w:r>
        <w:rPr>
          <w:kern w:val="0"/>
        </w:rPr>
        <w:t>testing for childhood-onset disorders. Although</w:t>
      </w:r>
      <w:r w:rsidR="003A1917">
        <w:rPr>
          <w:kern w:val="0"/>
        </w:rPr>
        <w:t xml:space="preserve"> the </w:t>
      </w:r>
      <w:r>
        <w:rPr>
          <w:kern w:val="0"/>
        </w:rPr>
        <w:t>guidelines covering presymptomatic</w:t>
      </w:r>
      <w:r w:rsidR="005853A9">
        <w:rPr>
          <w:kern w:val="0"/>
        </w:rPr>
        <w:t xml:space="preserve"> and </w:t>
      </w:r>
      <w:r>
        <w:rPr>
          <w:kern w:val="0"/>
        </w:rPr>
        <w:t>predictive genetic testing</w:t>
      </w:r>
      <w:r w:rsidR="00427468">
        <w:rPr>
          <w:kern w:val="0"/>
        </w:rPr>
        <w:t xml:space="preserve"> of </w:t>
      </w:r>
      <w:r>
        <w:rPr>
          <w:kern w:val="0"/>
        </w:rPr>
        <w:t>minors agree strongly that medical benefit is</w:t>
      </w:r>
      <w:r w:rsidR="003A1917">
        <w:rPr>
          <w:kern w:val="0"/>
        </w:rPr>
        <w:t xml:space="preserve"> the </w:t>
      </w:r>
      <w:r>
        <w:rPr>
          <w:kern w:val="0"/>
        </w:rPr>
        <w:t>main justification for testing, a lack</w:t>
      </w:r>
      <w:r w:rsidR="00427468">
        <w:rPr>
          <w:kern w:val="0"/>
        </w:rPr>
        <w:t xml:space="preserve"> of </w:t>
      </w:r>
      <w:r>
        <w:rPr>
          <w:kern w:val="0"/>
        </w:rPr>
        <w:t>consensus remains in</w:t>
      </w:r>
      <w:r w:rsidR="003A1917">
        <w:rPr>
          <w:kern w:val="0"/>
        </w:rPr>
        <w:t xml:space="preserve"> the </w:t>
      </w:r>
      <w:r>
        <w:rPr>
          <w:kern w:val="0"/>
        </w:rPr>
        <w:t>case</w:t>
      </w:r>
      <w:r w:rsidR="00427468">
        <w:rPr>
          <w:kern w:val="0"/>
        </w:rPr>
        <w:t xml:space="preserve"> of </w:t>
      </w:r>
      <w:r>
        <w:rPr>
          <w:kern w:val="0"/>
        </w:rPr>
        <w:t>childhood-onset disorders for which preventive or therapeutic measures are not available.</w:t>
      </w:r>
    </w:p>
    <w:p w:rsidR="00705223" w:rsidRDefault="00705223" w:rsidP="00705223">
      <w:pPr>
        <w:pStyle w:val="a3"/>
        <w:rPr>
          <w:kern w:val="0"/>
        </w:rPr>
      </w:pPr>
      <w:r>
        <w:rPr>
          <w:kern w:val="0"/>
        </w:rPr>
        <w:lastRenderedPageBreak/>
        <w:t xml:space="preserve">Keywords: Adolescent, Adolescents, Adult, Ambiguity, Anyway, Bioethics, Child, Children, Clinical Guidelines, Confidentiality, Databases, Diagnosis, Ethics, Genetic, Genetic Testing, Google Scholar, Guidelines, Health, Human, Information, Intervention, Medical, Minors, Onset, Papers, Predictive Genetic Testing, Predictive Testing, Presymptomatic, Review, Science, </w:t>
      </w:r>
      <w:r w:rsidR="00D5664A">
        <w:rPr>
          <w:kern w:val="0"/>
        </w:rPr>
        <w:t>Web</w:t>
      </w:r>
      <w:r w:rsidR="00427468">
        <w:rPr>
          <w:kern w:val="0"/>
        </w:rPr>
        <w:t xml:space="preserve"> of </w:t>
      </w:r>
      <w:r w:rsidR="00D5664A">
        <w:rPr>
          <w:kern w:val="0"/>
        </w:rPr>
        <w:t>Science</w:t>
      </w:r>
      <w:r>
        <w:rPr>
          <w:kern w:val="0"/>
        </w:rPr>
        <w:t>, Websites, WHO</w:t>
      </w:r>
    </w:p>
    <w:p w:rsidR="00705223" w:rsidRPr="00C73C58" w:rsidRDefault="00705223" w:rsidP="00705223">
      <w:pPr>
        <w:pStyle w:val="1"/>
      </w:pPr>
      <w:r w:rsidRPr="00C73C58">
        <w:br w:type="page"/>
      </w:r>
      <w:bookmarkStart w:id="282" w:name="_Toc420815026"/>
      <w:r w:rsidRPr="00C73C58">
        <w:lastRenderedPageBreak/>
        <w:t xml:space="preserve">Title: </w:t>
      </w:r>
      <w:r w:rsidRPr="002A48E2">
        <w:rPr>
          <w:iCs w:val="0"/>
        </w:rPr>
        <w:t>Clinical Genitourinary Cancer</w:t>
      </w:r>
      <w:bookmarkEnd w:id="282"/>
    </w:p>
    <w:p w:rsidR="00705223" w:rsidRDefault="00705223" w:rsidP="00705223">
      <w:pPr>
        <w:pStyle w:val="12"/>
      </w:pPr>
      <w:r w:rsidRPr="001A3D2B">
        <w:t xml:space="preserve">Full Journal Title: </w:t>
      </w:r>
      <w:r w:rsidRPr="002A48E2">
        <w:rPr>
          <w:iCs/>
          <w:kern w:val="0"/>
        </w:rPr>
        <w:t>Clinical Genitourinary Cancer</w:t>
      </w:r>
    </w:p>
    <w:p w:rsidR="00705223" w:rsidRPr="00C73C58" w:rsidRDefault="00705223" w:rsidP="00705223">
      <w:pPr>
        <w:pStyle w:val="12"/>
      </w:pPr>
      <w:r w:rsidRPr="00C73C58">
        <w:t xml:space="preserve">ISO Abbreviated Title: </w:t>
      </w:r>
    </w:p>
    <w:p w:rsidR="00705223" w:rsidRPr="00C73C58" w:rsidRDefault="00705223" w:rsidP="00705223">
      <w:pPr>
        <w:pStyle w:val="12"/>
      </w:pPr>
      <w:r w:rsidRPr="00C73C58">
        <w:t xml:space="preserve">JCR Abbreviated Title: </w:t>
      </w:r>
    </w:p>
    <w:p w:rsidR="00705223" w:rsidRPr="00C73C58" w:rsidRDefault="00705223" w:rsidP="00705223">
      <w:pPr>
        <w:pStyle w:val="12"/>
      </w:pPr>
      <w:r w:rsidRPr="00C73C58">
        <w:t xml:space="preserve">ISSN: </w:t>
      </w:r>
    </w:p>
    <w:p w:rsidR="00705223" w:rsidRPr="00C73C58" w:rsidRDefault="00705223" w:rsidP="00705223">
      <w:pPr>
        <w:pStyle w:val="12"/>
      </w:pPr>
      <w:r w:rsidRPr="00C73C58">
        <w:t xml:space="preserve">Issues/Year: </w:t>
      </w:r>
    </w:p>
    <w:p w:rsidR="00705223" w:rsidRPr="00C73C58" w:rsidRDefault="00705223" w:rsidP="00705223">
      <w:pPr>
        <w:pStyle w:val="12"/>
      </w:pPr>
      <w:r w:rsidRPr="00C73C58">
        <w:t xml:space="preserve">Language: </w:t>
      </w:r>
    </w:p>
    <w:p w:rsidR="00705223" w:rsidRPr="00C73C58" w:rsidRDefault="00705223" w:rsidP="00705223">
      <w:pPr>
        <w:pStyle w:val="12"/>
      </w:pPr>
      <w:r w:rsidRPr="00C73C58">
        <w:t xml:space="preserve">Journal Country/Territory: </w:t>
      </w:r>
    </w:p>
    <w:p w:rsidR="00705223" w:rsidRPr="00C73C58" w:rsidRDefault="00705223" w:rsidP="00705223">
      <w:pPr>
        <w:pStyle w:val="12"/>
      </w:pPr>
      <w:r w:rsidRPr="00C73C58">
        <w:t xml:space="preserve">Publisher: </w:t>
      </w:r>
    </w:p>
    <w:p w:rsidR="00705223" w:rsidRPr="00C73C58" w:rsidRDefault="00705223" w:rsidP="00705223">
      <w:pPr>
        <w:pStyle w:val="12"/>
      </w:pPr>
      <w:r w:rsidRPr="00C73C58">
        <w:t xml:space="preserve">Publisher Address: </w:t>
      </w:r>
    </w:p>
    <w:p w:rsidR="00705223" w:rsidRPr="00C73C58" w:rsidRDefault="00705223" w:rsidP="00705223">
      <w:pPr>
        <w:pStyle w:val="12"/>
      </w:pPr>
      <w:r w:rsidRPr="00C73C58">
        <w:t xml:space="preserve">Subject Categories: </w:t>
      </w:r>
    </w:p>
    <w:p w:rsidR="00705223" w:rsidRPr="00C73C58" w:rsidRDefault="00705223" w:rsidP="00705223">
      <w:pPr>
        <w:pStyle w:val="12"/>
      </w:pPr>
      <w:r w:rsidRPr="00C73C58">
        <w:t>: Impact Factor</w:t>
      </w:r>
    </w:p>
    <w:p w:rsidR="00705223" w:rsidRDefault="00705223" w:rsidP="00705223">
      <w:pPr>
        <w:pStyle w:val="a3"/>
        <w:rPr>
          <w:kern w:val="0"/>
        </w:rPr>
      </w:pPr>
      <w:r>
        <w:rPr>
          <w:rFonts w:hint="eastAsia"/>
          <w:kern w:val="0"/>
        </w:rPr>
        <w:t xml:space="preserve">? </w:t>
      </w:r>
      <w:r>
        <w:rPr>
          <w:kern w:val="0"/>
        </w:rPr>
        <w:t>Chu, D., Lacouture, M.E., Weiner, E.</w:t>
      </w:r>
      <w:r w:rsidR="005853A9">
        <w:rPr>
          <w:kern w:val="0"/>
        </w:rPr>
        <w:t xml:space="preserve"> and </w:t>
      </w:r>
      <w:r>
        <w:rPr>
          <w:kern w:val="0"/>
        </w:rPr>
        <w:t>Wu, S.H. (2009), Risk</w:t>
      </w:r>
      <w:r w:rsidR="00427468">
        <w:rPr>
          <w:kern w:val="0"/>
        </w:rPr>
        <w:t xml:space="preserve"> of </w:t>
      </w:r>
      <w:r>
        <w:rPr>
          <w:kern w:val="0"/>
        </w:rPr>
        <w:t>hand-foot skin reaction with</w:t>
      </w:r>
      <w:r w:rsidR="003A1917">
        <w:rPr>
          <w:kern w:val="0"/>
        </w:rPr>
        <w:t xml:space="preserve"> the </w:t>
      </w:r>
      <w:r>
        <w:rPr>
          <w:kern w:val="0"/>
        </w:rPr>
        <w:t>multitargeted kinase inhibitor sunitinib in patients with renal cell</w:t>
      </w:r>
      <w:r w:rsidR="005853A9">
        <w:rPr>
          <w:kern w:val="0"/>
        </w:rPr>
        <w:t xml:space="preserve"> and </w:t>
      </w:r>
      <w:r>
        <w:rPr>
          <w:kern w:val="0"/>
        </w:rPr>
        <w:t xml:space="preserve">non-renal cell carcinoma: A meta-analysis. </w:t>
      </w:r>
      <w:r w:rsidRPr="002A48E2">
        <w:rPr>
          <w:i/>
          <w:iCs/>
          <w:kern w:val="0"/>
        </w:rPr>
        <w:t>Clinical Genitourinary Cancer</w:t>
      </w:r>
      <w:r>
        <w:rPr>
          <w:kern w:val="0"/>
        </w:rPr>
        <w:t xml:space="preserve">, </w:t>
      </w:r>
      <w:r>
        <w:rPr>
          <w:b/>
          <w:bCs/>
          <w:kern w:val="0"/>
        </w:rPr>
        <w:t>7</w:t>
      </w:r>
      <w:r>
        <w:rPr>
          <w:kern w:val="0"/>
        </w:rPr>
        <w:t xml:space="preserve"> (1), 11-19.</w:t>
      </w:r>
    </w:p>
    <w:p w:rsidR="005B6453" w:rsidRDefault="005B6453" w:rsidP="005B6453">
      <w:pPr>
        <w:pStyle w:val="a3"/>
        <w:rPr>
          <w:kern w:val="0"/>
        </w:rPr>
      </w:pPr>
      <w:r>
        <w:rPr>
          <w:rFonts w:hint="eastAsia"/>
          <w:kern w:val="0"/>
        </w:rPr>
        <w:t xml:space="preserve">Full Text: </w:t>
      </w:r>
      <w:hyperlink r:id="rId356" w:history="1">
        <w:r w:rsidRPr="005B6453">
          <w:rPr>
            <w:rStyle w:val="a5"/>
            <w:kern w:val="0"/>
          </w:rPr>
          <w:t>2009\Cli Gen Can7, 11.pdf</w:t>
        </w:r>
      </w:hyperlink>
    </w:p>
    <w:p w:rsidR="00705223" w:rsidRDefault="00705223" w:rsidP="00705223">
      <w:pPr>
        <w:pStyle w:val="a3"/>
        <w:rPr>
          <w:kern w:val="0"/>
        </w:rPr>
      </w:pPr>
      <w:r>
        <w:rPr>
          <w:kern w:val="0"/>
        </w:rPr>
        <w:t>Abstract: Hand-foot skin reaction (HFSR) is an emerging issue in cancer treatment with multitargeted tyrosine kinase inhibitors (TKIs), leading to morbidity, suboptimal dosing,</w:t>
      </w:r>
      <w:r w:rsidR="005853A9">
        <w:rPr>
          <w:kern w:val="0"/>
        </w:rPr>
        <w:t xml:space="preserve"> and </w:t>
      </w:r>
      <w:r>
        <w:rPr>
          <w:kern w:val="0"/>
        </w:rPr>
        <w:t>poor compliance</w:t>
      </w:r>
      <w:r w:rsidR="00A37C1D">
        <w:rPr>
          <w:kern w:val="0"/>
        </w:rPr>
        <w:t>. The</w:t>
      </w:r>
      <w:r w:rsidR="003A1917">
        <w:rPr>
          <w:kern w:val="0"/>
        </w:rPr>
        <w:t xml:space="preserve"> </w:t>
      </w:r>
      <w:r>
        <w:rPr>
          <w:kern w:val="0"/>
        </w:rPr>
        <w:t>overall risk</w:t>
      </w:r>
      <w:r w:rsidR="00427468">
        <w:rPr>
          <w:kern w:val="0"/>
        </w:rPr>
        <w:t xml:space="preserve"> of </w:t>
      </w:r>
      <w:r>
        <w:rPr>
          <w:kern w:val="0"/>
        </w:rPr>
        <w:t>HFSR is not clear for sunitinib, a TKI effective for metastatic renal cell carcinoma (RCC)</w:t>
      </w:r>
      <w:r w:rsidR="005853A9">
        <w:rPr>
          <w:kern w:val="0"/>
        </w:rPr>
        <w:t xml:space="preserve"> and </w:t>
      </w:r>
      <w:r>
        <w:rPr>
          <w:kern w:val="0"/>
        </w:rPr>
        <w:t>gastrointestinal stromal tumor. We therefore conducted a systematic review</w:t>
      </w:r>
      <w:r w:rsidR="005853A9">
        <w:rPr>
          <w:kern w:val="0"/>
        </w:rPr>
        <w:t xml:space="preserve"> and </w:t>
      </w:r>
      <w:r>
        <w:rPr>
          <w:kern w:val="0"/>
        </w:rPr>
        <w:t>a meta-analysis to determine</w:t>
      </w:r>
      <w:r w:rsidR="003A1917">
        <w:rPr>
          <w:kern w:val="0"/>
        </w:rPr>
        <w:t xml:space="preserve"> the </w:t>
      </w:r>
      <w:r>
        <w:rPr>
          <w:kern w:val="0"/>
        </w:rPr>
        <w:t>risk</w:t>
      </w:r>
      <w:r w:rsidR="00427468">
        <w:rPr>
          <w:kern w:val="0"/>
        </w:rPr>
        <w:t xml:space="preserve"> of </w:t>
      </w:r>
      <w:r>
        <w:rPr>
          <w:kern w:val="0"/>
        </w:rPr>
        <w:t>developing HFSR with sunitinib. Databases from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for articles from July 1966 until July 2007</w:t>
      </w:r>
      <w:r w:rsidR="005853A9">
        <w:rPr>
          <w:kern w:val="0"/>
        </w:rPr>
        <w:t xml:space="preserve"> and </w:t>
      </w:r>
      <w:r>
        <w:rPr>
          <w:kern w:val="0"/>
        </w:rPr>
        <w:t>abstracts presented at</w:t>
      </w:r>
      <w:r w:rsidR="003A1917">
        <w:rPr>
          <w:kern w:val="0"/>
        </w:rPr>
        <w:t xml:space="preserve"> the </w:t>
      </w:r>
      <w:r>
        <w:rPr>
          <w:kern w:val="0"/>
        </w:rPr>
        <w:t>American Society</w:t>
      </w:r>
      <w:r w:rsidR="00427468">
        <w:rPr>
          <w:kern w:val="0"/>
        </w:rPr>
        <w:t xml:space="preserve"> of </w:t>
      </w:r>
      <w:r>
        <w:rPr>
          <w:kern w:val="0"/>
        </w:rPr>
        <w:t>Clinical Oncology conferences were searched to identify relevant studies. Eligible studies were prospective clinical trials that had described events</w:t>
      </w:r>
      <w:r w:rsidR="00427468">
        <w:rPr>
          <w:kern w:val="0"/>
        </w:rPr>
        <w:t xml:space="preserve"> of </w:t>
      </w:r>
      <w:r>
        <w:rPr>
          <w:kern w:val="0"/>
        </w:rPr>
        <w:t>HFSR for patients who received single-agent sunitinib. Incidence</w:t>
      </w:r>
      <w:r w:rsidR="005853A9">
        <w:rPr>
          <w:kern w:val="0"/>
        </w:rPr>
        <w:t xml:space="preserve"> and </w:t>
      </w:r>
      <w:r>
        <w:rPr>
          <w:kern w:val="0"/>
        </w:rPr>
        <w:t>relative risk (RR) were calculated using a random-effects or fixed-effects model. A total</w:t>
      </w:r>
      <w:r w:rsidR="00427468">
        <w:rPr>
          <w:kern w:val="0"/>
        </w:rPr>
        <w:t xml:space="preserve"> of </w:t>
      </w:r>
      <w:r>
        <w:rPr>
          <w:kern w:val="0"/>
        </w:rPr>
        <w:t>5005 patients with RCC</w:t>
      </w:r>
      <w:r w:rsidR="005853A9">
        <w:rPr>
          <w:kern w:val="0"/>
        </w:rPr>
        <w:t xml:space="preserve"> and </w:t>
      </w:r>
      <w:r>
        <w:rPr>
          <w:kern w:val="0"/>
        </w:rPr>
        <w:t>other cancers from 10 clinical trials were included for analysis. Among patients receiving sunitinib,</w:t>
      </w:r>
      <w:r w:rsidR="003A1917">
        <w:rPr>
          <w:kern w:val="0"/>
        </w:rPr>
        <w:t xml:space="preserve"> the </w:t>
      </w:r>
      <w:r>
        <w:rPr>
          <w:kern w:val="0"/>
        </w:rPr>
        <w:t>summary incidences</w:t>
      </w:r>
      <w:r w:rsidR="00427468">
        <w:rPr>
          <w:kern w:val="0"/>
        </w:rPr>
        <w:t xml:space="preserve"> of </w:t>
      </w:r>
      <w:r>
        <w:rPr>
          <w:kern w:val="0"/>
        </w:rPr>
        <w:t>all-grade</w:t>
      </w:r>
      <w:r w:rsidR="005853A9">
        <w:rPr>
          <w:kern w:val="0"/>
        </w:rPr>
        <w:t xml:space="preserve"> and </w:t>
      </w:r>
      <w:r>
        <w:rPr>
          <w:kern w:val="0"/>
        </w:rPr>
        <w:t>high-grade HFSR were 18.9% (95% Cl, 14.1%-24.8%)</w:t>
      </w:r>
      <w:r w:rsidR="005853A9">
        <w:rPr>
          <w:kern w:val="0"/>
        </w:rPr>
        <w:t xml:space="preserve"> and </w:t>
      </w:r>
      <w:r>
        <w:rPr>
          <w:kern w:val="0"/>
        </w:rPr>
        <w:t>5.5% (95% Cl, 3.9%-7.9%), respectively. Interestingly, patients with RCC have significantly decreased risk</w:t>
      </w:r>
      <w:r w:rsidR="00427468">
        <w:rPr>
          <w:kern w:val="0"/>
        </w:rPr>
        <w:t xml:space="preserve"> of </w:t>
      </w:r>
      <w:r>
        <w:rPr>
          <w:kern w:val="0"/>
        </w:rPr>
        <w:t>HFSR compared with patients with non-RCC malignancy (RR, 0.56; 95% Cl, 0.50-0.64; P &lt; .001). In addition, sunitinib was associated with a significantly increased risk</w:t>
      </w:r>
      <w:r w:rsidR="00427468">
        <w:rPr>
          <w:kern w:val="0"/>
        </w:rPr>
        <w:t xml:space="preserve"> of </w:t>
      </w:r>
      <w:r>
        <w:rPr>
          <w:kern w:val="0"/>
        </w:rPr>
        <w:t>all-grade HFSR (RR, 9.86; 95% Cl, 3.1-31.31; P &lt; .001) in comparison with controls</w:t>
      </w:r>
      <w:r w:rsidR="00A37C1D">
        <w:rPr>
          <w:kern w:val="0"/>
        </w:rPr>
        <w:t>. The</w:t>
      </w:r>
      <w:r>
        <w:rPr>
          <w:kern w:val="0"/>
        </w:rPr>
        <w:t>re is a significant risk</w:t>
      </w:r>
      <w:r w:rsidR="00427468">
        <w:rPr>
          <w:kern w:val="0"/>
        </w:rPr>
        <w:t xml:space="preserve"> of </w:t>
      </w:r>
      <w:r>
        <w:rPr>
          <w:kern w:val="0"/>
        </w:rPr>
        <w:t>developing HFSR in patients with cancer receiving sunitinib. Adequate monitoring</w:t>
      </w:r>
      <w:r w:rsidR="005853A9">
        <w:rPr>
          <w:kern w:val="0"/>
        </w:rPr>
        <w:t xml:space="preserve"> and </w:t>
      </w:r>
      <w:r>
        <w:rPr>
          <w:kern w:val="0"/>
        </w:rPr>
        <w:t xml:space="preserve">intervention are </w:t>
      </w:r>
      <w:r>
        <w:rPr>
          <w:kern w:val="0"/>
        </w:rPr>
        <w:lastRenderedPageBreak/>
        <w:t>recommended for reducing</w:t>
      </w:r>
      <w:r w:rsidR="003A1917">
        <w:rPr>
          <w:kern w:val="0"/>
        </w:rPr>
        <w:t xml:space="preserve"> the </w:t>
      </w:r>
      <w:r>
        <w:rPr>
          <w:kern w:val="0"/>
        </w:rPr>
        <w:t>toxicity.</w:t>
      </w:r>
    </w:p>
    <w:p w:rsidR="00705223" w:rsidRDefault="00705223" w:rsidP="00705223">
      <w:pPr>
        <w:pStyle w:val="a3"/>
        <w:rPr>
          <w:kern w:val="0"/>
        </w:rPr>
      </w:pPr>
      <w:r>
        <w:rPr>
          <w:kern w:val="0"/>
        </w:rPr>
        <w:t xml:space="preserve">Keywords: Activation, Advanced Solid Tumors, Analysis, Angiogenesis, C-Kit, Cancer, Carcinoma, Clinical Trials, Compliance, Databases, Gastrointestinal, Gastrointestinal Stromal Tumor, Growth, Human Keratinocytes, Intervention, Kit-Ligand, Malignancy, Meta Analysis, Meta-Analysis, Model, Monitoring, Morbidity, Oncology, PUBMED, Relative Risk, Renal, Review, Risk, Safety, Science, Sorafenib, Su11248, Systematic, Systematic Review, Therapy, Toxicity, Treatment, Tyrosine Kinase Inhibitor, Von Hippel-Lindau, </w:t>
      </w:r>
      <w:r w:rsidR="00D5664A">
        <w:rPr>
          <w:kern w:val="0"/>
        </w:rPr>
        <w:t>Web</w:t>
      </w:r>
      <w:r w:rsidR="00427468">
        <w:rPr>
          <w:kern w:val="0"/>
        </w:rPr>
        <w:t xml:space="preserve"> of </w:t>
      </w:r>
      <w:r w:rsidR="00D5664A">
        <w:rPr>
          <w:kern w:val="0"/>
        </w:rPr>
        <w:t>Science</w:t>
      </w:r>
    </w:p>
    <w:p w:rsidR="005B6453" w:rsidRDefault="005B6453" w:rsidP="005B6453">
      <w:pPr>
        <w:pStyle w:val="a3"/>
        <w:rPr>
          <w:kern w:val="0"/>
        </w:rPr>
      </w:pPr>
      <w:r>
        <w:rPr>
          <w:rFonts w:hint="eastAsia"/>
          <w:kern w:val="0"/>
        </w:rPr>
        <w:t xml:space="preserve">? </w:t>
      </w:r>
      <w:r>
        <w:rPr>
          <w:kern w:val="0"/>
        </w:rPr>
        <w:t xml:space="preserve">Petrelli, F., Vavassori, I., Coinu, A., Borgonovo, K., Sarti, E. and Barni, S. (2014), Radical prostatectomy or radiotherapy in high-risk prostate cancer: A systematic review and metaanalysis. </w:t>
      </w:r>
      <w:r>
        <w:rPr>
          <w:i/>
          <w:iCs/>
          <w:kern w:val="0"/>
        </w:rPr>
        <w:t>Clinical Genitourinary Cancer</w:t>
      </w:r>
      <w:r>
        <w:rPr>
          <w:kern w:val="0"/>
        </w:rPr>
        <w:t xml:space="preserve">, </w:t>
      </w:r>
      <w:r>
        <w:rPr>
          <w:b/>
          <w:bCs/>
          <w:kern w:val="0"/>
        </w:rPr>
        <w:t>12</w:t>
      </w:r>
      <w:r>
        <w:rPr>
          <w:kern w:val="0"/>
        </w:rPr>
        <w:t xml:space="preserve"> (4), 215-224.</w:t>
      </w:r>
    </w:p>
    <w:p w:rsidR="005B6453" w:rsidRDefault="005B6453" w:rsidP="005B6453">
      <w:pPr>
        <w:pStyle w:val="a3"/>
        <w:rPr>
          <w:kern w:val="0"/>
        </w:rPr>
      </w:pPr>
      <w:r>
        <w:rPr>
          <w:rFonts w:hint="eastAsia"/>
          <w:kern w:val="0"/>
        </w:rPr>
        <w:t xml:space="preserve">Full Text: </w:t>
      </w:r>
      <w:hyperlink r:id="rId357" w:history="1">
        <w:r w:rsidRPr="005B6453">
          <w:rPr>
            <w:rStyle w:val="a5"/>
            <w:kern w:val="0"/>
          </w:rPr>
          <w:t>2014\Cli Gen Can12, 215.pdf</w:t>
        </w:r>
      </w:hyperlink>
    </w:p>
    <w:p w:rsidR="005B6453" w:rsidRDefault="005B6453" w:rsidP="005B6453">
      <w:pPr>
        <w:pStyle w:val="a3"/>
        <w:rPr>
          <w:kern w:val="0"/>
        </w:rPr>
      </w:pPr>
      <w:r>
        <w:rPr>
          <w:kern w:val="0"/>
        </w:rPr>
        <w:t>Abstract: Background: Radical prostatectomy (RP) is one of the treatment options for localized, high-risk prostate cancer (PC), but it has never been compared with external beam radiotherapy (RI), which is an alternative approach, in a large randomized trial. To compare the outcomes of patients treated with surgery versus RT, we performed a metaanalysis of available studies on this topic. Materials and Methods: We performed a search of MEDLINE, EMBASE, Web of Science, SCOPUS, and The Cochrane Central Register of Controlled Trials (CENTRAL) for randomized or observational studies that investigated overall survival (OS) and PC-specific mortality (PCSM) risks in relation to use of surgery or RT in patients with high-risk PC. Fixed- and random-effect models were fitted to estimate the summary odds ratio (OR). Between-study heterogeneity was tested using chi(2) statistics and measured using the l(2) statistic. Publication bias was evaluated using a funnel plot and Egger regression asymmetry test. Results: Seventeen studies were included (1 randomized and 16 retrospective). RP was associated with improved OS (OR, 0.51; 95% confidence interval [CI], 0.38-0.68; P &lt; .00001), PCSM (OR, 0.56; 95% CI, 0.37-0.85; P = .007), and non-PCSM (OR, 0.53; 95% CI, 0.35-0.8; P = .002) compared with RT. Biochemical relapse-free survival rates were similar to those of RT. Conclusion: Overall and cancer-specific mortality rates appear to be better with RP compared with RT in localized, high-risk PC. Surgery is also associated with a 50% decreased risk of non-PCSM compared with RT. (C) 2014 Elsevier Inc. All rights reserved.</w:t>
      </w:r>
    </w:p>
    <w:p w:rsidR="005B6453" w:rsidRDefault="005B6453" w:rsidP="005B6453">
      <w:pPr>
        <w:pStyle w:val="a3"/>
        <w:rPr>
          <w:kern w:val="0"/>
        </w:rPr>
      </w:pPr>
      <w:r>
        <w:rPr>
          <w:kern w:val="0"/>
        </w:rPr>
        <w:t xml:space="preserve">Keywords: Alternative, Androgen-Deprivation, Antigen Era, Approach, Asymmetry, Beam Radiation-Therapy, Bias, Cancer, Cancer Mortality, Carcinoma, Confidence, Embase, External Beam Radiotherapy, Follow-Up, Functional Outcomes, Heterogeneity, Interval, Long-Term Survival, Materials, Medline, Men, Metaanalysis, Methods, Models, Mortality, Mortality Outcomes, Observational, Observational Studies, Odds Ratio, Options, Outcomes, Overall Survival, P, Patients, Prostate </w:t>
      </w:r>
      <w:r>
        <w:rPr>
          <w:kern w:val="0"/>
        </w:rPr>
        <w:lastRenderedPageBreak/>
        <w:t>Cancer, Prostate Carcinoma, Prostatectomy, Publication, Publication Bias, Quality-Of-Life, Radiation Therapy, Radical Prostatectomy, Radiotherapy, Randomized, Randomized Trial, Rates, Regression, Results, Review, Rights, Risk, Risks, Science, Scopus, Statistics, Surgery, Survival, Survival Rates, Systematic Review, Topic, Treatment, Trial, Web Of Science</w:t>
      </w:r>
    </w:p>
    <w:p w:rsidR="003474F2" w:rsidRPr="001A3D2B" w:rsidRDefault="003474F2" w:rsidP="003474F2">
      <w:pPr>
        <w:pStyle w:val="1"/>
      </w:pPr>
      <w:r w:rsidRPr="001A3D2B">
        <w:br w:type="page"/>
      </w:r>
      <w:bookmarkStart w:id="283" w:name="_Toc420815027"/>
      <w:r w:rsidRPr="001A3D2B">
        <w:lastRenderedPageBreak/>
        <w:t>Title: Clinical Hemorheology</w:t>
      </w:r>
      <w:bookmarkEnd w:id="283"/>
    </w:p>
    <w:p w:rsidR="003474F2" w:rsidRPr="001A3D2B" w:rsidRDefault="003474F2" w:rsidP="003474F2">
      <w:pPr>
        <w:pStyle w:val="12"/>
      </w:pPr>
      <w:r w:rsidRPr="001A3D2B">
        <w:t xml:space="preserve">Full Journal Title: </w:t>
      </w:r>
      <w:r w:rsidR="00DF61FE">
        <w:fldChar w:fldCharType="begin"/>
      </w:r>
      <w:r w:rsidR="00FD158B">
        <w:instrText>HYPERLINK "h</w:instrText>
      </w:r>
      <w:bookmarkStart w:id="284" w:name="_Toc81215673"/>
      <w:r w:rsidR="00FD158B">
        <w:instrText>ttp://sdos.ejournal.ascc.net</w:instrText>
      </w:r>
      <w:bookmarkEnd w:id="284"/>
      <w:r w:rsidR="00FD158B">
        <w:instrText>/cgi-bin/sciserv.pl?collection=journals&amp;journal=02715198"</w:instrText>
      </w:r>
      <w:r w:rsidR="00DF61FE">
        <w:fldChar w:fldCharType="separate"/>
      </w:r>
      <w:r w:rsidRPr="001A3D2B">
        <w:rPr>
          <w:rStyle w:val="a5"/>
        </w:rPr>
        <w:t>Clinical Hemorheology</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t>Tomov, D., Georgieva, Z.H.</w:t>
      </w:r>
      <w:r w:rsidR="005853A9">
        <w:t xml:space="preserve"> and </w:t>
      </w:r>
      <w:r w:rsidRPr="001A3D2B">
        <w:t>Mileva, V. (1995), International communication patterns in</w:t>
      </w:r>
      <w:r w:rsidR="003A1917">
        <w:t xml:space="preserve"> the </w:t>
      </w:r>
      <w:r w:rsidRPr="001A3D2B">
        <w:t>field</w:t>
      </w:r>
      <w:r w:rsidR="00427468">
        <w:t xml:space="preserve"> of </w:t>
      </w:r>
      <w:r w:rsidRPr="001A3D2B">
        <w:t>microcirculation</w:t>
      </w:r>
      <w:r w:rsidR="005853A9">
        <w:t xml:space="preserve"> and </w:t>
      </w:r>
      <w:r w:rsidRPr="001A3D2B">
        <w:t xml:space="preserve">hemorheology. </w:t>
      </w:r>
      <w:r w:rsidRPr="001A3D2B">
        <w:rPr>
          <w:i/>
          <w:iCs/>
        </w:rPr>
        <w:t>Clinical Hemorheology</w:t>
      </w:r>
      <w:r w:rsidRPr="001A3D2B">
        <w:t xml:space="preserve">, </w:t>
      </w:r>
      <w:r w:rsidRPr="001A3D2B">
        <w:rPr>
          <w:b/>
        </w:rPr>
        <w:t>15</w:t>
      </w:r>
      <w:r w:rsidRPr="001A3D2B">
        <w:t xml:space="preserve"> (3), 587.</w:t>
      </w:r>
    </w:p>
    <w:p w:rsidR="003474F2" w:rsidRPr="001A3D2B" w:rsidRDefault="003474F2" w:rsidP="003474F2">
      <w:pPr>
        <w:pStyle w:val="a3"/>
      </w:pPr>
      <w:r w:rsidRPr="001A3D2B">
        <w:t xml:space="preserve">Full Text: </w:t>
      </w:r>
      <w:hyperlink r:id="rId358" w:history="1">
        <w:r w:rsidRPr="001A3D2B">
          <w:rPr>
            <w:rStyle w:val="a5"/>
          </w:rPr>
          <w:t>1995\Cli Hem15, 587.pdf</w:t>
        </w:r>
      </w:hyperlink>
    </w:p>
    <w:p w:rsidR="003474F2" w:rsidRPr="001A3D2B" w:rsidRDefault="003474F2" w:rsidP="003474F2">
      <w:pPr>
        <w:pStyle w:val="a3"/>
      </w:pPr>
      <w:r w:rsidRPr="001A3D2B">
        <w:t>Abstract:</w:t>
      </w:r>
      <w:r w:rsidR="003A1917">
        <w:t xml:space="preserve"> the </w:t>
      </w:r>
      <w:r w:rsidRPr="001A3D2B">
        <w:t>rising interest</w:t>
      </w:r>
      <w:r w:rsidR="00427468">
        <w:t xml:space="preserve"> of </w:t>
      </w:r>
      <w:r w:rsidR="003A1917">
        <w:t xml:space="preserve">the </w:t>
      </w:r>
      <w:r w:rsidRPr="001A3D2B">
        <w:t>world scientific community in actual issues</w:t>
      </w:r>
      <w:r w:rsidR="00427468">
        <w:t xml:space="preserve"> of </w:t>
      </w:r>
      <w:r w:rsidRPr="001A3D2B">
        <w:t>clinical</w:t>
      </w:r>
      <w:r w:rsidR="005853A9">
        <w:t xml:space="preserve"> and </w:t>
      </w:r>
      <w:r w:rsidRPr="001A3D2B">
        <w:t>experimental microcirculatory research should be more intensively investigated in order to provide valuable information about trends</w:t>
      </w:r>
      <w:r w:rsidR="005853A9">
        <w:t xml:space="preserve"> and </w:t>
      </w:r>
      <w:r w:rsidRPr="001A3D2B">
        <w:t>priorities in</w:t>
      </w:r>
      <w:r w:rsidR="003A1917">
        <w:t xml:space="preserve"> the </w:t>
      </w:r>
      <w:r w:rsidRPr="001A3D2B">
        <w:t>field.</w:t>
      </w:r>
    </w:p>
    <w:p w:rsidR="003474F2" w:rsidRPr="001A3D2B" w:rsidRDefault="003474F2" w:rsidP="003474F2">
      <w:pPr>
        <w:pStyle w:val="a3"/>
      </w:pPr>
      <w:r w:rsidRPr="001A3D2B">
        <w:t>The purpose</w:t>
      </w:r>
      <w:r w:rsidR="00427468">
        <w:t xml:space="preserve"> of </w:t>
      </w:r>
      <w:r w:rsidR="003A1917">
        <w:t xml:space="preserve">the </w:t>
      </w:r>
      <w:r w:rsidRPr="001A3D2B">
        <w:t>present scientometric study was to reveal</w:t>
      </w:r>
      <w:r w:rsidR="003A1917">
        <w:t xml:space="preserve"> the </w:t>
      </w:r>
      <w:r w:rsidRPr="001A3D2B">
        <w:t>contribution</w:t>
      </w:r>
      <w:r w:rsidR="00427468">
        <w:t xml:space="preserve"> of </w:t>
      </w:r>
      <w:r w:rsidRPr="001A3D2B">
        <w:t>single countries involved by their authors</w:t>
      </w:r>
      <w:r w:rsidR="005853A9">
        <w:t xml:space="preserve"> and </w:t>
      </w:r>
      <w:r w:rsidRPr="001A3D2B">
        <w:t>journals in</w:t>
      </w:r>
      <w:r w:rsidR="003A1917">
        <w:t xml:space="preserve"> the </w:t>
      </w:r>
      <w:r w:rsidRPr="001A3D2B">
        <w:t>international system</w:t>
      </w:r>
      <w:r w:rsidR="00427468">
        <w:t xml:space="preserve"> of </w:t>
      </w:r>
      <w:r w:rsidRPr="001A3D2B">
        <w:t>communications</w:t>
      </w:r>
      <w:r w:rsidR="00A37C1D">
        <w:t>. The</w:t>
      </w:r>
      <w:r w:rsidR="003A1917">
        <w:t xml:space="preserve"> </w:t>
      </w:r>
      <w:r w:rsidR="00D5664A">
        <w:rPr>
          <w:i/>
          <w:iCs/>
        </w:rPr>
        <w:t>MEDLINE</w:t>
      </w:r>
      <w:r w:rsidRPr="001A3D2B">
        <w:t xml:space="preserve"> data-base</w:t>
      </w:r>
      <w:r w:rsidR="00427468">
        <w:t xml:space="preserve"> of </w:t>
      </w:r>
      <w:r w:rsidR="003A1917">
        <w:t xml:space="preserve">the </w:t>
      </w:r>
      <w:r w:rsidRPr="001A3D2B">
        <w:t>NLM (</w:t>
      </w:r>
      <w:r w:rsidR="00D5664A">
        <w:t>USA</w:t>
      </w:r>
      <w:r w:rsidRPr="001A3D2B">
        <w:t>) was screened for</w:t>
      </w:r>
      <w:r w:rsidR="003A1917">
        <w:t xml:space="preserve"> the </w:t>
      </w:r>
      <w:r w:rsidRPr="001A3D2B">
        <w:t>period from 1990 to 1994</w:t>
      </w:r>
      <w:r w:rsidR="00A37C1D">
        <w:t>. The</w:t>
      </w:r>
      <w:r w:rsidR="003A1917">
        <w:t xml:space="preserve"> </w:t>
      </w:r>
      <w:r w:rsidRPr="001A3D2B">
        <w:rPr>
          <w:i/>
          <w:iCs/>
        </w:rPr>
        <w:t>OVID</w:t>
      </w:r>
      <w:r w:rsidRPr="001A3D2B">
        <w:t xml:space="preserve"> software</w:t>
      </w:r>
      <w:r w:rsidR="00427468">
        <w:t xml:space="preserve"> of </w:t>
      </w:r>
      <w:r w:rsidR="003A1917">
        <w:t xml:space="preserve">the </w:t>
      </w:r>
      <w:r w:rsidRPr="001A3D2B">
        <w:t>CD-PLUS (</w:t>
      </w:r>
      <w:r w:rsidR="00D5664A">
        <w:t>USA</w:t>
      </w:r>
      <w:r w:rsidRPr="001A3D2B">
        <w:t>) was used</w:t>
      </w:r>
      <w:r w:rsidR="00A37C1D">
        <w:t>. The</w:t>
      </w:r>
      <w:r w:rsidR="003A1917">
        <w:t xml:space="preserve"> </w:t>
      </w:r>
      <w:r w:rsidRPr="001A3D2B">
        <w:t>following parameters were examined: addresses</w:t>
      </w:r>
      <w:r w:rsidR="00427468">
        <w:t xml:space="preserve"> of </w:t>
      </w:r>
      <w:r w:rsidR="003A1917">
        <w:t xml:space="preserve">the </w:t>
      </w:r>
      <w:r w:rsidRPr="001A3D2B">
        <w:t>authors</w:t>
      </w:r>
      <w:r w:rsidR="00427468">
        <w:t xml:space="preserve"> of </w:t>
      </w:r>
      <w:r w:rsidR="003A1917">
        <w:t xml:space="preserve">the </w:t>
      </w:r>
      <w:r w:rsidRPr="001A3D2B">
        <w:t>papers, journal titles</w:t>
      </w:r>
      <w:r w:rsidR="005853A9">
        <w:t xml:space="preserve"> and </w:t>
      </w:r>
      <w:r w:rsidRPr="001A3D2B">
        <w:t>national affiliation</w:t>
      </w:r>
      <w:r w:rsidR="00427468">
        <w:t xml:space="preserve"> of </w:t>
      </w:r>
      <w:r w:rsidR="003A1917">
        <w:t xml:space="preserve">the </w:t>
      </w:r>
      <w:r w:rsidRPr="001A3D2B">
        <w:t>journals. Several bibliometric distributions were constructed to characterize</w:t>
      </w:r>
      <w:r w:rsidR="003A1917">
        <w:t xml:space="preserve"> the </w:t>
      </w:r>
      <w:r w:rsidRPr="001A3D2B">
        <w:t>rising internationalization</w:t>
      </w:r>
      <w:r w:rsidR="00427468">
        <w:t xml:space="preserve"> of </w:t>
      </w:r>
      <w:r w:rsidRPr="001A3D2B">
        <w:t>research.</w:t>
      </w:r>
    </w:p>
    <w:p w:rsidR="003474F2" w:rsidRPr="001A3D2B" w:rsidRDefault="003474F2" w:rsidP="003474F2">
      <w:pPr>
        <w:pStyle w:val="a3"/>
      </w:pPr>
      <w:r w:rsidRPr="001A3D2B">
        <w:t>There were a total</w:t>
      </w:r>
      <w:r w:rsidR="00427468">
        <w:t xml:space="preserve"> of </w:t>
      </w:r>
      <w:r w:rsidRPr="001A3D2B">
        <w:t>2190 single primary publications during this period. A certain tendency towards augmentation</w:t>
      </w:r>
      <w:r w:rsidR="00427468">
        <w:t xml:space="preserve"> of </w:t>
      </w:r>
      <w:r w:rsidR="003A1917">
        <w:t xml:space="preserve">the </w:t>
      </w:r>
      <w:r w:rsidRPr="001A3D2B">
        <w:t>number</w:t>
      </w:r>
      <w:r w:rsidR="00427468">
        <w:t xml:space="preserve"> of </w:t>
      </w:r>
      <w:r w:rsidRPr="001A3D2B">
        <w:t>papers in subsequent years was found out. A total</w:t>
      </w:r>
      <w:r w:rsidR="00427468">
        <w:t xml:space="preserve"> of </w:t>
      </w:r>
      <w:r w:rsidRPr="001A3D2B">
        <w:t>248 journals published in 31 countries contained 475 papers by authors from 39 countries in 1990, while a total</w:t>
      </w:r>
      <w:r w:rsidR="00427468">
        <w:t xml:space="preserve"> of </w:t>
      </w:r>
      <w:r w:rsidRPr="001A3D2B">
        <w:t>146 journals published in 17 countries contained 266 papers by authors from 32 countries</w:t>
      </w:r>
      <w:r w:rsidR="00A37C1D">
        <w:t>. The</w:t>
      </w:r>
      <w:r w:rsidR="003A1917">
        <w:t xml:space="preserve"> </w:t>
      </w:r>
      <w:r w:rsidRPr="001A3D2B">
        <w:t>most significant research teams</w:t>
      </w:r>
      <w:r w:rsidR="005853A9">
        <w:t xml:space="preserve"> and </w:t>
      </w:r>
      <w:r w:rsidRPr="001A3D2B">
        <w:t>journals were identified.</w:t>
      </w:r>
    </w:p>
    <w:p w:rsidR="003474F2" w:rsidRPr="001A3D2B" w:rsidRDefault="003474F2" w:rsidP="003474F2">
      <w:pPr>
        <w:pStyle w:val="a3"/>
      </w:pPr>
      <w:r w:rsidRPr="001A3D2B">
        <w:t>The results from this analysis could be successfully used for improvement</w:t>
      </w:r>
      <w:r w:rsidR="00427468">
        <w:t xml:space="preserve"> of </w:t>
      </w:r>
      <w:r w:rsidR="003A1917">
        <w:t xml:space="preserve">the </w:t>
      </w:r>
      <w:r w:rsidRPr="001A3D2B">
        <w:t>communication environment</w:t>
      </w:r>
      <w:r w:rsidR="00427468">
        <w:t xml:space="preserve"> of </w:t>
      </w:r>
      <w:r w:rsidR="003A1917">
        <w:t xml:space="preserve">the </w:t>
      </w:r>
      <w:r w:rsidRPr="001A3D2B">
        <w:t>scientists in</w:t>
      </w:r>
      <w:r w:rsidR="003A1917">
        <w:t xml:space="preserve"> the </w:t>
      </w:r>
      <w:r w:rsidRPr="001A3D2B">
        <w:t>small European countries</w:t>
      </w:r>
      <w:r w:rsidR="005853A9">
        <w:t xml:space="preserve"> and </w:t>
      </w:r>
      <w:r w:rsidRPr="001A3D2B">
        <w:t>for establishing fruitful international collaboration in</w:t>
      </w:r>
      <w:r w:rsidR="003A1917">
        <w:t xml:space="preserve"> the </w:t>
      </w:r>
      <w:r w:rsidRPr="001A3D2B">
        <w:t>field</w:t>
      </w:r>
      <w:r w:rsidR="00427468">
        <w:t xml:space="preserve"> of </w:t>
      </w:r>
      <w:r w:rsidRPr="001A3D2B">
        <w:t>microcirculation</w:t>
      </w:r>
      <w:r w:rsidR="005853A9">
        <w:t xml:space="preserve"> and </w:t>
      </w:r>
      <w:r w:rsidRPr="001A3D2B">
        <w:lastRenderedPageBreak/>
        <w:t>hemorheology.</w:t>
      </w:r>
    </w:p>
    <w:p w:rsidR="00705223" w:rsidRPr="00C73C58" w:rsidRDefault="00705223" w:rsidP="00705223">
      <w:pPr>
        <w:pStyle w:val="1"/>
      </w:pPr>
      <w:r w:rsidRPr="00C73C58">
        <w:br w:type="page"/>
      </w:r>
      <w:bookmarkStart w:id="285" w:name="_Toc420815028"/>
      <w:r w:rsidRPr="00C73C58">
        <w:lastRenderedPageBreak/>
        <w:t>Title: Clinical Infectious Diseases</w:t>
      </w:r>
      <w:bookmarkEnd w:id="285"/>
    </w:p>
    <w:p w:rsidR="00705223" w:rsidRPr="00C73C58" w:rsidRDefault="00705223" w:rsidP="00705223">
      <w:pPr>
        <w:pStyle w:val="a3"/>
        <w:rPr>
          <w:color w:val="0000FF"/>
        </w:rPr>
      </w:pPr>
      <w:r w:rsidRPr="00C73C58">
        <w:rPr>
          <w:color w:val="0000FF"/>
        </w:rPr>
        <w:t xml:space="preserve">Full Journal Title: </w:t>
      </w:r>
      <w:r w:rsidR="00DF61FE">
        <w:fldChar w:fldCharType="begin"/>
      </w:r>
      <w:r w:rsidR="00FD158B">
        <w:instrText>HYPER</w:instrText>
      </w:r>
      <w:bookmarkStart w:id="286" w:name="_Toc302626569"/>
      <w:r w:rsidR="00FD158B">
        <w:instrText>LINK "http://www.journals.uchicago.</w:instrText>
      </w:r>
      <w:bookmarkEnd w:id="286"/>
      <w:r w:rsidR="00FD158B">
        <w:instrText>edu/CID/home.html"</w:instrText>
      </w:r>
      <w:r w:rsidR="00DF61FE">
        <w:fldChar w:fldCharType="separate"/>
      </w:r>
      <w:r w:rsidRPr="00C73C58">
        <w:rPr>
          <w:rStyle w:val="a5"/>
        </w:rPr>
        <w:t>Clinical Infectious Diseases</w:t>
      </w:r>
      <w:r w:rsidR="00DF61FE">
        <w:fldChar w:fldCharType="end"/>
      </w:r>
    </w:p>
    <w:p w:rsidR="00705223" w:rsidRPr="00C73C58" w:rsidRDefault="00705223" w:rsidP="00705223">
      <w:pPr>
        <w:pStyle w:val="12"/>
      </w:pPr>
      <w:r w:rsidRPr="00C73C58">
        <w:t>ISO Abbreviated Title: Clin. Infect. Dis.</w:t>
      </w:r>
    </w:p>
    <w:p w:rsidR="00705223" w:rsidRPr="00C73C58" w:rsidRDefault="00705223" w:rsidP="00705223">
      <w:pPr>
        <w:pStyle w:val="12"/>
      </w:pPr>
      <w:r w:rsidRPr="00C73C58">
        <w:t>JCR Abbreviated Title: Clin Infect Dis</w:t>
      </w:r>
    </w:p>
    <w:p w:rsidR="00705223" w:rsidRPr="00C73C58" w:rsidRDefault="00705223" w:rsidP="00705223">
      <w:pPr>
        <w:pStyle w:val="12"/>
      </w:pPr>
      <w:r w:rsidRPr="00C73C58">
        <w:t>ISSN: 1058-4838</w:t>
      </w:r>
    </w:p>
    <w:p w:rsidR="00705223" w:rsidRPr="00C73C58" w:rsidRDefault="00705223" w:rsidP="00705223">
      <w:pPr>
        <w:pStyle w:val="12"/>
      </w:pPr>
      <w:r w:rsidRPr="00C73C58">
        <w:t>Issues/Year: 12</w:t>
      </w:r>
    </w:p>
    <w:p w:rsidR="00705223" w:rsidRPr="00C73C58" w:rsidRDefault="00705223" w:rsidP="00705223">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705223" w:rsidRPr="00C73C58" w:rsidRDefault="00705223" w:rsidP="00705223">
      <w:pPr>
        <w:pStyle w:val="12"/>
      </w:pPr>
      <w:r w:rsidRPr="00C73C58">
        <w:t>Language: English</w:t>
      </w:r>
    </w:p>
    <w:p w:rsidR="00705223" w:rsidRPr="00C73C58" w:rsidRDefault="00705223" w:rsidP="00705223">
      <w:pPr>
        <w:pStyle w:val="12"/>
      </w:pPr>
      <w:r w:rsidRPr="00C73C58">
        <w:t>Publisher: Univ Chicago Press, Chicago</w:t>
      </w:r>
    </w:p>
    <w:p w:rsidR="00705223" w:rsidRPr="00C73C58" w:rsidRDefault="00705223" w:rsidP="00705223">
      <w:pPr>
        <w:pStyle w:val="12"/>
      </w:pPr>
      <w:r w:rsidRPr="00C73C58">
        <w:t xml:space="preserve">Publisher Address: 1427 E 60th St, Chicago, Il </w:t>
      </w:r>
      <w:smartTag w:uri="urn:schemas-microsoft-com:office:smarttags" w:element="PostalCode">
        <w:r w:rsidRPr="00C73C58">
          <w:t>60637-2954</w:t>
        </w:r>
      </w:smartTag>
    </w:p>
    <w:p w:rsidR="00705223" w:rsidRPr="00C73C58" w:rsidRDefault="00705223" w:rsidP="00705223">
      <w:pPr>
        <w:pStyle w:val="12"/>
      </w:pPr>
      <w:r w:rsidRPr="00C73C58">
        <w:t xml:space="preserve">Subject Categories: </w:t>
      </w:r>
    </w:p>
    <w:p w:rsidR="00705223" w:rsidRPr="00C73C58" w:rsidRDefault="00705223" w:rsidP="00705223">
      <w:pPr>
        <w:pStyle w:val="12"/>
      </w:pPr>
      <w:r w:rsidRPr="00C73C58">
        <w:t xml:space="preserve">Immunology: Impact Factor 2.972, 26/116 (2000); Impact Factor 3.545, 24/114 (2001); Impact Factor 4.750, 17/119 (2002); Impact Factor 5.393, 14/114 (2003); Impact Factor 5.594, 15/111 (2004); Impact Factor 6.510, 11/115 (2005); Impact Factor </w:t>
      </w:r>
      <w:r>
        <w:rPr>
          <w:rFonts w:hint="eastAsia"/>
        </w:rPr>
        <w:t>8.195</w:t>
      </w:r>
      <w:r w:rsidRPr="00C73C58">
        <w:t xml:space="preserve">, </w:t>
      </w:r>
      <w:r>
        <w:rPr>
          <w:rFonts w:hint="eastAsia"/>
        </w:rPr>
        <w:t>11</w:t>
      </w:r>
      <w:r w:rsidRPr="00C73C58">
        <w:t>/</w:t>
      </w:r>
      <w:r>
        <w:rPr>
          <w:rFonts w:hint="eastAsia"/>
        </w:rPr>
        <w:t>128</w:t>
      </w:r>
      <w:r w:rsidRPr="00C73C58">
        <w:t xml:space="preserve"> (200</w:t>
      </w:r>
      <w:r>
        <w:rPr>
          <w:rFonts w:hint="eastAsia"/>
        </w:rPr>
        <w:t>9</w:t>
      </w:r>
      <w:r w:rsidRPr="00C73C58">
        <w:t>)</w:t>
      </w:r>
    </w:p>
    <w:p w:rsidR="00705223" w:rsidRPr="00C73C58" w:rsidRDefault="00705223" w:rsidP="00705223">
      <w:pPr>
        <w:pStyle w:val="12"/>
      </w:pPr>
      <w:r w:rsidRPr="00C73C58">
        <w:t xml:space="preserve">Infectious Diseases: Impact Factor 2.972, 9/36 (2000); Impact Factor 3.545, 7/37 (2001); Impact Factor 4.750, 5/38 (2002); Impact Factor 5.393, 3/41 (2003); Impact Factor 5.594, 5/41 (2004); Impact Factor 6.510, 2/43 (2005); Impact Factor </w:t>
      </w:r>
      <w:r>
        <w:rPr>
          <w:rFonts w:hint="eastAsia"/>
        </w:rPr>
        <w:t>8.195</w:t>
      </w:r>
      <w:r w:rsidRPr="00C73C58">
        <w:t xml:space="preserve">, </w:t>
      </w:r>
      <w:r>
        <w:rPr>
          <w:rFonts w:hint="eastAsia"/>
        </w:rPr>
        <w:t>2</w:t>
      </w:r>
      <w:r w:rsidRPr="00C73C58">
        <w:t>/</w:t>
      </w:r>
      <w:r>
        <w:rPr>
          <w:rFonts w:hint="eastAsia"/>
        </w:rPr>
        <w:t>57</w:t>
      </w:r>
      <w:r w:rsidRPr="00C73C58">
        <w:t xml:space="preserve"> (200</w:t>
      </w:r>
      <w:r>
        <w:rPr>
          <w:rFonts w:hint="eastAsia"/>
        </w:rPr>
        <w:t>9</w:t>
      </w:r>
      <w:r w:rsidRPr="00C73C58">
        <w:t>)</w:t>
      </w:r>
    </w:p>
    <w:p w:rsidR="00705223" w:rsidRPr="00C73C58" w:rsidRDefault="00705223" w:rsidP="00705223">
      <w:pPr>
        <w:pStyle w:val="12"/>
      </w:pPr>
      <w:r w:rsidRPr="00C73C58">
        <w:t xml:space="preserve">Microbiology: Impact Factor 2.972, 16/83 (2000); Impact Factor 3.545, 16/81 (2001); Impact Factor 4.750, 10/82 (2002); Impact Factor 5.393, 9/84 (2003); Impact Factor 5.594, 10/84 (2004); Impact Factor 6.510, 9/86 (2005); Impact Factor </w:t>
      </w:r>
      <w:r>
        <w:rPr>
          <w:rFonts w:hint="eastAsia"/>
        </w:rPr>
        <w:t>8.195</w:t>
      </w:r>
      <w:r w:rsidRPr="00C73C58">
        <w:t xml:space="preserve">, </w:t>
      </w:r>
      <w:r>
        <w:rPr>
          <w:rFonts w:hint="eastAsia"/>
        </w:rPr>
        <w:t>8</w:t>
      </w:r>
      <w:r w:rsidRPr="00C73C58">
        <w:t>/</w:t>
      </w:r>
      <w:r>
        <w:rPr>
          <w:rFonts w:hint="eastAsia"/>
        </w:rPr>
        <w:t>95</w:t>
      </w:r>
      <w:r w:rsidRPr="00C73C58">
        <w:t xml:space="preserve"> (200</w:t>
      </w:r>
      <w:r>
        <w:rPr>
          <w:rFonts w:hint="eastAsia"/>
        </w:rPr>
        <w:t>9</w:t>
      </w:r>
      <w:r w:rsidRPr="00C73C58">
        <w:t>)</w:t>
      </w:r>
    </w:p>
    <w:p w:rsidR="005D3B27" w:rsidRDefault="005D3B27" w:rsidP="005D3B27">
      <w:pPr>
        <w:pStyle w:val="a3"/>
        <w:rPr>
          <w:kern w:val="0"/>
        </w:rPr>
      </w:pPr>
      <w:r>
        <w:rPr>
          <w:rFonts w:hint="eastAsia"/>
          <w:kern w:val="0"/>
        </w:rPr>
        <w:t xml:space="preserve">? </w:t>
      </w:r>
      <w:r>
        <w:rPr>
          <w:kern w:val="0"/>
        </w:rPr>
        <w:t>McGinigle, K.L., Gourlay, M.L.</w:t>
      </w:r>
      <w:r w:rsidR="005853A9">
        <w:rPr>
          <w:kern w:val="0"/>
        </w:rPr>
        <w:t xml:space="preserve"> and </w:t>
      </w:r>
      <w:r>
        <w:rPr>
          <w:kern w:val="0"/>
        </w:rPr>
        <w:t>Buchanan, I.B. (2008</w:t>
      </w:r>
      <w:r w:rsidR="00F42EAC">
        <w:rPr>
          <w:kern w:val="0"/>
        </w:rPr>
        <w:t>), The</w:t>
      </w:r>
      <w:r w:rsidR="003A1917">
        <w:rPr>
          <w:kern w:val="0"/>
        </w:rPr>
        <w:t xml:space="preserve"> </w:t>
      </w:r>
      <w:r>
        <w:rPr>
          <w:kern w:val="0"/>
        </w:rPr>
        <w:t>use</w:t>
      </w:r>
      <w:r w:rsidR="00427468">
        <w:rPr>
          <w:kern w:val="0"/>
        </w:rPr>
        <w:t xml:space="preserve"> of </w:t>
      </w:r>
      <w:r>
        <w:rPr>
          <w:kern w:val="0"/>
        </w:rPr>
        <w:t xml:space="preserve">active surveillance cultures in adult intensive care units to reduce methicillin-resistant </w:t>
      </w:r>
      <w:r w:rsidRPr="005311BC">
        <w:rPr>
          <w:i/>
          <w:kern w:val="0"/>
        </w:rPr>
        <w:t>Staphylococcus aureus</w:t>
      </w:r>
      <w:r>
        <w:rPr>
          <w:kern w:val="0"/>
        </w:rPr>
        <w:t>-related morbidity, mortality,</w:t>
      </w:r>
      <w:r w:rsidR="005853A9">
        <w:rPr>
          <w:kern w:val="0"/>
        </w:rPr>
        <w:t xml:space="preserve"> and </w:t>
      </w:r>
      <w:r>
        <w:rPr>
          <w:kern w:val="0"/>
        </w:rPr>
        <w:t xml:space="preserve">costs: A systematic review. </w:t>
      </w:r>
      <w:r>
        <w:rPr>
          <w:i/>
          <w:iCs/>
          <w:kern w:val="0"/>
        </w:rPr>
        <w:t>Clinical Infectious Diseases</w:t>
      </w:r>
      <w:r>
        <w:rPr>
          <w:kern w:val="0"/>
        </w:rPr>
        <w:t xml:space="preserve">, </w:t>
      </w:r>
      <w:r>
        <w:rPr>
          <w:b/>
          <w:bCs/>
          <w:kern w:val="0"/>
        </w:rPr>
        <w:t>46</w:t>
      </w:r>
      <w:r>
        <w:rPr>
          <w:kern w:val="0"/>
        </w:rPr>
        <w:t xml:space="preserve"> (11), 1717-1725.</w:t>
      </w:r>
    </w:p>
    <w:p w:rsidR="005311BC" w:rsidRPr="00C73C58" w:rsidRDefault="005311BC" w:rsidP="005311BC">
      <w:pPr>
        <w:pStyle w:val="a3"/>
      </w:pPr>
      <w:r w:rsidRPr="00C73C58">
        <w:t xml:space="preserve">Full Text: </w:t>
      </w:r>
      <w:hyperlink r:id="rId359" w:history="1">
        <w:r w:rsidRPr="000B455B">
          <w:rPr>
            <w:rStyle w:val="a5"/>
          </w:rPr>
          <w:t>2008\Cli Inf Dis46, 1717.pdf</w:t>
        </w:r>
      </w:hyperlink>
    </w:p>
    <w:p w:rsidR="005D3B27" w:rsidRDefault="005D3B27" w:rsidP="005D3B27">
      <w:pPr>
        <w:pStyle w:val="a3"/>
        <w:rPr>
          <w:kern w:val="0"/>
        </w:rPr>
      </w:pPr>
      <w:r>
        <w:rPr>
          <w:kern w:val="0"/>
        </w:rPr>
        <w:t>Abstract: Active surveillance cultures (ASCs) are universal or targeted microbiological screening cultures for patients admitted to a hospital. ASCs have been proposed to control</w:t>
      </w:r>
      <w:r w:rsidR="003A1917">
        <w:rPr>
          <w:kern w:val="0"/>
        </w:rPr>
        <w:t xml:space="preserve"> the </w:t>
      </w:r>
      <w:r>
        <w:rPr>
          <w:kern w:val="0"/>
        </w:rPr>
        <w:t>increasing numbers</w:t>
      </w:r>
      <w:r w:rsidR="00427468">
        <w:rPr>
          <w:kern w:val="0"/>
        </w:rPr>
        <w:t xml:space="preserve"> of </w:t>
      </w:r>
      <w:r>
        <w:rPr>
          <w:kern w:val="0"/>
        </w:rPr>
        <w:t>infections due to multidrug-resistant organisms, but their efficacy</w:t>
      </w:r>
      <w:r w:rsidR="005853A9">
        <w:rPr>
          <w:kern w:val="0"/>
        </w:rPr>
        <w:t xml:space="preserve"> and </w:t>
      </w:r>
      <w:r>
        <w:rPr>
          <w:kern w:val="0"/>
        </w:rPr>
        <w:t>cost-effectiveness are unproven. We conducted a systematic review</w:t>
      </w:r>
      <w:r w:rsidR="00427468">
        <w:rPr>
          <w:kern w:val="0"/>
        </w:rPr>
        <w:t xml:space="preserve"> of </w:t>
      </w:r>
      <w:r w:rsidR="003A1917">
        <w:rPr>
          <w:kern w:val="0"/>
        </w:rPr>
        <w:t xml:space="preserve">the </w:t>
      </w:r>
      <w:r>
        <w:rPr>
          <w:kern w:val="0"/>
        </w:rPr>
        <w:t>literature pertaining to</w:t>
      </w:r>
      <w:r w:rsidR="003A1917">
        <w:rPr>
          <w:kern w:val="0"/>
        </w:rPr>
        <w:t xml:space="preserve"> the </w:t>
      </w:r>
      <w:r>
        <w:rPr>
          <w:kern w:val="0"/>
        </w:rPr>
        <w:t>use</w:t>
      </w:r>
      <w:r w:rsidR="00427468">
        <w:rPr>
          <w:kern w:val="0"/>
        </w:rPr>
        <w:t xml:space="preserve"> of </w:t>
      </w:r>
      <w:r>
        <w:rPr>
          <w:kern w:val="0"/>
        </w:rPr>
        <w:t>ASCs</w:t>
      </w:r>
      <w:r w:rsidR="005853A9">
        <w:rPr>
          <w:kern w:val="0"/>
        </w:rPr>
        <w:t xml:space="preserve"> and </w:t>
      </w:r>
      <w:r>
        <w:rPr>
          <w:kern w:val="0"/>
        </w:rPr>
        <w:t>control</w:t>
      </w:r>
      <w:r w:rsidR="00427468">
        <w:rPr>
          <w:kern w:val="0"/>
        </w:rPr>
        <w:t xml:space="preserve"> of </w:t>
      </w:r>
      <w:r>
        <w:rPr>
          <w:kern w:val="0"/>
        </w:rPr>
        <w:t>methicillin-resistant Staphylococcus aureus (MRSA). We searched revelant journals</w:t>
      </w:r>
      <w:r w:rsidR="005853A9">
        <w:rPr>
          <w:kern w:val="0"/>
        </w:rPr>
        <w:t xml:space="preserve"> and </w:t>
      </w:r>
      <w:r w:rsidR="003A1917">
        <w:rPr>
          <w:kern w:val="0"/>
        </w:rPr>
        <w:t xml:space="preserve">the </w:t>
      </w:r>
      <w:r>
        <w:rPr>
          <w:kern w:val="0"/>
        </w:rPr>
        <w:t xml:space="preserve">PUBMED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CINAHL,</w:t>
      </w:r>
      <w:r w:rsidR="005853A9">
        <w:rPr>
          <w:kern w:val="0"/>
        </w:rPr>
        <w:t xml:space="preserve"> and </w:t>
      </w:r>
      <w:r>
        <w:rPr>
          <w:kern w:val="0"/>
        </w:rPr>
        <w:t>Cochrane Library databases. No randomized, controlled trials were identified. Sixteen observational studies</w:t>
      </w:r>
      <w:r w:rsidR="005853A9">
        <w:rPr>
          <w:kern w:val="0"/>
        </w:rPr>
        <w:t xml:space="preserve"> and </w:t>
      </w:r>
      <w:r>
        <w:rPr>
          <w:kern w:val="0"/>
        </w:rPr>
        <w:t>4 economic analyses were reviewed. Only 2</w:t>
      </w:r>
      <w:r w:rsidR="00427468">
        <w:rPr>
          <w:kern w:val="0"/>
        </w:rPr>
        <w:t xml:space="preserve"> of </w:t>
      </w:r>
      <w:r w:rsidR="003A1917">
        <w:rPr>
          <w:kern w:val="0"/>
        </w:rPr>
        <w:t xml:space="preserve">the </w:t>
      </w:r>
      <w:r>
        <w:rPr>
          <w:kern w:val="0"/>
        </w:rPr>
        <w:t xml:space="preserve">observational studies </w:t>
      </w:r>
      <w:r>
        <w:rPr>
          <w:kern w:val="0"/>
        </w:rPr>
        <w:lastRenderedPageBreak/>
        <w:t>had a control group. None</w:t>
      </w:r>
      <w:r w:rsidR="00427468">
        <w:rPr>
          <w:kern w:val="0"/>
        </w:rPr>
        <w:t xml:space="preserve"> of </w:t>
      </w:r>
      <w:r w:rsidR="003A1917">
        <w:rPr>
          <w:kern w:val="0"/>
        </w:rPr>
        <w:t xml:space="preserve">the </w:t>
      </w:r>
      <w:r>
        <w:rPr>
          <w:kern w:val="0"/>
        </w:rPr>
        <w:t>studies were</w:t>
      </w:r>
      <w:r w:rsidR="00427468">
        <w:rPr>
          <w:kern w:val="0"/>
        </w:rPr>
        <w:t xml:space="preserve"> of </w:t>
      </w:r>
      <w:r>
        <w:rPr>
          <w:kern w:val="0"/>
        </w:rPr>
        <w:t>good quality. Thus, we identified important gaps in</w:t>
      </w:r>
      <w:r w:rsidR="003A1917">
        <w:rPr>
          <w:kern w:val="0"/>
        </w:rPr>
        <w:t xml:space="preserve"> the </w:t>
      </w:r>
      <w:r>
        <w:rPr>
          <w:kern w:val="0"/>
        </w:rPr>
        <w:t>literature, including a need for a clear definition</w:t>
      </w:r>
      <w:r w:rsidR="00427468">
        <w:rPr>
          <w:kern w:val="0"/>
        </w:rPr>
        <w:t xml:space="preserve"> of </w:t>
      </w:r>
      <w:r>
        <w:rPr>
          <w:kern w:val="0"/>
        </w:rPr>
        <w:t>ASCs, a clear implementation protocol,</w:t>
      </w:r>
      <w:r w:rsidR="005853A9">
        <w:rPr>
          <w:kern w:val="0"/>
        </w:rPr>
        <w:t xml:space="preserve"> and </w:t>
      </w:r>
      <w:r>
        <w:rPr>
          <w:kern w:val="0"/>
        </w:rPr>
        <w:t>rigorous economic evaluations. Existing evidence may favor</w:t>
      </w:r>
      <w:r w:rsidR="003A1917">
        <w:rPr>
          <w:kern w:val="0"/>
        </w:rPr>
        <w:t xml:space="preserve"> the </w:t>
      </w:r>
      <w:r>
        <w:rPr>
          <w:kern w:val="0"/>
        </w:rPr>
        <w:t>use</w:t>
      </w:r>
      <w:r w:rsidR="00427468">
        <w:rPr>
          <w:kern w:val="0"/>
        </w:rPr>
        <w:t xml:space="preserve"> of </w:t>
      </w:r>
      <w:r>
        <w:rPr>
          <w:kern w:val="0"/>
        </w:rPr>
        <w:t>ASCs, but</w:t>
      </w:r>
      <w:r w:rsidR="003A1917">
        <w:rPr>
          <w:kern w:val="0"/>
        </w:rPr>
        <w:t xml:space="preserve"> the </w:t>
      </w:r>
      <w:r>
        <w:rPr>
          <w:kern w:val="0"/>
        </w:rPr>
        <w:t>evidence is</w:t>
      </w:r>
      <w:r w:rsidR="00427468">
        <w:rPr>
          <w:kern w:val="0"/>
        </w:rPr>
        <w:t xml:space="preserve"> of </w:t>
      </w:r>
      <w:r>
        <w:rPr>
          <w:kern w:val="0"/>
        </w:rPr>
        <w:t>poor quality,</w:t>
      </w:r>
      <w:r w:rsidR="005853A9">
        <w:rPr>
          <w:kern w:val="0"/>
        </w:rPr>
        <w:t xml:space="preserve"> and </w:t>
      </w:r>
      <w:r>
        <w:rPr>
          <w:kern w:val="0"/>
        </w:rPr>
        <w:t>definitive recommendations cannot be made.</w:t>
      </w:r>
    </w:p>
    <w:p w:rsidR="005D3B27" w:rsidRDefault="005D3B27" w:rsidP="005D3B27">
      <w:pPr>
        <w:pStyle w:val="a3"/>
        <w:rPr>
          <w:kern w:val="0"/>
        </w:rPr>
      </w:pPr>
      <w:r>
        <w:rPr>
          <w:kern w:val="0"/>
        </w:rPr>
        <w:t xml:space="preserve">Keywords: Active Surveillance, Adult, Bacteremia, Carriage, Cochrane, Contact Isolation, Control, Cost-Effectiveness, Costs, Databases, Efficacy, Hospital, Hospital Admission, Impact, Infection, Intensive Care, Journals, Literature, Morbidity, Mortality, Mrsa Carriers, Observational Studies, Precautions, Prevent, Protocol, PUBMED, Review, Science, Screening, Selective Screening-Program, Surveillance, Systematic, Systematic Review,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Sligl, W.I., Milner, D.A., Sundar, S., Mphatswe, W.</w:t>
      </w:r>
      <w:r w:rsidR="005853A9">
        <w:rPr>
          <w:kern w:val="0"/>
        </w:rPr>
        <w:t xml:space="preserve"> and </w:t>
      </w:r>
      <w:r>
        <w:rPr>
          <w:kern w:val="0"/>
        </w:rPr>
        <w:t>Majumdar, S.R. (2009), Safety</w:t>
      </w:r>
      <w:r w:rsidR="005853A9">
        <w:rPr>
          <w:kern w:val="0"/>
        </w:rPr>
        <w:t xml:space="preserve"> and </w:t>
      </w:r>
      <w:r>
        <w:rPr>
          <w:kern w:val="0"/>
        </w:rPr>
        <w:t>efficacy</w:t>
      </w:r>
      <w:r w:rsidR="00427468">
        <w:rPr>
          <w:kern w:val="0"/>
        </w:rPr>
        <w:t xml:space="preserve"> of </w:t>
      </w:r>
      <w:r>
        <w:rPr>
          <w:kern w:val="0"/>
        </w:rPr>
        <w:t>corticosteroids for</w:t>
      </w:r>
      <w:r w:rsidR="003A1917">
        <w:rPr>
          <w:kern w:val="0"/>
        </w:rPr>
        <w:t xml:space="preserve"> the </w:t>
      </w:r>
      <w:r>
        <w:rPr>
          <w:kern w:val="0"/>
        </w:rPr>
        <w:t>treatment</w:t>
      </w:r>
      <w:r w:rsidR="00427468">
        <w:rPr>
          <w:kern w:val="0"/>
        </w:rPr>
        <w:t xml:space="preserve"> of </w:t>
      </w:r>
      <w:r>
        <w:rPr>
          <w:kern w:val="0"/>
        </w:rPr>
        <w:t>septic shock: A systematic review</w:t>
      </w:r>
      <w:r w:rsidR="005853A9">
        <w:rPr>
          <w:kern w:val="0"/>
        </w:rPr>
        <w:t xml:space="preserve"> and </w:t>
      </w:r>
      <w:r>
        <w:rPr>
          <w:kern w:val="0"/>
        </w:rPr>
        <w:t xml:space="preserve">meta-analysis. </w:t>
      </w:r>
      <w:r>
        <w:rPr>
          <w:i/>
          <w:iCs/>
          <w:kern w:val="0"/>
        </w:rPr>
        <w:t>Clinical Infectious Diseases</w:t>
      </w:r>
      <w:r>
        <w:rPr>
          <w:kern w:val="0"/>
        </w:rPr>
        <w:t xml:space="preserve">, </w:t>
      </w:r>
      <w:r>
        <w:rPr>
          <w:b/>
          <w:bCs/>
          <w:kern w:val="0"/>
        </w:rPr>
        <w:t>49</w:t>
      </w:r>
      <w:r>
        <w:rPr>
          <w:kern w:val="0"/>
        </w:rPr>
        <w:t xml:space="preserve"> (1), 93-101.</w:t>
      </w:r>
    </w:p>
    <w:p w:rsidR="005311BC" w:rsidRPr="00C73C58" w:rsidRDefault="005311BC" w:rsidP="005311BC">
      <w:pPr>
        <w:pStyle w:val="a3"/>
      </w:pPr>
      <w:r w:rsidRPr="00C73C58">
        <w:t xml:space="preserve">Full Text: </w:t>
      </w:r>
      <w:hyperlink r:id="rId360" w:history="1">
        <w:r w:rsidRPr="000B455B">
          <w:rPr>
            <w:rStyle w:val="a5"/>
          </w:rPr>
          <w:t>2009\Cli Inf Dis49, 93.pdf</w:t>
        </w:r>
      </w:hyperlink>
    </w:p>
    <w:p w:rsidR="005D3B27" w:rsidRDefault="005D3B27" w:rsidP="005D3B27">
      <w:pPr>
        <w:pStyle w:val="a3"/>
        <w:rPr>
          <w:kern w:val="0"/>
        </w:rPr>
      </w:pPr>
      <w:r>
        <w:rPr>
          <w:kern w:val="0"/>
        </w:rPr>
        <w:t>Abstract: Background. Septic shock is common</w:t>
      </w:r>
      <w:r w:rsidR="005853A9">
        <w:rPr>
          <w:kern w:val="0"/>
        </w:rPr>
        <w:t xml:space="preserve"> and </w:t>
      </w:r>
      <w:r>
        <w:rPr>
          <w:kern w:val="0"/>
        </w:rPr>
        <w:t>results in significant morbidity</w:t>
      </w:r>
      <w:r w:rsidR="005853A9">
        <w:rPr>
          <w:kern w:val="0"/>
        </w:rPr>
        <w:t xml:space="preserve"> and </w:t>
      </w:r>
      <w:r>
        <w:rPr>
          <w:kern w:val="0"/>
        </w:rPr>
        <w:t>mortality. Adjunctive treatment with corticosteroids is common, but definitive data are lacking. We aimed to determine</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 xml:space="preserve">corticosteroid therapy among patients with septic shock. Methods. </w:t>
      </w:r>
      <w:r w:rsidR="00D5664A">
        <w:rPr>
          <w:kern w:val="0"/>
        </w:rPr>
        <w:t>MEDLINE</w:t>
      </w:r>
      <w:r>
        <w:rPr>
          <w:kern w:val="0"/>
        </w:rPr>
        <w:t xml:space="preserve">, EMBASE, Cochrane Library,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Google Scholar were searched for randomized trials</w:t>
      </w:r>
      <w:r w:rsidR="005853A9">
        <w:rPr>
          <w:kern w:val="0"/>
        </w:rPr>
        <w:t xml:space="preserve"> and </w:t>
      </w:r>
      <w:r>
        <w:rPr>
          <w:kern w:val="0"/>
        </w:rPr>
        <w:t>observational studies published from January 1993 through December 2008. Studies were selected if they included adults with septic shock, discussed treatment with intravenous corticosteroids,</w:t>
      </w:r>
      <w:r w:rsidR="005853A9">
        <w:rPr>
          <w:kern w:val="0"/>
        </w:rPr>
        <w:t xml:space="preserve"> and </w:t>
      </w:r>
      <w:r>
        <w:rPr>
          <w:kern w:val="0"/>
        </w:rPr>
        <w:t>reported at least 1 outcome</w:t>
      </w:r>
      <w:r w:rsidR="00427468">
        <w:rPr>
          <w:kern w:val="0"/>
        </w:rPr>
        <w:t xml:space="preserve"> of </w:t>
      </w:r>
      <w:r>
        <w:rPr>
          <w:kern w:val="0"/>
        </w:rPr>
        <w:t>interest (e. g., mortality, shock reversal, or incidence</w:t>
      </w:r>
      <w:r w:rsidR="00427468">
        <w:rPr>
          <w:kern w:val="0"/>
        </w:rPr>
        <w:t xml:space="preserve"> of </w:t>
      </w:r>
      <w:r>
        <w:rPr>
          <w:kern w:val="0"/>
        </w:rPr>
        <w:t>superinfection). Two reviewers independently agreed on eligibility, assessed methodologic quality,</w:t>
      </w:r>
      <w:r w:rsidR="005853A9">
        <w:rPr>
          <w:kern w:val="0"/>
        </w:rPr>
        <w:t xml:space="preserve"> and </w:t>
      </w:r>
      <w:r>
        <w:rPr>
          <w:kern w:val="0"/>
        </w:rPr>
        <w:t>abstracted data. Results. Pooled relative risks (RRs)</w:t>
      </w:r>
      <w:r w:rsidR="005853A9">
        <w:rPr>
          <w:kern w:val="0"/>
        </w:rPr>
        <w:t xml:space="preserve"> and </w:t>
      </w:r>
      <w:r>
        <w:rPr>
          <w:kern w:val="0"/>
        </w:rPr>
        <w:t>95% confidence intervals (CIs) were estimated for 28-day all-cause mortality, shock reversal at 7 days,</w:t>
      </w:r>
      <w:r w:rsidR="005853A9">
        <w:rPr>
          <w:kern w:val="0"/>
        </w:rPr>
        <w:t xml:space="preserve"> and </w:t>
      </w:r>
      <w:r>
        <w:rPr>
          <w:kern w:val="0"/>
        </w:rPr>
        <w:t>incidence</w:t>
      </w:r>
      <w:r w:rsidR="00427468">
        <w:rPr>
          <w:kern w:val="0"/>
        </w:rPr>
        <w:t xml:space="preserve"> of </w:t>
      </w:r>
      <w:r>
        <w:rPr>
          <w:kern w:val="0"/>
        </w:rPr>
        <w:t>superinfection with use</w:t>
      </w:r>
      <w:r w:rsidR="00427468">
        <w:rPr>
          <w:kern w:val="0"/>
        </w:rPr>
        <w:t xml:space="preserve"> of </w:t>
      </w:r>
      <w:r>
        <w:rPr>
          <w:kern w:val="0"/>
        </w:rPr>
        <w:t>random-effects models. Analyses, stratified by adrenal responsiveness, were prespecified. Eight studies (6 randomized trials) involving a total</w:t>
      </w:r>
      <w:r w:rsidR="00427468">
        <w:rPr>
          <w:kern w:val="0"/>
        </w:rPr>
        <w:t xml:space="preserve"> of </w:t>
      </w:r>
      <w:r>
        <w:rPr>
          <w:kern w:val="0"/>
        </w:rPr>
        <w:t>1876 patients were selected. Overall, corticosteroid therapy did not result in a statistically significant difference in mortality (42.2% [369</w:t>
      </w:r>
      <w:r w:rsidR="00427468">
        <w:rPr>
          <w:kern w:val="0"/>
        </w:rPr>
        <w:t xml:space="preserve"> of </w:t>
      </w:r>
      <w:r>
        <w:rPr>
          <w:kern w:val="0"/>
        </w:rPr>
        <w:t>875 patients] vs. 38.4% [384</w:t>
      </w:r>
      <w:r w:rsidR="00427468">
        <w:rPr>
          <w:kern w:val="0"/>
        </w:rPr>
        <w:t xml:space="preserve"> of </w:t>
      </w:r>
      <w:r>
        <w:rPr>
          <w:kern w:val="0"/>
        </w:rPr>
        <w:t>1001]; RR, 1.00; 95% CI, 0.84-1.18). A statistically significant difference in</w:t>
      </w:r>
      <w:r w:rsidR="003A1917">
        <w:rPr>
          <w:kern w:val="0"/>
        </w:rPr>
        <w:t xml:space="preserve"> the </w:t>
      </w:r>
      <w:r>
        <w:rPr>
          <w:kern w:val="0"/>
        </w:rPr>
        <w:t>incidence</w:t>
      </w:r>
      <w:r w:rsidR="00427468">
        <w:rPr>
          <w:kern w:val="0"/>
        </w:rPr>
        <w:t xml:space="preserve"> of </w:t>
      </w:r>
      <w:r>
        <w:rPr>
          <w:kern w:val="0"/>
        </w:rPr>
        <w:t>shock reversal at 7 days was observed between patients who received corticosteroids</w:t>
      </w:r>
      <w:r w:rsidR="005853A9">
        <w:rPr>
          <w:kern w:val="0"/>
        </w:rPr>
        <w:t xml:space="preserve"> and </w:t>
      </w:r>
      <w:r>
        <w:rPr>
          <w:kern w:val="0"/>
        </w:rPr>
        <w:t>those who did not (64.9% [314</w:t>
      </w:r>
      <w:r w:rsidR="00427468">
        <w:rPr>
          <w:kern w:val="0"/>
        </w:rPr>
        <w:t xml:space="preserve"> of </w:t>
      </w:r>
      <w:r>
        <w:rPr>
          <w:kern w:val="0"/>
        </w:rPr>
        <w:t>484 patients] vs. 47.5% [228</w:t>
      </w:r>
      <w:r w:rsidR="00427468">
        <w:rPr>
          <w:kern w:val="0"/>
        </w:rPr>
        <w:t xml:space="preserve"> of </w:t>
      </w:r>
      <w:r>
        <w:rPr>
          <w:kern w:val="0"/>
        </w:rPr>
        <w:t>480]; RR, 1.41; 95% CI, 1.22-1.64), with similar point estimates for both corticotropin stimulation test responders</w:t>
      </w:r>
      <w:r w:rsidR="005853A9">
        <w:rPr>
          <w:kern w:val="0"/>
        </w:rPr>
        <w:t xml:space="preserve"> and </w:t>
      </w:r>
      <w:r>
        <w:rPr>
          <w:kern w:val="0"/>
        </w:rPr>
        <w:t>nonresponders. No statistically significant difference was found in</w:t>
      </w:r>
      <w:r w:rsidR="003A1917">
        <w:rPr>
          <w:kern w:val="0"/>
        </w:rPr>
        <w:t xml:space="preserve"> the </w:t>
      </w:r>
      <w:r>
        <w:rPr>
          <w:kern w:val="0"/>
        </w:rPr>
        <w:t>incidence</w:t>
      </w:r>
      <w:r w:rsidR="00427468">
        <w:rPr>
          <w:kern w:val="0"/>
        </w:rPr>
        <w:t xml:space="preserve"> of </w:t>
      </w:r>
      <w:r>
        <w:rPr>
          <w:kern w:val="0"/>
        </w:rPr>
        <w:t>superinfection between patients treated with corticosteroids</w:t>
      </w:r>
      <w:r w:rsidR="005853A9">
        <w:rPr>
          <w:kern w:val="0"/>
        </w:rPr>
        <w:t xml:space="preserve"> and </w:t>
      </w:r>
      <w:r>
        <w:rPr>
          <w:kern w:val="0"/>
        </w:rPr>
        <w:t>patients not treated with corticosteroids (25.3% [114</w:t>
      </w:r>
      <w:r w:rsidR="00427468">
        <w:rPr>
          <w:kern w:val="0"/>
        </w:rPr>
        <w:t xml:space="preserve"> of </w:t>
      </w:r>
      <w:r>
        <w:rPr>
          <w:kern w:val="0"/>
        </w:rPr>
        <w:t>450 patients] vs. 22.7% [100</w:t>
      </w:r>
      <w:r w:rsidR="00427468">
        <w:rPr>
          <w:kern w:val="0"/>
        </w:rPr>
        <w:t xml:space="preserve"> of </w:t>
      </w:r>
      <w:r>
        <w:rPr>
          <w:kern w:val="0"/>
        </w:rPr>
        <w:t xml:space="preserve">441]; RR, 1.11; 95% CI, 0.86-1.42). Conclusions. </w:t>
      </w:r>
      <w:r>
        <w:rPr>
          <w:kern w:val="0"/>
        </w:rPr>
        <w:lastRenderedPageBreak/>
        <w:t>In patients with septic shock, corticosteroid therapy appears to be safe but does not reduce 28-day all-cause mortality rates. It does, however, significantly reduce</w:t>
      </w:r>
      <w:r w:rsidR="003A1917">
        <w:rPr>
          <w:kern w:val="0"/>
        </w:rPr>
        <w:t xml:space="preserve"> the </w:t>
      </w:r>
      <w:r>
        <w:rPr>
          <w:kern w:val="0"/>
        </w:rPr>
        <w:t>incidence</w:t>
      </w:r>
      <w:r w:rsidR="00427468">
        <w:rPr>
          <w:kern w:val="0"/>
        </w:rPr>
        <w:t xml:space="preserve"> of </w:t>
      </w:r>
      <w:r>
        <w:rPr>
          <w:kern w:val="0"/>
        </w:rPr>
        <w:t>vasopressor-dependent shock, which may be a clinically worthwhile goal.</w:t>
      </w:r>
    </w:p>
    <w:p w:rsidR="005D3B27" w:rsidRDefault="005D3B27" w:rsidP="005D3B27">
      <w:pPr>
        <w:pStyle w:val="a3"/>
        <w:rPr>
          <w:kern w:val="0"/>
        </w:rPr>
      </w:pPr>
      <w:r>
        <w:rPr>
          <w:kern w:val="0"/>
        </w:rPr>
        <w:t xml:space="preserve">Keywords: Adults, Antimicrobial Treatment, Care, Cochrane, Confidence Intervals, Corticosteroid, Dose Steroid-Therapy, Efficacy, Epidemiology, Google Scholar, Hydrocortisone, Hypotension, Interest, Management, Methods, Morbidity, Mortality, Observational Studies, Outcome, Review, Safety, Science, Severe Sepsis, Survival, Systematic, Systematic Review, Therapy, Treatment, United-States,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Cooper, R.D., Wiebe, N., Smith, N., Keiser, P., Naicker, S.</w:t>
      </w:r>
      <w:r w:rsidR="005853A9">
        <w:rPr>
          <w:kern w:val="0"/>
        </w:rPr>
        <w:t xml:space="preserve"> and </w:t>
      </w:r>
      <w:r>
        <w:rPr>
          <w:kern w:val="0"/>
        </w:rPr>
        <w:t>Tonelli, M. (2010), Systematic review</w:t>
      </w:r>
      <w:r w:rsidR="005853A9">
        <w:rPr>
          <w:kern w:val="0"/>
        </w:rPr>
        <w:t xml:space="preserve"> and </w:t>
      </w:r>
      <w:r>
        <w:rPr>
          <w:kern w:val="0"/>
        </w:rPr>
        <w:t>meta-analysis: Renal safety</w:t>
      </w:r>
      <w:r w:rsidR="00427468">
        <w:rPr>
          <w:kern w:val="0"/>
        </w:rPr>
        <w:t xml:space="preserve"> of </w:t>
      </w:r>
      <w:r>
        <w:rPr>
          <w:kern w:val="0"/>
        </w:rPr>
        <w:t xml:space="preserve">tenofovir disoproxil fumarate in HIV-infected patients. </w:t>
      </w:r>
      <w:r>
        <w:rPr>
          <w:i/>
          <w:iCs/>
          <w:kern w:val="0"/>
        </w:rPr>
        <w:t>Clinical Infectious Diseases</w:t>
      </w:r>
      <w:r>
        <w:rPr>
          <w:kern w:val="0"/>
        </w:rPr>
        <w:t xml:space="preserve">, </w:t>
      </w:r>
      <w:r>
        <w:rPr>
          <w:b/>
          <w:bCs/>
          <w:kern w:val="0"/>
        </w:rPr>
        <w:t>51</w:t>
      </w:r>
      <w:r>
        <w:rPr>
          <w:kern w:val="0"/>
        </w:rPr>
        <w:t xml:space="preserve"> (5), 496-505.</w:t>
      </w:r>
    </w:p>
    <w:p w:rsidR="005311BC" w:rsidRPr="00C73C58" w:rsidRDefault="005311BC" w:rsidP="005311BC">
      <w:pPr>
        <w:pStyle w:val="a3"/>
      </w:pPr>
      <w:r w:rsidRPr="00C73C58">
        <w:t xml:space="preserve">Full Text: </w:t>
      </w:r>
      <w:hyperlink r:id="rId361" w:history="1">
        <w:r w:rsidRPr="000B455B">
          <w:rPr>
            <w:rStyle w:val="a5"/>
          </w:rPr>
          <w:t>2010\Cli Inf Dis51, 496.pdf</w:t>
        </w:r>
      </w:hyperlink>
    </w:p>
    <w:p w:rsidR="005D3B27" w:rsidRDefault="005D3B27" w:rsidP="005D3B27">
      <w:pPr>
        <w:pStyle w:val="a3"/>
        <w:rPr>
          <w:kern w:val="0"/>
        </w:rPr>
      </w:pPr>
      <w:r>
        <w:rPr>
          <w:kern w:val="0"/>
        </w:rPr>
        <w:t>Abstract: Background</w:t>
      </w:r>
      <w:r w:rsidR="00A37C1D">
        <w:rPr>
          <w:kern w:val="0"/>
        </w:rPr>
        <w:t>. The</w:t>
      </w:r>
      <w:r w:rsidR="003A1917">
        <w:rPr>
          <w:kern w:val="0"/>
        </w:rPr>
        <w:t xml:space="preserve"> </w:t>
      </w:r>
      <w:r>
        <w:rPr>
          <w:kern w:val="0"/>
        </w:rPr>
        <w:t>efficacy</w:t>
      </w:r>
      <w:r w:rsidR="00427468">
        <w:rPr>
          <w:kern w:val="0"/>
        </w:rPr>
        <w:t xml:space="preserve"> of </w:t>
      </w:r>
      <w:r>
        <w:rPr>
          <w:kern w:val="0"/>
        </w:rPr>
        <w:t>tenofovir disoproxil fumarate (TDF) as part</w:t>
      </w:r>
      <w:r w:rsidR="00427468">
        <w:rPr>
          <w:kern w:val="0"/>
        </w:rPr>
        <w:t xml:space="preserve"> of </w:t>
      </w:r>
      <w:r>
        <w:rPr>
          <w:kern w:val="0"/>
        </w:rPr>
        <w:t>combination antiretroviral treatment (ART) has been demonstrated in several randomized, controlled trials. However, an increasing number</w:t>
      </w:r>
      <w:r w:rsidR="00427468">
        <w:rPr>
          <w:kern w:val="0"/>
        </w:rPr>
        <w:t xml:space="preserve"> of </w:t>
      </w:r>
      <w:r>
        <w:rPr>
          <w:kern w:val="0"/>
        </w:rPr>
        <w:t>case reports suggest that TDF use may be associated with significant nephrotoxicity. Our objective was to determine</w:t>
      </w:r>
      <w:r w:rsidR="003A1917">
        <w:rPr>
          <w:kern w:val="0"/>
        </w:rPr>
        <w:t xml:space="preserve"> the </w:t>
      </w:r>
      <w:r>
        <w:rPr>
          <w:kern w:val="0"/>
        </w:rPr>
        <w:t>renal safety</w:t>
      </w:r>
      <w:r w:rsidR="00427468">
        <w:rPr>
          <w:kern w:val="0"/>
        </w:rPr>
        <w:t xml:space="preserve"> of </w:t>
      </w:r>
      <w:r>
        <w:rPr>
          <w:kern w:val="0"/>
        </w:rPr>
        <w:t xml:space="preserve">TDF-containing ART regimens for HIV-infected individuals. Methods. </w:t>
      </w:r>
      <w:r w:rsidR="00D5664A">
        <w:rPr>
          <w:kern w:val="0"/>
        </w:rPr>
        <w:t>MEDLINE</w:t>
      </w:r>
      <w:r>
        <w:rPr>
          <w:kern w:val="0"/>
        </w:rPr>
        <w:t xml:space="preserve">, EMBASE, Global Health, Scopus, Biosis Previews, Cochrane Library,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existing systematic reviews were searched. Prospective studies comparing TDF-containing with non-TDF containing ART regimens were selected for inclusion. We extracted data on study characteristics, participant characteristics, therapeutic interventions, renal function, bone density,</w:t>
      </w:r>
      <w:r w:rsidR="005853A9">
        <w:rPr>
          <w:kern w:val="0"/>
        </w:rPr>
        <w:t xml:space="preserve"> and </w:t>
      </w:r>
      <w:r>
        <w:rPr>
          <w:kern w:val="0"/>
        </w:rPr>
        <w:t>fracture rates. Results. A total</w:t>
      </w:r>
      <w:r w:rsidR="00427468">
        <w:rPr>
          <w:kern w:val="0"/>
        </w:rPr>
        <w:t xml:space="preserve"> of </w:t>
      </w:r>
      <w:r>
        <w:rPr>
          <w:kern w:val="0"/>
        </w:rPr>
        <w:t>17 studies (including 9 randomized, controlled trials) met</w:t>
      </w:r>
      <w:r w:rsidR="003A1917">
        <w:rPr>
          <w:kern w:val="0"/>
        </w:rPr>
        <w:t xml:space="preserve"> the </w:t>
      </w:r>
      <w:r>
        <w:rPr>
          <w:kern w:val="0"/>
        </w:rPr>
        <w:t>selection criteria. Median sample size was 517 participants. Constituent ART regimens were diverse</w:t>
      </w:r>
      <w:r w:rsidR="00A37C1D">
        <w:rPr>
          <w:kern w:val="0"/>
        </w:rPr>
        <w:t>. The</w:t>
      </w:r>
      <w:r>
        <w:rPr>
          <w:kern w:val="0"/>
        </w:rPr>
        <w:t>re was a significantly greater loss</w:t>
      </w:r>
      <w:r w:rsidR="00427468">
        <w:rPr>
          <w:kern w:val="0"/>
        </w:rPr>
        <w:t xml:space="preserve"> of </w:t>
      </w:r>
      <w:r>
        <w:rPr>
          <w:kern w:val="0"/>
        </w:rPr>
        <w:t>kidney function among</w:t>
      </w:r>
      <w:r w:rsidR="003A1917">
        <w:rPr>
          <w:kern w:val="0"/>
        </w:rPr>
        <w:t xml:space="preserve"> the </w:t>
      </w:r>
      <w:r>
        <w:rPr>
          <w:kern w:val="0"/>
        </w:rPr>
        <w:t>TDF recipients, compared with control subjects (mean difference in calculated creatinine clearance, 3.92 mL/min; 95% confidence interval [CI], 2.13-5.70 mL/min), as well as a greater risk</w:t>
      </w:r>
      <w:r w:rsidR="00427468">
        <w:rPr>
          <w:kern w:val="0"/>
        </w:rPr>
        <w:t xml:space="preserve"> of </w:t>
      </w:r>
      <w:r>
        <w:rPr>
          <w:kern w:val="0"/>
        </w:rPr>
        <w:t>acute renal failure (risk difference, 0.7%; 95% CI, 0.2-1.2)</w:t>
      </w:r>
      <w:r w:rsidR="00A37C1D">
        <w:rPr>
          <w:kern w:val="0"/>
        </w:rPr>
        <w:t>. The</w:t>
      </w:r>
      <w:r>
        <w:rPr>
          <w:kern w:val="0"/>
        </w:rPr>
        <w:t>re was no evidence that TDF use led to increased risk</w:t>
      </w:r>
      <w:r w:rsidR="00427468">
        <w:rPr>
          <w:kern w:val="0"/>
        </w:rPr>
        <w:t xml:space="preserve"> of </w:t>
      </w:r>
      <w:r>
        <w:rPr>
          <w:kern w:val="0"/>
        </w:rPr>
        <w:t>severe proteinuria, hypophosphatemia, or fractures. Conclusions. Although TDF use was associated with a statistically significant loss</w:t>
      </w:r>
      <w:r w:rsidR="00427468">
        <w:rPr>
          <w:kern w:val="0"/>
        </w:rPr>
        <w:t xml:space="preserve"> of </w:t>
      </w:r>
      <w:r>
        <w:rPr>
          <w:kern w:val="0"/>
        </w:rPr>
        <w:t>renal function,</w:t>
      </w:r>
      <w:r w:rsidR="003A1917">
        <w:rPr>
          <w:kern w:val="0"/>
        </w:rPr>
        <w:t xml:space="preserve"> the </w:t>
      </w:r>
      <w:r>
        <w:rPr>
          <w:kern w:val="0"/>
        </w:rPr>
        <w:t>clinical magnitude</w:t>
      </w:r>
      <w:r w:rsidR="00427468">
        <w:rPr>
          <w:kern w:val="0"/>
        </w:rPr>
        <w:t xml:space="preserve"> of </w:t>
      </w:r>
      <w:r>
        <w:rPr>
          <w:kern w:val="0"/>
        </w:rPr>
        <w:t>this effect was modest. Our findings do not support</w:t>
      </w:r>
      <w:r w:rsidR="003A1917">
        <w:rPr>
          <w:kern w:val="0"/>
        </w:rPr>
        <w:t xml:space="preserve"> the </w:t>
      </w:r>
      <w:r>
        <w:rPr>
          <w:kern w:val="0"/>
        </w:rPr>
        <w:t>need to restrict TDF use in jurisdictions where regular monitoring</w:t>
      </w:r>
      <w:r w:rsidR="00427468">
        <w:rPr>
          <w:kern w:val="0"/>
        </w:rPr>
        <w:t xml:space="preserve"> of </w:t>
      </w:r>
      <w:r>
        <w:rPr>
          <w:kern w:val="0"/>
        </w:rPr>
        <w:t>renal function</w:t>
      </w:r>
      <w:r w:rsidR="005853A9">
        <w:rPr>
          <w:kern w:val="0"/>
        </w:rPr>
        <w:t xml:space="preserve"> and </w:t>
      </w:r>
      <w:r>
        <w:rPr>
          <w:kern w:val="0"/>
        </w:rPr>
        <w:t>serum phosphate levels is impractical.</w:t>
      </w:r>
    </w:p>
    <w:p w:rsidR="005D3B27" w:rsidRDefault="005D3B27" w:rsidP="005D3B27">
      <w:pPr>
        <w:pStyle w:val="a3"/>
        <w:rPr>
          <w:kern w:val="0"/>
        </w:rPr>
      </w:pPr>
      <w:r>
        <w:rPr>
          <w:kern w:val="0"/>
        </w:rPr>
        <w:t xml:space="preserve">Keywords: Active Antiretroviral Therapy, Antiretroviral, Art, Bone, Case Reports, Chronic Kidney-Disease, Cochrane, Control, Efficacy, EMBASE, Fanconi-Syndrome, Fracture, Glomerular-Filtration Rates, Health, Health-Care Interventions, Hiv-1-Infected Patients, Interventions, </w:t>
      </w:r>
      <w:r w:rsidR="00D5664A">
        <w:rPr>
          <w:kern w:val="0"/>
        </w:rPr>
        <w:t>MEDLINE</w:t>
      </w:r>
      <w:r>
        <w:rPr>
          <w:kern w:val="0"/>
        </w:rPr>
        <w:t xml:space="preserve">, Meta Analysis, </w:t>
      </w:r>
      <w:r>
        <w:rPr>
          <w:kern w:val="0"/>
        </w:rPr>
        <w:lastRenderedPageBreak/>
        <w:t xml:space="preserve">Meta-Analysis, Methodological Quality, Methods, Monitoring, Nephrogenic Diabetes-Insipidus, Nephrotoxicity, Patients Receiving Tenofovir, Prospective Studies, Proteinuria, Renal, Renal Function, Review, Risk, Safety, Science, Scopus, Systematic, Systematic Review, Systematic Reviews, Treatment, Tubular Dysfunction,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Meddings, J., Rogers, M.A.M., Macy, M.</w:t>
      </w:r>
      <w:r w:rsidR="005853A9">
        <w:rPr>
          <w:kern w:val="0"/>
        </w:rPr>
        <w:t xml:space="preserve"> and </w:t>
      </w:r>
      <w:r>
        <w:rPr>
          <w:kern w:val="0"/>
        </w:rPr>
        <w:t>Saint, S. (2010), Systematic review</w:t>
      </w:r>
      <w:r w:rsidR="005853A9">
        <w:rPr>
          <w:kern w:val="0"/>
        </w:rPr>
        <w:t xml:space="preserve"> and </w:t>
      </w:r>
      <w:r>
        <w:rPr>
          <w:kern w:val="0"/>
        </w:rPr>
        <w:t>meta-analysis: Reminder systems to reduce catheter-associated urinary tract infections</w:t>
      </w:r>
      <w:r w:rsidR="005853A9">
        <w:rPr>
          <w:kern w:val="0"/>
        </w:rPr>
        <w:t xml:space="preserve"> and </w:t>
      </w:r>
      <w:r>
        <w:rPr>
          <w:kern w:val="0"/>
        </w:rPr>
        <w:t xml:space="preserve">urinary catheter use in hospitalized patients. </w:t>
      </w:r>
      <w:r>
        <w:rPr>
          <w:i/>
          <w:iCs/>
          <w:kern w:val="0"/>
        </w:rPr>
        <w:t>Clinical Infectious Diseases</w:t>
      </w:r>
      <w:r>
        <w:rPr>
          <w:kern w:val="0"/>
        </w:rPr>
        <w:t xml:space="preserve">, </w:t>
      </w:r>
      <w:r>
        <w:rPr>
          <w:b/>
          <w:bCs/>
          <w:kern w:val="0"/>
        </w:rPr>
        <w:t>51</w:t>
      </w:r>
      <w:r>
        <w:rPr>
          <w:kern w:val="0"/>
        </w:rPr>
        <w:t xml:space="preserve"> (5), 550-560.</w:t>
      </w:r>
    </w:p>
    <w:p w:rsidR="005311BC" w:rsidRPr="00C73C58" w:rsidRDefault="005311BC" w:rsidP="005311BC">
      <w:pPr>
        <w:pStyle w:val="a3"/>
      </w:pPr>
      <w:r w:rsidRPr="00C73C58">
        <w:t xml:space="preserve">Full Text: </w:t>
      </w:r>
      <w:hyperlink r:id="rId362" w:history="1">
        <w:r w:rsidRPr="0031256E">
          <w:rPr>
            <w:rStyle w:val="a5"/>
          </w:rPr>
          <w:t>2010\Cli Inf Dis51, 550.pdf</w:t>
        </w:r>
      </w:hyperlink>
    </w:p>
    <w:p w:rsidR="005D3B27" w:rsidRDefault="005D3B27" w:rsidP="005D3B27">
      <w:pPr>
        <w:pStyle w:val="a3"/>
        <w:rPr>
          <w:kern w:val="0"/>
        </w:rPr>
      </w:pPr>
      <w:r>
        <w:rPr>
          <w:kern w:val="0"/>
        </w:rPr>
        <w:t>Abstract: Background. Prolonged catheterization is</w:t>
      </w:r>
      <w:r w:rsidR="003A1917">
        <w:rPr>
          <w:kern w:val="0"/>
        </w:rPr>
        <w:t xml:space="preserve"> the </w:t>
      </w:r>
      <w:r>
        <w:rPr>
          <w:kern w:val="0"/>
        </w:rPr>
        <w:t>primary risk factor for catheter-associated urinary tract infection (CAUTI). Reminder systems are interventions used to prompt</w:t>
      </w:r>
      <w:r w:rsidR="003A1917">
        <w:rPr>
          <w:kern w:val="0"/>
        </w:rPr>
        <w:t xml:space="preserve"> the </w:t>
      </w:r>
      <w:r>
        <w:rPr>
          <w:kern w:val="0"/>
        </w:rPr>
        <w:t>removal</w:t>
      </w:r>
      <w:r w:rsidR="00427468">
        <w:rPr>
          <w:kern w:val="0"/>
        </w:rPr>
        <w:t xml:space="preserve"> of </w:t>
      </w:r>
      <w:r>
        <w:rPr>
          <w:kern w:val="0"/>
        </w:rPr>
        <w:t>unnecessary urinary catheters. To summarize</w:t>
      </w:r>
      <w:r w:rsidR="003A1917">
        <w:rPr>
          <w:kern w:val="0"/>
        </w:rPr>
        <w:t xml:space="preserve"> the </w:t>
      </w:r>
      <w:r>
        <w:rPr>
          <w:kern w:val="0"/>
        </w:rPr>
        <w:t>effect</w:t>
      </w:r>
      <w:r w:rsidR="00427468">
        <w:rPr>
          <w:kern w:val="0"/>
        </w:rPr>
        <w:t xml:space="preserve"> of </w:t>
      </w:r>
      <w:r>
        <w:rPr>
          <w:kern w:val="0"/>
        </w:rPr>
        <w:t>urinary catheter reminder systems on</w:t>
      </w:r>
      <w:r w:rsidR="003A1917">
        <w:rPr>
          <w:kern w:val="0"/>
        </w:rPr>
        <w:t xml:space="preserve"> the </w:t>
      </w:r>
      <w:r>
        <w:rPr>
          <w:kern w:val="0"/>
        </w:rPr>
        <w:t>rate</w:t>
      </w:r>
      <w:r w:rsidR="00427468">
        <w:rPr>
          <w:kern w:val="0"/>
        </w:rPr>
        <w:t xml:space="preserve"> of </w:t>
      </w:r>
      <w:r>
        <w:rPr>
          <w:kern w:val="0"/>
        </w:rPr>
        <w:t>CAUTI, urinary catheter use,</w:t>
      </w:r>
      <w:r w:rsidR="005853A9">
        <w:rPr>
          <w:kern w:val="0"/>
        </w:rPr>
        <w:t xml:space="preserve"> and </w:t>
      </w:r>
      <w:r w:rsidR="003A1917">
        <w:rPr>
          <w:kern w:val="0"/>
        </w:rPr>
        <w:t xml:space="preserve">the </w:t>
      </w:r>
      <w:r>
        <w:rPr>
          <w:kern w:val="0"/>
        </w:rPr>
        <w:t>need for recatheterization, we performed a systematic review</w:t>
      </w:r>
      <w:r w:rsidR="005853A9">
        <w:rPr>
          <w:kern w:val="0"/>
        </w:rPr>
        <w:t xml:space="preserve"> and </w:t>
      </w:r>
      <w:r>
        <w:rPr>
          <w:kern w:val="0"/>
        </w:rPr>
        <w:t xml:space="preserve">meta-analysis. Methods. Studies were identified in </w:t>
      </w:r>
      <w:r w:rsidR="00D5664A">
        <w:rPr>
          <w:kern w:val="0"/>
        </w:rPr>
        <w:t>MEDLINE</w:t>
      </w:r>
      <w:r>
        <w:rPr>
          <w:kern w:val="0"/>
        </w:rPr>
        <w:t>,</w:t>
      </w:r>
      <w:r w:rsidR="003A1917">
        <w:rPr>
          <w:kern w:val="0"/>
        </w:rPr>
        <w:t xml:space="preserve"> the </w:t>
      </w:r>
      <w:r>
        <w:rPr>
          <w:kern w:val="0"/>
        </w:rPr>
        <w:t>Cochrane Library, Biosis,</w:t>
      </w:r>
      <w:r w:rsidR="003A1917">
        <w:rPr>
          <w:kern w:val="0"/>
        </w:rPr>
        <w:t xml:space="preserve"> the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Pr>
          <w:kern w:val="0"/>
        </w:rPr>
        <w:t>CINAHL through August 2008. Only interventional studies that used reminders to physicians or nurses that a urinary catheter was in use or stop orders to prompt catheter removal in hospitalized adults were included. A total</w:t>
      </w:r>
      <w:r w:rsidR="00427468">
        <w:rPr>
          <w:kern w:val="0"/>
        </w:rPr>
        <w:t xml:space="preserve"> of </w:t>
      </w:r>
      <w:r>
        <w:rPr>
          <w:kern w:val="0"/>
        </w:rPr>
        <w:t>6679 citations were identified; 118 articles were reviewed,</w:t>
      </w:r>
      <w:r w:rsidR="005853A9">
        <w:rPr>
          <w:kern w:val="0"/>
        </w:rPr>
        <w:t xml:space="preserve"> and </w:t>
      </w:r>
      <w:r>
        <w:rPr>
          <w:kern w:val="0"/>
        </w:rPr>
        <w:t>14 articles met</w:t>
      </w:r>
      <w:r w:rsidR="003A1917">
        <w:rPr>
          <w:kern w:val="0"/>
        </w:rPr>
        <w:t xml:space="preserve"> the </w:t>
      </w:r>
      <w:r>
        <w:rPr>
          <w:kern w:val="0"/>
        </w:rPr>
        <w:t>selection criteria. Results</w:t>
      </w:r>
      <w:r w:rsidR="00A37C1D">
        <w:rPr>
          <w:kern w:val="0"/>
        </w:rPr>
        <w:t>. The</w:t>
      </w:r>
      <w:r w:rsidR="003A1917">
        <w:rPr>
          <w:kern w:val="0"/>
        </w:rPr>
        <w:t xml:space="preserve"> </w:t>
      </w:r>
      <w:r>
        <w:rPr>
          <w:kern w:val="0"/>
        </w:rPr>
        <w:t>rate</w:t>
      </w:r>
      <w:r w:rsidR="00427468">
        <w:rPr>
          <w:kern w:val="0"/>
        </w:rPr>
        <w:t xml:space="preserve"> of </w:t>
      </w:r>
      <w:r>
        <w:rPr>
          <w:kern w:val="0"/>
        </w:rPr>
        <w:t>CAUTI (episodes per 1000 catheter-days) was reduced by 52% (P &lt; .001) with use</w:t>
      </w:r>
      <w:r w:rsidR="00427468">
        <w:rPr>
          <w:kern w:val="0"/>
        </w:rPr>
        <w:t xml:space="preserve"> of </w:t>
      </w:r>
      <w:r>
        <w:rPr>
          <w:kern w:val="0"/>
        </w:rPr>
        <w:t>a reminder or stop order</w:t>
      </w:r>
      <w:r w:rsidR="00A37C1D">
        <w:rPr>
          <w:kern w:val="0"/>
        </w:rPr>
        <w:t>. The</w:t>
      </w:r>
      <w:r w:rsidR="003A1917">
        <w:rPr>
          <w:kern w:val="0"/>
        </w:rPr>
        <w:t xml:space="preserve"> </w:t>
      </w:r>
      <w:r>
        <w:rPr>
          <w:kern w:val="0"/>
        </w:rPr>
        <w:t>mean duration</w:t>
      </w:r>
      <w:r w:rsidR="00427468">
        <w:rPr>
          <w:kern w:val="0"/>
        </w:rPr>
        <w:t xml:space="preserve"> of </w:t>
      </w:r>
      <w:r>
        <w:rPr>
          <w:kern w:val="0"/>
        </w:rPr>
        <w:t>catheterization decreased by 37%, resulting in 2.61 fewer days</w:t>
      </w:r>
      <w:r w:rsidR="00427468">
        <w:rPr>
          <w:kern w:val="0"/>
        </w:rPr>
        <w:t xml:space="preserve"> of </w:t>
      </w:r>
      <w:r>
        <w:rPr>
          <w:kern w:val="0"/>
        </w:rPr>
        <w:t>catheterization per patient in</w:t>
      </w:r>
      <w:r w:rsidR="003A1917">
        <w:rPr>
          <w:kern w:val="0"/>
        </w:rPr>
        <w:t xml:space="preserve"> the </w:t>
      </w:r>
      <w:r>
        <w:rPr>
          <w:kern w:val="0"/>
        </w:rPr>
        <w:t>intervention versus control groups;</w:t>
      </w:r>
      <w:r w:rsidR="003A1917">
        <w:rPr>
          <w:kern w:val="0"/>
        </w:rPr>
        <w:t xml:space="preserve"> the </w:t>
      </w:r>
      <w:r>
        <w:rPr>
          <w:kern w:val="0"/>
        </w:rPr>
        <w:t>pooled standardized mean difference (SMD) in</w:t>
      </w:r>
      <w:r w:rsidR="003A1917">
        <w:rPr>
          <w:kern w:val="0"/>
        </w:rPr>
        <w:t xml:space="preserve"> the </w:t>
      </w:r>
      <w:r>
        <w:rPr>
          <w:kern w:val="0"/>
        </w:rPr>
        <w:t>duration</w:t>
      </w:r>
      <w:r w:rsidR="00427468">
        <w:rPr>
          <w:kern w:val="0"/>
        </w:rPr>
        <w:t xml:space="preserve"> of </w:t>
      </w:r>
      <w:r>
        <w:rPr>
          <w:kern w:val="0"/>
        </w:rPr>
        <w:t>catheterization was -1.11 overall (P = .070), including a statistically significant decrease in studies that used a stop order (SMD, -0.30; P = .001) but not in those that used a reminder (SMD, -1.54; P = .071). Recatheterization rates were similar in control</w:t>
      </w:r>
      <w:r w:rsidR="005853A9">
        <w:rPr>
          <w:kern w:val="0"/>
        </w:rPr>
        <w:t xml:space="preserve"> and </w:t>
      </w:r>
      <w:r>
        <w:rPr>
          <w:kern w:val="0"/>
        </w:rPr>
        <w:t>intervention groups. Conclusion. Urinary catheter reminders</w:t>
      </w:r>
      <w:r w:rsidR="005853A9">
        <w:rPr>
          <w:kern w:val="0"/>
        </w:rPr>
        <w:t xml:space="preserve"> and </w:t>
      </w:r>
      <w:r>
        <w:rPr>
          <w:kern w:val="0"/>
        </w:rPr>
        <w:t>stop orders appear to reduce</w:t>
      </w:r>
      <w:r w:rsidR="003A1917">
        <w:rPr>
          <w:kern w:val="0"/>
        </w:rPr>
        <w:t xml:space="preserve"> the </w:t>
      </w:r>
      <w:r>
        <w:rPr>
          <w:kern w:val="0"/>
        </w:rPr>
        <w:t>rate</w:t>
      </w:r>
      <w:r w:rsidR="00427468">
        <w:rPr>
          <w:kern w:val="0"/>
        </w:rPr>
        <w:t xml:space="preserve"> of </w:t>
      </w:r>
      <w:r>
        <w:rPr>
          <w:kern w:val="0"/>
        </w:rPr>
        <w:t>CAUTI</w:t>
      </w:r>
      <w:r w:rsidR="005853A9">
        <w:rPr>
          <w:kern w:val="0"/>
        </w:rPr>
        <w:t xml:space="preserve"> and </w:t>
      </w:r>
      <w:r>
        <w:rPr>
          <w:kern w:val="0"/>
        </w:rPr>
        <w:t>should be strongly considered to enhance</w:t>
      </w:r>
      <w:r w:rsidR="003A1917">
        <w:rPr>
          <w:kern w:val="0"/>
        </w:rPr>
        <w:t xml:space="preserve"> the </w:t>
      </w:r>
      <w:r>
        <w:rPr>
          <w:kern w:val="0"/>
        </w:rPr>
        <w:t>safety</w:t>
      </w:r>
      <w:r w:rsidR="00427468">
        <w:rPr>
          <w:kern w:val="0"/>
        </w:rPr>
        <w:t xml:space="preserve"> of </w:t>
      </w:r>
      <w:r>
        <w:rPr>
          <w:kern w:val="0"/>
        </w:rPr>
        <w:t>hospitalized patients.</w:t>
      </w:r>
    </w:p>
    <w:p w:rsidR="005D3B27" w:rsidRDefault="005D3B27" w:rsidP="005D3B27">
      <w:pPr>
        <w:pStyle w:val="a3"/>
        <w:rPr>
          <w:kern w:val="0"/>
        </w:rPr>
      </w:pPr>
      <w:r>
        <w:rPr>
          <w:kern w:val="0"/>
        </w:rPr>
        <w:t xml:space="preserve">Keywords: Adults, Catheterization, Citations, Cochrane, Control, Control Groups, Duration, EMBASE, Feedback, Infection, Intervention, Interventions, </w:t>
      </w:r>
      <w:r w:rsidR="00D5664A">
        <w:rPr>
          <w:kern w:val="0"/>
        </w:rPr>
        <w:t>MEDLINE</w:t>
      </w:r>
      <w:r>
        <w:rPr>
          <w:kern w:val="0"/>
        </w:rPr>
        <w:t xml:space="preserve">, Meta-Analysis, Methods, Nurses, Physicians, Primary, Reminder Systems, Reminders, Review, Risk, Safety, Science, Staff, Systematic, Systematic Review, Tract,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Sibanda, E.L., Weller, I.V.D., Hakim, J.G.</w:t>
      </w:r>
      <w:r w:rsidR="005853A9">
        <w:rPr>
          <w:kern w:val="0"/>
        </w:rPr>
        <w:t xml:space="preserve"> and </w:t>
      </w:r>
      <w:r>
        <w:rPr>
          <w:kern w:val="0"/>
        </w:rPr>
        <w:t>Cowan, F.M. (2011), Does trimethoprim-sulfamethoxazole prophylaxis for hiv induce bacterial resistance to other antibiotic classes? Results</w:t>
      </w:r>
      <w:r w:rsidR="00427468">
        <w:rPr>
          <w:kern w:val="0"/>
        </w:rPr>
        <w:t xml:space="preserve"> of </w:t>
      </w:r>
      <w:r>
        <w:rPr>
          <w:kern w:val="0"/>
        </w:rPr>
        <w:t xml:space="preserve">a systematic review. </w:t>
      </w:r>
      <w:r>
        <w:rPr>
          <w:i/>
          <w:iCs/>
          <w:kern w:val="0"/>
        </w:rPr>
        <w:t>Clinical Infectious Diseases</w:t>
      </w:r>
      <w:r>
        <w:rPr>
          <w:kern w:val="0"/>
        </w:rPr>
        <w:t xml:space="preserve">, </w:t>
      </w:r>
      <w:r>
        <w:rPr>
          <w:b/>
          <w:bCs/>
          <w:kern w:val="0"/>
        </w:rPr>
        <w:lastRenderedPageBreak/>
        <w:t>52</w:t>
      </w:r>
      <w:r>
        <w:rPr>
          <w:kern w:val="0"/>
        </w:rPr>
        <w:t xml:space="preserve"> (9), 1184-1194.</w:t>
      </w:r>
    </w:p>
    <w:p w:rsidR="005311BC" w:rsidRPr="00C73C58" w:rsidRDefault="005311BC" w:rsidP="005311BC">
      <w:pPr>
        <w:pStyle w:val="a3"/>
      </w:pPr>
      <w:r w:rsidRPr="00C73C58">
        <w:t xml:space="preserve">Full Text: </w:t>
      </w:r>
      <w:hyperlink r:id="rId363" w:history="1">
        <w:r w:rsidRPr="0031256E">
          <w:rPr>
            <w:rStyle w:val="a5"/>
          </w:rPr>
          <w:t>2011\Cli Inf Dis52, 1184.pdf</w:t>
        </w:r>
      </w:hyperlink>
    </w:p>
    <w:p w:rsidR="005D3B27" w:rsidRDefault="005D3B27" w:rsidP="005D3B27">
      <w:pPr>
        <w:pStyle w:val="a3"/>
        <w:rPr>
          <w:kern w:val="0"/>
        </w:rPr>
      </w:pPr>
      <w:r>
        <w:rPr>
          <w:kern w:val="0"/>
        </w:rPr>
        <w:t>Abstract: Background. Trimethoprim-sulfamethoxazole (TMP-SMX) prophylaxis has long been recommended for immunosuppressed HIV-infected adults</w:t>
      </w:r>
      <w:r w:rsidR="005853A9">
        <w:rPr>
          <w:kern w:val="0"/>
        </w:rPr>
        <w:t xml:space="preserve"> and </w:t>
      </w:r>
      <w:r>
        <w:rPr>
          <w:kern w:val="0"/>
        </w:rPr>
        <w:t>children born to HIV-infected women. Despite this, many resource-limited countries have not implemented this recommendation, partly because</w:t>
      </w:r>
      <w:r w:rsidR="00427468">
        <w:rPr>
          <w:kern w:val="0"/>
        </w:rPr>
        <w:t xml:space="preserve"> of </w:t>
      </w:r>
      <w:r>
        <w:rPr>
          <w:kern w:val="0"/>
        </w:rPr>
        <w:t>fear</w:t>
      </w:r>
      <w:r w:rsidR="00427468">
        <w:rPr>
          <w:kern w:val="0"/>
        </w:rPr>
        <w:t xml:space="preserve"> of </w:t>
      </w:r>
      <w:r>
        <w:rPr>
          <w:kern w:val="0"/>
        </w:rPr>
        <w:t xml:space="preserve">widespread antimicrobial resistance not only to TMP-SMX, but also to other antibiotics. We aimed to determine whether TMP-SMX prophylaxis in HIV-infected and/or exposed individuals increases bacterial resistance to antibiotics other than TMP-SMX. Methods. A literature search was conducted in </w:t>
      </w:r>
      <w:r w:rsidR="00D5664A">
        <w:rPr>
          <w:kern w:val="0"/>
        </w:rPr>
        <w:t>MEDLINE</w:t>
      </w:r>
      <w:r>
        <w:rPr>
          <w:kern w:val="0"/>
        </w:rPr>
        <w:t xml:space="preserve">, Global Health, EMBASE, </w:t>
      </w:r>
      <w:r w:rsidR="00D5664A">
        <w:rPr>
          <w:kern w:val="0"/>
        </w:rPr>
        <w:t>Web</w:t>
      </w:r>
      <w:r w:rsidR="00427468">
        <w:rPr>
          <w:kern w:val="0"/>
        </w:rPr>
        <w:t xml:space="preserve"> of </w:t>
      </w:r>
      <w:r w:rsidR="00D5664A">
        <w:rPr>
          <w:kern w:val="0"/>
        </w:rPr>
        <w:t>Science</w:t>
      </w:r>
      <w:r>
        <w:rPr>
          <w:kern w:val="0"/>
        </w:rPr>
        <w:t>, ELDIS,</w:t>
      </w:r>
      <w:r w:rsidR="005853A9">
        <w:rPr>
          <w:kern w:val="0"/>
        </w:rPr>
        <w:t xml:space="preserve"> and </w:t>
      </w:r>
      <w:r>
        <w:rPr>
          <w:kern w:val="0"/>
        </w:rPr>
        <w:t>ID21. Results. A total</w:t>
      </w:r>
      <w:r w:rsidR="00427468">
        <w:rPr>
          <w:kern w:val="0"/>
        </w:rPr>
        <w:t xml:space="preserve"> of </w:t>
      </w:r>
      <w:r>
        <w:rPr>
          <w:kern w:val="0"/>
        </w:rPr>
        <w:t>501 studies were identified,</w:t>
      </w:r>
      <w:r w:rsidR="005853A9">
        <w:rPr>
          <w:kern w:val="0"/>
        </w:rPr>
        <w:t xml:space="preserve"> and </w:t>
      </w:r>
      <w:r>
        <w:rPr>
          <w:kern w:val="0"/>
        </w:rPr>
        <w:t>17 met</w:t>
      </w:r>
      <w:r w:rsidR="003A1917">
        <w:rPr>
          <w:kern w:val="0"/>
        </w:rPr>
        <w:t xml:space="preserve"> the </w:t>
      </w:r>
      <w:r>
        <w:rPr>
          <w:kern w:val="0"/>
        </w:rPr>
        <w:t>inclusion criteria. Only 8 studies were</w:t>
      </w:r>
      <w:r w:rsidR="00427468">
        <w:rPr>
          <w:kern w:val="0"/>
        </w:rPr>
        <w:t xml:space="preserve"> of </w:t>
      </w:r>
      <w:r>
        <w:rPr>
          <w:kern w:val="0"/>
        </w:rPr>
        <w:t>high quality,</w:t>
      </w:r>
      <w:r w:rsidR="00427468">
        <w:rPr>
          <w:kern w:val="0"/>
        </w:rPr>
        <w:t xml:space="preserve"> of </w:t>
      </w:r>
      <w:r>
        <w:rPr>
          <w:kern w:val="0"/>
        </w:rPr>
        <w:t>which only 2 had been specifically designed to answer this question. Studies were classified as (1) studies in which all participants were infected and/or colonized</w:t>
      </w:r>
      <w:r w:rsidR="005853A9">
        <w:rPr>
          <w:kern w:val="0"/>
        </w:rPr>
        <w:t xml:space="preserve"> and </w:t>
      </w:r>
      <w:r>
        <w:rPr>
          <w:kern w:val="0"/>
        </w:rPr>
        <w:t>in which rates</w:t>
      </w:r>
      <w:r w:rsidR="00427468">
        <w:rPr>
          <w:kern w:val="0"/>
        </w:rPr>
        <w:t xml:space="preserve"> of </w:t>
      </w:r>
      <w:r>
        <w:rPr>
          <w:kern w:val="0"/>
        </w:rPr>
        <w:t>bacterial resistance were compared between those taking or not taking TMP-SMX</w:t>
      </w:r>
      <w:r w:rsidR="005853A9">
        <w:rPr>
          <w:kern w:val="0"/>
        </w:rPr>
        <w:t xml:space="preserve"> and </w:t>
      </w:r>
      <w:r>
        <w:rPr>
          <w:kern w:val="0"/>
        </w:rPr>
        <w:t>(2) studies comparing those who had a resistant infection with those who were not infected. Type 1 studies showed weak evidence that TMP-SMX protects against resistance. Type 2 studies provided more convincing evidence that TMP-SMX protects against infection. Conclusion</w:t>
      </w:r>
      <w:r w:rsidR="00A37C1D">
        <w:rPr>
          <w:kern w:val="0"/>
        </w:rPr>
        <w:t>. The</w:t>
      </w:r>
      <w:r>
        <w:rPr>
          <w:kern w:val="0"/>
        </w:rPr>
        <w:t>re was some evidence that TMP-SMX prophylaxis protects against resistance to other antibiotics. However, more carefully designed studies are needed to answer</w:t>
      </w:r>
      <w:r w:rsidR="003A1917">
        <w:rPr>
          <w:kern w:val="0"/>
        </w:rPr>
        <w:t xml:space="preserve"> the </w:t>
      </w:r>
      <w:r>
        <w:rPr>
          <w:kern w:val="0"/>
        </w:rPr>
        <w:t>question conclusively.</w:t>
      </w:r>
    </w:p>
    <w:p w:rsidR="005D3B27" w:rsidRDefault="005D3B27" w:rsidP="005D3B27">
      <w:pPr>
        <w:pStyle w:val="a3"/>
        <w:rPr>
          <w:kern w:val="0"/>
        </w:rPr>
      </w:pPr>
      <w:r>
        <w:rPr>
          <w:kern w:val="0"/>
        </w:rPr>
        <w:t xml:space="preserve">Keywords: Adults, Antibiotic, Antibiotics, Antiretroviral Therapy, Children, Cote-Divoire, Cotrimoxazole Prophylaxis, Health, HIV, Human-Immunodeficiency-Virus, Infection, Literature, Methods, Opportunistic Infections, Positive Outpatients, Resistance, Review, Risk-Factors, Science, South-African Children, Staphylococcus-Aureus Mrsa, Streptococcus-Pneumoniae, Systematic, Systematic Review, Type 2, </w:t>
      </w:r>
      <w:r w:rsidR="00D5664A">
        <w:rPr>
          <w:kern w:val="0"/>
        </w:rPr>
        <w:t>Web</w:t>
      </w:r>
      <w:r w:rsidR="00427468">
        <w:rPr>
          <w:kern w:val="0"/>
        </w:rPr>
        <w:t xml:space="preserve"> of </w:t>
      </w:r>
      <w:r w:rsidR="00D5664A">
        <w:rPr>
          <w:kern w:val="0"/>
        </w:rPr>
        <w:t>Science</w:t>
      </w:r>
      <w:r>
        <w:rPr>
          <w:kern w:val="0"/>
        </w:rPr>
        <w:t>, Women</w:t>
      </w:r>
    </w:p>
    <w:p w:rsidR="0005697A" w:rsidRPr="00C73C58" w:rsidRDefault="0005697A" w:rsidP="0005697A">
      <w:pPr>
        <w:pStyle w:val="1"/>
      </w:pPr>
      <w:r w:rsidRPr="00C73C58">
        <w:br w:type="page"/>
      </w:r>
      <w:bookmarkStart w:id="287" w:name="_Toc420815029"/>
      <w:r w:rsidRPr="00C73C58">
        <w:lastRenderedPageBreak/>
        <w:t xml:space="preserve">Title: </w:t>
      </w:r>
      <w:r w:rsidRPr="0005697A">
        <w:rPr>
          <w:iCs w:val="0"/>
          <w:szCs w:val="24"/>
        </w:rPr>
        <w:t>Clinical Interventions in Aging</w:t>
      </w:r>
      <w:bookmarkEnd w:id="287"/>
    </w:p>
    <w:p w:rsidR="0005697A" w:rsidRPr="00C73C58" w:rsidRDefault="0005697A" w:rsidP="0005697A">
      <w:pPr>
        <w:pStyle w:val="12"/>
      </w:pPr>
      <w:r w:rsidRPr="00C73C58">
        <w:t xml:space="preserve">Full Journal Title: </w:t>
      </w:r>
      <w:r w:rsidRPr="0005697A">
        <w:rPr>
          <w:iCs/>
          <w:kern w:val="0"/>
        </w:rPr>
        <w:t>Clinical Interventions in Aging</w:t>
      </w:r>
    </w:p>
    <w:p w:rsidR="0005697A" w:rsidRPr="00C73C58" w:rsidRDefault="0005697A" w:rsidP="0005697A">
      <w:pPr>
        <w:pStyle w:val="12"/>
      </w:pPr>
      <w:r w:rsidRPr="00C73C58">
        <w:t xml:space="preserve">ISO Abbreviated Title: </w:t>
      </w:r>
    </w:p>
    <w:p w:rsidR="0005697A" w:rsidRPr="00C73C58" w:rsidRDefault="0005697A" w:rsidP="0005697A">
      <w:pPr>
        <w:pStyle w:val="12"/>
      </w:pPr>
      <w:r w:rsidRPr="00C73C58">
        <w:t xml:space="preserve">JCR Abbreviated Title: </w:t>
      </w:r>
    </w:p>
    <w:p w:rsidR="0005697A" w:rsidRPr="00C73C58" w:rsidRDefault="0005697A" w:rsidP="0005697A">
      <w:pPr>
        <w:pStyle w:val="12"/>
      </w:pPr>
      <w:r w:rsidRPr="00C73C58">
        <w:t xml:space="preserve">ISSN: </w:t>
      </w:r>
    </w:p>
    <w:p w:rsidR="0005697A" w:rsidRPr="00C73C58" w:rsidRDefault="0005697A" w:rsidP="0005697A">
      <w:pPr>
        <w:pStyle w:val="12"/>
      </w:pPr>
      <w:r w:rsidRPr="00C73C58">
        <w:t xml:space="preserve">Issues/Year: </w:t>
      </w:r>
    </w:p>
    <w:p w:rsidR="0005697A" w:rsidRPr="00C73C58" w:rsidRDefault="0005697A" w:rsidP="0005697A">
      <w:pPr>
        <w:pStyle w:val="12"/>
      </w:pPr>
      <w:r w:rsidRPr="00C73C58">
        <w:t xml:space="preserve">Language: </w:t>
      </w:r>
    </w:p>
    <w:p w:rsidR="0005697A" w:rsidRPr="00C73C58" w:rsidRDefault="0005697A" w:rsidP="0005697A">
      <w:pPr>
        <w:pStyle w:val="12"/>
      </w:pPr>
      <w:r w:rsidRPr="00C73C58">
        <w:t xml:space="preserve">Journal Country/Territory: </w:t>
      </w:r>
    </w:p>
    <w:p w:rsidR="0005697A" w:rsidRPr="00C73C58" w:rsidRDefault="0005697A" w:rsidP="0005697A">
      <w:pPr>
        <w:pStyle w:val="12"/>
      </w:pPr>
      <w:r w:rsidRPr="00C73C58">
        <w:t xml:space="preserve">Publisher: </w:t>
      </w:r>
    </w:p>
    <w:p w:rsidR="0005697A" w:rsidRPr="00C73C58" w:rsidRDefault="0005697A" w:rsidP="0005697A">
      <w:pPr>
        <w:pStyle w:val="12"/>
      </w:pPr>
      <w:r w:rsidRPr="00C73C58">
        <w:t xml:space="preserve">Publisher Address: </w:t>
      </w:r>
    </w:p>
    <w:p w:rsidR="0005697A" w:rsidRPr="00C73C58" w:rsidRDefault="0005697A" w:rsidP="0005697A">
      <w:pPr>
        <w:pStyle w:val="12"/>
      </w:pPr>
      <w:r w:rsidRPr="00C73C58">
        <w:t xml:space="preserve">Subject Categories: </w:t>
      </w:r>
    </w:p>
    <w:p w:rsidR="0005697A" w:rsidRPr="00C73C58" w:rsidRDefault="0005697A" w:rsidP="0005697A">
      <w:pPr>
        <w:pStyle w:val="12"/>
      </w:pPr>
      <w:r w:rsidRPr="00C73C58">
        <w:t>: Impact Factor</w:t>
      </w:r>
    </w:p>
    <w:p w:rsidR="0005697A" w:rsidRDefault="0005697A" w:rsidP="0005697A">
      <w:pPr>
        <w:pStyle w:val="a3"/>
        <w:rPr>
          <w:kern w:val="0"/>
          <w:szCs w:val="24"/>
        </w:rPr>
      </w:pPr>
      <w:r>
        <w:rPr>
          <w:rFonts w:hint="eastAsia"/>
          <w:kern w:val="0"/>
          <w:szCs w:val="24"/>
        </w:rPr>
        <w:t xml:space="preserve">? </w:t>
      </w:r>
      <w:r>
        <w:rPr>
          <w:kern w:val="0"/>
          <w:szCs w:val="24"/>
        </w:rPr>
        <w:t>Agmon, M., Belza, B., Nguyen, H.Q., Logsdon, R.G. and Kelly, V.E. (2014), A systematic review</w:t>
      </w:r>
      <w:r w:rsidR="00427468">
        <w:rPr>
          <w:kern w:val="0"/>
          <w:szCs w:val="24"/>
        </w:rPr>
        <w:t xml:space="preserve"> of </w:t>
      </w:r>
      <w:r>
        <w:rPr>
          <w:kern w:val="0"/>
          <w:szCs w:val="24"/>
        </w:rPr>
        <w:t xml:space="preserve">interventions conducted in clinical or community settings to improve dual-task postural control in older adults. </w:t>
      </w:r>
      <w:r w:rsidRPr="0005697A">
        <w:rPr>
          <w:i/>
          <w:iCs/>
          <w:kern w:val="0"/>
          <w:szCs w:val="24"/>
        </w:rPr>
        <w:t>Clinical Interventions in Aging</w:t>
      </w:r>
      <w:r>
        <w:rPr>
          <w:kern w:val="0"/>
          <w:szCs w:val="24"/>
        </w:rPr>
        <w:t xml:space="preserve">, </w:t>
      </w:r>
      <w:r>
        <w:rPr>
          <w:b/>
          <w:bCs/>
          <w:kern w:val="0"/>
          <w:szCs w:val="24"/>
        </w:rPr>
        <w:t>9</w:t>
      </w:r>
      <w:r>
        <w:rPr>
          <w:kern w:val="0"/>
          <w:szCs w:val="24"/>
        </w:rPr>
        <w:t>, 477-492.</w:t>
      </w:r>
    </w:p>
    <w:p w:rsidR="0005697A" w:rsidRDefault="0005697A" w:rsidP="0005697A">
      <w:pPr>
        <w:pStyle w:val="a3"/>
        <w:rPr>
          <w:kern w:val="0"/>
          <w:szCs w:val="24"/>
        </w:rPr>
      </w:pPr>
      <w:r>
        <w:rPr>
          <w:rFonts w:hint="eastAsia"/>
          <w:kern w:val="0"/>
          <w:szCs w:val="24"/>
        </w:rPr>
        <w:t xml:space="preserve">Full Text: </w:t>
      </w:r>
      <w:hyperlink r:id="rId364" w:history="1">
        <w:r w:rsidR="00B64A24" w:rsidRPr="00B64A24">
          <w:rPr>
            <w:rStyle w:val="a5"/>
            <w:kern w:val="0"/>
            <w:szCs w:val="24"/>
          </w:rPr>
          <w:t>2014\Cli Int Agi9, 477.pdf</w:t>
        </w:r>
      </w:hyperlink>
    </w:p>
    <w:p w:rsidR="0005697A" w:rsidRDefault="0005697A" w:rsidP="0005697A">
      <w:pPr>
        <w:pStyle w:val="a3"/>
        <w:rPr>
          <w:kern w:val="0"/>
          <w:szCs w:val="24"/>
        </w:rPr>
      </w:pPr>
      <w:r>
        <w:rPr>
          <w:kern w:val="0"/>
          <w:szCs w:val="24"/>
        </w:rPr>
        <w:t>Abstract: Background: Injury due to falls is a major problem among older adults. Decrements in dual-task postural control performance (simultaneously performing two tasks, at least one</w:t>
      </w:r>
      <w:r w:rsidR="00427468">
        <w:rPr>
          <w:kern w:val="0"/>
          <w:szCs w:val="24"/>
        </w:rPr>
        <w:t xml:space="preserve"> of </w:t>
      </w:r>
      <w:r>
        <w:rPr>
          <w:kern w:val="0"/>
          <w:szCs w:val="24"/>
        </w:rPr>
        <w:t>which requires postural control) have been associated with an increased risk</w:t>
      </w:r>
      <w:r w:rsidR="00427468">
        <w:rPr>
          <w:kern w:val="0"/>
          <w:szCs w:val="24"/>
        </w:rPr>
        <w:t xml:space="preserve"> of </w:t>
      </w:r>
      <w:r>
        <w:rPr>
          <w:kern w:val="0"/>
          <w:szCs w:val="24"/>
        </w:rPr>
        <w:t>falling. Evidence-based interventions that can be used in clinical or community settings to improve dual-task postural control may help to reduce this risk. Purpose: The aims</w:t>
      </w:r>
      <w:r w:rsidR="00427468">
        <w:rPr>
          <w:kern w:val="0"/>
          <w:szCs w:val="24"/>
        </w:rPr>
        <w:t xml:space="preserve"> of </w:t>
      </w:r>
      <w:r>
        <w:rPr>
          <w:kern w:val="0"/>
          <w:szCs w:val="24"/>
        </w:rPr>
        <w:t>this systematic review are: 1) to identify clinical or community-based interventions that improved dual-task postural control among older adults; and 2) to identify the key elements</w:t>
      </w:r>
      <w:r w:rsidR="00427468">
        <w:rPr>
          <w:kern w:val="0"/>
          <w:szCs w:val="24"/>
        </w:rPr>
        <w:t xml:space="preserve"> of </w:t>
      </w:r>
      <w:r>
        <w:rPr>
          <w:kern w:val="0"/>
          <w:szCs w:val="24"/>
        </w:rPr>
        <w:t>those interventions. Data sources: Studies were obtained from a search conducted through October 2013</w:t>
      </w:r>
      <w:r w:rsidR="00427468">
        <w:rPr>
          <w:kern w:val="0"/>
          <w:szCs w:val="24"/>
        </w:rPr>
        <w:t xml:space="preserve"> of </w:t>
      </w:r>
      <w:r>
        <w:rPr>
          <w:kern w:val="0"/>
          <w:szCs w:val="24"/>
        </w:rPr>
        <w:t>the following electronic databases: PubMed, CINAHL, PsycINFO, and Web</w:t>
      </w:r>
      <w:r w:rsidR="00427468">
        <w:rPr>
          <w:kern w:val="0"/>
          <w:szCs w:val="24"/>
        </w:rPr>
        <w:t xml:space="preserve"> of </w:t>
      </w:r>
      <w:r>
        <w:rPr>
          <w:kern w:val="0"/>
          <w:szCs w:val="24"/>
        </w:rPr>
        <w:t>Science. Study selection: Randomized and nonrandomized controlled studies examining the effects</w:t>
      </w:r>
      <w:r w:rsidR="00427468">
        <w:rPr>
          <w:kern w:val="0"/>
          <w:szCs w:val="24"/>
        </w:rPr>
        <w:t xml:space="preserve"> of </w:t>
      </w:r>
      <w:r>
        <w:rPr>
          <w:kern w:val="0"/>
          <w:szCs w:val="24"/>
        </w:rPr>
        <w:t>interventions aimed at improving dual-task postural control among community-dwelling older adults were selected. Data extraction: All studies were evaluated based on methodological quality. Intervention characteristics including study purpose, study design, and sample size were identified, and effects</w:t>
      </w:r>
      <w:r w:rsidR="00427468">
        <w:rPr>
          <w:kern w:val="0"/>
          <w:szCs w:val="24"/>
        </w:rPr>
        <w:t xml:space="preserve"> of </w:t>
      </w:r>
      <w:r>
        <w:rPr>
          <w:kern w:val="0"/>
          <w:szCs w:val="24"/>
        </w:rPr>
        <w:t>dual-task interventions on various postural control and cognitive outcomes were noted. Data synthesis: Twenty-two studies fulfilled the selection criteria and were summarized in this review to identify characteristics</w:t>
      </w:r>
      <w:r w:rsidR="00427468">
        <w:rPr>
          <w:kern w:val="0"/>
          <w:szCs w:val="24"/>
        </w:rPr>
        <w:t xml:space="preserve"> of </w:t>
      </w:r>
      <w:r>
        <w:rPr>
          <w:kern w:val="0"/>
          <w:szCs w:val="24"/>
        </w:rPr>
        <w:t xml:space="preserve">successful interventions. Limitations: The ability to synthesize data was limited by the heterogeneity in participant characteristics, study designs, and outcome measures. Conclusion: Dual-task postural </w:t>
      </w:r>
      <w:r>
        <w:rPr>
          <w:kern w:val="0"/>
          <w:szCs w:val="24"/>
        </w:rPr>
        <w:lastRenderedPageBreak/>
        <w:t>control can be modified by specific training</w:t>
      </w:r>
      <w:r w:rsidR="00A37C1D">
        <w:rPr>
          <w:kern w:val="0"/>
          <w:szCs w:val="24"/>
        </w:rPr>
        <w:t>. The</w:t>
      </w:r>
      <w:r>
        <w:rPr>
          <w:kern w:val="0"/>
          <w:szCs w:val="24"/>
        </w:rPr>
        <w:t>re was little evidence that single-task training transferred to dual-task postural control performance. Further investigation</w:t>
      </w:r>
      <w:r w:rsidR="00427468">
        <w:rPr>
          <w:kern w:val="0"/>
          <w:szCs w:val="24"/>
        </w:rPr>
        <w:t xml:space="preserve"> of </w:t>
      </w:r>
      <w:r>
        <w:rPr>
          <w:kern w:val="0"/>
          <w:szCs w:val="24"/>
        </w:rPr>
        <w:t>dual-task training using standardized outcome measurements is needed.</w:t>
      </w:r>
    </w:p>
    <w:p w:rsidR="0005697A" w:rsidRDefault="0005697A" w:rsidP="0005697A">
      <w:pPr>
        <w:pStyle w:val="a3"/>
        <w:rPr>
          <w:kern w:val="0"/>
          <w:szCs w:val="24"/>
        </w:rPr>
      </w:pPr>
      <w:r>
        <w:rPr>
          <w:kern w:val="0"/>
          <w:szCs w:val="24"/>
        </w:rPr>
        <w:t>Keywords: Attentional Control, Balance, Balance Performance, Characteristics, Clinical, Community, Community Based, Control, Criteria, Data, Databases, Design, Effects, Elderly-People, Evidence, Executive Function, Extraction, Fall Prevention, Fall Risk-Factors, Gait, Heterogeneity, Intervention, Interventions, Investigation, Measures, Modified, Motor Learning, Outcome, Outcome Measures, Outcomes, Performance, Physical Therapy, Psycinfo, Pubmed, Purpose, Quality, Randomized-Controlled-Trial, Review, Risk, Sample Size, Science, Selection, Selection Criteria, Single-Task, Size, Sources, Stops Walking, Study Design, Synthesis, Systematic Review, Training, Virtual-Reality, Walking, Web</w:t>
      </w:r>
      <w:r w:rsidR="00427468">
        <w:rPr>
          <w:kern w:val="0"/>
          <w:szCs w:val="24"/>
        </w:rPr>
        <w:t xml:space="preserve"> of </w:t>
      </w:r>
      <w:r>
        <w:rPr>
          <w:kern w:val="0"/>
          <w:szCs w:val="24"/>
        </w:rPr>
        <w:t>Science</w:t>
      </w:r>
    </w:p>
    <w:p w:rsidR="00F325A1" w:rsidRPr="00C73C58" w:rsidRDefault="00F325A1" w:rsidP="00F325A1">
      <w:pPr>
        <w:pStyle w:val="1"/>
      </w:pPr>
      <w:r w:rsidRPr="00C73C58">
        <w:br w:type="page"/>
      </w:r>
      <w:bookmarkStart w:id="288" w:name="_Toc420815030"/>
      <w:r w:rsidRPr="00C73C58">
        <w:lastRenderedPageBreak/>
        <w:t xml:space="preserve">Title: </w:t>
      </w:r>
      <w:r w:rsidRPr="002C3B32">
        <w:rPr>
          <w:iCs w:val="0"/>
        </w:rPr>
        <w:t>Clinical Journal</w:t>
      </w:r>
      <w:r w:rsidR="00427468">
        <w:rPr>
          <w:iCs w:val="0"/>
        </w:rPr>
        <w:t xml:space="preserve"> of </w:t>
      </w:r>
      <w:r w:rsidR="003A1917">
        <w:rPr>
          <w:iCs w:val="0"/>
        </w:rPr>
        <w:t xml:space="preserve">the </w:t>
      </w:r>
      <w:r w:rsidRPr="002C3B32">
        <w:rPr>
          <w:iCs w:val="0"/>
        </w:rPr>
        <w:t>American Society</w:t>
      </w:r>
      <w:r w:rsidR="00427468">
        <w:rPr>
          <w:iCs w:val="0"/>
        </w:rPr>
        <w:t xml:space="preserve"> of </w:t>
      </w:r>
      <w:r w:rsidRPr="002C3B32">
        <w:rPr>
          <w:iCs w:val="0"/>
        </w:rPr>
        <w:t>Nephrology</w:t>
      </w:r>
      <w:bookmarkEnd w:id="288"/>
    </w:p>
    <w:p w:rsidR="00F325A1" w:rsidRPr="00C73C58" w:rsidRDefault="00F325A1" w:rsidP="00F325A1">
      <w:pPr>
        <w:pStyle w:val="12"/>
      </w:pPr>
      <w:r w:rsidRPr="00C73C58">
        <w:t xml:space="preserve">Full Journal Title: </w:t>
      </w:r>
      <w:r w:rsidRPr="002C3B32">
        <w:rPr>
          <w:iCs/>
          <w:kern w:val="0"/>
        </w:rPr>
        <w:t>Clinical Journal</w:t>
      </w:r>
      <w:r w:rsidR="00427468">
        <w:rPr>
          <w:iCs/>
          <w:kern w:val="0"/>
        </w:rPr>
        <w:t xml:space="preserve"> of </w:t>
      </w:r>
      <w:r w:rsidR="003A1917">
        <w:rPr>
          <w:iCs/>
          <w:kern w:val="0"/>
        </w:rPr>
        <w:t xml:space="preserve">the </w:t>
      </w:r>
      <w:r w:rsidRPr="002C3B32">
        <w:rPr>
          <w:iCs/>
          <w:kern w:val="0"/>
        </w:rPr>
        <w:t>American Society</w:t>
      </w:r>
      <w:r w:rsidR="00427468">
        <w:rPr>
          <w:iCs/>
          <w:kern w:val="0"/>
        </w:rPr>
        <w:t xml:space="preserve"> of </w:t>
      </w:r>
      <w:r w:rsidRPr="002C3B32">
        <w:rPr>
          <w:iCs/>
          <w:kern w:val="0"/>
        </w:rPr>
        <w:t>Nephrology</w:t>
      </w:r>
    </w:p>
    <w:p w:rsidR="00F325A1" w:rsidRPr="00C73C58" w:rsidRDefault="00F325A1" w:rsidP="00F325A1">
      <w:pPr>
        <w:pStyle w:val="12"/>
      </w:pPr>
      <w:r w:rsidRPr="00C73C58">
        <w:t xml:space="preserve">ISO Abbreviated Title: </w:t>
      </w:r>
    </w:p>
    <w:p w:rsidR="00F325A1" w:rsidRPr="00C73C58" w:rsidRDefault="00F325A1" w:rsidP="00F325A1">
      <w:pPr>
        <w:pStyle w:val="12"/>
      </w:pPr>
      <w:r w:rsidRPr="00C73C58">
        <w:t xml:space="preserve">JCR Abbreviated Title: </w:t>
      </w:r>
    </w:p>
    <w:p w:rsidR="00F325A1" w:rsidRPr="00C73C58" w:rsidRDefault="00F325A1" w:rsidP="00F325A1">
      <w:pPr>
        <w:pStyle w:val="12"/>
      </w:pPr>
      <w:r w:rsidRPr="00C73C58">
        <w:t xml:space="preserve">ISSN: </w:t>
      </w:r>
    </w:p>
    <w:p w:rsidR="00F325A1" w:rsidRPr="00C73C58" w:rsidRDefault="00F325A1" w:rsidP="00F325A1">
      <w:pPr>
        <w:pStyle w:val="12"/>
      </w:pPr>
      <w:r w:rsidRPr="00C73C58">
        <w:t xml:space="preserve">Issues/Year: </w:t>
      </w:r>
    </w:p>
    <w:p w:rsidR="00F325A1" w:rsidRPr="00C73C58" w:rsidRDefault="00F325A1" w:rsidP="00F325A1">
      <w:pPr>
        <w:pStyle w:val="12"/>
      </w:pPr>
      <w:r w:rsidRPr="00C73C58">
        <w:t xml:space="preserve">Language: </w:t>
      </w:r>
    </w:p>
    <w:p w:rsidR="00F325A1" w:rsidRPr="00C73C58" w:rsidRDefault="00F325A1" w:rsidP="00F325A1">
      <w:pPr>
        <w:pStyle w:val="12"/>
      </w:pPr>
      <w:r w:rsidRPr="00C73C58">
        <w:t xml:space="preserve">Journal Country/Territory: </w:t>
      </w:r>
    </w:p>
    <w:p w:rsidR="00F325A1" w:rsidRPr="00C73C58" w:rsidRDefault="00F325A1" w:rsidP="00F325A1">
      <w:pPr>
        <w:pStyle w:val="12"/>
      </w:pPr>
      <w:r w:rsidRPr="00C73C58">
        <w:t xml:space="preserve">Publisher: </w:t>
      </w:r>
    </w:p>
    <w:p w:rsidR="00F325A1" w:rsidRPr="00C73C58" w:rsidRDefault="00F325A1" w:rsidP="00F325A1">
      <w:pPr>
        <w:pStyle w:val="12"/>
      </w:pPr>
      <w:r w:rsidRPr="00C73C58">
        <w:t xml:space="preserve">Publisher Address: </w:t>
      </w:r>
    </w:p>
    <w:p w:rsidR="00F325A1" w:rsidRPr="00C73C58" w:rsidRDefault="00F325A1" w:rsidP="00F325A1">
      <w:pPr>
        <w:pStyle w:val="12"/>
      </w:pPr>
      <w:r w:rsidRPr="00C73C58">
        <w:t xml:space="preserve">Subject Categories: </w:t>
      </w:r>
    </w:p>
    <w:p w:rsidR="00F325A1" w:rsidRPr="00C73C58" w:rsidRDefault="00F325A1" w:rsidP="00F325A1">
      <w:pPr>
        <w:pStyle w:val="12"/>
      </w:pPr>
      <w:r w:rsidRPr="00C73C58">
        <w:t>: Impact Factor</w:t>
      </w:r>
    </w:p>
    <w:p w:rsidR="00F325A1" w:rsidRDefault="00F325A1" w:rsidP="00F325A1">
      <w:pPr>
        <w:pStyle w:val="a3"/>
        <w:rPr>
          <w:kern w:val="0"/>
        </w:rPr>
      </w:pPr>
      <w:r>
        <w:rPr>
          <w:rFonts w:hint="eastAsia"/>
          <w:kern w:val="0"/>
        </w:rPr>
        <w:t xml:space="preserve">? </w:t>
      </w:r>
      <w:r>
        <w:rPr>
          <w:kern w:val="0"/>
        </w:rPr>
        <w:t>Lu, J.C.T., Coca, S.G., Patel, U.D., Cantley, L.</w:t>
      </w:r>
      <w:r w:rsidR="005853A9">
        <w:rPr>
          <w:kern w:val="0"/>
        </w:rPr>
        <w:t xml:space="preserve"> and </w:t>
      </w:r>
      <w:r>
        <w:rPr>
          <w:kern w:val="0"/>
        </w:rPr>
        <w:t xml:space="preserve">Parikh, C.R. (2009), Searching for genes that matter in acute kidney injury: A systematic review. </w:t>
      </w:r>
      <w:r w:rsidRPr="002C3B32">
        <w:rPr>
          <w:i/>
          <w:iCs/>
          <w:kern w:val="0"/>
        </w:rPr>
        <w:t>Clinical Journal</w:t>
      </w:r>
      <w:r w:rsidR="00427468">
        <w:rPr>
          <w:i/>
          <w:iCs/>
          <w:kern w:val="0"/>
        </w:rPr>
        <w:t xml:space="preserve"> of </w:t>
      </w:r>
      <w:r w:rsidR="003A1917">
        <w:rPr>
          <w:i/>
          <w:iCs/>
          <w:kern w:val="0"/>
        </w:rPr>
        <w:t xml:space="preserve">the </w:t>
      </w:r>
      <w:r w:rsidRPr="002C3B32">
        <w:rPr>
          <w:i/>
          <w:iCs/>
          <w:kern w:val="0"/>
        </w:rPr>
        <w:t>American Society</w:t>
      </w:r>
      <w:r w:rsidR="00427468">
        <w:rPr>
          <w:i/>
          <w:iCs/>
          <w:kern w:val="0"/>
        </w:rPr>
        <w:t xml:space="preserve"> of </w:t>
      </w:r>
      <w:r w:rsidRPr="002C3B32">
        <w:rPr>
          <w:i/>
          <w:iCs/>
          <w:kern w:val="0"/>
        </w:rPr>
        <w:t>Nephrology</w:t>
      </w:r>
      <w:r>
        <w:rPr>
          <w:kern w:val="0"/>
        </w:rPr>
        <w:t xml:space="preserve">, </w:t>
      </w:r>
      <w:r>
        <w:rPr>
          <w:b/>
          <w:bCs/>
          <w:kern w:val="0"/>
        </w:rPr>
        <w:t>4</w:t>
      </w:r>
      <w:r>
        <w:rPr>
          <w:kern w:val="0"/>
        </w:rPr>
        <w:t xml:space="preserve"> (6), 1020-1031.</w:t>
      </w:r>
    </w:p>
    <w:p w:rsidR="00F325A1" w:rsidRDefault="00F325A1" w:rsidP="00F325A1">
      <w:pPr>
        <w:pStyle w:val="a3"/>
        <w:rPr>
          <w:kern w:val="0"/>
        </w:rPr>
      </w:pPr>
      <w:r>
        <w:rPr>
          <w:kern w:val="0"/>
        </w:rPr>
        <w:t>Abstract: Background</w:t>
      </w:r>
      <w:r w:rsidR="005853A9">
        <w:rPr>
          <w:kern w:val="0"/>
        </w:rPr>
        <w:t xml:space="preserve"> and </w:t>
      </w:r>
      <w:r>
        <w:rPr>
          <w:kern w:val="0"/>
        </w:rPr>
        <w:t>Objectives: Identifying patients who may develop acute kidney injury (AKI) remains challenging, as clinical determinants explain only a portion</w:t>
      </w:r>
      <w:r w:rsidR="00427468">
        <w:rPr>
          <w:kern w:val="0"/>
        </w:rPr>
        <w:t xml:space="preserve"> of </w:t>
      </w:r>
      <w:r>
        <w:rPr>
          <w:kern w:val="0"/>
        </w:rPr>
        <w:t>individual risk. Another factor that likely affects risk is intrinsic genetic variability</w:t>
      </w:r>
      <w:r w:rsidR="00A37C1D">
        <w:rPr>
          <w:kern w:val="0"/>
        </w:rPr>
        <w:t>. The</w:t>
      </w:r>
      <w:r>
        <w:rPr>
          <w:kern w:val="0"/>
        </w:rPr>
        <w:t>refore, a systematic review</w:t>
      </w:r>
      <w:r w:rsidR="00427468">
        <w:rPr>
          <w:kern w:val="0"/>
        </w:rPr>
        <w:t xml:space="preserve"> of </w:t>
      </w:r>
      <w:r>
        <w:rPr>
          <w:kern w:val="0"/>
        </w:rPr>
        <w:t>studies was performed that related</w:t>
      </w:r>
      <w:r w:rsidR="003A1917">
        <w:rPr>
          <w:kern w:val="0"/>
        </w:rPr>
        <w:t xml:space="preserve"> the </w:t>
      </w:r>
      <w:r>
        <w:rPr>
          <w:kern w:val="0"/>
        </w:rPr>
        <w:t>development or prognosis</w:t>
      </w:r>
      <w:r w:rsidR="00427468">
        <w:rPr>
          <w:kern w:val="0"/>
        </w:rPr>
        <w:t xml:space="preserve"> of </w:t>
      </w:r>
      <w:r>
        <w:rPr>
          <w:kern w:val="0"/>
        </w:rPr>
        <w:t>AKI to genetic variation. Design, setting, participants,</w:t>
      </w:r>
      <w:r w:rsidR="005853A9">
        <w:rPr>
          <w:kern w:val="0"/>
        </w:rPr>
        <w:t xml:space="preserve"> and </w:t>
      </w:r>
      <w:r>
        <w:rPr>
          <w:kern w:val="0"/>
        </w:rPr>
        <w:t xml:space="preserve">measurements: </w:t>
      </w:r>
      <w:r w:rsidR="00D5664A">
        <w:rPr>
          <w:kern w:val="0"/>
        </w:rPr>
        <w:t>MEDLINE</w:t>
      </w:r>
      <w:r>
        <w:rPr>
          <w:kern w:val="0"/>
        </w:rPr>
        <w:t>, EMBASE, HuGEnet,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articles from 1950 to Dec 2007. Two independent researchers screened articles using predetermined criteria. Studies were assessed for methodological quality via an aggregate scoring system. Results:</w:t>
      </w:r>
      <w:r w:rsidR="003A1917">
        <w:rPr>
          <w:kern w:val="0"/>
        </w:rPr>
        <w:t xml:space="preserve"> the </w:t>
      </w:r>
      <w:r>
        <w:rPr>
          <w:kern w:val="0"/>
        </w:rPr>
        <w:t>16 included studies were</w:t>
      </w:r>
      <w:r w:rsidR="00427468">
        <w:rPr>
          <w:kern w:val="0"/>
        </w:rPr>
        <w:t xml:space="preserve"> of </w:t>
      </w:r>
      <w:r>
        <w:rPr>
          <w:kern w:val="0"/>
        </w:rPr>
        <w:t>cohort or case-cohort design</w:t>
      </w:r>
      <w:r w:rsidR="005853A9">
        <w:rPr>
          <w:kern w:val="0"/>
        </w:rPr>
        <w:t xml:space="preserve"> and </w:t>
      </w:r>
      <w:r>
        <w:rPr>
          <w:kern w:val="0"/>
        </w:rPr>
        <w:t>investigated 35 polymorphisms in 21 genes in association with AKI. Fifteen gene-gene interactions were also investigated in four separate studies. Study populations were primarily premature infants or adults who were critically ill or postcardiac bypass patients. Among</w:t>
      </w:r>
      <w:r w:rsidR="003A1917">
        <w:rPr>
          <w:kern w:val="0"/>
        </w:rPr>
        <w:t xml:space="preserve"> the </w:t>
      </w:r>
      <w:r>
        <w:rPr>
          <w:kern w:val="0"/>
        </w:rPr>
        <w:t>studies, five different definitions</w:t>
      </w:r>
      <w:r w:rsidR="00427468">
        <w:rPr>
          <w:kern w:val="0"/>
        </w:rPr>
        <w:t xml:space="preserve"> of </w:t>
      </w:r>
      <w:r>
        <w:rPr>
          <w:kern w:val="0"/>
        </w:rPr>
        <w:t>AKI were used. Only one polymorphism, APO E e2/e3/e4, had greater than one study showing a significant impact (P &lt; 0.05) on AKI incidence</w:t>
      </w:r>
      <w:r w:rsidR="00A37C1D">
        <w:rPr>
          <w:kern w:val="0"/>
        </w:rPr>
        <w:t>. The</w:t>
      </w:r>
      <w:r w:rsidR="003A1917">
        <w:rPr>
          <w:kern w:val="0"/>
        </w:rPr>
        <w:t xml:space="preserve"> </w:t>
      </w:r>
      <w:r>
        <w:rPr>
          <w:kern w:val="0"/>
        </w:rPr>
        <w:t>mean quality score</w:t>
      </w:r>
      <w:r w:rsidR="00427468">
        <w:rPr>
          <w:kern w:val="0"/>
        </w:rPr>
        <w:t xml:space="preserve"> of </w:t>
      </w:r>
      <w:r>
        <w:rPr>
          <w:kern w:val="0"/>
        </w:rPr>
        <w:t>5.8/10 (range four to nine), heterogeneity in</w:t>
      </w:r>
      <w:r w:rsidR="003A1917">
        <w:rPr>
          <w:kern w:val="0"/>
        </w:rPr>
        <w:t xml:space="preserve"> the </w:t>
      </w:r>
      <w:r>
        <w:rPr>
          <w:kern w:val="0"/>
        </w:rPr>
        <w:t>studies,</w:t>
      </w:r>
      <w:r w:rsidR="005853A9">
        <w:rPr>
          <w:kern w:val="0"/>
        </w:rPr>
        <w:t xml:space="preserve"> and </w:t>
      </w:r>
      <w:r w:rsidR="003A1917">
        <w:rPr>
          <w:kern w:val="0"/>
        </w:rPr>
        <w:t xml:space="preserve">the </w:t>
      </w:r>
      <w:r>
        <w:rPr>
          <w:kern w:val="0"/>
        </w:rPr>
        <w:t>dearth</w:t>
      </w:r>
      <w:r w:rsidR="00427468">
        <w:rPr>
          <w:kern w:val="0"/>
        </w:rPr>
        <w:t xml:space="preserve"> of </w:t>
      </w:r>
      <w:r>
        <w:rPr>
          <w:kern w:val="0"/>
        </w:rPr>
        <w:t>studies precluded additional meta-analysis</w:t>
      </w:r>
      <w:r w:rsidR="00427468">
        <w:rPr>
          <w:kern w:val="0"/>
        </w:rPr>
        <w:t xml:space="preserve"> of </w:t>
      </w:r>
      <w:r w:rsidR="003A1917">
        <w:rPr>
          <w:kern w:val="0"/>
        </w:rPr>
        <w:t xml:space="preserve">the </w:t>
      </w:r>
      <w:r>
        <w:rPr>
          <w:kern w:val="0"/>
        </w:rPr>
        <w:t>results. Conclusions: Current association studies are unable to provide definitive evidence linking genetic variation to AKI. Future success will require a narrow consensus definition</w:t>
      </w:r>
      <w:r w:rsidR="00427468">
        <w:rPr>
          <w:kern w:val="0"/>
        </w:rPr>
        <w:t xml:space="preserve"> of </w:t>
      </w:r>
      <w:r>
        <w:rPr>
          <w:kern w:val="0"/>
        </w:rPr>
        <w:t>AKI, rigorous epidemiologic techniques,</w:t>
      </w:r>
      <w:r w:rsidR="005853A9">
        <w:rPr>
          <w:kern w:val="0"/>
        </w:rPr>
        <w:t xml:space="preserve"> and </w:t>
      </w:r>
      <w:r>
        <w:rPr>
          <w:kern w:val="0"/>
        </w:rPr>
        <w:t>a shift from a priori hypothesis-driven to genome-wide association studies. Clin J Am Soc Nephrol 4: 1020-1031, 2009. doi: 10.2215/CJN.05411008.</w:t>
      </w:r>
    </w:p>
    <w:p w:rsidR="00F325A1" w:rsidRDefault="00F325A1" w:rsidP="00F325A1">
      <w:pPr>
        <w:pStyle w:val="a3"/>
        <w:rPr>
          <w:kern w:val="0"/>
        </w:rPr>
      </w:pPr>
      <w:r>
        <w:rPr>
          <w:kern w:val="0"/>
        </w:rPr>
        <w:lastRenderedPageBreak/>
        <w:t xml:space="preserve">Keywords: Acute-Renal-Failure, Adults, Cardiac-Surgery, Complications, Critically-Ill Patients, Definitions, Determinants, Development, EMBASE, Genetic, Genome-Wide Association, Impact, Infants, Injury, Kidney, </w:t>
      </w:r>
      <w:r w:rsidR="00D5664A">
        <w:rPr>
          <w:kern w:val="0"/>
        </w:rPr>
        <w:t>MEDLINE</w:t>
      </w:r>
      <w:r>
        <w:rPr>
          <w:kern w:val="0"/>
        </w:rPr>
        <w:t xml:space="preserve">, Meta-Analysis, Mortality, Outcomes, Polymorphism, Polymorphisms, Prognosis, Researchers, Review, Risk, Science, Scopus, Sepsis, Success, Systematic, Systematic Review, Variability, </w:t>
      </w:r>
      <w:r w:rsidR="00D5664A">
        <w:rPr>
          <w:kern w:val="0"/>
        </w:rPr>
        <w:t>Web</w:t>
      </w:r>
      <w:r w:rsidR="00427468">
        <w:rPr>
          <w:kern w:val="0"/>
        </w:rPr>
        <w:t xml:space="preserve"> of </w:t>
      </w:r>
      <w:r w:rsidR="00D5664A">
        <w:rPr>
          <w:kern w:val="0"/>
        </w:rPr>
        <w:t>Science</w:t>
      </w:r>
    </w:p>
    <w:p w:rsidR="00EB3E6D" w:rsidRDefault="00EB3E6D" w:rsidP="00EB3E6D">
      <w:pPr>
        <w:pStyle w:val="a3"/>
        <w:rPr>
          <w:kern w:val="0"/>
        </w:rPr>
      </w:pPr>
      <w:r>
        <w:rPr>
          <w:rFonts w:hint="eastAsia"/>
          <w:kern w:val="0"/>
        </w:rPr>
        <w:t xml:space="preserve">? </w:t>
      </w:r>
      <w:r>
        <w:rPr>
          <w:kern w:val="0"/>
        </w:rPr>
        <w:t>Thomas, G., Sehgal, A.R., Kashyap, S.R., Srinivas, T.R., Kirwan, J.P.</w:t>
      </w:r>
      <w:r w:rsidR="005853A9">
        <w:rPr>
          <w:kern w:val="0"/>
        </w:rPr>
        <w:t xml:space="preserve"> and </w:t>
      </w:r>
      <w:r>
        <w:rPr>
          <w:kern w:val="0"/>
        </w:rPr>
        <w:t>Navaneethan, S.D. (2011), Metabolic syndrome</w:t>
      </w:r>
      <w:r w:rsidR="005853A9">
        <w:rPr>
          <w:kern w:val="0"/>
        </w:rPr>
        <w:t xml:space="preserve"> and </w:t>
      </w:r>
      <w:r>
        <w:rPr>
          <w:kern w:val="0"/>
        </w:rPr>
        <w:t>kidney disease: A systematic review</w:t>
      </w:r>
      <w:r w:rsidR="005853A9">
        <w:rPr>
          <w:kern w:val="0"/>
        </w:rPr>
        <w:t xml:space="preserve"> and </w:t>
      </w:r>
      <w:r>
        <w:rPr>
          <w:kern w:val="0"/>
        </w:rPr>
        <w:t xml:space="preserve">meta-analysis. </w:t>
      </w:r>
      <w:r>
        <w:rPr>
          <w:i/>
          <w:iCs/>
          <w:kern w:val="0"/>
        </w:rPr>
        <w:t>Clinical Journal</w:t>
      </w:r>
      <w:r w:rsidR="00427468">
        <w:rPr>
          <w:i/>
          <w:iCs/>
          <w:kern w:val="0"/>
        </w:rPr>
        <w:t xml:space="preserve"> of </w:t>
      </w:r>
      <w:r w:rsidR="003A1917">
        <w:rPr>
          <w:i/>
          <w:iCs/>
          <w:kern w:val="0"/>
        </w:rPr>
        <w:t xml:space="preserve">the </w:t>
      </w:r>
      <w:r>
        <w:rPr>
          <w:i/>
          <w:iCs/>
          <w:kern w:val="0"/>
        </w:rPr>
        <w:t>American Society</w:t>
      </w:r>
      <w:r w:rsidR="00427468">
        <w:rPr>
          <w:i/>
          <w:iCs/>
          <w:kern w:val="0"/>
        </w:rPr>
        <w:t xml:space="preserve"> of </w:t>
      </w:r>
      <w:r>
        <w:rPr>
          <w:i/>
          <w:iCs/>
          <w:kern w:val="0"/>
        </w:rPr>
        <w:t>Nephrology</w:t>
      </w:r>
      <w:r>
        <w:rPr>
          <w:kern w:val="0"/>
        </w:rPr>
        <w:t xml:space="preserve">, </w:t>
      </w:r>
      <w:r>
        <w:rPr>
          <w:b/>
          <w:bCs/>
          <w:kern w:val="0"/>
        </w:rPr>
        <w:t>6</w:t>
      </w:r>
      <w:r>
        <w:rPr>
          <w:kern w:val="0"/>
        </w:rPr>
        <w:t xml:space="preserve"> (10), 2364-2373.</w:t>
      </w:r>
    </w:p>
    <w:p w:rsidR="00EB3E6D" w:rsidRDefault="00EB3E6D" w:rsidP="00EB3E6D">
      <w:pPr>
        <w:pStyle w:val="a3"/>
        <w:rPr>
          <w:kern w:val="0"/>
        </w:rPr>
      </w:pPr>
      <w:r>
        <w:rPr>
          <w:rFonts w:hint="eastAsia"/>
          <w:kern w:val="0"/>
        </w:rPr>
        <w:t xml:space="preserve">Full Text: </w:t>
      </w:r>
      <w:hyperlink r:id="rId365" w:history="1">
        <w:r w:rsidR="005E6A9D" w:rsidRPr="005E6A9D">
          <w:rPr>
            <w:rStyle w:val="a5"/>
            <w:kern w:val="0"/>
          </w:rPr>
          <w:t>2011\Cli J Ame Soc Nep6, 2364.pdf</w:t>
        </w:r>
      </w:hyperlink>
    </w:p>
    <w:p w:rsidR="00EB3E6D" w:rsidRDefault="00EB3E6D" w:rsidP="00EB3E6D">
      <w:pPr>
        <w:pStyle w:val="a3"/>
        <w:rPr>
          <w:kern w:val="0"/>
        </w:rPr>
      </w:pPr>
      <w:r>
        <w:rPr>
          <w:kern w:val="0"/>
        </w:rPr>
        <w:t>Abstract: Background</w:t>
      </w:r>
      <w:r w:rsidR="005853A9">
        <w:rPr>
          <w:kern w:val="0"/>
        </w:rPr>
        <w:t xml:space="preserve"> and </w:t>
      </w:r>
      <w:r>
        <w:rPr>
          <w:kern w:val="0"/>
        </w:rPr>
        <w:t>objectives Observational studies have reported an association between metabolic syndrome (MetS)</w:t>
      </w:r>
      <w:r w:rsidR="005853A9">
        <w:rPr>
          <w:kern w:val="0"/>
        </w:rPr>
        <w:t xml:space="preserve"> and </w:t>
      </w:r>
      <w:r>
        <w:rPr>
          <w:kern w:val="0"/>
        </w:rPr>
        <w:t>microalbuminuria or proteinuria</w:t>
      </w:r>
      <w:r w:rsidR="005853A9">
        <w:rPr>
          <w:kern w:val="0"/>
        </w:rPr>
        <w:t xml:space="preserve"> and </w:t>
      </w:r>
      <w:r>
        <w:rPr>
          <w:kern w:val="0"/>
        </w:rPr>
        <w:t>chronic kidney disease (CKD) with varying risk estimates. We aimed to systematically review</w:t>
      </w:r>
      <w:r w:rsidR="003A1917">
        <w:rPr>
          <w:kern w:val="0"/>
        </w:rPr>
        <w:t xml:space="preserve"> the </w:t>
      </w:r>
      <w:r>
        <w:rPr>
          <w:kern w:val="0"/>
        </w:rPr>
        <w:t>association between MetS, its components,</w:t>
      </w:r>
      <w:r w:rsidR="005853A9">
        <w:rPr>
          <w:kern w:val="0"/>
        </w:rPr>
        <w:t xml:space="preserve"> and </w:t>
      </w:r>
      <w:r>
        <w:rPr>
          <w:kern w:val="0"/>
        </w:rPr>
        <w:t>development</w:t>
      </w:r>
      <w:r w:rsidR="00427468">
        <w:rPr>
          <w:kern w:val="0"/>
        </w:rPr>
        <w:t xml:space="preserve"> of </w:t>
      </w:r>
      <w:r>
        <w:rPr>
          <w:kern w:val="0"/>
        </w:rPr>
        <w:t>microalbuminuria or proteinuria</w:t>
      </w:r>
      <w:r w:rsidR="005853A9">
        <w:rPr>
          <w:kern w:val="0"/>
        </w:rPr>
        <w:t xml:space="preserve"> and </w:t>
      </w:r>
      <w:r>
        <w:rPr>
          <w:kern w:val="0"/>
        </w:rPr>
        <w:t>CKD. Design, setting, participants</w:t>
      </w:r>
      <w:r w:rsidR="005853A9">
        <w:rPr>
          <w:kern w:val="0"/>
        </w:rPr>
        <w:t xml:space="preserve"> and </w:t>
      </w:r>
      <w:r>
        <w:rPr>
          <w:kern w:val="0"/>
        </w:rPr>
        <w:t>measurements</w:t>
      </w:r>
      <w:r w:rsidR="005853A9">
        <w:rPr>
          <w:kern w:val="0"/>
        </w:rPr>
        <w:t xml:space="preserve"> and </w:t>
      </w:r>
      <w:r>
        <w:rPr>
          <w:kern w:val="0"/>
        </w:rPr>
        <w:t xml:space="preserve">population We searched </w:t>
      </w:r>
      <w:r w:rsidR="00D5664A">
        <w:rPr>
          <w:kern w:val="0"/>
        </w:rPr>
        <w:t>MEDLINE</w:t>
      </w:r>
      <w:r>
        <w:rPr>
          <w:kern w:val="0"/>
        </w:rPr>
        <w:t xml:space="preserve"> (1966 to October 2010), SCOPUS,</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xml:space="preserve"> for prospective cohort confidence interval (CI) studies that reported</w:t>
      </w:r>
      <w:r w:rsidR="003A1917">
        <w:rPr>
          <w:kern w:val="0"/>
        </w:rPr>
        <w:t xml:space="preserve"> the </w:t>
      </w:r>
      <w:r>
        <w:rPr>
          <w:kern w:val="0"/>
        </w:rPr>
        <w:t>development</w:t>
      </w:r>
      <w:r w:rsidR="00427468">
        <w:rPr>
          <w:kern w:val="0"/>
        </w:rPr>
        <w:t xml:space="preserve"> of </w:t>
      </w:r>
      <w:r>
        <w:rPr>
          <w:kern w:val="0"/>
        </w:rPr>
        <w:t>microalbuminuria or proteinuria and/or CKD in participants with MetS. Risk estimates for eGFR &lt;60 ml/min per 1.73 m(2) were extracted from individual studies</w:t>
      </w:r>
      <w:r w:rsidR="005853A9">
        <w:rPr>
          <w:kern w:val="0"/>
        </w:rPr>
        <w:t xml:space="preserve"> and </w:t>
      </w:r>
      <w:r>
        <w:rPr>
          <w:kern w:val="0"/>
        </w:rPr>
        <w:t>pooled using a random effects model</w:t>
      </w:r>
      <w:r w:rsidR="00A37C1D">
        <w:rPr>
          <w:kern w:val="0"/>
        </w:rPr>
        <w:t>. The</w:t>
      </w:r>
      <w:r w:rsidR="003A1917">
        <w:rPr>
          <w:kern w:val="0"/>
        </w:rPr>
        <w:t xml:space="preserve"> </w:t>
      </w:r>
      <w:r>
        <w:rPr>
          <w:kern w:val="0"/>
        </w:rPr>
        <w:t>results for proteinuria outcomes were not pooled because</w:t>
      </w:r>
      <w:r w:rsidR="00427468">
        <w:rPr>
          <w:kern w:val="0"/>
        </w:rPr>
        <w:t xml:space="preserve"> of </w:t>
      </w:r>
      <w:r w:rsidR="003A1917">
        <w:rPr>
          <w:kern w:val="0"/>
        </w:rPr>
        <w:t xml:space="preserve">the </w:t>
      </w:r>
      <w:r>
        <w:rPr>
          <w:kern w:val="0"/>
        </w:rPr>
        <w:t>small number</w:t>
      </w:r>
      <w:r w:rsidR="00427468">
        <w:rPr>
          <w:kern w:val="0"/>
        </w:rPr>
        <w:t xml:space="preserve"> of </w:t>
      </w:r>
      <w:r>
        <w:rPr>
          <w:kern w:val="0"/>
        </w:rPr>
        <w:t>studies. Results Eleven studies (n = 30,146) were included. MetS was significantly associated with</w:t>
      </w:r>
      <w:r w:rsidR="003A1917">
        <w:rPr>
          <w:kern w:val="0"/>
        </w:rPr>
        <w:t xml:space="preserve"> the </w:t>
      </w:r>
      <w:r>
        <w:rPr>
          <w:kern w:val="0"/>
        </w:rPr>
        <w:t>development</w:t>
      </w:r>
      <w:r w:rsidR="00427468">
        <w:rPr>
          <w:kern w:val="0"/>
        </w:rPr>
        <w:t xml:space="preserve"> of </w:t>
      </w:r>
      <w:r>
        <w:rPr>
          <w:kern w:val="0"/>
        </w:rPr>
        <w:t>eGFR &lt;60 ml/min per 1.73 m(2) (odds ratio, 1.55; 95% CI, 1.34, 1.80)</w:t>
      </w:r>
      <w:r w:rsidR="00A37C1D">
        <w:rPr>
          <w:kern w:val="0"/>
        </w:rPr>
        <w:t>. The</w:t>
      </w:r>
      <w:r w:rsidR="003A1917">
        <w:rPr>
          <w:kern w:val="0"/>
        </w:rPr>
        <w:t xml:space="preserve"> </w:t>
      </w:r>
      <w:r>
        <w:rPr>
          <w:kern w:val="0"/>
        </w:rPr>
        <w:t>strength</w:t>
      </w:r>
      <w:r w:rsidR="00427468">
        <w:rPr>
          <w:kern w:val="0"/>
        </w:rPr>
        <w:t xml:space="preserve"> of </w:t>
      </w:r>
      <w:r>
        <w:rPr>
          <w:kern w:val="0"/>
        </w:rPr>
        <w:t>this association seemed to increase as</w:t>
      </w:r>
      <w:r w:rsidR="003A1917">
        <w:rPr>
          <w:kern w:val="0"/>
        </w:rPr>
        <w:t xml:space="preserve"> the </w:t>
      </w:r>
      <w:r>
        <w:rPr>
          <w:kern w:val="0"/>
        </w:rPr>
        <w:t>number</w:t>
      </w:r>
      <w:r w:rsidR="00427468">
        <w:rPr>
          <w:kern w:val="0"/>
        </w:rPr>
        <w:t xml:space="preserve"> of </w:t>
      </w:r>
      <w:r>
        <w:rPr>
          <w:kern w:val="0"/>
        </w:rPr>
        <w:t>components</w:t>
      </w:r>
      <w:r w:rsidR="00427468">
        <w:rPr>
          <w:kern w:val="0"/>
        </w:rPr>
        <w:t xml:space="preserve"> of </w:t>
      </w:r>
      <w:r>
        <w:rPr>
          <w:kern w:val="0"/>
        </w:rPr>
        <w:t>MetS increased (trend P value = 0.02). In patients with MetS,</w:t>
      </w:r>
      <w:r w:rsidR="003A1917">
        <w:rPr>
          <w:kern w:val="0"/>
        </w:rPr>
        <w:t xml:space="preserve"> the </w:t>
      </w:r>
      <w:r>
        <w:rPr>
          <w:kern w:val="0"/>
        </w:rPr>
        <w:t>odds ratios (95% Cl) for development</w:t>
      </w:r>
      <w:r w:rsidR="00427468">
        <w:rPr>
          <w:kern w:val="0"/>
        </w:rPr>
        <w:t xml:space="preserve"> of </w:t>
      </w:r>
      <w:r>
        <w:rPr>
          <w:kern w:val="0"/>
        </w:rPr>
        <w:t>eGFR &lt;60 ml/min per 1.73 m(2) for individual components</w:t>
      </w:r>
      <w:r w:rsidR="00427468">
        <w:rPr>
          <w:kern w:val="0"/>
        </w:rPr>
        <w:t xml:space="preserve"> of </w:t>
      </w:r>
      <w:r>
        <w:rPr>
          <w:kern w:val="0"/>
        </w:rPr>
        <w:t>MetS were: elevated blood pressure 1.61 (1.29, 2.01), elevated triglycerides 1.27 (1.11, 1.46), low HDL cholesterol 1.23 (1.12, 1.36), abdominal obesity 1.19 (1.05, 1.34),</w:t>
      </w:r>
      <w:r w:rsidR="005853A9">
        <w:rPr>
          <w:kern w:val="0"/>
        </w:rPr>
        <w:t xml:space="preserve"> and </w:t>
      </w:r>
      <w:r>
        <w:rPr>
          <w:kern w:val="0"/>
        </w:rPr>
        <w:t>impaired fasting glucose 1.14 (1.03, 1.26). Three studies reported an increased risk for development</w:t>
      </w:r>
      <w:r w:rsidR="00427468">
        <w:rPr>
          <w:kern w:val="0"/>
        </w:rPr>
        <w:t xml:space="preserve"> of </w:t>
      </w:r>
      <w:r>
        <w:rPr>
          <w:kern w:val="0"/>
        </w:rPr>
        <w:t>microalbuminuria or overt proteinuria with MetS. Conclusions MetS</w:t>
      </w:r>
      <w:r w:rsidR="005853A9">
        <w:rPr>
          <w:kern w:val="0"/>
        </w:rPr>
        <w:t xml:space="preserve"> and </w:t>
      </w:r>
      <w:r>
        <w:rPr>
          <w:kern w:val="0"/>
        </w:rPr>
        <w:t>its components are associated with</w:t>
      </w:r>
      <w:r w:rsidR="003A1917">
        <w:rPr>
          <w:kern w:val="0"/>
        </w:rPr>
        <w:t xml:space="preserve"> the </w:t>
      </w:r>
      <w:r>
        <w:rPr>
          <w:kern w:val="0"/>
        </w:rPr>
        <w:t>development</w:t>
      </w:r>
      <w:r w:rsidR="00427468">
        <w:rPr>
          <w:kern w:val="0"/>
        </w:rPr>
        <w:t xml:space="preserve"> of </w:t>
      </w:r>
      <w:r>
        <w:rPr>
          <w:kern w:val="0"/>
        </w:rPr>
        <w:t>eGFR &lt;60 ml/min per 1.73 m2</w:t>
      </w:r>
      <w:r w:rsidR="005853A9">
        <w:rPr>
          <w:kern w:val="0"/>
        </w:rPr>
        <w:t xml:space="preserve"> and </w:t>
      </w:r>
      <w:r>
        <w:rPr>
          <w:kern w:val="0"/>
        </w:rPr>
        <w:t>microalbuminuria or overt proteinuria. J Am Soc Nephrol 6: 2364-2373, 2011. doi: 10.2215/CJN.02180311.</w:t>
      </w:r>
    </w:p>
    <w:p w:rsidR="00EB3E6D" w:rsidRDefault="00EB3E6D" w:rsidP="00EB3E6D">
      <w:pPr>
        <w:pStyle w:val="a3"/>
        <w:rPr>
          <w:kern w:val="0"/>
        </w:rPr>
      </w:pPr>
      <w:r>
        <w:rPr>
          <w:kern w:val="0"/>
        </w:rPr>
        <w:t xml:space="preserve">Keywords: Association, Blood, Blood Pressure, Cardiovascular-Disease, Cholesterol, Chronic Kidney Disease, Cohort, Development, Diabetes-Mellitus, Diagnosis, Disease, Fasting, HDL, HDL Cholesterol, Insulin-Resistance, Kidney, Kidney Disease, Low, </w:t>
      </w:r>
      <w:r w:rsidR="00D5664A">
        <w:rPr>
          <w:kern w:val="0"/>
        </w:rPr>
        <w:t>MEDLINE</w:t>
      </w:r>
      <w:r>
        <w:rPr>
          <w:kern w:val="0"/>
        </w:rPr>
        <w:t xml:space="preserve">, Meta Analysis, Meta-Analysis, Model, Obesity, </w:t>
      </w:r>
      <w:r>
        <w:rPr>
          <w:kern w:val="0"/>
        </w:rPr>
        <w:lastRenderedPageBreak/>
        <w:t xml:space="preserve">Outcomes, Patients, Pressure, Proteinuria, Ratio, Review, Risk, Science, Scopus, Strength, Systematic, Systematic Review, Trend, Urinary Albumin Excretion, US Adults, </w:t>
      </w:r>
      <w:r w:rsidR="00D5664A">
        <w:rPr>
          <w:kern w:val="0"/>
        </w:rPr>
        <w:t>Web</w:t>
      </w:r>
      <w:r w:rsidR="00427468">
        <w:rPr>
          <w:kern w:val="0"/>
        </w:rPr>
        <w:t xml:space="preserve"> of </w:t>
      </w:r>
      <w:r w:rsidR="00D5664A">
        <w:rPr>
          <w:kern w:val="0"/>
        </w:rPr>
        <w:t>Science</w:t>
      </w:r>
    </w:p>
    <w:p w:rsidR="00473E39" w:rsidRPr="00C73C58" w:rsidRDefault="00473E39" w:rsidP="00473E39">
      <w:pPr>
        <w:pStyle w:val="1"/>
      </w:pPr>
      <w:r w:rsidRPr="00C73C58">
        <w:br w:type="page"/>
      </w:r>
      <w:bookmarkStart w:id="289" w:name="_Toc420815031"/>
      <w:r w:rsidRPr="00C73C58">
        <w:lastRenderedPageBreak/>
        <w:t xml:space="preserve">Title: </w:t>
      </w:r>
      <w:r w:rsidRPr="00E246C5">
        <w:t>Clinical Journal</w:t>
      </w:r>
      <w:r w:rsidR="00427468">
        <w:t xml:space="preserve"> of </w:t>
      </w:r>
      <w:r w:rsidRPr="00E246C5">
        <w:t>Pain</w:t>
      </w:r>
      <w:bookmarkEnd w:id="289"/>
    </w:p>
    <w:p w:rsidR="00473E39" w:rsidRPr="00C73C58" w:rsidRDefault="00473E39" w:rsidP="00473E39">
      <w:pPr>
        <w:pStyle w:val="12"/>
      </w:pPr>
      <w:r w:rsidRPr="00C73C58">
        <w:t xml:space="preserve">Full Journal Title: </w:t>
      </w:r>
      <w:r w:rsidRPr="00E246C5">
        <w:rPr>
          <w:iCs/>
          <w:kern w:val="0"/>
        </w:rPr>
        <w:t>Clinical Journal</w:t>
      </w:r>
      <w:r w:rsidR="00427468">
        <w:rPr>
          <w:iCs/>
          <w:kern w:val="0"/>
        </w:rPr>
        <w:t xml:space="preserve"> of </w:t>
      </w:r>
      <w:r w:rsidRPr="00E246C5">
        <w:rPr>
          <w:iCs/>
          <w:kern w:val="0"/>
        </w:rPr>
        <w:t>Pain</w:t>
      </w:r>
    </w:p>
    <w:p w:rsidR="00473E39" w:rsidRPr="00C73C58" w:rsidRDefault="00473E39" w:rsidP="00473E39">
      <w:pPr>
        <w:pStyle w:val="12"/>
      </w:pPr>
      <w:r w:rsidRPr="00C73C58">
        <w:t xml:space="preserve">ISO Abbreviated Title: </w:t>
      </w:r>
    </w:p>
    <w:p w:rsidR="00473E39" w:rsidRPr="00C73C58" w:rsidRDefault="00473E39" w:rsidP="00473E39">
      <w:pPr>
        <w:pStyle w:val="12"/>
      </w:pPr>
      <w:r w:rsidRPr="00C73C58">
        <w:t xml:space="preserve">JCR Abbreviated Title: </w:t>
      </w:r>
    </w:p>
    <w:p w:rsidR="00473E39" w:rsidRPr="00C73C58" w:rsidRDefault="00473E39" w:rsidP="00473E39">
      <w:pPr>
        <w:pStyle w:val="12"/>
      </w:pPr>
      <w:r w:rsidRPr="00C73C58">
        <w:t xml:space="preserve">ISSN: </w:t>
      </w:r>
    </w:p>
    <w:p w:rsidR="00473E39" w:rsidRPr="00C73C58" w:rsidRDefault="00473E39" w:rsidP="00473E39">
      <w:pPr>
        <w:pStyle w:val="12"/>
      </w:pPr>
      <w:r w:rsidRPr="00C73C58">
        <w:t xml:space="preserve">Issues/Year: </w:t>
      </w:r>
    </w:p>
    <w:p w:rsidR="00473E39" w:rsidRPr="00C73C58" w:rsidRDefault="00473E39" w:rsidP="00473E39">
      <w:pPr>
        <w:pStyle w:val="12"/>
      </w:pPr>
      <w:r w:rsidRPr="00C73C58">
        <w:t xml:space="preserve">Language: </w:t>
      </w:r>
    </w:p>
    <w:p w:rsidR="00473E39" w:rsidRPr="00C73C58" w:rsidRDefault="00473E39" w:rsidP="00473E39">
      <w:pPr>
        <w:pStyle w:val="12"/>
      </w:pPr>
      <w:r w:rsidRPr="00C73C58">
        <w:t xml:space="preserve">Journal Country/Territory: </w:t>
      </w:r>
    </w:p>
    <w:p w:rsidR="00473E39" w:rsidRPr="00C73C58" w:rsidRDefault="00473E39" w:rsidP="00473E39">
      <w:pPr>
        <w:pStyle w:val="12"/>
      </w:pPr>
      <w:r w:rsidRPr="00C73C58">
        <w:t xml:space="preserve">Publisher: </w:t>
      </w:r>
    </w:p>
    <w:p w:rsidR="00473E39" w:rsidRPr="00C73C58" w:rsidRDefault="00473E39" w:rsidP="00473E39">
      <w:pPr>
        <w:pStyle w:val="12"/>
      </w:pPr>
      <w:r w:rsidRPr="00C73C58">
        <w:t xml:space="preserve">Publisher Address: </w:t>
      </w:r>
    </w:p>
    <w:p w:rsidR="00473E39" w:rsidRPr="00C73C58" w:rsidRDefault="00473E39" w:rsidP="00473E39">
      <w:pPr>
        <w:pStyle w:val="12"/>
      </w:pPr>
      <w:r w:rsidRPr="00C73C58">
        <w:t xml:space="preserve">Subject Categories: </w:t>
      </w:r>
    </w:p>
    <w:p w:rsidR="00473E39" w:rsidRPr="00C73C58" w:rsidRDefault="00473E39" w:rsidP="00473E39">
      <w:pPr>
        <w:pStyle w:val="12"/>
      </w:pPr>
      <w:r w:rsidRPr="00C73C58">
        <w:t>: Impact Factor</w:t>
      </w:r>
    </w:p>
    <w:p w:rsidR="00473E39" w:rsidRDefault="00473E39" w:rsidP="00473E39">
      <w:pPr>
        <w:pStyle w:val="a3"/>
        <w:rPr>
          <w:kern w:val="0"/>
        </w:rPr>
      </w:pPr>
      <w:r>
        <w:rPr>
          <w:rFonts w:hint="eastAsia"/>
          <w:kern w:val="0"/>
        </w:rPr>
        <w:t xml:space="preserve">? </w:t>
      </w:r>
      <w:r>
        <w:rPr>
          <w:kern w:val="0"/>
        </w:rPr>
        <w:t>Turk, D.C. (2010), Impact</w:t>
      </w:r>
      <w:r w:rsidR="00427468">
        <w:rPr>
          <w:kern w:val="0"/>
        </w:rPr>
        <w:t xml:space="preserve"> of </w:t>
      </w:r>
      <w:r>
        <w:rPr>
          <w:kern w:val="0"/>
        </w:rPr>
        <w:t>articles published in</w:t>
      </w:r>
      <w:r w:rsidR="003A1917">
        <w:rPr>
          <w:kern w:val="0"/>
        </w:rPr>
        <w:t xml:space="preserve"> the </w:t>
      </w:r>
      <w:r w:rsidR="00992514" w:rsidRPr="00992514">
        <w:rPr>
          <w:i/>
          <w:kern w:val="0"/>
        </w:rPr>
        <w:t>Clinical Journal</w:t>
      </w:r>
      <w:r w:rsidR="00427468">
        <w:rPr>
          <w:i/>
          <w:kern w:val="0"/>
        </w:rPr>
        <w:t xml:space="preserve"> of </w:t>
      </w:r>
      <w:r w:rsidR="00992514" w:rsidRPr="00992514">
        <w:rPr>
          <w:i/>
          <w:kern w:val="0"/>
        </w:rPr>
        <w:t>Pain</w:t>
      </w:r>
      <w:r>
        <w:rPr>
          <w:kern w:val="0"/>
        </w:rPr>
        <w:t xml:space="preserve">: </w:t>
      </w:r>
      <w:r w:rsidR="009C5B7B">
        <w:rPr>
          <w:kern w:val="0"/>
        </w:rPr>
        <w:t xml:space="preserve">Most </w:t>
      </w:r>
      <w:r>
        <w:rPr>
          <w:kern w:val="0"/>
        </w:rPr>
        <w:t xml:space="preserve">frequently cited papers published from 2002 to 2009. </w:t>
      </w:r>
      <w:r w:rsidRPr="00E246C5">
        <w:rPr>
          <w:i/>
          <w:iCs/>
          <w:kern w:val="0"/>
        </w:rPr>
        <w:t>Clinical Journal</w:t>
      </w:r>
      <w:r w:rsidR="00427468">
        <w:rPr>
          <w:i/>
          <w:iCs/>
          <w:kern w:val="0"/>
        </w:rPr>
        <w:t xml:space="preserve"> of </w:t>
      </w:r>
      <w:r w:rsidRPr="00E246C5">
        <w:rPr>
          <w:i/>
          <w:iCs/>
          <w:kern w:val="0"/>
        </w:rPr>
        <w:t>Pain</w:t>
      </w:r>
      <w:r>
        <w:rPr>
          <w:kern w:val="0"/>
        </w:rPr>
        <w:t xml:space="preserve">, </w:t>
      </w:r>
      <w:r>
        <w:rPr>
          <w:b/>
          <w:bCs/>
          <w:kern w:val="0"/>
        </w:rPr>
        <w:t>26</w:t>
      </w:r>
      <w:r>
        <w:rPr>
          <w:kern w:val="0"/>
        </w:rPr>
        <w:t xml:space="preserve"> (3), 173-174</w:t>
      </w:r>
      <w:r w:rsidR="00992514">
        <w:rPr>
          <w:rFonts w:hint="eastAsia"/>
          <w:kern w:val="0"/>
        </w:rPr>
        <w:t>.</w:t>
      </w:r>
    </w:p>
    <w:p w:rsidR="00473E39" w:rsidRDefault="00473E39" w:rsidP="00473E39">
      <w:pPr>
        <w:pStyle w:val="a3"/>
        <w:rPr>
          <w:kern w:val="0"/>
        </w:rPr>
      </w:pPr>
      <w:r>
        <w:rPr>
          <w:rFonts w:hint="eastAsia"/>
          <w:kern w:val="0"/>
        </w:rPr>
        <w:t xml:space="preserve">Full Text: </w:t>
      </w:r>
      <w:hyperlink r:id="rId366" w:history="1">
        <w:r w:rsidRPr="00473E39">
          <w:rPr>
            <w:rStyle w:val="a5"/>
            <w:kern w:val="0"/>
          </w:rPr>
          <w:t>2010\Cli J Pai26, 173.pdf</w:t>
        </w:r>
      </w:hyperlink>
    </w:p>
    <w:p w:rsidR="00473E39" w:rsidRDefault="00473E39" w:rsidP="00473E39">
      <w:pPr>
        <w:pStyle w:val="a3"/>
        <w:rPr>
          <w:kern w:val="0"/>
        </w:rPr>
      </w:pPr>
      <w:r>
        <w:rPr>
          <w:kern w:val="0"/>
        </w:rPr>
        <w:t>Keywords: Diabetic-Neuropathy</w:t>
      </w:r>
    </w:p>
    <w:p w:rsidR="005D3B27" w:rsidRDefault="005D3B27" w:rsidP="005D3B27">
      <w:pPr>
        <w:pStyle w:val="a3"/>
        <w:rPr>
          <w:kern w:val="0"/>
        </w:rPr>
      </w:pPr>
      <w:r>
        <w:rPr>
          <w:rFonts w:hint="eastAsia"/>
          <w:kern w:val="0"/>
        </w:rPr>
        <w:t xml:space="preserve">? </w:t>
      </w:r>
      <w:r>
        <w:rPr>
          <w:kern w:val="0"/>
        </w:rPr>
        <w:t>Stevens, B., Johnston, C., Taddio, A., Gibbins, S.</w:t>
      </w:r>
      <w:r w:rsidR="005853A9">
        <w:rPr>
          <w:kern w:val="0"/>
        </w:rPr>
        <w:t xml:space="preserve"> and </w:t>
      </w:r>
      <w:r>
        <w:rPr>
          <w:kern w:val="0"/>
        </w:rPr>
        <w:t>Yamada, J. (2010</w:t>
      </w:r>
      <w:r w:rsidR="00F42EAC">
        <w:rPr>
          <w:kern w:val="0"/>
        </w:rPr>
        <w:t>), The</w:t>
      </w:r>
      <w:r w:rsidR="003A1917">
        <w:rPr>
          <w:kern w:val="0"/>
        </w:rPr>
        <w:t xml:space="preserve"> </w:t>
      </w:r>
      <w:r>
        <w:rPr>
          <w:kern w:val="0"/>
        </w:rPr>
        <w:t xml:space="preserve">premature infant pain profile: Evaluation 13 years after development. </w:t>
      </w:r>
      <w:r>
        <w:rPr>
          <w:i/>
          <w:iCs/>
          <w:kern w:val="0"/>
        </w:rPr>
        <w:t>Clinical Journal</w:t>
      </w:r>
      <w:r w:rsidR="00427468">
        <w:rPr>
          <w:i/>
          <w:iCs/>
          <w:kern w:val="0"/>
        </w:rPr>
        <w:t xml:space="preserve"> of </w:t>
      </w:r>
      <w:r>
        <w:rPr>
          <w:i/>
          <w:iCs/>
          <w:kern w:val="0"/>
        </w:rPr>
        <w:t>Pain</w:t>
      </w:r>
      <w:r>
        <w:rPr>
          <w:kern w:val="0"/>
        </w:rPr>
        <w:t xml:space="preserve">, </w:t>
      </w:r>
      <w:r>
        <w:rPr>
          <w:b/>
          <w:bCs/>
          <w:kern w:val="0"/>
        </w:rPr>
        <w:t>26</w:t>
      </w:r>
      <w:r>
        <w:rPr>
          <w:kern w:val="0"/>
        </w:rPr>
        <w:t xml:space="preserve"> (9), 813-830.</w:t>
      </w:r>
    </w:p>
    <w:p w:rsidR="005D3B27" w:rsidRDefault="005D3B27" w:rsidP="005D3B27">
      <w:pPr>
        <w:pStyle w:val="a3"/>
        <w:rPr>
          <w:kern w:val="0"/>
        </w:rPr>
      </w:pPr>
      <w:r>
        <w:rPr>
          <w:rFonts w:hint="eastAsia"/>
          <w:kern w:val="0"/>
        </w:rPr>
        <w:t xml:space="preserve">Full Text: </w:t>
      </w:r>
      <w:r>
        <w:rPr>
          <w:kern w:val="0"/>
        </w:rPr>
        <w:t xml:space="preserve">2010\Cli J Pai26, </w:t>
      </w:r>
      <w:r>
        <w:rPr>
          <w:rFonts w:hint="eastAsia"/>
          <w:kern w:val="0"/>
        </w:rPr>
        <w:t>813</w:t>
      </w:r>
      <w:r w:rsidRPr="006A4850">
        <w:rPr>
          <w:kern w:val="0"/>
        </w:rPr>
        <w:t>.pdf</w:t>
      </w:r>
    </w:p>
    <w:p w:rsidR="005D3B27" w:rsidRDefault="005D3B27" w:rsidP="005D3B27">
      <w:pPr>
        <w:pStyle w:val="a3"/>
        <w:rPr>
          <w:kern w:val="0"/>
        </w:rPr>
      </w:pPr>
      <w:r>
        <w:rPr>
          <w:kern w:val="0"/>
        </w:rPr>
        <w:t>Abstract: Objective: To review</w:t>
      </w:r>
      <w:r w:rsidR="003A1917">
        <w:rPr>
          <w:kern w:val="0"/>
        </w:rPr>
        <w:t xml:space="preserve"> the </w:t>
      </w:r>
      <w:r>
        <w:rPr>
          <w:kern w:val="0"/>
        </w:rPr>
        <w:t>(1) reliability, validation, feasibility,</w:t>
      </w:r>
      <w:r w:rsidR="005853A9">
        <w:rPr>
          <w:kern w:val="0"/>
        </w:rPr>
        <w:t xml:space="preserve"> and </w:t>
      </w:r>
      <w:r>
        <w:rPr>
          <w:kern w:val="0"/>
        </w:rPr>
        <w:t>clinical utility</w:t>
      </w:r>
      <w:r w:rsidR="005853A9">
        <w:rPr>
          <w:kern w:val="0"/>
        </w:rPr>
        <w:t xml:space="preserve"> and </w:t>
      </w:r>
      <w:r>
        <w:rPr>
          <w:kern w:val="0"/>
        </w:rPr>
        <w:t>(2)</w:t>
      </w:r>
      <w:r w:rsidR="003A1917">
        <w:rPr>
          <w:kern w:val="0"/>
        </w:rPr>
        <w:t xml:space="preserve"> the </w:t>
      </w:r>
      <w:r>
        <w:rPr>
          <w:kern w:val="0"/>
        </w:rPr>
        <w:t>use</w:t>
      </w:r>
      <w:r w:rsidR="00427468">
        <w:rPr>
          <w:kern w:val="0"/>
        </w:rPr>
        <w:t xml:space="preserve"> of </w:t>
      </w:r>
      <w:r w:rsidR="003A1917">
        <w:rPr>
          <w:kern w:val="0"/>
        </w:rPr>
        <w:t xml:space="preserve">the </w:t>
      </w:r>
      <w:r>
        <w:rPr>
          <w:kern w:val="0"/>
        </w:rPr>
        <w:t>Premature Infant Pain Profile (PIPP) from 1996 to 2009 to determine</w:t>
      </w:r>
      <w:r w:rsidR="003A1917">
        <w:rPr>
          <w:kern w:val="0"/>
        </w:rPr>
        <w:t xml:space="preserve"> the </w:t>
      </w:r>
      <w:r>
        <w:rPr>
          <w:kern w:val="0"/>
        </w:rPr>
        <w:t>effectiveness</w:t>
      </w:r>
      <w:r w:rsidR="00427468">
        <w:rPr>
          <w:kern w:val="0"/>
        </w:rPr>
        <w:t xml:space="preserve"> of </w:t>
      </w:r>
      <w:r>
        <w:rPr>
          <w:kern w:val="0"/>
        </w:rPr>
        <w:t xml:space="preserve">pain management strategies. Methods: Data sources included </w:t>
      </w:r>
      <w:r w:rsidR="00D5664A">
        <w:rPr>
          <w:kern w:val="0"/>
        </w:rPr>
        <w:t>MEDLINE</w:t>
      </w:r>
      <w:r>
        <w:rPr>
          <w:kern w:val="0"/>
        </w:rPr>
        <w:t>, CINAHL, EMBASE, PsycINFO,</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Published studies evaluating</w:t>
      </w:r>
      <w:r w:rsidR="003A1917">
        <w:rPr>
          <w:kern w:val="0"/>
        </w:rPr>
        <w:t xml:space="preserve"> the </w:t>
      </w:r>
      <w:r>
        <w:rPr>
          <w:kern w:val="0"/>
        </w:rPr>
        <w:t>measurement properties</w:t>
      </w:r>
      <w:r w:rsidR="00427468">
        <w:rPr>
          <w:kern w:val="0"/>
        </w:rPr>
        <w:t xml:space="preserve"> of </w:t>
      </w:r>
      <w:r w:rsidR="003A1917">
        <w:rPr>
          <w:kern w:val="0"/>
        </w:rPr>
        <w:t xml:space="preserve">the </w:t>
      </w:r>
      <w:r>
        <w:rPr>
          <w:kern w:val="0"/>
        </w:rPr>
        <w:t>PIPP</w:t>
      </w:r>
      <w:r w:rsidR="005853A9">
        <w:rPr>
          <w:kern w:val="0"/>
        </w:rPr>
        <w:t xml:space="preserve"> and </w:t>
      </w:r>
      <w:r>
        <w:rPr>
          <w:kern w:val="0"/>
        </w:rPr>
        <w:t>intervention studies using</w:t>
      </w:r>
      <w:r w:rsidR="003A1917">
        <w:rPr>
          <w:kern w:val="0"/>
        </w:rPr>
        <w:t xml:space="preserve"> the </w:t>
      </w:r>
      <w:r>
        <w:rPr>
          <w:kern w:val="0"/>
        </w:rPr>
        <w:t>PIPP as an outcome measure</w:t>
      </w:r>
      <w:r w:rsidR="00427468">
        <w:rPr>
          <w:kern w:val="0"/>
        </w:rPr>
        <w:t xml:space="preserve"> of </w:t>
      </w:r>
      <w:r>
        <w:rPr>
          <w:kern w:val="0"/>
        </w:rPr>
        <w:t>acute pain were included. One reviewer screened studies for relevance</w:t>
      </w:r>
      <w:r w:rsidR="005853A9">
        <w:rPr>
          <w:kern w:val="0"/>
        </w:rPr>
        <w:t xml:space="preserve"> and </w:t>
      </w:r>
      <w:r>
        <w:rPr>
          <w:kern w:val="0"/>
        </w:rPr>
        <w:t>inclusion. Four reviewers rated intervention studies for methodological quality</w:t>
      </w:r>
      <w:r w:rsidR="005853A9">
        <w:rPr>
          <w:kern w:val="0"/>
        </w:rPr>
        <w:t xml:space="preserve"> and </w:t>
      </w:r>
      <w:r>
        <w:rPr>
          <w:kern w:val="0"/>
        </w:rPr>
        <w:t>extracted data for</w:t>
      </w:r>
      <w:r w:rsidR="003A1917">
        <w:rPr>
          <w:kern w:val="0"/>
        </w:rPr>
        <w:t xml:space="preserve"> the </w:t>
      </w:r>
      <w:r>
        <w:rPr>
          <w:kern w:val="0"/>
        </w:rPr>
        <w:t>evidence tables. Results:</w:t>
      </w:r>
      <w:r w:rsidR="00427468">
        <w:rPr>
          <w:kern w:val="0"/>
        </w:rPr>
        <w:t xml:space="preserve"> of </w:t>
      </w:r>
      <w:r w:rsidR="003A1917">
        <w:rPr>
          <w:kern w:val="0"/>
        </w:rPr>
        <w:t xml:space="preserve">the </w:t>
      </w:r>
      <w:r>
        <w:rPr>
          <w:kern w:val="0"/>
        </w:rPr>
        <w:t>62 studies included, 14 focused on</w:t>
      </w:r>
      <w:r w:rsidR="003A1917">
        <w:rPr>
          <w:kern w:val="0"/>
        </w:rPr>
        <w:t xml:space="preserve"> the </w:t>
      </w:r>
      <w:r>
        <w:rPr>
          <w:kern w:val="0"/>
        </w:rPr>
        <w:t>measurement properties</w:t>
      </w:r>
      <w:r w:rsidR="00427468">
        <w:rPr>
          <w:kern w:val="0"/>
        </w:rPr>
        <w:t xml:space="preserve"> of </w:t>
      </w:r>
      <w:r w:rsidR="003A1917">
        <w:rPr>
          <w:kern w:val="0"/>
        </w:rPr>
        <w:t xml:space="preserve">the </w:t>
      </w:r>
      <w:r>
        <w:rPr>
          <w:kern w:val="0"/>
        </w:rPr>
        <w:t>PIPP. Reliability</w:t>
      </w:r>
      <w:r w:rsidR="00427468">
        <w:rPr>
          <w:kern w:val="0"/>
        </w:rPr>
        <w:t xml:space="preserve"> of </w:t>
      </w:r>
      <w:r w:rsidR="003A1917">
        <w:rPr>
          <w:kern w:val="0"/>
        </w:rPr>
        <w:t xml:space="preserve">the </w:t>
      </w:r>
      <w:r>
        <w:rPr>
          <w:kern w:val="0"/>
        </w:rPr>
        <w:t>PIPP was supported in 5 studies</w:t>
      </w:r>
      <w:r w:rsidR="005853A9">
        <w:rPr>
          <w:kern w:val="0"/>
        </w:rPr>
        <w:t xml:space="preserve"> and </w:t>
      </w:r>
      <w:r>
        <w:rPr>
          <w:kern w:val="0"/>
        </w:rPr>
        <w:t>construct validation was supported in 13 studies</w:t>
      </w:r>
      <w:r w:rsidR="00A37C1D">
        <w:rPr>
          <w:kern w:val="0"/>
        </w:rPr>
        <w:t>. The</w:t>
      </w:r>
      <w:r w:rsidR="003A1917">
        <w:rPr>
          <w:kern w:val="0"/>
        </w:rPr>
        <w:t xml:space="preserve"> </w:t>
      </w:r>
      <w:r>
        <w:rPr>
          <w:kern w:val="0"/>
        </w:rPr>
        <w:t>feasibility</w:t>
      </w:r>
      <w:r w:rsidR="00427468">
        <w:rPr>
          <w:kern w:val="0"/>
        </w:rPr>
        <w:t xml:space="preserve"> of </w:t>
      </w:r>
      <w:r w:rsidR="003A1917">
        <w:rPr>
          <w:kern w:val="0"/>
        </w:rPr>
        <w:t xml:space="preserve">the </w:t>
      </w:r>
      <w:r>
        <w:rPr>
          <w:kern w:val="0"/>
        </w:rPr>
        <w:t>PIPP was addressed in 4 studies, whereas clinical utility was discussed in 2 studies. Twenty-seven</w:t>
      </w:r>
      <w:r w:rsidR="00427468">
        <w:rPr>
          <w:kern w:val="0"/>
        </w:rPr>
        <w:t xml:space="preserve"> of </w:t>
      </w:r>
      <w:r w:rsidR="003A1917">
        <w:rPr>
          <w:kern w:val="0"/>
        </w:rPr>
        <w:t xml:space="preserve">the </w:t>
      </w:r>
      <w:r>
        <w:rPr>
          <w:kern w:val="0"/>
        </w:rPr>
        <w:t>48 studies that were considered to have high methodological quality used</w:t>
      </w:r>
      <w:r w:rsidR="003A1917">
        <w:rPr>
          <w:kern w:val="0"/>
        </w:rPr>
        <w:t xml:space="preserve"> the </w:t>
      </w:r>
      <w:r>
        <w:rPr>
          <w:kern w:val="0"/>
        </w:rPr>
        <w:t>PIPP as</w:t>
      </w:r>
      <w:r w:rsidR="003A1917">
        <w:rPr>
          <w:kern w:val="0"/>
        </w:rPr>
        <w:t xml:space="preserve"> the </w:t>
      </w:r>
      <w:r>
        <w:rPr>
          <w:kern w:val="0"/>
        </w:rPr>
        <w:t>major outcome to evaluate</w:t>
      </w:r>
      <w:r w:rsidR="003A1917">
        <w:rPr>
          <w:kern w:val="0"/>
        </w:rPr>
        <w:t xml:space="preserve"> the </w:t>
      </w:r>
      <w:r>
        <w:rPr>
          <w:kern w:val="0"/>
        </w:rPr>
        <w:t>effectiveness</w:t>
      </w:r>
      <w:r w:rsidR="00427468">
        <w:rPr>
          <w:kern w:val="0"/>
        </w:rPr>
        <w:t xml:space="preserve"> of </w:t>
      </w:r>
      <w:r>
        <w:rPr>
          <w:kern w:val="0"/>
        </w:rPr>
        <w:t>pain management interventions in infants. Discussion:</w:t>
      </w:r>
      <w:r w:rsidR="003A1917">
        <w:rPr>
          <w:kern w:val="0"/>
        </w:rPr>
        <w:t xml:space="preserve"> the </w:t>
      </w:r>
      <w:r>
        <w:rPr>
          <w:kern w:val="0"/>
        </w:rPr>
        <w:t>PIPP continues to be a reliable</w:t>
      </w:r>
      <w:r w:rsidR="005853A9">
        <w:rPr>
          <w:kern w:val="0"/>
        </w:rPr>
        <w:t xml:space="preserve"> and </w:t>
      </w:r>
      <w:r>
        <w:rPr>
          <w:kern w:val="0"/>
        </w:rPr>
        <w:t>valid measure</w:t>
      </w:r>
      <w:r w:rsidR="00427468">
        <w:rPr>
          <w:kern w:val="0"/>
        </w:rPr>
        <w:t xml:space="preserve"> of </w:t>
      </w:r>
      <w:r>
        <w:rPr>
          <w:kern w:val="0"/>
        </w:rPr>
        <w:t>acute pain in infants with numerous positive validation studies</w:t>
      </w:r>
      <w:r w:rsidR="00A37C1D">
        <w:rPr>
          <w:kern w:val="0"/>
        </w:rPr>
        <w:t xml:space="preserve">. </w:t>
      </w:r>
      <w:r w:rsidR="00A37C1D">
        <w:rPr>
          <w:kern w:val="0"/>
        </w:rPr>
        <w:lastRenderedPageBreak/>
        <w:t>The</w:t>
      </w:r>
      <w:r>
        <w:rPr>
          <w:kern w:val="0"/>
        </w:rPr>
        <w:t>re is substantial support for</w:t>
      </w:r>
      <w:r w:rsidR="003A1917">
        <w:rPr>
          <w:kern w:val="0"/>
        </w:rPr>
        <w:t xml:space="preserve"> the </w:t>
      </w:r>
      <w:r>
        <w:rPr>
          <w:kern w:val="0"/>
        </w:rPr>
        <w:t>use</w:t>
      </w:r>
      <w:r w:rsidR="00427468">
        <w:rPr>
          <w:kern w:val="0"/>
        </w:rPr>
        <w:t xml:space="preserve"> of </w:t>
      </w:r>
      <w:r w:rsidR="003A1917">
        <w:rPr>
          <w:kern w:val="0"/>
        </w:rPr>
        <w:t xml:space="preserve">the </w:t>
      </w:r>
      <w:r>
        <w:rPr>
          <w:kern w:val="0"/>
        </w:rPr>
        <w:t>PIPP as an effective outcome measure in pain intervention studies in infants. Further research with health professionals is required to better support</w:t>
      </w:r>
      <w:r w:rsidR="003A1917">
        <w:rPr>
          <w:kern w:val="0"/>
        </w:rPr>
        <w:t xml:space="preserve"> the </w:t>
      </w:r>
      <w:r>
        <w:rPr>
          <w:kern w:val="0"/>
        </w:rPr>
        <w:t>feasibility</w:t>
      </w:r>
      <w:r w:rsidR="005853A9">
        <w:rPr>
          <w:kern w:val="0"/>
        </w:rPr>
        <w:t xml:space="preserve"> and </w:t>
      </w:r>
      <w:r>
        <w:rPr>
          <w:kern w:val="0"/>
        </w:rPr>
        <w:t>clinical utility</w:t>
      </w:r>
      <w:r w:rsidR="00427468">
        <w:rPr>
          <w:kern w:val="0"/>
        </w:rPr>
        <w:t xml:space="preserve"> of </w:t>
      </w:r>
      <w:r>
        <w:rPr>
          <w:kern w:val="0"/>
        </w:rPr>
        <w:t>this measure.</w:t>
      </w:r>
    </w:p>
    <w:p w:rsidR="005D3B27" w:rsidRDefault="005D3B27" w:rsidP="005D3B27">
      <w:pPr>
        <w:pStyle w:val="a3"/>
        <w:rPr>
          <w:kern w:val="0"/>
        </w:rPr>
      </w:pPr>
      <w:r>
        <w:rPr>
          <w:kern w:val="0"/>
        </w:rPr>
        <w:t xml:space="preserve">Keywords: Behavioral States, Clinical Utility, Crossover Trial, Effectiveness, EMBASE, Evaluation, Feasibility, Heel Lance, Infants, Intervention, Intervention Studies, Interventions, Kangaroo Mother Care, Management, Measurement, </w:t>
      </w:r>
      <w:r w:rsidR="00D5664A">
        <w:rPr>
          <w:kern w:val="0"/>
        </w:rPr>
        <w:t>MEDLINE</w:t>
      </w:r>
      <w:r>
        <w:rPr>
          <w:kern w:val="0"/>
        </w:rPr>
        <w:t xml:space="preserve">, Methods, Neonatal Pain, Orally-Administered Glucose, Outcome, Pain, Premature Infant Pain Profile, Procedural Pain, Profile, Randomized Controlled-Trial, Reliability, Research, Review, Science, Validation, Ventilatory Support, Vulnerable Infants,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Fuentes, J.P., rmijo-Olivo, S., Magee, D.J.</w:t>
      </w:r>
      <w:r w:rsidR="005853A9">
        <w:rPr>
          <w:kern w:val="0"/>
        </w:rPr>
        <w:t xml:space="preserve"> and </w:t>
      </w:r>
      <w:r>
        <w:rPr>
          <w:kern w:val="0"/>
        </w:rPr>
        <w:t>Gross, D.P. (2011), Effects</w:t>
      </w:r>
      <w:r w:rsidR="00427468">
        <w:rPr>
          <w:kern w:val="0"/>
        </w:rPr>
        <w:t xml:space="preserve"> of </w:t>
      </w:r>
      <w:r>
        <w:rPr>
          <w:kern w:val="0"/>
        </w:rPr>
        <w:t xml:space="preserve">exercise therapy on endogenous pain-relieving peptides in musculoskeletal pain a systematic review. </w:t>
      </w:r>
      <w:r>
        <w:rPr>
          <w:i/>
          <w:iCs/>
          <w:kern w:val="0"/>
        </w:rPr>
        <w:t>Clinical Journal</w:t>
      </w:r>
      <w:r w:rsidR="00427468">
        <w:rPr>
          <w:i/>
          <w:iCs/>
          <w:kern w:val="0"/>
        </w:rPr>
        <w:t xml:space="preserve"> of </w:t>
      </w:r>
      <w:r>
        <w:rPr>
          <w:i/>
          <w:iCs/>
          <w:kern w:val="0"/>
        </w:rPr>
        <w:t>Pain</w:t>
      </w:r>
      <w:r>
        <w:rPr>
          <w:kern w:val="0"/>
        </w:rPr>
        <w:t xml:space="preserve">, </w:t>
      </w:r>
      <w:r>
        <w:rPr>
          <w:b/>
          <w:bCs/>
          <w:kern w:val="0"/>
        </w:rPr>
        <w:t>27</w:t>
      </w:r>
      <w:r>
        <w:rPr>
          <w:kern w:val="0"/>
        </w:rPr>
        <w:t xml:space="preserve"> (4), 365-374.</w:t>
      </w:r>
    </w:p>
    <w:p w:rsidR="005D3B27" w:rsidRDefault="005D3B27" w:rsidP="005D3B27">
      <w:pPr>
        <w:pStyle w:val="a3"/>
        <w:rPr>
          <w:kern w:val="0"/>
        </w:rPr>
      </w:pPr>
      <w:r>
        <w:rPr>
          <w:rFonts w:hint="eastAsia"/>
          <w:kern w:val="0"/>
        </w:rPr>
        <w:t xml:space="preserve">Full Text: </w:t>
      </w:r>
      <w:r>
        <w:rPr>
          <w:kern w:val="0"/>
        </w:rPr>
        <w:t>201</w:t>
      </w:r>
      <w:r>
        <w:rPr>
          <w:rFonts w:hint="eastAsia"/>
          <w:kern w:val="0"/>
        </w:rPr>
        <w:t>1</w:t>
      </w:r>
      <w:r>
        <w:rPr>
          <w:kern w:val="0"/>
        </w:rPr>
        <w:t>\Cli J Pai2</w:t>
      </w:r>
      <w:r>
        <w:rPr>
          <w:rFonts w:hint="eastAsia"/>
          <w:kern w:val="0"/>
        </w:rPr>
        <w:t>7</w:t>
      </w:r>
      <w:r>
        <w:rPr>
          <w:kern w:val="0"/>
        </w:rPr>
        <w:t xml:space="preserve">, </w:t>
      </w:r>
      <w:r>
        <w:rPr>
          <w:rFonts w:hint="eastAsia"/>
          <w:kern w:val="0"/>
        </w:rPr>
        <w:t>365</w:t>
      </w:r>
      <w:r w:rsidRPr="006A4850">
        <w:rPr>
          <w:kern w:val="0"/>
        </w:rPr>
        <w:t>.pdf</w:t>
      </w:r>
    </w:p>
    <w:p w:rsidR="005D3B27" w:rsidRDefault="005D3B27" w:rsidP="005D3B27">
      <w:pPr>
        <w:pStyle w:val="a3"/>
        <w:rPr>
          <w:kern w:val="0"/>
        </w:rPr>
      </w:pPr>
      <w:r>
        <w:rPr>
          <w:kern w:val="0"/>
        </w:rPr>
        <w:t>Abstract: Objective: To review</w:t>
      </w:r>
      <w:r w:rsidR="003A1917">
        <w:rPr>
          <w:kern w:val="0"/>
        </w:rPr>
        <w:t xml:space="preserve"> the </w:t>
      </w:r>
      <w:r>
        <w:rPr>
          <w:kern w:val="0"/>
        </w:rPr>
        <w:t>literature regarding</w:t>
      </w:r>
      <w:r w:rsidR="003A1917">
        <w:rPr>
          <w:kern w:val="0"/>
        </w:rPr>
        <w:t xml:space="preserve"> the </w:t>
      </w:r>
      <w:r>
        <w:rPr>
          <w:kern w:val="0"/>
        </w:rPr>
        <w:t>effects</w:t>
      </w:r>
      <w:r w:rsidR="00427468">
        <w:rPr>
          <w:kern w:val="0"/>
        </w:rPr>
        <w:t xml:space="preserve"> of </w:t>
      </w:r>
      <w:r>
        <w:rPr>
          <w:kern w:val="0"/>
        </w:rPr>
        <w:t>exercise in patients with musculoskeletal pain on modifying: (1)</w:t>
      </w:r>
      <w:r w:rsidR="003A1917">
        <w:rPr>
          <w:kern w:val="0"/>
        </w:rPr>
        <w:t xml:space="preserve"> the </w:t>
      </w:r>
      <w:r>
        <w:rPr>
          <w:kern w:val="0"/>
        </w:rPr>
        <w:t>plasma or cerebral spinal fluid concentrations</w:t>
      </w:r>
      <w:r w:rsidR="00427468">
        <w:rPr>
          <w:kern w:val="0"/>
        </w:rPr>
        <w:t xml:space="preserve"> of </w:t>
      </w:r>
      <w:r>
        <w:rPr>
          <w:kern w:val="0"/>
        </w:rPr>
        <w:t>pain-relieving peptides</w:t>
      </w:r>
      <w:r w:rsidR="005853A9">
        <w:rPr>
          <w:kern w:val="0"/>
        </w:rPr>
        <w:t xml:space="preserve"> and </w:t>
      </w:r>
      <w:r>
        <w:rPr>
          <w:kern w:val="0"/>
        </w:rPr>
        <w:t>(2) changing</w:t>
      </w:r>
      <w:r w:rsidR="003A1917">
        <w:rPr>
          <w:kern w:val="0"/>
        </w:rPr>
        <w:t xml:space="preserve"> the </w:t>
      </w:r>
      <w:r>
        <w:rPr>
          <w:kern w:val="0"/>
        </w:rPr>
        <w:t>cerebral activity</w:t>
      </w:r>
      <w:r w:rsidR="00427468">
        <w:rPr>
          <w:kern w:val="0"/>
        </w:rPr>
        <w:t xml:space="preserve"> of </w:t>
      </w:r>
      <w:r>
        <w:rPr>
          <w:kern w:val="0"/>
        </w:rPr>
        <w:t>areas linked with pain processing</w:t>
      </w:r>
      <w:r w:rsidR="005853A9">
        <w:rPr>
          <w:kern w:val="0"/>
        </w:rPr>
        <w:t xml:space="preserve"> and </w:t>
      </w:r>
      <w:r>
        <w:rPr>
          <w:kern w:val="0"/>
        </w:rPr>
        <w:t>modulation systematically. Methods: An extensive search</w:t>
      </w:r>
      <w:r w:rsidR="00427468">
        <w:rPr>
          <w:kern w:val="0"/>
        </w:rPr>
        <w:t xml:space="preserve"> of </w:t>
      </w:r>
      <w:r>
        <w:rPr>
          <w:kern w:val="0"/>
        </w:rPr>
        <w:t xml:space="preserve">bibliographic databases including </w:t>
      </w:r>
      <w:r w:rsidR="00D5664A">
        <w:rPr>
          <w:kern w:val="0"/>
        </w:rPr>
        <w:t>MEDLINE</w:t>
      </w:r>
      <w:r>
        <w:rPr>
          <w:kern w:val="0"/>
        </w:rPr>
        <w:t>, EMBASE, EBM Reviews-Cochrane Central Register</w:t>
      </w:r>
      <w:r w:rsidR="00427468">
        <w:rPr>
          <w:kern w:val="0"/>
        </w:rPr>
        <w:t xml:space="preserve"> of </w:t>
      </w:r>
      <w:r>
        <w:rPr>
          <w:kern w:val="0"/>
        </w:rPr>
        <w:t xml:space="preserve">Controlled Trials, </w:t>
      </w:r>
      <w:r w:rsidR="00730B6D">
        <w:rPr>
          <w:kern w:val="0"/>
        </w:rPr>
        <w:t xml:space="preserve">ISI </w:t>
      </w:r>
      <w:r w:rsidR="00D5664A">
        <w:rPr>
          <w:kern w:val="0"/>
        </w:rPr>
        <w:t>Web</w:t>
      </w:r>
      <w:r w:rsidR="00427468">
        <w:rPr>
          <w:kern w:val="0"/>
        </w:rPr>
        <w:t xml:space="preserve"> of </w:t>
      </w:r>
      <w:r w:rsidR="00D5664A">
        <w:rPr>
          <w:kern w:val="0"/>
        </w:rPr>
        <w:t>Science</w:t>
      </w:r>
      <w:r>
        <w:rPr>
          <w:kern w:val="0"/>
        </w:rPr>
        <w:t>, Scopus, PeDro, AMED,</w:t>
      </w:r>
      <w:r w:rsidR="005853A9">
        <w:rPr>
          <w:kern w:val="0"/>
        </w:rPr>
        <w:t xml:space="preserve"> and </w:t>
      </w:r>
      <w:r>
        <w:rPr>
          <w:kern w:val="0"/>
        </w:rPr>
        <w:t>CINAHL was made. Two independent investigators screened</w:t>
      </w:r>
      <w:r w:rsidR="003A1917">
        <w:rPr>
          <w:kern w:val="0"/>
        </w:rPr>
        <w:t xml:space="preserve"> the </w:t>
      </w:r>
      <w:r>
        <w:rPr>
          <w:kern w:val="0"/>
        </w:rPr>
        <w:t>titles</w:t>
      </w:r>
      <w:r w:rsidR="00427468">
        <w:rPr>
          <w:kern w:val="0"/>
        </w:rPr>
        <w:t xml:space="preserve"> of </w:t>
      </w:r>
      <w:r>
        <w:rPr>
          <w:kern w:val="0"/>
        </w:rPr>
        <w:t>publications</w:t>
      </w:r>
      <w:r w:rsidR="005853A9">
        <w:rPr>
          <w:kern w:val="0"/>
        </w:rPr>
        <w:t xml:space="preserve"> and </w:t>
      </w:r>
      <w:r>
        <w:rPr>
          <w:kern w:val="0"/>
        </w:rPr>
        <w:t>completed quality assessment</w:t>
      </w:r>
      <w:r w:rsidR="00427468">
        <w:rPr>
          <w:kern w:val="0"/>
        </w:rPr>
        <w:t xml:space="preserve"> of </w:t>
      </w:r>
      <w:r w:rsidR="003A1917">
        <w:rPr>
          <w:kern w:val="0"/>
        </w:rPr>
        <w:t xml:space="preserve">the </w:t>
      </w:r>
      <w:r>
        <w:rPr>
          <w:kern w:val="0"/>
        </w:rPr>
        <w:t>selected studies. Results:</w:t>
      </w:r>
      <w:r w:rsidR="003A1917">
        <w:rPr>
          <w:kern w:val="0"/>
        </w:rPr>
        <w:t xml:space="preserve"> the </w:t>
      </w:r>
      <w:r>
        <w:rPr>
          <w:kern w:val="0"/>
        </w:rPr>
        <w:t>search</w:t>
      </w:r>
      <w:r w:rsidR="00427468">
        <w:rPr>
          <w:kern w:val="0"/>
        </w:rPr>
        <w:t xml:space="preserve"> of </w:t>
      </w:r>
      <w:r w:rsidR="003A1917">
        <w:rPr>
          <w:kern w:val="0"/>
        </w:rPr>
        <w:t xml:space="preserve">the </w:t>
      </w:r>
      <w:r>
        <w:rPr>
          <w:kern w:val="0"/>
        </w:rPr>
        <w:t>literature resulted in a total</w:t>
      </w:r>
      <w:r w:rsidR="00427468">
        <w:rPr>
          <w:kern w:val="0"/>
        </w:rPr>
        <w:t xml:space="preserve"> of </w:t>
      </w:r>
      <w:r>
        <w:rPr>
          <w:kern w:val="0"/>
        </w:rPr>
        <w:t>1819 published studies.</w:t>
      </w:r>
      <w:r w:rsidR="00427468">
        <w:rPr>
          <w:kern w:val="0"/>
        </w:rPr>
        <w:t xml:space="preserve"> of </w:t>
      </w:r>
      <w:r>
        <w:rPr>
          <w:kern w:val="0"/>
        </w:rPr>
        <w:t>these only 1 study</w:t>
      </w:r>
      <w:r w:rsidR="00427468">
        <w:rPr>
          <w:kern w:val="0"/>
        </w:rPr>
        <w:t xml:space="preserve"> of </w:t>
      </w:r>
      <w:r>
        <w:rPr>
          <w:kern w:val="0"/>
        </w:rPr>
        <w:t>low methodological quality was considered to be relevant</w:t>
      </w:r>
      <w:r w:rsidR="00A37C1D">
        <w:rPr>
          <w:kern w:val="0"/>
        </w:rPr>
        <w:t>. The</w:t>
      </w:r>
      <w:r w:rsidR="003A1917">
        <w:rPr>
          <w:kern w:val="0"/>
        </w:rPr>
        <w:t xml:space="preserve"> </w:t>
      </w:r>
      <w:r>
        <w:rPr>
          <w:kern w:val="0"/>
        </w:rPr>
        <w:t>agreement between reviewers to select</w:t>
      </w:r>
      <w:r w:rsidR="003A1917">
        <w:rPr>
          <w:kern w:val="0"/>
        </w:rPr>
        <w:t xml:space="preserve"> the </w:t>
      </w:r>
      <w:r>
        <w:rPr>
          <w:kern w:val="0"/>
        </w:rPr>
        <w:t>articles was kappa=1</w:t>
      </w:r>
      <w:r w:rsidR="00A37C1D">
        <w:rPr>
          <w:kern w:val="0"/>
        </w:rPr>
        <w:t>. The</w:t>
      </w:r>
      <w:r w:rsidR="003A1917">
        <w:rPr>
          <w:kern w:val="0"/>
        </w:rPr>
        <w:t xml:space="preserve"> </w:t>
      </w:r>
      <w:r>
        <w:rPr>
          <w:kern w:val="0"/>
        </w:rPr>
        <w:t>agreement for</w:t>
      </w:r>
      <w:r w:rsidR="003A1917">
        <w:rPr>
          <w:kern w:val="0"/>
        </w:rPr>
        <w:t xml:space="preserve"> the </w:t>
      </w:r>
      <w:r>
        <w:rPr>
          <w:kern w:val="0"/>
        </w:rPr>
        <w:t>methodological quality evaluation was kappa=0.9. Discussion: Given</w:t>
      </w:r>
      <w:r w:rsidR="003A1917">
        <w:rPr>
          <w:kern w:val="0"/>
        </w:rPr>
        <w:t xml:space="preserve"> the </w:t>
      </w:r>
      <w:r>
        <w:rPr>
          <w:kern w:val="0"/>
        </w:rPr>
        <w:t>small number</w:t>
      </w:r>
      <w:r w:rsidR="00427468">
        <w:rPr>
          <w:kern w:val="0"/>
        </w:rPr>
        <w:t xml:space="preserve"> of </w:t>
      </w:r>
      <w:r>
        <w:rPr>
          <w:kern w:val="0"/>
        </w:rPr>
        <w:t>studies identified</w:t>
      </w:r>
      <w:r w:rsidR="005853A9">
        <w:rPr>
          <w:kern w:val="0"/>
        </w:rPr>
        <w:t xml:space="preserve"> and </w:t>
      </w:r>
      <w:r w:rsidR="003A1917">
        <w:rPr>
          <w:kern w:val="0"/>
        </w:rPr>
        <w:t xml:space="preserve">the </w:t>
      </w:r>
      <w:r>
        <w:rPr>
          <w:kern w:val="0"/>
        </w:rPr>
        <w:t>low quality</w:t>
      </w:r>
      <w:r w:rsidR="00427468">
        <w:rPr>
          <w:kern w:val="0"/>
        </w:rPr>
        <w:t xml:space="preserve"> of </w:t>
      </w:r>
      <w:r>
        <w:rPr>
          <w:kern w:val="0"/>
        </w:rPr>
        <w:t>research, no firm conclusions could be reached about</w:t>
      </w:r>
      <w:r w:rsidR="003A1917">
        <w:rPr>
          <w:kern w:val="0"/>
        </w:rPr>
        <w:t xml:space="preserve"> the </w:t>
      </w:r>
      <w:r>
        <w:rPr>
          <w:kern w:val="0"/>
        </w:rPr>
        <w:t>impact</w:t>
      </w:r>
      <w:r w:rsidR="00427468">
        <w:rPr>
          <w:kern w:val="0"/>
        </w:rPr>
        <w:t xml:space="preserve"> of </w:t>
      </w:r>
      <w:r>
        <w:rPr>
          <w:kern w:val="0"/>
        </w:rPr>
        <w:t>therapeutic exercise on modifying concentrations</w:t>
      </w:r>
      <w:r w:rsidR="00427468">
        <w:rPr>
          <w:kern w:val="0"/>
        </w:rPr>
        <w:t xml:space="preserve"> of </w:t>
      </w:r>
      <w:r>
        <w:rPr>
          <w:kern w:val="0"/>
        </w:rPr>
        <w:t>pain-relieving peptides or its effect on changing</w:t>
      </w:r>
      <w:r w:rsidR="003A1917">
        <w:rPr>
          <w:kern w:val="0"/>
        </w:rPr>
        <w:t xml:space="preserve"> the </w:t>
      </w:r>
      <w:r>
        <w:rPr>
          <w:kern w:val="0"/>
        </w:rPr>
        <w:t>cerebral activity</w:t>
      </w:r>
      <w:r w:rsidR="00427468">
        <w:rPr>
          <w:kern w:val="0"/>
        </w:rPr>
        <w:t xml:space="preserve"> of </w:t>
      </w:r>
      <w:r>
        <w:rPr>
          <w:kern w:val="0"/>
        </w:rPr>
        <w:t>areas linked with pain processing in patients with musculoskeletal pain</w:t>
      </w:r>
      <w:r w:rsidR="00A37C1D">
        <w:rPr>
          <w:kern w:val="0"/>
        </w:rPr>
        <w:t>. The</w:t>
      </w:r>
      <w:r>
        <w:rPr>
          <w:kern w:val="0"/>
        </w:rPr>
        <w:t>re is a clear need for well-designed trials examining exercise therapy interventions</w:t>
      </w:r>
      <w:r w:rsidR="005853A9">
        <w:rPr>
          <w:kern w:val="0"/>
        </w:rPr>
        <w:t xml:space="preserve"> and </w:t>
      </w:r>
      <w:r>
        <w:rPr>
          <w:kern w:val="0"/>
        </w:rPr>
        <w:t>their effect on both pain-relieving peptides</w:t>
      </w:r>
      <w:r w:rsidR="005853A9">
        <w:rPr>
          <w:kern w:val="0"/>
        </w:rPr>
        <w:t xml:space="preserve"> and </w:t>
      </w:r>
      <w:r>
        <w:rPr>
          <w:kern w:val="0"/>
        </w:rPr>
        <w:t>cerebral activity in patients with musculoskeletal pain.</w:t>
      </w:r>
    </w:p>
    <w:p w:rsidR="005D3B27" w:rsidRDefault="005D3B27" w:rsidP="005D3B27">
      <w:pPr>
        <w:pStyle w:val="a3"/>
        <w:rPr>
          <w:kern w:val="0"/>
        </w:rPr>
      </w:pPr>
      <w:r>
        <w:rPr>
          <w:kern w:val="0"/>
        </w:rPr>
        <w:t>Keywords: Aerobic Exercise, Assessment, Bibliographic, Bibliographic Databases, Blood-Pressure, Clinical-Trial, Databases, EMBASE, Evaluation, Evidence-Informed Management, Exercise, Exercise Therapy, Impact, Interventions</w:t>
      </w:r>
      <w:r w:rsidR="00D5664A">
        <w:rPr>
          <w:kern w:val="0"/>
        </w:rPr>
        <w:t>, ISI,</w:t>
      </w:r>
      <w:r>
        <w:rPr>
          <w:kern w:val="0"/>
        </w:rPr>
        <w:t xml:space="preserve"> Isometric-Exercise, Literature, Low-Back-Pain, </w:t>
      </w:r>
      <w:r w:rsidR="00D5664A">
        <w:rPr>
          <w:kern w:val="0"/>
        </w:rPr>
        <w:t>MEDLINE</w:t>
      </w:r>
      <w:r>
        <w:rPr>
          <w:kern w:val="0"/>
        </w:rPr>
        <w:t xml:space="preserve">, Methods, Pain, Peptides Opioids, Plasma, Plasma Beta-Endorphin, Pressure Pain, Publications, Randomized Controlled-Trial, Research, Review, Rheumatoid-Arthritis, Science, </w:t>
      </w:r>
      <w:r>
        <w:rPr>
          <w:kern w:val="0"/>
        </w:rPr>
        <w:lastRenderedPageBreak/>
        <w:t xml:space="preserve">Scopus, Serotonin, Systematic, Systematic Review, Therapy,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Claydon, L.S., Chesterton, L.S., Barlas, P.</w:t>
      </w:r>
      <w:r w:rsidR="005853A9">
        <w:rPr>
          <w:kern w:val="0"/>
        </w:rPr>
        <w:t xml:space="preserve"> and </w:t>
      </w:r>
      <w:r>
        <w:rPr>
          <w:kern w:val="0"/>
        </w:rPr>
        <w:t>Sim, J. (2011), Dose-specific effects</w:t>
      </w:r>
      <w:r w:rsidR="00427468">
        <w:rPr>
          <w:kern w:val="0"/>
        </w:rPr>
        <w:t xml:space="preserve"> of </w:t>
      </w:r>
      <w:r>
        <w:rPr>
          <w:kern w:val="0"/>
        </w:rPr>
        <w:t>transcutaneous electrical nerve stimulation (TENS) on experimental pain</w:t>
      </w:r>
      <w:r>
        <w:rPr>
          <w:rFonts w:hint="eastAsia"/>
          <w:kern w:val="0"/>
        </w:rPr>
        <w:t>:</w:t>
      </w:r>
      <w:r>
        <w:rPr>
          <w:kern w:val="0"/>
        </w:rPr>
        <w:t xml:space="preserve"> A systematic review. </w:t>
      </w:r>
      <w:r>
        <w:rPr>
          <w:i/>
          <w:iCs/>
          <w:kern w:val="0"/>
        </w:rPr>
        <w:t>Clinical Journal</w:t>
      </w:r>
      <w:r w:rsidR="00427468">
        <w:rPr>
          <w:i/>
          <w:iCs/>
          <w:kern w:val="0"/>
        </w:rPr>
        <w:t xml:space="preserve"> of </w:t>
      </w:r>
      <w:r>
        <w:rPr>
          <w:i/>
          <w:iCs/>
          <w:kern w:val="0"/>
        </w:rPr>
        <w:t>Pain</w:t>
      </w:r>
      <w:r>
        <w:rPr>
          <w:kern w:val="0"/>
        </w:rPr>
        <w:t xml:space="preserve">, </w:t>
      </w:r>
      <w:r>
        <w:rPr>
          <w:b/>
          <w:bCs/>
          <w:kern w:val="0"/>
        </w:rPr>
        <w:t>27</w:t>
      </w:r>
      <w:r>
        <w:rPr>
          <w:kern w:val="0"/>
        </w:rPr>
        <w:t xml:space="preserve"> (7), 635-647.</w:t>
      </w:r>
    </w:p>
    <w:p w:rsidR="005D3B27" w:rsidRDefault="005D3B27" w:rsidP="005D3B27">
      <w:pPr>
        <w:pStyle w:val="a3"/>
        <w:rPr>
          <w:kern w:val="0"/>
        </w:rPr>
      </w:pPr>
      <w:r>
        <w:rPr>
          <w:rFonts w:hint="eastAsia"/>
          <w:kern w:val="0"/>
        </w:rPr>
        <w:t xml:space="preserve">Full Text: </w:t>
      </w:r>
      <w:r>
        <w:rPr>
          <w:kern w:val="0"/>
        </w:rPr>
        <w:t>201</w:t>
      </w:r>
      <w:r>
        <w:rPr>
          <w:rFonts w:hint="eastAsia"/>
          <w:kern w:val="0"/>
        </w:rPr>
        <w:t>1</w:t>
      </w:r>
      <w:r>
        <w:rPr>
          <w:kern w:val="0"/>
        </w:rPr>
        <w:t>\Cli J Pai2</w:t>
      </w:r>
      <w:r>
        <w:rPr>
          <w:rFonts w:hint="eastAsia"/>
          <w:kern w:val="0"/>
        </w:rPr>
        <w:t>7</w:t>
      </w:r>
      <w:r>
        <w:rPr>
          <w:kern w:val="0"/>
        </w:rPr>
        <w:t xml:space="preserve">, </w:t>
      </w:r>
      <w:r>
        <w:rPr>
          <w:rFonts w:hint="eastAsia"/>
          <w:kern w:val="0"/>
        </w:rPr>
        <w:t>635</w:t>
      </w:r>
      <w:r w:rsidRPr="006A4850">
        <w:rPr>
          <w:kern w:val="0"/>
        </w:rPr>
        <w:t>.pdf</w:t>
      </w:r>
    </w:p>
    <w:p w:rsidR="005D3B27" w:rsidRDefault="005D3B27" w:rsidP="005D3B27">
      <w:pPr>
        <w:pStyle w:val="a3"/>
        <w:rPr>
          <w:kern w:val="0"/>
        </w:rPr>
      </w:pPr>
      <w:r>
        <w:rPr>
          <w:kern w:val="0"/>
        </w:rPr>
        <w:t>Abstract: Objective: To determine</w:t>
      </w:r>
      <w:r w:rsidR="003A1917">
        <w:rPr>
          <w:kern w:val="0"/>
        </w:rPr>
        <w:t xml:space="preserve"> the </w:t>
      </w:r>
      <w:r>
        <w:rPr>
          <w:kern w:val="0"/>
        </w:rPr>
        <w:t>hypoalgesic effects</w:t>
      </w:r>
      <w:r w:rsidR="00427468">
        <w:rPr>
          <w:kern w:val="0"/>
        </w:rPr>
        <w:t xml:space="preserve"> of </w:t>
      </w:r>
      <w:r>
        <w:rPr>
          <w:kern w:val="0"/>
        </w:rPr>
        <w:t>transcutaneous electrical nerve stimulation (TENS) parameter combinations on experimental models in healthy humans. Methods: Searches were performed using</w:t>
      </w:r>
      <w:r w:rsidR="003A1917">
        <w:rPr>
          <w:kern w:val="0"/>
        </w:rPr>
        <w:t xml:space="preserve"> the </w:t>
      </w:r>
      <w:r>
        <w:rPr>
          <w:kern w:val="0"/>
        </w:rPr>
        <w:t xml:space="preserve">electronic databases Ovid </w:t>
      </w:r>
      <w:r w:rsidR="00D5664A">
        <w:rPr>
          <w:kern w:val="0"/>
        </w:rPr>
        <w:t>MEDLINE</w:t>
      </w:r>
      <w:r>
        <w:rPr>
          <w:kern w:val="0"/>
        </w:rPr>
        <w:t>, CINAHL, AMED,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inception to December 2009). Manual searches</w:t>
      </w:r>
      <w:r w:rsidR="00427468">
        <w:rPr>
          <w:kern w:val="0"/>
        </w:rPr>
        <w:t xml:space="preserve"> of </w:t>
      </w:r>
      <w:r>
        <w:rPr>
          <w:kern w:val="0"/>
        </w:rPr>
        <w:t>journals</w:t>
      </w:r>
      <w:r w:rsidR="005853A9">
        <w:rPr>
          <w:kern w:val="0"/>
        </w:rPr>
        <w:t xml:space="preserve"> and </w:t>
      </w:r>
      <w:r>
        <w:rPr>
          <w:kern w:val="0"/>
        </w:rPr>
        <w:t>reference lists</w:t>
      </w:r>
      <w:r w:rsidR="00427468">
        <w:rPr>
          <w:kern w:val="0"/>
        </w:rPr>
        <w:t xml:space="preserve"> of </w:t>
      </w:r>
      <w:r>
        <w:rPr>
          <w:kern w:val="0"/>
        </w:rPr>
        <w:t>retrieved trials were also performed. Randomized controlled trials (RCTs) were included in</w:t>
      </w:r>
      <w:r w:rsidR="003A1917">
        <w:rPr>
          <w:kern w:val="0"/>
        </w:rPr>
        <w:t xml:space="preserve"> the </w:t>
      </w:r>
      <w:r>
        <w:rPr>
          <w:kern w:val="0"/>
        </w:rPr>
        <w:t>review if they compared</w:t>
      </w:r>
      <w:r w:rsidR="003A1917">
        <w:rPr>
          <w:kern w:val="0"/>
        </w:rPr>
        <w:t xml:space="preserve"> the </w:t>
      </w:r>
      <w:r>
        <w:rPr>
          <w:kern w:val="0"/>
        </w:rPr>
        <w:t>hypoalgesic effect</w:t>
      </w:r>
      <w:r w:rsidR="00427468">
        <w:rPr>
          <w:kern w:val="0"/>
        </w:rPr>
        <w:t xml:space="preserve"> of </w:t>
      </w:r>
      <w:r>
        <w:rPr>
          <w:kern w:val="0"/>
        </w:rPr>
        <w:t>TENS relative with placebo</w:t>
      </w:r>
      <w:r w:rsidR="005853A9">
        <w:rPr>
          <w:kern w:val="0"/>
        </w:rPr>
        <w:t xml:space="preserve"> and </w:t>
      </w:r>
      <w:r>
        <w:rPr>
          <w:kern w:val="0"/>
        </w:rPr>
        <w:t>control, using an experimental pain model in healthy human participants. Two reviewers independently selected</w:t>
      </w:r>
      <w:r w:rsidR="003A1917">
        <w:rPr>
          <w:kern w:val="0"/>
        </w:rPr>
        <w:t xml:space="preserve"> the </w:t>
      </w:r>
      <w:r>
        <w:rPr>
          <w:kern w:val="0"/>
        </w:rPr>
        <w:t>trials, assessed their methodologic quality</w:t>
      </w:r>
      <w:r w:rsidR="005853A9">
        <w:rPr>
          <w:kern w:val="0"/>
        </w:rPr>
        <w:t xml:space="preserve"> and </w:t>
      </w:r>
      <w:r>
        <w:rPr>
          <w:kern w:val="0"/>
        </w:rPr>
        <w:t xml:space="preserve">extracted data. Results: Forty-three RCTs were eligible for inclusion. A best evidence synthesis revealed: Overall </w:t>
      </w:r>
      <w:r w:rsidR="00B5188C">
        <w:rPr>
          <w:kern w:val="0"/>
        </w:rPr>
        <w:t>“</w:t>
      </w:r>
      <w:r>
        <w:rPr>
          <w:kern w:val="0"/>
        </w:rPr>
        <w:t>conflicting</w:t>
      </w:r>
      <w:r w:rsidR="00B5188C">
        <w:rPr>
          <w:kern w:val="0"/>
        </w:rPr>
        <w:t>”</w:t>
      </w:r>
      <w:r>
        <w:rPr>
          <w:kern w:val="0"/>
        </w:rPr>
        <w:t xml:space="preserve"> (inconsistent findings in multiple RCTs) evidence</w:t>
      </w:r>
      <w:r w:rsidR="00427468">
        <w:rPr>
          <w:kern w:val="0"/>
        </w:rPr>
        <w:t xml:space="preserve"> of </w:t>
      </w:r>
      <w:r>
        <w:rPr>
          <w:kern w:val="0"/>
        </w:rPr>
        <w:t>TENS efficacy on experimental pain irrespective</w:t>
      </w:r>
      <w:r w:rsidR="00427468">
        <w:rPr>
          <w:kern w:val="0"/>
        </w:rPr>
        <w:t xml:space="preserve"> of </w:t>
      </w:r>
      <w:r>
        <w:rPr>
          <w:kern w:val="0"/>
        </w:rPr>
        <w:t xml:space="preserve">TENS parameters used. Overall intense TENS has </w:t>
      </w:r>
      <w:r w:rsidR="00B5188C">
        <w:rPr>
          <w:kern w:val="0"/>
        </w:rPr>
        <w:t>“</w:t>
      </w:r>
      <w:r>
        <w:rPr>
          <w:kern w:val="0"/>
        </w:rPr>
        <w:t>moderate</w:t>
      </w:r>
      <w:r w:rsidR="00B5188C">
        <w:rPr>
          <w:kern w:val="0"/>
        </w:rPr>
        <w:t>”</w:t>
      </w:r>
      <w:r>
        <w:rPr>
          <w:kern w:val="0"/>
        </w:rPr>
        <w:t xml:space="preserve"> evidence</w:t>
      </w:r>
      <w:r w:rsidR="00427468">
        <w:rPr>
          <w:kern w:val="0"/>
        </w:rPr>
        <w:t xml:space="preserve"> of </w:t>
      </w:r>
      <w:r>
        <w:rPr>
          <w:kern w:val="0"/>
        </w:rPr>
        <w:t>efficacy (1 high-quality</w:t>
      </w:r>
      <w:r w:rsidR="005853A9">
        <w:rPr>
          <w:kern w:val="0"/>
        </w:rPr>
        <w:t xml:space="preserve"> and </w:t>
      </w:r>
      <w:r>
        <w:rPr>
          <w:kern w:val="0"/>
        </w:rPr>
        <w:t>2 low-quality trials). Conventional TENS has overall conflicting evidence</w:t>
      </w:r>
      <w:r w:rsidR="00427468">
        <w:rPr>
          <w:kern w:val="0"/>
        </w:rPr>
        <w:t xml:space="preserve"> of </w:t>
      </w:r>
      <w:r>
        <w:rPr>
          <w:kern w:val="0"/>
        </w:rPr>
        <w:t xml:space="preserve">efficacy, this is derived from </w:t>
      </w:r>
      <w:r w:rsidR="00B5188C">
        <w:rPr>
          <w:kern w:val="0"/>
        </w:rPr>
        <w:t>“</w:t>
      </w:r>
      <w:r>
        <w:rPr>
          <w:kern w:val="0"/>
        </w:rPr>
        <w:t>strong</w:t>
      </w:r>
      <w:r w:rsidR="00B5188C">
        <w:rPr>
          <w:kern w:val="0"/>
        </w:rPr>
        <w:t>”</w:t>
      </w:r>
      <w:r>
        <w:rPr>
          <w:kern w:val="0"/>
        </w:rPr>
        <w:t xml:space="preserve"> evidence</w:t>
      </w:r>
      <w:r w:rsidR="00427468">
        <w:rPr>
          <w:kern w:val="0"/>
        </w:rPr>
        <w:t xml:space="preserve"> of </w:t>
      </w:r>
      <w:r>
        <w:rPr>
          <w:kern w:val="0"/>
        </w:rPr>
        <w:t>efficacy (generally consistent findings in multiple high-quality RCTs) on pressure pain but strong evidence</w:t>
      </w:r>
      <w:r w:rsidR="00427468">
        <w:rPr>
          <w:kern w:val="0"/>
        </w:rPr>
        <w:t xml:space="preserve"> of </w:t>
      </w:r>
      <w:r>
        <w:rPr>
          <w:kern w:val="0"/>
        </w:rPr>
        <w:t xml:space="preserve">inefficacy on other pain models. </w:t>
      </w:r>
      <w:r w:rsidR="00B5188C">
        <w:rPr>
          <w:kern w:val="0"/>
        </w:rPr>
        <w:t>“</w:t>
      </w:r>
      <w:r>
        <w:rPr>
          <w:kern w:val="0"/>
        </w:rPr>
        <w:t>Limited</w:t>
      </w:r>
      <w:r w:rsidR="00B5188C">
        <w:rPr>
          <w:kern w:val="0"/>
        </w:rPr>
        <w:t>”</w:t>
      </w:r>
      <w:r>
        <w:rPr>
          <w:kern w:val="0"/>
        </w:rPr>
        <w:t xml:space="preserve"> evidence (positive findings from 1 RCT)</w:t>
      </w:r>
      <w:r w:rsidR="00427468">
        <w:rPr>
          <w:kern w:val="0"/>
        </w:rPr>
        <w:t xml:space="preserve"> of </w:t>
      </w:r>
      <w:r>
        <w:rPr>
          <w:kern w:val="0"/>
        </w:rPr>
        <w:t>hypoalgesia exists for some novel parameters. Low-intensity, low-frequency, local TENS has strong evidence</w:t>
      </w:r>
      <w:r w:rsidR="00427468">
        <w:rPr>
          <w:kern w:val="0"/>
        </w:rPr>
        <w:t xml:space="preserve"> of </w:t>
      </w:r>
      <w:r>
        <w:rPr>
          <w:kern w:val="0"/>
        </w:rPr>
        <w:t xml:space="preserve">inefficacy. Inappropriate TENS (using </w:t>
      </w:r>
      <w:r w:rsidR="00B5188C">
        <w:rPr>
          <w:kern w:val="0"/>
        </w:rPr>
        <w:t>“</w:t>
      </w:r>
      <w:r>
        <w:rPr>
          <w:kern w:val="0"/>
        </w:rPr>
        <w:t>barely perceptible</w:t>
      </w:r>
      <w:r w:rsidR="00B5188C">
        <w:rPr>
          <w:kern w:val="0"/>
        </w:rPr>
        <w:t>”</w:t>
      </w:r>
      <w:r>
        <w:rPr>
          <w:kern w:val="0"/>
        </w:rPr>
        <w:t xml:space="preserve"> intensities) has moderate evidence</w:t>
      </w:r>
      <w:r w:rsidR="00427468">
        <w:rPr>
          <w:kern w:val="0"/>
        </w:rPr>
        <w:t xml:space="preserve"> of </w:t>
      </w:r>
      <w:r>
        <w:rPr>
          <w:kern w:val="0"/>
        </w:rPr>
        <w:t>inefficacy. Discussion:</w:t>
      </w:r>
      <w:r w:rsidR="003A1917">
        <w:rPr>
          <w:kern w:val="0"/>
        </w:rPr>
        <w:t xml:space="preserve"> the </w:t>
      </w:r>
      <w:r>
        <w:rPr>
          <w:kern w:val="0"/>
        </w:rPr>
        <w:t>level</w:t>
      </w:r>
      <w:r w:rsidR="00427468">
        <w:rPr>
          <w:kern w:val="0"/>
        </w:rPr>
        <w:t xml:space="preserve"> of </w:t>
      </w:r>
      <w:r>
        <w:rPr>
          <w:kern w:val="0"/>
        </w:rPr>
        <w:t>hypoalgesic efficacy</w:t>
      </w:r>
      <w:r w:rsidR="00427468">
        <w:rPr>
          <w:kern w:val="0"/>
        </w:rPr>
        <w:t xml:space="preserve"> of </w:t>
      </w:r>
      <w:r>
        <w:rPr>
          <w:kern w:val="0"/>
        </w:rPr>
        <w:t>TENS is clearly dependent on TENS parameter combination selection (defined in terms</w:t>
      </w:r>
      <w:r w:rsidR="00427468">
        <w:rPr>
          <w:kern w:val="0"/>
        </w:rPr>
        <w:t xml:space="preserve"> of </w:t>
      </w:r>
      <w:r>
        <w:rPr>
          <w:kern w:val="0"/>
        </w:rPr>
        <w:t>intensity, frequency,</w:t>
      </w:r>
      <w:r w:rsidR="005853A9">
        <w:rPr>
          <w:kern w:val="0"/>
        </w:rPr>
        <w:t xml:space="preserve"> and </w:t>
      </w:r>
      <w:r>
        <w:rPr>
          <w:kern w:val="0"/>
        </w:rPr>
        <w:t>stimulation site)</w:t>
      </w:r>
      <w:r w:rsidR="005853A9">
        <w:rPr>
          <w:kern w:val="0"/>
        </w:rPr>
        <w:t xml:space="preserve"> and </w:t>
      </w:r>
      <w:r>
        <w:rPr>
          <w:kern w:val="0"/>
        </w:rPr>
        <w:t>experimental pain model. Future clinical RCTs may consider these TENS dose responses.</w:t>
      </w:r>
    </w:p>
    <w:p w:rsidR="005D3B27" w:rsidRDefault="005D3B27" w:rsidP="005D3B27">
      <w:pPr>
        <w:pStyle w:val="a3"/>
        <w:rPr>
          <w:kern w:val="0"/>
        </w:rPr>
      </w:pPr>
      <w:r>
        <w:rPr>
          <w:kern w:val="0"/>
        </w:rPr>
        <w:t xml:space="preserve">Keywords: Amplitude, Analgesia, Clinical-Trials, Cold-Induced Pain, Control, Databases, Efficacy, Electrical Stimulation, Experimentally Induced Pain, Frequency, Healthy-Human Participants, Heat Pain, High-Frequency, Human, Humans, Induced Ischemic Pain, Interferential Currents, Journals, </w:t>
      </w:r>
      <w:r w:rsidR="00D5664A">
        <w:rPr>
          <w:kern w:val="0"/>
        </w:rPr>
        <w:t>MEDLINE</w:t>
      </w:r>
      <w:r>
        <w:rPr>
          <w:kern w:val="0"/>
        </w:rPr>
        <w:t xml:space="preserve">, Methods, Model, Pain, Parameter Manipulation, Pressure, Pressure Pain, Randomized Controlled Trials, Randomized-Trials, Review, Science, Stimulation Site, Systematic, Systematic Review, </w:t>
      </w:r>
      <w:r w:rsidR="00D5664A">
        <w:rPr>
          <w:kern w:val="0"/>
        </w:rPr>
        <w:t>Web</w:t>
      </w:r>
      <w:r w:rsidR="00427468">
        <w:rPr>
          <w:kern w:val="0"/>
        </w:rPr>
        <w:t xml:space="preserve"> of </w:t>
      </w:r>
      <w:r w:rsidR="00D5664A">
        <w:rPr>
          <w:kern w:val="0"/>
        </w:rPr>
        <w:t>Science</w:t>
      </w:r>
    </w:p>
    <w:p w:rsidR="00B6701C" w:rsidRDefault="00B6701C" w:rsidP="00B6701C">
      <w:pPr>
        <w:pStyle w:val="a3"/>
        <w:rPr>
          <w:kern w:val="0"/>
          <w:szCs w:val="24"/>
        </w:rPr>
      </w:pPr>
      <w:r>
        <w:rPr>
          <w:kern w:val="0"/>
          <w:szCs w:val="24"/>
        </w:rPr>
        <w:t xml:space="preserve">? Garrett, B., Taverner, T., Masinde, W., Gromala, D., Shaw, C. and Negraeff, M. (2014), A rapid evidence assessment of immersive virtual reality as an adjunct therapy in acute pain management in clinical practice. </w:t>
      </w:r>
      <w:r>
        <w:rPr>
          <w:i/>
          <w:iCs/>
          <w:kern w:val="0"/>
          <w:szCs w:val="24"/>
        </w:rPr>
        <w:t>Clinical Journal of Pain</w:t>
      </w:r>
      <w:r>
        <w:rPr>
          <w:kern w:val="0"/>
          <w:szCs w:val="24"/>
        </w:rPr>
        <w:t xml:space="preserve">, </w:t>
      </w:r>
      <w:r>
        <w:rPr>
          <w:b/>
          <w:bCs/>
          <w:kern w:val="0"/>
          <w:szCs w:val="24"/>
        </w:rPr>
        <w:t>30</w:t>
      </w:r>
      <w:r>
        <w:rPr>
          <w:kern w:val="0"/>
          <w:szCs w:val="24"/>
        </w:rPr>
        <w:t xml:space="preserve"> </w:t>
      </w:r>
      <w:r>
        <w:rPr>
          <w:kern w:val="0"/>
          <w:szCs w:val="24"/>
        </w:rPr>
        <w:lastRenderedPageBreak/>
        <w:t>(12), 1089-1098.</w:t>
      </w:r>
    </w:p>
    <w:p w:rsidR="00B6701C" w:rsidRDefault="00B6701C" w:rsidP="00B6701C">
      <w:pPr>
        <w:pStyle w:val="a3"/>
        <w:rPr>
          <w:kern w:val="0"/>
        </w:rPr>
      </w:pPr>
      <w:r>
        <w:rPr>
          <w:kern w:val="0"/>
        </w:rPr>
        <w:t>Full Text: 2014\Cli J Pai30, 1089</w:t>
      </w:r>
      <w:r w:rsidRPr="006A4850">
        <w:rPr>
          <w:kern w:val="0"/>
        </w:rPr>
        <w:t>.pdf</w:t>
      </w:r>
    </w:p>
    <w:p w:rsidR="00B6701C" w:rsidRDefault="00B6701C" w:rsidP="00B6701C">
      <w:pPr>
        <w:pStyle w:val="a3"/>
        <w:rPr>
          <w:kern w:val="0"/>
          <w:szCs w:val="24"/>
        </w:rPr>
      </w:pPr>
      <w:r>
        <w:rPr>
          <w:kern w:val="0"/>
          <w:szCs w:val="24"/>
        </w:rPr>
        <w:t>Abstract: Objectives: Immersive virtual reality (IVR) therapy has been explored as an adjunct therapy for the management of acute pain among children and adults for several conditions. Therapeutic approaches have traditionally involved medication and physiotherapy but such approaches are limited over time by their cost and side effects. This review seeks to critically evaluate the evidence for and against IVR as an adjunctive therapy for acute clinical pain applications. Methods: A rapid evidence assessment (REA) strategy was used. CINAHL, Medline, Web of Science, IEEE Xplore Digital Library, and the Cochrane Library databases were screened in from December 2012 to March 2013 to identify studies exploring IVR therapies as an intervention to assist in the management of pain. Main outcome measures were for acute pain and functional impairment. Results: Seventeen research studies were included in total including 5 RCTs, 6 randomized crossover studies, 2 case series studies, and 4 single-patient case studies. This included a total of 337 patients. Of these studies only 4 had a low risk of bias. There was strong overall evidence for immediate and short-term pain reduction, whereas moderate evidence was found for short-term effects on physical function. Little evidence exists for longer-term benefits. IVR was not associated with any serious adverse events. Discussion: This review found moderate evidence for the reduction of pain and functional impairment after IVR in patients with acute pain. Further high-quality studies are required for the conclusive judgment of its effectiveness in acute pain, to establish potential benefits for chronic pain, and for safety.</w:t>
      </w:r>
    </w:p>
    <w:p w:rsidR="00B6701C" w:rsidRDefault="00B6701C" w:rsidP="00B6701C">
      <w:pPr>
        <w:pStyle w:val="a3"/>
        <w:rPr>
          <w:kern w:val="0"/>
          <w:szCs w:val="24"/>
        </w:rPr>
      </w:pPr>
      <w:r>
        <w:rPr>
          <w:kern w:val="0"/>
          <w:szCs w:val="24"/>
        </w:rPr>
        <w:t>Keywords: Acute Pain, Adverse Events, Analgesia, Anxiety Scale, Assessment, Benefits, Bias, Burn Wound Debridement, Case Series, Case Studies, Children, Chronic, Chronic Pain, Clinical, Cost, Databases, Digital, Distraction Intervention, Effectiveness, Effects, Environment, Events, Evidence, Exposure Therapy, From, Function, Functional Impairment, Hypnosis, Immersive Environments, Impairment, Injury Patients, Intervention, Low Risk, Management, Measures, Medline, Methods, Outcome, Outcome Measures, Pain, Patients, Physical, Physiotherapy, Potential, Practice, Randomized, Reducing Pain, Reduction, Research, Results, Review, Risk, Safety, Science, Side Effects, Strategy, Therapeutic, Therapy, Virtual Reality, Vr, Web, Web Of Science</w:t>
      </w:r>
    </w:p>
    <w:p w:rsidR="005D3B27" w:rsidRPr="00C73C58" w:rsidRDefault="005D3B27" w:rsidP="005D3B27">
      <w:pPr>
        <w:pStyle w:val="1"/>
      </w:pPr>
      <w:r w:rsidRPr="00C73C58">
        <w:br w:type="page"/>
      </w:r>
      <w:bookmarkStart w:id="290" w:name="_Toc420815032"/>
      <w:r w:rsidRPr="00C73C58">
        <w:lastRenderedPageBreak/>
        <w:t xml:space="preserve">Title: </w:t>
      </w:r>
      <w:r w:rsidRPr="00C958EB">
        <w:rPr>
          <w:iCs w:val="0"/>
        </w:rPr>
        <w:t>Clinical Journal</w:t>
      </w:r>
      <w:r w:rsidR="00427468">
        <w:rPr>
          <w:iCs w:val="0"/>
        </w:rPr>
        <w:t xml:space="preserve"> of </w:t>
      </w:r>
      <w:r w:rsidRPr="00C958EB">
        <w:rPr>
          <w:iCs w:val="0"/>
        </w:rPr>
        <w:t>Sport Medicine</w:t>
      </w:r>
      <w:bookmarkEnd w:id="290"/>
    </w:p>
    <w:p w:rsidR="005D3B27" w:rsidRPr="00C73C58" w:rsidRDefault="005D3B27" w:rsidP="005D3B27">
      <w:pPr>
        <w:pStyle w:val="12"/>
      </w:pPr>
      <w:r w:rsidRPr="00C73C58">
        <w:t>Full Journal Title:</w:t>
      </w:r>
      <w:r w:rsidRPr="00C958EB">
        <w:rPr>
          <w:iCs/>
        </w:rPr>
        <w:t xml:space="preserve"> </w:t>
      </w:r>
      <w:r w:rsidRPr="00C958EB">
        <w:rPr>
          <w:iCs/>
          <w:kern w:val="0"/>
        </w:rPr>
        <w:t>Clinical Journal</w:t>
      </w:r>
      <w:r w:rsidR="00427468">
        <w:rPr>
          <w:iCs/>
          <w:kern w:val="0"/>
        </w:rPr>
        <w:t xml:space="preserve"> of </w:t>
      </w:r>
      <w:r w:rsidRPr="00C958EB">
        <w:rPr>
          <w:iCs/>
          <w:kern w:val="0"/>
        </w:rPr>
        <w:t>Sport Medicine</w:t>
      </w:r>
    </w:p>
    <w:p w:rsidR="005D3B27" w:rsidRPr="00C73C58" w:rsidRDefault="005D3B27" w:rsidP="005D3B27">
      <w:pPr>
        <w:pStyle w:val="12"/>
      </w:pPr>
      <w:r w:rsidRPr="00C73C58">
        <w:t xml:space="preserve">ISO Abbreviated Title: </w:t>
      </w:r>
    </w:p>
    <w:p w:rsidR="005D3B27" w:rsidRPr="00C73C58" w:rsidRDefault="005D3B27" w:rsidP="005D3B27">
      <w:pPr>
        <w:pStyle w:val="12"/>
      </w:pPr>
      <w:r w:rsidRPr="00C73C58">
        <w:t xml:space="preserve">JCR Abbreviated Title: </w:t>
      </w:r>
    </w:p>
    <w:p w:rsidR="005D3B27" w:rsidRPr="00C73C58" w:rsidRDefault="005D3B27" w:rsidP="005D3B27">
      <w:pPr>
        <w:pStyle w:val="12"/>
      </w:pPr>
      <w:r w:rsidRPr="00C73C58">
        <w:t xml:space="preserve">ISSN: </w:t>
      </w:r>
    </w:p>
    <w:p w:rsidR="005D3B27" w:rsidRPr="00C73C58" w:rsidRDefault="005D3B27" w:rsidP="005D3B27">
      <w:pPr>
        <w:pStyle w:val="12"/>
      </w:pPr>
      <w:r w:rsidRPr="00C73C58">
        <w:t xml:space="preserve">Issues/Year: </w:t>
      </w:r>
    </w:p>
    <w:p w:rsidR="005D3B27" w:rsidRPr="00C73C58" w:rsidRDefault="005D3B27" w:rsidP="005D3B27">
      <w:pPr>
        <w:pStyle w:val="12"/>
      </w:pPr>
      <w:r w:rsidRPr="00C73C58">
        <w:t xml:space="preserve">Language: </w:t>
      </w:r>
    </w:p>
    <w:p w:rsidR="005D3B27" w:rsidRPr="00C73C58" w:rsidRDefault="005D3B27" w:rsidP="005D3B27">
      <w:pPr>
        <w:pStyle w:val="12"/>
      </w:pPr>
      <w:r w:rsidRPr="00C73C58">
        <w:t xml:space="preserve">Journal Country/Territory: </w:t>
      </w:r>
    </w:p>
    <w:p w:rsidR="005D3B27" w:rsidRPr="00C73C58" w:rsidRDefault="005D3B27" w:rsidP="005D3B27">
      <w:pPr>
        <w:pStyle w:val="12"/>
      </w:pPr>
      <w:r w:rsidRPr="00C73C58">
        <w:t xml:space="preserve">Publisher: </w:t>
      </w:r>
    </w:p>
    <w:p w:rsidR="005D3B27" w:rsidRPr="00C73C58" w:rsidRDefault="005D3B27" w:rsidP="005D3B27">
      <w:pPr>
        <w:pStyle w:val="12"/>
      </w:pPr>
      <w:r w:rsidRPr="00C73C58">
        <w:t xml:space="preserve">Publisher Address: </w:t>
      </w:r>
    </w:p>
    <w:p w:rsidR="005D3B27" w:rsidRPr="00C73C58" w:rsidRDefault="005D3B27" w:rsidP="005D3B27">
      <w:pPr>
        <w:pStyle w:val="12"/>
      </w:pPr>
      <w:r w:rsidRPr="00C73C58">
        <w:t xml:space="preserve">Subject Categories: </w:t>
      </w:r>
    </w:p>
    <w:p w:rsidR="005D3B27" w:rsidRPr="00C73C58" w:rsidRDefault="005D3B27" w:rsidP="005D3B27">
      <w:pPr>
        <w:pStyle w:val="12"/>
      </w:pPr>
      <w:r w:rsidRPr="00C73C58">
        <w:t>: Impact Factor</w:t>
      </w:r>
    </w:p>
    <w:p w:rsidR="005D3B27" w:rsidRDefault="005D3B27" w:rsidP="005D3B27">
      <w:pPr>
        <w:pStyle w:val="a3"/>
        <w:rPr>
          <w:kern w:val="0"/>
        </w:rPr>
      </w:pPr>
      <w:r>
        <w:rPr>
          <w:rFonts w:hint="eastAsia"/>
          <w:kern w:val="0"/>
        </w:rPr>
        <w:t xml:space="preserve">? </w:t>
      </w:r>
      <w:r>
        <w:rPr>
          <w:kern w:val="0"/>
        </w:rPr>
        <w:t>Warsh, J.M., Constantin, S.A., Howard, A.</w:t>
      </w:r>
      <w:r w:rsidR="005853A9">
        <w:rPr>
          <w:kern w:val="0"/>
        </w:rPr>
        <w:t xml:space="preserve"> and </w:t>
      </w:r>
      <w:r>
        <w:rPr>
          <w:kern w:val="0"/>
        </w:rPr>
        <w:t>Macpherson, A. (2009), A systematic review</w:t>
      </w:r>
      <w:r w:rsidR="00427468">
        <w:rPr>
          <w:kern w:val="0"/>
        </w:rPr>
        <w:t xml:space="preserve"> of </w:t>
      </w:r>
      <w:r w:rsidR="003A1917">
        <w:rPr>
          <w:kern w:val="0"/>
        </w:rPr>
        <w:t xml:space="preserve">the </w:t>
      </w:r>
      <w:r>
        <w:rPr>
          <w:kern w:val="0"/>
        </w:rPr>
        <w:t>association between body checking</w:t>
      </w:r>
      <w:r w:rsidR="005853A9">
        <w:rPr>
          <w:kern w:val="0"/>
        </w:rPr>
        <w:t xml:space="preserve"> and </w:t>
      </w:r>
      <w:r>
        <w:rPr>
          <w:kern w:val="0"/>
        </w:rPr>
        <w:t xml:space="preserve">injury in youth ice hockey. </w:t>
      </w:r>
      <w:r w:rsidRPr="00C958EB">
        <w:rPr>
          <w:i/>
          <w:iCs/>
          <w:kern w:val="0"/>
        </w:rPr>
        <w:t>Clinical Journal</w:t>
      </w:r>
      <w:r w:rsidR="00427468">
        <w:rPr>
          <w:i/>
          <w:iCs/>
          <w:kern w:val="0"/>
        </w:rPr>
        <w:t xml:space="preserve"> of </w:t>
      </w:r>
      <w:r w:rsidRPr="00C958EB">
        <w:rPr>
          <w:i/>
          <w:iCs/>
          <w:kern w:val="0"/>
        </w:rPr>
        <w:t>Sport Medicine</w:t>
      </w:r>
      <w:r>
        <w:rPr>
          <w:kern w:val="0"/>
        </w:rPr>
        <w:t xml:space="preserve">, </w:t>
      </w:r>
      <w:r>
        <w:rPr>
          <w:b/>
          <w:bCs/>
          <w:kern w:val="0"/>
        </w:rPr>
        <w:t>19</w:t>
      </w:r>
      <w:r>
        <w:rPr>
          <w:kern w:val="0"/>
        </w:rPr>
        <w:t xml:space="preserve"> (2), 134-144.</w:t>
      </w:r>
    </w:p>
    <w:p w:rsidR="002F0F1A" w:rsidRDefault="002F0F1A" w:rsidP="002F0F1A">
      <w:pPr>
        <w:pStyle w:val="a3"/>
        <w:rPr>
          <w:kern w:val="0"/>
        </w:rPr>
      </w:pPr>
      <w:r>
        <w:rPr>
          <w:rFonts w:hint="eastAsia"/>
          <w:kern w:val="0"/>
        </w:rPr>
        <w:t xml:space="preserve">Full Text: </w:t>
      </w:r>
      <w:hyperlink r:id="rId367" w:history="1">
        <w:r w:rsidRPr="002F0F1A">
          <w:rPr>
            <w:rStyle w:val="a5"/>
            <w:kern w:val="0"/>
          </w:rPr>
          <w:t>2009\Cli J Spo Med19, 134.pdf</w:t>
        </w:r>
      </w:hyperlink>
    </w:p>
    <w:p w:rsidR="005D3B27" w:rsidRDefault="005D3B27" w:rsidP="005D3B27">
      <w:pPr>
        <w:pStyle w:val="a3"/>
        <w:rPr>
          <w:kern w:val="0"/>
        </w:rPr>
      </w:pPr>
      <w:r>
        <w:rPr>
          <w:kern w:val="0"/>
        </w:rPr>
        <w:t>Abstract: Objective:</w:t>
      </w:r>
      <w:r w:rsidR="003A1917">
        <w:rPr>
          <w:kern w:val="0"/>
        </w:rPr>
        <w:t xml:space="preserve"> the </w:t>
      </w:r>
      <w:r>
        <w:rPr>
          <w:kern w:val="0"/>
        </w:rPr>
        <w:t>objective</w:t>
      </w:r>
      <w:r w:rsidR="00427468">
        <w:rPr>
          <w:kern w:val="0"/>
        </w:rPr>
        <w:t xml:space="preserve"> of </w:t>
      </w:r>
      <w:r>
        <w:rPr>
          <w:kern w:val="0"/>
        </w:rPr>
        <w:t>this study is to systematically examine</w:t>
      </w:r>
      <w:r w:rsidR="003A1917">
        <w:rPr>
          <w:kern w:val="0"/>
        </w:rPr>
        <w:t xml:space="preserve"> the </w:t>
      </w:r>
      <w:r>
        <w:rPr>
          <w:kern w:val="0"/>
        </w:rPr>
        <w:t>risk</w:t>
      </w:r>
      <w:r w:rsidR="00427468">
        <w:rPr>
          <w:kern w:val="0"/>
        </w:rPr>
        <w:t xml:space="preserve"> of </w:t>
      </w:r>
      <w:r>
        <w:rPr>
          <w:kern w:val="0"/>
        </w:rPr>
        <w:t>injury associated with body checking in youth ice hockey. Data Sources: A systematic review</w:t>
      </w:r>
      <w:r w:rsidR="00427468">
        <w:rPr>
          <w:kern w:val="0"/>
        </w:rPr>
        <w:t xml:space="preserve"> of </w:t>
      </w:r>
      <w:r w:rsidR="003A1917">
        <w:rPr>
          <w:kern w:val="0"/>
        </w:rPr>
        <w:t xml:space="preserve">the </w:t>
      </w:r>
      <w:r>
        <w:rPr>
          <w:kern w:val="0"/>
        </w:rPr>
        <w:t>relevant electronic databases was conducted including PUBMED</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 xml:space="preserve">main search terms included </w:t>
      </w:r>
      <w:r w:rsidR="00B5188C">
        <w:rPr>
          <w:kern w:val="0"/>
        </w:rPr>
        <w:t>“</w:t>
      </w:r>
      <w:r>
        <w:rPr>
          <w:kern w:val="0"/>
        </w:rPr>
        <w:t>hockey, ice hockey, injury., body checking, child, adolescent,</w:t>
      </w:r>
      <w:r w:rsidR="005853A9">
        <w:rPr>
          <w:kern w:val="0"/>
        </w:rPr>
        <w:t xml:space="preserve"> and </w:t>
      </w:r>
      <w:r>
        <w:rPr>
          <w:kern w:val="0"/>
        </w:rPr>
        <w:t>pediatric.</w:t>
      </w:r>
      <w:r w:rsidR="00B5188C">
        <w:rPr>
          <w:kern w:val="0"/>
        </w:rPr>
        <w:t>”</w:t>
      </w:r>
      <w:r>
        <w:rPr>
          <w:kern w:val="0"/>
        </w:rPr>
        <w:t xml:space="preserve"> Study Selection:</w:t>
      </w:r>
      <w:r w:rsidR="003A1917">
        <w:rPr>
          <w:kern w:val="0"/>
        </w:rPr>
        <w:t xml:space="preserve"> the </w:t>
      </w:r>
      <w:r>
        <w:rPr>
          <w:kern w:val="0"/>
        </w:rPr>
        <w:t>initial search identified 898 potential articles, and, after verifying inclusion criteria, 260 articles were selected for further assessment</w:t>
      </w:r>
      <w:r w:rsidR="00A37C1D">
        <w:rPr>
          <w:kern w:val="0"/>
        </w:rPr>
        <w:t>. The</w:t>
      </w:r>
      <w:r w:rsidR="003A1917">
        <w:rPr>
          <w:kern w:val="0"/>
        </w:rPr>
        <w:t xml:space="preserve"> </w:t>
      </w:r>
      <w:r>
        <w:rPr>
          <w:kern w:val="0"/>
        </w:rPr>
        <w:t>Downs</w:t>
      </w:r>
      <w:r w:rsidR="005853A9">
        <w:rPr>
          <w:kern w:val="0"/>
        </w:rPr>
        <w:t xml:space="preserve"> and </w:t>
      </w:r>
      <w:r>
        <w:rPr>
          <w:kern w:val="0"/>
        </w:rPr>
        <w:t>Black instrument for non-randomized Studies (Downs 1998.) was used to assess</w:t>
      </w:r>
      <w:r w:rsidR="003A1917">
        <w:rPr>
          <w:kern w:val="0"/>
        </w:rPr>
        <w:t xml:space="preserve"> the </w:t>
      </w:r>
      <w:r>
        <w:rPr>
          <w:kern w:val="0"/>
        </w:rPr>
        <w:t>quality</w:t>
      </w:r>
      <w:r w:rsidR="00427468">
        <w:rPr>
          <w:kern w:val="0"/>
        </w:rPr>
        <w:t xml:space="preserve"> of </w:t>
      </w:r>
      <w:r w:rsidR="003A1917">
        <w:rPr>
          <w:kern w:val="0"/>
        </w:rPr>
        <w:t xml:space="preserve">the </w:t>
      </w:r>
      <w:r>
        <w:rPr>
          <w:kern w:val="0"/>
        </w:rPr>
        <w:t>articles. Data Extraction: Studies included reported on body checking as a mechanism</w:t>
      </w:r>
      <w:r w:rsidR="00427468">
        <w:rPr>
          <w:kern w:val="0"/>
        </w:rPr>
        <w:t xml:space="preserve"> of </w:t>
      </w:r>
      <w:r>
        <w:rPr>
          <w:kern w:val="0"/>
        </w:rPr>
        <w:t>injury</w:t>
      </w:r>
      <w:r w:rsidR="005853A9">
        <w:rPr>
          <w:kern w:val="0"/>
        </w:rPr>
        <w:t xml:space="preserve"> and </w:t>
      </w:r>
      <w:r>
        <w:rPr>
          <w:kern w:val="0"/>
        </w:rPr>
        <w:t>compared injury rates in checking to non-checking leagues in children 20 years or Younger. Data Synthesis: Twenty studies met</w:t>
      </w:r>
      <w:r w:rsidR="003A1917">
        <w:rPr>
          <w:kern w:val="0"/>
        </w:rPr>
        <w:t xml:space="preserve"> the </w:t>
      </w:r>
      <w:r>
        <w:rPr>
          <w:kern w:val="0"/>
        </w:rPr>
        <w:t>inclusion criteria</w:t>
      </w:r>
      <w:r w:rsidR="005853A9">
        <w:rPr>
          <w:kern w:val="0"/>
        </w:rPr>
        <w:t xml:space="preserve"> and </w:t>
      </w:r>
      <w:r>
        <w:rPr>
          <w:kern w:val="0"/>
        </w:rPr>
        <w:t>they predominantly found increased injuries associated with body checking</w:t>
      </w:r>
      <w:r w:rsidR="00A37C1D">
        <w:rPr>
          <w:kern w:val="0"/>
        </w:rPr>
        <w:t>. The</w:t>
      </w:r>
      <w:r w:rsidR="003A1917">
        <w:rPr>
          <w:kern w:val="0"/>
        </w:rPr>
        <w:t xml:space="preserve"> </w:t>
      </w:r>
      <w:r>
        <w:rPr>
          <w:kern w:val="0"/>
        </w:rPr>
        <w:t>relative risk</w:t>
      </w:r>
      <w:r w:rsidR="00427468">
        <w:rPr>
          <w:kern w:val="0"/>
        </w:rPr>
        <w:t xml:space="preserve"> of </w:t>
      </w:r>
      <w:r>
        <w:rPr>
          <w:kern w:val="0"/>
        </w:rPr>
        <w:t>injury associated with body checking in comparative studies ranged from 0.6 to 39.8. Checking was</w:t>
      </w:r>
      <w:r w:rsidR="003A1917">
        <w:rPr>
          <w:kern w:val="0"/>
        </w:rPr>
        <w:t xml:space="preserve"> the </w:t>
      </w:r>
      <w:r>
        <w:rPr>
          <w:kern w:val="0"/>
        </w:rPr>
        <w:t>reported mechanism</w:t>
      </w:r>
      <w:r w:rsidR="00427468">
        <w:rPr>
          <w:kern w:val="0"/>
        </w:rPr>
        <w:t xml:space="preserve"> of </w:t>
      </w:r>
      <w:r>
        <w:rPr>
          <w:kern w:val="0"/>
        </w:rPr>
        <w:t>injury between 2.9%</w:t>
      </w:r>
      <w:r w:rsidR="005853A9">
        <w:rPr>
          <w:kern w:val="0"/>
        </w:rPr>
        <w:t xml:space="preserve"> and </w:t>
      </w:r>
      <w:r>
        <w:rPr>
          <w:kern w:val="0"/>
        </w:rPr>
        <w:t>91%</w:t>
      </w:r>
      <w:r w:rsidR="00427468">
        <w:rPr>
          <w:kern w:val="0"/>
        </w:rPr>
        <w:t xml:space="preserve"> of </w:t>
      </w:r>
      <w:r>
        <w:rPr>
          <w:kern w:val="0"/>
        </w:rPr>
        <w:t>injuries. All but I study that met Our inclusion criteria found an increased risk</w:t>
      </w:r>
      <w:r w:rsidR="00427468">
        <w:rPr>
          <w:kern w:val="0"/>
        </w:rPr>
        <w:t xml:space="preserve"> of </w:t>
      </w:r>
      <w:r>
        <w:rPr>
          <w:kern w:val="0"/>
        </w:rPr>
        <w:t>injuries when body checking was permitted. Conclusions: Increased injuries attributable to checking were found where checking was allowed. This study supports policies that disallow body checking to reduce injuries in young children.</w:t>
      </w:r>
    </w:p>
    <w:p w:rsidR="005D3B27" w:rsidRDefault="005D3B27" w:rsidP="005D3B27">
      <w:pPr>
        <w:pStyle w:val="a3"/>
        <w:rPr>
          <w:kern w:val="0"/>
        </w:rPr>
      </w:pPr>
      <w:r>
        <w:rPr>
          <w:kern w:val="0"/>
        </w:rPr>
        <w:t xml:space="preserve">Keywords: Adolescent, Assessment, Body Checking, Bodychecking, Child, Children, Concussions, Databases, Epidemiology, Extraction, Hockey, Injury, Mechanism, Players, Policies, PUBMED, Rates, Relative Risk, Review, Risk, Science, Season, </w:t>
      </w:r>
      <w:r>
        <w:rPr>
          <w:kern w:val="0"/>
        </w:rPr>
        <w:lastRenderedPageBreak/>
        <w:t xml:space="preserve">Sources, Spoils, Systematic, Systematic Review, </w:t>
      </w:r>
      <w:r w:rsidR="00D5664A">
        <w:rPr>
          <w:kern w:val="0"/>
        </w:rPr>
        <w:t>Web</w:t>
      </w:r>
      <w:r w:rsidR="00427468">
        <w:rPr>
          <w:kern w:val="0"/>
        </w:rPr>
        <w:t xml:space="preserve"> of </w:t>
      </w:r>
      <w:r w:rsidR="00D5664A">
        <w:rPr>
          <w:kern w:val="0"/>
        </w:rPr>
        <w:t>Science</w:t>
      </w:r>
      <w:r>
        <w:rPr>
          <w:kern w:val="0"/>
        </w:rPr>
        <w:t>, Youth</w:t>
      </w:r>
    </w:p>
    <w:p w:rsidR="005D3B27" w:rsidRDefault="005D3B27" w:rsidP="005D3B27">
      <w:pPr>
        <w:pStyle w:val="a3"/>
        <w:rPr>
          <w:kern w:val="0"/>
        </w:rPr>
      </w:pPr>
      <w:r>
        <w:rPr>
          <w:rFonts w:hint="eastAsia"/>
          <w:kern w:val="0"/>
        </w:rPr>
        <w:t xml:space="preserve">? </w:t>
      </w:r>
      <w:r>
        <w:rPr>
          <w:kern w:val="0"/>
        </w:rPr>
        <w:t>Klugl, M., Shrier, I., McBain, K., Shultz, R., Meeuwisse, W.H., Garza, D.</w:t>
      </w:r>
      <w:r w:rsidR="005853A9">
        <w:rPr>
          <w:kern w:val="0"/>
        </w:rPr>
        <w:t xml:space="preserve"> and </w:t>
      </w:r>
      <w:r>
        <w:rPr>
          <w:kern w:val="0"/>
        </w:rPr>
        <w:t>Matheson, G.O. (2010</w:t>
      </w:r>
      <w:r w:rsidR="00F42EAC">
        <w:rPr>
          <w:kern w:val="0"/>
        </w:rPr>
        <w:t>), The</w:t>
      </w:r>
      <w:r w:rsidR="003A1917">
        <w:rPr>
          <w:kern w:val="0"/>
        </w:rPr>
        <w:t xml:space="preserve"> </w:t>
      </w:r>
      <w:r>
        <w:rPr>
          <w:kern w:val="0"/>
        </w:rPr>
        <w:t>prevention</w:t>
      </w:r>
      <w:r w:rsidR="00427468">
        <w:rPr>
          <w:kern w:val="0"/>
        </w:rPr>
        <w:t xml:space="preserve"> of </w:t>
      </w:r>
      <w:r>
        <w:rPr>
          <w:kern w:val="0"/>
        </w:rPr>
        <w:t xml:space="preserve">sport injury: </w:t>
      </w:r>
      <w:r w:rsidR="002F0F1A">
        <w:rPr>
          <w:kern w:val="0"/>
        </w:rPr>
        <w:t xml:space="preserve">An </w:t>
      </w:r>
      <w:r>
        <w:rPr>
          <w:kern w:val="0"/>
        </w:rPr>
        <w:t>analysis</w:t>
      </w:r>
      <w:r w:rsidR="00427468">
        <w:rPr>
          <w:kern w:val="0"/>
        </w:rPr>
        <w:t xml:space="preserve"> of </w:t>
      </w:r>
      <w:r>
        <w:rPr>
          <w:kern w:val="0"/>
        </w:rPr>
        <w:t xml:space="preserve">12 000 published manuscripts. </w:t>
      </w:r>
      <w:r>
        <w:rPr>
          <w:i/>
          <w:iCs/>
          <w:kern w:val="0"/>
        </w:rPr>
        <w:t>Clinical Journal</w:t>
      </w:r>
      <w:r w:rsidR="00427468">
        <w:rPr>
          <w:i/>
          <w:iCs/>
          <w:kern w:val="0"/>
        </w:rPr>
        <w:t xml:space="preserve"> of </w:t>
      </w:r>
      <w:r>
        <w:rPr>
          <w:i/>
          <w:iCs/>
          <w:kern w:val="0"/>
        </w:rPr>
        <w:t>Sport Medicine</w:t>
      </w:r>
      <w:r>
        <w:rPr>
          <w:kern w:val="0"/>
        </w:rPr>
        <w:t xml:space="preserve">, </w:t>
      </w:r>
      <w:r>
        <w:rPr>
          <w:b/>
          <w:bCs/>
          <w:kern w:val="0"/>
        </w:rPr>
        <w:t>20</w:t>
      </w:r>
      <w:r>
        <w:rPr>
          <w:kern w:val="0"/>
        </w:rPr>
        <w:t xml:space="preserve"> (6), 407-412.</w:t>
      </w:r>
    </w:p>
    <w:p w:rsidR="002F0F1A" w:rsidRDefault="002F0F1A" w:rsidP="002F0F1A">
      <w:pPr>
        <w:pStyle w:val="a3"/>
        <w:rPr>
          <w:kern w:val="0"/>
        </w:rPr>
      </w:pPr>
      <w:r>
        <w:rPr>
          <w:rFonts w:hint="eastAsia"/>
          <w:kern w:val="0"/>
        </w:rPr>
        <w:t xml:space="preserve">Full Text: </w:t>
      </w:r>
      <w:hyperlink r:id="rId368" w:history="1">
        <w:r w:rsidRPr="002F0F1A">
          <w:rPr>
            <w:rStyle w:val="a5"/>
            <w:kern w:val="0"/>
          </w:rPr>
          <w:t>2010\Cli J Spo Med20, 407.pdf</w:t>
        </w:r>
      </w:hyperlink>
    </w:p>
    <w:p w:rsidR="005D3B27" w:rsidRDefault="005D3B27" w:rsidP="005D3B27">
      <w:pPr>
        <w:pStyle w:val="a3"/>
        <w:rPr>
          <w:kern w:val="0"/>
        </w:rPr>
      </w:pPr>
      <w:r>
        <w:rPr>
          <w:kern w:val="0"/>
        </w:rPr>
        <w:t>Abstract: Objective: To identify</w:t>
      </w:r>
      <w:r w:rsidR="003A1917">
        <w:rPr>
          <w:kern w:val="0"/>
        </w:rPr>
        <w:t xml:space="preserve"> the </w:t>
      </w:r>
      <w:r>
        <w:rPr>
          <w:kern w:val="0"/>
        </w:rPr>
        <w:t>nature</w:t>
      </w:r>
      <w:r w:rsidR="005853A9">
        <w:rPr>
          <w:kern w:val="0"/>
        </w:rPr>
        <w:t xml:space="preserve"> and </w:t>
      </w:r>
      <w:r>
        <w:rPr>
          <w:kern w:val="0"/>
        </w:rPr>
        <w:t>extent</w:t>
      </w:r>
      <w:r w:rsidR="00427468">
        <w:rPr>
          <w:kern w:val="0"/>
        </w:rPr>
        <w:t xml:space="preserve"> of </w:t>
      </w:r>
      <w:r>
        <w:rPr>
          <w:kern w:val="0"/>
        </w:rPr>
        <w:t>research in sport injury prevention with respect to 3 main categories: (1) training, (2) equipment,</w:t>
      </w:r>
      <w:r w:rsidR="005853A9">
        <w:rPr>
          <w:kern w:val="0"/>
        </w:rPr>
        <w:t xml:space="preserve"> and </w:t>
      </w:r>
      <w:r>
        <w:rPr>
          <w:kern w:val="0"/>
        </w:rPr>
        <w:t>(3) rules</w:t>
      </w:r>
      <w:r w:rsidR="005853A9">
        <w:rPr>
          <w:kern w:val="0"/>
        </w:rPr>
        <w:t xml:space="preserve"> and </w:t>
      </w:r>
      <w:r>
        <w:rPr>
          <w:kern w:val="0"/>
        </w:rPr>
        <w:t xml:space="preserve">regulations. Data Sources: We searched PUBMED, CINAHL,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Pr>
          <w:kern w:val="0"/>
        </w:rPr>
        <w:t>SPORTDiscus to retrieve all sports injury prevention publications. Articles were categorized according to</w:t>
      </w:r>
      <w:r w:rsidR="003A1917">
        <w:rPr>
          <w:kern w:val="0"/>
        </w:rPr>
        <w:t xml:space="preserve"> the </w:t>
      </w:r>
      <w:r>
        <w:rPr>
          <w:kern w:val="0"/>
        </w:rPr>
        <w:t>translating research into injury prevention practice model. Results: We retrieved 11 859 articles published since 1938. Fifty-six percent (n = 6641)</w:t>
      </w:r>
      <w:r w:rsidR="00427468">
        <w:rPr>
          <w:kern w:val="0"/>
        </w:rPr>
        <w:t xml:space="preserve"> of </w:t>
      </w:r>
      <w:r>
        <w:rPr>
          <w:kern w:val="0"/>
        </w:rPr>
        <w:t>publications were nonresearch (review articles</w:t>
      </w:r>
      <w:r w:rsidR="005853A9">
        <w:rPr>
          <w:kern w:val="0"/>
        </w:rPr>
        <w:t xml:space="preserve"> and </w:t>
      </w:r>
      <w:r>
        <w:rPr>
          <w:kern w:val="0"/>
        </w:rPr>
        <w:t>editorials). Publications documenting incidence (n = 1354)</w:t>
      </w:r>
      <w:r w:rsidR="005853A9">
        <w:rPr>
          <w:kern w:val="0"/>
        </w:rPr>
        <w:t xml:space="preserve"> and </w:t>
      </w:r>
      <w:r>
        <w:rPr>
          <w:kern w:val="0"/>
        </w:rPr>
        <w:t>etiology (n = 2558) were</w:t>
      </w:r>
      <w:r w:rsidR="003A1917">
        <w:rPr>
          <w:kern w:val="0"/>
        </w:rPr>
        <w:t xml:space="preserve"> the </w:t>
      </w:r>
      <w:r>
        <w:rPr>
          <w:kern w:val="0"/>
        </w:rPr>
        <w:t>most common original research articles (33%</w:t>
      </w:r>
      <w:r w:rsidR="00427468">
        <w:rPr>
          <w:kern w:val="0"/>
        </w:rPr>
        <w:t xml:space="preserve"> of </w:t>
      </w:r>
      <w:r>
        <w:rPr>
          <w:kern w:val="0"/>
        </w:rPr>
        <w:t>total). Articles reporting preventive measures (n = 708)</w:t>
      </w:r>
      <w:r w:rsidR="005853A9">
        <w:rPr>
          <w:kern w:val="0"/>
        </w:rPr>
        <w:t xml:space="preserve"> and </w:t>
      </w:r>
      <w:r>
        <w:rPr>
          <w:kern w:val="0"/>
        </w:rPr>
        <w:t>efficacy (n = 460) were less common (10%</w:t>
      </w:r>
      <w:r w:rsidR="00427468">
        <w:rPr>
          <w:kern w:val="0"/>
        </w:rPr>
        <w:t xml:space="preserve"> of </w:t>
      </w:r>
      <w:r w:rsidR="003A1917">
        <w:rPr>
          <w:kern w:val="0"/>
        </w:rPr>
        <w:t xml:space="preserve">the </w:t>
      </w:r>
      <w:r>
        <w:rPr>
          <w:kern w:val="0"/>
        </w:rPr>
        <w:t>total),</w:t>
      </w:r>
      <w:r w:rsidR="005853A9">
        <w:rPr>
          <w:kern w:val="0"/>
        </w:rPr>
        <w:t xml:space="preserve"> and </w:t>
      </w:r>
      <w:r>
        <w:rPr>
          <w:kern w:val="0"/>
        </w:rPr>
        <w:t>those investigating implementation (n = 162)</w:t>
      </w:r>
      <w:r w:rsidR="005853A9">
        <w:rPr>
          <w:kern w:val="0"/>
        </w:rPr>
        <w:t xml:space="preserve"> and </w:t>
      </w:r>
      <w:r>
        <w:rPr>
          <w:kern w:val="0"/>
        </w:rPr>
        <w:t>effectiveness (n = 32) were rare (1%</w:t>
      </w:r>
      <w:r w:rsidR="00427468">
        <w:rPr>
          <w:kern w:val="0"/>
        </w:rPr>
        <w:t xml:space="preserve"> of </w:t>
      </w:r>
      <w:r>
        <w:rPr>
          <w:kern w:val="0"/>
        </w:rPr>
        <w:t>total). Six hundred seventy-seven studies focused on equipment</w:t>
      </w:r>
      <w:r w:rsidR="005853A9">
        <w:rPr>
          <w:kern w:val="0"/>
        </w:rPr>
        <w:t xml:space="preserve"> and </w:t>
      </w:r>
      <w:r>
        <w:rPr>
          <w:kern w:val="0"/>
        </w:rPr>
        <w:t>devices to protect against injury, whereas 551 investigated various forms</w:t>
      </w:r>
      <w:r w:rsidR="00427468">
        <w:rPr>
          <w:kern w:val="0"/>
        </w:rPr>
        <w:t xml:space="preserve"> of </w:t>
      </w:r>
      <w:r>
        <w:rPr>
          <w:kern w:val="0"/>
        </w:rPr>
        <w:t>physical training related to injury prevention. Surprisingly, publications studying changes in rules</w:t>
      </w:r>
      <w:r w:rsidR="005853A9">
        <w:rPr>
          <w:kern w:val="0"/>
        </w:rPr>
        <w:t xml:space="preserve"> and </w:t>
      </w:r>
      <w:r>
        <w:rPr>
          <w:kern w:val="0"/>
        </w:rPr>
        <w:t>regulations aimed at increasing safety</w:t>
      </w:r>
      <w:r w:rsidR="005853A9">
        <w:rPr>
          <w:kern w:val="0"/>
        </w:rPr>
        <w:t xml:space="preserve"> and </w:t>
      </w:r>
      <w:r>
        <w:rPr>
          <w:kern w:val="0"/>
        </w:rPr>
        <w:t>reducing injuries were rare (&lt;1%; n = 63) with a peak</w:t>
      </w:r>
      <w:r w:rsidR="00427468">
        <w:rPr>
          <w:kern w:val="0"/>
        </w:rPr>
        <w:t xml:space="preserve"> of </w:t>
      </w:r>
      <w:r>
        <w:rPr>
          <w:kern w:val="0"/>
        </w:rPr>
        <w:t>only 20 articles over</w:t>
      </w:r>
      <w:r w:rsidR="003A1917">
        <w:rPr>
          <w:kern w:val="0"/>
        </w:rPr>
        <w:t xml:space="preserve"> the </w:t>
      </w:r>
      <w:r>
        <w:rPr>
          <w:kern w:val="0"/>
        </w:rPr>
        <w:t>most recent 5-year period</w:t>
      </w:r>
      <w:r w:rsidR="005853A9">
        <w:rPr>
          <w:kern w:val="0"/>
        </w:rPr>
        <w:t xml:space="preserve"> and </w:t>
      </w:r>
      <w:r>
        <w:rPr>
          <w:kern w:val="0"/>
        </w:rPr>
        <w:t>an average</w:t>
      </w:r>
      <w:r w:rsidR="00427468">
        <w:rPr>
          <w:kern w:val="0"/>
        </w:rPr>
        <w:t xml:space="preserve"> of </w:t>
      </w:r>
      <w:r>
        <w:rPr>
          <w:kern w:val="0"/>
        </w:rPr>
        <w:t>10 articles over</w:t>
      </w:r>
      <w:r w:rsidR="003A1917">
        <w:rPr>
          <w:kern w:val="0"/>
        </w:rPr>
        <w:t xml:space="preserve"> the </w:t>
      </w:r>
      <w:r>
        <w:rPr>
          <w:kern w:val="0"/>
        </w:rPr>
        <w:t>preceding 5-year blocks</w:t>
      </w:r>
      <w:r w:rsidR="00427468">
        <w:rPr>
          <w:kern w:val="0"/>
        </w:rPr>
        <w:t xml:space="preserve"> of </w:t>
      </w:r>
      <w:r>
        <w:rPr>
          <w:kern w:val="0"/>
        </w:rPr>
        <w:t>time. Conclusions: Only 492</w:t>
      </w:r>
      <w:r w:rsidR="00427468">
        <w:rPr>
          <w:kern w:val="0"/>
        </w:rPr>
        <w:t xml:space="preserve"> of </w:t>
      </w:r>
      <w:r>
        <w:rPr>
          <w:kern w:val="0"/>
        </w:rPr>
        <w:t>11 859 publications actually assessed</w:t>
      </w:r>
      <w:r w:rsidR="003A1917">
        <w:rPr>
          <w:kern w:val="0"/>
        </w:rPr>
        <w:t xml:space="preserve"> the </w:t>
      </w:r>
      <w:r>
        <w:rPr>
          <w:kern w:val="0"/>
        </w:rPr>
        <w:t>effectiveness</w:t>
      </w:r>
      <w:r w:rsidR="00427468">
        <w:rPr>
          <w:kern w:val="0"/>
        </w:rPr>
        <w:t xml:space="preserve"> of </w:t>
      </w:r>
      <w:r>
        <w:rPr>
          <w:kern w:val="0"/>
        </w:rPr>
        <w:t>sports injury prevention interventions or their implementation. Research in</w:t>
      </w:r>
      <w:r w:rsidR="003A1917">
        <w:rPr>
          <w:kern w:val="0"/>
        </w:rPr>
        <w:t xml:space="preserve"> the </w:t>
      </w:r>
      <w:r>
        <w:rPr>
          <w:kern w:val="0"/>
        </w:rPr>
        <w:t>area</w:t>
      </w:r>
      <w:r w:rsidR="00427468">
        <w:rPr>
          <w:kern w:val="0"/>
        </w:rPr>
        <w:t xml:space="preserve"> of </w:t>
      </w:r>
      <w:r>
        <w:rPr>
          <w:kern w:val="0"/>
        </w:rPr>
        <w:t>regulatory change is underrepresented</w:t>
      </w:r>
      <w:r w:rsidR="005853A9">
        <w:rPr>
          <w:kern w:val="0"/>
        </w:rPr>
        <w:t xml:space="preserve"> and </w:t>
      </w:r>
      <w:r>
        <w:rPr>
          <w:kern w:val="0"/>
        </w:rPr>
        <w:t>might represent one</w:t>
      </w:r>
      <w:r w:rsidR="00427468">
        <w:rPr>
          <w:kern w:val="0"/>
        </w:rPr>
        <w:t xml:space="preserve"> of </w:t>
      </w:r>
      <w:r w:rsidR="003A1917">
        <w:rPr>
          <w:kern w:val="0"/>
        </w:rPr>
        <w:t xml:space="preserve">the </w:t>
      </w:r>
      <w:r>
        <w:rPr>
          <w:kern w:val="0"/>
        </w:rPr>
        <w:t>greatest opportunities to prevent injury.</w:t>
      </w:r>
    </w:p>
    <w:p w:rsidR="005D3B27" w:rsidRDefault="005D3B27" w:rsidP="005D3B27">
      <w:pPr>
        <w:pStyle w:val="a3"/>
        <w:rPr>
          <w:kern w:val="0"/>
        </w:rPr>
      </w:pPr>
      <w:r>
        <w:rPr>
          <w:kern w:val="0"/>
        </w:rPr>
        <w:t xml:space="preserve">Keywords: Articles, Consensus Statement, Critical Appraisal, Data-Collection Procedures, Effectiveness, Efficacy, Etiology, Former Soccer Players, Health, Injury, Injury Prevention, Interventions, Model, Olympic Games, Osteoarthritis, Physical-Activity, Practice, Prevention, Professional Football, Publications, PUBMED, Randomized Controlled-Trial, Research, Review, Rugby Union, Safety, Science, Sources, Sport, Sport Injury, Sports, Training, </w:t>
      </w:r>
      <w:r w:rsidR="00D5664A">
        <w:rPr>
          <w:kern w:val="0"/>
        </w:rPr>
        <w:t>Web</w:t>
      </w:r>
      <w:r w:rsidR="00427468">
        <w:rPr>
          <w:kern w:val="0"/>
        </w:rPr>
        <w:t xml:space="preserve"> of </w:t>
      </w:r>
      <w:r w:rsidR="00D5664A">
        <w:rPr>
          <w:kern w:val="0"/>
        </w:rPr>
        <w:t>Science</w:t>
      </w:r>
    </w:p>
    <w:p w:rsidR="005D3B27" w:rsidRDefault="005D3B27" w:rsidP="005D3B27">
      <w:pPr>
        <w:pStyle w:val="a3"/>
        <w:rPr>
          <w:kern w:val="0"/>
        </w:rPr>
      </w:pPr>
      <w:r>
        <w:rPr>
          <w:rFonts w:hint="eastAsia"/>
          <w:kern w:val="0"/>
        </w:rPr>
        <w:t xml:space="preserve">? </w:t>
      </w:r>
      <w:r>
        <w:rPr>
          <w:kern w:val="0"/>
        </w:rPr>
        <w:t>Matheson, G.O., Shultz, R., Bido, J., Mitten, M.J., Meeuwisse, W.H.</w:t>
      </w:r>
      <w:r w:rsidR="005853A9">
        <w:rPr>
          <w:kern w:val="0"/>
        </w:rPr>
        <w:t xml:space="preserve"> and </w:t>
      </w:r>
      <w:r>
        <w:rPr>
          <w:kern w:val="0"/>
        </w:rPr>
        <w:t>Shrier, I. (2011), Return-to-play decisions: Are they</w:t>
      </w:r>
      <w:r w:rsidR="003A1917">
        <w:rPr>
          <w:kern w:val="0"/>
        </w:rPr>
        <w:t xml:space="preserve"> the </w:t>
      </w:r>
      <w:r>
        <w:rPr>
          <w:kern w:val="0"/>
        </w:rPr>
        <w:t>team physician</w:t>
      </w:r>
      <w:r w:rsidR="0071223E">
        <w:rPr>
          <w:kern w:val="0"/>
        </w:rPr>
        <w:t>’</w:t>
      </w:r>
      <w:r w:rsidR="00C13DDC">
        <w:rPr>
          <w:kern w:val="0"/>
        </w:rPr>
        <w:t>s</w:t>
      </w:r>
      <w:r>
        <w:rPr>
          <w:kern w:val="0"/>
        </w:rPr>
        <w:t xml:space="preserve"> responsibility? </w:t>
      </w:r>
      <w:r>
        <w:rPr>
          <w:i/>
          <w:iCs/>
          <w:kern w:val="0"/>
        </w:rPr>
        <w:t>Clinical Journal</w:t>
      </w:r>
      <w:r w:rsidR="00427468">
        <w:rPr>
          <w:i/>
          <w:iCs/>
          <w:kern w:val="0"/>
        </w:rPr>
        <w:t xml:space="preserve"> of </w:t>
      </w:r>
      <w:r>
        <w:rPr>
          <w:i/>
          <w:iCs/>
          <w:kern w:val="0"/>
        </w:rPr>
        <w:t>Sport Medicine</w:t>
      </w:r>
      <w:r>
        <w:rPr>
          <w:kern w:val="0"/>
        </w:rPr>
        <w:t xml:space="preserve">, </w:t>
      </w:r>
      <w:r>
        <w:rPr>
          <w:b/>
          <w:bCs/>
          <w:kern w:val="0"/>
        </w:rPr>
        <w:t>21</w:t>
      </w:r>
      <w:r>
        <w:rPr>
          <w:kern w:val="0"/>
        </w:rPr>
        <w:t xml:space="preserve"> (1), 25-30.</w:t>
      </w:r>
    </w:p>
    <w:p w:rsidR="002F0F1A" w:rsidRDefault="002F0F1A" w:rsidP="002F0F1A">
      <w:pPr>
        <w:pStyle w:val="a3"/>
        <w:rPr>
          <w:kern w:val="0"/>
        </w:rPr>
      </w:pPr>
      <w:r>
        <w:rPr>
          <w:rFonts w:hint="eastAsia"/>
          <w:kern w:val="0"/>
        </w:rPr>
        <w:t xml:space="preserve">Full Text: </w:t>
      </w:r>
      <w:hyperlink r:id="rId369" w:history="1">
        <w:r w:rsidRPr="001215F1">
          <w:rPr>
            <w:rStyle w:val="a5"/>
            <w:kern w:val="0"/>
          </w:rPr>
          <w:t>2011\Cli J Spo Med21, 25.pdf</w:t>
        </w:r>
      </w:hyperlink>
    </w:p>
    <w:p w:rsidR="005D3B27" w:rsidRDefault="005D3B27" w:rsidP="005D3B27">
      <w:pPr>
        <w:pStyle w:val="a3"/>
        <w:rPr>
          <w:kern w:val="0"/>
        </w:rPr>
      </w:pPr>
      <w:r>
        <w:rPr>
          <w:kern w:val="0"/>
        </w:rPr>
        <w:t>Abstract: Objective: Return-to-play (RTP) decisions are a central component</w:t>
      </w:r>
      <w:r w:rsidR="00427468">
        <w:rPr>
          <w:kern w:val="0"/>
        </w:rPr>
        <w:t xml:space="preserve"> of </w:t>
      </w:r>
      <w:r w:rsidR="003A1917">
        <w:rPr>
          <w:kern w:val="0"/>
        </w:rPr>
        <w:t xml:space="preserve">the </w:t>
      </w:r>
      <w:r>
        <w:rPr>
          <w:kern w:val="0"/>
        </w:rPr>
        <w:t>Team Physician</w:t>
      </w:r>
      <w:r w:rsidR="0071223E">
        <w:rPr>
          <w:kern w:val="0"/>
        </w:rPr>
        <w:t>’</w:t>
      </w:r>
      <w:r w:rsidR="00C13DDC">
        <w:rPr>
          <w:kern w:val="0"/>
        </w:rPr>
        <w:t>s</w:t>
      </w:r>
      <w:r>
        <w:rPr>
          <w:kern w:val="0"/>
        </w:rPr>
        <w:t xml:space="preserve"> clinical work, yet there is little more than anecdotal reference to these in</w:t>
      </w:r>
      <w:r w:rsidR="003A1917">
        <w:rPr>
          <w:kern w:val="0"/>
        </w:rPr>
        <w:t xml:space="preserve"> the </w:t>
      </w:r>
      <w:r>
        <w:rPr>
          <w:kern w:val="0"/>
        </w:rPr>
        <w:t xml:space="preserve">literature. We recently published a 3-step model for return-to-play </w:t>
      </w:r>
      <w:r>
        <w:rPr>
          <w:kern w:val="0"/>
        </w:rPr>
        <w:lastRenderedPageBreak/>
        <w:t>medical decision making and, in</w:t>
      </w:r>
      <w:r w:rsidR="003A1917">
        <w:rPr>
          <w:kern w:val="0"/>
        </w:rPr>
        <w:t xml:space="preserve"> the </w:t>
      </w:r>
      <w:r>
        <w:rPr>
          <w:kern w:val="0"/>
        </w:rPr>
        <w:t>current paper, undertook a systematic review</w:t>
      </w:r>
      <w:r w:rsidR="00427468">
        <w:rPr>
          <w:kern w:val="0"/>
        </w:rPr>
        <w:t xml:space="preserve"> of </w:t>
      </w:r>
      <w:r w:rsidR="003A1917">
        <w:rPr>
          <w:kern w:val="0"/>
        </w:rPr>
        <w:t xml:space="preserve">the </w:t>
      </w:r>
      <w:r>
        <w:rPr>
          <w:kern w:val="0"/>
        </w:rPr>
        <w:t>literature to determine</w:t>
      </w:r>
      <w:r w:rsidR="003A1917">
        <w:rPr>
          <w:kern w:val="0"/>
        </w:rPr>
        <w:t xml:space="preserve"> the </w:t>
      </w:r>
      <w:r>
        <w:rPr>
          <w:kern w:val="0"/>
        </w:rPr>
        <w:t>level</w:t>
      </w:r>
      <w:r w:rsidR="00427468">
        <w:rPr>
          <w:kern w:val="0"/>
        </w:rPr>
        <w:t xml:space="preserve"> of </w:t>
      </w:r>
      <w:r>
        <w:rPr>
          <w:kern w:val="0"/>
        </w:rPr>
        <w:t>evidence in support</w:t>
      </w:r>
      <w:r w:rsidR="00427468">
        <w:rPr>
          <w:kern w:val="0"/>
        </w:rPr>
        <w:t xml:space="preserve"> of </w:t>
      </w:r>
      <w:r>
        <w:rPr>
          <w:kern w:val="0"/>
        </w:rPr>
        <w:t xml:space="preserve">this model. Data Sources: PUBMED,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CINAHL electronic databases. Any article specifically related to concussion, head injuries, neck injuries, illness, medical conditions (including cardiovascular</w:t>
      </w:r>
      <w:r w:rsidR="005853A9">
        <w:rPr>
          <w:kern w:val="0"/>
        </w:rPr>
        <w:t xml:space="preserve"> and </w:t>
      </w:r>
      <w:r>
        <w:rPr>
          <w:kern w:val="0"/>
        </w:rPr>
        <w:t>renal),</w:t>
      </w:r>
      <w:r w:rsidR="005853A9">
        <w:rPr>
          <w:kern w:val="0"/>
        </w:rPr>
        <w:t xml:space="preserve"> and </w:t>
      </w:r>
      <w:r>
        <w:rPr>
          <w:kern w:val="0"/>
        </w:rPr>
        <w:t>preparticipation in sport or that reported RTP as a clinical outcome was excluded. Any article that contained a discussion on one</w:t>
      </w:r>
      <w:r w:rsidR="00427468">
        <w:rPr>
          <w:kern w:val="0"/>
        </w:rPr>
        <w:t xml:space="preserve"> of </w:t>
      </w:r>
      <w:r w:rsidR="003A1917">
        <w:rPr>
          <w:kern w:val="0"/>
        </w:rPr>
        <w:t xml:space="preserve">the </w:t>
      </w:r>
      <w:r>
        <w:rPr>
          <w:kern w:val="0"/>
        </w:rPr>
        <w:t>components</w:t>
      </w:r>
      <w:r w:rsidR="00427468">
        <w:rPr>
          <w:kern w:val="0"/>
        </w:rPr>
        <w:t xml:space="preserve"> of </w:t>
      </w:r>
      <w:r w:rsidR="003A1917">
        <w:rPr>
          <w:kern w:val="0"/>
        </w:rPr>
        <w:t xml:space="preserve">the </w:t>
      </w:r>
      <w:r>
        <w:rPr>
          <w:kern w:val="0"/>
        </w:rPr>
        <w:t>3-step decision-based RTP model was included. Results: We reviewed 148 articles that met</w:t>
      </w:r>
      <w:r w:rsidR="003A1917">
        <w:rPr>
          <w:kern w:val="0"/>
        </w:rPr>
        <w:t xml:space="preserve"> the </w:t>
      </w:r>
      <w:r>
        <w:rPr>
          <w:kern w:val="0"/>
        </w:rPr>
        <w:t>criteria for inclusion</w:t>
      </w:r>
      <w:r w:rsidR="005853A9">
        <w:rPr>
          <w:kern w:val="0"/>
        </w:rPr>
        <w:t xml:space="preserve"> and </w:t>
      </w:r>
      <w:r>
        <w:rPr>
          <w:kern w:val="0"/>
        </w:rPr>
        <w:t>found 98 review articles, 39 original articles, 6 case reports,</w:t>
      </w:r>
      <w:r w:rsidR="005853A9">
        <w:rPr>
          <w:kern w:val="0"/>
        </w:rPr>
        <w:t xml:space="preserve"> and </w:t>
      </w:r>
      <w:r>
        <w:rPr>
          <w:kern w:val="0"/>
        </w:rPr>
        <w:t>5 editorials.</w:t>
      </w:r>
      <w:r w:rsidR="00427468">
        <w:rPr>
          <w:kern w:val="0"/>
        </w:rPr>
        <w:t xml:space="preserve"> of </w:t>
      </w:r>
      <w:r>
        <w:rPr>
          <w:kern w:val="0"/>
        </w:rPr>
        <w:t>these, 141 articles mentioned Step 1</w:t>
      </w:r>
      <w:r w:rsidR="00427468">
        <w:rPr>
          <w:kern w:val="0"/>
        </w:rPr>
        <w:t xml:space="preserve"> of </w:t>
      </w:r>
      <w:r w:rsidR="003A1917">
        <w:rPr>
          <w:kern w:val="0"/>
        </w:rPr>
        <w:t xml:space="preserve">the </w:t>
      </w:r>
      <w:r>
        <w:rPr>
          <w:kern w:val="0"/>
        </w:rPr>
        <w:t>medical decision-making process for RTP (Medical Factors), 26 mentioned Step 2 (Sport Risk Modifiers),</w:t>
      </w:r>
      <w:r w:rsidR="005853A9">
        <w:rPr>
          <w:kern w:val="0"/>
        </w:rPr>
        <w:t xml:space="preserve"> and </w:t>
      </w:r>
      <w:r>
        <w:rPr>
          <w:kern w:val="0"/>
        </w:rPr>
        <w:t>20 mentioned Step 3 (Decision Modifiers).</w:t>
      </w:r>
      <w:r w:rsidR="00427468">
        <w:rPr>
          <w:kern w:val="0"/>
        </w:rPr>
        <w:t xml:space="preserve"> of </w:t>
      </w:r>
      <w:r w:rsidR="003A1917">
        <w:rPr>
          <w:kern w:val="0"/>
        </w:rPr>
        <w:t xml:space="preserve">the </w:t>
      </w:r>
      <w:r>
        <w:rPr>
          <w:kern w:val="0"/>
        </w:rPr>
        <w:t>148 articles in total, only 13 focused on RTP as</w:t>
      </w:r>
      <w:r w:rsidR="003A1917">
        <w:rPr>
          <w:kern w:val="0"/>
        </w:rPr>
        <w:t xml:space="preserve"> the </w:t>
      </w:r>
      <w:r>
        <w:rPr>
          <w:kern w:val="0"/>
        </w:rPr>
        <w:t>main subject</w:t>
      </w:r>
      <w:r w:rsidR="005853A9">
        <w:rPr>
          <w:kern w:val="0"/>
        </w:rPr>
        <w:t xml:space="preserve"> and </w:t>
      </w:r>
      <w:r w:rsidR="003A1917">
        <w:rPr>
          <w:kern w:val="0"/>
        </w:rPr>
        <w:t xml:space="preserve">the </w:t>
      </w:r>
      <w:r>
        <w:rPr>
          <w:kern w:val="0"/>
        </w:rPr>
        <w:t>remaining 135 mentioned RTP anecdotally.</w:t>
      </w:r>
      <w:r w:rsidR="00427468">
        <w:rPr>
          <w:kern w:val="0"/>
        </w:rPr>
        <w:t xml:space="preserve"> of </w:t>
      </w:r>
      <w:r>
        <w:rPr>
          <w:kern w:val="0"/>
        </w:rPr>
        <w:t>these 13 articles, 5 were reviews, 4 were editorials,</w:t>
      </w:r>
      <w:r w:rsidR="005853A9">
        <w:rPr>
          <w:kern w:val="0"/>
        </w:rPr>
        <w:t xml:space="preserve"> and </w:t>
      </w:r>
      <w:r>
        <w:rPr>
          <w:kern w:val="0"/>
        </w:rPr>
        <w:t>4 were original research. Conclusions: Although 148 articles we retrieved mention RTP in relation to a specific injury, medical condition, or specific topic, only 13 articles focused specifically on</w:t>
      </w:r>
      <w:r w:rsidR="003A1917">
        <w:rPr>
          <w:kern w:val="0"/>
        </w:rPr>
        <w:t xml:space="preserve"> the </w:t>
      </w:r>
      <w:r>
        <w:rPr>
          <w:kern w:val="0"/>
        </w:rPr>
        <w:t>RTP decision-making process,</w:t>
      </w:r>
      <w:r w:rsidR="005853A9">
        <w:rPr>
          <w:kern w:val="0"/>
        </w:rPr>
        <w:t xml:space="preserve"> and </w:t>
      </w:r>
      <w:r>
        <w:rPr>
          <w:kern w:val="0"/>
        </w:rPr>
        <w:t>6</w:t>
      </w:r>
      <w:r w:rsidR="00427468">
        <w:rPr>
          <w:kern w:val="0"/>
        </w:rPr>
        <w:t xml:space="preserve"> of </w:t>
      </w:r>
      <w:r>
        <w:rPr>
          <w:kern w:val="0"/>
        </w:rPr>
        <w:t>13 were restricted to Step 1</w:t>
      </w:r>
      <w:r w:rsidR="00427468">
        <w:rPr>
          <w:kern w:val="0"/>
        </w:rPr>
        <w:t xml:space="preserve"> of </w:t>
      </w:r>
      <w:r w:rsidR="003A1917">
        <w:rPr>
          <w:kern w:val="0"/>
        </w:rPr>
        <w:t xml:space="preserve">the </w:t>
      </w:r>
      <w:r>
        <w:rPr>
          <w:kern w:val="0"/>
        </w:rPr>
        <w:t>3-step model (Medical Factors). Return-to-play is a fertile field for research</w:t>
      </w:r>
      <w:r w:rsidR="005853A9">
        <w:rPr>
          <w:kern w:val="0"/>
        </w:rPr>
        <w:t xml:space="preserve"> and </w:t>
      </w:r>
      <w:r>
        <w:rPr>
          <w:kern w:val="0"/>
        </w:rPr>
        <w:t>thought leadership beginning with a focus on</w:t>
      </w:r>
      <w:r w:rsidR="003A1917">
        <w:rPr>
          <w:kern w:val="0"/>
        </w:rPr>
        <w:t xml:space="preserve"> the </w:t>
      </w:r>
      <w:r>
        <w:rPr>
          <w:kern w:val="0"/>
        </w:rPr>
        <w:t>Team Physician</w:t>
      </w:r>
      <w:r w:rsidR="0071223E">
        <w:rPr>
          <w:kern w:val="0"/>
        </w:rPr>
        <w:t>’</w:t>
      </w:r>
      <w:r w:rsidR="00C13DDC">
        <w:rPr>
          <w:kern w:val="0"/>
        </w:rPr>
        <w:t>s</w:t>
      </w:r>
      <w:r>
        <w:rPr>
          <w:kern w:val="0"/>
        </w:rPr>
        <w:t xml:space="preserve"> appropriate role in RTP decision making, particularly considering</w:t>
      </w:r>
      <w:r w:rsidR="003A1917">
        <w:rPr>
          <w:kern w:val="0"/>
        </w:rPr>
        <w:t xml:space="preserve"> the </w:t>
      </w:r>
      <w:r>
        <w:rPr>
          <w:kern w:val="0"/>
        </w:rPr>
        <w:t>factors identified in Step 3 (Decision Modification).</w:t>
      </w:r>
    </w:p>
    <w:p w:rsidR="005D3B27" w:rsidRDefault="005D3B27" w:rsidP="005D3B27">
      <w:pPr>
        <w:pStyle w:val="a3"/>
        <w:rPr>
          <w:kern w:val="0"/>
        </w:rPr>
      </w:pPr>
      <w:r>
        <w:rPr>
          <w:kern w:val="0"/>
        </w:rPr>
        <w:t xml:space="preserve">Keywords: Cardiovascular, Care, Case Reports, Costs, Criteria, Cruciate Ligament Reconstruction, Databases, Decision Making, Decision-Making, Injury, Issues, Knee, Literature, Medical, Medical Decision Making, Model, Outcome, Perspective, PUBMED, Research, Return to Play, Review, Science, Serious Injury, Sources, Sport, Sport Participation, Surgery, Systematic, Systematic Review, </w:t>
      </w:r>
      <w:r w:rsidR="00D5664A">
        <w:rPr>
          <w:kern w:val="0"/>
        </w:rPr>
        <w:t>Web</w:t>
      </w:r>
      <w:r w:rsidR="00427468">
        <w:rPr>
          <w:kern w:val="0"/>
        </w:rPr>
        <w:t xml:space="preserve"> of </w:t>
      </w:r>
      <w:r w:rsidR="00D5664A">
        <w:rPr>
          <w:kern w:val="0"/>
        </w:rPr>
        <w:t>Science</w:t>
      </w:r>
    </w:p>
    <w:p w:rsidR="002F0F1A" w:rsidRDefault="002F0F1A" w:rsidP="002F0F1A">
      <w:pPr>
        <w:pStyle w:val="a3"/>
        <w:rPr>
          <w:kern w:val="0"/>
        </w:rPr>
      </w:pPr>
      <w:r>
        <w:rPr>
          <w:rFonts w:hint="eastAsia"/>
          <w:kern w:val="0"/>
        </w:rPr>
        <w:t xml:space="preserve">? </w:t>
      </w:r>
      <w:r>
        <w:rPr>
          <w:kern w:val="0"/>
        </w:rPr>
        <w:t xml:space="preserve">Roddy, G., Curnier, D. and Ellemberg, D. (2014), Reductions in intraocular pressure after acute aerobic exercise: A meta-analysis. </w:t>
      </w:r>
      <w:r>
        <w:rPr>
          <w:i/>
          <w:iCs/>
          <w:kern w:val="0"/>
        </w:rPr>
        <w:t>Clinical Journal of Sport Medicine</w:t>
      </w:r>
      <w:r>
        <w:rPr>
          <w:kern w:val="0"/>
        </w:rPr>
        <w:t xml:space="preserve">, </w:t>
      </w:r>
      <w:r>
        <w:rPr>
          <w:b/>
          <w:bCs/>
          <w:kern w:val="0"/>
        </w:rPr>
        <w:t>24</w:t>
      </w:r>
      <w:r>
        <w:rPr>
          <w:kern w:val="0"/>
        </w:rPr>
        <w:t xml:space="preserve"> (5), 364-372.</w:t>
      </w:r>
    </w:p>
    <w:p w:rsidR="002F0F1A" w:rsidRDefault="002F0F1A" w:rsidP="002F0F1A">
      <w:pPr>
        <w:pStyle w:val="a3"/>
        <w:rPr>
          <w:kern w:val="0"/>
        </w:rPr>
      </w:pPr>
      <w:r>
        <w:rPr>
          <w:rFonts w:hint="eastAsia"/>
          <w:kern w:val="0"/>
        </w:rPr>
        <w:t xml:space="preserve">Full Text: </w:t>
      </w:r>
      <w:hyperlink r:id="rId370" w:history="1">
        <w:r w:rsidRPr="002F0F1A">
          <w:rPr>
            <w:rStyle w:val="a5"/>
            <w:kern w:val="0"/>
          </w:rPr>
          <w:t>2014\Cli J Spo Med24, 364.pdf</w:t>
        </w:r>
      </w:hyperlink>
    </w:p>
    <w:p w:rsidR="002F0F1A" w:rsidRDefault="002F0F1A" w:rsidP="002F0F1A">
      <w:pPr>
        <w:pStyle w:val="a3"/>
        <w:rPr>
          <w:kern w:val="0"/>
        </w:rPr>
      </w:pPr>
      <w:r>
        <w:rPr>
          <w:kern w:val="0"/>
        </w:rPr>
        <w:t xml:space="preserve">Abstract: Objective: Aerobic exercise is known to reduce elevated intraocular pressure (IOP), a primary risk factor for a disease of the eye known as primary open-angle glaucoma. Given the disparate nature of experimental protocols across the literature, an analysis of studies on the effect of acute aerobic exercise on IOP is necessary to verify the influence of participant characteristics, exercise intensity, and duration. Data Sources: The electronic databases PubMed, Web of Science, and Embase were searched, producing 35 empirical studies for review. Ten studies producing 14 independent groups were chosen as per the criteria of the analysis. Main Results: Random effects model was used to produce subgroup analyses, and meta-regressions </w:t>
      </w:r>
      <w:r>
        <w:rPr>
          <w:kern w:val="0"/>
        </w:rPr>
        <w:lastRenderedPageBreak/>
        <w:t>were used to verify the impact of group allocation, intensity, and duration on the interstudy variability of the effect size (ES). The outcome variable of postexercise change in IOP produced a significant effect of exercise, almost 2-fold greater for sedentary populations than for normally active populations (ES = -4.198; confidence interval, -5.151 to -3.245); ES = -2.340; confidence interval, -3.305 to 1.375, respectively). The significant effect of exercise on IOP is potentially mediated by group allocation. Intensity and duration do not contribute to the overall ES nor do they explain the difference between sedentary and normally active populations. Conclusions: There is a robust effect of exercise on IOP for sedentary participants. However, the heterogeneity across study parameters, such as exercise protocol, IOP measurement, and participant selection, prohibited the inclusion of studies in this analysis that may have influenced the results. The current analysis makes clear the need for standardization of protocol across this field of research.</w:t>
      </w:r>
    </w:p>
    <w:p w:rsidR="002F0F1A" w:rsidRDefault="002F0F1A" w:rsidP="002F0F1A">
      <w:pPr>
        <w:pStyle w:val="a3"/>
        <w:rPr>
          <w:kern w:val="0"/>
        </w:rPr>
      </w:pPr>
      <w:r>
        <w:rPr>
          <w:kern w:val="0"/>
        </w:rPr>
        <w:t>Keywords: Active, Aerobic Exercise, Allocation, Analyses, Analysis, Cardiovascular Risk Variables, Characteristics, Confidence, Criteria, Data, Databases, Disease, Duration, Effect Size, Effects, Empirical Studies, Exercise, Experimental, Field, Fitness, Glaucoma Prevention, Goldmann Applanation Tonometry, Groups, Heterogeneity, Hypertension, Impact, Induced Ocular Hypotension, Influence, Intensity, Interval, Literature, Measurement, Meta-Analysis, Model, Open-Angle Glaucoma, Outcome, Physical Activity, Populations, Pressure, Primary, Progression, Protocol, Protocols, Pubmed, Research, Results, Review, Risk, Risk Factor, Science, Sedentary, Selection, Size, Standardization, Submaximal Exercise, Systemic Blood-Pressure, Variability, Visual-Field Loss, Web Of Science</w:t>
      </w:r>
    </w:p>
    <w:p w:rsidR="003474F2" w:rsidRPr="001A3D2B" w:rsidRDefault="003474F2" w:rsidP="003474F2">
      <w:pPr>
        <w:pStyle w:val="1"/>
      </w:pPr>
      <w:r w:rsidRPr="001A3D2B">
        <w:br w:type="page"/>
      </w:r>
      <w:bookmarkStart w:id="291" w:name="_Toc420815033"/>
      <w:r w:rsidRPr="001A3D2B">
        <w:lastRenderedPageBreak/>
        <w:t>Title: Clinical Laboratory</w:t>
      </w:r>
      <w:bookmarkEnd w:id="291"/>
    </w:p>
    <w:p w:rsidR="003474F2" w:rsidRPr="001A3D2B" w:rsidRDefault="003474F2" w:rsidP="003474F2">
      <w:pPr>
        <w:pStyle w:val="12"/>
      </w:pPr>
      <w:r w:rsidRPr="001A3D2B">
        <w:t>Full Journal Title: Clinical Laboratory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 xml:space="preserve">Language: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Notes: JJournal</w:t>
      </w:r>
    </w:p>
    <w:p w:rsidR="003474F2" w:rsidRPr="001A3D2B" w:rsidRDefault="003474F2" w:rsidP="003474F2">
      <w:pPr>
        <w:pStyle w:val="a3"/>
      </w:pPr>
      <w:r w:rsidRPr="001A3D2B">
        <w:t>? Lippi, G., Favaloro, E.J.</w:t>
      </w:r>
      <w:r w:rsidR="005853A9">
        <w:t xml:space="preserve"> and </w:t>
      </w:r>
      <w:r w:rsidRPr="001A3D2B">
        <w:t>Guidi, G.C. (2009</w:t>
      </w:r>
      <w:r w:rsidR="00F42EAC">
        <w:t>), The</w:t>
      </w:r>
      <w:r w:rsidR="003A1917">
        <w:t xml:space="preserve"> </w:t>
      </w:r>
      <w:r w:rsidRPr="001A3D2B">
        <w:t>impact factor</w:t>
      </w:r>
      <w:r w:rsidR="005853A9">
        <w:t xml:space="preserve"> and </w:t>
      </w:r>
      <w:r w:rsidRPr="001A3D2B">
        <w:t xml:space="preserve">journals in </w:t>
      </w:r>
      <w:r w:rsidRPr="001A3D2B">
        <w:rPr>
          <w:i/>
        </w:rPr>
        <w:t>Laboratory Medicine</w:t>
      </w:r>
      <w:r w:rsidRPr="001A3D2B">
        <w:t xml:space="preserve">. </w:t>
      </w:r>
      <w:r w:rsidRPr="001A3D2B">
        <w:rPr>
          <w:i/>
        </w:rPr>
        <w:t>Clinical Laboratory</w:t>
      </w:r>
      <w:r w:rsidRPr="001A3D2B">
        <w:t xml:space="preserve">, </w:t>
      </w:r>
      <w:r w:rsidRPr="001A3D2B">
        <w:rPr>
          <w:b/>
          <w:bCs/>
        </w:rPr>
        <w:t>55</w:t>
      </w:r>
      <w:r w:rsidRPr="001A3D2B">
        <w:t xml:space="preserve"> (1-2), 49-52.</w:t>
      </w:r>
    </w:p>
    <w:p w:rsidR="003474F2" w:rsidRPr="001A3D2B" w:rsidRDefault="003474F2" w:rsidP="003474F2">
      <w:pPr>
        <w:pStyle w:val="a3"/>
      </w:pPr>
      <w:r w:rsidRPr="001A3D2B">
        <w:t>Abstract:</w:t>
      </w:r>
      <w:r w:rsidR="003A1917">
        <w:t xml:space="preserve"> the </w:t>
      </w:r>
      <w:r w:rsidRPr="001A3D2B">
        <w:t>impact factor, originally devised by Eugene Garfield, offsets</w:t>
      </w:r>
      <w:r w:rsidR="003A1917">
        <w:t xml:space="preserve"> the </w:t>
      </w:r>
      <w:r w:rsidRPr="001A3D2B">
        <w:t>advantages</w:t>
      </w:r>
      <w:r w:rsidR="00427468">
        <w:t xml:space="preserve"> of </w:t>
      </w:r>
      <w:r w:rsidRPr="001A3D2B">
        <w:t>journal size</w:t>
      </w:r>
      <w:r w:rsidR="005853A9">
        <w:t xml:space="preserve"> and </w:t>
      </w:r>
      <w:r w:rsidRPr="001A3D2B">
        <w:t>age,</w:t>
      </w:r>
      <w:r w:rsidR="005853A9">
        <w:t xml:space="preserve"> and </w:t>
      </w:r>
      <w:r w:rsidRPr="001A3D2B">
        <w:t>is a tool often used for</w:t>
      </w:r>
      <w:r w:rsidR="003A1917">
        <w:t xml:space="preserve"> the </w:t>
      </w:r>
      <w:r w:rsidRPr="001A3D2B">
        <w:t>evaluation</w:t>
      </w:r>
      <w:r w:rsidR="00427468">
        <w:t xml:space="preserve"> of </w:t>
      </w:r>
      <w:r w:rsidRPr="001A3D2B">
        <w:t>journals</w:t>
      </w:r>
      <w:r w:rsidR="005853A9">
        <w:t xml:space="preserve"> and </w:t>
      </w:r>
      <w:r w:rsidRPr="001A3D2B">
        <w:t>scientists,</w:t>
      </w:r>
      <w:r w:rsidR="005853A9">
        <w:t xml:space="preserve"> and </w:t>
      </w:r>
      <w:r w:rsidRPr="001A3D2B">
        <w:t>is considered to provide a reliable trend</w:t>
      </w:r>
      <w:r w:rsidR="00427468">
        <w:t xml:space="preserve"> of </w:t>
      </w:r>
      <w:r w:rsidRPr="001A3D2B">
        <w:t>basic</w:t>
      </w:r>
      <w:r w:rsidR="005853A9">
        <w:t xml:space="preserve"> and </w:t>
      </w:r>
      <w:r w:rsidRPr="001A3D2B">
        <w:t>clinical research worldwide.</w:t>
      </w:r>
    </w:p>
    <w:p w:rsidR="003474F2" w:rsidRPr="001A3D2B" w:rsidRDefault="003474F2" w:rsidP="003474F2">
      <w:pPr>
        <w:pStyle w:val="a3"/>
      </w:pPr>
      <w:r w:rsidRPr="001A3D2B">
        <w:t>Overall,</w:t>
      </w:r>
      <w:r w:rsidR="003A1917">
        <w:t xml:space="preserve"> the </w:t>
      </w:r>
      <w:r w:rsidRPr="001A3D2B">
        <w:t>median impact factor</w:t>
      </w:r>
      <w:r w:rsidR="00427468">
        <w:t xml:space="preserve"> of </w:t>
      </w:r>
      <w:r w:rsidRPr="001A3D2B">
        <w:t>all medical laboratory journals increased by 23% from 2001 to 2007, but it was slightly decreased from that</w:t>
      </w:r>
      <w:r w:rsidR="00427468">
        <w:t xml:space="preserve"> of </w:t>
      </w:r>
      <w:r w:rsidR="003A1917">
        <w:t xml:space="preserve">the </w:t>
      </w:r>
      <w:r w:rsidRPr="001A3D2B">
        <w:t>previous year (-4.1%). Moreover,</w:t>
      </w:r>
      <w:r w:rsidR="003A1917">
        <w:t xml:space="preserve"> the </w:t>
      </w:r>
      <w:r w:rsidRPr="001A3D2B">
        <w:t>aggregate impact factor</w:t>
      </w:r>
      <w:r w:rsidR="00427468">
        <w:t xml:space="preserve"> of </w:t>
      </w:r>
      <w:r w:rsidRPr="001A3D2B">
        <w:t>all these journals, which takes into account</w:t>
      </w:r>
      <w:r w:rsidR="003A1917">
        <w:t xml:space="preserve"> the </w:t>
      </w:r>
      <w:r w:rsidRPr="001A3D2B">
        <w:t>number</w:t>
      </w:r>
      <w:r w:rsidR="00427468">
        <w:t xml:space="preserve"> of </w:t>
      </w:r>
      <w:r w:rsidRPr="001A3D2B">
        <w:t>citations for all journals in this category</w:t>
      </w:r>
      <w:r w:rsidR="005853A9">
        <w:t xml:space="preserve"> and </w:t>
      </w:r>
      <w:r w:rsidR="003A1917">
        <w:t xml:space="preserve">the </w:t>
      </w:r>
      <w:r w:rsidRPr="001A3D2B">
        <w:t>number</w:t>
      </w:r>
      <w:r w:rsidR="00427468">
        <w:t xml:space="preserve"> of </w:t>
      </w:r>
      <w:r w:rsidRPr="001A3D2B">
        <w:t>articles from all journals in</w:t>
      </w:r>
      <w:r w:rsidR="003A1917">
        <w:t xml:space="preserve"> the </w:t>
      </w:r>
      <w:r w:rsidRPr="001A3D2B">
        <w:t>same category, increased from 2.042 in 2003 to 2.153 in 2004, but decreased to 2.060 in 2005</w:t>
      </w:r>
      <w:r w:rsidR="005853A9">
        <w:t xml:space="preserve"> and </w:t>
      </w:r>
      <w:r w:rsidRPr="001A3D2B">
        <w:t>has remained fairly stable in subsequent years (2.054 in 2006</w:t>
      </w:r>
      <w:r w:rsidR="005853A9">
        <w:t xml:space="preserve"> and </w:t>
      </w:r>
      <w:r w:rsidRPr="001A3D2B">
        <w:t>2.080 in 2007), reflecting remarkable increases</w:t>
      </w:r>
      <w:r w:rsidR="005853A9">
        <w:t xml:space="preserve"> and </w:t>
      </w:r>
      <w:r w:rsidRPr="001A3D2B">
        <w:t>substantial reductions observed for individual journals. This trend mirrored that</w:t>
      </w:r>
      <w:r w:rsidR="00427468">
        <w:t xml:space="preserve"> of </w:t>
      </w:r>
      <w:r w:rsidRPr="001A3D2B">
        <w:t>biochemistry</w:t>
      </w:r>
      <w:r w:rsidR="005853A9">
        <w:t xml:space="preserve"> and </w:t>
      </w:r>
      <w:r w:rsidRPr="001A3D2B">
        <w:t>molecular biology journals, whereas journals listed under</w:t>
      </w:r>
      <w:r w:rsidR="003A1917">
        <w:t xml:space="preserve"> the </w:t>
      </w:r>
      <w:r w:rsidRPr="001A3D2B">
        <w:t xml:space="preserve">subject categories </w:t>
      </w:r>
      <w:r w:rsidR="00B5188C">
        <w:t>“</w:t>
      </w:r>
      <w:r w:rsidRPr="001A3D2B">
        <w:t>pathology</w:t>
      </w:r>
      <w:r w:rsidR="00B5188C">
        <w:t>”</w:t>
      </w:r>
      <w:r w:rsidRPr="001A3D2B">
        <w:t xml:space="preserve">, </w:t>
      </w:r>
      <w:r w:rsidR="00B5188C">
        <w:t>“</w:t>
      </w:r>
      <w:r w:rsidRPr="001A3D2B">
        <w:t>surgery</w:t>
      </w:r>
      <w:r w:rsidR="00B5188C">
        <w:t>”</w:t>
      </w:r>
      <w:r w:rsidR="005853A9">
        <w:t xml:space="preserve"> and </w:t>
      </w:r>
      <w:r w:rsidR="00B5188C">
        <w:t>“</w:t>
      </w:r>
      <w:r w:rsidRPr="001A3D2B">
        <w:t>Medicine, general</w:t>
      </w:r>
      <w:r w:rsidR="005853A9">
        <w:t xml:space="preserve"> and </w:t>
      </w:r>
      <w:r w:rsidRPr="001A3D2B">
        <w:t>internal</w:t>
      </w:r>
      <w:r w:rsidR="00B5188C">
        <w:t>”</w:t>
      </w:r>
      <w:r w:rsidRPr="001A3D2B">
        <w:t xml:space="preserve"> substantially increased their aggregate impact factor from 2003 to 2007.</w:t>
      </w:r>
    </w:p>
    <w:p w:rsidR="003474F2" w:rsidRPr="001A3D2B" w:rsidRDefault="003474F2" w:rsidP="003474F2">
      <w:pPr>
        <w:pStyle w:val="a3"/>
      </w:pPr>
      <w:r w:rsidRPr="001A3D2B">
        <w:t>According to</w:t>
      </w:r>
      <w:r w:rsidR="003A1917">
        <w:t xml:space="preserve"> the </w:t>
      </w:r>
      <w:r w:rsidRPr="001A3D2B">
        <w:t>impact factor trend</w:t>
      </w:r>
      <w:r w:rsidR="00427468">
        <w:t xml:space="preserve"> of </w:t>
      </w:r>
      <w:r w:rsidRPr="001A3D2B">
        <w:t>laboratory medicine journals, it appears that medical laboratory science has reached a steady state. This might be partially due to</w:t>
      </w:r>
      <w:r w:rsidR="003A1917">
        <w:t xml:space="preserve"> the </w:t>
      </w:r>
      <w:r w:rsidRPr="001A3D2B">
        <w:t>radical changes that have occurred within medical laboratory science since</w:t>
      </w:r>
      <w:r w:rsidR="003A1917">
        <w:t xml:space="preserve"> the </w:t>
      </w:r>
      <w:r w:rsidRPr="001A3D2B">
        <w:t>beginning</w:t>
      </w:r>
      <w:r w:rsidR="00427468">
        <w:t xml:space="preserve"> of </w:t>
      </w:r>
      <w:r w:rsidR="003A1917">
        <w:t xml:space="preserve">the </w:t>
      </w:r>
      <w:r w:rsidRPr="001A3D2B">
        <w:t>last millennium</w:t>
      </w:r>
      <w:r w:rsidR="005853A9">
        <w:t xml:space="preserve"> and </w:t>
      </w:r>
      <w:r w:rsidRPr="001A3D2B">
        <w:t>raises</w:t>
      </w:r>
      <w:r w:rsidR="003A1917">
        <w:t xml:space="preserve"> the </w:t>
      </w:r>
      <w:r w:rsidRPr="001A3D2B">
        <w:t>question</w:t>
      </w:r>
      <w:r w:rsidR="00427468">
        <w:t xml:space="preserve"> of </w:t>
      </w:r>
      <w:r w:rsidRPr="001A3D2B">
        <w:t>whether laboratory professionals should consider embracing new areas</w:t>
      </w:r>
      <w:r w:rsidR="00427468">
        <w:t xml:space="preserve"> of </w:t>
      </w:r>
      <w:r w:rsidRPr="001A3D2B">
        <w:t>research, such as</w:t>
      </w:r>
      <w:r w:rsidR="003A1917">
        <w:t xml:space="preserve"> the </w:t>
      </w:r>
      <w:r w:rsidRPr="001A3D2B">
        <w:t>role</w:t>
      </w:r>
      <w:r w:rsidR="00427468">
        <w:t xml:space="preserve"> of </w:t>
      </w:r>
      <w:r w:rsidRPr="001A3D2B">
        <w:t>laboratory diagnostics in surgery</w:t>
      </w:r>
      <w:r w:rsidR="005853A9">
        <w:t xml:space="preserve"> and </w:t>
      </w:r>
      <w:r w:rsidRPr="001A3D2B">
        <w:t>internal medicine.</w:t>
      </w:r>
    </w:p>
    <w:p w:rsidR="003474F2" w:rsidRPr="001A3D2B" w:rsidRDefault="003474F2" w:rsidP="003474F2">
      <w:pPr>
        <w:pStyle w:val="a3"/>
      </w:pPr>
      <w:r w:rsidRPr="001A3D2B">
        <w:t>Keywords: Impact Factor, Citation, Science, Clinical Chemistry</w:t>
      </w:r>
    </w:p>
    <w:p w:rsidR="00F325A1" w:rsidRPr="00C73C58" w:rsidRDefault="00F325A1" w:rsidP="00F325A1">
      <w:pPr>
        <w:pStyle w:val="1"/>
      </w:pPr>
      <w:r w:rsidRPr="00C73C58">
        <w:br w:type="page"/>
      </w:r>
      <w:bookmarkStart w:id="292" w:name="_Toc420815034"/>
      <w:r w:rsidRPr="00C73C58">
        <w:lastRenderedPageBreak/>
        <w:t xml:space="preserve">Title: </w:t>
      </w:r>
      <w:r w:rsidRPr="002C3B32">
        <w:rPr>
          <w:iCs w:val="0"/>
        </w:rPr>
        <w:t>Clinical Nephrology</w:t>
      </w:r>
      <w:bookmarkEnd w:id="292"/>
    </w:p>
    <w:p w:rsidR="00F325A1" w:rsidRPr="00C73C58" w:rsidRDefault="00F325A1" w:rsidP="00F325A1">
      <w:pPr>
        <w:pStyle w:val="12"/>
      </w:pPr>
      <w:r w:rsidRPr="00C73C58">
        <w:t xml:space="preserve">Full Journal Title: </w:t>
      </w:r>
      <w:r w:rsidRPr="002C3B32">
        <w:rPr>
          <w:iCs/>
          <w:kern w:val="0"/>
        </w:rPr>
        <w:t>Clinical Nephrology</w:t>
      </w:r>
    </w:p>
    <w:p w:rsidR="00F325A1" w:rsidRPr="00C73C58" w:rsidRDefault="00F325A1" w:rsidP="00F325A1">
      <w:pPr>
        <w:pStyle w:val="12"/>
      </w:pPr>
      <w:r w:rsidRPr="00C73C58">
        <w:t xml:space="preserve">ISO Abbreviated Title: </w:t>
      </w:r>
    </w:p>
    <w:p w:rsidR="00F325A1" w:rsidRPr="00C73C58" w:rsidRDefault="00F325A1" w:rsidP="00F325A1">
      <w:pPr>
        <w:pStyle w:val="12"/>
      </w:pPr>
      <w:r w:rsidRPr="00C73C58">
        <w:t xml:space="preserve">JCR Abbreviated Title: </w:t>
      </w:r>
    </w:p>
    <w:p w:rsidR="00F325A1" w:rsidRPr="00C73C58" w:rsidRDefault="00F325A1" w:rsidP="00F325A1">
      <w:pPr>
        <w:pStyle w:val="12"/>
      </w:pPr>
      <w:r w:rsidRPr="00C73C58">
        <w:t xml:space="preserve">ISSN: </w:t>
      </w:r>
    </w:p>
    <w:p w:rsidR="00F325A1" w:rsidRPr="00C73C58" w:rsidRDefault="00F325A1" w:rsidP="00F325A1">
      <w:pPr>
        <w:pStyle w:val="12"/>
      </w:pPr>
      <w:r w:rsidRPr="00C73C58">
        <w:t xml:space="preserve">Issues/Year: </w:t>
      </w:r>
    </w:p>
    <w:p w:rsidR="00F325A1" w:rsidRPr="00C73C58" w:rsidRDefault="00F325A1" w:rsidP="00F325A1">
      <w:pPr>
        <w:pStyle w:val="12"/>
      </w:pPr>
      <w:r w:rsidRPr="00C73C58">
        <w:t xml:space="preserve">Language: </w:t>
      </w:r>
    </w:p>
    <w:p w:rsidR="00F325A1" w:rsidRPr="00C73C58" w:rsidRDefault="00F325A1" w:rsidP="00F325A1">
      <w:pPr>
        <w:pStyle w:val="12"/>
      </w:pPr>
      <w:r w:rsidRPr="00C73C58">
        <w:t xml:space="preserve">Journal Country/Territory: </w:t>
      </w:r>
    </w:p>
    <w:p w:rsidR="00F325A1" w:rsidRPr="00C73C58" w:rsidRDefault="00F325A1" w:rsidP="00F325A1">
      <w:pPr>
        <w:pStyle w:val="12"/>
      </w:pPr>
      <w:r w:rsidRPr="00C73C58">
        <w:t xml:space="preserve">Publisher: </w:t>
      </w:r>
    </w:p>
    <w:p w:rsidR="00F325A1" w:rsidRPr="00C73C58" w:rsidRDefault="00F325A1" w:rsidP="00F325A1">
      <w:pPr>
        <w:pStyle w:val="12"/>
      </w:pPr>
      <w:r w:rsidRPr="00C73C58">
        <w:t xml:space="preserve">Publisher Address: </w:t>
      </w:r>
    </w:p>
    <w:p w:rsidR="00F325A1" w:rsidRPr="00C73C58" w:rsidRDefault="00F325A1" w:rsidP="00F325A1">
      <w:pPr>
        <w:pStyle w:val="12"/>
      </w:pPr>
      <w:r w:rsidRPr="00C73C58">
        <w:t xml:space="preserve">Subject Categories: </w:t>
      </w:r>
    </w:p>
    <w:p w:rsidR="00F325A1" w:rsidRPr="00C73C58" w:rsidRDefault="00F325A1" w:rsidP="00F325A1">
      <w:pPr>
        <w:pStyle w:val="12"/>
      </w:pPr>
      <w:r w:rsidRPr="00C73C58">
        <w:t>: Impact Factor</w:t>
      </w:r>
    </w:p>
    <w:p w:rsidR="00F325A1" w:rsidRDefault="00F325A1" w:rsidP="00F325A1">
      <w:pPr>
        <w:pStyle w:val="a3"/>
        <w:rPr>
          <w:kern w:val="0"/>
        </w:rPr>
      </w:pPr>
      <w:r>
        <w:rPr>
          <w:kern w:val="0"/>
        </w:rPr>
        <w:t>?</w:t>
      </w:r>
      <w:r>
        <w:rPr>
          <w:rFonts w:hint="eastAsia"/>
          <w:kern w:val="0"/>
        </w:rPr>
        <w:t xml:space="preserve"> </w:t>
      </w:r>
      <w:r>
        <w:rPr>
          <w:kern w:val="0"/>
        </w:rPr>
        <w:t>van den Beukel, T.O., Jager, K.J., Siegert, C.E.H., Schoones, J.W.</w:t>
      </w:r>
      <w:r w:rsidR="005853A9">
        <w:rPr>
          <w:kern w:val="0"/>
        </w:rPr>
        <w:t xml:space="preserve"> and </w:t>
      </w:r>
      <w:r>
        <w:rPr>
          <w:kern w:val="0"/>
        </w:rPr>
        <w:t xml:space="preserve">Dekker, F.W. (2010), Racial minority groups on dialysis in Europe a literature review. </w:t>
      </w:r>
      <w:r w:rsidRPr="002C3B32">
        <w:rPr>
          <w:i/>
          <w:iCs/>
          <w:kern w:val="0"/>
        </w:rPr>
        <w:t>Clinical Nephrology</w:t>
      </w:r>
      <w:r>
        <w:rPr>
          <w:kern w:val="0"/>
        </w:rPr>
        <w:t xml:space="preserve">, </w:t>
      </w:r>
      <w:r>
        <w:rPr>
          <w:b/>
          <w:bCs/>
          <w:kern w:val="0"/>
        </w:rPr>
        <w:t>74</w:t>
      </w:r>
      <w:r>
        <w:rPr>
          <w:kern w:val="0"/>
        </w:rPr>
        <w:t>, S78-S84.</w:t>
      </w:r>
    </w:p>
    <w:p w:rsidR="00F325A1" w:rsidRDefault="00F325A1" w:rsidP="00F325A1">
      <w:pPr>
        <w:pStyle w:val="a3"/>
        <w:rPr>
          <w:kern w:val="0"/>
        </w:rPr>
      </w:pPr>
      <w:r>
        <w:rPr>
          <w:kern w:val="0"/>
        </w:rPr>
        <w:t>Abstract: Aims To provide an overview</w:t>
      </w:r>
      <w:r w:rsidR="00427468">
        <w:rPr>
          <w:kern w:val="0"/>
        </w:rPr>
        <w:t xml:space="preserve"> of </w:t>
      </w:r>
      <w:r w:rsidR="003A1917">
        <w:rPr>
          <w:kern w:val="0"/>
        </w:rPr>
        <w:t xml:space="preserve">the </w:t>
      </w:r>
      <w:r>
        <w:rPr>
          <w:kern w:val="0"/>
        </w:rPr>
        <w:t>existing data on non-Caucasian dialysis patients within Europe,</w:t>
      </w:r>
      <w:r w:rsidR="005853A9">
        <w:rPr>
          <w:kern w:val="0"/>
        </w:rPr>
        <w:t xml:space="preserve"> and </w:t>
      </w:r>
      <w:r>
        <w:rPr>
          <w:kern w:val="0"/>
        </w:rPr>
        <w:t>to explore whether these data confirm differences between non-Caucasian</w:t>
      </w:r>
      <w:r w:rsidR="005853A9">
        <w:rPr>
          <w:kern w:val="0"/>
        </w:rPr>
        <w:t xml:space="preserve"> and </w:t>
      </w:r>
      <w:r>
        <w:rPr>
          <w:kern w:val="0"/>
        </w:rPr>
        <w:t>Caucasian dialysis patients that were found in other parts</w:t>
      </w:r>
      <w:r w:rsidR="00427468">
        <w:rPr>
          <w:kern w:val="0"/>
        </w:rPr>
        <w:t xml:space="preserve"> of </w:t>
      </w:r>
      <w:r w:rsidR="003A1917">
        <w:rPr>
          <w:kern w:val="0"/>
        </w:rPr>
        <w:t xml:space="preserve">the </w:t>
      </w:r>
      <w:r>
        <w:rPr>
          <w:kern w:val="0"/>
        </w:rPr>
        <w:t>world Method A query consisting</w:t>
      </w:r>
      <w:r w:rsidR="00427468">
        <w:rPr>
          <w:kern w:val="0"/>
        </w:rPr>
        <w:t xml:space="preserve"> of </w:t>
      </w:r>
      <w:r w:rsidR="003A1917">
        <w:rPr>
          <w:kern w:val="0"/>
        </w:rPr>
        <w:t xml:space="preserve">the </w:t>
      </w:r>
      <w:r>
        <w:rPr>
          <w:kern w:val="0"/>
        </w:rPr>
        <w:t xml:space="preserve">combination </w:t>
      </w:r>
      <w:r w:rsidR="00B5188C">
        <w:rPr>
          <w:kern w:val="0"/>
        </w:rPr>
        <w:t>“</w:t>
      </w:r>
      <w:r>
        <w:rPr>
          <w:kern w:val="0"/>
        </w:rPr>
        <w:t>dialysis</w:t>
      </w:r>
      <w:r w:rsidR="00B5188C">
        <w:rPr>
          <w:kern w:val="0"/>
        </w:rPr>
        <w:t>”</w:t>
      </w:r>
      <w:r>
        <w:rPr>
          <w:kern w:val="0"/>
        </w:rPr>
        <w:t xml:space="preserve">, </w:t>
      </w:r>
      <w:r w:rsidR="00B5188C">
        <w:rPr>
          <w:kern w:val="0"/>
        </w:rPr>
        <w:t>“</w:t>
      </w:r>
      <w:r>
        <w:rPr>
          <w:kern w:val="0"/>
        </w:rPr>
        <w:t>ethnicity</w:t>
      </w:r>
      <w:r w:rsidR="00B5188C">
        <w:rPr>
          <w:kern w:val="0"/>
        </w:rPr>
        <w:t>”</w:t>
      </w:r>
      <w:r>
        <w:rPr>
          <w:kern w:val="0"/>
        </w:rPr>
        <w:t>,</w:t>
      </w:r>
      <w:r w:rsidR="005853A9">
        <w:rPr>
          <w:kern w:val="0"/>
        </w:rPr>
        <w:t xml:space="preserve"> and </w:t>
      </w:r>
      <w:r w:rsidR="00B5188C">
        <w:rPr>
          <w:kern w:val="0"/>
        </w:rPr>
        <w:t>“</w:t>
      </w:r>
      <w:r>
        <w:rPr>
          <w:kern w:val="0"/>
        </w:rPr>
        <w:t>Europe</w:t>
      </w:r>
      <w:r w:rsidR="00B5188C">
        <w:rPr>
          <w:kern w:val="0"/>
        </w:rPr>
        <w:t>”</w:t>
      </w:r>
      <w:r>
        <w:rPr>
          <w:kern w:val="0"/>
        </w:rPr>
        <w:t xml:space="preserve"> was applied in PUBMED, EMBASE, </w:t>
      </w:r>
      <w:r w:rsidR="00D5664A">
        <w:rPr>
          <w:kern w:val="0"/>
        </w:rPr>
        <w:t>Web</w:t>
      </w:r>
      <w:r w:rsidR="00427468">
        <w:rPr>
          <w:kern w:val="0"/>
        </w:rPr>
        <w:t xml:space="preserve"> of </w:t>
      </w:r>
      <w:r w:rsidR="00D5664A">
        <w:rPr>
          <w:kern w:val="0"/>
        </w:rPr>
        <w:t>Science</w:t>
      </w:r>
      <w:r>
        <w:rPr>
          <w:kern w:val="0"/>
        </w:rPr>
        <w:t>, CINAHL,</w:t>
      </w:r>
      <w:r w:rsidR="005853A9">
        <w:rPr>
          <w:kern w:val="0"/>
        </w:rPr>
        <w:t xml:space="preserve"> and </w:t>
      </w:r>
      <w:r w:rsidR="003A1917">
        <w:rPr>
          <w:kern w:val="0"/>
        </w:rPr>
        <w:t xml:space="preserve">the </w:t>
      </w:r>
      <w:r>
        <w:rPr>
          <w:kern w:val="0"/>
        </w:rPr>
        <w:t>Cochrane Library Results Ten papers were included in this study Studies from</w:t>
      </w:r>
      <w:r w:rsidR="003A1917">
        <w:rPr>
          <w:kern w:val="0"/>
        </w:rPr>
        <w:t xml:space="preserve"> the </w:t>
      </w:r>
      <w:r>
        <w:rPr>
          <w:kern w:val="0"/>
        </w:rPr>
        <w:t>United Kingdom (UK)</w:t>
      </w:r>
      <w:r w:rsidR="005853A9">
        <w:rPr>
          <w:kern w:val="0"/>
        </w:rPr>
        <w:t xml:space="preserve"> and </w:t>
      </w:r>
      <w:r w:rsidR="003A1917">
        <w:rPr>
          <w:kern w:val="0"/>
        </w:rPr>
        <w:t xml:space="preserve">the </w:t>
      </w:r>
      <w:r>
        <w:rPr>
          <w:kern w:val="0"/>
        </w:rPr>
        <w:t>Netherlands confirm</w:t>
      </w:r>
      <w:r w:rsidR="003A1917">
        <w:rPr>
          <w:kern w:val="0"/>
        </w:rPr>
        <w:t xml:space="preserve"> the </w:t>
      </w:r>
      <w:r>
        <w:rPr>
          <w:kern w:val="0"/>
        </w:rPr>
        <w:t>higher incidence</w:t>
      </w:r>
      <w:r w:rsidR="00427468">
        <w:rPr>
          <w:kern w:val="0"/>
        </w:rPr>
        <w:t xml:space="preserve"> of </w:t>
      </w:r>
      <w:r>
        <w:rPr>
          <w:kern w:val="0"/>
        </w:rPr>
        <w:t>end-stage renal disease (ESRD) in non-Caucasians In other European countries these findings were not confirmed In studies from</w:t>
      </w:r>
      <w:r w:rsidR="003A1917">
        <w:rPr>
          <w:kern w:val="0"/>
        </w:rPr>
        <w:t xml:space="preserve"> the </w:t>
      </w:r>
      <w:r w:rsidR="008E3069">
        <w:rPr>
          <w:kern w:val="0"/>
        </w:rPr>
        <w:t>UK,</w:t>
      </w:r>
      <w:r w:rsidR="003A1917">
        <w:rPr>
          <w:kern w:val="0"/>
        </w:rPr>
        <w:t xml:space="preserve"> the </w:t>
      </w:r>
      <w:r>
        <w:rPr>
          <w:kern w:val="0"/>
        </w:rPr>
        <w:t>Netherlands,</w:t>
      </w:r>
      <w:r w:rsidR="005853A9">
        <w:rPr>
          <w:kern w:val="0"/>
        </w:rPr>
        <w:t xml:space="preserve"> and </w:t>
      </w:r>
      <w:r>
        <w:rPr>
          <w:kern w:val="0"/>
        </w:rPr>
        <w:t>Spain a younger age at initiation</w:t>
      </w:r>
      <w:r w:rsidR="00427468">
        <w:rPr>
          <w:kern w:val="0"/>
        </w:rPr>
        <w:t xml:space="preserve"> of </w:t>
      </w:r>
      <w:r>
        <w:rPr>
          <w:kern w:val="0"/>
        </w:rPr>
        <w:t>dialysis treatment for non-Caucasians compared to Caucasians was reported, this is also found in non-European studies Regarding comorbid conditions at</w:t>
      </w:r>
      <w:r w:rsidR="003A1917">
        <w:rPr>
          <w:kern w:val="0"/>
        </w:rPr>
        <w:t xml:space="preserve"> the </w:t>
      </w:r>
      <w:r>
        <w:rPr>
          <w:kern w:val="0"/>
        </w:rPr>
        <w:t>start</w:t>
      </w:r>
      <w:r w:rsidR="00427468">
        <w:rPr>
          <w:kern w:val="0"/>
        </w:rPr>
        <w:t xml:space="preserve"> of </w:t>
      </w:r>
      <w:r>
        <w:rPr>
          <w:kern w:val="0"/>
        </w:rPr>
        <w:t>renal replacement therapy (RRT), vascular disease was less common, while diabetes was more common among non-Caucasians compared to Caucasians Large non-European studies also demonstrated less vascular disease among non-Caucasians initiating RRT than among Caucasians</w:t>
      </w:r>
      <w:r w:rsidR="003A1917">
        <w:rPr>
          <w:kern w:val="0"/>
        </w:rPr>
        <w:t xml:space="preserve"> the </w:t>
      </w:r>
      <w:r>
        <w:rPr>
          <w:kern w:val="0"/>
        </w:rPr>
        <w:t>survival advantage for non-Caucasian compared to Caucasian RRT patients is confirmed in one large study from</w:t>
      </w:r>
      <w:r w:rsidR="003A1917">
        <w:rPr>
          <w:kern w:val="0"/>
        </w:rPr>
        <w:t xml:space="preserve"> the </w:t>
      </w:r>
      <w:r>
        <w:rPr>
          <w:kern w:val="0"/>
        </w:rPr>
        <w:t>UK</w:t>
      </w:r>
      <w:r w:rsidR="005853A9">
        <w:rPr>
          <w:kern w:val="0"/>
        </w:rPr>
        <w:t xml:space="preserve"> and </w:t>
      </w:r>
      <w:r>
        <w:rPr>
          <w:kern w:val="0"/>
        </w:rPr>
        <w:t>in a Dutch study Reasons for</w:t>
      </w:r>
      <w:r w:rsidR="003A1917">
        <w:rPr>
          <w:kern w:val="0"/>
        </w:rPr>
        <w:t xml:space="preserve"> the </w:t>
      </w:r>
      <w:r>
        <w:rPr>
          <w:kern w:val="0"/>
        </w:rPr>
        <w:t>better survival</w:t>
      </w:r>
      <w:r w:rsidR="00427468">
        <w:rPr>
          <w:kern w:val="0"/>
        </w:rPr>
        <w:t xml:space="preserve"> of </w:t>
      </w:r>
      <w:r>
        <w:rPr>
          <w:kern w:val="0"/>
        </w:rPr>
        <w:t>non-Caucasians are not understood completely Conclusions Only a few studies are available on non-Caucasian dialysis patients in Europe</w:t>
      </w:r>
      <w:r w:rsidR="003A1917">
        <w:rPr>
          <w:kern w:val="0"/>
        </w:rPr>
        <w:t xml:space="preserve"> the </w:t>
      </w:r>
      <w:r>
        <w:rPr>
          <w:kern w:val="0"/>
        </w:rPr>
        <w:t>available data confirm findings</w:t>
      </w:r>
      <w:r w:rsidR="00427468">
        <w:rPr>
          <w:kern w:val="0"/>
        </w:rPr>
        <w:t xml:space="preserve"> of </w:t>
      </w:r>
      <w:r>
        <w:rPr>
          <w:kern w:val="0"/>
        </w:rPr>
        <w:t>other studies throughout</w:t>
      </w:r>
      <w:r w:rsidR="003A1917">
        <w:rPr>
          <w:kern w:val="0"/>
        </w:rPr>
        <w:t xml:space="preserve"> the </w:t>
      </w:r>
      <w:r>
        <w:rPr>
          <w:kern w:val="0"/>
        </w:rPr>
        <w:t>world on racial differences on dialysis More research is needed to understand</w:t>
      </w:r>
      <w:r w:rsidR="003A1917">
        <w:rPr>
          <w:kern w:val="0"/>
        </w:rPr>
        <w:t xml:space="preserve"> the </w:t>
      </w:r>
      <w:r>
        <w:rPr>
          <w:kern w:val="0"/>
        </w:rPr>
        <w:t>higher incidence</w:t>
      </w:r>
      <w:r w:rsidR="005853A9">
        <w:rPr>
          <w:kern w:val="0"/>
        </w:rPr>
        <w:t xml:space="preserve"> and </w:t>
      </w:r>
      <w:r>
        <w:rPr>
          <w:kern w:val="0"/>
        </w:rPr>
        <w:t>better survival in non-Caucasian patients,</w:t>
      </w:r>
      <w:r w:rsidR="005853A9">
        <w:rPr>
          <w:kern w:val="0"/>
        </w:rPr>
        <w:t xml:space="preserve"> and </w:t>
      </w:r>
      <w:r>
        <w:rPr>
          <w:kern w:val="0"/>
        </w:rPr>
        <w:t xml:space="preserve">also in countries where </w:t>
      </w:r>
      <w:r>
        <w:rPr>
          <w:kern w:val="0"/>
        </w:rPr>
        <w:lastRenderedPageBreak/>
        <w:t>there are currently no relevant data.</w:t>
      </w:r>
    </w:p>
    <w:p w:rsidR="00F325A1" w:rsidRDefault="00F325A1" w:rsidP="00F325A1">
      <w:pPr>
        <w:pStyle w:val="a3"/>
        <w:rPr>
          <w:kern w:val="0"/>
        </w:rPr>
      </w:pPr>
      <w:r>
        <w:rPr>
          <w:kern w:val="0"/>
        </w:rPr>
        <w:t>Keywords: Cochrane, Diabetes, Dialysis, Disease, EMBASE, Erythropoietin, Ethnicity, Europe, Hemodialysis-Patients, Immigrant, Literature, Literature Review, Mortality, Netherlands, Non-Caucasian, Outcomes, Overview, Papers, Practice Patterns, PUBMED, Race, Research, Review, Science, Spain, Survival, Therapy, Treatment</w:t>
      </w:r>
      <w:r w:rsidR="00D5664A">
        <w:rPr>
          <w:kern w:val="0"/>
        </w:rPr>
        <w:t>, UK,</w:t>
      </w:r>
      <w:r>
        <w:rPr>
          <w:kern w:val="0"/>
        </w:rPr>
        <w:t xml:space="preserve"> United Kingdom, </w:t>
      </w:r>
      <w:r w:rsidR="00D5664A">
        <w:rPr>
          <w:kern w:val="0"/>
        </w:rPr>
        <w:t>Web</w:t>
      </w:r>
      <w:r w:rsidR="00427468">
        <w:rPr>
          <w:kern w:val="0"/>
        </w:rPr>
        <w:t xml:space="preserve"> of </w:t>
      </w:r>
      <w:r w:rsidR="00D5664A">
        <w:rPr>
          <w:kern w:val="0"/>
        </w:rPr>
        <w:t>Science</w:t>
      </w:r>
    </w:p>
    <w:p w:rsidR="00434900" w:rsidRPr="00C73C58" w:rsidRDefault="00434900" w:rsidP="00434900">
      <w:pPr>
        <w:pStyle w:val="1"/>
      </w:pPr>
      <w:r w:rsidRPr="00C73C58">
        <w:br w:type="page"/>
      </w:r>
      <w:bookmarkStart w:id="293" w:name="_Toc420815035"/>
      <w:r w:rsidRPr="00C73C58">
        <w:lastRenderedPageBreak/>
        <w:t xml:space="preserve">Title: </w:t>
      </w:r>
      <w:r w:rsidRPr="00D409AE">
        <w:t>Clinical Neurology</w:t>
      </w:r>
      <w:r w:rsidR="005853A9">
        <w:t xml:space="preserve"> and </w:t>
      </w:r>
      <w:r w:rsidRPr="00D409AE">
        <w:t>Neurosurgery</w:t>
      </w:r>
      <w:bookmarkEnd w:id="293"/>
    </w:p>
    <w:p w:rsidR="00434900" w:rsidRPr="00C73C58" w:rsidRDefault="00434900" w:rsidP="00434900">
      <w:pPr>
        <w:pStyle w:val="12"/>
      </w:pPr>
      <w:r w:rsidRPr="00C73C58">
        <w:t xml:space="preserve">Full Journal Title: </w:t>
      </w:r>
      <w:r w:rsidRPr="00D409AE">
        <w:rPr>
          <w:iCs/>
          <w:kern w:val="0"/>
        </w:rPr>
        <w:t>Clinical Neurology</w:t>
      </w:r>
      <w:r w:rsidR="005853A9">
        <w:rPr>
          <w:iCs/>
          <w:kern w:val="0"/>
        </w:rPr>
        <w:t xml:space="preserve"> and </w:t>
      </w:r>
      <w:r w:rsidRPr="00D409AE">
        <w:rPr>
          <w:iCs/>
          <w:kern w:val="0"/>
        </w:rPr>
        <w:t>Neurosurgery</w:t>
      </w:r>
    </w:p>
    <w:p w:rsidR="00434900" w:rsidRPr="00C73C58" w:rsidRDefault="00434900" w:rsidP="00434900">
      <w:pPr>
        <w:pStyle w:val="12"/>
      </w:pPr>
      <w:r w:rsidRPr="00C73C58">
        <w:t xml:space="preserve">ISO Abbreviated Title: </w:t>
      </w:r>
    </w:p>
    <w:p w:rsidR="00434900" w:rsidRPr="00C73C58" w:rsidRDefault="00434900" w:rsidP="00434900">
      <w:pPr>
        <w:pStyle w:val="12"/>
      </w:pPr>
      <w:r w:rsidRPr="00C73C58">
        <w:t xml:space="preserve">JCR Abbreviated Title: </w:t>
      </w:r>
    </w:p>
    <w:p w:rsidR="00434900" w:rsidRPr="00C73C58" w:rsidRDefault="00434900" w:rsidP="00434900">
      <w:pPr>
        <w:pStyle w:val="12"/>
      </w:pPr>
      <w:r w:rsidRPr="00C73C58">
        <w:t xml:space="preserve">ISSN: </w:t>
      </w:r>
    </w:p>
    <w:p w:rsidR="00434900" w:rsidRPr="00C73C58" w:rsidRDefault="00434900" w:rsidP="00434900">
      <w:pPr>
        <w:pStyle w:val="12"/>
      </w:pPr>
      <w:r w:rsidRPr="00C73C58">
        <w:t xml:space="preserve">Issues/Year: </w:t>
      </w:r>
    </w:p>
    <w:p w:rsidR="00434900" w:rsidRPr="00C73C58" w:rsidRDefault="00434900" w:rsidP="00434900">
      <w:pPr>
        <w:pStyle w:val="12"/>
      </w:pPr>
      <w:r w:rsidRPr="00C73C58">
        <w:t xml:space="preserve">Language: </w:t>
      </w:r>
    </w:p>
    <w:p w:rsidR="00434900" w:rsidRPr="00C73C58" w:rsidRDefault="00434900" w:rsidP="00434900">
      <w:pPr>
        <w:pStyle w:val="12"/>
      </w:pPr>
      <w:r w:rsidRPr="00C73C58">
        <w:t xml:space="preserve">Journal Country/Territory: </w:t>
      </w:r>
    </w:p>
    <w:p w:rsidR="00434900" w:rsidRPr="00C73C58" w:rsidRDefault="00434900" w:rsidP="00434900">
      <w:pPr>
        <w:pStyle w:val="12"/>
      </w:pPr>
      <w:r w:rsidRPr="00C73C58">
        <w:t xml:space="preserve">Publisher: </w:t>
      </w:r>
    </w:p>
    <w:p w:rsidR="00434900" w:rsidRPr="00C73C58" w:rsidRDefault="00434900" w:rsidP="00434900">
      <w:pPr>
        <w:pStyle w:val="12"/>
      </w:pPr>
      <w:r w:rsidRPr="00C73C58">
        <w:t xml:space="preserve">Publisher Address: </w:t>
      </w:r>
    </w:p>
    <w:p w:rsidR="00434900" w:rsidRPr="00C73C58" w:rsidRDefault="00434900" w:rsidP="00434900">
      <w:pPr>
        <w:pStyle w:val="12"/>
      </w:pPr>
      <w:r w:rsidRPr="00C73C58">
        <w:t xml:space="preserve">Subject Categories: </w:t>
      </w:r>
    </w:p>
    <w:p w:rsidR="00434900" w:rsidRPr="00C73C58" w:rsidRDefault="00434900" w:rsidP="00434900">
      <w:pPr>
        <w:pStyle w:val="12"/>
      </w:pPr>
      <w:r w:rsidRPr="00C73C58">
        <w:t>: Impact Factor</w:t>
      </w:r>
    </w:p>
    <w:p w:rsidR="00434900" w:rsidRDefault="00434900" w:rsidP="00434900">
      <w:pPr>
        <w:pStyle w:val="a3"/>
        <w:rPr>
          <w:kern w:val="0"/>
        </w:rPr>
      </w:pPr>
      <w:r>
        <w:rPr>
          <w:rFonts w:hint="eastAsia"/>
          <w:kern w:val="0"/>
        </w:rPr>
        <w:t xml:space="preserve">? </w:t>
      </w:r>
      <w:r>
        <w:rPr>
          <w:kern w:val="0"/>
        </w:rPr>
        <w:t>Nieder, C., Astner, S.T.</w:t>
      </w:r>
      <w:r w:rsidR="005853A9">
        <w:rPr>
          <w:kern w:val="0"/>
        </w:rPr>
        <w:t xml:space="preserve"> and </w:t>
      </w:r>
      <w:r>
        <w:rPr>
          <w:kern w:val="0"/>
        </w:rPr>
        <w:t>Grosu, A.L. (2012), Glioblastoma research 2006-2010: Pattern</w:t>
      </w:r>
      <w:r w:rsidR="00427468">
        <w:rPr>
          <w:kern w:val="0"/>
        </w:rPr>
        <w:t xml:space="preserve"> of </w:t>
      </w:r>
      <w:r>
        <w:rPr>
          <w:kern w:val="0"/>
        </w:rPr>
        <w:t>citation</w:t>
      </w:r>
      <w:r w:rsidR="005853A9">
        <w:rPr>
          <w:kern w:val="0"/>
        </w:rPr>
        <w:t xml:space="preserve"> and </w:t>
      </w:r>
      <w:r>
        <w:rPr>
          <w:kern w:val="0"/>
        </w:rPr>
        <w:t>systematic review</w:t>
      </w:r>
      <w:r w:rsidR="00427468">
        <w:rPr>
          <w:kern w:val="0"/>
        </w:rPr>
        <w:t xml:space="preserve"> of </w:t>
      </w:r>
      <w:r>
        <w:rPr>
          <w:kern w:val="0"/>
        </w:rPr>
        <w:t xml:space="preserve">highly cited articles. </w:t>
      </w:r>
      <w:r w:rsidRPr="00D409AE">
        <w:rPr>
          <w:i/>
          <w:iCs/>
          <w:kern w:val="0"/>
        </w:rPr>
        <w:t>Clinical Neurology</w:t>
      </w:r>
      <w:r w:rsidR="005853A9">
        <w:rPr>
          <w:i/>
          <w:iCs/>
          <w:kern w:val="0"/>
        </w:rPr>
        <w:t xml:space="preserve"> and </w:t>
      </w:r>
      <w:r w:rsidRPr="00D409AE">
        <w:rPr>
          <w:i/>
          <w:iCs/>
          <w:kern w:val="0"/>
        </w:rPr>
        <w:t>Neurosurgery</w:t>
      </w:r>
      <w:r>
        <w:rPr>
          <w:kern w:val="0"/>
        </w:rPr>
        <w:t xml:space="preserve">, </w:t>
      </w:r>
      <w:r>
        <w:rPr>
          <w:b/>
          <w:bCs/>
          <w:kern w:val="0"/>
        </w:rPr>
        <w:t>114</w:t>
      </w:r>
      <w:r>
        <w:rPr>
          <w:kern w:val="0"/>
        </w:rPr>
        <w:t xml:space="preserve"> (9), 1207-1210.</w:t>
      </w:r>
    </w:p>
    <w:p w:rsidR="00434900" w:rsidRDefault="00434900" w:rsidP="00434900">
      <w:pPr>
        <w:pStyle w:val="a3"/>
        <w:rPr>
          <w:kern w:val="0"/>
        </w:rPr>
      </w:pPr>
      <w:r>
        <w:rPr>
          <w:rFonts w:hint="eastAsia"/>
          <w:kern w:val="0"/>
        </w:rPr>
        <w:t xml:space="preserve">Full Text: </w:t>
      </w:r>
      <w:hyperlink r:id="rId371" w:history="1">
        <w:r w:rsidRPr="00D409AE">
          <w:rPr>
            <w:rStyle w:val="a5"/>
            <w:kern w:val="0"/>
          </w:rPr>
          <w:t>2012\Cli Neu Neu114, 1207.pdf</w:t>
        </w:r>
      </w:hyperlink>
    </w:p>
    <w:p w:rsidR="00434900" w:rsidRDefault="00434900" w:rsidP="00434900">
      <w:pPr>
        <w:pStyle w:val="a3"/>
        <w:rPr>
          <w:kern w:val="0"/>
        </w:rPr>
      </w:pPr>
      <w:r>
        <w:rPr>
          <w:kern w:val="0"/>
        </w:rPr>
        <w:t>Abstract: High</w:t>
      </w:r>
      <w:r w:rsidR="005853A9">
        <w:rPr>
          <w:kern w:val="0"/>
        </w:rPr>
        <w:t xml:space="preserve"> and </w:t>
      </w:r>
      <w:r>
        <w:rPr>
          <w:kern w:val="0"/>
        </w:rPr>
        <w:t>continuously increasing research activity related to different aspects</w:t>
      </w:r>
      <w:r w:rsidR="00427468">
        <w:rPr>
          <w:kern w:val="0"/>
        </w:rPr>
        <w:t xml:space="preserve"> of </w:t>
      </w:r>
      <w:r>
        <w:rPr>
          <w:kern w:val="0"/>
        </w:rPr>
        <w:t>pathogenesis, epidemiology, diagnosis</w:t>
      </w:r>
      <w:r w:rsidR="005853A9">
        <w:rPr>
          <w:kern w:val="0"/>
        </w:rPr>
        <w:t xml:space="preserve"> and </w:t>
      </w:r>
      <w:r>
        <w:rPr>
          <w:kern w:val="0"/>
        </w:rPr>
        <w:t>treatment</w:t>
      </w:r>
      <w:r w:rsidR="00427468">
        <w:rPr>
          <w:kern w:val="0"/>
        </w:rPr>
        <w:t xml:space="preserve"> of </w:t>
      </w:r>
      <w:r>
        <w:rPr>
          <w:kern w:val="0"/>
        </w:rPr>
        <w:t>glioblastoma has been performed between 2006</w:t>
      </w:r>
      <w:r w:rsidR="005853A9">
        <w:rPr>
          <w:kern w:val="0"/>
        </w:rPr>
        <w:t xml:space="preserve"> and </w:t>
      </w:r>
      <w:r>
        <w:rPr>
          <w:kern w:val="0"/>
        </w:rPr>
        <w:t>2010. Different measures</w:t>
      </w:r>
      <w:r w:rsidR="00427468">
        <w:rPr>
          <w:kern w:val="0"/>
        </w:rPr>
        <w:t xml:space="preserve"> of </w:t>
      </w:r>
      <w:r>
        <w:rPr>
          <w:kern w:val="0"/>
        </w:rPr>
        <w:t>impact, visibility</w:t>
      </w:r>
      <w:r w:rsidR="005853A9">
        <w:rPr>
          <w:kern w:val="0"/>
        </w:rPr>
        <w:t xml:space="preserve"> and </w:t>
      </w:r>
      <w:r>
        <w:rPr>
          <w:kern w:val="0"/>
        </w:rPr>
        <w:t>quality</w:t>
      </w:r>
      <w:r w:rsidR="00427468">
        <w:rPr>
          <w:kern w:val="0"/>
        </w:rPr>
        <w:t xml:space="preserve"> of </w:t>
      </w:r>
      <w:r>
        <w:rPr>
          <w:kern w:val="0"/>
        </w:rPr>
        <w:t>published research are available, each with its own pros</w:t>
      </w:r>
      <w:r w:rsidR="005853A9">
        <w:rPr>
          <w:kern w:val="0"/>
        </w:rPr>
        <w:t xml:space="preserve"> and </w:t>
      </w:r>
      <w:r>
        <w:rPr>
          <w:kern w:val="0"/>
        </w:rPr>
        <w:t>cons. For this review, article citation rate was chosen. Articles were identified through systematic search</w:t>
      </w:r>
      <w:r w:rsidR="00427468">
        <w:rPr>
          <w:kern w:val="0"/>
        </w:rPr>
        <w:t xml:space="preserve"> of </w:t>
      </w:r>
      <w:r w:rsidR="003A1917">
        <w:rPr>
          <w:kern w:val="0"/>
        </w:rPr>
        <w:t xml:space="preserve">the </w:t>
      </w:r>
      <w:r>
        <w:rPr>
          <w:kern w:val="0"/>
        </w:rPr>
        <w:t>abstract database PubMed followed by analyses</w:t>
      </w:r>
      <w:r w:rsidR="00427468">
        <w:rPr>
          <w:kern w:val="0"/>
        </w:rPr>
        <w:t xml:space="preserve"> of </w:t>
      </w:r>
      <w:r>
        <w:rPr>
          <w:kern w:val="0"/>
        </w:rPr>
        <w:t>total number</w:t>
      </w:r>
      <w:r w:rsidR="00427468">
        <w:rPr>
          <w:kern w:val="0"/>
        </w:rPr>
        <w:t xml:space="preserve"> of </w:t>
      </w:r>
      <w:r>
        <w:rPr>
          <w:kern w:val="0"/>
        </w:rPr>
        <w:t>citations</w:t>
      </w:r>
      <w:r w:rsidR="005853A9">
        <w:rPr>
          <w:kern w:val="0"/>
        </w:rPr>
        <w:t xml:space="preserve"> and </w:t>
      </w:r>
      <w:r>
        <w:rPr>
          <w:kern w:val="0"/>
        </w:rPr>
        <w:t>proportion</w:t>
      </w:r>
      <w:r w:rsidR="00427468">
        <w:rPr>
          <w:kern w:val="0"/>
        </w:rPr>
        <w:t xml:space="preserve"> of </w:t>
      </w:r>
      <w:r>
        <w:rPr>
          <w:kern w:val="0"/>
        </w:rPr>
        <w:t>highly cited articles, arbitrarily defined as those with &gt;= 100, 50-99,</w:t>
      </w:r>
      <w:r w:rsidR="005853A9">
        <w:rPr>
          <w:kern w:val="0"/>
        </w:rPr>
        <w:t xml:space="preserve"> and </w:t>
      </w:r>
      <w:r>
        <w:rPr>
          <w:kern w:val="0"/>
        </w:rPr>
        <w:t>25-49 citations, respectively (citation database Scopus). Overall 5831 scientific articles on</w:t>
      </w:r>
      <w:r w:rsidR="003A1917">
        <w:rPr>
          <w:kern w:val="0"/>
        </w:rPr>
        <w:t xml:space="preserve"> the </w:t>
      </w:r>
      <w:r>
        <w:rPr>
          <w:kern w:val="0"/>
        </w:rPr>
        <w:t>subject were published during this time period. 1.5%</w:t>
      </w:r>
      <w:r w:rsidR="00427468">
        <w:rPr>
          <w:kern w:val="0"/>
        </w:rPr>
        <w:t xml:space="preserve"> of </w:t>
      </w:r>
      <w:r>
        <w:rPr>
          <w:kern w:val="0"/>
        </w:rPr>
        <w:t>all articles accumulated at least 100 citations, 3.2% were cited between 50</w:t>
      </w:r>
      <w:r w:rsidR="005853A9">
        <w:rPr>
          <w:kern w:val="0"/>
        </w:rPr>
        <w:t xml:space="preserve"> and </w:t>
      </w:r>
      <w:r>
        <w:rPr>
          <w:kern w:val="0"/>
        </w:rPr>
        <w:t>99 times,</w:t>
      </w:r>
      <w:r w:rsidR="005853A9">
        <w:rPr>
          <w:kern w:val="0"/>
        </w:rPr>
        <w:t xml:space="preserve"> and </w:t>
      </w:r>
      <w:r>
        <w:rPr>
          <w:kern w:val="0"/>
        </w:rPr>
        <w:t>7.5% were cited between 25</w:t>
      </w:r>
      <w:r w:rsidR="005853A9">
        <w:rPr>
          <w:kern w:val="0"/>
        </w:rPr>
        <w:t xml:space="preserve"> and </w:t>
      </w:r>
      <w:r>
        <w:rPr>
          <w:kern w:val="0"/>
        </w:rPr>
        <w:t>49 times. Among</w:t>
      </w:r>
      <w:r w:rsidR="003A1917">
        <w:rPr>
          <w:kern w:val="0"/>
        </w:rPr>
        <w:t xml:space="preserve"> the </w:t>
      </w:r>
      <w:r>
        <w:rPr>
          <w:kern w:val="0"/>
        </w:rPr>
        <w:t>10 most cited articles, 7 reported on genomic analyses, molecular subclasses</w:t>
      </w:r>
      <w:r w:rsidR="00427468">
        <w:rPr>
          <w:kern w:val="0"/>
        </w:rPr>
        <w:t xml:space="preserve"> of </w:t>
      </w:r>
      <w:r>
        <w:rPr>
          <w:kern w:val="0"/>
        </w:rPr>
        <w:t>glioblastoma and/or stem cells. Overall, 18 randomized clinical trials were published between 2006</w:t>
      </w:r>
      <w:r w:rsidR="005853A9">
        <w:rPr>
          <w:kern w:val="0"/>
        </w:rPr>
        <w:t xml:space="preserve"> and </w:t>
      </w:r>
      <w:r>
        <w:rPr>
          <w:kern w:val="0"/>
        </w:rPr>
        <w:t>2010, including those with phase II design. Thirty-nine percent</w:t>
      </w:r>
      <w:r w:rsidR="00427468">
        <w:rPr>
          <w:kern w:val="0"/>
        </w:rPr>
        <w:t xml:space="preserve"> of </w:t>
      </w:r>
      <w:r>
        <w:rPr>
          <w:kern w:val="0"/>
        </w:rPr>
        <w:t>them accumulated at least 50 citations</w:t>
      </w:r>
      <w:r w:rsidR="005853A9">
        <w:rPr>
          <w:kern w:val="0"/>
        </w:rPr>
        <w:t xml:space="preserve"> and </w:t>
      </w:r>
      <w:r>
        <w:rPr>
          <w:kern w:val="0"/>
        </w:rPr>
        <w:t>72% were cited at least 25 times. In general, annual citation rate appeared to gradually increase during</w:t>
      </w:r>
      <w:r w:rsidR="003A1917">
        <w:rPr>
          <w:kern w:val="0"/>
        </w:rPr>
        <w:t xml:space="preserve"> the </w:t>
      </w:r>
      <w:r>
        <w:rPr>
          <w:kern w:val="0"/>
        </w:rPr>
        <w:t>first 2-3 years after publication before reaching high levels. A large variety</w:t>
      </w:r>
      <w:r w:rsidR="00427468">
        <w:rPr>
          <w:kern w:val="0"/>
        </w:rPr>
        <w:t xml:space="preserve"> of </w:t>
      </w:r>
      <w:r>
        <w:rPr>
          <w:kern w:val="0"/>
        </w:rPr>
        <w:t>preclinical</w:t>
      </w:r>
      <w:r w:rsidR="005853A9">
        <w:rPr>
          <w:kern w:val="0"/>
        </w:rPr>
        <w:t xml:space="preserve"> and </w:t>
      </w:r>
      <w:r>
        <w:rPr>
          <w:kern w:val="0"/>
        </w:rPr>
        <w:t>clinical topics achieved at least 25 citations. However, areas such as quality</w:t>
      </w:r>
      <w:r w:rsidR="00427468">
        <w:rPr>
          <w:kern w:val="0"/>
        </w:rPr>
        <w:t xml:space="preserve"> of </w:t>
      </w:r>
      <w:r>
        <w:rPr>
          <w:kern w:val="0"/>
        </w:rPr>
        <w:t>life, side effects,</w:t>
      </w:r>
      <w:r w:rsidR="005853A9">
        <w:rPr>
          <w:kern w:val="0"/>
        </w:rPr>
        <w:t xml:space="preserve"> and </w:t>
      </w:r>
      <w:r>
        <w:rPr>
          <w:kern w:val="0"/>
        </w:rPr>
        <w:t>end-of-life care were underrepresented. Efforts to increase their visibility might be warranted. (c) 2012 Elsevier B.V. All rights reserved.</w:t>
      </w:r>
    </w:p>
    <w:p w:rsidR="00434900" w:rsidRDefault="00434900" w:rsidP="00434900">
      <w:pPr>
        <w:pStyle w:val="a3"/>
        <w:rPr>
          <w:kern w:val="0"/>
        </w:rPr>
      </w:pPr>
      <w:r>
        <w:rPr>
          <w:kern w:val="0"/>
        </w:rPr>
        <w:t xml:space="preserve">Keywords: Analyses, Articles, Bevacizumab Plus Irinotecan, Cancer Stem-Cells, Care, </w:t>
      </w:r>
      <w:r>
        <w:rPr>
          <w:kern w:val="0"/>
        </w:rPr>
        <w:lastRenderedPageBreak/>
        <w:t>Citation, Citations, Clinical, Clinical Trials, Database, Design, Diagnosis, Double-Blind, Effects, End</w:t>
      </w:r>
      <w:r w:rsidR="00427468">
        <w:rPr>
          <w:kern w:val="0"/>
        </w:rPr>
        <w:t xml:space="preserve"> of </w:t>
      </w:r>
      <w:r>
        <w:rPr>
          <w:kern w:val="0"/>
        </w:rPr>
        <w:t>Life, End-of-Life Care, Epidemiology, First, Gene-Expression, General, Glioblastoma, Grade Iv Glioma, Highly Cited, Highly-Cited, Impact, Impact Factor, Life, Malignant Glioma, Malignant Gliomas, NOV, Pathogenesis, Phase II, Phase-II Trial, Placebo-Controlled Trial, Publication, Pubmed, Quality, Quality Of, Quality</w:t>
      </w:r>
      <w:r w:rsidR="00427468">
        <w:rPr>
          <w:kern w:val="0"/>
        </w:rPr>
        <w:t xml:space="preserve"> of </w:t>
      </w:r>
      <w:r>
        <w:rPr>
          <w:kern w:val="0"/>
        </w:rPr>
        <w:t>Life, Randomized, Randomized Controlled-Trial, Recurrent Glioblastoma, Research, Research Evaluation, Review, Rights, Scopus, Side Effects, Stem Cells, Systematic Review, Treatment, Visibility</w:t>
      </w:r>
    </w:p>
    <w:p w:rsidR="0035492C" w:rsidRDefault="0035492C" w:rsidP="0035492C">
      <w:pPr>
        <w:pStyle w:val="a3"/>
        <w:rPr>
          <w:kern w:val="0"/>
        </w:rPr>
      </w:pPr>
      <w:r>
        <w:rPr>
          <w:rFonts w:hint="eastAsia"/>
          <w:kern w:val="0"/>
        </w:rPr>
        <w:t xml:space="preserve">? </w:t>
      </w:r>
      <w:r>
        <w:rPr>
          <w:kern w:val="0"/>
        </w:rPr>
        <w:t xml:space="preserve">Piper, R.J., Yoong, M.M., Kandasamy, J. and Chin, R.F. (2014), Application of diffusion tensor imaging and tractography of the optic radiation in anterior temporal lobe resection for epilepsy: A systematic review. </w:t>
      </w:r>
      <w:r>
        <w:rPr>
          <w:i/>
          <w:iCs/>
          <w:kern w:val="0"/>
        </w:rPr>
        <w:t>Clinical Neurology and Neurosurgery</w:t>
      </w:r>
      <w:r>
        <w:rPr>
          <w:kern w:val="0"/>
        </w:rPr>
        <w:t xml:space="preserve">, </w:t>
      </w:r>
      <w:r>
        <w:rPr>
          <w:b/>
          <w:bCs/>
          <w:kern w:val="0"/>
        </w:rPr>
        <w:t>124</w:t>
      </w:r>
      <w:r>
        <w:rPr>
          <w:kern w:val="0"/>
        </w:rPr>
        <w:t>, 59-65.</w:t>
      </w:r>
    </w:p>
    <w:p w:rsidR="0035492C" w:rsidRDefault="0035492C" w:rsidP="0035492C">
      <w:pPr>
        <w:pStyle w:val="a3"/>
        <w:rPr>
          <w:kern w:val="0"/>
        </w:rPr>
      </w:pPr>
      <w:r>
        <w:rPr>
          <w:rFonts w:hint="eastAsia"/>
          <w:kern w:val="0"/>
        </w:rPr>
        <w:t xml:space="preserve">Full Text: </w:t>
      </w:r>
      <w:hyperlink r:id="rId372" w:history="1">
        <w:r w:rsidRPr="00261EA7">
          <w:rPr>
            <w:rStyle w:val="a5"/>
            <w:kern w:val="0"/>
          </w:rPr>
          <w:t>2014\Cli Neu Neu124, 59.pdf</w:t>
        </w:r>
      </w:hyperlink>
    </w:p>
    <w:p w:rsidR="0035492C" w:rsidRDefault="0035492C" w:rsidP="0035492C">
      <w:pPr>
        <w:pStyle w:val="a3"/>
        <w:rPr>
          <w:kern w:val="0"/>
        </w:rPr>
      </w:pPr>
      <w:r>
        <w:rPr>
          <w:kern w:val="0"/>
        </w:rPr>
        <w:t xml:space="preserve">Abstract: Background: Approximately 50-100% of patients with temporal lobe epilepsy undergoing anterior temporal lobe resection (ATLR) will suffer a postoperative visual field defect (VFD) due to disruption of the optic radiation (OpR). Objective: We conducted a systematic review of the literature to examine the role of DTI and tractography in ATLR and its potential in reducing the incidence of postoperative VFD. Methods: We conducted an electronic literature search using PubMed, Embase, Web of Science and BMJ case report databases. Eligibility for study inclusion was determined on abstract screening using the following criteria: the study must have been (1) an original investigation or case report in humans; (2) investigating the OpR with DTI in cases of ATLR in temporal lobe epilepsy; (3) investigating postoperative VFD. All forms of ATLR and ways of assessing VFD were included to reflect clinical practice. Results: 13 studies (four case reports, eight prospective observational studies, one prospective comparative trial) were included in the review, 179 (mean +/- SD, 13.8 +/- 12.6; range, 1-48) subjects were investigated using DTI. The time of postoperative VFD measurement differed between the detected studies, ranging from two weeks to nine years following ATLR. A modest number of studies and insufficient statistical homogeneity precluded meta-analysis. However, DTI methods were consistently accurate at quantifying and predicting postoperative damage to the OpR. These methods revealed a correlation between the extent of OpR damage and the severity of postoperative VFD. The first and only trial with 15 subjects compared to 23 controls reported that using intraoperative tractography in ATLR significantly reduces the occurrence of postoperative VFD on comparison to conventional surgical planning. Conclusions: DTI shows potential to be an effective method used in planning ATLR. Findings from a single modest sized study suggest that tractography may be employed as part of intraoperative navigation techniques in order to avoid injury to the OpR. Further research needs to be conducted to ensure </w:t>
      </w:r>
      <w:r>
        <w:rPr>
          <w:kern w:val="0"/>
        </w:rPr>
        <w:lastRenderedPageBreak/>
        <w:t>the applicability and effectiveness of this technology before implementation in routine clinical practice. (C) 2014 Elsevier B.V. All rights reserved.</w:t>
      </w:r>
    </w:p>
    <w:p w:rsidR="0035492C" w:rsidRDefault="0035492C" w:rsidP="0035492C">
      <w:pPr>
        <w:pStyle w:val="a3"/>
        <w:rPr>
          <w:kern w:val="0"/>
        </w:rPr>
      </w:pPr>
      <w:r>
        <w:rPr>
          <w:kern w:val="0"/>
        </w:rPr>
        <w:t>Keywords: Anterior Temporal Lobectomy, Application, Assessing, Case Report, Case Reports, Clinical, Clinical Practice, Comparison, Conventional, Correlation, Criteria, Damage, Databases, Deficits, Diffusion, Diffusion Tensor Imaging, Effectiveness, Epilepsy, Epilepsy Surgery, Field, First, Forms, Hippocampal Sclerosis, Homogeneity, Humans, Imaging, Implementation, Incidence, Injury, Investigation, Literature, Literature Search, Lobectomy, Measurement, Meta Analysis, Meta-Analysis, Metaanalysis, Methods, Meyers Loop, Needs, Observational, Observational Studies, Patients, Planning, Postoperative, Potential, Practice, Prospective, Pubmed, Radiation, Research, Results, Review, Rights, Role, Science, Screening, Selective Amygdalohippocampectomy, Surgery, Systematic, Systematic Review, Techniques, Technology, Temporal, Tractography, Trial, Vision, Visual Field Defects, Visual-Field Defects, Web Of Science</w:t>
      </w:r>
    </w:p>
    <w:p w:rsidR="00EB0F33" w:rsidRDefault="00EB0F33" w:rsidP="00EB0F33">
      <w:pPr>
        <w:pStyle w:val="a3"/>
        <w:rPr>
          <w:kern w:val="0"/>
        </w:rPr>
      </w:pPr>
      <w:r>
        <w:rPr>
          <w:rFonts w:hint="eastAsia"/>
          <w:kern w:val="0"/>
        </w:rPr>
        <w:t xml:space="preserve">? </w:t>
      </w:r>
      <w:r>
        <w:rPr>
          <w:kern w:val="0"/>
        </w:rPr>
        <w:t xml:space="preserve">Zheng, J. and Zhang, J.M. (2015), Neoplastic cerebral aneurysm from metastatic tumor: A systematic review of clinical and treatment characteristics. </w:t>
      </w:r>
      <w:r>
        <w:rPr>
          <w:i/>
          <w:iCs/>
          <w:kern w:val="0"/>
        </w:rPr>
        <w:t>Clinical Neurology and Neurosurgery</w:t>
      </w:r>
      <w:r>
        <w:rPr>
          <w:kern w:val="0"/>
        </w:rPr>
        <w:t xml:space="preserve">, </w:t>
      </w:r>
      <w:r>
        <w:rPr>
          <w:b/>
          <w:bCs/>
          <w:kern w:val="0"/>
        </w:rPr>
        <w:t>128</w:t>
      </w:r>
      <w:r>
        <w:rPr>
          <w:kern w:val="0"/>
        </w:rPr>
        <w:t>, 107-111.</w:t>
      </w:r>
    </w:p>
    <w:p w:rsidR="00EB0F33" w:rsidRDefault="00EB0F33" w:rsidP="00EB0F33">
      <w:pPr>
        <w:pStyle w:val="a3"/>
        <w:rPr>
          <w:kern w:val="0"/>
        </w:rPr>
      </w:pPr>
      <w:r>
        <w:rPr>
          <w:rFonts w:hint="eastAsia"/>
          <w:kern w:val="0"/>
        </w:rPr>
        <w:t xml:space="preserve">Full Text: </w:t>
      </w:r>
      <w:hyperlink r:id="rId373" w:history="1">
        <w:r w:rsidRPr="007D126B">
          <w:rPr>
            <w:rStyle w:val="a5"/>
            <w:kern w:val="0"/>
          </w:rPr>
          <w:t>2015\Cli Neu Neu128, 107.pdf</w:t>
        </w:r>
      </w:hyperlink>
    </w:p>
    <w:p w:rsidR="00EB0F33" w:rsidRDefault="00EB0F33" w:rsidP="00EB0F33">
      <w:pPr>
        <w:pStyle w:val="a3"/>
        <w:rPr>
          <w:kern w:val="0"/>
        </w:rPr>
      </w:pPr>
      <w:r>
        <w:rPr>
          <w:kern w:val="0"/>
        </w:rPr>
        <w:t xml:space="preserve">Abstract: Objective: Neoplastic cerebral aneurysm (NCA) is a very rare event. The authors aimed to characterize the clinical and treatment details of this poorly defined entity. Materials and methods: A computerized systematic literature search was performed in PubMed, Medline, Web of Science, Cochrane Library, Embase, Google Scholar, Science Direct and Scopus. Keywords used were as follows: “aneurysm”; “myxoma”; “choriocarcinoma”; “oncotic aneurysm”; “neoplastic aneurysm”. Only reports with cerebral aneurysm resulting from metastatic tumor and contained adequate clinical information pertinent to the analysis were included. Clinical and treatment characteristics were analyzed. Results: Ninety-two studies reporting 96 cases of neoplastic cerebral aneurysm were identified. NCA from cardiac myxoma accounted for 60.4%, while NCA from choriocarcinoma and other tumors accounted for 26.1% and 13.5%, respectively. The rates of intracranial hemorrhages were 19.6% in NCA from myxoma, 100% in NCA from choriocarcinoma, and 84.6% in NCA from other tumors. 75.9% of NCA from myxoma were managed conservatively, 92% of NCA from choriocarcinoma were treated by surgery and/or chemotherapy, and 69.2% of NCA from other tumors were treated by surgery with or without chemotherapy. The mortality rates were 11.4% in NCA from myxoma, 60.9% in NCA from choriocarcinoma, and 92.3% in NCA from other tumors. According to a multiple logistic regression model, “pathology (P=0.002)” is significantly correlated with outcome. Conclusions: Neoplastic cerebral aneurysms are usually complicated with cardiac myxoma, choriocarcinoma and lung carcinoma. NCA from cardiac </w:t>
      </w:r>
      <w:r>
        <w:rPr>
          <w:kern w:val="0"/>
        </w:rPr>
        <w:lastRenderedPageBreak/>
        <w:t>myxoma were probably multiple and rarely associated with intracranial hemorrhage, while the majority of NCA from choriocarcinoma and other tumors were single and presented with intracranial hemorrhage. The prognosis is quite good in NCA from cardiac myxoma, while NCA from malignant tumors were associated with poor outcome. (C) 2014 Elsevier B.V. All rights reserved.</w:t>
      </w:r>
    </w:p>
    <w:p w:rsidR="00EB0F33" w:rsidRDefault="00EB0F33" w:rsidP="00EB0F33">
      <w:pPr>
        <w:pStyle w:val="a3"/>
        <w:rPr>
          <w:kern w:val="0"/>
        </w:rPr>
      </w:pPr>
      <w:r>
        <w:rPr>
          <w:kern w:val="0"/>
        </w:rPr>
        <w:t>Keywords: Analysis, Aneurysm, Artery Aneurysm, Authors, Carcinoma, Cardiac Myxoma, Cardiac Myxoma, Cerebral, Cerebral Aneurysm, Characteristics, Chemotherapy, Choriocarcinoma, Clinical, Delayed Complication, From, Fusiform Aneurysms, Gestational Choriocarcinoma, Google, Google Scholar, Hemorrhage, Information, Intracerebral Hemorrhage, Intracranial Hemorrhage, Intracranial Hemorrhages, Keywords, Left Atrial-Myxoma, Literature, Literature Search, Logistic Regression, Lung, Materials, Medline, Metastatic, Metastatic Tumor, Methods, Model, Mortality, Multiple Intracranial Aneurysms, Neoplastic Cerebral Aneurysm, Of-The-Literature, Oncotic Aneurysms, Outcome, Prognosis, Pubmed, Rates, Regression, Regression Model, Reporting, Results, Review, Rights, Science, Scopus, Surgery, Systematic, Systematic Literature Search, Systematic Review, Treatment, Tumor, Web, Web Of Science</w:t>
      </w:r>
    </w:p>
    <w:p w:rsidR="003474F2" w:rsidRPr="001A3D2B" w:rsidRDefault="003474F2" w:rsidP="003474F2">
      <w:pPr>
        <w:pStyle w:val="1"/>
      </w:pPr>
      <w:r w:rsidRPr="001A3D2B">
        <w:br w:type="page"/>
      </w:r>
      <w:bookmarkStart w:id="294" w:name="_Toc420815036"/>
      <w:r w:rsidRPr="001A3D2B">
        <w:lastRenderedPageBreak/>
        <w:t>Title: Clinical Neuropsychologist</w:t>
      </w:r>
      <w:bookmarkEnd w:id="294"/>
    </w:p>
    <w:p w:rsidR="003474F2" w:rsidRPr="001A3D2B" w:rsidRDefault="003474F2" w:rsidP="003474F2">
      <w:pPr>
        <w:pStyle w:val="12"/>
      </w:pPr>
      <w:r w:rsidRPr="001A3D2B">
        <w:t>Full Journal Title: Clinical Neuropsychologist</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 xml:space="preserve">Language: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Sweet, J.J., King, J.H., Malina, A.C., Bergman, M.A.</w:t>
      </w:r>
      <w:r w:rsidR="005853A9">
        <w:t xml:space="preserve"> and </w:t>
      </w:r>
      <w:r w:rsidRPr="001A3D2B">
        <w:t>Simmons, A. (2002), Documenting</w:t>
      </w:r>
      <w:r w:rsidR="003A1917">
        <w:t xml:space="preserve"> the </w:t>
      </w:r>
      <w:r w:rsidRPr="001A3D2B">
        <w:t>prominence</w:t>
      </w:r>
      <w:r w:rsidR="00427468">
        <w:t xml:space="preserve"> of </w:t>
      </w:r>
      <w:r w:rsidRPr="001A3D2B">
        <w:t>forensic neuropsychology at national meetings</w:t>
      </w:r>
      <w:r w:rsidR="005853A9">
        <w:t xml:space="preserve"> and </w:t>
      </w:r>
      <w:r w:rsidRPr="001A3D2B">
        <w:t xml:space="preserve">in relevant professional journals from 1990 to 2000. </w:t>
      </w:r>
      <w:r w:rsidRPr="001A3D2B">
        <w:rPr>
          <w:i/>
          <w:iCs/>
        </w:rPr>
        <w:t>Clinical Neuropsychologist</w:t>
      </w:r>
      <w:r w:rsidRPr="001A3D2B">
        <w:t xml:space="preserve">, </w:t>
      </w:r>
      <w:r w:rsidRPr="001A3D2B">
        <w:rPr>
          <w:b/>
          <w:bCs/>
        </w:rPr>
        <w:t>16</w:t>
      </w:r>
      <w:r w:rsidRPr="001A3D2B">
        <w:t xml:space="preserve"> (4), 481-494.</w:t>
      </w:r>
    </w:p>
    <w:p w:rsidR="003474F2" w:rsidRPr="001A3D2B" w:rsidRDefault="003474F2" w:rsidP="003474F2">
      <w:pPr>
        <w:pStyle w:val="a3"/>
      </w:pPr>
      <w:r w:rsidRPr="001A3D2B">
        <w:t>Abstract: Numerous authors have opined that forensic activities have become more prominent within clinical neuropsychology. To investigate</w:t>
      </w:r>
      <w:r w:rsidR="003A1917">
        <w:t xml:space="preserve"> the </w:t>
      </w:r>
      <w:r w:rsidRPr="001A3D2B">
        <w:t>merits</w:t>
      </w:r>
      <w:r w:rsidR="00427468">
        <w:t xml:space="preserve"> of </w:t>
      </w:r>
      <w:r w:rsidRPr="001A3D2B">
        <w:t>these claims,</w:t>
      </w:r>
      <w:r w:rsidR="003A1917">
        <w:t xml:space="preserve"> the </w:t>
      </w:r>
      <w:r w:rsidRPr="001A3D2B">
        <w:t>entire contents</w:t>
      </w:r>
      <w:r w:rsidR="00427468">
        <w:t xml:space="preserve"> of </w:t>
      </w:r>
      <w:r w:rsidRPr="001A3D2B">
        <w:t>Archives</w:t>
      </w:r>
      <w:r w:rsidR="00427468">
        <w:t xml:space="preserve"> of </w:t>
      </w:r>
      <w:r w:rsidRPr="001A3D2B">
        <w:t>Clinical Neuropsychology (ACN), Journal</w:t>
      </w:r>
      <w:r w:rsidR="00427468">
        <w:t xml:space="preserve"> of </w:t>
      </w:r>
      <w:r w:rsidRPr="001A3D2B">
        <w:t>Clinical</w:t>
      </w:r>
      <w:r w:rsidR="005853A9">
        <w:t xml:space="preserve"> and </w:t>
      </w:r>
      <w:r w:rsidRPr="001A3D2B">
        <w:t>Experimental Neuropsychology (JCEN),</w:t>
      </w:r>
      <w:r w:rsidR="005853A9">
        <w:t xml:space="preserve"> and </w:t>
      </w:r>
      <w:r w:rsidR="003A1917">
        <w:t xml:space="preserve">the </w:t>
      </w:r>
      <w:r w:rsidRPr="001A3D2B">
        <w:t>Clinical Neuropsychologist (TCN) from 1990 through 2000 were reviewed</w:t>
      </w:r>
      <w:r w:rsidR="005853A9">
        <w:t xml:space="preserve"> and </w:t>
      </w:r>
      <w:r w:rsidRPr="001A3D2B">
        <w:t>cataloged</w:t>
      </w:r>
      <w:r w:rsidR="00A37C1D">
        <w:t>. The</w:t>
      </w:r>
      <w:r w:rsidRPr="001A3D2B">
        <w:t>se three journals were selected because they are</w:t>
      </w:r>
      <w:r w:rsidR="003A1917">
        <w:t xml:space="preserve"> the </w:t>
      </w:r>
      <w:r w:rsidRPr="001A3D2B">
        <w:t>highest-ranking clinical subscription journals according to surveys</w:t>
      </w:r>
      <w:r w:rsidR="00427468">
        <w:t xml:space="preserve"> of </w:t>
      </w:r>
      <w:r w:rsidRPr="001A3D2B">
        <w:t>neuropsychology practitioners. Prior to rating journal content, various categories</w:t>
      </w:r>
      <w:r w:rsidR="00427468">
        <w:t xml:space="preserve"> of </w:t>
      </w:r>
      <w:r w:rsidRPr="001A3D2B">
        <w:t>interest were delineated</w:t>
      </w:r>
      <w:r w:rsidR="005853A9">
        <w:t xml:space="preserve"> and </w:t>
      </w:r>
      <w:r w:rsidRPr="001A3D2B">
        <w:t>practice ratings were obtained until</w:t>
      </w:r>
      <w:r w:rsidR="003A1917">
        <w:t xml:space="preserve"> the </w:t>
      </w:r>
      <w:r w:rsidRPr="001A3D2B">
        <w:t>two raters reached 92% agreement. Each</w:t>
      </w:r>
      <w:r w:rsidR="00427468">
        <w:t xml:space="preserve"> of </w:t>
      </w:r>
      <w:r w:rsidR="003A1917">
        <w:t xml:space="preserve">the </w:t>
      </w:r>
      <w:r w:rsidRPr="001A3D2B">
        <w:t>raters read</w:t>
      </w:r>
      <w:r w:rsidR="003A1917">
        <w:t xml:space="preserve"> the </w:t>
      </w:r>
      <w:r w:rsidRPr="001A3D2B">
        <w:t>journal contents</w:t>
      </w:r>
      <w:r w:rsidR="005853A9">
        <w:t xml:space="preserve"> and </w:t>
      </w:r>
      <w:r w:rsidRPr="001A3D2B">
        <w:t>recorded content ratings for half</w:t>
      </w:r>
      <w:r w:rsidR="00427468">
        <w:t xml:space="preserve"> of </w:t>
      </w:r>
      <w:r w:rsidR="003A1917">
        <w:t xml:space="preserve">the </w:t>
      </w:r>
      <w:r w:rsidRPr="001A3D2B">
        <w:t>journal issues under review. Results</w:t>
      </w:r>
      <w:r w:rsidR="00427468">
        <w:t xml:space="preserve"> of </w:t>
      </w:r>
      <w:r w:rsidR="003A1917">
        <w:t xml:space="preserve">the </w:t>
      </w:r>
      <w:r w:rsidRPr="001A3D2B">
        <w:t>8323 ratings demonstrated increases across time in</w:t>
      </w:r>
      <w:r w:rsidR="003A1917">
        <w:t xml:space="preserve"> the </w:t>
      </w:r>
      <w:r w:rsidRPr="001A3D2B">
        <w:t>absolute numbers</w:t>
      </w:r>
      <w:r w:rsidR="00427468">
        <w:t xml:space="preserve"> of </w:t>
      </w:r>
      <w:r w:rsidRPr="001A3D2B">
        <w:t>articles related to forensic neuropsychology, although variable</w:t>
      </w:r>
      <w:r w:rsidR="005853A9">
        <w:t xml:space="preserve"> and </w:t>
      </w:r>
      <w:r w:rsidRPr="001A3D2B">
        <w:t>different for each journal. Published articles that were partially or substantially forensic in nature in</w:t>
      </w:r>
      <w:r w:rsidR="003A1917">
        <w:t xml:space="preserve"> the </w:t>
      </w:r>
      <w:r w:rsidRPr="001A3D2B">
        <w:t>three journals combined increased from 4% in 1990 to 14% in 2000. An annual peak in absolute number (n = 32; 16%)</w:t>
      </w:r>
      <w:r w:rsidR="00427468">
        <w:t xml:space="preserve"> of </w:t>
      </w:r>
      <w:r w:rsidRPr="001A3D2B">
        <w:t>forensic journal articles occurred in 1997</w:t>
      </w:r>
      <w:r w:rsidR="00A37C1D">
        <w:t>. The</w:t>
      </w:r>
      <w:r w:rsidR="003A1917">
        <w:t xml:space="preserve"> </w:t>
      </w:r>
      <w:r w:rsidRPr="001A3D2B">
        <w:t>most common topic</w:t>
      </w:r>
      <w:r w:rsidR="00427468">
        <w:t xml:space="preserve"> of </w:t>
      </w:r>
      <w:r w:rsidRPr="001A3D2B">
        <w:t>139 articles published in ACN, JCEN,</w:t>
      </w:r>
      <w:r w:rsidR="005853A9">
        <w:t xml:space="preserve"> and </w:t>
      </w:r>
      <w:r w:rsidRPr="001A3D2B">
        <w:t>TCN from 1990 to 2000 was malingering, which appeared in 86%</w:t>
      </w:r>
      <w:r w:rsidR="00427468">
        <w:t xml:space="preserve"> of </w:t>
      </w:r>
      <w:r w:rsidR="003A1917">
        <w:t xml:space="preserve">the </w:t>
      </w:r>
      <w:r w:rsidRPr="001A3D2B">
        <w:t>general forensic articles. Forensic presentations at annual NAN meetings ranged from 3.9 to 11.3% (M = 8%)</w:t>
      </w:r>
      <w:r w:rsidR="00427468">
        <w:t xml:space="preserve"> of </w:t>
      </w:r>
      <w:r w:rsidR="003A1917">
        <w:t xml:space="preserve">the </w:t>
      </w:r>
      <w:r w:rsidRPr="001A3D2B">
        <w:t>convention programs, whereas within Division 40</w:t>
      </w:r>
      <w:r w:rsidR="0071223E">
        <w:t>’</w:t>
      </w:r>
      <w:r w:rsidR="00C13DDC">
        <w:t>s</w:t>
      </w:r>
      <w:r w:rsidRPr="001A3D2B">
        <w:t xml:space="preserve"> programs at</w:t>
      </w:r>
      <w:r w:rsidR="003A1917">
        <w:t xml:space="preserve"> the </w:t>
      </w:r>
      <w:r w:rsidRPr="001A3D2B">
        <w:t>American Psychological Association meeting,</w:t>
      </w:r>
      <w:r w:rsidR="003A1917">
        <w:t xml:space="preserve"> the </w:t>
      </w:r>
      <w:r w:rsidRPr="001A3D2B">
        <w:t>average percentage ranged from 2.3 to 11.7% (M = 6%). Results pertaining to each journal</w:t>
      </w:r>
      <w:r w:rsidR="005853A9">
        <w:t xml:space="preserve"> </w:t>
      </w:r>
      <w:r w:rsidR="005853A9">
        <w:lastRenderedPageBreak/>
        <w:t xml:space="preserve">and </w:t>
      </w:r>
      <w:r w:rsidRPr="001A3D2B">
        <w:t>to specific forensic topics are presented</w:t>
      </w:r>
      <w:r w:rsidR="005853A9">
        <w:t xml:space="preserve"> and </w:t>
      </w:r>
      <w:r w:rsidRPr="001A3D2B">
        <w:t>implications</w:t>
      </w:r>
      <w:r w:rsidR="00427468">
        <w:t xml:space="preserve"> of </w:t>
      </w:r>
      <w:r w:rsidRPr="001A3D2B">
        <w:t>these</w:t>
      </w:r>
      <w:r w:rsidR="005853A9">
        <w:t xml:space="preserve"> and </w:t>
      </w:r>
      <w:r w:rsidRPr="001A3D2B">
        <w:t>other results are discussed.</w:t>
      </w:r>
    </w:p>
    <w:p w:rsidR="003474F2" w:rsidRPr="001A3D2B" w:rsidRDefault="003474F2" w:rsidP="003474F2">
      <w:pPr>
        <w:pStyle w:val="a3"/>
      </w:pPr>
      <w:r w:rsidRPr="001A3D2B">
        <w:t>Keywords: Clinical, Forensic, General, Journal, Journal Articles, Journals, Malingering, Practice, Review, Surveys</w:t>
      </w:r>
    </w:p>
    <w:p w:rsidR="00780724" w:rsidRPr="001A3D2B" w:rsidRDefault="00780724" w:rsidP="00780724">
      <w:pPr>
        <w:pStyle w:val="1"/>
      </w:pPr>
      <w:r w:rsidRPr="001A3D2B">
        <w:br w:type="page"/>
      </w:r>
      <w:bookmarkStart w:id="295" w:name="_Toc420815037"/>
      <w:r w:rsidRPr="001A3D2B">
        <w:lastRenderedPageBreak/>
        <w:t xml:space="preserve">Title: </w:t>
      </w:r>
      <w:r w:rsidRPr="00780724">
        <w:t>Clinical Nursing Research</w:t>
      </w:r>
      <w:bookmarkEnd w:id="295"/>
    </w:p>
    <w:p w:rsidR="00780724" w:rsidRPr="001A3D2B" w:rsidRDefault="00780724" w:rsidP="00780724">
      <w:pPr>
        <w:pStyle w:val="12"/>
      </w:pPr>
      <w:r w:rsidRPr="001A3D2B">
        <w:t xml:space="preserve">Full Journal Title: </w:t>
      </w:r>
      <w:r w:rsidRPr="00780724">
        <w:rPr>
          <w:iCs/>
          <w:kern w:val="0"/>
        </w:rPr>
        <w:t>Clinical Nursing Research</w:t>
      </w:r>
    </w:p>
    <w:p w:rsidR="00780724" w:rsidRPr="001A3D2B" w:rsidRDefault="00780724" w:rsidP="00780724">
      <w:pPr>
        <w:pStyle w:val="12"/>
      </w:pPr>
      <w:r w:rsidRPr="001A3D2B">
        <w:t xml:space="preserve">ISO Abbreviated Title: </w:t>
      </w:r>
    </w:p>
    <w:p w:rsidR="00780724" w:rsidRPr="001A3D2B" w:rsidRDefault="00780724" w:rsidP="00780724">
      <w:pPr>
        <w:pStyle w:val="12"/>
      </w:pPr>
      <w:r w:rsidRPr="001A3D2B">
        <w:t xml:space="preserve">JCR Abbreviated Title: </w:t>
      </w:r>
    </w:p>
    <w:p w:rsidR="00780724" w:rsidRPr="001A3D2B" w:rsidRDefault="00780724" w:rsidP="00780724">
      <w:pPr>
        <w:pStyle w:val="12"/>
      </w:pPr>
      <w:r w:rsidRPr="001A3D2B">
        <w:t xml:space="preserve">ISSN: </w:t>
      </w:r>
    </w:p>
    <w:p w:rsidR="00780724" w:rsidRPr="001A3D2B" w:rsidRDefault="00780724" w:rsidP="00780724">
      <w:pPr>
        <w:pStyle w:val="12"/>
      </w:pPr>
      <w:r w:rsidRPr="001A3D2B">
        <w:t xml:space="preserve">Issues/Year: </w:t>
      </w:r>
    </w:p>
    <w:p w:rsidR="00780724" w:rsidRPr="001A3D2B" w:rsidRDefault="00780724" w:rsidP="00780724">
      <w:pPr>
        <w:pStyle w:val="12"/>
      </w:pPr>
      <w:r w:rsidRPr="001A3D2B">
        <w:t xml:space="preserve">Journal Country/Territory: </w:t>
      </w:r>
    </w:p>
    <w:p w:rsidR="00780724" w:rsidRPr="001A3D2B" w:rsidRDefault="00780724" w:rsidP="00780724">
      <w:pPr>
        <w:pStyle w:val="12"/>
      </w:pPr>
      <w:r w:rsidRPr="001A3D2B">
        <w:t xml:space="preserve">Language: </w:t>
      </w:r>
    </w:p>
    <w:p w:rsidR="00780724" w:rsidRPr="001A3D2B" w:rsidRDefault="00780724" w:rsidP="00780724">
      <w:pPr>
        <w:pStyle w:val="12"/>
      </w:pPr>
      <w:r w:rsidRPr="001A3D2B">
        <w:t xml:space="preserve">Publisher: </w:t>
      </w:r>
    </w:p>
    <w:p w:rsidR="00780724" w:rsidRPr="001A3D2B" w:rsidRDefault="00780724" w:rsidP="00780724">
      <w:pPr>
        <w:pStyle w:val="12"/>
      </w:pPr>
      <w:r w:rsidRPr="001A3D2B">
        <w:t xml:space="preserve">Publisher Address: </w:t>
      </w:r>
    </w:p>
    <w:p w:rsidR="00780724" w:rsidRPr="001A3D2B" w:rsidRDefault="00780724" w:rsidP="00780724">
      <w:pPr>
        <w:pStyle w:val="12"/>
      </w:pPr>
      <w:r w:rsidRPr="001A3D2B">
        <w:t>Subject Categories:</w:t>
      </w:r>
    </w:p>
    <w:p w:rsidR="00780724" w:rsidRPr="001A3D2B" w:rsidRDefault="00780724" w:rsidP="00780724">
      <w:pPr>
        <w:pStyle w:val="12"/>
      </w:pPr>
      <w:r w:rsidRPr="001A3D2B">
        <w:t xml:space="preserve">: Impact Factor </w:t>
      </w:r>
    </w:p>
    <w:p w:rsidR="00780724" w:rsidRDefault="00780724" w:rsidP="00780724">
      <w:pPr>
        <w:pStyle w:val="a3"/>
        <w:rPr>
          <w:kern w:val="0"/>
        </w:rPr>
      </w:pPr>
      <w:r>
        <w:rPr>
          <w:rFonts w:hint="eastAsia"/>
          <w:kern w:val="0"/>
        </w:rPr>
        <w:t xml:space="preserve">? </w:t>
      </w:r>
      <w:r>
        <w:rPr>
          <w:kern w:val="0"/>
        </w:rPr>
        <w:t xml:space="preserve">Joseph, L.M., Berry, D. and Jessup, A. (2015), Management of type 2 diabetes in Asian Indians: A review of the literature. </w:t>
      </w:r>
      <w:r w:rsidRPr="00780724">
        <w:rPr>
          <w:i/>
          <w:iCs/>
          <w:kern w:val="0"/>
        </w:rPr>
        <w:t>Clinical Nursing Research</w:t>
      </w:r>
      <w:r>
        <w:rPr>
          <w:kern w:val="0"/>
        </w:rPr>
        <w:t xml:space="preserve">, </w:t>
      </w:r>
      <w:r>
        <w:rPr>
          <w:b/>
          <w:bCs/>
          <w:kern w:val="0"/>
        </w:rPr>
        <w:t>24</w:t>
      </w:r>
      <w:r>
        <w:rPr>
          <w:kern w:val="0"/>
        </w:rPr>
        <w:t xml:space="preserve"> (2), 188-210.</w:t>
      </w:r>
    </w:p>
    <w:p w:rsidR="00780724" w:rsidRDefault="00780724" w:rsidP="00780724">
      <w:pPr>
        <w:pStyle w:val="a3"/>
        <w:rPr>
          <w:kern w:val="0"/>
        </w:rPr>
      </w:pPr>
      <w:r>
        <w:rPr>
          <w:rFonts w:hint="eastAsia"/>
          <w:kern w:val="0"/>
        </w:rPr>
        <w:t xml:space="preserve">Full Text: </w:t>
      </w:r>
      <w:hyperlink r:id="rId374" w:history="1">
        <w:r w:rsidRPr="00780724">
          <w:rPr>
            <w:rStyle w:val="a5"/>
            <w:kern w:val="0"/>
          </w:rPr>
          <w:t>2015\Cli Nur Res24, 188.pdf</w:t>
        </w:r>
      </w:hyperlink>
    </w:p>
    <w:p w:rsidR="00780724" w:rsidRDefault="00780724" w:rsidP="00780724">
      <w:pPr>
        <w:pStyle w:val="a3"/>
        <w:rPr>
          <w:kern w:val="0"/>
        </w:rPr>
      </w:pPr>
      <w:r>
        <w:rPr>
          <w:kern w:val="0"/>
        </w:rPr>
        <w:t>Abstract: Type 2 diabetes mellitus (T2DM) is increasing in Asian Indians globally. In this article, we review published studies of interventions designed to prevent T2DM or improve self-management in South Asian Indians. A PubMed, CINAHL, Medline, EMBASE, Psycinfo, Family &amp; Society Studies Worldwide, Web of Science, and Consumer Health Complete search was conducted using the following search terms: type 2 diabetes mellitus, Asian Indian continental ancestry group, therapy, treatment, management, care, intervention, self-care, exercise, diet, and lifestyle. The review included pilot or full intervention studies examining the prevention and/or management of T2DM and qualitative studies analyzing the influence of various ethnic factors on the prevention and management of T2DM. Seventeen studies met the inclusion criteria. They examined the influence of culture and religion and the effectiveness of individual and community-based education and lifestyle improvement programs, exercise, and complementary therapies. Few programs led to the improved long-term management of T2DM. Further research is needed to develop ethnic-specific interventions.</w:t>
      </w:r>
    </w:p>
    <w:p w:rsidR="00780724" w:rsidRDefault="00780724" w:rsidP="00780724">
      <w:pPr>
        <w:pStyle w:val="a3"/>
        <w:rPr>
          <w:kern w:val="0"/>
        </w:rPr>
      </w:pPr>
      <w:r>
        <w:rPr>
          <w:kern w:val="0"/>
        </w:rPr>
        <w:t xml:space="preserve">Keywords: Article, Asian, Body-Mass Index, Care, Community Based, Complementary, Consumer, Controlled-Trial, Criteria, Culture, Diabetes, Diabetes Mellitus, Diet, Education, Education-Program, Effectiveness, Embase, Exercise, Factors, Family, Health, Improvement, Influence, Intervention, Intervention Studies, Interventions, Life-Style, Literature, Long Term, Long-Term, Management, Medline, Metabolic Syndrome, Pilot, Prevent, Prevention, Primary-Care, Pubmed, Qualitative, Religion, </w:t>
      </w:r>
      <w:r>
        <w:rPr>
          <w:kern w:val="0"/>
        </w:rPr>
        <w:lastRenderedPageBreak/>
        <w:t>Research, Review, Risk-Factors, Science, Self Care, Self Management, Self-Care, Self-Management, South Asian, South Asian Indians, South Asians, Therapy, Treatment, Type 2 Diabetes, Type 2 Diabetes Management, Type 2 Diabetes Mellitus, Type 2 Diabetes Prevention, Web, Web Of Science</w:t>
      </w:r>
    </w:p>
    <w:p w:rsidR="00683038" w:rsidRPr="001A3D2B" w:rsidRDefault="00683038" w:rsidP="00683038">
      <w:pPr>
        <w:pStyle w:val="1"/>
      </w:pPr>
      <w:r w:rsidRPr="001A3D2B">
        <w:br w:type="page"/>
      </w:r>
      <w:bookmarkStart w:id="296" w:name="_Toc420815038"/>
      <w:r w:rsidRPr="001A3D2B">
        <w:lastRenderedPageBreak/>
        <w:t xml:space="preserve">Title: </w:t>
      </w:r>
      <w:r w:rsidRPr="00683038">
        <w:t>Clinical Oncology</w:t>
      </w:r>
      <w:bookmarkEnd w:id="296"/>
    </w:p>
    <w:p w:rsidR="00683038" w:rsidRPr="001A3D2B" w:rsidRDefault="00683038" w:rsidP="00683038">
      <w:pPr>
        <w:pStyle w:val="12"/>
      </w:pPr>
      <w:r w:rsidRPr="001A3D2B">
        <w:t xml:space="preserve">Full Journal Title: </w:t>
      </w:r>
      <w:r w:rsidRPr="00683038">
        <w:rPr>
          <w:iCs/>
          <w:kern w:val="0"/>
        </w:rPr>
        <w:t>Clinical Oncology</w:t>
      </w:r>
    </w:p>
    <w:p w:rsidR="00683038" w:rsidRPr="001A3D2B" w:rsidRDefault="00683038" w:rsidP="00683038">
      <w:pPr>
        <w:pStyle w:val="12"/>
      </w:pPr>
      <w:r w:rsidRPr="001A3D2B">
        <w:t xml:space="preserve">ISO Abbreviated Title: </w:t>
      </w:r>
    </w:p>
    <w:p w:rsidR="00683038" w:rsidRPr="001A3D2B" w:rsidRDefault="00683038" w:rsidP="00683038">
      <w:pPr>
        <w:pStyle w:val="12"/>
      </w:pPr>
      <w:r w:rsidRPr="001A3D2B">
        <w:t xml:space="preserve">JCR Abbreviated Title: </w:t>
      </w:r>
    </w:p>
    <w:p w:rsidR="00683038" w:rsidRPr="001A3D2B" w:rsidRDefault="00683038" w:rsidP="00683038">
      <w:pPr>
        <w:pStyle w:val="12"/>
      </w:pPr>
      <w:r w:rsidRPr="001A3D2B">
        <w:t xml:space="preserve">ISSN: </w:t>
      </w:r>
    </w:p>
    <w:p w:rsidR="00683038" w:rsidRPr="001A3D2B" w:rsidRDefault="00683038" w:rsidP="00683038">
      <w:pPr>
        <w:pStyle w:val="12"/>
      </w:pPr>
      <w:r w:rsidRPr="001A3D2B">
        <w:t xml:space="preserve">Issues/Year: </w:t>
      </w:r>
    </w:p>
    <w:p w:rsidR="00683038" w:rsidRPr="001A3D2B" w:rsidRDefault="00683038" w:rsidP="00683038">
      <w:pPr>
        <w:pStyle w:val="12"/>
      </w:pPr>
      <w:r w:rsidRPr="001A3D2B">
        <w:t xml:space="preserve">Journal Country/Territory: </w:t>
      </w:r>
    </w:p>
    <w:p w:rsidR="00683038" w:rsidRPr="001A3D2B" w:rsidRDefault="00683038" w:rsidP="00683038">
      <w:pPr>
        <w:pStyle w:val="12"/>
      </w:pPr>
      <w:r w:rsidRPr="001A3D2B">
        <w:t xml:space="preserve">Language: </w:t>
      </w:r>
    </w:p>
    <w:p w:rsidR="00683038" w:rsidRPr="001A3D2B" w:rsidRDefault="00683038" w:rsidP="00683038">
      <w:pPr>
        <w:pStyle w:val="12"/>
      </w:pPr>
      <w:r w:rsidRPr="001A3D2B">
        <w:t xml:space="preserve">Publisher: </w:t>
      </w:r>
    </w:p>
    <w:p w:rsidR="00683038" w:rsidRPr="001A3D2B" w:rsidRDefault="00683038" w:rsidP="00683038">
      <w:pPr>
        <w:pStyle w:val="12"/>
      </w:pPr>
      <w:r w:rsidRPr="001A3D2B">
        <w:t xml:space="preserve">Publisher Address: </w:t>
      </w:r>
    </w:p>
    <w:p w:rsidR="00683038" w:rsidRPr="001A3D2B" w:rsidRDefault="00683038" w:rsidP="00683038">
      <w:pPr>
        <w:pStyle w:val="12"/>
      </w:pPr>
      <w:r w:rsidRPr="001A3D2B">
        <w:t>Subject Categories:</w:t>
      </w:r>
    </w:p>
    <w:p w:rsidR="00683038" w:rsidRPr="001A3D2B" w:rsidRDefault="00683038" w:rsidP="00683038">
      <w:pPr>
        <w:pStyle w:val="12"/>
      </w:pPr>
      <w:r w:rsidRPr="001A3D2B">
        <w:t xml:space="preserve">: Impact Factor </w:t>
      </w:r>
    </w:p>
    <w:p w:rsidR="00683038" w:rsidRDefault="00683038" w:rsidP="00683038">
      <w:pPr>
        <w:pStyle w:val="a3"/>
        <w:rPr>
          <w:kern w:val="0"/>
        </w:rPr>
      </w:pPr>
      <w:r>
        <w:rPr>
          <w:rFonts w:hint="eastAsia"/>
          <w:kern w:val="0"/>
        </w:rPr>
        <w:t xml:space="preserve">? </w:t>
      </w:r>
      <w:r>
        <w:rPr>
          <w:kern w:val="0"/>
        </w:rPr>
        <w:t>Wang, F., Wang, L.D., Li, B.</w:t>
      </w:r>
      <w:r w:rsidR="005853A9">
        <w:rPr>
          <w:kern w:val="0"/>
        </w:rPr>
        <w:t xml:space="preserve"> and </w:t>
      </w:r>
      <w:r>
        <w:rPr>
          <w:kern w:val="0"/>
        </w:rPr>
        <w:t>Sheng, Z.X. (2012), Gefitinib compared with systemic chemotherapy as first-line treatment for chemotherapy-naive patients with advanced non-small cell lung cancer: A meta-analysis</w:t>
      </w:r>
      <w:r w:rsidR="00427468">
        <w:rPr>
          <w:kern w:val="0"/>
        </w:rPr>
        <w:t xml:space="preserve"> of </w:t>
      </w:r>
      <w:r>
        <w:rPr>
          <w:kern w:val="0"/>
        </w:rPr>
        <w:t xml:space="preserve">randomised controlled trials. </w:t>
      </w:r>
      <w:r w:rsidRPr="00683038">
        <w:rPr>
          <w:i/>
          <w:iCs/>
          <w:kern w:val="0"/>
        </w:rPr>
        <w:t>Clinical Oncology</w:t>
      </w:r>
      <w:r>
        <w:rPr>
          <w:kern w:val="0"/>
        </w:rPr>
        <w:t xml:space="preserve">, </w:t>
      </w:r>
      <w:r>
        <w:rPr>
          <w:b/>
          <w:bCs/>
          <w:kern w:val="0"/>
        </w:rPr>
        <w:t>24</w:t>
      </w:r>
      <w:r>
        <w:rPr>
          <w:kern w:val="0"/>
        </w:rPr>
        <w:t xml:space="preserve"> (6), 396-401.</w:t>
      </w:r>
    </w:p>
    <w:p w:rsidR="00683038" w:rsidRDefault="00683038" w:rsidP="00683038">
      <w:pPr>
        <w:pStyle w:val="a3"/>
        <w:rPr>
          <w:kern w:val="0"/>
        </w:rPr>
      </w:pPr>
      <w:r>
        <w:rPr>
          <w:rFonts w:hint="eastAsia"/>
          <w:kern w:val="0"/>
        </w:rPr>
        <w:t xml:space="preserve">Full Text: </w:t>
      </w:r>
      <w:hyperlink r:id="rId375" w:history="1">
        <w:r w:rsidRPr="00683038">
          <w:rPr>
            <w:rStyle w:val="a5"/>
            <w:kern w:val="0"/>
          </w:rPr>
          <w:t>2012\Cli Onc24, 396.pdf</w:t>
        </w:r>
      </w:hyperlink>
    </w:p>
    <w:p w:rsidR="00683038" w:rsidRDefault="00683038" w:rsidP="00683038">
      <w:pPr>
        <w:pStyle w:val="a3"/>
        <w:rPr>
          <w:kern w:val="0"/>
        </w:rPr>
      </w:pPr>
      <w:r>
        <w:rPr>
          <w:kern w:val="0"/>
        </w:rPr>
        <w:t>Abstract: To define</w:t>
      </w:r>
      <w:r w:rsidR="003A1917">
        <w:rPr>
          <w:kern w:val="0"/>
        </w:rPr>
        <w:t xml:space="preserve"> the </w:t>
      </w:r>
      <w:r>
        <w:rPr>
          <w:kern w:val="0"/>
        </w:rPr>
        <w:t>efficacy</w:t>
      </w:r>
      <w:r w:rsidR="00427468">
        <w:rPr>
          <w:kern w:val="0"/>
        </w:rPr>
        <w:t xml:space="preserve"> of </w:t>
      </w:r>
      <w:r>
        <w:rPr>
          <w:kern w:val="0"/>
        </w:rPr>
        <w:t>gefitinib in chemotherapy-naive patients with advanced non-small cell lung cancer, we carried out a meta-analysis</w:t>
      </w:r>
      <w:r w:rsidR="00427468">
        <w:rPr>
          <w:kern w:val="0"/>
        </w:rPr>
        <w:t xml:space="preserve"> of </w:t>
      </w:r>
      <w:r>
        <w:rPr>
          <w:kern w:val="0"/>
        </w:rPr>
        <w:t xml:space="preserve">randomised controlled trials. </w:t>
      </w:r>
      <w:r w:rsidR="00D5664A">
        <w:rPr>
          <w:kern w:val="0"/>
        </w:rPr>
        <w:t>MEDLINE</w:t>
      </w:r>
      <w:r>
        <w:rPr>
          <w:kern w:val="0"/>
        </w:rPr>
        <w:t>, Embase,</w:t>
      </w:r>
      <w:r w:rsidR="003A1917">
        <w:rPr>
          <w:kern w:val="0"/>
        </w:rPr>
        <w:t xml:space="preserve"> the </w:t>
      </w:r>
      <w:r>
        <w:rPr>
          <w:kern w:val="0"/>
        </w:rPr>
        <w:t>Cochrane controlled trials register</w:t>
      </w:r>
      <w:r w:rsidR="005853A9">
        <w:rPr>
          <w:kern w:val="0"/>
        </w:rPr>
        <w:t xml:space="preserve"> and </w:t>
      </w:r>
      <w:r w:rsidR="003A1917">
        <w:rPr>
          <w:kern w:val="0"/>
        </w:rPr>
        <w:t xml:space="preserve">the </w:t>
      </w:r>
      <w:r>
        <w:rPr>
          <w:kern w:val="0"/>
        </w:rPr>
        <w:t>Science Citation Index were searched. Seven trials were identified, covering a total</w:t>
      </w:r>
      <w:r w:rsidR="00427468">
        <w:rPr>
          <w:kern w:val="0"/>
        </w:rPr>
        <w:t xml:space="preserve"> of </w:t>
      </w:r>
      <w:r>
        <w:rPr>
          <w:kern w:val="0"/>
        </w:rPr>
        <w:t>4656 subjects. As compared with chemotherapy, gefitinib was effective in</w:t>
      </w:r>
      <w:r w:rsidR="003A1917">
        <w:rPr>
          <w:kern w:val="0"/>
        </w:rPr>
        <w:t xml:space="preserve"> the </w:t>
      </w:r>
      <w:r>
        <w:rPr>
          <w:kern w:val="0"/>
        </w:rPr>
        <w:t>selected patients:</w:t>
      </w:r>
      <w:r w:rsidR="003A1917">
        <w:rPr>
          <w:kern w:val="0"/>
        </w:rPr>
        <w:t xml:space="preserve"> the </w:t>
      </w:r>
      <w:r>
        <w:rPr>
          <w:kern w:val="0"/>
        </w:rPr>
        <w:t>corresponding summary hazard ratios (gefitinib versus chemotherapy) for progression-free survival were 0.43 (0.32, 0.58)(P &lt; 0.001) for</w:t>
      </w:r>
      <w:r w:rsidR="003A1917">
        <w:rPr>
          <w:kern w:val="0"/>
        </w:rPr>
        <w:t xml:space="preserve"> the </w:t>
      </w:r>
      <w:r>
        <w:rPr>
          <w:kern w:val="0"/>
        </w:rPr>
        <w:t>subgroup</w:t>
      </w:r>
      <w:r w:rsidR="00427468">
        <w:rPr>
          <w:kern w:val="0"/>
        </w:rPr>
        <w:t xml:space="preserve"> of </w:t>
      </w:r>
      <w:r>
        <w:rPr>
          <w:kern w:val="0"/>
        </w:rPr>
        <w:t>patients with epidermal growth factor receptor (EGFR) mutant treated with gefitinib monotherapy, 0.71 (0.60, 0.83) (P &lt; 0.001) for</w:t>
      </w:r>
      <w:r w:rsidR="003A1917">
        <w:rPr>
          <w:kern w:val="0"/>
        </w:rPr>
        <w:t xml:space="preserve"> the </w:t>
      </w:r>
      <w:r>
        <w:rPr>
          <w:kern w:val="0"/>
        </w:rPr>
        <w:t>subgroup</w:t>
      </w:r>
      <w:r w:rsidR="00427468">
        <w:rPr>
          <w:kern w:val="0"/>
        </w:rPr>
        <w:t xml:space="preserve"> of </w:t>
      </w:r>
      <w:r>
        <w:rPr>
          <w:kern w:val="0"/>
        </w:rPr>
        <w:t>patients with lung adenocarcinoma; but was detrimental for</w:t>
      </w:r>
      <w:r w:rsidR="003A1917">
        <w:rPr>
          <w:kern w:val="0"/>
        </w:rPr>
        <w:t xml:space="preserve"> the </w:t>
      </w:r>
      <w:r>
        <w:rPr>
          <w:kern w:val="0"/>
        </w:rPr>
        <w:t>patients without EGFR mutant treated by gefitinib monotherapy [hazard ratio = 2.16 (1.17, 3.99), P = 0.01]. Significantly improved survival was found in</w:t>
      </w:r>
      <w:r w:rsidR="003A1917">
        <w:rPr>
          <w:kern w:val="0"/>
        </w:rPr>
        <w:t xml:space="preserve"> the </w:t>
      </w:r>
      <w:r>
        <w:rPr>
          <w:kern w:val="0"/>
        </w:rPr>
        <w:t>gefitinib group compared with</w:t>
      </w:r>
      <w:r w:rsidR="003A1917">
        <w:rPr>
          <w:kern w:val="0"/>
        </w:rPr>
        <w:t xml:space="preserve"> the </w:t>
      </w:r>
      <w:r>
        <w:rPr>
          <w:kern w:val="0"/>
        </w:rPr>
        <w:t>control in</w:t>
      </w:r>
      <w:r w:rsidR="003A1917">
        <w:rPr>
          <w:kern w:val="0"/>
        </w:rPr>
        <w:t xml:space="preserve"> the </w:t>
      </w:r>
      <w:r>
        <w:rPr>
          <w:kern w:val="0"/>
        </w:rPr>
        <w:t>subgroup</w:t>
      </w:r>
      <w:r w:rsidR="00427468">
        <w:rPr>
          <w:kern w:val="0"/>
        </w:rPr>
        <w:t xml:space="preserve"> of </w:t>
      </w:r>
      <w:r>
        <w:rPr>
          <w:kern w:val="0"/>
        </w:rPr>
        <w:t>patients with lung adenocarcinoma [hazard ratio = 0.89 (0.81, 0.99); P= 0.03], but not found in</w:t>
      </w:r>
      <w:r w:rsidR="003A1917">
        <w:rPr>
          <w:kern w:val="0"/>
        </w:rPr>
        <w:t xml:space="preserve"> the </w:t>
      </w:r>
      <w:r>
        <w:rPr>
          <w:kern w:val="0"/>
        </w:rPr>
        <w:t>subgroup</w:t>
      </w:r>
      <w:r w:rsidR="00427468">
        <w:rPr>
          <w:kern w:val="0"/>
        </w:rPr>
        <w:t xml:space="preserve"> of </w:t>
      </w:r>
      <w:r>
        <w:rPr>
          <w:kern w:val="0"/>
        </w:rPr>
        <w:t>patients with EGFR mutant [hazard ratio = 0.87 (0.68, 1.12); P = 0.28]. In conclusion, first-line treatment with gefitinib conferred prolonged progression-free survival than treatment with systemic chemotherapy in a molecularly or histologically defined population</w:t>
      </w:r>
      <w:r w:rsidR="00427468">
        <w:rPr>
          <w:kern w:val="0"/>
        </w:rPr>
        <w:t xml:space="preserve"> of </w:t>
      </w:r>
      <w:r>
        <w:rPr>
          <w:kern w:val="0"/>
        </w:rPr>
        <w:t>patients with non-small cell lung cancer,</w:t>
      </w:r>
      <w:r w:rsidR="005853A9">
        <w:rPr>
          <w:kern w:val="0"/>
        </w:rPr>
        <w:t xml:space="preserve"> and </w:t>
      </w:r>
      <w:r>
        <w:rPr>
          <w:kern w:val="0"/>
        </w:rPr>
        <w:t>improved survival in</w:t>
      </w:r>
      <w:r w:rsidR="003A1917">
        <w:rPr>
          <w:kern w:val="0"/>
        </w:rPr>
        <w:t xml:space="preserve"> the </w:t>
      </w:r>
      <w:r>
        <w:rPr>
          <w:kern w:val="0"/>
        </w:rPr>
        <w:t>subgroup</w:t>
      </w:r>
      <w:r w:rsidR="00427468">
        <w:rPr>
          <w:kern w:val="0"/>
        </w:rPr>
        <w:t xml:space="preserve"> of </w:t>
      </w:r>
      <w:r>
        <w:rPr>
          <w:kern w:val="0"/>
        </w:rPr>
        <w:t>patients with lung adenocarcinoma. (C) 2011</w:t>
      </w:r>
      <w:r w:rsidR="003A1917">
        <w:rPr>
          <w:kern w:val="0"/>
        </w:rPr>
        <w:t xml:space="preserve"> the </w:t>
      </w:r>
      <w:r>
        <w:rPr>
          <w:kern w:val="0"/>
        </w:rPr>
        <w:t>Royal College</w:t>
      </w:r>
      <w:r w:rsidR="00427468">
        <w:rPr>
          <w:kern w:val="0"/>
        </w:rPr>
        <w:t xml:space="preserve"> of </w:t>
      </w:r>
      <w:r>
        <w:rPr>
          <w:kern w:val="0"/>
        </w:rPr>
        <w:t>Radiologists. Published by Elsevier Ltd. All rights reserved.</w:t>
      </w:r>
    </w:p>
    <w:p w:rsidR="00683038" w:rsidRDefault="00683038" w:rsidP="00683038">
      <w:pPr>
        <w:pStyle w:val="a3"/>
        <w:rPr>
          <w:kern w:val="0"/>
        </w:rPr>
      </w:pPr>
      <w:r>
        <w:rPr>
          <w:kern w:val="0"/>
        </w:rPr>
        <w:lastRenderedPageBreak/>
        <w:t>Keywords: Adenocarcinoma, Cancer, Carboplatin, Chemotherapy, Citation, Combination, Control, Efficacy, Epidermal Growth Factor, First-Line Therapy, Gefitinib, Growth, Growth Factor, Hazard, Lung, Lung Cancer, Meta-Analysis, Metaanalysis, P, Paclitaxel, Patients, Phase-III Trial, Population, Prolonged, Randomised, Randomised Controlled Trials, Rights, Science, Science Citation Index, Survival, Treatment</w:t>
      </w:r>
    </w:p>
    <w:p w:rsidR="00A27C14" w:rsidRDefault="00A27C14" w:rsidP="00A27C14">
      <w:pPr>
        <w:pStyle w:val="a3"/>
        <w:rPr>
          <w:kern w:val="0"/>
        </w:rPr>
      </w:pPr>
      <w:r>
        <w:rPr>
          <w:rFonts w:hint="eastAsia"/>
          <w:kern w:val="0"/>
        </w:rPr>
        <w:t xml:space="preserve">? </w:t>
      </w:r>
      <w:r>
        <w:rPr>
          <w:kern w:val="0"/>
        </w:rPr>
        <w:t>Liu, X., Lin, X.J., Wang, C.P., Yan, K.K., Zhao, L.Y., An, W.X.</w:t>
      </w:r>
      <w:r w:rsidR="005853A9">
        <w:rPr>
          <w:kern w:val="0"/>
        </w:rPr>
        <w:t xml:space="preserve"> and </w:t>
      </w:r>
      <w:r>
        <w:rPr>
          <w:kern w:val="0"/>
        </w:rPr>
        <w:t>Liu, X.D. (2014), Association between smoking</w:t>
      </w:r>
      <w:r w:rsidR="005853A9">
        <w:rPr>
          <w:kern w:val="0"/>
        </w:rPr>
        <w:t xml:space="preserve"> and </w:t>
      </w:r>
      <w:r>
        <w:rPr>
          <w:kern w:val="0"/>
        </w:rPr>
        <w:t xml:space="preserve">p53 mutation in lung cancer: A meta-analysis. </w:t>
      </w:r>
      <w:r>
        <w:rPr>
          <w:i/>
          <w:iCs/>
          <w:kern w:val="0"/>
        </w:rPr>
        <w:t>Clinical Oncology</w:t>
      </w:r>
      <w:r>
        <w:rPr>
          <w:kern w:val="0"/>
        </w:rPr>
        <w:t xml:space="preserve">, </w:t>
      </w:r>
      <w:r>
        <w:rPr>
          <w:b/>
          <w:bCs/>
          <w:kern w:val="0"/>
        </w:rPr>
        <w:t>26</w:t>
      </w:r>
      <w:r>
        <w:rPr>
          <w:kern w:val="0"/>
        </w:rPr>
        <w:t xml:space="preserve"> (1), 18-24.</w:t>
      </w:r>
    </w:p>
    <w:p w:rsidR="00A27C14" w:rsidRDefault="00A27C14" w:rsidP="00A27C14">
      <w:pPr>
        <w:pStyle w:val="a3"/>
        <w:rPr>
          <w:kern w:val="0"/>
        </w:rPr>
      </w:pPr>
      <w:r>
        <w:rPr>
          <w:rFonts w:hint="eastAsia"/>
          <w:kern w:val="0"/>
        </w:rPr>
        <w:t xml:space="preserve">Full Text: </w:t>
      </w:r>
      <w:hyperlink r:id="rId376" w:history="1">
        <w:r w:rsidRPr="00821FC0">
          <w:rPr>
            <w:rStyle w:val="a5"/>
            <w:kern w:val="0"/>
          </w:rPr>
          <w:t>2014\Cli Onc26, 18.pdf</w:t>
        </w:r>
      </w:hyperlink>
    </w:p>
    <w:p w:rsidR="00A27C14" w:rsidRDefault="00A27C14" w:rsidP="00A27C14">
      <w:pPr>
        <w:pStyle w:val="a3"/>
        <w:rPr>
          <w:kern w:val="0"/>
        </w:rPr>
      </w:pPr>
      <w:r>
        <w:rPr>
          <w:kern w:val="0"/>
        </w:rPr>
        <w:t>Abstract: Aims: To carry out a meta-analysis on the relationship between smoking</w:t>
      </w:r>
      <w:r w:rsidR="005853A9">
        <w:rPr>
          <w:kern w:val="0"/>
        </w:rPr>
        <w:t xml:space="preserve"> and </w:t>
      </w:r>
      <w:r>
        <w:rPr>
          <w:kern w:val="0"/>
        </w:rPr>
        <w:t>p53 gene mutation in lung cancer patients. Materials</w:t>
      </w:r>
      <w:r w:rsidR="005853A9">
        <w:rPr>
          <w:kern w:val="0"/>
        </w:rPr>
        <w:t xml:space="preserve"> and </w:t>
      </w:r>
      <w:r>
        <w:rPr>
          <w:kern w:val="0"/>
        </w:rPr>
        <w:t>methods: PubMed, Web</w:t>
      </w:r>
      <w:r w:rsidR="00427468">
        <w:rPr>
          <w:kern w:val="0"/>
        </w:rPr>
        <w:t xml:space="preserve"> of </w:t>
      </w:r>
      <w:r>
        <w:rPr>
          <w:kern w:val="0"/>
        </w:rPr>
        <w:t>Science, ProQest</w:t>
      </w:r>
      <w:r w:rsidR="005853A9">
        <w:rPr>
          <w:kern w:val="0"/>
        </w:rPr>
        <w:t xml:space="preserve"> and </w:t>
      </w:r>
      <w:r>
        <w:rPr>
          <w:kern w:val="0"/>
        </w:rPr>
        <w:t xml:space="preserve">Medline were searched by using the key words: </w:t>
      </w:r>
      <w:r w:rsidR="0071223E">
        <w:rPr>
          <w:kern w:val="0"/>
        </w:rPr>
        <w:t>‘</w:t>
      </w:r>
      <w:r>
        <w:rPr>
          <w:kern w:val="0"/>
        </w:rPr>
        <w:t>lung cancer or lung neoplasm or lung carcinoma</w:t>
      </w:r>
      <w:r w:rsidR="0071223E">
        <w:rPr>
          <w:kern w:val="0"/>
        </w:rPr>
        <w:t>’</w:t>
      </w:r>
      <w:r>
        <w:rPr>
          <w:kern w:val="0"/>
        </w:rPr>
        <w:t xml:space="preserve">, </w:t>
      </w:r>
      <w:r w:rsidR="0071223E">
        <w:rPr>
          <w:kern w:val="0"/>
        </w:rPr>
        <w:t>‘</w:t>
      </w:r>
      <w:r>
        <w:rPr>
          <w:kern w:val="0"/>
        </w:rPr>
        <w:t>p53 mutation</w:t>
      </w:r>
      <w:r w:rsidR="0071223E">
        <w:rPr>
          <w:kern w:val="0"/>
        </w:rPr>
        <w:t>’</w:t>
      </w:r>
      <w:r w:rsidR="005853A9">
        <w:rPr>
          <w:kern w:val="0"/>
        </w:rPr>
        <w:t xml:space="preserve"> and </w:t>
      </w:r>
      <w:r w:rsidR="0071223E">
        <w:rPr>
          <w:kern w:val="0"/>
        </w:rPr>
        <w:t>‘</w:t>
      </w:r>
      <w:r>
        <w:rPr>
          <w:kern w:val="0"/>
        </w:rPr>
        <w:t>smoking</w:t>
      </w:r>
      <w:r w:rsidR="0071223E">
        <w:rPr>
          <w:kern w:val="0"/>
        </w:rPr>
        <w:t>’</w:t>
      </w:r>
      <w:r>
        <w:rPr>
          <w:kern w:val="0"/>
        </w:rPr>
        <w:t>. According to the selection criteria, 15 articles were identified</w:t>
      </w:r>
      <w:r w:rsidR="005853A9">
        <w:rPr>
          <w:kern w:val="0"/>
        </w:rPr>
        <w:t xml:space="preserve"> and </w:t>
      </w:r>
      <w:r>
        <w:rPr>
          <w:kern w:val="0"/>
        </w:rPr>
        <w:t>methodologically analysed by STATA 12.0 software package. Crude odds ratios with 95% confidence intervals calculated using the fixed-effects model were used to assess the strength</w:t>
      </w:r>
      <w:r w:rsidR="00427468">
        <w:rPr>
          <w:kern w:val="0"/>
        </w:rPr>
        <w:t xml:space="preserve"> of </w:t>
      </w:r>
      <w:r>
        <w:rPr>
          <w:kern w:val="0"/>
        </w:rPr>
        <w:t>association between smoking</w:t>
      </w:r>
      <w:r w:rsidR="005853A9">
        <w:rPr>
          <w:kern w:val="0"/>
        </w:rPr>
        <w:t xml:space="preserve"> and </w:t>
      </w:r>
      <w:r>
        <w:rPr>
          <w:kern w:val="0"/>
        </w:rPr>
        <w:t>p53 mutation in lung cancer. Results: In total, 15 articles with 1770 lung cancer patients were identified; 69.6%</w:t>
      </w:r>
      <w:r w:rsidR="00427468">
        <w:rPr>
          <w:kern w:val="0"/>
        </w:rPr>
        <w:t xml:space="preserve"> of </w:t>
      </w:r>
      <w:r>
        <w:rPr>
          <w:kern w:val="0"/>
        </w:rPr>
        <w:t>the patients were smokers, 30.4% were non-smokers. Overall, smokers with lung cancer had a 2.70-fold (95% confidence interval 2.04-3.59) higher risk for mutation than the non-smokers with lung cancer. In subgroup analyses, the increased risk</w:t>
      </w:r>
      <w:r w:rsidR="00427468">
        <w:rPr>
          <w:kern w:val="0"/>
        </w:rPr>
        <w:t xml:space="preserve"> of </w:t>
      </w:r>
      <w:r>
        <w:rPr>
          <w:kern w:val="0"/>
        </w:rPr>
        <w:t>p53 mutation in smokers than in non-smokers was found in the non-small cell lung cancer (NSCLC) group (odds ratio = 2.38, 95% confidence interval = 1.71-3.32)</w:t>
      </w:r>
      <w:r w:rsidR="005853A9">
        <w:rPr>
          <w:kern w:val="0"/>
        </w:rPr>
        <w:t xml:space="preserve"> and </w:t>
      </w:r>
      <w:r>
        <w:rPr>
          <w:kern w:val="0"/>
        </w:rPr>
        <w:t>in the NSCLC</w:t>
      </w:r>
      <w:r w:rsidR="005853A9">
        <w:rPr>
          <w:kern w:val="0"/>
        </w:rPr>
        <w:t xml:space="preserve"> and </w:t>
      </w:r>
      <w:r>
        <w:rPr>
          <w:kern w:val="0"/>
        </w:rPr>
        <w:t>SCLC group (odds ratio 3.82, 95% confidence interval 2.19-6.69). Conclusions: This meta-analysis strongly suggests that p53 mutation is associated with smoking-induced lung cancer. Smokers with lung cancer had a higher risk for p53 mutation than non-smokers. (c) 2013 The Royal College</w:t>
      </w:r>
      <w:r w:rsidR="00427468">
        <w:rPr>
          <w:kern w:val="0"/>
        </w:rPr>
        <w:t xml:space="preserve"> of </w:t>
      </w:r>
      <w:r>
        <w:rPr>
          <w:kern w:val="0"/>
        </w:rPr>
        <w:t>Radiologists. Published by Elsevier Ltd. All rights reserved.</w:t>
      </w:r>
    </w:p>
    <w:p w:rsidR="00A27C14" w:rsidRDefault="00A27C14" w:rsidP="00A27C14">
      <w:pPr>
        <w:pStyle w:val="a3"/>
        <w:rPr>
          <w:kern w:val="0"/>
        </w:rPr>
      </w:pPr>
      <w:r>
        <w:rPr>
          <w:kern w:val="0"/>
        </w:rPr>
        <w:t>Keywords: Analyses, Association, Breast Cancers, Cancer, Cigarette-Smoking, Clinical-Trials, Confidence, Confidence Intervals, Criteria, Dna-Adducts, Fixed Effects Model, Frequency, Gene, Gene-Mutations, Interval, Intervals, Lung, Lung Cancer, Materials, Medline, Meta Analysis, Meta-Analysis, Metaanalysis, Methods, Model, Mutation, Neoplasm, Nsclc, Odds Ratio, P53, P53 Mutation, Patients, Plasma Dna, Pubmed, Results, Rights, Risk, Science, Sclc, Selection, Selection Criteria, Smoking, Software, Strength, Tobacco-Smoke, Tp53, Web</w:t>
      </w:r>
      <w:r w:rsidR="00427468">
        <w:rPr>
          <w:kern w:val="0"/>
        </w:rPr>
        <w:t xml:space="preserve"> of </w:t>
      </w:r>
      <w:r>
        <w:rPr>
          <w:kern w:val="0"/>
        </w:rPr>
        <w:t>Science, Women</w:t>
      </w:r>
    </w:p>
    <w:p w:rsidR="00C32E49" w:rsidRDefault="00C32E49" w:rsidP="00C32E49">
      <w:pPr>
        <w:pStyle w:val="a3"/>
        <w:rPr>
          <w:kern w:val="0"/>
          <w:szCs w:val="24"/>
        </w:rPr>
      </w:pPr>
      <w:r>
        <w:rPr>
          <w:rFonts w:hint="eastAsia"/>
          <w:kern w:val="0"/>
          <w:szCs w:val="24"/>
        </w:rPr>
        <w:t xml:space="preserve">? </w:t>
      </w:r>
      <w:r>
        <w:rPr>
          <w:kern w:val="0"/>
          <w:szCs w:val="24"/>
        </w:rPr>
        <w:t>Jadon, R., Pembroke, C.A., Hanna, C.L., Palaniappan, N., Evans, M., Cleves, A.E. and Staffurth, J. (2014), A systematic review</w:t>
      </w:r>
      <w:r w:rsidR="00427468">
        <w:rPr>
          <w:kern w:val="0"/>
          <w:szCs w:val="24"/>
        </w:rPr>
        <w:t xml:space="preserve"> of </w:t>
      </w:r>
      <w:r>
        <w:rPr>
          <w:kern w:val="0"/>
          <w:szCs w:val="24"/>
        </w:rPr>
        <w:t xml:space="preserve">organ motion and image-guided strategies in external beam radiotherapy for cervical cancer. </w:t>
      </w:r>
      <w:r>
        <w:rPr>
          <w:i/>
          <w:iCs/>
          <w:kern w:val="0"/>
          <w:szCs w:val="24"/>
        </w:rPr>
        <w:t>Clinical Oncology</w:t>
      </w:r>
      <w:r>
        <w:rPr>
          <w:kern w:val="0"/>
          <w:szCs w:val="24"/>
        </w:rPr>
        <w:t xml:space="preserve">, </w:t>
      </w:r>
      <w:r>
        <w:rPr>
          <w:b/>
          <w:bCs/>
          <w:kern w:val="0"/>
          <w:szCs w:val="24"/>
        </w:rPr>
        <w:t>26</w:t>
      </w:r>
      <w:r>
        <w:rPr>
          <w:kern w:val="0"/>
          <w:szCs w:val="24"/>
        </w:rPr>
        <w:t xml:space="preserve"> </w:t>
      </w:r>
      <w:r>
        <w:rPr>
          <w:kern w:val="0"/>
          <w:szCs w:val="24"/>
        </w:rPr>
        <w:lastRenderedPageBreak/>
        <w:t>(4), 185-196.</w:t>
      </w:r>
    </w:p>
    <w:p w:rsidR="00C32E49" w:rsidRDefault="00C32E49" w:rsidP="00C32E49">
      <w:pPr>
        <w:pStyle w:val="a3"/>
        <w:rPr>
          <w:kern w:val="0"/>
        </w:rPr>
      </w:pPr>
      <w:r>
        <w:rPr>
          <w:rFonts w:hint="eastAsia"/>
          <w:kern w:val="0"/>
        </w:rPr>
        <w:t xml:space="preserve">Full Text: </w:t>
      </w:r>
      <w:hyperlink r:id="rId377" w:history="1">
        <w:r w:rsidRPr="007839D9">
          <w:rPr>
            <w:rStyle w:val="a5"/>
            <w:kern w:val="0"/>
          </w:rPr>
          <w:t>2014\Cli Onc26, 185.pdf</w:t>
        </w:r>
      </w:hyperlink>
    </w:p>
    <w:p w:rsidR="00C32E49" w:rsidRDefault="00C32E49" w:rsidP="00C32E49">
      <w:pPr>
        <w:pStyle w:val="a3"/>
        <w:rPr>
          <w:kern w:val="0"/>
          <w:szCs w:val="24"/>
        </w:rPr>
      </w:pPr>
      <w:r>
        <w:rPr>
          <w:kern w:val="0"/>
          <w:szCs w:val="24"/>
        </w:rPr>
        <w:t>Abstract: Advanced radiotherapy techniques, such as intensity-modulated radiotherapy (IMRT), may significantly benefit cervical cancer patients, in terms</w:t>
      </w:r>
      <w:r w:rsidR="00427468">
        <w:rPr>
          <w:kern w:val="0"/>
          <w:szCs w:val="24"/>
        </w:rPr>
        <w:t xml:space="preserve"> of </w:t>
      </w:r>
      <w:r>
        <w:rPr>
          <w:kern w:val="0"/>
          <w:szCs w:val="24"/>
        </w:rPr>
        <w:t>reducing late toxicity and potentiating dose escalation. Given the steep dose gradients around the planning target volume (PTV) with IMRT planning, internal movement</w:t>
      </w:r>
      <w:r w:rsidR="00427468">
        <w:rPr>
          <w:kern w:val="0"/>
          <w:szCs w:val="24"/>
        </w:rPr>
        <w:t xml:space="preserve"> of </w:t>
      </w:r>
      <w:r>
        <w:rPr>
          <w:kern w:val="0"/>
          <w:szCs w:val="24"/>
        </w:rPr>
        <w:t>organs during treatment may cause geographical miss</w:t>
      </w:r>
      <w:r w:rsidR="00427468">
        <w:rPr>
          <w:kern w:val="0"/>
          <w:szCs w:val="24"/>
        </w:rPr>
        <w:t xml:space="preserve"> of </w:t>
      </w:r>
      <w:r>
        <w:rPr>
          <w:kern w:val="0"/>
          <w:szCs w:val="24"/>
        </w:rPr>
        <w:t>the target and unnecessary organs at risk (OAR) inclusion into high dose regions. It is therefore important to consider the extent and patterns</w:t>
      </w:r>
      <w:r w:rsidR="00427468">
        <w:rPr>
          <w:kern w:val="0"/>
          <w:szCs w:val="24"/>
        </w:rPr>
        <w:t xml:space="preserve"> of </w:t>
      </w:r>
      <w:r>
        <w:rPr>
          <w:kern w:val="0"/>
          <w:szCs w:val="24"/>
        </w:rPr>
        <w:t>organ motion and to investigate potential image-guided radiotherapy (IGRT) solutions before implementing IMRT for cervical cancer. A systematic literature search was carried out using Medline, Embase, Cochrane Library, Web</w:t>
      </w:r>
      <w:r w:rsidR="00427468">
        <w:rPr>
          <w:kern w:val="0"/>
          <w:szCs w:val="24"/>
        </w:rPr>
        <w:t xml:space="preserve"> of </w:t>
      </w:r>
      <w:r>
        <w:rPr>
          <w:kern w:val="0"/>
          <w:szCs w:val="24"/>
        </w:rPr>
        <w:t>Science, Cinahl and Pubmed. Database-appropriate search strategies were developed based upon terms for uterine neoplasms, IGRT, organ motion and target volume. In total, 448 studies were identified and screened to find 39 relevant studies, 12</w:t>
      </w:r>
      <w:r w:rsidR="00427468">
        <w:rPr>
          <w:kern w:val="0"/>
          <w:szCs w:val="24"/>
        </w:rPr>
        <w:t xml:space="preserve"> of </w:t>
      </w:r>
      <w:r>
        <w:rPr>
          <w:kern w:val="0"/>
          <w:szCs w:val="24"/>
        </w:rPr>
        <w:t>which were abstracts</w:t>
      </w:r>
      <w:r w:rsidR="00A37C1D">
        <w:rPr>
          <w:kern w:val="0"/>
          <w:szCs w:val="24"/>
        </w:rPr>
        <w:t>. The</w:t>
      </w:r>
      <w:r>
        <w:rPr>
          <w:kern w:val="0"/>
          <w:szCs w:val="24"/>
        </w:rPr>
        <w:t>se studies show that within the target volume for cervical cancer radiotherapy, uterine motion is greater than cervical. Uterine motion is predominantly influenced by bladder filling, cervical motion by rectal filling. Organ motion patterns are patient specific, with some having very little (5 mm) and others having much larger shifts (40 mm)</w:t>
      </w:r>
      <w:r w:rsidR="00427468">
        <w:rPr>
          <w:kern w:val="0"/>
          <w:szCs w:val="24"/>
        </w:rPr>
        <w:t xml:space="preserve"> of </w:t>
      </w:r>
      <w:r>
        <w:rPr>
          <w:kern w:val="0"/>
          <w:szCs w:val="24"/>
        </w:rPr>
        <w:t>the target volume. Population-based clinical target volume (CTV)-PTV margins would be large (up to 4 cm around the uterus), resulting in unnecessary OAR inclusion within the PTV, reducing the benefits</w:t>
      </w:r>
      <w:r w:rsidR="00427468">
        <w:rPr>
          <w:kern w:val="0"/>
          <w:szCs w:val="24"/>
        </w:rPr>
        <w:t xml:space="preserve"> of </w:t>
      </w:r>
      <w:r>
        <w:rPr>
          <w:kern w:val="0"/>
          <w:szCs w:val="24"/>
        </w:rPr>
        <w:t>IMRT. Potential solutions include anisotropic margins with increased margins in the anteroposterior and superoinferior directions, or greater PTV margins around the uterine fundus than the cervix. As pelvic organ motion seems to be patient specific, individualised PTV margins and adaptive IGRT strategies have also been recommended to ensure target volume coverage while increasing OAR sparing. Although these strategies are promising, they need significant validation before they can be adopted into clinical practice. (C) 2014 Published by Elsevier Ltd on behalf</w:t>
      </w:r>
      <w:r w:rsidR="00427468">
        <w:rPr>
          <w:kern w:val="0"/>
          <w:szCs w:val="24"/>
        </w:rPr>
        <w:t xml:space="preserve"> of </w:t>
      </w:r>
      <w:r>
        <w:rPr>
          <w:kern w:val="0"/>
          <w:szCs w:val="24"/>
        </w:rPr>
        <w:t>The Royal College</w:t>
      </w:r>
      <w:r w:rsidR="00427468">
        <w:rPr>
          <w:kern w:val="0"/>
          <w:szCs w:val="24"/>
        </w:rPr>
        <w:t xml:space="preserve"> of </w:t>
      </w:r>
      <w:r>
        <w:rPr>
          <w:kern w:val="0"/>
          <w:szCs w:val="24"/>
        </w:rPr>
        <w:t>Radiologists.</w:t>
      </w:r>
    </w:p>
    <w:p w:rsidR="00C32E49" w:rsidRDefault="00C32E49" w:rsidP="00C32E49">
      <w:pPr>
        <w:pStyle w:val="a3"/>
        <w:rPr>
          <w:kern w:val="0"/>
          <w:szCs w:val="24"/>
        </w:rPr>
      </w:pPr>
      <w:r>
        <w:rPr>
          <w:kern w:val="0"/>
          <w:szCs w:val="24"/>
        </w:rPr>
        <w:t>Keywords: Anisotropic, Benefits, Bladder, Bowel Displacement System, Cancer, Cervical Cancer, Cervix, Clinical, Clinical Practice, Computed-Tomography, Coverage, Definitive Treatment, Dose Distribution, External Beam Radiotherapy, Gynecologic Malignancies, High Dose, Igrt, Image Guidance, Imrt, Intensity-Modulated Radiotherapy, Interfractional Variation, Late Toxicity, Literature, Literature Search, Medline, Modulated Radiation-Therapy, Movement, Neoplasms, Organ Motion, Patient-Specific, Patients, Pelvic, Planning, Potential, Practice, Radiotherapy, Review, Risk, Science, Search Strategies, Set-Up, Solutions, Systematic Literature Search, Systematic Review, Target Volume, Techniques, Toxicity, Treatment, Uterine, Uterus, Validation, Volume, Web</w:t>
      </w:r>
      <w:r w:rsidR="00427468">
        <w:rPr>
          <w:kern w:val="0"/>
          <w:szCs w:val="24"/>
        </w:rPr>
        <w:t xml:space="preserve"> of </w:t>
      </w:r>
      <w:r>
        <w:rPr>
          <w:kern w:val="0"/>
          <w:szCs w:val="24"/>
        </w:rPr>
        <w:t xml:space="preserve">Science, Whole </w:t>
      </w:r>
      <w:r>
        <w:rPr>
          <w:kern w:val="0"/>
          <w:szCs w:val="24"/>
        </w:rPr>
        <w:lastRenderedPageBreak/>
        <w:t>Pelvic Radiotherapy</w:t>
      </w:r>
    </w:p>
    <w:p w:rsidR="005B6453" w:rsidRDefault="005B6453" w:rsidP="005B6453">
      <w:pPr>
        <w:pStyle w:val="a3"/>
        <w:rPr>
          <w:kern w:val="0"/>
        </w:rPr>
      </w:pPr>
      <w:r>
        <w:rPr>
          <w:rFonts w:hint="eastAsia"/>
          <w:kern w:val="0"/>
        </w:rPr>
        <w:t xml:space="preserve">? </w:t>
      </w:r>
      <w:r>
        <w:rPr>
          <w:kern w:val="0"/>
        </w:rPr>
        <w:t xml:space="preserve">Petrelli, F., Coinu, A., Borgonovo, K., Cabiddu, M., Ghilardi, M., Lonati, V. and Barni, S. (2014), Oxaliplatin-based chemotherapy: A new option in advanced hepatocellular carcinoma. A systematic review and pooled analysis. </w:t>
      </w:r>
      <w:r>
        <w:rPr>
          <w:i/>
          <w:iCs/>
          <w:kern w:val="0"/>
        </w:rPr>
        <w:t>Clinical Oncology</w:t>
      </w:r>
      <w:r>
        <w:rPr>
          <w:kern w:val="0"/>
        </w:rPr>
        <w:t xml:space="preserve">, </w:t>
      </w:r>
      <w:r>
        <w:rPr>
          <w:b/>
          <w:bCs/>
          <w:kern w:val="0"/>
        </w:rPr>
        <w:t>26</w:t>
      </w:r>
      <w:r>
        <w:rPr>
          <w:kern w:val="0"/>
        </w:rPr>
        <w:t xml:space="preserve"> (8), 488-496.</w:t>
      </w:r>
    </w:p>
    <w:p w:rsidR="005B6453" w:rsidRDefault="005B6453" w:rsidP="005B6453">
      <w:pPr>
        <w:pStyle w:val="a3"/>
        <w:rPr>
          <w:kern w:val="0"/>
        </w:rPr>
      </w:pPr>
      <w:r>
        <w:rPr>
          <w:rFonts w:hint="eastAsia"/>
          <w:kern w:val="0"/>
        </w:rPr>
        <w:t xml:space="preserve">Full Text: </w:t>
      </w:r>
      <w:hyperlink r:id="rId378" w:history="1">
        <w:r w:rsidRPr="005B6453">
          <w:rPr>
            <w:rStyle w:val="a5"/>
            <w:kern w:val="0"/>
          </w:rPr>
          <w:t>2014\Cli Onc26, 488.pdf</w:t>
        </w:r>
      </w:hyperlink>
    </w:p>
    <w:p w:rsidR="005B6453" w:rsidRDefault="005B6453" w:rsidP="005B6453">
      <w:pPr>
        <w:pStyle w:val="a3"/>
        <w:rPr>
          <w:kern w:val="0"/>
        </w:rPr>
      </w:pPr>
      <w:r>
        <w:rPr>
          <w:kern w:val="0"/>
        </w:rPr>
        <w:t>Abstract: Advanced hepatocellular carcinoma (HCC), for which locoregional treatment is not an option, is a candidate for palliative systemic therapy, but an accepted chemotherapy regimen does not exist. We have conducted a systematic literature review and meta-analyses to quantify the benefits of oxaliplatin (OXA)-based chemotherapy in advanced HCC in patients not exposed to sorafenib. Studies that enrolled advanced HCC patients treated with first-line OXA-based chemotherapy were identified using PubMed, Web of Science, SCOPUS, The Cochrane Register of Controlled Trials and EMBASE. A systematic review was conducted to calculate the pooled response rate and 95% confidence interval. The pooled median progression-free survival (PFS) and overall survival, weighted on the number of patients of each selected trials, were also calculated. We tested for significant heterogeneity by Cochran</w:t>
      </w:r>
      <w:r w:rsidR="0071223E">
        <w:rPr>
          <w:kern w:val="0"/>
        </w:rPr>
        <w:t>’</w:t>
      </w:r>
      <w:r>
        <w:rPr>
          <w:kern w:val="0"/>
        </w:rPr>
        <w:t>s chi-squared test and I-square index. Thirteen studies were included in this review, with a total of 800 patients analysed. The pooled response rate was 16.8%. The median PFS and overall survival were 4.2 and 9.3 months, respectively, with a 1 year overall survival of 37%. The weighted median PFS/overall survival and response rate were 4.5/11 months and 20% in Western patients. Conversely, in Asiatic studies, the median PFS/overall survival and response rate were 2.43/6.47 months and 13.2%, respectively. OXA-based chemotherapy is effective in advanced HCC and represents a viable option in these patients. A head to head comparison with sorafenib or a second-line agent should be verified in prospective trials. (C) 2014 The Royal College of Radiologists. Published by Elsevier Ltd. All rights reserved.</w:t>
      </w:r>
    </w:p>
    <w:p w:rsidR="005B6453" w:rsidRDefault="005B6453" w:rsidP="005B6453">
      <w:pPr>
        <w:pStyle w:val="a3"/>
        <w:rPr>
          <w:kern w:val="0"/>
        </w:rPr>
      </w:pPr>
      <w:r>
        <w:rPr>
          <w:kern w:val="0"/>
        </w:rPr>
        <w:t>Keywords: Advanced HCC, Analysis, Benefits, Capecitabine, Carcinoma, Chemotherapy, Clinical-Trials, Combination, Comparison, Confidence, Doxorubicin, Embase, First Line, Gemcitabine Plus Oxaliplatin, Hcc, Hepatocellular Carcinoma, Heterogeneity, Index, Interval, Literature, Literature Review, Metaanalysis, Multicenter, Oxaliplatin, Patients, Prospective, Publication Bias, Pubmed, Randomized Phase-III, Response, Review, Rights, Science, Scopus, Sorafenib, Sorafenib, Survival, Systematic, Systematic Literature Review, Systematic Review, Therapy, Treatment, Web Of Science</w:t>
      </w:r>
    </w:p>
    <w:p w:rsidR="0013351F" w:rsidRDefault="0013351F" w:rsidP="0013351F">
      <w:pPr>
        <w:pStyle w:val="a3"/>
        <w:rPr>
          <w:kern w:val="0"/>
        </w:rPr>
      </w:pPr>
      <w:r>
        <w:rPr>
          <w:rFonts w:hint="eastAsia"/>
          <w:kern w:val="0"/>
        </w:rPr>
        <w:t xml:space="preserve">? </w:t>
      </w:r>
      <w:r>
        <w:rPr>
          <w:kern w:val="0"/>
        </w:rPr>
        <w:t xml:space="preserve">Schmidt-Hansen, M., Hoskin, P., Kirkbride, P., Hasler, E. and Bromham, N. (2014), Hormone and radiotherapy versus hormone or radiotherapy alone for non-metastatic prostate cancer: A systematic review with meta-analyses. </w:t>
      </w:r>
      <w:r>
        <w:rPr>
          <w:i/>
          <w:iCs/>
          <w:kern w:val="0"/>
        </w:rPr>
        <w:t>Clinical Oncology</w:t>
      </w:r>
      <w:r>
        <w:rPr>
          <w:kern w:val="0"/>
        </w:rPr>
        <w:t xml:space="preserve">, </w:t>
      </w:r>
      <w:r>
        <w:rPr>
          <w:b/>
          <w:bCs/>
          <w:kern w:val="0"/>
        </w:rPr>
        <w:t>26</w:t>
      </w:r>
      <w:r>
        <w:rPr>
          <w:kern w:val="0"/>
        </w:rPr>
        <w:t xml:space="preserve"> (10), </w:t>
      </w:r>
      <w:r>
        <w:rPr>
          <w:kern w:val="0"/>
        </w:rPr>
        <w:lastRenderedPageBreak/>
        <w:t>E21-E46.</w:t>
      </w:r>
    </w:p>
    <w:p w:rsidR="0013351F" w:rsidRDefault="0013351F" w:rsidP="0013351F">
      <w:pPr>
        <w:pStyle w:val="a3"/>
        <w:rPr>
          <w:kern w:val="0"/>
        </w:rPr>
      </w:pPr>
      <w:r>
        <w:rPr>
          <w:rFonts w:hint="eastAsia"/>
          <w:kern w:val="0"/>
        </w:rPr>
        <w:t xml:space="preserve">Full Text: </w:t>
      </w:r>
      <w:hyperlink r:id="rId379" w:history="1">
        <w:r w:rsidRPr="003313A6">
          <w:rPr>
            <w:rStyle w:val="a5"/>
            <w:kern w:val="0"/>
          </w:rPr>
          <w:t>2014\Cli Onc26, E21.pdf</w:t>
        </w:r>
      </w:hyperlink>
    </w:p>
    <w:p w:rsidR="0013351F" w:rsidRDefault="0013351F" w:rsidP="0013351F">
      <w:pPr>
        <w:pStyle w:val="a3"/>
        <w:rPr>
          <w:kern w:val="0"/>
        </w:rPr>
      </w:pPr>
      <w:r>
        <w:rPr>
          <w:kern w:val="0"/>
        </w:rPr>
        <w:t>Abstract: Aims: Radiotherapy is standard treatment for localised prostate cancer and is often combined with hormone treatment to prevent androgen stimulation of prostate cancer. Hormone therapy carries significant morbidity and can only be justified in the radical treatment of localised disease if it can be balanced against a significant gain in disease control and survival. Materials and methods: We searched Medline, Premedline, Embase, Cochrane Library, Web of Science (SCI &amp; SSCI) and Biomed Central for randomised controlled trials published in English comparing radiotherapy or hormone therapy alone with radiotherapy and hormone therapy in combination as first-line treatment in patients with non-metastatic prostate cancer reporting overall survival, disease-free survival, distant metastases-free survival, biochemical survival, adverse events (including cardiovascular) and/or health-related quality of life. Results: Fourteen trials were included and showed that combination therapy was associated with better or similar survival and disease-free outcomes compared with single-modality treatment, and that this may particularly be the case for patients with higher risk disease. The results also suggested that combination therapy is associated with more and worse adverse events and quality of life, although this was not always the case. Some of the results are at risk of reporting bias. Conclusion: The published data support the use of combined treatment with androgen deprivation and radiotherapy for intermediate-and high-risk localised and locally advanced prostate cancer. Optimal timing, duration, formulation and the management of side-effects remain important questions for further research. (C) 2014 The Royal College of Radiologists. Published by Elsevier Ltd. All rights reserved.</w:t>
      </w:r>
    </w:p>
    <w:p w:rsidR="0013351F" w:rsidRDefault="0013351F" w:rsidP="0013351F">
      <w:pPr>
        <w:pStyle w:val="a3"/>
        <w:rPr>
          <w:kern w:val="0"/>
        </w:rPr>
      </w:pPr>
      <w:r>
        <w:rPr>
          <w:kern w:val="0"/>
        </w:rPr>
        <w:t>Keywords: Adverse Events, Androgen, Androgen Deprivation Therapy, Bias, Cancer, Cardiovascular, Cardiovascular Mortality, Combination Therapy, Combined Orchiectomy, Combined Treatment, Control, Data, Definitive Radiotherapy, Deprivation, Disease, Duration, English, Events, External Radiotherapy, First Line, First-Line Treatment, Formulation, Health-Related Quality Of Life, Hormone Therapy, Life, Locally Advanced, Long-Term, Management, Materials, Medline, Meta-Analyses, Methods, Morbidity, Outcomes, Patients, Prevent, Prostate Cancer, Prostate Neoplasm, Quality, Quality Of, Quality Of Life, Radiation-Therapy, Radiotherapy, Randomised, Randomised Controlled Trials, Randomized Phase-III, Reporting, Research, Results, Review, Rights, Risk, Rtog 85-31, SCI, Science, Side Effects, SSCI, Standard, Support, Suppression Therapy, Survival, Systematic, Systematic Review, Therapy, Timing, Treatment, Web Of Science</w:t>
      </w:r>
    </w:p>
    <w:p w:rsidR="006D1994" w:rsidRPr="001A3D2B" w:rsidRDefault="006D1994" w:rsidP="006D1994">
      <w:pPr>
        <w:pStyle w:val="1"/>
      </w:pPr>
      <w:r w:rsidRPr="001A3D2B">
        <w:br w:type="page"/>
      </w:r>
      <w:bookmarkStart w:id="297" w:name="_Toc420815039"/>
      <w:r w:rsidRPr="001A3D2B">
        <w:lastRenderedPageBreak/>
        <w:t xml:space="preserve">Title: </w:t>
      </w:r>
      <w:r w:rsidRPr="00AF0F96">
        <w:rPr>
          <w:iCs w:val="0"/>
        </w:rPr>
        <w:t>Clinical Oral Implants Research</w:t>
      </w:r>
      <w:bookmarkEnd w:id="297"/>
    </w:p>
    <w:p w:rsidR="006D1994" w:rsidRPr="001A3D2B" w:rsidRDefault="006D1994" w:rsidP="006D1994">
      <w:pPr>
        <w:pStyle w:val="12"/>
      </w:pPr>
      <w:r w:rsidRPr="001A3D2B">
        <w:t xml:space="preserve">Full Journal Title: </w:t>
      </w:r>
      <w:hyperlink r:id="rId380" w:history="1">
        <w:r w:rsidRPr="0082709C">
          <w:rPr>
            <w:rStyle w:val="a5"/>
            <w:iCs/>
          </w:rPr>
          <w:t>Clinical Oral Implants Research</w:t>
        </w:r>
      </w:hyperlink>
    </w:p>
    <w:p w:rsidR="006D1994" w:rsidRPr="001A3D2B" w:rsidRDefault="006D1994" w:rsidP="006D1994">
      <w:pPr>
        <w:pStyle w:val="12"/>
      </w:pPr>
      <w:r w:rsidRPr="001A3D2B">
        <w:t xml:space="preserve">ISO Abbreviated Title: </w:t>
      </w:r>
    </w:p>
    <w:p w:rsidR="006D1994" w:rsidRPr="001A3D2B" w:rsidRDefault="006D1994" w:rsidP="006D1994">
      <w:pPr>
        <w:pStyle w:val="12"/>
      </w:pPr>
      <w:r w:rsidRPr="001A3D2B">
        <w:t xml:space="preserve">JCR Abbreviated Title: </w:t>
      </w:r>
    </w:p>
    <w:p w:rsidR="006D1994" w:rsidRPr="001A3D2B" w:rsidRDefault="006D1994" w:rsidP="006D1994">
      <w:pPr>
        <w:pStyle w:val="12"/>
      </w:pPr>
      <w:r w:rsidRPr="001A3D2B">
        <w:t xml:space="preserve">ISSN: </w:t>
      </w:r>
    </w:p>
    <w:p w:rsidR="006D1994" w:rsidRPr="001A3D2B" w:rsidRDefault="006D1994" w:rsidP="006D1994">
      <w:pPr>
        <w:pStyle w:val="12"/>
      </w:pPr>
      <w:r w:rsidRPr="001A3D2B">
        <w:t xml:space="preserve">Issues/Year: </w:t>
      </w:r>
    </w:p>
    <w:p w:rsidR="006D1994" w:rsidRPr="001A3D2B" w:rsidRDefault="006D1994" w:rsidP="006D1994">
      <w:pPr>
        <w:pStyle w:val="12"/>
      </w:pPr>
      <w:r w:rsidRPr="001A3D2B">
        <w:t xml:space="preserve">Journal Country/Territory: </w:t>
      </w:r>
    </w:p>
    <w:p w:rsidR="006D1994" w:rsidRPr="001A3D2B" w:rsidRDefault="006D1994" w:rsidP="006D1994">
      <w:pPr>
        <w:pStyle w:val="12"/>
      </w:pPr>
      <w:r w:rsidRPr="001A3D2B">
        <w:t xml:space="preserve">Language: </w:t>
      </w:r>
    </w:p>
    <w:p w:rsidR="006D1994" w:rsidRPr="001A3D2B" w:rsidRDefault="006D1994" w:rsidP="006D1994">
      <w:pPr>
        <w:pStyle w:val="12"/>
      </w:pPr>
      <w:r w:rsidRPr="001A3D2B">
        <w:t xml:space="preserve">Publisher: </w:t>
      </w:r>
    </w:p>
    <w:p w:rsidR="006D1994" w:rsidRPr="001A3D2B" w:rsidRDefault="006D1994" w:rsidP="006D1994">
      <w:pPr>
        <w:pStyle w:val="12"/>
      </w:pPr>
      <w:r w:rsidRPr="001A3D2B">
        <w:t xml:space="preserve">Publisher Address: </w:t>
      </w:r>
    </w:p>
    <w:p w:rsidR="006D1994" w:rsidRPr="001A3D2B" w:rsidRDefault="006D1994" w:rsidP="006D1994">
      <w:pPr>
        <w:pStyle w:val="12"/>
      </w:pPr>
      <w:r w:rsidRPr="001A3D2B">
        <w:t>Subject Categories:</w:t>
      </w:r>
    </w:p>
    <w:p w:rsidR="006D1994" w:rsidRPr="001A3D2B" w:rsidRDefault="006D1994" w:rsidP="006D1994">
      <w:pPr>
        <w:pStyle w:val="12"/>
      </w:pPr>
      <w:r w:rsidRPr="001A3D2B">
        <w:t xml:space="preserve">: Impact Factor </w:t>
      </w:r>
    </w:p>
    <w:p w:rsidR="00F325A1" w:rsidRDefault="00F325A1" w:rsidP="00F325A1">
      <w:pPr>
        <w:pStyle w:val="a3"/>
        <w:rPr>
          <w:kern w:val="0"/>
        </w:rPr>
      </w:pPr>
      <w:r>
        <w:rPr>
          <w:kern w:val="0"/>
        </w:rPr>
        <w:t>?</w:t>
      </w:r>
      <w:r>
        <w:rPr>
          <w:rFonts w:hint="eastAsia"/>
          <w:kern w:val="0"/>
        </w:rPr>
        <w:t xml:space="preserve"> </w:t>
      </w:r>
      <w:r>
        <w:rPr>
          <w:kern w:val="0"/>
        </w:rPr>
        <w:t>Bachle, M.</w:t>
      </w:r>
      <w:r w:rsidR="005853A9">
        <w:rPr>
          <w:kern w:val="0"/>
        </w:rPr>
        <w:t xml:space="preserve"> and </w:t>
      </w:r>
      <w:r>
        <w:rPr>
          <w:kern w:val="0"/>
        </w:rPr>
        <w:t>Kohal, R.J. (2004), A systematic review</w:t>
      </w:r>
      <w:r w:rsidR="00427468">
        <w:rPr>
          <w:kern w:val="0"/>
        </w:rPr>
        <w:t xml:space="preserve"> of </w:t>
      </w:r>
      <w:r w:rsidR="003A1917">
        <w:rPr>
          <w:kern w:val="0"/>
        </w:rPr>
        <w:t xml:space="preserve">the </w:t>
      </w:r>
      <w:r>
        <w:rPr>
          <w:kern w:val="0"/>
        </w:rPr>
        <w:t>influence</w:t>
      </w:r>
      <w:r w:rsidR="00427468">
        <w:rPr>
          <w:kern w:val="0"/>
        </w:rPr>
        <w:t xml:space="preserve"> of </w:t>
      </w:r>
      <w:r>
        <w:rPr>
          <w:kern w:val="0"/>
        </w:rPr>
        <w:t>different titanium surfaces on proliferation, differentiation</w:t>
      </w:r>
      <w:r w:rsidR="005853A9">
        <w:rPr>
          <w:kern w:val="0"/>
        </w:rPr>
        <w:t xml:space="preserve"> and </w:t>
      </w:r>
      <w:r>
        <w:rPr>
          <w:kern w:val="0"/>
        </w:rPr>
        <w:t>protein synthesis</w:t>
      </w:r>
      <w:r w:rsidR="00427468">
        <w:rPr>
          <w:kern w:val="0"/>
        </w:rPr>
        <w:t xml:space="preserve"> of </w:t>
      </w:r>
      <w:r>
        <w:rPr>
          <w:kern w:val="0"/>
        </w:rPr>
        <w:t xml:space="preserve">osteoblast-like MG63 cells. </w:t>
      </w:r>
      <w:r>
        <w:rPr>
          <w:i/>
          <w:iCs/>
          <w:kern w:val="0"/>
        </w:rPr>
        <w:t>Clinical Oral Implants Research</w:t>
      </w:r>
      <w:r>
        <w:rPr>
          <w:kern w:val="0"/>
        </w:rPr>
        <w:t xml:space="preserve">, </w:t>
      </w:r>
      <w:r>
        <w:rPr>
          <w:b/>
          <w:bCs/>
          <w:kern w:val="0"/>
        </w:rPr>
        <w:t>15</w:t>
      </w:r>
      <w:r>
        <w:rPr>
          <w:kern w:val="0"/>
        </w:rPr>
        <w:t xml:space="preserve"> (6), 683-692.</w:t>
      </w:r>
    </w:p>
    <w:p w:rsidR="00F325A1" w:rsidRDefault="00F325A1" w:rsidP="00F325A1">
      <w:pPr>
        <w:pStyle w:val="a3"/>
        <w:rPr>
          <w:kern w:val="0"/>
        </w:rPr>
      </w:pPr>
      <w:r>
        <w:rPr>
          <w:rFonts w:hint="eastAsia"/>
          <w:kern w:val="0"/>
        </w:rPr>
        <w:t xml:space="preserve">Full Text: </w:t>
      </w:r>
      <w:r>
        <w:rPr>
          <w:kern w:val="0"/>
        </w:rPr>
        <w:t>200</w:t>
      </w:r>
      <w:r>
        <w:rPr>
          <w:rFonts w:hint="eastAsia"/>
          <w:kern w:val="0"/>
        </w:rPr>
        <w:t>4</w:t>
      </w:r>
      <w:r>
        <w:rPr>
          <w:kern w:val="0"/>
        </w:rPr>
        <w:t>\Cli Ora Imp Res1</w:t>
      </w:r>
      <w:r>
        <w:rPr>
          <w:rFonts w:hint="eastAsia"/>
          <w:kern w:val="0"/>
        </w:rPr>
        <w:t>5</w:t>
      </w:r>
      <w:r>
        <w:rPr>
          <w:kern w:val="0"/>
        </w:rPr>
        <w:t xml:space="preserve">, </w:t>
      </w:r>
      <w:r>
        <w:rPr>
          <w:rFonts w:hint="eastAsia"/>
          <w:kern w:val="0"/>
        </w:rPr>
        <w:t>683</w:t>
      </w:r>
      <w:r w:rsidRPr="006A4850">
        <w:rPr>
          <w:kern w:val="0"/>
        </w:rPr>
        <w:t>.pdf</w:t>
      </w:r>
    </w:p>
    <w:p w:rsidR="00F325A1" w:rsidRDefault="00F325A1" w:rsidP="00F325A1">
      <w:pPr>
        <w:pStyle w:val="a3"/>
        <w:rPr>
          <w:kern w:val="0"/>
        </w:rPr>
      </w:pPr>
      <w:r>
        <w:rPr>
          <w:kern w:val="0"/>
        </w:rPr>
        <w:t>Abstract: Objectives: Titanium is</w:t>
      </w:r>
      <w:r w:rsidR="003A1917">
        <w:rPr>
          <w:kern w:val="0"/>
        </w:rPr>
        <w:t xml:space="preserve"> the </w:t>
      </w:r>
      <w:r>
        <w:rPr>
          <w:kern w:val="0"/>
        </w:rPr>
        <w:t>standard material for dental</w:t>
      </w:r>
      <w:r w:rsidR="005853A9">
        <w:rPr>
          <w:kern w:val="0"/>
        </w:rPr>
        <w:t xml:space="preserve"> and </w:t>
      </w:r>
      <w:r>
        <w:rPr>
          <w:kern w:val="0"/>
        </w:rPr>
        <w:t>orthopaedical implants</w:t>
      </w:r>
      <w:r w:rsidR="00A37C1D">
        <w:rPr>
          <w:kern w:val="0"/>
        </w:rPr>
        <w:t>. The</w:t>
      </w:r>
      <w:r w:rsidR="003A1917">
        <w:rPr>
          <w:kern w:val="0"/>
        </w:rPr>
        <w:t xml:space="preserve"> </w:t>
      </w:r>
      <w:r>
        <w:rPr>
          <w:kern w:val="0"/>
        </w:rPr>
        <w:t>good biocompatibility has been proven in many experimental</w:t>
      </w:r>
      <w:r w:rsidR="005853A9">
        <w:rPr>
          <w:kern w:val="0"/>
        </w:rPr>
        <w:t xml:space="preserve"> and </w:t>
      </w:r>
      <w:r>
        <w:rPr>
          <w:kern w:val="0"/>
        </w:rPr>
        <w:t>clinical investigations. Different titanium topographies were tested in vitro using different cell culture models</w:t>
      </w:r>
      <w:r w:rsidR="00A37C1D">
        <w:rPr>
          <w:kern w:val="0"/>
        </w:rPr>
        <w:t>. The</w:t>
      </w:r>
      <w:r w:rsidR="003A1917">
        <w:rPr>
          <w:kern w:val="0"/>
        </w:rPr>
        <w:t xml:space="preserve"> </w:t>
      </w:r>
      <w:r>
        <w:rPr>
          <w:kern w:val="0"/>
        </w:rPr>
        <w:t>aim</w:t>
      </w:r>
      <w:r w:rsidR="00427468">
        <w:rPr>
          <w:kern w:val="0"/>
        </w:rPr>
        <w:t xml:space="preserve"> of </w:t>
      </w:r>
      <w:r>
        <w:rPr>
          <w:kern w:val="0"/>
        </w:rPr>
        <w:t>this systematic review was to evaluate</w:t>
      </w:r>
      <w:r w:rsidR="005853A9">
        <w:rPr>
          <w:kern w:val="0"/>
        </w:rPr>
        <w:t xml:space="preserve"> and </w:t>
      </w:r>
      <w:r>
        <w:rPr>
          <w:kern w:val="0"/>
        </w:rPr>
        <w:t>summarize</w:t>
      </w:r>
      <w:r w:rsidR="003A1917">
        <w:rPr>
          <w:kern w:val="0"/>
        </w:rPr>
        <w:t xml:space="preserve"> the </w:t>
      </w:r>
      <w:r>
        <w:rPr>
          <w:kern w:val="0"/>
        </w:rPr>
        <w:t>medical/dental literature to assess on which kind</w:t>
      </w:r>
      <w:r w:rsidR="00427468">
        <w:rPr>
          <w:kern w:val="0"/>
        </w:rPr>
        <w:t xml:space="preserve"> of </w:t>
      </w:r>
      <w:r>
        <w:rPr>
          <w:kern w:val="0"/>
        </w:rPr>
        <w:t>titanium surface structure</w:t>
      </w:r>
      <w:r w:rsidR="003A1917">
        <w:rPr>
          <w:kern w:val="0"/>
        </w:rPr>
        <w:t xml:space="preserve"> the </w:t>
      </w:r>
      <w:r>
        <w:rPr>
          <w:kern w:val="0"/>
        </w:rPr>
        <w:t>osteoblast-like osteosarcoma cells MG63 show</w:t>
      </w:r>
      <w:r w:rsidR="003A1917">
        <w:rPr>
          <w:kern w:val="0"/>
        </w:rPr>
        <w:t xml:space="preserve"> the </w:t>
      </w:r>
      <w:r>
        <w:rPr>
          <w:kern w:val="0"/>
        </w:rPr>
        <w:t>best proliferation</w:t>
      </w:r>
      <w:r w:rsidR="005853A9">
        <w:rPr>
          <w:kern w:val="0"/>
        </w:rPr>
        <w:t xml:space="preserve"> and </w:t>
      </w:r>
      <w:r>
        <w:rPr>
          <w:kern w:val="0"/>
        </w:rPr>
        <w:t>differentiation rate,</w:t>
      </w:r>
      <w:r w:rsidR="005853A9">
        <w:rPr>
          <w:kern w:val="0"/>
        </w:rPr>
        <w:t xml:space="preserve"> and </w:t>
      </w:r>
      <w:r w:rsidR="003A1917">
        <w:rPr>
          <w:kern w:val="0"/>
        </w:rPr>
        <w:t xml:space="preserve">the </w:t>
      </w:r>
      <w:r>
        <w:rPr>
          <w:kern w:val="0"/>
        </w:rPr>
        <w:t xml:space="preserve">best protein synthesis. Methods: A systematic search was carried out using different on-line databases (PUBMED, </w:t>
      </w:r>
      <w:r w:rsidR="00D5664A">
        <w:rPr>
          <w:kern w:val="0"/>
        </w:rPr>
        <w:t>Web</w:t>
      </w:r>
      <w:r w:rsidR="00427468">
        <w:rPr>
          <w:kern w:val="0"/>
        </w:rPr>
        <w:t xml:space="preserve"> of </w:t>
      </w:r>
      <w:r w:rsidR="00D5664A">
        <w:rPr>
          <w:kern w:val="0"/>
        </w:rPr>
        <w:t>Science</w:t>
      </w:r>
      <w:r>
        <w:rPr>
          <w:kern w:val="0"/>
        </w:rPr>
        <w:t>, Cochrane Library, International Poster Journal), supplemented by handsearch in selected journals</w:t>
      </w:r>
      <w:r w:rsidR="005853A9">
        <w:rPr>
          <w:kern w:val="0"/>
        </w:rPr>
        <w:t xml:space="preserve"> and </w:t>
      </w:r>
      <w:r>
        <w:rPr>
          <w:kern w:val="0"/>
        </w:rPr>
        <w:t>by examination</w:t>
      </w:r>
      <w:r w:rsidR="00427468">
        <w:rPr>
          <w:kern w:val="0"/>
        </w:rPr>
        <w:t xml:space="preserve"> of </w:t>
      </w:r>
      <w:r w:rsidR="003A1917">
        <w:rPr>
          <w:kern w:val="0"/>
        </w:rPr>
        <w:t xml:space="preserve">the </w:t>
      </w:r>
      <w:r>
        <w:rPr>
          <w:kern w:val="0"/>
        </w:rPr>
        <w:t>bibliographies</w:t>
      </w:r>
      <w:r w:rsidR="00427468">
        <w:rPr>
          <w:kern w:val="0"/>
        </w:rPr>
        <w:t xml:space="preserve"> of </w:t>
      </w:r>
      <w:r w:rsidR="003A1917">
        <w:rPr>
          <w:kern w:val="0"/>
        </w:rPr>
        <w:t xml:space="preserve">the </w:t>
      </w:r>
      <w:r>
        <w:rPr>
          <w:kern w:val="0"/>
        </w:rPr>
        <w:t>identified articles. Inclusion</w:t>
      </w:r>
      <w:r w:rsidR="005853A9">
        <w:rPr>
          <w:kern w:val="0"/>
        </w:rPr>
        <w:t xml:space="preserve"> and </w:t>
      </w:r>
      <w:r>
        <w:rPr>
          <w:kern w:val="0"/>
        </w:rPr>
        <w:t>exclusion criterias were applied when considering relevant articles. Studies which met</w:t>
      </w:r>
      <w:r w:rsidR="003A1917">
        <w:rPr>
          <w:kern w:val="0"/>
        </w:rPr>
        <w:t xml:space="preserve"> the </w:t>
      </w:r>
      <w:r>
        <w:rPr>
          <w:kern w:val="0"/>
        </w:rPr>
        <w:t>inclusion criteria were included</w:t>
      </w:r>
      <w:r w:rsidR="005853A9">
        <w:rPr>
          <w:kern w:val="0"/>
        </w:rPr>
        <w:t xml:space="preserve"> and </w:t>
      </w:r>
      <w:r>
        <w:rPr>
          <w:kern w:val="0"/>
        </w:rPr>
        <w:t>data extraction was undertaken by one reviewer. Results:</w:t>
      </w:r>
      <w:r w:rsidR="003A1917">
        <w:rPr>
          <w:kern w:val="0"/>
        </w:rPr>
        <w:t xml:space="preserve"> the </w:t>
      </w:r>
      <w:r>
        <w:rPr>
          <w:kern w:val="0"/>
        </w:rPr>
        <w:t>search yielded 348 references. Nine articles referring to nine different studies were relevant to our question. Additionally 8 less relevant articles were identified. It was found that regularly textured surfaces</w:t>
      </w:r>
      <w:r w:rsidR="00427468">
        <w:rPr>
          <w:kern w:val="0"/>
        </w:rPr>
        <w:t xml:space="preserve"> of </w:t>
      </w:r>
      <w:r>
        <w:rPr>
          <w:kern w:val="0"/>
        </w:rPr>
        <w:t>pure titanium with R-a values (average roughness)</w:t>
      </w:r>
      <w:r w:rsidR="00427468">
        <w:rPr>
          <w:kern w:val="0"/>
        </w:rPr>
        <w:t xml:space="preserve"> of </w:t>
      </w:r>
      <w:r>
        <w:rPr>
          <w:kern w:val="0"/>
        </w:rPr>
        <w:t>around 4 mum are well-accepted by MG63 cells. Conclusions:</w:t>
      </w:r>
      <w:r w:rsidR="003A1917">
        <w:rPr>
          <w:kern w:val="0"/>
        </w:rPr>
        <w:t xml:space="preserve"> the </w:t>
      </w:r>
      <w:r>
        <w:rPr>
          <w:kern w:val="0"/>
        </w:rPr>
        <w:t>surfaces</w:t>
      </w:r>
      <w:r w:rsidR="005853A9">
        <w:rPr>
          <w:kern w:val="0"/>
        </w:rPr>
        <w:t xml:space="preserve"> and </w:t>
      </w:r>
      <w:r>
        <w:rPr>
          <w:kern w:val="0"/>
        </w:rPr>
        <w:t>culture conditions vary widely</w:t>
      </w:r>
      <w:r w:rsidR="00A37C1D">
        <w:rPr>
          <w:kern w:val="0"/>
        </w:rPr>
        <w:t>. The</w:t>
      </w:r>
      <w:r>
        <w:rPr>
          <w:kern w:val="0"/>
        </w:rPr>
        <w:t>refore it is still difficult to recommend one particular surface. It seems that there are no differences in cell proliferation</w:t>
      </w:r>
      <w:r w:rsidR="005853A9">
        <w:rPr>
          <w:kern w:val="0"/>
        </w:rPr>
        <w:t xml:space="preserve"> and </w:t>
      </w:r>
      <w:r>
        <w:rPr>
          <w:kern w:val="0"/>
        </w:rPr>
        <w:t>differentiation on surfaces treated by blasting</w:t>
      </w:r>
      <w:r w:rsidR="005853A9">
        <w:rPr>
          <w:kern w:val="0"/>
        </w:rPr>
        <w:t xml:space="preserve"> and </w:t>
      </w:r>
      <w:r>
        <w:rPr>
          <w:kern w:val="0"/>
        </w:rPr>
        <w:t>etching. Standardization in fabrication</w:t>
      </w:r>
      <w:r w:rsidR="005853A9">
        <w:rPr>
          <w:kern w:val="0"/>
        </w:rPr>
        <w:t xml:space="preserve"> and </w:t>
      </w:r>
      <w:r>
        <w:rPr>
          <w:kern w:val="0"/>
        </w:rPr>
        <w:t>size</w:t>
      </w:r>
      <w:r w:rsidR="00427468">
        <w:rPr>
          <w:kern w:val="0"/>
        </w:rPr>
        <w:t xml:space="preserve"> of </w:t>
      </w:r>
      <w:r w:rsidR="003A1917">
        <w:rPr>
          <w:kern w:val="0"/>
        </w:rPr>
        <w:t xml:space="preserve">the </w:t>
      </w:r>
      <w:r>
        <w:rPr>
          <w:kern w:val="0"/>
        </w:rPr>
        <w:t>different test surfaces as well as homogeneity in culture times</w:t>
      </w:r>
      <w:r w:rsidR="005853A9">
        <w:rPr>
          <w:kern w:val="0"/>
        </w:rPr>
        <w:t xml:space="preserve"> and </w:t>
      </w:r>
      <w:r>
        <w:rPr>
          <w:kern w:val="0"/>
        </w:rPr>
        <w:t xml:space="preserve">plating densities should be aspects for future </w:t>
      </w:r>
      <w:r>
        <w:rPr>
          <w:kern w:val="0"/>
        </w:rPr>
        <w:lastRenderedPageBreak/>
        <w:t>research.</w:t>
      </w:r>
    </w:p>
    <w:p w:rsidR="00F325A1" w:rsidRDefault="00F325A1" w:rsidP="00F325A1">
      <w:pPr>
        <w:pStyle w:val="a3"/>
        <w:rPr>
          <w:kern w:val="0"/>
        </w:rPr>
      </w:pPr>
      <w:r>
        <w:rPr>
          <w:kern w:val="0"/>
        </w:rPr>
        <w:t xml:space="preserve">Keywords: Behavior, Bone-Formation, Cartilage Cells, Cochrane, Culture, Databases, Differentiation, Extracellular-Matrix, Growth-Factor-Beta, Implants, In-Vitro, In-Vitro Studies, Journal, Journals, Kinase-A, Literature, Methods, Mg-63, Osteoblast-Like Mg63 Cells, Protein Synthesis, PUBMED, Research, Review, Roughness, Science, Standardization, Systematic, Systematic Review, Titania, Hydroxyapatite Composite Coatings, Titanium Surfaces, </w:t>
      </w:r>
      <w:r w:rsidR="00D5664A">
        <w:rPr>
          <w:kern w:val="0"/>
        </w:rPr>
        <w:t>Web</w:t>
      </w:r>
      <w:r w:rsidR="00427468">
        <w:rPr>
          <w:kern w:val="0"/>
        </w:rPr>
        <w:t xml:space="preserve"> of </w:t>
      </w:r>
      <w:r w:rsidR="00D5664A">
        <w:rPr>
          <w:kern w:val="0"/>
        </w:rPr>
        <w:t>Science</w:t>
      </w:r>
    </w:p>
    <w:p w:rsidR="006D1994" w:rsidRDefault="006D1994" w:rsidP="006D1994">
      <w:pPr>
        <w:pStyle w:val="a3"/>
        <w:rPr>
          <w:kern w:val="0"/>
        </w:rPr>
      </w:pPr>
      <w:r>
        <w:rPr>
          <w:rFonts w:hint="eastAsia"/>
          <w:kern w:val="0"/>
        </w:rPr>
        <w:t xml:space="preserve">? </w:t>
      </w:r>
      <w:r>
        <w:rPr>
          <w:kern w:val="0"/>
        </w:rPr>
        <w:t>Türp, J.C., Motschall, E., Schindler, H.F.</w:t>
      </w:r>
      <w:r w:rsidR="005853A9">
        <w:rPr>
          <w:kern w:val="0"/>
        </w:rPr>
        <w:t xml:space="preserve"> and </w:t>
      </w:r>
      <w:r>
        <w:rPr>
          <w:kern w:val="0"/>
        </w:rPr>
        <w:t>Heydecke, G. (2007), In patients with temporomandibular disorders do particular interventions influence oral health-related quality</w:t>
      </w:r>
      <w:r w:rsidR="00427468">
        <w:rPr>
          <w:kern w:val="0"/>
        </w:rPr>
        <w:t xml:space="preserve"> of </w:t>
      </w:r>
      <w:r>
        <w:rPr>
          <w:kern w:val="0"/>
        </w:rPr>
        <w:t>life? A qualitative systematic review</w:t>
      </w:r>
      <w:r w:rsidR="00427468">
        <w:rPr>
          <w:kern w:val="0"/>
        </w:rPr>
        <w:t xml:space="preserve"> of </w:t>
      </w:r>
      <w:r w:rsidR="003A1917">
        <w:rPr>
          <w:kern w:val="0"/>
        </w:rPr>
        <w:t xml:space="preserve">the </w:t>
      </w:r>
      <w:r>
        <w:rPr>
          <w:kern w:val="0"/>
        </w:rPr>
        <w:t xml:space="preserve">literature. </w:t>
      </w:r>
      <w:r w:rsidRPr="00AF0F96">
        <w:rPr>
          <w:i/>
          <w:iCs/>
          <w:kern w:val="0"/>
        </w:rPr>
        <w:t>Clinical Oral Implants Research</w:t>
      </w:r>
      <w:r>
        <w:rPr>
          <w:kern w:val="0"/>
        </w:rPr>
        <w:t xml:space="preserve">, </w:t>
      </w:r>
      <w:r>
        <w:rPr>
          <w:b/>
          <w:bCs/>
          <w:kern w:val="0"/>
        </w:rPr>
        <w:t>18</w:t>
      </w:r>
      <w:r>
        <w:rPr>
          <w:rFonts w:hint="eastAsia"/>
          <w:kern w:val="0"/>
        </w:rPr>
        <w:t xml:space="preserve"> (S3),</w:t>
      </w:r>
      <w:r>
        <w:rPr>
          <w:kern w:val="0"/>
        </w:rPr>
        <w:t xml:space="preserve"> 127-137.</w:t>
      </w:r>
    </w:p>
    <w:p w:rsidR="006D1994" w:rsidRDefault="006D1994" w:rsidP="006D1994">
      <w:pPr>
        <w:pStyle w:val="a3"/>
        <w:rPr>
          <w:kern w:val="0"/>
        </w:rPr>
      </w:pPr>
      <w:r>
        <w:rPr>
          <w:rFonts w:hint="eastAsia"/>
          <w:kern w:val="0"/>
        </w:rPr>
        <w:t xml:space="preserve">Full Text: </w:t>
      </w:r>
      <w:hyperlink r:id="rId381" w:history="1">
        <w:r w:rsidRPr="0082709C">
          <w:rPr>
            <w:rStyle w:val="a5"/>
            <w:kern w:val="0"/>
          </w:rPr>
          <w:t>2007\Cli Ora Imp Res18, 127.pdf</w:t>
        </w:r>
      </w:hyperlink>
    </w:p>
    <w:p w:rsidR="006D1994" w:rsidRDefault="006D1994" w:rsidP="006D1994">
      <w:pPr>
        <w:pStyle w:val="a3"/>
        <w:rPr>
          <w:kern w:val="0"/>
        </w:rPr>
      </w:pPr>
      <w:r>
        <w:rPr>
          <w:kern w:val="0"/>
        </w:rPr>
        <w:t>Abstract: Objectives:</w:t>
      </w:r>
      <w:r w:rsidR="003A1917">
        <w:rPr>
          <w:kern w:val="0"/>
        </w:rPr>
        <w:t xml:space="preserve"> the </w:t>
      </w:r>
      <w:r>
        <w:rPr>
          <w:kern w:val="0"/>
        </w:rPr>
        <w:t>use</w:t>
      </w:r>
      <w:r w:rsidR="00427468">
        <w:rPr>
          <w:kern w:val="0"/>
        </w:rPr>
        <w:t xml:space="preserve"> of </w:t>
      </w:r>
      <w:r>
        <w:rPr>
          <w:kern w:val="0"/>
        </w:rPr>
        <w:t>patient-based outcomes to measure therapeutic effectiveness is increasing, because a growing number</w:t>
      </w:r>
      <w:r w:rsidR="00427468">
        <w:rPr>
          <w:kern w:val="0"/>
        </w:rPr>
        <w:t xml:space="preserve"> of </w:t>
      </w:r>
      <w:r>
        <w:rPr>
          <w:kern w:val="0"/>
        </w:rPr>
        <w:t>clinical scientists are attempting to evaluate</w:t>
      </w:r>
      <w:r w:rsidR="003A1917">
        <w:rPr>
          <w:kern w:val="0"/>
        </w:rPr>
        <w:t xml:space="preserve"> the </w:t>
      </w:r>
      <w:r>
        <w:rPr>
          <w:kern w:val="0"/>
        </w:rPr>
        <w:t>impact</w:t>
      </w:r>
      <w:r w:rsidR="00427468">
        <w:rPr>
          <w:kern w:val="0"/>
        </w:rPr>
        <w:t xml:space="preserve"> of </w:t>
      </w:r>
      <w:r>
        <w:rPr>
          <w:kern w:val="0"/>
        </w:rPr>
        <w:t>therapy on</w:t>
      </w:r>
      <w:r w:rsidR="003A1917">
        <w:rPr>
          <w:kern w:val="0"/>
        </w:rPr>
        <w:t xml:space="preserve"> the </w:t>
      </w:r>
      <w:r>
        <w:rPr>
          <w:kern w:val="0"/>
        </w:rPr>
        <w:t>recipient</w:t>
      </w:r>
      <w:r w:rsidR="00A37C1D">
        <w:rPr>
          <w:kern w:val="0"/>
        </w:rPr>
        <w:t>. The</w:t>
      </w:r>
      <w:r>
        <w:rPr>
          <w:kern w:val="0"/>
        </w:rPr>
        <w:t>re are indications that patients suffering from temporomandibular disorders (TMDs) may also show a reduced oral health-related quality</w:t>
      </w:r>
      <w:r w:rsidR="00427468">
        <w:rPr>
          <w:kern w:val="0"/>
        </w:rPr>
        <w:t xml:space="preserve"> of </w:t>
      </w:r>
      <w:r>
        <w:rPr>
          <w:kern w:val="0"/>
        </w:rPr>
        <w:t>life (OHQoL). It was</w:t>
      </w:r>
      <w:r w:rsidR="003A1917">
        <w:rPr>
          <w:kern w:val="0"/>
        </w:rPr>
        <w:t xml:space="preserve"> the </w:t>
      </w:r>
      <w:r>
        <w:rPr>
          <w:kern w:val="0"/>
        </w:rPr>
        <w:t>purpose</w:t>
      </w:r>
      <w:r w:rsidR="00427468">
        <w:rPr>
          <w:kern w:val="0"/>
        </w:rPr>
        <w:t xml:space="preserve"> of </w:t>
      </w:r>
      <w:r>
        <w:rPr>
          <w:kern w:val="0"/>
        </w:rPr>
        <w:t>this paper to answer</w:t>
      </w:r>
      <w:r w:rsidR="003A1917">
        <w:rPr>
          <w:kern w:val="0"/>
        </w:rPr>
        <w:t xml:space="preserve"> the </w:t>
      </w:r>
      <w:r>
        <w:rPr>
          <w:kern w:val="0"/>
        </w:rPr>
        <w:t>question as to whether therapeutic interventions in TMD patients have a positive effect on their OHQoL. Material</w:t>
      </w:r>
      <w:r w:rsidR="005853A9">
        <w:rPr>
          <w:kern w:val="0"/>
        </w:rPr>
        <w:t xml:space="preserve"> and </w:t>
      </w:r>
      <w:r>
        <w:rPr>
          <w:kern w:val="0"/>
        </w:rPr>
        <w:t xml:space="preserve">methods: A systematic electronic search (Ovid </w:t>
      </w:r>
      <w:r w:rsidR="00D5664A">
        <w:rPr>
          <w:kern w:val="0"/>
        </w:rPr>
        <w:t>MEDLINE</w:t>
      </w:r>
      <w:r>
        <w:rPr>
          <w:kern w:val="0"/>
        </w:rPr>
        <w:t xml:space="preserve"> (R) 1966-2006; Science Citation Index 1945-2006)</w:t>
      </w:r>
      <w:r w:rsidR="00427468">
        <w:rPr>
          <w:kern w:val="0"/>
        </w:rPr>
        <w:t xml:space="preserve"> of </w:t>
      </w:r>
      <w:r w:rsidR="003A1917">
        <w:rPr>
          <w:kern w:val="0"/>
        </w:rPr>
        <w:t xml:space="preserve">the </w:t>
      </w:r>
      <w:r>
        <w:rPr>
          <w:kern w:val="0"/>
        </w:rPr>
        <w:t>literature was carried out to identify pertinent articles</w:t>
      </w:r>
      <w:r w:rsidR="00427468">
        <w:rPr>
          <w:kern w:val="0"/>
        </w:rPr>
        <w:t xml:space="preserve"> of </w:t>
      </w:r>
      <w:r>
        <w:rPr>
          <w:kern w:val="0"/>
        </w:rPr>
        <w:t>randomized</w:t>
      </w:r>
      <w:r w:rsidR="005853A9">
        <w:rPr>
          <w:kern w:val="0"/>
        </w:rPr>
        <w:t xml:space="preserve"> and </w:t>
      </w:r>
      <w:r>
        <w:rPr>
          <w:kern w:val="0"/>
        </w:rPr>
        <w:t>non-randomized clinical trials. Reports on retrospective</w:t>
      </w:r>
      <w:r w:rsidR="005853A9">
        <w:rPr>
          <w:kern w:val="0"/>
        </w:rPr>
        <w:t xml:space="preserve"> and </w:t>
      </w:r>
      <w:r>
        <w:rPr>
          <w:kern w:val="0"/>
        </w:rPr>
        <w:t>prospective studies that specifically focused on OHQoL changes in TMD patients as a consequence</w:t>
      </w:r>
      <w:r w:rsidR="00427468">
        <w:rPr>
          <w:kern w:val="0"/>
        </w:rPr>
        <w:t xml:space="preserve"> of </w:t>
      </w:r>
      <w:r>
        <w:rPr>
          <w:kern w:val="0"/>
        </w:rPr>
        <w:t>therapeutic interventions were included</w:t>
      </w:r>
      <w:r w:rsidR="00A37C1D">
        <w:rPr>
          <w:kern w:val="0"/>
        </w:rPr>
        <w:t>. The</w:t>
      </w:r>
      <w:r w:rsidR="003A1917">
        <w:rPr>
          <w:kern w:val="0"/>
        </w:rPr>
        <w:t xml:space="preserve"> </w:t>
      </w:r>
      <w:r>
        <w:rPr>
          <w:kern w:val="0"/>
        </w:rPr>
        <w:t>reference lists</w:t>
      </w:r>
      <w:r w:rsidR="00427468">
        <w:rPr>
          <w:kern w:val="0"/>
        </w:rPr>
        <w:t xml:space="preserve"> of </w:t>
      </w:r>
      <w:r w:rsidR="003A1917">
        <w:rPr>
          <w:kern w:val="0"/>
        </w:rPr>
        <w:t xml:space="preserve">the </w:t>
      </w:r>
      <w:r>
        <w:rPr>
          <w:kern w:val="0"/>
        </w:rPr>
        <w:t>identified articles were screened to find additional pertinent publications. Results:</w:t>
      </w:r>
      <w:r w:rsidR="003A1917">
        <w:rPr>
          <w:kern w:val="0"/>
        </w:rPr>
        <w:t xml:space="preserve"> the </w:t>
      </w:r>
      <w:r>
        <w:rPr>
          <w:kern w:val="0"/>
        </w:rPr>
        <w:t xml:space="preserve">investigation yielded seven relevant contributions from </w:t>
      </w:r>
      <w:r w:rsidR="00D5664A">
        <w:rPr>
          <w:kern w:val="0"/>
        </w:rPr>
        <w:t>MEDLINE</w:t>
      </w:r>
      <w:r>
        <w:rPr>
          <w:kern w:val="0"/>
        </w:rPr>
        <w:t xml:space="preserve"> (R). A quantitative analysis</w:t>
      </w:r>
      <w:r w:rsidR="00427468">
        <w:rPr>
          <w:kern w:val="0"/>
        </w:rPr>
        <w:t xml:space="preserve"> of </w:t>
      </w:r>
      <w:r w:rsidR="003A1917">
        <w:rPr>
          <w:kern w:val="0"/>
        </w:rPr>
        <w:t xml:space="preserve">the </w:t>
      </w:r>
      <w:r>
        <w:rPr>
          <w:kern w:val="0"/>
        </w:rPr>
        <w:t>seven identified articles was not possible</w:t>
      </w:r>
      <w:r w:rsidR="00A37C1D">
        <w:rPr>
          <w:kern w:val="0"/>
        </w:rPr>
        <w:t>. The</w:t>
      </w:r>
      <w:r>
        <w:rPr>
          <w:kern w:val="0"/>
        </w:rPr>
        <w:t>re was considerable heterogeneity among</w:t>
      </w:r>
      <w:r w:rsidR="003A1917">
        <w:rPr>
          <w:kern w:val="0"/>
        </w:rPr>
        <w:t xml:space="preserve"> the </w:t>
      </w:r>
      <w:r>
        <w:rPr>
          <w:kern w:val="0"/>
        </w:rPr>
        <w:t>investigations with regard to study design, patient characteristics,</w:t>
      </w:r>
      <w:r w:rsidR="005853A9">
        <w:rPr>
          <w:kern w:val="0"/>
        </w:rPr>
        <w:t xml:space="preserve"> and </w:t>
      </w:r>
      <w:r>
        <w:rPr>
          <w:kern w:val="0"/>
        </w:rPr>
        <w:t>provided therapy. Three</w:t>
      </w:r>
      <w:r w:rsidR="00427468">
        <w:rPr>
          <w:kern w:val="0"/>
        </w:rPr>
        <w:t xml:space="preserve"> of </w:t>
      </w:r>
      <w:r w:rsidR="003A1917">
        <w:rPr>
          <w:kern w:val="0"/>
        </w:rPr>
        <w:t xml:space="preserve">the </w:t>
      </w:r>
      <w:r>
        <w:rPr>
          <w:kern w:val="0"/>
        </w:rPr>
        <w:t>identified articles reported about prospective controlled studies,</w:t>
      </w:r>
      <w:r w:rsidR="00427468">
        <w:rPr>
          <w:kern w:val="0"/>
        </w:rPr>
        <w:t xml:space="preserve"> of </w:t>
      </w:r>
      <w:r>
        <w:rPr>
          <w:kern w:val="0"/>
        </w:rPr>
        <w:t>which one was an RCT. Four additional investigations were retrospective. According to</w:t>
      </w:r>
      <w:r w:rsidR="003A1917">
        <w:rPr>
          <w:kern w:val="0"/>
        </w:rPr>
        <w:t xml:space="preserve"> the </w:t>
      </w:r>
      <w:r>
        <w:rPr>
          <w:kern w:val="0"/>
        </w:rPr>
        <w:t>results</w:t>
      </w:r>
      <w:r w:rsidR="00427468">
        <w:rPr>
          <w:kern w:val="0"/>
        </w:rPr>
        <w:t xml:space="preserve"> of </w:t>
      </w:r>
      <w:r w:rsidR="003A1917">
        <w:rPr>
          <w:kern w:val="0"/>
        </w:rPr>
        <w:t xml:space="preserve">the </w:t>
      </w:r>
      <w:r>
        <w:rPr>
          <w:kern w:val="0"/>
        </w:rPr>
        <w:t>only RCT, a 6-week course</w:t>
      </w:r>
      <w:r w:rsidR="00427468">
        <w:rPr>
          <w:kern w:val="0"/>
        </w:rPr>
        <w:t xml:space="preserve"> of </w:t>
      </w:r>
      <w:r w:rsidR="003A1917">
        <w:rPr>
          <w:kern w:val="0"/>
        </w:rPr>
        <w:t xml:space="preserve">the </w:t>
      </w:r>
      <w:r>
        <w:rPr>
          <w:kern w:val="0"/>
        </w:rPr>
        <w:t>nonselective cyclooxygenase (COX) inhibitor naproxen may lead to slightly better OHQoL in patients with temporomandibular joint (TMJ) arthralgia than</w:t>
      </w:r>
      <w:r w:rsidR="003A1917">
        <w:rPr>
          <w:kern w:val="0"/>
        </w:rPr>
        <w:t xml:space="preserve"> the </w:t>
      </w:r>
      <w:r>
        <w:rPr>
          <w:kern w:val="0"/>
        </w:rPr>
        <w:t>selective COX-2 inhibitor celecoxib</w:t>
      </w:r>
      <w:r w:rsidR="00A37C1D">
        <w:rPr>
          <w:kern w:val="0"/>
        </w:rPr>
        <w:t>. The</w:t>
      </w:r>
      <w:r w:rsidR="003A1917">
        <w:rPr>
          <w:kern w:val="0"/>
        </w:rPr>
        <w:t xml:space="preserve"> </w:t>
      </w:r>
      <w:r>
        <w:rPr>
          <w:kern w:val="0"/>
        </w:rPr>
        <w:t>two other articles reporting</w:t>
      </w:r>
      <w:r w:rsidR="00427468">
        <w:rPr>
          <w:kern w:val="0"/>
        </w:rPr>
        <w:t xml:space="preserve"> of </w:t>
      </w:r>
      <w:r>
        <w:rPr>
          <w:kern w:val="0"/>
        </w:rPr>
        <w:t>a controlled study showed that selective serotonine uptake inhibitors accompanied by psychological therapy improved OHQoL in individuals with TMJ arthralgia. In contrast, TMJ surgery did not improve OHQoL. Conclusion: It appears that all therapeutic interventions reported in</w:t>
      </w:r>
      <w:r w:rsidR="003A1917">
        <w:rPr>
          <w:kern w:val="0"/>
        </w:rPr>
        <w:t xml:space="preserve"> the </w:t>
      </w:r>
      <w:r>
        <w:rPr>
          <w:kern w:val="0"/>
        </w:rPr>
        <w:t>identified publications led to at least some improvement</w:t>
      </w:r>
      <w:r w:rsidR="00427468">
        <w:rPr>
          <w:kern w:val="0"/>
        </w:rPr>
        <w:t xml:space="preserve"> of </w:t>
      </w:r>
      <w:r>
        <w:rPr>
          <w:kern w:val="0"/>
        </w:rPr>
        <w:t>OHQoL</w:t>
      </w:r>
      <w:r w:rsidR="00A37C1D">
        <w:rPr>
          <w:kern w:val="0"/>
        </w:rPr>
        <w:t>. The</w:t>
      </w:r>
      <w:r w:rsidR="003A1917">
        <w:rPr>
          <w:kern w:val="0"/>
        </w:rPr>
        <w:t xml:space="preserve"> </w:t>
      </w:r>
      <w:r>
        <w:rPr>
          <w:kern w:val="0"/>
        </w:rPr>
        <w:t>only exception were patients with multiple TMJ surgeries.</w:t>
      </w:r>
    </w:p>
    <w:p w:rsidR="006D1994" w:rsidRDefault="006D1994" w:rsidP="006D1994">
      <w:pPr>
        <w:pStyle w:val="a3"/>
        <w:rPr>
          <w:kern w:val="0"/>
        </w:rPr>
      </w:pPr>
      <w:r>
        <w:rPr>
          <w:kern w:val="0"/>
        </w:rPr>
        <w:lastRenderedPageBreak/>
        <w:t>Keywords: Articles, Characteristics, Chronic Pain, Citation, Clinical Trials, Craniomandibular Disorders, Effectiveness, Follow</w:t>
      </w:r>
      <w:r w:rsidR="0062028A">
        <w:rPr>
          <w:kern w:val="0"/>
        </w:rPr>
        <w:t>-up,</w:t>
      </w:r>
      <w:r>
        <w:rPr>
          <w:kern w:val="0"/>
        </w:rPr>
        <w:t xml:space="preserve"> German, Health-Related Quality</w:t>
      </w:r>
      <w:r w:rsidR="00427468">
        <w:rPr>
          <w:kern w:val="0"/>
        </w:rPr>
        <w:t xml:space="preserve"> of </w:t>
      </w:r>
      <w:r>
        <w:rPr>
          <w:kern w:val="0"/>
        </w:rPr>
        <w:t xml:space="preserve">Life, Heterogeneity, Impact, Impact Profile Ohip, Lead, Literature, </w:t>
      </w:r>
      <w:r w:rsidR="00D5664A">
        <w:rPr>
          <w:kern w:val="0"/>
        </w:rPr>
        <w:t>MEDLINE</w:t>
      </w:r>
      <w:r>
        <w:rPr>
          <w:kern w:val="0"/>
        </w:rPr>
        <w:t>, Methods, Oral Health Impact Profile, Outcomes, Positive, Publications, Quantitative, Quantitative Analysis, Randomized Clinical-Trial, Review, Satisfaction, Science, Science Citation Index, Short-Form, Study Design, Surgery, Survey SF-36, Systematic Review, Therapy, Validation, Version</w:t>
      </w:r>
    </w:p>
    <w:p w:rsidR="006D1994" w:rsidRDefault="006D1994" w:rsidP="006D1994">
      <w:pPr>
        <w:pStyle w:val="a3"/>
        <w:rPr>
          <w:kern w:val="0"/>
        </w:rPr>
      </w:pPr>
      <w:r>
        <w:rPr>
          <w:rFonts w:hint="eastAsia"/>
          <w:kern w:val="0"/>
        </w:rPr>
        <w:t xml:space="preserve">? </w:t>
      </w:r>
      <w:r>
        <w:rPr>
          <w:kern w:val="0"/>
        </w:rPr>
        <w:t>Türp, J.C., Jokslad, A., Motschall, E., Schindler, H.J., Windecker-Gétaz, I.</w:t>
      </w:r>
      <w:r w:rsidR="005853A9">
        <w:rPr>
          <w:kern w:val="0"/>
        </w:rPr>
        <w:t xml:space="preserve"> and </w:t>
      </w:r>
      <w:r>
        <w:rPr>
          <w:kern w:val="0"/>
        </w:rPr>
        <w:t>Ettlin, D.A. (2007), Is there a superiority</w:t>
      </w:r>
      <w:r w:rsidR="00427468">
        <w:rPr>
          <w:kern w:val="0"/>
        </w:rPr>
        <w:t xml:space="preserve"> of </w:t>
      </w:r>
      <w:r>
        <w:rPr>
          <w:kern w:val="0"/>
        </w:rPr>
        <w:t>multimodal as opposed to simple therapy in patients with temporomandibular disorders? A qualitative systematic review</w:t>
      </w:r>
      <w:r w:rsidR="00427468">
        <w:rPr>
          <w:kern w:val="0"/>
        </w:rPr>
        <w:t xml:space="preserve"> of </w:t>
      </w:r>
      <w:r w:rsidR="003A1917">
        <w:rPr>
          <w:kern w:val="0"/>
        </w:rPr>
        <w:t xml:space="preserve">the </w:t>
      </w:r>
      <w:r>
        <w:rPr>
          <w:kern w:val="0"/>
        </w:rPr>
        <w:t xml:space="preserve">literature. </w:t>
      </w:r>
      <w:r>
        <w:rPr>
          <w:i/>
          <w:iCs/>
          <w:kern w:val="0"/>
        </w:rPr>
        <w:t>Clinical Oral Implants Research</w:t>
      </w:r>
      <w:r>
        <w:rPr>
          <w:kern w:val="0"/>
        </w:rPr>
        <w:t xml:space="preserve">, </w:t>
      </w:r>
      <w:r>
        <w:rPr>
          <w:b/>
          <w:bCs/>
          <w:kern w:val="0"/>
        </w:rPr>
        <w:t>18</w:t>
      </w:r>
      <w:r>
        <w:rPr>
          <w:rFonts w:hint="eastAsia"/>
          <w:kern w:val="0"/>
        </w:rPr>
        <w:t xml:space="preserve"> (S3),</w:t>
      </w:r>
      <w:r>
        <w:rPr>
          <w:kern w:val="0"/>
        </w:rPr>
        <w:t xml:space="preserve"> 138-150.</w:t>
      </w:r>
    </w:p>
    <w:p w:rsidR="006D1994" w:rsidRDefault="006D1994" w:rsidP="006D1994">
      <w:pPr>
        <w:pStyle w:val="a3"/>
        <w:rPr>
          <w:kern w:val="0"/>
        </w:rPr>
      </w:pPr>
      <w:r>
        <w:rPr>
          <w:rFonts w:hint="eastAsia"/>
          <w:kern w:val="0"/>
        </w:rPr>
        <w:t xml:space="preserve">Full Text: </w:t>
      </w:r>
      <w:hyperlink r:id="rId382" w:history="1">
        <w:r w:rsidRPr="0082709C">
          <w:rPr>
            <w:rStyle w:val="a5"/>
            <w:kern w:val="0"/>
          </w:rPr>
          <w:t>2007\Cli Ora Imp Res18, 138.pdf</w:t>
        </w:r>
      </w:hyperlink>
    </w:p>
    <w:p w:rsidR="006D1994" w:rsidRDefault="006D1994" w:rsidP="006D1994">
      <w:pPr>
        <w:pStyle w:val="a3"/>
        <w:rPr>
          <w:kern w:val="0"/>
        </w:rPr>
      </w:pPr>
      <w:r>
        <w:rPr>
          <w:kern w:val="0"/>
        </w:rPr>
        <w:t>Abstract: Background: Pain is</w:t>
      </w:r>
      <w:r w:rsidR="003A1917">
        <w:rPr>
          <w:kern w:val="0"/>
        </w:rPr>
        <w:t xml:space="preserve"> the </w:t>
      </w:r>
      <w:r>
        <w:rPr>
          <w:kern w:val="0"/>
        </w:rPr>
        <w:t>most common motivation for patients with temporomandibular disorders (TMDs) to seek care</w:t>
      </w:r>
      <w:r w:rsidR="00A37C1D">
        <w:rPr>
          <w:kern w:val="0"/>
        </w:rPr>
        <w:t>. The</w:t>
      </w:r>
      <w:r>
        <w:rPr>
          <w:kern w:val="0"/>
        </w:rPr>
        <w:t>rapeutic options range from patient education to joint surgery. Objectives: To conduct a systematic review</w:t>
      </w:r>
      <w:r w:rsidR="00427468">
        <w:rPr>
          <w:kern w:val="0"/>
        </w:rPr>
        <w:t xml:space="preserve"> of </w:t>
      </w:r>
      <w:r>
        <w:rPr>
          <w:kern w:val="0"/>
        </w:rPr>
        <w:t>articles reporting on simple</w:t>
      </w:r>
      <w:r w:rsidR="005853A9">
        <w:rPr>
          <w:kern w:val="0"/>
        </w:rPr>
        <w:t xml:space="preserve"> and </w:t>
      </w:r>
      <w:r>
        <w:rPr>
          <w:kern w:val="0"/>
        </w:rPr>
        <w:t xml:space="preserve">multimodal management strategies in TMD patients. </w:t>
      </w:r>
      <w:r w:rsidR="0071223E">
        <w:rPr>
          <w:kern w:val="0"/>
        </w:rPr>
        <w:t>‘</w:t>
      </w:r>
      <w:r w:rsidR="00C13DDC">
        <w:rPr>
          <w:kern w:val="0"/>
        </w:rPr>
        <w:t>s</w:t>
      </w:r>
      <w:r>
        <w:rPr>
          <w:kern w:val="0"/>
        </w:rPr>
        <w:t>imple therapy</w:t>
      </w:r>
      <w:r w:rsidR="0071223E">
        <w:rPr>
          <w:kern w:val="0"/>
        </w:rPr>
        <w:t>’</w:t>
      </w:r>
      <w:r>
        <w:rPr>
          <w:kern w:val="0"/>
        </w:rPr>
        <w:t xml:space="preserve"> was defined as care provided by a dentist, without using technical dental interventions, whereas </w:t>
      </w:r>
      <w:r w:rsidR="0071223E">
        <w:rPr>
          <w:kern w:val="0"/>
        </w:rPr>
        <w:t>‘</w:t>
      </w:r>
      <w:r>
        <w:rPr>
          <w:kern w:val="0"/>
        </w:rPr>
        <w:t>multimodal</w:t>
      </w:r>
      <w:r w:rsidR="0071223E">
        <w:rPr>
          <w:kern w:val="0"/>
        </w:rPr>
        <w:t>’</w:t>
      </w:r>
      <w:r>
        <w:rPr>
          <w:kern w:val="0"/>
        </w:rPr>
        <w:t xml:space="preserve"> refers to at least two different modalities. We followed</w:t>
      </w:r>
      <w:r w:rsidR="003A1917">
        <w:rPr>
          <w:kern w:val="0"/>
        </w:rPr>
        <w:t xml:space="preserve"> the </w:t>
      </w:r>
      <w:r>
        <w:rPr>
          <w:kern w:val="0"/>
        </w:rPr>
        <w:t>null hypothesis</w:t>
      </w:r>
      <w:r w:rsidR="00427468">
        <w:rPr>
          <w:kern w:val="0"/>
        </w:rPr>
        <w:t xml:space="preserve"> of </w:t>
      </w:r>
      <w:r>
        <w:rPr>
          <w:kern w:val="0"/>
        </w:rPr>
        <w:t>no difference between these two approaches. Material</w:t>
      </w:r>
      <w:r w:rsidR="005853A9">
        <w:rPr>
          <w:kern w:val="0"/>
        </w:rPr>
        <w:t xml:space="preserve"> and </w:t>
      </w:r>
      <w:r>
        <w:rPr>
          <w:kern w:val="0"/>
        </w:rPr>
        <w:t>methods: A systematic search was carried out in</w:t>
      </w:r>
      <w:r w:rsidR="003A1917">
        <w:rPr>
          <w:kern w:val="0"/>
        </w:rPr>
        <w:t xml:space="preserve"> the </w:t>
      </w:r>
      <w:r>
        <w:rPr>
          <w:kern w:val="0"/>
        </w:rPr>
        <w:t xml:space="preserve">following databases: Ovid (R) </w:t>
      </w:r>
      <w:r w:rsidR="00D5664A">
        <w:rPr>
          <w:kern w:val="0"/>
        </w:rPr>
        <w:t>MEDLINE</w:t>
      </w:r>
      <w:r>
        <w:rPr>
          <w:kern w:val="0"/>
        </w:rPr>
        <w:t xml:space="preserve"> (1966-2006), Cochrane Library (Issue 3/2006),</w:t>
      </w:r>
      <w:r w:rsidR="005853A9">
        <w:rPr>
          <w:kern w:val="0"/>
        </w:rPr>
        <w:t xml:space="preserve"> and </w:t>
      </w:r>
      <w:r>
        <w:rPr>
          <w:kern w:val="0"/>
        </w:rPr>
        <w:t>Science Citation Index (1945-2006). Subsequently,</w:t>
      </w:r>
      <w:r w:rsidR="003A1917">
        <w:rPr>
          <w:kern w:val="0"/>
        </w:rPr>
        <w:t xml:space="preserve"> the </w:t>
      </w:r>
      <w:r>
        <w:rPr>
          <w:kern w:val="0"/>
        </w:rPr>
        <w:t>reference lists</w:t>
      </w:r>
      <w:r w:rsidR="00427468">
        <w:rPr>
          <w:kern w:val="0"/>
        </w:rPr>
        <w:t xml:space="preserve"> of </w:t>
      </w:r>
      <w:r w:rsidR="003A1917">
        <w:rPr>
          <w:kern w:val="0"/>
        </w:rPr>
        <w:t xml:space="preserve">the </w:t>
      </w:r>
      <w:r>
        <w:rPr>
          <w:kern w:val="0"/>
        </w:rPr>
        <w:t>identified articles were searched to find additional pertinent publications. We divided</w:t>
      </w:r>
      <w:r w:rsidR="003A1917">
        <w:rPr>
          <w:kern w:val="0"/>
        </w:rPr>
        <w:t xml:space="preserve"> the </w:t>
      </w:r>
      <w:r>
        <w:rPr>
          <w:kern w:val="0"/>
        </w:rPr>
        <w:t>study reports according to</w:t>
      </w:r>
      <w:r w:rsidR="003A1917">
        <w:rPr>
          <w:kern w:val="0"/>
        </w:rPr>
        <w:t xml:space="preserve"> the </w:t>
      </w:r>
      <w:r>
        <w:rPr>
          <w:kern w:val="0"/>
        </w:rPr>
        <w:t>main presenting symptom: (1) disc displacement without reduction, with pain; (2) TMD pain, without major psychological symptoms;</w:t>
      </w:r>
      <w:r w:rsidR="005853A9">
        <w:rPr>
          <w:kern w:val="0"/>
        </w:rPr>
        <w:t xml:space="preserve"> and </w:t>
      </w:r>
      <w:r>
        <w:rPr>
          <w:kern w:val="0"/>
        </w:rPr>
        <w:t>(3) TMD pain, with major psychological symptoms. Results: Eleven articles representing nine different clinical studies were identified. (1) In</w:t>
      </w:r>
      <w:r w:rsidR="003A1917">
        <w:rPr>
          <w:kern w:val="0"/>
        </w:rPr>
        <w:t xml:space="preserve"> the </w:t>
      </w:r>
      <w:r>
        <w:rPr>
          <w:kern w:val="0"/>
        </w:rPr>
        <w:t>disc displacement group with pain, multimodal therapy was not superior to explanation</w:t>
      </w:r>
      <w:r w:rsidR="005853A9">
        <w:rPr>
          <w:kern w:val="0"/>
        </w:rPr>
        <w:t xml:space="preserve"> and </w:t>
      </w:r>
      <w:r>
        <w:rPr>
          <w:kern w:val="0"/>
        </w:rPr>
        <w:t>advice. (2) A combination</w:t>
      </w:r>
      <w:r w:rsidR="00427468">
        <w:rPr>
          <w:kern w:val="0"/>
        </w:rPr>
        <w:t xml:space="preserve"> of </w:t>
      </w:r>
      <w:r>
        <w:rPr>
          <w:kern w:val="0"/>
        </w:rPr>
        <w:t>occl</w:t>
      </w:r>
      <w:r w:rsidR="00D5664A">
        <w:rPr>
          <w:kern w:val="0"/>
        </w:rPr>
        <w:t>USA</w:t>
      </w:r>
      <w:r>
        <w:rPr>
          <w:kern w:val="0"/>
        </w:rPr>
        <w:t>l appliance</w:t>
      </w:r>
      <w:r w:rsidR="005853A9">
        <w:rPr>
          <w:kern w:val="0"/>
        </w:rPr>
        <w:t xml:space="preserve"> and </w:t>
      </w:r>
      <w:r>
        <w:rPr>
          <w:kern w:val="0"/>
        </w:rPr>
        <w:t>biofeedback-assisted relaxation/stress management was not significantly superior to either</w:t>
      </w:r>
      <w:r w:rsidR="00427468">
        <w:rPr>
          <w:kern w:val="0"/>
        </w:rPr>
        <w:t xml:space="preserve"> of </w:t>
      </w:r>
      <w:r>
        <w:rPr>
          <w:kern w:val="0"/>
        </w:rPr>
        <w:t>these therapies after 6 months. Furthermore, brief information alone or combined with relaxation training or occl</w:t>
      </w:r>
      <w:r w:rsidR="00D5664A">
        <w:rPr>
          <w:kern w:val="0"/>
        </w:rPr>
        <w:t>USA</w:t>
      </w:r>
      <w:r>
        <w:rPr>
          <w:kern w:val="0"/>
        </w:rPr>
        <w:t>l appliance, respectively, were equally efficacious at</w:t>
      </w:r>
      <w:r w:rsidR="003A1917">
        <w:rPr>
          <w:kern w:val="0"/>
        </w:rPr>
        <w:t xml:space="preserve"> the </w:t>
      </w:r>
      <w:r>
        <w:rPr>
          <w:kern w:val="0"/>
        </w:rPr>
        <w:t>6-month follow-up</w:t>
      </w:r>
      <w:r w:rsidR="00A37C1D">
        <w:rPr>
          <w:kern w:val="0"/>
        </w:rPr>
        <w:t>. The</w:t>
      </w:r>
      <w:r>
        <w:rPr>
          <w:kern w:val="0"/>
        </w:rPr>
        <w:t>re was no superiority</w:t>
      </w:r>
      <w:r w:rsidR="00427468">
        <w:rPr>
          <w:kern w:val="0"/>
        </w:rPr>
        <w:t xml:space="preserve"> of </w:t>
      </w:r>
      <w:r>
        <w:rPr>
          <w:kern w:val="0"/>
        </w:rPr>
        <w:t>multimodal therapy including splints as compared with simple care. A slightly better outcome was reported for a combination</w:t>
      </w:r>
      <w:r w:rsidR="00427468">
        <w:rPr>
          <w:kern w:val="0"/>
        </w:rPr>
        <w:t xml:space="preserve"> of </w:t>
      </w:r>
      <w:r>
        <w:rPr>
          <w:kern w:val="0"/>
        </w:rPr>
        <w:t>education</w:t>
      </w:r>
      <w:r w:rsidR="005853A9">
        <w:rPr>
          <w:kern w:val="0"/>
        </w:rPr>
        <w:t xml:space="preserve"> and </w:t>
      </w:r>
      <w:r>
        <w:rPr>
          <w:kern w:val="0"/>
        </w:rPr>
        <w:t xml:space="preserve">home physical therapy regimen than for patient education alone. (3) In temporomandibular pain patients with major psychological disturbances, patients benefited more from a combined therapeutic approach compared with simple care. Conclusion: Current research suggests that individuals without major psychological symptoms do not require more than simple therapy. In </w:t>
      </w:r>
      <w:r>
        <w:rPr>
          <w:kern w:val="0"/>
        </w:rPr>
        <w:lastRenderedPageBreak/>
        <w:t>contrast, patients with major psychological involvement need multimodal, interdisciplinary therapeutic strategies</w:t>
      </w:r>
      <w:r w:rsidR="00A37C1D">
        <w:rPr>
          <w:kern w:val="0"/>
        </w:rPr>
        <w:t>. The</w:t>
      </w:r>
      <w:r w:rsidR="003A1917">
        <w:rPr>
          <w:kern w:val="0"/>
        </w:rPr>
        <w:t xml:space="preserve"> </w:t>
      </w:r>
      <w:r>
        <w:rPr>
          <w:kern w:val="0"/>
        </w:rPr>
        <w:t>clinician</w:t>
      </w:r>
      <w:r w:rsidR="0071223E">
        <w:rPr>
          <w:kern w:val="0"/>
        </w:rPr>
        <w:t>’</w:t>
      </w:r>
      <w:r w:rsidR="00C13DDC">
        <w:rPr>
          <w:kern w:val="0"/>
        </w:rPr>
        <w:t>s</w:t>
      </w:r>
      <w:r>
        <w:rPr>
          <w:kern w:val="0"/>
        </w:rPr>
        <w:t xml:space="preserve"> acceptance</w:t>
      </w:r>
      <w:r w:rsidR="00427468">
        <w:rPr>
          <w:kern w:val="0"/>
        </w:rPr>
        <w:t xml:space="preserve"> of </w:t>
      </w:r>
      <w:r w:rsidR="003A1917">
        <w:rPr>
          <w:kern w:val="0"/>
        </w:rPr>
        <w:t xml:space="preserve">the </w:t>
      </w:r>
      <w:r>
        <w:rPr>
          <w:kern w:val="0"/>
        </w:rPr>
        <w:t>importance</w:t>
      </w:r>
      <w:r w:rsidR="00427468">
        <w:rPr>
          <w:kern w:val="0"/>
        </w:rPr>
        <w:t xml:space="preserve"> of </w:t>
      </w:r>
      <w:r>
        <w:rPr>
          <w:kern w:val="0"/>
        </w:rPr>
        <w:t>psychological factors in TMD pain forms</w:t>
      </w:r>
      <w:r w:rsidR="003A1917">
        <w:rPr>
          <w:kern w:val="0"/>
        </w:rPr>
        <w:t xml:space="preserve"> the </w:t>
      </w:r>
      <w:r>
        <w:rPr>
          <w:kern w:val="0"/>
        </w:rPr>
        <w:t>platform for convincingly educating patients about</w:t>
      </w:r>
      <w:r w:rsidR="003A1917">
        <w:rPr>
          <w:kern w:val="0"/>
        </w:rPr>
        <w:t xml:space="preserve"> the </w:t>
      </w:r>
      <w:r>
        <w:rPr>
          <w:kern w:val="0"/>
        </w:rPr>
        <w:t>need for multimodal management.</w:t>
      </w:r>
    </w:p>
    <w:p w:rsidR="006D1994" w:rsidRDefault="006D1994" w:rsidP="006D1994">
      <w:pPr>
        <w:pStyle w:val="a3"/>
        <w:rPr>
          <w:kern w:val="0"/>
        </w:rPr>
      </w:pPr>
      <w:r>
        <w:rPr>
          <w:kern w:val="0"/>
        </w:rPr>
        <w:t xml:space="preserve">Keywords: Adolescents, Appliance, Articles, Chronic Pain, Citation, Craniomandibular Disorders, Databases, Disc Displacement, Dysfunction, Education, Efficacy, Health-Care, Interdisciplinary, Literature, Management, </w:t>
      </w:r>
      <w:r w:rsidR="00D5664A">
        <w:rPr>
          <w:kern w:val="0"/>
        </w:rPr>
        <w:t>MEDLINE</w:t>
      </w:r>
      <w:r>
        <w:rPr>
          <w:kern w:val="0"/>
        </w:rPr>
        <w:t>, Methods, Pain, Publications, Randomized Clinical-Trial, Randomized-Controlled Trial, Reduction, Regression, Research, Review, Science, Science Citation Index, Surgery, Systematic Review, Temporomandibular Pain, Therapy, Training</w:t>
      </w:r>
    </w:p>
    <w:p w:rsidR="006D1994" w:rsidRDefault="006D1994" w:rsidP="006D1994">
      <w:pPr>
        <w:pStyle w:val="a3"/>
        <w:rPr>
          <w:kern w:val="0"/>
        </w:rPr>
      </w:pPr>
      <w:r>
        <w:rPr>
          <w:rFonts w:hint="eastAsia"/>
          <w:kern w:val="0"/>
        </w:rPr>
        <w:t xml:space="preserve">? </w:t>
      </w:r>
      <w:r>
        <w:rPr>
          <w:kern w:val="0"/>
        </w:rPr>
        <w:t>Nieri, M., Clauser, C., Franceschi, D., Pagliaro, U., Saletta, D.</w:t>
      </w:r>
      <w:r w:rsidR="005853A9">
        <w:rPr>
          <w:kern w:val="0"/>
        </w:rPr>
        <w:t xml:space="preserve"> and </w:t>
      </w:r>
      <w:r>
        <w:rPr>
          <w:kern w:val="0"/>
        </w:rPr>
        <w:t>Pini-Prato, G. (2007), Randomized clinical trials in implant therapy: Relationships among methodological, statistical, clinical, paratextual features</w:t>
      </w:r>
      <w:r w:rsidR="005853A9">
        <w:rPr>
          <w:kern w:val="0"/>
        </w:rPr>
        <w:t xml:space="preserve"> and </w:t>
      </w:r>
      <w:r>
        <w:rPr>
          <w:kern w:val="0"/>
        </w:rPr>
        <w:t>number</w:t>
      </w:r>
      <w:r w:rsidR="00427468">
        <w:rPr>
          <w:kern w:val="0"/>
        </w:rPr>
        <w:t xml:space="preserve"> of </w:t>
      </w:r>
      <w:r>
        <w:rPr>
          <w:kern w:val="0"/>
        </w:rPr>
        <w:t xml:space="preserve">citations. </w:t>
      </w:r>
      <w:r>
        <w:rPr>
          <w:i/>
          <w:iCs/>
          <w:kern w:val="0"/>
        </w:rPr>
        <w:t>Clinical Oral Implants Research</w:t>
      </w:r>
      <w:r>
        <w:rPr>
          <w:kern w:val="0"/>
        </w:rPr>
        <w:t xml:space="preserve">, </w:t>
      </w:r>
      <w:r>
        <w:rPr>
          <w:b/>
          <w:bCs/>
          <w:kern w:val="0"/>
        </w:rPr>
        <w:t>18</w:t>
      </w:r>
      <w:r>
        <w:rPr>
          <w:kern w:val="0"/>
        </w:rPr>
        <w:t xml:space="preserve"> (4), 419-431.</w:t>
      </w:r>
    </w:p>
    <w:p w:rsidR="006D1994" w:rsidRDefault="006D1994" w:rsidP="006D1994">
      <w:pPr>
        <w:pStyle w:val="a3"/>
        <w:rPr>
          <w:kern w:val="0"/>
        </w:rPr>
      </w:pPr>
      <w:r>
        <w:rPr>
          <w:rFonts w:hint="eastAsia"/>
          <w:kern w:val="0"/>
        </w:rPr>
        <w:t xml:space="preserve">Full Text: </w:t>
      </w:r>
      <w:hyperlink r:id="rId383" w:history="1">
        <w:r w:rsidRPr="0082709C">
          <w:rPr>
            <w:rStyle w:val="a5"/>
            <w:kern w:val="0"/>
          </w:rPr>
          <w:t>2007\Cli Ora Imp Res18, 419.pdf</w:t>
        </w:r>
      </w:hyperlink>
    </w:p>
    <w:p w:rsidR="006D1994" w:rsidRDefault="006D1994" w:rsidP="006D1994">
      <w:pPr>
        <w:pStyle w:val="a3"/>
        <w:rPr>
          <w:kern w:val="0"/>
        </w:rPr>
      </w:pPr>
      <w:r>
        <w:rPr>
          <w:kern w:val="0"/>
        </w:rPr>
        <w:t>Abstract: Objectives:</w:t>
      </w:r>
      <w:r w:rsidR="003A1917">
        <w:rPr>
          <w:kern w:val="0"/>
        </w:rPr>
        <w:t xml:space="preserve"> the </w:t>
      </w:r>
      <w:r>
        <w:rPr>
          <w:kern w:val="0"/>
        </w:rPr>
        <w:t>aim</w:t>
      </w:r>
      <w:r w:rsidR="00427468">
        <w:rPr>
          <w:kern w:val="0"/>
        </w:rPr>
        <w:t xml:space="preserve"> of </w:t>
      </w:r>
      <w:r w:rsidR="003A1917">
        <w:rPr>
          <w:kern w:val="0"/>
        </w:rPr>
        <w:t xml:space="preserve">the </w:t>
      </w:r>
      <w:r>
        <w:rPr>
          <w:kern w:val="0"/>
        </w:rPr>
        <w:t>present study was to investigate</w:t>
      </w:r>
      <w:r w:rsidR="003A1917">
        <w:rPr>
          <w:kern w:val="0"/>
        </w:rPr>
        <w:t xml:space="preserve"> the </w:t>
      </w:r>
      <w:r>
        <w:rPr>
          <w:kern w:val="0"/>
        </w:rPr>
        <w:t>relationships among reported methodological, statistical, clinical</w:t>
      </w:r>
      <w:r w:rsidR="005853A9">
        <w:rPr>
          <w:kern w:val="0"/>
        </w:rPr>
        <w:t xml:space="preserve"> and </w:t>
      </w:r>
      <w:r>
        <w:rPr>
          <w:kern w:val="0"/>
        </w:rPr>
        <w:t>paratextual variables</w:t>
      </w:r>
      <w:r w:rsidR="00427468">
        <w:rPr>
          <w:kern w:val="0"/>
        </w:rPr>
        <w:t xml:space="preserve"> of </w:t>
      </w:r>
      <w:r>
        <w:rPr>
          <w:kern w:val="0"/>
        </w:rPr>
        <w:t>randomized clinical trials (RCTs) in implant therapy,</w:t>
      </w:r>
      <w:r w:rsidR="005853A9">
        <w:rPr>
          <w:kern w:val="0"/>
        </w:rPr>
        <w:t xml:space="preserve"> and </w:t>
      </w:r>
      <w:r>
        <w:rPr>
          <w:kern w:val="0"/>
        </w:rPr>
        <w:t>their influence on subsequent research. Materials</w:t>
      </w:r>
      <w:r w:rsidR="005853A9">
        <w:rPr>
          <w:kern w:val="0"/>
        </w:rPr>
        <w:t xml:space="preserve"> and </w:t>
      </w:r>
      <w:r>
        <w:rPr>
          <w:kern w:val="0"/>
        </w:rPr>
        <w:t>methods:</w:t>
      </w:r>
      <w:r w:rsidR="003A1917">
        <w:rPr>
          <w:kern w:val="0"/>
        </w:rPr>
        <w:t xml:space="preserve"> the </w:t>
      </w:r>
      <w:r>
        <w:rPr>
          <w:kern w:val="0"/>
        </w:rPr>
        <w:t>material consisted</w:t>
      </w:r>
      <w:r w:rsidR="00427468">
        <w:rPr>
          <w:kern w:val="0"/>
        </w:rPr>
        <w:t xml:space="preserve"> of </w:t>
      </w:r>
      <w:r w:rsidR="003A1917">
        <w:rPr>
          <w:kern w:val="0"/>
        </w:rPr>
        <w:t xml:space="preserve">the </w:t>
      </w:r>
      <w:r>
        <w:rPr>
          <w:kern w:val="0"/>
        </w:rPr>
        <w:t>RCTs in implant therapy published through</w:t>
      </w:r>
      <w:r w:rsidR="003A1917">
        <w:rPr>
          <w:kern w:val="0"/>
        </w:rPr>
        <w:t xml:space="preserve"> the </w:t>
      </w:r>
      <w:r>
        <w:rPr>
          <w:kern w:val="0"/>
        </w:rPr>
        <w:t>end</w:t>
      </w:r>
      <w:r w:rsidR="00427468">
        <w:rPr>
          <w:kern w:val="0"/>
        </w:rPr>
        <w:t xml:space="preserve"> of </w:t>
      </w:r>
      <w:r w:rsidR="003A1917">
        <w:rPr>
          <w:kern w:val="0"/>
        </w:rPr>
        <w:t xml:space="preserve">the </w:t>
      </w:r>
      <w:r>
        <w:rPr>
          <w:kern w:val="0"/>
        </w:rPr>
        <w:t>year 2000. Methodological, statistical, clinical</w:t>
      </w:r>
      <w:r w:rsidR="005853A9">
        <w:rPr>
          <w:kern w:val="0"/>
        </w:rPr>
        <w:t xml:space="preserve"> and </w:t>
      </w:r>
      <w:r>
        <w:rPr>
          <w:kern w:val="0"/>
        </w:rPr>
        <w:t>paratextual features</w:t>
      </w:r>
      <w:r w:rsidR="00427468">
        <w:rPr>
          <w:kern w:val="0"/>
        </w:rPr>
        <w:t xml:space="preserve"> of </w:t>
      </w:r>
      <w:r w:rsidR="003A1917">
        <w:rPr>
          <w:kern w:val="0"/>
        </w:rPr>
        <w:t xml:space="preserve">the </w:t>
      </w:r>
      <w:r>
        <w:rPr>
          <w:kern w:val="0"/>
        </w:rPr>
        <w:t>articles were assessed</w:t>
      </w:r>
      <w:r w:rsidR="005853A9">
        <w:rPr>
          <w:kern w:val="0"/>
        </w:rPr>
        <w:t xml:space="preserve"> and </w:t>
      </w:r>
      <w:r>
        <w:rPr>
          <w:kern w:val="0"/>
        </w:rPr>
        <w:t>recorded</w:t>
      </w:r>
      <w:r w:rsidR="00A37C1D">
        <w:rPr>
          <w:kern w:val="0"/>
        </w:rPr>
        <w:t>. The</w:t>
      </w:r>
      <w:r w:rsidR="003A1917">
        <w:rPr>
          <w:kern w:val="0"/>
        </w:rPr>
        <w:t xml:space="preserve"> </w:t>
      </w:r>
      <w:r>
        <w:rPr>
          <w:kern w:val="0"/>
        </w:rPr>
        <w:t>perceived clinical relevance was subjectively evaluated by an experienced clinician on anonymous abstracts</w:t>
      </w:r>
      <w:r w:rsidR="00A37C1D">
        <w:rPr>
          <w:kern w:val="0"/>
        </w:rPr>
        <w:t>. The</w:t>
      </w:r>
      <w:r w:rsidR="003A1917">
        <w:rPr>
          <w:kern w:val="0"/>
        </w:rPr>
        <w:t xml:space="preserve"> </w:t>
      </w:r>
      <w:r>
        <w:rPr>
          <w:kern w:val="0"/>
        </w:rPr>
        <w:t>impact on research was measured by</w:t>
      </w:r>
      <w:r w:rsidR="003A1917">
        <w:rPr>
          <w:kern w:val="0"/>
        </w:rPr>
        <w:t xml:space="preserve"> the </w:t>
      </w:r>
      <w:r>
        <w:rPr>
          <w:kern w:val="0"/>
        </w:rPr>
        <w:t>number</w:t>
      </w:r>
      <w:r w:rsidR="00427468">
        <w:rPr>
          <w:kern w:val="0"/>
        </w:rPr>
        <w:t xml:space="preserve"> of </w:t>
      </w:r>
      <w:r>
        <w:rPr>
          <w:kern w:val="0"/>
        </w:rPr>
        <w:t>citations found in</w:t>
      </w:r>
      <w:r w:rsidR="003A1917">
        <w:rPr>
          <w:kern w:val="0"/>
        </w:rPr>
        <w:t xml:space="preserve"> the </w:t>
      </w:r>
      <w:r>
        <w:rPr>
          <w:kern w:val="0"/>
        </w:rPr>
        <w:t>Science Citation Index. A new statistical technique (Structural learning</w:t>
      </w:r>
      <w:r w:rsidR="00427468">
        <w:rPr>
          <w:kern w:val="0"/>
        </w:rPr>
        <w:t xml:space="preserve"> of </w:t>
      </w:r>
      <w:r>
        <w:rPr>
          <w:kern w:val="0"/>
        </w:rPr>
        <w:t>Bayesian Networks) was used to assess</w:t>
      </w:r>
      <w:r w:rsidR="003A1917">
        <w:rPr>
          <w:kern w:val="0"/>
        </w:rPr>
        <w:t xml:space="preserve"> the </w:t>
      </w:r>
      <w:r>
        <w:rPr>
          <w:kern w:val="0"/>
        </w:rPr>
        <w:t>relationships among</w:t>
      </w:r>
      <w:r w:rsidR="003A1917">
        <w:rPr>
          <w:kern w:val="0"/>
        </w:rPr>
        <w:t xml:space="preserve"> the </w:t>
      </w:r>
      <w:r>
        <w:rPr>
          <w:kern w:val="0"/>
        </w:rPr>
        <w:t>considered variables. Results: Descriptive statistics revealed that</w:t>
      </w:r>
      <w:r w:rsidR="003A1917">
        <w:rPr>
          <w:kern w:val="0"/>
        </w:rPr>
        <w:t xml:space="preserve"> the </w:t>
      </w:r>
      <w:r>
        <w:rPr>
          <w:kern w:val="0"/>
        </w:rPr>
        <w:t>reported methodology</w:t>
      </w:r>
      <w:r w:rsidR="005853A9">
        <w:rPr>
          <w:kern w:val="0"/>
        </w:rPr>
        <w:t xml:space="preserve"> and </w:t>
      </w:r>
      <w:r>
        <w:rPr>
          <w:kern w:val="0"/>
        </w:rPr>
        <w:t>statistics</w:t>
      </w:r>
      <w:r w:rsidR="00427468">
        <w:rPr>
          <w:kern w:val="0"/>
        </w:rPr>
        <w:t xml:space="preserve"> of </w:t>
      </w:r>
      <w:r>
        <w:rPr>
          <w:kern w:val="0"/>
        </w:rPr>
        <w:t>RCTs in implant therapy were defective. Follow-up</w:t>
      </w:r>
      <w:r w:rsidR="00427468">
        <w:rPr>
          <w:kern w:val="0"/>
        </w:rPr>
        <w:t xml:space="preserve"> of </w:t>
      </w:r>
      <w:r w:rsidR="003A1917">
        <w:rPr>
          <w:kern w:val="0"/>
        </w:rPr>
        <w:t xml:space="preserve">the </w:t>
      </w:r>
      <w:r>
        <w:rPr>
          <w:kern w:val="0"/>
        </w:rPr>
        <w:t>studies was generally short</w:t>
      </w:r>
      <w:r w:rsidR="00A37C1D">
        <w:rPr>
          <w:kern w:val="0"/>
        </w:rPr>
        <w:t>. The</w:t>
      </w:r>
      <w:r w:rsidR="003A1917">
        <w:rPr>
          <w:kern w:val="0"/>
        </w:rPr>
        <w:t xml:space="preserve"> </w:t>
      </w:r>
      <w:r>
        <w:rPr>
          <w:kern w:val="0"/>
        </w:rPr>
        <w:t>perceived clinical relevance appeared to be associated with</w:t>
      </w:r>
      <w:r w:rsidR="003A1917">
        <w:rPr>
          <w:kern w:val="0"/>
        </w:rPr>
        <w:t xml:space="preserve"> the </w:t>
      </w:r>
      <w:r>
        <w:rPr>
          <w:kern w:val="0"/>
        </w:rPr>
        <w:t>objectives</w:t>
      </w:r>
      <w:r w:rsidR="00427468">
        <w:rPr>
          <w:kern w:val="0"/>
        </w:rPr>
        <w:t xml:space="preserve"> of </w:t>
      </w:r>
      <w:r w:rsidR="003A1917">
        <w:rPr>
          <w:kern w:val="0"/>
        </w:rPr>
        <w:t xml:space="preserve">the </w:t>
      </w:r>
      <w:r>
        <w:rPr>
          <w:kern w:val="0"/>
        </w:rPr>
        <w:t>studies</w:t>
      </w:r>
      <w:r w:rsidR="005853A9">
        <w:rPr>
          <w:kern w:val="0"/>
        </w:rPr>
        <w:t xml:space="preserve"> and </w:t>
      </w:r>
      <w:r>
        <w:rPr>
          <w:kern w:val="0"/>
        </w:rPr>
        <w:t>with</w:t>
      </w:r>
      <w:r w:rsidR="003A1917">
        <w:rPr>
          <w:kern w:val="0"/>
        </w:rPr>
        <w:t xml:space="preserve"> the </w:t>
      </w:r>
      <w:r>
        <w:rPr>
          <w:kern w:val="0"/>
        </w:rPr>
        <w:t>number</w:t>
      </w:r>
      <w:r w:rsidR="00427468">
        <w:rPr>
          <w:kern w:val="0"/>
        </w:rPr>
        <w:t xml:space="preserve"> of </w:t>
      </w:r>
      <w:r>
        <w:rPr>
          <w:kern w:val="0"/>
        </w:rPr>
        <w:t>published images in</w:t>
      </w:r>
      <w:r w:rsidR="003A1917">
        <w:rPr>
          <w:kern w:val="0"/>
        </w:rPr>
        <w:t xml:space="preserve"> the </w:t>
      </w:r>
      <w:r>
        <w:rPr>
          <w:kern w:val="0"/>
        </w:rPr>
        <w:t>original articles</w:t>
      </w:r>
      <w:r w:rsidR="00A37C1D">
        <w:rPr>
          <w:kern w:val="0"/>
        </w:rPr>
        <w:t>. The</w:t>
      </w:r>
      <w:r w:rsidR="003A1917">
        <w:rPr>
          <w:kern w:val="0"/>
        </w:rPr>
        <w:t xml:space="preserve"> </w:t>
      </w:r>
      <w:r>
        <w:rPr>
          <w:kern w:val="0"/>
        </w:rPr>
        <w:t>impact on research was related to</w:t>
      </w:r>
      <w:r w:rsidR="003A1917">
        <w:rPr>
          <w:kern w:val="0"/>
        </w:rPr>
        <w:t xml:space="preserve"> the </w:t>
      </w:r>
      <w:r>
        <w:rPr>
          <w:kern w:val="0"/>
        </w:rPr>
        <w:t>nationality</w:t>
      </w:r>
      <w:r w:rsidR="00427468">
        <w:rPr>
          <w:kern w:val="0"/>
        </w:rPr>
        <w:t xml:space="preserve"> of </w:t>
      </w:r>
      <w:r w:rsidR="003A1917">
        <w:rPr>
          <w:kern w:val="0"/>
        </w:rPr>
        <w:t xml:space="preserve">the </w:t>
      </w:r>
      <w:r>
        <w:rPr>
          <w:kern w:val="0"/>
        </w:rPr>
        <w:t>involved institutions</w:t>
      </w:r>
      <w:r w:rsidR="005853A9">
        <w:rPr>
          <w:kern w:val="0"/>
        </w:rPr>
        <w:t xml:space="preserve"> and </w:t>
      </w:r>
      <w:r>
        <w:rPr>
          <w:kern w:val="0"/>
        </w:rPr>
        <w:t>to</w:t>
      </w:r>
      <w:r w:rsidR="003A1917">
        <w:rPr>
          <w:kern w:val="0"/>
        </w:rPr>
        <w:t xml:space="preserve"> the </w:t>
      </w:r>
      <w:r>
        <w:rPr>
          <w:kern w:val="0"/>
        </w:rPr>
        <w:t>number</w:t>
      </w:r>
      <w:r w:rsidR="00427468">
        <w:rPr>
          <w:kern w:val="0"/>
        </w:rPr>
        <w:t xml:space="preserve"> of </w:t>
      </w:r>
      <w:r>
        <w:rPr>
          <w:kern w:val="0"/>
        </w:rPr>
        <w:t>published images. Conclusions: RCTs in implant therapy (until 2000) show important methodological</w:t>
      </w:r>
      <w:r w:rsidR="005853A9">
        <w:rPr>
          <w:kern w:val="0"/>
        </w:rPr>
        <w:t xml:space="preserve"> and </w:t>
      </w:r>
      <w:r>
        <w:rPr>
          <w:kern w:val="0"/>
        </w:rPr>
        <w:t>statistical flaws</w:t>
      </w:r>
      <w:r w:rsidR="005853A9">
        <w:rPr>
          <w:kern w:val="0"/>
        </w:rPr>
        <w:t xml:space="preserve"> and </w:t>
      </w:r>
      <w:r>
        <w:rPr>
          <w:kern w:val="0"/>
        </w:rPr>
        <w:t>may not be appropriate for guiding clinicians in their practice</w:t>
      </w:r>
      <w:r w:rsidR="00A37C1D">
        <w:rPr>
          <w:kern w:val="0"/>
        </w:rPr>
        <w:t>. The</w:t>
      </w:r>
      <w:r w:rsidR="003A1917">
        <w:rPr>
          <w:kern w:val="0"/>
        </w:rPr>
        <w:t xml:space="preserve"> </w:t>
      </w:r>
      <w:r>
        <w:rPr>
          <w:kern w:val="0"/>
        </w:rPr>
        <w:t>methodological</w:t>
      </w:r>
      <w:r w:rsidR="005853A9">
        <w:rPr>
          <w:kern w:val="0"/>
        </w:rPr>
        <w:t xml:space="preserve"> and </w:t>
      </w:r>
      <w:r>
        <w:rPr>
          <w:kern w:val="0"/>
        </w:rPr>
        <w:t>statistical quality</w:t>
      </w:r>
      <w:r w:rsidR="00427468">
        <w:rPr>
          <w:kern w:val="0"/>
        </w:rPr>
        <w:t xml:space="preserve"> of </w:t>
      </w:r>
      <w:r w:rsidR="003A1917">
        <w:rPr>
          <w:kern w:val="0"/>
        </w:rPr>
        <w:t xml:space="preserve">the </w:t>
      </w:r>
      <w:r>
        <w:rPr>
          <w:kern w:val="0"/>
        </w:rPr>
        <w:t>studies did not appear to affect their impact on practice</w:t>
      </w:r>
      <w:r w:rsidR="005853A9">
        <w:rPr>
          <w:kern w:val="0"/>
        </w:rPr>
        <w:t xml:space="preserve"> and </w:t>
      </w:r>
      <w:r>
        <w:rPr>
          <w:kern w:val="0"/>
        </w:rPr>
        <w:t>research. Bayesian Networks suggest new</w:t>
      </w:r>
      <w:r w:rsidR="005853A9">
        <w:rPr>
          <w:kern w:val="0"/>
        </w:rPr>
        <w:t xml:space="preserve"> and </w:t>
      </w:r>
      <w:r>
        <w:rPr>
          <w:kern w:val="0"/>
        </w:rPr>
        <w:t>unexpected relationships among</w:t>
      </w:r>
      <w:r w:rsidR="003A1917">
        <w:rPr>
          <w:kern w:val="0"/>
        </w:rPr>
        <w:t xml:space="preserve"> the </w:t>
      </w:r>
      <w:r>
        <w:rPr>
          <w:kern w:val="0"/>
        </w:rPr>
        <w:t>methodological, statistical, clinical</w:t>
      </w:r>
      <w:r w:rsidR="005853A9">
        <w:rPr>
          <w:kern w:val="0"/>
        </w:rPr>
        <w:t xml:space="preserve"> and </w:t>
      </w:r>
      <w:r>
        <w:rPr>
          <w:kern w:val="0"/>
        </w:rPr>
        <w:t>paratextual features</w:t>
      </w:r>
      <w:r w:rsidR="00427468">
        <w:rPr>
          <w:kern w:val="0"/>
        </w:rPr>
        <w:t xml:space="preserve"> of </w:t>
      </w:r>
      <w:r>
        <w:rPr>
          <w:kern w:val="0"/>
        </w:rPr>
        <w:t>RCTs.</w:t>
      </w:r>
    </w:p>
    <w:p w:rsidR="006D1994" w:rsidRDefault="006D1994" w:rsidP="006D1994">
      <w:pPr>
        <w:pStyle w:val="a3"/>
        <w:rPr>
          <w:kern w:val="0"/>
        </w:rPr>
      </w:pPr>
      <w:r>
        <w:rPr>
          <w:kern w:val="0"/>
        </w:rPr>
        <w:t xml:space="preserve">Keywords: 2 Treatment Modalities, Articles, Bayesian Networks, Blade-Vent Implants, Citation, Citations, Clinical Features, Clinical Trials, Cooperative Dental Implant, </w:t>
      </w:r>
      <w:r>
        <w:rPr>
          <w:kern w:val="0"/>
        </w:rPr>
        <w:lastRenderedPageBreak/>
        <w:t>Dental Implants, Fixed Partial Dentures, Guided Bone Regeneration, Impact, Learning, Methodological Features, Methodology, Methods, Networks, Paratextual Features, Patient Satisfaction, Randomized Clinical Trials, Removable Partial Dentures, Research, Retained Mandibular Overdentures, Science, Science Citation Index, Stage-II Surgery, Statistical Features, Statistics, Structural, Therapy, Within-Subject Comparisons</w:t>
      </w:r>
    </w:p>
    <w:p w:rsidR="00F325A1" w:rsidRDefault="00F325A1" w:rsidP="00F325A1">
      <w:pPr>
        <w:pStyle w:val="a3"/>
        <w:rPr>
          <w:kern w:val="0"/>
        </w:rPr>
      </w:pPr>
      <w:r>
        <w:rPr>
          <w:rFonts w:hint="eastAsia"/>
          <w:kern w:val="0"/>
        </w:rPr>
        <w:t xml:space="preserve">? </w:t>
      </w:r>
      <w:r>
        <w:rPr>
          <w:kern w:val="0"/>
        </w:rPr>
        <w:t>Teughels, W., Merheb, J.</w:t>
      </w:r>
      <w:r w:rsidR="005853A9">
        <w:rPr>
          <w:kern w:val="0"/>
        </w:rPr>
        <w:t xml:space="preserve"> and </w:t>
      </w:r>
      <w:r>
        <w:rPr>
          <w:kern w:val="0"/>
        </w:rPr>
        <w:t>Quirynen, M. (2009), Critical horizontal dimensions</w:t>
      </w:r>
      <w:r w:rsidR="00427468">
        <w:rPr>
          <w:kern w:val="0"/>
        </w:rPr>
        <w:t xml:space="preserve"> of </w:t>
      </w:r>
      <w:r>
        <w:rPr>
          <w:kern w:val="0"/>
        </w:rPr>
        <w:t>interproximal</w:t>
      </w:r>
      <w:r w:rsidR="005853A9">
        <w:rPr>
          <w:kern w:val="0"/>
        </w:rPr>
        <w:t xml:space="preserve"> and </w:t>
      </w:r>
      <w:r>
        <w:rPr>
          <w:kern w:val="0"/>
        </w:rPr>
        <w:t xml:space="preserve">buccal bone around implants for optimal aesthetic outcomes: A systematic review. </w:t>
      </w:r>
      <w:r>
        <w:rPr>
          <w:i/>
          <w:iCs/>
          <w:kern w:val="0"/>
        </w:rPr>
        <w:t>Clinical Oral Implants Research</w:t>
      </w:r>
      <w:r>
        <w:rPr>
          <w:kern w:val="0"/>
        </w:rPr>
        <w:t xml:space="preserve">, </w:t>
      </w:r>
      <w:r>
        <w:rPr>
          <w:b/>
          <w:bCs/>
          <w:kern w:val="0"/>
        </w:rPr>
        <w:t>20</w:t>
      </w:r>
      <w:r>
        <w:rPr>
          <w:kern w:val="0"/>
        </w:rPr>
        <w:t>, 134-145.</w:t>
      </w:r>
    </w:p>
    <w:p w:rsidR="00F325A1" w:rsidRDefault="00F325A1" w:rsidP="00F325A1">
      <w:pPr>
        <w:pStyle w:val="a3"/>
        <w:rPr>
          <w:kern w:val="0"/>
        </w:rPr>
      </w:pPr>
      <w:r>
        <w:rPr>
          <w:rFonts w:hint="eastAsia"/>
          <w:kern w:val="0"/>
        </w:rPr>
        <w:t xml:space="preserve">Full Text: </w:t>
      </w:r>
      <w:r>
        <w:rPr>
          <w:kern w:val="0"/>
        </w:rPr>
        <w:t>200</w:t>
      </w:r>
      <w:r>
        <w:rPr>
          <w:rFonts w:hint="eastAsia"/>
          <w:kern w:val="0"/>
        </w:rPr>
        <w:t>9</w:t>
      </w:r>
      <w:r>
        <w:rPr>
          <w:kern w:val="0"/>
        </w:rPr>
        <w:t>\Cli Ora Imp Res</w:t>
      </w:r>
      <w:r>
        <w:rPr>
          <w:rFonts w:hint="eastAsia"/>
          <w:kern w:val="0"/>
        </w:rPr>
        <w:t>20</w:t>
      </w:r>
      <w:r>
        <w:rPr>
          <w:kern w:val="0"/>
        </w:rPr>
        <w:t xml:space="preserve">, </w:t>
      </w:r>
      <w:r>
        <w:rPr>
          <w:rFonts w:hint="eastAsia"/>
          <w:kern w:val="0"/>
        </w:rPr>
        <w:t>134</w:t>
      </w:r>
      <w:r w:rsidRPr="006A4850">
        <w:rPr>
          <w:kern w:val="0"/>
        </w:rPr>
        <w:t>.pdf</w:t>
      </w:r>
    </w:p>
    <w:p w:rsidR="00F325A1" w:rsidRDefault="00F325A1" w:rsidP="00F325A1">
      <w:pPr>
        <w:pStyle w:val="a3"/>
        <w:rPr>
          <w:kern w:val="0"/>
        </w:rPr>
      </w:pPr>
      <w:r>
        <w:rPr>
          <w:kern w:val="0"/>
        </w:rPr>
        <w:t>Abstract: Objective This systematic review was initiated to explore</w:t>
      </w:r>
      <w:r w:rsidR="003A1917">
        <w:rPr>
          <w:kern w:val="0"/>
        </w:rPr>
        <w:t xml:space="preserve"> the </w:t>
      </w:r>
      <w:r>
        <w:rPr>
          <w:kern w:val="0"/>
        </w:rPr>
        <w:t>critical horizontal interproximal</w:t>
      </w:r>
      <w:r w:rsidR="005853A9">
        <w:rPr>
          <w:kern w:val="0"/>
        </w:rPr>
        <w:t xml:space="preserve"> and </w:t>
      </w:r>
      <w:r>
        <w:rPr>
          <w:kern w:val="0"/>
        </w:rPr>
        <w:t>buccal bone dimensions around implants for an optimal aesthetic outcome. Materials</w:t>
      </w:r>
      <w:r w:rsidR="005853A9">
        <w:rPr>
          <w:kern w:val="0"/>
        </w:rPr>
        <w:t xml:space="preserve"> and </w:t>
      </w:r>
      <w:r>
        <w:rPr>
          <w:kern w:val="0"/>
        </w:rPr>
        <w:t>methods PUBMED,</w:t>
      </w:r>
      <w:r w:rsidR="003A1917">
        <w:rPr>
          <w:kern w:val="0"/>
        </w:rPr>
        <w:t xml:space="preserve"> the </w:t>
      </w:r>
      <w:r>
        <w:rPr>
          <w:kern w:val="0"/>
        </w:rPr>
        <w:t>Cochrane</w:t>
      </w:r>
      <w:r w:rsidR="005853A9">
        <w:rPr>
          <w:kern w:val="0"/>
        </w:rPr>
        <w:t xml:space="preserve"> and </w:t>
      </w:r>
      <w:r w:rsidR="003A1917">
        <w:rPr>
          <w:kern w:val="0"/>
        </w:rPr>
        <w:t xml:space="preserve">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 were searched to identify eligible human studies that reflect on</w:t>
      </w:r>
      <w:r w:rsidR="003A1917">
        <w:rPr>
          <w:kern w:val="0"/>
        </w:rPr>
        <w:t xml:space="preserve"> the </w:t>
      </w:r>
      <w:r>
        <w:rPr>
          <w:kern w:val="0"/>
        </w:rPr>
        <w:t>aesthetic outcome</w:t>
      </w:r>
      <w:r w:rsidR="00427468">
        <w:rPr>
          <w:kern w:val="0"/>
        </w:rPr>
        <w:t xml:space="preserve"> of </w:t>
      </w:r>
      <w:r>
        <w:rPr>
          <w:kern w:val="0"/>
        </w:rPr>
        <w:t>implants in relation to</w:t>
      </w:r>
      <w:r w:rsidR="003A1917">
        <w:rPr>
          <w:kern w:val="0"/>
        </w:rPr>
        <w:t xml:space="preserve"> the </w:t>
      </w:r>
      <w:r>
        <w:rPr>
          <w:kern w:val="0"/>
        </w:rPr>
        <w:t>thickness</w:t>
      </w:r>
      <w:r w:rsidR="00427468">
        <w:rPr>
          <w:kern w:val="0"/>
        </w:rPr>
        <w:t xml:space="preserve"> of </w:t>
      </w:r>
      <w:r w:rsidR="003A1917">
        <w:rPr>
          <w:kern w:val="0"/>
        </w:rPr>
        <w:t xml:space="preserve">the </w:t>
      </w:r>
      <w:r>
        <w:rPr>
          <w:kern w:val="0"/>
        </w:rPr>
        <w:t>buccal bone after osteotomy preparation,</w:t>
      </w:r>
      <w:r w:rsidR="005853A9">
        <w:rPr>
          <w:kern w:val="0"/>
        </w:rPr>
        <w:t xml:space="preserve"> and </w:t>
      </w:r>
      <w:r>
        <w:rPr>
          <w:kern w:val="0"/>
        </w:rPr>
        <w:t>in relation to</w:t>
      </w:r>
      <w:r w:rsidR="003A1917">
        <w:rPr>
          <w:kern w:val="0"/>
        </w:rPr>
        <w:t xml:space="preserve"> the </w:t>
      </w:r>
      <w:r>
        <w:rPr>
          <w:kern w:val="0"/>
        </w:rPr>
        <w:t>tooth-to-implant or interimplant distance. Vertical bone dimensions were not considered. Results</w:t>
      </w:r>
      <w:r w:rsidR="005853A9">
        <w:rPr>
          <w:kern w:val="0"/>
        </w:rPr>
        <w:t xml:space="preserve"> and </w:t>
      </w:r>
      <w:r>
        <w:rPr>
          <w:kern w:val="0"/>
        </w:rPr>
        <w:t>discussion Articles relating horizontal buccal bone dimensions to aesthetic outcome could not be retrieved</w:t>
      </w:r>
      <w:r w:rsidR="00A37C1D">
        <w:rPr>
          <w:kern w:val="0"/>
        </w:rPr>
        <w:t>. The</w:t>
      </w:r>
      <w:r w:rsidR="003A1917">
        <w:rPr>
          <w:kern w:val="0"/>
        </w:rPr>
        <w:t xml:space="preserve"> </w:t>
      </w:r>
      <w:r>
        <w:rPr>
          <w:kern w:val="0"/>
        </w:rPr>
        <w:t>relation between horizontal buccal bone dimensions</w:t>
      </w:r>
      <w:r w:rsidR="005853A9">
        <w:rPr>
          <w:kern w:val="0"/>
        </w:rPr>
        <w:t xml:space="preserve"> and </w:t>
      </w:r>
      <w:r>
        <w:rPr>
          <w:kern w:val="0"/>
        </w:rPr>
        <w:t>vertical bone resorption could also not be confirmed. In relation to horizontal interproximal bone dimensions, some uniformity was detected among</w:t>
      </w:r>
      <w:r w:rsidR="003A1917">
        <w:rPr>
          <w:kern w:val="0"/>
        </w:rPr>
        <w:t xml:space="preserve"> the </w:t>
      </w:r>
      <w:r>
        <w:rPr>
          <w:kern w:val="0"/>
        </w:rPr>
        <w:t>limited number</w:t>
      </w:r>
      <w:r w:rsidR="00427468">
        <w:rPr>
          <w:kern w:val="0"/>
        </w:rPr>
        <w:t xml:space="preserve"> of </w:t>
      </w:r>
      <w:r>
        <w:rPr>
          <w:kern w:val="0"/>
        </w:rPr>
        <w:t>articles. Conclusions Interproximally, a 3 mm interelement distance seems to result more frequently in an adequate papillary fill. In</w:t>
      </w:r>
      <w:r w:rsidR="003A1917">
        <w:rPr>
          <w:kern w:val="0"/>
        </w:rPr>
        <w:t xml:space="preserve"> the </w:t>
      </w:r>
      <w:r>
        <w:rPr>
          <w:kern w:val="0"/>
        </w:rPr>
        <w:t>bucco-oral direction, there is insufficient evidence to set a threshold for minimal buccal bone thickness to ensure an optimal aesthetic outcome. Many additional factors appear to be</w:t>
      </w:r>
      <w:r w:rsidR="00427468">
        <w:rPr>
          <w:kern w:val="0"/>
        </w:rPr>
        <w:t xml:space="preserve"> of </w:t>
      </w:r>
      <w:r>
        <w:rPr>
          <w:kern w:val="0"/>
        </w:rPr>
        <w:t>importance</w:t>
      </w:r>
      <w:r w:rsidR="005853A9">
        <w:rPr>
          <w:kern w:val="0"/>
        </w:rPr>
        <w:t xml:space="preserve"> and </w:t>
      </w:r>
      <w:r>
        <w:rPr>
          <w:kern w:val="0"/>
        </w:rPr>
        <w:t>interact with each other. To cite this article:Teughels W, Merheb J, Quirynen M. Critical horizontal dimensions</w:t>
      </w:r>
      <w:r w:rsidR="00427468">
        <w:rPr>
          <w:kern w:val="0"/>
        </w:rPr>
        <w:t xml:space="preserve"> of </w:t>
      </w:r>
      <w:r>
        <w:rPr>
          <w:kern w:val="0"/>
        </w:rPr>
        <w:t>interproximal</w:t>
      </w:r>
      <w:r w:rsidR="005853A9">
        <w:rPr>
          <w:kern w:val="0"/>
        </w:rPr>
        <w:t xml:space="preserve"> and </w:t>
      </w:r>
      <w:r>
        <w:rPr>
          <w:kern w:val="0"/>
        </w:rPr>
        <w:t>buccal bone around implants for optimal aesthetic outcomes: a systematic review.Clin. Oral Impl. Res. 20 (Suppl. 4), 2009; 134-145.doi: 10.1111/j.1600-0501.2009.01782.x.</w:t>
      </w:r>
    </w:p>
    <w:p w:rsidR="00F325A1" w:rsidRDefault="00F325A1" w:rsidP="00F325A1">
      <w:pPr>
        <w:pStyle w:val="a3"/>
        <w:rPr>
          <w:kern w:val="0"/>
        </w:rPr>
      </w:pPr>
      <w:r>
        <w:rPr>
          <w:kern w:val="0"/>
        </w:rPr>
        <w:t>Keywords: Adjacent Implants, Anterior Maxilla, Articles, Bone, Buccal Bone, Cochrane, Critical, Databases, Fresh Extraction Sockets, Human, Immediate Restoration, Implant Position, Implants, Interimplant Distance, Interimplant Distance, Interproximal Bone</w:t>
      </w:r>
      <w:r w:rsidR="00D5664A">
        <w:rPr>
          <w:kern w:val="0"/>
        </w:rPr>
        <w:t>, ISI,</w:t>
      </w:r>
      <w:r>
        <w:rPr>
          <w:kern w:val="0"/>
        </w:rPr>
        <w:t xml:space="preserve"> Life-Table Analysis, Outcome, Outcomes, Patient Satisfaction, Preparation, Prospective Multicenter, Review, Science, Single-Tooth Implants, Soft-Tissue, Systematic, Systematic Review, Tooth-Implant Distance</w:t>
      </w:r>
    </w:p>
    <w:p w:rsidR="005D224E" w:rsidRDefault="005D224E" w:rsidP="005D224E">
      <w:pPr>
        <w:pStyle w:val="a3"/>
        <w:rPr>
          <w:kern w:val="0"/>
        </w:rPr>
      </w:pPr>
      <w:r>
        <w:rPr>
          <w:rFonts w:hint="eastAsia"/>
          <w:kern w:val="0"/>
        </w:rPr>
        <w:t xml:space="preserve">? </w:t>
      </w:r>
      <w:r>
        <w:rPr>
          <w:kern w:val="0"/>
        </w:rPr>
        <w:t xml:space="preserve">Strietzel, F.P., Neumann, K. and Hertel, M. (2015), Impact of platform switching on marginal peri-implant bone-level changes. A systematic review and meta-analysis. </w:t>
      </w:r>
      <w:r>
        <w:rPr>
          <w:i/>
          <w:iCs/>
          <w:kern w:val="0"/>
        </w:rPr>
        <w:t>Clinical Oral Implants Research</w:t>
      </w:r>
      <w:r>
        <w:rPr>
          <w:kern w:val="0"/>
        </w:rPr>
        <w:t xml:space="preserve">, </w:t>
      </w:r>
      <w:r>
        <w:rPr>
          <w:b/>
          <w:bCs/>
          <w:kern w:val="0"/>
        </w:rPr>
        <w:t>26</w:t>
      </w:r>
      <w:r>
        <w:rPr>
          <w:kern w:val="0"/>
        </w:rPr>
        <w:t xml:space="preserve"> (3), 342-358.</w:t>
      </w:r>
    </w:p>
    <w:p w:rsidR="005D224E" w:rsidRDefault="005D224E" w:rsidP="005D224E">
      <w:pPr>
        <w:pStyle w:val="a3"/>
        <w:rPr>
          <w:kern w:val="0"/>
        </w:rPr>
      </w:pPr>
      <w:r>
        <w:rPr>
          <w:rFonts w:hint="eastAsia"/>
          <w:kern w:val="0"/>
        </w:rPr>
        <w:t xml:space="preserve">Full Text: </w:t>
      </w:r>
      <w:r w:rsidRPr="008833E1">
        <w:rPr>
          <w:kern w:val="0"/>
        </w:rPr>
        <w:t>20</w:t>
      </w:r>
      <w:r>
        <w:rPr>
          <w:rFonts w:hint="eastAsia"/>
          <w:kern w:val="0"/>
        </w:rPr>
        <w:t>15</w:t>
      </w:r>
      <w:r w:rsidRPr="008833E1">
        <w:rPr>
          <w:kern w:val="0"/>
        </w:rPr>
        <w:t>\Cli Ora Imp Res2</w:t>
      </w:r>
      <w:r>
        <w:rPr>
          <w:rFonts w:hint="eastAsia"/>
          <w:kern w:val="0"/>
        </w:rPr>
        <w:t>6</w:t>
      </w:r>
      <w:r w:rsidRPr="008833E1">
        <w:rPr>
          <w:kern w:val="0"/>
        </w:rPr>
        <w:t xml:space="preserve">, </w:t>
      </w:r>
      <w:r>
        <w:rPr>
          <w:rFonts w:hint="eastAsia"/>
          <w:kern w:val="0"/>
        </w:rPr>
        <w:t>342</w:t>
      </w:r>
      <w:r w:rsidRPr="008833E1">
        <w:rPr>
          <w:kern w:val="0"/>
        </w:rPr>
        <w:t>.pdf</w:t>
      </w:r>
    </w:p>
    <w:p w:rsidR="005D224E" w:rsidRDefault="005D224E" w:rsidP="005D224E">
      <w:pPr>
        <w:pStyle w:val="a3"/>
        <w:rPr>
          <w:kern w:val="0"/>
        </w:rPr>
      </w:pPr>
      <w:r>
        <w:rPr>
          <w:kern w:val="0"/>
        </w:rPr>
        <w:lastRenderedPageBreak/>
        <w:t>Abstract: ObjectiveTo address the focused question, is there an impact of platform switching (PS) on marginal bone level (MBL) changes around endosseous implants compared to implants with platform matching (PM) implant-abutment configurations? Material and methodsA systematic literature search was conducted using electronic databases PubMed, Web of Science, Journals@Ovid Full Text and Embase, manual search for human randomized clinical trials (RCTs) and prospective clinical controlled cohort studies (PCCS) reporting on MBL changes at implants with PS-, compared with PM-implant-abutment connections, published between 2005 and June 2013. ResultsTwenty-two publications were eligible for the systematic review. The qualitative analysis of 15 RCTs and seven PCCS revealed more studies (13 RCTs and three PCCS) showing a significantly less mean marginal bone loss around implants with PS- compared to PM-implant-abutment connections, indicating a clear tendency favoring the PS technique. A meta-analysis including 13 RCTs revealed a significantly less mean MBL change (0.49mm [CI95% 0.38; 0.60]) at PS implants, compared with PM implants (1.01mm [CI95% 0.62; 1.40] (P&lt;0.0001). ConclusionsThe meta-analysis revealed a significantly less mean MBL change at implants with a PS compared to PM-implant-abutment configuration. Studies included herein showed an unclear as well as high risk of bias mostly, and relatively short follow-up periods. The qualitative analysis revealed a tendency favoring the PS technique to prevent or minimize peri-implant marginal bone loss compared with PM technique. Due to heterogeneity of the included studies, their results require cautious interpretation.</w:t>
      </w:r>
    </w:p>
    <w:p w:rsidR="005D224E" w:rsidRDefault="005D224E" w:rsidP="005D224E">
      <w:pPr>
        <w:pStyle w:val="a3"/>
        <w:rPr>
          <w:kern w:val="0"/>
        </w:rPr>
      </w:pPr>
      <w:r>
        <w:rPr>
          <w:kern w:val="0"/>
        </w:rPr>
        <w:t>Keywords: Abutment Diameters, Analysis, Bias, Bone, Bone Loss, Changes, Clinical, Clinical Trials, Clinical-Trial, Cohort, Databases, Dental Implants, Follow-Up, Heterogeneity, Human, Impact, Literature, Literature Search, Mar, Matching, Meta Analysis, Meta-Analysis, Metaanalysis, Nonmatching Implant, PCC, Peri-Implant Marginal Bone Level, Platform Switching, Prevent, Prospective, Publications, Pubmed, Qualitative, Qualitative Analysis, Radiographic Evaluation, Randomized, Randomized-Controlled-Trial, Reporting, Review, Risk, Science, Smoking, Submerged Titanium Implants, Systematic, Systematic Literature Search, Systematic Review, Treated Periodontitis, Web, Web Of Science</w:t>
      </w:r>
    </w:p>
    <w:p w:rsidR="00D87205" w:rsidRPr="001A3D2B" w:rsidRDefault="00D87205" w:rsidP="00D87205">
      <w:pPr>
        <w:pStyle w:val="1"/>
      </w:pPr>
      <w:r w:rsidRPr="001A3D2B">
        <w:br w:type="page"/>
      </w:r>
      <w:bookmarkStart w:id="298" w:name="_Toc420815040"/>
      <w:r w:rsidRPr="001A3D2B">
        <w:lastRenderedPageBreak/>
        <w:t xml:space="preserve">Title: </w:t>
      </w:r>
      <w:r w:rsidRPr="00D87205">
        <w:t>Clinical Oral Investigations</w:t>
      </w:r>
      <w:bookmarkEnd w:id="298"/>
    </w:p>
    <w:p w:rsidR="00D87205" w:rsidRPr="001A3D2B" w:rsidRDefault="00D87205" w:rsidP="00D87205">
      <w:pPr>
        <w:pStyle w:val="12"/>
      </w:pPr>
      <w:r w:rsidRPr="001A3D2B">
        <w:t xml:space="preserve">Full Journal Title: </w:t>
      </w:r>
      <w:r w:rsidRPr="00D87205">
        <w:rPr>
          <w:iCs/>
          <w:kern w:val="0"/>
        </w:rPr>
        <w:t>Clinical Oral Investigations</w:t>
      </w:r>
    </w:p>
    <w:p w:rsidR="00D87205" w:rsidRPr="001A3D2B" w:rsidRDefault="00D87205" w:rsidP="00D87205">
      <w:pPr>
        <w:pStyle w:val="12"/>
      </w:pPr>
      <w:r w:rsidRPr="001A3D2B">
        <w:t xml:space="preserve">ISO Abbreviated Title: </w:t>
      </w:r>
    </w:p>
    <w:p w:rsidR="00D87205" w:rsidRPr="001A3D2B" w:rsidRDefault="00D87205" w:rsidP="00D87205">
      <w:pPr>
        <w:pStyle w:val="12"/>
      </w:pPr>
      <w:r w:rsidRPr="001A3D2B">
        <w:t xml:space="preserve">JCR Abbreviated Title: </w:t>
      </w:r>
    </w:p>
    <w:p w:rsidR="00D87205" w:rsidRPr="001A3D2B" w:rsidRDefault="00D87205" w:rsidP="00D87205">
      <w:pPr>
        <w:pStyle w:val="12"/>
      </w:pPr>
      <w:r w:rsidRPr="001A3D2B">
        <w:t xml:space="preserve">ISSN: </w:t>
      </w:r>
    </w:p>
    <w:p w:rsidR="00D87205" w:rsidRPr="001A3D2B" w:rsidRDefault="00D87205" w:rsidP="00D87205">
      <w:pPr>
        <w:pStyle w:val="12"/>
      </w:pPr>
      <w:r w:rsidRPr="001A3D2B">
        <w:t xml:space="preserve">Issues/Year: </w:t>
      </w:r>
    </w:p>
    <w:p w:rsidR="00D87205" w:rsidRPr="001A3D2B" w:rsidRDefault="00D87205" w:rsidP="00D87205">
      <w:pPr>
        <w:pStyle w:val="12"/>
      </w:pPr>
      <w:r w:rsidRPr="001A3D2B">
        <w:t xml:space="preserve">Journal Country/Territory: </w:t>
      </w:r>
    </w:p>
    <w:p w:rsidR="00D87205" w:rsidRPr="001A3D2B" w:rsidRDefault="00D87205" w:rsidP="00D87205">
      <w:pPr>
        <w:pStyle w:val="12"/>
      </w:pPr>
      <w:r w:rsidRPr="001A3D2B">
        <w:t xml:space="preserve">Language: </w:t>
      </w:r>
    </w:p>
    <w:p w:rsidR="00D87205" w:rsidRPr="001A3D2B" w:rsidRDefault="00D87205" w:rsidP="00D87205">
      <w:pPr>
        <w:pStyle w:val="12"/>
      </w:pPr>
      <w:r w:rsidRPr="001A3D2B">
        <w:t xml:space="preserve">Publisher: </w:t>
      </w:r>
    </w:p>
    <w:p w:rsidR="00D87205" w:rsidRPr="001A3D2B" w:rsidRDefault="00D87205" w:rsidP="00D87205">
      <w:pPr>
        <w:pStyle w:val="12"/>
      </w:pPr>
      <w:r w:rsidRPr="001A3D2B">
        <w:t xml:space="preserve">Publisher Address: </w:t>
      </w:r>
    </w:p>
    <w:p w:rsidR="00D87205" w:rsidRPr="001A3D2B" w:rsidRDefault="00D87205" w:rsidP="00D87205">
      <w:pPr>
        <w:pStyle w:val="12"/>
      </w:pPr>
      <w:r w:rsidRPr="001A3D2B">
        <w:t>Subject Categories:</w:t>
      </w:r>
    </w:p>
    <w:p w:rsidR="00D87205" w:rsidRPr="001A3D2B" w:rsidRDefault="00D87205" w:rsidP="00D87205">
      <w:pPr>
        <w:pStyle w:val="12"/>
      </w:pPr>
      <w:r w:rsidRPr="001A3D2B">
        <w:t xml:space="preserve">: Impact Factor </w:t>
      </w:r>
    </w:p>
    <w:p w:rsidR="00D87205" w:rsidRDefault="00D87205" w:rsidP="00D87205">
      <w:pPr>
        <w:pStyle w:val="a3"/>
        <w:rPr>
          <w:kern w:val="0"/>
        </w:rPr>
      </w:pPr>
      <w:r>
        <w:rPr>
          <w:rFonts w:hint="eastAsia"/>
          <w:kern w:val="0"/>
        </w:rPr>
        <w:t xml:space="preserve">? </w:t>
      </w:r>
      <w:r>
        <w:rPr>
          <w:kern w:val="0"/>
        </w:rPr>
        <w:t>Pulgar, R., Jimenez-Fernandez, I., Jimenez-Contreras, E., Torres-Salinas, D.</w:t>
      </w:r>
      <w:r w:rsidR="005853A9">
        <w:rPr>
          <w:kern w:val="0"/>
        </w:rPr>
        <w:t xml:space="preserve"> and </w:t>
      </w:r>
      <w:r>
        <w:rPr>
          <w:kern w:val="0"/>
        </w:rPr>
        <w:t>Lucena-Martin, C. (2013), Trends in world dental research: An overview</w:t>
      </w:r>
      <w:r w:rsidR="00427468">
        <w:rPr>
          <w:kern w:val="0"/>
        </w:rPr>
        <w:t xml:space="preserve"> of </w:t>
      </w:r>
      <w:r>
        <w:rPr>
          <w:kern w:val="0"/>
        </w:rPr>
        <w:t xml:space="preserve">the last three decades using the </w:t>
      </w:r>
      <w:r w:rsidR="00D5664A">
        <w:rPr>
          <w:kern w:val="0"/>
        </w:rPr>
        <w:t>Web</w:t>
      </w:r>
      <w:r w:rsidR="00427468">
        <w:rPr>
          <w:kern w:val="0"/>
        </w:rPr>
        <w:t xml:space="preserve"> of </w:t>
      </w:r>
      <w:r w:rsidR="00D5664A">
        <w:rPr>
          <w:kern w:val="0"/>
        </w:rPr>
        <w:t>Science</w:t>
      </w:r>
      <w:r>
        <w:rPr>
          <w:kern w:val="0"/>
        </w:rPr>
        <w:t xml:space="preserve">. </w:t>
      </w:r>
      <w:r w:rsidRPr="00D87205">
        <w:rPr>
          <w:i/>
          <w:iCs/>
          <w:kern w:val="0"/>
        </w:rPr>
        <w:t>Clinical Oral Investigations</w:t>
      </w:r>
      <w:r>
        <w:rPr>
          <w:kern w:val="0"/>
        </w:rPr>
        <w:t xml:space="preserve">, </w:t>
      </w:r>
      <w:r>
        <w:rPr>
          <w:b/>
          <w:bCs/>
          <w:kern w:val="0"/>
        </w:rPr>
        <w:t>17</w:t>
      </w:r>
      <w:r>
        <w:rPr>
          <w:kern w:val="0"/>
        </w:rPr>
        <w:t xml:space="preserve"> (7), 1773-1783.</w:t>
      </w:r>
    </w:p>
    <w:p w:rsidR="00D87205" w:rsidRDefault="00D87205" w:rsidP="00D87205">
      <w:pPr>
        <w:pStyle w:val="a3"/>
        <w:rPr>
          <w:kern w:val="0"/>
        </w:rPr>
      </w:pPr>
      <w:r>
        <w:rPr>
          <w:rFonts w:hint="eastAsia"/>
          <w:kern w:val="0"/>
        </w:rPr>
        <w:t xml:space="preserve">Full Text: </w:t>
      </w:r>
      <w:hyperlink r:id="rId384" w:history="1">
        <w:r w:rsidRPr="00D87205">
          <w:rPr>
            <w:rStyle w:val="a5"/>
            <w:kern w:val="0"/>
          </w:rPr>
          <w:t>2013\Cli Ora Inv17, 1773.pdf</w:t>
        </w:r>
      </w:hyperlink>
    </w:p>
    <w:p w:rsidR="00D87205" w:rsidRDefault="00D87205" w:rsidP="00D87205">
      <w:pPr>
        <w:pStyle w:val="a3"/>
        <w:rPr>
          <w:kern w:val="0"/>
        </w:rPr>
      </w:pPr>
      <w:r>
        <w:rPr>
          <w:kern w:val="0"/>
        </w:rPr>
        <w:t>Abstract: The objective</w:t>
      </w:r>
      <w:r w:rsidR="00427468">
        <w:rPr>
          <w:kern w:val="0"/>
        </w:rPr>
        <w:t xml:space="preserve"> of </w:t>
      </w:r>
      <w:r>
        <w:rPr>
          <w:kern w:val="0"/>
        </w:rPr>
        <w:t>this paper is to analyse the scientific activity</w:t>
      </w:r>
      <w:r w:rsidR="00427468">
        <w:rPr>
          <w:kern w:val="0"/>
        </w:rPr>
        <w:t xml:space="preserve"> of </w:t>
      </w:r>
      <w:r>
        <w:rPr>
          <w:kern w:val="0"/>
        </w:rPr>
        <w:t xml:space="preserve">dental sciences over the last 30 years. Dental-research output was identified by retrieving all citable dental documents in the </w:t>
      </w:r>
      <w:r w:rsidR="00D5664A">
        <w:rPr>
          <w:kern w:val="0"/>
        </w:rPr>
        <w:t>Web</w:t>
      </w:r>
      <w:r w:rsidR="00427468">
        <w:rPr>
          <w:kern w:val="0"/>
        </w:rPr>
        <w:t xml:space="preserve"> of </w:t>
      </w:r>
      <w:r w:rsidR="00D5664A">
        <w:rPr>
          <w:kern w:val="0"/>
        </w:rPr>
        <w:t>Science</w:t>
      </w:r>
      <w:r>
        <w:rPr>
          <w:kern w:val="0"/>
        </w:rPr>
        <w:t xml:space="preserve"> (WoS) database in the periods 1986-1988, 1996-1998,</w:t>
      </w:r>
      <w:r w:rsidR="005853A9">
        <w:rPr>
          <w:kern w:val="0"/>
        </w:rPr>
        <w:t xml:space="preserve"> and </w:t>
      </w:r>
      <w:r>
        <w:rPr>
          <w:kern w:val="0"/>
        </w:rPr>
        <w:t>2006-2008. For this, a two-phase search strategy was designed: firstly, output in Dentistry, Oral Surgery,</w:t>
      </w:r>
      <w:r w:rsidR="005853A9">
        <w:rPr>
          <w:kern w:val="0"/>
        </w:rPr>
        <w:t xml:space="preserve"> and </w:t>
      </w:r>
      <w:r>
        <w:rPr>
          <w:kern w:val="0"/>
        </w:rPr>
        <w:t>Medicine (DOSM) Journal Citation Reports (JCR) category journals were compiled; secondly, for journal documents</w:t>
      </w:r>
      <w:r w:rsidR="00427468">
        <w:rPr>
          <w:kern w:val="0"/>
        </w:rPr>
        <w:t xml:space="preserve"> of </w:t>
      </w:r>
      <w:r>
        <w:rPr>
          <w:kern w:val="0"/>
        </w:rPr>
        <w:t>other JCR categories but related to Dentistry (Non-DOSM), an innovative search strategy was designed based on a double criterion, thematic</w:t>
      </w:r>
      <w:r w:rsidR="005853A9">
        <w:rPr>
          <w:kern w:val="0"/>
        </w:rPr>
        <w:t xml:space="preserve"> and </w:t>
      </w:r>
      <w:r>
        <w:rPr>
          <w:kern w:val="0"/>
        </w:rPr>
        <w:t>institutional</w:t>
      </w:r>
      <w:r w:rsidR="00A37C1D">
        <w:rPr>
          <w:kern w:val="0"/>
        </w:rPr>
        <w:t>. The</w:t>
      </w:r>
      <w:r>
        <w:rPr>
          <w:kern w:val="0"/>
        </w:rPr>
        <w:t xml:space="preserve"> results showed that DOSM production increased in absolute but decreased in relative terms over the last 30 years</w:t>
      </w:r>
      <w:r w:rsidR="00A37C1D">
        <w:rPr>
          <w:kern w:val="0"/>
        </w:rPr>
        <w:t>. The</w:t>
      </w:r>
      <w:r>
        <w:rPr>
          <w:kern w:val="0"/>
        </w:rPr>
        <w:t xml:space="preserve"> JCR categories where dental researchers publish also varied. Surprisingly, the geographic distribution</w:t>
      </w:r>
      <w:r w:rsidR="00427468">
        <w:rPr>
          <w:kern w:val="0"/>
        </w:rPr>
        <w:t xml:space="preserve"> of </w:t>
      </w:r>
      <w:r>
        <w:rPr>
          <w:kern w:val="0"/>
        </w:rPr>
        <w:t>the production shows a growing concentration</w:t>
      </w:r>
      <w:r w:rsidR="00427468">
        <w:rPr>
          <w:kern w:val="0"/>
        </w:rPr>
        <w:t xml:space="preserve"> of </w:t>
      </w:r>
      <w:r>
        <w:rPr>
          <w:kern w:val="0"/>
        </w:rPr>
        <w:t>the steadily fewer countries, a previously undescribed phenomenon, while the thematic analysis reveals that this production continued to form four broad thematic areas encompassing the remaining specialties: Dental Materials Prosthodontics, Orthodontics,</w:t>
      </w:r>
      <w:r w:rsidR="005853A9">
        <w:rPr>
          <w:kern w:val="0"/>
        </w:rPr>
        <w:t xml:space="preserve"> and </w:t>
      </w:r>
      <w:r>
        <w:rPr>
          <w:kern w:val="0"/>
        </w:rPr>
        <w:t>General Dentistry. Scientific production in dentistry has changed in the past three decades both quantitatively</w:t>
      </w:r>
      <w:r w:rsidR="005853A9">
        <w:rPr>
          <w:kern w:val="0"/>
        </w:rPr>
        <w:t xml:space="preserve"> and </w:t>
      </w:r>
      <w:r>
        <w:rPr>
          <w:kern w:val="0"/>
        </w:rPr>
        <w:t>qualitatively, as well as their geographical distribution despite being structured around the same specialties. In this study, along with some key messages about the key shifts in publication trends, in terms</w:t>
      </w:r>
      <w:r w:rsidR="00427468">
        <w:rPr>
          <w:kern w:val="0"/>
        </w:rPr>
        <w:t xml:space="preserve"> of </w:t>
      </w:r>
      <w:r>
        <w:rPr>
          <w:kern w:val="0"/>
        </w:rPr>
        <w:t>subject, where published</w:t>
      </w:r>
      <w:r w:rsidR="005853A9">
        <w:rPr>
          <w:kern w:val="0"/>
        </w:rPr>
        <w:t xml:space="preserve"> and </w:t>
      </w:r>
      <w:r>
        <w:rPr>
          <w:kern w:val="0"/>
        </w:rPr>
        <w:t xml:space="preserve">by whom, we propose a new methodology which could be useful to </w:t>
      </w:r>
      <w:r>
        <w:rPr>
          <w:kern w:val="0"/>
        </w:rPr>
        <w:lastRenderedPageBreak/>
        <w:t>professionals as well as researchers, in which the exhaustivity</w:t>
      </w:r>
      <w:r w:rsidR="005853A9">
        <w:rPr>
          <w:kern w:val="0"/>
        </w:rPr>
        <w:t xml:space="preserve"> and </w:t>
      </w:r>
      <w:r>
        <w:rPr>
          <w:kern w:val="0"/>
        </w:rPr>
        <w:t>precision rates for scientific information retrieval improve.</w:t>
      </w:r>
    </w:p>
    <w:p w:rsidR="00D87205" w:rsidRDefault="00D87205" w:rsidP="00D87205">
      <w:pPr>
        <w:pStyle w:val="a3"/>
        <w:rPr>
          <w:kern w:val="0"/>
        </w:rPr>
      </w:pPr>
      <w:r>
        <w:rPr>
          <w:kern w:val="0"/>
        </w:rPr>
        <w:t xml:space="preserve">Keywords: Activity, Analysis, Article, Benchmarking, Bibliometrics, Biomedical Research, Citation, Classification, Clin, Concentration, Database, Dental Research, Dentistry, Distribution, Germany, Information, Information Retrieval, JCR, Journal, Journal Citation Reports, Journal Impact Factor, Journals, Materials, Medicine, </w:t>
      </w:r>
      <w:r w:rsidR="00D5664A">
        <w:rPr>
          <w:kern w:val="0"/>
        </w:rPr>
        <w:t>MEDLINE</w:t>
      </w:r>
      <w:r>
        <w:rPr>
          <w:kern w:val="0"/>
        </w:rPr>
        <w:t xml:space="preserve">, Methodology, Orthodontics, Precision, Publication, Publication Trends, Publications, Rates, Research, Science, Sciences, Scientific Information, Scientific Production, Search Strategy, Spain, Strategy, Surgery, Trends, </w:t>
      </w:r>
      <w:r w:rsidR="00D5664A">
        <w:rPr>
          <w:kern w:val="0"/>
        </w:rPr>
        <w:t>Web</w:t>
      </w:r>
      <w:r w:rsidR="00427468">
        <w:rPr>
          <w:kern w:val="0"/>
        </w:rPr>
        <w:t xml:space="preserve"> of </w:t>
      </w:r>
      <w:r w:rsidR="00D5664A">
        <w:rPr>
          <w:kern w:val="0"/>
        </w:rPr>
        <w:t>Science</w:t>
      </w:r>
      <w:r>
        <w:rPr>
          <w:kern w:val="0"/>
        </w:rPr>
        <w:t>, WOS</w:t>
      </w:r>
    </w:p>
    <w:p w:rsidR="00647EFD" w:rsidRDefault="00647EFD" w:rsidP="00647EFD">
      <w:pPr>
        <w:pStyle w:val="a3"/>
        <w:rPr>
          <w:kern w:val="0"/>
        </w:rPr>
      </w:pPr>
      <w:r>
        <w:rPr>
          <w:rFonts w:hint="eastAsia"/>
          <w:kern w:val="0"/>
        </w:rPr>
        <w:t xml:space="preserve">? </w:t>
      </w:r>
      <w:r>
        <w:rPr>
          <w:kern w:val="0"/>
        </w:rPr>
        <w:t xml:space="preserve">Feijoo, J.F., Limeres, J., Fernandez-Varela, M., Ramos, I. and Diz, P. (2014), The 100 most cited articles in dentistry. </w:t>
      </w:r>
      <w:r>
        <w:rPr>
          <w:i/>
          <w:iCs/>
          <w:kern w:val="0"/>
        </w:rPr>
        <w:t>Clinical Oral Investigations</w:t>
      </w:r>
      <w:r>
        <w:rPr>
          <w:kern w:val="0"/>
        </w:rPr>
        <w:t xml:space="preserve">, </w:t>
      </w:r>
      <w:r>
        <w:rPr>
          <w:b/>
          <w:bCs/>
          <w:kern w:val="0"/>
        </w:rPr>
        <w:t>18</w:t>
      </w:r>
      <w:r>
        <w:rPr>
          <w:kern w:val="0"/>
        </w:rPr>
        <w:t xml:space="preserve"> (3), 699-706.</w:t>
      </w:r>
    </w:p>
    <w:p w:rsidR="00647EFD" w:rsidRDefault="00647EFD" w:rsidP="00647EFD">
      <w:pPr>
        <w:pStyle w:val="a3"/>
        <w:rPr>
          <w:kern w:val="0"/>
        </w:rPr>
      </w:pPr>
      <w:r>
        <w:rPr>
          <w:rFonts w:hint="eastAsia"/>
          <w:kern w:val="0"/>
        </w:rPr>
        <w:t xml:space="preserve">Full Text: </w:t>
      </w:r>
      <w:hyperlink r:id="rId385" w:history="1">
        <w:r w:rsidRPr="00934787">
          <w:rPr>
            <w:rStyle w:val="a5"/>
            <w:kern w:val="0"/>
          </w:rPr>
          <w:t>2014\Cli Ora Inv18, 699.pdf</w:t>
        </w:r>
      </w:hyperlink>
    </w:p>
    <w:p w:rsidR="00647EFD" w:rsidRDefault="00647EFD" w:rsidP="00647EFD">
      <w:pPr>
        <w:pStyle w:val="a3"/>
        <w:rPr>
          <w:kern w:val="0"/>
        </w:rPr>
      </w:pPr>
      <w:r>
        <w:rPr>
          <w:kern w:val="0"/>
        </w:rPr>
        <w:t>Abstract: To identify the 100 most cited articles published in dental journals. A search was performed on the Institute for Scientific Information (ISI) Web of Science for the most cited articles in all the journals included in the Journal Citation Report (2010 edition) in the category of “Dentistry, Oral Surgery, and Medicine”. Each one of the 77 journals selected was analyzed using the Cited Reference Search tool of the ISI Web of Science database to identify the most cited articles up to June 2012</w:t>
      </w:r>
      <w:r w:rsidR="00A37C1D">
        <w:rPr>
          <w:kern w:val="0"/>
        </w:rPr>
        <w:t>. The</w:t>
      </w:r>
      <w:r>
        <w:rPr>
          <w:kern w:val="0"/>
        </w:rPr>
        <w:t xml:space="preserve"> following information was gathered from each article: names and number of authors, journal, year of publication, type of study, methodological design, and area of research</w:t>
      </w:r>
      <w:r w:rsidR="00A37C1D">
        <w:rPr>
          <w:kern w:val="0"/>
        </w:rPr>
        <w:t>. The</w:t>
      </w:r>
      <w:r>
        <w:rPr>
          <w:kern w:val="0"/>
        </w:rPr>
        <w:t xml:space="preserve"> number of citations of the 100 selected articles varied from 326 to 2050. All articles were published in 21 of the 77 journals in the category</w:t>
      </w:r>
      <w:r w:rsidR="00A37C1D">
        <w:rPr>
          <w:kern w:val="0"/>
        </w:rPr>
        <w:t>. The</w:t>
      </w:r>
      <w:r>
        <w:rPr>
          <w:kern w:val="0"/>
        </w:rPr>
        <w:t xml:space="preserve"> journals with the largest number of the cited articles were the Journal of Clinical Periodontology (20 articles), the Journal of Periodontology (18 articles), and the Journal of Dental Research (16 articles)</w:t>
      </w:r>
      <w:r w:rsidR="00A37C1D">
        <w:rPr>
          <w:kern w:val="0"/>
        </w:rPr>
        <w:t>. The</w:t>
      </w:r>
      <w:r>
        <w:rPr>
          <w:kern w:val="0"/>
        </w:rPr>
        <w:t>re was a predominance of clinical research (66 %) over basic research (34 %)</w:t>
      </w:r>
      <w:r w:rsidR="00A37C1D">
        <w:rPr>
          <w:kern w:val="0"/>
        </w:rPr>
        <w:t>. The</w:t>
      </w:r>
      <w:r>
        <w:rPr>
          <w:kern w:val="0"/>
        </w:rPr>
        <w:t xml:space="preserve"> most frequently named author was Socransky SS, with 9 of the top 100 articles, followed by Lindhe J with 7</w:t>
      </w:r>
      <w:r w:rsidR="00A37C1D">
        <w:rPr>
          <w:kern w:val="0"/>
        </w:rPr>
        <w:t>. The</w:t>
      </w:r>
      <w:r>
        <w:rPr>
          <w:kern w:val="0"/>
        </w:rPr>
        <w:t xml:space="preserve"> decades with most articles published of the 100 selected were 1980-1989 (26 articles) and 1990-1999 (25 articles)</w:t>
      </w:r>
      <w:r w:rsidR="00A37C1D">
        <w:rPr>
          <w:kern w:val="0"/>
        </w:rPr>
        <w:t>. The</w:t>
      </w:r>
      <w:r>
        <w:rPr>
          <w:kern w:val="0"/>
        </w:rPr>
        <w:t xml:space="preserve"> most common type of article was the case series (22 %), followed by the narrative review/expert opinion (19 %)</w:t>
      </w:r>
      <w:r w:rsidR="00A37C1D">
        <w:rPr>
          <w:kern w:val="0"/>
        </w:rPr>
        <w:t>. The</w:t>
      </w:r>
      <w:r>
        <w:rPr>
          <w:kern w:val="0"/>
        </w:rPr>
        <w:t xml:space="preserve"> most common area of study was periodontology (43 % of articles). To our knowledge, this is the first report of the top-cited articles in Dentistry</w:t>
      </w:r>
      <w:r w:rsidR="00A37C1D">
        <w:rPr>
          <w:kern w:val="0"/>
        </w:rPr>
        <w:t>. The</w:t>
      </w:r>
      <w:r>
        <w:rPr>
          <w:kern w:val="0"/>
        </w:rPr>
        <w:t>re is a predominance of clinical studies, particularly case series and narrative reviews/expert opinions, despite their low-evidence level</w:t>
      </w:r>
      <w:r w:rsidR="00A37C1D">
        <w:rPr>
          <w:kern w:val="0"/>
        </w:rPr>
        <w:t>. The</w:t>
      </w:r>
      <w:r>
        <w:rPr>
          <w:kern w:val="0"/>
        </w:rPr>
        <w:t xml:space="preserve"> focus of the articles has mainly been on periodontology and implantology, and the majority has been published in the highest impact factor dental journals</w:t>
      </w:r>
      <w:r w:rsidR="00A37C1D">
        <w:rPr>
          <w:kern w:val="0"/>
        </w:rPr>
        <w:t>. The</w:t>
      </w:r>
      <w:r>
        <w:rPr>
          <w:kern w:val="0"/>
        </w:rPr>
        <w:t xml:space="preserve"> number of citations that an article receives does not necessarily reflect the quality of the research, but the present study gives some clues to the topics and authors contributing to major advances in Dentistry.</w:t>
      </w:r>
    </w:p>
    <w:p w:rsidR="00647EFD" w:rsidRDefault="00647EFD" w:rsidP="00647EFD">
      <w:pPr>
        <w:pStyle w:val="a3"/>
        <w:rPr>
          <w:kern w:val="0"/>
        </w:rPr>
      </w:pPr>
      <w:r>
        <w:rPr>
          <w:kern w:val="0"/>
        </w:rPr>
        <w:lastRenderedPageBreak/>
        <w:t>Keywords: Advances, Authors, Basic Research, Citation, Citation-Classics, Citations, Clinical, Clinical Research, Clinical Studies, Database, Dentistry, Design, First, Impact, Impact Factor, Impact Factor, Information, Institute For Scientific Information, Isi, Isi Web Of Knowledge, Isi Web Of Science, Journal, Journal Citation Report, Journals, Knowledge, Most Cited Articles, Opinions, Perspective, Publication, Quality, Quality Of, Reference, Research, Science, Search, Ss, Surgery, Top-Cited, Web Of Science, Works</w:t>
      </w:r>
    </w:p>
    <w:p w:rsidR="00326B32" w:rsidRPr="00C73C58" w:rsidRDefault="00326B32" w:rsidP="00326B32">
      <w:pPr>
        <w:pStyle w:val="1"/>
      </w:pPr>
      <w:r w:rsidRPr="00C73C58">
        <w:br w:type="page"/>
      </w:r>
      <w:bookmarkStart w:id="299" w:name="_Toc420815041"/>
      <w:r w:rsidRPr="00C73C58">
        <w:lastRenderedPageBreak/>
        <w:t>Title: Clinical Orthopaedics</w:t>
      </w:r>
      <w:r w:rsidR="005853A9">
        <w:t xml:space="preserve"> and </w:t>
      </w:r>
      <w:r w:rsidRPr="00C73C58">
        <w:t>Related Research</w:t>
      </w:r>
      <w:bookmarkEnd w:id="299"/>
    </w:p>
    <w:p w:rsidR="00A006AF" w:rsidRPr="00C73C58" w:rsidRDefault="00A006AF" w:rsidP="00A006AF">
      <w:pPr>
        <w:pStyle w:val="12"/>
      </w:pPr>
      <w:r w:rsidRPr="00C73C58">
        <w:t>Full Journal Title: Clinical Orthopaedics</w:t>
      </w:r>
      <w:r w:rsidR="005853A9">
        <w:t xml:space="preserve"> and </w:t>
      </w:r>
      <w:r w:rsidRPr="00C73C58">
        <w:t>Related Research</w:t>
      </w:r>
    </w:p>
    <w:p w:rsidR="00A006AF" w:rsidRDefault="00A006AF" w:rsidP="00A006AF">
      <w:pPr>
        <w:pStyle w:val="12"/>
      </w:pPr>
      <w:r>
        <w:t>ISO Abbrev. Title: Clin. Orthop. Rel. Res.</w:t>
      </w:r>
    </w:p>
    <w:p w:rsidR="00A006AF" w:rsidRDefault="00A006AF" w:rsidP="00A006AF">
      <w:pPr>
        <w:pStyle w:val="12"/>
      </w:pPr>
      <w:r>
        <w:t>JCR Abbrev. Title: Clin Orthop Relat Res</w:t>
      </w:r>
    </w:p>
    <w:p w:rsidR="00A006AF" w:rsidRDefault="00A006AF" w:rsidP="00A006AF">
      <w:pPr>
        <w:pStyle w:val="12"/>
      </w:pPr>
      <w:r>
        <w:t>ISSN: 0009-921X</w:t>
      </w:r>
    </w:p>
    <w:p w:rsidR="00A006AF" w:rsidRDefault="00A006AF" w:rsidP="00A006AF">
      <w:pPr>
        <w:pStyle w:val="12"/>
      </w:pPr>
      <w:r>
        <w:t>Issues/Year: 12</w:t>
      </w:r>
    </w:p>
    <w:p w:rsidR="00A006AF" w:rsidRDefault="00A006AF" w:rsidP="00A006AF">
      <w:pPr>
        <w:pStyle w:val="12"/>
      </w:pPr>
      <w:r>
        <w:t>Language: English</w:t>
      </w:r>
    </w:p>
    <w:p w:rsidR="00A006AF" w:rsidRDefault="00A006AF" w:rsidP="00A006AF">
      <w:pPr>
        <w:pStyle w:val="12"/>
      </w:pPr>
      <w:r>
        <w:t>Journal Country/Territory: United States</w:t>
      </w:r>
    </w:p>
    <w:p w:rsidR="00A006AF" w:rsidRDefault="00A006AF" w:rsidP="00A006AF">
      <w:pPr>
        <w:pStyle w:val="12"/>
      </w:pPr>
      <w:r>
        <w:t>Publisher: Springer</w:t>
      </w:r>
    </w:p>
    <w:p w:rsidR="00A006AF" w:rsidRDefault="00A006AF" w:rsidP="00A006AF">
      <w:pPr>
        <w:pStyle w:val="12"/>
      </w:pPr>
      <w:r>
        <w:t>Publisher Address: 233 Spring St, New York, NY 10013</w:t>
      </w:r>
    </w:p>
    <w:p w:rsidR="00A006AF" w:rsidRDefault="00A006AF" w:rsidP="00A006AF">
      <w:pPr>
        <w:pStyle w:val="12"/>
      </w:pPr>
      <w:r>
        <w:t>Subject Categories:</w:t>
      </w:r>
    </w:p>
    <w:p w:rsidR="00A006AF" w:rsidRDefault="00A006AF" w:rsidP="00A006AF">
      <w:pPr>
        <w:pStyle w:val="12"/>
      </w:pPr>
      <w:r>
        <w:t>Orthopedics</w:t>
      </w:r>
      <w:r w:rsidRPr="00C73C58">
        <w:t xml:space="preserve">: Impact Factor </w:t>
      </w:r>
      <w:r>
        <w:rPr>
          <w:rFonts w:hint="eastAsia"/>
        </w:rPr>
        <w:t>2.116, (2010)</w:t>
      </w:r>
    </w:p>
    <w:p w:rsidR="00A006AF" w:rsidRPr="00C73C58" w:rsidRDefault="00A006AF" w:rsidP="00A006AF">
      <w:pPr>
        <w:pStyle w:val="12"/>
      </w:pPr>
      <w:r>
        <w:t>Surgery</w:t>
      </w:r>
      <w:r w:rsidRPr="00C73C58">
        <w:t xml:space="preserve">: Impact Factor </w:t>
      </w:r>
      <w:r>
        <w:rPr>
          <w:rFonts w:hint="eastAsia"/>
        </w:rPr>
        <w:t>2.116, (2010)</w:t>
      </w:r>
    </w:p>
    <w:p w:rsidR="000E063D" w:rsidRPr="00C73C58" w:rsidRDefault="000E063D" w:rsidP="000E063D">
      <w:pPr>
        <w:pStyle w:val="a3"/>
      </w:pPr>
      <w:r w:rsidRPr="00C73C58">
        <w:t>? Tuli, S.M. (2007), Tuberculosis</w:t>
      </w:r>
      <w:r w:rsidR="00427468">
        <w:t xml:space="preserve"> of </w:t>
      </w:r>
      <w:r w:rsidR="003A1917">
        <w:t xml:space="preserve">the </w:t>
      </w:r>
      <w:r w:rsidRPr="00C73C58">
        <w:t xml:space="preserve">spine - A historical review. </w:t>
      </w:r>
      <w:r w:rsidRPr="00C73C58">
        <w:rPr>
          <w:i/>
        </w:rPr>
        <w:t>Clinical Orthopaedics</w:t>
      </w:r>
      <w:r w:rsidR="005853A9">
        <w:rPr>
          <w:i/>
        </w:rPr>
        <w:t xml:space="preserve"> and </w:t>
      </w:r>
      <w:r w:rsidRPr="00C73C58">
        <w:rPr>
          <w:i/>
        </w:rPr>
        <w:t>Related Research</w:t>
      </w:r>
      <w:r w:rsidRPr="00C73C58">
        <w:t xml:space="preserve">, </w:t>
      </w:r>
      <w:r w:rsidRPr="00C73C58">
        <w:rPr>
          <w:b/>
        </w:rPr>
        <w:t>460</w:t>
      </w:r>
      <w:r w:rsidRPr="00C73C58">
        <w:t>, 29-38.</w:t>
      </w:r>
    </w:p>
    <w:p w:rsidR="000E063D" w:rsidRPr="00C73C58" w:rsidRDefault="000E063D" w:rsidP="000E063D">
      <w:pPr>
        <w:pStyle w:val="a3"/>
      </w:pPr>
      <w:r w:rsidRPr="00C73C58">
        <w:t xml:space="preserve">Full Text: </w:t>
      </w:r>
      <w:r>
        <w:rPr>
          <w:rFonts w:hint="eastAsia"/>
        </w:rPr>
        <w:t>2007\</w:t>
      </w:r>
      <w:r w:rsidRPr="00C73C58">
        <w:t xml:space="preserve">Cli Ort Rel </w:t>
      </w:r>
      <w:r w:rsidRPr="001F2EE6">
        <w:t>Res460</w:t>
      </w:r>
      <w:r w:rsidRPr="00C73C58">
        <w:t>, 29</w:t>
      </w:r>
      <w:r>
        <w:rPr>
          <w:rFonts w:hint="eastAsia"/>
        </w:rPr>
        <w:t>.pdf</w:t>
      </w:r>
    </w:p>
    <w:p w:rsidR="000E063D" w:rsidRPr="00C73C58" w:rsidRDefault="000E063D" w:rsidP="000E063D">
      <w:pPr>
        <w:pStyle w:val="a3"/>
      </w:pPr>
      <w:r w:rsidRPr="00C73C58">
        <w:t>Abstract: Almost all ancient civilizations described tuberculous bacilli in their old scripts,</w:t>
      </w:r>
      <w:r w:rsidR="005853A9">
        <w:t xml:space="preserve"> and </w:t>
      </w:r>
      <w:r w:rsidRPr="00C73C58">
        <w:t>these bacteria have been found in prehistoric skeletal remains</w:t>
      </w:r>
      <w:r w:rsidR="00A37C1D">
        <w:t>. The</w:t>
      </w:r>
      <w:r w:rsidR="003A1917">
        <w:t xml:space="preserve"> </w:t>
      </w:r>
      <w:r w:rsidRPr="00C73C58">
        <w:t>clinical availability</w:t>
      </w:r>
      <w:r w:rsidR="00427468">
        <w:t xml:space="preserve"> of </w:t>
      </w:r>
      <w:r w:rsidRPr="00C73C58">
        <w:t>specific antitubercular drugs was</w:t>
      </w:r>
      <w:r w:rsidR="003A1917">
        <w:t xml:space="preserve"> the </w:t>
      </w:r>
      <w:r w:rsidRPr="00C73C58">
        <w:t>most important breakthrough in managing spinal tuberculosis. Any attempt at surgical excision</w:t>
      </w:r>
      <w:r w:rsidR="00427468">
        <w:t xml:space="preserve"> of </w:t>
      </w:r>
      <w:r w:rsidR="003A1917">
        <w:t xml:space="preserve">the </w:t>
      </w:r>
      <w:r w:rsidRPr="00C73C58">
        <w:t>disease prior to</w:t>
      </w:r>
      <w:r w:rsidR="003A1917">
        <w:t xml:space="preserve"> the </w:t>
      </w:r>
      <w:r w:rsidRPr="00C73C58">
        <w:t>antitubercular era met with serious complications, dissemination</w:t>
      </w:r>
      <w:r w:rsidR="00427468">
        <w:t xml:space="preserve"> of </w:t>
      </w:r>
      <w:r w:rsidRPr="00C73C58">
        <w:t>disease</w:t>
      </w:r>
      <w:r w:rsidR="005853A9">
        <w:t xml:space="preserve"> and </w:t>
      </w:r>
      <w:r w:rsidRPr="00C73C58">
        <w:t>high mortality (nearly 50%). Antitubercular drugs markedly improved</w:t>
      </w:r>
      <w:r w:rsidR="003A1917">
        <w:t xml:space="preserve"> the </w:t>
      </w:r>
      <w:r w:rsidRPr="00C73C58">
        <w:t>results</w:t>
      </w:r>
      <w:r w:rsidR="00427468">
        <w:t xml:space="preserve"> of </w:t>
      </w:r>
      <w:r w:rsidRPr="00C73C58">
        <w:t>management by operative treatment. Excellent healing</w:t>
      </w:r>
      <w:r w:rsidR="00427468">
        <w:t xml:space="preserve"> of </w:t>
      </w:r>
      <w:r w:rsidRPr="00C73C58">
        <w:t>disease was also observed in those patients who were treated nonoperatively. However, it took many years (1950-1970) for clinicians to appreciate</w:t>
      </w:r>
      <w:r w:rsidR="003A1917">
        <w:t xml:space="preserve"> the </w:t>
      </w:r>
      <w:r w:rsidRPr="00C73C58">
        <w:t>efficacy</w:t>
      </w:r>
      <w:r w:rsidR="00427468">
        <w:t xml:space="preserve"> of </w:t>
      </w:r>
      <w:r w:rsidRPr="00C73C58">
        <w:t>antitubercular drugs. Operations for spinal tuberculosis are now indicated less for control</w:t>
      </w:r>
      <w:r w:rsidR="00427468">
        <w:t xml:space="preserve"> of </w:t>
      </w:r>
      <w:r w:rsidRPr="00C73C58">
        <w:t>disease (5-10%</w:t>
      </w:r>
      <w:r w:rsidR="00427468">
        <w:t xml:space="preserve"> of </w:t>
      </w:r>
      <w:r w:rsidRPr="00C73C58">
        <w:t>all cases) than for complications, including nonresponding neural deficit (nearly 40%</w:t>
      </w:r>
      <w:r w:rsidR="00427468">
        <w:t xml:space="preserve"> of </w:t>
      </w:r>
      <w:r w:rsidRPr="00C73C58">
        <w:t>neural complications), prevention or correction</w:t>
      </w:r>
      <w:r w:rsidR="00427468">
        <w:t xml:space="preserve"> of </w:t>
      </w:r>
      <w:r w:rsidRPr="00C73C58">
        <w:t>severe kyphotic deformity,</w:t>
      </w:r>
      <w:r w:rsidR="005853A9">
        <w:t xml:space="preserve"> and </w:t>
      </w:r>
      <w:r w:rsidRPr="00C73C58">
        <w:t>for tissue diagnosis (approximately 5%</w:t>
      </w:r>
      <w:r w:rsidR="00427468">
        <w:t xml:space="preserve"> of </w:t>
      </w:r>
      <w:r w:rsidRPr="00C73C58">
        <w:t>all cases). For a classic spondylodiscitis when surgery is required for debridement</w:t>
      </w:r>
      <w:r w:rsidR="005853A9">
        <w:t xml:space="preserve"> and </w:t>
      </w:r>
      <w:r w:rsidRPr="00C73C58">
        <w:t>decompression, an anterior approach through an extrapleural anterolateral route or through transpleural route is recommended. Healthy posterior elements should not be jeopardized by surgery</w:t>
      </w:r>
      <w:r w:rsidR="00A37C1D">
        <w:t>. The</w:t>
      </w:r>
      <w:r w:rsidR="003A1917">
        <w:t xml:space="preserve"> </w:t>
      </w:r>
      <w:r w:rsidRPr="00C73C58">
        <w:t>real control</w:t>
      </w:r>
      <w:r w:rsidR="00427468">
        <w:t xml:space="preserve"> of </w:t>
      </w:r>
      <w:r w:rsidRPr="00C73C58">
        <w:t>tuberculous disease requires a serious</w:t>
      </w:r>
      <w:r w:rsidR="005853A9">
        <w:t xml:space="preserve"> and </w:t>
      </w:r>
      <w:r w:rsidRPr="00C73C58">
        <w:t>sustained global effort to eliminate immunocompromised states, poverty, malnutrition,</w:t>
      </w:r>
      <w:r w:rsidR="005853A9">
        <w:t xml:space="preserve"> and </w:t>
      </w:r>
      <w:r w:rsidRPr="00C73C58">
        <w:t>overcrowding.</w:t>
      </w:r>
    </w:p>
    <w:p w:rsidR="000E063D" w:rsidRPr="00C73C58" w:rsidRDefault="000E063D" w:rsidP="000E063D">
      <w:pPr>
        <w:pStyle w:val="a3"/>
      </w:pPr>
      <w:r w:rsidRPr="00C73C58">
        <w:t xml:space="preserve">Keywords: Potts-Disease, Joint Tuberculosis, Radical Treatment, Follow-Up, Conservative Treatment, Skeletal Tuberculosis, Ambulant Treatment, Vertebral </w:t>
      </w:r>
      <w:r w:rsidRPr="00C73C58">
        <w:lastRenderedPageBreak/>
        <w:t>Bodies, Chemotherapy, Fusion</w:t>
      </w:r>
    </w:p>
    <w:p w:rsidR="00326B32" w:rsidRDefault="00326B32" w:rsidP="00326B32">
      <w:pPr>
        <w:pStyle w:val="a3"/>
        <w:rPr>
          <w:kern w:val="0"/>
        </w:rPr>
      </w:pPr>
      <w:r>
        <w:rPr>
          <w:rFonts w:hint="eastAsia"/>
          <w:kern w:val="0"/>
        </w:rPr>
        <w:t xml:space="preserve">? </w:t>
      </w:r>
      <w:r>
        <w:rPr>
          <w:kern w:val="0"/>
        </w:rPr>
        <w:t>Mavrogenis, A.F., Ruggieri, P.</w:t>
      </w:r>
      <w:r w:rsidR="005853A9">
        <w:rPr>
          <w:kern w:val="0"/>
        </w:rPr>
        <w:t xml:space="preserve"> and </w:t>
      </w:r>
      <w:r>
        <w:rPr>
          <w:kern w:val="0"/>
        </w:rPr>
        <w:t xml:space="preserve">Papagelopoulos, P.J. (2010), Editorial: Self-citation in publishing.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468</w:t>
      </w:r>
      <w:r>
        <w:rPr>
          <w:kern w:val="0"/>
        </w:rPr>
        <w:t xml:space="preserve"> (10), 2803-2807</w:t>
      </w:r>
      <w:r>
        <w:rPr>
          <w:rFonts w:hint="eastAsia"/>
          <w:kern w:val="0"/>
        </w:rPr>
        <w:t>.</w:t>
      </w:r>
    </w:p>
    <w:p w:rsidR="00326B32" w:rsidRDefault="00326B32" w:rsidP="00326B32">
      <w:pPr>
        <w:pStyle w:val="a3"/>
        <w:rPr>
          <w:kern w:val="0"/>
        </w:rPr>
      </w:pPr>
      <w:r>
        <w:rPr>
          <w:rFonts w:hint="eastAsia"/>
          <w:kern w:val="0"/>
        </w:rPr>
        <w:t xml:space="preserve">Full Text: </w:t>
      </w:r>
      <w:hyperlink r:id="rId386" w:history="1">
        <w:r w:rsidRPr="001F2EE6">
          <w:rPr>
            <w:rStyle w:val="a5"/>
            <w:kern w:val="0"/>
          </w:rPr>
          <w:t>2010\Cli Ort Rel Res468, 2803.pdf</w:t>
        </w:r>
      </w:hyperlink>
    </w:p>
    <w:p w:rsidR="00326B32" w:rsidRDefault="00326B32" w:rsidP="00326B32">
      <w:pPr>
        <w:pStyle w:val="a3"/>
        <w:rPr>
          <w:kern w:val="0"/>
        </w:rPr>
      </w:pPr>
      <w:r>
        <w:rPr>
          <w:kern w:val="0"/>
        </w:rPr>
        <w:t>Keywords: Eigenfactor(TM) Metrics, Journal Impact Factor, Medical Journals, Orthopedic Journals, Science, Scientific Journals, SCIMAGO, Self-Citation</w:t>
      </w:r>
    </w:p>
    <w:p w:rsidR="00A63E1E" w:rsidRDefault="00A63E1E" w:rsidP="00A63E1E">
      <w:pPr>
        <w:pStyle w:val="a3"/>
        <w:rPr>
          <w:kern w:val="0"/>
        </w:rPr>
      </w:pPr>
      <w:r>
        <w:rPr>
          <w:rFonts w:hint="eastAsia"/>
          <w:kern w:val="0"/>
        </w:rPr>
        <w:t xml:space="preserve">? </w:t>
      </w:r>
      <w:r>
        <w:rPr>
          <w:kern w:val="0"/>
        </w:rPr>
        <w:t>Lefaivre, K.A., Shadgan, B.</w:t>
      </w:r>
      <w:r w:rsidR="005853A9">
        <w:rPr>
          <w:kern w:val="0"/>
        </w:rPr>
        <w:t xml:space="preserve"> and </w:t>
      </w:r>
      <w:r>
        <w:rPr>
          <w:kern w:val="0"/>
        </w:rPr>
        <w:t>O</w:t>
      </w:r>
      <w:r w:rsidR="0071223E">
        <w:rPr>
          <w:kern w:val="0"/>
        </w:rPr>
        <w:t>’</w:t>
      </w:r>
      <w:r>
        <w:rPr>
          <w:kern w:val="0"/>
        </w:rPr>
        <w:t xml:space="preserve">Brien, P.J. (2011), 100 most cited articles in orthopaedic surgery.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469</w:t>
      </w:r>
      <w:r>
        <w:rPr>
          <w:kern w:val="0"/>
        </w:rPr>
        <w:t xml:space="preserve"> (5), 1487-1497.</w:t>
      </w:r>
    </w:p>
    <w:p w:rsidR="00A63E1E" w:rsidRDefault="00A63E1E" w:rsidP="00A63E1E">
      <w:pPr>
        <w:pStyle w:val="a3"/>
        <w:rPr>
          <w:kern w:val="0"/>
        </w:rPr>
      </w:pPr>
      <w:r>
        <w:rPr>
          <w:rFonts w:hint="eastAsia"/>
          <w:kern w:val="0"/>
        </w:rPr>
        <w:t xml:space="preserve">Full Text: </w:t>
      </w:r>
      <w:hyperlink r:id="rId387" w:history="1">
        <w:r w:rsidRPr="00A63E1E">
          <w:rPr>
            <w:rStyle w:val="a5"/>
            <w:kern w:val="0"/>
          </w:rPr>
          <w:t>2011\Cli Ort Rel Res469, 1487.pdf</w:t>
        </w:r>
      </w:hyperlink>
    </w:p>
    <w:p w:rsidR="00A63E1E" w:rsidRDefault="00A63E1E" w:rsidP="00A63E1E">
      <w:pPr>
        <w:pStyle w:val="a3"/>
        <w:rPr>
          <w:kern w:val="0"/>
        </w:rPr>
      </w:pPr>
      <w:r>
        <w:rPr>
          <w:kern w:val="0"/>
        </w:rPr>
        <w:t>Abstract: Citation analysis reflects</w:t>
      </w:r>
      <w:r w:rsidR="003A1917">
        <w:rPr>
          <w:kern w:val="0"/>
        </w:rPr>
        <w:t xml:space="preserve"> the </w:t>
      </w:r>
      <w:r>
        <w:rPr>
          <w:kern w:val="0"/>
        </w:rPr>
        <w:t>recognition a work has received in</w:t>
      </w:r>
      <w:r w:rsidR="003A1917">
        <w:rPr>
          <w:kern w:val="0"/>
        </w:rPr>
        <w:t xml:space="preserve"> the </w:t>
      </w:r>
      <w:r>
        <w:rPr>
          <w:kern w:val="0"/>
        </w:rPr>
        <w:t>scientific community by its peers,</w:t>
      </w:r>
      <w:r w:rsidR="005853A9">
        <w:rPr>
          <w:kern w:val="0"/>
        </w:rPr>
        <w:t xml:space="preserve"> and </w:t>
      </w:r>
      <w:r>
        <w:rPr>
          <w:kern w:val="0"/>
        </w:rPr>
        <w:t xml:space="preserve">is a common method to determine </w:t>
      </w:r>
      <w:r w:rsidR="0071223E">
        <w:rPr>
          <w:kern w:val="0"/>
        </w:rPr>
        <w:t>‘</w:t>
      </w:r>
      <w:r>
        <w:rPr>
          <w:kern w:val="0"/>
        </w:rPr>
        <w:t>classic</w:t>
      </w:r>
      <w:r w:rsidR="0071223E">
        <w:rPr>
          <w:kern w:val="0"/>
        </w:rPr>
        <w:t>’</w:t>
      </w:r>
      <w:r>
        <w:rPr>
          <w:kern w:val="0"/>
        </w:rPr>
        <w:t xml:space="preserve"> works in medical specialties. We determined which published articles in orthopaedic journals have been most cited by other authors by ranking</w:t>
      </w:r>
      <w:r w:rsidR="003A1917">
        <w:rPr>
          <w:kern w:val="0"/>
        </w:rPr>
        <w:t xml:space="preserve"> the </w:t>
      </w:r>
      <w:r>
        <w:rPr>
          <w:kern w:val="0"/>
        </w:rPr>
        <w:t>100 top-cited works. By analyzing characteristics</w:t>
      </w:r>
      <w:r w:rsidR="00427468">
        <w:rPr>
          <w:kern w:val="0"/>
        </w:rPr>
        <w:t xml:space="preserve"> of </w:t>
      </w:r>
      <w:r>
        <w:rPr>
          <w:kern w:val="0"/>
        </w:rPr>
        <w:t>these articles, we intended to determine what qualities make an orthopaedic article important to</w:t>
      </w:r>
      <w:r w:rsidR="003A1917">
        <w:rPr>
          <w:kern w:val="0"/>
        </w:rPr>
        <w:t xml:space="preserve"> the </w:t>
      </w:r>
      <w:r>
        <w:rPr>
          <w:kern w:val="0"/>
        </w:rPr>
        <w:t>specialty. Finally, we determined if there was a change in level</w:t>
      </w:r>
      <w:r w:rsidR="00427468">
        <w:rPr>
          <w:kern w:val="0"/>
        </w:rPr>
        <w:t xml:space="preserve"> of </w:t>
      </w:r>
      <w:r>
        <w:rPr>
          <w:kern w:val="0"/>
        </w:rPr>
        <w:t>evidence</w:t>
      </w:r>
      <w:r w:rsidR="00427468">
        <w:rPr>
          <w:kern w:val="0"/>
        </w:rPr>
        <w:t xml:space="preserve"> of </w:t>
      </w:r>
      <w:r>
        <w:rPr>
          <w:kern w:val="0"/>
        </w:rPr>
        <w:t>studies on this list with time. Science Citation Index Expanded was searched for citations to articles published in any</w:t>
      </w:r>
      <w:r w:rsidR="00427468">
        <w:rPr>
          <w:kern w:val="0"/>
        </w:rPr>
        <w:t xml:space="preserve"> of </w:t>
      </w:r>
      <w:r w:rsidR="003A1917">
        <w:rPr>
          <w:kern w:val="0"/>
        </w:rPr>
        <w:t xml:space="preserve">the </w:t>
      </w:r>
      <w:r>
        <w:rPr>
          <w:kern w:val="0"/>
        </w:rPr>
        <w:t>49 journals in</w:t>
      </w:r>
      <w:r w:rsidR="003A1917">
        <w:rPr>
          <w:kern w:val="0"/>
        </w:rPr>
        <w:t xml:space="preserve"> the </w:t>
      </w:r>
      <w:r>
        <w:rPr>
          <w:kern w:val="0"/>
        </w:rPr>
        <w:t xml:space="preserve">subject category </w:t>
      </w:r>
      <w:r w:rsidR="00B5188C">
        <w:rPr>
          <w:kern w:val="0"/>
        </w:rPr>
        <w:t>“</w:t>
      </w:r>
      <w:r>
        <w:rPr>
          <w:kern w:val="0"/>
        </w:rPr>
        <w:t>ORTHOPEDICS.</w:t>
      </w:r>
      <w:r w:rsidR="00B5188C">
        <w:rPr>
          <w:kern w:val="0"/>
        </w:rPr>
        <w:t>”</w:t>
      </w:r>
      <w:r>
        <w:rPr>
          <w:kern w:val="0"/>
        </w:rPr>
        <w:t xml:space="preserve"> Each</w:t>
      </w:r>
      <w:r w:rsidR="00427468">
        <w:rPr>
          <w:kern w:val="0"/>
        </w:rPr>
        <w:t xml:space="preserve"> of </w:t>
      </w:r>
      <w:r w:rsidR="003A1917">
        <w:rPr>
          <w:kern w:val="0"/>
        </w:rPr>
        <w:t xml:space="preserve">the </w:t>
      </w:r>
      <w:r>
        <w:rPr>
          <w:kern w:val="0"/>
        </w:rPr>
        <w:t>49 journals was searched separately using</w:t>
      </w:r>
      <w:r w:rsidR="003A1917">
        <w:rPr>
          <w:kern w:val="0"/>
        </w:rPr>
        <w:t xml:space="preserve"> the </w:t>
      </w:r>
      <w:r w:rsidR="00B5188C">
        <w:rPr>
          <w:kern w:val="0"/>
        </w:rPr>
        <w:t>“</w:t>
      </w:r>
      <w:r>
        <w:rPr>
          <w:kern w:val="0"/>
        </w:rPr>
        <w:t>cited reference search</w:t>
      </w:r>
      <w:r w:rsidR="00B5188C">
        <w:rPr>
          <w:kern w:val="0"/>
        </w:rPr>
        <w:t>”</w:t>
      </w:r>
      <w:r>
        <w:rPr>
          <w:kern w:val="0"/>
        </w:rPr>
        <w:t xml:space="preserve"> to determine</w:t>
      </w:r>
      <w:r w:rsidR="003A1917">
        <w:rPr>
          <w:kern w:val="0"/>
        </w:rPr>
        <w:t xml:space="preserve"> the </w:t>
      </w:r>
      <w:r>
        <w:rPr>
          <w:kern w:val="0"/>
        </w:rPr>
        <w:t>100 most often cited articles. Each article was reviewed for basic information including year</w:t>
      </w:r>
      <w:r w:rsidR="00427468">
        <w:rPr>
          <w:kern w:val="0"/>
        </w:rPr>
        <w:t xml:space="preserve"> of </w:t>
      </w:r>
      <w:r>
        <w:rPr>
          <w:kern w:val="0"/>
        </w:rPr>
        <w:t>publication, country</w:t>
      </w:r>
      <w:r w:rsidR="00427468">
        <w:rPr>
          <w:kern w:val="0"/>
        </w:rPr>
        <w:t xml:space="preserve"> of </w:t>
      </w:r>
      <w:r>
        <w:rPr>
          <w:kern w:val="0"/>
        </w:rPr>
        <w:t>origin, source journal</w:t>
      </w:r>
      <w:r w:rsidR="00427468">
        <w:rPr>
          <w:kern w:val="0"/>
        </w:rPr>
        <w:t xml:space="preserve"> of </w:t>
      </w:r>
      <w:r w:rsidR="003A1917">
        <w:rPr>
          <w:kern w:val="0"/>
        </w:rPr>
        <w:t xml:space="preserve">the </w:t>
      </w:r>
      <w:r>
        <w:rPr>
          <w:kern w:val="0"/>
        </w:rPr>
        <w:t>article, article type,</w:t>
      </w:r>
      <w:r w:rsidR="005853A9">
        <w:rPr>
          <w:kern w:val="0"/>
        </w:rPr>
        <w:t xml:space="preserve"> and </w:t>
      </w:r>
      <w:r>
        <w:rPr>
          <w:kern w:val="0"/>
        </w:rPr>
        <w:t>level</w:t>
      </w:r>
      <w:r w:rsidR="00427468">
        <w:rPr>
          <w:kern w:val="0"/>
        </w:rPr>
        <w:t xml:space="preserve"> of </w:t>
      </w:r>
      <w:r>
        <w:rPr>
          <w:kern w:val="0"/>
        </w:rPr>
        <w:t>evidence. We categorized</w:t>
      </w:r>
      <w:r w:rsidR="003A1917">
        <w:rPr>
          <w:kern w:val="0"/>
        </w:rPr>
        <w:t xml:space="preserve"> the </w:t>
      </w:r>
      <w:r>
        <w:rPr>
          <w:kern w:val="0"/>
        </w:rPr>
        <w:t>journal article by field</w:t>
      </w:r>
      <w:r w:rsidR="00427468">
        <w:rPr>
          <w:kern w:val="0"/>
        </w:rPr>
        <w:t xml:space="preserve"> of </w:t>
      </w:r>
      <w:r>
        <w:rPr>
          <w:kern w:val="0"/>
        </w:rPr>
        <w:t>research where possible</w:t>
      </w:r>
      <w:r w:rsidR="00A37C1D">
        <w:rPr>
          <w:kern w:val="0"/>
        </w:rPr>
        <w:t>. The</w:t>
      </w:r>
      <w:r w:rsidR="003A1917">
        <w:rPr>
          <w:kern w:val="0"/>
        </w:rPr>
        <w:t xml:space="preserve"> </w:t>
      </w:r>
      <w:r>
        <w:rPr>
          <w:kern w:val="0"/>
        </w:rPr>
        <w:t>number</w:t>
      </w:r>
      <w:r w:rsidR="00427468">
        <w:rPr>
          <w:kern w:val="0"/>
        </w:rPr>
        <w:t xml:space="preserve"> of </w:t>
      </w:r>
      <w:r>
        <w:rPr>
          <w:kern w:val="0"/>
        </w:rPr>
        <w:t>citations ranged from 1748 to 353</w:t>
      </w:r>
      <w:r w:rsidR="00A37C1D">
        <w:rPr>
          <w:kern w:val="0"/>
        </w:rPr>
        <w:t>. The</w:t>
      </w:r>
      <w:r w:rsidR="003A1917">
        <w:rPr>
          <w:kern w:val="0"/>
        </w:rPr>
        <w:t xml:space="preserve"> </w:t>
      </w:r>
      <w:r>
        <w:rPr>
          <w:kern w:val="0"/>
        </w:rPr>
        <w:t>100 most often cited articles in orthopaedic surgery were published in 11</w:t>
      </w:r>
      <w:r w:rsidR="00427468">
        <w:rPr>
          <w:kern w:val="0"/>
        </w:rPr>
        <w:t xml:space="preserve"> of </w:t>
      </w:r>
      <w:r w:rsidR="003A1917">
        <w:rPr>
          <w:kern w:val="0"/>
        </w:rPr>
        <w:t xml:space="preserve">the </w:t>
      </w:r>
      <w:r>
        <w:rPr>
          <w:kern w:val="0"/>
        </w:rPr>
        <w:t>49 journals, spanning from general to more specific subspecialty journals</w:t>
      </w:r>
      <w:r w:rsidR="00A37C1D">
        <w:rPr>
          <w:kern w:val="0"/>
        </w:rPr>
        <w:t>. The</w:t>
      </w:r>
      <w:r w:rsidR="003A1917">
        <w:rPr>
          <w:kern w:val="0"/>
        </w:rPr>
        <w:t xml:space="preserve"> </w:t>
      </w:r>
      <w:r>
        <w:rPr>
          <w:kern w:val="0"/>
        </w:rPr>
        <w:t>majority</w:t>
      </w:r>
      <w:r w:rsidR="00427468">
        <w:rPr>
          <w:kern w:val="0"/>
        </w:rPr>
        <w:t xml:space="preserve"> of </w:t>
      </w:r>
      <w:r w:rsidR="003A1917">
        <w:rPr>
          <w:kern w:val="0"/>
        </w:rPr>
        <w:t xml:space="preserve">the </w:t>
      </w:r>
      <w:r>
        <w:rPr>
          <w:kern w:val="0"/>
        </w:rPr>
        <w:t>papers (76) were clinical, with</w:t>
      </w:r>
      <w:r w:rsidR="003A1917">
        <w:rPr>
          <w:kern w:val="0"/>
        </w:rPr>
        <w:t xml:space="preserve"> the </w:t>
      </w:r>
      <w:r>
        <w:rPr>
          <w:kern w:val="0"/>
        </w:rPr>
        <w:t>remaining representing some type</w:t>
      </w:r>
      <w:r w:rsidR="00427468">
        <w:rPr>
          <w:kern w:val="0"/>
        </w:rPr>
        <w:t xml:space="preserve"> of </w:t>
      </w:r>
      <w:r>
        <w:rPr>
          <w:kern w:val="0"/>
        </w:rPr>
        <w:t>basic science research</w:t>
      </w:r>
      <w:r w:rsidR="00A37C1D">
        <w:rPr>
          <w:kern w:val="0"/>
        </w:rPr>
        <w:t>. The</w:t>
      </w:r>
      <w:r w:rsidR="003A1917">
        <w:rPr>
          <w:kern w:val="0"/>
        </w:rPr>
        <w:t xml:space="preserve"> </w:t>
      </w:r>
      <w:r>
        <w:rPr>
          <w:kern w:val="0"/>
        </w:rPr>
        <w:t>most common level</w:t>
      </w:r>
      <w:r w:rsidR="00427468">
        <w:rPr>
          <w:kern w:val="0"/>
        </w:rPr>
        <w:t xml:space="preserve"> of </w:t>
      </w:r>
      <w:r>
        <w:rPr>
          <w:kern w:val="0"/>
        </w:rPr>
        <w:t>evidence was IV (42</w:t>
      </w:r>
      <w:r w:rsidR="00427468">
        <w:rPr>
          <w:kern w:val="0"/>
        </w:rPr>
        <w:t xml:space="preserve"> of </w:t>
      </w:r>
      <w:r w:rsidR="003A1917">
        <w:rPr>
          <w:kern w:val="0"/>
        </w:rPr>
        <w:t xml:space="preserve">the </w:t>
      </w:r>
      <w:r>
        <w:rPr>
          <w:kern w:val="0"/>
        </w:rPr>
        <w:t>76 studies).</w:t>
      </w:r>
      <w:r w:rsidR="00427468">
        <w:rPr>
          <w:kern w:val="0"/>
        </w:rPr>
        <w:t xml:space="preserve"> of </w:t>
      </w:r>
      <w:r w:rsidR="003A1917">
        <w:rPr>
          <w:kern w:val="0"/>
        </w:rPr>
        <w:t xml:space="preserve">the </w:t>
      </w:r>
      <w:r>
        <w:rPr>
          <w:kern w:val="0"/>
        </w:rPr>
        <w:t>76 clinical articles, 27 introduced or tested classification systems or outcome measurement tools. Authors aiming to write a highly cited article in an orthopaedic surgery journal will be favored by language</w:t>
      </w:r>
      <w:r w:rsidR="00427468">
        <w:rPr>
          <w:kern w:val="0"/>
        </w:rPr>
        <w:t xml:space="preserve"> of </w:t>
      </w:r>
      <w:r>
        <w:rPr>
          <w:kern w:val="0"/>
        </w:rPr>
        <w:t>publication, source journal, country</w:t>
      </w:r>
      <w:r w:rsidR="00427468">
        <w:rPr>
          <w:kern w:val="0"/>
        </w:rPr>
        <w:t xml:space="preserve"> of </w:t>
      </w:r>
      <w:r>
        <w:rPr>
          <w:kern w:val="0"/>
        </w:rPr>
        <w:t>origin,</w:t>
      </w:r>
      <w:r w:rsidR="005853A9">
        <w:rPr>
          <w:kern w:val="0"/>
        </w:rPr>
        <w:t xml:space="preserve"> and </w:t>
      </w:r>
      <w:r>
        <w:rPr>
          <w:kern w:val="0"/>
        </w:rPr>
        <w:t>introduction</w:t>
      </w:r>
      <w:r w:rsidR="00427468">
        <w:rPr>
          <w:kern w:val="0"/>
        </w:rPr>
        <w:t xml:space="preserve"> of </w:t>
      </w:r>
      <w:r>
        <w:rPr>
          <w:kern w:val="0"/>
        </w:rPr>
        <w:t>a classification scheme or outcome tool.</w:t>
      </w:r>
    </w:p>
    <w:p w:rsidR="00A63E1E" w:rsidRDefault="00A63E1E" w:rsidP="00A63E1E">
      <w:pPr>
        <w:pStyle w:val="a3"/>
        <w:rPr>
          <w:kern w:val="0"/>
        </w:rPr>
      </w:pPr>
      <w:r>
        <w:rPr>
          <w:kern w:val="0"/>
        </w:rPr>
        <w:t>Keywords: Analysis, Articles, Authors, Characteristics, Citation, Citation Analysis, Citation-Classics, Citations, Classification, Clinical, Community, Country, Country</w:t>
      </w:r>
      <w:r w:rsidR="00427468">
        <w:rPr>
          <w:kern w:val="0"/>
        </w:rPr>
        <w:t xml:space="preserve"> of </w:t>
      </w:r>
      <w:r>
        <w:rPr>
          <w:kern w:val="0"/>
        </w:rPr>
        <w:t xml:space="preserve">Origin, Emergency-Medicine, Evidence, Field, General, Impact, Information, Iv, Journal, Journal Article, Journals, Measurement, Medical, Origin, Outcome, Papers, Publication, Ranking, Reference, Research, Science, Science Citation Index, Science Citation Index Expanded, Science Research, Source, Specialty, Surgery, Systems, </w:t>
      </w:r>
      <w:r>
        <w:rPr>
          <w:kern w:val="0"/>
        </w:rPr>
        <w:lastRenderedPageBreak/>
        <w:t>Trauma, Work</w:t>
      </w:r>
    </w:p>
    <w:p w:rsidR="000E063D" w:rsidRDefault="000E063D" w:rsidP="000E063D">
      <w:pPr>
        <w:pStyle w:val="a3"/>
        <w:rPr>
          <w:kern w:val="0"/>
        </w:rPr>
      </w:pPr>
      <w:r>
        <w:rPr>
          <w:rFonts w:hint="eastAsia"/>
          <w:kern w:val="0"/>
        </w:rPr>
        <w:t xml:space="preserve">? </w:t>
      </w:r>
      <w:r>
        <w:rPr>
          <w:kern w:val="0"/>
        </w:rPr>
        <w:t>Morris, M.D.</w:t>
      </w:r>
      <w:r w:rsidR="005853A9">
        <w:rPr>
          <w:kern w:val="0"/>
        </w:rPr>
        <w:t xml:space="preserve"> and </w:t>
      </w:r>
      <w:r>
        <w:rPr>
          <w:kern w:val="0"/>
        </w:rPr>
        <w:t>Mandair, G.S. (2011), Raman assessment</w:t>
      </w:r>
      <w:r w:rsidR="00427468">
        <w:rPr>
          <w:kern w:val="0"/>
        </w:rPr>
        <w:t xml:space="preserve"> of </w:t>
      </w:r>
      <w:r>
        <w:rPr>
          <w:kern w:val="0"/>
        </w:rPr>
        <w:t xml:space="preserve">bone quality.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469</w:t>
      </w:r>
      <w:r>
        <w:rPr>
          <w:kern w:val="0"/>
        </w:rPr>
        <w:t xml:space="preserve"> (8), 2160-2169.</w:t>
      </w:r>
    </w:p>
    <w:p w:rsidR="000E063D" w:rsidRDefault="000E063D" w:rsidP="000E063D">
      <w:pPr>
        <w:pStyle w:val="a3"/>
        <w:rPr>
          <w:kern w:val="0"/>
        </w:rPr>
      </w:pPr>
      <w:r>
        <w:rPr>
          <w:rFonts w:hint="eastAsia"/>
          <w:kern w:val="0"/>
        </w:rPr>
        <w:t xml:space="preserve">Full Text: </w:t>
      </w:r>
      <w:r w:rsidRPr="00991FA2">
        <w:rPr>
          <w:kern w:val="0"/>
        </w:rPr>
        <w:t>201</w:t>
      </w:r>
      <w:r>
        <w:rPr>
          <w:rFonts w:hint="eastAsia"/>
          <w:kern w:val="0"/>
        </w:rPr>
        <w:t>1</w:t>
      </w:r>
      <w:r>
        <w:rPr>
          <w:kern w:val="0"/>
        </w:rPr>
        <w:t>\Cli Ort Rel Res46</w:t>
      </w:r>
      <w:r>
        <w:rPr>
          <w:rFonts w:hint="eastAsia"/>
          <w:kern w:val="0"/>
        </w:rPr>
        <w:t>9</w:t>
      </w:r>
      <w:r>
        <w:rPr>
          <w:kern w:val="0"/>
        </w:rPr>
        <w:t>, 2</w:t>
      </w:r>
      <w:r>
        <w:rPr>
          <w:rFonts w:hint="eastAsia"/>
          <w:kern w:val="0"/>
        </w:rPr>
        <w:t>160</w:t>
      </w:r>
      <w:r w:rsidRPr="00991FA2">
        <w:rPr>
          <w:kern w:val="0"/>
        </w:rPr>
        <w:t>.pdf</w:t>
      </w:r>
    </w:p>
    <w:p w:rsidR="000E063D" w:rsidRDefault="000E063D" w:rsidP="000E063D">
      <w:pPr>
        <w:pStyle w:val="a3"/>
        <w:rPr>
          <w:kern w:val="0"/>
        </w:rPr>
      </w:pPr>
      <w:r>
        <w:rPr>
          <w:kern w:val="0"/>
        </w:rPr>
        <w:t>Abstract: Progress in</w:t>
      </w:r>
      <w:r w:rsidR="003A1917">
        <w:rPr>
          <w:kern w:val="0"/>
        </w:rPr>
        <w:t xml:space="preserve"> the </w:t>
      </w:r>
      <w:r>
        <w:rPr>
          <w:kern w:val="0"/>
        </w:rPr>
        <w:t>diagnosis</w:t>
      </w:r>
      <w:r w:rsidR="005853A9">
        <w:rPr>
          <w:kern w:val="0"/>
        </w:rPr>
        <w:t xml:space="preserve"> and </w:t>
      </w:r>
      <w:r>
        <w:rPr>
          <w:kern w:val="0"/>
        </w:rPr>
        <w:t>prediction</w:t>
      </w:r>
      <w:r w:rsidR="00427468">
        <w:rPr>
          <w:kern w:val="0"/>
        </w:rPr>
        <w:t xml:space="preserve"> of </w:t>
      </w:r>
      <w:r>
        <w:rPr>
          <w:kern w:val="0"/>
        </w:rPr>
        <w:t>fragility fractures depends on improvements to</w:t>
      </w:r>
      <w:r w:rsidR="003A1917">
        <w:rPr>
          <w:kern w:val="0"/>
        </w:rPr>
        <w:t xml:space="preserve"> the </w:t>
      </w:r>
      <w:r>
        <w:rPr>
          <w:kern w:val="0"/>
        </w:rPr>
        <w:t>understating</w:t>
      </w:r>
      <w:r w:rsidR="00427468">
        <w:rPr>
          <w:kern w:val="0"/>
        </w:rPr>
        <w:t xml:space="preserve"> of </w:t>
      </w:r>
      <w:r w:rsidR="003A1917">
        <w:rPr>
          <w:kern w:val="0"/>
        </w:rPr>
        <w:t xml:space="preserve">the </w:t>
      </w:r>
      <w:r>
        <w:rPr>
          <w:kern w:val="0"/>
        </w:rPr>
        <w:t>compositional contributors</w:t>
      </w:r>
      <w:r w:rsidR="00427468">
        <w:rPr>
          <w:kern w:val="0"/>
        </w:rPr>
        <w:t xml:space="preserve"> of </w:t>
      </w:r>
      <w:r>
        <w:rPr>
          <w:kern w:val="0"/>
        </w:rPr>
        <w:t>bone quality to mechanical competence. Raman spectroscopy has been used to evaluate alterations to bone composition associated with aging, disease, or injury. In this survey we will (1) review</w:t>
      </w:r>
      <w:r w:rsidR="003A1917">
        <w:rPr>
          <w:kern w:val="0"/>
        </w:rPr>
        <w:t xml:space="preserve"> the </w:t>
      </w:r>
      <w:r>
        <w:rPr>
          <w:kern w:val="0"/>
        </w:rPr>
        <w:t>use</w:t>
      </w:r>
      <w:r w:rsidR="00427468">
        <w:rPr>
          <w:kern w:val="0"/>
        </w:rPr>
        <w:t xml:space="preserve"> of </w:t>
      </w:r>
      <w:r>
        <w:rPr>
          <w:kern w:val="0"/>
        </w:rPr>
        <w:t>Raman-based compositional measures</w:t>
      </w:r>
      <w:r w:rsidR="00427468">
        <w:rPr>
          <w:kern w:val="0"/>
        </w:rPr>
        <w:t xml:space="preserve"> of </w:t>
      </w:r>
      <w:r>
        <w:rPr>
          <w:kern w:val="0"/>
        </w:rPr>
        <w:t>bone quality, including mineral-to-matrix ratio, carbonate-to-phosphate ratio, collagen quality,</w:t>
      </w:r>
      <w:r w:rsidR="005853A9">
        <w:rPr>
          <w:kern w:val="0"/>
        </w:rPr>
        <w:t xml:space="preserve"> and </w:t>
      </w:r>
      <w:r>
        <w:rPr>
          <w:kern w:val="0"/>
        </w:rPr>
        <w:t>crystallinity; (2) review literature correlating Raman spectra with biomechanical</w:t>
      </w:r>
      <w:r w:rsidR="005853A9">
        <w:rPr>
          <w:kern w:val="0"/>
        </w:rPr>
        <w:t xml:space="preserve"> and </w:t>
      </w:r>
      <w:r>
        <w:rPr>
          <w:kern w:val="0"/>
        </w:rPr>
        <w:t>other physiochemical measurements</w:t>
      </w:r>
      <w:r w:rsidR="005853A9">
        <w:rPr>
          <w:kern w:val="0"/>
        </w:rPr>
        <w:t xml:space="preserve"> and </w:t>
      </w:r>
      <w:r>
        <w:rPr>
          <w:kern w:val="0"/>
        </w:rPr>
        <w:t>with bone health;</w:t>
      </w:r>
      <w:r w:rsidR="005853A9">
        <w:rPr>
          <w:kern w:val="0"/>
        </w:rPr>
        <w:t xml:space="preserve"> and </w:t>
      </w:r>
      <w:r>
        <w:rPr>
          <w:kern w:val="0"/>
        </w:rPr>
        <w:t>(3) discuss prospects for ex vivo</w:t>
      </w:r>
      <w:r w:rsidR="005853A9">
        <w:rPr>
          <w:kern w:val="0"/>
        </w:rPr>
        <w:t xml:space="preserve"> and </w:t>
      </w:r>
      <w:r>
        <w:rPr>
          <w:kern w:val="0"/>
        </w:rPr>
        <w:t xml:space="preserve">in vivo human subject measurements.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was searched for references to bone Raman spectroscopy in peer-reviewed journals. Papers from other topics have been excluded from this review, including those on pharmaceutical topics, dental tissue, tissue engineering, stem cells,</w:t>
      </w:r>
      <w:r w:rsidR="005853A9">
        <w:rPr>
          <w:kern w:val="0"/>
        </w:rPr>
        <w:t xml:space="preserve"> and </w:t>
      </w:r>
      <w:r>
        <w:rPr>
          <w:kern w:val="0"/>
        </w:rPr>
        <w:t>implant integration. Raman spectra have been reported for human</w:t>
      </w:r>
      <w:r w:rsidR="005853A9">
        <w:rPr>
          <w:kern w:val="0"/>
        </w:rPr>
        <w:t xml:space="preserve"> and </w:t>
      </w:r>
      <w:r>
        <w:rPr>
          <w:kern w:val="0"/>
        </w:rPr>
        <w:t>animal bone as a function</w:t>
      </w:r>
      <w:r w:rsidR="00427468">
        <w:rPr>
          <w:kern w:val="0"/>
        </w:rPr>
        <w:t xml:space="preserve"> of </w:t>
      </w:r>
      <w:r>
        <w:rPr>
          <w:kern w:val="0"/>
        </w:rPr>
        <w:t>age, biomechanical status, pathology,</w:t>
      </w:r>
      <w:r w:rsidR="005853A9">
        <w:rPr>
          <w:kern w:val="0"/>
        </w:rPr>
        <w:t xml:space="preserve"> and </w:t>
      </w:r>
      <w:r>
        <w:rPr>
          <w:kern w:val="0"/>
        </w:rPr>
        <w:t>other quality parameters. Current literature supports</w:t>
      </w:r>
      <w:r w:rsidR="003A1917">
        <w:rPr>
          <w:kern w:val="0"/>
        </w:rPr>
        <w:t xml:space="preserve"> the </w:t>
      </w:r>
      <w:r>
        <w:rPr>
          <w:kern w:val="0"/>
        </w:rPr>
        <w:t>use</w:t>
      </w:r>
      <w:r w:rsidR="00427468">
        <w:rPr>
          <w:kern w:val="0"/>
        </w:rPr>
        <w:t xml:space="preserve"> of </w:t>
      </w:r>
      <w:r>
        <w:rPr>
          <w:kern w:val="0"/>
        </w:rPr>
        <w:t>mineral-to-matrix ratio, carbonate-to-phosphate ratio,</w:t>
      </w:r>
      <w:r w:rsidR="005853A9">
        <w:rPr>
          <w:kern w:val="0"/>
        </w:rPr>
        <w:t xml:space="preserve"> and </w:t>
      </w:r>
      <w:r>
        <w:rPr>
          <w:kern w:val="0"/>
        </w:rPr>
        <w:t>mineral crystallinity as measures</w:t>
      </w:r>
      <w:r w:rsidR="00427468">
        <w:rPr>
          <w:kern w:val="0"/>
        </w:rPr>
        <w:t xml:space="preserve"> of </w:t>
      </w:r>
      <w:r>
        <w:rPr>
          <w:kern w:val="0"/>
        </w:rPr>
        <w:t>bone quality. Discrepancies between reports arise from</w:t>
      </w:r>
      <w:r w:rsidR="003A1917">
        <w:rPr>
          <w:kern w:val="0"/>
        </w:rPr>
        <w:t xml:space="preserve"> the </w:t>
      </w:r>
      <w:r>
        <w:rPr>
          <w:kern w:val="0"/>
        </w:rPr>
        <w:t>use</w:t>
      </w:r>
      <w:r w:rsidR="00427468">
        <w:rPr>
          <w:kern w:val="0"/>
        </w:rPr>
        <w:t xml:space="preserve"> of </w:t>
      </w:r>
      <w:r>
        <w:rPr>
          <w:kern w:val="0"/>
        </w:rPr>
        <w:t>band intensity ratios rather than true composition ratios, primarily as a result</w:t>
      </w:r>
      <w:r w:rsidR="00427468">
        <w:rPr>
          <w:kern w:val="0"/>
        </w:rPr>
        <w:t xml:space="preserve"> of </w:t>
      </w:r>
      <w:r>
        <w:rPr>
          <w:kern w:val="0"/>
        </w:rPr>
        <w:t>differing collagen band selections. Raman spectroscopy shows promise for evaluating</w:t>
      </w:r>
      <w:r w:rsidR="003A1917">
        <w:rPr>
          <w:kern w:val="0"/>
        </w:rPr>
        <w:t xml:space="preserve"> the </w:t>
      </w:r>
      <w:r>
        <w:rPr>
          <w:kern w:val="0"/>
        </w:rPr>
        <w:t>compositional contributors</w:t>
      </w:r>
      <w:r w:rsidR="00427468">
        <w:rPr>
          <w:kern w:val="0"/>
        </w:rPr>
        <w:t xml:space="preserve"> of </w:t>
      </w:r>
      <w:r>
        <w:rPr>
          <w:kern w:val="0"/>
        </w:rPr>
        <w:t>bone quality in ex vivo specimens, although further validation is still needed. Methodology for noninvasive in vivo assessments is still under development.</w:t>
      </w:r>
    </w:p>
    <w:p w:rsidR="000E063D" w:rsidRDefault="000E063D" w:rsidP="000E063D">
      <w:pPr>
        <w:pStyle w:val="a3"/>
        <w:rPr>
          <w:kern w:val="0"/>
        </w:rPr>
      </w:pPr>
      <w:r>
        <w:rPr>
          <w:kern w:val="0"/>
        </w:rPr>
        <w:t>Keywords: Age-Related-Changes, Aging, Animal Age, Assessment, Bone, Collagen Cross-Links, Deficient Mice, Development, Diagnosis, Disease, Human, Human Cortical Bone, In Vivo, Injury</w:t>
      </w:r>
      <w:r w:rsidR="00D5664A">
        <w:rPr>
          <w:kern w:val="0"/>
        </w:rPr>
        <w:t>, ISI,</w:t>
      </w:r>
      <w:r>
        <w:rPr>
          <w:kern w:val="0"/>
        </w:rPr>
        <w:t xml:space="preserve"> Journals, Literature, Mechanical-Properties, Methodology, Mineralized Tissues, Osteonal Bone, Pathology, Quality, Ratio, Review, Review Literature, Science, Spectroscopic Analysis, Survey, Topics, Trabecular Bone, Validation, </w:t>
      </w:r>
      <w:r w:rsidR="00D5664A">
        <w:rPr>
          <w:kern w:val="0"/>
        </w:rPr>
        <w:t>Web</w:t>
      </w:r>
      <w:r w:rsidR="00427468">
        <w:rPr>
          <w:kern w:val="0"/>
        </w:rPr>
        <w:t xml:space="preserve"> of </w:t>
      </w:r>
      <w:r w:rsidR="00D5664A">
        <w:rPr>
          <w:kern w:val="0"/>
        </w:rPr>
        <w:t>Science</w:t>
      </w:r>
    </w:p>
    <w:p w:rsidR="00261F36" w:rsidRDefault="00261F36" w:rsidP="00261F36">
      <w:pPr>
        <w:pStyle w:val="a3"/>
        <w:rPr>
          <w:kern w:val="0"/>
        </w:rPr>
      </w:pPr>
      <w:r>
        <w:rPr>
          <w:rFonts w:hint="eastAsia"/>
          <w:kern w:val="0"/>
        </w:rPr>
        <w:t xml:space="preserve">? </w:t>
      </w:r>
      <w:r>
        <w:rPr>
          <w:kern w:val="0"/>
        </w:rPr>
        <w:t>Bracco, P.</w:t>
      </w:r>
      <w:r w:rsidR="005853A9">
        <w:rPr>
          <w:kern w:val="0"/>
        </w:rPr>
        <w:t xml:space="preserve"> and </w:t>
      </w:r>
      <w:r>
        <w:rPr>
          <w:kern w:val="0"/>
        </w:rPr>
        <w:t xml:space="preserve">Oral, E. (2011), Vitamin E-stabilized UHMWPE for total joint implants: A review.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469</w:t>
      </w:r>
      <w:r>
        <w:rPr>
          <w:kern w:val="0"/>
        </w:rPr>
        <w:t xml:space="preserve"> (8), 2286-2293.</w:t>
      </w:r>
    </w:p>
    <w:p w:rsidR="00261F36" w:rsidRDefault="00261F36" w:rsidP="00261F36">
      <w:pPr>
        <w:pStyle w:val="a3"/>
        <w:rPr>
          <w:kern w:val="0"/>
        </w:rPr>
      </w:pPr>
      <w:r>
        <w:rPr>
          <w:rFonts w:hint="eastAsia"/>
          <w:kern w:val="0"/>
        </w:rPr>
        <w:t xml:space="preserve">Full Text: </w:t>
      </w:r>
      <w:hyperlink r:id="rId388" w:history="1">
        <w:r w:rsidRPr="001608C8">
          <w:rPr>
            <w:rStyle w:val="a5"/>
            <w:kern w:val="0"/>
          </w:rPr>
          <w:t>2011\Cli Ort Rel Res469, 2286.pdf</w:t>
        </w:r>
      </w:hyperlink>
    </w:p>
    <w:p w:rsidR="00261F36" w:rsidRDefault="00261F36" w:rsidP="00261F36">
      <w:pPr>
        <w:pStyle w:val="a3"/>
        <w:rPr>
          <w:kern w:val="0"/>
        </w:rPr>
      </w:pPr>
      <w:r>
        <w:rPr>
          <w:kern w:val="0"/>
        </w:rPr>
        <w:t>Abstract: Osteolysis due to wear</w:t>
      </w:r>
      <w:r w:rsidR="00427468">
        <w:rPr>
          <w:kern w:val="0"/>
        </w:rPr>
        <w:t xml:space="preserve"> of </w:t>
      </w:r>
      <w:r>
        <w:rPr>
          <w:kern w:val="0"/>
        </w:rPr>
        <w:t>UHMWPE limits</w:t>
      </w:r>
      <w:r w:rsidR="003A1917">
        <w:rPr>
          <w:kern w:val="0"/>
        </w:rPr>
        <w:t xml:space="preserve"> the </w:t>
      </w:r>
      <w:r>
        <w:rPr>
          <w:kern w:val="0"/>
        </w:rPr>
        <w:t>longevity</w:t>
      </w:r>
      <w:r w:rsidR="00427468">
        <w:rPr>
          <w:kern w:val="0"/>
        </w:rPr>
        <w:t xml:space="preserve"> of </w:t>
      </w:r>
      <w:r>
        <w:rPr>
          <w:kern w:val="0"/>
        </w:rPr>
        <w:t>joint arthroplasty. Oxidative degradation</w:t>
      </w:r>
      <w:r w:rsidR="00427468">
        <w:rPr>
          <w:kern w:val="0"/>
        </w:rPr>
        <w:t xml:space="preserve"> of </w:t>
      </w:r>
      <w:r>
        <w:rPr>
          <w:kern w:val="0"/>
        </w:rPr>
        <w:t>UHMWPE gamma-sterilized in air increases its wear while decreasing mechanical strength. Vitamin E stabilization</w:t>
      </w:r>
      <w:r w:rsidR="00427468">
        <w:rPr>
          <w:kern w:val="0"/>
        </w:rPr>
        <w:t xml:space="preserve"> of </w:t>
      </w:r>
      <w:r>
        <w:rPr>
          <w:kern w:val="0"/>
        </w:rPr>
        <w:t>UHMWPE was proposed to improve oxidation resistance while maintaining wear resistance</w:t>
      </w:r>
      <w:r w:rsidR="005853A9">
        <w:rPr>
          <w:kern w:val="0"/>
        </w:rPr>
        <w:t xml:space="preserve"> and </w:t>
      </w:r>
      <w:r>
        <w:rPr>
          <w:kern w:val="0"/>
        </w:rPr>
        <w:t xml:space="preserve">fatigue </w:t>
      </w:r>
      <w:r>
        <w:rPr>
          <w:kern w:val="0"/>
        </w:rPr>
        <w:lastRenderedPageBreak/>
        <w:t>strength. We reviewed</w:t>
      </w:r>
      <w:r w:rsidR="003A1917">
        <w:rPr>
          <w:kern w:val="0"/>
        </w:rPr>
        <w:t xml:space="preserve"> the </w:t>
      </w:r>
      <w:r>
        <w:rPr>
          <w:kern w:val="0"/>
        </w:rPr>
        <w:t>preclinical research on</w:t>
      </w:r>
      <w:r w:rsidR="003A1917">
        <w:rPr>
          <w:kern w:val="0"/>
        </w:rPr>
        <w:t xml:space="preserve"> the </w:t>
      </w:r>
      <w:r>
        <w:rPr>
          <w:kern w:val="0"/>
        </w:rPr>
        <w:t>development</w:t>
      </w:r>
      <w:r w:rsidR="005853A9">
        <w:rPr>
          <w:kern w:val="0"/>
        </w:rPr>
        <w:t xml:space="preserve"> and </w:t>
      </w:r>
      <w:r>
        <w:rPr>
          <w:kern w:val="0"/>
        </w:rPr>
        <w:t>testing</w:t>
      </w:r>
      <w:r w:rsidR="00427468">
        <w:rPr>
          <w:kern w:val="0"/>
        </w:rPr>
        <w:t xml:space="preserve"> of </w:t>
      </w:r>
      <w:r>
        <w:rPr>
          <w:kern w:val="0"/>
        </w:rPr>
        <w:t>vitamin E-stabilized UHMWPE with</w:t>
      </w:r>
      <w:r w:rsidR="003A1917">
        <w:rPr>
          <w:kern w:val="0"/>
        </w:rPr>
        <w:t xml:space="preserve"> the </w:t>
      </w:r>
      <w:r>
        <w:rPr>
          <w:kern w:val="0"/>
        </w:rPr>
        <w:t>following questions in mind: (1) What is</w:t>
      </w:r>
      <w:r w:rsidR="003A1917">
        <w:rPr>
          <w:kern w:val="0"/>
        </w:rPr>
        <w:t xml:space="preserve"> the </w:t>
      </w:r>
      <w:r>
        <w:rPr>
          <w:kern w:val="0"/>
        </w:rPr>
        <w:t>rationale behind protecting irradiated UHMWPE against oxidation by vitamin E? (2) What are</w:t>
      </w:r>
      <w:r w:rsidR="003A1917">
        <w:rPr>
          <w:kern w:val="0"/>
        </w:rPr>
        <w:t xml:space="preserve"> the </w:t>
      </w:r>
      <w:r>
        <w:rPr>
          <w:kern w:val="0"/>
        </w:rPr>
        <w:t>effects</w:t>
      </w:r>
      <w:r w:rsidR="00427468">
        <w:rPr>
          <w:kern w:val="0"/>
        </w:rPr>
        <w:t xml:space="preserve"> of </w:t>
      </w:r>
      <w:r>
        <w:rPr>
          <w:kern w:val="0"/>
        </w:rPr>
        <w:t>vitamin E on</w:t>
      </w:r>
      <w:r w:rsidR="003A1917">
        <w:rPr>
          <w:kern w:val="0"/>
        </w:rPr>
        <w:t xml:space="preserve"> the </w:t>
      </w:r>
      <w:r>
        <w:rPr>
          <w:kern w:val="0"/>
        </w:rPr>
        <w:t>microstructure, tribologic,</w:t>
      </w:r>
      <w:r w:rsidR="005853A9">
        <w:rPr>
          <w:kern w:val="0"/>
        </w:rPr>
        <w:t xml:space="preserve"> and </w:t>
      </w:r>
      <w:r>
        <w:rPr>
          <w:kern w:val="0"/>
        </w:rPr>
        <w:t>mechanical properties</w:t>
      </w:r>
      <w:r w:rsidR="00427468">
        <w:rPr>
          <w:kern w:val="0"/>
        </w:rPr>
        <w:t xml:space="preserve"> of </w:t>
      </w:r>
      <w:r>
        <w:rPr>
          <w:kern w:val="0"/>
        </w:rPr>
        <w:t>irradiated UHMWPE? (3) Is vitamin E expected to affect</w:t>
      </w:r>
      <w:r w:rsidR="003A1917">
        <w:rPr>
          <w:kern w:val="0"/>
        </w:rPr>
        <w:t xml:space="preserve"> the </w:t>
      </w:r>
      <w:r>
        <w:rPr>
          <w:kern w:val="0"/>
        </w:rPr>
        <w:t xml:space="preserve">periprosthetic tissue negatively? We performed searches in </w:t>
      </w:r>
      <w:r w:rsidR="002C12F0">
        <w:rPr>
          <w:kern w:val="0"/>
        </w:rPr>
        <w:t>PUBMED</w:t>
      </w:r>
      <w:r>
        <w:rPr>
          <w:kern w:val="0"/>
        </w:rPr>
        <w:t>, Scopus,</w:t>
      </w:r>
      <w:r w:rsidR="005853A9">
        <w:rPr>
          <w:kern w:val="0"/>
        </w:rPr>
        <w:t xml:space="preserve"> and </w:t>
      </w:r>
      <w:r>
        <w:rPr>
          <w:kern w:val="0"/>
        </w:rPr>
        <w:t>Science Citation Index to review</w:t>
      </w:r>
      <w:r w:rsidR="003A1917">
        <w:rPr>
          <w:kern w:val="0"/>
        </w:rPr>
        <w:t xml:space="preserve"> the </w:t>
      </w:r>
      <w:r>
        <w:rPr>
          <w:kern w:val="0"/>
        </w:rPr>
        <w:t>development</w:t>
      </w:r>
      <w:r w:rsidR="00427468">
        <w:rPr>
          <w:kern w:val="0"/>
        </w:rPr>
        <w:t xml:space="preserve"> of </w:t>
      </w:r>
      <w:r>
        <w:rPr>
          <w:kern w:val="0"/>
        </w:rPr>
        <w:t>vitamin E-stabilized UHMWPEs</w:t>
      </w:r>
      <w:r w:rsidR="005853A9">
        <w:rPr>
          <w:kern w:val="0"/>
        </w:rPr>
        <w:t xml:space="preserve"> and </w:t>
      </w:r>
      <w:r>
        <w:rPr>
          <w:kern w:val="0"/>
        </w:rPr>
        <w:t>their feasibility as clinical implants</w:t>
      </w:r>
      <w:r w:rsidR="00A37C1D">
        <w:rPr>
          <w:kern w:val="0"/>
        </w:rPr>
        <w:t>. The</w:t>
      </w:r>
      <w:r w:rsidR="003A1917">
        <w:rPr>
          <w:kern w:val="0"/>
        </w:rPr>
        <w:t xml:space="preserve"> </w:t>
      </w:r>
      <w:r>
        <w:rPr>
          <w:kern w:val="0"/>
        </w:rPr>
        <w:t>rationale for using vitamin E in UHMWPE was twofold: improving oxidation resistance</w:t>
      </w:r>
      <w:r w:rsidR="00427468">
        <w:rPr>
          <w:kern w:val="0"/>
        </w:rPr>
        <w:t xml:space="preserve"> of </w:t>
      </w:r>
      <w:r>
        <w:rPr>
          <w:kern w:val="0"/>
        </w:rPr>
        <w:t>irradiated UHMWPEs</w:t>
      </w:r>
      <w:r w:rsidR="005853A9">
        <w:rPr>
          <w:kern w:val="0"/>
        </w:rPr>
        <w:t xml:space="preserve"> and </w:t>
      </w:r>
      <w:r>
        <w:rPr>
          <w:kern w:val="0"/>
        </w:rPr>
        <w:t>fatigue strength</w:t>
      </w:r>
      <w:r w:rsidR="00427468">
        <w:rPr>
          <w:kern w:val="0"/>
        </w:rPr>
        <w:t xml:space="preserve"> of </w:t>
      </w:r>
      <w:r>
        <w:rPr>
          <w:kern w:val="0"/>
        </w:rPr>
        <w:t>irradiated UHMWPEs with an alternative to postirradiation melting. Vitamin E-stabilized UHMWPE showed oxidation resistance superior to that</w:t>
      </w:r>
      <w:r w:rsidR="00427468">
        <w:rPr>
          <w:kern w:val="0"/>
        </w:rPr>
        <w:t xml:space="preserve"> of </w:t>
      </w:r>
      <w:r>
        <w:rPr>
          <w:kern w:val="0"/>
        </w:rPr>
        <w:t>irradiated UHMWPEs with detectable residual free radicals. It showed equivalent wear</w:t>
      </w:r>
      <w:r w:rsidR="005853A9">
        <w:rPr>
          <w:kern w:val="0"/>
        </w:rPr>
        <w:t xml:space="preserve"> and </w:t>
      </w:r>
      <w:r>
        <w:rPr>
          <w:kern w:val="0"/>
        </w:rPr>
        <w:t>improved mechanical strength compared to irradiated</w:t>
      </w:r>
      <w:r w:rsidR="005853A9">
        <w:rPr>
          <w:kern w:val="0"/>
        </w:rPr>
        <w:t xml:space="preserve"> and </w:t>
      </w:r>
      <w:r>
        <w:rPr>
          <w:kern w:val="0"/>
        </w:rPr>
        <w:t>melted UHMWPE</w:t>
      </w:r>
      <w:r w:rsidR="00A37C1D">
        <w:rPr>
          <w:kern w:val="0"/>
        </w:rPr>
        <w:t>. The</w:t>
      </w:r>
      <w:r w:rsidR="003A1917">
        <w:rPr>
          <w:kern w:val="0"/>
        </w:rPr>
        <w:t xml:space="preserve"> </w:t>
      </w:r>
      <w:r>
        <w:rPr>
          <w:kern w:val="0"/>
        </w:rPr>
        <w:t>biocompatibility was confirmed by simulating elution, if any,</w:t>
      </w:r>
      <w:r w:rsidR="00427468">
        <w:rPr>
          <w:kern w:val="0"/>
        </w:rPr>
        <w:t xml:space="preserve"> of </w:t>
      </w:r>
      <w:r w:rsidR="003A1917">
        <w:rPr>
          <w:kern w:val="0"/>
        </w:rPr>
        <w:t xml:space="preserve">the </w:t>
      </w:r>
      <w:r>
        <w:rPr>
          <w:kern w:val="0"/>
        </w:rPr>
        <w:t>antioxidant from implants. Vitamin E-stabilized UHMWPE offers a joint arthroplasty technology with good mechanical, wear,</w:t>
      </w:r>
      <w:r w:rsidR="005853A9">
        <w:rPr>
          <w:kern w:val="0"/>
        </w:rPr>
        <w:t xml:space="preserve"> and </w:t>
      </w:r>
      <w:r>
        <w:rPr>
          <w:kern w:val="0"/>
        </w:rPr>
        <w:t>oxidation properties. Vitamin E-stabilized, irradiated UHMWPEs were recently introduced clinically</w:t>
      </w:r>
      <w:r w:rsidR="00A37C1D">
        <w:rPr>
          <w:kern w:val="0"/>
        </w:rPr>
        <w:t>. The</w:t>
      </w:r>
      <w:r w:rsidR="003A1917">
        <w:rPr>
          <w:kern w:val="0"/>
        </w:rPr>
        <w:t xml:space="preserve"> </w:t>
      </w:r>
      <w:r>
        <w:rPr>
          <w:kern w:val="0"/>
        </w:rPr>
        <w:t>rationale behind using vitamin E</w:t>
      </w:r>
      <w:r w:rsidR="005853A9">
        <w:rPr>
          <w:kern w:val="0"/>
        </w:rPr>
        <w:t xml:space="preserve"> and </w:t>
      </w:r>
      <w:r>
        <w:rPr>
          <w:kern w:val="0"/>
        </w:rPr>
        <w:t>in vitro tests comparing its performance to older materials are</w:t>
      </w:r>
      <w:r w:rsidR="00427468">
        <w:rPr>
          <w:kern w:val="0"/>
        </w:rPr>
        <w:t xml:space="preserve"> of </w:t>
      </w:r>
      <w:r>
        <w:rPr>
          <w:kern w:val="0"/>
        </w:rPr>
        <w:t>great interest for improving longevity</w:t>
      </w:r>
      <w:r w:rsidR="00427468">
        <w:rPr>
          <w:kern w:val="0"/>
        </w:rPr>
        <w:t xml:space="preserve"> of </w:t>
      </w:r>
      <w:r>
        <w:rPr>
          <w:kern w:val="0"/>
        </w:rPr>
        <w:t>joint arthroplasties.</w:t>
      </w:r>
    </w:p>
    <w:p w:rsidR="00261F36" w:rsidRDefault="00261F36" w:rsidP="00261F36">
      <w:pPr>
        <w:pStyle w:val="a3"/>
        <w:rPr>
          <w:kern w:val="0"/>
        </w:rPr>
      </w:pPr>
      <w:r>
        <w:rPr>
          <w:kern w:val="0"/>
        </w:rPr>
        <w:t xml:space="preserve">Keywords: Alpha-Tocopherol, Beam Irradiation Oxidation, Citation, Crack Propagation Resistance, Cross-Linked Polyethylene, Development, Electron-Spin Resonance, Fatigue Resistance, Hap-Paul-Award, Mechanical-Properties, Molecular-Weight Polyethylene, </w:t>
      </w:r>
      <w:r w:rsidR="002C12F0">
        <w:rPr>
          <w:kern w:val="0"/>
        </w:rPr>
        <w:t>PUBMED</w:t>
      </w:r>
      <w:r>
        <w:rPr>
          <w:kern w:val="0"/>
        </w:rPr>
        <w:t>, Research, Review, Science Citation Index, Scopus, Total Hip-Arthroplasty</w:t>
      </w:r>
    </w:p>
    <w:p w:rsidR="00BC692A" w:rsidRDefault="00BC692A" w:rsidP="00BC692A">
      <w:pPr>
        <w:pStyle w:val="a3"/>
        <w:rPr>
          <w:kern w:val="0"/>
        </w:rPr>
      </w:pPr>
      <w:r>
        <w:rPr>
          <w:rFonts w:hint="eastAsia"/>
          <w:kern w:val="0"/>
        </w:rPr>
        <w:t xml:space="preserve">? </w:t>
      </w:r>
      <w:r>
        <w:rPr>
          <w:kern w:val="0"/>
        </w:rPr>
        <w:t>Little, W.J. (2012), Hospital for</w:t>
      </w:r>
      <w:r w:rsidR="003A1917">
        <w:rPr>
          <w:kern w:val="0"/>
        </w:rPr>
        <w:t xml:space="preserve"> the </w:t>
      </w:r>
      <w:r>
        <w:rPr>
          <w:kern w:val="0"/>
        </w:rPr>
        <w:t>cure</w:t>
      </w:r>
      <w:r w:rsidR="00427468">
        <w:rPr>
          <w:kern w:val="0"/>
        </w:rPr>
        <w:t xml:space="preserve"> of </w:t>
      </w:r>
      <w:r>
        <w:rPr>
          <w:kern w:val="0"/>
        </w:rPr>
        <w:t>deformities: Course</w:t>
      </w:r>
      <w:r w:rsidR="00427468">
        <w:rPr>
          <w:kern w:val="0"/>
        </w:rPr>
        <w:t xml:space="preserve"> of </w:t>
      </w:r>
      <w:r>
        <w:rPr>
          <w:kern w:val="0"/>
        </w:rPr>
        <w:t>lectures on</w:t>
      </w:r>
      <w:r w:rsidR="003A1917">
        <w:rPr>
          <w:kern w:val="0"/>
        </w:rPr>
        <w:t xml:space="preserve"> the </w:t>
      </w:r>
      <w:r>
        <w:rPr>
          <w:kern w:val="0"/>
        </w:rPr>
        <w:t>deformities</w:t>
      </w:r>
      <w:r w:rsidR="00427468">
        <w:rPr>
          <w:kern w:val="0"/>
        </w:rPr>
        <w:t xml:space="preserve"> of </w:t>
      </w:r>
      <w:r w:rsidR="003A1917">
        <w:rPr>
          <w:kern w:val="0"/>
        </w:rPr>
        <w:t xml:space="preserve">the </w:t>
      </w:r>
      <w:r>
        <w:rPr>
          <w:kern w:val="0"/>
        </w:rPr>
        <w:t xml:space="preserve">human frame (Reprinted from Lancet, vol 41, pg 350-354, 1843).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470</w:t>
      </w:r>
      <w:r>
        <w:rPr>
          <w:kern w:val="0"/>
        </w:rPr>
        <w:t xml:space="preserve"> (5), 1252-1256.</w:t>
      </w:r>
    </w:p>
    <w:p w:rsidR="00BC692A" w:rsidRDefault="00BC692A" w:rsidP="00BC692A">
      <w:pPr>
        <w:pStyle w:val="a3"/>
        <w:rPr>
          <w:kern w:val="0"/>
        </w:rPr>
      </w:pPr>
      <w:r>
        <w:rPr>
          <w:rFonts w:hint="eastAsia"/>
          <w:kern w:val="0"/>
        </w:rPr>
        <w:t xml:space="preserve">Full Text: </w:t>
      </w:r>
      <w:hyperlink r:id="rId389" w:history="1">
        <w:r w:rsidRPr="00A04022">
          <w:rPr>
            <w:rStyle w:val="a5"/>
            <w:kern w:val="0"/>
          </w:rPr>
          <w:t>2012\Cli Ort Rel Res470, 1252.pdf</w:t>
        </w:r>
      </w:hyperlink>
    </w:p>
    <w:p w:rsidR="00BC692A" w:rsidRDefault="00BC692A" w:rsidP="00BC692A">
      <w:pPr>
        <w:pStyle w:val="a3"/>
        <w:rPr>
          <w:kern w:val="0"/>
        </w:rPr>
      </w:pPr>
      <w:r>
        <w:rPr>
          <w:kern w:val="0"/>
        </w:rPr>
        <w:t>Abstract: This Classic Article is a reprint</w:t>
      </w:r>
      <w:r w:rsidR="00427468">
        <w:rPr>
          <w:kern w:val="0"/>
        </w:rPr>
        <w:t xml:space="preserve"> of </w:t>
      </w:r>
      <w:r w:rsidR="003A1917">
        <w:rPr>
          <w:kern w:val="0"/>
        </w:rPr>
        <w:t xml:space="preserve">the </w:t>
      </w:r>
      <w:r>
        <w:rPr>
          <w:kern w:val="0"/>
        </w:rPr>
        <w:t>original work by W.J. Little, Hospital for</w:t>
      </w:r>
      <w:r w:rsidR="003A1917">
        <w:rPr>
          <w:kern w:val="0"/>
        </w:rPr>
        <w:t xml:space="preserve"> the </w:t>
      </w:r>
      <w:r>
        <w:rPr>
          <w:kern w:val="0"/>
        </w:rPr>
        <w:t>Cure</w:t>
      </w:r>
      <w:r w:rsidR="00427468">
        <w:rPr>
          <w:kern w:val="0"/>
        </w:rPr>
        <w:t xml:space="preserve"> of </w:t>
      </w:r>
      <w:r>
        <w:rPr>
          <w:kern w:val="0"/>
        </w:rPr>
        <w:t>Deformities: Course</w:t>
      </w:r>
      <w:r w:rsidR="00427468">
        <w:rPr>
          <w:kern w:val="0"/>
        </w:rPr>
        <w:t xml:space="preserve"> of </w:t>
      </w:r>
      <w:r>
        <w:rPr>
          <w:kern w:val="0"/>
        </w:rPr>
        <w:t>Lectures on</w:t>
      </w:r>
      <w:r w:rsidR="003A1917">
        <w:rPr>
          <w:kern w:val="0"/>
        </w:rPr>
        <w:t xml:space="preserve"> the </w:t>
      </w:r>
      <w:r>
        <w:rPr>
          <w:kern w:val="0"/>
        </w:rPr>
        <w:t>Deformities</w:t>
      </w:r>
      <w:r w:rsidR="00427468">
        <w:rPr>
          <w:kern w:val="0"/>
        </w:rPr>
        <w:t xml:space="preserve"> of </w:t>
      </w:r>
      <w:r w:rsidR="003A1917">
        <w:rPr>
          <w:kern w:val="0"/>
        </w:rPr>
        <w:t xml:space="preserve">the </w:t>
      </w:r>
      <w:r>
        <w:rPr>
          <w:kern w:val="0"/>
        </w:rPr>
        <w:t>Human Frame. An accompanying biographical sketch</w:t>
      </w:r>
      <w:r w:rsidR="00427468">
        <w:rPr>
          <w:kern w:val="0"/>
        </w:rPr>
        <w:t xml:space="preserve"> of </w:t>
      </w:r>
      <w:r>
        <w:rPr>
          <w:kern w:val="0"/>
        </w:rPr>
        <w:t>W.J. Little is available at DOI 10.1007/s11999-012-2301-z</w:t>
      </w:r>
      <w:r w:rsidR="00A37C1D">
        <w:rPr>
          <w:kern w:val="0"/>
        </w:rPr>
        <w:t>. The</w:t>
      </w:r>
      <w:r w:rsidR="003A1917">
        <w:rPr>
          <w:kern w:val="0"/>
        </w:rPr>
        <w:t xml:space="preserve"> </w:t>
      </w:r>
      <w:r>
        <w:rPr>
          <w:kern w:val="0"/>
        </w:rPr>
        <w:t>Classic Article is (C) 1843</w:t>
      </w:r>
      <w:r w:rsidR="005853A9">
        <w:rPr>
          <w:kern w:val="0"/>
        </w:rPr>
        <w:t xml:space="preserve"> and </w:t>
      </w:r>
      <w:r>
        <w:rPr>
          <w:kern w:val="0"/>
        </w:rPr>
        <w:t>is reprinted courtesy</w:t>
      </w:r>
      <w:r w:rsidR="00427468">
        <w:rPr>
          <w:kern w:val="0"/>
        </w:rPr>
        <w:t xml:space="preserve"> of </w:t>
      </w:r>
      <w:r>
        <w:rPr>
          <w:kern w:val="0"/>
        </w:rPr>
        <w:t>Elsevier from Little WJ. Hospital for</w:t>
      </w:r>
      <w:r w:rsidR="003A1917">
        <w:rPr>
          <w:kern w:val="0"/>
        </w:rPr>
        <w:t xml:space="preserve"> the </w:t>
      </w:r>
      <w:r>
        <w:rPr>
          <w:kern w:val="0"/>
        </w:rPr>
        <w:t>Cure</w:t>
      </w:r>
      <w:r w:rsidR="00427468">
        <w:rPr>
          <w:kern w:val="0"/>
        </w:rPr>
        <w:t xml:space="preserve"> of </w:t>
      </w:r>
      <w:r>
        <w:rPr>
          <w:kern w:val="0"/>
        </w:rPr>
        <w:t>Deformities: course</w:t>
      </w:r>
      <w:r w:rsidR="00427468">
        <w:rPr>
          <w:kern w:val="0"/>
        </w:rPr>
        <w:t xml:space="preserve"> of </w:t>
      </w:r>
      <w:r>
        <w:rPr>
          <w:kern w:val="0"/>
        </w:rPr>
        <w:t>lectures on</w:t>
      </w:r>
      <w:r w:rsidR="003A1917">
        <w:rPr>
          <w:kern w:val="0"/>
        </w:rPr>
        <w:t xml:space="preserve"> the </w:t>
      </w:r>
      <w:r>
        <w:rPr>
          <w:kern w:val="0"/>
        </w:rPr>
        <w:t>deformities</w:t>
      </w:r>
      <w:r w:rsidR="00427468">
        <w:rPr>
          <w:kern w:val="0"/>
        </w:rPr>
        <w:t xml:space="preserve"> of </w:t>
      </w:r>
      <w:r w:rsidR="003A1917">
        <w:rPr>
          <w:kern w:val="0"/>
        </w:rPr>
        <w:t xml:space="preserve">the </w:t>
      </w:r>
      <w:r>
        <w:rPr>
          <w:kern w:val="0"/>
        </w:rPr>
        <w:t>human frame. Lancet. 1843;41:350-354. (C)</w:t>
      </w:r>
      <w:r w:rsidR="003A1917">
        <w:rPr>
          <w:kern w:val="0"/>
        </w:rPr>
        <w:t xml:space="preserve"> the </w:t>
      </w:r>
      <w:r>
        <w:rPr>
          <w:kern w:val="0"/>
        </w:rPr>
        <w:t>Association</w:t>
      </w:r>
      <w:r w:rsidR="00427468">
        <w:rPr>
          <w:kern w:val="0"/>
        </w:rPr>
        <w:t xml:space="preserve"> of </w:t>
      </w:r>
      <w:r>
        <w:rPr>
          <w:kern w:val="0"/>
        </w:rPr>
        <w:t>Bone</w:t>
      </w:r>
      <w:r w:rsidR="005853A9">
        <w:rPr>
          <w:kern w:val="0"/>
        </w:rPr>
        <w:t xml:space="preserve"> and </w:t>
      </w:r>
      <w:r>
        <w:rPr>
          <w:kern w:val="0"/>
        </w:rPr>
        <w:t>Joint Surgeons(R) 2012.</w:t>
      </w:r>
    </w:p>
    <w:p w:rsidR="00BC692A" w:rsidRDefault="00BC692A" w:rsidP="00BC692A">
      <w:pPr>
        <w:pStyle w:val="a3"/>
        <w:rPr>
          <w:kern w:val="0"/>
        </w:rPr>
      </w:pPr>
      <w:r>
        <w:rPr>
          <w:kern w:val="0"/>
        </w:rPr>
        <w:t>Keywords: Course, Deformities, Human, Work</w:t>
      </w:r>
    </w:p>
    <w:p w:rsidR="00BC692A" w:rsidRDefault="00BC692A" w:rsidP="00BC692A">
      <w:pPr>
        <w:pStyle w:val="a3"/>
        <w:rPr>
          <w:kern w:val="0"/>
        </w:rPr>
      </w:pPr>
      <w:r>
        <w:rPr>
          <w:rFonts w:hint="eastAsia"/>
          <w:kern w:val="0"/>
        </w:rPr>
        <w:t xml:space="preserve">? </w:t>
      </w:r>
      <w:r>
        <w:rPr>
          <w:kern w:val="0"/>
        </w:rPr>
        <w:t>Bennett, G.E. (2012</w:t>
      </w:r>
      <w:r w:rsidR="00F42EAC">
        <w:rPr>
          <w:kern w:val="0"/>
        </w:rPr>
        <w:t>), The</w:t>
      </w:r>
      <w:r w:rsidR="003A1917">
        <w:rPr>
          <w:kern w:val="0"/>
        </w:rPr>
        <w:t xml:space="preserve"> </w:t>
      </w:r>
      <w:r>
        <w:rPr>
          <w:kern w:val="0"/>
        </w:rPr>
        <w:t>classic: Shoulder</w:t>
      </w:r>
      <w:r w:rsidR="005853A9">
        <w:rPr>
          <w:kern w:val="0"/>
        </w:rPr>
        <w:t xml:space="preserve"> and </w:t>
      </w:r>
      <w:r>
        <w:rPr>
          <w:kern w:val="0"/>
        </w:rPr>
        <w:t>Elbow Lesions Distinctive</w:t>
      </w:r>
      <w:r w:rsidR="00427468">
        <w:rPr>
          <w:kern w:val="0"/>
        </w:rPr>
        <w:t xml:space="preserve"> of </w:t>
      </w:r>
      <w:r>
        <w:rPr>
          <w:kern w:val="0"/>
        </w:rPr>
        <w:t xml:space="preserve">Baseball Players (Reprinted).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470</w:t>
      </w:r>
      <w:r>
        <w:rPr>
          <w:kern w:val="0"/>
        </w:rPr>
        <w:t xml:space="preserve"> (6), 1531-1533.</w:t>
      </w:r>
    </w:p>
    <w:p w:rsidR="00BC692A" w:rsidRDefault="00BC692A" w:rsidP="00BC692A">
      <w:pPr>
        <w:pStyle w:val="a3"/>
        <w:rPr>
          <w:kern w:val="0"/>
        </w:rPr>
      </w:pPr>
      <w:r>
        <w:rPr>
          <w:rFonts w:hint="eastAsia"/>
          <w:kern w:val="0"/>
        </w:rPr>
        <w:lastRenderedPageBreak/>
        <w:t xml:space="preserve">Full Text: </w:t>
      </w:r>
      <w:hyperlink r:id="rId390" w:history="1">
        <w:r w:rsidRPr="00A04022">
          <w:rPr>
            <w:rStyle w:val="a5"/>
            <w:kern w:val="0"/>
          </w:rPr>
          <w:t>2012\Cli Ort Rel Res470, 1531.pdf</w:t>
        </w:r>
      </w:hyperlink>
    </w:p>
    <w:p w:rsidR="00BC692A" w:rsidRDefault="00BC692A" w:rsidP="00BC692A">
      <w:pPr>
        <w:pStyle w:val="a3"/>
        <w:rPr>
          <w:kern w:val="0"/>
        </w:rPr>
      </w:pPr>
      <w:r>
        <w:rPr>
          <w:kern w:val="0"/>
        </w:rPr>
        <w:t>Abstract: This Classic Article is a reprint</w:t>
      </w:r>
      <w:r w:rsidR="00427468">
        <w:rPr>
          <w:kern w:val="0"/>
        </w:rPr>
        <w:t xml:space="preserve"> of </w:t>
      </w:r>
      <w:r w:rsidR="003A1917">
        <w:rPr>
          <w:kern w:val="0"/>
        </w:rPr>
        <w:t xml:space="preserve">the </w:t>
      </w:r>
      <w:r>
        <w:rPr>
          <w:kern w:val="0"/>
        </w:rPr>
        <w:t>original work by G. Bennett, Shoulder</w:t>
      </w:r>
      <w:r w:rsidR="005853A9">
        <w:rPr>
          <w:kern w:val="0"/>
        </w:rPr>
        <w:t xml:space="preserve"> and </w:t>
      </w:r>
      <w:r>
        <w:rPr>
          <w:kern w:val="0"/>
        </w:rPr>
        <w:t>Elbow Lesions Distinctive</w:t>
      </w:r>
      <w:r w:rsidR="00427468">
        <w:rPr>
          <w:kern w:val="0"/>
        </w:rPr>
        <w:t xml:space="preserve"> of </w:t>
      </w:r>
      <w:r>
        <w:rPr>
          <w:kern w:val="0"/>
        </w:rPr>
        <w:t>Baseball Players. An accompanying biographical sketch</w:t>
      </w:r>
      <w:r w:rsidR="00427468">
        <w:rPr>
          <w:kern w:val="0"/>
        </w:rPr>
        <w:t xml:space="preserve"> of </w:t>
      </w:r>
      <w:r>
        <w:rPr>
          <w:kern w:val="0"/>
        </w:rPr>
        <w:t>G. Bennett is available at DOI 10.1007/s11999-012-2334-3</w:t>
      </w:r>
      <w:r w:rsidR="00A37C1D">
        <w:rPr>
          <w:kern w:val="0"/>
        </w:rPr>
        <w:t>. The</w:t>
      </w:r>
      <w:r w:rsidR="003A1917">
        <w:rPr>
          <w:kern w:val="0"/>
        </w:rPr>
        <w:t xml:space="preserve"> </w:t>
      </w:r>
      <w:r>
        <w:rPr>
          <w:kern w:val="0"/>
        </w:rPr>
        <w:t>Classic Article is A (c) 1947</w:t>
      </w:r>
      <w:r w:rsidR="005853A9">
        <w:rPr>
          <w:kern w:val="0"/>
        </w:rPr>
        <w:t xml:space="preserve"> and </w:t>
      </w:r>
      <w:r>
        <w:rPr>
          <w:kern w:val="0"/>
        </w:rPr>
        <w:t>is reprinted with permission from Wolters Kluwer Health from Bennett G. Shoulder</w:t>
      </w:r>
      <w:r w:rsidR="005853A9">
        <w:rPr>
          <w:kern w:val="0"/>
        </w:rPr>
        <w:t xml:space="preserve"> and </w:t>
      </w:r>
      <w:r>
        <w:rPr>
          <w:kern w:val="0"/>
        </w:rPr>
        <w:t>elbow lesions distinctive</w:t>
      </w:r>
      <w:r w:rsidR="00427468">
        <w:rPr>
          <w:kern w:val="0"/>
        </w:rPr>
        <w:t xml:space="preserve"> of </w:t>
      </w:r>
      <w:r>
        <w:rPr>
          <w:kern w:val="0"/>
        </w:rPr>
        <w:t>baseball players. 1947;126:107-110.</w:t>
      </w:r>
    </w:p>
    <w:p w:rsidR="00BC692A" w:rsidRDefault="00BC692A" w:rsidP="00BC692A">
      <w:pPr>
        <w:pStyle w:val="a3"/>
        <w:rPr>
          <w:kern w:val="0"/>
        </w:rPr>
      </w:pPr>
      <w:r>
        <w:rPr>
          <w:kern w:val="0"/>
        </w:rPr>
        <w:t>Keywords: Work</w:t>
      </w:r>
    </w:p>
    <w:p w:rsidR="00660572" w:rsidRDefault="00660572" w:rsidP="00660572">
      <w:pPr>
        <w:pStyle w:val="a3"/>
        <w:rPr>
          <w:kern w:val="0"/>
          <w:szCs w:val="24"/>
        </w:rPr>
      </w:pPr>
      <w:r>
        <w:rPr>
          <w:rFonts w:hint="eastAsia"/>
          <w:kern w:val="0"/>
          <w:szCs w:val="24"/>
        </w:rPr>
        <w:t xml:space="preserve">? </w:t>
      </w:r>
      <w:r>
        <w:rPr>
          <w:kern w:val="0"/>
          <w:szCs w:val="24"/>
        </w:rPr>
        <w:t>Moore, C.H. (2012</w:t>
      </w:r>
      <w:r w:rsidR="00F42EAC">
        <w:rPr>
          <w:kern w:val="0"/>
          <w:szCs w:val="24"/>
        </w:rPr>
        <w:t>), The</w:t>
      </w:r>
      <w:r w:rsidR="003A1917">
        <w:rPr>
          <w:kern w:val="0"/>
          <w:szCs w:val="24"/>
        </w:rPr>
        <w:t xml:space="preserve"> </w:t>
      </w:r>
      <w:r>
        <w:rPr>
          <w:kern w:val="0"/>
          <w:szCs w:val="24"/>
        </w:rPr>
        <w:t>classic: An account</w:t>
      </w:r>
      <w:r w:rsidR="00427468">
        <w:rPr>
          <w:kern w:val="0"/>
          <w:szCs w:val="24"/>
        </w:rPr>
        <w:t xml:space="preserve"> of </w:t>
      </w:r>
      <w:r>
        <w:rPr>
          <w:kern w:val="0"/>
          <w:szCs w:val="24"/>
        </w:rPr>
        <w:t>a case</w:t>
      </w:r>
      <w:r w:rsidR="00427468">
        <w:rPr>
          <w:kern w:val="0"/>
          <w:szCs w:val="24"/>
        </w:rPr>
        <w:t xml:space="preserve"> of </w:t>
      </w:r>
      <w:r>
        <w:rPr>
          <w:kern w:val="0"/>
          <w:szCs w:val="24"/>
        </w:rPr>
        <w:t>fracture</w:t>
      </w:r>
      <w:r w:rsidR="005853A9">
        <w:rPr>
          <w:kern w:val="0"/>
          <w:szCs w:val="24"/>
        </w:rPr>
        <w:t xml:space="preserve"> and </w:t>
      </w:r>
      <w:r>
        <w:rPr>
          <w:kern w:val="0"/>
          <w:szCs w:val="24"/>
        </w:rPr>
        <w:t>distortion</w:t>
      </w:r>
      <w:r w:rsidR="00427468">
        <w:rPr>
          <w:kern w:val="0"/>
          <w:szCs w:val="24"/>
        </w:rPr>
        <w:t xml:space="preserve"> of </w:t>
      </w:r>
      <w:r w:rsidR="003A1917">
        <w:rPr>
          <w:kern w:val="0"/>
          <w:szCs w:val="24"/>
        </w:rPr>
        <w:t xml:space="preserve">the </w:t>
      </w:r>
      <w:r>
        <w:rPr>
          <w:kern w:val="0"/>
          <w:szCs w:val="24"/>
        </w:rPr>
        <w:t>pelvis, combined with an unusual form</w:t>
      </w:r>
      <w:r w:rsidR="00427468">
        <w:rPr>
          <w:kern w:val="0"/>
          <w:szCs w:val="24"/>
        </w:rPr>
        <w:t xml:space="preserve"> of </w:t>
      </w:r>
      <w:r>
        <w:rPr>
          <w:kern w:val="0"/>
          <w:szCs w:val="24"/>
        </w:rPr>
        <w:t>dislocation</w:t>
      </w:r>
      <w:r w:rsidR="00427468">
        <w:rPr>
          <w:kern w:val="0"/>
          <w:szCs w:val="24"/>
        </w:rPr>
        <w:t xml:space="preserve"> of </w:t>
      </w:r>
      <w:r w:rsidR="003A1917">
        <w:rPr>
          <w:kern w:val="0"/>
          <w:szCs w:val="24"/>
        </w:rPr>
        <w:t xml:space="preserve">the </w:t>
      </w:r>
      <w:r>
        <w:rPr>
          <w:kern w:val="0"/>
          <w:szCs w:val="24"/>
        </w:rPr>
        <w:t xml:space="preserve">femur (Reprinted from Med Chir Trans, vol 34, pg 107-119, 1851). </w:t>
      </w:r>
      <w:r>
        <w:rPr>
          <w:i/>
          <w:iCs/>
          <w:kern w:val="0"/>
          <w:szCs w:val="24"/>
        </w:rPr>
        <w:t>Clinical Orthopaedics</w:t>
      </w:r>
      <w:r w:rsidR="005853A9">
        <w:rPr>
          <w:i/>
          <w:iCs/>
          <w:kern w:val="0"/>
          <w:szCs w:val="24"/>
        </w:rPr>
        <w:t xml:space="preserve"> and </w:t>
      </w:r>
      <w:r>
        <w:rPr>
          <w:i/>
          <w:iCs/>
          <w:kern w:val="0"/>
          <w:szCs w:val="24"/>
        </w:rPr>
        <w:t>Related Research</w:t>
      </w:r>
      <w:r>
        <w:rPr>
          <w:kern w:val="0"/>
          <w:szCs w:val="24"/>
        </w:rPr>
        <w:t xml:space="preserve">, </w:t>
      </w:r>
      <w:r>
        <w:rPr>
          <w:b/>
          <w:bCs/>
          <w:kern w:val="0"/>
          <w:szCs w:val="24"/>
        </w:rPr>
        <w:t>470</w:t>
      </w:r>
      <w:r>
        <w:rPr>
          <w:kern w:val="0"/>
          <w:szCs w:val="24"/>
        </w:rPr>
        <w:t xml:space="preserve"> (8), 2077-2082.</w:t>
      </w:r>
    </w:p>
    <w:p w:rsidR="00660572" w:rsidRDefault="00660572" w:rsidP="00660572">
      <w:pPr>
        <w:pStyle w:val="a3"/>
        <w:rPr>
          <w:kern w:val="0"/>
        </w:rPr>
      </w:pPr>
      <w:r>
        <w:rPr>
          <w:rFonts w:hint="eastAsia"/>
          <w:kern w:val="0"/>
        </w:rPr>
        <w:t xml:space="preserve">Full Text: </w:t>
      </w:r>
      <w:hyperlink r:id="rId391" w:history="1">
        <w:r w:rsidR="00374190" w:rsidRPr="00374190">
          <w:rPr>
            <w:rStyle w:val="a5"/>
            <w:kern w:val="0"/>
          </w:rPr>
          <w:t>2012\Cli Ort Rel Res470, 2077.pdf</w:t>
        </w:r>
      </w:hyperlink>
    </w:p>
    <w:p w:rsidR="00660572" w:rsidRDefault="00660572" w:rsidP="00660572">
      <w:pPr>
        <w:pStyle w:val="a3"/>
        <w:rPr>
          <w:kern w:val="0"/>
          <w:szCs w:val="24"/>
        </w:rPr>
      </w:pPr>
      <w:r>
        <w:rPr>
          <w:kern w:val="0"/>
          <w:szCs w:val="24"/>
        </w:rPr>
        <w:t>Abstract: This Classic Article is a reprint</w:t>
      </w:r>
      <w:r w:rsidR="00427468">
        <w:rPr>
          <w:kern w:val="0"/>
          <w:szCs w:val="24"/>
        </w:rPr>
        <w:t xml:space="preserve"> of </w:t>
      </w:r>
      <w:r w:rsidR="003A1917">
        <w:rPr>
          <w:kern w:val="0"/>
          <w:szCs w:val="24"/>
        </w:rPr>
        <w:t xml:space="preserve">the </w:t>
      </w:r>
      <w:r>
        <w:rPr>
          <w:kern w:val="0"/>
          <w:szCs w:val="24"/>
        </w:rPr>
        <w:t>origin</w:t>
      </w:r>
      <w:r w:rsidR="00DF61FE">
        <w:rPr>
          <w:kern w:val="0"/>
          <w:szCs w:val="24"/>
        </w:rPr>
        <w:fldChar w:fldCharType="begin"/>
      </w:r>
      <w:r w:rsidR="00374190">
        <w:rPr>
          <w:kern w:val="0"/>
          <w:szCs w:val="24"/>
        </w:rPr>
        <w:instrText xml:space="preserve"> INDEX \o "S" \c "2" \z "1028" </w:instrText>
      </w:r>
      <w:r w:rsidR="00DF61FE">
        <w:rPr>
          <w:kern w:val="0"/>
          <w:szCs w:val="24"/>
        </w:rPr>
        <w:fldChar w:fldCharType="separate"/>
      </w:r>
      <w:r w:rsidR="00374190">
        <w:rPr>
          <w:rFonts w:hint="eastAsia"/>
          <w:b/>
          <w:bCs/>
          <w:noProof/>
          <w:kern w:val="0"/>
          <w:szCs w:val="24"/>
        </w:rPr>
        <w:t>找不到索引項目。</w:t>
      </w:r>
      <w:r w:rsidR="00DF61FE">
        <w:rPr>
          <w:kern w:val="0"/>
          <w:szCs w:val="24"/>
        </w:rPr>
        <w:fldChar w:fldCharType="end"/>
      </w:r>
      <w:r>
        <w:rPr>
          <w:kern w:val="0"/>
          <w:szCs w:val="24"/>
        </w:rPr>
        <w:t>al work by C.H. Moore, An account</w:t>
      </w:r>
      <w:r w:rsidR="00427468">
        <w:rPr>
          <w:kern w:val="0"/>
          <w:szCs w:val="24"/>
        </w:rPr>
        <w:t xml:space="preserve"> of </w:t>
      </w:r>
      <w:r>
        <w:rPr>
          <w:kern w:val="0"/>
          <w:szCs w:val="24"/>
        </w:rPr>
        <w:t>a Case</w:t>
      </w:r>
      <w:r w:rsidR="00427468">
        <w:rPr>
          <w:kern w:val="0"/>
          <w:szCs w:val="24"/>
        </w:rPr>
        <w:t xml:space="preserve"> of </w:t>
      </w:r>
      <w:r>
        <w:rPr>
          <w:kern w:val="0"/>
          <w:szCs w:val="24"/>
        </w:rPr>
        <w:t>Fracture</w:t>
      </w:r>
      <w:r w:rsidR="005853A9">
        <w:rPr>
          <w:kern w:val="0"/>
          <w:szCs w:val="24"/>
        </w:rPr>
        <w:t xml:space="preserve"> and </w:t>
      </w:r>
      <w:r>
        <w:rPr>
          <w:kern w:val="0"/>
          <w:szCs w:val="24"/>
        </w:rPr>
        <w:t>Distortion</w:t>
      </w:r>
      <w:r w:rsidR="00427468">
        <w:rPr>
          <w:kern w:val="0"/>
          <w:szCs w:val="24"/>
        </w:rPr>
        <w:t xml:space="preserve"> of </w:t>
      </w:r>
      <w:r w:rsidR="003A1917">
        <w:rPr>
          <w:kern w:val="0"/>
          <w:szCs w:val="24"/>
        </w:rPr>
        <w:t xml:space="preserve">the </w:t>
      </w:r>
      <w:r>
        <w:rPr>
          <w:kern w:val="0"/>
          <w:szCs w:val="24"/>
        </w:rPr>
        <w:t>Pelvis, combined with an unusual form</w:t>
      </w:r>
      <w:r w:rsidR="00427468">
        <w:rPr>
          <w:kern w:val="0"/>
          <w:szCs w:val="24"/>
        </w:rPr>
        <w:t xml:space="preserve"> of </w:t>
      </w:r>
      <w:r>
        <w:rPr>
          <w:kern w:val="0"/>
          <w:szCs w:val="24"/>
        </w:rPr>
        <w:t>Dislocation</w:t>
      </w:r>
      <w:r w:rsidR="00427468">
        <w:rPr>
          <w:kern w:val="0"/>
          <w:szCs w:val="24"/>
        </w:rPr>
        <w:t xml:space="preserve"> of </w:t>
      </w:r>
      <w:r w:rsidR="003A1917">
        <w:rPr>
          <w:kern w:val="0"/>
          <w:szCs w:val="24"/>
        </w:rPr>
        <w:t xml:space="preserve">the </w:t>
      </w:r>
      <w:r>
        <w:rPr>
          <w:kern w:val="0"/>
          <w:szCs w:val="24"/>
        </w:rPr>
        <w:t>Femur. An accompanying biographical sketch</w:t>
      </w:r>
      <w:r w:rsidR="00427468">
        <w:rPr>
          <w:kern w:val="0"/>
          <w:szCs w:val="24"/>
        </w:rPr>
        <w:t xml:space="preserve"> of </w:t>
      </w:r>
      <w:r>
        <w:rPr>
          <w:kern w:val="0"/>
          <w:szCs w:val="24"/>
        </w:rPr>
        <w:t>C.H. Moore is available at DOI 10.1007/s11999012-2424-2</w:t>
      </w:r>
      <w:r w:rsidR="00A37C1D">
        <w:rPr>
          <w:kern w:val="0"/>
          <w:szCs w:val="24"/>
        </w:rPr>
        <w:t>. The</w:t>
      </w:r>
      <w:r w:rsidR="003A1917">
        <w:rPr>
          <w:kern w:val="0"/>
          <w:szCs w:val="24"/>
        </w:rPr>
        <w:t xml:space="preserve"> </w:t>
      </w:r>
      <w:r>
        <w:rPr>
          <w:kern w:val="0"/>
          <w:szCs w:val="24"/>
        </w:rPr>
        <w:t>Classic Article is (C) 1851</w:t>
      </w:r>
      <w:r w:rsidR="005853A9">
        <w:rPr>
          <w:kern w:val="0"/>
          <w:szCs w:val="24"/>
        </w:rPr>
        <w:t xml:space="preserve"> and </w:t>
      </w:r>
      <w:r>
        <w:rPr>
          <w:kern w:val="0"/>
          <w:szCs w:val="24"/>
        </w:rPr>
        <w:t>is reprinted from Moore CH. An account</w:t>
      </w:r>
      <w:r w:rsidR="00427468">
        <w:rPr>
          <w:kern w:val="0"/>
          <w:szCs w:val="24"/>
        </w:rPr>
        <w:t xml:space="preserve"> of </w:t>
      </w:r>
      <w:r>
        <w:rPr>
          <w:kern w:val="0"/>
          <w:szCs w:val="24"/>
        </w:rPr>
        <w:t>a Case</w:t>
      </w:r>
      <w:r w:rsidR="00427468">
        <w:rPr>
          <w:kern w:val="0"/>
          <w:szCs w:val="24"/>
        </w:rPr>
        <w:t xml:space="preserve"> of </w:t>
      </w:r>
      <w:r>
        <w:rPr>
          <w:kern w:val="0"/>
          <w:szCs w:val="24"/>
        </w:rPr>
        <w:t>Fracture</w:t>
      </w:r>
      <w:r w:rsidR="005853A9">
        <w:rPr>
          <w:kern w:val="0"/>
          <w:szCs w:val="24"/>
        </w:rPr>
        <w:t xml:space="preserve"> and </w:t>
      </w:r>
      <w:r>
        <w:rPr>
          <w:kern w:val="0"/>
          <w:szCs w:val="24"/>
        </w:rPr>
        <w:t>Distortion</w:t>
      </w:r>
      <w:r w:rsidR="00427468">
        <w:rPr>
          <w:kern w:val="0"/>
          <w:szCs w:val="24"/>
        </w:rPr>
        <w:t xml:space="preserve"> of </w:t>
      </w:r>
      <w:r w:rsidR="003A1917">
        <w:rPr>
          <w:kern w:val="0"/>
          <w:szCs w:val="24"/>
        </w:rPr>
        <w:t xml:space="preserve">the </w:t>
      </w:r>
      <w:r>
        <w:rPr>
          <w:kern w:val="0"/>
          <w:szCs w:val="24"/>
        </w:rPr>
        <w:t>Pelvis, combined with an unusual form</w:t>
      </w:r>
      <w:r w:rsidR="00427468">
        <w:rPr>
          <w:kern w:val="0"/>
          <w:szCs w:val="24"/>
        </w:rPr>
        <w:t xml:space="preserve"> of </w:t>
      </w:r>
      <w:r>
        <w:rPr>
          <w:kern w:val="0"/>
          <w:szCs w:val="24"/>
        </w:rPr>
        <w:t>Dislocation</w:t>
      </w:r>
      <w:r w:rsidR="00427468">
        <w:rPr>
          <w:kern w:val="0"/>
          <w:szCs w:val="24"/>
        </w:rPr>
        <w:t xml:space="preserve"> of </w:t>
      </w:r>
      <w:r w:rsidR="003A1917">
        <w:rPr>
          <w:kern w:val="0"/>
          <w:szCs w:val="24"/>
        </w:rPr>
        <w:t xml:space="preserve">the </w:t>
      </w:r>
      <w:r>
        <w:rPr>
          <w:kern w:val="0"/>
          <w:szCs w:val="24"/>
        </w:rPr>
        <w:t>Femur. Med Chir Trans. 1851; 34: 107-119. (C)</w:t>
      </w:r>
      <w:r w:rsidR="003A1917">
        <w:rPr>
          <w:kern w:val="0"/>
          <w:szCs w:val="24"/>
        </w:rPr>
        <w:t xml:space="preserve"> the </w:t>
      </w:r>
      <w:r>
        <w:rPr>
          <w:kern w:val="0"/>
          <w:szCs w:val="24"/>
        </w:rPr>
        <w:t>Association</w:t>
      </w:r>
      <w:r w:rsidR="00427468">
        <w:rPr>
          <w:kern w:val="0"/>
          <w:szCs w:val="24"/>
        </w:rPr>
        <w:t xml:space="preserve"> of </w:t>
      </w:r>
      <w:r>
        <w:rPr>
          <w:kern w:val="0"/>
          <w:szCs w:val="24"/>
        </w:rPr>
        <w:t>Bone</w:t>
      </w:r>
      <w:r w:rsidR="005853A9">
        <w:rPr>
          <w:kern w:val="0"/>
          <w:szCs w:val="24"/>
        </w:rPr>
        <w:t xml:space="preserve"> and </w:t>
      </w:r>
      <w:r>
        <w:rPr>
          <w:kern w:val="0"/>
          <w:szCs w:val="24"/>
        </w:rPr>
        <w:t>Joint Surgeons (R) 2012.</w:t>
      </w:r>
    </w:p>
    <w:p w:rsidR="00660572" w:rsidRDefault="00660572" w:rsidP="00660572">
      <w:pPr>
        <w:pStyle w:val="a3"/>
        <w:rPr>
          <w:kern w:val="0"/>
          <w:szCs w:val="24"/>
        </w:rPr>
      </w:pPr>
      <w:r>
        <w:rPr>
          <w:kern w:val="0"/>
          <w:szCs w:val="24"/>
        </w:rPr>
        <w:t>Keywords: Work</w:t>
      </w:r>
    </w:p>
    <w:p w:rsidR="00660572" w:rsidRDefault="00660572" w:rsidP="00660572">
      <w:pPr>
        <w:pStyle w:val="a3"/>
        <w:rPr>
          <w:kern w:val="0"/>
          <w:szCs w:val="24"/>
        </w:rPr>
      </w:pPr>
      <w:r>
        <w:rPr>
          <w:rFonts w:hint="eastAsia"/>
          <w:kern w:val="0"/>
          <w:szCs w:val="24"/>
        </w:rPr>
        <w:t xml:space="preserve">? </w:t>
      </w:r>
      <w:r>
        <w:rPr>
          <w:kern w:val="0"/>
          <w:szCs w:val="24"/>
        </w:rPr>
        <w:t>Holdsworth, F.W. (2012</w:t>
      </w:r>
      <w:r w:rsidR="00F42EAC">
        <w:rPr>
          <w:kern w:val="0"/>
          <w:szCs w:val="24"/>
        </w:rPr>
        <w:t>), The</w:t>
      </w:r>
      <w:r w:rsidR="003A1917">
        <w:rPr>
          <w:kern w:val="0"/>
          <w:szCs w:val="24"/>
        </w:rPr>
        <w:t xml:space="preserve"> </w:t>
      </w:r>
      <w:r>
        <w:rPr>
          <w:kern w:val="0"/>
          <w:szCs w:val="24"/>
        </w:rPr>
        <w:t>classic: Dislocation</w:t>
      </w:r>
      <w:r w:rsidR="005853A9">
        <w:rPr>
          <w:kern w:val="0"/>
          <w:szCs w:val="24"/>
        </w:rPr>
        <w:t xml:space="preserve"> and </w:t>
      </w:r>
      <w:r>
        <w:rPr>
          <w:kern w:val="0"/>
          <w:szCs w:val="24"/>
        </w:rPr>
        <w:t>fracture-dislocation</w:t>
      </w:r>
      <w:r w:rsidR="00427468">
        <w:rPr>
          <w:kern w:val="0"/>
          <w:szCs w:val="24"/>
        </w:rPr>
        <w:t xml:space="preserve"> of </w:t>
      </w:r>
      <w:r w:rsidR="003A1917">
        <w:rPr>
          <w:kern w:val="0"/>
          <w:szCs w:val="24"/>
        </w:rPr>
        <w:t xml:space="preserve">the </w:t>
      </w:r>
      <w:r>
        <w:rPr>
          <w:kern w:val="0"/>
          <w:szCs w:val="24"/>
        </w:rPr>
        <w:t xml:space="preserve">pelvis (Reprinted from J Bone Joint Surg Br, vol 30, pg 461-466, 1948). </w:t>
      </w:r>
      <w:r>
        <w:rPr>
          <w:i/>
          <w:iCs/>
          <w:kern w:val="0"/>
          <w:szCs w:val="24"/>
        </w:rPr>
        <w:t>Clinical Orthopaedics</w:t>
      </w:r>
      <w:r w:rsidR="005853A9">
        <w:rPr>
          <w:i/>
          <w:iCs/>
          <w:kern w:val="0"/>
          <w:szCs w:val="24"/>
        </w:rPr>
        <w:t xml:space="preserve"> and </w:t>
      </w:r>
      <w:r>
        <w:rPr>
          <w:i/>
          <w:iCs/>
          <w:kern w:val="0"/>
          <w:szCs w:val="24"/>
        </w:rPr>
        <w:t>Related Research</w:t>
      </w:r>
      <w:r>
        <w:rPr>
          <w:kern w:val="0"/>
          <w:szCs w:val="24"/>
        </w:rPr>
        <w:t xml:space="preserve">, </w:t>
      </w:r>
      <w:r>
        <w:rPr>
          <w:b/>
          <w:bCs/>
          <w:kern w:val="0"/>
          <w:szCs w:val="24"/>
        </w:rPr>
        <w:t>470</w:t>
      </w:r>
      <w:r>
        <w:rPr>
          <w:kern w:val="0"/>
          <w:szCs w:val="24"/>
        </w:rPr>
        <w:t xml:space="preserve"> (8), 2085-2089.</w:t>
      </w:r>
    </w:p>
    <w:p w:rsidR="00660572" w:rsidRDefault="00660572" w:rsidP="00660572">
      <w:pPr>
        <w:pStyle w:val="a3"/>
        <w:rPr>
          <w:kern w:val="0"/>
        </w:rPr>
      </w:pPr>
      <w:r>
        <w:rPr>
          <w:rFonts w:hint="eastAsia"/>
          <w:kern w:val="0"/>
        </w:rPr>
        <w:t xml:space="preserve">Full Text: </w:t>
      </w:r>
      <w:hyperlink r:id="rId392" w:history="1">
        <w:r w:rsidR="00374190" w:rsidRPr="00374190">
          <w:rPr>
            <w:rStyle w:val="a5"/>
            <w:kern w:val="0"/>
          </w:rPr>
          <w:t>2012\Cli Ort Rel Res470, 2085.pdf</w:t>
        </w:r>
      </w:hyperlink>
    </w:p>
    <w:p w:rsidR="00660572" w:rsidRDefault="00660572" w:rsidP="00660572">
      <w:pPr>
        <w:pStyle w:val="a3"/>
        <w:rPr>
          <w:kern w:val="0"/>
          <w:szCs w:val="24"/>
        </w:rPr>
      </w:pPr>
      <w:r>
        <w:rPr>
          <w:kern w:val="0"/>
          <w:szCs w:val="24"/>
        </w:rPr>
        <w:t>Abstract: This Classic Article is a reprint</w:t>
      </w:r>
      <w:r w:rsidR="00427468">
        <w:rPr>
          <w:kern w:val="0"/>
          <w:szCs w:val="24"/>
        </w:rPr>
        <w:t xml:space="preserve"> of </w:t>
      </w:r>
      <w:r w:rsidR="003A1917">
        <w:rPr>
          <w:kern w:val="0"/>
          <w:szCs w:val="24"/>
        </w:rPr>
        <w:t xml:space="preserve">the </w:t>
      </w:r>
      <w:r>
        <w:rPr>
          <w:kern w:val="0"/>
          <w:szCs w:val="24"/>
        </w:rPr>
        <w:t>original work by F.W. Holdsworth, Dislocation</w:t>
      </w:r>
      <w:r w:rsidR="005853A9">
        <w:rPr>
          <w:kern w:val="0"/>
          <w:szCs w:val="24"/>
        </w:rPr>
        <w:t xml:space="preserve"> and </w:t>
      </w:r>
      <w:r>
        <w:rPr>
          <w:kern w:val="0"/>
          <w:szCs w:val="24"/>
        </w:rPr>
        <w:t>fracture-dislocation</w:t>
      </w:r>
      <w:r w:rsidR="00427468">
        <w:rPr>
          <w:kern w:val="0"/>
          <w:szCs w:val="24"/>
        </w:rPr>
        <w:t xml:space="preserve"> of </w:t>
      </w:r>
      <w:r w:rsidR="003A1917">
        <w:rPr>
          <w:kern w:val="0"/>
          <w:szCs w:val="24"/>
        </w:rPr>
        <w:t xml:space="preserve">the </w:t>
      </w:r>
      <w:r>
        <w:rPr>
          <w:kern w:val="0"/>
          <w:szCs w:val="24"/>
        </w:rPr>
        <w:t>pelvis. An accompanying biographical sketch</w:t>
      </w:r>
      <w:r w:rsidR="00427468">
        <w:rPr>
          <w:kern w:val="0"/>
          <w:szCs w:val="24"/>
        </w:rPr>
        <w:t xml:space="preserve"> of </w:t>
      </w:r>
      <w:r>
        <w:rPr>
          <w:kern w:val="0"/>
          <w:szCs w:val="24"/>
        </w:rPr>
        <w:t>F.W. Holdsworth is available at DOI 10.1007/s11999-012-2422-4. Reproduced</w:t>
      </w:r>
      <w:r w:rsidR="005853A9">
        <w:rPr>
          <w:kern w:val="0"/>
          <w:szCs w:val="24"/>
        </w:rPr>
        <w:t xml:space="preserve"> and </w:t>
      </w:r>
      <w:r>
        <w:rPr>
          <w:kern w:val="0"/>
          <w:szCs w:val="24"/>
        </w:rPr>
        <w:t>adapted with permission</w:t>
      </w:r>
      <w:r w:rsidR="005853A9">
        <w:rPr>
          <w:kern w:val="0"/>
          <w:szCs w:val="24"/>
        </w:rPr>
        <w:t xml:space="preserve"> and </w:t>
      </w:r>
      <w:r>
        <w:rPr>
          <w:kern w:val="0"/>
          <w:szCs w:val="24"/>
        </w:rPr>
        <w:t>copyright (c)</w:t>
      </w:r>
      <w:r w:rsidR="00427468">
        <w:rPr>
          <w:kern w:val="0"/>
          <w:szCs w:val="24"/>
        </w:rPr>
        <w:t xml:space="preserve"> of </w:t>
      </w:r>
      <w:r w:rsidR="003A1917">
        <w:rPr>
          <w:kern w:val="0"/>
          <w:szCs w:val="24"/>
        </w:rPr>
        <w:t xml:space="preserve">the </w:t>
      </w:r>
      <w:r>
        <w:rPr>
          <w:kern w:val="0"/>
          <w:szCs w:val="24"/>
        </w:rPr>
        <w:t>British Editorial Society</w:t>
      </w:r>
      <w:r w:rsidR="00427468">
        <w:rPr>
          <w:kern w:val="0"/>
          <w:szCs w:val="24"/>
        </w:rPr>
        <w:t xml:space="preserve"> of </w:t>
      </w:r>
      <w:r>
        <w:rPr>
          <w:kern w:val="0"/>
          <w:szCs w:val="24"/>
        </w:rPr>
        <w:t>Bone</w:t>
      </w:r>
      <w:r w:rsidR="005853A9">
        <w:rPr>
          <w:kern w:val="0"/>
          <w:szCs w:val="24"/>
        </w:rPr>
        <w:t xml:space="preserve"> and </w:t>
      </w:r>
      <w:r>
        <w:rPr>
          <w:kern w:val="0"/>
          <w:szCs w:val="24"/>
        </w:rPr>
        <w:t>Joint Surgery. Holdsworth FW. Dislocation</w:t>
      </w:r>
      <w:r w:rsidR="005853A9">
        <w:rPr>
          <w:kern w:val="0"/>
          <w:szCs w:val="24"/>
        </w:rPr>
        <w:t xml:space="preserve"> and </w:t>
      </w:r>
      <w:r>
        <w:rPr>
          <w:kern w:val="0"/>
          <w:szCs w:val="24"/>
        </w:rPr>
        <w:t>fracture-dislocation</w:t>
      </w:r>
      <w:r w:rsidR="00427468">
        <w:rPr>
          <w:kern w:val="0"/>
          <w:szCs w:val="24"/>
        </w:rPr>
        <w:t xml:space="preserve"> of </w:t>
      </w:r>
      <w:r w:rsidR="003A1917">
        <w:rPr>
          <w:kern w:val="0"/>
          <w:szCs w:val="24"/>
        </w:rPr>
        <w:t xml:space="preserve">the </w:t>
      </w:r>
      <w:r>
        <w:rPr>
          <w:kern w:val="0"/>
          <w:szCs w:val="24"/>
        </w:rPr>
        <w:t>pelvis. J Bone Joint Surg Br. 1948;30:461-466.</w:t>
      </w:r>
    </w:p>
    <w:p w:rsidR="00660572" w:rsidRDefault="00660572" w:rsidP="00660572">
      <w:pPr>
        <w:pStyle w:val="a3"/>
        <w:rPr>
          <w:kern w:val="0"/>
          <w:szCs w:val="24"/>
        </w:rPr>
      </w:pPr>
      <w:r>
        <w:rPr>
          <w:kern w:val="0"/>
          <w:szCs w:val="24"/>
        </w:rPr>
        <w:t>Keywords: Pelvis, Surgery, Work</w:t>
      </w:r>
    </w:p>
    <w:p w:rsidR="007C14E9" w:rsidRDefault="007C14E9" w:rsidP="007C14E9">
      <w:pPr>
        <w:pStyle w:val="a3"/>
        <w:rPr>
          <w:kern w:val="0"/>
        </w:rPr>
      </w:pPr>
      <w:r>
        <w:rPr>
          <w:rFonts w:hint="eastAsia"/>
          <w:kern w:val="0"/>
        </w:rPr>
        <w:t xml:space="preserve">? </w:t>
      </w:r>
      <w:r>
        <w:rPr>
          <w:kern w:val="0"/>
        </w:rPr>
        <w:t>Brand, R.A.</w:t>
      </w:r>
      <w:r w:rsidR="005853A9">
        <w:rPr>
          <w:kern w:val="0"/>
        </w:rPr>
        <w:t xml:space="preserve"> and </w:t>
      </w:r>
      <w:r>
        <w:rPr>
          <w:kern w:val="0"/>
        </w:rPr>
        <w:t>Perthes, G. (2012</w:t>
      </w:r>
      <w:r w:rsidR="00F42EAC">
        <w:rPr>
          <w:kern w:val="0"/>
        </w:rPr>
        <w:t>), The</w:t>
      </w:r>
      <w:r w:rsidR="003A1917">
        <w:rPr>
          <w:kern w:val="0"/>
        </w:rPr>
        <w:t xml:space="preserve"> </w:t>
      </w:r>
      <w:r>
        <w:rPr>
          <w:kern w:val="0"/>
        </w:rPr>
        <w:t xml:space="preserve">classic: On juvenile arthritis deformans (Reprinted from Uber Arthritis deformans juvenilis, vol 107, pg 111-159, 1910).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470</w:t>
      </w:r>
      <w:r>
        <w:rPr>
          <w:kern w:val="0"/>
        </w:rPr>
        <w:t xml:space="preserve"> (9), 2349-2368.</w:t>
      </w:r>
    </w:p>
    <w:p w:rsidR="007C14E9" w:rsidRDefault="007C14E9" w:rsidP="007C14E9">
      <w:pPr>
        <w:pStyle w:val="a3"/>
        <w:rPr>
          <w:kern w:val="0"/>
        </w:rPr>
      </w:pPr>
      <w:r>
        <w:rPr>
          <w:rFonts w:hint="eastAsia"/>
          <w:kern w:val="0"/>
        </w:rPr>
        <w:t xml:space="preserve">Full Text: </w:t>
      </w:r>
      <w:hyperlink r:id="rId393" w:history="1">
        <w:r w:rsidRPr="008B41A4">
          <w:rPr>
            <w:rStyle w:val="a5"/>
            <w:kern w:val="0"/>
          </w:rPr>
          <w:t>2012\Cli Ort Rel Res470, 2349.pdf</w:t>
        </w:r>
      </w:hyperlink>
    </w:p>
    <w:p w:rsidR="007C14E9" w:rsidRDefault="007C14E9" w:rsidP="007C14E9">
      <w:pPr>
        <w:pStyle w:val="a3"/>
        <w:rPr>
          <w:kern w:val="0"/>
        </w:rPr>
      </w:pPr>
      <w:r>
        <w:rPr>
          <w:kern w:val="0"/>
        </w:rPr>
        <w:t>Abstract: This Classic Article is a reprint</w:t>
      </w:r>
      <w:r w:rsidR="00427468">
        <w:rPr>
          <w:kern w:val="0"/>
        </w:rPr>
        <w:t xml:space="preserve"> of </w:t>
      </w:r>
      <w:r w:rsidR="003A1917">
        <w:rPr>
          <w:kern w:val="0"/>
        </w:rPr>
        <w:t xml:space="preserve">the </w:t>
      </w:r>
      <w:r>
        <w:rPr>
          <w:kern w:val="0"/>
        </w:rPr>
        <w:t>original work by G. Perthes, On juvenile arthritis deformans. An accompanying biographical sketch</w:t>
      </w:r>
      <w:r w:rsidR="00427468">
        <w:rPr>
          <w:kern w:val="0"/>
        </w:rPr>
        <w:t xml:space="preserve"> of </w:t>
      </w:r>
      <w:r>
        <w:rPr>
          <w:kern w:val="0"/>
        </w:rPr>
        <w:t xml:space="preserve">G. Perthes is </w:t>
      </w:r>
      <w:r>
        <w:rPr>
          <w:kern w:val="0"/>
        </w:rPr>
        <w:lastRenderedPageBreak/>
        <w:t>available at DOI 10.1007/s11999-012-2432-2</w:t>
      </w:r>
      <w:r w:rsidR="00A37C1D">
        <w:rPr>
          <w:kern w:val="0"/>
        </w:rPr>
        <w:t>. The</w:t>
      </w:r>
      <w:r w:rsidR="003A1917">
        <w:rPr>
          <w:kern w:val="0"/>
        </w:rPr>
        <w:t xml:space="preserve"> </w:t>
      </w:r>
      <w:r>
        <w:rPr>
          <w:kern w:val="0"/>
        </w:rPr>
        <w:t>Classic Article is (C) 1910</w:t>
      </w:r>
      <w:r w:rsidR="005853A9">
        <w:rPr>
          <w:kern w:val="0"/>
        </w:rPr>
        <w:t xml:space="preserve"> and </w:t>
      </w:r>
      <w:r>
        <w:rPr>
          <w:kern w:val="0"/>
        </w:rPr>
        <w:t>is reprinted from U Uber Arthritis deformans juvenilis. Deutsch Zeitschr Chir. 1910; 107:111-159.</w:t>
      </w:r>
    </w:p>
    <w:p w:rsidR="007C14E9" w:rsidRDefault="007C14E9" w:rsidP="007C14E9">
      <w:pPr>
        <w:pStyle w:val="a3"/>
        <w:rPr>
          <w:kern w:val="0"/>
        </w:rPr>
      </w:pPr>
      <w:r>
        <w:rPr>
          <w:kern w:val="0"/>
        </w:rPr>
        <w:t>Keywords: Arthritis, U, Work</w:t>
      </w:r>
    </w:p>
    <w:p w:rsidR="006C6544" w:rsidRDefault="006C6544" w:rsidP="006C6544">
      <w:pPr>
        <w:pStyle w:val="a3"/>
        <w:rPr>
          <w:kern w:val="0"/>
        </w:rPr>
      </w:pPr>
      <w:r>
        <w:rPr>
          <w:rFonts w:hint="eastAsia"/>
          <w:kern w:val="0"/>
        </w:rPr>
        <w:t xml:space="preserve">? </w:t>
      </w:r>
      <w:r>
        <w:rPr>
          <w:kern w:val="0"/>
        </w:rPr>
        <w:t>Huntington, T.W. (2012</w:t>
      </w:r>
      <w:r w:rsidR="00F42EAC">
        <w:rPr>
          <w:kern w:val="0"/>
        </w:rPr>
        <w:t>), The</w:t>
      </w:r>
      <w:r w:rsidR="003A1917">
        <w:rPr>
          <w:kern w:val="0"/>
        </w:rPr>
        <w:t xml:space="preserve"> </w:t>
      </w:r>
      <w:r>
        <w:rPr>
          <w:kern w:val="0"/>
        </w:rPr>
        <w:t>classic: Case</w:t>
      </w:r>
      <w:r w:rsidR="00427468">
        <w:rPr>
          <w:kern w:val="0"/>
        </w:rPr>
        <w:t xml:space="preserve"> of </w:t>
      </w:r>
      <w:r>
        <w:rPr>
          <w:kern w:val="0"/>
        </w:rPr>
        <w:t>bone transference. Use</w:t>
      </w:r>
      <w:r w:rsidR="00427468">
        <w:rPr>
          <w:kern w:val="0"/>
        </w:rPr>
        <w:t xml:space="preserve"> of </w:t>
      </w:r>
      <w:r>
        <w:rPr>
          <w:kern w:val="0"/>
        </w:rPr>
        <w:t>a segment</w:t>
      </w:r>
      <w:r w:rsidR="00427468">
        <w:rPr>
          <w:kern w:val="0"/>
        </w:rPr>
        <w:t xml:space="preserve"> of </w:t>
      </w:r>
      <w:r>
        <w:rPr>
          <w:kern w:val="0"/>
        </w:rPr>
        <w:t>fibula to supply a defect in</w:t>
      </w:r>
      <w:r w:rsidR="003A1917">
        <w:rPr>
          <w:kern w:val="0"/>
        </w:rPr>
        <w:t xml:space="preserve"> the </w:t>
      </w:r>
      <w:r>
        <w:rPr>
          <w:kern w:val="0"/>
        </w:rPr>
        <w:t xml:space="preserve">tibia.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470</w:t>
      </w:r>
      <w:r>
        <w:rPr>
          <w:kern w:val="0"/>
        </w:rPr>
        <w:t xml:space="preserve"> (10), 2651-2653.</w:t>
      </w:r>
    </w:p>
    <w:p w:rsidR="006C6544" w:rsidRDefault="006C6544" w:rsidP="006C6544">
      <w:pPr>
        <w:pStyle w:val="a3"/>
        <w:rPr>
          <w:kern w:val="0"/>
        </w:rPr>
      </w:pPr>
      <w:r>
        <w:rPr>
          <w:rFonts w:hint="eastAsia"/>
          <w:kern w:val="0"/>
        </w:rPr>
        <w:t xml:space="preserve">Full Text: </w:t>
      </w:r>
      <w:hyperlink r:id="rId394" w:history="1">
        <w:r w:rsidRPr="00573700">
          <w:rPr>
            <w:rStyle w:val="a5"/>
            <w:kern w:val="0"/>
          </w:rPr>
          <w:t>2012\Cli Ort Rel Res470, 2651.pdf</w:t>
        </w:r>
      </w:hyperlink>
    </w:p>
    <w:p w:rsidR="006C6544" w:rsidRDefault="006C6544" w:rsidP="006C6544">
      <w:pPr>
        <w:pStyle w:val="a3"/>
        <w:rPr>
          <w:kern w:val="0"/>
        </w:rPr>
      </w:pPr>
      <w:r>
        <w:rPr>
          <w:kern w:val="0"/>
        </w:rPr>
        <w:t>Abstract: This Classic Article is a reprint</w:t>
      </w:r>
      <w:r w:rsidR="00427468">
        <w:rPr>
          <w:kern w:val="0"/>
        </w:rPr>
        <w:t xml:space="preserve"> of </w:t>
      </w:r>
      <w:r w:rsidR="003A1917">
        <w:rPr>
          <w:kern w:val="0"/>
        </w:rPr>
        <w:t xml:space="preserve">the </w:t>
      </w:r>
      <w:r>
        <w:rPr>
          <w:kern w:val="0"/>
        </w:rPr>
        <w:t>original work by T.W. Huntington, Case</w:t>
      </w:r>
      <w:r w:rsidR="00427468">
        <w:rPr>
          <w:kern w:val="0"/>
        </w:rPr>
        <w:t xml:space="preserve"> of </w:t>
      </w:r>
      <w:r>
        <w:rPr>
          <w:kern w:val="0"/>
        </w:rPr>
        <w:t>Bone Transference. Use</w:t>
      </w:r>
      <w:r w:rsidR="00427468">
        <w:rPr>
          <w:kern w:val="0"/>
        </w:rPr>
        <w:t xml:space="preserve"> of </w:t>
      </w:r>
      <w:r>
        <w:rPr>
          <w:kern w:val="0"/>
        </w:rPr>
        <w:t>a Segment</w:t>
      </w:r>
      <w:r w:rsidR="00427468">
        <w:rPr>
          <w:kern w:val="0"/>
        </w:rPr>
        <w:t xml:space="preserve"> of </w:t>
      </w:r>
      <w:r>
        <w:rPr>
          <w:kern w:val="0"/>
        </w:rPr>
        <w:t>Fibula to Supply a Defect in</w:t>
      </w:r>
      <w:r w:rsidR="003A1917">
        <w:rPr>
          <w:kern w:val="0"/>
        </w:rPr>
        <w:t xml:space="preserve"> the </w:t>
      </w:r>
      <w:r>
        <w:rPr>
          <w:kern w:val="0"/>
        </w:rPr>
        <w:t>Tibia. An accompanying biographical sketch</w:t>
      </w:r>
      <w:r w:rsidR="00427468">
        <w:rPr>
          <w:kern w:val="0"/>
        </w:rPr>
        <w:t xml:space="preserve"> of </w:t>
      </w:r>
      <w:r>
        <w:rPr>
          <w:kern w:val="0"/>
        </w:rPr>
        <w:t>T.W. Huntington is available at DOI 10.1007/s11999-012-2495-0</w:t>
      </w:r>
      <w:r w:rsidR="00B5188C">
        <w:rPr>
          <w:kern w:val="0"/>
        </w:rPr>
        <w:t>”</w:t>
      </w:r>
      <w:r w:rsidR="00A37C1D">
        <w:rPr>
          <w:kern w:val="0"/>
        </w:rPr>
        <w:t>. The</w:t>
      </w:r>
      <w:r w:rsidR="003A1917">
        <w:rPr>
          <w:kern w:val="0"/>
        </w:rPr>
        <w:t xml:space="preserve"> </w:t>
      </w:r>
      <w:r>
        <w:rPr>
          <w:kern w:val="0"/>
        </w:rPr>
        <w:t>Classic Article is A (c) 1905</w:t>
      </w:r>
      <w:r w:rsidR="005853A9">
        <w:rPr>
          <w:kern w:val="0"/>
        </w:rPr>
        <w:t xml:space="preserve"> and </w:t>
      </w:r>
      <w:r>
        <w:rPr>
          <w:kern w:val="0"/>
        </w:rPr>
        <w:t>is reprinted courtesy</w:t>
      </w:r>
      <w:r w:rsidR="00427468">
        <w:rPr>
          <w:kern w:val="0"/>
        </w:rPr>
        <w:t xml:space="preserve"> of </w:t>
      </w:r>
      <w:r>
        <w:rPr>
          <w:kern w:val="0"/>
        </w:rPr>
        <w:t>Wolters Kluwer Lippincott Williams &amp; Wilkins from Huntington TW. Case</w:t>
      </w:r>
      <w:r w:rsidR="00427468">
        <w:rPr>
          <w:kern w:val="0"/>
        </w:rPr>
        <w:t xml:space="preserve"> of </w:t>
      </w:r>
      <w:r>
        <w:rPr>
          <w:kern w:val="0"/>
        </w:rPr>
        <w:t>Bone Transference. Use</w:t>
      </w:r>
      <w:r w:rsidR="00427468">
        <w:rPr>
          <w:kern w:val="0"/>
        </w:rPr>
        <w:t xml:space="preserve"> of </w:t>
      </w:r>
      <w:r>
        <w:rPr>
          <w:kern w:val="0"/>
        </w:rPr>
        <w:t>a Segment</w:t>
      </w:r>
      <w:r w:rsidR="00427468">
        <w:rPr>
          <w:kern w:val="0"/>
        </w:rPr>
        <w:t xml:space="preserve"> of </w:t>
      </w:r>
      <w:r>
        <w:rPr>
          <w:kern w:val="0"/>
        </w:rPr>
        <w:t>Fibula to Supply a Defect in</w:t>
      </w:r>
      <w:r w:rsidR="003A1917">
        <w:rPr>
          <w:kern w:val="0"/>
        </w:rPr>
        <w:t xml:space="preserve"> the </w:t>
      </w:r>
      <w:r>
        <w:rPr>
          <w:kern w:val="0"/>
        </w:rPr>
        <w:t>Tibia. Ann Surg. 1905;41:249-251.</w:t>
      </w:r>
    </w:p>
    <w:p w:rsidR="006C6544" w:rsidRDefault="006C6544" w:rsidP="006C6544">
      <w:pPr>
        <w:pStyle w:val="a3"/>
        <w:rPr>
          <w:kern w:val="0"/>
        </w:rPr>
      </w:pPr>
      <w:r>
        <w:rPr>
          <w:kern w:val="0"/>
        </w:rPr>
        <w:t>Keywords: Work</w:t>
      </w:r>
    </w:p>
    <w:p w:rsidR="00BF6DAB" w:rsidRDefault="00BF6DAB" w:rsidP="00BF6DAB">
      <w:pPr>
        <w:pStyle w:val="a3"/>
        <w:rPr>
          <w:kern w:val="0"/>
        </w:rPr>
      </w:pPr>
      <w:r>
        <w:rPr>
          <w:rFonts w:hint="eastAsia"/>
          <w:kern w:val="0"/>
        </w:rPr>
        <w:t xml:space="preserve">? </w:t>
      </w:r>
      <w:r w:rsidRPr="00B923BF">
        <w:rPr>
          <w:kern w:val="0"/>
        </w:rPr>
        <w:t>Brand, R</w:t>
      </w:r>
      <w:r>
        <w:rPr>
          <w:rFonts w:hint="eastAsia"/>
          <w:kern w:val="0"/>
        </w:rPr>
        <w:t>.</w:t>
      </w:r>
      <w:r w:rsidRPr="00B923BF">
        <w:rPr>
          <w:kern w:val="0"/>
        </w:rPr>
        <w:t>A</w:t>
      </w:r>
      <w:r>
        <w:rPr>
          <w:rFonts w:hint="eastAsia"/>
          <w:kern w:val="0"/>
        </w:rPr>
        <w:t>.</w:t>
      </w:r>
      <w:r>
        <w:rPr>
          <w:kern w:val="0"/>
        </w:rPr>
        <w:t xml:space="preserve"> (2012), </w:t>
      </w:r>
      <w:r w:rsidRPr="00B923BF">
        <w:rPr>
          <w:kern w:val="0"/>
        </w:rPr>
        <w:t>Further thoughts on authorship: Gift authorship</w:t>
      </w:r>
      <w:r>
        <w:rPr>
          <w:kern w:val="0"/>
        </w:rPr>
        <w:t xml:space="preserve">.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470</w:t>
      </w:r>
      <w:r>
        <w:rPr>
          <w:kern w:val="0"/>
        </w:rPr>
        <w:t xml:space="preserve"> (10), </w:t>
      </w:r>
      <w:r w:rsidRPr="00B923BF">
        <w:rPr>
          <w:kern w:val="0"/>
        </w:rPr>
        <w:t>2926-2929</w:t>
      </w:r>
      <w:r>
        <w:rPr>
          <w:kern w:val="0"/>
        </w:rPr>
        <w:t>.</w:t>
      </w:r>
    </w:p>
    <w:p w:rsidR="00BF6DAB" w:rsidRDefault="00BF6DAB" w:rsidP="00BF6DAB">
      <w:pPr>
        <w:pStyle w:val="a3"/>
        <w:rPr>
          <w:kern w:val="0"/>
        </w:rPr>
      </w:pPr>
      <w:r>
        <w:rPr>
          <w:rFonts w:hint="eastAsia"/>
          <w:kern w:val="0"/>
        </w:rPr>
        <w:t xml:space="preserve">Full Text: </w:t>
      </w:r>
      <w:hyperlink r:id="rId395" w:history="1">
        <w:r w:rsidRPr="00B923BF">
          <w:rPr>
            <w:rStyle w:val="a5"/>
            <w:kern w:val="0"/>
          </w:rPr>
          <w:t>2012\Cli Ort Rel Res470, 2926.pdf</w:t>
        </w:r>
      </w:hyperlink>
    </w:p>
    <w:p w:rsidR="00BF6DAB" w:rsidRDefault="00BF6DAB" w:rsidP="00BF6DAB">
      <w:pPr>
        <w:pStyle w:val="a3"/>
        <w:rPr>
          <w:kern w:val="0"/>
        </w:rPr>
      </w:pPr>
      <w:r w:rsidRPr="00B923BF">
        <w:rPr>
          <w:kern w:val="0"/>
        </w:rPr>
        <w:t>Keywords: Parse Analysis</w:t>
      </w:r>
      <w:r>
        <w:rPr>
          <w:rFonts w:hint="eastAsia"/>
          <w:kern w:val="0"/>
        </w:rPr>
        <w:t>,</w:t>
      </w:r>
      <w:r w:rsidRPr="00B923BF">
        <w:rPr>
          <w:kern w:val="0"/>
        </w:rPr>
        <w:t xml:space="preserve"> Cont</w:t>
      </w:r>
      <w:r>
        <w:rPr>
          <w:kern w:val="0"/>
        </w:rPr>
        <w:t>ributorship</w:t>
      </w:r>
    </w:p>
    <w:p w:rsidR="00534370" w:rsidRDefault="00534370" w:rsidP="00534370">
      <w:pPr>
        <w:pStyle w:val="a3"/>
        <w:rPr>
          <w:kern w:val="0"/>
          <w:szCs w:val="24"/>
        </w:rPr>
      </w:pPr>
      <w:r>
        <w:rPr>
          <w:rFonts w:hint="eastAsia"/>
          <w:kern w:val="0"/>
          <w:szCs w:val="24"/>
        </w:rPr>
        <w:t xml:space="preserve">? </w:t>
      </w:r>
      <w:r>
        <w:rPr>
          <w:kern w:val="0"/>
          <w:szCs w:val="24"/>
        </w:rPr>
        <w:t>Ewens, J. (2013), The classic: Case</w:t>
      </w:r>
      <w:r w:rsidR="00427468">
        <w:rPr>
          <w:kern w:val="0"/>
          <w:szCs w:val="24"/>
        </w:rPr>
        <w:t xml:space="preserve"> of </w:t>
      </w:r>
      <w:r>
        <w:rPr>
          <w:kern w:val="0"/>
          <w:szCs w:val="24"/>
        </w:rPr>
        <w:t>osteo-sarcoma</w:t>
      </w:r>
      <w:r w:rsidR="00427468">
        <w:rPr>
          <w:kern w:val="0"/>
          <w:szCs w:val="24"/>
        </w:rPr>
        <w:t xml:space="preserve"> of </w:t>
      </w:r>
      <w:r>
        <w:rPr>
          <w:kern w:val="0"/>
          <w:szCs w:val="24"/>
        </w:rPr>
        <w:t>tibia, recurring in stump</w:t>
      </w:r>
      <w:r w:rsidR="00427468">
        <w:rPr>
          <w:kern w:val="0"/>
          <w:szCs w:val="24"/>
        </w:rPr>
        <w:t xml:space="preserve"> of </w:t>
      </w:r>
      <w:r>
        <w:rPr>
          <w:kern w:val="0"/>
          <w:szCs w:val="24"/>
        </w:rPr>
        <w:t>thigh,</w:t>
      </w:r>
      <w:r w:rsidR="005853A9">
        <w:rPr>
          <w:kern w:val="0"/>
          <w:szCs w:val="24"/>
        </w:rPr>
        <w:t xml:space="preserve"> and </w:t>
      </w:r>
      <w:r>
        <w:rPr>
          <w:kern w:val="0"/>
          <w:szCs w:val="24"/>
        </w:rPr>
        <w:t xml:space="preserve">probably affecting the lung. </w:t>
      </w:r>
      <w:r>
        <w:rPr>
          <w:i/>
          <w:iCs/>
          <w:kern w:val="0"/>
          <w:szCs w:val="24"/>
        </w:rPr>
        <w:t>Clinical Orthopaedics</w:t>
      </w:r>
      <w:r w:rsidR="005853A9">
        <w:rPr>
          <w:i/>
          <w:iCs/>
          <w:kern w:val="0"/>
          <w:szCs w:val="24"/>
        </w:rPr>
        <w:t xml:space="preserve"> and </w:t>
      </w:r>
      <w:r>
        <w:rPr>
          <w:i/>
          <w:iCs/>
          <w:kern w:val="0"/>
          <w:szCs w:val="24"/>
        </w:rPr>
        <w:t>Related Research</w:t>
      </w:r>
      <w:r>
        <w:rPr>
          <w:kern w:val="0"/>
          <w:szCs w:val="24"/>
        </w:rPr>
        <w:t xml:space="preserve">, </w:t>
      </w:r>
      <w:r>
        <w:rPr>
          <w:b/>
          <w:bCs/>
          <w:kern w:val="0"/>
          <w:szCs w:val="24"/>
        </w:rPr>
        <w:t>471</w:t>
      </w:r>
      <w:r>
        <w:rPr>
          <w:kern w:val="0"/>
          <w:szCs w:val="24"/>
        </w:rPr>
        <w:t xml:space="preserve"> (3), 832-833.</w:t>
      </w:r>
    </w:p>
    <w:p w:rsidR="00534370" w:rsidRDefault="00534370" w:rsidP="00534370">
      <w:pPr>
        <w:pStyle w:val="a3"/>
        <w:rPr>
          <w:kern w:val="0"/>
        </w:rPr>
      </w:pPr>
      <w:r>
        <w:rPr>
          <w:rFonts w:hint="eastAsia"/>
          <w:kern w:val="0"/>
        </w:rPr>
        <w:t xml:space="preserve">Full Text: </w:t>
      </w:r>
      <w:hyperlink r:id="rId396" w:history="1">
        <w:r w:rsidRPr="00C35789">
          <w:rPr>
            <w:rStyle w:val="a5"/>
            <w:kern w:val="0"/>
          </w:rPr>
          <w:t>2013\Cli Ort Rel Res471, 832.pdf</w:t>
        </w:r>
      </w:hyperlink>
    </w:p>
    <w:p w:rsidR="00534370" w:rsidRDefault="00534370" w:rsidP="00534370">
      <w:pPr>
        <w:pStyle w:val="a3"/>
        <w:rPr>
          <w:kern w:val="0"/>
          <w:szCs w:val="24"/>
        </w:rPr>
      </w:pPr>
      <w:r>
        <w:rPr>
          <w:kern w:val="0"/>
          <w:szCs w:val="24"/>
        </w:rPr>
        <w:t>Abstract: This Classic article is a reprint</w:t>
      </w:r>
      <w:r w:rsidR="00427468">
        <w:rPr>
          <w:kern w:val="0"/>
          <w:szCs w:val="24"/>
        </w:rPr>
        <w:t xml:space="preserve"> of </w:t>
      </w:r>
      <w:r>
        <w:rPr>
          <w:kern w:val="0"/>
          <w:szCs w:val="24"/>
        </w:rPr>
        <w:t>the original work by Mr. John Ewens, “Case</w:t>
      </w:r>
      <w:r w:rsidR="00427468">
        <w:rPr>
          <w:kern w:val="0"/>
          <w:szCs w:val="24"/>
        </w:rPr>
        <w:t xml:space="preserve"> of </w:t>
      </w:r>
      <w:r>
        <w:rPr>
          <w:kern w:val="0"/>
          <w:szCs w:val="24"/>
        </w:rPr>
        <w:t>Osteo-Sarcoma</w:t>
      </w:r>
      <w:r w:rsidR="00427468">
        <w:rPr>
          <w:kern w:val="0"/>
          <w:szCs w:val="24"/>
        </w:rPr>
        <w:t xml:space="preserve"> of </w:t>
      </w:r>
      <w:r>
        <w:rPr>
          <w:kern w:val="0"/>
          <w:szCs w:val="24"/>
        </w:rPr>
        <w:t>Tibia, Recurring in Stump</w:t>
      </w:r>
      <w:r w:rsidR="00427468">
        <w:rPr>
          <w:kern w:val="0"/>
          <w:szCs w:val="24"/>
        </w:rPr>
        <w:t xml:space="preserve"> of </w:t>
      </w:r>
      <w:r>
        <w:rPr>
          <w:kern w:val="0"/>
          <w:szCs w:val="24"/>
        </w:rPr>
        <w:t>Thigh,</w:t>
      </w:r>
      <w:r w:rsidR="005853A9">
        <w:rPr>
          <w:kern w:val="0"/>
          <w:szCs w:val="24"/>
        </w:rPr>
        <w:t xml:space="preserve"> and </w:t>
      </w:r>
      <w:r>
        <w:rPr>
          <w:kern w:val="0"/>
          <w:szCs w:val="24"/>
        </w:rPr>
        <w:t>Probably Affecting the Lung.” The case is</w:t>
      </w:r>
      <w:r w:rsidR="00427468">
        <w:rPr>
          <w:kern w:val="0"/>
          <w:szCs w:val="24"/>
        </w:rPr>
        <w:t xml:space="preserve"> of </w:t>
      </w:r>
      <w:r>
        <w:rPr>
          <w:kern w:val="0"/>
          <w:szCs w:val="24"/>
        </w:rPr>
        <w:t>interest, because the findings contradicted an existing idea, “that large malignant growths, springing from the long bones, do not, after amputation, if the whole</w:t>
      </w:r>
      <w:r w:rsidR="00427468">
        <w:rPr>
          <w:kern w:val="0"/>
          <w:szCs w:val="24"/>
        </w:rPr>
        <w:t xml:space="preserve"> of </w:t>
      </w:r>
      <w:r>
        <w:rPr>
          <w:kern w:val="0"/>
          <w:szCs w:val="24"/>
        </w:rPr>
        <w:t>the diseased structures be removed, return in the stump, but at some distant part; and, therefore, it is not necessary to amputate above the knee in the case</w:t>
      </w:r>
      <w:r w:rsidR="00427468">
        <w:rPr>
          <w:kern w:val="0"/>
          <w:szCs w:val="24"/>
        </w:rPr>
        <w:t xml:space="preserve"> of </w:t>
      </w:r>
      <w:r>
        <w:rPr>
          <w:kern w:val="0"/>
          <w:szCs w:val="24"/>
        </w:rPr>
        <w:t>the tibia, or at the hip-joint in the case</w:t>
      </w:r>
      <w:r w:rsidR="00427468">
        <w:rPr>
          <w:kern w:val="0"/>
          <w:szCs w:val="24"/>
        </w:rPr>
        <w:t xml:space="preserve"> of </w:t>
      </w:r>
      <w:r>
        <w:rPr>
          <w:kern w:val="0"/>
          <w:szCs w:val="24"/>
        </w:rPr>
        <w:t>the femur.” In Mr. Ewen</w:t>
      </w:r>
      <w:r w:rsidR="0071223E">
        <w:rPr>
          <w:kern w:val="0"/>
          <w:szCs w:val="24"/>
        </w:rPr>
        <w:t>’</w:t>
      </w:r>
      <w:r>
        <w:rPr>
          <w:kern w:val="0"/>
          <w:szCs w:val="24"/>
        </w:rPr>
        <w:t>s case, an osteosarcoma</w:t>
      </w:r>
      <w:r w:rsidR="00427468">
        <w:rPr>
          <w:kern w:val="0"/>
          <w:szCs w:val="24"/>
        </w:rPr>
        <w:t xml:space="preserve"> of </w:t>
      </w:r>
      <w:r>
        <w:rPr>
          <w:kern w:val="0"/>
          <w:szCs w:val="24"/>
        </w:rPr>
        <w:t>the tibia was treated with above-the-knee amputation, but, in fact, it recurred in the stump</w:t>
      </w:r>
      <w:r w:rsidR="00A37C1D">
        <w:rPr>
          <w:kern w:val="0"/>
          <w:szCs w:val="24"/>
        </w:rPr>
        <w:t>. The</w:t>
      </w:r>
      <w:r>
        <w:rPr>
          <w:kern w:val="0"/>
          <w:szCs w:val="24"/>
        </w:rPr>
        <w:t xml:space="preserve"> mechanism was unclear but could have arisen from the presence</w:t>
      </w:r>
      <w:r w:rsidR="00427468">
        <w:rPr>
          <w:kern w:val="0"/>
          <w:szCs w:val="24"/>
        </w:rPr>
        <w:t xml:space="preserve"> of </w:t>
      </w:r>
      <w:r>
        <w:rPr>
          <w:kern w:val="0"/>
          <w:szCs w:val="24"/>
        </w:rPr>
        <w:t>a multifocal lesion in the femur, seeding at the time</w:t>
      </w:r>
      <w:r w:rsidR="00427468">
        <w:rPr>
          <w:kern w:val="0"/>
          <w:szCs w:val="24"/>
        </w:rPr>
        <w:t xml:space="preserve"> of </w:t>
      </w:r>
      <w:r>
        <w:rPr>
          <w:kern w:val="0"/>
          <w:szCs w:val="24"/>
        </w:rPr>
        <w:t>amputation (details</w:t>
      </w:r>
      <w:r w:rsidR="00427468">
        <w:rPr>
          <w:kern w:val="0"/>
          <w:szCs w:val="24"/>
        </w:rPr>
        <w:t xml:space="preserve"> of </w:t>
      </w:r>
      <w:r>
        <w:rPr>
          <w:kern w:val="0"/>
          <w:szCs w:val="24"/>
        </w:rPr>
        <w:t>the amputation were not provided, although the site</w:t>
      </w:r>
      <w:r w:rsidR="00427468">
        <w:rPr>
          <w:kern w:val="0"/>
          <w:szCs w:val="24"/>
        </w:rPr>
        <w:t xml:space="preserve"> of </w:t>
      </w:r>
      <w:r>
        <w:rPr>
          <w:kern w:val="0"/>
          <w:szCs w:val="24"/>
        </w:rPr>
        <w:t>the tumor was apparently not involved), or perhaps subsequent metastasis from elsewhere to the stump. Mr. Ewens was a surgeon at the Hospital for Sick Children in Bristol, England. (No other information on Mr. Ewens could be located,</w:t>
      </w:r>
      <w:r w:rsidR="005853A9">
        <w:rPr>
          <w:kern w:val="0"/>
          <w:szCs w:val="24"/>
        </w:rPr>
        <w:t xml:space="preserve"> and </w:t>
      </w:r>
      <w:r>
        <w:rPr>
          <w:kern w:val="0"/>
          <w:szCs w:val="24"/>
        </w:rPr>
        <w:t>we have no accompanying biographical sketch.) The Classic Article is A (c) (1878)</w:t>
      </w:r>
      <w:r w:rsidR="005853A9">
        <w:rPr>
          <w:kern w:val="0"/>
          <w:szCs w:val="24"/>
        </w:rPr>
        <w:t xml:space="preserve"> and </w:t>
      </w:r>
      <w:r>
        <w:rPr>
          <w:kern w:val="0"/>
          <w:szCs w:val="24"/>
        </w:rPr>
        <w:lastRenderedPageBreak/>
        <w:t>is reprinted from Ewens J. Case</w:t>
      </w:r>
      <w:r w:rsidR="00427468">
        <w:rPr>
          <w:kern w:val="0"/>
          <w:szCs w:val="24"/>
        </w:rPr>
        <w:t xml:space="preserve"> of </w:t>
      </w:r>
      <w:r>
        <w:rPr>
          <w:kern w:val="0"/>
          <w:szCs w:val="24"/>
        </w:rPr>
        <w:t>Osteo-Sarcoma</w:t>
      </w:r>
      <w:r w:rsidR="00427468">
        <w:rPr>
          <w:kern w:val="0"/>
          <w:szCs w:val="24"/>
        </w:rPr>
        <w:t xml:space="preserve"> of </w:t>
      </w:r>
      <w:r>
        <w:rPr>
          <w:kern w:val="0"/>
          <w:szCs w:val="24"/>
        </w:rPr>
        <w:t>Tibia, Recurring in Stump</w:t>
      </w:r>
      <w:r w:rsidR="00427468">
        <w:rPr>
          <w:kern w:val="0"/>
          <w:szCs w:val="24"/>
        </w:rPr>
        <w:t xml:space="preserve"> of </w:t>
      </w:r>
      <w:r>
        <w:rPr>
          <w:kern w:val="0"/>
          <w:szCs w:val="24"/>
        </w:rPr>
        <w:t>Thigh,</w:t>
      </w:r>
      <w:r w:rsidR="005853A9">
        <w:rPr>
          <w:kern w:val="0"/>
          <w:szCs w:val="24"/>
        </w:rPr>
        <w:t xml:space="preserve"> and </w:t>
      </w:r>
      <w:r>
        <w:rPr>
          <w:kern w:val="0"/>
          <w:szCs w:val="24"/>
        </w:rPr>
        <w:t>Probably Affecting the Lung. Brit Med J. 1878; Feb 9;1(893):192-193. (C) The Association</w:t>
      </w:r>
      <w:r w:rsidR="00427468">
        <w:rPr>
          <w:kern w:val="0"/>
          <w:szCs w:val="24"/>
        </w:rPr>
        <w:t xml:space="preserve"> of </w:t>
      </w:r>
      <w:r>
        <w:rPr>
          <w:kern w:val="0"/>
          <w:szCs w:val="24"/>
        </w:rPr>
        <w:t>Bone</w:t>
      </w:r>
      <w:r w:rsidR="005853A9">
        <w:rPr>
          <w:kern w:val="0"/>
          <w:szCs w:val="24"/>
        </w:rPr>
        <w:t xml:space="preserve"> and </w:t>
      </w:r>
      <w:r>
        <w:rPr>
          <w:kern w:val="0"/>
          <w:szCs w:val="24"/>
        </w:rPr>
        <w:t>Joint Surgeons (R) 2012.</w:t>
      </w:r>
    </w:p>
    <w:p w:rsidR="00534370" w:rsidRDefault="00534370" w:rsidP="00534370">
      <w:pPr>
        <w:pStyle w:val="a3"/>
        <w:rPr>
          <w:kern w:val="0"/>
          <w:szCs w:val="24"/>
        </w:rPr>
      </w:pPr>
      <w:r>
        <w:rPr>
          <w:kern w:val="0"/>
          <w:szCs w:val="24"/>
        </w:rPr>
        <w:t>Keywords: Article, England, Femur, Information, Mar, Mechanism, Metastasis, R, Site, Tumor, Work</w:t>
      </w:r>
    </w:p>
    <w:p w:rsidR="00506BE4" w:rsidRDefault="004240BD" w:rsidP="00506BE4">
      <w:pPr>
        <w:pStyle w:val="a3"/>
        <w:rPr>
          <w:kern w:val="0"/>
        </w:rPr>
      </w:pPr>
      <w:r>
        <w:rPr>
          <w:kern w:val="0"/>
        </w:rPr>
        <w:t>? Kö</w:t>
      </w:r>
      <w:r w:rsidR="00506BE4">
        <w:rPr>
          <w:kern w:val="0"/>
        </w:rPr>
        <w:t xml:space="preserve">nig, F. (2013), The classic: On loose bodies in the joint. </w:t>
      </w:r>
      <w:r w:rsidR="00506BE4">
        <w:rPr>
          <w:i/>
          <w:iCs/>
          <w:kern w:val="0"/>
        </w:rPr>
        <w:t>Clinical Orthopaedics</w:t>
      </w:r>
      <w:r w:rsidR="005853A9">
        <w:rPr>
          <w:i/>
          <w:iCs/>
          <w:kern w:val="0"/>
        </w:rPr>
        <w:t xml:space="preserve"> and </w:t>
      </w:r>
      <w:r w:rsidR="00506BE4">
        <w:rPr>
          <w:i/>
          <w:iCs/>
          <w:kern w:val="0"/>
        </w:rPr>
        <w:t>Related Research</w:t>
      </w:r>
      <w:r w:rsidR="00506BE4">
        <w:rPr>
          <w:kern w:val="0"/>
        </w:rPr>
        <w:t xml:space="preserve">, </w:t>
      </w:r>
      <w:r w:rsidR="00506BE4">
        <w:rPr>
          <w:b/>
          <w:bCs/>
          <w:kern w:val="0"/>
        </w:rPr>
        <w:t>471</w:t>
      </w:r>
      <w:r w:rsidR="00506BE4">
        <w:rPr>
          <w:kern w:val="0"/>
        </w:rPr>
        <w:t xml:space="preserve"> (4), 1107-1115.</w:t>
      </w:r>
    </w:p>
    <w:p w:rsidR="00506BE4" w:rsidRDefault="00506BE4" w:rsidP="00506BE4">
      <w:pPr>
        <w:pStyle w:val="a3"/>
        <w:rPr>
          <w:kern w:val="0"/>
        </w:rPr>
      </w:pPr>
      <w:r>
        <w:rPr>
          <w:rFonts w:hint="eastAsia"/>
          <w:kern w:val="0"/>
        </w:rPr>
        <w:t xml:space="preserve">Full Text: </w:t>
      </w:r>
      <w:hyperlink r:id="rId397" w:history="1">
        <w:r w:rsidR="004240BD" w:rsidRPr="004240BD">
          <w:rPr>
            <w:rStyle w:val="a5"/>
            <w:kern w:val="0"/>
          </w:rPr>
          <w:t>2013\Cli Ort Rel Res471, 1107.pdf</w:t>
        </w:r>
      </w:hyperlink>
    </w:p>
    <w:p w:rsidR="00506BE4" w:rsidRDefault="00506BE4" w:rsidP="00506BE4">
      <w:pPr>
        <w:pStyle w:val="a3"/>
        <w:rPr>
          <w:kern w:val="0"/>
        </w:rPr>
      </w:pPr>
      <w:r>
        <w:rPr>
          <w:kern w:val="0"/>
        </w:rPr>
        <w:t>Abstract: This Classic Article is a translation</w:t>
      </w:r>
      <w:r w:rsidR="00427468">
        <w:rPr>
          <w:kern w:val="0"/>
        </w:rPr>
        <w:t xml:space="preserve"> of </w:t>
      </w:r>
      <w:r>
        <w:rPr>
          <w:kern w:val="0"/>
        </w:rPr>
        <w:t>the original work by Franz Konig, “Ueber freie Korper in den Gelenken” [On loose bodies in the joint]. Dtsch Z Chir. 1887;27: 90-109. available at DOI 10.1007/s11999-013-2824-y (Translated by Drs. Richard A. Brand</w:t>
      </w:r>
      <w:r w:rsidR="005853A9">
        <w:rPr>
          <w:kern w:val="0"/>
        </w:rPr>
        <w:t xml:space="preserve"> and </w:t>
      </w:r>
      <w:r>
        <w:rPr>
          <w:kern w:val="0"/>
        </w:rPr>
        <w:t>Christian-Dominik Peterlein). An accompanying biographical sketch</w:t>
      </w:r>
      <w:r w:rsidR="00427468">
        <w:rPr>
          <w:kern w:val="0"/>
        </w:rPr>
        <w:t xml:space="preserve"> of </w:t>
      </w:r>
      <w:r>
        <w:rPr>
          <w:kern w:val="0"/>
        </w:rPr>
        <w:t>F. Konig is available at DOI 10.1007/s11999-013-2823-z. A PDF</w:t>
      </w:r>
      <w:r w:rsidR="00427468">
        <w:rPr>
          <w:kern w:val="0"/>
        </w:rPr>
        <w:t xml:space="preserve"> of </w:t>
      </w:r>
      <w:r>
        <w:rPr>
          <w:kern w:val="0"/>
        </w:rPr>
        <w:t>the original German is available as supplemental material. (ED Note: An attempt has been made to preserve some</w:t>
      </w:r>
      <w:r w:rsidR="00427468">
        <w:rPr>
          <w:kern w:val="0"/>
        </w:rPr>
        <w:t xml:space="preserve"> of </w:t>
      </w:r>
      <w:r>
        <w:rPr>
          <w:kern w:val="0"/>
        </w:rPr>
        <w:t>the original wording while placing the material in a contemporary context. In some cases the author</w:t>
      </w:r>
      <w:r w:rsidR="0071223E">
        <w:rPr>
          <w:kern w:val="0"/>
        </w:rPr>
        <w:t>’</w:t>
      </w:r>
      <w:r>
        <w:rPr>
          <w:kern w:val="0"/>
        </w:rPr>
        <w:t>s original intent was obscure.) (C) The Association</w:t>
      </w:r>
      <w:r w:rsidR="00427468">
        <w:rPr>
          <w:kern w:val="0"/>
        </w:rPr>
        <w:t xml:space="preserve"> of </w:t>
      </w:r>
      <w:r>
        <w:rPr>
          <w:kern w:val="0"/>
        </w:rPr>
        <w:t>Bone</w:t>
      </w:r>
      <w:r w:rsidR="005853A9">
        <w:rPr>
          <w:kern w:val="0"/>
        </w:rPr>
        <w:t xml:space="preserve"> and </w:t>
      </w:r>
      <w:r>
        <w:rPr>
          <w:kern w:val="0"/>
        </w:rPr>
        <w:t>Joint Surgeons (R) 2013.</w:t>
      </w:r>
    </w:p>
    <w:p w:rsidR="00506BE4" w:rsidRDefault="00506BE4" w:rsidP="00506BE4">
      <w:pPr>
        <w:pStyle w:val="a3"/>
        <w:rPr>
          <w:kern w:val="0"/>
        </w:rPr>
      </w:pPr>
      <w:r>
        <w:rPr>
          <w:kern w:val="0"/>
        </w:rPr>
        <w:t>Keywords: Article, Bodies, Context, R, Translation, Work</w:t>
      </w:r>
    </w:p>
    <w:p w:rsidR="009736D0" w:rsidRDefault="009736D0" w:rsidP="009736D0">
      <w:pPr>
        <w:pStyle w:val="a3"/>
        <w:rPr>
          <w:kern w:val="0"/>
        </w:rPr>
      </w:pPr>
      <w:r>
        <w:rPr>
          <w:rFonts w:hint="eastAsia"/>
          <w:kern w:val="0"/>
        </w:rPr>
        <w:t xml:space="preserve">? </w:t>
      </w:r>
      <w:r>
        <w:rPr>
          <w:kern w:val="0"/>
        </w:rPr>
        <w:t>Codman, E.A. (2013), The classic: A study in hospital efficiency: As demonstrated by the case report</w:t>
      </w:r>
      <w:r w:rsidR="00427468">
        <w:rPr>
          <w:kern w:val="0"/>
        </w:rPr>
        <w:t xml:space="preserve"> of </w:t>
      </w:r>
      <w:r>
        <w:rPr>
          <w:kern w:val="0"/>
        </w:rPr>
        <w:t>first five years</w:t>
      </w:r>
      <w:r w:rsidR="00427468">
        <w:rPr>
          <w:kern w:val="0"/>
        </w:rPr>
        <w:t xml:space="preserve"> of </w:t>
      </w:r>
      <w:r>
        <w:rPr>
          <w:kern w:val="0"/>
        </w:rPr>
        <w:t xml:space="preserve">private hospital. </w:t>
      </w:r>
      <w:r>
        <w:rPr>
          <w:i/>
          <w:iCs/>
          <w:kern w:val="0"/>
        </w:rPr>
        <w:t>Clinical Orthopaedics</w:t>
      </w:r>
      <w:r w:rsidR="005853A9">
        <w:rPr>
          <w:i/>
          <w:iCs/>
          <w:kern w:val="0"/>
        </w:rPr>
        <w:t xml:space="preserve"> and </w:t>
      </w:r>
      <w:r>
        <w:rPr>
          <w:i/>
          <w:iCs/>
          <w:kern w:val="0"/>
        </w:rPr>
        <w:t>Related Research</w:t>
      </w:r>
      <w:r>
        <w:rPr>
          <w:kern w:val="0"/>
        </w:rPr>
        <w:t xml:space="preserve">, </w:t>
      </w:r>
      <w:r>
        <w:rPr>
          <w:b/>
          <w:bCs/>
          <w:kern w:val="0"/>
        </w:rPr>
        <w:t>471</w:t>
      </w:r>
      <w:r>
        <w:rPr>
          <w:kern w:val="0"/>
        </w:rPr>
        <w:t xml:space="preserve"> (6), 1778-1783.</w:t>
      </w:r>
    </w:p>
    <w:p w:rsidR="009736D0" w:rsidRDefault="009736D0" w:rsidP="009736D0">
      <w:pPr>
        <w:pStyle w:val="a3"/>
        <w:rPr>
          <w:kern w:val="0"/>
        </w:rPr>
      </w:pPr>
      <w:r>
        <w:rPr>
          <w:rFonts w:hint="eastAsia"/>
          <w:kern w:val="0"/>
        </w:rPr>
        <w:t xml:space="preserve">Full Text: </w:t>
      </w:r>
      <w:hyperlink r:id="rId398" w:history="1">
        <w:r w:rsidRPr="009736D0">
          <w:rPr>
            <w:rStyle w:val="a5"/>
            <w:kern w:val="0"/>
          </w:rPr>
          <w:t>2013\Cli Ort Rel Res471, 1778.pdf</w:t>
        </w:r>
      </w:hyperlink>
    </w:p>
    <w:p w:rsidR="009736D0" w:rsidRDefault="009736D0" w:rsidP="009736D0">
      <w:pPr>
        <w:pStyle w:val="a3"/>
        <w:rPr>
          <w:kern w:val="0"/>
        </w:rPr>
      </w:pPr>
      <w:r>
        <w:rPr>
          <w:kern w:val="0"/>
        </w:rPr>
        <w:t>Abstract: This is an abridged version</w:t>
      </w:r>
      <w:r w:rsidR="00427468">
        <w:rPr>
          <w:kern w:val="0"/>
        </w:rPr>
        <w:t xml:space="preserve"> of </w:t>
      </w:r>
      <w:r>
        <w:rPr>
          <w:kern w:val="0"/>
        </w:rPr>
        <w:t>the Classic Article by E.A. Codman, A Study in Hospital Efficiency: As Demonstrated by the Case Report</w:t>
      </w:r>
      <w:r w:rsidR="00427468">
        <w:rPr>
          <w:kern w:val="0"/>
        </w:rPr>
        <w:t xml:space="preserve"> of </w:t>
      </w:r>
      <w:r>
        <w:rPr>
          <w:kern w:val="0"/>
        </w:rPr>
        <w:t>the First Five Years</w:t>
      </w:r>
      <w:r w:rsidR="00427468">
        <w:rPr>
          <w:kern w:val="0"/>
        </w:rPr>
        <w:t xml:space="preserve"> of </w:t>
      </w:r>
      <w:r>
        <w:rPr>
          <w:kern w:val="0"/>
        </w:rPr>
        <w:t>a Private Hospital</w:t>
      </w:r>
      <w:r w:rsidR="00A37C1D">
        <w:rPr>
          <w:kern w:val="0"/>
        </w:rPr>
        <w:t>. The</w:t>
      </w:r>
      <w:r>
        <w:rPr>
          <w:kern w:val="0"/>
        </w:rPr>
        <w:t xml:space="preserve"> full article is available as supplemental material for the abridged version in the online version</w:t>
      </w:r>
      <w:r w:rsidR="00427468">
        <w:rPr>
          <w:kern w:val="0"/>
        </w:rPr>
        <w:t xml:space="preserve"> of </w:t>
      </w:r>
      <w:r>
        <w:rPr>
          <w:kern w:val="0"/>
        </w:rPr>
        <w:t>CORR (R). An accompanying biographical sketch</w:t>
      </w:r>
      <w:r w:rsidR="00427468">
        <w:rPr>
          <w:kern w:val="0"/>
        </w:rPr>
        <w:t xml:space="preserve"> of </w:t>
      </w:r>
      <w:r>
        <w:rPr>
          <w:kern w:val="0"/>
        </w:rPr>
        <w:t>E.A. Codman is available at DOI 10.1007/s11999-012-2750-4</w:t>
      </w:r>
      <w:r w:rsidR="00A37C1D">
        <w:rPr>
          <w:kern w:val="0"/>
        </w:rPr>
        <w:t>. The</w:t>
      </w:r>
      <w:r>
        <w:rPr>
          <w:kern w:val="0"/>
        </w:rPr>
        <w:t xml:space="preserve"> Classic Article is A (c) 1918</w:t>
      </w:r>
      <w:r w:rsidR="005853A9">
        <w:rPr>
          <w:kern w:val="0"/>
        </w:rPr>
        <w:t xml:space="preserve"> and </w:t>
      </w:r>
      <w:r>
        <w:rPr>
          <w:kern w:val="0"/>
        </w:rPr>
        <w:t>is reprinted courtesy</w:t>
      </w:r>
      <w:r w:rsidR="00427468">
        <w:rPr>
          <w:kern w:val="0"/>
        </w:rPr>
        <w:t xml:space="preserve"> of </w:t>
      </w:r>
      <w:r>
        <w:rPr>
          <w:kern w:val="0"/>
        </w:rPr>
        <w:t>Thomas Todd Co. from E.A. Codman. A Study in Hospital Efficiency: As Demonstrated by the Case Report</w:t>
      </w:r>
      <w:r w:rsidR="00427468">
        <w:rPr>
          <w:kern w:val="0"/>
        </w:rPr>
        <w:t xml:space="preserve"> of </w:t>
      </w:r>
      <w:r>
        <w:rPr>
          <w:kern w:val="0"/>
        </w:rPr>
        <w:t>the First Five Years</w:t>
      </w:r>
      <w:r w:rsidR="00427468">
        <w:rPr>
          <w:kern w:val="0"/>
        </w:rPr>
        <w:t xml:space="preserve"> of </w:t>
      </w:r>
      <w:r>
        <w:rPr>
          <w:kern w:val="0"/>
        </w:rPr>
        <w:t>a Private Hospital. Boston: Thomas Todd Co.; 1918: 4-10,108,162.</w:t>
      </w:r>
    </w:p>
    <w:p w:rsidR="009736D0" w:rsidRDefault="009736D0" w:rsidP="009736D0">
      <w:pPr>
        <w:pStyle w:val="a3"/>
        <w:rPr>
          <w:kern w:val="0"/>
        </w:rPr>
      </w:pPr>
      <w:r>
        <w:rPr>
          <w:kern w:val="0"/>
        </w:rPr>
        <w:t>Keywords: Article, Co, Efficiency, Online, R, Version</w:t>
      </w:r>
    </w:p>
    <w:p w:rsidR="0010082F" w:rsidRDefault="0010082F" w:rsidP="0010082F">
      <w:pPr>
        <w:pStyle w:val="a3"/>
        <w:rPr>
          <w:kern w:val="0"/>
        </w:rPr>
      </w:pPr>
      <w:r>
        <w:rPr>
          <w:kern w:val="0"/>
        </w:rPr>
        <w:t xml:space="preserve">? Goldstein, C.L., Macwan, K., Sundararajan, K. and Rampersaud, Y.R. (2014), Comparative outcomes of minimally invasive surgery for posterior lumbar fusion: A systematic review. </w:t>
      </w:r>
      <w:r>
        <w:rPr>
          <w:i/>
          <w:iCs/>
          <w:kern w:val="0"/>
        </w:rPr>
        <w:t>Clinical Orthopaedics and Related Research</w:t>
      </w:r>
      <w:r>
        <w:rPr>
          <w:kern w:val="0"/>
        </w:rPr>
        <w:t xml:space="preserve">, </w:t>
      </w:r>
      <w:r>
        <w:rPr>
          <w:b/>
          <w:bCs/>
          <w:kern w:val="0"/>
        </w:rPr>
        <w:t>472</w:t>
      </w:r>
      <w:r>
        <w:rPr>
          <w:kern w:val="0"/>
        </w:rPr>
        <w:t xml:space="preserve"> (6), 1727-1737.</w:t>
      </w:r>
    </w:p>
    <w:p w:rsidR="0010082F" w:rsidRDefault="0010082F" w:rsidP="0010082F">
      <w:pPr>
        <w:pStyle w:val="a3"/>
        <w:rPr>
          <w:kern w:val="0"/>
        </w:rPr>
      </w:pPr>
      <w:r>
        <w:rPr>
          <w:rFonts w:hint="eastAsia"/>
          <w:kern w:val="0"/>
        </w:rPr>
        <w:t xml:space="preserve">Full Text: </w:t>
      </w:r>
      <w:hyperlink r:id="rId399" w:history="1">
        <w:r w:rsidRPr="00CD7DD8">
          <w:rPr>
            <w:rStyle w:val="a5"/>
            <w:kern w:val="0"/>
          </w:rPr>
          <w:t>2014\Cli Ort Rel Res472, 1727.pdf</w:t>
        </w:r>
      </w:hyperlink>
    </w:p>
    <w:p w:rsidR="0010082F" w:rsidRDefault="0010082F" w:rsidP="0010082F">
      <w:pPr>
        <w:pStyle w:val="a3"/>
        <w:rPr>
          <w:kern w:val="0"/>
        </w:rPr>
      </w:pPr>
      <w:r>
        <w:rPr>
          <w:kern w:val="0"/>
        </w:rPr>
        <w:t xml:space="preserve">Abstract: Although minimally invasive surgical (MIS) approaches to the lumbar spine for posterior fusion are increasingly being utilized, the comparative outcomes of MIS and open posterior lumbar fusion remain unclear. In this systematic review, we </w:t>
      </w:r>
      <w:r>
        <w:rPr>
          <w:kern w:val="0"/>
        </w:rPr>
        <w:lastRenderedPageBreak/>
        <w:t>compared MIS and open transforaminal or posterior lumbar interbody fusion (TLIF/PLIF), specifically with respect to (1) surgical end points (including blood loss, surgical time, and fluoroscopy time), (2) clinical outcomes (Oswestry Disability Index [ODI] and VAS pain scores), and (3) adverse events. We performed a systematic review of MEDLINEA (R), Embase, Web of Science, and Cochrane Library. Reference lists were manually searched. We included studies with 10 or more patients undergoing MIS compared to open TLIF/PLIF for degenerative lumbar disorders and reporting on surgical end points, clinical outcomes, or adverse events. Twenty-six studies of low- or very low-quality (GRADE protocol) met our inclusion criteria. No significant differences in patient demographics were identified between the cohorts (MIS: n = 856; open: n = 806). Equivalent operative times were observed between the cohorts, although patients undergoing MIS fusion tended to lose less blood, be exposed to more fluoroscopy, and leave the hospital sooner than their open counterparts. Patient-reported outcomes, including VAS pain scores and ODI values, were clinically equivalent between the MIS and open cohorts at 12 to 36 months postoperatively. Trends toward lower rates of surgical and medical adverse events were also identified in patients undergoing MIS procedures. However, in the absence of randomization, selection bias may have influenced these results in favor of MIS fusion. Current evidence examining MIS versus open TLIF/PLIF is of low to very low quality and therefore highly biased. Results of this systematic review suggest equipoise in surgical and clinical outcomes with equivalent rates of intraoperative surgical complications and perhaps a slight decrease in perioperative medical complications. However, the quality of the current literature precludes firm conclusions regarding the comparative effectiveness of MIS versus open posterior lumbar fusion from being drawn and further higher-quality studies are critically required.</w:t>
      </w:r>
    </w:p>
    <w:p w:rsidR="0010082F" w:rsidRDefault="0010082F" w:rsidP="0010082F">
      <w:pPr>
        <w:pStyle w:val="a3"/>
        <w:rPr>
          <w:kern w:val="0"/>
        </w:rPr>
      </w:pPr>
      <w:r>
        <w:rPr>
          <w:kern w:val="0"/>
        </w:rPr>
        <w:t>Keywords: Bias, Blood, Blood Loss, Clinical, Clinical Outcomes, Complications, Criteria, Disability, Effectiveness, Events, Evidence, Fusion, Grade, Health-Care, Hospital, Instrumentation, Interbody Fusion, Invasive, Literature, Medical, Mini-Open, Mis, Older-Adults, Open, Operative, Outcomes, Pain, Patients, Procedures, Protocol, Quality, Quality Of, Quality-Of-Life, R, Randomization, Rates, Reference, Reference Lists, Reporting, Results, Review, Science, Selection, Spinal-Fusion, Spine, Spondylolisthesis, Surgery, Surgical Complications, Systematic, Systematic Review, Traditional Open Approach, Trends, Vas, Web Of Science</w:t>
      </w:r>
    </w:p>
    <w:p w:rsidR="005B6453" w:rsidRDefault="005B6453" w:rsidP="005B6453">
      <w:pPr>
        <w:pStyle w:val="a3"/>
        <w:rPr>
          <w:kern w:val="0"/>
        </w:rPr>
      </w:pPr>
      <w:r>
        <w:rPr>
          <w:rFonts w:hint="eastAsia"/>
          <w:kern w:val="0"/>
        </w:rPr>
        <w:t xml:space="preserve">? </w:t>
      </w:r>
      <w:r>
        <w:rPr>
          <w:kern w:val="0"/>
        </w:rPr>
        <w:t xml:space="preserve">Verstraelen, F.U., den Kleef, N.J.H.M., Jansen, L. and Morrenhof, J.W. (2014), High-energy versus low-energy extracorporeal shock wave therapy for calcifying tendinitis of the shoulder: Which is superior? A meta-analysis. </w:t>
      </w:r>
      <w:r>
        <w:rPr>
          <w:i/>
          <w:iCs/>
          <w:kern w:val="0"/>
        </w:rPr>
        <w:t>Clinical Orthopaedics and Related Research</w:t>
      </w:r>
      <w:r>
        <w:rPr>
          <w:kern w:val="0"/>
        </w:rPr>
        <w:t xml:space="preserve">, </w:t>
      </w:r>
      <w:r>
        <w:rPr>
          <w:b/>
          <w:bCs/>
          <w:kern w:val="0"/>
        </w:rPr>
        <w:t>472</w:t>
      </w:r>
      <w:r>
        <w:rPr>
          <w:kern w:val="0"/>
        </w:rPr>
        <w:t xml:space="preserve"> (9), 2816-2825.</w:t>
      </w:r>
    </w:p>
    <w:p w:rsidR="005B6453" w:rsidRPr="00A9656B" w:rsidRDefault="005B6453" w:rsidP="005B6453">
      <w:pPr>
        <w:pStyle w:val="a3"/>
      </w:pPr>
      <w:r>
        <w:rPr>
          <w:rFonts w:hint="eastAsia"/>
          <w:kern w:val="0"/>
        </w:rPr>
        <w:lastRenderedPageBreak/>
        <w:t xml:space="preserve">Full Text: </w:t>
      </w:r>
      <w:hyperlink r:id="rId400" w:history="1">
        <w:r w:rsidRPr="005B6453">
          <w:rPr>
            <w:rStyle w:val="a5"/>
            <w:kern w:val="0"/>
          </w:rPr>
          <w:t>2014\Cli Ort Rel Res472, 2816.pdf</w:t>
        </w:r>
      </w:hyperlink>
    </w:p>
    <w:p w:rsidR="005B6453" w:rsidRDefault="005B6453" w:rsidP="005B6453">
      <w:pPr>
        <w:pStyle w:val="a3"/>
        <w:rPr>
          <w:kern w:val="0"/>
        </w:rPr>
      </w:pPr>
      <w:r>
        <w:rPr>
          <w:kern w:val="0"/>
        </w:rPr>
        <w:t>Abstract: There are several treatment options for calcifying tendinitis of the shoulder. The next step treatment after conservative treatment fails is still a matter of dispute. Extracorporeal shock wave therapy (ESWT) has been shown to be a good alternative to surgery, but the best treatment intensity remains unknown. High-energy ESWT is much more painful, more expensive, and usually is done in an inpatient setting, whereas low-energy ESWT can be performed in an outpatient setting by a physical therapist. A systematic review and meta-analysis of randomized trials was performed to answer two clear research questions: (1) Is there a greater increase in the Constant-Murley score in patients treated with high-energy ESWT compared with those treated with low-energy ESWT by 3 months and by 6 months? (2) Is there a greater chance of complete resorption of the calcifications in patients treated with high-energy ESWT compared with those treated with low-energy ESWT by 3 months and by 6 months? Five relevant electronic online databases, Medline (through PubMed), EMBASE (through OVID), Cinahl (through EBSCO), Web of Science, and the Cochrane Central Register of Controlled Trials, were systematically searched. We also crosschecked the reference lists of articles and reviews for possible relevant studies. Eligible for inclusion were all randomized controlled trials (RCTs) that compared high-energy ESWT (&gt; 0.28 mJ/mm(2)) with low-energy ESWT (&lt; 0.08 mJ/mm(2)). One author examined titles and abstracts of each identified study to assess study eligibility. Two reviewers independently extracted data and assessed the risk of bias and study quality. The primary outcome measure, the Constant-Murley score, was assessed by comparing mean functional outcome scores between the groups. Secondary outcomes were assessed using odds ratios, when appropriate data were pooled. Based on this process, five RCTs (359 participants) were included. All five RCTs showed greater improvement in functional outcome (Constant-Murley score) in patients treated with high-energy ESWT compared with patients treated with low-energy ESWT at 3 and 6 months. The 3-month mean difference was 9.88 (95% CI, 9.04-10.72, p &lt; 0.001; 6-month data could not be pooled). Furthermore, high-energy ESWT more often resulted in complete resorption of the deposits at 3 months. The corresponding odds ratio was 3.40 (95% CI, 1.35-8.58) and p = 0.009 (6-month data could not be pooled). When shock wave therapy is chosen, high-energy shock wave therapy is more likely to result in improved Constant-Murley score and resorption of the deposits compared with low-energy therapy. Level I, therapeutic study. See the Instructions for Authors for a complete description of levels of evidence.</w:t>
      </w:r>
    </w:p>
    <w:p w:rsidR="005B6453" w:rsidRDefault="005B6453" w:rsidP="005B6453">
      <w:pPr>
        <w:pStyle w:val="a3"/>
        <w:rPr>
          <w:kern w:val="0"/>
        </w:rPr>
      </w:pPr>
      <w:r>
        <w:rPr>
          <w:kern w:val="0"/>
        </w:rPr>
        <w:t xml:space="preserve">Keywords: Alternative, Articles, Bias, Calcifications, Complete, Conservative, Conservative Treatment, Constant Score, Data, Databases, Embase, Eswt, Evidence, Groups, Guidelines, Improvement, Intensity, Measure, Medline, Meta Analysis, </w:t>
      </w:r>
      <w:r>
        <w:rPr>
          <w:kern w:val="0"/>
        </w:rPr>
        <w:lastRenderedPageBreak/>
        <w:t>Meta-Analysis, Metaanalysis, Odds Ratio, Online, Options, Outcome, Outcome Measure, Outcomes, Outpatient, Outpatient Setting, Patients, Physical, Primary, Pubmed, Quality, Randomized, Randomized Controlled Trials, Randomized Controlled-Trial, Reference, Reference Lists, Research, Review, Reviewers, Reviews, Risk, Rotator Cuff, Science, Shock, Shock Wave, Surgery, Systematic, Systematic Review, Therapeutic, Therapy, Treatment, Web Of Science</w:t>
      </w:r>
    </w:p>
    <w:p w:rsidR="002C0FA4" w:rsidRDefault="002C0FA4" w:rsidP="002C0FA4">
      <w:pPr>
        <w:pStyle w:val="a3"/>
      </w:pPr>
      <w:r>
        <w:rPr>
          <w:rFonts w:hint="eastAsia"/>
        </w:rPr>
        <w:t xml:space="preserve">? </w:t>
      </w:r>
      <w:r>
        <w:t xml:space="preserve">Schoenfeld, A.J. and Bono, C.M. (2015), Does surgical timing influence functional recovery after lumbar discectomy? A systematic review. </w:t>
      </w:r>
      <w:r>
        <w:rPr>
          <w:i/>
          <w:iCs/>
        </w:rPr>
        <w:t>Clinical Orthopaedics and Related Research</w:t>
      </w:r>
      <w:r>
        <w:t xml:space="preserve">, </w:t>
      </w:r>
      <w:r>
        <w:rPr>
          <w:b/>
          <w:bCs/>
        </w:rPr>
        <w:t>473</w:t>
      </w:r>
      <w:r>
        <w:t xml:space="preserve"> (6), 1963-1970.</w:t>
      </w:r>
    </w:p>
    <w:p w:rsidR="002C0FA4" w:rsidRPr="00A9656B" w:rsidRDefault="002C0FA4" w:rsidP="002C0FA4">
      <w:pPr>
        <w:pStyle w:val="a3"/>
      </w:pPr>
      <w:r>
        <w:rPr>
          <w:rFonts w:hint="eastAsia"/>
          <w:kern w:val="0"/>
        </w:rPr>
        <w:t xml:space="preserve">Full Text: </w:t>
      </w:r>
      <w:hyperlink r:id="rId401" w:history="1">
        <w:r w:rsidRPr="007F5569">
          <w:rPr>
            <w:rStyle w:val="a5"/>
            <w:kern w:val="0"/>
          </w:rPr>
          <w:t>2015\Cli Ort Rel Res473, 1963.pdf</w:t>
        </w:r>
      </w:hyperlink>
    </w:p>
    <w:p w:rsidR="002C0FA4" w:rsidRDefault="002C0FA4" w:rsidP="002C0FA4">
      <w:pPr>
        <w:pStyle w:val="a3"/>
      </w:pPr>
      <w:r>
        <w:t>Abstract: The impact of the duration of preoperative symptoms on outcomes after lumbar discectomy has not been sufficiently answered in a single study but is a potentially important clinical variable. A systematic review was performed to answer two questions: (1) Does symptomatic duration before surgery influence functional recovery after lumbar discectomy? (2) What is the time point for intervention beyond which the extent of postoperative recovery might be compromised? The systematic review began with a query of PubMed using a structured algorithm comprised of medical subject heading terms. This was supplemented by a keyword search in PubMed along with queries of Embase, Scopus, and Web of Science and searches of reference lists as well as the tables of contents of relevant journals. Eligible studies were those that evaluated aspects of recovery after elective discectomy and stratified duration of symptoms before surgery. Included papers were abstracted by two authors and determinations regarding the period of symptom duration and its impact on outcome were recorded. Eleven studies met all inclusion criteria. No prospectively randomized trials addressed our study questions. Nine of 11 studies, four of which were prospective, maintained that longer symptom duration adversely impacted postsurgical recovery. There were substantial differences among the critical periods of symptom duration reported by individual studies, which ranged from 2 to 12 months. A preponderance of studies (five of nine) reported that surgical interventions could be performed at periods of 6 months or greater without impacting recovery. Longer symptom duration had an adverse impact on results in most studies after lumbar discectomy. A possible point beyond which outcomes may be compromised is 6 months after symptom onset. Limitations in the literature surveyed, however, prevent firm conclusions.</w:t>
      </w:r>
    </w:p>
    <w:p w:rsidR="002C0FA4" w:rsidRDefault="002C0FA4" w:rsidP="002C0FA4">
      <w:pPr>
        <w:pStyle w:val="a3"/>
      </w:pPr>
      <w:r>
        <w:t xml:space="preserve">Keywords: Algorithm, Authors, Clinical, Criteria, Disc Herniation, Duration, Elective, Impact, Influence, Intervention, Interventions, Journals, Literature, Management, Medical, Onset, Outcome, Outcomes, Papers, Postoperative, Preoperative, Prospective, Prospective Cohort, Pubmed, Randomized, Recovery, Reference, Reference Lists, Research Trial Sport, Review, Sciatica, Science, Scopus, Spine, </w:t>
      </w:r>
      <w:r>
        <w:lastRenderedPageBreak/>
        <w:t>Statement, Surgery, Symptoms, Systematic Review, Web Of Science</w:t>
      </w:r>
    </w:p>
    <w:p w:rsidR="003474F2" w:rsidRPr="001A3D2B" w:rsidRDefault="003474F2" w:rsidP="003474F2">
      <w:pPr>
        <w:pStyle w:val="1"/>
      </w:pPr>
      <w:r w:rsidRPr="001A3D2B">
        <w:br w:type="page"/>
      </w:r>
      <w:bookmarkStart w:id="300" w:name="_Toc420815042"/>
      <w:r w:rsidRPr="001A3D2B">
        <w:lastRenderedPageBreak/>
        <w:t>Title: Clinical Otolaryngology</w:t>
      </w:r>
      <w:bookmarkEnd w:id="300"/>
    </w:p>
    <w:p w:rsidR="003474F2" w:rsidRPr="001A3D2B" w:rsidRDefault="003474F2" w:rsidP="003474F2">
      <w:pPr>
        <w:pStyle w:val="12"/>
      </w:pPr>
      <w:r w:rsidRPr="001A3D2B">
        <w:t>Full Journal Title: Clinical Otolaryngology</w:t>
      </w:r>
    </w:p>
    <w:p w:rsidR="003474F2" w:rsidRPr="001A3D2B" w:rsidRDefault="003474F2" w:rsidP="003474F2">
      <w:pPr>
        <w:pStyle w:val="12"/>
      </w:pPr>
      <w:r w:rsidRPr="001A3D2B">
        <w:t>ISO</w:t>
      </w:r>
      <w:bookmarkStart w:id="301" w:name="_Toc45428327"/>
      <w:bookmarkStart w:id="302" w:name="_Toc81215675"/>
      <w:r w:rsidRPr="001A3D2B">
        <w:t xml:space="preserve"> Abbrev</w:t>
      </w:r>
      <w:bookmarkEnd w:id="301"/>
      <w:bookmarkEnd w:id="302"/>
      <w:r w:rsidRPr="001A3D2B">
        <w:t>iated Title: Clin. Otolaryngol.</w:t>
      </w:r>
    </w:p>
    <w:p w:rsidR="003474F2" w:rsidRPr="001A3D2B" w:rsidRDefault="003474F2" w:rsidP="003474F2">
      <w:pPr>
        <w:pStyle w:val="12"/>
      </w:pPr>
      <w:r w:rsidRPr="001A3D2B">
        <w:t>JCR Abbreviated Title: Clin Otolaryngol All</w:t>
      </w:r>
    </w:p>
    <w:p w:rsidR="003474F2" w:rsidRPr="001A3D2B" w:rsidRDefault="003474F2" w:rsidP="003474F2">
      <w:pPr>
        <w:pStyle w:val="12"/>
      </w:pPr>
      <w:r w:rsidRPr="001A3D2B">
        <w:t>ISSN: 0307-7772</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Publishing Ltd</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9600 Garsington Rd</w:t>
          </w:r>
        </w:smartTag>
        <w:r w:rsidRPr="001A3D2B">
          <w:t xml:space="preserve">, </w:t>
        </w:r>
        <w:smartTag w:uri="urn:schemas-microsoft-com:office:smarttags" w:element="City">
          <w:r w:rsidRPr="001A3D2B">
            <w:t>Oxford</w:t>
          </w:r>
        </w:smartTag>
      </w:smartTag>
      <w:r w:rsidRPr="001A3D2B">
        <w:t xml:space="preserve"> OX4 2DG, </w:t>
      </w:r>
      <w:smartTag w:uri="urn:schemas-microsoft-com:office:smarttags" w:element="place">
        <w:smartTag w:uri="urn:schemas-microsoft-com:office:smarttags" w:element="City">
          <w:r w:rsidRPr="001A3D2B">
            <w:t>Oxon</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Otorhinolaryngology: Impact Factor </w:t>
      </w:r>
    </w:p>
    <w:p w:rsidR="003474F2" w:rsidRPr="001A3D2B" w:rsidRDefault="003474F2" w:rsidP="003474F2">
      <w:pPr>
        <w:pStyle w:val="a3"/>
      </w:pPr>
      <w:r w:rsidRPr="001A3D2B">
        <w:t>Fenton, J.E., Brazier, H., de Souza, A., Hughes, J.P.</w:t>
      </w:r>
      <w:r w:rsidR="005853A9">
        <w:t xml:space="preserve"> and </w:t>
      </w:r>
      <w:r w:rsidRPr="001A3D2B">
        <w:t>McShane, D.P. (2000</w:t>
      </w:r>
      <w:r w:rsidR="00F42EAC">
        <w:t>), The</w:t>
      </w:r>
      <w:r w:rsidR="003A1917">
        <w:t xml:space="preserve"> </w:t>
      </w:r>
      <w:r w:rsidRPr="001A3D2B">
        <w:t>accuracy</w:t>
      </w:r>
      <w:r w:rsidR="00427468">
        <w:t xml:space="preserve"> of </w:t>
      </w:r>
      <w:r w:rsidRPr="001A3D2B">
        <w:t>citation</w:t>
      </w:r>
      <w:r w:rsidR="005853A9">
        <w:t xml:space="preserve"> and </w:t>
      </w:r>
      <w:r w:rsidRPr="001A3D2B">
        <w:t>quotation in otolaryngology/head</w:t>
      </w:r>
      <w:r w:rsidR="005853A9">
        <w:t xml:space="preserve"> and </w:t>
      </w:r>
      <w:r w:rsidRPr="001A3D2B">
        <w:t xml:space="preserve">neck surgery journals. </w:t>
      </w:r>
      <w:r w:rsidRPr="001A3D2B">
        <w:rPr>
          <w:i/>
          <w:iCs/>
        </w:rPr>
        <w:t>Clinical Otolaryngology</w:t>
      </w:r>
      <w:r w:rsidRPr="001A3D2B">
        <w:t xml:space="preserve">, </w:t>
      </w:r>
      <w:r w:rsidRPr="001A3D2B">
        <w:rPr>
          <w:b/>
        </w:rPr>
        <w:t>25</w:t>
      </w:r>
      <w:r w:rsidRPr="001A3D2B">
        <w:t xml:space="preserve"> (1), 40-44.</w:t>
      </w:r>
    </w:p>
    <w:p w:rsidR="003474F2" w:rsidRPr="001A3D2B" w:rsidRDefault="003474F2" w:rsidP="003474F2">
      <w:pPr>
        <w:pStyle w:val="a3"/>
      </w:pPr>
      <w:r w:rsidRPr="001A3D2B">
        <w:t xml:space="preserve">Full Text: </w:t>
      </w:r>
      <w:hyperlink r:id="rId402" w:history="1">
        <w:r w:rsidRPr="001A3D2B">
          <w:rPr>
            <w:rStyle w:val="a5"/>
          </w:rPr>
          <w:t>2000\Cli Oto All Sci25, 40.pdf</w:t>
        </w:r>
      </w:hyperlink>
    </w:p>
    <w:p w:rsidR="003474F2" w:rsidRPr="001A3D2B" w:rsidRDefault="003474F2" w:rsidP="003474F2">
      <w:pPr>
        <w:pStyle w:val="a3"/>
      </w:pPr>
      <w:r w:rsidRPr="001A3D2B">
        <w:t xml:space="preserve">Abstract: </w:t>
      </w:r>
      <w:r w:rsidRPr="001A3D2B">
        <w:rPr>
          <w:szCs w:val="18"/>
        </w:rPr>
        <w:t>A high rate</w:t>
      </w:r>
      <w:r w:rsidR="00427468">
        <w:rPr>
          <w:szCs w:val="18"/>
        </w:rPr>
        <w:t xml:space="preserve"> of </w:t>
      </w:r>
      <w:r w:rsidRPr="001A3D2B">
        <w:rPr>
          <w:szCs w:val="18"/>
        </w:rPr>
        <w:t>errors</w:t>
      </w:r>
      <w:r w:rsidR="00427468">
        <w:rPr>
          <w:szCs w:val="18"/>
        </w:rPr>
        <w:t xml:space="preserve"> of </w:t>
      </w:r>
      <w:r w:rsidRPr="001A3D2B">
        <w:rPr>
          <w:szCs w:val="18"/>
        </w:rPr>
        <w:t>citation</w:t>
      </w:r>
      <w:r w:rsidR="005853A9">
        <w:rPr>
          <w:szCs w:val="18"/>
        </w:rPr>
        <w:t xml:space="preserve"> and </w:t>
      </w:r>
      <w:r w:rsidRPr="001A3D2B">
        <w:rPr>
          <w:szCs w:val="18"/>
        </w:rPr>
        <w:t>quotation has been reported in</w:t>
      </w:r>
      <w:r w:rsidR="003A1917">
        <w:rPr>
          <w:szCs w:val="18"/>
        </w:rPr>
        <w:t xml:space="preserve"> the </w:t>
      </w:r>
      <w:r w:rsidRPr="001A3D2B">
        <w:rPr>
          <w:szCs w:val="18"/>
        </w:rPr>
        <w:t>publications</w:t>
      </w:r>
      <w:r w:rsidR="00427468">
        <w:rPr>
          <w:szCs w:val="18"/>
        </w:rPr>
        <w:t xml:space="preserve"> of </w:t>
      </w:r>
      <w:r w:rsidRPr="001A3D2B">
        <w:rPr>
          <w:szCs w:val="18"/>
        </w:rPr>
        <w:t>many medical specialties</w:t>
      </w:r>
      <w:r w:rsidR="00A37C1D">
        <w:rPr>
          <w:szCs w:val="18"/>
        </w:rPr>
        <w:t>. The</w:t>
      </w:r>
      <w:r w:rsidR="003A1917">
        <w:rPr>
          <w:szCs w:val="18"/>
        </w:rPr>
        <w:t xml:space="preserve"> </w:t>
      </w:r>
      <w:r w:rsidRPr="001A3D2B">
        <w:rPr>
          <w:szCs w:val="18"/>
        </w:rPr>
        <w:t>aim</w:t>
      </w:r>
      <w:r w:rsidR="00427468">
        <w:rPr>
          <w:szCs w:val="18"/>
        </w:rPr>
        <w:t xml:space="preserve"> of </w:t>
      </w:r>
      <w:r w:rsidRPr="001A3D2B">
        <w:rPr>
          <w:szCs w:val="18"/>
        </w:rPr>
        <w:t>this study was to determine</w:t>
      </w:r>
      <w:r w:rsidR="003A1917">
        <w:rPr>
          <w:szCs w:val="18"/>
        </w:rPr>
        <w:t xml:space="preserve"> the </w:t>
      </w:r>
      <w:r w:rsidRPr="001A3D2B">
        <w:rPr>
          <w:szCs w:val="18"/>
        </w:rPr>
        <w:t>prevalence</w:t>
      </w:r>
      <w:r w:rsidR="00427468">
        <w:rPr>
          <w:szCs w:val="18"/>
        </w:rPr>
        <w:t xml:space="preserve"> of </w:t>
      </w:r>
      <w:r w:rsidRPr="001A3D2B">
        <w:rPr>
          <w:szCs w:val="18"/>
        </w:rPr>
        <w:t>citation</w:t>
      </w:r>
      <w:r w:rsidR="005853A9">
        <w:rPr>
          <w:szCs w:val="18"/>
        </w:rPr>
        <w:t xml:space="preserve"> and </w:t>
      </w:r>
      <w:r w:rsidRPr="001A3D2B">
        <w:rPr>
          <w:szCs w:val="18"/>
        </w:rPr>
        <w:t>quotation errors in otolaryngology/head</w:t>
      </w:r>
      <w:r w:rsidR="005853A9">
        <w:rPr>
          <w:szCs w:val="18"/>
        </w:rPr>
        <w:t xml:space="preserve"> and </w:t>
      </w:r>
      <w:r w:rsidRPr="001A3D2B">
        <w:rPr>
          <w:szCs w:val="18"/>
        </w:rPr>
        <w:t>neck surgery journals. A retrospective analysis was performed based on</w:t>
      </w:r>
      <w:r w:rsidR="003A1917">
        <w:rPr>
          <w:szCs w:val="18"/>
        </w:rPr>
        <w:t xml:space="preserve"> the </w:t>
      </w:r>
      <w:r w:rsidRPr="001A3D2B">
        <w:rPr>
          <w:szCs w:val="18"/>
        </w:rPr>
        <w:t>first issue for 1997</w:t>
      </w:r>
      <w:r w:rsidR="00427468">
        <w:rPr>
          <w:szCs w:val="18"/>
        </w:rPr>
        <w:t xml:space="preserve"> of </w:t>
      </w:r>
      <w:r w:rsidRPr="001A3D2B">
        <w:rPr>
          <w:szCs w:val="18"/>
        </w:rPr>
        <w:t>each</w:t>
      </w:r>
      <w:r w:rsidR="00427468">
        <w:rPr>
          <w:szCs w:val="18"/>
        </w:rPr>
        <w:t xml:space="preserve"> of </w:t>
      </w:r>
      <w:r w:rsidRPr="001A3D2B">
        <w:rPr>
          <w:szCs w:val="18"/>
        </w:rPr>
        <w:t>four journals: Laryngoscope; Annals</w:t>
      </w:r>
      <w:r w:rsidR="00427468">
        <w:rPr>
          <w:szCs w:val="18"/>
        </w:rPr>
        <w:t xml:space="preserve"> of </w:t>
      </w:r>
      <w:r w:rsidRPr="001A3D2B">
        <w:rPr>
          <w:szCs w:val="18"/>
        </w:rPr>
        <w:t>Otology, Rhinology</w:t>
      </w:r>
      <w:r w:rsidR="005853A9">
        <w:rPr>
          <w:szCs w:val="18"/>
        </w:rPr>
        <w:t xml:space="preserve"> and </w:t>
      </w:r>
      <w:r w:rsidRPr="001A3D2B">
        <w:rPr>
          <w:szCs w:val="18"/>
        </w:rPr>
        <w:t>Laryngology; Clinical Otolaryngology;</w:t>
      </w:r>
      <w:r w:rsidR="005853A9">
        <w:rPr>
          <w:szCs w:val="18"/>
        </w:rPr>
        <w:t xml:space="preserve"> and </w:t>
      </w:r>
      <w:r w:rsidRPr="001A3D2B">
        <w:rPr>
          <w:szCs w:val="18"/>
        </w:rPr>
        <w:t>Journal</w:t>
      </w:r>
      <w:r w:rsidR="00427468">
        <w:rPr>
          <w:szCs w:val="18"/>
        </w:rPr>
        <w:t xml:space="preserve"> of </w:t>
      </w:r>
      <w:r w:rsidRPr="001A3D2B">
        <w:rPr>
          <w:szCs w:val="18"/>
        </w:rPr>
        <w:t>Laryngology</w:t>
      </w:r>
      <w:r w:rsidR="005853A9">
        <w:rPr>
          <w:szCs w:val="18"/>
        </w:rPr>
        <w:t xml:space="preserve"> and </w:t>
      </w:r>
      <w:r w:rsidRPr="001A3D2B">
        <w:rPr>
          <w:szCs w:val="18"/>
        </w:rPr>
        <w:t>Otology. A sample</w:t>
      </w:r>
      <w:r w:rsidR="00427468">
        <w:rPr>
          <w:szCs w:val="18"/>
        </w:rPr>
        <w:t xml:space="preserve"> of </w:t>
      </w:r>
      <w:r w:rsidRPr="001A3D2B">
        <w:rPr>
          <w:szCs w:val="18"/>
        </w:rPr>
        <w:t>50 references from each journal was randomly selected</w:t>
      </w:r>
      <w:r w:rsidR="005853A9">
        <w:rPr>
          <w:szCs w:val="18"/>
        </w:rPr>
        <w:t xml:space="preserve"> and </w:t>
      </w:r>
      <w:r w:rsidRPr="001A3D2B">
        <w:rPr>
          <w:szCs w:val="18"/>
        </w:rPr>
        <w:t>each was checked for accuracy against</w:t>
      </w:r>
      <w:r w:rsidR="003A1917">
        <w:rPr>
          <w:szCs w:val="18"/>
        </w:rPr>
        <w:t xml:space="preserve"> the </w:t>
      </w:r>
      <w:r w:rsidRPr="001A3D2B">
        <w:rPr>
          <w:szCs w:val="18"/>
        </w:rPr>
        <w:t>original referenced paper. Citation errors were categorized as major, intermediate or minor</w:t>
      </w:r>
      <w:r w:rsidR="005853A9">
        <w:rPr>
          <w:szCs w:val="18"/>
        </w:rPr>
        <w:t xml:space="preserve"> and </w:t>
      </w:r>
      <w:r w:rsidRPr="001A3D2B">
        <w:rPr>
          <w:szCs w:val="18"/>
        </w:rPr>
        <w:t>quotation errors as major or minor. Citation errors occurred in 37.5%</w:t>
      </w:r>
      <w:r w:rsidR="00427468">
        <w:rPr>
          <w:szCs w:val="18"/>
        </w:rPr>
        <w:t xml:space="preserve"> of </w:t>
      </w:r>
      <w:r w:rsidR="003A1917">
        <w:rPr>
          <w:szCs w:val="18"/>
        </w:rPr>
        <w:t xml:space="preserve">the </w:t>
      </w:r>
      <w:r w:rsidRPr="001A3D2B">
        <w:rPr>
          <w:szCs w:val="18"/>
        </w:rPr>
        <w:t>references, 11.9%</w:t>
      </w:r>
      <w:r w:rsidR="00427468">
        <w:rPr>
          <w:szCs w:val="18"/>
        </w:rPr>
        <w:t xml:space="preserve"> of </w:t>
      </w:r>
      <w:r w:rsidRPr="001A3D2B">
        <w:rPr>
          <w:szCs w:val="18"/>
        </w:rPr>
        <w:t>which were considered major errors. Quotation errors occurred in 17%, with 11.1% major errors. This prevalence is similar to</w:t>
      </w:r>
      <w:r w:rsidR="003A1917">
        <w:rPr>
          <w:szCs w:val="18"/>
        </w:rPr>
        <w:t xml:space="preserve"> the </w:t>
      </w:r>
      <w:r w:rsidRPr="001A3D2B">
        <w:rPr>
          <w:szCs w:val="18"/>
        </w:rPr>
        <w:t>established error rate in medical literature.</w:t>
      </w:r>
    </w:p>
    <w:p w:rsidR="003474F2" w:rsidRPr="001A3D2B" w:rsidRDefault="003474F2" w:rsidP="003474F2">
      <w:pPr>
        <w:pStyle w:val="a3"/>
      </w:pPr>
      <w:r w:rsidRPr="001A3D2B">
        <w:t>Keywords: Accuracy, Analysis, Bibliography (Standards), Citation, Error, Error Rate, Errors, First, Journal, Journals, Literature, Medical, Medical Literature, Minor, Neck, Otolaryngology, Periodicals (Stndards), Prevalence, Publications, Publishing, Quotation, Quotation Errors, References, Retrospective Analysis, Surgery</w:t>
      </w:r>
    </w:p>
    <w:p w:rsidR="003474F2" w:rsidRPr="001A3D2B" w:rsidRDefault="003474F2" w:rsidP="003474F2">
      <w:pPr>
        <w:pStyle w:val="a3"/>
      </w:pPr>
      <w:r w:rsidRPr="001A3D2B">
        <w:t>De, S., Jones, T., Brazier, H., Jones, A.S.</w:t>
      </w:r>
      <w:r w:rsidR="005853A9">
        <w:t xml:space="preserve"> and </w:t>
      </w:r>
      <w:r w:rsidRPr="001A3D2B">
        <w:t>Fenton, J.E. (2001</w:t>
      </w:r>
      <w:r w:rsidR="00F42EAC">
        <w:t>), The</w:t>
      </w:r>
      <w:r w:rsidR="003A1917">
        <w:t xml:space="preserve"> </w:t>
      </w:r>
      <w:r w:rsidRPr="001A3D2B">
        <w:t>accuracy</w:t>
      </w:r>
      <w:r w:rsidR="00427468">
        <w:t xml:space="preserve"> of </w:t>
      </w:r>
      <w:r w:rsidR="00D5664A">
        <w:t>MEDLINE</w:t>
      </w:r>
      <w:r w:rsidR="005853A9">
        <w:t xml:space="preserve"> and </w:t>
      </w:r>
      <w:r w:rsidRPr="001A3D2B">
        <w:t xml:space="preserve">Journal contents pages for papers published in </w:t>
      </w:r>
      <w:r w:rsidRPr="001A3D2B">
        <w:rPr>
          <w:i/>
          <w:iCs/>
        </w:rPr>
        <w:t>Clinical Otolaryngology</w:t>
      </w:r>
      <w:r w:rsidRPr="001A3D2B">
        <w:t xml:space="preserve">. </w:t>
      </w:r>
      <w:r w:rsidRPr="001A3D2B">
        <w:rPr>
          <w:i/>
          <w:iCs/>
        </w:rPr>
        <w:t>Clinical Otolaryngology</w:t>
      </w:r>
      <w:r w:rsidRPr="001A3D2B">
        <w:t xml:space="preserve">, </w:t>
      </w:r>
      <w:r w:rsidRPr="001A3D2B">
        <w:rPr>
          <w:b/>
          <w:bCs/>
        </w:rPr>
        <w:t>26</w:t>
      </w:r>
      <w:r w:rsidRPr="001A3D2B">
        <w:t xml:space="preserve"> (1), 39-42.</w:t>
      </w:r>
    </w:p>
    <w:p w:rsidR="003474F2" w:rsidRPr="001A3D2B" w:rsidRDefault="003474F2" w:rsidP="003474F2">
      <w:pPr>
        <w:pStyle w:val="a3"/>
      </w:pPr>
      <w:r w:rsidRPr="001A3D2B">
        <w:t xml:space="preserve">Full Text: </w:t>
      </w:r>
      <w:hyperlink r:id="rId403" w:history="1">
        <w:r w:rsidRPr="001A3D2B">
          <w:rPr>
            <w:rStyle w:val="a5"/>
          </w:rPr>
          <w:t>2001\Cli Oto All Sci26, 39.pdf</w:t>
        </w:r>
      </w:hyperlink>
    </w:p>
    <w:p w:rsidR="003474F2" w:rsidRPr="001A3D2B" w:rsidRDefault="003474F2" w:rsidP="003474F2">
      <w:pPr>
        <w:pStyle w:val="a3"/>
      </w:pPr>
      <w:r w:rsidRPr="001A3D2B">
        <w:t xml:space="preserve">Abstract: </w:t>
      </w:r>
      <w:r w:rsidR="00D5664A">
        <w:t>MEDLINE</w:t>
      </w:r>
      <w:r w:rsidRPr="001A3D2B">
        <w:t xml:space="preserve"> is widely used as a source for identifying</w:t>
      </w:r>
      <w:r w:rsidR="005853A9">
        <w:t xml:space="preserve"> and </w:t>
      </w:r>
      <w:r w:rsidRPr="001A3D2B">
        <w:t xml:space="preserve">reviewing medical </w:t>
      </w:r>
      <w:r w:rsidRPr="001A3D2B">
        <w:lastRenderedPageBreak/>
        <w:t>journal literature. Its accuracy is generally taken fur granted, as is that.</w:t>
      </w:r>
      <w:r w:rsidR="00427468">
        <w:t xml:space="preserve"> of </w:t>
      </w:r>
      <w:r w:rsidR="003A1917">
        <w:t xml:space="preserve">the </w:t>
      </w:r>
      <w:r w:rsidRPr="001A3D2B">
        <w:t>contents pages published by</w:t>
      </w:r>
      <w:r w:rsidR="003A1917">
        <w:t xml:space="preserve"> the </w:t>
      </w:r>
      <w:r w:rsidRPr="001A3D2B">
        <w:t>journals themselves. In this study</w:t>
      </w:r>
      <w:r w:rsidR="00427468">
        <w:t xml:space="preserve"> of </w:t>
      </w:r>
      <w:r w:rsidRPr="001A3D2B">
        <w:t>citation accuracy we examined</w:t>
      </w:r>
      <w:r w:rsidR="003A1917">
        <w:t xml:space="preserve"> the </w:t>
      </w:r>
      <w:r w:rsidRPr="001A3D2B">
        <w:t>articles published in Clinical Otolaryngology</w:t>
      </w:r>
      <w:r w:rsidR="005853A9">
        <w:t xml:space="preserve"> and </w:t>
      </w:r>
      <w:r w:rsidRPr="001A3D2B">
        <w:t>Allied Sciences from 1976 to 1998</w:t>
      </w:r>
      <w:r w:rsidR="00A37C1D">
        <w:t>. The</w:t>
      </w:r>
      <w:r w:rsidR="003A1917">
        <w:t xml:space="preserve"> </w:t>
      </w:r>
      <w:r w:rsidRPr="001A3D2B">
        <w:t xml:space="preserve">entries in </w:t>
      </w:r>
      <w:r w:rsidR="00D5664A">
        <w:t>MEDLINE</w:t>
      </w:r>
      <w:r w:rsidRPr="001A3D2B">
        <w:t xml:space="preserve"> were compared with</w:t>
      </w:r>
      <w:r w:rsidR="003A1917">
        <w:t xml:space="preserve"> the </w:t>
      </w:r>
      <w:r w:rsidRPr="001A3D2B">
        <w:t>entries in</w:t>
      </w:r>
      <w:r w:rsidR="003A1917">
        <w:t xml:space="preserve"> the </w:t>
      </w:r>
      <w:r w:rsidRPr="001A3D2B">
        <w:t>Journal</w:t>
      </w:r>
      <w:r w:rsidR="0071223E">
        <w:t>’</w:t>
      </w:r>
      <w:r w:rsidR="00C13DDC">
        <w:t>s</w:t>
      </w:r>
      <w:r w:rsidRPr="001A3D2B">
        <w:t xml:space="preserve"> contents pages,</w:t>
      </w:r>
      <w:r w:rsidR="005853A9">
        <w:t xml:space="preserve"> and </w:t>
      </w:r>
      <w:r w:rsidRPr="001A3D2B">
        <w:t>with</w:t>
      </w:r>
      <w:r w:rsidR="003A1917">
        <w:t xml:space="preserve"> the </w:t>
      </w:r>
      <w:r w:rsidRPr="001A3D2B">
        <w:t>actual articles.</w:t>
      </w:r>
      <w:r w:rsidR="00427468">
        <w:t xml:space="preserve"> of </w:t>
      </w:r>
      <w:r w:rsidRPr="001A3D2B">
        <w:t>1651 articles published in</w:t>
      </w:r>
      <w:r w:rsidR="003A1917">
        <w:t xml:space="preserve"> the </w:t>
      </w:r>
      <w:r w:rsidRPr="001A3D2B">
        <w:t xml:space="preserve">journal, one was omitted from </w:t>
      </w:r>
      <w:r w:rsidR="00D5664A">
        <w:t>MEDLINE</w:t>
      </w:r>
      <w:r w:rsidR="005853A9">
        <w:t xml:space="preserve"> and </w:t>
      </w:r>
      <w:r w:rsidRPr="001A3D2B">
        <w:t>25 (1.5%) were incorrectly cited, while 88 (5.3%) were incorrectly cited in</w:t>
      </w:r>
      <w:r w:rsidR="003A1917">
        <w:t xml:space="preserve"> the </w:t>
      </w:r>
      <w:r w:rsidRPr="001A3D2B">
        <w:t>contents pages. Twenty-one (84%)</w:t>
      </w:r>
      <w:r w:rsidR="00427468">
        <w:t xml:space="preserve"> of </w:t>
      </w:r>
      <w:r w:rsidR="003A1917">
        <w:t xml:space="preserve">the </w:t>
      </w:r>
      <w:r w:rsidRPr="001A3D2B">
        <w:t xml:space="preserve">errors in </w:t>
      </w:r>
      <w:r w:rsidR="00D5664A">
        <w:t>MEDLINE</w:t>
      </w:r>
      <w:r w:rsidRPr="001A3D2B">
        <w:t xml:space="preserve"> involved names</w:t>
      </w:r>
      <w:r w:rsidR="00427468">
        <w:t xml:space="preserve"> of </w:t>
      </w:r>
      <w:r w:rsidRPr="001A3D2B">
        <w:t>authors. Apart from incomplete retrieval</w:t>
      </w:r>
      <w:r w:rsidR="00427468">
        <w:t xml:space="preserve"> of </w:t>
      </w:r>
      <w:r w:rsidRPr="001A3D2B">
        <w:t>information for practice</w:t>
      </w:r>
      <w:r w:rsidR="005853A9">
        <w:t xml:space="preserve"> and </w:t>
      </w:r>
      <w:r w:rsidRPr="001A3D2B">
        <w:t>research, errors could result in an author not getting credit for publications.</w:t>
      </w:r>
    </w:p>
    <w:p w:rsidR="003474F2" w:rsidRPr="001A3D2B" w:rsidRDefault="003474F2" w:rsidP="003474F2">
      <w:pPr>
        <w:pStyle w:val="a3"/>
      </w:pPr>
      <w:r w:rsidRPr="001A3D2B">
        <w:t xml:space="preserve">Keywords: </w:t>
      </w:r>
      <w:r w:rsidR="00D5664A">
        <w:t>MEDLINE</w:t>
      </w:r>
      <w:r w:rsidRPr="001A3D2B">
        <w:t>, Clinical Otolaryngology, Periodicals, Abstracting</w:t>
      </w:r>
      <w:r w:rsidR="005853A9">
        <w:t xml:space="preserve"> and </w:t>
      </w:r>
      <w:r w:rsidRPr="001A3D2B">
        <w:t>Indexing, Errors, Vocabulary, Medicine, Mesh</w:t>
      </w:r>
    </w:p>
    <w:p w:rsidR="003474F2" w:rsidRPr="001A3D2B" w:rsidRDefault="003474F2" w:rsidP="003474F2">
      <w:pPr>
        <w:pStyle w:val="a3"/>
      </w:pPr>
      <w:r w:rsidRPr="001A3D2B">
        <w:t>? Sandhu, G.S.</w:t>
      </w:r>
      <w:r w:rsidR="005853A9">
        <w:t xml:space="preserve"> and </w:t>
      </w:r>
      <w:r w:rsidRPr="001A3D2B">
        <w:t>Wright, A. (2001), Publishing trends in otorhinolaryngology from January 1997 to December 1999 in</w:t>
      </w:r>
      <w:r w:rsidR="003A1917">
        <w:t xml:space="preserve"> the </w:t>
      </w:r>
      <w:r w:rsidRPr="001A3D2B">
        <w:t xml:space="preserve">UK. </w:t>
      </w:r>
      <w:r w:rsidRPr="001A3D2B">
        <w:rPr>
          <w:i/>
          <w:iCs/>
        </w:rPr>
        <w:t>Clinical Otolaryngology</w:t>
      </w:r>
      <w:r w:rsidRPr="001A3D2B">
        <w:t xml:space="preserve">, </w:t>
      </w:r>
      <w:r w:rsidRPr="001A3D2B">
        <w:rPr>
          <w:b/>
          <w:bCs/>
        </w:rPr>
        <w:t>26</w:t>
      </w:r>
      <w:r w:rsidRPr="001A3D2B">
        <w:t xml:space="preserve"> (3), 249-252.</w:t>
      </w:r>
    </w:p>
    <w:p w:rsidR="003474F2" w:rsidRPr="001A3D2B" w:rsidRDefault="003474F2" w:rsidP="003474F2">
      <w:pPr>
        <w:pStyle w:val="a3"/>
      </w:pPr>
      <w:r w:rsidRPr="001A3D2B">
        <w:t xml:space="preserve">Full Text: </w:t>
      </w:r>
      <w:hyperlink r:id="rId404" w:history="1">
        <w:r w:rsidRPr="001A3D2B">
          <w:rPr>
            <w:rStyle w:val="a5"/>
          </w:rPr>
          <w:t>2001\Cli Oto All Sci26, 249.pdf</w:t>
        </w:r>
      </w:hyperlink>
    </w:p>
    <w:p w:rsidR="003474F2" w:rsidRPr="001A3D2B" w:rsidRDefault="003474F2" w:rsidP="003474F2">
      <w:pPr>
        <w:pStyle w:val="a3"/>
      </w:pPr>
      <w:r w:rsidRPr="001A3D2B">
        <w:t>Abstract: In</w:t>
      </w:r>
      <w:r w:rsidR="003A1917">
        <w:t xml:space="preserve"> the </w:t>
      </w:r>
      <w:r w:rsidRPr="001A3D2B">
        <w:t>last 10 years there have been many changes in otorhinolaryngology training</w:t>
      </w:r>
      <w:r w:rsidR="005853A9">
        <w:t xml:space="preserve"> and </w:t>
      </w:r>
      <w:r w:rsidRPr="001A3D2B">
        <w:t>academic resources</w:t>
      </w:r>
      <w:r w:rsidR="00A37C1D">
        <w:t>. The</w:t>
      </w:r>
      <w:r w:rsidR="003A1917">
        <w:t xml:space="preserve"> </w:t>
      </w:r>
      <w:r w:rsidRPr="001A3D2B">
        <w:t>Calman reforms were introduced to our speciality in July 1996</w:t>
      </w:r>
      <w:r w:rsidR="005853A9">
        <w:t xml:space="preserve"> and </w:t>
      </w:r>
      <w:r w:rsidR="003A1917">
        <w:t xml:space="preserve">the </w:t>
      </w:r>
      <w:r w:rsidRPr="001A3D2B">
        <w:t>last decade has also seen</w:t>
      </w:r>
      <w:r w:rsidR="003A1917">
        <w:t xml:space="preserve"> the </w:t>
      </w:r>
      <w:r w:rsidRPr="001A3D2B">
        <w:t>number</w:t>
      </w:r>
      <w:r w:rsidR="00427468">
        <w:t xml:space="preserve"> of </w:t>
      </w:r>
      <w:r w:rsidRPr="001A3D2B">
        <w:t>professorial chairs in</w:t>
      </w:r>
      <w:r w:rsidR="003A1917">
        <w:t xml:space="preserve"> the </w:t>
      </w:r>
      <w:r w:rsidRPr="001A3D2B">
        <w:t>UK rise from two to 12. One would therefore expect an increase in academic output, in terms</w:t>
      </w:r>
      <w:r w:rsidR="00427468">
        <w:t xml:space="preserve"> of </w:t>
      </w:r>
      <w:r w:rsidRPr="001A3D2B">
        <w:t>published works. despite</w:t>
      </w:r>
      <w:r w:rsidR="003A1917">
        <w:t xml:space="preserve"> the </w:t>
      </w:r>
      <w:r w:rsidRPr="001A3D2B">
        <w:t>impediments generated by</w:t>
      </w:r>
      <w:r w:rsidR="003A1917">
        <w:t xml:space="preserve"> the </w:t>
      </w:r>
      <w:r w:rsidRPr="001A3D2B">
        <w:t>Calman Training System. A search</w:t>
      </w:r>
      <w:r w:rsidR="00427468">
        <w:t xml:space="preserve"> of </w:t>
      </w:r>
      <w:r w:rsidRPr="001A3D2B">
        <w:t>eight leading English language otorhinolaryngology journals was carried out from January 1997 to December 1999 looking for articles with British authors</w:t>
      </w:r>
      <w:r w:rsidR="00A37C1D">
        <w:t>. The</w:t>
      </w:r>
      <w:r w:rsidR="003A1917">
        <w:t xml:space="preserve"> </w:t>
      </w:r>
      <w:r w:rsidRPr="001A3D2B">
        <w:t>results were compared with similar research carried out 10 years ago</w:t>
      </w:r>
      <w:r w:rsidR="00A37C1D">
        <w:t>. The</w:t>
      </w:r>
      <w:r w:rsidRPr="001A3D2B">
        <w:t>re has been no major growth in</w:t>
      </w:r>
      <w:r w:rsidR="003A1917">
        <w:t xml:space="preserve"> the </w:t>
      </w:r>
      <w:r w:rsidRPr="001A3D2B">
        <w:t>output</w:t>
      </w:r>
      <w:r w:rsidR="00427468">
        <w:t xml:space="preserve"> of </w:t>
      </w:r>
      <w:r w:rsidRPr="001A3D2B">
        <w:t>otorhinolaryngological publications from</w:t>
      </w:r>
      <w:r w:rsidR="003A1917">
        <w:t xml:space="preserve"> the </w:t>
      </w:r>
      <w:r w:rsidRPr="001A3D2B">
        <w:t>UK in</w:t>
      </w:r>
      <w:r w:rsidR="003A1917">
        <w:t xml:space="preserve"> the </w:t>
      </w:r>
      <w:r w:rsidRPr="001A3D2B">
        <w:t>last 10 years.</w:t>
      </w:r>
    </w:p>
    <w:p w:rsidR="003474F2" w:rsidRPr="001A3D2B" w:rsidRDefault="003474F2" w:rsidP="003474F2">
      <w:pPr>
        <w:pStyle w:val="a3"/>
      </w:pPr>
      <w:r w:rsidRPr="001A3D2B">
        <w:t>Keywords: Changes, Growth, Journals, Publications, Published Works, Research, Training, Trends, UK</w:t>
      </w:r>
    </w:p>
    <w:p w:rsidR="003474F2" w:rsidRPr="001A3D2B" w:rsidRDefault="003474F2" w:rsidP="003474F2">
      <w:pPr>
        <w:pStyle w:val="a3"/>
      </w:pPr>
      <w:r w:rsidRPr="001A3D2B">
        <w:t>Notes: JJournal</w:t>
      </w:r>
    </w:p>
    <w:p w:rsidR="003474F2" w:rsidRPr="001A3D2B" w:rsidRDefault="003474F2" w:rsidP="003474F2">
      <w:pPr>
        <w:pStyle w:val="a3"/>
      </w:pPr>
      <w:r w:rsidRPr="001A3D2B">
        <w:t>Motamed, M., Mehta, D., Basavaraj, S.</w:t>
      </w:r>
      <w:r w:rsidR="005853A9">
        <w:t xml:space="preserve"> and </w:t>
      </w:r>
      <w:r w:rsidRPr="001A3D2B">
        <w:t>Fuad, F. (2002), Self citations</w:t>
      </w:r>
      <w:r w:rsidR="005853A9">
        <w:t xml:space="preserve"> and </w:t>
      </w:r>
      <w:r w:rsidRPr="001A3D2B">
        <w:t xml:space="preserve">impact factors in otolaryngology journals. </w:t>
      </w:r>
      <w:r w:rsidRPr="001A3D2B">
        <w:rPr>
          <w:i/>
          <w:iCs/>
        </w:rPr>
        <w:t>Clinical Otolaryngology</w:t>
      </w:r>
      <w:r w:rsidRPr="001A3D2B">
        <w:t xml:space="preserve">, </w:t>
      </w:r>
      <w:r w:rsidRPr="001A3D2B">
        <w:rPr>
          <w:b/>
        </w:rPr>
        <w:t>27</w:t>
      </w:r>
      <w:r w:rsidRPr="001A3D2B">
        <w:t xml:space="preserve"> (5), 318-320.</w:t>
      </w:r>
    </w:p>
    <w:p w:rsidR="003474F2" w:rsidRPr="001A3D2B" w:rsidRDefault="003474F2" w:rsidP="003474F2">
      <w:pPr>
        <w:pStyle w:val="a3"/>
      </w:pPr>
      <w:r w:rsidRPr="001A3D2B">
        <w:t xml:space="preserve">Full Text: </w:t>
      </w:r>
      <w:hyperlink r:id="rId405" w:history="1">
        <w:r w:rsidRPr="001A3D2B">
          <w:rPr>
            <w:rStyle w:val="a5"/>
          </w:rPr>
          <w:t>2002\Cli Oto All Sci27, 318.pdf</w:t>
        </w:r>
      </w:hyperlink>
    </w:p>
    <w:p w:rsidR="003474F2" w:rsidRPr="001A3D2B" w:rsidRDefault="003474F2" w:rsidP="003474F2">
      <w:pPr>
        <w:pStyle w:val="a3"/>
      </w:pPr>
      <w:r w:rsidRPr="001A3D2B">
        <w:t>Abstract: Self citation</w:t>
      </w:r>
      <w:r w:rsidR="00427468">
        <w:t xml:space="preserve"> of </w:t>
      </w:r>
      <w:r w:rsidRPr="001A3D2B">
        <w:t>a journal may affect its impact factor. Self citations during 1997</w:t>
      </w:r>
      <w:r w:rsidR="005853A9">
        <w:t xml:space="preserve"> and </w:t>
      </w:r>
      <w:r w:rsidRPr="001A3D2B">
        <w:t xml:space="preserve">1998 were investigated in six </w:t>
      </w:r>
      <w:r w:rsidR="0071223E">
        <w:t>‘</w:t>
      </w:r>
      <w:r w:rsidRPr="001A3D2B">
        <w:t>general</w:t>
      </w:r>
      <w:r w:rsidR="0071223E">
        <w:t>’</w:t>
      </w:r>
      <w:r w:rsidRPr="001A3D2B">
        <w:t xml:space="preserve"> otolaryngology journals</w:t>
      </w:r>
      <w:r w:rsidR="00A37C1D">
        <w:t>. The</w:t>
      </w:r>
      <w:r w:rsidR="003A1917">
        <w:t xml:space="preserve"> </w:t>
      </w:r>
      <w:r w:rsidRPr="001A3D2B">
        <w:t>citations each journal gave to other journals, including itself,</w:t>
      </w:r>
      <w:r w:rsidR="005853A9">
        <w:t xml:space="preserve"> and </w:t>
      </w:r>
      <w:r w:rsidR="003A1917">
        <w:t xml:space="preserve">the </w:t>
      </w:r>
      <w:r w:rsidRPr="001A3D2B">
        <w:t>citations each journal received from</w:t>
      </w:r>
      <w:r w:rsidR="003A1917">
        <w:t xml:space="preserve"> the </w:t>
      </w:r>
      <w:r w:rsidRPr="001A3D2B">
        <w:t>other journals, differed significantly among</w:t>
      </w:r>
      <w:r w:rsidR="003A1917">
        <w:t xml:space="preserve"> the </w:t>
      </w:r>
      <w:r w:rsidRPr="001A3D2B">
        <w:t>six journals (</w:t>
      </w:r>
      <w:r w:rsidRPr="001A3D2B">
        <w:sym w:font="Symbol" w:char="F063"/>
      </w:r>
      <w:r w:rsidRPr="001A3D2B">
        <w:rPr>
          <w:vertAlign w:val="superscript"/>
        </w:rPr>
        <w:t>2</w:t>
      </w:r>
      <w:r w:rsidRPr="001A3D2B">
        <w:t xml:space="preserve"> = 2794, d.f. = 25, </w:t>
      </w:r>
      <w:r w:rsidRPr="001A3D2B">
        <w:rPr>
          <w:i/>
          <w:iCs/>
        </w:rPr>
        <w:t>P</w:t>
      </w:r>
      <w:r w:rsidRPr="001A3D2B">
        <w:t xml:space="preserve"> &lt; 0.0001). </w:t>
      </w:r>
      <w:r w:rsidRPr="001A3D2B">
        <w:rPr>
          <w:i/>
          <w:iCs/>
        </w:rPr>
        <w:t>Acta Otolaryngologica</w:t>
      </w:r>
      <w:r w:rsidR="005853A9">
        <w:t xml:space="preserve"> and </w:t>
      </w:r>
      <w:r w:rsidRPr="001A3D2B">
        <w:rPr>
          <w:i/>
          <w:iCs/>
        </w:rPr>
        <w:t>Laryngoscope</w:t>
      </w:r>
      <w:r w:rsidRPr="001A3D2B">
        <w:t xml:space="preserve"> had</w:t>
      </w:r>
      <w:r w:rsidR="003A1917">
        <w:t xml:space="preserve"> the </w:t>
      </w:r>
      <w:r w:rsidRPr="001A3D2B">
        <w:t>highest self-citing rates (11.9%</w:t>
      </w:r>
      <w:r w:rsidR="005853A9">
        <w:t xml:space="preserve"> and </w:t>
      </w:r>
      <w:r w:rsidRPr="001A3D2B">
        <w:t xml:space="preserve">10.02%). </w:t>
      </w:r>
      <w:r w:rsidRPr="001A3D2B">
        <w:rPr>
          <w:i/>
          <w:iCs/>
        </w:rPr>
        <w:t>Clinical Otolaryngology</w:t>
      </w:r>
      <w:r w:rsidRPr="001A3D2B">
        <w:t xml:space="preserve"> had</w:t>
      </w:r>
      <w:r w:rsidR="003A1917">
        <w:t xml:space="preserve"> the </w:t>
      </w:r>
      <w:r w:rsidRPr="001A3D2B">
        <w:t>lowest self-citing rate (4%)</w:t>
      </w:r>
      <w:r w:rsidR="00A37C1D">
        <w:t>. The</w:t>
      </w:r>
      <w:r w:rsidRPr="001A3D2B">
        <w:t>re was no significant correlation between self-citing rates</w:t>
      </w:r>
      <w:r w:rsidR="005853A9">
        <w:t xml:space="preserve"> </w:t>
      </w:r>
      <w:r w:rsidR="005853A9">
        <w:lastRenderedPageBreak/>
        <w:t xml:space="preserve">and </w:t>
      </w:r>
      <w:r w:rsidRPr="001A3D2B">
        <w:t>impact factors for</w:t>
      </w:r>
      <w:r w:rsidR="003A1917">
        <w:t xml:space="preserve"> the </w:t>
      </w:r>
      <w:r w:rsidRPr="001A3D2B">
        <w:t>six otolaryngology journals (</w:t>
      </w:r>
      <w:r w:rsidRPr="001A3D2B">
        <w:rPr>
          <w:i/>
          <w:iCs/>
        </w:rPr>
        <w:t>r</w:t>
      </w:r>
      <w:r w:rsidRPr="001A3D2B">
        <w:t xml:space="preserve"> = -0.3143, </w:t>
      </w:r>
      <w:r w:rsidRPr="001A3D2B">
        <w:rPr>
          <w:i/>
          <w:iCs/>
        </w:rPr>
        <w:t>P</w:t>
      </w:r>
      <w:r w:rsidRPr="001A3D2B">
        <w:t xml:space="preserve"> = 0.56).</w:t>
      </w:r>
    </w:p>
    <w:p w:rsidR="003474F2" w:rsidRPr="001A3D2B" w:rsidRDefault="003474F2" w:rsidP="003474F2">
      <w:pPr>
        <w:pStyle w:val="a3"/>
      </w:pPr>
      <w:r w:rsidRPr="001A3D2B">
        <w:t>Fenton, J.E.</w:t>
      </w:r>
      <w:r w:rsidR="005853A9">
        <w:t xml:space="preserve"> and </w:t>
      </w:r>
      <w:r w:rsidRPr="001A3D2B">
        <w:t>Jones, A.S. (2002), Integrity in medical research</w:t>
      </w:r>
      <w:r w:rsidR="005853A9">
        <w:t xml:space="preserve"> and </w:t>
      </w:r>
      <w:r w:rsidRPr="001A3D2B">
        <w:t xml:space="preserve">publication. </w:t>
      </w:r>
      <w:r w:rsidRPr="001A3D2B">
        <w:rPr>
          <w:i/>
          <w:iCs/>
        </w:rPr>
        <w:t>Clinical Otolaryngology</w:t>
      </w:r>
      <w:r w:rsidRPr="001A3D2B">
        <w:t xml:space="preserve">, </w:t>
      </w:r>
      <w:r w:rsidRPr="001A3D2B">
        <w:rPr>
          <w:b/>
        </w:rPr>
        <w:t>27</w:t>
      </w:r>
      <w:r w:rsidRPr="001A3D2B">
        <w:t xml:space="preserve"> (6), 436-439.</w:t>
      </w:r>
    </w:p>
    <w:p w:rsidR="003474F2" w:rsidRPr="001A3D2B" w:rsidRDefault="003474F2" w:rsidP="003474F2">
      <w:pPr>
        <w:pStyle w:val="a3"/>
      </w:pPr>
      <w:r w:rsidRPr="001A3D2B">
        <w:t xml:space="preserve">Full Text: </w:t>
      </w:r>
      <w:hyperlink r:id="rId406" w:history="1">
        <w:r w:rsidRPr="001A3D2B">
          <w:rPr>
            <w:rStyle w:val="a5"/>
          </w:rPr>
          <w:t>2002\Cli Oto All Sci27, 436.pdf</w:t>
        </w:r>
      </w:hyperlink>
    </w:p>
    <w:p w:rsidR="00E570A1" w:rsidRDefault="00E570A1" w:rsidP="00E570A1">
      <w:pPr>
        <w:pStyle w:val="a3"/>
        <w:rPr>
          <w:kern w:val="0"/>
        </w:rPr>
      </w:pPr>
      <w:r>
        <w:rPr>
          <w:rFonts w:hint="eastAsia"/>
          <w:kern w:val="0"/>
        </w:rPr>
        <w:t xml:space="preserve">? </w:t>
      </w:r>
      <w:r>
        <w:rPr>
          <w:kern w:val="0"/>
        </w:rPr>
        <w:t>Jaunoo, S.S.</w:t>
      </w:r>
      <w:r w:rsidR="005853A9">
        <w:rPr>
          <w:kern w:val="0"/>
        </w:rPr>
        <w:t xml:space="preserve"> and </w:t>
      </w:r>
      <w:r>
        <w:rPr>
          <w:kern w:val="0"/>
        </w:rPr>
        <w:t xml:space="preserve">Lo, S. (2006), A higher self-citing rate is not necessarily a bad thing: More correspondence equals more stimulation. </w:t>
      </w:r>
      <w:r>
        <w:rPr>
          <w:i/>
          <w:iCs/>
          <w:kern w:val="0"/>
        </w:rPr>
        <w:t>Clinical Otolaryngology</w:t>
      </w:r>
      <w:r>
        <w:rPr>
          <w:kern w:val="0"/>
        </w:rPr>
        <w:t xml:space="preserve">, </w:t>
      </w:r>
      <w:r>
        <w:rPr>
          <w:b/>
          <w:bCs/>
          <w:kern w:val="0"/>
        </w:rPr>
        <w:t>31</w:t>
      </w:r>
      <w:r>
        <w:rPr>
          <w:kern w:val="0"/>
        </w:rPr>
        <w:t xml:space="preserve"> (6), 561-562</w:t>
      </w:r>
      <w:r>
        <w:rPr>
          <w:rFonts w:hint="eastAsia"/>
          <w:kern w:val="0"/>
        </w:rPr>
        <w:t>.</w:t>
      </w:r>
    </w:p>
    <w:p w:rsidR="00E570A1" w:rsidRPr="001A3D2B" w:rsidRDefault="00E570A1" w:rsidP="00E570A1">
      <w:pPr>
        <w:pStyle w:val="a3"/>
      </w:pPr>
      <w:r w:rsidRPr="001A3D2B">
        <w:t xml:space="preserve">Full Text: </w:t>
      </w:r>
      <w:hyperlink r:id="rId407" w:history="1">
        <w:r w:rsidRPr="003F47E2">
          <w:rPr>
            <w:rStyle w:val="a5"/>
          </w:rPr>
          <w:t>2006\Cli Oto All Sci31, 561.pdf</w:t>
        </w:r>
      </w:hyperlink>
    </w:p>
    <w:p w:rsidR="00826F05" w:rsidRPr="001A3D2B" w:rsidRDefault="00826F05" w:rsidP="00826F05">
      <w:pPr>
        <w:pStyle w:val="a3"/>
        <w:rPr>
          <w:kern w:val="0"/>
        </w:rPr>
      </w:pPr>
      <w:r w:rsidRPr="001A3D2B">
        <w:rPr>
          <w:kern w:val="0"/>
        </w:rPr>
        <w:t>? Wormald, R.N., Ahmed, I.</w:t>
      </w:r>
      <w:r w:rsidR="005853A9">
        <w:rPr>
          <w:kern w:val="0"/>
        </w:rPr>
        <w:t xml:space="preserve"> and </w:t>
      </w:r>
      <w:r w:rsidRPr="001A3D2B">
        <w:rPr>
          <w:kern w:val="0"/>
        </w:rPr>
        <w:t>Fenton, J.E. (2007</w:t>
      </w:r>
      <w:r w:rsidR="00F42EAC">
        <w:rPr>
          <w:kern w:val="0"/>
        </w:rPr>
        <w:t>), The</w:t>
      </w:r>
      <w:r w:rsidR="003A1917">
        <w:rPr>
          <w:kern w:val="0"/>
        </w:rPr>
        <w:t xml:space="preserve"> </w:t>
      </w:r>
      <w:r w:rsidRPr="001A3D2B">
        <w:rPr>
          <w:kern w:val="0"/>
        </w:rPr>
        <w:t xml:space="preserve">facial nerve: One editorial, two authors, top-cited. </w:t>
      </w:r>
      <w:r w:rsidRPr="001A3D2B">
        <w:rPr>
          <w:i/>
          <w:iCs/>
          <w:kern w:val="0"/>
        </w:rPr>
        <w:t>Clinical Otolaryngology</w:t>
      </w:r>
      <w:r w:rsidRPr="001A3D2B">
        <w:rPr>
          <w:kern w:val="0"/>
        </w:rPr>
        <w:t xml:space="preserve">, </w:t>
      </w:r>
      <w:r w:rsidRPr="001A3D2B">
        <w:rPr>
          <w:b/>
          <w:bCs/>
          <w:kern w:val="0"/>
        </w:rPr>
        <w:t>32</w:t>
      </w:r>
      <w:r w:rsidRPr="001A3D2B">
        <w:rPr>
          <w:kern w:val="0"/>
        </w:rPr>
        <w:t xml:space="preserve"> (5), 397-398</w:t>
      </w:r>
      <w:r w:rsidR="00E570A1">
        <w:rPr>
          <w:rFonts w:hint="eastAsia"/>
          <w:kern w:val="0"/>
        </w:rPr>
        <w:t>.</w:t>
      </w:r>
    </w:p>
    <w:p w:rsidR="00E570A1" w:rsidRPr="001A3D2B" w:rsidRDefault="00E570A1" w:rsidP="00E570A1">
      <w:pPr>
        <w:pStyle w:val="a3"/>
      </w:pPr>
      <w:r w:rsidRPr="001A3D2B">
        <w:t xml:space="preserve">Full Text: </w:t>
      </w:r>
      <w:hyperlink r:id="rId408" w:history="1">
        <w:r w:rsidRPr="00B549CC">
          <w:rPr>
            <w:rStyle w:val="a5"/>
          </w:rPr>
          <w:t>2007\Cli Oto All Sci32, 397.pdf</w:t>
        </w:r>
      </w:hyperlink>
    </w:p>
    <w:p w:rsidR="00826F05" w:rsidRPr="001A3D2B" w:rsidRDefault="00826F05" w:rsidP="00826F05">
      <w:pPr>
        <w:pStyle w:val="a3"/>
        <w:rPr>
          <w:kern w:val="0"/>
        </w:rPr>
      </w:pPr>
      <w:r w:rsidRPr="001A3D2B">
        <w:rPr>
          <w:kern w:val="0"/>
        </w:rPr>
        <w:t>Keywords: Grading Systems, Science</w:t>
      </w:r>
    </w:p>
    <w:p w:rsidR="00EB3E6D" w:rsidRDefault="00EB3E6D" w:rsidP="00EB3E6D">
      <w:pPr>
        <w:pStyle w:val="a3"/>
        <w:rPr>
          <w:kern w:val="0"/>
        </w:rPr>
      </w:pPr>
      <w:r>
        <w:rPr>
          <w:rFonts w:hint="eastAsia"/>
          <w:kern w:val="0"/>
        </w:rPr>
        <w:t xml:space="preserve">? </w:t>
      </w:r>
      <w:r>
        <w:rPr>
          <w:kern w:val="0"/>
        </w:rPr>
        <w:t>Sacks, P.L., Harvey, R.J., Rimmer, J., Gallagher, R.M.</w:t>
      </w:r>
      <w:r w:rsidR="005853A9">
        <w:rPr>
          <w:kern w:val="0"/>
        </w:rPr>
        <w:t xml:space="preserve"> and </w:t>
      </w:r>
      <w:r>
        <w:rPr>
          <w:kern w:val="0"/>
        </w:rPr>
        <w:t>Sacks, R. (2011), Topical</w:t>
      </w:r>
      <w:r w:rsidR="005853A9">
        <w:rPr>
          <w:kern w:val="0"/>
        </w:rPr>
        <w:t xml:space="preserve"> and </w:t>
      </w:r>
      <w:r>
        <w:rPr>
          <w:kern w:val="0"/>
        </w:rPr>
        <w:t>systemic antifungal therapy for</w:t>
      </w:r>
      <w:r w:rsidR="003A1917">
        <w:rPr>
          <w:kern w:val="0"/>
        </w:rPr>
        <w:t xml:space="preserve"> the </w:t>
      </w:r>
      <w:r>
        <w:rPr>
          <w:kern w:val="0"/>
        </w:rPr>
        <w:t>symptomatic treatment</w:t>
      </w:r>
      <w:r w:rsidR="00427468">
        <w:rPr>
          <w:kern w:val="0"/>
        </w:rPr>
        <w:t xml:space="preserve"> of </w:t>
      </w:r>
      <w:r>
        <w:rPr>
          <w:kern w:val="0"/>
        </w:rPr>
        <w:t xml:space="preserve">chronic rhinosinusitis. </w:t>
      </w:r>
      <w:r>
        <w:rPr>
          <w:i/>
          <w:iCs/>
          <w:kern w:val="0"/>
        </w:rPr>
        <w:t>Clinical Otolaryngology</w:t>
      </w:r>
      <w:r>
        <w:rPr>
          <w:kern w:val="0"/>
        </w:rPr>
        <w:t xml:space="preserve">, </w:t>
      </w:r>
      <w:r>
        <w:rPr>
          <w:b/>
          <w:bCs/>
          <w:kern w:val="0"/>
        </w:rPr>
        <w:t>36</w:t>
      </w:r>
      <w:r>
        <w:rPr>
          <w:kern w:val="0"/>
        </w:rPr>
        <w:t xml:space="preserve"> (5), 489-490.</w:t>
      </w:r>
    </w:p>
    <w:p w:rsidR="00EB3E6D" w:rsidRPr="001A3D2B" w:rsidRDefault="00EB3E6D" w:rsidP="00EB3E6D">
      <w:pPr>
        <w:pStyle w:val="a3"/>
      </w:pPr>
      <w:r w:rsidRPr="001A3D2B">
        <w:t xml:space="preserve">Full Text: </w:t>
      </w:r>
      <w:hyperlink r:id="rId409" w:history="1">
        <w:r w:rsidRPr="00EB3E6D">
          <w:rPr>
            <w:rStyle w:val="a5"/>
          </w:rPr>
          <w:t>2011\Cli Oto All Sci36, 489.pdf</w:t>
        </w:r>
      </w:hyperlink>
    </w:p>
    <w:p w:rsidR="00EB3E6D" w:rsidRDefault="00EB3E6D" w:rsidP="00EB3E6D">
      <w:pPr>
        <w:pStyle w:val="a3"/>
        <w:rPr>
          <w:kern w:val="0"/>
        </w:rPr>
      </w:pPr>
      <w:r>
        <w:rPr>
          <w:kern w:val="0"/>
        </w:rPr>
        <w:t>Abstract: Background Chronic rhinosinusitis (CRS) is an inflammatory disorder</w:t>
      </w:r>
      <w:r w:rsidR="00427468">
        <w:rPr>
          <w:kern w:val="0"/>
        </w:rPr>
        <w:t xml:space="preserve"> of </w:t>
      </w:r>
      <w:r w:rsidR="003A1917">
        <w:rPr>
          <w:kern w:val="0"/>
        </w:rPr>
        <w:t xml:space="preserve">the </w:t>
      </w:r>
      <w:r>
        <w:rPr>
          <w:kern w:val="0"/>
        </w:rPr>
        <w:t>nose</w:t>
      </w:r>
      <w:r w:rsidR="005853A9">
        <w:rPr>
          <w:kern w:val="0"/>
        </w:rPr>
        <w:t xml:space="preserve"> and </w:t>
      </w:r>
      <w:r>
        <w:rPr>
          <w:kern w:val="0"/>
        </w:rPr>
        <w:t>sinuses. Since fungi were postulated as a potential cause</w:t>
      </w:r>
      <w:r w:rsidR="00427468">
        <w:rPr>
          <w:kern w:val="0"/>
        </w:rPr>
        <w:t xml:space="preserve"> of </w:t>
      </w:r>
      <w:r>
        <w:rPr>
          <w:kern w:val="0"/>
        </w:rPr>
        <w:t>CRS in</w:t>
      </w:r>
      <w:r w:rsidR="003A1917">
        <w:rPr>
          <w:kern w:val="0"/>
        </w:rPr>
        <w:t xml:space="preserve"> the </w:t>
      </w:r>
      <w:r>
        <w:rPr>
          <w:kern w:val="0"/>
        </w:rPr>
        <w:t>late 1990s, there has been increasing controversy about</w:t>
      </w:r>
      <w:r w:rsidR="003A1917">
        <w:rPr>
          <w:kern w:val="0"/>
        </w:rPr>
        <w:t xml:space="preserve"> the </w:t>
      </w:r>
      <w:r>
        <w:rPr>
          <w:kern w:val="0"/>
        </w:rPr>
        <w:t>use</w:t>
      </w:r>
      <w:r w:rsidR="00427468">
        <w:rPr>
          <w:kern w:val="0"/>
        </w:rPr>
        <w:t xml:space="preserve"> of </w:t>
      </w:r>
      <w:r>
        <w:rPr>
          <w:kern w:val="0"/>
        </w:rPr>
        <w:t>both topical</w:t>
      </w:r>
      <w:r w:rsidR="005853A9">
        <w:rPr>
          <w:kern w:val="0"/>
        </w:rPr>
        <w:t xml:space="preserve"> and </w:t>
      </w:r>
      <w:r>
        <w:rPr>
          <w:kern w:val="0"/>
        </w:rPr>
        <w:t>systemic antifungal agents in its management. Although interaction between</w:t>
      </w:r>
      <w:r w:rsidR="003A1917">
        <w:rPr>
          <w:kern w:val="0"/>
        </w:rPr>
        <w:t xml:space="preserve"> the </w:t>
      </w:r>
      <w:r>
        <w:rPr>
          <w:kern w:val="0"/>
        </w:rPr>
        <w:t>immune system</w:t>
      </w:r>
      <w:r w:rsidR="005853A9">
        <w:rPr>
          <w:kern w:val="0"/>
        </w:rPr>
        <w:t xml:space="preserve"> and </w:t>
      </w:r>
      <w:r>
        <w:rPr>
          <w:kern w:val="0"/>
        </w:rPr>
        <w:t>fungus has been demonstrated in CRS, this does not necessarily imply that fungi are</w:t>
      </w:r>
      <w:r w:rsidR="003A1917">
        <w:rPr>
          <w:kern w:val="0"/>
        </w:rPr>
        <w:t xml:space="preserve"> the </w:t>
      </w:r>
      <w:r>
        <w:rPr>
          <w:kern w:val="0"/>
        </w:rPr>
        <w:t>cause</w:t>
      </w:r>
      <w:r w:rsidR="00427468">
        <w:rPr>
          <w:kern w:val="0"/>
        </w:rPr>
        <w:t xml:space="preserve"> of </w:t>
      </w:r>
      <w:r>
        <w:rPr>
          <w:kern w:val="0"/>
        </w:rPr>
        <w:t>CRS or that antifungals will be effective its management. Objectives To assess</w:t>
      </w:r>
      <w:r w:rsidR="003A1917">
        <w:rPr>
          <w:kern w:val="0"/>
        </w:rPr>
        <w:t xml:space="preserve"> the </w:t>
      </w:r>
      <w:r>
        <w:rPr>
          <w:kern w:val="0"/>
        </w:rPr>
        <w:t>effectiveness</w:t>
      </w:r>
      <w:r w:rsidR="00427468">
        <w:rPr>
          <w:kern w:val="0"/>
        </w:rPr>
        <w:t xml:space="preserve"> of </w:t>
      </w:r>
      <w:r>
        <w:rPr>
          <w:kern w:val="0"/>
        </w:rPr>
        <w:t>topical or systemic antifungal therapy in</w:t>
      </w:r>
      <w:r w:rsidR="003A1917">
        <w:rPr>
          <w:kern w:val="0"/>
        </w:rPr>
        <w:t xml:space="preserve"> the </w:t>
      </w:r>
      <w:r>
        <w:rPr>
          <w:kern w:val="0"/>
        </w:rPr>
        <w:t>treatment</w:t>
      </w:r>
      <w:r w:rsidR="00427468">
        <w:rPr>
          <w:kern w:val="0"/>
        </w:rPr>
        <w:t xml:space="preserve"> of </w:t>
      </w:r>
      <w:r>
        <w:rPr>
          <w:kern w:val="0"/>
        </w:rPr>
        <w:t>CRS. Search Strategy We searched</w:t>
      </w:r>
      <w:r w:rsidR="003A1917">
        <w:rPr>
          <w:kern w:val="0"/>
        </w:rPr>
        <w:t xml:space="preserve"> the </w:t>
      </w:r>
      <w:r>
        <w:rPr>
          <w:kern w:val="0"/>
        </w:rPr>
        <w:t>Cochrane Ear, Nose</w:t>
      </w:r>
      <w:r w:rsidR="005853A9">
        <w:rPr>
          <w:kern w:val="0"/>
        </w:rPr>
        <w:t xml:space="preserve"> and </w:t>
      </w:r>
      <w:r>
        <w:rPr>
          <w:kern w:val="0"/>
        </w:rPr>
        <w:t>Throat Disorders Group Trials Register;</w:t>
      </w:r>
      <w:r w:rsidR="003A1917">
        <w:rPr>
          <w:kern w:val="0"/>
        </w:rPr>
        <w:t xml:space="preserve"> the </w:t>
      </w:r>
      <w:r>
        <w:rPr>
          <w:kern w:val="0"/>
        </w:rPr>
        <w:t>Cochrane Central Register</w:t>
      </w:r>
      <w:r w:rsidR="00427468">
        <w:rPr>
          <w:kern w:val="0"/>
        </w:rPr>
        <w:t xml:space="preserve"> of </w:t>
      </w:r>
      <w:r>
        <w:rPr>
          <w:kern w:val="0"/>
        </w:rPr>
        <w:t xml:space="preserve">Controlled Trials (CENTRAL); PubMed; EMBASE; CINAHL; </w:t>
      </w:r>
      <w:r w:rsidR="00D5664A">
        <w:rPr>
          <w:kern w:val="0"/>
        </w:rPr>
        <w:t>Web</w:t>
      </w:r>
      <w:r w:rsidR="00427468">
        <w:rPr>
          <w:kern w:val="0"/>
        </w:rPr>
        <w:t xml:space="preserve"> of </w:t>
      </w:r>
      <w:r w:rsidR="00D5664A">
        <w:rPr>
          <w:kern w:val="0"/>
        </w:rPr>
        <w:t>Science</w:t>
      </w:r>
      <w:r>
        <w:rPr>
          <w:kern w:val="0"/>
        </w:rPr>
        <w:t>; BIOSIS Previews; Cambridge Scientific Abstracts; ICTRP</w:t>
      </w:r>
      <w:r w:rsidR="005853A9">
        <w:rPr>
          <w:kern w:val="0"/>
        </w:rPr>
        <w:t xml:space="preserve"> and </w:t>
      </w:r>
      <w:r>
        <w:rPr>
          <w:kern w:val="0"/>
        </w:rPr>
        <w:t>additional sources for published</w:t>
      </w:r>
      <w:r w:rsidR="005853A9">
        <w:rPr>
          <w:kern w:val="0"/>
        </w:rPr>
        <w:t xml:space="preserve"> and </w:t>
      </w:r>
      <w:r>
        <w:rPr>
          <w:kern w:val="0"/>
        </w:rPr>
        <w:t>unpublished trials</w:t>
      </w:r>
      <w:r w:rsidR="00A37C1D">
        <w:rPr>
          <w:kern w:val="0"/>
        </w:rPr>
        <w:t>. The</w:t>
      </w:r>
      <w:r w:rsidR="003A1917">
        <w:rPr>
          <w:kern w:val="0"/>
        </w:rPr>
        <w:t xml:space="preserve"> </w:t>
      </w:r>
      <w:r>
        <w:rPr>
          <w:kern w:val="0"/>
        </w:rPr>
        <w:t>date</w:t>
      </w:r>
      <w:r w:rsidR="00427468">
        <w:rPr>
          <w:kern w:val="0"/>
        </w:rPr>
        <w:t xml:space="preserve"> of </w:t>
      </w:r>
      <w:r w:rsidR="003A1917">
        <w:rPr>
          <w:kern w:val="0"/>
        </w:rPr>
        <w:t xml:space="preserve">the </w:t>
      </w:r>
      <w:r>
        <w:rPr>
          <w:kern w:val="0"/>
        </w:rPr>
        <w:t>most recent search was 8 March 2011. Selection criteria All randomised, placebo-controlled trials considering</w:t>
      </w:r>
      <w:r w:rsidR="003A1917">
        <w:rPr>
          <w:kern w:val="0"/>
        </w:rPr>
        <w:t xml:space="preserve"> the </w:t>
      </w:r>
      <w:r>
        <w:rPr>
          <w:kern w:val="0"/>
        </w:rPr>
        <w:t>use</w:t>
      </w:r>
      <w:r w:rsidR="00427468">
        <w:rPr>
          <w:kern w:val="0"/>
        </w:rPr>
        <w:t xml:space="preserve"> of </w:t>
      </w:r>
      <w:r>
        <w:rPr>
          <w:kern w:val="0"/>
        </w:rPr>
        <w:t>topical or systemic antifungal therapy in</w:t>
      </w:r>
      <w:r w:rsidR="003A1917">
        <w:rPr>
          <w:kern w:val="0"/>
        </w:rPr>
        <w:t xml:space="preserve"> the </w:t>
      </w:r>
      <w:r>
        <w:rPr>
          <w:kern w:val="0"/>
        </w:rPr>
        <w:t>treatment</w:t>
      </w:r>
      <w:r w:rsidR="00427468">
        <w:rPr>
          <w:kern w:val="0"/>
        </w:rPr>
        <w:t xml:space="preserve"> of </w:t>
      </w:r>
      <w:r>
        <w:rPr>
          <w:kern w:val="0"/>
        </w:rPr>
        <w:t>CRS</w:t>
      </w:r>
      <w:r w:rsidR="005853A9">
        <w:rPr>
          <w:kern w:val="0"/>
        </w:rPr>
        <w:t xml:space="preserve"> and </w:t>
      </w:r>
      <w:r>
        <w:rPr>
          <w:kern w:val="0"/>
        </w:rPr>
        <w:t>allergic fungal sinusitis (AFS). CRS was defined using either</w:t>
      </w:r>
      <w:r w:rsidR="003A1917">
        <w:rPr>
          <w:kern w:val="0"/>
        </w:rPr>
        <w:t xml:space="preserve"> the </w:t>
      </w:r>
      <w:r>
        <w:rPr>
          <w:kern w:val="0"/>
        </w:rPr>
        <w:t>European Position Paper on Rhinosinusitis</w:t>
      </w:r>
      <w:r w:rsidR="005853A9">
        <w:rPr>
          <w:kern w:val="0"/>
        </w:rPr>
        <w:t xml:space="preserve"> and </w:t>
      </w:r>
      <w:r>
        <w:rPr>
          <w:kern w:val="0"/>
        </w:rPr>
        <w:t>Nasal Polyps (EPOS) or American Academy</w:t>
      </w:r>
      <w:r w:rsidR="00427468">
        <w:rPr>
          <w:kern w:val="0"/>
        </w:rPr>
        <w:t xml:space="preserve"> of </w:t>
      </w:r>
      <w:r>
        <w:rPr>
          <w:kern w:val="0"/>
        </w:rPr>
        <w:t>Otolaryngology - Head</w:t>
      </w:r>
      <w:r w:rsidR="005853A9">
        <w:rPr>
          <w:kern w:val="0"/>
        </w:rPr>
        <w:t xml:space="preserve"> and </w:t>
      </w:r>
      <w:r>
        <w:rPr>
          <w:kern w:val="0"/>
        </w:rPr>
        <w:t>Neck Surgery (AAO-HNS) criteria. Data collection</w:t>
      </w:r>
      <w:r w:rsidR="005853A9">
        <w:rPr>
          <w:kern w:val="0"/>
        </w:rPr>
        <w:t xml:space="preserve"> and </w:t>
      </w:r>
      <w:r>
        <w:rPr>
          <w:kern w:val="0"/>
        </w:rPr>
        <w:t>analysis We reviewed</w:t>
      </w:r>
      <w:r w:rsidR="003A1917">
        <w:rPr>
          <w:kern w:val="0"/>
        </w:rPr>
        <w:t xml:space="preserve"> the </w:t>
      </w:r>
      <w:r>
        <w:rPr>
          <w:kern w:val="0"/>
        </w:rPr>
        <w:t>titles</w:t>
      </w:r>
      <w:r w:rsidR="005853A9">
        <w:rPr>
          <w:kern w:val="0"/>
        </w:rPr>
        <w:t xml:space="preserve"> and </w:t>
      </w:r>
      <w:r>
        <w:rPr>
          <w:kern w:val="0"/>
        </w:rPr>
        <w:t>abstracts</w:t>
      </w:r>
      <w:r w:rsidR="00427468">
        <w:rPr>
          <w:kern w:val="0"/>
        </w:rPr>
        <w:t xml:space="preserve"> of </w:t>
      </w:r>
      <w:r>
        <w:rPr>
          <w:kern w:val="0"/>
        </w:rPr>
        <w:t>all studies obtained from</w:t>
      </w:r>
      <w:r w:rsidR="003A1917">
        <w:rPr>
          <w:kern w:val="0"/>
        </w:rPr>
        <w:t xml:space="preserve"> the </w:t>
      </w:r>
      <w:r>
        <w:rPr>
          <w:kern w:val="0"/>
        </w:rPr>
        <w:t>searches</w:t>
      </w:r>
      <w:r w:rsidR="005853A9">
        <w:rPr>
          <w:kern w:val="0"/>
        </w:rPr>
        <w:t xml:space="preserve"> and </w:t>
      </w:r>
      <w:r>
        <w:rPr>
          <w:kern w:val="0"/>
        </w:rPr>
        <w:t>selected trials that met</w:t>
      </w:r>
      <w:r w:rsidR="003A1917">
        <w:rPr>
          <w:kern w:val="0"/>
        </w:rPr>
        <w:t xml:space="preserve"> the </w:t>
      </w:r>
      <w:r>
        <w:rPr>
          <w:kern w:val="0"/>
        </w:rPr>
        <w:t>eligibility criteria. We extracted data using a pre-determined data extraction form</w:t>
      </w:r>
      <w:r w:rsidR="00A37C1D">
        <w:rPr>
          <w:kern w:val="0"/>
        </w:rPr>
        <w:t>. The</w:t>
      </w:r>
      <w:r>
        <w:rPr>
          <w:kern w:val="0"/>
        </w:rPr>
        <w:t>re was significant heterogeneity</w:t>
      </w:r>
      <w:r w:rsidR="00427468">
        <w:rPr>
          <w:kern w:val="0"/>
        </w:rPr>
        <w:t xml:space="preserve"> of </w:t>
      </w:r>
      <w:r>
        <w:rPr>
          <w:kern w:val="0"/>
        </w:rPr>
        <w:t>outcome data reporting with reports containing both parametric</w:t>
      </w:r>
      <w:r w:rsidR="005853A9">
        <w:rPr>
          <w:kern w:val="0"/>
        </w:rPr>
        <w:t xml:space="preserve"> and </w:t>
      </w:r>
      <w:r>
        <w:rPr>
          <w:kern w:val="0"/>
        </w:rPr>
        <w:t>non-parametric representations</w:t>
      </w:r>
      <w:r w:rsidR="00427468">
        <w:rPr>
          <w:kern w:val="0"/>
        </w:rPr>
        <w:t xml:space="preserve"> of </w:t>
      </w:r>
      <w:r>
        <w:rPr>
          <w:kern w:val="0"/>
        </w:rPr>
        <w:t>data for</w:t>
      </w:r>
      <w:r w:rsidR="003A1917">
        <w:rPr>
          <w:kern w:val="0"/>
        </w:rPr>
        <w:t xml:space="preserve"> the </w:t>
      </w:r>
      <w:r>
        <w:rPr>
          <w:kern w:val="0"/>
        </w:rPr>
        <w:t>same outcomes. Means</w:t>
      </w:r>
      <w:r w:rsidR="005853A9">
        <w:rPr>
          <w:kern w:val="0"/>
        </w:rPr>
        <w:t xml:space="preserve"> and </w:t>
      </w:r>
      <w:r>
        <w:rPr>
          <w:kern w:val="0"/>
        </w:rPr>
        <w:t>standard deviations for change data were unavailable for a number</w:t>
      </w:r>
      <w:r w:rsidR="00427468">
        <w:rPr>
          <w:kern w:val="0"/>
        </w:rPr>
        <w:t xml:space="preserve"> of </w:t>
      </w:r>
      <w:r>
        <w:rPr>
          <w:kern w:val="0"/>
        </w:rPr>
        <w:t>trials. Due to</w:t>
      </w:r>
      <w:r w:rsidR="003A1917">
        <w:rPr>
          <w:kern w:val="0"/>
        </w:rPr>
        <w:t xml:space="preserve"> the </w:t>
      </w:r>
      <w:r>
        <w:rPr>
          <w:kern w:val="0"/>
        </w:rPr>
        <w:t xml:space="preserve">limited reported data, </w:t>
      </w:r>
      <w:r>
        <w:rPr>
          <w:kern w:val="0"/>
        </w:rPr>
        <w:lastRenderedPageBreak/>
        <w:t>we contacted authors</w:t>
      </w:r>
      <w:r w:rsidR="005853A9">
        <w:rPr>
          <w:kern w:val="0"/>
        </w:rPr>
        <w:t xml:space="preserve"> and </w:t>
      </w:r>
      <w:r>
        <w:rPr>
          <w:kern w:val="0"/>
        </w:rPr>
        <w:t>used original data for data analysis. Main Results Six studies were included (380 participants). Five studies investigated topical antifungals</w:t>
      </w:r>
      <w:r w:rsidR="005853A9">
        <w:rPr>
          <w:kern w:val="0"/>
        </w:rPr>
        <w:t xml:space="preserve"> and </w:t>
      </w:r>
      <w:r>
        <w:rPr>
          <w:kern w:val="0"/>
        </w:rPr>
        <w:t>one study investigated systemic antifungals</w:t>
      </w:r>
      <w:r w:rsidR="00A37C1D">
        <w:rPr>
          <w:kern w:val="0"/>
        </w:rPr>
        <w:t>. The</w:t>
      </w:r>
      <w:r w:rsidR="003A1917">
        <w:rPr>
          <w:kern w:val="0"/>
        </w:rPr>
        <w:t xml:space="preserve"> </w:t>
      </w:r>
      <w:r>
        <w:rPr>
          <w:kern w:val="0"/>
        </w:rPr>
        <w:t>risk</w:t>
      </w:r>
      <w:r w:rsidR="00427468">
        <w:rPr>
          <w:kern w:val="0"/>
        </w:rPr>
        <w:t xml:space="preserve"> of </w:t>
      </w:r>
      <w:r>
        <w:rPr>
          <w:kern w:val="0"/>
        </w:rPr>
        <w:t>bias in all included studies was low, with all trials being double-blinded</w:t>
      </w:r>
      <w:r w:rsidR="005853A9">
        <w:rPr>
          <w:kern w:val="0"/>
        </w:rPr>
        <w:t xml:space="preserve"> and </w:t>
      </w:r>
      <w:r>
        <w:rPr>
          <w:kern w:val="0"/>
        </w:rPr>
        <w:t>randomised. Pooled meta-analysis showed no statistically significant benefit</w:t>
      </w:r>
      <w:r w:rsidR="00427468">
        <w:rPr>
          <w:kern w:val="0"/>
        </w:rPr>
        <w:t xml:space="preserve"> of </w:t>
      </w:r>
      <w:r>
        <w:rPr>
          <w:kern w:val="0"/>
        </w:rPr>
        <w:t>topical or systemic antifungals over placebo for any outcome. Symptom scores in fact statistically favoured</w:t>
      </w:r>
      <w:r w:rsidR="003A1917">
        <w:rPr>
          <w:kern w:val="0"/>
        </w:rPr>
        <w:t xml:space="preserve"> the </w:t>
      </w:r>
      <w:r>
        <w:rPr>
          <w:kern w:val="0"/>
        </w:rPr>
        <w:t>placebo group. Adverse event reporting was statistically significantly higher in</w:t>
      </w:r>
      <w:r w:rsidR="003A1917">
        <w:rPr>
          <w:kern w:val="0"/>
        </w:rPr>
        <w:t xml:space="preserve"> the </w:t>
      </w:r>
      <w:r>
        <w:rPr>
          <w:kern w:val="0"/>
        </w:rPr>
        <w:t>antifungal group. Authors</w:t>
      </w:r>
      <w:r w:rsidR="0071223E">
        <w:rPr>
          <w:kern w:val="0"/>
        </w:rPr>
        <w:t>’</w:t>
      </w:r>
      <w:r>
        <w:rPr>
          <w:kern w:val="0"/>
        </w:rPr>
        <w:t xml:space="preserve"> conclusions On</w:t>
      </w:r>
      <w:r w:rsidR="003A1917">
        <w:rPr>
          <w:kern w:val="0"/>
        </w:rPr>
        <w:t xml:space="preserve"> the </w:t>
      </w:r>
      <w:r>
        <w:rPr>
          <w:kern w:val="0"/>
        </w:rPr>
        <w:t>basis</w:t>
      </w:r>
      <w:r w:rsidR="00427468">
        <w:rPr>
          <w:kern w:val="0"/>
        </w:rPr>
        <w:t xml:space="preserve"> of </w:t>
      </w:r>
      <w:r>
        <w:rPr>
          <w:kern w:val="0"/>
        </w:rPr>
        <w:t>this meta-analysis, there is no evidence to support</w:t>
      </w:r>
      <w:r w:rsidR="003A1917">
        <w:rPr>
          <w:kern w:val="0"/>
        </w:rPr>
        <w:t xml:space="preserve"> the </w:t>
      </w:r>
      <w:r>
        <w:rPr>
          <w:kern w:val="0"/>
        </w:rPr>
        <w:t>use</w:t>
      </w:r>
      <w:r w:rsidR="00427468">
        <w:rPr>
          <w:kern w:val="0"/>
        </w:rPr>
        <w:t xml:space="preserve"> of </w:t>
      </w:r>
      <w:r>
        <w:rPr>
          <w:kern w:val="0"/>
        </w:rPr>
        <w:t>either topical or systemic antifungal treatment in</w:t>
      </w:r>
      <w:r w:rsidR="003A1917">
        <w:rPr>
          <w:kern w:val="0"/>
        </w:rPr>
        <w:t xml:space="preserve"> the </w:t>
      </w:r>
      <w:r>
        <w:rPr>
          <w:kern w:val="0"/>
        </w:rPr>
        <w:t>management</w:t>
      </w:r>
      <w:r w:rsidR="00427468">
        <w:rPr>
          <w:kern w:val="0"/>
        </w:rPr>
        <w:t xml:space="preserve"> of </w:t>
      </w:r>
      <w:r>
        <w:rPr>
          <w:kern w:val="0"/>
        </w:rPr>
        <w:t>CRS.</w:t>
      </w:r>
    </w:p>
    <w:p w:rsidR="00EB3E6D" w:rsidRDefault="00EB3E6D" w:rsidP="00EB3E6D">
      <w:pPr>
        <w:pStyle w:val="a3"/>
        <w:rPr>
          <w:kern w:val="0"/>
        </w:rPr>
      </w:pPr>
      <w:r>
        <w:rPr>
          <w:kern w:val="0"/>
        </w:rPr>
        <w:t xml:space="preserve">Keywords: Analysis, Authors, Bias, Cochrane, Cr, Disorder, Effectiveness, Embase, Extraction, Fungus, Immune, Low, Management, Meta Analysis, Meta-Analysis, Nonparametric, Outcome, Outcomes, Pubmed, Rhinosinusitis, Risk, Science, Selection, Sinusitis, Surgery, Therapy, Treatment, </w:t>
      </w:r>
      <w:r w:rsidR="00D5664A">
        <w:rPr>
          <w:kern w:val="0"/>
        </w:rPr>
        <w:t>Web</w:t>
      </w:r>
      <w:r w:rsidR="00427468">
        <w:rPr>
          <w:kern w:val="0"/>
        </w:rPr>
        <w:t xml:space="preserve"> of </w:t>
      </w:r>
      <w:r w:rsidR="00D5664A">
        <w:rPr>
          <w:kern w:val="0"/>
        </w:rPr>
        <w:t>Science</w:t>
      </w:r>
    </w:p>
    <w:p w:rsidR="009D6D81" w:rsidRDefault="009D6D81" w:rsidP="009D6D81">
      <w:pPr>
        <w:pStyle w:val="a3"/>
        <w:rPr>
          <w:kern w:val="0"/>
        </w:rPr>
      </w:pPr>
      <w:r>
        <w:rPr>
          <w:rFonts w:hint="eastAsia"/>
          <w:kern w:val="0"/>
        </w:rPr>
        <w:t xml:space="preserve">? </w:t>
      </w:r>
      <w:r>
        <w:rPr>
          <w:kern w:val="0"/>
        </w:rPr>
        <w:t>Diakos, E.A., Gallos, I.D., El-Shunnar, S., Clarke, M., Kazi, R.</w:t>
      </w:r>
      <w:r w:rsidR="005853A9">
        <w:rPr>
          <w:kern w:val="0"/>
        </w:rPr>
        <w:t xml:space="preserve"> and </w:t>
      </w:r>
      <w:r>
        <w:rPr>
          <w:kern w:val="0"/>
        </w:rPr>
        <w:t>Mehanna, H. (2011), Dexamethasone reduces pain, vomiting</w:t>
      </w:r>
      <w:r w:rsidR="005853A9">
        <w:rPr>
          <w:kern w:val="0"/>
        </w:rPr>
        <w:t xml:space="preserve"> and </w:t>
      </w:r>
      <w:r>
        <w:rPr>
          <w:kern w:val="0"/>
        </w:rPr>
        <w:t>overall complications following tonsillectomy in adults: A systematic review</w:t>
      </w:r>
      <w:r w:rsidR="005853A9">
        <w:rPr>
          <w:kern w:val="0"/>
        </w:rPr>
        <w:t xml:space="preserve"> and </w:t>
      </w:r>
      <w:r>
        <w:rPr>
          <w:kern w:val="0"/>
        </w:rPr>
        <w:t>meta-analysis</w:t>
      </w:r>
      <w:r w:rsidR="00427468">
        <w:rPr>
          <w:kern w:val="0"/>
        </w:rPr>
        <w:t xml:space="preserve"> of </w:t>
      </w:r>
      <w:r>
        <w:rPr>
          <w:kern w:val="0"/>
        </w:rPr>
        <w:t xml:space="preserve">randomised controlled trials. </w:t>
      </w:r>
      <w:r>
        <w:rPr>
          <w:i/>
          <w:iCs/>
          <w:kern w:val="0"/>
        </w:rPr>
        <w:t>Clinical Otolaryngology</w:t>
      </w:r>
      <w:r>
        <w:rPr>
          <w:kern w:val="0"/>
        </w:rPr>
        <w:t xml:space="preserve">, </w:t>
      </w:r>
      <w:r>
        <w:rPr>
          <w:b/>
          <w:bCs/>
          <w:kern w:val="0"/>
        </w:rPr>
        <w:t>36</w:t>
      </w:r>
      <w:r>
        <w:rPr>
          <w:kern w:val="0"/>
        </w:rPr>
        <w:t xml:space="preserve"> (6), 531-542.</w:t>
      </w:r>
    </w:p>
    <w:p w:rsidR="009D6D81" w:rsidRPr="001A3D2B" w:rsidRDefault="009D6D81" w:rsidP="009D6D81">
      <w:pPr>
        <w:pStyle w:val="a3"/>
      </w:pPr>
      <w:r w:rsidRPr="001A3D2B">
        <w:t xml:space="preserve">Full Text: </w:t>
      </w:r>
      <w:hyperlink r:id="rId410" w:history="1">
        <w:r w:rsidRPr="00AE5B0C">
          <w:rPr>
            <w:rStyle w:val="a5"/>
          </w:rPr>
          <w:t>2011\Cli Oto All Sci36, 531.pdf</w:t>
        </w:r>
      </w:hyperlink>
    </w:p>
    <w:p w:rsidR="009D6D81" w:rsidRDefault="009D6D81" w:rsidP="009D6D81">
      <w:pPr>
        <w:pStyle w:val="a3"/>
        <w:rPr>
          <w:kern w:val="0"/>
        </w:rPr>
      </w:pPr>
      <w:r>
        <w:rPr>
          <w:kern w:val="0"/>
        </w:rPr>
        <w:t>Abstract: Background: Tonsillectomy is one</w:t>
      </w:r>
      <w:r w:rsidR="00427468">
        <w:rPr>
          <w:kern w:val="0"/>
        </w:rPr>
        <w:t xml:space="preserve"> of </w:t>
      </w:r>
      <w:r w:rsidR="003A1917">
        <w:rPr>
          <w:kern w:val="0"/>
        </w:rPr>
        <w:t xml:space="preserve">the </w:t>
      </w:r>
      <w:r>
        <w:rPr>
          <w:kern w:val="0"/>
        </w:rPr>
        <w:t>most common surgical procedures, but there is debate whether systemic steroids should be used to reduce pain</w:t>
      </w:r>
      <w:r w:rsidR="005853A9">
        <w:rPr>
          <w:kern w:val="0"/>
        </w:rPr>
        <w:t xml:space="preserve"> and </w:t>
      </w:r>
      <w:r>
        <w:rPr>
          <w:kern w:val="0"/>
        </w:rPr>
        <w:t>post-operative complications. Objective</w:t>
      </w:r>
      <w:r w:rsidR="00427468">
        <w:rPr>
          <w:kern w:val="0"/>
        </w:rPr>
        <w:t xml:space="preserve"> of </w:t>
      </w:r>
      <w:r>
        <w:rPr>
          <w:kern w:val="0"/>
        </w:rPr>
        <w:t>review: To determine whether perioperative steroids reduce post-tonsillectomy pain</w:t>
      </w:r>
      <w:r w:rsidR="005853A9">
        <w:rPr>
          <w:kern w:val="0"/>
        </w:rPr>
        <w:t xml:space="preserve"> and </w:t>
      </w:r>
      <w:r>
        <w:rPr>
          <w:kern w:val="0"/>
        </w:rPr>
        <w:t>complications in adults. Type</w:t>
      </w:r>
      <w:r w:rsidR="00427468">
        <w:rPr>
          <w:kern w:val="0"/>
        </w:rPr>
        <w:t xml:space="preserve"> of </w:t>
      </w:r>
      <w:r>
        <w:rPr>
          <w:kern w:val="0"/>
        </w:rPr>
        <w:t>review: Systematic review</w:t>
      </w:r>
      <w:r w:rsidR="005853A9">
        <w:rPr>
          <w:kern w:val="0"/>
        </w:rPr>
        <w:t xml:space="preserve"> and </w:t>
      </w:r>
      <w:r>
        <w:rPr>
          <w:kern w:val="0"/>
        </w:rPr>
        <w:t>meta-analysis</w:t>
      </w:r>
      <w:r w:rsidR="00427468">
        <w:rPr>
          <w:kern w:val="0"/>
        </w:rPr>
        <w:t xml:space="preserve"> of </w:t>
      </w:r>
      <w:r>
        <w:rPr>
          <w:kern w:val="0"/>
        </w:rPr>
        <w:t xml:space="preserve">randomised controlled trials. Search strategy: We searched </w:t>
      </w:r>
      <w:r w:rsidR="00D5664A">
        <w:rPr>
          <w:kern w:val="0"/>
        </w:rPr>
        <w:t>MEDLINE</w:t>
      </w:r>
      <w:r>
        <w:rPr>
          <w:kern w:val="0"/>
        </w:rPr>
        <w:t xml:space="preserve"> (1950-2010), EMBASE (1980-2010), CINAHL (1981-2010), </w:t>
      </w:r>
      <w:r w:rsidR="00D5664A">
        <w:rPr>
          <w:kern w:val="0"/>
        </w:rPr>
        <w:t>Web</w:t>
      </w:r>
      <w:r w:rsidR="00427468">
        <w:rPr>
          <w:kern w:val="0"/>
        </w:rPr>
        <w:t xml:space="preserve"> of </w:t>
      </w:r>
      <w:r w:rsidR="00D5664A">
        <w:rPr>
          <w:kern w:val="0"/>
        </w:rPr>
        <w:t>Science</w:t>
      </w:r>
      <w:r>
        <w:rPr>
          <w:kern w:val="0"/>
        </w:rPr>
        <w:t>, ProQuest, metaRegister, Conference Proceedings Citation Index,</w:t>
      </w:r>
      <w:r w:rsidR="003A1917">
        <w:rPr>
          <w:kern w:val="0"/>
        </w:rPr>
        <w:t xml:space="preserve"> the </w:t>
      </w:r>
      <w:r>
        <w:rPr>
          <w:kern w:val="0"/>
        </w:rPr>
        <w:t>Cochrane Library</w:t>
      </w:r>
      <w:r w:rsidR="005853A9">
        <w:rPr>
          <w:kern w:val="0"/>
        </w:rPr>
        <w:t xml:space="preserve"> and </w:t>
      </w:r>
      <w:r>
        <w:rPr>
          <w:kern w:val="0"/>
        </w:rPr>
        <w:t>reference lists</w:t>
      </w:r>
      <w:r w:rsidR="00427468">
        <w:rPr>
          <w:kern w:val="0"/>
        </w:rPr>
        <w:t xml:space="preserve"> of </w:t>
      </w:r>
      <w:r>
        <w:rPr>
          <w:kern w:val="0"/>
        </w:rPr>
        <w:t>relevant studies. Evaluation method: Two reviewers independently selected trials</w:t>
      </w:r>
      <w:r w:rsidR="005853A9">
        <w:rPr>
          <w:kern w:val="0"/>
        </w:rPr>
        <w:t xml:space="preserve"> and </w:t>
      </w:r>
      <w:r>
        <w:rPr>
          <w:kern w:val="0"/>
        </w:rPr>
        <w:t>extracted data on their quality, characteristics</w:t>
      </w:r>
      <w:r w:rsidR="005853A9">
        <w:rPr>
          <w:kern w:val="0"/>
        </w:rPr>
        <w:t xml:space="preserve"> and </w:t>
      </w:r>
      <w:r>
        <w:rPr>
          <w:kern w:val="0"/>
        </w:rPr>
        <w:t>results. Trials included adults (age &gt; 16 years) undergoing elective tonsillectomy where peri-operative steroids were used,</w:t>
      </w:r>
      <w:r w:rsidR="005853A9">
        <w:rPr>
          <w:kern w:val="0"/>
        </w:rPr>
        <w:t xml:space="preserve"> and </w:t>
      </w:r>
      <w:r w:rsidR="003A1917">
        <w:rPr>
          <w:kern w:val="0"/>
        </w:rPr>
        <w:t xml:space="preserve">the </w:t>
      </w:r>
      <w:r>
        <w:rPr>
          <w:kern w:val="0"/>
        </w:rPr>
        <w:t>results were compared with control or placebo. Results: There were seven randomised controlled trials (580 patients) reporting post-operative pain. Meta-analysis demonstrates that dexamethasone in adults reduces</w:t>
      </w:r>
      <w:r w:rsidR="003A1917">
        <w:rPr>
          <w:kern w:val="0"/>
        </w:rPr>
        <w:t xml:space="preserve"> the </w:t>
      </w:r>
      <w:r>
        <w:rPr>
          <w:kern w:val="0"/>
        </w:rPr>
        <w:t>pain level experienced in</w:t>
      </w:r>
      <w:r w:rsidR="003A1917">
        <w:rPr>
          <w:kern w:val="0"/>
        </w:rPr>
        <w:t xml:space="preserve"> the </w:t>
      </w:r>
      <w:r>
        <w:rPr>
          <w:kern w:val="0"/>
        </w:rPr>
        <w:t>first post-tonsillectomy day [standard mean difference (SMD): -0.63, 95% CI: -1.13 to -0.12] with significant heterogeneity (I(2) = 84%, P &lt; 0.00001). Sub-group analysis to explore heterogeneity demonstrated this reduction in pain was mostly with high total dose steroids (total &gt;10 mg over first 24 h postoperatively; SMD: -1.48, 95% CI: -2.17 to -0.79, P &lt; 0.00001), especially when given both intra-operatively</w:t>
      </w:r>
      <w:r w:rsidR="005853A9">
        <w:rPr>
          <w:kern w:val="0"/>
        </w:rPr>
        <w:t xml:space="preserve"> and </w:t>
      </w:r>
      <w:r>
        <w:rPr>
          <w:kern w:val="0"/>
        </w:rPr>
        <w:t>post-operatively</w:t>
      </w:r>
      <w:r w:rsidR="00A37C1D">
        <w:rPr>
          <w:kern w:val="0"/>
        </w:rPr>
        <w:t>. The</w:t>
      </w:r>
      <w:r>
        <w:rPr>
          <w:kern w:val="0"/>
        </w:rPr>
        <w:t xml:space="preserve">re was no significant effect </w:t>
      </w:r>
      <w:r>
        <w:rPr>
          <w:kern w:val="0"/>
        </w:rPr>
        <w:lastRenderedPageBreak/>
        <w:t>with low doses (SMD: -0.12, 95% CI: -0.36 to 0.13, P = 0.35)</w:t>
      </w:r>
      <w:r w:rsidR="00A37C1D">
        <w:rPr>
          <w:kern w:val="0"/>
        </w:rPr>
        <w:t>. The</w:t>
      </w:r>
      <w:r>
        <w:rPr>
          <w:kern w:val="0"/>
        </w:rPr>
        <w:t>re were three trials (231 patients) that reported post-operative nausea</w:t>
      </w:r>
      <w:r w:rsidR="005853A9">
        <w:rPr>
          <w:kern w:val="0"/>
        </w:rPr>
        <w:t xml:space="preserve"> and </w:t>
      </w:r>
      <w:r>
        <w:rPr>
          <w:kern w:val="0"/>
        </w:rPr>
        <w:t>vomiting, three other trials (270 patients) reporting on bleeding</w:t>
      </w:r>
      <w:r w:rsidR="005853A9">
        <w:rPr>
          <w:kern w:val="0"/>
        </w:rPr>
        <w:t xml:space="preserve"> and </w:t>
      </w:r>
      <w:r>
        <w:rPr>
          <w:kern w:val="0"/>
        </w:rPr>
        <w:t>three trials (401 patients) reporting other complications (infections</w:t>
      </w:r>
      <w:r w:rsidR="005853A9">
        <w:rPr>
          <w:kern w:val="0"/>
        </w:rPr>
        <w:t xml:space="preserve"> and </w:t>
      </w:r>
      <w:r>
        <w:rPr>
          <w:kern w:val="0"/>
        </w:rPr>
        <w:t>odynophagia)</w:t>
      </w:r>
      <w:r w:rsidR="00A37C1D">
        <w:rPr>
          <w:kern w:val="0"/>
        </w:rPr>
        <w:t>. The</w:t>
      </w:r>
      <w:r>
        <w:rPr>
          <w:kern w:val="0"/>
        </w:rPr>
        <w:t>re was a significant reduction in post-operative nausea</w:t>
      </w:r>
      <w:r w:rsidR="005853A9">
        <w:rPr>
          <w:kern w:val="0"/>
        </w:rPr>
        <w:t xml:space="preserve"> and </w:t>
      </w:r>
      <w:r>
        <w:rPr>
          <w:kern w:val="0"/>
        </w:rPr>
        <w:t>vomiting (RR: 0.53, 95% CI: 0.36 to 0.80, P = 0.002, I(2) = 26%)</w:t>
      </w:r>
      <w:r w:rsidR="005853A9">
        <w:rPr>
          <w:kern w:val="0"/>
        </w:rPr>
        <w:t xml:space="preserve"> and </w:t>
      </w:r>
      <w:r>
        <w:rPr>
          <w:kern w:val="0"/>
        </w:rPr>
        <w:t>bleeding (RR: 0.45, 95% CI: 0.25 to 0.80, P = 0.007, I(2) = 0%), but</w:t>
      </w:r>
      <w:r w:rsidR="003A1917">
        <w:rPr>
          <w:kern w:val="0"/>
        </w:rPr>
        <w:t xml:space="preserve"> the </w:t>
      </w:r>
      <w:r>
        <w:rPr>
          <w:kern w:val="0"/>
        </w:rPr>
        <w:t>reduction in</w:t>
      </w:r>
      <w:r w:rsidR="003A1917">
        <w:rPr>
          <w:kern w:val="0"/>
        </w:rPr>
        <w:t xml:space="preserve"> the </w:t>
      </w:r>
      <w:r>
        <w:rPr>
          <w:kern w:val="0"/>
        </w:rPr>
        <w:t>other complications did not reach statistical significance (RR: 0.69, 95% CI: 0.48 to 1.01, P = 0.06, I(2) = 0%). Pooling</w:t>
      </w:r>
      <w:r w:rsidR="00427468">
        <w:rPr>
          <w:kern w:val="0"/>
        </w:rPr>
        <w:t xml:space="preserve"> of </w:t>
      </w:r>
      <w:r>
        <w:rPr>
          <w:kern w:val="0"/>
        </w:rPr>
        <w:t>these complications (postoperative nausea</w:t>
      </w:r>
      <w:r w:rsidR="005853A9">
        <w:rPr>
          <w:kern w:val="0"/>
        </w:rPr>
        <w:t xml:space="preserve"> and </w:t>
      </w:r>
      <w:r>
        <w:rPr>
          <w:kern w:val="0"/>
        </w:rPr>
        <w:t>vomiting, bleeding, infections</w:t>
      </w:r>
      <w:r w:rsidR="005853A9">
        <w:rPr>
          <w:kern w:val="0"/>
        </w:rPr>
        <w:t xml:space="preserve"> and </w:t>
      </w:r>
      <w:r>
        <w:rPr>
          <w:kern w:val="0"/>
        </w:rPr>
        <w:t>odynophagia) shows that in six trials (501 patients</w:t>
      </w:r>
      <w:r w:rsidR="00F42EAC">
        <w:rPr>
          <w:kern w:val="0"/>
        </w:rPr>
        <w:t>), The</w:t>
      </w:r>
      <w:r w:rsidR="003A1917">
        <w:rPr>
          <w:kern w:val="0"/>
        </w:rPr>
        <w:t xml:space="preserve"> </w:t>
      </w:r>
      <w:r>
        <w:rPr>
          <w:kern w:val="0"/>
        </w:rPr>
        <w:t>use</w:t>
      </w:r>
      <w:r w:rsidR="00427468">
        <w:rPr>
          <w:kern w:val="0"/>
        </w:rPr>
        <w:t xml:space="preserve"> of </w:t>
      </w:r>
      <w:r>
        <w:rPr>
          <w:kern w:val="0"/>
        </w:rPr>
        <w:t>dexamethasone significantly reduced post-operative complications following tonsillectomy in adults (RR: 0.59, 95% CI: 0.49 to 0.71, P &lt; 0.00001, I(2) = 0%), when compared with placebo or control. Conclusions: Dexamethasone reduces pain, postoperative nausea</w:t>
      </w:r>
      <w:r w:rsidR="005853A9">
        <w:rPr>
          <w:kern w:val="0"/>
        </w:rPr>
        <w:t xml:space="preserve"> and </w:t>
      </w:r>
      <w:r>
        <w:rPr>
          <w:kern w:val="0"/>
        </w:rPr>
        <w:t>vomiting, bleeding</w:t>
      </w:r>
      <w:r w:rsidR="005853A9">
        <w:rPr>
          <w:kern w:val="0"/>
        </w:rPr>
        <w:t xml:space="preserve"> and </w:t>
      </w:r>
      <w:r>
        <w:rPr>
          <w:kern w:val="0"/>
        </w:rPr>
        <w:t>overall postoperative complications in adults undergoing tonsillectomy. However,</w:t>
      </w:r>
      <w:r w:rsidR="003A1917">
        <w:rPr>
          <w:kern w:val="0"/>
        </w:rPr>
        <w:t xml:space="preserve"> the </w:t>
      </w:r>
      <w:r>
        <w:rPr>
          <w:kern w:val="0"/>
        </w:rPr>
        <w:t>effect</w:t>
      </w:r>
      <w:r w:rsidR="00427468">
        <w:rPr>
          <w:kern w:val="0"/>
        </w:rPr>
        <w:t xml:space="preserve"> of </w:t>
      </w:r>
      <w:r w:rsidR="003A1917">
        <w:rPr>
          <w:kern w:val="0"/>
        </w:rPr>
        <w:t xml:space="preserve">the </w:t>
      </w:r>
      <w:r>
        <w:rPr>
          <w:kern w:val="0"/>
        </w:rPr>
        <w:t>dose</w:t>
      </w:r>
      <w:r w:rsidR="00427468">
        <w:rPr>
          <w:kern w:val="0"/>
        </w:rPr>
        <w:t xml:space="preserve"> of </w:t>
      </w:r>
      <w:r>
        <w:rPr>
          <w:kern w:val="0"/>
        </w:rPr>
        <w:t>dexamethasone on post-operative pain</w:t>
      </w:r>
      <w:r w:rsidR="005853A9">
        <w:rPr>
          <w:kern w:val="0"/>
        </w:rPr>
        <w:t xml:space="preserve"> and </w:t>
      </w:r>
      <w:r>
        <w:rPr>
          <w:kern w:val="0"/>
        </w:rPr>
        <w:t>whether dexamethasone reduces bleeding require further research.</w:t>
      </w:r>
    </w:p>
    <w:p w:rsidR="009D6D81" w:rsidRDefault="009D6D81" w:rsidP="009D6D81">
      <w:pPr>
        <w:pStyle w:val="a3"/>
        <w:rPr>
          <w:kern w:val="0"/>
        </w:rPr>
      </w:pPr>
      <w:r>
        <w:rPr>
          <w:kern w:val="0"/>
        </w:rPr>
        <w:t xml:space="preserve">Keywords: Adults, Analysis, Citation, Cochrane, Complications, Conference, Control, Double-Blind, Embase, Evaluation, Low, </w:t>
      </w:r>
      <w:r w:rsidR="00D5664A">
        <w:rPr>
          <w:kern w:val="0"/>
        </w:rPr>
        <w:t>MEDLINE</w:t>
      </w:r>
      <w:r>
        <w:rPr>
          <w:kern w:val="0"/>
        </w:rPr>
        <w:t xml:space="preserve">, Meta Analysis, Meta-Analysis, Nausea, Pain, Patients, Postoperative Complications, Quality, Reduction, Research, Review, Risk, Science, Search Strategy, Statistical, Steroid-Therapy, Strategy, Surgical, Systematic, Systematic Review,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3474F2" w:rsidRPr="001A3D2B" w:rsidRDefault="003474F2" w:rsidP="003474F2">
      <w:pPr>
        <w:pStyle w:val="1"/>
      </w:pPr>
      <w:r w:rsidRPr="001A3D2B">
        <w:br w:type="page"/>
      </w:r>
      <w:bookmarkStart w:id="303" w:name="_Toc420815043"/>
      <w:r w:rsidRPr="001A3D2B">
        <w:lastRenderedPageBreak/>
        <w:t>Title: Clinical Physiology</w:t>
      </w:r>
      <w:bookmarkEnd w:id="303"/>
    </w:p>
    <w:p w:rsidR="003474F2" w:rsidRPr="001A3D2B" w:rsidRDefault="003474F2" w:rsidP="003474F2">
      <w:pPr>
        <w:pStyle w:val="12"/>
      </w:pPr>
      <w:r w:rsidRPr="001A3D2B">
        <w:t xml:space="preserve">Full Journal Title: </w:t>
      </w:r>
      <w:r w:rsidR="00DF61FE">
        <w:fldChar w:fldCharType="begin"/>
      </w:r>
      <w:r w:rsidR="00FD158B">
        <w:instrText>HYPERLINK "http://www.blackwel</w:instrText>
      </w:r>
      <w:bookmarkStart w:id="304" w:name="_Toc43634559"/>
      <w:bookmarkStart w:id="305" w:name="_Toc81215676"/>
      <w:r w:rsidR="00FD158B">
        <w:instrText>l-synergy.com/loi/cpf.1"</w:instrText>
      </w:r>
      <w:r w:rsidR="00DF61FE">
        <w:fldChar w:fldCharType="separate"/>
      </w:r>
      <w:r w:rsidRPr="001A3D2B">
        <w:rPr>
          <w:rStyle w:val="a5"/>
        </w:rPr>
        <w:t>C</w:t>
      </w:r>
      <w:bookmarkEnd w:id="304"/>
      <w:bookmarkEnd w:id="305"/>
      <w:r w:rsidRPr="001A3D2B">
        <w:rPr>
          <w:rStyle w:val="a5"/>
        </w:rPr>
        <w:t>linical Physiology</w:t>
      </w:r>
      <w:r w:rsidR="00DF61FE">
        <w:fldChar w:fldCharType="end"/>
      </w:r>
    </w:p>
    <w:p w:rsidR="003474F2" w:rsidRPr="001A3D2B" w:rsidRDefault="003474F2" w:rsidP="003474F2">
      <w:pPr>
        <w:pStyle w:val="12"/>
      </w:pPr>
      <w:r w:rsidRPr="001A3D2B">
        <w:t>ISO Abbreviated Title: Clin. Physiol.</w:t>
      </w:r>
    </w:p>
    <w:p w:rsidR="003474F2" w:rsidRPr="001A3D2B" w:rsidRDefault="003474F2" w:rsidP="003474F2">
      <w:pPr>
        <w:pStyle w:val="12"/>
      </w:pPr>
      <w:r w:rsidRPr="001A3D2B">
        <w:t>JCR Abbreviated Title: Clin Physiol</w:t>
      </w:r>
    </w:p>
    <w:p w:rsidR="003474F2" w:rsidRPr="001A3D2B" w:rsidRDefault="003474F2" w:rsidP="003474F2">
      <w:pPr>
        <w:pStyle w:val="12"/>
      </w:pPr>
      <w:r w:rsidRPr="001A3D2B">
        <w:t>ISSN: 0144-5979</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Science Ltd</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 O Box</w:t>
          </w:r>
        </w:smartTag>
        <w:r w:rsidRPr="001A3D2B">
          <w:t xml:space="preserve"> 88</w:t>
        </w:r>
      </w:smartTag>
      <w:r w:rsidRPr="001A3D2B">
        <w:t xml:space="preserve">, Osney Mead, </w:t>
      </w:r>
      <w:smartTag w:uri="urn:schemas-microsoft-com:office:smarttags" w:element="City">
        <w:r w:rsidRPr="001A3D2B">
          <w:t>Oxford</w:t>
        </w:r>
      </w:smartTag>
      <w:r w:rsidRPr="001A3D2B">
        <w:t xml:space="preserve"> OX2 0NE, </w:t>
      </w:r>
      <w:smartTag w:uri="urn:schemas-microsoft-com:office:smarttags" w:element="place">
        <w:smartTag w:uri="urn:schemas-microsoft-com:office:smarttags" w:element="City">
          <w:r w:rsidRPr="001A3D2B">
            <w:t>Oxon</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Physiology: Impact Factor 1.104,/(2001)</w:t>
      </w:r>
    </w:p>
    <w:p w:rsidR="003474F2" w:rsidRPr="001A3D2B" w:rsidRDefault="003474F2" w:rsidP="003474F2">
      <w:pPr>
        <w:pStyle w:val="a3"/>
      </w:pPr>
      <w:r w:rsidRPr="001A3D2B">
        <w:t>Notes: TTopic</w:t>
      </w:r>
    </w:p>
    <w:p w:rsidR="003474F2" w:rsidRPr="001A3D2B" w:rsidRDefault="003474F2" w:rsidP="003474F2">
      <w:pPr>
        <w:pStyle w:val="a3"/>
      </w:pPr>
      <w:r w:rsidRPr="001A3D2B">
        <w:t>? Hansen, H.B., Brinch, K.</w:t>
      </w:r>
      <w:r w:rsidR="005853A9">
        <w:t xml:space="preserve"> and </w:t>
      </w:r>
      <w:r w:rsidRPr="001A3D2B">
        <w:t>Henriksen, J.H. (1996), Scientific publications from departments</w:t>
      </w:r>
      <w:r w:rsidR="00427468">
        <w:t xml:space="preserve"> of </w:t>
      </w:r>
      <w:r w:rsidRPr="001A3D2B">
        <w:t>clinical physiology</w:t>
      </w:r>
      <w:r w:rsidR="005853A9">
        <w:t xml:space="preserve"> and </w:t>
      </w:r>
      <w:r w:rsidRPr="001A3D2B">
        <w:t xml:space="preserve">nuclear medicine in </w:t>
      </w:r>
      <w:smartTag w:uri="urn:schemas-microsoft-com:office:smarttags" w:element="place">
        <w:smartTag w:uri="urn:schemas-microsoft-com:office:smarttags" w:element="country-region">
          <w:r w:rsidRPr="001A3D2B">
            <w:t>Denmark</w:t>
          </w:r>
        </w:smartTag>
      </w:smartTag>
      <w:r w:rsidRPr="001A3D2B">
        <w:t>. A bibliometric analysis</w:t>
      </w:r>
      <w:r w:rsidR="00427468">
        <w:t xml:space="preserve"> of </w:t>
      </w:r>
      <w:r w:rsidR="0071223E">
        <w:t>‘</w:t>
      </w:r>
      <w:r w:rsidRPr="001A3D2B">
        <w:t>impact</w:t>
      </w:r>
      <w:r w:rsidR="0071223E">
        <w:t>’</w:t>
      </w:r>
      <w:r w:rsidRPr="001A3D2B">
        <w:t xml:space="preserve"> in</w:t>
      </w:r>
      <w:r w:rsidR="003A1917">
        <w:t xml:space="preserve"> the </w:t>
      </w:r>
      <w:r w:rsidRPr="001A3D2B">
        <w:t xml:space="preserve">years 1989-1994. </w:t>
      </w:r>
      <w:r w:rsidRPr="001A3D2B">
        <w:rPr>
          <w:i/>
          <w:iCs/>
        </w:rPr>
        <w:t>Clinical Physiology</w:t>
      </w:r>
      <w:r w:rsidRPr="001A3D2B">
        <w:t xml:space="preserve">, </w:t>
      </w:r>
      <w:r w:rsidRPr="001A3D2B">
        <w:rPr>
          <w:b/>
        </w:rPr>
        <w:t>16</w:t>
      </w:r>
      <w:r w:rsidRPr="001A3D2B">
        <w:t xml:space="preserve"> (5), 507-519.</w:t>
      </w:r>
    </w:p>
    <w:p w:rsidR="002D7AB6" w:rsidRPr="001A3D2B" w:rsidRDefault="002D7AB6" w:rsidP="002D7AB6">
      <w:pPr>
        <w:pStyle w:val="a3"/>
      </w:pPr>
      <w:r w:rsidRPr="001A3D2B">
        <w:t xml:space="preserve">Full Text: </w:t>
      </w:r>
      <w:hyperlink r:id="rId411" w:history="1">
        <w:r w:rsidRPr="001A3D2B">
          <w:rPr>
            <w:rStyle w:val="a5"/>
          </w:rPr>
          <w:t>1996\Cli Phy16, 507.pdf</w:t>
        </w:r>
      </w:hyperlink>
    </w:p>
    <w:p w:rsidR="003474F2" w:rsidRPr="001A3D2B" w:rsidRDefault="003474F2" w:rsidP="003474F2">
      <w:pPr>
        <w:pStyle w:val="a3"/>
      </w:pPr>
      <w:r w:rsidRPr="001A3D2B">
        <w:t>Abstract: This study reports a bibliometric analysis</w:t>
      </w:r>
      <w:r w:rsidR="00427468">
        <w:t xml:space="preserve"> of </w:t>
      </w:r>
      <w:r w:rsidRPr="001A3D2B">
        <w:t>scientific publications emanating from departments</w:t>
      </w:r>
      <w:r w:rsidR="00427468">
        <w:t xml:space="preserve"> of </w:t>
      </w:r>
      <w:r w:rsidRPr="001A3D2B">
        <w:t>clinical physiology</w:t>
      </w:r>
      <w:r w:rsidR="005853A9">
        <w:t xml:space="preserve"> and </w:t>
      </w:r>
      <w:r w:rsidRPr="001A3D2B">
        <w:t xml:space="preserve">nuclear medicine, </w:t>
      </w:r>
      <w:smartTag w:uri="urn:schemas-microsoft-com:office:smarttags" w:element="place">
        <w:smartTag w:uri="urn:schemas-microsoft-com:office:smarttags" w:element="country-region">
          <w:r w:rsidRPr="001A3D2B">
            <w:t>Denmark</w:t>
          </w:r>
        </w:smartTag>
      </w:smartTag>
      <w:r w:rsidRPr="001A3D2B">
        <w:t>, during</w:t>
      </w:r>
      <w:r w:rsidR="003A1917">
        <w:t xml:space="preserve"> the </w:t>
      </w:r>
      <w:r w:rsidRPr="001A3D2B">
        <w:t>years 1989-1994</w:t>
      </w:r>
      <w:r w:rsidR="00A37C1D">
        <w:t>. The</w:t>
      </w:r>
      <w:r w:rsidR="003A1917">
        <w:t xml:space="preserve"> </w:t>
      </w:r>
      <w:r w:rsidRPr="001A3D2B">
        <w:t>total number</w:t>
      </w:r>
      <w:r w:rsidR="00427468">
        <w:t xml:space="preserve"> of </w:t>
      </w:r>
      <w:r w:rsidRPr="001A3D2B">
        <w:t>publications during this period was 860 (763 scientific journal papers, 71 book/book chapters</w:t>
      </w:r>
      <w:r w:rsidR="005853A9">
        <w:t xml:space="preserve"> and </w:t>
      </w:r>
      <w:r w:rsidRPr="001A3D2B">
        <w:t>26 theses). Whereas</w:t>
      </w:r>
      <w:r w:rsidR="003A1917">
        <w:t xml:space="preserve"> the </w:t>
      </w:r>
      <w:r w:rsidRPr="001A3D2B">
        <w:t>number</w:t>
      </w:r>
      <w:r w:rsidR="00427468">
        <w:t xml:space="preserve"> of </w:t>
      </w:r>
      <w:r w:rsidRPr="001A3D2B">
        <w:t>publications per year (188-113) decreased significantly with time (r = -0.94, P &lt; 0.02</w:t>
      </w:r>
      <w:r w:rsidR="00F42EAC">
        <w:t>), The</w:t>
      </w:r>
      <w:r w:rsidR="003A1917">
        <w:t xml:space="preserve"> </w:t>
      </w:r>
      <w:r w:rsidRPr="001A3D2B">
        <w:t>number</w:t>
      </w:r>
      <w:r w:rsidR="00427468">
        <w:t xml:space="preserve"> of </w:t>
      </w:r>
      <w:r w:rsidRPr="001A3D2B">
        <w:t>authors (mean 4.1) was almost constant over time. University/university-related departments accounted for 96%</w:t>
      </w:r>
      <w:r w:rsidR="00427468">
        <w:t xml:space="preserve"> of </w:t>
      </w:r>
      <w:r w:rsidR="003A1917">
        <w:t xml:space="preserve">the </w:t>
      </w:r>
      <w:r w:rsidRPr="001A3D2B">
        <w:t>papers. Only 8%</w:t>
      </w:r>
      <w:r w:rsidR="00427468">
        <w:t xml:space="preserve"> of </w:t>
      </w:r>
      <w:r w:rsidR="003A1917">
        <w:t xml:space="preserve">the </w:t>
      </w:r>
      <w:r w:rsidRPr="001A3D2B">
        <w:t>papers resulted from a collaboration between two or more departments</w:t>
      </w:r>
      <w:r w:rsidR="00427468">
        <w:t xml:space="preserve"> of </w:t>
      </w:r>
      <w:r w:rsidRPr="001A3D2B">
        <w:t>clinical physiology</w:t>
      </w:r>
      <w:r w:rsidR="005853A9">
        <w:t xml:space="preserve"> and </w:t>
      </w:r>
      <w:r w:rsidRPr="001A3D2B">
        <w:t>nuclear medicine, but</w:t>
      </w:r>
      <w:r w:rsidR="003A1917">
        <w:t xml:space="preserve"> the </w:t>
      </w:r>
      <w:r w:rsidRPr="001A3D2B">
        <w:t>collaboration with other medical specialities</w:t>
      </w:r>
      <w:r w:rsidR="005853A9">
        <w:t xml:space="preserve"> and </w:t>
      </w:r>
      <w:r w:rsidRPr="001A3D2B">
        <w:t>institutions was much greater (85%)</w:t>
      </w:r>
      <w:r w:rsidR="00A37C1D">
        <w:t>. The</w:t>
      </w:r>
      <w:r w:rsidR="003A1917">
        <w:t xml:space="preserve"> </w:t>
      </w:r>
      <w:r w:rsidRPr="001A3D2B">
        <w:t xml:space="preserve">763 papers were published in 239 different scientific journals, 80% in journals with an official </w:t>
      </w:r>
      <w:r w:rsidR="0071223E">
        <w:t>‘</w:t>
      </w:r>
      <w:r w:rsidRPr="001A3D2B">
        <w:t>impact factor</w:t>
      </w:r>
      <w:r w:rsidR="0071223E">
        <w:t>’</w:t>
      </w:r>
      <w:r w:rsidRPr="001A3D2B">
        <w:t>, a bibliometric measure</w:t>
      </w:r>
      <w:r w:rsidR="00427468">
        <w:t xml:space="preserve"> of </w:t>
      </w:r>
      <w:r w:rsidRPr="001A3D2B">
        <w:t>quality (the average number</w:t>
      </w:r>
      <w:r w:rsidR="00427468">
        <w:t xml:space="preserve"> of </w:t>
      </w:r>
      <w:r w:rsidRPr="001A3D2B">
        <w:t>times a paper is cited in a journal in</w:t>
      </w:r>
      <w:r w:rsidR="003A1917">
        <w:t xml:space="preserve"> the </w:t>
      </w:r>
      <w:r w:rsidRPr="001A3D2B">
        <w:t>publishing year</w:t>
      </w:r>
      <w:r w:rsidR="005853A9">
        <w:t xml:space="preserve"> and </w:t>
      </w:r>
      <w:r w:rsidR="003A1917">
        <w:t xml:space="preserve">the </w:t>
      </w:r>
      <w:r w:rsidRPr="001A3D2B">
        <w:t>subsequent year). Twenty per cent (20%)</w:t>
      </w:r>
      <w:r w:rsidR="005853A9">
        <w:t xml:space="preserve"> and </w:t>
      </w:r>
      <w:r w:rsidRPr="001A3D2B">
        <w:t>8.4% were printed in journals with an impact factor, respectively,</w:t>
      </w:r>
      <w:r w:rsidR="00427468">
        <w:t xml:space="preserve"> of </w:t>
      </w:r>
      <w:r w:rsidRPr="001A3D2B">
        <w:t>above 2.1 (the 500 journals most cited)</w:t>
      </w:r>
      <w:r w:rsidR="005853A9">
        <w:t xml:space="preserve"> and </w:t>
      </w:r>
      <w:r w:rsidRPr="001A3D2B">
        <w:t>3.7 (the 200 most cited), which is significantly above</w:t>
      </w:r>
      <w:r w:rsidR="003A1917">
        <w:t xml:space="preserve"> the </w:t>
      </w:r>
      <w:r w:rsidRPr="001A3D2B">
        <w:t>national average (16.6%</w:t>
      </w:r>
      <w:r w:rsidR="005853A9">
        <w:t xml:space="preserve"> and </w:t>
      </w:r>
      <w:r w:rsidRPr="001A3D2B">
        <w:t>6.0%, P &lt; 0.001)</w:t>
      </w:r>
      <w:r w:rsidR="00A37C1D">
        <w:t>. The</w:t>
      </w:r>
      <w:r w:rsidR="003A1917">
        <w:t xml:space="preserve"> </w:t>
      </w:r>
      <w:r w:rsidR="0071223E">
        <w:t>‘</w:t>
      </w:r>
      <w:r w:rsidRPr="001A3D2B">
        <w:t>cumulated impact</w:t>
      </w:r>
      <w:r w:rsidR="0071223E">
        <w:t>’</w:t>
      </w:r>
      <w:r w:rsidRPr="001A3D2B">
        <w:t xml:space="preserve"> (i.e</w:t>
      </w:r>
      <w:r w:rsidR="00A37C1D">
        <w:t>. The</w:t>
      </w:r>
      <w:r w:rsidR="003A1917">
        <w:t xml:space="preserve"> </w:t>
      </w:r>
      <w:r w:rsidRPr="001A3D2B">
        <w:t>impact</w:t>
      </w:r>
      <w:r w:rsidR="00427468">
        <w:t xml:space="preserve"> of </w:t>
      </w:r>
      <w:r w:rsidRPr="001A3D2B">
        <w:t>all papers) showed a borderline significant decrease over time (r = -0.77, P = 0.1), whereas</w:t>
      </w:r>
      <w:r w:rsidR="003A1917">
        <w:t xml:space="preserve"> the </w:t>
      </w:r>
      <w:r w:rsidRPr="001A3D2B">
        <w:t>average impact per paper (1.53) remained almost constant</w:t>
      </w:r>
      <w:r w:rsidR="005853A9">
        <w:t xml:space="preserve"> and </w:t>
      </w:r>
      <w:r w:rsidRPr="001A3D2B">
        <w:t>was significantly above</w:t>
      </w:r>
      <w:r w:rsidR="003A1917">
        <w:t xml:space="preserve"> the </w:t>
      </w:r>
      <w:r w:rsidRPr="001A3D2B">
        <w:t>national average (1.10, P &lt; 0.001). A close relationship was found between</w:t>
      </w:r>
      <w:r w:rsidR="003A1917">
        <w:t xml:space="preserve"> the </w:t>
      </w:r>
      <w:r w:rsidRPr="001A3D2B">
        <w:t>number</w:t>
      </w:r>
      <w:r w:rsidR="00427468">
        <w:t xml:space="preserve"> of </w:t>
      </w:r>
      <w:r w:rsidRPr="001A3D2B">
        <w:t>papers from a department</w:t>
      </w:r>
      <w:r w:rsidR="005853A9">
        <w:t xml:space="preserve"> and </w:t>
      </w:r>
      <w:r w:rsidRPr="001A3D2B">
        <w:t xml:space="preserve">its cumulated </w:t>
      </w:r>
      <w:r w:rsidRPr="001A3D2B">
        <w:lastRenderedPageBreak/>
        <w:t>impact (r = -0.97, P &lt; 0.001).</w:t>
      </w:r>
    </w:p>
    <w:p w:rsidR="003474F2" w:rsidRPr="001A3D2B" w:rsidRDefault="003474F2" w:rsidP="003474F2">
      <w:pPr>
        <w:pStyle w:val="a3"/>
      </w:pPr>
      <w:r w:rsidRPr="001A3D2B">
        <w:t>It is concluded that</w:t>
      </w:r>
      <w:r w:rsidR="003A1917">
        <w:t xml:space="preserve"> the </w:t>
      </w:r>
      <w:r w:rsidRPr="001A3D2B">
        <w:t>total number</w:t>
      </w:r>
      <w:r w:rsidR="00427468">
        <w:t xml:space="preserve"> of </w:t>
      </w:r>
      <w:r w:rsidRPr="001A3D2B">
        <w:t>scientific papers from Danish departments</w:t>
      </w:r>
      <w:r w:rsidR="00427468">
        <w:t xml:space="preserve"> of </w:t>
      </w:r>
      <w:r w:rsidRPr="001A3D2B">
        <w:t>clinical physiology</w:t>
      </w:r>
      <w:r w:rsidR="005853A9">
        <w:t xml:space="preserve"> and </w:t>
      </w:r>
      <w:r w:rsidRPr="001A3D2B">
        <w:t>nuclear medicine fell in</w:t>
      </w:r>
      <w:r w:rsidR="003A1917">
        <w:t xml:space="preserve"> the </w:t>
      </w:r>
      <w:r w:rsidRPr="001A3D2B">
        <w:t>period, whereas</w:t>
      </w:r>
      <w:r w:rsidR="003A1917">
        <w:t xml:space="preserve"> the </w:t>
      </w:r>
      <w:r w:rsidRPr="001A3D2B">
        <w:t>volume</w:t>
      </w:r>
      <w:r w:rsidR="00427468">
        <w:t xml:space="preserve"> of </w:t>
      </w:r>
      <w:r w:rsidRPr="001A3D2B">
        <w:t>quality, as assessed on</w:t>
      </w:r>
      <w:r w:rsidR="003A1917">
        <w:t xml:space="preserve"> the </w:t>
      </w:r>
      <w:r w:rsidRPr="001A3D2B">
        <w:t>cumulated impact, only fell with borderline significance,</w:t>
      </w:r>
      <w:r w:rsidR="005853A9">
        <w:t xml:space="preserve"> and </w:t>
      </w:r>
      <w:r w:rsidR="003A1917">
        <w:t xml:space="preserve">the </w:t>
      </w:r>
      <w:r w:rsidRPr="001A3D2B">
        <w:t>impact per paper was almost constant from 1989 to 1994,</w:t>
      </w:r>
      <w:r w:rsidR="005853A9">
        <w:t xml:space="preserve"> and </w:t>
      </w:r>
      <w:r w:rsidRPr="001A3D2B">
        <w:t>was above</w:t>
      </w:r>
      <w:r w:rsidR="003A1917">
        <w:t xml:space="preserve"> the </w:t>
      </w:r>
      <w:r w:rsidRPr="001A3D2B">
        <w:t>national average.</w:t>
      </w:r>
    </w:p>
    <w:p w:rsidR="003474F2" w:rsidRPr="001A3D2B" w:rsidRDefault="003474F2" w:rsidP="003474F2">
      <w:pPr>
        <w:pStyle w:val="a3"/>
      </w:pPr>
      <w:r w:rsidRPr="001A3D2B">
        <w:t>Keywords: Clinical Physiology, Impact Factor, Nuclear Medicine, Research Evaluation, Science</w:t>
      </w:r>
    </w:p>
    <w:p w:rsidR="003474F2" w:rsidRPr="001A3D2B" w:rsidRDefault="003474F2" w:rsidP="003474F2">
      <w:pPr>
        <w:pStyle w:val="a3"/>
      </w:pPr>
      <w:r w:rsidRPr="001A3D2B">
        <w:t>? Hansen, H.B.</w:t>
      </w:r>
      <w:r w:rsidR="005853A9">
        <w:t xml:space="preserve"> and </w:t>
      </w:r>
      <w:r w:rsidRPr="001A3D2B">
        <w:t xml:space="preserve">Henriksen, J.H. (1997), How well does journal </w:t>
      </w:r>
      <w:r w:rsidR="0071223E">
        <w:t>‘</w:t>
      </w:r>
      <w:r w:rsidRPr="001A3D2B">
        <w:t>impact</w:t>
      </w:r>
      <w:r w:rsidR="0071223E">
        <w:t>’</w:t>
      </w:r>
      <w:r w:rsidRPr="001A3D2B">
        <w:t xml:space="preserve"> work in</w:t>
      </w:r>
      <w:r w:rsidR="003A1917">
        <w:t xml:space="preserve"> the </w:t>
      </w:r>
      <w:r w:rsidRPr="001A3D2B">
        <w:t>assessment</w:t>
      </w:r>
      <w:r w:rsidR="00427468">
        <w:t xml:space="preserve"> of </w:t>
      </w:r>
      <w:r w:rsidRPr="001A3D2B">
        <w:t>papers on clinical physiology</w:t>
      </w:r>
      <w:r w:rsidR="005853A9">
        <w:t xml:space="preserve"> and </w:t>
      </w:r>
      <w:r w:rsidRPr="001A3D2B">
        <w:t xml:space="preserve">nuclear medicine. </w:t>
      </w:r>
      <w:r w:rsidRPr="001A3D2B">
        <w:rPr>
          <w:i/>
        </w:rPr>
        <w:t xml:space="preserve">Clinical </w:t>
      </w:r>
      <w:r w:rsidRPr="001A3D2B">
        <w:rPr>
          <w:i/>
          <w:iCs/>
        </w:rPr>
        <w:t>Physiology</w:t>
      </w:r>
      <w:r w:rsidRPr="001A3D2B">
        <w:t xml:space="preserve">, </w:t>
      </w:r>
      <w:r w:rsidRPr="001A3D2B">
        <w:rPr>
          <w:b/>
        </w:rPr>
        <w:t>17</w:t>
      </w:r>
      <w:r w:rsidRPr="001A3D2B">
        <w:t>, 409-418.</w:t>
      </w:r>
    </w:p>
    <w:p w:rsidR="003474F2" w:rsidRPr="001A3D2B" w:rsidRDefault="003474F2" w:rsidP="003474F2">
      <w:pPr>
        <w:pStyle w:val="a3"/>
      </w:pPr>
      <w:r w:rsidRPr="001A3D2B">
        <w:t xml:space="preserve">Full Text: </w:t>
      </w:r>
      <w:hyperlink r:id="rId412" w:history="1">
        <w:r w:rsidRPr="001A3D2B">
          <w:rPr>
            <w:rStyle w:val="a5"/>
          </w:rPr>
          <w:t>1997\Cli Phy17, 409.pdf</w:t>
        </w:r>
      </w:hyperlink>
    </w:p>
    <w:p w:rsidR="003474F2" w:rsidRPr="001A3D2B" w:rsidRDefault="003474F2" w:rsidP="003474F2">
      <w:pPr>
        <w:pStyle w:val="1"/>
      </w:pPr>
      <w:r w:rsidRPr="001A3D2B">
        <w:br w:type="page"/>
      </w:r>
      <w:bookmarkStart w:id="306" w:name="_Toc420815044"/>
      <w:r w:rsidRPr="001A3D2B">
        <w:lastRenderedPageBreak/>
        <w:t xml:space="preserve">Title: </w:t>
      </w:r>
      <w:r w:rsidRPr="001A3D2B">
        <w:rPr>
          <w:iCs w:val="0"/>
        </w:rPr>
        <w:t>Clinical Psychology Review</w:t>
      </w:r>
      <w:bookmarkEnd w:id="306"/>
    </w:p>
    <w:p w:rsidR="003474F2" w:rsidRPr="001A3D2B" w:rsidRDefault="003474F2" w:rsidP="003474F2">
      <w:pPr>
        <w:pStyle w:val="12"/>
      </w:pPr>
      <w:r w:rsidRPr="001A3D2B">
        <w:t>Full Journal Title: Clinical Psychology Revi</w:t>
      </w:r>
      <w:bookmarkStart w:id="307" w:name="_Toc213879516"/>
      <w:r w:rsidRPr="001A3D2B">
        <w:t>ew</w:t>
      </w:r>
    </w:p>
    <w:p w:rsidR="003474F2" w:rsidRPr="001A3D2B" w:rsidRDefault="003474F2" w:rsidP="003474F2">
      <w:pPr>
        <w:pStyle w:val="12"/>
      </w:pPr>
      <w:r w:rsidRPr="001A3D2B">
        <w:t xml:space="preserve">ISO </w:t>
      </w:r>
      <w:bookmarkEnd w:id="307"/>
      <w:r w:rsidRPr="001A3D2B">
        <w:t xml:space="preserve">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van Ijzendoorn, M.H.</w:t>
      </w:r>
      <w:r w:rsidR="005853A9">
        <w:t xml:space="preserve"> and </w:t>
      </w:r>
      <w:r w:rsidRPr="001A3D2B">
        <w:t>Schuengel, C. (1996</w:t>
      </w:r>
      <w:r w:rsidR="00F42EAC">
        <w:t>), The</w:t>
      </w:r>
      <w:r w:rsidR="003A1917">
        <w:t xml:space="preserve"> </w:t>
      </w:r>
      <w:r w:rsidRPr="001A3D2B">
        <w:t>measurement</w:t>
      </w:r>
      <w:r w:rsidR="00427468">
        <w:t xml:space="preserve"> of </w:t>
      </w:r>
      <w:r w:rsidRPr="001A3D2B">
        <w:t>dissociation in normal</w:t>
      </w:r>
      <w:r w:rsidR="005853A9">
        <w:t xml:space="preserve"> and </w:t>
      </w:r>
      <w:r w:rsidRPr="001A3D2B">
        <w:t>clinical populations: Meta-analytic validation</w:t>
      </w:r>
      <w:r w:rsidR="00427468">
        <w:t xml:space="preserve"> of </w:t>
      </w:r>
      <w:r w:rsidR="003A1917">
        <w:t xml:space="preserve">the </w:t>
      </w:r>
      <w:r w:rsidRPr="001A3D2B">
        <w:t xml:space="preserve">dissociative experiences scale (DES). </w:t>
      </w:r>
      <w:r w:rsidRPr="001A3D2B">
        <w:rPr>
          <w:i/>
          <w:iCs/>
        </w:rPr>
        <w:t>Clinical Psychology Review</w:t>
      </w:r>
      <w:r w:rsidRPr="001A3D2B">
        <w:t xml:space="preserve">, </w:t>
      </w:r>
      <w:r w:rsidRPr="001A3D2B">
        <w:rPr>
          <w:b/>
          <w:bCs/>
        </w:rPr>
        <w:t>16</w:t>
      </w:r>
      <w:r w:rsidRPr="001A3D2B">
        <w:t xml:space="preserve"> (5), 365-382.</w:t>
      </w:r>
    </w:p>
    <w:p w:rsidR="003474F2" w:rsidRPr="001A3D2B" w:rsidRDefault="003474F2" w:rsidP="003474F2">
      <w:pPr>
        <w:pStyle w:val="a3"/>
      </w:pPr>
      <w:r w:rsidRPr="001A3D2B">
        <w:t>Abstract:</w:t>
      </w:r>
      <w:r w:rsidR="003A1917">
        <w:t xml:space="preserve"> the </w:t>
      </w:r>
      <w:r w:rsidRPr="001A3D2B">
        <w:t>Dissociative Experiences Scale (DES) has now been used in over 100 studies on dissociation. This article reports on a series</w:t>
      </w:r>
      <w:r w:rsidR="00427468">
        <w:t xml:space="preserve"> of </w:t>
      </w:r>
      <w:r w:rsidRPr="001A3D2B">
        <w:t>meta-analyses to test some</w:t>
      </w:r>
      <w:r w:rsidR="00427468">
        <w:t xml:space="preserve"> of </w:t>
      </w:r>
      <w:r w:rsidR="003A1917">
        <w:t xml:space="preserve">the </w:t>
      </w:r>
      <w:r w:rsidRPr="001A3D2B">
        <w:t>theoretical assumptions underlying</w:t>
      </w:r>
      <w:r w:rsidR="003A1917">
        <w:t xml:space="preserve"> the </w:t>
      </w:r>
      <w:r w:rsidRPr="001A3D2B">
        <w:t>DES</w:t>
      </w:r>
      <w:r w:rsidR="005853A9">
        <w:t xml:space="preserve"> and </w:t>
      </w:r>
      <w:r w:rsidRPr="001A3D2B">
        <w:t>to examine</w:t>
      </w:r>
      <w:r w:rsidR="003A1917">
        <w:t xml:space="preserve"> the </w:t>
      </w:r>
      <w:r w:rsidRPr="001A3D2B">
        <w:t>instrument</w:t>
      </w:r>
      <w:r w:rsidR="0071223E">
        <w:t>’</w:t>
      </w:r>
      <w:r w:rsidR="00C13DDC">
        <w:t>s</w:t>
      </w:r>
      <w:r w:rsidRPr="001A3D2B">
        <w:t xml:space="preserve"> reliability</w:t>
      </w:r>
      <w:r w:rsidR="005853A9">
        <w:t xml:space="preserve"> and </w:t>
      </w:r>
      <w:r w:rsidRPr="001A3D2B">
        <w:t>validity. Studies with</w:t>
      </w:r>
      <w:r w:rsidR="003A1917">
        <w:t xml:space="preserve"> the </w:t>
      </w:r>
      <w:r w:rsidRPr="001A3D2B">
        <w:t xml:space="preserve">DES were identified through Psychlit, </w:t>
      </w:r>
      <w:r w:rsidR="00D5664A">
        <w:t>MEDLINE</w:t>
      </w:r>
      <w:r w:rsidRPr="001A3D2B">
        <w:t>, Social Sciences Citation Index,</w:t>
      </w:r>
      <w:r w:rsidR="005853A9">
        <w:t xml:space="preserve"> and </w:t>
      </w:r>
      <w:r w:rsidRPr="001A3D2B">
        <w:t>Current Contents. Across studies in similar domains (e.g., studies on multiple Personality disorders) combined effect sizes were computed using</w:t>
      </w:r>
      <w:r w:rsidR="003A1917">
        <w:t xml:space="preserve"> the </w:t>
      </w:r>
      <w:r w:rsidRPr="001A3D2B">
        <w:t>Rosenthal-Mullen approach</w:t>
      </w:r>
      <w:r w:rsidR="00A37C1D">
        <w:t>. The</w:t>
      </w:r>
      <w:r w:rsidR="003A1917">
        <w:t xml:space="preserve"> </w:t>
      </w:r>
      <w:r w:rsidRPr="001A3D2B">
        <w:t>DES showed excellent convergent validity with other dissociative experiences questionnaires</w:t>
      </w:r>
      <w:r w:rsidR="005853A9">
        <w:t xml:space="preserve"> and </w:t>
      </w:r>
      <w:r w:rsidRPr="001A3D2B">
        <w:t>interview schedules (combined effect size: d = 1.82; N = 5,916)</w:t>
      </w:r>
      <w:r w:rsidR="00A37C1D">
        <w:t>. The</w:t>
      </w:r>
      <w:r w:rsidR="003A1917">
        <w:t xml:space="preserve"> </w:t>
      </w:r>
      <w:r w:rsidRPr="001A3D2B">
        <w:t>DES also showed impressive predictive validity, in particular concerning dissociative disorders (Multiple Personality Disorder: combined effect size d = 1.05; N = 1,705)</w:t>
      </w:r>
      <w:r w:rsidR="005853A9">
        <w:t xml:space="preserve"> and </w:t>
      </w:r>
      <w:r w:rsidRPr="001A3D2B">
        <w:t>traumatic experiences (post-traumatic stress disorder: combined effect size d = 0.75; N = 1,099;</w:t>
      </w:r>
      <w:r w:rsidR="005853A9">
        <w:t xml:space="preserve"> and </w:t>
      </w:r>
      <w:r w:rsidRPr="001A3D2B">
        <w:t>abuse: combined effect size d = 0.52; N = 2,108). However,</w:t>
      </w:r>
      <w:r w:rsidR="003A1917">
        <w:t xml:space="preserve"> the </w:t>
      </w:r>
      <w:r w:rsidRPr="001A3D2B">
        <w:t>discriminant validity was less well established</w:t>
      </w:r>
      <w:r w:rsidR="00A37C1D">
        <w:t>. The</w:t>
      </w:r>
      <w:r w:rsidR="003A1917">
        <w:t xml:space="preserve"> </w:t>
      </w:r>
      <w:r w:rsidRPr="001A3D2B">
        <w:t>DES is sensitive to response</w:t>
      </w:r>
      <w:r w:rsidR="005853A9">
        <w:t xml:space="preserve"> and </w:t>
      </w:r>
      <w:r w:rsidRPr="001A3D2B">
        <w:t>experimenter biases. It is recommended to average DES-scores over mwe points in time</w:t>
      </w:r>
      <w:r w:rsidR="005853A9">
        <w:t xml:space="preserve"> and </w:t>
      </w:r>
      <w:r w:rsidRPr="001A3D2B">
        <w:t>over more judges</w:t>
      </w:r>
      <w:r w:rsidR="00A37C1D">
        <w:t>. The</w:t>
      </w:r>
      <w:r w:rsidR="003A1917">
        <w:t xml:space="preserve"> </w:t>
      </w:r>
      <w:r w:rsidRPr="001A3D2B">
        <w:t>DES seems to measure</w:t>
      </w:r>
      <w:r w:rsidR="003A1917">
        <w:t xml:space="preserve"> the </w:t>
      </w:r>
      <w:r w:rsidRPr="001A3D2B">
        <w:t>current view on past dissociative experiences</w:t>
      </w:r>
      <w:r w:rsidR="00A37C1D">
        <w:t>. The</w:t>
      </w:r>
      <w:r w:rsidR="003A1917">
        <w:t xml:space="preserve"> </w:t>
      </w:r>
      <w:r w:rsidRPr="001A3D2B">
        <w:t>model</w:t>
      </w:r>
      <w:r w:rsidR="00427468">
        <w:t xml:space="preserve"> of </w:t>
      </w:r>
      <w:r w:rsidRPr="001A3D2B">
        <w:t>dissociation as a form</w:t>
      </w:r>
      <w:r w:rsidR="00427468">
        <w:t xml:space="preserve"> of </w:t>
      </w:r>
      <w:r w:rsidRPr="001A3D2B">
        <w:t>autohypnosis failed to receive support from</w:t>
      </w:r>
      <w:r w:rsidR="003A1917">
        <w:t xml:space="preserve"> the </w:t>
      </w:r>
      <w:r w:rsidRPr="001A3D2B">
        <w:t>data. A developmental model to interpret dissociation is proposed.</w:t>
      </w:r>
    </w:p>
    <w:p w:rsidR="003474F2" w:rsidRPr="001A3D2B" w:rsidRDefault="003474F2" w:rsidP="003474F2">
      <w:pPr>
        <w:pStyle w:val="a3"/>
      </w:pPr>
      <w:r w:rsidRPr="001A3D2B">
        <w:t xml:space="preserve">Keywords: Abuse, Approach, Assumptions, Clinical, Convergent Validity, Data, Discriminant, Effect Size, Measure, Measurement, Model, N, Normal, Populations, Post-Traumatic Stress, Post-Traumatic Stress Disorder, Posttraumatic Stress, </w:t>
      </w:r>
      <w:r w:rsidRPr="001A3D2B">
        <w:lastRenderedPageBreak/>
        <w:t>Posttraumatic Stress Disorder, Predictive, Questionnaires, Reliability, Scale, Size, Stress, Support, Traumatic, Validation, Validity</w:t>
      </w:r>
    </w:p>
    <w:p w:rsidR="000E063D" w:rsidRDefault="000E063D" w:rsidP="000E063D">
      <w:pPr>
        <w:pStyle w:val="a3"/>
        <w:rPr>
          <w:kern w:val="0"/>
        </w:rPr>
      </w:pPr>
      <w:r>
        <w:rPr>
          <w:rFonts w:hint="eastAsia"/>
          <w:kern w:val="0"/>
        </w:rPr>
        <w:t xml:space="preserve">? </w:t>
      </w:r>
      <w:r>
        <w:rPr>
          <w:kern w:val="0"/>
        </w:rPr>
        <w:t>Brooks, S., Prince, A., Stahl, D., Campbell, I.C.</w:t>
      </w:r>
      <w:r w:rsidR="005853A9">
        <w:rPr>
          <w:kern w:val="0"/>
        </w:rPr>
        <w:t xml:space="preserve"> and </w:t>
      </w:r>
      <w:r>
        <w:rPr>
          <w:kern w:val="0"/>
        </w:rPr>
        <w:t>Treasure, J. (2011), A systematic review</w:t>
      </w:r>
      <w:r w:rsidR="005853A9">
        <w:rPr>
          <w:kern w:val="0"/>
        </w:rPr>
        <w:t xml:space="preserve"> and </w:t>
      </w:r>
      <w:r>
        <w:rPr>
          <w:kern w:val="0"/>
        </w:rPr>
        <w:t>meta-analysis</w:t>
      </w:r>
      <w:r w:rsidR="00427468">
        <w:rPr>
          <w:kern w:val="0"/>
        </w:rPr>
        <w:t xml:space="preserve"> of </w:t>
      </w:r>
      <w:r>
        <w:rPr>
          <w:kern w:val="0"/>
        </w:rPr>
        <w:t xml:space="preserve">cognitive bias to food stimuli in people with disordered eating behaviour. </w:t>
      </w:r>
      <w:r>
        <w:rPr>
          <w:i/>
          <w:iCs/>
          <w:kern w:val="0"/>
        </w:rPr>
        <w:t>Clinical Psychology Review</w:t>
      </w:r>
      <w:r>
        <w:rPr>
          <w:kern w:val="0"/>
        </w:rPr>
        <w:t xml:space="preserve">, </w:t>
      </w:r>
      <w:r>
        <w:rPr>
          <w:b/>
          <w:bCs/>
          <w:kern w:val="0"/>
        </w:rPr>
        <w:t>31</w:t>
      </w:r>
      <w:r>
        <w:rPr>
          <w:kern w:val="0"/>
        </w:rPr>
        <w:t xml:space="preserve"> (1), 37-51.</w:t>
      </w:r>
    </w:p>
    <w:p w:rsidR="000E063D" w:rsidRDefault="000E063D" w:rsidP="000E063D">
      <w:pPr>
        <w:pStyle w:val="a3"/>
        <w:rPr>
          <w:kern w:val="0"/>
        </w:rPr>
      </w:pPr>
      <w:r>
        <w:rPr>
          <w:kern w:val="0"/>
        </w:rPr>
        <w:t>Abstract: Aim: Maladaptive cognitions about food, weight</w:t>
      </w:r>
      <w:r w:rsidR="005853A9">
        <w:rPr>
          <w:kern w:val="0"/>
        </w:rPr>
        <w:t xml:space="preserve"> and </w:t>
      </w:r>
      <w:r>
        <w:rPr>
          <w:kern w:val="0"/>
        </w:rPr>
        <w:t>shape bias attention, memory</w:t>
      </w:r>
      <w:r w:rsidR="005853A9">
        <w:rPr>
          <w:kern w:val="0"/>
        </w:rPr>
        <w:t xml:space="preserve"> and </w:t>
      </w:r>
      <w:r>
        <w:rPr>
          <w:kern w:val="0"/>
        </w:rPr>
        <w:t>judgment</w:t>
      </w:r>
      <w:r w:rsidR="005853A9">
        <w:rPr>
          <w:kern w:val="0"/>
        </w:rPr>
        <w:t xml:space="preserve"> and </w:t>
      </w:r>
      <w:r>
        <w:rPr>
          <w:kern w:val="0"/>
        </w:rPr>
        <w:t>may be linked to disordered eating behaviour. This paper reviews information processing</w:t>
      </w:r>
      <w:r w:rsidR="00427468">
        <w:rPr>
          <w:kern w:val="0"/>
        </w:rPr>
        <w:t xml:space="preserve"> of </w:t>
      </w:r>
      <w:r>
        <w:rPr>
          <w:kern w:val="0"/>
        </w:rPr>
        <w:t xml:space="preserve">food stimuli (words, pictures) in people with eating disorders (ED). Method: PUBMED, Ovid, ScienceDirect, PsychInfo, </w:t>
      </w:r>
      <w:r w:rsidR="00D5664A">
        <w:rPr>
          <w:kern w:val="0"/>
        </w:rPr>
        <w:t>Web</w:t>
      </w:r>
      <w:r w:rsidR="00427468">
        <w:rPr>
          <w:kern w:val="0"/>
        </w:rPr>
        <w:t xml:space="preserve"> of </w:t>
      </w:r>
      <w:r w:rsidR="00D5664A">
        <w:rPr>
          <w:kern w:val="0"/>
        </w:rPr>
        <w:t>Science</w:t>
      </w:r>
      <w:r>
        <w:rPr>
          <w:kern w:val="0"/>
        </w:rPr>
        <w:t>, Cochrane Library</w:t>
      </w:r>
      <w:r w:rsidR="005853A9">
        <w:rPr>
          <w:kern w:val="0"/>
        </w:rPr>
        <w:t xml:space="preserve"> and </w:t>
      </w:r>
      <w:r>
        <w:rPr>
          <w:kern w:val="0"/>
        </w:rPr>
        <w:t>Google Scholar were searched to December 2009. 63 studies measured attention, memory</w:t>
      </w:r>
      <w:r w:rsidR="005853A9">
        <w:rPr>
          <w:kern w:val="0"/>
        </w:rPr>
        <w:t xml:space="preserve"> and </w:t>
      </w:r>
      <w:r>
        <w:rPr>
          <w:kern w:val="0"/>
        </w:rPr>
        <w:t>judgment bias towards food stimuli in women with ED. Results: Stroop tasks had sufficient sample size for a meta-analyses</w:t>
      </w:r>
      <w:r w:rsidR="005853A9">
        <w:rPr>
          <w:kern w:val="0"/>
        </w:rPr>
        <w:t xml:space="preserve"> and </w:t>
      </w:r>
      <w:r>
        <w:rPr>
          <w:kern w:val="0"/>
        </w:rPr>
        <w:t>effects ranged from small to medium. Other studies</w:t>
      </w:r>
      <w:r w:rsidR="00427468">
        <w:rPr>
          <w:kern w:val="0"/>
        </w:rPr>
        <w:t xml:space="preserve"> of </w:t>
      </w:r>
      <w:r>
        <w:rPr>
          <w:kern w:val="0"/>
        </w:rPr>
        <w:t>attention bias had variable effects (e.g</w:t>
      </w:r>
      <w:r w:rsidR="00A37C1D">
        <w:rPr>
          <w:kern w:val="0"/>
        </w:rPr>
        <w:t>. The</w:t>
      </w:r>
      <w:r w:rsidR="003A1917">
        <w:rPr>
          <w:kern w:val="0"/>
        </w:rPr>
        <w:t xml:space="preserve"> </w:t>
      </w:r>
      <w:r>
        <w:rPr>
          <w:kern w:val="0"/>
        </w:rPr>
        <w:t>Dot-Probe task, distracter tasks</w:t>
      </w:r>
      <w:r w:rsidR="005853A9">
        <w:rPr>
          <w:kern w:val="0"/>
        </w:rPr>
        <w:t xml:space="preserve"> and </w:t>
      </w:r>
      <w:r>
        <w:rPr>
          <w:kern w:val="0"/>
        </w:rPr>
        <w:t>Startle Eyeblink Modulation). A meta-analysis</w:t>
      </w:r>
      <w:r w:rsidR="00427468">
        <w:rPr>
          <w:kern w:val="0"/>
        </w:rPr>
        <w:t xml:space="preserve"> of </w:t>
      </w:r>
      <w:r>
        <w:rPr>
          <w:kern w:val="0"/>
        </w:rPr>
        <w:t>memory bias studies in ED</w:t>
      </w:r>
      <w:r w:rsidR="005853A9">
        <w:rPr>
          <w:kern w:val="0"/>
        </w:rPr>
        <w:t xml:space="preserve"> and </w:t>
      </w:r>
      <w:r>
        <w:rPr>
          <w:kern w:val="0"/>
        </w:rPr>
        <w:t>RE yielded insignificant effect. Effect sizes for judgment bias ranged from negligible to large. Conclusions: People with ED have greater attentional bias to food stimuli than healthy controls (HC). Evidence for a memory</w:t>
      </w:r>
      <w:r w:rsidR="005853A9">
        <w:rPr>
          <w:kern w:val="0"/>
        </w:rPr>
        <w:t xml:space="preserve"> and </w:t>
      </w:r>
      <w:r>
        <w:rPr>
          <w:kern w:val="0"/>
        </w:rPr>
        <w:t>judgment bias in ED is limited. (C) 2010 Elsevier Ltd. All rights reserved.</w:t>
      </w:r>
    </w:p>
    <w:p w:rsidR="000E063D" w:rsidRDefault="000E063D" w:rsidP="000E063D">
      <w:pPr>
        <w:pStyle w:val="a3"/>
        <w:rPr>
          <w:kern w:val="0"/>
        </w:rPr>
      </w:pPr>
      <w:r>
        <w:rPr>
          <w:kern w:val="0"/>
        </w:rPr>
        <w:t xml:space="preserve">Keywords: Anorexia Nervosa, Anorexia-Nervosa, Attention, Attentional Biases, Bias, Bulimia Nervosa, Bulimia-Nervosa, Cochrane, Cognitive Bias, Dietary Restraint, Google Scholar, Information, Information Processing, Judgment, Memory, Meta-Analysis, PUBMED, Quantitative Measure, Restrained Eaters, Restrained Eaters, Review, Science, Shape-Related Words, Stroop Test, Systematic, Systematic Review, Thought Suppression, Unrestrained Eaters, </w:t>
      </w:r>
      <w:r w:rsidR="00D5664A">
        <w:rPr>
          <w:kern w:val="0"/>
        </w:rPr>
        <w:t>Web</w:t>
      </w:r>
      <w:r w:rsidR="00427468">
        <w:rPr>
          <w:kern w:val="0"/>
        </w:rPr>
        <w:t xml:space="preserve"> of </w:t>
      </w:r>
      <w:r w:rsidR="00D5664A">
        <w:rPr>
          <w:kern w:val="0"/>
        </w:rPr>
        <w:t>Science</w:t>
      </w:r>
      <w:r>
        <w:rPr>
          <w:kern w:val="0"/>
        </w:rPr>
        <w:t>, Women</w:t>
      </w:r>
    </w:p>
    <w:p w:rsidR="00764D0E" w:rsidRDefault="00764D0E" w:rsidP="00764D0E">
      <w:pPr>
        <w:pStyle w:val="a3"/>
        <w:rPr>
          <w:kern w:val="0"/>
        </w:rPr>
      </w:pPr>
      <w:r>
        <w:rPr>
          <w:rFonts w:hint="eastAsia"/>
          <w:kern w:val="0"/>
        </w:rPr>
        <w:t xml:space="preserve">? </w:t>
      </w:r>
      <w:r>
        <w:rPr>
          <w:kern w:val="0"/>
        </w:rPr>
        <w:t>Schwalbe, C.S., Gearing, R.E., MacKenzie, M.J., Brewer, K.B.</w:t>
      </w:r>
      <w:r w:rsidR="005853A9">
        <w:rPr>
          <w:kern w:val="0"/>
        </w:rPr>
        <w:t xml:space="preserve"> and </w:t>
      </w:r>
      <w:r>
        <w:rPr>
          <w:kern w:val="0"/>
        </w:rPr>
        <w:t>Ibrahim, R. (2012), A meta-analysis</w:t>
      </w:r>
      <w:r w:rsidR="00427468">
        <w:rPr>
          <w:kern w:val="0"/>
        </w:rPr>
        <w:t xml:space="preserve"> of </w:t>
      </w:r>
      <w:r>
        <w:rPr>
          <w:kern w:val="0"/>
        </w:rPr>
        <w:t>experimental studies</w:t>
      </w:r>
      <w:r w:rsidR="00427468">
        <w:rPr>
          <w:kern w:val="0"/>
        </w:rPr>
        <w:t xml:space="preserve"> of </w:t>
      </w:r>
      <w:r>
        <w:rPr>
          <w:kern w:val="0"/>
        </w:rPr>
        <w:t xml:space="preserve">diversion programs for juvenile offenders. </w:t>
      </w:r>
      <w:r>
        <w:rPr>
          <w:i/>
          <w:iCs/>
          <w:kern w:val="0"/>
        </w:rPr>
        <w:t>Clinical Psychology Review</w:t>
      </w:r>
      <w:r>
        <w:rPr>
          <w:kern w:val="0"/>
        </w:rPr>
        <w:t xml:space="preserve">, </w:t>
      </w:r>
      <w:r>
        <w:rPr>
          <w:b/>
          <w:bCs/>
          <w:kern w:val="0"/>
        </w:rPr>
        <w:t>32</w:t>
      </w:r>
      <w:r>
        <w:rPr>
          <w:kern w:val="0"/>
        </w:rPr>
        <w:t xml:space="preserve"> (1), 26-33.</w:t>
      </w:r>
    </w:p>
    <w:p w:rsidR="00764D0E" w:rsidRDefault="00764D0E" w:rsidP="00764D0E">
      <w:pPr>
        <w:pStyle w:val="a3"/>
        <w:rPr>
          <w:kern w:val="0"/>
        </w:rPr>
      </w:pPr>
      <w:r>
        <w:rPr>
          <w:rFonts w:hint="eastAsia"/>
          <w:kern w:val="0"/>
        </w:rPr>
        <w:t xml:space="preserve">Full Text: </w:t>
      </w:r>
      <w:hyperlink r:id="rId413" w:history="1">
        <w:r w:rsidRPr="00496B3A">
          <w:rPr>
            <w:rStyle w:val="a5"/>
            <w:kern w:val="0"/>
          </w:rPr>
          <w:t>2012\Cli Psy Rev32, 26.pdf</w:t>
        </w:r>
      </w:hyperlink>
    </w:p>
    <w:p w:rsidR="00764D0E" w:rsidRDefault="00764D0E" w:rsidP="00764D0E">
      <w:pPr>
        <w:pStyle w:val="a3"/>
        <w:rPr>
          <w:kern w:val="0"/>
        </w:rPr>
      </w:pPr>
      <w:r>
        <w:rPr>
          <w:kern w:val="0"/>
        </w:rPr>
        <w:t>Abstract: Objective: Research to establish an evidence-base for</w:t>
      </w:r>
      <w:r w:rsidR="003A1917">
        <w:rPr>
          <w:kern w:val="0"/>
        </w:rPr>
        <w:t xml:space="preserve"> the </w:t>
      </w:r>
      <w:r>
        <w:rPr>
          <w:kern w:val="0"/>
        </w:rPr>
        <w:t>treatment</w:t>
      </w:r>
      <w:r w:rsidR="00427468">
        <w:rPr>
          <w:kern w:val="0"/>
        </w:rPr>
        <w:t xml:space="preserve"> of </w:t>
      </w:r>
      <w:r>
        <w:rPr>
          <w:kern w:val="0"/>
        </w:rPr>
        <w:t>conduct problems</w:t>
      </w:r>
      <w:r w:rsidR="005853A9">
        <w:rPr>
          <w:kern w:val="0"/>
        </w:rPr>
        <w:t xml:space="preserve"> and </w:t>
      </w:r>
      <w:r>
        <w:rPr>
          <w:kern w:val="0"/>
        </w:rPr>
        <w:t>delinquency in adolescence is well established; however, an evidence-base for interventions with offenders who are diverted from</w:t>
      </w:r>
      <w:r w:rsidR="003A1917">
        <w:rPr>
          <w:kern w:val="0"/>
        </w:rPr>
        <w:t xml:space="preserve"> the </w:t>
      </w:r>
      <w:r>
        <w:rPr>
          <w:kern w:val="0"/>
        </w:rPr>
        <w:t>juvenile justice system has yet to be synthesized</w:t>
      </w:r>
      <w:r w:rsidR="00A37C1D">
        <w:rPr>
          <w:kern w:val="0"/>
        </w:rPr>
        <w:t>. The</w:t>
      </w:r>
      <w:r w:rsidR="003A1917">
        <w:rPr>
          <w:kern w:val="0"/>
        </w:rPr>
        <w:t xml:space="preserve"> </w:t>
      </w:r>
      <w:r>
        <w:rPr>
          <w:kern w:val="0"/>
        </w:rPr>
        <w:t>purpose</w:t>
      </w:r>
      <w:r w:rsidR="00427468">
        <w:rPr>
          <w:kern w:val="0"/>
        </w:rPr>
        <w:t xml:space="preserve"> of </w:t>
      </w:r>
      <w:r>
        <w:rPr>
          <w:kern w:val="0"/>
        </w:rPr>
        <w:t>this study was to conduct a meta-analysis</w:t>
      </w:r>
      <w:r w:rsidR="00427468">
        <w:rPr>
          <w:kern w:val="0"/>
        </w:rPr>
        <w:t xml:space="preserve"> of </w:t>
      </w:r>
      <w:r>
        <w:rPr>
          <w:kern w:val="0"/>
        </w:rPr>
        <w:t>experimental studies testing juvenile diversion programs</w:t>
      </w:r>
      <w:r w:rsidR="005853A9">
        <w:rPr>
          <w:kern w:val="0"/>
        </w:rPr>
        <w:t xml:space="preserve"> and </w:t>
      </w:r>
      <w:r>
        <w:rPr>
          <w:kern w:val="0"/>
        </w:rPr>
        <w:t>to examine</w:t>
      </w:r>
      <w:r w:rsidR="003A1917">
        <w:rPr>
          <w:kern w:val="0"/>
        </w:rPr>
        <w:t xml:space="preserve"> the </w:t>
      </w:r>
      <w:r>
        <w:rPr>
          <w:kern w:val="0"/>
        </w:rPr>
        <w:t>moderating effect</w:t>
      </w:r>
      <w:r w:rsidR="00427468">
        <w:rPr>
          <w:kern w:val="0"/>
        </w:rPr>
        <w:t xml:space="preserve"> of </w:t>
      </w:r>
      <w:r>
        <w:rPr>
          <w:kern w:val="0"/>
        </w:rPr>
        <w:t>program type</w:t>
      </w:r>
      <w:r w:rsidR="005853A9">
        <w:rPr>
          <w:kern w:val="0"/>
        </w:rPr>
        <w:t xml:space="preserve"> and </w:t>
      </w:r>
      <w:r>
        <w:rPr>
          <w:kern w:val="0"/>
        </w:rPr>
        <w:t xml:space="preserve">implementation quality. Method: A literature search using PsycINFO,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National Criminal Justice Reference Service data-bases</w:t>
      </w:r>
      <w:r w:rsidR="005853A9">
        <w:rPr>
          <w:kern w:val="0"/>
        </w:rPr>
        <w:t xml:space="preserve"> and </w:t>
      </w:r>
      <w:r>
        <w:rPr>
          <w:kern w:val="0"/>
        </w:rPr>
        <w:t>research institute websites yielded 28 eligible studies involving 57 experimental comparisons</w:t>
      </w:r>
      <w:r w:rsidR="005853A9">
        <w:rPr>
          <w:kern w:val="0"/>
        </w:rPr>
        <w:t xml:space="preserve"> and </w:t>
      </w:r>
      <w:r>
        <w:rPr>
          <w:kern w:val="0"/>
        </w:rPr>
        <w:t>19,301 youths. Results: Recidivism was</w:t>
      </w:r>
      <w:r w:rsidR="003A1917">
        <w:rPr>
          <w:kern w:val="0"/>
        </w:rPr>
        <w:t xml:space="preserve"> the </w:t>
      </w:r>
      <w:r>
        <w:rPr>
          <w:kern w:val="0"/>
        </w:rPr>
        <w:t>most common outcome reported across all studies. Overall,</w:t>
      </w:r>
      <w:r w:rsidR="003A1917">
        <w:rPr>
          <w:kern w:val="0"/>
        </w:rPr>
        <w:t xml:space="preserve"> the </w:t>
      </w:r>
      <w:r>
        <w:rPr>
          <w:kern w:val="0"/>
        </w:rPr>
        <w:lastRenderedPageBreak/>
        <w:t>effect</w:t>
      </w:r>
      <w:r w:rsidR="00427468">
        <w:rPr>
          <w:kern w:val="0"/>
        </w:rPr>
        <w:t xml:space="preserve"> of </w:t>
      </w:r>
      <w:r>
        <w:rPr>
          <w:kern w:val="0"/>
        </w:rPr>
        <w:t>diversion programs on recidivism was non-significant (k = 45, OR = 0.83, 95%CI = 0.43-1.58).</w:t>
      </w:r>
      <w:r w:rsidR="00427468">
        <w:rPr>
          <w:kern w:val="0"/>
        </w:rPr>
        <w:t xml:space="preserve"> of </w:t>
      </w:r>
      <w:r w:rsidR="003A1917">
        <w:rPr>
          <w:kern w:val="0"/>
        </w:rPr>
        <w:t xml:space="preserve">the </w:t>
      </w:r>
      <w:r>
        <w:rPr>
          <w:kern w:val="0"/>
        </w:rPr>
        <w:t>five program types identified, including case management (k = 18, OR = 0.78), individual treatment (k = 11, OR 0.83), family treatment (k = 4, OR = 0.57), youth court (k = 6, OR = 0.93),</w:t>
      </w:r>
      <w:r w:rsidR="005853A9">
        <w:rPr>
          <w:kern w:val="0"/>
        </w:rPr>
        <w:t xml:space="preserve"> and </w:t>
      </w:r>
      <w:r>
        <w:rPr>
          <w:kern w:val="0"/>
        </w:rPr>
        <w:t>restorative justice (k = 6, OR = 0.87), only family treatment led to a statistically significant reduction in recidivism. Restorative justice studies that were implemented with active involvement</w:t>
      </w:r>
      <w:r w:rsidR="00427468">
        <w:rPr>
          <w:kern w:val="0"/>
        </w:rPr>
        <w:t xml:space="preserve"> of </w:t>
      </w:r>
      <w:r>
        <w:rPr>
          <w:kern w:val="0"/>
        </w:rPr>
        <w:t>researchers led to statistically significant reductions in recidivism (k = 3, OR = 0.69). Other outcomes, including frequency</w:t>
      </w:r>
      <w:r w:rsidR="00427468">
        <w:rPr>
          <w:kern w:val="0"/>
        </w:rPr>
        <w:t xml:space="preserve"> of </w:t>
      </w:r>
      <w:r>
        <w:rPr>
          <w:kern w:val="0"/>
        </w:rPr>
        <w:t>offending, truancy,</w:t>
      </w:r>
      <w:r w:rsidR="005853A9">
        <w:rPr>
          <w:kern w:val="0"/>
        </w:rPr>
        <w:t xml:space="preserve"> and </w:t>
      </w:r>
      <w:r>
        <w:rPr>
          <w:kern w:val="0"/>
        </w:rPr>
        <w:t>psycho-social problems were reported infrequently</w:t>
      </w:r>
      <w:r w:rsidR="005853A9">
        <w:rPr>
          <w:kern w:val="0"/>
        </w:rPr>
        <w:t xml:space="preserve"> and </w:t>
      </w:r>
      <w:r>
        <w:rPr>
          <w:kern w:val="0"/>
        </w:rPr>
        <w:t>were not subjected to meta-analysis. Conclusions: High levels</w:t>
      </w:r>
      <w:r w:rsidR="00427468">
        <w:rPr>
          <w:kern w:val="0"/>
        </w:rPr>
        <w:t xml:space="preserve"> of </w:t>
      </w:r>
      <w:r>
        <w:rPr>
          <w:kern w:val="0"/>
        </w:rPr>
        <w:t>heterogeneity characterize diversion research. Results</w:t>
      </w:r>
      <w:r w:rsidR="00427468">
        <w:rPr>
          <w:kern w:val="0"/>
        </w:rPr>
        <w:t xml:space="preserve"> of </w:t>
      </w:r>
      <w:r>
        <w:rPr>
          <w:kern w:val="0"/>
        </w:rPr>
        <w:t>this study recommend against implementation</w:t>
      </w:r>
      <w:r w:rsidR="00427468">
        <w:rPr>
          <w:kern w:val="0"/>
        </w:rPr>
        <w:t xml:space="preserve"> of </w:t>
      </w:r>
      <w:r>
        <w:rPr>
          <w:kern w:val="0"/>
        </w:rPr>
        <w:t>programs limited to case management</w:t>
      </w:r>
      <w:r w:rsidR="005853A9">
        <w:rPr>
          <w:kern w:val="0"/>
        </w:rPr>
        <w:t xml:space="preserve"> and </w:t>
      </w:r>
      <w:r>
        <w:rPr>
          <w:kern w:val="0"/>
        </w:rPr>
        <w:t>highlight</w:t>
      </w:r>
      <w:r w:rsidR="003A1917">
        <w:rPr>
          <w:kern w:val="0"/>
        </w:rPr>
        <w:t xml:space="preserve"> the </w:t>
      </w:r>
      <w:r>
        <w:rPr>
          <w:kern w:val="0"/>
        </w:rPr>
        <w:t>promise</w:t>
      </w:r>
      <w:r w:rsidR="00427468">
        <w:rPr>
          <w:kern w:val="0"/>
        </w:rPr>
        <w:t xml:space="preserve"> of </w:t>
      </w:r>
      <w:r>
        <w:rPr>
          <w:kern w:val="0"/>
        </w:rPr>
        <w:t>family interventions</w:t>
      </w:r>
      <w:r w:rsidR="005853A9">
        <w:rPr>
          <w:kern w:val="0"/>
        </w:rPr>
        <w:t xml:space="preserve"> and </w:t>
      </w:r>
      <w:r>
        <w:rPr>
          <w:kern w:val="0"/>
        </w:rPr>
        <w:t>restorative justice. (C) 2011 Elsevier Ltd. All rights reserved.</w:t>
      </w:r>
    </w:p>
    <w:p w:rsidR="00764D0E" w:rsidRDefault="00764D0E" w:rsidP="00764D0E">
      <w:pPr>
        <w:pStyle w:val="a3"/>
        <w:rPr>
          <w:kern w:val="0"/>
        </w:rPr>
      </w:pPr>
      <w:r>
        <w:rPr>
          <w:kern w:val="0"/>
        </w:rPr>
        <w:t xml:space="preserve">Keywords: Case-Management, Classification, Court, Databases, Diversion, Experimental, Family, Frequency, Impact, Intervention, Interventions, Involvement, Juvenile Justice, Literature, Management, Meta Analysis, Meta-Analysis, Outcome, Outcomes, Psychosocial, Quality, Recidivism, Reduction, Research, Researchers, Restorative Justice, Science, Services, Treatment,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r>
        <w:rPr>
          <w:kern w:val="0"/>
        </w:rPr>
        <w:t>, Websites, Youth</w:t>
      </w:r>
    </w:p>
    <w:p w:rsidR="00780724" w:rsidRDefault="00780724" w:rsidP="00780724">
      <w:pPr>
        <w:pStyle w:val="a3"/>
        <w:rPr>
          <w:kern w:val="0"/>
        </w:rPr>
      </w:pPr>
      <w:r>
        <w:rPr>
          <w:rFonts w:hint="eastAsia"/>
          <w:kern w:val="0"/>
        </w:rPr>
        <w:t xml:space="preserve">? </w:t>
      </w:r>
      <w:r>
        <w:rPr>
          <w:kern w:val="0"/>
        </w:rPr>
        <w:t xml:space="preserve">Narayan, A.J. (2015), Personal, dyadic, and contextual resilience in parents experiencing homelessness. </w:t>
      </w:r>
      <w:r>
        <w:rPr>
          <w:i/>
          <w:iCs/>
          <w:kern w:val="0"/>
        </w:rPr>
        <w:t>Clinical Psychology Review</w:t>
      </w:r>
      <w:r>
        <w:rPr>
          <w:kern w:val="0"/>
        </w:rPr>
        <w:t xml:space="preserve">, </w:t>
      </w:r>
      <w:r>
        <w:rPr>
          <w:b/>
          <w:bCs/>
          <w:kern w:val="0"/>
        </w:rPr>
        <w:t>36</w:t>
      </w:r>
      <w:r>
        <w:rPr>
          <w:kern w:val="0"/>
        </w:rPr>
        <w:t>, 56-69.</w:t>
      </w:r>
    </w:p>
    <w:p w:rsidR="00780724" w:rsidRDefault="00780724" w:rsidP="00780724">
      <w:pPr>
        <w:pStyle w:val="a3"/>
        <w:rPr>
          <w:kern w:val="0"/>
        </w:rPr>
      </w:pPr>
      <w:r>
        <w:rPr>
          <w:rFonts w:hint="eastAsia"/>
          <w:kern w:val="0"/>
        </w:rPr>
        <w:t xml:space="preserve">Full Text: </w:t>
      </w:r>
      <w:hyperlink r:id="rId414" w:history="1">
        <w:r w:rsidRPr="00780724">
          <w:rPr>
            <w:rStyle w:val="a5"/>
            <w:kern w:val="0"/>
          </w:rPr>
          <w:t>2015\Cli Psy Rev36, 56.pdf</w:t>
        </w:r>
      </w:hyperlink>
    </w:p>
    <w:p w:rsidR="00780724" w:rsidRDefault="00780724" w:rsidP="00780724">
      <w:pPr>
        <w:pStyle w:val="a3"/>
        <w:rPr>
          <w:kern w:val="0"/>
        </w:rPr>
      </w:pPr>
      <w:r>
        <w:rPr>
          <w:kern w:val="0"/>
        </w:rPr>
        <w:t>Abstract: Adopting a developmental psychopathology (DP) perspective, the present study systematically reviewed the quantitative literature on positive functioning and outcomes in parents experiencing homelessness. Studies were identified from PubMed, Psyclnfo, and Web of Science using an exhaustive list of key terms. Of 3443 total studies screened, 219 were inspected, 176 were excluded, and 43 were included. Included studies fell into three outcome categories: the ability to function well personally (cope effectively, meet basic family needs, experience reduced psychopathology); dyadically (demonstrate positive parenting practices and promote child adjustment); and contextually (exit episodes of homelessness and avoid shelter re-entry). Results also reflected personal, dyadic, and contextual independent variables associated with each positive outcome category. Many parents experiencing homelessness display positive outcomes, and many factors support positive functioning. Future research should replicate these findings and examine multilevel parental functioning to help bridge the gap between the DP theoretical perspective and the quantitative evidence for parental resilience as a process. (C) 2015 Elsevier Ltd. All rights reserved.</w:t>
      </w:r>
    </w:p>
    <w:p w:rsidR="00780724" w:rsidRDefault="00780724" w:rsidP="00780724">
      <w:pPr>
        <w:pStyle w:val="a3"/>
        <w:rPr>
          <w:kern w:val="0"/>
        </w:rPr>
      </w:pPr>
      <w:r>
        <w:rPr>
          <w:kern w:val="0"/>
        </w:rPr>
        <w:t xml:space="preserve">Keywords: Basic, Becoming Homeless, Bridge, Child, Children, Cluster-Analysis, </w:t>
      </w:r>
      <w:r>
        <w:rPr>
          <w:kern w:val="0"/>
        </w:rPr>
        <w:lastRenderedPageBreak/>
        <w:t>Developmental Psychopathology, Developmental Psychopathology, Evidence, Experience, Factors, Family, Female-Headed Families, From, Function, Homeless, Literature, Mar, Mental-Health, Needs, New-York-City, Outcome, Outcomes, Parental Competence, Parental Resilience, Parenting, Parents, Positive Outcomes, Practices, Protective Factors, Pubmed, Research, Resilience, Results, Rights, Science, Single Mothers, Social Support, Support, Theoretical, Web, Web Of Science</w:t>
      </w:r>
    </w:p>
    <w:p w:rsidR="000437E7" w:rsidRPr="001A3D2B" w:rsidRDefault="000437E7" w:rsidP="000437E7">
      <w:pPr>
        <w:pStyle w:val="1"/>
      </w:pPr>
      <w:r w:rsidRPr="001A3D2B">
        <w:br w:type="page"/>
      </w:r>
      <w:bookmarkStart w:id="308" w:name="_Toc420815045"/>
      <w:r w:rsidRPr="001A3D2B">
        <w:lastRenderedPageBreak/>
        <w:t>Title: Clinical Radiology</w:t>
      </w:r>
      <w:bookmarkEnd w:id="308"/>
    </w:p>
    <w:p w:rsidR="000437E7" w:rsidRPr="001A3D2B" w:rsidRDefault="000437E7" w:rsidP="000437E7">
      <w:pPr>
        <w:pStyle w:val="12"/>
      </w:pPr>
      <w:r w:rsidRPr="001A3D2B">
        <w:t xml:space="preserve">Full Journal Title: </w:t>
      </w:r>
      <w:r w:rsidR="00DF61FE">
        <w:fldChar w:fldCharType="begin"/>
      </w:r>
      <w:r w:rsidR="00FD158B">
        <w:instrText>HYPERLINK "http://www.sciencedi</w:instrText>
      </w:r>
      <w:bookmarkStart w:id="309" w:name="_Toc251714149"/>
      <w:r w:rsidR="00FD158B">
        <w:instrText>rect.com/science?_ob=Jour</w:instrText>
      </w:r>
      <w:bookmarkEnd w:id="309"/>
      <w:r w:rsidR="00FD158B">
        <w:instrText>nalURL&amp;_cdi=6744&amp;_auth=y&amp;_acct=C000024058&amp;_version=1&amp;_urlVersion=0&amp;_userid=4191814&amp;md5=708255847719e858344bfa370c72ece0"</w:instrText>
      </w:r>
      <w:r w:rsidR="00DF61FE">
        <w:fldChar w:fldCharType="separate"/>
      </w:r>
      <w:r w:rsidRPr="001A3D2B">
        <w:rPr>
          <w:rStyle w:val="a5"/>
        </w:rPr>
        <w:t>Clinical Radiology</w:t>
      </w:r>
      <w:r w:rsidR="00DF61FE">
        <w:fldChar w:fldCharType="end"/>
      </w:r>
    </w:p>
    <w:p w:rsidR="000437E7" w:rsidRPr="001A3D2B" w:rsidRDefault="000437E7" w:rsidP="000437E7">
      <w:pPr>
        <w:pStyle w:val="12"/>
      </w:pPr>
      <w:r w:rsidRPr="001A3D2B">
        <w:t>ISO Abbreviated Title: Clin. Radiol.</w:t>
      </w:r>
    </w:p>
    <w:p w:rsidR="000437E7" w:rsidRPr="001A3D2B" w:rsidRDefault="000437E7" w:rsidP="000437E7">
      <w:pPr>
        <w:pStyle w:val="12"/>
      </w:pPr>
      <w:r w:rsidRPr="001A3D2B">
        <w:t>JCR Abbreviated Title: Clin Radiol</w:t>
      </w:r>
    </w:p>
    <w:p w:rsidR="000437E7" w:rsidRPr="001A3D2B" w:rsidRDefault="000437E7" w:rsidP="000437E7">
      <w:pPr>
        <w:pStyle w:val="12"/>
      </w:pPr>
      <w:r w:rsidRPr="001A3D2B">
        <w:t>ISSN: 0009-9260</w:t>
      </w:r>
    </w:p>
    <w:p w:rsidR="000437E7" w:rsidRPr="001A3D2B" w:rsidRDefault="000437E7" w:rsidP="000437E7">
      <w:pPr>
        <w:pStyle w:val="12"/>
      </w:pPr>
      <w:r w:rsidRPr="001A3D2B">
        <w:t>Issues/Year: 12</w:t>
      </w:r>
    </w:p>
    <w:p w:rsidR="000437E7" w:rsidRPr="001A3D2B" w:rsidRDefault="000437E7" w:rsidP="000437E7">
      <w:pPr>
        <w:pStyle w:val="12"/>
      </w:pPr>
      <w:r w:rsidRPr="001A3D2B">
        <w:t xml:space="preserve">Journal Country/Territory: </w:t>
      </w:r>
      <w:smartTag w:uri="urn:schemas-microsoft-com:office:smarttags" w:element="place">
        <w:smartTag w:uri="urn:schemas-microsoft-com:office:smarttags" w:element="country-region">
          <w:r w:rsidRPr="001A3D2B">
            <w:t>England</w:t>
          </w:r>
        </w:smartTag>
      </w:smartTag>
    </w:p>
    <w:p w:rsidR="000437E7" w:rsidRPr="001A3D2B" w:rsidRDefault="000437E7" w:rsidP="000437E7">
      <w:pPr>
        <w:pStyle w:val="12"/>
      </w:pPr>
      <w:r w:rsidRPr="001A3D2B">
        <w:t>Language: English</w:t>
      </w:r>
    </w:p>
    <w:p w:rsidR="000437E7" w:rsidRPr="001A3D2B" w:rsidRDefault="000437E7" w:rsidP="000437E7">
      <w:pPr>
        <w:pStyle w:val="12"/>
      </w:pPr>
      <w:r w:rsidRPr="001A3D2B">
        <w:t>Publisher: W B Saunders Co Ltd</w:t>
      </w:r>
    </w:p>
    <w:p w:rsidR="000437E7" w:rsidRPr="001A3D2B" w:rsidRDefault="000437E7" w:rsidP="000437E7">
      <w:pPr>
        <w:pStyle w:val="12"/>
      </w:pPr>
      <w:r w:rsidRPr="001A3D2B">
        <w:t>Publisher Address: 24-28 Oval Rd, London NW1 7DX, England</w:t>
      </w:r>
    </w:p>
    <w:p w:rsidR="000437E7" w:rsidRPr="001A3D2B" w:rsidRDefault="000437E7" w:rsidP="000437E7">
      <w:pPr>
        <w:pStyle w:val="12"/>
      </w:pPr>
      <w:r w:rsidRPr="001A3D2B">
        <w:t xml:space="preserve">Subject Categories: </w:t>
      </w:r>
    </w:p>
    <w:p w:rsidR="000437E7" w:rsidRPr="001A3D2B" w:rsidRDefault="000437E7" w:rsidP="000437E7">
      <w:pPr>
        <w:pStyle w:val="12"/>
      </w:pPr>
      <w:r w:rsidRPr="001A3D2B">
        <w:t>Radiology, Nuclear Medicine &amp; Medical Imaging: Impact Factor 1.048, / (2002)</w:t>
      </w:r>
    </w:p>
    <w:p w:rsidR="00694581" w:rsidRPr="001A3D2B" w:rsidRDefault="00694581" w:rsidP="00694581">
      <w:pPr>
        <w:pStyle w:val="a3"/>
      </w:pPr>
      <w:r w:rsidRPr="001A3D2B">
        <w:t>? Gilbert, F.J.</w:t>
      </w:r>
      <w:r w:rsidR="005853A9">
        <w:t xml:space="preserve"> and </w:t>
      </w:r>
      <w:r w:rsidRPr="001A3D2B">
        <w:t xml:space="preserve">Denison, A.R. (2003), Research misconduct. </w:t>
      </w:r>
      <w:r w:rsidRPr="001A3D2B">
        <w:rPr>
          <w:i/>
          <w:iCs/>
        </w:rPr>
        <w:t>Clinical Radiology</w:t>
      </w:r>
      <w:r w:rsidRPr="001A3D2B">
        <w:t xml:space="preserve">, </w:t>
      </w:r>
      <w:r w:rsidRPr="001A3D2B">
        <w:rPr>
          <w:b/>
        </w:rPr>
        <w:t>58</w:t>
      </w:r>
      <w:r w:rsidRPr="001A3D2B">
        <w:t xml:space="preserve"> (7), 499-504.</w:t>
      </w:r>
    </w:p>
    <w:p w:rsidR="00694581" w:rsidRPr="001A3D2B" w:rsidRDefault="00694581" w:rsidP="00694581">
      <w:pPr>
        <w:pStyle w:val="a3"/>
      </w:pPr>
      <w:r w:rsidRPr="001A3D2B">
        <w:t xml:space="preserve">Full Text: </w:t>
      </w:r>
      <w:hyperlink r:id="rId415" w:history="1">
        <w:r w:rsidRPr="001A3D2B">
          <w:rPr>
            <w:rStyle w:val="a5"/>
          </w:rPr>
          <w:t>2003\Cli Rad58, 499.pdf</w:t>
        </w:r>
      </w:hyperlink>
    </w:p>
    <w:p w:rsidR="00694581" w:rsidRPr="001A3D2B" w:rsidRDefault="00694581" w:rsidP="00694581">
      <w:pPr>
        <w:pStyle w:val="a3"/>
      </w:pPr>
      <w:r w:rsidRPr="001A3D2B">
        <w:t>Abstract: Good research practice is important to</w:t>
      </w:r>
      <w:r w:rsidR="003A1917">
        <w:t xml:space="preserve"> the </w:t>
      </w:r>
      <w:r w:rsidRPr="001A3D2B">
        <w:t>scientific community. An awareness</w:t>
      </w:r>
      <w:r w:rsidR="00427468">
        <w:t xml:space="preserve"> of </w:t>
      </w:r>
      <w:r w:rsidRPr="001A3D2B">
        <w:t>what constitutes poor practice is important. Various types</w:t>
      </w:r>
      <w:r w:rsidR="00427468">
        <w:t xml:space="preserve"> of </w:t>
      </w:r>
      <w:r w:rsidRPr="001A3D2B">
        <w:t>research misconduct are defined in this article</w:t>
      </w:r>
      <w:r w:rsidR="00A37C1D">
        <w:t>. The</w:t>
      </w:r>
      <w:r w:rsidR="003A1917">
        <w:t xml:space="preserve"> </w:t>
      </w:r>
      <w:r w:rsidRPr="001A3D2B">
        <w:t>extent</w:t>
      </w:r>
      <w:r w:rsidR="00427468">
        <w:t xml:space="preserve"> of </w:t>
      </w:r>
      <w:r w:rsidRPr="001A3D2B">
        <w:t>research misconduct in</w:t>
      </w:r>
      <w:r w:rsidR="003A1917">
        <w:t xml:space="preserve"> the </w:t>
      </w:r>
      <w:r w:rsidRPr="001A3D2B">
        <w:t>field</w:t>
      </w:r>
      <w:r w:rsidR="00427468">
        <w:t xml:space="preserve"> of </w:t>
      </w:r>
      <w:r w:rsidRPr="001A3D2B">
        <w:t>radiology has been assessed by contacting five English language radiology journals. Redundant or duplicate publication has been reported infrequently, Radiology (1), American Journal</w:t>
      </w:r>
      <w:r w:rsidR="00427468">
        <w:t xml:space="preserve"> of </w:t>
      </w:r>
      <w:r w:rsidRPr="001A3D2B">
        <w:t>Roentgenology (3), Clinical Radiology (3), British Journal</w:t>
      </w:r>
      <w:r w:rsidR="00427468">
        <w:t xml:space="preserve"> of </w:t>
      </w:r>
      <w:r w:rsidRPr="001A3D2B">
        <w:t>Radiology (2)</w:t>
      </w:r>
      <w:r w:rsidR="005853A9">
        <w:t xml:space="preserve"> and </w:t>
      </w:r>
      <w:r w:rsidRPr="001A3D2B">
        <w:t>European Radiology (1)</w:t>
      </w:r>
      <w:r w:rsidR="00A37C1D">
        <w:t>. The</w:t>
      </w:r>
      <w:r w:rsidR="003A1917">
        <w:t xml:space="preserve"> </w:t>
      </w:r>
      <w:r w:rsidRPr="001A3D2B">
        <w:t>issue</w:t>
      </w:r>
      <w:r w:rsidR="00427468">
        <w:t xml:space="preserve"> of </w:t>
      </w:r>
      <w:r w:rsidRPr="001A3D2B">
        <w:t>how</w:t>
      </w:r>
      <w:r w:rsidR="003A1917">
        <w:t xml:space="preserve"> the </w:t>
      </w:r>
      <w:r w:rsidRPr="001A3D2B">
        <w:t>radiology community might tackle research misconduct is discussed with reference to guidance from</w:t>
      </w:r>
      <w:r w:rsidR="003A1917">
        <w:t xml:space="preserve"> the </w:t>
      </w:r>
      <w:r w:rsidRPr="001A3D2B">
        <w:t>Medical Research Council,</w:t>
      </w:r>
      <w:r w:rsidR="003A1917">
        <w:t xml:space="preserve"> the </w:t>
      </w:r>
      <w:r w:rsidRPr="001A3D2B">
        <w:t>Wellcome Trust</w:t>
      </w:r>
      <w:r w:rsidR="005853A9">
        <w:t xml:space="preserve"> and </w:t>
      </w:r>
      <w:r w:rsidR="003A1917">
        <w:t xml:space="preserve">the </w:t>
      </w:r>
      <w:r w:rsidRPr="001A3D2B">
        <w:t>Committee</w:t>
      </w:r>
      <w:r w:rsidR="00427468">
        <w:t xml:space="preserve"> of </w:t>
      </w:r>
      <w:r w:rsidRPr="001A3D2B">
        <w:t>Publication Ethics. (C) 2003</w:t>
      </w:r>
      <w:r w:rsidR="003A1917">
        <w:t xml:space="preserve"> the </w:t>
      </w:r>
      <w:r w:rsidRPr="001A3D2B">
        <w:t>Royal College</w:t>
      </w:r>
      <w:r w:rsidR="00427468">
        <w:t xml:space="preserve"> of </w:t>
      </w:r>
      <w:r w:rsidRPr="001A3D2B">
        <w:t>Radiologists. Published by Elsevier Science Ltd. All rights reserved.</w:t>
      </w:r>
    </w:p>
    <w:p w:rsidR="00694581" w:rsidRPr="001A3D2B" w:rsidRDefault="00694581" w:rsidP="00694581">
      <w:pPr>
        <w:pStyle w:val="a3"/>
      </w:pPr>
      <w:r w:rsidRPr="001A3D2B">
        <w:t>Keywords: Fraud, Scientific Misconduct, Research Misconduct, Duplicate Publication, Plagiarism, Good Research Practice, Magnetic-Resonance Cholangiopancreatography, Duplicate Publication, Direct Cholangiography, Diagnostic-Accuracy, Medical-Research, Notice, Choledocholithiasis, Plagiarism, Authorship</w:t>
      </w:r>
    </w:p>
    <w:p w:rsidR="00170662" w:rsidRDefault="00170662" w:rsidP="001D0DDF">
      <w:pPr>
        <w:pStyle w:val="a3"/>
        <w:rPr>
          <w:kern w:val="0"/>
        </w:rPr>
      </w:pPr>
      <w:r>
        <w:rPr>
          <w:rFonts w:hint="eastAsia"/>
          <w:kern w:val="0"/>
        </w:rPr>
        <w:t>Notes: CCountry</w:t>
      </w:r>
    </w:p>
    <w:p w:rsidR="001D0DDF" w:rsidRPr="001A3D2B" w:rsidRDefault="001D0DDF" w:rsidP="001D0DDF">
      <w:pPr>
        <w:pStyle w:val="a3"/>
        <w:rPr>
          <w:kern w:val="0"/>
        </w:rPr>
      </w:pPr>
      <w:r w:rsidRPr="001A3D2B">
        <w:rPr>
          <w:kern w:val="0"/>
        </w:rPr>
        <w:t>? Johnson, C.A.</w:t>
      </w:r>
      <w:r w:rsidR="005853A9">
        <w:rPr>
          <w:kern w:val="0"/>
        </w:rPr>
        <w:t xml:space="preserve"> and </w:t>
      </w:r>
      <w:r w:rsidRPr="001A3D2B">
        <w:rPr>
          <w:kern w:val="0"/>
        </w:rPr>
        <w:t>Toms, A.P. (2009</w:t>
      </w:r>
      <w:r w:rsidR="00F42EAC">
        <w:rPr>
          <w:kern w:val="0"/>
        </w:rPr>
        <w:t>), The</w:t>
      </w:r>
      <w:r w:rsidR="003A1917">
        <w:rPr>
          <w:kern w:val="0"/>
        </w:rPr>
        <w:t xml:space="preserve"> </w:t>
      </w:r>
      <w:r w:rsidRPr="001A3D2B">
        <w:rPr>
          <w:kern w:val="0"/>
        </w:rPr>
        <w:t>impact</w:t>
      </w:r>
      <w:r w:rsidR="00427468">
        <w:rPr>
          <w:kern w:val="0"/>
        </w:rPr>
        <w:t xml:space="preserve"> of </w:t>
      </w:r>
      <w:r w:rsidRPr="001A3D2B">
        <w:rPr>
          <w:kern w:val="0"/>
        </w:rPr>
        <w:t xml:space="preserve">European research ethics legislation on UK radiology research activity: A bibliometric analysis. </w:t>
      </w:r>
      <w:r w:rsidRPr="001A3D2B">
        <w:rPr>
          <w:i/>
          <w:iCs/>
          <w:kern w:val="0"/>
        </w:rPr>
        <w:t>Clinical Radiology</w:t>
      </w:r>
      <w:r w:rsidRPr="001A3D2B">
        <w:rPr>
          <w:kern w:val="0"/>
        </w:rPr>
        <w:t xml:space="preserve">, </w:t>
      </w:r>
      <w:r w:rsidRPr="001A3D2B">
        <w:rPr>
          <w:b/>
          <w:bCs/>
          <w:kern w:val="0"/>
        </w:rPr>
        <w:t>64</w:t>
      </w:r>
      <w:r w:rsidRPr="001A3D2B">
        <w:rPr>
          <w:kern w:val="0"/>
        </w:rPr>
        <w:t xml:space="preserve"> (10), 983-987.</w:t>
      </w:r>
    </w:p>
    <w:p w:rsidR="001D0DDF" w:rsidRPr="001A3D2B" w:rsidRDefault="001D0DDF" w:rsidP="001D0DDF">
      <w:pPr>
        <w:pStyle w:val="a3"/>
        <w:rPr>
          <w:kern w:val="0"/>
        </w:rPr>
      </w:pPr>
      <w:r w:rsidRPr="001A3D2B">
        <w:rPr>
          <w:kern w:val="0"/>
        </w:rPr>
        <w:t xml:space="preserve">Full Text: </w:t>
      </w:r>
      <w:hyperlink r:id="rId416" w:history="1">
        <w:r w:rsidRPr="001A3D2B">
          <w:rPr>
            <w:rStyle w:val="a5"/>
            <w:kern w:val="0"/>
          </w:rPr>
          <w:t>2009\Cli Rad64, 983.pdf</w:t>
        </w:r>
      </w:hyperlink>
    </w:p>
    <w:p w:rsidR="001D0DDF" w:rsidRPr="001A3D2B" w:rsidRDefault="001D0DDF" w:rsidP="001D0DDF">
      <w:pPr>
        <w:pStyle w:val="a3"/>
        <w:rPr>
          <w:kern w:val="0"/>
        </w:rPr>
      </w:pPr>
      <w:r w:rsidRPr="001A3D2B">
        <w:rPr>
          <w:kern w:val="0"/>
        </w:rPr>
        <w:t>Abstract: AIM: To determine whether there is evidence</w:t>
      </w:r>
      <w:r w:rsidR="00427468">
        <w:rPr>
          <w:kern w:val="0"/>
        </w:rPr>
        <w:t xml:space="preserve"> of </w:t>
      </w:r>
      <w:r w:rsidRPr="001A3D2B">
        <w:rPr>
          <w:kern w:val="0"/>
        </w:rPr>
        <w:t xml:space="preserve">a reduction in radiology </w:t>
      </w:r>
      <w:r w:rsidRPr="001A3D2B">
        <w:rPr>
          <w:kern w:val="0"/>
        </w:rPr>
        <w:lastRenderedPageBreak/>
        <w:t>research activity in</w:t>
      </w:r>
      <w:r w:rsidR="003A1917">
        <w:rPr>
          <w:kern w:val="0"/>
        </w:rPr>
        <w:t xml:space="preserve"> the </w:t>
      </w:r>
      <w:r w:rsidRPr="001A3D2B">
        <w:rPr>
          <w:kern w:val="0"/>
        </w:rPr>
        <w:t>UK following</w:t>
      </w:r>
      <w:r w:rsidR="003A1917">
        <w:rPr>
          <w:kern w:val="0"/>
        </w:rPr>
        <w:t xml:space="preserve"> the </w:t>
      </w:r>
      <w:r w:rsidRPr="001A3D2B">
        <w:rPr>
          <w:kern w:val="0"/>
        </w:rPr>
        <w:t>implementation</w:t>
      </w:r>
      <w:r w:rsidR="00427468">
        <w:rPr>
          <w:kern w:val="0"/>
        </w:rPr>
        <w:t xml:space="preserve"> of </w:t>
      </w:r>
      <w:r w:rsidR="003A1917">
        <w:rPr>
          <w:kern w:val="0"/>
        </w:rPr>
        <w:t xml:space="preserve">the </w:t>
      </w:r>
      <w:r w:rsidRPr="001A3D2B">
        <w:rPr>
          <w:kern w:val="0"/>
        </w:rPr>
        <w:t>European research ethics legislation, which came in to force in 2001</w:t>
      </w:r>
      <w:r w:rsidR="005853A9">
        <w:rPr>
          <w:kern w:val="0"/>
        </w:rPr>
        <w:t xml:space="preserve"> and </w:t>
      </w:r>
      <w:r w:rsidRPr="001A3D2B">
        <w:rPr>
          <w:kern w:val="0"/>
        </w:rPr>
        <w:t>has been widely criticised as an impediment to research. MATERIALS</w:t>
      </w:r>
      <w:r w:rsidR="005853A9">
        <w:rPr>
          <w:kern w:val="0"/>
        </w:rPr>
        <w:t xml:space="preserve"> and </w:t>
      </w:r>
      <w:r w:rsidRPr="001A3D2B">
        <w:rPr>
          <w:kern w:val="0"/>
        </w:rPr>
        <w:t xml:space="preserve">METHODS: A bibliometric analysis was performed by searching </w:t>
      </w:r>
      <w:r>
        <w:rPr>
          <w:kern w:val="0"/>
        </w:rPr>
        <w:t>PUBMED</w:t>
      </w:r>
      <w:r w:rsidRPr="001A3D2B">
        <w:rPr>
          <w:kern w:val="0"/>
        </w:rPr>
        <w:t xml:space="preserve"> for all first-author publications from UK departments</w:t>
      </w:r>
      <w:r w:rsidR="00427468">
        <w:rPr>
          <w:kern w:val="0"/>
        </w:rPr>
        <w:t xml:space="preserve"> of </w:t>
      </w:r>
      <w:r w:rsidR="00B5188C">
        <w:rPr>
          <w:kern w:val="0"/>
        </w:rPr>
        <w:t>“</w:t>
      </w:r>
      <w:r w:rsidRPr="001A3D2B">
        <w:rPr>
          <w:kern w:val="0"/>
        </w:rPr>
        <w:t>radiology</w:t>
      </w:r>
      <w:r w:rsidR="00B5188C">
        <w:rPr>
          <w:kern w:val="0"/>
        </w:rPr>
        <w:t>”</w:t>
      </w:r>
      <w:r w:rsidRPr="001A3D2B">
        <w:rPr>
          <w:kern w:val="0"/>
        </w:rPr>
        <w:t xml:space="preserve"> or </w:t>
      </w:r>
      <w:r w:rsidR="00B5188C">
        <w:rPr>
          <w:kern w:val="0"/>
        </w:rPr>
        <w:t>“</w:t>
      </w:r>
      <w:r w:rsidRPr="001A3D2B">
        <w:rPr>
          <w:kern w:val="0"/>
        </w:rPr>
        <w:t>medical imaging</w:t>
      </w:r>
      <w:r w:rsidR="00B5188C">
        <w:rPr>
          <w:kern w:val="0"/>
        </w:rPr>
        <w:t>”</w:t>
      </w:r>
      <w:r w:rsidRPr="001A3D2B">
        <w:rPr>
          <w:kern w:val="0"/>
        </w:rPr>
        <w:t xml:space="preserve"> between 1995</w:t>
      </w:r>
      <w:r w:rsidR="005853A9">
        <w:rPr>
          <w:kern w:val="0"/>
        </w:rPr>
        <w:t xml:space="preserve"> and </w:t>
      </w:r>
      <w:r w:rsidRPr="001A3D2B">
        <w:rPr>
          <w:kern w:val="0"/>
        </w:rPr>
        <w:t>2007. Results were subcategorized into those papers published in</w:t>
      </w:r>
      <w:r w:rsidR="003A1917">
        <w:rPr>
          <w:kern w:val="0"/>
        </w:rPr>
        <w:t xml:space="preserve"> the </w:t>
      </w:r>
      <w:r w:rsidRPr="001A3D2B">
        <w:rPr>
          <w:kern w:val="0"/>
        </w:rPr>
        <w:t>highest cited general radiology journals</w:t>
      </w:r>
      <w:r w:rsidR="005853A9">
        <w:rPr>
          <w:kern w:val="0"/>
        </w:rPr>
        <w:t xml:space="preserve"> and </w:t>
      </w:r>
      <w:r w:rsidRPr="001A3D2B">
        <w:rPr>
          <w:kern w:val="0"/>
        </w:rPr>
        <w:t>by publication type: original research, reviews,</w:t>
      </w:r>
      <w:r w:rsidR="005853A9">
        <w:rPr>
          <w:kern w:val="0"/>
        </w:rPr>
        <w:t xml:space="preserve"> and </w:t>
      </w:r>
      <w:r w:rsidRPr="001A3D2B">
        <w:rPr>
          <w:kern w:val="0"/>
        </w:rPr>
        <w:t>case reports. RESULTS: From 1995 to 2007</w:t>
      </w:r>
      <w:r w:rsidR="003A1917">
        <w:rPr>
          <w:kern w:val="0"/>
        </w:rPr>
        <w:t xml:space="preserve"> the </w:t>
      </w:r>
      <w:r w:rsidRPr="001A3D2B">
        <w:rPr>
          <w:kern w:val="0"/>
        </w:rPr>
        <w:t>total number</w:t>
      </w:r>
      <w:r w:rsidR="00427468">
        <w:rPr>
          <w:kern w:val="0"/>
        </w:rPr>
        <w:t xml:space="preserve"> of </w:t>
      </w:r>
      <w:r w:rsidRPr="001A3D2B">
        <w:rPr>
          <w:kern w:val="0"/>
        </w:rPr>
        <w:t>publications rose by 6.5% from 137 to 146 with</w:t>
      </w:r>
      <w:r w:rsidR="003A1917">
        <w:rPr>
          <w:kern w:val="0"/>
        </w:rPr>
        <w:t xml:space="preserve"> the </w:t>
      </w:r>
      <w:r w:rsidRPr="001A3D2B">
        <w:rPr>
          <w:kern w:val="0"/>
        </w:rPr>
        <w:t>increase occurring in non-general radiology journals. Original articles fell from 18 in 1995 to 12 in 2003, but then rose to 24 by 2007 (33% rise). This dip was paralleled by a fall</w:t>
      </w:r>
      <w:r w:rsidR="005853A9">
        <w:rPr>
          <w:kern w:val="0"/>
        </w:rPr>
        <w:t xml:space="preserve"> and </w:t>
      </w:r>
      <w:r w:rsidRPr="001A3D2B">
        <w:rPr>
          <w:kern w:val="0"/>
        </w:rPr>
        <w:t>then recovery in case report publications</w:t>
      </w:r>
      <w:r w:rsidR="00A37C1D">
        <w:rPr>
          <w:kern w:val="0"/>
        </w:rPr>
        <w:t>. The</w:t>
      </w:r>
      <w:r w:rsidR="003A1917">
        <w:rPr>
          <w:kern w:val="0"/>
        </w:rPr>
        <w:t xml:space="preserve"> </w:t>
      </w:r>
      <w:r w:rsidRPr="001A3D2B">
        <w:rPr>
          <w:kern w:val="0"/>
        </w:rPr>
        <w:t>most dramatic change has been in</w:t>
      </w:r>
      <w:r w:rsidR="003A1917">
        <w:rPr>
          <w:kern w:val="0"/>
        </w:rPr>
        <w:t xml:space="preserve"> the </w:t>
      </w:r>
      <w:r w:rsidRPr="001A3D2B">
        <w:rPr>
          <w:kern w:val="0"/>
        </w:rPr>
        <w:t>number</w:t>
      </w:r>
      <w:r w:rsidR="00427468">
        <w:rPr>
          <w:kern w:val="0"/>
        </w:rPr>
        <w:t xml:space="preserve"> of </w:t>
      </w:r>
      <w:r w:rsidRPr="001A3D2B">
        <w:rPr>
          <w:kern w:val="0"/>
        </w:rPr>
        <w:t>review articles, which has increased more than eightfold from seven in 1995 to 65 in 2007 to become</w:t>
      </w:r>
      <w:r w:rsidR="003A1917">
        <w:rPr>
          <w:kern w:val="0"/>
        </w:rPr>
        <w:t xml:space="preserve"> the </w:t>
      </w:r>
      <w:r w:rsidRPr="001A3D2B">
        <w:rPr>
          <w:kern w:val="0"/>
        </w:rPr>
        <w:t>most common form</w:t>
      </w:r>
      <w:r w:rsidR="00427468">
        <w:rPr>
          <w:kern w:val="0"/>
        </w:rPr>
        <w:t xml:space="preserve"> of </w:t>
      </w:r>
      <w:r w:rsidRPr="001A3D2B">
        <w:rPr>
          <w:kern w:val="0"/>
        </w:rPr>
        <w:t>publication. CONCLUSION:</w:t>
      </w:r>
      <w:r w:rsidR="003A1917">
        <w:rPr>
          <w:kern w:val="0"/>
        </w:rPr>
        <w:t xml:space="preserve"> the </w:t>
      </w:r>
      <w:r w:rsidRPr="001A3D2B">
        <w:rPr>
          <w:kern w:val="0"/>
        </w:rPr>
        <w:t>overall number</w:t>
      </w:r>
      <w:r w:rsidR="00427468">
        <w:rPr>
          <w:kern w:val="0"/>
        </w:rPr>
        <w:t xml:space="preserve"> of </w:t>
      </w:r>
      <w:r w:rsidRPr="001A3D2B">
        <w:rPr>
          <w:kern w:val="0"/>
        </w:rPr>
        <w:t>original scientific articles, published by first-author UK radiologists, has increased slightly over</w:t>
      </w:r>
      <w:r w:rsidR="003A1917">
        <w:rPr>
          <w:kern w:val="0"/>
        </w:rPr>
        <w:t xml:space="preserve"> the </w:t>
      </w:r>
      <w:r w:rsidRPr="001A3D2B">
        <w:rPr>
          <w:kern w:val="0"/>
        </w:rPr>
        <w:t>last 12 years despite a temporary fall associated with</w:t>
      </w:r>
      <w:r w:rsidR="003A1917">
        <w:rPr>
          <w:kern w:val="0"/>
        </w:rPr>
        <w:t xml:space="preserve"> the </w:t>
      </w:r>
      <w:r w:rsidRPr="001A3D2B">
        <w:rPr>
          <w:kern w:val="0"/>
        </w:rPr>
        <w:t>introduction</w:t>
      </w:r>
      <w:r w:rsidR="00427468">
        <w:rPr>
          <w:kern w:val="0"/>
        </w:rPr>
        <w:t xml:space="preserve"> of </w:t>
      </w:r>
      <w:r w:rsidRPr="001A3D2B">
        <w:rPr>
          <w:kern w:val="0"/>
        </w:rPr>
        <w:t>new research ethics legislation. (C) 2009</w:t>
      </w:r>
      <w:r w:rsidR="003A1917">
        <w:rPr>
          <w:kern w:val="0"/>
        </w:rPr>
        <w:t xml:space="preserve"> the </w:t>
      </w:r>
      <w:r w:rsidRPr="001A3D2B">
        <w:rPr>
          <w:kern w:val="0"/>
        </w:rPr>
        <w:t>Royal College</w:t>
      </w:r>
      <w:r w:rsidR="00427468">
        <w:rPr>
          <w:kern w:val="0"/>
        </w:rPr>
        <w:t xml:space="preserve"> of </w:t>
      </w:r>
      <w:r w:rsidRPr="001A3D2B">
        <w:rPr>
          <w:kern w:val="0"/>
        </w:rPr>
        <w:t>Radiologists. Published by Elsevier Ltd. All rights reserved.</w:t>
      </w:r>
    </w:p>
    <w:p w:rsidR="001D0DDF" w:rsidRPr="001A3D2B" w:rsidRDefault="001D0DDF" w:rsidP="001D0DDF">
      <w:pPr>
        <w:pStyle w:val="a3"/>
        <w:rPr>
          <w:kern w:val="0"/>
        </w:rPr>
      </w:pPr>
      <w:r w:rsidRPr="001A3D2B">
        <w:rPr>
          <w:kern w:val="0"/>
        </w:rPr>
        <w:t>Keywords: Bibliometric Analysis, Corec, Research Governance</w:t>
      </w:r>
    </w:p>
    <w:p w:rsidR="000E063D" w:rsidRPr="001A3D2B" w:rsidRDefault="000E063D" w:rsidP="000E063D">
      <w:pPr>
        <w:pStyle w:val="1"/>
      </w:pPr>
      <w:r w:rsidRPr="001A3D2B">
        <w:br w:type="page"/>
      </w:r>
      <w:bookmarkStart w:id="310" w:name="_Toc420815046"/>
      <w:r w:rsidRPr="001A3D2B">
        <w:lastRenderedPageBreak/>
        <w:t xml:space="preserve">Title: </w:t>
      </w:r>
      <w:r w:rsidRPr="001A3D2B">
        <w:rPr>
          <w:iCs w:val="0"/>
        </w:rPr>
        <w:t>Clinical Rehabilitation</w:t>
      </w:r>
      <w:bookmarkEnd w:id="310"/>
    </w:p>
    <w:p w:rsidR="000E063D" w:rsidRPr="001A3D2B" w:rsidRDefault="000E063D" w:rsidP="000E063D">
      <w:pPr>
        <w:pStyle w:val="12"/>
      </w:pPr>
      <w:r w:rsidRPr="001A3D2B">
        <w:t xml:space="preserve">Full Journal Title: </w:t>
      </w:r>
      <w:r w:rsidRPr="001A3D2B">
        <w:rPr>
          <w:iCs/>
          <w:kern w:val="0"/>
        </w:rPr>
        <w:t>Clinical Rehabilitation</w:t>
      </w:r>
    </w:p>
    <w:p w:rsidR="000E063D" w:rsidRPr="001A3D2B" w:rsidRDefault="000E063D" w:rsidP="000E063D">
      <w:pPr>
        <w:pStyle w:val="12"/>
      </w:pPr>
      <w:r w:rsidRPr="001A3D2B">
        <w:t xml:space="preserve">ISO Abbreviated Title: </w:t>
      </w:r>
    </w:p>
    <w:p w:rsidR="000E063D" w:rsidRPr="001A3D2B" w:rsidRDefault="000E063D" w:rsidP="000E063D">
      <w:pPr>
        <w:pStyle w:val="12"/>
      </w:pPr>
      <w:r w:rsidRPr="001A3D2B">
        <w:t xml:space="preserve">JCR Abbreviated Title: </w:t>
      </w:r>
    </w:p>
    <w:p w:rsidR="000E063D" w:rsidRPr="001A3D2B" w:rsidRDefault="000E063D" w:rsidP="000E063D">
      <w:pPr>
        <w:pStyle w:val="12"/>
      </w:pPr>
      <w:r w:rsidRPr="001A3D2B">
        <w:t xml:space="preserve">ISSN: </w:t>
      </w:r>
    </w:p>
    <w:p w:rsidR="000E063D" w:rsidRPr="001A3D2B" w:rsidRDefault="000E063D" w:rsidP="000E063D">
      <w:pPr>
        <w:pStyle w:val="12"/>
      </w:pPr>
      <w:r w:rsidRPr="001A3D2B">
        <w:t xml:space="preserve">Issues/Year: </w:t>
      </w:r>
    </w:p>
    <w:p w:rsidR="000E063D" w:rsidRPr="001A3D2B" w:rsidRDefault="000E063D" w:rsidP="000E063D">
      <w:pPr>
        <w:pStyle w:val="12"/>
      </w:pPr>
      <w:r w:rsidRPr="001A3D2B">
        <w:t xml:space="preserve">Journal Country/Territory: </w:t>
      </w:r>
    </w:p>
    <w:p w:rsidR="000E063D" w:rsidRPr="001A3D2B" w:rsidRDefault="000E063D" w:rsidP="000E063D">
      <w:pPr>
        <w:pStyle w:val="12"/>
      </w:pPr>
      <w:r w:rsidRPr="001A3D2B">
        <w:t xml:space="preserve">Language: </w:t>
      </w:r>
    </w:p>
    <w:p w:rsidR="000E063D" w:rsidRPr="001A3D2B" w:rsidRDefault="000E063D" w:rsidP="000E063D">
      <w:pPr>
        <w:pStyle w:val="12"/>
      </w:pPr>
      <w:r w:rsidRPr="001A3D2B">
        <w:t xml:space="preserve">Publisher: </w:t>
      </w:r>
    </w:p>
    <w:p w:rsidR="000E063D" w:rsidRPr="001A3D2B" w:rsidRDefault="000E063D" w:rsidP="000E063D">
      <w:pPr>
        <w:pStyle w:val="12"/>
      </w:pPr>
      <w:r w:rsidRPr="001A3D2B">
        <w:t xml:space="preserve">Publisher Address: </w:t>
      </w:r>
    </w:p>
    <w:p w:rsidR="000E063D" w:rsidRPr="001A3D2B" w:rsidRDefault="000E063D" w:rsidP="000E063D">
      <w:pPr>
        <w:pStyle w:val="12"/>
      </w:pPr>
      <w:r w:rsidRPr="001A3D2B">
        <w:t xml:space="preserve">Subject Categories: </w:t>
      </w:r>
    </w:p>
    <w:p w:rsidR="000E063D" w:rsidRPr="001A3D2B" w:rsidRDefault="000E063D" w:rsidP="000E063D">
      <w:pPr>
        <w:pStyle w:val="12"/>
      </w:pPr>
      <w:r w:rsidRPr="001A3D2B">
        <w:t xml:space="preserve">: Impact Factor </w:t>
      </w:r>
    </w:p>
    <w:p w:rsidR="000E063D" w:rsidRDefault="000E063D" w:rsidP="000E063D">
      <w:pPr>
        <w:pStyle w:val="a3"/>
        <w:rPr>
          <w:kern w:val="0"/>
        </w:rPr>
      </w:pPr>
      <w:r>
        <w:rPr>
          <w:rFonts w:hint="eastAsia"/>
          <w:kern w:val="0"/>
        </w:rPr>
        <w:t xml:space="preserve">? </w:t>
      </w:r>
      <w:r>
        <w:rPr>
          <w:kern w:val="0"/>
        </w:rPr>
        <w:t>McKeown, L.P., Porter-Armstrong, A.P.</w:t>
      </w:r>
      <w:r w:rsidR="005853A9">
        <w:rPr>
          <w:kern w:val="0"/>
        </w:rPr>
        <w:t xml:space="preserve"> and </w:t>
      </w:r>
      <w:r>
        <w:rPr>
          <w:kern w:val="0"/>
        </w:rPr>
        <w:t>Baxter, G.D. (2003</w:t>
      </w:r>
      <w:r w:rsidR="00F42EAC">
        <w:rPr>
          <w:kern w:val="0"/>
        </w:rPr>
        <w:t>), The</w:t>
      </w:r>
      <w:r w:rsidR="003A1917">
        <w:rPr>
          <w:kern w:val="0"/>
        </w:rPr>
        <w:t xml:space="preserve"> </w:t>
      </w:r>
      <w:r>
        <w:rPr>
          <w:kern w:val="0"/>
        </w:rPr>
        <w:t>needs</w:t>
      </w:r>
      <w:r w:rsidR="005853A9">
        <w:rPr>
          <w:kern w:val="0"/>
        </w:rPr>
        <w:t xml:space="preserve"> and </w:t>
      </w:r>
      <w:r>
        <w:rPr>
          <w:kern w:val="0"/>
        </w:rPr>
        <w:t>experiences</w:t>
      </w:r>
      <w:r w:rsidR="00427468">
        <w:rPr>
          <w:kern w:val="0"/>
        </w:rPr>
        <w:t xml:space="preserve"> of </w:t>
      </w:r>
      <w:r>
        <w:rPr>
          <w:kern w:val="0"/>
        </w:rPr>
        <w:t>caregivers</w:t>
      </w:r>
      <w:r w:rsidR="00427468">
        <w:rPr>
          <w:kern w:val="0"/>
        </w:rPr>
        <w:t xml:space="preserve"> of </w:t>
      </w:r>
      <w:r>
        <w:rPr>
          <w:kern w:val="0"/>
        </w:rPr>
        <w:t xml:space="preserve">individuals with multiple sclerosis: A systematic review. </w:t>
      </w:r>
      <w:r>
        <w:rPr>
          <w:i/>
          <w:iCs/>
          <w:kern w:val="0"/>
        </w:rPr>
        <w:t>Clinical Rehabilitation</w:t>
      </w:r>
      <w:r>
        <w:rPr>
          <w:kern w:val="0"/>
        </w:rPr>
        <w:t xml:space="preserve">, </w:t>
      </w:r>
      <w:r>
        <w:rPr>
          <w:b/>
          <w:bCs/>
          <w:kern w:val="0"/>
        </w:rPr>
        <w:t>17</w:t>
      </w:r>
      <w:r>
        <w:rPr>
          <w:kern w:val="0"/>
        </w:rPr>
        <w:t xml:space="preserve"> (3), 234-248.</w:t>
      </w:r>
    </w:p>
    <w:p w:rsidR="000E063D" w:rsidRDefault="000E063D" w:rsidP="000E063D">
      <w:pPr>
        <w:pStyle w:val="a3"/>
        <w:rPr>
          <w:kern w:val="0"/>
          <w:szCs w:val="24"/>
        </w:rPr>
      </w:pPr>
      <w:r>
        <w:rPr>
          <w:rFonts w:hint="eastAsia"/>
          <w:kern w:val="0"/>
          <w:szCs w:val="24"/>
        </w:rPr>
        <w:t xml:space="preserve">Full Text: </w:t>
      </w:r>
      <w:hyperlink r:id="rId417" w:history="1">
        <w:r w:rsidR="00D03F3B" w:rsidRPr="00D03F3B">
          <w:rPr>
            <w:rStyle w:val="a5"/>
            <w:kern w:val="0"/>
            <w:szCs w:val="24"/>
          </w:rPr>
          <w:t>2003\Cli Reh17, 234.pdf</w:t>
        </w:r>
      </w:hyperlink>
    </w:p>
    <w:p w:rsidR="000E063D" w:rsidRDefault="000E063D" w:rsidP="000E063D">
      <w:pPr>
        <w:pStyle w:val="a3"/>
        <w:rPr>
          <w:kern w:val="0"/>
        </w:rPr>
      </w:pPr>
      <w:r>
        <w:rPr>
          <w:kern w:val="0"/>
        </w:rPr>
        <w:t>Abstract: Primary objective: To appraise recent studies regarding</w:t>
      </w:r>
      <w:r w:rsidR="003A1917">
        <w:rPr>
          <w:kern w:val="0"/>
        </w:rPr>
        <w:t xml:space="preserve"> the </w:t>
      </w:r>
      <w:r>
        <w:rPr>
          <w:kern w:val="0"/>
        </w:rPr>
        <w:t>needs</w:t>
      </w:r>
      <w:r w:rsidR="005853A9">
        <w:rPr>
          <w:kern w:val="0"/>
        </w:rPr>
        <w:t xml:space="preserve"> and </w:t>
      </w:r>
      <w:r>
        <w:rPr>
          <w:kern w:val="0"/>
        </w:rPr>
        <w:t>experiences</w:t>
      </w:r>
      <w:r w:rsidR="00427468">
        <w:rPr>
          <w:kern w:val="0"/>
        </w:rPr>
        <w:t xml:space="preserve"> of </w:t>
      </w:r>
      <w:r>
        <w:rPr>
          <w:kern w:val="0"/>
        </w:rPr>
        <w:t>caregivers</w:t>
      </w:r>
      <w:r w:rsidR="00427468">
        <w:rPr>
          <w:kern w:val="0"/>
        </w:rPr>
        <w:t xml:space="preserve"> of </w:t>
      </w:r>
      <w:r>
        <w:rPr>
          <w:kern w:val="0"/>
        </w:rPr>
        <w:t>individuals with multiple sclerosis (MS). Design:</w:t>
      </w:r>
      <w:r w:rsidR="003A1917">
        <w:rPr>
          <w:kern w:val="0"/>
        </w:rPr>
        <w:t xml:space="preserve"> the </w:t>
      </w:r>
      <w:r>
        <w:rPr>
          <w:kern w:val="0"/>
        </w:rPr>
        <w:t xml:space="preserve">following computerized databases were searched: CINAHL, BIDS IBSS, ASSIA, </w:t>
      </w:r>
      <w:r w:rsidR="00D5664A">
        <w:rPr>
          <w:kern w:val="0"/>
        </w:rPr>
        <w:t>MEDLINE</w:t>
      </w:r>
      <w:r>
        <w:rPr>
          <w:kern w:val="0"/>
        </w:rPr>
        <w:t xml:space="preserve">, PSYCHINFO, British Nursing Index, </w:t>
      </w:r>
      <w:r w:rsidR="00730B6D">
        <w:rPr>
          <w:kern w:val="0"/>
        </w:rPr>
        <w:t xml:space="preserve">ISI </w:t>
      </w:r>
      <w:r w:rsidR="00D5664A">
        <w:rPr>
          <w:kern w:val="0"/>
        </w:rPr>
        <w:t>Web</w:t>
      </w:r>
      <w:r w:rsidR="00427468">
        <w:rPr>
          <w:kern w:val="0"/>
        </w:rPr>
        <w:t xml:space="preserve"> of </w:t>
      </w:r>
      <w:r w:rsidR="00D5664A">
        <w:rPr>
          <w:kern w:val="0"/>
        </w:rPr>
        <w:t>Science</w:t>
      </w:r>
      <w:r>
        <w:rPr>
          <w:kern w:val="0"/>
        </w:rPr>
        <w:t>, Zetoc, AMED (1990-April 2002)</w:t>
      </w:r>
      <w:r w:rsidR="00A37C1D">
        <w:rPr>
          <w:kern w:val="0"/>
        </w:rPr>
        <w:t>. The</w:t>
      </w:r>
      <w:r w:rsidR="003A1917">
        <w:rPr>
          <w:kern w:val="0"/>
        </w:rPr>
        <w:t xml:space="preserve"> </w:t>
      </w:r>
      <w:r>
        <w:rPr>
          <w:kern w:val="0"/>
        </w:rPr>
        <w:t>computer-based search was supplemented by manual searches</w:t>
      </w:r>
      <w:r w:rsidR="00427468">
        <w:rPr>
          <w:kern w:val="0"/>
        </w:rPr>
        <w:t xml:space="preserve"> of </w:t>
      </w:r>
      <w:r w:rsidR="003A1917">
        <w:rPr>
          <w:kern w:val="0"/>
        </w:rPr>
        <w:t xml:space="preserve">the </w:t>
      </w:r>
      <w:r>
        <w:rPr>
          <w:kern w:val="0"/>
        </w:rPr>
        <w:t>reference lists</w:t>
      </w:r>
      <w:r w:rsidR="00427468">
        <w:rPr>
          <w:kern w:val="0"/>
        </w:rPr>
        <w:t xml:space="preserve"> of </w:t>
      </w:r>
      <w:r>
        <w:rPr>
          <w:kern w:val="0"/>
        </w:rPr>
        <w:t>all retrieved studies</w:t>
      </w:r>
      <w:r w:rsidR="005853A9">
        <w:rPr>
          <w:kern w:val="0"/>
        </w:rPr>
        <w:t xml:space="preserve"> and </w:t>
      </w:r>
      <w:r>
        <w:rPr>
          <w:kern w:val="0"/>
        </w:rPr>
        <w:t>review articles. Inclusion</w:t>
      </w:r>
      <w:r w:rsidR="005853A9">
        <w:rPr>
          <w:kern w:val="0"/>
        </w:rPr>
        <w:t xml:space="preserve"> and </w:t>
      </w:r>
      <w:r>
        <w:rPr>
          <w:kern w:val="0"/>
        </w:rPr>
        <w:t>exclusion criteria were formulated. Results: Twenty-four studies from across</w:t>
      </w:r>
      <w:r w:rsidR="003A1917">
        <w:rPr>
          <w:kern w:val="0"/>
        </w:rPr>
        <w:t xml:space="preserve"> the </w:t>
      </w:r>
      <w:r>
        <w:rPr>
          <w:kern w:val="0"/>
        </w:rPr>
        <w:t>world that met</w:t>
      </w:r>
      <w:r w:rsidR="003A1917">
        <w:rPr>
          <w:kern w:val="0"/>
        </w:rPr>
        <w:t xml:space="preserve"> the </w:t>
      </w:r>
      <w:r>
        <w:rPr>
          <w:kern w:val="0"/>
        </w:rPr>
        <w:t>inclusion criteria were reviewed</w:t>
      </w:r>
      <w:r w:rsidR="00A37C1D">
        <w:rPr>
          <w:kern w:val="0"/>
        </w:rPr>
        <w:t>. The</w:t>
      </w:r>
      <w:r w:rsidR="003A1917">
        <w:rPr>
          <w:kern w:val="0"/>
        </w:rPr>
        <w:t xml:space="preserve"> </w:t>
      </w:r>
      <w:r>
        <w:rPr>
          <w:kern w:val="0"/>
        </w:rPr>
        <w:t>majority</w:t>
      </w:r>
      <w:r w:rsidR="00427468">
        <w:rPr>
          <w:kern w:val="0"/>
        </w:rPr>
        <w:t xml:space="preserve"> of </w:t>
      </w:r>
      <w:r>
        <w:rPr>
          <w:kern w:val="0"/>
        </w:rPr>
        <w:t>studies were descriptive in nature</w:t>
      </w:r>
      <w:r w:rsidR="00A37C1D">
        <w:rPr>
          <w:kern w:val="0"/>
        </w:rPr>
        <w:t>. The</w:t>
      </w:r>
      <w:r w:rsidR="003A1917">
        <w:rPr>
          <w:kern w:val="0"/>
        </w:rPr>
        <w:t xml:space="preserve"> </w:t>
      </w:r>
      <w:r>
        <w:rPr>
          <w:kern w:val="0"/>
        </w:rPr>
        <w:t>studies covered a variety</w:t>
      </w:r>
      <w:r w:rsidR="00427468">
        <w:rPr>
          <w:kern w:val="0"/>
        </w:rPr>
        <w:t xml:space="preserve"> of </w:t>
      </w:r>
      <w:r>
        <w:rPr>
          <w:kern w:val="0"/>
        </w:rPr>
        <w:t>topics, including how carers assist people with MS,</w:t>
      </w:r>
      <w:r w:rsidR="003A1917">
        <w:rPr>
          <w:kern w:val="0"/>
        </w:rPr>
        <w:t xml:space="preserve"> the </w:t>
      </w:r>
      <w:r>
        <w:rPr>
          <w:kern w:val="0"/>
        </w:rPr>
        <w:t>effect</w:t>
      </w:r>
      <w:r w:rsidR="00427468">
        <w:rPr>
          <w:kern w:val="0"/>
        </w:rPr>
        <w:t xml:space="preserve"> of </w:t>
      </w:r>
      <w:r>
        <w:rPr>
          <w:kern w:val="0"/>
        </w:rPr>
        <w:t>providing care on a carer</w:t>
      </w:r>
      <w:r w:rsidR="0071223E">
        <w:rPr>
          <w:kern w:val="0"/>
        </w:rPr>
        <w:t>’</w:t>
      </w:r>
      <w:r w:rsidR="00C13DDC">
        <w:rPr>
          <w:kern w:val="0"/>
        </w:rPr>
        <w:t>s</w:t>
      </w:r>
      <w:r>
        <w:rPr>
          <w:kern w:val="0"/>
        </w:rPr>
        <w:t xml:space="preserve"> physical</w:t>
      </w:r>
      <w:r w:rsidR="005853A9">
        <w:rPr>
          <w:kern w:val="0"/>
        </w:rPr>
        <w:t xml:space="preserve"> and </w:t>
      </w:r>
      <w:r>
        <w:rPr>
          <w:kern w:val="0"/>
        </w:rPr>
        <w:t>psychological wellbeing, social life, financial situation</w:t>
      </w:r>
      <w:r w:rsidR="005853A9">
        <w:rPr>
          <w:kern w:val="0"/>
        </w:rPr>
        <w:t xml:space="preserve"> and </w:t>
      </w:r>
      <w:r>
        <w:rPr>
          <w:kern w:val="0"/>
        </w:rPr>
        <w:t>overall quality</w:t>
      </w:r>
      <w:r w:rsidR="00427468">
        <w:rPr>
          <w:kern w:val="0"/>
        </w:rPr>
        <w:t xml:space="preserve"> of </w:t>
      </w:r>
      <w:r>
        <w:rPr>
          <w:kern w:val="0"/>
        </w:rPr>
        <w:t>life,</w:t>
      </w:r>
      <w:r w:rsidR="005853A9">
        <w:rPr>
          <w:kern w:val="0"/>
        </w:rPr>
        <w:t xml:space="preserve"> and </w:t>
      </w:r>
      <w:r>
        <w:rPr>
          <w:kern w:val="0"/>
        </w:rPr>
        <w:t>how carers cope with</w:t>
      </w:r>
      <w:r w:rsidR="003A1917">
        <w:rPr>
          <w:kern w:val="0"/>
        </w:rPr>
        <w:t xml:space="preserve"> the </w:t>
      </w:r>
      <w:r>
        <w:rPr>
          <w:kern w:val="0"/>
        </w:rPr>
        <w:t>stresses</w:t>
      </w:r>
      <w:r w:rsidR="00427468">
        <w:rPr>
          <w:kern w:val="0"/>
        </w:rPr>
        <w:t xml:space="preserve"> of </w:t>
      </w:r>
      <w:r>
        <w:rPr>
          <w:kern w:val="0"/>
        </w:rPr>
        <w:t>providing care. Conclusions: Providing care for a person with MS has a major impact on all areas</w:t>
      </w:r>
      <w:r w:rsidR="00427468">
        <w:rPr>
          <w:kern w:val="0"/>
        </w:rPr>
        <w:t xml:space="preserve"> of </w:t>
      </w:r>
      <w:r w:rsidR="003A1917">
        <w:rPr>
          <w:kern w:val="0"/>
        </w:rPr>
        <w:t xml:space="preserve">the </w:t>
      </w:r>
      <w:r>
        <w:rPr>
          <w:kern w:val="0"/>
        </w:rPr>
        <w:t>caregiver</w:t>
      </w:r>
      <w:r w:rsidR="0071223E">
        <w:rPr>
          <w:kern w:val="0"/>
        </w:rPr>
        <w:t>’</w:t>
      </w:r>
      <w:r w:rsidR="00C13DDC">
        <w:rPr>
          <w:kern w:val="0"/>
        </w:rPr>
        <w:t>s</w:t>
      </w:r>
      <w:r>
        <w:rPr>
          <w:kern w:val="0"/>
        </w:rPr>
        <w:t xml:space="preserve"> life. Perceived social support has been shown to have a beneficial impact on</w:t>
      </w:r>
      <w:r w:rsidR="003A1917">
        <w:rPr>
          <w:kern w:val="0"/>
        </w:rPr>
        <w:t xml:space="preserve"> the </w:t>
      </w:r>
      <w:r>
        <w:rPr>
          <w:kern w:val="0"/>
        </w:rPr>
        <w:t>caregiver. Limitations in design</w:t>
      </w:r>
      <w:r w:rsidR="005853A9">
        <w:rPr>
          <w:kern w:val="0"/>
        </w:rPr>
        <w:t xml:space="preserve"> and </w:t>
      </w:r>
      <w:r>
        <w:rPr>
          <w:kern w:val="0"/>
        </w:rPr>
        <w:t>variation in methodology</w:t>
      </w:r>
      <w:r w:rsidR="00427468">
        <w:rPr>
          <w:kern w:val="0"/>
        </w:rPr>
        <w:t xml:space="preserve"> of </w:t>
      </w:r>
      <w:r>
        <w:rPr>
          <w:kern w:val="0"/>
        </w:rPr>
        <w:t>studies limits</w:t>
      </w:r>
      <w:r w:rsidR="003A1917">
        <w:rPr>
          <w:kern w:val="0"/>
        </w:rPr>
        <w:t xml:space="preserve"> the </w:t>
      </w:r>
      <w:r>
        <w:rPr>
          <w:kern w:val="0"/>
        </w:rPr>
        <w:t>generalizability</w:t>
      </w:r>
      <w:r w:rsidR="00427468">
        <w:rPr>
          <w:kern w:val="0"/>
        </w:rPr>
        <w:t xml:space="preserve"> of </w:t>
      </w:r>
      <w:r>
        <w:rPr>
          <w:kern w:val="0"/>
        </w:rPr>
        <w:t>findings</w:t>
      </w:r>
      <w:r w:rsidR="00A37C1D">
        <w:rPr>
          <w:kern w:val="0"/>
        </w:rPr>
        <w:t>. The</w:t>
      </w:r>
      <w:r>
        <w:rPr>
          <w:kern w:val="0"/>
        </w:rPr>
        <w:t>re is a need for further research, in particular</w:t>
      </w:r>
      <w:r w:rsidR="003A1917">
        <w:rPr>
          <w:kern w:val="0"/>
        </w:rPr>
        <w:t xml:space="preserve"> the </w:t>
      </w:r>
      <w:r>
        <w:rPr>
          <w:kern w:val="0"/>
        </w:rPr>
        <w:t>development</w:t>
      </w:r>
      <w:r w:rsidR="00427468">
        <w:rPr>
          <w:kern w:val="0"/>
        </w:rPr>
        <w:t xml:space="preserve"> of </w:t>
      </w:r>
      <w:r>
        <w:rPr>
          <w:kern w:val="0"/>
        </w:rPr>
        <w:t>reliable</w:t>
      </w:r>
      <w:r w:rsidR="005853A9">
        <w:rPr>
          <w:kern w:val="0"/>
        </w:rPr>
        <w:t xml:space="preserve"> and </w:t>
      </w:r>
      <w:r>
        <w:rPr>
          <w:kern w:val="0"/>
        </w:rPr>
        <w:t>valid disease-specific caregiver assessment instruments.</w:t>
      </w:r>
    </w:p>
    <w:p w:rsidR="000E063D" w:rsidRDefault="000E063D" w:rsidP="000E063D">
      <w:pPr>
        <w:pStyle w:val="a3"/>
        <w:rPr>
          <w:kern w:val="0"/>
        </w:rPr>
      </w:pPr>
      <w:r>
        <w:rPr>
          <w:kern w:val="0"/>
        </w:rPr>
        <w:t>Keywords: Adjustment, Assessment, Carers, Databases, Development, Disability, Financial Situation, Impact</w:t>
      </w:r>
      <w:r w:rsidR="00D5664A">
        <w:rPr>
          <w:kern w:val="0"/>
        </w:rPr>
        <w:t>, ISI,</w:t>
      </w:r>
      <w:r>
        <w:rPr>
          <w:kern w:val="0"/>
        </w:rPr>
        <w:t xml:space="preserve"> Life, </w:t>
      </w:r>
      <w:r w:rsidR="00D5664A">
        <w:rPr>
          <w:kern w:val="0"/>
        </w:rPr>
        <w:t>MEDLINE</w:t>
      </w:r>
      <w:r>
        <w:rPr>
          <w:kern w:val="0"/>
        </w:rPr>
        <w:t>, Methodology, Nursing, Primary, Psychometric Characteristics, Quality, Quality</w:t>
      </w:r>
      <w:r w:rsidR="00427468">
        <w:rPr>
          <w:kern w:val="0"/>
        </w:rPr>
        <w:t xml:space="preserve"> of </w:t>
      </w:r>
      <w:r>
        <w:rPr>
          <w:kern w:val="0"/>
        </w:rPr>
        <w:t xml:space="preserve">Life, Questionnaire, Research, Resources, Review, Scale, Science, Services, Social, Symptoms, Systematic, </w:t>
      </w:r>
      <w:r>
        <w:rPr>
          <w:kern w:val="0"/>
        </w:rPr>
        <w:lastRenderedPageBreak/>
        <w:t xml:space="preserve">Systematic Review, Topics, </w:t>
      </w:r>
      <w:r w:rsidR="00D5664A">
        <w:rPr>
          <w:kern w:val="0"/>
        </w:rPr>
        <w:t>Web</w:t>
      </w:r>
      <w:r w:rsidR="00427468">
        <w:rPr>
          <w:kern w:val="0"/>
        </w:rPr>
        <w:t xml:space="preserve"> of </w:t>
      </w:r>
      <w:r w:rsidR="00D5664A">
        <w:rPr>
          <w:kern w:val="0"/>
        </w:rPr>
        <w:t>Science</w:t>
      </w:r>
    </w:p>
    <w:p w:rsidR="000E063D" w:rsidRPr="001A3D2B" w:rsidRDefault="000E063D" w:rsidP="000E063D">
      <w:pPr>
        <w:pStyle w:val="a3"/>
        <w:rPr>
          <w:kern w:val="0"/>
        </w:rPr>
      </w:pPr>
      <w:r w:rsidRPr="001A3D2B">
        <w:rPr>
          <w:kern w:val="0"/>
        </w:rPr>
        <w:t>? Smith, J., Forster, A.</w:t>
      </w:r>
      <w:r w:rsidR="005853A9">
        <w:rPr>
          <w:kern w:val="0"/>
        </w:rPr>
        <w:t xml:space="preserve"> and </w:t>
      </w:r>
      <w:r w:rsidRPr="001A3D2B">
        <w:rPr>
          <w:kern w:val="0"/>
        </w:rPr>
        <w:t>Young, J. (2009), Cochrane review: Information provision for stroke patients</w:t>
      </w:r>
      <w:r w:rsidR="005853A9">
        <w:rPr>
          <w:kern w:val="0"/>
        </w:rPr>
        <w:t xml:space="preserve"> and </w:t>
      </w:r>
      <w:r w:rsidRPr="001A3D2B">
        <w:rPr>
          <w:kern w:val="0"/>
        </w:rPr>
        <w:t xml:space="preserve">their caregivers. </w:t>
      </w:r>
      <w:r w:rsidRPr="001A3D2B">
        <w:rPr>
          <w:i/>
          <w:iCs/>
          <w:kern w:val="0"/>
        </w:rPr>
        <w:t>Clinical Rehabilitation</w:t>
      </w:r>
      <w:r w:rsidRPr="001A3D2B">
        <w:rPr>
          <w:kern w:val="0"/>
        </w:rPr>
        <w:t xml:space="preserve">, </w:t>
      </w:r>
      <w:r w:rsidRPr="001A3D2B">
        <w:rPr>
          <w:b/>
          <w:bCs/>
          <w:kern w:val="0"/>
        </w:rPr>
        <w:t>23</w:t>
      </w:r>
      <w:r w:rsidRPr="001A3D2B">
        <w:rPr>
          <w:kern w:val="0"/>
        </w:rPr>
        <w:t xml:space="preserve"> (3), 195-206.</w:t>
      </w:r>
    </w:p>
    <w:p w:rsidR="000E063D" w:rsidRDefault="000E063D" w:rsidP="000E063D">
      <w:pPr>
        <w:pStyle w:val="a3"/>
        <w:rPr>
          <w:kern w:val="0"/>
          <w:szCs w:val="24"/>
        </w:rPr>
      </w:pPr>
      <w:r>
        <w:rPr>
          <w:rFonts w:hint="eastAsia"/>
          <w:kern w:val="0"/>
          <w:szCs w:val="24"/>
        </w:rPr>
        <w:t xml:space="preserve">Full Text: </w:t>
      </w:r>
      <w:hyperlink r:id="rId418" w:history="1">
        <w:r w:rsidRPr="00322C61">
          <w:rPr>
            <w:rStyle w:val="a5"/>
            <w:kern w:val="0"/>
            <w:szCs w:val="24"/>
          </w:rPr>
          <w:t>2009\Cli Reh23, 195.pdf</w:t>
        </w:r>
      </w:hyperlink>
    </w:p>
    <w:p w:rsidR="000E063D" w:rsidRPr="001A3D2B" w:rsidRDefault="000E063D" w:rsidP="000E063D">
      <w:pPr>
        <w:pStyle w:val="a3"/>
        <w:rPr>
          <w:kern w:val="0"/>
        </w:rPr>
      </w:pPr>
      <w:r w:rsidRPr="001A3D2B">
        <w:rPr>
          <w:kern w:val="0"/>
        </w:rPr>
        <w:t>Abstract: Objective: To assess</w:t>
      </w:r>
      <w:r w:rsidR="003A1917">
        <w:rPr>
          <w:kern w:val="0"/>
        </w:rPr>
        <w:t xml:space="preserve"> the </w:t>
      </w:r>
      <w:r w:rsidRPr="001A3D2B">
        <w:rPr>
          <w:kern w:val="0"/>
        </w:rPr>
        <w:t>effectiveness</w:t>
      </w:r>
      <w:r w:rsidR="00427468">
        <w:rPr>
          <w:kern w:val="0"/>
        </w:rPr>
        <w:t xml:space="preserve"> of </w:t>
      </w:r>
      <w:r w:rsidRPr="001A3D2B">
        <w:rPr>
          <w:kern w:val="0"/>
        </w:rPr>
        <w:t>information provision strategies in improving</w:t>
      </w:r>
      <w:r w:rsidR="003A1917">
        <w:rPr>
          <w:kern w:val="0"/>
        </w:rPr>
        <w:t xml:space="preserve"> the </w:t>
      </w:r>
      <w:r w:rsidRPr="001A3D2B">
        <w:rPr>
          <w:kern w:val="0"/>
        </w:rPr>
        <w:t>outcome for stroke patients and/or their identified caregivers. Data sources: We searched:</w:t>
      </w:r>
      <w:r w:rsidR="003A1917">
        <w:rPr>
          <w:kern w:val="0"/>
        </w:rPr>
        <w:t xml:space="preserve"> the </w:t>
      </w:r>
      <w:r w:rsidRPr="001A3D2B">
        <w:rPr>
          <w:kern w:val="0"/>
        </w:rPr>
        <w:t>Cochrane Stroke Group Trials Register;</w:t>
      </w:r>
      <w:r w:rsidR="003A1917">
        <w:rPr>
          <w:kern w:val="0"/>
        </w:rPr>
        <w:t xml:space="preserve"> the </w:t>
      </w:r>
      <w:r w:rsidRPr="001A3D2B">
        <w:rPr>
          <w:kern w:val="0"/>
        </w:rPr>
        <w:t>Cochrane Central Register</w:t>
      </w:r>
      <w:r w:rsidR="00427468">
        <w:rPr>
          <w:kern w:val="0"/>
        </w:rPr>
        <w:t xml:space="preserve"> of </w:t>
      </w:r>
      <w:r w:rsidRPr="001A3D2B">
        <w:rPr>
          <w:kern w:val="0"/>
        </w:rPr>
        <w:t xml:space="preserve">Controlled Trials; electronic databases </w:t>
      </w:r>
      <w:r w:rsidR="00D5664A">
        <w:rPr>
          <w:kern w:val="0"/>
        </w:rPr>
        <w:t>MEDLINE</w:t>
      </w:r>
      <w:r w:rsidRPr="001A3D2B">
        <w:rPr>
          <w:kern w:val="0"/>
        </w:rPr>
        <w:t>; EMBASE; CINAHL; PsycINFO; Science Citation Index</w:t>
      </w:r>
      <w:r w:rsidR="005853A9">
        <w:rPr>
          <w:kern w:val="0"/>
        </w:rPr>
        <w:t xml:space="preserve"> and </w:t>
      </w:r>
      <w:r w:rsidRPr="001A3D2B">
        <w:rPr>
          <w:kern w:val="0"/>
        </w:rPr>
        <w:t>Social Science Citation Index; Assia; Index to UK theses; Dissertation Abstracts; ongoing trials</w:t>
      </w:r>
      <w:r w:rsidR="005853A9">
        <w:rPr>
          <w:kern w:val="0"/>
        </w:rPr>
        <w:t xml:space="preserve"> and </w:t>
      </w:r>
      <w:r w:rsidRPr="001A3D2B">
        <w:rPr>
          <w:kern w:val="0"/>
        </w:rPr>
        <w:t>research registers; bibliographies</w:t>
      </w:r>
      <w:r w:rsidR="00427468">
        <w:rPr>
          <w:kern w:val="0"/>
        </w:rPr>
        <w:t xml:space="preserve"> of </w:t>
      </w:r>
      <w:r w:rsidRPr="001A3D2B">
        <w:rPr>
          <w:kern w:val="0"/>
        </w:rPr>
        <w:t>retrieved papers, relevant articles,</w:t>
      </w:r>
      <w:r w:rsidR="005853A9">
        <w:rPr>
          <w:kern w:val="0"/>
        </w:rPr>
        <w:t xml:space="preserve"> and </w:t>
      </w:r>
      <w:r w:rsidRPr="001A3D2B">
        <w:rPr>
          <w:kern w:val="0"/>
        </w:rPr>
        <w:t>books;</w:t>
      </w:r>
      <w:r w:rsidR="003A1917">
        <w:rPr>
          <w:kern w:val="0"/>
        </w:rPr>
        <w:t xml:space="preserve"> the </w:t>
      </w:r>
      <w:r w:rsidRPr="001A3D2B">
        <w:rPr>
          <w:kern w:val="0"/>
        </w:rPr>
        <w:t>Journal</w:t>
      </w:r>
      <w:r w:rsidR="00427468">
        <w:rPr>
          <w:kern w:val="0"/>
        </w:rPr>
        <w:t xml:space="preserve"> of </w:t>
      </w:r>
      <w:r w:rsidRPr="001A3D2B">
        <w:rPr>
          <w:kern w:val="0"/>
        </w:rPr>
        <w:t>Advanced Nursing. We also contacted researchers for additional information. Review methods: Two review authors independently assessed trial eligibility, extracted data</w:t>
      </w:r>
      <w:r w:rsidR="005853A9">
        <w:rPr>
          <w:kern w:val="0"/>
        </w:rPr>
        <w:t xml:space="preserve"> and </w:t>
      </w:r>
      <w:r w:rsidRPr="001A3D2B">
        <w:rPr>
          <w:kern w:val="0"/>
        </w:rPr>
        <w:t>assessed methodological quality. Primary outcomes were knowledge about stroke</w:t>
      </w:r>
      <w:r w:rsidR="005853A9">
        <w:rPr>
          <w:kern w:val="0"/>
        </w:rPr>
        <w:t xml:space="preserve"> and </w:t>
      </w:r>
      <w:r w:rsidRPr="001A3D2B">
        <w:rPr>
          <w:kern w:val="0"/>
        </w:rPr>
        <w:t>impact on mood. Meta-analyses were undertaken for</w:t>
      </w:r>
      <w:r w:rsidR="003A1917">
        <w:rPr>
          <w:kern w:val="0"/>
        </w:rPr>
        <w:t xml:space="preserve"> the </w:t>
      </w:r>
      <w:r w:rsidRPr="001A3D2B">
        <w:rPr>
          <w:kern w:val="0"/>
        </w:rPr>
        <w:t>domains</w:t>
      </w:r>
      <w:r w:rsidR="00427468">
        <w:rPr>
          <w:kern w:val="0"/>
        </w:rPr>
        <w:t xml:space="preserve"> of </w:t>
      </w:r>
      <w:r w:rsidRPr="001A3D2B">
        <w:rPr>
          <w:kern w:val="0"/>
        </w:rPr>
        <w:t>knowledge, mood, satisfaction,</w:t>
      </w:r>
      <w:r w:rsidR="005853A9">
        <w:rPr>
          <w:kern w:val="0"/>
        </w:rPr>
        <w:t xml:space="preserve"> and </w:t>
      </w:r>
      <w:r w:rsidRPr="001A3D2B">
        <w:rPr>
          <w:kern w:val="0"/>
        </w:rPr>
        <w:t>mortality. Results: Seventeen trials were identified</w:t>
      </w:r>
      <w:r w:rsidR="005853A9">
        <w:rPr>
          <w:kern w:val="0"/>
        </w:rPr>
        <w:t xml:space="preserve"> and </w:t>
      </w:r>
      <w:r w:rsidRPr="001A3D2B">
        <w:rPr>
          <w:kern w:val="0"/>
        </w:rPr>
        <w:t>11 contributed data to</w:t>
      </w:r>
      <w:r w:rsidR="003A1917">
        <w:rPr>
          <w:kern w:val="0"/>
        </w:rPr>
        <w:t xml:space="preserve"> the </w:t>
      </w:r>
      <w:r w:rsidRPr="001A3D2B">
        <w:rPr>
          <w:kern w:val="0"/>
        </w:rPr>
        <w:t>meta-analyses</w:t>
      </w:r>
      <w:r w:rsidR="00A37C1D">
        <w:rPr>
          <w:kern w:val="0"/>
        </w:rPr>
        <w:t>. The</w:t>
      </w:r>
      <w:r w:rsidRPr="001A3D2B">
        <w:rPr>
          <w:kern w:val="0"/>
        </w:rPr>
        <w:t>re were significant effects in favour</w:t>
      </w:r>
      <w:r w:rsidR="00427468">
        <w:rPr>
          <w:kern w:val="0"/>
        </w:rPr>
        <w:t xml:space="preserve"> of </w:t>
      </w:r>
      <w:r w:rsidR="003A1917">
        <w:rPr>
          <w:kern w:val="0"/>
        </w:rPr>
        <w:t xml:space="preserve">the </w:t>
      </w:r>
      <w:r w:rsidRPr="001A3D2B">
        <w:rPr>
          <w:kern w:val="0"/>
        </w:rPr>
        <w:t>intervention on patient knowledge (standardized mean difference (SMD) 0.29, 95% confidence interval (CI) 0.12 to 0.46), caregiver knowledge (SMD 0.74 95% Cl 0.06 to 1.43), patient depression scores (weighted mean difference (WMD) -0.52, 95% Cl -0.93 to -0.10),</w:t>
      </w:r>
      <w:r w:rsidR="005853A9">
        <w:rPr>
          <w:kern w:val="0"/>
        </w:rPr>
        <w:t xml:space="preserve"> and </w:t>
      </w:r>
      <w:r w:rsidRPr="001A3D2B">
        <w:rPr>
          <w:kern w:val="0"/>
        </w:rPr>
        <w:t>one aspect</w:t>
      </w:r>
      <w:r w:rsidR="00427468">
        <w:rPr>
          <w:kern w:val="0"/>
        </w:rPr>
        <w:t xml:space="preserve"> of </w:t>
      </w:r>
      <w:r w:rsidRPr="001A3D2B">
        <w:rPr>
          <w:kern w:val="0"/>
        </w:rPr>
        <w:t>patient satisfaction (odds ratio (OR) 2.07, 95% Cl 1.33 to 3.23). Post-hoc subgroup analyses showed that strategies which actively involved patient</w:t>
      </w:r>
      <w:r w:rsidR="005853A9">
        <w:rPr>
          <w:kern w:val="0"/>
        </w:rPr>
        <w:t xml:space="preserve"> and </w:t>
      </w:r>
      <w:r w:rsidRPr="001A3D2B">
        <w:rPr>
          <w:kern w:val="0"/>
        </w:rPr>
        <w:t>caregivers had a significantly greater effect on patient anxiety (P&lt;0.05)</w:t>
      </w:r>
      <w:r w:rsidR="005853A9">
        <w:rPr>
          <w:kern w:val="0"/>
        </w:rPr>
        <w:t xml:space="preserve"> and </w:t>
      </w:r>
      <w:r w:rsidRPr="001A3D2B">
        <w:rPr>
          <w:kern w:val="0"/>
        </w:rPr>
        <w:t>depression (P&lt;0.02) than passive strategies. Conclusion: There is some evidence to support</w:t>
      </w:r>
      <w:r w:rsidR="003A1917">
        <w:rPr>
          <w:kern w:val="0"/>
        </w:rPr>
        <w:t xml:space="preserve"> the </w:t>
      </w:r>
      <w:r w:rsidRPr="001A3D2B">
        <w:rPr>
          <w:kern w:val="0"/>
        </w:rPr>
        <w:t>routine provision</w:t>
      </w:r>
      <w:r w:rsidR="00427468">
        <w:rPr>
          <w:kern w:val="0"/>
        </w:rPr>
        <w:t xml:space="preserve"> of </w:t>
      </w:r>
      <w:r w:rsidRPr="001A3D2B">
        <w:rPr>
          <w:kern w:val="0"/>
        </w:rPr>
        <w:t>information to stroke patients</w:t>
      </w:r>
      <w:r w:rsidR="005853A9">
        <w:rPr>
          <w:kern w:val="0"/>
        </w:rPr>
        <w:t xml:space="preserve"> and </w:t>
      </w:r>
      <w:r w:rsidRPr="001A3D2B">
        <w:rPr>
          <w:kern w:val="0"/>
        </w:rPr>
        <w:t>their families. Although</w:t>
      </w:r>
      <w:r w:rsidR="003A1917">
        <w:rPr>
          <w:kern w:val="0"/>
        </w:rPr>
        <w:t xml:space="preserve"> the </w:t>
      </w:r>
      <w:r w:rsidRPr="001A3D2B">
        <w:rPr>
          <w:kern w:val="0"/>
        </w:rPr>
        <w:t>best way to provide information is still not clear,</w:t>
      </w:r>
      <w:r w:rsidR="003A1917">
        <w:rPr>
          <w:kern w:val="0"/>
        </w:rPr>
        <w:t xml:space="preserve"> the </w:t>
      </w:r>
      <w:r w:rsidRPr="001A3D2B">
        <w:rPr>
          <w:kern w:val="0"/>
        </w:rPr>
        <w:t>results</w:t>
      </w:r>
      <w:r w:rsidR="00427468">
        <w:rPr>
          <w:kern w:val="0"/>
        </w:rPr>
        <w:t xml:space="preserve"> of </w:t>
      </w:r>
      <w:r w:rsidRPr="001A3D2B">
        <w:rPr>
          <w:kern w:val="0"/>
        </w:rPr>
        <w:t>this review suggest that strategies which actively involve patients</w:t>
      </w:r>
      <w:r w:rsidR="005853A9">
        <w:rPr>
          <w:kern w:val="0"/>
        </w:rPr>
        <w:t xml:space="preserve"> and </w:t>
      </w:r>
      <w:r w:rsidRPr="001A3D2B">
        <w:rPr>
          <w:kern w:val="0"/>
        </w:rPr>
        <w:t>caregivers should be used in routine practice.</w:t>
      </w:r>
    </w:p>
    <w:p w:rsidR="000E063D" w:rsidRPr="001A3D2B" w:rsidRDefault="000E063D" w:rsidP="000E063D">
      <w:pPr>
        <w:pStyle w:val="a3"/>
        <w:rPr>
          <w:kern w:val="0"/>
        </w:rPr>
      </w:pPr>
      <w:r w:rsidRPr="001A3D2B">
        <w:rPr>
          <w:kern w:val="0"/>
        </w:rPr>
        <w:t xml:space="preserve">Keywords: Carers, Citation, Depression, Education-Program, Impact, Intervention, Knowledge, </w:t>
      </w:r>
      <w:r w:rsidR="00D5664A">
        <w:rPr>
          <w:kern w:val="0"/>
        </w:rPr>
        <w:t>MEDLINE</w:t>
      </w:r>
      <w:r w:rsidRPr="001A3D2B">
        <w:rPr>
          <w:kern w:val="0"/>
        </w:rPr>
        <w:t>, Mortality, Nursing, Outcomes, Quality, Randomized Controlled-Trial, Research, Satisfaction, Support, UK</w:t>
      </w:r>
    </w:p>
    <w:p w:rsidR="000E063D" w:rsidRPr="001A3D2B" w:rsidRDefault="000E063D" w:rsidP="000E063D">
      <w:pPr>
        <w:pStyle w:val="a3"/>
        <w:rPr>
          <w:kern w:val="0"/>
        </w:rPr>
      </w:pPr>
      <w:r w:rsidRPr="001A3D2B">
        <w:rPr>
          <w:kern w:val="0"/>
        </w:rPr>
        <w:t>? Babyar, S.R., Peterson, M.G.E., Bohannon, R., Perennou, D.</w:t>
      </w:r>
      <w:r w:rsidR="005853A9">
        <w:rPr>
          <w:kern w:val="0"/>
        </w:rPr>
        <w:t xml:space="preserve"> and </w:t>
      </w:r>
      <w:r w:rsidRPr="001A3D2B">
        <w:rPr>
          <w:kern w:val="0"/>
        </w:rPr>
        <w:t>Reding, M. (2009), Clinical examination tools for lateropulsion or pusher syndrome following stroke: A systematic review</w:t>
      </w:r>
      <w:r w:rsidR="00427468">
        <w:rPr>
          <w:kern w:val="0"/>
        </w:rPr>
        <w:t xml:space="preserve"> of </w:t>
      </w:r>
      <w:r w:rsidR="003A1917">
        <w:rPr>
          <w:kern w:val="0"/>
        </w:rPr>
        <w:t xml:space="preserve">the </w:t>
      </w:r>
      <w:r w:rsidRPr="001A3D2B">
        <w:rPr>
          <w:kern w:val="0"/>
        </w:rPr>
        <w:t xml:space="preserve">literature. </w:t>
      </w:r>
      <w:r w:rsidRPr="001A3D2B">
        <w:rPr>
          <w:i/>
          <w:iCs/>
          <w:kern w:val="0"/>
        </w:rPr>
        <w:t>Clinical Rehabilitation</w:t>
      </w:r>
      <w:r w:rsidRPr="001A3D2B">
        <w:rPr>
          <w:kern w:val="0"/>
        </w:rPr>
        <w:t xml:space="preserve">, </w:t>
      </w:r>
      <w:r w:rsidRPr="001A3D2B">
        <w:rPr>
          <w:b/>
          <w:bCs/>
          <w:kern w:val="0"/>
        </w:rPr>
        <w:t>23</w:t>
      </w:r>
      <w:r w:rsidRPr="001A3D2B">
        <w:rPr>
          <w:kern w:val="0"/>
        </w:rPr>
        <w:t xml:space="preserve"> (7), 639-650.</w:t>
      </w:r>
    </w:p>
    <w:p w:rsidR="000E063D" w:rsidRDefault="000E063D" w:rsidP="000E063D">
      <w:pPr>
        <w:pStyle w:val="a3"/>
        <w:rPr>
          <w:kern w:val="0"/>
          <w:szCs w:val="24"/>
        </w:rPr>
      </w:pPr>
      <w:r>
        <w:rPr>
          <w:rFonts w:hint="eastAsia"/>
          <w:kern w:val="0"/>
          <w:szCs w:val="24"/>
        </w:rPr>
        <w:t xml:space="preserve">Full Text: </w:t>
      </w:r>
      <w:hyperlink r:id="rId419" w:history="1">
        <w:r w:rsidRPr="00BF70BF">
          <w:rPr>
            <w:rStyle w:val="a5"/>
            <w:kern w:val="0"/>
            <w:szCs w:val="24"/>
          </w:rPr>
          <w:t>2009\Cli Reh23, 639.pdf</w:t>
        </w:r>
      </w:hyperlink>
    </w:p>
    <w:p w:rsidR="000E063D" w:rsidRPr="001A3D2B" w:rsidRDefault="000E063D" w:rsidP="000E063D">
      <w:pPr>
        <w:pStyle w:val="a3"/>
        <w:rPr>
          <w:kern w:val="0"/>
        </w:rPr>
      </w:pPr>
      <w:r w:rsidRPr="001A3D2B">
        <w:rPr>
          <w:kern w:val="0"/>
        </w:rPr>
        <w:t>Abstract: Objective: To examine</w:t>
      </w:r>
      <w:r w:rsidR="003A1917">
        <w:rPr>
          <w:kern w:val="0"/>
        </w:rPr>
        <w:t xml:space="preserve"> the </w:t>
      </w:r>
      <w:r w:rsidRPr="001A3D2B">
        <w:rPr>
          <w:kern w:val="0"/>
        </w:rPr>
        <w:t>clinimetric properties</w:t>
      </w:r>
      <w:r w:rsidR="005853A9">
        <w:rPr>
          <w:kern w:val="0"/>
        </w:rPr>
        <w:t xml:space="preserve"> and </w:t>
      </w:r>
      <w:r w:rsidRPr="001A3D2B">
        <w:rPr>
          <w:kern w:val="0"/>
        </w:rPr>
        <w:t>clinical applicability</w:t>
      </w:r>
      <w:r w:rsidR="00427468">
        <w:rPr>
          <w:kern w:val="0"/>
        </w:rPr>
        <w:t xml:space="preserve"> of </w:t>
      </w:r>
      <w:r w:rsidRPr="001A3D2B">
        <w:rPr>
          <w:kern w:val="0"/>
        </w:rPr>
        <w:t xml:space="preserve">published tools for </w:t>
      </w:r>
      <w:r w:rsidR="0071223E">
        <w:rPr>
          <w:kern w:val="0"/>
        </w:rPr>
        <w:t>‘</w:t>
      </w:r>
      <w:r w:rsidRPr="001A3D2B">
        <w:rPr>
          <w:kern w:val="0"/>
        </w:rPr>
        <w:t>quantifying</w:t>
      </w:r>
      <w:r w:rsidR="0071223E">
        <w:rPr>
          <w:kern w:val="0"/>
        </w:rPr>
        <w:t>’</w:t>
      </w:r>
      <w:r w:rsidR="003A1917">
        <w:rPr>
          <w:kern w:val="0"/>
        </w:rPr>
        <w:t xml:space="preserve"> the </w:t>
      </w:r>
      <w:r w:rsidRPr="001A3D2B">
        <w:rPr>
          <w:kern w:val="0"/>
        </w:rPr>
        <w:t>degree</w:t>
      </w:r>
      <w:r w:rsidR="00427468">
        <w:rPr>
          <w:kern w:val="0"/>
        </w:rPr>
        <w:t xml:space="preserve"> of </w:t>
      </w:r>
      <w:r w:rsidRPr="001A3D2B">
        <w:rPr>
          <w:kern w:val="0"/>
        </w:rPr>
        <w:t>lateropulsion or pusher syndrome following stroke. Data sources: Search through electronic databases (</w:t>
      </w:r>
      <w:r w:rsidR="00D5664A">
        <w:rPr>
          <w:kern w:val="0"/>
        </w:rPr>
        <w:t>MEDLINE</w:t>
      </w:r>
      <w:r w:rsidRPr="001A3D2B">
        <w:rPr>
          <w:kern w:val="0"/>
        </w:rPr>
        <w:t xml:space="preserve">, </w:t>
      </w:r>
      <w:r w:rsidRPr="001A3D2B">
        <w:rPr>
          <w:kern w:val="0"/>
        </w:rPr>
        <w:lastRenderedPageBreak/>
        <w:t>EMBASE, CINAHL, Science Citation Index) with</w:t>
      </w:r>
      <w:r w:rsidR="003A1917">
        <w:rPr>
          <w:kern w:val="0"/>
        </w:rPr>
        <w:t xml:space="preserve"> the </w:t>
      </w:r>
      <w:r w:rsidRPr="001A3D2B">
        <w:rPr>
          <w:kern w:val="0"/>
        </w:rPr>
        <w:t>terms lateropulsion, pushing, pusher syndrome, validity, reliability, internal consistency, responsiveness, sensitivity, specificity, posture</w:t>
      </w:r>
      <w:r w:rsidR="005853A9">
        <w:rPr>
          <w:kern w:val="0"/>
        </w:rPr>
        <w:t xml:space="preserve"> and </w:t>
      </w:r>
      <w:r w:rsidRPr="001A3D2B">
        <w:rPr>
          <w:kern w:val="0"/>
        </w:rPr>
        <w:t>stroke. Databases were searched from their inception to October 2008. Review methods: Abstracts were selected by one author. A panel</w:t>
      </w:r>
      <w:r w:rsidR="00427468">
        <w:rPr>
          <w:kern w:val="0"/>
        </w:rPr>
        <w:t xml:space="preserve"> of </w:t>
      </w:r>
      <w:r w:rsidRPr="001A3D2B">
        <w:rPr>
          <w:kern w:val="0"/>
        </w:rPr>
        <w:t>experts then determined which should be included in this review. Five abstracts were reviewed</w:t>
      </w:r>
      <w:r w:rsidR="005853A9">
        <w:rPr>
          <w:kern w:val="0"/>
        </w:rPr>
        <w:t xml:space="preserve"> and </w:t>
      </w:r>
      <w:r w:rsidR="003A1917">
        <w:rPr>
          <w:kern w:val="0"/>
        </w:rPr>
        <w:t xml:space="preserve">the </w:t>
      </w:r>
      <w:r w:rsidRPr="001A3D2B">
        <w:rPr>
          <w:kern w:val="0"/>
        </w:rPr>
        <w:t>panel agreed to omit one abstract because those authors did not write a full manuscript</w:t>
      </w:r>
      <w:r w:rsidR="00A37C1D">
        <w:rPr>
          <w:kern w:val="0"/>
        </w:rPr>
        <w:t>. The</w:t>
      </w:r>
      <w:r w:rsidR="003A1917">
        <w:rPr>
          <w:kern w:val="0"/>
        </w:rPr>
        <w:t xml:space="preserve"> </w:t>
      </w:r>
      <w:r w:rsidRPr="001A3D2B">
        <w:rPr>
          <w:kern w:val="0"/>
        </w:rPr>
        <w:t>panel critiqued manuscripts according to predetermined criteria about clinical</w:t>
      </w:r>
      <w:r w:rsidR="005853A9">
        <w:rPr>
          <w:kern w:val="0"/>
        </w:rPr>
        <w:t xml:space="preserve"> and </w:t>
      </w:r>
      <w:r w:rsidRPr="001A3D2B">
        <w:rPr>
          <w:kern w:val="0"/>
        </w:rPr>
        <w:t>clinimetric properties. Results: Four manuscripts referencing three tools for examining lateropulsion were found. Validity</w:t>
      </w:r>
      <w:r w:rsidR="005853A9">
        <w:rPr>
          <w:kern w:val="0"/>
        </w:rPr>
        <w:t xml:space="preserve"> and </w:t>
      </w:r>
      <w:r w:rsidRPr="001A3D2B">
        <w:rPr>
          <w:kern w:val="0"/>
        </w:rPr>
        <w:t>reliability data support</w:t>
      </w:r>
      <w:r w:rsidR="003A1917">
        <w:rPr>
          <w:kern w:val="0"/>
        </w:rPr>
        <w:t xml:space="preserve"> the </w:t>
      </w:r>
      <w:r w:rsidRPr="001A3D2B">
        <w:rPr>
          <w:kern w:val="0"/>
        </w:rPr>
        <w:t>clinical use</w:t>
      </w:r>
      <w:r w:rsidR="00427468">
        <w:rPr>
          <w:kern w:val="0"/>
        </w:rPr>
        <w:t xml:space="preserve"> of </w:t>
      </w:r>
      <w:r w:rsidR="003A1917">
        <w:rPr>
          <w:kern w:val="0"/>
        </w:rPr>
        <w:t xml:space="preserve">the </w:t>
      </w:r>
      <w:r w:rsidRPr="001A3D2B">
        <w:rPr>
          <w:kern w:val="0"/>
        </w:rPr>
        <w:t>Scale for Contraversive Pushing,</w:t>
      </w:r>
      <w:r w:rsidR="003A1917">
        <w:rPr>
          <w:kern w:val="0"/>
        </w:rPr>
        <w:t xml:space="preserve"> the </w:t>
      </w:r>
      <w:r w:rsidRPr="001A3D2B">
        <w:rPr>
          <w:kern w:val="0"/>
        </w:rPr>
        <w:t>Modified Scale for Contraversive Pushing</w:t>
      </w:r>
      <w:r w:rsidR="005853A9">
        <w:rPr>
          <w:kern w:val="0"/>
        </w:rPr>
        <w:t xml:space="preserve"> and </w:t>
      </w:r>
      <w:r w:rsidR="003A1917">
        <w:rPr>
          <w:kern w:val="0"/>
        </w:rPr>
        <w:t xml:space="preserve">the </w:t>
      </w:r>
      <w:r w:rsidRPr="001A3D2B">
        <w:rPr>
          <w:kern w:val="0"/>
        </w:rPr>
        <w:t>Burke Lateropulsion Scale</w:t>
      </w:r>
      <w:r w:rsidR="00A37C1D">
        <w:rPr>
          <w:kern w:val="0"/>
        </w:rPr>
        <w:t>. The</w:t>
      </w:r>
      <w:r w:rsidR="003A1917">
        <w:rPr>
          <w:kern w:val="0"/>
        </w:rPr>
        <w:t xml:space="preserve"> </w:t>
      </w:r>
      <w:r w:rsidRPr="001A3D2B">
        <w:rPr>
          <w:kern w:val="0"/>
        </w:rPr>
        <w:t>Scale for Contraversive Pushing has</w:t>
      </w:r>
      <w:r w:rsidR="003A1917">
        <w:rPr>
          <w:kern w:val="0"/>
        </w:rPr>
        <w:t xml:space="preserve"> the </w:t>
      </w:r>
      <w:r w:rsidRPr="001A3D2B">
        <w:rPr>
          <w:kern w:val="0"/>
        </w:rPr>
        <w:t>most extensive testing</w:t>
      </w:r>
      <w:r w:rsidR="00427468">
        <w:rPr>
          <w:kern w:val="0"/>
        </w:rPr>
        <w:t xml:space="preserve"> of </w:t>
      </w:r>
      <w:r w:rsidRPr="001A3D2B">
        <w:rPr>
          <w:kern w:val="0"/>
        </w:rPr>
        <w:t>clinimetric properties</w:t>
      </w:r>
      <w:r w:rsidR="00A37C1D">
        <w:rPr>
          <w:kern w:val="0"/>
        </w:rPr>
        <w:t>. The</w:t>
      </w:r>
      <w:r w:rsidR="003A1917">
        <w:rPr>
          <w:kern w:val="0"/>
        </w:rPr>
        <w:t xml:space="preserve"> </w:t>
      </w:r>
      <w:r w:rsidRPr="001A3D2B">
        <w:rPr>
          <w:kern w:val="0"/>
        </w:rPr>
        <w:t>other tools show promising preliminary evidence</w:t>
      </w:r>
      <w:r w:rsidR="00427468">
        <w:rPr>
          <w:kern w:val="0"/>
        </w:rPr>
        <w:t xml:space="preserve"> of </w:t>
      </w:r>
      <w:r w:rsidRPr="001A3D2B">
        <w:rPr>
          <w:kern w:val="0"/>
        </w:rPr>
        <w:t>clinical</w:t>
      </w:r>
      <w:r w:rsidR="005853A9">
        <w:rPr>
          <w:kern w:val="0"/>
        </w:rPr>
        <w:t xml:space="preserve"> and </w:t>
      </w:r>
      <w:r w:rsidRPr="001A3D2B">
        <w:rPr>
          <w:kern w:val="0"/>
        </w:rPr>
        <w:t>research utility. More testing is needed with larger, more diverse samples. Reviewers</w:t>
      </w:r>
      <w:r w:rsidR="0071223E">
        <w:rPr>
          <w:kern w:val="0"/>
        </w:rPr>
        <w:t>’</w:t>
      </w:r>
      <w:r w:rsidRPr="001A3D2B">
        <w:rPr>
          <w:kern w:val="0"/>
        </w:rPr>
        <w:t xml:space="preserve"> conclusions:</w:t>
      </w:r>
      <w:r w:rsidR="003A1917">
        <w:rPr>
          <w:kern w:val="0"/>
        </w:rPr>
        <w:t xml:space="preserve"> the </w:t>
      </w:r>
      <w:r w:rsidRPr="001A3D2B">
        <w:rPr>
          <w:kern w:val="0"/>
        </w:rPr>
        <w:t>Scale for Contraversive Pushing,</w:t>
      </w:r>
      <w:r w:rsidR="003A1917">
        <w:rPr>
          <w:kern w:val="0"/>
        </w:rPr>
        <w:t xml:space="preserve"> the </w:t>
      </w:r>
      <w:r w:rsidRPr="001A3D2B">
        <w:rPr>
          <w:kern w:val="0"/>
        </w:rPr>
        <w:t>Modified Scale for Contraversive Pushing</w:t>
      </w:r>
      <w:r w:rsidR="005853A9">
        <w:rPr>
          <w:kern w:val="0"/>
        </w:rPr>
        <w:t xml:space="preserve"> and </w:t>
      </w:r>
      <w:r w:rsidR="003A1917">
        <w:rPr>
          <w:kern w:val="0"/>
        </w:rPr>
        <w:t xml:space="preserve">the </w:t>
      </w:r>
      <w:r w:rsidRPr="001A3D2B">
        <w:rPr>
          <w:kern w:val="0"/>
        </w:rPr>
        <w:t>Burke Lateropulsion Scale are reliable</w:t>
      </w:r>
      <w:r w:rsidR="005853A9">
        <w:rPr>
          <w:kern w:val="0"/>
        </w:rPr>
        <w:t xml:space="preserve"> and </w:t>
      </w:r>
      <w:r w:rsidRPr="001A3D2B">
        <w:rPr>
          <w:kern w:val="0"/>
        </w:rPr>
        <w:t>valid measures with good clinical applicability. Larger, more varied samples should be used to better delineate responsiveness</w:t>
      </w:r>
      <w:r w:rsidR="005853A9">
        <w:rPr>
          <w:kern w:val="0"/>
        </w:rPr>
        <w:t xml:space="preserve"> and </w:t>
      </w:r>
      <w:r w:rsidRPr="001A3D2B">
        <w:rPr>
          <w:kern w:val="0"/>
        </w:rPr>
        <w:t>other clinimetric properties</w:t>
      </w:r>
      <w:r w:rsidR="00427468">
        <w:rPr>
          <w:kern w:val="0"/>
        </w:rPr>
        <w:t xml:space="preserve"> of </w:t>
      </w:r>
      <w:r w:rsidRPr="001A3D2B">
        <w:rPr>
          <w:kern w:val="0"/>
        </w:rPr>
        <w:t>these examination tools.</w:t>
      </w:r>
    </w:p>
    <w:p w:rsidR="000E063D" w:rsidRPr="001A3D2B" w:rsidRDefault="000E063D" w:rsidP="000E063D">
      <w:pPr>
        <w:pStyle w:val="a3"/>
        <w:rPr>
          <w:kern w:val="0"/>
        </w:rPr>
      </w:pPr>
      <w:r w:rsidRPr="001A3D2B">
        <w:rPr>
          <w:kern w:val="0"/>
        </w:rPr>
        <w:t xml:space="preserve">Keywords: Behavior, Citation, Manuscripts, </w:t>
      </w:r>
      <w:r w:rsidR="00D5664A">
        <w:rPr>
          <w:kern w:val="0"/>
        </w:rPr>
        <w:t>MEDLINE</w:t>
      </w:r>
      <w:r w:rsidRPr="001A3D2B">
        <w:rPr>
          <w:kern w:val="0"/>
        </w:rPr>
        <w:t>, Orientation, Research, Scale, Systematic Review, Validity</w:t>
      </w:r>
    </w:p>
    <w:p w:rsidR="000E063D" w:rsidRDefault="000E063D" w:rsidP="000E063D">
      <w:pPr>
        <w:pStyle w:val="a3"/>
        <w:rPr>
          <w:kern w:val="0"/>
        </w:rPr>
      </w:pPr>
      <w:r>
        <w:rPr>
          <w:rFonts w:hint="eastAsia"/>
          <w:kern w:val="0"/>
        </w:rPr>
        <w:t xml:space="preserve">? </w:t>
      </w:r>
      <w:r>
        <w:rPr>
          <w:kern w:val="0"/>
        </w:rPr>
        <w:t>Malhotra, S., Pandyan, A.D., Day, C.R., Jones, P.W.</w:t>
      </w:r>
      <w:r w:rsidR="005853A9">
        <w:rPr>
          <w:kern w:val="0"/>
        </w:rPr>
        <w:t xml:space="preserve"> and </w:t>
      </w:r>
      <w:r>
        <w:rPr>
          <w:kern w:val="0"/>
        </w:rPr>
        <w:t>Hermens, H. (2009), Spasticity, an impairment that is poorly defined</w:t>
      </w:r>
      <w:r w:rsidR="005853A9">
        <w:rPr>
          <w:kern w:val="0"/>
        </w:rPr>
        <w:t xml:space="preserve"> and </w:t>
      </w:r>
      <w:r>
        <w:rPr>
          <w:kern w:val="0"/>
        </w:rPr>
        <w:t xml:space="preserve">poorly measured. </w:t>
      </w:r>
      <w:r>
        <w:rPr>
          <w:i/>
          <w:iCs/>
          <w:kern w:val="0"/>
        </w:rPr>
        <w:t>Clinical Rehabilitation</w:t>
      </w:r>
      <w:r>
        <w:rPr>
          <w:kern w:val="0"/>
        </w:rPr>
        <w:t xml:space="preserve">, </w:t>
      </w:r>
      <w:r>
        <w:rPr>
          <w:b/>
          <w:bCs/>
          <w:kern w:val="0"/>
        </w:rPr>
        <w:t>23</w:t>
      </w:r>
      <w:r>
        <w:rPr>
          <w:kern w:val="0"/>
        </w:rPr>
        <w:t xml:space="preserve"> (7), 651-658.</w:t>
      </w:r>
    </w:p>
    <w:p w:rsidR="00D03F3B" w:rsidRDefault="00D03F3B" w:rsidP="00D03F3B">
      <w:pPr>
        <w:pStyle w:val="a3"/>
        <w:rPr>
          <w:kern w:val="0"/>
          <w:szCs w:val="24"/>
        </w:rPr>
      </w:pPr>
      <w:r>
        <w:rPr>
          <w:rFonts w:hint="eastAsia"/>
          <w:kern w:val="0"/>
          <w:szCs w:val="24"/>
        </w:rPr>
        <w:t xml:space="preserve">Full Text: </w:t>
      </w:r>
      <w:hyperlink r:id="rId420" w:history="1">
        <w:r w:rsidRPr="00075F49">
          <w:rPr>
            <w:rStyle w:val="a5"/>
            <w:kern w:val="0"/>
            <w:szCs w:val="24"/>
          </w:rPr>
          <w:t>2009\Cli Reh23, 651.pdf</w:t>
        </w:r>
      </w:hyperlink>
    </w:p>
    <w:p w:rsidR="000E063D" w:rsidRDefault="000E063D" w:rsidP="000E063D">
      <w:pPr>
        <w:pStyle w:val="a3"/>
        <w:rPr>
          <w:kern w:val="0"/>
        </w:rPr>
      </w:pPr>
      <w:r>
        <w:rPr>
          <w:kern w:val="0"/>
        </w:rPr>
        <w:t>Abstract: Objective: To explore, following a literature review, whether there is a consistent definition</w:t>
      </w:r>
      <w:r w:rsidR="005853A9">
        <w:rPr>
          <w:kern w:val="0"/>
        </w:rPr>
        <w:t xml:space="preserve"> and </w:t>
      </w:r>
      <w:r>
        <w:rPr>
          <w:kern w:val="0"/>
        </w:rPr>
        <w:t>a unified assessment framework for</w:t>
      </w:r>
      <w:r w:rsidR="003A1917">
        <w:rPr>
          <w:kern w:val="0"/>
        </w:rPr>
        <w:t xml:space="preserve"> the </w:t>
      </w:r>
      <w:r>
        <w:rPr>
          <w:kern w:val="0"/>
        </w:rPr>
        <w:t xml:space="preserve">term </w:t>
      </w:r>
      <w:r w:rsidR="0071223E">
        <w:rPr>
          <w:kern w:val="0"/>
        </w:rPr>
        <w:t>‘</w:t>
      </w:r>
      <w:r w:rsidR="00C13DDC">
        <w:rPr>
          <w:kern w:val="0"/>
        </w:rPr>
        <w:t>s</w:t>
      </w:r>
      <w:r>
        <w:rPr>
          <w:kern w:val="0"/>
        </w:rPr>
        <w:t>pasticity</w:t>
      </w:r>
      <w:r w:rsidR="0071223E">
        <w:rPr>
          <w:kern w:val="0"/>
        </w:rPr>
        <w:t>’</w:t>
      </w:r>
      <w:r w:rsidR="00A37C1D">
        <w:rPr>
          <w:kern w:val="0"/>
        </w:rPr>
        <w:t>. The</w:t>
      </w:r>
      <w:r w:rsidR="003A1917">
        <w:rPr>
          <w:kern w:val="0"/>
        </w:rPr>
        <w:t xml:space="preserve"> </w:t>
      </w:r>
      <w:r>
        <w:rPr>
          <w:kern w:val="0"/>
        </w:rPr>
        <w:t>congruence between</w:t>
      </w:r>
      <w:r w:rsidR="003A1917">
        <w:rPr>
          <w:kern w:val="0"/>
        </w:rPr>
        <w:t xml:space="preserve"> the </w:t>
      </w:r>
      <w:r>
        <w:rPr>
          <w:kern w:val="0"/>
        </w:rPr>
        <w:t>definitions</w:t>
      </w:r>
      <w:r w:rsidR="00427468">
        <w:rPr>
          <w:kern w:val="0"/>
        </w:rPr>
        <w:t xml:space="preserve"> of </w:t>
      </w:r>
      <w:r>
        <w:rPr>
          <w:kern w:val="0"/>
        </w:rPr>
        <w:t>spasticity</w:t>
      </w:r>
      <w:r w:rsidR="005853A9">
        <w:rPr>
          <w:kern w:val="0"/>
        </w:rPr>
        <w:t xml:space="preserve"> and </w:t>
      </w:r>
      <w:r w:rsidR="003A1917">
        <w:rPr>
          <w:kern w:val="0"/>
        </w:rPr>
        <w:t xml:space="preserve">the </w:t>
      </w:r>
      <w:r>
        <w:rPr>
          <w:kern w:val="0"/>
        </w:rPr>
        <w:t>corresponding methods</w:t>
      </w:r>
      <w:r w:rsidR="00427468">
        <w:rPr>
          <w:kern w:val="0"/>
        </w:rPr>
        <w:t xml:space="preserve"> of </w:t>
      </w:r>
      <w:r>
        <w:rPr>
          <w:kern w:val="0"/>
        </w:rPr>
        <w:t>measurement were also explored. Data sources:</w:t>
      </w:r>
      <w:r w:rsidR="003A1917">
        <w:rPr>
          <w:kern w:val="0"/>
        </w:rPr>
        <w:t xml:space="preserve"> the </w:t>
      </w:r>
      <w:r>
        <w:rPr>
          <w:kern w:val="0"/>
        </w:rPr>
        <w:t>search was performed on</w:t>
      </w:r>
      <w:r w:rsidR="003A1917">
        <w:rPr>
          <w:kern w:val="0"/>
        </w:rPr>
        <w:t xml:space="preserve"> the </w:t>
      </w:r>
      <w:r>
        <w:rPr>
          <w:kern w:val="0"/>
        </w:rPr>
        <w:t xml:space="preserve">electronic databases </w:t>
      </w:r>
      <w:r w:rsidR="00D5664A">
        <w:rPr>
          <w:kern w:val="0"/>
        </w:rPr>
        <w:t>Web</w:t>
      </w:r>
      <w:r w:rsidR="00427468">
        <w:rPr>
          <w:kern w:val="0"/>
        </w:rPr>
        <w:t xml:space="preserve"> of </w:t>
      </w:r>
      <w:r w:rsidR="00D5664A">
        <w:rPr>
          <w:kern w:val="0"/>
        </w:rPr>
        <w:t>Science</w:t>
      </w:r>
      <w:r>
        <w:rPr>
          <w:kern w:val="0"/>
        </w:rPr>
        <w:t>, Science Direct</w:t>
      </w:r>
      <w:r w:rsidR="005853A9">
        <w:rPr>
          <w:kern w:val="0"/>
        </w:rPr>
        <w:t xml:space="preserve"> and </w:t>
      </w:r>
      <w:r w:rsidR="00D5664A">
        <w:rPr>
          <w:kern w:val="0"/>
        </w:rPr>
        <w:t>MEDLINE</w:t>
      </w:r>
      <w:r>
        <w:rPr>
          <w:kern w:val="0"/>
        </w:rPr>
        <w:t>. Review methods: A systematic literature search</w:t>
      </w:r>
      <w:r w:rsidR="00427468">
        <w:rPr>
          <w:kern w:val="0"/>
        </w:rPr>
        <w:t xml:space="preserve"> of </w:t>
      </w:r>
      <w:r>
        <w:rPr>
          <w:kern w:val="0"/>
        </w:rPr>
        <w:t>publications written in English between</w:t>
      </w:r>
      <w:r w:rsidR="003A1917">
        <w:rPr>
          <w:kern w:val="0"/>
        </w:rPr>
        <w:t xml:space="preserve"> the </w:t>
      </w:r>
      <w:r>
        <w:rPr>
          <w:kern w:val="0"/>
        </w:rPr>
        <w:t>years 1980</w:t>
      </w:r>
      <w:r w:rsidR="005853A9">
        <w:rPr>
          <w:kern w:val="0"/>
        </w:rPr>
        <w:t xml:space="preserve"> and </w:t>
      </w:r>
      <w:r>
        <w:rPr>
          <w:kern w:val="0"/>
        </w:rPr>
        <w:t>2006 was performed with</w:t>
      </w:r>
      <w:r w:rsidR="003A1917">
        <w:rPr>
          <w:kern w:val="0"/>
        </w:rPr>
        <w:t xml:space="preserve"> the </w:t>
      </w:r>
      <w:r>
        <w:rPr>
          <w:kern w:val="0"/>
        </w:rPr>
        <w:t>following keywords: spasticity</w:t>
      </w:r>
      <w:r w:rsidR="005853A9">
        <w:rPr>
          <w:kern w:val="0"/>
        </w:rPr>
        <w:t xml:space="preserve"> and </w:t>
      </w:r>
      <w:r>
        <w:rPr>
          <w:kern w:val="0"/>
        </w:rPr>
        <w:t>tone</w:t>
      </w:r>
      <w:r w:rsidR="00A37C1D">
        <w:rPr>
          <w:kern w:val="0"/>
        </w:rPr>
        <w:t>. The</w:t>
      </w:r>
      <w:r w:rsidR="003A1917">
        <w:rPr>
          <w:kern w:val="0"/>
        </w:rPr>
        <w:t xml:space="preserve"> </w:t>
      </w:r>
      <w:r>
        <w:rPr>
          <w:kern w:val="0"/>
        </w:rPr>
        <w:t>search was limited to</w:t>
      </w:r>
      <w:r w:rsidR="003A1917">
        <w:rPr>
          <w:kern w:val="0"/>
        </w:rPr>
        <w:t xml:space="preserve"> the </w:t>
      </w:r>
      <w:r>
        <w:rPr>
          <w:kern w:val="0"/>
        </w:rPr>
        <w:t>following keywords: stroke, hemiplegia, upper, hand</w:t>
      </w:r>
      <w:r w:rsidR="005853A9">
        <w:rPr>
          <w:kern w:val="0"/>
        </w:rPr>
        <w:t xml:space="preserve"> and </w:t>
      </w:r>
      <w:r>
        <w:rPr>
          <w:kern w:val="0"/>
        </w:rPr>
        <w:t>arm. Results: Two hundred</w:t>
      </w:r>
      <w:r w:rsidR="005853A9">
        <w:rPr>
          <w:kern w:val="0"/>
        </w:rPr>
        <w:t xml:space="preserve"> and </w:t>
      </w:r>
      <w:r>
        <w:rPr>
          <w:kern w:val="0"/>
        </w:rPr>
        <w:t>fifty references contributed to this review (190 clinical trials, 46 literature reviews,</w:t>
      </w:r>
      <w:r w:rsidR="005853A9">
        <w:rPr>
          <w:kern w:val="0"/>
        </w:rPr>
        <w:t xml:space="preserve"> and </w:t>
      </w:r>
      <w:r>
        <w:rPr>
          <w:kern w:val="0"/>
        </w:rPr>
        <w:t>14 case reports). Seventy-eight used</w:t>
      </w:r>
      <w:r w:rsidR="003A1917">
        <w:rPr>
          <w:kern w:val="0"/>
        </w:rPr>
        <w:t xml:space="preserve"> the </w:t>
      </w:r>
      <w:r>
        <w:rPr>
          <w:kern w:val="0"/>
        </w:rPr>
        <w:t>Lance definition; 88 equated spasticity with increased muscle tone; 78 provided no definition;</w:t>
      </w:r>
      <w:r w:rsidR="005853A9">
        <w:rPr>
          <w:kern w:val="0"/>
        </w:rPr>
        <w:t xml:space="preserve"> and </w:t>
      </w:r>
      <w:r>
        <w:rPr>
          <w:kern w:val="0"/>
        </w:rPr>
        <w:t>six others used their own definitions for spasticity. Most papers used a single measure</w:t>
      </w:r>
      <w:r w:rsidR="005853A9">
        <w:rPr>
          <w:kern w:val="0"/>
        </w:rPr>
        <w:t xml:space="preserve"> and </w:t>
      </w:r>
      <w:r>
        <w:rPr>
          <w:kern w:val="0"/>
        </w:rPr>
        <w:t>some used more than one. Forty-seven papers used neurophysiological methods</w:t>
      </w:r>
      <w:r w:rsidR="00427468">
        <w:rPr>
          <w:kern w:val="0"/>
        </w:rPr>
        <w:t xml:space="preserve"> of </w:t>
      </w:r>
      <w:r>
        <w:rPr>
          <w:kern w:val="0"/>
        </w:rPr>
        <w:t>testing, 228 used biomechanical methods</w:t>
      </w:r>
      <w:r w:rsidR="00427468">
        <w:rPr>
          <w:kern w:val="0"/>
        </w:rPr>
        <w:t xml:space="preserve"> of </w:t>
      </w:r>
      <w:r>
        <w:rPr>
          <w:kern w:val="0"/>
        </w:rPr>
        <w:lastRenderedPageBreak/>
        <w:t>measurement or assessment, 25 used miscellaneous clinical measures (e.g. spasm frequency scales)</w:t>
      </w:r>
      <w:r w:rsidR="005853A9">
        <w:rPr>
          <w:kern w:val="0"/>
        </w:rPr>
        <w:t xml:space="preserve"> and </w:t>
      </w:r>
      <w:r>
        <w:rPr>
          <w:kern w:val="0"/>
        </w:rPr>
        <w:t>19 did not explicitly describe a measure. Conclusion:</w:t>
      </w:r>
      <w:r w:rsidR="003A1917">
        <w:rPr>
          <w:kern w:val="0"/>
        </w:rPr>
        <w:t xml:space="preserve"> the </w:t>
      </w:r>
      <w:r>
        <w:rPr>
          <w:kern w:val="0"/>
        </w:rPr>
        <w:t>term spasticity is inconsistently defined</w:t>
      </w:r>
      <w:r w:rsidR="005853A9">
        <w:rPr>
          <w:kern w:val="0"/>
        </w:rPr>
        <w:t xml:space="preserve"> and </w:t>
      </w:r>
      <w:r>
        <w:rPr>
          <w:kern w:val="0"/>
        </w:rPr>
        <w:t>this inconsistency will need to be resolved. Often,</w:t>
      </w:r>
      <w:r w:rsidR="003A1917">
        <w:rPr>
          <w:kern w:val="0"/>
        </w:rPr>
        <w:t xml:space="preserve"> the </w:t>
      </w:r>
      <w:r>
        <w:rPr>
          <w:kern w:val="0"/>
        </w:rPr>
        <w:t>measures used did not correspond to</w:t>
      </w:r>
      <w:r w:rsidR="003A1917">
        <w:rPr>
          <w:kern w:val="0"/>
        </w:rPr>
        <w:t xml:space="preserve"> the </w:t>
      </w:r>
      <w:r>
        <w:rPr>
          <w:kern w:val="0"/>
        </w:rPr>
        <w:t>clinical features</w:t>
      </w:r>
      <w:r w:rsidR="00427468">
        <w:rPr>
          <w:kern w:val="0"/>
        </w:rPr>
        <w:t xml:space="preserve"> of </w:t>
      </w:r>
      <w:r>
        <w:rPr>
          <w:kern w:val="0"/>
        </w:rPr>
        <w:t>spasticity that were defined within a paper (i.e. internal validity was compromised)</w:t>
      </w:r>
      <w:r w:rsidR="00A37C1D">
        <w:rPr>
          <w:kern w:val="0"/>
        </w:rPr>
        <w:t>. The</w:t>
      </w:r>
      <w:r>
        <w:rPr>
          <w:kern w:val="0"/>
        </w:rPr>
        <w:t>re is need to ensure that this lack</w:t>
      </w:r>
      <w:r w:rsidR="00427468">
        <w:rPr>
          <w:kern w:val="0"/>
        </w:rPr>
        <w:t xml:space="preserve"> of </w:t>
      </w:r>
      <w:r>
        <w:rPr>
          <w:kern w:val="0"/>
        </w:rPr>
        <w:t>congruence is addressed in future research.</w:t>
      </w:r>
    </w:p>
    <w:p w:rsidR="000E063D" w:rsidRDefault="000E063D" w:rsidP="000E063D">
      <w:pPr>
        <w:pStyle w:val="a3"/>
        <w:rPr>
          <w:kern w:val="0"/>
        </w:rPr>
      </w:pPr>
      <w:r>
        <w:rPr>
          <w:kern w:val="0"/>
        </w:rPr>
        <w:t xml:space="preserve">Keywords: Assessment, Case Reports, Clinical Trials, Databases, Definitions, Frequency, Literature, Literature Review, Measurement, </w:t>
      </w:r>
      <w:r w:rsidR="00D5664A">
        <w:rPr>
          <w:kern w:val="0"/>
        </w:rPr>
        <w:t>MEDLINE</w:t>
      </w:r>
      <w:r>
        <w:rPr>
          <w:kern w:val="0"/>
        </w:rPr>
        <w:t xml:space="preserve">, Of-The-Literature, Papers, Publications, Research, Review, Scales, Science, Stroke, Systematic, Validity, </w:t>
      </w:r>
      <w:r w:rsidR="00D5664A">
        <w:rPr>
          <w:kern w:val="0"/>
        </w:rPr>
        <w:t>Web</w:t>
      </w:r>
      <w:r w:rsidR="00427468">
        <w:rPr>
          <w:kern w:val="0"/>
        </w:rPr>
        <w:t xml:space="preserve"> of </w:t>
      </w:r>
      <w:r w:rsidR="00D5664A">
        <w:rPr>
          <w:kern w:val="0"/>
        </w:rPr>
        <w:t>Science</w:t>
      </w:r>
    </w:p>
    <w:p w:rsidR="000E063D" w:rsidRPr="001A3D2B" w:rsidRDefault="000E063D" w:rsidP="000E063D">
      <w:pPr>
        <w:pStyle w:val="a3"/>
        <w:rPr>
          <w:kern w:val="0"/>
        </w:rPr>
      </w:pPr>
      <w:r w:rsidRPr="001A3D2B">
        <w:rPr>
          <w:kern w:val="0"/>
        </w:rPr>
        <w:t>? Borisova, Y.</w:t>
      </w:r>
      <w:r w:rsidR="005853A9">
        <w:rPr>
          <w:kern w:val="0"/>
        </w:rPr>
        <w:t xml:space="preserve"> and </w:t>
      </w:r>
      <w:r w:rsidRPr="001A3D2B">
        <w:rPr>
          <w:kern w:val="0"/>
        </w:rPr>
        <w:t>Bohannon, R.W. (2009), Positioning to prevent or reduce shoulder range</w:t>
      </w:r>
      <w:r w:rsidR="00427468">
        <w:rPr>
          <w:kern w:val="0"/>
        </w:rPr>
        <w:t xml:space="preserve"> of </w:t>
      </w:r>
      <w:r w:rsidRPr="001A3D2B">
        <w:rPr>
          <w:kern w:val="0"/>
        </w:rPr>
        <w:t xml:space="preserve">motion impairments after stroke: A meta-analysis. </w:t>
      </w:r>
      <w:r w:rsidRPr="001A3D2B">
        <w:rPr>
          <w:i/>
          <w:iCs/>
          <w:kern w:val="0"/>
        </w:rPr>
        <w:t>Clinical Rehabilitation</w:t>
      </w:r>
      <w:r w:rsidRPr="001A3D2B">
        <w:rPr>
          <w:kern w:val="0"/>
        </w:rPr>
        <w:t xml:space="preserve">, </w:t>
      </w:r>
      <w:r w:rsidRPr="001A3D2B">
        <w:rPr>
          <w:b/>
          <w:bCs/>
          <w:kern w:val="0"/>
        </w:rPr>
        <w:t>23</w:t>
      </w:r>
      <w:r w:rsidRPr="001A3D2B">
        <w:rPr>
          <w:kern w:val="0"/>
        </w:rPr>
        <w:t xml:space="preserve"> (8), 681-686.</w:t>
      </w:r>
    </w:p>
    <w:p w:rsidR="000E063D" w:rsidRDefault="000E063D" w:rsidP="000E063D">
      <w:pPr>
        <w:pStyle w:val="a3"/>
        <w:rPr>
          <w:kern w:val="0"/>
          <w:szCs w:val="24"/>
        </w:rPr>
      </w:pPr>
      <w:r>
        <w:rPr>
          <w:rFonts w:hint="eastAsia"/>
          <w:kern w:val="0"/>
          <w:szCs w:val="24"/>
        </w:rPr>
        <w:t xml:space="preserve">Full Text: </w:t>
      </w:r>
      <w:hyperlink r:id="rId421" w:history="1">
        <w:r w:rsidRPr="00322C61">
          <w:rPr>
            <w:rStyle w:val="a5"/>
            <w:kern w:val="0"/>
            <w:szCs w:val="24"/>
          </w:rPr>
          <w:t>2009\Cli Reh23, 681.pdf</w:t>
        </w:r>
      </w:hyperlink>
    </w:p>
    <w:p w:rsidR="000E063D" w:rsidRPr="001A3D2B" w:rsidRDefault="000E063D" w:rsidP="000E063D">
      <w:pPr>
        <w:pStyle w:val="a3"/>
        <w:rPr>
          <w:kern w:val="0"/>
        </w:rPr>
      </w:pPr>
      <w:r w:rsidRPr="001A3D2B">
        <w:rPr>
          <w:kern w:val="0"/>
        </w:rPr>
        <w:t>Abstract: Objective: To assess</w:t>
      </w:r>
      <w:r w:rsidR="003A1917">
        <w:rPr>
          <w:kern w:val="0"/>
        </w:rPr>
        <w:t xml:space="preserve"> the </w:t>
      </w:r>
      <w:r w:rsidRPr="001A3D2B">
        <w:rPr>
          <w:kern w:val="0"/>
        </w:rPr>
        <w:t>effectiveness</w:t>
      </w:r>
      <w:r w:rsidR="00427468">
        <w:rPr>
          <w:kern w:val="0"/>
        </w:rPr>
        <w:t xml:space="preserve"> of </w:t>
      </w:r>
      <w:r w:rsidRPr="001A3D2B">
        <w:rPr>
          <w:kern w:val="0"/>
        </w:rPr>
        <w:t>positioning on range</w:t>
      </w:r>
      <w:r w:rsidR="00427468">
        <w:rPr>
          <w:kern w:val="0"/>
        </w:rPr>
        <w:t xml:space="preserve"> of </w:t>
      </w:r>
      <w:r w:rsidRPr="001A3D2B">
        <w:rPr>
          <w:kern w:val="0"/>
        </w:rPr>
        <w:t>motion</w:t>
      </w:r>
      <w:r w:rsidR="00427468">
        <w:rPr>
          <w:kern w:val="0"/>
        </w:rPr>
        <w:t xml:space="preserve"> of </w:t>
      </w:r>
      <w:r w:rsidR="003A1917">
        <w:rPr>
          <w:kern w:val="0"/>
        </w:rPr>
        <w:t xml:space="preserve">the </w:t>
      </w:r>
      <w:r w:rsidRPr="001A3D2B">
        <w:rPr>
          <w:kern w:val="0"/>
        </w:rPr>
        <w:t xml:space="preserve">paretic shoulder following stroke. Data sources: We searched </w:t>
      </w:r>
      <w:r>
        <w:rPr>
          <w:kern w:val="0"/>
        </w:rPr>
        <w:t>PUBMED</w:t>
      </w:r>
      <w:r w:rsidRPr="001A3D2B">
        <w:rPr>
          <w:kern w:val="0"/>
        </w:rPr>
        <w:t>, CINAHL, EMBASE, Science Citation Index, PEDro, Cochrane Controlled Trails Register</w:t>
      </w:r>
      <w:r w:rsidR="005853A9">
        <w:rPr>
          <w:kern w:val="0"/>
        </w:rPr>
        <w:t xml:space="preserve"> and </w:t>
      </w:r>
      <w:r w:rsidRPr="001A3D2B">
        <w:rPr>
          <w:kern w:val="0"/>
        </w:rPr>
        <w:t>article reference lists. Review methods: Randomized controlled trials reporting range</w:t>
      </w:r>
      <w:r w:rsidR="00427468">
        <w:rPr>
          <w:kern w:val="0"/>
        </w:rPr>
        <w:t xml:space="preserve"> of </w:t>
      </w:r>
      <w:r w:rsidRPr="001A3D2B">
        <w:rPr>
          <w:kern w:val="0"/>
        </w:rPr>
        <w:t>motion outcomes</w:t>
      </w:r>
      <w:r w:rsidR="00427468">
        <w:rPr>
          <w:kern w:val="0"/>
        </w:rPr>
        <w:t xml:space="preserve"> of </w:t>
      </w:r>
      <w:r w:rsidRPr="001A3D2B">
        <w:rPr>
          <w:kern w:val="0"/>
        </w:rPr>
        <w:t>shoulder positioning programmes for patients with stroke were examined independently by</w:t>
      </w:r>
      <w:r w:rsidR="003A1917">
        <w:rPr>
          <w:kern w:val="0"/>
        </w:rPr>
        <w:t xml:space="preserve"> the </w:t>
      </w:r>
      <w:r w:rsidRPr="001A3D2B">
        <w:rPr>
          <w:kern w:val="0"/>
        </w:rPr>
        <w:t>two authors. Studies reporting external rotation range</w:t>
      </w:r>
      <w:r w:rsidR="00427468">
        <w:rPr>
          <w:kern w:val="0"/>
        </w:rPr>
        <w:t xml:space="preserve"> of </w:t>
      </w:r>
      <w:r w:rsidRPr="001A3D2B">
        <w:rPr>
          <w:kern w:val="0"/>
        </w:rPr>
        <w:t>motion outcomes were abstracted</w:t>
      </w:r>
      <w:r w:rsidR="005853A9">
        <w:rPr>
          <w:kern w:val="0"/>
        </w:rPr>
        <w:t xml:space="preserve"> and </w:t>
      </w:r>
      <w:r w:rsidRPr="001A3D2B">
        <w:rPr>
          <w:kern w:val="0"/>
        </w:rPr>
        <w:t>their quality was rated. Results: Five studies, all published in 2000 or later, were included. Shoulder external rotation range</w:t>
      </w:r>
      <w:r w:rsidR="00427468">
        <w:rPr>
          <w:kern w:val="0"/>
        </w:rPr>
        <w:t xml:space="preserve"> of </w:t>
      </w:r>
      <w:r w:rsidRPr="001A3D2B">
        <w:rPr>
          <w:kern w:val="0"/>
        </w:rPr>
        <w:t>motion was lost by control groups (mean 11.0-18.4 degrees)</w:t>
      </w:r>
      <w:r w:rsidR="005853A9">
        <w:rPr>
          <w:kern w:val="0"/>
        </w:rPr>
        <w:t xml:space="preserve"> and </w:t>
      </w:r>
      <w:r w:rsidRPr="001A3D2B">
        <w:rPr>
          <w:kern w:val="0"/>
        </w:rPr>
        <w:t>experimental (positioning) groups (mean 6.1 degrees to 19.2 degrees) in every study</w:t>
      </w:r>
      <w:r w:rsidR="00A37C1D">
        <w:rPr>
          <w:kern w:val="0"/>
        </w:rPr>
        <w:t>. The</w:t>
      </w:r>
      <w:r w:rsidR="003A1917">
        <w:rPr>
          <w:kern w:val="0"/>
        </w:rPr>
        <w:t xml:space="preserve"> </w:t>
      </w:r>
      <w:r w:rsidRPr="001A3D2B">
        <w:rPr>
          <w:kern w:val="0"/>
        </w:rPr>
        <w:t>standardized mean difference between groups was -0.216 (95% confidence interval -0.573 to 0.141)</w:t>
      </w:r>
      <w:r w:rsidR="00A37C1D">
        <w:rPr>
          <w:kern w:val="0"/>
        </w:rPr>
        <w:t>. The</w:t>
      </w:r>
      <w:r w:rsidRPr="001A3D2B">
        <w:rPr>
          <w:kern w:val="0"/>
        </w:rPr>
        <w:t>se findings</w:t>
      </w:r>
      <w:r w:rsidR="005853A9">
        <w:rPr>
          <w:kern w:val="0"/>
        </w:rPr>
        <w:t xml:space="preserve"> and </w:t>
      </w:r>
      <w:r w:rsidR="003A1917">
        <w:rPr>
          <w:kern w:val="0"/>
        </w:rPr>
        <w:t xml:space="preserve">the </w:t>
      </w:r>
      <w:r w:rsidRPr="001A3D2B">
        <w:rPr>
          <w:kern w:val="0"/>
        </w:rPr>
        <w:t>demonstration</w:t>
      </w:r>
      <w:r w:rsidR="00427468">
        <w:rPr>
          <w:kern w:val="0"/>
        </w:rPr>
        <w:t xml:space="preserve"> of </w:t>
      </w:r>
      <w:r w:rsidRPr="001A3D2B">
        <w:rPr>
          <w:kern w:val="0"/>
        </w:rPr>
        <w:t>homogeneity between</w:t>
      </w:r>
      <w:r w:rsidR="005853A9">
        <w:rPr>
          <w:kern w:val="0"/>
        </w:rPr>
        <w:t xml:space="preserve"> and </w:t>
      </w:r>
      <w:r w:rsidRPr="001A3D2B">
        <w:rPr>
          <w:kern w:val="0"/>
        </w:rPr>
        <w:t>within groups do not support positioning (as practised) as an effective intervention for preventing or slowing</w:t>
      </w:r>
      <w:r w:rsidR="003A1917">
        <w:rPr>
          <w:kern w:val="0"/>
        </w:rPr>
        <w:t xml:space="preserve"> the </w:t>
      </w:r>
      <w:r w:rsidRPr="001A3D2B">
        <w:rPr>
          <w:kern w:val="0"/>
        </w:rPr>
        <w:t>development</w:t>
      </w:r>
      <w:r w:rsidR="00427468">
        <w:rPr>
          <w:kern w:val="0"/>
        </w:rPr>
        <w:t xml:space="preserve"> of </w:t>
      </w:r>
      <w:r w:rsidRPr="001A3D2B">
        <w:rPr>
          <w:kern w:val="0"/>
        </w:rPr>
        <w:t>range</w:t>
      </w:r>
      <w:r w:rsidR="00434900">
        <w:rPr>
          <w:kern w:val="0"/>
        </w:rPr>
        <w:t>-of-</w:t>
      </w:r>
      <w:r w:rsidRPr="001A3D2B">
        <w:rPr>
          <w:kern w:val="0"/>
        </w:rPr>
        <w:t>motion impairments</w:t>
      </w:r>
      <w:r w:rsidR="00427468">
        <w:rPr>
          <w:kern w:val="0"/>
        </w:rPr>
        <w:t xml:space="preserve"> of </w:t>
      </w:r>
      <w:r w:rsidR="003A1917">
        <w:rPr>
          <w:kern w:val="0"/>
        </w:rPr>
        <w:t xml:space="preserve">the </w:t>
      </w:r>
      <w:r w:rsidRPr="001A3D2B">
        <w:rPr>
          <w:kern w:val="0"/>
        </w:rPr>
        <w:t>paretic shoulder after stroke. Conclusion: This meta-analysis failed to support</w:t>
      </w:r>
      <w:r w:rsidR="003A1917">
        <w:rPr>
          <w:kern w:val="0"/>
        </w:rPr>
        <w:t xml:space="preserve"> the </w:t>
      </w:r>
      <w:r w:rsidRPr="001A3D2B">
        <w:rPr>
          <w:kern w:val="0"/>
        </w:rPr>
        <w:t>benefit</w:t>
      </w:r>
      <w:r w:rsidR="00427468">
        <w:rPr>
          <w:kern w:val="0"/>
        </w:rPr>
        <w:t xml:space="preserve"> of </w:t>
      </w:r>
      <w:r w:rsidRPr="001A3D2B">
        <w:rPr>
          <w:kern w:val="0"/>
        </w:rPr>
        <w:t>positioning</w:t>
      </w:r>
      <w:r w:rsidR="003A1917">
        <w:rPr>
          <w:kern w:val="0"/>
        </w:rPr>
        <w:t xml:space="preserve"> the </w:t>
      </w:r>
      <w:r w:rsidRPr="001A3D2B">
        <w:rPr>
          <w:kern w:val="0"/>
        </w:rPr>
        <w:t>paretic upper extremity to prevent or reduce shoulder external rotation range</w:t>
      </w:r>
      <w:r w:rsidR="00427468">
        <w:rPr>
          <w:kern w:val="0"/>
        </w:rPr>
        <w:t xml:space="preserve"> of </w:t>
      </w:r>
      <w:r w:rsidRPr="001A3D2B">
        <w:rPr>
          <w:kern w:val="0"/>
        </w:rPr>
        <w:t>motion impairments after stroke.</w:t>
      </w:r>
    </w:p>
    <w:p w:rsidR="000E063D" w:rsidRPr="001A3D2B" w:rsidRDefault="000E063D" w:rsidP="000E063D">
      <w:pPr>
        <w:pStyle w:val="a3"/>
        <w:rPr>
          <w:kern w:val="0"/>
        </w:rPr>
      </w:pPr>
      <w:r w:rsidRPr="001A3D2B">
        <w:rPr>
          <w:kern w:val="0"/>
        </w:rPr>
        <w:t>Keywords: Arm, Citation, Contracture, Hemiplegic Shoulders, Muscle, Outcomes, Pain, Patient, Quality, Randomized Controlled-Trial, Stretch, Therapy</w:t>
      </w:r>
    </w:p>
    <w:p w:rsidR="000E063D" w:rsidRDefault="000E063D" w:rsidP="000E063D">
      <w:pPr>
        <w:pStyle w:val="a3"/>
        <w:rPr>
          <w:kern w:val="0"/>
          <w:szCs w:val="24"/>
        </w:rPr>
      </w:pPr>
      <w:r>
        <w:rPr>
          <w:rFonts w:hint="eastAsia"/>
          <w:kern w:val="0"/>
          <w:szCs w:val="24"/>
        </w:rPr>
        <w:t xml:space="preserve">? </w:t>
      </w:r>
      <w:r>
        <w:rPr>
          <w:kern w:val="0"/>
          <w:szCs w:val="24"/>
        </w:rPr>
        <w:t>Unver, B., Senduran, M., Kocak, F.U., Gunal, I.</w:t>
      </w:r>
      <w:r w:rsidR="005853A9">
        <w:rPr>
          <w:kern w:val="0"/>
          <w:szCs w:val="24"/>
        </w:rPr>
        <w:t xml:space="preserve"> and </w:t>
      </w:r>
      <w:r>
        <w:rPr>
          <w:kern w:val="0"/>
          <w:szCs w:val="24"/>
        </w:rPr>
        <w:t xml:space="preserve">Karatosun, V. (2009), Reference accuracy in four rehabilitation journals. </w:t>
      </w:r>
      <w:r>
        <w:rPr>
          <w:i/>
          <w:iCs/>
          <w:kern w:val="0"/>
          <w:szCs w:val="24"/>
        </w:rPr>
        <w:t>Clinical Rehabilitation</w:t>
      </w:r>
      <w:r>
        <w:rPr>
          <w:kern w:val="0"/>
          <w:szCs w:val="24"/>
        </w:rPr>
        <w:t xml:space="preserve">, </w:t>
      </w:r>
      <w:r>
        <w:rPr>
          <w:b/>
          <w:bCs/>
          <w:kern w:val="0"/>
          <w:szCs w:val="24"/>
        </w:rPr>
        <w:t>23</w:t>
      </w:r>
      <w:r>
        <w:rPr>
          <w:kern w:val="0"/>
          <w:szCs w:val="24"/>
        </w:rPr>
        <w:t xml:space="preserve"> (8), 741-745.</w:t>
      </w:r>
    </w:p>
    <w:p w:rsidR="000E063D" w:rsidRDefault="000E063D" w:rsidP="000E063D">
      <w:pPr>
        <w:pStyle w:val="a3"/>
        <w:rPr>
          <w:kern w:val="0"/>
          <w:szCs w:val="24"/>
        </w:rPr>
      </w:pPr>
      <w:r>
        <w:rPr>
          <w:rFonts w:hint="eastAsia"/>
          <w:kern w:val="0"/>
          <w:szCs w:val="24"/>
        </w:rPr>
        <w:t xml:space="preserve">Full Text: </w:t>
      </w:r>
      <w:hyperlink r:id="rId422" w:history="1">
        <w:r w:rsidRPr="00BF70BF">
          <w:rPr>
            <w:rStyle w:val="a5"/>
            <w:kern w:val="0"/>
            <w:szCs w:val="24"/>
          </w:rPr>
          <w:t>2009\Cli Reh23, 741.pdf</w:t>
        </w:r>
      </w:hyperlink>
    </w:p>
    <w:p w:rsidR="000E063D" w:rsidRDefault="000E063D" w:rsidP="000E063D">
      <w:pPr>
        <w:pStyle w:val="a3"/>
        <w:rPr>
          <w:kern w:val="0"/>
          <w:szCs w:val="24"/>
        </w:rPr>
      </w:pPr>
      <w:r>
        <w:rPr>
          <w:kern w:val="0"/>
          <w:szCs w:val="24"/>
        </w:rPr>
        <w:t>Abstract: Objective: To investigate</w:t>
      </w:r>
      <w:r w:rsidR="003A1917">
        <w:rPr>
          <w:kern w:val="0"/>
          <w:szCs w:val="24"/>
        </w:rPr>
        <w:t xml:space="preserve"> the </w:t>
      </w:r>
      <w:r>
        <w:rPr>
          <w:kern w:val="0"/>
          <w:szCs w:val="24"/>
        </w:rPr>
        <w:t>incidence</w:t>
      </w:r>
      <w:r w:rsidR="00427468">
        <w:rPr>
          <w:kern w:val="0"/>
          <w:szCs w:val="24"/>
        </w:rPr>
        <w:t xml:space="preserve"> of </w:t>
      </w:r>
      <w:r>
        <w:rPr>
          <w:kern w:val="0"/>
          <w:szCs w:val="24"/>
        </w:rPr>
        <w:t>reference errors in major peer-reviewed general physical therapy</w:t>
      </w:r>
      <w:r w:rsidR="005853A9">
        <w:rPr>
          <w:kern w:val="0"/>
          <w:szCs w:val="24"/>
        </w:rPr>
        <w:t xml:space="preserve"> and </w:t>
      </w:r>
      <w:r>
        <w:rPr>
          <w:kern w:val="0"/>
          <w:szCs w:val="24"/>
        </w:rPr>
        <w:t>rehabilitation journals (American Journal</w:t>
      </w:r>
      <w:r w:rsidR="00427468">
        <w:rPr>
          <w:kern w:val="0"/>
          <w:szCs w:val="24"/>
        </w:rPr>
        <w:t xml:space="preserve"> of </w:t>
      </w:r>
      <w:r>
        <w:rPr>
          <w:kern w:val="0"/>
          <w:szCs w:val="24"/>
        </w:rPr>
        <w:t>Physical Medicine</w:t>
      </w:r>
      <w:r w:rsidR="005853A9">
        <w:rPr>
          <w:kern w:val="0"/>
          <w:szCs w:val="24"/>
        </w:rPr>
        <w:t xml:space="preserve"> and </w:t>
      </w:r>
      <w:r>
        <w:rPr>
          <w:kern w:val="0"/>
          <w:szCs w:val="24"/>
        </w:rPr>
        <w:t>Rehabilitation (AJPMR), Archives</w:t>
      </w:r>
      <w:r w:rsidR="00427468">
        <w:rPr>
          <w:kern w:val="0"/>
          <w:szCs w:val="24"/>
        </w:rPr>
        <w:t xml:space="preserve"> of </w:t>
      </w:r>
      <w:r>
        <w:rPr>
          <w:kern w:val="0"/>
          <w:szCs w:val="24"/>
        </w:rPr>
        <w:t>Physical Medicine</w:t>
      </w:r>
      <w:r w:rsidR="005853A9">
        <w:rPr>
          <w:kern w:val="0"/>
          <w:szCs w:val="24"/>
        </w:rPr>
        <w:t xml:space="preserve"> </w:t>
      </w:r>
      <w:r w:rsidR="005853A9">
        <w:rPr>
          <w:kern w:val="0"/>
          <w:szCs w:val="24"/>
        </w:rPr>
        <w:lastRenderedPageBreak/>
        <w:t xml:space="preserve">and </w:t>
      </w:r>
      <w:r>
        <w:rPr>
          <w:kern w:val="0"/>
          <w:szCs w:val="24"/>
        </w:rPr>
        <w:t>Rehabilitation (APMR), Clinical Rehabilitation (CR)</w:t>
      </w:r>
      <w:r w:rsidR="005853A9">
        <w:rPr>
          <w:kern w:val="0"/>
          <w:szCs w:val="24"/>
        </w:rPr>
        <w:t xml:space="preserve"> and </w:t>
      </w:r>
      <w:r>
        <w:rPr>
          <w:kern w:val="0"/>
          <w:szCs w:val="24"/>
        </w:rPr>
        <w:t>Physical Therapy (PT)). Design: Descriptive, comparative. Main outcome measures: All issues</w:t>
      </w:r>
      <w:r w:rsidR="00427468">
        <w:rPr>
          <w:kern w:val="0"/>
          <w:szCs w:val="24"/>
        </w:rPr>
        <w:t xml:space="preserve"> of </w:t>
      </w:r>
      <w:r w:rsidR="003A1917">
        <w:rPr>
          <w:kern w:val="0"/>
          <w:szCs w:val="24"/>
        </w:rPr>
        <w:t xml:space="preserve">the </w:t>
      </w:r>
      <w:r>
        <w:rPr>
          <w:kern w:val="0"/>
          <w:szCs w:val="24"/>
        </w:rPr>
        <w:t>AJPMR, APMR, CR</w:t>
      </w:r>
      <w:r w:rsidR="005853A9">
        <w:rPr>
          <w:kern w:val="0"/>
          <w:szCs w:val="24"/>
        </w:rPr>
        <w:t xml:space="preserve"> and </w:t>
      </w:r>
      <w:r>
        <w:rPr>
          <w:kern w:val="0"/>
          <w:szCs w:val="24"/>
        </w:rPr>
        <w:t>PT between 2003</w:t>
      </w:r>
      <w:r w:rsidR="005853A9">
        <w:rPr>
          <w:kern w:val="0"/>
          <w:szCs w:val="24"/>
        </w:rPr>
        <w:t xml:space="preserve"> and </w:t>
      </w:r>
      <w:r>
        <w:rPr>
          <w:kern w:val="0"/>
          <w:szCs w:val="24"/>
        </w:rPr>
        <w:t>2007 were studied. For each journal, references from articles were consecutively numbered,</w:t>
      </w:r>
      <w:r w:rsidR="005853A9">
        <w:rPr>
          <w:kern w:val="0"/>
          <w:szCs w:val="24"/>
        </w:rPr>
        <w:t xml:space="preserve"> and </w:t>
      </w:r>
      <w:r>
        <w:rPr>
          <w:kern w:val="0"/>
          <w:szCs w:val="24"/>
        </w:rPr>
        <w:t>using a random number generator, 100 references were selected from each journal. For each reference, ease</w:t>
      </w:r>
      <w:r w:rsidR="00427468">
        <w:rPr>
          <w:kern w:val="0"/>
          <w:szCs w:val="24"/>
        </w:rPr>
        <w:t xml:space="preserve"> of </w:t>
      </w:r>
      <w:r>
        <w:rPr>
          <w:kern w:val="0"/>
          <w:szCs w:val="24"/>
        </w:rPr>
        <w:t xml:space="preserve">retrieval on </w:t>
      </w:r>
      <w:r w:rsidR="00D5664A">
        <w:rPr>
          <w:kern w:val="0"/>
          <w:szCs w:val="24"/>
        </w:rPr>
        <w:t>MEDLINE</w:t>
      </w:r>
      <w:r w:rsidR="005853A9">
        <w:rPr>
          <w:kern w:val="0"/>
          <w:szCs w:val="24"/>
        </w:rPr>
        <w:t xml:space="preserve"> and </w:t>
      </w:r>
      <w:r w:rsidR="003A1917">
        <w:rPr>
          <w:kern w:val="0"/>
          <w:szCs w:val="24"/>
        </w:rPr>
        <w:t xml:space="preserve">the </w:t>
      </w:r>
      <w:r>
        <w:rPr>
          <w:kern w:val="0"/>
          <w:szCs w:val="24"/>
        </w:rPr>
        <w:t>presence</w:t>
      </w:r>
      <w:r w:rsidR="00427468">
        <w:rPr>
          <w:kern w:val="0"/>
          <w:szCs w:val="24"/>
        </w:rPr>
        <w:t xml:space="preserve"> of </w:t>
      </w:r>
      <w:r>
        <w:rPr>
          <w:kern w:val="0"/>
          <w:szCs w:val="24"/>
        </w:rPr>
        <w:t>citation errors were noted. If discrepancies were identified,</w:t>
      </w:r>
      <w:r w:rsidR="003A1917">
        <w:rPr>
          <w:kern w:val="0"/>
          <w:szCs w:val="24"/>
        </w:rPr>
        <w:t xml:space="preserve"> the </w:t>
      </w:r>
      <w:r>
        <w:rPr>
          <w:kern w:val="0"/>
          <w:szCs w:val="24"/>
        </w:rPr>
        <w:t>reference was compared with</w:t>
      </w:r>
      <w:r w:rsidR="003A1917">
        <w:rPr>
          <w:kern w:val="0"/>
          <w:szCs w:val="24"/>
        </w:rPr>
        <w:t xml:space="preserve"> the </w:t>
      </w:r>
      <w:r>
        <w:rPr>
          <w:kern w:val="0"/>
          <w:szCs w:val="24"/>
        </w:rPr>
        <w:t>original publication. Two observers independently evaluated each reference for citation errors. Results:</w:t>
      </w:r>
      <w:r w:rsidR="003A1917">
        <w:rPr>
          <w:kern w:val="0"/>
          <w:szCs w:val="24"/>
        </w:rPr>
        <w:t xml:space="preserve"> the </w:t>
      </w:r>
      <w:r>
        <w:rPr>
          <w:kern w:val="0"/>
          <w:szCs w:val="24"/>
        </w:rPr>
        <w:t>total number</w:t>
      </w:r>
      <w:r w:rsidR="00427468">
        <w:rPr>
          <w:kern w:val="0"/>
          <w:szCs w:val="24"/>
        </w:rPr>
        <w:t xml:space="preserve"> of </w:t>
      </w:r>
      <w:r>
        <w:rPr>
          <w:kern w:val="0"/>
          <w:szCs w:val="24"/>
        </w:rPr>
        <w:t>citations with errors among all published journals was 123 (30.7%)</w:t>
      </w:r>
      <w:r w:rsidR="00A37C1D">
        <w:rPr>
          <w:kern w:val="0"/>
          <w:szCs w:val="24"/>
        </w:rPr>
        <w:t>. The</w:t>
      </w:r>
      <w:r w:rsidR="003A1917">
        <w:rPr>
          <w:kern w:val="0"/>
          <w:szCs w:val="24"/>
        </w:rPr>
        <w:t xml:space="preserve"> </w:t>
      </w:r>
      <w:r>
        <w:rPr>
          <w:kern w:val="0"/>
          <w:szCs w:val="24"/>
        </w:rPr>
        <w:t>reference error rates by journal ranged from 23% to 44%. Most errors (48.0%) occurred in</w:t>
      </w:r>
      <w:r w:rsidR="003A1917">
        <w:rPr>
          <w:kern w:val="0"/>
          <w:szCs w:val="24"/>
        </w:rPr>
        <w:t xml:space="preserve"> the </w:t>
      </w:r>
      <w:r>
        <w:rPr>
          <w:kern w:val="0"/>
          <w:szCs w:val="24"/>
        </w:rPr>
        <w:t>author element, followed by</w:t>
      </w:r>
      <w:r w:rsidR="003A1917">
        <w:rPr>
          <w:kern w:val="0"/>
          <w:szCs w:val="24"/>
        </w:rPr>
        <w:t xml:space="preserve"> the </w:t>
      </w:r>
      <w:r>
        <w:rPr>
          <w:kern w:val="0"/>
          <w:szCs w:val="24"/>
        </w:rPr>
        <w:t>title (31.7%), journal (8.9%), page (5.7%), year (4.1%),</w:t>
      </w:r>
      <w:r w:rsidR="005853A9">
        <w:rPr>
          <w:kern w:val="0"/>
          <w:szCs w:val="24"/>
        </w:rPr>
        <w:t xml:space="preserve"> and </w:t>
      </w:r>
      <w:r>
        <w:rPr>
          <w:kern w:val="0"/>
          <w:szCs w:val="24"/>
        </w:rPr>
        <w:t>volume (1.6%). Only 8 (2%) were likely to make retrieval</w:t>
      </w:r>
      <w:r w:rsidR="00427468">
        <w:rPr>
          <w:kern w:val="0"/>
          <w:szCs w:val="24"/>
        </w:rPr>
        <w:t xml:space="preserve"> of </w:t>
      </w:r>
      <w:r w:rsidR="003A1917">
        <w:rPr>
          <w:kern w:val="0"/>
          <w:szCs w:val="24"/>
        </w:rPr>
        <w:t xml:space="preserve">the </w:t>
      </w:r>
      <w:r>
        <w:rPr>
          <w:kern w:val="0"/>
          <w:szCs w:val="24"/>
        </w:rPr>
        <w:t>reference difficult. Conclusions: Errors in references still appear in current physical therapy</w:t>
      </w:r>
      <w:r w:rsidR="005853A9">
        <w:rPr>
          <w:kern w:val="0"/>
          <w:szCs w:val="24"/>
        </w:rPr>
        <w:t xml:space="preserve"> and </w:t>
      </w:r>
      <w:r>
        <w:rPr>
          <w:kern w:val="0"/>
          <w:szCs w:val="24"/>
        </w:rPr>
        <w:t>rehabilitation literature, but most are not severe.</w:t>
      </w:r>
    </w:p>
    <w:p w:rsidR="000E063D" w:rsidRDefault="000E063D" w:rsidP="000E063D">
      <w:pPr>
        <w:pStyle w:val="a3"/>
        <w:rPr>
          <w:kern w:val="0"/>
          <w:szCs w:val="24"/>
        </w:rPr>
      </w:pPr>
      <w:r>
        <w:rPr>
          <w:kern w:val="0"/>
          <w:szCs w:val="24"/>
        </w:rPr>
        <w:t xml:space="preserve">Keywords: Accuracy, Citation, Citation Errors, Citations, Cr, Error, Errors, General, Incidence, Journal, Journals, Literature, Medical Journals, Medicine, </w:t>
      </w:r>
      <w:r w:rsidR="00D5664A">
        <w:rPr>
          <w:kern w:val="0"/>
          <w:szCs w:val="24"/>
        </w:rPr>
        <w:t>MEDLINE</w:t>
      </w:r>
      <w:r>
        <w:rPr>
          <w:kern w:val="0"/>
          <w:szCs w:val="24"/>
        </w:rPr>
        <w:t>, Observers, Outcome, Outcome Measures, Peer-Reviewed, Physical, Physical Therapy, Publication, Rates, Reference, Reference Errors, References, Rehabilitation, Therapy, Volume</w:t>
      </w:r>
    </w:p>
    <w:p w:rsidR="000E063D" w:rsidRDefault="000E063D" w:rsidP="000E063D">
      <w:pPr>
        <w:pStyle w:val="a3"/>
        <w:rPr>
          <w:kern w:val="0"/>
        </w:rPr>
      </w:pPr>
      <w:r>
        <w:rPr>
          <w:rFonts w:hint="eastAsia"/>
          <w:kern w:val="0"/>
        </w:rPr>
        <w:t xml:space="preserve">? </w:t>
      </w:r>
      <w:r>
        <w:rPr>
          <w:kern w:val="0"/>
        </w:rPr>
        <w:t>Bogosian, A., Moss-Morris, R.</w:t>
      </w:r>
      <w:r w:rsidR="005853A9">
        <w:rPr>
          <w:kern w:val="0"/>
        </w:rPr>
        <w:t xml:space="preserve"> and </w:t>
      </w:r>
      <w:r>
        <w:rPr>
          <w:kern w:val="0"/>
        </w:rPr>
        <w:t>Hadwin, J. (2010), Psychosocial adjustment in children</w:t>
      </w:r>
      <w:r w:rsidR="005853A9">
        <w:rPr>
          <w:kern w:val="0"/>
        </w:rPr>
        <w:t xml:space="preserve"> and </w:t>
      </w:r>
      <w:r>
        <w:rPr>
          <w:kern w:val="0"/>
        </w:rPr>
        <w:t xml:space="preserve">adolescents with a parent with multiple sclerosis: A systematic review. </w:t>
      </w:r>
      <w:r>
        <w:rPr>
          <w:i/>
          <w:iCs/>
          <w:kern w:val="0"/>
        </w:rPr>
        <w:t>Clinical Rehabilitation</w:t>
      </w:r>
      <w:r>
        <w:rPr>
          <w:kern w:val="0"/>
        </w:rPr>
        <w:t xml:space="preserve">, </w:t>
      </w:r>
      <w:r>
        <w:rPr>
          <w:b/>
          <w:bCs/>
          <w:kern w:val="0"/>
        </w:rPr>
        <w:t>24</w:t>
      </w:r>
      <w:r>
        <w:rPr>
          <w:kern w:val="0"/>
        </w:rPr>
        <w:t xml:space="preserve"> (9), 789-801.</w:t>
      </w:r>
    </w:p>
    <w:p w:rsidR="00D03F3B" w:rsidRDefault="00D03F3B" w:rsidP="00D03F3B">
      <w:pPr>
        <w:pStyle w:val="a3"/>
        <w:rPr>
          <w:kern w:val="0"/>
          <w:szCs w:val="24"/>
        </w:rPr>
      </w:pPr>
      <w:r>
        <w:rPr>
          <w:rFonts w:hint="eastAsia"/>
          <w:kern w:val="0"/>
          <w:szCs w:val="24"/>
        </w:rPr>
        <w:t xml:space="preserve">Full Text: </w:t>
      </w:r>
      <w:hyperlink r:id="rId423" w:history="1">
        <w:r w:rsidRPr="00075F49">
          <w:rPr>
            <w:rStyle w:val="a5"/>
            <w:kern w:val="0"/>
            <w:szCs w:val="24"/>
          </w:rPr>
          <w:t>2010\Cli Reh24, 789.pdf</w:t>
        </w:r>
      </w:hyperlink>
    </w:p>
    <w:p w:rsidR="000E063D" w:rsidRDefault="000E063D" w:rsidP="000E063D">
      <w:pPr>
        <w:pStyle w:val="a3"/>
        <w:rPr>
          <w:kern w:val="0"/>
        </w:rPr>
      </w:pPr>
      <w:r>
        <w:rPr>
          <w:kern w:val="0"/>
        </w:rPr>
        <w:t>Abstract: Objective: This systematic review explored</w:t>
      </w:r>
      <w:r w:rsidR="003A1917">
        <w:rPr>
          <w:kern w:val="0"/>
        </w:rPr>
        <w:t xml:space="preserve"> the </w:t>
      </w:r>
      <w:r>
        <w:rPr>
          <w:kern w:val="0"/>
        </w:rPr>
        <w:t>potential impact</w:t>
      </w:r>
      <w:r w:rsidR="00427468">
        <w:rPr>
          <w:kern w:val="0"/>
        </w:rPr>
        <w:t xml:space="preserve"> of </w:t>
      </w:r>
      <w:r>
        <w:rPr>
          <w:kern w:val="0"/>
        </w:rPr>
        <w:t>parental multiple sclerosis on their offspring. It considered adjustment to parental multiple sclerosis at different developmental stages</w:t>
      </w:r>
      <w:r w:rsidR="005853A9">
        <w:rPr>
          <w:kern w:val="0"/>
        </w:rPr>
        <w:t xml:space="preserve"> and </w:t>
      </w:r>
      <w:r w:rsidR="003A1917">
        <w:rPr>
          <w:kern w:val="0"/>
        </w:rPr>
        <w:t xml:space="preserve">the </w:t>
      </w:r>
      <w:r>
        <w:rPr>
          <w:kern w:val="0"/>
        </w:rPr>
        <w:t xml:space="preserve">factors associated with good versus poor adjustment. Data sources: </w:t>
      </w:r>
      <w:r w:rsidR="00D5664A">
        <w:rPr>
          <w:kern w:val="0"/>
        </w:rPr>
        <w:t>MEDLINE</w:t>
      </w:r>
      <w:r>
        <w:rPr>
          <w:kern w:val="0"/>
        </w:rPr>
        <w:t>, EMBASE, PsycINFO, CINAHL</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studies on children with a parent with multiple sclerosis. Inclusion</w:t>
      </w:r>
      <w:r w:rsidR="005853A9">
        <w:rPr>
          <w:kern w:val="0"/>
        </w:rPr>
        <w:t xml:space="preserve"> and </w:t>
      </w:r>
      <w:r>
        <w:rPr>
          <w:kern w:val="0"/>
        </w:rPr>
        <w:t>exclusion criteria were formulated. Hand-searching journals</w:t>
      </w:r>
      <w:r w:rsidR="005853A9">
        <w:rPr>
          <w:kern w:val="0"/>
        </w:rPr>
        <w:t xml:space="preserve"> and </w:t>
      </w:r>
      <w:r>
        <w:rPr>
          <w:kern w:val="0"/>
        </w:rPr>
        <w:t>reference lists, contacting authors</w:t>
      </w:r>
      <w:r w:rsidR="005853A9">
        <w:rPr>
          <w:kern w:val="0"/>
        </w:rPr>
        <w:t xml:space="preserve"> and </w:t>
      </w:r>
      <w:r>
        <w:rPr>
          <w:kern w:val="0"/>
        </w:rPr>
        <w:t>multiple sclerosis societies for additional unpublished papers complemented</w:t>
      </w:r>
      <w:r w:rsidR="003A1917">
        <w:rPr>
          <w:kern w:val="0"/>
        </w:rPr>
        <w:t xml:space="preserve"> the </w:t>
      </w:r>
      <w:r>
        <w:rPr>
          <w:kern w:val="0"/>
        </w:rPr>
        <w:t>searches. Review methods: Twenty studies that satisfied</w:t>
      </w:r>
      <w:r w:rsidR="003A1917">
        <w:rPr>
          <w:kern w:val="0"/>
        </w:rPr>
        <w:t xml:space="preserve"> the </w:t>
      </w:r>
      <w:r>
        <w:rPr>
          <w:kern w:val="0"/>
        </w:rPr>
        <w:t>inclusion criteria were included</w:t>
      </w:r>
      <w:r w:rsidR="00A37C1D">
        <w:rPr>
          <w:kern w:val="0"/>
        </w:rPr>
        <w:t>. The</w:t>
      </w:r>
      <w:r w:rsidR="003A1917">
        <w:rPr>
          <w:kern w:val="0"/>
        </w:rPr>
        <w:t xml:space="preserve"> </w:t>
      </w:r>
      <w:r>
        <w:rPr>
          <w:kern w:val="0"/>
        </w:rPr>
        <w:t>research articles were ranked according to a quality assessment checklist</w:t>
      </w:r>
      <w:r w:rsidR="005853A9">
        <w:rPr>
          <w:kern w:val="0"/>
        </w:rPr>
        <w:t xml:space="preserve"> and </w:t>
      </w:r>
      <w:r>
        <w:rPr>
          <w:kern w:val="0"/>
        </w:rPr>
        <w:t>were categorized as good, medium or poor quality. Results:</w:t>
      </w:r>
      <w:r w:rsidR="003A1917">
        <w:rPr>
          <w:kern w:val="0"/>
        </w:rPr>
        <w:t xml:space="preserve"> the </w:t>
      </w:r>
      <w:r>
        <w:rPr>
          <w:kern w:val="0"/>
        </w:rPr>
        <w:t>review found good evidence to suggest that parental multiple sclerosis has a negative impact on children</w:t>
      </w:r>
      <w:r w:rsidR="0071223E">
        <w:rPr>
          <w:kern w:val="0"/>
        </w:rPr>
        <w:t>’</w:t>
      </w:r>
      <w:r w:rsidR="00C13DDC">
        <w:rPr>
          <w:kern w:val="0"/>
        </w:rPr>
        <w:t>s</w:t>
      </w:r>
      <w:r>
        <w:rPr>
          <w:kern w:val="0"/>
        </w:rPr>
        <w:t xml:space="preserve"> social</w:t>
      </w:r>
      <w:r w:rsidR="005853A9">
        <w:rPr>
          <w:kern w:val="0"/>
        </w:rPr>
        <w:t xml:space="preserve"> and </w:t>
      </w:r>
      <w:r>
        <w:rPr>
          <w:kern w:val="0"/>
        </w:rPr>
        <w:t>family relationships</w:t>
      </w:r>
      <w:r w:rsidR="005853A9">
        <w:rPr>
          <w:kern w:val="0"/>
        </w:rPr>
        <w:t xml:space="preserve"> and </w:t>
      </w:r>
      <w:r>
        <w:rPr>
          <w:kern w:val="0"/>
        </w:rPr>
        <w:t>their psychological well-being</w:t>
      </w:r>
      <w:r w:rsidR="00A37C1D">
        <w:rPr>
          <w:kern w:val="0"/>
        </w:rPr>
        <w:t>. The</w:t>
      </w:r>
      <w:r w:rsidR="003A1917">
        <w:rPr>
          <w:kern w:val="0"/>
        </w:rPr>
        <w:t xml:space="preserve"> </w:t>
      </w:r>
      <w:r>
        <w:rPr>
          <w:kern w:val="0"/>
        </w:rPr>
        <w:t>review also identified potential factors associated with poor adjustment</w:t>
      </w:r>
      <w:r w:rsidR="00A37C1D">
        <w:rPr>
          <w:kern w:val="0"/>
        </w:rPr>
        <w:t>. The</w:t>
      </w:r>
      <w:r>
        <w:rPr>
          <w:kern w:val="0"/>
        </w:rPr>
        <w:t>se factors included parental negative emotions, increased illness severity, family dysfunction, children</w:t>
      </w:r>
      <w:r w:rsidR="0071223E">
        <w:rPr>
          <w:kern w:val="0"/>
        </w:rPr>
        <w:t>’</w:t>
      </w:r>
      <w:r w:rsidR="00C13DDC">
        <w:rPr>
          <w:kern w:val="0"/>
        </w:rPr>
        <w:t>s</w:t>
      </w:r>
      <w:r>
        <w:rPr>
          <w:kern w:val="0"/>
        </w:rPr>
        <w:t xml:space="preserve"> lack</w:t>
      </w:r>
      <w:r w:rsidR="00427468">
        <w:rPr>
          <w:kern w:val="0"/>
        </w:rPr>
        <w:t xml:space="preserve"> of </w:t>
      </w:r>
      <w:r>
        <w:rPr>
          <w:kern w:val="0"/>
        </w:rPr>
        <w:lastRenderedPageBreak/>
        <w:t>knowledge about</w:t>
      </w:r>
      <w:r w:rsidR="003A1917">
        <w:rPr>
          <w:kern w:val="0"/>
        </w:rPr>
        <w:t xml:space="preserve"> the </w:t>
      </w:r>
      <w:r>
        <w:rPr>
          <w:kern w:val="0"/>
        </w:rPr>
        <w:t>illness</w:t>
      </w:r>
      <w:r w:rsidR="005853A9">
        <w:rPr>
          <w:kern w:val="0"/>
        </w:rPr>
        <w:t xml:space="preserve"> and </w:t>
      </w:r>
      <w:r>
        <w:rPr>
          <w:kern w:val="0"/>
        </w:rPr>
        <w:t>lack</w:t>
      </w:r>
      <w:r w:rsidR="00427468">
        <w:rPr>
          <w:kern w:val="0"/>
        </w:rPr>
        <w:t xml:space="preserve"> of </w:t>
      </w:r>
      <w:r>
        <w:rPr>
          <w:kern w:val="0"/>
        </w:rPr>
        <w:t>social support. Adolescent children also seemed to be more at risk for psychosocial problems than school-age children. Conclusions: There is good evidence that parental multiple sclerosis has a negative psychosocial impact on children, especially on adolescents.</w:t>
      </w:r>
    </w:p>
    <w:p w:rsidR="000E063D" w:rsidRDefault="000E063D" w:rsidP="000E063D">
      <w:pPr>
        <w:pStyle w:val="a3"/>
        <w:rPr>
          <w:kern w:val="0"/>
        </w:rPr>
      </w:pPr>
      <w:r>
        <w:rPr>
          <w:kern w:val="0"/>
        </w:rPr>
        <w:t xml:space="preserve">Keywords: Adolescent, Adolescents, Anxiety, Assessment, Authors, Cancer, Children, Depression, Disability, EMBASE, Families, Ill Parent, Impact, Journals, Knowledge, </w:t>
      </w:r>
      <w:r w:rsidR="00D5664A">
        <w:rPr>
          <w:kern w:val="0"/>
        </w:rPr>
        <w:t>MEDLINE</w:t>
      </w:r>
      <w:r>
        <w:rPr>
          <w:kern w:val="0"/>
        </w:rPr>
        <w:t xml:space="preserve">, Mothers, Papers, Parent, Psychological Distress, Psychosocial, Research, Review, Risk, Science, Social, Support, Systematic, Systematic Review, </w:t>
      </w:r>
      <w:r w:rsidR="00D5664A">
        <w:rPr>
          <w:kern w:val="0"/>
        </w:rPr>
        <w:t>Web</w:t>
      </w:r>
      <w:r w:rsidR="00427468">
        <w:rPr>
          <w:kern w:val="0"/>
        </w:rPr>
        <w:t xml:space="preserve"> of </w:t>
      </w:r>
      <w:r w:rsidR="00D5664A">
        <w:rPr>
          <w:kern w:val="0"/>
        </w:rPr>
        <w:t>Science</w:t>
      </w:r>
    </w:p>
    <w:p w:rsidR="000E063D" w:rsidRDefault="000E063D" w:rsidP="000E063D">
      <w:pPr>
        <w:pStyle w:val="a3"/>
        <w:rPr>
          <w:kern w:val="0"/>
        </w:rPr>
      </w:pPr>
      <w:r>
        <w:rPr>
          <w:rFonts w:hint="eastAsia"/>
          <w:kern w:val="0"/>
        </w:rPr>
        <w:t xml:space="preserve">? </w:t>
      </w:r>
      <w:r>
        <w:rPr>
          <w:kern w:val="0"/>
        </w:rPr>
        <w:t>Fliess-Douer, O., Vanlandewijck, Y.C., Manor, G.L.</w:t>
      </w:r>
      <w:r w:rsidR="005853A9">
        <w:rPr>
          <w:kern w:val="0"/>
        </w:rPr>
        <w:t xml:space="preserve"> and </w:t>
      </w:r>
      <w:r>
        <w:rPr>
          <w:kern w:val="0"/>
        </w:rPr>
        <w:t>Van Der Woude, L.H.V. (2010), A systematic review</w:t>
      </w:r>
      <w:r w:rsidR="00427468">
        <w:rPr>
          <w:kern w:val="0"/>
        </w:rPr>
        <w:t xml:space="preserve"> of </w:t>
      </w:r>
      <w:r>
        <w:rPr>
          <w:kern w:val="0"/>
        </w:rPr>
        <w:t xml:space="preserve">wheelchair skills tests for manual wheelchair users with a spinal cord injury: Towards a standardized outcome measure. </w:t>
      </w:r>
      <w:r>
        <w:rPr>
          <w:i/>
          <w:iCs/>
          <w:kern w:val="0"/>
        </w:rPr>
        <w:t>Clinical Rehabilitation</w:t>
      </w:r>
      <w:r>
        <w:rPr>
          <w:kern w:val="0"/>
        </w:rPr>
        <w:t xml:space="preserve">, </w:t>
      </w:r>
      <w:r>
        <w:rPr>
          <w:b/>
          <w:bCs/>
          <w:kern w:val="0"/>
        </w:rPr>
        <w:t>24</w:t>
      </w:r>
      <w:r>
        <w:rPr>
          <w:kern w:val="0"/>
        </w:rPr>
        <w:t xml:space="preserve"> (10), 867-886.</w:t>
      </w:r>
    </w:p>
    <w:p w:rsidR="00D03F3B" w:rsidRDefault="00D03F3B" w:rsidP="00D03F3B">
      <w:pPr>
        <w:pStyle w:val="a3"/>
        <w:rPr>
          <w:kern w:val="0"/>
          <w:szCs w:val="24"/>
        </w:rPr>
      </w:pPr>
      <w:r>
        <w:rPr>
          <w:rFonts w:hint="eastAsia"/>
          <w:kern w:val="0"/>
          <w:szCs w:val="24"/>
        </w:rPr>
        <w:t xml:space="preserve">Full Text: </w:t>
      </w:r>
      <w:hyperlink r:id="rId424" w:history="1">
        <w:r w:rsidRPr="00075F49">
          <w:rPr>
            <w:rStyle w:val="a5"/>
            <w:kern w:val="0"/>
            <w:szCs w:val="24"/>
          </w:rPr>
          <w:t>2010\Cli Reh24, 867.pdf</w:t>
        </w:r>
      </w:hyperlink>
    </w:p>
    <w:p w:rsidR="000E063D" w:rsidRDefault="000E063D" w:rsidP="000E063D">
      <w:pPr>
        <w:pStyle w:val="a3"/>
        <w:rPr>
          <w:kern w:val="0"/>
        </w:rPr>
      </w:pPr>
      <w:r>
        <w:rPr>
          <w:kern w:val="0"/>
        </w:rPr>
        <w:t>Abstract: Objective: To review, analyse, evaluate</w:t>
      </w:r>
      <w:r w:rsidR="005853A9">
        <w:rPr>
          <w:kern w:val="0"/>
        </w:rPr>
        <w:t xml:space="preserve"> and </w:t>
      </w:r>
      <w:r>
        <w:rPr>
          <w:kern w:val="0"/>
        </w:rPr>
        <w:t>critically appraise available wheelchair skill tests in</w:t>
      </w:r>
      <w:r w:rsidR="003A1917">
        <w:rPr>
          <w:kern w:val="0"/>
        </w:rPr>
        <w:t xml:space="preserve"> the </w:t>
      </w:r>
      <w:r>
        <w:rPr>
          <w:kern w:val="0"/>
        </w:rPr>
        <w:t>international literature</w:t>
      </w:r>
      <w:r w:rsidR="005853A9">
        <w:rPr>
          <w:kern w:val="0"/>
        </w:rPr>
        <w:t xml:space="preserve"> and </w:t>
      </w:r>
      <w:r>
        <w:rPr>
          <w:kern w:val="0"/>
        </w:rPr>
        <w:t>to determine</w:t>
      </w:r>
      <w:r w:rsidR="003A1917">
        <w:rPr>
          <w:kern w:val="0"/>
        </w:rPr>
        <w:t xml:space="preserve"> the </w:t>
      </w:r>
      <w:r>
        <w:rPr>
          <w:kern w:val="0"/>
        </w:rPr>
        <w:t>need for a standardized measurement tool</w:t>
      </w:r>
      <w:r w:rsidR="00427468">
        <w:rPr>
          <w:kern w:val="0"/>
        </w:rPr>
        <w:t xml:space="preserve"> of </w:t>
      </w:r>
      <w:r>
        <w:rPr>
          <w:kern w:val="0"/>
        </w:rPr>
        <w:t>manual wheeled mobility in those with spinal cord injury. Data sources: A systematic review</w:t>
      </w:r>
      <w:r w:rsidR="00427468">
        <w:rPr>
          <w:kern w:val="0"/>
        </w:rPr>
        <w:t xml:space="preserve"> of </w:t>
      </w:r>
      <w:r>
        <w:rPr>
          <w:kern w:val="0"/>
        </w:rPr>
        <w:t xml:space="preserve">literature (databases PUBMED,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Cochrane Library (1970-December 2009). Subjects: Hand rim wheelchair users, mainly those with spinal cord injury. Review methods: Studies</w:t>
      </w:r>
      <w:r w:rsidR="0071223E">
        <w:rPr>
          <w:kern w:val="0"/>
        </w:rPr>
        <w:t>’</w:t>
      </w:r>
      <w:r>
        <w:rPr>
          <w:kern w:val="0"/>
        </w:rPr>
        <w:t xml:space="preserve"> content</w:t>
      </w:r>
      <w:r w:rsidR="005853A9">
        <w:rPr>
          <w:kern w:val="0"/>
        </w:rPr>
        <w:t xml:space="preserve"> and </w:t>
      </w:r>
      <w:r>
        <w:rPr>
          <w:kern w:val="0"/>
        </w:rPr>
        <w:t>methodology were analysed qualitatively. Study quality was assessed using</w:t>
      </w:r>
      <w:r w:rsidR="003A1917">
        <w:rPr>
          <w:kern w:val="0"/>
        </w:rPr>
        <w:t xml:space="preserve"> the </w:t>
      </w:r>
      <w:r>
        <w:rPr>
          <w:kern w:val="0"/>
        </w:rPr>
        <w:t>scale</w:t>
      </w:r>
      <w:r w:rsidR="00427468">
        <w:rPr>
          <w:kern w:val="0"/>
        </w:rPr>
        <w:t xml:space="preserve"> of </w:t>
      </w:r>
      <w:r>
        <w:rPr>
          <w:kern w:val="0"/>
        </w:rPr>
        <w:t>Gardner</w:t>
      </w:r>
      <w:r w:rsidR="005853A9">
        <w:rPr>
          <w:kern w:val="0"/>
        </w:rPr>
        <w:t xml:space="preserve"> and </w:t>
      </w:r>
      <w:r>
        <w:rPr>
          <w:kern w:val="0"/>
        </w:rPr>
        <w:t>Altman. Results: Thirteen studies fell within</w:t>
      </w:r>
      <w:r w:rsidR="003A1917">
        <w:rPr>
          <w:kern w:val="0"/>
        </w:rPr>
        <w:t xml:space="preserve"> the </w:t>
      </w:r>
      <w:r>
        <w:rPr>
          <w:kern w:val="0"/>
        </w:rPr>
        <w:t>inclusion criteria</w:t>
      </w:r>
      <w:r w:rsidR="005853A9">
        <w:rPr>
          <w:kern w:val="0"/>
        </w:rPr>
        <w:t xml:space="preserve"> and </w:t>
      </w:r>
      <w:r>
        <w:rPr>
          <w:kern w:val="0"/>
        </w:rPr>
        <w:t>were critically reviewed</w:t>
      </w:r>
      <w:r w:rsidR="00A37C1D">
        <w:rPr>
          <w:kern w:val="0"/>
        </w:rPr>
        <w:t>. The</w:t>
      </w:r>
      <w:r w:rsidR="003A1917">
        <w:rPr>
          <w:kern w:val="0"/>
        </w:rPr>
        <w:t xml:space="preserve"> </w:t>
      </w:r>
      <w:r>
        <w:rPr>
          <w:kern w:val="0"/>
        </w:rPr>
        <w:t>13 studies covered 11 tests, which involved 14 different skills</w:t>
      </w:r>
      <w:r w:rsidR="00A37C1D">
        <w:rPr>
          <w:kern w:val="0"/>
        </w:rPr>
        <w:t>. The</w:t>
      </w:r>
      <w:r>
        <w:rPr>
          <w:kern w:val="0"/>
        </w:rPr>
        <w:t>se 14 skills were categorized into: wheelchair manoeuvring</w:t>
      </w:r>
      <w:r w:rsidR="005853A9">
        <w:rPr>
          <w:kern w:val="0"/>
        </w:rPr>
        <w:t xml:space="preserve"> and </w:t>
      </w:r>
      <w:r>
        <w:rPr>
          <w:kern w:val="0"/>
        </w:rPr>
        <w:t>basic daily living skills; obstacle-negotiating skills; wheelie tasks;</w:t>
      </w:r>
      <w:r w:rsidR="005853A9">
        <w:rPr>
          <w:kern w:val="0"/>
        </w:rPr>
        <w:t xml:space="preserve"> and </w:t>
      </w:r>
      <w:r>
        <w:rPr>
          <w:kern w:val="0"/>
        </w:rPr>
        <w:t>transfers</w:t>
      </w:r>
      <w:r w:rsidR="00A37C1D">
        <w:rPr>
          <w:kern w:val="0"/>
        </w:rPr>
        <w:t>. The</w:t>
      </w:r>
      <w:r w:rsidR="003A1917">
        <w:rPr>
          <w:kern w:val="0"/>
        </w:rPr>
        <w:t xml:space="preserve"> </w:t>
      </w:r>
      <w:r>
        <w:rPr>
          <w:kern w:val="0"/>
        </w:rPr>
        <w:t>Wheelchair Skills Test version 2.4 (WST-2.4)</w:t>
      </w:r>
      <w:r w:rsidR="005853A9">
        <w:rPr>
          <w:kern w:val="0"/>
        </w:rPr>
        <w:t xml:space="preserve"> and </w:t>
      </w:r>
      <w:r>
        <w:rPr>
          <w:kern w:val="0"/>
        </w:rPr>
        <w:t>Wheelchair Circuit tests scored best on</w:t>
      </w:r>
      <w:r w:rsidR="003A1917">
        <w:rPr>
          <w:kern w:val="0"/>
        </w:rPr>
        <w:t xml:space="preserve"> the </w:t>
      </w:r>
      <w:r>
        <w:rPr>
          <w:kern w:val="0"/>
        </w:rPr>
        <w:t>Gardner</w:t>
      </w:r>
      <w:r w:rsidR="005853A9">
        <w:rPr>
          <w:kern w:val="0"/>
        </w:rPr>
        <w:t xml:space="preserve"> and </w:t>
      </w:r>
      <w:r>
        <w:rPr>
          <w:kern w:val="0"/>
        </w:rPr>
        <w:t>Altman scale,</w:t>
      </w:r>
      <w:r w:rsidR="003A1917">
        <w:rPr>
          <w:kern w:val="0"/>
        </w:rPr>
        <w:t xml:space="preserve"> the </w:t>
      </w:r>
      <w:r>
        <w:rPr>
          <w:kern w:val="0"/>
        </w:rPr>
        <w:t>Obstacle Course Assessment</w:t>
      </w:r>
      <w:r w:rsidR="00427468">
        <w:rPr>
          <w:kern w:val="0"/>
        </w:rPr>
        <w:t xml:space="preserve"> of </w:t>
      </w:r>
      <w:r>
        <w:rPr>
          <w:kern w:val="0"/>
        </w:rPr>
        <w:t>Wheelchair User Performances (OCAWUP) test was found to be</w:t>
      </w:r>
      <w:r w:rsidR="003A1917">
        <w:rPr>
          <w:kern w:val="0"/>
        </w:rPr>
        <w:t xml:space="preserve"> the </w:t>
      </w:r>
      <w:r>
        <w:rPr>
          <w:kern w:val="0"/>
        </w:rPr>
        <w:t>most relevant for daily needs in a wheelchair</w:t>
      </w:r>
      <w:r w:rsidR="00A37C1D">
        <w:rPr>
          <w:kern w:val="0"/>
        </w:rPr>
        <w:t>. The</w:t>
      </w:r>
      <w:r w:rsidR="003A1917">
        <w:rPr>
          <w:kern w:val="0"/>
        </w:rPr>
        <w:t xml:space="preserve"> </w:t>
      </w:r>
      <w:r>
        <w:rPr>
          <w:kern w:val="0"/>
        </w:rPr>
        <w:t>different tests used different measurement scales, varying from binary to ordinal</w:t>
      </w:r>
      <w:r w:rsidR="005853A9">
        <w:rPr>
          <w:kern w:val="0"/>
        </w:rPr>
        <w:t xml:space="preserve"> and </w:t>
      </w:r>
      <w:r>
        <w:rPr>
          <w:kern w:val="0"/>
        </w:rPr>
        <w:t>continuous. Comparison</w:t>
      </w:r>
      <w:r w:rsidR="00427468">
        <w:rPr>
          <w:kern w:val="0"/>
        </w:rPr>
        <w:t xml:space="preserve"> of </w:t>
      </w:r>
      <w:r>
        <w:rPr>
          <w:kern w:val="0"/>
        </w:rPr>
        <w:t>outcomes between tests was not possible because</w:t>
      </w:r>
      <w:r w:rsidR="00427468">
        <w:rPr>
          <w:kern w:val="0"/>
        </w:rPr>
        <w:t xml:space="preserve"> of </w:t>
      </w:r>
      <w:r>
        <w:rPr>
          <w:kern w:val="0"/>
        </w:rPr>
        <w:t>differences in skills assessed, measurement scales, environment</w:t>
      </w:r>
      <w:r w:rsidR="005853A9">
        <w:rPr>
          <w:kern w:val="0"/>
        </w:rPr>
        <w:t xml:space="preserve"> and </w:t>
      </w:r>
      <w:r>
        <w:rPr>
          <w:kern w:val="0"/>
        </w:rPr>
        <w:t>equipment selected for each test. A lack</w:t>
      </w:r>
      <w:r w:rsidR="00427468">
        <w:rPr>
          <w:kern w:val="0"/>
        </w:rPr>
        <w:t xml:space="preserve"> of </w:t>
      </w:r>
      <w:r>
        <w:rPr>
          <w:kern w:val="0"/>
        </w:rPr>
        <w:t>information regarding protocols as well as differences in terminology was also detected. Conclusion: This systematic review revealed large inconsistencies among</w:t>
      </w:r>
      <w:r w:rsidR="003A1917">
        <w:rPr>
          <w:kern w:val="0"/>
        </w:rPr>
        <w:t xml:space="preserve"> the </w:t>
      </w:r>
      <w:r>
        <w:rPr>
          <w:kern w:val="0"/>
        </w:rPr>
        <w:t>current available wheelchair skill tests. This makes it difficult to compare study results</w:t>
      </w:r>
      <w:r w:rsidR="005853A9">
        <w:rPr>
          <w:kern w:val="0"/>
        </w:rPr>
        <w:t xml:space="preserve"> and </w:t>
      </w:r>
      <w:r>
        <w:rPr>
          <w:kern w:val="0"/>
        </w:rPr>
        <w:t>to create norms</w:t>
      </w:r>
      <w:r w:rsidR="005853A9">
        <w:rPr>
          <w:kern w:val="0"/>
        </w:rPr>
        <w:t xml:space="preserve"> and </w:t>
      </w:r>
      <w:r>
        <w:rPr>
          <w:kern w:val="0"/>
        </w:rPr>
        <w:t>standards for wheelchair skill performance.</w:t>
      </w:r>
    </w:p>
    <w:p w:rsidR="000E063D" w:rsidRDefault="000E063D" w:rsidP="000E063D">
      <w:pPr>
        <w:pStyle w:val="a3"/>
        <w:rPr>
          <w:kern w:val="0"/>
        </w:rPr>
      </w:pPr>
      <w:r>
        <w:rPr>
          <w:kern w:val="0"/>
        </w:rPr>
        <w:t xml:space="preserve">Keywords: Assessment, Circuit, Cochrane, Construct-Validity, Databases, Environment, Inconsistencies, Information, Injury, Instrument, Literature, Measurement, Methodology, Mobility, Outcome, Outcomes, Participation, Performance, PUBMED, </w:t>
      </w:r>
      <w:r>
        <w:rPr>
          <w:kern w:val="0"/>
        </w:rPr>
        <w:lastRenderedPageBreak/>
        <w:t xml:space="preserve">Reliability, Responsiveness, Review, Science, Standards, Systematic, Systematic Review, Validation, </w:t>
      </w:r>
      <w:r w:rsidR="00D5664A">
        <w:rPr>
          <w:kern w:val="0"/>
        </w:rPr>
        <w:t>Web</w:t>
      </w:r>
      <w:r w:rsidR="00427468">
        <w:rPr>
          <w:kern w:val="0"/>
        </w:rPr>
        <w:t xml:space="preserve"> of </w:t>
      </w:r>
      <w:r w:rsidR="00D5664A">
        <w:rPr>
          <w:kern w:val="0"/>
        </w:rPr>
        <w:t>Science</w:t>
      </w:r>
    </w:p>
    <w:p w:rsidR="000E063D" w:rsidRDefault="000E063D" w:rsidP="000E063D">
      <w:pPr>
        <w:pStyle w:val="a3"/>
        <w:rPr>
          <w:kern w:val="0"/>
        </w:rPr>
      </w:pPr>
      <w:r>
        <w:rPr>
          <w:rFonts w:hint="eastAsia"/>
          <w:kern w:val="0"/>
        </w:rPr>
        <w:t xml:space="preserve">? </w:t>
      </w:r>
      <w:r>
        <w:rPr>
          <w:kern w:val="0"/>
        </w:rPr>
        <w:t>Klingels, K., Jaspers, E., Van de Winckel, A., De Cock, P., Molenaers, G.</w:t>
      </w:r>
      <w:r w:rsidR="005853A9">
        <w:rPr>
          <w:kern w:val="0"/>
        </w:rPr>
        <w:t xml:space="preserve"> and </w:t>
      </w:r>
      <w:r>
        <w:rPr>
          <w:kern w:val="0"/>
        </w:rPr>
        <w:t>Feys, H. (2010), A systematic review</w:t>
      </w:r>
      <w:r w:rsidR="00427468">
        <w:rPr>
          <w:kern w:val="0"/>
        </w:rPr>
        <w:t xml:space="preserve"> of </w:t>
      </w:r>
      <w:r>
        <w:rPr>
          <w:kern w:val="0"/>
        </w:rPr>
        <w:t xml:space="preserve">arm activity measures for children with hemiplegic cerebral palsy. </w:t>
      </w:r>
      <w:r>
        <w:rPr>
          <w:i/>
          <w:iCs/>
          <w:kern w:val="0"/>
        </w:rPr>
        <w:t>Clinical Rehabilitation</w:t>
      </w:r>
      <w:r>
        <w:rPr>
          <w:kern w:val="0"/>
        </w:rPr>
        <w:t xml:space="preserve">, </w:t>
      </w:r>
      <w:r>
        <w:rPr>
          <w:b/>
          <w:bCs/>
          <w:kern w:val="0"/>
        </w:rPr>
        <w:t>24</w:t>
      </w:r>
      <w:r>
        <w:rPr>
          <w:kern w:val="0"/>
        </w:rPr>
        <w:t xml:space="preserve"> (10), 887-900.</w:t>
      </w:r>
    </w:p>
    <w:p w:rsidR="0048240E" w:rsidRDefault="0048240E" w:rsidP="0048240E">
      <w:pPr>
        <w:pStyle w:val="a3"/>
        <w:rPr>
          <w:kern w:val="0"/>
          <w:szCs w:val="24"/>
        </w:rPr>
      </w:pPr>
      <w:r>
        <w:rPr>
          <w:rFonts w:hint="eastAsia"/>
          <w:kern w:val="0"/>
          <w:szCs w:val="24"/>
        </w:rPr>
        <w:t xml:space="preserve">Full Text: </w:t>
      </w:r>
      <w:hyperlink r:id="rId425" w:history="1">
        <w:r w:rsidRPr="00075F49">
          <w:rPr>
            <w:rStyle w:val="a5"/>
            <w:kern w:val="0"/>
            <w:szCs w:val="24"/>
          </w:rPr>
          <w:t>2010\Cli Reh24, 887.pdf</w:t>
        </w:r>
      </w:hyperlink>
    </w:p>
    <w:p w:rsidR="000E063D" w:rsidRDefault="000E063D" w:rsidP="000E063D">
      <w:pPr>
        <w:pStyle w:val="a3"/>
        <w:rPr>
          <w:kern w:val="0"/>
        </w:rPr>
      </w:pPr>
      <w:r>
        <w:rPr>
          <w:kern w:val="0"/>
        </w:rPr>
        <w:t>Abstract: Objective: To identify psychometrically sound</w:t>
      </w:r>
      <w:r w:rsidR="005853A9">
        <w:rPr>
          <w:kern w:val="0"/>
        </w:rPr>
        <w:t xml:space="preserve"> and </w:t>
      </w:r>
      <w:r>
        <w:rPr>
          <w:kern w:val="0"/>
        </w:rPr>
        <w:t>clinically feasible assessments</w:t>
      </w:r>
      <w:r w:rsidR="00427468">
        <w:rPr>
          <w:kern w:val="0"/>
        </w:rPr>
        <w:t xml:space="preserve"> of </w:t>
      </w:r>
      <w:r>
        <w:rPr>
          <w:kern w:val="0"/>
        </w:rPr>
        <w:t>arm activities in children with hemiplegic cerebral palsy for implementation in research</w:t>
      </w:r>
      <w:r w:rsidR="005853A9">
        <w:rPr>
          <w:kern w:val="0"/>
        </w:rPr>
        <w:t xml:space="preserve"> and </w:t>
      </w:r>
      <w:r>
        <w:rPr>
          <w:kern w:val="0"/>
        </w:rPr>
        <w:t xml:space="preserve">clinical practice. Data sources: PUBMED, CINAHL, Cochrane Library, </w:t>
      </w:r>
      <w:r w:rsidR="00D5664A">
        <w:rPr>
          <w:kern w:val="0"/>
        </w:rPr>
        <w:t>Web</w:t>
      </w:r>
      <w:r w:rsidR="00427468">
        <w:rPr>
          <w:kern w:val="0"/>
        </w:rPr>
        <w:t xml:space="preserve"> of </w:t>
      </w:r>
      <w:r w:rsidR="00D5664A">
        <w:rPr>
          <w:kern w:val="0"/>
        </w:rPr>
        <w:t>Science</w:t>
      </w:r>
      <w:r w:rsidR="005853A9">
        <w:rPr>
          <w:kern w:val="0"/>
        </w:rPr>
        <w:t xml:space="preserve"> and </w:t>
      </w:r>
      <w:r>
        <w:rPr>
          <w:kern w:val="0"/>
        </w:rPr>
        <w:t>reference lists</w:t>
      </w:r>
      <w:r w:rsidR="00427468">
        <w:rPr>
          <w:kern w:val="0"/>
        </w:rPr>
        <w:t xml:space="preserve"> of </w:t>
      </w:r>
      <w:r>
        <w:rPr>
          <w:kern w:val="0"/>
        </w:rPr>
        <w:t>relevant articles were searched. Review methods: A systematic search was performed based on</w:t>
      </w:r>
      <w:r w:rsidR="003A1917">
        <w:rPr>
          <w:kern w:val="0"/>
        </w:rPr>
        <w:t xml:space="preserve"> the </w:t>
      </w:r>
      <w:r>
        <w:rPr>
          <w:kern w:val="0"/>
        </w:rPr>
        <w:t>following inclusion criteria: (1) evaluative tools at</w:t>
      </w:r>
      <w:r w:rsidR="003A1917">
        <w:rPr>
          <w:kern w:val="0"/>
        </w:rPr>
        <w:t xml:space="preserve"> the </w:t>
      </w:r>
      <w:r>
        <w:rPr>
          <w:kern w:val="0"/>
        </w:rPr>
        <w:t>activity level according to</w:t>
      </w:r>
      <w:r w:rsidR="003A1917">
        <w:rPr>
          <w:kern w:val="0"/>
        </w:rPr>
        <w:t xml:space="preserve"> the </w:t>
      </w:r>
      <w:r>
        <w:rPr>
          <w:kern w:val="0"/>
        </w:rPr>
        <w:t>International Classification</w:t>
      </w:r>
      <w:r w:rsidR="00427468">
        <w:rPr>
          <w:kern w:val="0"/>
        </w:rPr>
        <w:t xml:space="preserve"> of </w:t>
      </w:r>
      <w:r>
        <w:rPr>
          <w:kern w:val="0"/>
        </w:rPr>
        <w:t>Functioning, Disability</w:t>
      </w:r>
      <w:r w:rsidR="005853A9">
        <w:rPr>
          <w:kern w:val="0"/>
        </w:rPr>
        <w:t xml:space="preserve"> and </w:t>
      </w:r>
      <w:r>
        <w:rPr>
          <w:kern w:val="0"/>
        </w:rPr>
        <w:t>Health; (2) previously used in studies including children with hemiplegic cerebral palsy aged 2-18 years; (3) at least one aspect</w:t>
      </w:r>
      <w:r w:rsidR="00427468">
        <w:rPr>
          <w:kern w:val="0"/>
        </w:rPr>
        <w:t xml:space="preserve"> of </w:t>
      </w:r>
      <w:r>
        <w:rPr>
          <w:kern w:val="0"/>
        </w:rPr>
        <w:t>reliability</w:t>
      </w:r>
      <w:r w:rsidR="005853A9">
        <w:rPr>
          <w:kern w:val="0"/>
        </w:rPr>
        <w:t xml:space="preserve"> and </w:t>
      </w:r>
      <w:r>
        <w:rPr>
          <w:kern w:val="0"/>
        </w:rPr>
        <w:t>validity in children with cerebral palsy should be established. Descriptive information, psychometric properties</w:t>
      </w:r>
      <w:r w:rsidR="005853A9">
        <w:rPr>
          <w:kern w:val="0"/>
        </w:rPr>
        <w:t xml:space="preserve"> and </w:t>
      </w:r>
      <w:r>
        <w:rPr>
          <w:kern w:val="0"/>
        </w:rPr>
        <w:t>clinical utility were reviewed. Results: Eighteen assessments were identified</w:t>
      </w:r>
      <w:r w:rsidR="00427468">
        <w:rPr>
          <w:kern w:val="0"/>
        </w:rPr>
        <w:t xml:space="preserve"> of </w:t>
      </w:r>
      <w:r>
        <w:rPr>
          <w:kern w:val="0"/>
        </w:rPr>
        <w:t>which 11 met</w:t>
      </w:r>
      <w:r w:rsidR="003A1917">
        <w:rPr>
          <w:kern w:val="0"/>
        </w:rPr>
        <w:t xml:space="preserve"> the </w:t>
      </w:r>
      <w:r>
        <w:rPr>
          <w:kern w:val="0"/>
        </w:rPr>
        <w:t>inclusion criteria: eight functional tests</w:t>
      </w:r>
      <w:r w:rsidR="005853A9">
        <w:rPr>
          <w:kern w:val="0"/>
        </w:rPr>
        <w:t xml:space="preserve"> and </w:t>
      </w:r>
      <w:r>
        <w:rPr>
          <w:kern w:val="0"/>
        </w:rPr>
        <w:t>three questionnaires. Five functional tests were condition-specific, three were generic. All functional tests measure different aspects</w:t>
      </w:r>
      <w:r w:rsidR="00427468">
        <w:rPr>
          <w:kern w:val="0"/>
        </w:rPr>
        <w:t xml:space="preserve"> of </w:t>
      </w:r>
      <w:r>
        <w:rPr>
          <w:kern w:val="0"/>
        </w:rPr>
        <w:t>activity, including unimanual capacity</w:t>
      </w:r>
      <w:r w:rsidR="005853A9">
        <w:rPr>
          <w:kern w:val="0"/>
        </w:rPr>
        <w:t xml:space="preserve"> and </w:t>
      </w:r>
      <w:r>
        <w:rPr>
          <w:kern w:val="0"/>
        </w:rPr>
        <w:t>performance during bimanual tasks</w:t>
      </w:r>
      <w:r w:rsidR="00A37C1D">
        <w:rPr>
          <w:kern w:val="0"/>
        </w:rPr>
        <w:t>. The</w:t>
      </w:r>
      <w:r w:rsidR="003A1917">
        <w:rPr>
          <w:kern w:val="0"/>
        </w:rPr>
        <w:t xml:space="preserve"> </w:t>
      </w:r>
      <w:r>
        <w:rPr>
          <w:kern w:val="0"/>
        </w:rPr>
        <w:t>questionnaires obtain information about</w:t>
      </w:r>
      <w:r w:rsidR="003A1917">
        <w:rPr>
          <w:kern w:val="0"/>
        </w:rPr>
        <w:t xml:space="preserve"> the </w:t>
      </w:r>
      <w:r>
        <w:rPr>
          <w:kern w:val="0"/>
        </w:rPr>
        <w:t>child</w:t>
      </w:r>
      <w:r w:rsidR="0071223E">
        <w:rPr>
          <w:kern w:val="0"/>
        </w:rPr>
        <w:t>’</w:t>
      </w:r>
      <w:r w:rsidR="00C13DDC">
        <w:rPr>
          <w:kern w:val="0"/>
        </w:rPr>
        <w:t>s</w:t>
      </w:r>
      <w:r>
        <w:rPr>
          <w:kern w:val="0"/>
        </w:rPr>
        <w:t xml:space="preserve"> abilities at home or school</w:t>
      </w:r>
      <w:r w:rsidR="00A37C1D">
        <w:rPr>
          <w:kern w:val="0"/>
        </w:rPr>
        <w:t>. The</w:t>
      </w:r>
      <w:r w:rsidR="003A1917">
        <w:rPr>
          <w:kern w:val="0"/>
        </w:rPr>
        <w:t xml:space="preserve"> </w:t>
      </w:r>
      <w:r>
        <w:rPr>
          <w:kern w:val="0"/>
        </w:rPr>
        <w:t>reliability</w:t>
      </w:r>
      <w:r w:rsidR="005853A9">
        <w:rPr>
          <w:kern w:val="0"/>
        </w:rPr>
        <w:t xml:space="preserve"> and </w:t>
      </w:r>
      <w:r>
        <w:rPr>
          <w:kern w:val="0"/>
        </w:rPr>
        <w:t>validity have been established, though further use in clinical trials is necessary to determine</w:t>
      </w:r>
      <w:r w:rsidR="003A1917">
        <w:rPr>
          <w:kern w:val="0"/>
        </w:rPr>
        <w:t xml:space="preserve"> the </w:t>
      </w:r>
      <w:r>
        <w:rPr>
          <w:kern w:val="0"/>
        </w:rPr>
        <w:t>responsiveness. Conclusions: To obtain a complete view</w:t>
      </w:r>
      <w:r w:rsidR="00427468">
        <w:rPr>
          <w:kern w:val="0"/>
        </w:rPr>
        <w:t xml:space="preserve"> of </w:t>
      </w:r>
      <w:r>
        <w:rPr>
          <w:kern w:val="0"/>
        </w:rPr>
        <w:t>what</w:t>
      </w:r>
      <w:r w:rsidR="003A1917">
        <w:rPr>
          <w:kern w:val="0"/>
        </w:rPr>
        <w:t xml:space="preserve"> the </w:t>
      </w:r>
      <w:r>
        <w:rPr>
          <w:kern w:val="0"/>
        </w:rPr>
        <w:t>child can do</w:t>
      </w:r>
      <w:r w:rsidR="005853A9">
        <w:rPr>
          <w:kern w:val="0"/>
        </w:rPr>
        <w:t xml:space="preserve"> and </w:t>
      </w:r>
      <w:r>
        <w:rPr>
          <w:kern w:val="0"/>
        </w:rPr>
        <w:t>what</w:t>
      </w:r>
      <w:r w:rsidR="003A1917">
        <w:rPr>
          <w:kern w:val="0"/>
        </w:rPr>
        <w:t xml:space="preserve"> the </w:t>
      </w:r>
      <w:r>
        <w:rPr>
          <w:kern w:val="0"/>
        </w:rPr>
        <w:t>child actually does, we advise a capacity-based test (Melbourne Assessment</w:t>
      </w:r>
      <w:r w:rsidR="00427468">
        <w:rPr>
          <w:kern w:val="0"/>
        </w:rPr>
        <w:t xml:space="preserve"> of </w:t>
      </w:r>
      <w:r>
        <w:rPr>
          <w:kern w:val="0"/>
        </w:rPr>
        <w:t>Unilateral Upper Limb Function), a performance-based test (Assisting Hand Assessment)</w:t>
      </w:r>
      <w:r w:rsidR="005853A9">
        <w:rPr>
          <w:kern w:val="0"/>
        </w:rPr>
        <w:t xml:space="preserve"> and </w:t>
      </w:r>
      <w:r>
        <w:rPr>
          <w:kern w:val="0"/>
        </w:rPr>
        <w:t>a questionnaire (Abilhand-Kids). This will allow outcome differentiation</w:t>
      </w:r>
      <w:r w:rsidR="005853A9">
        <w:rPr>
          <w:kern w:val="0"/>
        </w:rPr>
        <w:t xml:space="preserve"> and </w:t>
      </w:r>
      <w:r>
        <w:rPr>
          <w:kern w:val="0"/>
        </w:rPr>
        <w:t>treatment guidance for</w:t>
      </w:r>
      <w:r w:rsidR="003A1917">
        <w:rPr>
          <w:kern w:val="0"/>
        </w:rPr>
        <w:t xml:space="preserve"> the </w:t>
      </w:r>
      <w:r>
        <w:rPr>
          <w:kern w:val="0"/>
        </w:rPr>
        <w:t>arm in children with cerebral palsy.</w:t>
      </w:r>
    </w:p>
    <w:p w:rsidR="000E063D" w:rsidRDefault="000E063D" w:rsidP="000E063D">
      <w:pPr>
        <w:pStyle w:val="a3"/>
        <w:rPr>
          <w:kern w:val="0"/>
        </w:rPr>
      </w:pPr>
      <w:r>
        <w:rPr>
          <w:kern w:val="0"/>
        </w:rPr>
        <w:t xml:space="preserve">Keywords: Activities, Aged, Assessment, Botulinum-Toxin-A, Cerebral Palsy, Child, Children, Classification, Clinical Trials, Clinical Utility, Cochrane, Differentiation, Disability Inventory, Extremity Skills Test, Functional, Health, Induced Movement Therapy, Information, Intensive Therapy, Melbourne Assessment, Outcome, Pediatric Evaluation, Practice, PUBMED, Questionnaire, Questionnaires, Randomized Control Trial, Reliability, Research, Review, Science, Systematic, Systematic Review, Treatment, Upper-Limb Function, Validity, </w:t>
      </w:r>
      <w:r w:rsidR="00D5664A">
        <w:rPr>
          <w:kern w:val="0"/>
        </w:rPr>
        <w:t>Web</w:t>
      </w:r>
      <w:r w:rsidR="00427468">
        <w:rPr>
          <w:kern w:val="0"/>
        </w:rPr>
        <w:t xml:space="preserve"> of </w:t>
      </w:r>
      <w:r w:rsidR="00D5664A">
        <w:rPr>
          <w:kern w:val="0"/>
        </w:rPr>
        <w:t>Science</w:t>
      </w:r>
    </w:p>
    <w:p w:rsidR="000E063D" w:rsidRDefault="000E063D" w:rsidP="000E063D">
      <w:pPr>
        <w:pStyle w:val="a3"/>
        <w:rPr>
          <w:kern w:val="0"/>
        </w:rPr>
      </w:pPr>
      <w:r>
        <w:rPr>
          <w:rFonts w:hint="eastAsia"/>
          <w:kern w:val="0"/>
        </w:rPr>
        <w:t xml:space="preserve">? </w:t>
      </w:r>
      <w:r>
        <w:rPr>
          <w:kern w:val="0"/>
        </w:rPr>
        <w:t>Evering, R.M.H., van Weering, M.G.H., Groothuis-Oudshoorn, K.C.G.M.</w:t>
      </w:r>
      <w:r w:rsidR="005853A9">
        <w:rPr>
          <w:kern w:val="0"/>
        </w:rPr>
        <w:t xml:space="preserve"> and </w:t>
      </w:r>
      <w:r>
        <w:rPr>
          <w:kern w:val="0"/>
        </w:rPr>
        <w:t>Vollenbroek-Hutten, M.M.R. (2011), Daily physical activity</w:t>
      </w:r>
      <w:r w:rsidR="00427468">
        <w:rPr>
          <w:kern w:val="0"/>
        </w:rPr>
        <w:t xml:space="preserve"> of </w:t>
      </w:r>
      <w:r>
        <w:rPr>
          <w:kern w:val="0"/>
        </w:rPr>
        <w:t>patients with</w:t>
      </w:r>
      <w:r w:rsidR="003A1917">
        <w:rPr>
          <w:kern w:val="0"/>
        </w:rPr>
        <w:t xml:space="preserve"> the </w:t>
      </w:r>
      <w:r>
        <w:rPr>
          <w:kern w:val="0"/>
        </w:rPr>
        <w:t xml:space="preserve">chronic fatigue syndrome: A systematic review. </w:t>
      </w:r>
      <w:r>
        <w:rPr>
          <w:i/>
          <w:iCs/>
          <w:kern w:val="0"/>
        </w:rPr>
        <w:t>Clinical Rehabilitation</w:t>
      </w:r>
      <w:r>
        <w:rPr>
          <w:kern w:val="0"/>
        </w:rPr>
        <w:t xml:space="preserve">, </w:t>
      </w:r>
      <w:r>
        <w:rPr>
          <w:b/>
          <w:bCs/>
          <w:kern w:val="0"/>
        </w:rPr>
        <w:t>25</w:t>
      </w:r>
      <w:r>
        <w:rPr>
          <w:kern w:val="0"/>
        </w:rPr>
        <w:t xml:space="preserve"> (2), 112-133.</w:t>
      </w:r>
    </w:p>
    <w:p w:rsidR="0048240E" w:rsidRDefault="0048240E" w:rsidP="0048240E">
      <w:pPr>
        <w:pStyle w:val="a3"/>
        <w:rPr>
          <w:kern w:val="0"/>
          <w:szCs w:val="24"/>
        </w:rPr>
      </w:pPr>
      <w:r>
        <w:rPr>
          <w:rFonts w:hint="eastAsia"/>
          <w:kern w:val="0"/>
          <w:szCs w:val="24"/>
        </w:rPr>
        <w:lastRenderedPageBreak/>
        <w:t xml:space="preserve">Full Text: </w:t>
      </w:r>
      <w:hyperlink r:id="rId426" w:history="1">
        <w:r w:rsidRPr="00075F49">
          <w:rPr>
            <w:rStyle w:val="a5"/>
            <w:kern w:val="0"/>
            <w:szCs w:val="24"/>
          </w:rPr>
          <w:t>2011\Cli Reh25, 112.pdf</w:t>
        </w:r>
      </w:hyperlink>
    </w:p>
    <w:p w:rsidR="000E063D" w:rsidRDefault="000E063D" w:rsidP="000E063D">
      <w:pPr>
        <w:pStyle w:val="a3"/>
        <w:rPr>
          <w:kern w:val="0"/>
        </w:rPr>
      </w:pPr>
      <w:r>
        <w:rPr>
          <w:kern w:val="0"/>
        </w:rPr>
        <w:t>Abstract: Objective: To give an overview</w:t>
      </w:r>
      <w:r w:rsidR="00427468">
        <w:rPr>
          <w:kern w:val="0"/>
        </w:rPr>
        <w:t xml:space="preserve"> of </w:t>
      </w:r>
      <w:r w:rsidR="003A1917">
        <w:rPr>
          <w:kern w:val="0"/>
        </w:rPr>
        <w:t xml:space="preserve">the </w:t>
      </w:r>
      <w:r>
        <w:rPr>
          <w:kern w:val="0"/>
        </w:rPr>
        <w:t>physical activity level</w:t>
      </w:r>
      <w:r w:rsidR="00427468">
        <w:rPr>
          <w:kern w:val="0"/>
        </w:rPr>
        <w:t xml:space="preserve"> of </w:t>
      </w:r>
      <w:r>
        <w:rPr>
          <w:kern w:val="0"/>
        </w:rPr>
        <w:t xml:space="preserve">patients with chronic fatigue syndrome in comparison with asymptomatic controls. Data sources: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EMBASE, PsycINFO, Picarta,</w:t>
      </w:r>
      <w:r w:rsidR="003A1917">
        <w:rPr>
          <w:kern w:val="0"/>
        </w:rPr>
        <w:t xml:space="preserve"> the </w:t>
      </w:r>
      <w:r>
        <w:rPr>
          <w:kern w:val="0"/>
        </w:rPr>
        <w:t>Cochrane Controlled Trial Register that is included in</w:t>
      </w:r>
      <w:r w:rsidR="003A1917">
        <w:rPr>
          <w:kern w:val="0"/>
        </w:rPr>
        <w:t xml:space="preserve"> the </w:t>
      </w:r>
      <w:r>
        <w:rPr>
          <w:kern w:val="0"/>
        </w:rPr>
        <w:t>Cochrane Library</w:t>
      </w:r>
      <w:r w:rsidR="005853A9">
        <w:rPr>
          <w:kern w:val="0"/>
        </w:rPr>
        <w:t xml:space="preserve"> and </w:t>
      </w:r>
      <w:r>
        <w:rPr>
          <w:kern w:val="0"/>
        </w:rPr>
        <w:t>reference tracking. Review methods: A systematic literature search was conducted focusing on studies concerning physical activity levels</w:t>
      </w:r>
      <w:r w:rsidR="00427468">
        <w:rPr>
          <w:kern w:val="0"/>
        </w:rPr>
        <w:t xml:space="preserve"> of </w:t>
      </w:r>
      <w:r>
        <w:rPr>
          <w:kern w:val="0"/>
        </w:rPr>
        <w:t>patients with chronic fatigue syndrome compared to controls. A meta-analysis was performed to pool data</w:t>
      </w:r>
      <w:r w:rsidR="00427468">
        <w:rPr>
          <w:kern w:val="0"/>
        </w:rPr>
        <w:t xml:space="preserve"> of </w:t>
      </w:r>
      <w:r w:rsidR="003A1917">
        <w:rPr>
          <w:kern w:val="0"/>
        </w:rPr>
        <w:t xml:space="preserve">the </w:t>
      </w:r>
      <w:r>
        <w:rPr>
          <w:kern w:val="0"/>
        </w:rPr>
        <w:t>studies. Results: Seventeen studies were included with 22 different comparisons between patients with chronic fatigue syndrome</w:t>
      </w:r>
      <w:r w:rsidR="005853A9">
        <w:rPr>
          <w:kern w:val="0"/>
        </w:rPr>
        <w:t xml:space="preserve"> and </w:t>
      </w:r>
      <w:r>
        <w:rPr>
          <w:kern w:val="0"/>
        </w:rPr>
        <w:t>controls. Fourteen studies, including 18 comparisons, showed lower physical activity levels in patients with chronic fatigue syndrome as compared to controls. Four studies, including four comparisons, showed no differences between both groups</w:t>
      </w:r>
      <w:r w:rsidR="00A37C1D">
        <w:rPr>
          <w:kern w:val="0"/>
        </w:rPr>
        <w:t>. The</w:t>
      </w:r>
      <w:r w:rsidR="003A1917">
        <w:rPr>
          <w:kern w:val="0"/>
        </w:rPr>
        <w:t xml:space="preserve"> </w:t>
      </w:r>
      <w:r>
        <w:rPr>
          <w:kern w:val="0"/>
        </w:rPr>
        <w:t>meta-analysis included seven studies</w:t>
      </w:r>
      <w:r w:rsidR="005853A9">
        <w:rPr>
          <w:kern w:val="0"/>
        </w:rPr>
        <w:t xml:space="preserve"> and </w:t>
      </w:r>
      <w:r>
        <w:rPr>
          <w:kern w:val="0"/>
        </w:rPr>
        <w:t>showed a daily physical activity level in patients with chronic fatigue syndrome</w:t>
      </w:r>
      <w:r w:rsidR="00427468">
        <w:rPr>
          <w:kern w:val="0"/>
        </w:rPr>
        <w:t xml:space="preserve"> of </w:t>
      </w:r>
      <w:r>
        <w:rPr>
          <w:kern w:val="0"/>
        </w:rPr>
        <w:t>only 68%</w:t>
      </w:r>
      <w:r w:rsidR="00427468">
        <w:rPr>
          <w:kern w:val="0"/>
        </w:rPr>
        <w:t xml:space="preserve"> of </w:t>
      </w:r>
      <w:r w:rsidR="003A1917">
        <w:rPr>
          <w:kern w:val="0"/>
        </w:rPr>
        <w:t xml:space="preserve">the </w:t>
      </w:r>
      <w:r>
        <w:rPr>
          <w:kern w:val="0"/>
        </w:rPr>
        <w:t>physical activity level observed in control subjects</w:t>
      </w:r>
      <w:r w:rsidR="00A37C1D">
        <w:rPr>
          <w:kern w:val="0"/>
        </w:rPr>
        <w:t>. The</w:t>
      </w:r>
      <w:r w:rsidR="003A1917">
        <w:rPr>
          <w:kern w:val="0"/>
        </w:rPr>
        <w:t xml:space="preserve"> </w:t>
      </w:r>
      <w:r>
        <w:rPr>
          <w:kern w:val="0"/>
        </w:rPr>
        <w:t>pooled mean coefficient</w:t>
      </w:r>
      <w:r w:rsidR="00427468">
        <w:rPr>
          <w:kern w:val="0"/>
        </w:rPr>
        <w:t xml:space="preserve"> of </w:t>
      </w:r>
      <w:r>
        <w:rPr>
          <w:kern w:val="0"/>
        </w:rPr>
        <w:t>variation in patients with chronic fatigue syndrome was higher as compared to control subjects (34.3% versus 31.5%), but this difference did not reach significance. Conclusion: Patients with chronic fatigue syndrome appear to be less physically active compared with asymptomatic controls</w:t>
      </w:r>
      <w:r w:rsidR="00A37C1D">
        <w:rPr>
          <w:kern w:val="0"/>
        </w:rPr>
        <w:t>. The</w:t>
      </w:r>
      <w:r>
        <w:rPr>
          <w:kern w:val="0"/>
        </w:rPr>
        <w:t>re is no difference in variation</w:t>
      </w:r>
      <w:r w:rsidR="00427468">
        <w:rPr>
          <w:kern w:val="0"/>
        </w:rPr>
        <w:t xml:space="preserve"> of </w:t>
      </w:r>
      <w:r>
        <w:rPr>
          <w:kern w:val="0"/>
        </w:rPr>
        <w:t>physical activity levels between patients with chronic fatigue syndrome</w:t>
      </w:r>
      <w:r w:rsidR="005853A9">
        <w:rPr>
          <w:kern w:val="0"/>
        </w:rPr>
        <w:t xml:space="preserve"> and </w:t>
      </w:r>
      <w:r>
        <w:rPr>
          <w:kern w:val="0"/>
        </w:rPr>
        <w:t>healthy control subjects, but</w:t>
      </w:r>
      <w:r w:rsidR="003A1917">
        <w:rPr>
          <w:kern w:val="0"/>
        </w:rPr>
        <w:t xml:space="preserve"> the </w:t>
      </w:r>
      <w:r>
        <w:rPr>
          <w:kern w:val="0"/>
        </w:rPr>
        <w:t>validity</w:t>
      </w:r>
      <w:r w:rsidR="005853A9">
        <w:rPr>
          <w:kern w:val="0"/>
        </w:rPr>
        <w:t xml:space="preserve"> and </w:t>
      </w:r>
      <w:r>
        <w:rPr>
          <w:kern w:val="0"/>
        </w:rPr>
        <w:t>reliability</w:t>
      </w:r>
      <w:r w:rsidR="00427468">
        <w:rPr>
          <w:kern w:val="0"/>
        </w:rPr>
        <w:t xml:space="preserve"> of </w:t>
      </w:r>
      <w:r>
        <w:rPr>
          <w:kern w:val="0"/>
        </w:rPr>
        <w:t>some methods</w:t>
      </w:r>
      <w:r w:rsidR="00427468">
        <w:rPr>
          <w:kern w:val="0"/>
        </w:rPr>
        <w:t xml:space="preserve"> of </w:t>
      </w:r>
      <w:r>
        <w:rPr>
          <w:kern w:val="0"/>
        </w:rPr>
        <w:t>measuring physical activity is questionable or unknown.</w:t>
      </w:r>
    </w:p>
    <w:p w:rsidR="000E063D" w:rsidRDefault="000E063D" w:rsidP="000E063D">
      <w:pPr>
        <w:pStyle w:val="a3"/>
        <w:rPr>
          <w:kern w:val="0"/>
        </w:rPr>
      </w:pPr>
      <w:r>
        <w:rPr>
          <w:kern w:val="0"/>
        </w:rPr>
        <w:t xml:space="preserve">Keywords: Accelerometer, Actigraphic Assessment, Activity Patterns, Children, Chronic Pain, Cochrane, Computer-Science, Control, EMBASE, Exercise, Fatigue, Literature, </w:t>
      </w:r>
      <w:r w:rsidR="00D5664A">
        <w:rPr>
          <w:kern w:val="0"/>
        </w:rPr>
        <w:t>MEDLINE</w:t>
      </w:r>
      <w:r>
        <w:rPr>
          <w:kern w:val="0"/>
        </w:rPr>
        <w:t xml:space="preserve">, Meta-Analysis, Overview, Physical Activity, Prevalence, Primary-Care, Reliability, Review, Science, Systematic, Systematic Review, Validation, Validity, </w:t>
      </w:r>
      <w:r w:rsidR="00D5664A">
        <w:rPr>
          <w:kern w:val="0"/>
        </w:rPr>
        <w:t>Web</w:t>
      </w:r>
      <w:r w:rsidR="00427468">
        <w:rPr>
          <w:kern w:val="0"/>
        </w:rPr>
        <w:t xml:space="preserve"> of </w:t>
      </w:r>
      <w:r w:rsidR="00D5664A">
        <w:rPr>
          <w:kern w:val="0"/>
        </w:rPr>
        <w:t>Science</w:t>
      </w:r>
    </w:p>
    <w:p w:rsidR="000E063D" w:rsidRDefault="000E063D" w:rsidP="000E063D">
      <w:pPr>
        <w:pStyle w:val="a3"/>
        <w:rPr>
          <w:kern w:val="0"/>
        </w:rPr>
      </w:pPr>
      <w:r>
        <w:rPr>
          <w:rFonts w:hint="eastAsia"/>
          <w:kern w:val="0"/>
        </w:rPr>
        <w:t xml:space="preserve">? </w:t>
      </w:r>
      <w:r>
        <w:rPr>
          <w:kern w:val="0"/>
        </w:rPr>
        <w:t>Fok, P., Farrell, M., McMeeken, J.</w:t>
      </w:r>
      <w:r w:rsidR="005853A9">
        <w:rPr>
          <w:kern w:val="0"/>
        </w:rPr>
        <w:t xml:space="preserve"> and </w:t>
      </w:r>
      <w:r>
        <w:rPr>
          <w:kern w:val="0"/>
        </w:rPr>
        <w:t>Kuo, Y.L. (2011</w:t>
      </w:r>
      <w:r w:rsidR="00F42EAC">
        <w:rPr>
          <w:kern w:val="0"/>
        </w:rPr>
        <w:t>), The</w:t>
      </w:r>
      <w:r w:rsidR="003A1917">
        <w:rPr>
          <w:kern w:val="0"/>
        </w:rPr>
        <w:t xml:space="preserve"> </w:t>
      </w:r>
      <w:r>
        <w:rPr>
          <w:kern w:val="0"/>
        </w:rPr>
        <w:t>effects</w:t>
      </w:r>
      <w:r w:rsidR="00427468">
        <w:rPr>
          <w:kern w:val="0"/>
        </w:rPr>
        <w:t xml:space="preserve"> of </w:t>
      </w:r>
      <w:r>
        <w:rPr>
          <w:kern w:val="0"/>
        </w:rPr>
        <w:t>verbal instructions on gait in people with Parkinson</w:t>
      </w:r>
      <w:r w:rsidR="0071223E">
        <w:rPr>
          <w:kern w:val="0"/>
        </w:rPr>
        <w:t>’</w:t>
      </w:r>
      <w:r w:rsidR="00C13DDC">
        <w:rPr>
          <w:kern w:val="0"/>
        </w:rPr>
        <w:t>s</w:t>
      </w:r>
      <w:r>
        <w:rPr>
          <w:kern w:val="0"/>
        </w:rPr>
        <w:t xml:space="preserve"> disease: A systematic review</w:t>
      </w:r>
      <w:r w:rsidR="00427468">
        <w:rPr>
          <w:kern w:val="0"/>
        </w:rPr>
        <w:t xml:space="preserve"> of </w:t>
      </w:r>
      <w:r>
        <w:rPr>
          <w:kern w:val="0"/>
        </w:rPr>
        <w:t>randomized</w:t>
      </w:r>
      <w:r w:rsidR="005853A9">
        <w:rPr>
          <w:kern w:val="0"/>
        </w:rPr>
        <w:t xml:space="preserve"> and </w:t>
      </w:r>
      <w:r>
        <w:rPr>
          <w:kern w:val="0"/>
        </w:rPr>
        <w:t xml:space="preserve">non-randomized trials. </w:t>
      </w:r>
      <w:r>
        <w:rPr>
          <w:i/>
          <w:iCs/>
          <w:kern w:val="0"/>
        </w:rPr>
        <w:t>Clinical Rehabilitation</w:t>
      </w:r>
      <w:r>
        <w:rPr>
          <w:kern w:val="0"/>
        </w:rPr>
        <w:t xml:space="preserve">, </w:t>
      </w:r>
      <w:r>
        <w:rPr>
          <w:b/>
          <w:bCs/>
          <w:kern w:val="0"/>
        </w:rPr>
        <w:t>25</w:t>
      </w:r>
      <w:r>
        <w:rPr>
          <w:kern w:val="0"/>
        </w:rPr>
        <w:t xml:space="preserve"> (5), 396-407.</w:t>
      </w:r>
    </w:p>
    <w:p w:rsidR="0048240E" w:rsidRDefault="0048240E" w:rsidP="0048240E">
      <w:pPr>
        <w:pStyle w:val="a3"/>
        <w:rPr>
          <w:kern w:val="0"/>
          <w:szCs w:val="24"/>
        </w:rPr>
      </w:pPr>
      <w:r>
        <w:rPr>
          <w:rFonts w:hint="eastAsia"/>
          <w:kern w:val="0"/>
          <w:szCs w:val="24"/>
        </w:rPr>
        <w:t xml:space="preserve">Full Text: </w:t>
      </w:r>
      <w:hyperlink r:id="rId427" w:history="1">
        <w:r w:rsidRPr="00075F49">
          <w:rPr>
            <w:rStyle w:val="a5"/>
            <w:kern w:val="0"/>
            <w:szCs w:val="24"/>
          </w:rPr>
          <w:t>2011\Cli Reh25, 396.pdf</w:t>
        </w:r>
      </w:hyperlink>
    </w:p>
    <w:p w:rsidR="000E063D" w:rsidRDefault="000E063D" w:rsidP="000E063D">
      <w:pPr>
        <w:pStyle w:val="a3"/>
        <w:rPr>
          <w:kern w:val="0"/>
        </w:rPr>
      </w:pPr>
      <w:r>
        <w:rPr>
          <w:kern w:val="0"/>
        </w:rPr>
        <w:t>Abstract: Objective: To collate</w:t>
      </w:r>
      <w:r w:rsidR="005853A9">
        <w:rPr>
          <w:kern w:val="0"/>
        </w:rPr>
        <w:t xml:space="preserve"> and </w:t>
      </w:r>
      <w:r>
        <w:rPr>
          <w:kern w:val="0"/>
        </w:rPr>
        <w:t>appraise empirical evidence relating to</w:t>
      </w:r>
      <w:r w:rsidR="003A1917">
        <w:rPr>
          <w:kern w:val="0"/>
        </w:rPr>
        <w:t xml:space="preserve"> the </w:t>
      </w:r>
      <w:r>
        <w:rPr>
          <w:kern w:val="0"/>
        </w:rPr>
        <w:t>effects</w:t>
      </w:r>
      <w:r w:rsidR="00427468">
        <w:rPr>
          <w:kern w:val="0"/>
        </w:rPr>
        <w:t xml:space="preserve"> of </w:t>
      </w:r>
      <w:r>
        <w:rPr>
          <w:kern w:val="0"/>
        </w:rPr>
        <w:t>verbal instructions (verbal commands given by another person) on stride length, gait velocity</w:t>
      </w:r>
      <w:r w:rsidR="005853A9">
        <w:rPr>
          <w:kern w:val="0"/>
        </w:rPr>
        <w:t xml:space="preserve"> and </w:t>
      </w:r>
      <w:r>
        <w:rPr>
          <w:kern w:val="0"/>
        </w:rPr>
        <w:t>stride variability in people with Parkinson</w:t>
      </w:r>
      <w:r w:rsidR="0071223E">
        <w:rPr>
          <w:kern w:val="0"/>
        </w:rPr>
        <w:t>’</w:t>
      </w:r>
      <w:r w:rsidR="00C13DDC">
        <w:rPr>
          <w:kern w:val="0"/>
        </w:rPr>
        <w:t>s</w:t>
      </w:r>
      <w:r>
        <w:rPr>
          <w:kern w:val="0"/>
        </w:rPr>
        <w:t xml:space="preserve"> disease. Data sources: Cinahl, Cochrane, EMBASE, </w:t>
      </w:r>
      <w:r w:rsidR="00D5664A">
        <w:rPr>
          <w:kern w:val="0"/>
        </w:rPr>
        <w:t>MEDLINE</w:t>
      </w:r>
      <w:r>
        <w:rPr>
          <w:kern w:val="0"/>
        </w:rPr>
        <w:t>, PEDro, PsycINFO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Review methods: Independent reviewers extracted data from eligible studies</w:t>
      </w:r>
      <w:r w:rsidR="005853A9">
        <w:rPr>
          <w:kern w:val="0"/>
        </w:rPr>
        <w:t xml:space="preserve"> and </w:t>
      </w:r>
      <w:r>
        <w:rPr>
          <w:kern w:val="0"/>
        </w:rPr>
        <w:t>assessed methodological quality</w:t>
      </w:r>
      <w:r w:rsidR="00A37C1D">
        <w:rPr>
          <w:kern w:val="0"/>
        </w:rPr>
        <w:t>. The</w:t>
      </w:r>
      <w:r w:rsidR="003A1917">
        <w:rPr>
          <w:kern w:val="0"/>
        </w:rPr>
        <w:t xml:space="preserve"> </w:t>
      </w:r>
      <w:r>
        <w:rPr>
          <w:kern w:val="0"/>
        </w:rPr>
        <w:t>level</w:t>
      </w:r>
      <w:r w:rsidR="00427468">
        <w:rPr>
          <w:kern w:val="0"/>
        </w:rPr>
        <w:t xml:space="preserve"> of </w:t>
      </w:r>
      <w:r>
        <w:rPr>
          <w:kern w:val="0"/>
        </w:rPr>
        <w:t>evidence was determined by best evidence synthesis based upon</w:t>
      </w:r>
      <w:r w:rsidR="003A1917">
        <w:rPr>
          <w:kern w:val="0"/>
        </w:rPr>
        <w:t xml:space="preserve"> the </w:t>
      </w:r>
      <w:r>
        <w:rPr>
          <w:kern w:val="0"/>
        </w:rPr>
        <w:t>experimental design, methodological quality</w:t>
      </w:r>
      <w:r w:rsidR="005853A9">
        <w:rPr>
          <w:kern w:val="0"/>
        </w:rPr>
        <w:t xml:space="preserve"> and </w:t>
      </w:r>
      <w:r>
        <w:rPr>
          <w:kern w:val="0"/>
        </w:rPr>
        <w:t>statistical findings</w:t>
      </w:r>
      <w:r w:rsidR="00427468">
        <w:rPr>
          <w:kern w:val="0"/>
        </w:rPr>
        <w:t xml:space="preserve"> of </w:t>
      </w:r>
      <w:r>
        <w:rPr>
          <w:kern w:val="0"/>
        </w:rPr>
        <w:t>individual studies. Results: One randomized controlled study</w:t>
      </w:r>
      <w:r w:rsidR="005853A9">
        <w:rPr>
          <w:kern w:val="0"/>
        </w:rPr>
        <w:t xml:space="preserve"> </w:t>
      </w:r>
      <w:r w:rsidR="005853A9">
        <w:rPr>
          <w:kern w:val="0"/>
        </w:rPr>
        <w:lastRenderedPageBreak/>
        <w:t xml:space="preserve">and </w:t>
      </w:r>
      <w:r>
        <w:rPr>
          <w:kern w:val="0"/>
        </w:rPr>
        <w:t>12 non-controlled studies fulfilled</w:t>
      </w:r>
      <w:r w:rsidR="003A1917">
        <w:rPr>
          <w:kern w:val="0"/>
        </w:rPr>
        <w:t xml:space="preserve"> the </w:t>
      </w:r>
      <w:r>
        <w:rPr>
          <w:kern w:val="0"/>
        </w:rPr>
        <w:t>selection criteria</w:t>
      </w:r>
      <w:r w:rsidR="005853A9">
        <w:rPr>
          <w:kern w:val="0"/>
        </w:rPr>
        <w:t xml:space="preserve"> and </w:t>
      </w:r>
      <w:r>
        <w:rPr>
          <w:kern w:val="0"/>
        </w:rPr>
        <w:t>involved 149 participants. Five types</w:t>
      </w:r>
      <w:r w:rsidR="00427468">
        <w:rPr>
          <w:kern w:val="0"/>
        </w:rPr>
        <w:t xml:space="preserve"> of </w:t>
      </w:r>
      <w:r>
        <w:rPr>
          <w:kern w:val="0"/>
        </w:rPr>
        <w:t xml:space="preserve">verbal instructions were examined which included </w:t>
      </w:r>
      <w:r w:rsidR="0071223E">
        <w:rPr>
          <w:kern w:val="0"/>
        </w:rPr>
        <w:t>‘</w:t>
      </w:r>
      <w:r>
        <w:rPr>
          <w:kern w:val="0"/>
        </w:rPr>
        <w:t>take big steps</w:t>
      </w:r>
      <w:r w:rsidR="0071223E">
        <w:rPr>
          <w:kern w:val="0"/>
        </w:rPr>
        <w:t>’</w:t>
      </w:r>
      <w:r>
        <w:rPr>
          <w:kern w:val="0"/>
        </w:rPr>
        <w:t xml:space="preserve">, </w:t>
      </w:r>
      <w:r w:rsidR="0071223E">
        <w:rPr>
          <w:kern w:val="0"/>
        </w:rPr>
        <w:t>‘</w:t>
      </w:r>
      <w:r>
        <w:rPr>
          <w:kern w:val="0"/>
        </w:rPr>
        <w:t>walk fast</w:t>
      </w:r>
      <w:r w:rsidR="0071223E">
        <w:rPr>
          <w:kern w:val="0"/>
        </w:rPr>
        <w:t>’</w:t>
      </w:r>
      <w:r>
        <w:rPr>
          <w:kern w:val="0"/>
        </w:rPr>
        <w:t xml:space="preserve">, </w:t>
      </w:r>
      <w:r w:rsidR="0071223E">
        <w:rPr>
          <w:kern w:val="0"/>
        </w:rPr>
        <w:t>‘</w:t>
      </w:r>
      <w:r w:rsidR="00C13DDC">
        <w:rPr>
          <w:kern w:val="0"/>
        </w:rPr>
        <w:t>s</w:t>
      </w:r>
      <w:r>
        <w:rPr>
          <w:kern w:val="0"/>
        </w:rPr>
        <w:t>wing arms when walking</w:t>
      </w:r>
      <w:r w:rsidR="0071223E">
        <w:rPr>
          <w:kern w:val="0"/>
        </w:rPr>
        <w:t>’</w:t>
      </w:r>
      <w:r>
        <w:rPr>
          <w:kern w:val="0"/>
        </w:rPr>
        <w:t xml:space="preserve">, </w:t>
      </w:r>
      <w:r w:rsidR="0071223E">
        <w:rPr>
          <w:kern w:val="0"/>
        </w:rPr>
        <w:t>‘</w:t>
      </w:r>
      <w:r>
        <w:rPr>
          <w:kern w:val="0"/>
        </w:rPr>
        <w:t>count rhythm when walking</w:t>
      </w:r>
      <w:r w:rsidR="0071223E">
        <w:rPr>
          <w:kern w:val="0"/>
        </w:rPr>
        <w:t>’</w:t>
      </w:r>
      <w:r w:rsidR="005853A9">
        <w:rPr>
          <w:kern w:val="0"/>
        </w:rPr>
        <w:t xml:space="preserve"> and </w:t>
      </w:r>
      <w:r w:rsidR="0071223E">
        <w:rPr>
          <w:kern w:val="0"/>
        </w:rPr>
        <w:t>‘</w:t>
      </w:r>
      <w:r>
        <w:rPr>
          <w:kern w:val="0"/>
        </w:rPr>
        <w:t>walk fast with big steps</w:t>
      </w:r>
      <w:r w:rsidR="0071223E">
        <w:rPr>
          <w:kern w:val="0"/>
        </w:rPr>
        <w:t>’</w:t>
      </w:r>
      <w:r>
        <w:rPr>
          <w:kern w:val="0"/>
        </w:rPr>
        <w:t>. Best evidence synthesis found indicative evidence in support</w:t>
      </w:r>
      <w:r w:rsidR="00427468">
        <w:rPr>
          <w:kern w:val="0"/>
        </w:rPr>
        <w:t xml:space="preserve"> of </w:t>
      </w:r>
      <w:r w:rsidR="003A1917">
        <w:rPr>
          <w:kern w:val="0"/>
        </w:rPr>
        <w:t xml:space="preserve">the </w:t>
      </w:r>
      <w:r>
        <w:rPr>
          <w:kern w:val="0"/>
        </w:rPr>
        <w:t>use</w:t>
      </w:r>
      <w:r w:rsidR="00427468">
        <w:rPr>
          <w:kern w:val="0"/>
        </w:rPr>
        <w:t xml:space="preserve"> of </w:t>
      </w:r>
      <w:r w:rsidR="003A1917">
        <w:rPr>
          <w:kern w:val="0"/>
        </w:rPr>
        <w:t xml:space="preserve">the </w:t>
      </w:r>
      <w:r>
        <w:rPr>
          <w:kern w:val="0"/>
        </w:rPr>
        <w:t>instruction to take big steps in walking training for stride length improvement in people with mild to moderate Parkinson</w:t>
      </w:r>
      <w:r w:rsidR="0071223E">
        <w:rPr>
          <w:kern w:val="0"/>
        </w:rPr>
        <w:t>’</w:t>
      </w:r>
      <w:r w:rsidR="00C13DDC">
        <w:rPr>
          <w:kern w:val="0"/>
        </w:rPr>
        <w:t>s</w:t>
      </w:r>
      <w:r>
        <w:rPr>
          <w:kern w:val="0"/>
        </w:rPr>
        <w:t xml:space="preserve"> disease who are without cognitive impairment</w:t>
      </w:r>
      <w:r w:rsidR="00A37C1D">
        <w:rPr>
          <w:kern w:val="0"/>
        </w:rPr>
        <w:t>. The</w:t>
      </w:r>
      <w:r>
        <w:rPr>
          <w:kern w:val="0"/>
        </w:rPr>
        <w:t>re was insufficient evidence in support</w:t>
      </w:r>
      <w:r w:rsidR="00427468">
        <w:rPr>
          <w:kern w:val="0"/>
        </w:rPr>
        <w:t xml:space="preserve"> of </w:t>
      </w:r>
      <w:r>
        <w:rPr>
          <w:kern w:val="0"/>
        </w:rPr>
        <w:t>effects on gait velocity</w:t>
      </w:r>
      <w:r w:rsidR="005853A9">
        <w:rPr>
          <w:kern w:val="0"/>
        </w:rPr>
        <w:t xml:space="preserve"> and </w:t>
      </w:r>
      <w:r>
        <w:rPr>
          <w:kern w:val="0"/>
        </w:rPr>
        <w:t>stride variability</w:t>
      </w:r>
      <w:r w:rsidR="00A37C1D">
        <w:rPr>
          <w:kern w:val="0"/>
        </w:rPr>
        <w:t>. The</w:t>
      </w:r>
      <w:r>
        <w:rPr>
          <w:kern w:val="0"/>
        </w:rPr>
        <w:t>re was also insufficient evidence in support</w:t>
      </w:r>
      <w:r w:rsidR="00427468">
        <w:rPr>
          <w:kern w:val="0"/>
        </w:rPr>
        <w:t xml:space="preserve"> of </w:t>
      </w:r>
      <w:r>
        <w:rPr>
          <w:kern w:val="0"/>
        </w:rPr>
        <w:t>effects</w:t>
      </w:r>
      <w:r w:rsidR="00427468">
        <w:rPr>
          <w:kern w:val="0"/>
        </w:rPr>
        <w:t xml:space="preserve"> of </w:t>
      </w:r>
      <w:r>
        <w:rPr>
          <w:kern w:val="0"/>
        </w:rPr>
        <w:t>other instructions on any</w:t>
      </w:r>
      <w:r w:rsidR="00427468">
        <w:rPr>
          <w:kern w:val="0"/>
        </w:rPr>
        <w:t xml:space="preserve"> of </w:t>
      </w:r>
      <w:r w:rsidR="003A1917">
        <w:rPr>
          <w:kern w:val="0"/>
        </w:rPr>
        <w:t xml:space="preserve">the </w:t>
      </w:r>
      <w:r>
        <w:rPr>
          <w:kern w:val="0"/>
        </w:rPr>
        <w:t>gait variables. Conclusion:</w:t>
      </w:r>
      <w:r w:rsidR="003A1917">
        <w:rPr>
          <w:kern w:val="0"/>
        </w:rPr>
        <w:t xml:space="preserve"> the </w:t>
      </w:r>
      <w:r>
        <w:rPr>
          <w:kern w:val="0"/>
        </w:rPr>
        <w:t>empirical evidence in support</w:t>
      </w:r>
      <w:r w:rsidR="00427468">
        <w:rPr>
          <w:kern w:val="0"/>
        </w:rPr>
        <w:t xml:space="preserve"> of </w:t>
      </w:r>
      <w:r w:rsidR="003A1917">
        <w:rPr>
          <w:kern w:val="0"/>
        </w:rPr>
        <w:t xml:space="preserve">the </w:t>
      </w:r>
      <w:r>
        <w:rPr>
          <w:kern w:val="0"/>
        </w:rPr>
        <w:t>benefits from verbal instructions is weak</w:t>
      </w:r>
      <w:r w:rsidR="00A37C1D">
        <w:rPr>
          <w:kern w:val="0"/>
        </w:rPr>
        <w:t>. The</w:t>
      </w:r>
      <w:r w:rsidR="003A1917">
        <w:rPr>
          <w:kern w:val="0"/>
        </w:rPr>
        <w:t xml:space="preserve"> </w:t>
      </w:r>
      <w:r>
        <w:rPr>
          <w:kern w:val="0"/>
        </w:rPr>
        <w:t>evidence is limited to short-term stride length improvement from</w:t>
      </w:r>
      <w:r w:rsidR="003A1917">
        <w:rPr>
          <w:kern w:val="0"/>
        </w:rPr>
        <w:t xml:space="preserve"> the </w:t>
      </w:r>
      <w:r>
        <w:rPr>
          <w:kern w:val="0"/>
        </w:rPr>
        <w:t>use</w:t>
      </w:r>
      <w:r w:rsidR="00427468">
        <w:rPr>
          <w:kern w:val="0"/>
        </w:rPr>
        <w:t xml:space="preserve"> of </w:t>
      </w:r>
      <w:r w:rsidR="003A1917">
        <w:rPr>
          <w:kern w:val="0"/>
        </w:rPr>
        <w:t xml:space="preserve">the </w:t>
      </w:r>
      <w:r>
        <w:rPr>
          <w:kern w:val="0"/>
        </w:rPr>
        <w:t>instruction to take big steps in walking training.</w:t>
      </w:r>
    </w:p>
    <w:p w:rsidR="000E063D" w:rsidRDefault="000E063D" w:rsidP="000E063D">
      <w:pPr>
        <w:pStyle w:val="a3"/>
        <w:rPr>
          <w:kern w:val="0"/>
        </w:rPr>
      </w:pPr>
      <w:r>
        <w:rPr>
          <w:kern w:val="0"/>
        </w:rPr>
        <w:t>Keywords: Cochrane, Cues, Disease, Disorders, Gait, Parkinson</w:t>
      </w:r>
      <w:r w:rsidR="0071223E">
        <w:rPr>
          <w:kern w:val="0"/>
        </w:rPr>
        <w:t>’</w:t>
      </w:r>
      <w:r w:rsidR="00C13DDC">
        <w:rPr>
          <w:kern w:val="0"/>
        </w:rPr>
        <w:t>s</w:t>
      </w:r>
      <w:r>
        <w:rPr>
          <w:kern w:val="0"/>
        </w:rPr>
        <w:t xml:space="preserve"> Disease, Review, Rhythm, Science, Statistical, Strategies, Systematic, Systematic Review, Task, Training, Variability, Walking, </w:t>
      </w:r>
      <w:r w:rsidR="00D5664A">
        <w:rPr>
          <w:kern w:val="0"/>
        </w:rPr>
        <w:t>Web</w:t>
      </w:r>
      <w:r w:rsidR="00427468">
        <w:rPr>
          <w:kern w:val="0"/>
        </w:rPr>
        <w:t xml:space="preserve"> of </w:t>
      </w:r>
      <w:r w:rsidR="00D5664A">
        <w:rPr>
          <w:kern w:val="0"/>
        </w:rPr>
        <w:t>Science</w:t>
      </w:r>
    </w:p>
    <w:p w:rsidR="0048240E" w:rsidRDefault="0048240E" w:rsidP="0048240E">
      <w:pPr>
        <w:pStyle w:val="a3"/>
        <w:rPr>
          <w:kern w:val="0"/>
        </w:rPr>
      </w:pPr>
      <w:r>
        <w:rPr>
          <w:rFonts w:hint="eastAsia"/>
          <w:kern w:val="0"/>
        </w:rPr>
        <w:t xml:space="preserve">? </w:t>
      </w:r>
      <w:r>
        <w:rPr>
          <w:kern w:val="0"/>
        </w:rPr>
        <w:t>Lau, R.W.K., Liao, L.R., Yu, F.L., Teo, T., Chung, R.C.K.</w:t>
      </w:r>
      <w:r w:rsidR="005853A9">
        <w:rPr>
          <w:kern w:val="0"/>
        </w:rPr>
        <w:t xml:space="preserve"> and </w:t>
      </w:r>
      <w:r>
        <w:rPr>
          <w:kern w:val="0"/>
        </w:rPr>
        <w:t>Pang, M.Y.C. (2011</w:t>
      </w:r>
      <w:r w:rsidR="00F42EAC">
        <w:rPr>
          <w:kern w:val="0"/>
        </w:rPr>
        <w:t>), The</w:t>
      </w:r>
      <w:r w:rsidR="003A1917">
        <w:rPr>
          <w:kern w:val="0"/>
        </w:rPr>
        <w:t xml:space="preserve"> </w:t>
      </w:r>
      <w:r>
        <w:rPr>
          <w:kern w:val="0"/>
        </w:rPr>
        <w:t>effects</w:t>
      </w:r>
      <w:r w:rsidR="00427468">
        <w:rPr>
          <w:kern w:val="0"/>
        </w:rPr>
        <w:t xml:space="preserve"> of </w:t>
      </w:r>
      <w:r>
        <w:rPr>
          <w:kern w:val="0"/>
        </w:rPr>
        <w:t>whole body vibration therapy on bone mineral density</w:t>
      </w:r>
      <w:r w:rsidR="005853A9">
        <w:rPr>
          <w:kern w:val="0"/>
        </w:rPr>
        <w:t xml:space="preserve"> and </w:t>
      </w:r>
      <w:r>
        <w:rPr>
          <w:kern w:val="0"/>
        </w:rPr>
        <w:t>leg muscle strength in older adults: A systematic review</w:t>
      </w:r>
      <w:r w:rsidR="005853A9">
        <w:rPr>
          <w:kern w:val="0"/>
        </w:rPr>
        <w:t xml:space="preserve"> and </w:t>
      </w:r>
      <w:r>
        <w:rPr>
          <w:kern w:val="0"/>
        </w:rPr>
        <w:t xml:space="preserve">meta-analysis. </w:t>
      </w:r>
      <w:r>
        <w:rPr>
          <w:i/>
          <w:iCs/>
          <w:kern w:val="0"/>
        </w:rPr>
        <w:t>Clinical Rehabilitation</w:t>
      </w:r>
      <w:r>
        <w:rPr>
          <w:kern w:val="0"/>
        </w:rPr>
        <w:t xml:space="preserve">, </w:t>
      </w:r>
      <w:r>
        <w:rPr>
          <w:b/>
          <w:bCs/>
          <w:kern w:val="0"/>
        </w:rPr>
        <w:t>25</w:t>
      </w:r>
      <w:r>
        <w:rPr>
          <w:kern w:val="0"/>
        </w:rPr>
        <w:t xml:space="preserve"> (11), 975-988.</w:t>
      </w:r>
    </w:p>
    <w:p w:rsidR="0048240E" w:rsidRDefault="0048240E" w:rsidP="0048240E">
      <w:pPr>
        <w:pStyle w:val="a3"/>
        <w:rPr>
          <w:kern w:val="0"/>
          <w:szCs w:val="24"/>
        </w:rPr>
      </w:pPr>
      <w:r>
        <w:rPr>
          <w:rFonts w:hint="eastAsia"/>
          <w:kern w:val="0"/>
          <w:szCs w:val="24"/>
        </w:rPr>
        <w:t xml:space="preserve">Full Text: </w:t>
      </w:r>
      <w:hyperlink r:id="rId428" w:history="1">
        <w:r w:rsidRPr="0048240E">
          <w:rPr>
            <w:rStyle w:val="a5"/>
            <w:kern w:val="0"/>
            <w:szCs w:val="24"/>
          </w:rPr>
          <w:t>2011\Cli Reh25, 975.pdf</w:t>
        </w:r>
      </w:hyperlink>
    </w:p>
    <w:p w:rsidR="0048240E" w:rsidRDefault="0048240E" w:rsidP="0048240E">
      <w:pPr>
        <w:pStyle w:val="a3"/>
        <w:rPr>
          <w:kern w:val="0"/>
        </w:rPr>
      </w:pPr>
      <w:r>
        <w:rPr>
          <w:kern w:val="0"/>
        </w:rPr>
        <w:t>Abstract: Objective: A systematic review</w:t>
      </w:r>
      <w:r w:rsidR="005853A9">
        <w:rPr>
          <w:kern w:val="0"/>
        </w:rPr>
        <w:t xml:space="preserve"> and </w:t>
      </w:r>
      <w:r>
        <w:rPr>
          <w:kern w:val="0"/>
        </w:rPr>
        <w:t>meta-analysis</w:t>
      </w:r>
      <w:r w:rsidR="00427468">
        <w:rPr>
          <w:kern w:val="0"/>
        </w:rPr>
        <w:t xml:space="preserve"> of </w:t>
      </w:r>
      <w:r>
        <w:rPr>
          <w:kern w:val="0"/>
        </w:rPr>
        <w:t>randomized controlled trials was undertaken to determine whether whole body vibration improves bone mineral density</w:t>
      </w:r>
      <w:r w:rsidR="005853A9">
        <w:rPr>
          <w:kern w:val="0"/>
        </w:rPr>
        <w:t xml:space="preserve"> and </w:t>
      </w:r>
      <w:r>
        <w:rPr>
          <w:kern w:val="0"/>
        </w:rPr>
        <w:t xml:space="preserve">leg muscle strength in older adults. Data sources: Sources included </w:t>
      </w:r>
      <w:r w:rsidR="00D5664A">
        <w:rPr>
          <w:kern w:val="0"/>
        </w:rPr>
        <w:t>MEDLINE</w:t>
      </w:r>
      <w:r>
        <w:rPr>
          <w:kern w:val="0"/>
        </w:rPr>
        <w:t>, CINAHL, EMBASE, PEDro, PubMed, Science Citation Index</w:t>
      </w:r>
      <w:r w:rsidR="005853A9">
        <w:rPr>
          <w:kern w:val="0"/>
        </w:rPr>
        <w:t xml:space="preserve"> and </w:t>
      </w:r>
      <w:r w:rsidR="003A1917">
        <w:rPr>
          <w:kern w:val="0"/>
        </w:rPr>
        <w:t xml:space="preserve">the </w:t>
      </w:r>
      <w:r>
        <w:rPr>
          <w:kern w:val="0"/>
        </w:rPr>
        <w:t>reference list</w:t>
      </w:r>
      <w:r w:rsidR="00427468">
        <w:rPr>
          <w:kern w:val="0"/>
        </w:rPr>
        <w:t xml:space="preserve"> of </w:t>
      </w:r>
      <w:r>
        <w:rPr>
          <w:kern w:val="0"/>
        </w:rPr>
        <w:t>each eligible article. Review methods: Article search</w:t>
      </w:r>
      <w:r w:rsidR="005853A9">
        <w:rPr>
          <w:kern w:val="0"/>
        </w:rPr>
        <w:t xml:space="preserve"> and </w:t>
      </w:r>
      <w:r>
        <w:rPr>
          <w:kern w:val="0"/>
        </w:rPr>
        <w:t>selection was performed independently by two researchers</w:t>
      </w:r>
      <w:r w:rsidR="00A37C1D">
        <w:rPr>
          <w:kern w:val="0"/>
        </w:rPr>
        <w:t>. The</w:t>
      </w:r>
      <w:r w:rsidR="003A1917">
        <w:rPr>
          <w:kern w:val="0"/>
        </w:rPr>
        <w:t xml:space="preserve"> </w:t>
      </w:r>
      <w:r>
        <w:rPr>
          <w:kern w:val="0"/>
        </w:rPr>
        <w:t>methodological quality</w:t>
      </w:r>
      <w:r w:rsidR="00427468">
        <w:rPr>
          <w:kern w:val="0"/>
        </w:rPr>
        <w:t xml:space="preserve"> of </w:t>
      </w:r>
      <w:r>
        <w:rPr>
          <w:kern w:val="0"/>
        </w:rPr>
        <w:t>each selected article was rated by</w:t>
      </w:r>
      <w:r w:rsidR="003A1917">
        <w:rPr>
          <w:kern w:val="0"/>
        </w:rPr>
        <w:t xml:space="preserve"> the </w:t>
      </w:r>
      <w:r>
        <w:rPr>
          <w:kern w:val="0"/>
        </w:rPr>
        <w:t>PEDro scale. Results: Thirteen randomized trials (18 articles) totalling 896 subjects fulfilled</w:t>
      </w:r>
      <w:r w:rsidR="003A1917">
        <w:rPr>
          <w:kern w:val="0"/>
        </w:rPr>
        <w:t xml:space="preserve"> the </w:t>
      </w:r>
      <w:r>
        <w:rPr>
          <w:kern w:val="0"/>
        </w:rPr>
        <w:t>selection criteria. Four were considered to have good or excellent methodological quality</w:t>
      </w:r>
      <w:r w:rsidR="005853A9">
        <w:rPr>
          <w:kern w:val="0"/>
        </w:rPr>
        <w:t xml:space="preserve"> and </w:t>
      </w:r>
      <w:r w:rsidR="003A1917">
        <w:rPr>
          <w:kern w:val="0"/>
        </w:rPr>
        <w:t xml:space="preserve">the </w:t>
      </w:r>
      <w:r>
        <w:rPr>
          <w:kern w:val="0"/>
        </w:rPr>
        <w:t>rest were rated as fair. Meta-analyses revealed that whole body vibration has no significant effect on hip or lumbar spine bone mineral density in older women when compared with no intervention or active exercise (P &gt; 0.05). Whole body vibration, however, had a significant treatment effect on knee extension dynamic strength (standardized mean difference = 0.63, P=0.006), leg extension isometric strength (standardized mean difference = 0.57, P = 0.003),</w:t>
      </w:r>
      <w:r w:rsidR="005853A9">
        <w:rPr>
          <w:kern w:val="0"/>
        </w:rPr>
        <w:t xml:space="preserve"> and </w:t>
      </w:r>
      <w:r>
        <w:rPr>
          <w:kern w:val="0"/>
        </w:rPr>
        <w:t>functional measures</w:t>
      </w:r>
      <w:r w:rsidR="00427468">
        <w:rPr>
          <w:kern w:val="0"/>
        </w:rPr>
        <w:t xml:space="preserve"> of </w:t>
      </w:r>
      <w:r>
        <w:rPr>
          <w:kern w:val="0"/>
        </w:rPr>
        <w:t>leg muscle strength such as jumping height (standardized mean difference 0.51, P = 0.010)</w:t>
      </w:r>
      <w:r w:rsidR="005853A9">
        <w:rPr>
          <w:kern w:val="0"/>
        </w:rPr>
        <w:t xml:space="preserve"> and </w:t>
      </w:r>
      <w:r>
        <w:rPr>
          <w:kern w:val="0"/>
        </w:rPr>
        <w:t xml:space="preserve">performance in sit-to-stand (standardized mean difference = 0.72, P &lt; 0.001) among older adults compared with no intervention. Conclusion: Whole body vibration is beneficial for enhancing leg muscle strength among older adults. </w:t>
      </w:r>
      <w:r>
        <w:rPr>
          <w:kern w:val="0"/>
        </w:rPr>
        <w:lastRenderedPageBreak/>
        <w:t>However,</w:t>
      </w:r>
      <w:r w:rsidR="003A1917">
        <w:rPr>
          <w:kern w:val="0"/>
        </w:rPr>
        <w:t xml:space="preserve"> the </w:t>
      </w:r>
      <w:r>
        <w:rPr>
          <w:kern w:val="0"/>
        </w:rPr>
        <w:t>review suggests that whole body vibration has no overall treatment effect on bone mineral density in older women. No randomized trial has examined</w:t>
      </w:r>
      <w:r w:rsidR="003A1917">
        <w:rPr>
          <w:kern w:val="0"/>
        </w:rPr>
        <w:t xml:space="preserve"> the </w:t>
      </w:r>
      <w:r>
        <w:rPr>
          <w:kern w:val="0"/>
        </w:rPr>
        <w:t>effects</w:t>
      </w:r>
      <w:r w:rsidR="00427468">
        <w:rPr>
          <w:kern w:val="0"/>
        </w:rPr>
        <w:t xml:space="preserve"> of </w:t>
      </w:r>
      <w:r>
        <w:rPr>
          <w:kern w:val="0"/>
        </w:rPr>
        <w:t>whole body vibration on bone mineral density in older men.</w:t>
      </w:r>
    </w:p>
    <w:p w:rsidR="0048240E" w:rsidRDefault="0048240E" w:rsidP="0048240E">
      <w:pPr>
        <w:pStyle w:val="a3"/>
        <w:rPr>
          <w:kern w:val="0"/>
        </w:rPr>
      </w:pPr>
      <w:r>
        <w:rPr>
          <w:kern w:val="0"/>
        </w:rPr>
        <w:t xml:space="preserve">Keywords: Adults, Aging, Back-Pain, Bed Rest, Bone, Bone Mineral Density, Chronic Stroke, Citation, Clinical-Trial, Embase, Exercise, Exercise, Frequency, Functional, Geriatrics, Intervention, Knee, </w:t>
      </w:r>
      <w:r w:rsidR="00D5664A">
        <w:rPr>
          <w:kern w:val="0"/>
        </w:rPr>
        <w:t>MEDLINE</w:t>
      </w:r>
      <w:r>
        <w:rPr>
          <w:kern w:val="0"/>
        </w:rPr>
        <w:t>, Men, Meta Analysis, Meta-Analysis, Older Adults, Older Men, Osteoporosis, Postmenopa</w:t>
      </w:r>
      <w:r w:rsidR="00D5664A">
        <w:rPr>
          <w:kern w:val="0"/>
        </w:rPr>
        <w:t>USA</w:t>
      </w:r>
      <w:r>
        <w:rPr>
          <w:kern w:val="0"/>
        </w:rPr>
        <w:t>l Women, Postural Control, Pubmed, Randomized Controlled Trials, Randomized-Controlled-Trial, Rehabilitation, Researchers, Review, Risk, Science, Science Citation Index, Sources, Spine, Strength, Systematic, Systematic Review, Therapy, Treatment, Vibration, Women</w:t>
      </w:r>
    </w:p>
    <w:p w:rsidR="00915B8D" w:rsidRDefault="00915B8D" w:rsidP="00915B8D">
      <w:pPr>
        <w:pStyle w:val="a3"/>
        <w:rPr>
          <w:kern w:val="0"/>
        </w:rPr>
      </w:pPr>
      <w:r>
        <w:rPr>
          <w:rFonts w:hint="eastAsia"/>
          <w:kern w:val="0"/>
        </w:rPr>
        <w:t xml:space="preserve">? </w:t>
      </w:r>
      <w:r>
        <w:rPr>
          <w:kern w:val="0"/>
        </w:rPr>
        <w:t>Pereira, L.M., Obara, K., Dias, J.M., Menacho, M.O., Guariglia, D.A., Schiavoni, D., Pereira, H.M.</w:t>
      </w:r>
      <w:r w:rsidR="005853A9">
        <w:rPr>
          <w:kern w:val="0"/>
        </w:rPr>
        <w:t xml:space="preserve"> and </w:t>
      </w:r>
      <w:r>
        <w:rPr>
          <w:kern w:val="0"/>
        </w:rPr>
        <w:t>Cardoso, J.R. (2012), Comparing</w:t>
      </w:r>
      <w:r w:rsidR="003A1917">
        <w:rPr>
          <w:kern w:val="0"/>
        </w:rPr>
        <w:t xml:space="preserve"> the </w:t>
      </w:r>
      <w:r>
        <w:rPr>
          <w:kern w:val="0"/>
        </w:rPr>
        <w:t>Pilates method with no exercise or lumbar stabilization for pain</w:t>
      </w:r>
      <w:r w:rsidR="005853A9">
        <w:rPr>
          <w:kern w:val="0"/>
        </w:rPr>
        <w:t xml:space="preserve"> and </w:t>
      </w:r>
      <w:r>
        <w:rPr>
          <w:kern w:val="0"/>
        </w:rPr>
        <w:t>functionality in patients with chronic low back pain: Systematic review</w:t>
      </w:r>
      <w:r w:rsidR="005853A9">
        <w:rPr>
          <w:kern w:val="0"/>
        </w:rPr>
        <w:t xml:space="preserve"> and </w:t>
      </w:r>
      <w:r>
        <w:rPr>
          <w:kern w:val="0"/>
        </w:rPr>
        <w:t xml:space="preserve">meta-analysis. </w:t>
      </w:r>
      <w:r>
        <w:rPr>
          <w:i/>
          <w:iCs/>
          <w:kern w:val="0"/>
        </w:rPr>
        <w:t>Clinical Rehabilitation</w:t>
      </w:r>
      <w:r>
        <w:rPr>
          <w:kern w:val="0"/>
        </w:rPr>
        <w:t xml:space="preserve">, </w:t>
      </w:r>
      <w:r>
        <w:rPr>
          <w:b/>
          <w:bCs/>
          <w:kern w:val="0"/>
        </w:rPr>
        <w:t>26</w:t>
      </w:r>
      <w:r>
        <w:rPr>
          <w:kern w:val="0"/>
        </w:rPr>
        <w:t xml:space="preserve"> (1), 10-20.</w:t>
      </w:r>
    </w:p>
    <w:p w:rsidR="00915B8D" w:rsidRDefault="00915B8D" w:rsidP="00915B8D">
      <w:pPr>
        <w:pStyle w:val="a3"/>
        <w:rPr>
          <w:kern w:val="0"/>
          <w:szCs w:val="24"/>
        </w:rPr>
      </w:pPr>
      <w:r>
        <w:rPr>
          <w:rFonts w:hint="eastAsia"/>
          <w:kern w:val="0"/>
          <w:szCs w:val="24"/>
        </w:rPr>
        <w:t xml:space="preserve">Full Text: </w:t>
      </w:r>
      <w:hyperlink r:id="rId429" w:history="1">
        <w:r w:rsidRPr="00915B8D">
          <w:rPr>
            <w:rStyle w:val="a5"/>
            <w:kern w:val="0"/>
            <w:szCs w:val="24"/>
          </w:rPr>
          <w:t>2012\Cli Reh26, 10.pdf</w:t>
        </w:r>
      </w:hyperlink>
    </w:p>
    <w:p w:rsidR="00915B8D" w:rsidRDefault="00915B8D" w:rsidP="00915B8D">
      <w:pPr>
        <w:pStyle w:val="a3"/>
        <w:rPr>
          <w:kern w:val="0"/>
        </w:rPr>
      </w:pPr>
      <w:r>
        <w:rPr>
          <w:kern w:val="0"/>
        </w:rPr>
        <w:t>Abstract: Objective: To perform a systematic review with meta-analyses that evaluates</w:t>
      </w:r>
      <w:r w:rsidR="003A1917">
        <w:rPr>
          <w:kern w:val="0"/>
        </w:rPr>
        <w:t xml:space="preserve"> the </w:t>
      </w:r>
      <w:r>
        <w:rPr>
          <w:kern w:val="0"/>
        </w:rPr>
        <w:t>effectiveness</w:t>
      </w:r>
      <w:r w:rsidR="00427468">
        <w:rPr>
          <w:kern w:val="0"/>
        </w:rPr>
        <w:t xml:space="preserve"> of </w:t>
      </w:r>
      <w:r w:rsidR="003A1917">
        <w:rPr>
          <w:kern w:val="0"/>
        </w:rPr>
        <w:t xml:space="preserve">the </w:t>
      </w:r>
      <w:r>
        <w:rPr>
          <w:kern w:val="0"/>
        </w:rPr>
        <w:t>Pilates method on</w:t>
      </w:r>
      <w:r w:rsidR="003A1917">
        <w:rPr>
          <w:kern w:val="0"/>
        </w:rPr>
        <w:t xml:space="preserve"> the </w:t>
      </w:r>
      <w:r>
        <w:rPr>
          <w:kern w:val="0"/>
        </w:rPr>
        <w:t>pain</w:t>
      </w:r>
      <w:r w:rsidR="005853A9">
        <w:rPr>
          <w:kern w:val="0"/>
        </w:rPr>
        <w:t xml:space="preserve"> and </w:t>
      </w:r>
      <w:r>
        <w:rPr>
          <w:kern w:val="0"/>
        </w:rPr>
        <w:t>functionality outcome in adults with non-specific chronic low back pain. Data sources:</w:t>
      </w:r>
      <w:r w:rsidR="003A1917">
        <w:rPr>
          <w:kern w:val="0"/>
        </w:rPr>
        <w:t xml:space="preserve"> the </w:t>
      </w:r>
      <w:r>
        <w:rPr>
          <w:kern w:val="0"/>
        </w:rPr>
        <w:t>search was performed in</w:t>
      </w:r>
      <w:r w:rsidR="003A1917">
        <w:rPr>
          <w:kern w:val="0"/>
        </w:rPr>
        <w:t xml:space="preserve"> the </w:t>
      </w:r>
      <w:r>
        <w:rPr>
          <w:kern w:val="0"/>
        </w:rPr>
        <w:t xml:space="preserve">following databases: </w:t>
      </w:r>
      <w:r w:rsidR="00D5664A">
        <w:rPr>
          <w:kern w:val="0"/>
        </w:rPr>
        <w:t>MEDLINE</w:t>
      </w:r>
      <w:r>
        <w:rPr>
          <w:kern w:val="0"/>
        </w:rPr>
        <w:t xml:space="preserve">, Embase, AMED, Cinahl, Lilacs, Scielo, SportDiscus, ProQuest, </w:t>
      </w:r>
      <w:r w:rsidR="00D5664A">
        <w:rPr>
          <w:kern w:val="0"/>
        </w:rPr>
        <w:t>Web</w:t>
      </w:r>
      <w:r w:rsidR="00427468">
        <w:rPr>
          <w:kern w:val="0"/>
        </w:rPr>
        <w:t xml:space="preserve"> of </w:t>
      </w:r>
      <w:r w:rsidR="00D5664A">
        <w:rPr>
          <w:kern w:val="0"/>
        </w:rPr>
        <w:t>Science</w:t>
      </w:r>
      <w:r>
        <w:rPr>
          <w:kern w:val="0"/>
        </w:rPr>
        <w:t>, PEDro, Academic Search Premier</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from 1950 to 2011;</w:t>
      </w:r>
      <w:r w:rsidR="003A1917">
        <w:rPr>
          <w:kern w:val="0"/>
        </w:rPr>
        <w:t xml:space="preserve"> the </w:t>
      </w:r>
      <w:r>
        <w:rPr>
          <w:kern w:val="0"/>
        </w:rPr>
        <w:t xml:space="preserve">following keywords were used: </w:t>
      </w:r>
      <w:r w:rsidR="0071223E">
        <w:rPr>
          <w:kern w:val="0"/>
        </w:rPr>
        <w:t>‘</w:t>
      </w:r>
      <w:r>
        <w:rPr>
          <w:kern w:val="0"/>
        </w:rPr>
        <w:t>Pilates</w:t>
      </w:r>
      <w:r w:rsidR="0071223E">
        <w:rPr>
          <w:kern w:val="0"/>
        </w:rPr>
        <w:t>’</w:t>
      </w:r>
      <w:r>
        <w:rPr>
          <w:kern w:val="0"/>
        </w:rPr>
        <w:t xml:space="preserve">, </w:t>
      </w:r>
      <w:r w:rsidR="0071223E">
        <w:rPr>
          <w:kern w:val="0"/>
        </w:rPr>
        <w:t>‘</w:t>
      </w:r>
      <w:r>
        <w:rPr>
          <w:kern w:val="0"/>
        </w:rPr>
        <w:t>Pilates-based</w:t>
      </w:r>
      <w:r w:rsidR="0071223E">
        <w:rPr>
          <w:kern w:val="0"/>
        </w:rPr>
        <w:t>’</w:t>
      </w:r>
      <w:r>
        <w:rPr>
          <w:kern w:val="0"/>
        </w:rPr>
        <w:t xml:space="preserve">, </w:t>
      </w:r>
      <w:r w:rsidR="0071223E">
        <w:rPr>
          <w:kern w:val="0"/>
        </w:rPr>
        <w:t>‘</w:t>
      </w:r>
      <w:r>
        <w:rPr>
          <w:kern w:val="0"/>
        </w:rPr>
        <w:t>back exercises</w:t>
      </w:r>
      <w:r w:rsidR="0071223E">
        <w:rPr>
          <w:kern w:val="0"/>
        </w:rPr>
        <w:t>’</w:t>
      </w:r>
      <w:r>
        <w:rPr>
          <w:kern w:val="0"/>
        </w:rPr>
        <w:t xml:space="preserve">, </w:t>
      </w:r>
      <w:r w:rsidR="0071223E">
        <w:rPr>
          <w:kern w:val="0"/>
        </w:rPr>
        <w:t>‘</w:t>
      </w:r>
      <w:r>
        <w:rPr>
          <w:kern w:val="0"/>
        </w:rPr>
        <w:t>exercise therapy</w:t>
      </w:r>
      <w:r w:rsidR="0071223E">
        <w:rPr>
          <w:kern w:val="0"/>
        </w:rPr>
        <w:t>’</w:t>
      </w:r>
      <w:r>
        <w:rPr>
          <w:kern w:val="0"/>
        </w:rPr>
        <w:t xml:space="preserve">, </w:t>
      </w:r>
      <w:r w:rsidR="0071223E">
        <w:rPr>
          <w:kern w:val="0"/>
        </w:rPr>
        <w:t>‘</w:t>
      </w:r>
      <w:r>
        <w:rPr>
          <w:kern w:val="0"/>
        </w:rPr>
        <w:t>low back pain</w:t>
      </w:r>
      <w:r w:rsidR="0071223E">
        <w:rPr>
          <w:kern w:val="0"/>
        </w:rPr>
        <w:t>’</w:t>
      </w:r>
      <w:r>
        <w:rPr>
          <w:kern w:val="0"/>
        </w:rPr>
        <w:t xml:space="preserve">, </w:t>
      </w:r>
      <w:r w:rsidR="0071223E">
        <w:rPr>
          <w:kern w:val="0"/>
        </w:rPr>
        <w:t>‘</w:t>
      </w:r>
      <w:r>
        <w:rPr>
          <w:kern w:val="0"/>
        </w:rPr>
        <w:t>back pain</w:t>
      </w:r>
      <w:r w:rsidR="0071223E">
        <w:rPr>
          <w:kern w:val="0"/>
        </w:rPr>
        <w:t>’</w:t>
      </w:r>
      <w:r w:rsidR="005853A9">
        <w:rPr>
          <w:kern w:val="0"/>
        </w:rPr>
        <w:t xml:space="preserve"> and </w:t>
      </w:r>
      <w:r w:rsidR="0071223E">
        <w:rPr>
          <w:kern w:val="0"/>
        </w:rPr>
        <w:t>‘</w:t>
      </w:r>
      <w:r>
        <w:rPr>
          <w:kern w:val="0"/>
        </w:rPr>
        <w:t>backache.</w:t>
      </w:r>
      <w:r w:rsidR="0071223E">
        <w:rPr>
          <w:kern w:val="0"/>
        </w:rPr>
        <w:t>’</w:t>
      </w:r>
      <w:r>
        <w:rPr>
          <w:kern w:val="0"/>
        </w:rPr>
        <w:t xml:space="preserve"> Review methods:</w:t>
      </w:r>
      <w:r w:rsidR="003A1917">
        <w:rPr>
          <w:kern w:val="0"/>
        </w:rPr>
        <w:t xml:space="preserve"> the </w:t>
      </w:r>
      <w:r>
        <w:rPr>
          <w:kern w:val="0"/>
        </w:rPr>
        <w:t>inclusion criteria were studies that assessed</w:t>
      </w:r>
      <w:r w:rsidR="003A1917">
        <w:rPr>
          <w:kern w:val="0"/>
        </w:rPr>
        <w:t xml:space="preserve"> the </w:t>
      </w:r>
      <w:r>
        <w:rPr>
          <w:kern w:val="0"/>
        </w:rPr>
        <w:t>effects</w:t>
      </w:r>
      <w:r w:rsidR="00427468">
        <w:rPr>
          <w:kern w:val="0"/>
        </w:rPr>
        <w:t xml:space="preserve"> of </w:t>
      </w:r>
      <w:r w:rsidR="003A1917">
        <w:rPr>
          <w:kern w:val="0"/>
        </w:rPr>
        <w:t xml:space="preserve">the </w:t>
      </w:r>
      <w:r>
        <w:rPr>
          <w:kern w:val="0"/>
        </w:rPr>
        <w:t>Pilates method on patients with chronic low back pain. Results: Five studies met</w:t>
      </w:r>
      <w:r w:rsidR="003A1917">
        <w:rPr>
          <w:kern w:val="0"/>
        </w:rPr>
        <w:t xml:space="preserve"> the </w:t>
      </w:r>
      <w:r>
        <w:rPr>
          <w:kern w:val="0"/>
        </w:rPr>
        <w:t>inclusion criteria</w:t>
      </w:r>
      <w:r w:rsidR="00A37C1D">
        <w:rPr>
          <w:kern w:val="0"/>
        </w:rPr>
        <w:t>. The</w:t>
      </w:r>
      <w:r w:rsidR="003A1917">
        <w:rPr>
          <w:kern w:val="0"/>
        </w:rPr>
        <w:t xml:space="preserve"> </w:t>
      </w:r>
      <w:r>
        <w:rPr>
          <w:kern w:val="0"/>
        </w:rPr>
        <w:t>total number</w:t>
      </w:r>
      <w:r w:rsidR="00427468">
        <w:rPr>
          <w:kern w:val="0"/>
        </w:rPr>
        <w:t xml:space="preserve"> of </w:t>
      </w:r>
      <w:r>
        <w:rPr>
          <w:kern w:val="0"/>
        </w:rPr>
        <w:t>patients was 71 in</w:t>
      </w:r>
      <w:r w:rsidR="003A1917">
        <w:rPr>
          <w:kern w:val="0"/>
        </w:rPr>
        <w:t xml:space="preserve"> the </w:t>
      </w:r>
      <w:r>
        <w:rPr>
          <w:kern w:val="0"/>
        </w:rPr>
        <w:t>Pilates group</w:t>
      </w:r>
      <w:r w:rsidR="005853A9">
        <w:rPr>
          <w:kern w:val="0"/>
        </w:rPr>
        <w:t xml:space="preserve"> and </w:t>
      </w:r>
      <w:r>
        <w:rPr>
          <w:kern w:val="0"/>
        </w:rPr>
        <w:t>68 in</w:t>
      </w:r>
      <w:r w:rsidR="003A1917">
        <w:rPr>
          <w:kern w:val="0"/>
        </w:rPr>
        <w:t xml:space="preserve"> the </w:t>
      </w:r>
      <w:r>
        <w:rPr>
          <w:kern w:val="0"/>
        </w:rPr>
        <w:t>control group. Pilates exercise did not improve functionality (standardized mean difference (SMD = -1.34; 95% confidence interval (CI) -2.80, 0.11; P = 0.07) or pain between Pilates</w:t>
      </w:r>
      <w:r w:rsidR="005853A9">
        <w:rPr>
          <w:kern w:val="0"/>
        </w:rPr>
        <w:t xml:space="preserve"> and </w:t>
      </w:r>
      <w:r>
        <w:rPr>
          <w:kern w:val="0"/>
        </w:rPr>
        <w:t>control groups (SMD - -1.99; 95% CI -4.35, 0.37; P - 0.10). Pilates</w:t>
      </w:r>
      <w:r w:rsidR="005853A9">
        <w:rPr>
          <w:kern w:val="0"/>
        </w:rPr>
        <w:t xml:space="preserve"> and </w:t>
      </w:r>
      <w:r>
        <w:rPr>
          <w:kern w:val="0"/>
        </w:rPr>
        <w:t>lumbar stabilization exercises presented no significant difference in functionality (mean difference (MD) - -0.31; 95% CI-1.02, 0.40; P - 0.39) or pain (MD = -0.31; 95% CI -1.02, 0.40; P = 0.39). Conclusion:</w:t>
      </w:r>
      <w:r w:rsidR="003A1917">
        <w:rPr>
          <w:kern w:val="0"/>
        </w:rPr>
        <w:t xml:space="preserve"> the </w:t>
      </w:r>
      <w:r>
        <w:rPr>
          <w:kern w:val="0"/>
        </w:rPr>
        <w:t>Pilates method did not improve functionality</w:t>
      </w:r>
      <w:r w:rsidR="005853A9">
        <w:rPr>
          <w:kern w:val="0"/>
        </w:rPr>
        <w:t xml:space="preserve"> and </w:t>
      </w:r>
      <w:r>
        <w:rPr>
          <w:kern w:val="0"/>
        </w:rPr>
        <w:t>pain in patients who have low back pain when compared with control</w:t>
      </w:r>
      <w:r w:rsidR="005853A9">
        <w:rPr>
          <w:kern w:val="0"/>
        </w:rPr>
        <w:t xml:space="preserve"> and </w:t>
      </w:r>
      <w:r>
        <w:rPr>
          <w:kern w:val="0"/>
        </w:rPr>
        <w:t>lumbar stabilization exercise groups.</w:t>
      </w:r>
    </w:p>
    <w:p w:rsidR="00915B8D" w:rsidRDefault="00915B8D" w:rsidP="00915B8D">
      <w:pPr>
        <w:pStyle w:val="a3"/>
        <w:rPr>
          <w:kern w:val="0"/>
        </w:rPr>
      </w:pPr>
      <w:r>
        <w:rPr>
          <w:kern w:val="0"/>
        </w:rPr>
        <w:t xml:space="preserve">Keywords: Adults, Author, Brazil, Cochrane, Control, Control Groups, Databases, Disability, Effectiveness, Exercise, Exercise Therapy, Exercises, Guidelines, Low, </w:t>
      </w:r>
      <w:r w:rsidR="00D5664A">
        <w:rPr>
          <w:kern w:val="0"/>
        </w:rPr>
        <w:t>MEDLINE</w:t>
      </w:r>
      <w:r>
        <w:rPr>
          <w:kern w:val="0"/>
        </w:rPr>
        <w:t xml:space="preserve">, Meta Analysis, Meta-Analysis, Outcome, Pain, Patients, Persistent, </w:t>
      </w:r>
      <w:r>
        <w:rPr>
          <w:kern w:val="0"/>
        </w:rPr>
        <w:lastRenderedPageBreak/>
        <w:t xml:space="preserve">Physiotherapy, Randomized Controlled-Trial, Rehabilitation Interventions, Review, Science, Strategies, Systematic, Systematic Review, Therapy,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D72764" w:rsidRDefault="00D72764" w:rsidP="00D72764">
      <w:pPr>
        <w:pStyle w:val="a3"/>
        <w:rPr>
          <w:kern w:val="0"/>
        </w:rPr>
      </w:pPr>
      <w:r>
        <w:rPr>
          <w:kern w:val="0"/>
        </w:rPr>
        <w:t>? Beck, A.M., Holst, M.</w:t>
      </w:r>
      <w:r w:rsidR="005853A9">
        <w:rPr>
          <w:kern w:val="0"/>
        </w:rPr>
        <w:t xml:space="preserve"> and </w:t>
      </w:r>
      <w:r>
        <w:rPr>
          <w:kern w:val="0"/>
        </w:rPr>
        <w:t>Rasmussen, H.H. (2013), Oral nutritional support</w:t>
      </w:r>
      <w:r w:rsidR="00427468">
        <w:rPr>
          <w:kern w:val="0"/>
        </w:rPr>
        <w:t xml:space="preserve"> of </w:t>
      </w:r>
      <w:r>
        <w:rPr>
          <w:kern w:val="0"/>
        </w:rPr>
        <w:t>older (65 years+) medical</w:t>
      </w:r>
      <w:r w:rsidR="005853A9">
        <w:rPr>
          <w:kern w:val="0"/>
        </w:rPr>
        <w:t xml:space="preserve"> and </w:t>
      </w:r>
      <w:r>
        <w:rPr>
          <w:kern w:val="0"/>
        </w:rPr>
        <w:t>surgical patients after discharge from hospital: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Clinical Rehabilitation</w:t>
      </w:r>
      <w:r>
        <w:rPr>
          <w:kern w:val="0"/>
        </w:rPr>
        <w:t xml:space="preserve">, </w:t>
      </w:r>
      <w:r>
        <w:rPr>
          <w:b/>
          <w:bCs/>
          <w:kern w:val="0"/>
        </w:rPr>
        <w:t>27</w:t>
      </w:r>
      <w:r>
        <w:rPr>
          <w:kern w:val="0"/>
        </w:rPr>
        <w:t xml:space="preserve"> (1), 19-27.</w:t>
      </w:r>
    </w:p>
    <w:p w:rsidR="00D72764" w:rsidRDefault="00D72764" w:rsidP="00D72764">
      <w:pPr>
        <w:pStyle w:val="a3"/>
        <w:rPr>
          <w:kern w:val="0"/>
          <w:szCs w:val="24"/>
        </w:rPr>
      </w:pPr>
      <w:r>
        <w:rPr>
          <w:rFonts w:hint="eastAsia"/>
          <w:kern w:val="0"/>
          <w:szCs w:val="24"/>
        </w:rPr>
        <w:t xml:space="preserve">Full Text: </w:t>
      </w:r>
      <w:hyperlink r:id="rId430" w:history="1">
        <w:r w:rsidRPr="00BD1ACA">
          <w:rPr>
            <w:rStyle w:val="a5"/>
            <w:kern w:val="0"/>
            <w:szCs w:val="24"/>
          </w:rPr>
          <w:t>2013\Cli Reh27, 19.pdf</w:t>
        </w:r>
      </w:hyperlink>
    </w:p>
    <w:p w:rsidR="00D72764" w:rsidRDefault="00D72764" w:rsidP="00D72764">
      <w:pPr>
        <w:pStyle w:val="a3"/>
        <w:rPr>
          <w:kern w:val="0"/>
        </w:rPr>
      </w:pPr>
      <w:r>
        <w:rPr>
          <w:kern w:val="0"/>
        </w:rPr>
        <w:t>Abstract: Objective: To estimate the effectiveness</w:t>
      </w:r>
      <w:r w:rsidR="00427468">
        <w:rPr>
          <w:kern w:val="0"/>
        </w:rPr>
        <w:t xml:space="preserve"> of </w:t>
      </w:r>
      <w:r>
        <w:rPr>
          <w:kern w:val="0"/>
        </w:rPr>
        <w:t>oral nutritional support compared to placebo or usual care in improving clinical outcome in older (65 years+) medical</w:t>
      </w:r>
      <w:r w:rsidR="005853A9">
        <w:rPr>
          <w:kern w:val="0"/>
        </w:rPr>
        <w:t xml:space="preserve"> and </w:t>
      </w:r>
      <w:r>
        <w:rPr>
          <w:kern w:val="0"/>
        </w:rPr>
        <w:t>surgical patients after discharge from hospital. Outcome goals were: re-admissions, survival, nutritional</w:t>
      </w:r>
      <w:r w:rsidR="005853A9">
        <w:rPr>
          <w:kern w:val="0"/>
        </w:rPr>
        <w:t xml:space="preserve"> and </w:t>
      </w:r>
      <w:r>
        <w:rPr>
          <w:kern w:val="0"/>
        </w:rPr>
        <w:t>functional status, quality</w:t>
      </w:r>
      <w:r w:rsidR="00427468">
        <w:rPr>
          <w:kern w:val="0"/>
        </w:rPr>
        <w:t xml:space="preserve"> of </w:t>
      </w:r>
      <w:r>
        <w:rPr>
          <w:kern w:val="0"/>
        </w:rPr>
        <w:t>life</w:t>
      </w:r>
      <w:r w:rsidR="005853A9">
        <w:rPr>
          <w:kern w:val="0"/>
        </w:rPr>
        <w:t xml:space="preserve"> and </w:t>
      </w:r>
      <w:r>
        <w:rPr>
          <w:kern w:val="0"/>
        </w:rPr>
        <w:t>morbidity. Data sources: Three recent Cochrane reviews</w:t>
      </w:r>
      <w:r w:rsidR="005853A9">
        <w:rPr>
          <w:kern w:val="0"/>
        </w:rPr>
        <w:t xml:space="preserve"> and </w:t>
      </w:r>
      <w:r>
        <w:rPr>
          <w:kern w:val="0"/>
        </w:rPr>
        <w:t>an update</w:t>
      </w:r>
      <w:r w:rsidR="00427468">
        <w:rPr>
          <w:kern w:val="0"/>
        </w:rPr>
        <w:t xml:space="preserve"> of </w:t>
      </w:r>
      <w:r>
        <w:rPr>
          <w:kern w:val="0"/>
        </w:rPr>
        <w:t xml:space="preserve">their literature search using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Search terms included randomized controlled trials; humans; age 65+ years; subset: dietary supplements. Review methods: One reviewer assessed trials for inclusion, extracted data</w:t>
      </w:r>
      <w:r w:rsidR="005853A9">
        <w:rPr>
          <w:kern w:val="0"/>
        </w:rPr>
        <w:t xml:space="preserve"> and </w:t>
      </w:r>
      <w:r>
        <w:rPr>
          <w:kern w:val="0"/>
        </w:rPr>
        <w:t>assessed trial quality. Results: Six trials were included (N = 716 randomly assigned participants). All trials used oral nutritional supplements. A positive effect on nutritional intake (energy) and/or nutritional status (weight) (in compliant participants) were observed in all trials. Two pooled analysis was based on a fixed-effects model. No significant effect were found on mortality (four randomized controlled trials with 532 participants, odds ratio 0.80 (95% confidence (CI) interval 0.46 to 1.39)) or re-admissions (four randomized controlled trials with 478 participants, odds ratio 1.07 (95% CI 0.71 to 1.61)). Conclusion: Although the evidence is limited, we suggest that oral nutritional support may be considered for older malnourished medical</w:t>
      </w:r>
      <w:r w:rsidR="005853A9">
        <w:rPr>
          <w:kern w:val="0"/>
        </w:rPr>
        <w:t xml:space="preserve"> and </w:t>
      </w:r>
      <w:r>
        <w:rPr>
          <w:kern w:val="0"/>
        </w:rPr>
        <w:t>surgical patients after discharge from hospital.</w:t>
      </w:r>
    </w:p>
    <w:p w:rsidR="00D72764" w:rsidRDefault="00D72764" w:rsidP="00D72764">
      <w:pPr>
        <w:pStyle w:val="a3"/>
        <w:rPr>
          <w:kern w:val="0"/>
        </w:rPr>
      </w:pPr>
      <w:r>
        <w:rPr>
          <w:kern w:val="0"/>
        </w:rPr>
        <w:t xml:space="preserve">Keywords: Age, Analysis, Care, Clinical, Confidence, Data, Dietary Supplements, Discharge, Double-Blind, Effectiveness, Elderly, Embase, Energy, Evidence, Fixed Effects Model, Functional Status, Hip Fracture, Hospital, Humans, Improve Outcomes, Interval, Intervention, Intervention, Life, Literature, Literature Search, Malnutrition, Medical, </w:t>
      </w:r>
      <w:r w:rsidR="00D5664A">
        <w:rPr>
          <w:kern w:val="0"/>
        </w:rPr>
        <w:t>MEDLINE</w:t>
      </w:r>
      <w:r>
        <w:rPr>
          <w:kern w:val="0"/>
        </w:rPr>
        <w:t>, Meta Analysis, Meta-Analysis, Metaanalysis, Methods, Model, Morbidity, Mortality, N, Nutrition, Nutritional Status, Odds Ratio, Oral, Outcome, Patients, People, Placebo, Placebo-Controlled Trial, Quality, Quality Of, Quality</w:t>
      </w:r>
      <w:r w:rsidR="00427468">
        <w:rPr>
          <w:kern w:val="0"/>
        </w:rPr>
        <w:t xml:space="preserve"> of </w:t>
      </w:r>
      <w:r>
        <w:rPr>
          <w:kern w:val="0"/>
        </w:rPr>
        <w:t xml:space="preserve">Life, Randomized, Randomized Controlled Trials, Readmissions, Recent, Rehabilitation, Results, Review, Reviews, Risk, Science, Search, Sources, Supplementation, Support, Survival, Systematic Review, Trial, </w:t>
      </w:r>
      <w:r w:rsidR="00D5664A">
        <w:rPr>
          <w:kern w:val="0"/>
        </w:rPr>
        <w:t>Web</w:t>
      </w:r>
      <w:r w:rsidR="00427468">
        <w:rPr>
          <w:kern w:val="0"/>
        </w:rPr>
        <w:t xml:space="preserve"> of </w:t>
      </w:r>
      <w:r w:rsidR="00D5664A">
        <w:rPr>
          <w:kern w:val="0"/>
        </w:rPr>
        <w:t>Science</w:t>
      </w:r>
    </w:p>
    <w:p w:rsidR="00BE2F5F" w:rsidRDefault="00BE2F5F" w:rsidP="00BE2F5F">
      <w:pPr>
        <w:pStyle w:val="a3"/>
        <w:rPr>
          <w:kern w:val="0"/>
        </w:rPr>
      </w:pPr>
      <w:r>
        <w:rPr>
          <w:rFonts w:hint="eastAsia"/>
          <w:kern w:val="0"/>
        </w:rPr>
        <w:t xml:space="preserve">? </w:t>
      </w:r>
      <w:r>
        <w:rPr>
          <w:kern w:val="0"/>
        </w:rPr>
        <w:t xml:space="preserve">Cullinane, F.L., Boocock, M.G. and Trevelyan, F.C. (2014), Is eccentric exercise an effective treatment for lateral epicondylitis? A systematic review. </w:t>
      </w:r>
      <w:r>
        <w:rPr>
          <w:i/>
          <w:iCs/>
          <w:kern w:val="0"/>
        </w:rPr>
        <w:t>Clinical Rehabilitation</w:t>
      </w:r>
      <w:r>
        <w:rPr>
          <w:kern w:val="0"/>
        </w:rPr>
        <w:t xml:space="preserve">, </w:t>
      </w:r>
      <w:r>
        <w:rPr>
          <w:b/>
          <w:bCs/>
          <w:kern w:val="0"/>
        </w:rPr>
        <w:t>28</w:t>
      </w:r>
      <w:r>
        <w:rPr>
          <w:kern w:val="0"/>
        </w:rPr>
        <w:t xml:space="preserve"> (1), 3-19.</w:t>
      </w:r>
    </w:p>
    <w:p w:rsidR="00BE2F5F" w:rsidRDefault="00BE2F5F" w:rsidP="00BE2F5F">
      <w:pPr>
        <w:pStyle w:val="a3"/>
        <w:rPr>
          <w:kern w:val="0"/>
          <w:szCs w:val="24"/>
        </w:rPr>
      </w:pPr>
      <w:r>
        <w:rPr>
          <w:rFonts w:hint="eastAsia"/>
          <w:kern w:val="0"/>
          <w:szCs w:val="24"/>
        </w:rPr>
        <w:lastRenderedPageBreak/>
        <w:t xml:space="preserve">Full Text: </w:t>
      </w:r>
      <w:hyperlink r:id="rId431" w:history="1">
        <w:r w:rsidRPr="00013D1B">
          <w:rPr>
            <w:rStyle w:val="a5"/>
            <w:kern w:val="0"/>
            <w:szCs w:val="24"/>
          </w:rPr>
          <w:t>2014\Cli Reh28, 3.pdf</w:t>
        </w:r>
      </w:hyperlink>
    </w:p>
    <w:p w:rsidR="00BE2F5F" w:rsidRDefault="00BE2F5F" w:rsidP="00BE2F5F">
      <w:pPr>
        <w:pStyle w:val="a3"/>
        <w:rPr>
          <w:kern w:val="0"/>
        </w:rPr>
      </w:pPr>
      <w:r>
        <w:rPr>
          <w:kern w:val="0"/>
        </w:rPr>
        <w:t>Abstract: Objective: To establish the effectiveness</w:t>
      </w:r>
      <w:r w:rsidR="00427468">
        <w:rPr>
          <w:kern w:val="0"/>
        </w:rPr>
        <w:t xml:space="preserve"> of </w:t>
      </w:r>
      <w:r>
        <w:rPr>
          <w:kern w:val="0"/>
        </w:rPr>
        <w:t>eccentric exercise as a treatment intervention for lateral epicondylitis. Data sources: ProQuest, Medline via EBSCO, AMED, Scopus, Web</w:t>
      </w:r>
      <w:r w:rsidR="00427468">
        <w:rPr>
          <w:kern w:val="0"/>
        </w:rPr>
        <w:t xml:space="preserve"> of </w:t>
      </w:r>
      <w:r>
        <w:rPr>
          <w:kern w:val="0"/>
        </w:rPr>
        <w:t>Science, CINAHL. Review methods: A systematic review was undertaken to identify randomized and controlled clinical trials incorporating eccentric exercise as a treatment for patients diagnosed with lateral epicondylitis. Studies were included if: they incorporated eccentric exercise, either in isolation or as part</w:t>
      </w:r>
      <w:r w:rsidR="00427468">
        <w:rPr>
          <w:kern w:val="0"/>
        </w:rPr>
        <w:t xml:space="preserve"> of </w:t>
      </w:r>
      <w:r>
        <w:rPr>
          <w:kern w:val="0"/>
        </w:rPr>
        <w:t>a multimodal treatment protocol; they assessed at least one functional or disability outcome measure; and the patients had undergone diagnostic testing</w:t>
      </w:r>
      <w:r w:rsidR="00A37C1D">
        <w:rPr>
          <w:kern w:val="0"/>
        </w:rPr>
        <w:t>. The</w:t>
      </w:r>
      <w:r>
        <w:rPr>
          <w:kern w:val="0"/>
        </w:rPr>
        <w:t xml:space="preserve"> methodological quality</w:t>
      </w:r>
      <w:r w:rsidR="00427468">
        <w:rPr>
          <w:kern w:val="0"/>
        </w:rPr>
        <w:t xml:space="preserve"> of </w:t>
      </w:r>
      <w:r>
        <w:rPr>
          <w:kern w:val="0"/>
        </w:rPr>
        <w:t>each study was assessed using the Modified Cochrane Musculoskeletal Injuries Group score sheet. Results: Twelve studies met the inclusion criteria. Three were deemed high</w:t>
      </w:r>
      <w:r w:rsidR="0071223E">
        <w:rPr>
          <w:kern w:val="0"/>
        </w:rPr>
        <w:t>’</w:t>
      </w:r>
      <w:r>
        <w:rPr>
          <w:kern w:val="0"/>
        </w:rPr>
        <w:t xml:space="preserve"> quality, seven were medium</w:t>
      </w:r>
      <w:r w:rsidR="0071223E">
        <w:rPr>
          <w:kern w:val="0"/>
        </w:rPr>
        <w:t>’</w:t>
      </w:r>
      <w:r>
        <w:rPr>
          <w:kern w:val="0"/>
        </w:rPr>
        <w:t xml:space="preserve"> quality, and two were low</w:t>
      </w:r>
      <w:r w:rsidR="0071223E">
        <w:rPr>
          <w:kern w:val="0"/>
        </w:rPr>
        <w:t>’</w:t>
      </w:r>
      <w:r>
        <w:rPr>
          <w:kern w:val="0"/>
        </w:rPr>
        <w:t xml:space="preserve"> quality. Eight</w:t>
      </w:r>
      <w:r w:rsidR="00427468">
        <w:rPr>
          <w:kern w:val="0"/>
        </w:rPr>
        <w:t xml:space="preserve"> of </w:t>
      </w:r>
      <w:r>
        <w:rPr>
          <w:kern w:val="0"/>
        </w:rPr>
        <w:t>the studies were randomized trials investigating a total</w:t>
      </w:r>
      <w:r w:rsidR="00427468">
        <w:rPr>
          <w:kern w:val="0"/>
        </w:rPr>
        <w:t xml:space="preserve"> of </w:t>
      </w:r>
      <w:r>
        <w:rPr>
          <w:kern w:val="0"/>
        </w:rPr>
        <w:t>334 subjects. Following treatment, all groups inclusive</w:t>
      </w:r>
      <w:r w:rsidR="00427468">
        <w:rPr>
          <w:kern w:val="0"/>
        </w:rPr>
        <w:t xml:space="preserve"> of </w:t>
      </w:r>
      <w:r>
        <w:rPr>
          <w:kern w:val="0"/>
        </w:rPr>
        <w:t>eccentric exercise reported decreased pain and improved function and grip strength from baseline. Seven studies reported improvements in pain, function, and/or grip strength for therapy treatments inclusive</w:t>
      </w:r>
      <w:r w:rsidR="00427468">
        <w:rPr>
          <w:kern w:val="0"/>
        </w:rPr>
        <w:t xml:space="preserve"> of </w:t>
      </w:r>
      <w:r>
        <w:rPr>
          <w:kern w:val="0"/>
        </w:rPr>
        <w:t>eccentric exercise when compared with those excluding eccentric exercise. Only one low-quality study investigated the isolated effects</w:t>
      </w:r>
      <w:r w:rsidR="00427468">
        <w:rPr>
          <w:kern w:val="0"/>
        </w:rPr>
        <w:t xml:space="preserve"> of </w:t>
      </w:r>
      <w:r>
        <w:rPr>
          <w:kern w:val="0"/>
        </w:rPr>
        <w:t>eccentric exercise for treating lateral epicondylitis and found no significant improvements in pain when compared with other treatments. Conclusion: The majority</w:t>
      </w:r>
      <w:r w:rsidR="00427468">
        <w:rPr>
          <w:kern w:val="0"/>
        </w:rPr>
        <w:t xml:space="preserve"> of </w:t>
      </w:r>
      <w:r>
        <w:rPr>
          <w:kern w:val="0"/>
        </w:rPr>
        <w:t>consistent findings support the inclusion</w:t>
      </w:r>
      <w:r w:rsidR="00427468">
        <w:rPr>
          <w:kern w:val="0"/>
        </w:rPr>
        <w:t xml:space="preserve"> of </w:t>
      </w:r>
      <w:r>
        <w:rPr>
          <w:kern w:val="0"/>
        </w:rPr>
        <w:t>eccentric exercise as part</w:t>
      </w:r>
      <w:r w:rsidR="00427468">
        <w:rPr>
          <w:kern w:val="0"/>
        </w:rPr>
        <w:t xml:space="preserve"> of </w:t>
      </w:r>
      <w:r>
        <w:rPr>
          <w:kern w:val="0"/>
        </w:rPr>
        <w:t>a multimodal therapy programme for improved outcomes in patients with lateral epicondylitis.</w:t>
      </w:r>
    </w:p>
    <w:p w:rsidR="00BE2F5F" w:rsidRDefault="00BE2F5F" w:rsidP="00BE2F5F">
      <w:pPr>
        <w:pStyle w:val="a3"/>
        <w:rPr>
          <w:kern w:val="0"/>
        </w:rPr>
      </w:pPr>
      <w:r>
        <w:rPr>
          <w:kern w:val="0"/>
        </w:rPr>
        <w:t>Keywords: Clinical, Clinical Trials, Criteria, Data, Diagnostic Testing, Disability, Eccentric Exercise, Effectiveness, Effects, Elbow Tendinopathy, Exercise, Exercise Programme, Function, Groups, Intervention, Lateral Epicondylitis, Management, Measure, Medline, Methods, Modified, Outcome, Outcome Measure, Outcomes, Pain, Patients, Program, Protocol, Quality, Quality Of, Randomized, Rehabilitation, Results, Review, Science, Scopus, Sources, Strength, Support, Systematic Review, Tennis Elbow, Testing, Therapy, Treatment, Trial, Web</w:t>
      </w:r>
      <w:r w:rsidR="00427468">
        <w:rPr>
          <w:kern w:val="0"/>
        </w:rPr>
        <w:t xml:space="preserve"> of </w:t>
      </w:r>
      <w:r>
        <w:rPr>
          <w:kern w:val="0"/>
        </w:rPr>
        <w:t>Science, Work</w:t>
      </w:r>
    </w:p>
    <w:p w:rsidR="00533624" w:rsidRDefault="00533624" w:rsidP="00533624">
      <w:pPr>
        <w:pStyle w:val="a3"/>
        <w:rPr>
          <w:kern w:val="0"/>
        </w:rPr>
      </w:pPr>
      <w:r>
        <w:rPr>
          <w:rFonts w:hint="eastAsia"/>
          <w:kern w:val="0"/>
        </w:rPr>
        <w:t xml:space="preserve">? </w:t>
      </w:r>
      <w:r>
        <w:rPr>
          <w:kern w:val="0"/>
        </w:rPr>
        <w:t>Hayward, K.S., Barker, R.N., Carson, R.G.</w:t>
      </w:r>
      <w:r w:rsidR="005853A9">
        <w:rPr>
          <w:kern w:val="0"/>
        </w:rPr>
        <w:t xml:space="preserve"> and </w:t>
      </w:r>
      <w:r>
        <w:rPr>
          <w:kern w:val="0"/>
        </w:rPr>
        <w:t>Brauer, S.G. (2014), The effect</w:t>
      </w:r>
      <w:r w:rsidR="00427468">
        <w:rPr>
          <w:kern w:val="0"/>
        </w:rPr>
        <w:t xml:space="preserve"> of </w:t>
      </w:r>
      <w:r>
        <w:rPr>
          <w:kern w:val="0"/>
        </w:rPr>
        <w:t>altering a single component</w:t>
      </w:r>
      <w:r w:rsidR="00427468">
        <w:rPr>
          <w:kern w:val="0"/>
        </w:rPr>
        <w:t xml:space="preserve"> of </w:t>
      </w:r>
      <w:r>
        <w:rPr>
          <w:kern w:val="0"/>
        </w:rPr>
        <w:t>a rehabilitation programme on the functional recovery</w:t>
      </w:r>
      <w:r w:rsidR="00427468">
        <w:rPr>
          <w:kern w:val="0"/>
        </w:rPr>
        <w:t xml:space="preserve"> of </w:t>
      </w:r>
      <w:r>
        <w:rPr>
          <w:kern w:val="0"/>
        </w:rPr>
        <w:t>stroke patients: A systematic review</w:t>
      </w:r>
      <w:r w:rsidR="005853A9">
        <w:rPr>
          <w:kern w:val="0"/>
        </w:rPr>
        <w:t xml:space="preserve"> and </w:t>
      </w:r>
      <w:r>
        <w:rPr>
          <w:kern w:val="0"/>
        </w:rPr>
        <w:t xml:space="preserve">meta-analysis. </w:t>
      </w:r>
      <w:r>
        <w:rPr>
          <w:i/>
          <w:iCs/>
          <w:kern w:val="0"/>
        </w:rPr>
        <w:t>Clinical Rehabilitation</w:t>
      </w:r>
      <w:r>
        <w:rPr>
          <w:kern w:val="0"/>
        </w:rPr>
        <w:t xml:space="preserve">, </w:t>
      </w:r>
      <w:r>
        <w:rPr>
          <w:b/>
          <w:bCs/>
          <w:kern w:val="0"/>
        </w:rPr>
        <w:t>28</w:t>
      </w:r>
      <w:r>
        <w:rPr>
          <w:kern w:val="0"/>
        </w:rPr>
        <w:t xml:space="preserve"> (2), 107-117.</w:t>
      </w:r>
    </w:p>
    <w:p w:rsidR="00BE2F5F" w:rsidRDefault="00BE2F5F" w:rsidP="00BE2F5F">
      <w:pPr>
        <w:pStyle w:val="a3"/>
        <w:rPr>
          <w:kern w:val="0"/>
          <w:szCs w:val="24"/>
        </w:rPr>
      </w:pPr>
      <w:r>
        <w:rPr>
          <w:rFonts w:hint="eastAsia"/>
          <w:kern w:val="0"/>
          <w:szCs w:val="24"/>
        </w:rPr>
        <w:t xml:space="preserve">Full Text: </w:t>
      </w:r>
      <w:hyperlink r:id="rId432" w:history="1">
        <w:r w:rsidRPr="00013D1B">
          <w:rPr>
            <w:rStyle w:val="a5"/>
            <w:kern w:val="0"/>
            <w:szCs w:val="24"/>
          </w:rPr>
          <w:t>2014\Cli Reh28, 107.pdf</w:t>
        </w:r>
      </w:hyperlink>
    </w:p>
    <w:p w:rsidR="00533624" w:rsidRDefault="00533624" w:rsidP="00533624">
      <w:pPr>
        <w:pStyle w:val="a3"/>
        <w:rPr>
          <w:kern w:val="0"/>
        </w:rPr>
      </w:pPr>
      <w:r>
        <w:rPr>
          <w:kern w:val="0"/>
        </w:rPr>
        <w:t>Abstract: Objective: To evaluate the effect</w:t>
      </w:r>
      <w:r w:rsidR="00427468">
        <w:rPr>
          <w:kern w:val="0"/>
        </w:rPr>
        <w:t xml:space="preserve"> of </w:t>
      </w:r>
      <w:r>
        <w:rPr>
          <w:kern w:val="0"/>
        </w:rPr>
        <w:t>altering a single component</w:t>
      </w:r>
      <w:r w:rsidR="00427468">
        <w:rPr>
          <w:kern w:val="0"/>
        </w:rPr>
        <w:t xml:space="preserve"> of </w:t>
      </w:r>
      <w:r>
        <w:rPr>
          <w:kern w:val="0"/>
        </w:rPr>
        <w:t>a rehabilitation programme (e.g. adding bilateral practice alone) on functional recovery after stroke, defined using a measure</w:t>
      </w:r>
      <w:r w:rsidR="00427468">
        <w:rPr>
          <w:kern w:val="0"/>
        </w:rPr>
        <w:t xml:space="preserve"> of </w:t>
      </w:r>
      <w:r>
        <w:rPr>
          <w:kern w:val="0"/>
        </w:rPr>
        <w:t>activity. Data sources: A search was conducted</w:t>
      </w:r>
      <w:r w:rsidR="00427468">
        <w:rPr>
          <w:kern w:val="0"/>
        </w:rPr>
        <w:t xml:space="preserve"> of </w:t>
      </w:r>
      <w:r>
        <w:rPr>
          <w:kern w:val="0"/>
        </w:rPr>
        <w:t>Medline/Pubmed, CINAHL</w:t>
      </w:r>
      <w:r w:rsidR="005853A9">
        <w:rPr>
          <w:kern w:val="0"/>
        </w:rPr>
        <w:t xml:space="preserve"> and </w:t>
      </w:r>
      <w:r>
        <w:rPr>
          <w:kern w:val="0"/>
        </w:rPr>
        <w:t>Web</w:t>
      </w:r>
      <w:r w:rsidR="00427468">
        <w:rPr>
          <w:kern w:val="0"/>
        </w:rPr>
        <w:t xml:space="preserve"> of </w:t>
      </w:r>
      <w:r>
        <w:rPr>
          <w:kern w:val="0"/>
        </w:rPr>
        <w:t xml:space="preserve">Science. Review methods: </w:t>
      </w:r>
      <w:r>
        <w:rPr>
          <w:kern w:val="0"/>
        </w:rPr>
        <w:lastRenderedPageBreak/>
        <w:t>Two reviewers independently assessed eligibility. Randomized controlled trials were included if all participants received the same base intervention,</w:t>
      </w:r>
      <w:r w:rsidR="005853A9">
        <w:rPr>
          <w:kern w:val="0"/>
        </w:rPr>
        <w:t xml:space="preserve"> and </w:t>
      </w:r>
      <w:r>
        <w:rPr>
          <w:kern w:val="0"/>
        </w:rPr>
        <w:t>the experimental group experienced alteration</w:t>
      </w:r>
      <w:r w:rsidR="00427468">
        <w:rPr>
          <w:kern w:val="0"/>
        </w:rPr>
        <w:t xml:space="preserve"> of </w:t>
      </w:r>
      <w:r>
        <w:rPr>
          <w:kern w:val="0"/>
        </w:rPr>
        <w:t>a single component</w:t>
      </w:r>
      <w:r w:rsidR="00427468">
        <w:rPr>
          <w:kern w:val="0"/>
        </w:rPr>
        <w:t xml:space="preserve"> of </w:t>
      </w:r>
      <w:r>
        <w:rPr>
          <w:kern w:val="0"/>
        </w:rPr>
        <w:t>the training programme. This could be manipulation</w:t>
      </w:r>
      <w:r w:rsidR="00427468">
        <w:rPr>
          <w:kern w:val="0"/>
        </w:rPr>
        <w:t xml:space="preserve"> of </w:t>
      </w:r>
      <w:r>
        <w:rPr>
          <w:kern w:val="0"/>
        </w:rPr>
        <w:t>an intrinsic component</w:t>
      </w:r>
      <w:r w:rsidR="00427468">
        <w:rPr>
          <w:kern w:val="0"/>
        </w:rPr>
        <w:t xml:space="preserve"> of </w:t>
      </w:r>
      <w:r>
        <w:rPr>
          <w:kern w:val="0"/>
        </w:rPr>
        <w:t>training (e.g. intensity) or the addition</w:t>
      </w:r>
      <w:r w:rsidR="00427468">
        <w:rPr>
          <w:kern w:val="0"/>
        </w:rPr>
        <w:t xml:space="preserve"> of </w:t>
      </w:r>
      <w:r>
        <w:rPr>
          <w:kern w:val="0"/>
        </w:rPr>
        <w:t>a discretionary component (e.g. augmented feedback). One reviewer extracted the data</w:t>
      </w:r>
      <w:r w:rsidR="005853A9">
        <w:rPr>
          <w:kern w:val="0"/>
        </w:rPr>
        <w:t xml:space="preserve"> and </w:t>
      </w:r>
      <w:r>
        <w:rPr>
          <w:kern w:val="0"/>
        </w:rPr>
        <w:t>another independently checked a subsample (20%). Quality was appraised according to the PEDro scale. Results: Thirty-six studies (n = 1724 participants) were included</w:t>
      </w:r>
      <w:r w:rsidR="00A37C1D">
        <w:rPr>
          <w:kern w:val="0"/>
        </w:rPr>
        <w:t>. The</w:t>
      </w:r>
      <w:r>
        <w:rPr>
          <w:kern w:val="0"/>
        </w:rPr>
        <w:t>se evaluated nine training components: mechanical degrees</w:t>
      </w:r>
      <w:r w:rsidR="00427468">
        <w:rPr>
          <w:kern w:val="0"/>
        </w:rPr>
        <w:t xml:space="preserve"> of </w:t>
      </w:r>
      <w:r>
        <w:rPr>
          <w:kern w:val="0"/>
        </w:rPr>
        <w:t>freedom, intensity</w:t>
      </w:r>
      <w:r w:rsidR="00427468">
        <w:rPr>
          <w:kern w:val="0"/>
        </w:rPr>
        <w:t xml:space="preserve"> of </w:t>
      </w:r>
      <w:r>
        <w:rPr>
          <w:kern w:val="0"/>
        </w:rPr>
        <w:t>practice, load, practice schedule, augmented feedback, bilateral movements, constraint</w:t>
      </w:r>
      <w:r w:rsidR="00427468">
        <w:rPr>
          <w:kern w:val="0"/>
        </w:rPr>
        <w:t xml:space="preserve"> of </w:t>
      </w:r>
      <w:r>
        <w:rPr>
          <w:kern w:val="0"/>
        </w:rPr>
        <w:t>the unimpaired limb, mental practice</w:t>
      </w:r>
      <w:r w:rsidR="005853A9">
        <w:rPr>
          <w:kern w:val="0"/>
        </w:rPr>
        <w:t xml:space="preserve"> and </w:t>
      </w:r>
      <w:r>
        <w:rPr>
          <w:kern w:val="0"/>
        </w:rPr>
        <w:t>mirrored-visual feedback. Manipulation</w:t>
      </w:r>
      <w:r w:rsidR="00427468">
        <w:rPr>
          <w:kern w:val="0"/>
        </w:rPr>
        <w:t xml:space="preserve"> of </w:t>
      </w:r>
      <w:r>
        <w:rPr>
          <w:kern w:val="0"/>
        </w:rPr>
        <w:t>the mechanical degrees</w:t>
      </w:r>
      <w:r w:rsidR="00427468">
        <w:rPr>
          <w:kern w:val="0"/>
        </w:rPr>
        <w:t xml:space="preserve"> of </w:t>
      </w:r>
      <w:r>
        <w:rPr>
          <w:kern w:val="0"/>
        </w:rPr>
        <w:t>freedom</w:t>
      </w:r>
      <w:r w:rsidR="00427468">
        <w:rPr>
          <w:kern w:val="0"/>
        </w:rPr>
        <w:t xml:space="preserve"> of </w:t>
      </w:r>
      <w:r>
        <w:rPr>
          <w:kern w:val="0"/>
        </w:rPr>
        <w:t>the trunk during reaching</w:t>
      </w:r>
      <w:r w:rsidR="005853A9">
        <w:rPr>
          <w:kern w:val="0"/>
        </w:rPr>
        <w:t xml:space="preserve"> and </w:t>
      </w:r>
      <w:r>
        <w:rPr>
          <w:kern w:val="0"/>
        </w:rPr>
        <w:t>the addition</w:t>
      </w:r>
      <w:r w:rsidR="00427468">
        <w:rPr>
          <w:kern w:val="0"/>
        </w:rPr>
        <w:t xml:space="preserve"> of </w:t>
      </w:r>
      <w:r>
        <w:rPr>
          <w:kern w:val="0"/>
        </w:rPr>
        <w:t>mental practice during upper limb training were the only single components found to independently enhance recovery</w:t>
      </w:r>
      <w:r w:rsidR="00427468">
        <w:rPr>
          <w:kern w:val="0"/>
        </w:rPr>
        <w:t xml:space="preserve"> of </w:t>
      </w:r>
      <w:r>
        <w:rPr>
          <w:kern w:val="0"/>
        </w:rPr>
        <w:t>function after stroke. Conclusion: This review provides limited evidence to support the supposition that altering a single component</w:t>
      </w:r>
      <w:r w:rsidR="00427468">
        <w:rPr>
          <w:kern w:val="0"/>
        </w:rPr>
        <w:t xml:space="preserve"> of </w:t>
      </w:r>
      <w:r>
        <w:rPr>
          <w:kern w:val="0"/>
        </w:rPr>
        <w:t>a rehabilitation programme realises greater functional recovery for stroke survivors. Further investigations are required to determine the most effective single components</w:t>
      </w:r>
      <w:r w:rsidR="00427468">
        <w:rPr>
          <w:kern w:val="0"/>
        </w:rPr>
        <w:t xml:space="preserve"> of </w:t>
      </w:r>
      <w:r>
        <w:rPr>
          <w:kern w:val="0"/>
        </w:rPr>
        <w:t>rehabilitation programmes,</w:t>
      </w:r>
      <w:r w:rsidR="005853A9">
        <w:rPr>
          <w:kern w:val="0"/>
        </w:rPr>
        <w:t xml:space="preserve"> and </w:t>
      </w:r>
      <w:r>
        <w:rPr>
          <w:kern w:val="0"/>
        </w:rPr>
        <w:t>the combinations that may enhance functional recovery.</w:t>
      </w:r>
    </w:p>
    <w:p w:rsidR="00533624" w:rsidRDefault="00533624" w:rsidP="00533624">
      <w:pPr>
        <w:pStyle w:val="a3"/>
        <w:rPr>
          <w:kern w:val="0"/>
        </w:rPr>
      </w:pPr>
      <w:r>
        <w:rPr>
          <w:kern w:val="0"/>
        </w:rPr>
        <w:t>Keywords: Activity, Constraint-Induced Movement, Data, Electromyographic Biofeedback, Evidence, Experimental, Freedom, Function, Intensity, Intervention, Intrinsic, Investigations, Load, Manipulation, Measure, Mental Practice, Meta Analysis, Meta-Analysis, Metaanalysis, Methods, Mirror Therapy, Motor Recovery, Neuromuscular Stimulation, Patients, Placebo-Controlled Trial, Practice, Programmes, Quality, Randomized Controlled Trials, Randomized Controlled-Trial, Recovery, Recovery</w:t>
      </w:r>
      <w:r w:rsidR="00427468">
        <w:rPr>
          <w:kern w:val="0"/>
        </w:rPr>
        <w:t xml:space="preserve"> of </w:t>
      </w:r>
      <w:r>
        <w:rPr>
          <w:kern w:val="0"/>
        </w:rPr>
        <w:t>Function, Rehabilitation, Rehabilitation Programme, Results, Review, Scale, Science, Sources, Stroke, Subacute Stroke, Support, Systematic Review, Training, Trunk, Upper-Extremity Function, Web</w:t>
      </w:r>
      <w:r w:rsidR="00427468">
        <w:rPr>
          <w:kern w:val="0"/>
        </w:rPr>
        <w:t xml:space="preserve"> of </w:t>
      </w:r>
      <w:r>
        <w:rPr>
          <w:kern w:val="0"/>
        </w:rPr>
        <w:t>Science</w:t>
      </w:r>
    </w:p>
    <w:p w:rsidR="0013351F" w:rsidRDefault="0013351F" w:rsidP="0013351F">
      <w:pPr>
        <w:pStyle w:val="a3"/>
        <w:rPr>
          <w:kern w:val="0"/>
        </w:rPr>
      </w:pPr>
      <w:r>
        <w:rPr>
          <w:rFonts w:hint="eastAsia"/>
          <w:kern w:val="0"/>
        </w:rPr>
        <w:t xml:space="preserve">? </w:t>
      </w:r>
      <w:r>
        <w:rPr>
          <w:kern w:val="0"/>
        </w:rPr>
        <w:t xml:space="preserve">Chen, Y.P., Pope, S., Tyler, D. and Warren, G.L. (2014), Effectiveness of constraint-induced movement therapy on upper-extremity function in children with cerebral palsy: A systematic review and meta-analysis of randomized controlled trials. </w:t>
      </w:r>
      <w:r>
        <w:rPr>
          <w:i/>
          <w:iCs/>
          <w:kern w:val="0"/>
        </w:rPr>
        <w:t>Clinical Rehabilitation</w:t>
      </w:r>
      <w:r>
        <w:rPr>
          <w:kern w:val="0"/>
        </w:rPr>
        <w:t xml:space="preserve">, </w:t>
      </w:r>
      <w:r>
        <w:rPr>
          <w:b/>
          <w:bCs/>
          <w:kern w:val="0"/>
        </w:rPr>
        <w:t>28</w:t>
      </w:r>
      <w:r>
        <w:rPr>
          <w:kern w:val="0"/>
        </w:rPr>
        <w:t xml:space="preserve"> (10), 939-953.</w:t>
      </w:r>
    </w:p>
    <w:p w:rsidR="0013351F" w:rsidRDefault="0013351F" w:rsidP="0013351F">
      <w:pPr>
        <w:pStyle w:val="a3"/>
        <w:rPr>
          <w:kern w:val="0"/>
          <w:szCs w:val="24"/>
        </w:rPr>
      </w:pPr>
      <w:r>
        <w:rPr>
          <w:rFonts w:hint="eastAsia"/>
          <w:kern w:val="0"/>
          <w:szCs w:val="24"/>
        </w:rPr>
        <w:t xml:space="preserve">Full Text: </w:t>
      </w:r>
      <w:hyperlink r:id="rId433" w:history="1">
        <w:r w:rsidRPr="003313A6">
          <w:rPr>
            <w:rStyle w:val="a5"/>
            <w:kern w:val="0"/>
            <w:szCs w:val="24"/>
          </w:rPr>
          <w:t>2014\Cli Reh28, 939.pdf</w:t>
        </w:r>
      </w:hyperlink>
    </w:p>
    <w:p w:rsidR="0013351F" w:rsidRDefault="0013351F" w:rsidP="0013351F">
      <w:pPr>
        <w:pStyle w:val="a3"/>
        <w:rPr>
          <w:kern w:val="0"/>
        </w:rPr>
      </w:pPr>
      <w:r>
        <w:rPr>
          <w:kern w:val="0"/>
        </w:rPr>
        <w:t xml:space="preserve">Abstract: Objective: To systematically examine the research literature on the effectiveness of constraint-induced movement therapy on improving arm function in children with cerebral palsy, and to assess the association between the study effect size and the characteristics of the patients and intervention protocol. Data sources: A systematic literature search was conducted in PubMed, PsycINFO, Cochrane, CINAHL, Web of Science, and TRIP Database up to May 2014. Review methods: </w:t>
      </w:r>
      <w:r>
        <w:rPr>
          <w:kern w:val="0"/>
        </w:rPr>
        <w:lastRenderedPageBreak/>
        <w:t>Studies employing randomized controlled trial design, children with cerebral palsy, comparing constraint-induced movement therapy with another intervention with a focus on arm function, and upper-extremity measures were included in this review. Methodological quality was evaluated using the Physiotherapy Evidence-based Database (PEDro) scale. Results: The literature search resulted in 27 randomized controlled trial studies with good methodological quality that compared constraint-induced movement therapy with other intervention therapy. Overall, constraint-induced movement therapy provided a medium beneficial effect (d = 0.546; p &lt; 0.001) when compared with conventional therapy. For the subgroup analyses, presence of a dose-equivalent comparison group, intervention location, and time of follow-up were significant factors. Studies examining constraint-induced movement therapy effect without a dose-equivalent comparison group showed a large effect in children with cerebral palsy, but studies with a dose-equivalent group only showed a small effect. Children who received home-based constraint-induced movement therapy had a better improvement in arm function than those who received constraint-induced movement therapy elsewhere. Conclusion: The research literature supports constraint-induced movement therapy as an effective intervention to improve arm function in children with cerebral palsy.</w:t>
      </w:r>
    </w:p>
    <w:p w:rsidR="0013351F" w:rsidRDefault="0013351F" w:rsidP="0013351F">
      <w:pPr>
        <w:pStyle w:val="a3"/>
        <w:rPr>
          <w:kern w:val="0"/>
        </w:rPr>
      </w:pPr>
      <w:r>
        <w:rPr>
          <w:kern w:val="0"/>
        </w:rPr>
        <w:t>Keywords: 6-Month Follow-Up, Analyses, Association, Bimanual Therapy, Cerebral, Cerebral Palsy, Characteristics, Childhood Hemiparesis, Children, Comparison, Congenital Hemiplegia, Constraint-Induced Movement Therapy, Controlled Trial, Conventional, Data, Database, Design, Effect Size, Effectiveness, Efficacy, Follow-Up, Function, Hand Function, Improvement, Intervention, Literature, Literature Search, Location, Measures, Meta Analysis, Meta-Analysis, Metaanalysis, Methodological Quality, Methods, Movement, Outcomes, Patients, Physiotherapy, Protocol, Psycinfo, Pubmed, Quality, Quality-Of-Life, Randomized, Randomized Controlled Trial, Randomized Controlled Trials, Research, Results, Review, Scale, Science, Size, Small, Sources, Systematic, Systematic Literature Search, Systematic Review, Therapy, Trial, Upper Extremity, Upper Extremity (ARM), Upper-Limb Rehabilitation, Web Of Science, Young-Children</w:t>
      </w:r>
    </w:p>
    <w:p w:rsidR="00EB0F33" w:rsidRDefault="00EB0F33" w:rsidP="00EB0F33">
      <w:pPr>
        <w:pStyle w:val="a3"/>
        <w:rPr>
          <w:kern w:val="0"/>
        </w:rPr>
      </w:pPr>
      <w:r>
        <w:rPr>
          <w:rFonts w:hint="eastAsia"/>
          <w:kern w:val="0"/>
        </w:rPr>
        <w:t xml:space="preserve">? </w:t>
      </w:r>
      <w:r>
        <w:rPr>
          <w:kern w:val="0"/>
        </w:rPr>
        <w:t xml:space="preserve">Winser, S.J., Smith, C.M., Hale, L.A., Claydon, L.S., Whitney, S.L. and Mehta, P. (2015), Systematic review of the psychometric properties of balance measures for cerebellar ataxia. </w:t>
      </w:r>
      <w:r>
        <w:rPr>
          <w:i/>
          <w:iCs/>
          <w:kern w:val="0"/>
        </w:rPr>
        <w:t>Clinical Rehabilitation</w:t>
      </w:r>
      <w:r>
        <w:rPr>
          <w:kern w:val="0"/>
        </w:rPr>
        <w:t xml:space="preserve">, </w:t>
      </w:r>
      <w:r>
        <w:rPr>
          <w:b/>
          <w:bCs/>
          <w:kern w:val="0"/>
        </w:rPr>
        <w:t>29</w:t>
      </w:r>
      <w:r>
        <w:rPr>
          <w:kern w:val="0"/>
        </w:rPr>
        <w:t xml:space="preserve"> (1), 69-79.</w:t>
      </w:r>
    </w:p>
    <w:p w:rsidR="00EB0F33" w:rsidRDefault="00EB0F33" w:rsidP="00EB0F33">
      <w:pPr>
        <w:pStyle w:val="a3"/>
        <w:rPr>
          <w:kern w:val="0"/>
          <w:szCs w:val="24"/>
        </w:rPr>
      </w:pPr>
      <w:r>
        <w:rPr>
          <w:rFonts w:hint="eastAsia"/>
          <w:kern w:val="0"/>
          <w:szCs w:val="24"/>
        </w:rPr>
        <w:t xml:space="preserve">Full Text: </w:t>
      </w:r>
      <w:hyperlink r:id="rId434" w:history="1">
        <w:r w:rsidRPr="007D126B">
          <w:rPr>
            <w:rStyle w:val="a5"/>
            <w:kern w:val="0"/>
            <w:szCs w:val="24"/>
          </w:rPr>
          <w:t>2015\Cli Reh29, 69.pdf</w:t>
        </w:r>
      </w:hyperlink>
    </w:p>
    <w:p w:rsidR="00EB0F33" w:rsidRDefault="00EB0F33" w:rsidP="00EB0F33">
      <w:pPr>
        <w:pStyle w:val="a3"/>
        <w:rPr>
          <w:kern w:val="0"/>
        </w:rPr>
      </w:pPr>
      <w:r>
        <w:rPr>
          <w:kern w:val="0"/>
        </w:rPr>
        <w:t xml:space="preserve">Abstract: Objective: To review systematically the psychometric properties of balance measures for use in people with cerebellar ataxia. Data sources: Medline, AMED, CINAHL, Web of Science and EMBASE were searched between 1946 and April 2014. Review methods: Two reviewers independently searched data sources. Cerebellar-specific and generic measures of balance were considered. Included </w:t>
      </w:r>
      <w:r>
        <w:rPr>
          <w:kern w:val="0"/>
        </w:rPr>
        <w:lastRenderedPageBreak/>
        <w:t>studies tested psychometric properties of balance measures in people with cerebellar ataxia of any cause. Quality of reported studies was rated using the Consensus Based Standards for the selection of health status Measurement INstruments (COSMIN) checklist. Results: Twenty-one articles across which 16 measures had been tested were included for review. Using the COSMIN, quality of methodology in studies investigating psychometric properties of generic balance measures (n=10) was rated predominantly as poor’. Furthermore, responsiveness has not been tested for any generic measures in this population. The quality of studies investigating psychometric properties of balance sub-components of the cerebellar-specific measures (n=6) ranged from poor’ to excellent’; however, Minimally Clinically Important Difference has not been determined for these cerebellar-specific measures. Conclusion: The Posture and Gait (PG) sub-component of the International Cooperative Ataxia Rating Scale (ICARS) demonstrates the most robust psychometric properties with acceptable clinical utility.</w:t>
      </w:r>
    </w:p>
    <w:p w:rsidR="00EB0F33" w:rsidRDefault="00EB0F33" w:rsidP="00EB0F33">
      <w:pPr>
        <w:pStyle w:val="a3"/>
        <w:rPr>
          <w:kern w:val="0"/>
        </w:rPr>
      </w:pPr>
      <w:r>
        <w:rPr>
          <w:kern w:val="0"/>
        </w:rPr>
        <w:t>Keywords: Articles, Ataxia, Balance, Clinical, Consensus, Data, Disease, Dynamic Gait Index, Embase, Friedreich Ataxia, From, Gait, Health, Health Status, International, Interrater Reliability, Measurement, Measures, Medline, Methodology, Methods, Multiple-Sclerosis, Older-People, Outcome Assessment (Health Care), Performance-Measures, Population, Posture, Properties, Quality, Quality Of, Rating-Scale ICARS, Reliability, Responsiveness, Results, Review, Reviewers, Scale, Science, Selection, Sources, Spinocerebellar-Ataxia, Standards, Systematic, Systematic Review, Utility, Validity, Validity, Web, Web Of Science</w:t>
      </w:r>
    </w:p>
    <w:p w:rsidR="005D224E" w:rsidRDefault="005D224E" w:rsidP="005D224E">
      <w:pPr>
        <w:pStyle w:val="a3"/>
        <w:rPr>
          <w:kern w:val="0"/>
        </w:rPr>
      </w:pPr>
      <w:r>
        <w:rPr>
          <w:rFonts w:hint="eastAsia"/>
          <w:kern w:val="0"/>
        </w:rPr>
        <w:t xml:space="preserve">? </w:t>
      </w:r>
      <w:r>
        <w:rPr>
          <w:kern w:val="0"/>
        </w:rPr>
        <w:t xml:space="preserve">Chiu, C.C., Chuang, T.Y., Chang, K.H., Wu, C.H., Lin, P.W. and Hsu, W.Y. (2015), The probability of spontaneous regression of lumbar herniated disc: A systematic review. </w:t>
      </w:r>
      <w:r>
        <w:rPr>
          <w:i/>
          <w:iCs/>
          <w:kern w:val="0"/>
        </w:rPr>
        <w:t>Clinical Rehabilitation</w:t>
      </w:r>
      <w:r>
        <w:rPr>
          <w:kern w:val="0"/>
        </w:rPr>
        <w:t xml:space="preserve">, </w:t>
      </w:r>
      <w:r>
        <w:rPr>
          <w:b/>
          <w:bCs/>
          <w:kern w:val="0"/>
        </w:rPr>
        <w:t>29</w:t>
      </w:r>
      <w:r>
        <w:rPr>
          <w:kern w:val="0"/>
        </w:rPr>
        <w:t xml:space="preserve"> (2), 184-195.</w:t>
      </w:r>
    </w:p>
    <w:p w:rsidR="005D224E" w:rsidRDefault="005D224E" w:rsidP="005D224E">
      <w:pPr>
        <w:pStyle w:val="a3"/>
        <w:rPr>
          <w:kern w:val="0"/>
          <w:szCs w:val="24"/>
        </w:rPr>
      </w:pPr>
      <w:r>
        <w:rPr>
          <w:rFonts w:hint="eastAsia"/>
          <w:kern w:val="0"/>
          <w:szCs w:val="24"/>
        </w:rPr>
        <w:t xml:space="preserve">Full Text: </w:t>
      </w:r>
      <w:hyperlink r:id="rId435" w:history="1">
        <w:r w:rsidRPr="00693CA5">
          <w:rPr>
            <w:rStyle w:val="a5"/>
            <w:kern w:val="0"/>
            <w:szCs w:val="24"/>
          </w:rPr>
          <w:t>2015\Cli Reh29, 184.pdf</w:t>
        </w:r>
      </w:hyperlink>
    </w:p>
    <w:p w:rsidR="005D224E" w:rsidRDefault="005D224E" w:rsidP="005D224E">
      <w:pPr>
        <w:pStyle w:val="a3"/>
        <w:rPr>
          <w:kern w:val="0"/>
        </w:rPr>
      </w:pPr>
      <w:r>
        <w:rPr>
          <w:kern w:val="0"/>
        </w:rPr>
        <w:t xml:space="preserve">Abstract: Objective: To determine the probability of spontaneous disc regression among each type of lumbar herniated disc, using a systematic review. Data sources: Medline, Cochrane Library, CINAHL, and Web of Science were searched using key words for relevant original articles published before March 2014. Articles were limited to those published in English and human studies. Review methods: Articles had to: (1) include patients with lumbar disc herniation treated conservatively; (2) have at least two imaging evaluations of the lumbar spine; and (3) exclude patients with prior lumbar surgery, spinal infections, tumors, spondylolisthesis, or spinal stenosis. Two reviewers independently extracted study details and findings. Thirty-one studies met the inclusion criteria. Furthermore, if the classification of herniation matched the recommended classification of the combined Task Forces, the data were used for combined analysis of the probability of disc regression of each type. Nine studies were applicable for probability calculation. Results: The rate of spontaneous </w:t>
      </w:r>
      <w:r>
        <w:rPr>
          <w:kern w:val="0"/>
        </w:rPr>
        <w:lastRenderedPageBreak/>
        <w:t>regression was found to be 96% for disc sequestration, 70% for disc extrusion, 41% for disc protrusion, and 13% for disc bulging. The rate of complete resolution of disc herniation was 43% for sequestrated discs and 15% for extruded discs. Conclusions: Spontaneous regression of herniated disc tissue can occur, and can completely resolve after conservative treatment. Patients with disc extrusion and sequestration had a significantly higher possibility of having spontaneous regression than did those with bulging or protruding discs. Disc sequestration had a significantly higher rate of complete regression than did disc extrusion.</w:t>
      </w:r>
    </w:p>
    <w:p w:rsidR="005D224E" w:rsidRDefault="005D224E" w:rsidP="005D224E">
      <w:pPr>
        <w:pStyle w:val="a3"/>
        <w:rPr>
          <w:kern w:val="0"/>
        </w:rPr>
      </w:pPr>
      <w:r>
        <w:rPr>
          <w:kern w:val="0"/>
        </w:rPr>
        <w:t>Keywords: Analysis, Articles, Calculation, Classification, Complete, Conservative, Conservative Treatment, Criteria, Data, Disc Herniation, English, Extrusion, Follow-Up, Human, Imaging, Infections, Intervertebral Disc, Low Back Pain, Matrix Metalloproteinases, Medline, Methods, Natural-History, Nucleus Pulposus, Patients, Probability, Radiculopathy, Regression, Regression Of Hernation, Resonance-Imaging Findings, Results, Review, Reviewers, Science, Sequestration, Sources, Spinal, Spine, Spontaneous, Spontaneous Resolution, Spontaneous Resorption, Stenosis, Surgery, Systematic, Systematic Review, Treatment, Web, Web Of Science</w:t>
      </w:r>
    </w:p>
    <w:p w:rsidR="00F25A2A" w:rsidRDefault="00F25A2A" w:rsidP="00F25A2A">
      <w:pPr>
        <w:pStyle w:val="a3"/>
        <w:rPr>
          <w:kern w:val="0"/>
        </w:rPr>
      </w:pPr>
      <w:r>
        <w:rPr>
          <w:kern w:val="0"/>
        </w:rPr>
        <w:t xml:space="preserve">? Meeus, M., Nijs, J., Vanderheiden, T., Baert, I., Descheemaeker, F. and Struyf, F. (2015), The effect of relaxation therapy on autonomic functioning, symptoms and daily functioning, in patients with chronic fatigue syndrome or fibromyalgia: A systematic review. </w:t>
      </w:r>
      <w:r>
        <w:rPr>
          <w:i/>
          <w:iCs/>
          <w:kern w:val="0"/>
        </w:rPr>
        <w:t>Clinical Rehabilitation</w:t>
      </w:r>
      <w:r>
        <w:rPr>
          <w:kern w:val="0"/>
        </w:rPr>
        <w:t xml:space="preserve">, </w:t>
      </w:r>
      <w:r>
        <w:rPr>
          <w:b/>
          <w:bCs/>
          <w:kern w:val="0"/>
        </w:rPr>
        <w:t>29</w:t>
      </w:r>
      <w:r>
        <w:rPr>
          <w:kern w:val="0"/>
        </w:rPr>
        <w:t xml:space="preserve"> (3), 221-233.</w:t>
      </w:r>
    </w:p>
    <w:p w:rsidR="00F25A2A" w:rsidRDefault="00F25A2A" w:rsidP="00F25A2A">
      <w:pPr>
        <w:pStyle w:val="a3"/>
        <w:rPr>
          <w:kern w:val="0"/>
          <w:szCs w:val="24"/>
        </w:rPr>
      </w:pPr>
      <w:r>
        <w:rPr>
          <w:rFonts w:hint="eastAsia"/>
          <w:kern w:val="0"/>
          <w:szCs w:val="24"/>
        </w:rPr>
        <w:t xml:space="preserve">Full Text: </w:t>
      </w:r>
      <w:hyperlink r:id="rId436" w:history="1">
        <w:r w:rsidRPr="0072083C">
          <w:rPr>
            <w:rStyle w:val="a5"/>
            <w:kern w:val="0"/>
            <w:szCs w:val="24"/>
          </w:rPr>
          <w:t>2015\Cli Reh29, 221.pdf</w:t>
        </w:r>
      </w:hyperlink>
    </w:p>
    <w:p w:rsidR="00F25A2A" w:rsidRDefault="00F25A2A" w:rsidP="00F25A2A">
      <w:pPr>
        <w:pStyle w:val="a3"/>
        <w:rPr>
          <w:kern w:val="0"/>
        </w:rPr>
      </w:pPr>
      <w:r>
        <w:rPr>
          <w:kern w:val="0"/>
        </w:rPr>
        <w:t xml:space="preserve">Abstract: Objective: To establish the effects of relaxation therapy on autonomic function, pain, fatigue and daily functioning in patients with chronic fatigue syndrome or fibromyalgia. Method: A systematic literature study was performed. Using specific keywords related to fibromyalgia or chronic fatigue syndrome and relaxation therapy, the electronic databases PubMed and Web of Science were searched. Included articles were assessed for their risk of bias and relevant information regarding relaxation was extracted. The review was conducted and reported according to the PRISMA-statement. Results: Thirteen randomized clinical trials of sufficient quality were included, resulting in a total of 650 fibromyalgia patients (11 studies) and 88 chronic fatigue syndrome patients (3 studies). None of the studies reported effects on autonomic function. Six studies reported the effect of guided imagery on pain and daily functioning in fibromyalgia. The acute effect of a single session of guided imagery was studied in two studies and seems beneficial for pain relief. For other relaxation techniques (eg. muscle relaxation, autogenic training) no conclusive evidence was found for the effect on pain and functioning in fibromyalgia patients comparison to multimodal treatment programs. For fatigue a multimodal approach seemed better than relaxation, as shown in the sole three </w:t>
      </w:r>
      <w:r>
        <w:rPr>
          <w:kern w:val="0"/>
        </w:rPr>
        <w:lastRenderedPageBreak/>
        <w:t>studies on chronic fatigue syndrome patients. Conclusion: There is moderate evidence for the acute effect of guided imagery on pain, although the content of the visualization is a matter of debate. Other relaxation formats and the effects on functionality and autonomic function require further study.</w:t>
      </w:r>
    </w:p>
    <w:p w:rsidR="00F25A2A" w:rsidRDefault="00F25A2A" w:rsidP="00F25A2A">
      <w:pPr>
        <w:pStyle w:val="a3"/>
        <w:rPr>
          <w:kern w:val="0"/>
        </w:rPr>
      </w:pPr>
      <w:r>
        <w:rPr>
          <w:kern w:val="0"/>
        </w:rPr>
        <w:t>Keywords: Approach, Articles, Autogenic Training, Autonomic Functioning, Bias, Chronic, Chronic Fatigue, Chronic Fatigue Syndrome, Clinical, Clinical Trials, Cognitive-Behavior Therapy, Comparison, Content, Daily Functioning, Databases, Effects, Evidence, Fatigue, Fibromyalgia, Function, Functionality, Graded-Exercise, Guided Imagery, Imagery, Information, Literature, Literature Study, Mar, Muscle, Nervous-System, Pain, Pain, Pain Relief, Patients, People, Pubmed, Quality, Randomized, Randomized Controlled-Trial, Rehabilitation, Relaxation, Results, Review, Risk, Science, Self-Efficacy, Stress-Disorder, Symptoms, Syndrome, Systematic, Systematic Review, Techniques, Therapy, Training, Treatment, Visualization, Web, Web Of Science</w:t>
      </w:r>
    </w:p>
    <w:p w:rsidR="001D4E3C" w:rsidRPr="00A428C3" w:rsidRDefault="001D4E3C" w:rsidP="001D4E3C">
      <w:pPr>
        <w:pStyle w:val="1"/>
      </w:pPr>
      <w:r w:rsidRPr="00A428C3">
        <w:br w:type="page"/>
      </w:r>
      <w:bookmarkStart w:id="311" w:name="_Toc420815047"/>
      <w:r w:rsidRPr="00A428C3">
        <w:lastRenderedPageBreak/>
        <w:t xml:space="preserve">Title: </w:t>
      </w:r>
      <w:r w:rsidRPr="00A069CA">
        <w:rPr>
          <w:szCs w:val="24"/>
        </w:rPr>
        <w:t>Clinical Respiratory Journal</w:t>
      </w:r>
      <w:bookmarkEnd w:id="311"/>
    </w:p>
    <w:p w:rsidR="001D4E3C" w:rsidRPr="00A428C3" w:rsidRDefault="001D4E3C" w:rsidP="001D4E3C">
      <w:pPr>
        <w:pStyle w:val="12"/>
      </w:pPr>
      <w:r w:rsidRPr="00A428C3">
        <w:t xml:space="preserve">Full Journal Title: </w:t>
      </w:r>
      <w:r w:rsidRPr="00A069CA">
        <w:rPr>
          <w:iCs/>
          <w:kern w:val="0"/>
        </w:rPr>
        <w:t>Clinical Respiratory Journal</w:t>
      </w:r>
    </w:p>
    <w:p w:rsidR="001D4E3C" w:rsidRPr="00A428C3" w:rsidRDefault="001D4E3C" w:rsidP="001D4E3C">
      <w:pPr>
        <w:pStyle w:val="12"/>
      </w:pPr>
      <w:r>
        <w:t xml:space="preserve">ISO Abbreviated Title: </w:t>
      </w:r>
    </w:p>
    <w:p w:rsidR="001D4E3C" w:rsidRPr="00A428C3" w:rsidRDefault="001D4E3C" w:rsidP="001D4E3C">
      <w:pPr>
        <w:pStyle w:val="12"/>
      </w:pPr>
      <w:r>
        <w:t xml:space="preserve">JCR Abbreviated Title: </w:t>
      </w:r>
    </w:p>
    <w:p w:rsidR="001D4E3C" w:rsidRPr="00A428C3" w:rsidRDefault="001D4E3C" w:rsidP="001D4E3C">
      <w:pPr>
        <w:pStyle w:val="12"/>
      </w:pPr>
      <w:r w:rsidRPr="00A428C3">
        <w:t xml:space="preserve">ISSN: </w:t>
      </w:r>
    </w:p>
    <w:p w:rsidR="001D4E3C" w:rsidRPr="00A428C3" w:rsidRDefault="001D4E3C" w:rsidP="001D4E3C">
      <w:pPr>
        <w:pStyle w:val="12"/>
      </w:pPr>
      <w:r w:rsidRPr="00A428C3">
        <w:t xml:space="preserve">Issues/Year: </w:t>
      </w:r>
    </w:p>
    <w:p w:rsidR="001D4E3C" w:rsidRPr="00A428C3" w:rsidRDefault="001D4E3C" w:rsidP="001D4E3C">
      <w:pPr>
        <w:pStyle w:val="12"/>
      </w:pPr>
      <w:r w:rsidRPr="00A428C3">
        <w:t>Journal Country/Territory:</w:t>
      </w:r>
    </w:p>
    <w:p w:rsidR="001D4E3C" w:rsidRPr="00A428C3" w:rsidRDefault="001D4E3C" w:rsidP="001D4E3C">
      <w:pPr>
        <w:pStyle w:val="12"/>
      </w:pPr>
      <w:r w:rsidRPr="00A428C3">
        <w:t xml:space="preserve">Language: </w:t>
      </w:r>
    </w:p>
    <w:p w:rsidR="001D4E3C" w:rsidRPr="00A428C3" w:rsidRDefault="001D4E3C" w:rsidP="001D4E3C">
      <w:pPr>
        <w:pStyle w:val="12"/>
      </w:pPr>
      <w:r w:rsidRPr="00A428C3">
        <w:t xml:space="preserve">Publisher: </w:t>
      </w:r>
    </w:p>
    <w:p w:rsidR="001D4E3C" w:rsidRPr="00A428C3" w:rsidRDefault="001D4E3C" w:rsidP="001D4E3C">
      <w:pPr>
        <w:pStyle w:val="12"/>
      </w:pPr>
      <w:r w:rsidRPr="00A428C3">
        <w:t xml:space="preserve">Publisher Address: </w:t>
      </w:r>
    </w:p>
    <w:p w:rsidR="001D4E3C" w:rsidRPr="00A428C3" w:rsidRDefault="001D4E3C" w:rsidP="001D4E3C">
      <w:pPr>
        <w:pStyle w:val="12"/>
      </w:pPr>
      <w:r w:rsidRPr="00A428C3">
        <w:t>Subject Categories:</w:t>
      </w:r>
    </w:p>
    <w:p w:rsidR="001D4E3C" w:rsidRPr="00A428C3" w:rsidRDefault="001D4E3C" w:rsidP="001D4E3C">
      <w:pPr>
        <w:pStyle w:val="12"/>
      </w:pPr>
      <w:r w:rsidRPr="00A428C3">
        <w:t>Impact Factor</w:t>
      </w:r>
    </w:p>
    <w:p w:rsidR="001D4E3C" w:rsidRDefault="001D4E3C" w:rsidP="001D4E3C">
      <w:pPr>
        <w:pStyle w:val="a3"/>
        <w:rPr>
          <w:kern w:val="0"/>
          <w:szCs w:val="24"/>
        </w:rPr>
      </w:pPr>
      <w:r>
        <w:rPr>
          <w:rFonts w:hint="eastAsia"/>
          <w:kern w:val="0"/>
          <w:szCs w:val="24"/>
        </w:rPr>
        <w:t xml:space="preserve">? </w:t>
      </w:r>
      <w:r>
        <w:rPr>
          <w:kern w:val="0"/>
          <w:szCs w:val="24"/>
        </w:rPr>
        <w:t xml:space="preserve">Nie, W.C., Liu, Y.R., Ye, J., Shi, L.H., Shao, F.C., Ying, K.J. and Zhang, R.F. (2014), Efficacy of intrapleural instillation of fibrinolytics for treating pleural empyema and parapneumonic effusion: A meta-analysis of randomized control trials. </w:t>
      </w:r>
      <w:r w:rsidRPr="00A069CA">
        <w:rPr>
          <w:i/>
          <w:iCs/>
          <w:kern w:val="0"/>
          <w:szCs w:val="24"/>
        </w:rPr>
        <w:t>Clinical Respiratory Journal</w:t>
      </w:r>
      <w:r>
        <w:rPr>
          <w:kern w:val="0"/>
          <w:szCs w:val="24"/>
        </w:rPr>
        <w:t xml:space="preserve">, </w:t>
      </w:r>
      <w:r>
        <w:rPr>
          <w:b/>
          <w:bCs/>
          <w:kern w:val="0"/>
          <w:szCs w:val="24"/>
        </w:rPr>
        <w:t>8</w:t>
      </w:r>
      <w:r>
        <w:rPr>
          <w:kern w:val="0"/>
          <w:szCs w:val="24"/>
        </w:rPr>
        <w:t xml:space="preserve"> (3), 281-291.</w:t>
      </w:r>
    </w:p>
    <w:p w:rsidR="001D4E3C" w:rsidRDefault="001D4E3C" w:rsidP="001D4E3C">
      <w:pPr>
        <w:pStyle w:val="a3"/>
        <w:rPr>
          <w:kern w:val="0"/>
          <w:szCs w:val="24"/>
        </w:rPr>
      </w:pPr>
      <w:r>
        <w:rPr>
          <w:rFonts w:hint="eastAsia"/>
          <w:kern w:val="0"/>
          <w:szCs w:val="24"/>
        </w:rPr>
        <w:t xml:space="preserve">Full Text: </w:t>
      </w:r>
      <w:hyperlink r:id="rId437" w:history="1">
        <w:r w:rsidRPr="00A069CA">
          <w:rPr>
            <w:rStyle w:val="a5"/>
            <w:kern w:val="0"/>
            <w:szCs w:val="24"/>
          </w:rPr>
          <w:t>2014\Cli Res J8, 281.pdf</w:t>
        </w:r>
      </w:hyperlink>
    </w:p>
    <w:p w:rsidR="001D4E3C" w:rsidRDefault="001D4E3C" w:rsidP="001D4E3C">
      <w:pPr>
        <w:pStyle w:val="a3"/>
        <w:rPr>
          <w:kern w:val="0"/>
          <w:szCs w:val="24"/>
        </w:rPr>
      </w:pPr>
      <w:r>
        <w:rPr>
          <w:kern w:val="0"/>
          <w:szCs w:val="24"/>
        </w:rPr>
        <w:t xml:space="preserve">Abstract: Introduction: The effects of intrapleural fibrinolysis for treating pleural empyema and parapneumonic effusion remain uncertain. Objectives: We conducted a meta-analysis of published randomized controlled trials (RCTs) to evaluate the efficacy of intrapleural instillation of fibrinolytics for treating pleural empyema and parapneumonic effusion. Methods: Medline, Web of Science, Ovid and regulatory documents up to June 10, 2012 were searched. We selected RCTs on intrapleural fibrinolysis vs placebo control treatment for pleural empyema and parapneumonic effusion. The meta-analysis was used to determine the odds ratios (OR) for death, surgical intervention and severe side effects, and weighted mean differences were used to estimate lengths of hospital stays. Results: Ten trials with a total of 977 patients were included. Compared with a placebo, intrapleural fibrinolytic therapy decreased the OR for surgical intervention [OR = 0.24; 95% confidence interval (CI): 0.10-0.60] and the length of hospital stays (weighted mean difference = -6.47; 95% CI: -8.87, -4.08). Intrapleural fibrinolysis was associated with a non-significant reduction in mortality rate (OR = 1.16; 95% CI: 0.71-1.89) and a non-significant increase in severe side effects (OR = 1.92; 95% CI: 0.87-4.21). Subgroup analyses indicated that urokinase agents had marked positive effects on reducing surgical intervention (OR = 0.33; 95% CI: 0.14-0.78), but neither streptokinase nor tissue plasminogen activator did. Conclusions: The present results show that intrapleural fibrinolysis with urokinase may be potentially effective for reducing the need for </w:t>
      </w:r>
      <w:r>
        <w:rPr>
          <w:kern w:val="0"/>
          <w:szCs w:val="24"/>
        </w:rPr>
        <w:lastRenderedPageBreak/>
        <w:t>surgery. Intrapleural fibrinolytic therapy is effective for shortening the lengths of hospital stays without increasing the incidence of severe side effects.</w:t>
      </w:r>
    </w:p>
    <w:p w:rsidR="001D4E3C" w:rsidRDefault="001D4E3C" w:rsidP="001D4E3C">
      <w:pPr>
        <w:pStyle w:val="a3"/>
        <w:rPr>
          <w:kern w:val="0"/>
          <w:szCs w:val="24"/>
        </w:rPr>
      </w:pPr>
      <w:r>
        <w:rPr>
          <w:kern w:val="0"/>
          <w:szCs w:val="24"/>
        </w:rPr>
        <w:t>Keywords: Activator, Alteplase, Analyses, Childhood Empyema, Children, Confidence, Control, Death, Decortication, Documents, Effects, Efficacy, Fibrinolysis, Fibrinolytic, Hospital, Incidence, Infection, Interval, Intervention, Intrapleural, Length, Management, Medline, Meta Analysis, Meta-Analysis, Metaanalysis, Methods, Mortality, Mortality Rate, Parapneumonic Effusion, Patients, Placebo, Plasminogen-Activator, Pleural Empyema, Randomized, Randomized Controlled Trials, Reduction, Results, Science, Side Effects, Streptokinase, Surgery, Therapy, Treatment, Urokinase Treatment, Web Of Science</w:t>
      </w:r>
    </w:p>
    <w:p w:rsidR="00BC6E79" w:rsidRPr="001A3D2B" w:rsidRDefault="00BC6E79" w:rsidP="00BC6E79">
      <w:pPr>
        <w:pStyle w:val="1"/>
      </w:pPr>
      <w:r w:rsidRPr="001A3D2B">
        <w:br w:type="page"/>
      </w:r>
      <w:bookmarkStart w:id="312" w:name="_Toc420815048"/>
      <w:r w:rsidRPr="001A3D2B">
        <w:lastRenderedPageBreak/>
        <w:t>Title: Clinical Rheumatology</w:t>
      </w:r>
      <w:bookmarkEnd w:id="312"/>
    </w:p>
    <w:p w:rsidR="00BC6E79" w:rsidRPr="001A3D2B" w:rsidRDefault="00BC6E79" w:rsidP="00BC6E79">
      <w:pPr>
        <w:pStyle w:val="12"/>
      </w:pPr>
      <w:r w:rsidRPr="001A3D2B">
        <w:t xml:space="preserve">Full Journal Title: </w:t>
      </w:r>
      <w:r w:rsidR="00DF61FE">
        <w:fldChar w:fldCharType="begin"/>
      </w:r>
      <w:r w:rsidR="00FD158B">
        <w:instrText>HYPERLINK "http://www.scienc</w:instrText>
      </w:r>
      <w:bookmarkStart w:id="313" w:name="_Toc244875835"/>
      <w:bookmarkStart w:id="314" w:name="_Toc302629900"/>
      <w:r w:rsidR="00FD158B">
        <w:instrText>edirect.com/science/journal/</w:instrText>
      </w:r>
      <w:bookmarkEnd w:id="313"/>
      <w:bookmarkEnd w:id="314"/>
      <w:r w:rsidR="00FD158B">
        <w:instrText>00099260"</w:instrText>
      </w:r>
      <w:r w:rsidR="00DF61FE">
        <w:fldChar w:fldCharType="separate"/>
      </w:r>
      <w:r w:rsidRPr="001A3D2B">
        <w:rPr>
          <w:rStyle w:val="a5"/>
        </w:rPr>
        <w:t>Clinical Rheumatology</w:t>
      </w:r>
      <w:r w:rsidR="00DF61FE">
        <w:fldChar w:fldCharType="end"/>
      </w:r>
    </w:p>
    <w:p w:rsidR="00BC6E79" w:rsidRPr="001A3D2B" w:rsidRDefault="00BC6E79" w:rsidP="00BC6E79">
      <w:pPr>
        <w:pStyle w:val="12"/>
      </w:pPr>
      <w:r w:rsidRPr="001A3D2B">
        <w:t>ISO Abbreviated Title: Clin. Rheumatol.</w:t>
      </w:r>
    </w:p>
    <w:p w:rsidR="00BC6E79" w:rsidRPr="001A3D2B" w:rsidRDefault="00BC6E79" w:rsidP="00BC6E79">
      <w:pPr>
        <w:pStyle w:val="12"/>
      </w:pPr>
      <w:r w:rsidRPr="001A3D2B">
        <w:t>JCR Abbreviated Title: Clin Rheumatol</w:t>
      </w:r>
    </w:p>
    <w:p w:rsidR="00BC6E79" w:rsidRPr="001A3D2B" w:rsidRDefault="00BC6E79" w:rsidP="00BC6E79">
      <w:pPr>
        <w:pStyle w:val="12"/>
      </w:pPr>
      <w:r w:rsidRPr="001A3D2B">
        <w:t>ISSN: 0770-3198</w:t>
      </w:r>
    </w:p>
    <w:p w:rsidR="00BC6E79" w:rsidRPr="001A3D2B" w:rsidRDefault="00BC6E79" w:rsidP="00BC6E79">
      <w:pPr>
        <w:pStyle w:val="12"/>
      </w:pPr>
      <w:r w:rsidRPr="001A3D2B">
        <w:t>Issues/Year: 6</w:t>
      </w:r>
    </w:p>
    <w:p w:rsidR="00BC6E79" w:rsidRPr="001A3D2B" w:rsidRDefault="00BC6E79" w:rsidP="00BC6E79">
      <w:pPr>
        <w:pStyle w:val="12"/>
      </w:pPr>
      <w:r w:rsidRPr="001A3D2B">
        <w:t>Journal Country/Territory: United States</w:t>
      </w:r>
    </w:p>
    <w:p w:rsidR="00BC6E79" w:rsidRPr="001A3D2B" w:rsidRDefault="00BC6E79" w:rsidP="00BC6E79">
      <w:pPr>
        <w:pStyle w:val="12"/>
      </w:pPr>
      <w:r w:rsidRPr="001A3D2B">
        <w:t>Language: English</w:t>
      </w:r>
    </w:p>
    <w:p w:rsidR="00BC6E79" w:rsidRPr="001A3D2B" w:rsidRDefault="00BC6E79" w:rsidP="00BC6E79">
      <w:pPr>
        <w:pStyle w:val="12"/>
      </w:pPr>
      <w:r w:rsidRPr="001A3D2B">
        <w:t>Publisher: Springer-Verlag</w:t>
      </w:r>
    </w:p>
    <w:p w:rsidR="00BC6E79" w:rsidRPr="001A3D2B" w:rsidRDefault="00BC6E79" w:rsidP="00BC6E79">
      <w:pPr>
        <w:pStyle w:val="12"/>
      </w:pPr>
      <w:r w:rsidRPr="001A3D2B">
        <w:t>Publisher Address: 175 Fifth Ave, New York, NY 10010</w:t>
      </w:r>
    </w:p>
    <w:p w:rsidR="00BC6E79" w:rsidRPr="001A3D2B" w:rsidRDefault="00BC6E79" w:rsidP="00BC6E79">
      <w:pPr>
        <w:pStyle w:val="12"/>
      </w:pPr>
      <w:r w:rsidRPr="001A3D2B">
        <w:t xml:space="preserve">Subject Categories: </w:t>
      </w:r>
    </w:p>
    <w:p w:rsidR="00BC6E79" w:rsidRPr="001A3D2B" w:rsidRDefault="00BC6E79" w:rsidP="00BC6E79">
      <w:pPr>
        <w:pStyle w:val="12"/>
      </w:pPr>
      <w:r w:rsidRPr="001A3D2B">
        <w:t>Rheumatology: Impact Factor 0.724, 17/23 (2000)</w:t>
      </w:r>
    </w:p>
    <w:p w:rsidR="00BC6E79" w:rsidRDefault="00BC6E79" w:rsidP="00BC6E79">
      <w:pPr>
        <w:pStyle w:val="a3"/>
        <w:rPr>
          <w:kern w:val="0"/>
        </w:rPr>
      </w:pPr>
      <w:r>
        <w:rPr>
          <w:rFonts w:hint="eastAsia"/>
          <w:kern w:val="0"/>
        </w:rPr>
        <w:t xml:space="preserve">? </w:t>
      </w:r>
      <w:r>
        <w:rPr>
          <w:kern w:val="0"/>
        </w:rPr>
        <w:t>Li, B., Wang, P.</w:t>
      </w:r>
      <w:r w:rsidR="005853A9">
        <w:rPr>
          <w:kern w:val="0"/>
        </w:rPr>
        <w:t xml:space="preserve"> and </w:t>
      </w:r>
      <w:r>
        <w:rPr>
          <w:kern w:val="0"/>
        </w:rPr>
        <w:t>Li, H. (2010</w:t>
      </w:r>
      <w:r w:rsidR="00F42EAC">
        <w:rPr>
          <w:kern w:val="0"/>
        </w:rPr>
        <w:t>), The</w:t>
      </w:r>
      <w:r w:rsidR="003A1917">
        <w:rPr>
          <w:kern w:val="0"/>
        </w:rPr>
        <w:t xml:space="preserve"> </w:t>
      </w:r>
      <w:r>
        <w:rPr>
          <w:kern w:val="0"/>
        </w:rPr>
        <w:t>association between TNF-alpha promoter polymorphisms</w:t>
      </w:r>
      <w:r w:rsidR="005853A9">
        <w:rPr>
          <w:kern w:val="0"/>
        </w:rPr>
        <w:t xml:space="preserve"> and </w:t>
      </w:r>
      <w:r>
        <w:rPr>
          <w:kern w:val="0"/>
        </w:rPr>
        <w:t xml:space="preserve">ankylosing spondylitis: A meta-analysis. </w:t>
      </w:r>
      <w:r>
        <w:rPr>
          <w:i/>
          <w:iCs/>
          <w:kern w:val="0"/>
        </w:rPr>
        <w:t>Clinical Rheumatology</w:t>
      </w:r>
      <w:r>
        <w:rPr>
          <w:kern w:val="0"/>
        </w:rPr>
        <w:t xml:space="preserve">, </w:t>
      </w:r>
      <w:r>
        <w:rPr>
          <w:b/>
          <w:bCs/>
          <w:kern w:val="0"/>
        </w:rPr>
        <w:t>29</w:t>
      </w:r>
      <w:r>
        <w:rPr>
          <w:kern w:val="0"/>
        </w:rPr>
        <w:t xml:space="preserve"> (9), 983-990.</w:t>
      </w:r>
    </w:p>
    <w:p w:rsidR="00BC6E79" w:rsidRDefault="00BC6E79" w:rsidP="00BC6E79">
      <w:pPr>
        <w:pStyle w:val="a3"/>
        <w:rPr>
          <w:kern w:val="0"/>
          <w:szCs w:val="24"/>
        </w:rPr>
      </w:pPr>
      <w:r>
        <w:rPr>
          <w:rFonts w:hint="eastAsia"/>
          <w:kern w:val="0"/>
          <w:szCs w:val="24"/>
        </w:rPr>
        <w:t xml:space="preserve">Full Text: </w:t>
      </w:r>
      <w:r>
        <w:rPr>
          <w:kern w:val="0"/>
          <w:szCs w:val="24"/>
        </w:rPr>
        <w:t>20</w:t>
      </w:r>
      <w:r>
        <w:rPr>
          <w:rFonts w:hint="eastAsia"/>
          <w:kern w:val="0"/>
          <w:szCs w:val="24"/>
        </w:rPr>
        <w:t>10</w:t>
      </w:r>
      <w:r>
        <w:rPr>
          <w:kern w:val="0"/>
          <w:szCs w:val="24"/>
        </w:rPr>
        <w:t>\Cli R</w:t>
      </w:r>
      <w:r>
        <w:rPr>
          <w:rFonts w:hint="eastAsia"/>
          <w:kern w:val="0"/>
          <w:szCs w:val="24"/>
        </w:rPr>
        <w:t>he29</w:t>
      </w:r>
      <w:r>
        <w:rPr>
          <w:kern w:val="0"/>
          <w:szCs w:val="24"/>
        </w:rPr>
        <w:t xml:space="preserve">, </w:t>
      </w:r>
      <w:r>
        <w:rPr>
          <w:rFonts w:hint="eastAsia"/>
          <w:kern w:val="0"/>
          <w:szCs w:val="24"/>
        </w:rPr>
        <w:t>983</w:t>
      </w:r>
      <w:r w:rsidRPr="00991FA2">
        <w:rPr>
          <w:kern w:val="0"/>
          <w:szCs w:val="24"/>
        </w:rPr>
        <w:t>.pdf</w:t>
      </w:r>
    </w:p>
    <w:p w:rsidR="00BC6E79" w:rsidRDefault="00BC6E79" w:rsidP="00BC6E79">
      <w:pPr>
        <w:pStyle w:val="a3"/>
        <w:rPr>
          <w:kern w:val="0"/>
        </w:rPr>
      </w:pPr>
      <w:r>
        <w:rPr>
          <w:kern w:val="0"/>
        </w:rPr>
        <w:t>Abstract:</w:t>
      </w:r>
      <w:r w:rsidR="003A1917">
        <w:rPr>
          <w:kern w:val="0"/>
        </w:rPr>
        <w:t xml:space="preserve"> the </w:t>
      </w:r>
      <w:r>
        <w:rPr>
          <w:kern w:val="0"/>
        </w:rPr>
        <w:t>relationship</w:t>
      </w:r>
      <w:r w:rsidR="00427468">
        <w:rPr>
          <w:kern w:val="0"/>
        </w:rPr>
        <w:t xml:space="preserve"> of </w:t>
      </w:r>
      <w:r>
        <w:rPr>
          <w:kern w:val="0"/>
        </w:rPr>
        <w:t>TNF-alpha promoter polymorphisms</w:t>
      </w:r>
      <w:r w:rsidR="005853A9">
        <w:rPr>
          <w:kern w:val="0"/>
        </w:rPr>
        <w:t xml:space="preserve"> and </w:t>
      </w:r>
      <w:r>
        <w:rPr>
          <w:kern w:val="0"/>
        </w:rPr>
        <w:t>ankylosing spondylitis (AS) has been reported with conflicting results. We perform this meta-analysis to collect all</w:t>
      </w:r>
      <w:r w:rsidR="003A1917">
        <w:rPr>
          <w:kern w:val="0"/>
        </w:rPr>
        <w:t xml:space="preserve"> the </w:t>
      </w:r>
      <w:r>
        <w:rPr>
          <w:kern w:val="0"/>
        </w:rPr>
        <w:t>relevant studies up to date to further clarify</w:t>
      </w:r>
      <w:r w:rsidR="003A1917">
        <w:rPr>
          <w:kern w:val="0"/>
        </w:rPr>
        <w:t xml:space="preserve"> the </w:t>
      </w:r>
      <w:r>
        <w:rPr>
          <w:kern w:val="0"/>
        </w:rPr>
        <w:t>association</w:t>
      </w:r>
      <w:r w:rsidR="00427468">
        <w:rPr>
          <w:kern w:val="0"/>
        </w:rPr>
        <w:t xml:space="preserve"> of </w:t>
      </w:r>
      <w:r>
        <w:rPr>
          <w:kern w:val="0"/>
        </w:rPr>
        <w:t>TNF-alpha promoter polymorphisms with AS. A review was conducted</w:t>
      </w:r>
      <w:r w:rsidR="00427468">
        <w:rPr>
          <w:kern w:val="0"/>
        </w:rPr>
        <w:t xml:space="preserve"> of </w:t>
      </w:r>
      <w:r>
        <w:rPr>
          <w:kern w:val="0"/>
        </w:rPr>
        <w:t>studies reporting on</w:t>
      </w:r>
      <w:r w:rsidR="003A1917">
        <w:rPr>
          <w:kern w:val="0"/>
        </w:rPr>
        <w:t xml:space="preserve"> the </w:t>
      </w:r>
      <w:r>
        <w:rPr>
          <w:kern w:val="0"/>
        </w:rPr>
        <w:t>association between TNF-alpha promoter polymorphisms</w:t>
      </w:r>
      <w:r w:rsidR="005853A9">
        <w:rPr>
          <w:kern w:val="0"/>
        </w:rPr>
        <w:t xml:space="preserve"> and </w:t>
      </w:r>
      <w:r>
        <w:rPr>
          <w:kern w:val="0"/>
        </w:rPr>
        <w:t xml:space="preserve">AS susceptibility in </w:t>
      </w:r>
      <w:r w:rsidR="00D5664A">
        <w:rPr>
          <w:kern w:val="0"/>
        </w:rPr>
        <w:t>MEDLINE</w:t>
      </w:r>
      <w:r>
        <w:rPr>
          <w:kern w:val="0"/>
        </w:rPr>
        <w:t>, PUBMED, EMBASE,</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numbers</w:t>
      </w:r>
      <w:r w:rsidR="00427468">
        <w:rPr>
          <w:kern w:val="0"/>
        </w:rPr>
        <w:t xml:space="preserve"> of </w:t>
      </w:r>
      <w:r>
        <w:rPr>
          <w:kern w:val="0"/>
        </w:rPr>
        <w:t>individuals with various genotypes</w:t>
      </w:r>
      <w:r w:rsidR="005853A9">
        <w:rPr>
          <w:kern w:val="0"/>
        </w:rPr>
        <w:t xml:space="preserve"> and </w:t>
      </w:r>
      <w:r>
        <w:rPr>
          <w:kern w:val="0"/>
        </w:rPr>
        <w:t>alleles in both</w:t>
      </w:r>
      <w:r w:rsidR="003A1917">
        <w:rPr>
          <w:kern w:val="0"/>
        </w:rPr>
        <w:t xml:space="preserve"> the </w:t>
      </w:r>
      <w:r>
        <w:rPr>
          <w:kern w:val="0"/>
        </w:rPr>
        <w:t>case</w:t>
      </w:r>
      <w:r w:rsidR="005853A9">
        <w:rPr>
          <w:kern w:val="0"/>
        </w:rPr>
        <w:t xml:space="preserve"> and </w:t>
      </w:r>
      <w:r>
        <w:rPr>
          <w:kern w:val="0"/>
        </w:rPr>
        <w:t>control groups were extracted from relevant studies. Odds ratios (ORs) with 95% confidence interval (CI) were used to estimate</w:t>
      </w:r>
      <w:r w:rsidR="003A1917">
        <w:rPr>
          <w:kern w:val="0"/>
        </w:rPr>
        <w:t xml:space="preserve"> the </w:t>
      </w:r>
      <w:r>
        <w:rPr>
          <w:kern w:val="0"/>
        </w:rPr>
        <w:t>association. Fourteen eligible studies, contributing data on 3,880 subjects (1,766 patients; 2,114 controls), were included in this meta-analysis</w:t>
      </w:r>
      <w:r w:rsidR="00A37C1D">
        <w:rPr>
          <w:kern w:val="0"/>
        </w:rPr>
        <w:t>. The</w:t>
      </w:r>
      <w:r w:rsidR="003A1917">
        <w:rPr>
          <w:kern w:val="0"/>
        </w:rPr>
        <w:t xml:space="preserve"> </w:t>
      </w:r>
      <w:r>
        <w:rPr>
          <w:kern w:val="0"/>
        </w:rPr>
        <w:t>ORs</w:t>
      </w:r>
      <w:r w:rsidR="00427468">
        <w:rPr>
          <w:kern w:val="0"/>
        </w:rPr>
        <w:t xml:space="preserve"> of </w:t>
      </w:r>
      <w:r>
        <w:rPr>
          <w:kern w:val="0"/>
        </w:rPr>
        <w:t>various comparisons indicated that there was no association between TNF-alpha 238, 308 polymorphisms,</w:t>
      </w:r>
      <w:r w:rsidR="005853A9">
        <w:rPr>
          <w:kern w:val="0"/>
        </w:rPr>
        <w:t xml:space="preserve"> and </w:t>
      </w:r>
      <w:r>
        <w:rPr>
          <w:kern w:val="0"/>
        </w:rPr>
        <w:t>AS susceptibility in</w:t>
      </w:r>
      <w:r w:rsidR="003A1917">
        <w:rPr>
          <w:kern w:val="0"/>
        </w:rPr>
        <w:t xml:space="preserve"> the </w:t>
      </w:r>
      <w:r>
        <w:rPr>
          <w:kern w:val="0"/>
        </w:rPr>
        <w:t>overall population. For HLA-B27+ population, although</w:t>
      </w:r>
      <w:r w:rsidR="003A1917">
        <w:rPr>
          <w:kern w:val="0"/>
        </w:rPr>
        <w:t xml:space="preserve"> the </w:t>
      </w:r>
      <w:r>
        <w:rPr>
          <w:kern w:val="0"/>
        </w:rPr>
        <w:t>frequency</w:t>
      </w:r>
      <w:r w:rsidR="00427468">
        <w:rPr>
          <w:kern w:val="0"/>
        </w:rPr>
        <w:t xml:space="preserve"> of </w:t>
      </w:r>
      <w:r>
        <w:rPr>
          <w:kern w:val="0"/>
        </w:rPr>
        <w:t>308 A allele decreased in AS patients (OR = 0.721; 95%CI = 0.522-0.995</w:t>
      </w:r>
      <w:r w:rsidR="00F42EAC">
        <w:rPr>
          <w:kern w:val="0"/>
        </w:rPr>
        <w:t>), The</w:t>
      </w:r>
      <w:r w:rsidR="003A1917">
        <w:rPr>
          <w:kern w:val="0"/>
        </w:rPr>
        <w:t xml:space="preserve"> </w:t>
      </w:r>
      <w:r>
        <w:rPr>
          <w:kern w:val="0"/>
        </w:rPr>
        <w:t>result was no longer statistically significant after excluding</w:t>
      </w:r>
      <w:r w:rsidR="003A1917">
        <w:rPr>
          <w:kern w:val="0"/>
        </w:rPr>
        <w:t xml:space="preserve"> the </w:t>
      </w:r>
      <w:r>
        <w:rPr>
          <w:kern w:val="0"/>
        </w:rPr>
        <w:t>Hardy-Weinberg equilibrium violation studies (OR = 1.150; 95%CI = 0.568-2.310). No relationship was found between TNF-alpha promoter 238 polymorphisms</w:t>
      </w:r>
      <w:r w:rsidR="005853A9">
        <w:rPr>
          <w:kern w:val="0"/>
        </w:rPr>
        <w:t xml:space="preserve"> and </w:t>
      </w:r>
      <w:r>
        <w:rPr>
          <w:kern w:val="0"/>
        </w:rPr>
        <w:t>AS in HLA-b27+ population. No association was found between TNF-alpha promoter 238/308 polymorphisms</w:t>
      </w:r>
      <w:r w:rsidR="005853A9">
        <w:rPr>
          <w:kern w:val="0"/>
        </w:rPr>
        <w:t xml:space="preserve"> and </w:t>
      </w:r>
      <w:r>
        <w:rPr>
          <w:kern w:val="0"/>
        </w:rPr>
        <w:t>ankylosing spondylitis susceptibility in both</w:t>
      </w:r>
      <w:r w:rsidR="003A1917">
        <w:rPr>
          <w:kern w:val="0"/>
        </w:rPr>
        <w:t xml:space="preserve"> the </w:t>
      </w:r>
      <w:r>
        <w:rPr>
          <w:kern w:val="0"/>
        </w:rPr>
        <w:t>overall</w:t>
      </w:r>
      <w:r w:rsidR="005853A9">
        <w:rPr>
          <w:kern w:val="0"/>
        </w:rPr>
        <w:t xml:space="preserve"> and </w:t>
      </w:r>
      <w:r>
        <w:rPr>
          <w:kern w:val="0"/>
        </w:rPr>
        <w:t>HLA-B27+ population.</w:t>
      </w:r>
    </w:p>
    <w:p w:rsidR="00BC6E79" w:rsidRDefault="00BC6E79" w:rsidP="00BC6E79">
      <w:pPr>
        <w:pStyle w:val="a3"/>
        <w:rPr>
          <w:kern w:val="0"/>
        </w:rPr>
      </w:pPr>
      <w:r>
        <w:rPr>
          <w:kern w:val="0"/>
        </w:rPr>
        <w:t xml:space="preserve">Keywords: Ankylosing Spondylitis, Contributes, Control, Control Groups, Disease, </w:t>
      </w:r>
      <w:r>
        <w:rPr>
          <w:kern w:val="0"/>
        </w:rPr>
        <w:lastRenderedPageBreak/>
        <w:t xml:space="preserve">Equilibrium, Frequency, Gene Polymorphisms, Haplotypes, HLA-B27 Positive Individuals, Meta-Analysis, Polymorphisms, Region, Review, Rheumatoid-Arthritis, Science, Spondyloarthritis, Susceptibility, TNF-Alpha Promoter, Tumor-Necrosis-Factor,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315" w:name="_Toc420815049"/>
      <w:r w:rsidRPr="001A3D2B">
        <w:lastRenderedPageBreak/>
        <w:t>Title: Clinical Therapeutics</w:t>
      </w:r>
      <w:bookmarkEnd w:id="315"/>
    </w:p>
    <w:p w:rsidR="00BC6E79" w:rsidRPr="00C73C58" w:rsidRDefault="00BC6E79" w:rsidP="00BC6E79">
      <w:pPr>
        <w:pStyle w:val="12"/>
      </w:pPr>
      <w:r w:rsidRPr="00C73C58">
        <w:t xml:space="preserve">Full Journal Title: </w:t>
      </w:r>
      <w:r w:rsidR="00DF61FE">
        <w:fldChar w:fldCharType="begin"/>
      </w:r>
      <w:r w:rsidR="00FD158B">
        <w:instrText>HYPERLINK "http://www.scienc</w:instrText>
      </w:r>
      <w:bookmarkStart w:id="316" w:name="_Toc7177646"/>
      <w:bookmarkStart w:id="317" w:name="_Toc55069481"/>
      <w:bookmarkStart w:id="318" w:name="_Toc81215677"/>
      <w:r w:rsidR="00FD158B">
        <w:instrText>edirect.com/science?_ob=Jour</w:instrText>
      </w:r>
      <w:bookmarkEnd w:id="316"/>
      <w:bookmarkEnd w:id="317"/>
      <w:bookmarkEnd w:id="318"/>
      <w:r w:rsidR="00FD158B">
        <w:instrText>nalURL&amp;_cdi=6242&amp;_auth=y&amp;_acct=C000024058&amp;_version=1&amp;_urlVersion=0&amp;_userid=4191814&amp;md5=2e7570b630109ca5ac2aeefb8d76d2f4"</w:instrText>
      </w:r>
      <w:r w:rsidR="00DF61FE">
        <w:fldChar w:fldCharType="separate"/>
      </w:r>
      <w:r w:rsidRPr="00C73C58">
        <w:rPr>
          <w:rStyle w:val="a5"/>
        </w:rPr>
        <w:t>Clinical Therapeutics</w:t>
      </w:r>
      <w:r w:rsidR="00DF61FE">
        <w:fldChar w:fldCharType="end"/>
      </w:r>
    </w:p>
    <w:p w:rsidR="003474F2" w:rsidRPr="001A3D2B" w:rsidRDefault="003474F2" w:rsidP="003474F2">
      <w:pPr>
        <w:pStyle w:val="12"/>
      </w:pPr>
      <w:r w:rsidRPr="001A3D2B">
        <w:t>ISO Abbreviated Title: Clin</w:t>
      </w:r>
      <w:r w:rsidR="00A37C1D">
        <w:t>. The</w:t>
      </w:r>
      <w:r w:rsidRPr="001A3D2B">
        <w:t>r.</w:t>
      </w:r>
    </w:p>
    <w:p w:rsidR="003474F2" w:rsidRPr="001A3D2B" w:rsidRDefault="003474F2" w:rsidP="003474F2">
      <w:pPr>
        <w:pStyle w:val="12"/>
      </w:pPr>
      <w:r w:rsidRPr="001A3D2B">
        <w:t>JCR Abbreviated Title: Clin Ther</w:t>
      </w:r>
    </w:p>
    <w:p w:rsidR="003474F2" w:rsidRPr="001A3D2B" w:rsidRDefault="003474F2" w:rsidP="003474F2">
      <w:pPr>
        <w:pStyle w:val="12"/>
      </w:pPr>
      <w:r w:rsidRPr="001A3D2B">
        <w:t>ISSN: 0149-2918</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Excerpta Medica Inc</w:t>
      </w:r>
    </w:p>
    <w:p w:rsidR="003474F2" w:rsidRPr="001A3D2B" w:rsidRDefault="003474F2" w:rsidP="003474F2">
      <w:pPr>
        <w:pStyle w:val="12"/>
      </w:pPr>
      <w:r w:rsidRPr="001A3D2B">
        <w:t>Publisher Address: 650 Avenue</w:t>
      </w:r>
      <w:r w:rsidR="00427468">
        <w:t xml:space="preserve"> of </w:t>
      </w:r>
      <w:r w:rsidR="003A1917">
        <w:t xml:space="preserve">the </w:t>
      </w:r>
      <w:r w:rsidRPr="001A3D2B">
        <w:t xml:space="preserve">Americas, </w:t>
      </w:r>
      <w:smartTag w:uri="urn:schemas-microsoft-com:office:smarttags" w:element="place">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10011</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Pharmacology &amp; Pharmacy: Impact Factor 2.069, 51/181 (2000)</w:t>
      </w:r>
    </w:p>
    <w:p w:rsidR="003474F2" w:rsidRPr="001A3D2B" w:rsidRDefault="003474F2" w:rsidP="003474F2">
      <w:pPr>
        <w:pStyle w:val="a3"/>
      </w:pPr>
      <w:r w:rsidRPr="001A3D2B">
        <w:t>Shahidi, N.T. (2001), A review</w:t>
      </w:r>
      <w:r w:rsidR="00427468">
        <w:t xml:space="preserve"> of </w:t>
      </w:r>
      <w:r w:rsidR="003A1917">
        <w:t xml:space="preserve">the </w:t>
      </w:r>
      <w:r w:rsidRPr="001A3D2B">
        <w:t>chemistry, biological action,</w:t>
      </w:r>
      <w:r w:rsidR="005853A9">
        <w:t xml:space="preserve"> and </w:t>
      </w:r>
      <w:r w:rsidRPr="001A3D2B">
        <w:t>clinical applications</w:t>
      </w:r>
      <w:r w:rsidR="00427468">
        <w:t xml:space="preserve"> of </w:t>
      </w:r>
      <w:r w:rsidRPr="001A3D2B">
        <w:t xml:space="preserve">anabolic-androgenic steroids. </w:t>
      </w:r>
      <w:r w:rsidRPr="001A3D2B">
        <w:rPr>
          <w:i/>
          <w:iCs/>
        </w:rPr>
        <w:t>Clinical Therapeutics</w:t>
      </w:r>
      <w:r w:rsidRPr="001A3D2B">
        <w:t xml:space="preserve">, </w:t>
      </w:r>
      <w:r w:rsidRPr="001A3D2B">
        <w:rPr>
          <w:b/>
          <w:bCs/>
        </w:rPr>
        <w:t>23</w:t>
      </w:r>
      <w:r w:rsidRPr="001A3D2B">
        <w:t xml:space="preserve"> (9), 1355-1390.</w:t>
      </w:r>
    </w:p>
    <w:p w:rsidR="003474F2" w:rsidRPr="001A3D2B" w:rsidRDefault="003474F2" w:rsidP="003474F2">
      <w:pPr>
        <w:pStyle w:val="a3"/>
      </w:pPr>
      <w:r w:rsidRPr="001A3D2B">
        <w:t xml:space="preserve">Full Text: </w:t>
      </w:r>
      <w:hyperlink r:id="rId438" w:history="1">
        <w:r w:rsidRPr="001A3D2B">
          <w:rPr>
            <w:rStyle w:val="a5"/>
          </w:rPr>
          <w:t>2001\Cli The23, 1355.pdf</w:t>
        </w:r>
      </w:hyperlink>
    </w:p>
    <w:p w:rsidR="003474F2" w:rsidRPr="001A3D2B" w:rsidRDefault="003474F2" w:rsidP="003474F2">
      <w:pPr>
        <w:pStyle w:val="a3"/>
      </w:pPr>
      <w:r w:rsidRPr="001A3D2B">
        <w:t xml:space="preserve">Abstract: </w:t>
      </w:r>
      <w:r w:rsidRPr="001A3D2B">
        <w:rPr>
          <w:i/>
          <w:iCs/>
        </w:rPr>
        <w:t xml:space="preserve">Background: </w:t>
      </w:r>
      <w:r w:rsidRPr="001A3D2B">
        <w:t>Since its discovery in 1935, numerous derivatives</w:t>
      </w:r>
      <w:r w:rsidR="00427468">
        <w:t xml:space="preserve"> of </w:t>
      </w:r>
      <w:r w:rsidRPr="001A3D2B">
        <w:t>testosterone have been synthesized, with</w:t>
      </w:r>
      <w:r w:rsidR="003A1917">
        <w:t xml:space="preserve"> the </w:t>
      </w:r>
      <w:r w:rsidRPr="001A3D2B">
        <w:t>goals</w:t>
      </w:r>
      <w:r w:rsidR="00427468">
        <w:t xml:space="preserve"> of </w:t>
      </w:r>
      <w:r w:rsidRPr="001A3D2B">
        <w:t>prolonging its biological activity in vivo, producing orally active androgens,</w:t>
      </w:r>
      <w:r w:rsidR="005853A9">
        <w:t xml:space="preserve"> and </w:t>
      </w:r>
      <w:r w:rsidRPr="001A3D2B">
        <w:t>developing products, commonly referred to as anabolic-androgenic steroids (AAS), that are more anabolic</w:t>
      </w:r>
      <w:r w:rsidR="005853A9">
        <w:t xml:space="preserve"> and </w:t>
      </w:r>
      <w:r w:rsidRPr="001A3D2B">
        <w:t>less androgenic than</w:t>
      </w:r>
      <w:r w:rsidR="003A1917">
        <w:t xml:space="preserve"> the </w:t>
      </w:r>
      <w:r w:rsidRPr="001A3D2B">
        <w:t>parent molecule.</w:t>
      </w:r>
    </w:p>
    <w:p w:rsidR="003474F2" w:rsidRPr="001A3D2B" w:rsidRDefault="003474F2" w:rsidP="003474F2">
      <w:pPr>
        <w:pStyle w:val="a3"/>
      </w:pPr>
      <w:r w:rsidRPr="001A3D2B">
        <w:rPr>
          <w:i/>
          <w:iCs/>
        </w:rPr>
        <w:t xml:space="preserve">Objective: </w:t>
      </w:r>
      <w:r w:rsidRPr="001A3D2B">
        <w:t>This article reviews</w:t>
      </w:r>
      <w:r w:rsidR="003A1917">
        <w:t xml:space="preserve"> the </w:t>
      </w:r>
      <w:r w:rsidRPr="001A3D2B">
        <w:t>structure, biotransformation,</w:t>
      </w:r>
      <w:r w:rsidR="005853A9">
        <w:t xml:space="preserve"> and </w:t>
      </w:r>
      <w:r w:rsidRPr="001A3D2B">
        <w:t>mechanism</w:t>
      </w:r>
      <w:r w:rsidR="00427468">
        <w:t xml:space="preserve"> of </w:t>
      </w:r>
      <w:r w:rsidRPr="001A3D2B">
        <w:t>action</w:t>
      </w:r>
      <w:r w:rsidR="00427468">
        <w:t xml:space="preserve"> of </w:t>
      </w:r>
      <w:r w:rsidRPr="001A3D2B">
        <w:t>testosterone</w:t>
      </w:r>
      <w:r w:rsidR="005853A9">
        <w:t xml:space="preserve"> and </w:t>
      </w:r>
      <w:r w:rsidRPr="001A3D2B">
        <w:t>some</w:t>
      </w:r>
      <w:r w:rsidR="00427468">
        <w:t xml:space="preserve"> of </w:t>
      </w:r>
      <w:r w:rsidR="003A1917">
        <w:t xml:space="preserve">the </w:t>
      </w:r>
      <w:r w:rsidRPr="001A3D2B">
        <w:t>most commonly used AAS. Clinical applications</w:t>
      </w:r>
      <w:r w:rsidR="00427468">
        <w:t xml:space="preserve"> of </w:t>
      </w:r>
      <w:r w:rsidR="003A1917">
        <w:t xml:space="preserve">the </w:t>
      </w:r>
      <w:r w:rsidRPr="001A3D2B">
        <w:t>AAS are discussed,</w:t>
      </w:r>
      <w:r w:rsidR="005853A9">
        <w:t xml:space="preserve"> and </w:t>
      </w:r>
      <w:r w:rsidRPr="001A3D2B">
        <w:t>guidelines</w:t>
      </w:r>
      <w:r w:rsidR="005853A9">
        <w:t xml:space="preserve"> and </w:t>
      </w:r>
      <w:r w:rsidRPr="001A3D2B">
        <w:t>therapeutic maneuvers for minimizing their side effects are outlined.</w:t>
      </w:r>
    </w:p>
    <w:p w:rsidR="003474F2" w:rsidRPr="001A3D2B" w:rsidRDefault="003474F2" w:rsidP="003474F2">
      <w:pPr>
        <w:pStyle w:val="a3"/>
      </w:pPr>
      <w:r w:rsidRPr="001A3D2B">
        <w:rPr>
          <w:i/>
          <w:iCs/>
        </w:rPr>
        <w:t xml:space="preserve">Methods: </w:t>
      </w:r>
      <w:r w:rsidRPr="001A3D2B">
        <w:t>Literature for inclusion in this review was identified using</w:t>
      </w:r>
      <w:r w:rsidR="003A1917">
        <w:t xml:space="preserve"> the </w:t>
      </w:r>
      <w:r w:rsidRPr="001A3D2B">
        <w:t>libraries</w:t>
      </w:r>
      <w:r w:rsidR="00427468">
        <w:t xml:space="preserve"> of </w:t>
      </w:r>
      <w:r w:rsidR="003A1917">
        <w:t xml:space="preserve">the </w:t>
      </w:r>
      <w:r w:rsidRPr="001A3D2B">
        <w:t>University</w:t>
      </w:r>
      <w:r w:rsidR="00427468">
        <w:t xml:space="preserve"> of </w:t>
      </w:r>
      <w:r w:rsidRPr="001A3D2B">
        <w:t>Wisconsin Medical School</w:t>
      </w:r>
      <w:r w:rsidR="005853A9">
        <w:t xml:space="preserve"> and </w:t>
      </w:r>
      <w:r w:rsidRPr="001A3D2B">
        <w:t>School</w:t>
      </w:r>
      <w:r w:rsidR="00427468">
        <w:t xml:space="preserve"> of </w:t>
      </w:r>
      <w:r w:rsidRPr="001A3D2B">
        <w:t>Pharmacy,</w:t>
      </w:r>
      <w:r w:rsidR="003A1917">
        <w:t xml:space="preserve"> the </w:t>
      </w:r>
      <w:r w:rsidRPr="001A3D2B">
        <w:t>author</w:t>
      </w:r>
      <w:r w:rsidR="0071223E">
        <w:t>’</w:t>
      </w:r>
      <w:r w:rsidR="00C13DDC">
        <w:t>s</w:t>
      </w:r>
      <w:r w:rsidRPr="001A3D2B">
        <w:t xml:space="preserve"> files,</w:t>
      </w:r>
      <w:r w:rsidR="005853A9">
        <w:t xml:space="preserve"> and </w:t>
      </w:r>
      <w:r w:rsidRPr="001A3D2B">
        <w:t>searches</w:t>
      </w:r>
      <w:r w:rsidR="00427468">
        <w:t xml:space="preserve"> of </w:t>
      </w:r>
      <w:r w:rsidR="00D5664A">
        <w:t>MEDLINE</w:t>
      </w:r>
      <w:r w:rsidRPr="001A3D2B">
        <w:t>, Science Citation Index, Biological Abstracts,</w:t>
      </w:r>
      <w:r w:rsidR="005853A9">
        <w:t xml:space="preserve"> and </w:t>
      </w:r>
      <w:r w:rsidRPr="001A3D2B">
        <w:t>Chemical Abstracts.</w:t>
      </w:r>
    </w:p>
    <w:p w:rsidR="003474F2" w:rsidRPr="001A3D2B" w:rsidRDefault="003474F2" w:rsidP="003474F2">
      <w:pPr>
        <w:pStyle w:val="a3"/>
      </w:pPr>
      <w:r w:rsidRPr="001A3D2B">
        <w:rPr>
          <w:i/>
          <w:iCs/>
        </w:rPr>
        <w:t>Results:</w:t>
      </w:r>
      <w:r w:rsidR="003A1917">
        <w:rPr>
          <w:i/>
          <w:iCs/>
        </w:rPr>
        <w:t xml:space="preserve"> the </w:t>
      </w:r>
      <w:r w:rsidRPr="001A3D2B">
        <w:t>myotrophic action</w:t>
      </w:r>
      <w:r w:rsidR="00427468">
        <w:t xml:space="preserve"> of </w:t>
      </w:r>
      <w:r w:rsidRPr="001A3D2B">
        <w:t>testosterone</w:t>
      </w:r>
      <w:r w:rsidR="005853A9">
        <w:t xml:space="preserve"> and </w:t>
      </w:r>
      <w:r w:rsidRPr="001A3D2B">
        <w:t>its derivatives</w:t>
      </w:r>
      <w:r w:rsidR="005853A9">
        <w:t xml:space="preserve"> and </w:t>
      </w:r>
      <w:r w:rsidRPr="001A3D2B">
        <w:t>their stimulatory effects on</w:t>
      </w:r>
      <w:r w:rsidR="003A1917">
        <w:t xml:space="preserve"> the </w:t>
      </w:r>
      <w:r w:rsidRPr="001A3D2B">
        <w:t>brain have led to widespread use</w:t>
      </w:r>
      <w:r w:rsidR="00427468">
        <w:t xml:space="preserve"> of </w:t>
      </w:r>
      <w:r w:rsidRPr="001A3D2B">
        <w:t>AAS by athletes</w:t>
      </w:r>
      <w:r w:rsidR="005853A9">
        <w:t xml:space="preserve"> and </w:t>
      </w:r>
      <w:r w:rsidR="0071223E">
        <w:t>‘</w:t>
      </w:r>
      <w:r w:rsidRPr="001A3D2B">
        <w:t>recreational</w:t>
      </w:r>
      <w:r w:rsidR="0071223E">
        <w:t>’</w:t>
      </w:r>
      <w:r w:rsidRPr="001A3D2B">
        <w:t xml:space="preserve"> drug users. Consequently, all AAS were classified as class</w:t>
      </w:r>
      <w:r w:rsidR="008C1C37">
        <w:t xml:space="preserve"> III </w:t>
      </w:r>
      <w:r w:rsidRPr="001A3D2B">
        <w:t>controlled substances in 1991. Nonetheless, AAS have shown benefit in a variety</w:t>
      </w:r>
      <w:r w:rsidR="00427468">
        <w:t xml:space="preserve"> of </w:t>
      </w:r>
      <w:r w:rsidRPr="001A3D2B">
        <w:t>human disorders, including HIV-related muscle wasting</w:t>
      </w:r>
      <w:r w:rsidR="005853A9">
        <w:t xml:space="preserve"> and </w:t>
      </w:r>
      <w:r w:rsidRPr="001A3D2B">
        <w:t>other catabolic conditions such as chronic obstructive pulmonary disease, severe burn injuries,</w:t>
      </w:r>
      <w:r w:rsidR="005853A9">
        <w:t xml:space="preserve"> and </w:t>
      </w:r>
      <w:r w:rsidRPr="001A3D2B">
        <w:t>alcoholic hepatitis. Because</w:t>
      </w:r>
      <w:r w:rsidR="00427468">
        <w:t xml:space="preserve"> of </w:t>
      </w:r>
      <w:r w:rsidRPr="001A3D2B">
        <w:t>their diverse biological actions, AAS have been used to treat a variety</w:t>
      </w:r>
      <w:r w:rsidR="00427468">
        <w:t xml:space="preserve"> of </w:t>
      </w:r>
      <w:r w:rsidRPr="001A3D2B">
        <w:t xml:space="preserve">other conditions, including bone marrow failure syndromes, constitutional growth </w:t>
      </w:r>
      <w:r w:rsidRPr="001A3D2B">
        <w:lastRenderedPageBreak/>
        <w:t>retardation in children,</w:t>
      </w:r>
      <w:r w:rsidR="005853A9">
        <w:t xml:space="preserve"> and </w:t>
      </w:r>
      <w:r w:rsidRPr="001A3D2B">
        <w:t>hereditary angioedema. AAS therapy is associated with various side effects that are generally dose related; therefore, illicit use</w:t>
      </w:r>
      <w:r w:rsidR="00427468">
        <w:t xml:space="preserve"> of </w:t>
      </w:r>
      <w:r w:rsidRPr="001A3D2B">
        <w:t>megadoses</w:t>
      </w:r>
      <w:r w:rsidR="00427468">
        <w:t xml:space="preserve"> of </w:t>
      </w:r>
      <w:r w:rsidRPr="001A3D2B">
        <w:t>AAS for</w:t>
      </w:r>
      <w:r w:rsidR="003A1917">
        <w:t xml:space="preserve"> the </w:t>
      </w:r>
      <w:r w:rsidRPr="001A3D2B">
        <w:t>purpose</w:t>
      </w:r>
      <w:r w:rsidR="00427468">
        <w:t xml:space="preserve"> of </w:t>
      </w:r>
      <w:r w:rsidRPr="001A3D2B">
        <w:t>bodybuilding</w:t>
      </w:r>
      <w:r w:rsidR="005853A9">
        <w:t xml:space="preserve"> and </w:t>
      </w:r>
      <w:r w:rsidRPr="001A3D2B">
        <w:t>enhancement</w:t>
      </w:r>
      <w:r w:rsidR="00427468">
        <w:t xml:space="preserve"> of </w:t>
      </w:r>
      <w:r w:rsidRPr="001A3D2B">
        <w:t>athletic performances can lead to serious</w:t>
      </w:r>
      <w:r w:rsidR="005853A9">
        <w:t xml:space="preserve"> and </w:t>
      </w:r>
      <w:r w:rsidRPr="001A3D2B">
        <w:t>irreversible organ damage</w:t>
      </w:r>
      <w:r w:rsidR="00A37C1D">
        <w:t>. The</w:t>
      </w:r>
      <w:r w:rsidR="003A1917">
        <w:t xml:space="preserve"> </w:t>
      </w:r>
      <w:r w:rsidRPr="001A3D2B">
        <w:t>most common side effects</w:t>
      </w:r>
      <w:r w:rsidR="00427468">
        <w:t xml:space="preserve"> of </w:t>
      </w:r>
      <w:r w:rsidRPr="001A3D2B">
        <w:t>AAS are some degree</w:t>
      </w:r>
      <w:r w:rsidR="00427468">
        <w:t xml:space="preserve"> of </w:t>
      </w:r>
      <w:r w:rsidRPr="001A3D2B">
        <w:t>masculinization in women</w:t>
      </w:r>
      <w:r w:rsidR="005853A9">
        <w:t xml:space="preserve"> and </w:t>
      </w:r>
      <w:r w:rsidRPr="001A3D2B">
        <w:t>children, behavioral changes (eg, aggression), hepatotoxicity,</w:t>
      </w:r>
      <w:r w:rsidR="005853A9">
        <w:t xml:space="preserve"> and </w:t>
      </w:r>
      <w:r w:rsidRPr="001A3D2B">
        <w:t>alteration</w:t>
      </w:r>
      <w:r w:rsidR="00427468">
        <w:t xml:space="preserve"> of </w:t>
      </w:r>
      <w:r w:rsidRPr="001A3D2B">
        <w:t>blood lipid levels</w:t>
      </w:r>
      <w:r w:rsidR="005853A9">
        <w:t xml:space="preserve"> and </w:t>
      </w:r>
      <w:r w:rsidRPr="001A3D2B">
        <w:t>coagulation factors.</w:t>
      </w:r>
    </w:p>
    <w:p w:rsidR="003474F2" w:rsidRPr="001A3D2B" w:rsidRDefault="003474F2" w:rsidP="003474F2">
      <w:pPr>
        <w:pStyle w:val="a3"/>
      </w:pPr>
      <w:r w:rsidRPr="001A3D2B">
        <w:rPr>
          <w:i/>
          <w:iCs/>
        </w:rPr>
        <w:t xml:space="preserve">Conclusions: </w:t>
      </w:r>
      <w:r w:rsidRPr="001A3D2B">
        <w:t>To minimize or avoid serious toxicities with AAS therapy, close medical supervision</w:t>
      </w:r>
      <w:r w:rsidR="005853A9">
        <w:t xml:space="preserve"> and </w:t>
      </w:r>
      <w:r w:rsidRPr="001A3D2B">
        <w:t>periodic monitoring are important, with dose adjustment as appropriate to achieve</w:t>
      </w:r>
      <w:r w:rsidR="003A1917">
        <w:t xml:space="preserve"> the </w:t>
      </w:r>
      <w:r w:rsidRPr="001A3D2B">
        <w:t>minimum effective dose. Given</w:t>
      </w:r>
      <w:r w:rsidR="003A1917">
        <w:t xml:space="preserve"> the </w:t>
      </w:r>
      <w:r w:rsidRPr="001A3D2B">
        <w:t>biological effects</w:t>
      </w:r>
      <w:r w:rsidR="005853A9">
        <w:t xml:space="preserve"> and </w:t>
      </w:r>
      <w:r w:rsidRPr="001A3D2B">
        <w:t>potential adverse effects</w:t>
      </w:r>
      <w:r w:rsidR="00427468">
        <w:t xml:space="preserve"> of </w:t>
      </w:r>
      <w:r w:rsidRPr="001A3D2B">
        <w:t>AAS, administration</w:t>
      </w:r>
      <w:r w:rsidR="00427468">
        <w:t xml:space="preserve"> of </w:t>
      </w:r>
      <w:r w:rsidRPr="001A3D2B">
        <w:t>these agents should be avoided in pregnant women, women with breast cancer or hypercalcemia, men with carcinoma</w:t>
      </w:r>
      <w:r w:rsidR="00427468">
        <w:t xml:space="preserve"> of </w:t>
      </w:r>
      <w:r w:rsidR="003A1917">
        <w:t xml:space="preserve">the </w:t>
      </w:r>
      <w:r w:rsidRPr="001A3D2B">
        <w:t>prostate or breast,</w:t>
      </w:r>
      <w:r w:rsidR="005853A9">
        <w:t xml:space="preserve"> and </w:t>
      </w:r>
      <w:r w:rsidRPr="001A3D2B">
        <w:t>patients with nephrotic syndromes or significant liver dysfunction.</w:t>
      </w:r>
    </w:p>
    <w:p w:rsidR="003474F2" w:rsidRPr="001A3D2B" w:rsidRDefault="003474F2" w:rsidP="003474F2">
      <w:pPr>
        <w:pStyle w:val="a3"/>
      </w:pPr>
      <w:r w:rsidRPr="001A3D2B">
        <w:t>Keywords: Testosterone, Anabolic-Androgenic Steroids, Anabolic Steroids</w:t>
      </w:r>
    </w:p>
    <w:p w:rsidR="003474F2" w:rsidRPr="001A3D2B" w:rsidRDefault="003474F2" w:rsidP="003474F2">
      <w:pPr>
        <w:pStyle w:val="a3"/>
      </w:pPr>
      <w:r w:rsidRPr="001A3D2B">
        <w:t>Chilcott, J., Tappenden, P., Jones, M.L.</w:t>
      </w:r>
      <w:r w:rsidR="005853A9">
        <w:t xml:space="preserve"> and </w:t>
      </w:r>
      <w:r w:rsidRPr="001A3D2B">
        <w:t>Wight, J.P. (2001), A systematic review</w:t>
      </w:r>
      <w:r w:rsidR="00427468">
        <w:t xml:space="preserve"> of </w:t>
      </w:r>
      <w:r w:rsidR="003A1917">
        <w:t xml:space="preserve">the </w:t>
      </w:r>
      <w:r w:rsidRPr="001A3D2B">
        <w:t>clinical effectiveness</w:t>
      </w:r>
      <w:r w:rsidR="00427468">
        <w:t xml:space="preserve"> of </w:t>
      </w:r>
      <w:r w:rsidRPr="001A3D2B">
        <w:t>pioglitazone in</w:t>
      </w:r>
      <w:r w:rsidR="003A1917">
        <w:t xml:space="preserve"> the </w:t>
      </w:r>
      <w:r w:rsidRPr="001A3D2B">
        <w:t>treatment</w:t>
      </w:r>
      <w:r w:rsidR="00427468">
        <w:t xml:space="preserve"> of </w:t>
      </w:r>
      <w:r w:rsidRPr="001A3D2B">
        <w:t xml:space="preserve">type 2 diabetes mellitus. </w:t>
      </w:r>
      <w:r w:rsidRPr="001A3D2B">
        <w:rPr>
          <w:i/>
          <w:iCs/>
        </w:rPr>
        <w:t>Clinical Therapeutics</w:t>
      </w:r>
      <w:r w:rsidRPr="001A3D2B">
        <w:t xml:space="preserve">, </w:t>
      </w:r>
      <w:r w:rsidRPr="001A3D2B">
        <w:rPr>
          <w:b/>
          <w:bCs/>
        </w:rPr>
        <w:t>23</w:t>
      </w:r>
      <w:r w:rsidRPr="001A3D2B">
        <w:t xml:space="preserve"> (11), 1792-1823.</w:t>
      </w:r>
    </w:p>
    <w:p w:rsidR="003474F2" w:rsidRPr="001A3D2B" w:rsidRDefault="003474F2" w:rsidP="003474F2">
      <w:pPr>
        <w:pStyle w:val="a3"/>
      </w:pPr>
      <w:r w:rsidRPr="001A3D2B">
        <w:t xml:space="preserve">Full Text: </w:t>
      </w:r>
      <w:hyperlink r:id="rId439" w:history="1">
        <w:r w:rsidRPr="001A3D2B">
          <w:rPr>
            <w:rStyle w:val="a5"/>
          </w:rPr>
          <w:t>2001\Cli The23, 1792.pdf</w:t>
        </w:r>
      </w:hyperlink>
    </w:p>
    <w:p w:rsidR="003474F2" w:rsidRPr="001A3D2B" w:rsidRDefault="003474F2" w:rsidP="003474F2">
      <w:pPr>
        <w:pStyle w:val="a3"/>
      </w:pPr>
      <w:r w:rsidRPr="001A3D2B">
        <w:t>Abstract: Background: Pioglitazone is a member</w:t>
      </w:r>
      <w:r w:rsidR="00427468">
        <w:t xml:space="preserve"> of </w:t>
      </w:r>
      <w:r w:rsidRPr="001A3D2B">
        <w:t>a recently developed class</w:t>
      </w:r>
      <w:r w:rsidR="00427468">
        <w:t xml:space="preserve"> of </w:t>
      </w:r>
      <w:r w:rsidRPr="001A3D2B">
        <w:t>glucose-lowering agents,</w:t>
      </w:r>
      <w:r w:rsidR="003A1917">
        <w:t xml:space="preserve"> the </w:t>
      </w:r>
      <w:r w:rsidRPr="001A3D2B">
        <w:t>thiazolidinediones. used in</w:t>
      </w:r>
      <w:r w:rsidR="003A1917">
        <w:t xml:space="preserve"> the </w:t>
      </w:r>
      <w:r w:rsidRPr="001A3D2B">
        <w:t>treatment</w:t>
      </w:r>
      <w:r w:rsidR="00427468">
        <w:t xml:space="preserve"> of </w:t>
      </w:r>
      <w:r w:rsidRPr="001A3D2B">
        <w:t>type 2 diabetes mellitus. In</w:t>
      </w:r>
      <w:r w:rsidR="003A1917">
        <w:t xml:space="preserve"> the </w:t>
      </w:r>
      <w:r w:rsidRPr="001A3D2B">
        <w:t>United States, it is approved for use both as monotherapy</w:t>
      </w:r>
      <w:r w:rsidR="005853A9">
        <w:t xml:space="preserve"> and </w:t>
      </w:r>
      <w:r w:rsidRPr="001A3D2B">
        <w:t xml:space="preserve">in combination with metformin. a sulfonylurea, or insulin: in </w:t>
      </w:r>
      <w:smartTag w:uri="urn:schemas-microsoft-com:office:smarttags" w:element="place">
        <w:r w:rsidRPr="001A3D2B">
          <w:t>Europe</w:t>
        </w:r>
      </w:smartTag>
      <w:r w:rsidRPr="001A3D2B">
        <w:t>, it is approved for use in combination with metformin or a sulfonylurea but not insulin.</w:t>
      </w:r>
    </w:p>
    <w:p w:rsidR="003474F2" w:rsidRPr="001A3D2B" w:rsidRDefault="003474F2" w:rsidP="003474F2">
      <w:pPr>
        <w:pStyle w:val="a3"/>
      </w:pPr>
      <w:r w:rsidRPr="001A3D2B">
        <w:t>Objective: This article presents a systematic review</w:t>
      </w:r>
      <w:r w:rsidR="00427468">
        <w:t xml:space="preserve"> of </w:t>
      </w:r>
      <w:r w:rsidR="003A1917">
        <w:t xml:space="preserve">the </w:t>
      </w:r>
      <w:r w:rsidRPr="001A3D2B">
        <w:t>published literature on</w:t>
      </w:r>
      <w:r w:rsidR="003A1917">
        <w:t xml:space="preserve"> the </w:t>
      </w:r>
      <w:r w:rsidRPr="001A3D2B">
        <w:t>effectiveness</w:t>
      </w:r>
      <w:r w:rsidR="00427468">
        <w:t xml:space="preserve"> of </w:t>
      </w:r>
      <w:r w:rsidRPr="001A3D2B">
        <w:t>pioglitazone in</w:t>
      </w:r>
      <w:r w:rsidR="003A1917">
        <w:t xml:space="preserve"> the </w:t>
      </w:r>
      <w:r w:rsidRPr="001A3D2B">
        <w:t>treatment</w:t>
      </w:r>
      <w:r w:rsidR="00427468">
        <w:t xml:space="preserve"> of </w:t>
      </w:r>
      <w:r w:rsidRPr="001A3D2B">
        <w:t>type 2 diabetes, both as monotherapy</w:t>
      </w:r>
      <w:r w:rsidR="005853A9">
        <w:t xml:space="preserve"> and </w:t>
      </w:r>
      <w:r w:rsidRPr="001A3D2B">
        <w:t>in combination with other antidiabetic agents.</w:t>
      </w:r>
    </w:p>
    <w:p w:rsidR="003474F2" w:rsidRPr="001A3D2B" w:rsidRDefault="003474F2" w:rsidP="003474F2">
      <w:pPr>
        <w:pStyle w:val="a3"/>
      </w:pPr>
      <w:r w:rsidRPr="001A3D2B">
        <w:t>Methods:</w:t>
      </w:r>
      <w:r w:rsidR="003A1917">
        <w:t xml:space="preserve"> the </w:t>
      </w:r>
      <w:r w:rsidRPr="001A3D2B">
        <w:t>peer-reviewed English-</w:t>
      </w:r>
      <w:r w:rsidR="005853A9">
        <w:t xml:space="preserve"> and </w:t>
      </w:r>
      <w:r w:rsidRPr="001A3D2B">
        <w:t xml:space="preserve">foreign-language literature was searched using </w:t>
      </w:r>
      <w:r w:rsidR="00D5664A">
        <w:t>MEDLINE</w:t>
      </w:r>
      <w:r w:rsidRPr="001A3D2B">
        <w:t xml:space="preserve">. </w:t>
      </w:r>
      <w:r w:rsidR="002C12F0">
        <w:t>PUBMED</w:t>
      </w:r>
      <w:r w:rsidRPr="001A3D2B">
        <w:t>, EMBASE, Science Citation Index,</w:t>
      </w:r>
      <w:r w:rsidR="003A1917">
        <w:t xml:space="preserve"> the </w:t>
      </w:r>
      <w:r w:rsidRPr="001A3D2B">
        <w:t>Cochrane Database</w:t>
      </w:r>
      <w:r w:rsidR="00427468">
        <w:t xml:space="preserve"> of </w:t>
      </w:r>
      <w:r w:rsidRPr="001A3D2B">
        <w:t>Systematic Reviews</w:t>
      </w:r>
      <w:r w:rsidR="00A37C1D">
        <w:t>. The</w:t>
      </w:r>
      <w:r w:rsidR="003A1917">
        <w:t xml:space="preserve"> </w:t>
      </w:r>
      <w:r w:rsidRPr="001A3D2B">
        <w:t>Cochrane Controlled Trials Register,</w:t>
      </w:r>
      <w:r w:rsidR="003A1917">
        <w:t xml:space="preserve"> the </w:t>
      </w:r>
      <w:r w:rsidRPr="001A3D2B">
        <w:t>UK National Health Service Centre for Reviews</w:t>
      </w:r>
      <w:r w:rsidR="005853A9">
        <w:t xml:space="preserve"> and </w:t>
      </w:r>
      <w:r w:rsidRPr="001A3D2B">
        <w:t>Dissemination databases,</w:t>
      </w:r>
      <w:r w:rsidR="005853A9">
        <w:t xml:space="preserve"> and </w:t>
      </w:r>
      <w:r w:rsidR="003A1917">
        <w:t xml:space="preserve">the </w:t>
      </w:r>
      <w:r w:rsidRPr="001A3D2B">
        <w:t>Office</w:t>
      </w:r>
      <w:r w:rsidR="00427468">
        <w:t xml:space="preserve"> of </w:t>
      </w:r>
      <w:r w:rsidRPr="001A3D2B">
        <w:t>Health Economics Health Economic Evaluations Database. Searches were not limited to specific publication types, study designs, dates, or languages</w:t>
      </w:r>
      <w:r w:rsidR="00A37C1D">
        <w:t>. The</w:t>
      </w:r>
      <w:r w:rsidR="003A1917">
        <w:t xml:space="preserve"> </w:t>
      </w:r>
      <w:r w:rsidRPr="001A3D2B">
        <w:t>latest search was performed in March 2001. For a trial to be included in</w:t>
      </w:r>
      <w:r w:rsidR="003A1917">
        <w:t xml:space="preserve"> the </w:t>
      </w:r>
      <w:r w:rsidRPr="001A3D2B">
        <w:t>review, at least 1 outcome measure had to involve</w:t>
      </w:r>
      <w:r w:rsidR="003A1917">
        <w:t xml:space="preserve"> the </w:t>
      </w:r>
      <w:r w:rsidRPr="001A3D2B">
        <w:t>effects</w:t>
      </w:r>
      <w:r w:rsidR="00427468">
        <w:t xml:space="preserve"> of </w:t>
      </w:r>
      <w:r w:rsidRPr="001A3D2B">
        <w:t>pioglitazone on glycemic control or cardiovascular risk factors, or its side effects. Because</w:t>
      </w:r>
      <w:r w:rsidR="00427468">
        <w:t xml:space="preserve"> of </w:t>
      </w:r>
      <w:r w:rsidR="003A1917">
        <w:t xml:space="preserve">the </w:t>
      </w:r>
      <w:r w:rsidRPr="001A3D2B">
        <w:t>heterogeneity</w:t>
      </w:r>
      <w:r w:rsidR="00427468">
        <w:t xml:space="preserve"> of </w:t>
      </w:r>
      <w:r w:rsidRPr="001A3D2B">
        <w:t>studies, no formal meta-analysis was performed.</w:t>
      </w:r>
    </w:p>
    <w:p w:rsidR="003474F2" w:rsidRPr="001A3D2B" w:rsidRDefault="003474F2" w:rsidP="003474F2">
      <w:pPr>
        <w:pStyle w:val="a3"/>
      </w:pPr>
      <w:r w:rsidRPr="001A3D2B">
        <w:t>Results: Eleven studies met</w:t>
      </w:r>
      <w:r w:rsidR="003A1917">
        <w:t xml:space="preserve"> the </w:t>
      </w:r>
      <w:r w:rsidRPr="001A3D2B">
        <w:t>inclusion criteria. 6 involving pioglitazone monotherapy</w:t>
      </w:r>
      <w:r w:rsidR="005853A9">
        <w:t xml:space="preserve"> and </w:t>
      </w:r>
      <w:r w:rsidRPr="001A3D2B">
        <w:t>5 involving combination therapy. Full reports were available for only 6</w:t>
      </w:r>
      <w:r w:rsidR="00427468">
        <w:t xml:space="preserve"> of </w:t>
      </w:r>
      <w:r w:rsidR="003A1917">
        <w:t xml:space="preserve">the </w:t>
      </w:r>
      <w:r w:rsidRPr="001A3D2B">
        <w:t xml:space="preserve">11 </w:t>
      </w:r>
      <w:r w:rsidRPr="001A3D2B">
        <w:lastRenderedPageBreak/>
        <w:t>studies. No studies directly compared pioglitazone with other antidiabetic drugs. Both as monotherapy</w:t>
      </w:r>
      <w:r w:rsidR="005853A9">
        <w:t xml:space="preserve"> and </w:t>
      </w:r>
      <w:r w:rsidRPr="001A3D2B">
        <w:t>in combination therapy, pioglitazone produced decreases in blood glucose levels (up to 95 mg/dL)</w:t>
      </w:r>
      <w:r w:rsidR="005853A9">
        <w:t xml:space="preserve"> and </w:t>
      </w:r>
      <w:r w:rsidRPr="001A3D2B">
        <w:t>glycosylated hemoglobin (up to 2.6%). At doses</w:t>
      </w:r>
      <w:r w:rsidR="00427468">
        <w:t xml:space="preserve"> of </w:t>
      </w:r>
      <w:r w:rsidRPr="001A3D2B">
        <w:t>greater than or equal to 30 mg/d. pioglitazone was associated with reductions in triglyceride levels (similar to 30-70 mg/dL)</w:t>
      </w:r>
      <w:r w:rsidR="005853A9">
        <w:t xml:space="preserve"> and </w:t>
      </w:r>
      <w:r w:rsidRPr="001A3D2B">
        <w:t xml:space="preserve">increases in high-density lipoprotein cholesterol (HDL-C) levels (similar to4-5 mg/dL). Pioglitazone treatment was associated with significant weight gain (up to </w:t>
      </w:r>
      <w:smartTag w:uri="urn:schemas-microsoft-com:office:smarttags" w:element="chmetcnv">
        <w:smartTagPr>
          <w:attr w:name="TCSC" w:val="0"/>
          <w:attr w:name="NumberType" w:val="1"/>
          <w:attr w:name="Negative" w:val="False"/>
          <w:attr w:name="HasSpace" w:val="True"/>
          <w:attr w:name="SourceValue" w:val="4"/>
          <w:attr w:name="UnitName" w:val="kg"/>
        </w:smartTagPr>
        <w:r w:rsidRPr="001A3D2B">
          <w:t>4 kg</w:t>
        </w:r>
      </w:smartTag>
      <w:r w:rsidRPr="001A3D2B">
        <w:t xml:space="preserve"> over 16 weeks). Adverse effects included mild edema (in up to 11.7%</w:t>
      </w:r>
      <w:r w:rsidR="00427468">
        <w:t xml:space="preserve"> of </w:t>
      </w:r>
      <w:r w:rsidRPr="001A3D2B">
        <w:t>patients)</w:t>
      </w:r>
      <w:r w:rsidR="005853A9">
        <w:t xml:space="preserve"> and </w:t>
      </w:r>
      <w:r w:rsidRPr="001A3D2B">
        <w:t>a clinically nonsignificant decrease in hemoglobin concentrations. Abnormal results on liver function testing were no more common in treated patients than in control groups.</w:t>
      </w:r>
    </w:p>
    <w:p w:rsidR="003474F2" w:rsidRPr="001A3D2B" w:rsidRDefault="003474F2" w:rsidP="003474F2">
      <w:pPr>
        <w:pStyle w:val="a3"/>
      </w:pPr>
      <w:r w:rsidRPr="001A3D2B">
        <w:t>Conclusions: Pioglitazone has been shown to reduce blood glucose levels in patients with type 2 diabetes. Although</w:t>
      </w:r>
      <w:r w:rsidR="003A1917">
        <w:t xml:space="preserve"> the </w:t>
      </w:r>
      <w:r w:rsidRPr="001A3D2B">
        <w:t>observed decreases in triglyceride levels</w:t>
      </w:r>
      <w:r w:rsidR="005853A9">
        <w:t xml:space="preserve"> and </w:t>
      </w:r>
      <w:r w:rsidRPr="001A3D2B">
        <w:t>increases in HDL-C levels could be expected to lead to a reduction in cardiovascular risk,</w:t>
      </w:r>
      <w:r w:rsidR="003A1917">
        <w:t xml:space="preserve"> the </w:t>
      </w:r>
      <w:r w:rsidRPr="001A3D2B">
        <w:t>effects</w:t>
      </w:r>
      <w:r w:rsidR="00427468">
        <w:t xml:space="preserve"> of </w:t>
      </w:r>
      <w:r w:rsidRPr="001A3D2B">
        <w:t>weight gain may counteract this benefit</w:t>
      </w:r>
      <w:r w:rsidR="00A37C1D">
        <w:t>. The</w:t>
      </w:r>
      <w:r w:rsidR="003A1917">
        <w:t xml:space="preserve"> </w:t>
      </w:r>
      <w:r w:rsidRPr="001A3D2B">
        <w:t>evidence suggests that</w:t>
      </w:r>
      <w:r w:rsidR="003A1917">
        <w:t xml:space="preserve"> the </w:t>
      </w:r>
      <w:r w:rsidRPr="001A3D2B">
        <w:t>preferred role for pioglitazone may be as an adjunct to metformin or a sulfonylurea in patients whose condition is not well controlled with monotherapy</w:t>
      </w:r>
      <w:r w:rsidR="005853A9">
        <w:t xml:space="preserve"> and </w:t>
      </w:r>
      <w:r w:rsidRPr="001A3D2B">
        <w:t>for whom a metformin-sulfonylurea combination is contraindicated</w:t>
      </w:r>
      <w:r w:rsidR="00A37C1D">
        <w:t>. The</w:t>
      </w:r>
      <w:r w:rsidRPr="001A3D2B">
        <w:t>re is a need for large-scale, long-term studies comparing</w:t>
      </w:r>
      <w:r w:rsidR="003A1917">
        <w:t xml:space="preserve"> the </w:t>
      </w:r>
      <w:r w:rsidRPr="001A3D2B">
        <w:t>effectiveness</w:t>
      </w:r>
      <w:r w:rsidR="00427468">
        <w:t xml:space="preserve"> of </w:t>
      </w:r>
      <w:r w:rsidRPr="001A3D2B">
        <w:t>combination therapy that includes pioglitazone with that</w:t>
      </w:r>
      <w:r w:rsidR="00427468">
        <w:t xml:space="preserve"> of </w:t>
      </w:r>
      <w:r w:rsidRPr="001A3D2B">
        <w:t>other combinations</w:t>
      </w:r>
      <w:r w:rsidR="00427468">
        <w:t xml:space="preserve"> of </w:t>
      </w:r>
      <w:r w:rsidRPr="001A3D2B">
        <w:t>antidiabetic drugs.</w:t>
      </w:r>
    </w:p>
    <w:p w:rsidR="003474F2" w:rsidRPr="001A3D2B" w:rsidRDefault="003474F2" w:rsidP="003474F2">
      <w:pPr>
        <w:pStyle w:val="a3"/>
      </w:pPr>
      <w:r w:rsidRPr="001A3D2B">
        <w:t>Keywords: Pioglitazone, Systematic Review, Diabetes, Thiazolidinediones, Oral Hypoglycemic Agents, Trials</w:t>
      </w:r>
    </w:p>
    <w:p w:rsidR="00BC6E79" w:rsidRDefault="00BC6E79" w:rsidP="00BC6E79">
      <w:pPr>
        <w:pStyle w:val="a3"/>
        <w:rPr>
          <w:kern w:val="0"/>
        </w:rPr>
      </w:pPr>
      <w:r>
        <w:rPr>
          <w:rFonts w:hint="eastAsia"/>
          <w:kern w:val="0"/>
        </w:rPr>
        <w:t xml:space="preserve">? </w:t>
      </w:r>
      <w:r>
        <w:rPr>
          <w:kern w:val="0"/>
        </w:rPr>
        <w:t>Campbell, R.K., White, J.R., Levien, T.</w:t>
      </w:r>
      <w:r w:rsidR="005853A9">
        <w:rPr>
          <w:kern w:val="0"/>
        </w:rPr>
        <w:t xml:space="preserve"> and </w:t>
      </w:r>
      <w:r>
        <w:rPr>
          <w:kern w:val="0"/>
        </w:rPr>
        <w:t xml:space="preserve">Baker, D. (2001), Insulin glargine. </w:t>
      </w:r>
      <w:r>
        <w:rPr>
          <w:i/>
          <w:iCs/>
          <w:kern w:val="0"/>
        </w:rPr>
        <w:t>Clinical Therapeutics</w:t>
      </w:r>
      <w:r>
        <w:rPr>
          <w:kern w:val="0"/>
        </w:rPr>
        <w:t xml:space="preserve">, </w:t>
      </w:r>
      <w:r>
        <w:rPr>
          <w:b/>
          <w:bCs/>
          <w:kern w:val="0"/>
        </w:rPr>
        <w:t>23</w:t>
      </w:r>
      <w:r>
        <w:rPr>
          <w:kern w:val="0"/>
        </w:rPr>
        <w:t xml:space="preserve"> (12), 1938-1957.</w:t>
      </w:r>
    </w:p>
    <w:p w:rsidR="00BC6E79" w:rsidRPr="001A3D2B" w:rsidRDefault="00BC6E79" w:rsidP="00BC6E79">
      <w:pPr>
        <w:pStyle w:val="a3"/>
      </w:pPr>
      <w:r w:rsidRPr="001A3D2B">
        <w:t xml:space="preserve">Full Text: </w:t>
      </w:r>
      <w:hyperlink r:id="rId440" w:history="1">
        <w:r w:rsidR="00D562CB" w:rsidRPr="00D562CB">
          <w:rPr>
            <w:rStyle w:val="a5"/>
          </w:rPr>
          <w:t>2001\Cli The23, 1938.pdf</w:t>
        </w:r>
      </w:hyperlink>
    </w:p>
    <w:p w:rsidR="00BC6E79" w:rsidRDefault="00BC6E79" w:rsidP="00BC6E79">
      <w:pPr>
        <w:pStyle w:val="a3"/>
        <w:rPr>
          <w:kern w:val="0"/>
        </w:rPr>
      </w:pPr>
      <w:r>
        <w:rPr>
          <w:kern w:val="0"/>
        </w:rPr>
        <w:t>Abstract: Background: In diabetes mellitus,</w:t>
      </w:r>
      <w:r w:rsidR="003A1917">
        <w:rPr>
          <w:kern w:val="0"/>
        </w:rPr>
        <w:t xml:space="preserve"> the </w:t>
      </w:r>
      <w:r>
        <w:rPr>
          <w:kern w:val="0"/>
        </w:rPr>
        <w:t>clinical goal</w:t>
      </w:r>
      <w:r w:rsidR="00427468">
        <w:rPr>
          <w:kern w:val="0"/>
        </w:rPr>
        <w:t xml:space="preserve"> of </w:t>
      </w:r>
      <w:r>
        <w:rPr>
          <w:kern w:val="0"/>
        </w:rPr>
        <w:t>intensive glycemic control (lowering blood glucose concentrations to normal or near-normal levels) has been hindered by</w:t>
      </w:r>
      <w:r w:rsidR="003A1917">
        <w:rPr>
          <w:kern w:val="0"/>
        </w:rPr>
        <w:t xml:space="preserve"> the </w:t>
      </w:r>
      <w:r>
        <w:rPr>
          <w:kern w:val="0"/>
        </w:rPr>
        <w:t>lack</w:t>
      </w:r>
      <w:r w:rsidR="00427468">
        <w:rPr>
          <w:kern w:val="0"/>
        </w:rPr>
        <w:t xml:space="preserve"> of </w:t>
      </w:r>
      <w:r>
        <w:rPr>
          <w:kern w:val="0"/>
        </w:rPr>
        <w:t>insulin regimens that duplicate</w:t>
      </w:r>
      <w:r w:rsidR="003A1917">
        <w:rPr>
          <w:kern w:val="0"/>
        </w:rPr>
        <w:t xml:space="preserve"> the </w:t>
      </w:r>
      <w:r>
        <w:rPr>
          <w:kern w:val="0"/>
        </w:rPr>
        <w:t>basal-bolus secretion</w:t>
      </w:r>
      <w:r w:rsidR="00427468">
        <w:rPr>
          <w:kern w:val="0"/>
        </w:rPr>
        <w:t xml:space="preserve"> of </w:t>
      </w:r>
      <w:r>
        <w:rPr>
          <w:kern w:val="0"/>
        </w:rPr>
        <w:t>insulin by</w:t>
      </w:r>
      <w:r w:rsidR="003A1917">
        <w:rPr>
          <w:kern w:val="0"/>
        </w:rPr>
        <w:t xml:space="preserve"> the </w:t>
      </w:r>
      <w:r>
        <w:rPr>
          <w:kern w:val="0"/>
        </w:rPr>
        <w:t>healthy pancreas. In particular, intensive therapy has been associated with a risk</w:t>
      </w:r>
      <w:r w:rsidR="00427468">
        <w:rPr>
          <w:kern w:val="0"/>
        </w:rPr>
        <w:t xml:space="preserve"> of </w:t>
      </w:r>
      <w:r>
        <w:rPr>
          <w:kern w:val="0"/>
        </w:rPr>
        <w:t>hypoglycemia. Objective: This article reviews</w:t>
      </w:r>
      <w:r w:rsidR="003A1917">
        <w:rPr>
          <w:kern w:val="0"/>
        </w:rPr>
        <w:t xml:space="preserve"> the </w:t>
      </w:r>
      <w:r>
        <w:rPr>
          <w:kern w:val="0"/>
        </w:rPr>
        <w:t>pharmacology, pharmacokinetics, dosing guidelines, adverse effects,</w:t>
      </w:r>
      <w:r w:rsidR="005853A9">
        <w:rPr>
          <w:kern w:val="0"/>
        </w:rPr>
        <w:t xml:space="preserve"> and </w:t>
      </w:r>
      <w:r>
        <w:rPr>
          <w:kern w:val="0"/>
        </w:rPr>
        <w:t>potential drug interactions</w:t>
      </w:r>
      <w:r w:rsidR="00427468">
        <w:rPr>
          <w:kern w:val="0"/>
        </w:rPr>
        <w:t xml:space="preserve"> of </w:t>
      </w:r>
      <w:r>
        <w:rPr>
          <w:kern w:val="0"/>
        </w:rPr>
        <w:t>insulin glargine, a new long-acting recombinant human insulin analogue, Results</w:t>
      </w:r>
      <w:r w:rsidR="00427468">
        <w:rPr>
          <w:kern w:val="0"/>
        </w:rPr>
        <w:t xml:space="preserve"> of </w:t>
      </w:r>
      <w:r>
        <w:rPr>
          <w:kern w:val="0"/>
        </w:rPr>
        <w:t>clinical trials</w:t>
      </w:r>
      <w:r w:rsidR="00427468">
        <w:rPr>
          <w:kern w:val="0"/>
        </w:rPr>
        <w:t xml:space="preserve"> of </w:t>
      </w:r>
      <w:r>
        <w:rPr>
          <w:kern w:val="0"/>
        </w:rPr>
        <w:t>its efficacy</w:t>
      </w:r>
      <w:r w:rsidR="005853A9">
        <w:rPr>
          <w:kern w:val="0"/>
        </w:rPr>
        <w:t xml:space="preserve"> and </w:t>
      </w:r>
      <w:r>
        <w:rPr>
          <w:kern w:val="0"/>
        </w:rPr>
        <w:t>tolerability as a basal insulin in</w:t>
      </w:r>
      <w:r w:rsidR="003A1917">
        <w:rPr>
          <w:kern w:val="0"/>
        </w:rPr>
        <w:t xml:space="preserve"> the </w:t>
      </w:r>
      <w:r>
        <w:rPr>
          <w:kern w:val="0"/>
        </w:rPr>
        <w:t>treatment</w:t>
      </w:r>
      <w:r w:rsidR="00427468">
        <w:rPr>
          <w:kern w:val="0"/>
        </w:rPr>
        <w:t xml:space="preserve"> of </w:t>
      </w:r>
      <w:r>
        <w:rPr>
          <w:kern w:val="0"/>
        </w:rPr>
        <w:t>type 1</w:t>
      </w:r>
      <w:r w:rsidR="005853A9">
        <w:rPr>
          <w:kern w:val="0"/>
        </w:rPr>
        <w:t xml:space="preserve"> and </w:t>
      </w:r>
      <w:r>
        <w:rPr>
          <w:kern w:val="0"/>
        </w:rPr>
        <w:t>type 2 diabetes are summarized. Methods: Primary research</w:t>
      </w:r>
      <w:r w:rsidR="005853A9">
        <w:rPr>
          <w:kern w:val="0"/>
        </w:rPr>
        <w:t xml:space="preserve"> and </w:t>
      </w:r>
      <w:r>
        <w:rPr>
          <w:kern w:val="0"/>
        </w:rPr>
        <w:t>review articles on insulin glargine were identified through a search</w:t>
      </w:r>
      <w:r w:rsidR="00427468">
        <w:rPr>
          <w:kern w:val="0"/>
        </w:rPr>
        <w:t xml:space="preserve"> of </w:t>
      </w:r>
      <w:r w:rsidR="00D5664A">
        <w:rPr>
          <w:kern w:val="0"/>
        </w:rPr>
        <w:t>MEDLINE</w:t>
      </w:r>
      <w:r>
        <w:rPr>
          <w:kern w:val="0"/>
        </w:rPr>
        <w:t xml:space="preserve"> from 1966 to July 2001. Abstracts were identified through a search</w:t>
      </w:r>
      <w:r w:rsidR="00427468">
        <w:rPr>
          <w:kern w:val="0"/>
        </w:rPr>
        <w:t xml:space="preserve"> of </w:t>
      </w:r>
      <w:r w:rsidR="003A1917">
        <w:rPr>
          <w:kern w:val="0"/>
        </w:rPr>
        <w:t xml:space="preserve">the </w:t>
      </w:r>
      <w:r>
        <w:rPr>
          <w:kern w:val="0"/>
        </w:rPr>
        <w:t xml:space="preserve">Institute for Scientific Information </w:t>
      </w:r>
      <w:r w:rsidR="00D5664A">
        <w:rPr>
          <w:kern w:val="0"/>
        </w:rPr>
        <w:t>Web</w:t>
      </w:r>
      <w:r w:rsidR="00427468">
        <w:rPr>
          <w:kern w:val="0"/>
        </w:rPr>
        <w:t xml:space="preserve"> of </w:t>
      </w:r>
      <w:r w:rsidR="00D5664A">
        <w:rPr>
          <w:kern w:val="0"/>
        </w:rPr>
        <w:t>Science</w:t>
      </w:r>
      <w:r>
        <w:rPr>
          <w:kern w:val="0"/>
        </w:rPr>
        <w:t xml:space="preserve"> from 1995 to July 2001</w:t>
      </w:r>
      <w:r w:rsidR="005853A9">
        <w:rPr>
          <w:kern w:val="0"/>
        </w:rPr>
        <w:t xml:space="preserve"> and </w:t>
      </w:r>
      <w:r>
        <w:rPr>
          <w:kern w:val="0"/>
        </w:rPr>
        <w:t>proceedings</w:t>
      </w:r>
      <w:r w:rsidR="00427468">
        <w:rPr>
          <w:kern w:val="0"/>
        </w:rPr>
        <w:t xml:space="preserve"> of </w:t>
      </w:r>
      <w:r>
        <w:rPr>
          <w:kern w:val="0"/>
        </w:rPr>
        <w:t xml:space="preserve">American Diabetes Association scientific meetings. Additional </w:t>
      </w:r>
      <w:r>
        <w:rPr>
          <w:kern w:val="0"/>
        </w:rPr>
        <w:lastRenderedPageBreak/>
        <w:t>information was obtained from</w:t>
      </w:r>
      <w:r w:rsidR="003A1917">
        <w:rPr>
          <w:kern w:val="0"/>
        </w:rPr>
        <w:t xml:space="preserve"> the </w:t>
      </w:r>
      <w:r>
        <w:rPr>
          <w:kern w:val="0"/>
        </w:rPr>
        <w:t>product information for insulin glargine, All identified articles</w:t>
      </w:r>
      <w:r w:rsidR="005853A9">
        <w:rPr>
          <w:kern w:val="0"/>
        </w:rPr>
        <w:t xml:space="preserve"> and </w:t>
      </w:r>
      <w:r>
        <w:rPr>
          <w:kern w:val="0"/>
        </w:rPr>
        <w:t>abstracts were evaluated for relevance,</w:t>
      </w:r>
      <w:r w:rsidR="005853A9">
        <w:rPr>
          <w:kern w:val="0"/>
        </w:rPr>
        <w:t xml:space="preserve"> and </w:t>
      </w:r>
      <w:r>
        <w:rPr>
          <w:kern w:val="0"/>
        </w:rPr>
        <w:t>all relevant information was included in</w:t>
      </w:r>
      <w:r w:rsidR="003A1917">
        <w:rPr>
          <w:kern w:val="0"/>
        </w:rPr>
        <w:t xml:space="preserve"> the </w:t>
      </w:r>
      <w:r>
        <w:rPr>
          <w:kern w:val="0"/>
        </w:rPr>
        <w:t>review. Priority was given to data from</w:t>
      </w:r>
      <w:r w:rsidR="003A1917">
        <w:rPr>
          <w:kern w:val="0"/>
        </w:rPr>
        <w:t xml:space="preserve"> the </w:t>
      </w:r>
      <w:r>
        <w:rPr>
          <w:kern w:val="0"/>
        </w:rPr>
        <w:t>primary medical literature. Results: Insulin glargine has a slower onset</w:t>
      </w:r>
      <w:r w:rsidR="00427468">
        <w:rPr>
          <w:kern w:val="0"/>
        </w:rPr>
        <w:t xml:space="preserve"> of </w:t>
      </w:r>
      <w:r>
        <w:rPr>
          <w:kern w:val="0"/>
        </w:rPr>
        <w:t>action than human neutral protamine Hagedorn (NPH) insulin, a longer duration</w:t>
      </w:r>
      <w:r w:rsidR="00427468">
        <w:rPr>
          <w:kern w:val="0"/>
        </w:rPr>
        <w:t xml:space="preserve"> of </w:t>
      </w:r>
      <w:r>
        <w:rPr>
          <w:kern w:val="0"/>
        </w:rPr>
        <w:t>action (up to 24 hours ),</w:t>
      </w:r>
      <w:r w:rsidR="005853A9">
        <w:rPr>
          <w:kern w:val="0"/>
        </w:rPr>
        <w:t xml:space="preserve"> and </w:t>
      </w:r>
      <w:r>
        <w:rPr>
          <w:kern w:val="0"/>
        </w:rPr>
        <w:t>no pronounced peak. It has similar tolerability</w:t>
      </w:r>
      <w:r w:rsidR="005853A9">
        <w:rPr>
          <w:kern w:val="0"/>
        </w:rPr>
        <w:t xml:space="preserve"> and </w:t>
      </w:r>
      <w:r>
        <w:rPr>
          <w:kern w:val="0"/>
        </w:rPr>
        <w:t>produces similar glycemic control to once- or twice-daily human NPH insulin, with a similar glucose-lowering effect on a molar basis. A decreased incidence</w:t>
      </w:r>
      <w:r w:rsidR="00427468">
        <w:rPr>
          <w:kern w:val="0"/>
        </w:rPr>
        <w:t xml:space="preserve"> of </w:t>
      </w:r>
      <w:r>
        <w:rPr>
          <w:kern w:val="0"/>
        </w:rPr>
        <w:t>hypoglycemia, particularly at night, has been reported with insulin glargine compared with human NPH insulin. Insulin glargine appears</w:t>
      </w:r>
      <w:r w:rsidR="0071223E">
        <w:rPr>
          <w:kern w:val="0"/>
        </w:rPr>
        <w:t>’</w:t>
      </w:r>
      <w:r>
        <w:rPr>
          <w:kern w:val="0"/>
        </w:rPr>
        <w:t xml:space="preserve"> to be comparable to human NPH insulin in terms</w:t>
      </w:r>
      <w:r w:rsidR="00427468">
        <w:rPr>
          <w:kern w:val="0"/>
        </w:rPr>
        <w:t xml:space="preserve"> of </w:t>
      </w:r>
      <w:r>
        <w:rPr>
          <w:kern w:val="0"/>
        </w:rPr>
        <w:t>toxicity, adverse effects, immunogenicity,</w:t>
      </w:r>
      <w:r w:rsidR="005853A9">
        <w:rPr>
          <w:kern w:val="0"/>
        </w:rPr>
        <w:t xml:space="preserve"> and </w:t>
      </w:r>
      <w:r>
        <w:rPr>
          <w:kern w:val="0"/>
        </w:rPr>
        <w:t>potential for drug interactions. Results</w:t>
      </w:r>
      <w:r w:rsidR="00427468">
        <w:rPr>
          <w:kern w:val="0"/>
        </w:rPr>
        <w:t xml:space="preserve"> of </w:t>
      </w:r>
      <w:r>
        <w:rPr>
          <w:kern w:val="0"/>
        </w:rPr>
        <w:t>clinical trials</w:t>
      </w:r>
      <w:r w:rsidR="00427468">
        <w:rPr>
          <w:kern w:val="0"/>
        </w:rPr>
        <w:t xml:space="preserve"> of </w:t>
      </w:r>
      <w:r>
        <w:rPr>
          <w:kern w:val="0"/>
        </w:rPr>
        <w:t>insulin glargine in both type 1</w:t>
      </w:r>
      <w:r w:rsidR="005853A9">
        <w:rPr>
          <w:kern w:val="0"/>
        </w:rPr>
        <w:t xml:space="preserve"> and </w:t>
      </w:r>
      <w:r>
        <w:rPr>
          <w:kern w:val="0"/>
        </w:rPr>
        <w:t>type 2 diabetes support its use in combination with a short-acting insulin, insulin lispro, or oral antidiabetic medications. Although insulin glargine cannot be mixed with other insulin preparations, it has</w:t>
      </w:r>
      <w:r w:rsidR="003A1917">
        <w:rPr>
          <w:kern w:val="0"/>
        </w:rPr>
        <w:t xml:space="preserve"> the </w:t>
      </w:r>
      <w:r>
        <w:rPr>
          <w:kern w:val="0"/>
        </w:rPr>
        <w:t>potential convenience</w:t>
      </w:r>
      <w:r w:rsidR="00427468">
        <w:rPr>
          <w:kern w:val="0"/>
        </w:rPr>
        <w:t xml:space="preserve"> of </w:t>
      </w:r>
      <w:r>
        <w:rPr>
          <w:kern w:val="0"/>
        </w:rPr>
        <w:t>providing basal insulin with once-daily bedtime dosing. Conclusions: Based on</w:t>
      </w:r>
      <w:r w:rsidR="003A1917">
        <w:rPr>
          <w:kern w:val="0"/>
        </w:rPr>
        <w:t xml:space="preserve"> the </w:t>
      </w:r>
      <w:r>
        <w:rPr>
          <w:kern w:val="0"/>
        </w:rPr>
        <w:t>as yet small amount or data from full clinical study reports in peer-reviewed publications, insulin glargine appears to be a well-tolerated</w:t>
      </w:r>
      <w:r w:rsidR="005853A9">
        <w:rPr>
          <w:kern w:val="0"/>
        </w:rPr>
        <w:t xml:space="preserve"> and </w:t>
      </w:r>
      <w:r>
        <w:rPr>
          <w:kern w:val="0"/>
        </w:rPr>
        <w:t>effective basal insulin preparation for patients with type 1 or type 2 diabetes (including pediatric patients). Its delayed onset</w:t>
      </w:r>
      <w:r w:rsidR="00427468">
        <w:rPr>
          <w:kern w:val="0"/>
        </w:rPr>
        <w:t xml:space="preserve"> of </w:t>
      </w:r>
      <w:r>
        <w:rPr>
          <w:kern w:val="0"/>
        </w:rPr>
        <w:t>action</w:t>
      </w:r>
      <w:r w:rsidR="005853A9">
        <w:rPr>
          <w:kern w:val="0"/>
        </w:rPr>
        <w:t xml:space="preserve"> and </w:t>
      </w:r>
      <w:r>
        <w:rPr>
          <w:kern w:val="0"/>
        </w:rPr>
        <w:t>prolonged, flat time-action profile mimic</w:t>
      </w:r>
      <w:r w:rsidR="003A1917">
        <w:rPr>
          <w:kern w:val="0"/>
        </w:rPr>
        <w:t xml:space="preserve"> the </w:t>
      </w:r>
      <w:r>
        <w:rPr>
          <w:kern w:val="0"/>
        </w:rPr>
        <w:t>action</w:t>
      </w:r>
      <w:r w:rsidR="00427468">
        <w:rPr>
          <w:kern w:val="0"/>
        </w:rPr>
        <w:t xml:space="preserve"> of </w:t>
      </w:r>
      <w:r>
        <w:rPr>
          <w:kern w:val="0"/>
        </w:rPr>
        <w:t>endogenous basal insulin (or an insulin pump), decreasing</w:t>
      </w:r>
      <w:r w:rsidR="003A1917">
        <w:rPr>
          <w:kern w:val="0"/>
        </w:rPr>
        <w:t xml:space="preserve"> the </w:t>
      </w:r>
      <w:r>
        <w:rPr>
          <w:kern w:val="0"/>
        </w:rPr>
        <w:t>risk</w:t>
      </w:r>
      <w:r w:rsidR="00427468">
        <w:rPr>
          <w:kern w:val="0"/>
        </w:rPr>
        <w:t xml:space="preserve"> of </w:t>
      </w:r>
      <w:r>
        <w:rPr>
          <w:kern w:val="0"/>
        </w:rPr>
        <w:t>hypoglycemic episodes. Insulin glargine may be a useful new option for meeting overnight insulin requirements, although most patients will require a rapid-acting insulin such as insulin lispro with or before meals for optimal management</w:t>
      </w:r>
      <w:r w:rsidR="00427468">
        <w:rPr>
          <w:kern w:val="0"/>
        </w:rPr>
        <w:t xml:space="preserve"> of </w:t>
      </w:r>
      <w:r>
        <w:rPr>
          <w:kern w:val="0"/>
        </w:rPr>
        <w:t>blood glucose levels.</w:t>
      </w:r>
    </w:p>
    <w:p w:rsidR="00BC6E79" w:rsidRDefault="00BC6E79" w:rsidP="00BC6E79">
      <w:pPr>
        <w:pStyle w:val="a3"/>
        <w:rPr>
          <w:kern w:val="0"/>
        </w:rPr>
      </w:pPr>
      <w:r>
        <w:rPr>
          <w:kern w:val="0"/>
        </w:rPr>
        <w:t xml:space="preserve">Keywords: Adverse Effects, Analogs, Blood, Clinical Trials, Control, Diabetes, Diabetes Mellitus, Diabetes-Mellitus, Drug, Drug Interactions, Efficacy, Glucose Control, Glycemic Control, Guidelines, Hoe-901, Human, Hypoglycemia, Information, Insulin, Insulin Analogue, Insulin Glargine, Less Nocturnal Hypoglycemia, Literature, Management, Medical, </w:t>
      </w:r>
      <w:r w:rsidR="00D5664A">
        <w:rPr>
          <w:kern w:val="0"/>
        </w:rPr>
        <w:t>MEDLINE</w:t>
      </w:r>
      <w:r>
        <w:rPr>
          <w:kern w:val="0"/>
        </w:rPr>
        <w:t xml:space="preserve">, Methods, Normal, Nph Insulin, Pediatric, Peer-Reviewed Publications, Pharmacokinetics, Preparation, Primary, Profile, Publications, Research, Review, Risk, Science, Scientific Information, Subcutaneous Injection, Therapy, Toxicity, Treatment, Type 1, Type 2, Type 2 Diabetes,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Setter, S.M., Iltz, J.L., Thams, J.</w:t>
      </w:r>
      <w:r w:rsidR="005853A9">
        <w:rPr>
          <w:kern w:val="0"/>
        </w:rPr>
        <w:t xml:space="preserve"> and </w:t>
      </w:r>
      <w:r>
        <w:rPr>
          <w:kern w:val="0"/>
        </w:rPr>
        <w:t>Campbell, R.K. (2003), Metformin hydrochloride in</w:t>
      </w:r>
      <w:r w:rsidR="003A1917">
        <w:rPr>
          <w:kern w:val="0"/>
        </w:rPr>
        <w:t xml:space="preserve"> the </w:t>
      </w:r>
      <w:r>
        <w:rPr>
          <w:kern w:val="0"/>
        </w:rPr>
        <w:t>treatment</w:t>
      </w:r>
      <w:r w:rsidR="00427468">
        <w:rPr>
          <w:kern w:val="0"/>
        </w:rPr>
        <w:t xml:space="preserve"> of </w:t>
      </w:r>
      <w:r>
        <w:rPr>
          <w:kern w:val="0"/>
        </w:rPr>
        <w:t xml:space="preserve">type 2 diabetes mellitus: A clinical review with a focus on dual therapy. </w:t>
      </w:r>
      <w:r>
        <w:rPr>
          <w:i/>
          <w:iCs/>
          <w:kern w:val="0"/>
        </w:rPr>
        <w:t>Clinical Therapeutics</w:t>
      </w:r>
      <w:r>
        <w:rPr>
          <w:kern w:val="0"/>
        </w:rPr>
        <w:t xml:space="preserve">, </w:t>
      </w:r>
      <w:r>
        <w:rPr>
          <w:b/>
          <w:bCs/>
          <w:kern w:val="0"/>
        </w:rPr>
        <w:t>25</w:t>
      </w:r>
      <w:r>
        <w:rPr>
          <w:kern w:val="0"/>
        </w:rPr>
        <w:t xml:space="preserve"> (12), 2991-3026.</w:t>
      </w:r>
    </w:p>
    <w:p w:rsidR="00BC6E79" w:rsidRPr="001A3D2B" w:rsidRDefault="00BC6E79" w:rsidP="00BC6E79">
      <w:pPr>
        <w:pStyle w:val="a3"/>
      </w:pPr>
      <w:r w:rsidRPr="001A3D2B">
        <w:t xml:space="preserve">Full Text: </w:t>
      </w:r>
      <w:hyperlink r:id="rId441" w:history="1">
        <w:r w:rsidR="00D562CB" w:rsidRPr="00D562CB">
          <w:rPr>
            <w:rStyle w:val="a5"/>
          </w:rPr>
          <w:t>2003\Cli The25, 2991.pdf</w:t>
        </w:r>
      </w:hyperlink>
    </w:p>
    <w:p w:rsidR="00BC6E79" w:rsidRDefault="00BC6E79" w:rsidP="00BC6E79">
      <w:pPr>
        <w:pStyle w:val="a3"/>
        <w:rPr>
          <w:kern w:val="0"/>
        </w:rPr>
      </w:pPr>
      <w:r>
        <w:rPr>
          <w:kern w:val="0"/>
        </w:rPr>
        <w:t xml:space="preserve">Abstract: Background: Type 2 diabetes mellitus typically involves abnormal beta-cell function that results in relative insulin deficiency, insulin resistance accompanied by </w:t>
      </w:r>
      <w:r>
        <w:rPr>
          <w:kern w:val="0"/>
        </w:rPr>
        <w:lastRenderedPageBreak/>
        <w:t>decreased glucose transport into muscle</w:t>
      </w:r>
      <w:r w:rsidR="005853A9">
        <w:rPr>
          <w:kern w:val="0"/>
        </w:rPr>
        <w:t xml:space="preserve"> and </w:t>
      </w:r>
      <w:r>
        <w:rPr>
          <w:kern w:val="0"/>
        </w:rPr>
        <w:t>fat cells,</w:t>
      </w:r>
      <w:r w:rsidR="005853A9">
        <w:rPr>
          <w:kern w:val="0"/>
        </w:rPr>
        <w:t xml:space="preserve"> and </w:t>
      </w:r>
      <w:r>
        <w:rPr>
          <w:kern w:val="0"/>
        </w:rPr>
        <w:t>increased hepatic glucose output, all</w:t>
      </w:r>
      <w:r w:rsidR="00427468">
        <w:rPr>
          <w:kern w:val="0"/>
        </w:rPr>
        <w:t xml:space="preserve"> of </w:t>
      </w:r>
      <w:r>
        <w:rPr>
          <w:kern w:val="0"/>
        </w:rPr>
        <w:t>which contribute to hyperglycemia. Objective: This review examines</w:t>
      </w:r>
      <w:r w:rsidR="003A1917">
        <w:rPr>
          <w:kern w:val="0"/>
        </w:rPr>
        <w:t xml:space="preserve"> the </w:t>
      </w:r>
      <w:r>
        <w:rPr>
          <w:kern w:val="0"/>
        </w:rPr>
        <w:t>pharmacology, pharmacokinetics, drug-interaction potential, adverse effects,</w:t>
      </w:r>
      <w:r w:rsidR="005853A9">
        <w:rPr>
          <w:kern w:val="0"/>
        </w:rPr>
        <w:t xml:space="preserve"> and </w:t>
      </w:r>
      <w:r>
        <w:rPr>
          <w:kern w:val="0"/>
        </w:rPr>
        <w:t>dosing guidelines for metformin hydrochloride, a biguanide agent for</w:t>
      </w:r>
      <w:r w:rsidR="003A1917">
        <w:rPr>
          <w:kern w:val="0"/>
        </w:rPr>
        <w:t xml:space="preserve"> the </w:t>
      </w:r>
      <w:r>
        <w:rPr>
          <w:kern w:val="0"/>
        </w:rPr>
        <w:t>treatment</w:t>
      </w:r>
      <w:r w:rsidR="00427468">
        <w:rPr>
          <w:kern w:val="0"/>
        </w:rPr>
        <w:t xml:space="preserve"> of </w:t>
      </w:r>
      <w:r>
        <w:rPr>
          <w:kern w:val="0"/>
        </w:rPr>
        <w:t>type 2 diabetes. Clinical trial data are reviewed, including efficacy</w:t>
      </w:r>
      <w:r w:rsidR="005853A9">
        <w:rPr>
          <w:kern w:val="0"/>
        </w:rPr>
        <w:t xml:space="preserve"> and </w:t>
      </w:r>
      <w:r>
        <w:rPr>
          <w:kern w:val="0"/>
        </w:rPr>
        <w:t>tolerability information, with a focus on studies</w:t>
      </w:r>
      <w:r w:rsidR="00427468">
        <w:rPr>
          <w:kern w:val="0"/>
        </w:rPr>
        <w:t xml:space="preserve"> of </w:t>
      </w:r>
      <w:r>
        <w:rPr>
          <w:kern w:val="0"/>
        </w:rPr>
        <w:t>dual metformin therapy (metformin plus another oral agent or insulin) published from 1998 to</w:t>
      </w:r>
      <w:r w:rsidR="003A1917">
        <w:rPr>
          <w:kern w:val="0"/>
        </w:rPr>
        <w:t xml:space="preserve"> the </w:t>
      </w:r>
      <w:r>
        <w:rPr>
          <w:kern w:val="0"/>
        </w:rPr>
        <w:t>present. Pharmacoeconomic considerations are also discussed. Methods: Primary research</w:t>
      </w:r>
      <w:r w:rsidR="005853A9">
        <w:rPr>
          <w:kern w:val="0"/>
        </w:rPr>
        <w:t xml:space="preserve"> and </w:t>
      </w:r>
      <w:r>
        <w:rPr>
          <w:kern w:val="0"/>
        </w:rPr>
        <w:t>review articles were identified through a search</w:t>
      </w:r>
      <w:r w:rsidR="00427468">
        <w:rPr>
          <w:kern w:val="0"/>
        </w:rPr>
        <w:t xml:space="preserve"> of </w:t>
      </w:r>
      <w:r w:rsidR="00D5664A">
        <w:rPr>
          <w:kern w:val="0"/>
        </w:rPr>
        <w:t>MEDLINE</w:t>
      </w:r>
      <w:r>
        <w:rPr>
          <w:kern w:val="0"/>
        </w:rPr>
        <w:t xml:space="preserve"> (1966-May 2003)</w:t>
      </w:r>
      <w:r w:rsidR="005853A9">
        <w:rPr>
          <w:kern w:val="0"/>
        </w:rPr>
        <w:t xml:space="preserve"> and </w:t>
      </w:r>
      <w:r>
        <w:rPr>
          <w:kern w:val="0"/>
        </w:rPr>
        <w:t>International Pharmaceutical Abstracts (1970-May 2003) using</w:t>
      </w:r>
      <w:r w:rsidR="003A1917">
        <w:rPr>
          <w:kern w:val="0"/>
        </w:rPr>
        <w:t xml:space="preserve"> the </w:t>
      </w:r>
      <w:r>
        <w:rPr>
          <w:kern w:val="0"/>
        </w:rPr>
        <w:t xml:space="preserve">terms metformin and/or Glucophage. </w:t>
      </w:r>
      <w:r w:rsidR="00D5664A">
        <w:rPr>
          <w:kern w:val="0"/>
        </w:rPr>
        <w:t>Web</w:t>
      </w:r>
      <w:r w:rsidR="00427468">
        <w:rPr>
          <w:kern w:val="0"/>
        </w:rPr>
        <w:t xml:space="preserve"> of </w:t>
      </w:r>
      <w:r w:rsidR="00D5664A">
        <w:rPr>
          <w:kern w:val="0"/>
        </w:rPr>
        <w:t>Science</w:t>
      </w:r>
      <w:r>
        <w:rPr>
          <w:kern w:val="0"/>
        </w:rPr>
        <w:t xml:space="preserve"> (1995-May 2003) was used to search for additional abstracts</w:t>
      </w:r>
      <w:r w:rsidR="00A37C1D">
        <w:rPr>
          <w:kern w:val="0"/>
        </w:rPr>
        <w:t>. The</w:t>
      </w:r>
      <w:r w:rsidR="003A1917">
        <w:rPr>
          <w:kern w:val="0"/>
        </w:rPr>
        <w:t xml:space="preserve"> </w:t>
      </w:r>
      <w:r>
        <w:rPr>
          <w:kern w:val="0"/>
        </w:rPr>
        <w:t>package inserts for metformin</w:t>
      </w:r>
      <w:r w:rsidR="005853A9">
        <w:rPr>
          <w:kern w:val="0"/>
        </w:rPr>
        <w:t xml:space="preserve"> and </w:t>
      </w:r>
      <w:r>
        <w:rPr>
          <w:kern w:val="0"/>
        </w:rPr>
        <w:t>metformin combination products were consulted. All identified articles</w:t>
      </w:r>
      <w:r w:rsidR="005853A9">
        <w:rPr>
          <w:kern w:val="0"/>
        </w:rPr>
        <w:t xml:space="preserve"> and </w:t>
      </w:r>
      <w:r>
        <w:rPr>
          <w:kern w:val="0"/>
        </w:rPr>
        <w:t>abstracts were assessed for relevance,</w:t>
      </w:r>
      <w:r w:rsidR="005853A9">
        <w:rPr>
          <w:kern w:val="0"/>
        </w:rPr>
        <w:t xml:space="preserve"> and </w:t>
      </w:r>
      <w:r>
        <w:rPr>
          <w:kern w:val="0"/>
        </w:rPr>
        <w:t>all relevant information was included. Priority was given to</w:t>
      </w:r>
      <w:r w:rsidR="003A1917">
        <w:rPr>
          <w:kern w:val="0"/>
        </w:rPr>
        <w:t xml:space="preserve"> the </w:t>
      </w:r>
      <w:r>
        <w:rPr>
          <w:kern w:val="0"/>
        </w:rPr>
        <w:t>primary medical literature</w:t>
      </w:r>
      <w:r w:rsidR="005853A9">
        <w:rPr>
          <w:kern w:val="0"/>
        </w:rPr>
        <w:t xml:space="preserve"> and </w:t>
      </w:r>
      <w:r>
        <w:rPr>
          <w:kern w:val="0"/>
        </w:rPr>
        <w:t>clinical trial reports. Results: Metformin is</w:t>
      </w:r>
      <w:r w:rsidR="003A1917">
        <w:rPr>
          <w:kern w:val="0"/>
        </w:rPr>
        <w:t xml:space="preserve"> the </w:t>
      </w:r>
      <w:r>
        <w:rPr>
          <w:kern w:val="0"/>
        </w:rPr>
        <w:t>only currently available oral antidiabetic/hypoglycemic agent that acts predominantly by inhibiting hepatic glucose release. Because patients with type 2 diabetes often have excess hepatic glucose output, use</w:t>
      </w:r>
      <w:r w:rsidR="00427468">
        <w:rPr>
          <w:kern w:val="0"/>
        </w:rPr>
        <w:t xml:space="preserve"> of </w:t>
      </w:r>
      <w:r>
        <w:rPr>
          <w:kern w:val="0"/>
        </w:rPr>
        <w:t>metformin is effective in lowering glycosylated hemoglobin (HbA(1c)) by 1 to 2 percentage points when used as monotherapy or in combination with other blood glucose-lowering agents or insulin. Other metabolic variables (eg, dyslipidemia, fibrinolysis) may be improved with</w:t>
      </w:r>
      <w:r w:rsidR="003A1917">
        <w:rPr>
          <w:kern w:val="0"/>
        </w:rPr>
        <w:t xml:space="preserve"> the </w:t>
      </w:r>
      <w:r>
        <w:rPr>
          <w:kern w:val="0"/>
        </w:rPr>
        <w:t>use</w:t>
      </w:r>
      <w:r w:rsidR="00427468">
        <w:rPr>
          <w:kern w:val="0"/>
        </w:rPr>
        <w:t xml:space="preserve"> of </w:t>
      </w:r>
      <w:r>
        <w:rPr>
          <w:kern w:val="0"/>
        </w:rPr>
        <w:t>metformin. Body weight is often maintained or slightly reduced from baseline. Metformin is well tolerated</w:t>
      </w:r>
      <w:r w:rsidR="005853A9">
        <w:rPr>
          <w:kern w:val="0"/>
        </w:rPr>
        <w:t xml:space="preserve"> and </w:t>
      </w:r>
      <w:r>
        <w:rPr>
          <w:kern w:val="0"/>
        </w:rPr>
        <w:t>is associated with few clinically deleterious adverse events</w:t>
      </w:r>
      <w:r w:rsidR="00A37C1D">
        <w:rPr>
          <w:kern w:val="0"/>
        </w:rPr>
        <w:t>. The</w:t>
      </w:r>
      <w:r w:rsidR="003A1917">
        <w:rPr>
          <w:kern w:val="0"/>
        </w:rPr>
        <w:t xml:space="preserve"> </w:t>
      </w:r>
      <w:r>
        <w:rPr>
          <w:kern w:val="0"/>
        </w:rPr>
        <w:t>most important</w:t>
      </w:r>
      <w:r w:rsidR="005853A9">
        <w:rPr>
          <w:kern w:val="0"/>
        </w:rPr>
        <w:t xml:space="preserve"> and </w:t>
      </w:r>
      <w:r>
        <w:rPr>
          <w:kern w:val="0"/>
        </w:rPr>
        <w:t>potentially life-threatening adverse event associated with its use is lactic acidosis, which occurs very rarely. Conclusions: Metformin has multiple benefits in patients with type 2 diabetes. It can effectively lower HbA(1c) values, positively affect lipid profiles,</w:t>
      </w:r>
      <w:r w:rsidR="005853A9">
        <w:rPr>
          <w:kern w:val="0"/>
        </w:rPr>
        <w:t xml:space="preserve"> and </w:t>
      </w:r>
      <w:r>
        <w:rPr>
          <w:kern w:val="0"/>
        </w:rPr>
        <w:t>improve vascular</w:t>
      </w:r>
      <w:r w:rsidR="005853A9">
        <w:rPr>
          <w:kern w:val="0"/>
        </w:rPr>
        <w:t xml:space="preserve"> and </w:t>
      </w:r>
      <w:r>
        <w:rPr>
          <w:kern w:val="0"/>
        </w:rPr>
        <w:t>hemodynamic indices. Adverse effects are generally tolerable</w:t>
      </w:r>
      <w:r w:rsidR="005853A9">
        <w:rPr>
          <w:kern w:val="0"/>
        </w:rPr>
        <w:t xml:space="preserve"> and </w:t>
      </w:r>
      <w:r>
        <w:rPr>
          <w:kern w:val="0"/>
        </w:rPr>
        <w:t>self-limiting</w:t>
      </w:r>
      <w:r w:rsidR="00A37C1D">
        <w:rPr>
          <w:kern w:val="0"/>
        </w:rPr>
        <w:t>. The</w:t>
      </w:r>
      <w:r w:rsidR="003A1917">
        <w:rPr>
          <w:kern w:val="0"/>
        </w:rPr>
        <w:t xml:space="preserve"> </w:t>
      </w:r>
      <w:r>
        <w:rPr>
          <w:kern w:val="0"/>
        </w:rPr>
        <w:t>availability</w:t>
      </w:r>
      <w:r w:rsidR="00427468">
        <w:rPr>
          <w:kern w:val="0"/>
        </w:rPr>
        <w:t xml:space="preserve"> of </w:t>
      </w:r>
      <w:r>
        <w:rPr>
          <w:kern w:val="0"/>
        </w:rPr>
        <w:t>products combining metformin with a sulfonylurea or rosiglitazone has expanded</w:t>
      </w:r>
      <w:r w:rsidR="003A1917">
        <w:rPr>
          <w:kern w:val="0"/>
        </w:rPr>
        <w:t xml:space="preserve"> the </w:t>
      </w:r>
      <w:r>
        <w:rPr>
          <w:kern w:val="0"/>
        </w:rPr>
        <w:t>array</w:t>
      </w:r>
      <w:r w:rsidR="00427468">
        <w:rPr>
          <w:kern w:val="0"/>
        </w:rPr>
        <w:t xml:space="preserve"> of </w:t>
      </w:r>
      <w:r>
        <w:rPr>
          <w:kern w:val="0"/>
        </w:rPr>
        <w:t>therapies for</w:t>
      </w:r>
      <w:r w:rsidR="003A1917">
        <w:rPr>
          <w:kern w:val="0"/>
        </w:rPr>
        <w:t xml:space="preserve"> the </w:t>
      </w:r>
      <w:r>
        <w:rPr>
          <w:kern w:val="0"/>
        </w:rPr>
        <w:t>management</w:t>
      </w:r>
      <w:r w:rsidR="00427468">
        <w:rPr>
          <w:kern w:val="0"/>
        </w:rPr>
        <w:t xml:space="preserve"> of </w:t>
      </w:r>
      <w:r>
        <w:rPr>
          <w:kern w:val="0"/>
        </w:rPr>
        <w:t>type 2 diabetes. Copyright (C) 2003 Excerpta Medica, Inc.</w:t>
      </w:r>
    </w:p>
    <w:p w:rsidR="00BC6E79" w:rsidRDefault="00BC6E79" w:rsidP="00BC6E79">
      <w:pPr>
        <w:pStyle w:val="a3"/>
        <w:rPr>
          <w:kern w:val="0"/>
        </w:rPr>
      </w:pPr>
      <w:r>
        <w:rPr>
          <w:kern w:val="0"/>
        </w:rPr>
        <w:t xml:space="preserve">Keywords: Adverse Effects, Blood, Blood-Glucose Control, Clinical Trial, Combination Therapy, Combination Therapy, Copyright, Diabetes, Diabetes Mellitus, Dyslipidemia, Efficacy, Guidelines, Hyperglycemia, Hypoglycemia, Improved Glycemic Control, Information, Insulin, Insulin Sensitivity, Lactic-Acidosis, Lipid, Literature, Management, Medical, </w:t>
      </w:r>
      <w:r w:rsidR="00D5664A">
        <w:rPr>
          <w:kern w:val="0"/>
        </w:rPr>
        <w:t>MEDLINE</w:t>
      </w:r>
      <w:r>
        <w:rPr>
          <w:kern w:val="0"/>
        </w:rPr>
        <w:t xml:space="preserve">, Metformin, Methods, Monotherapy, Niddm Patients, Oral Hypoglycemic Agents, Pharmacological-Treatment, Plus Metformin, Points, Primary, Randomized Controlled-Trial, Research, Resistance, Review, Science, Therapy, Treatment, Type 2, Type 2 Diabetes, Type 2 Diabetes Mellitus,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lastRenderedPageBreak/>
        <w:t xml:space="preserve">? </w:t>
      </w:r>
      <w:r>
        <w:rPr>
          <w:kern w:val="0"/>
        </w:rPr>
        <w:t>Dong, B.J. (2005), Cinacalcet: An oral calcimimetic agent for</w:t>
      </w:r>
      <w:r w:rsidR="003A1917">
        <w:rPr>
          <w:kern w:val="0"/>
        </w:rPr>
        <w:t xml:space="preserve"> the </w:t>
      </w:r>
      <w:r>
        <w:rPr>
          <w:kern w:val="0"/>
        </w:rPr>
        <w:t>management</w:t>
      </w:r>
      <w:r w:rsidR="00427468">
        <w:rPr>
          <w:kern w:val="0"/>
        </w:rPr>
        <w:t xml:space="preserve"> of </w:t>
      </w:r>
      <w:r>
        <w:rPr>
          <w:kern w:val="0"/>
        </w:rPr>
        <w:t xml:space="preserve">hyperparathyroidism. </w:t>
      </w:r>
      <w:r>
        <w:rPr>
          <w:i/>
          <w:iCs/>
          <w:kern w:val="0"/>
        </w:rPr>
        <w:t>Clinical Therapeutics</w:t>
      </w:r>
      <w:r>
        <w:rPr>
          <w:kern w:val="0"/>
        </w:rPr>
        <w:t xml:space="preserve">, </w:t>
      </w:r>
      <w:r>
        <w:rPr>
          <w:b/>
          <w:bCs/>
          <w:kern w:val="0"/>
        </w:rPr>
        <w:t>27</w:t>
      </w:r>
      <w:r>
        <w:rPr>
          <w:kern w:val="0"/>
        </w:rPr>
        <w:t xml:space="preserve"> (11), 1725-1751.</w:t>
      </w:r>
    </w:p>
    <w:p w:rsidR="00BC6E79" w:rsidRPr="001A3D2B" w:rsidRDefault="00BC6E79" w:rsidP="00BC6E79">
      <w:pPr>
        <w:pStyle w:val="a3"/>
      </w:pPr>
      <w:r w:rsidRPr="001A3D2B">
        <w:t xml:space="preserve">Full Text: </w:t>
      </w:r>
      <w:hyperlink r:id="rId442" w:history="1">
        <w:r w:rsidR="00D562CB" w:rsidRPr="00D562CB">
          <w:rPr>
            <w:rStyle w:val="a5"/>
          </w:rPr>
          <w:t>2005\Cli The27, 1725.pdf</w:t>
        </w:r>
      </w:hyperlink>
    </w:p>
    <w:p w:rsidR="00BC6E79" w:rsidRDefault="00BC6E79" w:rsidP="00BC6E79">
      <w:pPr>
        <w:pStyle w:val="a3"/>
        <w:rPr>
          <w:kern w:val="0"/>
        </w:rPr>
      </w:pPr>
      <w:r>
        <w:rPr>
          <w:kern w:val="0"/>
        </w:rPr>
        <w:t>Abstract: Background: Uncontrolled hyperpara thyroid ism (HPT), particularly HPT resulting from chronic kidney disease (CKD), is associated with significant morbidity</w:t>
      </w:r>
      <w:r w:rsidR="005853A9">
        <w:rPr>
          <w:kern w:val="0"/>
        </w:rPr>
        <w:t xml:space="preserve"> and </w:t>
      </w:r>
      <w:r>
        <w:rPr>
          <w:kern w:val="0"/>
        </w:rPr>
        <w:t>cardiovascular mortality. Traditional medical therapy (eg, vitamin D sterols, calcium, phosphate binders) has been inadequate for</w:t>
      </w:r>
      <w:r w:rsidR="003A1917">
        <w:rPr>
          <w:kern w:val="0"/>
        </w:rPr>
        <w:t xml:space="preserve"> the </w:t>
      </w:r>
      <w:r>
        <w:rPr>
          <w:kern w:val="0"/>
        </w:rPr>
        <w:t>management</w:t>
      </w:r>
      <w:r w:rsidR="00427468">
        <w:rPr>
          <w:kern w:val="0"/>
        </w:rPr>
        <w:t xml:space="preserve"> of </w:t>
      </w:r>
      <w:r>
        <w:rPr>
          <w:kern w:val="0"/>
        </w:rPr>
        <w:t>HPT</w:t>
      </w:r>
      <w:r w:rsidR="005853A9">
        <w:rPr>
          <w:kern w:val="0"/>
        </w:rPr>
        <w:t xml:space="preserve"> and </w:t>
      </w:r>
      <w:r>
        <w:rPr>
          <w:kern w:val="0"/>
        </w:rPr>
        <w:t>its vascular</w:t>
      </w:r>
      <w:r w:rsidR="005853A9">
        <w:rPr>
          <w:kern w:val="0"/>
        </w:rPr>
        <w:t xml:space="preserve"> and </w:t>
      </w:r>
      <w:r>
        <w:rPr>
          <w:kern w:val="0"/>
        </w:rPr>
        <w:t>skeletal complications. Objective:</w:t>
      </w:r>
      <w:r w:rsidR="003A1917">
        <w:rPr>
          <w:kern w:val="0"/>
        </w:rPr>
        <w:t xml:space="preserve"> the </w:t>
      </w:r>
      <w:r>
        <w:rPr>
          <w:kern w:val="0"/>
        </w:rPr>
        <w:t>goal</w:t>
      </w:r>
      <w:r w:rsidR="00427468">
        <w:rPr>
          <w:kern w:val="0"/>
        </w:rPr>
        <w:t xml:space="preserve"> of </w:t>
      </w:r>
      <w:r>
        <w:rPr>
          <w:kern w:val="0"/>
        </w:rPr>
        <w:t>this article was to review</w:t>
      </w:r>
      <w:r w:rsidR="003A1917">
        <w:rPr>
          <w:kern w:val="0"/>
        </w:rPr>
        <w:t xml:space="preserve"> the </w:t>
      </w:r>
      <w:r>
        <w:rPr>
          <w:kern w:val="0"/>
        </w:rPr>
        <w:t>efficacy</w:t>
      </w:r>
      <w:r w:rsidR="005853A9">
        <w:rPr>
          <w:kern w:val="0"/>
        </w:rPr>
        <w:t xml:space="preserve"> and </w:t>
      </w:r>
      <w:r>
        <w:rPr>
          <w:kern w:val="0"/>
        </w:rPr>
        <w:t>safety profile</w:t>
      </w:r>
      <w:r w:rsidR="00427468">
        <w:rPr>
          <w:kern w:val="0"/>
        </w:rPr>
        <w:t xml:space="preserve"> of </w:t>
      </w:r>
      <w:r>
        <w:rPr>
          <w:kern w:val="0"/>
        </w:rPr>
        <w:t>cinacalcet, a second-generation calcimimetic, in</w:t>
      </w:r>
      <w:r w:rsidR="003A1917">
        <w:rPr>
          <w:kern w:val="0"/>
        </w:rPr>
        <w:t xml:space="preserve"> the </w:t>
      </w:r>
      <w:r>
        <w:rPr>
          <w:kern w:val="0"/>
        </w:rPr>
        <w:t>management</w:t>
      </w:r>
      <w:r w:rsidR="00427468">
        <w:rPr>
          <w:kern w:val="0"/>
        </w:rPr>
        <w:t xml:space="preserve"> of </w:t>
      </w:r>
      <w:r>
        <w:rPr>
          <w:kern w:val="0"/>
        </w:rPr>
        <w:t>HPT secondary to CKD, primary HPT,</w:t>
      </w:r>
      <w:r w:rsidR="005853A9">
        <w:rPr>
          <w:kern w:val="0"/>
        </w:rPr>
        <w:t xml:space="preserve"> and </w:t>
      </w:r>
      <w:r>
        <w:rPr>
          <w:kern w:val="0"/>
        </w:rPr>
        <w:t xml:space="preserve">parathyrold carcinoma. Methods: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International Pharmaceutical Abstracts were searched from 1995 to July 2005 using</w:t>
      </w:r>
      <w:r w:rsidR="003A1917">
        <w:rPr>
          <w:kern w:val="0"/>
        </w:rPr>
        <w:t xml:space="preserve"> the </w:t>
      </w:r>
      <w:r>
        <w:rPr>
          <w:kern w:val="0"/>
        </w:rPr>
        <w:t>terms cinacalcet, AMG 073, KRN 1493, calcimimetics, hypercalcemia,</w:t>
      </w:r>
      <w:r w:rsidR="005853A9">
        <w:rPr>
          <w:kern w:val="0"/>
        </w:rPr>
        <w:t xml:space="preserve"> and </w:t>
      </w:r>
      <w:r>
        <w:rPr>
          <w:kern w:val="0"/>
        </w:rPr>
        <w:t>hyperparathyroidism. Results: Compared with placebo, cinacalcet significantly reduced parathyroid hormone levels within 2 to 4 hours after administration (P &lt; 0.05). In Phase III trials involving 1136 patients with secondary HPT, 56%</w:t>
      </w:r>
      <w:r w:rsidR="00427468">
        <w:rPr>
          <w:kern w:val="0"/>
        </w:rPr>
        <w:t xml:space="preserve"> of </w:t>
      </w:r>
      <w:r>
        <w:rPr>
          <w:kern w:val="0"/>
        </w:rPr>
        <w:t>those who received cinacalcet achieved</w:t>
      </w:r>
      <w:r w:rsidR="003A1917">
        <w:rPr>
          <w:kern w:val="0"/>
        </w:rPr>
        <w:t xml:space="preserve"> the </w:t>
      </w:r>
      <w:r>
        <w:rPr>
          <w:kern w:val="0"/>
        </w:rPr>
        <w:t>National Kidney Foundation Kidney Disease Outcomes Quality Initiative target</w:t>
      </w:r>
      <w:r w:rsidR="00427468">
        <w:rPr>
          <w:kern w:val="0"/>
        </w:rPr>
        <w:t xml:space="preserve"> of </w:t>
      </w:r>
      <w:r>
        <w:rPr>
          <w:kern w:val="0"/>
        </w:rPr>
        <w:t>a reduction in parathyroid hormone to &lt;300 pg/mL, 65% achieved a calcium-phosphorus product &lt;55 mg(2)/dL(2),</w:t>
      </w:r>
      <w:r w:rsidR="005853A9">
        <w:rPr>
          <w:kern w:val="0"/>
        </w:rPr>
        <w:t xml:space="preserve"> and </w:t>
      </w:r>
      <w:r>
        <w:rPr>
          <w:kern w:val="0"/>
        </w:rPr>
        <w:t>a respective 49%</w:t>
      </w:r>
      <w:r w:rsidR="005853A9">
        <w:rPr>
          <w:kern w:val="0"/>
        </w:rPr>
        <w:t xml:space="preserve"> and </w:t>
      </w:r>
      <w:r>
        <w:rPr>
          <w:kern w:val="0"/>
        </w:rPr>
        <w:t>46% achieved normalized serum calcium</w:t>
      </w:r>
      <w:r w:rsidR="005853A9">
        <w:rPr>
          <w:kern w:val="0"/>
        </w:rPr>
        <w:t xml:space="preserve"> and </w:t>
      </w:r>
      <w:r>
        <w:rPr>
          <w:kern w:val="0"/>
        </w:rPr>
        <w:t>phosphorus levels (P &lt; 0.001). Cinacalcet</w:t>
      </w:r>
      <w:r w:rsidR="0071223E">
        <w:rPr>
          <w:kern w:val="0"/>
        </w:rPr>
        <w:t>’</w:t>
      </w:r>
      <w:r w:rsidR="00C13DDC">
        <w:rPr>
          <w:kern w:val="0"/>
        </w:rPr>
        <w:t>s</w:t>
      </w:r>
      <w:r>
        <w:rPr>
          <w:kern w:val="0"/>
        </w:rPr>
        <w:t xml:space="preserve"> effects were similar regardless</w:t>
      </w:r>
      <w:r w:rsidR="00427468">
        <w:rPr>
          <w:kern w:val="0"/>
        </w:rPr>
        <w:t xml:space="preserve"> of </w:t>
      </w:r>
      <w:r>
        <w:rPr>
          <w:kern w:val="0"/>
        </w:rPr>
        <w:t>patients</w:t>
      </w:r>
      <w:r w:rsidR="0071223E">
        <w:rPr>
          <w:kern w:val="0"/>
        </w:rPr>
        <w:t>’</w:t>
      </w:r>
      <w:r>
        <w:rPr>
          <w:kern w:val="0"/>
        </w:rPr>
        <w:t xml:space="preserve"> demographic characteristics, duration or mode</w:t>
      </w:r>
      <w:r w:rsidR="00427468">
        <w:rPr>
          <w:kern w:val="0"/>
        </w:rPr>
        <w:t xml:space="preserve"> of </w:t>
      </w:r>
      <w:r>
        <w:rPr>
          <w:kern w:val="0"/>
        </w:rPr>
        <w:t>dialysis, severity</w:t>
      </w:r>
      <w:r w:rsidR="00427468">
        <w:rPr>
          <w:kern w:val="0"/>
        </w:rPr>
        <w:t xml:space="preserve"> of </w:t>
      </w:r>
      <w:r>
        <w:rPr>
          <w:kern w:val="0"/>
        </w:rPr>
        <w:t>HPT, or use</w:t>
      </w:r>
      <w:r w:rsidR="00427468">
        <w:rPr>
          <w:kern w:val="0"/>
        </w:rPr>
        <w:t xml:space="preserve"> of </w:t>
      </w:r>
      <w:r>
        <w:rPr>
          <w:kern w:val="0"/>
        </w:rPr>
        <w:t>concomitant medical therapy. Preliminary evidence suggests that cinacalcet may reverse cortical bone loss. Cinacalcet was well tolerated, with nausea (31%)</w:t>
      </w:r>
      <w:r w:rsidR="005853A9">
        <w:rPr>
          <w:kern w:val="0"/>
        </w:rPr>
        <w:t xml:space="preserve"> and </w:t>
      </w:r>
      <w:r>
        <w:rPr>
          <w:kern w:val="0"/>
        </w:rPr>
        <w:t>vomiting (27%) being</w:t>
      </w:r>
      <w:r w:rsidR="003A1917">
        <w:rPr>
          <w:kern w:val="0"/>
        </w:rPr>
        <w:t xml:space="preserve"> the </w:t>
      </w:r>
      <w:r>
        <w:rPr>
          <w:kern w:val="0"/>
        </w:rPr>
        <w:t>most commonly reported adverse effects. Hypocalcemia was transient in 5%</w:t>
      </w:r>
      <w:r w:rsidR="00427468">
        <w:rPr>
          <w:kern w:val="0"/>
        </w:rPr>
        <w:t xml:space="preserve"> of </w:t>
      </w:r>
      <w:r>
        <w:rPr>
          <w:kern w:val="0"/>
        </w:rPr>
        <w:t>patients, was usually asymptomatic,</w:t>
      </w:r>
      <w:r w:rsidR="005853A9">
        <w:rPr>
          <w:kern w:val="0"/>
        </w:rPr>
        <w:t xml:space="preserve"> and </w:t>
      </w:r>
      <w:r>
        <w:rPr>
          <w:kern w:val="0"/>
        </w:rPr>
        <w:t>was corrected by dose reduction. Conclusions: Based on</w:t>
      </w:r>
      <w:r w:rsidR="003A1917">
        <w:rPr>
          <w:kern w:val="0"/>
        </w:rPr>
        <w:t xml:space="preserve"> the </w:t>
      </w:r>
      <w:r>
        <w:rPr>
          <w:kern w:val="0"/>
        </w:rPr>
        <w:t>available evidence, cinacalcet is effective</w:t>
      </w:r>
      <w:r w:rsidR="005853A9">
        <w:rPr>
          <w:kern w:val="0"/>
        </w:rPr>
        <w:t xml:space="preserve"> and </w:t>
      </w:r>
      <w:r>
        <w:rPr>
          <w:kern w:val="0"/>
        </w:rPr>
        <w:t>well tolerated in</w:t>
      </w:r>
      <w:r w:rsidR="003A1917">
        <w:rPr>
          <w:kern w:val="0"/>
        </w:rPr>
        <w:t xml:space="preserve"> the </w:t>
      </w:r>
      <w:r>
        <w:rPr>
          <w:kern w:val="0"/>
        </w:rPr>
        <w:t>treatment</w:t>
      </w:r>
      <w:r w:rsidR="00427468">
        <w:rPr>
          <w:kern w:val="0"/>
        </w:rPr>
        <w:t xml:space="preserve"> of </w:t>
      </w:r>
      <w:r>
        <w:rPr>
          <w:kern w:val="0"/>
        </w:rPr>
        <w:t>secondary HPT</w:t>
      </w:r>
      <w:r w:rsidR="005853A9">
        <w:rPr>
          <w:kern w:val="0"/>
        </w:rPr>
        <w:t xml:space="preserve"> and </w:t>
      </w:r>
      <w:r>
        <w:rPr>
          <w:kern w:val="0"/>
        </w:rPr>
        <w:t>refractory parathyroid carcinoma. Its use in primary HPT appears promising. Further investigations are needed to determine if cinacalcet can prevent</w:t>
      </w:r>
      <w:r w:rsidR="003A1917">
        <w:rPr>
          <w:kern w:val="0"/>
        </w:rPr>
        <w:t xml:space="preserve"> the </w:t>
      </w:r>
      <w:r>
        <w:rPr>
          <w:kern w:val="0"/>
        </w:rPr>
        <w:t>long-term complications</w:t>
      </w:r>
      <w:r w:rsidR="00427468">
        <w:rPr>
          <w:kern w:val="0"/>
        </w:rPr>
        <w:t xml:space="preserve"> of </w:t>
      </w:r>
      <w:r>
        <w:rPr>
          <w:kern w:val="0"/>
        </w:rPr>
        <w:t>HPT</w:t>
      </w:r>
      <w:r w:rsidR="005853A9">
        <w:rPr>
          <w:kern w:val="0"/>
        </w:rPr>
        <w:t xml:space="preserve"> and </w:t>
      </w:r>
      <w:r>
        <w:rPr>
          <w:kern w:val="0"/>
        </w:rPr>
        <w:t>reduce mortality.</w:t>
      </w:r>
    </w:p>
    <w:p w:rsidR="00BC6E79" w:rsidRDefault="00BC6E79" w:rsidP="00BC6E79">
      <w:pPr>
        <w:pStyle w:val="a3"/>
        <w:rPr>
          <w:kern w:val="0"/>
        </w:rPr>
      </w:pPr>
      <w:r>
        <w:rPr>
          <w:kern w:val="0"/>
        </w:rPr>
        <w:t xml:space="preserve">Keywords: Adverse Effects, Bone, Bone Loss, Calcimimetic, Calcium, Calcium-Sensing Receptor, Carcinoma, Cardiovascular, Chronic Kidney Disease, Cinacalcet, Dialysis, Disease, Efficacy, Hci Amg-073, Hemodialysis-Patients, Kidney, Kidney Disease, Management, Medical, </w:t>
      </w:r>
      <w:r w:rsidR="00D5664A">
        <w:rPr>
          <w:kern w:val="0"/>
        </w:rPr>
        <w:t>MEDLINE</w:t>
      </w:r>
      <w:r>
        <w:rPr>
          <w:kern w:val="0"/>
        </w:rPr>
        <w:t xml:space="preserve">, Methods, Morbidity, Mortality, Mortality Risk, Normalizes Serum-Calcium, Outcomes, Parathyroid Carcinoma, Persistent Hyperparathyroidism, Plasma Parathyroid-Hormone, Primary, Primary Hyperparathyroidism, Profile, Quality, Receiving Dialysis, Review, Safety, Science, Secondary Hyperparathyroidism, Secondary Hyperparathyroidism, Stage Renal-Disease, Therapy, Treatment, Vitamin D,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lastRenderedPageBreak/>
        <w:t xml:space="preserve">? </w:t>
      </w:r>
      <w:r>
        <w:rPr>
          <w:kern w:val="0"/>
        </w:rPr>
        <w:t>Iltz, J.L., Baker, D.E., Setter, S.M.</w:t>
      </w:r>
      <w:r w:rsidR="005853A9">
        <w:rPr>
          <w:kern w:val="0"/>
        </w:rPr>
        <w:t xml:space="preserve"> and </w:t>
      </w:r>
      <w:r>
        <w:rPr>
          <w:kern w:val="0"/>
        </w:rPr>
        <w:t>Campbell, R.K. (2006), Exenatide: An incretin mimetic for</w:t>
      </w:r>
      <w:r w:rsidR="003A1917">
        <w:rPr>
          <w:kern w:val="0"/>
        </w:rPr>
        <w:t xml:space="preserve"> the </w:t>
      </w:r>
      <w:r>
        <w:rPr>
          <w:kern w:val="0"/>
        </w:rPr>
        <w:t>treatment</w:t>
      </w:r>
      <w:r w:rsidR="00427468">
        <w:rPr>
          <w:kern w:val="0"/>
        </w:rPr>
        <w:t xml:space="preserve"> of </w:t>
      </w:r>
      <w:r>
        <w:rPr>
          <w:kern w:val="0"/>
        </w:rPr>
        <w:t xml:space="preserve">type 2 diabetes mellitus. </w:t>
      </w:r>
      <w:r>
        <w:rPr>
          <w:i/>
          <w:iCs/>
          <w:kern w:val="0"/>
        </w:rPr>
        <w:t>Clinical Therapeutics</w:t>
      </w:r>
      <w:r>
        <w:rPr>
          <w:kern w:val="0"/>
        </w:rPr>
        <w:t xml:space="preserve">, </w:t>
      </w:r>
      <w:r>
        <w:rPr>
          <w:b/>
          <w:bCs/>
          <w:kern w:val="0"/>
        </w:rPr>
        <w:t>28</w:t>
      </w:r>
      <w:r>
        <w:rPr>
          <w:kern w:val="0"/>
        </w:rPr>
        <w:t xml:space="preserve"> (5), 652-665.</w:t>
      </w:r>
    </w:p>
    <w:p w:rsidR="00BC6E79" w:rsidRPr="001A3D2B" w:rsidRDefault="00BC6E79" w:rsidP="00BC6E79">
      <w:pPr>
        <w:pStyle w:val="a3"/>
      </w:pPr>
      <w:r w:rsidRPr="001A3D2B">
        <w:t xml:space="preserve">Full Text: </w:t>
      </w:r>
      <w:hyperlink r:id="rId443" w:history="1">
        <w:r w:rsidR="00D562CB" w:rsidRPr="00D562CB">
          <w:rPr>
            <w:rStyle w:val="a5"/>
          </w:rPr>
          <w:t>2006\Cli The28, 652.pdf</w:t>
        </w:r>
      </w:hyperlink>
    </w:p>
    <w:p w:rsidR="00BC6E79" w:rsidRDefault="00BC6E79" w:rsidP="00BC6E79">
      <w:pPr>
        <w:pStyle w:val="a3"/>
        <w:rPr>
          <w:kern w:val="0"/>
        </w:rPr>
      </w:pPr>
      <w:r>
        <w:rPr>
          <w:kern w:val="0"/>
        </w:rPr>
        <w:t>Abstract: Background: Exenatide is a subcutaneously injected incretin mimetic. It is indicated as adjunctive therapy to improve glycemic control in patients with type 2 diabetes mellitus (T2DM) who are already receiving therapy with metformin, a sulfonylurea, or both but continue to have suboptimal glycemic control. Objective: This article reviews available information on</w:t>
      </w:r>
      <w:r w:rsidR="003A1917">
        <w:rPr>
          <w:kern w:val="0"/>
        </w:rPr>
        <w:t xml:space="preserve"> the </w:t>
      </w:r>
      <w:r>
        <w:rPr>
          <w:kern w:val="0"/>
        </w:rPr>
        <w:t>clinical pharmacology, comparative efficacy, tolerability, drug interactions, contraindications</w:t>
      </w:r>
      <w:r w:rsidR="005853A9">
        <w:rPr>
          <w:kern w:val="0"/>
        </w:rPr>
        <w:t xml:space="preserve"> and </w:t>
      </w:r>
      <w:r>
        <w:rPr>
          <w:kern w:val="0"/>
        </w:rPr>
        <w:t>precautions, dosage</w:t>
      </w:r>
      <w:r w:rsidR="005853A9">
        <w:rPr>
          <w:kern w:val="0"/>
        </w:rPr>
        <w:t xml:space="preserve"> and </w:t>
      </w:r>
      <w:r>
        <w:rPr>
          <w:kern w:val="0"/>
        </w:rPr>
        <w:t>administration, availability</w:t>
      </w:r>
      <w:r w:rsidR="005853A9">
        <w:rPr>
          <w:kern w:val="0"/>
        </w:rPr>
        <w:t xml:space="preserve"> and </w:t>
      </w:r>
      <w:r>
        <w:rPr>
          <w:kern w:val="0"/>
        </w:rPr>
        <w:t>storage,</w:t>
      </w:r>
      <w:r w:rsidR="005853A9">
        <w:rPr>
          <w:kern w:val="0"/>
        </w:rPr>
        <w:t xml:space="preserve"> and </w:t>
      </w:r>
      <w:r>
        <w:rPr>
          <w:kern w:val="0"/>
        </w:rPr>
        <w:t>cost</w:t>
      </w:r>
      <w:r w:rsidR="00427468">
        <w:rPr>
          <w:kern w:val="0"/>
        </w:rPr>
        <w:t xml:space="preserve"> of </w:t>
      </w:r>
      <w:r>
        <w:rPr>
          <w:kern w:val="0"/>
        </w:rPr>
        <w:t xml:space="preserve">exenatide. Methods: </w:t>
      </w:r>
      <w:r w:rsidR="00D5664A">
        <w:rPr>
          <w:kern w:val="0"/>
        </w:rPr>
        <w:t>MEDLINE</w:t>
      </w:r>
      <w:r>
        <w:rPr>
          <w:kern w:val="0"/>
        </w:rPr>
        <w:t xml:space="preserve"> (1966-April 2006)</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(1995-April 2006) were searched for original research</w:t>
      </w:r>
      <w:r w:rsidR="005853A9">
        <w:rPr>
          <w:kern w:val="0"/>
        </w:rPr>
        <w:t xml:space="preserve"> and </w:t>
      </w:r>
      <w:r>
        <w:rPr>
          <w:kern w:val="0"/>
        </w:rPr>
        <w:t>review articles published in</w:t>
      </w:r>
      <w:r w:rsidR="003A1917">
        <w:rPr>
          <w:kern w:val="0"/>
        </w:rPr>
        <w:t xml:space="preserve"> the </w:t>
      </w:r>
      <w:r>
        <w:rPr>
          <w:kern w:val="0"/>
        </w:rPr>
        <w:t>English language</w:t>
      </w:r>
      <w:r w:rsidR="00A37C1D">
        <w:rPr>
          <w:kern w:val="0"/>
        </w:rPr>
        <w:t>. The</w:t>
      </w:r>
      <w:r w:rsidR="003A1917">
        <w:rPr>
          <w:kern w:val="0"/>
        </w:rPr>
        <w:t xml:space="preserve"> </w:t>
      </w:r>
      <w:r>
        <w:rPr>
          <w:kern w:val="0"/>
        </w:rPr>
        <w:t>search terms used were exenatide, exendin-4, glucagon-like peptide-1, GLP-1,</w:t>
      </w:r>
      <w:r w:rsidR="005853A9">
        <w:rPr>
          <w:kern w:val="0"/>
        </w:rPr>
        <w:t xml:space="preserve"> and </w:t>
      </w:r>
      <w:r>
        <w:rPr>
          <w:kern w:val="0"/>
        </w:rPr>
        <w:t>incretin mimetic</w:t>
      </w:r>
      <w:r w:rsidR="00A37C1D">
        <w:rPr>
          <w:kern w:val="0"/>
        </w:rPr>
        <w:t>. The</w:t>
      </w:r>
      <w:r w:rsidR="003A1917">
        <w:rPr>
          <w:kern w:val="0"/>
        </w:rPr>
        <w:t xml:space="preserve"> </w:t>
      </w:r>
      <w:r>
        <w:rPr>
          <w:kern w:val="0"/>
        </w:rPr>
        <w:t>reference lists</w:t>
      </w:r>
      <w:r w:rsidR="00427468">
        <w:rPr>
          <w:kern w:val="0"/>
        </w:rPr>
        <w:t xml:space="preserve"> of </w:t>
      </w:r>
      <w:r>
        <w:rPr>
          <w:kern w:val="0"/>
        </w:rPr>
        <w:t>identified articles were also consulted, as was selected information from</w:t>
      </w:r>
      <w:r w:rsidR="003A1917">
        <w:rPr>
          <w:kern w:val="0"/>
        </w:rPr>
        <w:t xml:space="preserve"> the </w:t>
      </w:r>
      <w:r>
        <w:rPr>
          <w:kern w:val="0"/>
        </w:rPr>
        <w:t>package insert for exenatide. All relevant comparative efficacy studies that were available in published form were included in</w:t>
      </w:r>
      <w:r w:rsidR="003A1917">
        <w:rPr>
          <w:kern w:val="0"/>
        </w:rPr>
        <w:t xml:space="preserve"> the </w:t>
      </w:r>
      <w:r>
        <w:rPr>
          <w:kern w:val="0"/>
        </w:rPr>
        <w:t>review. Results: Naturally occurring incretins, such as glucagon-like peptide-1 (GLP-1), exhibit insulinotropic properties after release into</w:t>
      </w:r>
      <w:r w:rsidR="003A1917">
        <w:rPr>
          <w:kern w:val="0"/>
        </w:rPr>
        <w:t xml:space="preserve"> the </w:t>
      </w:r>
      <w:r>
        <w:rPr>
          <w:kern w:val="0"/>
        </w:rPr>
        <w:t>circulation from</w:t>
      </w:r>
      <w:r w:rsidR="003A1917">
        <w:rPr>
          <w:kern w:val="0"/>
        </w:rPr>
        <w:t xml:space="preserve"> the </w:t>
      </w:r>
      <w:r>
        <w:rPr>
          <w:kern w:val="0"/>
        </w:rPr>
        <w:t>gut. As a GLP-1 agonist, exenatide improves glucose homeostasis by mimicking</w:t>
      </w:r>
      <w:r w:rsidR="003A1917">
        <w:rPr>
          <w:kern w:val="0"/>
        </w:rPr>
        <w:t xml:space="preserve"> the </w:t>
      </w:r>
      <w:r>
        <w:rPr>
          <w:kern w:val="0"/>
        </w:rPr>
        <w:t>actions</w:t>
      </w:r>
      <w:r w:rsidR="00427468">
        <w:rPr>
          <w:kern w:val="0"/>
        </w:rPr>
        <w:t xml:space="preserve"> of </w:t>
      </w:r>
      <w:r>
        <w:rPr>
          <w:kern w:val="0"/>
        </w:rPr>
        <w:t>naturally occurring GLP-1. It improves glycemic control by reducing fasting</w:t>
      </w:r>
      <w:r w:rsidR="005853A9">
        <w:rPr>
          <w:kern w:val="0"/>
        </w:rPr>
        <w:t xml:space="preserve"> and </w:t>
      </w:r>
      <w:r>
        <w:rPr>
          <w:kern w:val="0"/>
        </w:rPr>
        <w:t>postprandial glucose concentrations through a combination</w:t>
      </w:r>
      <w:r w:rsidR="00427468">
        <w:rPr>
          <w:kern w:val="0"/>
        </w:rPr>
        <w:t xml:space="preserve"> of </w:t>
      </w:r>
      <w:r>
        <w:rPr>
          <w:kern w:val="0"/>
        </w:rPr>
        <w:t>known mechanisms, including glucose-dependent insulin secretion, restoration</w:t>
      </w:r>
      <w:r w:rsidR="00427468">
        <w:rPr>
          <w:kern w:val="0"/>
        </w:rPr>
        <w:t xml:space="preserve"> of </w:t>
      </w:r>
      <w:r>
        <w:rPr>
          <w:kern w:val="0"/>
        </w:rPr>
        <w:t>first-phase insulin response, regulation</w:t>
      </w:r>
      <w:r w:rsidR="00427468">
        <w:rPr>
          <w:kern w:val="0"/>
        </w:rPr>
        <w:t xml:space="preserve"> of </w:t>
      </w:r>
      <w:r>
        <w:rPr>
          <w:kern w:val="0"/>
        </w:rPr>
        <w:t>glucagon secretion, delaying gastric emptying,</w:t>
      </w:r>
      <w:r w:rsidR="005853A9">
        <w:rPr>
          <w:kern w:val="0"/>
        </w:rPr>
        <w:t xml:space="preserve"> and </w:t>
      </w:r>
      <w:r>
        <w:rPr>
          <w:kern w:val="0"/>
        </w:rPr>
        <w:t>decreasing food intake. Three Phase III comparative efficacy trials were identified that enrolled a total</w:t>
      </w:r>
      <w:r w:rsidR="00427468">
        <w:rPr>
          <w:kern w:val="0"/>
        </w:rPr>
        <w:t xml:space="preserve"> of </w:t>
      </w:r>
      <w:r>
        <w:rPr>
          <w:kern w:val="0"/>
        </w:rPr>
        <w:t>1446 patients who received exenatide 5 mu g SC BID, exenatide 10 mu g SC BID, or placebo for 30 weeks in addition to their existing therapy with metformin, sulfonylurea, or both. In these trials,</w:t>
      </w:r>
      <w:r w:rsidR="003A1917">
        <w:rPr>
          <w:kern w:val="0"/>
        </w:rPr>
        <w:t xml:space="preserve"> the </w:t>
      </w:r>
      <w:r>
        <w:rPr>
          <w:kern w:val="0"/>
        </w:rPr>
        <w:t>addition</w:t>
      </w:r>
      <w:r w:rsidR="00427468">
        <w:rPr>
          <w:kern w:val="0"/>
        </w:rPr>
        <w:t xml:space="preserve"> of </w:t>
      </w:r>
      <w:r>
        <w:rPr>
          <w:kern w:val="0"/>
        </w:rPr>
        <w:t>exenatide was associated with significant reductions in glycosylated hemoglobin (HbA(1c)) values (P &lt; 0.001- P &lt; 0.002), greater proportions</w:t>
      </w:r>
      <w:r w:rsidR="00427468">
        <w:rPr>
          <w:kern w:val="0"/>
        </w:rPr>
        <w:t xml:space="preserve"> of </w:t>
      </w:r>
      <w:r>
        <w:rPr>
          <w:kern w:val="0"/>
        </w:rPr>
        <w:t>patients achieving an HbA(1c) &lt;= 7%, significant decreases in fasting plasma glucose concentrations (P &lt; 0.001-P &lt; 0.005),</w:t>
      </w:r>
      <w:r w:rsidR="005853A9">
        <w:rPr>
          <w:kern w:val="0"/>
        </w:rPr>
        <w:t xml:space="preserve"> and </w:t>
      </w:r>
      <w:r>
        <w:rPr>
          <w:kern w:val="0"/>
        </w:rPr>
        <w:t>a dose-dependent progressive weight loss compared with placebo. Nausea (43.5%) was</w:t>
      </w:r>
      <w:r w:rsidR="003A1917">
        <w:rPr>
          <w:kern w:val="0"/>
        </w:rPr>
        <w:t xml:space="preserve"> the </w:t>
      </w:r>
      <w:r>
        <w:rPr>
          <w:kern w:val="0"/>
        </w:rPr>
        <w:t>most commonly reported adverse event in</w:t>
      </w:r>
      <w:r w:rsidR="003A1917">
        <w:rPr>
          <w:kern w:val="0"/>
        </w:rPr>
        <w:t xml:space="preserve"> the </w:t>
      </w:r>
      <w:r>
        <w:rPr>
          <w:kern w:val="0"/>
        </w:rPr>
        <w:t>combined exenatide groups. Other adverse events occurring in &gt; 10%</w:t>
      </w:r>
      <w:r w:rsidR="00427468">
        <w:rPr>
          <w:kern w:val="0"/>
        </w:rPr>
        <w:t xml:space="preserve"> of </w:t>
      </w:r>
      <w:r>
        <w:rPr>
          <w:kern w:val="0"/>
        </w:rPr>
        <w:t>patients receiving exenatide were hypoglycemia (19.6%), diarrhea (12.8%),</w:t>
      </w:r>
      <w:r w:rsidR="005853A9">
        <w:rPr>
          <w:kern w:val="0"/>
        </w:rPr>
        <w:t xml:space="preserve"> and </w:t>
      </w:r>
      <w:r>
        <w:rPr>
          <w:kern w:val="0"/>
        </w:rPr>
        <w:t>vomiting (12.8%). Conclusions: During clinical trials, exenatide added to existing metformin and/or sulfonylurea therapy in patients with T2DM reduced fasting</w:t>
      </w:r>
      <w:r w:rsidR="005853A9">
        <w:rPr>
          <w:kern w:val="0"/>
        </w:rPr>
        <w:t xml:space="preserve"> and </w:t>
      </w:r>
      <w:r>
        <w:rPr>
          <w:kern w:val="0"/>
        </w:rPr>
        <w:t>postprandial glucose concentrations, with improvements in HbA(1c)</w:t>
      </w:r>
      <w:r w:rsidR="005853A9">
        <w:rPr>
          <w:kern w:val="0"/>
        </w:rPr>
        <w:t xml:space="preserve"> and </w:t>
      </w:r>
      <w:r>
        <w:rPr>
          <w:kern w:val="0"/>
        </w:rPr>
        <w:t>modest weight loss</w:t>
      </w:r>
      <w:r w:rsidR="00A37C1D">
        <w:rPr>
          <w:kern w:val="0"/>
        </w:rPr>
        <w:t>. The</w:t>
      </w:r>
      <w:r w:rsidR="003A1917">
        <w:rPr>
          <w:kern w:val="0"/>
        </w:rPr>
        <w:t xml:space="preserve"> </w:t>
      </w:r>
      <w:r>
        <w:rPr>
          <w:kern w:val="0"/>
        </w:rPr>
        <w:t>main adverse effect associated with exenatide therapy was nausea.</w:t>
      </w:r>
    </w:p>
    <w:p w:rsidR="00BC6E79" w:rsidRDefault="00BC6E79" w:rsidP="00BC6E79">
      <w:pPr>
        <w:pStyle w:val="a3"/>
        <w:rPr>
          <w:kern w:val="0"/>
        </w:rPr>
      </w:pPr>
      <w:r>
        <w:rPr>
          <w:kern w:val="0"/>
        </w:rPr>
        <w:lastRenderedPageBreak/>
        <w:t xml:space="preserve">Keywords: Clinical Trials, Control, Diabetes, Diabetes Mellitus, Drug, Drug Interactions, Efficacy, Exenatide, Exendin-4, Fasting, Glp-1, Glucagon-Like Peptide-1, Glucose, Glycemic Control, Hypoglycemia, Incretin Mimetic, Information, Insulin, Insulin-Secretion, </w:t>
      </w:r>
      <w:r w:rsidR="00D5664A">
        <w:rPr>
          <w:kern w:val="0"/>
        </w:rPr>
        <w:t>MEDLINE</w:t>
      </w:r>
      <w:r>
        <w:rPr>
          <w:kern w:val="0"/>
        </w:rPr>
        <w:t xml:space="preserve">, Metformin, Methods, Pharmacokinetics, Plasma, Research, Restoration, Review, Science, Sulfonylurea, Synthetic Exendin-4, Therapy, Treated Patients, Treatment, Type 2, Type 2 Diabetes, Type 2 Diabetes Mellitus, </w:t>
      </w:r>
      <w:r w:rsidR="00D5664A">
        <w:rPr>
          <w:kern w:val="0"/>
        </w:rPr>
        <w:t>Web</w:t>
      </w:r>
      <w:r w:rsidR="00427468">
        <w:rPr>
          <w:kern w:val="0"/>
        </w:rPr>
        <w:t xml:space="preserve"> of </w:t>
      </w:r>
      <w:r w:rsidR="00D5664A">
        <w:rPr>
          <w:kern w:val="0"/>
        </w:rPr>
        <w:t>Science</w:t>
      </w:r>
      <w:r>
        <w:rPr>
          <w:kern w:val="0"/>
        </w:rPr>
        <w:t>, Weight, Zucker Rats</w:t>
      </w:r>
    </w:p>
    <w:p w:rsidR="00BC6E79" w:rsidRDefault="00BC6E79" w:rsidP="00BC6E79">
      <w:pPr>
        <w:pStyle w:val="a3"/>
        <w:rPr>
          <w:kern w:val="0"/>
        </w:rPr>
      </w:pPr>
      <w:r>
        <w:rPr>
          <w:rFonts w:hint="eastAsia"/>
          <w:kern w:val="0"/>
        </w:rPr>
        <w:t xml:space="preserve">? </w:t>
      </w:r>
      <w:r>
        <w:rPr>
          <w:kern w:val="0"/>
        </w:rPr>
        <w:t>Setter, S.M., Levien, T.L., Iltz, J.L., Odegard, P.S., Neumiller, J.J., Baker, D.E.</w:t>
      </w:r>
      <w:r w:rsidR="005853A9">
        <w:rPr>
          <w:kern w:val="0"/>
        </w:rPr>
        <w:t xml:space="preserve"> and </w:t>
      </w:r>
      <w:r>
        <w:rPr>
          <w:kern w:val="0"/>
        </w:rPr>
        <w:t>Campbell, R.K. (2007), Inhaled dry powder insulin for</w:t>
      </w:r>
      <w:r w:rsidR="003A1917">
        <w:rPr>
          <w:kern w:val="0"/>
        </w:rPr>
        <w:t xml:space="preserve"> the </w:t>
      </w:r>
      <w:r>
        <w:rPr>
          <w:kern w:val="0"/>
        </w:rPr>
        <w:t>treatment</w:t>
      </w:r>
      <w:r w:rsidR="00427468">
        <w:rPr>
          <w:kern w:val="0"/>
        </w:rPr>
        <w:t xml:space="preserve"> of </w:t>
      </w:r>
      <w:r>
        <w:rPr>
          <w:kern w:val="0"/>
        </w:rPr>
        <w:t xml:space="preserve">diabetes mellitus. </w:t>
      </w:r>
      <w:r>
        <w:rPr>
          <w:i/>
          <w:iCs/>
          <w:kern w:val="0"/>
        </w:rPr>
        <w:t>Clinical Therapeutics</w:t>
      </w:r>
      <w:r>
        <w:rPr>
          <w:kern w:val="0"/>
        </w:rPr>
        <w:t xml:space="preserve">, </w:t>
      </w:r>
      <w:r>
        <w:rPr>
          <w:b/>
          <w:bCs/>
          <w:kern w:val="0"/>
        </w:rPr>
        <w:t>29</w:t>
      </w:r>
      <w:r>
        <w:rPr>
          <w:kern w:val="0"/>
        </w:rPr>
        <w:t xml:space="preserve"> (5), 795-813.</w:t>
      </w:r>
    </w:p>
    <w:p w:rsidR="00BC6E79" w:rsidRPr="001A3D2B" w:rsidRDefault="00BC6E79" w:rsidP="00BC6E79">
      <w:pPr>
        <w:pStyle w:val="a3"/>
      </w:pPr>
      <w:r w:rsidRPr="001A3D2B">
        <w:t xml:space="preserve">Full Text: </w:t>
      </w:r>
      <w:hyperlink r:id="rId444" w:history="1">
        <w:r w:rsidR="00D562CB" w:rsidRPr="00D562CB">
          <w:rPr>
            <w:rStyle w:val="a5"/>
          </w:rPr>
          <w:t>2007\Cli The29, 795.pdf</w:t>
        </w:r>
      </w:hyperlink>
    </w:p>
    <w:p w:rsidR="00BC6E79" w:rsidRDefault="00BC6E79" w:rsidP="00BC6E79">
      <w:pPr>
        <w:pStyle w:val="a3"/>
        <w:rPr>
          <w:kern w:val="0"/>
        </w:rPr>
      </w:pPr>
      <w:r>
        <w:rPr>
          <w:kern w:val="0"/>
        </w:rPr>
        <w:t>Abstract: Background: Inhaled dry powder insulin (IDPI) is</w:t>
      </w:r>
      <w:r w:rsidR="003A1917">
        <w:rPr>
          <w:kern w:val="0"/>
        </w:rPr>
        <w:t xml:space="preserve"> the </w:t>
      </w:r>
      <w:r>
        <w:rPr>
          <w:kern w:val="0"/>
        </w:rPr>
        <w:t>first inhaled insulin approved for</w:t>
      </w:r>
      <w:r w:rsidR="003A1917">
        <w:rPr>
          <w:kern w:val="0"/>
        </w:rPr>
        <w:t xml:space="preserve"> the </w:t>
      </w:r>
      <w:r>
        <w:rPr>
          <w:kern w:val="0"/>
        </w:rPr>
        <w:t>treatment</w:t>
      </w:r>
      <w:r w:rsidR="00427468">
        <w:rPr>
          <w:kern w:val="0"/>
        </w:rPr>
        <w:t xml:space="preserve"> of </w:t>
      </w:r>
      <w:r>
        <w:rPr>
          <w:kern w:val="0"/>
        </w:rPr>
        <w:t>type I</w:t>
      </w:r>
      <w:r w:rsidR="005853A9">
        <w:rPr>
          <w:kern w:val="0"/>
        </w:rPr>
        <w:t xml:space="preserve"> and </w:t>
      </w:r>
      <w:r>
        <w:rPr>
          <w:kern w:val="0"/>
        </w:rPr>
        <w:t>type 2 diabetes mellitus (DM). Objective: This article reviews available information on IDPI, focusing on Its clinical pharmacokinetics, comparative efficacy, tolerability, adverse events, dosage</w:t>
      </w:r>
      <w:r w:rsidR="005853A9">
        <w:rPr>
          <w:kern w:val="0"/>
        </w:rPr>
        <w:t xml:space="preserve"> and </w:t>
      </w:r>
      <w:r>
        <w:rPr>
          <w:kern w:val="0"/>
        </w:rPr>
        <w:t>administration,</w:t>
      </w:r>
      <w:r w:rsidR="005853A9">
        <w:rPr>
          <w:kern w:val="0"/>
        </w:rPr>
        <w:t xml:space="preserve"> and </w:t>
      </w:r>
      <w:r>
        <w:rPr>
          <w:kern w:val="0"/>
        </w:rPr>
        <w:t xml:space="preserve">cost. Methods: </w:t>
      </w:r>
      <w:r w:rsidR="00D5664A">
        <w:rPr>
          <w:kern w:val="0"/>
        </w:rPr>
        <w:t>MEDLINE</w:t>
      </w:r>
      <w:r>
        <w:rPr>
          <w:kern w:val="0"/>
        </w:rPr>
        <w:t xml:space="preserve"> (1966-July 2006)</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(1995-July 2006) were searched for original research</w:t>
      </w:r>
      <w:r w:rsidR="005853A9">
        <w:rPr>
          <w:kern w:val="0"/>
        </w:rPr>
        <w:t xml:space="preserve"> and </w:t>
      </w:r>
      <w:r>
        <w:rPr>
          <w:kern w:val="0"/>
        </w:rPr>
        <w:t>review articles published in English</w:t>
      </w:r>
      <w:r w:rsidR="00A37C1D">
        <w:rPr>
          <w:kern w:val="0"/>
        </w:rPr>
        <w:t>. The</w:t>
      </w:r>
      <w:r w:rsidR="003A1917">
        <w:rPr>
          <w:kern w:val="0"/>
        </w:rPr>
        <w:t xml:space="preserve"> </w:t>
      </w:r>
      <w:r>
        <w:rPr>
          <w:kern w:val="0"/>
        </w:rPr>
        <w:t>search terms used were inhaled insulin, inhaled human insulin, rDNA origin inhalation powder, inhaled dry powder insulin,</w:t>
      </w:r>
      <w:r w:rsidR="005853A9">
        <w:rPr>
          <w:kern w:val="0"/>
        </w:rPr>
        <w:t xml:space="preserve"> and </w:t>
      </w:r>
      <w:r>
        <w:rPr>
          <w:kern w:val="0"/>
        </w:rPr>
        <w:t>IDPI All published comparative efficacy studies were included in</w:t>
      </w:r>
      <w:r w:rsidR="003A1917">
        <w:rPr>
          <w:kern w:val="0"/>
        </w:rPr>
        <w:t xml:space="preserve"> the </w:t>
      </w:r>
      <w:r>
        <w:rPr>
          <w:kern w:val="0"/>
        </w:rPr>
        <w:t>review, as well as selected information from</w:t>
      </w:r>
      <w:r w:rsidR="003A1917">
        <w:rPr>
          <w:kern w:val="0"/>
        </w:rPr>
        <w:t xml:space="preserve"> the </w:t>
      </w:r>
      <w:r>
        <w:rPr>
          <w:kern w:val="0"/>
        </w:rPr>
        <w:t>package insert for IDPI. Results: IDPI is an inhaled dry powder form</w:t>
      </w:r>
      <w:r w:rsidR="00427468">
        <w:rPr>
          <w:kern w:val="0"/>
        </w:rPr>
        <w:t xml:space="preserve"> of </w:t>
      </w:r>
      <w:r>
        <w:rPr>
          <w:kern w:val="0"/>
        </w:rPr>
        <w:t>regular human insulin (RHI) that is used as a premeal insulin to improve glycemic control by reducing postprandial glucose excursions</w:t>
      </w:r>
      <w:r w:rsidR="00A37C1D">
        <w:rPr>
          <w:kern w:val="0"/>
        </w:rPr>
        <w:t>. The</w:t>
      </w:r>
      <w:r w:rsidR="003A1917">
        <w:rPr>
          <w:kern w:val="0"/>
        </w:rPr>
        <w:t xml:space="preserve"> </w:t>
      </w:r>
      <w:r>
        <w:rPr>
          <w:kern w:val="0"/>
        </w:rPr>
        <w:t>literature search identified 5 efficacy trials comparing reductions in glycosylated hemoglobin (HbA(1c)) in a total</w:t>
      </w:r>
      <w:r w:rsidR="00427468">
        <w:rPr>
          <w:kern w:val="0"/>
        </w:rPr>
        <w:t xml:space="preserve"> of </w:t>
      </w:r>
      <w:r>
        <w:rPr>
          <w:kern w:val="0"/>
        </w:rPr>
        <w:t>582 patients with type 1 DM who received either premeal IDPI plus neutral protamine Hagedorn (NPH) or Ultralente insulin or injectable RHI plus NPH or Ultralente insulin</w:t>
      </w:r>
      <w:r w:rsidR="00A37C1D">
        <w:rPr>
          <w:kern w:val="0"/>
        </w:rPr>
        <w:t>. The</w:t>
      </w:r>
      <w:r w:rsidR="003A1917">
        <w:rPr>
          <w:kern w:val="0"/>
        </w:rPr>
        <w:t xml:space="preserve"> </w:t>
      </w:r>
      <w:r>
        <w:rPr>
          <w:kern w:val="0"/>
        </w:rPr>
        <w:t>search identified 5 comparative efficacy studies</w:t>
      </w:r>
      <w:r w:rsidR="00427468">
        <w:rPr>
          <w:kern w:val="0"/>
        </w:rPr>
        <w:t xml:space="preserve"> of </w:t>
      </w:r>
      <w:r>
        <w:rPr>
          <w:kern w:val="0"/>
        </w:rPr>
        <w:t>IDPI monotherapy or</w:t>
      </w:r>
      <w:r w:rsidR="003A1917">
        <w:rPr>
          <w:kern w:val="0"/>
        </w:rPr>
        <w:t xml:space="preserve"> the </w:t>
      </w:r>
      <w:r>
        <w:rPr>
          <w:kern w:val="0"/>
        </w:rPr>
        <w:t>addition</w:t>
      </w:r>
      <w:r w:rsidR="00427468">
        <w:rPr>
          <w:kern w:val="0"/>
        </w:rPr>
        <w:t xml:space="preserve"> of </w:t>
      </w:r>
      <w:r>
        <w:rPr>
          <w:kern w:val="0"/>
        </w:rPr>
        <w:t>IDPI to</w:t>
      </w:r>
      <w:r w:rsidR="003A1917">
        <w:rPr>
          <w:kern w:val="0"/>
        </w:rPr>
        <w:t xml:space="preserve"> the </w:t>
      </w:r>
      <w:r>
        <w:rPr>
          <w:kern w:val="0"/>
        </w:rPr>
        <w:t>current regimen in a total</w:t>
      </w:r>
      <w:r w:rsidR="00427468">
        <w:rPr>
          <w:kern w:val="0"/>
        </w:rPr>
        <w:t xml:space="preserve"> of </w:t>
      </w:r>
      <w:r>
        <w:rPr>
          <w:kern w:val="0"/>
        </w:rPr>
        <w:t>1413 patients with type 2 DM that was uncontrolled with diet</w:t>
      </w:r>
      <w:r w:rsidR="005853A9">
        <w:rPr>
          <w:kern w:val="0"/>
        </w:rPr>
        <w:t xml:space="preserve"> and </w:t>
      </w:r>
      <w:r>
        <w:rPr>
          <w:kern w:val="0"/>
        </w:rPr>
        <w:t>exercise, metformin, a sulfonylurea, metformin</w:t>
      </w:r>
      <w:r w:rsidR="005853A9">
        <w:rPr>
          <w:kern w:val="0"/>
        </w:rPr>
        <w:t xml:space="preserve"> and </w:t>
      </w:r>
      <w:r>
        <w:rPr>
          <w:kern w:val="0"/>
        </w:rPr>
        <w:t>a sulfonylurea, or a secretagogue plus an insulin sensitizer</w:t>
      </w:r>
      <w:r w:rsidR="00A37C1D">
        <w:rPr>
          <w:kern w:val="0"/>
        </w:rPr>
        <w:t>. The</w:t>
      </w:r>
      <w:r w:rsidR="003A1917">
        <w:rPr>
          <w:kern w:val="0"/>
        </w:rPr>
        <w:t xml:space="preserve"> </w:t>
      </w:r>
      <w:r>
        <w:rPr>
          <w:kern w:val="0"/>
        </w:rPr>
        <w:t>use</w:t>
      </w:r>
      <w:r w:rsidR="00427468">
        <w:rPr>
          <w:kern w:val="0"/>
        </w:rPr>
        <w:t xml:space="preserve"> of </w:t>
      </w:r>
      <w:r>
        <w:rPr>
          <w:kern w:val="0"/>
        </w:rPr>
        <w:t>IDPI as a mealtime insulin in these studies was associated with absolute changes in HbA(1c) ranging from -0.6% to +0.1% in patients with type I DM</w:t>
      </w:r>
      <w:r w:rsidR="005853A9">
        <w:rPr>
          <w:kern w:val="0"/>
        </w:rPr>
        <w:t xml:space="preserve"> and </w:t>
      </w:r>
      <w:r>
        <w:rPr>
          <w:kern w:val="0"/>
        </w:rPr>
        <w:t>from -1.4% to -2.9% in patients with type 2 DM. HbA(1c) values &lt; 7% were achieved in 16.9% to 28.2%</w:t>
      </w:r>
      <w:r w:rsidR="00427468">
        <w:rPr>
          <w:kern w:val="0"/>
        </w:rPr>
        <w:t xml:space="preserve"> of </w:t>
      </w:r>
      <w:r>
        <w:rPr>
          <w:kern w:val="0"/>
        </w:rPr>
        <w:t>patients with type 1 DM</w:t>
      </w:r>
      <w:r w:rsidR="005853A9">
        <w:rPr>
          <w:kern w:val="0"/>
        </w:rPr>
        <w:t xml:space="preserve"> and </w:t>
      </w:r>
      <w:r>
        <w:rPr>
          <w:kern w:val="0"/>
        </w:rPr>
        <w:t>16.7% to 44.0%</w:t>
      </w:r>
      <w:r w:rsidR="00427468">
        <w:rPr>
          <w:kern w:val="0"/>
        </w:rPr>
        <w:t xml:space="preserve"> of </w:t>
      </w:r>
      <w:r>
        <w:rPr>
          <w:kern w:val="0"/>
        </w:rPr>
        <w:t>patients with type 2 DM</w:t>
      </w:r>
      <w:r w:rsidR="00A37C1D">
        <w:rPr>
          <w:kern w:val="0"/>
        </w:rPr>
        <w:t>. The</w:t>
      </w:r>
      <w:r w:rsidR="003A1917">
        <w:rPr>
          <w:kern w:val="0"/>
        </w:rPr>
        <w:t xml:space="preserve"> </w:t>
      </w:r>
      <w:r>
        <w:rPr>
          <w:kern w:val="0"/>
        </w:rPr>
        <w:t>most common nonrespiratory adverse event noted during clinical trials</w:t>
      </w:r>
      <w:r w:rsidR="00427468">
        <w:rPr>
          <w:kern w:val="0"/>
        </w:rPr>
        <w:t xml:space="preserve"> of </w:t>
      </w:r>
      <w:r>
        <w:rPr>
          <w:kern w:val="0"/>
        </w:rPr>
        <w:t>IDPI was hypoglycemia (type 1 DM: 8.6-9.3 episodes/subject-month; type 2 DM: 0.3-1.4 episodes/subject-month),</w:t>
      </w:r>
      <w:r w:rsidR="005853A9">
        <w:rPr>
          <w:kern w:val="0"/>
        </w:rPr>
        <w:t xml:space="preserve"> and </w:t>
      </w:r>
      <w:r w:rsidR="003A1917">
        <w:rPr>
          <w:kern w:val="0"/>
        </w:rPr>
        <w:t xml:space="preserve">the </w:t>
      </w:r>
      <w:r>
        <w:rPr>
          <w:kern w:val="0"/>
        </w:rPr>
        <w:t>most common adverse event involving</w:t>
      </w:r>
      <w:r w:rsidR="003A1917">
        <w:rPr>
          <w:kern w:val="0"/>
        </w:rPr>
        <w:t xml:space="preserve"> the </w:t>
      </w:r>
      <w:r>
        <w:rPr>
          <w:kern w:val="0"/>
        </w:rPr>
        <w:t>pulmonary system was cough (21.9%-29.5%). Conclusions: IDPI is</w:t>
      </w:r>
      <w:r w:rsidR="003A1917">
        <w:rPr>
          <w:kern w:val="0"/>
        </w:rPr>
        <w:t xml:space="preserve"> the </w:t>
      </w:r>
      <w:r>
        <w:rPr>
          <w:kern w:val="0"/>
        </w:rPr>
        <w:t xml:space="preserve">first available inhaled insulin. It provides an additional </w:t>
      </w:r>
      <w:r>
        <w:rPr>
          <w:kern w:val="0"/>
        </w:rPr>
        <w:lastRenderedPageBreak/>
        <w:t>option for</w:t>
      </w:r>
      <w:r w:rsidR="003A1917">
        <w:rPr>
          <w:kern w:val="0"/>
        </w:rPr>
        <w:t xml:space="preserve"> the </w:t>
      </w:r>
      <w:r>
        <w:rPr>
          <w:kern w:val="0"/>
        </w:rPr>
        <w:t>achievement</w:t>
      </w:r>
      <w:r w:rsidR="00427468">
        <w:rPr>
          <w:kern w:val="0"/>
        </w:rPr>
        <w:t xml:space="preserve"> of </w:t>
      </w:r>
      <w:r>
        <w:rPr>
          <w:kern w:val="0"/>
        </w:rPr>
        <w:t>HbA(1c) goals with a premeal insulin.</w:t>
      </w:r>
    </w:p>
    <w:p w:rsidR="00BC6E79" w:rsidRDefault="00BC6E79" w:rsidP="00BC6E79">
      <w:pPr>
        <w:pStyle w:val="a3"/>
        <w:rPr>
          <w:kern w:val="0"/>
        </w:rPr>
      </w:pPr>
      <w:r>
        <w:rPr>
          <w:kern w:val="0"/>
        </w:rPr>
        <w:t xml:space="preserve">Keywords: 2-Year Period, Adjunctive Therapy, Clinical Trials, Comparative Trial, Control, Diabetes, Diabetes Mellitus, Efficacy, Exercise, Exubera, Human, Hypoglycemia, Idpi, Improves Glycemic Control, Information, Inhaled Dry Powder Insulin, Inhaled Insulin, Insulin, Literature, Long-Term, </w:t>
      </w:r>
      <w:r w:rsidR="00D5664A">
        <w:rPr>
          <w:kern w:val="0"/>
        </w:rPr>
        <w:t>MEDLINE</w:t>
      </w:r>
      <w:r>
        <w:rPr>
          <w:kern w:val="0"/>
        </w:rPr>
        <w:t xml:space="preserve">, Metformin, Methods, Monotherapy, Oral-Agents, Pulmonary Safety, Research, Review, Science, Shows Sustained Efficacy, Time-Action Profile, Treatment, Treatment Satisfaction, Type 1, Type 1 Diabetes, Type 2, Type 2 Diabetes, Type 2 Diabetes Mellitus, </w:t>
      </w:r>
      <w:r w:rsidR="00D5664A">
        <w:rPr>
          <w:kern w:val="0"/>
        </w:rPr>
        <w:t>Web</w:t>
      </w:r>
      <w:r w:rsidR="00427468">
        <w:rPr>
          <w:kern w:val="0"/>
        </w:rPr>
        <w:t xml:space="preserve"> of </w:t>
      </w:r>
      <w:r w:rsidR="00D5664A">
        <w:rPr>
          <w:kern w:val="0"/>
        </w:rPr>
        <w:t>Science</w:t>
      </w:r>
    </w:p>
    <w:p w:rsidR="00C921D0" w:rsidRDefault="00C921D0" w:rsidP="00C921D0">
      <w:pPr>
        <w:pStyle w:val="a3"/>
        <w:rPr>
          <w:kern w:val="0"/>
        </w:rPr>
      </w:pPr>
      <w:r>
        <w:rPr>
          <w:rFonts w:hint="eastAsia"/>
          <w:kern w:val="0"/>
        </w:rPr>
        <w:t xml:space="preserve">? </w:t>
      </w:r>
      <w:r>
        <w:rPr>
          <w:kern w:val="0"/>
        </w:rPr>
        <w:t>Kang, S., Yang, Y.J., Li, C.J.</w:t>
      </w:r>
      <w:r w:rsidR="005853A9">
        <w:rPr>
          <w:kern w:val="0"/>
        </w:rPr>
        <w:t xml:space="preserve"> and </w:t>
      </w:r>
      <w:r>
        <w:rPr>
          <w:kern w:val="0"/>
        </w:rPr>
        <w:t>Gao, R.L. (2007), Effectiveness</w:t>
      </w:r>
      <w:r w:rsidR="005853A9">
        <w:rPr>
          <w:kern w:val="0"/>
        </w:rPr>
        <w:t xml:space="preserve"> and </w:t>
      </w:r>
      <w:r>
        <w:rPr>
          <w:kern w:val="0"/>
        </w:rPr>
        <w:t>tolerability</w:t>
      </w:r>
      <w:r w:rsidR="00427468">
        <w:rPr>
          <w:kern w:val="0"/>
        </w:rPr>
        <w:t xml:space="preserve"> of </w:t>
      </w:r>
      <w:r>
        <w:rPr>
          <w:kern w:val="0"/>
        </w:rPr>
        <w:t>administration</w:t>
      </w:r>
      <w:r w:rsidR="00427468">
        <w:rPr>
          <w:kern w:val="0"/>
        </w:rPr>
        <w:t xml:space="preserve"> of </w:t>
      </w:r>
      <w:r>
        <w:rPr>
          <w:kern w:val="0"/>
        </w:rPr>
        <w:t>granulocyte colony-stimulating factor on left ventricular function in patients with myocardial infarction: A meta-analysis</w:t>
      </w:r>
      <w:r w:rsidR="00427468">
        <w:rPr>
          <w:kern w:val="0"/>
        </w:rPr>
        <w:t xml:space="preserve"> of </w:t>
      </w:r>
      <w:r>
        <w:rPr>
          <w:kern w:val="0"/>
        </w:rPr>
        <w:t xml:space="preserve">randomized controlled trials. </w:t>
      </w:r>
      <w:r>
        <w:rPr>
          <w:i/>
          <w:iCs/>
          <w:kern w:val="0"/>
        </w:rPr>
        <w:t>Clinical Therapeutics</w:t>
      </w:r>
      <w:r>
        <w:rPr>
          <w:kern w:val="0"/>
        </w:rPr>
        <w:t xml:space="preserve">, </w:t>
      </w:r>
      <w:r>
        <w:rPr>
          <w:b/>
          <w:bCs/>
          <w:kern w:val="0"/>
        </w:rPr>
        <w:t>29</w:t>
      </w:r>
      <w:r>
        <w:rPr>
          <w:kern w:val="0"/>
        </w:rPr>
        <w:t xml:space="preserve"> (11), 2406-2418.</w:t>
      </w:r>
    </w:p>
    <w:p w:rsidR="00C921D0" w:rsidRPr="001A3D2B" w:rsidRDefault="00C921D0" w:rsidP="00C921D0">
      <w:pPr>
        <w:pStyle w:val="a3"/>
      </w:pPr>
      <w:r w:rsidRPr="001A3D2B">
        <w:t xml:space="preserve">Full Text: </w:t>
      </w:r>
      <w:hyperlink r:id="rId445" w:history="1">
        <w:r w:rsidRPr="00C921D0">
          <w:rPr>
            <w:rStyle w:val="a5"/>
          </w:rPr>
          <w:t>2007\Cli The29, 2406.pdf</w:t>
        </w:r>
      </w:hyperlink>
    </w:p>
    <w:p w:rsidR="00C921D0" w:rsidRDefault="00C921D0" w:rsidP="00C921D0">
      <w:pPr>
        <w:pStyle w:val="a3"/>
        <w:rPr>
          <w:kern w:val="0"/>
        </w:rPr>
      </w:pPr>
      <w:r>
        <w:rPr>
          <w:kern w:val="0"/>
        </w:rPr>
        <w:t>Abstract: Background: Clinical studies suggest that granulocyte colony-stimulating factor (G-CSF) -mobilized stem cells are recruited to ischemic myocardium</w:t>
      </w:r>
      <w:r w:rsidR="005853A9">
        <w:rPr>
          <w:kern w:val="0"/>
        </w:rPr>
        <w:t xml:space="preserve"> and </w:t>
      </w:r>
      <w:r>
        <w:rPr>
          <w:kern w:val="0"/>
        </w:rPr>
        <w:t>differentiate into specialized cells such as cardiomyocytes, endothelial cells,</w:t>
      </w:r>
      <w:r w:rsidR="005853A9">
        <w:rPr>
          <w:kern w:val="0"/>
        </w:rPr>
        <w:t xml:space="preserve"> and </w:t>
      </w:r>
      <w:r>
        <w:rPr>
          <w:kern w:val="0"/>
        </w:rPr>
        <w:t>smooth muscle cells,</w:t>
      </w:r>
      <w:r w:rsidR="005853A9">
        <w:rPr>
          <w:kern w:val="0"/>
        </w:rPr>
        <w:t xml:space="preserve"> and </w:t>
      </w:r>
      <w:r>
        <w:rPr>
          <w:kern w:val="0"/>
        </w:rPr>
        <w:t>may improve left ventricular function. Objectives: The aim</w:t>
      </w:r>
      <w:r w:rsidR="00427468">
        <w:rPr>
          <w:kern w:val="0"/>
        </w:rPr>
        <w:t xml:space="preserve"> of </w:t>
      </w:r>
      <w:r>
        <w:rPr>
          <w:kern w:val="0"/>
        </w:rPr>
        <w:t>this study was to investigate the effectiveness</w:t>
      </w:r>
      <w:r w:rsidR="005853A9">
        <w:rPr>
          <w:kern w:val="0"/>
        </w:rPr>
        <w:t xml:space="preserve"> and </w:t>
      </w:r>
      <w:r>
        <w:rPr>
          <w:kern w:val="0"/>
        </w:rPr>
        <w:t>tolerability</w:t>
      </w:r>
      <w:r w:rsidR="00427468">
        <w:rPr>
          <w:kern w:val="0"/>
        </w:rPr>
        <w:t xml:space="preserve"> of </w:t>
      </w:r>
      <w:r>
        <w:rPr>
          <w:kern w:val="0"/>
        </w:rPr>
        <w:t>G-CSF treatment with regard to global left ventricular function in patients with myocardial infarction (MI). Methods: A literature search was conducted</w:t>
      </w:r>
      <w:r w:rsidR="00427468">
        <w:rPr>
          <w:kern w:val="0"/>
        </w:rPr>
        <w:t xml:space="preserve"> of </w:t>
      </w:r>
      <w:r w:rsidR="00D5664A">
        <w:rPr>
          <w:kern w:val="0"/>
        </w:rPr>
        <w:t>MEDLINE</w:t>
      </w:r>
      <w:r>
        <w:rPr>
          <w:kern w:val="0"/>
        </w:rPr>
        <w:t>, Cochrane Controlled Trials Register, EMBASE, Science Citation Index,</w:t>
      </w:r>
      <w:r w:rsidR="005853A9">
        <w:rPr>
          <w:kern w:val="0"/>
        </w:rPr>
        <w:t xml:space="preserve"> and </w:t>
      </w:r>
      <w:r>
        <w:rPr>
          <w:kern w:val="0"/>
        </w:rPr>
        <w:t>PubMed (all from their inception to March 2007). Reference lists</w:t>
      </w:r>
      <w:r w:rsidR="00427468">
        <w:rPr>
          <w:kern w:val="0"/>
        </w:rPr>
        <w:t xml:space="preserve"> of </w:t>
      </w:r>
      <w:r>
        <w:rPr>
          <w:kern w:val="0"/>
        </w:rPr>
        <w:t>papers</w:t>
      </w:r>
      <w:r w:rsidR="005853A9">
        <w:rPr>
          <w:kern w:val="0"/>
        </w:rPr>
        <w:t xml:space="preserve"> and </w:t>
      </w:r>
      <w:r>
        <w:rPr>
          <w:kern w:val="0"/>
        </w:rPr>
        <w:t>reviews on the topic were also searched. We selected the following criteria for trials included in this study: (1) randomized controlled trial (RCT) design</w:t>
      </w:r>
      <w:r w:rsidR="00427468">
        <w:rPr>
          <w:kern w:val="0"/>
        </w:rPr>
        <w:t xml:space="preserve"> of </w:t>
      </w:r>
      <w:r>
        <w:rPr>
          <w:kern w:val="0"/>
        </w:rPr>
        <w:t>MI routine therapy comparing G-CSF with placebo or blank control in patients with MI; (2) 3 to &lt;=:12 months</w:t>
      </w:r>
      <w:r w:rsidR="0071223E">
        <w:rPr>
          <w:kern w:val="0"/>
        </w:rPr>
        <w:t>’</w:t>
      </w:r>
      <w:r>
        <w:rPr>
          <w:kern w:val="0"/>
        </w:rPr>
        <w:t xml:space="preserve"> follow-up after G-CSF treatment; (3) diagnosis</w:t>
      </w:r>
      <w:r w:rsidR="00427468">
        <w:rPr>
          <w:kern w:val="0"/>
        </w:rPr>
        <w:t xml:space="preserve"> of </w:t>
      </w:r>
      <w:r>
        <w:rPr>
          <w:kern w:val="0"/>
        </w:rPr>
        <w:t>acute MI (AMI) (! 14 days from onset</w:t>
      </w:r>
      <w:r w:rsidR="00427468">
        <w:rPr>
          <w:kern w:val="0"/>
        </w:rPr>
        <w:t xml:space="preserve"> of </w:t>
      </w:r>
      <w:r>
        <w:rPr>
          <w:kern w:val="0"/>
        </w:rPr>
        <w:t>new ST-segment elevation infarction) or old MI (OMI) (&gt;14 days from onset); (4) complete left ventricular election fraction (LVEF) data</w:t>
      </w:r>
      <w:r w:rsidR="005853A9">
        <w:rPr>
          <w:kern w:val="0"/>
        </w:rPr>
        <w:t xml:space="preserve"> and </w:t>
      </w:r>
      <w:r>
        <w:rPr>
          <w:kern w:val="0"/>
        </w:rPr>
        <w:t>major adverse cardiovascular event (MACE) reports;</w:t>
      </w:r>
      <w:r w:rsidR="005853A9">
        <w:rPr>
          <w:kern w:val="0"/>
        </w:rPr>
        <w:t xml:space="preserve"> and </w:t>
      </w:r>
      <w:r>
        <w:rPr>
          <w:kern w:val="0"/>
        </w:rPr>
        <w:t>(5) the availability</w:t>
      </w:r>
      <w:r w:rsidR="00427468">
        <w:rPr>
          <w:kern w:val="0"/>
        </w:rPr>
        <w:t xml:space="preserve"> of </w:t>
      </w:r>
      <w:r>
        <w:rPr>
          <w:kern w:val="0"/>
        </w:rPr>
        <w:t>demographic characteristics</w:t>
      </w:r>
      <w:r w:rsidR="00427468">
        <w:rPr>
          <w:kern w:val="0"/>
        </w:rPr>
        <w:t xml:space="preserve"> of </w:t>
      </w:r>
      <w:r>
        <w:rPr>
          <w:kern w:val="0"/>
        </w:rPr>
        <w:t>patients</w:t>
      </w:r>
      <w:r w:rsidR="005853A9">
        <w:rPr>
          <w:kern w:val="0"/>
        </w:rPr>
        <w:t xml:space="preserve"> and </w:t>
      </w:r>
      <w:r>
        <w:rPr>
          <w:kern w:val="0"/>
        </w:rPr>
        <w:t>the duration</w:t>
      </w:r>
      <w:r w:rsidR="005853A9">
        <w:rPr>
          <w:kern w:val="0"/>
        </w:rPr>
        <w:t xml:space="preserve"> and </w:t>
      </w:r>
      <w:r>
        <w:rPr>
          <w:kern w:val="0"/>
        </w:rPr>
        <w:t>dose</w:t>
      </w:r>
      <w:r w:rsidR="00427468">
        <w:rPr>
          <w:kern w:val="0"/>
        </w:rPr>
        <w:t xml:space="preserve"> of </w:t>
      </w:r>
      <w:r>
        <w:rPr>
          <w:kern w:val="0"/>
        </w:rPr>
        <w:t>G-CSF treatment. This information was independently extracted by 2</w:t>
      </w:r>
      <w:r w:rsidR="00427468">
        <w:rPr>
          <w:kern w:val="0"/>
        </w:rPr>
        <w:t xml:space="preserve"> of </w:t>
      </w:r>
      <w:r>
        <w:rPr>
          <w:kern w:val="0"/>
        </w:rPr>
        <w:t>the investigators using a standardized protocol. Results:</w:t>
      </w:r>
      <w:r w:rsidR="00427468">
        <w:rPr>
          <w:kern w:val="0"/>
        </w:rPr>
        <w:t xml:space="preserve"> of </w:t>
      </w:r>
      <w:r>
        <w:rPr>
          <w:kern w:val="0"/>
        </w:rPr>
        <w:t>the 14 RCTs meeting the inclusion criteria, 7 RCTs were deemed eligible for further analysis</w:t>
      </w:r>
      <w:r w:rsidR="00A37C1D">
        <w:rPr>
          <w:kern w:val="0"/>
        </w:rPr>
        <w:t>. The</w:t>
      </w:r>
      <w:r>
        <w:rPr>
          <w:kern w:val="0"/>
        </w:rPr>
        <w:t xml:space="preserve"> remaining studies included 364 patients (G-CSF groups, 179; control groups, 185; mean age range, 49.8-63.0 years). A significant increase in follow-up LVEF (LVEFfollow-up) was observed in the G-CSF 2406 groups compared with the control groups (2.96%; 95% Cl, 0.98-4.94; P = 0.003),</w:t>
      </w:r>
      <w:r w:rsidR="005853A9">
        <w:rPr>
          <w:kern w:val="0"/>
        </w:rPr>
        <w:t xml:space="preserve"> and </w:t>
      </w:r>
      <w:r>
        <w:rPr>
          <w:kern w:val="0"/>
        </w:rPr>
        <w:t>the LVEF change from baseline to follow-up (LVEF,,) also significantly increased (3.46%; 95% CI, 0.60-6.32; P 0.018)</w:t>
      </w:r>
      <w:r w:rsidR="00A37C1D">
        <w:rPr>
          <w:kern w:val="0"/>
        </w:rPr>
        <w:t>. The</w:t>
      </w:r>
      <w:r>
        <w:rPr>
          <w:kern w:val="0"/>
        </w:rPr>
        <w:t xml:space="preserve"> heterogeneity was </w:t>
      </w:r>
      <w:r>
        <w:rPr>
          <w:kern w:val="0"/>
        </w:rPr>
        <w:lastRenderedPageBreak/>
        <w:t>significant across the studies with regard to LVEFfollow-up (P = 0.068)</w:t>
      </w:r>
      <w:r w:rsidR="005853A9">
        <w:rPr>
          <w:kern w:val="0"/>
        </w:rPr>
        <w:t xml:space="preserve"> and </w:t>
      </w:r>
      <w:r>
        <w:rPr>
          <w:kern w:val="0"/>
        </w:rPr>
        <w:t>the LVEF A (P = 0.001)</w:t>
      </w:r>
      <w:r w:rsidR="00A37C1D">
        <w:rPr>
          <w:kern w:val="0"/>
        </w:rPr>
        <w:t>. The</w:t>
      </w:r>
      <w:r>
        <w:rPr>
          <w:kern w:val="0"/>
        </w:rPr>
        <w:t xml:space="preserve"> relative risk (RR) for the prevalence</w:t>
      </w:r>
      <w:r w:rsidR="00427468">
        <w:rPr>
          <w:kern w:val="0"/>
        </w:rPr>
        <w:t xml:space="preserve"> of </w:t>
      </w:r>
      <w:r>
        <w:rPr>
          <w:kern w:val="0"/>
        </w:rPr>
        <w:t>MACEs, including ventricular arrhythmia (RR, 0.65; 95% CI, 0.29-1.49), rehospitalization for heart failure (RR, 2.00; 95% C1, 0.36-11.17),</w:t>
      </w:r>
      <w:r w:rsidR="005853A9">
        <w:rPr>
          <w:kern w:val="0"/>
        </w:rPr>
        <w:t xml:space="preserve"> and </w:t>
      </w:r>
      <w:r>
        <w:rPr>
          <w:kern w:val="0"/>
        </w:rPr>
        <w:t>the composite</w:t>
      </w:r>
      <w:r w:rsidR="00427468">
        <w:rPr>
          <w:kern w:val="0"/>
        </w:rPr>
        <w:t xml:space="preserve"> of </w:t>
      </w:r>
      <w:r>
        <w:rPr>
          <w:kern w:val="0"/>
        </w:rPr>
        <w:t>other cardiovascular events (ie, cardiac death, recurrent MI, infarct-vessel revascularization procedure,</w:t>
      </w:r>
      <w:r w:rsidR="005853A9">
        <w:rPr>
          <w:kern w:val="0"/>
        </w:rPr>
        <w:t xml:space="preserve"> and </w:t>
      </w:r>
      <w:r>
        <w:rPr>
          <w:kern w:val="0"/>
        </w:rPr>
        <w:t>stroke) (RR, 1.07; 95% Cl, 0.71-1.60), was not significantly different in the G-CSF treatment groups compared with the control groups</w:t>
      </w:r>
      <w:r w:rsidR="00A37C1D">
        <w:rPr>
          <w:kern w:val="0"/>
        </w:rPr>
        <w:t>. The</w:t>
      </w:r>
      <w:r>
        <w:rPr>
          <w:kern w:val="0"/>
        </w:rPr>
        <w:t xml:space="preserve"> overall risk for MACE was also not significantly different between the 2 groups (RR, 0.93; 95% CI, 0.57-1.28). Conclusion: Based on the studies included in this meta-analysis, G-CSF treatment improved the LVEF in AMI (but not OMI) at 3 to 12 months follow-up. Treatment with G-CSF was generally well tolerated. (Clin Ther. 2007;29:2406-2418) Copyright (c) 2007 Excerpta Medica, Inc.</w:t>
      </w:r>
    </w:p>
    <w:p w:rsidR="00C921D0" w:rsidRDefault="00C921D0" w:rsidP="00C921D0">
      <w:pPr>
        <w:pStyle w:val="a3"/>
        <w:rPr>
          <w:kern w:val="0"/>
        </w:rPr>
      </w:pPr>
      <w:r>
        <w:rPr>
          <w:kern w:val="0"/>
        </w:rPr>
        <w:t xml:space="preserve">Keywords: Administration, Age, Analysis, Arrhythmia, Availability, Bone-Marrow-Cells, C1, Cardiovascular, Characteristics, Citation, Composite, Control, Control Groups, Controlled Trial, Coronary-Artery-Disease, Criteria, Csf, Data, Death, Design, Diagnosis, Duration, Effectiveness, Embase, Endothelial Cells, Events, Failure, Follow-Up, Function, G-Csf, Global, Granulocyte, Granulocyte Colony-Stimulating Factor, Groups, Heart, Heart Failure, Heterogeneity, Infarction, Information, Intracoronary Infusion, Left Ventricular Ejection Fraction, Literature, </w:t>
      </w:r>
      <w:r w:rsidR="00D5664A">
        <w:rPr>
          <w:kern w:val="0"/>
        </w:rPr>
        <w:t>MEDLINE</w:t>
      </w:r>
      <w:r>
        <w:rPr>
          <w:kern w:val="0"/>
        </w:rPr>
        <w:t>, Meta Analysis, Meta-Analysis, Metaanalysis, Muscle, Myocardial Infarction, Normal Donors, Nov, Onset, P, Papers, Patients, Peripheral-Blood, Placebo, Prevalence, Procedure, Progenitor Cells, Pubmed, Randomized, Randomized Controlled Trial, Randomized Controlled Trials, Rct, Recurrent, Reference Lists, Rehospitalization, Relative Risk, Results, Revascularization, Reviews, Risk, Safety, Science, Science Citation Index, Smooth Muscle, Stem Cells, Stem-Cell Mobilization, Stroke, Therapy, Topic, Treatment, Trial</w:t>
      </w:r>
    </w:p>
    <w:p w:rsidR="00BC6E79" w:rsidRDefault="00BC6E79" w:rsidP="00BC6E79">
      <w:pPr>
        <w:pStyle w:val="a3"/>
        <w:rPr>
          <w:kern w:val="0"/>
        </w:rPr>
      </w:pPr>
      <w:r>
        <w:rPr>
          <w:rFonts w:hint="eastAsia"/>
          <w:kern w:val="0"/>
        </w:rPr>
        <w:t xml:space="preserve">? </w:t>
      </w:r>
      <w:r>
        <w:rPr>
          <w:kern w:val="0"/>
        </w:rPr>
        <w:t>Sebba, A.I. (2008), Significance</w:t>
      </w:r>
      <w:r w:rsidR="00427468">
        <w:rPr>
          <w:kern w:val="0"/>
        </w:rPr>
        <w:t xml:space="preserve"> of </w:t>
      </w:r>
      <w:r>
        <w:rPr>
          <w:kern w:val="0"/>
        </w:rPr>
        <w:t xml:space="preserve">a decline in bone mineral density while receiving oral bisphosphonate treatment. </w:t>
      </w:r>
      <w:r>
        <w:rPr>
          <w:i/>
          <w:iCs/>
          <w:kern w:val="0"/>
        </w:rPr>
        <w:t>Clinical Therapeutics</w:t>
      </w:r>
      <w:r>
        <w:rPr>
          <w:kern w:val="0"/>
        </w:rPr>
        <w:t xml:space="preserve">, </w:t>
      </w:r>
      <w:r>
        <w:rPr>
          <w:b/>
          <w:bCs/>
          <w:kern w:val="0"/>
        </w:rPr>
        <w:t>30</w:t>
      </w:r>
      <w:r>
        <w:rPr>
          <w:kern w:val="0"/>
        </w:rPr>
        <w:t xml:space="preserve"> (3), 443-452.</w:t>
      </w:r>
    </w:p>
    <w:p w:rsidR="00BC6E79" w:rsidRPr="001A3D2B" w:rsidRDefault="00BC6E79" w:rsidP="00BC6E79">
      <w:pPr>
        <w:pStyle w:val="a3"/>
      </w:pPr>
      <w:r w:rsidRPr="001A3D2B">
        <w:t xml:space="preserve">Full Text: </w:t>
      </w:r>
      <w:hyperlink r:id="rId446" w:history="1">
        <w:r w:rsidR="00D562CB" w:rsidRPr="00D562CB">
          <w:rPr>
            <w:rStyle w:val="a5"/>
          </w:rPr>
          <w:t>2008\Cli The30, 443.pdf</w:t>
        </w:r>
      </w:hyperlink>
    </w:p>
    <w:p w:rsidR="00BC6E79" w:rsidRDefault="00BC6E79" w:rsidP="00BC6E79">
      <w:pPr>
        <w:pStyle w:val="a3"/>
        <w:rPr>
          <w:kern w:val="0"/>
        </w:rPr>
      </w:pPr>
      <w:r>
        <w:rPr>
          <w:kern w:val="0"/>
        </w:rPr>
        <w:t>Abstract: Background: Oral bisphosphonates are routinely prescribed or</w:t>
      </w:r>
      <w:r w:rsidR="003A1917">
        <w:rPr>
          <w:kern w:val="0"/>
        </w:rPr>
        <w:t xml:space="preserve"> the </w:t>
      </w:r>
      <w:r>
        <w:rPr>
          <w:kern w:val="0"/>
        </w:rPr>
        <w:t>treatment</w:t>
      </w:r>
      <w:r w:rsidR="00427468">
        <w:rPr>
          <w:kern w:val="0"/>
        </w:rPr>
        <w:t xml:space="preserve"> of </w:t>
      </w:r>
      <w:r>
        <w:rPr>
          <w:kern w:val="0"/>
        </w:rPr>
        <w:t>postmenopa</w:t>
      </w:r>
      <w:r w:rsidR="00D5664A">
        <w:rPr>
          <w:kern w:val="0"/>
        </w:rPr>
        <w:t>USA</w:t>
      </w:r>
      <w:r>
        <w:rPr>
          <w:kern w:val="0"/>
        </w:rPr>
        <w:t>l osteoporosis. In clinical trials, oral bisphosphonates have been found to increase bone mineral density (BMD)</w:t>
      </w:r>
      <w:r w:rsidR="005853A9">
        <w:rPr>
          <w:kern w:val="0"/>
        </w:rPr>
        <w:t xml:space="preserve"> and </w:t>
      </w:r>
      <w:r>
        <w:rPr>
          <w:kern w:val="0"/>
        </w:rPr>
        <w:t>decrease fracture risk in</w:t>
      </w:r>
      <w:r w:rsidR="003A1917">
        <w:rPr>
          <w:kern w:val="0"/>
        </w:rPr>
        <w:t xml:space="preserve"> the </w:t>
      </w:r>
      <w:r>
        <w:rPr>
          <w:kern w:val="0"/>
        </w:rPr>
        <w:t>majority</w:t>
      </w:r>
      <w:r w:rsidR="00427468">
        <w:rPr>
          <w:kern w:val="0"/>
        </w:rPr>
        <w:t xml:space="preserve"> of </w:t>
      </w:r>
      <w:r w:rsidR="003A1917">
        <w:rPr>
          <w:kern w:val="0"/>
        </w:rPr>
        <w:t xml:space="preserve">the </w:t>
      </w:r>
      <w:r>
        <w:rPr>
          <w:kern w:val="0"/>
        </w:rPr>
        <w:t>treated population. However, in both clinical trials</w:t>
      </w:r>
      <w:r w:rsidR="005853A9">
        <w:rPr>
          <w:kern w:val="0"/>
        </w:rPr>
        <w:t xml:space="preserve"> and </w:t>
      </w:r>
      <w:r>
        <w:rPr>
          <w:kern w:val="0"/>
        </w:rPr>
        <w:t>clinical practice, not all patients experience significant increases in BMD. In clinical trials, nonresponse is often defined as a BMD change</w:t>
      </w:r>
      <w:r w:rsidR="00427468">
        <w:rPr>
          <w:kern w:val="0"/>
        </w:rPr>
        <w:t xml:space="preserve"> of </w:t>
      </w:r>
      <w:r>
        <w:rPr>
          <w:kern w:val="0"/>
        </w:rPr>
        <w:t>&lt;= 0 %. In clinical practice, a decrease in BMD greater than</w:t>
      </w:r>
      <w:r w:rsidR="003A1917">
        <w:rPr>
          <w:kern w:val="0"/>
        </w:rPr>
        <w:t xml:space="preserve"> the </w:t>
      </w:r>
      <w:r>
        <w:rPr>
          <w:kern w:val="0"/>
        </w:rPr>
        <w:t>calculated least significant change (LSC) is considered nonresponse to therapy. It is important to discern whether patients with a decline in BMD may still benefit from oral bisphosphonate therapy, that is, have a reduced risk for fracture, despite having a suboptimal BMD response. Objectives:</w:t>
      </w:r>
      <w:r w:rsidR="003A1917">
        <w:rPr>
          <w:kern w:val="0"/>
        </w:rPr>
        <w:t xml:space="preserve"> the </w:t>
      </w:r>
      <w:r>
        <w:rPr>
          <w:kern w:val="0"/>
        </w:rPr>
        <w:lastRenderedPageBreak/>
        <w:t>objectives</w:t>
      </w:r>
      <w:r w:rsidR="00427468">
        <w:rPr>
          <w:kern w:val="0"/>
        </w:rPr>
        <w:t xml:space="preserve"> of </w:t>
      </w:r>
      <w:r>
        <w:rPr>
          <w:kern w:val="0"/>
        </w:rPr>
        <w:t>this review were to determine whether meaningful BMD nonresponder rates exist with all oral bisphosphonates</w:t>
      </w:r>
      <w:r w:rsidR="005853A9">
        <w:rPr>
          <w:kern w:val="0"/>
        </w:rPr>
        <w:t xml:space="preserve"> and </w:t>
      </w:r>
      <w:r>
        <w:rPr>
          <w:kern w:val="0"/>
        </w:rPr>
        <w:t>to examine</w:t>
      </w:r>
      <w:r w:rsidR="003A1917">
        <w:rPr>
          <w:kern w:val="0"/>
        </w:rPr>
        <w:t xml:space="preserve"> the </w:t>
      </w:r>
      <w:r>
        <w:rPr>
          <w:kern w:val="0"/>
        </w:rPr>
        <w:t>relationship between BMD nonresponder status</w:t>
      </w:r>
      <w:r w:rsidR="005853A9">
        <w:rPr>
          <w:kern w:val="0"/>
        </w:rPr>
        <w:t xml:space="preserve"> and </w:t>
      </w:r>
      <w:r>
        <w:rPr>
          <w:kern w:val="0"/>
        </w:rPr>
        <w:t>fracture risk. Finally, we discuss</w:t>
      </w:r>
      <w:r w:rsidR="003A1917">
        <w:rPr>
          <w:kern w:val="0"/>
        </w:rPr>
        <w:t xml:space="preserve"> the </w:t>
      </w:r>
      <w:r>
        <w:rPr>
          <w:kern w:val="0"/>
        </w:rPr>
        <w:t>potential implications</w:t>
      </w:r>
      <w:r w:rsidR="00427468">
        <w:rPr>
          <w:kern w:val="0"/>
        </w:rPr>
        <w:t xml:space="preserve"> of </w:t>
      </w:r>
      <w:r>
        <w:rPr>
          <w:kern w:val="0"/>
        </w:rPr>
        <w:t>BMD nonresponse for patients in clinical practice. Methods: Publications on BMD response</w:t>
      </w:r>
      <w:r w:rsidR="005853A9">
        <w:rPr>
          <w:kern w:val="0"/>
        </w:rPr>
        <w:t xml:space="preserve"> and </w:t>
      </w:r>
      <w:r>
        <w:rPr>
          <w:kern w:val="0"/>
        </w:rPr>
        <w:t>bone loss during treatment with bisphosphonates were identified by searches</w:t>
      </w:r>
      <w:r w:rsidR="00427468">
        <w:rPr>
          <w:kern w:val="0"/>
        </w:rPr>
        <w:t xml:space="preserve"> of </w:t>
      </w:r>
      <w:r w:rsidR="00D5664A">
        <w:rPr>
          <w:kern w:val="0"/>
        </w:rPr>
        <w:t>MEDLINE</w:t>
      </w:r>
      <w:r>
        <w:rPr>
          <w:kern w:val="0"/>
        </w:rPr>
        <w:t xml:space="preserve"> (1990-October 2007)</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(1997-October 2007). Search terms included nonresponse, responder, osteoporosis, bone mineral density, bisphospbonate, alendronate, risedronate, ibandronate, bone loss,</w:t>
      </w:r>
      <w:r w:rsidR="005853A9">
        <w:rPr>
          <w:kern w:val="0"/>
        </w:rPr>
        <w:t xml:space="preserve"> and </w:t>
      </w:r>
      <w:r>
        <w:rPr>
          <w:kern w:val="0"/>
        </w:rPr>
        <w:t>fracture. Results: In clinical trials</w:t>
      </w:r>
      <w:r w:rsidR="00427468">
        <w:rPr>
          <w:kern w:val="0"/>
        </w:rPr>
        <w:t xml:space="preserve"> of </w:t>
      </w:r>
      <w:r>
        <w:rPr>
          <w:kern w:val="0"/>
        </w:rPr>
        <w:t>alendronate, risedronate,</w:t>
      </w:r>
      <w:r w:rsidR="005853A9">
        <w:rPr>
          <w:kern w:val="0"/>
        </w:rPr>
        <w:t xml:space="preserve"> and </w:t>
      </w:r>
      <w:r>
        <w:rPr>
          <w:kern w:val="0"/>
        </w:rPr>
        <w:t>ibandronate,</w:t>
      </w:r>
      <w:r w:rsidR="003A1917">
        <w:rPr>
          <w:kern w:val="0"/>
        </w:rPr>
        <w:t xml:space="preserve"> the </w:t>
      </w:r>
      <w:r>
        <w:rPr>
          <w:kern w:val="0"/>
        </w:rPr>
        <w:t>percentages</w:t>
      </w:r>
      <w:r w:rsidR="00427468">
        <w:rPr>
          <w:kern w:val="0"/>
        </w:rPr>
        <w:t xml:space="preserve"> of </w:t>
      </w:r>
      <w:r>
        <w:rPr>
          <w:kern w:val="0"/>
        </w:rPr>
        <w:t>patients with a change in BMD &lt;= 0% at</w:t>
      </w:r>
      <w:r w:rsidR="003A1917">
        <w:rPr>
          <w:kern w:val="0"/>
        </w:rPr>
        <w:t xml:space="preserve"> the </w:t>
      </w:r>
      <w:r>
        <w:rPr>
          <w:kern w:val="0"/>
        </w:rPr>
        <w:t>lumbar spine after 2 years</w:t>
      </w:r>
      <w:r w:rsidR="00427468">
        <w:rPr>
          <w:kern w:val="0"/>
        </w:rPr>
        <w:t xml:space="preserve"> of </w:t>
      </w:r>
      <w:r>
        <w:rPr>
          <w:kern w:val="0"/>
        </w:rPr>
        <w:t>treatment ranged from 8% to 25%. Results from post hoc analyses</w:t>
      </w:r>
      <w:r w:rsidR="00427468">
        <w:rPr>
          <w:kern w:val="0"/>
        </w:rPr>
        <w:t xml:space="preserve"> of </w:t>
      </w:r>
      <w:r>
        <w:rPr>
          <w:kern w:val="0"/>
        </w:rPr>
        <w:t>clinical trial data from studies</w:t>
      </w:r>
      <w:r w:rsidR="00427468">
        <w:rPr>
          <w:kern w:val="0"/>
        </w:rPr>
        <w:t xml:space="preserve"> of </w:t>
      </w:r>
      <w:r>
        <w:rPr>
          <w:kern w:val="0"/>
        </w:rPr>
        <w:t>alendronate</w:t>
      </w:r>
      <w:r w:rsidR="005853A9">
        <w:rPr>
          <w:kern w:val="0"/>
        </w:rPr>
        <w:t xml:space="preserve"> and </w:t>
      </w:r>
      <w:r>
        <w:rPr>
          <w:kern w:val="0"/>
        </w:rPr>
        <w:t>risedronate that have examined fracture risk among BMD responders, BMD non-responders,</w:t>
      </w:r>
      <w:r w:rsidR="005853A9">
        <w:rPr>
          <w:kern w:val="0"/>
        </w:rPr>
        <w:t xml:space="preserve"> and </w:t>
      </w:r>
      <w:r>
        <w:rPr>
          <w:kern w:val="0"/>
        </w:rPr>
        <w:t>patients receiving placebo suggest that patients who experienced an increase in BMD have reduced vertebral fracture risk relative to those with a decline in BMD (range, 38%-50%). Additional analyses suggest that patients who experience a decline in BMD while receiving oral bisphosphonate therapy still appear to receive some benefit (fracture risk reduction, 38%-60%) from treatment compared with patients receiving placebo. Conclusions: Results from post hoc analyses</w:t>
      </w:r>
      <w:r w:rsidR="00427468">
        <w:rPr>
          <w:kern w:val="0"/>
        </w:rPr>
        <w:t xml:space="preserve"> of </w:t>
      </w:r>
      <w:r>
        <w:rPr>
          <w:kern w:val="0"/>
        </w:rPr>
        <w:t>clinical trial data suggest that patients receiving oral bisphosphonate therapy who experience a decline in BMD have a higher risk for fracture compared with patients whose BMD increases, but may have a reduced fracture risk compared with patients receiving placebo. Further investigation is needed to determine how these results impact patients in clinical practice whose BMD loss exceeds</w:t>
      </w:r>
      <w:r w:rsidR="003A1917">
        <w:rPr>
          <w:kern w:val="0"/>
        </w:rPr>
        <w:t xml:space="preserve"> the </w:t>
      </w:r>
      <w:r>
        <w:rPr>
          <w:kern w:val="0"/>
        </w:rPr>
        <w:t>LSC.</w:t>
      </w:r>
    </w:p>
    <w:p w:rsidR="00BC6E79" w:rsidRDefault="00BC6E79" w:rsidP="00BC6E79">
      <w:pPr>
        <w:pStyle w:val="a3"/>
        <w:rPr>
          <w:kern w:val="0"/>
        </w:rPr>
      </w:pPr>
      <w:r>
        <w:rPr>
          <w:kern w:val="0"/>
        </w:rPr>
        <w:t>Keywords: Alendronate, Antifracture Efficacy, Antiresorptive Therapies, Bisphosphonates, Bone, Bone Loss, Bone Mineral Density, Clinical Trial, Clinical Trials, Fracture, Fracture Intervention Trial, Impact</w:t>
      </w:r>
      <w:r w:rsidR="00D5664A">
        <w:rPr>
          <w:kern w:val="0"/>
        </w:rPr>
        <w:t>, ISI,</w:t>
      </w:r>
      <w:r>
        <w:rPr>
          <w:kern w:val="0"/>
        </w:rPr>
        <w:t xml:space="preserve"> </w:t>
      </w:r>
      <w:r w:rsidR="00D5664A">
        <w:rPr>
          <w:kern w:val="0"/>
        </w:rPr>
        <w:t>MEDLINE</w:t>
      </w:r>
      <w:r>
        <w:rPr>
          <w:kern w:val="0"/>
        </w:rPr>
        <w:t>, Methods, Nonresponder, Nonvertebral Fractures, Osteoporosis, Postmenopa</w:t>
      </w:r>
      <w:r w:rsidR="00D5664A">
        <w:rPr>
          <w:kern w:val="0"/>
        </w:rPr>
        <w:t>USA</w:t>
      </w:r>
      <w:r>
        <w:rPr>
          <w:kern w:val="0"/>
        </w:rPr>
        <w:t xml:space="preserve">l Osteoporosis, Practice, Publications, Randomized-Trial, Review, Risedronate, Risk, Risk Reduction, Science, Spine, Therapy, Treatment, Vertebral Fractures, </w:t>
      </w:r>
      <w:r w:rsidR="00D5664A">
        <w:rPr>
          <w:kern w:val="0"/>
        </w:rPr>
        <w:t>Web</w:t>
      </w:r>
      <w:r w:rsidR="00427468">
        <w:rPr>
          <w:kern w:val="0"/>
        </w:rPr>
        <w:t xml:space="preserve"> of </w:t>
      </w:r>
      <w:r w:rsidR="00D5664A">
        <w:rPr>
          <w:kern w:val="0"/>
        </w:rPr>
        <w:t>Science</w:t>
      </w:r>
      <w:r>
        <w:rPr>
          <w:kern w:val="0"/>
        </w:rPr>
        <w:t>, Women</w:t>
      </w:r>
    </w:p>
    <w:p w:rsidR="00BC6E79" w:rsidRDefault="00BC6E79" w:rsidP="00BC6E79">
      <w:pPr>
        <w:pStyle w:val="a3"/>
        <w:rPr>
          <w:kern w:val="0"/>
        </w:rPr>
      </w:pPr>
      <w:r>
        <w:rPr>
          <w:rFonts w:hint="eastAsia"/>
          <w:kern w:val="0"/>
        </w:rPr>
        <w:t xml:space="preserve">? </w:t>
      </w:r>
      <w:r>
        <w:rPr>
          <w:kern w:val="0"/>
        </w:rPr>
        <w:t>Houthoofd, S.A.M.K., Morrens, M.</w:t>
      </w:r>
      <w:r w:rsidR="005853A9">
        <w:rPr>
          <w:kern w:val="0"/>
        </w:rPr>
        <w:t xml:space="preserve"> and </w:t>
      </w:r>
      <w:r>
        <w:rPr>
          <w:kern w:val="0"/>
        </w:rPr>
        <w:t>Sabbe, B.G.C. (2008), Cognitive</w:t>
      </w:r>
      <w:r w:rsidR="005853A9">
        <w:rPr>
          <w:kern w:val="0"/>
        </w:rPr>
        <w:t xml:space="preserve"> and </w:t>
      </w:r>
      <w:r>
        <w:rPr>
          <w:kern w:val="0"/>
        </w:rPr>
        <w:t>psychomotor effects</w:t>
      </w:r>
      <w:r w:rsidR="00427468">
        <w:rPr>
          <w:kern w:val="0"/>
        </w:rPr>
        <w:t xml:space="preserve"> of </w:t>
      </w:r>
      <w:r>
        <w:rPr>
          <w:kern w:val="0"/>
        </w:rPr>
        <w:t>risperidone in schizophrenia</w:t>
      </w:r>
      <w:r w:rsidR="005853A9">
        <w:rPr>
          <w:kern w:val="0"/>
        </w:rPr>
        <w:t xml:space="preserve"> and </w:t>
      </w:r>
      <w:r>
        <w:rPr>
          <w:kern w:val="0"/>
        </w:rPr>
        <w:t xml:space="preserve">schizoaffective disorder. </w:t>
      </w:r>
      <w:r>
        <w:rPr>
          <w:i/>
          <w:iCs/>
          <w:kern w:val="0"/>
        </w:rPr>
        <w:t>Clinical Therapeutics</w:t>
      </w:r>
      <w:r>
        <w:rPr>
          <w:kern w:val="0"/>
        </w:rPr>
        <w:t xml:space="preserve">, </w:t>
      </w:r>
      <w:r>
        <w:rPr>
          <w:b/>
          <w:bCs/>
          <w:kern w:val="0"/>
        </w:rPr>
        <w:t>30</w:t>
      </w:r>
      <w:r>
        <w:rPr>
          <w:kern w:val="0"/>
        </w:rPr>
        <w:t xml:space="preserve"> (9), 1565-1589.</w:t>
      </w:r>
    </w:p>
    <w:p w:rsidR="00BC6E79" w:rsidRPr="001A3D2B" w:rsidRDefault="00BC6E79" w:rsidP="00BC6E79">
      <w:pPr>
        <w:pStyle w:val="a3"/>
      </w:pPr>
      <w:r w:rsidRPr="001A3D2B">
        <w:t xml:space="preserve">Full Text: </w:t>
      </w:r>
      <w:hyperlink r:id="rId447" w:history="1">
        <w:r w:rsidR="00D562CB" w:rsidRPr="00D562CB">
          <w:rPr>
            <w:rStyle w:val="a5"/>
          </w:rPr>
          <w:t>2008\Cli The30, 1565.pdf</w:t>
        </w:r>
      </w:hyperlink>
    </w:p>
    <w:p w:rsidR="00BC6E79" w:rsidRDefault="00BC6E79" w:rsidP="00BC6E79">
      <w:pPr>
        <w:pStyle w:val="a3"/>
        <w:rPr>
          <w:kern w:val="0"/>
        </w:rPr>
      </w:pPr>
      <w:r>
        <w:rPr>
          <w:kern w:val="0"/>
        </w:rPr>
        <w:t>Abstract: Objective:</w:t>
      </w:r>
      <w:r w:rsidR="003A1917">
        <w:rPr>
          <w:kern w:val="0"/>
        </w:rPr>
        <w:t xml:space="preserve"> the </w:t>
      </w:r>
      <w:r>
        <w:rPr>
          <w:kern w:val="0"/>
        </w:rPr>
        <w:t>aim</w:t>
      </w:r>
      <w:r w:rsidR="00427468">
        <w:rPr>
          <w:kern w:val="0"/>
        </w:rPr>
        <w:t xml:space="preserve"> of </w:t>
      </w:r>
      <w:r>
        <w:rPr>
          <w:kern w:val="0"/>
        </w:rPr>
        <w:t>this review was to discuss data from double-blind, randomized controlled trials (RCTs) that have investigated</w:t>
      </w:r>
      <w:r w:rsidR="003A1917">
        <w:rPr>
          <w:kern w:val="0"/>
        </w:rPr>
        <w:t xml:space="preserve"> the </w:t>
      </w:r>
      <w:r>
        <w:rPr>
          <w:kern w:val="0"/>
        </w:rPr>
        <w:t>effects</w:t>
      </w:r>
      <w:r w:rsidR="00427468">
        <w:rPr>
          <w:kern w:val="0"/>
        </w:rPr>
        <w:t xml:space="preserve"> of </w:t>
      </w:r>
      <w:r>
        <w:rPr>
          <w:kern w:val="0"/>
        </w:rPr>
        <w:t>oral</w:t>
      </w:r>
      <w:r w:rsidR="005853A9">
        <w:rPr>
          <w:kern w:val="0"/>
        </w:rPr>
        <w:t xml:space="preserve"> and </w:t>
      </w:r>
      <w:r>
        <w:rPr>
          <w:kern w:val="0"/>
        </w:rPr>
        <w:t>long-acting Injectable risperidone on cognitive</w:t>
      </w:r>
      <w:r w:rsidR="005853A9">
        <w:rPr>
          <w:kern w:val="0"/>
        </w:rPr>
        <w:t xml:space="preserve"> and </w:t>
      </w:r>
      <w:r>
        <w:rPr>
          <w:kern w:val="0"/>
        </w:rPr>
        <w:t xml:space="preserve">psychomotor functioning in patients with schizophrenia or schizoaffective disorder. Methods: </w:t>
      </w:r>
      <w:r>
        <w:rPr>
          <w:kern w:val="0"/>
        </w:rPr>
        <w:lastRenderedPageBreak/>
        <w:t>PUBMED/</w:t>
      </w:r>
      <w:r w:rsidR="00D5664A">
        <w:rPr>
          <w:kern w:val="0"/>
        </w:rPr>
        <w:t>MEDLINE</w:t>
      </w:r>
      <w:r w:rsidR="005853A9">
        <w:rPr>
          <w:kern w:val="0"/>
        </w:rPr>
        <w:t xml:space="preserve"> and </w:t>
      </w:r>
      <w:r w:rsidR="003A1917">
        <w:rPr>
          <w:kern w:val="0"/>
        </w:rPr>
        <w:t xml:space="preserve">the </w:t>
      </w:r>
      <w:r>
        <w:rPr>
          <w:kern w:val="0"/>
        </w:rPr>
        <w:t>Institute</w:t>
      </w:r>
      <w:r w:rsidR="00427468">
        <w:rPr>
          <w:kern w:val="0"/>
        </w:rPr>
        <w:t xml:space="preserve"> of </w:t>
      </w:r>
      <w:r>
        <w:rPr>
          <w:kern w:val="0"/>
        </w:rPr>
        <w:t xml:space="preserve">Scientific Information </w:t>
      </w:r>
      <w:r w:rsidR="00D5664A">
        <w:rPr>
          <w:kern w:val="0"/>
        </w:rPr>
        <w:t>Web</w:t>
      </w:r>
      <w:r w:rsidR="00427468">
        <w:rPr>
          <w:kern w:val="0"/>
        </w:rPr>
        <w:t xml:space="preserve"> of </w:t>
      </w:r>
      <w:r w:rsidR="00D5664A">
        <w:rPr>
          <w:kern w:val="0"/>
        </w:rPr>
        <w:t>Science</w:t>
      </w:r>
      <w:r>
        <w:rPr>
          <w:kern w:val="0"/>
        </w:rPr>
        <w:t xml:space="preserve"> database were searched for relevant English-language double-blind RCTs published between March 2000</w:t>
      </w:r>
      <w:r w:rsidR="005853A9">
        <w:rPr>
          <w:kern w:val="0"/>
        </w:rPr>
        <w:t xml:space="preserve"> and </w:t>
      </w:r>
      <w:r>
        <w:rPr>
          <w:kern w:val="0"/>
        </w:rPr>
        <w:t>July 2008, using</w:t>
      </w:r>
      <w:r w:rsidR="003A1917">
        <w:rPr>
          <w:kern w:val="0"/>
        </w:rPr>
        <w:t xml:space="preserve"> the </w:t>
      </w:r>
      <w:r>
        <w:rPr>
          <w:kern w:val="0"/>
        </w:rPr>
        <w:t>terms schizophrenia, schizoaffective disorder, cognition, risperidone, psychomotor, processing speed, attention, vigilance, working memory, verbal learning, visual learning, reasoning, problem solving, social cognition, MATRICS,</w:t>
      </w:r>
      <w:r w:rsidR="005853A9">
        <w:rPr>
          <w:kern w:val="0"/>
        </w:rPr>
        <w:t xml:space="preserve"> and </w:t>
      </w:r>
      <w:r>
        <w:rPr>
          <w:kern w:val="0"/>
        </w:rPr>
        <w:t>long-acting. Relevant studies included patients with schizophrenia or schizoaffective disorder. Cognitive domains were delineated at</w:t>
      </w:r>
      <w:r w:rsidR="003A1917">
        <w:rPr>
          <w:kern w:val="0"/>
        </w:rPr>
        <w:t xml:space="preserve"> the </w:t>
      </w:r>
      <w:r>
        <w:rPr>
          <w:kern w:val="0"/>
        </w:rPr>
        <w:t>Consensus Conferences</w:t>
      </w:r>
      <w:r w:rsidR="00427468">
        <w:rPr>
          <w:kern w:val="0"/>
        </w:rPr>
        <w:t xml:space="preserve"> of </w:t>
      </w:r>
      <w:r w:rsidR="003A1917">
        <w:rPr>
          <w:kern w:val="0"/>
        </w:rPr>
        <w:t xml:space="preserve">the </w:t>
      </w:r>
      <w:r>
        <w:rPr>
          <w:kern w:val="0"/>
        </w:rPr>
        <w:t>National Institute</w:t>
      </w:r>
      <w:r w:rsidR="00427468">
        <w:rPr>
          <w:kern w:val="0"/>
        </w:rPr>
        <w:t xml:space="preserve"> of </w:t>
      </w:r>
      <w:r>
        <w:rPr>
          <w:kern w:val="0"/>
        </w:rPr>
        <w:t>Mental Health-Measurement</w:t>
      </w:r>
      <w:r w:rsidR="005853A9">
        <w:rPr>
          <w:kern w:val="0"/>
        </w:rPr>
        <w:t xml:space="preserve"> and </w:t>
      </w:r>
      <w:r>
        <w:rPr>
          <w:kern w:val="0"/>
        </w:rPr>
        <w:t>Treatment Research to Improve Cognition in Schizophrenia (NIMH-MATRICS)</w:t>
      </w:r>
      <w:r w:rsidR="00A37C1D">
        <w:rPr>
          <w:kern w:val="0"/>
        </w:rPr>
        <w:t>. The</w:t>
      </w:r>
      <w:r w:rsidR="003A1917">
        <w:rPr>
          <w:kern w:val="0"/>
        </w:rPr>
        <w:t xml:space="preserve"> </w:t>
      </w:r>
      <w:r>
        <w:rPr>
          <w:kern w:val="0"/>
        </w:rPr>
        <w:t>tests employed to assess each domain</w:t>
      </w:r>
      <w:r w:rsidR="005853A9">
        <w:rPr>
          <w:kern w:val="0"/>
        </w:rPr>
        <w:t xml:space="preserve"> and </w:t>
      </w:r>
      <w:r>
        <w:rPr>
          <w:kern w:val="0"/>
        </w:rPr>
        <w:t>psychomotor functioning,</w:t>
      </w:r>
      <w:r w:rsidR="005853A9">
        <w:rPr>
          <w:kern w:val="0"/>
        </w:rPr>
        <w:t xml:space="preserve"> and </w:t>
      </w:r>
      <w:r w:rsidR="003A1917">
        <w:rPr>
          <w:kern w:val="0"/>
        </w:rPr>
        <w:t xml:space="preserve">the </w:t>
      </w:r>
      <w:r>
        <w:rPr>
          <w:kern w:val="0"/>
        </w:rPr>
        <w:t>within-group</w:t>
      </w:r>
      <w:r w:rsidR="005853A9">
        <w:rPr>
          <w:kern w:val="0"/>
        </w:rPr>
        <w:t xml:space="preserve"> and </w:t>
      </w:r>
      <w:r>
        <w:rPr>
          <w:kern w:val="0"/>
        </w:rPr>
        <w:t>between-group comparisons</w:t>
      </w:r>
      <w:r w:rsidR="00427468">
        <w:rPr>
          <w:kern w:val="0"/>
        </w:rPr>
        <w:t xml:space="preserve"> of </w:t>
      </w:r>
      <w:r>
        <w:rPr>
          <w:kern w:val="0"/>
        </w:rPr>
        <w:t>risperidone with haloperidol</w:t>
      </w:r>
      <w:r w:rsidR="005853A9">
        <w:rPr>
          <w:kern w:val="0"/>
        </w:rPr>
        <w:t xml:space="preserve"> and </w:t>
      </w:r>
      <w:r>
        <w:rPr>
          <w:kern w:val="0"/>
        </w:rPr>
        <w:t>other atypical antipsychotics, are presented</w:t>
      </w:r>
      <w:r w:rsidR="00A37C1D">
        <w:rPr>
          <w:kern w:val="0"/>
        </w:rPr>
        <w:t>. The</w:t>
      </w:r>
      <w:r w:rsidR="003A1917">
        <w:rPr>
          <w:kern w:val="0"/>
        </w:rPr>
        <w:t xml:space="preserve"> </w:t>
      </w:r>
      <w:r>
        <w:rPr>
          <w:kern w:val="0"/>
        </w:rPr>
        <w:t>results</w:t>
      </w:r>
      <w:r w:rsidR="00427468">
        <w:rPr>
          <w:kern w:val="0"/>
        </w:rPr>
        <w:t xml:space="preserve"> of </w:t>
      </w:r>
      <w:r>
        <w:rPr>
          <w:kern w:val="0"/>
        </w:rPr>
        <w:t>individual tests were included when they were individually presented</w:t>
      </w:r>
      <w:r w:rsidR="005853A9">
        <w:rPr>
          <w:kern w:val="0"/>
        </w:rPr>
        <w:t xml:space="preserve"> and </w:t>
      </w:r>
      <w:r>
        <w:rPr>
          <w:kern w:val="0"/>
        </w:rPr>
        <w:t>interpretable for either drug; outcomes that were presented as cluster scores or factor structures were excluded. Results: A total</w:t>
      </w:r>
      <w:r w:rsidR="00427468">
        <w:rPr>
          <w:kern w:val="0"/>
        </w:rPr>
        <w:t xml:space="preserve"> of </w:t>
      </w:r>
      <w:r>
        <w:rPr>
          <w:kern w:val="0"/>
        </w:rPr>
        <w:t>12 articles were included in this review. Results suggested that</w:t>
      </w:r>
      <w:r w:rsidR="003A1917">
        <w:rPr>
          <w:kern w:val="0"/>
        </w:rPr>
        <w:t xml:space="preserve"> the </w:t>
      </w:r>
      <w:r>
        <w:rPr>
          <w:kern w:val="0"/>
        </w:rPr>
        <w:t>use</w:t>
      </w:r>
      <w:r w:rsidR="00427468">
        <w:rPr>
          <w:kern w:val="0"/>
        </w:rPr>
        <w:t xml:space="preserve"> of </w:t>
      </w:r>
      <w:r>
        <w:rPr>
          <w:kern w:val="0"/>
        </w:rPr>
        <w:t>oral risperidone appeared to be associated with within-group improvements on</w:t>
      </w:r>
      <w:r w:rsidR="003A1917">
        <w:rPr>
          <w:kern w:val="0"/>
        </w:rPr>
        <w:t xml:space="preserve"> the </w:t>
      </w:r>
      <w:r>
        <w:rPr>
          <w:kern w:val="0"/>
        </w:rPr>
        <w:t>cognitive domains</w:t>
      </w:r>
      <w:r w:rsidR="00427468">
        <w:rPr>
          <w:kern w:val="0"/>
        </w:rPr>
        <w:t xml:space="preserve"> of </w:t>
      </w:r>
      <w:r>
        <w:rPr>
          <w:kern w:val="0"/>
        </w:rPr>
        <w:t>processing speed, attention/vigilance, verbal</w:t>
      </w:r>
      <w:r w:rsidR="005853A9">
        <w:rPr>
          <w:kern w:val="0"/>
        </w:rPr>
        <w:t xml:space="preserve"> and </w:t>
      </w:r>
      <w:r>
        <w:rPr>
          <w:kern w:val="0"/>
        </w:rPr>
        <w:t>visual learning</w:t>
      </w:r>
      <w:r w:rsidR="005853A9">
        <w:rPr>
          <w:kern w:val="0"/>
        </w:rPr>
        <w:t xml:space="preserve"> and </w:t>
      </w:r>
      <w:r>
        <w:rPr>
          <w:kern w:val="0"/>
        </w:rPr>
        <w:t>memory,</w:t>
      </w:r>
      <w:r w:rsidR="005853A9">
        <w:rPr>
          <w:kern w:val="0"/>
        </w:rPr>
        <w:t xml:space="preserve"> and </w:t>
      </w:r>
      <w:r>
        <w:rPr>
          <w:kern w:val="0"/>
        </w:rPr>
        <w:t>reasoning</w:t>
      </w:r>
      <w:r w:rsidR="005853A9">
        <w:rPr>
          <w:kern w:val="0"/>
        </w:rPr>
        <w:t xml:space="preserve"> and </w:t>
      </w:r>
      <w:r>
        <w:rPr>
          <w:kern w:val="0"/>
        </w:rPr>
        <w:t>problem solving in patients with schizophrenia or schizoaffective disorder. Risperidone</w:t>
      </w:r>
      <w:r w:rsidR="005853A9">
        <w:rPr>
          <w:kern w:val="0"/>
        </w:rPr>
        <w:t xml:space="preserve"> and </w:t>
      </w:r>
      <w:r>
        <w:rPr>
          <w:kern w:val="0"/>
        </w:rPr>
        <w:t>haloperidol seemed to generate similar beneficial effects (on</w:t>
      </w:r>
      <w:r w:rsidR="003A1917">
        <w:rPr>
          <w:kern w:val="0"/>
        </w:rPr>
        <w:t xml:space="preserve"> the </w:t>
      </w:r>
      <w:r>
        <w:rPr>
          <w:kern w:val="0"/>
        </w:rPr>
        <w:t>domains</w:t>
      </w:r>
      <w:r w:rsidR="00427468">
        <w:rPr>
          <w:kern w:val="0"/>
        </w:rPr>
        <w:t xml:space="preserve"> of </w:t>
      </w:r>
      <w:r>
        <w:rPr>
          <w:kern w:val="0"/>
        </w:rPr>
        <w:t>processing speed, attention/vigilance, [verbal</w:t>
      </w:r>
      <w:r w:rsidR="005853A9">
        <w:rPr>
          <w:kern w:val="0"/>
        </w:rPr>
        <w:t xml:space="preserve"> and </w:t>
      </w:r>
      <w:r>
        <w:rPr>
          <w:kern w:val="0"/>
        </w:rPr>
        <w:t>nonverbal] working memory,</w:t>
      </w:r>
      <w:r w:rsidR="005853A9">
        <w:rPr>
          <w:kern w:val="0"/>
        </w:rPr>
        <w:t xml:space="preserve"> and </w:t>
      </w:r>
      <w:r>
        <w:rPr>
          <w:kern w:val="0"/>
        </w:rPr>
        <w:t>visual learning</w:t>
      </w:r>
      <w:r w:rsidR="005853A9">
        <w:rPr>
          <w:kern w:val="0"/>
        </w:rPr>
        <w:t xml:space="preserve"> and </w:t>
      </w:r>
      <w:r>
        <w:rPr>
          <w:kern w:val="0"/>
        </w:rPr>
        <w:t>memory, as well as psychomotor functioning), although</w:t>
      </w:r>
      <w:r w:rsidR="003A1917">
        <w:rPr>
          <w:kern w:val="0"/>
        </w:rPr>
        <w:t xml:space="preserve"> the </w:t>
      </w:r>
      <w:r>
        <w:rPr>
          <w:kern w:val="0"/>
        </w:rPr>
        <w:t>results for verbal fluency, verbal learning</w:t>
      </w:r>
      <w:r w:rsidR="005853A9">
        <w:rPr>
          <w:kern w:val="0"/>
        </w:rPr>
        <w:t xml:space="preserve"> and </w:t>
      </w:r>
      <w:r>
        <w:rPr>
          <w:kern w:val="0"/>
        </w:rPr>
        <w:t>memory,</w:t>
      </w:r>
      <w:r w:rsidR="005853A9">
        <w:rPr>
          <w:kern w:val="0"/>
        </w:rPr>
        <w:t xml:space="preserve"> and </w:t>
      </w:r>
      <w:r>
        <w:rPr>
          <w:kern w:val="0"/>
        </w:rPr>
        <w:t>reasoning</w:t>
      </w:r>
      <w:r w:rsidR="005853A9">
        <w:rPr>
          <w:kern w:val="0"/>
        </w:rPr>
        <w:t xml:space="preserve"> and </w:t>
      </w:r>
      <w:r>
        <w:rPr>
          <w:kern w:val="0"/>
        </w:rPr>
        <w:t>problem solving were not unanimous,</w:t>
      </w:r>
      <w:r w:rsidR="005853A9">
        <w:rPr>
          <w:kern w:val="0"/>
        </w:rPr>
        <w:t xml:space="preserve"> and </w:t>
      </w:r>
      <w:r>
        <w:rPr>
          <w:kern w:val="0"/>
        </w:rPr>
        <w:t>no comparative data on social cognition were available. Similar cognitive effects were found with risperidone, olanzapine,</w:t>
      </w:r>
      <w:r w:rsidR="005853A9">
        <w:rPr>
          <w:kern w:val="0"/>
        </w:rPr>
        <w:t xml:space="preserve"> and </w:t>
      </w:r>
      <w:r>
        <w:rPr>
          <w:kern w:val="0"/>
        </w:rPr>
        <w:t>quetiapine on</w:t>
      </w:r>
      <w:r w:rsidR="003A1917">
        <w:rPr>
          <w:kern w:val="0"/>
        </w:rPr>
        <w:t xml:space="preserve"> the </w:t>
      </w:r>
      <w:r>
        <w:rPr>
          <w:kern w:val="0"/>
        </w:rPr>
        <w:t>domains</w:t>
      </w:r>
      <w:r w:rsidR="00427468">
        <w:rPr>
          <w:kern w:val="0"/>
        </w:rPr>
        <w:t xml:space="preserve"> of </w:t>
      </w:r>
      <w:r>
        <w:rPr>
          <w:kern w:val="0"/>
        </w:rPr>
        <w:t>verbal working memory</w:t>
      </w:r>
      <w:r w:rsidR="005853A9">
        <w:rPr>
          <w:kern w:val="0"/>
        </w:rPr>
        <w:t xml:space="preserve"> and </w:t>
      </w:r>
      <w:r>
        <w:rPr>
          <w:kern w:val="0"/>
        </w:rPr>
        <w:t>reasoning</w:t>
      </w:r>
      <w:r w:rsidR="005853A9">
        <w:rPr>
          <w:kern w:val="0"/>
        </w:rPr>
        <w:t xml:space="preserve"> and </w:t>
      </w:r>
      <w:r>
        <w:rPr>
          <w:kern w:val="0"/>
        </w:rPr>
        <w:t>problem solving, as well as verbal fluency. More research is needed on</w:t>
      </w:r>
      <w:r w:rsidR="003A1917">
        <w:rPr>
          <w:kern w:val="0"/>
        </w:rPr>
        <w:t xml:space="preserve"> the </w:t>
      </w:r>
      <w:r>
        <w:rPr>
          <w:kern w:val="0"/>
        </w:rPr>
        <w:t>domains in which study results were contradictory. For olanzapine versus risperidone, these were verbal</w:t>
      </w:r>
      <w:r w:rsidR="005853A9">
        <w:rPr>
          <w:kern w:val="0"/>
        </w:rPr>
        <w:t xml:space="preserve"> and </w:t>
      </w:r>
      <w:r>
        <w:rPr>
          <w:kern w:val="0"/>
        </w:rPr>
        <w:t>visual learning</w:t>
      </w:r>
      <w:r w:rsidR="005853A9">
        <w:rPr>
          <w:kern w:val="0"/>
        </w:rPr>
        <w:t xml:space="preserve"> and </w:t>
      </w:r>
      <w:r>
        <w:rPr>
          <w:kern w:val="0"/>
        </w:rPr>
        <w:t>memory</w:t>
      </w:r>
      <w:r w:rsidR="005853A9">
        <w:rPr>
          <w:kern w:val="0"/>
        </w:rPr>
        <w:t xml:space="preserve"> and </w:t>
      </w:r>
      <w:r>
        <w:rPr>
          <w:kern w:val="0"/>
        </w:rPr>
        <w:t>psychomotor functioning. No comparative data for olanzapine</w:t>
      </w:r>
      <w:r w:rsidR="005853A9">
        <w:rPr>
          <w:kern w:val="0"/>
        </w:rPr>
        <w:t xml:space="preserve"> and </w:t>
      </w:r>
      <w:r>
        <w:rPr>
          <w:kern w:val="0"/>
        </w:rPr>
        <w:t>risperidone were available for</w:t>
      </w:r>
      <w:r w:rsidR="003A1917">
        <w:rPr>
          <w:kern w:val="0"/>
        </w:rPr>
        <w:t xml:space="preserve"> the </w:t>
      </w:r>
      <w:r>
        <w:rPr>
          <w:kern w:val="0"/>
        </w:rPr>
        <w:t>social cognition domain. For quetiapine versus risperidone,</w:t>
      </w:r>
      <w:r w:rsidR="003A1917">
        <w:rPr>
          <w:kern w:val="0"/>
        </w:rPr>
        <w:t xml:space="preserve"> the </w:t>
      </w:r>
      <w:r>
        <w:rPr>
          <w:kern w:val="0"/>
        </w:rPr>
        <w:t>domains in which no unanimity was found were processing speed, attention/vigilance, nonverbal working memory,</w:t>
      </w:r>
      <w:r w:rsidR="005853A9">
        <w:rPr>
          <w:kern w:val="0"/>
        </w:rPr>
        <w:t xml:space="preserve"> and </w:t>
      </w:r>
      <w:r>
        <w:rPr>
          <w:kern w:val="0"/>
        </w:rPr>
        <w:t>verbal learning</w:t>
      </w:r>
      <w:r w:rsidR="005853A9">
        <w:rPr>
          <w:kern w:val="0"/>
        </w:rPr>
        <w:t xml:space="preserve"> and </w:t>
      </w:r>
      <w:r>
        <w:rPr>
          <w:kern w:val="0"/>
        </w:rPr>
        <w:t>memory</w:t>
      </w:r>
      <w:r w:rsidR="00A37C1D">
        <w:rPr>
          <w:kern w:val="0"/>
        </w:rPr>
        <w:t>. The</w:t>
      </w:r>
      <w:r w:rsidR="003A1917">
        <w:rPr>
          <w:kern w:val="0"/>
        </w:rPr>
        <w:t xml:space="preserve"> </w:t>
      </w:r>
      <w:r>
        <w:rPr>
          <w:kern w:val="0"/>
        </w:rPr>
        <w:t>limited available reports on risperidone versus clozapine suggest that: risperidone was associated with improved,</w:t>
      </w:r>
      <w:r w:rsidR="005853A9">
        <w:rPr>
          <w:kern w:val="0"/>
        </w:rPr>
        <w:t xml:space="preserve"> and </w:t>
      </w:r>
      <w:r>
        <w:rPr>
          <w:kern w:val="0"/>
        </w:rPr>
        <w:t>clozapine with worsened, performance on</w:t>
      </w:r>
      <w:r w:rsidR="003A1917">
        <w:rPr>
          <w:kern w:val="0"/>
        </w:rPr>
        <w:t xml:space="preserve"> the </w:t>
      </w:r>
      <w:r>
        <w:rPr>
          <w:kern w:val="0"/>
        </w:rPr>
        <w:t>nonverbal working memory domain; risperidone improved</w:t>
      </w:r>
      <w:r w:rsidR="005853A9">
        <w:rPr>
          <w:kern w:val="0"/>
        </w:rPr>
        <w:t xml:space="preserve"> and </w:t>
      </w:r>
      <w:r>
        <w:rPr>
          <w:kern w:val="0"/>
        </w:rPr>
        <w:t>clozapine did not improve reasoning</w:t>
      </w:r>
      <w:r w:rsidR="005853A9">
        <w:rPr>
          <w:kern w:val="0"/>
        </w:rPr>
        <w:t xml:space="preserve"> and </w:t>
      </w:r>
      <w:r>
        <w:rPr>
          <w:kern w:val="0"/>
        </w:rPr>
        <w:t>problem-solving performance; clozapine improved,</w:t>
      </w:r>
      <w:r w:rsidR="005853A9">
        <w:rPr>
          <w:kern w:val="0"/>
        </w:rPr>
        <w:t xml:space="preserve"> and </w:t>
      </w:r>
      <w:r>
        <w:rPr>
          <w:kern w:val="0"/>
        </w:rPr>
        <w:t>risperidone did not improve, social cognition performance. Use</w:t>
      </w:r>
      <w:r w:rsidR="00427468">
        <w:rPr>
          <w:kern w:val="0"/>
        </w:rPr>
        <w:t xml:space="preserve"> of </w:t>
      </w:r>
      <w:r>
        <w:rPr>
          <w:kern w:val="0"/>
        </w:rPr>
        <w:t>long-acting injectable risperidone seemed to be associated with improved performance in</w:t>
      </w:r>
      <w:r w:rsidR="003A1917">
        <w:rPr>
          <w:kern w:val="0"/>
        </w:rPr>
        <w:t xml:space="preserve"> the </w:t>
      </w:r>
      <w:r>
        <w:rPr>
          <w:kern w:val="0"/>
        </w:rPr>
        <w:t>domains</w:t>
      </w:r>
      <w:r w:rsidR="00427468">
        <w:rPr>
          <w:kern w:val="0"/>
        </w:rPr>
        <w:t xml:space="preserve"> of </w:t>
      </w:r>
      <w:r>
        <w:rPr>
          <w:kern w:val="0"/>
        </w:rPr>
        <w:t>attention/vigilance, verbal learning</w:t>
      </w:r>
      <w:r w:rsidR="005853A9">
        <w:rPr>
          <w:kern w:val="0"/>
        </w:rPr>
        <w:t xml:space="preserve"> and </w:t>
      </w:r>
      <w:r>
        <w:rPr>
          <w:kern w:val="0"/>
        </w:rPr>
        <w:t>memory,</w:t>
      </w:r>
      <w:r w:rsidR="005853A9">
        <w:rPr>
          <w:kern w:val="0"/>
        </w:rPr>
        <w:t xml:space="preserve"> and </w:t>
      </w:r>
      <w:r>
        <w:rPr>
          <w:kern w:val="0"/>
        </w:rPr>
        <w:t>reasoning</w:t>
      </w:r>
      <w:r w:rsidR="005853A9">
        <w:rPr>
          <w:kern w:val="0"/>
        </w:rPr>
        <w:t xml:space="preserve"> and </w:t>
      </w:r>
      <w:r>
        <w:rPr>
          <w:kern w:val="0"/>
        </w:rPr>
        <w:t xml:space="preserve">problem solving, as well as psychomotor </w:t>
      </w:r>
      <w:r>
        <w:rPr>
          <w:kern w:val="0"/>
        </w:rPr>
        <w:lastRenderedPageBreak/>
        <w:t>functioning</w:t>
      </w:r>
      <w:r w:rsidR="00A37C1D">
        <w:rPr>
          <w:kern w:val="0"/>
        </w:rPr>
        <w:t>. The</w:t>
      </w:r>
      <w:r w:rsidR="003A1917">
        <w:rPr>
          <w:kern w:val="0"/>
        </w:rPr>
        <w:t xml:space="preserve"> </w:t>
      </w:r>
      <w:r>
        <w:rPr>
          <w:kern w:val="0"/>
        </w:rPr>
        <w:t>results for</w:t>
      </w:r>
      <w:r w:rsidR="003A1917">
        <w:rPr>
          <w:kern w:val="0"/>
        </w:rPr>
        <w:t xml:space="preserve"> the </w:t>
      </w:r>
      <w:r>
        <w:rPr>
          <w:kern w:val="0"/>
        </w:rPr>
        <w:t>nonverbal working memory domain were indeterminate,</w:t>
      </w:r>
      <w:r w:rsidR="005853A9">
        <w:rPr>
          <w:kern w:val="0"/>
        </w:rPr>
        <w:t xml:space="preserve"> and </w:t>
      </w:r>
      <w:r>
        <w:rPr>
          <w:kern w:val="0"/>
        </w:rPr>
        <w:t>no clear improvement was seen in</w:t>
      </w:r>
      <w:r w:rsidR="003A1917">
        <w:rPr>
          <w:kern w:val="0"/>
        </w:rPr>
        <w:t xml:space="preserve"> the </w:t>
      </w:r>
      <w:r>
        <w:rPr>
          <w:kern w:val="0"/>
        </w:rPr>
        <w:t>social cognition domain</w:t>
      </w:r>
      <w:r w:rsidR="00A37C1D">
        <w:rPr>
          <w:kern w:val="0"/>
        </w:rPr>
        <w:t>. The</w:t>
      </w:r>
      <w:r w:rsidR="003A1917">
        <w:rPr>
          <w:kern w:val="0"/>
        </w:rPr>
        <w:t xml:space="preserve"> </w:t>
      </w:r>
      <w:r>
        <w:rPr>
          <w:kern w:val="0"/>
        </w:rPr>
        <w:t>domains</w:t>
      </w:r>
      <w:r w:rsidR="00427468">
        <w:rPr>
          <w:kern w:val="0"/>
        </w:rPr>
        <w:t xml:space="preserve"> of </w:t>
      </w:r>
      <w:r>
        <w:rPr>
          <w:kern w:val="0"/>
        </w:rPr>
        <w:t>processing speed, verbal working memory,</w:t>
      </w:r>
      <w:r w:rsidR="005853A9">
        <w:rPr>
          <w:kern w:val="0"/>
        </w:rPr>
        <w:t xml:space="preserve"> and </w:t>
      </w:r>
      <w:r>
        <w:rPr>
          <w:kern w:val="0"/>
        </w:rPr>
        <w:t>visual learning</w:t>
      </w:r>
      <w:r w:rsidR="005853A9">
        <w:rPr>
          <w:kern w:val="0"/>
        </w:rPr>
        <w:t xml:space="preserve"> and </w:t>
      </w:r>
      <w:r>
        <w:rPr>
          <w:kern w:val="0"/>
        </w:rPr>
        <w:t>memory, as well as verbal fluency, were not assessed. Conclusions:</w:t>
      </w:r>
      <w:r w:rsidR="003A1917">
        <w:rPr>
          <w:kern w:val="0"/>
        </w:rPr>
        <w:t xml:space="preserve"> the </w:t>
      </w:r>
      <w:r>
        <w:rPr>
          <w:kern w:val="0"/>
        </w:rPr>
        <w:t>results</w:t>
      </w:r>
      <w:r w:rsidR="00427468">
        <w:rPr>
          <w:kern w:val="0"/>
        </w:rPr>
        <w:t xml:space="preserve"> of </w:t>
      </w:r>
      <w:r>
        <w:rPr>
          <w:kern w:val="0"/>
        </w:rPr>
        <w:t>this review</w:t>
      </w:r>
      <w:r w:rsidR="00427468">
        <w:rPr>
          <w:kern w:val="0"/>
        </w:rPr>
        <w:t xml:space="preserve"> of </w:t>
      </w:r>
      <w:r>
        <w:rPr>
          <w:kern w:val="0"/>
        </w:rPr>
        <w:t>within-group comparisons</w:t>
      </w:r>
      <w:r w:rsidR="00427468">
        <w:rPr>
          <w:kern w:val="0"/>
        </w:rPr>
        <w:t xml:space="preserve"> of </w:t>
      </w:r>
      <w:r>
        <w:rPr>
          <w:kern w:val="0"/>
        </w:rPr>
        <w:t>oral risperidone suggest that</w:t>
      </w:r>
      <w:r w:rsidR="003A1917">
        <w:rPr>
          <w:kern w:val="0"/>
        </w:rPr>
        <w:t xml:space="preserve"> the </w:t>
      </w:r>
      <w:r>
        <w:rPr>
          <w:kern w:val="0"/>
        </w:rPr>
        <w:t>agent appeared to be associated with improved functioning in</w:t>
      </w:r>
      <w:r w:rsidR="003A1917">
        <w:rPr>
          <w:kern w:val="0"/>
        </w:rPr>
        <w:t xml:space="preserve"> the </w:t>
      </w:r>
      <w:r>
        <w:rPr>
          <w:kern w:val="0"/>
        </w:rPr>
        <w:t>cognitive domains</w:t>
      </w:r>
      <w:r w:rsidR="00427468">
        <w:rPr>
          <w:kern w:val="0"/>
        </w:rPr>
        <w:t xml:space="preserve"> of </w:t>
      </w:r>
      <w:r>
        <w:rPr>
          <w:kern w:val="0"/>
        </w:rPr>
        <w:t>processing speed, attention/vigilance, verbal</w:t>
      </w:r>
      <w:r w:rsidR="005853A9">
        <w:rPr>
          <w:kern w:val="0"/>
        </w:rPr>
        <w:t xml:space="preserve"> and </w:t>
      </w:r>
      <w:r>
        <w:rPr>
          <w:kern w:val="0"/>
        </w:rPr>
        <w:t>visual learning</w:t>
      </w:r>
      <w:r w:rsidR="005853A9">
        <w:rPr>
          <w:kern w:val="0"/>
        </w:rPr>
        <w:t xml:space="preserve"> and </w:t>
      </w:r>
      <w:r>
        <w:rPr>
          <w:kern w:val="0"/>
        </w:rPr>
        <w:t>memory,</w:t>
      </w:r>
      <w:r w:rsidR="005853A9">
        <w:rPr>
          <w:kern w:val="0"/>
        </w:rPr>
        <w:t xml:space="preserve"> and </w:t>
      </w:r>
      <w:r>
        <w:rPr>
          <w:kern w:val="0"/>
        </w:rPr>
        <w:t>reasoning</w:t>
      </w:r>
      <w:r w:rsidR="005853A9">
        <w:rPr>
          <w:kern w:val="0"/>
        </w:rPr>
        <w:t xml:space="preserve"> and </w:t>
      </w:r>
      <w:r>
        <w:rPr>
          <w:kern w:val="0"/>
        </w:rPr>
        <w:t>problem solving in patients with schizophrenia or schizoaffective disorder. Long-acting injectable risperidone seemed to be associated with improved functioning in</w:t>
      </w:r>
      <w:r w:rsidR="003A1917">
        <w:rPr>
          <w:kern w:val="0"/>
        </w:rPr>
        <w:t xml:space="preserve"> the </w:t>
      </w:r>
      <w:r>
        <w:rPr>
          <w:kern w:val="0"/>
        </w:rPr>
        <w:t>domains</w:t>
      </w:r>
      <w:r w:rsidR="00427468">
        <w:rPr>
          <w:kern w:val="0"/>
        </w:rPr>
        <w:t xml:space="preserve"> of </w:t>
      </w:r>
      <w:r>
        <w:rPr>
          <w:kern w:val="0"/>
        </w:rPr>
        <w:t>attention/vigilance, verbal learning</w:t>
      </w:r>
      <w:r w:rsidR="005853A9">
        <w:rPr>
          <w:kern w:val="0"/>
        </w:rPr>
        <w:t xml:space="preserve"> and </w:t>
      </w:r>
      <w:r>
        <w:rPr>
          <w:kern w:val="0"/>
        </w:rPr>
        <w:t>memory,</w:t>
      </w:r>
      <w:r w:rsidR="005853A9">
        <w:rPr>
          <w:kern w:val="0"/>
        </w:rPr>
        <w:t xml:space="preserve"> and </w:t>
      </w:r>
      <w:r>
        <w:rPr>
          <w:kern w:val="0"/>
        </w:rPr>
        <w:t>reasoning</w:t>
      </w:r>
      <w:r w:rsidR="005853A9">
        <w:rPr>
          <w:kern w:val="0"/>
        </w:rPr>
        <w:t xml:space="preserve"> and </w:t>
      </w:r>
      <w:r>
        <w:rPr>
          <w:kern w:val="0"/>
        </w:rPr>
        <w:t>problem solving, as well as psychomotor functioning, in patients with schizophrenia or schizoaffective disorder. (Clin Ther. 2008;30:15651589) (C) 2008 Excerpta Medica Inc.</w:t>
      </w:r>
    </w:p>
    <w:p w:rsidR="00BC6E79" w:rsidRDefault="00BC6E79" w:rsidP="00BC6E79">
      <w:pPr>
        <w:pStyle w:val="a3"/>
        <w:rPr>
          <w:kern w:val="0"/>
        </w:rPr>
      </w:pPr>
      <w:r>
        <w:rPr>
          <w:kern w:val="0"/>
        </w:rPr>
        <w:t xml:space="preserve">Keywords: Antipsychotic Treatment, Antipsychotics, Attention, Clinical-Trials, Cognition, Complex Figure Test, Continuous Performance-Test, Disorder, Double-Blind, Drug, Learning, Matrics, Memory, Methods, Neuropsychological Change, Normative Data, Outcomes, Psychomotor, Randomized Controlled Trials, Research, Review, Risperidone, Schizoaffective Disorder, Schizophrenia, Science, Scientific Information, Social, Social Competence, Spatial Working-Memory, Verbal-Learning Test,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Sonnett, T.E., Levien, T.L., Neumiller, J.J., Gates, B.J.</w:t>
      </w:r>
      <w:r w:rsidR="005853A9">
        <w:rPr>
          <w:kern w:val="0"/>
        </w:rPr>
        <w:t xml:space="preserve"> and </w:t>
      </w:r>
      <w:r>
        <w:rPr>
          <w:kern w:val="0"/>
        </w:rPr>
        <w:t>Setter, S.M. (2009), Colesevelam hydrochloride for</w:t>
      </w:r>
      <w:r w:rsidR="003A1917">
        <w:rPr>
          <w:kern w:val="0"/>
        </w:rPr>
        <w:t xml:space="preserve"> the </w:t>
      </w:r>
      <w:r>
        <w:rPr>
          <w:kern w:val="0"/>
        </w:rPr>
        <w:t>treatment</w:t>
      </w:r>
      <w:r w:rsidR="00427468">
        <w:rPr>
          <w:kern w:val="0"/>
        </w:rPr>
        <w:t xml:space="preserve"> of </w:t>
      </w:r>
      <w:r>
        <w:rPr>
          <w:kern w:val="0"/>
        </w:rPr>
        <w:t xml:space="preserve">type 2 diabetes mellitus. </w:t>
      </w:r>
      <w:r>
        <w:rPr>
          <w:i/>
          <w:iCs/>
          <w:kern w:val="0"/>
        </w:rPr>
        <w:t>Clinical Therapeutics</w:t>
      </w:r>
      <w:r>
        <w:rPr>
          <w:kern w:val="0"/>
        </w:rPr>
        <w:t xml:space="preserve">, </w:t>
      </w:r>
      <w:r>
        <w:rPr>
          <w:b/>
          <w:bCs/>
          <w:kern w:val="0"/>
        </w:rPr>
        <w:t>31</w:t>
      </w:r>
      <w:r>
        <w:rPr>
          <w:kern w:val="0"/>
        </w:rPr>
        <w:t xml:space="preserve"> (2), 245-259.</w:t>
      </w:r>
    </w:p>
    <w:p w:rsidR="00BC6E79" w:rsidRPr="001A3D2B" w:rsidRDefault="00BC6E79" w:rsidP="00BC6E79">
      <w:pPr>
        <w:pStyle w:val="a3"/>
      </w:pPr>
      <w:r w:rsidRPr="001A3D2B">
        <w:t xml:space="preserve">Full Text: </w:t>
      </w:r>
      <w:hyperlink r:id="rId448" w:history="1">
        <w:r w:rsidR="00D562CB" w:rsidRPr="00D562CB">
          <w:rPr>
            <w:rStyle w:val="a5"/>
          </w:rPr>
          <w:t>2009\Cli The31, 245.pdf</w:t>
        </w:r>
      </w:hyperlink>
    </w:p>
    <w:p w:rsidR="00BC6E79" w:rsidRDefault="00BC6E79" w:rsidP="00BC6E79">
      <w:pPr>
        <w:pStyle w:val="a3"/>
        <w:rPr>
          <w:kern w:val="0"/>
        </w:rPr>
      </w:pPr>
      <w:r>
        <w:rPr>
          <w:kern w:val="0"/>
        </w:rPr>
        <w:t>Abstract: Background: Colesevelam hydrochloride is a bile acid sequestrant approved in January 2008 by</w:t>
      </w:r>
      <w:r w:rsidR="003A1917">
        <w:rPr>
          <w:kern w:val="0"/>
        </w:rPr>
        <w:t xml:space="preserve"> the </w:t>
      </w:r>
      <w:r>
        <w:rPr>
          <w:kern w:val="0"/>
        </w:rPr>
        <w:t>US Food</w:t>
      </w:r>
      <w:r w:rsidR="005853A9">
        <w:rPr>
          <w:kern w:val="0"/>
        </w:rPr>
        <w:t xml:space="preserve"> and </w:t>
      </w:r>
      <w:r>
        <w:rPr>
          <w:kern w:val="0"/>
        </w:rPr>
        <w:t>Drug Administration (FDA) for</w:t>
      </w:r>
      <w:r w:rsidR="003A1917">
        <w:rPr>
          <w:kern w:val="0"/>
        </w:rPr>
        <w:t xml:space="preserve"> the </w:t>
      </w:r>
      <w:r>
        <w:rPr>
          <w:kern w:val="0"/>
        </w:rPr>
        <w:t>treatment</w:t>
      </w:r>
      <w:r w:rsidR="00427468">
        <w:rPr>
          <w:kern w:val="0"/>
        </w:rPr>
        <w:t xml:space="preserve"> of </w:t>
      </w:r>
      <w:r>
        <w:rPr>
          <w:kern w:val="0"/>
        </w:rPr>
        <w:t>adult patients with type 2 diabetes mellitus (DM) in combination with a sulfonylurea, metformin, and/or insulin therapy. Objective:</w:t>
      </w:r>
      <w:r w:rsidR="003A1917">
        <w:rPr>
          <w:kern w:val="0"/>
        </w:rPr>
        <w:t xml:space="preserve"> the </w:t>
      </w:r>
      <w:r>
        <w:rPr>
          <w:kern w:val="0"/>
        </w:rPr>
        <w:t>purpose</w:t>
      </w:r>
      <w:r w:rsidR="00427468">
        <w:rPr>
          <w:kern w:val="0"/>
        </w:rPr>
        <w:t xml:space="preserve"> of </w:t>
      </w:r>
      <w:r>
        <w:rPr>
          <w:kern w:val="0"/>
        </w:rPr>
        <w:t>this article was to review</w:t>
      </w:r>
      <w:r w:rsidR="003A1917">
        <w:rPr>
          <w:kern w:val="0"/>
        </w:rPr>
        <w:t xml:space="preserve"> the </w:t>
      </w:r>
      <w:r>
        <w:rPr>
          <w:kern w:val="0"/>
        </w:rPr>
        <w:t>pharmacology, pharmacokinetics, efficacy, adverse effects</w:t>
      </w:r>
      <w:r w:rsidR="005853A9">
        <w:rPr>
          <w:kern w:val="0"/>
        </w:rPr>
        <w:t xml:space="preserve"> and </w:t>
      </w:r>
      <w:r>
        <w:rPr>
          <w:kern w:val="0"/>
        </w:rPr>
        <w:t>tolerability, drug-drug interactions, contraindications/precautions, dosage</w:t>
      </w:r>
      <w:r w:rsidR="005853A9">
        <w:rPr>
          <w:kern w:val="0"/>
        </w:rPr>
        <w:t xml:space="preserve"> and </w:t>
      </w:r>
      <w:r>
        <w:rPr>
          <w:kern w:val="0"/>
        </w:rPr>
        <w:t>administration, pharmacoeconomics,</w:t>
      </w:r>
      <w:r w:rsidR="005853A9">
        <w:rPr>
          <w:kern w:val="0"/>
        </w:rPr>
        <w:t xml:space="preserve"> and </w:t>
      </w:r>
      <w:r w:rsidR="003A1917">
        <w:rPr>
          <w:kern w:val="0"/>
        </w:rPr>
        <w:t xml:space="preserve">the </w:t>
      </w:r>
      <w:r>
        <w:rPr>
          <w:kern w:val="0"/>
        </w:rPr>
        <w:t>overall role</w:t>
      </w:r>
      <w:r w:rsidR="00427468">
        <w:rPr>
          <w:kern w:val="0"/>
        </w:rPr>
        <w:t xml:space="preserve"> of </w:t>
      </w:r>
      <w:r>
        <w:rPr>
          <w:kern w:val="0"/>
        </w:rPr>
        <w:t>colesevelam in</w:t>
      </w:r>
      <w:r w:rsidR="003A1917">
        <w:rPr>
          <w:kern w:val="0"/>
        </w:rPr>
        <w:t xml:space="preserve"> the </w:t>
      </w:r>
      <w:r>
        <w:rPr>
          <w:kern w:val="0"/>
        </w:rPr>
        <w:t>management</w:t>
      </w:r>
      <w:r w:rsidR="00427468">
        <w:rPr>
          <w:kern w:val="0"/>
        </w:rPr>
        <w:t xml:space="preserve"> of </w:t>
      </w:r>
      <w:r>
        <w:rPr>
          <w:kern w:val="0"/>
        </w:rPr>
        <w:t xml:space="preserve">adult patients with type 2 DM. Methods: A literature Search using </w:t>
      </w:r>
      <w:r w:rsidR="00D5664A">
        <w:rPr>
          <w:kern w:val="0"/>
        </w:rPr>
        <w:t>MEDLINE</w:t>
      </w:r>
      <w:r>
        <w:rPr>
          <w:kern w:val="0"/>
        </w:rPr>
        <w:t xml:space="preserve"> (1966-October 27, 2008), PUBMED (1950-October 27, 2008), Science Direct (1994-October 27, 2008), </w:t>
      </w:r>
      <w:r w:rsidR="00D5664A">
        <w:rPr>
          <w:kern w:val="0"/>
        </w:rPr>
        <w:t>Web</w:t>
      </w:r>
      <w:r w:rsidR="00427468">
        <w:rPr>
          <w:kern w:val="0"/>
        </w:rPr>
        <w:t xml:space="preserve"> of </w:t>
      </w:r>
      <w:r w:rsidR="00D5664A">
        <w:rPr>
          <w:kern w:val="0"/>
        </w:rPr>
        <w:t>Science</w:t>
      </w:r>
      <w:r>
        <w:rPr>
          <w:kern w:val="0"/>
        </w:rPr>
        <w:t xml:space="preserve"> (1980-October 27, 2008), American Diabetes Association Scientific Abstracts (2004-2008),</w:t>
      </w:r>
      <w:r w:rsidR="005853A9">
        <w:rPr>
          <w:kern w:val="0"/>
        </w:rPr>
        <w:t xml:space="preserve"> and </w:t>
      </w:r>
      <w:r>
        <w:rPr>
          <w:kern w:val="0"/>
        </w:rPr>
        <w:t>International Pharmaceutical Abstracts (1970-October 27, 2008) was performed using</w:t>
      </w:r>
      <w:r w:rsidR="003A1917">
        <w:rPr>
          <w:kern w:val="0"/>
        </w:rPr>
        <w:t xml:space="preserve"> the </w:t>
      </w:r>
      <w:r>
        <w:rPr>
          <w:kern w:val="0"/>
        </w:rPr>
        <w:t>term colesevelam. English-language, original research</w:t>
      </w:r>
      <w:r w:rsidR="005853A9">
        <w:rPr>
          <w:kern w:val="0"/>
        </w:rPr>
        <w:t xml:space="preserve"> and </w:t>
      </w:r>
      <w:r>
        <w:rPr>
          <w:kern w:val="0"/>
        </w:rPr>
        <w:t>review articles were examined,</w:t>
      </w:r>
      <w:r w:rsidR="005853A9">
        <w:rPr>
          <w:kern w:val="0"/>
        </w:rPr>
        <w:t xml:space="preserve"> and </w:t>
      </w:r>
      <w:r>
        <w:rPr>
          <w:kern w:val="0"/>
        </w:rPr>
        <w:t>citations from these articles were assessed. Manufacturer prescribing information</w:t>
      </w:r>
      <w:r w:rsidR="005853A9">
        <w:rPr>
          <w:kern w:val="0"/>
        </w:rPr>
        <w:t xml:space="preserve"> and </w:t>
      </w:r>
      <w:r w:rsidR="003A1917">
        <w:rPr>
          <w:kern w:val="0"/>
        </w:rPr>
        <w:t xml:space="preserve">the </w:t>
      </w:r>
      <w:r>
        <w:rPr>
          <w:kern w:val="0"/>
        </w:rPr>
        <w:t>FDA review</w:t>
      </w:r>
      <w:r w:rsidR="00427468">
        <w:rPr>
          <w:kern w:val="0"/>
        </w:rPr>
        <w:t xml:space="preserve"> of </w:t>
      </w:r>
      <w:r w:rsidR="003A1917">
        <w:rPr>
          <w:kern w:val="0"/>
        </w:rPr>
        <w:t xml:space="preserve">the </w:t>
      </w:r>
      <w:r>
        <w:rPr>
          <w:kern w:val="0"/>
        </w:rPr>
        <w:t xml:space="preserve">new drug application for colesevelam were also examined. </w:t>
      </w:r>
      <w:r>
        <w:rPr>
          <w:kern w:val="0"/>
        </w:rPr>
        <w:lastRenderedPageBreak/>
        <w:t>Results: Colesevelam is a hydrophilic, water-Insoluble polymer, with negligible absorption</w:t>
      </w:r>
      <w:r w:rsidR="005853A9">
        <w:rPr>
          <w:kern w:val="0"/>
        </w:rPr>
        <w:t xml:space="preserve"> and </w:t>
      </w:r>
      <w:r>
        <w:rPr>
          <w:kern w:val="0"/>
        </w:rPr>
        <w:t>systemic distribution, that is excreted primarily In</w:t>
      </w:r>
      <w:r w:rsidR="003A1917">
        <w:rPr>
          <w:kern w:val="0"/>
        </w:rPr>
        <w:t xml:space="preserve"> the </w:t>
      </w:r>
      <w:r>
        <w:rPr>
          <w:kern w:val="0"/>
        </w:rPr>
        <w:t>feces. Through a mechanism still under investigation, colesevelam effectively lowers glycosylated hemoglobin (HbA(1c)) when used in combination with a sulfonylurea, metformin, and/or insulin therapy. Three completed, published Phase III clinical trials investigating colesevelam for</w:t>
      </w:r>
      <w:r w:rsidR="003A1917">
        <w:rPr>
          <w:kern w:val="0"/>
        </w:rPr>
        <w:t xml:space="preserve"> the </w:t>
      </w:r>
      <w:r>
        <w:rPr>
          <w:kern w:val="0"/>
        </w:rPr>
        <w:t>treatment</w:t>
      </w:r>
      <w:r w:rsidR="00427468">
        <w:rPr>
          <w:kern w:val="0"/>
        </w:rPr>
        <w:t xml:space="preserve"> of </w:t>
      </w:r>
      <w:r>
        <w:rPr>
          <w:kern w:val="0"/>
        </w:rPr>
        <w:t>type 2 DM were evaluated for information, data,</w:t>
      </w:r>
      <w:r w:rsidR="005853A9">
        <w:rPr>
          <w:kern w:val="0"/>
        </w:rPr>
        <w:t xml:space="preserve"> and </w:t>
      </w:r>
      <w:r>
        <w:rPr>
          <w:kern w:val="0"/>
        </w:rPr>
        <w:t>Conclusions. At dosing</w:t>
      </w:r>
      <w:r w:rsidR="00427468">
        <w:rPr>
          <w:kern w:val="0"/>
        </w:rPr>
        <w:t xml:space="preserve"> of </w:t>
      </w:r>
      <w:r>
        <w:rPr>
          <w:kern w:val="0"/>
        </w:rPr>
        <w:t>1.875 g BID or 3.75 g once daily in combination with one</w:t>
      </w:r>
      <w:r w:rsidR="00427468">
        <w:rPr>
          <w:kern w:val="0"/>
        </w:rPr>
        <w:t xml:space="preserve"> of </w:t>
      </w:r>
      <w:r w:rsidR="003A1917">
        <w:rPr>
          <w:kern w:val="0"/>
        </w:rPr>
        <w:t xml:space="preserve">the </w:t>
      </w:r>
      <w:r>
        <w:rPr>
          <w:kern w:val="0"/>
        </w:rPr>
        <w:t>aforementioned agents versus placebo, reductions in HbA(1c) in all 3 Phase III clinical trials</w:t>
      </w:r>
      <w:r w:rsidR="00427468">
        <w:rPr>
          <w:kern w:val="0"/>
        </w:rPr>
        <w:t xml:space="preserve"> of </w:t>
      </w:r>
      <w:r>
        <w:rPr>
          <w:kern w:val="0"/>
        </w:rPr>
        <w:t>colesevelam ranged from 0.5% to 0.7% (P &lt; 0.02). In clinical trials, colesevelam was well tolerated, with hypoglycemia occurring in similar to 3%</w:t>
      </w:r>
      <w:r w:rsidR="00427468">
        <w:rPr>
          <w:kern w:val="0"/>
        </w:rPr>
        <w:t xml:space="preserve"> of </w:t>
      </w:r>
      <w:r>
        <w:rPr>
          <w:kern w:val="0"/>
        </w:rPr>
        <w:t>studied patients. Conclusions: When used in combination with a sulfonylurea, metformin, and/or insulin therapy, colesevelam has been reported to significantly reduce HbA(1c) in adult patients with type 2 DM. Colesevelam</w:t>
      </w:r>
      <w:r w:rsidR="0071223E">
        <w:rPr>
          <w:kern w:val="0"/>
        </w:rPr>
        <w:t>’</w:t>
      </w:r>
      <w:r w:rsidR="00C13DDC">
        <w:rPr>
          <w:kern w:val="0"/>
        </w:rPr>
        <w:t>s</w:t>
      </w:r>
      <w:r>
        <w:rPr>
          <w:kern w:val="0"/>
        </w:rPr>
        <w:t xml:space="preserve"> role in</w:t>
      </w:r>
      <w:r w:rsidR="003A1917">
        <w:rPr>
          <w:kern w:val="0"/>
        </w:rPr>
        <w:t xml:space="preserve"> the </w:t>
      </w:r>
      <w:r>
        <w:rPr>
          <w:kern w:val="0"/>
        </w:rPr>
        <w:t>management</w:t>
      </w:r>
      <w:r w:rsidR="00427468">
        <w:rPr>
          <w:kern w:val="0"/>
        </w:rPr>
        <w:t xml:space="preserve"> of </w:t>
      </w:r>
      <w:r>
        <w:rPr>
          <w:kern w:val="0"/>
        </w:rPr>
        <w:t>type 2 DM remains undefined, however; further investigation into its mechanism</w:t>
      </w:r>
      <w:r w:rsidR="00427468">
        <w:rPr>
          <w:kern w:val="0"/>
        </w:rPr>
        <w:t xml:space="preserve"> of </w:t>
      </w:r>
      <w:r>
        <w:rPr>
          <w:kern w:val="0"/>
        </w:rPr>
        <w:t>action</w:t>
      </w:r>
      <w:r w:rsidR="005853A9">
        <w:rPr>
          <w:kern w:val="0"/>
        </w:rPr>
        <w:t xml:space="preserve"> and </w:t>
      </w:r>
      <w:r>
        <w:rPr>
          <w:kern w:val="0"/>
        </w:rPr>
        <w:t>long-term efficacy</w:t>
      </w:r>
      <w:r w:rsidR="005853A9">
        <w:rPr>
          <w:kern w:val="0"/>
        </w:rPr>
        <w:t xml:space="preserve"> and </w:t>
      </w:r>
      <w:r>
        <w:rPr>
          <w:kern w:val="0"/>
        </w:rPr>
        <w:t>safety Should be performed. (Clin Ther. 2009;31:245-2.59) (C) 2009 Excerpta Medica Inc.</w:t>
      </w:r>
    </w:p>
    <w:p w:rsidR="00BC6E79" w:rsidRDefault="00BC6E79" w:rsidP="00BC6E79">
      <w:pPr>
        <w:pStyle w:val="a3"/>
        <w:rPr>
          <w:kern w:val="0"/>
        </w:rPr>
      </w:pPr>
      <w:r>
        <w:rPr>
          <w:kern w:val="0"/>
        </w:rPr>
        <w:t>Keywords: Administration, Adult, Adverse Effects, Bile Acid Sequestrant, Bile-Acid Sequestrants, Blood-Glucose Control, Citations, Clinical Trials, Colesevelam, Cost-Effectiveness, Diabetes, Diabetes Mellitus, Drug, Drug-Interactions, Efficacy, Farnesoid-X-Receptor, Hypoglycemia, Improves Glycemic Control, Information, Insulin, Insulin-Based Therapy, Ldl Cholesterol, Literature, Management, Mechanism, Mechanism</w:t>
      </w:r>
      <w:r w:rsidR="00427468">
        <w:rPr>
          <w:kern w:val="0"/>
        </w:rPr>
        <w:t xml:space="preserve"> of </w:t>
      </w:r>
      <w:r>
        <w:rPr>
          <w:kern w:val="0"/>
        </w:rPr>
        <w:t xml:space="preserve">Action, </w:t>
      </w:r>
      <w:r w:rsidR="00D5664A">
        <w:rPr>
          <w:kern w:val="0"/>
        </w:rPr>
        <w:t>MEDLINE</w:t>
      </w:r>
      <w:r>
        <w:rPr>
          <w:kern w:val="0"/>
        </w:rPr>
        <w:t xml:space="preserve">, Metformin, Methods, Nuclear Receptor, Pharmacoeconomics, Primary Hypercholesterolemia, PUBMED, Research, Review, Safety, Science, Therapy, Treatment, Type 2, Type 2 Diabetes, Type 2 Diabetes Mellitus, US, </w:t>
      </w:r>
      <w:r w:rsidR="00D5664A">
        <w:rPr>
          <w:kern w:val="0"/>
        </w:rPr>
        <w:t>Web</w:t>
      </w:r>
      <w:r w:rsidR="00427468">
        <w:rPr>
          <w:kern w:val="0"/>
        </w:rPr>
        <w:t xml:space="preserve"> of </w:t>
      </w:r>
      <w:r w:rsidR="00D5664A">
        <w:rPr>
          <w:kern w:val="0"/>
        </w:rPr>
        <w:t>Science</w:t>
      </w:r>
    </w:p>
    <w:p w:rsidR="00850CCA" w:rsidRPr="001A3D2B" w:rsidRDefault="00850CCA" w:rsidP="00850CCA">
      <w:pPr>
        <w:pStyle w:val="a3"/>
        <w:rPr>
          <w:kern w:val="0"/>
        </w:rPr>
      </w:pPr>
      <w:r w:rsidRPr="001A3D2B">
        <w:rPr>
          <w:kern w:val="0"/>
        </w:rPr>
        <w:t xml:space="preserve">? Cersosimo, R.J. (2009), Romiplostim in chronic immune thrombocytopenic purpura. </w:t>
      </w:r>
      <w:r w:rsidRPr="001A3D2B">
        <w:rPr>
          <w:i/>
          <w:iCs/>
          <w:kern w:val="0"/>
        </w:rPr>
        <w:t>Clinical Therapeutics</w:t>
      </w:r>
      <w:r w:rsidRPr="001A3D2B">
        <w:rPr>
          <w:kern w:val="0"/>
        </w:rPr>
        <w:t xml:space="preserve">, </w:t>
      </w:r>
      <w:r w:rsidRPr="001A3D2B">
        <w:rPr>
          <w:b/>
          <w:bCs/>
          <w:kern w:val="0"/>
        </w:rPr>
        <w:t>31</w:t>
      </w:r>
      <w:r w:rsidRPr="001A3D2B">
        <w:rPr>
          <w:kern w:val="0"/>
        </w:rPr>
        <w:t xml:space="preserve"> (9), 1887-1907.</w:t>
      </w:r>
    </w:p>
    <w:p w:rsidR="00850CCA" w:rsidRPr="001A3D2B" w:rsidRDefault="00850CCA" w:rsidP="00850CCA">
      <w:pPr>
        <w:pStyle w:val="a3"/>
      </w:pPr>
      <w:r w:rsidRPr="001A3D2B">
        <w:t xml:space="preserve">Full Text: </w:t>
      </w:r>
      <w:hyperlink r:id="rId449" w:history="1">
        <w:r w:rsidRPr="001A3D2B">
          <w:rPr>
            <w:rStyle w:val="a5"/>
          </w:rPr>
          <w:t>2009\Cli The31, 1887.pdf</w:t>
        </w:r>
      </w:hyperlink>
    </w:p>
    <w:p w:rsidR="00850CCA" w:rsidRPr="001A3D2B" w:rsidRDefault="00850CCA" w:rsidP="00850CCA">
      <w:pPr>
        <w:pStyle w:val="a3"/>
        <w:rPr>
          <w:kern w:val="0"/>
        </w:rPr>
      </w:pPr>
      <w:r w:rsidRPr="001A3D2B">
        <w:rPr>
          <w:kern w:val="0"/>
        </w:rPr>
        <w:t>Abstract: Background: Immune thrombocytopenic purpura (ITP) is characterized by platelet deficiency due to platelet destruction and/or inadequate production. Initial therapy consists</w:t>
      </w:r>
      <w:r w:rsidR="00427468">
        <w:rPr>
          <w:kern w:val="0"/>
        </w:rPr>
        <w:t xml:space="preserve"> of </w:t>
      </w:r>
      <w:r w:rsidRPr="001A3D2B">
        <w:rPr>
          <w:kern w:val="0"/>
        </w:rPr>
        <w:t>corticosteroids or intravenous immunoglobulin (IVIg). Patients with chronic refractory disease might undergo splenectomy. Although there is no treatment</w:t>
      </w:r>
      <w:r w:rsidR="00427468">
        <w:rPr>
          <w:kern w:val="0"/>
        </w:rPr>
        <w:t xml:space="preserve"> of </w:t>
      </w:r>
      <w:r w:rsidRPr="001A3D2B">
        <w:rPr>
          <w:kern w:val="0"/>
        </w:rPr>
        <w:t>choice in those who do not respond to splenectomy, immunosuppressive agents are typically prescribed. Romiplostim is</w:t>
      </w:r>
      <w:r w:rsidR="003A1917">
        <w:rPr>
          <w:kern w:val="0"/>
        </w:rPr>
        <w:t xml:space="preserve"> the </w:t>
      </w:r>
      <w:r w:rsidRPr="001A3D2B">
        <w:rPr>
          <w:kern w:val="0"/>
        </w:rPr>
        <w:t>first available drug in a recently developed class</w:t>
      </w:r>
      <w:r w:rsidR="00427468">
        <w:rPr>
          <w:kern w:val="0"/>
        </w:rPr>
        <w:t xml:space="preserve"> of </w:t>
      </w:r>
      <w:r w:rsidRPr="001A3D2B">
        <w:rPr>
          <w:kern w:val="0"/>
        </w:rPr>
        <w:t>agents that work through stimulation</w:t>
      </w:r>
      <w:r w:rsidR="00427468">
        <w:rPr>
          <w:kern w:val="0"/>
        </w:rPr>
        <w:t xml:space="preserve"> of </w:t>
      </w:r>
      <w:r w:rsidR="003A1917">
        <w:rPr>
          <w:kern w:val="0"/>
        </w:rPr>
        <w:t xml:space="preserve">the </w:t>
      </w:r>
      <w:r w:rsidRPr="001A3D2B">
        <w:rPr>
          <w:kern w:val="0"/>
        </w:rPr>
        <w:t>thrombopoietin (TPO) receptor (c-Mpl) to increase platelet production. Objective:</w:t>
      </w:r>
      <w:r w:rsidR="003A1917">
        <w:rPr>
          <w:kern w:val="0"/>
        </w:rPr>
        <w:t xml:space="preserve"> the </w:t>
      </w:r>
      <w:r w:rsidRPr="001A3D2B">
        <w:rPr>
          <w:kern w:val="0"/>
        </w:rPr>
        <w:t>aim</w:t>
      </w:r>
      <w:r w:rsidR="00427468">
        <w:rPr>
          <w:kern w:val="0"/>
        </w:rPr>
        <w:t xml:space="preserve"> of </w:t>
      </w:r>
      <w:r w:rsidRPr="001A3D2B">
        <w:rPr>
          <w:kern w:val="0"/>
        </w:rPr>
        <w:t>this report was to review</w:t>
      </w:r>
      <w:r w:rsidR="003A1917">
        <w:rPr>
          <w:kern w:val="0"/>
        </w:rPr>
        <w:t xml:space="preserve"> the </w:t>
      </w:r>
      <w:r w:rsidRPr="001A3D2B">
        <w:rPr>
          <w:kern w:val="0"/>
        </w:rPr>
        <w:t>mechanism</w:t>
      </w:r>
      <w:r w:rsidR="00427468">
        <w:rPr>
          <w:kern w:val="0"/>
        </w:rPr>
        <w:t xml:space="preserve"> of </w:t>
      </w:r>
      <w:r w:rsidRPr="001A3D2B">
        <w:rPr>
          <w:kern w:val="0"/>
        </w:rPr>
        <w:t>action, pharmacology, clinical activity,</w:t>
      </w:r>
      <w:r w:rsidR="005853A9">
        <w:rPr>
          <w:kern w:val="0"/>
        </w:rPr>
        <w:t xml:space="preserve"> and </w:t>
      </w:r>
      <w:r w:rsidRPr="001A3D2B">
        <w:rPr>
          <w:kern w:val="0"/>
        </w:rPr>
        <w:t>adverse events associated with</w:t>
      </w:r>
      <w:r w:rsidR="003A1917">
        <w:rPr>
          <w:kern w:val="0"/>
        </w:rPr>
        <w:t xml:space="preserve"> the </w:t>
      </w:r>
      <w:r w:rsidRPr="001A3D2B">
        <w:rPr>
          <w:kern w:val="0"/>
        </w:rPr>
        <w:t>use</w:t>
      </w:r>
      <w:r w:rsidR="00427468">
        <w:rPr>
          <w:kern w:val="0"/>
        </w:rPr>
        <w:t xml:space="preserve"> of </w:t>
      </w:r>
      <w:r w:rsidRPr="001A3D2B">
        <w:rPr>
          <w:kern w:val="0"/>
        </w:rPr>
        <w:t>romiplostim for</w:t>
      </w:r>
      <w:r w:rsidR="003A1917">
        <w:rPr>
          <w:kern w:val="0"/>
        </w:rPr>
        <w:t xml:space="preserve"> the </w:t>
      </w:r>
      <w:r w:rsidRPr="001A3D2B">
        <w:rPr>
          <w:kern w:val="0"/>
        </w:rPr>
        <w:t>treatment</w:t>
      </w:r>
      <w:r w:rsidR="00427468">
        <w:rPr>
          <w:kern w:val="0"/>
        </w:rPr>
        <w:t xml:space="preserve"> of </w:t>
      </w:r>
      <w:r w:rsidRPr="001A3D2B">
        <w:rPr>
          <w:kern w:val="0"/>
        </w:rPr>
        <w:t xml:space="preserve">thrombocytopenia in patients with chronic ITP. Methods: </w:t>
      </w:r>
      <w:r w:rsidR="00D5664A">
        <w:rPr>
          <w:kern w:val="0"/>
        </w:rPr>
        <w:t>MEDLINE</w:t>
      </w:r>
      <w:r w:rsidRPr="001A3D2B">
        <w:rPr>
          <w:kern w:val="0"/>
        </w:rPr>
        <w:t xml:space="preserve">, Google Scholar, International </w:t>
      </w:r>
      <w:r w:rsidRPr="001A3D2B">
        <w:rPr>
          <w:kern w:val="0"/>
        </w:rPr>
        <w:lastRenderedPageBreak/>
        <w:t>Pharmaceutical Abstracts,</w:t>
      </w:r>
      <w:r w:rsidR="005853A9">
        <w:rPr>
          <w:kern w:val="0"/>
        </w:rPr>
        <w:t xml:space="preserve"> and </w:t>
      </w:r>
      <w:r w:rsidR="00D5664A">
        <w:rPr>
          <w:kern w:val="0"/>
        </w:rPr>
        <w:t>Web</w:t>
      </w:r>
      <w:r w:rsidR="00427468">
        <w:rPr>
          <w:kern w:val="0"/>
        </w:rPr>
        <w:t xml:space="preserve"> of </w:t>
      </w:r>
      <w:r w:rsidR="00D5664A">
        <w:rPr>
          <w:kern w:val="0"/>
        </w:rPr>
        <w:t>Science</w:t>
      </w:r>
      <w:r w:rsidRPr="001A3D2B">
        <w:rPr>
          <w:kern w:val="0"/>
        </w:rPr>
        <w:t xml:space="preserve"> were searched for English-only clinical trials</w:t>
      </w:r>
      <w:r w:rsidR="005853A9">
        <w:rPr>
          <w:kern w:val="0"/>
        </w:rPr>
        <w:t xml:space="preserve"> and </w:t>
      </w:r>
      <w:r w:rsidRPr="001A3D2B">
        <w:rPr>
          <w:kern w:val="0"/>
        </w:rPr>
        <w:t>reviews (publication dates: 2000-June 1, 2009; key terms: romiplostim, Nplate, ITP,</w:t>
      </w:r>
      <w:r w:rsidR="005853A9">
        <w:rPr>
          <w:kern w:val="0"/>
        </w:rPr>
        <w:t xml:space="preserve"> and </w:t>
      </w:r>
      <w:r w:rsidRPr="001A3D2B">
        <w:rPr>
          <w:kern w:val="0"/>
        </w:rPr>
        <w:t>idiopatbic</w:t>
      </w:r>
      <w:r w:rsidR="005853A9">
        <w:rPr>
          <w:kern w:val="0"/>
        </w:rPr>
        <w:t xml:space="preserve"> and </w:t>
      </w:r>
      <w:r w:rsidRPr="001A3D2B">
        <w:rPr>
          <w:kern w:val="0"/>
        </w:rPr>
        <w:t>immune thrombocytopenic purpura). Abstracts from</w:t>
      </w:r>
      <w:r w:rsidR="003A1917">
        <w:rPr>
          <w:kern w:val="0"/>
        </w:rPr>
        <w:t xml:space="preserve"> the </w:t>
      </w:r>
      <w:r w:rsidRPr="001A3D2B">
        <w:rPr>
          <w:kern w:val="0"/>
        </w:rPr>
        <w:t>2000-2008 meetings</w:t>
      </w:r>
      <w:r w:rsidR="00427468">
        <w:rPr>
          <w:kern w:val="0"/>
        </w:rPr>
        <w:t xml:space="preserve"> of </w:t>
      </w:r>
      <w:r w:rsidR="003A1917">
        <w:rPr>
          <w:kern w:val="0"/>
        </w:rPr>
        <w:t xml:space="preserve">the </w:t>
      </w:r>
      <w:r w:rsidRPr="001A3D2B">
        <w:rPr>
          <w:kern w:val="0"/>
        </w:rPr>
        <w:t>American Society</w:t>
      </w:r>
      <w:r w:rsidR="00427468">
        <w:rPr>
          <w:kern w:val="0"/>
        </w:rPr>
        <w:t xml:space="preserve"> of </w:t>
      </w:r>
      <w:r w:rsidRPr="001A3D2B">
        <w:rPr>
          <w:kern w:val="0"/>
        </w:rPr>
        <w:t>Hematology</w:t>
      </w:r>
      <w:r w:rsidR="005853A9">
        <w:rPr>
          <w:kern w:val="0"/>
        </w:rPr>
        <w:t xml:space="preserve"> and </w:t>
      </w:r>
      <w:r w:rsidRPr="001A3D2B">
        <w:rPr>
          <w:kern w:val="0"/>
        </w:rPr>
        <w:t>references from relevant articles were reviewed. Results: A total</w:t>
      </w:r>
      <w:r w:rsidR="00427468">
        <w:rPr>
          <w:kern w:val="0"/>
        </w:rPr>
        <w:t xml:space="preserve"> of </w:t>
      </w:r>
      <w:r w:rsidRPr="001A3D2B">
        <w:rPr>
          <w:kern w:val="0"/>
        </w:rPr>
        <w:t>6 studies were included. Romiplostim is</w:t>
      </w:r>
      <w:r w:rsidR="003A1917">
        <w:rPr>
          <w:kern w:val="0"/>
        </w:rPr>
        <w:t xml:space="preserve"> the </w:t>
      </w:r>
      <w:r w:rsidRPr="001A3D2B">
        <w:rPr>
          <w:kern w:val="0"/>
        </w:rPr>
        <w:t>first marketed agent developed to directly stimulate</w:t>
      </w:r>
      <w:r w:rsidR="003A1917">
        <w:rPr>
          <w:kern w:val="0"/>
        </w:rPr>
        <w:t xml:space="preserve"> the </w:t>
      </w:r>
      <w:r w:rsidRPr="001A3D2B">
        <w:rPr>
          <w:kern w:val="0"/>
        </w:rPr>
        <w:t>bone marrow to produce platelets. Produced in Escberichia coli using recombinant DNA technology, it is an Fc-peptide fusion protein. It works intracellularly in a manner similar to that</w:t>
      </w:r>
      <w:r w:rsidR="00427468">
        <w:rPr>
          <w:kern w:val="0"/>
        </w:rPr>
        <w:t xml:space="preserve"> of </w:t>
      </w:r>
      <w:r w:rsidR="003A1917">
        <w:rPr>
          <w:kern w:val="0"/>
        </w:rPr>
        <w:t xml:space="preserve">the </w:t>
      </w:r>
      <w:r w:rsidRPr="001A3D2B">
        <w:rPr>
          <w:kern w:val="0"/>
        </w:rPr>
        <w:t>naturally occurring TPO to activate</w:t>
      </w:r>
      <w:r w:rsidR="003A1917">
        <w:rPr>
          <w:kern w:val="0"/>
        </w:rPr>
        <w:t xml:space="preserve"> the </w:t>
      </w:r>
      <w:r w:rsidRPr="001A3D2B">
        <w:rPr>
          <w:kern w:val="0"/>
        </w:rPr>
        <w:t>transcriptional pathways, leading to increased platelet production via stimulation</w:t>
      </w:r>
      <w:r w:rsidR="00427468">
        <w:rPr>
          <w:kern w:val="0"/>
        </w:rPr>
        <w:t xml:space="preserve"> of </w:t>
      </w:r>
      <w:r w:rsidR="003A1917">
        <w:rPr>
          <w:kern w:val="0"/>
        </w:rPr>
        <w:t xml:space="preserve">the </w:t>
      </w:r>
      <w:r w:rsidRPr="001A3D2B">
        <w:rPr>
          <w:kern w:val="0"/>
        </w:rPr>
        <w:t>c-Mpl receptor. Romiplostim was approved by</w:t>
      </w:r>
      <w:r w:rsidR="003A1917">
        <w:rPr>
          <w:kern w:val="0"/>
        </w:rPr>
        <w:t xml:space="preserve"> the </w:t>
      </w:r>
      <w:r w:rsidRPr="001A3D2B">
        <w:rPr>
          <w:kern w:val="0"/>
        </w:rPr>
        <w:t>US Food</w:t>
      </w:r>
      <w:r w:rsidR="005853A9">
        <w:rPr>
          <w:kern w:val="0"/>
        </w:rPr>
        <w:t xml:space="preserve"> and </w:t>
      </w:r>
      <w:r w:rsidRPr="001A3D2B">
        <w:rPr>
          <w:kern w:val="0"/>
        </w:rPr>
        <w:t>Drug Administration for</w:t>
      </w:r>
      <w:r w:rsidR="003A1917">
        <w:rPr>
          <w:kern w:val="0"/>
        </w:rPr>
        <w:t xml:space="preserve"> the </w:t>
      </w:r>
      <w:r w:rsidRPr="001A3D2B">
        <w:rPr>
          <w:kern w:val="0"/>
        </w:rPr>
        <w:t>treatment</w:t>
      </w:r>
      <w:r w:rsidR="00427468">
        <w:rPr>
          <w:kern w:val="0"/>
        </w:rPr>
        <w:t xml:space="preserve"> of </w:t>
      </w:r>
      <w:r w:rsidRPr="001A3D2B">
        <w:rPr>
          <w:kern w:val="0"/>
        </w:rPr>
        <w:t>chronic ITP primarily based on</w:t>
      </w:r>
      <w:r w:rsidR="003A1917">
        <w:rPr>
          <w:kern w:val="0"/>
        </w:rPr>
        <w:t xml:space="preserve"> the </w:t>
      </w:r>
      <w:r w:rsidRPr="001A3D2B">
        <w:rPr>
          <w:kern w:val="0"/>
        </w:rPr>
        <w:t>findings from 2 multicenter, randomized, placebo- controlled, parallel-group studies in 125 adult patients with chronic ITP</w:t>
      </w:r>
      <w:r w:rsidR="005853A9">
        <w:rPr>
          <w:kern w:val="0"/>
        </w:rPr>
        <w:t xml:space="preserve"> and </w:t>
      </w:r>
      <w:r w:rsidRPr="001A3D2B">
        <w:rPr>
          <w:kern w:val="0"/>
        </w:rPr>
        <w:t>an insufficient response to corticosteroids, IVIg, and/or splenectomy</w:t>
      </w:r>
      <w:r w:rsidR="00A37C1D">
        <w:rPr>
          <w:kern w:val="0"/>
        </w:rPr>
        <w:t>. The</w:t>
      </w:r>
      <w:r w:rsidR="003A1917">
        <w:rPr>
          <w:kern w:val="0"/>
        </w:rPr>
        <w:t xml:space="preserve"> </w:t>
      </w:r>
      <w:r w:rsidRPr="001A3D2B">
        <w:rPr>
          <w:kern w:val="0"/>
        </w:rPr>
        <w:t>most common prior treatments were corticosterolds (94%)</w:t>
      </w:r>
      <w:r w:rsidR="005853A9">
        <w:rPr>
          <w:kern w:val="0"/>
        </w:rPr>
        <w:t xml:space="preserve"> and </w:t>
      </w:r>
      <w:r w:rsidRPr="001A3D2B">
        <w:rPr>
          <w:kern w:val="0"/>
        </w:rPr>
        <w:t>IVIg (80%). Sixty-three patients (50%) were splenectomized a median</w:t>
      </w:r>
      <w:r w:rsidR="00427468">
        <w:rPr>
          <w:kern w:val="0"/>
        </w:rPr>
        <w:t xml:space="preserve"> of </w:t>
      </w:r>
      <w:r w:rsidRPr="001A3D2B">
        <w:rPr>
          <w:kern w:val="0"/>
        </w:rPr>
        <w:t>6.6 years earlier. Baseline platelet counts were &lt;30 x 10(9) cells/L</w:t>
      </w:r>
      <w:r w:rsidR="00A37C1D">
        <w:rPr>
          <w:kern w:val="0"/>
        </w:rPr>
        <w:t>. The</w:t>
      </w:r>
      <w:r w:rsidR="003A1917">
        <w:rPr>
          <w:kern w:val="0"/>
        </w:rPr>
        <w:t xml:space="preserve"> </w:t>
      </w:r>
      <w:r w:rsidRPr="001A3D2B">
        <w:rPr>
          <w:kern w:val="0"/>
        </w:rPr>
        <w:t>initial dose</w:t>
      </w:r>
      <w:r w:rsidR="00427468">
        <w:rPr>
          <w:kern w:val="0"/>
        </w:rPr>
        <w:t xml:space="preserve"> of </w:t>
      </w:r>
      <w:r w:rsidRPr="001A3D2B">
        <w:rPr>
          <w:kern w:val="0"/>
        </w:rPr>
        <w:t xml:space="preserve">romiplostim was 1 </w:t>
      </w:r>
      <w:r w:rsidR="0002298A">
        <w:rPr>
          <w:kern w:val="0"/>
        </w:rPr>
        <w:sym w:font="Symbol" w:char="F06D"/>
      </w:r>
      <w:r w:rsidRPr="001A3D2B">
        <w:rPr>
          <w:kern w:val="0"/>
        </w:rPr>
        <w:t>g/kg/wk SC, with adjustments to maintain platelet counts between 50</w:t>
      </w:r>
      <w:r w:rsidR="005853A9">
        <w:rPr>
          <w:kern w:val="0"/>
        </w:rPr>
        <w:t xml:space="preserve"> and </w:t>
      </w:r>
      <w:r w:rsidRPr="001A3D2B">
        <w:rPr>
          <w:kern w:val="0"/>
        </w:rPr>
        <w:t>200 x 109 cells/L</w:t>
      </w:r>
      <w:r w:rsidR="00A37C1D">
        <w:rPr>
          <w:kern w:val="0"/>
        </w:rPr>
        <w:t>. The</w:t>
      </w:r>
      <w:r w:rsidR="003A1917">
        <w:rPr>
          <w:kern w:val="0"/>
        </w:rPr>
        <w:t xml:space="preserve"> </w:t>
      </w:r>
      <w:r w:rsidRPr="001A3D2B">
        <w:rPr>
          <w:kern w:val="0"/>
        </w:rPr>
        <w:t>primary end point was a durable platelet response (&gt;= 50 x 10(9) cells/L for &gt;= 6</w:t>
      </w:r>
      <w:r w:rsidR="00427468">
        <w:rPr>
          <w:kern w:val="0"/>
        </w:rPr>
        <w:t xml:space="preserve"> of </w:t>
      </w:r>
      <w:r w:rsidR="003A1917">
        <w:rPr>
          <w:kern w:val="0"/>
        </w:rPr>
        <w:t xml:space="preserve">the </w:t>
      </w:r>
      <w:r w:rsidRPr="001A3D2B">
        <w:rPr>
          <w:kern w:val="0"/>
        </w:rPr>
        <w:t>last 8 weeks</w:t>
      </w:r>
      <w:r w:rsidR="00427468">
        <w:rPr>
          <w:kern w:val="0"/>
        </w:rPr>
        <w:t xml:space="preserve"> of </w:t>
      </w:r>
      <w:r w:rsidRPr="001A3D2B">
        <w:rPr>
          <w:kern w:val="0"/>
        </w:rPr>
        <w:t>treatment)</w:t>
      </w:r>
      <w:r w:rsidR="00A37C1D">
        <w:rPr>
          <w:kern w:val="0"/>
        </w:rPr>
        <w:t>. The</w:t>
      </w:r>
      <w:r w:rsidR="003A1917">
        <w:rPr>
          <w:kern w:val="0"/>
        </w:rPr>
        <w:t xml:space="preserve"> </w:t>
      </w:r>
      <w:r w:rsidRPr="001A3D2B">
        <w:rPr>
          <w:kern w:val="0"/>
        </w:rPr>
        <w:t>proportion</w:t>
      </w:r>
      <w:r w:rsidR="00427468">
        <w:rPr>
          <w:kern w:val="0"/>
        </w:rPr>
        <w:t xml:space="preserve"> of </w:t>
      </w:r>
      <w:r w:rsidRPr="001A3D2B">
        <w:rPr>
          <w:kern w:val="0"/>
        </w:rPr>
        <w:t>patients in whom a durable platelet response was achieved was significantly greater with romiplostim than with placebo (49% vs 2%, respectively; P &lt; 0.001). Overall platelet responses (durable plus transient) were achieved in 83% (69/83) with romiplostim</w:t>
      </w:r>
      <w:r w:rsidR="005853A9">
        <w:rPr>
          <w:kern w:val="0"/>
        </w:rPr>
        <w:t xml:space="preserve"> and </w:t>
      </w:r>
      <w:r w:rsidRPr="001A3D2B">
        <w:rPr>
          <w:kern w:val="0"/>
        </w:rPr>
        <w:t>7% (3/42) with placebo (P &lt; 0.001). An interim report</w:t>
      </w:r>
      <w:r w:rsidR="00427468">
        <w:rPr>
          <w:kern w:val="0"/>
        </w:rPr>
        <w:t xml:space="preserve"> of </w:t>
      </w:r>
      <w:r w:rsidRPr="001A3D2B">
        <w:rPr>
          <w:kern w:val="0"/>
        </w:rPr>
        <w:t>findings from an ongoing extension study found that response was maintained for up to 156 weeks (median, 69 weeks) with romiplostim</w:t>
      </w:r>
      <w:r w:rsidR="00A37C1D">
        <w:rPr>
          <w:kern w:val="0"/>
        </w:rPr>
        <w:t>. The</w:t>
      </w:r>
      <w:r w:rsidR="003A1917">
        <w:rPr>
          <w:kern w:val="0"/>
        </w:rPr>
        <w:t xml:space="preserve"> </w:t>
      </w:r>
      <w:r w:rsidRPr="001A3D2B">
        <w:rPr>
          <w:kern w:val="0"/>
        </w:rPr>
        <w:t>most common adverse events were headache (37%), nasopharyngitis (32%), contusion (30%), epistaxt</w:t>
      </w:r>
      <w:r w:rsidR="0071223E">
        <w:rPr>
          <w:kern w:val="0"/>
        </w:rPr>
        <w:t>’</w:t>
      </w:r>
      <w:r w:rsidR="00C13DDC">
        <w:rPr>
          <w:kern w:val="0"/>
        </w:rPr>
        <w:t>s</w:t>
      </w:r>
      <w:r w:rsidRPr="001A3D2B">
        <w:rPr>
          <w:kern w:val="0"/>
        </w:rPr>
        <w:t xml:space="preserve"> (30%), fatigue (30%), arthralgia (25%),</w:t>
      </w:r>
      <w:r w:rsidR="005853A9">
        <w:rPr>
          <w:kern w:val="0"/>
        </w:rPr>
        <w:t xml:space="preserve"> and </w:t>
      </w:r>
      <w:r w:rsidRPr="001A3D2B">
        <w:rPr>
          <w:kern w:val="0"/>
        </w:rPr>
        <w:t>diarrhea (25%). Conclusions: Based on</w:t>
      </w:r>
      <w:r w:rsidR="003A1917">
        <w:rPr>
          <w:kern w:val="0"/>
        </w:rPr>
        <w:t xml:space="preserve"> the </w:t>
      </w:r>
      <w:r w:rsidRPr="001A3D2B">
        <w:rPr>
          <w:kern w:val="0"/>
        </w:rPr>
        <w:t>findings from this review, romiplostim administration has been associated with a durable platelet response in these patients with refractory chronic ITP. Romiplostim has been found to be generally well tolerated. (Clin Ther. 2009;31: 1887-1907) (C) 2009 Excerpta Medica Inc.</w:t>
      </w:r>
    </w:p>
    <w:p w:rsidR="00850CCA" w:rsidRPr="001A3D2B" w:rsidRDefault="00850CCA" w:rsidP="00850CCA">
      <w:pPr>
        <w:pStyle w:val="a3"/>
        <w:rPr>
          <w:kern w:val="0"/>
        </w:rPr>
      </w:pPr>
      <w:r w:rsidRPr="001A3D2B">
        <w:rPr>
          <w:kern w:val="0"/>
        </w:rPr>
        <w:t>Keywords: Adult Patients, Amg-531, Anti-D Treatment, Children, Chronic ITP, Efficacy, Immune (Idiopathic) Thrombocytopenic Purpura, International, Intravenous Immunoglobulin, ITP, Management, Nplate, Platelet Count, Romiplostim, Thrombopoiesis-Stimulating Peptibody</w:t>
      </w:r>
    </w:p>
    <w:p w:rsidR="00BC6E79" w:rsidRDefault="00BC6E79" w:rsidP="00BC6E79">
      <w:pPr>
        <w:pStyle w:val="a3"/>
        <w:rPr>
          <w:kern w:val="0"/>
        </w:rPr>
      </w:pPr>
      <w:r>
        <w:rPr>
          <w:rFonts w:hint="eastAsia"/>
          <w:kern w:val="0"/>
        </w:rPr>
        <w:t xml:space="preserve">? </w:t>
      </w:r>
      <w:r>
        <w:rPr>
          <w:kern w:val="0"/>
        </w:rPr>
        <w:t>Carroll, C., Cooper, K., Papaioannou, D., Hind, D., Pilgrim, H.</w:t>
      </w:r>
      <w:r w:rsidR="005853A9">
        <w:rPr>
          <w:kern w:val="0"/>
        </w:rPr>
        <w:t xml:space="preserve"> and </w:t>
      </w:r>
      <w:r>
        <w:rPr>
          <w:kern w:val="0"/>
        </w:rPr>
        <w:t>Tappenden, P. (2010), Supplemental calcium in</w:t>
      </w:r>
      <w:r w:rsidR="003A1917">
        <w:rPr>
          <w:kern w:val="0"/>
        </w:rPr>
        <w:t xml:space="preserve"> the </w:t>
      </w:r>
      <w:r>
        <w:rPr>
          <w:kern w:val="0"/>
        </w:rPr>
        <w:t>chemoprevention</w:t>
      </w:r>
      <w:r w:rsidR="00427468">
        <w:rPr>
          <w:kern w:val="0"/>
        </w:rPr>
        <w:t xml:space="preserve"> of </w:t>
      </w:r>
      <w:r>
        <w:rPr>
          <w:kern w:val="0"/>
        </w:rPr>
        <w:t>colorectal cancer: A systematic review</w:t>
      </w:r>
      <w:r w:rsidR="005853A9">
        <w:rPr>
          <w:kern w:val="0"/>
        </w:rPr>
        <w:t xml:space="preserve"> and </w:t>
      </w:r>
      <w:r>
        <w:rPr>
          <w:kern w:val="0"/>
        </w:rPr>
        <w:t xml:space="preserve">meta-analysis. </w:t>
      </w:r>
      <w:r>
        <w:rPr>
          <w:i/>
          <w:iCs/>
          <w:kern w:val="0"/>
        </w:rPr>
        <w:t>Clinical Therapeutics</w:t>
      </w:r>
      <w:r>
        <w:rPr>
          <w:kern w:val="0"/>
        </w:rPr>
        <w:t xml:space="preserve">, </w:t>
      </w:r>
      <w:r>
        <w:rPr>
          <w:b/>
          <w:bCs/>
          <w:kern w:val="0"/>
        </w:rPr>
        <w:t>32</w:t>
      </w:r>
      <w:r>
        <w:rPr>
          <w:kern w:val="0"/>
        </w:rPr>
        <w:t xml:space="preserve"> (5), 789-803.</w:t>
      </w:r>
    </w:p>
    <w:p w:rsidR="00BC6E79" w:rsidRPr="00C73C58" w:rsidRDefault="00BC6E79" w:rsidP="00BC6E79">
      <w:pPr>
        <w:pStyle w:val="a3"/>
      </w:pPr>
      <w:r w:rsidRPr="00C73C58">
        <w:lastRenderedPageBreak/>
        <w:t xml:space="preserve">Full Text: </w:t>
      </w:r>
      <w:hyperlink r:id="rId450" w:history="1">
        <w:r w:rsidR="00D562CB" w:rsidRPr="00D562CB">
          <w:rPr>
            <w:rStyle w:val="a5"/>
          </w:rPr>
          <w:t>2010\Cli The32, 789.pdf</w:t>
        </w:r>
      </w:hyperlink>
    </w:p>
    <w:p w:rsidR="00BC6E79" w:rsidRDefault="00BC6E79" w:rsidP="00BC6E79">
      <w:pPr>
        <w:pStyle w:val="a3"/>
        <w:rPr>
          <w:kern w:val="0"/>
        </w:rPr>
      </w:pPr>
      <w:r>
        <w:rPr>
          <w:kern w:val="0"/>
        </w:rPr>
        <w:t>Abstract: Objective:</w:t>
      </w:r>
      <w:r w:rsidR="003A1917">
        <w:rPr>
          <w:kern w:val="0"/>
        </w:rPr>
        <w:t xml:space="preserve"> the </w:t>
      </w:r>
      <w:r>
        <w:rPr>
          <w:kern w:val="0"/>
        </w:rPr>
        <w:t>aim</w:t>
      </w:r>
      <w:r w:rsidR="00427468">
        <w:rPr>
          <w:kern w:val="0"/>
        </w:rPr>
        <w:t xml:space="preserve"> of </w:t>
      </w:r>
      <w:r w:rsidR="003A1917">
        <w:rPr>
          <w:kern w:val="0"/>
        </w:rPr>
        <w:t xml:space="preserve">the </w:t>
      </w:r>
      <w:r>
        <w:rPr>
          <w:kern w:val="0"/>
        </w:rPr>
        <w:t>review was to assess</w:t>
      </w:r>
      <w:r w:rsidR="003A1917">
        <w:rPr>
          <w:kern w:val="0"/>
        </w:rPr>
        <w:t xml:space="preserve"> the </w:t>
      </w:r>
      <w:r>
        <w:rPr>
          <w:kern w:val="0"/>
        </w:rPr>
        <w:t>evidence for</w:t>
      </w:r>
      <w:r w:rsidR="003A1917">
        <w:rPr>
          <w:kern w:val="0"/>
        </w:rPr>
        <w:t xml:space="preserve"> the </w:t>
      </w:r>
      <w:r>
        <w:rPr>
          <w:kern w:val="0"/>
        </w:rPr>
        <w:t>effectiveness</w:t>
      </w:r>
      <w:r w:rsidR="00427468">
        <w:rPr>
          <w:kern w:val="0"/>
        </w:rPr>
        <w:t xml:space="preserve"> of </w:t>
      </w:r>
      <w:r>
        <w:rPr>
          <w:kern w:val="0"/>
        </w:rPr>
        <w:t>calcium in reducing</w:t>
      </w:r>
      <w:r w:rsidR="003A1917">
        <w:rPr>
          <w:kern w:val="0"/>
        </w:rPr>
        <w:t xml:space="preserve"> the </w:t>
      </w:r>
      <w:r>
        <w:rPr>
          <w:kern w:val="0"/>
        </w:rPr>
        <w:t>recurrence</w:t>
      </w:r>
      <w:r w:rsidR="00427468">
        <w:rPr>
          <w:kern w:val="0"/>
        </w:rPr>
        <w:t xml:space="preserve"> of </w:t>
      </w:r>
      <w:r>
        <w:rPr>
          <w:kern w:val="0"/>
        </w:rPr>
        <w:t>adenomas</w:t>
      </w:r>
      <w:r w:rsidR="005853A9">
        <w:rPr>
          <w:kern w:val="0"/>
        </w:rPr>
        <w:t xml:space="preserve"> and </w:t>
      </w:r>
      <w:r w:rsidR="003A1917">
        <w:rPr>
          <w:kern w:val="0"/>
        </w:rPr>
        <w:t xml:space="preserve">the </w:t>
      </w:r>
      <w:r>
        <w:rPr>
          <w:kern w:val="0"/>
        </w:rPr>
        <w:t>occurrence</w:t>
      </w:r>
      <w:r w:rsidR="00427468">
        <w:rPr>
          <w:kern w:val="0"/>
        </w:rPr>
        <w:t xml:space="preserve"> of </w:t>
      </w:r>
      <w:r>
        <w:rPr>
          <w:kern w:val="0"/>
        </w:rPr>
        <w:t>colorectal cancer among populations at high, intermediate,</w:t>
      </w:r>
      <w:r w:rsidR="005853A9">
        <w:rPr>
          <w:kern w:val="0"/>
        </w:rPr>
        <w:t xml:space="preserve"> and </w:t>
      </w:r>
      <w:r>
        <w:rPr>
          <w:kern w:val="0"/>
        </w:rPr>
        <w:t>low risk</w:t>
      </w:r>
      <w:r w:rsidR="00427468">
        <w:rPr>
          <w:kern w:val="0"/>
        </w:rPr>
        <w:t xml:space="preserve"> of </w:t>
      </w:r>
      <w:r w:rsidR="003A1917">
        <w:rPr>
          <w:kern w:val="0"/>
        </w:rPr>
        <w:t xml:space="preserve">the </w:t>
      </w:r>
      <w:r>
        <w:rPr>
          <w:kern w:val="0"/>
        </w:rPr>
        <w:t>disease. Methods: A systematic review</w:t>
      </w:r>
      <w:r w:rsidR="00427468">
        <w:rPr>
          <w:kern w:val="0"/>
        </w:rPr>
        <w:t xml:space="preserve"> of </w:t>
      </w:r>
      <w:r>
        <w:rPr>
          <w:kern w:val="0"/>
        </w:rPr>
        <w:t>randomized controlled trials (RCTs) was performed to compare calcium alone,</w:t>
      </w:r>
      <w:r w:rsidR="005853A9">
        <w:rPr>
          <w:kern w:val="0"/>
        </w:rPr>
        <w:t xml:space="preserve"> and </w:t>
      </w:r>
      <w:r>
        <w:rPr>
          <w:kern w:val="0"/>
        </w:rPr>
        <w:t xml:space="preserve">with other agents, versus placebo. Nine data-bases (Cochrane Library, </w:t>
      </w:r>
      <w:r w:rsidR="00D5664A">
        <w:rPr>
          <w:kern w:val="0"/>
        </w:rPr>
        <w:t>MEDLINE</w:t>
      </w:r>
      <w:r>
        <w:rPr>
          <w:kern w:val="0"/>
        </w:rPr>
        <w:t>, Pre</w:t>
      </w:r>
      <w:r w:rsidR="00D5664A">
        <w:rPr>
          <w:kern w:val="0"/>
        </w:rPr>
        <w:t>MEDLINE</w:t>
      </w:r>
      <w:r>
        <w:rPr>
          <w:kern w:val="0"/>
        </w:rPr>
        <w:t xml:space="preserve">, CINAHL, EMBASE, </w:t>
      </w:r>
      <w:r w:rsidR="00D5664A">
        <w:rPr>
          <w:kern w:val="0"/>
        </w:rPr>
        <w:t>Web</w:t>
      </w:r>
      <w:r w:rsidR="00427468">
        <w:rPr>
          <w:kern w:val="0"/>
        </w:rPr>
        <w:t xml:space="preserve"> of </w:t>
      </w:r>
      <w:r w:rsidR="00D5664A">
        <w:rPr>
          <w:kern w:val="0"/>
        </w:rPr>
        <w:t>Science</w:t>
      </w:r>
      <w:r>
        <w:rPr>
          <w:kern w:val="0"/>
        </w:rPr>
        <w:t>, Biological Abstracts,</w:t>
      </w:r>
      <w:r w:rsidR="003A1917">
        <w:rPr>
          <w:kern w:val="0"/>
        </w:rPr>
        <w:t xml:space="preserve"> the </w:t>
      </w:r>
      <w:r>
        <w:rPr>
          <w:kern w:val="0"/>
        </w:rPr>
        <w:t>National Research Register,</w:t>
      </w:r>
      <w:r w:rsidR="005853A9">
        <w:rPr>
          <w:kern w:val="0"/>
        </w:rPr>
        <w:t xml:space="preserve"> and </w:t>
      </w:r>
      <w:r>
        <w:rPr>
          <w:kern w:val="0"/>
        </w:rPr>
        <w:t>Current Controlled Trials) were searched for published</w:t>
      </w:r>
      <w:r w:rsidR="005853A9">
        <w:rPr>
          <w:kern w:val="0"/>
        </w:rPr>
        <w:t xml:space="preserve"> and </w:t>
      </w:r>
      <w:r>
        <w:rPr>
          <w:kern w:val="0"/>
        </w:rPr>
        <w:t>unpublished trials. Searches were not restricted by either language or date</w:t>
      </w:r>
      <w:r w:rsidR="00427468">
        <w:rPr>
          <w:kern w:val="0"/>
        </w:rPr>
        <w:t xml:space="preserve"> of </w:t>
      </w:r>
      <w:r>
        <w:rPr>
          <w:kern w:val="0"/>
        </w:rPr>
        <w:t>publication. All searches were completed in January 2010. Database thesaurus</w:t>
      </w:r>
      <w:r w:rsidR="005853A9">
        <w:rPr>
          <w:kern w:val="0"/>
        </w:rPr>
        <w:t xml:space="preserve"> and </w:t>
      </w:r>
      <w:r>
        <w:rPr>
          <w:kern w:val="0"/>
        </w:rPr>
        <w:t>free text terms for calcium</w:t>
      </w:r>
      <w:r w:rsidR="005853A9">
        <w:rPr>
          <w:kern w:val="0"/>
        </w:rPr>
        <w:t xml:space="preserve"> and </w:t>
      </w:r>
      <w:r>
        <w:rPr>
          <w:kern w:val="0"/>
        </w:rPr>
        <w:t>adenomas or colorectal cancer were used to search for trial reports; additional terms were used to search for other agents</w:t>
      </w:r>
      <w:r w:rsidR="00427468">
        <w:rPr>
          <w:kern w:val="0"/>
        </w:rPr>
        <w:t xml:space="preserve"> of </w:t>
      </w:r>
      <w:r>
        <w:rPr>
          <w:kern w:val="0"/>
        </w:rPr>
        <w:t>interest, such as NSAIDs</w:t>
      </w:r>
      <w:r w:rsidR="005853A9">
        <w:rPr>
          <w:kern w:val="0"/>
        </w:rPr>
        <w:t xml:space="preserve"> and </w:t>
      </w:r>
      <w:r>
        <w:rPr>
          <w:kern w:val="0"/>
        </w:rPr>
        <w:t>folic acid. Search terms consisted</w:t>
      </w:r>
      <w:r w:rsidR="00427468">
        <w:rPr>
          <w:kern w:val="0"/>
        </w:rPr>
        <w:t xml:space="preserve"> of </w:t>
      </w:r>
      <w:r>
        <w:rPr>
          <w:kern w:val="0"/>
        </w:rPr>
        <w:t>a combination</w:t>
      </w:r>
      <w:r w:rsidR="00427468">
        <w:rPr>
          <w:kern w:val="0"/>
        </w:rPr>
        <w:t xml:space="preserve"> of </w:t>
      </w:r>
      <w:r>
        <w:rPr>
          <w:kern w:val="0"/>
        </w:rPr>
        <w:t>terms for colorectal cancer (eg, colon or colorectal</w:t>
      </w:r>
      <w:r w:rsidR="005853A9">
        <w:rPr>
          <w:kern w:val="0"/>
        </w:rPr>
        <w:t xml:space="preserve"> and </w:t>
      </w:r>
      <w:r>
        <w:rPr>
          <w:kern w:val="0"/>
        </w:rPr>
        <w:t>neoplasm or cancer or adenoma)</w:t>
      </w:r>
      <w:r w:rsidR="005853A9">
        <w:rPr>
          <w:kern w:val="0"/>
        </w:rPr>
        <w:t xml:space="preserve"> and </w:t>
      </w:r>
      <w:r>
        <w:rPr>
          <w:kern w:val="0"/>
        </w:rPr>
        <w:t>terms for calcium</w:t>
      </w:r>
      <w:r w:rsidR="005853A9">
        <w:rPr>
          <w:kern w:val="0"/>
        </w:rPr>
        <w:t xml:space="preserve"> and </w:t>
      </w:r>
      <w:r>
        <w:rPr>
          <w:kern w:val="0"/>
        </w:rPr>
        <w:t>RCTs</w:t>
      </w:r>
      <w:r w:rsidR="00A37C1D">
        <w:rPr>
          <w:kern w:val="0"/>
        </w:rPr>
        <w:t>. The</w:t>
      </w:r>
      <w:r w:rsidR="003A1917">
        <w:rPr>
          <w:kern w:val="0"/>
        </w:rPr>
        <w:t xml:space="preserve"> </w:t>
      </w:r>
      <w:r>
        <w:rPr>
          <w:kern w:val="0"/>
        </w:rPr>
        <w:t>initial searches were conducted in June 2008, with update searches in January 2010 to identify more recent studies</w:t>
      </w:r>
      <w:r w:rsidR="00A37C1D">
        <w:rPr>
          <w:kern w:val="0"/>
        </w:rPr>
        <w:t>. The</w:t>
      </w:r>
      <w:r w:rsidR="003A1917">
        <w:rPr>
          <w:kern w:val="0"/>
        </w:rPr>
        <w:t xml:space="preserve"> </w:t>
      </w:r>
      <w:r>
        <w:rPr>
          <w:kern w:val="0"/>
        </w:rPr>
        <w:t>reference lists</w:t>
      </w:r>
      <w:r w:rsidR="00427468">
        <w:rPr>
          <w:kern w:val="0"/>
        </w:rPr>
        <w:t xml:space="preserve"> of </w:t>
      </w:r>
      <w:r>
        <w:rPr>
          <w:kern w:val="0"/>
        </w:rPr>
        <w:t>relevant studies were also searched for additional papers not identified by</w:t>
      </w:r>
      <w:r w:rsidR="003A1917">
        <w:rPr>
          <w:kern w:val="0"/>
        </w:rPr>
        <w:t xml:space="preserve"> the </w:t>
      </w:r>
      <w:r>
        <w:rPr>
          <w:kern w:val="0"/>
        </w:rPr>
        <w:t>search</w:t>
      </w:r>
      <w:r w:rsidR="00427468">
        <w:rPr>
          <w:kern w:val="0"/>
        </w:rPr>
        <w:t xml:space="preserve"> of </w:t>
      </w:r>
      <w:r>
        <w:rPr>
          <w:kern w:val="0"/>
        </w:rPr>
        <w:t>electronic databases. Studies had to satisfy</w:t>
      </w:r>
      <w:r w:rsidR="003A1917">
        <w:rPr>
          <w:kern w:val="0"/>
        </w:rPr>
        <w:t xml:space="preserve"> the </w:t>
      </w:r>
      <w:r>
        <w:rPr>
          <w:kern w:val="0"/>
        </w:rPr>
        <w:t>following criteria to be included: RCTs about calcium, with or without other chemopreventive agents, in adults with familial adenomatous polyposis (FAP), hereditary nonpolyposis colorectal cancer, or a history</w:t>
      </w:r>
      <w:r w:rsidR="00427468">
        <w:rPr>
          <w:kern w:val="0"/>
        </w:rPr>
        <w:t xml:space="preserve"> of </w:t>
      </w:r>
      <w:r>
        <w:rPr>
          <w:kern w:val="0"/>
        </w:rPr>
        <w:t>colorectal adenomas, or with no increased baseline risk</w:t>
      </w:r>
      <w:r w:rsidR="00427468">
        <w:rPr>
          <w:kern w:val="0"/>
        </w:rPr>
        <w:t xml:space="preserve"> of </w:t>
      </w:r>
      <w:r>
        <w:rPr>
          <w:kern w:val="0"/>
        </w:rPr>
        <w:t>colorectal cancer. Meta-analysis was performed. For discrete</w:t>
      </w:r>
      <w:r w:rsidR="005853A9">
        <w:rPr>
          <w:kern w:val="0"/>
        </w:rPr>
        <w:t xml:space="preserve"> and </w:t>
      </w:r>
      <w:r>
        <w:rPr>
          <w:kern w:val="0"/>
        </w:rPr>
        <w:t>numerical outcomes, relative risks (RRs)</w:t>
      </w:r>
      <w:r w:rsidR="005853A9">
        <w:rPr>
          <w:kern w:val="0"/>
        </w:rPr>
        <w:t xml:space="preserve"> and </w:t>
      </w:r>
      <w:r>
        <w:rPr>
          <w:kern w:val="0"/>
        </w:rPr>
        <w:t>risk differences were reported with 95% CIs</w:t>
      </w:r>
      <w:r w:rsidR="00A37C1D">
        <w:rPr>
          <w:kern w:val="0"/>
        </w:rPr>
        <w:t>. The</w:t>
      </w:r>
      <w:r w:rsidR="003A1917">
        <w:rPr>
          <w:kern w:val="0"/>
        </w:rPr>
        <w:t xml:space="preserve"> </w:t>
      </w:r>
      <w:r>
        <w:rPr>
          <w:kern w:val="0"/>
        </w:rPr>
        <w:t>random-effects model was used to account for clinical</w:t>
      </w:r>
      <w:r w:rsidR="005853A9">
        <w:rPr>
          <w:kern w:val="0"/>
        </w:rPr>
        <w:t xml:space="preserve"> and </w:t>
      </w:r>
      <w:r>
        <w:rPr>
          <w:kern w:val="0"/>
        </w:rPr>
        <w:t>methodologic variations between trials. Results:</w:t>
      </w:r>
      <w:r w:rsidR="003A1917">
        <w:rPr>
          <w:kern w:val="0"/>
        </w:rPr>
        <w:t xml:space="preserve"> the </w:t>
      </w:r>
      <w:r>
        <w:rPr>
          <w:kern w:val="0"/>
        </w:rPr>
        <w:t>original</w:t>
      </w:r>
      <w:r w:rsidR="005853A9">
        <w:rPr>
          <w:kern w:val="0"/>
        </w:rPr>
        <w:t xml:space="preserve"> and </w:t>
      </w:r>
      <w:r>
        <w:rPr>
          <w:kern w:val="0"/>
        </w:rPr>
        <w:t>update searches</w:t>
      </w:r>
      <w:r w:rsidR="00427468">
        <w:rPr>
          <w:kern w:val="0"/>
        </w:rPr>
        <w:t xml:space="preserve"> of </w:t>
      </w:r>
      <w:r>
        <w:rPr>
          <w:kern w:val="0"/>
        </w:rPr>
        <w:t>electronic databases produced 3835 citations,</w:t>
      </w:r>
      <w:r w:rsidR="00427468">
        <w:rPr>
          <w:kern w:val="0"/>
        </w:rPr>
        <w:t xml:space="preserve"> of </w:t>
      </w:r>
      <w:r>
        <w:rPr>
          <w:kern w:val="0"/>
        </w:rPr>
        <w:t>which 6 studies (8 papers) met</w:t>
      </w:r>
      <w:r w:rsidR="003A1917">
        <w:rPr>
          <w:kern w:val="0"/>
        </w:rPr>
        <w:t xml:space="preserve"> the </w:t>
      </w:r>
      <w:r>
        <w:rPr>
          <w:kern w:val="0"/>
        </w:rPr>
        <w:t>inclusion criteria. Supplemental calcium had no effect on</w:t>
      </w:r>
      <w:r w:rsidR="003A1917">
        <w:rPr>
          <w:kern w:val="0"/>
        </w:rPr>
        <w:t xml:space="preserve"> the </w:t>
      </w:r>
      <w:r>
        <w:rPr>
          <w:kern w:val="0"/>
        </w:rPr>
        <w:t>number</w:t>
      </w:r>
      <w:r w:rsidR="00427468">
        <w:rPr>
          <w:kern w:val="0"/>
        </w:rPr>
        <w:t xml:space="preserve"> of </w:t>
      </w:r>
      <w:r>
        <w:rPr>
          <w:kern w:val="0"/>
        </w:rPr>
        <w:t>adenomas in 1 small trial</w:t>
      </w:r>
      <w:r w:rsidR="00427468">
        <w:rPr>
          <w:kern w:val="0"/>
        </w:rPr>
        <w:t xml:space="preserve"> of </w:t>
      </w:r>
      <w:r>
        <w:rPr>
          <w:kern w:val="0"/>
        </w:rPr>
        <w:t>patients with FAP. Meta-analysis</w:t>
      </w:r>
      <w:r w:rsidR="00427468">
        <w:rPr>
          <w:kern w:val="0"/>
        </w:rPr>
        <w:t xml:space="preserve"> of </w:t>
      </w:r>
      <w:r>
        <w:rPr>
          <w:kern w:val="0"/>
        </w:rPr>
        <w:t>3 trials in individuals with a history</w:t>
      </w:r>
      <w:r w:rsidR="00427468">
        <w:rPr>
          <w:kern w:val="0"/>
        </w:rPr>
        <w:t xml:space="preserve"> of </w:t>
      </w:r>
      <w:r>
        <w:rPr>
          <w:kern w:val="0"/>
        </w:rPr>
        <w:t>adenomas showed a statistically significant reduction in</w:t>
      </w:r>
      <w:r w:rsidR="003A1917">
        <w:rPr>
          <w:kern w:val="0"/>
        </w:rPr>
        <w:t xml:space="preserve"> the </w:t>
      </w:r>
      <w:r>
        <w:rPr>
          <w:kern w:val="0"/>
        </w:rPr>
        <w:t>RR for adenoma recurrence (RR = 0.80 [95% CI, 0.69-0.94], P = 0.006) for those receiving calcium 1 200 to 2000 mg/d, but no effect was seen in advanced adenoma (RR = 0.77 [95% CI, 0.50-1.17], P = NS). Meta-analysis</w:t>
      </w:r>
      <w:r w:rsidR="00427468">
        <w:rPr>
          <w:kern w:val="0"/>
        </w:rPr>
        <w:t xml:space="preserve"> of </w:t>
      </w:r>
      <w:r>
        <w:rPr>
          <w:kern w:val="0"/>
        </w:rPr>
        <w:t>2 trials in populations with no increased baseline risk for colorectal cancer suggested that calcium, with or without vitamin D, had no effect on</w:t>
      </w:r>
      <w:r w:rsidR="003A1917">
        <w:rPr>
          <w:kern w:val="0"/>
        </w:rPr>
        <w:t xml:space="preserve"> the </w:t>
      </w:r>
      <w:r>
        <w:rPr>
          <w:kern w:val="0"/>
        </w:rPr>
        <w:t>RR for colorectal cancer (RR = 0.62 [95% CI, 0.11-3.40], P = NS). Conclusion: Published reports indicated that supplemental calcium was effective for</w:t>
      </w:r>
      <w:r w:rsidR="003A1917">
        <w:rPr>
          <w:kern w:val="0"/>
        </w:rPr>
        <w:t xml:space="preserve"> the </w:t>
      </w:r>
      <w:r>
        <w:rPr>
          <w:kern w:val="0"/>
        </w:rPr>
        <w:t>prevention</w:t>
      </w:r>
      <w:r w:rsidR="00427468">
        <w:rPr>
          <w:kern w:val="0"/>
        </w:rPr>
        <w:t xml:space="preserve"> of </w:t>
      </w:r>
      <w:r>
        <w:rPr>
          <w:kern w:val="0"/>
        </w:rPr>
        <w:t>adenoma recurrence in populations with a history</w:t>
      </w:r>
      <w:r w:rsidR="00427468">
        <w:rPr>
          <w:kern w:val="0"/>
        </w:rPr>
        <w:t xml:space="preserve"> of </w:t>
      </w:r>
      <w:r>
        <w:rPr>
          <w:kern w:val="0"/>
        </w:rPr>
        <w:t>adenomas, but no similar effect was apparent in populations at higher or lower risk. (Clinicaltrials.gov identifier: NCT00486512. (Clin Ther. 2010;32:789-803) (C) 2010 Excerpta Medica Inc.</w:t>
      </w:r>
    </w:p>
    <w:p w:rsidR="00BC6E79" w:rsidRDefault="00BC6E79" w:rsidP="00BC6E79">
      <w:pPr>
        <w:pStyle w:val="a3"/>
        <w:rPr>
          <w:kern w:val="0"/>
        </w:rPr>
      </w:pPr>
      <w:r>
        <w:rPr>
          <w:kern w:val="0"/>
        </w:rPr>
        <w:lastRenderedPageBreak/>
        <w:t xml:space="preserve">Keywords: Adenoma, Adenoma Characteristics, Adenomas, Adults, Antioxidant Supplements, Calcium, Cancer, Carcinoma Sequence, Citations, Cochrane, Colorectal Cancer, Databases, Disease, Effectiveness, EMBASE, Folic Acid, History, Interest, </w:t>
      </w:r>
      <w:r w:rsidR="00D5664A">
        <w:rPr>
          <w:kern w:val="0"/>
        </w:rPr>
        <w:t>MEDLINE</w:t>
      </w:r>
      <w:r>
        <w:rPr>
          <w:kern w:val="0"/>
        </w:rPr>
        <w:t xml:space="preserve">, Meta Analysis, Meta-Analysis, Methods, Model, Outcomes, Papers, Polyps, Prevention, Primary Prevention, Publication, Randomized Controlled Trials, Randomized Controlled-Trials, Recurrence, Recurrence, Research, Review, Risk, Risk, Science, Services-Task-Force, Systematic, Systematic Review, Vitamin D, Vitamin-D Supplementation,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Sarkar-Tyson, M.</w:t>
      </w:r>
      <w:r w:rsidR="005853A9">
        <w:rPr>
          <w:kern w:val="0"/>
        </w:rPr>
        <w:t xml:space="preserve"> and </w:t>
      </w:r>
      <w:r>
        <w:rPr>
          <w:kern w:val="0"/>
        </w:rPr>
        <w:t>Titball, R.W. (2010), Progress toward development</w:t>
      </w:r>
      <w:r w:rsidR="00427468">
        <w:rPr>
          <w:kern w:val="0"/>
        </w:rPr>
        <w:t xml:space="preserve"> of </w:t>
      </w:r>
      <w:r>
        <w:rPr>
          <w:kern w:val="0"/>
        </w:rPr>
        <w:t xml:space="preserve">vaccines against melioidosis: A review. </w:t>
      </w:r>
      <w:r>
        <w:rPr>
          <w:i/>
          <w:iCs/>
          <w:kern w:val="0"/>
        </w:rPr>
        <w:t>Clinical Therapeutics</w:t>
      </w:r>
      <w:r>
        <w:rPr>
          <w:kern w:val="0"/>
        </w:rPr>
        <w:t xml:space="preserve">, </w:t>
      </w:r>
      <w:r>
        <w:rPr>
          <w:b/>
          <w:bCs/>
          <w:kern w:val="0"/>
        </w:rPr>
        <w:t>32</w:t>
      </w:r>
      <w:r>
        <w:rPr>
          <w:kern w:val="0"/>
        </w:rPr>
        <w:t xml:space="preserve"> (8), 1437-1445.</w:t>
      </w:r>
    </w:p>
    <w:p w:rsidR="00AE6EAA" w:rsidRPr="00C73C58" w:rsidRDefault="00AE6EAA" w:rsidP="00AE6EAA">
      <w:pPr>
        <w:pStyle w:val="a3"/>
      </w:pPr>
      <w:r w:rsidRPr="00C73C58">
        <w:t xml:space="preserve">Full Text: </w:t>
      </w:r>
      <w:hyperlink r:id="rId451" w:history="1">
        <w:r w:rsidRPr="00C1632B">
          <w:rPr>
            <w:rStyle w:val="a5"/>
          </w:rPr>
          <w:t>2010\Cli The32, 1437.pdf</w:t>
        </w:r>
      </w:hyperlink>
    </w:p>
    <w:p w:rsidR="00BC6E79" w:rsidRDefault="00BC6E79" w:rsidP="00BC6E79">
      <w:pPr>
        <w:pStyle w:val="a3"/>
        <w:rPr>
          <w:kern w:val="0"/>
        </w:rPr>
      </w:pPr>
      <w:r>
        <w:rPr>
          <w:kern w:val="0"/>
        </w:rPr>
        <w:t>Abstract: Background: Melioidosis is a serious</w:t>
      </w:r>
      <w:r w:rsidR="005853A9">
        <w:rPr>
          <w:kern w:val="0"/>
        </w:rPr>
        <w:t xml:space="preserve"> and </w:t>
      </w:r>
      <w:r>
        <w:rPr>
          <w:kern w:val="0"/>
        </w:rPr>
        <w:t>often fatal disease that is prevalent in subtropical</w:t>
      </w:r>
      <w:r w:rsidR="005853A9">
        <w:rPr>
          <w:kern w:val="0"/>
        </w:rPr>
        <w:t xml:space="preserve"> and </w:t>
      </w:r>
      <w:r>
        <w:rPr>
          <w:kern w:val="0"/>
        </w:rPr>
        <w:t>tropical climates, primarily in at-risk groups (eg, those with diabetes, alcoholism, or other cause</w:t>
      </w:r>
      <w:r w:rsidR="00427468">
        <w:rPr>
          <w:kern w:val="0"/>
        </w:rPr>
        <w:t xml:space="preserve"> of </w:t>
      </w:r>
      <w:r>
        <w:rPr>
          <w:kern w:val="0"/>
        </w:rPr>
        <w:t>immunosuppression). Treatment is often unsuccessful, with infection frequently relapsing. Burkholderia pseudomallei,</w:t>
      </w:r>
      <w:r w:rsidR="003A1917">
        <w:rPr>
          <w:kern w:val="0"/>
        </w:rPr>
        <w:t xml:space="preserve"> the </w:t>
      </w:r>
      <w:r>
        <w:rPr>
          <w:kern w:val="0"/>
        </w:rPr>
        <w:t>etiologic agent</w:t>
      </w:r>
      <w:r w:rsidR="00427468">
        <w:rPr>
          <w:kern w:val="0"/>
        </w:rPr>
        <w:t xml:space="preserve"> of </w:t>
      </w:r>
      <w:r>
        <w:rPr>
          <w:kern w:val="0"/>
        </w:rPr>
        <w:t>melioidosis, is inherently resistant to many antibiotics. Objective: This article reviews available evidence on</w:t>
      </w:r>
      <w:r w:rsidR="003A1917">
        <w:rPr>
          <w:kern w:val="0"/>
        </w:rPr>
        <w:t xml:space="preserve"> the </w:t>
      </w:r>
      <w:r>
        <w:rPr>
          <w:kern w:val="0"/>
        </w:rPr>
        <w:t>development</w:t>
      </w:r>
      <w:r w:rsidR="00427468">
        <w:rPr>
          <w:kern w:val="0"/>
        </w:rPr>
        <w:t xml:space="preserve"> of </w:t>
      </w:r>
      <w:r>
        <w:rPr>
          <w:kern w:val="0"/>
        </w:rPr>
        <w:t>vaccines against melioidosis, including live attenuated vaccines, inactivated whole cell vaccines,</w:t>
      </w:r>
      <w:r w:rsidR="005853A9">
        <w:rPr>
          <w:kern w:val="0"/>
        </w:rPr>
        <w:t xml:space="preserve"> and </w:t>
      </w:r>
      <w:r>
        <w:rPr>
          <w:kern w:val="0"/>
        </w:rPr>
        <w:t xml:space="preserve">recombinant subunit vaccines. Methods: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PUBMED (1950 February 2010) were searched for relevant reports using</w:t>
      </w:r>
      <w:r w:rsidR="003A1917">
        <w:rPr>
          <w:kern w:val="0"/>
        </w:rPr>
        <w:t xml:space="preserve"> the </w:t>
      </w:r>
      <w:r>
        <w:rPr>
          <w:kern w:val="0"/>
        </w:rPr>
        <w:t>term Burkholderia pseudomallei alone</w:t>
      </w:r>
      <w:r w:rsidR="005853A9">
        <w:rPr>
          <w:kern w:val="0"/>
        </w:rPr>
        <w:t xml:space="preserve"> and </w:t>
      </w:r>
      <w:r>
        <w:rPr>
          <w:kern w:val="0"/>
        </w:rPr>
        <w:t>combined with live attenuated vaccine, inactivated vaccine, animal models,</w:t>
      </w:r>
      <w:r w:rsidR="005853A9">
        <w:rPr>
          <w:kern w:val="0"/>
        </w:rPr>
        <w:t xml:space="preserve"> and </w:t>
      </w:r>
      <w:r>
        <w:rPr>
          <w:kern w:val="0"/>
        </w:rPr>
        <w:t>immunity</w:t>
      </w:r>
      <w:r w:rsidR="00A37C1D">
        <w:rPr>
          <w:kern w:val="0"/>
        </w:rPr>
        <w:t>. The</w:t>
      </w:r>
      <w:r w:rsidR="003A1917">
        <w:rPr>
          <w:kern w:val="0"/>
        </w:rPr>
        <w:t xml:space="preserve"> </w:t>
      </w:r>
      <w:r>
        <w:rPr>
          <w:kern w:val="0"/>
        </w:rPr>
        <w:t>reference lists</w:t>
      </w:r>
      <w:r w:rsidR="00427468">
        <w:rPr>
          <w:kern w:val="0"/>
        </w:rPr>
        <w:t xml:space="preserve"> of </w:t>
      </w:r>
      <w:r>
        <w:rPr>
          <w:kern w:val="0"/>
        </w:rPr>
        <w:t>identified articles were reviewed for additional relevant publications. Results: Studies in murine models suggest that protective immunity against B pseudomallei may be induced by a range</w:t>
      </w:r>
      <w:r w:rsidR="00427468">
        <w:rPr>
          <w:kern w:val="0"/>
        </w:rPr>
        <w:t xml:space="preserve"> of </w:t>
      </w:r>
      <w:r>
        <w:rPr>
          <w:kern w:val="0"/>
        </w:rPr>
        <w:t>living</w:t>
      </w:r>
      <w:r w:rsidR="005853A9">
        <w:rPr>
          <w:kern w:val="0"/>
        </w:rPr>
        <w:t xml:space="preserve"> and </w:t>
      </w:r>
      <w:r>
        <w:rPr>
          <w:kern w:val="0"/>
        </w:rPr>
        <w:t>nonliving immunogens</w:t>
      </w:r>
      <w:r w:rsidR="00A37C1D">
        <w:rPr>
          <w:kern w:val="0"/>
        </w:rPr>
        <w:t>. The</w:t>
      </w:r>
      <w:r w:rsidR="003A1917">
        <w:rPr>
          <w:kern w:val="0"/>
        </w:rPr>
        <w:t xml:space="preserve"> </w:t>
      </w:r>
      <w:r>
        <w:rPr>
          <w:kern w:val="0"/>
        </w:rPr>
        <w:t>strongest protective immunity was induced by live attenuated immunogens, although concerns about latency make it unlikely that such vaccines will be appropriate for use in humans. Heat-inactivated immunogens have shown promise,</w:t>
      </w:r>
      <w:r w:rsidR="005853A9">
        <w:rPr>
          <w:kern w:val="0"/>
        </w:rPr>
        <w:t xml:space="preserve"> and </w:t>
      </w:r>
      <w:r>
        <w:rPr>
          <w:kern w:val="0"/>
        </w:rPr>
        <w:t>several candidates for subunit vaccines have been tested. However, in all cases, it has been difficult to achieve induction</w:t>
      </w:r>
      <w:r w:rsidR="00427468">
        <w:rPr>
          <w:kern w:val="0"/>
        </w:rPr>
        <w:t xml:space="preserve"> of </w:t>
      </w:r>
      <w:r>
        <w:rPr>
          <w:kern w:val="0"/>
        </w:rPr>
        <w:t>sterile immunity</w:t>
      </w:r>
      <w:r w:rsidR="005853A9">
        <w:rPr>
          <w:kern w:val="0"/>
        </w:rPr>
        <w:t xml:space="preserve"> and </w:t>
      </w:r>
      <w:r>
        <w:rPr>
          <w:kern w:val="0"/>
        </w:rPr>
        <w:t>protection against airborne infection. Conclusions: Live attenuated mutants</w:t>
      </w:r>
      <w:r w:rsidR="00427468">
        <w:rPr>
          <w:kern w:val="0"/>
        </w:rPr>
        <w:t xml:space="preserve"> of </w:t>
      </w:r>
      <w:r>
        <w:rPr>
          <w:kern w:val="0"/>
        </w:rPr>
        <w:t>B pseudomallei have been found to be</w:t>
      </w:r>
      <w:r w:rsidR="003A1917">
        <w:rPr>
          <w:kern w:val="0"/>
        </w:rPr>
        <w:t xml:space="preserve"> the </w:t>
      </w:r>
      <w:r>
        <w:rPr>
          <w:kern w:val="0"/>
        </w:rPr>
        <w:t>most effective immunogens in mice, although it is unlikely that such mutants would be appropriate for a vaccine against melioidosis in humans</w:t>
      </w:r>
      <w:r w:rsidR="00A37C1D">
        <w:rPr>
          <w:kern w:val="0"/>
        </w:rPr>
        <w:t>. The</w:t>
      </w:r>
      <w:r w:rsidR="003A1917">
        <w:rPr>
          <w:kern w:val="0"/>
        </w:rPr>
        <w:t xml:space="preserve"> </w:t>
      </w:r>
      <w:r>
        <w:rPr>
          <w:kern w:val="0"/>
        </w:rPr>
        <w:t>ongoing challenge is to identify nonliving formulations that are able to induce good protective immunity. Both humoral</w:t>
      </w:r>
      <w:r w:rsidR="005853A9">
        <w:rPr>
          <w:kern w:val="0"/>
        </w:rPr>
        <w:t xml:space="preserve"> and </w:t>
      </w:r>
      <w:r>
        <w:rPr>
          <w:kern w:val="0"/>
        </w:rPr>
        <w:t>cell-mediated immunity are likely to be required. In this respect, naked DNA vaccines have</w:t>
      </w:r>
      <w:r w:rsidR="003A1917">
        <w:rPr>
          <w:kern w:val="0"/>
        </w:rPr>
        <w:t xml:space="preserve"> the </w:t>
      </w:r>
      <w:r>
        <w:rPr>
          <w:kern w:val="0"/>
        </w:rPr>
        <w:t>potential to provide high-level protection. (Clin Then 2010;32:1437-1445) (C) 2010 Excerpta Medica Inc.</w:t>
      </w:r>
    </w:p>
    <w:p w:rsidR="00BC6E79" w:rsidRDefault="00BC6E79" w:rsidP="00BC6E79">
      <w:pPr>
        <w:pStyle w:val="a3"/>
        <w:rPr>
          <w:kern w:val="0"/>
        </w:rPr>
      </w:pPr>
      <w:r>
        <w:rPr>
          <w:kern w:val="0"/>
        </w:rPr>
        <w:t xml:space="preserve">Keywords: Adaptive Immunity, Alcoholism, Antibiotics, Burkholderia-Pseudomallei Infection, Capsular Polysaccharide, Cell-Mediated-Immunity, Development, </w:t>
      </w:r>
      <w:r>
        <w:rPr>
          <w:kern w:val="0"/>
        </w:rPr>
        <w:lastRenderedPageBreak/>
        <w:t xml:space="preserve">Diabetes, Disease, Dna, Gene-Expression, Humans, Inactivated Vaccines, Induced, Infection, Live Vaccines, Melioidosis, Methods, Murine Model, Protective Efficacy, Publications, PUBMED, Review, Science, Septicemic Melioidosis, Signature-Tagged Mutagenesis, Subunit Vaccines, T-Cells, Vaccine, Vaccines, </w:t>
      </w:r>
      <w:r w:rsidR="00D5664A">
        <w:rPr>
          <w:kern w:val="0"/>
        </w:rPr>
        <w:t>Web</w:t>
      </w:r>
      <w:r w:rsidR="00427468">
        <w:rPr>
          <w:kern w:val="0"/>
        </w:rPr>
        <w:t xml:space="preserve"> of </w:t>
      </w:r>
      <w:r w:rsidR="00D5664A">
        <w:rPr>
          <w:kern w:val="0"/>
        </w:rPr>
        <w:t>Science</w:t>
      </w:r>
    </w:p>
    <w:p w:rsidR="007B0AB0" w:rsidRDefault="007B0AB0" w:rsidP="007B0AB0">
      <w:pPr>
        <w:pStyle w:val="a3"/>
        <w:rPr>
          <w:kern w:val="0"/>
          <w:szCs w:val="24"/>
        </w:rPr>
      </w:pPr>
      <w:r>
        <w:rPr>
          <w:rFonts w:hint="eastAsia"/>
          <w:kern w:val="0"/>
          <w:szCs w:val="24"/>
        </w:rPr>
        <w:t xml:space="preserve">? </w:t>
      </w:r>
      <w:r>
        <w:rPr>
          <w:kern w:val="0"/>
          <w:szCs w:val="24"/>
        </w:rPr>
        <w:t>Zhao, S.H., Liu, E.Q., Chen, P., Cheng, D.X., Lu, S.M., Yu, Q., Wang, Y.L., Wei, K.N.</w:t>
      </w:r>
      <w:r w:rsidR="005853A9">
        <w:rPr>
          <w:kern w:val="0"/>
          <w:szCs w:val="24"/>
        </w:rPr>
        <w:t xml:space="preserve"> and </w:t>
      </w:r>
      <w:r>
        <w:rPr>
          <w:kern w:val="0"/>
          <w:szCs w:val="24"/>
        </w:rPr>
        <w:t>Yang, P.H. (2010), A comparison</w:t>
      </w:r>
      <w:r w:rsidR="00427468">
        <w:rPr>
          <w:kern w:val="0"/>
          <w:szCs w:val="24"/>
        </w:rPr>
        <w:t xml:space="preserve"> of </w:t>
      </w:r>
      <w:r>
        <w:rPr>
          <w:kern w:val="0"/>
          <w:szCs w:val="24"/>
        </w:rPr>
        <w:t>peginterferon Alpha-2A</w:t>
      </w:r>
      <w:r w:rsidR="005853A9">
        <w:rPr>
          <w:kern w:val="0"/>
          <w:szCs w:val="24"/>
        </w:rPr>
        <w:t xml:space="preserve"> and </w:t>
      </w:r>
      <w:r>
        <w:rPr>
          <w:kern w:val="0"/>
          <w:szCs w:val="24"/>
        </w:rPr>
        <w:t>alpha-2B for treatment-naive patients with chronic hepatitis C virus: A meta-analysis</w:t>
      </w:r>
      <w:r w:rsidR="00427468">
        <w:rPr>
          <w:kern w:val="0"/>
          <w:szCs w:val="24"/>
        </w:rPr>
        <w:t xml:space="preserve"> of </w:t>
      </w:r>
      <w:r>
        <w:rPr>
          <w:kern w:val="0"/>
          <w:szCs w:val="24"/>
        </w:rPr>
        <w:t xml:space="preserve">randomized trials. </w:t>
      </w:r>
      <w:r>
        <w:rPr>
          <w:i/>
          <w:iCs/>
          <w:kern w:val="0"/>
          <w:szCs w:val="24"/>
        </w:rPr>
        <w:t>Clinical Therapeutics</w:t>
      </w:r>
      <w:r>
        <w:rPr>
          <w:kern w:val="0"/>
          <w:szCs w:val="24"/>
        </w:rPr>
        <w:t xml:space="preserve">, </w:t>
      </w:r>
      <w:r>
        <w:rPr>
          <w:b/>
          <w:bCs/>
          <w:kern w:val="0"/>
          <w:szCs w:val="24"/>
        </w:rPr>
        <w:t>32</w:t>
      </w:r>
      <w:r>
        <w:rPr>
          <w:kern w:val="0"/>
          <w:szCs w:val="24"/>
        </w:rPr>
        <w:t xml:space="preserve"> (9), 1565-1577.</w:t>
      </w:r>
    </w:p>
    <w:p w:rsidR="004E7AD7" w:rsidRPr="00C73C58" w:rsidRDefault="004E7AD7" w:rsidP="004E7AD7">
      <w:pPr>
        <w:pStyle w:val="a3"/>
      </w:pPr>
      <w:r w:rsidRPr="00C73C58">
        <w:t xml:space="preserve">Full Text: </w:t>
      </w:r>
      <w:hyperlink r:id="rId452" w:history="1">
        <w:r w:rsidRPr="00896E3F">
          <w:rPr>
            <w:rStyle w:val="a5"/>
          </w:rPr>
          <w:t>2010\Cli The32, 1565.pdf</w:t>
        </w:r>
      </w:hyperlink>
    </w:p>
    <w:p w:rsidR="007B0AB0" w:rsidRDefault="007B0AB0" w:rsidP="007B0AB0">
      <w:pPr>
        <w:pStyle w:val="a3"/>
        <w:rPr>
          <w:kern w:val="0"/>
          <w:szCs w:val="24"/>
        </w:rPr>
      </w:pPr>
      <w:r>
        <w:rPr>
          <w:kern w:val="0"/>
          <w:szCs w:val="24"/>
        </w:rPr>
        <w:t>Abstract: Background:</w:t>
      </w:r>
      <w:r w:rsidR="003A1917">
        <w:rPr>
          <w:kern w:val="0"/>
          <w:szCs w:val="24"/>
        </w:rPr>
        <w:t xml:space="preserve"> the </w:t>
      </w:r>
      <w:r>
        <w:rPr>
          <w:kern w:val="0"/>
          <w:szCs w:val="24"/>
        </w:rPr>
        <w:t>standard treatments for chronic infection with</w:t>
      </w:r>
      <w:r w:rsidR="003A1917">
        <w:rPr>
          <w:kern w:val="0"/>
          <w:szCs w:val="24"/>
        </w:rPr>
        <w:t xml:space="preserve"> the </w:t>
      </w:r>
      <w:r>
        <w:rPr>
          <w:kern w:val="0"/>
          <w:szCs w:val="24"/>
        </w:rPr>
        <w:t>hepatitis C virus (HCV) are peginterferon alpha-2a or alpha-2b plus ribavirin, but it remains unclear if one has a better efficacy</w:t>
      </w:r>
      <w:r w:rsidR="005853A9">
        <w:rPr>
          <w:kern w:val="0"/>
          <w:szCs w:val="24"/>
        </w:rPr>
        <w:t xml:space="preserve"> and </w:t>
      </w:r>
      <w:r>
        <w:rPr>
          <w:kern w:val="0"/>
          <w:szCs w:val="24"/>
        </w:rPr>
        <w:t>safety profile. Objective:</w:t>
      </w:r>
      <w:r w:rsidR="003A1917">
        <w:rPr>
          <w:kern w:val="0"/>
          <w:szCs w:val="24"/>
        </w:rPr>
        <w:t xml:space="preserve"> the </w:t>
      </w:r>
      <w:r>
        <w:rPr>
          <w:kern w:val="0"/>
          <w:szCs w:val="24"/>
        </w:rPr>
        <w:t>aim</w:t>
      </w:r>
      <w:r w:rsidR="00427468">
        <w:rPr>
          <w:kern w:val="0"/>
          <w:szCs w:val="24"/>
        </w:rPr>
        <w:t xml:space="preserve"> of </w:t>
      </w:r>
      <w:r>
        <w:rPr>
          <w:kern w:val="0"/>
          <w:szCs w:val="24"/>
        </w:rPr>
        <w:t>this study was to perform a meta-analysis</w:t>
      </w:r>
      <w:r w:rsidR="00427468">
        <w:rPr>
          <w:kern w:val="0"/>
          <w:szCs w:val="24"/>
        </w:rPr>
        <w:t xml:space="preserve"> of </w:t>
      </w:r>
      <w:r>
        <w:rPr>
          <w:kern w:val="0"/>
          <w:szCs w:val="24"/>
        </w:rPr>
        <w:t>randomized controlled trials (RCTs) comparing peginterferon alpha-2a</w:t>
      </w:r>
      <w:r w:rsidR="005853A9">
        <w:rPr>
          <w:kern w:val="0"/>
          <w:szCs w:val="24"/>
        </w:rPr>
        <w:t xml:space="preserve"> and </w:t>
      </w:r>
      <w:r>
        <w:rPr>
          <w:kern w:val="0"/>
          <w:szCs w:val="24"/>
        </w:rPr>
        <w:t>alpha-2b (in combination with ribavirin) treatments for chronic HCV. Methods:</w:t>
      </w:r>
      <w:r w:rsidR="003A1917">
        <w:rPr>
          <w:kern w:val="0"/>
          <w:szCs w:val="24"/>
        </w:rPr>
        <w:t xml:space="preserve"> the </w:t>
      </w:r>
      <w:r>
        <w:rPr>
          <w:kern w:val="0"/>
          <w:szCs w:val="24"/>
        </w:rPr>
        <w:t>Cochrane Central Register</w:t>
      </w:r>
      <w:r w:rsidR="00427468">
        <w:rPr>
          <w:kern w:val="0"/>
          <w:szCs w:val="24"/>
        </w:rPr>
        <w:t xml:space="preserve"> of </w:t>
      </w:r>
      <w:r>
        <w:rPr>
          <w:kern w:val="0"/>
          <w:szCs w:val="24"/>
        </w:rPr>
        <w:t xml:space="preserve">Controlled Trials, </w:t>
      </w:r>
      <w:r w:rsidR="00D5664A">
        <w:rPr>
          <w:kern w:val="0"/>
          <w:szCs w:val="24"/>
        </w:rPr>
        <w:t>MEDLINE</w:t>
      </w:r>
      <w:r>
        <w:rPr>
          <w:kern w:val="0"/>
          <w:szCs w:val="24"/>
        </w:rPr>
        <w:t>, Science Citation Index,</w:t>
      </w:r>
      <w:r w:rsidR="005853A9">
        <w:rPr>
          <w:kern w:val="0"/>
          <w:szCs w:val="24"/>
        </w:rPr>
        <w:t xml:space="preserve"> and </w:t>
      </w:r>
      <w:r>
        <w:rPr>
          <w:kern w:val="0"/>
          <w:szCs w:val="24"/>
        </w:rPr>
        <w:t>EMBASE were searched (1966 April 2010) to identify RCTs that evaluated</w:t>
      </w:r>
      <w:r w:rsidR="003A1917">
        <w:rPr>
          <w:kern w:val="0"/>
          <w:szCs w:val="24"/>
        </w:rPr>
        <w:t xml:space="preserve"> the </w:t>
      </w:r>
      <w:r>
        <w:rPr>
          <w:kern w:val="0"/>
          <w:szCs w:val="24"/>
        </w:rPr>
        <w:t>sustained virologic response (SVR) to peginterferon alpha-2a</w:t>
      </w:r>
      <w:r w:rsidR="005853A9">
        <w:rPr>
          <w:kern w:val="0"/>
          <w:szCs w:val="24"/>
        </w:rPr>
        <w:t xml:space="preserve"> and </w:t>
      </w:r>
      <w:r>
        <w:rPr>
          <w:kern w:val="0"/>
          <w:szCs w:val="24"/>
        </w:rPr>
        <w:t>peginterferon alpha-2b in patients with chronic HCV</w:t>
      </w:r>
      <w:r w:rsidR="00A37C1D">
        <w:rPr>
          <w:kern w:val="0"/>
          <w:szCs w:val="24"/>
        </w:rPr>
        <w:t>. The</w:t>
      </w:r>
      <w:r w:rsidR="003A1917">
        <w:rPr>
          <w:kern w:val="0"/>
          <w:szCs w:val="24"/>
        </w:rPr>
        <w:t xml:space="preserve"> </w:t>
      </w:r>
      <w:r>
        <w:rPr>
          <w:kern w:val="0"/>
          <w:szCs w:val="24"/>
        </w:rPr>
        <w:t>inclusion criteria were: RCT studies designed to compare</w:t>
      </w:r>
      <w:r w:rsidR="003A1917">
        <w:rPr>
          <w:kern w:val="0"/>
          <w:szCs w:val="24"/>
        </w:rPr>
        <w:t xml:space="preserve"> the </w:t>
      </w:r>
      <w:r>
        <w:rPr>
          <w:kern w:val="0"/>
          <w:szCs w:val="24"/>
        </w:rPr>
        <w:t>therapeutic effects</w:t>
      </w:r>
      <w:r w:rsidR="00427468">
        <w:rPr>
          <w:kern w:val="0"/>
          <w:szCs w:val="24"/>
        </w:rPr>
        <w:t xml:space="preserve"> of </w:t>
      </w:r>
      <w:r>
        <w:rPr>
          <w:kern w:val="0"/>
          <w:szCs w:val="24"/>
        </w:rPr>
        <w:t>peginterferon alpha-2a (180 mu g/wk)</w:t>
      </w:r>
      <w:r w:rsidR="005853A9">
        <w:rPr>
          <w:kern w:val="0"/>
          <w:szCs w:val="24"/>
        </w:rPr>
        <w:t xml:space="preserve"> and </w:t>
      </w:r>
      <w:r>
        <w:rPr>
          <w:kern w:val="0"/>
          <w:szCs w:val="24"/>
        </w:rPr>
        <w:t>peginterferon alpha-2b (1.5 mu g/kg/wk) for treatment-naive patients with chronic HCV; patients treated for &gt;= 24 weeks if infected with HCV genotypes 2 or 3</w:t>
      </w:r>
      <w:r w:rsidR="005853A9">
        <w:rPr>
          <w:kern w:val="0"/>
          <w:szCs w:val="24"/>
        </w:rPr>
        <w:t xml:space="preserve"> and </w:t>
      </w:r>
      <w:r>
        <w:rPr>
          <w:kern w:val="0"/>
          <w:szCs w:val="24"/>
        </w:rPr>
        <w:t>for &gt;= 48 weeks if infected with genotypes 1 or 4, with 24-week follow-ups;</w:t>
      </w:r>
      <w:r w:rsidR="005853A9">
        <w:rPr>
          <w:kern w:val="0"/>
          <w:szCs w:val="24"/>
        </w:rPr>
        <w:t xml:space="preserve"> and </w:t>
      </w:r>
      <w:r>
        <w:rPr>
          <w:kern w:val="0"/>
          <w:szCs w:val="24"/>
        </w:rPr>
        <w:t>publications written in any language. Reports</w:t>
      </w:r>
      <w:r w:rsidR="00427468">
        <w:rPr>
          <w:kern w:val="0"/>
          <w:szCs w:val="24"/>
        </w:rPr>
        <w:t xml:space="preserve"> of </w:t>
      </w:r>
      <w:r>
        <w:rPr>
          <w:kern w:val="0"/>
          <w:szCs w:val="24"/>
        </w:rPr>
        <w:t>duplicated studies were excluded by examining</w:t>
      </w:r>
      <w:r w:rsidR="003A1917">
        <w:rPr>
          <w:kern w:val="0"/>
          <w:szCs w:val="24"/>
        </w:rPr>
        <w:t xml:space="preserve"> the </w:t>
      </w:r>
      <w:r>
        <w:rPr>
          <w:kern w:val="0"/>
          <w:szCs w:val="24"/>
        </w:rPr>
        <w:t>author list, parent institution, sample size,</w:t>
      </w:r>
      <w:r w:rsidR="005853A9">
        <w:rPr>
          <w:kern w:val="0"/>
          <w:szCs w:val="24"/>
        </w:rPr>
        <w:t xml:space="preserve"> and </w:t>
      </w:r>
      <w:r>
        <w:rPr>
          <w:kern w:val="0"/>
          <w:szCs w:val="24"/>
        </w:rPr>
        <w:t>results</w:t>
      </w:r>
      <w:r w:rsidR="00A37C1D">
        <w:rPr>
          <w:kern w:val="0"/>
          <w:szCs w:val="24"/>
        </w:rPr>
        <w:t>. The</w:t>
      </w:r>
      <w:r w:rsidR="003A1917">
        <w:rPr>
          <w:kern w:val="0"/>
          <w:szCs w:val="24"/>
        </w:rPr>
        <w:t xml:space="preserve"> </w:t>
      </w:r>
      <w:r>
        <w:rPr>
          <w:kern w:val="0"/>
          <w:szCs w:val="24"/>
        </w:rPr>
        <w:t>primary outcome was</w:t>
      </w:r>
      <w:r w:rsidR="003A1917">
        <w:rPr>
          <w:kern w:val="0"/>
          <w:szCs w:val="24"/>
        </w:rPr>
        <w:t xml:space="preserve"> the </w:t>
      </w:r>
      <w:r>
        <w:rPr>
          <w:kern w:val="0"/>
          <w:szCs w:val="24"/>
        </w:rPr>
        <w:t>SVR,</w:t>
      </w:r>
      <w:r w:rsidR="005853A9">
        <w:rPr>
          <w:kern w:val="0"/>
          <w:szCs w:val="24"/>
        </w:rPr>
        <w:t xml:space="preserve"> and </w:t>
      </w:r>
      <w:r w:rsidR="003A1917">
        <w:rPr>
          <w:kern w:val="0"/>
          <w:szCs w:val="24"/>
        </w:rPr>
        <w:t xml:space="preserve">the </w:t>
      </w:r>
      <w:r>
        <w:rPr>
          <w:kern w:val="0"/>
          <w:szCs w:val="24"/>
        </w:rPr>
        <w:t>other measures included</w:t>
      </w:r>
      <w:r w:rsidR="003A1917">
        <w:rPr>
          <w:kern w:val="0"/>
          <w:szCs w:val="24"/>
        </w:rPr>
        <w:t xml:space="preserve"> the </w:t>
      </w:r>
      <w:r>
        <w:rPr>
          <w:kern w:val="0"/>
          <w:szCs w:val="24"/>
        </w:rPr>
        <w:t>liver-related morbidity, all-cause mortality,</w:t>
      </w:r>
      <w:r w:rsidR="005853A9">
        <w:rPr>
          <w:kern w:val="0"/>
          <w:szCs w:val="24"/>
        </w:rPr>
        <w:t xml:space="preserve"> and </w:t>
      </w:r>
      <w:r>
        <w:rPr>
          <w:kern w:val="0"/>
          <w:szCs w:val="24"/>
        </w:rPr>
        <w:t>adverse events leading to treatment discontinuation. Results:</w:t>
      </w:r>
      <w:r w:rsidR="003A1917">
        <w:rPr>
          <w:kern w:val="0"/>
          <w:szCs w:val="24"/>
        </w:rPr>
        <w:t xml:space="preserve"> the </w:t>
      </w:r>
      <w:r>
        <w:rPr>
          <w:kern w:val="0"/>
          <w:szCs w:val="24"/>
        </w:rPr>
        <w:t>literature search yielded 5580 studies,</w:t>
      </w:r>
      <w:r w:rsidR="005853A9">
        <w:rPr>
          <w:kern w:val="0"/>
          <w:szCs w:val="24"/>
        </w:rPr>
        <w:t xml:space="preserve"> and </w:t>
      </w:r>
      <w:r>
        <w:rPr>
          <w:kern w:val="0"/>
          <w:szCs w:val="24"/>
        </w:rPr>
        <w:t>7 RCTs comprising 3212 patients matched</w:t>
      </w:r>
      <w:r w:rsidR="003A1917">
        <w:rPr>
          <w:kern w:val="0"/>
          <w:szCs w:val="24"/>
        </w:rPr>
        <w:t xml:space="preserve"> the </w:t>
      </w:r>
      <w:r>
        <w:rPr>
          <w:kern w:val="0"/>
          <w:szCs w:val="24"/>
        </w:rPr>
        <w:t>inclusion/exclusion criteria. Overall,</w:t>
      </w:r>
      <w:r w:rsidR="003A1917">
        <w:rPr>
          <w:kern w:val="0"/>
          <w:szCs w:val="24"/>
        </w:rPr>
        <w:t xml:space="preserve"> the </w:t>
      </w:r>
      <w:r>
        <w:rPr>
          <w:kern w:val="0"/>
          <w:szCs w:val="24"/>
        </w:rPr>
        <w:t>SVR rate was significantly higher in patients treated with peginterferon alpha-2a than in patients treated with peginterferon alpha-2b (50% vs 46%, respectively; relative risk [RR] = 1.11; 95% CI, 1.02-1.20; P &lt; 0.05)</w:t>
      </w:r>
      <w:r w:rsidR="005853A9">
        <w:rPr>
          <w:kern w:val="0"/>
          <w:szCs w:val="24"/>
        </w:rPr>
        <w:t xml:space="preserve"> and </w:t>
      </w:r>
      <w:r>
        <w:rPr>
          <w:kern w:val="0"/>
          <w:szCs w:val="24"/>
        </w:rPr>
        <w:t>varying levels</w:t>
      </w:r>
      <w:r w:rsidR="00427468">
        <w:rPr>
          <w:kern w:val="0"/>
          <w:szCs w:val="24"/>
        </w:rPr>
        <w:t xml:space="preserve"> of </w:t>
      </w:r>
      <w:r>
        <w:rPr>
          <w:kern w:val="0"/>
          <w:szCs w:val="24"/>
        </w:rPr>
        <w:t>ribavirin treatment</w:t>
      </w:r>
      <w:r w:rsidR="00A37C1D">
        <w:rPr>
          <w:kern w:val="0"/>
          <w:szCs w:val="24"/>
        </w:rPr>
        <w:t>. The</w:t>
      </w:r>
      <w:r w:rsidR="003A1917">
        <w:rPr>
          <w:kern w:val="0"/>
          <w:szCs w:val="24"/>
        </w:rPr>
        <w:t xml:space="preserve"> </w:t>
      </w:r>
      <w:r>
        <w:rPr>
          <w:kern w:val="0"/>
          <w:szCs w:val="24"/>
        </w:rPr>
        <w:t>subgroup analysis found that, in patients with genotypes 1 or 4,</w:t>
      </w:r>
      <w:r w:rsidR="003A1917">
        <w:rPr>
          <w:kern w:val="0"/>
          <w:szCs w:val="24"/>
        </w:rPr>
        <w:t xml:space="preserve"> the </w:t>
      </w:r>
      <w:r>
        <w:rPr>
          <w:kern w:val="0"/>
          <w:szCs w:val="24"/>
        </w:rPr>
        <w:t>difference between SVR rate in patients treated with peginterferon alpha-2a</w:t>
      </w:r>
      <w:r w:rsidR="005853A9">
        <w:rPr>
          <w:kern w:val="0"/>
          <w:szCs w:val="24"/>
        </w:rPr>
        <w:t xml:space="preserve"> and </w:t>
      </w:r>
      <w:r>
        <w:rPr>
          <w:kern w:val="0"/>
          <w:szCs w:val="24"/>
        </w:rPr>
        <w:t>patients treated with peginterferon alpha-2b was not statistically significant (43% vs 39%; RR = 1.25; 95% CI, 0.99-1.57). A significantly higher SVR rate was achieved in</w:t>
      </w:r>
      <w:r w:rsidR="003A1917">
        <w:rPr>
          <w:kern w:val="0"/>
          <w:szCs w:val="24"/>
        </w:rPr>
        <w:t xml:space="preserve"> the </w:t>
      </w:r>
      <w:r>
        <w:rPr>
          <w:kern w:val="0"/>
          <w:szCs w:val="24"/>
        </w:rPr>
        <w:t>HCV patients with genotypes 2 or 3 treated with peginterferon alpha-2a compared with</w:t>
      </w:r>
      <w:r w:rsidR="003A1917">
        <w:rPr>
          <w:kern w:val="0"/>
          <w:szCs w:val="24"/>
        </w:rPr>
        <w:t xml:space="preserve"> the </w:t>
      </w:r>
      <w:r>
        <w:rPr>
          <w:kern w:val="0"/>
          <w:szCs w:val="24"/>
        </w:rPr>
        <w:t>patients treated with peginterferon alpha-2b (86% vs 77%; RR = 1.11; 95% CI, 1.02-1.22; P = 0.02)</w:t>
      </w:r>
      <w:r w:rsidR="00A37C1D">
        <w:rPr>
          <w:kern w:val="0"/>
          <w:szCs w:val="24"/>
        </w:rPr>
        <w:t>. The</w:t>
      </w:r>
      <w:r w:rsidR="003A1917">
        <w:rPr>
          <w:kern w:val="0"/>
          <w:szCs w:val="24"/>
        </w:rPr>
        <w:t xml:space="preserve"> </w:t>
      </w:r>
      <w:r>
        <w:rPr>
          <w:kern w:val="0"/>
          <w:szCs w:val="24"/>
        </w:rPr>
        <w:t>meta-analysis</w:t>
      </w:r>
      <w:r w:rsidR="00427468">
        <w:rPr>
          <w:kern w:val="0"/>
          <w:szCs w:val="24"/>
        </w:rPr>
        <w:t xml:space="preserve"> of </w:t>
      </w:r>
      <w:r>
        <w:rPr>
          <w:kern w:val="0"/>
          <w:szCs w:val="24"/>
        </w:rPr>
        <w:t xml:space="preserve">adverse events leading to </w:t>
      </w:r>
      <w:r>
        <w:rPr>
          <w:kern w:val="0"/>
          <w:szCs w:val="24"/>
        </w:rPr>
        <w:lastRenderedPageBreak/>
        <w:t>treatment discontinuation revealed no significant differences between</w:t>
      </w:r>
      <w:r w:rsidR="003A1917">
        <w:rPr>
          <w:kern w:val="0"/>
          <w:szCs w:val="24"/>
        </w:rPr>
        <w:t xml:space="preserve"> the </w:t>
      </w:r>
      <w:r>
        <w:rPr>
          <w:kern w:val="0"/>
          <w:szCs w:val="24"/>
        </w:rPr>
        <w:t>2 treatments. Conclusions:</w:t>
      </w:r>
      <w:r w:rsidR="003A1917">
        <w:rPr>
          <w:kern w:val="0"/>
          <w:szCs w:val="24"/>
        </w:rPr>
        <w:t xml:space="preserve"> the </w:t>
      </w:r>
      <w:r>
        <w:rPr>
          <w:kern w:val="0"/>
          <w:szCs w:val="24"/>
        </w:rPr>
        <w:t>evidence reviewed in this meta-analysis suggests that peginterferon alpha-2a treatment was associated with a higher SVR rate than peginterferon alpha-2b treatment in patients with chronic HCV also treated with ribavirin. However,</w:t>
      </w:r>
      <w:r w:rsidR="003A1917">
        <w:rPr>
          <w:kern w:val="0"/>
          <w:szCs w:val="24"/>
        </w:rPr>
        <w:t xml:space="preserve"> the </w:t>
      </w:r>
      <w:r>
        <w:rPr>
          <w:kern w:val="0"/>
          <w:szCs w:val="24"/>
        </w:rPr>
        <w:t>available evidence on adverse events was insufficient to make recommendations. (Clin Ther. 2010;32:1565-1577) (C) 2010 Excerpta Medica Inc.</w:t>
      </w:r>
    </w:p>
    <w:p w:rsidR="007B0AB0" w:rsidRDefault="007B0AB0" w:rsidP="007B0AB0">
      <w:pPr>
        <w:pStyle w:val="a3"/>
        <w:rPr>
          <w:kern w:val="0"/>
          <w:szCs w:val="24"/>
        </w:rPr>
      </w:pPr>
      <w:r>
        <w:rPr>
          <w:kern w:val="0"/>
          <w:szCs w:val="24"/>
        </w:rPr>
        <w:t>Keywords: Author, Chinese Patients, Chronic Hepatitis C, Citation, Efficacy, Infection, Interferon-Alpha-2</w:t>
      </w:r>
      <w:r w:rsidRPr="00E5081C">
        <w:rPr>
          <w:kern w:val="0"/>
          <w:szCs w:val="24"/>
        </w:rPr>
        <w:t>B</w:t>
      </w:r>
      <w:r>
        <w:rPr>
          <w:kern w:val="0"/>
          <w:szCs w:val="24"/>
        </w:rPr>
        <w:t xml:space="preserve"> Plus Ribavirin, Open-Label, Peg-Interferon, Peginterferon Alpha-2A, Peginterferon Alpha-2B, Pegylated Interferon-Alpha-2B, Pharmacokinetics, Publications, Quality, Science Citation Index, Virological Response</w:t>
      </w:r>
    </w:p>
    <w:p w:rsidR="00BC6E79" w:rsidRDefault="00BC6E79" w:rsidP="00BC6E79">
      <w:pPr>
        <w:pStyle w:val="a3"/>
        <w:rPr>
          <w:kern w:val="0"/>
        </w:rPr>
      </w:pPr>
      <w:r>
        <w:rPr>
          <w:rFonts w:hint="eastAsia"/>
          <w:kern w:val="0"/>
        </w:rPr>
        <w:t xml:space="preserve">? </w:t>
      </w:r>
      <w:r>
        <w:rPr>
          <w:kern w:val="0"/>
        </w:rPr>
        <w:t>Nikfar, S., Ehteshami-Ashar, S., Rahimi, R.</w:t>
      </w:r>
      <w:r w:rsidR="005853A9">
        <w:rPr>
          <w:kern w:val="0"/>
        </w:rPr>
        <w:t xml:space="preserve"> and </w:t>
      </w:r>
      <w:r>
        <w:rPr>
          <w:kern w:val="0"/>
        </w:rPr>
        <w:t>Abdollahi, M. (2010), Systematic review</w:t>
      </w:r>
      <w:r w:rsidR="005853A9">
        <w:rPr>
          <w:kern w:val="0"/>
        </w:rPr>
        <w:t xml:space="preserve"> and </w:t>
      </w:r>
      <w:r>
        <w:rPr>
          <w:kern w:val="0"/>
        </w:rPr>
        <w:t>meta-analysis</w:t>
      </w:r>
      <w:r w:rsidR="00427468">
        <w:rPr>
          <w:kern w:val="0"/>
        </w:rPr>
        <w:t xml:space="preserve"> of </w:t>
      </w:r>
      <w:r w:rsidR="003A1917">
        <w:rPr>
          <w:kern w:val="0"/>
        </w:rPr>
        <w:t xml:space="preserve">the </w:t>
      </w:r>
      <w:r>
        <w:rPr>
          <w:kern w:val="0"/>
        </w:rPr>
        <w:t>efficacy</w:t>
      </w:r>
      <w:r w:rsidR="005853A9">
        <w:rPr>
          <w:kern w:val="0"/>
        </w:rPr>
        <w:t xml:space="preserve"> and </w:t>
      </w:r>
      <w:r>
        <w:rPr>
          <w:kern w:val="0"/>
        </w:rPr>
        <w:t>tolerability</w:t>
      </w:r>
      <w:r w:rsidR="00427468">
        <w:rPr>
          <w:kern w:val="0"/>
        </w:rPr>
        <w:t xml:space="preserve"> of </w:t>
      </w:r>
      <w:r>
        <w:rPr>
          <w:kern w:val="0"/>
        </w:rPr>
        <w:t xml:space="preserve">nicotine preparations in active ulcerative colitis. </w:t>
      </w:r>
      <w:r>
        <w:rPr>
          <w:i/>
          <w:iCs/>
          <w:kern w:val="0"/>
        </w:rPr>
        <w:t>Clinical Therapeutics</w:t>
      </w:r>
      <w:r>
        <w:rPr>
          <w:kern w:val="0"/>
        </w:rPr>
        <w:t xml:space="preserve">, </w:t>
      </w:r>
      <w:r>
        <w:rPr>
          <w:b/>
          <w:bCs/>
          <w:kern w:val="0"/>
        </w:rPr>
        <w:t>32</w:t>
      </w:r>
      <w:r>
        <w:rPr>
          <w:kern w:val="0"/>
        </w:rPr>
        <w:t xml:space="preserve"> (14), 2304-2315.</w:t>
      </w:r>
    </w:p>
    <w:p w:rsidR="00AE6EAA" w:rsidRPr="00C73C58" w:rsidRDefault="00AE6EAA" w:rsidP="00AE6EAA">
      <w:pPr>
        <w:pStyle w:val="a3"/>
      </w:pPr>
      <w:r w:rsidRPr="00C73C58">
        <w:t xml:space="preserve">Full Text: </w:t>
      </w:r>
      <w:hyperlink r:id="rId453" w:history="1">
        <w:r w:rsidRPr="00C1632B">
          <w:rPr>
            <w:rStyle w:val="a5"/>
          </w:rPr>
          <w:t>2010\Cli The32, 2304.pdf</w:t>
        </w:r>
      </w:hyperlink>
    </w:p>
    <w:p w:rsidR="00BC6E79" w:rsidRDefault="00BC6E79" w:rsidP="00BC6E79">
      <w:pPr>
        <w:pStyle w:val="a3"/>
        <w:rPr>
          <w:kern w:val="0"/>
        </w:rPr>
      </w:pPr>
      <w:r>
        <w:rPr>
          <w:kern w:val="0"/>
        </w:rPr>
        <w:t>Abstract: Background: Findings from clinical studies</w:t>
      </w:r>
      <w:r w:rsidR="00427468">
        <w:rPr>
          <w:kern w:val="0"/>
        </w:rPr>
        <w:t xml:space="preserve"> of </w:t>
      </w:r>
      <w:r w:rsidR="003A1917">
        <w:rPr>
          <w:kern w:val="0"/>
        </w:rPr>
        <w:t xml:space="preserve">the </w:t>
      </w:r>
      <w:r>
        <w:rPr>
          <w:kern w:val="0"/>
        </w:rPr>
        <w:t>efficacy</w:t>
      </w:r>
      <w:r w:rsidR="005853A9">
        <w:rPr>
          <w:kern w:val="0"/>
        </w:rPr>
        <w:t xml:space="preserve"> and </w:t>
      </w:r>
      <w:r>
        <w:rPr>
          <w:kern w:val="0"/>
        </w:rPr>
        <w:t>tolerability</w:t>
      </w:r>
      <w:r w:rsidR="00427468">
        <w:rPr>
          <w:kern w:val="0"/>
        </w:rPr>
        <w:t xml:space="preserve"> of </w:t>
      </w:r>
      <w:r>
        <w:rPr>
          <w:kern w:val="0"/>
        </w:rPr>
        <w:t>nicotine preparations in maintaining remission</w:t>
      </w:r>
      <w:r w:rsidR="00427468">
        <w:rPr>
          <w:kern w:val="0"/>
        </w:rPr>
        <w:t xml:space="preserve"> of </w:t>
      </w:r>
      <w:r>
        <w:rPr>
          <w:kern w:val="0"/>
        </w:rPr>
        <w:t>ulcerative colitis (UC) have been inconsistent. Objectives: This systematic review</w:t>
      </w:r>
      <w:r w:rsidR="005853A9">
        <w:rPr>
          <w:kern w:val="0"/>
        </w:rPr>
        <w:t xml:space="preserve"> and </w:t>
      </w:r>
      <w:r>
        <w:rPr>
          <w:kern w:val="0"/>
        </w:rPr>
        <w:t>meta-analysis aimed to assess</w:t>
      </w:r>
      <w:r w:rsidR="003A1917">
        <w:rPr>
          <w:kern w:val="0"/>
        </w:rPr>
        <w:t xml:space="preserve"> the </w:t>
      </w:r>
      <w:r>
        <w:rPr>
          <w:kern w:val="0"/>
        </w:rPr>
        <w:t>efficacy</w:t>
      </w:r>
      <w:r w:rsidR="005853A9">
        <w:rPr>
          <w:kern w:val="0"/>
        </w:rPr>
        <w:t xml:space="preserve"> and </w:t>
      </w:r>
      <w:r>
        <w:rPr>
          <w:kern w:val="0"/>
        </w:rPr>
        <w:t>tolerability</w:t>
      </w:r>
      <w:r w:rsidR="00427468">
        <w:rPr>
          <w:kern w:val="0"/>
        </w:rPr>
        <w:t xml:space="preserve"> of </w:t>
      </w:r>
      <w:r>
        <w:rPr>
          <w:kern w:val="0"/>
        </w:rPr>
        <w:t>nicotine preparations in inducing remission in UC. Methods: A literature search (1966August 2010)</w:t>
      </w:r>
      <w:r w:rsidR="00427468">
        <w:rPr>
          <w:kern w:val="0"/>
        </w:rPr>
        <w:t xml:space="preserve"> of </w:t>
      </w:r>
      <w:r>
        <w:rPr>
          <w:kern w:val="0"/>
        </w:rPr>
        <w:t xml:space="preserve">Scopus (EMBASE), PUBMED,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was conducted for clinical trials that investigated</w:t>
      </w:r>
      <w:r w:rsidR="003A1917">
        <w:rPr>
          <w:kern w:val="0"/>
        </w:rPr>
        <w:t xml:space="preserve"> the </w:t>
      </w:r>
      <w:r>
        <w:rPr>
          <w:kern w:val="0"/>
        </w:rPr>
        <w:t>efficacy and/or tolerability (any adverse events [AEs]</w:t>
      </w:r>
      <w:r w:rsidR="005853A9">
        <w:rPr>
          <w:kern w:val="0"/>
        </w:rPr>
        <w:t xml:space="preserve"> and </w:t>
      </w:r>
      <w:r>
        <w:rPr>
          <w:kern w:val="0"/>
        </w:rPr>
        <w:t>withdrawals due to AEs)</w:t>
      </w:r>
      <w:r w:rsidR="00427468">
        <w:rPr>
          <w:kern w:val="0"/>
        </w:rPr>
        <w:t xml:space="preserve"> of </w:t>
      </w:r>
      <w:r>
        <w:rPr>
          <w:kern w:val="0"/>
        </w:rPr>
        <w:t>any nicotine preparation for</w:t>
      </w:r>
      <w:r w:rsidR="003A1917">
        <w:rPr>
          <w:kern w:val="0"/>
        </w:rPr>
        <w:t xml:space="preserve"> the </w:t>
      </w:r>
      <w:r>
        <w:rPr>
          <w:kern w:val="0"/>
        </w:rPr>
        <w:t>induction</w:t>
      </w:r>
      <w:r w:rsidR="00427468">
        <w:rPr>
          <w:kern w:val="0"/>
        </w:rPr>
        <w:t xml:space="preserve"> of </w:t>
      </w:r>
      <w:r>
        <w:rPr>
          <w:kern w:val="0"/>
        </w:rPr>
        <w:t>remission in UC. Results:</w:t>
      </w:r>
      <w:r w:rsidR="003A1917">
        <w:rPr>
          <w:kern w:val="0"/>
        </w:rPr>
        <w:t xml:space="preserve"> the </w:t>
      </w:r>
      <w:r>
        <w:rPr>
          <w:kern w:val="0"/>
        </w:rPr>
        <w:t>electronic searches yielded 788 items.</w:t>
      </w:r>
      <w:r w:rsidR="00427468">
        <w:rPr>
          <w:kern w:val="0"/>
        </w:rPr>
        <w:t xml:space="preserve"> of </w:t>
      </w:r>
      <w:r>
        <w:rPr>
          <w:kern w:val="0"/>
        </w:rPr>
        <w:t>these, 3 placebo-controlled trials representing 233 patients with UC</w:t>
      </w:r>
      <w:r w:rsidR="005853A9">
        <w:rPr>
          <w:kern w:val="0"/>
        </w:rPr>
        <w:t xml:space="preserve"> and </w:t>
      </w:r>
      <w:r>
        <w:rPr>
          <w:kern w:val="0"/>
        </w:rPr>
        <w:t>2 randomized controlled trials that compared nicotine to corticosteroids in 81 patients with UC were included in meta-analysis</w:t>
      </w:r>
      <w:r w:rsidR="00A37C1D">
        <w:rPr>
          <w:kern w:val="0"/>
        </w:rPr>
        <w:t>. The</w:t>
      </w:r>
      <w:r w:rsidR="003A1917">
        <w:rPr>
          <w:kern w:val="0"/>
        </w:rPr>
        <w:t xml:space="preserve"> </w:t>
      </w:r>
      <w:r>
        <w:rPr>
          <w:kern w:val="0"/>
        </w:rPr>
        <w:t>summary relative risks (RRs) (95% CI) in comparing nicotine to placebo were 1.40 (0.63-3.12) (P = NS) for clinical remission, 1.95 (1.38-2.78) (P &lt; 0.001) for AEs,</w:t>
      </w:r>
      <w:r w:rsidR="005853A9">
        <w:rPr>
          <w:kern w:val="0"/>
        </w:rPr>
        <w:t xml:space="preserve"> and </w:t>
      </w:r>
      <w:r>
        <w:rPr>
          <w:kern w:val="0"/>
        </w:rPr>
        <w:t>3.44 (0.71-16.71) (P = NS) for withdrawal due to AEs</w:t>
      </w:r>
      <w:r w:rsidR="00A37C1D">
        <w:rPr>
          <w:kern w:val="0"/>
        </w:rPr>
        <w:t>. The</w:t>
      </w:r>
      <w:r w:rsidR="003A1917">
        <w:rPr>
          <w:kern w:val="0"/>
        </w:rPr>
        <w:t xml:space="preserve"> </w:t>
      </w:r>
      <w:r>
        <w:rPr>
          <w:kern w:val="0"/>
        </w:rPr>
        <w:t>summary RRs in comparing nicotine to corticosteroids (prednisolone/prednisone) were 0.74 (0.5-1.09) (P = NS) for clinical remission in 2 trials</w:t>
      </w:r>
      <w:r w:rsidR="005853A9">
        <w:rPr>
          <w:kern w:val="0"/>
        </w:rPr>
        <w:t xml:space="preserve"> and </w:t>
      </w:r>
      <w:r>
        <w:rPr>
          <w:kern w:val="0"/>
        </w:rPr>
        <w:t>2.28 (0.76-6.83) (P = NS) for withdrawal due to AEs. Conclusion:</w:t>
      </w:r>
      <w:r w:rsidR="003A1917">
        <w:rPr>
          <w:kern w:val="0"/>
        </w:rPr>
        <w:t xml:space="preserve"> the </w:t>
      </w:r>
      <w:r>
        <w:rPr>
          <w:kern w:val="0"/>
        </w:rPr>
        <w:t>findings from this meta-analysis do not support</w:t>
      </w:r>
      <w:r w:rsidR="003A1917">
        <w:rPr>
          <w:kern w:val="0"/>
        </w:rPr>
        <w:t xml:space="preserve"> the </w:t>
      </w:r>
      <w:r>
        <w:rPr>
          <w:kern w:val="0"/>
        </w:rPr>
        <w:t>efficacy or tolerability</w:t>
      </w:r>
      <w:r w:rsidR="00427468">
        <w:rPr>
          <w:kern w:val="0"/>
        </w:rPr>
        <w:t xml:space="preserve"> of </w:t>
      </w:r>
      <w:r>
        <w:rPr>
          <w:kern w:val="0"/>
        </w:rPr>
        <w:t>nicotine preparations in inducing remission in UC. (Clin Ther. 2010;32:2304-2315) (C) 2010 Elsevier HS Journals, Inc.</w:t>
      </w:r>
    </w:p>
    <w:p w:rsidR="00BC6E79" w:rsidRDefault="00BC6E79" w:rsidP="00BC6E79">
      <w:pPr>
        <w:pStyle w:val="a3"/>
        <w:rPr>
          <w:kern w:val="0"/>
        </w:rPr>
      </w:pPr>
      <w:r>
        <w:rPr>
          <w:kern w:val="0"/>
        </w:rPr>
        <w:t xml:space="preserve">Keywords: Clinical Trials, Cochrane, Crohns-Disease, Efficacy, EMBASE, Inflammatory-Bowel-Disease, Literature, Maintenance, Management, Meta-Analysis, Methods, Nicotine, Nicotine Preparations, Nitric-Oxide, Pathogenesis, Preparation, </w:t>
      </w:r>
      <w:r>
        <w:rPr>
          <w:kern w:val="0"/>
        </w:rPr>
        <w:lastRenderedPageBreak/>
        <w:t xml:space="preserve">PUBMED, Randomized Controlled Trials, Remission, Review, Safety, Science, Scopus, Smoking, Systematic, Systematic Review, Therapy, Transdermal Nicotine, Ulcerative Colitis,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Zedler, B.K., Kakad, P., Colilla, S., Murrelle, L.</w:t>
      </w:r>
      <w:r w:rsidR="005853A9">
        <w:rPr>
          <w:kern w:val="0"/>
        </w:rPr>
        <w:t xml:space="preserve"> and </w:t>
      </w:r>
      <w:r>
        <w:rPr>
          <w:kern w:val="0"/>
        </w:rPr>
        <w:t xml:space="preserve">Shah, N.R. (2011), Does packaging with a calendar feature improve adherence to self-administered medication for long-term use? A systematic review. </w:t>
      </w:r>
      <w:r>
        <w:rPr>
          <w:i/>
          <w:iCs/>
          <w:kern w:val="0"/>
        </w:rPr>
        <w:t>Clinical Therapeutics</w:t>
      </w:r>
      <w:r>
        <w:rPr>
          <w:kern w:val="0"/>
        </w:rPr>
        <w:t xml:space="preserve">, </w:t>
      </w:r>
      <w:r>
        <w:rPr>
          <w:b/>
          <w:bCs/>
          <w:kern w:val="0"/>
        </w:rPr>
        <w:t>33</w:t>
      </w:r>
      <w:r>
        <w:rPr>
          <w:kern w:val="0"/>
        </w:rPr>
        <w:t xml:space="preserve"> (1), 62-73.</w:t>
      </w:r>
    </w:p>
    <w:p w:rsidR="00BC6E79" w:rsidRPr="00C73C58" w:rsidRDefault="00BC6E79" w:rsidP="00BC6E79">
      <w:pPr>
        <w:pStyle w:val="a3"/>
      </w:pPr>
      <w:r w:rsidRPr="00C73C58">
        <w:t xml:space="preserve">Full Text: </w:t>
      </w:r>
      <w:hyperlink r:id="rId454" w:history="1">
        <w:r w:rsidR="00AE6EAA" w:rsidRPr="00AE6EAA">
          <w:rPr>
            <w:rStyle w:val="a5"/>
          </w:rPr>
          <w:t>2011\Cli The33, 62.pdf</w:t>
        </w:r>
      </w:hyperlink>
    </w:p>
    <w:p w:rsidR="00BC6E79" w:rsidRDefault="00BC6E79" w:rsidP="00BC6E79">
      <w:pPr>
        <w:pStyle w:val="a3"/>
        <w:rPr>
          <w:kern w:val="0"/>
        </w:rPr>
      </w:pPr>
      <w:r>
        <w:rPr>
          <w:kern w:val="0"/>
        </w:rPr>
        <w:t>Abstract: Background:</w:t>
      </w:r>
      <w:r w:rsidR="003A1917">
        <w:rPr>
          <w:kern w:val="0"/>
        </w:rPr>
        <w:t xml:space="preserve"> the </w:t>
      </w:r>
      <w:r>
        <w:rPr>
          <w:kern w:val="0"/>
        </w:rPr>
        <w:t>therapeutic benefit</w:t>
      </w:r>
      <w:r w:rsidR="00427468">
        <w:rPr>
          <w:kern w:val="0"/>
        </w:rPr>
        <w:t xml:space="preserve"> of </w:t>
      </w:r>
      <w:r>
        <w:rPr>
          <w:kern w:val="0"/>
        </w:rPr>
        <w:t>self-administered medications for long-term use is limited by an average 50% nonadherence rate. Patient forgetfulness is a common factor in unintentional nonadherence. Unit</w:t>
      </w:r>
      <w:r w:rsidR="00434900">
        <w:rPr>
          <w:kern w:val="0"/>
        </w:rPr>
        <w:t>-of-</w:t>
      </w:r>
      <w:r>
        <w:rPr>
          <w:kern w:val="0"/>
        </w:rPr>
        <w:t>use packaging that incorporates a simple day or date feature (calendar packaging) is designed to improve adherence by prompting patients to maintain</w:t>
      </w:r>
      <w:r w:rsidR="003A1917">
        <w:rPr>
          <w:kern w:val="0"/>
        </w:rPr>
        <w:t xml:space="preserve"> the </w:t>
      </w:r>
      <w:r>
        <w:rPr>
          <w:kern w:val="0"/>
        </w:rPr>
        <w:t>prescribed dosing schedule. Objective: To review systematically, in accordance with</w:t>
      </w:r>
      <w:r w:rsidR="003A1917">
        <w:rPr>
          <w:kern w:val="0"/>
        </w:rPr>
        <w:t xml:space="preserve"> the </w:t>
      </w:r>
      <w:r>
        <w:rPr>
          <w:kern w:val="0"/>
        </w:rPr>
        <w:t>Preferred Reporting Items for Systematic Reviews</w:t>
      </w:r>
      <w:r w:rsidR="005853A9">
        <w:rPr>
          <w:kern w:val="0"/>
        </w:rPr>
        <w:t xml:space="preserve"> and </w:t>
      </w:r>
      <w:r>
        <w:rPr>
          <w:kern w:val="0"/>
        </w:rPr>
        <w:t>Meta-Analyses (PRISMA) statement, randomized controlled trial evidence</w:t>
      </w:r>
      <w:r w:rsidR="00427468">
        <w:rPr>
          <w:kern w:val="0"/>
        </w:rPr>
        <w:t xml:space="preserve"> of </w:t>
      </w:r>
      <w:r w:rsidR="003A1917">
        <w:rPr>
          <w:kern w:val="0"/>
        </w:rPr>
        <w:t xml:space="preserve">the </w:t>
      </w:r>
      <w:r>
        <w:rPr>
          <w:kern w:val="0"/>
        </w:rPr>
        <w:t>adherence benefits</w:t>
      </w:r>
      <w:r w:rsidR="005853A9">
        <w:rPr>
          <w:kern w:val="0"/>
        </w:rPr>
        <w:t xml:space="preserve"> and </w:t>
      </w:r>
      <w:r>
        <w:rPr>
          <w:kern w:val="0"/>
        </w:rPr>
        <w:t>harms</w:t>
      </w:r>
      <w:r w:rsidR="00427468">
        <w:rPr>
          <w:kern w:val="0"/>
        </w:rPr>
        <w:t xml:space="preserve"> of </w:t>
      </w:r>
      <w:r>
        <w:rPr>
          <w:kern w:val="0"/>
        </w:rPr>
        <w:t>calendar blister packaging (CBP)</w:t>
      </w:r>
      <w:r w:rsidR="005853A9">
        <w:rPr>
          <w:kern w:val="0"/>
        </w:rPr>
        <w:t xml:space="preserve"> and </w:t>
      </w:r>
      <w:r>
        <w:rPr>
          <w:kern w:val="0"/>
        </w:rPr>
        <w:t>calendar pill organizers (CPO) for self-administered, long-term medication use. Methods: Data sources included</w:t>
      </w:r>
      <w:r w:rsidR="003A1917">
        <w:rPr>
          <w:kern w:val="0"/>
        </w:rPr>
        <w:t xml:space="preserve"> the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Cochrane Library databases from their inception to September 2010</w:t>
      </w:r>
      <w:r w:rsidR="005853A9">
        <w:rPr>
          <w:kern w:val="0"/>
        </w:rPr>
        <w:t xml:space="preserve"> and </w:t>
      </w:r>
      <w:r>
        <w:rPr>
          <w:kern w:val="0"/>
        </w:rPr>
        <w:t>communication with researchers in</w:t>
      </w:r>
      <w:r w:rsidR="003A1917">
        <w:rPr>
          <w:kern w:val="0"/>
        </w:rPr>
        <w:t xml:space="preserve"> the </w:t>
      </w:r>
      <w:r>
        <w:rPr>
          <w:kern w:val="0"/>
        </w:rPr>
        <w:t>field. Key search terms included blister-calendar pack, blister pack, drug packaging, medication adherence, medication compliance, medication compliance devices, medication containers, medication organizers, multicompartment compliance aid, persistence, pill-box organizers, prescription refill, randomized controlled trials,</w:t>
      </w:r>
      <w:r w:rsidR="005853A9">
        <w:rPr>
          <w:kern w:val="0"/>
        </w:rPr>
        <w:t xml:space="preserve"> and </w:t>
      </w:r>
      <w:r>
        <w:rPr>
          <w:kern w:val="0"/>
        </w:rPr>
        <w:t>refill compliance. Selected studies had an English-language title; a randomized controlled design; medication packaged in CBP or CPO; a requirement</w:t>
      </w:r>
      <w:r w:rsidR="00427468">
        <w:rPr>
          <w:kern w:val="0"/>
        </w:rPr>
        <w:t xml:space="preserve"> of </w:t>
      </w:r>
      <w:r>
        <w:rPr>
          <w:kern w:val="0"/>
        </w:rPr>
        <w:t>solid, oral medication self-administered daily for longer than 1 month in community-dwelling adults;</w:t>
      </w:r>
      <w:r w:rsidR="005853A9">
        <w:rPr>
          <w:kern w:val="0"/>
        </w:rPr>
        <w:t xml:space="preserve"> and </w:t>
      </w:r>
      <w:r>
        <w:rPr>
          <w:kern w:val="0"/>
        </w:rPr>
        <w:t>at least 1 quantitative outcome measure</w:t>
      </w:r>
      <w:r w:rsidR="00427468">
        <w:rPr>
          <w:kern w:val="0"/>
        </w:rPr>
        <w:t xml:space="preserve"> of </w:t>
      </w:r>
      <w:r>
        <w:rPr>
          <w:kern w:val="0"/>
        </w:rPr>
        <w:t>adherence. Two reviewers extracted data independently on study design, sample size, type</w:t>
      </w:r>
      <w:r w:rsidR="00427468">
        <w:rPr>
          <w:kern w:val="0"/>
        </w:rPr>
        <w:t xml:space="preserve"> of </w:t>
      </w:r>
      <w:r>
        <w:rPr>
          <w:kern w:val="0"/>
        </w:rPr>
        <w:t>intervention</w:t>
      </w:r>
      <w:r w:rsidR="005853A9">
        <w:rPr>
          <w:kern w:val="0"/>
        </w:rPr>
        <w:t xml:space="preserve"> and </w:t>
      </w:r>
      <w:r>
        <w:rPr>
          <w:kern w:val="0"/>
        </w:rPr>
        <w:t>control,</w:t>
      </w:r>
      <w:r w:rsidR="005853A9">
        <w:rPr>
          <w:kern w:val="0"/>
        </w:rPr>
        <w:t xml:space="preserve"> and </w:t>
      </w:r>
      <w:r>
        <w:rPr>
          <w:kern w:val="0"/>
        </w:rPr>
        <w:t>outcomes. Results: Ten trials with a total</w:t>
      </w:r>
      <w:r w:rsidR="00427468">
        <w:rPr>
          <w:kern w:val="0"/>
        </w:rPr>
        <w:t xml:space="preserve"> of </w:t>
      </w:r>
      <w:r>
        <w:rPr>
          <w:kern w:val="0"/>
        </w:rPr>
        <w:t>1045 subjects met</w:t>
      </w:r>
      <w:r w:rsidR="003A1917">
        <w:rPr>
          <w:kern w:val="0"/>
        </w:rPr>
        <w:t xml:space="preserve"> the </w:t>
      </w:r>
      <w:r>
        <w:rPr>
          <w:kern w:val="0"/>
        </w:rPr>
        <w:t>inclusion criteria,</w:t>
      </w:r>
      <w:r w:rsidR="005853A9">
        <w:rPr>
          <w:kern w:val="0"/>
        </w:rPr>
        <w:t xml:space="preserve"> and </w:t>
      </w:r>
      <w:r>
        <w:rPr>
          <w:kern w:val="0"/>
        </w:rPr>
        <w:t>9 also examined clinical outcomes (seizures, blood pressure, psychiatric symptoms) or health care resource utilization. Substantial heterogeneity among trials precluded meta-analysis. In 3 studies, calendar packaging was part</w:t>
      </w:r>
      <w:r w:rsidR="00427468">
        <w:rPr>
          <w:kern w:val="0"/>
        </w:rPr>
        <w:t xml:space="preserve"> of </w:t>
      </w:r>
      <w:r>
        <w:rPr>
          <w:kern w:val="0"/>
        </w:rPr>
        <w:t>a multicomponent adherence intervention. Six</w:t>
      </w:r>
      <w:r w:rsidR="00427468">
        <w:rPr>
          <w:kern w:val="0"/>
        </w:rPr>
        <w:t xml:space="preserve"> of </w:t>
      </w:r>
      <w:r>
        <w:rPr>
          <w:kern w:val="0"/>
        </w:rPr>
        <w:t xml:space="preserve">10 trials reported higher adherence, but it was associated with clinically significant improvement in only 1 study: 50% decreased seizure frequency with a CPO-based, multicomponent intervention. No study reported sufficient information to examine conclusively potential harms related to calendar packaging. Limitations: All trials had significant methodological limitations, such as inadequate randomization or blinding, or reported insufficient </w:t>
      </w:r>
      <w:r>
        <w:rPr>
          <w:kern w:val="0"/>
        </w:rPr>
        <w:lastRenderedPageBreak/>
        <w:t>information regarding enrolled subjects</w:t>
      </w:r>
      <w:r w:rsidR="005853A9">
        <w:rPr>
          <w:kern w:val="0"/>
        </w:rPr>
        <w:t xml:space="preserve"> and </w:t>
      </w:r>
      <w:r>
        <w:rPr>
          <w:kern w:val="0"/>
        </w:rPr>
        <w:t>attrition, which resulted in a moderate-to-high risk</w:t>
      </w:r>
      <w:r w:rsidR="00427468">
        <w:rPr>
          <w:kern w:val="0"/>
        </w:rPr>
        <w:t xml:space="preserve"> of </w:t>
      </w:r>
      <w:r>
        <w:rPr>
          <w:kern w:val="0"/>
        </w:rPr>
        <w:t>bias and, in 2 studies, unevaluable outcome data. Trials were generally short</w:t>
      </w:r>
      <w:r w:rsidR="005853A9">
        <w:rPr>
          <w:kern w:val="0"/>
        </w:rPr>
        <w:t xml:space="preserve"> and </w:t>
      </w:r>
      <w:r>
        <w:rPr>
          <w:kern w:val="0"/>
        </w:rPr>
        <w:t>sample sizes small, with heterogeneous adherence outcome measures. Conclusions: Calendar packaging, especially in combination with education</w:t>
      </w:r>
      <w:r w:rsidR="005853A9">
        <w:rPr>
          <w:kern w:val="0"/>
        </w:rPr>
        <w:t xml:space="preserve"> and </w:t>
      </w:r>
      <w:r>
        <w:rPr>
          <w:kern w:val="0"/>
        </w:rPr>
        <w:t>other reminder strategies, may improve medication adherence. Methodological limitations preclude definitive conclusions about</w:t>
      </w:r>
      <w:r w:rsidR="003A1917">
        <w:rPr>
          <w:kern w:val="0"/>
        </w:rPr>
        <w:t xml:space="preserve"> the </w:t>
      </w:r>
      <w:r>
        <w:rPr>
          <w:kern w:val="0"/>
        </w:rPr>
        <w:t>effect size</w:t>
      </w:r>
      <w:r w:rsidR="00427468">
        <w:rPr>
          <w:kern w:val="0"/>
        </w:rPr>
        <w:t xml:space="preserve"> of </w:t>
      </w:r>
      <w:r>
        <w:rPr>
          <w:kern w:val="0"/>
        </w:rPr>
        <w:t>adherence</w:t>
      </w:r>
      <w:r w:rsidR="005853A9">
        <w:rPr>
          <w:kern w:val="0"/>
        </w:rPr>
        <w:t xml:space="preserve"> and </w:t>
      </w:r>
      <w:r>
        <w:rPr>
          <w:kern w:val="0"/>
        </w:rPr>
        <w:t>clinical benefits or harms associated with CBP</w:t>
      </w:r>
      <w:r w:rsidR="005853A9">
        <w:rPr>
          <w:kern w:val="0"/>
        </w:rPr>
        <w:t xml:space="preserve"> and </w:t>
      </w:r>
      <w:r>
        <w:rPr>
          <w:kern w:val="0"/>
        </w:rPr>
        <w:t>CPO. High-quality trials</w:t>
      </w:r>
      <w:r w:rsidR="00427468">
        <w:rPr>
          <w:kern w:val="0"/>
        </w:rPr>
        <w:t xml:space="preserve"> of </w:t>
      </w:r>
      <w:r>
        <w:rPr>
          <w:kern w:val="0"/>
        </w:rPr>
        <w:t>adequate size</w:t>
      </w:r>
      <w:r w:rsidR="005853A9">
        <w:rPr>
          <w:kern w:val="0"/>
        </w:rPr>
        <w:t xml:space="preserve"> and </w:t>
      </w:r>
      <w:r>
        <w:rPr>
          <w:kern w:val="0"/>
        </w:rPr>
        <w:t>duration are needed to assess</w:t>
      </w:r>
      <w:r w:rsidR="003A1917">
        <w:rPr>
          <w:kern w:val="0"/>
        </w:rPr>
        <w:t xml:space="preserve"> the </w:t>
      </w:r>
      <w:r>
        <w:rPr>
          <w:kern w:val="0"/>
        </w:rPr>
        <w:t>clinical effectiveness</w:t>
      </w:r>
      <w:r w:rsidR="00427468">
        <w:rPr>
          <w:kern w:val="0"/>
        </w:rPr>
        <w:t xml:space="preserve"> of </w:t>
      </w:r>
      <w:r>
        <w:rPr>
          <w:kern w:val="0"/>
        </w:rPr>
        <w:t>such interventions. (Clin Ther. 2011;33:62-73) (c) 2011 Elsevier HS Journals, Inc. All rights reserved.</w:t>
      </w:r>
    </w:p>
    <w:p w:rsidR="00BC6E79" w:rsidRDefault="00BC6E79" w:rsidP="00BC6E79">
      <w:pPr>
        <w:pStyle w:val="a3"/>
        <w:rPr>
          <w:kern w:val="0"/>
        </w:rPr>
      </w:pPr>
      <w:r>
        <w:rPr>
          <w:kern w:val="0"/>
        </w:rPr>
        <w:t xml:space="preserve">Keywords: Adherence, Adults, Bias, Blood, Blood Pressure, Calendar Packaging, Clinical Effectiveness, Clinical-Trials, Cochrane, Communication, Compliance, Control, Databases, Drug, Education, Effectiveness, Frequency, Health Care, Health-Care Expenditures, Hypertension, Information, Intervention, Interventions, Items, Medication, Medication Adherence, Medication Error, </w:t>
      </w:r>
      <w:r w:rsidR="00D5664A">
        <w:rPr>
          <w:kern w:val="0"/>
        </w:rPr>
        <w:t>MEDLINE</w:t>
      </w:r>
      <w:r>
        <w:rPr>
          <w:kern w:val="0"/>
        </w:rPr>
        <w:t xml:space="preserve">, Meta-Analysis, Methods, Outcome, Outcomes, Patient Compliance, Prescription Refill Compliance, Pressure, Quantitative, Randomized Controlled Trial, Randomized Controlled Trials, Randomized Trial, Researchers, Review, Risk, Science, Strategies, Symptoms, Systematic, Systematic Review, Therapy, Utilization, Value-Added Utilities, </w:t>
      </w:r>
      <w:r w:rsidR="00D5664A">
        <w:rPr>
          <w:kern w:val="0"/>
        </w:rPr>
        <w:t>Web</w:t>
      </w:r>
      <w:r w:rsidR="00427468">
        <w:rPr>
          <w:kern w:val="0"/>
        </w:rPr>
        <w:t xml:space="preserve"> of </w:t>
      </w:r>
      <w:r w:rsidR="00D5664A">
        <w:rPr>
          <w:kern w:val="0"/>
        </w:rPr>
        <w:t>Science</w:t>
      </w:r>
    </w:p>
    <w:p w:rsidR="004E7AD7" w:rsidRDefault="004E7AD7" w:rsidP="004E7AD7">
      <w:pPr>
        <w:pStyle w:val="a3"/>
        <w:rPr>
          <w:kern w:val="0"/>
          <w:szCs w:val="24"/>
        </w:rPr>
      </w:pPr>
      <w:r>
        <w:rPr>
          <w:rFonts w:hint="eastAsia"/>
          <w:kern w:val="0"/>
          <w:szCs w:val="24"/>
        </w:rPr>
        <w:t xml:space="preserve">? </w:t>
      </w:r>
      <w:r>
        <w:rPr>
          <w:kern w:val="0"/>
          <w:szCs w:val="24"/>
        </w:rPr>
        <w:t>Khan, S.A., Neussler, H., McGuire, T., Dakin, C., Pache, D., Norris, R., Cooper, D.</w:t>
      </w:r>
      <w:r w:rsidR="005853A9">
        <w:rPr>
          <w:kern w:val="0"/>
          <w:szCs w:val="24"/>
        </w:rPr>
        <w:t xml:space="preserve"> and </w:t>
      </w:r>
      <w:r>
        <w:rPr>
          <w:kern w:val="0"/>
          <w:szCs w:val="24"/>
        </w:rPr>
        <w:t>Charles, B. (2011</w:t>
      </w:r>
      <w:r w:rsidR="00F42EAC">
        <w:rPr>
          <w:kern w:val="0"/>
          <w:szCs w:val="24"/>
        </w:rPr>
        <w:t>), The</w:t>
      </w:r>
      <w:r>
        <w:rPr>
          <w:kern w:val="0"/>
          <w:szCs w:val="24"/>
        </w:rPr>
        <w:t>rapeutic options in</w:t>
      </w:r>
      <w:r w:rsidR="003A1917">
        <w:rPr>
          <w:kern w:val="0"/>
          <w:szCs w:val="24"/>
        </w:rPr>
        <w:t xml:space="preserve"> the </w:t>
      </w:r>
      <w:r>
        <w:rPr>
          <w:kern w:val="0"/>
          <w:szCs w:val="24"/>
        </w:rPr>
        <w:t>management</w:t>
      </w:r>
      <w:r w:rsidR="00427468">
        <w:rPr>
          <w:kern w:val="0"/>
          <w:szCs w:val="24"/>
        </w:rPr>
        <w:t xml:space="preserve"> of </w:t>
      </w:r>
      <w:r>
        <w:rPr>
          <w:kern w:val="0"/>
          <w:szCs w:val="24"/>
        </w:rPr>
        <w:t xml:space="preserve">sleep disorders in visually impaired children: A systematic review. </w:t>
      </w:r>
      <w:r>
        <w:rPr>
          <w:i/>
          <w:iCs/>
          <w:kern w:val="0"/>
          <w:szCs w:val="24"/>
        </w:rPr>
        <w:t>Clinical Therapeutics</w:t>
      </w:r>
      <w:r>
        <w:rPr>
          <w:kern w:val="0"/>
          <w:szCs w:val="24"/>
        </w:rPr>
        <w:t xml:space="preserve">, </w:t>
      </w:r>
      <w:r>
        <w:rPr>
          <w:b/>
          <w:bCs/>
          <w:kern w:val="0"/>
          <w:szCs w:val="24"/>
        </w:rPr>
        <w:t>33</w:t>
      </w:r>
      <w:r>
        <w:rPr>
          <w:kern w:val="0"/>
          <w:szCs w:val="24"/>
        </w:rPr>
        <w:t xml:space="preserve"> (2), 168-181.</w:t>
      </w:r>
    </w:p>
    <w:p w:rsidR="004E7AD7" w:rsidRPr="00C73C58" w:rsidRDefault="004E7AD7" w:rsidP="004E7AD7">
      <w:pPr>
        <w:pStyle w:val="a3"/>
      </w:pPr>
      <w:r w:rsidRPr="00C73C58">
        <w:t xml:space="preserve">Full Text: </w:t>
      </w:r>
      <w:hyperlink r:id="rId455" w:history="1">
        <w:r w:rsidRPr="004E7AD7">
          <w:rPr>
            <w:rStyle w:val="a5"/>
          </w:rPr>
          <w:t>2011\Cli The33, 168.pdf</w:t>
        </w:r>
      </w:hyperlink>
    </w:p>
    <w:p w:rsidR="004E7AD7" w:rsidRDefault="004E7AD7" w:rsidP="004E7AD7">
      <w:pPr>
        <w:pStyle w:val="a3"/>
        <w:rPr>
          <w:kern w:val="0"/>
          <w:szCs w:val="24"/>
        </w:rPr>
      </w:pPr>
      <w:r>
        <w:rPr>
          <w:kern w:val="0"/>
          <w:szCs w:val="24"/>
        </w:rPr>
        <w:t>Abstract: Background: Treatment</w:t>
      </w:r>
      <w:r w:rsidR="00427468">
        <w:rPr>
          <w:kern w:val="0"/>
          <w:szCs w:val="24"/>
        </w:rPr>
        <w:t xml:space="preserve"> of </w:t>
      </w:r>
      <w:r>
        <w:rPr>
          <w:kern w:val="0"/>
          <w:szCs w:val="24"/>
        </w:rPr>
        <w:t>sleep disorders in visually impaired children is complicated by a complex pathophysiology, a high incidence</w:t>
      </w:r>
      <w:r w:rsidR="00427468">
        <w:rPr>
          <w:kern w:val="0"/>
          <w:szCs w:val="24"/>
        </w:rPr>
        <w:t xml:space="preserve"> of </w:t>
      </w:r>
      <w:r>
        <w:rPr>
          <w:kern w:val="0"/>
          <w:szCs w:val="24"/>
        </w:rPr>
        <w:t>sleep disorders in this population,</w:t>
      </w:r>
      <w:r w:rsidR="005853A9">
        <w:rPr>
          <w:kern w:val="0"/>
          <w:szCs w:val="24"/>
        </w:rPr>
        <w:t xml:space="preserve"> and </w:t>
      </w:r>
      <w:r>
        <w:rPr>
          <w:kern w:val="0"/>
          <w:szCs w:val="24"/>
        </w:rPr>
        <w:t>a dearth</w:t>
      </w:r>
      <w:r w:rsidR="00427468">
        <w:rPr>
          <w:kern w:val="0"/>
          <w:szCs w:val="24"/>
        </w:rPr>
        <w:t xml:space="preserve"> of </w:t>
      </w:r>
      <w:r>
        <w:rPr>
          <w:kern w:val="0"/>
          <w:szCs w:val="24"/>
        </w:rPr>
        <w:t>management options</w:t>
      </w:r>
      <w:r w:rsidR="00A37C1D">
        <w:rPr>
          <w:kern w:val="0"/>
          <w:szCs w:val="24"/>
        </w:rPr>
        <w:t>. The</w:t>
      </w:r>
      <w:r w:rsidR="003A1917">
        <w:rPr>
          <w:kern w:val="0"/>
          <w:szCs w:val="24"/>
        </w:rPr>
        <w:t xml:space="preserve"> </w:t>
      </w:r>
      <w:r>
        <w:rPr>
          <w:kern w:val="0"/>
          <w:szCs w:val="24"/>
        </w:rPr>
        <w:t>significant impact on</w:t>
      </w:r>
      <w:r w:rsidR="003A1917">
        <w:rPr>
          <w:kern w:val="0"/>
          <w:szCs w:val="24"/>
        </w:rPr>
        <w:t xml:space="preserve"> the </w:t>
      </w:r>
      <w:r>
        <w:rPr>
          <w:kern w:val="0"/>
          <w:szCs w:val="24"/>
        </w:rPr>
        <w:t>health</w:t>
      </w:r>
      <w:r w:rsidR="00427468">
        <w:rPr>
          <w:kern w:val="0"/>
          <w:szCs w:val="24"/>
        </w:rPr>
        <w:t xml:space="preserve"> of </w:t>
      </w:r>
      <w:r>
        <w:rPr>
          <w:kern w:val="0"/>
          <w:szCs w:val="24"/>
        </w:rPr>
        <w:t>these children</w:t>
      </w:r>
      <w:r w:rsidR="005853A9">
        <w:rPr>
          <w:kern w:val="0"/>
          <w:szCs w:val="24"/>
        </w:rPr>
        <w:t xml:space="preserve"> and </w:t>
      </w:r>
      <w:r>
        <w:rPr>
          <w:kern w:val="0"/>
          <w:szCs w:val="24"/>
        </w:rPr>
        <w:t>distress to their caregivers warrant a systematic assessment</w:t>
      </w:r>
      <w:r w:rsidR="00427468">
        <w:rPr>
          <w:kern w:val="0"/>
          <w:szCs w:val="24"/>
        </w:rPr>
        <w:t xml:space="preserve"> of </w:t>
      </w:r>
      <w:r w:rsidR="003A1917">
        <w:rPr>
          <w:kern w:val="0"/>
          <w:szCs w:val="24"/>
        </w:rPr>
        <w:t xml:space="preserve">the </w:t>
      </w:r>
      <w:r>
        <w:rPr>
          <w:kern w:val="0"/>
          <w:szCs w:val="24"/>
        </w:rPr>
        <w:t>published literature on therapeutic approaches. Objective: This systematic review aims to assess</w:t>
      </w:r>
      <w:r w:rsidR="003A1917">
        <w:rPr>
          <w:kern w:val="0"/>
          <w:szCs w:val="24"/>
        </w:rPr>
        <w:t xml:space="preserve"> the </w:t>
      </w:r>
      <w:r>
        <w:rPr>
          <w:kern w:val="0"/>
          <w:szCs w:val="24"/>
        </w:rPr>
        <w:t>current therapeutic options in</w:t>
      </w:r>
      <w:r w:rsidR="003A1917">
        <w:rPr>
          <w:kern w:val="0"/>
          <w:szCs w:val="24"/>
        </w:rPr>
        <w:t xml:space="preserve"> the </w:t>
      </w:r>
      <w:r>
        <w:rPr>
          <w:kern w:val="0"/>
          <w:szCs w:val="24"/>
        </w:rPr>
        <w:t>management</w:t>
      </w:r>
      <w:r w:rsidR="00427468">
        <w:rPr>
          <w:kern w:val="0"/>
          <w:szCs w:val="24"/>
        </w:rPr>
        <w:t xml:space="preserve"> of </w:t>
      </w:r>
      <w:r>
        <w:rPr>
          <w:kern w:val="0"/>
          <w:szCs w:val="24"/>
        </w:rPr>
        <w:t>sleep disorders in visually impaired children to identify knowledge gaps</w:t>
      </w:r>
      <w:r w:rsidR="005853A9">
        <w:rPr>
          <w:kern w:val="0"/>
          <w:szCs w:val="24"/>
        </w:rPr>
        <w:t xml:space="preserve"> and </w:t>
      </w:r>
      <w:r>
        <w:rPr>
          <w:kern w:val="0"/>
          <w:szCs w:val="24"/>
        </w:rPr>
        <w:t>guide future research. Methods: A search</w:t>
      </w:r>
      <w:r w:rsidR="00427468">
        <w:rPr>
          <w:kern w:val="0"/>
          <w:szCs w:val="24"/>
        </w:rPr>
        <w:t xml:space="preserve"> of </w:t>
      </w:r>
      <w:r>
        <w:rPr>
          <w:kern w:val="0"/>
          <w:szCs w:val="24"/>
        </w:rPr>
        <w:t>primary literature was conducted using</w:t>
      </w:r>
      <w:r w:rsidR="003A1917">
        <w:rPr>
          <w:kern w:val="0"/>
          <w:szCs w:val="24"/>
        </w:rPr>
        <w:t xml:space="preserve"> the </w:t>
      </w:r>
      <w:r>
        <w:rPr>
          <w:kern w:val="0"/>
          <w:szCs w:val="24"/>
        </w:rPr>
        <w:t xml:space="preserve">bibliographic databases </w:t>
      </w:r>
      <w:r w:rsidR="002C12F0">
        <w:rPr>
          <w:kern w:val="0"/>
          <w:szCs w:val="24"/>
        </w:rPr>
        <w:t>PUBMED</w:t>
      </w:r>
      <w:r>
        <w:rPr>
          <w:kern w:val="0"/>
          <w:szCs w:val="24"/>
        </w:rPr>
        <w:t xml:space="preserve"> (1980 August 2010), EMBASE (1990 August 2010), Science Citation Index Expanded (1990 August 2010),</w:t>
      </w:r>
      <w:r w:rsidR="005853A9">
        <w:rPr>
          <w:kern w:val="0"/>
          <w:szCs w:val="24"/>
        </w:rPr>
        <w:t xml:space="preserve"> and </w:t>
      </w:r>
      <w:r>
        <w:rPr>
          <w:kern w:val="0"/>
          <w:szCs w:val="24"/>
        </w:rPr>
        <w:t>CINHAL (1992 August 2010)</w:t>
      </w:r>
      <w:r w:rsidR="005853A9">
        <w:rPr>
          <w:kern w:val="0"/>
          <w:szCs w:val="24"/>
        </w:rPr>
        <w:t xml:space="preserve"> and </w:t>
      </w:r>
      <w:r w:rsidR="003A1917">
        <w:rPr>
          <w:kern w:val="0"/>
          <w:szCs w:val="24"/>
        </w:rPr>
        <w:t xml:space="preserve">the </w:t>
      </w:r>
      <w:r>
        <w:rPr>
          <w:kern w:val="0"/>
          <w:szCs w:val="24"/>
        </w:rPr>
        <w:t>Cochrane Central Register</w:t>
      </w:r>
      <w:r w:rsidR="00427468">
        <w:rPr>
          <w:kern w:val="0"/>
          <w:szCs w:val="24"/>
        </w:rPr>
        <w:t xml:space="preserve"> of </w:t>
      </w:r>
      <w:r>
        <w:rPr>
          <w:kern w:val="0"/>
          <w:szCs w:val="24"/>
        </w:rPr>
        <w:t>Controlled Trials (CENTRAL). Additional studies were identified through snowballing search techniques (manually by searching retrieved references</w:t>
      </w:r>
      <w:r w:rsidR="005853A9">
        <w:rPr>
          <w:kern w:val="0"/>
          <w:szCs w:val="24"/>
        </w:rPr>
        <w:t xml:space="preserve"> and </w:t>
      </w:r>
      <w:r>
        <w:rPr>
          <w:kern w:val="0"/>
          <w:szCs w:val="24"/>
        </w:rPr>
        <w:t xml:space="preserve">electronically by using citation-tracking software). Search terms included behavioral treatment, children, circadian rhythm, </w:t>
      </w:r>
      <w:r>
        <w:rPr>
          <w:kern w:val="0"/>
          <w:szCs w:val="24"/>
        </w:rPr>
        <w:lastRenderedPageBreak/>
        <w:t>hypnosedatives, intellectual disability, light therapy, melatonin, phototherapy, random allocation, randomized controlled trial (RCT), sleep disorder,</w:t>
      </w:r>
      <w:r w:rsidR="005853A9">
        <w:rPr>
          <w:kern w:val="0"/>
          <w:szCs w:val="24"/>
        </w:rPr>
        <w:t xml:space="preserve"> and </w:t>
      </w:r>
      <w:r>
        <w:rPr>
          <w:kern w:val="0"/>
          <w:szCs w:val="24"/>
        </w:rPr>
        <w:t>visual impairment. Randomized</w:t>
      </w:r>
      <w:r w:rsidR="005853A9">
        <w:rPr>
          <w:kern w:val="0"/>
          <w:szCs w:val="24"/>
        </w:rPr>
        <w:t xml:space="preserve"> and </w:t>
      </w:r>
      <w:r>
        <w:rPr>
          <w:kern w:val="0"/>
          <w:szCs w:val="24"/>
        </w:rPr>
        <w:t>quasi-randomized clinical trials</w:t>
      </w:r>
      <w:r w:rsidR="00427468">
        <w:rPr>
          <w:kern w:val="0"/>
          <w:szCs w:val="24"/>
        </w:rPr>
        <w:t xml:space="preserve"> of </w:t>
      </w:r>
      <w:r>
        <w:rPr>
          <w:kern w:val="0"/>
          <w:szCs w:val="24"/>
        </w:rPr>
        <w:t>therapeutic options (behavioral treatment, light therapy, melatonin, or hypnosedatives) used in participants aged 3 months to 18 years who had both a visual impairment</w:t>
      </w:r>
      <w:r w:rsidR="005853A9">
        <w:rPr>
          <w:kern w:val="0"/>
          <w:szCs w:val="24"/>
        </w:rPr>
        <w:t xml:space="preserve"> and </w:t>
      </w:r>
      <w:r>
        <w:rPr>
          <w:kern w:val="0"/>
          <w:szCs w:val="24"/>
        </w:rPr>
        <w:t>a sleep disorder were included. Independent extraction</w:t>
      </w:r>
      <w:r w:rsidR="00427468">
        <w:rPr>
          <w:kern w:val="0"/>
          <w:szCs w:val="24"/>
        </w:rPr>
        <w:t xml:space="preserve"> of </w:t>
      </w:r>
      <w:r>
        <w:rPr>
          <w:kern w:val="0"/>
          <w:szCs w:val="24"/>
        </w:rPr>
        <w:t>articles was performed by 2 authors using predefined data fields, including quality</w:t>
      </w:r>
      <w:r w:rsidR="00427468">
        <w:rPr>
          <w:kern w:val="0"/>
          <w:szCs w:val="24"/>
        </w:rPr>
        <w:t xml:space="preserve"> of </w:t>
      </w:r>
      <w:r w:rsidR="003A1917">
        <w:rPr>
          <w:kern w:val="0"/>
          <w:szCs w:val="24"/>
        </w:rPr>
        <w:t xml:space="preserve">the </w:t>
      </w:r>
      <w:r>
        <w:rPr>
          <w:kern w:val="0"/>
          <w:szCs w:val="24"/>
        </w:rPr>
        <w:t>therapeutic options, based on</w:t>
      </w:r>
      <w:r w:rsidR="003A1917">
        <w:rPr>
          <w:kern w:val="0"/>
          <w:szCs w:val="24"/>
        </w:rPr>
        <w:t xml:space="preserve"> the </w:t>
      </w:r>
      <w:r>
        <w:rPr>
          <w:kern w:val="0"/>
          <w:szCs w:val="24"/>
        </w:rPr>
        <w:t>Strength</w:t>
      </w:r>
      <w:r w:rsidR="00427468">
        <w:rPr>
          <w:kern w:val="0"/>
          <w:szCs w:val="24"/>
        </w:rPr>
        <w:t xml:space="preserve"> of </w:t>
      </w:r>
      <w:r>
        <w:rPr>
          <w:kern w:val="0"/>
          <w:szCs w:val="24"/>
        </w:rPr>
        <w:t>Recommendation Taxonomy evidence-rating system. Results: Two RCTs were retrieved for melatonin, with improved effect on sleep latency (P = 0.019</w:t>
      </w:r>
      <w:r w:rsidR="005853A9">
        <w:rPr>
          <w:kern w:val="0"/>
          <w:szCs w:val="24"/>
        </w:rPr>
        <w:t xml:space="preserve"> and </w:t>
      </w:r>
      <w:r>
        <w:rPr>
          <w:kern w:val="0"/>
          <w:szCs w:val="24"/>
        </w:rPr>
        <w:t>P &lt; 0.05, respectively). However, separate analysis for visual impairment was not conducted. No RCTs were retrieved for behavioral intervention, light therapy, or hypnosedatives. Three studies using behavioral therapy (2 case reports</w:t>
      </w:r>
      <w:r w:rsidR="005853A9">
        <w:rPr>
          <w:kern w:val="0"/>
          <w:szCs w:val="24"/>
        </w:rPr>
        <w:t xml:space="preserve"> and </w:t>
      </w:r>
      <w:r>
        <w:rPr>
          <w:kern w:val="0"/>
          <w:szCs w:val="24"/>
        </w:rPr>
        <w:t>1 case series) anecdotally showed improvement in sleep habit. No improvement in sleep rhythm was observed with a case series applying light therapy as an intervention. Conclusions: Children with visual impairment</w:t>
      </w:r>
      <w:r w:rsidR="005853A9">
        <w:rPr>
          <w:kern w:val="0"/>
          <w:szCs w:val="24"/>
        </w:rPr>
        <w:t xml:space="preserve"> and </w:t>
      </w:r>
      <w:r>
        <w:rPr>
          <w:kern w:val="0"/>
          <w:szCs w:val="24"/>
        </w:rPr>
        <w:t>sleep disorders are a heterogeneous patient group, making diagnosis</w:t>
      </w:r>
      <w:r w:rsidR="005853A9">
        <w:rPr>
          <w:kern w:val="0"/>
          <w:szCs w:val="24"/>
        </w:rPr>
        <w:t xml:space="preserve"> and </w:t>
      </w:r>
      <w:r>
        <w:rPr>
          <w:kern w:val="0"/>
          <w:szCs w:val="24"/>
        </w:rPr>
        <w:t>treatment difficult. RCTs on treatment options remain in their infancy, with a lack</w:t>
      </w:r>
      <w:r w:rsidR="00427468">
        <w:rPr>
          <w:kern w:val="0"/>
          <w:szCs w:val="24"/>
        </w:rPr>
        <w:t xml:space="preserve"> of </w:t>
      </w:r>
      <w:r>
        <w:rPr>
          <w:kern w:val="0"/>
          <w:szCs w:val="24"/>
        </w:rPr>
        <w:t>evidence for appropriate therapeutic strategies. Trials across a range</w:t>
      </w:r>
      <w:r w:rsidR="00427468">
        <w:rPr>
          <w:kern w:val="0"/>
          <w:szCs w:val="24"/>
        </w:rPr>
        <w:t xml:space="preserve"> of </w:t>
      </w:r>
      <w:r>
        <w:rPr>
          <w:kern w:val="0"/>
          <w:szCs w:val="24"/>
        </w:rPr>
        <w:t>selected diagnoses need to be conducted with adequate sample populations to differentiate</w:t>
      </w:r>
      <w:r w:rsidR="003A1917">
        <w:rPr>
          <w:kern w:val="0"/>
          <w:szCs w:val="24"/>
        </w:rPr>
        <w:t xml:space="preserve"> the </w:t>
      </w:r>
      <w:r>
        <w:rPr>
          <w:kern w:val="0"/>
          <w:szCs w:val="24"/>
        </w:rPr>
        <w:t>efficacy</w:t>
      </w:r>
      <w:r w:rsidR="00427468">
        <w:rPr>
          <w:kern w:val="0"/>
          <w:szCs w:val="24"/>
        </w:rPr>
        <w:t xml:space="preserve"> of </w:t>
      </w:r>
      <w:r>
        <w:rPr>
          <w:kern w:val="0"/>
          <w:szCs w:val="24"/>
        </w:rPr>
        <w:t>4 different treatment modalities (behavioral therapy, light therapy, melatonin,</w:t>
      </w:r>
      <w:r w:rsidR="005853A9">
        <w:rPr>
          <w:kern w:val="0"/>
          <w:szCs w:val="24"/>
        </w:rPr>
        <w:t xml:space="preserve"> and </w:t>
      </w:r>
      <w:r>
        <w:rPr>
          <w:kern w:val="0"/>
          <w:szCs w:val="24"/>
        </w:rPr>
        <w:t>hypnosedatives) as agents for improving sleep. (Clin Then 2011;33:168-181) (C) 2011 Elsevier HS Journals, Inc. All rights reserved.</w:t>
      </w:r>
    </w:p>
    <w:p w:rsidR="004E7AD7" w:rsidRDefault="004E7AD7" w:rsidP="004E7AD7">
      <w:pPr>
        <w:pStyle w:val="a3"/>
        <w:rPr>
          <w:kern w:val="0"/>
          <w:szCs w:val="24"/>
        </w:rPr>
      </w:pPr>
      <w:r>
        <w:rPr>
          <w:kern w:val="0"/>
          <w:szCs w:val="24"/>
        </w:rPr>
        <w:t xml:space="preserve">Keywords: Adolescents, Assessment, Authors, Bibliographic, Bibliographic Databases, Blind-Children, Bright Light, Case Reports, Case Series, Children, Chronobiology, Circadian Rhythm, Circadian-Rhythms, Citation, Clinical Trials, Databases, Diagnosis, Disturbances, Embase, Literature, Melatonin Treatment, Primary, </w:t>
      </w:r>
      <w:r w:rsidR="002C12F0">
        <w:rPr>
          <w:kern w:val="0"/>
          <w:szCs w:val="24"/>
        </w:rPr>
        <w:t>PUBMED</w:t>
      </w:r>
      <w:r>
        <w:rPr>
          <w:kern w:val="0"/>
          <w:szCs w:val="24"/>
        </w:rPr>
        <w:t>, Rat Suprachiasmatic Nucleus, Recommendation, Research, Review, Science Citation Index, Shifts, Sleep Disorder, Systematic Review, Visual Impairment, Wake Cycle Disorders, Young-Adults</w:t>
      </w:r>
    </w:p>
    <w:p w:rsidR="00144CB8" w:rsidRDefault="00144CB8" w:rsidP="00144CB8">
      <w:pPr>
        <w:pStyle w:val="a3"/>
        <w:rPr>
          <w:kern w:val="0"/>
          <w:szCs w:val="24"/>
        </w:rPr>
      </w:pPr>
      <w:r>
        <w:rPr>
          <w:rFonts w:hint="eastAsia"/>
          <w:kern w:val="0"/>
          <w:szCs w:val="24"/>
        </w:rPr>
        <w:t xml:space="preserve">? </w:t>
      </w:r>
      <w:r>
        <w:rPr>
          <w:kern w:val="0"/>
          <w:szCs w:val="24"/>
        </w:rPr>
        <w:t>Richard, K.R., Shelburne, J.S.</w:t>
      </w:r>
      <w:r w:rsidR="005853A9">
        <w:rPr>
          <w:kern w:val="0"/>
          <w:szCs w:val="24"/>
        </w:rPr>
        <w:t xml:space="preserve"> and </w:t>
      </w:r>
      <w:r>
        <w:rPr>
          <w:kern w:val="0"/>
          <w:szCs w:val="24"/>
        </w:rPr>
        <w:t>Kirk, J.K. (2011), Tolerability</w:t>
      </w:r>
      <w:r w:rsidR="00427468">
        <w:rPr>
          <w:kern w:val="0"/>
          <w:szCs w:val="24"/>
        </w:rPr>
        <w:t xml:space="preserve"> of </w:t>
      </w:r>
      <w:r>
        <w:rPr>
          <w:kern w:val="0"/>
          <w:szCs w:val="24"/>
        </w:rPr>
        <w:t xml:space="preserve">dipeptidyl peptidase-4 inhibitors: A review. </w:t>
      </w:r>
      <w:r>
        <w:rPr>
          <w:i/>
          <w:iCs/>
          <w:kern w:val="0"/>
          <w:szCs w:val="24"/>
        </w:rPr>
        <w:t>Clinical Therapeutics</w:t>
      </w:r>
      <w:r>
        <w:rPr>
          <w:kern w:val="0"/>
          <w:szCs w:val="24"/>
        </w:rPr>
        <w:t xml:space="preserve">, </w:t>
      </w:r>
      <w:r>
        <w:rPr>
          <w:b/>
          <w:bCs/>
          <w:kern w:val="0"/>
          <w:szCs w:val="24"/>
        </w:rPr>
        <w:t>33</w:t>
      </w:r>
      <w:r>
        <w:rPr>
          <w:kern w:val="0"/>
          <w:szCs w:val="24"/>
        </w:rPr>
        <w:t xml:space="preserve"> (11), 1609-1629.</w:t>
      </w:r>
    </w:p>
    <w:p w:rsidR="00144CB8" w:rsidRPr="00C73C58" w:rsidRDefault="00144CB8" w:rsidP="00144CB8">
      <w:pPr>
        <w:pStyle w:val="a3"/>
      </w:pPr>
      <w:r w:rsidRPr="00C73C58">
        <w:t xml:space="preserve">Full Text: </w:t>
      </w:r>
      <w:hyperlink r:id="rId456" w:history="1">
        <w:r w:rsidRPr="0016326D">
          <w:rPr>
            <w:rStyle w:val="a5"/>
          </w:rPr>
          <w:t>2011\Cli The33, 1609.pdf</w:t>
        </w:r>
      </w:hyperlink>
    </w:p>
    <w:p w:rsidR="00144CB8" w:rsidRDefault="00144CB8" w:rsidP="00144CB8">
      <w:pPr>
        <w:pStyle w:val="a3"/>
        <w:rPr>
          <w:kern w:val="0"/>
          <w:szCs w:val="24"/>
        </w:rPr>
      </w:pPr>
      <w:r>
        <w:rPr>
          <w:kern w:val="0"/>
          <w:szCs w:val="24"/>
        </w:rPr>
        <w:t>Abstract: Background: Oral glucose-lowering agents are used to treat patients with type 2 diabetes mellitus (T2DM). Most patients require multiple agents to maintain glycemic targets. Dipeptidyl peptidase-4 (DPP-4) inhibitors are administered as monotherapy</w:t>
      </w:r>
      <w:r w:rsidR="005853A9">
        <w:rPr>
          <w:kern w:val="0"/>
          <w:szCs w:val="24"/>
        </w:rPr>
        <w:t xml:space="preserve"> and </w:t>
      </w:r>
      <w:r>
        <w:rPr>
          <w:kern w:val="0"/>
          <w:szCs w:val="24"/>
        </w:rPr>
        <w:t>in combination therapy for</w:t>
      </w:r>
      <w:r w:rsidR="003A1917">
        <w:rPr>
          <w:kern w:val="0"/>
          <w:szCs w:val="24"/>
        </w:rPr>
        <w:t xml:space="preserve"> the </w:t>
      </w:r>
      <w:r>
        <w:rPr>
          <w:kern w:val="0"/>
          <w:szCs w:val="24"/>
        </w:rPr>
        <w:t>treatment</w:t>
      </w:r>
      <w:r w:rsidR="00427468">
        <w:rPr>
          <w:kern w:val="0"/>
          <w:szCs w:val="24"/>
        </w:rPr>
        <w:t xml:space="preserve"> of </w:t>
      </w:r>
      <w:r>
        <w:rPr>
          <w:kern w:val="0"/>
          <w:szCs w:val="24"/>
        </w:rPr>
        <w:t>T2DM. Objective:</w:t>
      </w:r>
      <w:r w:rsidR="003A1917">
        <w:rPr>
          <w:kern w:val="0"/>
          <w:szCs w:val="24"/>
        </w:rPr>
        <w:t xml:space="preserve"> the </w:t>
      </w:r>
      <w:r>
        <w:rPr>
          <w:kern w:val="0"/>
          <w:szCs w:val="24"/>
        </w:rPr>
        <w:t>aim</w:t>
      </w:r>
      <w:r w:rsidR="00427468">
        <w:rPr>
          <w:kern w:val="0"/>
          <w:szCs w:val="24"/>
        </w:rPr>
        <w:t xml:space="preserve"> of </w:t>
      </w:r>
      <w:r>
        <w:rPr>
          <w:kern w:val="0"/>
          <w:szCs w:val="24"/>
        </w:rPr>
        <w:t>this article was to provide a thorough review</w:t>
      </w:r>
      <w:r w:rsidR="00427468">
        <w:rPr>
          <w:kern w:val="0"/>
          <w:szCs w:val="24"/>
        </w:rPr>
        <w:t xml:space="preserve"> of </w:t>
      </w:r>
      <w:r>
        <w:rPr>
          <w:kern w:val="0"/>
          <w:szCs w:val="24"/>
        </w:rPr>
        <w:t>published tolerability data on 5 DPP-4 inhibitors. Methods: PubMed</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Pr>
          <w:kern w:val="0"/>
          <w:szCs w:val="24"/>
        </w:rPr>
        <w:t xml:space="preserve"> were searched for English-language clinical trials published from January 2000 to June 2001, using</w:t>
      </w:r>
      <w:r w:rsidR="003A1917">
        <w:rPr>
          <w:kern w:val="0"/>
          <w:szCs w:val="24"/>
        </w:rPr>
        <w:t xml:space="preserve"> the </w:t>
      </w:r>
      <w:r>
        <w:rPr>
          <w:kern w:val="0"/>
          <w:szCs w:val="24"/>
        </w:rPr>
        <w:lastRenderedPageBreak/>
        <w:t>following key words: dipeptidyl peptidase-4 inhibitor, vildagliptin, alogliptin, sitagliptin, saxagliptin, linagliptin, safety, tolerability, efficacy, effect, AE,</w:t>
      </w:r>
      <w:r w:rsidR="005853A9">
        <w:rPr>
          <w:kern w:val="0"/>
          <w:szCs w:val="24"/>
        </w:rPr>
        <w:t xml:space="preserve"> and </w:t>
      </w:r>
      <w:r>
        <w:rPr>
          <w:kern w:val="0"/>
          <w:szCs w:val="24"/>
        </w:rPr>
        <w:t>adverse effect. Studies were considered for inclusion if they were randomized, double-blind trials performed in patients &gt;= 18 years</w:t>
      </w:r>
      <w:r w:rsidR="00427468">
        <w:rPr>
          <w:kern w:val="0"/>
          <w:szCs w:val="24"/>
        </w:rPr>
        <w:t xml:space="preserve"> of </w:t>
      </w:r>
      <w:r>
        <w:rPr>
          <w:kern w:val="0"/>
          <w:szCs w:val="24"/>
        </w:rPr>
        <w:t>age with T2DM</w:t>
      </w:r>
      <w:r w:rsidR="005853A9">
        <w:rPr>
          <w:kern w:val="0"/>
          <w:szCs w:val="24"/>
        </w:rPr>
        <w:t xml:space="preserve"> and </w:t>
      </w:r>
      <w:r>
        <w:rPr>
          <w:kern w:val="0"/>
          <w:szCs w:val="24"/>
        </w:rPr>
        <w:t>with a hemoglobin A(1c)</w:t>
      </w:r>
      <w:r w:rsidR="00427468">
        <w:rPr>
          <w:kern w:val="0"/>
          <w:szCs w:val="24"/>
        </w:rPr>
        <w:t xml:space="preserve"> of </w:t>
      </w:r>
      <w:r>
        <w:rPr>
          <w:kern w:val="0"/>
          <w:szCs w:val="24"/>
        </w:rPr>
        <w:t>&gt;= 6.5%; included &gt;= 1 arm that received monotherapy with DPP-4;</w:t>
      </w:r>
      <w:r w:rsidR="005853A9">
        <w:rPr>
          <w:kern w:val="0"/>
          <w:szCs w:val="24"/>
        </w:rPr>
        <w:t xml:space="preserve"> and </w:t>
      </w:r>
      <w:r>
        <w:rPr>
          <w:kern w:val="0"/>
          <w:szCs w:val="24"/>
        </w:rPr>
        <w:t>reported adverse events (AEs). Studies in patients with a history</w:t>
      </w:r>
      <w:r w:rsidR="00427468">
        <w:rPr>
          <w:kern w:val="0"/>
          <w:szCs w:val="24"/>
        </w:rPr>
        <w:t xml:space="preserve"> of </w:t>
      </w:r>
      <w:r>
        <w:rPr>
          <w:kern w:val="0"/>
          <w:szCs w:val="24"/>
        </w:rPr>
        <w:t>type 1 or secondary forms</w:t>
      </w:r>
      <w:r w:rsidR="00427468">
        <w:rPr>
          <w:kern w:val="0"/>
          <w:szCs w:val="24"/>
        </w:rPr>
        <w:t xml:space="preserve"> of </w:t>
      </w:r>
      <w:r>
        <w:rPr>
          <w:kern w:val="0"/>
          <w:szCs w:val="24"/>
        </w:rPr>
        <w:t>diabetes, significant diabetic complications or cardiovascular disease within</w:t>
      </w:r>
      <w:r w:rsidR="003A1917">
        <w:rPr>
          <w:kern w:val="0"/>
          <w:szCs w:val="24"/>
        </w:rPr>
        <w:t xml:space="preserve"> the </w:t>
      </w:r>
      <w:r>
        <w:rPr>
          <w:kern w:val="0"/>
          <w:szCs w:val="24"/>
        </w:rPr>
        <w:t>6 months before</w:t>
      </w:r>
      <w:r w:rsidR="003A1917">
        <w:rPr>
          <w:kern w:val="0"/>
          <w:szCs w:val="24"/>
        </w:rPr>
        <w:t xml:space="preserve"> the </w:t>
      </w:r>
      <w:r>
        <w:rPr>
          <w:kern w:val="0"/>
          <w:szCs w:val="24"/>
        </w:rPr>
        <w:t>start</w:t>
      </w:r>
      <w:r w:rsidR="00427468">
        <w:rPr>
          <w:kern w:val="0"/>
          <w:szCs w:val="24"/>
        </w:rPr>
        <w:t xml:space="preserve"> of </w:t>
      </w:r>
      <w:r w:rsidR="003A1917">
        <w:rPr>
          <w:kern w:val="0"/>
          <w:szCs w:val="24"/>
        </w:rPr>
        <w:t xml:space="preserve">the </w:t>
      </w:r>
      <w:r>
        <w:rPr>
          <w:kern w:val="0"/>
          <w:szCs w:val="24"/>
        </w:rPr>
        <w:t>study, hepatic disease or abnormalities, and/or renal abnormalities were excluded. Results: A total</w:t>
      </w:r>
      <w:r w:rsidR="00427468">
        <w:rPr>
          <w:kern w:val="0"/>
          <w:szCs w:val="24"/>
        </w:rPr>
        <w:t xml:space="preserve"> of </w:t>
      </w:r>
      <w:r>
        <w:rPr>
          <w:kern w:val="0"/>
          <w:szCs w:val="24"/>
        </w:rPr>
        <w:t>45 clinical trials, 5 pharmacokinetic studies,</w:t>
      </w:r>
      <w:r w:rsidR="005853A9">
        <w:rPr>
          <w:kern w:val="0"/>
          <w:szCs w:val="24"/>
        </w:rPr>
        <w:t xml:space="preserve"> and </w:t>
      </w:r>
      <w:r>
        <w:rPr>
          <w:kern w:val="0"/>
          <w:szCs w:val="24"/>
        </w:rPr>
        <w:t>28 meta-analyses or reviews were included</w:t>
      </w:r>
      <w:r w:rsidR="00A37C1D">
        <w:rPr>
          <w:kern w:val="0"/>
          <w:szCs w:val="24"/>
        </w:rPr>
        <w:t>. The</w:t>
      </w:r>
      <w:r w:rsidR="003A1917">
        <w:rPr>
          <w:kern w:val="0"/>
          <w:szCs w:val="24"/>
        </w:rPr>
        <w:t xml:space="preserve"> </w:t>
      </w:r>
      <w:r>
        <w:rPr>
          <w:kern w:val="0"/>
          <w:szCs w:val="24"/>
        </w:rPr>
        <w:t>duration</w:t>
      </w:r>
      <w:r w:rsidR="00427468">
        <w:rPr>
          <w:kern w:val="0"/>
          <w:szCs w:val="24"/>
        </w:rPr>
        <w:t xml:space="preserve"> of </w:t>
      </w:r>
      <w:r>
        <w:rPr>
          <w:kern w:val="0"/>
          <w:szCs w:val="24"/>
        </w:rPr>
        <w:t>studies ranged from 7 days to 104 weeks</w:t>
      </w:r>
      <w:r w:rsidR="00A37C1D">
        <w:rPr>
          <w:kern w:val="0"/>
          <w:szCs w:val="24"/>
        </w:rPr>
        <w:t>. The</w:t>
      </w:r>
      <w:r w:rsidR="003A1917">
        <w:rPr>
          <w:kern w:val="0"/>
          <w:szCs w:val="24"/>
        </w:rPr>
        <w:t xml:space="preserve"> </w:t>
      </w:r>
      <w:r>
        <w:rPr>
          <w:kern w:val="0"/>
          <w:szCs w:val="24"/>
        </w:rPr>
        <w:t>most commonly reported AEs were nasopharyngitis, upper respiratory infections, all-cause infections, headache, gastrointestinal symptoms,</w:t>
      </w:r>
      <w:r w:rsidR="005853A9">
        <w:rPr>
          <w:kern w:val="0"/>
          <w:szCs w:val="24"/>
        </w:rPr>
        <w:t xml:space="preserve"> and </w:t>
      </w:r>
      <w:r>
        <w:rPr>
          <w:kern w:val="0"/>
          <w:szCs w:val="24"/>
        </w:rPr>
        <w:t>musculoskeletal pain. Based on</w:t>
      </w:r>
      <w:r w:rsidR="003A1917">
        <w:rPr>
          <w:kern w:val="0"/>
          <w:szCs w:val="24"/>
        </w:rPr>
        <w:t xml:space="preserve"> the </w:t>
      </w:r>
      <w:r>
        <w:rPr>
          <w:kern w:val="0"/>
          <w:szCs w:val="24"/>
        </w:rPr>
        <w:t>findings from</w:t>
      </w:r>
      <w:r w:rsidR="003A1917">
        <w:rPr>
          <w:kern w:val="0"/>
          <w:szCs w:val="24"/>
        </w:rPr>
        <w:t xml:space="preserve"> the </w:t>
      </w:r>
      <w:r>
        <w:rPr>
          <w:kern w:val="0"/>
          <w:szCs w:val="24"/>
        </w:rPr>
        <w:t>studies,</w:t>
      </w:r>
      <w:r w:rsidR="003A1917">
        <w:rPr>
          <w:kern w:val="0"/>
          <w:szCs w:val="24"/>
        </w:rPr>
        <w:t xml:space="preserve"> the </w:t>
      </w:r>
      <w:r>
        <w:rPr>
          <w:kern w:val="0"/>
          <w:szCs w:val="24"/>
        </w:rPr>
        <w:t>DPP-4 inhibitors had minimal impact on weight</w:t>
      </w:r>
      <w:r w:rsidR="005853A9">
        <w:rPr>
          <w:kern w:val="0"/>
          <w:szCs w:val="24"/>
        </w:rPr>
        <w:t xml:space="preserve"> and </w:t>
      </w:r>
      <w:r>
        <w:rPr>
          <w:kern w:val="0"/>
          <w:szCs w:val="24"/>
        </w:rPr>
        <w:t>were not associated with an increased risk for hypoglycemia relative to placebo. Rates</w:t>
      </w:r>
      <w:r w:rsidR="00427468">
        <w:rPr>
          <w:kern w:val="0"/>
          <w:szCs w:val="24"/>
        </w:rPr>
        <w:t xml:space="preserve"> of </w:t>
      </w:r>
      <w:r>
        <w:rPr>
          <w:kern w:val="0"/>
          <w:szCs w:val="24"/>
        </w:rPr>
        <w:t>nasopharyngitis were higher with</w:t>
      </w:r>
      <w:r w:rsidR="003A1917">
        <w:rPr>
          <w:kern w:val="0"/>
          <w:szCs w:val="24"/>
        </w:rPr>
        <w:t xml:space="preserve"> the </w:t>
      </w:r>
      <w:r>
        <w:rPr>
          <w:kern w:val="0"/>
          <w:szCs w:val="24"/>
        </w:rPr>
        <w:t>DDP-4 inhibitors than with placebo. Pancreatitis was reported at lower rates with</w:t>
      </w:r>
      <w:r w:rsidR="003A1917">
        <w:rPr>
          <w:kern w:val="0"/>
          <w:szCs w:val="24"/>
        </w:rPr>
        <w:t xml:space="preserve"> the </w:t>
      </w:r>
      <w:r>
        <w:rPr>
          <w:kern w:val="0"/>
          <w:szCs w:val="24"/>
        </w:rPr>
        <w:t>DPP-4 inhibitors compared with other oral antihyperglycemic agents. Cardiovascular events were limited,</w:t>
      </w:r>
      <w:r w:rsidR="005853A9">
        <w:rPr>
          <w:kern w:val="0"/>
          <w:szCs w:val="24"/>
        </w:rPr>
        <w:t xml:space="preserve"> and </w:t>
      </w:r>
      <w:r>
        <w:rPr>
          <w:kern w:val="0"/>
          <w:szCs w:val="24"/>
        </w:rPr>
        <w:t>postmarketing studies are ongoing. Conclusions:</w:t>
      </w:r>
      <w:r w:rsidR="003A1917">
        <w:rPr>
          <w:kern w:val="0"/>
          <w:szCs w:val="24"/>
        </w:rPr>
        <w:t xml:space="preserve"> the </w:t>
      </w:r>
      <w:r>
        <w:rPr>
          <w:kern w:val="0"/>
          <w:szCs w:val="24"/>
        </w:rPr>
        <w:t>tolerability</w:t>
      </w:r>
      <w:r w:rsidR="00427468">
        <w:rPr>
          <w:kern w:val="0"/>
          <w:szCs w:val="24"/>
        </w:rPr>
        <w:t xml:space="preserve"> of </w:t>
      </w:r>
      <w:r>
        <w:rPr>
          <w:kern w:val="0"/>
          <w:szCs w:val="24"/>
        </w:rPr>
        <w:t>DPP-4 inhibitors is supported by published clinical trials</w:t>
      </w:r>
      <w:r w:rsidR="00A37C1D">
        <w:rPr>
          <w:kern w:val="0"/>
          <w:szCs w:val="24"/>
        </w:rPr>
        <w:t>. The</w:t>
      </w:r>
      <w:r w:rsidR="003A1917">
        <w:rPr>
          <w:kern w:val="0"/>
          <w:szCs w:val="24"/>
        </w:rPr>
        <w:t xml:space="preserve"> </w:t>
      </w:r>
      <w:r>
        <w:rPr>
          <w:kern w:val="0"/>
          <w:szCs w:val="24"/>
        </w:rPr>
        <w:t>rates</w:t>
      </w:r>
      <w:r w:rsidR="00427468">
        <w:rPr>
          <w:kern w:val="0"/>
          <w:szCs w:val="24"/>
        </w:rPr>
        <w:t xml:space="preserve"> of </w:t>
      </w:r>
      <w:r>
        <w:rPr>
          <w:kern w:val="0"/>
          <w:szCs w:val="24"/>
        </w:rPr>
        <w:t>weight gain, gastrointestinal AEs,</w:t>
      </w:r>
      <w:r w:rsidR="005853A9">
        <w:rPr>
          <w:kern w:val="0"/>
          <w:szCs w:val="24"/>
        </w:rPr>
        <w:t xml:space="preserve"> and </w:t>
      </w:r>
      <w:r>
        <w:rPr>
          <w:kern w:val="0"/>
          <w:szCs w:val="24"/>
        </w:rPr>
        <w:t>hypoglycemia were minimal with</w:t>
      </w:r>
      <w:r w:rsidR="003A1917">
        <w:rPr>
          <w:kern w:val="0"/>
          <w:szCs w:val="24"/>
        </w:rPr>
        <w:t xml:space="preserve"> the </w:t>
      </w:r>
      <w:r>
        <w:rPr>
          <w:kern w:val="0"/>
          <w:szCs w:val="24"/>
        </w:rPr>
        <w:t>DPP-4 inhibitors studied. (Clin Ther. 2011;33:1609-1629) (C) 2011 Elsevier HS Journals, Inc. All rights reserved.</w:t>
      </w:r>
    </w:p>
    <w:p w:rsidR="00144CB8" w:rsidRDefault="00144CB8" w:rsidP="00144CB8">
      <w:pPr>
        <w:pStyle w:val="a3"/>
        <w:rPr>
          <w:kern w:val="0"/>
          <w:szCs w:val="24"/>
        </w:rPr>
      </w:pPr>
      <w:r>
        <w:rPr>
          <w:kern w:val="0"/>
          <w:szCs w:val="24"/>
        </w:rPr>
        <w:t xml:space="preserve">Keywords: Adverse Events, Alogliptin, Cardiovascular, Cardiovascular Disease, Cardiovascular Events, Clinical Trials, Combination Therapy, Complications, Diabetes, Diabetes Mellitus, Dipeptidyl Peptidase-4 (Dpp-4) Inhibitor, Disease, Double-Blind, Drug-Naive Patients, Efficacy, Gastrointestinal, History, Hypoglycemia, Impact, Improves Glycemic Control, Incretin-Based Therapies, Inhibitors, Initial Combination Therapy, Japanese Patients, Journals, Linagliptin, Methods, Monotherapy, Once-Daily Sitagliptin, Oral, Pain, Patients, Pubmed, Randomized Controlled-Trial, Renal, Respiratory, Respiratory Infections, Review, Risk, Safety, Saxagliptin, Science, Sitagliptin, Symptoms, Therapy, Treatment, Type 1, Type 2, Type 2 Diabetes, Type 2 Diabetes Mellitus, Type-2 Diabetes-Mellitus, Vildagliptin, Vildagliptin Monotherapy, </w:t>
      </w:r>
      <w:r w:rsidR="00D5664A">
        <w:rPr>
          <w:kern w:val="0"/>
          <w:szCs w:val="24"/>
        </w:rPr>
        <w:t>Web</w:t>
      </w:r>
      <w:r w:rsidR="00427468">
        <w:rPr>
          <w:kern w:val="0"/>
          <w:szCs w:val="24"/>
        </w:rPr>
        <w:t xml:space="preserve"> of </w:t>
      </w:r>
      <w:r w:rsidR="00D5664A">
        <w:rPr>
          <w:kern w:val="0"/>
          <w:szCs w:val="24"/>
        </w:rPr>
        <w:t>Science</w:t>
      </w:r>
      <w:r>
        <w:rPr>
          <w:kern w:val="0"/>
          <w:szCs w:val="24"/>
        </w:rPr>
        <w:t>, Weight Gain</w:t>
      </w:r>
    </w:p>
    <w:p w:rsidR="004238F3" w:rsidRDefault="004238F3" w:rsidP="004238F3">
      <w:pPr>
        <w:pStyle w:val="a3"/>
        <w:rPr>
          <w:kern w:val="0"/>
        </w:rPr>
      </w:pPr>
      <w:r>
        <w:rPr>
          <w:rFonts w:hint="eastAsia"/>
          <w:kern w:val="0"/>
        </w:rPr>
        <w:t xml:space="preserve">? </w:t>
      </w:r>
      <w:r>
        <w:rPr>
          <w:kern w:val="0"/>
        </w:rPr>
        <w:t>Timko, B.P.</w:t>
      </w:r>
      <w:r w:rsidR="005853A9">
        <w:rPr>
          <w:kern w:val="0"/>
        </w:rPr>
        <w:t xml:space="preserve"> and </w:t>
      </w:r>
      <w:r>
        <w:rPr>
          <w:kern w:val="0"/>
        </w:rPr>
        <w:t xml:space="preserve">Kohane, D.S. (2012), Materials to clinical devices: Technologies for remotely triggered drug delivery. </w:t>
      </w:r>
      <w:r>
        <w:rPr>
          <w:i/>
          <w:iCs/>
          <w:kern w:val="0"/>
        </w:rPr>
        <w:t>Clinical Therapeutics</w:t>
      </w:r>
      <w:r>
        <w:rPr>
          <w:kern w:val="0"/>
        </w:rPr>
        <w:t xml:space="preserve">, </w:t>
      </w:r>
      <w:r>
        <w:rPr>
          <w:b/>
          <w:bCs/>
          <w:kern w:val="0"/>
        </w:rPr>
        <w:t>34</w:t>
      </w:r>
      <w:r>
        <w:rPr>
          <w:kern w:val="0"/>
        </w:rPr>
        <w:t xml:space="preserve"> (11), S25-S35.</w:t>
      </w:r>
    </w:p>
    <w:p w:rsidR="00AE6EAA" w:rsidRPr="00C73C58" w:rsidRDefault="00AE6EAA" w:rsidP="00AE6EAA">
      <w:pPr>
        <w:pStyle w:val="a3"/>
      </w:pPr>
      <w:r w:rsidRPr="00C73C58">
        <w:t xml:space="preserve">Full Text: </w:t>
      </w:r>
      <w:hyperlink r:id="rId457" w:history="1">
        <w:r w:rsidRPr="00C1632B">
          <w:rPr>
            <w:rStyle w:val="a5"/>
          </w:rPr>
          <w:t>2012\Cli The34, S25.pdf</w:t>
        </w:r>
      </w:hyperlink>
    </w:p>
    <w:p w:rsidR="004238F3" w:rsidRDefault="004238F3" w:rsidP="004238F3">
      <w:pPr>
        <w:pStyle w:val="a3"/>
        <w:rPr>
          <w:kern w:val="0"/>
        </w:rPr>
      </w:pPr>
      <w:r>
        <w:rPr>
          <w:kern w:val="0"/>
        </w:rPr>
        <w:t>Abstract: Background: Technologies in which a remote trigger is used to release drug from an implanted or injected device could enable on-demand release profiles that enhance therapeutic effectiveness or reduce systemic toxicity. A number</w:t>
      </w:r>
      <w:r w:rsidR="00427468">
        <w:rPr>
          <w:kern w:val="0"/>
        </w:rPr>
        <w:t xml:space="preserve"> of </w:t>
      </w:r>
      <w:r>
        <w:rPr>
          <w:kern w:val="0"/>
        </w:rPr>
        <w:t xml:space="preserve">new </w:t>
      </w:r>
      <w:r>
        <w:rPr>
          <w:kern w:val="0"/>
        </w:rPr>
        <w:lastRenderedPageBreak/>
        <w:t>materials have been developed that exhibit sensitivity to light, ultrasound, or electrical or magnetic fields. Delivery systems that incorporate these materials might be triggered externally by the patient, parent or physician to provide flexible control</w:t>
      </w:r>
      <w:r w:rsidR="00427468">
        <w:rPr>
          <w:kern w:val="0"/>
        </w:rPr>
        <w:t xml:space="preserve"> of </w:t>
      </w:r>
      <w:r>
        <w:rPr>
          <w:kern w:val="0"/>
        </w:rPr>
        <w:t>dose magnitude</w:t>
      </w:r>
      <w:r w:rsidR="005853A9">
        <w:rPr>
          <w:kern w:val="0"/>
        </w:rPr>
        <w:t xml:space="preserve"> and </w:t>
      </w:r>
      <w:r>
        <w:rPr>
          <w:kern w:val="0"/>
        </w:rPr>
        <w:t>timing. Objectives: To review injectable or implantable systems that are candidates for translation to the clinic, or ones that have already undergone clinical trials. Also considered are applicability in pediatrics</w:t>
      </w:r>
      <w:r w:rsidR="005853A9">
        <w:rPr>
          <w:kern w:val="0"/>
        </w:rPr>
        <w:t xml:space="preserve"> and </w:t>
      </w:r>
      <w:r>
        <w:rPr>
          <w:kern w:val="0"/>
        </w:rPr>
        <w:t>prospects for the future</w:t>
      </w:r>
      <w:r w:rsidR="00427468">
        <w:rPr>
          <w:kern w:val="0"/>
        </w:rPr>
        <w:t xml:space="preserve"> of </w:t>
      </w:r>
      <w:r>
        <w:rPr>
          <w:kern w:val="0"/>
        </w:rPr>
        <w:t>drug delivery systems. Methods: We performed literature searches</w:t>
      </w:r>
      <w:r w:rsidR="00427468">
        <w:rPr>
          <w:kern w:val="0"/>
        </w:rPr>
        <w:t xml:space="preserve"> of </w:t>
      </w:r>
      <w:r>
        <w:rPr>
          <w:kern w:val="0"/>
        </w:rPr>
        <w:t>the PubMed</w:t>
      </w:r>
      <w:r w:rsidR="005853A9">
        <w:rPr>
          <w:kern w:val="0"/>
        </w:rPr>
        <w:t xml:space="preserve"> and </w:t>
      </w:r>
      <w:r>
        <w:rPr>
          <w:kern w:val="0"/>
        </w:rPr>
        <w:t>Science Citation Index databases for articles in English that reported triggerable drug delivery devices,</w:t>
      </w:r>
      <w:r w:rsidR="005853A9">
        <w:rPr>
          <w:kern w:val="0"/>
        </w:rPr>
        <w:t xml:space="preserve"> and </w:t>
      </w:r>
      <w:r>
        <w:rPr>
          <w:kern w:val="0"/>
        </w:rPr>
        <w:t>for articles reporting related materials</w:t>
      </w:r>
      <w:r w:rsidR="005853A9">
        <w:rPr>
          <w:kern w:val="0"/>
        </w:rPr>
        <w:t xml:space="preserve"> and </w:t>
      </w:r>
      <w:r>
        <w:rPr>
          <w:kern w:val="0"/>
        </w:rPr>
        <w:t>concepts. Results: Approaches to remotely-triggered systems that have clinical potential were identified. Ideally, these systems have been engineered to exhibit controlled on-state release kinetics, low baseline leak rates,</w:t>
      </w:r>
      <w:r w:rsidR="005853A9">
        <w:rPr>
          <w:kern w:val="0"/>
        </w:rPr>
        <w:t xml:space="preserve"> and </w:t>
      </w:r>
      <w:r>
        <w:rPr>
          <w:kern w:val="0"/>
        </w:rPr>
        <w:t>reproducible dosing across multiple cycles. Conclusions: Advances in remotely-triggered drug delivery have been brought about by the convergence</w:t>
      </w:r>
      <w:r w:rsidR="00427468">
        <w:rPr>
          <w:kern w:val="0"/>
        </w:rPr>
        <w:t xml:space="preserve"> of </w:t>
      </w:r>
      <w:r>
        <w:rPr>
          <w:kern w:val="0"/>
        </w:rPr>
        <w:t>numerous scientific</w:t>
      </w:r>
      <w:r w:rsidR="005853A9">
        <w:rPr>
          <w:kern w:val="0"/>
        </w:rPr>
        <w:t xml:space="preserve"> and </w:t>
      </w:r>
      <w:r>
        <w:rPr>
          <w:kern w:val="0"/>
        </w:rPr>
        <w:t>engineering disciplines,</w:t>
      </w:r>
      <w:r w:rsidR="005853A9">
        <w:rPr>
          <w:kern w:val="0"/>
        </w:rPr>
        <w:t xml:space="preserve"> and </w:t>
      </w:r>
      <w:r>
        <w:rPr>
          <w:kern w:val="0"/>
        </w:rPr>
        <w:t>this convergence is likely to play an important part in the current trend to develop systems that provide more than one therapeutic modality. Preclinical systems must be carefully assessed for biocompatibility,</w:t>
      </w:r>
      <w:r w:rsidR="005853A9">
        <w:rPr>
          <w:kern w:val="0"/>
        </w:rPr>
        <w:t xml:space="preserve"> and </w:t>
      </w:r>
      <w:r>
        <w:rPr>
          <w:kern w:val="0"/>
        </w:rPr>
        <w:t>engineered to ensure pharmacokinetics within the therapeutic window. Future drug delivery systems may incorporate additional modalities, such as closed-loop sensing or onboard power generation, enabling more sophisticated drug delivery regimens. (Clin Ther. 2012;34:S25-S35) (C) 2012 Elsevier HS Journals, Inc. All rights reserved.</w:t>
      </w:r>
    </w:p>
    <w:p w:rsidR="004238F3" w:rsidRDefault="004238F3" w:rsidP="004238F3">
      <w:pPr>
        <w:pStyle w:val="a3"/>
        <w:rPr>
          <w:kern w:val="0"/>
        </w:rPr>
      </w:pPr>
      <w:r>
        <w:rPr>
          <w:kern w:val="0"/>
        </w:rPr>
        <w:t>Keywords: Biocompatibility, Biomaterial, Citation, Clinic, Clinical, Clinical Devices, Clinical Trials, Control, Controlled-Release, Databases, Delivery, Drug, Drug Delivery, Drug Delivery Devices, Drug Delivery Systems, Effectiveness, Engineering, Generation, High-Frequency, Journals, Kinetics, Literature, Liver-Cancer, Local-Anesthesia, Magnetic, Magnetic-Field, Magnitude, Materials, Modalities, Nanomaterial, Nanoparticles, Nanowire Transistor Arrays, Nov, On-Demand, Pediatrics, Pharmacokinetics, Physician, Potential, Power, Profiles, Pubmed, Rates, Release, Reporting, Review, Rights, Science, Science Citation Index, Sensitivity, Superparamagnetic Iron-Oxide, Systems, Therapeutic, Therapeutic Applications, Thermosensitive Liposomal Doxorubicin, Timing, Toxicity, Translation, Trend, Ultrasound</w:t>
      </w:r>
    </w:p>
    <w:p w:rsidR="00847BCB" w:rsidRDefault="00847BCB" w:rsidP="00847BCB">
      <w:pPr>
        <w:pStyle w:val="a3"/>
        <w:rPr>
          <w:kern w:val="0"/>
        </w:rPr>
      </w:pPr>
      <w:r>
        <w:rPr>
          <w:rFonts w:hint="eastAsia"/>
          <w:kern w:val="0"/>
        </w:rPr>
        <w:t xml:space="preserve">? </w:t>
      </w:r>
      <w:r>
        <w:rPr>
          <w:kern w:val="0"/>
        </w:rPr>
        <w:t>Kang, S., Liu, Y.</w:t>
      </w:r>
      <w:r w:rsidR="005853A9">
        <w:rPr>
          <w:kern w:val="0"/>
        </w:rPr>
        <w:t xml:space="preserve"> and </w:t>
      </w:r>
      <w:r>
        <w:rPr>
          <w:kern w:val="0"/>
        </w:rPr>
        <w:t>Liu, X.B. (2013), Effects</w:t>
      </w:r>
      <w:r w:rsidR="00427468">
        <w:rPr>
          <w:kern w:val="0"/>
        </w:rPr>
        <w:t xml:space="preserve"> of </w:t>
      </w:r>
      <w:r>
        <w:rPr>
          <w:kern w:val="0"/>
        </w:rPr>
        <w:t>aggressive Statin therapy on patients with coronary Saphenous vein bypass grafts: A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Clinical Therapeutics</w:t>
      </w:r>
      <w:r>
        <w:rPr>
          <w:kern w:val="0"/>
        </w:rPr>
        <w:t xml:space="preserve">, </w:t>
      </w:r>
      <w:r>
        <w:rPr>
          <w:b/>
          <w:bCs/>
          <w:kern w:val="0"/>
        </w:rPr>
        <w:t>35</w:t>
      </w:r>
      <w:r>
        <w:rPr>
          <w:kern w:val="0"/>
        </w:rPr>
        <w:t xml:space="preserve"> (8), 1125-1136.</w:t>
      </w:r>
    </w:p>
    <w:p w:rsidR="00847BCB" w:rsidRPr="00C73C58" w:rsidRDefault="00847BCB" w:rsidP="00847BCB">
      <w:pPr>
        <w:pStyle w:val="a3"/>
      </w:pPr>
      <w:r w:rsidRPr="00C73C58">
        <w:t xml:space="preserve">Full Text: </w:t>
      </w:r>
      <w:hyperlink r:id="rId458" w:history="1">
        <w:r w:rsidRPr="001B5716">
          <w:rPr>
            <w:rStyle w:val="a5"/>
          </w:rPr>
          <w:t>2013\Cli The35, 1125.pdf</w:t>
        </w:r>
      </w:hyperlink>
    </w:p>
    <w:p w:rsidR="00847BCB" w:rsidRDefault="00847BCB" w:rsidP="00847BCB">
      <w:pPr>
        <w:pStyle w:val="a3"/>
        <w:rPr>
          <w:kern w:val="0"/>
        </w:rPr>
      </w:pPr>
      <w:r>
        <w:rPr>
          <w:kern w:val="0"/>
        </w:rPr>
        <w:t>Abstract: Objectives: The aim</w:t>
      </w:r>
      <w:r w:rsidR="00427468">
        <w:rPr>
          <w:kern w:val="0"/>
        </w:rPr>
        <w:t xml:space="preserve"> of </w:t>
      </w:r>
      <w:r>
        <w:rPr>
          <w:kern w:val="0"/>
        </w:rPr>
        <w:t>this study was to investigate the effectiveness</w:t>
      </w:r>
      <w:r w:rsidR="005853A9">
        <w:rPr>
          <w:kern w:val="0"/>
        </w:rPr>
        <w:t xml:space="preserve"> and </w:t>
      </w:r>
      <w:r>
        <w:rPr>
          <w:kern w:val="0"/>
        </w:rPr>
        <w:t>safety</w:t>
      </w:r>
      <w:r w:rsidR="00427468">
        <w:rPr>
          <w:kern w:val="0"/>
        </w:rPr>
        <w:t xml:space="preserve"> of </w:t>
      </w:r>
      <w:r>
        <w:rPr>
          <w:kern w:val="0"/>
        </w:rPr>
        <w:t xml:space="preserve">aggressive statin versus moderate statin therapy on patients with saphenous </w:t>
      </w:r>
      <w:r>
        <w:rPr>
          <w:kern w:val="0"/>
        </w:rPr>
        <w:lastRenderedPageBreak/>
        <w:t xml:space="preserve">vein grafts (SVGs) in randomized, controlled trials (RCTs). Methods: We searched </w:t>
      </w:r>
      <w:r w:rsidR="00D5664A">
        <w:rPr>
          <w:kern w:val="0"/>
        </w:rPr>
        <w:t>MEDLINE</w:t>
      </w:r>
      <w:r>
        <w:rPr>
          <w:kern w:val="0"/>
        </w:rPr>
        <w:t xml:space="preserve"> (1980 June 2012), the Cochrane Controlled Trials Register, EMBASE, Science Citation Index,</w:t>
      </w:r>
      <w:r w:rsidR="005853A9">
        <w:rPr>
          <w:kern w:val="0"/>
        </w:rPr>
        <w:t xml:space="preserve"> and </w:t>
      </w:r>
      <w:r>
        <w:rPr>
          <w:kern w:val="0"/>
        </w:rPr>
        <w:t>PubMed (to June 2012),</w:t>
      </w:r>
      <w:r w:rsidR="005853A9">
        <w:rPr>
          <w:kern w:val="0"/>
        </w:rPr>
        <w:t xml:space="preserve"> and </w:t>
      </w:r>
      <w:r>
        <w:rPr>
          <w:kern w:val="0"/>
        </w:rPr>
        <w:t>found 10 relevant RCTs, including 7 substudy analyses from a Post-CABG trial,</w:t>
      </w:r>
      <w:r w:rsidR="005853A9">
        <w:rPr>
          <w:kern w:val="0"/>
        </w:rPr>
        <w:t xml:space="preserve"> and </w:t>
      </w:r>
      <w:r>
        <w:rPr>
          <w:kern w:val="0"/>
        </w:rPr>
        <w:t>1 pooled analysis</w:t>
      </w:r>
      <w:r w:rsidR="00427468">
        <w:rPr>
          <w:kern w:val="0"/>
        </w:rPr>
        <w:t xml:space="preserve"> of </w:t>
      </w:r>
      <w:r>
        <w:rPr>
          <w:kern w:val="0"/>
        </w:rPr>
        <w:t>the PROVE-IT TIMI 22 trial (Pravastatin or Atorvastatin Evaluation</w:t>
      </w:r>
      <w:r w:rsidR="005853A9">
        <w:rPr>
          <w:kern w:val="0"/>
        </w:rPr>
        <w:t xml:space="preserve"> and </w:t>
      </w:r>
      <w:r>
        <w:rPr>
          <w:kern w:val="0"/>
        </w:rPr>
        <w:t>Infection Therapy-Thrombolysis in Myocardial Infarction 22 Investigators)</w:t>
      </w:r>
      <w:r w:rsidR="005853A9">
        <w:rPr>
          <w:kern w:val="0"/>
        </w:rPr>
        <w:t xml:space="preserve"> and </w:t>
      </w:r>
      <w:r>
        <w:rPr>
          <w:kern w:val="0"/>
        </w:rPr>
        <w:t>A to Z trial. Early intensive vs a delayed conservative simvastatin strategy in patients with acute coronary syndromes; phase Z</w:t>
      </w:r>
      <w:r w:rsidR="00427468">
        <w:rPr>
          <w:kern w:val="0"/>
        </w:rPr>
        <w:t xml:space="preserve"> of </w:t>
      </w:r>
      <w:r>
        <w:rPr>
          <w:kern w:val="0"/>
        </w:rPr>
        <w:t>the A to Z trial. Results: A total</w:t>
      </w:r>
      <w:r w:rsidR="00427468">
        <w:rPr>
          <w:kern w:val="0"/>
        </w:rPr>
        <w:t xml:space="preserve"> of </w:t>
      </w:r>
      <w:r>
        <w:rPr>
          <w:kern w:val="0"/>
        </w:rPr>
        <w:t>6645</w:t>
      </w:r>
      <w:r w:rsidR="00427468">
        <w:rPr>
          <w:kern w:val="0"/>
        </w:rPr>
        <w:t xml:space="preserve"> of </w:t>
      </w:r>
      <w:r>
        <w:rPr>
          <w:kern w:val="0"/>
        </w:rPr>
        <w:t>participants, ages ranging from 21 to 75 years old, were treated with coronary artery bypass graft (CABG)</w:t>
      </w:r>
      <w:r w:rsidR="005853A9">
        <w:rPr>
          <w:kern w:val="0"/>
        </w:rPr>
        <w:t xml:space="preserve"> and </w:t>
      </w:r>
      <w:r>
        <w:rPr>
          <w:kern w:val="0"/>
        </w:rPr>
        <w:t>were followed for 2 to 5 years. Eight studies showed that aggressive statin therapy had lower LDL-C levels</w:t>
      </w:r>
      <w:r w:rsidR="005853A9">
        <w:rPr>
          <w:kern w:val="0"/>
        </w:rPr>
        <w:t xml:space="preserve"> and </w:t>
      </w:r>
      <w:r>
        <w:rPr>
          <w:kern w:val="0"/>
        </w:rPr>
        <w:t>a decrease</w:t>
      </w:r>
      <w:r w:rsidR="00427468">
        <w:rPr>
          <w:kern w:val="0"/>
        </w:rPr>
        <w:t xml:space="preserve"> of </w:t>
      </w:r>
      <w:r>
        <w:rPr>
          <w:kern w:val="0"/>
        </w:rPr>
        <w:t>39% in graft atherosclerotic progression, 12% in new occlusions,</w:t>
      </w:r>
      <w:r w:rsidR="005853A9">
        <w:rPr>
          <w:kern w:val="0"/>
        </w:rPr>
        <w:t xml:space="preserve"> and </w:t>
      </w:r>
      <w:r>
        <w:rPr>
          <w:kern w:val="0"/>
        </w:rPr>
        <w:t>19% in new lesions more than moderate statin therapy. Three reports indicated that aggressive statin therapy lowered the risk</w:t>
      </w:r>
      <w:r w:rsidR="00427468">
        <w:rPr>
          <w:kern w:val="0"/>
        </w:rPr>
        <w:t xml:space="preserve"> of </w:t>
      </w:r>
      <w:r>
        <w:rPr>
          <w:kern w:val="0"/>
        </w:rPr>
        <w:t>repeated myocardial infarction more than moderate statin therapy for coronary revascularization (95% CI, 0.66-0.95; risk ratio [RR] = 0.80;</w:t>
      </w:r>
      <w:r w:rsidR="005853A9">
        <w:rPr>
          <w:kern w:val="0"/>
        </w:rPr>
        <w:t xml:space="preserve"> and </w:t>
      </w:r>
      <w:r>
        <w:rPr>
          <w:kern w:val="0"/>
        </w:rPr>
        <w:t>95% CI, 0.66-0.85; RR = 0.75)</w:t>
      </w:r>
      <w:r w:rsidR="005853A9">
        <w:rPr>
          <w:kern w:val="0"/>
        </w:rPr>
        <w:t xml:space="preserve"> and </w:t>
      </w:r>
      <w:r>
        <w:rPr>
          <w:kern w:val="0"/>
        </w:rPr>
        <w:t>lowered the risk</w:t>
      </w:r>
      <w:r w:rsidR="00427468">
        <w:rPr>
          <w:kern w:val="0"/>
        </w:rPr>
        <w:t xml:space="preserve"> of </w:t>
      </w:r>
      <w:r>
        <w:rPr>
          <w:kern w:val="0"/>
        </w:rPr>
        <w:t>cardiac death as well (95% CI, 0.64-1.08; RR = 0.83). Aggressive statin therapy had safety similar to that</w:t>
      </w:r>
      <w:r w:rsidR="00427468">
        <w:rPr>
          <w:kern w:val="0"/>
        </w:rPr>
        <w:t xml:space="preserve"> of </w:t>
      </w:r>
      <w:r>
        <w:rPr>
          <w:kern w:val="0"/>
        </w:rPr>
        <w:t>moderate statin therapy except for a slight increase in myopathic events</w:t>
      </w:r>
      <w:r w:rsidR="005853A9">
        <w:rPr>
          <w:kern w:val="0"/>
        </w:rPr>
        <w:t xml:space="preserve"> and </w:t>
      </w:r>
      <w:r>
        <w:rPr>
          <w:kern w:val="0"/>
        </w:rPr>
        <w:t>aminotransferase levels. Seventy percent to 90%</w:t>
      </w:r>
      <w:r w:rsidR="00427468">
        <w:rPr>
          <w:kern w:val="0"/>
        </w:rPr>
        <w:t xml:space="preserve"> of </w:t>
      </w:r>
      <w:r>
        <w:rPr>
          <w:kern w:val="0"/>
        </w:rPr>
        <w:t>patients took statin treatment as prescribed in long-term. Conclusions: Compared with moderate statin therapy, long-term aggressive statin lowered the LDL-C level significantly, further decreased the atherosclerotic progression</w:t>
      </w:r>
      <w:r w:rsidR="00427468">
        <w:rPr>
          <w:kern w:val="0"/>
        </w:rPr>
        <w:t xml:space="preserve"> of </w:t>
      </w:r>
      <w:r>
        <w:rPr>
          <w:kern w:val="0"/>
        </w:rPr>
        <w:t>SVG, reduced the risks</w:t>
      </w:r>
      <w:r w:rsidR="00427468">
        <w:rPr>
          <w:kern w:val="0"/>
        </w:rPr>
        <w:t xml:space="preserve"> of </w:t>
      </w:r>
      <w:r>
        <w:rPr>
          <w:kern w:val="0"/>
        </w:rPr>
        <w:t>repeated myocardial infarction</w:t>
      </w:r>
      <w:r w:rsidR="005853A9">
        <w:rPr>
          <w:kern w:val="0"/>
        </w:rPr>
        <w:t xml:space="preserve"> and </w:t>
      </w:r>
      <w:r>
        <w:rPr>
          <w:kern w:val="0"/>
        </w:rPr>
        <w:t>coronary revascularization after CABG,</w:t>
      </w:r>
      <w:r w:rsidR="005853A9">
        <w:rPr>
          <w:kern w:val="0"/>
        </w:rPr>
        <w:t xml:space="preserve"> and </w:t>
      </w:r>
      <w:r>
        <w:rPr>
          <w:kern w:val="0"/>
        </w:rPr>
        <w:t>revealed similar patient compliance</w:t>
      </w:r>
      <w:r w:rsidR="005853A9">
        <w:rPr>
          <w:kern w:val="0"/>
        </w:rPr>
        <w:t xml:space="preserve"> and </w:t>
      </w:r>
      <w:r>
        <w:rPr>
          <w:kern w:val="0"/>
        </w:rPr>
        <w:t>statin-related adverse effects but slightly increased myopathy events</w:t>
      </w:r>
      <w:r w:rsidR="005853A9">
        <w:rPr>
          <w:kern w:val="0"/>
        </w:rPr>
        <w:t xml:space="preserve"> and </w:t>
      </w:r>
      <w:r>
        <w:rPr>
          <w:kern w:val="0"/>
        </w:rPr>
        <w:t>aminotransferase levels. (C) 2013 Published by Elsevier HS Journals, Inc.</w:t>
      </w:r>
    </w:p>
    <w:p w:rsidR="00847BCB" w:rsidRDefault="00847BCB" w:rsidP="00847BCB">
      <w:pPr>
        <w:pStyle w:val="a3"/>
        <w:rPr>
          <w:kern w:val="0"/>
        </w:rPr>
      </w:pPr>
      <w:r>
        <w:rPr>
          <w:kern w:val="0"/>
        </w:rPr>
        <w:t xml:space="preserve">Keywords: Adverse Effects, Analyses, Analysis, Artery, Atherosclerosis, Cholesterol, Citation, Compliance, Conservative, Controlled Trial, Coronary Artery, Coronary Artery Bypass Graft, Death, Disease, Effectiveness, Effects, Embase, Evaluation, Events, Graft, Infarction, Journals, Long Term, Long-Term, Low-Dose Anticoagulation, </w:t>
      </w:r>
      <w:r w:rsidR="00D5664A">
        <w:rPr>
          <w:kern w:val="0"/>
        </w:rPr>
        <w:t>MEDLINE</w:t>
      </w:r>
      <w:r>
        <w:rPr>
          <w:kern w:val="0"/>
        </w:rPr>
        <w:t>, Methods, Myocardial Infarction, Patient Compliance, Patients, Preoperative Lipid-Control, Progression, Pubmed, Randomized, Results, Revascularization, Review, Risk, Risk-Factors, Risks, Safety, Saphenous Vein Grafts, Science, Science Citation Index, Secondary Prevention, Simvastatin, Statin, Strategy, Surgery, Therapy, Treatment, Trial</w:t>
      </w:r>
    </w:p>
    <w:p w:rsidR="00A27C14" w:rsidRDefault="00A27C14" w:rsidP="00A27C14">
      <w:pPr>
        <w:pStyle w:val="a3"/>
        <w:rPr>
          <w:kern w:val="0"/>
        </w:rPr>
      </w:pPr>
      <w:r>
        <w:rPr>
          <w:rFonts w:hint="eastAsia"/>
          <w:kern w:val="0"/>
        </w:rPr>
        <w:t xml:space="preserve">? </w:t>
      </w:r>
      <w:r>
        <w:rPr>
          <w:kern w:val="0"/>
        </w:rPr>
        <w:t>Huang, Z.B., Zhao, S.S., Huang, Y., Dai, X.H., Zhou, R.R., Yi, P.P., Chen, R.C., Li, W.T., Zhang, B.X., Li, N.</w:t>
      </w:r>
      <w:r w:rsidR="005853A9">
        <w:rPr>
          <w:kern w:val="0"/>
        </w:rPr>
        <w:t xml:space="preserve"> and </w:t>
      </w:r>
      <w:r>
        <w:rPr>
          <w:kern w:val="0"/>
        </w:rPr>
        <w:t>Fan, X.G. (2013), Comparison</w:t>
      </w:r>
      <w:r w:rsidR="00427468">
        <w:rPr>
          <w:kern w:val="0"/>
        </w:rPr>
        <w:t xml:space="preserve"> of </w:t>
      </w:r>
      <w:r>
        <w:rPr>
          <w:kern w:val="0"/>
        </w:rPr>
        <w:t>the efficacy</w:t>
      </w:r>
      <w:r w:rsidR="00427468">
        <w:rPr>
          <w:kern w:val="0"/>
        </w:rPr>
        <w:t xml:space="preserve"> of </w:t>
      </w:r>
      <w:r>
        <w:rPr>
          <w:kern w:val="0"/>
        </w:rPr>
        <w:t>lamivudine plus adefovir versus entecavir in the treatment</w:t>
      </w:r>
      <w:r w:rsidR="00427468">
        <w:rPr>
          <w:kern w:val="0"/>
        </w:rPr>
        <w:t xml:space="preserve"> of </w:t>
      </w:r>
      <w:r>
        <w:rPr>
          <w:kern w:val="0"/>
        </w:rPr>
        <w:t>lamivudine-resistant chronic hepatitis B: A systematic review</w:t>
      </w:r>
      <w:r w:rsidR="005853A9">
        <w:rPr>
          <w:kern w:val="0"/>
        </w:rPr>
        <w:t xml:space="preserve"> and </w:t>
      </w:r>
      <w:r>
        <w:rPr>
          <w:kern w:val="0"/>
        </w:rPr>
        <w:t xml:space="preserve">meta-analysis. </w:t>
      </w:r>
      <w:r>
        <w:rPr>
          <w:i/>
          <w:iCs/>
          <w:kern w:val="0"/>
        </w:rPr>
        <w:t>Clinical Therapeutics</w:t>
      </w:r>
      <w:r>
        <w:rPr>
          <w:kern w:val="0"/>
        </w:rPr>
        <w:t xml:space="preserve">, </w:t>
      </w:r>
      <w:r>
        <w:rPr>
          <w:b/>
          <w:bCs/>
          <w:kern w:val="0"/>
        </w:rPr>
        <w:t>35</w:t>
      </w:r>
      <w:r>
        <w:rPr>
          <w:kern w:val="0"/>
        </w:rPr>
        <w:t xml:space="preserve"> (12), 1997-2006.</w:t>
      </w:r>
    </w:p>
    <w:p w:rsidR="00A27C14" w:rsidRPr="00C73C58" w:rsidRDefault="00A27C14" w:rsidP="00A27C14">
      <w:pPr>
        <w:pStyle w:val="a3"/>
      </w:pPr>
      <w:r w:rsidRPr="00C73C58">
        <w:lastRenderedPageBreak/>
        <w:t xml:space="preserve">Full Text: </w:t>
      </w:r>
      <w:hyperlink r:id="rId459" w:history="1">
        <w:r w:rsidRPr="00821FC0">
          <w:rPr>
            <w:rStyle w:val="a5"/>
          </w:rPr>
          <w:t>2013\Cli The35, 1997.pdf</w:t>
        </w:r>
      </w:hyperlink>
    </w:p>
    <w:p w:rsidR="00A27C14" w:rsidRDefault="00A27C14" w:rsidP="00A27C14">
      <w:pPr>
        <w:pStyle w:val="a3"/>
        <w:rPr>
          <w:kern w:val="0"/>
        </w:rPr>
      </w:pPr>
      <w:r>
        <w:rPr>
          <w:kern w:val="0"/>
        </w:rPr>
        <w:t>Abstract: Background: Hepatitis B virus infection remains 1</w:t>
      </w:r>
      <w:r w:rsidR="00427468">
        <w:rPr>
          <w:kern w:val="0"/>
        </w:rPr>
        <w:t xml:space="preserve"> of </w:t>
      </w:r>
      <w:r>
        <w:rPr>
          <w:kern w:val="0"/>
        </w:rPr>
        <w:t>the major health threats worldwide. Currently, lamivudine plus adefovir combination therapy or entecavir monotherapy is usually used for the treatment</w:t>
      </w:r>
      <w:r w:rsidR="00427468">
        <w:rPr>
          <w:kern w:val="0"/>
        </w:rPr>
        <w:t xml:space="preserve"> of </w:t>
      </w:r>
      <w:r>
        <w:rPr>
          <w:kern w:val="0"/>
        </w:rPr>
        <w:t>patients with lamivudine-resistant chronic hepatitis B (CHB). However, there are few systematic comparisons between the efficacy</w:t>
      </w:r>
      <w:r w:rsidR="00427468">
        <w:rPr>
          <w:kern w:val="0"/>
        </w:rPr>
        <w:t xml:space="preserve"> of </w:t>
      </w:r>
      <w:r>
        <w:rPr>
          <w:kern w:val="0"/>
        </w:rPr>
        <w:t>lamivudine plus adefovir</w:t>
      </w:r>
      <w:r w:rsidR="005853A9">
        <w:rPr>
          <w:kern w:val="0"/>
        </w:rPr>
        <w:t xml:space="preserve"> and </w:t>
      </w:r>
      <w:r>
        <w:rPr>
          <w:kern w:val="0"/>
        </w:rPr>
        <w:t>the efficacy</w:t>
      </w:r>
      <w:r w:rsidR="00427468">
        <w:rPr>
          <w:kern w:val="0"/>
        </w:rPr>
        <w:t xml:space="preserve"> of </w:t>
      </w:r>
      <w:r>
        <w:rPr>
          <w:kern w:val="0"/>
        </w:rPr>
        <w:t>entecavir in the treatment</w:t>
      </w:r>
      <w:r w:rsidR="00427468">
        <w:rPr>
          <w:kern w:val="0"/>
        </w:rPr>
        <w:t xml:space="preserve"> of </w:t>
      </w:r>
      <w:r>
        <w:rPr>
          <w:kern w:val="0"/>
        </w:rPr>
        <w:t>these patients. Objective: The goal</w:t>
      </w:r>
      <w:r w:rsidR="00427468">
        <w:rPr>
          <w:kern w:val="0"/>
        </w:rPr>
        <w:t xml:space="preserve"> of </w:t>
      </w:r>
      <w:r>
        <w:rPr>
          <w:kern w:val="0"/>
        </w:rPr>
        <w:t>this systematic study</w:t>
      </w:r>
      <w:r w:rsidR="005853A9">
        <w:rPr>
          <w:kern w:val="0"/>
        </w:rPr>
        <w:t xml:space="preserve"> and </w:t>
      </w:r>
      <w:r>
        <w:rPr>
          <w:kern w:val="0"/>
        </w:rPr>
        <w:t>meta-analysis was to assess the efficacy</w:t>
      </w:r>
      <w:r w:rsidR="00427468">
        <w:rPr>
          <w:kern w:val="0"/>
        </w:rPr>
        <w:t xml:space="preserve"> of </w:t>
      </w:r>
      <w:r>
        <w:rPr>
          <w:kern w:val="0"/>
        </w:rPr>
        <w:t>lamivudine plus adefovir compared with entecavir for the treatment</w:t>
      </w:r>
      <w:r w:rsidR="00427468">
        <w:rPr>
          <w:kern w:val="0"/>
        </w:rPr>
        <w:t xml:space="preserve"> of </w:t>
      </w:r>
      <w:r>
        <w:rPr>
          <w:kern w:val="0"/>
        </w:rPr>
        <w:t>patients with lamivudine-resistant CHB. Methods: A comprehensive literature search</w:t>
      </w:r>
      <w:r w:rsidR="00427468">
        <w:rPr>
          <w:kern w:val="0"/>
        </w:rPr>
        <w:t xml:space="preserve"> of </w:t>
      </w:r>
      <w:r>
        <w:rPr>
          <w:kern w:val="0"/>
        </w:rPr>
        <w:t>PUBMED, Web</w:t>
      </w:r>
      <w:r w:rsidR="00427468">
        <w:rPr>
          <w:kern w:val="0"/>
        </w:rPr>
        <w:t xml:space="preserve"> of </w:t>
      </w:r>
      <w:r>
        <w:rPr>
          <w:kern w:val="0"/>
        </w:rPr>
        <w:t>Science, WANFANG database, the Cochrane Central Register</w:t>
      </w:r>
      <w:r w:rsidR="00427468">
        <w:rPr>
          <w:kern w:val="0"/>
        </w:rPr>
        <w:t xml:space="preserve"> of </w:t>
      </w:r>
      <w:r>
        <w:rPr>
          <w:kern w:val="0"/>
        </w:rPr>
        <w:t>Controlled Trials,</w:t>
      </w:r>
      <w:r w:rsidR="005853A9">
        <w:rPr>
          <w:kern w:val="0"/>
        </w:rPr>
        <w:t xml:space="preserve"> and </w:t>
      </w:r>
      <w:r>
        <w:rPr>
          <w:kern w:val="0"/>
        </w:rPr>
        <w:t>the Cochrane Database</w:t>
      </w:r>
      <w:r w:rsidR="00427468">
        <w:rPr>
          <w:kern w:val="0"/>
        </w:rPr>
        <w:t xml:space="preserve"> of </w:t>
      </w:r>
      <w:r>
        <w:rPr>
          <w:kern w:val="0"/>
        </w:rPr>
        <w:t>Systematic Review, were screened to obtain citations from January 1990 to January 2012 in this study. Data analysis was done by using the Review Manager Software 5.1. Results: Eight studies were suitable for analysis. A total</w:t>
      </w:r>
      <w:r w:rsidR="00427468">
        <w:rPr>
          <w:kern w:val="0"/>
        </w:rPr>
        <w:t xml:space="preserve"> of </w:t>
      </w:r>
      <w:r>
        <w:rPr>
          <w:kern w:val="0"/>
        </w:rPr>
        <w:t>696 patients with lamivudine-resistant CHB were studied</w:t>
      </w:r>
      <w:r w:rsidR="005853A9">
        <w:rPr>
          <w:kern w:val="0"/>
        </w:rPr>
        <w:t xml:space="preserve"> and </w:t>
      </w:r>
      <w:r>
        <w:rPr>
          <w:kern w:val="0"/>
        </w:rPr>
        <w:t>grouped according to treatment: 341 patients in the entecavir group</w:t>
      </w:r>
      <w:r w:rsidR="005853A9">
        <w:rPr>
          <w:kern w:val="0"/>
        </w:rPr>
        <w:t xml:space="preserve"> and </w:t>
      </w:r>
      <w:r>
        <w:rPr>
          <w:kern w:val="0"/>
        </w:rPr>
        <w:t>355 patients in the lamivudine plus adefovir group</w:t>
      </w:r>
      <w:r w:rsidR="00A37C1D">
        <w:rPr>
          <w:kern w:val="0"/>
        </w:rPr>
        <w:t>. The</w:t>
      </w:r>
      <w:r>
        <w:rPr>
          <w:kern w:val="0"/>
        </w:rPr>
        <w:t xml:space="preserve"> results found that the rates</w:t>
      </w:r>
      <w:r w:rsidR="00427468">
        <w:rPr>
          <w:kern w:val="0"/>
        </w:rPr>
        <w:t xml:space="preserve"> of </w:t>
      </w:r>
      <w:r>
        <w:rPr>
          <w:kern w:val="0"/>
        </w:rPr>
        <w:t>undetectable hepatitis B virus DNA levels, alanine aminotransferase normalization, hepatitis B e antigen loss,</w:t>
      </w:r>
      <w:r w:rsidR="005853A9">
        <w:rPr>
          <w:kern w:val="0"/>
        </w:rPr>
        <w:t xml:space="preserve"> and </w:t>
      </w:r>
      <w:r>
        <w:rPr>
          <w:kern w:val="0"/>
        </w:rPr>
        <w:t>hepatitis B e antigen seroconversion were not significantly different between the lamivudine plus adefovir group</w:t>
      </w:r>
      <w:r w:rsidR="005853A9">
        <w:rPr>
          <w:kern w:val="0"/>
        </w:rPr>
        <w:t xml:space="preserve"> and </w:t>
      </w:r>
      <w:r>
        <w:rPr>
          <w:kern w:val="0"/>
        </w:rPr>
        <w:t>the entecavir group. Moreover, the rate</w:t>
      </w:r>
      <w:r w:rsidR="00427468">
        <w:rPr>
          <w:kern w:val="0"/>
        </w:rPr>
        <w:t xml:space="preserve"> of </w:t>
      </w:r>
      <w:r>
        <w:rPr>
          <w:kern w:val="0"/>
        </w:rPr>
        <w:t>adverse reactions was also not significantly different between the 2 groups. However, virologic breakthrough for the patients with lamivudine resistance was higher in the entecavir group than in the lamivudine plus adefovir group. Conclusions: For these CHB patients with lamivudine resistance, lamivudine plus adefovir was a better treatment option than entecavir alone. (C) 2013 Elsevier HS Journals, Inc. All rights reserved.</w:t>
      </w:r>
    </w:p>
    <w:p w:rsidR="00A27C14" w:rsidRDefault="00A27C14" w:rsidP="00A27C14">
      <w:pPr>
        <w:pStyle w:val="a3"/>
        <w:rPr>
          <w:kern w:val="0"/>
        </w:rPr>
      </w:pPr>
      <w:r>
        <w:rPr>
          <w:kern w:val="0"/>
        </w:rPr>
        <w:t>Keywords: Add-On, Adefovir, Alanine Aminotransferase, Analysis, Breakthrough, Chinese Patients, Chronic, Chronic Hepatitis, Chronic Hepatitis B, Citations, Clinical-Trials, Combination Therapy, Comparison, Data Analysis, Database, DNA, Efficacy, Entecavir, Genotypic Resistance, Groups, Health, Hepatitis, Hepatitis B, Hepatitis B Virus, Infection, Journals, Lamivudine, Lamivudine Plus Adefovir, Lamivudine Resistance, Literature, Literature Search, Meta Analysis, Meta-Analysis, Metaanalysis, Methods, Normalization, Patients, Rates, Rescue Therapy, Resistance, Results, Review, Rights, Science, Therapy, Treatment, Treatment Algorithm, Treatment Option, United-States, Update, Virus Infection, Web</w:t>
      </w:r>
      <w:r w:rsidR="00427468">
        <w:rPr>
          <w:kern w:val="0"/>
        </w:rPr>
        <w:t xml:space="preserve"> of </w:t>
      </w:r>
      <w:r>
        <w:rPr>
          <w:kern w:val="0"/>
        </w:rPr>
        <w:t>Science</w:t>
      </w:r>
    </w:p>
    <w:p w:rsidR="005B6453" w:rsidRDefault="005B6453" w:rsidP="005B6453">
      <w:pPr>
        <w:pStyle w:val="a3"/>
        <w:rPr>
          <w:kern w:val="0"/>
        </w:rPr>
      </w:pPr>
      <w:r>
        <w:rPr>
          <w:rFonts w:hint="eastAsia"/>
          <w:kern w:val="0"/>
        </w:rPr>
        <w:t xml:space="preserve">? </w:t>
      </w:r>
      <w:r>
        <w:rPr>
          <w:kern w:val="0"/>
        </w:rPr>
        <w:t xml:space="preserve">Qin, B., Zhang, Y.Q., Zhou, X.Y., Cheng, P.F., Liu, Y.Y., Chen, J., Fu, Y.Y., Luo, Q.H. and Xie, P. (2014), Selective serotonin reuptake inhibitors versus tricyclic antidepressants in young patients: A meta-analysis of efficacy and acceptability. </w:t>
      </w:r>
      <w:r>
        <w:rPr>
          <w:i/>
          <w:iCs/>
          <w:kern w:val="0"/>
        </w:rPr>
        <w:t>Clinical Therapeutics</w:t>
      </w:r>
      <w:r>
        <w:rPr>
          <w:kern w:val="0"/>
        </w:rPr>
        <w:t xml:space="preserve">, </w:t>
      </w:r>
      <w:r>
        <w:rPr>
          <w:b/>
          <w:bCs/>
          <w:kern w:val="0"/>
        </w:rPr>
        <w:t>36</w:t>
      </w:r>
      <w:r>
        <w:rPr>
          <w:kern w:val="0"/>
        </w:rPr>
        <w:t xml:space="preserve"> (7), 1087-1095.</w:t>
      </w:r>
    </w:p>
    <w:p w:rsidR="005B6453" w:rsidRPr="00C73C58" w:rsidRDefault="005B6453" w:rsidP="005B6453">
      <w:pPr>
        <w:pStyle w:val="a3"/>
      </w:pPr>
      <w:r w:rsidRPr="00C73C58">
        <w:t xml:space="preserve">Full Text: </w:t>
      </w:r>
      <w:hyperlink r:id="rId460" w:history="1">
        <w:r w:rsidRPr="005B6453">
          <w:rPr>
            <w:rStyle w:val="a5"/>
          </w:rPr>
          <w:t>2014\Cli The36, 1087.pdf</w:t>
        </w:r>
      </w:hyperlink>
    </w:p>
    <w:p w:rsidR="005B6453" w:rsidRDefault="005B6453" w:rsidP="005B6453">
      <w:pPr>
        <w:pStyle w:val="a3"/>
        <w:rPr>
          <w:kern w:val="0"/>
        </w:rPr>
      </w:pPr>
      <w:r>
        <w:rPr>
          <w:kern w:val="0"/>
        </w:rPr>
        <w:lastRenderedPageBreak/>
        <w:t>Abstract: Purpose: A meta-analysis comparing the efficacy and acceptability of selective serotonin reuptake inhibitors (SSRIs) versus tricyclic antidepressants (TCAs) in depressed children, adolescents, and young adults was performed. Methods: A comprehensive literature search of the Pub Med, Cochrane, Embase, Web of Science, and PsycINFO databases was conducted from 1970 to December 2013. Only clinical trials that randomly assigned one SSRI or TCA to patients aged 7 to 25 years who met the diagnostic criteria for unipolar depressive disorder were included. Primary efficacy was determined by the pooling of standardized mean differences (SMDs) calculated from the difference in the reduction in mean depression rating scale scores for the 2 antidepressants. Acceptability was determined by pooling the risk ratios (RRs) of dropouts for all reasons and for adverse effects as well as the suicide-risk outcome. Findings: Five trials with a total of 422 patients were considered to be eligible for inclusion. SSRIs were significantly more effective than TCAs in primary efficacy (SMD = -0.52; 95% CI, -0.81 to -0.24; P = 0.0003). Patients taking SSRIs had a significantly greater response to depressive symptoms than patients taking TCAs (RR = 1.55; 95% CI, 1.04 to 2.29; P = 0.03). On an individual SSRI basis, fluoxetine had a significantly greater efficacy than TCAs (SMD = 0.82; 95% CI, -1.34 to -0.29; P = 0.003). On an individual TCA basis, only imipramine was not significantly worse than SSRIs (SMD = -0.27; 95% CI, -0.56 to 0.02; P = 0.06). Significantly more patients taking TCAs discontinued treatment than patients taking SSRIs (35.8% vs 25.1%; RR = 0.70; 95% CI, 0.52 to 0.93; P = 0.02). Implications: SSRI therapy has a superior efficacy and is better tolerated compared with TCA therapy in young patients. (C) 2014 Elsevier HS Journals, Inc. All rights reserved.</w:t>
      </w:r>
    </w:p>
    <w:p w:rsidR="005B6453" w:rsidRDefault="005B6453" w:rsidP="005B6453">
      <w:pPr>
        <w:pStyle w:val="a3"/>
        <w:rPr>
          <w:kern w:val="0"/>
        </w:rPr>
      </w:pPr>
      <w:r>
        <w:rPr>
          <w:kern w:val="0"/>
        </w:rPr>
        <w:t>Keywords: Acceptability, Adolescent, Adolescent Depression, Adolescents, Adverse Effects, Aged, Antidepressants, Child, Children, Clinical, Clinical Trials, Clinical-Trials, Cognitive-Behavioral Therapy, Criteria, Databases, Depression, Depressive Symptoms, Diagnostic, Diagnostic Criteria, Effects, Efficacy, Fluoxetine, Inhibitors, Journals, Literature, Literature Search, Major Depression, Medication Use, Meta Analysis, Meta-Analysis, Metaanalysis, Methods, Outcome, P, Patients, Primary, Psycinfo, Pub Med, Randomized Controlled-Trial, Reduction, Response, Rights, Risk, Scale, Science, Selective, Selective Serotonin Reuptake Inhibitor, Serotonin, Small Sample-Size, SSRI, Suicidal-Behavior, Symptoms, Therapy, Treatment, Tricyclic Antidepressant Young Adult, Tricyclic Antidepressants, Web Of Science, Young Adults</w:t>
      </w:r>
    </w:p>
    <w:p w:rsidR="00EE2C3E" w:rsidRDefault="00EE2C3E" w:rsidP="00EE2C3E">
      <w:pPr>
        <w:pStyle w:val="a3"/>
        <w:rPr>
          <w:kern w:val="0"/>
        </w:rPr>
      </w:pPr>
      <w:r>
        <w:rPr>
          <w:rFonts w:hint="eastAsia"/>
          <w:kern w:val="0"/>
        </w:rPr>
        <w:t xml:space="preserve">? </w:t>
      </w:r>
      <w:r>
        <w:rPr>
          <w:kern w:val="0"/>
        </w:rPr>
        <w:t xml:space="preserve">Gurley, B.J., Steelman, S.C. and Thomas, S.L. (2015), Multi-ingredient, caffeine-containing dietary supplements: History, safety, and efficacy. </w:t>
      </w:r>
      <w:r>
        <w:rPr>
          <w:i/>
          <w:iCs/>
          <w:kern w:val="0"/>
        </w:rPr>
        <w:t>Clinical Therapeutics</w:t>
      </w:r>
      <w:r>
        <w:rPr>
          <w:kern w:val="0"/>
        </w:rPr>
        <w:t xml:space="preserve">, </w:t>
      </w:r>
      <w:r>
        <w:rPr>
          <w:b/>
          <w:bCs/>
          <w:kern w:val="0"/>
        </w:rPr>
        <w:t>37</w:t>
      </w:r>
      <w:r>
        <w:rPr>
          <w:kern w:val="0"/>
        </w:rPr>
        <w:t xml:space="preserve"> (2), 275-301.</w:t>
      </w:r>
    </w:p>
    <w:p w:rsidR="00EE2C3E" w:rsidRPr="00C73C58" w:rsidRDefault="00EE2C3E" w:rsidP="00EE2C3E">
      <w:pPr>
        <w:pStyle w:val="a3"/>
      </w:pPr>
      <w:r w:rsidRPr="00C73C58">
        <w:t xml:space="preserve">Full Text: </w:t>
      </w:r>
      <w:hyperlink r:id="rId461" w:history="1">
        <w:r w:rsidRPr="00EE2C3E">
          <w:rPr>
            <w:rStyle w:val="a5"/>
          </w:rPr>
          <w:t>2015\Cli The37, 275.pdf</w:t>
        </w:r>
      </w:hyperlink>
    </w:p>
    <w:p w:rsidR="00EE2C3E" w:rsidRDefault="00EE2C3E" w:rsidP="00EE2C3E">
      <w:pPr>
        <w:pStyle w:val="a3"/>
        <w:rPr>
          <w:kern w:val="0"/>
        </w:rPr>
      </w:pPr>
      <w:r>
        <w:rPr>
          <w:kern w:val="0"/>
        </w:rPr>
        <w:lastRenderedPageBreak/>
        <w:t>Abstract: Purpose: Our objective was to review the history, safety, and efficacy of caffeine-containing dietary supplements in the United States and Canada. Methods: PubMed and Web of Science databases (1980-2014) were searched for articles related to the pharmacology, toxicology, and efficacy of caffeine-containing dietary supplements with an emphasis on Ephedra-containing supplements, Ephedra-free supplements, and energy drinks or shots. Findings: Among the first and most successful dietary supplements to be marketed in the United States were those containing Ephedra-combinations of ephedrine alkaloids, caffeine, and other phytochemicals. A decade after their inception, serious tolerability concerns prompted removal of Ephedra supplements from the US and Canadian markets. Ephedra-free products, however, quickly filled this void. Ephedra-free supplements typically contain multiple caffeine sources in conjunction with other botanical extracts whose purposes can often be puzzling and their pharmacologic properties difficult to predict. Ingestion of these products in the form of tablets, capsules, or other solid dosage forms as weight loss aids, exercise performance enhancers, or energy boosters have once again brought their tolerability and efficacy into question. In addition to Ephedra-free solid dosage forms, caffeine-containing energy drinks have gained a foothold in the world market along with concerns about their tolerability. (C) 2015 Elsevier HS Journals, Inc. All rights reserved.</w:t>
      </w:r>
    </w:p>
    <w:p w:rsidR="00EE2C3E" w:rsidRDefault="00EE2C3E" w:rsidP="00EE2C3E">
      <w:pPr>
        <w:pStyle w:val="a3"/>
        <w:rPr>
          <w:kern w:val="0"/>
        </w:rPr>
      </w:pPr>
      <w:r>
        <w:rPr>
          <w:kern w:val="0"/>
        </w:rPr>
        <w:t>Keywords: Adverse Cardiovascular Events, Aids, Articles, Caffeine, Canada, Canadian, Capsules, Catechol-O-Methyltransferase, Central-Nervous-System, Controlled Clinical-Trial, Databases, Dietary Supplements, Efficacy, Emergency-Department Patients, Energy, Energy Drink Consumption, Energy Drinks, Ephedra, Ephedra-Free, Ephedra-Free Xenadrine, Ephedrine, Exercise, First, Forms, From, High-Intensity Exercise, History, Journals, Market, Markets, Methods, Performance, Pharmacology, Properties, Pubmed, Randomized Controlled-Trial, Removal, Review, Rights, Safety, Science, Sources, Tablets, Toxicology, United States, Us, Web, Web Of Science, Web Of Science Databases, Weight Loss, Weight-Loss Supplement, World</w:t>
      </w:r>
    </w:p>
    <w:p w:rsidR="00C87883" w:rsidRPr="00185FC5" w:rsidRDefault="00C87883" w:rsidP="00C87883">
      <w:pPr>
        <w:pStyle w:val="a3"/>
      </w:pPr>
      <w:r>
        <w:rPr>
          <w:rFonts w:hint="eastAsia"/>
        </w:rPr>
        <w:t xml:space="preserve">? </w:t>
      </w:r>
      <w:r w:rsidRPr="00185FC5">
        <w:t xml:space="preserve">Wren, M.E., Shirtcliff, E.A. and Drury, S.S. (2015), Not all biofluids are created equal: Chewing over salivary diagnostics and the Epigenome. </w:t>
      </w:r>
      <w:r w:rsidRPr="00185FC5">
        <w:rPr>
          <w:i/>
          <w:iCs/>
        </w:rPr>
        <w:t>Clinical Therapeutics</w:t>
      </w:r>
      <w:r w:rsidRPr="00185FC5">
        <w:t xml:space="preserve">, </w:t>
      </w:r>
      <w:r w:rsidRPr="00185FC5">
        <w:rPr>
          <w:b/>
          <w:bCs/>
        </w:rPr>
        <w:t>37</w:t>
      </w:r>
      <w:r w:rsidRPr="00185FC5">
        <w:t xml:space="preserve"> (3), 529-539.</w:t>
      </w:r>
    </w:p>
    <w:p w:rsidR="00C87883" w:rsidRPr="00C73C58" w:rsidRDefault="00C87883" w:rsidP="00C87883">
      <w:pPr>
        <w:pStyle w:val="a3"/>
      </w:pPr>
      <w:r w:rsidRPr="00C73C58">
        <w:t xml:space="preserve">Full Text: </w:t>
      </w:r>
      <w:hyperlink r:id="rId462" w:history="1">
        <w:r w:rsidRPr="00C87883">
          <w:rPr>
            <w:rStyle w:val="a5"/>
          </w:rPr>
          <w:t>2015\Cli The37, 529.pdf</w:t>
        </w:r>
      </w:hyperlink>
    </w:p>
    <w:p w:rsidR="00C87883" w:rsidRPr="00185FC5" w:rsidRDefault="00C87883" w:rsidP="00C87883">
      <w:pPr>
        <w:pStyle w:val="a3"/>
      </w:pPr>
      <w:r w:rsidRPr="00185FC5">
        <w:t xml:space="preserve">Abstract: Purpose: This article describes progress to date in the characterization of the salivary epigenome and considers the importance of previous work in the salivary microbiome, proteome, endocrine analytes, genome, and transcriptome. Methods: PubMed and Web of Science were used to extensively search the existing literature (original research and reviews) related to salivary diagnostics and biomarker development, of which 125 studies were examined. This article was derived from the </w:t>
      </w:r>
      <w:r w:rsidRPr="00185FC5">
        <w:lastRenderedPageBreak/>
        <w:t>most relevant 74 sources highlighting the recent state of the evolving field of salivary epigenomics and contributing significantly to the foundational work in saliva-based research. Findings: Validation of any new saliva-based diagnostic or analyte will require comparison to previously accepted standards established in blood. Careful attention to the collection, processing, and analysis of salivary analytes is critical for the development and implementation of newer applications that include genomic, transcriptomic, and epigenomic markers. All these factors must be integrated into initial study design. Implications: This commentary highlights the appeal of the salivary epigenome for translational applications and its utility in future studies of development and the interface among environment, disease, and health. (C) 2015 Elsevier HS Journals, Inc. All rights reserved.</w:t>
      </w:r>
    </w:p>
    <w:p w:rsidR="00C87883" w:rsidRPr="00185FC5" w:rsidRDefault="00C87883" w:rsidP="00C87883">
      <w:pPr>
        <w:pStyle w:val="a3"/>
      </w:pPr>
      <w:r w:rsidRPr="00185FC5">
        <w:t>Keywords: Analysis</w:t>
      </w:r>
      <w:r>
        <w:t xml:space="preserve">, </w:t>
      </w:r>
      <w:r w:rsidRPr="00185FC5">
        <w:t>Biomarker</w:t>
      </w:r>
      <w:r>
        <w:t xml:space="preserve">, </w:t>
      </w:r>
      <w:r w:rsidRPr="00185FC5">
        <w:t>Biomarker Development</w:t>
      </w:r>
      <w:r>
        <w:t xml:space="preserve">, </w:t>
      </w:r>
      <w:r w:rsidRPr="00185FC5">
        <w:t>Bipolar Disorder</w:t>
      </w:r>
      <w:r>
        <w:t xml:space="preserve">, </w:t>
      </w:r>
      <w:r w:rsidRPr="00185FC5">
        <w:t>Blood</w:t>
      </w:r>
      <w:r>
        <w:t xml:space="preserve">, </w:t>
      </w:r>
      <w:r w:rsidRPr="00185FC5">
        <w:t>Characterization</w:t>
      </w:r>
      <w:r>
        <w:t xml:space="preserve">, </w:t>
      </w:r>
      <w:r w:rsidRPr="00185FC5">
        <w:t>Child-Abuse</w:t>
      </w:r>
      <w:r>
        <w:t xml:space="preserve">, </w:t>
      </w:r>
      <w:r w:rsidRPr="00185FC5">
        <w:t>Collection</w:t>
      </w:r>
      <w:r>
        <w:t xml:space="preserve">, </w:t>
      </w:r>
      <w:r w:rsidRPr="00185FC5">
        <w:t>Comparison</w:t>
      </w:r>
      <w:r>
        <w:t xml:space="preserve">, </w:t>
      </w:r>
      <w:r w:rsidRPr="00185FC5">
        <w:t>Design</w:t>
      </w:r>
      <w:r>
        <w:t xml:space="preserve">, </w:t>
      </w:r>
      <w:r w:rsidRPr="00185FC5">
        <w:t>Development</w:t>
      </w:r>
      <w:r>
        <w:t xml:space="preserve">, </w:t>
      </w:r>
      <w:r w:rsidRPr="00185FC5">
        <w:t>Diagnostics</w:t>
      </w:r>
      <w:r>
        <w:t xml:space="preserve">, </w:t>
      </w:r>
      <w:r w:rsidRPr="00185FC5">
        <w:t>Disease</w:t>
      </w:r>
      <w:r>
        <w:t xml:space="preserve">, </w:t>
      </w:r>
      <w:r w:rsidRPr="00185FC5">
        <w:t>Dna</w:t>
      </w:r>
      <w:r>
        <w:t xml:space="preserve">, </w:t>
      </w:r>
      <w:r w:rsidRPr="00185FC5">
        <w:t>Dna Methylation</w:t>
      </w:r>
      <w:r>
        <w:t xml:space="preserve">, </w:t>
      </w:r>
      <w:r w:rsidRPr="00185FC5">
        <w:t>Environment</w:t>
      </w:r>
      <w:r>
        <w:t xml:space="preserve">, </w:t>
      </w:r>
      <w:r w:rsidRPr="00185FC5">
        <w:t>Epigenetic Mechanisms</w:t>
      </w:r>
      <w:r>
        <w:t xml:space="preserve">, </w:t>
      </w:r>
      <w:r w:rsidRPr="00185FC5">
        <w:t>Epigenome</w:t>
      </w:r>
      <w:r>
        <w:t xml:space="preserve">, </w:t>
      </w:r>
      <w:r w:rsidRPr="00185FC5">
        <w:t>Field</w:t>
      </w:r>
      <w:r>
        <w:t xml:space="preserve">, </w:t>
      </w:r>
      <w:r w:rsidRPr="00185FC5">
        <w:t>Health</w:t>
      </w:r>
      <w:r>
        <w:t xml:space="preserve">, </w:t>
      </w:r>
      <w:r w:rsidRPr="00185FC5">
        <w:t>Implementation</w:t>
      </w:r>
      <w:r>
        <w:t xml:space="preserve">, </w:t>
      </w:r>
      <w:r w:rsidRPr="00185FC5">
        <w:t>Interface</w:t>
      </w:r>
      <w:r>
        <w:t xml:space="preserve">, </w:t>
      </w:r>
      <w:r w:rsidRPr="00185FC5">
        <w:t>Literature</w:t>
      </w:r>
      <w:r>
        <w:t xml:space="preserve">, </w:t>
      </w:r>
      <w:r w:rsidRPr="00185FC5">
        <w:t>Mar</w:t>
      </w:r>
      <w:r>
        <w:t xml:space="preserve">, </w:t>
      </w:r>
      <w:r w:rsidRPr="00185FC5">
        <w:t>Methylation</w:t>
      </w:r>
      <w:r>
        <w:t xml:space="preserve">, </w:t>
      </w:r>
      <w:r w:rsidRPr="00185FC5">
        <w:t>Plasma Proteomes</w:t>
      </w:r>
      <w:r>
        <w:t xml:space="preserve">, </w:t>
      </w:r>
      <w:r w:rsidRPr="00185FC5">
        <w:t>Progress</w:t>
      </w:r>
      <w:r>
        <w:t xml:space="preserve">, </w:t>
      </w:r>
      <w:r w:rsidRPr="00185FC5">
        <w:t>Pubmed</w:t>
      </w:r>
      <w:r>
        <w:t xml:space="preserve">, </w:t>
      </w:r>
      <w:r w:rsidRPr="00185FC5">
        <w:t>Recent</w:t>
      </w:r>
      <w:r>
        <w:t xml:space="preserve">, </w:t>
      </w:r>
      <w:r w:rsidRPr="00185FC5">
        <w:t>Research</w:t>
      </w:r>
      <w:r>
        <w:t xml:space="preserve">, </w:t>
      </w:r>
      <w:r w:rsidRPr="00185FC5">
        <w:t>Reviews</w:t>
      </w:r>
      <w:r>
        <w:t xml:space="preserve">, </w:t>
      </w:r>
      <w:r w:rsidRPr="00185FC5">
        <w:t>Rights</w:t>
      </w:r>
      <w:r>
        <w:t xml:space="preserve">, </w:t>
      </w:r>
      <w:r w:rsidRPr="00185FC5">
        <w:t>Rna</w:t>
      </w:r>
      <w:r>
        <w:t xml:space="preserve">, </w:t>
      </w:r>
      <w:r w:rsidRPr="00185FC5">
        <w:t>Salivary Diagnostics</w:t>
      </w:r>
      <w:r>
        <w:t xml:space="preserve">, </w:t>
      </w:r>
      <w:r w:rsidRPr="00185FC5">
        <w:t>Salivary Transcriptome</w:t>
      </w:r>
      <w:r>
        <w:t xml:space="preserve">, </w:t>
      </w:r>
      <w:r w:rsidRPr="00185FC5">
        <w:t>Science</w:t>
      </w:r>
      <w:r>
        <w:t xml:space="preserve">, </w:t>
      </w:r>
      <w:r w:rsidRPr="00185FC5">
        <w:t>Sources</w:t>
      </w:r>
      <w:r>
        <w:t xml:space="preserve">, </w:t>
      </w:r>
      <w:r w:rsidRPr="00185FC5">
        <w:t>Standards</w:t>
      </w:r>
      <w:r>
        <w:t xml:space="preserve">, </w:t>
      </w:r>
      <w:r w:rsidRPr="00185FC5">
        <w:t>State</w:t>
      </w:r>
      <w:r>
        <w:t xml:space="preserve">, </w:t>
      </w:r>
      <w:r w:rsidRPr="00185FC5">
        <w:t>Study Design</w:t>
      </w:r>
      <w:r>
        <w:t xml:space="preserve">, </w:t>
      </w:r>
      <w:r w:rsidRPr="00185FC5">
        <w:t>Telomere Length</w:t>
      </w:r>
      <w:r>
        <w:t xml:space="preserve">, </w:t>
      </w:r>
      <w:r w:rsidRPr="00185FC5">
        <w:t>Utility</w:t>
      </w:r>
      <w:r>
        <w:t xml:space="preserve">, </w:t>
      </w:r>
      <w:r w:rsidRPr="00185FC5">
        <w:t>Web Of Science</w:t>
      </w:r>
      <w:r>
        <w:t xml:space="preserve">, </w:t>
      </w:r>
      <w:r w:rsidRPr="00185FC5">
        <w:t>Work</w:t>
      </w:r>
    </w:p>
    <w:p w:rsidR="00BC6E79" w:rsidRPr="00C73C58" w:rsidRDefault="00BC6E79" w:rsidP="00BC6E79">
      <w:pPr>
        <w:pStyle w:val="1"/>
      </w:pPr>
      <w:r w:rsidRPr="00C73C58">
        <w:br w:type="page"/>
      </w:r>
      <w:bookmarkStart w:id="319" w:name="_Toc420815050"/>
      <w:r w:rsidRPr="00C73C58">
        <w:lastRenderedPageBreak/>
        <w:t xml:space="preserve">Title: </w:t>
      </w:r>
      <w:r w:rsidRPr="00062E6B">
        <w:rPr>
          <w:iCs w:val="0"/>
        </w:rPr>
        <w:t>Clinical Toxicology</w:t>
      </w:r>
      <w:bookmarkEnd w:id="319"/>
    </w:p>
    <w:p w:rsidR="00BC6E79" w:rsidRPr="001A3D2B" w:rsidRDefault="00BC6E79" w:rsidP="00BC6E79">
      <w:pPr>
        <w:pStyle w:val="12"/>
      </w:pPr>
      <w:r w:rsidRPr="001A3D2B">
        <w:t xml:space="preserve">Full Journal Title: </w:t>
      </w:r>
      <w:r w:rsidRPr="00062E6B">
        <w:rPr>
          <w:iCs/>
          <w:kern w:val="0"/>
        </w:rPr>
        <w:t>Clinical Toxicology</w:t>
      </w:r>
    </w:p>
    <w:p w:rsidR="00BC6E79" w:rsidRPr="00C73C58" w:rsidRDefault="00BC6E79" w:rsidP="00BC6E79">
      <w:pPr>
        <w:pStyle w:val="12"/>
      </w:pPr>
      <w:r w:rsidRPr="00C73C58">
        <w:t xml:space="preserve">ISO Abbreviated Title: </w:t>
      </w:r>
    </w:p>
    <w:p w:rsidR="00BC6E79" w:rsidRPr="00C73C58" w:rsidRDefault="00BC6E79" w:rsidP="00BC6E79">
      <w:pPr>
        <w:pStyle w:val="12"/>
      </w:pPr>
      <w:r w:rsidRPr="00C73C58">
        <w:t xml:space="preserve">JCR Abbreviated Title: </w:t>
      </w:r>
    </w:p>
    <w:p w:rsidR="00BC6E79" w:rsidRPr="00C73C58" w:rsidRDefault="00BC6E79" w:rsidP="00BC6E79">
      <w:pPr>
        <w:pStyle w:val="12"/>
      </w:pPr>
      <w:r w:rsidRPr="00C73C58">
        <w:t xml:space="preserve">ISSN: </w:t>
      </w:r>
    </w:p>
    <w:p w:rsidR="00BC6E79" w:rsidRPr="00C73C58" w:rsidRDefault="00BC6E79" w:rsidP="00BC6E79">
      <w:pPr>
        <w:pStyle w:val="12"/>
      </w:pPr>
      <w:r w:rsidRPr="00C73C58">
        <w:t xml:space="preserve">Issues/Year: </w:t>
      </w:r>
    </w:p>
    <w:p w:rsidR="00BC6E79" w:rsidRPr="00C73C58" w:rsidRDefault="00BC6E79" w:rsidP="00BC6E79">
      <w:pPr>
        <w:pStyle w:val="12"/>
      </w:pPr>
      <w:r w:rsidRPr="00C73C58">
        <w:t xml:space="preserve">Journal Country/Territory: </w:t>
      </w:r>
    </w:p>
    <w:p w:rsidR="00BC6E79" w:rsidRPr="00C73C58" w:rsidRDefault="00BC6E79" w:rsidP="00BC6E79">
      <w:pPr>
        <w:pStyle w:val="12"/>
      </w:pPr>
      <w:r w:rsidRPr="00C73C58">
        <w:t xml:space="preserve">Language: </w:t>
      </w:r>
    </w:p>
    <w:p w:rsidR="00BC6E79" w:rsidRPr="00C73C58" w:rsidRDefault="00BC6E79" w:rsidP="00BC6E79">
      <w:pPr>
        <w:pStyle w:val="12"/>
      </w:pPr>
      <w:r w:rsidRPr="00C73C58">
        <w:t xml:space="preserve">Publisher: </w:t>
      </w:r>
    </w:p>
    <w:p w:rsidR="00BC6E79" w:rsidRPr="00C73C58" w:rsidRDefault="00BC6E79" w:rsidP="00BC6E79">
      <w:pPr>
        <w:pStyle w:val="12"/>
      </w:pPr>
      <w:r w:rsidRPr="00C73C58">
        <w:t xml:space="preserve">Publisher Address: </w:t>
      </w:r>
    </w:p>
    <w:p w:rsidR="00BC6E79" w:rsidRPr="00C73C58" w:rsidRDefault="00BC6E79" w:rsidP="00BC6E79">
      <w:pPr>
        <w:pStyle w:val="12"/>
      </w:pPr>
      <w:r w:rsidRPr="00C73C58">
        <w:t xml:space="preserve">Subject Categories: </w:t>
      </w:r>
    </w:p>
    <w:p w:rsidR="00BC6E79" w:rsidRPr="00C73C58" w:rsidRDefault="00BC6E79" w:rsidP="00BC6E79">
      <w:pPr>
        <w:pStyle w:val="12"/>
      </w:pPr>
      <w:r w:rsidRPr="00C73C58">
        <w:t xml:space="preserve">: Impact Factor </w:t>
      </w:r>
    </w:p>
    <w:p w:rsidR="00BC6E79" w:rsidRDefault="00BC6E79" w:rsidP="00BC6E79">
      <w:pPr>
        <w:pStyle w:val="a3"/>
        <w:rPr>
          <w:kern w:val="0"/>
        </w:rPr>
      </w:pPr>
      <w:r>
        <w:rPr>
          <w:rFonts w:hint="eastAsia"/>
          <w:kern w:val="0"/>
        </w:rPr>
        <w:t xml:space="preserve">? </w:t>
      </w:r>
      <w:r>
        <w:rPr>
          <w:kern w:val="0"/>
        </w:rPr>
        <w:t>Schep, L.J., Slaughter, R.J., Temple, W.A.</w:t>
      </w:r>
      <w:r w:rsidR="005853A9">
        <w:rPr>
          <w:kern w:val="0"/>
        </w:rPr>
        <w:t xml:space="preserve"> and </w:t>
      </w:r>
      <w:r>
        <w:rPr>
          <w:kern w:val="0"/>
        </w:rPr>
        <w:t xml:space="preserve">Beasley, D.M.G. (2009), Diethylene glycol poisoning. </w:t>
      </w:r>
      <w:r w:rsidRPr="00062E6B">
        <w:rPr>
          <w:i/>
          <w:iCs/>
          <w:kern w:val="0"/>
        </w:rPr>
        <w:t>Clinical Toxicology</w:t>
      </w:r>
      <w:r>
        <w:rPr>
          <w:kern w:val="0"/>
        </w:rPr>
        <w:t xml:space="preserve">, </w:t>
      </w:r>
      <w:r>
        <w:rPr>
          <w:b/>
          <w:bCs/>
          <w:kern w:val="0"/>
        </w:rPr>
        <w:t>47</w:t>
      </w:r>
      <w:r>
        <w:rPr>
          <w:kern w:val="0"/>
        </w:rPr>
        <w:t xml:space="preserve"> (6), 525-535.</w:t>
      </w:r>
    </w:p>
    <w:p w:rsidR="00BC6E79" w:rsidRDefault="00BC6E79" w:rsidP="00BC6E79">
      <w:pPr>
        <w:pStyle w:val="a3"/>
        <w:rPr>
          <w:kern w:val="0"/>
        </w:rPr>
      </w:pPr>
      <w:r>
        <w:rPr>
          <w:kern w:val="0"/>
        </w:rPr>
        <w:t>Abstract: Introduction. Diethylene glycol (DEG) is a clear, colorless, practically odorless, viscous, hygroscopic liquid with a sweetish taste. In addition to its use in a wide range</w:t>
      </w:r>
      <w:r w:rsidR="00427468">
        <w:rPr>
          <w:kern w:val="0"/>
        </w:rPr>
        <w:t xml:space="preserve"> of </w:t>
      </w:r>
      <w:r>
        <w:rPr>
          <w:kern w:val="0"/>
        </w:rPr>
        <w:t>industrial products, it has also been involved in a number</w:t>
      </w:r>
      <w:r w:rsidR="00427468">
        <w:rPr>
          <w:kern w:val="0"/>
        </w:rPr>
        <w:t xml:space="preserve"> of </w:t>
      </w:r>
      <w:r>
        <w:rPr>
          <w:kern w:val="0"/>
        </w:rPr>
        <w:t>prominent mass poisonings spanning back to 1937. Despite DEG</w:t>
      </w:r>
      <w:r w:rsidR="0071223E">
        <w:rPr>
          <w:kern w:val="0"/>
        </w:rPr>
        <w:t>’</w:t>
      </w:r>
      <w:r w:rsidR="00C13DDC">
        <w:rPr>
          <w:kern w:val="0"/>
        </w:rPr>
        <w:t>s</w:t>
      </w:r>
      <w:r>
        <w:rPr>
          <w:kern w:val="0"/>
        </w:rPr>
        <w:t xml:space="preserve"> toxicity</w:t>
      </w:r>
      <w:r w:rsidR="005853A9">
        <w:rPr>
          <w:kern w:val="0"/>
        </w:rPr>
        <w:t xml:space="preserve"> and </w:t>
      </w:r>
      <w:r>
        <w:rPr>
          <w:kern w:val="0"/>
        </w:rPr>
        <w:t>associated epidemics</w:t>
      </w:r>
      <w:r w:rsidR="00427468">
        <w:rPr>
          <w:kern w:val="0"/>
        </w:rPr>
        <w:t xml:space="preserve"> of </w:t>
      </w:r>
      <w:r>
        <w:rPr>
          <w:kern w:val="0"/>
        </w:rPr>
        <w:t>fatal poisonings, a comprehensive review has not been published. Methods. A summary</w:t>
      </w:r>
      <w:r w:rsidR="00427468">
        <w:rPr>
          <w:kern w:val="0"/>
        </w:rPr>
        <w:t xml:space="preserve"> of </w:t>
      </w:r>
      <w:r w:rsidR="003A1917">
        <w:rPr>
          <w:kern w:val="0"/>
        </w:rPr>
        <w:t xml:space="preserve">the </w:t>
      </w:r>
      <w:r>
        <w:rPr>
          <w:kern w:val="0"/>
        </w:rPr>
        <w:t xml:space="preserve">literature on DEG was compiled by systematically searching OVID </w:t>
      </w:r>
      <w:r w:rsidR="00D5664A">
        <w:rPr>
          <w:kern w:val="0"/>
        </w:rPr>
        <w:t>MEDLINE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Further information was obtained from book chapters, relevant news reports,</w:t>
      </w:r>
      <w:r w:rsidR="005853A9">
        <w:rPr>
          <w:kern w:val="0"/>
        </w:rPr>
        <w:t xml:space="preserve"> and </w:t>
      </w:r>
      <w:r>
        <w:rPr>
          <w:kern w:val="0"/>
        </w:rPr>
        <w:t>web material. Aim</w:t>
      </w:r>
      <w:r w:rsidR="00A37C1D">
        <w:rPr>
          <w:kern w:val="0"/>
        </w:rPr>
        <w:t>. The</w:t>
      </w:r>
      <w:r w:rsidR="003A1917">
        <w:rPr>
          <w:kern w:val="0"/>
        </w:rPr>
        <w:t xml:space="preserve"> </w:t>
      </w:r>
      <w:r>
        <w:rPr>
          <w:kern w:val="0"/>
        </w:rPr>
        <w:t>aim</w:t>
      </w:r>
      <w:r w:rsidR="00427468">
        <w:rPr>
          <w:kern w:val="0"/>
        </w:rPr>
        <w:t xml:space="preserve"> of </w:t>
      </w:r>
      <w:r>
        <w:rPr>
          <w:kern w:val="0"/>
        </w:rPr>
        <w:t>this review is to summarize all main aspects</w:t>
      </w:r>
      <w:r w:rsidR="00427468">
        <w:rPr>
          <w:kern w:val="0"/>
        </w:rPr>
        <w:t xml:space="preserve"> of </w:t>
      </w:r>
      <w:r>
        <w:rPr>
          <w:kern w:val="0"/>
        </w:rPr>
        <w:t>DEG poisoning including epidemiology, toxicokinetics, mechanisms</w:t>
      </w:r>
      <w:r w:rsidR="00427468">
        <w:rPr>
          <w:kern w:val="0"/>
        </w:rPr>
        <w:t xml:space="preserve"> of </w:t>
      </w:r>
      <w:r>
        <w:rPr>
          <w:kern w:val="0"/>
        </w:rPr>
        <w:t>toxicity, clinical features, toxicity</w:t>
      </w:r>
      <w:r w:rsidR="00427468">
        <w:rPr>
          <w:kern w:val="0"/>
        </w:rPr>
        <w:t xml:space="preserve"> of </w:t>
      </w:r>
      <w:r>
        <w:rPr>
          <w:kern w:val="0"/>
        </w:rPr>
        <w:t>DEG, diagnosis,</w:t>
      </w:r>
      <w:r w:rsidR="005853A9">
        <w:rPr>
          <w:kern w:val="0"/>
        </w:rPr>
        <w:t xml:space="preserve"> and </w:t>
      </w:r>
      <w:r>
        <w:rPr>
          <w:kern w:val="0"/>
        </w:rPr>
        <w:t>management. Epidemiology. Most</w:t>
      </w:r>
      <w:r w:rsidR="00427468">
        <w:rPr>
          <w:kern w:val="0"/>
        </w:rPr>
        <w:t xml:space="preserve"> of </w:t>
      </w:r>
      <w:r w:rsidR="003A1917">
        <w:rPr>
          <w:kern w:val="0"/>
        </w:rPr>
        <w:t xml:space="preserve">the </w:t>
      </w:r>
      <w:r>
        <w:rPr>
          <w:kern w:val="0"/>
        </w:rPr>
        <w:t>documented cases</w:t>
      </w:r>
      <w:r w:rsidR="00427468">
        <w:rPr>
          <w:kern w:val="0"/>
        </w:rPr>
        <w:t xml:space="preserve"> of </w:t>
      </w:r>
      <w:r>
        <w:rPr>
          <w:kern w:val="0"/>
        </w:rPr>
        <w:t>DEG poisoning have been epidemics (numbering over a dozen) where DEG was substituted in pharmaceutical preparations. More often, these epidemics have occurred in developing</w:t>
      </w:r>
      <w:r w:rsidR="005853A9">
        <w:rPr>
          <w:kern w:val="0"/>
        </w:rPr>
        <w:t xml:space="preserve"> and </w:t>
      </w:r>
      <w:r>
        <w:rPr>
          <w:kern w:val="0"/>
        </w:rPr>
        <w:t>impoverished nations where there is limited access to intensive medical care</w:t>
      </w:r>
      <w:r w:rsidR="005853A9">
        <w:rPr>
          <w:kern w:val="0"/>
        </w:rPr>
        <w:t xml:space="preserve"> and </w:t>
      </w:r>
      <w:r>
        <w:rPr>
          <w:kern w:val="0"/>
        </w:rPr>
        <w:t>quality control procedures are substandard. Toxico kin e tics. Following ingestion, DEG is rapidly absorbed</w:t>
      </w:r>
      <w:r w:rsidR="005853A9">
        <w:rPr>
          <w:kern w:val="0"/>
        </w:rPr>
        <w:t xml:space="preserve"> and </w:t>
      </w:r>
      <w:r>
        <w:rPr>
          <w:kern w:val="0"/>
        </w:rPr>
        <w:t>distributed within</w:t>
      </w:r>
      <w:r w:rsidR="003A1917">
        <w:rPr>
          <w:kern w:val="0"/>
        </w:rPr>
        <w:t xml:space="preserve"> the </w:t>
      </w:r>
      <w:r>
        <w:rPr>
          <w:kern w:val="0"/>
        </w:rPr>
        <w:t>body, predominantly to regions that are well perfused. Metabolism occurs principally in</w:t>
      </w:r>
      <w:r w:rsidR="003A1917">
        <w:rPr>
          <w:kern w:val="0"/>
        </w:rPr>
        <w:t xml:space="preserve"> the </w:t>
      </w:r>
      <w:r>
        <w:rPr>
          <w:kern w:val="0"/>
        </w:rPr>
        <w:t>liver</w:t>
      </w:r>
      <w:r w:rsidR="005853A9">
        <w:rPr>
          <w:kern w:val="0"/>
        </w:rPr>
        <w:t xml:space="preserve"> and </w:t>
      </w:r>
      <w:r>
        <w:rPr>
          <w:kern w:val="0"/>
        </w:rPr>
        <w:t>both</w:t>
      </w:r>
      <w:r w:rsidR="003A1917">
        <w:rPr>
          <w:kern w:val="0"/>
        </w:rPr>
        <w:t xml:space="preserve"> the </w:t>
      </w:r>
      <w:r>
        <w:rPr>
          <w:kern w:val="0"/>
        </w:rPr>
        <w:t>parent</w:t>
      </w:r>
      <w:r w:rsidR="005853A9">
        <w:rPr>
          <w:kern w:val="0"/>
        </w:rPr>
        <w:t xml:space="preserve"> and </w:t>
      </w:r>
      <w:r w:rsidR="003A1917">
        <w:rPr>
          <w:kern w:val="0"/>
        </w:rPr>
        <w:t xml:space="preserve">the </w:t>
      </w:r>
      <w:r>
        <w:rPr>
          <w:kern w:val="0"/>
        </w:rPr>
        <w:t>metabolite, 2-hydroxyethoxyacetic acid (HEAA), are renally eliminated rapidly. Mechanisms</w:t>
      </w:r>
      <w:r w:rsidR="00427468">
        <w:rPr>
          <w:kern w:val="0"/>
        </w:rPr>
        <w:t xml:space="preserve"> of </w:t>
      </w:r>
      <w:r>
        <w:rPr>
          <w:kern w:val="0"/>
        </w:rPr>
        <w:t>toxicity. Although</w:t>
      </w:r>
      <w:r w:rsidR="003A1917">
        <w:rPr>
          <w:kern w:val="0"/>
        </w:rPr>
        <w:t xml:space="preserve"> the </w:t>
      </w:r>
      <w:r>
        <w:rPr>
          <w:kern w:val="0"/>
        </w:rPr>
        <w:t>mechanism</w:t>
      </w:r>
      <w:r w:rsidR="00427468">
        <w:rPr>
          <w:kern w:val="0"/>
        </w:rPr>
        <w:t xml:space="preserve"> of </w:t>
      </w:r>
      <w:r>
        <w:rPr>
          <w:kern w:val="0"/>
        </w:rPr>
        <w:t>toxicity is not clearly elucidated, research suggests that</w:t>
      </w:r>
      <w:r w:rsidR="003A1917">
        <w:rPr>
          <w:kern w:val="0"/>
        </w:rPr>
        <w:t xml:space="preserve"> the </w:t>
      </w:r>
      <w:r>
        <w:rPr>
          <w:kern w:val="0"/>
        </w:rPr>
        <w:t>DEG metabolite, HEAA, is</w:t>
      </w:r>
      <w:r w:rsidR="003A1917">
        <w:rPr>
          <w:kern w:val="0"/>
        </w:rPr>
        <w:t xml:space="preserve"> the </w:t>
      </w:r>
      <w:r>
        <w:rPr>
          <w:kern w:val="0"/>
        </w:rPr>
        <w:t>major contributor to renal</w:t>
      </w:r>
      <w:r w:rsidR="005853A9">
        <w:rPr>
          <w:kern w:val="0"/>
        </w:rPr>
        <w:t xml:space="preserve"> and </w:t>
      </w:r>
      <w:r>
        <w:rPr>
          <w:kern w:val="0"/>
        </w:rPr>
        <w:t>neurological toxicities. Clinical features</w:t>
      </w:r>
      <w:r w:rsidR="00A37C1D">
        <w:rPr>
          <w:kern w:val="0"/>
        </w:rPr>
        <w:t>. The</w:t>
      </w:r>
      <w:r w:rsidR="003A1917">
        <w:rPr>
          <w:kern w:val="0"/>
        </w:rPr>
        <w:t xml:space="preserve"> </w:t>
      </w:r>
      <w:r>
        <w:rPr>
          <w:kern w:val="0"/>
        </w:rPr>
        <w:t>clinical effects</w:t>
      </w:r>
      <w:r w:rsidR="00427468">
        <w:rPr>
          <w:kern w:val="0"/>
        </w:rPr>
        <w:t xml:space="preserve"> of </w:t>
      </w:r>
      <w:r>
        <w:rPr>
          <w:kern w:val="0"/>
        </w:rPr>
        <w:t>DEG poisoning can be divided into three stages:</w:t>
      </w:r>
      <w:r w:rsidR="003A1917">
        <w:rPr>
          <w:kern w:val="0"/>
        </w:rPr>
        <w:t xml:space="preserve"> the </w:t>
      </w:r>
      <w:r>
        <w:rPr>
          <w:kern w:val="0"/>
        </w:rPr>
        <w:t>first phase consists</w:t>
      </w:r>
      <w:r w:rsidR="00427468">
        <w:rPr>
          <w:kern w:val="0"/>
        </w:rPr>
        <w:t xml:space="preserve"> of </w:t>
      </w:r>
      <w:r>
        <w:rPr>
          <w:kern w:val="0"/>
        </w:rPr>
        <w:t>gastrointestinal symptoms with evidence</w:t>
      </w:r>
      <w:r w:rsidR="00427468">
        <w:rPr>
          <w:kern w:val="0"/>
        </w:rPr>
        <w:t xml:space="preserve"> of </w:t>
      </w:r>
      <w:r>
        <w:rPr>
          <w:kern w:val="0"/>
        </w:rPr>
        <w:t>inebriation</w:t>
      </w:r>
      <w:r w:rsidR="005853A9">
        <w:rPr>
          <w:kern w:val="0"/>
        </w:rPr>
        <w:t xml:space="preserve"> and </w:t>
      </w:r>
      <w:r>
        <w:rPr>
          <w:kern w:val="0"/>
        </w:rPr>
        <w:t xml:space="preserve">developing </w:t>
      </w:r>
      <w:r>
        <w:rPr>
          <w:kern w:val="0"/>
        </w:rPr>
        <w:lastRenderedPageBreak/>
        <w:t>metabolic acidosis. If poisoning is pronounced, patients can progress to a second phase with more severe metabolic acidosis</w:t>
      </w:r>
      <w:r w:rsidR="005853A9">
        <w:rPr>
          <w:kern w:val="0"/>
        </w:rPr>
        <w:t xml:space="preserve"> and </w:t>
      </w:r>
      <w:r>
        <w:rPr>
          <w:kern w:val="0"/>
        </w:rPr>
        <w:t>evidence</w:t>
      </w:r>
      <w:r w:rsidR="00427468">
        <w:rPr>
          <w:kern w:val="0"/>
        </w:rPr>
        <w:t xml:space="preserve"> of </w:t>
      </w:r>
      <w:r>
        <w:rPr>
          <w:kern w:val="0"/>
        </w:rPr>
        <w:t>emerging renal injury, which, in</w:t>
      </w:r>
      <w:r w:rsidR="003A1917">
        <w:rPr>
          <w:kern w:val="0"/>
        </w:rPr>
        <w:t xml:space="preserve"> the </w:t>
      </w:r>
      <w:r>
        <w:rPr>
          <w:kern w:val="0"/>
        </w:rPr>
        <w:t>absence</w:t>
      </w:r>
      <w:r w:rsidR="00427468">
        <w:rPr>
          <w:kern w:val="0"/>
        </w:rPr>
        <w:t xml:space="preserve"> of </w:t>
      </w:r>
      <w:r>
        <w:rPr>
          <w:kern w:val="0"/>
        </w:rPr>
        <w:t>appropriate supportive care, can lead to death. If patients are stabilized, they may then enter</w:t>
      </w:r>
      <w:r w:rsidR="003A1917">
        <w:rPr>
          <w:kern w:val="0"/>
        </w:rPr>
        <w:t xml:space="preserve"> the </w:t>
      </w:r>
      <w:r>
        <w:rPr>
          <w:kern w:val="0"/>
        </w:rPr>
        <w:t>final phase with various delayed neuropathies</w:t>
      </w:r>
      <w:r w:rsidR="005853A9">
        <w:rPr>
          <w:kern w:val="0"/>
        </w:rPr>
        <w:t xml:space="preserve"> and </w:t>
      </w:r>
      <w:r>
        <w:rPr>
          <w:kern w:val="0"/>
        </w:rPr>
        <w:t>other neurological effects, sometimes fatal. Toxicity</w:t>
      </w:r>
      <w:r w:rsidR="00427468">
        <w:rPr>
          <w:kern w:val="0"/>
        </w:rPr>
        <w:t xml:space="preserve"> of </w:t>
      </w:r>
      <w:r>
        <w:rPr>
          <w:kern w:val="0"/>
        </w:rPr>
        <w:t>DEG. Doses</w:t>
      </w:r>
      <w:r w:rsidR="00427468">
        <w:rPr>
          <w:kern w:val="0"/>
        </w:rPr>
        <w:t xml:space="preserve"> of </w:t>
      </w:r>
      <w:r>
        <w:rPr>
          <w:kern w:val="0"/>
        </w:rPr>
        <w:t>DEG necessary to cause human morbidity</w:t>
      </w:r>
      <w:r w:rsidR="005853A9">
        <w:rPr>
          <w:kern w:val="0"/>
        </w:rPr>
        <w:t xml:space="preserve"> and </w:t>
      </w:r>
      <w:r>
        <w:rPr>
          <w:kern w:val="0"/>
        </w:rPr>
        <w:t>mortality are not well established</w:t>
      </w:r>
      <w:r w:rsidR="00A37C1D">
        <w:rPr>
          <w:kern w:val="0"/>
        </w:rPr>
        <w:t>. The</w:t>
      </w:r>
      <w:r>
        <w:rPr>
          <w:kern w:val="0"/>
        </w:rPr>
        <w:t>y are based predominantly on reports following some epidemics</w:t>
      </w:r>
      <w:r w:rsidR="00427468">
        <w:rPr>
          <w:kern w:val="0"/>
        </w:rPr>
        <w:t xml:space="preserve"> of </w:t>
      </w:r>
      <w:r>
        <w:rPr>
          <w:kern w:val="0"/>
        </w:rPr>
        <w:t>mass poisonings, which may underestimate toxicity</w:t>
      </w:r>
      <w:r w:rsidR="00A37C1D">
        <w:rPr>
          <w:kern w:val="0"/>
        </w:rPr>
        <w:t>. The</w:t>
      </w:r>
      <w:r w:rsidR="003A1917">
        <w:rPr>
          <w:kern w:val="0"/>
        </w:rPr>
        <w:t xml:space="preserve"> </w:t>
      </w:r>
      <w:r>
        <w:rPr>
          <w:kern w:val="0"/>
        </w:rPr>
        <w:t>mean estimated fatal dose in an adult has been defined as similar to 1 mL/kg</w:t>
      </w:r>
      <w:r w:rsidR="00427468">
        <w:rPr>
          <w:kern w:val="0"/>
        </w:rPr>
        <w:t xml:space="preserve"> of </w:t>
      </w:r>
      <w:r>
        <w:rPr>
          <w:kern w:val="0"/>
        </w:rPr>
        <w:t>pure DEG. Management. Initial treatment consists</w:t>
      </w:r>
      <w:r w:rsidR="00427468">
        <w:rPr>
          <w:kern w:val="0"/>
        </w:rPr>
        <w:t xml:space="preserve"> of </w:t>
      </w:r>
      <w:r>
        <w:rPr>
          <w:kern w:val="0"/>
        </w:rPr>
        <w:t>appropriate airway management</w:t>
      </w:r>
      <w:r w:rsidR="005853A9">
        <w:rPr>
          <w:kern w:val="0"/>
        </w:rPr>
        <w:t xml:space="preserve"> and </w:t>
      </w:r>
      <w:r>
        <w:rPr>
          <w:kern w:val="0"/>
        </w:rPr>
        <w:t>attention to acid-base abnormalities. Prompt use</w:t>
      </w:r>
      <w:r w:rsidR="00427468">
        <w:rPr>
          <w:kern w:val="0"/>
        </w:rPr>
        <w:t xml:space="preserve"> of </w:t>
      </w:r>
      <w:r>
        <w:rPr>
          <w:kern w:val="0"/>
        </w:rPr>
        <w:t>fomepizole or ethanol is important in preventing</w:t>
      </w:r>
      <w:r w:rsidR="003A1917">
        <w:rPr>
          <w:kern w:val="0"/>
        </w:rPr>
        <w:t xml:space="preserve"> the </w:t>
      </w:r>
      <w:r>
        <w:rPr>
          <w:kern w:val="0"/>
        </w:rPr>
        <w:t>formation</w:t>
      </w:r>
      <w:r w:rsidR="00427468">
        <w:rPr>
          <w:kern w:val="0"/>
        </w:rPr>
        <w:t xml:space="preserve"> of </w:t>
      </w:r>
      <w:r w:rsidR="003A1917">
        <w:rPr>
          <w:kern w:val="0"/>
        </w:rPr>
        <w:t xml:space="preserve">the </w:t>
      </w:r>
      <w:r>
        <w:rPr>
          <w:kern w:val="0"/>
        </w:rPr>
        <w:t>toxic metabolite HEAA; hemodialysis can also be critical,</w:t>
      </w:r>
      <w:r w:rsidR="005853A9">
        <w:rPr>
          <w:kern w:val="0"/>
        </w:rPr>
        <w:t xml:space="preserve"> and </w:t>
      </w:r>
      <w:r>
        <w:rPr>
          <w:kern w:val="0"/>
        </w:rPr>
        <w:t>assisted ventilation may be required. Conclusions. DEG ingestion can lead to serious complications that may prove fatal. Prognosis may be improved, however, with prompt supportive care</w:t>
      </w:r>
      <w:r w:rsidR="005853A9">
        <w:rPr>
          <w:kern w:val="0"/>
        </w:rPr>
        <w:t xml:space="preserve"> and </w:t>
      </w:r>
      <w:r>
        <w:rPr>
          <w:kern w:val="0"/>
        </w:rPr>
        <w:t>timely use</w:t>
      </w:r>
      <w:r w:rsidR="00427468">
        <w:rPr>
          <w:kern w:val="0"/>
        </w:rPr>
        <w:t xml:space="preserve"> of </w:t>
      </w:r>
      <w:r>
        <w:rPr>
          <w:kern w:val="0"/>
        </w:rPr>
        <w:t>fomepizole or ethanol.</w:t>
      </w:r>
    </w:p>
    <w:p w:rsidR="00BC6E79" w:rsidRDefault="00BC6E79" w:rsidP="00BC6E79">
      <w:pPr>
        <w:pStyle w:val="a3"/>
        <w:rPr>
          <w:kern w:val="0"/>
        </w:rPr>
      </w:pPr>
      <w:r>
        <w:rPr>
          <w:kern w:val="0"/>
        </w:rPr>
        <w:t>Keywords: 2-Hydroxyethoxyacetic Acid, Adult, Airway, Alcohol-Dehydrogenase, Attention, Control, Delayed Neuropathies, Diagnosis, Diethylene Glycol, Epidemic, Epidemiology, Ethanol, Ethylene-Glycol, Fomepizole, Fomepizole, Gastrointestinal, Hemodialysis, Human, Information, Ingestion, Injury, Intoxication</w:t>
      </w:r>
      <w:r w:rsidR="00D5664A">
        <w:rPr>
          <w:kern w:val="0"/>
        </w:rPr>
        <w:t>, ISI,</w:t>
      </w:r>
      <w:r>
        <w:rPr>
          <w:kern w:val="0"/>
        </w:rPr>
        <w:t xml:space="preserve"> Lead, Literature, Male-Rats, Management, Mechanism, Medical, </w:t>
      </w:r>
      <w:r w:rsidR="00D5664A">
        <w:rPr>
          <w:kern w:val="0"/>
        </w:rPr>
        <w:t>MEDLINE</w:t>
      </w:r>
      <w:r>
        <w:rPr>
          <w:kern w:val="0"/>
        </w:rPr>
        <w:t xml:space="preserve">, Metabolic Acidosis, Methanol, Methods, Morbidity, Mortality, Parent, Position Paper, Prognosis, Quality Control, Renal Toxicity, Research, Review, Science, Symptoms, Toxicity, Treatment,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Schep, L.J., Slaughter, R.J.</w:t>
      </w:r>
      <w:r w:rsidR="005853A9">
        <w:rPr>
          <w:kern w:val="0"/>
        </w:rPr>
        <w:t xml:space="preserve"> and </w:t>
      </w:r>
      <w:r>
        <w:rPr>
          <w:kern w:val="0"/>
        </w:rPr>
        <w:t xml:space="preserve">Beasley, D.M.G. (2009), Nicotinic plant poisoning. </w:t>
      </w:r>
      <w:r>
        <w:rPr>
          <w:i/>
          <w:iCs/>
          <w:kern w:val="0"/>
        </w:rPr>
        <w:t>Clinical Toxicology</w:t>
      </w:r>
      <w:r>
        <w:rPr>
          <w:kern w:val="0"/>
        </w:rPr>
        <w:t xml:space="preserve">, </w:t>
      </w:r>
      <w:r>
        <w:rPr>
          <w:b/>
          <w:bCs/>
          <w:kern w:val="0"/>
        </w:rPr>
        <w:t>47</w:t>
      </w:r>
      <w:r>
        <w:rPr>
          <w:kern w:val="0"/>
        </w:rPr>
        <w:t xml:space="preserve"> (8), 771-781.</w:t>
      </w:r>
    </w:p>
    <w:p w:rsidR="00BC6E79" w:rsidRDefault="00BC6E79" w:rsidP="00BC6E79">
      <w:pPr>
        <w:pStyle w:val="a3"/>
        <w:rPr>
          <w:kern w:val="0"/>
        </w:rPr>
      </w:pPr>
      <w:r>
        <w:rPr>
          <w:kern w:val="0"/>
        </w:rPr>
        <w:t>Abstract: Introduction. A wide range</w:t>
      </w:r>
      <w:r w:rsidR="00427468">
        <w:rPr>
          <w:kern w:val="0"/>
        </w:rPr>
        <w:t xml:space="preserve"> of </w:t>
      </w:r>
      <w:r>
        <w:rPr>
          <w:kern w:val="0"/>
        </w:rPr>
        <w:t>plants contain nicotinic</w:t>
      </w:r>
      <w:r w:rsidR="005853A9">
        <w:rPr>
          <w:kern w:val="0"/>
        </w:rPr>
        <w:t xml:space="preserve"> and </w:t>
      </w:r>
      <w:r>
        <w:rPr>
          <w:kern w:val="0"/>
        </w:rPr>
        <w:t>nicotinic-like alkaloids.</w:t>
      </w:r>
      <w:r w:rsidR="00427468">
        <w:rPr>
          <w:kern w:val="0"/>
        </w:rPr>
        <w:t xml:space="preserve"> of </w:t>
      </w:r>
      <w:r>
        <w:rPr>
          <w:kern w:val="0"/>
        </w:rPr>
        <w:t>this diverse group, those that have been reported to cause human poisoning appear to have similar mechanisms</w:t>
      </w:r>
      <w:r w:rsidR="00427468">
        <w:rPr>
          <w:kern w:val="0"/>
        </w:rPr>
        <w:t xml:space="preserve"> of </w:t>
      </w:r>
      <w:r>
        <w:rPr>
          <w:kern w:val="0"/>
        </w:rPr>
        <w:t>toxicity</w:t>
      </w:r>
      <w:r w:rsidR="005853A9">
        <w:rPr>
          <w:kern w:val="0"/>
        </w:rPr>
        <w:t xml:space="preserve"> and </w:t>
      </w:r>
      <w:r>
        <w:rPr>
          <w:kern w:val="0"/>
        </w:rPr>
        <w:t>presenting patients therefore have comparable toxidromes. This review describes</w:t>
      </w:r>
      <w:r w:rsidR="003A1917">
        <w:rPr>
          <w:kern w:val="0"/>
        </w:rPr>
        <w:t xml:space="preserve"> the </w:t>
      </w:r>
      <w:r>
        <w:rPr>
          <w:kern w:val="0"/>
        </w:rPr>
        <w:t>taxonomy</w:t>
      </w:r>
      <w:r w:rsidR="005853A9">
        <w:rPr>
          <w:kern w:val="0"/>
        </w:rPr>
        <w:t xml:space="preserve"> and </w:t>
      </w:r>
      <w:r>
        <w:rPr>
          <w:kern w:val="0"/>
        </w:rPr>
        <w:t>principal alkaloids</w:t>
      </w:r>
      <w:r w:rsidR="00427468">
        <w:rPr>
          <w:kern w:val="0"/>
        </w:rPr>
        <w:t xml:space="preserve"> of </w:t>
      </w:r>
      <w:r>
        <w:rPr>
          <w:kern w:val="0"/>
        </w:rPr>
        <w:t>plants that contain nicotinic</w:t>
      </w:r>
      <w:r w:rsidR="005853A9">
        <w:rPr>
          <w:kern w:val="0"/>
        </w:rPr>
        <w:t xml:space="preserve"> and </w:t>
      </w:r>
      <w:r>
        <w:rPr>
          <w:kern w:val="0"/>
        </w:rPr>
        <w:t>nicotinic-like alkaloids, with particular focus on those that are toxic to humans</w:t>
      </w:r>
      <w:r w:rsidR="00A37C1D">
        <w:rPr>
          <w:kern w:val="0"/>
        </w:rPr>
        <w:t>. The</w:t>
      </w:r>
      <w:r w:rsidR="003A1917">
        <w:rPr>
          <w:kern w:val="0"/>
        </w:rPr>
        <w:t xml:space="preserve"> </w:t>
      </w:r>
      <w:r>
        <w:rPr>
          <w:kern w:val="0"/>
        </w:rPr>
        <w:t>toxicokinetics</w:t>
      </w:r>
      <w:r w:rsidR="005853A9">
        <w:rPr>
          <w:kern w:val="0"/>
        </w:rPr>
        <w:t xml:space="preserve"> and </w:t>
      </w:r>
      <w:r>
        <w:rPr>
          <w:kern w:val="0"/>
        </w:rPr>
        <w:t>mechanisms</w:t>
      </w:r>
      <w:r w:rsidR="00427468">
        <w:rPr>
          <w:kern w:val="0"/>
        </w:rPr>
        <w:t xml:space="preserve"> of </w:t>
      </w:r>
      <w:r>
        <w:rPr>
          <w:kern w:val="0"/>
        </w:rPr>
        <w:t>toxicity</w:t>
      </w:r>
      <w:r w:rsidR="00427468">
        <w:rPr>
          <w:kern w:val="0"/>
        </w:rPr>
        <w:t xml:space="preserve"> of </w:t>
      </w:r>
      <w:r>
        <w:rPr>
          <w:kern w:val="0"/>
        </w:rPr>
        <w:t>these alkaloids are reviewed</w:t>
      </w:r>
      <w:r w:rsidR="005853A9">
        <w:rPr>
          <w:kern w:val="0"/>
        </w:rPr>
        <w:t xml:space="preserve"> and </w:t>
      </w:r>
      <w:r w:rsidR="003A1917">
        <w:rPr>
          <w:kern w:val="0"/>
        </w:rPr>
        <w:t xml:space="preserve">the </w:t>
      </w:r>
      <w:r>
        <w:rPr>
          <w:kern w:val="0"/>
        </w:rPr>
        <w:t>clinical features</w:t>
      </w:r>
      <w:r w:rsidR="005853A9">
        <w:rPr>
          <w:kern w:val="0"/>
        </w:rPr>
        <w:t xml:space="preserve"> and </w:t>
      </w:r>
      <w:r>
        <w:rPr>
          <w:kern w:val="0"/>
        </w:rPr>
        <w:t>management</w:t>
      </w:r>
      <w:r w:rsidR="00427468">
        <w:rPr>
          <w:kern w:val="0"/>
        </w:rPr>
        <w:t xml:space="preserve"> of </w:t>
      </w:r>
      <w:r>
        <w:rPr>
          <w:kern w:val="0"/>
        </w:rPr>
        <w:t xml:space="preserve">poisoning due to these plants are described. Methods. This review was compiled by systematically searching OVID </w:t>
      </w:r>
      <w:r w:rsidR="00D5664A">
        <w:rPr>
          <w:kern w:val="0"/>
        </w:rPr>
        <w:t>MEDLINE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This identified 9,456 papers, excluding duplicates, all</w:t>
      </w:r>
      <w:r w:rsidR="00427468">
        <w:rPr>
          <w:kern w:val="0"/>
        </w:rPr>
        <w:t xml:space="preserve"> of </w:t>
      </w:r>
      <w:r>
        <w:rPr>
          <w:kern w:val="0"/>
        </w:rPr>
        <w:t>which were screened. Reviewed plants</w:t>
      </w:r>
      <w:r w:rsidR="005853A9">
        <w:rPr>
          <w:kern w:val="0"/>
        </w:rPr>
        <w:t xml:space="preserve"> and </w:t>
      </w:r>
      <w:r>
        <w:rPr>
          <w:kern w:val="0"/>
        </w:rPr>
        <w:t>their principal alkaloids. Plants containing nicotine</w:t>
      </w:r>
      <w:r w:rsidR="005853A9">
        <w:rPr>
          <w:kern w:val="0"/>
        </w:rPr>
        <w:t xml:space="preserve"> and </w:t>
      </w:r>
      <w:r>
        <w:rPr>
          <w:kern w:val="0"/>
        </w:rPr>
        <w:t>nicotine-like alkaloids that have been reported to be poisonous to humans include Conium maculatum, Nicotiana glauca</w:t>
      </w:r>
      <w:r w:rsidR="005853A9">
        <w:rPr>
          <w:kern w:val="0"/>
        </w:rPr>
        <w:t xml:space="preserve"> and </w:t>
      </w:r>
      <w:r>
        <w:rPr>
          <w:kern w:val="0"/>
        </w:rPr>
        <w:t>Nicotiana tabacum, Laburnum anagyroides,</w:t>
      </w:r>
      <w:r w:rsidR="005853A9">
        <w:rPr>
          <w:kern w:val="0"/>
        </w:rPr>
        <w:t xml:space="preserve"> and </w:t>
      </w:r>
      <w:r>
        <w:rPr>
          <w:kern w:val="0"/>
        </w:rPr>
        <w:t>Caulophyllum thalictroides</w:t>
      </w:r>
      <w:r w:rsidR="00A37C1D">
        <w:rPr>
          <w:kern w:val="0"/>
        </w:rPr>
        <w:t>. The</w:t>
      </w:r>
      <w:r>
        <w:rPr>
          <w:kern w:val="0"/>
        </w:rPr>
        <w:t>y contain</w:t>
      </w:r>
      <w:r w:rsidR="003A1917">
        <w:rPr>
          <w:kern w:val="0"/>
        </w:rPr>
        <w:t xml:space="preserve"> the </w:t>
      </w:r>
      <w:r>
        <w:rPr>
          <w:kern w:val="0"/>
        </w:rPr>
        <w:t xml:space="preserve">toxic alkaloids </w:t>
      </w:r>
      <w:r>
        <w:rPr>
          <w:kern w:val="0"/>
        </w:rPr>
        <w:lastRenderedPageBreak/>
        <w:t>nicotine, anabasine, cytisine, n-methylcytisine, coniine, n-methylconiine,</w:t>
      </w:r>
      <w:r w:rsidR="005853A9">
        <w:rPr>
          <w:kern w:val="0"/>
        </w:rPr>
        <w:t xml:space="preserve"> and </w:t>
      </w:r>
      <w:r>
        <w:rPr>
          <w:kern w:val="0"/>
        </w:rPr>
        <w:t>gamma-coniceine. Mechanisms</w:t>
      </w:r>
      <w:r w:rsidR="00427468">
        <w:rPr>
          <w:kern w:val="0"/>
        </w:rPr>
        <w:t xml:space="preserve"> of </w:t>
      </w:r>
      <w:r>
        <w:rPr>
          <w:kern w:val="0"/>
        </w:rPr>
        <w:t>toxicity</w:t>
      </w:r>
      <w:r w:rsidR="00A37C1D">
        <w:rPr>
          <w:kern w:val="0"/>
        </w:rPr>
        <w:t>. The</w:t>
      </w:r>
      <w:r>
        <w:rPr>
          <w:kern w:val="0"/>
        </w:rPr>
        <w:t>se alkaloids act agonistically at nicotinic-type acetylcholine (cholinergic) receptors (nAChRs)</w:t>
      </w:r>
      <w:r w:rsidR="00A37C1D">
        <w:rPr>
          <w:kern w:val="0"/>
        </w:rPr>
        <w:t>. The</w:t>
      </w:r>
      <w:r w:rsidR="003A1917">
        <w:rPr>
          <w:kern w:val="0"/>
        </w:rPr>
        <w:t xml:space="preserve"> </w:t>
      </w:r>
      <w:r>
        <w:rPr>
          <w:kern w:val="0"/>
        </w:rPr>
        <w:t>nicotinic-type acetylcholine receptor can vary both in its subunit composition</w:t>
      </w:r>
      <w:r w:rsidR="005853A9">
        <w:rPr>
          <w:kern w:val="0"/>
        </w:rPr>
        <w:t xml:space="preserve"> and </w:t>
      </w:r>
      <w:r>
        <w:rPr>
          <w:kern w:val="0"/>
        </w:rPr>
        <w:t>in its distribution within</w:t>
      </w:r>
      <w:r w:rsidR="003A1917">
        <w:rPr>
          <w:kern w:val="0"/>
        </w:rPr>
        <w:t xml:space="preserve"> the </w:t>
      </w:r>
      <w:r>
        <w:rPr>
          <w:kern w:val="0"/>
        </w:rPr>
        <w:t>body (the central</w:t>
      </w:r>
      <w:r w:rsidR="005853A9">
        <w:rPr>
          <w:kern w:val="0"/>
        </w:rPr>
        <w:t xml:space="preserve"> and </w:t>
      </w:r>
      <w:r>
        <w:rPr>
          <w:kern w:val="0"/>
        </w:rPr>
        <w:t>autonomic nervous systems,</w:t>
      </w:r>
      <w:r w:rsidR="003A1917">
        <w:rPr>
          <w:kern w:val="0"/>
        </w:rPr>
        <w:t xml:space="preserve"> the </w:t>
      </w:r>
      <w:r>
        <w:rPr>
          <w:kern w:val="0"/>
        </w:rPr>
        <w:t>neuromuscular junctions,</w:t>
      </w:r>
      <w:r w:rsidR="005853A9">
        <w:rPr>
          <w:kern w:val="0"/>
        </w:rPr>
        <w:t xml:space="preserve"> and </w:t>
      </w:r>
      <w:r w:rsidR="003A1917">
        <w:rPr>
          <w:kern w:val="0"/>
        </w:rPr>
        <w:t xml:space="preserve">the </w:t>
      </w:r>
      <w:r>
        <w:rPr>
          <w:kern w:val="0"/>
        </w:rPr>
        <w:t>adrenal medulla). Agonistic interaction at these variable sites may explain why</w:t>
      </w:r>
      <w:r w:rsidR="003A1917">
        <w:rPr>
          <w:kern w:val="0"/>
        </w:rPr>
        <w:t xml:space="preserve"> the </w:t>
      </w:r>
      <w:r>
        <w:rPr>
          <w:kern w:val="0"/>
        </w:rPr>
        <w:t>alkaloids have diverse effects depending on</w:t>
      </w:r>
      <w:r w:rsidR="003A1917">
        <w:rPr>
          <w:kern w:val="0"/>
        </w:rPr>
        <w:t xml:space="preserve"> the </w:t>
      </w:r>
      <w:r>
        <w:rPr>
          <w:kern w:val="0"/>
        </w:rPr>
        <w:t>administered dose</w:t>
      </w:r>
      <w:r w:rsidR="005853A9">
        <w:rPr>
          <w:kern w:val="0"/>
        </w:rPr>
        <w:t xml:space="preserve"> and </w:t>
      </w:r>
      <w:r>
        <w:rPr>
          <w:kern w:val="0"/>
        </w:rPr>
        <w:t>duration</w:t>
      </w:r>
      <w:r w:rsidR="00427468">
        <w:rPr>
          <w:kern w:val="0"/>
        </w:rPr>
        <w:t xml:space="preserve"> of </w:t>
      </w:r>
      <w:r>
        <w:rPr>
          <w:kern w:val="0"/>
        </w:rPr>
        <w:t>exposure. Toxicokinetics. Nicotine</w:t>
      </w:r>
      <w:r w:rsidR="005853A9">
        <w:rPr>
          <w:kern w:val="0"/>
        </w:rPr>
        <w:t xml:space="preserve"> and </w:t>
      </w:r>
      <w:r>
        <w:rPr>
          <w:kern w:val="0"/>
        </w:rPr>
        <w:t>nicotine-like alkaloids are absorbed readily across all routes</w:t>
      </w:r>
      <w:r w:rsidR="00427468">
        <w:rPr>
          <w:kern w:val="0"/>
        </w:rPr>
        <w:t xml:space="preserve"> of </w:t>
      </w:r>
      <w:r>
        <w:rPr>
          <w:kern w:val="0"/>
        </w:rPr>
        <w:t>exposure</w:t>
      </w:r>
      <w:r w:rsidR="005853A9">
        <w:rPr>
          <w:kern w:val="0"/>
        </w:rPr>
        <w:t xml:space="preserve"> and </w:t>
      </w:r>
      <w:r>
        <w:rPr>
          <w:kern w:val="0"/>
        </w:rPr>
        <w:t>are rapidly</w:t>
      </w:r>
      <w:r w:rsidR="005853A9">
        <w:rPr>
          <w:kern w:val="0"/>
        </w:rPr>
        <w:t xml:space="preserve"> and </w:t>
      </w:r>
      <w:r>
        <w:rPr>
          <w:kern w:val="0"/>
        </w:rPr>
        <w:t>widely distributed, readily traversing</w:t>
      </w:r>
      <w:r w:rsidR="003A1917">
        <w:rPr>
          <w:kern w:val="0"/>
        </w:rPr>
        <w:t xml:space="preserve"> the </w:t>
      </w:r>
      <w:r>
        <w:rPr>
          <w:kern w:val="0"/>
        </w:rPr>
        <w:t>blood-brain barrier</w:t>
      </w:r>
      <w:r w:rsidR="005853A9">
        <w:rPr>
          <w:kern w:val="0"/>
        </w:rPr>
        <w:t xml:space="preserve"> and </w:t>
      </w:r>
      <w:r w:rsidR="003A1917">
        <w:rPr>
          <w:kern w:val="0"/>
        </w:rPr>
        <w:t xml:space="preserve">the </w:t>
      </w:r>
      <w:r>
        <w:rPr>
          <w:kern w:val="0"/>
        </w:rPr>
        <w:t>placenta,</w:t>
      </w:r>
      <w:r w:rsidR="005853A9">
        <w:rPr>
          <w:kern w:val="0"/>
        </w:rPr>
        <w:t xml:space="preserve"> and </w:t>
      </w:r>
      <w:r>
        <w:rPr>
          <w:kern w:val="0"/>
        </w:rPr>
        <w:t>are freely distributed in breast milk. Metabolism occurs predominantly in</w:t>
      </w:r>
      <w:r w:rsidR="003A1917">
        <w:rPr>
          <w:kern w:val="0"/>
        </w:rPr>
        <w:t xml:space="preserve"> the </w:t>
      </w:r>
      <w:r>
        <w:rPr>
          <w:kern w:val="0"/>
        </w:rPr>
        <w:t>liver followed by rapid renal elimination. Clinical features. Following acute exposure, symptoms typically follow a biphasic pattern</w:t>
      </w:r>
      <w:r w:rsidR="00A37C1D">
        <w:rPr>
          <w:kern w:val="0"/>
        </w:rPr>
        <w:t>. The</w:t>
      </w:r>
      <w:r w:rsidR="003A1917">
        <w:rPr>
          <w:kern w:val="0"/>
        </w:rPr>
        <w:t xml:space="preserve"> </w:t>
      </w:r>
      <w:r>
        <w:rPr>
          <w:kern w:val="0"/>
        </w:rPr>
        <w:t>early phase consists</w:t>
      </w:r>
      <w:r w:rsidR="00427468">
        <w:rPr>
          <w:kern w:val="0"/>
        </w:rPr>
        <w:t xml:space="preserve"> of </w:t>
      </w:r>
      <w:r>
        <w:rPr>
          <w:kern w:val="0"/>
        </w:rPr>
        <w:t>nicotinic cholinergic stimulation resulting in symptoms such as abdominal pain, hypertension, tachycardia,</w:t>
      </w:r>
      <w:r w:rsidR="005853A9">
        <w:rPr>
          <w:kern w:val="0"/>
        </w:rPr>
        <w:t xml:space="preserve"> and </w:t>
      </w:r>
      <w:r>
        <w:rPr>
          <w:kern w:val="0"/>
        </w:rPr>
        <w:t>tremors</w:t>
      </w:r>
      <w:r w:rsidR="00A37C1D">
        <w:rPr>
          <w:kern w:val="0"/>
        </w:rPr>
        <w:t>. The</w:t>
      </w:r>
      <w:r w:rsidR="003A1917">
        <w:rPr>
          <w:kern w:val="0"/>
        </w:rPr>
        <w:t xml:space="preserve"> </w:t>
      </w:r>
      <w:r>
        <w:rPr>
          <w:kern w:val="0"/>
        </w:rPr>
        <w:t>second inhibitory phase is delayed</w:t>
      </w:r>
      <w:r w:rsidR="005853A9">
        <w:rPr>
          <w:kern w:val="0"/>
        </w:rPr>
        <w:t xml:space="preserve"> and </w:t>
      </w:r>
      <w:r>
        <w:rPr>
          <w:kern w:val="0"/>
        </w:rPr>
        <w:t>often heralded by hypotension, bradycardia,</w:t>
      </w:r>
      <w:r w:rsidR="005853A9">
        <w:rPr>
          <w:kern w:val="0"/>
        </w:rPr>
        <w:t xml:space="preserve"> and </w:t>
      </w:r>
      <w:r>
        <w:rPr>
          <w:kern w:val="0"/>
        </w:rPr>
        <w:t>dyspnea, finally leading to coma</w:t>
      </w:r>
      <w:r w:rsidR="005853A9">
        <w:rPr>
          <w:kern w:val="0"/>
        </w:rPr>
        <w:t xml:space="preserve"> and </w:t>
      </w:r>
      <w:r>
        <w:rPr>
          <w:kern w:val="0"/>
        </w:rPr>
        <w:t>respiratory failure. Management. Supportive care is</w:t>
      </w:r>
      <w:r w:rsidR="003A1917">
        <w:rPr>
          <w:kern w:val="0"/>
        </w:rPr>
        <w:t xml:space="preserve"> the </w:t>
      </w:r>
      <w:r>
        <w:rPr>
          <w:kern w:val="0"/>
        </w:rPr>
        <w:t>mainstay</w:t>
      </w:r>
      <w:r w:rsidR="00427468">
        <w:rPr>
          <w:kern w:val="0"/>
        </w:rPr>
        <w:t xml:space="preserve"> of </w:t>
      </w:r>
      <w:r>
        <w:rPr>
          <w:kern w:val="0"/>
        </w:rPr>
        <w:t>management with primary emphasis on cardiovascular</w:t>
      </w:r>
      <w:r w:rsidR="005853A9">
        <w:rPr>
          <w:kern w:val="0"/>
        </w:rPr>
        <w:t xml:space="preserve"> and </w:t>
      </w:r>
      <w:r>
        <w:rPr>
          <w:kern w:val="0"/>
        </w:rPr>
        <w:t>respiratory support to ensure recovery. Conclusions. Exposure to plants containing nicotine</w:t>
      </w:r>
      <w:r w:rsidR="005853A9">
        <w:rPr>
          <w:kern w:val="0"/>
        </w:rPr>
        <w:t xml:space="preserve"> and </w:t>
      </w:r>
      <w:r>
        <w:rPr>
          <w:kern w:val="0"/>
        </w:rPr>
        <w:t>nicotine-like alkaloids can lead to severe poisoning but, with prompt supportive care, patients should make a full recovery.</w:t>
      </w:r>
    </w:p>
    <w:p w:rsidR="00BC6E79" w:rsidRDefault="00BC6E79" w:rsidP="00BC6E79">
      <w:pPr>
        <w:pStyle w:val="a3"/>
        <w:rPr>
          <w:kern w:val="0"/>
        </w:rPr>
      </w:pPr>
      <w:r>
        <w:rPr>
          <w:kern w:val="0"/>
        </w:rPr>
        <w:t>Keywords: Abdominal Pain, Acetylcholine-Receptors, Anabasine, Blue Cohosh, Cardiovascular, Caulophyllum-Thalictroides, Central-Nervous-System, Clinical-Pharmacology, Coniine, Conium, Cytisine, Disposition Kinetics, Green-Tobacco Sickness, Hemlock Conium-Maculatum, Human, Humans, Hypertension</w:t>
      </w:r>
      <w:r w:rsidR="00D5664A">
        <w:rPr>
          <w:kern w:val="0"/>
        </w:rPr>
        <w:t>, ISI,</w:t>
      </w:r>
      <w:r>
        <w:rPr>
          <w:kern w:val="0"/>
        </w:rPr>
        <w:t xml:space="preserve"> Laburnum, Lead, Management, </w:t>
      </w:r>
      <w:r w:rsidR="00D5664A">
        <w:rPr>
          <w:kern w:val="0"/>
        </w:rPr>
        <w:t>MEDLINE</w:t>
      </w:r>
      <w:r>
        <w:rPr>
          <w:kern w:val="0"/>
        </w:rPr>
        <w:t xml:space="preserve">, Methods, Nicotiana, Nicotine, Pain, Papers, Plant, Plant Poisoning, Plants, Primary, Quinolizidine Alkaloids, Review, Science, Smoking-Cessation, Symptoms, Toxicity,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Jamaty, C., Bailey, B., Larocque, A., Notebaert, E., Sanogo, K.</w:t>
      </w:r>
      <w:r w:rsidR="005853A9">
        <w:rPr>
          <w:kern w:val="0"/>
        </w:rPr>
        <w:t xml:space="preserve"> and </w:t>
      </w:r>
      <w:r>
        <w:rPr>
          <w:kern w:val="0"/>
        </w:rPr>
        <w:t>Chauny, J.M. (2010), Lipid emulsions in</w:t>
      </w:r>
      <w:r w:rsidR="003A1917">
        <w:rPr>
          <w:kern w:val="0"/>
        </w:rPr>
        <w:t xml:space="preserve"> the </w:t>
      </w:r>
      <w:r>
        <w:rPr>
          <w:kern w:val="0"/>
        </w:rPr>
        <w:t>treatment</w:t>
      </w:r>
      <w:r w:rsidR="00427468">
        <w:rPr>
          <w:kern w:val="0"/>
        </w:rPr>
        <w:t xml:space="preserve"> of </w:t>
      </w:r>
      <w:r>
        <w:rPr>
          <w:kern w:val="0"/>
        </w:rPr>
        <w:t>acute poisoning: A systematic review</w:t>
      </w:r>
      <w:r w:rsidR="00427468">
        <w:rPr>
          <w:kern w:val="0"/>
        </w:rPr>
        <w:t xml:space="preserve"> of </w:t>
      </w:r>
      <w:r>
        <w:rPr>
          <w:kern w:val="0"/>
        </w:rPr>
        <w:t>human</w:t>
      </w:r>
      <w:r w:rsidR="005853A9">
        <w:rPr>
          <w:kern w:val="0"/>
        </w:rPr>
        <w:t xml:space="preserve"> and </w:t>
      </w:r>
      <w:r>
        <w:rPr>
          <w:kern w:val="0"/>
        </w:rPr>
        <w:t xml:space="preserve">animal studies. </w:t>
      </w:r>
      <w:r>
        <w:rPr>
          <w:i/>
          <w:iCs/>
          <w:kern w:val="0"/>
        </w:rPr>
        <w:t>Clinical Toxicology</w:t>
      </w:r>
      <w:r>
        <w:rPr>
          <w:kern w:val="0"/>
        </w:rPr>
        <w:t xml:space="preserve">, </w:t>
      </w:r>
      <w:r>
        <w:rPr>
          <w:b/>
          <w:bCs/>
          <w:kern w:val="0"/>
        </w:rPr>
        <w:t>48</w:t>
      </w:r>
      <w:r>
        <w:rPr>
          <w:kern w:val="0"/>
        </w:rPr>
        <w:t xml:space="preserve"> (1), 1-27.</w:t>
      </w:r>
    </w:p>
    <w:p w:rsidR="00BC6E79" w:rsidRDefault="00BC6E79" w:rsidP="00BC6E79">
      <w:pPr>
        <w:pStyle w:val="a3"/>
        <w:rPr>
          <w:kern w:val="0"/>
        </w:rPr>
      </w:pPr>
      <w:r>
        <w:rPr>
          <w:kern w:val="0"/>
        </w:rPr>
        <w:t>Abstract: Objective. To assess</w:t>
      </w:r>
      <w:r w:rsidR="003A1917">
        <w:rPr>
          <w:kern w:val="0"/>
        </w:rPr>
        <w:t xml:space="preserve"> the </w:t>
      </w:r>
      <w:r>
        <w:rPr>
          <w:kern w:val="0"/>
        </w:rPr>
        <w:t>evidence regarding</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intravenous fat emulsion (IFE) in</w:t>
      </w:r>
      <w:r w:rsidR="003A1917">
        <w:rPr>
          <w:kern w:val="0"/>
        </w:rPr>
        <w:t xml:space="preserve"> the </w:t>
      </w:r>
      <w:r>
        <w:rPr>
          <w:kern w:val="0"/>
        </w:rPr>
        <w:t>management</w:t>
      </w:r>
      <w:r w:rsidR="00427468">
        <w:rPr>
          <w:kern w:val="0"/>
        </w:rPr>
        <w:t xml:space="preserve"> of </w:t>
      </w:r>
      <w:r>
        <w:rPr>
          <w:kern w:val="0"/>
        </w:rPr>
        <w:t>poisoned patients. Methods. We performed a systematic review</w:t>
      </w:r>
      <w:r w:rsidR="00427468">
        <w:rPr>
          <w:kern w:val="0"/>
        </w:rPr>
        <w:t xml:space="preserve"> of </w:t>
      </w:r>
      <w:r w:rsidR="003A1917">
        <w:rPr>
          <w:kern w:val="0"/>
        </w:rPr>
        <w:t xml:space="preserve">the </w:t>
      </w:r>
      <w:r>
        <w:rPr>
          <w:kern w:val="0"/>
        </w:rPr>
        <w:t>literature with no time or language restriction</w:t>
      </w:r>
      <w:r w:rsidR="00A37C1D">
        <w:rPr>
          <w:kern w:val="0"/>
        </w:rPr>
        <w:t>. The</w:t>
      </w:r>
      <w:r w:rsidR="003A1917">
        <w:rPr>
          <w:kern w:val="0"/>
        </w:rPr>
        <w:t xml:space="preserve"> </w:t>
      </w:r>
      <w:r>
        <w:rPr>
          <w:kern w:val="0"/>
        </w:rPr>
        <w:t>electronic databases were searched from their inception until June 1, 2009 (</w:t>
      </w:r>
      <w:r w:rsidR="00D5664A">
        <w:rPr>
          <w:kern w:val="0"/>
        </w:rPr>
        <w:t>MEDLINE</w:t>
      </w:r>
      <w:r>
        <w:rPr>
          <w:kern w:val="0"/>
        </w:rPr>
        <w:t xml:space="preserve">, EMBASE,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Biological abstract, LILACS, ChemIndex, Toxnet,</w:t>
      </w:r>
      <w:r w:rsidR="005853A9">
        <w:rPr>
          <w:kern w:val="0"/>
        </w:rPr>
        <w:t xml:space="preserve"> and </w:t>
      </w:r>
      <w:r>
        <w:rPr>
          <w:kern w:val="0"/>
        </w:rPr>
        <w:t>Proquest). We also examined</w:t>
      </w:r>
      <w:r w:rsidR="003A1917">
        <w:rPr>
          <w:kern w:val="0"/>
        </w:rPr>
        <w:t xml:space="preserve"> the </w:t>
      </w:r>
      <w:r>
        <w:rPr>
          <w:kern w:val="0"/>
        </w:rPr>
        <w:t>references</w:t>
      </w:r>
      <w:r w:rsidR="00427468">
        <w:rPr>
          <w:kern w:val="0"/>
        </w:rPr>
        <w:t xml:space="preserve"> of </w:t>
      </w:r>
      <w:r>
        <w:rPr>
          <w:kern w:val="0"/>
        </w:rPr>
        <w:t>identified articles</w:t>
      </w:r>
      <w:r w:rsidR="005853A9">
        <w:rPr>
          <w:kern w:val="0"/>
        </w:rPr>
        <w:t xml:space="preserve"> and </w:t>
      </w:r>
      <w:r w:rsidR="003A1917">
        <w:rPr>
          <w:kern w:val="0"/>
        </w:rPr>
        <w:t xml:space="preserve">the </w:t>
      </w:r>
      <w:r>
        <w:rPr>
          <w:kern w:val="0"/>
        </w:rPr>
        <w:t>gray literature</w:t>
      </w:r>
      <w:r w:rsidR="00A37C1D">
        <w:rPr>
          <w:kern w:val="0"/>
        </w:rPr>
        <w:t>. The</w:t>
      </w:r>
      <w:r w:rsidR="003A1917">
        <w:rPr>
          <w:kern w:val="0"/>
        </w:rPr>
        <w:t xml:space="preserve"> </w:t>
      </w:r>
      <w:r>
        <w:rPr>
          <w:kern w:val="0"/>
        </w:rPr>
        <w:t>target interventions eligible for inclusion were administration</w:t>
      </w:r>
      <w:r w:rsidR="00427468">
        <w:rPr>
          <w:kern w:val="0"/>
        </w:rPr>
        <w:t xml:space="preserve"> of </w:t>
      </w:r>
      <w:r>
        <w:rPr>
          <w:kern w:val="0"/>
        </w:rPr>
        <w:t xml:space="preserve">any IFE before, during, or after poisoning in human or animals. All </w:t>
      </w:r>
      <w:r>
        <w:rPr>
          <w:kern w:val="0"/>
        </w:rPr>
        <w:lastRenderedPageBreak/>
        <w:t>types</w:t>
      </w:r>
      <w:r w:rsidR="00427468">
        <w:rPr>
          <w:kern w:val="0"/>
        </w:rPr>
        <w:t xml:space="preserve"> of </w:t>
      </w:r>
      <w:r>
        <w:rPr>
          <w:kern w:val="0"/>
        </w:rPr>
        <w:t>studies were reviewed. Eligibility for inclusion</w:t>
      </w:r>
      <w:r w:rsidR="005853A9">
        <w:rPr>
          <w:kern w:val="0"/>
        </w:rPr>
        <w:t xml:space="preserve"> and </w:t>
      </w:r>
      <w:r>
        <w:rPr>
          <w:kern w:val="0"/>
        </w:rPr>
        <w:t>study quality scores, based on criteria by Jadad</w:t>
      </w:r>
      <w:r w:rsidR="005853A9">
        <w:rPr>
          <w:kern w:val="0"/>
        </w:rPr>
        <w:t xml:space="preserve"> and </w:t>
      </w:r>
      <w:r w:rsidR="003A1917">
        <w:rPr>
          <w:kern w:val="0"/>
        </w:rPr>
        <w:t xml:space="preserve">the </w:t>
      </w:r>
      <w:r>
        <w:rPr>
          <w:kern w:val="0"/>
        </w:rPr>
        <w:t>STROBE statement, were evaluated by independent investigators</w:t>
      </w:r>
      <w:r w:rsidR="00A37C1D">
        <w:rPr>
          <w:kern w:val="0"/>
        </w:rPr>
        <w:t>. The</w:t>
      </w:r>
      <w:r w:rsidR="003A1917">
        <w:rPr>
          <w:kern w:val="0"/>
        </w:rPr>
        <w:t xml:space="preserve"> </w:t>
      </w:r>
      <w:r>
        <w:rPr>
          <w:kern w:val="0"/>
        </w:rPr>
        <w:t>primary outcome was mortality. Secondary outcomes included neurologic, hemodynamic,</w:t>
      </w:r>
      <w:r w:rsidR="005853A9">
        <w:rPr>
          <w:kern w:val="0"/>
        </w:rPr>
        <w:t xml:space="preserve"> and </w:t>
      </w:r>
      <w:r>
        <w:rPr>
          <w:kern w:val="0"/>
        </w:rPr>
        <w:t>electrocardiographic variables, as well as adverse effects. Results.</w:t>
      </w:r>
      <w:r w:rsidR="00427468">
        <w:rPr>
          <w:kern w:val="0"/>
        </w:rPr>
        <w:t xml:space="preserve"> of </w:t>
      </w:r>
      <w:r w:rsidR="003A1917">
        <w:rPr>
          <w:kern w:val="0"/>
        </w:rPr>
        <w:t xml:space="preserve">the </w:t>
      </w:r>
      <w:r>
        <w:rPr>
          <w:kern w:val="0"/>
        </w:rPr>
        <w:t>938 publications identified by</w:t>
      </w:r>
      <w:r w:rsidR="003A1917">
        <w:rPr>
          <w:kern w:val="0"/>
        </w:rPr>
        <w:t xml:space="preserve"> the </w:t>
      </w:r>
      <w:r>
        <w:rPr>
          <w:kern w:val="0"/>
        </w:rPr>
        <w:t>search strategies, 74 met</w:t>
      </w:r>
      <w:r w:rsidR="003A1917">
        <w:rPr>
          <w:kern w:val="0"/>
        </w:rPr>
        <w:t xml:space="preserve"> the </w:t>
      </w:r>
      <w:r>
        <w:rPr>
          <w:kern w:val="0"/>
        </w:rPr>
        <w:t>inclusion criteria. We identified 23 animal trials, 50 human,</w:t>
      </w:r>
      <w:r w:rsidR="005853A9">
        <w:rPr>
          <w:kern w:val="0"/>
        </w:rPr>
        <w:t xml:space="preserve"> and </w:t>
      </w:r>
      <w:r>
        <w:rPr>
          <w:kern w:val="0"/>
        </w:rPr>
        <w:t>1 animal case reports. Overall,</w:t>
      </w:r>
      <w:r w:rsidR="003A1917">
        <w:rPr>
          <w:kern w:val="0"/>
        </w:rPr>
        <w:t xml:space="preserve"> the </w:t>
      </w:r>
      <w:r>
        <w:rPr>
          <w:kern w:val="0"/>
        </w:rPr>
        <w:t>quality</w:t>
      </w:r>
      <w:r w:rsidR="00427468">
        <w:rPr>
          <w:kern w:val="0"/>
        </w:rPr>
        <w:t xml:space="preserve"> of </w:t>
      </w:r>
      <w:r>
        <w:rPr>
          <w:kern w:val="0"/>
        </w:rPr>
        <w:t>evidence was weak</w:t>
      </w:r>
      <w:r w:rsidR="005853A9">
        <w:rPr>
          <w:kern w:val="0"/>
        </w:rPr>
        <w:t xml:space="preserve"> and </w:t>
      </w:r>
      <w:r>
        <w:rPr>
          <w:kern w:val="0"/>
        </w:rPr>
        <w:t>significant heterogeneity prevented data pooling. Available data suggest some benefits</w:t>
      </w:r>
      <w:r w:rsidR="00427468">
        <w:rPr>
          <w:kern w:val="0"/>
        </w:rPr>
        <w:t xml:space="preserve"> of </w:t>
      </w:r>
      <w:r>
        <w:rPr>
          <w:kern w:val="0"/>
        </w:rPr>
        <w:t>IFE in bupivacaine, verapamil, chlorpromazine,</w:t>
      </w:r>
      <w:r w:rsidR="005853A9">
        <w:rPr>
          <w:kern w:val="0"/>
        </w:rPr>
        <w:t xml:space="preserve"> and </w:t>
      </w:r>
      <w:r>
        <w:rPr>
          <w:kern w:val="0"/>
        </w:rPr>
        <w:t>some tricyclic antidepressants</w:t>
      </w:r>
      <w:r w:rsidR="005853A9">
        <w:rPr>
          <w:kern w:val="0"/>
        </w:rPr>
        <w:t xml:space="preserve"> and </w:t>
      </w:r>
      <w:r>
        <w:rPr>
          <w:kern w:val="0"/>
        </w:rPr>
        <w:t>beta-blockers toxicity. No trial assessed</w:t>
      </w:r>
      <w:r w:rsidR="003A1917">
        <w:rPr>
          <w:kern w:val="0"/>
        </w:rPr>
        <w:t xml:space="preserve"> the </w:t>
      </w:r>
      <w:r>
        <w:rPr>
          <w:kern w:val="0"/>
        </w:rPr>
        <w:t>safety</w:t>
      </w:r>
      <w:r w:rsidR="00427468">
        <w:rPr>
          <w:kern w:val="0"/>
        </w:rPr>
        <w:t xml:space="preserve"> of </w:t>
      </w:r>
      <w:r>
        <w:rPr>
          <w:kern w:val="0"/>
        </w:rPr>
        <w:t>IFE in</w:t>
      </w:r>
      <w:r w:rsidR="003A1917">
        <w:rPr>
          <w:kern w:val="0"/>
        </w:rPr>
        <w:t xml:space="preserve"> the </w:t>
      </w:r>
      <w:r>
        <w:rPr>
          <w:kern w:val="0"/>
        </w:rPr>
        <w:t>treatment</w:t>
      </w:r>
      <w:r w:rsidR="00427468">
        <w:rPr>
          <w:kern w:val="0"/>
        </w:rPr>
        <w:t xml:space="preserve"> of </w:t>
      </w:r>
      <w:r>
        <w:rPr>
          <w:kern w:val="0"/>
        </w:rPr>
        <w:t>acute poisoning. Conclusion</w:t>
      </w:r>
      <w:r w:rsidR="00A37C1D">
        <w:rPr>
          <w:kern w:val="0"/>
        </w:rPr>
        <w:t>. The</w:t>
      </w:r>
      <w:r w:rsidR="003A1917">
        <w:rPr>
          <w:kern w:val="0"/>
        </w:rPr>
        <w:t xml:space="preserve"> </w:t>
      </w:r>
      <w:r>
        <w:rPr>
          <w:kern w:val="0"/>
        </w:rPr>
        <w:t>evidence for</w:t>
      </w:r>
      <w:r w:rsidR="003A1917">
        <w:rPr>
          <w:kern w:val="0"/>
        </w:rPr>
        <w:t xml:space="preserve"> the </w:t>
      </w:r>
      <w:r>
        <w:rPr>
          <w:kern w:val="0"/>
        </w:rPr>
        <w:t>efficacy</w:t>
      </w:r>
      <w:r w:rsidR="00427468">
        <w:rPr>
          <w:kern w:val="0"/>
        </w:rPr>
        <w:t xml:space="preserve"> of </w:t>
      </w:r>
      <w:r>
        <w:rPr>
          <w:kern w:val="0"/>
        </w:rPr>
        <w:t>IFE in reducing mortality</w:t>
      </w:r>
      <w:r w:rsidR="005853A9">
        <w:rPr>
          <w:kern w:val="0"/>
        </w:rPr>
        <w:t xml:space="preserve"> and </w:t>
      </w:r>
      <w:r>
        <w:rPr>
          <w:kern w:val="0"/>
        </w:rPr>
        <w:t>improving hemodynamic, electrocardiographic,</w:t>
      </w:r>
      <w:r w:rsidR="005853A9">
        <w:rPr>
          <w:kern w:val="0"/>
        </w:rPr>
        <w:t xml:space="preserve"> and </w:t>
      </w:r>
      <w:r>
        <w:rPr>
          <w:kern w:val="0"/>
        </w:rPr>
        <w:t>neurological parameters in</w:t>
      </w:r>
      <w:r w:rsidR="003A1917">
        <w:rPr>
          <w:kern w:val="0"/>
        </w:rPr>
        <w:t xml:space="preserve"> the </w:t>
      </w:r>
      <w:r>
        <w:rPr>
          <w:kern w:val="0"/>
        </w:rPr>
        <w:t>poisoned patients is solely based on animal studies</w:t>
      </w:r>
      <w:r w:rsidR="005853A9">
        <w:rPr>
          <w:kern w:val="0"/>
        </w:rPr>
        <w:t xml:space="preserve"> and </w:t>
      </w:r>
      <w:r>
        <w:rPr>
          <w:kern w:val="0"/>
        </w:rPr>
        <w:t>human case reports</w:t>
      </w:r>
      <w:r w:rsidR="00A37C1D">
        <w:rPr>
          <w:kern w:val="0"/>
        </w:rPr>
        <w:t>. The</w:t>
      </w:r>
      <w:r w:rsidR="003A1917">
        <w:rPr>
          <w:kern w:val="0"/>
        </w:rPr>
        <w:t xml:space="preserve"> </w:t>
      </w:r>
      <w:r>
        <w:rPr>
          <w:kern w:val="0"/>
        </w:rPr>
        <w:t>safety</w:t>
      </w:r>
      <w:r w:rsidR="00427468">
        <w:rPr>
          <w:kern w:val="0"/>
        </w:rPr>
        <w:t xml:space="preserve"> of </w:t>
      </w:r>
      <w:r>
        <w:rPr>
          <w:kern w:val="0"/>
        </w:rPr>
        <w:t>IFE has not been established.</w:t>
      </w:r>
    </w:p>
    <w:p w:rsidR="00BC6E79" w:rsidRDefault="00BC6E79" w:rsidP="00BC6E79">
      <w:pPr>
        <w:pStyle w:val="a3"/>
        <w:rPr>
          <w:kern w:val="0"/>
        </w:rPr>
      </w:pPr>
      <w:r>
        <w:rPr>
          <w:kern w:val="0"/>
        </w:rPr>
        <w:t>Keywords: Adverse Effects, Antidepressants, Brachial-Plexus Block, Cardiovascular Collapse, Case Reports, Central-Nervous-System, Clinical-Trials, Databases, Efficacy, EMBASE, Fat Emulsion, Human, Induced Asystole, Induced Cardiac-Arrest, Interventions, Intoxication, Intralipids, Intravenous Fat Emulsion</w:t>
      </w:r>
      <w:r w:rsidR="00D5664A">
        <w:rPr>
          <w:kern w:val="0"/>
        </w:rPr>
        <w:t>, ISI,</w:t>
      </w:r>
      <w:r>
        <w:rPr>
          <w:kern w:val="0"/>
        </w:rPr>
        <w:t xml:space="preserve"> Literature, Management, Methods, Mortality, Outcome, Outcomes, Overdose, Poisoning, Primary, Publications, Rat Model, Review, Safety, Science, Search Strategies, Successful Resuscitation, Systematic, Systematic Review, Toxicity, Treatment, Verapamil Toxicity,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Schep, L.J., Slaughter, R.J.</w:t>
      </w:r>
      <w:r w:rsidR="005853A9">
        <w:rPr>
          <w:kern w:val="0"/>
        </w:rPr>
        <w:t xml:space="preserve"> and </w:t>
      </w:r>
      <w:r>
        <w:rPr>
          <w:kern w:val="0"/>
        </w:rPr>
        <w:t>Beasley, D.M.G. (2010</w:t>
      </w:r>
      <w:r w:rsidR="00F42EAC">
        <w:rPr>
          <w:kern w:val="0"/>
        </w:rPr>
        <w:t>), The</w:t>
      </w:r>
      <w:r w:rsidR="003A1917">
        <w:rPr>
          <w:kern w:val="0"/>
        </w:rPr>
        <w:t xml:space="preserve"> </w:t>
      </w:r>
      <w:r>
        <w:rPr>
          <w:kern w:val="0"/>
        </w:rPr>
        <w:t>clinical toxicology</w:t>
      </w:r>
      <w:r w:rsidR="00427468">
        <w:rPr>
          <w:kern w:val="0"/>
        </w:rPr>
        <w:t xml:space="preserve"> of </w:t>
      </w:r>
      <w:r>
        <w:rPr>
          <w:kern w:val="0"/>
        </w:rPr>
        <w:t xml:space="preserve">metamfetamine. </w:t>
      </w:r>
      <w:r>
        <w:rPr>
          <w:i/>
          <w:iCs/>
          <w:kern w:val="0"/>
        </w:rPr>
        <w:t>Clinical Toxicology</w:t>
      </w:r>
      <w:r>
        <w:rPr>
          <w:kern w:val="0"/>
        </w:rPr>
        <w:t xml:space="preserve">, </w:t>
      </w:r>
      <w:r>
        <w:rPr>
          <w:b/>
          <w:bCs/>
          <w:kern w:val="0"/>
        </w:rPr>
        <w:t>48</w:t>
      </w:r>
      <w:r>
        <w:rPr>
          <w:kern w:val="0"/>
        </w:rPr>
        <w:t xml:space="preserve"> (7), 675-694.</w:t>
      </w:r>
    </w:p>
    <w:p w:rsidR="00BC6E79" w:rsidRDefault="00BC6E79" w:rsidP="00BC6E79">
      <w:pPr>
        <w:pStyle w:val="a3"/>
        <w:rPr>
          <w:kern w:val="0"/>
        </w:rPr>
      </w:pPr>
      <w:r>
        <w:rPr>
          <w:kern w:val="0"/>
        </w:rPr>
        <w:t>Abstract: Introduction. Metamfetamine is a highly addictive amfetamine analog that acts primarily as a central nervous system (CNS) stimulant</w:t>
      </w:r>
      <w:r w:rsidR="00A37C1D">
        <w:rPr>
          <w:kern w:val="0"/>
        </w:rPr>
        <w:t>. The</w:t>
      </w:r>
      <w:r w:rsidR="003A1917">
        <w:rPr>
          <w:kern w:val="0"/>
        </w:rPr>
        <w:t xml:space="preserve"> </w:t>
      </w:r>
      <w:r>
        <w:rPr>
          <w:kern w:val="0"/>
        </w:rPr>
        <w:t>escalating abuse</w:t>
      </w:r>
      <w:r w:rsidR="00427468">
        <w:rPr>
          <w:kern w:val="0"/>
        </w:rPr>
        <w:t xml:space="preserve"> of </w:t>
      </w:r>
      <w:r>
        <w:rPr>
          <w:kern w:val="0"/>
        </w:rPr>
        <w:t>this drug in recent years has lead to an increasing burden upon health care providers. An understanding</w:t>
      </w:r>
      <w:r w:rsidR="00427468">
        <w:rPr>
          <w:kern w:val="0"/>
        </w:rPr>
        <w:t xml:space="preserve"> of </w:t>
      </w:r>
      <w:r w:rsidR="003A1917">
        <w:rPr>
          <w:kern w:val="0"/>
        </w:rPr>
        <w:t xml:space="preserve">the </w:t>
      </w:r>
      <w:r>
        <w:rPr>
          <w:kern w:val="0"/>
        </w:rPr>
        <w:t>drug</w:t>
      </w:r>
      <w:r w:rsidR="0071223E">
        <w:rPr>
          <w:kern w:val="0"/>
        </w:rPr>
        <w:t>’</w:t>
      </w:r>
      <w:r w:rsidR="00C13DDC">
        <w:rPr>
          <w:kern w:val="0"/>
        </w:rPr>
        <w:t>s</w:t>
      </w:r>
      <w:r>
        <w:rPr>
          <w:kern w:val="0"/>
        </w:rPr>
        <w:t xml:space="preserve"> toxic effects</w:t>
      </w:r>
      <w:r w:rsidR="005853A9">
        <w:rPr>
          <w:kern w:val="0"/>
        </w:rPr>
        <w:t xml:space="preserve"> and </w:t>
      </w:r>
      <w:r>
        <w:rPr>
          <w:kern w:val="0"/>
        </w:rPr>
        <w:t>their medical treatment is therefore essential for</w:t>
      </w:r>
      <w:r w:rsidR="003A1917">
        <w:rPr>
          <w:kern w:val="0"/>
        </w:rPr>
        <w:t xml:space="preserve"> the </w:t>
      </w:r>
      <w:r>
        <w:rPr>
          <w:kern w:val="0"/>
        </w:rPr>
        <w:t>successful management</w:t>
      </w:r>
      <w:r w:rsidR="00427468">
        <w:rPr>
          <w:kern w:val="0"/>
        </w:rPr>
        <w:t xml:space="preserve"> of </w:t>
      </w:r>
      <w:r>
        <w:rPr>
          <w:kern w:val="0"/>
        </w:rPr>
        <w:t>patients suffering this form</w:t>
      </w:r>
      <w:r w:rsidR="00427468">
        <w:rPr>
          <w:kern w:val="0"/>
        </w:rPr>
        <w:t xml:space="preserve"> of </w:t>
      </w:r>
      <w:r>
        <w:rPr>
          <w:kern w:val="0"/>
        </w:rPr>
        <w:t>intoxication. Aim</w:t>
      </w:r>
      <w:r w:rsidR="00A37C1D">
        <w:rPr>
          <w:kern w:val="0"/>
        </w:rPr>
        <w:t>. The</w:t>
      </w:r>
      <w:r w:rsidR="003A1917">
        <w:rPr>
          <w:kern w:val="0"/>
        </w:rPr>
        <w:t xml:space="preserve"> </w:t>
      </w:r>
      <w:r>
        <w:rPr>
          <w:kern w:val="0"/>
        </w:rPr>
        <w:t>aim</w:t>
      </w:r>
      <w:r w:rsidR="00427468">
        <w:rPr>
          <w:kern w:val="0"/>
        </w:rPr>
        <w:t xml:space="preserve"> of </w:t>
      </w:r>
      <w:r>
        <w:rPr>
          <w:kern w:val="0"/>
        </w:rPr>
        <w:t>this review is to summarize all main aspects</w:t>
      </w:r>
      <w:r w:rsidR="00427468">
        <w:rPr>
          <w:kern w:val="0"/>
        </w:rPr>
        <w:t xml:space="preserve"> of </w:t>
      </w:r>
      <w:r>
        <w:rPr>
          <w:kern w:val="0"/>
        </w:rPr>
        <w:t>metamfetamine poisoning including epidemiology, mechanisms</w:t>
      </w:r>
      <w:r w:rsidR="00427468">
        <w:rPr>
          <w:kern w:val="0"/>
        </w:rPr>
        <w:t xml:space="preserve"> of </w:t>
      </w:r>
      <w:r>
        <w:rPr>
          <w:kern w:val="0"/>
        </w:rPr>
        <w:t>toxicity, toxicokinetics, clinical features, diagnosis,</w:t>
      </w:r>
      <w:r w:rsidR="005853A9">
        <w:rPr>
          <w:kern w:val="0"/>
        </w:rPr>
        <w:t xml:space="preserve"> and </w:t>
      </w:r>
      <w:r>
        <w:rPr>
          <w:kern w:val="0"/>
        </w:rPr>
        <w:t>management. Methods. A summary</w:t>
      </w:r>
      <w:r w:rsidR="00427468">
        <w:rPr>
          <w:kern w:val="0"/>
        </w:rPr>
        <w:t xml:space="preserve"> of </w:t>
      </w:r>
      <w:r w:rsidR="003A1917">
        <w:rPr>
          <w:kern w:val="0"/>
        </w:rPr>
        <w:t xml:space="preserve">the </w:t>
      </w:r>
      <w:r>
        <w:rPr>
          <w:kern w:val="0"/>
        </w:rPr>
        <w:t xml:space="preserve">literature on metamfetamine was compiled by systematically searching OVID </w:t>
      </w:r>
      <w:r w:rsidR="00D5664A">
        <w:rPr>
          <w:kern w:val="0"/>
        </w:rPr>
        <w:t>MEDLINE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Further information was obtained from book chapters, relevant news reports,</w:t>
      </w:r>
      <w:r w:rsidR="005853A9">
        <w:rPr>
          <w:kern w:val="0"/>
        </w:rPr>
        <w:t xml:space="preserve"> and </w:t>
      </w:r>
      <w:r>
        <w:rPr>
          <w:kern w:val="0"/>
        </w:rPr>
        <w:t>web material. Epidemiology. Following its use in</w:t>
      </w:r>
      <w:r w:rsidR="003A1917">
        <w:rPr>
          <w:kern w:val="0"/>
        </w:rPr>
        <w:t xml:space="preserve"> the </w:t>
      </w:r>
      <w:r>
        <w:rPr>
          <w:kern w:val="0"/>
        </w:rPr>
        <w:t>Second World War, metamfetamine gained popularity as an illicit drug in Japan</w:t>
      </w:r>
      <w:r w:rsidR="005853A9">
        <w:rPr>
          <w:kern w:val="0"/>
        </w:rPr>
        <w:t xml:space="preserve"> and </w:t>
      </w:r>
      <w:r>
        <w:rPr>
          <w:kern w:val="0"/>
        </w:rPr>
        <w:t>later</w:t>
      </w:r>
      <w:r w:rsidR="003A1917">
        <w:rPr>
          <w:kern w:val="0"/>
        </w:rPr>
        <w:t xml:space="preserve"> the </w:t>
      </w:r>
      <w:r>
        <w:rPr>
          <w:kern w:val="0"/>
        </w:rPr>
        <w:t>United States. Its manufacture</w:t>
      </w:r>
      <w:r w:rsidR="005853A9">
        <w:rPr>
          <w:kern w:val="0"/>
        </w:rPr>
        <w:t xml:space="preserve"> and </w:t>
      </w:r>
      <w:r>
        <w:rPr>
          <w:kern w:val="0"/>
        </w:rPr>
        <w:t>use has now spread to include East</w:t>
      </w:r>
      <w:r w:rsidR="005853A9">
        <w:rPr>
          <w:kern w:val="0"/>
        </w:rPr>
        <w:t xml:space="preserve"> and </w:t>
      </w:r>
      <w:r>
        <w:rPr>
          <w:kern w:val="0"/>
        </w:rPr>
        <w:t>South-East Asia, North America, Mexico,</w:t>
      </w:r>
      <w:r w:rsidR="005853A9">
        <w:rPr>
          <w:kern w:val="0"/>
        </w:rPr>
        <w:t xml:space="preserve"> and </w:t>
      </w:r>
      <w:r>
        <w:rPr>
          <w:kern w:val="0"/>
        </w:rPr>
        <w:t>Australasia,</w:t>
      </w:r>
      <w:r w:rsidR="005853A9">
        <w:rPr>
          <w:kern w:val="0"/>
        </w:rPr>
        <w:t xml:space="preserve"> and </w:t>
      </w:r>
      <w:r>
        <w:rPr>
          <w:kern w:val="0"/>
        </w:rPr>
        <w:t xml:space="preserve">its world-wide </w:t>
      </w:r>
      <w:r w:rsidR="00D5664A">
        <w:rPr>
          <w:kern w:val="0"/>
        </w:rPr>
        <w:t>USA</w:t>
      </w:r>
      <w:r>
        <w:rPr>
          <w:kern w:val="0"/>
        </w:rPr>
        <w:t>ge, when combined with amfetamine, exceeds that</w:t>
      </w:r>
      <w:r w:rsidR="00427468">
        <w:rPr>
          <w:kern w:val="0"/>
        </w:rPr>
        <w:t xml:space="preserve"> of </w:t>
      </w:r>
      <w:r>
        <w:rPr>
          <w:kern w:val="0"/>
        </w:rPr>
        <w:t>all other drugs</w:t>
      </w:r>
      <w:r w:rsidR="00427468">
        <w:rPr>
          <w:kern w:val="0"/>
        </w:rPr>
        <w:t xml:space="preserve"> </w:t>
      </w:r>
      <w:r w:rsidR="00427468">
        <w:rPr>
          <w:kern w:val="0"/>
        </w:rPr>
        <w:lastRenderedPageBreak/>
        <w:t xml:space="preserve">of </w:t>
      </w:r>
      <w:r>
        <w:rPr>
          <w:kern w:val="0"/>
        </w:rPr>
        <w:t>abuse except cannabis. Mechanisms</w:t>
      </w:r>
      <w:r w:rsidR="00427468">
        <w:rPr>
          <w:kern w:val="0"/>
        </w:rPr>
        <w:t xml:space="preserve"> of </w:t>
      </w:r>
      <w:r>
        <w:rPr>
          <w:kern w:val="0"/>
        </w:rPr>
        <w:t>toxicity. Metamfetamine acts principally by stimulating</w:t>
      </w:r>
      <w:r w:rsidR="003A1917">
        <w:rPr>
          <w:kern w:val="0"/>
        </w:rPr>
        <w:t xml:space="preserve"> the </w:t>
      </w:r>
      <w:r>
        <w:rPr>
          <w:kern w:val="0"/>
        </w:rPr>
        <w:t>enhanced release</w:t>
      </w:r>
      <w:r w:rsidR="00427468">
        <w:rPr>
          <w:kern w:val="0"/>
        </w:rPr>
        <w:t xml:space="preserve"> of </w:t>
      </w:r>
      <w:r>
        <w:rPr>
          <w:kern w:val="0"/>
        </w:rPr>
        <w:t>catecholamines from sympathetic nerve terminals, particularly</w:t>
      </w:r>
      <w:r w:rsidR="00427468">
        <w:rPr>
          <w:kern w:val="0"/>
        </w:rPr>
        <w:t xml:space="preserve"> of </w:t>
      </w:r>
      <w:r>
        <w:rPr>
          <w:kern w:val="0"/>
        </w:rPr>
        <w:t>dopamine in</w:t>
      </w:r>
      <w:r w:rsidR="003A1917">
        <w:rPr>
          <w:kern w:val="0"/>
        </w:rPr>
        <w:t xml:space="preserve"> the </w:t>
      </w:r>
      <w:r>
        <w:rPr>
          <w:kern w:val="0"/>
        </w:rPr>
        <w:t>mesolimbic, mesocortical,</w:t>
      </w:r>
      <w:r w:rsidR="005853A9">
        <w:rPr>
          <w:kern w:val="0"/>
        </w:rPr>
        <w:t xml:space="preserve"> and </w:t>
      </w:r>
      <w:r>
        <w:rPr>
          <w:kern w:val="0"/>
        </w:rPr>
        <w:t>nigrostriatal pathways</w:t>
      </w:r>
      <w:r w:rsidR="00A37C1D">
        <w:rPr>
          <w:kern w:val="0"/>
        </w:rPr>
        <w:t>. The</w:t>
      </w:r>
      <w:r w:rsidR="003A1917">
        <w:rPr>
          <w:kern w:val="0"/>
        </w:rPr>
        <w:t xml:space="preserve"> </w:t>
      </w:r>
      <w:r>
        <w:rPr>
          <w:kern w:val="0"/>
        </w:rPr>
        <w:t>consequent elevation</w:t>
      </w:r>
      <w:r w:rsidR="00427468">
        <w:rPr>
          <w:kern w:val="0"/>
        </w:rPr>
        <w:t xml:space="preserve"> of </w:t>
      </w:r>
      <w:r>
        <w:rPr>
          <w:kern w:val="0"/>
        </w:rPr>
        <w:t>intra-synaptic monoamines results in an increased activation</w:t>
      </w:r>
      <w:r w:rsidR="00427468">
        <w:rPr>
          <w:kern w:val="0"/>
        </w:rPr>
        <w:t xml:space="preserve"> of </w:t>
      </w:r>
      <w:r>
        <w:rPr>
          <w:kern w:val="0"/>
        </w:rPr>
        <w:t>central</w:t>
      </w:r>
      <w:r w:rsidR="005853A9">
        <w:rPr>
          <w:kern w:val="0"/>
        </w:rPr>
        <w:t xml:space="preserve"> and </w:t>
      </w:r>
      <w:r>
        <w:rPr>
          <w:kern w:val="0"/>
        </w:rPr>
        <w:t>peripheral alpha-</w:t>
      </w:r>
      <w:r w:rsidR="005853A9">
        <w:rPr>
          <w:kern w:val="0"/>
        </w:rPr>
        <w:t xml:space="preserve"> and </w:t>
      </w:r>
      <w:r>
        <w:rPr>
          <w:kern w:val="0"/>
        </w:rPr>
        <w:t>beta-adrenergic postsynaptic receptors. This can cause detrimental neuropsychological, cardiovascular,</w:t>
      </w:r>
      <w:r w:rsidR="005853A9">
        <w:rPr>
          <w:kern w:val="0"/>
        </w:rPr>
        <w:t xml:space="preserve"> and </w:t>
      </w:r>
      <w:r>
        <w:rPr>
          <w:kern w:val="0"/>
        </w:rPr>
        <w:t>other systemic effects, and, following long-term abuse, neuronal apoptosis</w:t>
      </w:r>
      <w:r w:rsidR="005853A9">
        <w:rPr>
          <w:kern w:val="0"/>
        </w:rPr>
        <w:t xml:space="preserve"> and </w:t>
      </w:r>
      <w:r>
        <w:rPr>
          <w:kern w:val="0"/>
        </w:rPr>
        <w:t>nerve terminal degeneration. Toxicokinetics. Metamfetamine is rapidly absorbed</w:t>
      </w:r>
      <w:r w:rsidR="005853A9">
        <w:rPr>
          <w:kern w:val="0"/>
        </w:rPr>
        <w:t xml:space="preserve"> and </w:t>
      </w:r>
      <w:r>
        <w:rPr>
          <w:kern w:val="0"/>
        </w:rPr>
        <w:t>well distributed throughout</w:t>
      </w:r>
      <w:r w:rsidR="003A1917">
        <w:rPr>
          <w:kern w:val="0"/>
        </w:rPr>
        <w:t xml:space="preserve"> the </w:t>
      </w:r>
      <w:r>
        <w:rPr>
          <w:kern w:val="0"/>
        </w:rPr>
        <w:t>body, with extensive distribution across high lipid content tissues such as</w:t>
      </w:r>
      <w:r w:rsidR="003A1917">
        <w:rPr>
          <w:kern w:val="0"/>
        </w:rPr>
        <w:t xml:space="preserve"> the </w:t>
      </w:r>
      <w:r>
        <w:rPr>
          <w:kern w:val="0"/>
        </w:rPr>
        <w:t>blood-brain barrier. In humans</w:t>
      </w:r>
      <w:r w:rsidR="003A1917">
        <w:rPr>
          <w:kern w:val="0"/>
        </w:rPr>
        <w:t xml:space="preserve"> the </w:t>
      </w:r>
      <w:r>
        <w:rPr>
          <w:kern w:val="0"/>
        </w:rPr>
        <w:t>major metabolic pathways are aromatic hydroxylation producing 4-hydroxymetamfetamine</w:t>
      </w:r>
      <w:r w:rsidR="005853A9">
        <w:rPr>
          <w:kern w:val="0"/>
        </w:rPr>
        <w:t xml:space="preserve"> and </w:t>
      </w:r>
      <w:r>
        <w:rPr>
          <w:kern w:val="0"/>
        </w:rPr>
        <w:t>N-demethylation to form amfetamine. Metamfetamine is excreted predominantly in</w:t>
      </w:r>
      <w:r w:rsidR="003A1917">
        <w:rPr>
          <w:kern w:val="0"/>
        </w:rPr>
        <w:t xml:space="preserve"> the </w:t>
      </w:r>
      <w:r>
        <w:rPr>
          <w:kern w:val="0"/>
        </w:rPr>
        <w:t>urine</w:t>
      </w:r>
      <w:r w:rsidR="005853A9">
        <w:rPr>
          <w:kern w:val="0"/>
        </w:rPr>
        <w:t xml:space="preserve"> and </w:t>
      </w:r>
      <w:r>
        <w:rPr>
          <w:kern w:val="0"/>
        </w:rPr>
        <w:t>to a lesser extent by sweating</w:t>
      </w:r>
      <w:r w:rsidR="005853A9">
        <w:rPr>
          <w:kern w:val="0"/>
        </w:rPr>
        <w:t xml:space="preserve"> and </w:t>
      </w:r>
      <w:r>
        <w:rPr>
          <w:kern w:val="0"/>
        </w:rPr>
        <w:t>fecal excretion, with reported terminal half-lives ranging from similar to 5 to 30 h. Clinical features</w:t>
      </w:r>
      <w:r w:rsidR="00A37C1D">
        <w:rPr>
          <w:kern w:val="0"/>
        </w:rPr>
        <w:t>. The</w:t>
      </w:r>
      <w:r w:rsidR="003A1917">
        <w:rPr>
          <w:kern w:val="0"/>
        </w:rPr>
        <w:t xml:space="preserve"> </w:t>
      </w:r>
      <w:r>
        <w:rPr>
          <w:kern w:val="0"/>
        </w:rPr>
        <w:t>clinical effects</w:t>
      </w:r>
      <w:r w:rsidR="00427468">
        <w:rPr>
          <w:kern w:val="0"/>
        </w:rPr>
        <w:t xml:space="preserve"> of </w:t>
      </w:r>
      <w:r>
        <w:rPr>
          <w:kern w:val="0"/>
        </w:rPr>
        <w:t>metamfetamine poisoning can vary widely, depending on dose, route, duration,</w:t>
      </w:r>
      <w:r w:rsidR="005853A9">
        <w:rPr>
          <w:kern w:val="0"/>
        </w:rPr>
        <w:t xml:space="preserve"> and </w:t>
      </w:r>
      <w:r>
        <w:rPr>
          <w:kern w:val="0"/>
        </w:rPr>
        <w:t>frequency</w:t>
      </w:r>
      <w:r w:rsidR="00427468">
        <w:rPr>
          <w:kern w:val="0"/>
        </w:rPr>
        <w:t xml:space="preserve"> of </w:t>
      </w:r>
      <w:r>
        <w:rPr>
          <w:kern w:val="0"/>
        </w:rPr>
        <w:t>use</w:t>
      </w:r>
      <w:r w:rsidR="00A37C1D">
        <w:rPr>
          <w:kern w:val="0"/>
        </w:rPr>
        <w:t>. The</w:t>
      </w:r>
      <w:r>
        <w:rPr>
          <w:kern w:val="0"/>
        </w:rPr>
        <w:t>y are predominantly characteristic</w:t>
      </w:r>
      <w:r w:rsidR="00427468">
        <w:rPr>
          <w:kern w:val="0"/>
        </w:rPr>
        <w:t xml:space="preserve"> of </w:t>
      </w:r>
      <w:r>
        <w:rPr>
          <w:kern w:val="0"/>
        </w:rPr>
        <w:t>an acute sympathomimetic toxidrome. Common features reported include tachycardia, hypertension, chest pain, various cardiac dysrhythmias, vasculitis, headache, cerebral hemorrhage, hyperthermia, tachypnea,</w:t>
      </w:r>
      <w:r w:rsidR="005853A9">
        <w:rPr>
          <w:kern w:val="0"/>
        </w:rPr>
        <w:t xml:space="preserve"> and </w:t>
      </w:r>
      <w:r>
        <w:rPr>
          <w:kern w:val="0"/>
        </w:rPr>
        <w:t>violent</w:t>
      </w:r>
      <w:r w:rsidR="005853A9">
        <w:rPr>
          <w:kern w:val="0"/>
        </w:rPr>
        <w:t xml:space="preserve"> and </w:t>
      </w:r>
      <w:r>
        <w:rPr>
          <w:kern w:val="0"/>
        </w:rPr>
        <w:t>aggressive behaviour. Management. Emergency stabilization</w:t>
      </w:r>
      <w:r w:rsidR="00427468">
        <w:rPr>
          <w:kern w:val="0"/>
        </w:rPr>
        <w:t xml:space="preserve"> of </w:t>
      </w:r>
      <w:r>
        <w:rPr>
          <w:kern w:val="0"/>
        </w:rPr>
        <w:t>vital functions</w:t>
      </w:r>
      <w:r w:rsidR="005853A9">
        <w:rPr>
          <w:kern w:val="0"/>
        </w:rPr>
        <w:t xml:space="preserve"> and </w:t>
      </w:r>
      <w:r>
        <w:rPr>
          <w:kern w:val="0"/>
        </w:rPr>
        <w:t>supportive care is essential. Benzodiazepines alone may adequately relieve agitation, hypertension, tachycardia, psychosis,</w:t>
      </w:r>
      <w:r w:rsidR="005853A9">
        <w:rPr>
          <w:kern w:val="0"/>
        </w:rPr>
        <w:t xml:space="preserve"> and </w:t>
      </w:r>
      <w:r>
        <w:rPr>
          <w:kern w:val="0"/>
        </w:rPr>
        <w:t>seizure, though other specific therapies can also be required for sympathomimetic effects</w:t>
      </w:r>
      <w:r w:rsidR="005853A9">
        <w:rPr>
          <w:kern w:val="0"/>
        </w:rPr>
        <w:t xml:space="preserve"> and </w:t>
      </w:r>
      <w:r>
        <w:rPr>
          <w:kern w:val="0"/>
        </w:rPr>
        <w:t>their associated complications. Conclusion. Metamfetamine may cause severe sympathomimetic effects in</w:t>
      </w:r>
      <w:r w:rsidR="003A1917">
        <w:rPr>
          <w:kern w:val="0"/>
        </w:rPr>
        <w:t xml:space="preserve"> the </w:t>
      </w:r>
      <w:r>
        <w:rPr>
          <w:kern w:val="0"/>
        </w:rPr>
        <w:t>intoxicated patient. However, with appropriate, symptom-directed supportive care, patients can be expected to make a full recovery.</w:t>
      </w:r>
    </w:p>
    <w:p w:rsidR="00BC6E79" w:rsidRDefault="00BC6E79" w:rsidP="00BC6E79">
      <w:pPr>
        <w:pStyle w:val="a3"/>
        <w:rPr>
          <w:kern w:val="0"/>
        </w:rPr>
      </w:pPr>
      <w:r>
        <w:rPr>
          <w:kern w:val="0"/>
        </w:rPr>
        <w:t>Keywords: 4-Hydroxymetamfetamine, Amfetamine, Amphetamine, Amphetamine Abuse, Apoptosis, Asia, Burden, Cardiovascular, Diagnosis, Drug, Drug Abuse, Emergency-Department, Epidemiology, Frequency, Health Care, Humans, Hypertension, Induced Ischemic Colitis, Information, Intracerebral Hemorrhage, Intranasal Methamphetamine, Intravenous Methamphetamine</w:t>
      </w:r>
      <w:r w:rsidR="00D5664A">
        <w:rPr>
          <w:kern w:val="0"/>
        </w:rPr>
        <w:t>, ISI,</w:t>
      </w:r>
      <w:r>
        <w:rPr>
          <w:kern w:val="0"/>
        </w:rPr>
        <w:t xml:space="preserve"> Japan, Lead, Lipid, Literature, Management, Medical, </w:t>
      </w:r>
      <w:r w:rsidR="00D5664A">
        <w:rPr>
          <w:kern w:val="0"/>
        </w:rPr>
        <w:t>MEDLINE</w:t>
      </w:r>
      <w:r>
        <w:rPr>
          <w:kern w:val="0"/>
        </w:rPr>
        <w:t xml:space="preserve">, Metamfetamine, Methamphetamine, Methods, Mexico, Monoamines, Myocardial-Infarction, Necrotizing Vasculitis, Oral Methamphetamine, Pain, Prenatal Methamphetamine Exposure, Psychosis, Review, Science, Serotonin Syndrome, Sympathomimetic Toxidrome, Tachycardia, Toxicity, Treatment, Urine, </w:t>
      </w:r>
      <w:r w:rsidR="00D5664A">
        <w:rPr>
          <w:kern w:val="0"/>
        </w:rPr>
        <w:t>Web</w:t>
      </w:r>
      <w:r w:rsidR="00427468">
        <w:rPr>
          <w:kern w:val="0"/>
        </w:rPr>
        <w:t xml:space="preserve"> of </w:t>
      </w:r>
      <w:r w:rsidR="00D5664A">
        <w:rPr>
          <w:kern w:val="0"/>
        </w:rPr>
        <w:t>Science</w:t>
      </w:r>
    </w:p>
    <w:p w:rsidR="00BC6E79" w:rsidRDefault="00BC6E79" w:rsidP="00BC6E79">
      <w:pPr>
        <w:pStyle w:val="a3"/>
        <w:rPr>
          <w:kern w:val="0"/>
        </w:rPr>
      </w:pPr>
      <w:r>
        <w:rPr>
          <w:rFonts w:hint="eastAsia"/>
          <w:kern w:val="0"/>
        </w:rPr>
        <w:t xml:space="preserve">? </w:t>
      </w:r>
      <w:r>
        <w:rPr>
          <w:kern w:val="0"/>
        </w:rPr>
        <w:t>Schep, L.J., Slaughter, R.J., Vale, J.A., Beasley, D.M.G.</w:t>
      </w:r>
      <w:r w:rsidR="005853A9">
        <w:rPr>
          <w:kern w:val="0"/>
        </w:rPr>
        <w:t xml:space="preserve"> and </w:t>
      </w:r>
      <w:r>
        <w:rPr>
          <w:kern w:val="0"/>
        </w:rPr>
        <w:t>Gee, P. (2011</w:t>
      </w:r>
      <w:r w:rsidR="00F42EAC">
        <w:rPr>
          <w:kern w:val="0"/>
        </w:rPr>
        <w:t>), The</w:t>
      </w:r>
      <w:r w:rsidR="003A1917">
        <w:rPr>
          <w:kern w:val="0"/>
        </w:rPr>
        <w:t xml:space="preserve"> </w:t>
      </w:r>
      <w:r>
        <w:rPr>
          <w:kern w:val="0"/>
        </w:rPr>
        <w:t>clinical toxicology</w:t>
      </w:r>
      <w:r w:rsidR="00427468">
        <w:rPr>
          <w:kern w:val="0"/>
        </w:rPr>
        <w:t xml:space="preserve"> of </w:t>
      </w:r>
      <w:r w:rsidR="003A1917">
        <w:rPr>
          <w:kern w:val="0"/>
        </w:rPr>
        <w:t xml:space="preserve">the </w:t>
      </w:r>
      <w:r>
        <w:rPr>
          <w:kern w:val="0"/>
        </w:rPr>
        <w:t xml:space="preserve">designer </w:t>
      </w:r>
      <w:r w:rsidR="00B5188C">
        <w:rPr>
          <w:kern w:val="0"/>
        </w:rPr>
        <w:t>“</w:t>
      </w:r>
      <w:r>
        <w:rPr>
          <w:kern w:val="0"/>
        </w:rPr>
        <w:t>party pills</w:t>
      </w:r>
      <w:r w:rsidR="00B5188C">
        <w:rPr>
          <w:kern w:val="0"/>
        </w:rPr>
        <w:t>”</w:t>
      </w:r>
      <w:r>
        <w:rPr>
          <w:kern w:val="0"/>
        </w:rPr>
        <w:t xml:space="preserve"> benzylpiperazine</w:t>
      </w:r>
      <w:r w:rsidR="005853A9">
        <w:rPr>
          <w:kern w:val="0"/>
        </w:rPr>
        <w:t xml:space="preserve"> and </w:t>
      </w:r>
      <w:r>
        <w:rPr>
          <w:kern w:val="0"/>
        </w:rPr>
        <w:t xml:space="preserve">trifluoromethylphenylpiperazine. </w:t>
      </w:r>
      <w:r>
        <w:rPr>
          <w:i/>
          <w:iCs/>
          <w:kern w:val="0"/>
        </w:rPr>
        <w:t>Clinical Toxicology</w:t>
      </w:r>
      <w:r>
        <w:rPr>
          <w:kern w:val="0"/>
        </w:rPr>
        <w:t xml:space="preserve">, </w:t>
      </w:r>
      <w:r>
        <w:rPr>
          <w:b/>
          <w:bCs/>
          <w:kern w:val="0"/>
        </w:rPr>
        <w:t>49</w:t>
      </w:r>
      <w:r>
        <w:rPr>
          <w:kern w:val="0"/>
        </w:rPr>
        <w:t xml:space="preserve"> (3), 131-141.</w:t>
      </w:r>
    </w:p>
    <w:p w:rsidR="00BC6E79" w:rsidRDefault="00BC6E79" w:rsidP="00BC6E79">
      <w:pPr>
        <w:pStyle w:val="a3"/>
        <w:rPr>
          <w:kern w:val="0"/>
        </w:rPr>
      </w:pPr>
      <w:r>
        <w:rPr>
          <w:kern w:val="0"/>
        </w:rPr>
        <w:lastRenderedPageBreak/>
        <w:t>Abstract: Introduction. Benzylpiperazine (BZP)</w:t>
      </w:r>
      <w:r w:rsidR="005853A9">
        <w:rPr>
          <w:kern w:val="0"/>
        </w:rPr>
        <w:t xml:space="preserve"> and </w:t>
      </w:r>
      <w:r>
        <w:rPr>
          <w:kern w:val="0"/>
        </w:rPr>
        <w:t>trifluoromethylphenylpiperazine (TFMPP) are synthetic phenylpiperazine analogues. BZP was investigated as a potential antidepressant in</w:t>
      </w:r>
      <w:r w:rsidR="003A1917">
        <w:rPr>
          <w:kern w:val="0"/>
        </w:rPr>
        <w:t xml:space="preserve"> the </w:t>
      </w:r>
      <w:r>
        <w:rPr>
          <w:kern w:val="0"/>
        </w:rPr>
        <w:t>early 1970s but was found unsuitable for this purpose. More recently, BZP</w:t>
      </w:r>
      <w:r w:rsidR="005853A9">
        <w:rPr>
          <w:kern w:val="0"/>
        </w:rPr>
        <w:t xml:space="preserve"> and </w:t>
      </w:r>
      <w:r>
        <w:rPr>
          <w:kern w:val="0"/>
        </w:rPr>
        <w:t>TFMPP have been used as substitutes for amfetamine-derived designer drugs</w:t>
      </w:r>
      <w:r w:rsidR="00A37C1D">
        <w:rPr>
          <w:kern w:val="0"/>
        </w:rPr>
        <w:t>. The</w:t>
      </w:r>
      <w:r>
        <w:rPr>
          <w:kern w:val="0"/>
        </w:rPr>
        <w:t>y were legally available in a number</w:t>
      </w:r>
      <w:r w:rsidR="00427468">
        <w:rPr>
          <w:kern w:val="0"/>
        </w:rPr>
        <w:t xml:space="preserve"> of </w:t>
      </w:r>
      <w:r>
        <w:rPr>
          <w:kern w:val="0"/>
        </w:rPr>
        <w:t>countries, particularly in New Zealand,</w:t>
      </w:r>
      <w:r w:rsidR="005853A9">
        <w:rPr>
          <w:kern w:val="0"/>
        </w:rPr>
        <w:t xml:space="preserve"> and </w:t>
      </w:r>
      <w:r>
        <w:rPr>
          <w:kern w:val="0"/>
        </w:rPr>
        <w:t>were marketed as party pills, but are now more heavily regulated. This article will review</w:t>
      </w:r>
      <w:r w:rsidR="003A1917">
        <w:rPr>
          <w:kern w:val="0"/>
        </w:rPr>
        <w:t xml:space="preserve"> the </w:t>
      </w:r>
      <w:r>
        <w:rPr>
          <w:kern w:val="0"/>
        </w:rPr>
        <w:t>mechanisms</w:t>
      </w:r>
      <w:r w:rsidR="00427468">
        <w:rPr>
          <w:kern w:val="0"/>
        </w:rPr>
        <w:t xml:space="preserve"> of </w:t>
      </w:r>
      <w:r>
        <w:rPr>
          <w:kern w:val="0"/>
        </w:rPr>
        <w:t>toxicity, toxicokinetics, clinical features, diagnosis,</w:t>
      </w:r>
      <w:r w:rsidR="005853A9">
        <w:rPr>
          <w:kern w:val="0"/>
        </w:rPr>
        <w:t xml:space="preserve"> and </w:t>
      </w:r>
      <w:r>
        <w:rPr>
          <w:kern w:val="0"/>
        </w:rPr>
        <w:t>management</w:t>
      </w:r>
      <w:r w:rsidR="00427468">
        <w:rPr>
          <w:kern w:val="0"/>
        </w:rPr>
        <w:t xml:space="preserve"> of </w:t>
      </w:r>
      <w:r>
        <w:rPr>
          <w:kern w:val="0"/>
        </w:rPr>
        <w:t>poisoning due to BZP</w:t>
      </w:r>
      <w:r w:rsidR="005853A9">
        <w:rPr>
          <w:kern w:val="0"/>
        </w:rPr>
        <w:t xml:space="preserve"> and </w:t>
      </w:r>
      <w:r>
        <w:rPr>
          <w:kern w:val="0"/>
        </w:rPr>
        <w:t xml:space="preserve">TFMPP. Methods. OVID </w:t>
      </w:r>
      <w:r w:rsidR="00D5664A">
        <w:rPr>
          <w:kern w:val="0"/>
        </w:rPr>
        <w:t>MEDLINE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were searched systematically for studies on BZP</w:t>
      </w:r>
      <w:r w:rsidR="005853A9">
        <w:rPr>
          <w:kern w:val="0"/>
        </w:rPr>
        <w:t xml:space="preserve"> and </w:t>
      </w:r>
      <w:r>
        <w:rPr>
          <w:kern w:val="0"/>
        </w:rPr>
        <w:t>TFMPP</w:t>
      </w:r>
      <w:r w:rsidR="005853A9">
        <w:rPr>
          <w:kern w:val="0"/>
        </w:rPr>
        <w:t xml:space="preserve"> and </w:t>
      </w:r>
      <w:r w:rsidR="003A1917">
        <w:rPr>
          <w:kern w:val="0"/>
        </w:rPr>
        <w:t xml:space="preserve">the </w:t>
      </w:r>
      <w:r>
        <w:rPr>
          <w:kern w:val="0"/>
        </w:rPr>
        <w:t>bibliographies</w:t>
      </w:r>
      <w:r w:rsidR="00427468">
        <w:rPr>
          <w:kern w:val="0"/>
        </w:rPr>
        <w:t xml:space="preserve"> of </w:t>
      </w:r>
      <w:r>
        <w:rPr>
          <w:kern w:val="0"/>
        </w:rPr>
        <w:t>identified articles were screened for additional relevant studies including nonindexed reports. Nonpeer-reviewed sources were also accessed. In all, 179 papers excluding duplicates were identified</w:t>
      </w:r>
      <w:r w:rsidR="005853A9">
        <w:rPr>
          <w:kern w:val="0"/>
        </w:rPr>
        <w:t xml:space="preserve"> and </w:t>
      </w:r>
      <w:r>
        <w:rPr>
          <w:kern w:val="0"/>
        </w:rPr>
        <w:t>74 were considered relevant. Mechanisms</w:t>
      </w:r>
      <w:r w:rsidR="00427468">
        <w:rPr>
          <w:kern w:val="0"/>
        </w:rPr>
        <w:t xml:space="preserve"> of </w:t>
      </w:r>
      <w:r>
        <w:rPr>
          <w:kern w:val="0"/>
        </w:rPr>
        <w:t>action. BZP</w:t>
      </w:r>
      <w:r w:rsidR="005853A9">
        <w:rPr>
          <w:kern w:val="0"/>
        </w:rPr>
        <w:t xml:space="preserve"> and </w:t>
      </w:r>
      <w:r>
        <w:rPr>
          <w:kern w:val="0"/>
        </w:rPr>
        <w:t>TFMPP have stimulant</w:t>
      </w:r>
      <w:r w:rsidR="005853A9">
        <w:rPr>
          <w:kern w:val="0"/>
        </w:rPr>
        <w:t xml:space="preserve"> and </w:t>
      </w:r>
      <w:r>
        <w:rPr>
          <w:kern w:val="0"/>
        </w:rPr>
        <w:t>amfetamine-like properties</w:t>
      </w:r>
      <w:r w:rsidR="00A37C1D">
        <w:rPr>
          <w:kern w:val="0"/>
        </w:rPr>
        <w:t>. The</w:t>
      </w:r>
      <w:r>
        <w:rPr>
          <w:kern w:val="0"/>
        </w:rPr>
        <w:t>y enhance</w:t>
      </w:r>
      <w:r w:rsidR="003A1917">
        <w:rPr>
          <w:kern w:val="0"/>
        </w:rPr>
        <w:t xml:space="preserve"> the </w:t>
      </w:r>
      <w:r>
        <w:rPr>
          <w:kern w:val="0"/>
        </w:rPr>
        <w:t>release</w:t>
      </w:r>
      <w:r w:rsidR="00427468">
        <w:rPr>
          <w:kern w:val="0"/>
        </w:rPr>
        <w:t xml:space="preserve"> of </w:t>
      </w:r>
      <w:r>
        <w:rPr>
          <w:kern w:val="0"/>
        </w:rPr>
        <w:t>catecholamines, particularly</w:t>
      </w:r>
      <w:r w:rsidR="00427468">
        <w:rPr>
          <w:kern w:val="0"/>
        </w:rPr>
        <w:t xml:space="preserve"> of </w:t>
      </w:r>
      <w:r>
        <w:rPr>
          <w:kern w:val="0"/>
        </w:rPr>
        <w:t>dopamine, from sympathetic nerve terminals, increasing intra-synaptic concentrations</w:t>
      </w:r>
      <w:r w:rsidR="00A37C1D">
        <w:rPr>
          <w:kern w:val="0"/>
        </w:rPr>
        <w:t>. The</w:t>
      </w:r>
      <w:r w:rsidR="003A1917">
        <w:rPr>
          <w:kern w:val="0"/>
        </w:rPr>
        <w:t xml:space="preserve"> </w:t>
      </w:r>
      <w:r>
        <w:rPr>
          <w:kern w:val="0"/>
        </w:rPr>
        <w:t>resulting elevated intra-synaptic monoamine concentrations cause increased activation</w:t>
      </w:r>
      <w:r w:rsidR="00427468">
        <w:rPr>
          <w:kern w:val="0"/>
        </w:rPr>
        <w:t xml:space="preserve"> of </w:t>
      </w:r>
      <w:r>
        <w:rPr>
          <w:kern w:val="0"/>
        </w:rPr>
        <w:t>both central</w:t>
      </w:r>
      <w:r w:rsidR="005853A9">
        <w:rPr>
          <w:kern w:val="0"/>
        </w:rPr>
        <w:t xml:space="preserve"> and </w:t>
      </w:r>
      <w:r>
        <w:rPr>
          <w:kern w:val="0"/>
        </w:rPr>
        <w:t>peripheral alpha-</w:t>
      </w:r>
      <w:r w:rsidR="005853A9">
        <w:rPr>
          <w:kern w:val="0"/>
        </w:rPr>
        <w:t xml:space="preserve"> and </w:t>
      </w:r>
      <w:r>
        <w:rPr>
          <w:kern w:val="0"/>
        </w:rPr>
        <w:t>beta-adrenergic postsynaptic receptors. BZP has primarily dopaminergic</w:t>
      </w:r>
      <w:r w:rsidR="005853A9">
        <w:rPr>
          <w:kern w:val="0"/>
        </w:rPr>
        <w:t xml:space="preserve"> and </w:t>
      </w:r>
      <w:r>
        <w:rPr>
          <w:kern w:val="0"/>
        </w:rPr>
        <w:t>noradrenergic action while TFMPP has a more direct serotonin agonist activity. Toxicokinetics</w:t>
      </w:r>
      <w:r w:rsidR="00A37C1D">
        <w:rPr>
          <w:kern w:val="0"/>
        </w:rPr>
        <w:t>. The</w:t>
      </w:r>
      <w:r>
        <w:rPr>
          <w:kern w:val="0"/>
        </w:rPr>
        <w:t>re is limited information on</w:t>
      </w:r>
      <w:r w:rsidR="003A1917">
        <w:rPr>
          <w:kern w:val="0"/>
        </w:rPr>
        <w:t xml:space="preserve"> the </w:t>
      </w:r>
      <w:r>
        <w:rPr>
          <w:kern w:val="0"/>
        </w:rPr>
        <w:t>kinetics</w:t>
      </w:r>
      <w:r w:rsidR="00427468">
        <w:rPr>
          <w:kern w:val="0"/>
        </w:rPr>
        <w:t xml:space="preserve"> of </w:t>
      </w:r>
      <w:r>
        <w:rPr>
          <w:kern w:val="0"/>
        </w:rPr>
        <w:t>these drugs. Following ingestion, peak plasma concentrations are reached after 60 to 90 min. Both drugs would be expected to cross</w:t>
      </w:r>
      <w:r w:rsidR="003A1917">
        <w:rPr>
          <w:kern w:val="0"/>
        </w:rPr>
        <w:t xml:space="preserve"> the </w:t>
      </w:r>
      <w:r>
        <w:rPr>
          <w:kern w:val="0"/>
        </w:rPr>
        <w:t>blood brain barrier</w:t>
      </w:r>
      <w:r w:rsidR="005853A9">
        <w:rPr>
          <w:kern w:val="0"/>
        </w:rPr>
        <w:t xml:space="preserve"> and </w:t>
      </w:r>
      <w:r>
        <w:rPr>
          <w:kern w:val="0"/>
        </w:rPr>
        <w:t>they are metabolized mainly by hydroxylation</w:t>
      </w:r>
      <w:r w:rsidR="005853A9">
        <w:rPr>
          <w:kern w:val="0"/>
        </w:rPr>
        <w:t xml:space="preserve"> and </w:t>
      </w:r>
      <w:r>
        <w:rPr>
          <w:kern w:val="0"/>
        </w:rPr>
        <w:t>N-dealkylation catalyzed by cytochrome P450</w:t>
      </w:r>
      <w:r w:rsidR="005853A9">
        <w:rPr>
          <w:kern w:val="0"/>
        </w:rPr>
        <w:t xml:space="preserve"> and </w:t>
      </w:r>
      <w:r>
        <w:rPr>
          <w:kern w:val="0"/>
        </w:rPr>
        <w:t>catechol-o-methyl transferase enzymes. In humans, only small amounts</w:t>
      </w:r>
      <w:r w:rsidR="00427468">
        <w:rPr>
          <w:kern w:val="0"/>
        </w:rPr>
        <w:t xml:space="preserve"> of </w:t>
      </w:r>
      <w:r>
        <w:rPr>
          <w:kern w:val="0"/>
        </w:rPr>
        <w:t>both BZP</w:t>
      </w:r>
      <w:r w:rsidR="005853A9">
        <w:rPr>
          <w:kern w:val="0"/>
        </w:rPr>
        <w:t xml:space="preserve"> and </w:t>
      </w:r>
      <w:r>
        <w:rPr>
          <w:kern w:val="0"/>
        </w:rPr>
        <w:t>TFMPP are excreted in</w:t>
      </w:r>
      <w:r w:rsidR="003A1917">
        <w:rPr>
          <w:kern w:val="0"/>
        </w:rPr>
        <w:t xml:space="preserve"> the </w:t>
      </w:r>
      <w:r>
        <w:rPr>
          <w:kern w:val="0"/>
        </w:rPr>
        <w:t>urine, suggesting a low bioavailability</w:t>
      </w:r>
      <w:r w:rsidR="00A37C1D">
        <w:rPr>
          <w:kern w:val="0"/>
        </w:rPr>
        <w:t>. The</w:t>
      </w:r>
      <w:r w:rsidR="003A1917">
        <w:rPr>
          <w:kern w:val="0"/>
        </w:rPr>
        <w:t xml:space="preserve"> </w:t>
      </w:r>
      <w:r>
        <w:rPr>
          <w:kern w:val="0"/>
        </w:rPr>
        <w:t>serum half-lives</w:t>
      </w:r>
      <w:r w:rsidR="00427468">
        <w:rPr>
          <w:kern w:val="0"/>
        </w:rPr>
        <w:t xml:space="preserve"> of </w:t>
      </w:r>
      <w:r>
        <w:rPr>
          <w:kern w:val="0"/>
        </w:rPr>
        <w:t>BZP</w:t>
      </w:r>
      <w:r w:rsidR="005853A9">
        <w:rPr>
          <w:kern w:val="0"/>
        </w:rPr>
        <w:t xml:space="preserve"> and </w:t>
      </w:r>
      <w:r>
        <w:rPr>
          <w:kern w:val="0"/>
        </w:rPr>
        <w:t>TFMPP are relatively short with elimination being essentially complete in 44 h for BZP</w:t>
      </w:r>
      <w:r w:rsidR="005853A9">
        <w:rPr>
          <w:kern w:val="0"/>
        </w:rPr>
        <w:t xml:space="preserve"> and </w:t>
      </w:r>
      <w:r>
        <w:rPr>
          <w:kern w:val="0"/>
        </w:rPr>
        <w:t>24 h for TFMPP. Clinical features</w:t>
      </w:r>
      <w:r w:rsidR="00A37C1D">
        <w:rPr>
          <w:kern w:val="0"/>
        </w:rPr>
        <w:t>. The</w:t>
      </w:r>
      <w:r>
        <w:rPr>
          <w:kern w:val="0"/>
        </w:rPr>
        <w:t>se compounds can cause harmful effects when taken recreationally. Commonly reported features include palpitations, agitation, anxiety, confusion, dizziness, headache, tremor, mydriasis, insomnia, urine retention,</w:t>
      </w:r>
      <w:r w:rsidR="005853A9">
        <w:rPr>
          <w:kern w:val="0"/>
        </w:rPr>
        <w:t xml:space="preserve"> and </w:t>
      </w:r>
      <w:r>
        <w:rPr>
          <w:kern w:val="0"/>
        </w:rPr>
        <w:t>vomiting. Seizures are induced in some patients even at low doses. Severe multiorgan toxicity has been reported, though fatalities have not been recorded conclusively. Management. Supportive care including</w:t>
      </w:r>
      <w:r w:rsidR="003A1917">
        <w:rPr>
          <w:kern w:val="0"/>
        </w:rPr>
        <w:t xml:space="preserve"> the </w:t>
      </w:r>
      <w:r>
        <w:rPr>
          <w:kern w:val="0"/>
        </w:rPr>
        <w:t>termination</w:t>
      </w:r>
      <w:r w:rsidR="00427468">
        <w:rPr>
          <w:kern w:val="0"/>
        </w:rPr>
        <w:t xml:space="preserve"> of </w:t>
      </w:r>
      <w:r>
        <w:rPr>
          <w:kern w:val="0"/>
        </w:rPr>
        <w:t>seizures is paramount, with relief</w:t>
      </w:r>
      <w:r w:rsidR="00427468">
        <w:rPr>
          <w:kern w:val="0"/>
        </w:rPr>
        <w:t xml:space="preserve"> of </w:t>
      </w:r>
      <w:r>
        <w:rPr>
          <w:kern w:val="0"/>
        </w:rPr>
        <w:t>symptoms usually being provided by benzodiazepines alone. Conclusions. BZP</w:t>
      </w:r>
      <w:r w:rsidR="005853A9">
        <w:rPr>
          <w:kern w:val="0"/>
        </w:rPr>
        <w:t xml:space="preserve"> and </w:t>
      </w:r>
      <w:r>
        <w:rPr>
          <w:kern w:val="0"/>
        </w:rPr>
        <w:t>TFMP can cause sympathomimetic effects in</w:t>
      </w:r>
      <w:r w:rsidR="003A1917">
        <w:rPr>
          <w:kern w:val="0"/>
        </w:rPr>
        <w:t xml:space="preserve"> the </w:t>
      </w:r>
      <w:r>
        <w:rPr>
          <w:kern w:val="0"/>
        </w:rPr>
        <w:t>intoxicated patient. Appropriate, symptom-directed supportive care should ensure a good recovery.</w:t>
      </w:r>
    </w:p>
    <w:p w:rsidR="00BC6E79" w:rsidRDefault="00BC6E79" w:rsidP="00BC6E79">
      <w:pPr>
        <w:pStyle w:val="a3"/>
        <w:rPr>
          <w:kern w:val="0"/>
        </w:rPr>
      </w:pPr>
      <w:r>
        <w:rPr>
          <w:kern w:val="0"/>
        </w:rPr>
        <w:t xml:space="preserve">Keywords: 1-(3-Trifluoromethylphenyl)Piperazine Tfmpp, 3,4-Methylenedioxymethamphetamine Mdma, Antidepressant Agent, Anxiety, Benzylpiperazine, Blood, Brain, BZP, Cytochrome P450, Diagnosis, Dizziness, </w:t>
      </w:r>
      <w:r>
        <w:rPr>
          <w:kern w:val="0"/>
        </w:rPr>
        <w:lastRenderedPageBreak/>
        <w:t>Dopamine, Drug Abuse, Drug N-Benzylpiperazine, Emergency-Department, Gas Chromatography, Mass Spectrometry, H-3 Noradrenaline Release, Herbal Highs, Humans, Induced, Information, Insomnia</w:t>
      </w:r>
      <w:r w:rsidR="00D5664A">
        <w:rPr>
          <w:kern w:val="0"/>
        </w:rPr>
        <w:t>, ISI,</w:t>
      </w:r>
      <w:r>
        <w:rPr>
          <w:kern w:val="0"/>
        </w:rPr>
        <w:t xml:space="preserve"> Kinetics, Management, </w:t>
      </w:r>
      <w:r w:rsidR="00D5664A">
        <w:rPr>
          <w:kern w:val="0"/>
        </w:rPr>
        <w:t>MEDLINE</w:t>
      </w:r>
      <w:r>
        <w:rPr>
          <w:kern w:val="0"/>
        </w:rPr>
        <w:t xml:space="preserve">, Methods, New Zealand, P450, Papers, Party Pills, Plasma, Rat-Brain, Review, Science, Seizures, Serotonin, Serotonin Syndrome, Stimulant, Stimulus Properties, Sympathomimetic Toxidrome, Symptoms, TFMPP, Toxicity, Trifluoromethylphenylpiperazine, Urine, </w:t>
      </w:r>
      <w:r w:rsidR="00D5664A">
        <w:rPr>
          <w:kern w:val="0"/>
        </w:rPr>
        <w:t>Web</w:t>
      </w:r>
      <w:r w:rsidR="00427468">
        <w:rPr>
          <w:kern w:val="0"/>
        </w:rPr>
        <w:t xml:space="preserve"> of </w:t>
      </w:r>
      <w:r w:rsidR="00D5664A">
        <w:rPr>
          <w:kern w:val="0"/>
        </w:rPr>
        <w:t>Science</w:t>
      </w:r>
    </w:p>
    <w:p w:rsidR="00533624" w:rsidRDefault="00533624" w:rsidP="00533624">
      <w:pPr>
        <w:pStyle w:val="a3"/>
        <w:rPr>
          <w:kern w:val="0"/>
        </w:rPr>
      </w:pPr>
      <w:r>
        <w:rPr>
          <w:rFonts w:hint="eastAsia"/>
          <w:kern w:val="0"/>
        </w:rPr>
        <w:t xml:space="preserve">? </w:t>
      </w:r>
      <w:r>
        <w:rPr>
          <w:kern w:val="0"/>
        </w:rPr>
        <w:t>Schep, L.J., Slaughter, R.J., Vale, J.A.</w:t>
      </w:r>
      <w:r w:rsidR="005853A9">
        <w:rPr>
          <w:kern w:val="0"/>
        </w:rPr>
        <w:t xml:space="preserve"> and </w:t>
      </w:r>
      <w:r>
        <w:rPr>
          <w:kern w:val="0"/>
        </w:rPr>
        <w:t>Wheatley, P. (2014), Was the death</w:t>
      </w:r>
      <w:r w:rsidR="00427468">
        <w:rPr>
          <w:kern w:val="0"/>
        </w:rPr>
        <w:t xml:space="preserve"> of </w:t>
      </w:r>
      <w:r>
        <w:rPr>
          <w:kern w:val="0"/>
        </w:rPr>
        <w:t xml:space="preserve">Alexander the Great due to poisoning? Was it Veratrum album? </w:t>
      </w:r>
      <w:r>
        <w:rPr>
          <w:i/>
          <w:iCs/>
          <w:kern w:val="0"/>
        </w:rPr>
        <w:t>Clinical Toxicology</w:t>
      </w:r>
      <w:r>
        <w:rPr>
          <w:kern w:val="0"/>
        </w:rPr>
        <w:t xml:space="preserve">, </w:t>
      </w:r>
      <w:r>
        <w:rPr>
          <w:b/>
          <w:bCs/>
          <w:kern w:val="0"/>
        </w:rPr>
        <w:t>52</w:t>
      </w:r>
      <w:r>
        <w:rPr>
          <w:kern w:val="0"/>
        </w:rPr>
        <w:t xml:space="preserve"> (1), 72-77.</w:t>
      </w:r>
    </w:p>
    <w:p w:rsidR="00533624" w:rsidRDefault="00533624" w:rsidP="00533624">
      <w:pPr>
        <w:pStyle w:val="a3"/>
        <w:rPr>
          <w:kern w:val="0"/>
        </w:rPr>
      </w:pPr>
      <w:r>
        <w:rPr>
          <w:rFonts w:hint="eastAsia"/>
          <w:kern w:val="0"/>
        </w:rPr>
        <w:t xml:space="preserve">Full Text: </w:t>
      </w:r>
      <w:hyperlink r:id="rId463" w:history="1">
        <w:r w:rsidRPr="00E7058C">
          <w:rPr>
            <w:rStyle w:val="a5"/>
            <w:kern w:val="0"/>
          </w:rPr>
          <w:t>2014\Cli Tox52, 72.pdf</w:t>
        </w:r>
      </w:hyperlink>
    </w:p>
    <w:p w:rsidR="00533624" w:rsidRDefault="00533624" w:rsidP="00533624">
      <w:pPr>
        <w:pStyle w:val="a3"/>
        <w:rPr>
          <w:kern w:val="0"/>
        </w:rPr>
      </w:pPr>
      <w:r>
        <w:rPr>
          <w:kern w:val="0"/>
        </w:rPr>
        <w:t>Abstract: Objective. To investigate the death</w:t>
      </w:r>
      <w:r w:rsidR="00427468">
        <w:rPr>
          <w:kern w:val="0"/>
        </w:rPr>
        <w:t xml:space="preserve"> of </w:t>
      </w:r>
      <w:r>
        <w:rPr>
          <w:kern w:val="0"/>
        </w:rPr>
        <w:t>Alexander the Great to determine if he died from natural causes or was poisoned and, if the latter, what was the most likely poison. Methods. OVID MEDLINE (January 1950-May 2013)</w:t>
      </w:r>
      <w:r w:rsidR="005853A9">
        <w:rPr>
          <w:kern w:val="0"/>
        </w:rPr>
        <w:t xml:space="preserve"> and </w:t>
      </w:r>
      <w:r>
        <w:rPr>
          <w:kern w:val="0"/>
        </w:rPr>
        <w:t>ISI Web</w:t>
      </w:r>
      <w:r w:rsidR="00427468">
        <w:rPr>
          <w:kern w:val="0"/>
        </w:rPr>
        <w:t xml:space="preserve"> of </w:t>
      </w:r>
      <w:r>
        <w:rPr>
          <w:kern w:val="0"/>
        </w:rPr>
        <w:t>Science (1900-May 2013) databases were searched</w:t>
      </w:r>
      <w:r w:rsidR="005853A9">
        <w:rPr>
          <w:kern w:val="0"/>
        </w:rPr>
        <w:t xml:space="preserve"> and </w:t>
      </w:r>
      <w:r>
        <w:rPr>
          <w:kern w:val="0"/>
        </w:rPr>
        <w:t>bibliographies</w:t>
      </w:r>
      <w:r w:rsidR="00427468">
        <w:rPr>
          <w:kern w:val="0"/>
        </w:rPr>
        <w:t xml:space="preserve"> of </w:t>
      </w:r>
      <w:r>
        <w:rPr>
          <w:kern w:val="0"/>
        </w:rPr>
        <w:t>identified articles were screened for additional relevant studies</w:t>
      </w:r>
      <w:r w:rsidR="00A37C1D">
        <w:rPr>
          <w:kern w:val="0"/>
        </w:rPr>
        <w:t>. The</w:t>
      </w:r>
      <w:r>
        <w:rPr>
          <w:kern w:val="0"/>
        </w:rPr>
        <w:t>se searches identified 53 relevant citations. Classical literature associated with Alexander</w:t>
      </w:r>
      <w:r w:rsidR="0071223E">
        <w:rPr>
          <w:kern w:val="0"/>
        </w:rPr>
        <w:t>’</w:t>
      </w:r>
      <w:r>
        <w:rPr>
          <w:kern w:val="0"/>
        </w:rPr>
        <w:t>s death</w:t>
      </w:r>
      <w:r w:rsidR="00A37C1D">
        <w:rPr>
          <w:kern w:val="0"/>
        </w:rPr>
        <w:t>. The</w:t>
      </w:r>
      <w:r>
        <w:rPr>
          <w:kern w:val="0"/>
        </w:rPr>
        <w:t>re are two divergent accounts</w:t>
      </w:r>
      <w:r w:rsidR="00427468">
        <w:rPr>
          <w:kern w:val="0"/>
        </w:rPr>
        <w:t xml:space="preserve"> of </w:t>
      </w:r>
      <w:r>
        <w:rPr>
          <w:kern w:val="0"/>
        </w:rPr>
        <w:t>Alexander</w:t>
      </w:r>
      <w:r w:rsidR="0071223E">
        <w:rPr>
          <w:kern w:val="0"/>
        </w:rPr>
        <w:t>’</w:t>
      </w:r>
      <w:r>
        <w:rPr>
          <w:kern w:val="0"/>
        </w:rPr>
        <w:t>s death</w:t>
      </w:r>
      <w:r w:rsidR="00A37C1D">
        <w:rPr>
          <w:kern w:val="0"/>
        </w:rPr>
        <w:t>. The</w:t>
      </w:r>
      <w:r>
        <w:rPr>
          <w:kern w:val="0"/>
        </w:rPr>
        <w:t xml:space="preserve"> first has its origins in the Royal Diary, allegedly kept in Alexander</w:t>
      </w:r>
      <w:r w:rsidR="0071223E">
        <w:rPr>
          <w:kern w:val="0"/>
        </w:rPr>
        <w:t>’</w:t>
      </w:r>
      <w:r>
        <w:rPr>
          <w:kern w:val="0"/>
        </w:rPr>
        <w:t>s court</w:t>
      </w:r>
      <w:r w:rsidR="00A37C1D">
        <w:rPr>
          <w:kern w:val="0"/>
        </w:rPr>
        <w:t>. The</w:t>
      </w:r>
      <w:r>
        <w:rPr>
          <w:kern w:val="0"/>
        </w:rPr>
        <w:t xml:space="preserve"> second account survives in various versions</w:t>
      </w:r>
      <w:r w:rsidR="00427468">
        <w:rPr>
          <w:kern w:val="0"/>
        </w:rPr>
        <w:t xml:space="preserve"> of </w:t>
      </w:r>
      <w:r>
        <w:rPr>
          <w:kern w:val="0"/>
        </w:rPr>
        <w:t>the Alexander Romance. Nature</w:t>
      </w:r>
      <w:r w:rsidR="00427468">
        <w:rPr>
          <w:kern w:val="0"/>
        </w:rPr>
        <w:t xml:space="preserve"> of </w:t>
      </w:r>
      <w:r>
        <w:rPr>
          <w:kern w:val="0"/>
        </w:rPr>
        <w:t>the terminal illness</w:t>
      </w:r>
      <w:r w:rsidR="00A37C1D">
        <w:rPr>
          <w:kern w:val="0"/>
        </w:rPr>
        <w:t>. The</w:t>
      </w:r>
      <w:r>
        <w:rPr>
          <w:kern w:val="0"/>
        </w:rPr>
        <w:t xml:space="preserve"> Royal Diary describes a gradual onset</w:t>
      </w:r>
      <w:r w:rsidR="00427468">
        <w:rPr>
          <w:kern w:val="0"/>
        </w:rPr>
        <w:t xml:space="preserve"> of </w:t>
      </w:r>
      <w:r>
        <w:rPr>
          <w:kern w:val="0"/>
        </w:rPr>
        <w:t>fever, with a progressive inability to walk, leading to Alexander</w:t>
      </w:r>
      <w:r w:rsidR="0071223E">
        <w:rPr>
          <w:kern w:val="0"/>
        </w:rPr>
        <w:t>’</w:t>
      </w:r>
      <w:r>
        <w:rPr>
          <w:kern w:val="0"/>
        </w:rPr>
        <w:t>s death, without offering a cause</w:t>
      </w:r>
      <w:r w:rsidR="00427468">
        <w:rPr>
          <w:kern w:val="0"/>
        </w:rPr>
        <w:t xml:space="preserve"> of </w:t>
      </w:r>
      <w:r>
        <w:rPr>
          <w:kern w:val="0"/>
        </w:rPr>
        <w:t>his demise. in contrast, the Romance implies that members</w:t>
      </w:r>
      <w:r w:rsidR="00427468">
        <w:rPr>
          <w:kern w:val="0"/>
        </w:rPr>
        <w:t xml:space="preserve"> of </w:t>
      </w:r>
      <w:r>
        <w:rPr>
          <w:kern w:val="0"/>
        </w:rPr>
        <w:t>Alexander</w:t>
      </w:r>
      <w:r w:rsidR="0071223E">
        <w:rPr>
          <w:kern w:val="0"/>
        </w:rPr>
        <w:t>’</w:t>
      </w:r>
      <w:r>
        <w:rPr>
          <w:kern w:val="0"/>
        </w:rPr>
        <w:t>s inner circle conspired to poison him</w:t>
      </w:r>
      <w:r w:rsidR="00A37C1D">
        <w:rPr>
          <w:kern w:val="0"/>
        </w:rPr>
        <w:t>. The</w:t>
      </w:r>
      <w:r>
        <w:rPr>
          <w:kern w:val="0"/>
        </w:rPr>
        <w:t xml:space="preserve"> various medical hypotheses include cumulative debilitation from his previous wounds, the complications</w:t>
      </w:r>
      <w:r w:rsidR="00427468">
        <w:rPr>
          <w:kern w:val="0"/>
        </w:rPr>
        <w:t xml:space="preserve"> of </w:t>
      </w:r>
      <w:r>
        <w:rPr>
          <w:kern w:val="0"/>
        </w:rPr>
        <w:t>alcohol imbibing (resulting in alcohol hepatitis, acute pancreatitis, or perforated peptic ulcer), grief, a congenital abnormality,</w:t>
      </w:r>
      <w:r w:rsidR="005853A9">
        <w:rPr>
          <w:kern w:val="0"/>
        </w:rPr>
        <w:t xml:space="preserve"> and </w:t>
      </w:r>
      <w:r>
        <w:rPr>
          <w:kern w:val="0"/>
        </w:rPr>
        <w:t>an unhealthy environment in Babylon possibly exacerbated by malaria, typhoid fever, or some other parasitic or viral illness. Was it poisoning?</w:t>
      </w:r>
      <w:r w:rsidR="00427468">
        <w:rPr>
          <w:kern w:val="0"/>
        </w:rPr>
        <w:t xml:space="preserve"> of </w:t>
      </w:r>
      <w:r>
        <w:rPr>
          <w:kern w:val="0"/>
        </w:rPr>
        <w:t>all the chemical</w:t>
      </w:r>
      <w:r w:rsidR="005853A9">
        <w:rPr>
          <w:kern w:val="0"/>
        </w:rPr>
        <w:t xml:space="preserve"> and </w:t>
      </w:r>
      <w:r>
        <w:rPr>
          <w:kern w:val="0"/>
        </w:rPr>
        <w:t>botanical poisons reviewed, we believe the alkaloids present in the various Veratrum species, notably Veratrum album, were capable</w:t>
      </w:r>
      <w:r w:rsidR="00427468">
        <w:rPr>
          <w:kern w:val="0"/>
        </w:rPr>
        <w:t xml:space="preserve"> of </w:t>
      </w:r>
      <w:r>
        <w:rPr>
          <w:kern w:val="0"/>
        </w:rPr>
        <w:t>killing Alexander with comparable symptoms to those Alexander reportedly experienced over the 12 days</w:t>
      </w:r>
      <w:r w:rsidR="00427468">
        <w:rPr>
          <w:kern w:val="0"/>
        </w:rPr>
        <w:t xml:space="preserve"> of </w:t>
      </w:r>
      <w:r>
        <w:rPr>
          <w:kern w:val="0"/>
        </w:rPr>
        <w:t>his illness. Veratrum poisoning is heralded by the sudden onset</w:t>
      </w:r>
      <w:r w:rsidR="00427468">
        <w:rPr>
          <w:kern w:val="0"/>
        </w:rPr>
        <w:t xml:space="preserve"> of </w:t>
      </w:r>
      <w:r>
        <w:rPr>
          <w:kern w:val="0"/>
        </w:rPr>
        <w:t>epigastric</w:t>
      </w:r>
      <w:r w:rsidR="005853A9">
        <w:rPr>
          <w:kern w:val="0"/>
        </w:rPr>
        <w:t xml:space="preserve"> and </w:t>
      </w:r>
      <w:r>
        <w:rPr>
          <w:kern w:val="0"/>
        </w:rPr>
        <w:t>substernal pain, which may also be accompanied by nausea</w:t>
      </w:r>
      <w:r w:rsidR="005853A9">
        <w:rPr>
          <w:kern w:val="0"/>
        </w:rPr>
        <w:t xml:space="preserve"> and </w:t>
      </w:r>
      <w:r>
        <w:rPr>
          <w:kern w:val="0"/>
        </w:rPr>
        <w:t>vomiting, followed by bradycardia</w:t>
      </w:r>
      <w:r w:rsidR="005853A9">
        <w:rPr>
          <w:kern w:val="0"/>
        </w:rPr>
        <w:t xml:space="preserve"> and </w:t>
      </w:r>
      <w:r>
        <w:rPr>
          <w:kern w:val="0"/>
        </w:rPr>
        <w:t>hypotension with severe muscular weakness. Alexander suffered similar features for the duration</w:t>
      </w:r>
      <w:r w:rsidR="00427468">
        <w:rPr>
          <w:kern w:val="0"/>
        </w:rPr>
        <w:t xml:space="preserve"> of </w:t>
      </w:r>
      <w:r>
        <w:rPr>
          <w:kern w:val="0"/>
        </w:rPr>
        <w:t>his illness. Conclusion. If Alexander the Great was poisoned, Veratrum album offers a more plausible cause than arsenic, strychnine,</w:t>
      </w:r>
      <w:r w:rsidR="005853A9">
        <w:rPr>
          <w:kern w:val="0"/>
        </w:rPr>
        <w:t xml:space="preserve"> and </w:t>
      </w:r>
      <w:r>
        <w:rPr>
          <w:kern w:val="0"/>
        </w:rPr>
        <w:t>other botanical poisons.</w:t>
      </w:r>
    </w:p>
    <w:p w:rsidR="00533624" w:rsidRDefault="00533624" w:rsidP="00533624">
      <w:pPr>
        <w:pStyle w:val="a3"/>
        <w:rPr>
          <w:kern w:val="0"/>
        </w:rPr>
      </w:pPr>
      <w:r>
        <w:rPr>
          <w:kern w:val="0"/>
        </w:rPr>
        <w:t xml:space="preserve">Keywords: Acute Pancreatitis, Acute-Pancreatitis, Alcohol, Alexander The Great, Arsenic, Bibliographies, Chemical, Citations, Complications, Congenital, </w:t>
      </w:r>
      <w:r>
        <w:rPr>
          <w:kern w:val="0"/>
        </w:rPr>
        <w:lastRenderedPageBreak/>
        <w:t>Cumulative, Databases, Death, Duration, Environment, Fever, First, Hepatitis, Hypotension, ISI, ISI Web</w:t>
      </w:r>
      <w:r w:rsidR="00427468">
        <w:rPr>
          <w:kern w:val="0"/>
        </w:rPr>
        <w:t xml:space="preserve"> of </w:t>
      </w:r>
      <w:r>
        <w:rPr>
          <w:kern w:val="0"/>
        </w:rPr>
        <w:t>Science, Literature, Malaria, Medical, Medline, Methods, Mysterious Death, Natural, Nausea, Nausea</w:t>
      </w:r>
      <w:r w:rsidR="005853A9">
        <w:rPr>
          <w:kern w:val="0"/>
        </w:rPr>
        <w:t xml:space="preserve"> and </w:t>
      </w:r>
      <w:r>
        <w:rPr>
          <w:kern w:val="0"/>
        </w:rPr>
        <w:t>Vomiting, Neurological Manifestations, Onset, Pain, Pancreatitis, Poisoning, Porphyrias, Science, Species, Symptoms, Veratrum Album, Viral, Vomiting, Web</w:t>
      </w:r>
      <w:r w:rsidR="00427468">
        <w:rPr>
          <w:kern w:val="0"/>
        </w:rPr>
        <w:t xml:space="preserve"> of </w:t>
      </w:r>
      <w:r>
        <w:rPr>
          <w:kern w:val="0"/>
        </w:rPr>
        <w:t>Science, White Hellebore</w:t>
      </w:r>
    </w:p>
    <w:p w:rsidR="0096099C" w:rsidRDefault="0096099C" w:rsidP="0096099C">
      <w:pPr>
        <w:pStyle w:val="a3"/>
        <w:rPr>
          <w:kern w:val="0"/>
        </w:rPr>
      </w:pPr>
      <w:r>
        <w:rPr>
          <w:rFonts w:hint="eastAsia"/>
          <w:kern w:val="0"/>
        </w:rPr>
        <w:t xml:space="preserve">? </w:t>
      </w:r>
      <w:r>
        <w:rPr>
          <w:kern w:val="0"/>
        </w:rPr>
        <w:t xml:space="preserve">Paustenbach, D.J., Galbraith, D.A. and Finley, B.L. (2014), Interpreting cobalt blood concentrations in hip implant patients. </w:t>
      </w:r>
      <w:r>
        <w:rPr>
          <w:i/>
          <w:iCs/>
          <w:kern w:val="0"/>
        </w:rPr>
        <w:t>Clinical Toxicology</w:t>
      </w:r>
      <w:r>
        <w:rPr>
          <w:kern w:val="0"/>
        </w:rPr>
        <w:t xml:space="preserve">, </w:t>
      </w:r>
      <w:r>
        <w:rPr>
          <w:b/>
          <w:bCs/>
          <w:kern w:val="0"/>
        </w:rPr>
        <w:t>52</w:t>
      </w:r>
      <w:r>
        <w:rPr>
          <w:kern w:val="0"/>
        </w:rPr>
        <w:t xml:space="preserve"> (2), 98-112.</w:t>
      </w:r>
    </w:p>
    <w:p w:rsidR="0096099C" w:rsidRDefault="0096099C" w:rsidP="0096099C">
      <w:pPr>
        <w:pStyle w:val="a3"/>
        <w:rPr>
          <w:kern w:val="0"/>
        </w:rPr>
      </w:pPr>
      <w:r>
        <w:rPr>
          <w:rFonts w:hint="eastAsia"/>
          <w:kern w:val="0"/>
        </w:rPr>
        <w:t xml:space="preserve">Full Text: </w:t>
      </w:r>
      <w:hyperlink r:id="rId464" w:history="1">
        <w:r w:rsidRPr="00A13F78">
          <w:rPr>
            <w:rStyle w:val="a5"/>
            <w:kern w:val="0"/>
          </w:rPr>
          <w:t>2014\Cli Tox52, 98.pdf</w:t>
        </w:r>
      </w:hyperlink>
    </w:p>
    <w:p w:rsidR="0096099C" w:rsidRDefault="0096099C" w:rsidP="0096099C">
      <w:pPr>
        <w:pStyle w:val="a3"/>
        <w:rPr>
          <w:kern w:val="0"/>
        </w:rPr>
      </w:pPr>
      <w:r>
        <w:rPr>
          <w:kern w:val="0"/>
        </w:rPr>
        <w:t>Abstract: Introduction</w:t>
      </w:r>
      <w:r w:rsidR="00A37C1D">
        <w:rPr>
          <w:kern w:val="0"/>
        </w:rPr>
        <w:t>. The</w:t>
      </w:r>
      <w:r>
        <w:rPr>
          <w:kern w:val="0"/>
        </w:rPr>
        <w:t>re has been some recent concern regarding possible systemic health effects resulting from elevated blood cobalt concentrations in patients with cobalt containing hip implants. To date there are no blood cobalt criteria to help guide physicians when evaluating an individual hip implant patient</w:t>
      </w:r>
      <w:r w:rsidR="0071223E">
        <w:rPr>
          <w:kern w:val="0"/>
        </w:rPr>
        <w:t>’</w:t>
      </w:r>
      <w:r>
        <w:rPr>
          <w:kern w:val="0"/>
        </w:rPr>
        <w:t>s risk</w:t>
      </w:r>
      <w:r w:rsidR="00427468">
        <w:rPr>
          <w:kern w:val="0"/>
        </w:rPr>
        <w:t xml:space="preserve"> of </w:t>
      </w:r>
      <w:r>
        <w:rPr>
          <w:kern w:val="0"/>
        </w:rPr>
        <w:t>developing systemic health effects because historically there was little or no concern about systemic cobalt toxicity in implant patients. Objective. Our purpose is to describe recently completed research regarding the relationship between blood cobalt concentrations and clinical health effects. We discuss the possibility</w:t>
      </w:r>
      <w:r w:rsidR="00427468">
        <w:rPr>
          <w:kern w:val="0"/>
        </w:rPr>
        <w:t xml:space="preserve"> of </w:t>
      </w:r>
      <w:r>
        <w:rPr>
          <w:kern w:val="0"/>
        </w:rPr>
        <w:t>systemic health effects in patients with metal containing implants and propose various blood cobalt concentrations that are not associated with an increased risk</w:t>
      </w:r>
      <w:r w:rsidR="00427468">
        <w:rPr>
          <w:kern w:val="0"/>
        </w:rPr>
        <w:t xml:space="preserve"> of </w:t>
      </w:r>
      <w:r>
        <w:rPr>
          <w:kern w:val="0"/>
        </w:rPr>
        <w:t>developing certain adverse effects. Methodology</w:t>
      </w:r>
      <w:r w:rsidR="00A37C1D">
        <w:rPr>
          <w:kern w:val="0"/>
        </w:rPr>
        <w:t>. The</w:t>
      </w:r>
      <w:r>
        <w:rPr>
          <w:kern w:val="0"/>
        </w:rPr>
        <w:t xml:space="preserve"> primary literature search was conducted using PubMed and Web</w:t>
      </w:r>
      <w:r w:rsidR="00427468">
        <w:rPr>
          <w:kern w:val="0"/>
        </w:rPr>
        <w:t xml:space="preserve"> of </w:t>
      </w:r>
      <w:r>
        <w:rPr>
          <w:kern w:val="0"/>
        </w:rPr>
        <w:t>Science using the following search terms: cobalt AND (toxicity OR health effects OR cardiotoxicity OR hematological OR endocrine OR immunological OR reproductive OR testicular effects OR neurological OR case report OR cohort OR Roncovite)</w:t>
      </w:r>
      <w:r w:rsidR="00A37C1D">
        <w:rPr>
          <w:kern w:val="0"/>
        </w:rPr>
        <w:t>. The</w:t>
      </w:r>
      <w:r>
        <w:rPr>
          <w:kern w:val="0"/>
        </w:rPr>
        <w:t xml:space="preserve"> searches identified 6786 papers</w:t>
      </w:r>
      <w:r w:rsidR="00427468">
        <w:rPr>
          <w:kern w:val="0"/>
        </w:rPr>
        <w:t xml:space="preserve"> of </w:t>
      </w:r>
      <w:r>
        <w:rPr>
          <w:kern w:val="0"/>
        </w:rPr>
        <w:t>which 122 were considered relevant</w:t>
      </w:r>
      <w:r w:rsidR="00A37C1D">
        <w:rPr>
          <w:kern w:val="0"/>
        </w:rPr>
        <w:t>. The</w:t>
      </w:r>
      <w:r>
        <w:rPr>
          <w:kern w:val="0"/>
        </w:rPr>
        <w:t xml:space="preserve"> Agency for Toxic Substances and Disease Registry toxicological profile for cobalt and the U. S. Environmental Protection Agency Office</w:t>
      </w:r>
      <w:r w:rsidR="00427468">
        <w:rPr>
          <w:kern w:val="0"/>
        </w:rPr>
        <w:t xml:space="preserve"> of </w:t>
      </w:r>
      <w:r>
        <w:rPr>
          <w:kern w:val="0"/>
        </w:rPr>
        <w:t>Research and Development</w:t>
      </w:r>
      <w:r w:rsidR="0071223E">
        <w:rPr>
          <w:kern w:val="0"/>
        </w:rPr>
        <w:t>’</w:t>
      </w:r>
      <w:r>
        <w:rPr>
          <w:kern w:val="0"/>
        </w:rPr>
        <w:t>s National Center for Environmental Assessment</w:t>
      </w:r>
      <w:r w:rsidR="0071223E">
        <w:rPr>
          <w:kern w:val="0"/>
        </w:rPr>
        <w:t>’</w:t>
      </w:r>
      <w:r>
        <w:rPr>
          <w:kern w:val="0"/>
        </w:rPr>
        <w:t>s documentation on the provisional peer-reviewed toxicity value for cobalt were also utilized to identify secondary literature sources. Results. Our review</w:t>
      </w:r>
      <w:r w:rsidR="00427468">
        <w:rPr>
          <w:kern w:val="0"/>
        </w:rPr>
        <w:t xml:space="preserve"> of </w:t>
      </w:r>
      <w:r>
        <w:rPr>
          <w:kern w:val="0"/>
        </w:rPr>
        <w:t>the toxicology and medical literature indicates that highly elevated blood cobalt concentrations can result in certain endocrine, hematological, cardiovascular, and neurological effects in animals and/or humans</w:t>
      </w:r>
      <w:r w:rsidR="00A37C1D">
        <w:rPr>
          <w:kern w:val="0"/>
        </w:rPr>
        <w:t>. The</w:t>
      </w:r>
      <w:r>
        <w:rPr>
          <w:kern w:val="0"/>
        </w:rPr>
        <w:t>se studies, in addition to historical clinical findings involving the therapeutic use</w:t>
      </w:r>
      <w:r w:rsidR="00427468">
        <w:rPr>
          <w:kern w:val="0"/>
        </w:rPr>
        <w:t xml:space="preserve"> of </w:t>
      </w:r>
      <w:r>
        <w:rPr>
          <w:kern w:val="0"/>
        </w:rPr>
        <w:t>cobalt, indicate that significant systemic effects</w:t>
      </w:r>
      <w:r w:rsidR="00427468">
        <w:rPr>
          <w:kern w:val="0"/>
        </w:rPr>
        <w:t xml:space="preserve"> of </w:t>
      </w:r>
      <w:r>
        <w:rPr>
          <w:kern w:val="0"/>
        </w:rPr>
        <w:t>cobalt will not occur below blood cobalt concentrations</w:t>
      </w:r>
      <w:r w:rsidR="00427468">
        <w:rPr>
          <w:kern w:val="0"/>
        </w:rPr>
        <w:t xml:space="preserve"> of </w:t>
      </w:r>
      <w:r>
        <w:rPr>
          <w:kern w:val="0"/>
        </w:rPr>
        <w:t>300 mu g/L in most persons. Some individuals with specific risk factors for increased susceptibility (e. g., severe and sustained hypoalbuminemia) may exhibit systemic effects at lower cobalt blood concentrations. This review also describes several cobalt dosing studies performed with human volunteers that consumed cobalt for 15, 30, or 90 days. Overall, the results</w:t>
      </w:r>
      <w:r w:rsidR="00427468">
        <w:rPr>
          <w:kern w:val="0"/>
        </w:rPr>
        <w:t xml:space="preserve"> of </w:t>
      </w:r>
      <w:r>
        <w:rPr>
          <w:kern w:val="0"/>
        </w:rPr>
        <w:t xml:space="preserve">these dosing studies indicate that sustained blood cobalt concentrations averaging 10-70 mu g/L for up to 90 days cause no </w:t>
      </w:r>
      <w:r>
        <w:rPr>
          <w:kern w:val="0"/>
        </w:rPr>
        <w:lastRenderedPageBreak/>
        <w:t>significant clinical effects (maximum concentrations approached 120 mu g/L). Some proposed blood criteria for assessing implant wear and local tissue damage have been suggested by several medical groups. For example, the UK Medicines and Healthcare Products Regulatory Agency has proposed a blood cobalt guidance value</w:t>
      </w:r>
      <w:r w:rsidR="00427468">
        <w:rPr>
          <w:kern w:val="0"/>
        </w:rPr>
        <w:t xml:space="preserve"> of </w:t>
      </w:r>
      <w:r>
        <w:rPr>
          <w:kern w:val="0"/>
        </w:rPr>
        <w:t>7 mu g/L, and the Mayo Clinic has suggested serum cobalt concentrations greater than 10 mu g/L, but both</w:t>
      </w:r>
      <w:r w:rsidR="00427468">
        <w:rPr>
          <w:kern w:val="0"/>
        </w:rPr>
        <w:t xml:space="preserve"> of </w:t>
      </w:r>
      <w:r>
        <w:rPr>
          <w:kern w:val="0"/>
        </w:rPr>
        <w:t>these values are primarily intended to address implant wear and to alert physicians to the possibility</w:t>
      </w:r>
      <w:r w:rsidR="00427468">
        <w:rPr>
          <w:kern w:val="0"/>
        </w:rPr>
        <w:t xml:space="preserve"> of </w:t>
      </w:r>
      <w:r>
        <w:rPr>
          <w:kern w:val="0"/>
        </w:rPr>
        <w:t>an increased incidence</w:t>
      </w:r>
      <w:r w:rsidR="00427468">
        <w:rPr>
          <w:kern w:val="0"/>
        </w:rPr>
        <w:t xml:space="preserve"> of </w:t>
      </w:r>
      <w:r>
        <w:rPr>
          <w:kern w:val="0"/>
        </w:rPr>
        <w:t>local effects</w:t>
      </w:r>
      <w:r w:rsidR="00A37C1D">
        <w:rPr>
          <w:kern w:val="0"/>
        </w:rPr>
        <w:t>. The</w:t>
      </w:r>
      <w:r>
        <w:rPr>
          <w:kern w:val="0"/>
        </w:rPr>
        <w:t>re is a clear lack</w:t>
      </w:r>
      <w:r w:rsidR="00427468">
        <w:rPr>
          <w:kern w:val="0"/>
        </w:rPr>
        <w:t xml:space="preserve"> of </w:t>
      </w:r>
      <w:r>
        <w:rPr>
          <w:kern w:val="0"/>
        </w:rPr>
        <w:t>consensus regarding how to identify a specific numerical blood concentration</w:t>
      </w:r>
      <w:r w:rsidR="00427468">
        <w:rPr>
          <w:kern w:val="0"/>
        </w:rPr>
        <w:t xml:space="preserve"> of </w:t>
      </w:r>
      <w:r>
        <w:rPr>
          <w:kern w:val="0"/>
        </w:rPr>
        <w:t>concern and whether whole blood or serum is a better matrix to assess total cobalt concentration. Conclusions. Based on currently available data, only under very unusual circumstances should a clinician expect that biologically important systemic adverse effects might occur in implant patients with blood cobalt concentrations less than 300 mu g/L. Patients with metal-containing hip implants who exhibit signs or symptoms potentially related to polycythemia, hypothyroidism, neurological, or cardiac dysfunction should be clinically evaluated for these conditions. Polycythemia appears to be the most sensitive endpoint.</w:t>
      </w:r>
    </w:p>
    <w:p w:rsidR="0096099C" w:rsidRDefault="0096099C" w:rsidP="0096099C">
      <w:pPr>
        <w:pStyle w:val="a3"/>
        <w:rPr>
          <w:kern w:val="0"/>
        </w:rPr>
      </w:pPr>
      <w:r>
        <w:rPr>
          <w:kern w:val="0"/>
        </w:rPr>
        <w:t>Keywords: Adverse Effects, Agency, Animals, Arthroplasty, Arthroprosthetic Cobaltism, Assessing, Averaging, Blood, Cancer-Risk, Cardiotoxicity, Cardiovascular, Case Report, Chromium, Clinical, Clinical Findings, Clinician, Cobalt, Cohort, Concentration, Consensus, Criteria, Damage, Data, Developing, Disease, DNA-Damage, Documentation, Effects, Environmental, Groups, Guidance, Health, Hip Implant, Human, Human Serum, Humans, In-Vitro, Incidence, Literature, Literature Search, Local, Long-Term, Matrix, Medical, Medical Literature, Metal, Metal On Metal, Metal-Ion Levels, Methodology, Neurological, Papers, Patients, Peer-Reviewed, Physicians, Polycythemia, Primary, Pubmed, Purpose, Recent, Replacement Patients, Research, Results, Review, Risk, Risk Factors, Science, Serum, Single-Cell Gel, Sources, Symptoms, Systemic Toxicity, Therapeutic, Toxicity, Toxicology, U, UK, Value, Wear Particles, Web</w:t>
      </w:r>
      <w:r w:rsidR="00427468">
        <w:rPr>
          <w:kern w:val="0"/>
        </w:rPr>
        <w:t xml:space="preserve"> of </w:t>
      </w:r>
      <w:r>
        <w:rPr>
          <w:kern w:val="0"/>
        </w:rPr>
        <w:t>Science</w:t>
      </w:r>
    </w:p>
    <w:p w:rsidR="00D209C8" w:rsidRDefault="00D209C8" w:rsidP="00D209C8">
      <w:pPr>
        <w:pStyle w:val="a3"/>
        <w:rPr>
          <w:kern w:val="0"/>
          <w:szCs w:val="24"/>
        </w:rPr>
      </w:pPr>
      <w:r>
        <w:rPr>
          <w:rFonts w:hint="eastAsia"/>
          <w:kern w:val="0"/>
          <w:szCs w:val="24"/>
        </w:rPr>
        <w:t xml:space="preserve">? </w:t>
      </w:r>
      <w:r>
        <w:rPr>
          <w:kern w:val="0"/>
          <w:szCs w:val="24"/>
        </w:rPr>
        <w:t xml:space="preserve">Slaughter, R.J., Mason, R.W., Beasley, D.M.G., Vale, J.A. and Schep, L.J. (2014), Isopropanol poisoning. </w:t>
      </w:r>
      <w:r>
        <w:rPr>
          <w:i/>
          <w:iCs/>
          <w:kern w:val="0"/>
          <w:szCs w:val="24"/>
        </w:rPr>
        <w:t>Clinical Toxicology</w:t>
      </w:r>
      <w:r>
        <w:rPr>
          <w:kern w:val="0"/>
          <w:szCs w:val="24"/>
        </w:rPr>
        <w:t xml:space="preserve">, </w:t>
      </w:r>
      <w:r>
        <w:rPr>
          <w:b/>
          <w:bCs/>
          <w:kern w:val="0"/>
          <w:szCs w:val="24"/>
        </w:rPr>
        <w:t>52</w:t>
      </w:r>
      <w:r>
        <w:rPr>
          <w:kern w:val="0"/>
          <w:szCs w:val="24"/>
        </w:rPr>
        <w:t xml:space="preserve"> (5), 470-478.</w:t>
      </w:r>
    </w:p>
    <w:p w:rsidR="00D209C8" w:rsidRDefault="00D209C8" w:rsidP="00D209C8">
      <w:pPr>
        <w:pStyle w:val="a3"/>
        <w:rPr>
          <w:kern w:val="0"/>
        </w:rPr>
      </w:pPr>
      <w:r>
        <w:rPr>
          <w:rFonts w:hint="eastAsia"/>
          <w:kern w:val="0"/>
        </w:rPr>
        <w:t xml:space="preserve">Full Text: </w:t>
      </w:r>
      <w:hyperlink r:id="rId465" w:history="1">
        <w:r w:rsidRPr="00313A07">
          <w:rPr>
            <w:rStyle w:val="a5"/>
            <w:kern w:val="0"/>
          </w:rPr>
          <w:t>2014\Cli Tox52, 470.pdf</w:t>
        </w:r>
      </w:hyperlink>
    </w:p>
    <w:p w:rsidR="00D209C8" w:rsidRDefault="00D209C8" w:rsidP="00D209C8">
      <w:pPr>
        <w:pStyle w:val="a3"/>
        <w:rPr>
          <w:kern w:val="0"/>
          <w:szCs w:val="24"/>
        </w:rPr>
      </w:pPr>
      <w:r>
        <w:rPr>
          <w:kern w:val="0"/>
          <w:szCs w:val="24"/>
        </w:rPr>
        <w:t>Abstract: Introduction. Isopropanol is a clear, colorless liquid with a fruity odor and a mild bitter taste. Most commonly found domestically as rubbing alcohol, isopropanol is also found in numerous household and commercial products including cleaners, disinfectants, antifreezes, cosmetics, solvents, inks, and pharmaceuticals. Aim</w:t>
      </w:r>
      <w:r w:rsidR="00A37C1D">
        <w:rPr>
          <w:kern w:val="0"/>
          <w:szCs w:val="24"/>
        </w:rPr>
        <w:t>. The</w:t>
      </w:r>
      <w:r>
        <w:rPr>
          <w:kern w:val="0"/>
          <w:szCs w:val="24"/>
        </w:rPr>
        <w:t xml:space="preserve"> aim of this review is to critically review the epidemiology, toxicokinetics, mechanisms of toxicity, clinical features, diagnosis, and management of isopropanol poisoning. Methods. OVID MEDLINE and ISI Web of Science were searched to November 2013 using the words “isopropanol”, “isopropyl alcohol”, “2-propanol”, </w:t>
      </w:r>
      <w:r>
        <w:rPr>
          <w:kern w:val="0"/>
          <w:szCs w:val="24"/>
        </w:rPr>
        <w:lastRenderedPageBreak/>
        <w:t>“propan-2-ol”, and “rubbing alcohol” combined with the keywords “poisoning”, “poison”, “toxicity”, “ingestion”, “adverse effects”, “overdose”, or “intoxication”</w:t>
      </w:r>
      <w:r w:rsidR="00A37C1D">
        <w:rPr>
          <w:kern w:val="0"/>
          <w:szCs w:val="24"/>
        </w:rPr>
        <w:t>. The</w:t>
      </w:r>
      <w:r>
        <w:rPr>
          <w:kern w:val="0"/>
          <w:szCs w:val="24"/>
        </w:rPr>
        <w:t>se searches identified 232 citations, which were then screened via their abstract to identify relevant articles referring specifically to the epidemiology, toxicokinetics, mechanisms of toxicity, clinical features, diagnosis, and management of isopropanol poisoning; 102 were relevant. Further information was obtained from book chapters, relevant news reports, and internet resources</w:t>
      </w:r>
      <w:r w:rsidR="00A37C1D">
        <w:rPr>
          <w:kern w:val="0"/>
          <w:szCs w:val="24"/>
        </w:rPr>
        <w:t>. The</w:t>
      </w:r>
      <w:r>
        <w:rPr>
          <w:kern w:val="0"/>
          <w:szCs w:val="24"/>
        </w:rPr>
        <w:t>se additional searches produced eight non-duplicate relevant citations. Epidemiology</w:t>
      </w:r>
      <w:r w:rsidR="00A37C1D">
        <w:rPr>
          <w:kern w:val="0"/>
          <w:szCs w:val="24"/>
        </w:rPr>
        <w:t>. The</w:t>
      </w:r>
      <w:r>
        <w:rPr>
          <w:kern w:val="0"/>
          <w:szCs w:val="24"/>
        </w:rPr>
        <w:t xml:space="preserve"> majority of isopropanol exposures are unintentional and occur in children less than 6 years of age. Although isopropanol poisoning appears to be a reasonably common occurrence, deaths are rare. Toxicokinetics. Isopropanol is rapidly absorbed following ingestion with peak plasma concentrations occurring within 30 min. It can also be absorbed following inhalation or dermal exposure. Isopropanol is widely distributed with a volume of distribution of 0.45-0.55 L/kg. Isopropanol is metabolized by alcohol dehydrogenase to acetone, acetol and methylglyoxal, propylene glycol, acetate, and formate with conversion of these metabolites to glucose and other products of intermediary metabolism</w:t>
      </w:r>
      <w:r w:rsidR="00A37C1D">
        <w:rPr>
          <w:kern w:val="0"/>
          <w:szCs w:val="24"/>
        </w:rPr>
        <w:t>. The</w:t>
      </w:r>
      <w:r>
        <w:rPr>
          <w:kern w:val="0"/>
          <w:szCs w:val="24"/>
        </w:rPr>
        <w:t xml:space="preserve"> elimination of isopropanol is predominantly renal, though some pulmonary excretion of isopropanol and acetone occurs. In one case 20% of the absorbed dose was eliminated unchanged in urine, with the remainder excreted as acetone and metabolites of acetone</w:t>
      </w:r>
      <w:r w:rsidR="00A37C1D">
        <w:rPr>
          <w:kern w:val="0"/>
          <w:szCs w:val="24"/>
        </w:rPr>
        <w:t>. The</w:t>
      </w:r>
      <w:r>
        <w:rPr>
          <w:kern w:val="0"/>
          <w:szCs w:val="24"/>
        </w:rPr>
        <w:t xml:space="preserve"> elimination half-life of isopropanol is between 2.5 and 8.0 h, whereas elimination of acetone is slower with a half-life following isopropanol ingestion of between 7.7 and 27 h. Mechanisms of toxicity. While the exact mechanism of action of isopropanol has not been fully elucidated, brain stem depression is thought to be the predominant mechanism. While the clinical effects are thought to be mostly due to isopropanol, acetone may also contribute. Clinical features</w:t>
      </w:r>
      <w:r w:rsidR="00A37C1D">
        <w:rPr>
          <w:kern w:val="0"/>
          <w:szCs w:val="24"/>
        </w:rPr>
        <w:t>. The</w:t>
      </w:r>
      <w:r>
        <w:rPr>
          <w:kern w:val="0"/>
          <w:szCs w:val="24"/>
        </w:rPr>
        <w:t xml:space="preserve"> major features of severe poisoning are due to CNS and respiratory depression, shock, and circulatory collapse</w:t>
      </w:r>
      <w:r w:rsidR="00A37C1D">
        <w:rPr>
          <w:kern w:val="0"/>
          <w:szCs w:val="24"/>
        </w:rPr>
        <w:t>. The</w:t>
      </w:r>
      <w:r>
        <w:rPr>
          <w:kern w:val="0"/>
          <w:szCs w:val="24"/>
        </w:rPr>
        <w:t xml:space="preserve"> most common metabolic effects are an increased osmol (osmolal) gap, ketonemia, and ketonuria. Diagnosis. Poisoning can be diagnosed using the measurement of isopropanol serum concentrations, though these may not be readily available. Diagnosis is therefore more typically made on the basis of the patient</w:t>
      </w:r>
      <w:r w:rsidR="0071223E">
        <w:rPr>
          <w:kern w:val="0"/>
          <w:szCs w:val="24"/>
        </w:rPr>
        <w:t>’</w:t>
      </w:r>
      <w:r>
        <w:rPr>
          <w:kern w:val="0"/>
          <w:szCs w:val="24"/>
        </w:rPr>
        <w:t xml:space="preserve"> s history and clinical presentation. An osmol gap, ketonemia, and/or ketonuria without metabolic acidosis, along with a fruity or sweet odor on the breath and CNS depression support the diagnosis. Management. Supportive care is the mainstay of management with primary emphasis on respiratory and cardiovascular support. Hemodialysis enhances elimination of isopropanol and acetone and should be considered in very severe poisoning. Conclusions. Severe isopropanol poisoning results in CNS and respiratory depression and circulatory collapse. Treatment primarily consists of symptom-directed supportive care. Although hemodialysis increases the elimination of isopropanol and </w:t>
      </w:r>
      <w:r>
        <w:rPr>
          <w:kern w:val="0"/>
          <w:szCs w:val="24"/>
        </w:rPr>
        <w:lastRenderedPageBreak/>
        <w:t>acetone substantially, it should only be considered in severe life-threatening poisonings. Patients usually make a full recovery provided they receive prompt supportive care.</w:t>
      </w:r>
    </w:p>
    <w:p w:rsidR="00D209C8" w:rsidRDefault="00D209C8" w:rsidP="00D209C8">
      <w:pPr>
        <w:pStyle w:val="a3"/>
        <w:rPr>
          <w:kern w:val="0"/>
          <w:szCs w:val="24"/>
        </w:rPr>
      </w:pPr>
      <w:r>
        <w:rPr>
          <w:kern w:val="0"/>
          <w:szCs w:val="24"/>
        </w:rPr>
        <w:t>Keywords: 2-Propanol, Acetate, Acetone, Acidosis, Age, Alcohol, Alcohol Dehydrogenase, Alcohol Intoxication, American Association, Articles, Brain, Brain Stem, Cardiovascular, Care, Children, Citations, Clinical, Clinical Features, Cns, Cns Depression, Coma, Conversion, Cosmetics, Depression, Dermal Absorption, Diagnosis, Disinfectants, Distributed, Distribution, Effects, Epidemiology, Exposure, Exposures, Glucose, Half-Life, Hemodialysis, History, Hypotension, Information, Ingestion, Inhalation, IPA, ISI, ISI Web Of Science, Isopropanol, Isopropyl Alcohol, Liquid, Management, Measurement, Mechanism, Mechanism Of Action, Mechanisms, Medline, Metabolic Acidosis, Metabolism, Metabolites, Methods, Peritoneal-Dialysis, Pharmaceuticals, Pharmacokinetic Analysis, Plasma, Poisoning, Poisonings, Presentation, Primary, Propan-2-Ol, Propylene Glycol, Recovery, Renal, Renal-Failure, Resources, Respiratory Depression, Review, Rubbing Alcohol, Rubbing Alcohol, Science, Serum, Serum Concentrations, Serum Isopropanol, Shock, Support, Supportive Care, Toxicity, Toxicokinetics, Treatment, Urine, Volume, Web Of Science</w:t>
      </w:r>
    </w:p>
    <w:p w:rsidR="00270256" w:rsidRPr="00C73C58" w:rsidRDefault="00270256" w:rsidP="00270256">
      <w:pPr>
        <w:pStyle w:val="1"/>
      </w:pPr>
      <w:r w:rsidRPr="00C73C58">
        <w:br w:type="page"/>
      </w:r>
      <w:bookmarkStart w:id="320" w:name="_Toc420815051"/>
      <w:r w:rsidRPr="00C73C58">
        <w:lastRenderedPageBreak/>
        <w:t xml:space="preserve">Title: </w:t>
      </w:r>
      <w:r w:rsidRPr="002479CD">
        <w:rPr>
          <w:iCs w:val="0"/>
        </w:rPr>
        <w:t>CTS</w:t>
      </w:r>
      <w:r w:rsidRPr="002479CD">
        <w:t>-Clinical</w:t>
      </w:r>
      <w:r w:rsidR="005853A9">
        <w:t xml:space="preserve"> and </w:t>
      </w:r>
      <w:r w:rsidRPr="002479CD">
        <w:t>Translational Science</w:t>
      </w:r>
      <w:bookmarkEnd w:id="320"/>
    </w:p>
    <w:p w:rsidR="00270256" w:rsidRPr="001A3D2B" w:rsidRDefault="00270256" w:rsidP="00270256">
      <w:pPr>
        <w:pStyle w:val="12"/>
      </w:pPr>
      <w:r w:rsidRPr="001A3D2B">
        <w:t xml:space="preserve">Full Journal Title: </w:t>
      </w:r>
      <w:r w:rsidRPr="002479CD">
        <w:rPr>
          <w:iCs/>
          <w:kern w:val="0"/>
        </w:rPr>
        <w:t>CTS-Clinical</w:t>
      </w:r>
      <w:r w:rsidR="005853A9">
        <w:rPr>
          <w:iCs/>
          <w:kern w:val="0"/>
        </w:rPr>
        <w:t xml:space="preserve"> and </w:t>
      </w:r>
      <w:r w:rsidRPr="002479CD">
        <w:rPr>
          <w:iCs/>
          <w:kern w:val="0"/>
        </w:rPr>
        <w:t>Translational Science</w:t>
      </w:r>
    </w:p>
    <w:p w:rsidR="00270256" w:rsidRPr="00C73C58" w:rsidRDefault="00270256" w:rsidP="00270256">
      <w:pPr>
        <w:pStyle w:val="12"/>
      </w:pPr>
      <w:r w:rsidRPr="00C73C58">
        <w:t xml:space="preserve">ISO Abbreviated Title: </w:t>
      </w:r>
    </w:p>
    <w:p w:rsidR="00270256" w:rsidRPr="00C73C58" w:rsidRDefault="00270256" w:rsidP="00270256">
      <w:pPr>
        <w:pStyle w:val="12"/>
      </w:pPr>
      <w:r w:rsidRPr="00C73C58">
        <w:t xml:space="preserve">JCR Abbreviated Title: </w:t>
      </w:r>
    </w:p>
    <w:p w:rsidR="00270256" w:rsidRPr="00C73C58" w:rsidRDefault="00270256" w:rsidP="00270256">
      <w:pPr>
        <w:pStyle w:val="12"/>
      </w:pPr>
      <w:r w:rsidRPr="00C73C58">
        <w:t xml:space="preserve">ISSN: </w:t>
      </w:r>
    </w:p>
    <w:p w:rsidR="00270256" w:rsidRPr="00C73C58" w:rsidRDefault="00270256" w:rsidP="00270256">
      <w:pPr>
        <w:pStyle w:val="12"/>
      </w:pPr>
      <w:r w:rsidRPr="00C73C58">
        <w:t xml:space="preserve">Issues/Year: </w:t>
      </w:r>
    </w:p>
    <w:p w:rsidR="00270256" w:rsidRPr="00C73C58" w:rsidRDefault="00270256" w:rsidP="00270256">
      <w:pPr>
        <w:pStyle w:val="12"/>
      </w:pPr>
      <w:r w:rsidRPr="00C73C58">
        <w:t xml:space="preserve">Journal Country/Territory: </w:t>
      </w:r>
    </w:p>
    <w:p w:rsidR="00270256" w:rsidRPr="00C73C58" w:rsidRDefault="00270256" w:rsidP="00270256">
      <w:pPr>
        <w:pStyle w:val="12"/>
      </w:pPr>
      <w:r w:rsidRPr="00C73C58">
        <w:t xml:space="preserve">Language: </w:t>
      </w:r>
    </w:p>
    <w:p w:rsidR="00270256" w:rsidRPr="00C73C58" w:rsidRDefault="00270256" w:rsidP="00270256">
      <w:pPr>
        <w:pStyle w:val="12"/>
      </w:pPr>
      <w:r w:rsidRPr="00C73C58">
        <w:t xml:space="preserve">Publisher: </w:t>
      </w:r>
    </w:p>
    <w:p w:rsidR="00270256" w:rsidRPr="00C73C58" w:rsidRDefault="00270256" w:rsidP="00270256">
      <w:pPr>
        <w:pStyle w:val="12"/>
      </w:pPr>
      <w:r w:rsidRPr="00C73C58">
        <w:t xml:space="preserve">Publisher Address: </w:t>
      </w:r>
    </w:p>
    <w:p w:rsidR="00270256" w:rsidRPr="00C73C58" w:rsidRDefault="00270256" w:rsidP="00270256">
      <w:pPr>
        <w:pStyle w:val="12"/>
      </w:pPr>
      <w:r w:rsidRPr="00C73C58">
        <w:t xml:space="preserve">Subject Categories: </w:t>
      </w:r>
    </w:p>
    <w:p w:rsidR="00270256" w:rsidRPr="00C73C58" w:rsidRDefault="00270256" w:rsidP="00270256">
      <w:pPr>
        <w:pStyle w:val="12"/>
      </w:pPr>
      <w:r w:rsidRPr="00C73C58">
        <w:t xml:space="preserve">: Impact Factor </w:t>
      </w:r>
    </w:p>
    <w:p w:rsidR="00270256" w:rsidRDefault="00270256" w:rsidP="00270256">
      <w:pPr>
        <w:pStyle w:val="a3"/>
        <w:rPr>
          <w:kern w:val="0"/>
        </w:rPr>
      </w:pPr>
      <w:r>
        <w:rPr>
          <w:rFonts w:hint="eastAsia"/>
          <w:kern w:val="0"/>
        </w:rPr>
        <w:t xml:space="preserve">? </w:t>
      </w:r>
      <w:r>
        <w:rPr>
          <w:kern w:val="0"/>
        </w:rPr>
        <w:t>Zhang, Y., Wang, L.</w:t>
      </w:r>
      <w:r w:rsidR="005853A9">
        <w:rPr>
          <w:kern w:val="0"/>
        </w:rPr>
        <w:t xml:space="preserve"> and </w:t>
      </w:r>
      <w:r>
        <w:rPr>
          <w:kern w:val="0"/>
        </w:rPr>
        <w:t>Diao, T.X. (2013), The quantitative evaluation</w:t>
      </w:r>
      <w:r w:rsidR="00427468">
        <w:rPr>
          <w:kern w:val="0"/>
        </w:rPr>
        <w:t xml:space="preserve"> of </w:t>
      </w:r>
      <w:r>
        <w:rPr>
          <w:kern w:val="0"/>
        </w:rPr>
        <w:t>the clinical</w:t>
      </w:r>
      <w:r w:rsidR="005853A9">
        <w:rPr>
          <w:kern w:val="0"/>
        </w:rPr>
        <w:t xml:space="preserve"> and </w:t>
      </w:r>
      <w:r>
        <w:rPr>
          <w:kern w:val="0"/>
        </w:rPr>
        <w:t>translational science awards (CTSA) program based on science mapping</w:t>
      </w:r>
      <w:r w:rsidR="005853A9">
        <w:rPr>
          <w:kern w:val="0"/>
        </w:rPr>
        <w:t xml:space="preserve"> and </w:t>
      </w:r>
      <w:r>
        <w:rPr>
          <w:kern w:val="0"/>
        </w:rPr>
        <w:t xml:space="preserve">scientometric analysis. </w:t>
      </w:r>
      <w:r w:rsidRPr="002479CD">
        <w:rPr>
          <w:i/>
          <w:iCs/>
          <w:kern w:val="0"/>
        </w:rPr>
        <w:t>CTS-Clinical</w:t>
      </w:r>
      <w:r w:rsidR="005853A9">
        <w:rPr>
          <w:i/>
          <w:iCs/>
          <w:kern w:val="0"/>
        </w:rPr>
        <w:t xml:space="preserve"> and </w:t>
      </w:r>
      <w:r w:rsidRPr="002479CD">
        <w:rPr>
          <w:i/>
          <w:iCs/>
          <w:kern w:val="0"/>
        </w:rPr>
        <w:t>Translational Science</w:t>
      </w:r>
      <w:r>
        <w:rPr>
          <w:kern w:val="0"/>
        </w:rPr>
        <w:t xml:space="preserve">, </w:t>
      </w:r>
      <w:r>
        <w:rPr>
          <w:b/>
          <w:bCs/>
          <w:kern w:val="0"/>
        </w:rPr>
        <w:t>6</w:t>
      </w:r>
      <w:r>
        <w:rPr>
          <w:kern w:val="0"/>
        </w:rPr>
        <w:t xml:space="preserve"> (6), 452-457.</w:t>
      </w:r>
    </w:p>
    <w:p w:rsidR="00270256" w:rsidRDefault="00270256" w:rsidP="00270256">
      <w:pPr>
        <w:pStyle w:val="a3"/>
        <w:rPr>
          <w:kern w:val="0"/>
        </w:rPr>
      </w:pPr>
      <w:r>
        <w:rPr>
          <w:rFonts w:hint="eastAsia"/>
          <w:kern w:val="0"/>
        </w:rPr>
        <w:t xml:space="preserve">Full Text: </w:t>
      </w:r>
      <w:hyperlink r:id="rId466" w:history="1">
        <w:r w:rsidRPr="002479CD">
          <w:rPr>
            <w:rStyle w:val="a5"/>
            <w:kern w:val="0"/>
          </w:rPr>
          <w:t>2013\CTS-Cli Tra Sci6, 452.pdf</w:t>
        </w:r>
      </w:hyperlink>
    </w:p>
    <w:p w:rsidR="00270256" w:rsidRDefault="00270256" w:rsidP="00270256">
      <w:pPr>
        <w:pStyle w:val="a3"/>
        <w:rPr>
          <w:kern w:val="0"/>
        </w:rPr>
      </w:pPr>
      <w:r>
        <w:rPr>
          <w:kern w:val="0"/>
        </w:rPr>
        <w:t>Abstract: The Clinical</w:t>
      </w:r>
      <w:r w:rsidR="005853A9">
        <w:rPr>
          <w:kern w:val="0"/>
        </w:rPr>
        <w:t xml:space="preserve"> and </w:t>
      </w:r>
      <w:r>
        <w:rPr>
          <w:kern w:val="0"/>
        </w:rPr>
        <w:t>Translational Science Awards (CTSA) program is one</w:t>
      </w:r>
      <w:r w:rsidR="00427468">
        <w:rPr>
          <w:kern w:val="0"/>
        </w:rPr>
        <w:t xml:space="preserve"> of </w:t>
      </w:r>
      <w:r>
        <w:rPr>
          <w:kern w:val="0"/>
        </w:rPr>
        <w:t>the most important initiatives in translational medical funding</w:t>
      </w:r>
      <w:r w:rsidR="00A37C1D">
        <w:rPr>
          <w:kern w:val="0"/>
        </w:rPr>
        <w:t>. The</w:t>
      </w:r>
      <w:r>
        <w:rPr>
          <w:kern w:val="0"/>
        </w:rPr>
        <w:t xml:space="preserve"> quantitative evaluation</w:t>
      </w:r>
      <w:r w:rsidR="00427468">
        <w:rPr>
          <w:kern w:val="0"/>
        </w:rPr>
        <w:t xml:space="preserve"> of </w:t>
      </w:r>
      <w:r>
        <w:rPr>
          <w:kern w:val="0"/>
        </w:rPr>
        <w:t>the efficiency</w:t>
      </w:r>
      <w:r w:rsidR="005853A9">
        <w:rPr>
          <w:kern w:val="0"/>
        </w:rPr>
        <w:t xml:space="preserve"> and </w:t>
      </w:r>
      <w:r>
        <w:rPr>
          <w:kern w:val="0"/>
        </w:rPr>
        <w:t>performance</w:t>
      </w:r>
      <w:r w:rsidR="00427468">
        <w:rPr>
          <w:kern w:val="0"/>
        </w:rPr>
        <w:t xml:space="preserve"> of </w:t>
      </w:r>
      <w:r>
        <w:rPr>
          <w:kern w:val="0"/>
        </w:rPr>
        <w:t>the CTSA program has a significant referential meaning for the decision making</w:t>
      </w:r>
      <w:r w:rsidR="00427468">
        <w:rPr>
          <w:kern w:val="0"/>
        </w:rPr>
        <w:t xml:space="preserve"> of </w:t>
      </w:r>
      <w:r>
        <w:rPr>
          <w:kern w:val="0"/>
        </w:rPr>
        <w:t>global translational medical funding. Using science mapping</w:t>
      </w:r>
      <w:r w:rsidR="005853A9">
        <w:rPr>
          <w:kern w:val="0"/>
        </w:rPr>
        <w:t xml:space="preserve"> and </w:t>
      </w:r>
      <w:r>
        <w:rPr>
          <w:kern w:val="0"/>
        </w:rPr>
        <w:t>scientometric analytic tools, this study quantitatively analyzed the scientific articles funded by the CTSA program</w:t>
      </w:r>
      <w:r w:rsidR="00A37C1D">
        <w:rPr>
          <w:kern w:val="0"/>
        </w:rPr>
        <w:t>. The</w:t>
      </w:r>
      <w:r>
        <w:rPr>
          <w:kern w:val="0"/>
        </w:rPr>
        <w:t xml:space="preserve"> results</w:t>
      </w:r>
      <w:r w:rsidR="00427468">
        <w:rPr>
          <w:kern w:val="0"/>
        </w:rPr>
        <w:t xml:space="preserve"> of </w:t>
      </w:r>
      <w:r>
        <w:rPr>
          <w:kern w:val="0"/>
        </w:rPr>
        <w:t>the study showed that the quantitative productivities</w:t>
      </w:r>
      <w:r w:rsidR="00427468">
        <w:rPr>
          <w:kern w:val="0"/>
        </w:rPr>
        <w:t xml:space="preserve"> of </w:t>
      </w:r>
      <w:r>
        <w:rPr>
          <w:kern w:val="0"/>
        </w:rPr>
        <w:t>the CTSA program had a stable increase since 2008. In addition, the emerging trends</w:t>
      </w:r>
      <w:r w:rsidR="00427468">
        <w:rPr>
          <w:kern w:val="0"/>
        </w:rPr>
        <w:t xml:space="preserve"> of </w:t>
      </w:r>
      <w:r>
        <w:rPr>
          <w:kern w:val="0"/>
        </w:rPr>
        <w:t>the research funded by the CTSA program covered clinical</w:t>
      </w:r>
      <w:r w:rsidR="005853A9">
        <w:rPr>
          <w:kern w:val="0"/>
        </w:rPr>
        <w:t xml:space="preserve"> and </w:t>
      </w:r>
      <w:r>
        <w:rPr>
          <w:kern w:val="0"/>
        </w:rPr>
        <w:t>basic medical research fields</w:t>
      </w:r>
      <w:r w:rsidR="00A37C1D">
        <w:rPr>
          <w:kern w:val="0"/>
        </w:rPr>
        <w:t>. The</w:t>
      </w:r>
      <w:r>
        <w:rPr>
          <w:kern w:val="0"/>
        </w:rPr>
        <w:t xml:space="preserve"> academic benefits from the CTSA program were assisting its members to build a robust academic home for the Clinical</w:t>
      </w:r>
      <w:r w:rsidR="005853A9">
        <w:rPr>
          <w:kern w:val="0"/>
        </w:rPr>
        <w:t xml:space="preserve"> and </w:t>
      </w:r>
      <w:r>
        <w:rPr>
          <w:kern w:val="0"/>
        </w:rPr>
        <w:t>Translational Science</w:t>
      </w:r>
      <w:r w:rsidR="005853A9">
        <w:rPr>
          <w:kern w:val="0"/>
        </w:rPr>
        <w:t xml:space="preserve"> and </w:t>
      </w:r>
      <w:r>
        <w:rPr>
          <w:kern w:val="0"/>
        </w:rPr>
        <w:t>to attract other financial support. This study provided a quantitative evaluation</w:t>
      </w:r>
      <w:r w:rsidR="00427468">
        <w:rPr>
          <w:kern w:val="0"/>
        </w:rPr>
        <w:t xml:space="preserve"> of </w:t>
      </w:r>
      <w:r>
        <w:rPr>
          <w:kern w:val="0"/>
        </w:rPr>
        <w:t>the CTSA program based on science mapping</w:t>
      </w:r>
      <w:r w:rsidR="005853A9">
        <w:rPr>
          <w:kern w:val="0"/>
        </w:rPr>
        <w:t xml:space="preserve"> and </w:t>
      </w:r>
      <w:r>
        <w:rPr>
          <w:kern w:val="0"/>
        </w:rPr>
        <w:t>scientometric analysis. Further research is required to compare</w:t>
      </w:r>
      <w:r w:rsidR="005853A9">
        <w:rPr>
          <w:kern w:val="0"/>
        </w:rPr>
        <w:t xml:space="preserve"> and </w:t>
      </w:r>
      <w:r>
        <w:rPr>
          <w:kern w:val="0"/>
        </w:rPr>
        <w:t>optimize other quantitative methods</w:t>
      </w:r>
      <w:r w:rsidR="005853A9">
        <w:rPr>
          <w:kern w:val="0"/>
        </w:rPr>
        <w:t xml:space="preserve"> and </w:t>
      </w:r>
      <w:r>
        <w:rPr>
          <w:kern w:val="0"/>
        </w:rPr>
        <w:t>to integrate various research results.</w:t>
      </w:r>
    </w:p>
    <w:p w:rsidR="00270256" w:rsidRDefault="00270256" w:rsidP="00270256">
      <w:pPr>
        <w:pStyle w:val="a3"/>
        <w:rPr>
          <w:kern w:val="0"/>
        </w:rPr>
      </w:pPr>
      <w:r>
        <w:rPr>
          <w:kern w:val="0"/>
        </w:rPr>
        <w:t>Keywords: Analysis, Article, Bedside, Bench, Benefits, Centers, China, Clinical, Ctsa, Decision, Decision Making, Decision-Making, Efficiency, Evaluation, Financial Support, Funding, Global, Mapping, Medical, Medical Research, Medicine, Methods, Performance, Quantitative Evaluation, Quantitative Methods, R, Research, Research Results, River, SCI, Science, Science Mapping, Scientometric, Scientometric Analysis, Support, Topics, Trends, USA, Word Cluster-Analysis</w:t>
      </w:r>
    </w:p>
    <w:p w:rsidR="007C49DB" w:rsidRDefault="007C49DB" w:rsidP="007C49DB">
      <w:pPr>
        <w:pStyle w:val="a3"/>
        <w:rPr>
          <w:kern w:val="0"/>
        </w:rPr>
      </w:pPr>
      <w:r>
        <w:rPr>
          <w:kern w:val="0"/>
        </w:rPr>
        <w:lastRenderedPageBreak/>
        <w:t xml:space="preserve">? Zhang, Y., Diao, T.X. and Wang, L. (2014), Quantitative evaluation of translational medicine based on scientometric analysis and information extraction. </w:t>
      </w:r>
      <w:r>
        <w:rPr>
          <w:i/>
          <w:iCs/>
          <w:kern w:val="0"/>
        </w:rPr>
        <w:t>CTS-Clinical and Translational Science</w:t>
      </w:r>
      <w:r>
        <w:rPr>
          <w:kern w:val="0"/>
        </w:rPr>
        <w:t xml:space="preserve">, </w:t>
      </w:r>
      <w:r>
        <w:rPr>
          <w:b/>
          <w:bCs/>
          <w:kern w:val="0"/>
        </w:rPr>
        <w:t>7</w:t>
      </w:r>
      <w:r>
        <w:rPr>
          <w:kern w:val="0"/>
        </w:rPr>
        <w:t xml:space="preserve"> (6), 465-469.</w:t>
      </w:r>
    </w:p>
    <w:p w:rsidR="007C49DB" w:rsidRDefault="007C49DB" w:rsidP="007C49DB">
      <w:pPr>
        <w:pStyle w:val="a3"/>
        <w:rPr>
          <w:kern w:val="0"/>
        </w:rPr>
      </w:pPr>
      <w:r>
        <w:rPr>
          <w:rFonts w:hint="eastAsia"/>
          <w:kern w:val="0"/>
        </w:rPr>
        <w:t xml:space="preserve">Full Text: </w:t>
      </w:r>
      <w:hyperlink r:id="rId467" w:history="1">
        <w:r w:rsidRPr="007C49DB">
          <w:rPr>
            <w:rStyle w:val="a5"/>
            <w:kern w:val="0"/>
          </w:rPr>
          <w:t>201</w:t>
        </w:r>
        <w:r w:rsidRPr="007C49DB">
          <w:rPr>
            <w:rStyle w:val="a5"/>
            <w:rFonts w:hint="eastAsia"/>
            <w:kern w:val="0"/>
          </w:rPr>
          <w:t>4</w:t>
        </w:r>
        <w:r w:rsidRPr="007C49DB">
          <w:rPr>
            <w:rStyle w:val="a5"/>
            <w:kern w:val="0"/>
          </w:rPr>
          <w:t>\CTS-Cli Tra Sci</w:t>
        </w:r>
        <w:r w:rsidRPr="007C49DB">
          <w:rPr>
            <w:rStyle w:val="a5"/>
            <w:rFonts w:hint="eastAsia"/>
            <w:kern w:val="0"/>
          </w:rPr>
          <w:t>7</w:t>
        </w:r>
        <w:r w:rsidRPr="007C49DB">
          <w:rPr>
            <w:rStyle w:val="a5"/>
            <w:kern w:val="0"/>
          </w:rPr>
          <w:t>, 4</w:t>
        </w:r>
        <w:r w:rsidRPr="007C49DB">
          <w:rPr>
            <w:rStyle w:val="a5"/>
            <w:rFonts w:hint="eastAsia"/>
            <w:kern w:val="0"/>
          </w:rPr>
          <w:t>65</w:t>
        </w:r>
        <w:r w:rsidRPr="007C49DB">
          <w:rPr>
            <w:rStyle w:val="a5"/>
            <w:kern w:val="0"/>
          </w:rPr>
          <w:t>.pdf</w:t>
        </w:r>
      </w:hyperlink>
    </w:p>
    <w:p w:rsidR="007C49DB" w:rsidRDefault="007C49DB" w:rsidP="007C49DB">
      <w:pPr>
        <w:pStyle w:val="a3"/>
        <w:rPr>
          <w:kern w:val="0"/>
        </w:rPr>
      </w:pPr>
      <w:r>
        <w:rPr>
          <w:kern w:val="0"/>
        </w:rPr>
        <w:t>Abstract: Designed to advance the two-way translational process between basic research and clinical practice, translational medicine has become one of the most important areas in biomedicine. The quantitative evaluation of translational medicine is valuable for the decision making of global translational medical research and funding. Using the scientometric analysis and information extraction techniques, this study quantitatively analyzed the scientific articles on translational medicine. The results showed that translational medicine had significant scientific output and impact, specific core field and institute, and outstanding academic status and benefit. While it is not considered in this study, the patent data are another important indicators that should be integrated in the relevant research in the future.</w:t>
      </w:r>
    </w:p>
    <w:p w:rsidR="007C49DB" w:rsidRDefault="007C49DB" w:rsidP="007C49DB">
      <w:pPr>
        <w:pStyle w:val="a3"/>
        <w:rPr>
          <w:kern w:val="0"/>
        </w:rPr>
      </w:pPr>
      <w:r>
        <w:rPr>
          <w:kern w:val="0"/>
        </w:rPr>
        <w:t>Keywords: Academic Status, Advance, Analysis, Articles, Basic, Basic Research, Bedside, Bench, Biomedicine, Clinical, Clinical Practice, Data, Decision, Decision Making, Decision-Making, Evaluation, Extraction, Field, Funding, Global, Impact, Indicators, Information, Information Extraction, Integrated, Medical, Medical Research, Medicine, Patent, Practice, Quantitative Evaluation, Research, Science, Scientific Output, Scientometric, Scientometric Analysis, Strategies, Techniques, Translational Medicine</w:t>
      </w:r>
    </w:p>
    <w:p w:rsidR="00C87883" w:rsidRPr="00185FC5" w:rsidRDefault="00C87883" w:rsidP="00C87883">
      <w:pPr>
        <w:pStyle w:val="a3"/>
      </w:pPr>
      <w:r>
        <w:rPr>
          <w:rFonts w:hint="eastAsia"/>
        </w:rPr>
        <w:t xml:space="preserve">? </w:t>
      </w:r>
      <w:r w:rsidRPr="00185FC5">
        <w:t xml:space="preserve">Luke, D.A., Carothers, B.J., Dhand, A., Bell, R.A., Moreland-Russell, S., Sarli, C.C. and Evanoff, B.A. (2015), Breaking down silos: Mapping growth of cross-disciplinary collaboration in a translational science initiative. </w:t>
      </w:r>
      <w:r w:rsidRPr="00185FC5">
        <w:rPr>
          <w:i/>
          <w:iCs/>
        </w:rPr>
        <w:t>CTS-Clinical and Translational Science</w:t>
      </w:r>
      <w:r w:rsidRPr="00185FC5">
        <w:t xml:space="preserve">, </w:t>
      </w:r>
      <w:r w:rsidRPr="00185FC5">
        <w:rPr>
          <w:b/>
          <w:bCs/>
        </w:rPr>
        <w:t>8</w:t>
      </w:r>
      <w:r w:rsidRPr="00185FC5">
        <w:t xml:space="preserve"> (2), 143-149.</w:t>
      </w:r>
    </w:p>
    <w:p w:rsidR="00C87883" w:rsidRDefault="00C87883" w:rsidP="00C87883">
      <w:pPr>
        <w:pStyle w:val="a3"/>
        <w:rPr>
          <w:kern w:val="0"/>
        </w:rPr>
      </w:pPr>
      <w:r>
        <w:rPr>
          <w:rFonts w:hint="eastAsia"/>
          <w:kern w:val="0"/>
        </w:rPr>
        <w:t xml:space="preserve">Full Text: </w:t>
      </w:r>
      <w:hyperlink r:id="rId468" w:history="1">
        <w:r w:rsidRPr="00C87883">
          <w:rPr>
            <w:rStyle w:val="a5"/>
            <w:kern w:val="0"/>
          </w:rPr>
          <w:t>2015\CTS-Cli Tra Sci8, 143.pdf</w:t>
        </w:r>
      </w:hyperlink>
    </w:p>
    <w:p w:rsidR="00C87883" w:rsidRPr="00185FC5" w:rsidRDefault="00C87883" w:rsidP="00C87883">
      <w:pPr>
        <w:pStyle w:val="a3"/>
      </w:pPr>
      <w:r w:rsidRPr="00185FC5">
        <w:t xml:space="preserve">Abstract: The importance of transdisciplinary collaboration is growing, though not much is known about how to measure collaboration patterns. The purpose of this paper is to present multiple ways of mapping and evaluating the growth of cross-disciplinary partnerships over time. Social network analysis was used to examine the impact of a Clinical and Translational Science Award (CTSA) on collaboration patterns. Grant submissions from 2007 through 2010 and publications from 2007 through 2011 of Institute of Clinical and Translational Sciences (ICTS) members were examined. A Cohort Model examining the first-year ICTS members demonstrated an overall increase in collaborations on grants and publications, as well as an increase in cross-discipline collaboration as compared to within-discipline. A Growth Model that included additional members over time demonstrated the same pattern for grant submissions, but a decrease in cross-discipline collaboration as compared to within-discipline collaboration for publications. ICTS members </w:t>
      </w:r>
      <w:r w:rsidRPr="00185FC5">
        <w:lastRenderedPageBreak/>
        <w:t>generally became more cross-disciplinary in their collaborations during the CTSA. The exception of publications for the Growth Model may be due to the time lag between funding and publication, as well as pressure for younger scientists to publish in their own fields. Network analysis serves as a valuable tool for evaluating changes in scientific collaboration.</w:t>
      </w:r>
    </w:p>
    <w:p w:rsidR="00C87883" w:rsidRPr="00185FC5" w:rsidRDefault="00C87883" w:rsidP="00C87883">
      <w:pPr>
        <w:pStyle w:val="a3"/>
      </w:pPr>
      <w:r w:rsidRPr="00185FC5">
        <w:t>Keywords: Analysis</w:t>
      </w:r>
      <w:r>
        <w:t xml:space="preserve">, </w:t>
      </w:r>
      <w:r w:rsidRPr="00185FC5">
        <w:t>Bibliometrics</w:t>
      </w:r>
      <w:r>
        <w:t xml:space="preserve">, </w:t>
      </w:r>
      <w:r w:rsidRPr="00185FC5">
        <w:t>Centers</w:t>
      </w:r>
      <w:r>
        <w:t xml:space="preserve">, </w:t>
      </w:r>
      <w:r w:rsidRPr="00185FC5">
        <w:t>Changes</w:t>
      </w:r>
      <w:r>
        <w:t xml:space="preserve">, </w:t>
      </w:r>
      <w:r w:rsidRPr="00185FC5">
        <w:t>Collaboration</w:t>
      </w:r>
      <w:r>
        <w:t xml:space="preserve">, </w:t>
      </w:r>
      <w:r w:rsidRPr="00185FC5">
        <w:t>Collaborations</w:t>
      </w:r>
      <w:r>
        <w:t xml:space="preserve">, </w:t>
      </w:r>
      <w:r w:rsidRPr="00185FC5">
        <w:t>Funding</w:t>
      </w:r>
      <w:r>
        <w:t xml:space="preserve">, </w:t>
      </w:r>
      <w:r w:rsidRPr="00185FC5">
        <w:t>Growth</w:t>
      </w:r>
      <w:r>
        <w:t xml:space="preserve">, </w:t>
      </w:r>
      <w:r w:rsidRPr="00185FC5">
        <w:t>Impact</w:t>
      </w:r>
      <w:r>
        <w:t xml:space="preserve">, </w:t>
      </w:r>
      <w:r w:rsidRPr="00185FC5">
        <w:t>Interdisciplinary Science</w:t>
      </w:r>
      <w:r>
        <w:t xml:space="preserve">, </w:t>
      </w:r>
      <w:r w:rsidRPr="00185FC5">
        <w:t>Mapping</w:t>
      </w:r>
      <w:r>
        <w:t xml:space="preserve">, </w:t>
      </w:r>
      <w:r w:rsidRPr="00185FC5">
        <w:t>Measure</w:t>
      </w:r>
      <w:r>
        <w:t xml:space="preserve">, </w:t>
      </w:r>
      <w:r w:rsidRPr="00185FC5">
        <w:t>Model</w:t>
      </w:r>
      <w:r>
        <w:t xml:space="preserve">, </w:t>
      </w:r>
      <w:r w:rsidRPr="00185FC5">
        <w:t>Network</w:t>
      </w:r>
      <w:r>
        <w:t xml:space="preserve">, </w:t>
      </w:r>
      <w:r w:rsidRPr="00185FC5">
        <w:t>Network Analysis</w:t>
      </w:r>
      <w:r>
        <w:t xml:space="preserve">, </w:t>
      </w:r>
      <w:r w:rsidRPr="00185FC5">
        <w:t>Network Analysis</w:t>
      </w:r>
      <w:r>
        <w:t xml:space="preserve">, </w:t>
      </w:r>
      <w:r w:rsidRPr="00185FC5">
        <w:t>Partnerships</w:t>
      </w:r>
      <w:r>
        <w:t xml:space="preserve">, </w:t>
      </w:r>
      <w:r w:rsidRPr="00185FC5">
        <w:t>Pattern</w:t>
      </w:r>
      <w:r>
        <w:t xml:space="preserve">, </w:t>
      </w:r>
      <w:r w:rsidRPr="00185FC5">
        <w:t>Pressure</w:t>
      </w:r>
      <w:r>
        <w:t xml:space="preserve">, </w:t>
      </w:r>
      <w:r w:rsidRPr="00185FC5">
        <w:t>Public-Health</w:t>
      </w:r>
      <w:r>
        <w:t xml:space="preserve">, </w:t>
      </w:r>
      <w:r w:rsidRPr="00185FC5">
        <w:t>Publication</w:t>
      </w:r>
      <w:r>
        <w:t xml:space="preserve">, </w:t>
      </w:r>
      <w:r w:rsidRPr="00185FC5">
        <w:t>Publications</w:t>
      </w:r>
      <w:r>
        <w:t xml:space="preserve">, </w:t>
      </w:r>
      <w:r w:rsidRPr="00185FC5">
        <w:t>Purpose</w:t>
      </w:r>
      <w:r>
        <w:t xml:space="preserve">, </w:t>
      </w:r>
      <w:r w:rsidRPr="00185FC5">
        <w:t>Science</w:t>
      </w:r>
      <w:r>
        <w:t xml:space="preserve">, </w:t>
      </w:r>
      <w:r w:rsidRPr="00185FC5">
        <w:t>Science Of Team Science</w:t>
      </w:r>
      <w:r>
        <w:t xml:space="preserve">, </w:t>
      </w:r>
      <w:r w:rsidRPr="00185FC5">
        <w:t>Scientific Collaboration</w:t>
      </w:r>
      <w:r>
        <w:t xml:space="preserve">, </w:t>
      </w:r>
      <w:r w:rsidRPr="00185FC5">
        <w:t>Social Network</w:t>
      </w:r>
      <w:r>
        <w:t xml:space="preserve">, </w:t>
      </w:r>
      <w:r w:rsidRPr="00185FC5">
        <w:t>Social Network Analysis</w:t>
      </w:r>
      <w:r>
        <w:t xml:space="preserve">, </w:t>
      </w:r>
      <w:r w:rsidRPr="00185FC5">
        <w:t>Systems</w:t>
      </w:r>
      <w:r>
        <w:t xml:space="preserve">, </w:t>
      </w:r>
      <w:r w:rsidRPr="00185FC5">
        <w:t>Team Science</w:t>
      </w:r>
    </w:p>
    <w:p w:rsidR="005B1BA9" w:rsidRPr="001A3D2B" w:rsidRDefault="005B1BA9" w:rsidP="005B1BA9">
      <w:pPr>
        <w:pStyle w:val="1"/>
      </w:pPr>
      <w:r w:rsidRPr="001A3D2B">
        <w:br w:type="page"/>
      </w:r>
      <w:bookmarkStart w:id="321" w:name="_Toc420815052"/>
      <w:r w:rsidRPr="001A3D2B">
        <w:lastRenderedPageBreak/>
        <w:t xml:space="preserve">Title: </w:t>
      </w:r>
      <w:r w:rsidRPr="001A3D2B">
        <w:rPr>
          <w:iCs w:val="0"/>
        </w:rPr>
        <w:t>Clinics</w:t>
      </w:r>
      <w:bookmarkEnd w:id="321"/>
    </w:p>
    <w:p w:rsidR="005B1BA9" w:rsidRPr="001A3D2B" w:rsidRDefault="005B1BA9" w:rsidP="005B1BA9">
      <w:pPr>
        <w:pStyle w:val="12"/>
      </w:pPr>
      <w:r w:rsidRPr="001A3D2B">
        <w:t xml:space="preserve">Full Journal Title: </w:t>
      </w:r>
      <w:hyperlink r:id="rId469" w:history="1">
        <w:r w:rsidRPr="000D3D34">
          <w:rPr>
            <w:rStyle w:val="a5"/>
            <w:iCs/>
            <w:kern w:val="0"/>
          </w:rPr>
          <w:t>Clinics</w:t>
        </w:r>
      </w:hyperlink>
    </w:p>
    <w:p w:rsidR="005B1BA9" w:rsidRPr="001A3D2B" w:rsidRDefault="005B1BA9" w:rsidP="005B1BA9">
      <w:pPr>
        <w:pStyle w:val="12"/>
      </w:pPr>
      <w:r w:rsidRPr="001A3D2B">
        <w:t xml:space="preserve">ISO Abbreviated Title: </w:t>
      </w:r>
      <w:r w:rsidR="000D3D34" w:rsidRPr="00C73C58">
        <w:rPr>
          <w:iCs/>
        </w:rPr>
        <w:t>Clinics</w:t>
      </w:r>
    </w:p>
    <w:p w:rsidR="005B1BA9" w:rsidRPr="001A3D2B" w:rsidRDefault="005B1BA9" w:rsidP="005B1BA9">
      <w:pPr>
        <w:pStyle w:val="12"/>
      </w:pPr>
      <w:r w:rsidRPr="001A3D2B">
        <w:t xml:space="preserve">JCR Abbreviated Title: </w:t>
      </w:r>
      <w:r w:rsidR="000D3D34" w:rsidRPr="00C73C58">
        <w:rPr>
          <w:iCs/>
        </w:rPr>
        <w:t>Clinics</w:t>
      </w:r>
    </w:p>
    <w:p w:rsidR="005B1BA9" w:rsidRPr="001A3D2B" w:rsidRDefault="005B1BA9" w:rsidP="005B1BA9">
      <w:pPr>
        <w:pStyle w:val="12"/>
      </w:pPr>
      <w:r w:rsidRPr="001A3D2B">
        <w:t xml:space="preserve">ISSN: </w:t>
      </w:r>
    </w:p>
    <w:p w:rsidR="005B1BA9" w:rsidRPr="001A3D2B" w:rsidRDefault="005B1BA9" w:rsidP="005B1BA9">
      <w:pPr>
        <w:pStyle w:val="12"/>
      </w:pPr>
      <w:r w:rsidRPr="001A3D2B">
        <w:t xml:space="preserve">Issues/Year: </w:t>
      </w:r>
    </w:p>
    <w:p w:rsidR="005B1BA9" w:rsidRPr="001A3D2B" w:rsidRDefault="005B1BA9" w:rsidP="005B1BA9">
      <w:pPr>
        <w:pStyle w:val="12"/>
      </w:pPr>
      <w:r w:rsidRPr="001A3D2B">
        <w:t xml:space="preserve">Journal Country/Territory: </w:t>
      </w:r>
    </w:p>
    <w:p w:rsidR="005B1BA9" w:rsidRPr="001A3D2B" w:rsidRDefault="005B1BA9" w:rsidP="005B1BA9">
      <w:pPr>
        <w:pStyle w:val="12"/>
      </w:pPr>
      <w:r w:rsidRPr="001A3D2B">
        <w:t xml:space="preserve">Language: </w:t>
      </w:r>
    </w:p>
    <w:p w:rsidR="005B1BA9" w:rsidRPr="001A3D2B" w:rsidRDefault="005B1BA9" w:rsidP="005B1BA9">
      <w:pPr>
        <w:pStyle w:val="12"/>
      </w:pPr>
      <w:r w:rsidRPr="001A3D2B">
        <w:t xml:space="preserve">Publisher: </w:t>
      </w:r>
    </w:p>
    <w:p w:rsidR="005B1BA9" w:rsidRPr="001A3D2B" w:rsidRDefault="005B1BA9" w:rsidP="005B1BA9">
      <w:pPr>
        <w:pStyle w:val="12"/>
      </w:pPr>
      <w:r w:rsidRPr="001A3D2B">
        <w:t xml:space="preserve">Publisher Address: </w:t>
      </w:r>
    </w:p>
    <w:p w:rsidR="005B1BA9" w:rsidRPr="001A3D2B" w:rsidRDefault="005B1BA9" w:rsidP="005B1BA9">
      <w:pPr>
        <w:pStyle w:val="12"/>
      </w:pPr>
      <w:r w:rsidRPr="001A3D2B">
        <w:t xml:space="preserve">Subject Categories: </w:t>
      </w:r>
    </w:p>
    <w:p w:rsidR="005B1BA9" w:rsidRPr="001A3D2B" w:rsidRDefault="005B1BA9" w:rsidP="005B1BA9">
      <w:pPr>
        <w:pStyle w:val="12"/>
      </w:pPr>
      <w:r w:rsidRPr="001A3D2B">
        <w:t xml:space="preserve">: Impact Factor </w:t>
      </w:r>
    </w:p>
    <w:p w:rsidR="000D3D34" w:rsidRPr="00C73C58" w:rsidRDefault="000D3D34" w:rsidP="000D3D34">
      <w:pPr>
        <w:pStyle w:val="a3"/>
        <w:rPr>
          <w:kern w:val="0"/>
        </w:rPr>
      </w:pPr>
      <w:r w:rsidRPr="00C73C58">
        <w:rPr>
          <w:kern w:val="0"/>
        </w:rPr>
        <w:t>? Tess, B.H., Furuie, S.S., Castro, R.C.F., Barreto, M.D.C.</w:t>
      </w:r>
      <w:r w:rsidR="005853A9">
        <w:rPr>
          <w:kern w:val="0"/>
        </w:rPr>
        <w:t xml:space="preserve"> and </w:t>
      </w:r>
      <w:r w:rsidRPr="00C73C58">
        <w:rPr>
          <w:kern w:val="0"/>
        </w:rPr>
        <w:t>Nobre, M.R.C. (2009), Assessing</w:t>
      </w:r>
      <w:r w:rsidR="003A1917">
        <w:rPr>
          <w:kern w:val="0"/>
        </w:rPr>
        <w:t xml:space="preserve"> the </w:t>
      </w:r>
      <w:r w:rsidRPr="00C73C58">
        <w:rPr>
          <w:kern w:val="0"/>
        </w:rPr>
        <w:t>scientific research productivity</w:t>
      </w:r>
      <w:r w:rsidR="00427468">
        <w:rPr>
          <w:kern w:val="0"/>
        </w:rPr>
        <w:t xml:space="preserve"> of </w:t>
      </w:r>
      <w:r w:rsidRPr="00C73C58">
        <w:rPr>
          <w:kern w:val="0"/>
        </w:rPr>
        <w:t>a Brazilian healthcare institution: A case study at</w:t>
      </w:r>
      <w:r w:rsidR="003A1917">
        <w:rPr>
          <w:kern w:val="0"/>
        </w:rPr>
        <w:t xml:space="preserve"> the </w:t>
      </w:r>
      <w:r w:rsidRPr="00C73C58">
        <w:rPr>
          <w:kern w:val="0"/>
        </w:rPr>
        <w:t>heart institute</w:t>
      </w:r>
      <w:r w:rsidR="00427468">
        <w:rPr>
          <w:kern w:val="0"/>
        </w:rPr>
        <w:t xml:space="preserve"> of </w:t>
      </w:r>
      <w:r w:rsidRPr="00C73C58">
        <w:rPr>
          <w:kern w:val="0"/>
        </w:rPr>
        <w:t>S</w:t>
      </w:r>
      <w:r>
        <w:rPr>
          <w:kern w:val="0"/>
        </w:rPr>
        <w:t>ã</w:t>
      </w:r>
      <w:r w:rsidRPr="00C73C58">
        <w:rPr>
          <w:kern w:val="0"/>
        </w:rPr>
        <w:t xml:space="preserve">o Paulo, Brazil. </w:t>
      </w:r>
      <w:r w:rsidRPr="00C73C58">
        <w:rPr>
          <w:i/>
          <w:iCs/>
          <w:kern w:val="0"/>
        </w:rPr>
        <w:t>Clinics</w:t>
      </w:r>
      <w:r w:rsidRPr="00C73C58">
        <w:rPr>
          <w:kern w:val="0"/>
        </w:rPr>
        <w:t xml:space="preserve">, </w:t>
      </w:r>
      <w:r w:rsidRPr="00C73C58">
        <w:rPr>
          <w:b/>
          <w:bCs/>
          <w:kern w:val="0"/>
        </w:rPr>
        <w:t>64</w:t>
      </w:r>
      <w:r w:rsidRPr="00C73C58">
        <w:rPr>
          <w:kern w:val="0"/>
        </w:rPr>
        <w:t xml:space="preserve"> (6), 571-576.</w:t>
      </w:r>
    </w:p>
    <w:p w:rsidR="000D3D34" w:rsidRDefault="000D3D34" w:rsidP="000D3D34">
      <w:pPr>
        <w:pStyle w:val="a3"/>
        <w:rPr>
          <w:kern w:val="0"/>
          <w:szCs w:val="24"/>
        </w:rPr>
      </w:pPr>
      <w:r>
        <w:rPr>
          <w:rFonts w:hint="eastAsia"/>
          <w:kern w:val="0"/>
          <w:szCs w:val="24"/>
        </w:rPr>
        <w:t xml:space="preserve">Full Text: </w:t>
      </w:r>
      <w:hyperlink r:id="rId470" w:history="1">
        <w:r w:rsidRPr="004A0A05">
          <w:rPr>
            <w:rStyle w:val="a5"/>
            <w:kern w:val="0"/>
            <w:szCs w:val="24"/>
          </w:rPr>
          <w:t>2009\Clinics64, 571.pdf</w:t>
        </w:r>
      </w:hyperlink>
    </w:p>
    <w:p w:rsidR="005B1BA9" w:rsidRPr="001A3D2B" w:rsidRDefault="005B1BA9" w:rsidP="005B1BA9">
      <w:pPr>
        <w:pStyle w:val="a3"/>
        <w:rPr>
          <w:kern w:val="0"/>
        </w:rPr>
      </w:pPr>
      <w:r w:rsidRPr="001A3D2B">
        <w:rPr>
          <w:kern w:val="0"/>
        </w:rPr>
        <w:t>Abstract: INTRODUCTION:</w:t>
      </w:r>
      <w:r w:rsidR="003A1917">
        <w:rPr>
          <w:kern w:val="0"/>
        </w:rPr>
        <w:t xml:space="preserve"> the </w:t>
      </w:r>
      <w:r w:rsidRPr="001A3D2B">
        <w:rPr>
          <w:kern w:val="0"/>
        </w:rPr>
        <w:t>present study was motivated by</w:t>
      </w:r>
      <w:r w:rsidR="003A1917">
        <w:rPr>
          <w:kern w:val="0"/>
        </w:rPr>
        <w:t xml:space="preserve"> the </w:t>
      </w:r>
      <w:r w:rsidRPr="001A3D2B">
        <w:rPr>
          <w:kern w:val="0"/>
        </w:rPr>
        <w:t>need to systematically assess</w:t>
      </w:r>
      <w:r w:rsidR="003A1917">
        <w:rPr>
          <w:kern w:val="0"/>
        </w:rPr>
        <w:t xml:space="preserve"> the </w:t>
      </w:r>
      <w:r w:rsidRPr="001A3D2B">
        <w:rPr>
          <w:kern w:val="0"/>
        </w:rPr>
        <w:t>research productivity</w:t>
      </w:r>
      <w:r w:rsidR="00427468">
        <w:rPr>
          <w:kern w:val="0"/>
        </w:rPr>
        <w:t xml:space="preserve"> of </w:t>
      </w:r>
      <w:r w:rsidR="003A1917">
        <w:rPr>
          <w:kern w:val="0"/>
        </w:rPr>
        <w:t xml:space="preserve">the </w:t>
      </w:r>
      <w:r w:rsidRPr="001A3D2B">
        <w:rPr>
          <w:kern w:val="0"/>
        </w:rPr>
        <w:t>Heart Institute (InCor), Medical School</w:t>
      </w:r>
      <w:r w:rsidR="00427468">
        <w:rPr>
          <w:kern w:val="0"/>
        </w:rPr>
        <w:t xml:space="preserve"> of </w:t>
      </w:r>
      <w:r w:rsidR="003A1917">
        <w:rPr>
          <w:kern w:val="0"/>
        </w:rPr>
        <w:t xml:space="preserve">the </w:t>
      </w:r>
      <w:r w:rsidRPr="001A3D2B">
        <w:rPr>
          <w:kern w:val="0"/>
        </w:rPr>
        <w:t>University</w:t>
      </w:r>
      <w:r w:rsidR="00427468">
        <w:rPr>
          <w:kern w:val="0"/>
        </w:rPr>
        <w:t xml:space="preserve"> of </w:t>
      </w:r>
      <w:r w:rsidRPr="001A3D2B">
        <w:rPr>
          <w:kern w:val="0"/>
        </w:rPr>
        <w:t>Sao Paulo, Brazil. OBJECTIVE: To explore methodology for</w:t>
      </w:r>
      <w:r w:rsidR="003A1917">
        <w:rPr>
          <w:kern w:val="0"/>
        </w:rPr>
        <w:t xml:space="preserve"> the </w:t>
      </w:r>
      <w:r w:rsidRPr="001A3D2B">
        <w:rPr>
          <w:kern w:val="0"/>
        </w:rPr>
        <w:t>assessment</w:t>
      </w:r>
      <w:r w:rsidR="00427468">
        <w:rPr>
          <w:kern w:val="0"/>
        </w:rPr>
        <w:t xml:space="preserve"> of </w:t>
      </w:r>
      <w:r w:rsidRPr="001A3D2B">
        <w:rPr>
          <w:kern w:val="0"/>
        </w:rPr>
        <w:t>institutional scientific research productivity. MATERIALS</w:t>
      </w:r>
      <w:r w:rsidR="005853A9">
        <w:rPr>
          <w:kern w:val="0"/>
        </w:rPr>
        <w:t xml:space="preserve"> and </w:t>
      </w:r>
      <w:r w:rsidRPr="001A3D2B">
        <w:rPr>
          <w:kern w:val="0"/>
        </w:rPr>
        <w:t>METHODS: Bibliometric indicators based on searches for author affiliation</w:t>
      </w:r>
      <w:r w:rsidR="00427468">
        <w:rPr>
          <w:kern w:val="0"/>
        </w:rPr>
        <w:t xml:space="preserve"> of </w:t>
      </w:r>
      <w:r w:rsidRPr="001A3D2B">
        <w:rPr>
          <w:kern w:val="0"/>
        </w:rPr>
        <w:t>original scientific articles or reviews published in journals indexed in</w:t>
      </w:r>
      <w:r w:rsidR="003A1917">
        <w:rPr>
          <w:kern w:val="0"/>
        </w:rPr>
        <w:t xml:space="preserve"> the </w:t>
      </w:r>
      <w:r w:rsidRPr="001A3D2B">
        <w:rPr>
          <w:kern w:val="0"/>
        </w:rPr>
        <w:t xml:space="preserve">databases </w:t>
      </w:r>
      <w:r w:rsidR="00D5664A">
        <w:rPr>
          <w:kern w:val="0"/>
        </w:rPr>
        <w:t>Web</w:t>
      </w:r>
      <w:r w:rsidR="00427468">
        <w:rPr>
          <w:kern w:val="0"/>
        </w:rPr>
        <w:t xml:space="preserve"> of </w:t>
      </w:r>
      <w:r w:rsidR="00D5664A">
        <w:rPr>
          <w:kern w:val="0"/>
        </w:rPr>
        <w:t>Science</w:t>
      </w:r>
      <w:r w:rsidRPr="001A3D2B">
        <w:rPr>
          <w:kern w:val="0"/>
        </w:rPr>
        <w:t xml:space="preserve">, </w:t>
      </w:r>
      <w:r w:rsidR="00D5664A">
        <w:rPr>
          <w:kern w:val="0"/>
        </w:rPr>
        <w:t>MEDLINE</w:t>
      </w:r>
      <w:r w:rsidRPr="001A3D2B">
        <w:rPr>
          <w:kern w:val="0"/>
        </w:rPr>
        <w:t>, EMBASE, LILACS</w:t>
      </w:r>
      <w:r w:rsidR="005853A9">
        <w:rPr>
          <w:kern w:val="0"/>
        </w:rPr>
        <w:t xml:space="preserve"> and </w:t>
      </w:r>
      <w:r w:rsidRPr="001A3D2B">
        <w:rPr>
          <w:kern w:val="0"/>
        </w:rPr>
        <w:t>SciELO from January 2000 to December 2003 were used in this study</w:t>
      </w:r>
      <w:r w:rsidR="00A37C1D">
        <w:rPr>
          <w:kern w:val="0"/>
        </w:rPr>
        <w:t>. The</w:t>
      </w:r>
      <w:r w:rsidR="003A1917">
        <w:rPr>
          <w:kern w:val="0"/>
        </w:rPr>
        <w:t xml:space="preserve"> </w:t>
      </w:r>
      <w:r w:rsidRPr="001A3D2B">
        <w:rPr>
          <w:kern w:val="0"/>
        </w:rPr>
        <w:t>retrieved records were analyzed according to</w:t>
      </w:r>
      <w:r w:rsidR="003A1917">
        <w:rPr>
          <w:kern w:val="0"/>
        </w:rPr>
        <w:t xml:space="preserve"> the </w:t>
      </w:r>
      <w:r w:rsidRPr="001A3D2B">
        <w:rPr>
          <w:kern w:val="0"/>
        </w:rPr>
        <w:t>index parameters</w:t>
      </w:r>
      <w:r w:rsidR="00427468">
        <w:rPr>
          <w:kern w:val="0"/>
        </w:rPr>
        <w:t xml:space="preserve"> of </w:t>
      </w:r>
      <w:r w:rsidR="003A1917">
        <w:rPr>
          <w:kern w:val="0"/>
        </w:rPr>
        <w:t xml:space="preserve">the </w:t>
      </w:r>
      <w:r w:rsidRPr="001A3D2B">
        <w:rPr>
          <w:kern w:val="0"/>
        </w:rPr>
        <w:t>journals</w:t>
      </w:r>
      <w:r w:rsidR="005853A9">
        <w:rPr>
          <w:kern w:val="0"/>
        </w:rPr>
        <w:t xml:space="preserve"> and </w:t>
      </w:r>
      <w:r w:rsidRPr="001A3D2B">
        <w:rPr>
          <w:kern w:val="0"/>
        </w:rPr>
        <w:t>modes</w:t>
      </w:r>
      <w:r w:rsidR="00427468">
        <w:rPr>
          <w:kern w:val="0"/>
        </w:rPr>
        <w:t xml:space="preserve"> of </w:t>
      </w:r>
      <w:r w:rsidRPr="001A3D2B">
        <w:rPr>
          <w:kern w:val="0"/>
        </w:rPr>
        <w:t>access</w:t>
      </w:r>
      <w:r w:rsidR="00A37C1D">
        <w:rPr>
          <w:kern w:val="0"/>
        </w:rPr>
        <w:t>. The</w:t>
      </w:r>
      <w:r w:rsidR="003A1917">
        <w:rPr>
          <w:kern w:val="0"/>
        </w:rPr>
        <w:t xml:space="preserve"> </w:t>
      </w:r>
      <w:r w:rsidRPr="001A3D2B">
        <w:rPr>
          <w:kern w:val="0"/>
        </w:rPr>
        <w:t>number</w:t>
      </w:r>
      <w:r w:rsidR="00427468">
        <w:rPr>
          <w:kern w:val="0"/>
        </w:rPr>
        <w:t xml:space="preserve"> of </w:t>
      </w:r>
      <w:r w:rsidRPr="001A3D2B">
        <w:rPr>
          <w:kern w:val="0"/>
        </w:rPr>
        <w:t>citations was used to calculate</w:t>
      </w:r>
      <w:r w:rsidR="003A1917">
        <w:rPr>
          <w:kern w:val="0"/>
        </w:rPr>
        <w:t xml:space="preserve"> the </w:t>
      </w:r>
      <w:r w:rsidRPr="001A3D2B">
        <w:rPr>
          <w:kern w:val="0"/>
        </w:rPr>
        <w:t>institutional impact factor. RESULTS: Out</w:t>
      </w:r>
      <w:r w:rsidR="00427468">
        <w:rPr>
          <w:kern w:val="0"/>
        </w:rPr>
        <w:t xml:space="preserve"> of </w:t>
      </w:r>
      <w:r w:rsidRPr="001A3D2B">
        <w:rPr>
          <w:kern w:val="0"/>
        </w:rPr>
        <w:t>1253 records retrieved from</w:t>
      </w:r>
      <w:r w:rsidR="003A1917">
        <w:rPr>
          <w:kern w:val="0"/>
        </w:rPr>
        <w:t xml:space="preserve"> the </w:t>
      </w:r>
      <w:r w:rsidRPr="001A3D2B">
        <w:rPr>
          <w:kern w:val="0"/>
        </w:rPr>
        <w:t>five databases, 604 original articles</w:t>
      </w:r>
      <w:r w:rsidR="005853A9">
        <w:rPr>
          <w:kern w:val="0"/>
        </w:rPr>
        <w:t xml:space="preserve"> and </w:t>
      </w:r>
      <w:r w:rsidRPr="001A3D2B">
        <w:rPr>
          <w:kern w:val="0"/>
        </w:rPr>
        <w:t>reviews were analyzed;</w:t>
      </w:r>
      <w:r w:rsidR="00427468">
        <w:rPr>
          <w:kern w:val="0"/>
        </w:rPr>
        <w:t xml:space="preserve"> of </w:t>
      </w:r>
      <w:r w:rsidRPr="001A3D2B">
        <w:rPr>
          <w:kern w:val="0"/>
        </w:rPr>
        <w:t>these, 246 (41%) articles were published in national journals</w:t>
      </w:r>
      <w:r w:rsidR="005853A9">
        <w:rPr>
          <w:kern w:val="0"/>
        </w:rPr>
        <w:t xml:space="preserve"> and </w:t>
      </w:r>
      <w:r w:rsidRPr="001A3D2B">
        <w:rPr>
          <w:kern w:val="0"/>
        </w:rPr>
        <w:t>221 (90%)</w:t>
      </w:r>
      <w:r w:rsidR="00427468">
        <w:rPr>
          <w:kern w:val="0"/>
        </w:rPr>
        <w:t xml:space="preserve"> of </w:t>
      </w:r>
      <w:r w:rsidRPr="001A3D2B">
        <w:rPr>
          <w:kern w:val="0"/>
        </w:rPr>
        <w:t>those were in journals with free online access through SciELO or their own websites.</w:t>
      </w:r>
      <w:r w:rsidR="00427468">
        <w:rPr>
          <w:kern w:val="0"/>
        </w:rPr>
        <w:t xml:space="preserve"> of </w:t>
      </w:r>
      <w:r w:rsidR="003A1917">
        <w:rPr>
          <w:kern w:val="0"/>
        </w:rPr>
        <w:t xml:space="preserve">the </w:t>
      </w:r>
      <w:r w:rsidRPr="001A3D2B">
        <w:rPr>
          <w:kern w:val="0"/>
        </w:rPr>
        <w:t>358 articles published in international journals, 333 (93%) had controlled online access</w:t>
      </w:r>
      <w:r w:rsidR="005853A9">
        <w:rPr>
          <w:kern w:val="0"/>
        </w:rPr>
        <w:t xml:space="preserve"> and </w:t>
      </w:r>
      <w:r w:rsidRPr="001A3D2B">
        <w:rPr>
          <w:kern w:val="0"/>
        </w:rPr>
        <w:t>223 (67%) were available through</w:t>
      </w:r>
      <w:r w:rsidR="003A1917">
        <w:rPr>
          <w:kern w:val="0"/>
        </w:rPr>
        <w:t xml:space="preserve"> the </w:t>
      </w:r>
      <w:r w:rsidRPr="001A3D2B">
        <w:rPr>
          <w:kern w:val="0"/>
        </w:rPr>
        <w:t>Capes Portal</w:t>
      </w:r>
      <w:r w:rsidR="00427468">
        <w:rPr>
          <w:kern w:val="0"/>
        </w:rPr>
        <w:t xml:space="preserve"> of </w:t>
      </w:r>
      <w:r w:rsidRPr="001A3D2B">
        <w:rPr>
          <w:kern w:val="0"/>
        </w:rPr>
        <w:t>Journals</w:t>
      </w:r>
      <w:r w:rsidR="00A37C1D">
        <w:rPr>
          <w:kern w:val="0"/>
        </w:rPr>
        <w:t>. The</w:t>
      </w:r>
      <w:r w:rsidR="003A1917">
        <w:rPr>
          <w:kern w:val="0"/>
        </w:rPr>
        <w:t xml:space="preserve"> </w:t>
      </w:r>
      <w:r w:rsidRPr="001A3D2B">
        <w:rPr>
          <w:kern w:val="0"/>
        </w:rPr>
        <w:t>average impact</w:t>
      </w:r>
      <w:r w:rsidR="00427468">
        <w:rPr>
          <w:kern w:val="0"/>
        </w:rPr>
        <w:t xml:space="preserve"> of </w:t>
      </w:r>
      <w:r w:rsidRPr="001A3D2B">
        <w:rPr>
          <w:kern w:val="0"/>
        </w:rPr>
        <w:t>each article for InCor was 2.224 in</w:t>
      </w:r>
      <w:r w:rsidR="003A1917">
        <w:rPr>
          <w:kern w:val="0"/>
        </w:rPr>
        <w:t xml:space="preserve"> the </w:t>
      </w:r>
      <w:r w:rsidRPr="001A3D2B">
        <w:rPr>
          <w:kern w:val="0"/>
        </w:rPr>
        <w:t>period studied. CONCLUSION: A simple</w:t>
      </w:r>
      <w:r w:rsidR="005853A9">
        <w:rPr>
          <w:kern w:val="0"/>
        </w:rPr>
        <w:t xml:space="preserve"> and </w:t>
      </w:r>
      <w:r w:rsidRPr="001A3D2B">
        <w:rPr>
          <w:kern w:val="0"/>
        </w:rPr>
        <w:t>practical methodology to evaluate</w:t>
      </w:r>
      <w:r w:rsidR="003A1917">
        <w:rPr>
          <w:kern w:val="0"/>
        </w:rPr>
        <w:t xml:space="preserve"> the </w:t>
      </w:r>
      <w:r w:rsidRPr="001A3D2B">
        <w:rPr>
          <w:kern w:val="0"/>
        </w:rPr>
        <w:t>scientific production</w:t>
      </w:r>
      <w:r w:rsidR="00427468">
        <w:rPr>
          <w:kern w:val="0"/>
        </w:rPr>
        <w:t xml:space="preserve"> of </w:t>
      </w:r>
      <w:r w:rsidRPr="001A3D2B">
        <w:rPr>
          <w:kern w:val="0"/>
        </w:rPr>
        <w:t>health research institutions includes searches in</w:t>
      </w:r>
      <w:r w:rsidR="003A1917">
        <w:rPr>
          <w:kern w:val="0"/>
        </w:rPr>
        <w:t xml:space="preserve"> the </w:t>
      </w:r>
      <w:r w:rsidRPr="001A3D2B">
        <w:rPr>
          <w:kern w:val="0"/>
        </w:rPr>
        <w:t>LILACS database for national journals</w:t>
      </w:r>
      <w:r w:rsidR="005853A9">
        <w:rPr>
          <w:kern w:val="0"/>
        </w:rPr>
        <w:t xml:space="preserve"> and </w:t>
      </w:r>
      <w:r w:rsidRPr="001A3D2B">
        <w:rPr>
          <w:kern w:val="0"/>
        </w:rPr>
        <w:t xml:space="preserve">in </w:t>
      </w:r>
      <w:r w:rsidR="00D5664A">
        <w:rPr>
          <w:kern w:val="0"/>
        </w:rPr>
        <w:t>MEDLINE</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sidRPr="001A3D2B">
        <w:rPr>
          <w:kern w:val="0"/>
        </w:rPr>
        <w:t xml:space="preserve"> for international journals</w:t>
      </w:r>
      <w:r w:rsidR="00A37C1D">
        <w:rPr>
          <w:kern w:val="0"/>
        </w:rPr>
        <w:t>. The</w:t>
      </w:r>
      <w:r w:rsidR="003A1917">
        <w:rPr>
          <w:kern w:val="0"/>
        </w:rPr>
        <w:t xml:space="preserve"> </w:t>
      </w:r>
      <w:r w:rsidRPr="001A3D2B">
        <w:rPr>
          <w:kern w:val="0"/>
        </w:rPr>
        <w:t>institutional impact factor</w:t>
      </w:r>
      <w:r w:rsidR="00427468">
        <w:rPr>
          <w:kern w:val="0"/>
        </w:rPr>
        <w:t xml:space="preserve"> of </w:t>
      </w:r>
      <w:r w:rsidRPr="001A3D2B">
        <w:rPr>
          <w:kern w:val="0"/>
        </w:rPr>
        <w:t>articles indexed in</w:t>
      </w:r>
      <w:r w:rsidR="003A1917">
        <w:rPr>
          <w:kern w:val="0"/>
        </w:rPr>
        <w:t xml:space="preserve"> the </w:t>
      </w:r>
      <w:r w:rsidR="00D5664A">
        <w:rPr>
          <w:kern w:val="0"/>
        </w:rPr>
        <w:t>Web</w:t>
      </w:r>
      <w:r w:rsidR="00427468">
        <w:rPr>
          <w:kern w:val="0"/>
        </w:rPr>
        <w:t xml:space="preserve"> of </w:t>
      </w:r>
      <w:r w:rsidR="00D5664A">
        <w:rPr>
          <w:kern w:val="0"/>
        </w:rPr>
        <w:t>Science</w:t>
      </w:r>
      <w:r w:rsidRPr="001A3D2B">
        <w:rPr>
          <w:kern w:val="0"/>
        </w:rPr>
        <w:t xml:space="preserve"> may serve as a measure by which to assess</w:t>
      </w:r>
      <w:r w:rsidR="005853A9">
        <w:rPr>
          <w:kern w:val="0"/>
        </w:rPr>
        <w:t xml:space="preserve"> and </w:t>
      </w:r>
      <w:r w:rsidRPr="001A3D2B">
        <w:rPr>
          <w:kern w:val="0"/>
        </w:rPr>
        <w:t>review</w:t>
      </w:r>
      <w:r w:rsidR="003A1917">
        <w:rPr>
          <w:kern w:val="0"/>
        </w:rPr>
        <w:t xml:space="preserve"> the </w:t>
      </w:r>
      <w:r w:rsidRPr="001A3D2B">
        <w:rPr>
          <w:kern w:val="0"/>
        </w:rPr>
        <w:t xml:space="preserve">scientific </w:t>
      </w:r>
      <w:r w:rsidRPr="001A3D2B">
        <w:rPr>
          <w:kern w:val="0"/>
        </w:rPr>
        <w:lastRenderedPageBreak/>
        <w:t>productivity</w:t>
      </w:r>
      <w:r w:rsidR="00427468">
        <w:rPr>
          <w:kern w:val="0"/>
        </w:rPr>
        <w:t xml:space="preserve"> of </w:t>
      </w:r>
      <w:r w:rsidRPr="001A3D2B">
        <w:rPr>
          <w:kern w:val="0"/>
        </w:rPr>
        <w:t>a research institution.</w:t>
      </w:r>
    </w:p>
    <w:p w:rsidR="005B1BA9" w:rsidRPr="001A3D2B" w:rsidRDefault="005B1BA9" w:rsidP="005B1BA9">
      <w:pPr>
        <w:pStyle w:val="a3"/>
        <w:rPr>
          <w:kern w:val="0"/>
        </w:rPr>
      </w:pPr>
      <w:r w:rsidRPr="001A3D2B">
        <w:rPr>
          <w:kern w:val="0"/>
        </w:rPr>
        <w:t xml:space="preserve">Keywords: Assessment, Bibliometric Indicators, Bibliometrics, Brazil, Cardiology, Citations, Impact Factor, Indicators, Medical Research, </w:t>
      </w:r>
      <w:r w:rsidR="00D5664A">
        <w:rPr>
          <w:kern w:val="0"/>
        </w:rPr>
        <w:t>MEDLINE</w:t>
      </w:r>
      <w:r w:rsidRPr="001A3D2B">
        <w:rPr>
          <w:kern w:val="0"/>
        </w:rPr>
        <w:t xml:space="preserve">, Output, Research, Research Productivity, Sciences, Scientific Production Indicators, Scientific Research, University, </w:t>
      </w:r>
      <w:r w:rsidR="00D5664A">
        <w:rPr>
          <w:kern w:val="0"/>
        </w:rPr>
        <w:t>Web</w:t>
      </w:r>
      <w:r w:rsidR="00427468">
        <w:rPr>
          <w:kern w:val="0"/>
        </w:rPr>
        <w:t xml:space="preserve"> of </w:t>
      </w:r>
      <w:r w:rsidR="00D5664A">
        <w:rPr>
          <w:kern w:val="0"/>
        </w:rPr>
        <w:t>Science</w:t>
      </w:r>
    </w:p>
    <w:p w:rsidR="005B1BA9" w:rsidRPr="001A3D2B" w:rsidRDefault="005B1BA9" w:rsidP="005B1BA9">
      <w:pPr>
        <w:pStyle w:val="a3"/>
        <w:rPr>
          <w:kern w:val="0"/>
        </w:rPr>
      </w:pPr>
      <w:r w:rsidRPr="001A3D2B">
        <w:rPr>
          <w:kern w:val="0"/>
        </w:rPr>
        <w:t>? Cardoso, S.C.</w:t>
      </w:r>
      <w:r w:rsidR="005853A9">
        <w:rPr>
          <w:kern w:val="0"/>
        </w:rPr>
        <w:t xml:space="preserve"> and </w:t>
      </w:r>
      <w:r w:rsidRPr="001A3D2B">
        <w:rPr>
          <w:kern w:val="0"/>
        </w:rPr>
        <w:t>Gattas, G.J.F. (2009</w:t>
      </w:r>
      <w:r w:rsidR="00F42EAC">
        <w:rPr>
          <w:kern w:val="0"/>
        </w:rPr>
        <w:t>), The</w:t>
      </w:r>
      <w:r w:rsidR="003A1917">
        <w:rPr>
          <w:kern w:val="0"/>
        </w:rPr>
        <w:t xml:space="preserve"> </w:t>
      </w:r>
      <w:r w:rsidRPr="001A3D2B">
        <w:rPr>
          <w:kern w:val="0"/>
        </w:rPr>
        <w:t>scientific production</w:t>
      </w:r>
      <w:r w:rsidR="00427468">
        <w:rPr>
          <w:kern w:val="0"/>
        </w:rPr>
        <w:t xml:space="preserve"> of </w:t>
      </w:r>
      <w:r w:rsidRPr="001A3D2B">
        <w:rPr>
          <w:kern w:val="0"/>
        </w:rPr>
        <w:t>full professors</w:t>
      </w:r>
      <w:r w:rsidR="00427468">
        <w:rPr>
          <w:kern w:val="0"/>
        </w:rPr>
        <w:t xml:space="preserve"> of </w:t>
      </w:r>
      <w:r w:rsidR="003A1917">
        <w:rPr>
          <w:kern w:val="0"/>
        </w:rPr>
        <w:t xml:space="preserve">the </w:t>
      </w:r>
      <w:r w:rsidRPr="001A3D2B">
        <w:rPr>
          <w:kern w:val="0"/>
        </w:rPr>
        <w:t>Faculdade de Medicina da Universidade de S</w:t>
      </w:r>
      <w:r w:rsidR="000D3D34">
        <w:rPr>
          <w:kern w:val="0"/>
        </w:rPr>
        <w:t>ã</w:t>
      </w:r>
      <w:r w:rsidRPr="001A3D2B">
        <w:rPr>
          <w:kern w:val="0"/>
        </w:rPr>
        <w:t>o Paulo: A view</w:t>
      </w:r>
      <w:r w:rsidR="00427468">
        <w:rPr>
          <w:kern w:val="0"/>
        </w:rPr>
        <w:t xml:space="preserve"> of </w:t>
      </w:r>
      <w:r w:rsidR="003A1917">
        <w:rPr>
          <w:kern w:val="0"/>
        </w:rPr>
        <w:t xml:space="preserve">the </w:t>
      </w:r>
      <w:r w:rsidRPr="001A3D2B">
        <w:rPr>
          <w:kern w:val="0"/>
        </w:rPr>
        <w:t>period</w:t>
      </w:r>
      <w:r w:rsidR="00427468">
        <w:rPr>
          <w:kern w:val="0"/>
        </w:rPr>
        <w:t xml:space="preserve"> of </w:t>
      </w:r>
      <w:r w:rsidRPr="001A3D2B">
        <w:rPr>
          <w:kern w:val="0"/>
        </w:rPr>
        <w:t xml:space="preserve">2001-2006. </w:t>
      </w:r>
      <w:r w:rsidRPr="001A3D2B">
        <w:rPr>
          <w:i/>
          <w:iCs/>
          <w:kern w:val="0"/>
        </w:rPr>
        <w:t>Clinics</w:t>
      </w:r>
      <w:r w:rsidRPr="001A3D2B">
        <w:rPr>
          <w:kern w:val="0"/>
        </w:rPr>
        <w:t xml:space="preserve">, </w:t>
      </w:r>
      <w:r w:rsidRPr="001A3D2B">
        <w:rPr>
          <w:b/>
          <w:bCs/>
          <w:kern w:val="0"/>
        </w:rPr>
        <w:t>64</w:t>
      </w:r>
      <w:r w:rsidRPr="001A3D2B">
        <w:rPr>
          <w:kern w:val="0"/>
        </w:rPr>
        <w:t xml:space="preserve"> (9), 903-909.</w:t>
      </w:r>
    </w:p>
    <w:p w:rsidR="000D3D34" w:rsidRDefault="000D3D34" w:rsidP="000D3D34">
      <w:pPr>
        <w:pStyle w:val="a3"/>
        <w:rPr>
          <w:kern w:val="0"/>
          <w:szCs w:val="24"/>
        </w:rPr>
      </w:pPr>
      <w:r>
        <w:rPr>
          <w:rFonts w:hint="eastAsia"/>
          <w:kern w:val="0"/>
          <w:szCs w:val="24"/>
        </w:rPr>
        <w:t xml:space="preserve">Full Text: </w:t>
      </w:r>
      <w:hyperlink r:id="rId471" w:history="1">
        <w:r w:rsidRPr="000D3D34">
          <w:rPr>
            <w:rStyle w:val="a5"/>
            <w:kern w:val="0"/>
            <w:szCs w:val="24"/>
          </w:rPr>
          <w:t>2009\Clinics64, 903.pdf</w:t>
        </w:r>
      </w:hyperlink>
    </w:p>
    <w:p w:rsidR="005B1BA9" w:rsidRPr="001A3D2B" w:rsidRDefault="005B1BA9" w:rsidP="005B1BA9">
      <w:pPr>
        <w:pStyle w:val="a3"/>
        <w:rPr>
          <w:kern w:val="0"/>
        </w:rPr>
      </w:pPr>
      <w:r w:rsidRPr="001A3D2B">
        <w:rPr>
          <w:kern w:val="0"/>
        </w:rPr>
        <w:t>Abstract: INTRODUCTION:</w:t>
      </w:r>
      <w:r w:rsidR="003A1917">
        <w:rPr>
          <w:kern w:val="0"/>
        </w:rPr>
        <w:t xml:space="preserve"> the </w:t>
      </w:r>
      <w:r w:rsidRPr="001A3D2B">
        <w:rPr>
          <w:kern w:val="0"/>
        </w:rPr>
        <w:t>scientific production</w:t>
      </w:r>
      <w:r w:rsidR="00427468">
        <w:rPr>
          <w:kern w:val="0"/>
        </w:rPr>
        <w:t xml:space="preserve"> of </w:t>
      </w:r>
      <w:r w:rsidRPr="001A3D2B">
        <w:rPr>
          <w:kern w:val="0"/>
        </w:rPr>
        <w:t>institutions</w:t>
      </w:r>
      <w:r w:rsidR="00427468">
        <w:rPr>
          <w:kern w:val="0"/>
        </w:rPr>
        <w:t xml:space="preserve"> of </w:t>
      </w:r>
      <w:r w:rsidRPr="001A3D2B">
        <w:rPr>
          <w:kern w:val="0"/>
        </w:rPr>
        <w:t>higher education, as well as</w:t>
      </w:r>
      <w:r w:rsidR="003A1917">
        <w:rPr>
          <w:kern w:val="0"/>
        </w:rPr>
        <w:t xml:space="preserve"> the </w:t>
      </w:r>
      <w:r w:rsidRPr="001A3D2B">
        <w:rPr>
          <w:kern w:val="0"/>
        </w:rPr>
        <w:t>dissemination</w:t>
      </w:r>
      <w:r w:rsidR="005853A9">
        <w:rPr>
          <w:kern w:val="0"/>
        </w:rPr>
        <w:t xml:space="preserve"> and </w:t>
      </w:r>
      <w:r w:rsidRPr="001A3D2B">
        <w:rPr>
          <w:kern w:val="0"/>
        </w:rPr>
        <w:t>use</w:t>
      </w:r>
      <w:r w:rsidR="00427468">
        <w:rPr>
          <w:kern w:val="0"/>
        </w:rPr>
        <w:t xml:space="preserve"> of </w:t>
      </w:r>
      <w:r w:rsidRPr="001A3D2B">
        <w:rPr>
          <w:kern w:val="0"/>
        </w:rPr>
        <w:t>this published work by peer institutions, can be assessed by means</w:t>
      </w:r>
      <w:r w:rsidR="00427468">
        <w:rPr>
          <w:kern w:val="0"/>
        </w:rPr>
        <w:t xml:space="preserve"> of </w:t>
      </w:r>
      <w:r w:rsidRPr="001A3D2B">
        <w:rPr>
          <w:kern w:val="0"/>
        </w:rPr>
        <w:t>quantitative</w:t>
      </w:r>
      <w:r w:rsidR="005853A9">
        <w:rPr>
          <w:kern w:val="0"/>
        </w:rPr>
        <w:t xml:space="preserve"> and </w:t>
      </w:r>
      <w:r w:rsidRPr="001A3D2B">
        <w:rPr>
          <w:kern w:val="0"/>
        </w:rPr>
        <w:t>qualitative measurements. This type</w:t>
      </w:r>
      <w:r w:rsidR="00427468">
        <w:rPr>
          <w:kern w:val="0"/>
        </w:rPr>
        <w:t xml:space="preserve"> of </w:t>
      </w:r>
      <w:r w:rsidRPr="001A3D2B">
        <w:rPr>
          <w:kern w:val="0"/>
        </w:rPr>
        <w:t>analysis can also serve as</w:t>
      </w:r>
      <w:r w:rsidR="003A1917">
        <w:rPr>
          <w:kern w:val="0"/>
        </w:rPr>
        <w:t xml:space="preserve"> the </w:t>
      </w:r>
      <w:r w:rsidRPr="001A3D2B">
        <w:rPr>
          <w:kern w:val="0"/>
        </w:rPr>
        <w:t>basis</w:t>
      </w:r>
      <w:r w:rsidR="00427468">
        <w:rPr>
          <w:kern w:val="0"/>
        </w:rPr>
        <w:t xml:space="preserve"> of </w:t>
      </w:r>
      <w:r w:rsidRPr="001A3D2B">
        <w:rPr>
          <w:kern w:val="0"/>
        </w:rPr>
        <w:t>further academic actions. Variables such as</w:t>
      </w:r>
      <w:r w:rsidR="003A1917">
        <w:rPr>
          <w:kern w:val="0"/>
        </w:rPr>
        <w:t xml:space="preserve"> the </w:t>
      </w:r>
      <w:r w:rsidRPr="001A3D2B">
        <w:rPr>
          <w:kern w:val="0"/>
        </w:rPr>
        <w:t>type</w:t>
      </w:r>
      <w:r w:rsidR="00427468">
        <w:rPr>
          <w:kern w:val="0"/>
        </w:rPr>
        <w:t xml:space="preserve"> of </w:t>
      </w:r>
      <w:r w:rsidRPr="001A3D2B">
        <w:rPr>
          <w:kern w:val="0"/>
        </w:rPr>
        <w:t>evaluation,</w:t>
      </w:r>
      <w:r w:rsidR="003A1917">
        <w:rPr>
          <w:kern w:val="0"/>
        </w:rPr>
        <w:t xml:space="preserve"> the </w:t>
      </w:r>
      <w:r w:rsidRPr="001A3D2B">
        <w:rPr>
          <w:kern w:val="0"/>
        </w:rPr>
        <w:t>number</w:t>
      </w:r>
      <w:r w:rsidR="00427468">
        <w:rPr>
          <w:kern w:val="0"/>
        </w:rPr>
        <w:t xml:space="preserve"> of </w:t>
      </w:r>
      <w:r w:rsidRPr="001A3D2B">
        <w:rPr>
          <w:kern w:val="0"/>
        </w:rPr>
        <w:t>faculty members</w:t>
      </w:r>
      <w:r w:rsidR="005853A9">
        <w:rPr>
          <w:kern w:val="0"/>
        </w:rPr>
        <w:t xml:space="preserve"> and </w:t>
      </w:r>
      <w:r w:rsidR="003A1917">
        <w:rPr>
          <w:kern w:val="0"/>
        </w:rPr>
        <w:t xml:space="preserve">the </w:t>
      </w:r>
      <w:r w:rsidRPr="001A3D2B">
        <w:rPr>
          <w:kern w:val="0"/>
        </w:rPr>
        <w:t>decision to include or exclude researchers who are not professors are difficult to measure when comparing different schools</w:t>
      </w:r>
      <w:r w:rsidR="005853A9">
        <w:rPr>
          <w:kern w:val="0"/>
        </w:rPr>
        <w:t xml:space="preserve"> and </w:t>
      </w:r>
      <w:r w:rsidRPr="001A3D2B">
        <w:rPr>
          <w:kern w:val="0"/>
        </w:rPr>
        <w:t>institutions. OBJECTIVES:</w:t>
      </w:r>
      <w:r w:rsidR="003A1917">
        <w:rPr>
          <w:kern w:val="0"/>
        </w:rPr>
        <w:t xml:space="preserve"> the </w:t>
      </w:r>
      <w:r w:rsidRPr="001A3D2B">
        <w:rPr>
          <w:kern w:val="0"/>
        </w:rPr>
        <w:t>purpose</w:t>
      </w:r>
      <w:r w:rsidR="00427468">
        <w:rPr>
          <w:kern w:val="0"/>
        </w:rPr>
        <w:t xml:space="preserve"> of </w:t>
      </w:r>
      <w:r w:rsidRPr="001A3D2B">
        <w:rPr>
          <w:kern w:val="0"/>
        </w:rPr>
        <w:t>this study was to assess</w:t>
      </w:r>
      <w:r w:rsidR="003A1917">
        <w:rPr>
          <w:kern w:val="0"/>
        </w:rPr>
        <w:t xml:space="preserve"> the </w:t>
      </w:r>
      <w:r w:rsidRPr="001A3D2B">
        <w:rPr>
          <w:kern w:val="0"/>
        </w:rPr>
        <w:t>scientific production</w:t>
      </w:r>
      <w:r w:rsidR="00427468">
        <w:rPr>
          <w:kern w:val="0"/>
        </w:rPr>
        <w:t xml:space="preserve"> of </w:t>
      </w:r>
      <w:r w:rsidRPr="001A3D2B">
        <w:rPr>
          <w:kern w:val="0"/>
        </w:rPr>
        <w:t>tenured faculty from</w:t>
      </w:r>
      <w:r w:rsidR="003A1917">
        <w:rPr>
          <w:kern w:val="0"/>
        </w:rPr>
        <w:t xml:space="preserve"> the </w:t>
      </w:r>
      <w:r w:rsidRPr="001A3D2B">
        <w:rPr>
          <w:kern w:val="0"/>
        </w:rPr>
        <w:t xml:space="preserve">Universidade de Sao Paulo, Faculdade de Medicina performed from 2001 to 2006. METHODS: </w:t>
      </w:r>
      <w:r w:rsidR="00D5664A">
        <w:rPr>
          <w:kern w:val="0"/>
        </w:rPr>
        <w:t>MEDLINE</w:t>
      </w:r>
      <w:r w:rsidRPr="001A3D2B">
        <w:rPr>
          <w:kern w:val="0"/>
        </w:rPr>
        <w:t>/</w:t>
      </w:r>
      <w:r w:rsidR="002C12F0">
        <w:rPr>
          <w:kern w:val="0"/>
        </w:rPr>
        <w:t>PUBMED</w:t>
      </w:r>
      <w:r w:rsidRPr="001A3D2B">
        <w:rPr>
          <w:kern w:val="0"/>
        </w:rPr>
        <w:t xml:space="preserve"> database was considered</w:t>
      </w:r>
      <w:r w:rsidR="005853A9">
        <w:rPr>
          <w:kern w:val="0"/>
        </w:rPr>
        <w:t xml:space="preserve"> and </w:t>
      </w:r>
      <w:r w:rsidR="003A1917">
        <w:rPr>
          <w:kern w:val="0"/>
        </w:rPr>
        <w:t xml:space="preserve">the </w:t>
      </w:r>
      <w:r w:rsidRPr="001A3D2B">
        <w:rPr>
          <w:kern w:val="0"/>
        </w:rPr>
        <w:t>Impact factors (IFs-Journal Citation Report, 2006)</w:t>
      </w:r>
      <w:r w:rsidR="005853A9">
        <w:rPr>
          <w:kern w:val="0"/>
        </w:rPr>
        <w:t xml:space="preserve"> and </w:t>
      </w:r>
      <w:r w:rsidR="003A1917">
        <w:rPr>
          <w:kern w:val="0"/>
        </w:rPr>
        <w:t xml:space="preserve">the </w:t>
      </w:r>
      <w:r w:rsidRPr="001A3D2B">
        <w:rPr>
          <w:kern w:val="0"/>
        </w:rPr>
        <w:t>number</w:t>
      </w:r>
      <w:r w:rsidR="00427468">
        <w:rPr>
          <w:kern w:val="0"/>
        </w:rPr>
        <w:t xml:space="preserve"> of </w:t>
      </w:r>
      <w:r w:rsidRPr="001A3D2B">
        <w:rPr>
          <w:kern w:val="0"/>
        </w:rPr>
        <w:t>generated citations (</w:t>
      </w:r>
      <w:r w:rsidR="00D5664A">
        <w:rPr>
          <w:kern w:val="0"/>
        </w:rPr>
        <w:t>Web</w:t>
      </w:r>
      <w:r w:rsidR="00427468">
        <w:rPr>
          <w:kern w:val="0"/>
        </w:rPr>
        <w:t xml:space="preserve"> of </w:t>
      </w:r>
      <w:r w:rsidR="00D5664A">
        <w:rPr>
          <w:kern w:val="0"/>
        </w:rPr>
        <w:t>Science</w:t>
      </w:r>
      <w:r w:rsidRPr="001A3D2B">
        <w:rPr>
          <w:kern w:val="0"/>
        </w:rPr>
        <w:t>/ISI Thomson) were also evaluated. RESULTS:</w:t>
      </w:r>
      <w:r w:rsidR="003A1917">
        <w:rPr>
          <w:kern w:val="0"/>
        </w:rPr>
        <w:t xml:space="preserve"> the </w:t>
      </w:r>
      <w:r w:rsidRPr="001A3D2B">
        <w:rPr>
          <w:kern w:val="0"/>
        </w:rPr>
        <w:t>analysis</w:t>
      </w:r>
      <w:r w:rsidR="00427468">
        <w:rPr>
          <w:kern w:val="0"/>
        </w:rPr>
        <w:t xml:space="preserve"> of </w:t>
      </w:r>
      <w:r w:rsidR="003A1917">
        <w:rPr>
          <w:kern w:val="0"/>
        </w:rPr>
        <w:t xml:space="preserve">the </w:t>
      </w:r>
      <w:r w:rsidRPr="001A3D2B">
        <w:rPr>
          <w:kern w:val="0"/>
        </w:rPr>
        <w:t>scientific production</w:t>
      </w:r>
      <w:r w:rsidR="00427468">
        <w:rPr>
          <w:kern w:val="0"/>
        </w:rPr>
        <w:t xml:space="preserve"> of </w:t>
      </w:r>
      <w:r w:rsidRPr="001A3D2B">
        <w:rPr>
          <w:kern w:val="0"/>
        </w:rPr>
        <w:t>66 full professors (level MS-6) revealed 1,960 scientific articles published in 630 scientific journals,</w:t>
      </w:r>
      <w:r w:rsidR="00427468">
        <w:rPr>
          <w:kern w:val="0"/>
        </w:rPr>
        <w:t xml:space="preserve"> of </w:t>
      </w:r>
      <w:r w:rsidRPr="001A3D2B">
        <w:rPr>
          <w:kern w:val="0"/>
        </w:rPr>
        <w:t>which 31.3% were Brazilian</w:t>
      </w:r>
      <w:r w:rsidR="005853A9">
        <w:rPr>
          <w:kern w:val="0"/>
        </w:rPr>
        <w:t xml:space="preserve"> and </w:t>
      </w:r>
      <w:r w:rsidRPr="001A3D2B">
        <w:rPr>
          <w:kern w:val="0"/>
        </w:rPr>
        <w:t>68.7% were from international sources. Among these, 47%</w:t>
      </w:r>
      <w:r w:rsidR="00427468">
        <w:rPr>
          <w:kern w:val="0"/>
        </w:rPr>
        <w:t xml:space="preserve"> of </w:t>
      </w:r>
      <w:r w:rsidR="003A1917">
        <w:rPr>
          <w:kern w:val="0"/>
        </w:rPr>
        <w:t xml:space="preserve">the </w:t>
      </w:r>
      <w:r w:rsidRPr="001A3D2B">
        <w:rPr>
          <w:kern w:val="0"/>
        </w:rPr>
        <w:t>articles were published in 62.9%</w:t>
      </w:r>
      <w:r w:rsidR="00427468">
        <w:rPr>
          <w:kern w:val="0"/>
        </w:rPr>
        <w:t xml:space="preserve"> of </w:t>
      </w:r>
      <w:r w:rsidR="003A1917">
        <w:rPr>
          <w:kern w:val="0"/>
        </w:rPr>
        <w:t xml:space="preserve">the </w:t>
      </w:r>
      <w:r w:rsidRPr="001A3D2B">
        <w:rPr>
          <w:kern w:val="0"/>
        </w:rPr>
        <w:t>journals with IFs above 10, although 16.4%</w:t>
      </w:r>
      <w:r w:rsidR="00427468">
        <w:rPr>
          <w:kern w:val="0"/>
        </w:rPr>
        <w:t xml:space="preserve"> of </w:t>
      </w:r>
      <w:r w:rsidR="003A1917">
        <w:rPr>
          <w:kern w:val="0"/>
        </w:rPr>
        <w:t xml:space="preserve">the </w:t>
      </w:r>
      <w:r w:rsidRPr="001A3D2B">
        <w:rPr>
          <w:kern w:val="0"/>
        </w:rPr>
        <w:t>journals did not have assigned IF values. We verified that 45%</w:t>
      </w:r>
      <w:r w:rsidR="00427468">
        <w:rPr>
          <w:kern w:val="0"/>
        </w:rPr>
        <w:t xml:space="preserve"> of </w:t>
      </w:r>
      <w:r w:rsidR="003A1917">
        <w:rPr>
          <w:kern w:val="0"/>
        </w:rPr>
        <w:t xml:space="preserve">the </w:t>
      </w:r>
      <w:r w:rsidRPr="001A3D2B">
        <w:rPr>
          <w:kern w:val="0"/>
        </w:rPr>
        <w:t>published articles received 9,335 citations (average</w:t>
      </w:r>
      <w:r w:rsidR="00427468">
        <w:rPr>
          <w:kern w:val="0"/>
        </w:rPr>
        <w:t xml:space="preserve"> of </w:t>
      </w:r>
      <w:r w:rsidRPr="001A3D2B">
        <w:rPr>
          <w:kern w:val="0"/>
        </w:rPr>
        <w:t>11 + 17), with</w:t>
      </w:r>
      <w:r w:rsidR="003A1917">
        <w:rPr>
          <w:kern w:val="0"/>
        </w:rPr>
        <w:t xml:space="preserve"> the </w:t>
      </w:r>
      <w:r w:rsidRPr="001A3D2B">
        <w:rPr>
          <w:kern w:val="0"/>
        </w:rPr>
        <w:t>majority</w:t>
      </w:r>
      <w:r w:rsidR="00427468">
        <w:rPr>
          <w:kern w:val="0"/>
        </w:rPr>
        <w:t xml:space="preserve"> of </w:t>
      </w:r>
      <w:r w:rsidRPr="001A3D2B">
        <w:rPr>
          <w:kern w:val="0"/>
        </w:rPr>
        <w:t>these (8,968 citations) appearing in international scientific journals. CONCLUSIONS: Our results indicate that it is possible to analyze</w:t>
      </w:r>
      <w:r w:rsidR="003A1917">
        <w:rPr>
          <w:kern w:val="0"/>
        </w:rPr>
        <w:t xml:space="preserve"> the </w:t>
      </w:r>
      <w:r w:rsidRPr="001A3D2B">
        <w:rPr>
          <w:kern w:val="0"/>
        </w:rPr>
        <w:t>scientific production</w:t>
      </w:r>
      <w:r w:rsidR="00427468">
        <w:rPr>
          <w:kern w:val="0"/>
        </w:rPr>
        <w:t xml:space="preserve"> of </w:t>
      </w:r>
      <w:r w:rsidRPr="001A3D2B">
        <w:rPr>
          <w:kern w:val="0"/>
        </w:rPr>
        <w:t>a learning institution by</w:t>
      </w:r>
      <w:r w:rsidR="003A1917">
        <w:rPr>
          <w:kern w:val="0"/>
        </w:rPr>
        <w:t xml:space="preserve"> the </w:t>
      </w:r>
      <w:r w:rsidRPr="001A3D2B">
        <w:rPr>
          <w:kern w:val="0"/>
        </w:rPr>
        <w:t>number</w:t>
      </w:r>
      <w:r w:rsidR="00427468">
        <w:rPr>
          <w:kern w:val="0"/>
        </w:rPr>
        <w:t xml:space="preserve"> of </w:t>
      </w:r>
      <w:r w:rsidRPr="001A3D2B">
        <w:rPr>
          <w:kern w:val="0"/>
        </w:rPr>
        <w:t>papers published by full professors, taking into account not only their academic position</w:t>
      </w:r>
      <w:r w:rsidR="005853A9">
        <w:rPr>
          <w:kern w:val="0"/>
        </w:rPr>
        <w:t xml:space="preserve"> and </w:t>
      </w:r>
      <w:r w:rsidRPr="001A3D2B">
        <w:rPr>
          <w:kern w:val="0"/>
        </w:rPr>
        <w:t>influence, but also</w:t>
      </w:r>
      <w:r w:rsidR="003A1917">
        <w:rPr>
          <w:kern w:val="0"/>
        </w:rPr>
        <w:t xml:space="preserve"> the </w:t>
      </w:r>
      <w:r w:rsidRPr="001A3D2B">
        <w:rPr>
          <w:kern w:val="0"/>
        </w:rPr>
        <w:t>fact that publication is an opportunity to stimulate joint projects with other members</w:t>
      </w:r>
      <w:r w:rsidR="00427468">
        <w:rPr>
          <w:kern w:val="0"/>
        </w:rPr>
        <w:t xml:space="preserve"> of </w:t>
      </w:r>
      <w:r w:rsidR="003A1917">
        <w:rPr>
          <w:kern w:val="0"/>
        </w:rPr>
        <w:t xml:space="preserve">the </w:t>
      </w:r>
      <w:r w:rsidRPr="001A3D2B">
        <w:rPr>
          <w:kern w:val="0"/>
        </w:rPr>
        <w:t>same institution.</w:t>
      </w:r>
    </w:p>
    <w:p w:rsidR="005B1BA9" w:rsidRPr="001A3D2B" w:rsidRDefault="005B1BA9" w:rsidP="005B1BA9">
      <w:pPr>
        <w:pStyle w:val="a3"/>
        <w:rPr>
          <w:kern w:val="0"/>
        </w:rPr>
      </w:pPr>
      <w:r w:rsidRPr="001A3D2B">
        <w:rPr>
          <w:kern w:val="0"/>
        </w:rPr>
        <w:t xml:space="preserve">Keywords: Bibliometric Indicators, Citation, Citations, Evaluation, Impact, Impact Factor, </w:t>
      </w:r>
      <w:r w:rsidR="00D5664A">
        <w:rPr>
          <w:kern w:val="0"/>
        </w:rPr>
        <w:t>MEDLINE</w:t>
      </w:r>
      <w:r w:rsidRPr="001A3D2B">
        <w:rPr>
          <w:kern w:val="0"/>
        </w:rPr>
        <w:t>, Utilization, Research Personnel, Statistics</w:t>
      </w:r>
      <w:r w:rsidR="005853A9">
        <w:rPr>
          <w:kern w:val="0"/>
        </w:rPr>
        <w:t xml:space="preserve"> and </w:t>
      </w:r>
      <w:r w:rsidRPr="001A3D2B">
        <w:rPr>
          <w:kern w:val="0"/>
        </w:rPr>
        <w:t>Numerical Data, Scielo, Scientific Publication Indicators</w:t>
      </w:r>
    </w:p>
    <w:p w:rsidR="00AC5583" w:rsidRDefault="00AC5583" w:rsidP="00AC5583">
      <w:pPr>
        <w:pStyle w:val="a3"/>
        <w:rPr>
          <w:kern w:val="0"/>
        </w:rPr>
      </w:pPr>
      <w:r>
        <w:rPr>
          <w:rFonts w:hint="eastAsia"/>
          <w:kern w:val="0"/>
        </w:rPr>
        <w:t xml:space="preserve">? </w:t>
      </w:r>
      <w:r w:rsidR="00771250">
        <w:rPr>
          <w:kern w:val="0"/>
        </w:rPr>
        <w:t>Rocha-e-Silva</w:t>
      </w:r>
      <w:r w:rsidR="00771250">
        <w:rPr>
          <w:rFonts w:hint="eastAsia"/>
          <w:kern w:val="0"/>
        </w:rPr>
        <w:t>, M.</w:t>
      </w:r>
      <w:r>
        <w:rPr>
          <w:kern w:val="0"/>
        </w:rPr>
        <w:t xml:space="preserve"> (2009), Recent trends in Brazilian medical research. An overview. </w:t>
      </w:r>
      <w:r>
        <w:rPr>
          <w:i/>
          <w:iCs/>
          <w:kern w:val="0"/>
        </w:rPr>
        <w:t>Clinics</w:t>
      </w:r>
      <w:r>
        <w:rPr>
          <w:kern w:val="0"/>
        </w:rPr>
        <w:t xml:space="preserve">, </w:t>
      </w:r>
      <w:r>
        <w:rPr>
          <w:b/>
          <w:bCs/>
          <w:kern w:val="0"/>
        </w:rPr>
        <w:t>64</w:t>
      </w:r>
      <w:r>
        <w:rPr>
          <w:kern w:val="0"/>
        </w:rPr>
        <w:t xml:space="preserve"> (10), 1007-1013.</w:t>
      </w:r>
    </w:p>
    <w:p w:rsidR="00AC5583" w:rsidRDefault="00AC5583" w:rsidP="00AC5583">
      <w:pPr>
        <w:pStyle w:val="a3"/>
        <w:rPr>
          <w:kern w:val="0"/>
          <w:szCs w:val="24"/>
        </w:rPr>
      </w:pPr>
      <w:r>
        <w:rPr>
          <w:rFonts w:hint="eastAsia"/>
          <w:kern w:val="0"/>
          <w:szCs w:val="24"/>
        </w:rPr>
        <w:t xml:space="preserve">Full Text: </w:t>
      </w:r>
      <w:hyperlink r:id="rId472" w:history="1">
        <w:r w:rsidRPr="00AC5583">
          <w:rPr>
            <w:rStyle w:val="a5"/>
            <w:kern w:val="0"/>
            <w:szCs w:val="24"/>
          </w:rPr>
          <w:t>2009\Clinics64, 1007.pdf</w:t>
        </w:r>
      </w:hyperlink>
    </w:p>
    <w:p w:rsidR="00AC5583" w:rsidRDefault="00AC5583" w:rsidP="00AC5583">
      <w:pPr>
        <w:pStyle w:val="a3"/>
        <w:rPr>
          <w:kern w:val="0"/>
        </w:rPr>
      </w:pPr>
      <w:r>
        <w:rPr>
          <w:kern w:val="0"/>
        </w:rPr>
        <w:t xml:space="preserve">Abstract: This article reviews 69 original research articles published in 6 Brazilian </w:t>
      </w:r>
      <w:r>
        <w:rPr>
          <w:kern w:val="0"/>
        </w:rPr>
        <w:lastRenderedPageBreak/>
        <w:t>Medical Journals recently incorporated into</w:t>
      </w:r>
      <w:r w:rsidR="003A1917">
        <w:rPr>
          <w:kern w:val="0"/>
        </w:rPr>
        <w:t xml:space="preserve"> the </w:t>
      </w:r>
      <w:r>
        <w:rPr>
          <w:kern w:val="0"/>
        </w:rPr>
        <w:t>Institute for Scientific Information Journal</w:t>
      </w:r>
      <w:r w:rsidR="00427468">
        <w:rPr>
          <w:kern w:val="0"/>
        </w:rPr>
        <w:t xml:space="preserve"> of </w:t>
      </w:r>
      <w:r>
        <w:rPr>
          <w:kern w:val="0"/>
        </w:rPr>
        <w:t>Citation Reports, with a view</w:t>
      </w:r>
      <w:r w:rsidR="00427468">
        <w:rPr>
          <w:kern w:val="0"/>
        </w:rPr>
        <w:t xml:space="preserve"> of </w:t>
      </w:r>
      <w:r>
        <w:rPr>
          <w:kern w:val="0"/>
        </w:rPr>
        <w:t>making them comprehensively available to</w:t>
      </w:r>
      <w:r w:rsidR="003A1917">
        <w:rPr>
          <w:kern w:val="0"/>
        </w:rPr>
        <w:t xml:space="preserve"> the </w:t>
      </w:r>
      <w:r>
        <w:rPr>
          <w:kern w:val="0"/>
        </w:rPr>
        <w:t>readership</w:t>
      </w:r>
      <w:r w:rsidR="00427468">
        <w:rPr>
          <w:kern w:val="0"/>
        </w:rPr>
        <w:t xml:space="preserve"> of </w:t>
      </w:r>
      <w:r>
        <w:rPr>
          <w:kern w:val="0"/>
        </w:rPr>
        <w:t>CLINICS within a subject category division. We expect this review to increase</w:t>
      </w:r>
      <w:r w:rsidR="003A1917">
        <w:rPr>
          <w:kern w:val="0"/>
        </w:rPr>
        <w:t xml:space="preserve"> the </w:t>
      </w:r>
      <w:r>
        <w:rPr>
          <w:kern w:val="0"/>
        </w:rPr>
        <w:t>visibility</w:t>
      </w:r>
      <w:r w:rsidR="00427468">
        <w:rPr>
          <w:kern w:val="0"/>
        </w:rPr>
        <w:t xml:space="preserve"> of </w:t>
      </w:r>
      <w:r>
        <w:rPr>
          <w:kern w:val="0"/>
        </w:rPr>
        <w:t>a wide specter</w:t>
      </w:r>
      <w:r w:rsidR="00427468">
        <w:rPr>
          <w:kern w:val="0"/>
        </w:rPr>
        <w:t xml:space="preserve"> of </w:t>
      </w:r>
      <w:r>
        <w:rPr>
          <w:kern w:val="0"/>
        </w:rPr>
        <w:t>original Brazilian research which may otherwise remain relatively unseen by</w:t>
      </w:r>
      <w:r w:rsidR="003A1917">
        <w:rPr>
          <w:kern w:val="0"/>
        </w:rPr>
        <w:t xml:space="preserve"> the </w:t>
      </w:r>
      <w:r>
        <w:rPr>
          <w:kern w:val="0"/>
        </w:rPr>
        <w:t>interested readership.</w:t>
      </w:r>
    </w:p>
    <w:p w:rsidR="00AC5583" w:rsidRDefault="00AC5583" w:rsidP="00AC5583">
      <w:pPr>
        <w:pStyle w:val="a3"/>
        <w:rPr>
          <w:kern w:val="0"/>
        </w:rPr>
      </w:pPr>
      <w:r>
        <w:rPr>
          <w:kern w:val="0"/>
        </w:rPr>
        <w:t>Keywords: Brazil, Cancer, Citation, Clinics, Coronary-Artery-Disease, Exercise, Heart-Failure, Journal, Metabolic Syndrome, Myocardial Revascularization, Nutritional-Status, Quality</w:t>
      </w:r>
      <w:r w:rsidR="00434900">
        <w:rPr>
          <w:kern w:val="0"/>
        </w:rPr>
        <w:t>-of-</w:t>
      </w:r>
      <w:r>
        <w:rPr>
          <w:kern w:val="0"/>
        </w:rPr>
        <w:t>Life, Randomized Clinical-Trial, Research, Review, Sao-Paulo, Scientific Information, Trends, Visibility</w:t>
      </w:r>
    </w:p>
    <w:p w:rsidR="00E71E31" w:rsidRDefault="00E71E31" w:rsidP="00E71E31">
      <w:pPr>
        <w:pStyle w:val="a3"/>
        <w:rPr>
          <w:kern w:val="0"/>
          <w:szCs w:val="24"/>
        </w:rPr>
      </w:pPr>
      <w:r>
        <w:rPr>
          <w:rFonts w:hint="eastAsia"/>
          <w:kern w:val="0"/>
          <w:szCs w:val="24"/>
        </w:rPr>
        <w:t xml:space="preserve">? </w:t>
      </w:r>
      <w:r>
        <w:rPr>
          <w:kern w:val="0"/>
          <w:szCs w:val="24"/>
        </w:rPr>
        <w:t>Heldwein, F.L., Hartmann, A.A., Kalil, A.N., Neves, B.V.D., Ratti, G.S.B., Beber, M.C., Souza, R.M.</w:t>
      </w:r>
      <w:r w:rsidR="005853A9">
        <w:rPr>
          <w:kern w:val="0"/>
          <w:szCs w:val="24"/>
        </w:rPr>
        <w:t xml:space="preserve"> and </w:t>
      </w:r>
      <w:r>
        <w:rPr>
          <w:kern w:val="0"/>
          <w:szCs w:val="24"/>
        </w:rPr>
        <w:t>d</w:t>
      </w:r>
      <w:r w:rsidR="0071223E">
        <w:rPr>
          <w:kern w:val="0"/>
          <w:szCs w:val="24"/>
        </w:rPr>
        <w:t>’</w:t>
      </w:r>
      <w:r>
        <w:rPr>
          <w:kern w:val="0"/>
          <w:szCs w:val="24"/>
        </w:rPr>
        <w:t>Acampora, A.J. (2010), Cited Brazilian papers in general surgery between 1970</w:t>
      </w:r>
      <w:r w:rsidR="005853A9">
        <w:rPr>
          <w:kern w:val="0"/>
          <w:szCs w:val="24"/>
        </w:rPr>
        <w:t xml:space="preserve"> and </w:t>
      </w:r>
      <w:r>
        <w:rPr>
          <w:kern w:val="0"/>
          <w:szCs w:val="24"/>
        </w:rPr>
        <w:t xml:space="preserve">2009. </w:t>
      </w:r>
      <w:r>
        <w:rPr>
          <w:i/>
          <w:iCs/>
          <w:kern w:val="0"/>
          <w:szCs w:val="24"/>
        </w:rPr>
        <w:t>Clinics</w:t>
      </w:r>
      <w:r>
        <w:rPr>
          <w:kern w:val="0"/>
          <w:szCs w:val="24"/>
        </w:rPr>
        <w:t xml:space="preserve">, </w:t>
      </w:r>
      <w:r>
        <w:rPr>
          <w:b/>
          <w:bCs/>
          <w:kern w:val="0"/>
          <w:szCs w:val="24"/>
        </w:rPr>
        <w:t>65</w:t>
      </w:r>
      <w:r>
        <w:rPr>
          <w:kern w:val="0"/>
          <w:szCs w:val="24"/>
        </w:rPr>
        <w:t xml:space="preserve"> (5), 521-529.</w:t>
      </w:r>
    </w:p>
    <w:p w:rsidR="00E71E31" w:rsidRDefault="00E71E31" w:rsidP="00E71E31">
      <w:pPr>
        <w:pStyle w:val="a3"/>
        <w:rPr>
          <w:kern w:val="0"/>
          <w:szCs w:val="24"/>
        </w:rPr>
      </w:pPr>
      <w:r>
        <w:rPr>
          <w:rFonts w:hint="eastAsia"/>
          <w:kern w:val="0"/>
          <w:szCs w:val="24"/>
        </w:rPr>
        <w:t xml:space="preserve">Full Text: </w:t>
      </w:r>
      <w:hyperlink r:id="rId473" w:history="1">
        <w:r w:rsidRPr="004A0A05">
          <w:rPr>
            <w:rStyle w:val="a5"/>
            <w:kern w:val="0"/>
            <w:szCs w:val="24"/>
          </w:rPr>
          <w:t>2010\Clinics65, 521.pdf</w:t>
        </w:r>
      </w:hyperlink>
    </w:p>
    <w:p w:rsidR="00E71E31" w:rsidRDefault="00E71E31" w:rsidP="00E71E31">
      <w:pPr>
        <w:pStyle w:val="a3"/>
        <w:rPr>
          <w:kern w:val="0"/>
          <w:szCs w:val="24"/>
        </w:rPr>
      </w:pPr>
      <w:r>
        <w:rPr>
          <w:kern w:val="0"/>
          <w:szCs w:val="24"/>
        </w:rPr>
        <w:t>Abstract: OBJECTIVES: To identify</w:t>
      </w:r>
      <w:r w:rsidR="003A1917">
        <w:rPr>
          <w:kern w:val="0"/>
          <w:szCs w:val="24"/>
        </w:rPr>
        <w:t xml:space="preserve"> the </w:t>
      </w:r>
      <w:r>
        <w:rPr>
          <w:kern w:val="0"/>
          <w:szCs w:val="24"/>
        </w:rPr>
        <w:t>most cited articles in general surgery published by Brazilian authors. INTRODUCTION: There are several ways for</w:t>
      </w:r>
      <w:r w:rsidR="003A1917">
        <w:rPr>
          <w:kern w:val="0"/>
          <w:szCs w:val="24"/>
        </w:rPr>
        <w:t xml:space="preserve"> the </w:t>
      </w:r>
      <w:r>
        <w:rPr>
          <w:kern w:val="0"/>
          <w:szCs w:val="24"/>
        </w:rPr>
        <w:t>international community to recognize</w:t>
      </w:r>
      <w:r w:rsidR="003A1917">
        <w:rPr>
          <w:kern w:val="0"/>
          <w:szCs w:val="24"/>
        </w:rPr>
        <w:t xml:space="preserve"> the </w:t>
      </w:r>
      <w:r>
        <w:rPr>
          <w:kern w:val="0"/>
          <w:szCs w:val="24"/>
        </w:rPr>
        <w:t>quality</w:t>
      </w:r>
      <w:r w:rsidR="00427468">
        <w:rPr>
          <w:kern w:val="0"/>
          <w:szCs w:val="24"/>
        </w:rPr>
        <w:t xml:space="preserve"> of </w:t>
      </w:r>
      <w:r>
        <w:rPr>
          <w:kern w:val="0"/>
          <w:szCs w:val="24"/>
        </w:rPr>
        <w:t>a scientific article. Although controversial,</w:t>
      </w:r>
      <w:r w:rsidR="003A1917">
        <w:rPr>
          <w:kern w:val="0"/>
          <w:szCs w:val="24"/>
        </w:rPr>
        <w:t xml:space="preserve"> the </w:t>
      </w:r>
      <w:r>
        <w:rPr>
          <w:kern w:val="0"/>
          <w:szCs w:val="24"/>
        </w:rPr>
        <w:t>most widely used</w:t>
      </w:r>
      <w:r w:rsidR="005853A9">
        <w:rPr>
          <w:kern w:val="0"/>
          <w:szCs w:val="24"/>
        </w:rPr>
        <w:t xml:space="preserve"> and </w:t>
      </w:r>
      <w:r>
        <w:rPr>
          <w:kern w:val="0"/>
          <w:szCs w:val="24"/>
        </w:rPr>
        <w:t>reliable methodology to identify</w:t>
      </w:r>
      <w:r w:rsidR="003A1917">
        <w:rPr>
          <w:kern w:val="0"/>
          <w:szCs w:val="24"/>
        </w:rPr>
        <w:t xml:space="preserve"> the </w:t>
      </w:r>
      <w:r>
        <w:rPr>
          <w:kern w:val="0"/>
          <w:szCs w:val="24"/>
        </w:rPr>
        <w:t>importance</w:t>
      </w:r>
      <w:r w:rsidR="00427468">
        <w:rPr>
          <w:kern w:val="0"/>
          <w:szCs w:val="24"/>
        </w:rPr>
        <w:t xml:space="preserve"> of </w:t>
      </w:r>
      <w:r>
        <w:rPr>
          <w:kern w:val="0"/>
          <w:szCs w:val="24"/>
        </w:rPr>
        <w:t>an article is citation analysis. METHODS: A search using</w:t>
      </w:r>
      <w:r w:rsidR="003A1917">
        <w:rPr>
          <w:kern w:val="0"/>
          <w:szCs w:val="24"/>
        </w:rPr>
        <w:t xml:space="preserve"> the </w:t>
      </w:r>
      <w:r>
        <w:rPr>
          <w:kern w:val="0"/>
          <w:szCs w:val="24"/>
        </w:rPr>
        <w:t>Institute for Scientific Information citation database (Science Citation Index Expanded) was performed to identify highly cited Brazilian papers published in twenty-six highly cited general surgery journals, selected based on their elevated impact factors, from 1970 to 2009. Further analysis was done on</w:t>
      </w:r>
      <w:r w:rsidR="003A1917">
        <w:rPr>
          <w:kern w:val="0"/>
          <w:szCs w:val="24"/>
        </w:rPr>
        <w:t xml:space="preserve"> the </w:t>
      </w:r>
      <w:r>
        <w:rPr>
          <w:kern w:val="0"/>
          <w:szCs w:val="24"/>
        </w:rPr>
        <w:t>65 most-cited papers. RESULTS: We identified 1,713 Brazilian articles, from which nine papers emerged as classics (more than 100 citations received). For</w:t>
      </w:r>
      <w:r w:rsidR="003A1917">
        <w:rPr>
          <w:kern w:val="0"/>
          <w:szCs w:val="24"/>
        </w:rPr>
        <w:t xml:space="preserve"> the </w:t>
      </w:r>
      <w:r>
        <w:rPr>
          <w:kern w:val="0"/>
          <w:szCs w:val="24"/>
        </w:rPr>
        <w:t>Brazilian contributions, a total increase</w:t>
      </w:r>
      <w:r w:rsidR="00427468">
        <w:rPr>
          <w:kern w:val="0"/>
          <w:szCs w:val="24"/>
        </w:rPr>
        <w:t xml:space="preserve"> of </w:t>
      </w:r>
      <w:r>
        <w:rPr>
          <w:kern w:val="0"/>
          <w:szCs w:val="24"/>
        </w:rPr>
        <w:t>about 21-fold was evident between 1970</w:t>
      </w:r>
      <w:r w:rsidR="005853A9">
        <w:rPr>
          <w:kern w:val="0"/>
          <w:szCs w:val="24"/>
        </w:rPr>
        <w:t xml:space="preserve"> and </w:t>
      </w:r>
      <w:r>
        <w:rPr>
          <w:kern w:val="0"/>
          <w:szCs w:val="24"/>
        </w:rPr>
        <w:t>2009. Although several topics were covered, articles covering trauma, oncology</w:t>
      </w:r>
      <w:r w:rsidR="005853A9">
        <w:rPr>
          <w:kern w:val="0"/>
          <w:szCs w:val="24"/>
        </w:rPr>
        <w:t xml:space="preserve"> and </w:t>
      </w:r>
      <w:r>
        <w:rPr>
          <w:kern w:val="0"/>
          <w:szCs w:val="24"/>
        </w:rPr>
        <w:t>organ transplantation were</w:t>
      </w:r>
      <w:r w:rsidR="003A1917">
        <w:rPr>
          <w:kern w:val="0"/>
          <w:szCs w:val="24"/>
        </w:rPr>
        <w:t xml:space="preserve"> the </w:t>
      </w:r>
      <w:r>
        <w:rPr>
          <w:kern w:val="0"/>
          <w:szCs w:val="24"/>
        </w:rPr>
        <w:t>most cited</w:t>
      </w:r>
      <w:r w:rsidR="00A37C1D">
        <w:rPr>
          <w:kern w:val="0"/>
          <w:szCs w:val="24"/>
        </w:rPr>
        <w:t>. The</w:t>
      </w:r>
      <w:r w:rsidR="003A1917">
        <w:rPr>
          <w:kern w:val="0"/>
          <w:szCs w:val="24"/>
        </w:rPr>
        <w:t xml:space="preserve"> </w:t>
      </w:r>
      <w:r>
        <w:rPr>
          <w:kern w:val="0"/>
          <w:szCs w:val="24"/>
        </w:rPr>
        <w:t>majority</w:t>
      </w:r>
      <w:r w:rsidR="00427468">
        <w:rPr>
          <w:kern w:val="0"/>
          <w:szCs w:val="24"/>
        </w:rPr>
        <w:t xml:space="preserve"> of </w:t>
      </w:r>
      <w:r>
        <w:rPr>
          <w:kern w:val="0"/>
          <w:szCs w:val="24"/>
        </w:rPr>
        <w:t>classic studies were done with international cooperation. CONCLUSIONS: This study identified</w:t>
      </w:r>
      <w:r w:rsidR="003A1917">
        <w:rPr>
          <w:kern w:val="0"/>
          <w:szCs w:val="24"/>
        </w:rPr>
        <w:t xml:space="preserve"> the </w:t>
      </w:r>
      <w:r>
        <w:rPr>
          <w:kern w:val="0"/>
          <w:szCs w:val="24"/>
        </w:rPr>
        <w:t>most influential Brazilian articles published in internationally renowned general surgery journals.</w:t>
      </w:r>
    </w:p>
    <w:p w:rsidR="00E71E31" w:rsidRDefault="00E71E31" w:rsidP="00E71E31">
      <w:pPr>
        <w:pStyle w:val="a3"/>
        <w:rPr>
          <w:kern w:val="0"/>
          <w:szCs w:val="24"/>
        </w:rPr>
      </w:pPr>
      <w:r>
        <w:rPr>
          <w:kern w:val="0"/>
          <w:szCs w:val="24"/>
        </w:rPr>
        <w:t>Keywords: 100 Citation-Classics, Cancer, Classical Article, Journals, Peer Review, Surgery, History, Surgery, Statistics</w:t>
      </w:r>
      <w:r w:rsidR="005853A9">
        <w:rPr>
          <w:kern w:val="0"/>
          <w:szCs w:val="24"/>
        </w:rPr>
        <w:t xml:space="preserve"> and </w:t>
      </w:r>
      <w:r>
        <w:rPr>
          <w:kern w:val="0"/>
          <w:szCs w:val="24"/>
        </w:rPr>
        <w:t>Numerical Data, Transplantation</w:t>
      </w:r>
    </w:p>
    <w:p w:rsidR="00E71E31" w:rsidRDefault="00E71E31" w:rsidP="00E71E31">
      <w:pPr>
        <w:pStyle w:val="a3"/>
        <w:rPr>
          <w:kern w:val="0"/>
          <w:szCs w:val="24"/>
        </w:rPr>
      </w:pPr>
      <w:r>
        <w:rPr>
          <w:rFonts w:hint="eastAsia"/>
          <w:kern w:val="0"/>
          <w:szCs w:val="24"/>
        </w:rPr>
        <w:t xml:space="preserve">? </w:t>
      </w:r>
      <w:r>
        <w:t>Rocha-e-Silva</w:t>
      </w:r>
      <w:r>
        <w:rPr>
          <w:rFonts w:hint="eastAsia"/>
        </w:rPr>
        <w:t xml:space="preserve">, </w:t>
      </w:r>
      <w:r>
        <w:rPr>
          <w:rFonts w:hint="eastAsia"/>
          <w:kern w:val="0"/>
          <w:szCs w:val="24"/>
        </w:rPr>
        <w:t>M</w:t>
      </w:r>
      <w:r>
        <w:rPr>
          <w:kern w:val="0"/>
          <w:szCs w:val="24"/>
        </w:rPr>
        <w:t>. (201</w:t>
      </w:r>
      <w:r>
        <w:rPr>
          <w:rFonts w:hint="eastAsia"/>
          <w:kern w:val="0"/>
          <w:szCs w:val="24"/>
        </w:rPr>
        <w:t>1</w:t>
      </w:r>
      <w:r>
        <w:rPr>
          <w:kern w:val="0"/>
          <w:szCs w:val="24"/>
        </w:rPr>
        <w:t xml:space="preserve">), </w:t>
      </w:r>
      <w:r w:rsidRPr="001A040A">
        <w:rPr>
          <w:kern w:val="0"/>
          <w:szCs w:val="24"/>
        </w:rPr>
        <w:t>Continuously variable rating: A new, simple</w:t>
      </w:r>
      <w:r w:rsidR="005853A9">
        <w:rPr>
          <w:kern w:val="0"/>
          <w:szCs w:val="24"/>
        </w:rPr>
        <w:t xml:space="preserve"> and </w:t>
      </w:r>
      <w:r w:rsidRPr="001A040A">
        <w:rPr>
          <w:kern w:val="0"/>
          <w:szCs w:val="24"/>
        </w:rPr>
        <w:t>logical procedure to evaluate original scientific</w:t>
      </w:r>
      <w:r>
        <w:rPr>
          <w:rFonts w:hint="eastAsia"/>
          <w:kern w:val="0"/>
          <w:szCs w:val="24"/>
        </w:rPr>
        <w:t xml:space="preserve"> publications</w:t>
      </w:r>
      <w:r>
        <w:rPr>
          <w:kern w:val="0"/>
          <w:szCs w:val="24"/>
        </w:rPr>
        <w:t xml:space="preserve">. </w:t>
      </w:r>
      <w:r>
        <w:rPr>
          <w:i/>
          <w:iCs/>
          <w:kern w:val="0"/>
          <w:szCs w:val="24"/>
        </w:rPr>
        <w:t>Clinics</w:t>
      </w:r>
      <w:r>
        <w:rPr>
          <w:kern w:val="0"/>
          <w:szCs w:val="24"/>
        </w:rPr>
        <w:t xml:space="preserve">, </w:t>
      </w:r>
      <w:r>
        <w:rPr>
          <w:b/>
          <w:bCs/>
          <w:kern w:val="0"/>
          <w:szCs w:val="24"/>
        </w:rPr>
        <w:t>6</w:t>
      </w:r>
      <w:r>
        <w:rPr>
          <w:rFonts w:hint="eastAsia"/>
          <w:b/>
          <w:bCs/>
          <w:kern w:val="0"/>
          <w:szCs w:val="24"/>
        </w:rPr>
        <w:t>6</w:t>
      </w:r>
      <w:r>
        <w:rPr>
          <w:kern w:val="0"/>
          <w:szCs w:val="24"/>
        </w:rPr>
        <w:t xml:space="preserve"> (</w:t>
      </w:r>
      <w:r>
        <w:rPr>
          <w:rFonts w:hint="eastAsia"/>
          <w:kern w:val="0"/>
          <w:szCs w:val="24"/>
        </w:rPr>
        <w:t>12</w:t>
      </w:r>
      <w:r>
        <w:rPr>
          <w:kern w:val="0"/>
          <w:szCs w:val="24"/>
        </w:rPr>
        <w:t xml:space="preserve">), </w:t>
      </w:r>
      <w:r>
        <w:rPr>
          <w:rFonts w:hint="eastAsia"/>
          <w:kern w:val="0"/>
          <w:szCs w:val="24"/>
        </w:rPr>
        <w:t>2099</w:t>
      </w:r>
      <w:r>
        <w:rPr>
          <w:kern w:val="0"/>
          <w:szCs w:val="24"/>
        </w:rPr>
        <w:t>-</w:t>
      </w:r>
      <w:r>
        <w:rPr>
          <w:rFonts w:hint="eastAsia"/>
          <w:kern w:val="0"/>
          <w:szCs w:val="24"/>
        </w:rPr>
        <w:t>2014</w:t>
      </w:r>
      <w:r>
        <w:rPr>
          <w:kern w:val="0"/>
          <w:szCs w:val="24"/>
        </w:rPr>
        <w:t>.</w:t>
      </w:r>
    </w:p>
    <w:p w:rsidR="00E71E31" w:rsidRDefault="00E71E31" w:rsidP="00E71E31">
      <w:pPr>
        <w:pStyle w:val="a3"/>
        <w:rPr>
          <w:kern w:val="0"/>
          <w:szCs w:val="24"/>
        </w:rPr>
      </w:pPr>
      <w:r>
        <w:rPr>
          <w:rFonts w:hint="eastAsia"/>
          <w:kern w:val="0"/>
          <w:szCs w:val="24"/>
        </w:rPr>
        <w:t xml:space="preserve">Full Text: </w:t>
      </w:r>
      <w:hyperlink r:id="rId474" w:history="1">
        <w:r w:rsidRPr="001A040A">
          <w:rPr>
            <w:rStyle w:val="a5"/>
            <w:kern w:val="0"/>
            <w:szCs w:val="24"/>
          </w:rPr>
          <w:t>2011\Clinics66, 2099.pdf</w:t>
        </w:r>
      </w:hyperlink>
    </w:p>
    <w:p w:rsidR="00E71E31" w:rsidRPr="001A040A" w:rsidRDefault="00E71E31" w:rsidP="00E71E31">
      <w:pPr>
        <w:pStyle w:val="a3"/>
        <w:rPr>
          <w:kern w:val="0"/>
          <w:szCs w:val="24"/>
        </w:rPr>
      </w:pPr>
      <w:r>
        <w:rPr>
          <w:rFonts w:hint="eastAsia"/>
          <w:kern w:val="0"/>
          <w:szCs w:val="24"/>
        </w:rPr>
        <w:t xml:space="preserve">Abstract: </w:t>
      </w:r>
      <w:r w:rsidRPr="001A040A">
        <w:rPr>
          <w:kern w:val="0"/>
          <w:szCs w:val="24"/>
        </w:rPr>
        <w:t>OBJECTIVE: Impact Factors (IF) are widely used surrogates to evaluate single articles, in spite</w:t>
      </w:r>
      <w:r w:rsidR="00427468">
        <w:rPr>
          <w:kern w:val="0"/>
          <w:szCs w:val="24"/>
        </w:rPr>
        <w:t xml:space="preserve"> of </w:t>
      </w:r>
      <w:r w:rsidRPr="001A040A">
        <w:rPr>
          <w:kern w:val="0"/>
          <w:szCs w:val="24"/>
        </w:rPr>
        <w:t>known shortcomings</w:t>
      </w:r>
      <w:r>
        <w:rPr>
          <w:kern w:val="0"/>
          <w:szCs w:val="24"/>
        </w:rPr>
        <w:t xml:space="preserve"> </w:t>
      </w:r>
      <w:r w:rsidRPr="001A040A">
        <w:rPr>
          <w:kern w:val="0"/>
          <w:szCs w:val="24"/>
        </w:rPr>
        <w:t>imposed by cite distribution skewness. We quantify this asymmetry</w:t>
      </w:r>
      <w:r w:rsidR="005853A9">
        <w:rPr>
          <w:kern w:val="0"/>
          <w:szCs w:val="24"/>
        </w:rPr>
        <w:t xml:space="preserve"> and </w:t>
      </w:r>
      <w:r w:rsidRPr="001A040A">
        <w:rPr>
          <w:kern w:val="0"/>
          <w:szCs w:val="24"/>
        </w:rPr>
        <w:t>propose a simple computer-based</w:t>
      </w:r>
      <w:r>
        <w:rPr>
          <w:kern w:val="0"/>
          <w:szCs w:val="24"/>
        </w:rPr>
        <w:t xml:space="preserve"> </w:t>
      </w:r>
      <w:r w:rsidRPr="001A040A">
        <w:rPr>
          <w:kern w:val="0"/>
          <w:szCs w:val="24"/>
        </w:rPr>
        <w:t>procedure for evaluating individual articles.</w:t>
      </w:r>
    </w:p>
    <w:p w:rsidR="00E71E31" w:rsidRPr="001A040A" w:rsidRDefault="00E71E31" w:rsidP="00E71E31">
      <w:pPr>
        <w:pStyle w:val="a3"/>
        <w:rPr>
          <w:kern w:val="0"/>
          <w:szCs w:val="24"/>
        </w:rPr>
      </w:pPr>
      <w:r w:rsidRPr="001A040A">
        <w:rPr>
          <w:kern w:val="0"/>
          <w:szCs w:val="24"/>
        </w:rPr>
        <w:t>METHOD: (a) Analysis</w:t>
      </w:r>
      <w:r w:rsidR="00427468">
        <w:rPr>
          <w:kern w:val="0"/>
          <w:szCs w:val="24"/>
        </w:rPr>
        <w:t xml:space="preserve"> of </w:t>
      </w:r>
      <w:r w:rsidRPr="001A040A">
        <w:rPr>
          <w:kern w:val="0"/>
          <w:szCs w:val="24"/>
        </w:rPr>
        <w:t xml:space="preserve">symmetry. Journals clustered around nine Impact Factor </w:t>
      </w:r>
      <w:r w:rsidRPr="001A040A">
        <w:rPr>
          <w:kern w:val="0"/>
          <w:szCs w:val="24"/>
        </w:rPr>
        <w:lastRenderedPageBreak/>
        <w:t>points were selected from</w:t>
      </w:r>
      <w:r w:rsidR="003A1917">
        <w:rPr>
          <w:kern w:val="0"/>
          <w:szCs w:val="24"/>
        </w:rPr>
        <w:t xml:space="preserve"> the </w:t>
      </w:r>
      <w:r w:rsidRPr="001A040A">
        <w:rPr>
          <w:kern w:val="0"/>
          <w:szCs w:val="24"/>
        </w:rPr>
        <w:t xml:space="preserve">medical </w:t>
      </w:r>
      <w:r w:rsidR="0071223E">
        <w:rPr>
          <w:kern w:val="0"/>
          <w:szCs w:val="24"/>
        </w:rPr>
        <w:t>‘‘</w:t>
      </w:r>
      <w:r w:rsidRPr="001A040A">
        <w:rPr>
          <w:kern w:val="0"/>
          <w:szCs w:val="24"/>
        </w:rPr>
        <w:t>Subject Categories</w:t>
      </w:r>
      <w:r w:rsidR="0071223E">
        <w:rPr>
          <w:kern w:val="0"/>
          <w:szCs w:val="24"/>
        </w:rPr>
        <w:t>’’</w:t>
      </w:r>
      <w:r w:rsidRPr="001A040A">
        <w:rPr>
          <w:kern w:val="0"/>
          <w:szCs w:val="24"/>
        </w:rPr>
        <w:t xml:space="preserve"> in Journal Citation Reports 2010. Citable items published in 2008 were retrieved</w:t>
      </w:r>
      <w:r w:rsidR="005853A9">
        <w:rPr>
          <w:kern w:val="0"/>
          <w:szCs w:val="24"/>
        </w:rPr>
        <w:t xml:space="preserve"> and </w:t>
      </w:r>
      <w:r w:rsidRPr="001A040A">
        <w:rPr>
          <w:kern w:val="0"/>
          <w:szCs w:val="24"/>
        </w:rPr>
        <w:t>ranked by granted citations over</w:t>
      </w:r>
      <w:r w:rsidR="003A1917">
        <w:rPr>
          <w:kern w:val="0"/>
          <w:szCs w:val="24"/>
        </w:rPr>
        <w:t xml:space="preserve"> the </w:t>
      </w:r>
      <w:r w:rsidRPr="001A040A">
        <w:rPr>
          <w:kern w:val="0"/>
          <w:szCs w:val="24"/>
        </w:rPr>
        <w:t>Jan/2008 - Jun/2011 period. Frequency distribution</w:t>
      </w:r>
      <w:r w:rsidR="00427468">
        <w:rPr>
          <w:kern w:val="0"/>
          <w:szCs w:val="24"/>
        </w:rPr>
        <w:t xml:space="preserve"> of </w:t>
      </w:r>
      <w:r w:rsidRPr="001A040A">
        <w:rPr>
          <w:kern w:val="0"/>
          <w:szCs w:val="24"/>
        </w:rPr>
        <w:t>cites, normalized</w:t>
      </w:r>
      <w:r>
        <w:rPr>
          <w:kern w:val="0"/>
          <w:szCs w:val="24"/>
        </w:rPr>
        <w:t xml:space="preserve"> </w:t>
      </w:r>
      <w:r w:rsidRPr="001A040A">
        <w:rPr>
          <w:kern w:val="0"/>
          <w:szCs w:val="24"/>
        </w:rPr>
        <w:t>cumulative cites</w:t>
      </w:r>
      <w:r w:rsidR="005853A9">
        <w:rPr>
          <w:kern w:val="0"/>
          <w:szCs w:val="24"/>
        </w:rPr>
        <w:t xml:space="preserve"> and </w:t>
      </w:r>
      <w:r w:rsidRPr="001A040A">
        <w:rPr>
          <w:kern w:val="0"/>
          <w:szCs w:val="24"/>
        </w:rPr>
        <w:t>absolute cites/decile were determined for each journal cluster. (b) Positive Predictive Value.</w:t>
      </w:r>
      <w:r>
        <w:rPr>
          <w:kern w:val="0"/>
          <w:szCs w:val="24"/>
        </w:rPr>
        <w:t xml:space="preserve"> </w:t>
      </w:r>
      <w:r w:rsidRPr="001A040A">
        <w:rPr>
          <w:kern w:val="0"/>
          <w:szCs w:val="24"/>
        </w:rPr>
        <w:t>Three arbitrarily established evaluation classes were generated: LOW (1.3#IF,2.6); MID: (2.6#IF,3.9); HIGH:</w:t>
      </w:r>
      <w:r>
        <w:rPr>
          <w:kern w:val="0"/>
          <w:szCs w:val="24"/>
        </w:rPr>
        <w:t xml:space="preserve"> </w:t>
      </w:r>
      <w:r w:rsidRPr="001A040A">
        <w:rPr>
          <w:kern w:val="0"/>
          <w:szCs w:val="24"/>
        </w:rPr>
        <w:t>(IF$3.9). Positive Predictive Value for journal clusters within each class range was estimated. (c) Continuously</w:t>
      </w:r>
    </w:p>
    <w:p w:rsidR="00E71E31" w:rsidRPr="001A040A" w:rsidRDefault="00E71E31" w:rsidP="00E71E31">
      <w:pPr>
        <w:pStyle w:val="a3"/>
        <w:rPr>
          <w:kern w:val="0"/>
          <w:szCs w:val="24"/>
        </w:rPr>
      </w:pPr>
      <w:r w:rsidRPr="001A040A">
        <w:rPr>
          <w:kern w:val="0"/>
          <w:szCs w:val="24"/>
        </w:rPr>
        <w:t>Variable Rating. An alternative evaluation procedure is proposed to allow</w:t>
      </w:r>
      <w:r w:rsidR="003A1917">
        <w:rPr>
          <w:kern w:val="0"/>
          <w:szCs w:val="24"/>
        </w:rPr>
        <w:t xml:space="preserve"> the </w:t>
      </w:r>
      <w:r w:rsidRPr="001A040A">
        <w:rPr>
          <w:kern w:val="0"/>
          <w:szCs w:val="24"/>
        </w:rPr>
        <w:t>rating</w:t>
      </w:r>
      <w:r w:rsidR="00427468">
        <w:rPr>
          <w:kern w:val="0"/>
          <w:szCs w:val="24"/>
        </w:rPr>
        <w:t xml:space="preserve"> of </w:t>
      </w:r>
      <w:r w:rsidRPr="001A040A">
        <w:rPr>
          <w:kern w:val="0"/>
          <w:szCs w:val="24"/>
        </w:rPr>
        <w:t>individually published</w:t>
      </w:r>
      <w:r>
        <w:rPr>
          <w:kern w:val="0"/>
          <w:szCs w:val="24"/>
        </w:rPr>
        <w:t xml:space="preserve"> </w:t>
      </w:r>
      <w:r w:rsidRPr="001A040A">
        <w:rPr>
          <w:kern w:val="0"/>
          <w:szCs w:val="24"/>
        </w:rPr>
        <w:t>articles in comparison to all articles published in</w:t>
      </w:r>
      <w:r w:rsidR="003A1917">
        <w:rPr>
          <w:kern w:val="0"/>
          <w:szCs w:val="24"/>
        </w:rPr>
        <w:t xml:space="preserve"> the </w:t>
      </w:r>
      <w:r w:rsidRPr="001A040A">
        <w:rPr>
          <w:kern w:val="0"/>
          <w:szCs w:val="24"/>
        </w:rPr>
        <w:t>same journal within</w:t>
      </w:r>
      <w:r w:rsidR="003A1917">
        <w:rPr>
          <w:kern w:val="0"/>
          <w:szCs w:val="24"/>
        </w:rPr>
        <w:t xml:space="preserve"> the </w:t>
      </w:r>
      <w:r w:rsidRPr="001A040A">
        <w:rPr>
          <w:kern w:val="0"/>
          <w:szCs w:val="24"/>
        </w:rPr>
        <w:t>same year</w:t>
      </w:r>
      <w:r w:rsidR="00427468">
        <w:rPr>
          <w:kern w:val="0"/>
          <w:szCs w:val="24"/>
        </w:rPr>
        <w:t xml:space="preserve"> of </w:t>
      </w:r>
      <w:r w:rsidRPr="001A040A">
        <w:rPr>
          <w:kern w:val="0"/>
          <w:szCs w:val="24"/>
        </w:rPr>
        <w:t>publication</w:t>
      </w:r>
      <w:r w:rsidR="00A37C1D">
        <w:rPr>
          <w:kern w:val="0"/>
          <w:szCs w:val="24"/>
        </w:rPr>
        <w:t>. The</w:t>
      </w:r>
      <w:r w:rsidR="003A1917">
        <w:rPr>
          <w:kern w:val="0"/>
          <w:szCs w:val="24"/>
        </w:rPr>
        <w:t xml:space="preserve"> </w:t>
      </w:r>
      <w:r w:rsidRPr="001A040A">
        <w:rPr>
          <w:kern w:val="0"/>
          <w:szCs w:val="24"/>
        </w:rPr>
        <w:t>general</w:t>
      </w:r>
      <w:r>
        <w:rPr>
          <w:kern w:val="0"/>
          <w:szCs w:val="24"/>
        </w:rPr>
        <w:t xml:space="preserve"> </w:t>
      </w:r>
      <w:r w:rsidRPr="001A040A">
        <w:rPr>
          <w:kern w:val="0"/>
          <w:szCs w:val="24"/>
        </w:rPr>
        <w:t>guiding lines for</w:t>
      </w:r>
      <w:r w:rsidR="003A1917">
        <w:rPr>
          <w:kern w:val="0"/>
          <w:szCs w:val="24"/>
        </w:rPr>
        <w:t xml:space="preserve"> the </w:t>
      </w:r>
      <w:r w:rsidRPr="001A040A">
        <w:rPr>
          <w:kern w:val="0"/>
          <w:szCs w:val="24"/>
        </w:rPr>
        <w:t>construction</w:t>
      </w:r>
      <w:r w:rsidR="00427468">
        <w:rPr>
          <w:kern w:val="0"/>
          <w:szCs w:val="24"/>
        </w:rPr>
        <w:t xml:space="preserve"> of </w:t>
      </w:r>
      <w:r w:rsidRPr="001A040A">
        <w:rPr>
          <w:kern w:val="0"/>
          <w:szCs w:val="24"/>
        </w:rPr>
        <w:t>a totally dedicated software program are delineated.</w:t>
      </w:r>
    </w:p>
    <w:p w:rsidR="00E71E31" w:rsidRPr="001A040A" w:rsidRDefault="00E71E31" w:rsidP="00E71E31">
      <w:pPr>
        <w:pStyle w:val="a3"/>
        <w:rPr>
          <w:kern w:val="0"/>
          <w:szCs w:val="24"/>
        </w:rPr>
      </w:pPr>
      <w:r w:rsidRPr="001A040A">
        <w:rPr>
          <w:kern w:val="0"/>
          <w:szCs w:val="24"/>
        </w:rPr>
        <w:t>RESULTS</w:t>
      </w:r>
      <w:r w:rsidR="005853A9">
        <w:rPr>
          <w:kern w:val="0"/>
          <w:szCs w:val="24"/>
        </w:rPr>
        <w:t xml:space="preserve"> and </w:t>
      </w:r>
      <w:r w:rsidRPr="001A040A">
        <w:rPr>
          <w:kern w:val="0"/>
          <w:szCs w:val="24"/>
        </w:rPr>
        <w:t>CONCLUSIONS: Skewness followed</w:t>
      </w:r>
      <w:r w:rsidR="003A1917">
        <w:rPr>
          <w:kern w:val="0"/>
          <w:szCs w:val="24"/>
        </w:rPr>
        <w:t xml:space="preserve"> the </w:t>
      </w:r>
      <w:r w:rsidRPr="001A040A">
        <w:rPr>
          <w:kern w:val="0"/>
          <w:szCs w:val="24"/>
        </w:rPr>
        <w:t>Pareto Distribution for (1,K,2). Observed Positive Predictive</w:t>
      </w:r>
      <w:r>
        <w:rPr>
          <w:kern w:val="0"/>
          <w:szCs w:val="24"/>
        </w:rPr>
        <w:t xml:space="preserve"> </w:t>
      </w:r>
      <w:r w:rsidRPr="001A040A">
        <w:rPr>
          <w:kern w:val="0"/>
          <w:szCs w:val="24"/>
        </w:rPr>
        <w:t>Values ranged from 24 - 43% for over 98%</w:t>
      </w:r>
      <w:r w:rsidR="00427468">
        <w:rPr>
          <w:kern w:val="0"/>
          <w:szCs w:val="24"/>
        </w:rPr>
        <w:t xml:space="preserve"> of </w:t>
      </w:r>
      <w:r w:rsidR="003A1917">
        <w:rPr>
          <w:kern w:val="0"/>
          <w:szCs w:val="24"/>
        </w:rPr>
        <w:t xml:space="preserve">the </w:t>
      </w:r>
      <w:r w:rsidRPr="001A040A">
        <w:rPr>
          <w:kern w:val="0"/>
          <w:szCs w:val="24"/>
        </w:rPr>
        <w:t>selected journals in</w:t>
      </w:r>
      <w:r w:rsidR="003A1917">
        <w:rPr>
          <w:kern w:val="0"/>
          <w:szCs w:val="24"/>
        </w:rPr>
        <w:t xml:space="preserve"> the </w:t>
      </w:r>
      <w:r w:rsidRPr="001A040A">
        <w:rPr>
          <w:kern w:val="0"/>
          <w:szCs w:val="24"/>
        </w:rPr>
        <w:t>ISI database. Continuously Variable Rating</w:t>
      </w:r>
      <w:r>
        <w:rPr>
          <w:kern w:val="0"/>
          <w:szCs w:val="24"/>
        </w:rPr>
        <w:t xml:space="preserve"> </w:t>
      </w:r>
      <w:r w:rsidRPr="001A040A">
        <w:rPr>
          <w:kern w:val="0"/>
          <w:szCs w:val="24"/>
        </w:rPr>
        <w:t>is shown to be a simple computer based procedure capable</w:t>
      </w:r>
      <w:r w:rsidR="00427468">
        <w:rPr>
          <w:kern w:val="0"/>
          <w:szCs w:val="24"/>
        </w:rPr>
        <w:t xml:space="preserve"> of </w:t>
      </w:r>
      <w:r w:rsidRPr="001A040A">
        <w:rPr>
          <w:kern w:val="0"/>
          <w:szCs w:val="24"/>
        </w:rPr>
        <w:t>accurately providing a valid rating for each article</w:t>
      </w:r>
      <w:r>
        <w:rPr>
          <w:kern w:val="0"/>
          <w:szCs w:val="24"/>
        </w:rPr>
        <w:t xml:space="preserve"> </w:t>
      </w:r>
      <w:r w:rsidRPr="001A040A">
        <w:rPr>
          <w:kern w:val="0"/>
          <w:szCs w:val="24"/>
        </w:rPr>
        <w:t>within</w:t>
      </w:r>
      <w:r w:rsidR="003A1917">
        <w:rPr>
          <w:kern w:val="0"/>
          <w:szCs w:val="24"/>
        </w:rPr>
        <w:t xml:space="preserve"> the </w:t>
      </w:r>
      <w:r w:rsidRPr="001A040A">
        <w:rPr>
          <w:kern w:val="0"/>
          <w:szCs w:val="24"/>
        </w:rPr>
        <w:t>journal</w:t>
      </w:r>
      <w:r w:rsidR="005853A9">
        <w:rPr>
          <w:kern w:val="0"/>
          <w:szCs w:val="24"/>
        </w:rPr>
        <w:t xml:space="preserve"> and </w:t>
      </w:r>
      <w:r w:rsidRPr="001A040A">
        <w:rPr>
          <w:kern w:val="0"/>
          <w:szCs w:val="24"/>
        </w:rPr>
        <w:t>time frame in which it was published.</w:t>
      </w:r>
    </w:p>
    <w:p w:rsidR="00E71E31" w:rsidRPr="001A040A" w:rsidRDefault="00E71E31" w:rsidP="00E71E31">
      <w:pPr>
        <w:pStyle w:val="a3"/>
        <w:rPr>
          <w:kern w:val="0"/>
          <w:szCs w:val="24"/>
        </w:rPr>
      </w:pPr>
      <w:r w:rsidRPr="001A040A">
        <w:rPr>
          <w:kern w:val="0"/>
          <w:szCs w:val="24"/>
        </w:rPr>
        <w:t>Keywords: Scientometrics</w:t>
      </w:r>
      <w:r>
        <w:rPr>
          <w:kern w:val="0"/>
          <w:szCs w:val="24"/>
        </w:rPr>
        <w:t>,</w:t>
      </w:r>
      <w:r w:rsidRPr="001A040A">
        <w:rPr>
          <w:kern w:val="0"/>
          <w:szCs w:val="24"/>
        </w:rPr>
        <w:t xml:space="preserve"> Scientific Article Evaluation</w:t>
      </w:r>
      <w:r>
        <w:rPr>
          <w:kern w:val="0"/>
          <w:szCs w:val="24"/>
        </w:rPr>
        <w:t>,</w:t>
      </w:r>
      <w:r w:rsidRPr="001A040A">
        <w:rPr>
          <w:kern w:val="0"/>
          <w:szCs w:val="24"/>
        </w:rPr>
        <w:t xml:space="preserve"> Impact Factors</w:t>
      </w:r>
      <w:r>
        <w:rPr>
          <w:kern w:val="0"/>
          <w:szCs w:val="24"/>
        </w:rPr>
        <w:t>,</w:t>
      </w:r>
      <w:r w:rsidRPr="001A040A">
        <w:rPr>
          <w:kern w:val="0"/>
          <w:szCs w:val="24"/>
        </w:rPr>
        <w:t xml:space="preserve"> Citations</w:t>
      </w:r>
    </w:p>
    <w:p w:rsidR="00E71E31" w:rsidRDefault="00E71E31" w:rsidP="00E71E31">
      <w:pPr>
        <w:pStyle w:val="a3"/>
        <w:rPr>
          <w:kern w:val="0"/>
          <w:szCs w:val="24"/>
        </w:rPr>
      </w:pPr>
      <w:r>
        <w:rPr>
          <w:rFonts w:hint="eastAsia"/>
          <w:kern w:val="0"/>
          <w:szCs w:val="24"/>
        </w:rPr>
        <w:t xml:space="preserve">? </w:t>
      </w:r>
      <w:r w:rsidRPr="00E71E31">
        <w:rPr>
          <w:kern w:val="0"/>
          <w:szCs w:val="24"/>
        </w:rPr>
        <w:t>Paiva, C</w:t>
      </w:r>
      <w:r>
        <w:rPr>
          <w:rFonts w:hint="eastAsia"/>
          <w:kern w:val="0"/>
          <w:szCs w:val="24"/>
        </w:rPr>
        <w:t>.</w:t>
      </w:r>
      <w:r w:rsidRPr="00E71E31">
        <w:rPr>
          <w:kern w:val="0"/>
          <w:szCs w:val="24"/>
        </w:rPr>
        <w:t>E</w:t>
      </w:r>
      <w:r>
        <w:rPr>
          <w:rFonts w:hint="eastAsia"/>
          <w:kern w:val="0"/>
          <w:szCs w:val="24"/>
        </w:rPr>
        <w:t>.,</w:t>
      </w:r>
      <w:r w:rsidRPr="00E71E31">
        <w:rPr>
          <w:kern w:val="0"/>
          <w:szCs w:val="24"/>
        </w:rPr>
        <w:t xml:space="preserve"> Lima, J</w:t>
      </w:r>
      <w:r>
        <w:rPr>
          <w:rFonts w:hint="eastAsia"/>
          <w:kern w:val="0"/>
          <w:szCs w:val="24"/>
        </w:rPr>
        <w:t>.</w:t>
      </w:r>
      <w:r w:rsidRPr="00E71E31">
        <w:rPr>
          <w:kern w:val="0"/>
          <w:szCs w:val="24"/>
        </w:rPr>
        <w:t>P</w:t>
      </w:r>
      <w:r>
        <w:rPr>
          <w:rFonts w:hint="eastAsia"/>
          <w:kern w:val="0"/>
          <w:szCs w:val="24"/>
        </w:rPr>
        <w:t>.</w:t>
      </w:r>
      <w:r w:rsidRPr="00E71E31">
        <w:rPr>
          <w:kern w:val="0"/>
          <w:szCs w:val="24"/>
        </w:rPr>
        <w:t>D</w:t>
      </w:r>
      <w:r>
        <w:rPr>
          <w:rFonts w:hint="eastAsia"/>
          <w:kern w:val="0"/>
          <w:szCs w:val="24"/>
        </w:rPr>
        <w:t>.</w:t>
      </w:r>
      <w:r w:rsidRPr="00E71E31">
        <w:rPr>
          <w:kern w:val="0"/>
          <w:szCs w:val="24"/>
        </w:rPr>
        <w:t>N</w:t>
      </w:r>
      <w:r>
        <w:rPr>
          <w:rFonts w:hint="eastAsia"/>
          <w:kern w:val="0"/>
          <w:szCs w:val="24"/>
        </w:rPr>
        <w:t>.</w:t>
      </w:r>
      <w:r w:rsidR="005853A9">
        <w:rPr>
          <w:rFonts w:hint="eastAsia"/>
          <w:kern w:val="0"/>
          <w:szCs w:val="24"/>
        </w:rPr>
        <w:t xml:space="preserve"> and </w:t>
      </w:r>
      <w:r w:rsidRPr="00E71E31">
        <w:rPr>
          <w:kern w:val="0"/>
          <w:szCs w:val="24"/>
        </w:rPr>
        <w:t>Paiva, B</w:t>
      </w:r>
      <w:r>
        <w:rPr>
          <w:rFonts w:hint="eastAsia"/>
          <w:kern w:val="0"/>
          <w:szCs w:val="24"/>
        </w:rPr>
        <w:t>.</w:t>
      </w:r>
      <w:r w:rsidRPr="00E71E31">
        <w:rPr>
          <w:kern w:val="0"/>
          <w:szCs w:val="24"/>
        </w:rPr>
        <w:t>S</w:t>
      </w:r>
      <w:r>
        <w:rPr>
          <w:rFonts w:hint="eastAsia"/>
          <w:kern w:val="0"/>
          <w:szCs w:val="24"/>
        </w:rPr>
        <w:t>.</w:t>
      </w:r>
      <w:r w:rsidRPr="00E71E31">
        <w:rPr>
          <w:kern w:val="0"/>
          <w:szCs w:val="24"/>
        </w:rPr>
        <w:t>R</w:t>
      </w:r>
      <w:r>
        <w:rPr>
          <w:rFonts w:hint="eastAsia"/>
          <w:kern w:val="0"/>
          <w:szCs w:val="24"/>
        </w:rPr>
        <w:t>.</w:t>
      </w:r>
      <w:r>
        <w:rPr>
          <w:kern w:val="0"/>
          <w:szCs w:val="24"/>
        </w:rPr>
        <w:t xml:space="preserve"> (201</w:t>
      </w:r>
      <w:r>
        <w:rPr>
          <w:rFonts w:hint="eastAsia"/>
          <w:kern w:val="0"/>
          <w:szCs w:val="24"/>
        </w:rPr>
        <w:t>2</w:t>
      </w:r>
      <w:r>
        <w:rPr>
          <w:kern w:val="0"/>
          <w:szCs w:val="24"/>
        </w:rPr>
        <w:t xml:space="preserve">), </w:t>
      </w:r>
      <w:r w:rsidRPr="00E71E31">
        <w:rPr>
          <w:kern w:val="0"/>
          <w:szCs w:val="24"/>
        </w:rPr>
        <w:t>Articles with short titles describing</w:t>
      </w:r>
      <w:r w:rsidR="003A1917">
        <w:rPr>
          <w:kern w:val="0"/>
          <w:szCs w:val="24"/>
        </w:rPr>
        <w:t xml:space="preserve"> the </w:t>
      </w:r>
      <w:r w:rsidRPr="00E71E31">
        <w:rPr>
          <w:kern w:val="0"/>
          <w:szCs w:val="24"/>
        </w:rPr>
        <w:t>results are cited more often</w:t>
      </w:r>
      <w:r>
        <w:rPr>
          <w:kern w:val="0"/>
          <w:szCs w:val="24"/>
        </w:rPr>
        <w:t xml:space="preserve">. </w:t>
      </w:r>
      <w:r>
        <w:rPr>
          <w:i/>
          <w:iCs/>
          <w:kern w:val="0"/>
          <w:szCs w:val="24"/>
        </w:rPr>
        <w:t>Clinics</w:t>
      </w:r>
      <w:r>
        <w:rPr>
          <w:kern w:val="0"/>
          <w:szCs w:val="24"/>
        </w:rPr>
        <w:t xml:space="preserve">, </w:t>
      </w:r>
      <w:r>
        <w:rPr>
          <w:b/>
          <w:bCs/>
          <w:kern w:val="0"/>
          <w:szCs w:val="24"/>
        </w:rPr>
        <w:t>6</w:t>
      </w:r>
      <w:r>
        <w:rPr>
          <w:rFonts w:hint="eastAsia"/>
          <w:b/>
          <w:bCs/>
          <w:kern w:val="0"/>
          <w:szCs w:val="24"/>
        </w:rPr>
        <w:t>7</w:t>
      </w:r>
      <w:r>
        <w:rPr>
          <w:kern w:val="0"/>
          <w:szCs w:val="24"/>
        </w:rPr>
        <w:t xml:space="preserve"> (</w:t>
      </w:r>
      <w:r>
        <w:rPr>
          <w:rFonts w:hint="eastAsia"/>
          <w:kern w:val="0"/>
          <w:szCs w:val="24"/>
        </w:rPr>
        <w:t>5</w:t>
      </w:r>
      <w:r>
        <w:rPr>
          <w:kern w:val="0"/>
          <w:szCs w:val="24"/>
        </w:rPr>
        <w:t xml:space="preserve">), </w:t>
      </w:r>
      <w:r w:rsidRPr="00E71E31">
        <w:rPr>
          <w:kern w:val="0"/>
          <w:szCs w:val="24"/>
        </w:rPr>
        <w:t>509-513</w:t>
      </w:r>
      <w:r>
        <w:rPr>
          <w:kern w:val="0"/>
          <w:szCs w:val="24"/>
        </w:rPr>
        <w:t>.</w:t>
      </w:r>
    </w:p>
    <w:p w:rsidR="00E71E31" w:rsidRDefault="00E71E31" w:rsidP="00E71E31">
      <w:pPr>
        <w:pStyle w:val="a3"/>
        <w:rPr>
          <w:kern w:val="0"/>
          <w:szCs w:val="24"/>
        </w:rPr>
      </w:pPr>
      <w:r>
        <w:rPr>
          <w:rFonts w:hint="eastAsia"/>
          <w:kern w:val="0"/>
          <w:szCs w:val="24"/>
        </w:rPr>
        <w:t xml:space="preserve">Full Text: </w:t>
      </w:r>
      <w:hyperlink r:id="rId475" w:history="1">
        <w:r w:rsidRPr="00E71E31">
          <w:rPr>
            <w:rStyle w:val="a5"/>
            <w:kern w:val="0"/>
            <w:szCs w:val="24"/>
          </w:rPr>
          <w:t>2012\Clinics67, 509.pdf</w:t>
        </w:r>
      </w:hyperlink>
    </w:p>
    <w:p w:rsidR="00E71E31" w:rsidRPr="00E71E31" w:rsidRDefault="00E71E31" w:rsidP="00E71E31">
      <w:pPr>
        <w:pStyle w:val="a3"/>
        <w:rPr>
          <w:kern w:val="0"/>
          <w:szCs w:val="24"/>
        </w:rPr>
      </w:pPr>
      <w:r w:rsidRPr="00E71E31">
        <w:rPr>
          <w:kern w:val="0"/>
          <w:szCs w:val="24"/>
        </w:rPr>
        <w:t>Abstract: OBJECTIVE:</w:t>
      </w:r>
      <w:r w:rsidR="003A1917">
        <w:rPr>
          <w:kern w:val="0"/>
          <w:szCs w:val="24"/>
        </w:rPr>
        <w:t xml:space="preserve"> the </w:t>
      </w:r>
      <w:r w:rsidRPr="00E71E31">
        <w:rPr>
          <w:kern w:val="0"/>
          <w:szCs w:val="24"/>
        </w:rPr>
        <w:t>aim</w:t>
      </w:r>
      <w:r w:rsidR="00427468">
        <w:rPr>
          <w:kern w:val="0"/>
          <w:szCs w:val="24"/>
        </w:rPr>
        <w:t xml:space="preserve"> of </w:t>
      </w:r>
      <w:r w:rsidRPr="00E71E31">
        <w:rPr>
          <w:kern w:val="0"/>
          <w:szCs w:val="24"/>
        </w:rPr>
        <w:t>this study was to evaluate some features</w:t>
      </w:r>
      <w:r w:rsidR="00427468">
        <w:rPr>
          <w:kern w:val="0"/>
          <w:szCs w:val="24"/>
        </w:rPr>
        <w:t xml:space="preserve"> of </w:t>
      </w:r>
      <w:r w:rsidRPr="00E71E31">
        <w:rPr>
          <w:kern w:val="0"/>
          <w:szCs w:val="24"/>
        </w:rPr>
        <w:t>article titles from open access journals</w:t>
      </w:r>
      <w:r w:rsidR="005853A9">
        <w:rPr>
          <w:kern w:val="0"/>
          <w:szCs w:val="24"/>
        </w:rPr>
        <w:t xml:space="preserve"> and </w:t>
      </w:r>
      <w:r w:rsidRPr="00E71E31">
        <w:rPr>
          <w:kern w:val="0"/>
          <w:szCs w:val="24"/>
        </w:rPr>
        <w:t>to assess</w:t>
      </w:r>
      <w:r w:rsidR="003A1917">
        <w:rPr>
          <w:kern w:val="0"/>
          <w:szCs w:val="24"/>
        </w:rPr>
        <w:t xml:space="preserve"> the </w:t>
      </w:r>
      <w:r w:rsidRPr="00E71E31">
        <w:rPr>
          <w:kern w:val="0"/>
          <w:szCs w:val="24"/>
        </w:rPr>
        <w:t>possible impact</w:t>
      </w:r>
      <w:r w:rsidR="00427468">
        <w:rPr>
          <w:kern w:val="0"/>
          <w:szCs w:val="24"/>
        </w:rPr>
        <w:t xml:space="preserve"> of </w:t>
      </w:r>
      <w:r w:rsidRPr="00E71E31">
        <w:rPr>
          <w:kern w:val="0"/>
          <w:szCs w:val="24"/>
        </w:rPr>
        <w:t>these titles on predicting</w:t>
      </w:r>
      <w:r w:rsidR="003A1917">
        <w:rPr>
          <w:kern w:val="0"/>
          <w:szCs w:val="24"/>
        </w:rPr>
        <w:t xml:space="preserve"> the </w:t>
      </w:r>
      <w:r w:rsidRPr="00E71E31">
        <w:rPr>
          <w:kern w:val="0"/>
          <w:szCs w:val="24"/>
        </w:rPr>
        <w:t>number</w:t>
      </w:r>
      <w:r w:rsidR="00427468">
        <w:rPr>
          <w:kern w:val="0"/>
          <w:szCs w:val="24"/>
        </w:rPr>
        <w:t xml:space="preserve"> of </w:t>
      </w:r>
      <w:r>
        <w:rPr>
          <w:kern w:val="0"/>
          <w:szCs w:val="24"/>
        </w:rPr>
        <w:t>article views</w:t>
      </w:r>
      <w:r w:rsidR="005853A9">
        <w:rPr>
          <w:kern w:val="0"/>
          <w:szCs w:val="24"/>
        </w:rPr>
        <w:t xml:space="preserve"> and </w:t>
      </w:r>
      <w:r>
        <w:rPr>
          <w:kern w:val="0"/>
          <w:szCs w:val="24"/>
        </w:rPr>
        <w:t>citations.</w:t>
      </w:r>
    </w:p>
    <w:p w:rsidR="00E71E31" w:rsidRPr="00E71E31" w:rsidRDefault="00E71E31" w:rsidP="00E71E31">
      <w:pPr>
        <w:pStyle w:val="a3"/>
        <w:rPr>
          <w:kern w:val="0"/>
          <w:szCs w:val="24"/>
        </w:rPr>
      </w:pPr>
      <w:r w:rsidRPr="00E71E31">
        <w:rPr>
          <w:kern w:val="0"/>
          <w:szCs w:val="24"/>
        </w:rPr>
        <w:t>METHODS: Research articles (n = 423, published in October 2008) from all Public Library</w:t>
      </w:r>
      <w:r w:rsidR="00427468">
        <w:rPr>
          <w:kern w:val="0"/>
          <w:szCs w:val="24"/>
        </w:rPr>
        <w:t xml:space="preserve"> of </w:t>
      </w:r>
      <w:r w:rsidRPr="00E71E31">
        <w:rPr>
          <w:kern w:val="0"/>
          <w:szCs w:val="24"/>
        </w:rPr>
        <w:t>Science (PLoS) journals</w:t>
      </w:r>
      <w:r w:rsidR="005853A9">
        <w:rPr>
          <w:kern w:val="0"/>
          <w:szCs w:val="24"/>
        </w:rPr>
        <w:t xml:space="preserve"> and </w:t>
      </w:r>
      <w:r w:rsidRPr="00E71E31">
        <w:rPr>
          <w:kern w:val="0"/>
          <w:szCs w:val="24"/>
        </w:rPr>
        <w:t>from 12 Biomed Central (BMC) journals were evaluated. Publication metrics (views</w:t>
      </w:r>
      <w:r w:rsidR="005853A9">
        <w:rPr>
          <w:kern w:val="0"/>
          <w:szCs w:val="24"/>
        </w:rPr>
        <w:t xml:space="preserve"> and </w:t>
      </w:r>
      <w:r w:rsidRPr="00E71E31">
        <w:rPr>
          <w:kern w:val="0"/>
          <w:szCs w:val="24"/>
        </w:rPr>
        <w:t>citations) were analyzed in December 2011</w:t>
      </w:r>
      <w:r w:rsidR="00A37C1D">
        <w:rPr>
          <w:kern w:val="0"/>
          <w:szCs w:val="24"/>
        </w:rPr>
        <w:t>. The</w:t>
      </w:r>
      <w:r w:rsidR="003A1917">
        <w:rPr>
          <w:kern w:val="0"/>
          <w:szCs w:val="24"/>
        </w:rPr>
        <w:t xml:space="preserve"> </w:t>
      </w:r>
      <w:r w:rsidRPr="00E71E31">
        <w:rPr>
          <w:kern w:val="0"/>
          <w:szCs w:val="24"/>
        </w:rPr>
        <w:t>titles were classified according to their contents, namely methods-describing titles</w:t>
      </w:r>
      <w:r w:rsidR="005853A9">
        <w:rPr>
          <w:kern w:val="0"/>
          <w:szCs w:val="24"/>
        </w:rPr>
        <w:t xml:space="preserve"> and </w:t>
      </w:r>
      <w:r w:rsidRPr="00E71E31">
        <w:rPr>
          <w:kern w:val="0"/>
          <w:szCs w:val="24"/>
        </w:rPr>
        <w:t>results-describing titles</w:t>
      </w:r>
      <w:r w:rsidR="00A37C1D">
        <w:rPr>
          <w:kern w:val="0"/>
          <w:szCs w:val="24"/>
        </w:rPr>
        <w:t>. The</w:t>
      </w:r>
      <w:r w:rsidR="003A1917">
        <w:rPr>
          <w:kern w:val="0"/>
          <w:szCs w:val="24"/>
        </w:rPr>
        <w:t xml:space="preserve"> </w:t>
      </w:r>
      <w:r w:rsidRPr="00E71E31">
        <w:rPr>
          <w:kern w:val="0"/>
          <w:szCs w:val="24"/>
        </w:rPr>
        <w:t>number</w:t>
      </w:r>
      <w:r w:rsidR="00427468">
        <w:rPr>
          <w:kern w:val="0"/>
          <w:szCs w:val="24"/>
        </w:rPr>
        <w:t xml:space="preserve"> of </w:t>
      </w:r>
      <w:r w:rsidRPr="00E71E31">
        <w:rPr>
          <w:kern w:val="0"/>
          <w:szCs w:val="24"/>
        </w:rPr>
        <w:t>title characters, title typology,</w:t>
      </w:r>
      <w:r w:rsidR="003A1917">
        <w:rPr>
          <w:kern w:val="0"/>
          <w:szCs w:val="24"/>
        </w:rPr>
        <w:t xml:space="preserve"> the </w:t>
      </w:r>
      <w:r w:rsidRPr="00E71E31">
        <w:rPr>
          <w:kern w:val="0"/>
          <w:szCs w:val="24"/>
        </w:rPr>
        <w:t>use</w:t>
      </w:r>
      <w:r w:rsidR="00427468">
        <w:rPr>
          <w:kern w:val="0"/>
          <w:szCs w:val="24"/>
        </w:rPr>
        <w:t xml:space="preserve"> of </w:t>
      </w:r>
      <w:r w:rsidRPr="00E71E31">
        <w:rPr>
          <w:kern w:val="0"/>
          <w:szCs w:val="24"/>
        </w:rPr>
        <w:t>a question mark, reference to a specific geographical region,</w:t>
      </w:r>
      <w:r w:rsidR="005853A9">
        <w:rPr>
          <w:kern w:val="0"/>
          <w:szCs w:val="24"/>
        </w:rPr>
        <w:t xml:space="preserve"> and </w:t>
      </w:r>
      <w:r w:rsidR="003A1917">
        <w:rPr>
          <w:kern w:val="0"/>
          <w:szCs w:val="24"/>
        </w:rPr>
        <w:t xml:space="preserve">the </w:t>
      </w:r>
      <w:r w:rsidRPr="00E71E31">
        <w:rPr>
          <w:kern w:val="0"/>
          <w:szCs w:val="24"/>
        </w:rPr>
        <w:t>use</w:t>
      </w:r>
      <w:r w:rsidR="00427468">
        <w:rPr>
          <w:kern w:val="0"/>
          <w:szCs w:val="24"/>
        </w:rPr>
        <w:t xml:space="preserve"> of </w:t>
      </w:r>
      <w:r w:rsidRPr="00E71E31">
        <w:rPr>
          <w:kern w:val="0"/>
          <w:szCs w:val="24"/>
        </w:rPr>
        <w:t>a colon or a hyphen separating different ideas within a sentence were analyzed to identify predictors</w:t>
      </w:r>
      <w:r w:rsidR="00427468">
        <w:rPr>
          <w:kern w:val="0"/>
          <w:szCs w:val="24"/>
        </w:rPr>
        <w:t xml:space="preserve"> of </w:t>
      </w:r>
      <w:r w:rsidRPr="00E71E31">
        <w:rPr>
          <w:kern w:val="0"/>
          <w:szCs w:val="24"/>
        </w:rPr>
        <w:t>views</w:t>
      </w:r>
      <w:r w:rsidR="005853A9">
        <w:rPr>
          <w:kern w:val="0"/>
          <w:szCs w:val="24"/>
        </w:rPr>
        <w:t xml:space="preserve"> and </w:t>
      </w:r>
      <w:r w:rsidRPr="00E71E31">
        <w:rPr>
          <w:kern w:val="0"/>
          <w:szCs w:val="24"/>
        </w:rPr>
        <w:t>citations. A logistic regression model was used to identify independent title characteristics tha</w:t>
      </w:r>
      <w:r>
        <w:rPr>
          <w:kern w:val="0"/>
          <w:szCs w:val="24"/>
        </w:rPr>
        <w:t>t could predict citation rates.</w:t>
      </w:r>
    </w:p>
    <w:p w:rsidR="00E71E31" w:rsidRPr="00E71E31" w:rsidRDefault="00E71E31" w:rsidP="00E71E31">
      <w:pPr>
        <w:pStyle w:val="a3"/>
        <w:rPr>
          <w:kern w:val="0"/>
          <w:szCs w:val="24"/>
        </w:rPr>
      </w:pPr>
      <w:r w:rsidRPr="00E71E31">
        <w:rPr>
          <w:kern w:val="0"/>
          <w:szCs w:val="24"/>
        </w:rPr>
        <w:t>RESULTS: Short-titled articles had higher viewing</w:t>
      </w:r>
      <w:r w:rsidR="005853A9">
        <w:rPr>
          <w:kern w:val="0"/>
          <w:szCs w:val="24"/>
        </w:rPr>
        <w:t xml:space="preserve"> and </w:t>
      </w:r>
      <w:r w:rsidRPr="00E71E31">
        <w:rPr>
          <w:kern w:val="0"/>
          <w:szCs w:val="24"/>
        </w:rPr>
        <w:t>citation rates than those with longer titles. Titles containing a question mark, containing a reference to a specific geographical region,</w:t>
      </w:r>
      <w:r w:rsidR="005853A9">
        <w:rPr>
          <w:kern w:val="0"/>
          <w:szCs w:val="24"/>
        </w:rPr>
        <w:t xml:space="preserve"> and </w:t>
      </w:r>
      <w:r w:rsidRPr="00E71E31">
        <w:rPr>
          <w:kern w:val="0"/>
          <w:szCs w:val="24"/>
        </w:rPr>
        <w:t>that used a colon or a hyphen were associated with a lower number</w:t>
      </w:r>
      <w:r w:rsidR="00427468">
        <w:rPr>
          <w:kern w:val="0"/>
          <w:szCs w:val="24"/>
        </w:rPr>
        <w:t xml:space="preserve"> of </w:t>
      </w:r>
      <w:r w:rsidRPr="00E71E31">
        <w:rPr>
          <w:kern w:val="0"/>
          <w:szCs w:val="24"/>
        </w:rPr>
        <w:t>citations. Articles with results-describing titles were cited more often than those with methods-describing titles. After multivariate analysis, only a low number</w:t>
      </w:r>
      <w:r w:rsidR="00427468">
        <w:rPr>
          <w:kern w:val="0"/>
          <w:szCs w:val="24"/>
        </w:rPr>
        <w:t xml:space="preserve"> of </w:t>
      </w:r>
      <w:r w:rsidRPr="00E71E31">
        <w:rPr>
          <w:kern w:val="0"/>
          <w:szCs w:val="24"/>
        </w:rPr>
        <w:t>characters</w:t>
      </w:r>
      <w:r w:rsidR="005853A9">
        <w:rPr>
          <w:kern w:val="0"/>
          <w:szCs w:val="24"/>
        </w:rPr>
        <w:t xml:space="preserve"> and </w:t>
      </w:r>
      <w:r w:rsidRPr="00E71E31">
        <w:rPr>
          <w:kern w:val="0"/>
          <w:szCs w:val="24"/>
        </w:rPr>
        <w:t>title typology remained as predict</w:t>
      </w:r>
      <w:r>
        <w:rPr>
          <w:kern w:val="0"/>
          <w:szCs w:val="24"/>
        </w:rPr>
        <w:t>ors</w:t>
      </w:r>
      <w:r w:rsidR="00427468">
        <w:rPr>
          <w:kern w:val="0"/>
          <w:szCs w:val="24"/>
        </w:rPr>
        <w:t xml:space="preserve"> of </w:t>
      </w:r>
      <w:r w:rsidR="003A1917">
        <w:rPr>
          <w:kern w:val="0"/>
          <w:szCs w:val="24"/>
        </w:rPr>
        <w:t xml:space="preserve">the </w:t>
      </w:r>
      <w:r>
        <w:rPr>
          <w:kern w:val="0"/>
          <w:szCs w:val="24"/>
        </w:rPr>
        <w:t>number</w:t>
      </w:r>
      <w:r w:rsidR="00427468">
        <w:rPr>
          <w:kern w:val="0"/>
          <w:szCs w:val="24"/>
        </w:rPr>
        <w:t xml:space="preserve"> of </w:t>
      </w:r>
      <w:r>
        <w:rPr>
          <w:kern w:val="0"/>
          <w:szCs w:val="24"/>
        </w:rPr>
        <w:t>citations.</w:t>
      </w:r>
    </w:p>
    <w:p w:rsidR="00E71E31" w:rsidRDefault="00E71E31" w:rsidP="00E71E31">
      <w:pPr>
        <w:pStyle w:val="a3"/>
        <w:rPr>
          <w:kern w:val="0"/>
          <w:szCs w:val="24"/>
        </w:rPr>
      </w:pPr>
      <w:r w:rsidRPr="00E71E31">
        <w:rPr>
          <w:kern w:val="0"/>
          <w:szCs w:val="24"/>
        </w:rPr>
        <w:lastRenderedPageBreak/>
        <w:t>CONCLUSIONS: Some features</w:t>
      </w:r>
      <w:r w:rsidR="00427468">
        <w:rPr>
          <w:kern w:val="0"/>
          <w:szCs w:val="24"/>
        </w:rPr>
        <w:t xml:space="preserve"> of </w:t>
      </w:r>
      <w:r w:rsidRPr="00E71E31">
        <w:rPr>
          <w:kern w:val="0"/>
          <w:szCs w:val="24"/>
        </w:rPr>
        <w:t>article titles can help predict</w:t>
      </w:r>
      <w:r w:rsidR="003A1917">
        <w:rPr>
          <w:kern w:val="0"/>
          <w:szCs w:val="24"/>
        </w:rPr>
        <w:t xml:space="preserve"> the </w:t>
      </w:r>
      <w:r w:rsidRPr="00E71E31">
        <w:rPr>
          <w:kern w:val="0"/>
          <w:szCs w:val="24"/>
        </w:rPr>
        <w:t>number</w:t>
      </w:r>
      <w:r w:rsidR="00427468">
        <w:rPr>
          <w:kern w:val="0"/>
          <w:szCs w:val="24"/>
        </w:rPr>
        <w:t xml:space="preserve"> of </w:t>
      </w:r>
      <w:r w:rsidRPr="00E71E31">
        <w:rPr>
          <w:kern w:val="0"/>
          <w:szCs w:val="24"/>
        </w:rPr>
        <w:t>article views</w:t>
      </w:r>
      <w:r w:rsidR="005853A9">
        <w:rPr>
          <w:kern w:val="0"/>
          <w:szCs w:val="24"/>
        </w:rPr>
        <w:t xml:space="preserve"> and </w:t>
      </w:r>
      <w:r w:rsidRPr="00E71E31">
        <w:rPr>
          <w:kern w:val="0"/>
          <w:szCs w:val="24"/>
        </w:rPr>
        <w:t>citation counts. Short titles presenting results or conclusions were independently associated with higher citation counts</w:t>
      </w:r>
      <w:r w:rsidR="00A37C1D">
        <w:rPr>
          <w:kern w:val="0"/>
          <w:szCs w:val="24"/>
        </w:rPr>
        <w:t>. The</w:t>
      </w:r>
      <w:r w:rsidR="003A1917">
        <w:rPr>
          <w:kern w:val="0"/>
          <w:szCs w:val="24"/>
        </w:rPr>
        <w:t xml:space="preserve"> </w:t>
      </w:r>
      <w:r w:rsidRPr="00E71E31">
        <w:rPr>
          <w:kern w:val="0"/>
          <w:szCs w:val="24"/>
        </w:rPr>
        <w:t>findings presented here could be used by authors, reviewers,</w:t>
      </w:r>
      <w:r w:rsidR="005853A9">
        <w:rPr>
          <w:kern w:val="0"/>
          <w:szCs w:val="24"/>
        </w:rPr>
        <w:t xml:space="preserve"> and </w:t>
      </w:r>
      <w:r w:rsidRPr="00E71E31">
        <w:rPr>
          <w:kern w:val="0"/>
          <w:szCs w:val="24"/>
        </w:rPr>
        <w:t>editors to maximize</w:t>
      </w:r>
      <w:r w:rsidR="003A1917">
        <w:rPr>
          <w:kern w:val="0"/>
          <w:szCs w:val="24"/>
        </w:rPr>
        <w:t xml:space="preserve"> the </w:t>
      </w:r>
      <w:r w:rsidRPr="00E71E31">
        <w:rPr>
          <w:kern w:val="0"/>
          <w:szCs w:val="24"/>
        </w:rPr>
        <w:t>impact</w:t>
      </w:r>
      <w:r w:rsidR="00427468">
        <w:rPr>
          <w:kern w:val="0"/>
          <w:szCs w:val="24"/>
        </w:rPr>
        <w:t xml:space="preserve"> of </w:t>
      </w:r>
      <w:r w:rsidRPr="00E71E31">
        <w:rPr>
          <w:kern w:val="0"/>
          <w:szCs w:val="24"/>
        </w:rPr>
        <w:t>article</w:t>
      </w:r>
      <w:r>
        <w:rPr>
          <w:kern w:val="0"/>
          <w:szCs w:val="24"/>
        </w:rPr>
        <w:t>s in</w:t>
      </w:r>
      <w:r w:rsidR="003A1917">
        <w:rPr>
          <w:kern w:val="0"/>
          <w:szCs w:val="24"/>
        </w:rPr>
        <w:t xml:space="preserve"> the </w:t>
      </w:r>
      <w:r>
        <w:rPr>
          <w:kern w:val="0"/>
          <w:szCs w:val="24"/>
        </w:rPr>
        <w:t>scientific community.</w:t>
      </w:r>
    </w:p>
    <w:p w:rsidR="0069476F" w:rsidRDefault="0069476F" w:rsidP="0069476F">
      <w:pPr>
        <w:pStyle w:val="a3"/>
        <w:rPr>
          <w:kern w:val="0"/>
        </w:rPr>
      </w:pPr>
      <w:r>
        <w:rPr>
          <w:rFonts w:hint="eastAsia"/>
          <w:kern w:val="0"/>
        </w:rPr>
        <w:t xml:space="preserve">? </w:t>
      </w:r>
      <w:r>
        <w:rPr>
          <w:kern w:val="0"/>
        </w:rPr>
        <w:t>Nascimento, E.R., Maia, A.C.O., Pereira, V., Soares, G., Nardi, A.E.</w:t>
      </w:r>
      <w:r w:rsidR="005853A9">
        <w:rPr>
          <w:kern w:val="0"/>
        </w:rPr>
        <w:t xml:space="preserve"> and </w:t>
      </w:r>
      <w:r>
        <w:rPr>
          <w:kern w:val="0"/>
        </w:rPr>
        <w:t>Silva, A.C. (2013), Sexual dysfunction</w:t>
      </w:r>
      <w:r w:rsidR="005853A9">
        <w:rPr>
          <w:kern w:val="0"/>
        </w:rPr>
        <w:t xml:space="preserve"> and </w:t>
      </w:r>
      <w:r>
        <w:rPr>
          <w:kern w:val="0"/>
        </w:rPr>
        <w:t>cardiovascular diseases: A systematic review</w:t>
      </w:r>
      <w:r w:rsidR="00427468">
        <w:rPr>
          <w:kern w:val="0"/>
        </w:rPr>
        <w:t xml:space="preserve"> of </w:t>
      </w:r>
      <w:r>
        <w:rPr>
          <w:kern w:val="0"/>
        </w:rPr>
        <w:t xml:space="preserve">prevalence. </w:t>
      </w:r>
      <w:r>
        <w:rPr>
          <w:i/>
          <w:iCs/>
          <w:kern w:val="0"/>
        </w:rPr>
        <w:t>Clinics</w:t>
      </w:r>
      <w:r>
        <w:rPr>
          <w:kern w:val="0"/>
        </w:rPr>
        <w:t xml:space="preserve">, </w:t>
      </w:r>
      <w:r>
        <w:rPr>
          <w:b/>
          <w:bCs/>
          <w:kern w:val="0"/>
        </w:rPr>
        <w:t>68</w:t>
      </w:r>
      <w:r>
        <w:rPr>
          <w:kern w:val="0"/>
        </w:rPr>
        <w:t xml:space="preserve"> (11), 1462-1468.</w:t>
      </w:r>
    </w:p>
    <w:p w:rsidR="0069476F" w:rsidRDefault="0069476F" w:rsidP="0069476F">
      <w:pPr>
        <w:pStyle w:val="a3"/>
        <w:rPr>
          <w:kern w:val="0"/>
          <w:szCs w:val="24"/>
        </w:rPr>
      </w:pPr>
      <w:r>
        <w:rPr>
          <w:rFonts w:hint="eastAsia"/>
          <w:kern w:val="0"/>
          <w:szCs w:val="24"/>
        </w:rPr>
        <w:t xml:space="preserve">Full Text: </w:t>
      </w:r>
      <w:hyperlink r:id="rId476" w:history="1">
        <w:r w:rsidRPr="0069476F">
          <w:rPr>
            <w:rStyle w:val="a5"/>
            <w:kern w:val="0"/>
            <w:szCs w:val="24"/>
          </w:rPr>
          <w:t>2013\Clinics68, 1462.pdf</w:t>
        </w:r>
      </w:hyperlink>
    </w:p>
    <w:p w:rsidR="0069476F" w:rsidRDefault="0069476F" w:rsidP="0069476F">
      <w:pPr>
        <w:pStyle w:val="a3"/>
        <w:rPr>
          <w:kern w:val="0"/>
        </w:rPr>
      </w:pPr>
      <w:r>
        <w:rPr>
          <w:kern w:val="0"/>
        </w:rPr>
        <w:t>Abstract: The aim</w:t>
      </w:r>
      <w:r w:rsidR="00427468">
        <w:rPr>
          <w:kern w:val="0"/>
        </w:rPr>
        <w:t xml:space="preserve"> of </w:t>
      </w:r>
      <w:r>
        <w:rPr>
          <w:kern w:val="0"/>
        </w:rPr>
        <w:t>this study was to conduct a systematic review</w:t>
      </w:r>
      <w:r w:rsidR="00427468">
        <w:rPr>
          <w:kern w:val="0"/>
        </w:rPr>
        <w:t xml:space="preserve"> of </w:t>
      </w:r>
      <w:r>
        <w:rPr>
          <w:kern w:val="0"/>
        </w:rPr>
        <w:t>the literature regarding the prevalence</w:t>
      </w:r>
      <w:r w:rsidR="00427468">
        <w:rPr>
          <w:kern w:val="0"/>
        </w:rPr>
        <w:t xml:space="preserve"> of </w:t>
      </w:r>
      <w:r>
        <w:rPr>
          <w:kern w:val="0"/>
        </w:rPr>
        <w:t>sexual dysfunction in patients with cardiovascular diseases. An article search</w:t>
      </w:r>
      <w:r w:rsidR="00427468">
        <w:rPr>
          <w:kern w:val="0"/>
        </w:rPr>
        <w:t xml:space="preserve"> of </w:t>
      </w:r>
      <w:r>
        <w:rPr>
          <w:kern w:val="0"/>
        </w:rPr>
        <w:t>the ISI Web</w:t>
      </w:r>
      <w:r w:rsidR="00427468">
        <w:rPr>
          <w:kern w:val="0"/>
        </w:rPr>
        <w:t xml:space="preserve"> of </w:t>
      </w:r>
      <w:r>
        <w:rPr>
          <w:kern w:val="0"/>
        </w:rPr>
        <w:t>Science</w:t>
      </w:r>
      <w:r w:rsidR="005853A9">
        <w:rPr>
          <w:kern w:val="0"/>
        </w:rPr>
        <w:t xml:space="preserve"> and </w:t>
      </w:r>
      <w:r>
        <w:rPr>
          <w:kern w:val="0"/>
        </w:rPr>
        <w:t>PubMed databases using the search terms “sexual dysfunction”, “cardiovascular diseases”, “coronary artery disease”, “myocardial infarct”</w:t>
      </w:r>
      <w:r w:rsidR="005853A9">
        <w:rPr>
          <w:kern w:val="0"/>
        </w:rPr>
        <w:t xml:space="preserve"> and </w:t>
      </w:r>
      <w:r>
        <w:rPr>
          <w:kern w:val="0"/>
        </w:rPr>
        <w:t>“prevalence” was performed. In total, 893 references were found. Non-English-language</w:t>
      </w:r>
      <w:r w:rsidR="005853A9">
        <w:rPr>
          <w:kern w:val="0"/>
        </w:rPr>
        <w:t xml:space="preserve"> and </w:t>
      </w:r>
      <w:r>
        <w:rPr>
          <w:kern w:val="0"/>
        </w:rPr>
        <w:t>repeated references were excluded. After an abstract analysis, 91 references were included for full-text reading,</w:t>
      </w:r>
      <w:r w:rsidR="005853A9">
        <w:rPr>
          <w:kern w:val="0"/>
        </w:rPr>
        <w:t xml:space="preserve"> and </w:t>
      </w:r>
      <w:r>
        <w:rPr>
          <w:kern w:val="0"/>
        </w:rPr>
        <w:t>24 articles that evaluated sexual function using validated instruments were selected for this review. This research was conducted in October 2012,</w:t>
      </w:r>
      <w:r w:rsidR="005853A9">
        <w:rPr>
          <w:kern w:val="0"/>
        </w:rPr>
        <w:t xml:space="preserve"> and </w:t>
      </w:r>
      <w:r>
        <w:rPr>
          <w:kern w:val="0"/>
        </w:rPr>
        <w:t>no time restrictions were placed on any</w:t>
      </w:r>
      <w:r w:rsidR="00427468">
        <w:rPr>
          <w:kern w:val="0"/>
        </w:rPr>
        <w:t xml:space="preserve"> of </w:t>
      </w:r>
      <w:r>
        <w:rPr>
          <w:kern w:val="0"/>
        </w:rPr>
        <w:t>the database searches. Reviews</w:t>
      </w:r>
      <w:r w:rsidR="005853A9">
        <w:rPr>
          <w:kern w:val="0"/>
        </w:rPr>
        <w:t xml:space="preserve"> and </w:t>
      </w:r>
      <w:r>
        <w:rPr>
          <w:kern w:val="0"/>
        </w:rPr>
        <w:t>theoretical articles were excluded; only clinical trials</w:t>
      </w:r>
      <w:r w:rsidR="005853A9">
        <w:rPr>
          <w:kern w:val="0"/>
        </w:rPr>
        <w:t xml:space="preserve"> and </w:t>
      </w:r>
      <w:r>
        <w:rPr>
          <w:kern w:val="0"/>
        </w:rPr>
        <w:t>epidemiological studies were selected for this review</w:t>
      </w:r>
      <w:r w:rsidR="00A37C1D">
        <w:rPr>
          <w:kern w:val="0"/>
        </w:rPr>
        <w:t>. The</w:t>
      </w:r>
      <w:r>
        <w:rPr>
          <w:kern w:val="0"/>
        </w:rPr>
        <w:t xml:space="preserve"> studies were mostly cross-sectional, observational</w:t>
      </w:r>
      <w:r w:rsidR="005853A9">
        <w:rPr>
          <w:kern w:val="0"/>
        </w:rPr>
        <w:t xml:space="preserve"> and </w:t>
      </w:r>
      <w:r>
        <w:rPr>
          <w:kern w:val="0"/>
        </w:rPr>
        <w:t>case-control in nature; other studies used prospective cohort or randomized clinical designs. In women, all domains</w:t>
      </w:r>
      <w:r w:rsidR="00427468">
        <w:rPr>
          <w:kern w:val="0"/>
        </w:rPr>
        <w:t xml:space="preserve"> of </w:t>
      </w:r>
      <w:r>
        <w:rPr>
          <w:kern w:val="0"/>
        </w:rPr>
        <w:t>sexual function (desire, arousal, vaginal lubrication, orgasm, sexual dissatisfaction</w:t>
      </w:r>
      <w:r w:rsidR="005853A9">
        <w:rPr>
          <w:kern w:val="0"/>
        </w:rPr>
        <w:t xml:space="preserve"> and </w:t>
      </w:r>
      <w:r>
        <w:rPr>
          <w:kern w:val="0"/>
        </w:rPr>
        <w:t>pain) were affected</w:t>
      </w:r>
      <w:r w:rsidR="00A37C1D">
        <w:rPr>
          <w:kern w:val="0"/>
        </w:rPr>
        <w:t>. The</w:t>
      </w:r>
      <w:r>
        <w:rPr>
          <w:kern w:val="0"/>
        </w:rPr>
        <w:t xml:space="preserve"> domains prevalent in men included erectile dysfunction</w:t>
      </w:r>
      <w:r w:rsidR="005853A9">
        <w:rPr>
          <w:kern w:val="0"/>
        </w:rPr>
        <w:t xml:space="preserve"> and </w:t>
      </w:r>
      <w:r>
        <w:rPr>
          <w:kern w:val="0"/>
        </w:rPr>
        <w:t>premature ejaculation</w:t>
      </w:r>
      <w:r w:rsidR="005853A9">
        <w:rPr>
          <w:kern w:val="0"/>
        </w:rPr>
        <w:t xml:space="preserve"> and </w:t>
      </w:r>
      <w:r>
        <w:rPr>
          <w:kern w:val="0"/>
        </w:rPr>
        <w:t>orgasm. Sexual dysfunction was related to the severity</w:t>
      </w:r>
      <w:r w:rsidR="00427468">
        <w:rPr>
          <w:kern w:val="0"/>
        </w:rPr>
        <w:t xml:space="preserve"> of </w:t>
      </w:r>
      <w:r>
        <w:rPr>
          <w:kern w:val="0"/>
        </w:rPr>
        <w:t>cardiovascular disease. When they resumed sexual activity, patients with heart disease reported significant difficulty, including a lack</w:t>
      </w:r>
      <w:r w:rsidR="00427468">
        <w:rPr>
          <w:kern w:val="0"/>
        </w:rPr>
        <w:t xml:space="preserve"> of </w:t>
      </w:r>
      <w:r>
        <w:rPr>
          <w:kern w:val="0"/>
        </w:rPr>
        <w:t>interest in sex, sexual dissatisfaction</w:t>
      </w:r>
      <w:r w:rsidR="005853A9">
        <w:rPr>
          <w:kern w:val="0"/>
        </w:rPr>
        <w:t xml:space="preserve"> and </w:t>
      </w:r>
      <w:r>
        <w:rPr>
          <w:kern w:val="0"/>
        </w:rPr>
        <w:t>a decrease in the frequency</w:t>
      </w:r>
      <w:r w:rsidR="00427468">
        <w:rPr>
          <w:kern w:val="0"/>
        </w:rPr>
        <w:t xml:space="preserve"> of </w:t>
      </w:r>
      <w:r>
        <w:rPr>
          <w:kern w:val="0"/>
        </w:rPr>
        <w:t>sexual activity.</w:t>
      </w:r>
    </w:p>
    <w:p w:rsidR="0069476F" w:rsidRDefault="0069476F" w:rsidP="0069476F">
      <w:pPr>
        <w:pStyle w:val="a3"/>
        <w:rPr>
          <w:kern w:val="0"/>
        </w:rPr>
      </w:pPr>
      <w:r>
        <w:rPr>
          <w:kern w:val="0"/>
        </w:rPr>
        <w:t>Keywords: Activity, Analysis, Artery, Cardiovascular, Cardiovascular Disease, Case-Control, Clinical, Clinical Trials, Cohort, Database, Databases, Disease, Diseases, Erectile Dysfunction, Function, Heart, Instruments, Isi, Isi Web</w:t>
      </w:r>
      <w:r w:rsidR="00427468">
        <w:rPr>
          <w:kern w:val="0"/>
        </w:rPr>
        <w:t xml:space="preserve"> of </w:t>
      </w:r>
      <w:r>
        <w:rPr>
          <w:kern w:val="0"/>
        </w:rPr>
        <w:t>Science, Literature, Men, Observational, Pain, Patients, Premature, Prevalence, Prospective, Pubmed, Randomized, Reading, References, Research, Restrictions, Review, Science, Sex, Sexual Dysfunction, Sexual Function, Systematic Review, Theoretical, Vaginal, Web</w:t>
      </w:r>
      <w:r w:rsidR="00427468">
        <w:rPr>
          <w:kern w:val="0"/>
        </w:rPr>
        <w:t xml:space="preserve"> of </w:t>
      </w:r>
      <w:r>
        <w:rPr>
          <w:kern w:val="0"/>
        </w:rPr>
        <w:t>Science, Women</w:t>
      </w:r>
    </w:p>
    <w:p w:rsidR="000449C8" w:rsidRPr="001A3D2B" w:rsidRDefault="000449C8" w:rsidP="000449C8">
      <w:pPr>
        <w:pStyle w:val="1"/>
      </w:pPr>
      <w:r w:rsidRPr="001A3D2B">
        <w:br w:type="page"/>
      </w:r>
      <w:bookmarkStart w:id="322" w:name="_Toc420815053"/>
      <w:r w:rsidRPr="001A3D2B">
        <w:lastRenderedPageBreak/>
        <w:t xml:space="preserve">Title: </w:t>
      </w:r>
      <w:r w:rsidRPr="000449C8">
        <w:rPr>
          <w:iCs w:val="0"/>
        </w:rPr>
        <w:t>Clinics</w:t>
      </w:r>
      <w:r w:rsidR="005853A9">
        <w:rPr>
          <w:iCs w:val="0"/>
        </w:rPr>
        <w:t xml:space="preserve"> and </w:t>
      </w:r>
      <w:r w:rsidRPr="000449C8">
        <w:rPr>
          <w:iCs w:val="0"/>
        </w:rPr>
        <w:t>Research in Hepatology</w:t>
      </w:r>
      <w:r w:rsidR="005853A9">
        <w:rPr>
          <w:iCs w:val="0"/>
        </w:rPr>
        <w:t xml:space="preserve"> and </w:t>
      </w:r>
      <w:r w:rsidRPr="000449C8">
        <w:rPr>
          <w:iCs w:val="0"/>
        </w:rPr>
        <w:t>Gastroenterology</w:t>
      </w:r>
      <w:bookmarkEnd w:id="322"/>
    </w:p>
    <w:p w:rsidR="000449C8" w:rsidRPr="001A3D2B" w:rsidRDefault="000449C8" w:rsidP="000449C8">
      <w:pPr>
        <w:pStyle w:val="12"/>
      </w:pPr>
      <w:r w:rsidRPr="001A3D2B">
        <w:t xml:space="preserve">Full Journal Title: </w:t>
      </w:r>
      <w:hyperlink r:id="rId477" w:history="1">
        <w:r w:rsidRPr="002A71A0">
          <w:rPr>
            <w:rStyle w:val="a5"/>
            <w:iCs/>
          </w:rPr>
          <w:t>Clinics</w:t>
        </w:r>
        <w:r w:rsidR="005853A9">
          <w:rPr>
            <w:rStyle w:val="a5"/>
            <w:iCs/>
          </w:rPr>
          <w:t xml:space="preserve"> and </w:t>
        </w:r>
        <w:r w:rsidRPr="002A71A0">
          <w:rPr>
            <w:rStyle w:val="a5"/>
            <w:iCs/>
          </w:rPr>
          <w:t>Research in Hepatology</w:t>
        </w:r>
        <w:r w:rsidR="005853A9">
          <w:rPr>
            <w:rStyle w:val="a5"/>
            <w:iCs/>
          </w:rPr>
          <w:t xml:space="preserve"> and </w:t>
        </w:r>
        <w:r w:rsidRPr="002A71A0">
          <w:rPr>
            <w:rStyle w:val="a5"/>
            <w:iCs/>
          </w:rPr>
          <w:t>Gastroenterology</w:t>
        </w:r>
      </w:hyperlink>
    </w:p>
    <w:p w:rsidR="000449C8" w:rsidRPr="001A3D2B" w:rsidRDefault="000449C8" w:rsidP="000449C8">
      <w:pPr>
        <w:pStyle w:val="12"/>
      </w:pPr>
      <w:r w:rsidRPr="001A3D2B">
        <w:t xml:space="preserve">ISO Abbreviated Title: </w:t>
      </w:r>
    </w:p>
    <w:p w:rsidR="000449C8" w:rsidRPr="001A3D2B" w:rsidRDefault="000449C8" w:rsidP="000449C8">
      <w:pPr>
        <w:pStyle w:val="12"/>
      </w:pPr>
      <w:r w:rsidRPr="001A3D2B">
        <w:t xml:space="preserve">JCR Abbreviated Title: </w:t>
      </w:r>
    </w:p>
    <w:p w:rsidR="000449C8" w:rsidRPr="001A3D2B" w:rsidRDefault="000449C8" w:rsidP="000449C8">
      <w:pPr>
        <w:pStyle w:val="12"/>
      </w:pPr>
      <w:r w:rsidRPr="001A3D2B">
        <w:t xml:space="preserve">ISSN: </w:t>
      </w:r>
    </w:p>
    <w:p w:rsidR="000449C8" w:rsidRPr="001A3D2B" w:rsidRDefault="000449C8" w:rsidP="000449C8">
      <w:pPr>
        <w:pStyle w:val="12"/>
      </w:pPr>
      <w:r w:rsidRPr="001A3D2B">
        <w:t xml:space="preserve">Issues/Year: </w:t>
      </w:r>
    </w:p>
    <w:p w:rsidR="000449C8" w:rsidRPr="001A3D2B" w:rsidRDefault="000449C8" w:rsidP="000449C8">
      <w:pPr>
        <w:pStyle w:val="12"/>
      </w:pPr>
      <w:r w:rsidRPr="001A3D2B">
        <w:t xml:space="preserve">Journal Country/Territory: </w:t>
      </w:r>
    </w:p>
    <w:p w:rsidR="000449C8" w:rsidRPr="001A3D2B" w:rsidRDefault="000449C8" w:rsidP="000449C8">
      <w:pPr>
        <w:pStyle w:val="12"/>
      </w:pPr>
      <w:r w:rsidRPr="001A3D2B">
        <w:t xml:space="preserve">Language: </w:t>
      </w:r>
    </w:p>
    <w:p w:rsidR="000449C8" w:rsidRPr="001A3D2B" w:rsidRDefault="000449C8" w:rsidP="000449C8">
      <w:pPr>
        <w:pStyle w:val="12"/>
      </w:pPr>
      <w:r w:rsidRPr="001A3D2B">
        <w:t xml:space="preserve">Publisher: </w:t>
      </w:r>
    </w:p>
    <w:p w:rsidR="000449C8" w:rsidRPr="001A3D2B" w:rsidRDefault="000449C8" w:rsidP="000449C8">
      <w:pPr>
        <w:pStyle w:val="12"/>
      </w:pPr>
      <w:r w:rsidRPr="001A3D2B">
        <w:t xml:space="preserve">Publisher Address: </w:t>
      </w:r>
    </w:p>
    <w:p w:rsidR="000449C8" w:rsidRPr="001A3D2B" w:rsidRDefault="000449C8" w:rsidP="000449C8">
      <w:pPr>
        <w:pStyle w:val="12"/>
      </w:pPr>
      <w:r w:rsidRPr="001A3D2B">
        <w:t xml:space="preserve">Subject Categories: </w:t>
      </w:r>
    </w:p>
    <w:p w:rsidR="000449C8" w:rsidRPr="001A3D2B" w:rsidRDefault="000449C8" w:rsidP="000449C8">
      <w:pPr>
        <w:pStyle w:val="12"/>
      </w:pPr>
      <w:r w:rsidRPr="001A3D2B">
        <w:t xml:space="preserve">: Impact Factor </w:t>
      </w:r>
    </w:p>
    <w:p w:rsidR="000449C8" w:rsidRDefault="000449C8" w:rsidP="000449C8">
      <w:pPr>
        <w:pStyle w:val="a3"/>
        <w:rPr>
          <w:kern w:val="0"/>
        </w:rPr>
      </w:pPr>
      <w:r>
        <w:rPr>
          <w:rFonts w:hint="eastAsia"/>
          <w:kern w:val="0"/>
        </w:rPr>
        <w:t xml:space="preserve">? </w:t>
      </w:r>
      <w:r>
        <w:rPr>
          <w:kern w:val="0"/>
        </w:rPr>
        <w:t>Devos, P. (2011), Research</w:t>
      </w:r>
      <w:r w:rsidR="005853A9">
        <w:rPr>
          <w:kern w:val="0"/>
        </w:rPr>
        <w:t xml:space="preserve"> and </w:t>
      </w:r>
      <w:r>
        <w:rPr>
          <w:kern w:val="0"/>
        </w:rPr>
        <w:t>bibliometrics: A long history</w:t>
      </w:r>
      <w:r>
        <w:rPr>
          <w:rFonts w:hint="eastAsia"/>
          <w:kern w:val="0"/>
        </w:rPr>
        <w:t>..</w:t>
      </w:r>
      <w:r>
        <w:rPr>
          <w:kern w:val="0"/>
        </w:rPr>
        <w:t xml:space="preserve">. </w:t>
      </w:r>
      <w:r w:rsidRPr="000449C8">
        <w:rPr>
          <w:i/>
          <w:iCs/>
          <w:kern w:val="0"/>
        </w:rPr>
        <w:t>Clinics</w:t>
      </w:r>
      <w:r w:rsidR="005853A9">
        <w:rPr>
          <w:i/>
          <w:iCs/>
          <w:kern w:val="0"/>
        </w:rPr>
        <w:t xml:space="preserve"> and </w:t>
      </w:r>
      <w:r w:rsidRPr="000449C8">
        <w:rPr>
          <w:i/>
          <w:iCs/>
          <w:kern w:val="0"/>
        </w:rPr>
        <w:t>Research in Hepatology</w:t>
      </w:r>
      <w:r w:rsidR="005853A9">
        <w:rPr>
          <w:i/>
          <w:iCs/>
          <w:kern w:val="0"/>
        </w:rPr>
        <w:t xml:space="preserve"> and </w:t>
      </w:r>
      <w:r w:rsidRPr="000449C8">
        <w:rPr>
          <w:i/>
          <w:iCs/>
          <w:kern w:val="0"/>
        </w:rPr>
        <w:t>Gastroenterology</w:t>
      </w:r>
      <w:r>
        <w:rPr>
          <w:kern w:val="0"/>
        </w:rPr>
        <w:t xml:space="preserve">, </w:t>
      </w:r>
      <w:r>
        <w:rPr>
          <w:b/>
          <w:bCs/>
          <w:kern w:val="0"/>
        </w:rPr>
        <w:t>35</w:t>
      </w:r>
      <w:r>
        <w:rPr>
          <w:kern w:val="0"/>
        </w:rPr>
        <w:t xml:space="preserve"> (5), 336-337</w:t>
      </w:r>
      <w:r>
        <w:rPr>
          <w:rFonts w:hint="eastAsia"/>
          <w:kern w:val="0"/>
        </w:rPr>
        <w:t>.</w:t>
      </w:r>
    </w:p>
    <w:p w:rsidR="000449C8" w:rsidRDefault="000449C8" w:rsidP="000449C8">
      <w:pPr>
        <w:pStyle w:val="a3"/>
        <w:rPr>
          <w:kern w:val="0"/>
        </w:rPr>
      </w:pPr>
      <w:r>
        <w:rPr>
          <w:rFonts w:hint="eastAsia"/>
          <w:kern w:val="0"/>
        </w:rPr>
        <w:t xml:space="preserve">Full Text: </w:t>
      </w:r>
      <w:hyperlink r:id="rId478" w:history="1">
        <w:r w:rsidRPr="002A71A0">
          <w:rPr>
            <w:rStyle w:val="a5"/>
            <w:kern w:val="0"/>
          </w:rPr>
          <w:t>2011\Cli Res Hep Gas35, 336.pdf</w:t>
        </w:r>
      </w:hyperlink>
    </w:p>
    <w:p w:rsidR="000449C8" w:rsidRDefault="000449C8" w:rsidP="000449C8">
      <w:pPr>
        <w:pStyle w:val="a3"/>
        <w:rPr>
          <w:kern w:val="0"/>
        </w:rPr>
      </w:pPr>
      <w:r>
        <w:rPr>
          <w:kern w:val="0"/>
        </w:rPr>
        <w:t>Keywords: Bibliometrics, History, Research</w:t>
      </w:r>
    </w:p>
    <w:p w:rsidR="00A11D17" w:rsidRDefault="00A11D17" w:rsidP="00A11D17">
      <w:pPr>
        <w:pStyle w:val="a3"/>
        <w:rPr>
          <w:kern w:val="0"/>
        </w:rPr>
      </w:pPr>
      <w:r>
        <w:rPr>
          <w:rFonts w:hint="eastAsia"/>
          <w:kern w:val="0"/>
        </w:rPr>
        <w:t xml:space="preserve">? </w:t>
      </w:r>
      <w:r>
        <w:rPr>
          <w:kern w:val="0"/>
        </w:rPr>
        <w:t>Poynard, T., Thabut, D., Jabre, P., Munteanu, M., Ratziu, V., Benhamou, Y.</w:t>
      </w:r>
      <w:r w:rsidR="005853A9">
        <w:rPr>
          <w:kern w:val="0"/>
        </w:rPr>
        <w:t xml:space="preserve"> and </w:t>
      </w:r>
      <w:r>
        <w:rPr>
          <w:kern w:val="0"/>
        </w:rPr>
        <w:t xml:space="preserve">Deckmyn, O. (2011), Ranking </w:t>
      </w:r>
      <w:r w:rsidR="00BC6E79">
        <w:rPr>
          <w:kern w:val="0"/>
        </w:rPr>
        <w:t>hepatologists</w:t>
      </w:r>
      <w:r>
        <w:rPr>
          <w:kern w:val="0"/>
        </w:rPr>
        <w:t>: Which Hirsch</w:t>
      </w:r>
      <w:r w:rsidR="0071223E">
        <w:rPr>
          <w:kern w:val="0"/>
        </w:rPr>
        <w:t>’</w:t>
      </w:r>
      <w:r w:rsidR="00C13DDC">
        <w:rPr>
          <w:kern w:val="0"/>
        </w:rPr>
        <w:t>s</w:t>
      </w:r>
      <w:r>
        <w:rPr>
          <w:kern w:val="0"/>
        </w:rPr>
        <w:t xml:space="preserve"> </w:t>
      </w:r>
      <w:r w:rsidR="00D5664A">
        <w:rPr>
          <w:kern w:val="0"/>
        </w:rPr>
        <w:t>h-Index</w:t>
      </w:r>
      <w:r>
        <w:rPr>
          <w:kern w:val="0"/>
        </w:rPr>
        <w:t xml:space="preserve"> to prevent</w:t>
      </w:r>
      <w:r w:rsidR="003A1917">
        <w:rPr>
          <w:kern w:val="0"/>
        </w:rPr>
        <w:t xml:space="preserve"> the </w:t>
      </w:r>
      <w:r w:rsidR="00B5188C">
        <w:rPr>
          <w:kern w:val="0"/>
        </w:rPr>
        <w:t>“</w:t>
      </w:r>
      <w:r>
        <w:rPr>
          <w:kern w:val="0"/>
        </w:rPr>
        <w:t>e-crise de foi-e</w:t>
      </w:r>
      <w:r w:rsidR="00B5188C">
        <w:rPr>
          <w:kern w:val="0"/>
        </w:rPr>
        <w:t>”</w:t>
      </w:r>
      <w:r>
        <w:rPr>
          <w:kern w:val="0"/>
        </w:rPr>
        <w:t xml:space="preserve">? </w:t>
      </w:r>
      <w:r>
        <w:rPr>
          <w:i/>
          <w:iCs/>
          <w:kern w:val="0"/>
        </w:rPr>
        <w:t>Clinics</w:t>
      </w:r>
      <w:r w:rsidR="005853A9">
        <w:rPr>
          <w:i/>
          <w:iCs/>
          <w:kern w:val="0"/>
        </w:rPr>
        <w:t xml:space="preserve"> and </w:t>
      </w:r>
      <w:r>
        <w:rPr>
          <w:i/>
          <w:iCs/>
          <w:kern w:val="0"/>
        </w:rPr>
        <w:t>Research in Hepatology</w:t>
      </w:r>
      <w:r w:rsidR="005853A9">
        <w:rPr>
          <w:i/>
          <w:iCs/>
          <w:kern w:val="0"/>
        </w:rPr>
        <w:t xml:space="preserve"> and </w:t>
      </w:r>
      <w:r>
        <w:rPr>
          <w:i/>
          <w:iCs/>
          <w:kern w:val="0"/>
        </w:rPr>
        <w:t>Gastroenterology</w:t>
      </w:r>
      <w:r>
        <w:rPr>
          <w:kern w:val="0"/>
        </w:rPr>
        <w:t xml:space="preserve">, </w:t>
      </w:r>
      <w:r>
        <w:rPr>
          <w:b/>
          <w:bCs/>
          <w:kern w:val="0"/>
        </w:rPr>
        <w:t>35</w:t>
      </w:r>
      <w:r>
        <w:rPr>
          <w:kern w:val="0"/>
        </w:rPr>
        <w:t xml:space="preserve"> (5), 375-386.</w:t>
      </w:r>
    </w:p>
    <w:p w:rsidR="00A11D17" w:rsidRDefault="00A11D17" w:rsidP="00A11D17">
      <w:pPr>
        <w:pStyle w:val="a3"/>
        <w:rPr>
          <w:kern w:val="0"/>
        </w:rPr>
      </w:pPr>
      <w:r>
        <w:rPr>
          <w:rFonts w:hint="eastAsia"/>
          <w:kern w:val="0"/>
        </w:rPr>
        <w:t xml:space="preserve">Full Text: </w:t>
      </w:r>
      <w:hyperlink r:id="rId479" w:history="1">
        <w:r w:rsidRPr="00A11D17">
          <w:rPr>
            <w:rStyle w:val="a5"/>
            <w:kern w:val="0"/>
          </w:rPr>
          <w:t>2011\Cli Res Hep Gas35, 375.pdf</w:t>
        </w:r>
      </w:hyperlink>
    </w:p>
    <w:p w:rsidR="00A11D17" w:rsidRDefault="00A11D17" w:rsidP="00A11D17">
      <w:pPr>
        <w:pStyle w:val="a3"/>
        <w:rPr>
          <w:kern w:val="0"/>
        </w:rPr>
      </w:pPr>
      <w:r>
        <w:rPr>
          <w:kern w:val="0"/>
        </w:rPr>
        <w:t>Abstract: Background: Hirsch</w:t>
      </w:r>
      <w:r w:rsidR="0071223E">
        <w:rPr>
          <w:kern w:val="0"/>
        </w:rPr>
        <w:t>’</w:t>
      </w:r>
      <w:r w:rsidR="00C13DDC">
        <w:rPr>
          <w:kern w:val="0"/>
        </w:rPr>
        <w:t>s</w:t>
      </w:r>
      <w:r>
        <w:rPr>
          <w:kern w:val="0"/>
        </w:rPr>
        <w:t xml:space="preserve"> </w:t>
      </w:r>
      <w:r w:rsidR="00D5664A">
        <w:rPr>
          <w:kern w:val="0"/>
        </w:rPr>
        <w:t>h-Index</w:t>
      </w:r>
      <w:r>
        <w:rPr>
          <w:kern w:val="0"/>
        </w:rPr>
        <w:t xml:space="preserve"> (h-I) quantifies</w:t>
      </w:r>
      <w:r w:rsidR="005853A9">
        <w:rPr>
          <w:kern w:val="0"/>
        </w:rPr>
        <w:t xml:space="preserve"> and </w:t>
      </w:r>
      <w:r>
        <w:rPr>
          <w:kern w:val="0"/>
        </w:rPr>
        <w:t>predicts an individual</w:t>
      </w:r>
      <w:r w:rsidR="0071223E">
        <w:rPr>
          <w:kern w:val="0"/>
        </w:rPr>
        <w:t>’</w:t>
      </w:r>
      <w:r w:rsidR="00C13DDC">
        <w:rPr>
          <w:kern w:val="0"/>
        </w:rPr>
        <w:t>s</w:t>
      </w:r>
      <w:r>
        <w:rPr>
          <w:kern w:val="0"/>
        </w:rPr>
        <w:t xml:space="preserve"> scientific output</w:t>
      </w:r>
      <w:r w:rsidR="00A37C1D">
        <w:rPr>
          <w:kern w:val="0"/>
        </w:rPr>
        <w:t>. The</w:t>
      </w:r>
      <w:r w:rsidR="003A1917">
        <w:rPr>
          <w:kern w:val="0"/>
        </w:rPr>
        <w:t xml:space="preserve"> </w:t>
      </w:r>
      <w:r>
        <w:rPr>
          <w:kern w:val="0"/>
        </w:rPr>
        <w:t xml:space="preserve">h-I can be estimated from several sources, but no </w:t>
      </w:r>
      <w:r w:rsidR="00B5188C">
        <w:rPr>
          <w:kern w:val="0"/>
        </w:rPr>
        <w:t>“</w:t>
      </w:r>
      <w:r>
        <w:rPr>
          <w:kern w:val="0"/>
        </w:rPr>
        <w:t>gold-standard</w:t>
      </w:r>
      <w:r w:rsidR="00B5188C">
        <w:rPr>
          <w:kern w:val="0"/>
        </w:rPr>
        <w:t>”</w:t>
      </w:r>
      <w:r>
        <w:rPr>
          <w:kern w:val="0"/>
        </w:rPr>
        <w:t xml:space="preserve"> approach has yet been established</w:t>
      </w:r>
      <w:r w:rsidR="00A37C1D">
        <w:rPr>
          <w:kern w:val="0"/>
        </w:rPr>
        <w:t>. The</w:t>
      </w:r>
      <w:r w:rsidR="003A1917">
        <w:rPr>
          <w:kern w:val="0"/>
        </w:rPr>
        <w:t xml:space="preserve"> </w:t>
      </w:r>
      <w:r>
        <w:rPr>
          <w:kern w:val="0"/>
        </w:rPr>
        <w:t>aim was to analyze</w:t>
      </w:r>
      <w:r w:rsidR="003A1917">
        <w:rPr>
          <w:kern w:val="0"/>
        </w:rPr>
        <w:t xml:space="preserve"> the </w:t>
      </w:r>
      <w:r>
        <w:rPr>
          <w:kern w:val="0"/>
        </w:rPr>
        <w:t xml:space="preserve">discordance rates in Hepatology between five h-I assessments from five databases: Scholar, Scopus, </w:t>
      </w:r>
      <w:r w:rsidR="00D5664A">
        <w:rPr>
          <w:kern w:val="0"/>
        </w:rPr>
        <w:t>Web</w:t>
      </w:r>
      <w:r w:rsidR="00427468">
        <w:rPr>
          <w:kern w:val="0"/>
        </w:rPr>
        <w:t xml:space="preserve"> of </w:t>
      </w:r>
      <w:r w:rsidR="00D5664A">
        <w:rPr>
          <w:kern w:val="0"/>
        </w:rPr>
        <w:t>Science</w:t>
      </w:r>
      <w:r>
        <w:rPr>
          <w:kern w:val="0"/>
        </w:rPr>
        <w:t xml:space="preserve"> (WoS), ScholarL restricted to </w:t>
      </w:r>
      <w:r w:rsidR="00B5188C">
        <w:rPr>
          <w:kern w:val="0"/>
        </w:rPr>
        <w:t>“</w:t>
      </w:r>
      <w:r>
        <w:rPr>
          <w:kern w:val="0"/>
        </w:rPr>
        <w:t>liver</w:t>
      </w:r>
      <w:r w:rsidR="00B5188C">
        <w:rPr>
          <w:kern w:val="0"/>
        </w:rPr>
        <w:t>”</w:t>
      </w:r>
      <w:r>
        <w:rPr>
          <w:kern w:val="0"/>
        </w:rPr>
        <w:t>,</w:t>
      </w:r>
      <w:r w:rsidR="005853A9">
        <w:rPr>
          <w:kern w:val="0"/>
        </w:rPr>
        <w:t xml:space="preserve"> and </w:t>
      </w:r>
      <w:r>
        <w:rPr>
          <w:kern w:val="0"/>
        </w:rPr>
        <w:t>a specialty h-I HepaTop. Methods:</w:t>
      </w:r>
      <w:r w:rsidR="003A1917">
        <w:rPr>
          <w:kern w:val="0"/>
        </w:rPr>
        <w:t xml:space="preserve"> the </w:t>
      </w:r>
      <w:r>
        <w:rPr>
          <w:kern w:val="0"/>
        </w:rPr>
        <w:t>reference for</w:t>
      </w:r>
      <w:r w:rsidR="003A1917">
        <w:rPr>
          <w:kern w:val="0"/>
        </w:rPr>
        <w:t xml:space="preserve"> the </w:t>
      </w:r>
      <w:r>
        <w:rPr>
          <w:kern w:val="0"/>
        </w:rPr>
        <w:t xml:space="preserve">main endpoint was </w:t>
      </w:r>
      <w:r w:rsidR="00B5188C">
        <w:rPr>
          <w:kern w:val="0"/>
        </w:rPr>
        <w:t>“</w:t>
      </w:r>
      <w:r>
        <w:rPr>
          <w:kern w:val="0"/>
        </w:rPr>
        <w:t>h-I 50</w:t>
      </w:r>
      <w:r w:rsidR="00B5188C">
        <w:rPr>
          <w:kern w:val="0"/>
        </w:rPr>
        <w:t>”</w:t>
      </w:r>
      <w:r>
        <w:rPr>
          <w:kern w:val="0"/>
        </w:rPr>
        <w:t>,</w:t>
      </w:r>
      <w:r w:rsidR="003A1917">
        <w:rPr>
          <w:kern w:val="0"/>
        </w:rPr>
        <w:t xml:space="preserve"> the </w:t>
      </w:r>
      <w:r>
        <w:rPr>
          <w:kern w:val="0"/>
        </w:rPr>
        <w:t>median</w:t>
      </w:r>
      <w:r w:rsidR="00427468">
        <w:rPr>
          <w:kern w:val="0"/>
        </w:rPr>
        <w:t xml:space="preserve"> of </w:t>
      </w:r>
      <w:r>
        <w:rPr>
          <w:kern w:val="0"/>
        </w:rPr>
        <w:t>included authors. Applicability</w:t>
      </w:r>
      <w:r w:rsidR="005853A9">
        <w:rPr>
          <w:kern w:val="0"/>
        </w:rPr>
        <w:t xml:space="preserve"> and </w:t>
      </w:r>
      <w:r>
        <w:rPr>
          <w:kern w:val="0"/>
        </w:rPr>
        <w:t>accuracy were assessed among 158 authors identified in</w:t>
      </w:r>
      <w:r w:rsidR="003A1917">
        <w:rPr>
          <w:kern w:val="0"/>
        </w:rPr>
        <w:t xml:space="preserve"> the </w:t>
      </w:r>
      <w:r>
        <w:rPr>
          <w:kern w:val="0"/>
        </w:rPr>
        <w:t>top 100</w:t>
      </w:r>
      <w:r w:rsidR="00427468">
        <w:rPr>
          <w:kern w:val="0"/>
        </w:rPr>
        <w:t xml:space="preserve"> of </w:t>
      </w:r>
      <w:r w:rsidR="003A1917">
        <w:rPr>
          <w:kern w:val="0"/>
        </w:rPr>
        <w:t xml:space="preserve">the </w:t>
      </w:r>
      <w:r>
        <w:rPr>
          <w:kern w:val="0"/>
        </w:rPr>
        <w:t xml:space="preserve">most cited </w:t>
      </w:r>
      <w:r w:rsidR="00B5188C">
        <w:rPr>
          <w:kern w:val="0"/>
        </w:rPr>
        <w:t>“</w:t>
      </w:r>
      <w:r>
        <w:rPr>
          <w:kern w:val="0"/>
        </w:rPr>
        <w:t>clinical</w:t>
      </w:r>
      <w:r w:rsidR="00B5188C">
        <w:rPr>
          <w:kern w:val="0"/>
        </w:rPr>
        <w:t>”</w:t>
      </w:r>
      <w:r>
        <w:rPr>
          <w:kern w:val="0"/>
        </w:rPr>
        <w:t xml:space="preserve"> Hepatologists by two independent sources</w:t>
      </w:r>
      <w:r w:rsidR="00A37C1D">
        <w:rPr>
          <w:kern w:val="0"/>
        </w:rPr>
        <w:t>. The</w:t>
      </w:r>
      <w:r w:rsidR="003A1917">
        <w:rPr>
          <w:kern w:val="0"/>
        </w:rPr>
        <w:t xml:space="preserve"> </w:t>
      </w:r>
      <w:r>
        <w:rPr>
          <w:kern w:val="0"/>
        </w:rPr>
        <w:t>accuracy assessment used</w:t>
      </w:r>
      <w:r w:rsidR="003A1917">
        <w:rPr>
          <w:kern w:val="0"/>
        </w:rPr>
        <w:t xml:space="preserve"> the </w:t>
      </w:r>
      <w:r>
        <w:rPr>
          <w:kern w:val="0"/>
        </w:rPr>
        <w:t>area under</w:t>
      </w:r>
      <w:r w:rsidR="003A1917">
        <w:rPr>
          <w:kern w:val="0"/>
        </w:rPr>
        <w:t xml:space="preserve"> the </w:t>
      </w:r>
      <w:r>
        <w:rPr>
          <w:kern w:val="0"/>
        </w:rPr>
        <w:t>receiver operating characteristics curves (AUROCs) standardized or not according to spectrum effect,</w:t>
      </w:r>
      <w:r w:rsidR="005853A9">
        <w:rPr>
          <w:kern w:val="0"/>
        </w:rPr>
        <w:t xml:space="preserve"> and </w:t>
      </w:r>
      <w:r w:rsidR="003A1917">
        <w:rPr>
          <w:kern w:val="0"/>
        </w:rPr>
        <w:t xml:space="preserve">the </w:t>
      </w:r>
      <w:r>
        <w:rPr>
          <w:kern w:val="0"/>
        </w:rPr>
        <w:t>Pearson (PCC),</w:t>
      </w:r>
      <w:r w:rsidR="005853A9">
        <w:rPr>
          <w:kern w:val="0"/>
        </w:rPr>
        <w:t xml:space="preserve"> and </w:t>
      </w:r>
      <w:r>
        <w:rPr>
          <w:kern w:val="0"/>
        </w:rPr>
        <w:t>intraclass (ICC) coefficients</w:t>
      </w:r>
      <w:r w:rsidR="00427468">
        <w:rPr>
          <w:kern w:val="0"/>
        </w:rPr>
        <w:t xml:space="preserve"> of </w:t>
      </w:r>
      <w:r>
        <w:rPr>
          <w:kern w:val="0"/>
        </w:rPr>
        <w:t>correlation. Results: Performances varied significantly according to h-I (P &lt; 0.001). Applicability was 80% for h-HepaTop</w:t>
      </w:r>
      <w:r w:rsidR="005853A9">
        <w:rPr>
          <w:kern w:val="0"/>
        </w:rPr>
        <w:t xml:space="preserve"> and </w:t>
      </w:r>
      <w:r>
        <w:rPr>
          <w:kern w:val="0"/>
        </w:rPr>
        <w:t>100% for other h-I. AUROCs ranged from 0.55 (h-Scholar) to 0.88 (h-HepaTop)</w:t>
      </w:r>
      <w:r w:rsidR="00A37C1D">
        <w:rPr>
          <w:kern w:val="0"/>
        </w:rPr>
        <w:t>. The</w:t>
      </w:r>
      <w:r w:rsidR="003A1917">
        <w:rPr>
          <w:kern w:val="0"/>
        </w:rPr>
        <w:t xml:space="preserve"> </w:t>
      </w:r>
      <w:r>
        <w:rPr>
          <w:kern w:val="0"/>
        </w:rPr>
        <w:t xml:space="preserve">h-I were highly inter-correlated but without perfect concordance: ICCs ranged from 0.01 (h-WoS versus h-Scholar) to </w:t>
      </w:r>
      <w:r>
        <w:rPr>
          <w:kern w:val="0"/>
        </w:rPr>
        <w:lastRenderedPageBreak/>
        <w:t>0.53 (h-WoS versus h-Scopus; P &lt; 0.0001)</w:t>
      </w:r>
      <w:r w:rsidR="00A37C1D">
        <w:rPr>
          <w:kern w:val="0"/>
        </w:rPr>
        <w:t>. The</w:t>
      </w:r>
      <w:r>
        <w:rPr>
          <w:kern w:val="0"/>
        </w:rPr>
        <w:t>re were no differences between</w:t>
      </w:r>
      <w:r w:rsidR="003A1917">
        <w:rPr>
          <w:kern w:val="0"/>
        </w:rPr>
        <w:t xml:space="preserve"> the </w:t>
      </w:r>
      <w:r>
        <w:rPr>
          <w:kern w:val="0"/>
        </w:rPr>
        <w:t>AUROCs for h-Scopus, h-WoS</w:t>
      </w:r>
      <w:r w:rsidR="005853A9">
        <w:rPr>
          <w:kern w:val="0"/>
        </w:rPr>
        <w:t xml:space="preserve"> and </w:t>
      </w:r>
      <w:r>
        <w:rPr>
          <w:kern w:val="0"/>
        </w:rPr>
        <w:t>h-HepaTop, with lower accuracy for h-Scholar</w:t>
      </w:r>
      <w:r w:rsidR="00A37C1D">
        <w:rPr>
          <w:kern w:val="0"/>
        </w:rPr>
        <w:t>. The</w:t>
      </w:r>
      <w:r w:rsidR="003A1917">
        <w:rPr>
          <w:kern w:val="0"/>
        </w:rPr>
        <w:t xml:space="preserve"> </w:t>
      </w:r>
      <w:r>
        <w:rPr>
          <w:kern w:val="0"/>
        </w:rPr>
        <w:t>h-WoS AUROC adjusted for risk factors, scientific age</w:t>
      </w:r>
      <w:r w:rsidR="005853A9">
        <w:rPr>
          <w:kern w:val="0"/>
        </w:rPr>
        <w:t xml:space="preserve"> and </w:t>
      </w:r>
      <w:r>
        <w:rPr>
          <w:kern w:val="0"/>
        </w:rPr>
        <w:t>homonymy, increased in combination with h-HepaTop from 0.83 to 0.94 P = 0.005. Conclusions:</w:t>
      </w:r>
      <w:r w:rsidR="003A1917">
        <w:rPr>
          <w:kern w:val="0"/>
        </w:rPr>
        <w:t xml:space="preserve"> the </w:t>
      </w:r>
      <w:r>
        <w:rPr>
          <w:kern w:val="0"/>
        </w:rPr>
        <w:t>h-I should be carefully checked before any hepatologist</w:t>
      </w:r>
      <w:r w:rsidR="0071223E">
        <w:rPr>
          <w:kern w:val="0"/>
        </w:rPr>
        <w:t>’</w:t>
      </w:r>
      <w:r w:rsidR="00C13DDC">
        <w:rPr>
          <w:kern w:val="0"/>
        </w:rPr>
        <w:t>s</w:t>
      </w:r>
      <w:r>
        <w:rPr>
          <w:kern w:val="0"/>
        </w:rPr>
        <w:t xml:space="preserve"> evaluation. Three factors were associated with applicability</w:t>
      </w:r>
      <w:r w:rsidR="005853A9">
        <w:rPr>
          <w:kern w:val="0"/>
        </w:rPr>
        <w:t xml:space="preserve"> and </w:t>
      </w:r>
      <w:r>
        <w:rPr>
          <w:kern w:val="0"/>
        </w:rPr>
        <w:t>accuracy:</w:t>
      </w:r>
      <w:r w:rsidR="003A1917">
        <w:rPr>
          <w:kern w:val="0"/>
        </w:rPr>
        <w:t xml:space="preserve"> the </w:t>
      </w:r>
      <w:r>
        <w:rPr>
          <w:kern w:val="0"/>
        </w:rPr>
        <w:t>data source,</w:t>
      </w:r>
      <w:r w:rsidR="003A1917">
        <w:rPr>
          <w:kern w:val="0"/>
        </w:rPr>
        <w:t xml:space="preserve"> the </w:t>
      </w:r>
      <w:r>
        <w:rPr>
          <w:kern w:val="0"/>
        </w:rPr>
        <w:t>risk</w:t>
      </w:r>
      <w:r w:rsidR="00427468">
        <w:rPr>
          <w:kern w:val="0"/>
        </w:rPr>
        <w:t xml:space="preserve"> of </w:t>
      </w:r>
      <w:r>
        <w:rPr>
          <w:kern w:val="0"/>
        </w:rPr>
        <w:t>homonyms,</w:t>
      </w:r>
      <w:r w:rsidR="005853A9">
        <w:rPr>
          <w:kern w:val="0"/>
        </w:rPr>
        <w:t xml:space="preserve"> and </w:t>
      </w:r>
      <w:r>
        <w:rPr>
          <w:kern w:val="0"/>
        </w:rPr>
        <w:t xml:space="preserve">scientific age. A unique </w:t>
      </w:r>
      <w:r w:rsidR="00B5188C">
        <w:rPr>
          <w:kern w:val="0"/>
        </w:rPr>
        <w:t>“</w:t>
      </w:r>
      <w:r>
        <w:rPr>
          <w:kern w:val="0"/>
        </w:rPr>
        <w:t>global</w:t>
      </w:r>
      <w:r w:rsidR="00B5188C">
        <w:rPr>
          <w:kern w:val="0"/>
        </w:rPr>
        <w:t>”</w:t>
      </w:r>
      <w:r>
        <w:rPr>
          <w:kern w:val="0"/>
        </w:rPr>
        <w:t xml:space="preserve"> identification number is warranted. (C) 2011 Elsevier Masson SAS. All rights reserved.</w:t>
      </w:r>
    </w:p>
    <w:p w:rsidR="00A11D17" w:rsidRDefault="00A11D17" w:rsidP="00A11D17">
      <w:pPr>
        <w:pStyle w:val="a3"/>
        <w:rPr>
          <w:kern w:val="0"/>
        </w:rPr>
      </w:pPr>
      <w:r>
        <w:rPr>
          <w:kern w:val="0"/>
        </w:rPr>
        <w:t xml:space="preserve">Keywords: Accuracy, Assessment, Authors, Bibliometric Indicators, Databases, Evaluation, Google Scholar, </w:t>
      </w:r>
      <w:r w:rsidR="00D5664A">
        <w:rPr>
          <w:kern w:val="0"/>
        </w:rPr>
        <w:t>h Index</w:t>
      </w:r>
      <w:r>
        <w:rPr>
          <w:kern w:val="0"/>
        </w:rPr>
        <w:t xml:space="preserve">, </w:t>
      </w:r>
      <w:r w:rsidR="00D5664A">
        <w:rPr>
          <w:kern w:val="0"/>
        </w:rPr>
        <w:t>h-Index</w:t>
      </w:r>
      <w:r>
        <w:rPr>
          <w:kern w:val="0"/>
        </w:rPr>
        <w:t xml:space="preserve">, Impact, Output, Pathology, Ranking, Researchers, Science, Scopus, Web, </w:t>
      </w:r>
      <w:r w:rsidR="00D5664A">
        <w:rPr>
          <w:kern w:val="0"/>
        </w:rPr>
        <w:t>Web</w:t>
      </w:r>
      <w:r w:rsidR="00427468">
        <w:rPr>
          <w:kern w:val="0"/>
        </w:rPr>
        <w:t xml:space="preserve"> of </w:t>
      </w:r>
      <w:r w:rsidR="00D5664A">
        <w:rPr>
          <w:kern w:val="0"/>
        </w:rPr>
        <w:t>Science</w:t>
      </w:r>
    </w:p>
    <w:p w:rsidR="00CB0126" w:rsidRDefault="00CB0126" w:rsidP="00CB0126">
      <w:pPr>
        <w:pStyle w:val="a3"/>
        <w:rPr>
          <w:kern w:val="0"/>
        </w:rPr>
      </w:pPr>
      <w:r>
        <w:rPr>
          <w:rFonts w:hint="eastAsia"/>
          <w:kern w:val="0"/>
        </w:rPr>
        <w:t xml:space="preserve">? </w:t>
      </w:r>
      <w:r>
        <w:rPr>
          <w:kern w:val="0"/>
        </w:rPr>
        <w:t>Cui, D.J., Huang, G.M., Yang, D.P., Huang, B.</w:t>
      </w:r>
      <w:r w:rsidR="005853A9">
        <w:rPr>
          <w:kern w:val="0"/>
        </w:rPr>
        <w:t xml:space="preserve"> and </w:t>
      </w:r>
      <w:r>
        <w:rPr>
          <w:kern w:val="0"/>
        </w:rPr>
        <w:t>An, B.Q. (2013), Efficacy</w:t>
      </w:r>
      <w:r w:rsidR="005853A9">
        <w:rPr>
          <w:kern w:val="0"/>
        </w:rPr>
        <w:t xml:space="preserve"> and </w:t>
      </w:r>
      <w:r>
        <w:rPr>
          <w:kern w:val="0"/>
        </w:rPr>
        <w:t>safety</w:t>
      </w:r>
      <w:r w:rsidR="00427468">
        <w:rPr>
          <w:kern w:val="0"/>
        </w:rPr>
        <w:t xml:space="preserve"> of </w:t>
      </w:r>
      <w:r>
        <w:rPr>
          <w:kern w:val="0"/>
        </w:rPr>
        <w:t>interferon-gamma-targeted therapy in Crohn</w:t>
      </w:r>
      <w:r w:rsidR="0071223E">
        <w:rPr>
          <w:kern w:val="0"/>
        </w:rPr>
        <w:t>’</w:t>
      </w:r>
      <w:r>
        <w:rPr>
          <w:kern w:val="0"/>
        </w:rPr>
        <w:t>s disease: A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Clinics</w:t>
      </w:r>
      <w:r w:rsidR="005853A9">
        <w:rPr>
          <w:i/>
          <w:iCs/>
          <w:kern w:val="0"/>
        </w:rPr>
        <w:t xml:space="preserve"> and </w:t>
      </w:r>
      <w:r>
        <w:rPr>
          <w:i/>
          <w:iCs/>
          <w:kern w:val="0"/>
        </w:rPr>
        <w:t>Research in Hepatology</w:t>
      </w:r>
      <w:r w:rsidR="005853A9">
        <w:rPr>
          <w:i/>
          <w:iCs/>
          <w:kern w:val="0"/>
        </w:rPr>
        <w:t xml:space="preserve"> and </w:t>
      </w:r>
      <w:r>
        <w:rPr>
          <w:i/>
          <w:iCs/>
          <w:kern w:val="0"/>
        </w:rPr>
        <w:t>Gastroenterology</w:t>
      </w:r>
      <w:r>
        <w:rPr>
          <w:kern w:val="0"/>
        </w:rPr>
        <w:t xml:space="preserve">, </w:t>
      </w:r>
      <w:r>
        <w:rPr>
          <w:b/>
          <w:bCs/>
          <w:kern w:val="0"/>
        </w:rPr>
        <w:t>37</w:t>
      </w:r>
      <w:r>
        <w:rPr>
          <w:kern w:val="0"/>
        </w:rPr>
        <w:t xml:space="preserve"> (5), 507-513.</w:t>
      </w:r>
    </w:p>
    <w:p w:rsidR="00CB0126" w:rsidRDefault="00CB0126" w:rsidP="00CB0126">
      <w:pPr>
        <w:pStyle w:val="a3"/>
        <w:rPr>
          <w:kern w:val="0"/>
        </w:rPr>
      </w:pPr>
      <w:r>
        <w:rPr>
          <w:rFonts w:hint="eastAsia"/>
          <w:kern w:val="0"/>
        </w:rPr>
        <w:t xml:space="preserve">Full Text: </w:t>
      </w:r>
      <w:hyperlink r:id="rId480" w:history="1">
        <w:r w:rsidRPr="00E17620">
          <w:rPr>
            <w:rStyle w:val="a5"/>
            <w:kern w:val="0"/>
          </w:rPr>
          <w:t>2013\Cli Res Hep Gas37, 507.pdf</w:t>
        </w:r>
      </w:hyperlink>
    </w:p>
    <w:p w:rsidR="00CB0126" w:rsidRDefault="00CB0126" w:rsidP="00CB0126">
      <w:pPr>
        <w:pStyle w:val="a3"/>
        <w:rPr>
          <w:kern w:val="0"/>
        </w:rPr>
      </w:pPr>
      <w:r>
        <w:rPr>
          <w:kern w:val="0"/>
        </w:rPr>
        <w:t>Abstract: Aims: To evaluate the efficacy</w:t>
      </w:r>
      <w:r w:rsidR="005853A9">
        <w:rPr>
          <w:kern w:val="0"/>
        </w:rPr>
        <w:t xml:space="preserve"> and </w:t>
      </w:r>
      <w:r>
        <w:rPr>
          <w:kern w:val="0"/>
        </w:rPr>
        <w:t>safety</w:t>
      </w:r>
      <w:r w:rsidR="00427468">
        <w:rPr>
          <w:kern w:val="0"/>
        </w:rPr>
        <w:t xml:space="preserve"> of </w:t>
      </w:r>
      <w:r>
        <w:rPr>
          <w:kern w:val="0"/>
        </w:rPr>
        <w:t>interferon-gamma-targeted therapy in Crohn</w:t>
      </w:r>
      <w:r w:rsidR="0071223E">
        <w:rPr>
          <w:kern w:val="0"/>
        </w:rPr>
        <w:t>’</w:t>
      </w:r>
      <w:r>
        <w:rPr>
          <w:kern w:val="0"/>
        </w:rPr>
        <w:t>s disease (CD). Methods: Keyword</w:t>
      </w:r>
      <w:r w:rsidR="005853A9">
        <w:rPr>
          <w:kern w:val="0"/>
        </w:rPr>
        <w:t xml:space="preserve"> and </w:t>
      </w:r>
      <w:r>
        <w:rPr>
          <w:kern w:val="0"/>
        </w:rPr>
        <w:t>MeSH searches</w:t>
      </w:r>
      <w:r w:rsidR="00427468">
        <w:rPr>
          <w:kern w:val="0"/>
        </w:rPr>
        <w:t xml:space="preserve"> of </w:t>
      </w:r>
      <w:r w:rsidR="00D5664A">
        <w:rPr>
          <w:kern w:val="0"/>
        </w:rPr>
        <w:t>MEDLINE</w:t>
      </w:r>
      <w:r>
        <w:rPr>
          <w:kern w:val="0"/>
        </w:rPr>
        <w:t>/PubMed, EMBASE, the Cochrane Database, Science Citation Index</w:t>
      </w:r>
      <w:r w:rsidR="005853A9">
        <w:rPr>
          <w:kern w:val="0"/>
        </w:rPr>
        <w:t xml:space="preserve"> and </w:t>
      </w:r>
      <w:r>
        <w:rPr>
          <w:kern w:val="0"/>
        </w:rPr>
        <w:t>the Chinese Biomedical Database, from the inception</w:t>
      </w:r>
      <w:r w:rsidR="00427468">
        <w:rPr>
          <w:kern w:val="0"/>
        </w:rPr>
        <w:t xml:space="preserve"> of </w:t>
      </w:r>
      <w:r>
        <w:rPr>
          <w:kern w:val="0"/>
        </w:rPr>
        <w:t>each database to March 2012, were used to identify all available randomized controlled trials. Summary estimates</w:t>
      </w:r>
      <w:r w:rsidR="00427468">
        <w:rPr>
          <w:kern w:val="0"/>
        </w:rPr>
        <w:t xml:space="preserve"> of </w:t>
      </w:r>
      <w:r>
        <w:rPr>
          <w:kern w:val="0"/>
        </w:rPr>
        <w:t>treatment effects</w:t>
      </w:r>
      <w:r w:rsidR="005853A9">
        <w:rPr>
          <w:kern w:val="0"/>
        </w:rPr>
        <w:t xml:space="preserve"> and </w:t>
      </w:r>
      <w:r>
        <w:rPr>
          <w:kern w:val="0"/>
        </w:rPr>
        <w:t>safety were produced with Review Manager, using relative risks (RR)</w:t>
      </w:r>
      <w:r w:rsidR="00427468">
        <w:rPr>
          <w:kern w:val="0"/>
        </w:rPr>
        <w:t xml:space="preserve"> of </w:t>
      </w:r>
      <w:r>
        <w:rPr>
          <w:kern w:val="0"/>
        </w:rPr>
        <w:t>clinical response, clinical remission</w:t>
      </w:r>
      <w:r w:rsidR="005853A9">
        <w:rPr>
          <w:kern w:val="0"/>
        </w:rPr>
        <w:t xml:space="preserve"> and </w:t>
      </w:r>
      <w:r>
        <w:rPr>
          <w:kern w:val="0"/>
        </w:rPr>
        <w:t>adverse events rates. Results: Only three randomized controlled trials comparing anti-interferon-gamma therapy with placebo were qualified for the meta-analysis according to inclusion criteria</w:t>
      </w:r>
      <w:r w:rsidR="00A37C1D">
        <w:rPr>
          <w:kern w:val="0"/>
        </w:rPr>
        <w:t>. The</w:t>
      </w:r>
      <w:r>
        <w:rPr>
          <w:kern w:val="0"/>
        </w:rPr>
        <w:t>re were significant differences in clinical remission rates between groups (at week 6: RR = 2.01, 95% confidence interval [CI]: 1.18-3.45; at week 8: RR = 1.98, 95% CI: 1.17-3.33)</w:t>
      </w:r>
      <w:r w:rsidR="00A37C1D">
        <w:rPr>
          <w:kern w:val="0"/>
        </w:rPr>
        <w:t>. The</w:t>
      </w:r>
      <w:r>
        <w:rPr>
          <w:kern w:val="0"/>
        </w:rPr>
        <w:t>re was also a significant difference in clinical response rates at week 8 (RR = 1.60, 95% CI: 1.12-2.27). However, there was no statistically significant difference between anti-interferon-gamma therapy</w:t>
      </w:r>
      <w:r w:rsidR="005853A9">
        <w:rPr>
          <w:kern w:val="0"/>
        </w:rPr>
        <w:t xml:space="preserve"> and </w:t>
      </w:r>
      <w:r>
        <w:rPr>
          <w:kern w:val="0"/>
        </w:rPr>
        <w:t>placebo on adverse events rates (RR = 0.98, 95% CI: 0.79-1.20). Conclusions: Anti-interferon-gamma therapy is safe</w:t>
      </w:r>
      <w:r w:rsidR="005853A9">
        <w:rPr>
          <w:kern w:val="0"/>
        </w:rPr>
        <w:t xml:space="preserve"> and </w:t>
      </w:r>
      <w:r>
        <w:rPr>
          <w:kern w:val="0"/>
        </w:rPr>
        <w:t>effective for treating active CD despite slow onset</w:t>
      </w:r>
      <w:r w:rsidR="00427468">
        <w:rPr>
          <w:kern w:val="0"/>
        </w:rPr>
        <w:t xml:space="preserve"> of </w:t>
      </w:r>
      <w:r>
        <w:rPr>
          <w:kern w:val="0"/>
        </w:rPr>
        <w:t>action. (C) 2012 Elsevier Masson SAS. All rights reserved.</w:t>
      </w:r>
    </w:p>
    <w:p w:rsidR="00CB0126" w:rsidRDefault="00CB0126" w:rsidP="00CB0126">
      <w:pPr>
        <w:pStyle w:val="a3"/>
        <w:rPr>
          <w:kern w:val="0"/>
        </w:rPr>
      </w:pPr>
      <w:r>
        <w:rPr>
          <w:kern w:val="0"/>
        </w:rPr>
        <w:t>Keywords: Biological Therapies, Cd, China, Chinese, Citation, Clin, Clinical, Clinical Activity, Confidence, Criteria, Crohn</w:t>
      </w:r>
      <w:r w:rsidR="0071223E">
        <w:rPr>
          <w:kern w:val="0"/>
        </w:rPr>
        <w:t>’</w:t>
      </w:r>
      <w:r>
        <w:rPr>
          <w:rFonts w:hint="eastAsia"/>
          <w:kern w:val="0"/>
        </w:rPr>
        <w:t>s</w:t>
      </w:r>
      <w:r>
        <w:rPr>
          <w:kern w:val="0"/>
        </w:rPr>
        <w:t xml:space="preserve"> Disease, Database, Disease, Double-Blind, Effects, Efficacy, Embase, Estimates, Events, Fontolizumab, Gas, GM, Groups, IFN-Gamma, Inflammatory-Bowel-Disease, Interval, Intestinal-Mucosa, Italy, Keyword, Meta Analysis, Meta-Analysis, Metaanalysis, Methods, Moderate, Necrosis Factor Therapy, Nov, Onset, Placebo, R, Randomized, Randomized </w:t>
      </w:r>
      <w:r>
        <w:rPr>
          <w:kern w:val="0"/>
        </w:rPr>
        <w:lastRenderedPageBreak/>
        <w:t>Controlled Trials, Rates, RE, Results, Review, Rights, Risks, Safety, Science, Science Citation Index, Systematic Review, T-Cells, Therapy, Treatment</w:t>
      </w:r>
    </w:p>
    <w:p w:rsidR="0013351F" w:rsidRDefault="0013351F" w:rsidP="0013351F">
      <w:pPr>
        <w:pStyle w:val="a3"/>
        <w:rPr>
          <w:kern w:val="0"/>
        </w:rPr>
      </w:pPr>
      <w:r>
        <w:rPr>
          <w:rFonts w:hint="eastAsia"/>
          <w:kern w:val="0"/>
        </w:rPr>
        <w:t xml:space="preserve">? </w:t>
      </w:r>
      <w:r>
        <w:rPr>
          <w:kern w:val="0"/>
        </w:rPr>
        <w:t xml:space="preserve">Chen, C., Wang, L.Y., Huang, Y., Zhang, C., Ye, H.D., Xu, X.T., Xu, L.T., Ye, M. and Duan, S.W. (2014), Association between </w:t>
      </w:r>
      <w:r w:rsidRPr="003313A6">
        <w:rPr>
          <w:i/>
          <w:kern w:val="0"/>
        </w:rPr>
        <w:t>TLR2</w:t>
      </w:r>
      <w:r>
        <w:rPr>
          <w:kern w:val="0"/>
        </w:rPr>
        <w:t xml:space="preserve">, </w:t>
      </w:r>
      <w:r w:rsidRPr="003313A6">
        <w:rPr>
          <w:i/>
          <w:kern w:val="0"/>
        </w:rPr>
        <w:t>MTR</w:t>
      </w:r>
      <w:r>
        <w:rPr>
          <w:kern w:val="0"/>
        </w:rPr>
        <w:t xml:space="preserve">, </w:t>
      </w:r>
      <w:r w:rsidRPr="003313A6">
        <w:rPr>
          <w:i/>
          <w:kern w:val="0"/>
        </w:rPr>
        <w:t>MTRR</w:t>
      </w:r>
      <w:r>
        <w:rPr>
          <w:kern w:val="0"/>
        </w:rPr>
        <w:t xml:space="preserve">, </w:t>
      </w:r>
      <w:r w:rsidRPr="003313A6">
        <w:rPr>
          <w:i/>
          <w:kern w:val="0"/>
        </w:rPr>
        <w:t>XPC</w:t>
      </w:r>
      <w:r>
        <w:rPr>
          <w:kern w:val="0"/>
        </w:rPr>
        <w:t xml:space="preserve">, </w:t>
      </w:r>
      <w:r w:rsidRPr="003313A6">
        <w:rPr>
          <w:i/>
          <w:kern w:val="0"/>
        </w:rPr>
        <w:t>TP73</w:t>
      </w:r>
      <w:r>
        <w:rPr>
          <w:kern w:val="0"/>
        </w:rPr>
        <w:t xml:space="preserve">, </w:t>
      </w:r>
      <w:r w:rsidRPr="003313A6">
        <w:rPr>
          <w:i/>
          <w:kern w:val="0"/>
        </w:rPr>
        <w:t>TP53</w:t>
      </w:r>
      <w:r>
        <w:rPr>
          <w:kern w:val="0"/>
        </w:rPr>
        <w:t xml:space="preserve"> genetic polymorphisms and gastric cancer: A meta-analysis. </w:t>
      </w:r>
      <w:r>
        <w:rPr>
          <w:i/>
          <w:iCs/>
          <w:kern w:val="0"/>
        </w:rPr>
        <w:t>Clinics and Research in Hepatology and Gastroenterology</w:t>
      </w:r>
      <w:r>
        <w:rPr>
          <w:kern w:val="0"/>
        </w:rPr>
        <w:t xml:space="preserve">, </w:t>
      </w:r>
      <w:r>
        <w:rPr>
          <w:b/>
          <w:bCs/>
          <w:kern w:val="0"/>
        </w:rPr>
        <w:t>38</w:t>
      </w:r>
      <w:r>
        <w:rPr>
          <w:kern w:val="0"/>
        </w:rPr>
        <w:t xml:space="preserve"> (3), 346-359.</w:t>
      </w:r>
    </w:p>
    <w:p w:rsidR="0013351F" w:rsidRDefault="0013351F" w:rsidP="0013351F">
      <w:pPr>
        <w:pStyle w:val="a3"/>
        <w:rPr>
          <w:kern w:val="0"/>
        </w:rPr>
      </w:pPr>
      <w:r>
        <w:rPr>
          <w:rFonts w:hint="eastAsia"/>
          <w:kern w:val="0"/>
        </w:rPr>
        <w:t xml:space="preserve">Full Text: </w:t>
      </w:r>
      <w:hyperlink r:id="rId481" w:history="1">
        <w:r w:rsidRPr="003313A6">
          <w:rPr>
            <w:rStyle w:val="a5"/>
            <w:kern w:val="0"/>
          </w:rPr>
          <w:t>2014\Cli Res Hep Gas38, 346.pdf</w:t>
        </w:r>
      </w:hyperlink>
    </w:p>
    <w:p w:rsidR="0013351F" w:rsidRDefault="0013351F" w:rsidP="0013351F">
      <w:pPr>
        <w:pStyle w:val="a3"/>
        <w:rPr>
          <w:kern w:val="0"/>
        </w:rPr>
      </w:pPr>
      <w:r>
        <w:rPr>
          <w:kern w:val="0"/>
        </w:rPr>
        <w:t>Abstract: Objective: The aim of our meta-analyses is to test the association between six genetic polymorphisms and gastric cancer. Methods: A systematic search was performed for all the available candidate genes and gastric cancer among several online databases including PubMed, Embase, Web of Science, the Cochrane Library, CNKI and Wanfang online libraries. After a comprehensive screening, a total of six genes were harvested for the current meta-analyses. These genes include TLR2 (-196 to -174 ins&gt;del), MTR (rs1805087), MTRR (rs1801394), XPC (rs2228001), TP73 (G4C14-A4T14), and TP53 (rs1042522). Results: Altogether 49 comparative studies among 11 776 cases and 18 633 controls were involved in our meta-analyses. TP53 rs1042522 polymorphism was shown to be associated with gastric cancer risk under the dominant model (P=0.02, OR = 1.03, 95% CI = 1.00-1.05). A subgroup meta-analysis indicated a significant association under dominant model between TP53 rs1042522 and gastric cancer in the Eastern Asians (P=0.03, OR=1.17, 95% = 1.02-1.34). Conclusions: These results suggest that TP53 rs1042522 polymorphism might contribute to the susceptibility of gastric cancer under the dominant model, especially in Eastern Asians. (C) 2014 Elsevier Masson SAS. All rights reserved.</w:t>
      </w:r>
    </w:p>
    <w:p w:rsidR="0013351F" w:rsidRDefault="0013351F" w:rsidP="0013351F">
      <w:pPr>
        <w:pStyle w:val="a3"/>
        <w:rPr>
          <w:kern w:val="0"/>
        </w:rPr>
      </w:pPr>
      <w:r>
        <w:rPr>
          <w:kern w:val="0"/>
        </w:rPr>
        <w:t>Keywords: Asians, Association, Cancer, Cancer Risk, Chinese Han Population, Codon 72 Polymorphism, Colorectal-Cancer, Databases, Dna-Repair, Epithelial-Cells, Gastric, Gastric Cancer, Genes, Genetic, Genetic Polymorphisms, Helicobacter-Pylori Infection, Meta Analysis, Meta-Analysis, Metaanalysis, Methods, Model, Online, P53 Arg72pro Polymorphisms, Polymorphism, Polymorphisms, Pubmed, Receptor 2, Results, Rights, Risk, Science, Screening, Single-Nucleotide Polymorphisms, Stomach-Cancer, Susceptibility, Systematic, Tp53, Web Of Science, Xpc</w:t>
      </w:r>
    </w:p>
    <w:p w:rsidR="0013351F" w:rsidRDefault="0013351F" w:rsidP="0013351F">
      <w:pPr>
        <w:pStyle w:val="a3"/>
        <w:rPr>
          <w:kern w:val="0"/>
        </w:rPr>
      </w:pPr>
      <w:r>
        <w:rPr>
          <w:rFonts w:hint="eastAsia"/>
          <w:kern w:val="0"/>
        </w:rPr>
        <w:t xml:space="preserve">? </w:t>
      </w:r>
      <w:r>
        <w:rPr>
          <w:kern w:val="0"/>
        </w:rPr>
        <w:t xml:space="preserve">Wang, J., Shi, D.P., Guo, X.F., Zhang, J.X., Yu, S.J., Song, J., Cao, Z., Wang, J., Ji, M.Y. and Dong, W.G. (2014), Thymidylate synthase genetic polymorphisms and colorectal cancer risk: A meta-analysis. </w:t>
      </w:r>
      <w:r>
        <w:rPr>
          <w:i/>
          <w:iCs/>
          <w:kern w:val="0"/>
        </w:rPr>
        <w:t>Clinics and Research in Hepatology and Gastroenterology</w:t>
      </w:r>
      <w:r>
        <w:rPr>
          <w:kern w:val="0"/>
        </w:rPr>
        <w:t xml:space="preserve">, </w:t>
      </w:r>
      <w:r>
        <w:rPr>
          <w:b/>
          <w:bCs/>
          <w:kern w:val="0"/>
        </w:rPr>
        <w:t>38</w:t>
      </w:r>
      <w:r>
        <w:rPr>
          <w:kern w:val="0"/>
        </w:rPr>
        <w:t xml:space="preserve"> (4), 481-490.</w:t>
      </w:r>
    </w:p>
    <w:p w:rsidR="0013351F" w:rsidRDefault="0013351F" w:rsidP="0013351F">
      <w:pPr>
        <w:pStyle w:val="a3"/>
        <w:rPr>
          <w:kern w:val="0"/>
        </w:rPr>
      </w:pPr>
      <w:r>
        <w:rPr>
          <w:rFonts w:hint="eastAsia"/>
          <w:kern w:val="0"/>
        </w:rPr>
        <w:t xml:space="preserve">Full Text: </w:t>
      </w:r>
      <w:hyperlink r:id="rId482" w:history="1">
        <w:r w:rsidRPr="003313A6">
          <w:rPr>
            <w:rStyle w:val="a5"/>
            <w:kern w:val="0"/>
          </w:rPr>
          <w:t>2014\Cli Res Hep Gas38, 481.pdf</w:t>
        </w:r>
      </w:hyperlink>
    </w:p>
    <w:p w:rsidR="0013351F" w:rsidRDefault="0013351F" w:rsidP="0013351F">
      <w:pPr>
        <w:pStyle w:val="a3"/>
        <w:rPr>
          <w:kern w:val="0"/>
        </w:rPr>
      </w:pPr>
      <w:r>
        <w:rPr>
          <w:kern w:val="0"/>
        </w:rPr>
        <w:t xml:space="preserve">Abstract: Aim: The effects of thymidylate synthase (TS) polymorphisms on susceptibility to colorectal cancer (CRC) have been investigated in many studies, but the results remain conflicting rather than conclusive. To resolve these conflicts, we </w:t>
      </w:r>
      <w:r>
        <w:rPr>
          <w:kern w:val="0"/>
        </w:rPr>
        <w:lastRenderedPageBreak/>
        <w:t>performed a quantitative synthesis of the evidence on the association between these two polymorphisms and CRC risk. Methods: All eligible case-control studies published up to September 2013 were identified by searching PubMed, Web of Science and CNKI. Effect sizes of odds ratio (OR) and 95% confidence interval (95% CI) were calculated by using a fixed-or random-effect model. Results: A total of 11 case-control studies were included, including 10 studies (3324 cases and 4622 controls) for TSER polymorphism and 9 studies (3223 cases and 3886 controls) for TS1494del6 polymorphism. Overall, no significant association between the TS polymorphisms and CRC risk was found. In the subgroup analysis by ethnicity, a significantly association were found among Caucasian populations for TSER polymorphism; but for TS1494del6 polymorphism, no significantly association was observed in both Asian and Caucasian populations. When stratifying by source of controls, we found there was a statistically significant association between TSER polymorphism and risk of CRC in the population-based population; however, we detected no association in both population-based and hospital-based populations for TS1494del6 polymorphism. Conclusions: This meta-analysis suggests that the TSER polymorphism in TS gene but not TS1494del6 polymorphism might be a protective factor for CRC among Caucasian populations. (C) 2014 Elsevier Masson SAS. All rights reserved.</w:t>
      </w:r>
    </w:p>
    <w:p w:rsidR="0013351F" w:rsidRDefault="0013351F" w:rsidP="0013351F">
      <w:pPr>
        <w:pStyle w:val="a3"/>
        <w:rPr>
          <w:kern w:val="0"/>
        </w:rPr>
      </w:pPr>
      <w:r>
        <w:rPr>
          <w:kern w:val="0"/>
        </w:rPr>
        <w:t>Keywords: Adenocarcinoma, Analysis, Asian, Association, Bias, Cancer, Cancer Risk, Case-Control, Case-Control Studies, Caucasian, Colorectal Cancer, Confidence, Deficiency, Dihydropyrimidine-Dehydrogenase, Effect, Effects, Enhancer Region Polymorphism, Ethnicity, Evidence, Folate, Gene, Genetic, Genetic Polymorphisms, Instability, Interval, Meta Analysis, Meta-Analysis, Metaanalysis, Metabolism, Methods, Model, Odds Ratio, Polymorphism, Polymorphisms, Population, Population Based, Population-Based, Populations, Pubmed, Results, Rights, Risk, Science, Source, Susceptibility, Synthesis, Toxicity, TS, Web Of Science</w:t>
      </w:r>
    </w:p>
    <w:p w:rsidR="00D50304" w:rsidRDefault="00D50304" w:rsidP="00D50304">
      <w:pPr>
        <w:pStyle w:val="a3"/>
        <w:rPr>
          <w:kern w:val="0"/>
        </w:rPr>
      </w:pPr>
      <w:r>
        <w:rPr>
          <w:rFonts w:hint="eastAsia"/>
          <w:kern w:val="0"/>
        </w:rPr>
        <w:t xml:space="preserve">? </w:t>
      </w:r>
      <w:r>
        <w:rPr>
          <w:kern w:val="0"/>
        </w:rPr>
        <w:t xml:space="preserve">Sun, H.L., Hou, J.J., Shi, W.B. and Zhang, L. (2015), Estrogen Receptor 1 (ESR1) genetic variations in cancer risk: A systematic review and meta-analysis. </w:t>
      </w:r>
      <w:r>
        <w:rPr>
          <w:i/>
          <w:iCs/>
          <w:kern w:val="0"/>
        </w:rPr>
        <w:t>Clinics and Research in Hepatology and Gastroenterology</w:t>
      </w:r>
      <w:r>
        <w:rPr>
          <w:kern w:val="0"/>
        </w:rPr>
        <w:t xml:space="preserve">, </w:t>
      </w:r>
      <w:r>
        <w:rPr>
          <w:b/>
          <w:bCs/>
          <w:kern w:val="0"/>
        </w:rPr>
        <w:t>39</w:t>
      </w:r>
      <w:r>
        <w:rPr>
          <w:kern w:val="0"/>
        </w:rPr>
        <w:t xml:space="preserve"> (1), 127-135.</w:t>
      </w:r>
    </w:p>
    <w:p w:rsidR="00D50304" w:rsidRDefault="00D50304" w:rsidP="00D50304">
      <w:pPr>
        <w:pStyle w:val="a3"/>
        <w:rPr>
          <w:kern w:val="0"/>
        </w:rPr>
      </w:pPr>
      <w:r>
        <w:rPr>
          <w:rFonts w:hint="eastAsia"/>
          <w:kern w:val="0"/>
        </w:rPr>
        <w:t xml:space="preserve">Full Text: </w:t>
      </w:r>
      <w:hyperlink r:id="rId483" w:history="1">
        <w:r w:rsidRPr="00D50304">
          <w:rPr>
            <w:rStyle w:val="a5"/>
            <w:kern w:val="0"/>
          </w:rPr>
          <w:t>2015\Cli Res Hep Gas39, 127.pdf</w:t>
        </w:r>
      </w:hyperlink>
    </w:p>
    <w:p w:rsidR="00D50304" w:rsidRDefault="00D50304" w:rsidP="00D50304">
      <w:pPr>
        <w:pStyle w:val="a3"/>
        <w:rPr>
          <w:kern w:val="0"/>
        </w:rPr>
      </w:pPr>
      <w:r>
        <w:rPr>
          <w:kern w:val="0"/>
        </w:rPr>
        <w:t xml:space="preserve">Abstract: Background: Emerging published data on the association between single nucleotide polymorphisms (SNPs) in the estrogen receptor 1 (ESR1) gene and cancer susceptibility are inconsistent. This review and meta-analysis is performed to derive a more precise evaluation of this relationship. Methods: The literature search of PubMed, Embase, Web of Science and CNKI databases was conducted from their inception through June 2014. Crude odds ratios (ORs) with 95% confidence intervals (Os) were calculated to assess the association. Results: Twenty-two literatures were enrolled in this meta-analysis. The results indicated that ESR1 rs1801132 (C &gt; G) </w:t>
      </w:r>
      <w:r>
        <w:rPr>
          <w:kern w:val="0"/>
        </w:rPr>
        <w:lastRenderedPageBreak/>
        <w:t>was associated with cancer risk in Caucasian populations. However, the results of stratified analysis by cancer type and source of controls indicated that no significant association was found. Furthermore, rs2077647 (A &gt; G) was only associated with an increased risk of hepatocellular carcinoma, but was an adverse effect on cancer risk in Caucasian populations. Conclusions: This present meta-analysis indicated that rs1801132 (C &gt; G) and rs2077647 (A &gt; G) may be protective factors in Caucasian populations. Meanwhile, rs2077647 (A &gt; G) may be closely related with hepatocellular carcinoma. (C) 2014 Elsevier Masson SAS. All rights reserved.</w:t>
      </w:r>
    </w:p>
    <w:p w:rsidR="00D50304" w:rsidRDefault="00D50304" w:rsidP="00D50304">
      <w:pPr>
        <w:pStyle w:val="a3"/>
        <w:rPr>
          <w:kern w:val="0"/>
        </w:rPr>
      </w:pPr>
      <w:r>
        <w:rPr>
          <w:kern w:val="0"/>
        </w:rPr>
        <w:t>Keywords: Alpha Polymorphisms, Analysis, Association, Beta, Breast-Cancer, Cancer, Cancer Risk, Cancer Susceptibility, Carcinoma, Caucasian, Confidence, Confidence Intervals, Data, Databases, Estrogen, Evaluation, Factors, From, Gene, Genetic, Hepatocellular Carcinoma, Intervals, Literature, Literature Search, Meta Analysis, Meta-Analysis, Metaanalysis, Metabolism, Methods, Polymorphisms, Population, Populations, Progression, Prostate-Cancer, Pubmed, Results, Review, Rights, Risk, Science, Source, Susceptibility, Systematic, Systematic Review, Web, Web Of Science, Women</w:t>
      </w:r>
    </w:p>
    <w:p w:rsidR="005E7B62" w:rsidRPr="001A3D2B" w:rsidRDefault="005E7B62" w:rsidP="005E7B62">
      <w:pPr>
        <w:pStyle w:val="1"/>
      </w:pPr>
      <w:r w:rsidRPr="001A3D2B">
        <w:br w:type="page"/>
      </w:r>
      <w:bookmarkStart w:id="323" w:name="_Toc420815054"/>
      <w:r w:rsidRPr="001A3D2B">
        <w:lastRenderedPageBreak/>
        <w:t xml:space="preserve">Title: </w:t>
      </w:r>
      <w:r w:rsidRPr="00701017">
        <w:t>Cliometrica</w:t>
      </w:r>
      <w:bookmarkEnd w:id="323"/>
    </w:p>
    <w:p w:rsidR="005E7B62" w:rsidRPr="001A3D2B" w:rsidRDefault="005E7B62" w:rsidP="005E7B62">
      <w:pPr>
        <w:pStyle w:val="12"/>
      </w:pPr>
      <w:r w:rsidRPr="001A3D2B">
        <w:t xml:space="preserve">Full Journal Title: </w:t>
      </w:r>
      <w:hyperlink r:id="rId484" w:history="1">
        <w:r w:rsidRPr="005E7B62">
          <w:rPr>
            <w:rStyle w:val="a5"/>
          </w:rPr>
          <w:t>Cliometrica</w:t>
        </w:r>
      </w:hyperlink>
    </w:p>
    <w:p w:rsidR="005E7B62" w:rsidRPr="001A3D2B" w:rsidRDefault="005E7B62" w:rsidP="005E7B62">
      <w:pPr>
        <w:pStyle w:val="12"/>
      </w:pPr>
      <w:r w:rsidRPr="001A3D2B">
        <w:t xml:space="preserve">ISO Abbreviated Title: </w:t>
      </w:r>
    </w:p>
    <w:p w:rsidR="005E7B62" w:rsidRPr="001A3D2B" w:rsidRDefault="005E7B62" w:rsidP="005E7B62">
      <w:pPr>
        <w:pStyle w:val="12"/>
      </w:pPr>
      <w:r w:rsidRPr="001A3D2B">
        <w:t xml:space="preserve">JCR Abbreviated Title: </w:t>
      </w:r>
    </w:p>
    <w:p w:rsidR="005E7B62" w:rsidRPr="001A3D2B" w:rsidRDefault="005E7B62" w:rsidP="005E7B62">
      <w:pPr>
        <w:pStyle w:val="12"/>
      </w:pPr>
      <w:r w:rsidRPr="001A3D2B">
        <w:t xml:space="preserve">ISSN: </w:t>
      </w:r>
    </w:p>
    <w:p w:rsidR="005E7B62" w:rsidRPr="001A3D2B" w:rsidRDefault="005E7B62" w:rsidP="005E7B62">
      <w:pPr>
        <w:pStyle w:val="12"/>
      </w:pPr>
      <w:r w:rsidRPr="001A3D2B">
        <w:t xml:space="preserve">Issues/Year: </w:t>
      </w:r>
    </w:p>
    <w:p w:rsidR="005E7B62" w:rsidRPr="001A3D2B" w:rsidRDefault="005E7B62" w:rsidP="005E7B62">
      <w:pPr>
        <w:pStyle w:val="12"/>
      </w:pPr>
      <w:r w:rsidRPr="001A3D2B">
        <w:t xml:space="preserve">Journal Country/Territory: </w:t>
      </w:r>
    </w:p>
    <w:p w:rsidR="005E7B62" w:rsidRPr="001A3D2B" w:rsidRDefault="005E7B62" w:rsidP="005E7B62">
      <w:pPr>
        <w:pStyle w:val="12"/>
      </w:pPr>
      <w:r w:rsidRPr="001A3D2B">
        <w:t xml:space="preserve">Language: </w:t>
      </w:r>
    </w:p>
    <w:p w:rsidR="005E7B62" w:rsidRPr="001A3D2B" w:rsidRDefault="005E7B62" w:rsidP="005E7B62">
      <w:pPr>
        <w:pStyle w:val="12"/>
      </w:pPr>
      <w:r w:rsidRPr="001A3D2B">
        <w:t xml:space="preserve">Publisher: </w:t>
      </w:r>
    </w:p>
    <w:p w:rsidR="005E7B62" w:rsidRPr="001A3D2B" w:rsidRDefault="005E7B62" w:rsidP="005E7B62">
      <w:pPr>
        <w:pStyle w:val="12"/>
      </w:pPr>
      <w:r w:rsidRPr="001A3D2B">
        <w:t xml:space="preserve">Publisher Address: </w:t>
      </w:r>
    </w:p>
    <w:p w:rsidR="005E7B62" w:rsidRPr="001A3D2B" w:rsidRDefault="005E7B62" w:rsidP="005E7B62">
      <w:pPr>
        <w:pStyle w:val="12"/>
      </w:pPr>
      <w:r w:rsidRPr="001A3D2B">
        <w:t xml:space="preserve">Subject Categories: </w:t>
      </w:r>
    </w:p>
    <w:p w:rsidR="005E7B62" w:rsidRPr="001A3D2B" w:rsidRDefault="005E7B62" w:rsidP="005E7B62">
      <w:pPr>
        <w:pStyle w:val="12"/>
      </w:pPr>
      <w:r w:rsidRPr="001A3D2B">
        <w:t xml:space="preserve">: Impact Factor </w:t>
      </w:r>
    </w:p>
    <w:p w:rsidR="005E7B62" w:rsidRDefault="005E7B62" w:rsidP="005E7B62">
      <w:pPr>
        <w:pStyle w:val="a3"/>
        <w:rPr>
          <w:kern w:val="0"/>
        </w:rPr>
      </w:pPr>
      <w:r>
        <w:rPr>
          <w:rFonts w:hint="eastAsia"/>
          <w:kern w:val="0"/>
        </w:rPr>
        <w:t xml:space="preserve">? </w:t>
      </w:r>
      <w:r>
        <w:rPr>
          <w:kern w:val="0"/>
        </w:rPr>
        <w:t>Di Vaio, G.</w:t>
      </w:r>
      <w:r w:rsidR="005853A9">
        <w:rPr>
          <w:kern w:val="0"/>
        </w:rPr>
        <w:t xml:space="preserve"> and </w:t>
      </w:r>
      <w:r>
        <w:rPr>
          <w:kern w:val="0"/>
        </w:rPr>
        <w:t xml:space="preserve">Weisdorf, J.L. (2010), Ranking economic history journals: A citation-based impact-adjusted analysis. </w:t>
      </w:r>
      <w:r>
        <w:rPr>
          <w:i/>
          <w:iCs/>
          <w:kern w:val="0"/>
        </w:rPr>
        <w:t>Cliometrica</w:t>
      </w:r>
      <w:r>
        <w:rPr>
          <w:kern w:val="0"/>
        </w:rPr>
        <w:t xml:space="preserve">, </w:t>
      </w:r>
      <w:r>
        <w:rPr>
          <w:b/>
          <w:bCs/>
          <w:kern w:val="0"/>
        </w:rPr>
        <w:t>4</w:t>
      </w:r>
      <w:r>
        <w:rPr>
          <w:kern w:val="0"/>
        </w:rPr>
        <w:t xml:space="preserve"> (1), 1-17.</w:t>
      </w:r>
    </w:p>
    <w:p w:rsidR="005E7B62" w:rsidRPr="001A3D2B" w:rsidRDefault="005E7B62" w:rsidP="005E7B62">
      <w:pPr>
        <w:pStyle w:val="a3"/>
      </w:pPr>
      <w:r w:rsidRPr="001A3D2B">
        <w:t xml:space="preserve">Full Text: </w:t>
      </w:r>
      <w:hyperlink r:id="rId485" w:history="1">
        <w:r w:rsidRPr="005E7B62">
          <w:rPr>
            <w:rStyle w:val="a5"/>
          </w:rPr>
          <w:t>2010\Cliometrica4, 1.pdf</w:t>
        </w:r>
      </w:hyperlink>
    </w:p>
    <w:p w:rsidR="005E7B62" w:rsidRDefault="005E7B62" w:rsidP="005E7B62">
      <w:pPr>
        <w:pStyle w:val="a3"/>
        <w:rPr>
          <w:kern w:val="0"/>
        </w:rPr>
      </w:pPr>
      <w:r>
        <w:rPr>
          <w:kern w:val="0"/>
        </w:rPr>
        <w:t>Abstract: This study ranks-for</w:t>
      </w:r>
      <w:r w:rsidR="003A1917">
        <w:rPr>
          <w:kern w:val="0"/>
        </w:rPr>
        <w:t xml:space="preserve"> the </w:t>
      </w:r>
      <w:r>
        <w:rPr>
          <w:kern w:val="0"/>
        </w:rPr>
        <w:t>first time-12 international academic journals that have economic history as their main topic</w:t>
      </w:r>
      <w:r w:rsidR="00A37C1D">
        <w:rPr>
          <w:kern w:val="0"/>
        </w:rPr>
        <w:t>. The</w:t>
      </w:r>
      <w:r w:rsidR="003A1917">
        <w:rPr>
          <w:kern w:val="0"/>
        </w:rPr>
        <w:t xml:space="preserve"> </w:t>
      </w:r>
      <w:r>
        <w:rPr>
          <w:kern w:val="0"/>
        </w:rPr>
        <w:t>ranking is based on data collected for</w:t>
      </w:r>
      <w:r w:rsidR="003A1917">
        <w:rPr>
          <w:kern w:val="0"/>
        </w:rPr>
        <w:t xml:space="preserve"> the </w:t>
      </w:r>
      <w:r>
        <w:rPr>
          <w:kern w:val="0"/>
        </w:rPr>
        <w:t>year 2007. Journals are ranked using standard citation analysis where we adjust for age, size</w:t>
      </w:r>
      <w:r w:rsidR="005853A9">
        <w:rPr>
          <w:kern w:val="0"/>
        </w:rPr>
        <w:t xml:space="preserve"> and </w:t>
      </w:r>
      <w:r>
        <w:rPr>
          <w:kern w:val="0"/>
        </w:rPr>
        <w:t>self-citation</w:t>
      </w:r>
      <w:r w:rsidR="00427468">
        <w:rPr>
          <w:kern w:val="0"/>
        </w:rPr>
        <w:t xml:space="preserve"> of </w:t>
      </w:r>
      <w:r>
        <w:rPr>
          <w:kern w:val="0"/>
        </w:rPr>
        <w:t>journals. We also compare</w:t>
      </w:r>
      <w:r w:rsidR="003A1917">
        <w:rPr>
          <w:kern w:val="0"/>
        </w:rPr>
        <w:t xml:space="preserve"> the </w:t>
      </w:r>
      <w:r>
        <w:rPr>
          <w:kern w:val="0"/>
        </w:rPr>
        <w:t>leading economic history journals with</w:t>
      </w:r>
      <w:r w:rsidR="003A1917">
        <w:rPr>
          <w:kern w:val="0"/>
        </w:rPr>
        <w:t xml:space="preserve"> the </w:t>
      </w:r>
      <w:r>
        <w:rPr>
          <w:kern w:val="0"/>
        </w:rPr>
        <w:t>leading journals in economics in order to measure</w:t>
      </w:r>
      <w:r w:rsidR="003A1917">
        <w:rPr>
          <w:kern w:val="0"/>
        </w:rPr>
        <w:t xml:space="preserve"> the </w:t>
      </w:r>
      <w:r>
        <w:rPr>
          <w:kern w:val="0"/>
        </w:rPr>
        <w:t>influence on economics</w:t>
      </w:r>
      <w:r w:rsidR="00427468">
        <w:rPr>
          <w:kern w:val="0"/>
        </w:rPr>
        <w:t xml:space="preserve"> of </w:t>
      </w:r>
      <w:r>
        <w:rPr>
          <w:kern w:val="0"/>
        </w:rPr>
        <w:t>economic history,</w:t>
      </w:r>
      <w:r w:rsidR="005853A9">
        <w:rPr>
          <w:kern w:val="0"/>
        </w:rPr>
        <w:t xml:space="preserve"> and </w:t>
      </w:r>
      <w:r>
        <w:rPr>
          <w:kern w:val="0"/>
        </w:rPr>
        <w:t>vice versa. With a few exceptions, our results confirm</w:t>
      </w:r>
      <w:r w:rsidR="003A1917">
        <w:rPr>
          <w:kern w:val="0"/>
        </w:rPr>
        <w:t xml:space="preserve"> the </w:t>
      </w:r>
      <w:r>
        <w:rPr>
          <w:kern w:val="0"/>
        </w:rPr>
        <w:t>general idea about what economic history journals are</w:t>
      </w:r>
      <w:r w:rsidR="003A1917">
        <w:rPr>
          <w:kern w:val="0"/>
        </w:rPr>
        <w:t xml:space="preserve"> the </w:t>
      </w:r>
      <w:r>
        <w:rPr>
          <w:kern w:val="0"/>
        </w:rPr>
        <w:t>most influential for economic history,</w:t>
      </w:r>
      <w:r w:rsidR="005853A9">
        <w:rPr>
          <w:kern w:val="0"/>
        </w:rPr>
        <w:t xml:space="preserve"> and </w:t>
      </w:r>
      <w:r>
        <w:rPr>
          <w:kern w:val="0"/>
        </w:rPr>
        <w:t>that, although economic history is quite independent from economics as a whole, knowledge exchange between</w:t>
      </w:r>
      <w:r w:rsidR="003A1917">
        <w:rPr>
          <w:kern w:val="0"/>
        </w:rPr>
        <w:t xml:space="preserve"> the </w:t>
      </w:r>
      <w:r>
        <w:rPr>
          <w:kern w:val="0"/>
        </w:rPr>
        <w:t>two fields is indeed going on.</w:t>
      </w:r>
    </w:p>
    <w:p w:rsidR="005E7B62" w:rsidRDefault="005E7B62" w:rsidP="005E7B62">
      <w:pPr>
        <w:pStyle w:val="a3"/>
        <w:rPr>
          <w:kern w:val="0"/>
        </w:rPr>
      </w:pPr>
      <w:r>
        <w:rPr>
          <w:kern w:val="0"/>
        </w:rPr>
        <w:t>Keywords: Citation Analysis, Economic History, Impact Factor, Journal Ranking, Relative Impacts, Scientometrics</w:t>
      </w:r>
    </w:p>
    <w:p w:rsidR="00780724" w:rsidRPr="001A3D2B" w:rsidRDefault="00780724" w:rsidP="00780724">
      <w:pPr>
        <w:pStyle w:val="1"/>
      </w:pPr>
      <w:r w:rsidRPr="001A3D2B">
        <w:br w:type="page"/>
      </w:r>
      <w:bookmarkStart w:id="324" w:name="_Toc420815055"/>
      <w:r w:rsidRPr="001A3D2B">
        <w:lastRenderedPageBreak/>
        <w:t xml:space="preserve">Title: </w:t>
      </w:r>
      <w:r w:rsidRPr="00780724">
        <w:t>Cluster Computing-the Journal of Networks Software Tools and Applications</w:t>
      </w:r>
      <w:bookmarkEnd w:id="324"/>
    </w:p>
    <w:p w:rsidR="00780724" w:rsidRPr="001A3D2B" w:rsidRDefault="00780724" w:rsidP="00780724">
      <w:pPr>
        <w:pStyle w:val="12"/>
      </w:pPr>
      <w:r w:rsidRPr="001A3D2B">
        <w:t xml:space="preserve">Full Journal Title: </w:t>
      </w:r>
      <w:r w:rsidRPr="00780724">
        <w:rPr>
          <w:iCs/>
          <w:kern w:val="0"/>
        </w:rPr>
        <w:t>Cluster Computing-the Journal of Networks Software Tools and Applications</w:t>
      </w:r>
    </w:p>
    <w:p w:rsidR="00780724" w:rsidRPr="001A3D2B" w:rsidRDefault="00780724" w:rsidP="00780724">
      <w:pPr>
        <w:pStyle w:val="12"/>
      </w:pPr>
      <w:r w:rsidRPr="001A3D2B">
        <w:t xml:space="preserve">ISO Abbreviated Title: </w:t>
      </w:r>
    </w:p>
    <w:p w:rsidR="00780724" w:rsidRPr="001A3D2B" w:rsidRDefault="00780724" w:rsidP="00780724">
      <w:pPr>
        <w:pStyle w:val="12"/>
      </w:pPr>
      <w:r w:rsidRPr="001A3D2B">
        <w:t xml:space="preserve">JCR Abbreviated Title: </w:t>
      </w:r>
    </w:p>
    <w:p w:rsidR="00780724" w:rsidRPr="001A3D2B" w:rsidRDefault="00780724" w:rsidP="00780724">
      <w:pPr>
        <w:pStyle w:val="12"/>
      </w:pPr>
      <w:r w:rsidRPr="001A3D2B">
        <w:t xml:space="preserve">ISSN: </w:t>
      </w:r>
    </w:p>
    <w:p w:rsidR="00780724" w:rsidRPr="001A3D2B" w:rsidRDefault="00780724" w:rsidP="00780724">
      <w:pPr>
        <w:pStyle w:val="12"/>
      </w:pPr>
      <w:r w:rsidRPr="001A3D2B">
        <w:t xml:space="preserve">Issues/Year: </w:t>
      </w:r>
    </w:p>
    <w:p w:rsidR="00780724" w:rsidRPr="001A3D2B" w:rsidRDefault="00780724" w:rsidP="00780724">
      <w:pPr>
        <w:pStyle w:val="12"/>
      </w:pPr>
      <w:r w:rsidRPr="001A3D2B">
        <w:t xml:space="preserve">Journal Country/Territory: </w:t>
      </w:r>
    </w:p>
    <w:p w:rsidR="00780724" w:rsidRPr="001A3D2B" w:rsidRDefault="00780724" w:rsidP="00780724">
      <w:pPr>
        <w:pStyle w:val="12"/>
      </w:pPr>
      <w:r w:rsidRPr="001A3D2B">
        <w:t xml:space="preserve">Language: </w:t>
      </w:r>
    </w:p>
    <w:p w:rsidR="00780724" w:rsidRPr="001A3D2B" w:rsidRDefault="00780724" w:rsidP="00780724">
      <w:pPr>
        <w:pStyle w:val="12"/>
      </w:pPr>
      <w:r w:rsidRPr="001A3D2B">
        <w:t xml:space="preserve">Publisher: </w:t>
      </w:r>
    </w:p>
    <w:p w:rsidR="00780724" w:rsidRPr="001A3D2B" w:rsidRDefault="00780724" w:rsidP="00780724">
      <w:pPr>
        <w:pStyle w:val="12"/>
      </w:pPr>
      <w:r w:rsidRPr="001A3D2B">
        <w:t xml:space="preserve">Publisher Address: </w:t>
      </w:r>
    </w:p>
    <w:p w:rsidR="00780724" w:rsidRPr="001A3D2B" w:rsidRDefault="00780724" w:rsidP="00780724">
      <w:pPr>
        <w:pStyle w:val="12"/>
      </w:pPr>
      <w:r w:rsidRPr="001A3D2B">
        <w:t xml:space="preserve">Subject Categories: </w:t>
      </w:r>
    </w:p>
    <w:p w:rsidR="00780724" w:rsidRPr="001A3D2B" w:rsidRDefault="00780724" w:rsidP="00780724">
      <w:pPr>
        <w:pStyle w:val="12"/>
      </w:pPr>
      <w:r w:rsidRPr="001A3D2B">
        <w:t xml:space="preserve">: Impact Factor </w:t>
      </w:r>
    </w:p>
    <w:p w:rsidR="00780724" w:rsidRDefault="00780724" w:rsidP="00780724">
      <w:pPr>
        <w:pStyle w:val="a3"/>
        <w:rPr>
          <w:kern w:val="0"/>
        </w:rPr>
      </w:pPr>
      <w:r>
        <w:rPr>
          <w:rFonts w:hint="eastAsia"/>
          <w:kern w:val="0"/>
        </w:rPr>
        <w:t xml:space="preserve">? </w:t>
      </w:r>
      <w:r>
        <w:rPr>
          <w:kern w:val="0"/>
        </w:rPr>
        <w:t xml:space="preserve">Cho, I. and Park, M. (2015), Technological-level evaluation using patent statistics: Model and application in mobile communications. </w:t>
      </w:r>
      <w:r w:rsidRPr="00780724">
        <w:rPr>
          <w:i/>
          <w:iCs/>
          <w:kern w:val="0"/>
        </w:rPr>
        <w:t>Cluster Computing-the Journal of Networks Software Tools and Applications</w:t>
      </w:r>
      <w:r>
        <w:rPr>
          <w:kern w:val="0"/>
        </w:rPr>
        <w:t xml:space="preserve">, </w:t>
      </w:r>
      <w:r>
        <w:rPr>
          <w:b/>
          <w:bCs/>
          <w:kern w:val="0"/>
        </w:rPr>
        <w:t>18</w:t>
      </w:r>
      <w:r>
        <w:rPr>
          <w:kern w:val="0"/>
        </w:rPr>
        <w:t xml:space="preserve"> (1), 259-268.</w:t>
      </w:r>
    </w:p>
    <w:p w:rsidR="00780724" w:rsidRDefault="00780724" w:rsidP="00780724">
      <w:pPr>
        <w:pStyle w:val="a3"/>
        <w:rPr>
          <w:kern w:val="0"/>
        </w:rPr>
      </w:pPr>
      <w:r>
        <w:rPr>
          <w:rFonts w:hint="eastAsia"/>
          <w:kern w:val="0"/>
        </w:rPr>
        <w:t xml:space="preserve">Full Text: </w:t>
      </w:r>
      <w:hyperlink r:id="rId486" w:history="1">
        <w:r w:rsidRPr="00780724">
          <w:rPr>
            <w:rStyle w:val="a5"/>
            <w:kern w:val="0"/>
          </w:rPr>
          <w:t>2015\Clu Com J Net Sof Too App18, 259.pdf</w:t>
        </w:r>
      </w:hyperlink>
    </w:p>
    <w:p w:rsidR="00780724" w:rsidRDefault="00780724" w:rsidP="00780724">
      <w:pPr>
        <w:pStyle w:val="a3"/>
        <w:rPr>
          <w:kern w:val="0"/>
        </w:rPr>
      </w:pPr>
      <w:r>
        <w:rPr>
          <w:kern w:val="0"/>
        </w:rPr>
        <w:t>Abstract: Information and communication technology (ICT) has been a driving force of development for knowledge-based economies. In particular, as competition in mobile communications technological innovation among nations becomes more intense, there are growing demands for improved evaluation, judgment, and prediction of mobile communications technological capability in order to improve national ICT competitiveness. Technological capability refers to conceptual-level elements that capture technological competitiveness in operation. A technological level can be defined for making comparisons of one technological capability with another. Patent statistics have been used by economists and researchers in the field of innovation to analyze current and forecast technological directions. This paper evaluates relative technological capability in terms of patent statistics for some technology domains. We propose a patent statistic model for relative technological capability based on patent activity, intensity, market-power, and citation index for mobile communications technologies at a national level. In particular, it gives a technological-level evaluation of 3G, 3G transitional, and 4G mobile communications for the US, EU, Japan, China, and Korea.</w:t>
      </w:r>
    </w:p>
    <w:p w:rsidR="00780724" w:rsidRDefault="00780724" w:rsidP="00780724">
      <w:pPr>
        <w:pStyle w:val="a3"/>
        <w:rPr>
          <w:kern w:val="0"/>
        </w:rPr>
      </w:pPr>
      <w:r>
        <w:rPr>
          <w:kern w:val="0"/>
        </w:rPr>
        <w:t xml:space="preserve">Keywords: Activity, Application, Bibliometric Indicators, Capabilities, China, Citation, Citation Analysis, Citation Index, Communication, Communications, Competition, Competitiveness, Development, Driving, EU, Evaluation, Field, Force, Forecast, ICT, </w:t>
      </w:r>
      <w:r>
        <w:rPr>
          <w:kern w:val="0"/>
        </w:rPr>
        <w:lastRenderedPageBreak/>
        <w:t>Index, Information, Innovation, Intensity, Japan, Knowledge-Based, Korea, Mar, Mobile, Mobile Communications, Model, Nations, Networks, Operation, Patent, Patent Statistics, Performance Evaluation, Prediction, Researchers, Science, Statistics, Technological Capability, Technological Innovation, Technologies, Technology, TLE, US</w:t>
      </w:r>
    </w:p>
    <w:p w:rsidR="005E7B62" w:rsidRPr="001A3D2B" w:rsidRDefault="005E7B62" w:rsidP="005E7B62">
      <w:pPr>
        <w:pStyle w:val="1"/>
      </w:pPr>
      <w:r w:rsidRPr="001A3D2B">
        <w:br w:type="page"/>
      </w:r>
      <w:bookmarkStart w:id="325" w:name="_Toc420815056"/>
      <w:r w:rsidRPr="001A3D2B">
        <w:lastRenderedPageBreak/>
        <w:t>Title: CMAJ</w:t>
      </w:r>
      <w:bookmarkEnd w:id="325"/>
    </w:p>
    <w:p w:rsidR="005E7B62" w:rsidRPr="001A3D2B" w:rsidRDefault="005E7B62" w:rsidP="005E7B62">
      <w:pPr>
        <w:pStyle w:val="12"/>
      </w:pPr>
      <w:r w:rsidRPr="001A3D2B">
        <w:t xml:space="preserve">Full Journal Title: </w:t>
      </w:r>
      <w:hyperlink r:id="rId487" w:history="1">
        <w:r w:rsidRPr="001A3D2B">
          <w:rPr>
            <w:rStyle w:val="a5"/>
            <w:iCs/>
          </w:rPr>
          <w:t>CMAJ</w:t>
        </w:r>
      </w:hyperlink>
    </w:p>
    <w:p w:rsidR="005E7B62" w:rsidRPr="001A3D2B" w:rsidRDefault="005E7B62" w:rsidP="005E7B62">
      <w:pPr>
        <w:pStyle w:val="12"/>
      </w:pPr>
      <w:r w:rsidRPr="001A3D2B">
        <w:t xml:space="preserve">ISO Abbreviated Title: </w:t>
      </w:r>
    </w:p>
    <w:p w:rsidR="005E7B62" w:rsidRPr="001A3D2B" w:rsidRDefault="005E7B62" w:rsidP="005E7B62">
      <w:pPr>
        <w:pStyle w:val="12"/>
      </w:pPr>
      <w:r w:rsidRPr="001A3D2B">
        <w:t xml:space="preserve">JCR Abbreviated Title: </w:t>
      </w:r>
    </w:p>
    <w:p w:rsidR="005E7B62" w:rsidRPr="001A3D2B" w:rsidRDefault="005E7B62" w:rsidP="005E7B62">
      <w:pPr>
        <w:pStyle w:val="12"/>
      </w:pPr>
      <w:r w:rsidRPr="001A3D2B">
        <w:t xml:space="preserve">ISSN: </w:t>
      </w:r>
    </w:p>
    <w:p w:rsidR="005E7B62" w:rsidRPr="001A3D2B" w:rsidRDefault="005E7B62" w:rsidP="005E7B62">
      <w:pPr>
        <w:pStyle w:val="12"/>
      </w:pPr>
      <w:r w:rsidRPr="001A3D2B">
        <w:t xml:space="preserve">Issues/Year: </w:t>
      </w:r>
    </w:p>
    <w:p w:rsidR="005E7B62" w:rsidRPr="001A3D2B" w:rsidRDefault="005E7B62" w:rsidP="005E7B62">
      <w:pPr>
        <w:pStyle w:val="12"/>
      </w:pPr>
      <w:r w:rsidRPr="001A3D2B">
        <w:t xml:space="preserve">Journal Country/Territory: </w:t>
      </w:r>
    </w:p>
    <w:p w:rsidR="005E7B62" w:rsidRPr="001A3D2B" w:rsidRDefault="005E7B62" w:rsidP="005E7B62">
      <w:pPr>
        <w:pStyle w:val="12"/>
      </w:pPr>
      <w:r w:rsidRPr="001A3D2B">
        <w:t xml:space="preserve">Language: </w:t>
      </w:r>
    </w:p>
    <w:p w:rsidR="005E7B62" w:rsidRPr="001A3D2B" w:rsidRDefault="005E7B62" w:rsidP="005E7B62">
      <w:pPr>
        <w:pStyle w:val="12"/>
      </w:pPr>
      <w:r w:rsidRPr="001A3D2B">
        <w:t xml:space="preserve">Publisher: </w:t>
      </w:r>
    </w:p>
    <w:p w:rsidR="005E7B62" w:rsidRPr="001A3D2B" w:rsidRDefault="005E7B62" w:rsidP="005E7B62">
      <w:pPr>
        <w:pStyle w:val="12"/>
      </w:pPr>
      <w:r w:rsidRPr="001A3D2B">
        <w:t xml:space="preserve">Publisher Address: </w:t>
      </w:r>
    </w:p>
    <w:p w:rsidR="005E7B62" w:rsidRPr="001A3D2B" w:rsidRDefault="005E7B62" w:rsidP="005E7B62">
      <w:pPr>
        <w:pStyle w:val="12"/>
      </w:pPr>
      <w:r w:rsidRPr="001A3D2B">
        <w:t xml:space="preserve">Subject Categories: </w:t>
      </w:r>
    </w:p>
    <w:p w:rsidR="005E7B62" w:rsidRPr="001A3D2B" w:rsidRDefault="005E7B62" w:rsidP="005E7B62">
      <w:pPr>
        <w:pStyle w:val="12"/>
      </w:pPr>
      <w:r w:rsidRPr="001A3D2B">
        <w:t xml:space="preserve">: Impact Factor </w:t>
      </w:r>
    </w:p>
    <w:p w:rsidR="003474F2" w:rsidRPr="001A3D2B" w:rsidRDefault="003474F2" w:rsidP="003474F2">
      <w:pPr>
        <w:pStyle w:val="a3"/>
      </w:pPr>
      <w:r w:rsidRPr="001A3D2B">
        <w:t>? Kherani, R.B.</w:t>
      </w:r>
      <w:r w:rsidR="005853A9">
        <w:t xml:space="preserve"> and </w:t>
      </w:r>
      <w:r w:rsidRPr="001A3D2B">
        <w:t xml:space="preserve">Fung, M. (2004), To self-cite or not to self-cite. </w:t>
      </w:r>
      <w:r w:rsidRPr="001A3D2B">
        <w:rPr>
          <w:i/>
          <w:iCs/>
        </w:rPr>
        <w:t>CMAJ</w:t>
      </w:r>
      <w:r w:rsidRPr="001A3D2B">
        <w:t xml:space="preserve">, </w:t>
      </w:r>
      <w:r w:rsidRPr="001A3D2B">
        <w:rPr>
          <w:b/>
          <w:bCs/>
        </w:rPr>
        <w:t>171</w:t>
      </w:r>
      <w:r w:rsidRPr="001A3D2B">
        <w:t xml:space="preserve"> (9), 1024.</w:t>
      </w:r>
    </w:p>
    <w:p w:rsidR="003474F2" w:rsidRPr="001A3D2B" w:rsidRDefault="003474F2" w:rsidP="003474F2">
      <w:pPr>
        <w:pStyle w:val="a3"/>
      </w:pPr>
      <w:r w:rsidRPr="001A3D2B">
        <w:t xml:space="preserve">Full Text: </w:t>
      </w:r>
      <w:hyperlink r:id="rId488" w:history="1">
        <w:r w:rsidRPr="001A3D2B">
          <w:rPr>
            <w:rStyle w:val="a5"/>
          </w:rPr>
          <w:t>2004\CMAJ171, 1024.pdf</w:t>
        </w:r>
      </w:hyperlink>
    </w:p>
    <w:p w:rsidR="003474F2" w:rsidRPr="001A3D2B" w:rsidRDefault="003474F2" w:rsidP="003474F2">
      <w:pPr>
        <w:pStyle w:val="1"/>
      </w:pPr>
      <w:r w:rsidRPr="001A3D2B">
        <w:br w:type="page"/>
      </w:r>
      <w:bookmarkStart w:id="326" w:name="_Toc420815057"/>
      <w:r w:rsidRPr="001A3D2B">
        <w:lastRenderedPageBreak/>
        <w:t xml:space="preserve">Title: </w:t>
      </w:r>
      <w:r w:rsidRPr="001A3D2B">
        <w:rPr>
          <w:iCs w:val="0"/>
        </w:rPr>
        <w:t>CNS Drugs</w:t>
      </w:r>
      <w:bookmarkEnd w:id="326"/>
    </w:p>
    <w:p w:rsidR="003474F2" w:rsidRPr="001A3D2B" w:rsidRDefault="003474F2" w:rsidP="003474F2">
      <w:pPr>
        <w:pStyle w:val="12"/>
      </w:pPr>
      <w:r w:rsidRPr="001A3D2B">
        <w:t>Full Journal Title: CNS Drugs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 B Saunders Co, </w:t>
      </w:r>
      <w:smartTag w:uri="urn:schemas-microsoft-com:office:smarttags" w:element="place">
        <w:smartTag w:uri="urn:schemas-microsoft-com:office:smarttags" w:element="City">
          <w:r w:rsidRPr="001A3D2B">
            <w:t>Philadelphia</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Hilty, D.M., Luo, J.S., Morache, C., Marcelo, D.A.</w:t>
      </w:r>
      <w:r w:rsidR="005853A9">
        <w:t xml:space="preserve"> and </w:t>
      </w:r>
      <w:r w:rsidRPr="001A3D2B">
        <w:t xml:space="preserve">Nesbitt, T.S. (2002), Telepsychiatry - An overview for psychiatrists. </w:t>
      </w:r>
      <w:r w:rsidRPr="001A3D2B">
        <w:rPr>
          <w:i/>
          <w:iCs/>
        </w:rPr>
        <w:t>CNS Drugs</w:t>
      </w:r>
      <w:r w:rsidRPr="001A3D2B">
        <w:t xml:space="preserve">, </w:t>
      </w:r>
      <w:r w:rsidRPr="001A3D2B">
        <w:rPr>
          <w:b/>
          <w:bCs/>
        </w:rPr>
        <w:t>16</w:t>
      </w:r>
      <w:r w:rsidRPr="001A3D2B">
        <w:t xml:space="preserve"> (8), 527-548.</w:t>
      </w:r>
    </w:p>
    <w:p w:rsidR="003474F2" w:rsidRPr="001A3D2B" w:rsidRDefault="003474F2" w:rsidP="003474F2">
      <w:pPr>
        <w:pStyle w:val="a3"/>
      </w:pPr>
      <w:r w:rsidRPr="001A3D2B">
        <w:t>Abstract: Telepsychiatry, in</w:t>
      </w:r>
      <w:r w:rsidR="003A1917">
        <w:t xml:space="preserve"> the </w:t>
      </w:r>
      <w:r w:rsidRPr="001A3D2B">
        <w:t>form</w:t>
      </w:r>
      <w:r w:rsidR="00427468">
        <w:t xml:space="preserve"> of </w:t>
      </w:r>
      <w:r w:rsidRPr="001A3D2B">
        <w:t>videoconferencing</w:t>
      </w:r>
      <w:r w:rsidR="005853A9">
        <w:t xml:space="preserve"> and </w:t>
      </w:r>
      <w:r w:rsidRPr="001A3D2B">
        <w:t>other modalities, brings enormous opportunities for clinical care, education, research</w:t>
      </w:r>
      <w:r w:rsidR="005853A9">
        <w:t xml:space="preserve"> and </w:t>
      </w:r>
      <w:r w:rsidRPr="001A3D2B">
        <w:t>administration to</w:t>
      </w:r>
      <w:r w:rsidR="003A1917">
        <w:t xml:space="preserve"> the </w:t>
      </w:r>
      <w:r w:rsidRPr="001A3D2B">
        <w:t>field</w:t>
      </w:r>
      <w:r w:rsidR="00427468">
        <w:t xml:space="preserve"> of </w:t>
      </w:r>
      <w:r w:rsidRPr="001A3D2B">
        <w:t>medicine. A comprehensive review</w:t>
      </w:r>
      <w:r w:rsidR="00427468">
        <w:t xml:space="preserve"> of </w:t>
      </w:r>
      <w:r w:rsidR="003A1917">
        <w:t xml:space="preserve">the </w:t>
      </w:r>
      <w:r w:rsidRPr="001A3D2B">
        <w:t>literature related to telepsychiatry - specifically videoconferencing - was conducted using</w:t>
      </w:r>
      <w:r w:rsidR="003A1917">
        <w:t xml:space="preserve"> the </w:t>
      </w:r>
      <w:r w:rsidR="00D5664A">
        <w:t>MEDLINE</w:t>
      </w:r>
      <w:r w:rsidRPr="001A3D2B">
        <w:t>, Embase, Science Citation Index, Social Sciences Citation Index</w:t>
      </w:r>
      <w:r w:rsidR="005853A9">
        <w:t xml:space="preserve"> and </w:t>
      </w:r>
      <w:r w:rsidRPr="001A3D2B">
        <w:t>Telemedicine Information Exchange databases (1965 to June 200 1)</w:t>
      </w:r>
      <w:r w:rsidR="00A37C1D">
        <w:t>. The</w:t>
      </w:r>
      <w:r w:rsidR="003A1917">
        <w:t xml:space="preserve"> </w:t>
      </w:r>
      <w:r w:rsidRPr="001A3D2B">
        <w:t>keywords used were telepsychiatry, telemedicine, videoconferencing, Internet, primary care, education, personal digital assistant</w:t>
      </w:r>
      <w:r w:rsidR="005853A9">
        <w:t xml:space="preserve"> and </w:t>
      </w:r>
      <w:r w:rsidRPr="001A3D2B">
        <w:t>handheld computers. Studies were selected for review if they discussed videoconferencing for patient care, satisfaction, outcomes, education</w:t>
      </w:r>
      <w:r w:rsidR="005853A9">
        <w:t xml:space="preserve"> and </w:t>
      </w:r>
      <w:r w:rsidRPr="001A3D2B">
        <w:t>costs,</w:t>
      </w:r>
      <w:r w:rsidR="005853A9">
        <w:t xml:space="preserve"> and </w:t>
      </w:r>
      <w:r w:rsidRPr="001A3D2B">
        <w:t>provided models</w:t>
      </w:r>
      <w:r w:rsidR="00427468">
        <w:t xml:space="preserve"> of </w:t>
      </w:r>
      <w:r w:rsidRPr="001A3D2B">
        <w:t>facilitating clinical service delivery. Literature on other technologies was also assessed</w:t>
      </w:r>
      <w:r w:rsidR="005853A9">
        <w:t xml:space="preserve"> and </w:t>
      </w:r>
      <w:r w:rsidRPr="001A3D2B">
        <w:t>compared with telepsychiatry to provide an idea</w:t>
      </w:r>
      <w:r w:rsidR="00427468">
        <w:t xml:space="preserve"> of </w:t>
      </w:r>
      <w:r w:rsidRPr="001A3D2B">
        <w:t>future applications</w:t>
      </w:r>
      <w:r w:rsidR="00427468">
        <w:t xml:space="preserve"> of </w:t>
      </w:r>
      <w:r w:rsidRPr="001A3D2B">
        <w:t>technology. Published data indicate that telepsychiatry is successfully used for a variety</w:t>
      </w:r>
      <w:r w:rsidR="00427468">
        <w:t xml:space="preserve"> of </w:t>
      </w:r>
      <w:r w:rsidRPr="001A3D2B">
        <w:t>clinical services</w:t>
      </w:r>
      <w:r w:rsidR="005853A9">
        <w:t xml:space="preserve"> and </w:t>
      </w:r>
      <w:r w:rsidRPr="001A3D2B">
        <w:t>educational initiatives. Telepsychiatry is generally feasible, offers a number</w:t>
      </w:r>
      <w:r w:rsidR="00427468">
        <w:t xml:space="preserve"> of </w:t>
      </w:r>
      <w:r w:rsidRPr="001A3D2B">
        <w:t>models</w:t>
      </w:r>
      <w:r w:rsidR="00427468">
        <w:t xml:space="preserve"> of </w:t>
      </w:r>
      <w:r w:rsidRPr="001A3D2B">
        <w:t>care</w:t>
      </w:r>
      <w:r w:rsidR="005853A9">
        <w:t xml:space="preserve"> and </w:t>
      </w:r>
      <w:r w:rsidRPr="001A3D2B">
        <w:t>consultation, in general satisfies patients</w:t>
      </w:r>
      <w:r w:rsidR="005853A9">
        <w:t xml:space="preserve"> and </w:t>
      </w:r>
      <w:r w:rsidRPr="001A3D2B">
        <w:t>providers,</w:t>
      </w:r>
      <w:r w:rsidR="005853A9">
        <w:t xml:space="preserve"> and </w:t>
      </w:r>
      <w:r w:rsidRPr="001A3D2B">
        <w:t>has positive</w:t>
      </w:r>
      <w:r w:rsidR="005853A9">
        <w:t xml:space="preserve"> and </w:t>
      </w:r>
      <w:r w:rsidRPr="001A3D2B">
        <w:t>negative effects on interpersonal behaviour. More quantitative</w:t>
      </w:r>
      <w:r w:rsidR="005853A9">
        <w:t xml:space="preserve"> and </w:t>
      </w:r>
      <w:r w:rsidRPr="001A3D2B">
        <w:t>qualitative research is warranted with regard to</w:t>
      </w:r>
      <w:r w:rsidR="003A1917">
        <w:t xml:space="preserve"> the </w:t>
      </w:r>
      <w:r w:rsidRPr="001A3D2B">
        <w:t>use</w:t>
      </w:r>
      <w:r w:rsidR="00427468">
        <w:t xml:space="preserve"> of </w:t>
      </w:r>
      <w:r w:rsidRPr="001A3D2B">
        <w:t>telepsychiatry in clinical</w:t>
      </w:r>
      <w:r w:rsidR="005853A9">
        <w:t xml:space="preserve"> and </w:t>
      </w:r>
      <w:r w:rsidRPr="001A3D2B">
        <w:t>educational programmes</w:t>
      </w:r>
      <w:r w:rsidR="005853A9">
        <w:t xml:space="preserve"> and </w:t>
      </w:r>
      <w:r w:rsidRPr="001A3D2B">
        <w:t>interventions.</w:t>
      </w:r>
    </w:p>
    <w:p w:rsidR="003474F2" w:rsidRPr="001A3D2B" w:rsidRDefault="003474F2" w:rsidP="003474F2">
      <w:pPr>
        <w:pStyle w:val="a3"/>
      </w:pPr>
      <w:r w:rsidRPr="001A3D2B">
        <w:t xml:space="preserve">Keywords: Administration, Behaviour, Care, Clinical, Computers, Consultation, Costs, Data, Databases, Delivery, Education, Field, General, Internet, Interventions, Literature, Medicine, </w:t>
      </w:r>
      <w:r w:rsidR="00D5664A">
        <w:t>MEDLINE</w:t>
      </w:r>
      <w:r w:rsidRPr="001A3D2B">
        <w:t xml:space="preserve">, Modalities, Models, Outcomes, Patient Care, Patients, Primary, Primary Care, Programmes, Providers, Qualitative, Qualitative Research, Research, Review, Satisfaction, Science Citation Index, Service, Services, </w:t>
      </w:r>
      <w:r w:rsidRPr="001A3D2B">
        <w:lastRenderedPageBreak/>
        <w:t>Technologies, Technology, Telemedicine</w:t>
      </w:r>
    </w:p>
    <w:p w:rsidR="00D83AB6" w:rsidRDefault="00D83AB6" w:rsidP="00D83AB6">
      <w:pPr>
        <w:pStyle w:val="a3"/>
        <w:rPr>
          <w:kern w:val="0"/>
        </w:rPr>
      </w:pPr>
      <w:r>
        <w:rPr>
          <w:rFonts w:hint="eastAsia"/>
          <w:kern w:val="0"/>
        </w:rPr>
        <w:t xml:space="preserve">? </w:t>
      </w:r>
      <w:r>
        <w:rPr>
          <w:kern w:val="0"/>
        </w:rPr>
        <w:t>Menossi, H.S., Goudriaan, A.E., Perico, C.D., Nicastri, S., de Andrade, A.G., D</w:t>
      </w:r>
      <w:r w:rsidR="0071223E">
        <w:rPr>
          <w:kern w:val="0"/>
        </w:rPr>
        <w:t>’</w:t>
      </w:r>
      <w:r>
        <w:rPr>
          <w:kern w:val="0"/>
        </w:rPr>
        <w:t>Elia, G., Li, C.S.R.</w:t>
      </w:r>
      <w:r w:rsidR="005853A9">
        <w:rPr>
          <w:kern w:val="0"/>
        </w:rPr>
        <w:t xml:space="preserve"> and </w:t>
      </w:r>
      <w:r>
        <w:rPr>
          <w:kern w:val="0"/>
        </w:rPr>
        <w:t>Castaldelli-Maia, J.M. (2013), Neural bases</w:t>
      </w:r>
      <w:r w:rsidR="00427468">
        <w:rPr>
          <w:kern w:val="0"/>
        </w:rPr>
        <w:t xml:space="preserve"> of </w:t>
      </w:r>
      <w:r>
        <w:rPr>
          <w:kern w:val="0"/>
        </w:rPr>
        <w:t>pharmacological treatment</w:t>
      </w:r>
      <w:r w:rsidR="00427468">
        <w:rPr>
          <w:kern w:val="0"/>
        </w:rPr>
        <w:t xml:space="preserve"> of </w:t>
      </w:r>
      <w:r>
        <w:rPr>
          <w:kern w:val="0"/>
        </w:rPr>
        <w:t xml:space="preserve">nicotine dependence - insights from functional brain imaging: A systematic review. </w:t>
      </w:r>
      <w:r>
        <w:rPr>
          <w:i/>
          <w:iCs/>
          <w:kern w:val="0"/>
        </w:rPr>
        <w:t>CNS Drugs</w:t>
      </w:r>
      <w:r>
        <w:rPr>
          <w:kern w:val="0"/>
        </w:rPr>
        <w:t xml:space="preserve">, </w:t>
      </w:r>
      <w:r>
        <w:rPr>
          <w:b/>
          <w:bCs/>
          <w:kern w:val="0"/>
        </w:rPr>
        <w:t>27</w:t>
      </w:r>
      <w:r>
        <w:rPr>
          <w:kern w:val="0"/>
        </w:rPr>
        <w:t xml:space="preserve"> (11), 921-941.</w:t>
      </w:r>
    </w:p>
    <w:p w:rsidR="00D83AB6" w:rsidRDefault="00D83AB6" w:rsidP="00D83AB6">
      <w:pPr>
        <w:pStyle w:val="a3"/>
        <w:rPr>
          <w:kern w:val="0"/>
        </w:rPr>
      </w:pPr>
      <w:r>
        <w:rPr>
          <w:rFonts w:hint="eastAsia"/>
          <w:kern w:val="0"/>
        </w:rPr>
        <w:t>Full Text: 2013\</w:t>
      </w:r>
      <w:r w:rsidRPr="00A4659F">
        <w:rPr>
          <w:iCs/>
          <w:kern w:val="0"/>
        </w:rPr>
        <w:t xml:space="preserve">CNS </w:t>
      </w:r>
      <w:r>
        <w:rPr>
          <w:iCs/>
          <w:kern w:val="0"/>
        </w:rPr>
        <w:t>Dru</w:t>
      </w:r>
      <w:r w:rsidRPr="00A4659F">
        <w:rPr>
          <w:bCs/>
          <w:kern w:val="0"/>
        </w:rPr>
        <w:t>27</w:t>
      </w:r>
      <w:r>
        <w:rPr>
          <w:kern w:val="0"/>
        </w:rPr>
        <w:t>, 921</w:t>
      </w:r>
      <w:r>
        <w:rPr>
          <w:rFonts w:hint="eastAsia"/>
          <w:kern w:val="0"/>
        </w:rPr>
        <w:t>.pdf</w:t>
      </w:r>
    </w:p>
    <w:p w:rsidR="00D83AB6" w:rsidRDefault="00D83AB6" w:rsidP="00D83AB6">
      <w:pPr>
        <w:pStyle w:val="a3"/>
        <w:rPr>
          <w:kern w:val="0"/>
        </w:rPr>
      </w:pPr>
      <w:r>
        <w:rPr>
          <w:kern w:val="0"/>
        </w:rPr>
        <w:t>Abstract: Nicotine dependence is difficult to treat,</w:t>
      </w:r>
      <w:r w:rsidR="005853A9">
        <w:rPr>
          <w:kern w:val="0"/>
        </w:rPr>
        <w:t xml:space="preserve"> and </w:t>
      </w:r>
      <w:r>
        <w:rPr>
          <w:kern w:val="0"/>
        </w:rPr>
        <w:t>the biological mechanisms that are involved are not entirely clear</w:t>
      </w:r>
      <w:r w:rsidR="00A37C1D">
        <w:rPr>
          <w:kern w:val="0"/>
        </w:rPr>
        <w:t>. The</w:t>
      </w:r>
      <w:r>
        <w:rPr>
          <w:kern w:val="0"/>
        </w:rPr>
        <w:t>re is an urgent need to develop better drugs</w:t>
      </w:r>
      <w:r w:rsidR="005853A9">
        <w:rPr>
          <w:kern w:val="0"/>
        </w:rPr>
        <w:t xml:space="preserve"> and </w:t>
      </w:r>
      <w:r>
        <w:rPr>
          <w:kern w:val="0"/>
        </w:rPr>
        <w:t>more effective treatments for clinical practice. A critical step towards accelerating progress in medication development is to understand the neurobehavioral effects</w:t>
      </w:r>
      <w:r w:rsidR="00427468">
        <w:rPr>
          <w:kern w:val="0"/>
        </w:rPr>
        <w:t xml:space="preserve"> of </w:t>
      </w:r>
      <w:r>
        <w:rPr>
          <w:kern w:val="0"/>
        </w:rPr>
        <w:t>pharmacotherapies on clinical characteristics associated with nicotine dependence. This review sought to summarize the functional magnetic resonance imaging (fMRI) literature on smoking cessation with the aim to better understand the neural processes underlying the effects</w:t>
      </w:r>
      <w:r w:rsidR="00427468">
        <w:rPr>
          <w:kern w:val="0"/>
        </w:rPr>
        <w:t xml:space="preserve"> of </w:t>
      </w:r>
      <w:r>
        <w:rPr>
          <w:kern w:val="0"/>
        </w:rPr>
        <w:t>nicotinic</w:t>
      </w:r>
      <w:r w:rsidR="005853A9">
        <w:rPr>
          <w:kern w:val="0"/>
        </w:rPr>
        <w:t xml:space="preserve"> and </w:t>
      </w:r>
      <w:r>
        <w:rPr>
          <w:kern w:val="0"/>
        </w:rPr>
        <w:t>non-nicotinic pharmacological smoking cessation treatments on specific symptoms</w:t>
      </w:r>
      <w:r w:rsidR="00427468">
        <w:rPr>
          <w:kern w:val="0"/>
        </w:rPr>
        <w:t xml:space="preserve"> of </w:t>
      </w:r>
      <w:r>
        <w:rPr>
          <w:kern w:val="0"/>
        </w:rPr>
        <w:t>nicotine dependence</w:t>
      </w:r>
      <w:r w:rsidR="005853A9">
        <w:rPr>
          <w:kern w:val="0"/>
        </w:rPr>
        <w:t xml:space="preserve"> and </w:t>
      </w:r>
      <w:r>
        <w:rPr>
          <w:kern w:val="0"/>
        </w:rPr>
        <w:t xml:space="preserve">withdrawal. We conducted a search in Pubmed,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 xml:space="preserve">PsycINFO databases with the keywords </w:t>
      </w:r>
      <w:r w:rsidR="0071223E">
        <w:rPr>
          <w:kern w:val="0"/>
        </w:rPr>
        <w:t>‘</w:t>
      </w:r>
      <w:r>
        <w:rPr>
          <w:kern w:val="0"/>
        </w:rPr>
        <w:t>fMRI</w:t>
      </w:r>
      <w:r w:rsidR="0071223E">
        <w:rPr>
          <w:kern w:val="0"/>
        </w:rPr>
        <w:t>’</w:t>
      </w:r>
      <w:r>
        <w:rPr>
          <w:kern w:val="0"/>
        </w:rPr>
        <w:t xml:space="preserve"> or </w:t>
      </w:r>
      <w:r w:rsidR="0071223E">
        <w:rPr>
          <w:kern w:val="0"/>
        </w:rPr>
        <w:t>‘</w:t>
      </w:r>
      <w:r>
        <w:rPr>
          <w:kern w:val="0"/>
        </w:rPr>
        <w:t>functional magnetic resonance imaging</w:t>
      </w:r>
      <w:r w:rsidR="0071223E">
        <w:rPr>
          <w:kern w:val="0"/>
        </w:rPr>
        <w:t>’</w:t>
      </w:r>
      <w:r w:rsidR="005853A9">
        <w:rPr>
          <w:kern w:val="0"/>
        </w:rPr>
        <w:t xml:space="preserve"> and </w:t>
      </w:r>
      <w:r w:rsidR="0071223E">
        <w:rPr>
          <w:kern w:val="0"/>
        </w:rPr>
        <w:t>‘</w:t>
      </w:r>
      <w:r>
        <w:rPr>
          <w:kern w:val="0"/>
        </w:rPr>
        <w:t>tobacco</w:t>
      </w:r>
      <w:r w:rsidR="0071223E">
        <w:rPr>
          <w:kern w:val="0"/>
        </w:rPr>
        <w:t>’</w:t>
      </w:r>
      <w:r>
        <w:rPr>
          <w:kern w:val="0"/>
        </w:rPr>
        <w:t xml:space="preserve"> or </w:t>
      </w:r>
      <w:r w:rsidR="0071223E">
        <w:rPr>
          <w:kern w:val="0"/>
        </w:rPr>
        <w:t>‘</w:t>
      </w:r>
      <w:r>
        <w:rPr>
          <w:kern w:val="0"/>
        </w:rPr>
        <w:t>nicotine</w:t>
      </w:r>
      <w:r w:rsidR="0071223E">
        <w:rPr>
          <w:kern w:val="0"/>
        </w:rPr>
        <w:t>’</w:t>
      </w:r>
      <w:r>
        <w:rPr>
          <w:kern w:val="0"/>
        </w:rPr>
        <w:t xml:space="preserve"> or </w:t>
      </w:r>
      <w:r w:rsidR="0071223E">
        <w:rPr>
          <w:kern w:val="0"/>
        </w:rPr>
        <w:t>‘</w:t>
      </w:r>
      <w:r>
        <w:rPr>
          <w:kern w:val="0"/>
        </w:rPr>
        <w:t>smok*</w:t>
      </w:r>
      <w:r w:rsidR="0071223E">
        <w:rPr>
          <w:kern w:val="0"/>
        </w:rPr>
        <w:t>’</w:t>
      </w:r>
      <w:r w:rsidR="00A37C1D">
        <w:rPr>
          <w:kern w:val="0"/>
        </w:rPr>
        <w:t>. The</w:t>
      </w:r>
      <w:r>
        <w:rPr>
          <w:kern w:val="0"/>
        </w:rPr>
        <w:t xml:space="preserve"> date</w:t>
      </w:r>
      <w:r w:rsidR="00427468">
        <w:rPr>
          <w:kern w:val="0"/>
        </w:rPr>
        <w:t xml:space="preserve"> of </w:t>
      </w:r>
      <w:r>
        <w:rPr>
          <w:kern w:val="0"/>
        </w:rPr>
        <w:t>the most recent search was May 2012</w:t>
      </w:r>
      <w:r w:rsidR="00A37C1D">
        <w:rPr>
          <w:kern w:val="0"/>
        </w:rPr>
        <w:t>. The</w:t>
      </w:r>
      <w:r>
        <w:rPr>
          <w:kern w:val="0"/>
        </w:rPr>
        <w:t xml:space="preserve"> original studies that were included were those</w:t>
      </w:r>
      <w:r w:rsidR="00427468">
        <w:rPr>
          <w:kern w:val="0"/>
        </w:rPr>
        <w:t xml:space="preserve"> of </w:t>
      </w:r>
      <w:r>
        <w:rPr>
          <w:kern w:val="0"/>
        </w:rPr>
        <w:t>smokers or nicotine-dependent individuals, published in the English language, with pharmacological treatment for nicotine dependence</w:t>
      </w:r>
      <w:r w:rsidR="005853A9">
        <w:rPr>
          <w:kern w:val="0"/>
        </w:rPr>
        <w:t xml:space="preserve"> and </w:t>
      </w:r>
      <w:r>
        <w:rPr>
          <w:kern w:val="0"/>
        </w:rPr>
        <w:t>use</w:t>
      </w:r>
      <w:r w:rsidR="00427468">
        <w:rPr>
          <w:kern w:val="0"/>
        </w:rPr>
        <w:t xml:space="preserve"> of </w:t>
      </w:r>
      <w:r>
        <w:rPr>
          <w:kern w:val="0"/>
        </w:rPr>
        <w:t>fMRI with blood oxygen level-dependent (BOLD) imaging or continuous arterial spin labelling (CASL). No date limit was applied. Two</w:t>
      </w:r>
      <w:r w:rsidR="00427468">
        <w:rPr>
          <w:kern w:val="0"/>
        </w:rPr>
        <w:t xml:space="preserve"> of </w:t>
      </w:r>
      <w:r>
        <w:rPr>
          <w:kern w:val="0"/>
        </w:rPr>
        <w:t>the authors read the abstracts</w:t>
      </w:r>
      <w:r w:rsidR="00427468">
        <w:rPr>
          <w:kern w:val="0"/>
        </w:rPr>
        <w:t xml:space="preserve"> of </w:t>
      </w:r>
      <w:r>
        <w:rPr>
          <w:kern w:val="0"/>
        </w:rPr>
        <w:t>all studies found in the search (n = 1,260)</w:t>
      </w:r>
      <w:r w:rsidR="00A37C1D">
        <w:rPr>
          <w:kern w:val="0"/>
        </w:rPr>
        <w:t>. The</w:t>
      </w:r>
      <w:r>
        <w:rPr>
          <w:kern w:val="0"/>
        </w:rPr>
        <w:t xml:space="preserve"> inclusion</w:t>
      </w:r>
      <w:r w:rsidR="005853A9">
        <w:rPr>
          <w:kern w:val="0"/>
        </w:rPr>
        <w:t xml:space="preserve"> and </w:t>
      </w:r>
      <w:r>
        <w:rPr>
          <w:kern w:val="0"/>
        </w:rPr>
        <w:t>exclusion criteria were applied,</w:t>
      </w:r>
      <w:r w:rsidR="005853A9">
        <w:rPr>
          <w:kern w:val="0"/>
        </w:rPr>
        <w:t xml:space="preserve"> and </w:t>
      </w:r>
      <w:r>
        <w:rPr>
          <w:kern w:val="0"/>
        </w:rPr>
        <w:t>1,224 articles were excluded. In a second step, the same authors read the remaining 36 studies. Nineteen</w:t>
      </w:r>
      <w:r w:rsidR="00427468">
        <w:rPr>
          <w:kern w:val="0"/>
        </w:rPr>
        <w:t xml:space="preserve"> of </w:t>
      </w:r>
      <w:r>
        <w:rPr>
          <w:kern w:val="0"/>
        </w:rPr>
        <w:t>the 36 articles were excluded</w:t>
      </w:r>
      <w:r w:rsidR="00A37C1D">
        <w:rPr>
          <w:kern w:val="0"/>
        </w:rPr>
        <w:t>. The</w:t>
      </w:r>
      <w:r>
        <w:rPr>
          <w:kern w:val="0"/>
        </w:rPr>
        <w:t xml:space="preserve"> results were tabulated by the number</w:t>
      </w:r>
      <w:r w:rsidR="00427468">
        <w:rPr>
          <w:kern w:val="0"/>
        </w:rPr>
        <w:t xml:space="preserve"> of </w:t>
      </w:r>
      <w:r>
        <w:rPr>
          <w:kern w:val="0"/>
        </w:rPr>
        <w:t>individuals</w:t>
      </w:r>
      <w:r w:rsidR="005853A9">
        <w:rPr>
          <w:kern w:val="0"/>
        </w:rPr>
        <w:t xml:space="preserve"> and </w:t>
      </w:r>
      <w:r>
        <w:rPr>
          <w:kern w:val="0"/>
        </w:rPr>
        <w:t>their mean age, the main sample characteristics, smoking status, study type</w:t>
      </w:r>
      <w:r w:rsidR="005853A9">
        <w:rPr>
          <w:kern w:val="0"/>
        </w:rPr>
        <w:t xml:space="preserve"> and </w:t>
      </w:r>
      <w:r>
        <w:rPr>
          <w:kern w:val="0"/>
        </w:rPr>
        <w:t>methodology,</w:t>
      </w:r>
      <w:r w:rsidR="005853A9">
        <w:rPr>
          <w:kern w:val="0"/>
        </w:rPr>
        <w:t xml:space="preserve"> and </w:t>
      </w:r>
      <w:r>
        <w:rPr>
          <w:kern w:val="0"/>
        </w:rPr>
        <w:t>the main fMRI findings. Seventeen original fMRI studies involving pharmacological treatment</w:t>
      </w:r>
      <w:r w:rsidR="00427468">
        <w:rPr>
          <w:kern w:val="0"/>
        </w:rPr>
        <w:t xml:space="preserve"> of </w:t>
      </w:r>
      <w:r>
        <w:rPr>
          <w:kern w:val="0"/>
        </w:rPr>
        <w:t>smokers were selected</w:t>
      </w:r>
      <w:r w:rsidR="00A37C1D">
        <w:rPr>
          <w:kern w:val="0"/>
        </w:rPr>
        <w:t>. The</w:t>
      </w:r>
      <w:r>
        <w:rPr>
          <w:kern w:val="0"/>
        </w:rPr>
        <w:t xml:space="preserve"> anterior</w:t>
      </w:r>
      <w:r w:rsidR="005853A9">
        <w:rPr>
          <w:kern w:val="0"/>
        </w:rPr>
        <w:t xml:space="preserve"> and </w:t>
      </w:r>
      <w:r>
        <w:rPr>
          <w:kern w:val="0"/>
        </w:rPr>
        <w:t>posterior cingulate cortex, medial</w:t>
      </w:r>
      <w:r w:rsidR="005853A9">
        <w:rPr>
          <w:kern w:val="0"/>
        </w:rPr>
        <w:t xml:space="preserve"> and </w:t>
      </w:r>
      <w:r>
        <w:rPr>
          <w:kern w:val="0"/>
        </w:rPr>
        <w:t>lateral orbitofrontal cortex, ventral striatum, amygdala, thalamus</w:t>
      </w:r>
      <w:r w:rsidR="005853A9">
        <w:rPr>
          <w:kern w:val="0"/>
        </w:rPr>
        <w:t xml:space="preserve"> and </w:t>
      </w:r>
      <w:r>
        <w:rPr>
          <w:kern w:val="0"/>
        </w:rPr>
        <w:t>insula are heavily involved in the maintenance</w:t>
      </w:r>
      <w:r w:rsidR="00427468">
        <w:rPr>
          <w:kern w:val="0"/>
        </w:rPr>
        <w:t xml:space="preserve"> of </w:t>
      </w:r>
      <w:r>
        <w:rPr>
          <w:kern w:val="0"/>
        </w:rPr>
        <w:t>smoking</w:t>
      </w:r>
      <w:r w:rsidR="005853A9">
        <w:rPr>
          <w:kern w:val="0"/>
        </w:rPr>
        <w:t xml:space="preserve"> and </w:t>
      </w:r>
      <w:r>
        <w:rPr>
          <w:kern w:val="0"/>
        </w:rPr>
        <w:t>nicotine withdrawal</w:t>
      </w:r>
      <w:r w:rsidR="00A37C1D">
        <w:rPr>
          <w:kern w:val="0"/>
        </w:rPr>
        <w:t>. The</w:t>
      </w:r>
      <w:r>
        <w:rPr>
          <w:kern w:val="0"/>
        </w:rPr>
        <w:t xml:space="preserve"> effects</w:t>
      </w:r>
      <w:r w:rsidR="00427468">
        <w:rPr>
          <w:kern w:val="0"/>
        </w:rPr>
        <w:t xml:space="preserve"> of </w:t>
      </w:r>
      <w:r>
        <w:rPr>
          <w:kern w:val="0"/>
        </w:rPr>
        <w:t>varenicline</w:t>
      </w:r>
      <w:r w:rsidR="005853A9">
        <w:rPr>
          <w:kern w:val="0"/>
        </w:rPr>
        <w:t xml:space="preserve"> and </w:t>
      </w:r>
      <w:r>
        <w:rPr>
          <w:kern w:val="0"/>
        </w:rPr>
        <w:t>bupropion in alleviating withdrawal symptoms</w:t>
      </w:r>
      <w:r w:rsidR="005853A9">
        <w:rPr>
          <w:kern w:val="0"/>
        </w:rPr>
        <w:t xml:space="preserve"> and </w:t>
      </w:r>
      <w:r>
        <w:rPr>
          <w:kern w:val="0"/>
        </w:rPr>
        <w:t>decreasing smoking correlated with modulation</w:t>
      </w:r>
      <w:r w:rsidR="00427468">
        <w:rPr>
          <w:kern w:val="0"/>
        </w:rPr>
        <w:t xml:space="preserve"> of </w:t>
      </w:r>
      <w:r>
        <w:rPr>
          <w:kern w:val="0"/>
        </w:rPr>
        <w:t>the activities</w:t>
      </w:r>
      <w:r w:rsidR="00427468">
        <w:rPr>
          <w:kern w:val="0"/>
        </w:rPr>
        <w:t xml:space="preserve"> of </w:t>
      </w:r>
      <w:r>
        <w:rPr>
          <w:kern w:val="0"/>
        </w:rPr>
        <w:t>these areas. Nicotine replacement therapy seems to improve cognitive symptoms related to withdrawal especially by modulating activities</w:t>
      </w:r>
      <w:r w:rsidR="00427468">
        <w:rPr>
          <w:kern w:val="0"/>
        </w:rPr>
        <w:t xml:space="preserve"> of </w:t>
      </w:r>
      <w:r>
        <w:rPr>
          <w:kern w:val="0"/>
        </w:rPr>
        <w:t>the default-network regions; however, nicotine replacement does not necessarily alter the activities</w:t>
      </w:r>
      <w:r w:rsidR="00427468">
        <w:rPr>
          <w:kern w:val="0"/>
        </w:rPr>
        <w:t xml:space="preserve"> of </w:t>
      </w:r>
      <w:r>
        <w:rPr>
          <w:kern w:val="0"/>
        </w:rPr>
        <w:t>neural circuits, such as the cingulate cortices, that are associated with nicotine addiction</w:t>
      </w:r>
      <w:r w:rsidR="00A37C1D">
        <w:rPr>
          <w:kern w:val="0"/>
        </w:rPr>
        <w:t>. The</w:t>
      </w:r>
      <w:r>
        <w:rPr>
          <w:kern w:val="0"/>
        </w:rPr>
        <w:t xml:space="preserve"> risk</w:t>
      </w:r>
      <w:r w:rsidR="00427468">
        <w:rPr>
          <w:kern w:val="0"/>
        </w:rPr>
        <w:t xml:space="preserve"> of </w:t>
      </w:r>
      <w:r>
        <w:rPr>
          <w:kern w:val="0"/>
        </w:rPr>
        <w:t>bias in individual studies,</w:t>
      </w:r>
      <w:r w:rsidR="005853A9">
        <w:rPr>
          <w:kern w:val="0"/>
        </w:rPr>
        <w:t xml:space="preserve"> and </w:t>
      </w:r>
      <w:r>
        <w:rPr>
          <w:kern w:val="0"/>
        </w:rPr>
        <w:t>across studies, was not assessed,</w:t>
      </w:r>
      <w:r w:rsidR="005853A9">
        <w:rPr>
          <w:kern w:val="0"/>
        </w:rPr>
        <w:t xml:space="preserve"> and </w:t>
      </w:r>
      <w:r>
        <w:rPr>
          <w:kern w:val="0"/>
        </w:rPr>
        <w:t>no method</w:t>
      </w:r>
      <w:r w:rsidR="00427468">
        <w:rPr>
          <w:kern w:val="0"/>
        </w:rPr>
        <w:t xml:space="preserve"> of </w:t>
      </w:r>
      <w:r>
        <w:rPr>
          <w:kern w:val="0"/>
        </w:rPr>
        <w:t xml:space="preserve">handling </w:t>
      </w:r>
      <w:r>
        <w:rPr>
          <w:kern w:val="0"/>
        </w:rPr>
        <w:lastRenderedPageBreak/>
        <w:t>data</w:t>
      </w:r>
      <w:r w:rsidR="005853A9">
        <w:rPr>
          <w:kern w:val="0"/>
        </w:rPr>
        <w:t xml:space="preserve"> and </w:t>
      </w:r>
      <w:r>
        <w:rPr>
          <w:kern w:val="0"/>
        </w:rPr>
        <w:t>combining results</w:t>
      </w:r>
      <w:r w:rsidR="00427468">
        <w:rPr>
          <w:kern w:val="0"/>
        </w:rPr>
        <w:t xml:space="preserve"> of </w:t>
      </w:r>
      <w:r>
        <w:rPr>
          <w:kern w:val="0"/>
        </w:rPr>
        <w:t>studies was carried out. Most importantly, positron emission tomography (PET) studies were not included in this review. fMRI studies delineate brain systems that contribute to cognitive deficits</w:t>
      </w:r>
      <w:r w:rsidR="005853A9">
        <w:rPr>
          <w:kern w:val="0"/>
        </w:rPr>
        <w:t xml:space="preserve"> and </w:t>
      </w:r>
      <w:r>
        <w:rPr>
          <w:kern w:val="0"/>
        </w:rPr>
        <w:t>reactivity to stimuli that generate the desire to smoke. Nicotinic</w:t>
      </w:r>
      <w:r w:rsidR="005853A9">
        <w:rPr>
          <w:kern w:val="0"/>
        </w:rPr>
        <w:t xml:space="preserve"> and </w:t>
      </w:r>
      <w:r>
        <w:rPr>
          <w:kern w:val="0"/>
        </w:rPr>
        <w:t>non-nicotinic pharmacotherapy may reduce smoking via distinct neural mechanisms</w:t>
      </w:r>
      <w:r w:rsidR="00427468">
        <w:rPr>
          <w:kern w:val="0"/>
        </w:rPr>
        <w:t xml:space="preserve"> of </w:t>
      </w:r>
      <w:r>
        <w:rPr>
          <w:kern w:val="0"/>
        </w:rPr>
        <w:t>action</w:t>
      </w:r>
      <w:r w:rsidR="00A37C1D">
        <w:rPr>
          <w:kern w:val="0"/>
        </w:rPr>
        <w:t>. The</w:t>
      </w:r>
      <w:r>
        <w:rPr>
          <w:kern w:val="0"/>
        </w:rPr>
        <w:t>se findings should contribute to the development</w:t>
      </w:r>
      <w:r w:rsidR="00427468">
        <w:rPr>
          <w:kern w:val="0"/>
        </w:rPr>
        <w:t xml:space="preserve"> of </w:t>
      </w:r>
      <w:r>
        <w:rPr>
          <w:kern w:val="0"/>
        </w:rPr>
        <w:t>new medications</w:t>
      </w:r>
      <w:r w:rsidR="005853A9">
        <w:rPr>
          <w:kern w:val="0"/>
        </w:rPr>
        <w:t xml:space="preserve"> and </w:t>
      </w:r>
      <w:r>
        <w:rPr>
          <w:kern w:val="0"/>
        </w:rPr>
        <w:t>discovery</w:t>
      </w:r>
      <w:r w:rsidR="00427468">
        <w:rPr>
          <w:kern w:val="0"/>
        </w:rPr>
        <w:t xml:space="preserve"> of </w:t>
      </w:r>
      <w:r>
        <w:rPr>
          <w:kern w:val="0"/>
        </w:rPr>
        <w:t>early markers</w:t>
      </w:r>
      <w:r w:rsidR="00427468">
        <w:rPr>
          <w:kern w:val="0"/>
        </w:rPr>
        <w:t xml:space="preserve"> of </w:t>
      </w:r>
      <w:r>
        <w:rPr>
          <w:kern w:val="0"/>
        </w:rPr>
        <w:t>the therapeutic response</w:t>
      </w:r>
      <w:r w:rsidR="00427468">
        <w:rPr>
          <w:kern w:val="0"/>
        </w:rPr>
        <w:t xml:space="preserve"> of </w:t>
      </w:r>
      <w:r>
        <w:rPr>
          <w:kern w:val="0"/>
        </w:rPr>
        <w:t>cigarette smokers.</w:t>
      </w:r>
    </w:p>
    <w:p w:rsidR="00D83AB6" w:rsidRDefault="00D83AB6" w:rsidP="00D83AB6">
      <w:pPr>
        <w:pStyle w:val="a3"/>
        <w:rPr>
          <w:kern w:val="0"/>
        </w:rPr>
      </w:pPr>
      <w:r>
        <w:rPr>
          <w:kern w:val="0"/>
        </w:rPr>
        <w:t xml:space="preserve">Keywords: Addiction, Age, Authors, Bias, Biological, Blood, Brain, Characteristics, Clinical, Clinical Practice, Combining, Criteria, Data, Databases, Development, Discovery, Drugs, Effects, Emission, Fmri, Imaging, Language, Literature, Magnetic, Magnetic Resonance, Magnetic Resonance Imaging, Mechanisms, Methodology, Nov, Oxygen, PET, Pharmacotherapy, Positron Emission Tomography, Practice, Progress, Psycinfo, Recent, Replacement Therapy, Review, Risk, Science, Smoking, Striatum, Symptoms, Systems, Therapeutic, Therapy, Tobacco, Treatment, </w:t>
      </w:r>
      <w:r w:rsidR="00D5664A">
        <w:rPr>
          <w:kern w:val="0"/>
        </w:rPr>
        <w:t>Web</w:t>
      </w:r>
      <w:r w:rsidR="00427468">
        <w:rPr>
          <w:kern w:val="0"/>
        </w:rPr>
        <w:t xml:space="preserve"> of </w:t>
      </w:r>
      <w:r w:rsidR="00D5664A">
        <w:rPr>
          <w:kern w:val="0"/>
        </w:rPr>
        <w:t>Science</w:t>
      </w:r>
    </w:p>
    <w:p w:rsidR="00D677FA" w:rsidRPr="001A3D2B" w:rsidRDefault="00D677FA" w:rsidP="00D677FA">
      <w:pPr>
        <w:pStyle w:val="1"/>
      </w:pPr>
      <w:r w:rsidRPr="001A3D2B">
        <w:br w:type="page"/>
      </w:r>
      <w:bookmarkStart w:id="327" w:name="_Toc420815058"/>
      <w:r w:rsidRPr="001A3D2B">
        <w:lastRenderedPageBreak/>
        <w:t xml:space="preserve">Title: </w:t>
      </w:r>
      <w:r w:rsidRPr="00D677FA">
        <w:rPr>
          <w:iCs w:val="0"/>
        </w:rPr>
        <w:t xml:space="preserve">CNS </w:t>
      </w:r>
      <w:r w:rsidRPr="00D677FA">
        <w:t>&amp; Neurological Disorders-Drug Targets</w:t>
      </w:r>
      <w:bookmarkEnd w:id="327"/>
    </w:p>
    <w:p w:rsidR="00D677FA" w:rsidRPr="001A3D2B" w:rsidRDefault="00D677FA" w:rsidP="00D677FA">
      <w:pPr>
        <w:pStyle w:val="12"/>
      </w:pPr>
      <w:r w:rsidRPr="001A3D2B">
        <w:t xml:space="preserve">Full Journal Title: </w:t>
      </w:r>
      <w:r w:rsidRPr="00D677FA">
        <w:rPr>
          <w:iCs/>
          <w:kern w:val="0"/>
        </w:rPr>
        <w:t>CNS &amp; Neurological Disorders-Drug Targets</w:t>
      </w:r>
    </w:p>
    <w:p w:rsidR="00D677FA" w:rsidRPr="001A3D2B" w:rsidRDefault="00D677FA" w:rsidP="00D677FA">
      <w:pPr>
        <w:pStyle w:val="12"/>
      </w:pPr>
      <w:r w:rsidRPr="001A3D2B">
        <w:t xml:space="preserve">ISO Abbreviated Title: </w:t>
      </w:r>
    </w:p>
    <w:p w:rsidR="00D677FA" w:rsidRPr="001A3D2B" w:rsidRDefault="00D677FA" w:rsidP="00D677FA">
      <w:pPr>
        <w:pStyle w:val="12"/>
      </w:pPr>
      <w:r w:rsidRPr="001A3D2B">
        <w:t xml:space="preserve">JCR Abbreviated Title: </w:t>
      </w:r>
    </w:p>
    <w:p w:rsidR="00D677FA" w:rsidRPr="001A3D2B" w:rsidRDefault="00D677FA" w:rsidP="00D677FA">
      <w:pPr>
        <w:pStyle w:val="12"/>
      </w:pPr>
      <w:r w:rsidRPr="001A3D2B">
        <w:t xml:space="preserve">ISSN: </w:t>
      </w:r>
    </w:p>
    <w:p w:rsidR="00D677FA" w:rsidRPr="001A3D2B" w:rsidRDefault="00D677FA" w:rsidP="00D677FA">
      <w:pPr>
        <w:pStyle w:val="12"/>
      </w:pPr>
      <w:r w:rsidRPr="001A3D2B">
        <w:t xml:space="preserve">Issues/Year: </w:t>
      </w:r>
    </w:p>
    <w:p w:rsidR="00D677FA" w:rsidRPr="001A3D2B" w:rsidRDefault="00D677FA" w:rsidP="00D677FA">
      <w:pPr>
        <w:pStyle w:val="12"/>
      </w:pPr>
      <w:r w:rsidRPr="001A3D2B">
        <w:t xml:space="preserve">Journal Country/Territory: </w:t>
      </w:r>
    </w:p>
    <w:p w:rsidR="00D677FA" w:rsidRPr="001A3D2B" w:rsidRDefault="00D677FA" w:rsidP="00D677FA">
      <w:pPr>
        <w:pStyle w:val="12"/>
      </w:pPr>
      <w:r w:rsidRPr="001A3D2B">
        <w:t xml:space="preserve">Language: </w:t>
      </w:r>
    </w:p>
    <w:p w:rsidR="00D677FA" w:rsidRPr="001A3D2B" w:rsidRDefault="00D677FA" w:rsidP="00D677FA">
      <w:pPr>
        <w:pStyle w:val="12"/>
      </w:pPr>
      <w:r w:rsidRPr="001A3D2B">
        <w:t xml:space="preserve">Publisher: </w:t>
      </w:r>
    </w:p>
    <w:p w:rsidR="00D677FA" w:rsidRPr="001A3D2B" w:rsidRDefault="00D677FA" w:rsidP="00D677FA">
      <w:pPr>
        <w:pStyle w:val="12"/>
      </w:pPr>
      <w:r w:rsidRPr="001A3D2B">
        <w:t xml:space="preserve">Publisher Address: </w:t>
      </w:r>
    </w:p>
    <w:p w:rsidR="00D677FA" w:rsidRPr="001A3D2B" w:rsidRDefault="00D677FA" w:rsidP="00D677FA">
      <w:pPr>
        <w:pStyle w:val="12"/>
      </w:pPr>
      <w:r w:rsidRPr="001A3D2B">
        <w:t>Subject Categories:</w:t>
      </w:r>
    </w:p>
    <w:p w:rsidR="00D677FA" w:rsidRPr="001A3D2B" w:rsidRDefault="00D677FA" w:rsidP="00D677FA">
      <w:pPr>
        <w:pStyle w:val="12"/>
      </w:pPr>
      <w:r w:rsidRPr="001A3D2B">
        <w:t xml:space="preserve">: Impact Factor </w:t>
      </w:r>
    </w:p>
    <w:p w:rsidR="00D677FA" w:rsidRDefault="00D677FA" w:rsidP="00D677FA">
      <w:pPr>
        <w:pStyle w:val="a3"/>
        <w:rPr>
          <w:kern w:val="0"/>
        </w:rPr>
      </w:pPr>
      <w:r>
        <w:rPr>
          <w:rFonts w:hint="eastAsia"/>
          <w:kern w:val="0"/>
        </w:rPr>
        <w:t xml:space="preserve">? </w:t>
      </w:r>
      <w:r>
        <w:rPr>
          <w:kern w:val="0"/>
        </w:rPr>
        <w:t xml:space="preserve">Lattari, E., Portugal, E., Moraes, H., Machado, S., Santos, T.M. and Deslandes, A.C. (2014), Acute effects of exercise on mood and EEG activity in healthy young subjects: A systematic review. </w:t>
      </w:r>
      <w:r w:rsidRPr="00D677FA">
        <w:rPr>
          <w:i/>
          <w:iCs/>
          <w:kern w:val="0"/>
        </w:rPr>
        <w:t>CNS &amp; Neurological Disorders-Drug Targets</w:t>
      </w:r>
      <w:r>
        <w:rPr>
          <w:kern w:val="0"/>
        </w:rPr>
        <w:t xml:space="preserve">, </w:t>
      </w:r>
      <w:r>
        <w:rPr>
          <w:b/>
          <w:bCs/>
          <w:kern w:val="0"/>
        </w:rPr>
        <w:t>13</w:t>
      </w:r>
      <w:r>
        <w:rPr>
          <w:kern w:val="0"/>
        </w:rPr>
        <w:t xml:space="preserve"> (6), 972-980.</w:t>
      </w:r>
    </w:p>
    <w:p w:rsidR="00D677FA" w:rsidRDefault="00D677FA" w:rsidP="00D677FA">
      <w:pPr>
        <w:pStyle w:val="a3"/>
        <w:rPr>
          <w:kern w:val="0"/>
        </w:rPr>
      </w:pPr>
      <w:r>
        <w:rPr>
          <w:rFonts w:hint="eastAsia"/>
          <w:kern w:val="0"/>
        </w:rPr>
        <w:t>Full Text: 2014\</w:t>
      </w:r>
      <w:r w:rsidRPr="00E93D82">
        <w:rPr>
          <w:iCs/>
          <w:kern w:val="0"/>
        </w:rPr>
        <w:t>CNS Neu</w:t>
      </w:r>
      <w:r>
        <w:rPr>
          <w:iCs/>
          <w:kern w:val="0"/>
        </w:rPr>
        <w:t xml:space="preserve"> Dis-Dru Tar</w:t>
      </w:r>
      <w:r w:rsidRPr="00E93D82">
        <w:rPr>
          <w:bCs/>
          <w:kern w:val="0"/>
        </w:rPr>
        <w:t>13</w:t>
      </w:r>
      <w:r>
        <w:rPr>
          <w:kern w:val="0"/>
        </w:rPr>
        <w:t>, 972</w:t>
      </w:r>
      <w:r>
        <w:rPr>
          <w:rFonts w:hint="eastAsia"/>
          <w:kern w:val="0"/>
        </w:rPr>
        <w:t>.pdf</w:t>
      </w:r>
    </w:p>
    <w:p w:rsidR="00D677FA" w:rsidRDefault="00D677FA" w:rsidP="00D677FA">
      <w:pPr>
        <w:pStyle w:val="a3"/>
        <w:rPr>
          <w:kern w:val="0"/>
        </w:rPr>
      </w:pPr>
      <w:r>
        <w:rPr>
          <w:kern w:val="0"/>
        </w:rPr>
        <w:t>Abstract: Electroencephalography has been used to establish the relationship among cortical activity, exercise and mood, such as asymmetry, absolute and relative power. The purpose of this study was to systematically review the influence of cortical activity on mood state induced by exercise. The Preferred Reporting Items in Systematic reviews and Meta-Analyses was followed in this study. The studies were retrieved from MEDLINE/PubMed, ISI Web of Knowledge and SciELO. Search was conducted in all databases using the following terms: EEG asymmetry, sLORETA, exercise, with affect, mood and emotions. Based on the defined criteria, a total of 727 articles were found in the search conducted in the literature (666 in Pubmed, 54 in ISI Web of Science, 2 in SciELO and 5 in other data sources). Total of 11 studies were selected which properly met the criteria for this review. Nine out of 11 studies used the frontal asymmetry, four used absolute and relative power and one used sLORETA. With regard to changes in cortical activity and mood induced by exercise, six studies attributed this result to different intensities, one to duration, one to type of exercise and one to fitness level. In general, EEG measures showed contradictory evidence of its ability to predict or modulate psychological mood states through exercise intervention.</w:t>
      </w:r>
    </w:p>
    <w:p w:rsidR="00D677FA" w:rsidRDefault="00D677FA" w:rsidP="00D677FA">
      <w:pPr>
        <w:pStyle w:val="a3"/>
        <w:rPr>
          <w:kern w:val="0"/>
        </w:rPr>
      </w:pPr>
      <w:r>
        <w:rPr>
          <w:kern w:val="0"/>
        </w:rPr>
        <w:t xml:space="preserve">Keywords: Absolute And Relative Power, Activation, Activity, Acute Aerobic Exercise, Aerobic Exercise, Affect, Articles, Asymmetry, Brain, Brain Cortical Activity, Changes, Criteria, Data, Databases, Duration, Eeg, Electromagnetic Tomography, </w:t>
      </w:r>
      <w:r>
        <w:rPr>
          <w:kern w:val="0"/>
        </w:rPr>
        <w:lastRenderedPageBreak/>
        <w:t>Evidence, Exercise, Fitness, Frontal Asymmetry, General, Induced, Influence, Insular Cortex, Intensity, Intervention, ISI, ISI Web Of Science, Knowledge, Literature, Measures, Mood, Postexercise Hypotension, Power, Predicting Affective Responses, Psychological, Purpose, Resistance Exercise, Review, Reviews, Scielo, Science, Search, Sources, State, Systematic, Systematic Review, Systematic Reviews, Web Of Knowledge, Web Of Science</w:t>
      </w:r>
    </w:p>
    <w:p w:rsidR="003474F2" w:rsidRPr="001A3D2B" w:rsidRDefault="003474F2" w:rsidP="003474F2">
      <w:pPr>
        <w:pStyle w:val="1"/>
      </w:pPr>
      <w:r w:rsidRPr="001A3D2B">
        <w:br w:type="page"/>
      </w:r>
      <w:bookmarkStart w:id="328" w:name="_Toc420815059"/>
      <w:r w:rsidRPr="001A3D2B">
        <w:lastRenderedPageBreak/>
        <w:t xml:space="preserve">Title: </w:t>
      </w:r>
      <w:r w:rsidRPr="001A3D2B">
        <w:rPr>
          <w:iCs w:val="0"/>
        </w:rPr>
        <w:t>Cochrane Database</w:t>
      </w:r>
      <w:r w:rsidR="00427468">
        <w:rPr>
          <w:iCs w:val="0"/>
        </w:rPr>
        <w:t xml:space="preserve"> of </w:t>
      </w:r>
      <w:r w:rsidRPr="001A3D2B">
        <w:rPr>
          <w:iCs w:val="0"/>
        </w:rPr>
        <w:t>Systematic Reviews</w:t>
      </w:r>
      <w:bookmarkEnd w:id="328"/>
    </w:p>
    <w:p w:rsidR="000810F3" w:rsidRPr="00C73C58" w:rsidRDefault="000810F3" w:rsidP="000810F3">
      <w:pPr>
        <w:pStyle w:val="12"/>
      </w:pPr>
      <w:r w:rsidRPr="00C73C58">
        <w:t xml:space="preserve">Full Journal Title: </w:t>
      </w:r>
      <w:hyperlink r:id="rId489" w:history="1">
        <w:r w:rsidRPr="00F51C73">
          <w:rPr>
            <w:rStyle w:val="a5"/>
          </w:rPr>
          <w:t>Cochrane Database</w:t>
        </w:r>
        <w:r w:rsidR="00427468">
          <w:rPr>
            <w:rStyle w:val="a5"/>
          </w:rPr>
          <w:t xml:space="preserve"> of </w:t>
        </w:r>
        <w:r w:rsidRPr="00F51C73">
          <w:rPr>
            <w:rStyle w:val="a5"/>
          </w:rPr>
          <w:t>Systematic Reviews</w:t>
        </w:r>
      </w:hyperlink>
    </w:p>
    <w:p w:rsidR="000810F3" w:rsidRDefault="000810F3" w:rsidP="000810F3">
      <w:pPr>
        <w:pStyle w:val="12"/>
      </w:pPr>
      <w:r>
        <w:t>ISO Abbrev. Title: Cochrane Database Syst Rev.</w:t>
      </w:r>
    </w:p>
    <w:p w:rsidR="000810F3" w:rsidRDefault="000810F3" w:rsidP="000810F3">
      <w:pPr>
        <w:pStyle w:val="12"/>
      </w:pPr>
      <w:r>
        <w:t>JCR Abbrev. Title: Cochrane Db Syst Rev</w:t>
      </w:r>
    </w:p>
    <w:p w:rsidR="000810F3" w:rsidRDefault="000810F3" w:rsidP="000810F3">
      <w:pPr>
        <w:pStyle w:val="12"/>
      </w:pPr>
      <w:r>
        <w:t>ISSN: 1469-493X</w:t>
      </w:r>
    </w:p>
    <w:p w:rsidR="000810F3" w:rsidRDefault="000810F3" w:rsidP="000810F3">
      <w:pPr>
        <w:pStyle w:val="12"/>
      </w:pPr>
      <w:r>
        <w:t xml:space="preserve">Issues/Year: </w:t>
      </w:r>
      <w:r>
        <w:rPr>
          <w:rFonts w:hint="eastAsia"/>
        </w:rPr>
        <w:t>0</w:t>
      </w:r>
    </w:p>
    <w:p w:rsidR="000810F3" w:rsidRDefault="000810F3" w:rsidP="000810F3">
      <w:pPr>
        <w:pStyle w:val="12"/>
      </w:pPr>
      <w:r>
        <w:t>Language: English</w:t>
      </w:r>
    </w:p>
    <w:p w:rsidR="000810F3" w:rsidRDefault="000810F3" w:rsidP="000810F3">
      <w:pPr>
        <w:pStyle w:val="12"/>
      </w:pPr>
      <w:r>
        <w:t>Journal Country/Territory: England</w:t>
      </w:r>
    </w:p>
    <w:p w:rsidR="000810F3" w:rsidRDefault="000810F3" w:rsidP="000810F3">
      <w:pPr>
        <w:pStyle w:val="12"/>
      </w:pPr>
      <w:r>
        <w:t>Publisher: John Wiley &amp; Sons Ltd</w:t>
      </w:r>
    </w:p>
    <w:p w:rsidR="000810F3" w:rsidRDefault="000810F3" w:rsidP="000810F3">
      <w:pPr>
        <w:pStyle w:val="12"/>
      </w:pPr>
      <w:r>
        <w:t>Publisher Address:</w:t>
      </w:r>
      <w:r w:rsidR="003A1917">
        <w:t xml:space="preserve"> the </w:t>
      </w:r>
      <w:r>
        <w:t>Atrium, Southern Gate, Chichester PO19 8SQ, W Sussex, England</w:t>
      </w:r>
    </w:p>
    <w:p w:rsidR="000810F3" w:rsidRPr="00C73C58" w:rsidRDefault="000810F3" w:rsidP="000810F3">
      <w:pPr>
        <w:pStyle w:val="12"/>
      </w:pPr>
      <w:r>
        <w:t>Subject Categories:</w:t>
      </w:r>
    </w:p>
    <w:p w:rsidR="000810F3" w:rsidRPr="00C73C58" w:rsidRDefault="000810F3" w:rsidP="000810F3">
      <w:pPr>
        <w:pStyle w:val="12"/>
      </w:pPr>
      <w:r>
        <w:t>Medicine, General &amp; Internal</w:t>
      </w:r>
      <w:r w:rsidRPr="00C73C58">
        <w:t xml:space="preserve">: Impact Factor </w:t>
      </w:r>
      <w:r>
        <w:rPr>
          <w:rFonts w:hint="eastAsia"/>
        </w:rPr>
        <w:t>5.653, 11/132 (2009)</w:t>
      </w:r>
    </w:p>
    <w:p w:rsidR="00365DE4" w:rsidRDefault="00365DE4" w:rsidP="00365DE4">
      <w:pPr>
        <w:pStyle w:val="a3"/>
      </w:pPr>
      <w:r>
        <w:t>? Sailas, E.</w:t>
      </w:r>
      <w:r w:rsidR="005853A9">
        <w:t xml:space="preserve"> and </w:t>
      </w:r>
      <w:r>
        <w:t>Fenton, M. (2000), Seclusion</w:t>
      </w:r>
      <w:r w:rsidR="005853A9">
        <w:t xml:space="preserve"> and </w:t>
      </w:r>
      <w:r>
        <w:t xml:space="preserve">restraint for people with serious mental illnesses. </w:t>
      </w:r>
      <w:r>
        <w:rPr>
          <w:i/>
          <w:iCs/>
        </w:rPr>
        <w:t>Cochrane Database</w:t>
      </w:r>
      <w:r w:rsidR="00427468">
        <w:rPr>
          <w:i/>
          <w:iCs/>
        </w:rPr>
        <w:t xml:space="preserve"> of </w:t>
      </w:r>
      <w:r>
        <w:rPr>
          <w:i/>
          <w:iCs/>
        </w:rPr>
        <w:t>Systematic Reviews</w:t>
      </w:r>
      <w:r>
        <w:t xml:space="preserve">, </w:t>
      </w:r>
      <w:r>
        <w:rPr>
          <w:b/>
          <w:bCs/>
        </w:rPr>
        <w:t>2</w:t>
      </w:r>
      <w:r>
        <w:t>, Article Number: CD001163.</w:t>
      </w:r>
    </w:p>
    <w:p w:rsidR="00365DE4" w:rsidRDefault="00365DE4" w:rsidP="00365DE4">
      <w:pPr>
        <w:pStyle w:val="a3"/>
      </w:pPr>
      <w:r>
        <w:t xml:space="preserve">Full Text: </w:t>
      </w:r>
      <w:hyperlink r:id="rId490" w:history="1">
        <w:r>
          <w:rPr>
            <w:rStyle w:val="a5"/>
          </w:rPr>
          <w:t>2000\Coc Dat Sys Rev2000, CD001163.pdf</w:t>
        </w:r>
      </w:hyperlink>
    </w:p>
    <w:p w:rsidR="00365DE4" w:rsidRDefault="00365DE4" w:rsidP="00365DE4">
      <w:pPr>
        <w:pStyle w:val="a3"/>
      </w:pPr>
      <w:r>
        <w:t>Abstract: BACKGROUND: Seclusion</w:t>
      </w:r>
      <w:r w:rsidR="005853A9">
        <w:t xml:space="preserve"> and </w:t>
      </w:r>
      <w:r>
        <w:t>restraint are interventions used in the treatment</w:t>
      </w:r>
      <w:r w:rsidR="005853A9">
        <w:t xml:space="preserve"> and </w:t>
      </w:r>
      <w:r>
        <w:t>management</w:t>
      </w:r>
      <w:r w:rsidR="00427468">
        <w:t xml:space="preserve"> of </w:t>
      </w:r>
      <w:r>
        <w:t>disruptive</w:t>
      </w:r>
      <w:r w:rsidR="005853A9">
        <w:t xml:space="preserve"> and </w:t>
      </w:r>
      <w:r>
        <w:t>violent behaviours in psychiatry</w:t>
      </w:r>
      <w:r w:rsidR="00A37C1D">
        <w:t>. The</w:t>
      </w:r>
      <w:r>
        <w:t xml:space="preserve"> use</w:t>
      </w:r>
      <w:r w:rsidR="00427468">
        <w:t xml:space="preserve"> of </w:t>
      </w:r>
      <w:r>
        <w:t>seclusion varies widely across institutions</w:t>
      </w:r>
      <w:r w:rsidR="00A37C1D">
        <w:t>. The</w:t>
      </w:r>
      <w:r>
        <w:t xml:space="preserve"> literature does offer numerous suggestions for interventions to reduce or prevent aggression. OBJECTIVES: 1. To estimate the effects</w:t>
      </w:r>
      <w:r w:rsidR="00427468">
        <w:t xml:space="preserve"> of </w:t>
      </w:r>
      <w:r>
        <w:t>seclusion</w:t>
      </w:r>
      <w:r w:rsidR="005853A9">
        <w:t xml:space="preserve"> and </w:t>
      </w:r>
      <w:r>
        <w:t>restraint compared to the alternatives for those with serious mental illnesses. 2. To estimate the effects</w:t>
      </w:r>
      <w:r w:rsidR="00427468">
        <w:t xml:space="preserve"> of </w:t>
      </w:r>
      <w:r>
        <w:t>strategies to prevent seclusion</w:t>
      </w:r>
      <w:r w:rsidR="005853A9">
        <w:t xml:space="preserve"> and </w:t>
      </w:r>
      <w:r>
        <w:t>restraint in those with serious mental illnesses. SEARCH STRATEGY: Electronic searches</w:t>
      </w:r>
      <w:r w:rsidR="00427468">
        <w:t xml:space="preserve"> of </w:t>
      </w:r>
      <w:r>
        <w:t>The Cochrane Controlled Trials Register (Issue 1, 1999)</w:t>
      </w:r>
      <w:r w:rsidR="005853A9">
        <w:t xml:space="preserve"> and </w:t>
      </w:r>
      <w:r>
        <w:t>The Cochrane Schizophrenia Group</w:t>
      </w:r>
      <w:r w:rsidR="0071223E">
        <w:t>’</w:t>
      </w:r>
      <w:r>
        <w:t>s Register (January 1999) were supplemented with additional searches</w:t>
      </w:r>
      <w:r w:rsidR="00427468">
        <w:t xml:space="preserve"> of </w:t>
      </w:r>
      <w:r>
        <w:t xml:space="preserve">Biological Abstracts (1989-1999), CINAHL (1982-1999), EMbase (1980-1999), </w:t>
      </w:r>
      <w:r w:rsidR="00D5664A">
        <w:t>MEDLINE</w:t>
      </w:r>
      <w:r>
        <w:t xml:space="preserve"> (1966-1999), MEDIC (1979-1999), PsycLIT (1974-1999), Sociofile (1974-1999), SPRI &amp; SWEMED (1982-1999), Social Sciences Citation Index (1996-1999),</w:t>
      </w:r>
      <w:r w:rsidR="005853A9">
        <w:t xml:space="preserve"> and </w:t>
      </w:r>
      <w:r>
        <w:t>WILP (1983-1999). In addition, trials were sought by hand searching the reference lists</w:t>
      </w:r>
      <w:r w:rsidR="00427468">
        <w:t xml:space="preserve"> of </w:t>
      </w:r>
      <w:r>
        <w:t>all identified studies</w:t>
      </w:r>
      <w:r w:rsidR="005853A9">
        <w:t xml:space="preserve"> and </w:t>
      </w:r>
      <w:r>
        <w:t>conference abstracts</w:t>
      </w:r>
      <w:r w:rsidR="005853A9">
        <w:t xml:space="preserve"> and </w:t>
      </w:r>
      <w:r>
        <w:t>contacting the first author</w:t>
      </w:r>
      <w:r w:rsidR="00427468">
        <w:t xml:space="preserve"> of </w:t>
      </w:r>
      <w:r>
        <w:t>each relevant study. SELECTION CRITERIA: Randomised controlled trials were included if they focused on the use (i)</w:t>
      </w:r>
      <w:r w:rsidR="00427468">
        <w:t xml:space="preserve"> of </w:t>
      </w:r>
      <w:r>
        <w:t>restraint or seclusion; or (II)</w:t>
      </w:r>
      <w:r w:rsidR="00427468">
        <w:t xml:space="preserve"> of </w:t>
      </w:r>
      <w:r>
        <w:t>strategies designed to reduce the need for restraint or seclusion in the treatment</w:t>
      </w:r>
      <w:r w:rsidR="00427468">
        <w:t xml:space="preserve"> of </w:t>
      </w:r>
      <w:r>
        <w:t>serious mental illness. DATA COLLECTION</w:t>
      </w:r>
      <w:r w:rsidR="005853A9">
        <w:t xml:space="preserve"> and </w:t>
      </w:r>
      <w:r>
        <w:t>ANALYSIS: Studies were reliably selected, quality rated</w:t>
      </w:r>
      <w:r w:rsidR="005853A9">
        <w:t xml:space="preserve"> and </w:t>
      </w:r>
      <w:r>
        <w:t xml:space="preserve">data extracted. For dichotomous data relative risks (RR) with 95% confidence intervals (CI) were </w:t>
      </w:r>
      <w:r>
        <w:lastRenderedPageBreak/>
        <w:t>estimated. Normal continuous data were summated using the weighted mean difference (WMD). MAIN RESULTS: 1. Effect</w:t>
      </w:r>
      <w:r w:rsidR="00427468">
        <w:t xml:space="preserve"> of </w:t>
      </w:r>
      <w:r>
        <w:t>seclusion</w:t>
      </w:r>
      <w:r w:rsidR="005853A9">
        <w:t xml:space="preserve"> and </w:t>
      </w:r>
      <w:r>
        <w:t>restraint The search strategy yielded 2155 citations.</w:t>
      </w:r>
      <w:r w:rsidR="00427468">
        <w:t xml:space="preserve"> of </w:t>
      </w:r>
      <w:r>
        <w:t>these, the full articles for 35 studies were obtained. No studies met minimum inclusion criteria</w:t>
      </w:r>
      <w:r w:rsidR="005853A9">
        <w:t xml:space="preserve"> and </w:t>
      </w:r>
      <w:r>
        <w:t>no data were synthesised. Most</w:t>
      </w:r>
      <w:r w:rsidR="00427468">
        <w:t xml:space="preserve"> of </w:t>
      </w:r>
      <w:r>
        <w:t>the 24 excluded studies focused upon the restraint</w:t>
      </w:r>
      <w:r w:rsidR="00427468">
        <w:t xml:space="preserve"> of </w:t>
      </w:r>
      <w:r>
        <w:t>elderly, confused people</w:t>
      </w:r>
      <w:r w:rsidR="005853A9">
        <w:t xml:space="preserve"> and </w:t>
      </w:r>
      <w:r>
        <w:t>preventing them from wandering or falling. 2. Prevention</w:t>
      </w:r>
      <w:r w:rsidR="00427468">
        <w:t xml:space="preserve"> of </w:t>
      </w:r>
      <w:r>
        <w:t>seclusion</w:t>
      </w:r>
      <w:r w:rsidR="005853A9">
        <w:t xml:space="preserve"> and </w:t>
      </w:r>
      <w:r>
        <w:t>restraint Work ongoing. REVIEWER</w:t>
      </w:r>
      <w:r w:rsidR="0071223E">
        <w:t>’</w:t>
      </w:r>
      <w:r>
        <w:t>S CONCLUSIONS: No controlled studies exist that evaluate the value</w:t>
      </w:r>
      <w:r w:rsidR="00427468">
        <w:t xml:space="preserve"> of </w:t>
      </w:r>
      <w:r>
        <w:t>seclusion or restraint in those with serious mental illness</w:t>
      </w:r>
      <w:r w:rsidR="00A37C1D">
        <w:t>. The</w:t>
      </w:r>
      <w:r>
        <w:t>re are reports</w:t>
      </w:r>
      <w:r w:rsidR="00427468">
        <w:t xml:space="preserve"> of </w:t>
      </w:r>
      <w:r>
        <w:t>serious adverse effects for these techniques in qualitative reviews. Alternative ways</w:t>
      </w:r>
      <w:r w:rsidR="00427468">
        <w:t xml:space="preserve"> of </w:t>
      </w:r>
      <w:r>
        <w:t>dealing with unwanted or harmful behaviours need to be developed. Continuing use</w:t>
      </w:r>
      <w:r w:rsidR="00427468">
        <w:t xml:space="preserve"> of </w:t>
      </w:r>
      <w:r>
        <w:t>seclusion or restraint must therefore be questioned from within well-designed</w:t>
      </w:r>
      <w:r w:rsidR="005853A9">
        <w:t xml:space="preserve"> and </w:t>
      </w:r>
      <w:r>
        <w:t>reported randomised trials that are generalisable to routine practice.</w:t>
      </w:r>
    </w:p>
    <w:p w:rsidR="00365DE4" w:rsidRDefault="00365DE4" w:rsidP="00365DE4">
      <w:pPr>
        <w:pStyle w:val="a3"/>
      </w:pPr>
      <w:r>
        <w:t xml:space="preserve">Keywords: Adverse Effects, Aggression, Alternatives, Background, Citations, Collection, Confidence, Confidence Intervals, Criteria, Data, Data-Collection, Elderly, First, Institutions, Intervals, Interventions, Literature, Management, </w:t>
      </w:r>
      <w:r w:rsidR="00D5664A">
        <w:t>MEDLINE</w:t>
      </w:r>
      <w:r>
        <w:t>, Mental Illness, Minimum, Objectives, Practice, Psychiatry, Qualitative, Quality, Randomised, Reviews, Risks, Search, Search Strategy, Selection, Selection Criteria, Serious Mental Illness, Strategies, Strategy, Techniques, Treatment, Value, Violent</w:t>
      </w:r>
    </w:p>
    <w:p w:rsidR="00365DE4" w:rsidRDefault="00365DE4" w:rsidP="00365DE4">
      <w:pPr>
        <w:pStyle w:val="a3"/>
      </w:pPr>
      <w:r>
        <w:t>? Thompson, R.L., Summerbell, C.D., Hooper, L., Higgins, J.P., Little, P.S., Talbot, D.</w:t>
      </w:r>
      <w:r w:rsidR="005853A9">
        <w:t xml:space="preserve"> and </w:t>
      </w:r>
      <w:r>
        <w:t xml:space="preserve">Ebrahim, S. (2001), Dietary advice given by a dietitian versus other health professional or self-help resources to reduce blood cholesterol. </w:t>
      </w:r>
      <w:r>
        <w:rPr>
          <w:i/>
          <w:iCs/>
        </w:rPr>
        <w:t>Cochrane Database</w:t>
      </w:r>
      <w:r w:rsidR="00427468">
        <w:rPr>
          <w:i/>
          <w:iCs/>
        </w:rPr>
        <w:t xml:space="preserve"> of </w:t>
      </w:r>
      <w:r>
        <w:rPr>
          <w:i/>
          <w:iCs/>
        </w:rPr>
        <w:t>Systematic Reviews</w:t>
      </w:r>
      <w:r>
        <w:t xml:space="preserve">, </w:t>
      </w:r>
      <w:r>
        <w:rPr>
          <w:b/>
          <w:bCs/>
        </w:rPr>
        <w:t>1</w:t>
      </w:r>
      <w:r>
        <w:t>, Article Number: CD001366.</w:t>
      </w:r>
    </w:p>
    <w:p w:rsidR="00365DE4" w:rsidRDefault="00365DE4" w:rsidP="00365DE4">
      <w:pPr>
        <w:pStyle w:val="a3"/>
      </w:pPr>
      <w:r>
        <w:t xml:space="preserve">Full Text: </w:t>
      </w:r>
      <w:hyperlink r:id="rId491" w:history="1">
        <w:r>
          <w:rPr>
            <w:rStyle w:val="a5"/>
          </w:rPr>
          <w:t>2001\Coc Dat Sys Rev2001, CD001366.pdf</w:t>
        </w:r>
      </w:hyperlink>
    </w:p>
    <w:p w:rsidR="00365DE4" w:rsidRDefault="00365DE4" w:rsidP="00365DE4">
      <w:pPr>
        <w:pStyle w:val="a3"/>
      </w:pPr>
      <w:r>
        <w:t>Abstract: BACKGROUND: The average level</w:t>
      </w:r>
      <w:r w:rsidR="00427468">
        <w:t xml:space="preserve"> of </w:t>
      </w:r>
      <w:r>
        <w:t>blood cholesterol is an important determinant</w:t>
      </w:r>
      <w:r w:rsidR="00427468">
        <w:t xml:space="preserve"> of </w:t>
      </w:r>
      <w:r>
        <w:t>the risk</w:t>
      </w:r>
      <w:r w:rsidR="00427468">
        <w:t xml:space="preserve"> of </w:t>
      </w:r>
      <w:r>
        <w:t>coronary heart disease. Blood cholesterol can be reduced by dietary means. Although dietitians are trained to provide dietary advice, for practical reasons it is also given by other health professionals</w:t>
      </w:r>
      <w:r w:rsidR="005853A9">
        <w:t xml:space="preserve"> and </w:t>
      </w:r>
      <w:r>
        <w:t>occasionally through the use</w:t>
      </w:r>
      <w:r w:rsidR="00427468">
        <w:t xml:space="preserve"> of </w:t>
      </w:r>
      <w:r>
        <w:t>self-help resources. OBJECTIVES: To assess the effects</w:t>
      </w:r>
      <w:r w:rsidR="00427468">
        <w:t xml:space="preserve"> of </w:t>
      </w:r>
      <w:r>
        <w:t>dietary advice given by a dietitian compared with another health professional, or the use</w:t>
      </w:r>
      <w:r w:rsidR="00427468">
        <w:t xml:space="preserve"> of </w:t>
      </w:r>
      <w:r>
        <w:t xml:space="preserve">self-help resources, in reducing blood cholesterol in adults. SEARCH STRATEGY: We searched The Cochrane Library (to Issue 2 1999), </w:t>
      </w:r>
      <w:r w:rsidR="00D5664A">
        <w:t>MEDLINE</w:t>
      </w:r>
      <w:r>
        <w:t xml:space="preserve"> (1966 to January 1999), EMBASE (1980 to December 1998), Cinahl (1982 to December 1998), Human Nutrition (1991 to 1998), Science Citation Index, Social Sciences Citation Index, hand searched conference proceedings on nutrition</w:t>
      </w:r>
      <w:r w:rsidR="005853A9">
        <w:t xml:space="preserve"> and </w:t>
      </w:r>
      <w:r>
        <w:t>heart disease,</w:t>
      </w:r>
      <w:r w:rsidR="005853A9">
        <w:t xml:space="preserve"> and </w:t>
      </w:r>
      <w:r>
        <w:t>contacted experts in the field. SELECTION CRITERIA: Randomised trials</w:t>
      </w:r>
      <w:r w:rsidR="00427468">
        <w:t xml:space="preserve"> of </w:t>
      </w:r>
      <w:r>
        <w:t>dietary advice given by a dietitian compared with another health professional or self-help resources</w:t>
      </w:r>
      <w:r w:rsidR="00A37C1D">
        <w:t>. The</w:t>
      </w:r>
      <w:r>
        <w:t xml:space="preserve"> main outcome was difference in blood cholesterol between dietitian </w:t>
      </w:r>
      <w:r>
        <w:lastRenderedPageBreak/>
        <w:t>groups compared with other intervention groups. DATA COLLECTION</w:t>
      </w:r>
      <w:r w:rsidR="005853A9">
        <w:t xml:space="preserve"> and </w:t>
      </w:r>
      <w:r>
        <w:t>ANALYSIS: Two reviewers independently extracted data</w:t>
      </w:r>
      <w:r w:rsidR="005853A9">
        <w:t xml:space="preserve"> and </w:t>
      </w:r>
      <w:r>
        <w:t>assessed study quality. MAIN RESULTS: Eleven studies with 12 comparisons were included, involving 704 people receiving advice from dietitians, 486 from other health professionals</w:t>
      </w:r>
      <w:r w:rsidR="005853A9">
        <w:t xml:space="preserve"> and </w:t>
      </w:r>
      <w:r>
        <w:t>551 people using self-help leaflets. Four studies compared dietitian with doctor, seven with self-help resources,</w:t>
      </w:r>
      <w:r w:rsidR="005853A9">
        <w:t xml:space="preserve"> and </w:t>
      </w:r>
      <w:r>
        <w:t>one compared dietitian with nurse. Participants receiving advice from dietitians experienced a greater reduction in blood cholesterol than those receiving advice only from doctors (-0.25 mmol/L (95% CI -0.37, -0.12 mmol/L))</w:t>
      </w:r>
      <w:r w:rsidR="00A37C1D">
        <w:t>. The</w:t>
      </w:r>
      <w:r>
        <w:t>re was no statistically significant difference in change in blood cholesterol between dietitians</w:t>
      </w:r>
      <w:r w:rsidR="005853A9">
        <w:t xml:space="preserve"> and </w:t>
      </w:r>
      <w:r>
        <w:t>self-help resources (-0.10 mmol/L (95% CI -0.22, 0.03 mmol/L)). No statistically significant differences were detected for secondary outcome measures between any</w:t>
      </w:r>
      <w:r w:rsidR="00427468">
        <w:t xml:space="preserve"> of </w:t>
      </w:r>
      <w:r>
        <w:t>the comparisons with the exception</w:t>
      </w:r>
      <w:r w:rsidR="00427468">
        <w:t xml:space="preserve"> of </w:t>
      </w:r>
      <w:r>
        <w:t>dietitian versus nurse for HDLc, where the dietitian groups showed a greater reduction (-0.06 mmol/L (95% CI -0.11, -0.01)). No significant heterogeneity between the studies was detected. REVIEWER</w:t>
      </w:r>
      <w:r w:rsidR="0071223E">
        <w:t>’</w:t>
      </w:r>
      <w:r>
        <w:t>S CONCLUSIONS: Dietitians were better than doctors at lowering blood cholesterol in the short to medium term, but there was no evidence that they were better than self-help resources</w:t>
      </w:r>
      <w:r w:rsidR="00A37C1D">
        <w:t>. The</w:t>
      </w:r>
      <w:r>
        <w:t xml:space="preserve"> results should be interpreted with caution as the studies were not</w:t>
      </w:r>
      <w:r w:rsidR="00427468">
        <w:t xml:space="preserve"> of </w:t>
      </w:r>
      <w:r>
        <w:t>good quality</w:t>
      </w:r>
      <w:r w:rsidR="005853A9">
        <w:t xml:space="preserve"> and </w:t>
      </w:r>
      <w:r>
        <w:t>the analysis was based on a limited number</w:t>
      </w:r>
      <w:r w:rsidR="00427468">
        <w:t xml:space="preserve"> of </w:t>
      </w:r>
      <w:r>
        <w:t>trials. More evidence is required to assess whether change can be maintained in the longer term</w:t>
      </w:r>
      <w:r w:rsidR="00A37C1D">
        <w:t>. The</w:t>
      </w:r>
      <w:r>
        <w:t>re was no evidence that dietitians provided better outcomes than nurses.</w:t>
      </w:r>
    </w:p>
    <w:p w:rsidR="00365DE4" w:rsidRDefault="00365DE4" w:rsidP="00365DE4">
      <w:pPr>
        <w:pStyle w:val="a3"/>
      </w:pPr>
      <w:r>
        <w:t xml:space="preserve">Keywords: Analysis, Background, Blood, Cholesterol, Collection, Criteria, Data, Data-Collection, Dietary Advice, Disease, Doctors, Evidence, Experts, Field, Health, Health Professionals, Heart, Heterogeneity, Intervention, </w:t>
      </w:r>
      <w:r w:rsidR="00D5664A">
        <w:t>MEDLINE</w:t>
      </w:r>
      <w:r>
        <w:t>, Nurses, Nutrition, Objectives, Outcome, Outcome Measures, Outcomes, Quality, Reduction, Risk, Science Citation Index, Search, Selection, Selection Criteria, Strategies, Strategy, Term</w:t>
      </w:r>
    </w:p>
    <w:p w:rsidR="00365DE4" w:rsidRDefault="00365DE4" w:rsidP="00365DE4">
      <w:pPr>
        <w:pStyle w:val="a3"/>
      </w:pPr>
      <w:r>
        <w:t>? White, A.R., Rampes, H.</w:t>
      </w:r>
      <w:r w:rsidR="005853A9">
        <w:t xml:space="preserve"> and </w:t>
      </w:r>
      <w:r>
        <w:t xml:space="preserve">Ernst, E. (2002), Acupuncture for smoking cessation. </w:t>
      </w:r>
      <w:r>
        <w:rPr>
          <w:i/>
          <w:iCs/>
        </w:rPr>
        <w:t>Cochrane Database</w:t>
      </w:r>
      <w:r w:rsidR="00427468">
        <w:rPr>
          <w:i/>
          <w:iCs/>
        </w:rPr>
        <w:t xml:space="preserve"> of </w:t>
      </w:r>
      <w:r>
        <w:rPr>
          <w:i/>
          <w:iCs/>
        </w:rPr>
        <w:t>Systematic Reviews</w:t>
      </w:r>
      <w:r>
        <w:t xml:space="preserve">, </w:t>
      </w:r>
      <w:r>
        <w:rPr>
          <w:b/>
          <w:bCs/>
        </w:rPr>
        <w:t>2</w:t>
      </w:r>
      <w:r>
        <w:t>, Article Number: CD000009.</w:t>
      </w:r>
    </w:p>
    <w:p w:rsidR="00365DE4" w:rsidRDefault="00365DE4" w:rsidP="00365DE4">
      <w:pPr>
        <w:pStyle w:val="a3"/>
      </w:pPr>
      <w:r>
        <w:t xml:space="preserve">Full Text: </w:t>
      </w:r>
      <w:hyperlink r:id="rId492" w:history="1">
        <w:r>
          <w:rPr>
            <w:rStyle w:val="a5"/>
          </w:rPr>
          <w:t>2002\Coc Dat Sys Rev2002, CD000009.pdf</w:t>
        </w:r>
      </w:hyperlink>
    </w:p>
    <w:p w:rsidR="00365DE4" w:rsidRDefault="00365DE4" w:rsidP="00365DE4">
      <w:pPr>
        <w:pStyle w:val="a3"/>
      </w:pPr>
      <w:r>
        <w:t>Abstract: BACKGROUND: Acupuncture</w:t>
      </w:r>
      <w:r w:rsidR="005853A9">
        <w:t xml:space="preserve"> and </w:t>
      </w:r>
      <w:r>
        <w:t>related techniques are promoted as a treatment for smoking cessation in the belief that they may reduce nicotine withdrawal symptoms. OBJECTIVES: The objective</w:t>
      </w:r>
      <w:r w:rsidR="00427468">
        <w:t xml:space="preserve"> of </w:t>
      </w:r>
      <w:r>
        <w:t>this review is to determine the effectiveness</w:t>
      </w:r>
      <w:r w:rsidR="00427468">
        <w:t xml:space="preserve"> of </w:t>
      </w:r>
      <w:r>
        <w:t>acupuncture</w:t>
      </w:r>
      <w:r w:rsidR="005853A9">
        <w:t xml:space="preserve"> and </w:t>
      </w:r>
      <w:r>
        <w:t>the allied therapies</w:t>
      </w:r>
      <w:r w:rsidR="00427468">
        <w:t xml:space="preserve"> of </w:t>
      </w:r>
      <w:r>
        <w:t>acupressure, laser therapy</w:t>
      </w:r>
      <w:r w:rsidR="005853A9">
        <w:t xml:space="preserve"> and </w:t>
      </w:r>
      <w:r>
        <w:t xml:space="preserve">electrostimulation, in smoking cessation in comparison with: a) sham treatment, b) other interventions, or c) no intervention. SEARCH STRATEGY: We searched the Cochrane Tobacco Addiction Group trials register, Cochrane Controlled Trials Register, </w:t>
      </w:r>
      <w:r w:rsidR="00D5664A">
        <w:t>MEDLINE</w:t>
      </w:r>
      <w:r>
        <w:t>, Embase, BIOSIS Previews, PsycINFO, Science</w:t>
      </w:r>
      <w:r w:rsidR="005853A9">
        <w:t xml:space="preserve"> and </w:t>
      </w:r>
      <w:r>
        <w:t>Social Sciences Citation Index, AMED</w:t>
      </w:r>
      <w:r w:rsidR="005853A9">
        <w:t xml:space="preserve"> and </w:t>
      </w:r>
      <w:r>
        <w:t>CISCOM. Date</w:t>
      </w:r>
      <w:r w:rsidR="00427468">
        <w:t xml:space="preserve"> of </w:t>
      </w:r>
      <w:r>
        <w:t xml:space="preserve">last search January 2002. </w:t>
      </w:r>
      <w:r>
        <w:lastRenderedPageBreak/>
        <w:t>SELECTION CRITERIA: Randomised trials comparing a form</w:t>
      </w:r>
      <w:r w:rsidR="00427468">
        <w:t xml:space="preserve"> of </w:t>
      </w:r>
      <w:r>
        <w:t>acupuncture, acupressure, laser therapy or electrostimulation with either sham treatment, another intervention or no intervention for smoking cessation. DATA COLLECTION</w:t>
      </w:r>
      <w:r w:rsidR="005853A9">
        <w:t xml:space="preserve"> and </w:t>
      </w:r>
      <w:r>
        <w:t>ANALYSIS: We extracted data in duplicate on the type</w:t>
      </w:r>
      <w:r w:rsidR="00427468">
        <w:t xml:space="preserve"> of </w:t>
      </w:r>
      <w:r>
        <w:t>smokers recruited, the nature</w:t>
      </w:r>
      <w:r w:rsidR="00427468">
        <w:t xml:space="preserve"> of </w:t>
      </w:r>
      <w:r>
        <w:t>the acupuncture</w:t>
      </w:r>
      <w:r w:rsidR="005853A9">
        <w:t xml:space="preserve"> and </w:t>
      </w:r>
      <w:r>
        <w:t>control procedures, the outcome measures, method</w:t>
      </w:r>
      <w:r w:rsidR="00427468">
        <w:t xml:space="preserve"> of </w:t>
      </w:r>
      <w:r>
        <w:t>randomisation,</w:t>
      </w:r>
      <w:r w:rsidR="005853A9">
        <w:t xml:space="preserve"> and </w:t>
      </w:r>
      <w:r>
        <w:t>completeness</w:t>
      </w:r>
      <w:r w:rsidR="00427468">
        <w:t xml:space="preserve"> of </w:t>
      </w:r>
      <w:r>
        <w:t>follow-up. We assessed abstinence from smoking at the earliest time-point (before 6 weeks), at six months</w:t>
      </w:r>
      <w:r w:rsidR="005853A9">
        <w:t xml:space="preserve"> and </w:t>
      </w:r>
      <w:r>
        <w:t>at one year or more follow-up in patients smoking at baseline. We used the most rigorous definition</w:t>
      </w:r>
      <w:r w:rsidR="00427468">
        <w:t xml:space="preserve"> of </w:t>
      </w:r>
      <w:r>
        <w:t>abstinence for each trial,</w:t>
      </w:r>
      <w:r w:rsidR="005853A9">
        <w:t xml:space="preserve"> and </w:t>
      </w:r>
      <w:r>
        <w:t>biochemically validated rates if available. Those lost to follow-up were counted as continuing to smoke. Where appropriate, we performed meta-analysis using a fixed effects model. MAIN RESULTS: We identified 22 studies. Acupuncture was not superior to sham acupuncture in smoking cessation at any time point</w:t>
      </w:r>
      <w:r w:rsidR="00A37C1D">
        <w:t>. The</w:t>
      </w:r>
      <w:r>
        <w:t xml:space="preserve"> odds ratio (OR) for early outcomes was 1.22 (95% confidence interval 0.99 to 1.49); the OR after 6 months was 1.50 (95% confidence interval 0.99 to 2.27)</w:t>
      </w:r>
      <w:r w:rsidR="005853A9">
        <w:t xml:space="preserve"> and </w:t>
      </w:r>
      <w:r>
        <w:t>after 12 months 1.08 (95% confidence interval 0.77 to 1.52). Similarly, when acupuncture was compared with other anti-smoking interventions, there were no differences in outcome at any time point. Acupuncture appeared to be superior to no intervention in the early results, but this difference was not sustained</w:t>
      </w:r>
      <w:r w:rsidR="00A37C1D">
        <w:t>. The</w:t>
      </w:r>
      <w:r>
        <w:t xml:space="preserve"> results with different acupuncture techniques do not show any one particular method (i.e. auricular acupuncture or non-auricular acupuncture) to be superior to control intervention. Based on the results</w:t>
      </w:r>
      <w:r w:rsidR="00427468">
        <w:t xml:space="preserve"> of </w:t>
      </w:r>
      <w:r>
        <w:t>single studies, acupressure was found to be superior to advice; laser therapy</w:t>
      </w:r>
      <w:r w:rsidR="005853A9">
        <w:t xml:space="preserve"> and </w:t>
      </w:r>
      <w:r>
        <w:t>electrostimulation were not superior to sham forms</w:t>
      </w:r>
      <w:r w:rsidR="00427468">
        <w:t xml:space="preserve"> of </w:t>
      </w:r>
      <w:r>
        <w:t>these therapies. REVIEWER</w:t>
      </w:r>
      <w:r w:rsidR="0071223E">
        <w:t>’</w:t>
      </w:r>
      <w:r>
        <w:t>S CONCLUSIONS: There is no clear evidence that acupuncture, acupressure, laser therapy or electrostimulation are effective for smoking cessation.</w:t>
      </w:r>
    </w:p>
    <w:p w:rsidR="00365DE4" w:rsidRDefault="00365DE4" w:rsidP="00365DE4">
      <w:pPr>
        <w:pStyle w:val="a3"/>
      </w:pPr>
      <w:r>
        <w:t>Keywords: Acupuncture, Background, Collection, Comparison, Confidence, Control, Criteria, Data, Data-Collection, Effectiveness, Evidence, Fixed Effects Model, Follow-Up, Interval, Intervention, Interventions, Laser, Meta-Analysis, Metaanalysis, Model, Objectives, Odds Ratio, Outcome, Outcome Measures, Outcomes, Patients, Procedures, Psycinfo, Randomisation, Rates, Review, Search, Selection, Selection Criteria, Sham Acupuncture, Smoking, Strategies, Strategy, Symptoms, Techniques, Therapy, Treatment, Trial</w:t>
      </w:r>
    </w:p>
    <w:p w:rsidR="00365DE4" w:rsidRDefault="00365DE4" w:rsidP="00365DE4">
      <w:pPr>
        <w:pStyle w:val="a3"/>
      </w:pPr>
      <w:r>
        <w:t>? Eccleston, C., Yorke, L., Morley, S., Williams, A.C.</w:t>
      </w:r>
      <w:r w:rsidR="005853A9">
        <w:t xml:space="preserve"> and </w:t>
      </w:r>
      <w:r>
        <w:t>Mastroyannopoulou, K. (2003), Psychological therapies for the management</w:t>
      </w:r>
      <w:r w:rsidR="00427468">
        <w:t xml:space="preserve"> of </w:t>
      </w:r>
      <w:r>
        <w:t>chronic</w:t>
      </w:r>
      <w:r w:rsidR="005853A9">
        <w:t xml:space="preserve"> and </w:t>
      </w:r>
      <w:r>
        <w:t>recurrent pain in children</w:t>
      </w:r>
      <w:r w:rsidR="005853A9">
        <w:t xml:space="preserve"> and </w:t>
      </w:r>
      <w:r>
        <w:t xml:space="preserve">adolescents. </w:t>
      </w:r>
      <w:r>
        <w:rPr>
          <w:i/>
          <w:iCs/>
        </w:rPr>
        <w:t>Cochrane Database</w:t>
      </w:r>
      <w:r w:rsidR="00427468">
        <w:rPr>
          <w:i/>
          <w:iCs/>
        </w:rPr>
        <w:t xml:space="preserve"> of </w:t>
      </w:r>
      <w:r>
        <w:rPr>
          <w:i/>
          <w:iCs/>
        </w:rPr>
        <w:t>Systematic Reviews</w:t>
      </w:r>
      <w:r>
        <w:t xml:space="preserve">, </w:t>
      </w:r>
      <w:r>
        <w:rPr>
          <w:b/>
          <w:bCs/>
        </w:rPr>
        <w:t>1</w:t>
      </w:r>
      <w:r>
        <w:t>, Article Number: CD003968.</w:t>
      </w:r>
    </w:p>
    <w:p w:rsidR="00365DE4" w:rsidRDefault="00365DE4" w:rsidP="00365DE4">
      <w:pPr>
        <w:pStyle w:val="a3"/>
      </w:pPr>
      <w:r>
        <w:t xml:space="preserve">Full Text: </w:t>
      </w:r>
      <w:hyperlink r:id="rId493" w:history="1">
        <w:r>
          <w:rPr>
            <w:rStyle w:val="a5"/>
          </w:rPr>
          <w:t>2003\Coc Dat Sys Rev2003, CD003968.pdf</w:t>
        </w:r>
      </w:hyperlink>
    </w:p>
    <w:p w:rsidR="00365DE4" w:rsidRDefault="00365DE4" w:rsidP="00365DE4">
      <w:pPr>
        <w:pStyle w:val="a3"/>
      </w:pPr>
      <w:r>
        <w:t>Abstract: BACKGROUND: An increasing number</w:t>
      </w:r>
      <w:r w:rsidR="00427468">
        <w:t xml:space="preserve"> of </w:t>
      </w:r>
      <w:r>
        <w:t xml:space="preserve">children suffer with pain that lasts for six months or longer. Traditional treatment for such pain has been </w:t>
      </w:r>
      <w:r>
        <w:lastRenderedPageBreak/>
        <w:t>pharmacological and/or physical. Increasingly, following developments in the field</w:t>
      </w:r>
      <w:r w:rsidR="00427468">
        <w:t xml:space="preserve"> of </w:t>
      </w:r>
      <w:r>
        <w:t>adult chronic pain management, psychological therapies are being employed to treat children with chronic or recurrent pain. OBJECTIVES: To assess the effectiveness</w:t>
      </w:r>
      <w:r w:rsidR="00427468">
        <w:t xml:space="preserve"> of </w:t>
      </w:r>
      <w:r>
        <w:t>psychological therapies in treating chronic or recurrent pain in children</w:t>
      </w:r>
      <w:r w:rsidR="005853A9">
        <w:t xml:space="preserve"> and </w:t>
      </w:r>
      <w:r>
        <w:t>adolescents,</w:t>
      </w:r>
      <w:r w:rsidR="005853A9">
        <w:t xml:space="preserve"> and </w:t>
      </w:r>
      <w:r>
        <w:t>to test the null hypothesis that psychological therapies are no more effective than placebo, waiting list control or standard medical care. SEARCH STRATEGY: Electronic searches</w:t>
      </w:r>
      <w:r w:rsidR="00427468">
        <w:t xml:space="preserve"> of </w:t>
      </w:r>
      <w:r>
        <w:t>the Cochrane Register</w:t>
      </w:r>
      <w:r w:rsidR="00427468">
        <w:t xml:space="preserve"> of </w:t>
      </w:r>
      <w:r>
        <w:t xml:space="preserve">Randomised Controlled Trials, </w:t>
      </w:r>
      <w:r w:rsidR="00D5664A">
        <w:t>MEDLINE</w:t>
      </w:r>
      <w:r>
        <w:t xml:space="preserve"> (1966-1999), Social Sciences Citation Index (1981-1999)</w:t>
      </w:r>
      <w:r w:rsidR="005853A9">
        <w:t xml:space="preserve"> and </w:t>
      </w:r>
      <w:r>
        <w:t>PsycLit (1974-1999) were made. RCTs were also sought in references</w:t>
      </w:r>
      <w:r w:rsidR="00427468">
        <w:t xml:space="preserve"> of </w:t>
      </w:r>
      <w:r>
        <w:t>all identified studies, meta-analyses</w:t>
      </w:r>
      <w:r w:rsidR="005853A9">
        <w:t xml:space="preserve"> and </w:t>
      </w:r>
      <w:r>
        <w:t>reviews,</w:t>
      </w:r>
      <w:r w:rsidR="005853A9">
        <w:t xml:space="preserve"> and </w:t>
      </w:r>
      <w:r>
        <w:t>first authors</w:t>
      </w:r>
      <w:r w:rsidR="005853A9">
        <w:t xml:space="preserve"> and </w:t>
      </w:r>
      <w:r>
        <w:t>experts within the field were contacted. Date</w:t>
      </w:r>
      <w:r w:rsidR="00427468">
        <w:t xml:space="preserve"> of </w:t>
      </w:r>
      <w:r>
        <w:t>the most recent search: December 1999. SELECTION CRITERIA: RCTs with at least five participants in each study arm which compared psychological therapies with placebo, waiting list or standard medical care for children or adolescents with chronic or recurrent pain were eligible for inclusion. DATA COLLECTION</w:t>
      </w:r>
      <w:r w:rsidR="005853A9">
        <w:t xml:space="preserve"> and </w:t>
      </w:r>
      <w:r>
        <w:t>ANALYSIS: Data were inspected for heterogeneity. For homogeneous dichotomous data the odds ratio with 95% confidence interval were calculated on an intention to treat basis. MAIN RESULTS: Thirty papers were recovered, representing 28 RCTs.</w:t>
      </w:r>
      <w:r w:rsidR="00427468">
        <w:t xml:space="preserve"> of </w:t>
      </w:r>
      <w:r>
        <w:t>these, 18 were analysable</w:t>
      </w:r>
      <w:r w:rsidR="005853A9">
        <w:t xml:space="preserve"> and </w:t>
      </w:r>
      <w:r>
        <w:t>included a total</w:t>
      </w:r>
      <w:r w:rsidR="00427468">
        <w:t xml:space="preserve"> of </w:t>
      </w:r>
      <w:r>
        <w:t>808 patients, 438</w:t>
      </w:r>
      <w:r w:rsidR="00427468">
        <w:t xml:space="preserve"> of </w:t>
      </w:r>
      <w:r>
        <w:t>whom entered treatment conditions. Fifteen were trials</w:t>
      </w:r>
      <w:r w:rsidR="00427468">
        <w:t xml:space="preserve"> of </w:t>
      </w:r>
      <w:r>
        <w:t>chronic or recurrent headache; two for recurrent abdominal pain;</w:t>
      </w:r>
      <w:r w:rsidR="005853A9">
        <w:t xml:space="preserve"> and </w:t>
      </w:r>
      <w:r>
        <w:t>one for sickle cell pain. Only pain experience data from 13 trials were meta-analysable. Two meta-analyses were conducted</w:t>
      </w:r>
      <w:r w:rsidR="00A37C1D">
        <w:t>. The</w:t>
      </w:r>
      <w:r>
        <w:t xml:space="preserve"> first analysis</w:t>
      </w:r>
      <w:r w:rsidR="00427468">
        <w:t xml:space="preserve"> of </w:t>
      </w:r>
      <w:r>
        <w:t>single treatments versus controls gave a pooled odds ratio</w:t>
      </w:r>
      <w:r w:rsidR="00427468">
        <w:t xml:space="preserve"> of </w:t>
      </w:r>
      <w:r>
        <w:t>8.83 (95% CI 4.33 to 18.03; z=5.98, P &lt; 0.00001, df = 12)</w:t>
      </w:r>
      <w:r w:rsidR="00A37C1D">
        <w:t>. The</w:t>
      </w:r>
      <w:r>
        <w:t xml:space="preserve"> second analysis (combined treatment versus control) produced a similar estimate: pooled odds ratio = 8.64 (95% CI = 4.13 to 18.07; z-5.73, P &lt; 0.00001, df = 9). Both analyses indicate that psychological treatment is effective when compared with a pooled group</w:t>
      </w:r>
      <w:r w:rsidR="00427468">
        <w:t xml:space="preserve"> of </w:t>
      </w:r>
      <w:r>
        <w:t>control conditions. From the pooled data set the NNT was 2.32 (95%CI 1.96 to 2.88). REVIEWER</w:t>
      </w:r>
      <w:r w:rsidR="0071223E">
        <w:t>’</w:t>
      </w:r>
      <w:r>
        <w:t>S CONCLUSIONS: There is very good evidence that psychological treatments, principally relaxation</w:t>
      </w:r>
      <w:r w:rsidR="005853A9">
        <w:t xml:space="preserve"> and </w:t>
      </w:r>
      <w:r>
        <w:t>cognitive behavioural therapy, are effective in reducing the severity</w:t>
      </w:r>
      <w:r w:rsidR="005853A9">
        <w:t xml:space="preserve"> and </w:t>
      </w:r>
      <w:r>
        <w:t>frequency</w:t>
      </w:r>
      <w:r w:rsidR="00427468">
        <w:t xml:space="preserve"> of </w:t>
      </w:r>
      <w:r>
        <w:t>chronic headache in children</w:t>
      </w:r>
      <w:r w:rsidR="005853A9">
        <w:t xml:space="preserve"> and </w:t>
      </w:r>
      <w:r>
        <w:t>adolescents</w:t>
      </w:r>
      <w:r w:rsidR="00A37C1D">
        <w:t>. The</w:t>
      </w:r>
      <w:r>
        <w:t>re is at present no evidence for the effectiveness</w:t>
      </w:r>
      <w:r w:rsidR="00427468">
        <w:t xml:space="preserve"> of </w:t>
      </w:r>
      <w:r>
        <w:t>psychological therapies in attenuating pain in conditions other than headache,</w:t>
      </w:r>
      <w:r w:rsidR="005853A9">
        <w:t xml:space="preserve"> and </w:t>
      </w:r>
      <w:r>
        <w:t>little evidence for the effectiveness</w:t>
      </w:r>
      <w:r w:rsidR="00427468">
        <w:t xml:space="preserve"> of </w:t>
      </w:r>
      <w:r>
        <w:t>psychological therapies in improving non-pain outcomes.</w:t>
      </w:r>
    </w:p>
    <w:p w:rsidR="00365DE4" w:rsidRDefault="00365DE4" w:rsidP="00365DE4">
      <w:pPr>
        <w:pStyle w:val="a3"/>
      </w:pPr>
      <w:r>
        <w:t xml:space="preserve">Keywords: Abdominal, Adolescents, Adult, Analyses, Analysis, Background, Care, Children, Chronic, Chronic Pain, Collection, Confidence, Control, Criteria, Data, Data-Collection, Effectiveness, Evidence, Experience, Experts, Field, First, Heterogeneity, Interval, Management, Medical, Medical Care, </w:t>
      </w:r>
      <w:r w:rsidR="00D5664A">
        <w:t>MEDLINE</w:t>
      </w:r>
      <w:r>
        <w:t xml:space="preserve">, Objectives, Odds Ratio, Outcomes, P, Pain, Pain Management, Papers, Patients, </w:t>
      </w:r>
      <w:r>
        <w:lastRenderedPageBreak/>
        <w:t>Physical, Placebo, Psychological Treatment, Recurrent, Relaxation, Reviews, Search, Selection, Selection Criteria, Standard, Strategies, Strategy, Therapy, Treatment</w:t>
      </w:r>
    </w:p>
    <w:p w:rsidR="00365DE4" w:rsidRDefault="00365DE4" w:rsidP="00365DE4">
      <w:pPr>
        <w:pStyle w:val="a3"/>
      </w:pPr>
      <w:r>
        <w:t>? Colquitt, J., Clegg, A., Sidhu, M.</w:t>
      </w:r>
      <w:r w:rsidR="005853A9">
        <w:t xml:space="preserve"> and </w:t>
      </w:r>
      <w:r>
        <w:t xml:space="preserve">Royle, P. (2003), Surgery for morbid obesity. </w:t>
      </w:r>
      <w:r>
        <w:rPr>
          <w:i/>
          <w:iCs/>
        </w:rPr>
        <w:t>Cochrane Database</w:t>
      </w:r>
      <w:r w:rsidR="00427468">
        <w:rPr>
          <w:i/>
          <w:iCs/>
        </w:rPr>
        <w:t xml:space="preserve"> of </w:t>
      </w:r>
      <w:r>
        <w:rPr>
          <w:i/>
          <w:iCs/>
        </w:rPr>
        <w:t>Systematic Reviews</w:t>
      </w:r>
      <w:r>
        <w:t xml:space="preserve">, </w:t>
      </w:r>
      <w:r>
        <w:rPr>
          <w:b/>
          <w:bCs/>
        </w:rPr>
        <w:t>2</w:t>
      </w:r>
      <w:r>
        <w:t>, Article Number: CD003641.</w:t>
      </w:r>
    </w:p>
    <w:p w:rsidR="00365DE4" w:rsidRDefault="00365DE4" w:rsidP="00365DE4">
      <w:pPr>
        <w:pStyle w:val="a3"/>
      </w:pPr>
      <w:r>
        <w:t xml:space="preserve">Full Text: </w:t>
      </w:r>
      <w:hyperlink r:id="rId494" w:history="1">
        <w:r>
          <w:rPr>
            <w:rStyle w:val="a5"/>
          </w:rPr>
          <w:t>2003\Coc Dat Sys Rev2003, CD003641.pdf</w:t>
        </w:r>
      </w:hyperlink>
    </w:p>
    <w:p w:rsidR="00365DE4" w:rsidRDefault="00365DE4" w:rsidP="00365DE4">
      <w:pPr>
        <w:pStyle w:val="a3"/>
      </w:pPr>
      <w:r>
        <w:t>Abstract: BACKGROUND: Obesity is associated with increased morbidity</w:t>
      </w:r>
      <w:r w:rsidR="005853A9">
        <w:t xml:space="preserve"> and </w:t>
      </w:r>
      <w:r>
        <w:t>mortality. Surgery for morbid obesity may be considered when other conventional measures have failed,</w:t>
      </w:r>
      <w:r w:rsidR="005853A9">
        <w:t xml:space="preserve"> and </w:t>
      </w:r>
      <w:r>
        <w:t>a number</w:t>
      </w:r>
      <w:r w:rsidR="00427468">
        <w:t xml:space="preserve"> of </w:t>
      </w:r>
      <w:r>
        <w:t>procedures are available. However, the effects</w:t>
      </w:r>
      <w:r w:rsidR="00427468">
        <w:t xml:space="preserve"> of </w:t>
      </w:r>
      <w:r>
        <w:t>these surgical procedures compared with medical management</w:t>
      </w:r>
      <w:r w:rsidR="005853A9">
        <w:t xml:space="preserve"> and </w:t>
      </w:r>
      <w:r>
        <w:t>with each other are uncertain. OBJECTIVES: To assess the effects</w:t>
      </w:r>
      <w:r w:rsidR="00427468">
        <w:t xml:space="preserve"> of </w:t>
      </w:r>
      <w:r>
        <w:t>surgery for morbid obesity on weight, comorbidities</w:t>
      </w:r>
      <w:r w:rsidR="005853A9">
        <w:t xml:space="preserve"> and </w:t>
      </w:r>
      <w:r>
        <w:t>quality</w:t>
      </w:r>
      <w:r w:rsidR="00427468">
        <w:t xml:space="preserve"> of </w:t>
      </w:r>
      <w:r>
        <w:t xml:space="preserve">life. SEARCH STRATEGY: We searched the Cochrane Controlled Trials Register (issue 4, 2001), </w:t>
      </w:r>
      <w:r w:rsidR="00D5664A">
        <w:t>MEDLINE</w:t>
      </w:r>
      <w:r>
        <w:t xml:space="preserve"> (SilverPlatter) up to 2001, PUBMED (Internet) 01/01/01-19/10/01, Embase (SilverPlatter) up to 09/2001, PsychINFO up to 10/2001, CINAHL (SilverPlatter) up to 07/2001, Science</w:t>
      </w:r>
      <w:r w:rsidR="005853A9">
        <w:t xml:space="preserve"> and </w:t>
      </w:r>
      <w:r>
        <w:t xml:space="preserve">Social Sciences Citation Index up to 10/12001, British Nursing Index up to 07/2001, </w:t>
      </w:r>
      <w:r w:rsidR="00D5664A">
        <w:t>Web</w:t>
      </w:r>
      <w:r w:rsidR="00427468">
        <w:t xml:space="preserve"> of </w:t>
      </w:r>
      <w:r w:rsidR="00D5664A">
        <w:t>Science</w:t>
      </w:r>
      <w:r>
        <w:t xml:space="preserve"> Proceedings up to 06/2001, BIOSIS up to10/2001, AMED up to 07/2001, National Research Register (issue 2, 2001), reference lists</w:t>
      </w:r>
      <w:r w:rsidR="00427468">
        <w:t xml:space="preserve"> of </w:t>
      </w:r>
      <w:r>
        <w:t>relevant articles,</w:t>
      </w:r>
      <w:r w:rsidR="005853A9">
        <w:t xml:space="preserve"> and </w:t>
      </w:r>
      <w:r>
        <w:t>handsearched relevant journals. We also contacted experts in the field. Date</w:t>
      </w:r>
      <w:r w:rsidR="00427468">
        <w:t xml:space="preserve"> of </w:t>
      </w:r>
      <w:r>
        <w:t>the most recent searches: October 2001. SELECTION CRITERIA: Randomised controlled trials comparing different surgical procedures,</w:t>
      </w:r>
      <w:r w:rsidR="005853A9">
        <w:t xml:space="preserve"> and </w:t>
      </w:r>
      <w:r>
        <w:t>randomised controlled trials</w:t>
      </w:r>
      <w:r w:rsidR="005853A9">
        <w:t xml:space="preserve"> and </w:t>
      </w:r>
      <w:r>
        <w:t>non-randomised controlled trials comparing surgery with non-surgical management for morbid obesity. DATA COLLECTION</w:t>
      </w:r>
      <w:r w:rsidR="005853A9">
        <w:t xml:space="preserve"> and </w:t>
      </w:r>
      <w:r>
        <w:t>ANALYSIS: Data were extracted by one reviewer</w:t>
      </w:r>
      <w:r w:rsidR="005853A9">
        <w:t xml:space="preserve"> and </w:t>
      </w:r>
      <w:r>
        <w:t>checked independently by two reviewers. Two reviewers independently assessed trial quality. MAIN RESULTS: 18 trials involving 1891 people were included. One randomised controlled trial</w:t>
      </w:r>
      <w:r w:rsidR="005853A9">
        <w:t xml:space="preserve"> and </w:t>
      </w:r>
      <w:r>
        <w:t>one non-randomised controlled trial compared surgery with non-surgical management,</w:t>
      </w:r>
      <w:r w:rsidR="005853A9">
        <w:t xml:space="preserve"> and </w:t>
      </w:r>
      <w:r>
        <w:t>11 randomised controlled trials compared different surgical procedures</w:t>
      </w:r>
      <w:r w:rsidR="00A37C1D">
        <w:t>. The</w:t>
      </w:r>
      <w:r>
        <w:t xml:space="preserve"> overall quality</w:t>
      </w:r>
      <w:r w:rsidR="00427468">
        <w:t xml:space="preserve"> of </w:t>
      </w:r>
      <w:r>
        <w:t>the trials was variable, with just one trial having adequate allocation concealment. A meta-analysis was not possible due to differences in the surgical procedures performed, measures</w:t>
      </w:r>
      <w:r w:rsidR="00427468">
        <w:t xml:space="preserve"> of </w:t>
      </w:r>
      <w:r>
        <w:t>weight change</w:t>
      </w:r>
      <w:r w:rsidR="005853A9">
        <w:t xml:space="preserve"> and </w:t>
      </w:r>
      <w:r>
        <w:t>length</w:t>
      </w:r>
      <w:r w:rsidR="00427468">
        <w:t xml:space="preserve"> of </w:t>
      </w:r>
      <w:r>
        <w:t>follow-up. Compared with conventional management, surgery resulted in greater weight loss (23-28 kg more weight loss at two years), with improvements in quality</w:t>
      </w:r>
      <w:r w:rsidR="00427468">
        <w:t xml:space="preserve"> of </w:t>
      </w:r>
      <w:r>
        <w:t>life</w:t>
      </w:r>
      <w:r w:rsidR="005853A9">
        <w:t xml:space="preserve"> and </w:t>
      </w:r>
      <w:r>
        <w:t>comorbidities. Some complications</w:t>
      </w:r>
      <w:r w:rsidR="00427468">
        <w:t xml:space="preserve"> of </w:t>
      </w:r>
      <w:r>
        <w:t>surgery occurred, such as wound infection. Gastric bypass was associated with greater weight loss</w:t>
      </w:r>
      <w:r w:rsidR="005853A9">
        <w:t xml:space="preserve"> and </w:t>
      </w:r>
      <w:r>
        <w:t>fewer revisions, reoperations and/or conversions than gastroplasty, but had more side-effects. Greater weight loss</w:t>
      </w:r>
      <w:r w:rsidR="005853A9">
        <w:t xml:space="preserve"> and </w:t>
      </w:r>
      <w:r>
        <w:t>fewer side-effects</w:t>
      </w:r>
      <w:r w:rsidR="005853A9">
        <w:t xml:space="preserve"> and </w:t>
      </w:r>
      <w:r>
        <w:t xml:space="preserve">reoperations occurred with adjustable gastric banding than vertical banded gastroplasty, while vertical banded gastroplasty was associated with greater weight loss but more vomiting than horizontal gastroplasty. Some postoperative deaths occurred in the studies. Weight </w:t>
      </w:r>
      <w:r>
        <w:lastRenderedPageBreak/>
        <w:t>loss was similar between open</w:t>
      </w:r>
      <w:r w:rsidR="005853A9">
        <w:t xml:space="preserve"> and </w:t>
      </w:r>
      <w:r>
        <w:t>laparoscopic procedures. Fewer serious complications occurred with laparoscopic surgery. Laparoscopic surgery had a longer operative time, but resulted in reduced blood loss, reduced proportion</w:t>
      </w:r>
      <w:r w:rsidR="00427468">
        <w:t xml:space="preserve"> of </w:t>
      </w:r>
      <w:r>
        <w:t>patients requiring intensive care unit stay, reduced length</w:t>
      </w:r>
      <w:r w:rsidR="00427468">
        <w:t xml:space="preserve"> of </w:t>
      </w:r>
      <w:r>
        <w:t>hospital stay, reduced days to return to activities</w:t>
      </w:r>
      <w:r w:rsidR="00427468">
        <w:t xml:space="preserve"> of </w:t>
      </w:r>
      <w:r>
        <w:t>daily living</w:t>
      </w:r>
      <w:r w:rsidR="005853A9">
        <w:t xml:space="preserve"> and </w:t>
      </w:r>
      <w:r>
        <w:t>reduced days to return to work. REVIEWER</w:t>
      </w:r>
      <w:r w:rsidR="0071223E">
        <w:t>’</w:t>
      </w:r>
      <w:r>
        <w:t>S CONCLUSIONS: The limited evidence suggests that surgery is more effective than conventional management for weight loss in morbid obesity</w:t>
      </w:r>
      <w:r w:rsidR="00A37C1D">
        <w:t>. The</w:t>
      </w:r>
      <w:r>
        <w:t xml:space="preserve"> comparative safety</w:t>
      </w:r>
      <w:r w:rsidR="005853A9">
        <w:t xml:space="preserve"> and </w:t>
      </w:r>
      <w:r>
        <w:t>effectiveness</w:t>
      </w:r>
      <w:r w:rsidR="00427468">
        <w:t xml:space="preserve"> of </w:t>
      </w:r>
      <w:r>
        <w:t>different surgical procedures is unclear.</w:t>
      </w:r>
    </w:p>
    <w:p w:rsidR="00365DE4" w:rsidRDefault="00365DE4" w:rsidP="00365DE4">
      <w:pPr>
        <w:pStyle w:val="a3"/>
      </w:pPr>
      <w:r>
        <w:t>Keywords: Allocation, Background, Blood, Blood Loss, Care, Collection, Complications, Controlled Trial, Conventional, Criteria, Data-Collection, Effectiveness, Evidence, Experts, Field, Follow-Up, Hospital, Hospital Stay, Infection, Intensive Care, Intensive Care Unit, Internet, Journals, Laparoscopic, Laparoscopic Surgery, Length, Life, Living, Management, Medical, Meta-Analysis, Metaanalysis, Morbid Obesity, Morbidity, Mortality, Obesity, Objectives, Open, Operative, Patients, Postoperative, Procedures, PUBMED, Quality, Quality of, Quality</w:t>
      </w:r>
      <w:r w:rsidR="00427468">
        <w:t xml:space="preserve"> of </w:t>
      </w:r>
      <w:r>
        <w:t xml:space="preserve">Life, Randomised, Randomised Controlled Trial, Randomised Controlled Trials, Safety, Search, Selection, Selection Criteria, Side Effects, Strategies, Strategy, Surgery, Surgical Procedures, Trial, Vertical, Vomiting, </w:t>
      </w:r>
      <w:r w:rsidR="00D5664A">
        <w:t>Web</w:t>
      </w:r>
      <w:r w:rsidR="00427468">
        <w:t xml:space="preserve"> of </w:t>
      </w:r>
      <w:r w:rsidR="00D5664A">
        <w:t>Science</w:t>
      </w:r>
      <w:r>
        <w:t>, Work, Wound, Wound Infection</w:t>
      </w:r>
    </w:p>
    <w:p w:rsidR="00365DE4" w:rsidRDefault="00365DE4" w:rsidP="00365DE4">
      <w:pPr>
        <w:pStyle w:val="a3"/>
      </w:pPr>
      <w:r>
        <w:t>? Thompson, R.L., Summerbell, C.D., Hooper, L., Higgins, J.P.T., Little, P.S., Talbot, D.</w:t>
      </w:r>
      <w:r w:rsidR="005853A9">
        <w:t xml:space="preserve"> and </w:t>
      </w:r>
      <w:r>
        <w:t xml:space="preserve">Ebrahim, S. (2003), Dietary advice given by a dietitian versus other health professional or self-help resources to reduce blood cholesterol. </w:t>
      </w:r>
      <w:r>
        <w:rPr>
          <w:i/>
          <w:iCs/>
        </w:rPr>
        <w:t>Cochrane Database</w:t>
      </w:r>
      <w:r w:rsidR="00427468">
        <w:rPr>
          <w:i/>
          <w:iCs/>
        </w:rPr>
        <w:t xml:space="preserve"> of </w:t>
      </w:r>
      <w:r>
        <w:rPr>
          <w:i/>
          <w:iCs/>
        </w:rPr>
        <w:t>Systematic Reviews</w:t>
      </w:r>
      <w:r>
        <w:t xml:space="preserve">, </w:t>
      </w:r>
      <w:r>
        <w:rPr>
          <w:b/>
          <w:bCs/>
        </w:rPr>
        <w:t>3</w:t>
      </w:r>
      <w:r>
        <w:t>, Article Number: CD001366.</w:t>
      </w:r>
    </w:p>
    <w:p w:rsidR="00365DE4" w:rsidRDefault="00365DE4" w:rsidP="00365DE4">
      <w:pPr>
        <w:pStyle w:val="a3"/>
      </w:pPr>
      <w:r>
        <w:t xml:space="preserve">Full Text: </w:t>
      </w:r>
      <w:hyperlink r:id="rId495" w:history="1">
        <w:r>
          <w:rPr>
            <w:rStyle w:val="a5"/>
          </w:rPr>
          <w:t>2003\Coc Dat Sys Rev2003, CD001366.pdf</w:t>
        </w:r>
      </w:hyperlink>
    </w:p>
    <w:p w:rsidR="00365DE4" w:rsidRDefault="00365DE4" w:rsidP="00365DE4">
      <w:pPr>
        <w:pStyle w:val="a3"/>
      </w:pPr>
      <w:r>
        <w:t>Abstract: BACKGROUND: The average level</w:t>
      </w:r>
      <w:r w:rsidR="00427468">
        <w:t xml:space="preserve"> of </w:t>
      </w:r>
      <w:r>
        <w:t>blood cholesterol is an important determinant</w:t>
      </w:r>
      <w:r w:rsidR="00427468">
        <w:t xml:space="preserve"> of </w:t>
      </w:r>
      <w:r>
        <w:t>the risk</w:t>
      </w:r>
      <w:r w:rsidR="00427468">
        <w:t xml:space="preserve"> of </w:t>
      </w:r>
      <w:r>
        <w:t>coronary heart disease. Blood cholesterol can be reduced by dietary means. Although dietitians are trained to provide dietary advice, for practical reasons it is also given by other health professionals</w:t>
      </w:r>
      <w:r w:rsidR="005853A9">
        <w:t xml:space="preserve"> and </w:t>
      </w:r>
      <w:r>
        <w:t>occasionally through the use</w:t>
      </w:r>
      <w:r w:rsidR="00427468">
        <w:t xml:space="preserve"> of </w:t>
      </w:r>
      <w:r>
        <w:t>self-help resources. OBJECTIVES: To assess the effects</w:t>
      </w:r>
      <w:r w:rsidR="00427468">
        <w:t xml:space="preserve"> of </w:t>
      </w:r>
      <w:r>
        <w:t>dietary advice given by a dietitian compared with another health professional, or the use</w:t>
      </w:r>
      <w:r w:rsidR="00427468">
        <w:t xml:space="preserve"> of </w:t>
      </w:r>
      <w:r>
        <w:t xml:space="preserve">self-help resources, in reducing blood cholesterol in adults. SEARCH STRATEGY: We searched The Cochrane Library (to Issue 3 2002), the EPOC trial register (October 2002), </w:t>
      </w:r>
      <w:r w:rsidR="00D5664A">
        <w:t>MEDLINE</w:t>
      </w:r>
      <w:r>
        <w:t xml:space="preserve"> (1966 to September 2002), EMBASE (1980 to September 2002), Cinahl (1982 to August 2002), Human Nutrition (1991 to 1998), Science Citation Index, Social Sciences Citation Index, hand searched conference proceedings on nutrition</w:t>
      </w:r>
      <w:r w:rsidR="005853A9">
        <w:t xml:space="preserve"> and </w:t>
      </w:r>
      <w:r>
        <w:t>heart disease,</w:t>
      </w:r>
      <w:r w:rsidR="005853A9">
        <w:t xml:space="preserve"> and </w:t>
      </w:r>
      <w:r>
        <w:t>contacted experts in the field. SELECTION CRITERIA: Randomised trials</w:t>
      </w:r>
      <w:r w:rsidR="00427468">
        <w:t xml:space="preserve"> of </w:t>
      </w:r>
      <w:r>
        <w:t>dietary advice given by a dietitian compared with another health professional or self-help resources</w:t>
      </w:r>
      <w:r w:rsidR="00A37C1D">
        <w:t>. The</w:t>
      </w:r>
      <w:r>
        <w:t xml:space="preserve"> main outcome was difference in blood cholesterol between dietitian groups compared with other </w:t>
      </w:r>
      <w:r>
        <w:lastRenderedPageBreak/>
        <w:t>intervention groups. DATA COLLECTION</w:t>
      </w:r>
      <w:r w:rsidR="005853A9">
        <w:t xml:space="preserve"> and </w:t>
      </w:r>
      <w:r>
        <w:t>ANALYSIS: Two reviewers independently extracted data</w:t>
      </w:r>
      <w:r w:rsidR="005853A9">
        <w:t xml:space="preserve"> and </w:t>
      </w:r>
      <w:r>
        <w:t>assessed study quality. MAIN RESULTS: Twelve studies with 13 comparisons were included, involving 727 people receiving advice from dietitians, 515 from other health professionals</w:t>
      </w:r>
      <w:r w:rsidR="005853A9">
        <w:t xml:space="preserve"> and </w:t>
      </w:r>
      <w:r>
        <w:t>551 people using self-help resources. Four studies compared dietitian with doctor, seven with self-help resources,</w:t>
      </w:r>
      <w:r w:rsidR="005853A9">
        <w:t xml:space="preserve"> and </w:t>
      </w:r>
      <w:r>
        <w:t>only one study was found for each</w:t>
      </w:r>
      <w:r w:rsidR="00427468">
        <w:t xml:space="preserve"> of </w:t>
      </w:r>
      <w:r>
        <w:t>the dietitian versus nurse</w:t>
      </w:r>
      <w:r w:rsidR="005853A9">
        <w:t xml:space="preserve"> and </w:t>
      </w:r>
      <w:r>
        <w:t>dietitian versus counsellor comparisons. Participants receiving advice from dietitians experienced a greater reduction in blood cholesterol than those receiving advice only from doctors (-0.25 mmol/L (95% CI -0.37, -0.12 mmol/L))</w:t>
      </w:r>
      <w:r w:rsidR="00A37C1D">
        <w:t>. The</w:t>
      </w:r>
      <w:r>
        <w:t>re was no statistically significant difference in change in blood cholesterol between dietitians</w:t>
      </w:r>
      <w:r w:rsidR="005853A9">
        <w:t xml:space="preserve"> and </w:t>
      </w:r>
      <w:r>
        <w:t>self-help resources (-0.10 mmol/L (95% CI -0.22, 0.03 mmol/L)). No statistically significant differences were detected for secondary outcome measures between any</w:t>
      </w:r>
      <w:r w:rsidR="00427468">
        <w:t xml:space="preserve"> of </w:t>
      </w:r>
      <w:r>
        <w:t>the comparisons with the exception</w:t>
      </w:r>
      <w:r w:rsidR="00427468">
        <w:t xml:space="preserve"> of </w:t>
      </w:r>
      <w:r>
        <w:t>dietitian versus nurse for HDLc, where the dietitian group showed a greater reduction (-0.06 mmol/L (95% CI -0.11, -0.01))</w:t>
      </w:r>
      <w:r w:rsidR="005853A9">
        <w:t xml:space="preserve"> and </w:t>
      </w:r>
      <w:r>
        <w:t>dietitian versus counsellor for body weight, where the dietitian group showed a greater reduction (-5.80 kg (95% CI -8.91, -2.69 kg)). No significant heterogeneity between the studies was detected. REVIEWER</w:t>
      </w:r>
      <w:r w:rsidR="0071223E">
        <w:t>’</w:t>
      </w:r>
      <w:r>
        <w:t>S CONCLUSIONS: Dietitians were better than doctors at lowering blood cholesterol in the short to medium term, but there was no evidence that they were better than self-help resources</w:t>
      </w:r>
      <w:r w:rsidR="00A37C1D">
        <w:t>. The</w:t>
      </w:r>
      <w:r>
        <w:t xml:space="preserve"> results should be interpreted with caution as the studies were not</w:t>
      </w:r>
      <w:r w:rsidR="00427468">
        <w:t xml:space="preserve"> of </w:t>
      </w:r>
      <w:r>
        <w:t>good quality</w:t>
      </w:r>
      <w:r w:rsidR="005853A9">
        <w:t xml:space="preserve"> and </w:t>
      </w:r>
      <w:r>
        <w:t>the analysis was based on a limited number</w:t>
      </w:r>
      <w:r w:rsidR="00427468">
        <w:t xml:space="preserve"> of </w:t>
      </w:r>
      <w:r>
        <w:t>trials. More evidence is required to assess whether change can be maintained in the longer term</w:t>
      </w:r>
      <w:r w:rsidR="00A37C1D">
        <w:t>. The</w:t>
      </w:r>
      <w:r>
        <w:t>re was no evidence that dietitians provided better outcomes than nurses.</w:t>
      </w:r>
    </w:p>
    <w:p w:rsidR="00365DE4" w:rsidRDefault="00365DE4" w:rsidP="00365DE4">
      <w:pPr>
        <w:pStyle w:val="a3"/>
      </w:pPr>
      <w:r>
        <w:t xml:space="preserve">Keywords: Analysis, Background, Blood, Body Weight, Cholesterol, Collection, Criteria, Data, Data-Collection, Dietary Advice, Disease, Doctors, Evidence, Experts, Field, Health, Health Professionals, Heart, Heterogeneity, Intervention, </w:t>
      </w:r>
      <w:r w:rsidR="00D5664A">
        <w:t>MEDLINE</w:t>
      </w:r>
      <w:r>
        <w:t>, Nurses, Nutrition, Objectives, Outcome, Outcome Measures, Outcomes, Quality, Reduction, Risk, Science Citation Index, Search, Selection, Selection Criteria, Strategies, Strategy, Term, Trial</w:t>
      </w:r>
    </w:p>
    <w:p w:rsidR="00365DE4" w:rsidRDefault="00365DE4" w:rsidP="00365DE4">
      <w:pPr>
        <w:pStyle w:val="a3"/>
      </w:pPr>
      <w:r>
        <w:t>Anderson, C.S., Hackett, M.L.</w:t>
      </w:r>
      <w:r w:rsidR="005853A9">
        <w:t xml:space="preserve"> and </w:t>
      </w:r>
      <w:r>
        <w:t xml:space="preserve">House, A.O. (2004), Interventions for preventing depression after stroke. </w:t>
      </w:r>
      <w:r>
        <w:rPr>
          <w:i/>
          <w:iCs/>
        </w:rPr>
        <w:t>Cochrane Database</w:t>
      </w:r>
      <w:r w:rsidR="00427468">
        <w:rPr>
          <w:i/>
          <w:iCs/>
        </w:rPr>
        <w:t xml:space="preserve"> of </w:t>
      </w:r>
      <w:r>
        <w:rPr>
          <w:i/>
          <w:iCs/>
        </w:rPr>
        <w:t>Systematic Reviews</w:t>
      </w:r>
      <w:r>
        <w:t xml:space="preserve">, </w:t>
      </w:r>
      <w:r>
        <w:rPr>
          <w:b/>
          <w:bCs/>
        </w:rPr>
        <w:t>2</w:t>
      </w:r>
      <w:r>
        <w:t>, Article Number: CD003689.</w:t>
      </w:r>
    </w:p>
    <w:p w:rsidR="00365DE4" w:rsidRDefault="00365DE4" w:rsidP="00365DE4">
      <w:pPr>
        <w:pStyle w:val="a3"/>
      </w:pPr>
      <w:r>
        <w:t xml:space="preserve">Full Text: </w:t>
      </w:r>
      <w:hyperlink r:id="rId496" w:history="1">
        <w:r>
          <w:rPr>
            <w:rStyle w:val="a5"/>
          </w:rPr>
          <w:t>2004\Coc Dat Sys Rev2004, CD003689.pdf</w:t>
        </w:r>
      </w:hyperlink>
    </w:p>
    <w:p w:rsidR="00365DE4" w:rsidRDefault="00365DE4" w:rsidP="00365DE4">
      <w:pPr>
        <w:pStyle w:val="a3"/>
      </w:pPr>
      <w:r>
        <w:t>Abstract: BACKGROUND: Abnormal mood is an important consequence</w:t>
      </w:r>
      <w:r w:rsidR="00427468">
        <w:t xml:space="preserve"> of </w:t>
      </w:r>
      <w:r>
        <w:t>stroke</w:t>
      </w:r>
      <w:r w:rsidR="005853A9">
        <w:t xml:space="preserve"> and </w:t>
      </w:r>
      <w:r>
        <w:t>may affect recovery</w:t>
      </w:r>
      <w:r w:rsidR="005853A9">
        <w:t xml:space="preserve"> and </w:t>
      </w:r>
      <w:r>
        <w:t>outcome. However, depression</w:t>
      </w:r>
      <w:r w:rsidR="005853A9">
        <w:t xml:space="preserve"> and </w:t>
      </w:r>
      <w:r>
        <w:t>anxiety are often not detected or inadequately treated. This may in part be due to doubts about whether anti-depressant treatments commenced early after the onset</w:t>
      </w:r>
      <w:r w:rsidR="00427468">
        <w:t xml:space="preserve"> of </w:t>
      </w:r>
      <w:r>
        <w:t>stroke will prevent depression</w:t>
      </w:r>
      <w:r w:rsidR="005853A9">
        <w:t xml:space="preserve"> and </w:t>
      </w:r>
      <w:r>
        <w:t>improve outcome. OBJECTIVES: To determine if pharmaceutical or psychological interventions can prevent the onset</w:t>
      </w:r>
      <w:r w:rsidR="00427468">
        <w:t xml:space="preserve"> of </w:t>
      </w:r>
      <w:r>
        <w:t xml:space="preserve">depression, including depressive </w:t>
      </w:r>
      <w:r>
        <w:lastRenderedPageBreak/>
        <w:t>illness</w:t>
      </w:r>
      <w:r w:rsidR="005853A9">
        <w:t xml:space="preserve"> and </w:t>
      </w:r>
      <w:r>
        <w:t>abnormal mood,</w:t>
      </w:r>
      <w:r w:rsidR="005853A9">
        <w:t xml:space="preserve"> and </w:t>
      </w:r>
      <w:r>
        <w:t>improve physical</w:t>
      </w:r>
      <w:r w:rsidR="005853A9">
        <w:t xml:space="preserve"> and </w:t>
      </w:r>
      <w:r>
        <w:t>psychological outcomes, in patients with stroke. SEARCH STRATEGY: We searched the Cochrane Stroke Group trials register (June 2003). In addition we searched the following electronic databases: Cochrane Central Register</w:t>
      </w:r>
      <w:r w:rsidR="00427468">
        <w:t xml:space="preserve"> of </w:t>
      </w:r>
      <w:r>
        <w:t xml:space="preserve">Controlled Trials (The Cochrane Library, Issue 3, 2002), </w:t>
      </w:r>
      <w:r w:rsidR="00D5664A">
        <w:t>MEDLINE</w:t>
      </w:r>
      <w:r>
        <w:t xml:space="preserve"> (1966 to September 2002), EMBASE (1980 to September 2002), CINAHL (1982 to September 2002), PsychINFO (1967 to September 2002), Applied Science</w:t>
      </w:r>
      <w:r w:rsidR="005853A9">
        <w:t xml:space="preserve"> and </w:t>
      </w:r>
      <w:r>
        <w:t>Technology Plus (1986 to September 2002), Arts</w:t>
      </w:r>
      <w:r w:rsidR="005853A9">
        <w:t xml:space="preserve"> and </w:t>
      </w:r>
      <w:r>
        <w:t>Humanities Index (1991 to September 2002), Biological Abstracts (1969 to September 2002), General Science Plus (1994 to September 2002), Science Citation Index (1992 to September 2002), Social Sciences Citation Index (1991 to September 2002),</w:t>
      </w:r>
      <w:r w:rsidR="005853A9">
        <w:t xml:space="preserve"> and </w:t>
      </w:r>
      <w:r>
        <w:t>Sociofile (1974 to September 2002). Reference lists from relevant articles</w:t>
      </w:r>
      <w:r w:rsidR="005853A9">
        <w:t xml:space="preserve"> and </w:t>
      </w:r>
      <w:r>
        <w:t>textbooks were searched,</w:t>
      </w:r>
      <w:r w:rsidR="005853A9">
        <w:t xml:space="preserve"> and </w:t>
      </w:r>
      <w:r>
        <w:t>authors</w:t>
      </w:r>
      <w:r w:rsidR="00427468">
        <w:t xml:space="preserve"> of </w:t>
      </w:r>
      <w:r>
        <w:t>known studies</w:t>
      </w:r>
      <w:r w:rsidR="005853A9">
        <w:t xml:space="preserve"> and </w:t>
      </w:r>
      <w:r>
        <w:t>pharmaceutical companies who manufacture psychotropic medications were contacted. SELECTION CRITERIA: Randomised</w:t>
      </w:r>
      <w:r w:rsidR="005853A9">
        <w:t xml:space="preserve"> and </w:t>
      </w:r>
      <w:r>
        <w:t>quasi-randomised controlled trials comparing different types</w:t>
      </w:r>
      <w:r w:rsidR="00427468">
        <w:t xml:space="preserve"> of </w:t>
      </w:r>
      <w:r>
        <w:t>pharmaceutical agents (eg selective serotonin reuptake inhibitors) with placebo, or various forms</w:t>
      </w:r>
      <w:r w:rsidR="00427468">
        <w:t xml:space="preserve"> of </w:t>
      </w:r>
      <w:r>
        <w:t>psychotherapy against standard care (or attention control), in patients with a recent clinical diagnosis</w:t>
      </w:r>
      <w:r w:rsidR="00427468">
        <w:t xml:space="preserve"> of </w:t>
      </w:r>
      <w:r>
        <w:t>stroke, where the treatment was undertaken with the explicit intention</w:t>
      </w:r>
      <w:r w:rsidR="00427468">
        <w:t xml:space="preserve"> of </w:t>
      </w:r>
      <w:r>
        <w:t>preventing depression. DATA COLLECTION</w:t>
      </w:r>
      <w:r w:rsidR="005853A9">
        <w:t xml:space="preserve"> and </w:t>
      </w:r>
      <w:r>
        <w:t>ANALYSIS: The primary analyses focussed on the proportion</w:t>
      </w:r>
      <w:r w:rsidR="00427468">
        <w:t xml:space="preserve"> of </w:t>
      </w:r>
      <w:r>
        <w:t>patients who met the standard diagnostic criteria for depression applied in the trials at the end</w:t>
      </w:r>
      <w:r w:rsidR="00427468">
        <w:t xml:space="preserve"> of </w:t>
      </w:r>
      <w:r>
        <w:t>follow-up. Secondary outcomes included depression or mood scores on standard scales, disability or physical function, death, recurrent stroke,</w:t>
      </w:r>
      <w:r w:rsidR="005853A9">
        <w:t xml:space="preserve"> and </w:t>
      </w:r>
      <w:r>
        <w:t>adverse effects. MAIN RESULTS: Twelve trials involving 1245 participants were included in the review. Data were available for nine trials (11 comparisons) involving different pharmaceutical agents,</w:t>
      </w:r>
      <w:r w:rsidR="005853A9">
        <w:t xml:space="preserve"> and </w:t>
      </w:r>
      <w:r>
        <w:t>three trials</w:t>
      </w:r>
      <w:r w:rsidR="00427468">
        <w:t xml:space="preserve"> of </w:t>
      </w:r>
      <w:r>
        <w:t>psychotherapy</w:t>
      </w:r>
      <w:r w:rsidR="00A37C1D">
        <w:t>. The</w:t>
      </w:r>
      <w:r>
        <w:t xml:space="preserve"> time from stroke onset to entry ranged from a few hours to six months, but most patients were recruited within one month</w:t>
      </w:r>
      <w:r w:rsidR="00427468">
        <w:t xml:space="preserve"> of </w:t>
      </w:r>
      <w:r>
        <w:t>acute stroke</w:t>
      </w:r>
      <w:r w:rsidR="00A37C1D">
        <w:t>. The</w:t>
      </w:r>
      <w:r>
        <w:t xml:space="preserve"> duration</w:t>
      </w:r>
      <w:r w:rsidR="00427468">
        <w:t xml:space="preserve"> of </w:t>
      </w:r>
      <w:r>
        <w:t>treatments ranged from two weeks to one year</w:t>
      </w:r>
      <w:r w:rsidR="00A37C1D">
        <w:t>. The</w:t>
      </w:r>
      <w:r>
        <w:t>re was no clear effect</w:t>
      </w:r>
      <w:r w:rsidR="00427468">
        <w:t xml:space="preserve"> of </w:t>
      </w:r>
      <w:r>
        <w:t>pharmacological therapy on the prevention</w:t>
      </w:r>
      <w:r w:rsidR="00427468">
        <w:t xml:space="preserve"> of </w:t>
      </w:r>
      <w:r>
        <w:t>depression or on other measures. A significant improvement in mood was evident for psychotherapy, but this treatment effect was small</w:t>
      </w:r>
      <w:r w:rsidR="005853A9">
        <w:t xml:space="preserve"> and </w:t>
      </w:r>
      <w:r>
        <w:t>from a single trial</w:t>
      </w:r>
      <w:r w:rsidR="00A37C1D">
        <w:t>. The</w:t>
      </w:r>
      <w:r>
        <w:t>re was no effect on diagnosed depression. REVIEWERS</w:t>
      </w:r>
      <w:r w:rsidR="0071223E">
        <w:t>’</w:t>
      </w:r>
      <w:r>
        <w:t xml:space="preserve"> CONCLUSIONS: This review identified a small but significant effect</w:t>
      </w:r>
      <w:r w:rsidR="00427468">
        <w:t xml:space="preserve"> of </w:t>
      </w:r>
      <w:r>
        <w:t>psychotherapy on improving mood, but no effect</w:t>
      </w:r>
      <w:r w:rsidR="00427468">
        <w:t xml:space="preserve"> of </w:t>
      </w:r>
      <w:r>
        <w:t>either pharmacotherapy or psychotherapy on the prevention</w:t>
      </w:r>
      <w:r w:rsidR="00427468">
        <w:t xml:space="preserve"> of </w:t>
      </w:r>
      <w:r>
        <w:t>depressive illness, disability, or other outcomes. More evidence is therefore required before any recommendations can be made about the routine use</w:t>
      </w:r>
      <w:r w:rsidR="00427468">
        <w:t xml:space="preserve"> of </w:t>
      </w:r>
      <w:r>
        <w:t>such treatments to improve recovery after stroke.</w:t>
      </w:r>
    </w:p>
    <w:p w:rsidR="00365DE4" w:rsidRDefault="00365DE4" w:rsidP="00365DE4">
      <w:pPr>
        <w:pStyle w:val="a3"/>
      </w:pPr>
      <w:r>
        <w:t xml:space="preserve">Keywords: Adverse Effects, Analyses, Antidepressant, Anxiety, Background, Care, Clinical, Collection, Control, Criteria, Data-Collection, Databases, Death, Depression, Diagnosis, Diagnostic Criteria, Disability, Duration, Evidence, </w:t>
      </w:r>
      <w:r>
        <w:lastRenderedPageBreak/>
        <w:t xml:space="preserve">Follow-Up, Function, Improvement, Interventions, </w:t>
      </w:r>
      <w:r w:rsidR="00D5664A">
        <w:t>MEDLINE</w:t>
      </w:r>
      <w:r>
        <w:t>, Objectives, Onset, Outcome, Outcomes, Patients, Pharmaceutical Agents, Pharmacotherapy, Physical, Placebo, Prevention, Primary, Psychotherapy, Recommendations, Recovery, Recurrent, Review, Reviewers, Scales, Science Citation Index, Search, Selection, Selection Criteria, Serotonin, Small, Standard, Strategies, Strategy, Stroke, Textbooks, Therapy, Treatment, Trial</w:t>
      </w:r>
    </w:p>
    <w:p w:rsidR="00365DE4" w:rsidRDefault="00365DE4" w:rsidP="00365DE4">
      <w:pPr>
        <w:pStyle w:val="a3"/>
      </w:pPr>
      <w:r>
        <w:t>? House, A.O., Hackett, M.L., Anderson, C.S.</w:t>
      </w:r>
      <w:r w:rsidR="005853A9">
        <w:t xml:space="preserve"> and </w:t>
      </w:r>
      <w:r>
        <w:t xml:space="preserve">Horrocks, J.A. (2004), Pharmaceutical interventions for emotionalism after stroke. </w:t>
      </w:r>
      <w:r>
        <w:rPr>
          <w:i/>
          <w:iCs/>
        </w:rPr>
        <w:t>Cochrane Database</w:t>
      </w:r>
      <w:r w:rsidR="00427468">
        <w:rPr>
          <w:i/>
          <w:iCs/>
        </w:rPr>
        <w:t xml:space="preserve"> of </w:t>
      </w:r>
      <w:r>
        <w:rPr>
          <w:i/>
          <w:iCs/>
        </w:rPr>
        <w:t>Systematic Reviews</w:t>
      </w:r>
      <w:r>
        <w:t xml:space="preserve">, </w:t>
      </w:r>
      <w:r>
        <w:rPr>
          <w:b/>
          <w:bCs/>
        </w:rPr>
        <w:t>2</w:t>
      </w:r>
      <w:r>
        <w:t>, Article Number: CD003690.</w:t>
      </w:r>
    </w:p>
    <w:p w:rsidR="00365DE4" w:rsidRDefault="00365DE4" w:rsidP="00365DE4">
      <w:pPr>
        <w:pStyle w:val="a3"/>
      </w:pPr>
      <w:r>
        <w:t xml:space="preserve">Full Text: </w:t>
      </w:r>
      <w:hyperlink r:id="rId497" w:history="1">
        <w:r>
          <w:rPr>
            <w:rStyle w:val="a5"/>
          </w:rPr>
          <w:t>2004\Coc Dat Sys Rev2004, CD003690.pdf</w:t>
        </w:r>
      </w:hyperlink>
    </w:p>
    <w:p w:rsidR="00365DE4" w:rsidRDefault="00365DE4" w:rsidP="00365DE4">
      <w:pPr>
        <w:pStyle w:val="a3"/>
      </w:pPr>
      <w:r>
        <w:t>Abstract: BACKGROUND: Antidepressants may be useful in the treatment</w:t>
      </w:r>
      <w:r w:rsidR="00427468">
        <w:t xml:space="preserve"> of </w:t>
      </w:r>
      <w:r>
        <w:t>abnormal crying associated with stroke. OBJECTIVES: To determine whether pharmaceutical treatment reduces the frequency</w:t>
      </w:r>
      <w:r w:rsidR="00427468">
        <w:t xml:space="preserve"> of </w:t>
      </w:r>
      <w:r>
        <w:t>emotional displays in people who suffer from emotionalism after stroke. SEARCH STRATEGY: We searched the Cochrane Stroke Group Trials Register (last searched June 2003). In addition we searched the following electronic databases: Cochrane Central Register</w:t>
      </w:r>
      <w:r w:rsidR="00427468">
        <w:t xml:space="preserve"> of </w:t>
      </w:r>
      <w:r>
        <w:t xml:space="preserve">Controlled Trials (The Cochrane Library, Issue 3 2002), </w:t>
      </w:r>
      <w:r w:rsidR="00D5664A">
        <w:t>MEDLINE</w:t>
      </w:r>
      <w:r>
        <w:t xml:space="preserve"> (1966 to September 2002), EMBASE (1980 to September 2002), CINAHL (1982 to September 2002), PsychINFO (1967 to September 2002), Applied Science</w:t>
      </w:r>
      <w:r w:rsidR="005853A9">
        <w:t xml:space="preserve"> and </w:t>
      </w:r>
      <w:r>
        <w:t>Technology Plus (1986 to September 2002), Arts</w:t>
      </w:r>
      <w:r w:rsidR="005853A9">
        <w:t xml:space="preserve"> and </w:t>
      </w:r>
      <w:r>
        <w:t>Humanities Index (1991 to September 2002), Biological Abstracts (1969 to September 2002), General Science Plus (1994 to September 2002), Science Citation Index (1992 to September 2002), Social Sciences Citation Index (1991 to September 2002),</w:t>
      </w:r>
      <w:r w:rsidR="005853A9">
        <w:t xml:space="preserve"> and </w:t>
      </w:r>
      <w:r>
        <w:t>Sociofile (1974 to September 2002). We searched reference lists from relevant articles</w:t>
      </w:r>
      <w:r w:rsidR="005853A9">
        <w:t xml:space="preserve"> and </w:t>
      </w:r>
      <w:r>
        <w:t>textbooks,</w:t>
      </w:r>
      <w:r w:rsidR="005853A9">
        <w:t xml:space="preserve"> and </w:t>
      </w:r>
      <w:r>
        <w:t>contacted authors</w:t>
      </w:r>
      <w:r w:rsidR="00427468">
        <w:t xml:space="preserve"> of </w:t>
      </w:r>
      <w:r>
        <w:t>known studies</w:t>
      </w:r>
      <w:r w:rsidR="005853A9">
        <w:t xml:space="preserve"> and </w:t>
      </w:r>
      <w:r>
        <w:t>pharmaceutical companies who manufacture psychotropic medications. SELECTION CRITERIA: Randomised</w:t>
      </w:r>
      <w:r w:rsidR="005853A9">
        <w:t xml:space="preserve"> and </w:t>
      </w:r>
      <w:r>
        <w:t>quasi-randomised controlled trials, comparing psychotropic medication to placebo, in people with stroke</w:t>
      </w:r>
      <w:r w:rsidR="005853A9">
        <w:t xml:space="preserve"> and </w:t>
      </w:r>
      <w:r>
        <w:t>emotionalism (also known as emotional lability or pathological crying</w:t>
      </w:r>
      <w:r w:rsidR="005853A9">
        <w:t xml:space="preserve"> and </w:t>
      </w:r>
      <w:r>
        <w:t>laughing). DATA COLLECTION</w:t>
      </w:r>
      <w:r w:rsidR="005853A9">
        <w:t xml:space="preserve"> and </w:t>
      </w:r>
      <w:r>
        <w:t>ANALYSIS: Data were obtained on people who no longer met criteria for emotionalism, as defined in studies,</w:t>
      </w:r>
      <w:r w:rsidR="005853A9">
        <w:t xml:space="preserve"> and </w:t>
      </w:r>
      <w:r>
        <w:t>on reduction in frequency</w:t>
      </w:r>
      <w:r w:rsidR="00427468">
        <w:t xml:space="preserve"> of </w:t>
      </w:r>
      <w:r>
        <w:t>crying at the end</w:t>
      </w:r>
      <w:r w:rsidR="00427468">
        <w:t xml:space="preserve"> of </w:t>
      </w:r>
      <w:r>
        <w:t>treatment. Data were not pooled because</w:t>
      </w:r>
      <w:r w:rsidR="00427468">
        <w:t xml:space="preserve"> of </w:t>
      </w:r>
      <w:r>
        <w:t>the multiplicity</w:t>
      </w:r>
      <w:r w:rsidR="00427468">
        <w:t xml:space="preserve"> of </w:t>
      </w:r>
      <w:r>
        <w:t>definitions</w:t>
      </w:r>
      <w:r w:rsidR="005853A9">
        <w:t xml:space="preserve"> and </w:t>
      </w:r>
      <w:r>
        <w:t>outcome measures. MAIN RESULTS: Five trials involving 103 participants were included. Four trials showed large effects</w:t>
      </w:r>
      <w:r w:rsidR="00427468">
        <w:t xml:space="preserve"> of </w:t>
      </w:r>
      <w:r>
        <w:t>treatment: 50% reduction in emotionalism, improvements (reduction) in the frequency</w:t>
      </w:r>
      <w:r w:rsidR="00427468">
        <w:t xml:space="preserve"> of </w:t>
      </w:r>
      <w:r>
        <w:t>compulsive laughter,</w:t>
      </w:r>
      <w:r w:rsidR="005853A9">
        <w:t xml:space="preserve"> and </w:t>
      </w:r>
      <w:r>
        <w:t>lower (better) scores on the Pathological Laughter</w:t>
      </w:r>
      <w:r w:rsidR="005853A9">
        <w:t xml:space="preserve"> and </w:t>
      </w:r>
      <w:r>
        <w:t>Crying scale</w:t>
      </w:r>
      <w:r w:rsidR="00A37C1D">
        <w:t>. The</w:t>
      </w:r>
      <w:r>
        <w:t xml:space="preserve"> confidence intervals were wide, however, indicating that treatment may have had only a small positive effect, or even a small negative effect (in one trial). Subgroup analysis was not performed due to the multiple methods</w:t>
      </w:r>
      <w:r w:rsidR="00427468">
        <w:t xml:space="preserve"> of </w:t>
      </w:r>
      <w:r>
        <w:t>assessment</w:t>
      </w:r>
      <w:r w:rsidR="00427468">
        <w:t xml:space="preserve"> of </w:t>
      </w:r>
      <w:r>
        <w:t>emotionalism within</w:t>
      </w:r>
      <w:r w:rsidR="005853A9">
        <w:t xml:space="preserve"> and </w:t>
      </w:r>
      <w:r>
        <w:t xml:space="preserve">between trials. Only one study </w:t>
      </w:r>
      <w:r>
        <w:lastRenderedPageBreak/>
        <w:t>systematically recorded</w:t>
      </w:r>
      <w:r w:rsidR="005853A9">
        <w:t xml:space="preserve"> and </w:t>
      </w:r>
      <w:r>
        <w:t>reported adverse events; no discernible difference was seen between groups. Participants allocated active treatment were more likely to leave early from trials. REVIEWERS</w:t>
      </w:r>
      <w:r w:rsidR="0071223E">
        <w:t>’</w:t>
      </w:r>
      <w:r>
        <w:t xml:space="preserve"> CONCLUSIONS: Antidepressants can reduce the frequency</w:t>
      </w:r>
      <w:r w:rsidR="005853A9">
        <w:t xml:space="preserve"> and </w:t>
      </w:r>
      <w:r>
        <w:t>severity</w:t>
      </w:r>
      <w:r w:rsidR="00427468">
        <w:t xml:space="preserve"> of </w:t>
      </w:r>
      <w:r>
        <w:t>crying or laughing episodes</w:t>
      </w:r>
      <w:r w:rsidR="00A37C1D">
        <w:t>. The</w:t>
      </w:r>
      <w:r>
        <w:t xml:space="preserve"> effect do not seem specific to one drug or class</w:t>
      </w:r>
      <w:r w:rsidR="00427468">
        <w:t xml:space="preserve"> of </w:t>
      </w:r>
      <w:r>
        <w:t>drugs. However, our conclusions must be qualified by several methodological deficiencies in the studies. More reliable data are required before recommendations can be made about the treatment</w:t>
      </w:r>
      <w:r w:rsidR="00427468">
        <w:t xml:space="preserve"> of </w:t>
      </w:r>
      <w:r>
        <w:t>post-stroke emotionalism.</w:t>
      </w:r>
    </w:p>
    <w:p w:rsidR="00365DE4" w:rsidRDefault="00365DE4" w:rsidP="00365DE4">
      <w:pPr>
        <w:pStyle w:val="a3"/>
      </w:pPr>
      <w:r>
        <w:t xml:space="preserve">Keywords: Analysis, Assessment, Background, Collection, Confidence, Confidence Intervals, Criteria, Data, Data-Collection, Databases, Drug, Drugs, Events, Intervals, Interventions, </w:t>
      </w:r>
      <w:r w:rsidR="00D5664A">
        <w:t>MEDLINE</w:t>
      </w:r>
      <w:r>
        <w:t>, Methods, Objectives, Outcome, Outcome Measures, Placebo, Recommendations, Reduction, Reviewers, Scale, Science Citation Index, Search, Selection, Selection Criteria, Small, Strategies, Strategy, Stroke, Textbooks, Treatment, Trial</w:t>
      </w:r>
    </w:p>
    <w:p w:rsidR="00365DE4" w:rsidRDefault="00365DE4" w:rsidP="00365DE4">
      <w:pPr>
        <w:pStyle w:val="a3"/>
      </w:pPr>
      <w:r>
        <w:t>? Hackett, M.L., Anderson, C.S.</w:t>
      </w:r>
      <w:r w:rsidR="005853A9">
        <w:t xml:space="preserve"> and </w:t>
      </w:r>
      <w:r>
        <w:t xml:space="preserve">House, A.O. (2004), Interventions for treating depression after stroke. </w:t>
      </w:r>
      <w:r>
        <w:rPr>
          <w:i/>
          <w:iCs/>
        </w:rPr>
        <w:t>Cochrane Database</w:t>
      </w:r>
      <w:r w:rsidR="00427468">
        <w:rPr>
          <w:i/>
          <w:iCs/>
        </w:rPr>
        <w:t xml:space="preserve"> of </w:t>
      </w:r>
      <w:r>
        <w:rPr>
          <w:i/>
          <w:iCs/>
        </w:rPr>
        <w:t>Systematic Reviews</w:t>
      </w:r>
      <w:r>
        <w:t xml:space="preserve">, </w:t>
      </w:r>
      <w:r>
        <w:rPr>
          <w:b/>
          <w:bCs/>
        </w:rPr>
        <w:t>3</w:t>
      </w:r>
      <w:r>
        <w:t>, Article Number: CD003437.</w:t>
      </w:r>
    </w:p>
    <w:p w:rsidR="00365DE4" w:rsidRDefault="00365DE4" w:rsidP="00365DE4">
      <w:pPr>
        <w:pStyle w:val="a3"/>
      </w:pPr>
      <w:r>
        <w:t xml:space="preserve">Full Text: </w:t>
      </w:r>
      <w:hyperlink r:id="rId498" w:history="1">
        <w:r>
          <w:rPr>
            <w:rStyle w:val="a5"/>
          </w:rPr>
          <w:t>2004\Coc Dat Sys Rev2004, CD003437.pdf</w:t>
        </w:r>
      </w:hyperlink>
    </w:p>
    <w:p w:rsidR="00365DE4" w:rsidRDefault="00365DE4" w:rsidP="00365DE4">
      <w:pPr>
        <w:pStyle w:val="a3"/>
      </w:pPr>
      <w:r>
        <w:t>Abstract: BACKGROUND: Depressive</w:t>
      </w:r>
      <w:r w:rsidR="005853A9">
        <w:t xml:space="preserve"> and </w:t>
      </w:r>
      <w:r>
        <w:t>anxiety disorders following stroke are often undiagnosed or inadequately treated. This may reflect difficulties with the diagnosis</w:t>
      </w:r>
      <w:r w:rsidR="00427468">
        <w:t xml:space="preserve"> of </w:t>
      </w:r>
      <w:r>
        <w:t>abnormal mood among older people with stroke-related disability, but may also reflect uncertainty about the effectiveness</w:t>
      </w:r>
      <w:r w:rsidR="00427468">
        <w:t xml:space="preserve"> of </w:t>
      </w:r>
      <w:r>
        <w:t>such therapies in this setting. OBJECTIVES: To determine whether pharmacological, psychological, or electroconvulsive treatment (ECT)</w:t>
      </w:r>
      <w:r w:rsidR="00427468">
        <w:t xml:space="preserve"> of </w:t>
      </w:r>
      <w:r>
        <w:t>depression in patients with stroke can improve outcome. SEARCH STRATEGY: The Cochrane Stroke Group Trials Register (last searched June 2003)</w:t>
      </w:r>
      <w:r w:rsidR="00A37C1D">
        <w:t>. The</w:t>
      </w:r>
      <w:r>
        <w:t xml:space="preserve"> Cochrane Central Register</w:t>
      </w:r>
      <w:r w:rsidR="00427468">
        <w:t xml:space="preserve"> of </w:t>
      </w:r>
      <w:r>
        <w:t xml:space="preserve">Controlled Trials (The Cochrane Library, Issue 3, 2002), </w:t>
      </w:r>
      <w:r w:rsidR="00D5664A">
        <w:t>MEDLINE</w:t>
      </w:r>
      <w:r>
        <w:t xml:space="preserve"> (1966 to September 2002), EMBASE (1980 to September 2002), CINAHL (1982 to September 2002), PsychINFO (1967 to September 2002), Applied Science</w:t>
      </w:r>
      <w:r w:rsidR="005853A9">
        <w:t xml:space="preserve"> and </w:t>
      </w:r>
      <w:r>
        <w:t>Technology Plus (1986 to September 2002), Arts</w:t>
      </w:r>
      <w:r w:rsidR="005853A9">
        <w:t xml:space="preserve"> and </w:t>
      </w:r>
      <w:r>
        <w:t>Humanities Index (1991 to September 2002), Biological Abstracts (1969 to September 2002), General Science Plus (1994 to September 2002), Science Citation Index (1992 to September 2002), Social Sciences Citation Index (1991 to September 2002),</w:t>
      </w:r>
      <w:r w:rsidR="005853A9">
        <w:t xml:space="preserve"> and </w:t>
      </w:r>
      <w:r>
        <w:t>Sociofile (1974 to September 2002). Reference lists from relevant articles</w:t>
      </w:r>
      <w:r w:rsidR="005853A9">
        <w:t xml:space="preserve"> and </w:t>
      </w:r>
      <w:r>
        <w:t>textbooks were searched,</w:t>
      </w:r>
      <w:r w:rsidR="005853A9">
        <w:t xml:space="preserve"> and </w:t>
      </w:r>
      <w:r>
        <w:t>authors</w:t>
      </w:r>
      <w:r w:rsidR="00427468">
        <w:t xml:space="preserve"> of </w:t>
      </w:r>
      <w:r>
        <w:t>known studies</w:t>
      </w:r>
      <w:r w:rsidR="005853A9">
        <w:t xml:space="preserve"> and </w:t>
      </w:r>
      <w:r>
        <w:t>pharmaceutical companies who manufacture psychotropic medications were contacted. SELECTION CRITERIA: Randomised</w:t>
      </w:r>
      <w:r w:rsidR="005853A9">
        <w:t xml:space="preserve"> and </w:t>
      </w:r>
      <w:r>
        <w:t>quasi-randomised controlled trials comparing different types</w:t>
      </w:r>
      <w:r w:rsidR="00427468">
        <w:t xml:space="preserve"> of </w:t>
      </w:r>
      <w:r>
        <w:t>pharmaceutical agents with placebo, or various forms</w:t>
      </w:r>
      <w:r w:rsidR="00427468">
        <w:t xml:space="preserve"> of </w:t>
      </w:r>
      <w:r>
        <w:t>psychotherapy with standard care (or attention control), in patients with recent, clinically diagnosed, acute stroke, where treatment was explicitly intended</w:t>
      </w:r>
      <w:r w:rsidR="00427468">
        <w:t xml:space="preserve"> of </w:t>
      </w:r>
      <w:r>
        <w:lastRenderedPageBreak/>
        <w:t>treat depression. DATA COLLECTION</w:t>
      </w:r>
      <w:r w:rsidR="005853A9">
        <w:t xml:space="preserve"> and </w:t>
      </w:r>
      <w:r>
        <w:t>ANALYSIS: Primary analyses focussed on the prevalence</w:t>
      </w:r>
      <w:r w:rsidR="00427468">
        <w:t xml:space="preserve"> of </w:t>
      </w:r>
      <w:r>
        <w:t>diagnosable depressive disorder at the end</w:t>
      </w:r>
      <w:r w:rsidR="00427468">
        <w:t xml:space="preserve"> of </w:t>
      </w:r>
      <w:r>
        <w:t>treatment. Secondary outcomes included depression or mood scores on standard scales, disability or physical function, death, recurrent stroke,</w:t>
      </w:r>
      <w:r w:rsidR="005853A9">
        <w:t xml:space="preserve"> and </w:t>
      </w:r>
      <w:r>
        <w:t>adverse effects. We did not pool the data for summary scores. We performed meta-analysis for only some binary endpoints</w:t>
      </w:r>
      <w:r w:rsidR="005853A9">
        <w:t xml:space="preserve"> and </w:t>
      </w:r>
      <w:r>
        <w:t>data on adverse events. MAIN RESULTS: Nine trials, with 780 participants, were included in the review. Data were available for seven trials</w:t>
      </w:r>
      <w:r w:rsidR="00427468">
        <w:t xml:space="preserve"> of </w:t>
      </w:r>
      <w:r>
        <w:t>pharmaceutical agents,</w:t>
      </w:r>
      <w:r w:rsidR="005853A9">
        <w:t xml:space="preserve"> and </w:t>
      </w:r>
      <w:r>
        <w:t>two trials</w:t>
      </w:r>
      <w:r w:rsidR="00427468">
        <w:t xml:space="preserve"> of </w:t>
      </w:r>
      <w:r>
        <w:t>psychotherapy</w:t>
      </w:r>
      <w:r w:rsidR="00A37C1D">
        <w:t>. The</w:t>
      </w:r>
      <w:r>
        <w:t>re were no trials</w:t>
      </w:r>
      <w:r w:rsidR="00427468">
        <w:t xml:space="preserve"> of </w:t>
      </w:r>
      <w:r>
        <w:t>ECT</w:t>
      </w:r>
      <w:r w:rsidR="00A37C1D">
        <w:t>. The</w:t>
      </w:r>
      <w:r>
        <w:t xml:space="preserve"> analyses were complicated by the lack</w:t>
      </w:r>
      <w:r w:rsidR="00427468">
        <w:t xml:space="preserve"> of </w:t>
      </w:r>
      <w:r>
        <w:t>standardised diagnostic</w:t>
      </w:r>
      <w:r w:rsidR="005853A9">
        <w:t xml:space="preserve"> and </w:t>
      </w:r>
      <w:r>
        <w:t>outcome criteria,</w:t>
      </w:r>
      <w:r w:rsidR="005853A9">
        <w:t xml:space="preserve"> and </w:t>
      </w:r>
      <w:r>
        <w:t>differing analytic methods</w:t>
      </w:r>
      <w:r w:rsidR="00A37C1D">
        <w:t>. The</w:t>
      </w:r>
      <w:r>
        <w:t>re was no strong evidence</w:t>
      </w:r>
      <w:r w:rsidR="00427468">
        <w:t xml:space="preserve"> of </w:t>
      </w:r>
      <w:r>
        <w:t>benefit</w:t>
      </w:r>
      <w:r w:rsidR="00427468">
        <w:t xml:space="preserve"> of </w:t>
      </w:r>
      <w:r>
        <w:t>either pharmacotherapy or psychotherapy in terms</w:t>
      </w:r>
      <w:r w:rsidR="00427468">
        <w:t xml:space="preserve"> of </w:t>
      </w:r>
      <w:r>
        <w:t>a complete remission</w:t>
      </w:r>
      <w:r w:rsidR="00427468">
        <w:t xml:space="preserve"> of </w:t>
      </w:r>
      <w:r>
        <w:t>depression following stroke</w:t>
      </w:r>
      <w:r w:rsidR="00A37C1D">
        <w:t>. The</w:t>
      </w:r>
      <w:r>
        <w:t>re was evidence</w:t>
      </w:r>
      <w:r w:rsidR="00427468">
        <w:t xml:space="preserve"> of </w:t>
      </w:r>
      <w:r>
        <w:t>a reduction (improvement) in scores on depression rating scales,</w:t>
      </w:r>
      <w:r w:rsidR="005853A9">
        <w:t xml:space="preserve"> and </w:t>
      </w:r>
      <w:r>
        <w:t>an increase in the proportion</w:t>
      </w:r>
      <w:r w:rsidR="00427468">
        <w:t xml:space="preserve"> of </w:t>
      </w:r>
      <w:r>
        <w:t>participants with anxiety at the end</w:t>
      </w:r>
      <w:r w:rsidR="00427468">
        <w:t xml:space="preserve"> of </w:t>
      </w:r>
      <w:r>
        <w:t>follow up. REVIEWERS</w:t>
      </w:r>
      <w:r w:rsidR="0071223E">
        <w:t>’</w:t>
      </w:r>
      <w:r>
        <w:t xml:space="preserve"> CONCLUSIONS: This review found no evidence to support the routine use</w:t>
      </w:r>
      <w:r w:rsidR="00427468">
        <w:t xml:space="preserve"> of </w:t>
      </w:r>
      <w:r>
        <w:t>pharmacotherapeutic or psychotherapeutic treatment for depression after stroke. More research is required before recommendations can be made about the most appropriate management</w:t>
      </w:r>
      <w:r w:rsidR="00427468">
        <w:t xml:space="preserve"> of </w:t>
      </w:r>
      <w:r>
        <w:t>depression following stroke.</w:t>
      </w:r>
    </w:p>
    <w:p w:rsidR="00365DE4" w:rsidRDefault="00365DE4" w:rsidP="00365DE4">
      <w:pPr>
        <w:pStyle w:val="a3"/>
      </w:pPr>
      <w:r>
        <w:t xml:space="preserve">Keywords: Adverse Effects, Analyses, Anxiety, Anxiety Disorders, Background, Care, Collection, Control, Criteria, Data, Data-Collection, Death, Depression, Diagnosis, Disability, ECT, Effectiveness, Events, Evidence, Follow-Up, Function, Improvement, Management, </w:t>
      </w:r>
      <w:r w:rsidR="00D5664A">
        <w:t>MEDLINE</w:t>
      </w:r>
      <w:r>
        <w:t>, Meta-Analysis, Metaanalysis, Methods, Objectives, Older People, Outcome, Outcomes, Patients, Pharmaceutical Agents, Pharmacotherapy, Physical, Placebo, Prevalence, Psychotherapy, Recommendations, Recurrent, Reduction, Research, Review, Reviewers, Scales, Science Citation Index, Search, Selection, Selection Criteria, Standard, Strategies, Strategy, Stroke, Support, Textbooks, Treatment, Uncertainty</w:t>
      </w:r>
    </w:p>
    <w:p w:rsidR="00365DE4" w:rsidRDefault="00365DE4" w:rsidP="00365DE4">
      <w:pPr>
        <w:pStyle w:val="a3"/>
        <w:rPr>
          <w:kern w:val="0"/>
        </w:rPr>
      </w:pPr>
      <w:r>
        <w:rPr>
          <w:kern w:val="0"/>
        </w:rPr>
        <w:t>? Hart, M.G., Grant, R., Walker, M.</w:t>
      </w:r>
      <w:r w:rsidR="005853A9">
        <w:rPr>
          <w:kern w:val="0"/>
        </w:rPr>
        <w:t xml:space="preserve"> and </w:t>
      </w:r>
      <w:r>
        <w:rPr>
          <w:kern w:val="0"/>
        </w:rPr>
        <w:t>Dickinson, H. (2005), Surgical resection</w:t>
      </w:r>
      <w:r w:rsidR="005853A9">
        <w:rPr>
          <w:kern w:val="0"/>
        </w:rPr>
        <w:t xml:space="preserve"> and </w:t>
      </w:r>
      <w:r>
        <w:rPr>
          <w:kern w:val="0"/>
        </w:rPr>
        <w:t xml:space="preserve">whole brain radiation therapy versus whole brain radiation therapy alone for single brain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CD003292.</w:t>
      </w:r>
    </w:p>
    <w:p w:rsidR="00365DE4" w:rsidRDefault="00365DE4" w:rsidP="00365DE4">
      <w:pPr>
        <w:pStyle w:val="a3"/>
        <w:rPr>
          <w:kern w:val="0"/>
        </w:rPr>
      </w:pPr>
      <w:r>
        <w:rPr>
          <w:kern w:val="0"/>
        </w:rPr>
        <w:t>Abstract: Background The treatment</w:t>
      </w:r>
      <w:r w:rsidR="00427468">
        <w:rPr>
          <w:kern w:val="0"/>
        </w:rPr>
        <w:t xml:space="preserve"> of </w:t>
      </w:r>
      <w:r>
        <w:rPr>
          <w:kern w:val="0"/>
        </w:rPr>
        <w:t>brain metastasis is generally palliative, with whole brain radiation therapy (WBRT), since the majority have uncontrollable systemic cancer. In certain circumstances, such as single brain metastases, death may be more likely from brain involvement than systemic disease. In this group, surgical resection has been proposed to relieve symptoms</w:t>
      </w:r>
      <w:r w:rsidR="005853A9">
        <w:rPr>
          <w:kern w:val="0"/>
        </w:rPr>
        <w:t xml:space="preserve"> and </w:t>
      </w:r>
      <w:r>
        <w:rPr>
          <w:kern w:val="0"/>
        </w:rPr>
        <w:t>prolong survival. Objectives To assess the clinical effectiveness</w:t>
      </w:r>
      <w:r w:rsidR="00427468">
        <w:rPr>
          <w:kern w:val="0"/>
        </w:rPr>
        <w:t xml:space="preserve"> of </w:t>
      </w:r>
      <w:r>
        <w:rPr>
          <w:kern w:val="0"/>
        </w:rPr>
        <w:t>surgical resection plus WBRT versus WBRT alone in the treatment</w:t>
      </w:r>
      <w:r w:rsidR="00427468">
        <w:rPr>
          <w:kern w:val="0"/>
        </w:rPr>
        <w:t xml:space="preserve"> of </w:t>
      </w:r>
      <w:r>
        <w:rPr>
          <w:kern w:val="0"/>
        </w:rPr>
        <w:t>single brain metastasis. Search strategy The Cochrane Cancer Network Specialised trials register (July 2003), Cochrane Central Register</w:t>
      </w:r>
      <w:r w:rsidR="00427468">
        <w:rPr>
          <w:kern w:val="0"/>
        </w:rPr>
        <w:t xml:space="preserve"> of </w:t>
      </w:r>
      <w:r>
        <w:rPr>
          <w:kern w:val="0"/>
        </w:rPr>
        <w:lastRenderedPageBreak/>
        <w:t xml:space="preserve">Controlled Trials (CENTRAL) (Issue 1 2003), </w:t>
      </w:r>
      <w:r w:rsidR="00D5664A">
        <w:rPr>
          <w:kern w:val="0"/>
        </w:rPr>
        <w:t>MEDLINE</w:t>
      </w:r>
      <w:r>
        <w:rPr>
          <w:kern w:val="0"/>
        </w:rPr>
        <w:t xml:space="preserve"> (1966 to July 2003), EMBASE (1980 to July 2003), CANCERLIT (1980 to July 2003), BIOSIS (1985 to July 2003)</w:t>
      </w:r>
      <w:r w:rsidR="005853A9">
        <w:rPr>
          <w:kern w:val="0"/>
        </w:rPr>
        <w:t xml:space="preserve"> and </w:t>
      </w:r>
      <w:r>
        <w:rPr>
          <w:kern w:val="0"/>
        </w:rPr>
        <w:t>SCIENCE CITATION INDEX (1981 to July 2003) were searched. References</w:t>
      </w:r>
      <w:r w:rsidR="00427468">
        <w:rPr>
          <w:kern w:val="0"/>
        </w:rPr>
        <w:t xml:space="preserve"> of </w:t>
      </w:r>
      <w:r>
        <w:rPr>
          <w:kern w:val="0"/>
        </w:rPr>
        <w:t>identi fi ed studies were hand searched, as was the Journal</w:t>
      </w:r>
      <w:r w:rsidR="00427468">
        <w:rPr>
          <w:kern w:val="0"/>
        </w:rPr>
        <w:t xml:space="preserve"> of </w:t>
      </w:r>
      <w:r>
        <w:rPr>
          <w:kern w:val="0"/>
        </w:rPr>
        <w:t>Neuro-Oncology over the previous 10 years</w:t>
      </w:r>
      <w:r w:rsidR="005853A9">
        <w:rPr>
          <w:kern w:val="0"/>
        </w:rPr>
        <w:t xml:space="preserve"> and </w:t>
      </w:r>
      <w:r>
        <w:rPr>
          <w:kern w:val="0"/>
        </w:rPr>
        <w:t>Neuro-Oncology over the past 2 years, including all conference abstracts. Specialists in neuro-oncology were also contacted. Selection criteria Randomized controlled trials (RCTs) comparing surgery</w:t>
      </w:r>
      <w:r w:rsidR="005853A9">
        <w:rPr>
          <w:kern w:val="0"/>
        </w:rPr>
        <w:t xml:space="preserve"> and </w:t>
      </w:r>
      <w:r>
        <w:rPr>
          <w:kern w:val="0"/>
        </w:rPr>
        <w:t>WBRT with WBRT alone, in patients with single brain metastasis. Data collection</w:t>
      </w:r>
      <w:r w:rsidR="005853A9">
        <w:rPr>
          <w:kern w:val="0"/>
        </w:rPr>
        <w:t xml:space="preserve"> and </w:t>
      </w:r>
      <w:r>
        <w:rPr>
          <w:kern w:val="0"/>
        </w:rPr>
        <w:t>analysis Two reviewers independently assessed trial quality</w:t>
      </w:r>
      <w:r w:rsidR="005853A9">
        <w:rPr>
          <w:kern w:val="0"/>
        </w:rPr>
        <w:t xml:space="preserve"> and </w:t>
      </w:r>
      <w:r>
        <w:rPr>
          <w:kern w:val="0"/>
        </w:rPr>
        <w:t>extracted data. Main results Three RCTs were identified, with 195 patients in total. No significant difference in survival was noted hazard ratio (HR) 0.74 (95% confidence interval (CI) 0.39 to 1.40, p = 0.35), although there was a high degree</w:t>
      </w:r>
      <w:r w:rsidR="00427468">
        <w:rPr>
          <w:kern w:val="0"/>
        </w:rPr>
        <w:t xml:space="preserve"> of </w:t>
      </w:r>
      <w:r>
        <w:rPr>
          <w:kern w:val="0"/>
        </w:rPr>
        <w:t>heterogeneity between trials. One trial has shown surgery</w:t>
      </w:r>
      <w:r w:rsidR="005853A9">
        <w:rPr>
          <w:kern w:val="0"/>
        </w:rPr>
        <w:t xml:space="preserve"> and </w:t>
      </w:r>
      <w:r>
        <w:rPr>
          <w:kern w:val="0"/>
        </w:rPr>
        <w:t>WBRT to increase the duration</w:t>
      </w:r>
      <w:r w:rsidR="00427468">
        <w:rPr>
          <w:kern w:val="0"/>
        </w:rPr>
        <w:t xml:space="preserve"> of </w:t>
      </w:r>
      <w:r>
        <w:rPr>
          <w:kern w:val="0"/>
        </w:rPr>
        <w:t>functionally independent survival (FIS)HR 0.42 (95% CI 0.22 to 0.80, p &lt; 0.008)</w:t>
      </w:r>
      <w:r w:rsidR="00A37C1D">
        <w:rPr>
          <w:kern w:val="0"/>
        </w:rPr>
        <w:t>. The</w:t>
      </w:r>
      <w:r>
        <w:rPr>
          <w:kern w:val="0"/>
        </w:rPr>
        <w:t>re is a trend for surgery</w:t>
      </w:r>
      <w:r w:rsidR="005853A9">
        <w:rPr>
          <w:kern w:val="0"/>
        </w:rPr>
        <w:t xml:space="preserve"> and </w:t>
      </w:r>
      <w:r>
        <w:rPr>
          <w:kern w:val="0"/>
        </w:rPr>
        <w:t>WBRT to reduce the number</w:t>
      </w:r>
      <w:r w:rsidR="00427468">
        <w:rPr>
          <w:kern w:val="0"/>
        </w:rPr>
        <w:t xml:space="preserve"> of </w:t>
      </w:r>
      <w:r>
        <w:rPr>
          <w:kern w:val="0"/>
        </w:rPr>
        <w:t>deaths due to neurological cause odds ratio (OR) 0.57 (95% CI 0.29 to 1.10, p = 0.09). Adverse effects were not found to be statistically more common in any group. Authors</w:t>
      </w:r>
      <w:r w:rsidR="0071223E">
        <w:rPr>
          <w:kern w:val="0"/>
        </w:rPr>
        <w:t>’</w:t>
      </w:r>
      <w:r>
        <w:rPr>
          <w:kern w:val="0"/>
        </w:rPr>
        <w:t xml:space="preserve"> conclusions Surgery</w:t>
      </w:r>
      <w:r w:rsidR="005853A9">
        <w:rPr>
          <w:kern w:val="0"/>
        </w:rPr>
        <w:t xml:space="preserve"> and </w:t>
      </w:r>
      <w:r>
        <w:rPr>
          <w:kern w:val="0"/>
        </w:rPr>
        <w:t>WBRT may improve FIS but not overall survival</w:t>
      </w:r>
      <w:r w:rsidR="00A37C1D">
        <w:rPr>
          <w:kern w:val="0"/>
        </w:rPr>
        <w:t>. The</w:t>
      </w:r>
      <w:r>
        <w:rPr>
          <w:kern w:val="0"/>
        </w:rPr>
        <w:t>re is a trend that it may reduce the proportion</w:t>
      </w:r>
      <w:r w:rsidR="00427468">
        <w:rPr>
          <w:kern w:val="0"/>
        </w:rPr>
        <w:t xml:space="preserve"> of </w:t>
      </w:r>
      <w:r>
        <w:rPr>
          <w:kern w:val="0"/>
        </w:rPr>
        <w:t>deaths due to neurological cause. All these results were in a highly selected group</w:t>
      </w:r>
      <w:r w:rsidR="00427468">
        <w:rPr>
          <w:kern w:val="0"/>
        </w:rPr>
        <w:t xml:space="preserve"> of </w:t>
      </w:r>
      <w:r>
        <w:rPr>
          <w:kern w:val="0"/>
        </w:rPr>
        <w:t>patients. Operating on metastases does not confer significantly more adverse effects.</w:t>
      </w:r>
    </w:p>
    <w:p w:rsidR="00365DE4" w:rsidRDefault="00365DE4" w:rsidP="00365DE4">
      <w:pPr>
        <w:pStyle w:val="a3"/>
        <w:rPr>
          <w:kern w:val="0"/>
        </w:rPr>
      </w:pPr>
      <w:r>
        <w:rPr>
          <w:kern w:val="0"/>
        </w:rPr>
        <w:t xml:space="preserve">Keywords: Authors, Brain, Cancer, Citation, Citation Indexes, Citation-Index, Criteria, Effectiveness, Heterogeneity, Index, Indexes, </w:t>
      </w:r>
      <w:r w:rsidR="00D5664A">
        <w:rPr>
          <w:kern w:val="0"/>
        </w:rPr>
        <w:t>MEDLINE</w:t>
      </w:r>
      <w:r>
        <w:rPr>
          <w:kern w:val="0"/>
        </w:rPr>
        <w:t>, Neurological, Radiotherapy, Randomized Controlled Trials, Randomized-Trial, Science, Science Citation, Science Citation Index, Science-Citation-Index, Stereotaxic Radiosurgery, Surgery, Therapy, Treatment</w:t>
      </w:r>
    </w:p>
    <w:p w:rsidR="00365DE4" w:rsidRDefault="00365DE4" w:rsidP="00365DE4">
      <w:pPr>
        <w:pStyle w:val="a3"/>
        <w:rPr>
          <w:kern w:val="0"/>
        </w:rPr>
      </w:pPr>
      <w:r>
        <w:rPr>
          <w:kern w:val="0"/>
        </w:rPr>
        <w:t>? Wake, B.L., McCormack, K., Fraser, C., Vale, L., Perez, J.</w:t>
      </w:r>
      <w:r w:rsidR="005853A9">
        <w:rPr>
          <w:kern w:val="0"/>
        </w:rPr>
        <w:t xml:space="preserve"> and </w:t>
      </w:r>
      <w:r>
        <w:rPr>
          <w:kern w:val="0"/>
        </w:rPr>
        <w:t xml:space="preserve">Grant, A.M. (2005), Transabdominal pre-peritoneal (TAPP) vs totally extraperitoneal (TEP) laparoscopic techniques for inguinal hernia repair.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CD004703.</w:t>
      </w:r>
    </w:p>
    <w:p w:rsidR="00365DE4" w:rsidRDefault="00365DE4" w:rsidP="00365DE4">
      <w:pPr>
        <w:pStyle w:val="a3"/>
        <w:rPr>
          <w:kern w:val="2"/>
        </w:rPr>
      </w:pPr>
      <w:r>
        <w:t xml:space="preserve">Full Text: </w:t>
      </w:r>
      <w:hyperlink r:id="rId499" w:history="1">
        <w:r>
          <w:rPr>
            <w:rStyle w:val="a5"/>
          </w:rPr>
          <w:t>2005\Coc Dat Sys Rev2005, CD004703.pdf</w:t>
        </w:r>
      </w:hyperlink>
    </w:p>
    <w:p w:rsidR="00365DE4" w:rsidRDefault="00365DE4" w:rsidP="00365DE4">
      <w:pPr>
        <w:pStyle w:val="a3"/>
        <w:rPr>
          <w:kern w:val="0"/>
        </w:rPr>
      </w:pPr>
      <w:r>
        <w:rPr>
          <w:kern w:val="0"/>
        </w:rPr>
        <w:t>Abstract: Background The choice</w:t>
      </w:r>
      <w:r w:rsidR="00427468">
        <w:rPr>
          <w:kern w:val="0"/>
        </w:rPr>
        <w:t xml:space="preserve"> of </w:t>
      </w:r>
      <w:r>
        <w:rPr>
          <w:kern w:val="0"/>
        </w:rPr>
        <w:t>approach to the laparoscopic repair</w:t>
      </w:r>
      <w:r w:rsidR="00427468">
        <w:rPr>
          <w:kern w:val="0"/>
        </w:rPr>
        <w:t xml:space="preserve"> of </w:t>
      </w:r>
      <w:r>
        <w:rPr>
          <w:kern w:val="0"/>
        </w:rPr>
        <w:t>inguinal hernia is controversial</w:t>
      </w:r>
      <w:r w:rsidR="00A37C1D">
        <w:rPr>
          <w:kern w:val="0"/>
        </w:rPr>
        <w:t>. The</w:t>
      </w:r>
      <w:r>
        <w:rPr>
          <w:kern w:val="0"/>
        </w:rPr>
        <w:t>re is a scarcity</w:t>
      </w:r>
      <w:r w:rsidR="00427468">
        <w:rPr>
          <w:kern w:val="0"/>
        </w:rPr>
        <w:t xml:space="preserve"> of </w:t>
      </w:r>
      <w:r>
        <w:rPr>
          <w:kern w:val="0"/>
        </w:rPr>
        <w:t>data comparing the laparoscopic transabdominal preperitoneal (TAPP) approach with the laparoscopic totally extraperitoneal (TEP) approach</w:t>
      </w:r>
      <w:r w:rsidR="005853A9">
        <w:rPr>
          <w:kern w:val="0"/>
        </w:rPr>
        <w:t xml:space="preserve"> and </w:t>
      </w:r>
      <w:r>
        <w:rPr>
          <w:kern w:val="0"/>
        </w:rPr>
        <w:t>questions remain about their relative merits</w:t>
      </w:r>
      <w:r w:rsidR="005853A9">
        <w:rPr>
          <w:kern w:val="0"/>
        </w:rPr>
        <w:t xml:space="preserve"> and </w:t>
      </w:r>
      <w:r>
        <w:rPr>
          <w:kern w:val="0"/>
        </w:rPr>
        <w:t>risks. Objectives To compare the clinical effectiveness</w:t>
      </w:r>
      <w:r w:rsidR="005853A9">
        <w:rPr>
          <w:kern w:val="0"/>
        </w:rPr>
        <w:t xml:space="preserve"> and </w:t>
      </w:r>
      <w:r>
        <w:rPr>
          <w:kern w:val="0"/>
        </w:rPr>
        <w:t>relative efficiency</w:t>
      </w:r>
      <w:r w:rsidR="00427468">
        <w:rPr>
          <w:kern w:val="0"/>
        </w:rPr>
        <w:t xml:space="preserve"> of </w:t>
      </w:r>
      <w:r>
        <w:rPr>
          <w:kern w:val="0"/>
        </w:rPr>
        <w:t>laparoscopic TAPP</w:t>
      </w:r>
      <w:r w:rsidR="005853A9">
        <w:rPr>
          <w:kern w:val="0"/>
        </w:rPr>
        <w:t xml:space="preserve"> and </w:t>
      </w:r>
      <w:r>
        <w:rPr>
          <w:kern w:val="0"/>
        </w:rPr>
        <w:t xml:space="preserve">laparoscopic TEP for inguinal hernia repair. Search strategy We searched </w:t>
      </w:r>
      <w:r w:rsidR="00D5664A">
        <w:rPr>
          <w:kern w:val="0"/>
        </w:rPr>
        <w:t>MEDLINE</w:t>
      </w:r>
      <w:r>
        <w:rPr>
          <w:kern w:val="0"/>
        </w:rPr>
        <w:t xml:space="preserve"> Extra, Embase, Biosis, Science Citation Index, Cochrane Central Register</w:t>
      </w:r>
      <w:r w:rsidR="00427468">
        <w:rPr>
          <w:kern w:val="0"/>
        </w:rPr>
        <w:t xml:space="preserve"> of </w:t>
      </w:r>
      <w:r>
        <w:rPr>
          <w:kern w:val="0"/>
        </w:rPr>
        <w:t>Controlled Trials (CENTRAL), Journals@Ovid Full Text</w:t>
      </w:r>
      <w:r w:rsidR="005853A9">
        <w:rPr>
          <w:kern w:val="0"/>
        </w:rPr>
        <w:t xml:space="preserve"> and </w:t>
      </w:r>
      <w:r>
        <w:rPr>
          <w:kern w:val="0"/>
        </w:rPr>
        <w:t xml:space="preserve">the </w:t>
      </w:r>
      <w:r>
        <w:rPr>
          <w:kern w:val="0"/>
        </w:rPr>
        <w:lastRenderedPageBreak/>
        <w:t>electronic version</w:t>
      </w:r>
      <w:r w:rsidR="00427468">
        <w:rPr>
          <w:kern w:val="0"/>
        </w:rPr>
        <w:t xml:space="preserve"> of </w:t>
      </w:r>
      <w:r>
        <w:rPr>
          <w:kern w:val="0"/>
        </w:rPr>
        <w:t>the journal, Surgical Endscopy. Recent conference proceedings by the following organisations were hand searched: Association</w:t>
      </w:r>
      <w:r w:rsidR="00427468">
        <w:rPr>
          <w:kern w:val="0"/>
        </w:rPr>
        <w:t xml:space="preserve"> of </w:t>
      </w:r>
      <w:r>
        <w:rPr>
          <w:kern w:val="0"/>
        </w:rPr>
        <w:t>Endoscopic Surgeons</w:t>
      </w:r>
      <w:r w:rsidR="00427468">
        <w:rPr>
          <w:kern w:val="0"/>
        </w:rPr>
        <w:t xml:space="preserve"> of </w:t>
      </w:r>
      <w:r>
        <w:rPr>
          <w:kern w:val="0"/>
        </w:rPr>
        <w:t>Great Britain &amp; Ireland; International Congress</w:t>
      </w:r>
      <w:r w:rsidR="00427468">
        <w:rPr>
          <w:kern w:val="0"/>
        </w:rPr>
        <w:t xml:space="preserve"> of </w:t>
      </w:r>
      <w:r>
        <w:rPr>
          <w:kern w:val="0"/>
        </w:rPr>
        <w:t>the European Association for Endoscopic Surgery; Scientific Session</w:t>
      </w:r>
      <w:r w:rsidR="00427468">
        <w:rPr>
          <w:kern w:val="0"/>
        </w:rPr>
        <w:t xml:space="preserve"> of </w:t>
      </w:r>
      <w:r>
        <w:rPr>
          <w:kern w:val="0"/>
        </w:rPr>
        <w:t>the Society</w:t>
      </w:r>
      <w:r w:rsidR="00427468">
        <w:rPr>
          <w:kern w:val="0"/>
        </w:rPr>
        <w:t xml:space="preserve"> of </w:t>
      </w:r>
      <w:r>
        <w:rPr>
          <w:kern w:val="0"/>
        </w:rPr>
        <w:t>American Gastrointestinal &amp; Endoscopic Surgeons (SAGES);</w:t>
      </w:r>
      <w:r w:rsidR="005853A9">
        <w:rPr>
          <w:kern w:val="0"/>
        </w:rPr>
        <w:t xml:space="preserve"> and </w:t>
      </w:r>
      <w:r>
        <w:rPr>
          <w:kern w:val="0"/>
        </w:rPr>
        <w:t>the Italian Society</w:t>
      </w:r>
      <w:r w:rsidR="00427468">
        <w:rPr>
          <w:kern w:val="0"/>
        </w:rPr>
        <w:t xml:space="preserve"> of </w:t>
      </w:r>
      <w:r>
        <w:rPr>
          <w:kern w:val="0"/>
        </w:rPr>
        <w:t>Endoscopic Surgery. In addition, specialists involved in research on the repair</w:t>
      </w:r>
      <w:r w:rsidR="00427468">
        <w:rPr>
          <w:kern w:val="0"/>
        </w:rPr>
        <w:t xml:space="preserve"> of </w:t>
      </w:r>
      <w:r>
        <w:rPr>
          <w:kern w:val="0"/>
        </w:rPr>
        <w:t>inguinal hernia were contacted to ask for information about any further completed</w:t>
      </w:r>
      <w:r w:rsidR="005853A9">
        <w:rPr>
          <w:kern w:val="0"/>
        </w:rPr>
        <w:t xml:space="preserve"> and </w:t>
      </w:r>
      <w:r>
        <w:rPr>
          <w:kern w:val="0"/>
        </w:rPr>
        <w:t>ongoing trials, relevant websites were searched</w:t>
      </w:r>
      <w:r w:rsidR="005853A9">
        <w:rPr>
          <w:kern w:val="0"/>
        </w:rPr>
        <w:t xml:space="preserve"> and </w:t>
      </w:r>
      <w:r>
        <w:rPr>
          <w:kern w:val="0"/>
        </w:rPr>
        <w:t>reference lists</w:t>
      </w:r>
      <w:r w:rsidR="00427468">
        <w:rPr>
          <w:kern w:val="0"/>
        </w:rPr>
        <w:t xml:space="preserve"> of </w:t>
      </w:r>
      <w:r>
        <w:rPr>
          <w:kern w:val="0"/>
        </w:rPr>
        <w:t>the all included studies were checked for additional reports. Selection criteria All published</w:t>
      </w:r>
      <w:r w:rsidR="005853A9">
        <w:rPr>
          <w:kern w:val="0"/>
        </w:rPr>
        <w:t xml:space="preserve"> and </w:t>
      </w:r>
      <w:r>
        <w:rPr>
          <w:kern w:val="0"/>
        </w:rPr>
        <w:t>unpublished randomised controlled trials</w:t>
      </w:r>
      <w:r w:rsidR="005853A9">
        <w:rPr>
          <w:kern w:val="0"/>
        </w:rPr>
        <w:t xml:space="preserve"> and </w:t>
      </w:r>
      <w:r>
        <w:rPr>
          <w:kern w:val="0"/>
        </w:rPr>
        <w:t>quasi-randomised controlled trials comparing laparoscopic TAPP with laparoscopic TEP for inguinal hernia repair were eligible for inclusion. Non-randomised prospective studies were also eligible for inclusion to provide further comparative evidence</w:t>
      </w:r>
      <w:r w:rsidR="00427468">
        <w:rPr>
          <w:kern w:val="0"/>
        </w:rPr>
        <w:t xml:space="preserve"> of </w:t>
      </w:r>
      <w:r>
        <w:rPr>
          <w:kern w:val="0"/>
        </w:rPr>
        <w:t>complications</w:t>
      </w:r>
      <w:r w:rsidR="005853A9">
        <w:rPr>
          <w:kern w:val="0"/>
        </w:rPr>
        <w:t xml:space="preserve"> and </w:t>
      </w:r>
      <w:r>
        <w:rPr>
          <w:kern w:val="0"/>
        </w:rPr>
        <w:t>adverse events. Data collection</w:t>
      </w:r>
      <w:r w:rsidR="005853A9">
        <w:rPr>
          <w:kern w:val="0"/>
        </w:rPr>
        <w:t xml:space="preserve"> and </w:t>
      </w:r>
      <w:r>
        <w:rPr>
          <w:kern w:val="0"/>
        </w:rPr>
        <w:t>analysis Statistical analyses were performed using the fixed effects model</w:t>
      </w:r>
      <w:r w:rsidR="005853A9">
        <w:rPr>
          <w:kern w:val="0"/>
        </w:rPr>
        <w:t xml:space="preserve"> and </w:t>
      </w:r>
      <w:r>
        <w:rPr>
          <w:kern w:val="0"/>
        </w:rPr>
        <w:t>the results expressed as relative risk (RR) for dichotomous outcomes</w:t>
      </w:r>
      <w:r w:rsidR="005853A9">
        <w:rPr>
          <w:kern w:val="0"/>
        </w:rPr>
        <w:t xml:space="preserve"> and </w:t>
      </w:r>
      <w:r>
        <w:rPr>
          <w:kern w:val="0"/>
        </w:rPr>
        <w:t>weighted mean difference (WMD) for continuous outcomes with 95% confidence intervals (CI). Main results The search identified one RCT which reported no statistical difference between TAPP</w:t>
      </w:r>
      <w:r w:rsidR="005853A9">
        <w:rPr>
          <w:kern w:val="0"/>
        </w:rPr>
        <w:t xml:space="preserve"> and </w:t>
      </w:r>
      <w:r>
        <w:rPr>
          <w:kern w:val="0"/>
        </w:rPr>
        <w:t>TEP when considering duration</w:t>
      </w:r>
      <w:r w:rsidR="00427468">
        <w:rPr>
          <w:kern w:val="0"/>
        </w:rPr>
        <w:t xml:space="preserve"> of </w:t>
      </w:r>
      <w:r>
        <w:rPr>
          <w:kern w:val="0"/>
        </w:rPr>
        <w:t>operation, haemotoma, length</w:t>
      </w:r>
      <w:r w:rsidR="00427468">
        <w:rPr>
          <w:kern w:val="0"/>
        </w:rPr>
        <w:t xml:space="preserve"> of </w:t>
      </w:r>
      <w:r>
        <w:rPr>
          <w:kern w:val="0"/>
        </w:rPr>
        <w:t>stay, time to return to usual activity</w:t>
      </w:r>
      <w:r w:rsidR="005853A9">
        <w:rPr>
          <w:kern w:val="0"/>
        </w:rPr>
        <w:t xml:space="preserve"> and </w:t>
      </w:r>
      <w:r>
        <w:rPr>
          <w:kern w:val="0"/>
        </w:rPr>
        <w:t>recurrence</w:t>
      </w:r>
      <w:r w:rsidR="00A37C1D">
        <w:rPr>
          <w:kern w:val="0"/>
        </w:rPr>
        <w:t>. The</w:t>
      </w:r>
      <w:r>
        <w:rPr>
          <w:kern w:val="0"/>
        </w:rPr>
        <w:t xml:space="preserve"> eight non-randomised studies suggest that TAPP is associated with higher rates</w:t>
      </w:r>
      <w:r w:rsidR="00427468">
        <w:rPr>
          <w:kern w:val="0"/>
        </w:rPr>
        <w:t xml:space="preserve"> of </w:t>
      </w:r>
      <w:r>
        <w:rPr>
          <w:kern w:val="0"/>
        </w:rPr>
        <w:t>port-site hernias</w:t>
      </w:r>
      <w:r w:rsidR="005853A9">
        <w:rPr>
          <w:kern w:val="0"/>
        </w:rPr>
        <w:t xml:space="preserve"> and </w:t>
      </w:r>
      <w:r>
        <w:rPr>
          <w:kern w:val="0"/>
        </w:rPr>
        <w:t>visceral injuries whilst there appear to be more conversions with TEP. Vascular injuries</w:t>
      </w:r>
      <w:r w:rsidR="005853A9">
        <w:rPr>
          <w:kern w:val="0"/>
        </w:rPr>
        <w:t xml:space="preserve"> and </w:t>
      </w:r>
      <w:r>
        <w:rPr>
          <w:kern w:val="0"/>
        </w:rPr>
        <w:t>deep/mesh infections were rare</w:t>
      </w:r>
      <w:r w:rsidR="005853A9">
        <w:rPr>
          <w:kern w:val="0"/>
        </w:rPr>
        <w:t xml:space="preserve"> and </w:t>
      </w:r>
      <w:r>
        <w:rPr>
          <w:kern w:val="0"/>
        </w:rPr>
        <w:t>there was no obvious difference between the groups. No studies reporting economic evidence were identified. Very limited data were available on learning effects but these data suggest that operators become experienced at between 30</w:t>
      </w:r>
      <w:r w:rsidR="005853A9">
        <w:rPr>
          <w:kern w:val="0"/>
        </w:rPr>
        <w:t xml:space="preserve"> and </w:t>
      </w:r>
      <w:r>
        <w:rPr>
          <w:kern w:val="0"/>
        </w:rPr>
        <w:t>100 procedures. Authors</w:t>
      </w:r>
      <w:r w:rsidR="0071223E">
        <w:rPr>
          <w:kern w:val="0"/>
        </w:rPr>
        <w:t>’</w:t>
      </w:r>
      <w:r>
        <w:rPr>
          <w:kern w:val="0"/>
        </w:rPr>
        <w:t xml:space="preserve"> conclusions There is insufficient data to allow conclusions to be drawn about the relative effectiveness</w:t>
      </w:r>
      <w:r w:rsidR="00427468">
        <w:rPr>
          <w:kern w:val="0"/>
        </w:rPr>
        <w:t xml:space="preserve"> of </w:t>
      </w:r>
      <w:r>
        <w:rPr>
          <w:kern w:val="0"/>
        </w:rPr>
        <w:t>TEP compared with TAPP. Efforts should be made to start</w:t>
      </w:r>
      <w:r w:rsidR="005853A9">
        <w:rPr>
          <w:kern w:val="0"/>
        </w:rPr>
        <w:t xml:space="preserve"> and </w:t>
      </w:r>
      <w:r>
        <w:rPr>
          <w:kern w:val="0"/>
        </w:rPr>
        <w:t>complete adequately powered RCTs, which compare the different methods</w:t>
      </w:r>
      <w:r w:rsidR="00427468">
        <w:rPr>
          <w:kern w:val="0"/>
        </w:rPr>
        <w:t xml:space="preserve"> of </w:t>
      </w:r>
      <w:r>
        <w:rPr>
          <w:kern w:val="0"/>
        </w:rPr>
        <w:t>laparoscopic repair.</w:t>
      </w:r>
    </w:p>
    <w:p w:rsidR="00365DE4" w:rsidRDefault="00365DE4" w:rsidP="00365DE4">
      <w:pPr>
        <w:pStyle w:val="a3"/>
        <w:rPr>
          <w:kern w:val="0"/>
        </w:rPr>
      </w:pPr>
      <w:r>
        <w:rPr>
          <w:kern w:val="0"/>
        </w:rPr>
        <w:t xml:space="preserve">Keywords: Authors, Citation, Complications, Criteria, Economic, Effectiveness, Groups, Hernioplasty, Herniorrhaphy, International, Journal, Learning, Learning-Curve, </w:t>
      </w:r>
      <w:r w:rsidR="00D5664A">
        <w:rPr>
          <w:kern w:val="0"/>
        </w:rPr>
        <w:t>MEDLINE</w:t>
      </w:r>
      <w:r>
        <w:rPr>
          <w:kern w:val="0"/>
        </w:rPr>
        <w:t>, Methods, Model, Multicenter, Outcomes, Preperitoneal, Research, Risk, Science, Science Citation Index, Surgery, Techniques, Transperitoneal, Trial</w:t>
      </w:r>
    </w:p>
    <w:p w:rsidR="00365DE4" w:rsidRDefault="00365DE4" w:rsidP="00365DE4">
      <w:pPr>
        <w:pStyle w:val="a3"/>
        <w:rPr>
          <w:kern w:val="2"/>
        </w:rPr>
      </w:pPr>
      <w:r>
        <w:rPr>
          <w:kern w:val="0"/>
        </w:rPr>
        <w:t>? Coward, L.J., Featherstone, R.L.</w:t>
      </w:r>
      <w:r w:rsidR="005853A9">
        <w:rPr>
          <w:kern w:val="0"/>
        </w:rPr>
        <w:t xml:space="preserve"> and </w:t>
      </w:r>
      <w:r>
        <w:rPr>
          <w:kern w:val="0"/>
        </w:rPr>
        <w:t>Brown, M.M. (2005), Percutaneous transluminal angioplasty</w:t>
      </w:r>
      <w:r w:rsidR="005853A9">
        <w:rPr>
          <w:kern w:val="0"/>
        </w:rPr>
        <w:t xml:space="preserve"> and </w:t>
      </w:r>
      <w:r>
        <w:rPr>
          <w:kern w:val="0"/>
        </w:rPr>
        <w:t xml:space="preserve">stenting for vertebral artery stenosis.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CD000519.</w:t>
      </w:r>
    </w:p>
    <w:p w:rsidR="00365DE4" w:rsidRDefault="00365DE4" w:rsidP="00365DE4">
      <w:pPr>
        <w:pStyle w:val="a3"/>
      </w:pPr>
      <w:r>
        <w:t xml:space="preserve">Full Text: </w:t>
      </w:r>
      <w:hyperlink r:id="rId500" w:history="1">
        <w:r>
          <w:rPr>
            <w:rStyle w:val="a5"/>
          </w:rPr>
          <w:t>2005\Coc Dat Sys Rev2005, CD000519.pdf</w:t>
        </w:r>
      </w:hyperlink>
    </w:p>
    <w:p w:rsidR="00365DE4" w:rsidRDefault="00365DE4" w:rsidP="00365DE4">
      <w:pPr>
        <w:pStyle w:val="a3"/>
        <w:rPr>
          <w:kern w:val="0"/>
        </w:rPr>
      </w:pPr>
      <w:r>
        <w:rPr>
          <w:kern w:val="0"/>
        </w:rPr>
        <w:t>Abstract: Background Surgery for vertebral artery stenosis is technically difficult, potentially hazardous</w:t>
      </w:r>
      <w:r w:rsidR="005853A9">
        <w:rPr>
          <w:kern w:val="0"/>
        </w:rPr>
        <w:t xml:space="preserve"> and </w:t>
      </w:r>
      <w:r>
        <w:rPr>
          <w:kern w:val="0"/>
        </w:rPr>
        <w:t>is not considered in most centres</w:t>
      </w:r>
      <w:r w:rsidR="00A37C1D">
        <w:rPr>
          <w:kern w:val="0"/>
        </w:rPr>
        <w:t>. The</w:t>
      </w:r>
      <w:r>
        <w:rPr>
          <w:kern w:val="0"/>
        </w:rPr>
        <w:t xml:space="preserve">re is growing </w:t>
      </w:r>
      <w:r>
        <w:rPr>
          <w:kern w:val="0"/>
        </w:rPr>
        <w:lastRenderedPageBreak/>
        <w:t>evidence from case series that vertebral artery stenosis may be treated endovascularly by percutaneous transluminal angioplasty</w:t>
      </w:r>
      <w:r w:rsidR="005853A9">
        <w:rPr>
          <w:kern w:val="0"/>
        </w:rPr>
        <w:t xml:space="preserve"> and </w:t>
      </w:r>
      <w:r>
        <w:rPr>
          <w:kern w:val="0"/>
        </w:rPr>
        <w:t>stenting. This may be a feasible alternative to surgery to relieve symptoms caused by significant stenosis. Objectives The objective</w:t>
      </w:r>
      <w:r w:rsidR="00427468">
        <w:rPr>
          <w:kern w:val="0"/>
        </w:rPr>
        <w:t xml:space="preserve"> of </w:t>
      </w:r>
      <w:r>
        <w:rPr>
          <w:kern w:val="0"/>
        </w:rPr>
        <w:t>this review was to assess the safety</w:t>
      </w:r>
      <w:r w:rsidR="005853A9">
        <w:rPr>
          <w:kern w:val="0"/>
        </w:rPr>
        <w:t xml:space="preserve"> and </w:t>
      </w:r>
      <w:r>
        <w:rPr>
          <w:kern w:val="0"/>
        </w:rPr>
        <w:t>efficacy</w:t>
      </w:r>
      <w:r w:rsidR="00427468">
        <w:rPr>
          <w:kern w:val="0"/>
        </w:rPr>
        <w:t xml:space="preserve"> of </w:t>
      </w:r>
      <w:r>
        <w:rPr>
          <w:kern w:val="0"/>
        </w:rPr>
        <w:t>vertebral artery percutaneous transluminal angioplasty, with or without stenting, combined with medical care, compared to medical care alone, in patients with vertebral artery stenosis. Search strategy We searched the Cochrane Stroke Group</w:t>
      </w:r>
      <w:r w:rsidR="0071223E">
        <w:rPr>
          <w:kern w:val="0"/>
        </w:rPr>
        <w:t>’</w:t>
      </w:r>
      <w:r>
        <w:rPr>
          <w:kern w:val="0"/>
        </w:rPr>
        <w:t>s trials register (last searched 28 July 2004). In addition we searched the following bibliographic databases: Cochrane Central Register</w:t>
      </w:r>
      <w:r w:rsidR="00427468">
        <w:rPr>
          <w:kern w:val="0"/>
        </w:rPr>
        <w:t xml:space="preserve"> of </w:t>
      </w:r>
      <w:r>
        <w:rPr>
          <w:kern w:val="0"/>
        </w:rPr>
        <w:t xml:space="preserve">Controlled Trials (The Cochrane Library, Issue 3, 2002), </w:t>
      </w:r>
      <w:r w:rsidR="00D5664A">
        <w:rPr>
          <w:kern w:val="0"/>
        </w:rPr>
        <w:t>MEDLINE</w:t>
      </w:r>
      <w:r>
        <w:rPr>
          <w:kern w:val="0"/>
        </w:rPr>
        <w:t xml:space="preserve"> (1966 to July 2004), EMBASE (1980 to July 2004),</w:t>
      </w:r>
      <w:r w:rsidR="005853A9">
        <w:rPr>
          <w:kern w:val="0"/>
        </w:rPr>
        <w:t xml:space="preserve"> and </w:t>
      </w:r>
      <w:r>
        <w:rPr>
          <w:kern w:val="0"/>
        </w:rPr>
        <w:t>Science Citation Index (1981 to July 2004). We also contacted researchers in the field,</w:t>
      </w:r>
      <w:r w:rsidR="005853A9">
        <w:rPr>
          <w:kern w:val="0"/>
        </w:rPr>
        <w:t xml:space="preserve"> and </w:t>
      </w:r>
      <w:r>
        <w:rPr>
          <w:kern w:val="0"/>
        </w:rPr>
        <w:t>balloon catheter</w:t>
      </w:r>
      <w:r w:rsidR="005853A9">
        <w:rPr>
          <w:kern w:val="0"/>
        </w:rPr>
        <w:t xml:space="preserve"> and </w:t>
      </w:r>
      <w:r>
        <w:rPr>
          <w:kern w:val="0"/>
        </w:rPr>
        <w:t>stent manufacturers. Selection criteria We selected randomised trials</w:t>
      </w:r>
      <w:r w:rsidR="00427468">
        <w:rPr>
          <w:kern w:val="0"/>
        </w:rPr>
        <w:t xml:space="preserve"> of </w:t>
      </w:r>
      <w:r>
        <w:rPr>
          <w:kern w:val="0"/>
        </w:rPr>
        <w:t>endovascular treatment</w:t>
      </w:r>
      <w:r w:rsidR="00427468">
        <w:rPr>
          <w:kern w:val="0"/>
        </w:rPr>
        <w:t xml:space="preserve"> of </w:t>
      </w:r>
      <w:r>
        <w:rPr>
          <w:kern w:val="0"/>
        </w:rPr>
        <w:t>vertebral artery stenosis combined with best medical therapy, compared with best medical therapy alone, in patients with symptomatic or asymptomatic vertebral artery stenosis. Data collection</w:t>
      </w:r>
      <w:r w:rsidR="005853A9">
        <w:rPr>
          <w:kern w:val="0"/>
        </w:rPr>
        <w:t xml:space="preserve"> and </w:t>
      </w:r>
      <w:r>
        <w:rPr>
          <w:kern w:val="0"/>
        </w:rPr>
        <w:t>analysis Two reviewers independently applied the inclusion criteria, extracted data</w:t>
      </w:r>
      <w:r w:rsidR="005853A9">
        <w:rPr>
          <w:kern w:val="0"/>
        </w:rPr>
        <w:t xml:space="preserve"> and </w:t>
      </w:r>
      <w:r>
        <w:rPr>
          <w:kern w:val="0"/>
        </w:rPr>
        <w:t>assessed trial quality. Main results One completed randomised trial was found. In one subgroup</w:t>
      </w:r>
      <w:r w:rsidR="00427468">
        <w:rPr>
          <w:kern w:val="0"/>
        </w:rPr>
        <w:t xml:space="preserve"> of </w:t>
      </w:r>
      <w:r>
        <w:rPr>
          <w:kern w:val="0"/>
        </w:rPr>
        <w:t>this trial, 16 patients with symptomatic severe vertebral artery stenosis were randomised to endovascular treatment (n = 8) or medical treatment alone (n = 8)</w:t>
      </w:r>
      <w:r w:rsidR="00A37C1D">
        <w:rPr>
          <w:kern w:val="0"/>
        </w:rPr>
        <w:t>. The</w:t>
      </w:r>
      <w:r>
        <w:rPr>
          <w:kern w:val="0"/>
        </w:rPr>
        <w:t>re were no strokes in any arterial territory or deaths from any cause in either group within 30 days</w:t>
      </w:r>
      <w:r w:rsidR="00427468">
        <w:rPr>
          <w:kern w:val="0"/>
        </w:rPr>
        <w:t xml:space="preserve"> of </w:t>
      </w:r>
      <w:r>
        <w:rPr>
          <w:kern w:val="0"/>
        </w:rPr>
        <w:t>treatment (endovascular group) or 30 days</w:t>
      </w:r>
      <w:r w:rsidR="00427468">
        <w:rPr>
          <w:kern w:val="0"/>
        </w:rPr>
        <w:t xml:space="preserve"> of </w:t>
      </w:r>
      <w:r>
        <w:rPr>
          <w:kern w:val="0"/>
        </w:rPr>
        <w:t>randomisation (medical group). In the endovascular group, two patients had a posterior circulation TIA at the time</w:t>
      </w:r>
      <w:r w:rsidR="00427468">
        <w:rPr>
          <w:kern w:val="0"/>
        </w:rPr>
        <w:t xml:space="preserve"> of </w:t>
      </w:r>
      <w:r>
        <w:rPr>
          <w:kern w:val="0"/>
        </w:rPr>
        <w:t>the procedure. In the endovascular group, the mean vessel stenosis at follow up was 47% (range 0% to 80%). Patients were followed up for a mean</w:t>
      </w:r>
      <w:r w:rsidR="00427468">
        <w:rPr>
          <w:kern w:val="0"/>
        </w:rPr>
        <w:t xml:space="preserve"> of </w:t>
      </w:r>
      <w:r>
        <w:rPr>
          <w:kern w:val="0"/>
        </w:rPr>
        <w:t>4.5 years in the endovascular group</w:t>
      </w:r>
      <w:r w:rsidR="005853A9">
        <w:rPr>
          <w:kern w:val="0"/>
        </w:rPr>
        <w:t xml:space="preserve"> and </w:t>
      </w:r>
      <w:r>
        <w:rPr>
          <w:kern w:val="0"/>
        </w:rPr>
        <w:t>4.9 years in the medical group</w:t>
      </w:r>
      <w:r w:rsidR="00A37C1D">
        <w:rPr>
          <w:kern w:val="0"/>
        </w:rPr>
        <w:t>. The</w:t>
      </w:r>
      <w:r>
        <w:rPr>
          <w:kern w:val="0"/>
        </w:rPr>
        <w:t>re were no further vertebrobasilar territory strokes in either group for the duration</w:t>
      </w:r>
      <w:r w:rsidR="00427468">
        <w:rPr>
          <w:kern w:val="0"/>
        </w:rPr>
        <w:t xml:space="preserve"> of </w:t>
      </w:r>
      <w:r>
        <w:rPr>
          <w:kern w:val="0"/>
        </w:rPr>
        <w:t>follow up. Morbidity</w:t>
      </w:r>
      <w:r w:rsidR="005853A9">
        <w:rPr>
          <w:kern w:val="0"/>
        </w:rPr>
        <w:t xml:space="preserve"> and </w:t>
      </w:r>
      <w:r>
        <w:rPr>
          <w:kern w:val="0"/>
        </w:rPr>
        <w:t>mortality was related to carotid</w:t>
      </w:r>
      <w:r w:rsidR="005853A9">
        <w:rPr>
          <w:kern w:val="0"/>
        </w:rPr>
        <w:t xml:space="preserve"> and </w:t>
      </w:r>
      <w:r>
        <w:rPr>
          <w:kern w:val="0"/>
        </w:rPr>
        <w:t>coronary artery disease in this study. Authors</w:t>
      </w:r>
      <w:r w:rsidR="0071223E">
        <w:rPr>
          <w:kern w:val="0"/>
        </w:rPr>
        <w:t>’</w:t>
      </w:r>
      <w:r>
        <w:rPr>
          <w:kern w:val="0"/>
        </w:rPr>
        <w:t xml:space="preserve"> conclusions There is currently insufficient evidence to assess the effects</w:t>
      </w:r>
      <w:r w:rsidR="00427468">
        <w:rPr>
          <w:kern w:val="0"/>
        </w:rPr>
        <w:t xml:space="preserve"> of </w:t>
      </w:r>
      <w:r>
        <w:rPr>
          <w:kern w:val="0"/>
        </w:rPr>
        <w:t>percutaneous transluminal angioplasty with or without stenting or primary stenting for vertebral artery stenosis.</w:t>
      </w:r>
    </w:p>
    <w:p w:rsidR="00365DE4" w:rsidRDefault="00365DE4" w:rsidP="00365DE4">
      <w:pPr>
        <w:pStyle w:val="a3"/>
        <w:rPr>
          <w:kern w:val="0"/>
        </w:rPr>
      </w:pPr>
      <w:r>
        <w:rPr>
          <w:kern w:val="0"/>
        </w:rPr>
        <w:t xml:space="preserve">Keywords: Assisted Angioplasty, Authors, Case Series, Circulation, Citation, Consecutive Patients, Criteria, Databases, Endarterectomy, Experience, Follow-up, Management, Medical, </w:t>
      </w:r>
      <w:r w:rsidR="00D5664A">
        <w:rPr>
          <w:kern w:val="0"/>
        </w:rPr>
        <w:t>MEDLINE</w:t>
      </w:r>
      <w:r>
        <w:rPr>
          <w:kern w:val="0"/>
        </w:rPr>
        <w:t>, Prevention, Primary, Randomized-Trial, Researchers, Review, Science, Science Citation Index, Surgery, Symptomatic Carotid Stenosis, Therapy, Treatment</w:t>
      </w:r>
    </w:p>
    <w:p w:rsidR="00365DE4" w:rsidRDefault="00365DE4" w:rsidP="00365DE4">
      <w:pPr>
        <w:pStyle w:val="a3"/>
        <w:rPr>
          <w:kern w:val="0"/>
        </w:rPr>
      </w:pPr>
      <w:r>
        <w:rPr>
          <w:kern w:val="0"/>
        </w:rPr>
        <w:t>? Mabey, D., Fraser-Hurt, N.</w:t>
      </w:r>
      <w:r w:rsidR="005853A9">
        <w:rPr>
          <w:kern w:val="0"/>
        </w:rPr>
        <w:t xml:space="preserve"> and </w:t>
      </w:r>
      <w:r>
        <w:rPr>
          <w:kern w:val="0"/>
        </w:rPr>
        <w:t xml:space="preserve">Powell, C. (2005), Antibiotics for trachoma.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CD001860.</w:t>
      </w:r>
    </w:p>
    <w:p w:rsidR="00365DE4" w:rsidRDefault="00365DE4" w:rsidP="00365DE4">
      <w:pPr>
        <w:pStyle w:val="a3"/>
        <w:rPr>
          <w:kern w:val="2"/>
        </w:rPr>
      </w:pPr>
      <w:r>
        <w:t xml:space="preserve">Full Text: </w:t>
      </w:r>
      <w:hyperlink r:id="rId501" w:history="1">
        <w:r>
          <w:rPr>
            <w:rStyle w:val="a5"/>
          </w:rPr>
          <w:t>2005\Coc Dat Sys Rev2005, CD001860.pdf</w:t>
        </w:r>
      </w:hyperlink>
    </w:p>
    <w:p w:rsidR="00365DE4" w:rsidRDefault="00365DE4" w:rsidP="00365DE4">
      <w:pPr>
        <w:pStyle w:val="a3"/>
        <w:rPr>
          <w:kern w:val="0"/>
        </w:rPr>
      </w:pPr>
      <w:r>
        <w:rPr>
          <w:kern w:val="0"/>
        </w:rPr>
        <w:t>Abstract: Background Trachoma is the world</w:t>
      </w:r>
      <w:r w:rsidR="0071223E">
        <w:rPr>
          <w:kern w:val="0"/>
        </w:rPr>
        <w:t>’</w:t>
      </w:r>
      <w:r>
        <w:rPr>
          <w:kern w:val="0"/>
        </w:rPr>
        <w:t>s leading cause</w:t>
      </w:r>
      <w:r w:rsidR="00427468">
        <w:rPr>
          <w:kern w:val="0"/>
        </w:rPr>
        <w:t xml:space="preserve"> of </w:t>
      </w:r>
      <w:r>
        <w:rPr>
          <w:kern w:val="0"/>
        </w:rPr>
        <w:t xml:space="preserve">preventable blindness. </w:t>
      </w:r>
      <w:r>
        <w:rPr>
          <w:kern w:val="0"/>
        </w:rPr>
        <w:lastRenderedPageBreak/>
        <w:t xml:space="preserve">In 1997 the World Health Organization launched an initiative on trachoma control based on the </w:t>
      </w:r>
      <w:r w:rsidR="0071223E">
        <w:rPr>
          <w:kern w:val="0"/>
        </w:rPr>
        <w:t>‘</w:t>
      </w:r>
      <w:r>
        <w:rPr>
          <w:kern w:val="0"/>
        </w:rPr>
        <w:t>SAFE</w:t>
      </w:r>
      <w:r w:rsidR="0071223E">
        <w:rPr>
          <w:kern w:val="0"/>
        </w:rPr>
        <w:t>’</w:t>
      </w:r>
      <w:r>
        <w:rPr>
          <w:kern w:val="0"/>
        </w:rPr>
        <w:t xml:space="preserve"> strategy (surgery, antibiotics, facial cleanliness</w:t>
      </w:r>
      <w:r w:rsidR="005853A9">
        <w:rPr>
          <w:kern w:val="0"/>
        </w:rPr>
        <w:t xml:space="preserve"> and </w:t>
      </w:r>
      <w:r>
        <w:rPr>
          <w:kern w:val="0"/>
        </w:rPr>
        <w:t>environmental improvement). Objectives To assess the evidence supporting the antibiotic arm</w:t>
      </w:r>
      <w:r w:rsidR="00427468">
        <w:rPr>
          <w:kern w:val="0"/>
        </w:rPr>
        <w:t xml:space="preserve"> of </w:t>
      </w:r>
      <w:r>
        <w:rPr>
          <w:kern w:val="0"/>
        </w:rPr>
        <w:t>the SAFE strategy by assessing the effects</w:t>
      </w:r>
      <w:r w:rsidR="00427468">
        <w:rPr>
          <w:kern w:val="0"/>
        </w:rPr>
        <w:t xml:space="preserve"> of </w:t>
      </w:r>
      <w:r>
        <w:rPr>
          <w:kern w:val="0"/>
        </w:rPr>
        <w:t>antibiotics on both active trachoma (primary objective)</w:t>
      </w:r>
      <w:r w:rsidR="005853A9">
        <w:rPr>
          <w:kern w:val="0"/>
        </w:rPr>
        <w:t xml:space="preserve"> and </w:t>
      </w:r>
      <w:r>
        <w:rPr>
          <w:kern w:val="0"/>
        </w:rPr>
        <w:t>on Chlamydia trachomatis infection</w:t>
      </w:r>
      <w:r w:rsidR="00427468">
        <w:rPr>
          <w:kern w:val="0"/>
        </w:rPr>
        <w:t xml:space="preserve"> of </w:t>
      </w:r>
      <w:r>
        <w:rPr>
          <w:kern w:val="0"/>
        </w:rPr>
        <w:t>the conjunctiva (secondary objective). Search strategy We searched the Cochrane Central Register</w:t>
      </w:r>
      <w:r w:rsidR="00427468">
        <w:rPr>
          <w:kern w:val="0"/>
        </w:rPr>
        <w:t xml:space="preserve"> of </w:t>
      </w:r>
      <w:r>
        <w:rPr>
          <w:kern w:val="0"/>
        </w:rPr>
        <w:t>Controlled Trials-CENTRAL (which contains the Cochrane Eyes</w:t>
      </w:r>
      <w:r w:rsidR="005853A9">
        <w:rPr>
          <w:kern w:val="0"/>
        </w:rPr>
        <w:t xml:space="preserve"> and </w:t>
      </w:r>
      <w:r>
        <w:rPr>
          <w:kern w:val="0"/>
        </w:rPr>
        <w:t xml:space="preserve">Vision Group Trials Register) (The Cochrane Library Issue 1, 2005), </w:t>
      </w:r>
      <w:r w:rsidR="00D5664A">
        <w:rPr>
          <w:kern w:val="0"/>
        </w:rPr>
        <w:t>MEDLINE</w:t>
      </w:r>
      <w:r>
        <w:rPr>
          <w:kern w:val="0"/>
        </w:rPr>
        <w:t xml:space="preserve"> (1966 to February 2005),</w:t>
      </w:r>
      <w:r w:rsidR="005853A9">
        <w:rPr>
          <w:kern w:val="0"/>
        </w:rPr>
        <w:t xml:space="preserve"> and </w:t>
      </w:r>
      <w:r>
        <w:rPr>
          <w:kern w:val="0"/>
        </w:rPr>
        <w:t>EMBASE (1980 to February 2005). We used the Science Citation Index to look for articles that cited the included studies. We searched the reference lists</w:t>
      </w:r>
      <w:r w:rsidR="00427468">
        <w:rPr>
          <w:kern w:val="0"/>
        </w:rPr>
        <w:t xml:space="preserve"> of </w:t>
      </w:r>
      <w:r>
        <w:rPr>
          <w:kern w:val="0"/>
        </w:rPr>
        <w:t>identified articles</w:t>
      </w:r>
      <w:r w:rsidR="005853A9">
        <w:rPr>
          <w:kern w:val="0"/>
        </w:rPr>
        <w:t xml:space="preserve"> and </w:t>
      </w:r>
      <w:r>
        <w:rPr>
          <w:kern w:val="0"/>
        </w:rPr>
        <w:t>we contacted authors</w:t>
      </w:r>
      <w:r w:rsidR="005853A9">
        <w:rPr>
          <w:kern w:val="0"/>
        </w:rPr>
        <w:t xml:space="preserve"> and </w:t>
      </w:r>
      <w:r>
        <w:rPr>
          <w:kern w:val="0"/>
        </w:rPr>
        <w:t>experts for details</w:t>
      </w:r>
      <w:r w:rsidR="00427468">
        <w:rPr>
          <w:kern w:val="0"/>
        </w:rPr>
        <w:t xml:space="preserve"> of </w:t>
      </w:r>
      <w:r>
        <w:rPr>
          <w:kern w:val="0"/>
        </w:rPr>
        <w:t>further relevant studies. Selection criteria We included only randomised trials that satisfied either</w:t>
      </w:r>
      <w:r w:rsidR="00427468">
        <w:rPr>
          <w:kern w:val="0"/>
        </w:rPr>
        <w:t xml:space="preserve"> of </w:t>
      </w:r>
      <w:r>
        <w:rPr>
          <w:kern w:val="0"/>
        </w:rPr>
        <w:t>two criteria: (a) trials in which topical or oral administration</w:t>
      </w:r>
      <w:r w:rsidR="00427468">
        <w:rPr>
          <w:kern w:val="0"/>
        </w:rPr>
        <w:t xml:space="preserve"> of </w:t>
      </w:r>
      <w:r>
        <w:rPr>
          <w:kern w:val="0"/>
        </w:rPr>
        <w:t>an antibiotic was compared to placebo or no treatment in people with trachoma, (b) trials in which a topical antibiotic was compared with an oral antibiotic in people with trachoma. A subdivision</w:t>
      </w:r>
      <w:r w:rsidR="00427468">
        <w:rPr>
          <w:kern w:val="0"/>
        </w:rPr>
        <w:t xml:space="preserve"> of </w:t>
      </w:r>
      <w:r>
        <w:rPr>
          <w:kern w:val="0"/>
        </w:rPr>
        <w:t>particular interest was</w:t>
      </w:r>
      <w:r w:rsidR="00427468">
        <w:rPr>
          <w:kern w:val="0"/>
        </w:rPr>
        <w:t xml:space="preserve"> of </w:t>
      </w:r>
      <w:r>
        <w:rPr>
          <w:kern w:val="0"/>
        </w:rPr>
        <w:t>trials in which topical tetracycline/chlortetracycline was compared with oral azithromycin, as these are the two World Health Organization recommended treatments. Data collection</w:t>
      </w:r>
      <w:r w:rsidR="005853A9">
        <w:rPr>
          <w:kern w:val="0"/>
        </w:rPr>
        <w:t xml:space="preserve"> and </w:t>
      </w:r>
      <w:r>
        <w:rPr>
          <w:kern w:val="0"/>
        </w:rPr>
        <w:t>analysis Two authors independently assessed trial quality</w:t>
      </w:r>
      <w:r w:rsidR="005853A9">
        <w:rPr>
          <w:kern w:val="0"/>
        </w:rPr>
        <w:t xml:space="preserve"> and </w:t>
      </w:r>
      <w:r>
        <w:rPr>
          <w:kern w:val="0"/>
        </w:rPr>
        <w:t>extracted data. We contacted investigators for missing data. Main results We found 15 studies that randomised a total</w:t>
      </w:r>
      <w:r w:rsidR="00427468">
        <w:rPr>
          <w:kern w:val="0"/>
        </w:rPr>
        <w:t xml:space="preserve"> of </w:t>
      </w:r>
      <w:r>
        <w:rPr>
          <w:kern w:val="0"/>
        </w:rPr>
        <w:t>8678 participants. For both outcomes (active trachoma</w:t>
      </w:r>
      <w:r w:rsidR="005853A9">
        <w:rPr>
          <w:kern w:val="0"/>
        </w:rPr>
        <w:t xml:space="preserve"> and </w:t>
      </w:r>
      <w:r>
        <w:rPr>
          <w:kern w:val="0"/>
        </w:rPr>
        <w:t>laboratory evidence</w:t>
      </w:r>
      <w:r w:rsidR="00427468">
        <w:rPr>
          <w:kern w:val="0"/>
        </w:rPr>
        <w:t xml:space="preserve"> of </w:t>
      </w:r>
      <w:r>
        <w:rPr>
          <w:kern w:val="0"/>
        </w:rPr>
        <w:t>infection) the results</w:t>
      </w:r>
      <w:r w:rsidR="00427468">
        <w:rPr>
          <w:kern w:val="0"/>
        </w:rPr>
        <w:t xml:space="preserve"> of </w:t>
      </w:r>
      <w:r>
        <w:rPr>
          <w:kern w:val="0"/>
        </w:rPr>
        <w:t>the chi squared tests suggested that there was significant statistical heterogeneity among the trials</w:t>
      </w:r>
      <w:r w:rsidR="00A37C1D">
        <w:rPr>
          <w:kern w:val="0"/>
        </w:rPr>
        <w:t>. The</w:t>
      </w:r>
      <w:r>
        <w:rPr>
          <w:kern w:val="0"/>
        </w:rPr>
        <w:t>re was also marked clinical heterogeneity. No summary statistics were calculated</w:t>
      </w:r>
      <w:r w:rsidR="005853A9">
        <w:rPr>
          <w:kern w:val="0"/>
        </w:rPr>
        <w:t xml:space="preserve"> and </w:t>
      </w:r>
      <w:r>
        <w:rPr>
          <w:kern w:val="0"/>
        </w:rPr>
        <w:t>we therefore present a narrative summary</w:t>
      </w:r>
      <w:r w:rsidR="00427468">
        <w:rPr>
          <w:kern w:val="0"/>
        </w:rPr>
        <w:t xml:space="preserve"> of </w:t>
      </w:r>
      <w:r>
        <w:rPr>
          <w:kern w:val="0"/>
        </w:rPr>
        <w:t>the results. For the comparisons</w:t>
      </w:r>
      <w:r w:rsidR="00427468">
        <w:rPr>
          <w:kern w:val="0"/>
        </w:rPr>
        <w:t xml:space="preserve"> of </w:t>
      </w:r>
      <w:r>
        <w:rPr>
          <w:kern w:val="0"/>
        </w:rPr>
        <w:t>oral or topical antibiotic against placebo/no treatment, the data are consistent with there being no effect</w:t>
      </w:r>
      <w:r w:rsidR="00427468">
        <w:rPr>
          <w:kern w:val="0"/>
        </w:rPr>
        <w:t xml:space="preserve"> of </w:t>
      </w:r>
      <w:r>
        <w:rPr>
          <w:kern w:val="0"/>
        </w:rPr>
        <w:t>antibiotics but are suggestive</w:t>
      </w:r>
      <w:r w:rsidR="00427468">
        <w:rPr>
          <w:kern w:val="0"/>
        </w:rPr>
        <w:t xml:space="preserve"> of </w:t>
      </w:r>
      <w:r>
        <w:rPr>
          <w:kern w:val="0"/>
        </w:rPr>
        <w:t>a lowering</w:t>
      </w:r>
      <w:r w:rsidR="00427468">
        <w:rPr>
          <w:kern w:val="0"/>
        </w:rPr>
        <w:t xml:space="preserve"> of </w:t>
      </w:r>
      <w:r>
        <w:rPr>
          <w:kern w:val="0"/>
        </w:rPr>
        <w:t>the point prevalence</w:t>
      </w:r>
      <w:r w:rsidR="00427468">
        <w:rPr>
          <w:kern w:val="0"/>
        </w:rPr>
        <w:t xml:space="preserve"> of </w:t>
      </w:r>
      <w:r>
        <w:rPr>
          <w:kern w:val="0"/>
        </w:rPr>
        <w:t>relative risk</w:t>
      </w:r>
      <w:r w:rsidR="00427468">
        <w:rPr>
          <w:kern w:val="0"/>
        </w:rPr>
        <w:t xml:space="preserve"> of </w:t>
      </w:r>
      <w:r>
        <w:rPr>
          <w:kern w:val="0"/>
        </w:rPr>
        <w:t>both active disease</w:t>
      </w:r>
      <w:r w:rsidR="005853A9">
        <w:rPr>
          <w:kern w:val="0"/>
        </w:rPr>
        <w:t xml:space="preserve"> and </w:t>
      </w:r>
      <w:r>
        <w:rPr>
          <w:kern w:val="0"/>
        </w:rPr>
        <w:t>laboratory evidence</w:t>
      </w:r>
      <w:r w:rsidR="00427468">
        <w:rPr>
          <w:kern w:val="0"/>
        </w:rPr>
        <w:t xml:space="preserve"> of </w:t>
      </w:r>
      <w:r>
        <w:rPr>
          <w:kern w:val="0"/>
        </w:rPr>
        <w:t>infection at three</w:t>
      </w:r>
      <w:r w:rsidR="005853A9">
        <w:rPr>
          <w:kern w:val="0"/>
        </w:rPr>
        <w:t xml:space="preserve"> and </w:t>
      </w:r>
      <w:r>
        <w:rPr>
          <w:kern w:val="0"/>
        </w:rPr>
        <w:t>12 months after treatment. For the comparison</w:t>
      </w:r>
      <w:r w:rsidR="00427468">
        <w:rPr>
          <w:kern w:val="0"/>
        </w:rPr>
        <w:t xml:space="preserve"> of </w:t>
      </w:r>
      <w:r>
        <w:rPr>
          <w:kern w:val="0"/>
        </w:rPr>
        <w:t>oral against topical antibiotics the results suggest that oral treatment is neither more nor less effective than topical treatment. Authors</w:t>
      </w:r>
      <w:r w:rsidR="0071223E">
        <w:rPr>
          <w:kern w:val="0"/>
        </w:rPr>
        <w:t>’</w:t>
      </w:r>
      <w:r>
        <w:rPr>
          <w:kern w:val="0"/>
        </w:rPr>
        <w:t xml:space="preserve"> conclusions There is some evidence that antibiotics reduce active trachoma but results are not consistent</w:t>
      </w:r>
      <w:r w:rsidR="005853A9">
        <w:rPr>
          <w:kern w:val="0"/>
        </w:rPr>
        <w:t xml:space="preserve"> and </w:t>
      </w:r>
      <w:r>
        <w:rPr>
          <w:kern w:val="0"/>
        </w:rPr>
        <w:t>cannot be pooled.</w:t>
      </w:r>
    </w:p>
    <w:p w:rsidR="00365DE4" w:rsidRDefault="00365DE4" w:rsidP="00365DE4">
      <w:pPr>
        <w:pStyle w:val="a3"/>
        <w:rPr>
          <w:kern w:val="0"/>
        </w:rPr>
      </w:pPr>
      <w:r>
        <w:rPr>
          <w:kern w:val="0"/>
        </w:rPr>
        <w:t xml:space="preserve">Keywords: Antibiotics, Articles, Authors, Citation, Cluster Randomization, Comparison, Controlled Trial, Criteria, Heterogeneity, Hyper-Endemic Trachoma, Mass Treatment, </w:t>
      </w:r>
      <w:r w:rsidR="00D5664A">
        <w:rPr>
          <w:kern w:val="0"/>
        </w:rPr>
        <w:t>MEDLINE</w:t>
      </w:r>
      <w:r>
        <w:rPr>
          <w:kern w:val="0"/>
        </w:rPr>
        <w:t>, Narrative, Oral Azithromycin, Outcomes, Oxytetracycline, Placebo, Prevalence, Primary, Risk, Science, Science Citation Index, Single-Dose Azithromycin, Statistics, Statistics Notes, Surgery, Therapy, Topical Tetracycline, Treatment</w:t>
      </w:r>
    </w:p>
    <w:p w:rsidR="00365DE4" w:rsidRDefault="00365DE4" w:rsidP="00365DE4">
      <w:pPr>
        <w:pStyle w:val="a3"/>
        <w:rPr>
          <w:kern w:val="0"/>
        </w:rPr>
      </w:pPr>
      <w:r>
        <w:rPr>
          <w:kern w:val="0"/>
        </w:rPr>
        <w:t>? Rabiu, M., Alhaassan, M.</w:t>
      </w:r>
      <w:r w:rsidR="005853A9">
        <w:rPr>
          <w:kern w:val="0"/>
        </w:rPr>
        <w:t xml:space="preserve"> and </w:t>
      </w:r>
      <w:r>
        <w:rPr>
          <w:kern w:val="0"/>
        </w:rPr>
        <w:t xml:space="preserve">Ejere, H. (2005), Environmental sanitary interventions </w:t>
      </w:r>
      <w:r>
        <w:rPr>
          <w:kern w:val="0"/>
        </w:rPr>
        <w:lastRenderedPageBreak/>
        <w:t xml:space="preserve">for preventing active trachoma - art. no. CD004003.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CD003292.</w:t>
      </w:r>
    </w:p>
    <w:p w:rsidR="00365DE4" w:rsidRDefault="00365DE4" w:rsidP="00365DE4">
      <w:pPr>
        <w:pStyle w:val="a3"/>
        <w:rPr>
          <w:kern w:val="2"/>
        </w:rPr>
      </w:pPr>
      <w:r>
        <w:t>Full Text: Coc Dat Sys Rev2005, CD003292.pdf</w:t>
      </w:r>
    </w:p>
    <w:p w:rsidR="00365DE4" w:rsidRDefault="00365DE4" w:rsidP="00365DE4">
      <w:pPr>
        <w:pStyle w:val="a3"/>
      </w:pPr>
      <w:r>
        <w:t>Abstract: Background Trachoma is the second or third major cause</w:t>
      </w:r>
      <w:r w:rsidR="00427468">
        <w:t xml:space="preserve"> of </w:t>
      </w:r>
      <w:r>
        <w:t>blindness. It is responsible for about six million blind people worldwide, mostly in the poor communities</w:t>
      </w:r>
      <w:r w:rsidR="00427468">
        <w:t xml:space="preserve"> of </w:t>
      </w:r>
      <w:r>
        <w:t>developing countries. One</w:t>
      </w:r>
      <w:r w:rsidR="00427468">
        <w:t xml:space="preserve"> of </w:t>
      </w:r>
      <w:r>
        <w:t>the major strategies advocated for the control</w:t>
      </w:r>
      <w:r w:rsidR="00427468">
        <w:t xml:space="preserve"> of </w:t>
      </w:r>
      <w:r>
        <w:t>the disease is the application</w:t>
      </w:r>
      <w:r w:rsidR="00427468">
        <w:t xml:space="preserve"> of </w:t>
      </w:r>
      <w:r>
        <w:t>various environmental sanitary measures to such communities.</w:t>
      </w:r>
    </w:p>
    <w:p w:rsidR="00365DE4" w:rsidRDefault="00365DE4" w:rsidP="00365DE4">
      <w:pPr>
        <w:pStyle w:val="a3"/>
      </w:pPr>
      <w:r>
        <w:t>Objectives To assess the evidence for the effectiveness</w:t>
      </w:r>
      <w:r w:rsidR="00427468">
        <w:t xml:space="preserve"> of </w:t>
      </w:r>
      <w:r>
        <w:t>environmental sanitary measures on the prevalence</w:t>
      </w:r>
      <w:r w:rsidR="00427468">
        <w:t xml:space="preserve"> of </w:t>
      </w:r>
      <w:r>
        <w:t>active trachoma in endemic areas.</w:t>
      </w:r>
    </w:p>
    <w:p w:rsidR="00365DE4" w:rsidRDefault="00365DE4" w:rsidP="00365DE4">
      <w:pPr>
        <w:pStyle w:val="a3"/>
      </w:pPr>
      <w:r>
        <w:t>Search strategy. We searched the Cochrane Central Register</w:t>
      </w:r>
      <w:r w:rsidR="00427468">
        <w:t xml:space="preserve"> of </w:t>
      </w:r>
      <w:r>
        <w:t>Controlled Trials-CENTRAL(which contains the Cochrane eyes</w:t>
      </w:r>
      <w:r w:rsidR="005853A9">
        <w:t xml:space="preserve"> and </w:t>
      </w:r>
      <w:r>
        <w:t xml:space="preserve">Vision Group Trials Register) on The Cochrane Library (Issue 4, 2004), </w:t>
      </w:r>
      <w:r w:rsidR="00D5664A">
        <w:t>MEDLINE</w:t>
      </w:r>
      <w:r>
        <w:t xml:space="preserve"> (1996 to January 2005), EMBASE (1980 to January 2005), LILACS (April 2004), the reference list</w:t>
      </w:r>
      <w:r w:rsidR="00427468">
        <w:t xml:space="preserve"> of </w:t>
      </w:r>
      <w:r>
        <w:t>trials</w:t>
      </w:r>
      <w:r w:rsidR="005853A9">
        <w:t xml:space="preserve"> and </w:t>
      </w:r>
      <w:r>
        <w:t>the Science Citation Index. We also contacted agencies, experts</w:t>
      </w:r>
      <w:r w:rsidR="005853A9">
        <w:t xml:space="preserve"> and </w:t>
      </w:r>
      <w:r>
        <w:t>researchers in trachoma control.</w:t>
      </w:r>
    </w:p>
    <w:p w:rsidR="00365DE4" w:rsidRDefault="00365DE4" w:rsidP="00365DE4">
      <w:pPr>
        <w:pStyle w:val="a3"/>
      </w:pPr>
      <w:r>
        <w:t>Selection criteria The review included randomised</w:t>
      </w:r>
      <w:r w:rsidR="005853A9">
        <w:t xml:space="preserve"> and </w:t>
      </w:r>
      <w:r>
        <w:t>quasi-randomised controlled trials comparing any form</w:t>
      </w:r>
      <w:r w:rsidR="00427468">
        <w:t xml:space="preserve"> of </w:t>
      </w:r>
      <w:r>
        <w:t>environmental hygiene measures with no measure</w:t>
      </w:r>
      <w:r w:rsidR="00A37C1D">
        <w:t>. The</w:t>
      </w:r>
      <w:r>
        <w:t>se hygienic measures included fly control, provision</w:t>
      </w:r>
      <w:r w:rsidR="00427468">
        <w:t xml:space="preserve"> of </w:t>
      </w:r>
      <w:r>
        <w:t>water</w:t>
      </w:r>
      <w:r w:rsidR="005853A9">
        <w:t xml:space="preserve"> and </w:t>
      </w:r>
      <w:r>
        <w:t>health education. Participants in the trials were people normally resident in the trachoma endemic areas.</w:t>
      </w:r>
    </w:p>
    <w:p w:rsidR="00365DE4" w:rsidRDefault="00365DE4" w:rsidP="00365DE4">
      <w:pPr>
        <w:pStyle w:val="a3"/>
      </w:pPr>
      <w:r>
        <w:t>Data collection</w:t>
      </w:r>
      <w:r w:rsidR="005853A9">
        <w:t xml:space="preserve"> and </w:t>
      </w:r>
      <w:r>
        <w:t>analysis Two authors independently extracted data</w:t>
      </w:r>
      <w:r w:rsidR="005853A9">
        <w:t xml:space="preserve"> and </w:t>
      </w:r>
      <w:r>
        <w:t>assessed the quality</w:t>
      </w:r>
      <w:r w:rsidR="00427468">
        <w:t xml:space="preserve"> of </w:t>
      </w:r>
      <w:r>
        <w:t>trials. Study authors were contacted for additional information. Three trials met the inclusion criteria but meta-analysis were not conducted due to heterogeneity</w:t>
      </w:r>
      <w:r w:rsidR="00427468">
        <w:t xml:space="preserve"> of </w:t>
      </w:r>
      <w:r>
        <w:t>the studies.</w:t>
      </w:r>
    </w:p>
    <w:p w:rsidR="00365DE4" w:rsidRDefault="00365DE4" w:rsidP="00365DE4">
      <w:pPr>
        <w:pStyle w:val="a3"/>
      </w:pPr>
      <w:r>
        <w:t>Main results Two studies that assessed insecticide spray as a fly control measure found that trachoma is reduced by at least 55% to 61% with this measure compared to no intervention; this was, however, not statistically significantly different. Another study revealed that health education on personal</w:t>
      </w:r>
      <w:r w:rsidR="005853A9">
        <w:t xml:space="preserve"> and </w:t>
      </w:r>
      <w:r>
        <w:t>household hygiene reduced the incidence</w:t>
      </w:r>
      <w:r w:rsidR="00427468">
        <w:t xml:space="preserve"> of </w:t>
      </w:r>
      <w:r>
        <w:t>trachoma such that the odds</w:t>
      </w:r>
      <w:r w:rsidR="00427468">
        <w:t xml:space="preserve"> of </w:t>
      </w:r>
      <w:r>
        <w:t>reducing trachoma in the health education village was about twice that</w:t>
      </w:r>
      <w:r w:rsidR="00427468">
        <w:t xml:space="preserve"> of </w:t>
      </w:r>
      <w:r>
        <w:t>the no intervention village. However, all the studies have some methodological concerns relating to concealment</w:t>
      </w:r>
      <w:r w:rsidR="00427468">
        <w:t xml:space="preserve"> of </w:t>
      </w:r>
      <w:r>
        <w:t>allocation</w:t>
      </w:r>
      <w:r w:rsidR="005853A9">
        <w:t xml:space="preserve"> and </w:t>
      </w:r>
      <w:r>
        <w:t>non-consideration</w:t>
      </w:r>
      <w:r w:rsidR="00427468">
        <w:t xml:space="preserve"> of </w:t>
      </w:r>
      <w:r>
        <w:t>clustering effect in data analysis.</w:t>
      </w:r>
    </w:p>
    <w:p w:rsidR="00365DE4" w:rsidRDefault="00365DE4" w:rsidP="00365DE4">
      <w:pPr>
        <w:pStyle w:val="a3"/>
      </w:pPr>
      <w:r>
        <w:t>Authors</w:t>
      </w:r>
      <w:r w:rsidR="0071223E">
        <w:t>’</w:t>
      </w:r>
      <w:r>
        <w:t xml:space="preserve"> conclusions There is evidence that insecticide spray as a fly control measure reduces trachoma significantly. Latrine provision as a fly control measure has not demonstrated significant trachoma reduction. Health education may be effective in reading trachoma</w:t>
      </w:r>
      <w:r w:rsidR="00A37C1D">
        <w:t>. The</w:t>
      </w:r>
      <w:r>
        <w:t>re is a dearth</w:t>
      </w:r>
      <w:r w:rsidR="00427468">
        <w:t xml:space="preserve"> of </w:t>
      </w:r>
      <w:r>
        <w:t>data to determine the effectiveness</w:t>
      </w:r>
      <w:r w:rsidR="00427468">
        <w:t xml:space="preserve"> of </w:t>
      </w:r>
      <w:r>
        <w:t>all aspects</w:t>
      </w:r>
      <w:r w:rsidR="00427468">
        <w:t xml:space="preserve"> of </w:t>
      </w:r>
      <w:r>
        <w:t>enviornmental sanitation in the control</w:t>
      </w:r>
      <w:r w:rsidR="00427468">
        <w:t xml:space="preserve"> of </w:t>
      </w:r>
      <w:r>
        <w:t>trachoma.</w:t>
      </w:r>
    </w:p>
    <w:p w:rsidR="00365DE4" w:rsidRDefault="00365DE4" w:rsidP="00365DE4">
      <w:pPr>
        <w:pStyle w:val="a3"/>
      </w:pPr>
      <w:r>
        <w:t>Keywords: Safe Strategy, Evidence Base, Diarrhea</w:t>
      </w:r>
    </w:p>
    <w:p w:rsidR="00365DE4" w:rsidRDefault="00365DE4" w:rsidP="00365DE4">
      <w:pPr>
        <w:pStyle w:val="a3"/>
        <w:rPr>
          <w:kern w:val="0"/>
        </w:rPr>
      </w:pPr>
      <w:r>
        <w:rPr>
          <w:kern w:val="0"/>
        </w:rPr>
        <w:lastRenderedPageBreak/>
        <w:t>? Shepperd, S.</w:t>
      </w:r>
      <w:r w:rsidR="005853A9">
        <w:rPr>
          <w:kern w:val="0"/>
        </w:rPr>
        <w:t xml:space="preserve"> and </w:t>
      </w:r>
      <w:r>
        <w:rPr>
          <w:kern w:val="0"/>
        </w:rPr>
        <w:t xml:space="preserve">Iliffe, S. (2005), Hospital at home versus in-patient hospital care.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CD000356.</w:t>
      </w:r>
    </w:p>
    <w:p w:rsidR="00365DE4" w:rsidRDefault="00365DE4" w:rsidP="00365DE4">
      <w:pPr>
        <w:pStyle w:val="a3"/>
        <w:rPr>
          <w:kern w:val="2"/>
        </w:rPr>
      </w:pPr>
      <w:r>
        <w:t>Full Text: 2005\Coc Dat Sys Rev2005, CD000356.pdf</w:t>
      </w:r>
    </w:p>
    <w:p w:rsidR="00365DE4" w:rsidRDefault="00365DE4" w:rsidP="00365DE4">
      <w:pPr>
        <w:pStyle w:val="a3"/>
        <w:rPr>
          <w:kern w:val="0"/>
        </w:rPr>
      </w:pPr>
      <w:r>
        <w:rPr>
          <w:kern w:val="0"/>
        </w:rPr>
        <w:t>Abstract: Background Hospital at home is defined as a service that provides active treatment by health care professionals, in the patient</w:t>
      </w:r>
      <w:r w:rsidR="0071223E">
        <w:rPr>
          <w:kern w:val="0"/>
        </w:rPr>
        <w:t>’</w:t>
      </w:r>
      <w:r>
        <w:rPr>
          <w:kern w:val="0"/>
        </w:rPr>
        <w:t>s home,</w:t>
      </w:r>
      <w:r w:rsidR="00427468">
        <w:rPr>
          <w:kern w:val="0"/>
        </w:rPr>
        <w:t xml:space="preserve"> of </w:t>
      </w:r>
      <w:r>
        <w:rPr>
          <w:kern w:val="0"/>
        </w:rPr>
        <w:t>a condition that otherwise would require acute hospital in- patient care, always for a limited period. Objectives To assess the effects</w:t>
      </w:r>
      <w:r w:rsidR="00427468">
        <w:rPr>
          <w:kern w:val="0"/>
        </w:rPr>
        <w:t xml:space="preserve"> of </w:t>
      </w:r>
      <w:r>
        <w:rPr>
          <w:kern w:val="0"/>
        </w:rPr>
        <w:t>hospital at home compared with in- patient hospital care. Search strategy We searched the Cochrane Effective Practice</w:t>
      </w:r>
      <w:r w:rsidR="005853A9">
        <w:rPr>
          <w:kern w:val="0"/>
        </w:rPr>
        <w:t xml:space="preserve"> and </w:t>
      </w:r>
      <w:r>
        <w:rPr>
          <w:kern w:val="0"/>
        </w:rPr>
        <w:t>Organisation</w:t>
      </w:r>
      <w:r w:rsidR="00427468">
        <w:rPr>
          <w:kern w:val="0"/>
        </w:rPr>
        <w:t xml:space="preserve"> of </w:t>
      </w:r>
      <w:r>
        <w:rPr>
          <w:kern w:val="0"/>
        </w:rPr>
        <w:t xml:space="preserve">CareGroup (EPOC) specialised register (November 2004), </w:t>
      </w:r>
      <w:r w:rsidR="00D5664A">
        <w:rPr>
          <w:kern w:val="0"/>
        </w:rPr>
        <w:t>MEDLINE</w:t>
      </w:r>
      <w:r>
        <w:rPr>
          <w:kern w:val="0"/>
        </w:rPr>
        <w:t xml:space="preserve"> (1966 to 1996), EMBASE (1980 to 1995), Social Science Citation Index (1992 to 1995), Cinahl (1982 to 1996), EconLit (1969 to 1996), PsycLit (1987 to 1996), Sigle (1980 to 1995)</w:t>
      </w:r>
      <w:r w:rsidR="005853A9">
        <w:rPr>
          <w:kern w:val="0"/>
        </w:rPr>
        <w:t xml:space="preserve"> and </w:t>
      </w:r>
      <w:r>
        <w:rPr>
          <w:kern w:val="0"/>
        </w:rPr>
        <w:t>the Medical Care supplement on economic literature (1970 to 1990). Selection criteria Randomised trials</w:t>
      </w:r>
      <w:r w:rsidR="00427468">
        <w:rPr>
          <w:kern w:val="0"/>
        </w:rPr>
        <w:t xml:space="preserve"> of </w:t>
      </w:r>
      <w:r>
        <w:rPr>
          <w:kern w:val="0"/>
        </w:rPr>
        <w:t>hospital at home care compared with acute hospital in- patient care</w:t>
      </w:r>
      <w:r w:rsidR="00A37C1D">
        <w:rPr>
          <w:kern w:val="0"/>
        </w:rPr>
        <w:t>. The</w:t>
      </w:r>
      <w:r>
        <w:rPr>
          <w:kern w:val="0"/>
        </w:rPr>
        <w:t xml:space="preserve"> participants were patients aged 18 years</w:t>
      </w:r>
      <w:r w:rsidR="005853A9">
        <w:rPr>
          <w:kern w:val="0"/>
        </w:rPr>
        <w:t xml:space="preserve"> and </w:t>
      </w:r>
      <w:r>
        <w:rPr>
          <w:kern w:val="0"/>
        </w:rPr>
        <w:t>over. Data collection</w:t>
      </w:r>
      <w:r w:rsidR="005853A9">
        <w:rPr>
          <w:kern w:val="0"/>
        </w:rPr>
        <w:t xml:space="preserve"> and </w:t>
      </w:r>
      <w:r>
        <w:rPr>
          <w:kern w:val="0"/>
        </w:rPr>
        <w:t>analysis Two reviewers independently extracted data</w:t>
      </w:r>
      <w:r w:rsidR="005853A9">
        <w:rPr>
          <w:kern w:val="0"/>
        </w:rPr>
        <w:t xml:space="preserve"> and </w:t>
      </w:r>
      <w:r>
        <w:rPr>
          <w:kern w:val="0"/>
        </w:rPr>
        <w:t>assessed study quality. Main results Twenty two trials are included in this update</w:t>
      </w:r>
      <w:r w:rsidR="00427468">
        <w:rPr>
          <w:kern w:val="0"/>
        </w:rPr>
        <w:t xml:space="preserve"> of </w:t>
      </w:r>
      <w:r>
        <w:rPr>
          <w:kern w:val="0"/>
        </w:rPr>
        <w:t>the review. Among trials evaluating early discharge hospital at home schemes we found an odds ratio (OR) for mortality</w:t>
      </w:r>
      <w:r w:rsidR="00427468">
        <w:rPr>
          <w:kern w:val="0"/>
        </w:rPr>
        <w:t xml:space="preserve"> of </w:t>
      </w:r>
      <w:r>
        <w:rPr>
          <w:kern w:val="0"/>
        </w:rPr>
        <w:t>1.79 95% CI 0.85 to 3.76 for elderly medical patients (age 65 years</w:t>
      </w:r>
      <w:r w:rsidR="005853A9">
        <w:rPr>
          <w:kern w:val="0"/>
        </w:rPr>
        <w:t xml:space="preserve"> and </w:t>
      </w:r>
      <w:r>
        <w:rPr>
          <w:kern w:val="0"/>
        </w:rPr>
        <w:t>over) (n = 3 trials); OR 0.58; 95% CI 0.29 to 1.17 for patients with chronic obstructive pulmonary disease (COPD) (n = 5 trials);</w:t>
      </w:r>
      <w:r w:rsidR="005853A9">
        <w:rPr>
          <w:kern w:val="0"/>
        </w:rPr>
        <w:t xml:space="preserve"> and </w:t>
      </w:r>
      <w:r>
        <w:rPr>
          <w:kern w:val="0"/>
        </w:rPr>
        <w:t>OR 0.78; 95% CI 0.52 to 1.19 for patients recovering from a stroke (n = 4 trials). Two trials evaluating the early discharge</w:t>
      </w:r>
      <w:r w:rsidR="00427468">
        <w:rPr>
          <w:kern w:val="0"/>
        </w:rPr>
        <w:t xml:space="preserve"> of </w:t>
      </w:r>
      <w:r>
        <w:rPr>
          <w:kern w:val="0"/>
        </w:rPr>
        <w:t>patients recovering from surgery reported an OR 0.43 (95% CI 0.02 to 10.89) for patients recovering from a hip replacement</w:t>
      </w:r>
      <w:r w:rsidR="005853A9">
        <w:rPr>
          <w:kern w:val="0"/>
        </w:rPr>
        <w:t xml:space="preserve"> and </w:t>
      </w:r>
      <w:r>
        <w:rPr>
          <w:kern w:val="0"/>
        </w:rPr>
        <w:t>an OR 1.01 (95% CI 0.37 to 2.81) for patients with a mix</w:t>
      </w:r>
      <w:r w:rsidR="00427468">
        <w:rPr>
          <w:kern w:val="0"/>
        </w:rPr>
        <w:t xml:space="preserve"> of </w:t>
      </w:r>
      <w:r>
        <w:rPr>
          <w:kern w:val="0"/>
        </w:rPr>
        <w:t>conditions at three months follow- up. For readmission to hospital we found an OR 1.76; 95% CI 0.78 to 3.99 at 3 months follow- up for elderly medical patients (n = 2 trials); OR 0.81; 95% CI 0.55 to 1.19 for patients with COPD (n = 5 trials);</w:t>
      </w:r>
      <w:r w:rsidR="005853A9">
        <w:rPr>
          <w:kern w:val="0"/>
        </w:rPr>
        <w:t xml:space="preserve"> and </w:t>
      </w:r>
      <w:r>
        <w:rPr>
          <w:kern w:val="0"/>
        </w:rPr>
        <w:t>OR 0.96; 95% CI 0.63 to 1.45 for patients recovering from a stroke (n = 3 trials). No significant heterogeneity was observed. One trial recruiting patients following surgery for hernia or varicose veins reported 0/ 117 versus 2/ 121 patients were re admitted (Ruckley 1978); another that 2/ 37 (5%) versus 1/49 (2%) (difference 3%, 95% CI - 5% to 12%)</w:t>
      </w:r>
      <w:r w:rsidR="00427468">
        <w:rPr>
          <w:kern w:val="0"/>
        </w:rPr>
        <w:t xml:space="preserve"> of </w:t>
      </w:r>
      <w:r>
        <w:rPr>
          <w:kern w:val="0"/>
        </w:rPr>
        <w:t>patients recovering from a hip replacement, 4/ 47 (9%) versus 1/39 (3%) (difference 6%, 95% CI - 3% to 15%)</w:t>
      </w:r>
      <w:r w:rsidR="00427468">
        <w:rPr>
          <w:kern w:val="0"/>
        </w:rPr>
        <w:t xml:space="preserve"> of </w:t>
      </w:r>
      <w:r>
        <w:rPr>
          <w:kern w:val="0"/>
        </w:rPr>
        <w:t>patients recovering from a knee replacment,</w:t>
      </w:r>
      <w:r w:rsidR="005853A9">
        <w:rPr>
          <w:kern w:val="0"/>
        </w:rPr>
        <w:t xml:space="preserve"> and </w:t>
      </w:r>
      <w:r>
        <w:rPr>
          <w:kern w:val="0"/>
        </w:rPr>
        <w:t>7/114 (6%) versus 13/124 (10%) (difference - 4% 95% CI - 11% to 3%)</w:t>
      </w:r>
      <w:r w:rsidR="00427468">
        <w:rPr>
          <w:kern w:val="0"/>
        </w:rPr>
        <w:t xml:space="preserve"> of </w:t>
      </w:r>
      <w:r>
        <w:rPr>
          <w:kern w:val="0"/>
        </w:rPr>
        <w:t>patients recovering from a hysterectomy were readmitted. A third trial analysing surgical</w:t>
      </w:r>
      <w:r w:rsidR="005853A9">
        <w:rPr>
          <w:kern w:val="0"/>
        </w:rPr>
        <w:t xml:space="preserve"> and </w:t>
      </w:r>
      <w:r>
        <w:rPr>
          <w:kern w:val="0"/>
        </w:rPr>
        <w:t>medical patients together reported that 42/159 versus 17/81 patients were readmitted at 3 months (OR 1.34 95% CI 0.66 to 2.20). Allocation to hospital at home resulted in a small reduction in hospital length</w:t>
      </w:r>
      <w:r w:rsidR="00427468">
        <w:rPr>
          <w:kern w:val="0"/>
        </w:rPr>
        <w:t xml:space="preserve"> of </w:t>
      </w:r>
      <w:r>
        <w:rPr>
          <w:kern w:val="0"/>
        </w:rPr>
        <w:t>stay, but hospital at home increased overall length</w:t>
      </w:r>
      <w:r w:rsidR="00427468">
        <w:rPr>
          <w:kern w:val="0"/>
        </w:rPr>
        <w:t xml:space="preserve"> of </w:t>
      </w:r>
      <w:r>
        <w:rPr>
          <w:kern w:val="0"/>
        </w:rPr>
        <w:t xml:space="preserve">care. Patients allocated to hospital at home </w:t>
      </w:r>
      <w:r>
        <w:rPr>
          <w:kern w:val="0"/>
        </w:rPr>
        <w:lastRenderedPageBreak/>
        <w:t>expressed greater satisfaction with care than those in hospital, while the view</w:t>
      </w:r>
      <w:r w:rsidR="00427468">
        <w:rPr>
          <w:kern w:val="0"/>
        </w:rPr>
        <w:t xml:space="preserve"> of </w:t>
      </w:r>
      <w:r>
        <w:rPr>
          <w:kern w:val="0"/>
        </w:rPr>
        <w:t>carers was mixed. Authors</w:t>
      </w:r>
      <w:r w:rsidR="0071223E">
        <w:rPr>
          <w:kern w:val="0"/>
        </w:rPr>
        <w:t>’</w:t>
      </w:r>
      <w:r>
        <w:rPr>
          <w:kern w:val="0"/>
        </w:rPr>
        <w:t xml:space="preserve"> conclusions Despite increasing interest in the potential</w:t>
      </w:r>
      <w:r w:rsidR="00427468">
        <w:rPr>
          <w:kern w:val="0"/>
        </w:rPr>
        <w:t xml:space="preserve"> of </w:t>
      </w:r>
      <w:r>
        <w:rPr>
          <w:kern w:val="0"/>
        </w:rPr>
        <w:t>hospital at home services as a cheaper alternative to in-patient care, this review provides insufficient objective evidence</w:t>
      </w:r>
      <w:r w:rsidR="00427468">
        <w:rPr>
          <w:kern w:val="0"/>
        </w:rPr>
        <w:t xml:space="preserve"> of </w:t>
      </w:r>
      <w:r>
        <w:rPr>
          <w:kern w:val="0"/>
        </w:rPr>
        <w:t>economic benefit. Early discharge schemes for patients recovering from elective surgery</w:t>
      </w:r>
      <w:r w:rsidR="005853A9">
        <w:rPr>
          <w:kern w:val="0"/>
        </w:rPr>
        <w:t xml:space="preserve"> and </w:t>
      </w:r>
      <w:r>
        <w:rPr>
          <w:kern w:val="0"/>
        </w:rPr>
        <w:t>elderly patients with a medical condition may have a place in reducing the pressure on acute hospital beds, providing the views</w:t>
      </w:r>
      <w:r w:rsidR="00427468">
        <w:rPr>
          <w:kern w:val="0"/>
        </w:rPr>
        <w:t xml:space="preserve"> of </w:t>
      </w:r>
      <w:r>
        <w:rPr>
          <w:kern w:val="0"/>
        </w:rPr>
        <w:t>the carers are taken into account. For these clinical groups hospital length</w:t>
      </w:r>
      <w:r w:rsidR="00427468">
        <w:rPr>
          <w:kern w:val="0"/>
        </w:rPr>
        <w:t xml:space="preserve"> of </w:t>
      </w:r>
      <w:r>
        <w:rPr>
          <w:kern w:val="0"/>
        </w:rPr>
        <w:t>stay is reduced, although this is offset by the provision</w:t>
      </w:r>
      <w:r w:rsidR="00427468">
        <w:rPr>
          <w:kern w:val="0"/>
        </w:rPr>
        <w:t xml:space="preserve"> of </w:t>
      </w:r>
      <w:r>
        <w:rPr>
          <w:kern w:val="0"/>
        </w:rPr>
        <w:t>hospital at home. Future primary research should focus on rigorous evaluations</w:t>
      </w:r>
      <w:r w:rsidR="00427468">
        <w:rPr>
          <w:kern w:val="0"/>
        </w:rPr>
        <w:t xml:space="preserve"> of </w:t>
      </w:r>
      <w:r>
        <w:rPr>
          <w:kern w:val="0"/>
        </w:rPr>
        <w:t>admission avoidance schemes</w:t>
      </w:r>
      <w:r w:rsidR="005853A9">
        <w:rPr>
          <w:kern w:val="0"/>
        </w:rPr>
        <w:t xml:space="preserve"> and </w:t>
      </w:r>
      <w:r>
        <w:rPr>
          <w:kern w:val="0"/>
        </w:rPr>
        <w:t>standards for original research should aim at assisting future meta-analyses</w:t>
      </w:r>
      <w:r w:rsidR="00427468">
        <w:rPr>
          <w:kern w:val="0"/>
        </w:rPr>
        <w:t xml:space="preserve"> of </w:t>
      </w:r>
      <w:r>
        <w:rPr>
          <w:kern w:val="0"/>
        </w:rPr>
        <w:t>individual patient data from these</w:t>
      </w:r>
      <w:r w:rsidR="005853A9">
        <w:rPr>
          <w:kern w:val="0"/>
        </w:rPr>
        <w:t xml:space="preserve"> and </w:t>
      </w:r>
      <w:r>
        <w:rPr>
          <w:kern w:val="0"/>
        </w:rPr>
        <w:t>future trials.</w:t>
      </w:r>
    </w:p>
    <w:p w:rsidR="00365DE4" w:rsidRDefault="00365DE4" w:rsidP="00365DE4">
      <w:pPr>
        <w:pStyle w:val="a3"/>
        <w:rPr>
          <w:kern w:val="0"/>
        </w:rPr>
      </w:pPr>
      <w:r>
        <w:rPr>
          <w:kern w:val="0"/>
        </w:rPr>
        <w:t xml:space="preserve">Keywords: Authors, Chronic, Citation, Cost Minimization Analysis, Criteria, Discharge, Early Discharge, Economic, Elderly, Follow-Up, Groups, Health, Health Care, Health-Care, Heterogeneity, Literature, Medical, </w:t>
      </w:r>
      <w:r w:rsidR="00D5664A">
        <w:rPr>
          <w:kern w:val="0"/>
        </w:rPr>
        <w:t>MEDLINE</w:t>
      </w:r>
      <w:r>
        <w:rPr>
          <w:kern w:val="0"/>
        </w:rPr>
        <w:t>, Myocardial-Infarction, Obstructive Pulmonary-Disease, Primary, Randomized Controlled-Trial, Reduction, Research, Review, Science, Science Citation Index, Social Science Citation Index, Southwest Stockholm, Standards, Stroke, Surgery, Terminally-ILL, Treatment, Varicose-Veins</w:t>
      </w:r>
    </w:p>
    <w:p w:rsidR="00365DE4" w:rsidRDefault="00365DE4" w:rsidP="00365DE4">
      <w:pPr>
        <w:pStyle w:val="a3"/>
        <w:rPr>
          <w:kern w:val="0"/>
        </w:rPr>
      </w:pPr>
      <w:r>
        <w:rPr>
          <w:kern w:val="0"/>
        </w:rPr>
        <w:t>? Newby, E.A., Sawczenko, A., Thomas, A.G.</w:t>
      </w:r>
      <w:r w:rsidR="005853A9">
        <w:rPr>
          <w:kern w:val="0"/>
        </w:rPr>
        <w:t xml:space="preserve"> and </w:t>
      </w:r>
      <w:r>
        <w:rPr>
          <w:kern w:val="0"/>
        </w:rPr>
        <w:t>Wilson, D. (2005), Interventions for growth failure in childhood Crohn</w:t>
      </w:r>
      <w:r w:rsidR="0071223E">
        <w:rPr>
          <w:kern w:val="0"/>
        </w:rPr>
        <w:t>’</w:t>
      </w:r>
      <w:r>
        <w:rPr>
          <w:kern w:val="0"/>
        </w:rPr>
        <w:t xml:space="preserve">s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CD003873.</w:t>
      </w:r>
    </w:p>
    <w:p w:rsidR="00365DE4" w:rsidRDefault="00365DE4" w:rsidP="00365DE4">
      <w:pPr>
        <w:pStyle w:val="a3"/>
        <w:rPr>
          <w:kern w:val="2"/>
        </w:rPr>
      </w:pPr>
      <w:r>
        <w:t xml:space="preserve">Full Text: </w:t>
      </w:r>
      <w:hyperlink r:id="rId502" w:history="1">
        <w:r>
          <w:rPr>
            <w:rStyle w:val="a5"/>
          </w:rPr>
          <w:t>2005\Coc Dat Sys Rev2005, CD003873.pdf</w:t>
        </w:r>
      </w:hyperlink>
    </w:p>
    <w:p w:rsidR="00365DE4" w:rsidRDefault="00365DE4" w:rsidP="00365DE4">
      <w:pPr>
        <w:pStyle w:val="a3"/>
        <w:rPr>
          <w:kern w:val="0"/>
        </w:rPr>
      </w:pPr>
      <w:r>
        <w:rPr>
          <w:kern w:val="0"/>
        </w:rPr>
        <w:t>Abstract: Background Crohn</w:t>
      </w:r>
      <w:r w:rsidR="0071223E">
        <w:rPr>
          <w:kern w:val="0"/>
        </w:rPr>
        <w:t>’</w:t>
      </w:r>
      <w:r>
        <w:rPr>
          <w:kern w:val="0"/>
        </w:rPr>
        <w:t>s disease in childhood is a chronic relapsing condition. Fifteen to forty per cent</w:t>
      </w:r>
      <w:r w:rsidR="00427468">
        <w:rPr>
          <w:kern w:val="0"/>
        </w:rPr>
        <w:t xml:space="preserve"> of </w:t>
      </w:r>
      <w:r>
        <w:rPr>
          <w:kern w:val="0"/>
        </w:rPr>
        <w:t>children with Crohn</w:t>
      </w:r>
      <w:r w:rsidR="0071223E">
        <w:rPr>
          <w:kern w:val="0"/>
        </w:rPr>
        <w:t>’</w:t>
      </w:r>
      <w:r>
        <w:rPr>
          <w:kern w:val="0"/>
        </w:rPr>
        <w:t>s disease have growth retardation (Griffiths 1993a). Some treatment modalities including corticosteroids have been implicated in growth failure but it is thought mainly to be secondary to uncontrolled disease activity (Motil 1993; Markowitz 1993). Growth is fundamental to the practice</w:t>
      </w:r>
      <w:r w:rsidR="00427468">
        <w:rPr>
          <w:kern w:val="0"/>
        </w:rPr>
        <w:t xml:space="preserve"> of </w:t>
      </w:r>
      <w:r>
        <w:rPr>
          <w:kern w:val="0"/>
        </w:rPr>
        <w:t>pediatrics, so by taking growth as the primary outcome measure we address issues important to both patients, their families</w:t>
      </w:r>
      <w:r w:rsidR="005853A9">
        <w:rPr>
          <w:kern w:val="0"/>
        </w:rPr>
        <w:t xml:space="preserve"> and </w:t>
      </w:r>
      <w:r>
        <w:rPr>
          <w:kern w:val="0"/>
        </w:rPr>
        <w:t>pediatricians. Objectives To evaluate the effectiveness</w:t>
      </w:r>
      <w:r w:rsidR="00427468">
        <w:rPr>
          <w:kern w:val="0"/>
        </w:rPr>
        <w:t xml:space="preserve"> of </w:t>
      </w:r>
      <w:r>
        <w:rPr>
          <w:kern w:val="0"/>
        </w:rPr>
        <w:t>the different modalities available for the treatment</w:t>
      </w:r>
      <w:r w:rsidR="00427468">
        <w:rPr>
          <w:kern w:val="0"/>
        </w:rPr>
        <w:t xml:space="preserve"> of </w:t>
      </w:r>
      <w:r>
        <w:rPr>
          <w:kern w:val="0"/>
        </w:rPr>
        <w:t>childhood Crohn</w:t>
      </w:r>
      <w:r w:rsidR="0071223E">
        <w:rPr>
          <w:kern w:val="0"/>
        </w:rPr>
        <w:t>’</w:t>
      </w:r>
      <w:r>
        <w:rPr>
          <w:kern w:val="0"/>
        </w:rPr>
        <w:t>s disease with regard to the reversal</w:t>
      </w:r>
      <w:r w:rsidR="00427468">
        <w:rPr>
          <w:kern w:val="0"/>
        </w:rPr>
        <w:t xml:space="preserve"> of </w:t>
      </w:r>
      <w:r>
        <w:rPr>
          <w:kern w:val="0"/>
        </w:rPr>
        <w:t>growth failure</w:t>
      </w:r>
      <w:r w:rsidR="005853A9">
        <w:rPr>
          <w:kern w:val="0"/>
        </w:rPr>
        <w:t xml:space="preserve"> and </w:t>
      </w:r>
      <w:r>
        <w:rPr>
          <w:kern w:val="0"/>
        </w:rPr>
        <w:t>the promotion</w:t>
      </w:r>
      <w:r w:rsidR="00427468">
        <w:rPr>
          <w:kern w:val="0"/>
        </w:rPr>
        <w:t xml:space="preserve"> of </w:t>
      </w:r>
      <w:r>
        <w:rPr>
          <w:kern w:val="0"/>
        </w:rPr>
        <w:t>normal growth. Search strategy Searches were made</w:t>
      </w:r>
      <w:r w:rsidR="00427468">
        <w:rPr>
          <w:kern w:val="0"/>
        </w:rPr>
        <w:t xml:space="preserve"> of </w:t>
      </w:r>
      <w:r>
        <w:rPr>
          <w:kern w:val="0"/>
        </w:rPr>
        <w:t xml:space="preserve">the following databases using the Collaborative Review Group Search Strategy EMBASE (1984-2004), </w:t>
      </w:r>
      <w:r w:rsidR="00D5664A">
        <w:rPr>
          <w:kern w:val="0"/>
        </w:rPr>
        <w:t>MEDLINE</w:t>
      </w:r>
      <w:r>
        <w:rPr>
          <w:kern w:val="0"/>
        </w:rPr>
        <w:t xml:space="preserve"> (1966-2004), The Cochrane Central Register</w:t>
      </w:r>
      <w:r w:rsidR="00427468">
        <w:rPr>
          <w:kern w:val="0"/>
        </w:rPr>
        <w:t xml:space="preserve"> of </w:t>
      </w:r>
      <w:r>
        <w:rPr>
          <w:kern w:val="0"/>
        </w:rPr>
        <w:t>Controlled Trials, The Cochrane Inflammatory Bowel Disease</w:t>
      </w:r>
      <w:r w:rsidR="005853A9">
        <w:rPr>
          <w:kern w:val="0"/>
        </w:rPr>
        <w:t xml:space="preserve"> and </w:t>
      </w:r>
      <w:r>
        <w:rPr>
          <w:kern w:val="0"/>
        </w:rPr>
        <w:t>Functional Bowel Disorders Group Specialized Trials Register</w:t>
      </w:r>
      <w:r w:rsidR="005853A9">
        <w:rPr>
          <w:kern w:val="0"/>
        </w:rPr>
        <w:t xml:space="preserve"> and </w:t>
      </w:r>
      <w:r>
        <w:rPr>
          <w:kern w:val="0"/>
        </w:rPr>
        <w:t>the Science Citation Index. Abstracts from the major gastrointestinal research meetings</w:t>
      </w:r>
      <w:r w:rsidR="005853A9">
        <w:rPr>
          <w:kern w:val="0"/>
        </w:rPr>
        <w:t xml:space="preserve"> and </w:t>
      </w:r>
      <w:r>
        <w:rPr>
          <w:kern w:val="0"/>
        </w:rPr>
        <w:t>references from published articles were also reviewed. Selection criteria Randomized controlled trials pertaining to children less than 18 years</w:t>
      </w:r>
      <w:r w:rsidR="00427468">
        <w:rPr>
          <w:kern w:val="0"/>
        </w:rPr>
        <w:t xml:space="preserve"> of </w:t>
      </w:r>
      <w:r>
        <w:rPr>
          <w:kern w:val="0"/>
        </w:rPr>
        <w:t>age with Crohn</w:t>
      </w:r>
      <w:r w:rsidR="0071223E">
        <w:rPr>
          <w:kern w:val="0"/>
        </w:rPr>
        <w:t>’</w:t>
      </w:r>
      <w:r>
        <w:rPr>
          <w:kern w:val="0"/>
        </w:rPr>
        <w:t xml:space="preserve">s disease were selected. Those with growth as </w:t>
      </w:r>
      <w:r>
        <w:rPr>
          <w:kern w:val="0"/>
        </w:rPr>
        <w:lastRenderedPageBreak/>
        <w:t>an outcome measure were included in the review. Data collection</w:t>
      </w:r>
      <w:r w:rsidR="005853A9">
        <w:rPr>
          <w:kern w:val="0"/>
        </w:rPr>
        <w:t xml:space="preserve"> and </w:t>
      </w:r>
      <w:r>
        <w:rPr>
          <w:kern w:val="0"/>
        </w:rPr>
        <w:t>analysis Data extraction</w:t>
      </w:r>
      <w:r w:rsidR="005853A9">
        <w:rPr>
          <w:kern w:val="0"/>
        </w:rPr>
        <w:t xml:space="preserve"> and </w:t>
      </w:r>
      <w:r>
        <w:rPr>
          <w:kern w:val="0"/>
        </w:rPr>
        <w:t>assessment</w:t>
      </w:r>
      <w:r w:rsidR="00427468">
        <w:rPr>
          <w:kern w:val="0"/>
        </w:rPr>
        <w:t xml:space="preserve"> of </w:t>
      </w:r>
      <w:r>
        <w:rPr>
          <w:kern w:val="0"/>
        </w:rPr>
        <w:t>the methodological quality</w:t>
      </w:r>
      <w:r w:rsidR="00427468">
        <w:rPr>
          <w:kern w:val="0"/>
        </w:rPr>
        <w:t xml:space="preserve"> of </w:t>
      </w:r>
      <w:r>
        <w:rPr>
          <w:kern w:val="0"/>
        </w:rPr>
        <w:t>each trial was independently reviewed by two reviewers. Only one good quality randomized controlled trial was included in the review</w:t>
      </w:r>
      <w:r w:rsidR="005853A9">
        <w:rPr>
          <w:kern w:val="0"/>
        </w:rPr>
        <w:t xml:space="preserve"> and </w:t>
      </w:r>
      <w:r>
        <w:rPr>
          <w:kern w:val="0"/>
        </w:rPr>
        <w:t>therefore no statistical analysis was possible. Main results Three randomized controlled trials were identified. One was</w:t>
      </w:r>
      <w:r w:rsidR="00427468">
        <w:rPr>
          <w:kern w:val="0"/>
        </w:rPr>
        <w:t xml:space="preserve"> of </w:t>
      </w:r>
      <w:r>
        <w:rPr>
          <w:kern w:val="0"/>
        </w:rPr>
        <w:t>good methodological quality (Markowitz 2000). This study looked at the use</w:t>
      </w:r>
      <w:r w:rsidR="00427468">
        <w:rPr>
          <w:kern w:val="0"/>
        </w:rPr>
        <w:t xml:space="preserve"> of </w:t>
      </w:r>
      <w:r>
        <w:rPr>
          <w:kern w:val="0"/>
        </w:rPr>
        <w:t>6-mercaptopurine (6-MP) as a steroid sparing agent. No difference in linear growth was observed between the intervention</w:t>
      </w:r>
      <w:r w:rsidR="005853A9">
        <w:rPr>
          <w:kern w:val="0"/>
        </w:rPr>
        <w:t xml:space="preserve"> and </w:t>
      </w:r>
      <w:r>
        <w:rPr>
          <w:kern w:val="0"/>
        </w:rPr>
        <w:t>placebo groups, although the total steroid dose received over the 18 month follow up period was reduced in the group receiving 6-MP</w:t>
      </w:r>
      <w:r w:rsidR="00A37C1D">
        <w:rPr>
          <w:kern w:val="0"/>
        </w:rPr>
        <w:t>. The</w:t>
      </w:r>
      <w:r>
        <w:rPr>
          <w:kern w:val="0"/>
        </w:rPr>
        <w:t xml:space="preserve"> two remaining randomized controlled trials (Sanderson 1987; Thomas 1993a) consider the use</w:t>
      </w:r>
      <w:r w:rsidR="00427468">
        <w:rPr>
          <w:kern w:val="0"/>
        </w:rPr>
        <w:t xml:space="preserve"> of </w:t>
      </w:r>
      <w:r>
        <w:rPr>
          <w:kern w:val="0"/>
        </w:rPr>
        <w:t>enteral feeding versus corticosteroids for induction</w:t>
      </w:r>
      <w:r w:rsidR="00427468">
        <w:rPr>
          <w:kern w:val="0"/>
        </w:rPr>
        <w:t xml:space="preserve"> of </w:t>
      </w:r>
      <w:r>
        <w:rPr>
          <w:kern w:val="0"/>
        </w:rPr>
        <w:t>remission, with height velocity standard deviation score at 6 months as an outcome measure. Although</w:t>
      </w:r>
      <w:r w:rsidR="00427468">
        <w:rPr>
          <w:kern w:val="0"/>
        </w:rPr>
        <w:t xml:space="preserve"> of </w:t>
      </w:r>
      <w:r>
        <w:rPr>
          <w:kern w:val="0"/>
        </w:rPr>
        <w:t>less rigorous methodological quality, the results</w:t>
      </w:r>
      <w:r w:rsidR="00427468">
        <w:rPr>
          <w:kern w:val="0"/>
        </w:rPr>
        <w:t xml:space="preserve"> of </w:t>
      </w:r>
      <w:r>
        <w:rPr>
          <w:kern w:val="0"/>
        </w:rPr>
        <w:t>these studies are discussed in detail in the review. In both studies height velocity standard deviation scores were significantly increased in the enteral feeding group compared with the corticosteroid group. Authors</w:t>
      </w:r>
      <w:r w:rsidR="0071223E">
        <w:rPr>
          <w:kern w:val="0"/>
        </w:rPr>
        <w:t>’</w:t>
      </w:r>
      <w:r>
        <w:rPr>
          <w:kern w:val="0"/>
        </w:rPr>
        <w:t xml:space="preserve"> conclusions In addition to these randomized controlled trials, a body</w:t>
      </w:r>
      <w:r w:rsidR="00427468">
        <w:rPr>
          <w:kern w:val="0"/>
        </w:rPr>
        <w:t xml:space="preserve"> of </w:t>
      </w:r>
      <w:r>
        <w:rPr>
          <w:kern w:val="0"/>
        </w:rPr>
        <w:t>lower quality evidence does exist relevant to two other important interventions; the use</w:t>
      </w:r>
      <w:r w:rsidR="00427468">
        <w:rPr>
          <w:kern w:val="0"/>
        </w:rPr>
        <w:t xml:space="preserve"> of </w:t>
      </w:r>
      <w:r>
        <w:rPr>
          <w:kern w:val="0"/>
        </w:rPr>
        <w:t>supplemental enteral nutrition (Morin 1980; Belli 1988; Israel 1995)</w:t>
      </w:r>
      <w:r w:rsidR="005853A9">
        <w:rPr>
          <w:kern w:val="0"/>
        </w:rPr>
        <w:t xml:space="preserve"> and </w:t>
      </w:r>
      <w:r>
        <w:rPr>
          <w:kern w:val="0"/>
        </w:rPr>
        <w:t>the judicious use</w:t>
      </w:r>
      <w:r w:rsidR="00427468">
        <w:rPr>
          <w:kern w:val="0"/>
        </w:rPr>
        <w:t xml:space="preserve"> of </w:t>
      </w:r>
      <w:r>
        <w:rPr>
          <w:kern w:val="0"/>
        </w:rPr>
        <w:t>surgical interventions in pre-pubertal children with refractory disease (Alperstein 1985; Lipson 1990; McLain 1990). Newer treatments, such as infliximab, are now becoming more widely used</w:t>
      </w:r>
      <w:r w:rsidR="005853A9">
        <w:rPr>
          <w:kern w:val="0"/>
        </w:rPr>
        <w:t xml:space="preserve"> and </w:t>
      </w:r>
      <w:r>
        <w:rPr>
          <w:kern w:val="0"/>
        </w:rPr>
        <w:t>may offer advantages in promoting growth</w:t>
      </w:r>
      <w:r w:rsidR="00A37C1D">
        <w:rPr>
          <w:kern w:val="0"/>
        </w:rPr>
        <w:t>. The</w:t>
      </w:r>
      <w:r>
        <w:rPr>
          <w:kern w:val="0"/>
        </w:rPr>
        <w:t>se effects are as yet unstudied. This review highlights the need for large, multi centre studies</w:t>
      </w:r>
      <w:r w:rsidR="00427468">
        <w:rPr>
          <w:kern w:val="0"/>
        </w:rPr>
        <w:t xml:space="preserve"> of </w:t>
      </w:r>
      <w:r>
        <w:rPr>
          <w:kern w:val="0"/>
        </w:rPr>
        <w:t>the different treatment options in paediatric Crohn</w:t>
      </w:r>
      <w:r w:rsidR="0071223E">
        <w:rPr>
          <w:kern w:val="0"/>
        </w:rPr>
        <w:t>’</w:t>
      </w:r>
      <w:r>
        <w:rPr>
          <w:kern w:val="0"/>
        </w:rPr>
        <w:t>s disease</w:t>
      </w:r>
      <w:r w:rsidR="005853A9">
        <w:rPr>
          <w:kern w:val="0"/>
        </w:rPr>
        <w:t xml:space="preserve"> and </w:t>
      </w:r>
      <w:r>
        <w:rPr>
          <w:kern w:val="0"/>
        </w:rPr>
        <w:t>the importance</w:t>
      </w:r>
      <w:r w:rsidR="00427468">
        <w:rPr>
          <w:kern w:val="0"/>
        </w:rPr>
        <w:t xml:space="preserve"> of </w:t>
      </w:r>
      <w:r>
        <w:rPr>
          <w:kern w:val="0"/>
        </w:rPr>
        <w:t>standardised measurements</w:t>
      </w:r>
      <w:r w:rsidR="00427468">
        <w:rPr>
          <w:kern w:val="0"/>
        </w:rPr>
        <w:t xml:space="preserve"> of </w:t>
      </w:r>
      <w:r>
        <w:rPr>
          <w:kern w:val="0"/>
        </w:rPr>
        <w:t>growth, such as height velocity standard deviation scores</w:t>
      </w:r>
      <w:r w:rsidR="005853A9">
        <w:rPr>
          <w:kern w:val="0"/>
        </w:rPr>
        <w:t xml:space="preserve"> and </w:t>
      </w:r>
      <w:r>
        <w:rPr>
          <w:kern w:val="0"/>
        </w:rPr>
        <w:t>height standard deviation scores as outcome measures.</w:t>
      </w:r>
    </w:p>
    <w:p w:rsidR="00365DE4" w:rsidRDefault="00365DE4" w:rsidP="00365DE4">
      <w:pPr>
        <w:pStyle w:val="a3"/>
        <w:rPr>
          <w:kern w:val="0"/>
        </w:rPr>
      </w:pPr>
      <w:r>
        <w:rPr>
          <w:kern w:val="0"/>
        </w:rPr>
        <w:t xml:space="preserve">Keywords: Articles, Assessment, Authors, Body-Composition, Childhood, Children, Chronic, Citation, Criteria, Databases, Double-Blind, Effectiveness, Elemental Diet, Enteral Nutrition, Factor-I, Groups, Growth, Inflammatory-Bowel-Disease, Intervention, Israel, </w:t>
      </w:r>
      <w:r w:rsidR="00D5664A">
        <w:rPr>
          <w:kern w:val="0"/>
        </w:rPr>
        <w:t>MEDLINE</w:t>
      </w:r>
      <w:r>
        <w:rPr>
          <w:kern w:val="0"/>
        </w:rPr>
        <w:t>, Necrosis-Factor-Alpha, Parenteral-Alimentation, Placebo, Primary, Promotion, Randomized Controlled Trial, Randomized Controlled Trials, Randomized Controlled-Trial, Research, Retardation, Review, Science, Science Citation Index, Serum Concentrations, Treatment, Velocity</w:t>
      </w:r>
    </w:p>
    <w:p w:rsidR="00365DE4" w:rsidRDefault="00365DE4" w:rsidP="00365DE4">
      <w:pPr>
        <w:pStyle w:val="a3"/>
        <w:rPr>
          <w:kern w:val="0"/>
        </w:rPr>
      </w:pPr>
      <w:r>
        <w:rPr>
          <w:kern w:val="0"/>
        </w:rPr>
        <w:t>? McIntosh, H.M.</w:t>
      </w:r>
      <w:r w:rsidR="005853A9">
        <w:rPr>
          <w:kern w:val="0"/>
        </w:rPr>
        <w:t xml:space="preserve"> and </w:t>
      </w:r>
      <w:r>
        <w:rPr>
          <w:kern w:val="0"/>
        </w:rPr>
        <w:t xml:space="preserve">Jones, K.L. (2005), Chloroquine or amodiaquine combined with sulfadoxine-pyrimethamine for treating uncomplicated malaria.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CD000386.</w:t>
      </w:r>
    </w:p>
    <w:p w:rsidR="00365DE4" w:rsidRDefault="00365DE4" w:rsidP="00365DE4">
      <w:pPr>
        <w:pStyle w:val="a3"/>
        <w:rPr>
          <w:kern w:val="2"/>
        </w:rPr>
      </w:pPr>
      <w:r>
        <w:t xml:space="preserve">Full Text: </w:t>
      </w:r>
      <w:hyperlink r:id="rId503" w:history="1">
        <w:r>
          <w:rPr>
            <w:rStyle w:val="a5"/>
          </w:rPr>
          <w:t>2005\Coc Dat Sys Rev2005, CD000386.pdf</w:t>
        </w:r>
      </w:hyperlink>
    </w:p>
    <w:p w:rsidR="00365DE4" w:rsidRDefault="00365DE4" w:rsidP="00365DE4">
      <w:pPr>
        <w:pStyle w:val="a3"/>
        <w:rPr>
          <w:kern w:val="0"/>
        </w:rPr>
      </w:pPr>
      <w:r>
        <w:rPr>
          <w:kern w:val="0"/>
        </w:rPr>
        <w:t>Abstract: Background Chloroquine (CQ), amodiaquine (AQ),</w:t>
      </w:r>
      <w:r w:rsidR="005853A9">
        <w:rPr>
          <w:kern w:val="0"/>
        </w:rPr>
        <w:t xml:space="preserve"> and </w:t>
      </w:r>
      <w:r>
        <w:rPr>
          <w:kern w:val="0"/>
        </w:rPr>
        <w:t xml:space="preserve">sulfadoxine-pyrimethamine (SP) are inexpensive drugs, but treatment failure is a </w:t>
      </w:r>
      <w:r>
        <w:rPr>
          <w:kern w:val="0"/>
        </w:rPr>
        <w:lastRenderedPageBreak/>
        <w:t>problem. Combination therapy may reduce treatment failure. CQ or AQ plus SP are affordable options</w:t>
      </w:r>
      <w:r w:rsidR="00427468">
        <w:rPr>
          <w:kern w:val="0"/>
        </w:rPr>
        <w:t xml:space="preserve"> of </w:t>
      </w:r>
      <w:r>
        <w:rPr>
          <w:kern w:val="0"/>
        </w:rPr>
        <w:t>combination treatment, but there is debate about their effectiveness. Objectives To assess the combination</w:t>
      </w:r>
      <w:r w:rsidR="00427468">
        <w:rPr>
          <w:kern w:val="0"/>
        </w:rPr>
        <w:t xml:space="preserve"> of </w:t>
      </w:r>
      <w:r>
        <w:rPr>
          <w:kern w:val="0"/>
        </w:rPr>
        <w:t>CQ or AQ plus SP compared with SP alone for first-line treatment</w:t>
      </w:r>
      <w:r w:rsidR="00427468">
        <w:rPr>
          <w:kern w:val="0"/>
        </w:rPr>
        <w:t xml:space="preserve"> of </w:t>
      </w:r>
      <w:r>
        <w:rPr>
          <w:kern w:val="0"/>
        </w:rPr>
        <w:t xml:space="preserve">uncomplicated falciparum malaria. Search strategy We searched the Cochrane Infectious Diseases Group Specialized Register (April 2005), CENTRAL (The Cochrane Library Issue 2, 2005), </w:t>
      </w:r>
      <w:r w:rsidR="00D5664A">
        <w:rPr>
          <w:kern w:val="0"/>
        </w:rPr>
        <w:t>MEDLINE</w:t>
      </w:r>
      <w:r>
        <w:rPr>
          <w:kern w:val="0"/>
        </w:rPr>
        <w:t xml:space="preserve"> (1966 to April 2005), EMBASE (1974 to April 2005), LILACS (1982 to April 2005), Science Citation Index (1981 to April 2005), African Index Medicus (1993 to 1998),</w:t>
      </w:r>
      <w:r w:rsidR="005853A9">
        <w:rPr>
          <w:kern w:val="0"/>
        </w:rPr>
        <w:t xml:space="preserve"> and </w:t>
      </w:r>
      <w:r>
        <w:rPr>
          <w:kern w:val="0"/>
        </w:rPr>
        <w:t>reference lists. We also contacted researchers at relevant organizations</w:t>
      </w:r>
      <w:r w:rsidR="005853A9">
        <w:rPr>
          <w:kern w:val="0"/>
        </w:rPr>
        <w:t xml:space="preserve"> and </w:t>
      </w:r>
      <w:r>
        <w:rPr>
          <w:kern w:val="0"/>
        </w:rPr>
        <w:t>a pharmaceutical company. Selection criteria Randomized controlled trials in adults or children with uncomplicated Plasmodium falciparum malaria were eligible for inclusion</w:t>
      </w:r>
      <w:r w:rsidR="00A37C1D">
        <w:rPr>
          <w:kern w:val="0"/>
        </w:rPr>
        <w:t>. The</w:t>
      </w:r>
      <w:r>
        <w:rPr>
          <w:kern w:val="0"/>
        </w:rPr>
        <w:t xml:space="preserve"> main outcomes</w:t>
      </w:r>
      <w:r w:rsidR="00427468">
        <w:rPr>
          <w:kern w:val="0"/>
        </w:rPr>
        <w:t xml:space="preserve"> of </w:t>
      </w:r>
      <w:r>
        <w:rPr>
          <w:kern w:val="0"/>
        </w:rPr>
        <w:t>interest were total</w:t>
      </w:r>
      <w:r w:rsidR="005853A9">
        <w:rPr>
          <w:kern w:val="0"/>
        </w:rPr>
        <w:t xml:space="preserve"> and </w:t>
      </w:r>
      <w:r>
        <w:rPr>
          <w:kern w:val="0"/>
        </w:rPr>
        <w:t>clinical failure at day 28 follow up</w:t>
      </w:r>
      <w:r w:rsidR="005853A9">
        <w:rPr>
          <w:kern w:val="0"/>
        </w:rPr>
        <w:t xml:space="preserve"> and </w:t>
      </w:r>
      <w:r>
        <w:rPr>
          <w:kern w:val="0"/>
        </w:rPr>
        <w:t>serious adverse events. Data collection</w:t>
      </w:r>
      <w:r w:rsidR="005853A9">
        <w:rPr>
          <w:kern w:val="0"/>
        </w:rPr>
        <w:t xml:space="preserve"> and </w:t>
      </w:r>
      <w:r>
        <w:rPr>
          <w:kern w:val="0"/>
        </w:rPr>
        <w:t>analysis Two people independently applied the inclusion criteria. One author extracted data</w:t>
      </w:r>
      <w:r w:rsidR="005853A9">
        <w:rPr>
          <w:kern w:val="0"/>
        </w:rPr>
        <w:t xml:space="preserve"> and </w:t>
      </w:r>
      <w:r>
        <w:rPr>
          <w:kern w:val="0"/>
        </w:rPr>
        <w:t>another checked them independently. We used relative risk (RR)</w:t>
      </w:r>
      <w:r w:rsidR="005853A9">
        <w:rPr>
          <w:kern w:val="0"/>
        </w:rPr>
        <w:t xml:space="preserve"> and </w:t>
      </w:r>
      <w:r>
        <w:rPr>
          <w:kern w:val="0"/>
        </w:rPr>
        <w:t>95% confidence intervals (CI). Main results Twelve trials (2107 participants) met the inclusion criteria. A meta-analysis</w:t>
      </w:r>
      <w:r w:rsidR="00427468">
        <w:rPr>
          <w:kern w:val="0"/>
        </w:rPr>
        <w:t xml:space="preserve"> of </w:t>
      </w:r>
      <w:r>
        <w:rPr>
          <w:kern w:val="0"/>
        </w:rPr>
        <w:t>five AQ trials (461 participants) showed a statistically significant reduction in total failure at day 28 with the combination therapy (RR 0.64, 95% CI 0.46 to 0.91),</w:t>
      </w:r>
      <w:r w:rsidR="005853A9">
        <w:rPr>
          <w:kern w:val="0"/>
        </w:rPr>
        <w:t xml:space="preserve"> and </w:t>
      </w:r>
      <w:r>
        <w:rPr>
          <w:kern w:val="0"/>
        </w:rPr>
        <w:t>meta-analysis</w:t>
      </w:r>
      <w:r w:rsidR="00427468">
        <w:rPr>
          <w:kern w:val="0"/>
        </w:rPr>
        <w:t xml:space="preserve"> of </w:t>
      </w:r>
      <w:r>
        <w:rPr>
          <w:kern w:val="0"/>
        </w:rPr>
        <w:t>three trials (384 participants) showed a significant reduction in clinical failure at day 28 (RR 0.23, 95% CI 0.11 to 0.49)</w:t>
      </w:r>
      <w:r w:rsidR="00A37C1D">
        <w:rPr>
          <w:kern w:val="0"/>
        </w:rPr>
        <w:t>. The</w:t>
      </w:r>
      <w:r>
        <w:rPr>
          <w:kern w:val="0"/>
        </w:rPr>
        <w:t xml:space="preserve"> statistical significance in the total failure analysis was sensitive to losses to follow up. Data from two CQ trials showed no advantage for total failure with combination therapy at day 28</w:t>
      </w:r>
      <w:r w:rsidR="00A37C1D">
        <w:rPr>
          <w:kern w:val="0"/>
        </w:rPr>
        <w:t>. The</w:t>
      </w:r>
      <w:r>
        <w:rPr>
          <w:kern w:val="0"/>
        </w:rPr>
        <w:t>re was no evidence from the included trials</w:t>
      </w:r>
      <w:r w:rsidR="00427468">
        <w:rPr>
          <w:kern w:val="0"/>
        </w:rPr>
        <w:t xml:space="preserve"> of </w:t>
      </w:r>
      <w:r>
        <w:rPr>
          <w:kern w:val="0"/>
        </w:rPr>
        <w:t>serious adverse events. Authors</w:t>
      </w:r>
      <w:r w:rsidR="0071223E">
        <w:rPr>
          <w:kern w:val="0"/>
        </w:rPr>
        <w:t>’</w:t>
      </w:r>
      <w:r>
        <w:rPr>
          <w:kern w:val="0"/>
        </w:rPr>
        <w:t xml:space="preserve"> conclusions The evidence base is not strong enough to support firm conclusions</w:t>
      </w:r>
      <w:r w:rsidR="00A37C1D">
        <w:rPr>
          <w:kern w:val="0"/>
        </w:rPr>
        <w:t>. The</w:t>
      </w:r>
      <w:r>
        <w:rPr>
          <w:kern w:val="0"/>
        </w:rPr>
        <w:t xml:space="preserve"> available evidence suggests that AQ plus SP can achieve less treatment failure than SP, but this might depend on existing levels</w:t>
      </w:r>
      <w:r w:rsidR="00427468">
        <w:rPr>
          <w:kern w:val="0"/>
        </w:rPr>
        <w:t xml:space="preserve"> of </w:t>
      </w:r>
      <w:r>
        <w:rPr>
          <w:kern w:val="0"/>
        </w:rPr>
        <w:t>parasite resistance to the individual drugs.</w:t>
      </w:r>
    </w:p>
    <w:p w:rsidR="00365DE4" w:rsidRDefault="00365DE4" w:rsidP="00365DE4">
      <w:pPr>
        <w:pStyle w:val="a3"/>
        <w:rPr>
          <w:kern w:val="0"/>
        </w:rPr>
      </w:pPr>
      <w:r>
        <w:rPr>
          <w:kern w:val="0"/>
        </w:rPr>
        <w:t xml:space="preserve">Keywords: Children, Citation, Combination Therapy, Confidence Intervals, Consort Statement, Efficacy, Embase, </w:t>
      </w:r>
      <w:r w:rsidR="00D5664A">
        <w:rPr>
          <w:kern w:val="0"/>
        </w:rPr>
        <w:t>MEDLINE</w:t>
      </w:r>
      <w:r>
        <w:rPr>
          <w:kern w:val="0"/>
        </w:rPr>
        <w:t>, Meta-Analysis, Outcomes, Plasmodium-Falciparum Malaria, Plus Chloroquine, Randomized-Trials, Science, Science Citation Index, Search Strategy, Statistical, Strategy, Sulfadoxine, Pyrimethamine, Therapeutic Regimens, Western Uganda</w:t>
      </w:r>
    </w:p>
    <w:p w:rsidR="00365DE4" w:rsidRDefault="00365DE4" w:rsidP="00365DE4">
      <w:pPr>
        <w:pStyle w:val="a3"/>
        <w:rPr>
          <w:kern w:val="2"/>
        </w:rPr>
      </w:pPr>
      <w:r>
        <w:t>? White, A.R., Rampes, H.</w:t>
      </w:r>
      <w:r w:rsidR="005853A9">
        <w:t xml:space="preserve"> and </w:t>
      </w:r>
      <w:r>
        <w:t>Campbell, J.L. (2006), Acupuncture</w:t>
      </w:r>
      <w:r w:rsidR="005853A9">
        <w:t xml:space="preserve"> and </w:t>
      </w:r>
      <w:r>
        <w:t xml:space="preserve">related interventions for smoking cessation. </w:t>
      </w:r>
      <w:r>
        <w:rPr>
          <w:i/>
          <w:iCs/>
        </w:rPr>
        <w:t>Cochrane Database</w:t>
      </w:r>
      <w:r w:rsidR="00427468">
        <w:rPr>
          <w:i/>
          <w:iCs/>
        </w:rPr>
        <w:t xml:space="preserve"> of </w:t>
      </w:r>
      <w:r>
        <w:rPr>
          <w:i/>
          <w:iCs/>
        </w:rPr>
        <w:t>Systematic Reviews</w:t>
      </w:r>
      <w:r>
        <w:t xml:space="preserve">, </w:t>
      </w:r>
      <w:r>
        <w:rPr>
          <w:b/>
          <w:bCs/>
        </w:rPr>
        <w:t>1</w:t>
      </w:r>
      <w:r>
        <w:t>, Article Number: CD000009.</w:t>
      </w:r>
    </w:p>
    <w:p w:rsidR="00365DE4" w:rsidRDefault="00365DE4" w:rsidP="00365DE4">
      <w:pPr>
        <w:pStyle w:val="a3"/>
      </w:pPr>
      <w:r>
        <w:t xml:space="preserve">Full Text: </w:t>
      </w:r>
      <w:hyperlink r:id="rId504" w:history="1">
        <w:r>
          <w:rPr>
            <w:rStyle w:val="a5"/>
          </w:rPr>
          <w:t>2006\Coc Dat Sys Rev2006, CD000009.pdf</w:t>
        </w:r>
      </w:hyperlink>
    </w:p>
    <w:p w:rsidR="00365DE4" w:rsidRDefault="00365DE4" w:rsidP="00365DE4">
      <w:pPr>
        <w:pStyle w:val="a3"/>
      </w:pPr>
      <w:r>
        <w:t>Abstract: Background Acupuncture</w:t>
      </w:r>
      <w:r w:rsidR="005853A9">
        <w:t xml:space="preserve"> and </w:t>
      </w:r>
      <w:r>
        <w:t>related techniques are promoted as a treatment for smoking cessation in the belief that they may reduce nicotine withdrawal symptoms. Objectives The objectives</w:t>
      </w:r>
      <w:r w:rsidR="00427468">
        <w:t xml:space="preserve"> of </w:t>
      </w:r>
      <w:r>
        <w:t xml:space="preserve">this review are to determine the </w:t>
      </w:r>
      <w:r>
        <w:lastRenderedPageBreak/>
        <w:t>effectiveness</w:t>
      </w:r>
      <w:r w:rsidR="00427468">
        <w:t xml:space="preserve"> of </w:t>
      </w:r>
      <w:r>
        <w:t>acupuncture</w:t>
      </w:r>
      <w:r w:rsidR="005853A9">
        <w:t xml:space="preserve"> and </w:t>
      </w:r>
      <w:r>
        <w:t>the related interventions</w:t>
      </w:r>
      <w:r w:rsidR="00427468">
        <w:t xml:space="preserve"> of </w:t>
      </w:r>
      <w:r>
        <w:t>acupressure, laser therapy</w:t>
      </w:r>
      <w:r w:rsidR="005853A9">
        <w:t xml:space="preserve"> and </w:t>
      </w:r>
      <w:r>
        <w:t>electrostimulation, in smoking cessation in comparison with no intervention, sham treatment, or other interventions. Search strategy We searched the Cochrane Tobacco Addiction Group specialized register, the Cochrane Central Register</w:t>
      </w:r>
      <w:r w:rsidR="00427468">
        <w:t xml:space="preserve"> of </w:t>
      </w:r>
      <w:r>
        <w:t xml:space="preserve">Controlled Trials (CENTRAL), </w:t>
      </w:r>
      <w:r w:rsidR="00D5664A">
        <w:t>MEDLINE</w:t>
      </w:r>
      <w:r>
        <w:t>, EMBASE, BIOSIS Previews, PsycINFO, Science</w:t>
      </w:r>
      <w:r w:rsidR="005853A9">
        <w:t xml:space="preserve"> and </w:t>
      </w:r>
      <w:r>
        <w:t>Social Sciences Citation Index, AMED</w:t>
      </w:r>
      <w:r w:rsidR="005853A9">
        <w:t xml:space="preserve"> and </w:t>
      </w:r>
      <w:r>
        <w:t>CISCOM. Date</w:t>
      </w:r>
      <w:r w:rsidR="00427468">
        <w:t xml:space="preserve"> of </w:t>
      </w:r>
      <w:r>
        <w:t>last search January 2005. Selection criteria Randomized trials comparing a form</w:t>
      </w:r>
      <w:r w:rsidR="00427468">
        <w:t xml:space="preserve"> of </w:t>
      </w:r>
      <w:r>
        <w:t>acupuncture, acupressure, laser therapy or electrostimulation with either no intervention, sham treatment or another intervention for smoking cessation. Data collection</w:t>
      </w:r>
      <w:r w:rsidR="005853A9">
        <w:t xml:space="preserve"> and </w:t>
      </w:r>
      <w:r>
        <w:t>analysis We extracted data in duplicate on the type</w:t>
      </w:r>
      <w:r w:rsidR="00427468">
        <w:t xml:space="preserve"> of </w:t>
      </w:r>
      <w:r>
        <w:t>smokers recruited, the nature</w:t>
      </w:r>
      <w:r w:rsidR="00427468">
        <w:t xml:space="preserve"> of </w:t>
      </w:r>
      <w:r>
        <w:t>the acupuncture</w:t>
      </w:r>
      <w:r w:rsidR="005853A9">
        <w:t xml:space="preserve"> and </w:t>
      </w:r>
      <w:r>
        <w:t>control procedures, the outcome measures, method</w:t>
      </w:r>
      <w:r w:rsidR="00427468">
        <w:t xml:space="preserve"> of </w:t>
      </w:r>
      <w:r>
        <w:t>randomization,</w:t>
      </w:r>
      <w:r w:rsidR="005853A9">
        <w:t xml:space="preserve"> and </w:t>
      </w:r>
      <w:r>
        <w:t>completeness</w:t>
      </w:r>
      <w:r w:rsidR="00427468">
        <w:t xml:space="preserve"> of </w:t>
      </w:r>
      <w:r>
        <w:t>follow up. We assessed abstinence from smoking at the earliest time-point (before six weeks),</w:t>
      </w:r>
      <w:r w:rsidR="005853A9">
        <w:t xml:space="preserve"> and </w:t>
      </w:r>
      <w:r>
        <w:t>at the last measurement point between six months</w:t>
      </w:r>
      <w:r w:rsidR="005853A9">
        <w:t xml:space="preserve"> and </w:t>
      </w:r>
      <w:r>
        <w:t>one year. We used the most rigorous definition</w:t>
      </w:r>
      <w:r w:rsidR="00427468">
        <w:t xml:space="preserve"> of </w:t>
      </w:r>
      <w:r>
        <w:t>abstinence for each trial,</w:t>
      </w:r>
      <w:r w:rsidR="005853A9">
        <w:t xml:space="preserve"> and </w:t>
      </w:r>
      <w:r>
        <w:t>biochemically validated rates if available. Those lost to follow up were counted as continuing smokers. Where appropriate, we performed meta-analysis using a fixed-effect model. Main results We identified 24 reports</w:t>
      </w:r>
      <w:r w:rsidR="00427468">
        <w:t xml:space="preserve"> of </w:t>
      </w:r>
      <w:r>
        <w:t>studies</w:t>
      </w:r>
      <w:r w:rsidR="00A37C1D">
        <w:t>. The</w:t>
      </w:r>
      <w:r>
        <w:t xml:space="preserve"> only comparison for which there were sufficient studies to combine meaningfully was acupuncture compared with sham acupuncture</w:t>
      </w:r>
      <w:r w:rsidR="00A37C1D">
        <w:t>. The</w:t>
      </w:r>
      <w:r>
        <w:t xml:space="preserve"> fixed-effect odds ratio (OR) for the short-term effect was 1.36 (95% confidence interval 1.07 to 1.72), but the studies are heterogeneous</w:t>
      </w:r>
      <w:r w:rsidR="005853A9">
        <w:t xml:space="preserve"> and </w:t>
      </w:r>
      <w:r>
        <w:t>the result is strongly influenced by one individual positive study</w:t>
      </w:r>
      <w:r w:rsidR="00A37C1D">
        <w:t>. The</w:t>
      </w:r>
      <w:r>
        <w:t xml:space="preserve"> significant short-term effect was lost with the random-effects model for pooling, or by removing the outlying study that led to heterogeneity</w:t>
      </w:r>
      <w:r w:rsidR="00A37C1D">
        <w:t>. The</w:t>
      </w:r>
      <w:r>
        <w:t xml:space="preserve"> long-term result shows no effect</w:t>
      </w:r>
      <w:r w:rsidR="00427468">
        <w:t xml:space="preserve"> of </w:t>
      </w:r>
      <w:r>
        <w:t>acupuncture compared with sham acupuncture</w:t>
      </w:r>
      <w:r w:rsidR="00A37C1D">
        <w:t>. The</w:t>
      </w:r>
      <w:r>
        <w:t>re was no consistent evidence that acupuncture is superior to no treatment,</w:t>
      </w:r>
      <w:r w:rsidR="005853A9">
        <w:t xml:space="preserve"> and </w:t>
      </w:r>
      <w:r>
        <w:t>no evidence that the effect</w:t>
      </w:r>
      <w:r w:rsidR="00427468">
        <w:t xml:space="preserve"> of </w:t>
      </w:r>
      <w:r>
        <w:t>acupuncture was different from that</w:t>
      </w:r>
      <w:r w:rsidR="00427468">
        <w:t xml:space="preserve"> of </w:t>
      </w:r>
      <w:r>
        <w:t>other antismoking interventions, or that any particular acupuncture technique is superior to other techniques.</w:t>
      </w:r>
    </w:p>
    <w:p w:rsidR="00365DE4" w:rsidRDefault="00365DE4" w:rsidP="00365DE4">
      <w:pPr>
        <w:pStyle w:val="a3"/>
      </w:pPr>
      <w:r>
        <w:t xml:space="preserve">Keywords: Acupuncture, Analysis, Collection, Comparison, Confidence, Control, Criteria, Data, Effectiveness, Evidence, Follow-Up, Heterogeneity, Interval, Intervention, Interventions, Laser, Long Term, Long-Term, Measurement, </w:t>
      </w:r>
      <w:r w:rsidR="00D5664A">
        <w:t>MEDLINE</w:t>
      </w:r>
      <w:r>
        <w:t>, Meta-Analysis, Metaanalysis, Model, Odds Ratio, Outcome, Outcome Measures, Procedures, PsycINFO, Random Effects Model, Randomization, Rates, Review, Sham Acupuncture, Smoking, Symptoms, Techniques, Therapy, Treatment, Trial</w:t>
      </w:r>
    </w:p>
    <w:p w:rsidR="00365DE4" w:rsidRDefault="00365DE4" w:rsidP="00365DE4">
      <w:pPr>
        <w:pStyle w:val="a3"/>
        <w:rPr>
          <w:kern w:val="0"/>
        </w:rPr>
      </w:pPr>
      <w:r>
        <w:rPr>
          <w:kern w:val="0"/>
        </w:rPr>
        <w:t>? Smith, S., Demicheli, V., Di Pietrantonj, C., Harnden, A.R., Jefferson, T., Matheson, N.J.</w:t>
      </w:r>
      <w:r w:rsidR="005853A9">
        <w:rPr>
          <w:kern w:val="0"/>
        </w:rPr>
        <w:t xml:space="preserve"> and </w:t>
      </w:r>
      <w:r>
        <w:rPr>
          <w:kern w:val="0"/>
        </w:rPr>
        <w:t xml:space="preserve">Rivetti, A. (2006), Vaccines for preventing influenza in healthy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CD004879.</w:t>
      </w:r>
    </w:p>
    <w:p w:rsidR="00365DE4" w:rsidRDefault="00365DE4" w:rsidP="00365DE4">
      <w:pPr>
        <w:pStyle w:val="a3"/>
        <w:rPr>
          <w:kern w:val="2"/>
        </w:rPr>
      </w:pPr>
      <w:r>
        <w:t xml:space="preserve">Full Text: </w:t>
      </w:r>
      <w:hyperlink r:id="rId505" w:history="1">
        <w:r>
          <w:rPr>
            <w:rStyle w:val="a5"/>
          </w:rPr>
          <w:t>2006\Coc Dat Sys Rev2006, CD004879.pdf</w:t>
        </w:r>
      </w:hyperlink>
    </w:p>
    <w:p w:rsidR="00365DE4" w:rsidRDefault="00365DE4" w:rsidP="00365DE4">
      <w:pPr>
        <w:pStyle w:val="a3"/>
        <w:rPr>
          <w:kern w:val="0"/>
        </w:rPr>
      </w:pPr>
      <w:r>
        <w:rPr>
          <w:kern w:val="0"/>
        </w:rPr>
        <w:lastRenderedPageBreak/>
        <w:t>Abstract: Background In children</w:t>
      </w:r>
      <w:r w:rsidR="005853A9">
        <w:rPr>
          <w:kern w:val="0"/>
        </w:rPr>
        <w:t xml:space="preserve"> and </w:t>
      </w:r>
      <w:r>
        <w:rPr>
          <w:kern w:val="0"/>
        </w:rPr>
        <w:t>adults the consequences</w:t>
      </w:r>
      <w:r w:rsidR="00427468">
        <w:rPr>
          <w:kern w:val="0"/>
        </w:rPr>
        <w:t xml:space="preserve"> of </w:t>
      </w:r>
      <w:r>
        <w:rPr>
          <w:kern w:val="0"/>
        </w:rPr>
        <w:t>influenza are mainly absences from school</w:t>
      </w:r>
      <w:r w:rsidR="005853A9">
        <w:rPr>
          <w:kern w:val="0"/>
        </w:rPr>
        <w:t xml:space="preserve"> and </w:t>
      </w:r>
      <w:r>
        <w:rPr>
          <w:kern w:val="0"/>
        </w:rPr>
        <w:t>work, however the risk</w:t>
      </w:r>
      <w:r w:rsidR="00427468">
        <w:rPr>
          <w:kern w:val="0"/>
        </w:rPr>
        <w:t xml:space="preserve"> of </w:t>
      </w:r>
      <w:r>
        <w:rPr>
          <w:kern w:val="0"/>
        </w:rPr>
        <w:t>complications is greatest in children</w:t>
      </w:r>
      <w:r w:rsidR="005853A9">
        <w:rPr>
          <w:kern w:val="0"/>
        </w:rPr>
        <w:t xml:space="preserve"> and </w:t>
      </w:r>
      <w:r>
        <w:rPr>
          <w:kern w:val="0"/>
        </w:rPr>
        <w:t>people over 65 years old. Objectives To appraise all comparative studies evaluating the effects</w:t>
      </w:r>
      <w:r w:rsidR="00427468">
        <w:rPr>
          <w:kern w:val="0"/>
        </w:rPr>
        <w:t xml:space="preserve"> of </w:t>
      </w:r>
      <w:r>
        <w:rPr>
          <w:kern w:val="0"/>
        </w:rPr>
        <w:t>influenza vaccines in healthy children; assess vaccine efficacy (prevention</w:t>
      </w:r>
      <w:r w:rsidR="00427468">
        <w:rPr>
          <w:kern w:val="0"/>
        </w:rPr>
        <w:t xml:space="preserve"> of </w:t>
      </w:r>
      <w:r>
        <w:rPr>
          <w:kern w:val="0"/>
        </w:rPr>
        <w:t>confirmed influenza)</w:t>
      </w:r>
      <w:r w:rsidR="005853A9">
        <w:rPr>
          <w:kern w:val="0"/>
        </w:rPr>
        <w:t xml:space="preserve"> and </w:t>
      </w:r>
      <w:r>
        <w:rPr>
          <w:kern w:val="0"/>
        </w:rPr>
        <w:t>effectiveness (prevention</w:t>
      </w:r>
      <w:r w:rsidR="00427468">
        <w:rPr>
          <w:kern w:val="0"/>
        </w:rPr>
        <w:t xml:space="preserve"> of </w:t>
      </w:r>
      <w:r>
        <w:rPr>
          <w:kern w:val="0"/>
        </w:rPr>
        <w:t>influenza-like illness)</w:t>
      </w:r>
      <w:r w:rsidR="005853A9">
        <w:rPr>
          <w:kern w:val="0"/>
        </w:rPr>
        <w:t xml:space="preserve"> and </w:t>
      </w:r>
      <w:r>
        <w:rPr>
          <w:kern w:val="0"/>
        </w:rPr>
        <w:t>document adverse events associated with receiving influenza vaccines. Search strategy We searched the Cochrane Central Register</w:t>
      </w:r>
      <w:r w:rsidR="00427468">
        <w:rPr>
          <w:kern w:val="0"/>
        </w:rPr>
        <w:t xml:space="preserve"> of </w:t>
      </w:r>
      <w:r>
        <w:rPr>
          <w:kern w:val="0"/>
        </w:rPr>
        <w:t xml:space="preserve">Controlled Trials (CENTRAL) (The Cochrane Library Issue 1, 2005); OLD </w:t>
      </w:r>
      <w:r w:rsidR="00D5664A">
        <w:rPr>
          <w:kern w:val="0"/>
        </w:rPr>
        <w:t>MEDLINE</w:t>
      </w:r>
      <w:r>
        <w:rPr>
          <w:kern w:val="0"/>
        </w:rPr>
        <w:t xml:space="preserve"> (1966 to 1969); </w:t>
      </w:r>
      <w:r w:rsidR="00D5664A">
        <w:rPr>
          <w:kern w:val="0"/>
        </w:rPr>
        <w:t>MEDLINE</w:t>
      </w:r>
      <w:r>
        <w:rPr>
          <w:kern w:val="0"/>
        </w:rPr>
        <w:t xml:space="preserve"> (1969 to December 2004); EMBASE (1974 to December 2004); Biological Abstracts (1969 to December 2004);</w:t>
      </w:r>
      <w:r w:rsidR="005853A9">
        <w:rPr>
          <w:kern w:val="0"/>
        </w:rPr>
        <w:t xml:space="preserve"> and </w:t>
      </w:r>
      <w:r>
        <w:rPr>
          <w:kern w:val="0"/>
        </w:rPr>
        <w:t>Science Citation Index (1974 to December 2004). We wrote to vaccine manufacturers</w:t>
      </w:r>
      <w:r w:rsidR="005853A9">
        <w:rPr>
          <w:kern w:val="0"/>
        </w:rPr>
        <w:t xml:space="preserve"> and </w:t>
      </w:r>
      <w:r>
        <w:rPr>
          <w:kern w:val="0"/>
        </w:rPr>
        <w:t>a number</w:t>
      </w:r>
      <w:r w:rsidR="00427468">
        <w:rPr>
          <w:kern w:val="0"/>
        </w:rPr>
        <w:t xml:space="preserve"> of </w:t>
      </w:r>
      <w:r>
        <w:rPr>
          <w:kern w:val="0"/>
        </w:rPr>
        <w:t>corresponding authors</w:t>
      </w:r>
      <w:r w:rsidR="00427468">
        <w:rPr>
          <w:kern w:val="0"/>
        </w:rPr>
        <w:t xml:space="preserve"> of </w:t>
      </w:r>
      <w:r>
        <w:rPr>
          <w:kern w:val="0"/>
        </w:rPr>
        <w:t>studies in the review. Selection criteria Any randomised controlled trials (RCTs), cohort</w:t>
      </w:r>
      <w:r w:rsidR="005853A9">
        <w:rPr>
          <w:kern w:val="0"/>
        </w:rPr>
        <w:t xml:space="preserve"> and </w:t>
      </w:r>
      <w:r>
        <w:rPr>
          <w:kern w:val="0"/>
        </w:rPr>
        <w:t>case-control studies</w:t>
      </w:r>
      <w:r w:rsidR="00427468">
        <w:rPr>
          <w:kern w:val="0"/>
        </w:rPr>
        <w:t xml:space="preserve"> of </w:t>
      </w:r>
      <w:r>
        <w:rPr>
          <w:kern w:val="0"/>
        </w:rPr>
        <w:t>any influenza vaccine in healthy children under 16 years old. Data collection</w:t>
      </w:r>
      <w:r w:rsidR="005853A9">
        <w:rPr>
          <w:kern w:val="0"/>
        </w:rPr>
        <w:t xml:space="preserve"> and </w:t>
      </w:r>
      <w:r>
        <w:rPr>
          <w:kern w:val="0"/>
        </w:rPr>
        <w:t>analysis Two authors independently assessed trial quality</w:t>
      </w:r>
      <w:r w:rsidR="005853A9">
        <w:rPr>
          <w:kern w:val="0"/>
        </w:rPr>
        <w:t xml:space="preserve"> and </w:t>
      </w:r>
      <w:r>
        <w:rPr>
          <w:kern w:val="0"/>
        </w:rPr>
        <w:t>extracted data. Main results Fifty-one studies involving 263,987 children were included. Seventeen papers were translated from Russian. Fourteen RCTs</w:t>
      </w:r>
      <w:r w:rsidR="005853A9">
        <w:rPr>
          <w:kern w:val="0"/>
        </w:rPr>
        <w:t xml:space="preserve"> and </w:t>
      </w:r>
      <w:r>
        <w:rPr>
          <w:kern w:val="0"/>
        </w:rPr>
        <w:t>11 cohort studies were included in the analysis</w:t>
      </w:r>
      <w:r w:rsidR="00427468">
        <w:rPr>
          <w:kern w:val="0"/>
        </w:rPr>
        <w:t xml:space="preserve"> of </w:t>
      </w:r>
      <w:r>
        <w:rPr>
          <w:kern w:val="0"/>
        </w:rPr>
        <w:t>vaccine efficacy</w:t>
      </w:r>
      <w:r w:rsidR="005853A9">
        <w:rPr>
          <w:kern w:val="0"/>
        </w:rPr>
        <w:t xml:space="preserve"> and </w:t>
      </w:r>
      <w:r>
        <w:rPr>
          <w:kern w:val="0"/>
        </w:rPr>
        <w:t>effectiveness. From RCTs, live vaccines showed an efficacy</w:t>
      </w:r>
      <w:r w:rsidR="00427468">
        <w:rPr>
          <w:kern w:val="0"/>
        </w:rPr>
        <w:t xml:space="preserve"> of </w:t>
      </w:r>
      <w:r>
        <w:rPr>
          <w:kern w:val="0"/>
        </w:rPr>
        <w:t>79% (95% confidence interval (CI) 48% to 92%)</w:t>
      </w:r>
      <w:r w:rsidR="005853A9">
        <w:rPr>
          <w:kern w:val="0"/>
        </w:rPr>
        <w:t xml:space="preserve"> and </w:t>
      </w:r>
      <w:r>
        <w:rPr>
          <w:kern w:val="0"/>
        </w:rPr>
        <w:t>an effectiveness</w:t>
      </w:r>
      <w:r w:rsidR="00427468">
        <w:rPr>
          <w:kern w:val="0"/>
        </w:rPr>
        <w:t xml:space="preserve"> of </w:t>
      </w:r>
      <w:r>
        <w:rPr>
          <w:kern w:val="0"/>
        </w:rPr>
        <w:t>33% (95% CI 28% to 38%) in children older than two years compared with placebo or no intervention. Inactivated vaccines had a lower efficacy</w:t>
      </w:r>
      <w:r w:rsidR="00427468">
        <w:rPr>
          <w:kern w:val="0"/>
        </w:rPr>
        <w:t xml:space="preserve"> of </w:t>
      </w:r>
      <w:r>
        <w:rPr>
          <w:kern w:val="0"/>
        </w:rPr>
        <w:t>59% (95% CI 41% to 71%) than live vaccines but similar effectiveness: 36% (95% CI 24% to 46%). In children under two, the efficacy</w:t>
      </w:r>
      <w:r w:rsidR="00427468">
        <w:rPr>
          <w:kern w:val="0"/>
        </w:rPr>
        <w:t xml:space="preserve"> of </w:t>
      </w:r>
      <w:r>
        <w:rPr>
          <w:kern w:val="0"/>
        </w:rPr>
        <w:t>inactivated vaccine was similar to placebo. Thirty-four reports containing safety outcomes were included, 22 including live vaccines, 8 inactivated vaccines</w:t>
      </w:r>
      <w:r w:rsidR="005853A9">
        <w:rPr>
          <w:kern w:val="0"/>
        </w:rPr>
        <w:t xml:space="preserve"> and </w:t>
      </w:r>
      <w:r>
        <w:rPr>
          <w:kern w:val="0"/>
        </w:rPr>
        <w:t>4 both types</w:t>
      </w:r>
      <w:r w:rsidR="00A37C1D">
        <w:rPr>
          <w:kern w:val="0"/>
        </w:rPr>
        <w:t>. The</w:t>
      </w:r>
      <w:r>
        <w:rPr>
          <w:kern w:val="0"/>
        </w:rPr>
        <w:t xml:space="preserve"> most commonly presented short-term outcomes were temperature</w:t>
      </w:r>
      <w:r w:rsidR="005853A9">
        <w:rPr>
          <w:kern w:val="0"/>
        </w:rPr>
        <w:t xml:space="preserve"> and </w:t>
      </w:r>
      <w:r>
        <w:rPr>
          <w:kern w:val="0"/>
        </w:rPr>
        <w:t>local reactions</w:t>
      </w:r>
      <w:r w:rsidR="00A37C1D">
        <w:rPr>
          <w:kern w:val="0"/>
        </w:rPr>
        <w:t>. The</w:t>
      </w:r>
      <w:r>
        <w:rPr>
          <w:kern w:val="0"/>
        </w:rPr>
        <w:t xml:space="preserve"> variability in design</w:t>
      </w:r>
      <w:r w:rsidR="00427468">
        <w:rPr>
          <w:kern w:val="0"/>
        </w:rPr>
        <w:t xml:space="preserve"> of </w:t>
      </w:r>
      <w:r>
        <w:rPr>
          <w:kern w:val="0"/>
        </w:rPr>
        <w:t>studies</w:t>
      </w:r>
      <w:r w:rsidR="005853A9">
        <w:rPr>
          <w:kern w:val="0"/>
        </w:rPr>
        <w:t xml:space="preserve"> and </w:t>
      </w:r>
      <w:r>
        <w:rPr>
          <w:kern w:val="0"/>
        </w:rPr>
        <w:t>presentation</w:t>
      </w:r>
      <w:r w:rsidR="00427468">
        <w:rPr>
          <w:kern w:val="0"/>
        </w:rPr>
        <w:t xml:space="preserve"> of </w:t>
      </w:r>
      <w:r>
        <w:rPr>
          <w:kern w:val="0"/>
        </w:rPr>
        <w:t>data was such that meta-analysis</w:t>
      </w:r>
      <w:r w:rsidR="00427468">
        <w:rPr>
          <w:kern w:val="0"/>
        </w:rPr>
        <w:t xml:space="preserve"> of </w:t>
      </w:r>
      <w:r>
        <w:rPr>
          <w:kern w:val="0"/>
        </w:rPr>
        <w:t>safety outcome data was not feasible. Authors</w:t>
      </w:r>
      <w:r w:rsidR="0071223E">
        <w:rPr>
          <w:kern w:val="0"/>
        </w:rPr>
        <w:t>’</w:t>
      </w:r>
      <w:r>
        <w:rPr>
          <w:kern w:val="0"/>
        </w:rPr>
        <w:t xml:space="preserve"> conclusions Influenza vaccines are efficacious in children older than two years but little evidence is available for children under two</w:t>
      </w:r>
      <w:r w:rsidR="00A37C1D">
        <w:rPr>
          <w:kern w:val="0"/>
        </w:rPr>
        <w:t>. The</w:t>
      </w:r>
      <w:r>
        <w:rPr>
          <w:kern w:val="0"/>
        </w:rPr>
        <w:t>re was a marked difference between vaccine efficacy</w:t>
      </w:r>
      <w:r w:rsidR="005853A9">
        <w:rPr>
          <w:kern w:val="0"/>
        </w:rPr>
        <w:t xml:space="preserve"> and </w:t>
      </w:r>
      <w:r>
        <w:rPr>
          <w:kern w:val="0"/>
        </w:rPr>
        <w:t>effectiveness. That no safety comparisons could be carried out emphasizes the need for standardisation</w:t>
      </w:r>
      <w:r w:rsidR="00427468">
        <w:rPr>
          <w:kern w:val="0"/>
        </w:rPr>
        <w:t xml:space="preserve"> of </w:t>
      </w:r>
      <w:r>
        <w:rPr>
          <w:kern w:val="0"/>
        </w:rPr>
        <w:t>methods</w:t>
      </w:r>
      <w:r w:rsidR="005853A9">
        <w:rPr>
          <w:kern w:val="0"/>
        </w:rPr>
        <w:t xml:space="preserve"> and </w:t>
      </w:r>
      <w:r>
        <w:rPr>
          <w:kern w:val="0"/>
        </w:rPr>
        <w:t>presentation</w:t>
      </w:r>
      <w:r w:rsidR="00427468">
        <w:rPr>
          <w:kern w:val="0"/>
        </w:rPr>
        <w:t xml:space="preserve"> of </w:t>
      </w:r>
      <w:r>
        <w:rPr>
          <w:kern w:val="0"/>
        </w:rPr>
        <w:t>vaccine safety data in future studies. It was surprising to find only one study</w:t>
      </w:r>
      <w:r w:rsidR="00427468">
        <w:rPr>
          <w:kern w:val="0"/>
        </w:rPr>
        <w:t xml:space="preserve"> of </w:t>
      </w:r>
      <w:r>
        <w:rPr>
          <w:kern w:val="0"/>
        </w:rPr>
        <w:t xml:space="preserve">inactivated vaccine in children under two years, given recent recommendations to vaccinate healthy children from six months old in the </w:t>
      </w:r>
      <w:r w:rsidR="00D5664A">
        <w:rPr>
          <w:kern w:val="0"/>
        </w:rPr>
        <w:t>USA</w:t>
      </w:r>
      <w:r w:rsidR="005853A9">
        <w:rPr>
          <w:kern w:val="0"/>
        </w:rPr>
        <w:t xml:space="preserve"> and </w:t>
      </w:r>
      <w:r>
        <w:rPr>
          <w:kern w:val="0"/>
        </w:rPr>
        <w:t>Canada. If immunisation in children is to be recommended as public-health policy, large-scale studies assessing important outcomes</w:t>
      </w:r>
      <w:r w:rsidR="005853A9">
        <w:rPr>
          <w:kern w:val="0"/>
        </w:rPr>
        <w:t xml:space="preserve"> and </w:t>
      </w:r>
      <w:r>
        <w:rPr>
          <w:kern w:val="0"/>
        </w:rPr>
        <w:t>directly comparing vaccine types are urgently required.</w:t>
      </w:r>
    </w:p>
    <w:p w:rsidR="00365DE4" w:rsidRDefault="00365DE4" w:rsidP="00365DE4">
      <w:pPr>
        <w:pStyle w:val="a3"/>
        <w:rPr>
          <w:kern w:val="0"/>
        </w:rPr>
      </w:pPr>
      <w:r>
        <w:rPr>
          <w:kern w:val="0"/>
        </w:rPr>
        <w:t xml:space="preserve">Keywords: Acute Otitis-Media, Authors, Case-Control, Citation, Cohort, Day-Care, Inactivated Influenza, Live Recombinant, </w:t>
      </w:r>
      <w:r w:rsidR="00D5664A">
        <w:rPr>
          <w:kern w:val="0"/>
        </w:rPr>
        <w:t>MEDLINE</w:t>
      </w:r>
      <w:r>
        <w:rPr>
          <w:kern w:val="0"/>
        </w:rPr>
        <w:t xml:space="preserve">, Meta-Analysis, </w:t>
      </w:r>
      <w:r>
        <w:rPr>
          <w:kern w:val="0"/>
        </w:rPr>
        <w:lastRenderedPageBreak/>
        <w:t xml:space="preserve">Neuraminidase-Specific Influenza, Randomized Controlled-Trial, Review, School-Children, Science Citation Index, Temperature, </w:t>
      </w:r>
      <w:r w:rsidR="00D5664A">
        <w:rPr>
          <w:kern w:val="0"/>
        </w:rPr>
        <w:t>USA</w:t>
      </w:r>
      <w:r>
        <w:rPr>
          <w:kern w:val="0"/>
        </w:rPr>
        <w:t>, Virus-Vaccine, Whole-Virus, Young-Children</w:t>
      </w:r>
    </w:p>
    <w:p w:rsidR="00365DE4" w:rsidRDefault="00365DE4" w:rsidP="00365DE4">
      <w:pPr>
        <w:pStyle w:val="a3"/>
        <w:rPr>
          <w:kern w:val="2"/>
        </w:rPr>
      </w:pPr>
      <w:r>
        <w:rPr>
          <w:kern w:val="0"/>
        </w:rPr>
        <w:t>? Aj, S.</w:t>
      </w:r>
      <w:r w:rsidR="005853A9">
        <w:rPr>
          <w:kern w:val="0"/>
        </w:rPr>
        <w:t xml:space="preserve"> and </w:t>
      </w:r>
      <w:r>
        <w:rPr>
          <w:kern w:val="0"/>
        </w:rPr>
        <w:t xml:space="preserve">Allan, B.D.S. (2006), Photorefractive keratectomy (PRK) versus laser-assisted in-situ keratomileusis (LASIK) for myopia.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CD005135.</w:t>
      </w:r>
    </w:p>
    <w:p w:rsidR="00365DE4" w:rsidRDefault="00365DE4" w:rsidP="00365DE4">
      <w:pPr>
        <w:pStyle w:val="a3"/>
      </w:pPr>
      <w:r>
        <w:t xml:space="preserve">Full Text: </w:t>
      </w:r>
      <w:hyperlink r:id="rId506" w:history="1">
        <w:r>
          <w:rPr>
            <w:rStyle w:val="a5"/>
          </w:rPr>
          <w:t>2006\Coc Dat Sys Rev2006, CD005135.pdf</w:t>
        </w:r>
      </w:hyperlink>
    </w:p>
    <w:p w:rsidR="00365DE4" w:rsidRDefault="00365DE4" w:rsidP="00365DE4">
      <w:pPr>
        <w:pStyle w:val="a3"/>
        <w:rPr>
          <w:kern w:val="0"/>
        </w:rPr>
      </w:pPr>
      <w:r>
        <w:rPr>
          <w:kern w:val="0"/>
        </w:rPr>
        <w:t>Abstract: Background Myopia (also known as short-sightedness or near-sightedness) is an ocular condition in which the refractive power</w:t>
      </w:r>
      <w:r w:rsidR="00427468">
        <w:rPr>
          <w:kern w:val="0"/>
        </w:rPr>
        <w:t xml:space="preserve"> of </w:t>
      </w:r>
      <w:r>
        <w:rPr>
          <w:kern w:val="0"/>
        </w:rPr>
        <w:t>the eye is greater than is required, resulting in light from distant objects being focused in front</w:t>
      </w:r>
      <w:r w:rsidR="00427468">
        <w:rPr>
          <w:kern w:val="0"/>
        </w:rPr>
        <w:t xml:space="preserve"> of </w:t>
      </w:r>
      <w:r>
        <w:rPr>
          <w:kern w:val="0"/>
        </w:rPr>
        <w:t>the retina instead</w:t>
      </w:r>
      <w:r w:rsidR="00427468">
        <w:rPr>
          <w:kern w:val="0"/>
        </w:rPr>
        <w:t xml:space="preserve"> of </w:t>
      </w:r>
      <w:r>
        <w:rPr>
          <w:kern w:val="0"/>
        </w:rPr>
        <w:t>directly on it</w:t>
      </w:r>
      <w:r w:rsidR="00A37C1D">
        <w:rPr>
          <w:kern w:val="0"/>
        </w:rPr>
        <w:t>. The</w:t>
      </w:r>
      <w:r>
        <w:rPr>
          <w:kern w:val="0"/>
        </w:rPr>
        <w:t xml:space="preserve"> two most commonly used surgical techniques to permanently correct myopia are photorefractive keratectomy (PRK)</w:t>
      </w:r>
      <w:r w:rsidR="005853A9">
        <w:rPr>
          <w:kern w:val="0"/>
        </w:rPr>
        <w:t xml:space="preserve"> and </w:t>
      </w:r>
      <w:r>
        <w:rPr>
          <w:kern w:val="0"/>
        </w:rPr>
        <w:t>laser-assisted in-situ keratomileusis (LASIK). Objectives The aim</w:t>
      </w:r>
      <w:r w:rsidR="00427468">
        <w:rPr>
          <w:kern w:val="0"/>
        </w:rPr>
        <w:t xml:space="preserve"> of </w:t>
      </w:r>
      <w:r>
        <w:rPr>
          <w:kern w:val="0"/>
        </w:rPr>
        <w:t>this review was to compare the effectiveness</w:t>
      </w:r>
      <w:r w:rsidR="005853A9">
        <w:rPr>
          <w:kern w:val="0"/>
        </w:rPr>
        <w:t xml:space="preserve"> and </w:t>
      </w:r>
      <w:r>
        <w:rPr>
          <w:kern w:val="0"/>
        </w:rPr>
        <w:t>safety</w:t>
      </w:r>
      <w:r w:rsidR="00427468">
        <w:rPr>
          <w:kern w:val="0"/>
        </w:rPr>
        <w:t xml:space="preserve"> of </w:t>
      </w:r>
      <w:r>
        <w:rPr>
          <w:kern w:val="0"/>
        </w:rPr>
        <w:t>PRK</w:t>
      </w:r>
      <w:r w:rsidR="005853A9">
        <w:rPr>
          <w:kern w:val="0"/>
        </w:rPr>
        <w:t xml:space="preserve"> and </w:t>
      </w:r>
      <w:r>
        <w:rPr>
          <w:kern w:val="0"/>
        </w:rPr>
        <w:t>LASIK for correction</w:t>
      </w:r>
      <w:r w:rsidR="00427468">
        <w:rPr>
          <w:kern w:val="0"/>
        </w:rPr>
        <w:t xml:space="preserve"> of </w:t>
      </w:r>
      <w:r>
        <w:rPr>
          <w:kern w:val="0"/>
        </w:rPr>
        <w:t>myopia. Search strategy We searched the Cochrane Central Register</w:t>
      </w:r>
      <w:r w:rsidR="00427468">
        <w:rPr>
          <w:kern w:val="0"/>
        </w:rPr>
        <w:t xml:space="preserve"> of </w:t>
      </w:r>
      <w:r>
        <w:rPr>
          <w:kern w:val="0"/>
        </w:rPr>
        <w:t xml:space="preserve">Controlled Trials (CENTRAL) in The Cochrane Library (2005, Issue 3), </w:t>
      </w:r>
      <w:r w:rsidR="00D5664A">
        <w:rPr>
          <w:kern w:val="0"/>
        </w:rPr>
        <w:t>MEDLINE</w:t>
      </w:r>
      <w:r>
        <w:rPr>
          <w:kern w:val="0"/>
        </w:rPr>
        <w:t xml:space="preserve"> (1966 to September 2005), EMBASE (1980 to September 2005)</w:t>
      </w:r>
      <w:r w:rsidR="005853A9">
        <w:rPr>
          <w:kern w:val="0"/>
        </w:rPr>
        <w:t xml:space="preserve"> and </w:t>
      </w:r>
      <w:r>
        <w:rPr>
          <w:kern w:val="0"/>
        </w:rPr>
        <w:t>LILACs (1982 to 3 November 2005). We also searched the reference lists</w:t>
      </w:r>
      <w:r w:rsidR="00427468">
        <w:rPr>
          <w:kern w:val="0"/>
        </w:rPr>
        <w:t xml:space="preserve"> of </w:t>
      </w:r>
      <w:r>
        <w:rPr>
          <w:kern w:val="0"/>
        </w:rPr>
        <w:t>the studies</w:t>
      </w:r>
      <w:r w:rsidR="005853A9">
        <w:rPr>
          <w:kern w:val="0"/>
        </w:rPr>
        <w:t xml:space="preserve"> and </w:t>
      </w:r>
      <w:r>
        <w:rPr>
          <w:kern w:val="0"/>
        </w:rPr>
        <w:t>the Science Citation Index. Selection criteria We included randomised controlled trials comparing PRK</w:t>
      </w:r>
      <w:r w:rsidR="005853A9">
        <w:rPr>
          <w:kern w:val="0"/>
        </w:rPr>
        <w:t xml:space="preserve"> and </w:t>
      </w:r>
      <w:r>
        <w:rPr>
          <w:kern w:val="0"/>
        </w:rPr>
        <w:t>LASIK for correction</w:t>
      </w:r>
      <w:r w:rsidR="00427468">
        <w:rPr>
          <w:kern w:val="0"/>
        </w:rPr>
        <w:t xml:space="preserve"> of </w:t>
      </w:r>
      <w:r>
        <w:rPr>
          <w:kern w:val="0"/>
        </w:rPr>
        <w:t>any degree</w:t>
      </w:r>
      <w:r w:rsidR="00427468">
        <w:rPr>
          <w:kern w:val="0"/>
        </w:rPr>
        <w:t xml:space="preserve"> of </w:t>
      </w:r>
      <w:r>
        <w:rPr>
          <w:kern w:val="0"/>
        </w:rPr>
        <w:t>myopia. We also included data on adverse events from prospective multicentre consecutive case series in the Food</w:t>
      </w:r>
      <w:r w:rsidR="005853A9">
        <w:rPr>
          <w:kern w:val="0"/>
        </w:rPr>
        <w:t xml:space="preserve"> and </w:t>
      </w:r>
      <w:r>
        <w:rPr>
          <w:kern w:val="0"/>
        </w:rPr>
        <w:t>Drugs Administration (FDA) trials database (http//www.fda.gov/cdrh/LASIK/lasers.htm). Data collection</w:t>
      </w:r>
      <w:r w:rsidR="005853A9">
        <w:rPr>
          <w:kern w:val="0"/>
        </w:rPr>
        <w:t xml:space="preserve"> and </w:t>
      </w:r>
      <w:r>
        <w:rPr>
          <w:kern w:val="0"/>
        </w:rPr>
        <w:t>analysis Two authors independently assessed trial quality</w:t>
      </w:r>
      <w:r w:rsidR="005853A9">
        <w:rPr>
          <w:kern w:val="0"/>
        </w:rPr>
        <w:t xml:space="preserve"> and </w:t>
      </w:r>
      <w:r>
        <w:rPr>
          <w:kern w:val="0"/>
        </w:rPr>
        <w:t>extracted data. Data were summarised using odds ratio</w:t>
      </w:r>
      <w:r w:rsidR="005853A9">
        <w:rPr>
          <w:kern w:val="0"/>
        </w:rPr>
        <w:t xml:space="preserve"> and </w:t>
      </w:r>
      <w:r>
        <w:rPr>
          <w:kern w:val="0"/>
        </w:rPr>
        <w:t>mean difference. Odds ratios were combined using a random-effects model after testing for heterogeneity. Main results This review included six randomised controlled trials involving a total</w:t>
      </w:r>
      <w:r w:rsidR="00427468">
        <w:rPr>
          <w:kern w:val="0"/>
        </w:rPr>
        <w:t xml:space="preserve"> of </w:t>
      </w:r>
      <w:r>
        <w:rPr>
          <w:kern w:val="0"/>
        </w:rPr>
        <w:t>417 eyes,</w:t>
      </w:r>
      <w:r w:rsidR="00427468">
        <w:rPr>
          <w:kern w:val="0"/>
        </w:rPr>
        <w:t xml:space="preserve"> of </w:t>
      </w:r>
      <w:r>
        <w:rPr>
          <w:kern w:val="0"/>
        </w:rPr>
        <w:t>which 201 were treated with PRK</w:t>
      </w:r>
      <w:r w:rsidR="005853A9">
        <w:rPr>
          <w:kern w:val="0"/>
        </w:rPr>
        <w:t xml:space="preserve"> and </w:t>
      </w:r>
      <w:r>
        <w:rPr>
          <w:kern w:val="0"/>
        </w:rPr>
        <w:t>216 with LASIK. We found that although LASIK gives a faster visual recovery than PRK, the effectiveness</w:t>
      </w:r>
      <w:r w:rsidR="00427468">
        <w:rPr>
          <w:kern w:val="0"/>
        </w:rPr>
        <w:t xml:space="preserve"> of </w:t>
      </w:r>
      <w:r>
        <w:rPr>
          <w:kern w:val="0"/>
        </w:rPr>
        <w:t>these two procedures is comparable. We found some evidence that LASIK may be less likely than PRK to result in loss</w:t>
      </w:r>
      <w:r w:rsidR="00427468">
        <w:rPr>
          <w:kern w:val="0"/>
        </w:rPr>
        <w:t xml:space="preserve"> of </w:t>
      </w:r>
      <w:r>
        <w:rPr>
          <w:kern w:val="0"/>
        </w:rPr>
        <w:t>best spectacle-corrected visual acuity. Authors</w:t>
      </w:r>
      <w:r w:rsidR="0071223E">
        <w:rPr>
          <w:kern w:val="0"/>
        </w:rPr>
        <w:t>’</w:t>
      </w:r>
      <w:r>
        <w:rPr>
          <w:kern w:val="0"/>
        </w:rPr>
        <w:t xml:space="preserve"> conclusions LASIK gives a faster visual recovery than PRK but the effectiveness</w:t>
      </w:r>
      <w:r w:rsidR="00427468">
        <w:rPr>
          <w:kern w:val="0"/>
        </w:rPr>
        <w:t xml:space="preserve"> of </w:t>
      </w:r>
      <w:r>
        <w:rPr>
          <w:kern w:val="0"/>
        </w:rPr>
        <w:t>these two procedures is comparable. Further trials using contemporary techniques are required to determine whether LASIK</w:t>
      </w:r>
      <w:r w:rsidR="005853A9">
        <w:rPr>
          <w:kern w:val="0"/>
        </w:rPr>
        <w:t xml:space="preserve"> and </w:t>
      </w:r>
      <w:r>
        <w:rPr>
          <w:kern w:val="0"/>
        </w:rPr>
        <w:t>PRK are equally safe.</w:t>
      </w:r>
    </w:p>
    <w:p w:rsidR="00365DE4" w:rsidRDefault="00365DE4" w:rsidP="00365DE4">
      <w:pPr>
        <w:pStyle w:val="a3"/>
        <w:rPr>
          <w:kern w:val="0"/>
        </w:rPr>
      </w:pPr>
      <w:r>
        <w:rPr>
          <w:kern w:val="0"/>
        </w:rPr>
        <w:t xml:space="preserve">Keywords: Authors, Case Series, Citation, Corneal Sensitivity, Criteria, Database, Diopters, Effectiveness, Excimer-Laser, Follow-up, Heterogeneity, Insitu Keratomileusis, Intraoperative Flap Complications, Lasik, </w:t>
      </w:r>
      <w:r w:rsidR="00D5664A">
        <w:rPr>
          <w:kern w:val="0"/>
        </w:rPr>
        <w:t>MEDLINE</w:t>
      </w:r>
      <w:r>
        <w:rPr>
          <w:kern w:val="0"/>
        </w:rPr>
        <w:t>, Model, Recovery, Refractive Surgery, Review, Risk-Factors, Science, Science Citation Index, Techniques, United-States, Visual-Acuity</w:t>
      </w:r>
    </w:p>
    <w:p w:rsidR="00365DE4" w:rsidRDefault="00365DE4" w:rsidP="00365DE4">
      <w:pPr>
        <w:pStyle w:val="a3"/>
        <w:rPr>
          <w:kern w:val="2"/>
        </w:rPr>
      </w:pPr>
      <w:r>
        <w:rPr>
          <w:kern w:val="0"/>
        </w:rPr>
        <w:lastRenderedPageBreak/>
        <w:t>? Graves, P.</w:t>
      </w:r>
      <w:r w:rsidR="005853A9">
        <w:rPr>
          <w:kern w:val="0"/>
        </w:rPr>
        <w:t xml:space="preserve"> and </w:t>
      </w:r>
      <w:r>
        <w:rPr>
          <w:kern w:val="0"/>
        </w:rPr>
        <w:t xml:space="preserve">Gelband, H. (2006), Vaccines for preventing malaria (SPf66).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CD005966.</w:t>
      </w:r>
    </w:p>
    <w:p w:rsidR="00365DE4" w:rsidRDefault="00365DE4" w:rsidP="00365DE4">
      <w:pPr>
        <w:pStyle w:val="a3"/>
      </w:pPr>
      <w:r>
        <w:t xml:space="preserve">Full Text: </w:t>
      </w:r>
      <w:hyperlink r:id="rId507" w:history="1">
        <w:r>
          <w:rPr>
            <w:rStyle w:val="a5"/>
          </w:rPr>
          <w:t>2006\Coc Dat Sys Rev2006, CD005966.pdf</w:t>
        </w:r>
      </w:hyperlink>
    </w:p>
    <w:p w:rsidR="00365DE4" w:rsidRDefault="00365DE4" w:rsidP="00365DE4">
      <w:pPr>
        <w:pStyle w:val="a3"/>
        <w:rPr>
          <w:kern w:val="0"/>
        </w:rPr>
      </w:pPr>
      <w:r>
        <w:rPr>
          <w:kern w:val="0"/>
        </w:rPr>
        <w:t>Abstract: Background A malaria vaccine is badly needed. SPf66 was one</w:t>
      </w:r>
      <w:r w:rsidR="00427468">
        <w:rPr>
          <w:kern w:val="0"/>
        </w:rPr>
        <w:t xml:space="preserve"> of </w:t>
      </w:r>
      <w:r>
        <w:rPr>
          <w:kern w:val="0"/>
        </w:rPr>
        <w:t>the earliest vaccines developed. It is a synthetic peptide vaccine containing antigens from the blood stages</w:t>
      </w:r>
      <w:r w:rsidR="00427468">
        <w:rPr>
          <w:kern w:val="0"/>
        </w:rPr>
        <w:t xml:space="preserve"> of </w:t>
      </w:r>
      <w:r>
        <w:rPr>
          <w:kern w:val="0"/>
        </w:rPr>
        <w:t>malaria linked together with an antigen from the sporozoite stage,</w:t>
      </w:r>
      <w:r w:rsidR="005853A9">
        <w:rPr>
          <w:kern w:val="0"/>
        </w:rPr>
        <w:t xml:space="preserve"> and </w:t>
      </w:r>
      <w:r>
        <w:rPr>
          <w:kern w:val="0"/>
        </w:rPr>
        <w:t>is targeted mainly against the blood (asexual) stages. Objectives To assess the effect</w:t>
      </w:r>
      <w:r w:rsidR="00427468">
        <w:rPr>
          <w:kern w:val="0"/>
        </w:rPr>
        <w:t xml:space="preserve"> of </w:t>
      </w:r>
      <w:r>
        <w:rPr>
          <w:kern w:val="0"/>
        </w:rPr>
        <w:t>SPf66 malaria vaccines against Plasmodium falciparum, P. vivax, P. malariae,</w:t>
      </w:r>
      <w:r w:rsidR="005853A9">
        <w:rPr>
          <w:kern w:val="0"/>
        </w:rPr>
        <w:t xml:space="preserve"> and </w:t>
      </w:r>
      <w:r>
        <w:rPr>
          <w:kern w:val="0"/>
        </w:rPr>
        <w:t>P. ovale in preventing infection, disease,</w:t>
      </w:r>
      <w:r w:rsidR="005853A9">
        <w:rPr>
          <w:kern w:val="0"/>
        </w:rPr>
        <w:t xml:space="preserve"> and </w:t>
      </w:r>
      <w:r>
        <w:rPr>
          <w:kern w:val="0"/>
        </w:rPr>
        <w:t xml:space="preserve">death. Search strategy We searched the Cochrane Infectious Diseases Group Specialized Register (September 2005), CENTRAL (The Cochrane Library 2005, Issue 3), </w:t>
      </w:r>
      <w:r w:rsidR="00D5664A">
        <w:rPr>
          <w:kern w:val="0"/>
        </w:rPr>
        <w:t>MEDLINE</w:t>
      </w:r>
      <w:r>
        <w:rPr>
          <w:kern w:val="0"/>
        </w:rPr>
        <w:t xml:space="preserve"> (1966 to September 2005), EMBASE (1980 to September 2005), LILACS (1982 to September 2005), Science Citation Index (1981 to September 2005),</w:t>
      </w:r>
      <w:r w:rsidR="005853A9">
        <w:rPr>
          <w:kern w:val="0"/>
        </w:rPr>
        <w:t xml:space="preserve"> and </w:t>
      </w:r>
      <w:r>
        <w:rPr>
          <w:kern w:val="0"/>
        </w:rPr>
        <w:t>reference lists</w:t>
      </w:r>
      <w:r w:rsidR="00427468">
        <w:rPr>
          <w:kern w:val="0"/>
        </w:rPr>
        <w:t xml:space="preserve"> of </w:t>
      </w:r>
      <w:r>
        <w:rPr>
          <w:kern w:val="0"/>
        </w:rPr>
        <w:t>articles. We also contacted organizations</w:t>
      </w:r>
      <w:r w:rsidR="005853A9">
        <w:rPr>
          <w:kern w:val="0"/>
        </w:rPr>
        <w:t xml:space="preserve"> and </w:t>
      </w:r>
      <w:r>
        <w:rPr>
          <w:kern w:val="0"/>
        </w:rPr>
        <w:t>researchers in the field. Selection criteria Randomized</w:t>
      </w:r>
      <w:r w:rsidR="005853A9">
        <w:rPr>
          <w:kern w:val="0"/>
        </w:rPr>
        <w:t xml:space="preserve"> and </w:t>
      </w:r>
      <w:r>
        <w:rPr>
          <w:kern w:val="0"/>
        </w:rPr>
        <w:t>quasi-randomized controlled trials comparing SPf66 vaccine with placebo or routine antimalarial control measures in people</w:t>
      </w:r>
      <w:r w:rsidR="00427468">
        <w:rPr>
          <w:kern w:val="0"/>
        </w:rPr>
        <w:t xml:space="preserve"> of </w:t>
      </w:r>
      <w:r>
        <w:rPr>
          <w:kern w:val="0"/>
        </w:rPr>
        <w:t>any age receiving an artificial challenge or natural exposure to malaria infection (any species). Data collection</w:t>
      </w:r>
      <w:r w:rsidR="005853A9">
        <w:rPr>
          <w:kern w:val="0"/>
        </w:rPr>
        <w:t xml:space="preserve"> and </w:t>
      </w:r>
      <w:r>
        <w:rPr>
          <w:kern w:val="0"/>
        </w:rPr>
        <w:t>analysis Two people independently assessed trial quality</w:t>
      </w:r>
      <w:r w:rsidR="005853A9">
        <w:rPr>
          <w:kern w:val="0"/>
        </w:rPr>
        <w:t xml:space="preserve"> and </w:t>
      </w:r>
      <w:r>
        <w:rPr>
          <w:kern w:val="0"/>
        </w:rPr>
        <w:t>extracted data, including adverse events. Results were expressed as relative risks (RR) with 95% confidence intervals (CI). Main results Ten efficacy trials</w:t>
      </w:r>
      <w:r w:rsidR="00427468">
        <w:rPr>
          <w:kern w:val="0"/>
        </w:rPr>
        <w:t xml:space="preserve"> of </w:t>
      </w:r>
      <w:r>
        <w:rPr>
          <w:kern w:val="0"/>
        </w:rPr>
        <w:t>SPf66 involving 9698 participants were included. Results with SPf66 in reducing new episodes</w:t>
      </w:r>
      <w:r w:rsidR="00427468">
        <w:rPr>
          <w:kern w:val="0"/>
        </w:rPr>
        <w:t xml:space="preserve"> of </w:t>
      </w:r>
      <w:r>
        <w:rPr>
          <w:kern w:val="0"/>
        </w:rPr>
        <w:t>P. falciparum malaria were heterogeneous: it was not effective in four African trials (RR 0.98, 95% CI 0.90 to 1.07; 2371 participants) or in one Asian trial (RR 1.06, 95% CI 0.90 to 1.25; 1221 participants). In four trials in South America the number</w:t>
      </w:r>
      <w:r w:rsidR="00427468">
        <w:rPr>
          <w:kern w:val="0"/>
        </w:rPr>
        <w:t xml:space="preserve"> of </w:t>
      </w:r>
      <w:r>
        <w:rPr>
          <w:kern w:val="0"/>
        </w:rPr>
        <w:t>first attacks with P. falciparum was reduced by 28% (RR 0.72, 95% CI 0.63 to 0.82; 3807 participants). It did not reduce episodes</w:t>
      </w:r>
      <w:r w:rsidR="00427468">
        <w:rPr>
          <w:kern w:val="0"/>
        </w:rPr>
        <w:t xml:space="preserve"> of </w:t>
      </w:r>
      <w:r>
        <w:rPr>
          <w:kern w:val="0"/>
        </w:rPr>
        <w:t>P. vivax malaria or admission to hospital with severe malaria. Trials have not indicated any serious adverse events with SPf66 vaccine. Authors</w:t>
      </w:r>
      <w:r w:rsidR="0071223E">
        <w:rPr>
          <w:kern w:val="0"/>
        </w:rPr>
        <w:t>’</w:t>
      </w:r>
      <w:r>
        <w:rPr>
          <w:kern w:val="0"/>
        </w:rPr>
        <w:t xml:space="preserve"> conclusions There is no evidence for protection by SPf66 vaccines against P. falciparum in Africa</w:t>
      </w:r>
      <w:r w:rsidR="00A37C1D">
        <w:rPr>
          <w:kern w:val="0"/>
        </w:rPr>
        <w:t>. The</w:t>
      </w:r>
      <w:r>
        <w:rPr>
          <w:kern w:val="0"/>
        </w:rPr>
        <w:t>re is a modest reduction in attacks</w:t>
      </w:r>
      <w:r w:rsidR="00427468">
        <w:rPr>
          <w:kern w:val="0"/>
        </w:rPr>
        <w:t xml:space="preserve"> of </w:t>
      </w:r>
      <w:r>
        <w:rPr>
          <w:kern w:val="0"/>
        </w:rPr>
        <w:t>P. falciparum malaria following vaccination with SPf66 in South America</w:t>
      </w:r>
      <w:r w:rsidR="00A37C1D">
        <w:rPr>
          <w:kern w:val="0"/>
        </w:rPr>
        <w:t>. The</w:t>
      </w:r>
      <w:r>
        <w:rPr>
          <w:kern w:val="0"/>
        </w:rPr>
        <w:t>re is no justification for further trials</w:t>
      </w:r>
      <w:r w:rsidR="00427468">
        <w:rPr>
          <w:kern w:val="0"/>
        </w:rPr>
        <w:t xml:space="preserve"> of </w:t>
      </w:r>
      <w:r>
        <w:rPr>
          <w:kern w:val="0"/>
        </w:rPr>
        <w:t>SPf66 in its current formulation. Further research with SPf66 vaccines in South America or with new formulations</w:t>
      </w:r>
      <w:r w:rsidR="00427468">
        <w:rPr>
          <w:kern w:val="0"/>
        </w:rPr>
        <w:t xml:space="preserve"> of </w:t>
      </w:r>
      <w:r>
        <w:rPr>
          <w:kern w:val="0"/>
        </w:rPr>
        <w:t>SPf66 may be justified.</w:t>
      </w:r>
    </w:p>
    <w:p w:rsidR="00365DE4" w:rsidRDefault="00365DE4" w:rsidP="00365DE4">
      <w:pPr>
        <w:pStyle w:val="a3"/>
        <w:rPr>
          <w:kern w:val="0"/>
        </w:rPr>
      </w:pPr>
      <w:r>
        <w:rPr>
          <w:kern w:val="0"/>
        </w:rPr>
        <w:t xml:space="preserve">Keywords: Africa, Citation, Confidence Intervals, Control, Efficacy, Efficacy Trial, Embase, Field Trial, Follow-Up, Gambian Infants, Global Distribution, Hospital, Immune-Responses, </w:t>
      </w:r>
      <w:r w:rsidR="00D5664A">
        <w:rPr>
          <w:kern w:val="0"/>
        </w:rPr>
        <w:t>MEDLINE</w:t>
      </w:r>
      <w:r>
        <w:rPr>
          <w:kern w:val="0"/>
        </w:rPr>
        <w:t>, Pilot Safety, Plasmodium-Falciparum Malaria, Research, Science, Science Citation Index, Search Strategy, Strategy, Synthetic Vaccine, Tanzanian Children, Vaccination, Vaccine</w:t>
      </w:r>
    </w:p>
    <w:p w:rsidR="00365DE4" w:rsidRDefault="00365DE4" w:rsidP="00365DE4">
      <w:pPr>
        <w:pStyle w:val="a3"/>
        <w:rPr>
          <w:kern w:val="2"/>
        </w:rPr>
      </w:pPr>
      <w:r>
        <w:rPr>
          <w:kern w:val="0"/>
        </w:rPr>
        <w:t>? Long, V., Chen, S.</w:t>
      </w:r>
      <w:r w:rsidR="005853A9">
        <w:rPr>
          <w:kern w:val="0"/>
        </w:rPr>
        <w:t xml:space="preserve"> and </w:t>
      </w:r>
      <w:r>
        <w:rPr>
          <w:kern w:val="0"/>
        </w:rPr>
        <w:t xml:space="preserve">Hatt, S. (2006), Surgical interventions for bilateral congenital </w:t>
      </w:r>
      <w:r>
        <w:rPr>
          <w:kern w:val="0"/>
        </w:rPr>
        <w:lastRenderedPageBreak/>
        <w:t xml:space="preserve">cataract.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CD003171.</w:t>
      </w:r>
    </w:p>
    <w:p w:rsidR="00365DE4" w:rsidRDefault="00365DE4" w:rsidP="00365DE4">
      <w:pPr>
        <w:pStyle w:val="a3"/>
      </w:pPr>
      <w:r>
        <w:t xml:space="preserve">Full Text: </w:t>
      </w:r>
      <w:hyperlink r:id="rId508" w:history="1">
        <w:r>
          <w:rPr>
            <w:rStyle w:val="a5"/>
          </w:rPr>
          <w:t>2006\Coc Dat Sys Rev2006, CD003171.pdf</w:t>
        </w:r>
      </w:hyperlink>
    </w:p>
    <w:p w:rsidR="00365DE4" w:rsidRDefault="00365DE4" w:rsidP="00365DE4">
      <w:pPr>
        <w:pStyle w:val="a3"/>
        <w:rPr>
          <w:kern w:val="0"/>
        </w:rPr>
      </w:pPr>
      <w:r>
        <w:rPr>
          <w:kern w:val="0"/>
        </w:rPr>
        <w:t>Abstract: Background Congenital cataracts are opacities</w:t>
      </w:r>
      <w:r w:rsidR="00427468">
        <w:rPr>
          <w:kern w:val="0"/>
        </w:rPr>
        <w:t xml:space="preserve"> of </w:t>
      </w:r>
      <w:r>
        <w:rPr>
          <w:kern w:val="0"/>
        </w:rPr>
        <w:t>the lens in one or both eyes</w:t>
      </w:r>
      <w:r w:rsidR="00427468">
        <w:rPr>
          <w:kern w:val="0"/>
        </w:rPr>
        <w:t xml:space="preserve"> of </w:t>
      </w:r>
      <w:r>
        <w:rPr>
          <w:kern w:val="0"/>
        </w:rPr>
        <w:t>children that cause a reduction in vision severe enough to require surgery. Cataract is the largest treatable cause</w:t>
      </w:r>
      <w:r w:rsidR="00427468">
        <w:rPr>
          <w:kern w:val="0"/>
        </w:rPr>
        <w:t xml:space="preserve"> of </w:t>
      </w:r>
      <w:r>
        <w:rPr>
          <w:kern w:val="0"/>
        </w:rPr>
        <w:t>visual loss in childhood. Paediatric cataracts provide different challenges to those in adults. Intense inflammation, amblyopia</w:t>
      </w:r>
      <w:r w:rsidR="005853A9">
        <w:rPr>
          <w:kern w:val="0"/>
        </w:rPr>
        <w:t xml:space="preserve"> and </w:t>
      </w:r>
      <w:r>
        <w:rPr>
          <w:kern w:val="0"/>
        </w:rPr>
        <w:t>posterior capsule opacification can affect results</w:t>
      </w:r>
      <w:r w:rsidR="00427468">
        <w:rPr>
          <w:kern w:val="0"/>
        </w:rPr>
        <w:t xml:space="preserve"> of </w:t>
      </w:r>
      <w:r>
        <w:rPr>
          <w:kern w:val="0"/>
        </w:rPr>
        <w:t>treatment. Two treatments commonly considered for congenital cataract are lensectomy</w:t>
      </w:r>
      <w:r w:rsidR="005853A9">
        <w:rPr>
          <w:kern w:val="0"/>
        </w:rPr>
        <w:t xml:space="preserve"> and </w:t>
      </w:r>
      <w:r>
        <w:rPr>
          <w:kern w:val="0"/>
        </w:rPr>
        <w:t>lens aspiration. Objectives The objective</w:t>
      </w:r>
      <w:r w:rsidR="00427468">
        <w:rPr>
          <w:kern w:val="0"/>
        </w:rPr>
        <w:t xml:space="preserve"> of </w:t>
      </w:r>
      <w:r>
        <w:rPr>
          <w:kern w:val="0"/>
        </w:rPr>
        <w:t>this review was to assess the effects</w:t>
      </w:r>
      <w:r w:rsidR="00427468">
        <w:rPr>
          <w:kern w:val="0"/>
        </w:rPr>
        <w:t xml:space="preserve"> of </w:t>
      </w:r>
      <w:r>
        <w:rPr>
          <w:kern w:val="0"/>
        </w:rPr>
        <w:t>surgical treatments for bilateral symmetrical congenital cataracts. Success was measured according to the vision attained</w:t>
      </w:r>
      <w:r w:rsidR="005853A9">
        <w:rPr>
          <w:kern w:val="0"/>
        </w:rPr>
        <w:t xml:space="preserve"> and </w:t>
      </w:r>
      <w:r>
        <w:rPr>
          <w:kern w:val="0"/>
        </w:rPr>
        <w:t>occurrence</w:t>
      </w:r>
      <w:r w:rsidR="00427468">
        <w:rPr>
          <w:kern w:val="0"/>
        </w:rPr>
        <w:t xml:space="preserve"> of </w:t>
      </w:r>
      <w:r>
        <w:rPr>
          <w:kern w:val="0"/>
        </w:rPr>
        <w:t>adverse events. Search strategy We searched the Cochrane Central Register</w:t>
      </w:r>
      <w:r w:rsidR="00427468">
        <w:rPr>
          <w:kern w:val="0"/>
        </w:rPr>
        <w:t xml:space="preserve"> of </w:t>
      </w:r>
      <w:r>
        <w:rPr>
          <w:kern w:val="0"/>
        </w:rPr>
        <w:t>Controlled Trials (CENTRAL) on The Cochane Library, which contains the Cochrane Eyes</w:t>
      </w:r>
      <w:r w:rsidR="005853A9">
        <w:rPr>
          <w:kern w:val="0"/>
        </w:rPr>
        <w:t xml:space="preserve"> and </w:t>
      </w:r>
      <w:r>
        <w:rPr>
          <w:kern w:val="0"/>
        </w:rPr>
        <w:t xml:space="preserve">Vision Group Trials Register (2005, Issue 2), </w:t>
      </w:r>
      <w:r w:rsidR="00D5664A">
        <w:rPr>
          <w:kern w:val="0"/>
        </w:rPr>
        <w:t>MEDLINE</w:t>
      </w:r>
      <w:r>
        <w:rPr>
          <w:kern w:val="0"/>
        </w:rPr>
        <w:t xml:space="preserve"> (1966 to June 2005), EMBASE (1980 to June 2005, week 27), LILACS (6 July 2005), the Science Citation Index</w:t>
      </w:r>
      <w:r w:rsidR="005853A9">
        <w:rPr>
          <w:kern w:val="0"/>
        </w:rPr>
        <w:t xml:space="preserve"> and </w:t>
      </w:r>
      <w:r>
        <w:rPr>
          <w:kern w:val="0"/>
        </w:rPr>
        <w:t>the reference list</w:t>
      </w:r>
      <w:r w:rsidR="00427468">
        <w:rPr>
          <w:kern w:val="0"/>
        </w:rPr>
        <w:t xml:space="preserve"> of </w:t>
      </w:r>
      <w:r>
        <w:rPr>
          <w:kern w:val="0"/>
        </w:rPr>
        <w:t>the included studies. We also contacted trial investigators</w:t>
      </w:r>
      <w:r w:rsidR="005853A9">
        <w:rPr>
          <w:kern w:val="0"/>
        </w:rPr>
        <w:t xml:space="preserve"> and </w:t>
      </w:r>
      <w:r>
        <w:rPr>
          <w:kern w:val="0"/>
        </w:rPr>
        <w:t>experts in the field for details</w:t>
      </w:r>
      <w:r w:rsidR="00427468">
        <w:rPr>
          <w:kern w:val="0"/>
        </w:rPr>
        <w:t xml:space="preserve"> of </w:t>
      </w:r>
      <w:r>
        <w:rPr>
          <w:kern w:val="0"/>
        </w:rPr>
        <w:t>further studies. Selection criteria We included all prospective, randomised controlled trials that compared one type</w:t>
      </w:r>
      <w:r w:rsidR="00427468">
        <w:rPr>
          <w:kern w:val="0"/>
        </w:rPr>
        <w:t xml:space="preserve"> of </w:t>
      </w:r>
      <w:r>
        <w:rPr>
          <w:kern w:val="0"/>
        </w:rPr>
        <w:t>cataract surgery to another, or to no surgery, in children with bilateral congenital cataracts aged 15 years or younger. Data collection</w:t>
      </w:r>
      <w:r w:rsidR="005853A9">
        <w:rPr>
          <w:kern w:val="0"/>
        </w:rPr>
        <w:t xml:space="preserve"> and </w:t>
      </w:r>
      <w:r>
        <w:rPr>
          <w:kern w:val="0"/>
        </w:rPr>
        <w:t>analysis Two authors extracted data. No meta-analysis was performed. Main results Four trials met the inclusion criteria. All trials were concerned with reducing the development</w:t>
      </w:r>
      <w:r w:rsidR="00427468">
        <w:rPr>
          <w:kern w:val="0"/>
        </w:rPr>
        <w:t xml:space="preserve"> of </w:t>
      </w:r>
      <w:r>
        <w:rPr>
          <w:kern w:val="0"/>
        </w:rPr>
        <w:t>visual axis opacification (VAO). This was achieved with techniques that included an anterior vitrectomy or optic capture. Posterior capsulotomy alone was inadequate except in older children. Authors</w:t>
      </w:r>
      <w:r w:rsidR="0071223E">
        <w:rPr>
          <w:kern w:val="0"/>
        </w:rPr>
        <w:t>’</w:t>
      </w:r>
      <w:r>
        <w:rPr>
          <w:kern w:val="0"/>
        </w:rPr>
        <w:t xml:space="preserve"> conclusions Evidence exists for the care</w:t>
      </w:r>
      <w:r w:rsidR="00427468">
        <w:rPr>
          <w:kern w:val="0"/>
        </w:rPr>
        <w:t xml:space="preserve"> of </w:t>
      </w:r>
      <w:r>
        <w:rPr>
          <w:kern w:val="0"/>
        </w:rPr>
        <w:t>children with congenital or developmental bilateral cataracts to reduce the occurrence</w:t>
      </w:r>
      <w:r w:rsidR="00427468">
        <w:rPr>
          <w:kern w:val="0"/>
        </w:rPr>
        <w:t xml:space="preserve"> of </w:t>
      </w:r>
      <w:r>
        <w:rPr>
          <w:kern w:val="0"/>
        </w:rPr>
        <w:t>visual axis opacification. Further randomised trials are required to inform modern practice about other concerns including the timing</w:t>
      </w:r>
      <w:r w:rsidR="00427468">
        <w:rPr>
          <w:kern w:val="0"/>
        </w:rPr>
        <w:t xml:space="preserve"> of </w:t>
      </w:r>
      <w:r>
        <w:rPr>
          <w:kern w:val="0"/>
        </w:rPr>
        <w:t>surgery, age for implantation</w:t>
      </w:r>
      <w:r w:rsidR="00427468">
        <w:rPr>
          <w:kern w:val="0"/>
        </w:rPr>
        <w:t xml:space="preserve"> of </w:t>
      </w:r>
      <w:r>
        <w:rPr>
          <w:kern w:val="0"/>
        </w:rPr>
        <w:t>an intraocular lens</w:t>
      </w:r>
      <w:r w:rsidR="005853A9">
        <w:rPr>
          <w:kern w:val="0"/>
        </w:rPr>
        <w:t xml:space="preserve"> and </w:t>
      </w:r>
      <w:r>
        <w:rPr>
          <w:kern w:val="0"/>
        </w:rPr>
        <w:t>development</w:t>
      </w:r>
      <w:r w:rsidR="00427468">
        <w:rPr>
          <w:kern w:val="0"/>
        </w:rPr>
        <w:t xml:space="preserve"> of </w:t>
      </w:r>
      <w:r>
        <w:rPr>
          <w:kern w:val="0"/>
        </w:rPr>
        <w:t>long-term complications such as glaucoma</w:t>
      </w:r>
      <w:r w:rsidR="005853A9">
        <w:rPr>
          <w:kern w:val="0"/>
        </w:rPr>
        <w:t xml:space="preserve"> and </w:t>
      </w:r>
      <w:r>
        <w:rPr>
          <w:kern w:val="0"/>
        </w:rPr>
        <w:t>retinal detachment.</w:t>
      </w:r>
    </w:p>
    <w:p w:rsidR="00365DE4" w:rsidRDefault="00365DE4" w:rsidP="00365DE4">
      <w:pPr>
        <w:pStyle w:val="a3"/>
        <w:rPr>
          <w:kern w:val="0"/>
        </w:rPr>
      </w:pPr>
      <w:r>
        <w:rPr>
          <w:kern w:val="0"/>
        </w:rPr>
        <w:t xml:space="preserve">Keywords: Anterior Vitrectomy, Aspiration, Authors, Capsulorhexis, Cataract, Childhood, Children, Citation, Clinical-Trial, Criteria, Development, Evidence, Intraocular-Lens Implantation, Lensectomy, </w:t>
      </w:r>
      <w:r w:rsidR="00D5664A">
        <w:rPr>
          <w:kern w:val="0"/>
        </w:rPr>
        <w:t>MEDLINE</w:t>
      </w:r>
      <w:r>
        <w:rPr>
          <w:kern w:val="0"/>
        </w:rPr>
        <w:t>, Meta-Analysis, Occurrence, Optic Capture, Posterior Capsule Opacification, Reduction, Review, Science, Science Citation Index, Surgery, Techniques, Treatment</w:t>
      </w:r>
    </w:p>
    <w:p w:rsidR="00365DE4" w:rsidRDefault="00365DE4" w:rsidP="00365DE4">
      <w:pPr>
        <w:pStyle w:val="a3"/>
        <w:rPr>
          <w:kern w:val="0"/>
        </w:rPr>
      </w:pPr>
      <w:r>
        <w:rPr>
          <w:kern w:val="0"/>
        </w:rPr>
        <w:t>? Dickinson, H.O., Nicolson, D.J., Campbell, F., Beyer, F.R.</w:t>
      </w:r>
      <w:r w:rsidR="005853A9">
        <w:rPr>
          <w:kern w:val="0"/>
        </w:rPr>
        <w:t xml:space="preserve"> and </w:t>
      </w:r>
      <w:r>
        <w:rPr>
          <w:kern w:val="0"/>
        </w:rPr>
        <w:t>Mason, J. (2006), Potassium supplementation for the management</w:t>
      </w:r>
      <w:r w:rsidR="00427468">
        <w:rPr>
          <w:kern w:val="0"/>
        </w:rPr>
        <w:t xml:space="preserve"> of </w:t>
      </w:r>
      <w:r>
        <w:rPr>
          <w:kern w:val="0"/>
        </w:rPr>
        <w:t xml:space="preserve">primary hypertension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CD004641.</w:t>
      </w:r>
    </w:p>
    <w:p w:rsidR="00365DE4" w:rsidRDefault="00365DE4" w:rsidP="00365DE4">
      <w:pPr>
        <w:pStyle w:val="a3"/>
        <w:rPr>
          <w:kern w:val="2"/>
        </w:rPr>
      </w:pPr>
      <w:r>
        <w:t xml:space="preserve">Full Text: </w:t>
      </w:r>
      <w:hyperlink r:id="rId509" w:history="1">
        <w:r>
          <w:rPr>
            <w:rStyle w:val="a5"/>
          </w:rPr>
          <w:t>2006\Coc Dat Sys Rev2006, CD004641.pdf</w:t>
        </w:r>
      </w:hyperlink>
    </w:p>
    <w:p w:rsidR="00365DE4" w:rsidRDefault="00365DE4" w:rsidP="00365DE4">
      <w:pPr>
        <w:pStyle w:val="a3"/>
        <w:rPr>
          <w:kern w:val="0"/>
        </w:rPr>
      </w:pPr>
      <w:r>
        <w:rPr>
          <w:kern w:val="0"/>
        </w:rPr>
        <w:lastRenderedPageBreak/>
        <w:t>Abstract: Background Epidemiological evidence on the effects</w:t>
      </w:r>
      <w:r w:rsidR="00427468">
        <w:rPr>
          <w:kern w:val="0"/>
        </w:rPr>
        <w:t xml:space="preserve"> of </w:t>
      </w:r>
      <w:r>
        <w:rPr>
          <w:kern w:val="0"/>
        </w:rPr>
        <w:t>potassium on blood pressure is inconsistent. Objectives To evaluate the effects</w:t>
      </w:r>
      <w:r w:rsidR="00427468">
        <w:rPr>
          <w:kern w:val="0"/>
        </w:rPr>
        <w:t xml:space="preserve"> of </w:t>
      </w:r>
      <w:r>
        <w:rPr>
          <w:kern w:val="0"/>
        </w:rPr>
        <w:t>potassium supplementation on health outcomes</w:t>
      </w:r>
      <w:r w:rsidR="005853A9">
        <w:rPr>
          <w:kern w:val="0"/>
        </w:rPr>
        <w:t xml:space="preserve"> and </w:t>
      </w:r>
      <w:r>
        <w:rPr>
          <w:kern w:val="0"/>
        </w:rPr>
        <w:t xml:space="preserve">blood pressure in people with elevated blood pressure. Search strategy We searched the Cochrane Library, </w:t>
      </w:r>
      <w:r w:rsidR="00D5664A">
        <w:rPr>
          <w:kern w:val="0"/>
        </w:rPr>
        <w:t>MEDLINE</w:t>
      </w:r>
      <w:r>
        <w:rPr>
          <w:kern w:val="0"/>
        </w:rPr>
        <w:t>, EMBASE, Science Citation Index, ISI Proceedings, ClinicalTrials.gov, Current Controlled Trials, CAB abstracts,</w:t>
      </w:r>
      <w:r w:rsidR="005853A9">
        <w:rPr>
          <w:kern w:val="0"/>
        </w:rPr>
        <w:t xml:space="preserve"> and </w:t>
      </w:r>
      <w:r>
        <w:rPr>
          <w:kern w:val="0"/>
        </w:rPr>
        <w:t>reference lists</w:t>
      </w:r>
      <w:r w:rsidR="00427468">
        <w:rPr>
          <w:kern w:val="0"/>
        </w:rPr>
        <w:t xml:space="preserve"> of </w:t>
      </w:r>
      <w:r>
        <w:rPr>
          <w:kern w:val="0"/>
        </w:rPr>
        <w:t>systematic reviews, meta-analyses</w:t>
      </w:r>
      <w:r w:rsidR="005853A9">
        <w:rPr>
          <w:kern w:val="0"/>
        </w:rPr>
        <w:t xml:space="preserve"> and </w:t>
      </w:r>
      <w:r>
        <w:rPr>
          <w:kern w:val="0"/>
        </w:rPr>
        <w:t>randomised controlled trials (RCTs) included in the review. Selection criteria Inclusion criteria were: 1) RCTs</w:t>
      </w:r>
      <w:r w:rsidR="00427468">
        <w:rPr>
          <w:kern w:val="0"/>
        </w:rPr>
        <w:t xml:space="preserve"> of </w:t>
      </w:r>
      <w:r>
        <w:rPr>
          <w:kern w:val="0"/>
        </w:rPr>
        <w:t>a parallel or crossover design comparing oral potassium supplements with placebo, no treatment, or usual care; 2) treatment</w:t>
      </w:r>
      <w:r w:rsidR="005853A9">
        <w:rPr>
          <w:kern w:val="0"/>
        </w:rPr>
        <w:t xml:space="preserve"> and </w:t>
      </w:r>
      <w:r>
        <w:rPr>
          <w:kern w:val="0"/>
        </w:rPr>
        <w:t>follow-up &gt;= 8 weeks; 3) participants over 18 years, with raised systolic blood pressure (SBP) &gt;= 140 mmHg or diastolic blood pressure (DBP) &gt;=85 mmHg); 4) SBP</w:t>
      </w:r>
      <w:r w:rsidR="005853A9">
        <w:rPr>
          <w:kern w:val="0"/>
        </w:rPr>
        <w:t xml:space="preserve"> and </w:t>
      </w:r>
      <w:r>
        <w:rPr>
          <w:kern w:val="0"/>
        </w:rPr>
        <w:t>DBP reported at end</w:t>
      </w:r>
      <w:r w:rsidR="00427468">
        <w:rPr>
          <w:kern w:val="0"/>
        </w:rPr>
        <w:t xml:space="preserve"> of </w:t>
      </w:r>
      <w:r>
        <w:rPr>
          <w:kern w:val="0"/>
        </w:rPr>
        <w:t>follow-up. We excluded trials where: participants were pregnant; received antihypertensive medication which changed during the study; or potassium supplementation was combined with other interventions. Data collection</w:t>
      </w:r>
      <w:r w:rsidR="005853A9">
        <w:rPr>
          <w:kern w:val="0"/>
        </w:rPr>
        <w:t xml:space="preserve"> and </w:t>
      </w:r>
      <w:r>
        <w:rPr>
          <w:kern w:val="0"/>
        </w:rPr>
        <w:t>analysis Two reviewers independently extracted data</w:t>
      </w:r>
      <w:r w:rsidR="005853A9">
        <w:rPr>
          <w:kern w:val="0"/>
        </w:rPr>
        <w:t xml:space="preserve"> and </w:t>
      </w:r>
      <w:r>
        <w:rPr>
          <w:kern w:val="0"/>
        </w:rPr>
        <w:t>assessed trial quality. Disagreements were resolved by discussion or a third reviewer. Random effects meta-analyses</w:t>
      </w:r>
      <w:r w:rsidR="005853A9">
        <w:rPr>
          <w:kern w:val="0"/>
        </w:rPr>
        <w:t xml:space="preserve"> and </w:t>
      </w:r>
      <w:r>
        <w:rPr>
          <w:kern w:val="0"/>
        </w:rPr>
        <w:t>sensitivity analyses were conducted. Main results Six RCT</w:t>
      </w:r>
      <w:r w:rsidR="0071223E">
        <w:rPr>
          <w:kern w:val="0"/>
        </w:rPr>
        <w:t>’</w:t>
      </w:r>
      <w:r>
        <w:rPr>
          <w:kern w:val="0"/>
        </w:rPr>
        <w:t>s (n = 483), with eight to 16 weeks follow-up, met our inclusion criteria. Meta-analysis</w:t>
      </w:r>
      <w:r w:rsidR="00427468">
        <w:rPr>
          <w:kern w:val="0"/>
        </w:rPr>
        <w:t xml:space="preserve"> of </w:t>
      </w:r>
      <w:r>
        <w:rPr>
          <w:kern w:val="0"/>
        </w:rPr>
        <w:t>five trials (n = 425) with adequate data indicated that potassium supplementation compared to control resulted in a large but statistically non-significant reductions in SBP (mean difference: - 11.2, 95% CI: - 25.2 to 2.7)</w:t>
      </w:r>
      <w:r w:rsidR="005853A9">
        <w:rPr>
          <w:kern w:val="0"/>
        </w:rPr>
        <w:t xml:space="preserve"> and </w:t>
      </w:r>
      <w:r>
        <w:rPr>
          <w:kern w:val="0"/>
        </w:rPr>
        <w:t>DBP (mean difference: - 5.0, 95% CI: - 12.5 to 2.4)</w:t>
      </w:r>
      <w:r w:rsidR="00A37C1D">
        <w:rPr>
          <w:kern w:val="0"/>
        </w:rPr>
        <w:t>. The</w:t>
      </w:r>
      <w:r>
        <w:rPr>
          <w:kern w:val="0"/>
        </w:rPr>
        <w:t xml:space="preserve"> substantial heterogeneity between trials was not explained by potassium dose, quality</w:t>
      </w:r>
      <w:r w:rsidR="00427468">
        <w:rPr>
          <w:kern w:val="0"/>
        </w:rPr>
        <w:t xml:space="preserve"> of </w:t>
      </w:r>
      <w:r>
        <w:rPr>
          <w:kern w:val="0"/>
        </w:rPr>
        <w:t>trials or baseline blood pressure. Excluding one trial in an African population with very high baseline blood pressure resulted in smaller overall reductions in blood pressure (SBP mean difference: -3.9, 95% CI: -8.6 to 0.8; DBP mean difference: - 1.5, 95% CI: - 6.2 to 3.1). Further sensitivity analysis restricted to two high quality trials (n = 138) also found non-significant reductions in blood pressure (SBP mean difference: - 7.1, 95% CI: - 19.9 to 5.7; DBP mean difference: - 5.5, 95% CI: - 14.5 to 3.5). Authors</w:t>
      </w:r>
      <w:r w:rsidR="0071223E">
        <w:rPr>
          <w:kern w:val="0"/>
        </w:rPr>
        <w:t>’</w:t>
      </w:r>
      <w:r>
        <w:rPr>
          <w:kern w:val="0"/>
        </w:rPr>
        <w:t xml:space="preserve"> conclusions This systematic review found no statistically significant effect</w:t>
      </w:r>
      <w:r w:rsidR="00427468">
        <w:rPr>
          <w:kern w:val="0"/>
        </w:rPr>
        <w:t xml:space="preserve"> of </w:t>
      </w:r>
      <w:r>
        <w:rPr>
          <w:kern w:val="0"/>
        </w:rPr>
        <w:t>potassium supplementation on blood pressure. Because</w:t>
      </w:r>
      <w:r w:rsidR="00427468">
        <w:rPr>
          <w:kern w:val="0"/>
        </w:rPr>
        <w:t xml:space="preserve"> of </w:t>
      </w:r>
      <w:r>
        <w:rPr>
          <w:kern w:val="0"/>
        </w:rPr>
        <w:t>the small number</w:t>
      </w:r>
      <w:r w:rsidR="00427468">
        <w:rPr>
          <w:kern w:val="0"/>
        </w:rPr>
        <w:t xml:space="preserve"> of </w:t>
      </w:r>
      <w:r>
        <w:rPr>
          <w:kern w:val="0"/>
        </w:rPr>
        <w:t>participants in the two high quality trials, the short duration</w:t>
      </w:r>
      <w:r w:rsidR="00427468">
        <w:rPr>
          <w:kern w:val="0"/>
        </w:rPr>
        <w:t xml:space="preserve"> of </w:t>
      </w:r>
      <w:r>
        <w:rPr>
          <w:kern w:val="0"/>
        </w:rPr>
        <w:t>follow-up,</w:t>
      </w:r>
      <w:r w:rsidR="005853A9">
        <w:rPr>
          <w:kern w:val="0"/>
        </w:rPr>
        <w:t xml:space="preserve"> and </w:t>
      </w:r>
      <w:r>
        <w:rPr>
          <w:kern w:val="0"/>
        </w:rPr>
        <w:t>the unexplained heterogeneity between trials, the evidence about the effect</w:t>
      </w:r>
      <w:r w:rsidR="00427468">
        <w:rPr>
          <w:kern w:val="0"/>
        </w:rPr>
        <w:t xml:space="preserve"> of </w:t>
      </w:r>
      <w:r>
        <w:rPr>
          <w:kern w:val="0"/>
        </w:rPr>
        <w:t>potassium supplementation on blood pressure is not conclusive. Further high quality RCTs</w:t>
      </w:r>
      <w:r w:rsidR="00427468">
        <w:rPr>
          <w:kern w:val="0"/>
        </w:rPr>
        <w:t xml:space="preserve"> of </w:t>
      </w:r>
      <w:r>
        <w:rPr>
          <w:kern w:val="0"/>
        </w:rPr>
        <w:t>longer duration are required to clarify whether potassium supplementation can reduce blood pressure</w:t>
      </w:r>
      <w:r w:rsidR="005853A9">
        <w:rPr>
          <w:kern w:val="0"/>
        </w:rPr>
        <w:t xml:space="preserve"> and </w:t>
      </w:r>
      <w:r>
        <w:rPr>
          <w:kern w:val="0"/>
        </w:rPr>
        <w:t>improve health outcomes.</w:t>
      </w:r>
    </w:p>
    <w:p w:rsidR="00365DE4" w:rsidRDefault="00365DE4" w:rsidP="00365DE4">
      <w:pPr>
        <w:pStyle w:val="a3"/>
        <w:rPr>
          <w:kern w:val="0"/>
        </w:rPr>
      </w:pPr>
      <w:r>
        <w:rPr>
          <w:kern w:val="0"/>
        </w:rPr>
        <w:t xml:space="preserve">Keywords: Antihypertensive Medication, Arterial-Hypertension, Blood-Pressure Response, Citation, Clinical-Trials, Control, Double-Blind, Embase, Health Outcomes, Interventions, </w:t>
      </w:r>
      <w:r w:rsidR="00D5664A">
        <w:rPr>
          <w:kern w:val="0"/>
        </w:rPr>
        <w:t>MEDLINE</w:t>
      </w:r>
      <w:r>
        <w:rPr>
          <w:kern w:val="0"/>
        </w:rPr>
        <w:t xml:space="preserve">, Meta-Analysis, Mild Essential-Hypertension, </w:t>
      </w:r>
      <w:r>
        <w:rPr>
          <w:kern w:val="0"/>
        </w:rPr>
        <w:lastRenderedPageBreak/>
        <w:t>Moderate Sodium Restriction, Normotensive Women, Oral Potassium, Outcomes, Placebo-Controlled Trial, Pressure, Primary, Review, Science, Science Citation Index, Search Strategy, Strategy, Systematic Review, Systematic Reviews</w:t>
      </w:r>
    </w:p>
    <w:p w:rsidR="00365DE4" w:rsidRDefault="00365DE4" w:rsidP="00365DE4">
      <w:pPr>
        <w:pStyle w:val="a3"/>
        <w:rPr>
          <w:kern w:val="2"/>
        </w:rPr>
      </w:pPr>
      <w:r>
        <w:rPr>
          <w:kern w:val="0"/>
        </w:rPr>
        <w:t>? Bath, P.M.W.</w:t>
      </w:r>
      <w:r w:rsidR="005853A9">
        <w:rPr>
          <w:kern w:val="0"/>
        </w:rPr>
        <w:t xml:space="preserve"> and </w:t>
      </w:r>
      <w:r>
        <w:rPr>
          <w:kern w:val="0"/>
        </w:rPr>
        <w:t>Sprigg, N. (2006), Colony stimulating factors (including erythropoietin, granulocyte colony stimulating factor</w:t>
      </w:r>
      <w:r w:rsidR="005853A9">
        <w:rPr>
          <w:kern w:val="0"/>
        </w:rPr>
        <w:t xml:space="preserve"> and </w:t>
      </w:r>
      <w:r>
        <w:rPr>
          <w:kern w:val="0"/>
        </w:rPr>
        <w:t xml:space="preserve">analogues) for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CD005207.</w:t>
      </w:r>
    </w:p>
    <w:p w:rsidR="00365DE4" w:rsidRDefault="00365DE4" w:rsidP="00365DE4">
      <w:pPr>
        <w:pStyle w:val="a3"/>
      </w:pPr>
      <w:r>
        <w:t>Full Text: 2006\Coc Dat Sys Rev2006, CD005207.pdf</w:t>
      </w:r>
    </w:p>
    <w:p w:rsidR="00365DE4" w:rsidRDefault="00365DE4" w:rsidP="00365DE4">
      <w:pPr>
        <w:pStyle w:val="a3"/>
        <w:rPr>
          <w:kern w:val="0"/>
        </w:rPr>
      </w:pPr>
      <w:r>
        <w:rPr>
          <w:kern w:val="0"/>
        </w:rPr>
        <w:t>Abstract: Background Colony stimulating factors (CSFs), also called haematopoietic growth factors, regulate bone marrow production</w:t>
      </w:r>
      <w:r w:rsidR="00427468">
        <w:rPr>
          <w:kern w:val="0"/>
        </w:rPr>
        <w:t xml:space="preserve"> of </w:t>
      </w:r>
      <w:r>
        <w:rPr>
          <w:kern w:val="0"/>
        </w:rPr>
        <w:t>circulating red</w:t>
      </w:r>
      <w:r w:rsidR="005853A9">
        <w:rPr>
          <w:kern w:val="0"/>
        </w:rPr>
        <w:t xml:space="preserve"> and </w:t>
      </w:r>
      <w:r>
        <w:rPr>
          <w:kern w:val="0"/>
        </w:rPr>
        <w:t>white cells,</w:t>
      </w:r>
      <w:r w:rsidR="005853A9">
        <w:rPr>
          <w:kern w:val="0"/>
        </w:rPr>
        <w:t xml:space="preserve"> and </w:t>
      </w:r>
      <w:r>
        <w:rPr>
          <w:kern w:val="0"/>
        </w:rPr>
        <w:t>platelets</w:t>
      </w:r>
      <w:r w:rsidR="00A37C1D">
        <w:rPr>
          <w:kern w:val="0"/>
        </w:rPr>
        <w:t>. The</w:t>
      </w:r>
      <w:r>
        <w:rPr>
          <w:kern w:val="0"/>
        </w:rPr>
        <w:t>y have been shown to be neuroprotective in experimental stroke. Some CSFs also mobilise the release</w:t>
      </w:r>
      <w:r w:rsidR="00427468">
        <w:rPr>
          <w:kern w:val="0"/>
        </w:rPr>
        <w:t xml:space="preserve"> of </w:t>
      </w:r>
      <w:r>
        <w:rPr>
          <w:kern w:val="0"/>
        </w:rPr>
        <w:t>bone marrow stem cells into the circulation. Objectives We systematically assessed the effects</w:t>
      </w:r>
      <w:r w:rsidR="00427468">
        <w:rPr>
          <w:kern w:val="0"/>
        </w:rPr>
        <w:t xml:space="preserve"> of </w:t>
      </w:r>
      <w:r>
        <w:rPr>
          <w:kern w:val="0"/>
        </w:rPr>
        <w:t>CSFs on functional outcome</w:t>
      </w:r>
      <w:r w:rsidR="005853A9">
        <w:rPr>
          <w:kern w:val="0"/>
        </w:rPr>
        <w:t xml:space="preserve"> and </w:t>
      </w:r>
      <w:r>
        <w:rPr>
          <w:kern w:val="0"/>
        </w:rPr>
        <w:t>haematology measures in patients with acute or subacute stroke enrolled into randomised controlled trials. Search strategy We searched the Cochrane Stroke Group Trials Register (last searched February 2005), the Cochrane Central Register</w:t>
      </w:r>
      <w:r w:rsidR="00427468">
        <w:rPr>
          <w:kern w:val="0"/>
        </w:rPr>
        <w:t xml:space="preserve"> of </w:t>
      </w:r>
      <w:r>
        <w:rPr>
          <w:kern w:val="0"/>
        </w:rPr>
        <w:t xml:space="preserve">Controlled Trials (CENTRAL) (The Cochrane Library Issue 3, 2005), </w:t>
      </w:r>
      <w:r w:rsidR="00D5664A">
        <w:rPr>
          <w:kern w:val="0"/>
        </w:rPr>
        <w:t>MEDLINE</w:t>
      </w:r>
      <w:r>
        <w:rPr>
          <w:kern w:val="0"/>
        </w:rPr>
        <w:t xml:space="preserve"> (1985 to March 2006), EMBASE (1985 to November 2005),</w:t>
      </w:r>
      <w:r w:rsidR="005853A9">
        <w:rPr>
          <w:kern w:val="0"/>
        </w:rPr>
        <w:t xml:space="preserve"> and </w:t>
      </w:r>
      <w:r>
        <w:rPr>
          <w:kern w:val="0"/>
        </w:rPr>
        <w:t>Science Citation Index (1985 to November 2005). In an attempt to identify further published, unpublished</w:t>
      </w:r>
      <w:r w:rsidR="005853A9">
        <w:rPr>
          <w:kern w:val="0"/>
        </w:rPr>
        <w:t xml:space="preserve"> and </w:t>
      </w:r>
      <w:r>
        <w:rPr>
          <w:kern w:val="0"/>
        </w:rPr>
        <w:t>ongoing trials we contacted manufacturers</w:t>
      </w:r>
      <w:r w:rsidR="005853A9">
        <w:rPr>
          <w:kern w:val="0"/>
        </w:rPr>
        <w:t xml:space="preserve"> and </w:t>
      </w:r>
      <w:r>
        <w:rPr>
          <w:kern w:val="0"/>
        </w:rPr>
        <w:t>principal investigators</w:t>
      </w:r>
      <w:r w:rsidR="00427468">
        <w:rPr>
          <w:kern w:val="0"/>
        </w:rPr>
        <w:t xml:space="preserve"> of </w:t>
      </w:r>
      <w:r>
        <w:rPr>
          <w:kern w:val="0"/>
        </w:rPr>
        <w:t>trials (last contacted 2005). We also searched reference lists</w:t>
      </w:r>
      <w:r w:rsidR="00427468">
        <w:rPr>
          <w:kern w:val="0"/>
        </w:rPr>
        <w:t xml:space="preserve"> of </w:t>
      </w:r>
      <w:r>
        <w:rPr>
          <w:kern w:val="0"/>
        </w:rPr>
        <w:t>relevant articles</w:t>
      </w:r>
      <w:r w:rsidR="005853A9">
        <w:rPr>
          <w:kern w:val="0"/>
        </w:rPr>
        <w:t xml:space="preserve"> and </w:t>
      </w:r>
      <w:r>
        <w:rPr>
          <w:kern w:val="0"/>
        </w:rPr>
        <w:t>reviews. Selection criteria Unconfounded randomised controlled trials recruiting patients with acute or subacute ischaemic or haemorrhagic stroke were included. CSFs included stem cell factor (SCF), erythropoietin (EPO), granulocyte colony stimulating factor (G-CSF), granulocyte-macrophage colony stimulating factor (GM-CSF), macrophage-colony stimulating factor (M-CSF, CSF-1),</w:t>
      </w:r>
      <w:r w:rsidR="005853A9">
        <w:rPr>
          <w:kern w:val="0"/>
        </w:rPr>
        <w:t xml:space="preserve"> and </w:t>
      </w:r>
      <w:r>
        <w:rPr>
          <w:kern w:val="0"/>
        </w:rPr>
        <w:t>thrombopoietin (TPO), or analogues</w:t>
      </w:r>
      <w:r w:rsidR="00427468">
        <w:rPr>
          <w:kern w:val="0"/>
        </w:rPr>
        <w:t xml:space="preserve"> of </w:t>
      </w:r>
      <w:r>
        <w:rPr>
          <w:kern w:val="0"/>
        </w:rPr>
        <w:t>these</w:t>
      </w:r>
      <w:r w:rsidR="00A37C1D">
        <w:rPr>
          <w:kern w:val="0"/>
        </w:rPr>
        <w:t>. The</w:t>
      </w:r>
      <w:r>
        <w:rPr>
          <w:kern w:val="0"/>
        </w:rPr>
        <w:t xml:space="preserve"> primary outcome was functional outcome (assessed as combined death or disability</w:t>
      </w:r>
      <w:r w:rsidR="005853A9">
        <w:rPr>
          <w:kern w:val="0"/>
        </w:rPr>
        <w:t xml:space="preserve"> and </w:t>
      </w:r>
      <w:r>
        <w:rPr>
          <w:kern w:val="0"/>
        </w:rPr>
        <w:t>dependency using scales such as the modified Rankin Scale or Barthel Index) at the end</w:t>
      </w:r>
      <w:r w:rsidR="00427468">
        <w:rPr>
          <w:kern w:val="0"/>
        </w:rPr>
        <w:t xml:space="preserve"> of </w:t>
      </w:r>
      <w:r>
        <w:rPr>
          <w:kern w:val="0"/>
        </w:rPr>
        <w:t>the trial. Secondary outcomes included safety at the end</w:t>
      </w:r>
      <w:r w:rsidR="00427468">
        <w:rPr>
          <w:kern w:val="0"/>
        </w:rPr>
        <w:t xml:space="preserve"> of </w:t>
      </w:r>
      <w:r>
        <w:rPr>
          <w:kern w:val="0"/>
        </w:rPr>
        <w:t>treatment (death, impairment, deterioration, extension or recurrence), death at the end</w:t>
      </w:r>
      <w:r w:rsidR="00427468">
        <w:rPr>
          <w:kern w:val="0"/>
        </w:rPr>
        <w:t xml:space="preserve"> of </w:t>
      </w:r>
      <w:r>
        <w:rPr>
          <w:kern w:val="0"/>
        </w:rPr>
        <w:t>follow up,</w:t>
      </w:r>
      <w:r w:rsidR="005853A9">
        <w:rPr>
          <w:kern w:val="0"/>
        </w:rPr>
        <w:t xml:space="preserve"> and </w:t>
      </w:r>
      <w:r>
        <w:rPr>
          <w:kern w:val="0"/>
        </w:rPr>
        <w:t>haematology measures (blood counts at or around day seven after treatment commenced). Data collection</w:t>
      </w:r>
      <w:r w:rsidR="005853A9">
        <w:rPr>
          <w:kern w:val="0"/>
        </w:rPr>
        <w:t xml:space="preserve"> and </w:t>
      </w:r>
      <w:r>
        <w:rPr>
          <w:kern w:val="0"/>
        </w:rPr>
        <w:t>analysis Data on measures by intention to treat (where available) were collected</w:t>
      </w:r>
      <w:r w:rsidR="005853A9">
        <w:rPr>
          <w:kern w:val="0"/>
        </w:rPr>
        <w:t xml:space="preserve"> and </w:t>
      </w:r>
      <w:r>
        <w:rPr>
          <w:kern w:val="0"/>
        </w:rPr>
        <w:t>analysed as dichotomous or continuous outcomes, as relevant, using random-effects models. Heterogeneity was assessed. Main results No large trials were identified. EPO therapy was associated with a non-significant reduction in neurological impairment in one small trial (n = 40 participants) but had no significant effect on haematological measures. Further small trials</w:t>
      </w:r>
      <w:r w:rsidR="00427468">
        <w:rPr>
          <w:kern w:val="0"/>
        </w:rPr>
        <w:t xml:space="preserve"> of </w:t>
      </w:r>
      <w:r>
        <w:rPr>
          <w:kern w:val="0"/>
        </w:rPr>
        <w:t>EPO</w:t>
      </w:r>
      <w:r w:rsidR="005853A9">
        <w:rPr>
          <w:kern w:val="0"/>
        </w:rPr>
        <w:t xml:space="preserve"> and </w:t>
      </w:r>
      <w:r>
        <w:rPr>
          <w:kern w:val="0"/>
        </w:rPr>
        <w:t>G-CSF are ongoing. Authors</w:t>
      </w:r>
      <w:r w:rsidR="0071223E">
        <w:rPr>
          <w:kern w:val="0"/>
        </w:rPr>
        <w:t>’</w:t>
      </w:r>
      <w:r>
        <w:rPr>
          <w:kern w:val="0"/>
        </w:rPr>
        <w:t xml:space="preserve"> conclusions No large trials</w:t>
      </w:r>
      <w:r w:rsidR="00427468">
        <w:rPr>
          <w:kern w:val="0"/>
        </w:rPr>
        <w:t xml:space="preserve"> of </w:t>
      </w:r>
      <w:r>
        <w:rPr>
          <w:kern w:val="0"/>
        </w:rPr>
        <w:t>EPO, G-CSF or other colony stimulating factors have been performed</w:t>
      </w:r>
      <w:r w:rsidR="005853A9">
        <w:rPr>
          <w:kern w:val="0"/>
        </w:rPr>
        <w:t xml:space="preserve"> and </w:t>
      </w:r>
      <w:r>
        <w:rPr>
          <w:kern w:val="0"/>
        </w:rPr>
        <w:t xml:space="preserve">it is too early to </w:t>
      </w:r>
      <w:r>
        <w:rPr>
          <w:kern w:val="0"/>
        </w:rPr>
        <w:lastRenderedPageBreak/>
        <w:t>know whether CSFs improve functional outcome.</w:t>
      </w:r>
    </w:p>
    <w:p w:rsidR="00365DE4" w:rsidRDefault="00365DE4" w:rsidP="00365DE4">
      <w:pPr>
        <w:pStyle w:val="a3"/>
        <w:rPr>
          <w:kern w:val="0"/>
        </w:rPr>
      </w:pPr>
      <w:r>
        <w:rPr>
          <w:kern w:val="0"/>
        </w:rPr>
        <w:t xml:space="preserve">Keywords: Analysis, Arteriogenesis, Blood, Bone, Bone Marrow, Bone Marrow Stem Cells, Bone-Marrow, Citation, Collection, Criteria, Cytokine, Data Collection, Death, Dependency, Disability, Effects, Embase, Erythropoietin, Experimental, Focal Cerebral-Ischemia, Follow-Up, G-Csf, Granulocyte, Growth, Growth Factors, In-Vivo, </w:t>
      </w:r>
      <w:r w:rsidR="00D5664A">
        <w:rPr>
          <w:kern w:val="0"/>
        </w:rPr>
        <w:t>MEDLINE</w:t>
      </w:r>
      <w:r>
        <w:rPr>
          <w:kern w:val="0"/>
        </w:rPr>
        <w:t>, Mobilization, Models, Modified, Neurogenesis, Neurological, Outcome, Outcomes, Patients, Platelets, Primary, Randomised, Randomised Controlled Trials, Recurrence, Reduction, Reference, Reference Lists, Release, Reviews, Safety, Scale, Scales, Science, Science Citation Index, Search, Small, Stem Cell, Stem Cell Factor, Stem Cells, Stem-Cells, Strategy, Stroke, Therapy, Treatment, Trial</w:t>
      </w:r>
    </w:p>
    <w:p w:rsidR="00365DE4" w:rsidRDefault="00365DE4" w:rsidP="00365DE4">
      <w:pPr>
        <w:pStyle w:val="a3"/>
        <w:rPr>
          <w:kern w:val="2"/>
        </w:rPr>
      </w:pPr>
      <w:r>
        <w:rPr>
          <w:kern w:val="0"/>
        </w:rPr>
        <w:t>? Friedman, D.S.</w:t>
      </w:r>
      <w:r w:rsidR="005853A9">
        <w:rPr>
          <w:kern w:val="0"/>
        </w:rPr>
        <w:t xml:space="preserve"> and </w:t>
      </w:r>
      <w:r>
        <w:rPr>
          <w:kern w:val="0"/>
        </w:rPr>
        <w:t xml:space="preserve">Vedula, S.S. (2006), Lens extraction for chronic angle-closure glaucoma.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CD005555.</w:t>
      </w:r>
    </w:p>
    <w:p w:rsidR="00365DE4" w:rsidRDefault="00365DE4" w:rsidP="00365DE4">
      <w:pPr>
        <w:pStyle w:val="a3"/>
      </w:pPr>
      <w:r>
        <w:t xml:space="preserve">Full Text: </w:t>
      </w:r>
      <w:hyperlink r:id="rId510" w:history="1">
        <w:r>
          <w:rPr>
            <w:rStyle w:val="a5"/>
          </w:rPr>
          <w:t>2006\Coc Dat Sys Rev2006, CD005555.pdf</w:t>
        </w:r>
      </w:hyperlink>
    </w:p>
    <w:p w:rsidR="00365DE4" w:rsidRDefault="00365DE4" w:rsidP="00365DE4">
      <w:pPr>
        <w:pStyle w:val="a3"/>
        <w:rPr>
          <w:kern w:val="0"/>
        </w:rPr>
      </w:pPr>
      <w:r>
        <w:rPr>
          <w:kern w:val="0"/>
        </w:rPr>
        <w:t>Abstract: Background Angle-closure glaucoma is characterized by obstruction to the outflow</w:t>
      </w:r>
      <w:r w:rsidR="00427468">
        <w:rPr>
          <w:kern w:val="0"/>
        </w:rPr>
        <w:t xml:space="preserve"> of </w:t>
      </w:r>
      <w:r>
        <w:rPr>
          <w:kern w:val="0"/>
        </w:rPr>
        <w:t>aqueous humor</w:t>
      </w:r>
      <w:r w:rsidR="005853A9">
        <w:rPr>
          <w:kern w:val="0"/>
        </w:rPr>
        <w:t xml:space="preserve"> and </w:t>
      </w:r>
      <w:r>
        <w:rPr>
          <w:kern w:val="0"/>
        </w:rPr>
        <w:t>consequent rise in intraocular pressure</w:t>
      </w:r>
      <w:r w:rsidR="00A37C1D">
        <w:rPr>
          <w:kern w:val="0"/>
        </w:rPr>
        <w:t>. The</w:t>
      </w:r>
      <w:r>
        <w:rPr>
          <w:kern w:val="0"/>
        </w:rPr>
        <w:t xml:space="preserve"> obstruction may result from an anatomical predisposition</w:t>
      </w:r>
      <w:r w:rsidR="00427468">
        <w:rPr>
          <w:kern w:val="0"/>
        </w:rPr>
        <w:t xml:space="preserve"> of </w:t>
      </w:r>
      <w:r>
        <w:rPr>
          <w:kern w:val="0"/>
        </w:rPr>
        <w:t>the eye or may be due to pathophysiologic processes in any part</w:t>
      </w:r>
      <w:r w:rsidR="00427468">
        <w:rPr>
          <w:kern w:val="0"/>
        </w:rPr>
        <w:t xml:space="preserve"> of </w:t>
      </w:r>
      <w:r>
        <w:rPr>
          <w:kern w:val="0"/>
        </w:rPr>
        <w:t>the eye</w:t>
      </w:r>
      <w:r w:rsidR="00A37C1D">
        <w:rPr>
          <w:kern w:val="0"/>
        </w:rPr>
        <w:t>. The</w:t>
      </w:r>
      <w:r>
        <w:rPr>
          <w:kern w:val="0"/>
        </w:rPr>
        <w:t xml:space="preserve"> former is considered the primary form</w:t>
      </w:r>
      <w:r w:rsidR="005853A9">
        <w:rPr>
          <w:kern w:val="0"/>
        </w:rPr>
        <w:t xml:space="preserve"> and </w:t>
      </w:r>
      <w:r>
        <w:rPr>
          <w:kern w:val="0"/>
        </w:rPr>
        <w:t>the latter a secondary form</w:t>
      </w:r>
      <w:r w:rsidR="00427468">
        <w:rPr>
          <w:kern w:val="0"/>
        </w:rPr>
        <w:t xml:space="preserve"> of </w:t>
      </w:r>
      <w:r>
        <w:rPr>
          <w:kern w:val="0"/>
        </w:rPr>
        <w:t>angle closure. Relative pupillary block obstructing free flow</w:t>
      </w:r>
      <w:r w:rsidR="00427468">
        <w:rPr>
          <w:kern w:val="0"/>
        </w:rPr>
        <w:t xml:space="preserve"> of </w:t>
      </w:r>
      <w:r>
        <w:rPr>
          <w:kern w:val="0"/>
        </w:rPr>
        <w:t>aqueous from the posterior chamber</w:t>
      </w:r>
      <w:r w:rsidR="00427468">
        <w:rPr>
          <w:kern w:val="0"/>
        </w:rPr>
        <w:t xml:space="preserve"> of </w:t>
      </w:r>
      <w:r>
        <w:rPr>
          <w:kern w:val="0"/>
        </w:rPr>
        <w:t>the eye to the anterior chamber is considered to be the most common mechanism</w:t>
      </w:r>
      <w:r w:rsidR="00427468">
        <w:rPr>
          <w:kern w:val="0"/>
        </w:rPr>
        <w:t xml:space="preserve"> of </w:t>
      </w:r>
      <w:r>
        <w:rPr>
          <w:kern w:val="0"/>
        </w:rPr>
        <w:t>angle closure. Crowding</w:t>
      </w:r>
      <w:r w:rsidR="00427468">
        <w:rPr>
          <w:kern w:val="0"/>
        </w:rPr>
        <w:t xml:space="preserve"> of </w:t>
      </w:r>
      <w:r>
        <w:rPr>
          <w:kern w:val="0"/>
        </w:rPr>
        <w:t>the angle is another mechanism, which</w:t>
      </w:r>
      <w:r w:rsidR="00427468">
        <w:rPr>
          <w:kern w:val="0"/>
        </w:rPr>
        <w:t xml:space="preserve"> of </w:t>
      </w:r>
      <w:r>
        <w:rPr>
          <w:kern w:val="0"/>
        </w:rPr>
        <w:t>ten coexists with pupillary block. This can result from ananterior placement</w:t>
      </w:r>
      <w:r w:rsidR="00427468">
        <w:rPr>
          <w:kern w:val="0"/>
        </w:rPr>
        <w:t xml:space="preserve"> of </w:t>
      </w:r>
      <w:r>
        <w:rPr>
          <w:kern w:val="0"/>
        </w:rPr>
        <w:t>the lens due to an increase in the thickness</w:t>
      </w:r>
      <w:r w:rsidR="00427468">
        <w:rPr>
          <w:kern w:val="0"/>
        </w:rPr>
        <w:t xml:space="preserve"> of </w:t>
      </w:r>
      <w:r>
        <w:rPr>
          <w:kern w:val="0"/>
        </w:rPr>
        <w:t>the lens (as occurs with aging), anterior displacement by a posterior force (for example choroidal effusion), or laxity</w:t>
      </w:r>
      <w:r w:rsidR="00427468">
        <w:rPr>
          <w:kern w:val="0"/>
        </w:rPr>
        <w:t xml:space="preserve"> of </w:t>
      </w:r>
      <w:r>
        <w:rPr>
          <w:kern w:val="0"/>
        </w:rPr>
        <w:t>the zonules. Objectives The objective</w:t>
      </w:r>
      <w:r w:rsidR="00427468">
        <w:rPr>
          <w:kern w:val="0"/>
        </w:rPr>
        <w:t xml:space="preserve"> of </w:t>
      </w:r>
      <w:r>
        <w:rPr>
          <w:kern w:val="0"/>
        </w:rPr>
        <w:t>this review was to assess the effectiveness</w:t>
      </w:r>
      <w:r w:rsidR="00427468">
        <w:rPr>
          <w:kern w:val="0"/>
        </w:rPr>
        <w:t xml:space="preserve"> of </w:t>
      </w:r>
      <w:r>
        <w:rPr>
          <w:kern w:val="0"/>
        </w:rPr>
        <w:t>lens extraction for chronic primary angle-closure glaucoma compared with other interventions for the condition in people without past history</w:t>
      </w:r>
      <w:r w:rsidR="00427468">
        <w:rPr>
          <w:kern w:val="0"/>
        </w:rPr>
        <w:t xml:space="preserve"> of </w:t>
      </w:r>
      <w:r>
        <w:rPr>
          <w:kern w:val="0"/>
        </w:rPr>
        <w:t xml:space="preserve">acute-angle closure attacks. Search strategy We searched CENTRAL (2005, Issue 3), </w:t>
      </w:r>
      <w:r w:rsidR="00D5664A">
        <w:rPr>
          <w:kern w:val="0"/>
        </w:rPr>
        <w:t>MEDLINE</w:t>
      </w:r>
      <w:r>
        <w:rPr>
          <w:kern w:val="0"/>
        </w:rPr>
        <w:t xml:space="preserve"> (1950 to April 2006), EMBASE (1980 to April 2006),</w:t>
      </w:r>
      <w:r w:rsidR="005853A9">
        <w:rPr>
          <w:kern w:val="0"/>
        </w:rPr>
        <w:t xml:space="preserve"> and </w:t>
      </w:r>
      <w:r>
        <w:rPr>
          <w:kern w:val="0"/>
        </w:rPr>
        <w:t>LILACS (to August 2005). We searched the reference lists</w:t>
      </w:r>
      <w:r w:rsidR="00427468">
        <w:rPr>
          <w:kern w:val="0"/>
        </w:rPr>
        <w:t xml:space="preserve"> of </w:t>
      </w:r>
      <w:r>
        <w:rPr>
          <w:kern w:val="0"/>
        </w:rPr>
        <w:t>included studies</w:t>
      </w:r>
      <w:r w:rsidR="005853A9">
        <w:rPr>
          <w:kern w:val="0"/>
        </w:rPr>
        <w:t xml:space="preserve"> and </w:t>
      </w:r>
      <w:r>
        <w:rPr>
          <w:kern w:val="0"/>
        </w:rPr>
        <w:t>used the Science Citation Index database. Selection criteria In the absence</w:t>
      </w:r>
      <w:r w:rsidR="00427468">
        <w:rPr>
          <w:kern w:val="0"/>
        </w:rPr>
        <w:t xml:space="preserve"> of </w:t>
      </w:r>
      <w:r>
        <w:rPr>
          <w:kern w:val="0"/>
        </w:rPr>
        <w:t>any randomized trials we included non-randomized studies comparing lens extraction with other treatment modalities for chronic primary angle-closure glaucoma including, but not limited to, laser iridotomy, medications,</w:t>
      </w:r>
      <w:r w:rsidR="005853A9">
        <w:rPr>
          <w:kern w:val="0"/>
        </w:rPr>
        <w:t xml:space="preserve"> and </w:t>
      </w:r>
      <w:r>
        <w:rPr>
          <w:kern w:val="0"/>
        </w:rPr>
        <w:t>laser iridoplasty. We excluded studies with a case-series design. Data collection</w:t>
      </w:r>
      <w:r w:rsidR="005853A9">
        <w:rPr>
          <w:kern w:val="0"/>
        </w:rPr>
        <w:t xml:space="preserve"> and </w:t>
      </w:r>
      <w:r>
        <w:rPr>
          <w:kern w:val="0"/>
        </w:rPr>
        <w:t>analysis Two authors independently extracted data on methodological quality</w:t>
      </w:r>
      <w:r w:rsidR="00427468">
        <w:rPr>
          <w:kern w:val="0"/>
        </w:rPr>
        <w:t xml:space="preserve"> of </w:t>
      </w:r>
      <w:r>
        <w:rPr>
          <w:kern w:val="0"/>
        </w:rPr>
        <w:t>the included studies, outcomes for the review,</w:t>
      </w:r>
      <w:r w:rsidR="005853A9">
        <w:rPr>
          <w:kern w:val="0"/>
        </w:rPr>
        <w:t xml:space="preserve"> and </w:t>
      </w:r>
      <w:r>
        <w:rPr>
          <w:kern w:val="0"/>
        </w:rPr>
        <w:t>study characteristics including participant characteristics, interventions,</w:t>
      </w:r>
      <w:r w:rsidR="005853A9">
        <w:rPr>
          <w:kern w:val="0"/>
        </w:rPr>
        <w:t xml:space="preserve"> and </w:t>
      </w:r>
      <w:r>
        <w:rPr>
          <w:kern w:val="0"/>
        </w:rPr>
        <w:t>sources</w:t>
      </w:r>
      <w:r w:rsidR="00427468">
        <w:rPr>
          <w:kern w:val="0"/>
        </w:rPr>
        <w:t xml:space="preserve"> of </w:t>
      </w:r>
      <w:r>
        <w:rPr>
          <w:kern w:val="0"/>
        </w:rPr>
        <w:t xml:space="preserve">funding. Differences were </w:t>
      </w:r>
      <w:r>
        <w:rPr>
          <w:kern w:val="0"/>
        </w:rPr>
        <w:lastRenderedPageBreak/>
        <w:t>resolved through discussion. Main results We found no randomized trials evaluating the effects</w:t>
      </w:r>
      <w:r w:rsidR="00427468">
        <w:rPr>
          <w:kern w:val="0"/>
        </w:rPr>
        <w:t xml:space="preserve"> of </w:t>
      </w:r>
      <w:r>
        <w:rPr>
          <w:kern w:val="0"/>
        </w:rPr>
        <w:t>lens extraction as a treatment for chronic primary angle-closure glaucoma. Two non-randomized comparative studies included in the review have several methodological flaws including selection bias. While these studies</w:t>
      </w:r>
      <w:r w:rsidR="005853A9">
        <w:rPr>
          <w:kern w:val="0"/>
        </w:rPr>
        <w:t xml:space="preserve"> and </w:t>
      </w:r>
      <w:r>
        <w:rPr>
          <w:kern w:val="0"/>
        </w:rPr>
        <w:t>other non-comparative studies provide information on biological plausibility</w:t>
      </w:r>
      <w:r w:rsidR="005853A9">
        <w:rPr>
          <w:kern w:val="0"/>
        </w:rPr>
        <w:t xml:space="preserve"> and </w:t>
      </w:r>
      <w:r>
        <w:rPr>
          <w:kern w:val="0"/>
        </w:rPr>
        <w:t>treatment effect they do not provide proof</w:t>
      </w:r>
      <w:r w:rsidR="00427468">
        <w:rPr>
          <w:kern w:val="0"/>
        </w:rPr>
        <w:t xml:space="preserve"> of </w:t>
      </w:r>
      <w:r>
        <w:rPr>
          <w:kern w:val="0"/>
        </w:rPr>
        <w:t>effectiveness. Also, they do not address the question</w:t>
      </w:r>
      <w:r w:rsidR="00427468">
        <w:rPr>
          <w:kern w:val="0"/>
        </w:rPr>
        <w:t xml:space="preserve"> of </w:t>
      </w:r>
      <w:r>
        <w:rPr>
          <w:kern w:val="0"/>
        </w:rPr>
        <w:t>how primary lens extraction compares with other treatments for chronic primary angle-closure glaucoma. Authors</w:t>
      </w:r>
      <w:r w:rsidR="0071223E">
        <w:rPr>
          <w:kern w:val="0"/>
        </w:rPr>
        <w:t>’</w:t>
      </w:r>
      <w:r>
        <w:rPr>
          <w:kern w:val="0"/>
        </w:rPr>
        <w:t xml:space="preserve"> conclusions There is no evidence from good quality randomized trials or non-randomized studies</w:t>
      </w:r>
      <w:r w:rsidR="00427468">
        <w:rPr>
          <w:kern w:val="0"/>
        </w:rPr>
        <w:t xml:space="preserve"> of </w:t>
      </w:r>
      <w:r>
        <w:rPr>
          <w:kern w:val="0"/>
        </w:rPr>
        <w:t>the effectiveness</w:t>
      </w:r>
      <w:r w:rsidR="00427468">
        <w:rPr>
          <w:kern w:val="0"/>
        </w:rPr>
        <w:t xml:space="preserve"> of </w:t>
      </w:r>
      <w:r>
        <w:rPr>
          <w:kern w:val="0"/>
        </w:rPr>
        <w:t>lens extraction for chronic primary angle-closure glaucoma.</w:t>
      </w:r>
    </w:p>
    <w:p w:rsidR="00365DE4" w:rsidRDefault="00365DE4" w:rsidP="00365DE4">
      <w:pPr>
        <w:pStyle w:val="a3"/>
        <w:rPr>
          <w:kern w:val="0"/>
        </w:rPr>
      </w:pPr>
      <w:r>
        <w:rPr>
          <w:kern w:val="0"/>
        </w:rPr>
        <w:t xml:space="preserve">Keywords: Aging, Aqueous, Authors, Bias, Case Series, Characteristics, Chronic, Citation, Configuration, Criteria, Database, Disease, Effectiveness, Extracapsular Cataract-Extraction, Eyes, Funding, History, Implantation, Intraocular-Pressure, Mechanism, </w:t>
      </w:r>
      <w:r w:rsidR="00D5664A">
        <w:rPr>
          <w:kern w:val="0"/>
        </w:rPr>
        <w:t>MEDLINE</w:t>
      </w:r>
      <w:r>
        <w:rPr>
          <w:kern w:val="0"/>
        </w:rPr>
        <w:t>, Outcomes, Phacoemulsification, Placement, Population, Primary, Review, Science, Science Citation Index, Selection, Singapore, Surgery, Treatment</w:t>
      </w:r>
    </w:p>
    <w:p w:rsidR="00365DE4" w:rsidRDefault="00365DE4" w:rsidP="00365DE4">
      <w:pPr>
        <w:pStyle w:val="a3"/>
        <w:rPr>
          <w:kern w:val="0"/>
        </w:rPr>
      </w:pPr>
      <w:r>
        <w:rPr>
          <w:kern w:val="0"/>
        </w:rPr>
        <w:t>? Edwards, A.G.K., Evans, R., Dundon, J., Haigh, S., Hood, K.</w:t>
      </w:r>
      <w:r w:rsidR="005853A9">
        <w:rPr>
          <w:kern w:val="0"/>
        </w:rPr>
        <w:t xml:space="preserve"> and </w:t>
      </w:r>
      <w:r>
        <w:rPr>
          <w:kern w:val="0"/>
        </w:rPr>
        <w:t xml:space="preserve">Elwyn, G.J. (2006), Personalised risk communication for informed decision making about taking screening tests.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CD001865.</w:t>
      </w:r>
    </w:p>
    <w:p w:rsidR="00365DE4" w:rsidRDefault="00365DE4" w:rsidP="00365DE4">
      <w:pPr>
        <w:pStyle w:val="a3"/>
        <w:rPr>
          <w:kern w:val="2"/>
        </w:rPr>
      </w:pPr>
      <w:r>
        <w:t xml:space="preserve">Full Text: </w:t>
      </w:r>
      <w:hyperlink r:id="rId511" w:history="1">
        <w:r>
          <w:rPr>
            <w:rStyle w:val="a5"/>
          </w:rPr>
          <w:t>2006\Coc Dat Sys Rev2006, CD001865.pdf</w:t>
        </w:r>
      </w:hyperlink>
    </w:p>
    <w:p w:rsidR="00365DE4" w:rsidRDefault="00365DE4" w:rsidP="00365DE4">
      <w:pPr>
        <w:pStyle w:val="a3"/>
        <w:rPr>
          <w:kern w:val="0"/>
        </w:rPr>
      </w:pPr>
      <w:r>
        <w:rPr>
          <w:kern w:val="0"/>
        </w:rPr>
        <w:t>Abstract: Background There is a trend towards greater patient involvement in healthcare decisions. Adequate discussion</w:t>
      </w:r>
      <w:r w:rsidR="00427468">
        <w:rPr>
          <w:kern w:val="0"/>
        </w:rPr>
        <w:t xml:space="preserve"> of </w:t>
      </w:r>
      <w:r>
        <w:rPr>
          <w:kern w:val="0"/>
        </w:rPr>
        <w:t>the risks</w:t>
      </w:r>
      <w:r w:rsidR="005853A9">
        <w:rPr>
          <w:kern w:val="0"/>
        </w:rPr>
        <w:t xml:space="preserve"> and </w:t>
      </w:r>
      <w:r>
        <w:rPr>
          <w:kern w:val="0"/>
        </w:rPr>
        <w:t>benefits associated with different choices is often required if involvement is to be genuine</w:t>
      </w:r>
      <w:r w:rsidR="005853A9">
        <w:rPr>
          <w:kern w:val="0"/>
        </w:rPr>
        <w:t xml:space="preserve"> and </w:t>
      </w:r>
      <w:r>
        <w:rPr>
          <w:kern w:val="0"/>
        </w:rPr>
        <w:t>effective. Achieving both the adequate involvement</w:t>
      </w:r>
      <w:r w:rsidR="00427468">
        <w:rPr>
          <w:kern w:val="0"/>
        </w:rPr>
        <w:t xml:space="preserve"> of </w:t>
      </w:r>
      <w:r>
        <w:rPr>
          <w:kern w:val="0"/>
        </w:rPr>
        <w:t>consumers</w:t>
      </w:r>
      <w:r w:rsidR="005853A9">
        <w:rPr>
          <w:kern w:val="0"/>
        </w:rPr>
        <w:t xml:space="preserve"> and </w:t>
      </w:r>
      <w:r>
        <w:rPr>
          <w:kern w:val="0"/>
        </w:rPr>
        <w:t>informed decision making are now seen as important goals for any screening programme. Personalised risk estimates have been shown to be effective methods</w:t>
      </w:r>
      <w:r w:rsidR="00427468">
        <w:rPr>
          <w:kern w:val="0"/>
        </w:rPr>
        <w:t xml:space="preserve"> of </w:t>
      </w:r>
      <w:r>
        <w:rPr>
          <w:kern w:val="0"/>
        </w:rPr>
        <w:t>risk communication in general, but the effectiveness</w:t>
      </w:r>
      <w:r w:rsidR="00427468">
        <w:rPr>
          <w:kern w:val="0"/>
        </w:rPr>
        <w:t xml:space="preserve"> of </w:t>
      </w:r>
      <w:r>
        <w:rPr>
          <w:kern w:val="0"/>
        </w:rPr>
        <w:t>different strategies has not previously been examined. Objectives To assess the effects</w:t>
      </w:r>
      <w:r w:rsidR="00427468">
        <w:rPr>
          <w:kern w:val="0"/>
        </w:rPr>
        <w:t xml:space="preserve"> of </w:t>
      </w:r>
      <w:r>
        <w:rPr>
          <w:kern w:val="0"/>
        </w:rPr>
        <w:t>different types</w:t>
      </w:r>
      <w:r w:rsidR="00427468">
        <w:rPr>
          <w:kern w:val="0"/>
        </w:rPr>
        <w:t xml:space="preserve"> of </w:t>
      </w:r>
      <w:r>
        <w:rPr>
          <w:kern w:val="0"/>
        </w:rPr>
        <w:t>personalised risk communication for consumers making decisions about taking screening tests. Search strategy We searched the Cochrane Central Register</w:t>
      </w:r>
      <w:r w:rsidR="00427468">
        <w:rPr>
          <w:kern w:val="0"/>
        </w:rPr>
        <w:t xml:space="preserve"> of </w:t>
      </w:r>
      <w:r>
        <w:rPr>
          <w:kern w:val="0"/>
        </w:rPr>
        <w:t xml:space="preserve">Controlled Trials (CENTRAL) (The Cochrane Library Issue 4, 2004), </w:t>
      </w:r>
      <w:r w:rsidR="00D5664A">
        <w:rPr>
          <w:kern w:val="0"/>
        </w:rPr>
        <w:t>MEDLINE</w:t>
      </w:r>
      <w:r>
        <w:rPr>
          <w:kern w:val="0"/>
        </w:rPr>
        <w:t xml:space="preserve"> (1985 to December 2005), EMBASE (1985 to December 2005), CINAHL (1985 to December 2005),</w:t>
      </w:r>
      <w:r w:rsidR="005853A9">
        <w:rPr>
          <w:kern w:val="0"/>
        </w:rPr>
        <w:t xml:space="preserve"> and </w:t>
      </w:r>
      <w:r>
        <w:rPr>
          <w:kern w:val="0"/>
        </w:rPr>
        <w:t>PsycINFO (1989 to December 2005). Follow-up searches involved hand searching Preventive Medicine, citation searches on seven authors,</w:t>
      </w:r>
      <w:r w:rsidR="005853A9">
        <w:rPr>
          <w:kern w:val="0"/>
        </w:rPr>
        <w:t xml:space="preserve"> and </w:t>
      </w:r>
      <w:r>
        <w:rPr>
          <w:kern w:val="0"/>
        </w:rPr>
        <w:t>searching reference lists</w:t>
      </w:r>
      <w:r w:rsidR="00427468">
        <w:rPr>
          <w:kern w:val="0"/>
        </w:rPr>
        <w:t xml:space="preserve"> of </w:t>
      </w:r>
      <w:r>
        <w:rPr>
          <w:kern w:val="0"/>
        </w:rPr>
        <w:t>articles. For the original version</w:t>
      </w:r>
      <w:r w:rsidR="00427468">
        <w:rPr>
          <w:kern w:val="0"/>
        </w:rPr>
        <w:t xml:space="preserve"> of </w:t>
      </w:r>
      <w:r>
        <w:rPr>
          <w:kern w:val="0"/>
        </w:rPr>
        <w:t>this review (Edwards 2003c) we also searched CancerLit (1985 to 2001)</w:t>
      </w:r>
      <w:r w:rsidR="005853A9">
        <w:rPr>
          <w:kern w:val="0"/>
        </w:rPr>
        <w:t xml:space="preserve"> and </w:t>
      </w:r>
      <w:r>
        <w:rPr>
          <w:kern w:val="0"/>
        </w:rPr>
        <w:t>Science Citation Index Expanded (searched March 2002). Selection criteria Randomised controlled trials addressing the decision by consumers</w:t>
      </w:r>
      <w:r w:rsidR="00427468">
        <w:rPr>
          <w:kern w:val="0"/>
        </w:rPr>
        <w:t xml:space="preserve"> of </w:t>
      </w:r>
      <w:r>
        <w:rPr>
          <w:kern w:val="0"/>
        </w:rPr>
        <w:t xml:space="preserve">whether or not to undergo screening, incorporating an intervention with a </w:t>
      </w:r>
      <w:r w:rsidR="0071223E">
        <w:rPr>
          <w:kern w:val="0"/>
        </w:rPr>
        <w:lastRenderedPageBreak/>
        <w:t>‘</w:t>
      </w:r>
      <w:r>
        <w:rPr>
          <w:kern w:val="0"/>
        </w:rPr>
        <w:t>personalised risk communication element</w:t>
      </w:r>
      <w:r w:rsidR="0071223E">
        <w:rPr>
          <w:kern w:val="0"/>
        </w:rPr>
        <w:t>’</w:t>
      </w:r>
      <w:r w:rsidR="005853A9">
        <w:rPr>
          <w:kern w:val="0"/>
        </w:rPr>
        <w:t xml:space="preserve"> and </w:t>
      </w:r>
      <w:r>
        <w:rPr>
          <w:kern w:val="0"/>
        </w:rPr>
        <w:t xml:space="preserve">reporting cognitive, affective, or behavioural outcomes. A </w:t>
      </w:r>
      <w:r w:rsidR="0071223E">
        <w:rPr>
          <w:kern w:val="0"/>
        </w:rPr>
        <w:t>‘</w:t>
      </w:r>
      <w:r>
        <w:rPr>
          <w:kern w:val="0"/>
        </w:rPr>
        <w:t>personalised risk communication element</w:t>
      </w:r>
      <w:r w:rsidR="0071223E">
        <w:rPr>
          <w:kern w:val="0"/>
        </w:rPr>
        <w:t>’</w:t>
      </w:r>
      <w:r>
        <w:rPr>
          <w:kern w:val="0"/>
        </w:rPr>
        <w:t xml:space="preserve"> is based on the individual</w:t>
      </w:r>
      <w:r w:rsidR="0071223E">
        <w:rPr>
          <w:kern w:val="0"/>
        </w:rPr>
        <w:t>’</w:t>
      </w:r>
      <w:r>
        <w:rPr>
          <w:kern w:val="0"/>
        </w:rPr>
        <w:t>s own risk factors for a condition (such as age or family history). It may be calculated from an individual</w:t>
      </w:r>
      <w:r w:rsidR="0071223E">
        <w:rPr>
          <w:kern w:val="0"/>
        </w:rPr>
        <w:t>’</w:t>
      </w:r>
      <w:r>
        <w:rPr>
          <w:kern w:val="0"/>
        </w:rPr>
        <w:t>s risk factors using formulae derived from epidemiological data,</w:t>
      </w:r>
      <w:r w:rsidR="005853A9">
        <w:rPr>
          <w:kern w:val="0"/>
        </w:rPr>
        <w:t xml:space="preserve"> and </w:t>
      </w:r>
      <w:r>
        <w:rPr>
          <w:kern w:val="0"/>
        </w:rPr>
        <w:t>presented as an absolute or relative risk or as a risk score, or it may be categorised into, for example, high, medium or low risk groups. It may be less detailed still, involving a listing, for example,</w:t>
      </w:r>
      <w:r w:rsidR="00427468">
        <w:rPr>
          <w:kern w:val="0"/>
        </w:rPr>
        <w:t xml:space="preserve"> of </w:t>
      </w:r>
      <w:r>
        <w:rPr>
          <w:kern w:val="0"/>
        </w:rPr>
        <w:t>a consumer</w:t>
      </w:r>
      <w:r w:rsidR="0071223E">
        <w:rPr>
          <w:kern w:val="0"/>
        </w:rPr>
        <w:t>’</w:t>
      </w:r>
      <w:r>
        <w:rPr>
          <w:kern w:val="0"/>
        </w:rPr>
        <w:t>s risk factors as a focus for discussion</w:t>
      </w:r>
      <w:r w:rsidR="005853A9">
        <w:rPr>
          <w:kern w:val="0"/>
        </w:rPr>
        <w:t xml:space="preserve"> and </w:t>
      </w:r>
      <w:r>
        <w:rPr>
          <w:kern w:val="0"/>
        </w:rPr>
        <w:t>intervention. Data collection</w:t>
      </w:r>
      <w:r w:rsidR="005853A9">
        <w:rPr>
          <w:kern w:val="0"/>
        </w:rPr>
        <w:t xml:space="preserve"> and </w:t>
      </w:r>
      <w:r>
        <w:rPr>
          <w:kern w:val="0"/>
        </w:rPr>
        <w:t>analysis Two authors independently assessed each trial for quality</w:t>
      </w:r>
      <w:r w:rsidR="005853A9">
        <w:rPr>
          <w:kern w:val="0"/>
        </w:rPr>
        <w:t xml:space="preserve"> and </w:t>
      </w:r>
      <w:r>
        <w:rPr>
          <w:kern w:val="0"/>
        </w:rPr>
        <w:t>extracted data. We extracted data about the nature</w:t>
      </w:r>
      <w:r w:rsidR="005853A9">
        <w:rPr>
          <w:kern w:val="0"/>
        </w:rPr>
        <w:t xml:space="preserve"> and </w:t>
      </w:r>
      <w:r>
        <w:rPr>
          <w:kern w:val="0"/>
        </w:rPr>
        <w:t>setting</w:t>
      </w:r>
      <w:r w:rsidR="00427468">
        <w:rPr>
          <w:kern w:val="0"/>
        </w:rPr>
        <w:t xml:space="preserve"> of </w:t>
      </w:r>
      <w:r>
        <w:rPr>
          <w:kern w:val="0"/>
        </w:rPr>
        <w:t>the intervention,</w:t>
      </w:r>
      <w:r w:rsidR="005853A9">
        <w:rPr>
          <w:kern w:val="0"/>
        </w:rPr>
        <w:t xml:space="preserve"> and </w:t>
      </w:r>
      <w:r>
        <w:rPr>
          <w:kern w:val="0"/>
        </w:rPr>
        <w:t>relevant outcome data, along with items relating to methodological quality. We then used standard statistical methods</w:t>
      </w:r>
      <w:r w:rsidR="00427468">
        <w:rPr>
          <w:kern w:val="0"/>
        </w:rPr>
        <w:t xml:space="preserve"> of </w:t>
      </w:r>
      <w:r>
        <w:rPr>
          <w:kern w:val="0"/>
        </w:rPr>
        <w:t>the Consumers</w:t>
      </w:r>
      <w:r w:rsidR="005853A9">
        <w:rPr>
          <w:kern w:val="0"/>
        </w:rPr>
        <w:t xml:space="preserve"> and </w:t>
      </w:r>
      <w:r>
        <w:rPr>
          <w:kern w:val="0"/>
        </w:rPr>
        <w:t>Communication Review Group to combine data using MetaView, including analysis according to different levels</w:t>
      </w:r>
      <w:r w:rsidR="00427468">
        <w:rPr>
          <w:kern w:val="0"/>
        </w:rPr>
        <w:t xml:space="preserve"> of </w:t>
      </w:r>
      <w:r>
        <w:rPr>
          <w:kern w:val="0"/>
        </w:rPr>
        <w:t>detail</w:t>
      </w:r>
      <w:r w:rsidR="00427468">
        <w:rPr>
          <w:kern w:val="0"/>
        </w:rPr>
        <w:t xml:space="preserve"> of </w:t>
      </w:r>
      <w:r>
        <w:rPr>
          <w:kern w:val="0"/>
        </w:rPr>
        <w:t>personalised risk communication, different condition for screening,</w:t>
      </w:r>
      <w:r w:rsidR="005853A9">
        <w:rPr>
          <w:kern w:val="0"/>
        </w:rPr>
        <w:t xml:space="preserve"> and </w:t>
      </w:r>
      <w:r>
        <w:rPr>
          <w:kern w:val="0"/>
        </w:rPr>
        <w:t xml:space="preserve">studies based only on high risk participants rather than people at </w:t>
      </w:r>
      <w:r w:rsidR="0071223E">
        <w:rPr>
          <w:kern w:val="0"/>
        </w:rPr>
        <w:t>‘</w:t>
      </w:r>
      <w:r>
        <w:rPr>
          <w:kern w:val="0"/>
        </w:rPr>
        <w:t>average</w:t>
      </w:r>
      <w:r w:rsidR="0071223E">
        <w:rPr>
          <w:kern w:val="0"/>
        </w:rPr>
        <w:t>’</w:t>
      </w:r>
      <w:r>
        <w:rPr>
          <w:kern w:val="0"/>
        </w:rPr>
        <w:t xml:space="preserve"> risk. Main results Twenty-two studies were included, nine</w:t>
      </w:r>
      <w:r w:rsidR="00427468">
        <w:rPr>
          <w:kern w:val="0"/>
        </w:rPr>
        <w:t xml:space="preserve"> of </w:t>
      </w:r>
      <w:r>
        <w:rPr>
          <w:kern w:val="0"/>
        </w:rPr>
        <w:t>which were added in the 2006 update</w:t>
      </w:r>
      <w:r w:rsidR="00427468">
        <w:rPr>
          <w:kern w:val="0"/>
        </w:rPr>
        <w:t xml:space="preserve"> of </w:t>
      </w:r>
      <w:r>
        <w:rPr>
          <w:kern w:val="0"/>
        </w:rPr>
        <w:t>this review</w:t>
      </w:r>
      <w:r w:rsidR="00A37C1D">
        <w:rPr>
          <w:kern w:val="0"/>
        </w:rPr>
        <w:t>. The</w:t>
      </w:r>
      <w:r>
        <w:rPr>
          <w:kern w:val="0"/>
        </w:rPr>
        <w:t>re was weak evidence, consistent with a small effect, that personalised risk communication (whether written, spoken or visually presented) increases uptake</w:t>
      </w:r>
      <w:r w:rsidR="00427468">
        <w:rPr>
          <w:kern w:val="0"/>
        </w:rPr>
        <w:t xml:space="preserve"> of </w:t>
      </w:r>
      <w:r>
        <w:rPr>
          <w:kern w:val="0"/>
        </w:rPr>
        <w:t>screening tests (odds ratio (OR) 1.31 (random effects, 95% confidence interval (CI) 0.98 to 1.77). In three studies the interventions showed a trend towards more accurate risk perception (OR 1.65 (95% CI 0.96 to 2.81),</w:t>
      </w:r>
      <w:r w:rsidR="005853A9">
        <w:rPr>
          <w:kern w:val="0"/>
        </w:rPr>
        <w:t xml:space="preserve"> and </w:t>
      </w:r>
      <w:r>
        <w:rPr>
          <w:kern w:val="0"/>
        </w:rPr>
        <w:t>three other trials with heterogenous outcome measures showed improvements in knowledge with personalised risk interventions</w:t>
      </w:r>
      <w:r w:rsidR="00A37C1D">
        <w:rPr>
          <w:kern w:val="0"/>
        </w:rPr>
        <w:t>. The</w:t>
      </w:r>
      <w:r>
        <w:rPr>
          <w:kern w:val="0"/>
        </w:rPr>
        <w:t>re was little other evidence from these studies that the interventions promoted or achieved informed decision making by consumers about participation in screening. More detailed personalised risk communication may be associated with a smaller increase in uptake</w:t>
      </w:r>
      <w:r w:rsidR="00427468">
        <w:rPr>
          <w:kern w:val="0"/>
        </w:rPr>
        <w:t xml:space="preserve"> of </w:t>
      </w:r>
      <w:r>
        <w:rPr>
          <w:kern w:val="0"/>
        </w:rPr>
        <w:t>tests. That is, for personalised risk communication which used</w:t>
      </w:r>
      <w:r w:rsidR="005853A9">
        <w:rPr>
          <w:kern w:val="0"/>
        </w:rPr>
        <w:t xml:space="preserve"> and </w:t>
      </w:r>
      <w:r>
        <w:rPr>
          <w:kern w:val="0"/>
        </w:rPr>
        <w:t>presented numerical calculations</w:t>
      </w:r>
      <w:r w:rsidR="00427468">
        <w:rPr>
          <w:kern w:val="0"/>
        </w:rPr>
        <w:t xml:space="preserve"> of </w:t>
      </w:r>
      <w:r>
        <w:rPr>
          <w:kern w:val="0"/>
        </w:rPr>
        <w:t>risk, the OR for test uptake was 0.82 (95% CI 0.65 to 1.03). For risk estimates or calculations which were categorised into high, medium or low strata</w:t>
      </w:r>
      <w:r w:rsidR="00427468">
        <w:rPr>
          <w:kern w:val="0"/>
        </w:rPr>
        <w:t xml:space="preserve"> of </w:t>
      </w:r>
      <w:r>
        <w:rPr>
          <w:kern w:val="0"/>
        </w:rPr>
        <w:t>risk, the OR was 1.42 (95% CI 1.07 to 1.89). For risk communication that simply listed personal risk factors the OR was 1.42 (95% CI 0.95 to 2.12). Over half</w:t>
      </w:r>
      <w:r w:rsidR="00427468">
        <w:rPr>
          <w:kern w:val="0"/>
        </w:rPr>
        <w:t xml:space="preserve"> of </w:t>
      </w:r>
      <w:r>
        <w:rPr>
          <w:kern w:val="0"/>
        </w:rPr>
        <w:t>the included studies assessed interventions in the context</w:t>
      </w:r>
      <w:r w:rsidR="00427468">
        <w:rPr>
          <w:kern w:val="0"/>
        </w:rPr>
        <w:t xml:space="preserve"> of </w:t>
      </w:r>
      <w:r>
        <w:rPr>
          <w:kern w:val="0"/>
        </w:rPr>
        <w:t>mammography</w:t>
      </w:r>
      <w:r w:rsidR="00A37C1D">
        <w:rPr>
          <w:kern w:val="0"/>
        </w:rPr>
        <w:t>. The</w:t>
      </w:r>
      <w:r>
        <w:rPr>
          <w:kern w:val="0"/>
        </w:rPr>
        <w:t>se studies showed similar effects to the overall dataset</w:t>
      </w:r>
      <w:r w:rsidR="00A37C1D">
        <w:rPr>
          <w:kern w:val="0"/>
        </w:rPr>
        <w:t>. The</w:t>
      </w:r>
      <w:r>
        <w:rPr>
          <w:kern w:val="0"/>
        </w:rPr>
        <w:t xml:space="preserve"> five studies examining risk communication in high risk individuals (individuals at higher risk due to, for example, a family history</w:t>
      </w:r>
      <w:r w:rsidR="00427468">
        <w:rPr>
          <w:kern w:val="0"/>
        </w:rPr>
        <w:t xml:space="preserve"> of </w:t>
      </w:r>
      <w:r>
        <w:rPr>
          <w:kern w:val="0"/>
        </w:rPr>
        <w:t>breast cancer or other conditions) showed larger odds ratios for uptake</w:t>
      </w:r>
      <w:r w:rsidR="00427468">
        <w:rPr>
          <w:kern w:val="0"/>
        </w:rPr>
        <w:t xml:space="preserve"> of </w:t>
      </w:r>
      <w:r>
        <w:rPr>
          <w:kern w:val="0"/>
        </w:rPr>
        <w:t>tests than the other studies (random effects OR 1.74; 95% CI 1.05 to 2.88)</w:t>
      </w:r>
      <w:r w:rsidR="00A37C1D">
        <w:rPr>
          <w:kern w:val="0"/>
        </w:rPr>
        <w:t>. The</w:t>
      </w:r>
      <w:r>
        <w:rPr>
          <w:kern w:val="0"/>
        </w:rPr>
        <w:t>re were insufficient data from the included studies to report odds ratios on other key outcomes such as: intention to take tests, anxiety, satisfaction with decisions, decisional conflict, knowledge</w:t>
      </w:r>
      <w:r w:rsidR="005853A9">
        <w:rPr>
          <w:kern w:val="0"/>
        </w:rPr>
        <w:t xml:space="preserve"> and </w:t>
      </w:r>
      <w:r>
        <w:rPr>
          <w:kern w:val="0"/>
        </w:rPr>
        <w:t>resource use. Authors</w:t>
      </w:r>
      <w:r w:rsidR="0071223E">
        <w:rPr>
          <w:kern w:val="0"/>
        </w:rPr>
        <w:t>’</w:t>
      </w:r>
      <w:r>
        <w:rPr>
          <w:kern w:val="0"/>
        </w:rPr>
        <w:t xml:space="preserve"> conclusions Personalised risk communication </w:t>
      </w:r>
      <w:r>
        <w:rPr>
          <w:kern w:val="0"/>
        </w:rPr>
        <w:lastRenderedPageBreak/>
        <w:t>(as currently implemented in the included studies) may have a small effect on increasing uptake</w:t>
      </w:r>
      <w:r w:rsidR="00427468">
        <w:rPr>
          <w:kern w:val="0"/>
        </w:rPr>
        <w:t xml:space="preserve"> of </w:t>
      </w:r>
      <w:r>
        <w:rPr>
          <w:kern w:val="0"/>
        </w:rPr>
        <w:t>screening tests,</w:t>
      </w:r>
      <w:r w:rsidR="005853A9">
        <w:rPr>
          <w:kern w:val="0"/>
        </w:rPr>
        <w:t xml:space="preserve"> and </w:t>
      </w:r>
      <w:r>
        <w:rPr>
          <w:kern w:val="0"/>
        </w:rPr>
        <w:t>there is only limited evidence that the interventions have promoted or achieved informed decision making by consumers.</w:t>
      </w:r>
    </w:p>
    <w:p w:rsidR="00365DE4" w:rsidRDefault="00365DE4" w:rsidP="00365DE4">
      <w:pPr>
        <w:pStyle w:val="a3"/>
        <w:rPr>
          <w:kern w:val="0"/>
        </w:rPr>
      </w:pPr>
      <w:r>
        <w:rPr>
          <w:kern w:val="0"/>
        </w:rPr>
        <w:t xml:space="preserve">Keywords: African-American Women, Authors, Breast Cancer, Breast-Cancer Risk, Cancer, Cervical-Cancer, Citation, Colorectal-Cancer, Communication, Decision Making, Decision-Making, Embase, Health-Care, History, Intervention, Interventions, Involvement, Low-Income, Mammography Use, </w:t>
      </w:r>
      <w:r w:rsidR="00D5664A">
        <w:rPr>
          <w:kern w:val="0"/>
        </w:rPr>
        <w:t>MEDLINE</w:t>
      </w:r>
      <w:r>
        <w:rPr>
          <w:kern w:val="0"/>
        </w:rPr>
        <w:t>, Outcomes, Perception, Public-Health, Randomized-Trial, Review, Risk Factors, Risk Groups, Science, Science Citation Index, Screening, Search Strategy, Statistical, Statistical Methods, Strategy, Tailored Interventions, Trend</w:t>
      </w:r>
    </w:p>
    <w:p w:rsidR="00365DE4" w:rsidRDefault="00365DE4" w:rsidP="00365DE4">
      <w:pPr>
        <w:pStyle w:val="a3"/>
        <w:rPr>
          <w:kern w:val="0"/>
        </w:rPr>
      </w:pPr>
      <w:r>
        <w:rPr>
          <w:kern w:val="0"/>
        </w:rPr>
        <w:t>? Rathbone, J.</w:t>
      </w:r>
      <w:r w:rsidR="005853A9">
        <w:rPr>
          <w:kern w:val="0"/>
        </w:rPr>
        <w:t xml:space="preserve"> and </w:t>
      </w:r>
      <w:r>
        <w:rPr>
          <w:kern w:val="0"/>
        </w:rPr>
        <w:t xml:space="preserve">Soares-Weiser, K. (2006), Anticholinergics for neuroleptic-induced acute akathisia.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CD003727.</w:t>
      </w:r>
    </w:p>
    <w:p w:rsidR="00365DE4" w:rsidRDefault="00365DE4" w:rsidP="00365DE4">
      <w:pPr>
        <w:pStyle w:val="a3"/>
        <w:rPr>
          <w:kern w:val="2"/>
        </w:rPr>
      </w:pPr>
      <w:r>
        <w:t xml:space="preserve">Full Text: </w:t>
      </w:r>
      <w:hyperlink r:id="rId512" w:history="1">
        <w:r>
          <w:rPr>
            <w:rStyle w:val="a5"/>
          </w:rPr>
          <w:t>2006\Coc Dat Sys Rev2006, CD003727.pdf</w:t>
        </w:r>
      </w:hyperlink>
    </w:p>
    <w:p w:rsidR="00365DE4" w:rsidRDefault="00365DE4" w:rsidP="00365DE4">
      <w:pPr>
        <w:pStyle w:val="a3"/>
        <w:rPr>
          <w:kern w:val="0"/>
        </w:rPr>
      </w:pPr>
      <w:r>
        <w:rPr>
          <w:kern w:val="0"/>
        </w:rPr>
        <w:t>Abstract: Background Neuroleptic-induced akathisia is one</w:t>
      </w:r>
      <w:r w:rsidR="00427468">
        <w:rPr>
          <w:kern w:val="0"/>
        </w:rPr>
        <w:t xml:space="preserve"> of </w:t>
      </w:r>
      <w:r>
        <w:rPr>
          <w:kern w:val="0"/>
        </w:rPr>
        <w:t>the most common</w:t>
      </w:r>
      <w:r w:rsidR="005853A9">
        <w:rPr>
          <w:kern w:val="0"/>
        </w:rPr>
        <w:t xml:space="preserve"> and </w:t>
      </w:r>
      <w:r>
        <w:rPr>
          <w:kern w:val="0"/>
        </w:rPr>
        <w:t>distressing early-onset adverse effects</w:t>
      </w:r>
      <w:r w:rsidR="00427468">
        <w:rPr>
          <w:kern w:val="0"/>
        </w:rPr>
        <w:t xml:space="preserve"> of </w:t>
      </w:r>
      <w:r>
        <w:rPr>
          <w:kern w:val="0"/>
        </w:rPr>
        <w:t xml:space="preserve">first generation </w:t>
      </w:r>
      <w:r w:rsidR="0071223E">
        <w:rPr>
          <w:kern w:val="0"/>
        </w:rPr>
        <w:t>‘</w:t>
      </w:r>
      <w:r>
        <w:rPr>
          <w:kern w:val="0"/>
        </w:rPr>
        <w:t>typical</w:t>
      </w:r>
      <w:r w:rsidR="0071223E">
        <w:rPr>
          <w:kern w:val="0"/>
        </w:rPr>
        <w:t>’</w:t>
      </w:r>
      <w:r>
        <w:rPr>
          <w:kern w:val="0"/>
        </w:rPr>
        <w:t xml:space="preserve"> antipsychotic drugs. It is associated with poor compliance with treatment,</w:t>
      </w:r>
      <w:r w:rsidR="005853A9">
        <w:rPr>
          <w:kern w:val="0"/>
        </w:rPr>
        <w:t xml:space="preserve"> and </w:t>
      </w:r>
      <w:r>
        <w:rPr>
          <w:kern w:val="0"/>
        </w:rPr>
        <w:t>thus, ultimately, with an increased risk</w:t>
      </w:r>
      <w:r w:rsidR="00427468">
        <w:rPr>
          <w:kern w:val="0"/>
        </w:rPr>
        <w:t xml:space="preserve"> of </w:t>
      </w:r>
      <w:r>
        <w:rPr>
          <w:kern w:val="0"/>
        </w:rPr>
        <w:t>relapse. We assessed the role</w:t>
      </w:r>
      <w:r w:rsidR="00427468">
        <w:rPr>
          <w:kern w:val="0"/>
        </w:rPr>
        <w:t xml:space="preserve"> of </w:t>
      </w:r>
      <w:r>
        <w:rPr>
          <w:kern w:val="0"/>
        </w:rPr>
        <w:t>anticholinergic drugs as an adjunct therapy to standard antipsychotic medication in the pharmacological treatment</w:t>
      </w:r>
      <w:r w:rsidR="00427468">
        <w:rPr>
          <w:kern w:val="0"/>
        </w:rPr>
        <w:t xml:space="preserve"> of </w:t>
      </w:r>
      <w:r>
        <w:rPr>
          <w:kern w:val="0"/>
        </w:rPr>
        <w:t>this adverse effect. Objectives To review anticholinergic drugs for neuroleptic-induced acute akathisia. Search strategy We searched the Cochrane Schizophrenia Group</w:t>
      </w:r>
      <w:r w:rsidR="0071223E">
        <w:rPr>
          <w:kern w:val="0"/>
        </w:rPr>
        <w:t>’</w:t>
      </w:r>
      <w:r>
        <w:rPr>
          <w:kern w:val="0"/>
        </w:rPr>
        <w:t xml:space="preserve">s Register (October 1999), Biological Abstracts (1982-1999), CINAHL (1982-1999), Cochrane Library (Issue 4 1999), EMBASE (1980-1999), LILACS (1982-1999), </w:t>
      </w:r>
      <w:r w:rsidR="00D5664A">
        <w:rPr>
          <w:kern w:val="0"/>
        </w:rPr>
        <w:t>MEDLINE</w:t>
      </w:r>
      <w:r>
        <w:rPr>
          <w:kern w:val="0"/>
        </w:rPr>
        <w:t xml:space="preserve"> (1966-1999)</w:t>
      </w:r>
      <w:r w:rsidR="005853A9">
        <w:rPr>
          <w:kern w:val="0"/>
        </w:rPr>
        <w:t xml:space="preserve"> and </w:t>
      </w:r>
      <w:r>
        <w:rPr>
          <w:kern w:val="0"/>
        </w:rPr>
        <w:t>PsycLIT (1974-1999). References</w:t>
      </w:r>
      <w:r w:rsidR="00427468">
        <w:rPr>
          <w:kern w:val="0"/>
        </w:rPr>
        <w:t xml:space="preserve"> of </w:t>
      </w:r>
      <w:r>
        <w:rPr>
          <w:kern w:val="0"/>
        </w:rPr>
        <w:t>all identified studies were inspected for more trials</w:t>
      </w:r>
      <w:r w:rsidR="005853A9">
        <w:rPr>
          <w:kern w:val="0"/>
        </w:rPr>
        <w:t xml:space="preserve"> and </w:t>
      </w:r>
      <w:r>
        <w:rPr>
          <w:kern w:val="0"/>
        </w:rPr>
        <w:t>we contacted first authors. Each included study was sought as a citation on the Science Citation Index database. For this 2005-6 update, we searched the Cochrane Schizophrenia Group</w:t>
      </w:r>
      <w:r w:rsidR="0071223E">
        <w:rPr>
          <w:kern w:val="0"/>
        </w:rPr>
        <w:t>’</w:t>
      </w:r>
      <w:r>
        <w:rPr>
          <w:kern w:val="0"/>
        </w:rPr>
        <w:t>s Register (July 2005). Selection criteria We included all randomised clinical trials</w:t>
      </w:r>
      <w:r w:rsidR="00427468">
        <w:rPr>
          <w:kern w:val="0"/>
        </w:rPr>
        <w:t xml:space="preserve"> of </w:t>
      </w:r>
      <w:r>
        <w:rPr>
          <w:kern w:val="0"/>
        </w:rPr>
        <w:t>adjunctive anticholinergic drugs in addition to antipsychotic medication compared with placebo, for people with neuroleptic-induced acute akathisia. Data collection</w:t>
      </w:r>
      <w:r w:rsidR="005853A9">
        <w:rPr>
          <w:kern w:val="0"/>
        </w:rPr>
        <w:t xml:space="preserve"> and </w:t>
      </w:r>
      <w:r>
        <w:rPr>
          <w:kern w:val="0"/>
        </w:rPr>
        <w:t>analysis We quality assessed</w:t>
      </w:r>
      <w:r w:rsidR="005853A9">
        <w:rPr>
          <w:kern w:val="0"/>
        </w:rPr>
        <w:t xml:space="preserve"> and </w:t>
      </w:r>
      <w:r>
        <w:rPr>
          <w:kern w:val="0"/>
        </w:rPr>
        <w:t>extracted data independently. We calculated the fixed effects relative risk (RR), the 95% confidence intervals (CI) and, where appropriate, the number needed to treat (NNT) for homogeneous dichotomous data on an intention-to-treat basis. For continuous data, we calculated weighted mean differences (WMD). Main results We identified no relevant randomised controlled trials. Authors</w:t>
      </w:r>
      <w:r w:rsidR="0071223E">
        <w:rPr>
          <w:kern w:val="0"/>
        </w:rPr>
        <w:t>’</w:t>
      </w:r>
      <w:r>
        <w:rPr>
          <w:kern w:val="0"/>
        </w:rPr>
        <w:t xml:space="preserve"> conclusions At present, there is no reliable evidence to support or refute the use</w:t>
      </w:r>
      <w:r w:rsidR="00427468">
        <w:rPr>
          <w:kern w:val="0"/>
        </w:rPr>
        <w:t xml:space="preserve"> of </w:t>
      </w:r>
      <w:r>
        <w:rPr>
          <w:kern w:val="0"/>
        </w:rPr>
        <w:t>anticholinergics for people suffering from neuroleptic-induced acute akathisia. Akathisia is a distressing movement disorder that remains highly prevalent in people with schizophrenia, both in the developed</w:t>
      </w:r>
      <w:r w:rsidR="005853A9">
        <w:rPr>
          <w:kern w:val="0"/>
        </w:rPr>
        <w:t xml:space="preserve"> and </w:t>
      </w:r>
      <w:r>
        <w:rPr>
          <w:kern w:val="0"/>
        </w:rPr>
        <w:t xml:space="preserve">developing world. This </w:t>
      </w:r>
      <w:r>
        <w:rPr>
          <w:kern w:val="0"/>
        </w:rPr>
        <w:lastRenderedPageBreak/>
        <w:t>review highlights the need for well designed, conducted</w:t>
      </w:r>
      <w:r w:rsidR="005853A9">
        <w:rPr>
          <w:kern w:val="0"/>
        </w:rPr>
        <w:t xml:space="preserve"> and </w:t>
      </w:r>
      <w:r>
        <w:rPr>
          <w:kern w:val="0"/>
        </w:rPr>
        <w:t>reported clinical trials to address the claims</w:t>
      </w:r>
      <w:r w:rsidR="00427468">
        <w:rPr>
          <w:kern w:val="0"/>
        </w:rPr>
        <w:t xml:space="preserve"> of </w:t>
      </w:r>
      <w:r>
        <w:rPr>
          <w:kern w:val="0"/>
        </w:rPr>
        <w:t>open studies as regards the effects</w:t>
      </w:r>
      <w:r w:rsidR="00427468">
        <w:rPr>
          <w:kern w:val="0"/>
        </w:rPr>
        <w:t xml:space="preserve"> of </w:t>
      </w:r>
      <w:r>
        <w:rPr>
          <w:kern w:val="0"/>
        </w:rPr>
        <w:t>the anticholinergic group</w:t>
      </w:r>
      <w:r w:rsidR="00427468">
        <w:rPr>
          <w:kern w:val="0"/>
        </w:rPr>
        <w:t xml:space="preserve"> of </w:t>
      </w:r>
      <w:r>
        <w:rPr>
          <w:kern w:val="0"/>
        </w:rPr>
        <w:t>drugs for akathisia.</w:t>
      </w:r>
    </w:p>
    <w:p w:rsidR="00365DE4" w:rsidRDefault="00365DE4" w:rsidP="00365DE4">
      <w:pPr>
        <w:pStyle w:val="a3"/>
        <w:rPr>
          <w:kern w:val="0"/>
        </w:rPr>
      </w:pPr>
      <w:r>
        <w:rPr>
          <w:kern w:val="0"/>
        </w:rPr>
        <w:t xml:space="preserve">Keywords: Authors, Benztropine, Bias, Citation, Database, Disorder, Drugs, </w:t>
      </w:r>
      <w:r w:rsidR="00D5664A">
        <w:rPr>
          <w:kern w:val="0"/>
        </w:rPr>
        <w:t>MEDLINE</w:t>
      </w:r>
      <w:r>
        <w:rPr>
          <w:kern w:val="0"/>
        </w:rPr>
        <w:t>, Metaanalysis, Propranolol, Quality, Randomized Trials, Review, Schizophrenia, Science Citation Index, Statistics Notes, Treatment</w:t>
      </w:r>
    </w:p>
    <w:p w:rsidR="00365DE4" w:rsidRDefault="00365DE4" w:rsidP="00365DE4">
      <w:pPr>
        <w:pStyle w:val="a3"/>
        <w:rPr>
          <w:kern w:val="2"/>
        </w:rPr>
      </w:pPr>
      <w:r>
        <w:rPr>
          <w:kern w:val="0"/>
        </w:rPr>
        <w:t>? Kumar, S., Shelley, M., Harrison, C., Coles, B., Wilt, T.J.</w:t>
      </w:r>
      <w:r w:rsidR="005853A9">
        <w:rPr>
          <w:kern w:val="0"/>
        </w:rPr>
        <w:t xml:space="preserve"> and </w:t>
      </w:r>
      <w:r>
        <w:rPr>
          <w:kern w:val="0"/>
        </w:rPr>
        <w:t>Mason, M.D. (2006), Neo-adjuvant</w:t>
      </w:r>
      <w:r w:rsidR="005853A9">
        <w:rPr>
          <w:kern w:val="0"/>
        </w:rPr>
        <w:t xml:space="preserve"> and </w:t>
      </w:r>
      <w:r>
        <w:rPr>
          <w:kern w:val="0"/>
        </w:rPr>
        <w:t>adjuvant hormone therapy for localised</w:t>
      </w:r>
      <w:r w:rsidR="005853A9">
        <w:rPr>
          <w:kern w:val="0"/>
        </w:rPr>
        <w:t xml:space="preserve"> and </w:t>
      </w:r>
      <w:r>
        <w:rPr>
          <w:kern w:val="0"/>
        </w:rPr>
        <w:t xml:space="preserve">locally advanced prostate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CD006019.</w:t>
      </w:r>
    </w:p>
    <w:p w:rsidR="00365DE4" w:rsidRDefault="00365DE4" w:rsidP="00365DE4">
      <w:pPr>
        <w:pStyle w:val="a3"/>
      </w:pPr>
      <w:r>
        <w:t xml:space="preserve">Full Text: </w:t>
      </w:r>
      <w:hyperlink r:id="rId513" w:history="1">
        <w:r>
          <w:rPr>
            <w:rStyle w:val="a5"/>
          </w:rPr>
          <w:t>2006\Coc Dat Sys Rev2006, CD006019.pdf</w:t>
        </w:r>
      </w:hyperlink>
    </w:p>
    <w:p w:rsidR="00365DE4" w:rsidRDefault="00365DE4" w:rsidP="00365DE4">
      <w:pPr>
        <w:pStyle w:val="a3"/>
        <w:rPr>
          <w:kern w:val="0"/>
        </w:rPr>
      </w:pPr>
      <w:r>
        <w:rPr>
          <w:kern w:val="0"/>
        </w:rPr>
        <w:t>Abstract: Background Hormone therapy for early prostate cancer has demonstrated an improvement in clinical</w:t>
      </w:r>
      <w:r w:rsidR="005853A9">
        <w:rPr>
          <w:kern w:val="0"/>
        </w:rPr>
        <w:t xml:space="preserve"> and </w:t>
      </w:r>
      <w:r>
        <w:rPr>
          <w:kern w:val="0"/>
        </w:rPr>
        <w:t>pathological variables, but not always an improvement in overall survival. We performed a systematic review</w:t>
      </w:r>
      <w:r w:rsidR="00427468">
        <w:rPr>
          <w:kern w:val="0"/>
        </w:rPr>
        <w:t xml:space="preserve"> of </w:t>
      </w:r>
      <w:r>
        <w:rPr>
          <w:kern w:val="0"/>
        </w:rPr>
        <w:t>both adjuvant</w:t>
      </w:r>
      <w:r w:rsidR="005853A9">
        <w:rPr>
          <w:kern w:val="0"/>
        </w:rPr>
        <w:t xml:space="preserve"> and </w:t>
      </w:r>
      <w:r>
        <w:rPr>
          <w:kern w:val="0"/>
        </w:rPr>
        <w:t>neo-adjuvant hormone therapy combined with surgery or radiotherapy in localised or locally advanced prostate cancer. Objectives The objective</w:t>
      </w:r>
      <w:r w:rsidR="00427468">
        <w:rPr>
          <w:kern w:val="0"/>
        </w:rPr>
        <w:t xml:space="preserve"> of </w:t>
      </w:r>
      <w:r>
        <w:rPr>
          <w:kern w:val="0"/>
        </w:rPr>
        <w:t>this review was to undertake a systematic review and, if possible, a meta-analysis</w:t>
      </w:r>
      <w:r w:rsidR="00427468">
        <w:rPr>
          <w:kern w:val="0"/>
        </w:rPr>
        <w:t xml:space="preserve"> of </w:t>
      </w:r>
      <w:r>
        <w:rPr>
          <w:kern w:val="0"/>
        </w:rPr>
        <w:t>neo-adjuvant</w:t>
      </w:r>
      <w:r w:rsidR="005853A9">
        <w:rPr>
          <w:kern w:val="0"/>
        </w:rPr>
        <w:t xml:space="preserve"> and </w:t>
      </w:r>
      <w:r>
        <w:rPr>
          <w:kern w:val="0"/>
        </w:rPr>
        <w:t xml:space="preserve">adjuvant hormone therapy in localised or locally advanced prostate cancer. Search strategy We searched </w:t>
      </w:r>
      <w:r w:rsidR="00D5664A">
        <w:rPr>
          <w:kern w:val="0"/>
        </w:rPr>
        <w:t>MEDLINE</w:t>
      </w:r>
      <w:r>
        <w:rPr>
          <w:kern w:val="0"/>
        </w:rPr>
        <w:t xml:space="preserve"> (1966-2006), EMBASE, The Cochrane Library, Science Citation Index, LILACS,</w:t>
      </w:r>
      <w:r w:rsidR="005853A9">
        <w:rPr>
          <w:kern w:val="0"/>
        </w:rPr>
        <w:t xml:space="preserve"> and </w:t>
      </w:r>
      <w:r>
        <w:rPr>
          <w:kern w:val="0"/>
        </w:rPr>
        <w:t>SIGLE for relevant randomised trials. Handsearching</w:t>
      </w:r>
      <w:r w:rsidR="00427468">
        <w:rPr>
          <w:kern w:val="0"/>
        </w:rPr>
        <w:t xml:space="preserve"> of </w:t>
      </w:r>
      <w:r>
        <w:rPr>
          <w:kern w:val="0"/>
        </w:rPr>
        <w:t>appropriate publications was also undertaken. Selection criteria Randomised or quasi-randomised controlled trials</w:t>
      </w:r>
      <w:r w:rsidR="00427468">
        <w:rPr>
          <w:kern w:val="0"/>
        </w:rPr>
        <w:t xml:space="preserve"> of </w:t>
      </w:r>
      <w:r>
        <w:rPr>
          <w:kern w:val="0"/>
        </w:rPr>
        <w:t>patients with localised or locally advanced prostate cancer, that is, stages T1-T4, any N, M0, comparing neo-adjuvant or adjuvant hormonal deprivation in combination with primary therapy (radical radiotherapy or radical prostatectomy) versus primary therapy alone were included in this review. Data collection</w:t>
      </w:r>
      <w:r w:rsidR="005853A9">
        <w:rPr>
          <w:kern w:val="0"/>
        </w:rPr>
        <w:t xml:space="preserve"> and </w:t>
      </w:r>
      <w:r>
        <w:rPr>
          <w:kern w:val="0"/>
        </w:rPr>
        <w:t>analysis Data were extracted from eligible studies</w:t>
      </w:r>
      <w:r w:rsidR="005853A9">
        <w:rPr>
          <w:kern w:val="0"/>
        </w:rPr>
        <w:t xml:space="preserve"> and </w:t>
      </w:r>
      <w:r>
        <w:rPr>
          <w:kern w:val="0"/>
        </w:rPr>
        <w:t>assessed for quality,</w:t>
      </w:r>
      <w:r w:rsidR="005853A9">
        <w:rPr>
          <w:kern w:val="0"/>
        </w:rPr>
        <w:t xml:space="preserve"> and </w:t>
      </w:r>
      <w:r>
        <w:rPr>
          <w:kern w:val="0"/>
        </w:rPr>
        <w:t>included information on study design, participants, interventions,</w:t>
      </w:r>
      <w:r w:rsidR="005853A9">
        <w:rPr>
          <w:kern w:val="0"/>
        </w:rPr>
        <w:t xml:space="preserve"> and </w:t>
      </w:r>
      <w:r>
        <w:rPr>
          <w:kern w:val="0"/>
        </w:rPr>
        <w:t>outcomes. Comparable data were pooled together for meta-analysis with intention-to treat principle. Main results Men with prostate cancer have different clinical outcomes based on their risk (T1 - T2, T3 - T4, PSA levels</w:t>
      </w:r>
      <w:r w:rsidR="005853A9">
        <w:rPr>
          <w:kern w:val="0"/>
        </w:rPr>
        <w:t xml:space="preserve"> and </w:t>
      </w:r>
      <w:r>
        <w:rPr>
          <w:kern w:val="0"/>
        </w:rPr>
        <w:t>Gleason score). However, the majority</w:t>
      </w:r>
      <w:r w:rsidR="00427468">
        <w:rPr>
          <w:kern w:val="0"/>
        </w:rPr>
        <w:t xml:space="preserve"> of </w:t>
      </w:r>
      <w:r>
        <w:rPr>
          <w:kern w:val="0"/>
        </w:rPr>
        <w:t>studies included in this review did not report results by risk groups; therefore, it was not possible to perform sub-group analysis. Neo-adjuvant hormonal therapy prior to prostatectomy did not improve overall survival (OR 1.11, 95% CI 0.67 to 1.85, P = 0.69). However, there was a significant reduction in the positive surgical margin rate (OR 0.34, 95% CI 0.27 to 0.42, P &lt; 0.00001)</w:t>
      </w:r>
      <w:r w:rsidR="005853A9">
        <w:rPr>
          <w:kern w:val="0"/>
        </w:rPr>
        <w:t xml:space="preserve"> and </w:t>
      </w:r>
      <w:r>
        <w:rPr>
          <w:kern w:val="0"/>
        </w:rPr>
        <w:t>a significant improvement in other pathological variables such as lymph node involvement, pathological staging</w:t>
      </w:r>
      <w:r w:rsidR="005853A9">
        <w:rPr>
          <w:kern w:val="0"/>
        </w:rPr>
        <w:t xml:space="preserve"> and </w:t>
      </w:r>
      <w:r>
        <w:rPr>
          <w:kern w:val="0"/>
        </w:rPr>
        <w:t>organ confined rates</w:t>
      </w:r>
      <w:r w:rsidR="00A37C1D">
        <w:rPr>
          <w:kern w:val="0"/>
        </w:rPr>
        <w:t>. The</w:t>
      </w:r>
      <w:r>
        <w:rPr>
          <w:kern w:val="0"/>
        </w:rPr>
        <w:t>re was a borderline significant reduction</w:t>
      </w:r>
      <w:r w:rsidR="00427468">
        <w:rPr>
          <w:kern w:val="0"/>
        </w:rPr>
        <w:t xml:space="preserve"> of </w:t>
      </w:r>
      <w:r>
        <w:rPr>
          <w:kern w:val="0"/>
        </w:rPr>
        <w:t>disease recurrence rates (OR 0.74, 95% CI 0.55 to 1.0, P = 0.05), in favour</w:t>
      </w:r>
      <w:r w:rsidR="00427468">
        <w:rPr>
          <w:kern w:val="0"/>
        </w:rPr>
        <w:t xml:space="preserve"> of </w:t>
      </w:r>
      <w:r>
        <w:rPr>
          <w:kern w:val="0"/>
        </w:rPr>
        <w:t>treatment</w:t>
      </w:r>
      <w:r w:rsidR="00A37C1D">
        <w:rPr>
          <w:kern w:val="0"/>
        </w:rPr>
        <w:t>. The</w:t>
      </w:r>
      <w:r>
        <w:rPr>
          <w:kern w:val="0"/>
        </w:rPr>
        <w:t xml:space="preserve"> use</w:t>
      </w:r>
      <w:r w:rsidR="00427468">
        <w:rPr>
          <w:kern w:val="0"/>
        </w:rPr>
        <w:t xml:space="preserve"> of </w:t>
      </w:r>
      <w:r>
        <w:rPr>
          <w:kern w:val="0"/>
        </w:rPr>
        <w:t>longer duration</w:t>
      </w:r>
      <w:r w:rsidR="00427468">
        <w:rPr>
          <w:kern w:val="0"/>
        </w:rPr>
        <w:t xml:space="preserve"> of </w:t>
      </w:r>
      <w:r>
        <w:rPr>
          <w:kern w:val="0"/>
        </w:rPr>
        <w:lastRenderedPageBreak/>
        <w:t>neo-adjuvant hormones, that is either 6 or 8 months prior to prostatectomy, was associated with a significant reduction in positive surgical margins (OR 0.56, 95% CI 0.39 to 0.80, P = 0.002). In one study, neo-adjuvant hormones prior to radiotherapy significantly improved overall survival for Gleason 2 to 6 patients; although, in two studies, there was no improvement in disease-specific survival (OR 0.99, 95% CI 0.75 to 1.32, P = 0.97). However, there was a significant improvement in both clinical disease-free survival (OR 1.86, 95% CI 1.93 to 2.40, P &lt; 0.00001)</w:t>
      </w:r>
      <w:r w:rsidR="005853A9">
        <w:rPr>
          <w:kern w:val="0"/>
        </w:rPr>
        <w:t xml:space="preserve"> and </w:t>
      </w:r>
      <w:r>
        <w:rPr>
          <w:kern w:val="0"/>
        </w:rPr>
        <w:t>biochemical disease-free survival (OR 1.93, 95% CI 1.45 to 2.56, P &lt; 0.00001). Adjuvant androgen deprivation following prostatectomy did not significantly improve overall survival at 5 years (OR 1.50, 95% CI 0.79 to 2.85, P = 0.2); although one study reported a significant disease-specific survival advantage with adjuvant therapy (P = 0.001). In addition, there was a significant improvement in disease-free survival at both 5 years (OR 3.73, 95% CI 2.30 to 6.03, P &lt; 0.00001)</w:t>
      </w:r>
      <w:r w:rsidR="005853A9">
        <w:rPr>
          <w:kern w:val="0"/>
        </w:rPr>
        <w:t xml:space="preserve"> and </w:t>
      </w:r>
      <w:r>
        <w:rPr>
          <w:kern w:val="0"/>
        </w:rPr>
        <w:t>10 years (OR 2.06, 95% CI 1.34 to 3.15, P = 0.0009). Adjuvant therapy following radiotherapy resulted in a significant overall survival gain apparent at 5 (OR 1.46, 95% CI 1.17 to 1.83, P = 0.0009)</w:t>
      </w:r>
      <w:r w:rsidR="005853A9">
        <w:rPr>
          <w:kern w:val="0"/>
        </w:rPr>
        <w:t xml:space="preserve"> and </w:t>
      </w:r>
      <w:r>
        <w:rPr>
          <w:kern w:val="0"/>
        </w:rPr>
        <w:t>10 years (OR 1.44, 95% CI 1.13 to 1.84, P = 0.003); although there was significant heterogeneity (P = 0.09</w:t>
      </w:r>
      <w:r w:rsidR="005853A9">
        <w:rPr>
          <w:kern w:val="0"/>
        </w:rPr>
        <w:t xml:space="preserve"> and </w:t>
      </w:r>
      <w:r>
        <w:rPr>
          <w:kern w:val="0"/>
        </w:rPr>
        <w:t>P = 0.07, respectively)</w:t>
      </w:r>
      <w:r w:rsidR="00A37C1D">
        <w:rPr>
          <w:kern w:val="0"/>
        </w:rPr>
        <w:t>. The</w:t>
      </w:r>
      <w:r>
        <w:rPr>
          <w:kern w:val="0"/>
        </w:rPr>
        <w:t>re was also a significant improvement in disease-specific survival (OR 2.10, 95% CI 1.53 to 2.88, P = 0.00001)</w:t>
      </w:r>
      <w:r w:rsidR="005853A9">
        <w:rPr>
          <w:kern w:val="0"/>
        </w:rPr>
        <w:t xml:space="preserve"> and </w:t>
      </w:r>
      <w:r>
        <w:rPr>
          <w:kern w:val="0"/>
        </w:rPr>
        <w:t>disease-free survival (OR 2.53, 95% CI 2.05 to 3.12, P &lt; 0.00001) at 5 years. Authors</w:t>
      </w:r>
      <w:r w:rsidR="0071223E">
        <w:rPr>
          <w:kern w:val="0"/>
        </w:rPr>
        <w:t>’</w:t>
      </w:r>
      <w:r>
        <w:rPr>
          <w:kern w:val="0"/>
        </w:rPr>
        <w:t xml:space="preserve"> conclusions Hormone therapy combined with either prostatectomy or radiotherapy is associated with significant clinical benefits in patients with local or locally advanced prostate cancer. Significant local control may be achieved when given prior to prostatectomy or radiotherapy, which may improve patient</w:t>
      </w:r>
      <w:r w:rsidR="0071223E">
        <w:rPr>
          <w:kern w:val="0"/>
        </w:rPr>
        <w:t>’</w:t>
      </w:r>
      <w:r>
        <w:rPr>
          <w:kern w:val="0"/>
        </w:rPr>
        <w:t>s quality</w:t>
      </w:r>
      <w:r w:rsidR="00427468">
        <w:rPr>
          <w:kern w:val="0"/>
        </w:rPr>
        <w:t xml:space="preserve"> of </w:t>
      </w:r>
      <w:r>
        <w:rPr>
          <w:kern w:val="0"/>
        </w:rPr>
        <w:t>life. When given adjuvant to these primary therapies, hormone therapy, not only provides a method for local control, but there is also evidence for a significant survival advantage. However, hormone therapy is associated with significant side effects, such as hot flushes</w:t>
      </w:r>
      <w:r w:rsidR="005853A9">
        <w:rPr>
          <w:kern w:val="0"/>
        </w:rPr>
        <w:t xml:space="preserve"> and </w:t>
      </w:r>
      <w:r>
        <w:rPr>
          <w:kern w:val="0"/>
        </w:rPr>
        <w:t>gynaecomastia, as well as cost implications</w:t>
      </w:r>
      <w:r w:rsidR="00A37C1D">
        <w:rPr>
          <w:kern w:val="0"/>
        </w:rPr>
        <w:t>. The</w:t>
      </w:r>
      <w:r>
        <w:rPr>
          <w:kern w:val="0"/>
        </w:rPr>
        <w:t xml:space="preserve"> decision to use hormone therapy should, therefore, be taken at a local level, between the patient, clinician</w:t>
      </w:r>
      <w:r w:rsidR="005853A9">
        <w:rPr>
          <w:kern w:val="0"/>
        </w:rPr>
        <w:t xml:space="preserve"> and </w:t>
      </w:r>
      <w:r>
        <w:rPr>
          <w:kern w:val="0"/>
        </w:rPr>
        <w:t>policy maker, taking into account the clinical benefits, toxicity</w:t>
      </w:r>
      <w:r w:rsidR="005853A9">
        <w:rPr>
          <w:kern w:val="0"/>
        </w:rPr>
        <w:t xml:space="preserve"> and </w:t>
      </w:r>
      <w:r>
        <w:rPr>
          <w:kern w:val="0"/>
        </w:rPr>
        <w:t>cost. More research is needed to guide the choice, the duration,</w:t>
      </w:r>
      <w:r w:rsidR="005853A9">
        <w:rPr>
          <w:kern w:val="0"/>
        </w:rPr>
        <w:t xml:space="preserve"> and </w:t>
      </w:r>
      <w:r>
        <w:rPr>
          <w:kern w:val="0"/>
        </w:rPr>
        <w:t>the schedule</w:t>
      </w:r>
      <w:r w:rsidR="00427468">
        <w:rPr>
          <w:kern w:val="0"/>
        </w:rPr>
        <w:t xml:space="preserve"> of </w:t>
      </w:r>
      <w:r>
        <w:rPr>
          <w:kern w:val="0"/>
        </w:rPr>
        <w:t>hormonal deprivation therapy,</w:t>
      </w:r>
      <w:r w:rsidR="005853A9">
        <w:rPr>
          <w:kern w:val="0"/>
        </w:rPr>
        <w:t xml:space="preserve"> and </w:t>
      </w:r>
      <w:r>
        <w:rPr>
          <w:kern w:val="0"/>
        </w:rPr>
        <w:t>the impact</w:t>
      </w:r>
      <w:r w:rsidR="00427468">
        <w:rPr>
          <w:kern w:val="0"/>
        </w:rPr>
        <w:t xml:space="preserve"> of </w:t>
      </w:r>
      <w:r>
        <w:rPr>
          <w:kern w:val="0"/>
        </w:rPr>
        <w:t>long-term hormone therapy with regard to toxicity</w:t>
      </w:r>
      <w:r w:rsidR="005853A9">
        <w:rPr>
          <w:kern w:val="0"/>
        </w:rPr>
        <w:t xml:space="preserve"> and </w:t>
      </w:r>
      <w:r>
        <w:rPr>
          <w:kern w:val="0"/>
        </w:rPr>
        <w:t>the patient</w:t>
      </w:r>
      <w:r w:rsidR="0071223E">
        <w:rPr>
          <w:kern w:val="0"/>
        </w:rPr>
        <w:t>’</w:t>
      </w:r>
      <w:r>
        <w:rPr>
          <w:kern w:val="0"/>
        </w:rPr>
        <w:t>s quality</w:t>
      </w:r>
      <w:r w:rsidR="00427468">
        <w:rPr>
          <w:kern w:val="0"/>
        </w:rPr>
        <w:t xml:space="preserve"> of </w:t>
      </w:r>
      <w:r>
        <w:rPr>
          <w:kern w:val="0"/>
        </w:rPr>
        <w:t>life.</w:t>
      </w:r>
    </w:p>
    <w:p w:rsidR="00365DE4" w:rsidRDefault="00365DE4" w:rsidP="00365DE4">
      <w:pPr>
        <w:pStyle w:val="a3"/>
        <w:rPr>
          <w:kern w:val="0"/>
        </w:rPr>
      </w:pPr>
      <w:r>
        <w:rPr>
          <w:kern w:val="0"/>
        </w:rPr>
        <w:t xml:space="preserve">Keywords: Adjuvant, Authors, Beam Radiation-Therapy, Bicalutamide 150 Mg, Cancer, Citation, Combined Androgen Blockade, Comparing Radical Prostatectomy, Criteria, Groups, Heterogeneity, Hormones, Impact, Local, Median Follow-up, </w:t>
      </w:r>
      <w:r w:rsidR="00D5664A">
        <w:rPr>
          <w:kern w:val="0"/>
        </w:rPr>
        <w:t>MEDLINE</w:t>
      </w:r>
      <w:r>
        <w:rPr>
          <w:kern w:val="0"/>
        </w:rPr>
        <w:t xml:space="preserve">, Meta-Analysis, Outcomes, Phase-III Trial, Positive, Primary, Prospective Randomized-Trial, Publications, Reduction, Research, Resection Margin Status, Review, Risk, Science, Science Citation Index, Study Design, Suppression Plus </w:t>
      </w:r>
      <w:r>
        <w:rPr>
          <w:kern w:val="0"/>
        </w:rPr>
        <w:lastRenderedPageBreak/>
        <w:t>Radiation, Surgery, Systematic Review, Therapy, Toxicity, Treatment, Unfavorable-Prognosis Carcinoma</w:t>
      </w:r>
    </w:p>
    <w:p w:rsidR="00365DE4" w:rsidRDefault="00365DE4" w:rsidP="00365DE4">
      <w:pPr>
        <w:pStyle w:val="a3"/>
        <w:rPr>
          <w:kern w:val="2"/>
        </w:rPr>
      </w:pPr>
      <w:r>
        <w:rPr>
          <w:kern w:val="0"/>
        </w:rPr>
        <w:t>? Zachos, M., Tondeur, M.</w:t>
      </w:r>
      <w:r w:rsidR="005853A9">
        <w:rPr>
          <w:kern w:val="0"/>
        </w:rPr>
        <w:t xml:space="preserve"> and </w:t>
      </w:r>
      <w:r>
        <w:rPr>
          <w:kern w:val="0"/>
        </w:rPr>
        <w:t>Griffiths, A.M. (2007), Enteral nutritional therapy for induction</w:t>
      </w:r>
      <w:r w:rsidR="00427468">
        <w:rPr>
          <w:kern w:val="0"/>
        </w:rPr>
        <w:t xml:space="preserve"> of </w:t>
      </w:r>
      <w:r>
        <w:rPr>
          <w:kern w:val="0"/>
        </w:rPr>
        <w:t>remission in Crohn</w:t>
      </w:r>
      <w:r w:rsidR="0071223E">
        <w:rPr>
          <w:kern w:val="0"/>
        </w:rPr>
        <w:t>’</w:t>
      </w:r>
      <w:r>
        <w:rPr>
          <w:kern w:val="0"/>
        </w:rPr>
        <w:t xml:space="preserve">s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CD000542.</w:t>
      </w:r>
    </w:p>
    <w:p w:rsidR="00365DE4" w:rsidRDefault="00365DE4" w:rsidP="00365DE4">
      <w:pPr>
        <w:pStyle w:val="a3"/>
      </w:pPr>
      <w:r>
        <w:t xml:space="preserve">Full Text: </w:t>
      </w:r>
      <w:hyperlink r:id="rId514" w:history="1">
        <w:r>
          <w:rPr>
            <w:rStyle w:val="a5"/>
          </w:rPr>
          <w:t>2007\Coc Dat Sys Rev2007, CD000542.pdf</w:t>
        </w:r>
      </w:hyperlink>
    </w:p>
    <w:p w:rsidR="00365DE4" w:rsidRDefault="00365DE4" w:rsidP="00365DE4">
      <w:pPr>
        <w:pStyle w:val="a3"/>
        <w:rPr>
          <w:kern w:val="0"/>
        </w:rPr>
      </w:pPr>
      <w:r>
        <w:rPr>
          <w:kern w:val="0"/>
        </w:rPr>
        <w:t>Abstract: Background The role</w:t>
      </w:r>
      <w:r w:rsidR="00427468">
        <w:rPr>
          <w:kern w:val="0"/>
        </w:rPr>
        <w:t xml:space="preserve"> of </w:t>
      </w:r>
      <w:r>
        <w:rPr>
          <w:kern w:val="0"/>
        </w:rPr>
        <w:t>enteral nutrition in Crohn</w:t>
      </w:r>
      <w:r w:rsidR="0071223E">
        <w:rPr>
          <w:kern w:val="0"/>
        </w:rPr>
        <w:t>’</w:t>
      </w:r>
      <w:r>
        <w:rPr>
          <w:kern w:val="0"/>
        </w:rPr>
        <w:t>s disease is controversial. Increasing research on the mechanisms by which nutritional therapy improves the clinical well being</w:t>
      </w:r>
      <w:r w:rsidR="00427468">
        <w:rPr>
          <w:kern w:val="0"/>
        </w:rPr>
        <w:t xml:space="preserve"> of </w:t>
      </w:r>
      <w:r>
        <w:rPr>
          <w:kern w:val="0"/>
        </w:rPr>
        <w:t>patients with Crohn</w:t>
      </w:r>
      <w:r w:rsidR="0071223E">
        <w:rPr>
          <w:kern w:val="0"/>
        </w:rPr>
        <w:t>’</w:t>
      </w:r>
      <w:r>
        <w:rPr>
          <w:kern w:val="0"/>
        </w:rPr>
        <w:t>s disease has led to novel formula design</w:t>
      </w:r>
      <w:r w:rsidR="005853A9">
        <w:rPr>
          <w:kern w:val="0"/>
        </w:rPr>
        <w:t xml:space="preserve"> and </w:t>
      </w:r>
      <w:r>
        <w:rPr>
          <w:kern w:val="0"/>
        </w:rPr>
        <w:t>trials comparing two different forms</w:t>
      </w:r>
      <w:r w:rsidR="00427468">
        <w:rPr>
          <w:kern w:val="0"/>
        </w:rPr>
        <w:t xml:space="preserve"> of </w:t>
      </w:r>
      <w:r>
        <w:rPr>
          <w:kern w:val="0"/>
        </w:rPr>
        <w:t>enteral nutrition. This meta-analysis aims to provide an update on the existing effectiveness data for both corticosteroids versus enteral nutrition</w:t>
      </w:r>
      <w:r w:rsidR="005853A9">
        <w:rPr>
          <w:kern w:val="0"/>
        </w:rPr>
        <w:t xml:space="preserve"> and </w:t>
      </w:r>
      <w:r>
        <w:rPr>
          <w:kern w:val="0"/>
        </w:rPr>
        <w:t>for one form</w:t>
      </w:r>
      <w:r w:rsidR="00427468">
        <w:rPr>
          <w:kern w:val="0"/>
        </w:rPr>
        <w:t xml:space="preserve"> of </w:t>
      </w:r>
      <w:r>
        <w:rPr>
          <w:kern w:val="0"/>
        </w:rPr>
        <w:t>enteral nutrition versus another for inducing remission</w:t>
      </w:r>
      <w:r w:rsidR="00427468">
        <w:rPr>
          <w:kern w:val="0"/>
        </w:rPr>
        <w:t xml:space="preserve"> of </w:t>
      </w:r>
      <w:r>
        <w:rPr>
          <w:kern w:val="0"/>
        </w:rPr>
        <w:t>active Crohn</w:t>
      </w:r>
      <w:r w:rsidR="0071223E">
        <w:rPr>
          <w:kern w:val="0"/>
        </w:rPr>
        <w:t>’</w:t>
      </w:r>
      <w:r>
        <w:rPr>
          <w:kern w:val="0"/>
        </w:rPr>
        <w:t>s disease.</w:t>
      </w:r>
    </w:p>
    <w:p w:rsidR="00365DE4" w:rsidRDefault="00365DE4" w:rsidP="00365DE4">
      <w:pPr>
        <w:pStyle w:val="a3"/>
        <w:rPr>
          <w:kern w:val="0"/>
        </w:rPr>
      </w:pPr>
      <w:r>
        <w:rPr>
          <w:kern w:val="0"/>
        </w:rPr>
        <w:t>Objectives To evaluate the effectiveness</w:t>
      </w:r>
      <w:r w:rsidR="00427468">
        <w:rPr>
          <w:kern w:val="0"/>
        </w:rPr>
        <w:t xml:space="preserve"> of </w:t>
      </w:r>
      <w:r>
        <w:rPr>
          <w:kern w:val="0"/>
        </w:rPr>
        <w:t>exclusive enteral nutrition (EN) as primary therapy to induce remission in Crohn</w:t>
      </w:r>
      <w:r w:rsidR="0071223E">
        <w:rPr>
          <w:kern w:val="0"/>
        </w:rPr>
        <w:t>’</w:t>
      </w:r>
      <w:r>
        <w:rPr>
          <w:kern w:val="0"/>
        </w:rPr>
        <w:t>s disease</w:t>
      </w:r>
      <w:r w:rsidR="005853A9">
        <w:rPr>
          <w:kern w:val="0"/>
        </w:rPr>
        <w:t xml:space="preserve"> and </w:t>
      </w:r>
      <w:r>
        <w:rPr>
          <w:kern w:val="0"/>
        </w:rPr>
        <w:t>to examine the importance</w:t>
      </w:r>
      <w:r w:rsidR="00427468">
        <w:rPr>
          <w:kern w:val="0"/>
        </w:rPr>
        <w:t xml:space="preserve"> of </w:t>
      </w:r>
      <w:r>
        <w:rPr>
          <w:kern w:val="0"/>
        </w:rPr>
        <w:t>formula composition on effectiveness.</w:t>
      </w:r>
    </w:p>
    <w:p w:rsidR="00365DE4" w:rsidRDefault="00365DE4" w:rsidP="00365DE4">
      <w:pPr>
        <w:pStyle w:val="a3"/>
        <w:rPr>
          <w:kern w:val="0"/>
        </w:rPr>
      </w:pPr>
      <w:r>
        <w:rPr>
          <w:kern w:val="0"/>
        </w:rPr>
        <w:t>Search strategy Studies were selected using a computer-assisted search</w:t>
      </w:r>
      <w:r w:rsidR="00427468">
        <w:rPr>
          <w:kern w:val="0"/>
        </w:rPr>
        <w:t xml:space="preserve"> of </w:t>
      </w:r>
      <w:r>
        <w:rPr>
          <w:kern w:val="0"/>
        </w:rPr>
        <w:t xml:space="preserve">the on-line bibliographic databases </w:t>
      </w:r>
      <w:r w:rsidR="00D5664A">
        <w:rPr>
          <w:kern w:val="0"/>
        </w:rPr>
        <w:t>MEDLINE</w:t>
      </w:r>
      <w:r>
        <w:rPr>
          <w:kern w:val="0"/>
        </w:rPr>
        <w:t xml:space="preserve"> (1966-2006)</w:t>
      </w:r>
      <w:r w:rsidR="005853A9">
        <w:rPr>
          <w:kern w:val="0"/>
        </w:rPr>
        <w:t xml:space="preserve"> and </w:t>
      </w:r>
      <w:r>
        <w:rPr>
          <w:kern w:val="0"/>
        </w:rPr>
        <w:t xml:space="preserve">EMBASE (1984-2006), as well as the Science Citation Index on </w:t>
      </w:r>
      <w:r w:rsidR="00D5664A">
        <w:rPr>
          <w:kern w:val="0"/>
        </w:rPr>
        <w:t>Web</w:t>
      </w:r>
      <w:r w:rsidR="00427468">
        <w:rPr>
          <w:kern w:val="0"/>
        </w:rPr>
        <w:t xml:space="preserve"> of </w:t>
      </w:r>
      <w:r w:rsidR="00D5664A">
        <w:rPr>
          <w:kern w:val="0"/>
        </w:rPr>
        <w:t>Science</w:t>
      </w:r>
      <w:r>
        <w:rPr>
          <w:kern w:val="0"/>
        </w:rPr>
        <w:t>. Additional citations were sought by manual search</w:t>
      </w:r>
      <w:r w:rsidR="00427468">
        <w:rPr>
          <w:kern w:val="0"/>
        </w:rPr>
        <w:t xml:space="preserve"> of </w:t>
      </w:r>
      <w:r>
        <w:rPr>
          <w:kern w:val="0"/>
        </w:rPr>
        <w:t>references</w:t>
      </w:r>
      <w:r w:rsidR="00427468">
        <w:rPr>
          <w:kern w:val="0"/>
        </w:rPr>
        <w:t xml:space="preserve"> of </w:t>
      </w:r>
      <w:r>
        <w:rPr>
          <w:kern w:val="0"/>
        </w:rPr>
        <w:t>articles retrieved from the computerized search, abstracts submitted to major gastroenterologic meetings</w:t>
      </w:r>
      <w:r w:rsidR="005853A9">
        <w:rPr>
          <w:kern w:val="0"/>
        </w:rPr>
        <w:t xml:space="preserve"> and </w:t>
      </w:r>
      <w:r>
        <w:rPr>
          <w:kern w:val="0"/>
        </w:rPr>
        <w:t>published in the journals: American Journal</w:t>
      </w:r>
      <w:r w:rsidR="00427468">
        <w:rPr>
          <w:kern w:val="0"/>
        </w:rPr>
        <w:t xml:space="preserve"> of </w:t>
      </w:r>
      <w:r>
        <w:rPr>
          <w:kern w:val="0"/>
        </w:rPr>
        <w:t>Gastroenterology, Gut, Gastroenterology, Journal</w:t>
      </w:r>
      <w:r w:rsidR="00427468">
        <w:rPr>
          <w:kern w:val="0"/>
        </w:rPr>
        <w:t xml:space="preserve"> of </w:t>
      </w:r>
      <w:r>
        <w:rPr>
          <w:kern w:val="0"/>
        </w:rPr>
        <w:t>Pediatric Gastroenterology</w:t>
      </w:r>
      <w:r w:rsidR="005853A9">
        <w:rPr>
          <w:kern w:val="0"/>
        </w:rPr>
        <w:t xml:space="preserve"> and </w:t>
      </w:r>
      <w:r>
        <w:rPr>
          <w:kern w:val="0"/>
        </w:rPr>
        <w:t>Nutrition,</w:t>
      </w:r>
      <w:r w:rsidR="005853A9">
        <w:rPr>
          <w:kern w:val="0"/>
        </w:rPr>
        <w:t xml:space="preserve"> and </w:t>
      </w:r>
      <w:r>
        <w:rPr>
          <w:kern w:val="0"/>
        </w:rPr>
        <w:t>Journal</w:t>
      </w:r>
      <w:r w:rsidR="00427468">
        <w:rPr>
          <w:kern w:val="0"/>
        </w:rPr>
        <w:t xml:space="preserve"> of </w:t>
      </w:r>
      <w:r>
        <w:rPr>
          <w:kern w:val="0"/>
        </w:rPr>
        <w:t>Parenteral</w:t>
      </w:r>
      <w:r w:rsidR="005853A9">
        <w:rPr>
          <w:kern w:val="0"/>
        </w:rPr>
        <w:t xml:space="preserve"> and </w:t>
      </w:r>
      <w:r>
        <w:rPr>
          <w:kern w:val="0"/>
        </w:rPr>
        <w:t>Enteral Nutrition,</w:t>
      </w:r>
      <w:r w:rsidR="005853A9">
        <w:rPr>
          <w:kern w:val="0"/>
        </w:rPr>
        <w:t xml:space="preserve"> and </w:t>
      </w:r>
      <w:r>
        <w:rPr>
          <w:kern w:val="0"/>
        </w:rPr>
        <w:t>from the reviewers</w:t>
      </w:r>
      <w:r w:rsidR="0071223E">
        <w:rPr>
          <w:kern w:val="0"/>
        </w:rPr>
        <w:t>’</w:t>
      </w:r>
      <w:r>
        <w:rPr>
          <w:kern w:val="0"/>
        </w:rPr>
        <w:t xml:space="preserve"> personal files or contact with leaders in the field.</w:t>
      </w:r>
    </w:p>
    <w:p w:rsidR="00365DE4" w:rsidRDefault="00365DE4" w:rsidP="00365DE4">
      <w:pPr>
        <w:pStyle w:val="a3"/>
        <w:rPr>
          <w:kern w:val="0"/>
        </w:rPr>
      </w:pPr>
      <w:r>
        <w:rPr>
          <w:kern w:val="0"/>
        </w:rPr>
        <w:t>Selection criteria All randomized</w:t>
      </w:r>
      <w:r w:rsidR="005853A9">
        <w:rPr>
          <w:kern w:val="0"/>
        </w:rPr>
        <w:t xml:space="preserve"> and </w:t>
      </w:r>
      <w:r>
        <w:rPr>
          <w:kern w:val="0"/>
        </w:rPr>
        <w:t>quasi-randomized controlled trials involving patients with active Crohn</w:t>
      </w:r>
      <w:r w:rsidR="0071223E">
        <w:rPr>
          <w:kern w:val="0"/>
        </w:rPr>
        <w:t>’</w:t>
      </w:r>
      <w:r>
        <w:rPr>
          <w:kern w:val="0"/>
        </w:rPr>
        <w:t>s disease defined by a clinical disease activity index were considered for review. Studies evaluating the administration</w:t>
      </w:r>
      <w:r w:rsidR="00427468">
        <w:rPr>
          <w:kern w:val="0"/>
        </w:rPr>
        <w:t xml:space="preserve"> of </w:t>
      </w:r>
      <w:r>
        <w:rPr>
          <w:kern w:val="0"/>
        </w:rPr>
        <w:t>one type</w:t>
      </w:r>
      <w:r w:rsidR="00427468">
        <w:rPr>
          <w:kern w:val="0"/>
        </w:rPr>
        <w:t xml:space="preserve"> of </w:t>
      </w:r>
      <w:r>
        <w:rPr>
          <w:kern w:val="0"/>
        </w:rPr>
        <w:t>enteral nutrition to one group</w:t>
      </w:r>
      <w:r w:rsidR="00427468">
        <w:rPr>
          <w:kern w:val="0"/>
        </w:rPr>
        <w:t xml:space="preserve"> of </w:t>
      </w:r>
      <w:r>
        <w:rPr>
          <w:kern w:val="0"/>
        </w:rPr>
        <w:t>patients</w:t>
      </w:r>
      <w:r w:rsidR="005853A9">
        <w:rPr>
          <w:kern w:val="0"/>
        </w:rPr>
        <w:t xml:space="preserve"> and </w:t>
      </w:r>
      <w:r>
        <w:rPr>
          <w:kern w:val="0"/>
        </w:rPr>
        <w:t>another type</w:t>
      </w:r>
      <w:r w:rsidR="00427468">
        <w:rPr>
          <w:kern w:val="0"/>
        </w:rPr>
        <w:t xml:space="preserve"> of </w:t>
      </w:r>
      <w:r>
        <w:rPr>
          <w:kern w:val="0"/>
        </w:rPr>
        <w:t>enteral nutrition or conventional corticosteroids to the other group were selected for review.</w:t>
      </w:r>
    </w:p>
    <w:p w:rsidR="00365DE4" w:rsidRDefault="00365DE4" w:rsidP="00365DE4">
      <w:pPr>
        <w:pStyle w:val="a3"/>
        <w:rPr>
          <w:kern w:val="0"/>
        </w:rPr>
      </w:pPr>
      <w:r>
        <w:rPr>
          <w:kern w:val="0"/>
        </w:rPr>
        <w:t>Data collection</w:t>
      </w:r>
      <w:r w:rsidR="005853A9">
        <w:rPr>
          <w:kern w:val="0"/>
        </w:rPr>
        <w:t xml:space="preserve"> and </w:t>
      </w:r>
      <w:r>
        <w:rPr>
          <w:kern w:val="0"/>
        </w:rPr>
        <w:t>analysis Data were extracted independently by two authors</w:t>
      </w:r>
      <w:r w:rsidR="005853A9">
        <w:rPr>
          <w:kern w:val="0"/>
        </w:rPr>
        <w:t xml:space="preserve"> and </w:t>
      </w:r>
      <w:r>
        <w:rPr>
          <w:kern w:val="0"/>
        </w:rPr>
        <w:t>any discrepancies were resolved by rereading</w:t>
      </w:r>
      <w:r w:rsidR="005853A9">
        <w:rPr>
          <w:kern w:val="0"/>
        </w:rPr>
        <w:t xml:space="preserve"> and </w:t>
      </w:r>
      <w:r>
        <w:rPr>
          <w:kern w:val="0"/>
        </w:rPr>
        <w:t>discussion. For the dichotomous variable, achievement</w:t>
      </w:r>
      <w:r w:rsidR="00427468">
        <w:rPr>
          <w:kern w:val="0"/>
        </w:rPr>
        <w:t xml:space="preserve"> of </w:t>
      </w:r>
      <w:r>
        <w:rPr>
          <w:kern w:val="0"/>
        </w:rPr>
        <w:t>remission, individual</w:t>
      </w:r>
      <w:r w:rsidR="005853A9">
        <w:rPr>
          <w:kern w:val="0"/>
        </w:rPr>
        <w:t xml:space="preserve"> and </w:t>
      </w:r>
      <w:r>
        <w:rPr>
          <w:kern w:val="0"/>
        </w:rPr>
        <w:t>pooled trial statistics were calculated as odds ratios (OR) with 95% confidence intervals (CI); both fixed</w:t>
      </w:r>
      <w:r w:rsidR="005853A9">
        <w:rPr>
          <w:kern w:val="0"/>
        </w:rPr>
        <w:t xml:space="preserve"> and </w:t>
      </w:r>
      <w:r>
        <w:rPr>
          <w:kern w:val="0"/>
        </w:rPr>
        <w:t>random effect models were used</w:t>
      </w:r>
      <w:r w:rsidR="00A37C1D">
        <w:rPr>
          <w:kern w:val="0"/>
        </w:rPr>
        <w:t>. The</w:t>
      </w:r>
      <w:r>
        <w:rPr>
          <w:kern w:val="0"/>
        </w:rPr>
        <w:t xml:space="preserve"> results for each analysis were tested for heterogeneity using the chi square statistic</w:t>
      </w:r>
      <w:r w:rsidR="00A37C1D">
        <w:rPr>
          <w:kern w:val="0"/>
        </w:rPr>
        <w:t>. The</w:t>
      </w:r>
      <w:r>
        <w:rPr>
          <w:kern w:val="0"/>
        </w:rPr>
        <w:t xml:space="preserve"> studies were separated into two groups: A. one form</w:t>
      </w:r>
      <w:r w:rsidR="00427468">
        <w:rPr>
          <w:kern w:val="0"/>
        </w:rPr>
        <w:t xml:space="preserve"> of </w:t>
      </w:r>
      <w:r>
        <w:rPr>
          <w:kern w:val="0"/>
        </w:rPr>
        <w:t>enteral nutrition compared with another form</w:t>
      </w:r>
      <w:r w:rsidR="00427468">
        <w:rPr>
          <w:kern w:val="0"/>
        </w:rPr>
        <w:t xml:space="preserve"> of </w:t>
      </w:r>
      <w:r>
        <w:rPr>
          <w:kern w:val="0"/>
        </w:rPr>
        <w:t>enteral nutrition</w:t>
      </w:r>
      <w:r w:rsidR="005853A9">
        <w:rPr>
          <w:kern w:val="0"/>
        </w:rPr>
        <w:t xml:space="preserve"> and </w:t>
      </w:r>
      <w:r>
        <w:rPr>
          <w:kern w:val="0"/>
        </w:rPr>
        <w:t>B. one form</w:t>
      </w:r>
      <w:r w:rsidR="00427468">
        <w:rPr>
          <w:kern w:val="0"/>
        </w:rPr>
        <w:t xml:space="preserve"> of </w:t>
      </w:r>
      <w:r>
        <w:rPr>
          <w:kern w:val="0"/>
        </w:rPr>
        <w:t>enteral nutrition compared with corticosteroids. Subgroup analyses were conducted on the basis</w:t>
      </w:r>
      <w:r w:rsidR="00427468">
        <w:rPr>
          <w:kern w:val="0"/>
        </w:rPr>
        <w:t xml:space="preserve"> of </w:t>
      </w:r>
      <w:r>
        <w:rPr>
          <w:kern w:val="0"/>
        </w:rPr>
        <w:t>clinical or disease criteria</w:t>
      </w:r>
      <w:r w:rsidR="005853A9">
        <w:rPr>
          <w:kern w:val="0"/>
        </w:rPr>
        <w:t xml:space="preserve"> and </w:t>
      </w:r>
      <w:r>
        <w:rPr>
          <w:kern w:val="0"/>
        </w:rPr>
        <w:t>formula composition. Sensitivity analyses were conducted on the basis</w:t>
      </w:r>
      <w:r w:rsidR="00427468">
        <w:rPr>
          <w:kern w:val="0"/>
        </w:rPr>
        <w:t xml:space="preserve"> of </w:t>
      </w:r>
      <w:r>
        <w:rPr>
          <w:kern w:val="0"/>
        </w:rPr>
        <w:t xml:space="preserve">the </w:t>
      </w:r>
      <w:r>
        <w:rPr>
          <w:kern w:val="0"/>
        </w:rPr>
        <w:lastRenderedPageBreak/>
        <w:t>inclusion</w:t>
      </w:r>
      <w:r w:rsidR="00427468">
        <w:rPr>
          <w:kern w:val="0"/>
        </w:rPr>
        <w:t xml:space="preserve"> of </w:t>
      </w:r>
      <w:r>
        <w:rPr>
          <w:kern w:val="0"/>
        </w:rPr>
        <w:t>abstract publications, methodologic quality</w:t>
      </w:r>
      <w:r w:rsidR="005853A9">
        <w:rPr>
          <w:kern w:val="0"/>
        </w:rPr>
        <w:t xml:space="preserve"> and </w:t>
      </w:r>
      <w:r>
        <w:rPr>
          <w:kern w:val="0"/>
        </w:rPr>
        <w:t>by random or fixed effects models.</w:t>
      </w:r>
    </w:p>
    <w:p w:rsidR="00365DE4" w:rsidRDefault="00365DE4" w:rsidP="00365DE4">
      <w:pPr>
        <w:pStyle w:val="a3"/>
        <w:rPr>
          <w:kern w:val="0"/>
        </w:rPr>
      </w:pPr>
      <w:r>
        <w:rPr>
          <w:kern w:val="0"/>
        </w:rPr>
        <w:t>Main results In part A,</w:t>
      </w:r>
      <w:r w:rsidR="00427468">
        <w:rPr>
          <w:kern w:val="0"/>
        </w:rPr>
        <w:t xml:space="preserve"> of </w:t>
      </w:r>
      <w:r>
        <w:rPr>
          <w:kern w:val="0"/>
        </w:rPr>
        <w:t>the 15 included eligible trials (one abstract) comparing different formulations</w:t>
      </w:r>
      <w:r w:rsidR="00427468">
        <w:rPr>
          <w:kern w:val="0"/>
        </w:rPr>
        <w:t xml:space="preserve"> of </w:t>
      </w:r>
      <w:r>
        <w:rPr>
          <w:kern w:val="0"/>
        </w:rPr>
        <w:t>EN for the treatment</w:t>
      </w:r>
      <w:r w:rsidR="00427468">
        <w:rPr>
          <w:kern w:val="0"/>
        </w:rPr>
        <w:t xml:space="preserve"> of </w:t>
      </w:r>
      <w:r>
        <w:rPr>
          <w:kern w:val="0"/>
        </w:rPr>
        <w:t>active CD, 11 compared one (or more) elemental formula to a non-elemental one, three compared enteral diets</w:t>
      </w:r>
      <w:r w:rsidR="00427468">
        <w:rPr>
          <w:kern w:val="0"/>
        </w:rPr>
        <w:t xml:space="preserve"> of </w:t>
      </w:r>
      <w:r>
        <w:rPr>
          <w:kern w:val="0"/>
        </w:rPr>
        <w:t>similar protein composition but different fat composition,</w:t>
      </w:r>
      <w:r w:rsidR="005853A9">
        <w:rPr>
          <w:kern w:val="0"/>
        </w:rPr>
        <w:t xml:space="preserve"> and </w:t>
      </w:r>
      <w:r>
        <w:rPr>
          <w:kern w:val="0"/>
        </w:rPr>
        <w:t>one compared non-elemental diets differing only in glutamine enrichment. Meta-analysis</w:t>
      </w:r>
      <w:r w:rsidR="00427468">
        <w:rPr>
          <w:kern w:val="0"/>
        </w:rPr>
        <w:t xml:space="preserve"> of </w:t>
      </w:r>
      <w:r>
        <w:rPr>
          <w:kern w:val="0"/>
        </w:rPr>
        <w:t>ten trials comprising 334 patients demonstrated no difference in the efficacy</w:t>
      </w:r>
      <w:r w:rsidR="00427468">
        <w:rPr>
          <w:kern w:val="0"/>
        </w:rPr>
        <w:t xml:space="preserve"> of </w:t>
      </w:r>
      <w:r>
        <w:rPr>
          <w:kern w:val="0"/>
        </w:rPr>
        <w:t>elemental versus non-elemental formulas (OR 1.10; 95% CI 0.69 to 1.75). Subgroup analyses performed to evaluate the different types</w:t>
      </w:r>
      <w:r w:rsidR="00427468">
        <w:rPr>
          <w:kern w:val="0"/>
        </w:rPr>
        <w:t xml:space="preserve"> of </w:t>
      </w:r>
      <w:r>
        <w:rPr>
          <w:kern w:val="0"/>
        </w:rPr>
        <w:t>elemental</w:t>
      </w:r>
      <w:r w:rsidR="005853A9">
        <w:rPr>
          <w:kern w:val="0"/>
        </w:rPr>
        <w:t xml:space="preserve"> and </w:t>
      </w:r>
      <w:r>
        <w:rPr>
          <w:kern w:val="0"/>
        </w:rPr>
        <w:t>non-elemental diets (elemental, semi-elemental</w:t>
      </w:r>
      <w:r w:rsidR="005853A9">
        <w:rPr>
          <w:kern w:val="0"/>
        </w:rPr>
        <w:t xml:space="preserve"> and </w:t>
      </w:r>
      <w:r>
        <w:rPr>
          <w:kern w:val="0"/>
        </w:rPr>
        <w:t>polymeric) showed no statistically significant differences. Further analysis</w:t>
      </w:r>
      <w:r w:rsidR="00427468">
        <w:rPr>
          <w:kern w:val="0"/>
        </w:rPr>
        <w:t xml:space="preserve"> of </w:t>
      </w:r>
      <w:r>
        <w:rPr>
          <w:kern w:val="0"/>
        </w:rPr>
        <w:t>seven trials including 209 patients treated with EN formulas</w:t>
      </w:r>
      <w:r w:rsidR="00427468">
        <w:rPr>
          <w:kern w:val="0"/>
        </w:rPr>
        <w:t xml:space="preserve"> of </w:t>
      </w:r>
      <w:r>
        <w:rPr>
          <w:kern w:val="0"/>
        </w:rPr>
        <w:t>differing fat content (low fat: &lt; 20 g/ 1000 kCal versus high fat: &gt; 20 g/ 1000 kCal) demonstrated no statistically significant difference in efficacy (OR 1.13; 95% CI 0.63 to 2.01). Similarly, the effect</w:t>
      </w:r>
      <w:r w:rsidR="00427468">
        <w:rPr>
          <w:kern w:val="0"/>
        </w:rPr>
        <w:t xml:space="preserve"> of </w:t>
      </w:r>
      <w:r>
        <w:rPr>
          <w:kern w:val="0"/>
        </w:rPr>
        <w:t>very low fat content (&lt; 3 g/ 1000 kCal) or type</w:t>
      </w:r>
      <w:r w:rsidR="00427468">
        <w:rPr>
          <w:kern w:val="0"/>
        </w:rPr>
        <w:t xml:space="preserve"> of </w:t>
      </w:r>
      <w:r>
        <w:rPr>
          <w:kern w:val="0"/>
        </w:rPr>
        <w:t>fat (long chain triglycerides) were investigated, but did not demonstrate a difference in efficacy in the treatment</w:t>
      </w:r>
      <w:r w:rsidR="00427468">
        <w:rPr>
          <w:kern w:val="0"/>
        </w:rPr>
        <w:t xml:space="preserve"> of </w:t>
      </w:r>
      <w:r>
        <w:rPr>
          <w:kern w:val="0"/>
        </w:rPr>
        <w:t>active CD, although a non significant trend was demonstrated favoring very low fat</w:t>
      </w:r>
      <w:r w:rsidR="005853A9">
        <w:rPr>
          <w:kern w:val="0"/>
        </w:rPr>
        <w:t xml:space="preserve"> and </w:t>
      </w:r>
      <w:r>
        <w:rPr>
          <w:kern w:val="0"/>
        </w:rPr>
        <w:t>very low long chain triglyceride content. This result should be interpreted with caution due to statistically significant heterogeneity</w:t>
      </w:r>
      <w:r w:rsidR="005853A9">
        <w:rPr>
          <w:kern w:val="0"/>
        </w:rPr>
        <w:t xml:space="preserve"> and </w:t>
      </w:r>
      <w:r>
        <w:rPr>
          <w:kern w:val="0"/>
        </w:rPr>
        <w:t>small sample size. Sensitivity analyses had no significant effects on the results</w:t>
      </w:r>
      <w:r w:rsidR="00A37C1D">
        <w:rPr>
          <w:kern w:val="0"/>
        </w:rPr>
        <w:t>. The</w:t>
      </w:r>
      <w:r>
        <w:rPr>
          <w:kern w:val="0"/>
        </w:rPr>
        <w:t xml:space="preserve"> role</w:t>
      </w:r>
      <w:r w:rsidR="00427468">
        <w:rPr>
          <w:kern w:val="0"/>
        </w:rPr>
        <w:t xml:space="preserve"> of </w:t>
      </w:r>
      <w:r>
        <w:rPr>
          <w:kern w:val="0"/>
        </w:rPr>
        <w:t>specific fatty acids or disease characteristics on response to therapy could not be evaluated. In part B, eight trials (including two abstracts) comparing enteral nutrition to steroid therapy met the inclusion criteria for review. Meta-analysis</w:t>
      </w:r>
      <w:r w:rsidR="00427468">
        <w:rPr>
          <w:kern w:val="0"/>
        </w:rPr>
        <w:t xml:space="preserve"> of </w:t>
      </w:r>
      <w:r>
        <w:rPr>
          <w:kern w:val="0"/>
        </w:rPr>
        <w:t>six trials that included 192 patients treated with enteral nutrition</w:t>
      </w:r>
      <w:r w:rsidR="005853A9">
        <w:rPr>
          <w:kern w:val="0"/>
        </w:rPr>
        <w:t xml:space="preserve"> and </w:t>
      </w:r>
      <w:r>
        <w:rPr>
          <w:kern w:val="0"/>
        </w:rPr>
        <w:t>160 treated with steroids yielded a pooled OR</w:t>
      </w:r>
      <w:r w:rsidR="00427468">
        <w:rPr>
          <w:kern w:val="0"/>
        </w:rPr>
        <w:t xml:space="preserve"> of </w:t>
      </w:r>
      <w:r>
        <w:rPr>
          <w:kern w:val="0"/>
        </w:rPr>
        <w:t>0.33 favouring steroid therapy (95% CI 0.21 to 0.53). A sensitivity analysis including the abstracts resulted in an increase in the number</w:t>
      </w:r>
      <w:r w:rsidR="00427468">
        <w:rPr>
          <w:kern w:val="0"/>
        </w:rPr>
        <w:t xml:space="preserve"> of </w:t>
      </w:r>
      <w:r>
        <w:rPr>
          <w:kern w:val="0"/>
        </w:rPr>
        <w:t>participants to 212 in the enteral nutrition group</w:t>
      </w:r>
      <w:r w:rsidR="005853A9">
        <w:rPr>
          <w:kern w:val="0"/>
        </w:rPr>
        <w:t xml:space="preserve"> and </w:t>
      </w:r>
      <w:r>
        <w:rPr>
          <w:kern w:val="0"/>
        </w:rPr>
        <w:t>179 in the steroid group but the meta-analysis yielded a similar result (OR 0.36; 95% CI 0.23 to 0.56)</w:t>
      </w:r>
      <w:r w:rsidR="00A37C1D">
        <w:rPr>
          <w:kern w:val="0"/>
        </w:rPr>
        <w:t>. The</w:t>
      </w:r>
      <w:r>
        <w:rPr>
          <w:kern w:val="0"/>
        </w:rPr>
        <w:t>re were inadequate data from full publications to perform further subgroup analyses by age, disease duration</w:t>
      </w:r>
      <w:r w:rsidR="005853A9">
        <w:rPr>
          <w:kern w:val="0"/>
        </w:rPr>
        <w:t xml:space="preserve"> and </w:t>
      </w:r>
      <w:r>
        <w:rPr>
          <w:kern w:val="0"/>
        </w:rPr>
        <w:t>disease location.</w:t>
      </w:r>
    </w:p>
    <w:p w:rsidR="00365DE4" w:rsidRDefault="00365DE4" w:rsidP="00365DE4">
      <w:pPr>
        <w:pStyle w:val="a3"/>
        <w:rPr>
          <w:kern w:val="0"/>
        </w:rPr>
      </w:pPr>
      <w:r>
        <w:rPr>
          <w:kern w:val="0"/>
        </w:rPr>
        <w:t>Authors</w:t>
      </w:r>
      <w:r w:rsidR="0071223E">
        <w:rPr>
          <w:kern w:val="0"/>
        </w:rPr>
        <w:t>’</w:t>
      </w:r>
      <w:r>
        <w:rPr>
          <w:kern w:val="0"/>
        </w:rPr>
        <w:t xml:space="preserve"> conclusions Corticosteroid therapy is more effective than enteral nutrition for inducing remission</w:t>
      </w:r>
      <w:r w:rsidR="00427468">
        <w:rPr>
          <w:kern w:val="0"/>
        </w:rPr>
        <w:t xml:space="preserve"> of </w:t>
      </w:r>
      <w:r>
        <w:rPr>
          <w:kern w:val="0"/>
        </w:rPr>
        <w:t>active Crohn</w:t>
      </w:r>
      <w:r w:rsidR="0071223E">
        <w:rPr>
          <w:kern w:val="0"/>
        </w:rPr>
        <w:t>’</w:t>
      </w:r>
      <w:r>
        <w:rPr>
          <w:kern w:val="0"/>
        </w:rPr>
        <w:t>s disease as was found in previous systematic reviews. Protein composition does not influence the effectiveness</w:t>
      </w:r>
      <w:r w:rsidR="00427468">
        <w:rPr>
          <w:kern w:val="0"/>
        </w:rPr>
        <w:t xml:space="preserve"> of </w:t>
      </w:r>
      <w:r>
        <w:rPr>
          <w:kern w:val="0"/>
        </w:rPr>
        <w:t>EN in the treatment</w:t>
      </w:r>
      <w:r w:rsidR="00427468">
        <w:rPr>
          <w:kern w:val="0"/>
        </w:rPr>
        <w:t xml:space="preserve"> of </w:t>
      </w:r>
      <w:r>
        <w:rPr>
          <w:kern w:val="0"/>
        </w:rPr>
        <w:t>active CD. A non significant trend favouring very low fat and/or very low long chain triglyceride content exists but larger trials are required to explore the significance</w:t>
      </w:r>
      <w:r w:rsidR="00427468">
        <w:rPr>
          <w:kern w:val="0"/>
        </w:rPr>
        <w:t xml:space="preserve"> of </w:t>
      </w:r>
      <w:r>
        <w:rPr>
          <w:kern w:val="0"/>
        </w:rPr>
        <w:t>this finding.</w:t>
      </w:r>
    </w:p>
    <w:p w:rsidR="00365DE4" w:rsidRDefault="00365DE4" w:rsidP="00365DE4">
      <w:pPr>
        <w:pStyle w:val="a3"/>
        <w:rPr>
          <w:kern w:val="0"/>
        </w:rPr>
      </w:pPr>
      <w:r>
        <w:rPr>
          <w:kern w:val="0"/>
        </w:rPr>
        <w:t>Keywords: Randomized Controlled-Trial, Inflammatory-Bowel-Disease, Defined-Formula Diet, Elemental Diet, Polymeric Diet, Clinical-Trials, Prednisolone, Children, Corticosteroids, Metaanalysis</w:t>
      </w:r>
    </w:p>
    <w:p w:rsidR="00365DE4" w:rsidRDefault="00365DE4" w:rsidP="00365DE4">
      <w:pPr>
        <w:pStyle w:val="a3"/>
        <w:rPr>
          <w:kern w:val="2"/>
        </w:rPr>
      </w:pPr>
      <w:r>
        <w:rPr>
          <w:kern w:val="0"/>
        </w:rPr>
        <w:lastRenderedPageBreak/>
        <w:t>? Jeffery, M., Hickey, B.E.</w:t>
      </w:r>
      <w:r w:rsidR="005853A9">
        <w:rPr>
          <w:kern w:val="0"/>
        </w:rPr>
        <w:t xml:space="preserve"> and </w:t>
      </w:r>
      <w:r>
        <w:rPr>
          <w:kern w:val="0"/>
        </w:rPr>
        <w:t xml:space="preserve">Hider, P.N. (2007), Follow-up strategies for patients treated for non-metastatic colorectal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CD002200.</w:t>
      </w:r>
    </w:p>
    <w:p w:rsidR="00365DE4" w:rsidRDefault="00365DE4" w:rsidP="00365DE4">
      <w:pPr>
        <w:pStyle w:val="a3"/>
      </w:pPr>
      <w:r>
        <w:t xml:space="preserve">Full Text: </w:t>
      </w:r>
      <w:hyperlink r:id="rId515" w:history="1">
        <w:r>
          <w:rPr>
            <w:rStyle w:val="a5"/>
          </w:rPr>
          <w:t>2007\Coc Dat Sys Rev2007, CD002200.pdf</w:t>
        </w:r>
      </w:hyperlink>
    </w:p>
    <w:p w:rsidR="00365DE4" w:rsidRDefault="00365DE4" w:rsidP="00365DE4">
      <w:pPr>
        <w:pStyle w:val="a3"/>
        <w:rPr>
          <w:kern w:val="0"/>
        </w:rPr>
      </w:pPr>
      <w:r>
        <w:rPr>
          <w:kern w:val="0"/>
        </w:rPr>
        <w:t>Abstract: Background It is common clinical practice to follow patients with colorectal cancer (CRC) for several years following their definitive surgery and/or adjuvant therapy. Despite this widespread practice there is considerable controversy about how often patients should be seen, what tests should be performed</w:t>
      </w:r>
      <w:r w:rsidR="005853A9">
        <w:rPr>
          <w:kern w:val="0"/>
        </w:rPr>
        <w:t xml:space="preserve"> and </w:t>
      </w:r>
      <w:r>
        <w:rPr>
          <w:kern w:val="0"/>
        </w:rPr>
        <w:t>whether these varying strategies have any significant impact on patient outcomes. Objectives To review the available evidence concerning the benefits</w:t>
      </w:r>
      <w:r w:rsidR="00427468">
        <w:rPr>
          <w:kern w:val="0"/>
        </w:rPr>
        <w:t xml:space="preserve"> of </w:t>
      </w:r>
      <w:r>
        <w:rPr>
          <w:kern w:val="0"/>
        </w:rPr>
        <w:t>intensive follow up</w:t>
      </w:r>
      <w:r w:rsidR="00427468">
        <w:rPr>
          <w:kern w:val="0"/>
        </w:rPr>
        <w:t xml:space="preserve"> of </w:t>
      </w:r>
      <w:r>
        <w:rPr>
          <w:kern w:val="0"/>
        </w:rPr>
        <w:t>colorectal cancer patients with respect to survival. Secondary endpoints include time to diagnosis</w:t>
      </w:r>
      <w:r w:rsidR="00427468">
        <w:rPr>
          <w:kern w:val="0"/>
        </w:rPr>
        <w:t xml:space="preserve"> of </w:t>
      </w:r>
      <w:r>
        <w:rPr>
          <w:kern w:val="0"/>
        </w:rPr>
        <w:t>recurrence, quality</w:t>
      </w:r>
      <w:r w:rsidR="00427468">
        <w:rPr>
          <w:kern w:val="0"/>
        </w:rPr>
        <w:t xml:space="preserve"> of </w:t>
      </w:r>
      <w:r>
        <w:rPr>
          <w:kern w:val="0"/>
        </w:rPr>
        <w:t>life</w:t>
      </w:r>
      <w:r w:rsidR="005853A9">
        <w:rPr>
          <w:kern w:val="0"/>
        </w:rPr>
        <w:t xml:space="preserve"> and </w:t>
      </w:r>
      <w:r>
        <w:rPr>
          <w:kern w:val="0"/>
        </w:rPr>
        <w:t>the harms</w:t>
      </w:r>
      <w:r w:rsidR="005853A9">
        <w:rPr>
          <w:kern w:val="0"/>
        </w:rPr>
        <w:t xml:space="preserve"> and </w:t>
      </w:r>
      <w:r>
        <w:rPr>
          <w:kern w:val="0"/>
        </w:rPr>
        <w:t>costs</w:t>
      </w:r>
      <w:r w:rsidR="00427468">
        <w:rPr>
          <w:kern w:val="0"/>
        </w:rPr>
        <w:t xml:space="preserve"> of </w:t>
      </w:r>
      <w:r>
        <w:rPr>
          <w:kern w:val="0"/>
        </w:rPr>
        <w:t>surveillance</w:t>
      </w:r>
      <w:r w:rsidR="005853A9">
        <w:rPr>
          <w:kern w:val="0"/>
        </w:rPr>
        <w:t xml:space="preserve"> and </w:t>
      </w:r>
      <w:r>
        <w:rPr>
          <w:kern w:val="0"/>
        </w:rPr>
        <w:t>investigations. Search strategy Relevant trials were identified by electronic searches</w:t>
      </w:r>
      <w:r w:rsidR="00427468">
        <w:rPr>
          <w:kern w:val="0"/>
        </w:rPr>
        <w:t xml:space="preserve"> of </w:t>
      </w:r>
      <w:r w:rsidR="00D5664A">
        <w:rPr>
          <w:kern w:val="0"/>
        </w:rPr>
        <w:t>MEDLINE</w:t>
      </w:r>
      <w:r>
        <w:rPr>
          <w:kern w:val="0"/>
        </w:rPr>
        <w:t>, EMBASE, CINAHL, CANCERLIT, Cochrane Controlled Trials Register, Science Citation Index, conference proceedings, trial registers, reference lists</w:t>
      </w:r>
      <w:r w:rsidR="005853A9">
        <w:rPr>
          <w:kern w:val="0"/>
        </w:rPr>
        <w:t xml:space="preserve"> and </w:t>
      </w:r>
      <w:r>
        <w:rPr>
          <w:kern w:val="0"/>
        </w:rPr>
        <w:t>contact with experts in the field. Selection criteria Only randomised controlled trials comparing different follow-up strategies for patients with non-metastatic CRC treated with curative intent were included. Data collection</w:t>
      </w:r>
      <w:r w:rsidR="005853A9">
        <w:rPr>
          <w:kern w:val="0"/>
        </w:rPr>
        <w:t xml:space="preserve"> and </w:t>
      </w:r>
      <w:r>
        <w:rPr>
          <w:kern w:val="0"/>
        </w:rPr>
        <w:t>analysis Trial eligibility</w:t>
      </w:r>
      <w:r w:rsidR="005853A9">
        <w:rPr>
          <w:kern w:val="0"/>
        </w:rPr>
        <w:t xml:space="preserve"> and </w:t>
      </w:r>
      <w:r>
        <w:rPr>
          <w:kern w:val="0"/>
        </w:rPr>
        <w:t>methodological quality were assessed independently by the three authors. Main results Eight studies were included in this update</w:t>
      </w:r>
      <w:r w:rsidR="00427468">
        <w:rPr>
          <w:kern w:val="0"/>
        </w:rPr>
        <w:t xml:space="preserve"> of </w:t>
      </w:r>
      <w:r>
        <w:rPr>
          <w:kern w:val="0"/>
        </w:rPr>
        <w:t>the review</w:t>
      </w:r>
      <w:r w:rsidR="00A37C1D">
        <w:rPr>
          <w:kern w:val="0"/>
        </w:rPr>
        <w:t>. The</w:t>
      </w:r>
      <w:r>
        <w:rPr>
          <w:kern w:val="0"/>
        </w:rPr>
        <w:t>re was evidence that an overall survival benefit at five years exists for patients undergoing more intensive follow up OR was 0.73 (95% CI 0.59 to 0.91);</w:t>
      </w:r>
      <w:r w:rsidR="005853A9">
        <w:rPr>
          <w:kern w:val="0"/>
        </w:rPr>
        <w:t xml:space="preserve"> and </w:t>
      </w:r>
      <w:r>
        <w:rPr>
          <w:kern w:val="0"/>
        </w:rPr>
        <w:t>RD -0.06 (95% CI -0.11 to -0.02)</w:t>
      </w:r>
      <w:r w:rsidR="00A37C1D">
        <w:rPr>
          <w:kern w:val="0"/>
        </w:rPr>
        <w:t>. The</w:t>
      </w:r>
      <w:r>
        <w:rPr>
          <w:kern w:val="0"/>
        </w:rPr>
        <w:t xml:space="preserve"> absolute number</w:t>
      </w:r>
      <w:r w:rsidR="00427468">
        <w:rPr>
          <w:kern w:val="0"/>
        </w:rPr>
        <w:t xml:space="preserve"> of </w:t>
      </w:r>
      <w:r>
        <w:rPr>
          <w:kern w:val="0"/>
        </w:rPr>
        <w:t>recurrences was similar; OR was 0.91 (95% CI 0.75 to 1.10);</w:t>
      </w:r>
      <w:r w:rsidR="005853A9">
        <w:rPr>
          <w:kern w:val="0"/>
        </w:rPr>
        <w:t xml:space="preserve"> and </w:t>
      </w:r>
      <w:r>
        <w:rPr>
          <w:kern w:val="0"/>
        </w:rPr>
        <w:t>RD -0.02 (95% CI -0.06 to 0.02)</w:t>
      </w:r>
      <w:r w:rsidR="005853A9">
        <w:rPr>
          <w:kern w:val="0"/>
        </w:rPr>
        <w:t xml:space="preserve"> and </w:t>
      </w:r>
      <w:r>
        <w:rPr>
          <w:kern w:val="0"/>
        </w:rPr>
        <w:t>although the weighted mean difference for the time to recurrence was significantly reduced by -6.75 (95% CI -11.06 to -2.44) there was significant heterogeneity between the studies. Analyses demonstrated a mortality benefit for performing more tests versus fewer tests OR was 0.64 (95% CI 0.49 to 0.85),</w:t>
      </w:r>
      <w:r w:rsidR="005853A9">
        <w:rPr>
          <w:kern w:val="0"/>
        </w:rPr>
        <w:t xml:space="preserve"> and </w:t>
      </w:r>
      <w:r>
        <w:rPr>
          <w:kern w:val="0"/>
        </w:rPr>
        <w:t>RD -0.09 (95% CI -0.14 to -0.03)</w:t>
      </w:r>
      <w:r w:rsidR="005853A9">
        <w:rPr>
          <w:kern w:val="0"/>
        </w:rPr>
        <w:t xml:space="preserve"> and </w:t>
      </w:r>
      <w:r>
        <w:rPr>
          <w:kern w:val="0"/>
        </w:rPr>
        <w:t>liver imaging versus no liver imaging OR was 0.64 (95% CI 0.49 to 0.85),</w:t>
      </w:r>
      <w:r w:rsidR="005853A9">
        <w:rPr>
          <w:kern w:val="0"/>
        </w:rPr>
        <w:t xml:space="preserve"> and </w:t>
      </w:r>
      <w:r>
        <w:rPr>
          <w:kern w:val="0"/>
        </w:rPr>
        <w:t>RD -0.09 (95% CI -0.14 to -0.03)</w:t>
      </w:r>
      <w:r w:rsidR="00A37C1D">
        <w:rPr>
          <w:kern w:val="0"/>
        </w:rPr>
        <w:t>. The</w:t>
      </w:r>
      <w:r>
        <w:rPr>
          <w:kern w:val="0"/>
        </w:rPr>
        <w:t>re were significantly more curative surgical procedures attempted in the intensively followed arm: OR 2.41(95%CI 1.63 to 3.54), RD 0.06 (95% CI 0.04 to 0.09). No useful data on quality</w:t>
      </w:r>
      <w:r w:rsidR="00427468">
        <w:rPr>
          <w:kern w:val="0"/>
        </w:rPr>
        <w:t xml:space="preserve"> of </w:t>
      </w:r>
      <w:r>
        <w:rPr>
          <w:kern w:val="0"/>
        </w:rPr>
        <w:t>life, harms or cost-effectiveness were available for further analysis. Authors</w:t>
      </w:r>
      <w:r w:rsidR="0071223E">
        <w:rPr>
          <w:kern w:val="0"/>
        </w:rPr>
        <w:t>’</w:t>
      </w:r>
      <w:r>
        <w:rPr>
          <w:kern w:val="0"/>
        </w:rPr>
        <w:t xml:space="preserve"> conclusions The results</w:t>
      </w:r>
      <w:r w:rsidR="00427468">
        <w:rPr>
          <w:kern w:val="0"/>
        </w:rPr>
        <w:t xml:space="preserve"> of </w:t>
      </w:r>
      <w:r>
        <w:rPr>
          <w:kern w:val="0"/>
        </w:rPr>
        <w:t>our review suggest that there is an overall survival benefit for intensifying the follow up</w:t>
      </w:r>
      <w:r w:rsidR="00427468">
        <w:rPr>
          <w:kern w:val="0"/>
        </w:rPr>
        <w:t xml:space="preserve"> of </w:t>
      </w:r>
      <w:r>
        <w:rPr>
          <w:kern w:val="0"/>
        </w:rPr>
        <w:t>patients after curative surgery for colorectal cancer. Because</w:t>
      </w:r>
      <w:r w:rsidR="00427468">
        <w:rPr>
          <w:kern w:val="0"/>
        </w:rPr>
        <w:t xml:space="preserve"> of </w:t>
      </w:r>
      <w:r>
        <w:rPr>
          <w:kern w:val="0"/>
        </w:rPr>
        <w:t>the wide variation in the follow-up programmes used in the included studies it is not possible to infer from the data the best combination</w:t>
      </w:r>
      <w:r w:rsidR="005853A9">
        <w:rPr>
          <w:kern w:val="0"/>
        </w:rPr>
        <w:t xml:space="preserve"> and </w:t>
      </w:r>
      <w:r>
        <w:rPr>
          <w:kern w:val="0"/>
        </w:rPr>
        <w:t>frequency</w:t>
      </w:r>
      <w:r w:rsidR="00427468">
        <w:rPr>
          <w:kern w:val="0"/>
        </w:rPr>
        <w:t xml:space="preserve"> of </w:t>
      </w:r>
      <w:r>
        <w:rPr>
          <w:kern w:val="0"/>
        </w:rPr>
        <w:t>clinic (or family practice) visits, blood tests, endoscopic procedures</w:t>
      </w:r>
      <w:r w:rsidR="005853A9">
        <w:rPr>
          <w:kern w:val="0"/>
        </w:rPr>
        <w:t xml:space="preserve"> and </w:t>
      </w:r>
      <w:r>
        <w:rPr>
          <w:kern w:val="0"/>
        </w:rPr>
        <w:t xml:space="preserve">radiological investigations to maximise the outcomes for these patients. Nor is it </w:t>
      </w:r>
      <w:r>
        <w:rPr>
          <w:kern w:val="0"/>
        </w:rPr>
        <w:lastRenderedPageBreak/>
        <w:t>possible to estimate the potential harms or costs</w:t>
      </w:r>
      <w:r w:rsidR="00427468">
        <w:rPr>
          <w:kern w:val="0"/>
        </w:rPr>
        <w:t xml:space="preserve"> of </w:t>
      </w:r>
      <w:r>
        <w:rPr>
          <w:kern w:val="0"/>
        </w:rPr>
        <w:t>intensifying follow up for these patients in order to adopt a cost-effective approach in this clinical area. Large clinical trials underway or about to commence are likely to contribute valuable further information to clarify these areas</w:t>
      </w:r>
      <w:r w:rsidR="00427468">
        <w:rPr>
          <w:kern w:val="0"/>
        </w:rPr>
        <w:t xml:space="preserve"> of </w:t>
      </w:r>
      <w:r>
        <w:rPr>
          <w:kern w:val="0"/>
        </w:rPr>
        <w:t>clinical uncertainty.</w:t>
      </w:r>
    </w:p>
    <w:p w:rsidR="00365DE4" w:rsidRDefault="00365DE4" w:rsidP="00365DE4">
      <w:pPr>
        <w:pStyle w:val="a3"/>
        <w:rPr>
          <w:kern w:val="0"/>
        </w:rPr>
      </w:pPr>
      <w:r>
        <w:rPr>
          <w:kern w:val="0"/>
        </w:rPr>
        <w:t xml:space="preserve">Keywords: Authors, Cancer, Carcinoembryonic Antigen, Carcinoma, Citation, Clinical Trials, Colon-Cancer, Cost Effectiveness, Costs, Criteria, Curative Resection, Diagnosis, Heterogeneity, Impact, </w:t>
      </w:r>
      <w:r w:rsidR="00D5664A">
        <w:rPr>
          <w:kern w:val="0"/>
        </w:rPr>
        <w:t>MEDLINE</w:t>
      </w:r>
      <w:r>
        <w:rPr>
          <w:kern w:val="0"/>
        </w:rPr>
        <w:t>, Outcomes, Quality-of-Life, Radical Surgery, Randomized Controlled-Trial, Rectal-Surgeons, Review, Science, Science Citation Index, Surgery, Surveillance Program, Survival, Therapy, Uncertainty</w:t>
      </w:r>
    </w:p>
    <w:p w:rsidR="00365DE4" w:rsidRDefault="00365DE4" w:rsidP="00365DE4">
      <w:pPr>
        <w:pStyle w:val="a3"/>
        <w:rPr>
          <w:kern w:val="0"/>
        </w:rPr>
      </w:pPr>
      <w:r>
        <w:rPr>
          <w:kern w:val="0"/>
        </w:rPr>
        <w:t>? Colli, A., Fraquelli, M., Massironi, S., Colucci, A., Paggi, S.</w:t>
      </w:r>
      <w:r w:rsidR="005853A9">
        <w:rPr>
          <w:kern w:val="0"/>
        </w:rPr>
        <w:t xml:space="preserve"> and </w:t>
      </w:r>
      <w:r>
        <w:rPr>
          <w:kern w:val="0"/>
        </w:rPr>
        <w:t xml:space="preserve">Conte, D. (2007), Elective surgery for benign liver tumours.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CD005164.</w:t>
      </w:r>
    </w:p>
    <w:p w:rsidR="00365DE4" w:rsidRDefault="00365DE4" w:rsidP="00365DE4">
      <w:pPr>
        <w:pStyle w:val="a3"/>
        <w:rPr>
          <w:kern w:val="2"/>
        </w:rPr>
      </w:pPr>
      <w:r>
        <w:t xml:space="preserve">Full Text: </w:t>
      </w:r>
      <w:hyperlink r:id="rId516" w:history="1">
        <w:r>
          <w:rPr>
            <w:rStyle w:val="a5"/>
          </w:rPr>
          <w:t>2007\Coc Dat Sys Rev2007, CD005164.pdf</w:t>
        </w:r>
      </w:hyperlink>
    </w:p>
    <w:p w:rsidR="00365DE4" w:rsidRDefault="00365DE4" w:rsidP="00365DE4">
      <w:pPr>
        <w:pStyle w:val="a3"/>
        <w:rPr>
          <w:kern w:val="0"/>
        </w:rPr>
      </w:pPr>
      <w:r>
        <w:rPr>
          <w:kern w:val="0"/>
        </w:rPr>
        <w:t>Abstract: Backgound Benign liver tumours (haemangioma, focal nodular hyperplasia,</w:t>
      </w:r>
      <w:r w:rsidR="005853A9">
        <w:rPr>
          <w:kern w:val="0"/>
        </w:rPr>
        <w:t xml:space="preserve"> and </w:t>
      </w:r>
      <w:r>
        <w:rPr>
          <w:kern w:val="0"/>
        </w:rPr>
        <w:t>hepatic adenoma) have different prevalence</w:t>
      </w:r>
      <w:r w:rsidR="005853A9">
        <w:rPr>
          <w:kern w:val="0"/>
        </w:rPr>
        <w:t xml:space="preserve"> and </w:t>
      </w:r>
      <w:r>
        <w:rPr>
          <w:kern w:val="0"/>
        </w:rPr>
        <w:t>prognosis. Spontaneous rupture</w:t>
      </w:r>
      <w:r w:rsidR="005853A9">
        <w:rPr>
          <w:kern w:val="0"/>
        </w:rPr>
        <w:t xml:space="preserve"> and </w:t>
      </w:r>
      <w:r>
        <w:rPr>
          <w:kern w:val="0"/>
        </w:rPr>
        <w:t>malignant transformation can complicate hepatic adenoma. Elective surgery is controversial,</w:t>
      </w:r>
      <w:r w:rsidR="005853A9">
        <w:rPr>
          <w:kern w:val="0"/>
        </w:rPr>
        <w:t xml:space="preserve"> and </w:t>
      </w:r>
      <w:r>
        <w:rPr>
          <w:kern w:val="0"/>
        </w:rPr>
        <w:t>indications are represented by uncertain diagnosis, presence</w:t>
      </w:r>
      <w:r w:rsidR="00427468">
        <w:rPr>
          <w:kern w:val="0"/>
        </w:rPr>
        <w:t xml:space="preserve"> of </w:t>
      </w:r>
      <w:r>
        <w:rPr>
          <w:kern w:val="0"/>
        </w:rPr>
        <w:t>symptoms,</w:t>
      </w:r>
      <w:r w:rsidR="005853A9">
        <w:rPr>
          <w:kern w:val="0"/>
        </w:rPr>
        <w:t xml:space="preserve"> and </w:t>
      </w:r>
      <w:r>
        <w:rPr>
          <w:kern w:val="0"/>
        </w:rPr>
        <w:t>prevention</w:t>
      </w:r>
      <w:r w:rsidR="00427468">
        <w:rPr>
          <w:kern w:val="0"/>
        </w:rPr>
        <w:t xml:space="preserve"> of </w:t>
      </w:r>
      <w:r>
        <w:rPr>
          <w:kern w:val="0"/>
        </w:rPr>
        <w:t>major complications. Objectives To assess the beneficial</w:t>
      </w:r>
      <w:r w:rsidR="005853A9">
        <w:rPr>
          <w:kern w:val="0"/>
        </w:rPr>
        <w:t xml:space="preserve"> and </w:t>
      </w:r>
      <w:r>
        <w:rPr>
          <w:kern w:val="0"/>
        </w:rPr>
        <w:t>harmful effects</w:t>
      </w:r>
      <w:r w:rsidR="00427468">
        <w:rPr>
          <w:kern w:val="0"/>
        </w:rPr>
        <w:t xml:space="preserve"> of </w:t>
      </w:r>
      <w:r>
        <w:rPr>
          <w:kern w:val="0"/>
        </w:rPr>
        <w:t>elective surgery</w:t>
      </w:r>
      <w:r w:rsidR="00427468">
        <w:rPr>
          <w:kern w:val="0"/>
        </w:rPr>
        <w:t xml:space="preserve"> of </w:t>
      </w:r>
      <w:r>
        <w:rPr>
          <w:kern w:val="0"/>
        </w:rPr>
        <w:t>benign liver tumours. We identified 31 cases series</w:t>
      </w:r>
      <w:r w:rsidR="00A37C1D">
        <w:rPr>
          <w:kern w:val="0"/>
        </w:rPr>
        <w:t>. The</w:t>
      </w:r>
      <w:r>
        <w:rPr>
          <w:kern w:val="0"/>
        </w:rPr>
        <w:t>se were small (with less than 60 participants)</w:t>
      </w:r>
      <w:r w:rsidR="005853A9">
        <w:rPr>
          <w:kern w:val="0"/>
        </w:rPr>
        <w:t xml:space="preserve"> and </w:t>
      </w:r>
      <w:r>
        <w:rPr>
          <w:kern w:val="0"/>
        </w:rPr>
        <w:t>the types</w:t>
      </w:r>
      <w:r w:rsidR="00427468">
        <w:rPr>
          <w:kern w:val="0"/>
        </w:rPr>
        <w:t xml:space="preserve"> of </w:t>
      </w:r>
      <w:r>
        <w:rPr>
          <w:kern w:val="0"/>
        </w:rPr>
        <w:t>tumours mixed</w:t>
      </w:r>
      <w:r w:rsidR="00A37C1D">
        <w:rPr>
          <w:kern w:val="0"/>
        </w:rPr>
        <w:t>. The</w:t>
      </w:r>
      <w:r>
        <w:rPr>
          <w:kern w:val="0"/>
        </w:rPr>
        <w:t>se studies reported no significant mortality, but in the six studies with mortality it ranged from 1% to 17%. Search strategy The Cochrane Hepato-Biliary Group Controlled Trials Register</w:t>
      </w:r>
      <w:r w:rsidR="005853A9">
        <w:rPr>
          <w:kern w:val="0"/>
        </w:rPr>
        <w:t xml:space="preserve"> and </w:t>
      </w:r>
      <w:r>
        <w:rPr>
          <w:kern w:val="0"/>
        </w:rPr>
        <w:t>the Cochrane Central Register</w:t>
      </w:r>
      <w:r w:rsidR="00427468">
        <w:rPr>
          <w:kern w:val="0"/>
        </w:rPr>
        <w:t xml:space="preserve"> of </w:t>
      </w:r>
      <w:r>
        <w:rPr>
          <w:kern w:val="0"/>
        </w:rPr>
        <w:t xml:space="preserve">Controlled Trials (CENTRAL) in The Cochrane Library (searches in Issue 1, 2006), </w:t>
      </w:r>
      <w:r w:rsidR="00D5664A">
        <w:rPr>
          <w:kern w:val="0"/>
        </w:rPr>
        <w:t>MEDLINE</w:t>
      </w:r>
      <w:r>
        <w:rPr>
          <w:kern w:val="0"/>
        </w:rPr>
        <w:t>, EMBASE, Cancer Lit,</w:t>
      </w:r>
      <w:r w:rsidR="005853A9">
        <w:rPr>
          <w:kern w:val="0"/>
        </w:rPr>
        <w:t xml:space="preserve"> and </w:t>
      </w:r>
      <w:r>
        <w:rPr>
          <w:kern w:val="0"/>
        </w:rPr>
        <w:t>Science Citation Index Expanded (SCI-EXPANDED) (searched December 2005). A further search included the proceedings</w:t>
      </w:r>
      <w:r w:rsidR="00427468">
        <w:rPr>
          <w:kern w:val="0"/>
        </w:rPr>
        <w:t xml:space="preserve"> of </w:t>
      </w:r>
      <w:r>
        <w:rPr>
          <w:kern w:val="0"/>
        </w:rPr>
        <w:t>major hepatological</w:t>
      </w:r>
      <w:r w:rsidR="005853A9">
        <w:rPr>
          <w:kern w:val="0"/>
        </w:rPr>
        <w:t xml:space="preserve"> and </w:t>
      </w:r>
      <w:r>
        <w:rPr>
          <w:kern w:val="0"/>
        </w:rPr>
        <w:t>surgical congresses (Annual Meetings</w:t>
      </w:r>
      <w:r w:rsidR="00427468">
        <w:rPr>
          <w:kern w:val="0"/>
        </w:rPr>
        <w:t xml:space="preserve"> of </w:t>
      </w:r>
      <w:r>
        <w:rPr>
          <w:kern w:val="0"/>
        </w:rPr>
        <w:t>the American Association for the Study</w:t>
      </w:r>
      <w:r w:rsidR="00427468">
        <w:rPr>
          <w:kern w:val="0"/>
        </w:rPr>
        <w:t xml:space="preserve"> of </w:t>
      </w:r>
      <w:r>
        <w:rPr>
          <w:kern w:val="0"/>
        </w:rPr>
        <w:t>the Liver (AASLD)</w:t>
      </w:r>
      <w:r w:rsidR="005853A9">
        <w:rPr>
          <w:kern w:val="0"/>
        </w:rPr>
        <w:t xml:space="preserve"> and </w:t>
      </w:r>
      <w:r>
        <w:rPr>
          <w:kern w:val="0"/>
        </w:rPr>
        <w:t>European Association for the Study</w:t>
      </w:r>
      <w:r w:rsidR="00427468">
        <w:rPr>
          <w:kern w:val="0"/>
        </w:rPr>
        <w:t xml:space="preserve"> of </w:t>
      </w:r>
      <w:r>
        <w:rPr>
          <w:kern w:val="0"/>
        </w:rPr>
        <w:t>the Liver (EASL)),</w:t>
      </w:r>
      <w:r w:rsidR="005853A9">
        <w:rPr>
          <w:kern w:val="0"/>
        </w:rPr>
        <w:t xml:space="preserve"> and </w:t>
      </w:r>
      <w:r>
        <w:rPr>
          <w:kern w:val="0"/>
        </w:rPr>
        <w:t>examination</w:t>
      </w:r>
      <w:r w:rsidR="00427468">
        <w:rPr>
          <w:kern w:val="0"/>
        </w:rPr>
        <w:t xml:space="preserve"> of </w:t>
      </w:r>
      <w:r>
        <w:rPr>
          <w:kern w:val="0"/>
        </w:rPr>
        <w:t>the references</w:t>
      </w:r>
      <w:r w:rsidR="00427468">
        <w:rPr>
          <w:kern w:val="0"/>
        </w:rPr>
        <w:t xml:space="preserve"> of </w:t>
      </w:r>
      <w:r>
        <w:rPr>
          <w:kern w:val="0"/>
        </w:rPr>
        <w:t>relevant papers</w:t>
      </w:r>
      <w:r w:rsidR="005853A9">
        <w:rPr>
          <w:kern w:val="0"/>
        </w:rPr>
        <w:t xml:space="preserve"> and </w:t>
      </w:r>
      <w:r>
        <w:rPr>
          <w:kern w:val="0"/>
        </w:rPr>
        <w:t>reference lists</w:t>
      </w:r>
      <w:r w:rsidR="00427468">
        <w:rPr>
          <w:kern w:val="0"/>
        </w:rPr>
        <w:t xml:space="preserve"> of </w:t>
      </w:r>
      <w:r>
        <w:rPr>
          <w:kern w:val="0"/>
        </w:rPr>
        <w:t>the identified studies. Selection criteria Randomised clinical trials in adult patients with benign liver tumours without indications for emergency surgery in which elective surgery (resection) versus no intervention or sham operation are compared. Data collection</w:t>
      </w:r>
      <w:r w:rsidR="005853A9">
        <w:rPr>
          <w:kern w:val="0"/>
        </w:rPr>
        <w:t xml:space="preserve"> and </w:t>
      </w:r>
      <w:r>
        <w:rPr>
          <w:kern w:val="0"/>
        </w:rPr>
        <w:t>analysis All trials identified through searches were evaluated for eligibility for inclusion. We intended to extract relevant data in order to analyse the outcomes as per our published protocol using intention-to-treat analysis. Main results We could not identify any randomised clinical trials. Authors</w:t>
      </w:r>
      <w:r w:rsidR="0071223E">
        <w:rPr>
          <w:kern w:val="0"/>
        </w:rPr>
        <w:t>’</w:t>
      </w:r>
      <w:r>
        <w:rPr>
          <w:kern w:val="0"/>
        </w:rPr>
        <w:t xml:space="preserve"> conclusions We were unable to find evidence supporting or refuting elective surgery for patients with benign liver tumours. We need large, longterm randomised clinical trials with adequate methodology to assess </w:t>
      </w:r>
      <w:r>
        <w:rPr>
          <w:kern w:val="0"/>
        </w:rPr>
        <w:lastRenderedPageBreak/>
        <w:t>the bene fi ts</w:t>
      </w:r>
      <w:r w:rsidR="005853A9">
        <w:rPr>
          <w:kern w:val="0"/>
        </w:rPr>
        <w:t xml:space="preserve"> and </w:t>
      </w:r>
      <w:r>
        <w:rPr>
          <w:kern w:val="0"/>
        </w:rPr>
        <w:t>harms</w:t>
      </w:r>
      <w:r w:rsidR="00427468">
        <w:rPr>
          <w:kern w:val="0"/>
        </w:rPr>
        <w:t xml:space="preserve"> of </w:t>
      </w:r>
      <w:r>
        <w:rPr>
          <w:kern w:val="0"/>
        </w:rPr>
        <w:t>elective surgery.</w:t>
      </w:r>
    </w:p>
    <w:p w:rsidR="00365DE4" w:rsidRDefault="00365DE4" w:rsidP="00365DE4">
      <w:pPr>
        <w:pStyle w:val="a3"/>
        <w:rPr>
          <w:kern w:val="0"/>
        </w:rPr>
      </w:pPr>
      <w:r>
        <w:rPr>
          <w:kern w:val="0"/>
        </w:rPr>
        <w:t xml:space="preserve">Keywords: Authors, Cancer, Cavernous Hemangiomas, Citation, Clinical Trials, Clinical-Trials, Criteria, Diagnosis, Differential-Diagnosis, Focal Nodular Hyperplasia, Hepatic Hemangioma, Hepatocellular Adenoma, Intervention, Management, </w:t>
      </w:r>
      <w:r w:rsidR="00D5664A">
        <w:rPr>
          <w:kern w:val="0"/>
        </w:rPr>
        <w:t>MEDLINE</w:t>
      </w:r>
      <w:r>
        <w:rPr>
          <w:kern w:val="0"/>
        </w:rPr>
        <w:t>, Methodology, Oral-Contraceptive Use, Outcomes, Prevalence, Prognosis, Randomized-Trials, Science, Science Citation Index, Surgery, Surgical-Treatment</w:t>
      </w:r>
    </w:p>
    <w:p w:rsidR="00365DE4" w:rsidRDefault="00365DE4" w:rsidP="00365DE4">
      <w:pPr>
        <w:pStyle w:val="a3"/>
        <w:rPr>
          <w:kern w:val="0"/>
        </w:rPr>
      </w:pPr>
      <w:r>
        <w:rPr>
          <w:kern w:val="0"/>
        </w:rPr>
        <w:t>? Gur</w:t>
      </w:r>
      <w:r w:rsidR="00D5664A">
        <w:rPr>
          <w:kern w:val="0"/>
        </w:rPr>
        <w:t>USA</w:t>
      </w:r>
      <w:r>
        <w:rPr>
          <w:kern w:val="0"/>
        </w:rPr>
        <w:t>my, K.S.</w:t>
      </w:r>
      <w:r w:rsidR="005853A9">
        <w:rPr>
          <w:kern w:val="0"/>
        </w:rPr>
        <w:t xml:space="preserve"> and </w:t>
      </w:r>
      <w:r>
        <w:rPr>
          <w:kern w:val="0"/>
        </w:rPr>
        <w:t xml:space="preserve">Samraj, K. (2007), Wound drains after incisional hernia repair.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CD005570.</w:t>
      </w:r>
    </w:p>
    <w:p w:rsidR="00365DE4" w:rsidRDefault="00365DE4" w:rsidP="00365DE4">
      <w:pPr>
        <w:pStyle w:val="a3"/>
        <w:rPr>
          <w:kern w:val="2"/>
        </w:rPr>
      </w:pPr>
      <w:r>
        <w:t xml:space="preserve">Full Text: </w:t>
      </w:r>
      <w:hyperlink r:id="rId517" w:history="1">
        <w:r>
          <w:rPr>
            <w:rStyle w:val="a5"/>
          </w:rPr>
          <w:t>2007\Coc Dat Sys Rev2007, CD005570.pdf</w:t>
        </w:r>
      </w:hyperlink>
    </w:p>
    <w:p w:rsidR="00365DE4" w:rsidRDefault="00365DE4" w:rsidP="00365DE4">
      <w:pPr>
        <w:pStyle w:val="a3"/>
        <w:rPr>
          <w:kern w:val="0"/>
        </w:rPr>
      </w:pPr>
      <w:r>
        <w:rPr>
          <w:kern w:val="0"/>
        </w:rPr>
        <w:t>Abstract: Incisional hernias are caused by the failure</w:t>
      </w:r>
      <w:r w:rsidR="00427468">
        <w:rPr>
          <w:kern w:val="0"/>
        </w:rPr>
        <w:t xml:space="preserve"> of </w:t>
      </w:r>
      <w:r>
        <w:rPr>
          <w:kern w:val="0"/>
        </w:rPr>
        <w:t>the wall</w:t>
      </w:r>
      <w:r w:rsidR="00427468">
        <w:rPr>
          <w:kern w:val="0"/>
        </w:rPr>
        <w:t xml:space="preserve"> of </w:t>
      </w:r>
      <w:r>
        <w:rPr>
          <w:kern w:val="0"/>
        </w:rPr>
        <w:t>the abdomen to close after abdominal surgery, leaving a hole through which the viscera protrude. Incisional hernias are repaired by further surgery. Surgical drains are frequently inserted during hernia repair with the aim</w:t>
      </w:r>
      <w:r w:rsidR="00427468">
        <w:rPr>
          <w:kern w:val="0"/>
        </w:rPr>
        <w:t xml:space="preserve"> of </w:t>
      </w:r>
      <w:r>
        <w:rPr>
          <w:kern w:val="0"/>
        </w:rPr>
        <w:t>facilitating fluid drainage</w:t>
      </w:r>
      <w:r w:rsidR="005853A9">
        <w:rPr>
          <w:kern w:val="0"/>
        </w:rPr>
        <w:t xml:space="preserve"> and </w:t>
      </w:r>
      <w:r>
        <w:rPr>
          <w:kern w:val="0"/>
        </w:rPr>
        <w:t>preventing complications. Traditional teaching has recommended the use</w:t>
      </w:r>
      <w:r w:rsidR="00427468">
        <w:rPr>
          <w:kern w:val="0"/>
        </w:rPr>
        <w:t xml:space="preserve"> of </w:t>
      </w:r>
      <w:r>
        <w:rPr>
          <w:kern w:val="0"/>
        </w:rPr>
        <w:t>drains after incisional hernia repair other than for laparoscopic ventral hernia repair. More than 50%</w:t>
      </w:r>
      <w:r w:rsidR="00427468">
        <w:rPr>
          <w:kern w:val="0"/>
        </w:rPr>
        <w:t xml:space="preserve"> of </w:t>
      </w:r>
      <w:r>
        <w:rPr>
          <w:kern w:val="0"/>
        </w:rPr>
        <w:t>open mesh repairs</w:t>
      </w:r>
      <w:r w:rsidR="00427468">
        <w:rPr>
          <w:kern w:val="0"/>
        </w:rPr>
        <w:t xml:space="preserve"> of </w:t>
      </w:r>
      <w:r>
        <w:rPr>
          <w:kern w:val="0"/>
        </w:rPr>
        <w:t>ventral hernias have drains inserted. However, there is uncertainty as to whether drains are associated with benefits or harms to the patient. To determine the effects on wound infection</w:t>
      </w:r>
      <w:r w:rsidR="005853A9">
        <w:rPr>
          <w:kern w:val="0"/>
        </w:rPr>
        <w:t xml:space="preserve"> and </w:t>
      </w:r>
      <w:r>
        <w:rPr>
          <w:kern w:val="0"/>
        </w:rPr>
        <w:t>other outcomes,</w:t>
      </w:r>
      <w:r w:rsidR="00427468">
        <w:rPr>
          <w:kern w:val="0"/>
        </w:rPr>
        <w:t xml:space="preserve"> of </w:t>
      </w:r>
      <w:r>
        <w:rPr>
          <w:kern w:val="0"/>
        </w:rPr>
        <w:t>inserting a wound drain during surgery to repair incisional hernias, and, if possible, to determine the comparative effects</w:t>
      </w:r>
      <w:r w:rsidR="00427468">
        <w:rPr>
          <w:kern w:val="0"/>
        </w:rPr>
        <w:t xml:space="preserve"> of </w:t>
      </w:r>
      <w:r>
        <w:rPr>
          <w:kern w:val="0"/>
        </w:rPr>
        <w:t>different types</w:t>
      </w:r>
      <w:r w:rsidR="00427468">
        <w:rPr>
          <w:kern w:val="0"/>
        </w:rPr>
        <w:t xml:space="preserve"> of </w:t>
      </w:r>
      <w:r>
        <w:rPr>
          <w:kern w:val="0"/>
        </w:rPr>
        <w:t>wound drain after incisional hernia repair. We searched the Cochrane Wounds Group Specialised Register (last searched March 2006), the Cochrane Central Register</w:t>
      </w:r>
      <w:r w:rsidR="00427468">
        <w:rPr>
          <w:kern w:val="0"/>
        </w:rPr>
        <w:t xml:space="preserve"> of </w:t>
      </w:r>
      <w:r>
        <w:rPr>
          <w:kern w:val="0"/>
        </w:rPr>
        <w:t>Controlled Trials (CENTRAL)(The Cochrane Library Issue 1, 2006), EMBASE (1974 to March 2006), PUBMED (1951 to March 2006),</w:t>
      </w:r>
      <w:r w:rsidR="005853A9">
        <w:rPr>
          <w:kern w:val="0"/>
        </w:rPr>
        <w:t xml:space="preserve"> and </w:t>
      </w:r>
      <w:r>
        <w:rPr>
          <w:kern w:val="0"/>
        </w:rPr>
        <w:t>Science Citation Index Expanded (1974 to March 2006). We also searched the meta-register</w:t>
      </w:r>
      <w:r w:rsidR="00427468">
        <w:rPr>
          <w:kern w:val="0"/>
        </w:rPr>
        <w:t xml:space="preserve"> of </w:t>
      </w:r>
      <w:r>
        <w:rPr>
          <w:kern w:val="0"/>
        </w:rPr>
        <w:t>controlled trials. We considered all randomised trials performed in adult patients who underwent incisional hernia repair</w:t>
      </w:r>
      <w:r w:rsidR="005853A9">
        <w:rPr>
          <w:kern w:val="0"/>
        </w:rPr>
        <w:t xml:space="preserve"> and </w:t>
      </w:r>
      <w:r>
        <w:rPr>
          <w:kern w:val="0"/>
        </w:rPr>
        <w:t>that compared using a drain with no drain. We also considered trials that compared different types</w:t>
      </w:r>
      <w:r w:rsidR="00427468">
        <w:rPr>
          <w:kern w:val="0"/>
        </w:rPr>
        <w:t xml:space="preserve"> of </w:t>
      </w:r>
      <w:r>
        <w:rPr>
          <w:kern w:val="0"/>
        </w:rPr>
        <w:t>drain. We extracted data on the characteristics</w:t>
      </w:r>
      <w:r w:rsidR="00427468">
        <w:rPr>
          <w:kern w:val="0"/>
        </w:rPr>
        <w:t xml:space="preserve"> of </w:t>
      </w:r>
      <w:r>
        <w:rPr>
          <w:kern w:val="0"/>
        </w:rPr>
        <w:t>the trial, methodological quality</w:t>
      </w:r>
      <w:r w:rsidR="00427468">
        <w:rPr>
          <w:kern w:val="0"/>
        </w:rPr>
        <w:t xml:space="preserve"> of </w:t>
      </w:r>
      <w:r>
        <w:rPr>
          <w:kern w:val="0"/>
        </w:rPr>
        <w:t>the trials, outcomes (e.g. infection</w:t>
      </w:r>
      <w:r w:rsidR="005853A9">
        <w:rPr>
          <w:kern w:val="0"/>
        </w:rPr>
        <w:t xml:space="preserve"> and </w:t>
      </w:r>
      <w:r>
        <w:rPr>
          <w:kern w:val="0"/>
        </w:rPr>
        <w:t>other wound complications) from each trial. For each outcome we calculated the risk ratio (RR) with 95% confidence intervals (CI)</w:t>
      </w:r>
      <w:r w:rsidR="005853A9">
        <w:rPr>
          <w:kern w:val="0"/>
        </w:rPr>
        <w:t xml:space="preserve"> and </w:t>
      </w:r>
      <w:r>
        <w:rPr>
          <w:kern w:val="0"/>
        </w:rPr>
        <w:t>based on intention-to-treat analysis. Only one trial was eligible for inclusion in the review with a total</w:t>
      </w:r>
      <w:r w:rsidR="00427468">
        <w:rPr>
          <w:kern w:val="0"/>
        </w:rPr>
        <w:t xml:space="preserve"> of </w:t>
      </w:r>
      <w:r>
        <w:rPr>
          <w:kern w:val="0"/>
        </w:rPr>
        <w:t>24 patients randomised to an electrified drain (12 patients) compared with a corrugated drain (12 patients)</w:t>
      </w:r>
      <w:r w:rsidR="00A37C1D">
        <w:rPr>
          <w:kern w:val="0"/>
        </w:rPr>
        <w:t>. The</w:t>
      </w:r>
      <w:r>
        <w:rPr>
          <w:kern w:val="0"/>
        </w:rPr>
        <w:t>re were no statistically significant differences between the groups for any</w:t>
      </w:r>
      <w:r w:rsidR="00427468">
        <w:rPr>
          <w:kern w:val="0"/>
        </w:rPr>
        <w:t xml:space="preserve"> of </w:t>
      </w:r>
      <w:r>
        <w:rPr>
          <w:kern w:val="0"/>
        </w:rPr>
        <w:t>the outcomes (a variety</w:t>
      </w:r>
      <w:r w:rsidR="00427468">
        <w:rPr>
          <w:kern w:val="0"/>
        </w:rPr>
        <w:t xml:space="preserve"> of </w:t>
      </w:r>
      <w:r>
        <w:rPr>
          <w:kern w:val="0"/>
        </w:rPr>
        <w:t>measures</w:t>
      </w:r>
      <w:r w:rsidR="00427468">
        <w:rPr>
          <w:kern w:val="0"/>
        </w:rPr>
        <w:t xml:space="preserve"> of </w:t>
      </w:r>
      <w:r>
        <w:rPr>
          <w:kern w:val="0"/>
        </w:rPr>
        <w:t>infection)</w:t>
      </w:r>
      <w:r w:rsidR="00A37C1D">
        <w:rPr>
          <w:kern w:val="0"/>
        </w:rPr>
        <w:t>. The</w:t>
      </w:r>
      <w:r>
        <w:rPr>
          <w:kern w:val="0"/>
        </w:rPr>
        <w:t>re is insufficient evidence to determine whether wound drains after incisional hernia repair are associated with better or worse outcomes than no drains.</w:t>
      </w:r>
    </w:p>
    <w:p w:rsidR="00365DE4" w:rsidRDefault="00365DE4" w:rsidP="00365DE4">
      <w:pPr>
        <w:pStyle w:val="a3"/>
        <w:rPr>
          <w:kern w:val="0"/>
        </w:rPr>
      </w:pPr>
      <w:r>
        <w:rPr>
          <w:kern w:val="0"/>
        </w:rPr>
        <w:t xml:space="preserve">Keywords: Characteristics, Citation, Complications, Drainage, Groups, Mesh, </w:t>
      </w:r>
      <w:r>
        <w:rPr>
          <w:kern w:val="0"/>
        </w:rPr>
        <w:lastRenderedPageBreak/>
        <w:t>Outcomes, Prevention, Review, Risk, Risk-Factors, Science, Science Citation Index, Selective Use, Seromas, Surgery, Surgical Site Infection, Thyroid-Surgery, Trials, Uncertainty, Ventral Hernias</w:t>
      </w:r>
    </w:p>
    <w:p w:rsidR="00365DE4" w:rsidRDefault="00365DE4" w:rsidP="00365DE4">
      <w:pPr>
        <w:pStyle w:val="a3"/>
        <w:rPr>
          <w:kern w:val="2"/>
        </w:rPr>
      </w:pPr>
      <w:r>
        <w:rPr>
          <w:kern w:val="0"/>
        </w:rPr>
        <w:t>? Gur</w:t>
      </w:r>
      <w:r w:rsidR="00D5664A">
        <w:rPr>
          <w:kern w:val="0"/>
        </w:rPr>
        <w:t>USA</w:t>
      </w:r>
      <w:r>
        <w:rPr>
          <w:kern w:val="0"/>
        </w:rPr>
        <w:t>my, K.S.</w:t>
      </w:r>
      <w:r w:rsidR="005853A9">
        <w:rPr>
          <w:kern w:val="0"/>
        </w:rPr>
        <w:t xml:space="preserve"> and </w:t>
      </w:r>
      <w:r>
        <w:rPr>
          <w:kern w:val="0"/>
        </w:rPr>
        <w:t xml:space="preserve">Samraj, K. (2007), Primary closure versus T-tube drainage after open common bile duct exploration.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CD005640.</w:t>
      </w:r>
    </w:p>
    <w:p w:rsidR="00365DE4" w:rsidRDefault="00365DE4" w:rsidP="00365DE4">
      <w:pPr>
        <w:pStyle w:val="a3"/>
      </w:pPr>
      <w:r>
        <w:t xml:space="preserve">Full Text: </w:t>
      </w:r>
      <w:hyperlink r:id="rId518" w:history="1">
        <w:r>
          <w:rPr>
            <w:rStyle w:val="a5"/>
          </w:rPr>
          <w:t>2007\Coc Dat Sys Rev2007, CD005640.pdf</w:t>
        </w:r>
      </w:hyperlink>
    </w:p>
    <w:p w:rsidR="00365DE4" w:rsidRDefault="00365DE4" w:rsidP="00365DE4">
      <w:pPr>
        <w:pStyle w:val="a3"/>
        <w:rPr>
          <w:kern w:val="0"/>
        </w:rPr>
      </w:pPr>
      <w:r>
        <w:rPr>
          <w:kern w:val="0"/>
        </w:rPr>
        <w:t>Abstract: Between 5%</w:t>
      </w:r>
      <w:r w:rsidR="005853A9">
        <w:rPr>
          <w:kern w:val="0"/>
        </w:rPr>
        <w:t xml:space="preserve"> and </w:t>
      </w:r>
      <w:r>
        <w:rPr>
          <w:kern w:val="0"/>
        </w:rPr>
        <w:t>11%</w:t>
      </w:r>
      <w:r w:rsidR="00427468">
        <w:rPr>
          <w:kern w:val="0"/>
        </w:rPr>
        <w:t xml:space="preserve"> of </w:t>
      </w:r>
      <w:r>
        <w:rPr>
          <w:kern w:val="0"/>
        </w:rPr>
        <w:t>people undergoing cholecystectomy have common bile duct stones. Open common bile duct exploration is an important operation when endoscopic retrograde cholangio-pancreatography fails or when expertise for laparoscopic common bile duct exploration is not available</w:t>
      </w:r>
      <w:r w:rsidR="00A37C1D">
        <w:rPr>
          <w:kern w:val="0"/>
        </w:rPr>
        <w:t>. The</w:t>
      </w:r>
      <w:r>
        <w:rPr>
          <w:kern w:val="0"/>
        </w:rPr>
        <w:t xml:space="preserve"> optimal method for performing open common bile duct exploration is unclear</w:t>
      </w:r>
      <w:r w:rsidR="00A37C1D">
        <w:rPr>
          <w:kern w:val="0"/>
        </w:rPr>
        <w:t>. The</w:t>
      </w:r>
      <w:r>
        <w:rPr>
          <w:kern w:val="0"/>
        </w:rPr>
        <w:t xml:space="preserve"> aim is to assess the benefits</w:t>
      </w:r>
      <w:r w:rsidR="005853A9">
        <w:rPr>
          <w:kern w:val="0"/>
        </w:rPr>
        <w:t xml:space="preserve"> and </w:t>
      </w:r>
      <w:r>
        <w:rPr>
          <w:kern w:val="0"/>
        </w:rPr>
        <w:t>harms</w:t>
      </w:r>
      <w:r w:rsidR="00427468">
        <w:rPr>
          <w:kern w:val="0"/>
        </w:rPr>
        <w:t xml:space="preserve"> of </w:t>
      </w:r>
      <w:r>
        <w:rPr>
          <w:kern w:val="0"/>
        </w:rPr>
        <w:t>primary closure versus routine T-tube drainage in open common bile duct exploration for common bile duct stones.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January 2006. We considered for inclusion all randomised clinical trials comparing primary closure (with or without biliary stent) versus T-tube drainage after open common bile duct exploration. We collected the data on the characteristics, methodological quality, mortality, morbidity, operating time,</w:t>
      </w:r>
      <w:r w:rsidR="005853A9">
        <w:rPr>
          <w:kern w:val="0"/>
        </w:rPr>
        <w:t xml:space="preserve"> and </w:t>
      </w:r>
      <w:r>
        <w:rPr>
          <w:kern w:val="0"/>
        </w:rPr>
        <w:t>hospital stay from each trial. We analysed the data with both the fixed-effect</w:t>
      </w:r>
      <w:r w:rsidR="005853A9">
        <w:rPr>
          <w:kern w:val="0"/>
        </w:rPr>
        <w:t xml:space="preserve"> and </w:t>
      </w:r>
      <w:r>
        <w:rPr>
          <w:kern w:val="0"/>
        </w:rPr>
        <w:t>the random-effects model using RevMan Analysis. For each outcome we calculated the odds ratio (OR) with 95% confidence intervals (CI) based on intention-to-treat analysis. We included five trials with 324 patients randomised: 165 to primary closure without stent</w:t>
      </w:r>
      <w:r w:rsidR="005853A9">
        <w:rPr>
          <w:kern w:val="0"/>
        </w:rPr>
        <w:t xml:space="preserve"> and </w:t>
      </w:r>
      <w:r>
        <w:rPr>
          <w:kern w:val="0"/>
        </w:rPr>
        <w:t>159 to T-tube. Three</w:t>
      </w:r>
      <w:r w:rsidR="00427468">
        <w:rPr>
          <w:kern w:val="0"/>
        </w:rPr>
        <w:t xml:space="preserve"> of </w:t>
      </w:r>
      <w:r>
        <w:rPr>
          <w:kern w:val="0"/>
        </w:rPr>
        <w:t>the five trials were considered to have adequate methodological quality, but all lacked blinded outcome assessment</w:t>
      </w:r>
      <w:r w:rsidR="00A37C1D">
        <w:rPr>
          <w:kern w:val="0"/>
        </w:rPr>
        <w:t>. The</w:t>
      </w:r>
      <w:r>
        <w:rPr>
          <w:kern w:val="0"/>
        </w:rPr>
        <w:t xml:space="preserve"> primary closure group had significantly lower positive bile culture (3 trials, OR 0.22, 95% CI 0.10 to 0.45)</w:t>
      </w:r>
      <w:r w:rsidR="005853A9">
        <w:rPr>
          <w:kern w:val="0"/>
        </w:rPr>
        <w:t xml:space="preserve"> and </w:t>
      </w:r>
      <w:r>
        <w:rPr>
          <w:kern w:val="0"/>
        </w:rPr>
        <w:t>wound infection (5 trials, OR 0.29, 95% CI 0.15 to 0.56). When only trials with high methodological quality were included, there was no statistically significant difference in any</w:t>
      </w:r>
      <w:r w:rsidR="00427468">
        <w:rPr>
          <w:kern w:val="0"/>
        </w:rPr>
        <w:t xml:space="preserve"> of </w:t>
      </w:r>
      <w:r>
        <w:rPr>
          <w:kern w:val="0"/>
        </w:rPr>
        <w:t>the outcomes except positive bile culture, which became non-significant when the random- effects model was used</w:t>
      </w:r>
      <w:r w:rsidR="00A37C1D">
        <w:rPr>
          <w:kern w:val="0"/>
        </w:rPr>
        <w:t>. The</w:t>
      </w:r>
      <w:r>
        <w:rPr>
          <w:kern w:val="0"/>
        </w:rPr>
        <w:t xml:space="preserve"> deaths</w:t>
      </w:r>
      <w:r w:rsidR="00427468">
        <w:rPr>
          <w:kern w:val="0"/>
        </w:rPr>
        <w:t xml:space="preserve"> of </w:t>
      </w:r>
      <w:r>
        <w:rPr>
          <w:kern w:val="0"/>
        </w:rPr>
        <w:t>the three patients in the T-tube group were directly related to surgery</w:t>
      </w:r>
      <w:r w:rsidR="005853A9">
        <w:rPr>
          <w:kern w:val="0"/>
        </w:rPr>
        <w:t xml:space="preserve"> and </w:t>
      </w:r>
      <w:r>
        <w:rPr>
          <w:kern w:val="0"/>
        </w:rPr>
        <w:t>sepsis. Bile peritonitis was higher in the T-tube group (2.9%) than in the primary closure group (1%) (not statistically significant). Hospital stay was significantly longer in the T-tube group compared with the primary closure group in three</w:t>
      </w:r>
      <w:r w:rsidR="00427468">
        <w:rPr>
          <w:kern w:val="0"/>
        </w:rPr>
        <w:t xml:space="preserve"> of </w:t>
      </w:r>
      <w:r>
        <w:rPr>
          <w:kern w:val="0"/>
        </w:rPr>
        <w:t>the four trials, which reported on the hospital stay</w:t>
      </w:r>
      <w:r w:rsidR="00A37C1D">
        <w:rPr>
          <w:kern w:val="0"/>
        </w:rPr>
        <w:t>. The</w:t>
      </w:r>
      <w:r>
        <w:rPr>
          <w:kern w:val="0"/>
        </w:rPr>
        <w:t xml:space="preserve"> only trial comparing primary closure with stent (37 patients) versus T-tube drainage (44 patients) did not reveal any statistically significant difference in any</w:t>
      </w:r>
      <w:r w:rsidR="00427468">
        <w:rPr>
          <w:kern w:val="0"/>
        </w:rPr>
        <w:t xml:space="preserve"> of </w:t>
      </w:r>
      <w:r>
        <w:rPr>
          <w:kern w:val="0"/>
        </w:rPr>
        <w:t xml:space="preserve">the reported outcomes (mortality, re-operations, </w:t>
      </w:r>
      <w:r>
        <w:rPr>
          <w:kern w:val="0"/>
        </w:rPr>
        <w:lastRenderedPageBreak/>
        <w:t>wound infection,</w:t>
      </w:r>
      <w:r w:rsidR="005853A9">
        <w:rPr>
          <w:kern w:val="0"/>
        </w:rPr>
        <w:t xml:space="preserve"> and </w:t>
      </w:r>
      <w:r>
        <w:rPr>
          <w:kern w:val="0"/>
        </w:rPr>
        <w:t>hospital stay)</w:t>
      </w:r>
      <w:r w:rsidR="00A37C1D">
        <w:rPr>
          <w:kern w:val="0"/>
        </w:rPr>
        <w:t>. The</w:t>
      </w:r>
      <w:r>
        <w:rPr>
          <w:kern w:val="0"/>
        </w:rPr>
        <w:t>re was one case</w:t>
      </w:r>
      <w:r w:rsidR="00427468">
        <w:rPr>
          <w:kern w:val="0"/>
        </w:rPr>
        <w:t xml:space="preserve"> of </w:t>
      </w:r>
      <w:r>
        <w:rPr>
          <w:kern w:val="0"/>
        </w:rPr>
        <w:t>stent migration, which could not be retrieved after two attempts</w:t>
      </w:r>
      <w:r w:rsidR="00427468">
        <w:rPr>
          <w:kern w:val="0"/>
        </w:rPr>
        <w:t xml:space="preserve"> of </w:t>
      </w:r>
      <w:r>
        <w:rPr>
          <w:kern w:val="0"/>
        </w:rPr>
        <w:t>ERCP. Primary closure after common bile duct exploration seems at least as safe as T-tube drainage. We need randomised trials that assess whether stents may offer benefits.</w:t>
      </w:r>
    </w:p>
    <w:p w:rsidR="00365DE4" w:rsidRDefault="00365DE4" w:rsidP="00365DE4">
      <w:pPr>
        <w:pStyle w:val="a3"/>
        <w:rPr>
          <w:kern w:val="0"/>
        </w:rPr>
      </w:pPr>
      <w:r>
        <w:rPr>
          <w:kern w:val="0"/>
        </w:rPr>
        <w:t xml:space="preserve">Keywords: Assessment, Bias, Characteristics, Choledochorrhaphy, Choledochotomy, Citation, Clinical Trials, Clinical-Trials, Culture, Drainage, Laparoscopic Cholecystectomy, </w:t>
      </w:r>
      <w:r w:rsidR="00D5664A">
        <w:rPr>
          <w:kern w:val="0"/>
        </w:rPr>
        <w:t>MEDLINE</w:t>
      </w:r>
      <w:r>
        <w:rPr>
          <w:kern w:val="0"/>
        </w:rPr>
        <w:t>, Metaanalysis, Migration, Model, Outcomes, Positive, Primary, Quality, Randomized-Trials, Recurrent Choledocholithiasis, Science, Science Citation Index, Sphincterotomy, Surgery</w:t>
      </w:r>
    </w:p>
    <w:p w:rsidR="00365DE4" w:rsidRDefault="00365DE4" w:rsidP="00365DE4">
      <w:pPr>
        <w:pStyle w:val="a3"/>
        <w:rPr>
          <w:kern w:val="2"/>
        </w:rPr>
      </w:pPr>
      <w:r>
        <w:rPr>
          <w:kern w:val="0"/>
        </w:rPr>
        <w:t>? Gur</w:t>
      </w:r>
      <w:r w:rsidR="00D5664A">
        <w:rPr>
          <w:kern w:val="0"/>
        </w:rPr>
        <w:t>USA</w:t>
      </w:r>
      <w:r>
        <w:rPr>
          <w:kern w:val="0"/>
        </w:rPr>
        <w:t>my, K.S.</w:t>
      </w:r>
      <w:r w:rsidR="005853A9">
        <w:rPr>
          <w:kern w:val="0"/>
        </w:rPr>
        <w:t xml:space="preserve"> and </w:t>
      </w:r>
      <w:r>
        <w:rPr>
          <w:kern w:val="0"/>
        </w:rPr>
        <w:t xml:space="preserve">Samraj, K. (2007), Cholecystectomy versus no cholecystectomy in patients with silent gallstones.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CD006230.</w:t>
      </w:r>
    </w:p>
    <w:p w:rsidR="00365DE4" w:rsidRDefault="00365DE4" w:rsidP="00365DE4">
      <w:pPr>
        <w:pStyle w:val="a3"/>
      </w:pPr>
      <w:r>
        <w:t xml:space="preserve">Full Text: </w:t>
      </w:r>
      <w:hyperlink r:id="rId519" w:history="1">
        <w:r>
          <w:rPr>
            <w:rStyle w:val="a5"/>
          </w:rPr>
          <w:t>2007\Coc Dat Sys Rev2007, CD006230.pdf</w:t>
        </w:r>
      </w:hyperlink>
    </w:p>
    <w:p w:rsidR="00365DE4" w:rsidRDefault="00365DE4" w:rsidP="00365DE4">
      <w:pPr>
        <w:pStyle w:val="a3"/>
        <w:rPr>
          <w:kern w:val="0"/>
        </w:rPr>
      </w:pPr>
      <w:r>
        <w:rPr>
          <w:kern w:val="0"/>
        </w:rPr>
        <w:t>Abstract: Background Cholecystectomy is currently advised only for patients with symptomatic gallstones. However, about 4%</w:t>
      </w:r>
      <w:r w:rsidR="00427468">
        <w:rPr>
          <w:kern w:val="0"/>
        </w:rPr>
        <w:t xml:space="preserve"> of </w:t>
      </w:r>
      <w:r>
        <w:rPr>
          <w:kern w:val="0"/>
        </w:rPr>
        <w:t>patients with asymptomatic gallstones develop symptom including cholecystitis, obstructive jaundice, pancreatitis,</w:t>
      </w:r>
      <w:r w:rsidR="005853A9">
        <w:rPr>
          <w:kern w:val="0"/>
        </w:rPr>
        <w:t xml:space="preserve"> and </w:t>
      </w:r>
      <w:r>
        <w:rPr>
          <w:kern w:val="0"/>
        </w:rPr>
        <w:t>gallbladder cancer. Objectives To assess the benefits</w:t>
      </w:r>
      <w:r w:rsidR="005853A9">
        <w:rPr>
          <w:kern w:val="0"/>
        </w:rPr>
        <w:t xml:space="preserve"> and </w:t>
      </w:r>
      <w:r>
        <w:rPr>
          <w:kern w:val="0"/>
        </w:rPr>
        <w:t>harms</w:t>
      </w:r>
      <w:r w:rsidR="00427468">
        <w:rPr>
          <w:kern w:val="0"/>
        </w:rPr>
        <w:t xml:space="preserve"> of </w:t>
      </w:r>
      <w:r>
        <w:rPr>
          <w:kern w:val="0"/>
        </w:rPr>
        <w:t>surgical removal</w:t>
      </w:r>
      <w:r w:rsidR="00427468">
        <w:rPr>
          <w:kern w:val="0"/>
        </w:rPr>
        <w:t xml:space="preserve"> of </w:t>
      </w:r>
      <w:r>
        <w:rPr>
          <w:kern w:val="0"/>
        </w:rPr>
        <w:t>the gallbladder for patients with asymptomatic gallstones.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2006 for identifying the randomised trials using The Cochrane Hepato-Biliary Group search strategy. Selection criteria Only randomised clinical trials (irrespective</w:t>
      </w:r>
      <w:r w:rsidR="00427468">
        <w:rPr>
          <w:kern w:val="0"/>
        </w:rPr>
        <w:t xml:space="preserve"> of </w:t>
      </w:r>
      <w:r>
        <w:rPr>
          <w:kern w:val="0"/>
        </w:rPr>
        <w:t>language, blinding, or publication status) comparing cholecystectomy</w:t>
      </w:r>
      <w:r w:rsidR="005853A9">
        <w:rPr>
          <w:kern w:val="0"/>
        </w:rPr>
        <w:t xml:space="preserve"> and </w:t>
      </w:r>
      <w:r>
        <w:rPr>
          <w:kern w:val="0"/>
        </w:rPr>
        <w:t>no cholecystectomy were considered for the review. Data collection</w:t>
      </w:r>
      <w:r w:rsidR="005853A9">
        <w:rPr>
          <w:kern w:val="0"/>
        </w:rPr>
        <w:t xml:space="preserve"> and </w:t>
      </w:r>
      <w:r>
        <w:rPr>
          <w:kern w:val="0"/>
        </w:rPr>
        <w:t>analysis We were unable to identify any randomised clinical trials comparing cholecystectomy versus no cholecystectomy. Main results We were unable to identify any randomised clinical trial comparing cholecystectomy versus no cholecystectomy. Authors</w:t>
      </w:r>
      <w:r w:rsidR="0071223E">
        <w:rPr>
          <w:kern w:val="0"/>
        </w:rPr>
        <w:t>’</w:t>
      </w:r>
      <w:r>
        <w:rPr>
          <w:kern w:val="0"/>
        </w:rPr>
        <w:t xml:space="preserve"> conclusions There are no randomised trials comparing cholecystectomy versus no cholecystectomy in patients with silent gallstones. Further evaluation</w:t>
      </w:r>
      <w:r w:rsidR="00427468">
        <w:rPr>
          <w:kern w:val="0"/>
        </w:rPr>
        <w:t xml:space="preserve"> of </w:t>
      </w:r>
      <w:r>
        <w:rPr>
          <w:kern w:val="0"/>
        </w:rPr>
        <w:t>observational studies, which measure outcomes such as obstructive jaundice, gallstone-associated pancreatitis, and/or gall-bladder cancer for sufficient duration</w:t>
      </w:r>
      <w:r w:rsidR="00427468">
        <w:rPr>
          <w:kern w:val="0"/>
        </w:rPr>
        <w:t xml:space="preserve"> of </w:t>
      </w:r>
      <w:r>
        <w:rPr>
          <w:kern w:val="0"/>
        </w:rPr>
        <w:t>follow-up is necessary before randomised trials a redesigned in order to evaluate whether cholecystectomy or no cholecystectomy is better for a symptomatic gallstones.</w:t>
      </w:r>
    </w:p>
    <w:p w:rsidR="00365DE4" w:rsidRDefault="00365DE4" w:rsidP="00365DE4">
      <w:pPr>
        <w:pStyle w:val="a3"/>
        <w:rPr>
          <w:kern w:val="0"/>
        </w:rPr>
      </w:pPr>
      <w:r>
        <w:rPr>
          <w:kern w:val="0"/>
        </w:rPr>
        <w:t xml:space="preserve">Keywords: Acute Cholecystitis, Acute-Pancreatitis, Asymptomatic Gallstones, Authors, Bile-Duct Stones, Cancer, Citation, Clinical Trials, Criteria, Evaluation, Gallbladder Cancer, Language, Laparoscopic Transcystic Management, </w:t>
      </w:r>
      <w:r w:rsidR="00D5664A">
        <w:rPr>
          <w:kern w:val="0"/>
        </w:rPr>
        <w:t>MEDLINE</w:t>
      </w:r>
      <w:r>
        <w:rPr>
          <w:kern w:val="0"/>
        </w:rPr>
        <w:t xml:space="preserve">, Outcomes, Porcelain Gallbladder, Publication, Randomized-Trials, Removal, Review, Science, </w:t>
      </w:r>
      <w:r>
        <w:rPr>
          <w:kern w:val="0"/>
        </w:rPr>
        <w:lastRenderedPageBreak/>
        <w:t>Science Citation Index, Shock-Wave Therapy, Tert-Butyl Ether</w:t>
      </w:r>
    </w:p>
    <w:p w:rsidR="00365DE4" w:rsidRDefault="00365DE4" w:rsidP="00365DE4">
      <w:pPr>
        <w:pStyle w:val="a3"/>
        <w:rPr>
          <w:kern w:val="2"/>
        </w:rPr>
      </w:pPr>
      <w:r>
        <w:t>? Wager, E.</w:t>
      </w:r>
      <w:r w:rsidR="005853A9">
        <w:t xml:space="preserve"> and </w:t>
      </w:r>
      <w:r>
        <w:t>Middleton, P. (2007), Technical editing</w:t>
      </w:r>
      <w:r w:rsidR="00427468">
        <w:t xml:space="preserve"> of </w:t>
      </w:r>
      <w:r>
        <w:t xml:space="preserve">research reports in biomedical journals. </w:t>
      </w:r>
      <w:r>
        <w:rPr>
          <w:i/>
          <w:iCs/>
        </w:rPr>
        <w:t>Cochrane Database</w:t>
      </w:r>
      <w:r w:rsidR="00427468">
        <w:rPr>
          <w:i/>
          <w:iCs/>
        </w:rPr>
        <w:t xml:space="preserve"> of </w:t>
      </w:r>
      <w:r>
        <w:rPr>
          <w:i/>
          <w:iCs/>
        </w:rPr>
        <w:t>Systematic Reviews</w:t>
      </w:r>
      <w:r>
        <w:t xml:space="preserve">, </w:t>
      </w:r>
      <w:r>
        <w:rPr>
          <w:b/>
          <w:bCs/>
        </w:rPr>
        <w:t>2</w:t>
      </w:r>
      <w:r>
        <w:t>, Article Number: MR000002.</w:t>
      </w:r>
    </w:p>
    <w:p w:rsidR="00365DE4" w:rsidRDefault="00365DE4" w:rsidP="00365DE4">
      <w:pPr>
        <w:pStyle w:val="a3"/>
      </w:pPr>
      <w:r>
        <w:t xml:space="preserve">Full Text: </w:t>
      </w:r>
      <w:hyperlink r:id="rId520" w:history="1">
        <w:r>
          <w:rPr>
            <w:rStyle w:val="a5"/>
          </w:rPr>
          <w:t>2007\Coc Dat Sys Rev2007, MR000002.pdf</w:t>
        </w:r>
      </w:hyperlink>
    </w:p>
    <w:p w:rsidR="00365DE4" w:rsidRDefault="00365DE4" w:rsidP="00365DE4">
      <w:pPr>
        <w:pStyle w:val="a3"/>
      </w:pPr>
      <w:r>
        <w:t xml:space="preserve">Abstract: Background Most journals try to improve their articles by technical editing processes such as proof-reading, editing to conform to </w:t>
      </w:r>
      <w:r w:rsidR="0071223E">
        <w:t>‘</w:t>
      </w:r>
      <w:r>
        <w:t>house styles</w:t>
      </w:r>
      <w:r w:rsidR="0071223E">
        <w:t>’</w:t>
      </w:r>
      <w:r w:rsidR="005853A9">
        <w:t xml:space="preserve"> and </w:t>
      </w:r>
      <w:r>
        <w:t>grammatical conventions. Despite the considerable resources devoted to technical editing, we do not know whether it improves the accessibility</w:t>
      </w:r>
      <w:r w:rsidR="00427468">
        <w:t xml:space="preserve"> of </w:t>
      </w:r>
      <w:r>
        <w:t>biomedical research findings or the utility</w:t>
      </w:r>
      <w:r w:rsidR="00427468">
        <w:t xml:space="preserve"> of </w:t>
      </w:r>
      <w:r>
        <w:t>articles. Objectives To assess the effects</w:t>
      </w:r>
      <w:r w:rsidR="00427468">
        <w:t xml:space="preserve"> of </w:t>
      </w:r>
      <w:r>
        <w:t xml:space="preserve">technical editing on research reports in peer-reviewed biomedical journals. Search strategy We searched the Cochrane Library Issue 1, 2001, </w:t>
      </w:r>
      <w:r w:rsidR="00D5664A">
        <w:t>MEDLINE</w:t>
      </w:r>
      <w:r>
        <w:t xml:space="preserve"> (last searched February 2000), 12 other databases, handsearched 9 journals</w:t>
      </w:r>
      <w:r w:rsidR="005853A9">
        <w:t xml:space="preserve"> and </w:t>
      </w:r>
      <w:r>
        <w:t>checked relevant articles for further references. We also searched the Internet</w:t>
      </w:r>
      <w:r w:rsidR="005853A9">
        <w:t xml:space="preserve"> and </w:t>
      </w:r>
      <w:r>
        <w:t>contacted researchers</w:t>
      </w:r>
      <w:r w:rsidR="005853A9">
        <w:t xml:space="preserve"> and </w:t>
      </w:r>
      <w:r>
        <w:t>experts in the field. Selection criteria Prospective or retrospective comparative studies</w:t>
      </w:r>
      <w:r w:rsidR="00427468">
        <w:t xml:space="preserve"> of </w:t>
      </w:r>
      <w:r>
        <w:t>technical editing processes applied to original research articles in biomedical journals. Data collection</w:t>
      </w:r>
      <w:r w:rsidR="005853A9">
        <w:t xml:space="preserve"> and </w:t>
      </w:r>
      <w:r>
        <w:t>analysis Two reviewers independently assessed each study against the selection criteria</w:t>
      </w:r>
      <w:r w:rsidR="005853A9">
        <w:t xml:space="preserve"> and </w:t>
      </w:r>
      <w:r>
        <w:t>assessed the methodological quality</w:t>
      </w:r>
      <w:r w:rsidR="00427468">
        <w:t xml:space="preserve"> of </w:t>
      </w:r>
      <w:r>
        <w:t>each study. One reviewer extracted the data,</w:t>
      </w:r>
      <w:r w:rsidR="005853A9">
        <w:t xml:space="preserve"> and </w:t>
      </w:r>
      <w:r>
        <w:t>the second reviewer repeated this. Main results We located 18 studies addressing technical editing</w:t>
      </w:r>
      <w:r w:rsidR="005853A9">
        <w:t xml:space="preserve"> and </w:t>
      </w:r>
      <w:r>
        <w:t>35 surveys</w:t>
      </w:r>
      <w:r w:rsidR="00427468">
        <w:t xml:space="preserve"> of </w:t>
      </w:r>
      <w:r>
        <w:t>reference accuracy. Only two</w:t>
      </w:r>
      <w:r w:rsidR="00427468">
        <w:t xml:space="preserve"> of </w:t>
      </w:r>
      <w:r>
        <w:t xml:space="preserve">the studies were randomized controlled trials. A </w:t>
      </w:r>
      <w:r w:rsidR="0071223E">
        <w:t>‘</w:t>
      </w:r>
      <w:r>
        <w:t>package</w:t>
      </w:r>
      <w:r w:rsidR="0071223E">
        <w:t>’</w:t>
      </w:r>
      <w:r w:rsidR="00427468">
        <w:t xml:space="preserve"> of </w:t>
      </w:r>
      <w:r>
        <w:t>largely unspecified editorial processes applied between acceptance</w:t>
      </w:r>
      <w:r w:rsidR="005853A9">
        <w:t xml:space="preserve"> and </w:t>
      </w:r>
      <w:r>
        <w:t>publication was associated with improved readability in two studies</w:t>
      </w:r>
      <w:r w:rsidR="005853A9">
        <w:t xml:space="preserve"> and </w:t>
      </w:r>
      <w:r>
        <w:t>improved reporting quality in another two studies, while another study showed mixed results after stricter editorial policies were introduced. More intensive editorial processes were associated with fewer errors in abstracts</w:t>
      </w:r>
      <w:r w:rsidR="005853A9">
        <w:t xml:space="preserve"> and </w:t>
      </w:r>
      <w:r>
        <w:t>references. Providing instructions to authors was associated with improved reporting</w:t>
      </w:r>
      <w:r w:rsidR="00427468">
        <w:t xml:space="preserve"> of </w:t>
      </w:r>
      <w:r>
        <w:t>ethics requirements in one study</w:t>
      </w:r>
      <w:r w:rsidR="005853A9">
        <w:t xml:space="preserve"> and </w:t>
      </w:r>
      <w:r>
        <w:t>fewer errors in references in two studies, but no difference was seen in the quality</w:t>
      </w:r>
      <w:r w:rsidR="00427468">
        <w:t xml:space="preserve"> of </w:t>
      </w:r>
      <w:r>
        <w:t>abstracts in one randomized controlled trial. Structuring generally improved the quality</w:t>
      </w:r>
      <w:r w:rsidR="00427468">
        <w:t xml:space="preserve"> of </w:t>
      </w:r>
      <w:r>
        <w:t>abstracts, but increased their length</w:t>
      </w:r>
      <w:r w:rsidR="00A37C1D">
        <w:t>. The</w:t>
      </w:r>
      <w:r>
        <w:t xml:space="preserve"> reference accuracy studies showed a median citation error rate</w:t>
      </w:r>
      <w:r w:rsidR="00427468">
        <w:t xml:space="preserve"> of </w:t>
      </w:r>
      <w:r>
        <w:t>39%</w:t>
      </w:r>
      <w:r w:rsidR="005853A9">
        <w:t xml:space="preserve"> and </w:t>
      </w:r>
      <w:r>
        <w:t>a median quotation error rate</w:t>
      </w:r>
      <w:r w:rsidR="00427468">
        <w:t xml:space="preserve"> of </w:t>
      </w:r>
      <w:r>
        <w:t>20%. Authors</w:t>
      </w:r>
      <w:r w:rsidR="0071223E">
        <w:t>’</w:t>
      </w:r>
      <w:r>
        <w:t xml:space="preserve"> conclusions Surprisingly few studies have evaluated the effects</w:t>
      </w:r>
      <w:r w:rsidR="00427468">
        <w:t xml:space="preserve"> of </w:t>
      </w:r>
      <w:r>
        <w:t xml:space="preserve">technical editing rigorously. However there is some evidence that the </w:t>
      </w:r>
      <w:r w:rsidR="0071223E">
        <w:t>‘</w:t>
      </w:r>
      <w:r>
        <w:t>package</w:t>
      </w:r>
      <w:r w:rsidR="0071223E">
        <w:t>’</w:t>
      </w:r>
      <w:r w:rsidR="00427468">
        <w:t xml:space="preserve"> of </w:t>
      </w:r>
      <w:r>
        <w:t>technical editing used by biomedical journals does improve papers.</w:t>
      </w:r>
    </w:p>
    <w:p w:rsidR="00365DE4" w:rsidRDefault="00365DE4" w:rsidP="00365DE4">
      <w:pPr>
        <w:pStyle w:val="a3"/>
      </w:pPr>
      <w:r>
        <w:t xml:space="preserve">Keywords: Acceptance, Accuracy, Analysis, Biomedical, Biomedical Journals, Biomedical Research, Citation, Citation Error, Clinical-Trials, Collection, Controlled Trial, Criteria, Data, Databases, Editorial Policies, Error, Error Rate, Errors, Ethics, Evidence, Experts, Field, General Surgical Journals, Internal-Medicine, Internet, Journals, Length, Medical Journals, </w:t>
      </w:r>
      <w:r w:rsidR="00D5664A">
        <w:t>MEDLINE</w:t>
      </w:r>
      <w:r>
        <w:t xml:space="preserve">, Original Research Articles, Papers, </w:t>
      </w:r>
      <w:r>
        <w:lastRenderedPageBreak/>
        <w:t>Peer-Reviewed, Policies, Publication, Quality, Quality of, Quotation, Quotation Error, Randomized, Randomized Controlled Trial, Randomized Controlled Trials, Reference, Reference Accuracy, Reference Citations, References, Reporting, Research, Selection Criteria, Structured Abstracts, Surveys, Trial, Utility</w:t>
      </w:r>
    </w:p>
    <w:p w:rsidR="00365DE4" w:rsidRDefault="00365DE4" w:rsidP="00365DE4">
      <w:pPr>
        <w:pStyle w:val="a3"/>
        <w:rPr>
          <w:kern w:val="0"/>
        </w:rPr>
      </w:pPr>
      <w:r>
        <w:rPr>
          <w:kern w:val="0"/>
        </w:rPr>
        <w:t>? Bath, P.M.W.</w:t>
      </w:r>
      <w:r w:rsidR="005853A9">
        <w:rPr>
          <w:kern w:val="0"/>
        </w:rPr>
        <w:t xml:space="preserve"> and </w:t>
      </w:r>
      <w:r>
        <w:rPr>
          <w:kern w:val="0"/>
        </w:rPr>
        <w:t>Sprigg, N. (2007), Colony stimulating factors (including erythropoietin, granulocyte colony stimulating factor</w:t>
      </w:r>
      <w:r w:rsidR="005853A9">
        <w:rPr>
          <w:kern w:val="0"/>
        </w:rPr>
        <w:t xml:space="preserve"> and </w:t>
      </w:r>
      <w:r>
        <w:rPr>
          <w:kern w:val="0"/>
        </w:rPr>
        <w:t xml:space="preserve">analogues) for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CD005207.</w:t>
      </w:r>
    </w:p>
    <w:p w:rsidR="00365DE4" w:rsidRDefault="00365DE4" w:rsidP="00365DE4">
      <w:pPr>
        <w:pStyle w:val="a3"/>
        <w:rPr>
          <w:kern w:val="2"/>
        </w:rPr>
      </w:pPr>
      <w:r>
        <w:t>Full Text: 2007\Coc Dat Sys Rev2007, CD005207.pdf</w:t>
      </w:r>
    </w:p>
    <w:p w:rsidR="00365DE4" w:rsidRDefault="00365DE4" w:rsidP="00365DE4">
      <w:pPr>
        <w:pStyle w:val="a3"/>
        <w:rPr>
          <w:kern w:val="0"/>
        </w:rPr>
      </w:pPr>
      <w:r>
        <w:rPr>
          <w:kern w:val="0"/>
        </w:rPr>
        <w:t>Abstract: Background Colony stimulating factors (CSFs), also called haematopoietic growth factors, regulate bone marrow production</w:t>
      </w:r>
      <w:r w:rsidR="00427468">
        <w:rPr>
          <w:kern w:val="0"/>
        </w:rPr>
        <w:t xml:space="preserve"> of </w:t>
      </w:r>
      <w:r>
        <w:rPr>
          <w:kern w:val="0"/>
        </w:rPr>
        <w:t>circulating red</w:t>
      </w:r>
      <w:r w:rsidR="005853A9">
        <w:rPr>
          <w:kern w:val="0"/>
        </w:rPr>
        <w:t xml:space="preserve"> and </w:t>
      </w:r>
      <w:r>
        <w:rPr>
          <w:kern w:val="0"/>
        </w:rPr>
        <w:t>white cells,</w:t>
      </w:r>
      <w:r w:rsidR="005853A9">
        <w:rPr>
          <w:kern w:val="0"/>
        </w:rPr>
        <w:t xml:space="preserve"> and </w:t>
      </w:r>
      <w:r>
        <w:rPr>
          <w:kern w:val="0"/>
        </w:rPr>
        <w:t>platelets</w:t>
      </w:r>
      <w:r w:rsidR="00A37C1D">
        <w:rPr>
          <w:kern w:val="0"/>
        </w:rPr>
        <w:t>. The</w:t>
      </w:r>
      <w:r>
        <w:rPr>
          <w:kern w:val="0"/>
        </w:rPr>
        <w:t>y have been shown to be neuroprotective in experimental stroke. Some CSFs also mobilise the release</w:t>
      </w:r>
      <w:r w:rsidR="00427468">
        <w:rPr>
          <w:kern w:val="0"/>
        </w:rPr>
        <w:t xml:space="preserve"> of </w:t>
      </w:r>
      <w:r>
        <w:rPr>
          <w:kern w:val="0"/>
        </w:rPr>
        <w:t>bone marrow stem cells into the circulation. Objectives To assess the effects</w:t>
      </w:r>
      <w:r w:rsidR="00427468">
        <w:rPr>
          <w:kern w:val="0"/>
        </w:rPr>
        <w:t xml:space="preserve"> of </w:t>
      </w:r>
      <w:r>
        <w:rPr>
          <w:kern w:val="0"/>
        </w:rPr>
        <w:t>CSFs on functional outcome</w:t>
      </w:r>
      <w:r w:rsidR="005853A9">
        <w:rPr>
          <w:kern w:val="0"/>
        </w:rPr>
        <w:t xml:space="preserve"> and </w:t>
      </w:r>
      <w:r>
        <w:rPr>
          <w:kern w:val="0"/>
        </w:rPr>
        <w:t>haematology measures in patients with acute or subacute stroke. Search strategy We searched the Cochrane Stroke Group Trials Register (last searched November 2006), the Cochrane Central Register</w:t>
      </w:r>
      <w:r w:rsidR="00427468">
        <w:rPr>
          <w:kern w:val="0"/>
        </w:rPr>
        <w:t xml:space="preserve"> of </w:t>
      </w:r>
      <w:r>
        <w:rPr>
          <w:kern w:val="0"/>
        </w:rPr>
        <w:t xml:space="preserve">Controlled Trials (CENTRAL) (The Cochrane Library Issue 2, 2006), </w:t>
      </w:r>
      <w:r w:rsidR="00D5664A">
        <w:rPr>
          <w:kern w:val="0"/>
        </w:rPr>
        <w:t>MEDLINE</w:t>
      </w:r>
      <w:r>
        <w:rPr>
          <w:kern w:val="0"/>
        </w:rPr>
        <w:t xml:space="preserve"> (1985 to June 2006), EMBASE (1985 to June 2006),</w:t>
      </w:r>
      <w:r w:rsidR="005853A9">
        <w:rPr>
          <w:kern w:val="0"/>
        </w:rPr>
        <w:t xml:space="preserve"> and </w:t>
      </w:r>
      <w:r>
        <w:rPr>
          <w:kern w:val="0"/>
        </w:rPr>
        <w:t>Science Citation Index (1985 to June 2006). In an attempt to identify further published, unpublished</w:t>
      </w:r>
      <w:r w:rsidR="005853A9">
        <w:rPr>
          <w:kern w:val="0"/>
        </w:rPr>
        <w:t xml:space="preserve"> and </w:t>
      </w:r>
      <w:r>
        <w:rPr>
          <w:kern w:val="0"/>
        </w:rPr>
        <w:t>ongoing trials we contacted manufacturers</w:t>
      </w:r>
      <w:r w:rsidR="005853A9">
        <w:rPr>
          <w:kern w:val="0"/>
        </w:rPr>
        <w:t xml:space="preserve"> and </w:t>
      </w:r>
      <w:r>
        <w:rPr>
          <w:kern w:val="0"/>
        </w:rPr>
        <w:t>principal investigators</w:t>
      </w:r>
      <w:r w:rsidR="00427468">
        <w:rPr>
          <w:kern w:val="0"/>
        </w:rPr>
        <w:t xml:space="preserve"> of </w:t>
      </w:r>
      <w:r>
        <w:rPr>
          <w:kern w:val="0"/>
        </w:rPr>
        <w:t>trials (last contacted 2006). We also searched reference lists</w:t>
      </w:r>
      <w:r w:rsidR="00427468">
        <w:rPr>
          <w:kern w:val="0"/>
        </w:rPr>
        <w:t xml:space="preserve"> of </w:t>
      </w:r>
      <w:r>
        <w:rPr>
          <w:kern w:val="0"/>
        </w:rPr>
        <w:t>relevant articles</w:t>
      </w:r>
      <w:r w:rsidR="005853A9">
        <w:rPr>
          <w:kern w:val="0"/>
        </w:rPr>
        <w:t xml:space="preserve"> and </w:t>
      </w:r>
      <w:r>
        <w:rPr>
          <w:kern w:val="0"/>
        </w:rPr>
        <w:t>reviews. Selection criteria Unconfounded randomised controlled trials recruiting patients with acute or subacute ischaemic or haemorrhagic stroke were included. CSFs included stem cell factor (SCF), erythropoietin (EPO), granulocyte colony stimulating factor (G-CSF), granulocyte-macrophage colony stimulating factor (GM-CSF), macrophage-colony stimulating factor (M-CSF, CSF-1),</w:t>
      </w:r>
      <w:r w:rsidR="005853A9">
        <w:rPr>
          <w:kern w:val="0"/>
        </w:rPr>
        <w:t xml:space="preserve"> and </w:t>
      </w:r>
      <w:r>
        <w:rPr>
          <w:kern w:val="0"/>
        </w:rPr>
        <w:t>thrombopoietin (TPO), or analogues</w:t>
      </w:r>
      <w:r w:rsidR="00427468">
        <w:rPr>
          <w:kern w:val="0"/>
        </w:rPr>
        <w:t xml:space="preserve"> of </w:t>
      </w:r>
      <w:r>
        <w:rPr>
          <w:kern w:val="0"/>
        </w:rPr>
        <w:t>these</w:t>
      </w:r>
      <w:r w:rsidR="00A37C1D">
        <w:rPr>
          <w:kern w:val="0"/>
        </w:rPr>
        <w:t>. The</w:t>
      </w:r>
      <w:r>
        <w:rPr>
          <w:kern w:val="0"/>
        </w:rPr>
        <w:t xml:space="preserve"> primary outcome was functional outcome (assessed as combined death or disability</w:t>
      </w:r>
      <w:r w:rsidR="005853A9">
        <w:rPr>
          <w:kern w:val="0"/>
        </w:rPr>
        <w:t xml:space="preserve"> and </w:t>
      </w:r>
      <w:r>
        <w:rPr>
          <w:kern w:val="0"/>
        </w:rPr>
        <w:t>dependency using scales such as the modified Rankin Scale or Barthel Index) at the end</w:t>
      </w:r>
      <w:r w:rsidR="00427468">
        <w:rPr>
          <w:kern w:val="0"/>
        </w:rPr>
        <w:t xml:space="preserve"> of </w:t>
      </w:r>
      <w:r>
        <w:rPr>
          <w:kern w:val="0"/>
        </w:rPr>
        <w:t>the trial. Secondary outcomes included safety at the end</w:t>
      </w:r>
      <w:r w:rsidR="00427468">
        <w:rPr>
          <w:kern w:val="0"/>
        </w:rPr>
        <w:t xml:space="preserve"> of </w:t>
      </w:r>
      <w:r>
        <w:rPr>
          <w:kern w:val="0"/>
        </w:rPr>
        <w:t>treatment (death, impairment, deterioration, extension or recurrence), death at the end</w:t>
      </w:r>
      <w:r w:rsidR="00427468">
        <w:rPr>
          <w:kern w:val="0"/>
        </w:rPr>
        <w:t xml:space="preserve"> of </w:t>
      </w:r>
      <w:r>
        <w:rPr>
          <w:kern w:val="0"/>
        </w:rPr>
        <w:t>follow up,</w:t>
      </w:r>
      <w:r w:rsidR="005853A9">
        <w:rPr>
          <w:kern w:val="0"/>
        </w:rPr>
        <w:t xml:space="preserve"> and </w:t>
      </w:r>
      <w:r>
        <w:rPr>
          <w:kern w:val="0"/>
        </w:rPr>
        <w:t>haematology measures (blood counts at or around day seven after treatment commenced). Data collection</w:t>
      </w:r>
      <w:r w:rsidR="005853A9">
        <w:rPr>
          <w:kern w:val="0"/>
        </w:rPr>
        <w:t xml:space="preserve"> and </w:t>
      </w:r>
      <w:r>
        <w:rPr>
          <w:kern w:val="0"/>
        </w:rPr>
        <w:t>analysis Two review authors independently extracted data</w:t>
      </w:r>
      <w:r w:rsidR="005853A9">
        <w:rPr>
          <w:kern w:val="0"/>
        </w:rPr>
        <w:t xml:space="preserve"> and </w:t>
      </w:r>
      <w:r>
        <w:rPr>
          <w:kern w:val="0"/>
        </w:rPr>
        <w:t>assessed trial quality. Study authors were contacted for additional information. Main results No large trials were identified. EPO therapy was associated with a non-significant reduction in neurological impairment in one small trial (n = 40 participants) but had no significant effect on haematological measures. G-CSF was associated with a non-significant reduction in combined death</w:t>
      </w:r>
      <w:r w:rsidR="005853A9">
        <w:rPr>
          <w:kern w:val="0"/>
        </w:rPr>
        <w:t xml:space="preserve"> and </w:t>
      </w:r>
      <w:r>
        <w:rPr>
          <w:kern w:val="0"/>
        </w:rPr>
        <w:t xml:space="preserve">dependency in two small trials (n = 46 participants) although there was substantial heterogeneity in this result. G-CSF significantly elevated white cell count in three trials (n = 91). </w:t>
      </w:r>
      <w:r>
        <w:rPr>
          <w:kern w:val="0"/>
        </w:rPr>
        <w:lastRenderedPageBreak/>
        <w:t>Further small trials</w:t>
      </w:r>
      <w:r w:rsidR="00427468">
        <w:rPr>
          <w:kern w:val="0"/>
        </w:rPr>
        <w:t xml:space="preserve"> of </w:t>
      </w:r>
      <w:r>
        <w:rPr>
          <w:kern w:val="0"/>
        </w:rPr>
        <w:t>EPO</w:t>
      </w:r>
      <w:r w:rsidR="005853A9">
        <w:rPr>
          <w:kern w:val="0"/>
        </w:rPr>
        <w:t xml:space="preserve"> and </w:t>
      </w:r>
      <w:r>
        <w:rPr>
          <w:kern w:val="0"/>
        </w:rPr>
        <w:t>G-CSF are ongoing. Authors</w:t>
      </w:r>
      <w:r w:rsidR="0071223E">
        <w:rPr>
          <w:kern w:val="0"/>
        </w:rPr>
        <w:t>’</w:t>
      </w:r>
      <w:r>
        <w:rPr>
          <w:kern w:val="0"/>
        </w:rPr>
        <w:t xml:space="preserve"> conclusions No large trials</w:t>
      </w:r>
      <w:r w:rsidR="00427468">
        <w:rPr>
          <w:kern w:val="0"/>
        </w:rPr>
        <w:t xml:space="preserve"> of </w:t>
      </w:r>
      <w:r>
        <w:rPr>
          <w:kern w:val="0"/>
        </w:rPr>
        <w:t>EPO, G-CSF or other colony stimulating factors have been performed</w:t>
      </w:r>
      <w:r w:rsidR="005853A9">
        <w:rPr>
          <w:kern w:val="0"/>
        </w:rPr>
        <w:t xml:space="preserve"> and </w:t>
      </w:r>
      <w:r>
        <w:rPr>
          <w:kern w:val="0"/>
        </w:rPr>
        <w:t>it is too early to know whether CSFs improve functional outcome.</w:t>
      </w:r>
    </w:p>
    <w:p w:rsidR="00365DE4" w:rsidRDefault="00365DE4" w:rsidP="00365DE4">
      <w:pPr>
        <w:pStyle w:val="a3"/>
        <w:rPr>
          <w:kern w:val="0"/>
        </w:rPr>
      </w:pPr>
      <w:r>
        <w:rPr>
          <w:kern w:val="0"/>
        </w:rPr>
        <w:t xml:space="preserve">Keywords: Analysis, Arteriogenesis, Authors, Blood, Bone, Bone Marrow, Bone Marrow Stem Cells, Bone-Marrow, Citation, Collection, Criteria, Data, Data Collection, Death, Dependency, Disability, Effects, Embase, Erythropoietin, Experimental, Focal Cerebral-Ischemia, Follow-Up, Functional Recovery, G-Csf, Granulocyte, Growth, Growth Factors, Heterogeneity, In-Vivo, Information, </w:t>
      </w:r>
      <w:r w:rsidR="00D5664A">
        <w:rPr>
          <w:kern w:val="0"/>
        </w:rPr>
        <w:t>MEDLINE</w:t>
      </w:r>
      <w:r>
        <w:rPr>
          <w:kern w:val="0"/>
        </w:rPr>
        <w:t>, Mobilization, Modified, Neurogenesis, Neurological, Neuronal Cells, Outcome, Outcomes, Patients, Platelets, Primary, Quality, Randomised, Randomised Controlled Trials, Recurrence, Reduction, Reference, Reference Lists, Release, Review, Reviews, Safety, Scale, Scales, Science, Science Citation Index, Search, Small, Stem Cell, Stem Cell Factor, Stem Cells, Stem-Cell Factor, Strategy, Stroke, Therapy, Treatment, Trial</w:t>
      </w:r>
    </w:p>
    <w:p w:rsidR="00365DE4" w:rsidRDefault="00365DE4" w:rsidP="00365DE4">
      <w:pPr>
        <w:pStyle w:val="a3"/>
        <w:rPr>
          <w:kern w:val="0"/>
        </w:rPr>
      </w:pPr>
      <w:r>
        <w:rPr>
          <w:kern w:val="0"/>
        </w:rPr>
        <w:t>? Gur</w:t>
      </w:r>
      <w:r w:rsidR="00D5664A">
        <w:rPr>
          <w:kern w:val="0"/>
        </w:rPr>
        <w:t>USA</w:t>
      </w:r>
      <w:r>
        <w:rPr>
          <w:kern w:val="0"/>
        </w:rPr>
        <w:t>my, K.S.</w:t>
      </w:r>
      <w:r w:rsidR="005853A9">
        <w:rPr>
          <w:kern w:val="0"/>
        </w:rPr>
        <w:t xml:space="preserve"> and </w:t>
      </w:r>
      <w:r>
        <w:rPr>
          <w:kern w:val="0"/>
        </w:rPr>
        <w:t xml:space="preserve">Samraj, K. (2007), Routine abdominal drainage for uncomplicated open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CD006003.</w:t>
      </w:r>
    </w:p>
    <w:p w:rsidR="00365DE4" w:rsidRDefault="00365DE4" w:rsidP="00365DE4">
      <w:pPr>
        <w:pStyle w:val="a3"/>
        <w:rPr>
          <w:kern w:val="2"/>
        </w:rPr>
      </w:pPr>
      <w:r>
        <w:t xml:space="preserve">Full Text: </w:t>
      </w:r>
      <w:hyperlink r:id="rId521" w:history="1">
        <w:r>
          <w:rPr>
            <w:rStyle w:val="a5"/>
          </w:rPr>
          <w:t>2007\Coc Dat Sys Rev2007, CD006003.pdf</w:t>
        </w:r>
      </w:hyperlink>
    </w:p>
    <w:p w:rsidR="00365DE4" w:rsidRDefault="00365DE4" w:rsidP="00365DE4">
      <w:pPr>
        <w:pStyle w:val="a3"/>
        <w:rPr>
          <w:kern w:val="0"/>
        </w:rPr>
      </w:pPr>
      <w:r>
        <w:rPr>
          <w:kern w:val="0"/>
        </w:rPr>
        <w:t>Abstract: Background Cholecystectomy is the removal</w:t>
      </w:r>
      <w:r w:rsidR="00427468">
        <w:rPr>
          <w:kern w:val="0"/>
        </w:rPr>
        <w:t xml:space="preserve"> of </w:t>
      </w:r>
      <w:r>
        <w:rPr>
          <w:kern w:val="0"/>
        </w:rPr>
        <w:t>gallbladder</w:t>
      </w:r>
      <w:r w:rsidR="005853A9">
        <w:rPr>
          <w:kern w:val="0"/>
        </w:rPr>
        <w:t xml:space="preserve"> and </w:t>
      </w:r>
      <w:r>
        <w:rPr>
          <w:kern w:val="0"/>
        </w:rPr>
        <w:t>is performed mainly for symptomatic gallstones. Although laparoscopic cholecystectomy is currently preferred over open cholecystectomy for elective cholecystectomy, reports</w:t>
      </w:r>
      <w:r w:rsidR="00427468">
        <w:rPr>
          <w:kern w:val="0"/>
        </w:rPr>
        <w:t xml:space="preserve"> of </w:t>
      </w:r>
      <w:r>
        <w:rPr>
          <w:kern w:val="0"/>
        </w:rPr>
        <w:t>randomised clinical trials comparing the choice</w:t>
      </w:r>
      <w:r w:rsidR="00427468">
        <w:rPr>
          <w:kern w:val="0"/>
        </w:rPr>
        <w:t xml:space="preserve"> of </w:t>
      </w:r>
      <w:r>
        <w:rPr>
          <w:kern w:val="0"/>
        </w:rPr>
        <w:t>cholecystectomy (open or laparoscopic) in acute cholecystitis are still being conducted. Drainage in open cholecystectomy is a matter</w:t>
      </w:r>
      <w:r w:rsidR="00427468">
        <w:rPr>
          <w:kern w:val="0"/>
        </w:rPr>
        <w:t xml:space="preserve"> of </w:t>
      </w:r>
      <w:r>
        <w:rPr>
          <w:kern w:val="0"/>
        </w:rPr>
        <w:t>considerable debate. Surgeons use drains primarily to prevent subhepatic abscess or bile peritonitis from an undrained bile leak. Critics</w:t>
      </w:r>
      <w:r w:rsidR="00427468">
        <w:rPr>
          <w:kern w:val="0"/>
        </w:rPr>
        <w:t xml:space="preserve"> of </w:t>
      </w:r>
      <w:r>
        <w:rPr>
          <w:kern w:val="0"/>
        </w:rPr>
        <w:t>drain condemn drain use as it increases wound</w:t>
      </w:r>
      <w:r w:rsidR="005853A9">
        <w:rPr>
          <w:kern w:val="0"/>
        </w:rPr>
        <w:t xml:space="preserve"> and </w:t>
      </w:r>
      <w:r>
        <w:rPr>
          <w:kern w:val="0"/>
        </w:rPr>
        <w:t>chest infection. Objectives To assess the benefits</w:t>
      </w:r>
      <w:r w:rsidR="005853A9">
        <w:rPr>
          <w:kern w:val="0"/>
        </w:rPr>
        <w:t xml:space="preserve"> and </w:t>
      </w:r>
      <w:r>
        <w:rPr>
          <w:kern w:val="0"/>
        </w:rPr>
        <w:t>harms</w:t>
      </w:r>
      <w:r w:rsidR="00427468">
        <w:rPr>
          <w:kern w:val="0"/>
        </w:rPr>
        <w:t xml:space="preserve"> of </w:t>
      </w:r>
      <w:r>
        <w:rPr>
          <w:kern w:val="0"/>
        </w:rPr>
        <w:t>routine abdominal drainage in uncomplicated open cholecystectomy.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 xml:space="preserve">Science Citation Index Expanded until April 2006. Selection criteria We included randomised clinical trials comparing </w:t>
      </w:r>
      <w:r w:rsidR="0071223E">
        <w:rPr>
          <w:kern w:val="0"/>
        </w:rPr>
        <w:t>‘</w:t>
      </w:r>
      <w:r>
        <w:rPr>
          <w:kern w:val="0"/>
        </w:rPr>
        <w:t>no drain</w:t>
      </w:r>
      <w:r w:rsidR="0071223E">
        <w:rPr>
          <w:kern w:val="0"/>
        </w:rPr>
        <w:t>’</w:t>
      </w:r>
      <w:r>
        <w:rPr>
          <w:kern w:val="0"/>
        </w:rPr>
        <w:t xml:space="preserve"> versus </w:t>
      </w:r>
      <w:r w:rsidR="0071223E">
        <w:rPr>
          <w:kern w:val="0"/>
        </w:rPr>
        <w:t>‘</w:t>
      </w:r>
      <w:r>
        <w:rPr>
          <w:kern w:val="0"/>
        </w:rPr>
        <w:t>drain</w:t>
      </w:r>
      <w:r w:rsidR="0071223E">
        <w:rPr>
          <w:kern w:val="0"/>
        </w:rPr>
        <w:t>’</w:t>
      </w:r>
      <w:r>
        <w:rPr>
          <w:kern w:val="0"/>
        </w:rPr>
        <w:t xml:space="preserve"> in patients who had undergone uncomplicated open cholecystectomy (irrespective</w:t>
      </w:r>
      <w:r w:rsidR="00427468">
        <w:rPr>
          <w:kern w:val="0"/>
        </w:rPr>
        <w:t xml:space="preserve"> of </w:t>
      </w:r>
      <w:r>
        <w:rPr>
          <w:kern w:val="0"/>
        </w:rPr>
        <w:t>language, publication status,</w:t>
      </w:r>
      <w:r w:rsidR="005853A9">
        <w:rPr>
          <w:kern w:val="0"/>
        </w:rPr>
        <w:t xml:space="preserve"> and </w:t>
      </w:r>
      <w:r>
        <w:rPr>
          <w:kern w:val="0"/>
        </w:rPr>
        <w:t>the type</w:t>
      </w:r>
      <w:r w:rsidR="00427468">
        <w:rPr>
          <w:kern w:val="0"/>
        </w:rPr>
        <w:t xml:space="preserve"> of </w:t>
      </w:r>
      <w:r>
        <w:rPr>
          <w:kern w:val="0"/>
        </w:rPr>
        <w:t>drain). Randomised clinical trials comparing one drain with another were also included. Data collection</w:t>
      </w:r>
      <w:r w:rsidR="005853A9">
        <w:rPr>
          <w:kern w:val="0"/>
        </w:rPr>
        <w:t xml:space="preserve"> and </w:t>
      </w:r>
      <w:r>
        <w:rPr>
          <w:kern w:val="0"/>
        </w:rPr>
        <w:t>analysis We collected the data on the characteristics</w:t>
      </w:r>
      <w:r w:rsidR="005853A9">
        <w:rPr>
          <w:kern w:val="0"/>
        </w:rPr>
        <w:t xml:space="preserve"> and </w:t>
      </w:r>
      <w:r>
        <w:rPr>
          <w:kern w:val="0"/>
        </w:rPr>
        <w:t>methodological quality</w:t>
      </w:r>
      <w:r w:rsidR="00427468">
        <w:rPr>
          <w:kern w:val="0"/>
        </w:rPr>
        <w:t xml:space="preserve"> of </w:t>
      </w:r>
      <w:r>
        <w:rPr>
          <w:kern w:val="0"/>
        </w:rPr>
        <w:t>each trial, number</w:t>
      </w:r>
      <w:r w:rsidR="00427468">
        <w:rPr>
          <w:kern w:val="0"/>
        </w:rPr>
        <w:t xml:space="preserve"> of </w:t>
      </w:r>
      <w:r>
        <w:rPr>
          <w:kern w:val="0"/>
        </w:rPr>
        <w:t>abdominal collections requiring different treatments, bile peritonitis, wound infection, chest complications,</w:t>
      </w:r>
      <w:r w:rsidR="005853A9">
        <w:rPr>
          <w:kern w:val="0"/>
        </w:rPr>
        <w:t xml:space="preserve"> and </w:t>
      </w:r>
      <w:r>
        <w:rPr>
          <w:kern w:val="0"/>
        </w:rPr>
        <w:t>hospital stay from each trial. We analysed the data with both the fixed-effect</w:t>
      </w:r>
      <w:r w:rsidR="005853A9">
        <w:rPr>
          <w:kern w:val="0"/>
        </w:rPr>
        <w:t xml:space="preserve"> and </w:t>
      </w:r>
      <w:r>
        <w:rPr>
          <w:kern w:val="0"/>
        </w:rPr>
        <w:t xml:space="preserve">the random-effects models using RevMan Analysis. For each </w:t>
      </w:r>
      <w:r>
        <w:rPr>
          <w:kern w:val="0"/>
        </w:rPr>
        <w:lastRenderedPageBreak/>
        <w:t>outcome, we calculated the odds ratio (OR) with 95% confidence intervals (CI) based on intention-to-treat analysis. Main results Twenty eight trials involving 3659 patients were included</w:t>
      </w:r>
      <w:r w:rsidR="00A37C1D">
        <w:rPr>
          <w:kern w:val="0"/>
        </w:rPr>
        <w:t>. The</w:t>
      </w:r>
      <w:r>
        <w:rPr>
          <w:kern w:val="0"/>
        </w:rPr>
        <w:t>re were 20 comparisons</w:t>
      </w:r>
      <w:r w:rsidR="00427468">
        <w:rPr>
          <w:kern w:val="0"/>
        </w:rPr>
        <w:t xml:space="preserve"> of </w:t>
      </w:r>
      <w:r w:rsidR="0071223E">
        <w:rPr>
          <w:kern w:val="0"/>
        </w:rPr>
        <w:t>‘</w:t>
      </w:r>
      <w:r>
        <w:rPr>
          <w:kern w:val="0"/>
        </w:rPr>
        <w:t>no drain</w:t>
      </w:r>
      <w:r w:rsidR="0071223E">
        <w:rPr>
          <w:kern w:val="0"/>
        </w:rPr>
        <w:t>’</w:t>
      </w:r>
      <w:r>
        <w:rPr>
          <w:kern w:val="0"/>
        </w:rPr>
        <w:t xml:space="preserve"> versus </w:t>
      </w:r>
      <w:r w:rsidR="0071223E">
        <w:rPr>
          <w:kern w:val="0"/>
        </w:rPr>
        <w:t>‘</w:t>
      </w:r>
      <w:r>
        <w:rPr>
          <w:kern w:val="0"/>
        </w:rPr>
        <w:t>drain</w:t>
      </w:r>
      <w:r w:rsidR="0071223E">
        <w:rPr>
          <w:kern w:val="0"/>
        </w:rPr>
        <w:t>’</w:t>
      </w:r>
      <w:r w:rsidR="005853A9">
        <w:rPr>
          <w:kern w:val="0"/>
        </w:rPr>
        <w:t xml:space="preserve"> and </w:t>
      </w:r>
      <w:r>
        <w:rPr>
          <w:kern w:val="0"/>
        </w:rPr>
        <w:t>12 comparisons</w:t>
      </w:r>
      <w:r w:rsidR="00427468">
        <w:rPr>
          <w:kern w:val="0"/>
        </w:rPr>
        <w:t xml:space="preserve"> of </w:t>
      </w:r>
      <w:r>
        <w:rPr>
          <w:kern w:val="0"/>
        </w:rPr>
        <w:t>one drain with another</w:t>
      </w:r>
      <w:r w:rsidR="00A37C1D">
        <w:rPr>
          <w:kern w:val="0"/>
        </w:rPr>
        <w:t>. The</w:t>
      </w:r>
      <w:r>
        <w:rPr>
          <w:kern w:val="0"/>
        </w:rPr>
        <w:t xml:space="preserve">re was no statistically significant difference in mortality, bile peritonitis, total abdominal collections, abdominal collections requiring different treatments, or infected abdominal collections. </w:t>
      </w:r>
      <w:r w:rsidR="0071223E">
        <w:rPr>
          <w:kern w:val="0"/>
        </w:rPr>
        <w:t>‘</w:t>
      </w:r>
      <w:r>
        <w:rPr>
          <w:kern w:val="0"/>
        </w:rPr>
        <w:t>No drain</w:t>
      </w:r>
      <w:r w:rsidR="0071223E">
        <w:rPr>
          <w:kern w:val="0"/>
        </w:rPr>
        <w:t>’</w:t>
      </w:r>
      <w:r>
        <w:rPr>
          <w:kern w:val="0"/>
        </w:rPr>
        <w:t xml:space="preserve"> group had statistically significant lower wound infection (OR 0.61, 95% CI 0.43 to 0.87)</w:t>
      </w:r>
      <w:r w:rsidR="005853A9">
        <w:rPr>
          <w:kern w:val="0"/>
        </w:rPr>
        <w:t xml:space="preserve"> and </w:t>
      </w:r>
      <w:r>
        <w:rPr>
          <w:kern w:val="0"/>
        </w:rPr>
        <w:t>statistically significant lower chest infection (OR 0.59, 95% CI 0.42 to 0.84) than drain group. We found no significant differences between different types</w:t>
      </w:r>
      <w:r w:rsidR="00427468">
        <w:rPr>
          <w:kern w:val="0"/>
        </w:rPr>
        <w:t xml:space="preserve"> of </w:t>
      </w:r>
      <w:r>
        <w:rPr>
          <w:kern w:val="0"/>
        </w:rPr>
        <w:t>drains. Authors</w:t>
      </w:r>
      <w:r w:rsidR="0071223E">
        <w:rPr>
          <w:kern w:val="0"/>
        </w:rPr>
        <w:t>’</w:t>
      </w:r>
      <w:r>
        <w:rPr>
          <w:kern w:val="0"/>
        </w:rPr>
        <w:t xml:space="preserve"> conclusions Drains increase the harms to the patient without providing any additional benefit for patients undergoing open cholecystectomy</w:t>
      </w:r>
      <w:r w:rsidR="005853A9">
        <w:rPr>
          <w:kern w:val="0"/>
        </w:rPr>
        <w:t xml:space="preserve"> and </w:t>
      </w:r>
      <w:r>
        <w:rPr>
          <w:kern w:val="0"/>
        </w:rPr>
        <w:t>should be avoided in open cholecystectomy.</w:t>
      </w:r>
    </w:p>
    <w:p w:rsidR="00365DE4" w:rsidRDefault="00365DE4" w:rsidP="00365DE4">
      <w:pPr>
        <w:pStyle w:val="a3"/>
        <w:rPr>
          <w:kern w:val="0"/>
        </w:rPr>
      </w:pPr>
      <w:r>
        <w:rPr>
          <w:kern w:val="0"/>
        </w:rPr>
        <w:t xml:space="preserve">Keywords: Acute Cholecystitis, Authors, Characteristics, Citation, Clinical Trials, Closed-Suction, Criteria, Drainage, Elective Cholecystectomy, Language, Laparoscopic Cholecystectomy, </w:t>
      </w:r>
      <w:r w:rsidR="00D5664A">
        <w:rPr>
          <w:kern w:val="0"/>
        </w:rPr>
        <w:t>MEDLINE</w:t>
      </w:r>
      <w:r>
        <w:rPr>
          <w:kern w:val="0"/>
        </w:rPr>
        <w:t>, Metaanalysis, Models, Peritoneal Drainage, Publication, Quality, Randomized Clinical-Trial, Removal, Science, Science Citation Index, Subhepatic Collections, Suction Drainage</w:t>
      </w:r>
    </w:p>
    <w:p w:rsidR="00365DE4" w:rsidRDefault="00365DE4" w:rsidP="00365DE4">
      <w:pPr>
        <w:pStyle w:val="a3"/>
        <w:rPr>
          <w:kern w:val="0"/>
        </w:rPr>
      </w:pPr>
      <w:r>
        <w:rPr>
          <w:kern w:val="0"/>
        </w:rPr>
        <w:t>? Shelley, M., Wilt, T.J., Coles, B.</w:t>
      </w:r>
      <w:r w:rsidR="005853A9">
        <w:rPr>
          <w:kern w:val="0"/>
        </w:rPr>
        <w:t xml:space="preserve"> and </w:t>
      </w:r>
      <w:r>
        <w:rPr>
          <w:kern w:val="0"/>
        </w:rPr>
        <w:t xml:space="preserve">Mason, M.D. (2007), Cyrotherapy for localised prostate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CD005010.</w:t>
      </w:r>
    </w:p>
    <w:p w:rsidR="00365DE4" w:rsidRDefault="00365DE4" w:rsidP="00365DE4">
      <w:pPr>
        <w:pStyle w:val="a3"/>
        <w:rPr>
          <w:kern w:val="2"/>
        </w:rPr>
      </w:pPr>
      <w:r>
        <w:t xml:space="preserve">Full Text: </w:t>
      </w:r>
      <w:hyperlink r:id="rId522" w:history="1">
        <w:r>
          <w:rPr>
            <w:rStyle w:val="a5"/>
          </w:rPr>
          <w:t>2007\Coc Dat Sys Rev2007, CD005010.pdf</w:t>
        </w:r>
      </w:hyperlink>
    </w:p>
    <w:p w:rsidR="00365DE4" w:rsidRDefault="00365DE4" w:rsidP="00365DE4">
      <w:pPr>
        <w:pStyle w:val="a3"/>
        <w:rPr>
          <w:kern w:val="0"/>
        </w:rPr>
      </w:pPr>
      <w:r>
        <w:rPr>
          <w:kern w:val="0"/>
        </w:rPr>
        <w:t>Abstract: Background Prostate cancer is a common cancer in elderly men</w:t>
      </w:r>
      <w:r w:rsidR="005853A9">
        <w:rPr>
          <w:kern w:val="0"/>
        </w:rPr>
        <w:t xml:space="preserve"> and </w:t>
      </w:r>
      <w:r>
        <w:rPr>
          <w:kern w:val="0"/>
        </w:rPr>
        <w:t>in some will prove fatal. Standard treatments for localised disease include surgery (radical prostatectomy), radiotherapy</w:t>
      </w:r>
      <w:r w:rsidR="005853A9">
        <w:rPr>
          <w:kern w:val="0"/>
        </w:rPr>
        <w:t xml:space="preserve"> and </w:t>
      </w:r>
      <w:r>
        <w:rPr>
          <w:kern w:val="0"/>
        </w:rPr>
        <w:t>active monitoring. New emerging therapies are being evaluated with the aim</w:t>
      </w:r>
      <w:r w:rsidR="00427468">
        <w:rPr>
          <w:kern w:val="0"/>
        </w:rPr>
        <w:t xml:space="preserve"> of </w:t>
      </w:r>
      <w:r>
        <w:rPr>
          <w:kern w:val="0"/>
        </w:rPr>
        <w:t>reducing the complication rate associated with standard therapies, as well as developing an effective treatment. One such modality is cryotherapy, a procedure that introduces probes directly into the prostate tumour</w:t>
      </w:r>
      <w:r w:rsidR="005853A9">
        <w:rPr>
          <w:kern w:val="0"/>
        </w:rPr>
        <w:t xml:space="preserve"> and </w:t>
      </w:r>
      <w:r>
        <w:rPr>
          <w:kern w:val="0"/>
        </w:rPr>
        <w:t>kills the malignant cells by a freezing process. Objectives This review aims to evaluate the relative clinical</w:t>
      </w:r>
      <w:r w:rsidR="005853A9">
        <w:rPr>
          <w:kern w:val="0"/>
        </w:rPr>
        <w:t xml:space="preserve"> and </w:t>
      </w:r>
      <w:r>
        <w:rPr>
          <w:kern w:val="0"/>
        </w:rPr>
        <w:t>economic benefits</w:t>
      </w:r>
      <w:r w:rsidR="00427468">
        <w:rPr>
          <w:kern w:val="0"/>
        </w:rPr>
        <w:t xml:space="preserve"> of </w:t>
      </w:r>
      <w:r>
        <w:rPr>
          <w:kern w:val="0"/>
        </w:rPr>
        <w:t>cryotherapy compared to standard therapies for the primary treatment</w:t>
      </w:r>
      <w:r w:rsidR="00427468">
        <w:rPr>
          <w:kern w:val="0"/>
        </w:rPr>
        <w:t xml:space="preserve"> of </w:t>
      </w:r>
      <w:r>
        <w:rPr>
          <w:kern w:val="0"/>
        </w:rPr>
        <w:t>localised prostate cancer. Search strategy Our search strategy included an electronic search</w:t>
      </w:r>
      <w:r w:rsidR="00427468">
        <w:rPr>
          <w:kern w:val="0"/>
        </w:rPr>
        <w:t xml:space="preserve"> of </w:t>
      </w:r>
      <w:r w:rsidR="00D5664A">
        <w:rPr>
          <w:kern w:val="0"/>
        </w:rPr>
        <w:t>MEDLINE</w:t>
      </w:r>
      <w:r>
        <w:rPr>
          <w:kern w:val="0"/>
        </w:rPr>
        <w:t xml:space="preserve"> from 1996 to December 2006, plus EMBASE (Exerpta Medica Database), the Cochrane library, ISI Science Citation Index, Database</w:t>
      </w:r>
      <w:r w:rsidR="00427468">
        <w:rPr>
          <w:kern w:val="0"/>
        </w:rPr>
        <w:t xml:space="preserve"> of </w:t>
      </w:r>
      <w:r>
        <w:rPr>
          <w:kern w:val="0"/>
        </w:rPr>
        <w:t>Abstracts</w:t>
      </w:r>
      <w:r w:rsidR="005853A9">
        <w:rPr>
          <w:kern w:val="0"/>
        </w:rPr>
        <w:t xml:space="preserve"> and </w:t>
      </w:r>
      <w:r>
        <w:rPr>
          <w:kern w:val="0"/>
        </w:rPr>
        <w:t>Reviews</w:t>
      </w:r>
      <w:r w:rsidR="00427468">
        <w:rPr>
          <w:kern w:val="0"/>
        </w:rPr>
        <w:t xml:space="preserve"> of </w:t>
      </w:r>
      <w:r>
        <w:rPr>
          <w:kern w:val="0"/>
        </w:rPr>
        <w:t>Effectiveness (DARE),</w:t>
      </w:r>
      <w:r w:rsidR="005853A9">
        <w:rPr>
          <w:kern w:val="0"/>
        </w:rPr>
        <w:t xml:space="preserve"> and </w:t>
      </w:r>
      <w:r>
        <w:rPr>
          <w:kern w:val="0"/>
        </w:rPr>
        <w:t>LILACS to identify all relevant published randomised trials</w:t>
      </w:r>
      <w:r w:rsidR="00427468">
        <w:rPr>
          <w:kern w:val="0"/>
        </w:rPr>
        <w:t xml:space="preserve"> of </w:t>
      </w:r>
      <w:r>
        <w:rPr>
          <w:kern w:val="0"/>
        </w:rPr>
        <w:t>cryotherapy for localised prostate cancer. Cancerlit (R)</w:t>
      </w:r>
      <w:r w:rsidR="005853A9">
        <w:rPr>
          <w:kern w:val="0"/>
        </w:rPr>
        <w:t xml:space="preserve"> and </w:t>
      </w:r>
      <w:r>
        <w:rPr>
          <w:kern w:val="0"/>
        </w:rPr>
        <w:t>HealthSTAR databases were searched to their final date. Handsearching</w:t>
      </w:r>
      <w:r w:rsidR="00427468">
        <w:rPr>
          <w:kern w:val="0"/>
        </w:rPr>
        <w:t xml:space="preserve"> of </w:t>
      </w:r>
      <w:r>
        <w:rPr>
          <w:kern w:val="0"/>
        </w:rPr>
        <w:t>relevant journals was undertaken. Selection criteria Only published randomised trials comparing the effectiveness</w:t>
      </w:r>
      <w:r w:rsidR="00427468">
        <w:rPr>
          <w:kern w:val="0"/>
        </w:rPr>
        <w:t xml:space="preserve"> of </w:t>
      </w:r>
      <w:r>
        <w:rPr>
          <w:kern w:val="0"/>
        </w:rPr>
        <w:t>cryotherapy with radical prostatectomy, radiotherapy or active monitoring for the primary treatment</w:t>
      </w:r>
      <w:r w:rsidR="00427468">
        <w:rPr>
          <w:kern w:val="0"/>
        </w:rPr>
        <w:t xml:space="preserve"> of </w:t>
      </w:r>
      <w:r>
        <w:rPr>
          <w:kern w:val="0"/>
        </w:rPr>
        <w:t xml:space="preserve">men with localised prostate cancer were eligible for inclusion in </w:t>
      </w:r>
      <w:r>
        <w:rPr>
          <w:kern w:val="0"/>
        </w:rPr>
        <w:lastRenderedPageBreak/>
        <w:t>this review. Data collection</w:t>
      </w:r>
      <w:r w:rsidR="005853A9">
        <w:rPr>
          <w:kern w:val="0"/>
        </w:rPr>
        <w:t xml:space="preserve"> and </w:t>
      </w:r>
      <w:r>
        <w:rPr>
          <w:kern w:val="0"/>
        </w:rPr>
        <w:t>analysis Data were extracted from eligible studies,</w:t>
      </w:r>
      <w:r w:rsidR="005853A9">
        <w:rPr>
          <w:kern w:val="0"/>
        </w:rPr>
        <w:t xml:space="preserve"> and </w:t>
      </w:r>
      <w:r>
        <w:rPr>
          <w:kern w:val="0"/>
        </w:rPr>
        <w:t>included study design, participants, interventions</w:t>
      </w:r>
      <w:r w:rsidR="005853A9">
        <w:rPr>
          <w:kern w:val="0"/>
        </w:rPr>
        <w:t xml:space="preserve"> and </w:t>
      </w:r>
      <w:r>
        <w:rPr>
          <w:kern w:val="0"/>
        </w:rPr>
        <w:t>outcomes. Primary outcome measures were biochemical disease-free survival, disease-free survival</w:t>
      </w:r>
      <w:r w:rsidR="005853A9">
        <w:rPr>
          <w:kern w:val="0"/>
        </w:rPr>
        <w:t xml:space="preserve"> and </w:t>
      </w:r>
      <w:r>
        <w:rPr>
          <w:kern w:val="0"/>
        </w:rPr>
        <w:t>treatment-induced complications. Secondary outcomes included disease-specific survival, overall survival, quality-of-life outcome measures</w:t>
      </w:r>
      <w:r w:rsidR="005853A9">
        <w:rPr>
          <w:kern w:val="0"/>
        </w:rPr>
        <w:t xml:space="preserve"> and </w:t>
      </w:r>
      <w:r>
        <w:rPr>
          <w:kern w:val="0"/>
        </w:rPr>
        <w:t>economic impact measures. Main results There were no randomised trials found comparing cryotherapy with other therapies for the primary treatment</w:t>
      </w:r>
      <w:r w:rsidR="00427468">
        <w:rPr>
          <w:kern w:val="0"/>
        </w:rPr>
        <w:t xml:space="preserve"> of </w:t>
      </w:r>
      <w:r>
        <w:rPr>
          <w:kern w:val="0"/>
        </w:rPr>
        <w:t>localised prostate cancer. All studies identified were case series. To indicate the level</w:t>
      </w:r>
      <w:r w:rsidR="00427468">
        <w:rPr>
          <w:kern w:val="0"/>
        </w:rPr>
        <w:t xml:space="preserve"> of </w:t>
      </w:r>
      <w:r>
        <w:rPr>
          <w:kern w:val="0"/>
        </w:rPr>
        <w:t>the available evidence, studies that evaluated cryotherapy as a primary therapy, using transrectal ultrasound guidance</w:t>
      </w:r>
      <w:r w:rsidR="005853A9">
        <w:rPr>
          <w:kern w:val="0"/>
        </w:rPr>
        <w:t xml:space="preserve"> and </w:t>
      </w:r>
      <w:r>
        <w:rPr>
          <w:kern w:val="0"/>
        </w:rPr>
        <w:t>urethral warming in at least 50 patients with localised prostate cancer,</w:t>
      </w:r>
      <w:r w:rsidR="005853A9">
        <w:rPr>
          <w:kern w:val="0"/>
        </w:rPr>
        <w:t xml:space="preserve"> and </w:t>
      </w:r>
      <w:r>
        <w:rPr>
          <w:kern w:val="0"/>
        </w:rPr>
        <w:t>a minimum</w:t>
      </w:r>
      <w:r w:rsidR="00427468">
        <w:rPr>
          <w:kern w:val="0"/>
        </w:rPr>
        <w:t xml:space="preserve"> of </w:t>
      </w:r>
      <w:r>
        <w:rPr>
          <w:kern w:val="0"/>
        </w:rPr>
        <w:t>one year follow up, were reviewed. Eight case series were identified that complied with these criteria; two were retrospective</w:t>
      </w:r>
      <w:r w:rsidR="00A37C1D">
        <w:rPr>
          <w:kern w:val="0"/>
        </w:rPr>
        <w:t>. The</w:t>
      </w:r>
      <w:r>
        <w:rPr>
          <w:kern w:val="0"/>
        </w:rPr>
        <w:t xml:space="preserve"> patients recruited (n = 1483) had an age range from 41 to 84 years, stages T1 = 0 to 43%, T2 = 24 to 88%, T3 = 1 to 41%,</w:t>
      </w:r>
      <w:r w:rsidR="005853A9">
        <w:rPr>
          <w:kern w:val="0"/>
        </w:rPr>
        <w:t xml:space="preserve"> and </w:t>
      </w:r>
      <w:r>
        <w:rPr>
          <w:kern w:val="0"/>
        </w:rPr>
        <w:t>T4 = 0 to 14%</w:t>
      </w:r>
      <w:r w:rsidR="00A37C1D">
        <w:rPr>
          <w:kern w:val="0"/>
        </w:rPr>
        <w:t>. The</w:t>
      </w:r>
      <w:r>
        <w:rPr>
          <w:kern w:val="0"/>
        </w:rPr>
        <w:t xml:space="preserve"> mean preoperative PSA level ranged from 9.7 to 39 ng/mL, with Gleason scores &lt; 7</w:t>
      </w:r>
      <w:r w:rsidR="005853A9">
        <w:rPr>
          <w:kern w:val="0"/>
        </w:rPr>
        <w:t xml:space="preserve"> and </w:t>
      </w:r>
      <w:r>
        <w:rPr>
          <w:kern w:val="0"/>
        </w:rPr>
        <w:t>ranging from 6 to 37%. One additional study that compared cryotherapy (total cryotherapy</w:t>
      </w:r>
      <w:r w:rsidR="005853A9">
        <w:rPr>
          <w:kern w:val="0"/>
        </w:rPr>
        <w:t xml:space="preserve"> and </w:t>
      </w:r>
      <w:r>
        <w:rPr>
          <w:kern w:val="0"/>
        </w:rPr>
        <w:t>standard cryotherapy with urethral preservation) with radical prostatectomy was also identified</w:t>
      </w:r>
      <w:r w:rsidR="005853A9">
        <w:rPr>
          <w:kern w:val="0"/>
        </w:rPr>
        <w:t xml:space="preserve"> and </w:t>
      </w:r>
      <w:r>
        <w:rPr>
          <w:kern w:val="0"/>
        </w:rPr>
        <w:t>reviewed. In this study the success rates, defined as a post-treatment PSA</w:t>
      </w:r>
      <w:r w:rsidR="00427468">
        <w:rPr>
          <w:kern w:val="0"/>
        </w:rPr>
        <w:t xml:space="preserve"> of </w:t>
      </w:r>
      <w:r>
        <w:rPr>
          <w:kern w:val="0"/>
        </w:rPr>
        <w:t>0.2 ng/mL or less, were reported as 96% for total cryotherapy, 49% for standard cryotherapy</w:t>
      </w:r>
      <w:r w:rsidR="005853A9">
        <w:rPr>
          <w:kern w:val="0"/>
        </w:rPr>
        <w:t xml:space="preserve"> and </w:t>
      </w:r>
      <w:r>
        <w:rPr>
          <w:kern w:val="0"/>
        </w:rPr>
        <w:t>73% for radical prostatectomy. Four studies did not monitor the temperature</w:t>
      </w:r>
      <w:r w:rsidR="00427468">
        <w:rPr>
          <w:kern w:val="0"/>
        </w:rPr>
        <w:t xml:space="preserve"> of </w:t>
      </w:r>
      <w:r>
        <w:rPr>
          <w:kern w:val="0"/>
        </w:rPr>
        <w:t>the cyro-procedure</w:t>
      </w:r>
      <w:r w:rsidR="005853A9">
        <w:rPr>
          <w:kern w:val="0"/>
        </w:rPr>
        <w:t xml:space="preserve"> and </w:t>
      </w:r>
      <w:r>
        <w:rPr>
          <w:kern w:val="0"/>
        </w:rPr>
        <w:t>reported 17 to 28%</w:t>
      </w:r>
      <w:r w:rsidR="00427468">
        <w:rPr>
          <w:kern w:val="0"/>
        </w:rPr>
        <w:t xml:space="preserve"> of </w:t>
      </w:r>
      <w:r>
        <w:rPr>
          <w:kern w:val="0"/>
        </w:rPr>
        <w:t>patients had a positive biopsy following cryotherapy with a mean PSA nadir</w:t>
      </w:r>
      <w:r w:rsidR="00427468">
        <w:rPr>
          <w:kern w:val="0"/>
        </w:rPr>
        <w:t xml:space="preserve"> of </w:t>
      </w:r>
      <w:r>
        <w:rPr>
          <w:kern w:val="0"/>
        </w:rPr>
        <w:t>0.55 to 1.75 ng/mL (median 0.4 to 1.85 ng/mL)</w:t>
      </w:r>
      <w:r w:rsidR="00A37C1D">
        <w:rPr>
          <w:kern w:val="0"/>
        </w:rPr>
        <w:t>. The</w:t>
      </w:r>
      <w:r>
        <w:rPr>
          <w:kern w:val="0"/>
        </w:rPr>
        <w:t xml:space="preserve"> other four studies used thermocouples to monitor the temperature</w:t>
      </w:r>
      <w:r w:rsidR="00427468">
        <w:rPr>
          <w:kern w:val="0"/>
        </w:rPr>
        <w:t xml:space="preserve"> of </w:t>
      </w:r>
      <w:r>
        <w:rPr>
          <w:kern w:val="0"/>
        </w:rPr>
        <w:t>the cryo-procedure</w:t>
      </w:r>
      <w:r w:rsidR="005853A9">
        <w:rPr>
          <w:kern w:val="0"/>
        </w:rPr>
        <w:t xml:space="preserve"> and </w:t>
      </w:r>
      <w:r>
        <w:rPr>
          <w:kern w:val="0"/>
        </w:rPr>
        <w:t>reported progression-free survival rates</w:t>
      </w:r>
      <w:r w:rsidR="00427468">
        <w:rPr>
          <w:kern w:val="0"/>
        </w:rPr>
        <w:t xml:space="preserve"> of </w:t>
      </w:r>
      <w:r>
        <w:rPr>
          <w:kern w:val="0"/>
        </w:rPr>
        <w:t>71 to 89% with 1.4 to 13%</w:t>
      </w:r>
      <w:r w:rsidR="00427468">
        <w:rPr>
          <w:kern w:val="0"/>
        </w:rPr>
        <w:t xml:space="preserve"> of </w:t>
      </w:r>
      <w:r>
        <w:rPr>
          <w:kern w:val="0"/>
        </w:rPr>
        <w:t>patients having a positive biopsy post-cryotherapy. At 5 years, overall survival was reported as 89 to 92% in two studies,</w:t>
      </w:r>
      <w:r w:rsidR="005853A9">
        <w:rPr>
          <w:kern w:val="0"/>
        </w:rPr>
        <w:t xml:space="preserve"> and </w:t>
      </w:r>
      <w:r>
        <w:rPr>
          <w:kern w:val="0"/>
        </w:rPr>
        <w:t>disease-specific survival as 94% in one study</w:t>
      </w:r>
      <w:r w:rsidR="00A37C1D">
        <w:rPr>
          <w:kern w:val="0"/>
        </w:rPr>
        <w:t>. The</w:t>
      </w:r>
      <w:r>
        <w:rPr>
          <w:kern w:val="0"/>
        </w:rPr>
        <w:t xml:space="preserve"> major complications observed in all studies included impotence (47 to 100%), incontinence (1.3 to 19%),</w:t>
      </w:r>
      <w:r w:rsidR="005853A9">
        <w:rPr>
          <w:kern w:val="0"/>
        </w:rPr>
        <w:t xml:space="preserve"> and </w:t>
      </w:r>
      <w:r>
        <w:rPr>
          <w:kern w:val="0"/>
        </w:rPr>
        <w:t>urethral sloughing (3.9 to 85%), with less common complications</w:t>
      </w:r>
      <w:r w:rsidR="00427468">
        <w:rPr>
          <w:kern w:val="0"/>
        </w:rPr>
        <w:t xml:space="preserve"> of </w:t>
      </w:r>
      <w:r>
        <w:rPr>
          <w:kern w:val="0"/>
        </w:rPr>
        <w:t>fistula (0 to 2%), bladder-neck obstruction (2 to 55%), stricture (2.2 to 17%)</w:t>
      </w:r>
      <w:r w:rsidR="005853A9">
        <w:rPr>
          <w:kern w:val="0"/>
        </w:rPr>
        <w:t xml:space="preserve"> and </w:t>
      </w:r>
      <w:r>
        <w:rPr>
          <w:kern w:val="0"/>
        </w:rPr>
        <w:t>pain (0.4 to 3.1%). Most patients were sent home the following day (range 1 to 4 days). Authors</w:t>
      </w:r>
      <w:r w:rsidR="0071223E">
        <w:rPr>
          <w:kern w:val="0"/>
        </w:rPr>
        <w:t>’</w:t>
      </w:r>
      <w:r>
        <w:rPr>
          <w:kern w:val="0"/>
        </w:rPr>
        <w:t xml:space="preserve"> conclusions Cryotherapy offers a potential alternative to standard therapies for the primary treatment</w:t>
      </w:r>
      <w:r w:rsidR="00427468">
        <w:rPr>
          <w:kern w:val="0"/>
        </w:rPr>
        <w:t xml:space="preserve"> of </w:t>
      </w:r>
      <w:r>
        <w:rPr>
          <w:kern w:val="0"/>
        </w:rPr>
        <w:t>localised prostate cancer. However, the poor quality</w:t>
      </w:r>
      <w:r w:rsidR="00427468">
        <w:rPr>
          <w:kern w:val="0"/>
        </w:rPr>
        <w:t xml:space="preserve"> of </w:t>
      </w:r>
      <w:r>
        <w:rPr>
          <w:kern w:val="0"/>
        </w:rPr>
        <w:t>the available studies makes it difficult to determine the relative benefits</w:t>
      </w:r>
      <w:r w:rsidR="00427468">
        <w:rPr>
          <w:kern w:val="0"/>
        </w:rPr>
        <w:t xml:space="preserve"> of </w:t>
      </w:r>
      <w:r>
        <w:rPr>
          <w:kern w:val="0"/>
        </w:rPr>
        <w:t>this modality. Randomised trials are needed to fully evaluate the full potential</w:t>
      </w:r>
      <w:r w:rsidR="00427468">
        <w:rPr>
          <w:kern w:val="0"/>
        </w:rPr>
        <w:t xml:space="preserve"> of </w:t>
      </w:r>
      <w:r>
        <w:rPr>
          <w:kern w:val="0"/>
        </w:rPr>
        <w:t>cryotherapy in men with this disease. Patients selecting cryotherapy as their therapeutic option should be made fully aware</w:t>
      </w:r>
      <w:r w:rsidR="00427468">
        <w:rPr>
          <w:kern w:val="0"/>
        </w:rPr>
        <w:t xml:space="preserve"> of </w:t>
      </w:r>
      <w:r>
        <w:rPr>
          <w:kern w:val="0"/>
        </w:rPr>
        <w:t>the reported efficacy, complications</w:t>
      </w:r>
      <w:r w:rsidR="005853A9">
        <w:rPr>
          <w:kern w:val="0"/>
        </w:rPr>
        <w:t xml:space="preserve"> and </w:t>
      </w:r>
      <w:r>
        <w:rPr>
          <w:kern w:val="0"/>
        </w:rPr>
        <w:t>the low-grade evidence from which these data are derived.</w:t>
      </w:r>
    </w:p>
    <w:p w:rsidR="00365DE4" w:rsidRDefault="00365DE4" w:rsidP="00365DE4">
      <w:pPr>
        <w:pStyle w:val="a3"/>
        <w:rPr>
          <w:kern w:val="0"/>
        </w:rPr>
      </w:pPr>
      <w:r>
        <w:rPr>
          <w:kern w:val="0"/>
        </w:rPr>
        <w:t xml:space="preserve">Keywords: Authors, Cancer, Carcinoma, Case Series, Citation, Complications, Criteria, </w:t>
      </w:r>
      <w:r>
        <w:rPr>
          <w:kern w:val="0"/>
        </w:rPr>
        <w:lastRenderedPageBreak/>
        <w:t>Cryosurgical Ablation, Database, Databases, Economic, Effectiveness, Elderly, Impact</w:t>
      </w:r>
      <w:r w:rsidR="00D5664A">
        <w:rPr>
          <w:kern w:val="0"/>
        </w:rPr>
        <w:t>, ISI,</w:t>
      </w:r>
      <w:r>
        <w:rPr>
          <w:kern w:val="0"/>
        </w:rPr>
        <w:t xml:space="preserve"> Journals, </w:t>
      </w:r>
      <w:r w:rsidR="00D5664A">
        <w:rPr>
          <w:kern w:val="0"/>
        </w:rPr>
        <w:t>MEDLINE</w:t>
      </w:r>
      <w:r>
        <w:rPr>
          <w:kern w:val="0"/>
        </w:rPr>
        <w:t>, Outcomes, Pain, Percutaneous Cryoablation, Positive, Preservation, Primary, Prostate, Radical Prostatectomy, Review, Science, Science Citation Index, Statistics, Study Design, Surgery, Temperature, Therapy, Treatment, Ultrasound</w:t>
      </w:r>
    </w:p>
    <w:p w:rsidR="00365DE4" w:rsidRDefault="00365DE4" w:rsidP="00365DE4">
      <w:pPr>
        <w:pStyle w:val="a3"/>
        <w:rPr>
          <w:kern w:val="0"/>
        </w:rPr>
      </w:pPr>
      <w:r>
        <w:rPr>
          <w:kern w:val="0"/>
        </w:rPr>
        <w:t>? Ezra, D.G.</w:t>
      </w:r>
      <w:r w:rsidR="005853A9">
        <w:rPr>
          <w:kern w:val="0"/>
        </w:rPr>
        <w:t xml:space="preserve"> and </w:t>
      </w:r>
      <w:r>
        <w:rPr>
          <w:kern w:val="0"/>
        </w:rPr>
        <w:t xml:space="preserve">Allan, B.D. (2007), Topical anaesthesia alone versus topical anaesthesia with intracameral lidocaine for phacoemulsification.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CD005276.</w:t>
      </w:r>
    </w:p>
    <w:p w:rsidR="00365DE4" w:rsidRDefault="00365DE4" w:rsidP="00365DE4">
      <w:pPr>
        <w:pStyle w:val="a3"/>
        <w:rPr>
          <w:kern w:val="2"/>
        </w:rPr>
      </w:pPr>
      <w:r>
        <w:t xml:space="preserve">Full Text: </w:t>
      </w:r>
      <w:hyperlink r:id="rId523" w:history="1">
        <w:r>
          <w:rPr>
            <w:rStyle w:val="a5"/>
          </w:rPr>
          <w:t>2007\Coc Dat Sys Rev2007, CD005276.pdf</w:t>
        </w:r>
      </w:hyperlink>
    </w:p>
    <w:p w:rsidR="00365DE4" w:rsidRDefault="00365DE4" w:rsidP="00365DE4">
      <w:pPr>
        <w:pStyle w:val="a3"/>
        <w:rPr>
          <w:kern w:val="0"/>
        </w:rPr>
      </w:pPr>
      <w:r>
        <w:rPr>
          <w:kern w:val="0"/>
        </w:rPr>
        <w:t>Abstract: Background Cataract is defined as loss</w:t>
      </w:r>
      <w:r w:rsidR="00427468">
        <w:rPr>
          <w:kern w:val="0"/>
        </w:rPr>
        <w:t xml:space="preserve"> of </w:t>
      </w:r>
      <w:r>
        <w:rPr>
          <w:kern w:val="0"/>
        </w:rPr>
        <w:t>transparency</w:t>
      </w:r>
      <w:r w:rsidR="00427468">
        <w:rPr>
          <w:kern w:val="0"/>
        </w:rPr>
        <w:t xml:space="preserve"> of </w:t>
      </w:r>
      <w:r>
        <w:rPr>
          <w:kern w:val="0"/>
        </w:rPr>
        <w:t>the natural lens</w:t>
      </w:r>
      <w:r w:rsidR="005853A9">
        <w:rPr>
          <w:kern w:val="0"/>
        </w:rPr>
        <w:t xml:space="preserve"> and </w:t>
      </w:r>
      <w:r>
        <w:rPr>
          <w:kern w:val="0"/>
        </w:rPr>
        <w:t>is usually an age-related phenomenon</w:t>
      </w:r>
      <w:r w:rsidR="00A37C1D">
        <w:rPr>
          <w:kern w:val="0"/>
        </w:rPr>
        <w:t>. The</w:t>
      </w:r>
      <w:r>
        <w:rPr>
          <w:kern w:val="0"/>
        </w:rPr>
        <w:t xml:space="preserve"> only recognized treatment available for cataract involves surgery. An ideal anaesthetic should allow for pain-free surgery with no systemic or local complications. It should be cost effective</w:t>
      </w:r>
      <w:r w:rsidR="005853A9">
        <w:rPr>
          <w:kern w:val="0"/>
        </w:rPr>
        <w:t xml:space="preserve"> and </w:t>
      </w:r>
      <w:r>
        <w:rPr>
          <w:kern w:val="0"/>
        </w:rPr>
        <w:t>should facilitate a stress-free procedure for surgeon</w:t>
      </w:r>
      <w:r w:rsidR="005853A9">
        <w:rPr>
          <w:kern w:val="0"/>
        </w:rPr>
        <w:t xml:space="preserve"> and </w:t>
      </w:r>
      <w:r>
        <w:rPr>
          <w:kern w:val="0"/>
        </w:rPr>
        <w:t>patient alike. Topical anaesthesia involves applying anaesthetic eye drops to the surface</w:t>
      </w:r>
      <w:r w:rsidR="00427468">
        <w:rPr>
          <w:kern w:val="0"/>
        </w:rPr>
        <w:t xml:space="preserve"> of </w:t>
      </w:r>
      <w:r>
        <w:rPr>
          <w:kern w:val="0"/>
        </w:rPr>
        <w:t>the eye prior to</w:t>
      </w:r>
      <w:r w:rsidR="005853A9">
        <w:rPr>
          <w:kern w:val="0"/>
        </w:rPr>
        <w:t xml:space="preserve"> and </w:t>
      </w:r>
      <w:r>
        <w:rPr>
          <w:kern w:val="0"/>
        </w:rPr>
        <w:t xml:space="preserve">during surgery. This has found large acceptance especially in the </w:t>
      </w:r>
      <w:r w:rsidR="00D5664A">
        <w:rPr>
          <w:kern w:val="0"/>
        </w:rPr>
        <w:t>USA</w:t>
      </w:r>
      <w:r>
        <w:rPr>
          <w:kern w:val="0"/>
        </w:rPr>
        <w:t xml:space="preserve"> where it is used by 61%</w:t>
      </w:r>
      <w:r w:rsidR="00427468">
        <w:rPr>
          <w:kern w:val="0"/>
        </w:rPr>
        <w:t xml:space="preserve"> of </w:t>
      </w:r>
      <w:r>
        <w:rPr>
          <w:kern w:val="0"/>
        </w:rPr>
        <w:t>cataract surgeons. Many surgeons who perform cataract surgery under topical anaesthesia also use intraoperative supplementary intracameral lidocaine (injected directly into the anterior chamber</w:t>
      </w:r>
      <w:r w:rsidR="00427468">
        <w:rPr>
          <w:kern w:val="0"/>
        </w:rPr>
        <w:t xml:space="preserve"> of </w:t>
      </w:r>
      <w:r>
        <w:rPr>
          <w:kern w:val="0"/>
        </w:rPr>
        <w:t>the eye)</w:t>
      </w:r>
      <w:r w:rsidR="00A37C1D">
        <w:rPr>
          <w:kern w:val="0"/>
        </w:rPr>
        <w:t>. The</w:t>
      </w:r>
      <w:r>
        <w:rPr>
          <w:kern w:val="0"/>
        </w:rPr>
        <w:t xml:space="preserve"> benefits</w:t>
      </w:r>
      <w:r w:rsidR="005853A9">
        <w:rPr>
          <w:kern w:val="0"/>
        </w:rPr>
        <w:t xml:space="preserve"> and </w:t>
      </w:r>
      <w:r>
        <w:rPr>
          <w:kern w:val="0"/>
        </w:rPr>
        <w:t>possible risks</w:t>
      </w:r>
      <w:r w:rsidR="00427468">
        <w:rPr>
          <w:kern w:val="0"/>
        </w:rPr>
        <w:t xml:space="preserve"> of </w:t>
      </w:r>
      <w:r>
        <w:rPr>
          <w:kern w:val="0"/>
        </w:rPr>
        <w:t>intracameral lidocaine have been assessed by a number</w:t>
      </w:r>
      <w:r w:rsidR="00427468">
        <w:rPr>
          <w:kern w:val="0"/>
        </w:rPr>
        <w:t xml:space="preserve"> of </w:t>
      </w:r>
      <w:r>
        <w:rPr>
          <w:kern w:val="0"/>
        </w:rPr>
        <w:t>randomized controlled trials, but the results have been conflicting</w:t>
      </w:r>
      <w:r w:rsidR="005853A9">
        <w:rPr>
          <w:kern w:val="0"/>
        </w:rPr>
        <w:t xml:space="preserve"> and </w:t>
      </w:r>
      <w:r>
        <w:rPr>
          <w:kern w:val="0"/>
        </w:rPr>
        <w:t>many</w:t>
      </w:r>
      <w:r w:rsidR="00427468">
        <w:rPr>
          <w:kern w:val="0"/>
        </w:rPr>
        <w:t xml:space="preserve"> of </w:t>
      </w:r>
      <w:r>
        <w:rPr>
          <w:kern w:val="0"/>
        </w:rPr>
        <w:t>the endpoints have been heterogeneous. Objectives The primary objective</w:t>
      </w:r>
      <w:r w:rsidR="00427468">
        <w:rPr>
          <w:kern w:val="0"/>
        </w:rPr>
        <w:t xml:space="preserve"> of </w:t>
      </w:r>
      <w:r>
        <w:rPr>
          <w:kern w:val="0"/>
        </w:rPr>
        <w:t>this systematic review was to assess pain during surgery</w:t>
      </w:r>
      <w:r w:rsidR="005853A9">
        <w:rPr>
          <w:kern w:val="0"/>
        </w:rPr>
        <w:t xml:space="preserve"> and </w:t>
      </w:r>
      <w:r>
        <w:rPr>
          <w:kern w:val="0"/>
        </w:rPr>
        <w:t>patient satisfaction with topical anaesthesia alone compared to topical anaesthesia with intracameral anaesthesia for phacoemulsification</w:t>
      </w:r>
      <w:r w:rsidR="00A37C1D">
        <w:rPr>
          <w:kern w:val="0"/>
        </w:rPr>
        <w:t>. The</w:t>
      </w:r>
      <w:r>
        <w:rPr>
          <w:kern w:val="0"/>
        </w:rPr>
        <w:t xml:space="preserve"> secondary objectives were to assess adverse effects</w:t>
      </w:r>
      <w:r w:rsidR="005853A9">
        <w:rPr>
          <w:kern w:val="0"/>
        </w:rPr>
        <w:t xml:space="preserve"> and </w:t>
      </w:r>
      <w:r>
        <w:rPr>
          <w:kern w:val="0"/>
        </w:rPr>
        <w:t>complications attributable to choice</w:t>
      </w:r>
      <w:r w:rsidR="00427468">
        <w:rPr>
          <w:kern w:val="0"/>
        </w:rPr>
        <w:t xml:space="preserve"> of </w:t>
      </w:r>
      <w:r>
        <w:rPr>
          <w:kern w:val="0"/>
        </w:rPr>
        <w:t>anaesthesia</w:t>
      </w:r>
      <w:r w:rsidR="005853A9">
        <w:rPr>
          <w:kern w:val="0"/>
        </w:rPr>
        <w:t xml:space="preserve"> and </w:t>
      </w:r>
      <w:r>
        <w:rPr>
          <w:kern w:val="0"/>
        </w:rPr>
        <w:t>the need for additional anaesthesia during surgery. Search strategy We searched the Cochrane Central Register</w:t>
      </w:r>
      <w:r w:rsidR="00427468">
        <w:rPr>
          <w:kern w:val="0"/>
        </w:rPr>
        <w:t xml:space="preserve"> of </w:t>
      </w:r>
      <w:r>
        <w:rPr>
          <w:kern w:val="0"/>
        </w:rPr>
        <w:t xml:space="preserve">Controlled Trials (CENTRAL) (T h e Cochrane Library 2006, Issue 2), </w:t>
      </w:r>
      <w:r w:rsidR="00D5664A">
        <w:rPr>
          <w:kern w:val="0"/>
        </w:rPr>
        <w:t>MEDLINE</w:t>
      </w:r>
      <w:r>
        <w:rPr>
          <w:kern w:val="0"/>
        </w:rPr>
        <w:t xml:space="preserve"> (1966 to May 2006), EMBASE (1980 to May 2006)</w:t>
      </w:r>
      <w:r w:rsidR="005853A9">
        <w:rPr>
          <w:kern w:val="0"/>
        </w:rPr>
        <w:t xml:space="preserve"> and </w:t>
      </w:r>
      <w:r>
        <w:rPr>
          <w:kern w:val="0"/>
        </w:rPr>
        <w:t>LILACs (1982 to 3May 2006). We also searched the reference lists</w:t>
      </w:r>
      <w:r w:rsidR="00427468">
        <w:rPr>
          <w:kern w:val="0"/>
        </w:rPr>
        <w:t xml:space="preserve"> of </w:t>
      </w:r>
      <w:r>
        <w:rPr>
          <w:kern w:val="0"/>
        </w:rPr>
        <w:t>the identified studies</w:t>
      </w:r>
      <w:r w:rsidR="005853A9">
        <w:rPr>
          <w:kern w:val="0"/>
        </w:rPr>
        <w:t xml:space="preserve"> and </w:t>
      </w:r>
      <w:r>
        <w:rPr>
          <w:kern w:val="0"/>
        </w:rPr>
        <w:t>the Science Citation Index. We did not have any language restriction. Selection criteria We included only randomized controlled trials (RCTs) comparing topical anaesthesia alone to topical anaesthesia with intracameral lidocaine. Data collection</w:t>
      </w:r>
      <w:r w:rsidR="005853A9">
        <w:rPr>
          <w:kern w:val="0"/>
        </w:rPr>
        <w:t xml:space="preserve"> and </w:t>
      </w:r>
      <w:r>
        <w:rPr>
          <w:kern w:val="0"/>
        </w:rPr>
        <w:t>analysis Two authors independently assessed trial quality</w:t>
      </w:r>
      <w:r w:rsidR="005853A9">
        <w:rPr>
          <w:kern w:val="0"/>
        </w:rPr>
        <w:t xml:space="preserve"> and </w:t>
      </w:r>
      <w:r>
        <w:rPr>
          <w:kern w:val="0"/>
        </w:rPr>
        <w:t>extracted data. For dichotomous outcomes data were presented as odds ratios. For continuous outcomes the weighted mean difference was employed. A random-effects model was used unless there were fewer than three trials in a comparison, where a fixed-effect model was used. We explored heterogeneity between trial results using a chi-squared test. Main results A total</w:t>
      </w:r>
      <w:r w:rsidR="00427468">
        <w:rPr>
          <w:kern w:val="0"/>
        </w:rPr>
        <w:t xml:space="preserve"> of </w:t>
      </w:r>
      <w:r>
        <w:rPr>
          <w:kern w:val="0"/>
        </w:rPr>
        <w:t>eight trials comprising</w:t>
      </w:r>
      <w:r w:rsidR="00427468">
        <w:rPr>
          <w:kern w:val="0"/>
        </w:rPr>
        <w:t xml:space="preserve"> of </w:t>
      </w:r>
      <w:r>
        <w:rPr>
          <w:kern w:val="0"/>
        </w:rPr>
        <w:t xml:space="preserve">1281 patients were identified for </w:t>
      </w:r>
      <w:r>
        <w:rPr>
          <w:kern w:val="0"/>
        </w:rPr>
        <w:lastRenderedPageBreak/>
        <w:t>analysis. Our data comparison showed a significantly lower intraoperative pain perception in patient groups using supplementary intracameral lidocaine, although the difference was small. No significant difference was demonstrated between the groups receiving topical anaesthesia alone</w:t>
      </w:r>
      <w:r w:rsidR="005853A9">
        <w:rPr>
          <w:kern w:val="0"/>
        </w:rPr>
        <w:t xml:space="preserve"> and </w:t>
      </w:r>
      <w:r>
        <w:rPr>
          <w:kern w:val="0"/>
        </w:rPr>
        <w:t>topical combined with intracameral anaesthesia in terms</w:t>
      </w:r>
      <w:r w:rsidR="00427468">
        <w:rPr>
          <w:kern w:val="0"/>
        </w:rPr>
        <w:t xml:space="preserve"> of </w:t>
      </w:r>
      <w:r>
        <w:rPr>
          <w:kern w:val="0"/>
        </w:rPr>
        <w:t>the need for supplemental anaesthesia, intraoperative adverse events or corneal toxicity. Authors</w:t>
      </w:r>
      <w:r w:rsidR="0071223E">
        <w:rPr>
          <w:kern w:val="0"/>
        </w:rPr>
        <w:t>’</w:t>
      </w:r>
      <w:r>
        <w:rPr>
          <w:kern w:val="0"/>
        </w:rPr>
        <w:t xml:space="preserve"> conclusions The use</w:t>
      </w:r>
      <w:r w:rsidR="00427468">
        <w:rPr>
          <w:kern w:val="0"/>
        </w:rPr>
        <w:t xml:space="preserve"> of </w:t>
      </w:r>
      <w:r>
        <w:rPr>
          <w:kern w:val="0"/>
        </w:rPr>
        <w:t>intracameral unpreserved 1% lidocaine is an effective</w:t>
      </w:r>
      <w:r w:rsidR="005853A9">
        <w:rPr>
          <w:kern w:val="0"/>
        </w:rPr>
        <w:t xml:space="preserve"> and </w:t>
      </w:r>
      <w:r>
        <w:rPr>
          <w:kern w:val="0"/>
        </w:rPr>
        <w:t>safe adjunct to topical anaesthesia for phacoemulsification cataract surgery.</w:t>
      </w:r>
    </w:p>
    <w:p w:rsidR="00365DE4" w:rsidRDefault="00365DE4" w:rsidP="00365DE4">
      <w:pPr>
        <w:pStyle w:val="a3"/>
        <w:rPr>
          <w:kern w:val="0"/>
        </w:rPr>
      </w:pPr>
      <w:r>
        <w:rPr>
          <w:kern w:val="0"/>
        </w:rPr>
        <w:t xml:space="preserve">Keywords: 1-Percent, Anaesthesia, Anterior-Chamber Irrigation, Authors, Cataract, Cataract-Surgery Survey, Citation, Comparison, Corneal Endothelium, Criteria, Efficacy, Extraction, Groups, Heterogeneity, Language, Local, </w:t>
      </w:r>
      <w:r w:rsidR="00D5664A">
        <w:rPr>
          <w:kern w:val="0"/>
        </w:rPr>
        <w:t>MEDLINE</w:t>
      </w:r>
      <w:r>
        <w:rPr>
          <w:kern w:val="0"/>
        </w:rPr>
        <w:t xml:space="preserve">, Model, Outcomes, Pain, Primary, Randomized Controlled Trials, Review, Safety, Science, Science Citation Index, Surgery, Systematic Review, Toxicity, Treatment, Trial, Unpreserved Lidocaine, </w:t>
      </w:r>
      <w:r w:rsidR="00D5664A">
        <w:rPr>
          <w:kern w:val="0"/>
        </w:rPr>
        <w:t>USA</w:t>
      </w:r>
    </w:p>
    <w:p w:rsidR="00365DE4" w:rsidRDefault="00365DE4" w:rsidP="00365DE4">
      <w:pPr>
        <w:pStyle w:val="a3"/>
        <w:rPr>
          <w:kern w:val="0"/>
        </w:rPr>
      </w:pPr>
      <w:r>
        <w:rPr>
          <w:kern w:val="0"/>
        </w:rPr>
        <w:t>? Mumtaz, K., Hamid, S.</w:t>
      </w:r>
      <w:r w:rsidR="005853A9">
        <w:rPr>
          <w:kern w:val="0"/>
        </w:rPr>
        <w:t xml:space="preserve"> and </w:t>
      </w:r>
      <w:r>
        <w:rPr>
          <w:kern w:val="0"/>
        </w:rPr>
        <w:t xml:space="preserve">Jafri, W. (2007), Endoscopic retrograde cholangiopancreaticography with or without stenting in patients with pancreaticobiliary malignancy, prior to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CD006001.</w:t>
      </w:r>
    </w:p>
    <w:p w:rsidR="00365DE4" w:rsidRDefault="00365DE4" w:rsidP="00365DE4">
      <w:pPr>
        <w:pStyle w:val="a3"/>
        <w:rPr>
          <w:kern w:val="2"/>
        </w:rPr>
      </w:pPr>
      <w:r>
        <w:t xml:space="preserve">Full Text: </w:t>
      </w:r>
      <w:hyperlink r:id="rId524" w:history="1">
        <w:r>
          <w:rPr>
            <w:rStyle w:val="a5"/>
          </w:rPr>
          <w:t>2007\Coc Dat Sys Rev2007, CD006001.pdf</w:t>
        </w:r>
      </w:hyperlink>
    </w:p>
    <w:p w:rsidR="00365DE4" w:rsidRDefault="00365DE4" w:rsidP="00365DE4">
      <w:pPr>
        <w:pStyle w:val="a3"/>
        <w:rPr>
          <w:kern w:val="0"/>
        </w:rPr>
      </w:pPr>
      <w:r>
        <w:rPr>
          <w:kern w:val="0"/>
        </w:rPr>
        <w:t>Abstract: Background Postoperative morbidity</w:t>
      </w:r>
      <w:r w:rsidR="005853A9">
        <w:rPr>
          <w:kern w:val="0"/>
        </w:rPr>
        <w:t xml:space="preserve"> and </w:t>
      </w:r>
      <w:r>
        <w:rPr>
          <w:kern w:val="0"/>
        </w:rPr>
        <w:t>mortality are high in patients undergoing pancreatico-duodenectomy for malignant pancreatico-biliary stricture. Different approaches have been tried to improve the outcomes, including pre-surgical biliary stenting with endoscopic retrograde cholangiopancreaticography (ERCP). Objectives To assess the beneficial</w:t>
      </w:r>
      <w:r w:rsidR="005853A9">
        <w:rPr>
          <w:kern w:val="0"/>
        </w:rPr>
        <w:t xml:space="preserve"> and </w:t>
      </w:r>
      <w:r>
        <w:rPr>
          <w:kern w:val="0"/>
        </w:rPr>
        <w:t>harmful effects</w:t>
      </w:r>
      <w:r w:rsidR="00427468">
        <w:rPr>
          <w:kern w:val="0"/>
        </w:rPr>
        <w:t xml:space="preserve"> of </w:t>
      </w:r>
      <w:r>
        <w:rPr>
          <w:kern w:val="0"/>
        </w:rPr>
        <w:t>biliary stenting via ERCP for pancreatico-biliary stricture confirmed or suspected to be malignant, prior to surgery. Search strategy We identified trials through The Cochrane Hepato-Biliary Group Controlled Trials Register (October 2006), the Cochrane Central Register</w:t>
      </w:r>
      <w:r w:rsidR="00427468">
        <w:rPr>
          <w:kern w:val="0"/>
        </w:rPr>
        <w:t xml:space="preserve"> of </w:t>
      </w:r>
      <w:r>
        <w:rPr>
          <w:kern w:val="0"/>
        </w:rPr>
        <w:t xml:space="preserve">Controlled Trials (CENTRAL) in The Cochrane Library (Issue 2, 2006), </w:t>
      </w:r>
      <w:r w:rsidR="00D5664A">
        <w:rPr>
          <w:kern w:val="0"/>
        </w:rPr>
        <w:t>MEDLINE</w:t>
      </w:r>
      <w:r>
        <w:rPr>
          <w:kern w:val="0"/>
        </w:rPr>
        <w:t xml:space="preserve"> (1950 to October 2006), EMBASE (1980 to October 2006),</w:t>
      </w:r>
      <w:r w:rsidR="005853A9">
        <w:rPr>
          <w:kern w:val="0"/>
        </w:rPr>
        <w:t xml:space="preserve"> and </w:t>
      </w:r>
      <w:r>
        <w:rPr>
          <w:kern w:val="0"/>
        </w:rPr>
        <w:t>Science Citation Index Expanded (1945 to October 2006). We also searched the references in the published papers</w:t>
      </w:r>
      <w:r w:rsidR="005853A9">
        <w:rPr>
          <w:kern w:val="0"/>
        </w:rPr>
        <w:t xml:space="preserve"> and </w:t>
      </w:r>
      <w:r>
        <w:rPr>
          <w:kern w:val="0"/>
        </w:rPr>
        <w:t>wrote to stent producers. Selection criteria Randomised trials comparing ERCP with biliary stenting versus ERCP without biliary stenting for pancreatico-biliary malignancy prior to surgery. Data collection</w:t>
      </w:r>
      <w:r w:rsidR="005853A9">
        <w:rPr>
          <w:kern w:val="0"/>
        </w:rPr>
        <w:t xml:space="preserve"> and </w:t>
      </w:r>
      <w:r>
        <w:rPr>
          <w:kern w:val="0"/>
        </w:rPr>
        <w:t>analysis Two authors independently selected trials for inclusion</w:t>
      </w:r>
      <w:r w:rsidR="005853A9">
        <w:rPr>
          <w:kern w:val="0"/>
        </w:rPr>
        <w:t xml:space="preserve"> and </w:t>
      </w:r>
      <w:r>
        <w:rPr>
          <w:kern w:val="0"/>
        </w:rPr>
        <w:t>extracted data</w:t>
      </w:r>
      <w:r w:rsidR="00A37C1D">
        <w:rPr>
          <w:kern w:val="0"/>
        </w:rPr>
        <w:t>. The</w:t>
      </w:r>
      <w:r>
        <w:rPr>
          <w:kern w:val="0"/>
        </w:rPr>
        <w:t xml:space="preserve"> primary pre-surgical, post-surgical,</w:t>
      </w:r>
      <w:r w:rsidR="005853A9">
        <w:rPr>
          <w:kern w:val="0"/>
        </w:rPr>
        <w:t xml:space="preserve"> and </w:t>
      </w:r>
      <w:r>
        <w:rPr>
          <w:kern w:val="0"/>
        </w:rPr>
        <w:t>final outcome measures were mortality</w:t>
      </w:r>
      <w:r w:rsidR="00A37C1D">
        <w:rPr>
          <w:kern w:val="0"/>
        </w:rPr>
        <w:t>. The</w:t>
      </w:r>
      <w:r>
        <w:rPr>
          <w:kern w:val="0"/>
        </w:rPr>
        <w:t xml:space="preserve"> secondary outcomes were complications such as cholangitis, pancreatitis, bleeding, pancreatic fistula, intra-abdominal abscess, improvement in bilirubin,</w:t>
      </w:r>
      <w:r w:rsidR="005853A9">
        <w:rPr>
          <w:kern w:val="0"/>
        </w:rPr>
        <w:t xml:space="preserve"> and </w:t>
      </w:r>
      <w:r>
        <w:rPr>
          <w:kern w:val="0"/>
        </w:rPr>
        <w:t>quality</w:t>
      </w:r>
      <w:r w:rsidR="00427468">
        <w:rPr>
          <w:kern w:val="0"/>
        </w:rPr>
        <w:t xml:space="preserve"> of </w:t>
      </w:r>
      <w:r>
        <w:rPr>
          <w:kern w:val="0"/>
        </w:rPr>
        <w:t>life. Dichotomous outcomes were reported as odds ratio (OR) with 95% confidence interval (CI) based on fixed-</w:t>
      </w:r>
      <w:r w:rsidR="005853A9">
        <w:rPr>
          <w:kern w:val="0"/>
        </w:rPr>
        <w:t xml:space="preserve"> and </w:t>
      </w:r>
      <w:r>
        <w:rPr>
          <w:kern w:val="0"/>
        </w:rPr>
        <w:t xml:space="preserve">random-effect models. Main results We identified </w:t>
      </w:r>
      <w:r>
        <w:rPr>
          <w:kern w:val="0"/>
        </w:rPr>
        <w:lastRenderedPageBreak/>
        <w:t>two randomised trials with 125 patients undergoing pancreatico-duodenectomy; 62 patients underwent ERCP with biliary stenting</w:t>
      </w:r>
      <w:r w:rsidR="005853A9">
        <w:rPr>
          <w:kern w:val="0"/>
        </w:rPr>
        <w:t xml:space="preserve"> and </w:t>
      </w:r>
      <w:r>
        <w:rPr>
          <w:kern w:val="0"/>
        </w:rPr>
        <w:t>63 had ERCP without biliary stenting prior to surgery. Pre-surgical mortality was not significantly affected by stenting (OR 3.14, 95% CI 0.12 to 79.26), while there were significantly more complications in the stented group (OR 43.75, 95% CI 2.51 to 761.8). Stenting had no significant effect on the post-surgical mortality (OR 0.75, 95% CI 0.25 to 2.24). However, post-surgical complications were significantly less in the stented group (OR 0.45, 95% CI 0.22 to 0.91). Overall mortality (OR 0.81, 95% CI 0.17 to 3.89)</w:t>
      </w:r>
      <w:r w:rsidR="005853A9">
        <w:rPr>
          <w:kern w:val="0"/>
        </w:rPr>
        <w:t xml:space="preserve"> and </w:t>
      </w:r>
      <w:r>
        <w:rPr>
          <w:kern w:val="0"/>
        </w:rPr>
        <w:t>complications (OR 0.50, 95% CI 0.01 to 23.68) were not significantly different in the two groups. Authors</w:t>
      </w:r>
      <w:r w:rsidR="0071223E">
        <w:rPr>
          <w:kern w:val="0"/>
        </w:rPr>
        <w:t>’</w:t>
      </w:r>
      <w:r>
        <w:rPr>
          <w:kern w:val="0"/>
        </w:rPr>
        <w:t xml:space="preserve"> conclusions We could not find convincing evidence to support or refute endoscopic biliary stenting on the mortality in patients with pancreatico-biliary malignancy. Large randomised trials are needed to settle the question</w:t>
      </w:r>
      <w:r w:rsidR="00427468">
        <w:rPr>
          <w:kern w:val="0"/>
        </w:rPr>
        <w:t xml:space="preserve"> of </w:t>
      </w:r>
      <w:r>
        <w:rPr>
          <w:kern w:val="0"/>
        </w:rPr>
        <w:t>pre-surgical biliary stenting.</w:t>
      </w:r>
    </w:p>
    <w:p w:rsidR="00365DE4" w:rsidRDefault="00365DE4" w:rsidP="00365DE4">
      <w:pPr>
        <w:pStyle w:val="a3"/>
        <w:rPr>
          <w:kern w:val="0"/>
        </w:rPr>
      </w:pPr>
      <w:r>
        <w:rPr>
          <w:kern w:val="0"/>
        </w:rPr>
        <w:t xml:space="preserve">Keywords: Authors, Bile-Ducts, Citation, Clinical-Trials, Criteria, Decompression, Groups, Hilar Cholangiocarcinoma, Management, </w:t>
      </w:r>
      <w:r w:rsidR="00D5664A">
        <w:rPr>
          <w:kern w:val="0"/>
        </w:rPr>
        <w:t>MEDLINE</w:t>
      </w:r>
      <w:r>
        <w:rPr>
          <w:kern w:val="0"/>
        </w:rPr>
        <w:t>, Models, Obstructive-Jaundice, Outcome Following Pancreaticoduodenectomy, Outcomes, Postoperative Complications, Preoperative Biliary Drainage, Primary, Randomized-Trials, Science, Science Citation Index, Surgery</w:t>
      </w:r>
    </w:p>
    <w:p w:rsidR="00365DE4" w:rsidRDefault="00365DE4" w:rsidP="00365DE4">
      <w:pPr>
        <w:pStyle w:val="a3"/>
        <w:rPr>
          <w:kern w:val="0"/>
        </w:rPr>
      </w:pPr>
      <w:r>
        <w:rPr>
          <w:kern w:val="0"/>
        </w:rPr>
        <w:t>? Ederle, J., Featherstone, R.L.</w:t>
      </w:r>
      <w:r w:rsidR="005853A9">
        <w:rPr>
          <w:kern w:val="0"/>
        </w:rPr>
        <w:t xml:space="preserve"> and </w:t>
      </w:r>
      <w:r>
        <w:rPr>
          <w:kern w:val="0"/>
        </w:rPr>
        <w:t>Brown, M.M. (2007), Percutaneous transluminal angioplasty</w:t>
      </w:r>
      <w:r w:rsidR="005853A9">
        <w:rPr>
          <w:kern w:val="0"/>
        </w:rPr>
        <w:t xml:space="preserve"> and </w:t>
      </w:r>
      <w:r>
        <w:rPr>
          <w:kern w:val="0"/>
        </w:rPr>
        <w:t xml:space="preserve">stenting for carotid artery stenosis.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CD000515.</w:t>
      </w:r>
    </w:p>
    <w:p w:rsidR="00365DE4" w:rsidRDefault="00365DE4" w:rsidP="00365DE4">
      <w:pPr>
        <w:pStyle w:val="a3"/>
        <w:rPr>
          <w:kern w:val="2"/>
        </w:rPr>
      </w:pPr>
      <w:r>
        <w:t xml:space="preserve">Full Text: </w:t>
      </w:r>
      <w:hyperlink r:id="rId525" w:history="1">
        <w:r>
          <w:rPr>
            <w:rStyle w:val="a5"/>
          </w:rPr>
          <w:t>2007\Coc Dat Sys Rev2007, CD000515.pdf</w:t>
        </w:r>
      </w:hyperlink>
    </w:p>
    <w:p w:rsidR="00365DE4" w:rsidRDefault="00365DE4" w:rsidP="00365DE4">
      <w:pPr>
        <w:pStyle w:val="a3"/>
        <w:rPr>
          <w:kern w:val="0"/>
        </w:rPr>
      </w:pPr>
      <w:r>
        <w:rPr>
          <w:kern w:val="0"/>
        </w:rPr>
        <w:t>Abstract: Background Endovascular treatment by transluminal balloon angioplasty or stent insertion may be a useful alternative to carotid endarterectomy. Objectives To assess the benefits</w:t>
      </w:r>
      <w:r w:rsidR="005853A9">
        <w:rPr>
          <w:kern w:val="0"/>
        </w:rPr>
        <w:t xml:space="preserve"> and </w:t>
      </w:r>
      <w:r>
        <w:rPr>
          <w:kern w:val="0"/>
        </w:rPr>
        <w:t>risks</w:t>
      </w:r>
      <w:r w:rsidR="00427468">
        <w:rPr>
          <w:kern w:val="0"/>
        </w:rPr>
        <w:t xml:space="preserve"> of </w:t>
      </w:r>
      <w:r>
        <w:rPr>
          <w:kern w:val="0"/>
        </w:rPr>
        <w:t>endovascular treatment compared with carotid endarterectomy or medical therapy. Search strategy We searched the Cochrane Stroke Group trials register (last searched 14 March 2007)</w:t>
      </w:r>
      <w:r w:rsidR="005853A9">
        <w:rPr>
          <w:kern w:val="0"/>
        </w:rPr>
        <w:t xml:space="preserve"> and </w:t>
      </w:r>
      <w:r>
        <w:rPr>
          <w:kern w:val="0"/>
        </w:rPr>
        <w:t>the following bibliographic databases: Cochrane Central Register</w:t>
      </w:r>
      <w:r w:rsidR="00427468">
        <w:rPr>
          <w:kern w:val="0"/>
        </w:rPr>
        <w:t xml:space="preserve"> of </w:t>
      </w:r>
      <w:r>
        <w:rPr>
          <w:kern w:val="0"/>
        </w:rPr>
        <w:t xml:space="preserve">Controlled Trials (CENTRAL) (The Cochrane Library, Issue 1, 2007), </w:t>
      </w:r>
      <w:r w:rsidR="00D5664A">
        <w:rPr>
          <w:kern w:val="0"/>
        </w:rPr>
        <w:t>MEDLINE</w:t>
      </w:r>
      <w:r>
        <w:rPr>
          <w:kern w:val="0"/>
        </w:rPr>
        <w:t xml:space="preserve"> (1950 to March 2007), EMBASE (1980 to March 2007)</w:t>
      </w:r>
      <w:r w:rsidR="005853A9">
        <w:rPr>
          <w:kern w:val="0"/>
        </w:rPr>
        <w:t xml:space="preserve"> and </w:t>
      </w:r>
      <w:r>
        <w:rPr>
          <w:kern w:val="0"/>
        </w:rPr>
        <w:t>Science Citation Index (1945 to March 2007). We also contacted researchers in the field. Selection criteria We selected randomised trials</w:t>
      </w:r>
      <w:r w:rsidR="00427468">
        <w:rPr>
          <w:kern w:val="0"/>
        </w:rPr>
        <w:t xml:space="preserve"> of </w:t>
      </w:r>
      <w:r>
        <w:rPr>
          <w:kern w:val="0"/>
        </w:rPr>
        <w:t>endovascular treatment compared with endarterectomy or medical therapy for carotid artery stenosis. Data collection</w:t>
      </w:r>
      <w:r w:rsidR="005853A9">
        <w:rPr>
          <w:kern w:val="0"/>
        </w:rPr>
        <w:t xml:space="preserve"> and </w:t>
      </w:r>
      <w:r>
        <w:rPr>
          <w:kern w:val="0"/>
        </w:rPr>
        <w:t>analysis One review author independently applied the inclusion criteria, extracted data</w:t>
      </w:r>
      <w:r w:rsidR="005853A9">
        <w:rPr>
          <w:kern w:val="0"/>
        </w:rPr>
        <w:t xml:space="preserve"> and </w:t>
      </w:r>
      <w:r>
        <w:rPr>
          <w:kern w:val="0"/>
        </w:rPr>
        <w:t>assessed trial quality. Search results were validated by a second review author. Main results Data were available from 12 trials (3227 patients) but not all contributed to each analysis</w:t>
      </w:r>
      <w:r w:rsidR="00A37C1D">
        <w:rPr>
          <w:kern w:val="0"/>
        </w:rPr>
        <w:t>. The</w:t>
      </w:r>
      <w:r>
        <w:rPr>
          <w:kern w:val="0"/>
        </w:rPr>
        <w:t xml:space="preserve"> primary outcome comparison</w:t>
      </w:r>
      <w:r w:rsidR="00427468">
        <w:rPr>
          <w:kern w:val="0"/>
        </w:rPr>
        <w:t xml:space="preserve"> of </w:t>
      </w:r>
      <w:r>
        <w:rPr>
          <w:kern w:val="0"/>
        </w:rPr>
        <w:t>any stroke or death within 30 days</w:t>
      </w:r>
      <w:r w:rsidR="00427468">
        <w:rPr>
          <w:kern w:val="0"/>
        </w:rPr>
        <w:t xml:space="preserve"> of </w:t>
      </w:r>
      <w:r>
        <w:rPr>
          <w:kern w:val="0"/>
        </w:rPr>
        <w:t>treatment favoured surgery (odds ratio (OR) 1.39, P = 0.02, not significant (NS) in the random-effects model)</w:t>
      </w:r>
      <w:r w:rsidR="00A37C1D">
        <w:rPr>
          <w:kern w:val="0"/>
        </w:rPr>
        <w:t>. The</w:t>
      </w:r>
      <w:r>
        <w:rPr>
          <w:kern w:val="0"/>
        </w:rPr>
        <w:t xml:space="preserve"> following outcome comparisons favoured endovascular treatment over surgery: </w:t>
      </w:r>
      <w:r>
        <w:rPr>
          <w:kern w:val="0"/>
        </w:rPr>
        <w:lastRenderedPageBreak/>
        <w:t>cranial neuropathy (OR 0.07, P &lt; 0.01); 30 day neurological complication or death (OR 0.62, P = 0.004, NS in the random-effects model, with significant heterogeneity)</w:t>
      </w:r>
      <w:r w:rsidR="00A37C1D">
        <w:rPr>
          <w:kern w:val="0"/>
        </w:rPr>
        <w:t>. The</w:t>
      </w:r>
      <w:r>
        <w:rPr>
          <w:kern w:val="0"/>
        </w:rPr>
        <w:t xml:space="preserve"> following outcome comparisons showed little difference between endovascular treatment</w:t>
      </w:r>
      <w:r w:rsidR="005853A9">
        <w:rPr>
          <w:kern w:val="0"/>
        </w:rPr>
        <w:t xml:space="preserve"> and </w:t>
      </w:r>
      <w:r>
        <w:rPr>
          <w:kern w:val="0"/>
        </w:rPr>
        <w:t>surgery: 30 day stroke, myocardial infarction or death (OR 1.11, P = 0.57 with significant heterogeneity); stroke during long-term follow up (OR 1.00). Comparison between endovascular treatment with or without protection device showed no significant difference in 30 day stroke or death (OR 0.77, P = 0.42 with significant heterogeneity). Analysis</w:t>
      </w:r>
      <w:r w:rsidR="00427468">
        <w:rPr>
          <w:kern w:val="0"/>
        </w:rPr>
        <w:t xml:space="preserve"> of </w:t>
      </w:r>
      <w:r>
        <w:rPr>
          <w:kern w:val="0"/>
        </w:rPr>
        <w:t>stroke or death within 30 days</w:t>
      </w:r>
      <w:r w:rsidR="00427468">
        <w:rPr>
          <w:kern w:val="0"/>
        </w:rPr>
        <w:t xml:space="preserve"> of </w:t>
      </w:r>
      <w:r>
        <w:rPr>
          <w:kern w:val="0"/>
        </w:rPr>
        <w:t>the procedure in asymptomatic carotid stenosis showed no difference (OR 1.06, P = 0.96). In patients not suitable for surgery, there was no significant difference in 30 day stroke or death (OR 0.39, P = 0.09 with significant heterogeneity). Authors</w:t>
      </w:r>
      <w:r w:rsidR="0071223E">
        <w:rPr>
          <w:kern w:val="0"/>
        </w:rPr>
        <w:t>’</w:t>
      </w:r>
      <w:r>
        <w:rPr>
          <w:kern w:val="0"/>
        </w:rPr>
        <w:t xml:space="preserve"> conclusions The data are difficult to interpret because the trials are heterogeneous (different patients, endovascular procedures,</w:t>
      </w:r>
      <w:r w:rsidR="005853A9">
        <w:rPr>
          <w:kern w:val="0"/>
        </w:rPr>
        <w:t xml:space="preserve"> and </w:t>
      </w:r>
      <w:r>
        <w:rPr>
          <w:kern w:val="0"/>
        </w:rPr>
        <w:t>duration</w:t>
      </w:r>
      <w:r w:rsidR="00427468">
        <w:rPr>
          <w:kern w:val="0"/>
        </w:rPr>
        <w:t xml:space="preserve"> of </w:t>
      </w:r>
      <w:r>
        <w:rPr>
          <w:kern w:val="0"/>
        </w:rPr>
        <w:t>follow up)</w:t>
      </w:r>
      <w:r w:rsidR="005853A9">
        <w:rPr>
          <w:kern w:val="0"/>
        </w:rPr>
        <w:t xml:space="preserve"> and </w:t>
      </w:r>
      <w:r>
        <w:rPr>
          <w:kern w:val="0"/>
        </w:rPr>
        <w:t>five trials were stopped early, perhaps leading to an over-estimate</w:t>
      </w:r>
      <w:r w:rsidR="00427468">
        <w:rPr>
          <w:kern w:val="0"/>
        </w:rPr>
        <w:t xml:space="preserve"> of </w:t>
      </w:r>
      <w:r>
        <w:rPr>
          <w:kern w:val="0"/>
        </w:rPr>
        <w:t>the risks</w:t>
      </w:r>
      <w:r w:rsidR="00427468">
        <w:rPr>
          <w:kern w:val="0"/>
        </w:rPr>
        <w:t xml:space="preserve"> of </w:t>
      </w:r>
      <w:r>
        <w:rPr>
          <w:kern w:val="0"/>
        </w:rPr>
        <w:t>endovascular treatment</w:t>
      </w:r>
      <w:r w:rsidR="00A37C1D">
        <w:rPr>
          <w:kern w:val="0"/>
        </w:rPr>
        <w:t>. The</w:t>
      </w:r>
      <w:r>
        <w:rPr>
          <w:kern w:val="0"/>
        </w:rPr>
        <w:t xml:space="preserve"> pattern</w:t>
      </w:r>
      <w:r w:rsidR="00427468">
        <w:rPr>
          <w:kern w:val="0"/>
        </w:rPr>
        <w:t xml:space="preserve"> of </w:t>
      </w:r>
      <w:r>
        <w:rPr>
          <w:kern w:val="0"/>
        </w:rPr>
        <w:t>effects on different outcomes does not support a change in clinical practice away from recommending carotid endarterectomy as the treatment</w:t>
      </w:r>
      <w:r w:rsidR="00427468">
        <w:rPr>
          <w:kern w:val="0"/>
        </w:rPr>
        <w:t xml:space="preserve"> of </w:t>
      </w:r>
      <w:r>
        <w:rPr>
          <w:kern w:val="0"/>
        </w:rPr>
        <w:t>choice for suitable carotid artery stenosis.</w:t>
      </w:r>
    </w:p>
    <w:p w:rsidR="00365DE4" w:rsidRDefault="00365DE4" w:rsidP="00365DE4">
      <w:pPr>
        <w:pStyle w:val="a3"/>
        <w:rPr>
          <w:kern w:val="0"/>
        </w:rPr>
      </w:pPr>
      <w:r>
        <w:rPr>
          <w:kern w:val="0"/>
        </w:rPr>
        <w:t xml:space="preserve">Keywords: *Angioplasty,Balloon, *Carotid Artery,Internal, *Stents, Authors, Balloon Angioplasty, Carotid Stenosis [*Therapy], Cerebral Protection, Change, Citation, Clinical-Trial, Comparison, Criteria, Databases, Disease, Endarterectomy, EVA-3S Trial, Follow-up, Heterogeneity, High-Risk Patients, Humans, Medical, </w:t>
      </w:r>
      <w:r w:rsidR="00D5664A">
        <w:rPr>
          <w:kern w:val="0"/>
        </w:rPr>
        <w:t>MEDLINE</w:t>
      </w:r>
      <w:r>
        <w:rPr>
          <w:kern w:val="0"/>
        </w:rPr>
        <w:t>, Model, Neurological, Outcomes, Primary, Randomized Controlled Trials, Randomized-Trial, Researchers, Review, Science, Science Citation Index, Stroke, Surgery, Therapy, Trans-Luminal Angioplasty, Treatment</w:t>
      </w:r>
    </w:p>
    <w:p w:rsidR="00365DE4" w:rsidRDefault="00365DE4" w:rsidP="00365DE4">
      <w:pPr>
        <w:pStyle w:val="a3"/>
        <w:rPr>
          <w:kern w:val="0"/>
        </w:rPr>
      </w:pPr>
      <w:r>
        <w:rPr>
          <w:kern w:val="0"/>
        </w:rPr>
        <w:t>? Rabiu, M., Alhassan, M.</w:t>
      </w:r>
      <w:r w:rsidR="005853A9">
        <w:rPr>
          <w:kern w:val="0"/>
        </w:rPr>
        <w:t xml:space="preserve"> and </w:t>
      </w:r>
      <w:r>
        <w:rPr>
          <w:kern w:val="0"/>
        </w:rPr>
        <w:t xml:space="preserve">Ejere, H. (2007), Environmental sanitary interventions for preventing active trachoma.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CD004003.</w:t>
      </w:r>
    </w:p>
    <w:p w:rsidR="00365DE4" w:rsidRDefault="00365DE4" w:rsidP="00365DE4">
      <w:pPr>
        <w:pStyle w:val="a3"/>
        <w:rPr>
          <w:kern w:val="2"/>
        </w:rPr>
      </w:pPr>
      <w:r>
        <w:t xml:space="preserve">Full Text: </w:t>
      </w:r>
      <w:hyperlink r:id="rId526" w:history="1">
        <w:r>
          <w:rPr>
            <w:rStyle w:val="a5"/>
          </w:rPr>
          <w:t>2007\Coc Dat Sys Rev2007, CD004003.pdf</w:t>
        </w:r>
      </w:hyperlink>
    </w:p>
    <w:p w:rsidR="00365DE4" w:rsidRDefault="00365DE4" w:rsidP="00365DE4">
      <w:pPr>
        <w:pStyle w:val="a3"/>
      </w:pPr>
      <w:r>
        <w:t>Abstract: Background Trachoma is a major cause</w:t>
      </w:r>
      <w:r w:rsidR="00427468">
        <w:t xml:space="preserve"> of </w:t>
      </w:r>
      <w:r>
        <w:t>avoidable blindness. It is responsible for about six million blind people worldwide, mostly in the poor communities</w:t>
      </w:r>
      <w:r w:rsidR="00427468">
        <w:t xml:space="preserve"> of </w:t>
      </w:r>
      <w:r>
        <w:t>developing countries. One</w:t>
      </w:r>
      <w:r w:rsidR="00427468">
        <w:t xml:space="preserve"> of </w:t>
      </w:r>
      <w:r>
        <w:t>the major strategies advocated for the control</w:t>
      </w:r>
      <w:r w:rsidR="00427468">
        <w:t xml:space="preserve"> of </w:t>
      </w:r>
      <w:r>
        <w:t>the disease is the application</w:t>
      </w:r>
      <w:r w:rsidR="00427468">
        <w:t xml:space="preserve"> of </w:t>
      </w:r>
      <w:r>
        <w:t>various environmental sanitary measures to such communities.</w:t>
      </w:r>
    </w:p>
    <w:p w:rsidR="00365DE4" w:rsidRDefault="00365DE4" w:rsidP="00365DE4">
      <w:pPr>
        <w:pStyle w:val="a3"/>
      </w:pPr>
      <w:r>
        <w:t>Objectives To assess the evidence for the effectiveness</w:t>
      </w:r>
      <w:r w:rsidR="00427468">
        <w:t xml:space="preserve"> of </w:t>
      </w:r>
      <w:r>
        <w:t>environmental sanitary measures on the prevalence</w:t>
      </w:r>
      <w:r w:rsidR="00427468">
        <w:t xml:space="preserve"> of </w:t>
      </w:r>
      <w:r>
        <w:t>active trachoma in endemic areas.</w:t>
      </w:r>
    </w:p>
    <w:p w:rsidR="00365DE4" w:rsidRDefault="00365DE4" w:rsidP="00365DE4">
      <w:pPr>
        <w:pStyle w:val="a3"/>
      </w:pPr>
      <w:r>
        <w:t>Search strategy We searched the Cochrane Central Register</w:t>
      </w:r>
      <w:r w:rsidR="00427468">
        <w:t xml:space="preserve"> of </w:t>
      </w:r>
      <w:r>
        <w:t xml:space="preserve">Controlled Trials - CENTRAL in The Cochrane Library (Issue 2, 2007), </w:t>
      </w:r>
      <w:r w:rsidR="00D5664A">
        <w:t>MEDLINE</w:t>
      </w:r>
      <w:r>
        <w:t xml:space="preserve"> (1966 to July 2007), EMBASE (1980 to July 2007), LILACS (July 2007), reference list</w:t>
      </w:r>
      <w:r w:rsidR="00427468">
        <w:t xml:space="preserve"> of </w:t>
      </w:r>
      <w:r>
        <w:t>trials</w:t>
      </w:r>
      <w:r w:rsidR="005853A9">
        <w:t xml:space="preserve"> and </w:t>
      </w:r>
      <w:r>
        <w:t>the Science Citation Index. We also contacted agencies, experts</w:t>
      </w:r>
      <w:r w:rsidR="005853A9">
        <w:t xml:space="preserve"> and </w:t>
      </w:r>
      <w:r>
        <w:t xml:space="preserve">researchers in </w:t>
      </w:r>
      <w:r>
        <w:lastRenderedPageBreak/>
        <w:t>trachoma control.</w:t>
      </w:r>
    </w:p>
    <w:p w:rsidR="00365DE4" w:rsidRDefault="00365DE4" w:rsidP="00365DE4">
      <w:pPr>
        <w:pStyle w:val="a3"/>
      </w:pPr>
      <w:r>
        <w:t>Selection criteria We included randomised</w:t>
      </w:r>
      <w:r w:rsidR="005853A9">
        <w:t xml:space="preserve"> and </w:t>
      </w:r>
      <w:r>
        <w:t>quasi-randomised controlled trials comparing any form</w:t>
      </w:r>
      <w:r w:rsidR="00427468">
        <w:t xml:space="preserve"> of </w:t>
      </w:r>
      <w:r>
        <w:t>environmental hygiene measures with no measure</w:t>
      </w:r>
      <w:r w:rsidR="00A37C1D">
        <w:t>. The</w:t>
      </w:r>
      <w:r>
        <w:t>se hygiene measures included fly control, provision</w:t>
      </w:r>
      <w:r w:rsidR="00427468">
        <w:t xml:space="preserve"> of </w:t>
      </w:r>
      <w:r>
        <w:t>water</w:t>
      </w:r>
      <w:r w:rsidR="005853A9">
        <w:t xml:space="preserve"> and </w:t>
      </w:r>
      <w:r>
        <w:t>health education. Participants in the trials were people normally resident in the trachoma endemic areas.</w:t>
      </w:r>
    </w:p>
    <w:p w:rsidR="00365DE4" w:rsidRDefault="00365DE4" w:rsidP="00365DE4">
      <w:pPr>
        <w:pStyle w:val="a3"/>
      </w:pPr>
      <w:r>
        <w:t>Data collection</w:t>
      </w:r>
      <w:r w:rsidR="005853A9">
        <w:t xml:space="preserve"> and </w:t>
      </w:r>
      <w:r>
        <w:t>analysis Two authors independently extracted data</w:t>
      </w:r>
      <w:r w:rsidR="005853A9">
        <w:t xml:space="preserve"> and </w:t>
      </w:r>
      <w:r>
        <w:t>assessed the quality</w:t>
      </w:r>
      <w:r w:rsidR="00427468">
        <w:t xml:space="preserve"> of </w:t>
      </w:r>
      <w:r>
        <w:t>trials. Study authors were contacted for additional information. Four trials met the inclusion criteria but meta-analysis was not conducted due to heterogeneity</w:t>
      </w:r>
      <w:r w:rsidR="00427468">
        <w:t xml:space="preserve"> of </w:t>
      </w:r>
      <w:r>
        <w:t>the studies.</w:t>
      </w:r>
    </w:p>
    <w:p w:rsidR="00365DE4" w:rsidRDefault="00365DE4" w:rsidP="00365DE4">
      <w:pPr>
        <w:pStyle w:val="a3"/>
      </w:pPr>
      <w:r>
        <w:t>Main results Two studies that assessed insecticide spray as a fly control measure found that trachoma is reduced by at least 55% to 61% with this measure compared to no intervention. However, another study did not find insecticide spray to be effective in reducing trachoma. One study found that another fly control measure, latrine provision, reduced trachoma by 29.5% compared to no intervention; this was, however, not statistically significantly different. Another study revealed that health education on personal</w:t>
      </w:r>
      <w:r w:rsidR="005853A9">
        <w:t xml:space="preserve"> and </w:t>
      </w:r>
      <w:r>
        <w:t>household hygiene reduced the incidence</w:t>
      </w:r>
      <w:r w:rsidR="00427468">
        <w:t xml:space="preserve"> of </w:t>
      </w:r>
      <w:r>
        <w:t>trachoma such that the odds</w:t>
      </w:r>
      <w:r w:rsidR="00427468">
        <w:t xml:space="preserve"> of </w:t>
      </w:r>
      <w:r>
        <w:t>reducing trachoma in the health education village was about twice that</w:t>
      </w:r>
      <w:r w:rsidR="00427468">
        <w:t xml:space="preserve"> of </w:t>
      </w:r>
      <w:r>
        <w:t>the no intervention village. However, all the studies have some methodological concerns relating to concealment</w:t>
      </w:r>
      <w:r w:rsidR="00427468">
        <w:t xml:space="preserve"> of </w:t>
      </w:r>
      <w:r>
        <w:t>allocation</w:t>
      </w:r>
      <w:r w:rsidR="005853A9">
        <w:t xml:space="preserve"> and </w:t>
      </w:r>
      <w:r>
        <w:t>non-consideration</w:t>
      </w:r>
      <w:r w:rsidR="00427468">
        <w:t xml:space="preserve"> of </w:t>
      </w:r>
      <w:r>
        <w:t>clustering effect in data analysis.</w:t>
      </w:r>
    </w:p>
    <w:p w:rsidR="00365DE4" w:rsidRDefault="00365DE4" w:rsidP="00365DE4">
      <w:pPr>
        <w:pStyle w:val="a3"/>
      </w:pPr>
      <w:r>
        <w:t>Authors</w:t>
      </w:r>
      <w:r w:rsidR="0071223E">
        <w:t>’</w:t>
      </w:r>
      <w:r>
        <w:t xml:space="preserve"> conclusions The role</w:t>
      </w:r>
      <w:r w:rsidR="00427468">
        <w:t xml:space="preserve"> of </w:t>
      </w:r>
      <w:r>
        <w:t>insecticide spray as a fly control measure in reducing trachoma remains unclear. Latrine provision as a fly control measure has not demonstrated significant trachoma reduction. Health education may be effective in reducing trachoma</w:t>
      </w:r>
      <w:r w:rsidR="00A37C1D">
        <w:t>. The</w:t>
      </w:r>
      <w:r>
        <w:t>re is a dearth</w:t>
      </w:r>
      <w:r w:rsidR="00427468">
        <w:t xml:space="preserve"> of </w:t>
      </w:r>
      <w:r>
        <w:t>data to determine the effectiveness</w:t>
      </w:r>
      <w:r w:rsidR="00427468">
        <w:t xml:space="preserve"> of </w:t>
      </w:r>
      <w:r>
        <w:t>all aspects</w:t>
      </w:r>
      <w:r w:rsidR="00427468">
        <w:t xml:space="preserve"> of </w:t>
      </w:r>
      <w:r>
        <w:t>environmental sanitation in the control</w:t>
      </w:r>
      <w:r w:rsidR="00427468">
        <w:t xml:space="preserve"> of </w:t>
      </w:r>
      <w:r>
        <w:t>trachoma.</w:t>
      </w:r>
    </w:p>
    <w:p w:rsidR="00365DE4" w:rsidRDefault="00365DE4" w:rsidP="00365DE4">
      <w:pPr>
        <w:pStyle w:val="a3"/>
      </w:pPr>
      <w:r>
        <w:t>Keywords: Diptera, Health Education [Methods], Insect Control, Insecticides, Randomized Controlled Trials, Sanitation [* Methods], Toilet Facilities, Trachoma [* Prevention &amp; Control, Transmission], Safe Strategy, Evidence Base, Fly Control, Diarrhea, Trial</w:t>
      </w:r>
    </w:p>
    <w:p w:rsidR="00365DE4" w:rsidRDefault="00365DE4" w:rsidP="00365DE4">
      <w:pPr>
        <w:pStyle w:val="a3"/>
        <w:rPr>
          <w:kern w:val="0"/>
        </w:rPr>
      </w:pPr>
      <w:r>
        <w:rPr>
          <w:kern w:val="0"/>
        </w:rPr>
        <w:t>? Suwan-apichon, O., Reyes, J.M., Herretes, S., Vedula, S.S.</w:t>
      </w:r>
      <w:r w:rsidR="005853A9">
        <w:rPr>
          <w:kern w:val="0"/>
        </w:rPr>
        <w:t xml:space="preserve"> and </w:t>
      </w:r>
      <w:r>
        <w:rPr>
          <w:kern w:val="0"/>
        </w:rPr>
        <w:t xml:space="preserve">Chuck, R.S. (2007), Topical corticosteroids as adjunctive therapy for bacterial keratitis.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CD05430.</w:t>
      </w:r>
    </w:p>
    <w:p w:rsidR="00365DE4" w:rsidRDefault="00365DE4" w:rsidP="00365DE4">
      <w:pPr>
        <w:pStyle w:val="a3"/>
        <w:rPr>
          <w:kern w:val="2"/>
        </w:rPr>
      </w:pPr>
      <w:r>
        <w:t xml:space="preserve">Full Text: </w:t>
      </w:r>
      <w:hyperlink r:id="rId527" w:history="1">
        <w:r>
          <w:rPr>
            <w:rStyle w:val="a5"/>
          </w:rPr>
          <w:t>2007\Coc Dat Sys Rev2007, CD05430.pdf</w:t>
        </w:r>
      </w:hyperlink>
    </w:p>
    <w:p w:rsidR="00365DE4" w:rsidRDefault="00365DE4" w:rsidP="00365DE4">
      <w:pPr>
        <w:pStyle w:val="a3"/>
        <w:rPr>
          <w:kern w:val="0"/>
        </w:rPr>
      </w:pPr>
      <w:r>
        <w:rPr>
          <w:kern w:val="0"/>
        </w:rPr>
        <w:t>Abstract: Background Bacterial keratitis is a serious ocular infectious disease that can lead to severe visual disability. Risk factors for bacterial corneal infection include contact lens wear, ocular surface disease, corneal trauma</w:t>
      </w:r>
      <w:r w:rsidR="005853A9">
        <w:rPr>
          <w:kern w:val="0"/>
        </w:rPr>
        <w:t xml:space="preserve"> and </w:t>
      </w:r>
      <w:r>
        <w:rPr>
          <w:kern w:val="0"/>
        </w:rPr>
        <w:t>previous ocular or eyelid surgery. Topical antibiotics constitute the mainstay</w:t>
      </w:r>
      <w:r w:rsidR="00427468">
        <w:rPr>
          <w:kern w:val="0"/>
        </w:rPr>
        <w:t xml:space="preserve"> of </w:t>
      </w:r>
      <w:r>
        <w:rPr>
          <w:kern w:val="0"/>
        </w:rPr>
        <w:t>treatment in cases</w:t>
      </w:r>
      <w:r w:rsidR="00427468">
        <w:rPr>
          <w:kern w:val="0"/>
        </w:rPr>
        <w:t xml:space="preserve"> of </w:t>
      </w:r>
      <w:r>
        <w:rPr>
          <w:kern w:val="0"/>
        </w:rPr>
        <w:t>bacterial keratitis where as the use</w:t>
      </w:r>
      <w:r w:rsidR="00427468">
        <w:rPr>
          <w:kern w:val="0"/>
        </w:rPr>
        <w:t xml:space="preserve"> of </w:t>
      </w:r>
      <w:r>
        <w:rPr>
          <w:kern w:val="0"/>
        </w:rPr>
        <w:t xml:space="preserve">topical corticosteroids remains controversial. </w:t>
      </w:r>
      <w:r>
        <w:rPr>
          <w:kern w:val="0"/>
        </w:rPr>
        <w:lastRenderedPageBreak/>
        <w:t>Topical corticosteroids are usually used to control inflammation using the smallest amount</w:t>
      </w:r>
      <w:r w:rsidR="00427468">
        <w:rPr>
          <w:kern w:val="0"/>
        </w:rPr>
        <w:t xml:space="preserve"> of </w:t>
      </w:r>
      <w:r>
        <w:rPr>
          <w:kern w:val="0"/>
        </w:rPr>
        <w:t>the drug</w:t>
      </w:r>
      <w:r w:rsidR="00A37C1D">
        <w:rPr>
          <w:kern w:val="0"/>
        </w:rPr>
        <w:t>. The</w:t>
      </w:r>
      <w:r>
        <w:rPr>
          <w:kern w:val="0"/>
        </w:rPr>
        <w:t>ir use requires optimal timing, concomitant antibiotics</w:t>
      </w:r>
      <w:r w:rsidR="005853A9">
        <w:rPr>
          <w:kern w:val="0"/>
        </w:rPr>
        <w:t xml:space="preserve"> and </w:t>
      </w:r>
      <w:r>
        <w:rPr>
          <w:kern w:val="0"/>
        </w:rPr>
        <w:t>careful follow up. Objectives The objective</w:t>
      </w:r>
      <w:r w:rsidR="00427468">
        <w:rPr>
          <w:kern w:val="0"/>
        </w:rPr>
        <w:t xml:space="preserve"> of </w:t>
      </w:r>
      <w:r>
        <w:rPr>
          <w:kern w:val="0"/>
        </w:rPr>
        <w:t>the review was to assess the clinical effectiveness</w:t>
      </w:r>
      <w:r w:rsidR="005853A9">
        <w:rPr>
          <w:kern w:val="0"/>
        </w:rPr>
        <w:t xml:space="preserve"> and </w:t>
      </w:r>
      <w:r>
        <w:rPr>
          <w:kern w:val="0"/>
        </w:rPr>
        <w:t>adverse effects</w:t>
      </w:r>
      <w:r w:rsidR="00427468">
        <w:rPr>
          <w:kern w:val="0"/>
        </w:rPr>
        <w:t xml:space="preserve"> of </w:t>
      </w:r>
      <w:r>
        <w:rPr>
          <w:kern w:val="0"/>
        </w:rPr>
        <w:t xml:space="preserve">corticosteroids as adjunctive therapy for bacterial keratitis. Search strategy We searched CENTRAL, </w:t>
      </w:r>
      <w:r w:rsidR="00D5664A">
        <w:rPr>
          <w:kern w:val="0"/>
        </w:rPr>
        <w:t>MEDLINE</w:t>
      </w:r>
      <w:r>
        <w:rPr>
          <w:kern w:val="0"/>
        </w:rPr>
        <w:t>, EMBASE,</w:t>
      </w:r>
      <w:r w:rsidR="005853A9">
        <w:rPr>
          <w:kern w:val="0"/>
        </w:rPr>
        <w:t xml:space="preserve"> and </w:t>
      </w:r>
      <w:r>
        <w:rPr>
          <w:kern w:val="0"/>
        </w:rPr>
        <w:t>LILACS up to 15 January 2007. We also searched the Science Citation Index to identify additional studies that had cited the included trial, an online database</w:t>
      </w:r>
      <w:r w:rsidR="00427468">
        <w:rPr>
          <w:kern w:val="0"/>
        </w:rPr>
        <w:t xml:space="preserve"> of </w:t>
      </w:r>
      <w:r>
        <w:rPr>
          <w:kern w:val="0"/>
        </w:rPr>
        <w:t>ongoing trials (www.clinicaltrials.gov), reference lists</w:t>
      </w:r>
      <w:r w:rsidR="00427468">
        <w:rPr>
          <w:kern w:val="0"/>
        </w:rPr>
        <w:t xml:space="preserve"> of </w:t>
      </w:r>
      <w:r>
        <w:rPr>
          <w:kern w:val="0"/>
        </w:rPr>
        <w:t>included trials, earlier reviews</w:t>
      </w:r>
      <w:r w:rsidR="005853A9">
        <w:rPr>
          <w:kern w:val="0"/>
        </w:rPr>
        <w:t xml:space="preserve"> and </w:t>
      </w:r>
      <w:r>
        <w:rPr>
          <w:kern w:val="0"/>
        </w:rPr>
        <w:t>the American Academy</w:t>
      </w:r>
      <w:r w:rsidR="00427468">
        <w:rPr>
          <w:kern w:val="0"/>
        </w:rPr>
        <w:t xml:space="preserve"> of </w:t>
      </w:r>
      <w:r>
        <w:rPr>
          <w:kern w:val="0"/>
        </w:rPr>
        <w:t>Ophthalmology guidelines. We also contacted experts to identify any unpublished</w:t>
      </w:r>
      <w:r w:rsidR="005853A9">
        <w:rPr>
          <w:kern w:val="0"/>
        </w:rPr>
        <w:t xml:space="preserve"> and </w:t>
      </w:r>
      <w:r>
        <w:rPr>
          <w:kern w:val="0"/>
        </w:rPr>
        <w:t>ongoing randomized trials. Selection criteria We included randomized controlled trials evaluating adjunctive therapy with topical corticosteroids in people with bacterial keratitis. Data collection</w:t>
      </w:r>
      <w:r w:rsidR="005853A9">
        <w:rPr>
          <w:kern w:val="0"/>
        </w:rPr>
        <w:t xml:space="preserve"> and </w:t>
      </w:r>
      <w:r>
        <w:rPr>
          <w:kern w:val="0"/>
        </w:rPr>
        <w:t>analysis Two review authors independently screened all the retrieved articles. Methodological quality</w:t>
      </w:r>
      <w:r w:rsidR="00427468">
        <w:rPr>
          <w:kern w:val="0"/>
        </w:rPr>
        <w:t xml:space="preserve"> of </w:t>
      </w:r>
      <w:r>
        <w:rPr>
          <w:kern w:val="0"/>
        </w:rPr>
        <w:t>the one included trial was assessed using forms developed using pre-specified criteria by at least two review authors. We planned to extract data on outcomes using forms developed for the purpose. We planned to report risk ratios for dichotomous outcomes</w:t>
      </w:r>
      <w:r w:rsidR="005853A9">
        <w:rPr>
          <w:kern w:val="0"/>
        </w:rPr>
        <w:t xml:space="preserve"> and </w:t>
      </w:r>
      <w:r>
        <w:rPr>
          <w:kern w:val="0"/>
        </w:rPr>
        <w:t>mean differences for continuous outcomes. Main results A single trial was eligible for inclusion in the review. Participants in the trial were randomized using a random numbers table. Allocation concealment was not attempted. Masking</w:t>
      </w:r>
      <w:r w:rsidR="00427468">
        <w:rPr>
          <w:kern w:val="0"/>
        </w:rPr>
        <w:t xml:space="preserve"> of </w:t>
      </w:r>
      <w:r>
        <w:rPr>
          <w:kern w:val="0"/>
        </w:rPr>
        <w:t>participants,</w:t>
      </w:r>
      <w:r w:rsidR="005853A9">
        <w:rPr>
          <w:kern w:val="0"/>
        </w:rPr>
        <w:t xml:space="preserve"> and </w:t>
      </w:r>
      <w:r>
        <w:rPr>
          <w:kern w:val="0"/>
        </w:rPr>
        <w:t>care-providers was also not attempted. Outcome assessment was conducted independently by two physicians. Neither was masked to the treatment allocation</w:t>
      </w:r>
      <w:r w:rsidR="00A37C1D">
        <w:rPr>
          <w:kern w:val="0"/>
        </w:rPr>
        <w:t>. The</w:t>
      </w:r>
      <w:r>
        <w:rPr>
          <w:kern w:val="0"/>
        </w:rPr>
        <w:t xml:space="preserve"> trial reported the healing rate</w:t>
      </w:r>
      <w:r w:rsidR="00427468">
        <w:rPr>
          <w:kern w:val="0"/>
        </w:rPr>
        <w:t xml:space="preserve"> of </w:t>
      </w:r>
      <w:r>
        <w:rPr>
          <w:kern w:val="0"/>
        </w:rPr>
        <w:t>epithelial defects</w:t>
      </w:r>
      <w:r w:rsidR="005853A9">
        <w:rPr>
          <w:kern w:val="0"/>
        </w:rPr>
        <w:t xml:space="preserve"> and </w:t>
      </w:r>
      <w:r>
        <w:rPr>
          <w:kern w:val="0"/>
        </w:rPr>
        <w:t>improvement in visual acuity. Authors</w:t>
      </w:r>
      <w:r w:rsidR="0071223E">
        <w:rPr>
          <w:kern w:val="0"/>
        </w:rPr>
        <w:t>’</w:t>
      </w:r>
      <w:r>
        <w:rPr>
          <w:kern w:val="0"/>
        </w:rPr>
        <w:t xml:space="preserve"> conclusions There are no good quality randomized trials evaluating the effects</w:t>
      </w:r>
      <w:r w:rsidR="00427468">
        <w:rPr>
          <w:kern w:val="0"/>
        </w:rPr>
        <w:t xml:space="preserve"> of </w:t>
      </w:r>
      <w:r>
        <w:rPr>
          <w:kern w:val="0"/>
        </w:rPr>
        <w:t>adjunct use</w:t>
      </w:r>
      <w:r w:rsidR="00427468">
        <w:rPr>
          <w:kern w:val="0"/>
        </w:rPr>
        <w:t xml:space="preserve"> of </w:t>
      </w:r>
      <w:r>
        <w:rPr>
          <w:kern w:val="0"/>
        </w:rPr>
        <w:t>topical corticosteroids in bacterial keratitis</w:t>
      </w:r>
      <w:r w:rsidR="00A37C1D">
        <w:rPr>
          <w:kern w:val="0"/>
        </w:rPr>
        <w:t>. The</w:t>
      </w:r>
      <w:r>
        <w:rPr>
          <w:kern w:val="0"/>
        </w:rPr>
        <w:t xml:space="preserve"> only randomized trial we identified in the literature suffered from major methodological inadequacies.</w:t>
      </w:r>
    </w:p>
    <w:p w:rsidR="00365DE4" w:rsidRDefault="00365DE4" w:rsidP="00365DE4">
      <w:pPr>
        <w:pStyle w:val="a3"/>
        <w:rPr>
          <w:kern w:val="0"/>
        </w:rPr>
      </w:pPr>
      <w:r>
        <w:rPr>
          <w:kern w:val="0"/>
        </w:rPr>
        <w:t xml:space="preserve">Keywords: Antibiotics, Articles, Assessment, Authors, Ciprofloxacin, Citation, Contact-Lenses, Corneal Ulcers, Criteria, Database, Diffuse Lamellar Keratitis, Effectiveness, In-Situ Keratomileusis, Lead, Literature, </w:t>
      </w:r>
      <w:r w:rsidR="00D5664A">
        <w:rPr>
          <w:kern w:val="0"/>
        </w:rPr>
        <w:t>MEDLINE</w:t>
      </w:r>
      <w:r>
        <w:rPr>
          <w:kern w:val="0"/>
        </w:rPr>
        <w:t>, Microbial Keratitis, Ofloxacin, Online Database, Outcomes, Predisposing Factors, Review, Risk, Risk-Factors, Science, Science Citation Index, Surgery, Therapy, Trauma, Treatment, Ulcerative Keratitis</w:t>
      </w:r>
    </w:p>
    <w:p w:rsidR="00365DE4" w:rsidRDefault="00365DE4" w:rsidP="00365DE4">
      <w:pPr>
        <w:pStyle w:val="a3"/>
        <w:rPr>
          <w:kern w:val="0"/>
        </w:rPr>
      </w:pPr>
      <w:r>
        <w:rPr>
          <w:kern w:val="0"/>
        </w:rPr>
        <w:t>? Yu-Wai-Man, P.</w:t>
      </w:r>
      <w:r w:rsidR="005853A9">
        <w:rPr>
          <w:kern w:val="0"/>
        </w:rPr>
        <w:t xml:space="preserve"> and </w:t>
      </w:r>
      <w:r>
        <w:rPr>
          <w:kern w:val="0"/>
        </w:rPr>
        <w:t xml:space="preserve">Griffiths, P.G. (2007), Steroids for traumatic optic neuropathy.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CD006032.</w:t>
      </w:r>
    </w:p>
    <w:p w:rsidR="00365DE4" w:rsidRDefault="00365DE4" w:rsidP="00365DE4">
      <w:pPr>
        <w:pStyle w:val="a3"/>
        <w:rPr>
          <w:kern w:val="2"/>
        </w:rPr>
      </w:pPr>
      <w:r>
        <w:t xml:space="preserve">Full Text: </w:t>
      </w:r>
      <w:hyperlink r:id="rId528" w:history="1">
        <w:r>
          <w:rPr>
            <w:rStyle w:val="a5"/>
          </w:rPr>
          <w:t>2007\Coc Dat Sys Rev2007, CD006032.pdf</w:t>
        </w:r>
      </w:hyperlink>
    </w:p>
    <w:p w:rsidR="00365DE4" w:rsidRDefault="00365DE4" w:rsidP="00365DE4">
      <w:pPr>
        <w:pStyle w:val="a3"/>
        <w:rPr>
          <w:kern w:val="0"/>
        </w:rPr>
      </w:pPr>
      <w:r>
        <w:rPr>
          <w:kern w:val="0"/>
        </w:rPr>
        <w:t>Abstract: Background Traumatic optic neuropathy (TON) is an important cause</w:t>
      </w:r>
      <w:r w:rsidR="00427468">
        <w:rPr>
          <w:kern w:val="0"/>
        </w:rPr>
        <w:t xml:space="preserve"> of </w:t>
      </w:r>
      <w:r>
        <w:rPr>
          <w:kern w:val="0"/>
        </w:rPr>
        <w:t xml:space="preserve">severe visual loss following blunt or penetrating head trauma. Following the initial injury, optic nerve swelling within the optic nerve canal can result in secondary retinal ganglion cell loss. Optic nerve decompression with steroids or surgical </w:t>
      </w:r>
      <w:r>
        <w:rPr>
          <w:kern w:val="0"/>
        </w:rPr>
        <w:lastRenderedPageBreak/>
        <w:t>interventions or both has therefore been advocated as a means</w:t>
      </w:r>
      <w:r w:rsidR="00427468">
        <w:rPr>
          <w:kern w:val="0"/>
        </w:rPr>
        <w:t xml:space="preserve"> of </w:t>
      </w:r>
      <w:r>
        <w:rPr>
          <w:kern w:val="0"/>
        </w:rPr>
        <w:t>improving visual prognosis in TON. Objectives The aim</w:t>
      </w:r>
      <w:r w:rsidR="00427468">
        <w:rPr>
          <w:kern w:val="0"/>
        </w:rPr>
        <w:t xml:space="preserve"> of </w:t>
      </w:r>
      <w:r>
        <w:rPr>
          <w:kern w:val="0"/>
        </w:rPr>
        <w:t>this review was to examine the effectiveness</w:t>
      </w:r>
      <w:r w:rsidR="005853A9">
        <w:rPr>
          <w:kern w:val="0"/>
        </w:rPr>
        <w:t xml:space="preserve"> and </w:t>
      </w:r>
      <w:r>
        <w:rPr>
          <w:kern w:val="0"/>
        </w:rPr>
        <w:t>safety</w:t>
      </w:r>
      <w:r w:rsidR="00427468">
        <w:rPr>
          <w:kern w:val="0"/>
        </w:rPr>
        <w:t xml:space="preserve"> of </w:t>
      </w:r>
      <w:r>
        <w:rPr>
          <w:kern w:val="0"/>
        </w:rPr>
        <w:t>using steroids in TON. Search strategy We searched the Cochrane Central Register</w:t>
      </w:r>
      <w:r w:rsidR="00427468">
        <w:rPr>
          <w:kern w:val="0"/>
        </w:rPr>
        <w:t xml:space="preserve"> of </w:t>
      </w:r>
      <w:r>
        <w:rPr>
          <w:kern w:val="0"/>
        </w:rPr>
        <w:t xml:space="preserve">Controlled Trials (CENTRAL) in The Cochrane Library (Issue 1, 2007), </w:t>
      </w:r>
      <w:r w:rsidR="00D5664A">
        <w:rPr>
          <w:kern w:val="0"/>
        </w:rPr>
        <w:t>MEDLINE</w:t>
      </w:r>
      <w:r>
        <w:rPr>
          <w:kern w:val="0"/>
        </w:rPr>
        <w:t xml:space="preserve"> (1966 to February 2007), EMBASE (1980 to February 2007), LILACS (March 2007)</w:t>
      </w:r>
      <w:r w:rsidR="005853A9">
        <w:rPr>
          <w:kern w:val="0"/>
        </w:rPr>
        <w:t xml:space="preserve"> and </w:t>
      </w:r>
      <w:r>
        <w:rPr>
          <w:kern w:val="0"/>
        </w:rPr>
        <w:t>NRR (Issue 1, 2007). We also searched the reference lists</w:t>
      </w:r>
      <w:r w:rsidR="00427468">
        <w:rPr>
          <w:kern w:val="0"/>
        </w:rPr>
        <w:t xml:space="preserve"> of </w:t>
      </w:r>
      <w:r>
        <w:rPr>
          <w:kern w:val="0"/>
        </w:rPr>
        <w:t>included studies, other reviews</w:t>
      </w:r>
      <w:r w:rsidR="005853A9">
        <w:rPr>
          <w:kern w:val="0"/>
        </w:rPr>
        <w:t xml:space="preserve"> and </w:t>
      </w:r>
      <w:r>
        <w:rPr>
          <w:kern w:val="0"/>
        </w:rPr>
        <w:t>book chapters on TON to find references to additional trials</w:t>
      </w:r>
      <w:r w:rsidR="00A37C1D">
        <w:rPr>
          <w:kern w:val="0"/>
        </w:rPr>
        <w:t>. The</w:t>
      </w:r>
      <w:r>
        <w:rPr>
          <w:kern w:val="0"/>
        </w:rPr>
        <w:t xml:space="preserve"> Science Citation Index was used to look for papers that cited the studies included in this review. We did not manually search any journals or conference proceedings. Trial investigators</w:t>
      </w:r>
      <w:r w:rsidR="005853A9">
        <w:rPr>
          <w:kern w:val="0"/>
        </w:rPr>
        <w:t xml:space="preserve"> and </w:t>
      </w:r>
      <w:r>
        <w:rPr>
          <w:kern w:val="0"/>
        </w:rPr>
        <w:t>experts in the field were contacted to identify additional published</w:t>
      </w:r>
      <w:r w:rsidR="005853A9">
        <w:rPr>
          <w:kern w:val="0"/>
        </w:rPr>
        <w:t xml:space="preserve"> and </w:t>
      </w:r>
      <w:r>
        <w:rPr>
          <w:kern w:val="0"/>
        </w:rPr>
        <w:t>unpublished studies</w:t>
      </w:r>
      <w:r w:rsidR="00A37C1D">
        <w:rPr>
          <w:kern w:val="0"/>
        </w:rPr>
        <w:t>. The</w:t>
      </w:r>
      <w:r>
        <w:rPr>
          <w:kern w:val="0"/>
        </w:rPr>
        <w:t>re were no date or language restrictions in the electronic searches for trials. Selection criteria We planned to include only randomised controlled trials (RCTs)</w:t>
      </w:r>
      <w:r w:rsidR="00427468">
        <w:rPr>
          <w:kern w:val="0"/>
        </w:rPr>
        <w:t xml:space="preserve"> of </w:t>
      </w:r>
      <w:r>
        <w:rPr>
          <w:kern w:val="0"/>
        </w:rPr>
        <w:t>TON in which any steroid regime, either on its own or in combination with surgical optic nerve decompression, was compared to surgery alone or no treatment. Data collection</w:t>
      </w:r>
      <w:r w:rsidR="005853A9">
        <w:rPr>
          <w:kern w:val="0"/>
        </w:rPr>
        <w:t xml:space="preserve"> and </w:t>
      </w:r>
      <w:r>
        <w:rPr>
          <w:kern w:val="0"/>
        </w:rPr>
        <w:t>analysis Two review authors independently assessed the titles</w:t>
      </w:r>
      <w:r w:rsidR="005853A9">
        <w:rPr>
          <w:kern w:val="0"/>
        </w:rPr>
        <w:t xml:space="preserve"> and </w:t>
      </w:r>
      <w:r>
        <w:rPr>
          <w:kern w:val="0"/>
        </w:rPr>
        <w:t>abstracts identified from the electronic searches. Main results No studies were found that met our selection criteria</w:t>
      </w:r>
      <w:r w:rsidR="005853A9">
        <w:rPr>
          <w:kern w:val="0"/>
        </w:rPr>
        <w:t xml:space="preserve"> and </w:t>
      </w:r>
      <w:r>
        <w:rPr>
          <w:kern w:val="0"/>
        </w:rPr>
        <w:t>therefore none were included for analysis. Authors</w:t>
      </w:r>
      <w:r w:rsidR="0071223E">
        <w:rPr>
          <w:kern w:val="0"/>
        </w:rPr>
        <w:t>’</w:t>
      </w:r>
      <w:r>
        <w:rPr>
          <w:kern w:val="0"/>
        </w:rPr>
        <w:t xml:space="preserve"> conclusions There is a relatively high rate</w:t>
      </w:r>
      <w:r w:rsidR="00427468">
        <w:rPr>
          <w:kern w:val="0"/>
        </w:rPr>
        <w:t xml:space="preserve"> of </w:t>
      </w:r>
      <w:r>
        <w:rPr>
          <w:kern w:val="0"/>
        </w:rPr>
        <w:t>spontaneous visual recovery in TON</w:t>
      </w:r>
      <w:r w:rsidR="005853A9">
        <w:rPr>
          <w:kern w:val="0"/>
        </w:rPr>
        <w:t xml:space="preserve"> and </w:t>
      </w:r>
      <w:r>
        <w:rPr>
          <w:kern w:val="0"/>
        </w:rPr>
        <w:t>no convincing data that steroids provide any additional benefit over observation alone. Recent evidence also suggests a possible detrimental effect</w:t>
      </w:r>
      <w:r w:rsidR="00427468">
        <w:rPr>
          <w:kern w:val="0"/>
        </w:rPr>
        <w:t xml:space="preserve"> of </w:t>
      </w:r>
      <w:r>
        <w:rPr>
          <w:kern w:val="0"/>
        </w:rPr>
        <w:t>steroids in TON</w:t>
      </w:r>
      <w:r w:rsidR="005853A9">
        <w:rPr>
          <w:kern w:val="0"/>
        </w:rPr>
        <w:t xml:space="preserve"> and </w:t>
      </w:r>
      <w:r>
        <w:rPr>
          <w:kern w:val="0"/>
        </w:rPr>
        <w:t>further studies are urgently needed to clarify this important issue. Based on the current literature, TON cases presenting more than eight hours after the initial injury should not be treated with steroids</w:t>
      </w:r>
      <w:r w:rsidR="00A37C1D">
        <w:rPr>
          <w:kern w:val="0"/>
        </w:rPr>
        <w:t>. The</w:t>
      </w:r>
      <w:r>
        <w:rPr>
          <w:kern w:val="0"/>
        </w:rPr>
        <w:t xml:space="preserve"> decision to initiate treatment for patients seen within the eight-hour window remains controversial</w:t>
      </w:r>
      <w:r w:rsidR="005853A9">
        <w:rPr>
          <w:kern w:val="0"/>
        </w:rPr>
        <w:t xml:space="preserve"> and </w:t>
      </w:r>
      <w:r>
        <w:rPr>
          <w:kern w:val="0"/>
        </w:rPr>
        <w:t>the supporting evidence is weak. Each case therefore needs to be assessed on an individual basis</w:t>
      </w:r>
      <w:r w:rsidR="005853A9">
        <w:rPr>
          <w:kern w:val="0"/>
        </w:rPr>
        <w:t xml:space="preserve"> and </w:t>
      </w:r>
      <w:r>
        <w:rPr>
          <w:kern w:val="0"/>
        </w:rPr>
        <w:t>proper informed consent is paramount. An adequately powered RCT</w:t>
      </w:r>
      <w:r w:rsidR="00427468">
        <w:rPr>
          <w:kern w:val="0"/>
        </w:rPr>
        <w:t xml:space="preserve"> of </w:t>
      </w:r>
      <w:r>
        <w:rPr>
          <w:kern w:val="0"/>
        </w:rPr>
        <w:t>steroids in TON poses difficult challenges</w:t>
      </w:r>
      <w:r w:rsidR="005853A9">
        <w:rPr>
          <w:kern w:val="0"/>
        </w:rPr>
        <w:t xml:space="preserve"> and </w:t>
      </w:r>
      <w:r>
        <w:rPr>
          <w:kern w:val="0"/>
        </w:rPr>
        <w:t>is probably not feasible.</w:t>
      </w:r>
    </w:p>
    <w:p w:rsidR="00365DE4" w:rsidRDefault="00365DE4" w:rsidP="00365DE4">
      <w:pPr>
        <w:pStyle w:val="a3"/>
        <w:rPr>
          <w:kern w:val="0"/>
        </w:rPr>
      </w:pPr>
      <w:r>
        <w:rPr>
          <w:kern w:val="0"/>
        </w:rPr>
        <w:t xml:space="preserve">Keywords: Authors, Blindness, Citation, Consent, Controlled Trial, Corticosteroids, Criteria, Decompression, Effectiveness, Head-Injury, Journals, Language, Literature, Management, </w:t>
      </w:r>
      <w:r w:rsidR="00D5664A">
        <w:rPr>
          <w:kern w:val="0"/>
        </w:rPr>
        <w:t>MEDLINE</w:t>
      </w:r>
      <w:r>
        <w:rPr>
          <w:kern w:val="0"/>
        </w:rPr>
        <w:t>, Methylprednisolone, Nerve Trauma, Nonsurgical Treatment, Prognosis, Recovery, Review, Science, Science Citation Index, Selection, Spinal-Cord-Injury, Surgery, Swelling, Trauma, Treatment</w:t>
      </w:r>
    </w:p>
    <w:p w:rsidR="00365DE4" w:rsidRDefault="00365DE4" w:rsidP="00365DE4">
      <w:pPr>
        <w:pStyle w:val="a3"/>
        <w:rPr>
          <w:kern w:val="0"/>
        </w:rPr>
      </w:pPr>
      <w:r>
        <w:rPr>
          <w:kern w:val="0"/>
        </w:rPr>
        <w:t>? McAlister, V.C., Davenport, E.</w:t>
      </w:r>
      <w:r w:rsidR="005853A9">
        <w:rPr>
          <w:kern w:val="0"/>
        </w:rPr>
        <w:t xml:space="preserve"> and </w:t>
      </w:r>
      <w:r>
        <w:rPr>
          <w:kern w:val="0"/>
        </w:rPr>
        <w:t xml:space="preserve">Renouf, E. (2007), Cholecystectomy deferral in patients with endoscopic sphincterotomy.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CD006233.</w:t>
      </w:r>
    </w:p>
    <w:p w:rsidR="00365DE4" w:rsidRDefault="00365DE4" w:rsidP="00365DE4">
      <w:pPr>
        <w:pStyle w:val="a3"/>
        <w:rPr>
          <w:kern w:val="2"/>
        </w:rPr>
      </w:pPr>
      <w:r>
        <w:t xml:space="preserve">Full Text: </w:t>
      </w:r>
      <w:hyperlink r:id="rId529" w:history="1">
        <w:r>
          <w:rPr>
            <w:rStyle w:val="a5"/>
          </w:rPr>
          <w:t>2007\Coc Dat Sys Rev2007, CD006233.pdf</w:t>
        </w:r>
      </w:hyperlink>
    </w:p>
    <w:p w:rsidR="00365DE4" w:rsidRDefault="00365DE4" w:rsidP="00365DE4">
      <w:pPr>
        <w:pStyle w:val="a3"/>
        <w:rPr>
          <w:kern w:val="0"/>
        </w:rPr>
      </w:pPr>
      <w:r>
        <w:rPr>
          <w:kern w:val="0"/>
        </w:rPr>
        <w:t>Abstract: Back ground Cholecystectomy is not required in up to 64%</w:t>
      </w:r>
      <w:r w:rsidR="00427468">
        <w:rPr>
          <w:kern w:val="0"/>
        </w:rPr>
        <w:t xml:space="preserve"> of </w:t>
      </w:r>
      <w:r>
        <w:rPr>
          <w:kern w:val="0"/>
        </w:rPr>
        <w:t>patients who adopt a wait-and-see policy after endoscopic clearance</w:t>
      </w:r>
      <w:r w:rsidR="00427468">
        <w:rPr>
          <w:kern w:val="0"/>
        </w:rPr>
        <w:t xml:space="preserve"> of </w:t>
      </w:r>
      <w:r>
        <w:rPr>
          <w:kern w:val="0"/>
        </w:rPr>
        <w:t xml:space="preserve">common bile duct stones. </w:t>
      </w:r>
      <w:r>
        <w:rPr>
          <w:kern w:val="0"/>
        </w:rPr>
        <w:lastRenderedPageBreak/>
        <w:t>Although reports</w:t>
      </w:r>
      <w:r w:rsidR="00427468">
        <w:rPr>
          <w:kern w:val="0"/>
        </w:rPr>
        <w:t xml:space="preserve"> of </w:t>
      </w:r>
      <w:r>
        <w:rPr>
          <w:kern w:val="0"/>
        </w:rPr>
        <w:t>retrospective cohort series have shown a higher mortality among patients who defer cholecystectomy, it is not known if this is due to the patients</w:t>
      </w:r>
      <w:r w:rsidR="0071223E">
        <w:rPr>
          <w:kern w:val="0"/>
        </w:rPr>
        <w:t>’</w:t>
      </w:r>
      <w:r>
        <w:rPr>
          <w:kern w:val="0"/>
        </w:rPr>
        <w:t xml:space="preserve"> premorbid health status or due to the deferral</w:t>
      </w:r>
      <w:r w:rsidR="00427468">
        <w:rPr>
          <w:kern w:val="0"/>
        </w:rPr>
        <w:t xml:space="preserve"> of </w:t>
      </w:r>
      <w:r>
        <w:rPr>
          <w:kern w:val="0"/>
        </w:rPr>
        <w:t>cholecystectomy. Randomised clinical trials</w:t>
      </w:r>
      <w:r w:rsidR="00427468">
        <w:rPr>
          <w:kern w:val="0"/>
        </w:rPr>
        <w:t xml:space="preserve"> of </w:t>
      </w:r>
      <w:r>
        <w:rPr>
          <w:kern w:val="0"/>
        </w:rPr>
        <w:t>prophylactic cholecystectomy versus wait-and-see have not had sufficient power to demonstrate differences in survival. Objectives To evaluate the beneficial</w:t>
      </w:r>
      <w:r w:rsidR="005853A9">
        <w:rPr>
          <w:kern w:val="0"/>
        </w:rPr>
        <w:t xml:space="preserve"> and </w:t>
      </w:r>
      <w:r>
        <w:rPr>
          <w:kern w:val="0"/>
        </w:rPr>
        <w:t>harmful effects</w:t>
      </w:r>
      <w:r w:rsidR="00427468">
        <w:rPr>
          <w:kern w:val="0"/>
        </w:rPr>
        <w:t xml:space="preserve"> of </w:t>
      </w:r>
      <w:r>
        <w:rPr>
          <w:kern w:val="0"/>
        </w:rPr>
        <w:t xml:space="preserve">cholecystectomy deferral (wait-and-see) versus elective (prophylactic) cholecystectomy in patients who have had an endoscopic biliary sphincterotomy. Search strategy We searched The Cochrane Hepato-Biliary Group Controlled Trials Register, the Cochrane Controlled Trials Register (CENTRAL) in The Cochrane Library, </w:t>
      </w:r>
      <w:r w:rsidR="00D5664A">
        <w:rPr>
          <w:kern w:val="0"/>
        </w:rPr>
        <w:t>MEDLINE</w:t>
      </w:r>
      <w:r>
        <w:rPr>
          <w:kern w:val="0"/>
        </w:rPr>
        <w:t xml:space="preserve"> (1966 to 2007), EMBASE (1980 to 2007),</w:t>
      </w:r>
      <w:r w:rsidR="005853A9">
        <w:rPr>
          <w:kern w:val="0"/>
        </w:rPr>
        <w:t xml:space="preserve"> and </w:t>
      </w:r>
      <w:r>
        <w:rPr>
          <w:kern w:val="0"/>
        </w:rPr>
        <w:t>Science Citation Index Expanded without language restrictions until April 2007. Selection criteria Randomised clinical trials comparing patients whose gallbladder was left in-situ after endoscopic sphincterotomy (wait-and-see group) versus patients who had cholecystectomy with either endoscopic sphincterotomy or common bile duct exploration (prophylactic cholecystectomy group), irrespective</w:t>
      </w:r>
      <w:r w:rsidR="00427468">
        <w:rPr>
          <w:kern w:val="0"/>
        </w:rPr>
        <w:t xml:space="preserve"> of </w:t>
      </w:r>
      <w:r>
        <w:rPr>
          <w:kern w:val="0"/>
        </w:rPr>
        <w:t>blinding, language, or publication status. Data collection</w:t>
      </w:r>
      <w:r w:rsidR="005853A9">
        <w:rPr>
          <w:kern w:val="0"/>
        </w:rPr>
        <w:t xml:space="preserve"> and </w:t>
      </w:r>
      <w:r>
        <w:rPr>
          <w:kern w:val="0"/>
        </w:rPr>
        <w:t>analysis We assessed the impact</w:t>
      </w:r>
      <w:r w:rsidR="00427468">
        <w:rPr>
          <w:kern w:val="0"/>
        </w:rPr>
        <w:t xml:space="preserve"> of </w:t>
      </w:r>
      <w:r>
        <w:rPr>
          <w:kern w:val="0"/>
        </w:rPr>
        <w:t>a wait-and-see policy on mortality. Secondary outcomes assessed were the incidence</w:t>
      </w:r>
      <w:r w:rsidR="00427468">
        <w:rPr>
          <w:kern w:val="0"/>
        </w:rPr>
        <w:t xml:space="preserve"> of </w:t>
      </w:r>
      <w:r>
        <w:rPr>
          <w:kern w:val="0"/>
        </w:rPr>
        <w:t>biliary pain, cholangitis, pancreatitis, need for cholangiography, need for cholecystectomy,</w:t>
      </w:r>
      <w:r w:rsidR="005853A9">
        <w:rPr>
          <w:kern w:val="0"/>
        </w:rPr>
        <w:t xml:space="preserve"> and </w:t>
      </w:r>
      <w:r>
        <w:rPr>
          <w:kern w:val="0"/>
        </w:rPr>
        <w:t>the rate</w:t>
      </w:r>
      <w:r w:rsidR="00427468">
        <w:rPr>
          <w:kern w:val="0"/>
        </w:rPr>
        <w:t xml:space="preserve"> of </w:t>
      </w:r>
      <w:r>
        <w:rPr>
          <w:kern w:val="0"/>
        </w:rPr>
        <w:t>difficult cholecystectomy. We pooled data using relative risk with fixed-effect</w:t>
      </w:r>
      <w:r w:rsidR="005853A9">
        <w:rPr>
          <w:kern w:val="0"/>
        </w:rPr>
        <w:t xml:space="preserve"> and </w:t>
      </w:r>
      <w:r>
        <w:rPr>
          <w:kern w:val="0"/>
        </w:rPr>
        <w:t>random-effects models. Main results We included 5 randomised trials with 662 participants out</w:t>
      </w:r>
      <w:r w:rsidR="00427468">
        <w:rPr>
          <w:kern w:val="0"/>
        </w:rPr>
        <w:t xml:space="preserve"> of </w:t>
      </w:r>
      <w:r>
        <w:rPr>
          <w:kern w:val="0"/>
        </w:rPr>
        <w:t>93 publications identified through the literature searches</w:t>
      </w:r>
      <w:r w:rsidR="00A37C1D">
        <w:rPr>
          <w:kern w:val="0"/>
        </w:rPr>
        <w:t>. The</w:t>
      </w:r>
      <w:r>
        <w:rPr>
          <w:kern w:val="0"/>
        </w:rPr>
        <w:t xml:space="preserve"> number</w:t>
      </w:r>
      <w:r w:rsidR="00427468">
        <w:rPr>
          <w:kern w:val="0"/>
        </w:rPr>
        <w:t xml:space="preserve"> of </w:t>
      </w:r>
      <w:r>
        <w:rPr>
          <w:kern w:val="0"/>
        </w:rPr>
        <w:t>deaths was 47 in the wait-and- see group (334 patients) compared to 26 in the prophylactic cholecystectomy group (328 patients) for a 78% increased risk</w:t>
      </w:r>
      <w:r w:rsidR="00427468">
        <w:rPr>
          <w:kern w:val="0"/>
        </w:rPr>
        <w:t xml:space="preserve"> of </w:t>
      </w:r>
      <w:r>
        <w:rPr>
          <w:kern w:val="0"/>
        </w:rPr>
        <w:t>mortality (RR 1.78, 95% CI 1.15 to 2.75, P = 0.010)</w:t>
      </w:r>
      <w:r w:rsidR="00A37C1D">
        <w:rPr>
          <w:kern w:val="0"/>
        </w:rPr>
        <w:t>. The</w:t>
      </w:r>
      <w:r>
        <w:rPr>
          <w:kern w:val="0"/>
        </w:rPr>
        <w:t xml:space="preserve"> survival benefit</w:t>
      </w:r>
      <w:r w:rsidR="00427468">
        <w:rPr>
          <w:kern w:val="0"/>
        </w:rPr>
        <w:t xml:space="preserve"> of </w:t>
      </w:r>
      <w:r>
        <w:rPr>
          <w:kern w:val="0"/>
        </w:rPr>
        <w:t>prophylactic cholecystectomy was independent</w:t>
      </w:r>
      <w:r w:rsidR="00427468">
        <w:rPr>
          <w:kern w:val="0"/>
        </w:rPr>
        <w:t xml:space="preserve"> of </w:t>
      </w:r>
      <w:r>
        <w:rPr>
          <w:kern w:val="0"/>
        </w:rPr>
        <w:t>trial design, inclusion</w:t>
      </w:r>
      <w:r w:rsidR="00427468">
        <w:rPr>
          <w:kern w:val="0"/>
        </w:rPr>
        <w:t xml:space="preserve"> of </w:t>
      </w:r>
      <w:r>
        <w:rPr>
          <w:kern w:val="0"/>
        </w:rPr>
        <w:t>high risk patients or inclusion</w:t>
      </w:r>
      <w:r w:rsidR="00427468">
        <w:rPr>
          <w:kern w:val="0"/>
        </w:rPr>
        <w:t xml:space="preserve"> of </w:t>
      </w:r>
      <w:r>
        <w:rPr>
          <w:kern w:val="0"/>
        </w:rPr>
        <w:t>any one</w:t>
      </w:r>
      <w:r w:rsidR="00427468">
        <w:rPr>
          <w:kern w:val="0"/>
        </w:rPr>
        <w:t xml:space="preserve"> of </w:t>
      </w:r>
      <w:r>
        <w:rPr>
          <w:kern w:val="0"/>
        </w:rPr>
        <w:t>the five trials. Patients in the wait-and- see group had higher rates</w:t>
      </w:r>
      <w:r w:rsidR="00427468">
        <w:rPr>
          <w:kern w:val="0"/>
        </w:rPr>
        <w:t xml:space="preserve"> of </w:t>
      </w:r>
      <w:r>
        <w:rPr>
          <w:kern w:val="0"/>
        </w:rPr>
        <w:t>recurrent biliary pain (RR 14.56, 95% CI 4.95 to 42.78, P &lt; 00001), jaundice or cholangitis (RR 2.53, 95% CI 1.09 to 5.87, P = 0.03),</w:t>
      </w:r>
      <w:r w:rsidR="005853A9">
        <w:rPr>
          <w:kern w:val="0"/>
        </w:rPr>
        <w:t xml:space="preserve"> and</w:t>
      </w:r>
      <w:r w:rsidR="00427468">
        <w:rPr>
          <w:kern w:val="0"/>
        </w:rPr>
        <w:t xml:space="preserve"> of </w:t>
      </w:r>
      <w:r>
        <w:rPr>
          <w:kern w:val="0"/>
        </w:rPr>
        <w:t>repeat ERCP or other forms</w:t>
      </w:r>
      <w:r w:rsidR="00427468">
        <w:rPr>
          <w:kern w:val="0"/>
        </w:rPr>
        <w:t xml:space="preserve"> of </w:t>
      </w:r>
      <w:r>
        <w:rPr>
          <w:kern w:val="0"/>
        </w:rPr>
        <w:t>cholangiography (RR 2.36, 95% CI 1.29 to 4.32, P = 0.005). Cholecystectomy was eventually performed in 35% (115 patients)</w:t>
      </w:r>
      <w:r w:rsidR="00427468">
        <w:rPr>
          <w:kern w:val="0"/>
        </w:rPr>
        <w:t xml:space="preserve"> of </w:t>
      </w:r>
      <w:r>
        <w:rPr>
          <w:kern w:val="0"/>
        </w:rPr>
        <w:t>the wait-and- see group. Authors</w:t>
      </w:r>
      <w:r w:rsidR="0071223E">
        <w:rPr>
          <w:kern w:val="0"/>
        </w:rPr>
        <w:t>’</w:t>
      </w:r>
      <w:r>
        <w:rPr>
          <w:kern w:val="0"/>
        </w:rPr>
        <w:t xml:space="preserve"> conclusions Prophylactic cholecystectomy should be offered to patients whose gallbladders remain in-situ after endoscopic sphincterotomy</w:t>
      </w:r>
      <w:r w:rsidR="005853A9">
        <w:rPr>
          <w:kern w:val="0"/>
        </w:rPr>
        <w:t xml:space="preserve"> and </w:t>
      </w:r>
      <w:r>
        <w:rPr>
          <w:kern w:val="0"/>
        </w:rPr>
        <w:t>common bile duct clearance.</w:t>
      </w:r>
    </w:p>
    <w:p w:rsidR="00365DE4" w:rsidRDefault="00365DE4" w:rsidP="00365DE4">
      <w:pPr>
        <w:pStyle w:val="a3"/>
        <w:rPr>
          <w:kern w:val="0"/>
        </w:rPr>
      </w:pPr>
      <w:r>
        <w:rPr>
          <w:kern w:val="0"/>
        </w:rPr>
        <w:t xml:space="preserve">Keywords: Authors, Bile-Duct Stones, Calculi, Citation, Clinical Trials, Cohort, Criteria, Health, Health Status, High Risk, High-Risk, Impact, In-Situ, Language, Laparoscopic Cholecystectomy, Literature, Management, </w:t>
      </w:r>
      <w:r w:rsidR="00D5664A">
        <w:rPr>
          <w:kern w:val="0"/>
        </w:rPr>
        <w:t>MEDLINE</w:t>
      </w:r>
      <w:r>
        <w:rPr>
          <w:kern w:val="0"/>
        </w:rPr>
        <w:t>, Models, Outcomes, Pain, Publication, Publications, Randomized-Trial, Risk, Science, Science Citation Index, Surgery</w:t>
      </w:r>
    </w:p>
    <w:p w:rsidR="00365DE4" w:rsidRDefault="00365DE4" w:rsidP="00365DE4">
      <w:pPr>
        <w:pStyle w:val="a3"/>
        <w:rPr>
          <w:kern w:val="0"/>
        </w:rPr>
      </w:pPr>
      <w:r>
        <w:rPr>
          <w:kern w:val="0"/>
        </w:rPr>
        <w:t>? Gur</w:t>
      </w:r>
      <w:r w:rsidR="00D5664A">
        <w:rPr>
          <w:kern w:val="0"/>
        </w:rPr>
        <w:t>USA</w:t>
      </w:r>
      <w:r>
        <w:rPr>
          <w:kern w:val="0"/>
        </w:rPr>
        <w:t>my, K.S., Kumar, Y., Sharma, D.</w:t>
      </w:r>
      <w:r w:rsidR="005853A9">
        <w:rPr>
          <w:kern w:val="0"/>
        </w:rPr>
        <w:t xml:space="preserve"> and </w:t>
      </w:r>
      <w:r>
        <w:rPr>
          <w:kern w:val="0"/>
        </w:rPr>
        <w:t>Davidson, B.R. (2007), Methods</w:t>
      </w:r>
      <w:r w:rsidR="00427468">
        <w:rPr>
          <w:kern w:val="0"/>
        </w:rPr>
        <w:t xml:space="preserve"> of </w:t>
      </w:r>
      <w:r>
        <w:rPr>
          <w:kern w:val="0"/>
        </w:rPr>
        <w:lastRenderedPageBreak/>
        <w:t xml:space="preserve">vascular occlusion for elective liver resections.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CD006409.</w:t>
      </w:r>
    </w:p>
    <w:p w:rsidR="00365DE4" w:rsidRDefault="00365DE4" w:rsidP="00365DE4">
      <w:pPr>
        <w:pStyle w:val="a3"/>
        <w:rPr>
          <w:kern w:val="2"/>
        </w:rPr>
      </w:pPr>
      <w:r>
        <w:t xml:space="preserve">Full Text: </w:t>
      </w:r>
      <w:hyperlink r:id="rId530" w:history="1">
        <w:r>
          <w:rPr>
            <w:rStyle w:val="a5"/>
          </w:rPr>
          <w:t>2007\Coc Dat Sys Rev2007, CD006409.pdf</w:t>
        </w:r>
      </w:hyperlink>
    </w:p>
    <w:p w:rsidR="00365DE4" w:rsidRDefault="00365DE4" w:rsidP="00365DE4">
      <w:pPr>
        <w:pStyle w:val="a3"/>
        <w:rPr>
          <w:kern w:val="0"/>
        </w:rPr>
      </w:pPr>
      <w:r>
        <w:rPr>
          <w:kern w:val="0"/>
        </w:rPr>
        <w:t>Abstract: Background Vascular occlusion is used to reduce blood loss during liver resection surgery</w:t>
      </w:r>
      <w:r w:rsidR="00A37C1D">
        <w:rPr>
          <w:kern w:val="0"/>
        </w:rPr>
        <w:t>. The</w:t>
      </w:r>
      <w:r>
        <w:rPr>
          <w:kern w:val="0"/>
        </w:rPr>
        <w:t>re is considerable controversy regarding whether vascular occlusion should be used or not during elective liver resections</w:t>
      </w:r>
      <w:r w:rsidR="00A37C1D">
        <w:rPr>
          <w:kern w:val="0"/>
        </w:rPr>
        <w:t>. The</w:t>
      </w:r>
      <w:r>
        <w:rPr>
          <w:kern w:val="0"/>
        </w:rPr>
        <w:t xml:space="preserve"> method</w:t>
      </w:r>
      <w:r w:rsidR="00427468">
        <w:rPr>
          <w:kern w:val="0"/>
        </w:rPr>
        <w:t xml:space="preserve"> of </w:t>
      </w:r>
      <w:r>
        <w:rPr>
          <w:kern w:val="0"/>
        </w:rPr>
        <w:t>vascular occlusion employed is also controversial</w:t>
      </w:r>
      <w:r w:rsidR="00A37C1D">
        <w:rPr>
          <w:kern w:val="0"/>
        </w:rPr>
        <w:t>. The</w:t>
      </w:r>
      <w:r>
        <w:rPr>
          <w:kern w:val="0"/>
        </w:rPr>
        <w:t>re is also considerable debate on the role</w:t>
      </w:r>
      <w:r w:rsidR="00427468">
        <w:rPr>
          <w:kern w:val="0"/>
        </w:rPr>
        <w:t xml:space="preserve"> of </w:t>
      </w:r>
      <w:r>
        <w:rPr>
          <w:kern w:val="0"/>
        </w:rPr>
        <w:t>ischaemic preconditioning before vascular occlusion. Objectives To assess the advantages (decreased blood loss</w:t>
      </w:r>
      <w:r w:rsidR="005853A9">
        <w:rPr>
          <w:kern w:val="0"/>
        </w:rPr>
        <w:t xml:space="preserve"> and </w:t>
      </w:r>
      <w:r>
        <w:rPr>
          <w:kern w:val="0"/>
        </w:rPr>
        <w:t>peri-operative morbidity)</w:t>
      </w:r>
      <w:r w:rsidR="005853A9">
        <w:rPr>
          <w:kern w:val="0"/>
        </w:rPr>
        <w:t xml:space="preserve"> and </w:t>
      </w:r>
      <w:r>
        <w:rPr>
          <w:kern w:val="0"/>
        </w:rPr>
        <w:t>disadvantages (liver dysfunction from ischaemia)</w:t>
      </w:r>
      <w:r w:rsidR="00427468">
        <w:rPr>
          <w:kern w:val="0"/>
        </w:rPr>
        <w:t xml:space="preserve"> of </w:t>
      </w:r>
      <w:r>
        <w:rPr>
          <w:kern w:val="0"/>
        </w:rPr>
        <w:t>vascular occlusion during liver resections. To compare the advantages (in decreasing blood loss or decreasing ischaemia-reperfusion injury)</w:t>
      </w:r>
      <w:r w:rsidR="005853A9">
        <w:rPr>
          <w:kern w:val="0"/>
        </w:rPr>
        <w:t xml:space="preserve"> and </w:t>
      </w:r>
      <w:r>
        <w:rPr>
          <w:kern w:val="0"/>
        </w:rPr>
        <w:t>disadvantages</w:t>
      </w:r>
      <w:r w:rsidR="00427468">
        <w:rPr>
          <w:kern w:val="0"/>
        </w:rPr>
        <w:t xml:space="preserve"> of </w:t>
      </w:r>
      <w:r>
        <w:rPr>
          <w:kern w:val="0"/>
        </w:rPr>
        <w:t>different types</w:t>
      </w:r>
      <w:r w:rsidR="00427468">
        <w:rPr>
          <w:kern w:val="0"/>
        </w:rPr>
        <w:t xml:space="preserve"> of </w:t>
      </w:r>
      <w:r>
        <w:rPr>
          <w:kern w:val="0"/>
        </w:rPr>
        <w:t>vascular occlusion versus total, continuous portal triad clamping. Search strategy We searched TheCochraneHepato-BiliaryGroupControlledTrialsRegister,the Cochrane Central Register</w:t>
      </w:r>
      <w:r w:rsidR="00427468">
        <w:rPr>
          <w:kern w:val="0"/>
        </w:rPr>
        <w:t xml:space="preserve"> of </w:t>
      </w:r>
      <w:r>
        <w:rPr>
          <w:kern w:val="0"/>
        </w:rPr>
        <w:t>Controlled Trials(CENTRAL)in The Cochrane Library,</w:t>
      </w:r>
      <w:r w:rsidR="00D5664A">
        <w:rPr>
          <w:kern w:val="0"/>
        </w:rPr>
        <w:t>MEDLINE</w:t>
      </w:r>
      <w:r>
        <w:rPr>
          <w:kern w:val="0"/>
        </w:rPr>
        <w:t>,EMBASE,and Science Citation Index Expanded until March 2007. Selection criteria We included randomised clinical trials comparing vascular occlusion versus no vascular occlusion during elective liver resections (irrespective</w:t>
      </w:r>
      <w:r w:rsidR="00427468">
        <w:rPr>
          <w:kern w:val="0"/>
        </w:rPr>
        <w:t xml:space="preserve"> of </w:t>
      </w:r>
      <w:r>
        <w:rPr>
          <w:kern w:val="0"/>
        </w:rPr>
        <w:t>language or publication status). We also included randomised clinical trials comparing the different methods</w:t>
      </w:r>
      <w:r w:rsidR="00427468">
        <w:rPr>
          <w:kern w:val="0"/>
        </w:rPr>
        <w:t xml:space="preserve"> of </w:t>
      </w:r>
      <w:r>
        <w:rPr>
          <w:kern w:val="0"/>
        </w:rPr>
        <w:t>vascular occlusion</w:t>
      </w:r>
      <w:r w:rsidR="005853A9">
        <w:rPr>
          <w:kern w:val="0"/>
        </w:rPr>
        <w:t xml:space="preserve"> and </w:t>
      </w:r>
      <w:r>
        <w:rPr>
          <w:kern w:val="0"/>
        </w:rPr>
        <w:t>those investigating the role</w:t>
      </w:r>
      <w:r w:rsidR="00427468">
        <w:rPr>
          <w:kern w:val="0"/>
        </w:rPr>
        <w:t xml:space="preserve"> of </w:t>
      </w:r>
      <w:r>
        <w:rPr>
          <w:kern w:val="0"/>
        </w:rPr>
        <w:t>ischaemic preconditioning in liver resection. Data collection</w:t>
      </w:r>
      <w:r w:rsidR="005853A9">
        <w:rPr>
          <w:kern w:val="0"/>
        </w:rPr>
        <w:t xml:space="preserve"> and </w:t>
      </w:r>
      <w:r>
        <w:rPr>
          <w:kern w:val="0"/>
        </w:rPr>
        <w:t>analysis We collected the data on the characteristics</w:t>
      </w:r>
      <w:r w:rsidR="00427468">
        <w:rPr>
          <w:kern w:val="0"/>
        </w:rPr>
        <w:t xml:space="preserve"> of </w:t>
      </w:r>
      <w:r>
        <w:rPr>
          <w:kern w:val="0"/>
        </w:rPr>
        <w:t>the trial, methodological quality</w:t>
      </w:r>
      <w:r w:rsidR="00427468">
        <w:rPr>
          <w:kern w:val="0"/>
        </w:rPr>
        <w:t xml:space="preserve"> of </w:t>
      </w:r>
      <w:r>
        <w:rPr>
          <w:kern w:val="0"/>
        </w:rPr>
        <w:t>the trials, mortality, morbidity, blood loss, blood transfusion requirements, liver function tests, markers</w:t>
      </w:r>
      <w:r w:rsidR="00427468">
        <w:rPr>
          <w:kern w:val="0"/>
        </w:rPr>
        <w:t xml:space="preserve"> of </w:t>
      </w:r>
      <w:r>
        <w:rPr>
          <w:kern w:val="0"/>
        </w:rPr>
        <w:t>neutrophil activation, operating time,</w:t>
      </w:r>
      <w:r w:rsidR="005853A9">
        <w:rPr>
          <w:kern w:val="0"/>
        </w:rPr>
        <w:t xml:space="preserve"> and </w:t>
      </w:r>
      <w:r>
        <w:rPr>
          <w:kern w:val="0"/>
        </w:rPr>
        <w:t>hospital stay. We analysed the data with both the fixed-effect</w:t>
      </w:r>
      <w:r w:rsidR="005853A9">
        <w:rPr>
          <w:kern w:val="0"/>
        </w:rPr>
        <w:t xml:space="preserve"> and </w:t>
      </w:r>
      <w:r>
        <w:rPr>
          <w:kern w:val="0"/>
        </w:rPr>
        <w:t>the random-effects models using RevMan Analysis. For each binary outcome we calculated the odds ratio (OR) with 95% confidence intervals (CI) based on intention-to-treat analysis. For continuous outcomes, we calculated the weighted mean difference (WMD) with 95% confidence intervals. Main results We identified a total</w:t>
      </w:r>
      <w:r w:rsidR="00427468">
        <w:rPr>
          <w:kern w:val="0"/>
        </w:rPr>
        <w:t xml:space="preserve"> of </w:t>
      </w:r>
      <w:r>
        <w:rPr>
          <w:kern w:val="0"/>
        </w:rPr>
        <w:t>16 randomised trials. Five trials including 331 patients compared vascular occlusion (n= 166) versus no vascular occlusion (n=165). Six trials including 521 patients compared different methods</w:t>
      </w:r>
      <w:r w:rsidR="00427468">
        <w:rPr>
          <w:kern w:val="0"/>
        </w:rPr>
        <w:t xml:space="preserve"> of </w:t>
      </w:r>
      <w:r>
        <w:rPr>
          <w:kern w:val="0"/>
        </w:rPr>
        <w:t>vascular occlusion. Three trials including 210 patients compared ischaemic preconditioning before continuous portal triad clamping (n= 105) versus no ischaemic preconditioning (n= 105). Two trials including 127 patients compared ischaemic preconditioning before continuous portal triad clamping (n= 63) versus intermittent portal triad clamping (n= 64)</w:t>
      </w:r>
      <w:r w:rsidR="00A37C1D">
        <w:rPr>
          <w:kern w:val="0"/>
        </w:rPr>
        <w:t>. The</w:t>
      </w:r>
      <w:r>
        <w:rPr>
          <w:kern w:val="0"/>
        </w:rPr>
        <w:t xml:space="preserve"> blood loss was significantly lower in vascular occlusion compared with no vascular occlusion</w:t>
      </w:r>
      <w:r w:rsidR="00A37C1D">
        <w:rPr>
          <w:kern w:val="0"/>
        </w:rPr>
        <w:t>. The</w:t>
      </w:r>
      <w:r>
        <w:rPr>
          <w:kern w:val="0"/>
        </w:rPr>
        <w:t xml:space="preserve"> liver enzymes were significantly elevated in the vascular occlusion group compared with no vascular occlusion</w:t>
      </w:r>
      <w:r w:rsidR="00A37C1D">
        <w:rPr>
          <w:kern w:val="0"/>
        </w:rPr>
        <w:t>. The</w:t>
      </w:r>
      <w:r>
        <w:rPr>
          <w:kern w:val="0"/>
        </w:rPr>
        <w:t xml:space="preserve">re was no difference in the mortality, liver failure, or other morbidities. </w:t>
      </w:r>
      <w:r>
        <w:rPr>
          <w:kern w:val="0"/>
        </w:rPr>
        <w:lastRenderedPageBreak/>
        <w:t>Four</w:t>
      </w:r>
      <w:r w:rsidR="00427468">
        <w:rPr>
          <w:kern w:val="0"/>
        </w:rPr>
        <w:t xml:space="preserve"> of </w:t>
      </w:r>
      <w:r>
        <w:rPr>
          <w:kern w:val="0"/>
        </w:rPr>
        <w:t>the five trials comparing vascular occlusion</w:t>
      </w:r>
      <w:r w:rsidR="005853A9">
        <w:rPr>
          <w:kern w:val="0"/>
        </w:rPr>
        <w:t xml:space="preserve"> and </w:t>
      </w:r>
      <w:r>
        <w:rPr>
          <w:kern w:val="0"/>
        </w:rPr>
        <w:t>no vascular occlusion used intermittent vascular occlusion. Trials comparing complete inflow</w:t>
      </w:r>
      <w:r w:rsidR="005853A9">
        <w:rPr>
          <w:kern w:val="0"/>
        </w:rPr>
        <w:t xml:space="preserve"> and </w:t>
      </w:r>
      <w:r>
        <w:rPr>
          <w:kern w:val="0"/>
        </w:rPr>
        <w:t>outflow occlusion to the liver, ie, hepatic vascular exclusion</w:t>
      </w:r>
      <w:r w:rsidR="005853A9">
        <w:rPr>
          <w:kern w:val="0"/>
        </w:rPr>
        <w:t xml:space="preserve"> and </w:t>
      </w:r>
      <w:r>
        <w:rPr>
          <w:kern w:val="0"/>
        </w:rPr>
        <w:t>portal triad clamping demonstrate significant detrimental haemodynamic changes in hepatic vascular exclusion compared to portal triad clamping</w:t>
      </w:r>
      <w:r w:rsidR="00A37C1D">
        <w:rPr>
          <w:kern w:val="0"/>
        </w:rPr>
        <w:t>. The</w:t>
      </w:r>
      <w:r>
        <w:rPr>
          <w:kern w:val="0"/>
        </w:rPr>
        <w:t>re was no significant difference in the number</w:t>
      </w:r>
      <w:r w:rsidR="00427468">
        <w:rPr>
          <w:kern w:val="0"/>
        </w:rPr>
        <w:t xml:space="preserve"> of </w:t>
      </w:r>
      <w:r>
        <w:rPr>
          <w:kern w:val="0"/>
        </w:rPr>
        <w:t>units transfused</w:t>
      </w:r>
      <w:r w:rsidR="005853A9">
        <w:rPr>
          <w:kern w:val="0"/>
        </w:rPr>
        <w:t xml:space="preserve"> and </w:t>
      </w:r>
      <w:r>
        <w:rPr>
          <w:kern w:val="0"/>
        </w:rPr>
        <w:t>the number</w:t>
      </w:r>
      <w:r w:rsidR="00427468">
        <w:rPr>
          <w:kern w:val="0"/>
        </w:rPr>
        <w:t xml:space="preserve"> of </w:t>
      </w:r>
      <w:r>
        <w:rPr>
          <w:kern w:val="0"/>
        </w:rPr>
        <w:t>patients needing transfusion</w:t>
      </w:r>
      <w:r w:rsidR="00A37C1D">
        <w:rPr>
          <w:kern w:val="0"/>
        </w:rPr>
        <w:t>. The</w:t>
      </w:r>
      <w:r>
        <w:rPr>
          <w:kern w:val="0"/>
        </w:rPr>
        <w:t>re was no difference in mortality, liver failure, or morbidity between total</w:t>
      </w:r>
      <w:r w:rsidR="005853A9">
        <w:rPr>
          <w:kern w:val="0"/>
        </w:rPr>
        <w:t xml:space="preserve"> and </w:t>
      </w:r>
      <w:r>
        <w:rPr>
          <w:kern w:val="0"/>
        </w:rPr>
        <w:t>selective methods</w:t>
      </w:r>
      <w:r w:rsidR="00427468">
        <w:rPr>
          <w:kern w:val="0"/>
        </w:rPr>
        <w:t xml:space="preserve"> of </w:t>
      </w:r>
      <w:r>
        <w:rPr>
          <w:kern w:val="0"/>
        </w:rPr>
        <w:t>portal triad clamping. All four cases</w:t>
      </w:r>
      <w:r w:rsidR="00427468">
        <w:rPr>
          <w:kern w:val="0"/>
        </w:rPr>
        <w:t xml:space="preserve"> of </w:t>
      </w:r>
      <w:r>
        <w:rPr>
          <w:kern w:val="0"/>
        </w:rPr>
        <w:t>mortality</w:t>
      </w:r>
      <w:r w:rsidR="005853A9">
        <w:rPr>
          <w:kern w:val="0"/>
        </w:rPr>
        <w:t xml:space="preserve"> and </w:t>
      </w:r>
      <w:r>
        <w:rPr>
          <w:kern w:val="0"/>
        </w:rPr>
        <w:t>liver failure in the comparison between the intermittent</w:t>
      </w:r>
      <w:r w:rsidR="005853A9">
        <w:rPr>
          <w:kern w:val="0"/>
        </w:rPr>
        <w:t xml:space="preserve"> and </w:t>
      </w:r>
      <w:r>
        <w:rPr>
          <w:kern w:val="0"/>
        </w:rPr>
        <w:t>continuous portal triad clamping occurred in the continuous portal triad clamping (statistically not significant). Intermittent portal triad clamping does not increase the total blood loss or operating time compared to continuous portal triad clamping</w:t>
      </w:r>
      <w:r w:rsidR="00A37C1D">
        <w:rPr>
          <w:kern w:val="0"/>
        </w:rPr>
        <w:t>. The</w:t>
      </w:r>
      <w:r>
        <w:rPr>
          <w:kern w:val="0"/>
        </w:rPr>
        <w:t>re was no statistically significant difference in the mortality, liver failure, morbidity, blood loss, or haemodynamic changes between ischaemic preconditioning versus no ischaemic preconditioning before continuous portal triad clamping. Liver enzymes used as markers</w:t>
      </w:r>
      <w:r w:rsidR="00427468">
        <w:rPr>
          <w:kern w:val="0"/>
        </w:rPr>
        <w:t xml:space="preserve"> of </w:t>
      </w:r>
      <w:r>
        <w:rPr>
          <w:kern w:val="0"/>
        </w:rPr>
        <w:t>liver injury were significantly lower in the early post-operative period in the ischaemic preconditioning group</w:t>
      </w:r>
      <w:r w:rsidR="00A37C1D">
        <w:rPr>
          <w:kern w:val="0"/>
        </w:rPr>
        <w:t>. The</w:t>
      </w:r>
      <w:r>
        <w:rPr>
          <w:kern w:val="0"/>
        </w:rPr>
        <w:t xml:space="preserve"> intensive therapy unit stay</w:t>
      </w:r>
      <w:r w:rsidR="005853A9">
        <w:rPr>
          <w:kern w:val="0"/>
        </w:rPr>
        <w:t xml:space="preserve"> and </w:t>
      </w:r>
      <w:r>
        <w:rPr>
          <w:kern w:val="0"/>
        </w:rPr>
        <w:t>hospital stay were statistically significantly lower in the ischaemic preconditioning group than in the no ischaemic preconditioning group</w:t>
      </w:r>
      <w:r w:rsidR="00A37C1D">
        <w:rPr>
          <w:kern w:val="0"/>
        </w:rPr>
        <w:t>. The</w:t>
      </w:r>
      <w:r>
        <w:rPr>
          <w:kern w:val="0"/>
        </w:rPr>
        <w:t>re was no statistically significant difference in the mortality, liver failure, morbidity, intensive therapy unit stay, or hospital stay between ischaemic preconditioning before continuous portal triad clamping</w:t>
      </w:r>
      <w:r w:rsidR="005853A9">
        <w:rPr>
          <w:kern w:val="0"/>
        </w:rPr>
        <w:t xml:space="preserve"> and </w:t>
      </w:r>
      <w:r>
        <w:rPr>
          <w:kern w:val="0"/>
        </w:rPr>
        <w:t>intermittent portal triad clamping</w:t>
      </w:r>
      <w:r w:rsidR="00A37C1D">
        <w:rPr>
          <w:kern w:val="0"/>
        </w:rPr>
        <w:t>. The</w:t>
      </w:r>
      <w:r>
        <w:rPr>
          <w:kern w:val="0"/>
        </w:rPr>
        <w:t xml:space="preserve"> blood loss</w:t>
      </w:r>
      <w:r w:rsidR="005853A9">
        <w:rPr>
          <w:kern w:val="0"/>
        </w:rPr>
        <w:t xml:space="preserve"> and </w:t>
      </w:r>
      <w:r>
        <w:rPr>
          <w:kern w:val="0"/>
        </w:rPr>
        <w:t>transfusion requirements were lower in the ischaemic preconditioning group. Aspartate aminotransferase level was lower in the intermittent portal triad clamping group than the ischaemic preconditioning group on the third post-operative day</w:t>
      </w:r>
      <w:r w:rsidR="00A37C1D">
        <w:rPr>
          <w:kern w:val="0"/>
        </w:rPr>
        <w:t>. The</w:t>
      </w:r>
      <w:r>
        <w:rPr>
          <w:kern w:val="0"/>
        </w:rPr>
        <w:t>re was no difference in the peak aspartate aminotransferase levels or in the aspartate aminotransferase levels on first or sixth post-operative days</w:t>
      </w:r>
      <w:r w:rsidR="00427468">
        <w:rPr>
          <w:kern w:val="0"/>
        </w:rPr>
        <w:t xml:space="preserve"> of </w:t>
      </w:r>
      <w:r>
        <w:rPr>
          <w:kern w:val="0"/>
        </w:rPr>
        <w:t>aspartate aminotransferase. Authors</w:t>
      </w:r>
      <w:r w:rsidR="0071223E">
        <w:rPr>
          <w:kern w:val="0"/>
        </w:rPr>
        <w:t>’</w:t>
      </w:r>
      <w:r>
        <w:rPr>
          <w:kern w:val="0"/>
        </w:rPr>
        <w:t xml:space="preserve"> conclusions Intermittent vascular occlusion seems safe in liver resection. However, it does not seem to decrease morbidity. Among the different methods</w:t>
      </w:r>
      <w:r w:rsidR="00427468">
        <w:rPr>
          <w:kern w:val="0"/>
        </w:rPr>
        <w:t xml:space="preserve"> of </w:t>
      </w:r>
      <w:r>
        <w:rPr>
          <w:kern w:val="0"/>
        </w:rPr>
        <w:t>vascular occlusion, intermittent portal triad clamping has most evidence to support the clinical application. Hepatic vascular exclusion cannot be recommended routinely. Ischaemic preconditioning before continuous portal triad clamping may be</w:t>
      </w:r>
      <w:r w:rsidR="00427468">
        <w:rPr>
          <w:kern w:val="0"/>
        </w:rPr>
        <w:t xml:space="preserve"> of </w:t>
      </w:r>
      <w:r>
        <w:rPr>
          <w:kern w:val="0"/>
        </w:rPr>
        <w:t>clinical benefit in reducing intensive therapy unit</w:t>
      </w:r>
      <w:r w:rsidR="005853A9">
        <w:rPr>
          <w:kern w:val="0"/>
        </w:rPr>
        <w:t xml:space="preserve"> and </w:t>
      </w:r>
      <w:r>
        <w:rPr>
          <w:kern w:val="0"/>
        </w:rPr>
        <w:t>hospital stay.</w:t>
      </w:r>
    </w:p>
    <w:p w:rsidR="00365DE4" w:rsidRDefault="00365DE4" w:rsidP="00365DE4">
      <w:pPr>
        <w:pStyle w:val="a3"/>
        <w:rPr>
          <w:kern w:val="0"/>
        </w:rPr>
      </w:pPr>
      <w:r>
        <w:rPr>
          <w:kern w:val="0"/>
        </w:rPr>
        <w:t>Keywords: 100 Consecutive Patients, Activation, Authors, Blood-Loss, Characteristics, Citation, Clinical Trials, Comparison, Criteria, Donor Procurement, Hepatic Gene-Expression, Hepatocellular-Carcinoma, Intermittent Pringle Maneuver, Ischemia-Reperfusion Injury, Language, Methods, Models, Noncirrhotic Patients, Outcomes, Portal Triad, Publication, Randomized Clinical-Trial, Science, Science Citation Index, Surgery, Therapy</w:t>
      </w:r>
    </w:p>
    <w:p w:rsidR="00365DE4" w:rsidRDefault="00365DE4" w:rsidP="00365DE4">
      <w:pPr>
        <w:pStyle w:val="a3"/>
        <w:rPr>
          <w:kern w:val="0"/>
        </w:rPr>
      </w:pPr>
      <w:r>
        <w:rPr>
          <w:kern w:val="0"/>
        </w:rPr>
        <w:lastRenderedPageBreak/>
        <w:t>? Ejemot, R.J., Ehiri, J.E., Meremikwu, M.M.</w:t>
      </w:r>
      <w:r w:rsidR="005853A9">
        <w:rPr>
          <w:kern w:val="0"/>
        </w:rPr>
        <w:t xml:space="preserve"> and </w:t>
      </w:r>
      <w:r>
        <w:rPr>
          <w:kern w:val="0"/>
        </w:rPr>
        <w:t xml:space="preserve">Critchley, J.A. (2008), Hand washing for preventing diarrhoea.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CD004265.</w:t>
      </w:r>
    </w:p>
    <w:p w:rsidR="00365DE4" w:rsidRDefault="00365DE4" w:rsidP="00365DE4">
      <w:pPr>
        <w:pStyle w:val="a3"/>
        <w:rPr>
          <w:kern w:val="2"/>
        </w:rPr>
      </w:pPr>
      <w:r>
        <w:t xml:space="preserve">Full Text: </w:t>
      </w:r>
      <w:hyperlink r:id="rId531" w:history="1">
        <w:r>
          <w:rPr>
            <w:rStyle w:val="a5"/>
          </w:rPr>
          <w:t>2008\Coc Dat Sys Rev2008, CD004265.pdf</w:t>
        </w:r>
      </w:hyperlink>
    </w:p>
    <w:p w:rsidR="00365DE4" w:rsidRDefault="00365DE4" w:rsidP="00365DE4">
      <w:pPr>
        <w:pStyle w:val="a3"/>
      </w:pPr>
      <w:r>
        <w:t>Abstract: Background Diarrhoea is a common cause</w:t>
      </w:r>
      <w:r w:rsidR="00427468">
        <w:t xml:space="preserve"> of </w:t>
      </w:r>
      <w:r>
        <w:t>morbidity</w:t>
      </w:r>
      <w:r w:rsidR="005853A9">
        <w:t xml:space="preserve"> and </w:t>
      </w:r>
      <w:r>
        <w:t>a leading cause</w:t>
      </w:r>
      <w:r w:rsidR="00427468">
        <w:t xml:space="preserve"> of </w:t>
      </w:r>
      <w:r>
        <w:t>death among children aged less than five years, particularly in low-</w:t>
      </w:r>
      <w:r w:rsidR="005853A9">
        <w:t xml:space="preserve"> and </w:t>
      </w:r>
      <w:r>
        <w:t>middle-income countries. It is transmitted by ingesting contaminated food or drink, by direct person-to-person contact, or from contaminated hands. Hand washing is one</w:t>
      </w:r>
      <w:r w:rsidR="00427468">
        <w:t xml:space="preserve"> of </w:t>
      </w:r>
      <w:r>
        <w:t>a range</w:t>
      </w:r>
      <w:r w:rsidR="00427468">
        <w:t xml:space="preserve"> of </w:t>
      </w:r>
      <w:r>
        <w:t>hygiene promotion interventions that can interrupt the transmission</w:t>
      </w:r>
      <w:r w:rsidR="00427468">
        <w:t xml:space="preserve"> of </w:t>
      </w:r>
      <w:r>
        <w:t>diarrhoea-causing pathogens.</w:t>
      </w:r>
    </w:p>
    <w:p w:rsidR="00365DE4" w:rsidRDefault="00365DE4" w:rsidP="00365DE4">
      <w:pPr>
        <w:pStyle w:val="a3"/>
      </w:pPr>
      <w:r>
        <w:t>Objectives To evaluate the effects</w:t>
      </w:r>
      <w:r w:rsidR="00427468">
        <w:t xml:space="preserve"> of </w:t>
      </w:r>
      <w:r>
        <w:t>interventions to promote hand washing on diarrhoeal episodes in children</w:t>
      </w:r>
      <w:r w:rsidR="005853A9">
        <w:t xml:space="preserve"> and </w:t>
      </w:r>
      <w:r>
        <w:t>adults.</w:t>
      </w:r>
    </w:p>
    <w:p w:rsidR="00365DE4" w:rsidRDefault="00365DE4" w:rsidP="00365DE4">
      <w:pPr>
        <w:pStyle w:val="a3"/>
      </w:pPr>
      <w:r>
        <w:t xml:space="preserve">Search strategy InMay 2007, we searched the Cochrane Infectious Diseases Group Specialized Register, CENTRAL (The Cochrane Library 2007, Issue 2), </w:t>
      </w:r>
      <w:r w:rsidR="00D5664A">
        <w:t>MEDLINE</w:t>
      </w:r>
      <w:r>
        <w:t>, EMBASE, LILACS, PsycINFO, Science Citation Index</w:t>
      </w:r>
      <w:r w:rsidR="005853A9">
        <w:t xml:space="preserve"> and </w:t>
      </w:r>
      <w:r>
        <w:t>Social Science Citation Index, ERIC (1966 toMay 2007), SPECTR, Bibliomap, RoRe, The Grey Literature,</w:t>
      </w:r>
      <w:r w:rsidR="005853A9">
        <w:t xml:space="preserve"> and </w:t>
      </w:r>
      <w:r>
        <w:t>reference lists</w:t>
      </w:r>
      <w:r w:rsidR="00427468">
        <w:t xml:space="preserve"> of </w:t>
      </w:r>
      <w:r>
        <w:t>articles. We also contacted researchers</w:t>
      </w:r>
      <w:r w:rsidR="005853A9">
        <w:t xml:space="preserve"> and </w:t>
      </w:r>
      <w:r>
        <w:t>organizations in the field.</w:t>
      </w:r>
    </w:p>
    <w:p w:rsidR="00365DE4" w:rsidRDefault="00365DE4" w:rsidP="00365DE4">
      <w:pPr>
        <w:pStyle w:val="a3"/>
      </w:pPr>
      <w:r>
        <w:t>Data collection</w:t>
      </w:r>
      <w:r w:rsidR="005853A9">
        <w:t xml:space="preserve"> and </w:t>
      </w:r>
      <w:r>
        <w:t>analysis Two authors independently assessed trial eligibility</w:t>
      </w:r>
      <w:r w:rsidR="005853A9">
        <w:t xml:space="preserve"> and </w:t>
      </w:r>
      <w:r>
        <w:t>methodological quality. Where appropriate, incidence rate ratios (IRR) were pooled using the generic inverse variance method</w:t>
      </w:r>
      <w:r w:rsidR="005853A9">
        <w:t xml:space="preserve"> and </w:t>
      </w:r>
      <w:r>
        <w:t>random-effects model with 95% confidence intervals (CI).</w:t>
      </w:r>
    </w:p>
    <w:p w:rsidR="00365DE4" w:rsidRDefault="00365DE4" w:rsidP="00365DE4">
      <w:pPr>
        <w:pStyle w:val="a3"/>
      </w:pPr>
      <w:r>
        <w:t>Main results Fourteen randomized controlled trials met the inclusion criteria. Eight trials were institution-based, five were community-based,</w:t>
      </w:r>
      <w:r w:rsidR="005853A9">
        <w:t xml:space="preserve"> and </w:t>
      </w:r>
      <w:r>
        <w:t>one was in a high-risk group (AIDS patients). Interventions promoting hand washing resulted in a 29% reduction in diarrhoea episodes in institutions in high-income countries (IRR 0.71, 95% CI 0.60 to 0.84; 7 trials)</w:t>
      </w:r>
      <w:r w:rsidR="005853A9">
        <w:t xml:space="preserve"> and </w:t>
      </w:r>
      <w:r>
        <w:t>a 31% reduction in such episodes in communities in low- or middle-income countries (IRR 0.69, 95% CI 0.55 to 0.87; 5 trials).</w:t>
      </w:r>
    </w:p>
    <w:p w:rsidR="00365DE4" w:rsidRDefault="00365DE4" w:rsidP="00365DE4">
      <w:pPr>
        <w:pStyle w:val="a3"/>
      </w:pPr>
      <w:r>
        <w:t>Authors</w:t>
      </w:r>
      <w:r w:rsidR="0071223E">
        <w:t>’</w:t>
      </w:r>
      <w:r>
        <w:t xml:space="preserve"> conclusion Hand washing can reduce diarrhoea episodes by about 30%. This significant reduction is comparable to the effect</w:t>
      </w:r>
      <w:r w:rsidR="00427468">
        <w:t xml:space="preserve"> of </w:t>
      </w:r>
      <w:r>
        <w:t>providing clean water in low-income areas. However, trials with longer follow up</w:t>
      </w:r>
      <w:r w:rsidR="005853A9">
        <w:t xml:space="preserve"> and </w:t>
      </w:r>
      <w:r>
        <w:t>that test different methods</w:t>
      </w:r>
      <w:r w:rsidR="00427468">
        <w:t xml:space="preserve"> of </w:t>
      </w:r>
      <w:r>
        <w:t>promoting hand washing are needed.</w:t>
      </w:r>
    </w:p>
    <w:p w:rsidR="00365DE4" w:rsidRDefault="00365DE4" w:rsidP="00365DE4">
      <w:pPr>
        <w:pStyle w:val="a3"/>
      </w:pPr>
      <w:r>
        <w:t>Keywords: Randomized Controlled-Trial, Day-Care-Centers, Water-Sanitation Behaviors, Reduce Childhood Diarrhea, Critical Control Points, Peruvian Shanty-Town, Burkina-Faso, Hygiene Behavior, Educational Intervention, Handwashing-Promotion</w:t>
      </w:r>
    </w:p>
    <w:p w:rsidR="00365DE4" w:rsidRDefault="00365DE4" w:rsidP="00365DE4">
      <w:pPr>
        <w:pStyle w:val="a3"/>
      </w:pPr>
      <w:r>
        <w:rPr>
          <w:kern w:val="0"/>
        </w:rPr>
        <w:t>? Dickinson, H.O., Campbell, F., Beyer, F.R., Nicolson, D.J., Cook, J.V., Ford, G.A.</w:t>
      </w:r>
      <w:r w:rsidR="005853A9">
        <w:rPr>
          <w:kern w:val="0"/>
        </w:rPr>
        <w:t xml:space="preserve"> and </w:t>
      </w:r>
      <w:r>
        <w:rPr>
          <w:kern w:val="0"/>
        </w:rPr>
        <w:t>Mason, J.M. (2008), Relaxation therapies for the management</w:t>
      </w:r>
      <w:r w:rsidR="00427468">
        <w:rPr>
          <w:kern w:val="0"/>
        </w:rPr>
        <w:t xml:space="preserve"> of </w:t>
      </w:r>
      <w:r>
        <w:rPr>
          <w:kern w:val="0"/>
        </w:rPr>
        <w:t xml:space="preserve">primary hypertension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xml:space="preserve">, Article Number: </w:t>
      </w:r>
      <w:r>
        <w:rPr>
          <w:kern w:val="0"/>
        </w:rPr>
        <w:lastRenderedPageBreak/>
        <w:t>CD004935.</w:t>
      </w:r>
    </w:p>
    <w:p w:rsidR="00365DE4" w:rsidRDefault="00365DE4" w:rsidP="00365DE4">
      <w:pPr>
        <w:pStyle w:val="a3"/>
      </w:pPr>
      <w:r>
        <w:t xml:space="preserve">Full Text: </w:t>
      </w:r>
      <w:hyperlink r:id="rId532" w:history="1">
        <w:r>
          <w:rPr>
            <w:rStyle w:val="a5"/>
          </w:rPr>
          <w:t>2008\Coc Dat Sys Rev2008, CD004935.pdf</w:t>
        </w:r>
      </w:hyperlink>
    </w:p>
    <w:p w:rsidR="00365DE4" w:rsidRDefault="00365DE4" w:rsidP="00365DE4">
      <w:pPr>
        <w:pStyle w:val="a3"/>
        <w:rPr>
          <w:kern w:val="0"/>
        </w:rPr>
      </w:pPr>
      <w:r>
        <w:rPr>
          <w:kern w:val="0"/>
        </w:rPr>
        <w:t>Abstract: Background Lifestyle interventions are often recommended as initial treatment for mild hypertension, but the efficacy</w:t>
      </w:r>
      <w:r w:rsidR="00427468">
        <w:rPr>
          <w:kern w:val="0"/>
        </w:rPr>
        <w:t xml:space="preserve"> of </w:t>
      </w:r>
      <w:r>
        <w:rPr>
          <w:kern w:val="0"/>
        </w:rPr>
        <w:t>relaxation therapies is unclear. Objectives To evaluate the effects</w:t>
      </w:r>
      <w:r w:rsidR="00427468">
        <w:rPr>
          <w:kern w:val="0"/>
        </w:rPr>
        <w:t xml:space="preserve"> of </w:t>
      </w:r>
      <w:r>
        <w:rPr>
          <w:kern w:val="0"/>
        </w:rPr>
        <w:t>relaxation therapies on cardiovascular outcomes</w:t>
      </w:r>
      <w:r w:rsidR="005853A9">
        <w:rPr>
          <w:kern w:val="0"/>
        </w:rPr>
        <w:t xml:space="preserve"> and </w:t>
      </w:r>
      <w:r>
        <w:rPr>
          <w:kern w:val="0"/>
        </w:rPr>
        <w:t xml:space="preserve">blood pressure in people with elevated blood pressure. Search strategy We searched the Cochrane Library, </w:t>
      </w:r>
      <w:r w:rsidR="00D5664A">
        <w:rPr>
          <w:kern w:val="0"/>
        </w:rPr>
        <w:t>MEDLINE</w:t>
      </w:r>
      <w:r>
        <w:rPr>
          <w:kern w:val="0"/>
        </w:rPr>
        <w:t>, EMBASE, Science Citation Index, ISI Proceedings, ClinicalTrials. gov, Current Controlled Trials</w:t>
      </w:r>
      <w:r w:rsidR="005853A9">
        <w:rPr>
          <w:kern w:val="0"/>
        </w:rPr>
        <w:t xml:space="preserve"> and </w:t>
      </w:r>
      <w:r>
        <w:rPr>
          <w:kern w:val="0"/>
        </w:rPr>
        <w:t>reference lists</w:t>
      </w:r>
      <w:r w:rsidR="00427468">
        <w:rPr>
          <w:kern w:val="0"/>
        </w:rPr>
        <w:t xml:space="preserve"> of </w:t>
      </w:r>
      <w:r>
        <w:rPr>
          <w:kern w:val="0"/>
        </w:rPr>
        <w:t>systematic reviews, meta-analyses</w:t>
      </w:r>
      <w:r w:rsidR="005853A9">
        <w:rPr>
          <w:kern w:val="0"/>
        </w:rPr>
        <w:t xml:space="preserve"> and </w:t>
      </w:r>
      <w:r>
        <w:rPr>
          <w:kern w:val="0"/>
        </w:rPr>
        <w:t>randomised controlled trials (RCTs) included in the review. Selection criteria Inclusion criteria: RCTs</w:t>
      </w:r>
      <w:r w:rsidR="00427468">
        <w:rPr>
          <w:kern w:val="0"/>
        </w:rPr>
        <w:t xml:space="preserve"> of </w:t>
      </w:r>
      <w:r>
        <w:rPr>
          <w:kern w:val="0"/>
        </w:rPr>
        <w:t>a parallel design comparing relaxation therapies with no active treatment, or sham therapy; follow-up &gt;= 8 weeks; participants over 18 years, with raised systolic blood pressure (SBP) &gt;= 140mmHg or diastolic blood pressure (DBP) &gt;= 85mmHg); SBP</w:t>
      </w:r>
      <w:r w:rsidR="005853A9">
        <w:rPr>
          <w:kern w:val="0"/>
        </w:rPr>
        <w:t xml:space="preserve"> and </w:t>
      </w:r>
      <w:r>
        <w:rPr>
          <w:kern w:val="0"/>
        </w:rPr>
        <w:t>DBP reported at end</w:t>
      </w:r>
      <w:r w:rsidR="00427468">
        <w:rPr>
          <w:kern w:val="0"/>
        </w:rPr>
        <w:t xml:space="preserve"> of </w:t>
      </w:r>
      <w:r>
        <w:rPr>
          <w:kern w:val="0"/>
        </w:rPr>
        <w:t>follow-up. Exclusion criteria: participants were pregnant; participants received antihypertensive medication which changed during the trial. Data collection</w:t>
      </w:r>
      <w:r w:rsidR="005853A9">
        <w:rPr>
          <w:kern w:val="0"/>
        </w:rPr>
        <w:t xml:space="preserve"> and </w:t>
      </w:r>
      <w:r>
        <w:rPr>
          <w:kern w:val="0"/>
        </w:rPr>
        <w:t>analysis Two reviewers independently extracted data</w:t>
      </w:r>
      <w:r w:rsidR="005853A9">
        <w:rPr>
          <w:kern w:val="0"/>
        </w:rPr>
        <w:t xml:space="preserve"> and </w:t>
      </w:r>
      <w:r>
        <w:rPr>
          <w:kern w:val="0"/>
        </w:rPr>
        <w:t>assessed trial quality. Disagreements were resolved by discussion or a third reviewer. Random effects meta-analyses</w:t>
      </w:r>
      <w:r w:rsidR="005853A9">
        <w:rPr>
          <w:kern w:val="0"/>
        </w:rPr>
        <w:t xml:space="preserve"> and </w:t>
      </w:r>
      <w:r>
        <w:rPr>
          <w:kern w:val="0"/>
        </w:rPr>
        <w:t>sensitivity analyses were conducted. Main results 29 RCTs, with eight weeks to five years follow-up, met our inclusion criteria; four were excluded from the primary meta-analysis because</w:t>
      </w:r>
      <w:r w:rsidR="00427468">
        <w:rPr>
          <w:kern w:val="0"/>
        </w:rPr>
        <w:t xml:space="preserve"> of </w:t>
      </w:r>
      <w:r>
        <w:rPr>
          <w:kern w:val="0"/>
        </w:rPr>
        <w:t>inadequate outcome data</w:t>
      </w:r>
      <w:r w:rsidR="00A37C1D">
        <w:rPr>
          <w:kern w:val="0"/>
        </w:rPr>
        <w:t>. The</w:t>
      </w:r>
      <w:r>
        <w:rPr>
          <w:kern w:val="0"/>
        </w:rPr>
        <w:t xml:space="preserve"> remaining 25 trials assessed 1,198 participants, but adequate randomisation was confirmed in only seven trials</w:t>
      </w:r>
      <w:r w:rsidR="005853A9">
        <w:rPr>
          <w:kern w:val="0"/>
        </w:rPr>
        <w:t xml:space="preserve"> and </w:t>
      </w:r>
      <w:r>
        <w:rPr>
          <w:kern w:val="0"/>
        </w:rPr>
        <w:t>concealment</w:t>
      </w:r>
      <w:r w:rsidR="00427468">
        <w:rPr>
          <w:kern w:val="0"/>
        </w:rPr>
        <w:t xml:space="preserve"> of </w:t>
      </w:r>
      <w:r>
        <w:rPr>
          <w:kern w:val="0"/>
        </w:rPr>
        <w:t>allocation in only one. Only one trial reported deaths, heart attacks</w:t>
      </w:r>
      <w:r w:rsidR="005853A9">
        <w:rPr>
          <w:kern w:val="0"/>
        </w:rPr>
        <w:t xml:space="preserve"> and </w:t>
      </w:r>
      <w:r>
        <w:rPr>
          <w:kern w:val="0"/>
        </w:rPr>
        <w:t>strokes (one</w:t>
      </w:r>
      <w:r w:rsidR="00427468">
        <w:rPr>
          <w:kern w:val="0"/>
        </w:rPr>
        <w:t xml:space="preserve"> of </w:t>
      </w:r>
      <w:r>
        <w:rPr>
          <w:kern w:val="0"/>
        </w:rPr>
        <w:t>each). Metaanalysis indicated that relaxation resulted in small, statistically significant reductions in SBP (mean difference: -5.5 mmHg, 95% CI: -8.2 to -2.8, I2 = 72%)</w:t>
      </w:r>
      <w:r w:rsidR="005853A9">
        <w:rPr>
          <w:kern w:val="0"/>
        </w:rPr>
        <w:t xml:space="preserve"> and </w:t>
      </w:r>
      <w:r>
        <w:rPr>
          <w:kern w:val="0"/>
        </w:rPr>
        <w:t>DBP (mean difference: -3.5 mmHg, 95% CI: -5.3 to -1.6, I2 = 75%) compared to control</w:t>
      </w:r>
      <w:r w:rsidR="00A37C1D">
        <w:rPr>
          <w:kern w:val="0"/>
        </w:rPr>
        <w:t>. The</w:t>
      </w:r>
      <w:r>
        <w:rPr>
          <w:kern w:val="0"/>
        </w:rPr>
        <w:t xml:space="preserve"> substantial heterogeneity between trials was not explained by duration</w:t>
      </w:r>
      <w:r w:rsidR="00427468">
        <w:rPr>
          <w:kern w:val="0"/>
        </w:rPr>
        <w:t xml:space="preserve"> of </w:t>
      </w:r>
      <w:r>
        <w:rPr>
          <w:kern w:val="0"/>
        </w:rPr>
        <w:t>follow-up, type</w:t>
      </w:r>
      <w:r w:rsidR="00427468">
        <w:rPr>
          <w:kern w:val="0"/>
        </w:rPr>
        <w:t xml:space="preserve"> of </w:t>
      </w:r>
      <w:r>
        <w:rPr>
          <w:kern w:val="0"/>
        </w:rPr>
        <w:t>control, type</w:t>
      </w:r>
      <w:r w:rsidR="00427468">
        <w:rPr>
          <w:kern w:val="0"/>
        </w:rPr>
        <w:t xml:space="preserve"> of </w:t>
      </w:r>
      <w:r>
        <w:rPr>
          <w:kern w:val="0"/>
        </w:rPr>
        <w:t>relaxation therapy or baseline blood pressure</w:t>
      </w:r>
      <w:r w:rsidR="00A37C1D">
        <w:rPr>
          <w:kern w:val="0"/>
        </w:rPr>
        <w:t>. The</w:t>
      </w:r>
      <w:r>
        <w:rPr>
          <w:kern w:val="0"/>
        </w:rPr>
        <w:t xml:space="preserve"> nine trials that reported blinding</w:t>
      </w:r>
      <w:r w:rsidR="00427468">
        <w:rPr>
          <w:kern w:val="0"/>
        </w:rPr>
        <w:t xml:space="preserve"> of </w:t>
      </w:r>
      <w:r>
        <w:rPr>
          <w:kern w:val="0"/>
        </w:rPr>
        <w:t>outcome assessors found a non-significant net reduction in blood pressure (SBP mean difference: -3.2 mmHg, 95% CI: -7.7 to 1.4, I(2) = 69%) associated with relaxation</w:t>
      </w:r>
      <w:r w:rsidR="00A37C1D">
        <w:rPr>
          <w:kern w:val="0"/>
        </w:rPr>
        <w:t>. The</w:t>
      </w:r>
      <w:r>
        <w:rPr>
          <w:kern w:val="0"/>
        </w:rPr>
        <w:t xml:space="preserve"> 15 trials comparing relaxation with sham therapy likewise found a non-significant reduction in blood pressure (SBP mean difference: -3.5 mmHg, 95% CI: -7.1 to 0.2, I(2) = 63%). Authors</w:t>
      </w:r>
      <w:r w:rsidR="0071223E">
        <w:rPr>
          <w:kern w:val="0"/>
        </w:rPr>
        <w:t>’</w:t>
      </w:r>
      <w:r>
        <w:rPr>
          <w:kern w:val="0"/>
        </w:rPr>
        <w:t xml:space="preserve"> conclusions In view</w:t>
      </w:r>
      <w:r w:rsidR="00427468">
        <w:rPr>
          <w:kern w:val="0"/>
        </w:rPr>
        <w:t xml:space="preserve"> of </w:t>
      </w:r>
      <w:r>
        <w:rPr>
          <w:kern w:val="0"/>
        </w:rPr>
        <w:t>the poor quality</w:t>
      </w:r>
      <w:r w:rsidR="00427468">
        <w:rPr>
          <w:kern w:val="0"/>
        </w:rPr>
        <w:t xml:space="preserve"> of </w:t>
      </w:r>
      <w:r>
        <w:rPr>
          <w:kern w:val="0"/>
        </w:rPr>
        <w:t>included trials</w:t>
      </w:r>
      <w:r w:rsidR="005853A9">
        <w:rPr>
          <w:kern w:val="0"/>
        </w:rPr>
        <w:t xml:space="preserve"> and </w:t>
      </w:r>
      <w:r>
        <w:rPr>
          <w:kern w:val="0"/>
        </w:rPr>
        <w:t>unexplained variation between trials, the evidence in favour</w:t>
      </w:r>
      <w:r w:rsidR="00427468">
        <w:rPr>
          <w:kern w:val="0"/>
        </w:rPr>
        <w:t xml:space="preserve"> of </w:t>
      </w:r>
      <w:r>
        <w:rPr>
          <w:kern w:val="0"/>
        </w:rPr>
        <w:t>ca</w:t>
      </w:r>
      <w:r w:rsidR="00D5664A">
        <w:rPr>
          <w:kern w:val="0"/>
        </w:rPr>
        <w:t>USA</w:t>
      </w:r>
      <w:r>
        <w:rPr>
          <w:kern w:val="0"/>
        </w:rPr>
        <w:t>l association between relaxation</w:t>
      </w:r>
      <w:r w:rsidR="005853A9">
        <w:rPr>
          <w:kern w:val="0"/>
        </w:rPr>
        <w:t xml:space="preserve"> and </w:t>
      </w:r>
      <w:r>
        <w:rPr>
          <w:kern w:val="0"/>
        </w:rPr>
        <w:t>blood pressure reduction is weak. Some</w:t>
      </w:r>
      <w:r w:rsidR="00427468">
        <w:rPr>
          <w:kern w:val="0"/>
        </w:rPr>
        <w:t xml:space="preserve"> of </w:t>
      </w:r>
      <w:r>
        <w:rPr>
          <w:kern w:val="0"/>
        </w:rPr>
        <w:t>the apparent benefit</w:t>
      </w:r>
      <w:r w:rsidR="00427468">
        <w:rPr>
          <w:kern w:val="0"/>
        </w:rPr>
        <w:t xml:space="preserve"> of </w:t>
      </w:r>
      <w:r>
        <w:rPr>
          <w:kern w:val="0"/>
        </w:rPr>
        <w:t>relaxation was probably due to aspects</w:t>
      </w:r>
      <w:r w:rsidR="00427468">
        <w:rPr>
          <w:kern w:val="0"/>
        </w:rPr>
        <w:t xml:space="preserve"> of </w:t>
      </w:r>
      <w:r>
        <w:rPr>
          <w:kern w:val="0"/>
        </w:rPr>
        <w:t>treatment unrelated to relaxation.</w:t>
      </w:r>
    </w:p>
    <w:p w:rsidR="00365DE4" w:rsidRDefault="00365DE4" w:rsidP="00365DE4">
      <w:pPr>
        <w:pStyle w:val="a3"/>
        <w:rPr>
          <w:kern w:val="0"/>
        </w:rPr>
      </w:pPr>
      <w:r>
        <w:rPr>
          <w:kern w:val="0"/>
        </w:rPr>
        <w:t xml:space="preserve">Keywords: Biofeedback-Assisted Relaxation, Blood-Pressure Biofeedback, Borderline Essential Hypertension, Citation, Control, Coronary-Heart-Disease, </w:t>
      </w:r>
      <w:r>
        <w:rPr>
          <w:kern w:val="0"/>
        </w:rPr>
        <w:lastRenderedPageBreak/>
        <w:t xml:space="preserve">Density-Lipoprotein-Cholesterol, Efficacy, Embase, Individualized Stress Management, Interventions, </w:t>
      </w:r>
      <w:r w:rsidR="00D5664A">
        <w:rPr>
          <w:kern w:val="0"/>
        </w:rPr>
        <w:t>MEDLINE</w:t>
      </w:r>
      <w:r>
        <w:rPr>
          <w:kern w:val="0"/>
        </w:rPr>
        <w:t>, Meta-Analysis, Mild Essential-Hypertension, Older African-Americans, Outcomes, Pressure, Primary, Progressive Muscle-Relaxation, Randomized Controlled-Trial, Review, Science, Science Citation Index, Search Strategy, Strategy, Systematic Reviews</w:t>
      </w:r>
    </w:p>
    <w:p w:rsidR="00365DE4" w:rsidRDefault="00365DE4" w:rsidP="00365DE4">
      <w:pPr>
        <w:pStyle w:val="a3"/>
        <w:rPr>
          <w:kern w:val="0"/>
        </w:rPr>
      </w:pPr>
      <w:r>
        <w:rPr>
          <w:kern w:val="0"/>
        </w:rPr>
        <w:t>? Coghlan, J.A., Buchbinder, R., Green, S., Johnston, R.V.</w:t>
      </w:r>
      <w:r w:rsidR="005853A9">
        <w:rPr>
          <w:kern w:val="0"/>
        </w:rPr>
        <w:t xml:space="preserve"> and </w:t>
      </w:r>
      <w:r>
        <w:rPr>
          <w:kern w:val="0"/>
        </w:rPr>
        <w:t xml:space="preserve">Bell, S.N. (2008), Surgery for rotator cuff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CD005619.</w:t>
      </w:r>
    </w:p>
    <w:p w:rsidR="00365DE4" w:rsidRDefault="00365DE4" w:rsidP="00365DE4">
      <w:pPr>
        <w:pStyle w:val="a3"/>
        <w:rPr>
          <w:kern w:val="2"/>
        </w:rPr>
      </w:pPr>
      <w:r>
        <w:t xml:space="preserve">Full Text: </w:t>
      </w:r>
      <w:hyperlink r:id="rId533" w:history="1">
        <w:r>
          <w:rPr>
            <w:rStyle w:val="a5"/>
          </w:rPr>
          <w:t>2008\Coc Dat Sys Rev2008, CD005619.pdf</w:t>
        </w:r>
      </w:hyperlink>
    </w:p>
    <w:p w:rsidR="00365DE4" w:rsidRDefault="00365DE4" w:rsidP="00365DE4">
      <w:pPr>
        <w:pStyle w:val="a3"/>
        <w:rPr>
          <w:kern w:val="0"/>
        </w:rPr>
      </w:pPr>
      <w:r>
        <w:rPr>
          <w:kern w:val="0"/>
        </w:rPr>
        <w:t>Abstract: Background This review is one in a series</w:t>
      </w:r>
      <w:r w:rsidR="00427468">
        <w:rPr>
          <w:kern w:val="0"/>
        </w:rPr>
        <w:t xml:space="preserve"> of </w:t>
      </w:r>
      <w:r>
        <w:rPr>
          <w:kern w:val="0"/>
        </w:rPr>
        <w:t>Cochrane reviews</w:t>
      </w:r>
      <w:r w:rsidR="00427468">
        <w:rPr>
          <w:kern w:val="0"/>
        </w:rPr>
        <w:t xml:space="preserve"> of </w:t>
      </w:r>
      <w:r>
        <w:rPr>
          <w:kern w:val="0"/>
        </w:rPr>
        <w:t>interventions for shoulder disorders. Objectives To determine the effectiveness</w:t>
      </w:r>
      <w:r w:rsidR="005853A9">
        <w:rPr>
          <w:kern w:val="0"/>
        </w:rPr>
        <w:t xml:space="preserve"> and </w:t>
      </w:r>
      <w:r>
        <w:rPr>
          <w:kern w:val="0"/>
        </w:rPr>
        <w:t>safety</w:t>
      </w:r>
      <w:r w:rsidR="00427468">
        <w:rPr>
          <w:kern w:val="0"/>
        </w:rPr>
        <w:t xml:space="preserve"> of </w:t>
      </w:r>
      <w:r>
        <w:rPr>
          <w:kern w:val="0"/>
        </w:rPr>
        <w:t xml:space="preserve">surgery for rotator cuff disease. Search strategy We searched the Cochrane Controlled Trials Register, (The Cochrane Library Issue 1, 2006), </w:t>
      </w:r>
      <w:r w:rsidR="00D5664A">
        <w:rPr>
          <w:kern w:val="0"/>
        </w:rPr>
        <w:t>MEDLINE</w:t>
      </w:r>
      <w:r>
        <w:rPr>
          <w:kern w:val="0"/>
        </w:rPr>
        <w:t>, EMBASE, CINAHL, Sports Discus, Science Citation Index (</w:t>
      </w:r>
      <w:r w:rsidR="00D5664A">
        <w:rPr>
          <w:kern w:val="0"/>
        </w:rPr>
        <w:t>Web</w:t>
      </w:r>
      <w:r w:rsidR="00427468">
        <w:rPr>
          <w:kern w:val="0"/>
        </w:rPr>
        <w:t xml:space="preserve"> of </w:t>
      </w:r>
      <w:r w:rsidR="00D5664A">
        <w:rPr>
          <w:kern w:val="0"/>
        </w:rPr>
        <w:t>Science</w:t>
      </w:r>
      <w:r>
        <w:rPr>
          <w:kern w:val="0"/>
        </w:rPr>
        <w:t>) in March 2006 unrestricted by date or language. Selection criteria Only studies described as randomised or quasi-randomised clinical trials (RCTs) studying participants with rotator cuff disease</w:t>
      </w:r>
      <w:r w:rsidR="005853A9">
        <w:rPr>
          <w:kern w:val="0"/>
        </w:rPr>
        <w:t xml:space="preserve"> and </w:t>
      </w:r>
      <w:r>
        <w:rPr>
          <w:kern w:val="0"/>
        </w:rPr>
        <w:t>surgical interventions compared to placebo, no treatment, or any other treatment were included. Data collection</w:t>
      </w:r>
      <w:r w:rsidR="005853A9">
        <w:rPr>
          <w:kern w:val="0"/>
        </w:rPr>
        <w:t xml:space="preserve"> and </w:t>
      </w:r>
      <w:r>
        <w:rPr>
          <w:kern w:val="0"/>
        </w:rPr>
        <w:t>analysis Two independent review authors assessed methodological quality</w:t>
      </w:r>
      <w:r w:rsidR="00427468">
        <w:rPr>
          <w:kern w:val="0"/>
        </w:rPr>
        <w:t xml:space="preserve"> of </w:t>
      </w:r>
      <w:r>
        <w:rPr>
          <w:kern w:val="0"/>
        </w:rPr>
        <w:t>each included trial</w:t>
      </w:r>
      <w:r w:rsidR="005853A9">
        <w:rPr>
          <w:kern w:val="0"/>
        </w:rPr>
        <w:t xml:space="preserve"> and </w:t>
      </w:r>
      <w:r>
        <w:rPr>
          <w:kern w:val="0"/>
        </w:rPr>
        <w:t>extracted data. Main results We included 14 RCTs involving 829 participants. Eleven trials included participants with impingement, two trials included participants with rotator cuff tear</w:t>
      </w:r>
      <w:r w:rsidR="005853A9">
        <w:rPr>
          <w:kern w:val="0"/>
        </w:rPr>
        <w:t xml:space="preserve"> and </w:t>
      </w:r>
      <w:r>
        <w:rPr>
          <w:kern w:val="0"/>
        </w:rPr>
        <w:t>one trial included participants with calcific tendinitis. No study met all methodological quality criteria</w:t>
      </w:r>
      <w:r w:rsidR="005853A9">
        <w:rPr>
          <w:kern w:val="0"/>
        </w:rPr>
        <w:t xml:space="preserve"> and </w:t>
      </w:r>
      <w:r>
        <w:rPr>
          <w:kern w:val="0"/>
        </w:rPr>
        <w:t>minimal pooling could be performed. Three trials compared either open or arthroscopic subacromial decompression with active non operative treatment (exercise programme, physiotherapy regimen</w:t>
      </w:r>
      <w:r w:rsidR="00427468">
        <w:rPr>
          <w:kern w:val="0"/>
        </w:rPr>
        <w:t xml:space="preserve"> of </w:t>
      </w:r>
      <w:r>
        <w:rPr>
          <w:kern w:val="0"/>
        </w:rPr>
        <w:t>exercise</w:t>
      </w:r>
      <w:r w:rsidR="005853A9">
        <w:rPr>
          <w:kern w:val="0"/>
        </w:rPr>
        <w:t xml:space="preserve"> and </w:t>
      </w:r>
      <w:r>
        <w:rPr>
          <w:kern w:val="0"/>
        </w:rPr>
        <w:t>education, or graded physiotherapy strengthening program). No differences in outcome between these treatment groups were reported in any</w:t>
      </w:r>
      <w:r w:rsidR="00427468">
        <w:rPr>
          <w:kern w:val="0"/>
        </w:rPr>
        <w:t xml:space="preserve"> of </w:t>
      </w:r>
      <w:r>
        <w:rPr>
          <w:kern w:val="0"/>
        </w:rPr>
        <w:t>these trials. One trial which also included a placebo arm (12 sessions detuned soft laser) reported that the Neer score</w:t>
      </w:r>
      <w:r w:rsidR="00427468">
        <w:rPr>
          <w:kern w:val="0"/>
        </w:rPr>
        <w:t xml:space="preserve"> of </w:t>
      </w:r>
      <w:r>
        <w:rPr>
          <w:kern w:val="0"/>
        </w:rPr>
        <w:t>participants in both active treatment arms improved significantly more than those who received placebo at six months. Six trials that compared arthroscopic with open subacromial decompression reported no significant differences in outcome between groups at any time point although four trials reported a quicker recovery and/or return to work with arthroscopic decompression. Adverse events, which occurred in three trials</w:t>
      </w:r>
      <w:r w:rsidR="005853A9">
        <w:rPr>
          <w:kern w:val="0"/>
        </w:rPr>
        <w:t xml:space="preserve"> and </w:t>
      </w:r>
      <w:r>
        <w:rPr>
          <w:kern w:val="0"/>
        </w:rPr>
        <w:t>included infection, capsulitis, pain, deltoid atrophy,</w:t>
      </w:r>
      <w:r w:rsidR="005853A9">
        <w:rPr>
          <w:kern w:val="0"/>
        </w:rPr>
        <w:t xml:space="preserve"> and </w:t>
      </w:r>
      <w:r>
        <w:rPr>
          <w:kern w:val="0"/>
        </w:rPr>
        <w:t>reoperation, did not differ between surgical groups. Authors</w:t>
      </w:r>
      <w:r w:rsidR="0071223E">
        <w:rPr>
          <w:kern w:val="0"/>
        </w:rPr>
        <w:t>’</w:t>
      </w:r>
      <w:r>
        <w:rPr>
          <w:kern w:val="0"/>
        </w:rPr>
        <w:t xml:space="preserve"> conclusions Based upon our review</w:t>
      </w:r>
      <w:r w:rsidR="00427468">
        <w:rPr>
          <w:kern w:val="0"/>
        </w:rPr>
        <w:t xml:space="preserve"> of </w:t>
      </w:r>
      <w:r>
        <w:rPr>
          <w:kern w:val="0"/>
        </w:rPr>
        <w:t>14 trials examining heterogeneous interventions</w:t>
      </w:r>
      <w:r w:rsidR="005853A9">
        <w:rPr>
          <w:kern w:val="0"/>
        </w:rPr>
        <w:t xml:space="preserve"> and </w:t>
      </w:r>
      <w:r>
        <w:rPr>
          <w:kern w:val="0"/>
        </w:rPr>
        <w:t>all susceptible to bias, we cannot draw firm conclusions about the effectiveness or safety</w:t>
      </w:r>
      <w:r w:rsidR="00427468">
        <w:rPr>
          <w:kern w:val="0"/>
        </w:rPr>
        <w:t xml:space="preserve"> of </w:t>
      </w:r>
      <w:r>
        <w:rPr>
          <w:kern w:val="0"/>
        </w:rPr>
        <w:t>surgery for rotator cuff disease</w:t>
      </w:r>
      <w:r w:rsidR="00A37C1D">
        <w:rPr>
          <w:kern w:val="0"/>
        </w:rPr>
        <w:t>. The</w:t>
      </w:r>
      <w:r>
        <w:rPr>
          <w:kern w:val="0"/>
        </w:rPr>
        <w:t xml:space="preserve">re is “Silver” (www.cochranemsk.org) level evidence from three trials that there </w:t>
      </w:r>
      <w:r>
        <w:rPr>
          <w:kern w:val="0"/>
        </w:rPr>
        <w:lastRenderedPageBreak/>
        <w:t>are no significant differences in outcome between open or arthroscopic subacromial decompression</w:t>
      </w:r>
      <w:r w:rsidR="005853A9">
        <w:rPr>
          <w:kern w:val="0"/>
        </w:rPr>
        <w:t xml:space="preserve"> and </w:t>
      </w:r>
      <w:r>
        <w:rPr>
          <w:kern w:val="0"/>
        </w:rPr>
        <w:t>active non-operative treatment for impingement</w:t>
      </w:r>
      <w:r w:rsidR="00A37C1D">
        <w:rPr>
          <w:kern w:val="0"/>
        </w:rPr>
        <w:t>. The</w:t>
      </w:r>
      <w:r>
        <w:rPr>
          <w:kern w:val="0"/>
        </w:rPr>
        <w:t>re is also “Silver” level evidence from six trials that there are no significant differences in outcome between arthroscopic</w:t>
      </w:r>
      <w:r w:rsidR="005853A9">
        <w:rPr>
          <w:kern w:val="0"/>
        </w:rPr>
        <w:t xml:space="preserve"> and </w:t>
      </w:r>
      <w:r>
        <w:rPr>
          <w:kern w:val="0"/>
        </w:rPr>
        <w:t>open subacromial decompression although four trials reported earlier recovery with arthroscopic decompression.</w:t>
      </w:r>
    </w:p>
    <w:p w:rsidR="00365DE4" w:rsidRDefault="00365DE4" w:rsidP="00365DE4">
      <w:pPr>
        <w:pStyle w:val="a3"/>
        <w:rPr>
          <w:kern w:val="0"/>
        </w:rPr>
      </w:pPr>
      <w:r>
        <w:rPr>
          <w:kern w:val="0"/>
        </w:rPr>
        <w:t xml:space="preserve">Keywords: Arthroscopic Subacromial Decompression, Authors, Bias, Calcifying Tendinitis, Citation, Clinical Trials, Criteria, Double-Blind, Education, Effectiveness, Follow-up, General-Practice, Groups, Language, </w:t>
      </w:r>
      <w:r w:rsidR="00D5664A">
        <w:rPr>
          <w:kern w:val="0"/>
        </w:rPr>
        <w:t>MEDLINE</w:t>
      </w:r>
      <w:r>
        <w:rPr>
          <w:kern w:val="0"/>
        </w:rPr>
        <w:t xml:space="preserve">, Mini-Open Repair, Pain, Placebo, Randomized Controlled-Trial, Recovery, Review, Science, Science Citation Index, Shock-Wave Therapy, Shoulder Pain, Stage-Ii Impingement, Surgery,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Grover, D., Li, T.J.</w:t>
      </w:r>
      <w:r w:rsidR="005853A9">
        <w:rPr>
          <w:kern w:val="0"/>
        </w:rPr>
        <w:t xml:space="preserve"> and </w:t>
      </w:r>
      <w:r>
        <w:rPr>
          <w:kern w:val="0"/>
        </w:rPr>
        <w:t xml:space="preserve">Chong, C.C.W. (2008), Intravitreal steroids for macular edema in diabetes.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CD005656.</w:t>
      </w:r>
    </w:p>
    <w:p w:rsidR="00365DE4" w:rsidRDefault="00365DE4" w:rsidP="00365DE4">
      <w:pPr>
        <w:pStyle w:val="a3"/>
        <w:rPr>
          <w:kern w:val="2"/>
        </w:rPr>
      </w:pPr>
      <w:r>
        <w:t xml:space="preserve">Full Text: </w:t>
      </w:r>
      <w:hyperlink r:id="rId534" w:history="1">
        <w:r>
          <w:rPr>
            <w:rStyle w:val="a5"/>
          </w:rPr>
          <w:t>2008\Coc Dat Sys Rev2008, CD005656.pdf</w:t>
        </w:r>
      </w:hyperlink>
    </w:p>
    <w:p w:rsidR="00365DE4" w:rsidRDefault="00365DE4" w:rsidP="00365DE4">
      <w:pPr>
        <w:pStyle w:val="a3"/>
        <w:rPr>
          <w:kern w:val="0"/>
        </w:rPr>
      </w:pPr>
      <w:r>
        <w:rPr>
          <w:kern w:val="0"/>
        </w:rPr>
        <w:t>Abstract: Background Macular edema is secondary to leakage from diseased retinal capillaries</w:t>
      </w:r>
      <w:r w:rsidR="005853A9">
        <w:rPr>
          <w:kern w:val="0"/>
        </w:rPr>
        <w:t xml:space="preserve"> and </w:t>
      </w:r>
      <w:r>
        <w:rPr>
          <w:kern w:val="0"/>
        </w:rPr>
        <w:t>is an important cause</w:t>
      </w:r>
      <w:r w:rsidR="00427468">
        <w:rPr>
          <w:kern w:val="0"/>
        </w:rPr>
        <w:t xml:space="preserve"> of </w:t>
      </w:r>
      <w:r>
        <w:rPr>
          <w:kern w:val="0"/>
        </w:rPr>
        <w:t>poor central visual acuity in patients with diabetic retinopathy. Objectives This review evaluated the effectiveness</w:t>
      </w:r>
      <w:r w:rsidR="005853A9">
        <w:rPr>
          <w:kern w:val="0"/>
        </w:rPr>
        <w:t xml:space="preserve"> and </w:t>
      </w:r>
      <w:r>
        <w:rPr>
          <w:kern w:val="0"/>
        </w:rPr>
        <w:t>safety</w:t>
      </w:r>
      <w:r w:rsidR="00427468">
        <w:rPr>
          <w:kern w:val="0"/>
        </w:rPr>
        <w:t xml:space="preserve"> of </w:t>
      </w:r>
      <w:r>
        <w:rPr>
          <w:kern w:val="0"/>
        </w:rPr>
        <w:t xml:space="preserve">intraocular steroids in treating diabetic macular edema (DME). Search strategy We searched CENTRAL, </w:t>
      </w:r>
      <w:r w:rsidR="00D5664A">
        <w:rPr>
          <w:kern w:val="0"/>
        </w:rPr>
        <w:t>MEDLINE</w:t>
      </w:r>
      <w:r>
        <w:rPr>
          <w:kern w:val="0"/>
        </w:rPr>
        <w:t>, EMBASE in June 2007, reference lists, Science Citation Index</w:t>
      </w:r>
      <w:r w:rsidR="005853A9">
        <w:rPr>
          <w:kern w:val="0"/>
        </w:rPr>
        <w:t xml:space="preserve"> and </w:t>
      </w:r>
      <w:r>
        <w:rPr>
          <w:kern w:val="0"/>
        </w:rPr>
        <w:t>conference proceedings. Selection criteria We included randomized clinical trials (RCTs) evaluating any form</w:t>
      </w:r>
      <w:r w:rsidR="00427468">
        <w:rPr>
          <w:kern w:val="0"/>
        </w:rPr>
        <w:t xml:space="preserve"> of </w:t>
      </w:r>
      <w:r>
        <w:rPr>
          <w:kern w:val="0"/>
        </w:rPr>
        <w:t>intravitreal steroids for treating DME. Data collection</w:t>
      </w:r>
      <w:r w:rsidR="005853A9">
        <w:rPr>
          <w:kern w:val="0"/>
        </w:rPr>
        <w:t xml:space="preserve"> and </w:t>
      </w:r>
      <w:r>
        <w:rPr>
          <w:kern w:val="0"/>
        </w:rPr>
        <w:t>analysis Two authors independently assessed eligibility, methodological quality</w:t>
      </w:r>
      <w:r w:rsidR="005853A9">
        <w:rPr>
          <w:kern w:val="0"/>
        </w:rPr>
        <w:t xml:space="preserve"> and </w:t>
      </w:r>
      <w:r>
        <w:rPr>
          <w:kern w:val="0"/>
        </w:rPr>
        <w:t>extracted data. We performed meta-analyses when appropriate. Main results Seven studies, involving 632 DME eyes were included. Four examined the effectiveness</w:t>
      </w:r>
      <w:r w:rsidR="00427468">
        <w:rPr>
          <w:kern w:val="0"/>
        </w:rPr>
        <w:t xml:space="preserve"> of </w:t>
      </w:r>
      <w:r>
        <w:rPr>
          <w:kern w:val="0"/>
        </w:rPr>
        <w:t>intravitreal triamcinolone acetate injection (IVTA), three examined intravitreal steroids implantation (fluocinolone acetonide implant (FAI) or dexamethasone drug delivery system (DDS)). Two trials were at low risk</w:t>
      </w:r>
      <w:r w:rsidR="00427468">
        <w:rPr>
          <w:kern w:val="0"/>
        </w:rPr>
        <w:t xml:space="preserve"> of </w:t>
      </w:r>
      <w:r>
        <w:rPr>
          <w:kern w:val="0"/>
        </w:rPr>
        <w:t>bias, one was at median risk</w:t>
      </w:r>
      <w:r w:rsidR="00427468">
        <w:rPr>
          <w:kern w:val="0"/>
        </w:rPr>
        <w:t xml:space="preserve"> of </w:t>
      </w:r>
      <w:r>
        <w:rPr>
          <w:kern w:val="0"/>
        </w:rPr>
        <w:t>bias, two were at high risk</w:t>
      </w:r>
      <w:r w:rsidR="00427468">
        <w:rPr>
          <w:kern w:val="0"/>
        </w:rPr>
        <w:t xml:space="preserve"> of </w:t>
      </w:r>
      <w:r>
        <w:rPr>
          <w:kern w:val="0"/>
        </w:rPr>
        <w:t>bias</w:t>
      </w:r>
      <w:r w:rsidR="005853A9">
        <w:rPr>
          <w:kern w:val="0"/>
        </w:rPr>
        <w:t xml:space="preserve"> and </w:t>
      </w:r>
      <w:r>
        <w:rPr>
          <w:kern w:val="0"/>
        </w:rPr>
        <w:t>the remaining two were at unclear risk</w:t>
      </w:r>
      <w:r w:rsidR="00427468">
        <w:rPr>
          <w:kern w:val="0"/>
        </w:rPr>
        <w:t xml:space="preserve"> of </w:t>
      </w:r>
      <w:r>
        <w:rPr>
          <w:kern w:val="0"/>
        </w:rPr>
        <w:t>bias</w:t>
      </w:r>
      <w:r w:rsidR="00A37C1D">
        <w:rPr>
          <w:kern w:val="0"/>
        </w:rPr>
        <w:t>. The</w:t>
      </w:r>
      <w:r>
        <w:rPr>
          <w:kern w:val="0"/>
        </w:rPr>
        <w:t xml:space="preserve"> preponderance</w:t>
      </w:r>
      <w:r w:rsidR="00427468">
        <w:rPr>
          <w:kern w:val="0"/>
        </w:rPr>
        <w:t xml:space="preserve"> of </w:t>
      </w:r>
      <w:r>
        <w:rPr>
          <w:kern w:val="0"/>
        </w:rPr>
        <w:t>data suggest a beneficial effect from IVTA. Comparing IVTA with controls, the mean difference in visual acuity was -0.15 LogMAR (95% CI -0.21 to -0.09) at 3 months (based on three trials), -0.23 LogMAR (95% CI -0.33 to -0.13) at 6 months (two trials), -0.29 LogMAR (95% CI -0.47 to -0.11) at 9months (one trial),</w:t>
      </w:r>
      <w:r w:rsidR="005853A9">
        <w:rPr>
          <w:kern w:val="0"/>
        </w:rPr>
        <w:t xml:space="preserve"> and </w:t>
      </w:r>
      <w:r>
        <w:rPr>
          <w:kern w:val="0"/>
        </w:rPr>
        <w:t>-0.11 LogMAR (95% CI -0.20 to -0.03) at 24 months (one trial), all in favor</w:t>
      </w:r>
      <w:r w:rsidR="00427468">
        <w:rPr>
          <w:kern w:val="0"/>
        </w:rPr>
        <w:t xml:space="preserve"> of </w:t>
      </w:r>
      <w:r>
        <w:rPr>
          <w:kern w:val="0"/>
        </w:rPr>
        <w:t>IVTA</w:t>
      </w:r>
      <w:r w:rsidR="00A37C1D">
        <w:rPr>
          <w:kern w:val="0"/>
        </w:rPr>
        <w:t>. The</w:t>
      </w:r>
      <w:r>
        <w:rPr>
          <w:kern w:val="0"/>
        </w:rPr>
        <w:t xml:space="preserve"> relative risk (RR) for one or more lines improvement in visual acuity was 2.85 (95% CI 1.59 to 5.10) at 3 months (two trials), 1.25 (95% CI 0.66 to 2.38) at 6 months (one trial),</w:t>
      </w:r>
      <w:r w:rsidR="005853A9">
        <w:rPr>
          <w:kern w:val="0"/>
        </w:rPr>
        <w:t xml:space="preserve"> and </w:t>
      </w:r>
      <w:r>
        <w:rPr>
          <w:kern w:val="0"/>
        </w:rPr>
        <w:t>2.17 (95% CI 1.15 to 4.11) at 24 months (one trial), all in favor</w:t>
      </w:r>
      <w:r w:rsidR="00427468">
        <w:rPr>
          <w:kern w:val="0"/>
        </w:rPr>
        <w:t xml:space="preserve"> of </w:t>
      </w:r>
      <w:r>
        <w:rPr>
          <w:kern w:val="0"/>
        </w:rPr>
        <w:t>IVTA. We did not find evidence for three or more lines improvement in visual acuity</w:t>
      </w:r>
      <w:r w:rsidR="00A37C1D">
        <w:rPr>
          <w:kern w:val="0"/>
        </w:rPr>
        <w:t>. The</w:t>
      </w:r>
      <w:r>
        <w:rPr>
          <w:kern w:val="0"/>
        </w:rPr>
        <w:t xml:space="preserve"> </w:t>
      </w:r>
      <w:r>
        <w:rPr>
          <w:kern w:val="0"/>
        </w:rPr>
        <w:lastRenderedPageBreak/>
        <w:t>mean difference in retinal thickness was -131.97 um (95% CI -169.08 to -94.86) at 3 months (two trials), -135.00 um (95% CI -194.50 to -75.50) at 6 months (one trial), -133.00 um (95% CI -199.86 to -66.14) at 9 months (one trial),</w:t>
      </w:r>
      <w:r w:rsidR="005853A9">
        <w:rPr>
          <w:kern w:val="0"/>
        </w:rPr>
        <w:t xml:space="preserve"> and </w:t>
      </w:r>
      <w:r>
        <w:rPr>
          <w:kern w:val="0"/>
        </w:rPr>
        <w:t>-59.00 um (95% CI -103.50 to -14.50) at 24 months (one trial), all in favor</w:t>
      </w:r>
      <w:r w:rsidR="00427468">
        <w:rPr>
          <w:kern w:val="0"/>
        </w:rPr>
        <w:t xml:space="preserve"> of </w:t>
      </w:r>
      <w:r>
        <w:rPr>
          <w:kern w:val="0"/>
        </w:rPr>
        <w:t>IVTA</w:t>
      </w:r>
      <w:r w:rsidR="00A37C1D">
        <w:rPr>
          <w:kern w:val="0"/>
        </w:rPr>
        <w:t>. The</w:t>
      </w:r>
      <w:r>
        <w:rPr>
          <w:kern w:val="0"/>
        </w:rPr>
        <w:t xml:space="preserve"> RR for at least one grade macular edema resolution was 5.15 (95% CI 2.23 to 11.88) at 3 months in favor</w:t>
      </w:r>
      <w:r w:rsidR="00427468">
        <w:rPr>
          <w:kern w:val="0"/>
        </w:rPr>
        <w:t xml:space="preserve"> of </w:t>
      </w:r>
      <w:r>
        <w:rPr>
          <w:kern w:val="0"/>
        </w:rPr>
        <w:t>IVTA (one trial). Two trials reported improved clinical outcome when FAI was compared to standard</w:t>
      </w:r>
      <w:r w:rsidR="00427468">
        <w:rPr>
          <w:kern w:val="0"/>
        </w:rPr>
        <w:t xml:space="preserve"> of </w:t>
      </w:r>
      <w:r>
        <w:rPr>
          <w:kern w:val="0"/>
        </w:rPr>
        <w:t>care. Beneficial effect was also observed in one dexamethasone DDS trial. Increased intraocular pressure</w:t>
      </w:r>
      <w:r w:rsidR="005853A9">
        <w:rPr>
          <w:kern w:val="0"/>
        </w:rPr>
        <w:t xml:space="preserve"> and </w:t>
      </w:r>
      <w:r>
        <w:rPr>
          <w:kern w:val="0"/>
        </w:rPr>
        <w:t>cataract formation were side effects requiring monitoring</w:t>
      </w:r>
      <w:r w:rsidR="005853A9">
        <w:rPr>
          <w:kern w:val="0"/>
        </w:rPr>
        <w:t xml:space="preserve"> and </w:t>
      </w:r>
      <w:r>
        <w:rPr>
          <w:kern w:val="0"/>
        </w:rPr>
        <w:t>management. Authors</w:t>
      </w:r>
      <w:r w:rsidR="0071223E">
        <w:rPr>
          <w:kern w:val="0"/>
        </w:rPr>
        <w:t>’</w:t>
      </w:r>
      <w:r>
        <w:rPr>
          <w:kern w:val="0"/>
        </w:rPr>
        <w:t xml:space="preserve"> conclusions RCTs included in this review suggest that steroids placed inside the eye by either intravitreal injection or surgical implantation may improve visual outcomes in eyes with persistent or refractory DME. Since the studies in our report focused on chronic or refractory DME, the question arises whether intravitreal steroids therapy could be</w:t>
      </w:r>
      <w:r w:rsidR="00427468">
        <w:rPr>
          <w:kern w:val="0"/>
        </w:rPr>
        <w:t xml:space="preserve"> of </w:t>
      </w:r>
      <w:r>
        <w:rPr>
          <w:kern w:val="0"/>
        </w:rPr>
        <w:t>value in other stages</w:t>
      </w:r>
      <w:r w:rsidR="00427468">
        <w:rPr>
          <w:kern w:val="0"/>
        </w:rPr>
        <w:t xml:space="preserve"> of </w:t>
      </w:r>
      <w:r>
        <w:rPr>
          <w:kern w:val="0"/>
        </w:rPr>
        <w:t>DME, especially the earlier stages either as standalone therapy or in combination with other therapies, such as laser photocoagulation.</w:t>
      </w:r>
    </w:p>
    <w:p w:rsidR="00365DE4" w:rsidRDefault="00365DE4" w:rsidP="00365DE4">
      <w:pPr>
        <w:pStyle w:val="a3"/>
        <w:rPr>
          <w:kern w:val="0"/>
        </w:rPr>
      </w:pPr>
      <w:r>
        <w:rPr>
          <w:kern w:val="0"/>
        </w:rPr>
        <w:t xml:space="preserve">Keywords: Authors, Bias, Cataract, Chronic, Citation, Clinical Trials, Complications, Criteria, Diffuse, Effectiveness, High Risk, High-Risk, Injection, Management, </w:t>
      </w:r>
      <w:r w:rsidR="00D5664A">
        <w:rPr>
          <w:kern w:val="0"/>
        </w:rPr>
        <w:t>MEDLINE</w:t>
      </w:r>
      <w:r>
        <w:rPr>
          <w:kern w:val="0"/>
        </w:rPr>
        <w:t>, Outcomes, Prospective Controlled-Trial, Randomized Clinical Trials, Randomized Clinical-Trial, Resolution, Retinopathy, Review, Risk, Science, Science Citation Index, System, Therapy, Triamcinolone Acetonide</w:t>
      </w:r>
    </w:p>
    <w:p w:rsidR="00365DE4" w:rsidRDefault="00365DE4" w:rsidP="00365DE4">
      <w:pPr>
        <w:pStyle w:val="a3"/>
        <w:rPr>
          <w:kern w:val="0"/>
        </w:rPr>
      </w:pPr>
      <w:r>
        <w:rPr>
          <w:kern w:val="0"/>
        </w:rPr>
        <w:t>? Gur</w:t>
      </w:r>
      <w:r w:rsidR="00D5664A">
        <w:rPr>
          <w:kern w:val="0"/>
        </w:rPr>
        <w:t>USA</w:t>
      </w:r>
      <w:r>
        <w:rPr>
          <w:kern w:val="0"/>
        </w:rPr>
        <w:t>my, K.S., Junnarkar, S., Farouk, M.</w:t>
      </w:r>
      <w:r w:rsidR="005853A9">
        <w:rPr>
          <w:kern w:val="0"/>
        </w:rPr>
        <w:t xml:space="preserve"> and </w:t>
      </w:r>
      <w:r>
        <w:rPr>
          <w:kern w:val="0"/>
        </w:rPr>
        <w:t xml:space="preserve">Davidson, B.R. (2008), Day-case versus overnight stay in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CD006798.</w:t>
      </w:r>
    </w:p>
    <w:p w:rsidR="00365DE4" w:rsidRDefault="00365DE4" w:rsidP="00365DE4">
      <w:pPr>
        <w:pStyle w:val="a3"/>
        <w:rPr>
          <w:kern w:val="2"/>
        </w:rPr>
      </w:pPr>
      <w:r>
        <w:t xml:space="preserve">Full Text: </w:t>
      </w:r>
      <w:hyperlink r:id="rId535" w:history="1">
        <w:r>
          <w:rPr>
            <w:rStyle w:val="a5"/>
          </w:rPr>
          <w:t>2008\Coc Dat Sys Rev2008, CD006798.pdf</w:t>
        </w:r>
      </w:hyperlink>
    </w:p>
    <w:p w:rsidR="00365DE4" w:rsidRDefault="00365DE4" w:rsidP="00365DE4">
      <w:pPr>
        <w:pStyle w:val="a3"/>
        <w:rPr>
          <w:kern w:val="0"/>
        </w:rPr>
      </w:pPr>
      <w:r>
        <w:rPr>
          <w:kern w:val="0"/>
        </w:rPr>
        <w:t>Abstract: Background Although day-case elective laparoscopic cholecystectomy can save bed costs, its safety remains to be established. Objectives To assess the safety</w:t>
      </w:r>
      <w:r w:rsidR="005853A9">
        <w:rPr>
          <w:kern w:val="0"/>
        </w:rPr>
        <w:t xml:space="preserve"> and </w:t>
      </w:r>
      <w:r>
        <w:rPr>
          <w:kern w:val="0"/>
        </w:rPr>
        <w:t>benefits</w:t>
      </w:r>
      <w:r w:rsidR="00427468">
        <w:rPr>
          <w:kern w:val="0"/>
        </w:rPr>
        <w:t xml:space="preserve"> of </w:t>
      </w:r>
      <w:r>
        <w:rPr>
          <w:kern w:val="0"/>
        </w:rPr>
        <w:t>day-case surgery compared to overnight stay in patients undergoing elective laparoscopic cholecystectomy.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February 2007 for identifying randomised trials using search strategies. Selection criteria Only randomised clinical trials, irrespective</w:t>
      </w:r>
      <w:r w:rsidR="00427468">
        <w:rPr>
          <w:kern w:val="0"/>
        </w:rPr>
        <w:t xml:space="preserve"> of </w:t>
      </w:r>
      <w:r>
        <w:rPr>
          <w:kern w:val="0"/>
        </w:rPr>
        <w:t>language, blinding, or publication status, comparing day-case</w:t>
      </w:r>
      <w:r w:rsidR="005853A9">
        <w:rPr>
          <w:kern w:val="0"/>
        </w:rPr>
        <w:t xml:space="preserve"> and </w:t>
      </w:r>
      <w:r>
        <w:rPr>
          <w:kern w:val="0"/>
        </w:rPr>
        <w:t>overnight stay in elective laparoscopic cholecystectomy were considered for the review. Data collection</w:t>
      </w:r>
      <w:r w:rsidR="005853A9">
        <w:rPr>
          <w:kern w:val="0"/>
        </w:rPr>
        <w:t xml:space="preserve"> and </w:t>
      </w:r>
      <w:r>
        <w:rPr>
          <w:kern w:val="0"/>
        </w:rPr>
        <w:t>analysis We collected the data on the characteristics</w:t>
      </w:r>
      <w:r w:rsidR="00427468">
        <w:rPr>
          <w:kern w:val="0"/>
        </w:rPr>
        <w:t xml:space="preserve"> of </w:t>
      </w:r>
      <w:r>
        <w:rPr>
          <w:kern w:val="0"/>
        </w:rPr>
        <w:t>the trial, methodological quality</w:t>
      </w:r>
      <w:r w:rsidR="00427468">
        <w:rPr>
          <w:kern w:val="0"/>
        </w:rPr>
        <w:t xml:space="preserve"> of </w:t>
      </w:r>
      <w:r>
        <w:rPr>
          <w:kern w:val="0"/>
        </w:rPr>
        <w:t>the trials, morbidity, prolonged hospitalisation, re-admissions, pain</w:t>
      </w:r>
      <w:r w:rsidR="005853A9">
        <w:rPr>
          <w:kern w:val="0"/>
        </w:rPr>
        <w:t xml:space="preserve"> and </w:t>
      </w:r>
      <w:r>
        <w:rPr>
          <w:kern w:val="0"/>
        </w:rPr>
        <w:t>quality</w:t>
      </w:r>
      <w:r w:rsidR="00427468">
        <w:rPr>
          <w:kern w:val="0"/>
        </w:rPr>
        <w:t xml:space="preserve"> of </w:t>
      </w:r>
      <w:r>
        <w:rPr>
          <w:kern w:val="0"/>
        </w:rPr>
        <w:t>life from each trial. We analysed the data with both the fixed-effect</w:t>
      </w:r>
      <w:r w:rsidR="005853A9">
        <w:rPr>
          <w:kern w:val="0"/>
        </w:rPr>
        <w:t xml:space="preserve"> and </w:t>
      </w:r>
      <w:r>
        <w:rPr>
          <w:kern w:val="0"/>
        </w:rPr>
        <w:t xml:space="preserve">the random-effects models using RevMan Analysis. For each outcome we calculated the relative risk, weighted mean difference, or </w:t>
      </w:r>
      <w:r>
        <w:rPr>
          <w:kern w:val="0"/>
        </w:rPr>
        <w:lastRenderedPageBreak/>
        <w:t>standardised mean difference with 95% confidence intervals (CI) based on available case-analysis. Main results Five trials with 429 patients randomised to the day-case group (215)</w:t>
      </w:r>
      <w:r w:rsidR="005853A9">
        <w:rPr>
          <w:kern w:val="0"/>
        </w:rPr>
        <w:t xml:space="preserve"> and </w:t>
      </w:r>
      <w:r>
        <w:rPr>
          <w:kern w:val="0"/>
        </w:rPr>
        <w:t>overnight stay group (214) were included in the review. Four</w:t>
      </w:r>
      <w:r w:rsidR="00427468">
        <w:rPr>
          <w:kern w:val="0"/>
        </w:rPr>
        <w:t xml:space="preserve"> of </w:t>
      </w:r>
      <w:r>
        <w:rPr>
          <w:kern w:val="0"/>
        </w:rPr>
        <w:t>the five trials were</w:t>
      </w:r>
      <w:r w:rsidR="00427468">
        <w:rPr>
          <w:kern w:val="0"/>
        </w:rPr>
        <w:t xml:space="preserve"> of </w:t>
      </w:r>
      <w:r>
        <w:rPr>
          <w:kern w:val="0"/>
        </w:rPr>
        <w:t>low risk</w:t>
      </w:r>
      <w:r w:rsidR="00427468">
        <w:rPr>
          <w:kern w:val="0"/>
        </w:rPr>
        <w:t xml:space="preserve"> of </w:t>
      </w:r>
      <w:r>
        <w:rPr>
          <w:kern w:val="0"/>
        </w:rPr>
        <w:t>bias regarding randomisation</w:t>
      </w:r>
      <w:r w:rsidR="005853A9">
        <w:rPr>
          <w:kern w:val="0"/>
        </w:rPr>
        <w:t xml:space="preserve"> and </w:t>
      </w:r>
      <w:r>
        <w:rPr>
          <w:kern w:val="0"/>
        </w:rPr>
        <w:t>follow up, but all lacked blinding</w:t>
      </w:r>
      <w:r w:rsidR="00A37C1D">
        <w:rPr>
          <w:kern w:val="0"/>
        </w:rPr>
        <w:t>. The</w:t>
      </w:r>
      <w:r>
        <w:rPr>
          <w:kern w:val="0"/>
        </w:rPr>
        <w:t xml:space="preserve"> trials recruited 49%</w:t>
      </w:r>
      <w:r w:rsidR="00427468">
        <w:rPr>
          <w:kern w:val="0"/>
        </w:rPr>
        <w:t xml:space="preserve"> of </w:t>
      </w:r>
      <w:r>
        <w:rPr>
          <w:kern w:val="0"/>
        </w:rPr>
        <w:t>patients undergoing cholecystectomy</w:t>
      </w:r>
      <w:r w:rsidR="00A37C1D">
        <w:rPr>
          <w:kern w:val="0"/>
        </w:rPr>
        <w:t>. The</w:t>
      </w:r>
      <w:r>
        <w:rPr>
          <w:kern w:val="0"/>
        </w:rPr>
        <w:t xml:space="preserve"> selection criteria varied, but most included only patients without other diseases</w:t>
      </w:r>
      <w:r w:rsidR="00A37C1D">
        <w:rPr>
          <w:kern w:val="0"/>
        </w:rPr>
        <w:t>. The</w:t>
      </w:r>
      <w:r>
        <w:rPr>
          <w:kern w:val="0"/>
        </w:rPr>
        <w:t xml:space="preserve"> patients were living in easy reach</w:t>
      </w:r>
      <w:r w:rsidR="00427468">
        <w:rPr>
          <w:kern w:val="0"/>
        </w:rPr>
        <w:t xml:space="preserve"> of </w:t>
      </w:r>
      <w:r>
        <w:rPr>
          <w:kern w:val="0"/>
        </w:rPr>
        <w:t>the hospital</w:t>
      </w:r>
      <w:r w:rsidR="005853A9">
        <w:rPr>
          <w:kern w:val="0"/>
        </w:rPr>
        <w:t xml:space="preserve"> and </w:t>
      </w:r>
      <w:r>
        <w:rPr>
          <w:kern w:val="0"/>
        </w:rPr>
        <w:t>with a responsible adult to take care</w:t>
      </w:r>
      <w:r w:rsidR="00427468">
        <w:rPr>
          <w:kern w:val="0"/>
        </w:rPr>
        <w:t xml:space="preserve"> of </w:t>
      </w:r>
      <w:r>
        <w:rPr>
          <w:kern w:val="0"/>
        </w:rPr>
        <w:t>them. On the day</w:t>
      </w:r>
      <w:r w:rsidR="00427468">
        <w:rPr>
          <w:kern w:val="0"/>
        </w:rPr>
        <w:t xml:space="preserve"> of </w:t>
      </w:r>
      <w:r>
        <w:rPr>
          <w:kern w:val="0"/>
        </w:rPr>
        <w:t>surgery, 81%</w:t>
      </w:r>
      <w:r w:rsidR="00427468">
        <w:rPr>
          <w:kern w:val="0"/>
        </w:rPr>
        <w:t xml:space="preserve"> of </w:t>
      </w:r>
      <w:r>
        <w:rPr>
          <w:kern w:val="0"/>
        </w:rPr>
        <w:t>day-case patients were discharged</w:t>
      </w:r>
      <w:r w:rsidR="00A37C1D">
        <w:rPr>
          <w:kern w:val="0"/>
        </w:rPr>
        <w:t>. The</w:t>
      </w:r>
      <w:r>
        <w:rPr>
          <w:kern w:val="0"/>
        </w:rPr>
        <w:t xml:space="preserve"> drop-out rate after randomisation varied from 6.5% to 12.7%</w:t>
      </w:r>
      <w:r w:rsidR="00A37C1D">
        <w:rPr>
          <w:kern w:val="0"/>
        </w:rPr>
        <w:t>. The</w:t>
      </w:r>
      <w:r>
        <w:rPr>
          <w:kern w:val="0"/>
        </w:rPr>
        <w:t>re was no significant difference between day-case</w:t>
      </w:r>
      <w:r w:rsidR="005853A9">
        <w:rPr>
          <w:kern w:val="0"/>
        </w:rPr>
        <w:t xml:space="preserve"> and </w:t>
      </w:r>
      <w:r>
        <w:rPr>
          <w:kern w:val="0"/>
        </w:rPr>
        <w:t>overnight stay group as regards to morbidity, prolongation</w:t>
      </w:r>
      <w:r w:rsidR="00427468">
        <w:rPr>
          <w:kern w:val="0"/>
        </w:rPr>
        <w:t xml:space="preserve"> of </w:t>
      </w:r>
      <w:r>
        <w:rPr>
          <w:kern w:val="0"/>
        </w:rPr>
        <w:t>hospital stay, re-admission rates, pain, quality</w:t>
      </w:r>
      <w:r w:rsidR="00427468">
        <w:rPr>
          <w:kern w:val="0"/>
        </w:rPr>
        <w:t xml:space="preserve"> of </w:t>
      </w:r>
      <w:r>
        <w:rPr>
          <w:kern w:val="0"/>
        </w:rPr>
        <w:t>life, patient satisfaction</w:t>
      </w:r>
      <w:r w:rsidR="005853A9">
        <w:rPr>
          <w:kern w:val="0"/>
        </w:rPr>
        <w:t xml:space="preserve"> and </w:t>
      </w:r>
      <w:r>
        <w:rPr>
          <w:kern w:val="0"/>
        </w:rPr>
        <w:t>return to normal activity</w:t>
      </w:r>
      <w:r w:rsidR="005853A9">
        <w:rPr>
          <w:kern w:val="0"/>
        </w:rPr>
        <w:t xml:space="preserve"> and </w:t>
      </w:r>
      <w:r>
        <w:rPr>
          <w:kern w:val="0"/>
        </w:rPr>
        <w:t>work. Authors</w:t>
      </w:r>
      <w:r w:rsidR="0071223E">
        <w:rPr>
          <w:kern w:val="0"/>
        </w:rPr>
        <w:t>’</w:t>
      </w:r>
      <w:r>
        <w:rPr>
          <w:kern w:val="0"/>
        </w:rPr>
        <w:t xml:space="preserve"> conclusions Day-case elective laparoscopic cholecystectomy seems to be a safe</w:t>
      </w:r>
      <w:r w:rsidR="005853A9">
        <w:rPr>
          <w:kern w:val="0"/>
        </w:rPr>
        <w:t xml:space="preserve"> and </w:t>
      </w:r>
      <w:r>
        <w:rPr>
          <w:kern w:val="0"/>
        </w:rPr>
        <w:t>effective intervention in selected patients (with no or minimal systemic disease</w:t>
      </w:r>
      <w:r w:rsidR="005853A9">
        <w:rPr>
          <w:kern w:val="0"/>
        </w:rPr>
        <w:t xml:space="preserve"> and </w:t>
      </w:r>
      <w:r>
        <w:rPr>
          <w:kern w:val="0"/>
        </w:rPr>
        <w:t>within easy reach</w:t>
      </w:r>
      <w:r w:rsidR="00427468">
        <w:rPr>
          <w:kern w:val="0"/>
        </w:rPr>
        <w:t xml:space="preserve"> of </w:t>
      </w:r>
      <w:r>
        <w:rPr>
          <w:kern w:val="0"/>
        </w:rPr>
        <w:t>the hospital) with symptomatic gallstones. Because</w:t>
      </w:r>
      <w:r w:rsidR="00427468">
        <w:rPr>
          <w:kern w:val="0"/>
        </w:rPr>
        <w:t xml:space="preserve"> of </w:t>
      </w:r>
      <w:r>
        <w:rPr>
          <w:kern w:val="0"/>
        </w:rPr>
        <w:t>the decreased hospital stay, it is likely to save costs.</w:t>
      </w:r>
    </w:p>
    <w:p w:rsidR="00365DE4" w:rsidRDefault="00365DE4" w:rsidP="00365DE4">
      <w:pPr>
        <w:pStyle w:val="a3"/>
        <w:rPr>
          <w:kern w:val="0"/>
        </w:rPr>
      </w:pPr>
      <w:r>
        <w:rPr>
          <w:kern w:val="0"/>
        </w:rPr>
        <w:t xml:space="preserve">Keywords: Authors, Bias, Characteristics, Citation, Clinical Trials, Clinical-Trial, Complications, Costs, Criteria, Day-Care, Intervention, Language, </w:t>
      </w:r>
      <w:r w:rsidR="00D5664A">
        <w:rPr>
          <w:kern w:val="0"/>
        </w:rPr>
        <w:t>MEDLINE</w:t>
      </w:r>
      <w:r>
        <w:rPr>
          <w:kern w:val="0"/>
        </w:rPr>
        <w:t>, Metaanalysis, Models, Outpatient, Pain, Population, Prevalence, Prospective Randomized-Trial, Publication, Quality, Review, Risk, Science, Science Citation Index, Selection, Surgery</w:t>
      </w:r>
    </w:p>
    <w:p w:rsidR="00365DE4" w:rsidRDefault="00365DE4" w:rsidP="00365DE4">
      <w:pPr>
        <w:pStyle w:val="a3"/>
        <w:rPr>
          <w:kern w:val="2"/>
        </w:rPr>
      </w:pPr>
      <w:r>
        <w:t>? Hackett, M.L., Anderson, C.S., House, A.</w:t>
      </w:r>
      <w:r w:rsidR="005853A9">
        <w:t xml:space="preserve"> and </w:t>
      </w:r>
      <w:r>
        <w:t xml:space="preserve">Halteh, C. (2008), Interventions for preventing depression after stroke. </w:t>
      </w:r>
      <w:r>
        <w:rPr>
          <w:i/>
          <w:iCs/>
        </w:rPr>
        <w:t>Cochrane Database</w:t>
      </w:r>
      <w:r w:rsidR="00427468">
        <w:rPr>
          <w:i/>
          <w:iCs/>
        </w:rPr>
        <w:t xml:space="preserve"> of </w:t>
      </w:r>
      <w:r>
        <w:rPr>
          <w:i/>
          <w:iCs/>
        </w:rPr>
        <w:t>Systematic Reviews</w:t>
      </w:r>
      <w:r>
        <w:t xml:space="preserve">, </w:t>
      </w:r>
      <w:r>
        <w:rPr>
          <w:b/>
          <w:bCs/>
        </w:rPr>
        <w:t>3</w:t>
      </w:r>
      <w:r>
        <w:t>, Article Number: CD003689.</w:t>
      </w:r>
    </w:p>
    <w:p w:rsidR="00365DE4" w:rsidRDefault="00365DE4" w:rsidP="00365DE4">
      <w:pPr>
        <w:pStyle w:val="a3"/>
      </w:pPr>
      <w:r>
        <w:t xml:space="preserve">Full Text: </w:t>
      </w:r>
      <w:hyperlink r:id="rId536" w:history="1">
        <w:r>
          <w:rPr>
            <w:rStyle w:val="a5"/>
          </w:rPr>
          <w:t>2008\Coc Dat Sys Rev2008, CD003689.pdf</w:t>
        </w:r>
      </w:hyperlink>
    </w:p>
    <w:p w:rsidR="00365DE4" w:rsidRDefault="00365DE4" w:rsidP="00365DE4">
      <w:pPr>
        <w:pStyle w:val="a3"/>
      </w:pPr>
      <w:r>
        <w:t>Abstract: Background Depression is an important consequence</w:t>
      </w:r>
      <w:r w:rsidR="00427468">
        <w:t xml:space="preserve"> of </w:t>
      </w:r>
      <w:r>
        <w:t>stroke that impacts on recovery yet often is not detected or is inadequately treated. Objectives To determine if pharmaceutical or psychological interventions can prevent depression</w:t>
      </w:r>
      <w:r w:rsidR="005853A9">
        <w:t xml:space="preserve"> and </w:t>
      </w:r>
      <w:r>
        <w:t>improve physical</w:t>
      </w:r>
      <w:r w:rsidR="005853A9">
        <w:t xml:space="preserve"> and </w:t>
      </w:r>
      <w:r>
        <w:t>psychological outcomes in patients with stroke. Search strategy We searched the Trials Registers</w:t>
      </w:r>
      <w:r w:rsidR="00427468">
        <w:t xml:space="preserve"> of </w:t>
      </w:r>
      <w:r>
        <w:t>the Cochrane Stroke Group (October 2007)</w:t>
      </w:r>
      <w:r w:rsidR="005853A9">
        <w:t xml:space="preserve"> and </w:t>
      </w:r>
      <w:r>
        <w:t>the Cochrane Depression Anxiety</w:t>
      </w:r>
      <w:r w:rsidR="005853A9">
        <w:t xml:space="preserve"> and </w:t>
      </w:r>
      <w:r>
        <w:t>Neurosis Group (February 2008). In addition, we searched the Cochrane Central Register</w:t>
      </w:r>
      <w:r w:rsidR="00427468">
        <w:t xml:space="preserve"> of </w:t>
      </w:r>
      <w:r>
        <w:t xml:space="preserve">Controlled Trials (The Cochrane Library, Issue 1, 2008), </w:t>
      </w:r>
      <w:r w:rsidR="00D5664A">
        <w:t>MEDLINE</w:t>
      </w:r>
      <w:r>
        <w:t xml:space="preserve"> (1966 to May 2006), EMBASE (1980 to May 2006), CINAHL (1982 to May 2006), PsycINFO (1967 to May 2006), Applied Science</w:t>
      </w:r>
      <w:r w:rsidR="005853A9">
        <w:t xml:space="preserve"> and </w:t>
      </w:r>
      <w:r>
        <w:t>Technology Plus (1986 to May 2006), Arts</w:t>
      </w:r>
      <w:r w:rsidR="005853A9">
        <w:t xml:space="preserve"> and </w:t>
      </w:r>
      <w:r>
        <w:t xml:space="preserve">Humanities Index (1991 to September 2002), Biological Abstracts (1969 to September 2002), BIOSIS Previews (2002 to May 2006), General Science Plus (1994 to September 2002), Science Citation Index (1992 to May 2006), Social Sciences Citation Index (1991 to May 2006), SocioFile (1974 to May 2006) ISI </w:t>
      </w:r>
      <w:r w:rsidR="00D5664A">
        <w:t>Web</w:t>
      </w:r>
      <w:r w:rsidR="00427468">
        <w:t xml:space="preserve"> of </w:t>
      </w:r>
      <w:r w:rsidR="00D5664A">
        <w:t>Science</w:t>
      </w:r>
      <w:r>
        <w:t xml:space="preserve"> (2002 to February 2008), </w:t>
      </w:r>
      <w:r>
        <w:lastRenderedPageBreak/>
        <w:t>reference lists, trial registers, conference proceedings</w:t>
      </w:r>
      <w:r w:rsidR="005853A9">
        <w:t xml:space="preserve"> and </w:t>
      </w:r>
      <w:r>
        <w:t>dissertation abstracts,</w:t>
      </w:r>
      <w:r w:rsidR="005853A9">
        <w:t xml:space="preserve"> and </w:t>
      </w:r>
      <w:r>
        <w:t>contacted authors, researchers</w:t>
      </w:r>
      <w:r w:rsidR="005853A9">
        <w:t xml:space="preserve"> and </w:t>
      </w:r>
      <w:r>
        <w:t>pharmaceutical companies. Selection criteria Randomised controlled trials comparing pharmaceutical agents with placebo, or psychotherapy against standard care (or attention control) to prevent depression in patients with stroke. Data collection</w:t>
      </w:r>
      <w:r w:rsidR="005853A9">
        <w:t xml:space="preserve"> and </w:t>
      </w:r>
      <w:r>
        <w:t>analysis Two review authors independently selected trials, extracted data</w:t>
      </w:r>
      <w:r w:rsidR="005853A9">
        <w:t xml:space="preserve"> and </w:t>
      </w:r>
      <w:r>
        <w:t>assessed trial quality. Primary analyses were the proportion</w:t>
      </w:r>
      <w:r w:rsidR="00427468">
        <w:t xml:space="preserve"> of </w:t>
      </w:r>
      <w:r>
        <w:t>patients who met the standard diagnostic criteria for depression applied in the trials at the end</w:t>
      </w:r>
      <w:r w:rsidR="00427468">
        <w:t xml:space="preserve"> of </w:t>
      </w:r>
      <w:r>
        <w:t>follow up. Secondary outcomes included depression scores on standard scales, physical function, death, recurrent stroke</w:t>
      </w:r>
      <w:r w:rsidR="005853A9">
        <w:t xml:space="preserve"> and </w:t>
      </w:r>
      <w:r>
        <w:t>adverse effects. Main results Fourteen trials involving 1515 participants were included. Data were available for 10 pharmaceutical trials (12 comparisons)</w:t>
      </w:r>
      <w:r w:rsidR="005853A9">
        <w:t xml:space="preserve"> and </w:t>
      </w:r>
      <w:r>
        <w:t>four psychotherapy trials</w:t>
      </w:r>
      <w:r w:rsidR="00A37C1D">
        <w:t>. The</w:t>
      </w:r>
      <w:r>
        <w:t xml:space="preserve"> time from stroke to entry ranged from a few hours to seven months, but most patients were recruited within one month</w:t>
      </w:r>
      <w:r w:rsidR="00427468">
        <w:t xml:space="preserve"> of </w:t>
      </w:r>
      <w:r>
        <w:t>acute stroke</w:t>
      </w:r>
      <w:r w:rsidR="00A37C1D">
        <w:t>. The</w:t>
      </w:r>
      <w:r>
        <w:t xml:space="preserve"> duration</w:t>
      </w:r>
      <w:r w:rsidR="00427468">
        <w:t xml:space="preserve"> of </w:t>
      </w:r>
      <w:r>
        <w:t>treatment ranged from two weeks to one year</w:t>
      </w:r>
      <w:r w:rsidR="00A37C1D">
        <w:t>. The</w:t>
      </w:r>
      <w:r>
        <w:t>re was no clear effect</w:t>
      </w:r>
      <w:r w:rsidR="00427468">
        <w:t xml:space="preserve"> of </w:t>
      </w:r>
      <w:r>
        <w:t>pharmacological therapy on the prevention</w:t>
      </w:r>
      <w:r w:rsidR="00427468">
        <w:t xml:space="preserve"> of </w:t>
      </w:r>
      <w:r>
        <w:t>depression or other endpoints. A significant improvement in mood</w:t>
      </w:r>
      <w:r w:rsidR="005853A9">
        <w:t xml:space="preserve"> and </w:t>
      </w:r>
      <w:r>
        <w:t>the prevention</w:t>
      </w:r>
      <w:r w:rsidR="00427468">
        <w:t xml:space="preserve"> of </w:t>
      </w:r>
      <w:r>
        <w:t>depression was evident for psychotherapy, but the treatment effects were small. Authors</w:t>
      </w:r>
      <w:r w:rsidR="0071223E">
        <w:t>’</w:t>
      </w:r>
      <w:r>
        <w:t xml:space="preserve"> conclusions A small but significant effect</w:t>
      </w:r>
      <w:r w:rsidR="00427468">
        <w:t xml:space="preserve"> of </w:t>
      </w:r>
      <w:r>
        <w:t>psychotherapy on improving mood</w:t>
      </w:r>
      <w:r w:rsidR="005853A9">
        <w:t xml:space="preserve"> and </w:t>
      </w:r>
      <w:r>
        <w:t>preventing depression was identified. More evidence is required before recommendations can be made about the routine use</w:t>
      </w:r>
      <w:r w:rsidR="00427468">
        <w:t xml:space="preserve"> of </w:t>
      </w:r>
      <w:r>
        <w:t>such treatments after stroke.</w:t>
      </w:r>
    </w:p>
    <w:p w:rsidR="00365DE4" w:rsidRDefault="00365DE4" w:rsidP="00365DE4">
      <w:pPr>
        <w:pStyle w:val="a3"/>
      </w:pPr>
      <w:r>
        <w:t>Keywords: Adverse Effects, Analyses, Analysis, Care, Collection, Control, Criteria, Data, Death, Depression, Diagnostic Criteria, Duration, Evidence, Follow-Up, Function, Impacts, Improvement, Interventions</w:t>
      </w:r>
      <w:r w:rsidR="00D5664A">
        <w:t>, ISI,</w:t>
      </w:r>
      <w:r>
        <w:t xml:space="preserve"> ISI </w:t>
      </w:r>
      <w:r w:rsidR="00D5664A">
        <w:t>Web</w:t>
      </w:r>
      <w:r w:rsidR="00427468">
        <w:t xml:space="preserve"> of </w:t>
      </w:r>
      <w:r w:rsidR="00D5664A">
        <w:t>Science</w:t>
      </w:r>
      <w:r>
        <w:t xml:space="preserve">, </w:t>
      </w:r>
      <w:r w:rsidR="00D5664A">
        <w:t>MEDLINE</w:t>
      </w:r>
      <w:r>
        <w:t xml:space="preserve">, Outcomes, Patients, Pharmaceutical Agents, Physical, Placebo, Prevention, Psychotherapy, Psycinfo, Quality, Recommendations, Recovery, Recurrent, Review, Scales, Science Citation Index, Small, Standard, Stroke, Therapy, Treatment, Trial, </w:t>
      </w:r>
      <w:r w:rsidR="00D5664A">
        <w:t>Web</w:t>
      </w:r>
      <w:r w:rsidR="00427468">
        <w:t xml:space="preserve"> of </w:t>
      </w:r>
      <w:r w:rsidR="00D5664A">
        <w:t>Science</w:t>
      </w:r>
    </w:p>
    <w:p w:rsidR="00365DE4" w:rsidRDefault="00365DE4" w:rsidP="00365DE4">
      <w:pPr>
        <w:pStyle w:val="a3"/>
        <w:rPr>
          <w:kern w:val="0"/>
        </w:rPr>
      </w:pPr>
      <w:r>
        <w:rPr>
          <w:kern w:val="0"/>
        </w:rPr>
        <w:t>? Hart, M.G., Grant, R., Garside, R., Rogers, G., Somerville, M.</w:t>
      </w:r>
      <w:r w:rsidR="005853A9">
        <w:rPr>
          <w:kern w:val="0"/>
        </w:rPr>
        <w:t xml:space="preserve"> and </w:t>
      </w:r>
      <w:r>
        <w:rPr>
          <w:kern w:val="0"/>
        </w:rPr>
        <w:t xml:space="preserve">Stein, K. (2008), Chemotherapeutic wafers for high grade glioma.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CD007294.</w:t>
      </w:r>
    </w:p>
    <w:p w:rsidR="00365DE4" w:rsidRDefault="00365DE4" w:rsidP="00365DE4">
      <w:pPr>
        <w:pStyle w:val="a3"/>
        <w:rPr>
          <w:kern w:val="2"/>
        </w:rPr>
      </w:pPr>
      <w:r>
        <w:t xml:space="preserve">Full Text: </w:t>
      </w:r>
      <w:hyperlink r:id="rId537" w:history="1">
        <w:r>
          <w:rPr>
            <w:rStyle w:val="a5"/>
          </w:rPr>
          <w:t>2008\Coc Dat Sys Rev2008, CD007294.pdf</w:t>
        </w:r>
      </w:hyperlink>
    </w:p>
    <w:p w:rsidR="00365DE4" w:rsidRDefault="00365DE4" w:rsidP="00365DE4">
      <w:pPr>
        <w:pStyle w:val="a3"/>
        <w:rPr>
          <w:kern w:val="0"/>
        </w:rPr>
      </w:pPr>
      <w:r>
        <w:rPr>
          <w:kern w:val="0"/>
        </w:rPr>
        <w:t>Abstract: Background Standard treatment for high grade glioma (HGG) usually entails biopsy or surgical resection where possible followed by radiotherapy. Systemic chemotherapy is usually only given in selected cases</w:t>
      </w:r>
      <w:r w:rsidR="005853A9">
        <w:rPr>
          <w:kern w:val="0"/>
        </w:rPr>
        <w:t xml:space="preserve"> and </w:t>
      </w:r>
      <w:r>
        <w:rPr>
          <w:kern w:val="0"/>
        </w:rPr>
        <w:t>its use is often limited by side effects. Implanting wafers impregnated with chemotherapy agents into the resection cavity represents a novel means</w:t>
      </w:r>
      <w:r w:rsidR="00427468">
        <w:rPr>
          <w:kern w:val="0"/>
        </w:rPr>
        <w:t xml:space="preserve"> of </w:t>
      </w:r>
      <w:r>
        <w:rPr>
          <w:kern w:val="0"/>
        </w:rPr>
        <w:t>delivering drugs to the central nervous system (CNS) with fewer side effects. It is not clear how effective this modality is or whether it should be recommended as part</w:t>
      </w:r>
      <w:r w:rsidR="00427468">
        <w:rPr>
          <w:kern w:val="0"/>
        </w:rPr>
        <w:t xml:space="preserve"> of </w:t>
      </w:r>
      <w:r>
        <w:rPr>
          <w:kern w:val="0"/>
        </w:rPr>
        <w:t xml:space="preserve">standard care for HGG. Objectives To assess whether chemotherapeutic wafers have any advantage over conventional </w:t>
      </w:r>
      <w:r>
        <w:rPr>
          <w:kern w:val="0"/>
        </w:rPr>
        <w:lastRenderedPageBreak/>
        <w:t>therapy for HGG. Search strategy The following databases were searched: The Cochrane Central Register</w:t>
      </w:r>
      <w:r w:rsidR="00427468">
        <w:rPr>
          <w:kern w:val="0"/>
        </w:rPr>
        <w:t xml:space="preserve"> of </w:t>
      </w:r>
      <w:r>
        <w:rPr>
          <w:kern w:val="0"/>
        </w:rPr>
        <w:t xml:space="preserve">Controlled Trials (CENTRAL), Issue 2, 2007, </w:t>
      </w:r>
      <w:r w:rsidR="00D5664A">
        <w:rPr>
          <w:kern w:val="0"/>
        </w:rPr>
        <w:t>MEDLINE</w:t>
      </w:r>
      <w:r>
        <w:rPr>
          <w:kern w:val="0"/>
        </w:rPr>
        <w:t>, EMBASE, SCIENCE CITATION INDEX, Physician Data Query</w:t>
      </w:r>
      <w:r w:rsidR="005853A9">
        <w:rPr>
          <w:kern w:val="0"/>
        </w:rPr>
        <w:t xml:space="preserve"> and </w:t>
      </w:r>
      <w:r>
        <w:rPr>
          <w:kern w:val="0"/>
        </w:rPr>
        <w:t>the meta-Register</w:t>
      </w:r>
      <w:r w:rsidR="00427468">
        <w:rPr>
          <w:kern w:val="0"/>
        </w:rPr>
        <w:t xml:space="preserve"> of </w:t>
      </w:r>
      <w:r>
        <w:rPr>
          <w:kern w:val="0"/>
        </w:rPr>
        <w:t>Controlled Trials. Reference lists</w:t>
      </w:r>
      <w:r w:rsidR="00427468">
        <w:rPr>
          <w:kern w:val="0"/>
        </w:rPr>
        <w:t xml:space="preserve"> of </w:t>
      </w:r>
      <w:r>
        <w:rPr>
          <w:kern w:val="0"/>
        </w:rPr>
        <w:t>all identified studies were searched</w:t>
      </w:r>
      <w:r w:rsidR="00A37C1D">
        <w:rPr>
          <w:kern w:val="0"/>
        </w:rPr>
        <w:t>. The</w:t>
      </w:r>
      <w:r>
        <w:rPr>
          <w:kern w:val="0"/>
        </w:rPr>
        <w:t xml:space="preserve"> Journal</w:t>
      </w:r>
      <w:r w:rsidR="00427468">
        <w:rPr>
          <w:kern w:val="0"/>
        </w:rPr>
        <w:t xml:space="preserve"> of </w:t>
      </w:r>
      <w:r>
        <w:rPr>
          <w:kern w:val="0"/>
        </w:rPr>
        <w:t>Neuro-Oncology was hand searched from 1999 to 2007, including all conference abstracts. Neuro-oncologists were contacted regarding ongoing</w:t>
      </w:r>
      <w:r w:rsidR="005853A9">
        <w:rPr>
          <w:kern w:val="0"/>
        </w:rPr>
        <w:t xml:space="preserve"> and </w:t>
      </w:r>
      <w:r>
        <w:rPr>
          <w:kern w:val="0"/>
        </w:rPr>
        <w:t>unpublished trials. Selection criteria Patients included those</w:t>
      </w:r>
      <w:r w:rsidR="00427468">
        <w:rPr>
          <w:kern w:val="0"/>
        </w:rPr>
        <w:t xml:space="preserve"> of </w:t>
      </w:r>
      <w:r>
        <w:rPr>
          <w:kern w:val="0"/>
        </w:rPr>
        <w:t>all ages with a presumed diagnosis</w:t>
      </w:r>
      <w:r w:rsidR="00427468">
        <w:rPr>
          <w:kern w:val="0"/>
        </w:rPr>
        <w:t xml:space="preserve"> of </w:t>
      </w:r>
      <w:r>
        <w:rPr>
          <w:kern w:val="0"/>
        </w:rPr>
        <w:t>malignant glioma from clinical examination</w:t>
      </w:r>
      <w:r w:rsidR="005853A9">
        <w:rPr>
          <w:kern w:val="0"/>
        </w:rPr>
        <w:t xml:space="preserve"> and </w:t>
      </w:r>
      <w:r>
        <w:rPr>
          <w:kern w:val="0"/>
        </w:rPr>
        <w:t>radiology. Interventions included insertion</w:t>
      </w:r>
      <w:r w:rsidR="00427468">
        <w:rPr>
          <w:kern w:val="0"/>
        </w:rPr>
        <w:t xml:space="preserve"> of </w:t>
      </w:r>
      <w:r>
        <w:rPr>
          <w:kern w:val="0"/>
        </w:rPr>
        <w:t>chemotherapeutic wafers to the resection cavity at either primary surgery or for recurrent disease. Included studies had to be randomised controlled trials (RCTs). Data collection</w:t>
      </w:r>
      <w:r w:rsidR="005853A9">
        <w:rPr>
          <w:kern w:val="0"/>
        </w:rPr>
        <w:t xml:space="preserve"> and </w:t>
      </w:r>
      <w:r>
        <w:rPr>
          <w:kern w:val="0"/>
        </w:rPr>
        <w:t>analysis Quality assessment</w:t>
      </w:r>
      <w:r w:rsidR="005853A9">
        <w:rPr>
          <w:kern w:val="0"/>
        </w:rPr>
        <w:t xml:space="preserve"> and </w:t>
      </w:r>
      <w:r>
        <w:rPr>
          <w:kern w:val="0"/>
        </w:rPr>
        <w:t>data extraction were undertaken by two review authors. Outcome measures included survival, time to progression, quality</w:t>
      </w:r>
      <w:r w:rsidR="00427468">
        <w:rPr>
          <w:kern w:val="0"/>
        </w:rPr>
        <w:t xml:space="preserve"> of </w:t>
      </w:r>
      <w:r>
        <w:rPr>
          <w:kern w:val="0"/>
        </w:rPr>
        <w:t>life (QOL)</w:t>
      </w:r>
      <w:r w:rsidR="005853A9">
        <w:rPr>
          <w:kern w:val="0"/>
        </w:rPr>
        <w:t xml:space="preserve"> and </w:t>
      </w:r>
      <w:r>
        <w:rPr>
          <w:kern w:val="0"/>
        </w:rPr>
        <w:t>adverse events. Main results In primary disease two RCTs assessing the effect</w:t>
      </w:r>
      <w:r w:rsidR="00427468">
        <w:rPr>
          <w:kern w:val="0"/>
        </w:rPr>
        <w:t xml:space="preserve"> of </w:t>
      </w:r>
      <w:r>
        <w:rPr>
          <w:kern w:val="0"/>
        </w:rPr>
        <w:t>carmustine impregnated wafers (Gliadel)</w:t>
      </w:r>
      <w:r w:rsidR="005853A9">
        <w:rPr>
          <w:kern w:val="0"/>
        </w:rPr>
        <w:t xml:space="preserve"> and </w:t>
      </w:r>
      <w:r>
        <w:rPr>
          <w:kern w:val="0"/>
        </w:rPr>
        <w:t>enrolling a total</w:t>
      </w:r>
      <w:r w:rsidR="00427468">
        <w:rPr>
          <w:kern w:val="0"/>
        </w:rPr>
        <w:t xml:space="preserve"> of </w:t>
      </w:r>
      <w:r>
        <w:rPr>
          <w:kern w:val="0"/>
        </w:rPr>
        <w:t>272 participants were identified. Survival was increased (hazard ratio (HR) 0.65 confidence interval (CI) 0.48 to 0.86 p = 0.003). In recurrent disease a single RCT was included assessing the effect</w:t>
      </w:r>
      <w:r w:rsidR="00427468">
        <w:rPr>
          <w:kern w:val="0"/>
        </w:rPr>
        <w:t xml:space="preserve"> of </w:t>
      </w:r>
      <w:r>
        <w:rPr>
          <w:kern w:val="0"/>
        </w:rPr>
        <w:t>Gliadel</w:t>
      </w:r>
      <w:r w:rsidR="005853A9">
        <w:rPr>
          <w:kern w:val="0"/>
        </w:rPr>
        <w:t xml:space="preserve"> and </w:t>
      </w:r>
      <w:r>
        <w:rPr>
          <w:kern w:val="0"/>
        </w:rPr>
        <w:t>enrolling 222 participants. It did not demonstrate a significant survival increase (HR 0.83 CI 0.62 to 1.10 p = 0.2)</w:t>
      </w:r>
      <w:r w:rsidR="00A37C1D">
        <w:rPr>
          <w:kern w:val="0"/>
        </w:rPr>
        <w:t>. The</w:t>
      </w:r>
      <w:r>
        <w:rPr>
          <w:kern w:val="0"/>
        </w:rPr>
        <w:t>re was no suitable data for time to progression or QOL. Adverse events were not more common in either arm,</w:t>
      </w:r>
      <w:r w:rsidR="005853A9">
        <w:rPr>
          <w:kern w:val="0"/>
        </w:rPr>
        <w:t xml:space="preserve"> and </w:t>
      </w:r>
      <w:r>
        <w:rPr>
          <w:kern w:val="0"/>
        </w:rPr>
        <w:t>were presented in a descriptive fashion. Authors</w:t>
      </w:r>
      <w:r w:rsidR="0071223E">
        <w:rPr>
          <w:kern w:val="0"/>
        </w:rPr>
        <w:t>’</w:t>
      </w:r>
      <w:r>
        <w:rPr>
          <w:kern w:val="0"/>
        </w:rPr>
        <w:t xml:space="preserve"> conclusions Gliadel results in a prolongation</w:t>
      </w:r>
      <w:r w:rsidR="00427468">
        <w:rPr>
          <w:kern w:val="0"/>
        </w:rPr>
        <w:t xml:space="preserve"> of </w:t>
      </w:r>
      <w:r>
        <w:rPr>
          <w:kern w:val="0"/>
        </w:rPr>
        <w:t>survival without an increased incidence</w:t>
      </w:r>
      <w:r w:rsidR="00427468">
        <w:rPr>
          <w:kern w:val="0"/>
        </w:rPr>
        <w:t xml:space="preserve"> of </w:t>
      </w:r>
      <w:r>
        <w:rPr>
          <w:kern w:val="0"/>
        </w:rPr>
        <w:t>adverse events when used as primary therapy</w:t>
      </w:r>
      <w:r w:rsidR="00A37C1D">
        <w:rPr>
          <w:kern w:val="0"/>
        </w:rPr>
        <w:t>. The</w:t>
      </w:r>
      <w:r>
        <w:rPr>
          <w:kern w:val="0"/>
        </w:rPr>
        <w:t>re is no evidence</w:t>
      </w:r>
      <w:r w:rsidR="00427468">
        <w:rPr>
          <w:kern w:val="0"/>
        </w:rPr>
        <w:t xml:space="preserve"> of </w:t>
      </w:r>
      <w:r>
        <w:rPr>
          <w:kern w:val="0"/>
        </w:rPr>
        <w:t>enhanced progression free survival (PFS) or QOL. In recurrent disease, Gliadel does not appear to confer any added benefit</w:t>
      </w:r>
      <w:r w:rsidR="00A37C1D">
        <w:rPr>
          <w:kern w:val="0"/>
        </w:rPr>
        <w:t>. The</w:t>
      </w:r>
      <w:r>
        <w:rPr>
          <w:kern w:val="0"/>
        </w:rPr>
        <w:t>se findings are based on the results</w:t>
      </w:r>
      <w:r w:rsidR="00427468">
        <w:rPr>
          <w:kern w:val="0"/>
        </w:rPr>
        <w:t xml:space="preserve"> of </w:t>
      </w:r>
      <w:r>
        <w:rPr>
          <w:kern w:val="0"/>
        </w:rPr>
        <w:t>three RCTs with approximately 500 patients in total.</w:t>
      </w:r>
    </w:p>
    <w:p w:rsidR="00365DE4" w:rsidRDefault="00365DE4" w:rsidP="00365DE4">
      <w:pPr>
        <w:pStyle w:val="a3"/>
        <w:rPr>
          <w:kern w:val="0"/>
        </w:rPr>
      </w:pPr>
      <w:r>
        <w:rPr>
          <w:kern w:val="0"/>
        </w:rPr>
        <w:t xml:space="preserve">Keywords: Assessment, Authors, Brain-Tumors, Citation, Citation Indexes, Citation-Index, Clinical-Trials, Controlled-Trial, Criteria, Databases, Diagnosis, Glioblastoma-Multiforme, Index, Indexes, Interstitial Chemotherapy, Local Chemotherapy, Malignant Glioma, Management, </w:t>
      </w:r>
      <w:r w:rsidR="00D5664A">
        <w:rPr>
          <w:kern w:val="0"/>
        </w:rPr>
        <w:t>MEDLINE</w:t>
      </w:r>
      <w:r>
        <w:rPr>
          <w:kern w:val="0"/>
        </w:rPr>
        <w:t>, Primary, Progression, Quality Assessment, Radiotherapy, Review, Science, Science Citation, Science Citation Index, Science-Citation-Index, Surgery, System, Therapy, Treatment</w:t>
      </w:r>
    </w:p>
    <w:p w:rsidR="00365DE4" w:rsidRDefault="00365DE4" w:rsidP="00365DE4">
      <w:pPr>
        <w:pStyle w:val="a3"/>
        <w:rPr>
          <w:kern w:val="2"/>
        </w:rPr>
      </w:pPr>
      <w:r>
        <w:t>? Wager, E.</w:t>
      </w:r>
      <w:r w:rsidR="005853A9">
        <w:t xml:space="preserve"> and </w:t>
      </w:r>
      <w:r>
        <w:t>Middleton, P. (2008), Technical editing</w:t>
      </w:r>
      <w:r w:rsidR="00427468">
        <w:t xml:space="preserve"> of </w:t>
      </w:r>
      <w:r>
        <w:t xml:space="preserve">research reports in biomedical journals. </w:t>
      </w:r>
      <w:r>
        <w:rPr>
          <w:i/>
          <w:iCs/>
        </w:rPr>
        <w:t>Cochrane Database</w:t>
      </w:r>
      <w:r w:rsidR="00427468">
        <w:rPr>
          <w:i/>
          <w:iCs/>
        </w:rPr>
        <w:t xml:space="preserve"> of </w:t>
      </w:r>
      <w:r>
        <w:rPr>
          <w:i/>
          <w:iCs/>
        </w:rPr>
        <w:t>Systematic Reviews</w:t>
      </w:r>
      <w:r>
        <w:t xml:space="preserve">, </w:t>
      </w:r>
      <w:r>
        <w:rPr>
          <w:b/>
          <w:bCs/>
        </w:rPr>
        <w:t>4</w:t>
      </w:r>
      <w:r>
        <w:t>, Article Number: MR000002.</w:t>
      </w:r>
    </w:p>
    <w:p w:rsidR="00365DE4" w:rsidRDefault="00365DE4" w:rsidP="00365DE4">
      <w:pPr>
        <w:pStyle w:val="a3"/>
      </w:pPr>
      <w:r>
        <w:t xml:space="preserve">Full Text: </w:t>
      </w:r>
      <w:hyperlink r:id="rId538" w:history="1">
        <w:r>
          <w:rPr>
            <w:rStyle w:val="a5"/>
          </w:rPr>
          <w:t>2008\Coc Dat Sys Rev2008, MR000002.pdf</w:t>
        </w:r>
      </w:hyperlink>
    </w:p>
    <w:p w:rsidR="00365DE4" w:rsidRDefault="00365DE4" w:rsidP="00365DE4">
      <w:pPr>
        <w:pStyle w:val="a3"/>
      </w:pPr>
      <w:r>
        <w:t xml:space="preserve">Abstract: Background Most journals try to improve their articles by technical editing processes such as proof-reading, editing to conform to </w:t>
      </w:r>
      <w:r w:rsidR="0071223E">
        <w:t>‘</w:t>
      </w:r>
      <w:r>
        <w:t>house styles</w:t>
      </w:r>
      <w:r w:rsidR="0071223E">
        <w:t>’</w:t>
      </w:r>
      <w:r>
        <w:t>, grammatical conventions</w:t>
      </w:r>
      <w:r w:rsidR="005853A9">
        <w:t xml:space="preserve"> and </w:t>
      </w:r>
      <w:r>
        <w:t>checking accuracy</w:t>
      </w:r>
      <w:r w:rsidR="00427468">
        <w:t xml:space="preserve"> of </w:t>
      </w:r>
      <w:r>
        <w:t xml:space="preserve">cited references. Despite the considerable </w:t>
      </w:r>
      <w:r>
        <w:lastRenderedPageBreak/>
        <w:t>resources devoted to technical editing, we do not know whether it improves the accessibility</w:t>
      </w:r>
      <w:r w:rsidR="00427468">
        <w:t xml:space="preserve"> of </w:t>
      </w:r>
      <w:r>
        <w:t>biomedical research findings or the utility</w:t>
      </w:r>
      <w:r w:rsidR="00427468">
        <w:t xml:space="preserve"> of </w:t>
      </w:r>
      <w:r>
        <w:t>articles. This is an update</w:t>
      </w:r>
      <w:r w:rsidR="00427468">
        <w:t xml:space="preserve"> of </w:t>
      </w:r>
      <w:r>
        <w:t>a Cochrane methodology review first published in 2003. Objectives To assess the effects</w:t>
      </w:r>
      <w:r w:rsidR="00427468">
        <w:t xml:space="preserve"> of </w:t>
      </w:r>
      <w:r>
        <w:t>technical editing on research reports in peer-reviewed biomedical journals,</w:t>
      </w:r>
      <w:r w:rsidR="005853A9">
        <w:t xml:space="preserve"> and </w:t>
      </w:r>
      <w:r>
        <w:t>to assess the level</w:t>
      </w:r>
      <w:r w:rsidR="00427468">
        <w:t xml:space="preserve"> of </w:t>
      </w:r>
      <w:r>
        <w:t>accuracy</w:t>
      </w:r>
      <w:r w:rsidR="00427468">
        <w:t xml:space="preserve"> of </w:t>
      </w:r>
      <w:r>
        <w:t xml:space="preserve">references to these reports. Search strategy. We searched The Cochrane Library Issue 2, 2007; </w:t>
      </w:r>
      <w:r w:rsidR="00D5664A">
        <w:t>MEDLINE</w:t>
      </w:r>
      <w:r>
        <w:t xml:space="preserve"> (last searched July 2006); EMBASE (last searched June 2007)</w:t>
      </w:r>
      <w:r w:rsidR="005853A9">
        <w:t xml:space="preserve"> and </w:t>
      </w:r>
      <w:r>
        <w:t>checked relevant articles for further references. We also searched the Internet</w:t>
      </w:r>
      <w:r w:rsidR="005853A9">
        <w:t xml:space="preserve"> and </w:t>
      </w:r>
      <w:r>
        <w:t>contacted researchers</w:t>
      </w:r>
      <w:r w:rsidR="005853A9">
        <w:t xml:space="preserve"> and </w:t>
      </w:r>
      <w:r>
        <w:t>experts in the field. Selection criteria Prospective or retrospective comparative studies</w:t>
      </w:r>
      <w:r w:rsidR="00427468">
        <w:t xml:space="preserve"> of </w:t>
      </w:r>
      <w:r>
        <w:t>technical editing processes applied to original research articles in biomedical journals, as well as studies</w:t>
      </w:r>
      <w:r w:rsidR="00427468">
        <w:t xml:space="preserve"> of </w:t>
      </w:r>
      <w:r>
        <w:t>reference accuracy. Data collection</w:t>
      </w:r>
      <w:r w:rsidR="005853A9">
        <w:t xml:space="preserve"> and </w:t>
      </w:r>
      <w:r>
        <w:t>analysis Two review authors independently assessed each study against the selection criteria</w:t>
      </w:r>
      <w:r w:rsidR="005853A9">
        <w:t xml:space="preserve"> and </w:t>
      </w:r>
      <w:r>
        <w:t>assessed the methodological quality</w:t>
      </w:r>
      <w:r w:rsidR="00427468">
        <w:t xml:space="preserve"> of </w:t>
      </w:r>
      <w:r>
        <w:t>each study. One review author extracted the data,</w:t>
      </w:r>
      <w:r w:rsidR="005853A9">
        <w:t xml:space="preserve"> and </w:t>
      </w:r>
      <w:r>
        <w:t>the second review author repeated this. Main results We located 32 studies addressing technical editing</w:t>
      </w:r>
      <w:r w:rsidR="005853A9">
        <w:t xml:space="preserve"> and </w:t>
      </w:r>
      <w:r>
        <w:t>66 surveys</w:t>
      </w:r>
      <w:r w:rsidR="00427468">
        <w:t xml:space="preserve"> of </w:t>
      </w:r>
      <w:r>
        <w:t>reference accuracy. Only three</w:t>
      </w:r>
      <w:r w:rsidR="00427468">
        <w:t xml:space="preserve"> of </w:t>
      </w:r>
      <w:r>
        <w:t xml:space="preserve">the studies were randomised controlled trials. A </w:t>
      </w:r>
      <w:r w:rsidR="0071223E">
        <w:t>‘</w:t>
      </w:r>
      <w:r>
        <w:t>package</w:t>
      </w:r>
      <w:r w:rsidR="0071223E">
        <w:t>’</w:t>
      </w:r>
      <w:r w:rsidR="00427468">
        <w:t xml:space="preserve"> of </w:t>
      </w:r>
      <w:r>
        <w:t>largely unspecified editorial processes applied between acceptance</w:t>
      </w:r>
      <w:r w:rsidR="005853A9">
        <w:t xml:space="preserve"> and </w:t>
      </w:r>
      <w:r>
        <w:t>publication was associated with improved readability in two studies</w:t>
      </w:r>
      <w:r w:rsidR="005853A9">
        <w:t xml:space="preserve"> and </w:t>
      </w:r>
      <w:r>
        <w:t>improved reporting quality in another two studies, while another study showed mixed results after stricter editorial policies were introduced. More intensive editorial processes were associated with fewer errors in abstracts</w:t>
      </w:r>
      <w:r w:rsidR="005853A9">
        <w:t xml:space="preserve"> and </w:t>
      </w:r>
      <w:r>
        <w:t>references. Providing instructions to authors was associated with improved reporting</w:t>
      </w:r>
      <w:r w:rsidR="00427468">
        <w:t xml:space="preserve"> of </w:t>
      </w:r>
      <w:r>
        <w:t>ethics requirements in one study</w:t>
      </w:r>
      <w:r w:rsidR="005853A9">
        <w:t xml:space="preserve"> and </w:t>
      </w:r>
      <w:r>
        <w:t>fewer errors in references in two studies, but no difference was seen in the quality</w:t>
      </w:r>
      <w:r w:rsidR="00427468">
        <w:t xml:space="preserve"> of </w:t>
      </w:r>
      <w:r>
        <w:t>abstracts in one randomised controlled trial. Structuring generally improved the quality</w:t>
      </w:r>
      <w:r w:rsidR="00427468">
        <w:t xml:space="preserve"> of </w:t>
      </w:r>
      <w:r>
        <w:t>abstracts, but increased their length</w:t>
      </w:r>
      <w:r w:rsidR="00A37C1D">
        <w:t>. The</w:t>
      </w:r>
      <w:r>
        <w:t xml:space="preserve"> reference accuracy studies showed a median citation error rate</w:t>
      </w:r>
      <w:r w:rsidR="00427468">
        <w:t xml:space="preserve"> of </w:t>
      </w:r>
      <w:r>
        <w:t>38%</w:t>
      </w:r>
      <w:r w:rsidR="005853A9">
        <w:t xml:space="preserve"> and </w:t>
      </w:r>
      <w:r>
        <w:t>a median quotation error rate</w:t>
      </w:r>
      <w:r w:rsidR="00427468">
        <w:t xml:space="preserve"> of </w:t>
      </w:r>
      <w:r>
        <w:t>20%. Authors</w:t>
      </w:r>
      <w:r w:rsidR="0071223E">
        <w:t>’</w:t>
      </w:r>
      <w:r>
        <w:t xml:space="preserve"> conclusions Surprisingly few studies have evaluated the effects</w:t>
      </w:r>
      <w:r w:rsidR="00427468">
        <w:t xml:space="preserve"> of </w:t>
      </w:r>
      <w:r>
        <w:t xml:space="preserve">technical editing rigorously. However there is some evidence that the </w:t>
      </w:r>
      <w:r w:rsidR="0071223E">
        <w:t>‘</w:t>
      </w:r>
      <w:r>
        <w:t>package</w:t>
      </w:r>
      <w:r w:rsidR="0071223E">
        <w:t>’</w:t>
      </w:r>
      <w:r w:rsidR="00427468">
        <w:t xml:space="preserve"> of </w:t>
      </w:r>
      <w:r>
        <w:t>technical editing used by biomedical journals does improve papers. A substantial number</w:t>
      </w:r>
      <w:r w:rsidR="00427468">
        <w:t xml:space="preserve"> of </w:t>
      </w:r>
      <w:r>
        <w:t>references in biomedical articles are cited or quoted inaccurately.</w:t>
      </w:r>
    </w:p>
    <w:p w:rsidR="00365DE4" w:rsidRDefault="00365DE4" w:rsidP="00365DE4">
      <w:pPr>
        <w:pStyle w:val="a3"/>
      </w:pPr>
      <w:r>
        <w:t>Keywords: Acceptance, Accuracy, Accuracy</w:t>
      </w:r>
      <w:r w:rsidR="00427468">
        <w:t xml:space="preserve"> of </w:t>
      </w:r>
      <w:r>
        <w:t xml:space="preserve">References, American-Medical-Association, Analysis, Authors, Biomedical, Biomedical Journals, Biomedical Research, Citation, Citation Error, Clinical-Trials, Collection, Controlled Trial, Criteria, Data, Editorial Policies, Effects, Error, Error Rate, Errors, Ethics, Evidence, Experts, Field, First, General Surgical Journals, Internet, Journals, Length, </w:t>
      </w:r>
      <w:r w:rsidR="00D5664A">
        <w:t>MEDLINE</w:t>
      </w:r>
      <w:r>
        <w:t xml:space="preserve">, Methodology, Original Research Articles, Papers, Peer-Reviewed, Policies, Publication, Quality, Quality Assessment, Quality of, Quotation, Quotation Accuracy, Quotation Error, Randomised, Randomised Controlled Trial, Randomised Controlled Trials, Reference, Reference Accuracy, Reference Citations, References, </w:t>
      </w:r>
      <w:r>
        <w:lastRenderedPageBreak/>
        <w:t>Reporting, Research, Resources, Review, Selection, Selection Criteria, Strategy, Structured Abstracts, Surveys, Trial, Utility, Vascular-Anesthesia</w:t>
      </w:r>
    </w:p>
    <w:p w:rsidR="00365DE4" w:rsidRDefault="00365DE4" w:rsidP="00365DE4">
      <w:pPr>
        <w:pStyle w:val="a3"/>
        <w:rPr>
          <w:kern w:val="0"/>
        </w:rPr>
      </w:pPr>
      <w:r>
        <w:rPr>
          <w:kern w:val="0"/>
        </w:rPr>
        <w:t>? Gur</w:t>
      </w:r>
      <w:r w:rsidR="00D5664A">
        <w:rPr>
          <w:kern w:val="0"/>
        </w:rPr>
        <w:t>USA</w:t>
      </w:r>
      <w:r>
        <w:rPr>
          <w:kern w:val="0"/>
        </w:rPr>
        <w:t>my, K.S., Samraj, K., F</w:t>
      </w:r>
      <w:r w:rsidR="00D5664A">
        <w:rPr>
          <w:kern w:val="0"/>
        </w:rPr>
        <w:t>USA</w:t>
      </w:r>
      <w:r>
        <w:rPr>
          <w:kern w:val="0"/>
        </w:rPr>
        <w:t>i, G.</w:t>
      </w:r>
      <w:r w:rsidR="005853A9">
        <w:rPr>
          <w:kern w:val="0"/>
        </w:rPr>
        <w:t xml:space="preserve"> and </w:t>
      </w:r>
      <w:r>
        <w:rPr>
          <w:kern w:val="0"/>
        </w:rPr>
        <w:t xml:space="preserve">Davidson, B.R. (2008), Early versus delayed laparoscopic cholecystectomy for biliary colic.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CD007196.</w:t>
      </w:r>
    </w:p>
    <w:p w:rsidR="00365DE4" w:rsidRDefault="00365DE4" w:rsidP="00365DE4">
      <w:pPr>
        <w:pStyle w:val="a3"/>
        <w:rPr>
          <w:kern w:val="2"/>
        </w:rPr>
      </w:pPr>
      <w:r>
        <w:t xml:space="preserve">Full Text: </w:t>
      </w:r>
      <w:hyperlink r:id="rId539" w:history="1">
        <w:r>
          <w:rPr>
            <w:rStyle w:val="a5"/>
          </w:rPr>
          <w:t>2008\Coc Dat Sys Rev2008, CD007196.pdf</w:t>
        </w:r>
      </w:hyperlink>
    </w:p>
    <w:p w:rsidR="00365DE4" w:rsidRDefault="00365DE4" w:rsidP="00365DE4">
      <w:pPr>
        <w:pStyle w:val="a3"/>
        <w:rPr>
          <w:kern w:val="0"/>
        </w:rPr>
      </w:pPr>
      <w:r>
        <w:rPr>
          <w:kern w:val="0"/>
        </w:rPr>
        <w:t>Abstract: Background Biliary colic is one</w:t>
      </w:r>
      <w:r w:rsidR="00427468">
        <w:rPr>
          <w:kern w:val="0"/>
        </w:rPr>
        <w:t xml:space="preserve"> of </w:t>
      </w:r>
      <w:r>
        <w:rPr>
          <w:kern w:val="0"/>
        </w:rPr>
        <w:t>the commonest indications for laparoscopic cholecystectomy. Laparoscopic cholecystectomy involves several months</w:t>
      </w:r>
      <w:r w:rsidR="00427468">
        <w:rPr>
          <w:kern w:val="0"/>
        </w:rPr>
        <w:t xml:space="preserve"> of </w:t>
      </w:r>
      <w:r>
        <w:rPr>
          <w:kern w:val="0"/>
        </w:rPr>
        <w:t>waiting if performed electively. However, patients can develop life-threatening complications during this waiting period. Objectives To assess the benefits</w:t>
      </w:r>
      <w:r w:rsidR="005853A9">
        <w:rPr>
          <w:kern w:val="0"/>
        </w:rPr>
        <w:t xml:space="preserve"> and </w:t>
      </w:r>
      <w:r>
        <w:rPr>
          <w:kern w:val="0"/>
        </w:rPr>
        <w:t>harms</w:t>
      </w:r>
      <w:r w:rsidR="00427468">
        <w:rPr>
          <w:kern w:val="0"/>
        </w:rPr>
        <w:t xml:space="preserve"> of </w:t>
      </w:r>
      <w:r>
        <w:rPr>
          <w:kern w:val="0"/>
        </w:rPr>
        <w:t>early versus delayed laparoscopic cholecystectomy for patients with biliary colic due to gallstones. Search strategy We searched The Cochrane Hepato-Biliary Group Controlled Trials Register, The Cochrane Central Register</w:t>
      </w:r>
      <w:r w:rsidR="00427468">
        <w:rPr>
          <w:kern w:val="0"/>
        </w:rPr>
        <w:t xml:space="preserve"> of </w:t>
      </w:r>
      <w:r>
        <w:rPr>
          <w:kern w:val="0"/>
        </w:rPr>
        <w:t xml:space="preserve">Control led Trials in The Cochrane Library, </w:t>
      </w:r>
      <w:r w:rsidR="00D5664A">
        <w:rPr>
          <w:kern w:val="0"/>
        </w:rPr>
        <w:t>MEDLINE</w:t>
      </w:r>
      <w:r>
        <w:rPr>
          <w:kern w:val="0"/>
        </w:rPr>
        <w:t>, EMBASE,</w:t>
      </w:r>
      <w:r w:rsidR="005853A9">
        <w:rPr>
          <w:kern w:val="0"/>
        </w:rPr>
        <w:t xml:space="preserve"> and </w:t>
      </w:r>
      <w:r>
        <w:rPr>
          <w:kern w:val="0"/>
        </w:rPr>
        <w:t>Science Citation Index Expanded until March 2008. Selection criteria We included only randomised clinical trials irrespective</w:t>
      </w:r>
      <w:r w:rsidR="00427468">
        <w:rPr>
          <w:kern w:val="0"/>
        </w:rPr>
        <w:t xml:space="preserve"> of </w:t>
      </w:r>
      <w:r>
        <w:rPr>
          <w:kern w:val="0"/>
        </w:rPr>
        <w:t>language</w:t>
      </w:r>
      <w:r w:rsidR="005853A9">
        <w:rPr>
          <w:kern w:val="0"/>
        </w:rPr>
        <w:t xml:space="preserve"> and </w:t>
      </w:r>
      <w:r>
        <w:rPr>
          <w:kern w:val="0"/>
        </w:rPr>
        <w:t>publication status. Data collection</w:t>
      </w:r>
      <w:r w:rsidR="005853A9">
        <w:rPr>
          <w:kern w:val="0"/>
        </w:rPr>
        <w:t xml:space="preserve"> and </w:t>
      </w:r>
      <w:r>
        <w:rPr>
          <w:kern w:val="0"/>
        </w:rPr>
        <w:t>analysis Two authors independently extracted the data. We intended to calculate the risk ratio, risk difference with 95% confidence intervals (CI) for dichotomous outcomes,</w:t>
      </w:r>
      <w:r w:rsidR="005853A9">
        <w:rPr>
          <w:kern w:val="0"/>
        </w:rPr>
        <w:t xml:space="preserve"> and </w:t>
      </w:r>
      <w:r>
        <w:rPr>
          <w:kern w:val="0"/>
        </w:rPr>
        <w:t>weighted mean difference (WMD) with 95% CI for continuous outcomes using RevMan 4.2 based on intention-to-treat analysis. Main results Only one trial including 75 patients, randomised to early laparoscopic cholecystectomy (less than 24 hours</w:t>
      </w:r>
      <w:r w:rsidR="00427468">
        <w:rPr>
          <w:kern w:val="0"/>
        </w:rPr>
        <w:t xml:space="preserve"> of </w:t>
      </w:r>
      <w:r>
        <w:rPr>
          <w:kern w:val="0"/>
        </w:rPr>
        <w:t>diagnosis) (n = 35)</w:t>
      </w:r>
      <w:r w:rsidR="005853A9">
        <w:rPr>
          <w:kern w:val="0"/>
        </w:rPr>
        <w:t xml:space="preserve"> and </w:t>
      </w:r>
      <w:r>
        <w:rPr>
          <w:kern w:val="0"/>
        </w:rPr>
        <w:t>delayed laparoscopic cholecystectomy (mean waiting period</w:t>
      </w:r>
      <w:r w:rsidR="00427468">
        <w:rPr>
          <w:kern w:val="0"/>
        </w:rPr>
        <w:t xml:space="preserve"> of </w:t>
      </w:r>
      <w:r>
        <w:rPr>
          <w:kern w:val="0"/>
        </w:rPr>
        <w:t>4.2 months) (n = 40), qualified for this review. This trial was</w:t>
      </w:r>
      <w:r w:rsidR="00427468">
        <w:rPr>
          <w:kern w:val="0"/>
        </w:rPr>
        <w:t xml:space="preserve"> of </w:t>
      </w:r>
      <w:r>
        <w:rPr>
          <w:kern w:val="0"/>
        </w:rPr>
        <w:t>high risk</w:t>
      </w:r>
      <w:r w:rsidR="00427468">
        <w:rPr>
          <w:kern w:val="0"/>
        </w:rPr>
        <w:t xml:space="preserve"> of </w:t>
      </w:r>
      <w:r>
        <w:rPr>
          <w:kern w:val="0"/>
        </w:rPr>
        <w:t>bias. During the waiting period in the delayed group (mean 4.2 months), the complications that the patients suffered included severe acute pancreatitis resulting in mortality (1), empyema</w:t>
      </w:r>
      <w:r w:rsidR="00427468">
        <w:rPr>
          <w:kern w:val="0"/>
        </w:rPr>
        <w:t xml:space="preserve"> of </w:t>
      </w:r>
      <w:r>
        <w:rPr>
          <w:kern w:val="0"/>
        </w:rPr>
        <w:t>gallbladder (1), gallbladder perforation (1), acute cholecystitis (2), cholangitis (2), obstructive jaundice (2),</w:t>
      </w:r>
      <w:r w:rsidR="005853A9">
        <w:rPr>
          <w:kern w:val="0"/>
        </w:rPr>
        <w:t xml:space="preserve"> and </w:t>
      </w:r>
      <w:r>
        <w:rPr>
          <w:kern w:val="0"/>
        </w:rPr>
        <w:t>recurrent biliary colic requiring hospital visits (5)</w:t>
      </w:r>
      <w:r w:rsidR="00A37C1D">
        <w:rPr>
          <w:kern w:val="0"/>
        </w:rPr>
        <w:t>. The</w:t>
      </w:r>
      <w:r>
        <w:rPr>
          <w:kern w:val="0"/>
        </w:rPr>
        <w:t xml:space="preserve"> rate</w:t>
      </w:r>
      <w:r w:rsidR="00427468">
        <w:rPr>
          <w:kern w:val="0"/>
        </w:rPr>
        <w:t xml:space="preserve"> of </w:t>
      </w:r>
      <w:r>
        <w:rPr>
          <w:kern w:val="0"/>
        </w:rPr>
        <w:t>conversion to open cholecystectomy was lower in the early group (0%) than the delayed group (8/ 40 or 20%) (p = 0.0172)</w:t>
      </w:r>
      <w:r w:rsidR="00A37C1D">
        <w:rPr>
          <w:kern w:val="0"/>
        </w:rPr>
        <w:t>. The</w:t>
      </w:r>
      <w:r>
        <w:rPr>
          <w:kern w:val="0"/>
        </w:rPr>
        <w:t>re was a statistically significant shorter operating time</w:t>
      </w:r>
      <w:r w:rsidR="005853A9">
        <w:rPr>
          <w:kern w:val="0"/>
        </w:rPr>
        <w:t xml:space="preserve"> and </w:t>
      </w:r>
      <w:r>
        <w:rPr>
          <w:kern w:val="0"/>
        </w:rPr>
        <w:t>hospital stay in the early group than the delayed group (WMD - 14.80 minutes, 95% CI -18.02 to -11.58</w:t>
      </w:r>
      <w:r w:rsidR="005853A9">
        <w:rPr>
          <w:kern w:val="0"/>
        </w:rPr>
        <w:t xml:space="preserve"> and </w:t>
      </w:r>
      <w:r>
        <w:rPr>
          <w:kern w:val="0"/>
        </w:rPr>
        <w:t>-1.25 days, 95% CI -2.05 to - 0.45 respectively). Fourteen patients (35%) required 18 hospital admissions for symptoms related to gallstones during the mean waiting period</w:t>
      </w:r>
      <w:r w:rsidR="00427468">
        <w:rPr>
          <w:kern w:val="0"/>
        </w:rPr>
        <w:t xml:space="preserve"> of </w:t>
      </w:r>
      <w:r>
        <w:rPr>
          <w:kern w:val="0"/>
        </w:rPr>
        <w:t>4.2 months in the delayed group. This is equivalent to 11 admissions per 100 persons per month. Authors</w:t>
      </w:r>
      <w:r w:rsidR="0071223E">
        <w:rPr>
          <w:kern w:val="0"/>
        </w:rPr>
        <w:t>’</w:t>
      </w:r>
      <w:r>
        <w:rPr>
          <w:kern w:val="0"/>
        </w:rPr>
        <w:t xml:space="preserve"> conclusions Based on evidence fromonly one high- bias risk trial, it appears that early laparoscopic cholecystectomy (&lt; 24 hours</w:t>
      </w:r>
      <w:r w:rsidR="00427468">
        <w:rPr>
          <w:kern w:val="0"/>
        </w:rPr>
        <w:t xml:space="preserve"> of </w:t>
      </w:r>
      <w:r>
        <w:rPr>
          <w:kern w:val="0"/>
        </w:rPr>
        <w:t>diagnosis</w:t>
      </w:r>
      <w:r w:rsidR="00427468">
        <w:rPr>
          <w:kern w:val="0"/>
        </w:rPr>
        <w:t xml:space="preserve"> of </w:t>
      </w:r>
      <w:r>
        <w:rPr>
          <w:kern w:val="0"/>
        </w:rPr>
        <w:t>biliary colic) decreases the morbidity during the waiting period for elective laparoscopic cholecystectomy, decreases the rate</w:t>
      </w:r>
      <w:r w:rsidR="00427468">
        <w:rPr>
          <w:kern w:val="0"/>
        </w:rPr>
        <w:t xml:space="preserve"> of </w:t>
      </w:r>
      <w:r>
        <w:rPr>
          <w:kern w:val="0"/>
        </w:rPr>
        <w:t>conversion to open cholecystectomy, decreases operating time,</w:t>
      </w:r>
      <w:r w:rsidR="005853A9">
        <w:rPr>
          <w:kern w:val="0"/>
        </w:rPr>
        <w:t xml:space="preserve"> and </w:t>
      </w:r>
      <w:r>
        <w:rPr>
          <w:kern w:val="0"/>
        </w:rPr>
        <w:t xml:space="preserve">decreases hospital stay. Further </w:t>
      </w:r>
      <w:r>
        <w:rPr>
          <w:kern w:val="0"/>
        </w:rPr>
        <w:lastRenderedPageBreak/>
        <w:t>randomised clinical trials are necessary to confirm or refute this finding.</w:t>
      </w:r>
    </w:p>
    <w:p w:rsidR="00365DE4" w:rsidRDefault="00365DE4" w:rsidP="00365DE4">
      <w:pPr>
        <w:pStyle w:val="a3"/>
        <w:rPr>
          <w:kern w:val="0"/>
        </w:rPr>
      </w:pPr>
      <w:r>
        <w:rPr>
          <w:kern w:val="0"/>
        </w:rPr>
        <w:t xml:space="preserve">Keywords: Acute Cholecystitis, Authors, Bias, Citation, Clinical Trials, Clinical-Trials, Criteria, Diagnosis, Gallstone Disease, High Risk, High-Risk, Language, </w:t>
      </w:r>
      <w:r w:rsidR="00D5664A">
        <w:rPr>
          <w:kern w:val="0"/>
        </w:rPr>
        <w:t>MEDLINE</w:t>
      </w:r>
      <w:r>
        <w:rPr>
          <w:kern w:val="0"/>
        </w:rPr>
        <w:t>, Metaanalysis, Outcomes, Population, Prevalence, Publication, Quality, Randomized-Trials, Review, Risk, Science, Science Citation Index, Surgery</w:t>
      </w:r>
    </w:p>
    <w:p w:rsidR="00365DE4" w:rsidRDefault="00365DE4" w:rsidP="00365DE4">
      <w:pPr>
        <w:pStyle w:val="a3"/>
        <w:rPr>
          <w:kern w:val="0"/>
        </w:rPr>
      </w:pPr>
      <w:r>
        <w:rPr>
          <w:kern w:val="0"/>
        </w:rPr>
        <w:t>? Samuel, M., Chow, P.K.H., Shih-Yen, E.C., Machin, D.</w:t>
      </w:r>
      <w:r w:rsidR="005853A9">
        <w:rPr>
          <w:kern w:val="0"/>
        </w:rPr>
        <w:t xml:space="preserve"> and </w:t>
      </w:r>
      <w:r>
        <w:rPr>
          <w:kern w:val="0"/>
        </w:rPr>
        <w:t>Soo, K.C. (2009), Neoadjuvant</w:t>
      </w:r>
      <w:r w:rsidR="005853A9">
        <w:rPr>
          <w:kern w:val="0"/>
        </w:rPr>
        <w:t xml:space="preserve"> and </w:t>
      </w:r>
      <w:r>
        <w:rPr>
          <w:kern w:val="0"/>
        </w:rPr>
        <w:t>adjuvant therapy for surgical resection</w:t>
      </w:r>
      <w:r w:rsidR="00427468">
        <w:rPr>
          <w:kern w:val="0"/>
        </w:rPr>
        <w:t xml:space="preserve"> of </w:t>
      </w:r>
      <w:r>
        <w:rPr>
          <w:kern w:val="0"/>
        </w:rPr>
        <w:t xml:space="preserve">hepatocellular carcinoma.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CD001199.</w:t>
      </w:r>
    </w:p>
    <w:p w:rsidR="00365DE4" w:rsidRDefault="00365DE4" w:rsidP="00365DE4">
      <w:pPr>
        <w:pStyle w:val="a3"/>
        <w:rPr>
          <w:kern w:val="2"/>
        </w:rPr>
      </w:pPr>
      <w:r>
        <w:t xml:space="preserve">Full Text: </w:t>
      </w:r>
      <w:hyperlink r:id="rId540" w:history="1">
        <w:r>
          <w:rPr>
            <w:rStyle w:val="a5"/>
          </w:rPr>
          <w:t>2009\Coc Dat Sys Rev2009, CD001199.pdf</w:t>
        </w:r>
      </w:hyperlink>
    </w:p>
    <w:p w:rsidR="00365DE4" w:rsidRDefault="00365DE4" w:rsidP="00365DE4">
      <w:pPr>
        <w:pStyle w:val="a3"/>
        <w:rPr>
          <w:kern w:val="0"/>
        </w:rPr>
      </w:pPr>
      <w:r>
        <w:rPr>
          <w:kern w:val="0"/>
        </w:rPr>
        <w:t>Abstract: Background Hepatocellular carcinoma is a disease</w:t>
      </w:r>
      <w:r w:rsidR="00427468">
        <w:rPr>
          <w:kern w:val="0"/>
        </w:rPr>
        <w:t xml:space="preserve"> of </w:t>
      </w:r>
      <w:r>
        <w:rPr>
          <w:kern w:val="0"/>
        </w:rPr>
        <w:t>great concern. Surgery is the treatment</w:t>
      </w:r>
      <w:r w:rsidR="00427468">
        <w:rPr>
          <w:kern w:val="0"/>
        </w:rPr>
        <w:t xml:space="preserve"> of </w:t>
      </w:r>
      <w:r>
        <w:rPr>
          <w:kern w:val="0"/>
        </w:rPr>
        <w:t>choice, but there is still a high recurrence rate after resection. Objectives To determine the benefits</w:t>
      </w:r>
      <w:r w:rsidR="005853A9">
        <w:rPr>
          <w:kern w:val="0"/>
        </w:rPr>
        <w:t xml:space="preserve"> and </w:t>
      </w:r>
      <w:r>
        <w:rPr>
          <w:kern w:val="0"/>
        </w:rPr>
        <w:t>harms</w:t>
      </w:r>
      <w:r w:rsidR="00427468">
        <w:rPr>
          <w:kern w:val="0"/>
        </w:rPr>
        <w:t xml:space="preserve"> of </w:t>
      </w:r>
      <w:r>
        <w:rPr>
          <w:kern w:val="0"/>
        </w:rPr>
        <w:t>neoadjuvant</w:t>
      </w:r>
      <w:r w:rsidR="005853A9">
        <w:rPr>
          <w:kern w:val="0"/>
        </w:rPr>
        <w:t xml:space="preserve"> and </w:t>
      </w:r>
      <w:r>
        <w:rPr>
          <w:kern w:val="0"/>
        </w:rPr>
        <w:t>adjuvant therapies compared to surgery alone or surgery</w:t>
      </w:r>
      <w:r w:rsidR="005853A9">
        <w:rPr>
          <w:kern w:val="0"/>
        </w:rPr>
        <w:t xml:space="preserve"> and </w:t>
      </w:r>
      <w:r>
        <w:rPr>
          <w:kern w:val="0"/>
        </w:rPr>
        <w:t>placebo/supportive therapy after curative resection for operable hepatocellular carcinoma.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Chinese Biomedical Database,</w:t>
      </w:r>
      <w:r w:rsidR="005853A9">
        <w:rPr>
          <w:kern w:val="0"/>
        </w:rPr>
        <w:t xml:space="preserve"> and </w:t>
      </w:r>
      <w:r>
        <w:rPr>
          <w:kern w:val="0"/>
        </w:rPr>
        <w:t>US National Cancer Institute</w:t>
      </w:r>
      <w:r w:rsidR="0071223E">
        <w:rPr>
          <w:kern w:val="0"/>
        </w:rPr>
        <w:t>’</w:t>
      </w:r>
      <w:r>
        <w:rPr>
          <w:kern w:val="0"/>
        </w:rPr>
        <w:t>s Physician</w:t>
      </w:r>
      <w:r w:rsidR="0071223E">
        <w:rPr>
          <w:kern w:val="0"/>
        </w:rPr>
        <w:t>’</w:t>
      </w:r>
      <w:r>
        <w:rPr>
          <w:kern w:val="0"/>
        </w:rPr>
        <w:t>s Data Query Trials Database until 2005. References</w:t>
      </w:r>
      <w:r w:rsidR="00427468">
        <w:rPr>
          <w:kern w:val="0"/>
        </w:rPr>
        <w:t xml:space="preserve"> of </w:t>
      </w:r>
      <w:r>
        <w:rPr>
          <w:kern w:val="0"/>
        </w:rPr>
        <w:t>the identified trials were also searched for identifying further trials. Selection criteria Randomised</w:t>
      </w:r>
      <w:r w:rsidR="005853A9">
        <w:rPr>
          <w:kern w:val="0"/>
        </w:rPr>
        <w:t xml:space="preserve"> and </w:t>
      </w:r>
      <w:r>
        <w:rPr>
          <w:kern w:val="0"/>
        </w:rPr>
        <w:t>quasi-randomised trials that compared hepatocellular carcinoma patients who were given</w:t>
      </w:r>
      <w:r w:rsidR="005853A9">
        <w:rPr>
          <w:kern w:val="0"/>
        </w:rPr>
        <w:t xml:space="preserve"> and </w:t>
      </w:r>
      <w:r>
        <w:rPr>
          <w:kern w:val="0"/>
        </w:rPr>
        <w:t>not given neoadjuvant/adjuvant therapy as a supplement to curative liver resection. Data collection</w:t>
      </w:r>
      <w:r w:rsidR="005853A9">
        <w:rPr>
          <w:kern w:val="0"/>
        </w:rPr>
        <w:t xml:space="preserve"> and </w:t>
      </w:r>
      <w:r>
        <w:rPr>
          <w:kern w:val="0"/>
        </w:rPr>
        <w:t>analysis Data were extracted independently by two authors</w:t>
      </w:r>
      <w:r w:rsidR="005853A9">
        <w:rPr>
          <w:kern w:val="0"/>
        </w:rPr>
        <w:t xml:space="preserve"> and </w:t>
      </w:r>
      <w:r>
        <w:rPr>
          <w:kern w:val="0"/>
        </w:rPr>
        <w:t>discrepancies resolved by consensus</w:t>
      </w:r>
      <w:r w:rsidR="00A37C1D">
        <w:rPr>
          <w:kern w:val="0"/>
        </w:rPr>
        <w:t>. The</w:t>
      </w:r>
      <w:r>
        <w:rPr>
          <w:kern w:val="0"/>
        </w:rPr>
        <w:t xml:space="preserve"> survival</w:t>
      </w:r>
      <w:r w:rsidR="005853A9">
        <w:rPr>
          <w:kern w:val="0"/>
        </w:rPr>
        <w:t xml:space="preserve"> and </w:t>
      </w:r>
      <w:r>
        <w:rPr>
          <w:kern w:val="0"/>
        </w:rPr>
        <w:t>disease-free survival curves were compared using their one, two, three, four,</w:t>
      </w:r>
      <w:r w:rsidR="005853A9">
        <w:rPr>
          <w:kern w:val="0"/>
        </w:rPr>
        <w:t xml:space="preserve"> and </w:t>
      </w:r>
      <w:r>
        <w:rPr>
          <w:kern w:val="0"/>
        </w:rPr>
        <w:t>five-year survival rates, median survival times,</w:t>
      </w:r>
      <w:r w:rsidR="005853A9">
        <w:rPr>
          <w:kern w:val="0"/>
        </w:rPr>
        <w:t xml:space="preserve"> and </w:t>
      </w:r>
      <w:r>
        <w:rPr>
          <w:kern w:val="0"/>
        </w:rPr>
        <w:t>the result</w:t>
      </w:r>
      <w:r w:rsidR="00427468">
        <w:rPr>
          <w:kern w:val="0"/>
        </w:rPr>
        <w:t xml:space="preserve"> of </w:t>
      </w:r>
      <w:r>
        <w:rPr>
          <w:kern w:val="0"/>
        </w:rPr>
        <w:t>the significance tests (P-values). Main results A total</w:t>
      </w:r>
      <w:r w:rsidR="00427468">
        <w:rPr>
          <w:kern w:val="0"/>
        </w:rPr>
        <w:t xml:space="preserve"> of </w:t>
      </w:r>
      <w:r>
        <w:rPr>
          <w:kern w:val="0"/>
        </w:rPr>
        <w:t>12 randomised trials were identified, totaling 843 patients</w:t>
      </w:r>
      <w:r w:rsidR="00A37C1D">
        <w:rPr>
          <w:kern w:val="0"/>
        </w:rPr>
        <w:t>. The</w:t>
      </w:r>
      <w:r>
        <w:rPr>
          <w:kern w:val="0"/>
        </w:rPr>
        <w:t xml:space="preserve"> size</w:t>
      </w:r>
      <w:r w:rsidR="00427468">
        <w:rPr>
          <w:kern w:val="0"/>
        </w:rPr>
        <w:t xml:space="preserve"> of </w:t>
      </w:r>
      <w:r>
        <w:rPr>
          <w:kern w:val="0"/>
        </w:rPr>
        <w:t>the randomised clinical trials ranged from 30 to 155 patients. Both preoperative (neoadjuvant)</w:t>
      </w:r>
      <w:r w:rsidR="005853A9">
        <w:rPr>
          <w:kern w:val="0"/>
        </w:rPr>
        <w:t xml:space="preserve"> and </w:t>
      </w:r>
      <w:r>
        <w:rPr>
          <w:kern w:val="0"/>
        </w:rPr>
        <w:t>postoperative (adjuvant), systemic</w:t>
      </w:r>
      <w:r w:rsidR="005853A9">
        <w:rPr>
          <w:kern w:val="0"/>
        </w:rPr>
        <w:t xml:space="preserve"> and </w:t>
      </w:r>
      <w:r>
        <w:rPr>
          <w:kern w:val="0"/>
        </w:rPr>
        <w:t>locoregional (+/-embolisation), chemo-and immunotherapy interventions were tested. Treatment regimens</w:t>
      </w:r>
      <w:r w:rsidR="005853A9">
        <w:rPr>
          <w:kern w:val="0"/>
        </w:rPr>
        <w:t xml:space="preserve"> and </w:t>
      </w:r>
      <w:r>
        <w:rPr>
          <w:kern w:val="0"/>
        </w:rPr>
        <w:t>patients selected were not comparable, so no pooling was done. Only one regimen using preoperative transcatheter arterial chemoembolisation with doxorubicin was similar in two trials. Four</w:t>
      </w:r>
      <w:r w:rsidR="00427468">
        <w:rPr>
          <w:kern w:val="0"/>
        </w:rPr>
        <w:t xml:space="preserve"> of </w:t>
      </w:r>
      <w:r>
        <w:rPr>
          <w:kern w:val="0"/>
        </w:rPr>
        <w:t>the twelve trials reported survival benefit at five years when given adjuvant or neoadjuvant therapy. Disease-free survival was reported in nine trials,</w:t>
      </w:r>
      <w:r w:rsidR="005853A9">
        <w:rPr>
          <w:kern w:val="0"/>
        </w:rPr>
        <w:t xml:space="preserve"> and </w:t>
      </w:r>
      <w:r>
        <w:rPr>
          <w:kern w:val="0"/>
        </w:rPr>
        <w:t>the estimated hazard ratios show that disease-free survival was significant in two trials at five years</w:t>
      </w:r>
      <w:r w:rsidR="00A37C1D">
        <w:rPr>
          <w:kern w:val="0"/>
        </w:rPr>
        <w:t>. The</w:t>
      </w:r>
      <w:r>
        <w:rPr>
          <w:kern w:val="0"/>
        </w:rPr>
        <w:t>se two trials had not shown a survival advantage, but the recurrence was significantly lower in patients given adjuvant or neoadjuvant therapy</w:t>
      </w:r>
      <w:r w:rsidR="00A37C1D">
        <w:rPr>
          <w:kern w:val="0"/>
        </w:rPr>
        <w:t>. The</w:t>
      </w:r>
      <w:r>
        <w:rPr>
          <w:kern w:val="0"/>
        </w:rPr>
        <w:t xml:space="preserve"> highest toxicity rate was in a trial using oral 1-hexylcarbamoyl 5-fluorouracil which resulted in 12 out</w:t>
      </w:r>
      <w:r w:rsidR="00427468">
        <w:rPr>
          <w:kern w:val="0"/>
        </w:rPr>
        <w:t xml:space="preserve"> of </w:t>
      </w:r>
      <w:r>
        <w:rPr>
          <w:kern w:val="0"/>
        </w:rPr>
        <w:t xml:space="preserve">38 </w:t>
      </w:r>
      <w:r>
        <w:rPr>
          <w:kern w:val="0"/>
        </w:rPr>
        <w:lastRenderedPageBreak/>
        <w:t>patients being withdrawn from the trial because</w:t>
      </w:r>
      <w:r w:rsidR="00427468">
        <w:rPr>
          <w:kern w:val="0"/>
        </w:rPr>
        <w:t xml:space="preserve"> of </w:t>
      </w:r>
      <w:r>
        <w:rPr>
          <w:kern w:val="0"/>
        </w:rPr>
        <w:t>adverse events. Authors</w:t>
      </w:r>
      <w:r w:rsidR="0071223E">
        <w:rPr>
          <w:kern w:val="0"/>
        </w:rPr>
        <w:t>’</w:t>
      </w:r>
      <w:r>
        <w:rPr>
          <w:kern w:val="0"/>
        </w:rPr>
        <w:t xml:space="preserve"> conclusions There is no clear evidence for efficacy</w:t>
      </w:r>
      <w:r w:rsidR="00427468">
        <w:rPr>
          <w:kern w:val="0"/>
        </w:rPr>
        <w:t xml:space="preserve"> of </w:t>
      </w:r>
      <w:r>
        <w:rPr>
          <w:kern w:val="0"/>
        </w:rPr>
        <w:t>any</w:t>
      </w:r>
      <w:r w:rsidR="00427468">
        <w:rPr>
          <w:kern w:val="0"/>
        </w:rPr>
        <w:t xml:space="preserve"> of </w:t>
      </w:r>
      <w:r>
        <w:rPr>
          <w:kern w:val="0"/>
        </w:rPr>
        <w:t>the adjuvant</w:t>
      </w:r>
      <w:r w:rsidR="005853A9">
        <w:rPr>
          <w:kern w:val="0"/>
        </w:rPr>
        <w:t xml:space="preserve"> and </w:t>
      </w:r>
      <w:r>
        <w:rPr>
          <w:kern w:val="0"/>
        </w:rPr>
        <w:t>neo-adjuvant protocols reviewed, but there is some evidence to suggest that adjuvant therapy may be beneficial offering prolonged disease-free survival. In order to detect a realistic treatment advantage, larger trials with lower risk</w:t>
      </w:r>
      <w:r w:rsidR="00427468">
        <w:rPr>
          <w:kern w:val="0"/>
        </w:rPr>
        <w:t xml:space="preserve"> of </w:t>
      </w:r>
      <w:r>
        <w:rPr>
          <w:kern w:val="0"/>
        </w:rPr>
        <w:t>systematic error will have to be conducted.</w:t>
      </w:r>
    </w:p>
    <w:p w:rsidR="00365DE4" w:rsidRDefault="00365DE4" w:rsidP="00365DE4">
      <w:pPr>
        <w:pStyle w:val="a3"/>
        <w:rPr>
          <w:kern w:val="0"/>
        </w:rPr>
      </w:pPr>
      <w:r>
        <w:rPr>
          <w:kern w:val="0"/>
        </w:rPr>
        <w:t xml:space="preserve">Keywords: 5-Fluorouracil, Authors, Cancer, Chemotherapy, Citation, Clinical Trials, Clinical-Trials, Controlled-Trials, Criteria, Curative Resection, Database, Empirical-Evidence, End-Points, Intrahepatic Recurrence, </w:t>
      </w:r>
      <w:r w:rsidR="00D5664A">
        <w:rPr>
          <w:kern w:val="0"/>
        </w:rPr>
        <w:t>MEDLINE</w:t>
      </w:r>
      <w:r>
        <w:rPr>
          <w:kern w:val="0"/>
        </w:rPr>
        <w:t>, Postoperative Interferon Therapy, Quality, Randomized-Trials, Risk, Science, Science Citation Index, Surgery, Therapy, Toxicity, Treatment, US</w:t>
      </w:r>
    </w:p>
    <w:p w:rsidR="00365DE4" w:rsidRDefault="00365DE4" w:rsidP="00365DE4">
      <w:pPr>
        <w:pStyle w:val="a3"/>
        <w:rPr>
          <w:kern w:val="0"/>
        </w:rPr>
      </w:pPr>
      <w:r>
        <w:rPr>
          <w:kern w:val="0"/>
        </w:rPr>
        <w:t>? Chavez-Tapia, N.C., Soares-Weiser, K., Brezis, M.</w:t>
      </w:r>
      <w:r w:rsidR="005853A9">
        <w:rPr>
          <w:kern w:val="0"/>
        </w:rPr>
        <w:t xml:space="preserve"> and </w:t>
      </w:r>
      <w:r>
        <w:rPr>
          <w:kern w:val="0"/>
        </w:rPr>
        <w:t xml:space="preserve">Leibovici, L. (2009), Antibiotics for spontaneous bacterial peritonitis in cirrhotic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CD002232.</w:t>
      </w:r>
    </w:p>
    <w:p w:rsidR="00365DE4" w:rsidRDefault="00365DE4" w:rsidP="00365DE4">
      <w:pPr>
        <w:pStyle w:val="a3"/>
        <w:rPr>
          <w:kern w:val="2"/>
        </w:rPr>
      </w:pPr>
      <w:r>
        <w:t xml:space="preserve">Full Text: </w:t>
      </w:r>
      <w:hyperlink r:id="rId541" w:history="1">
        <w:r>
          <w:rPr>
            <w:rStyle w:val="a5"/>
          </w:rPr>
          <w:t>2009\Coc Dat Sys Rev2009, CD002232.pdf</w:t>
        </w:r>
      </w:hyperlink>
    </w:p>
    <w:p w:rsidR="00365DE4" w:rsidRDefault="00365DE4" w:rsidP="00365DE4">
      <w:pPr>
        <w:pStyle w:val="a3"/>
        <w:rPr>
          <w:kern w:val="0"/>
        </w:rPr>
      </w:pPr>
      <w:r>
        <w:rPr>
          <w:kern w:val="0"/>
        </w:rPr>
        <w:t>Abstract: Background Spontaneous bacterial peritonitis is a complication</w:t>
      </w:r>
      <w:r w:rsidR="00427468">
        <w:rPr>
          <w:kern w:val="0"/>
        </w:rPr>
        <w:t xml:space="preserve"> of </w:t>
      </w:r>
      <w:r>
        <w:rPr>
          <w:kern w:val="0"/>
        </w:rPr>
        <w:t>cirrhotic ascites that occurs in the absence</w:t>
      </w:r>
      <w:r w:rsidR="00427468">
        <w:rPr>
          <w:kern w:val="0"/>
        </w:rPr>
        <w:t xml:space="preserve"> of </w:t>
      </w:r>
      <w:r>
        <w:rPr>
          <w:kern w:val="0"/>
        </w:rPr>
        <w:t>any intra-abdominal, surgically treatable source</w:t>
      </w:r>
      <w:r w:rsidR="00427468">
        <w:rPr>
          <w:kern w:val="0"/>
        </w:rPr>
        <w:t xml:space="preserve"> of </w:t>
      </w:r>
      <w:r>
        <w:rPr>
          <w:kern w:val="0"/>
        </w:rPr>
        <w:t>infection. Antibiotic therapy is indicated</w:t>
      </w:r>
      <w:r w:rsidR="005853A9">
        <w:rPr>
          <w:kern w:val="0"/>
        </w:rPr>
        <w:t xml:space="preserve"> and </w:t>
      </w:r>
      <w:r>
        <w:rPr>
          <w:kern w:val="0"/>
        </w:rPr>
        <w:t>should be initiated as soon as possible to avoid severe complications that may lead to death. It has been proposed that empirical treatment should cover gram-negative enteric bacteria</w:t>
      </w:r>
      <w:r w:rsidR="005853A9">
        <w:rPr>
          <w:kern w:val="0"/>
        </w:rPr>
        <w:t xml:space="preserve"> and </w:t>
      </w:r>
      <w:r>
        <w:rPr>
          <w:kern w:val="0"/>
        </w:rPr>
        <w:t>gram-positive cocci, responsible for up to 90%</w:t>
      </w:r>
      <w:r w:rsidR="00427468">
        <w:rPr>
          <w:kern w:val="0"/>
        </w:rPr>
        <w:t xml:space="preserve"> of </w:t>
      </w:r>
      <w:r>
        <w:rPr>
          <w:kern w:val="0"/>
        </w:rPr>
        <w:t>spontaneous bacterial peritonitis cases. Objectives This review aims to evaluate the beneficial</w:t>
      </w:r>
      <w:r w:rsidR="005853A9">
        <w:rPr>
          <w:kern w:val="0"/>
        </w:rPr>
        <w:t xml:space="preserve"> and </w:t>
      </w:r>
      <w:r>
        <w:rPr>
          <w:kern w:val="0"/>
        </w:rPr>
        <w:t>harmful effects</w:t>
      </w:r>
      <w:r w:rsidR="00427468">
        <w:rPr>
          <w:kern w:val="0"/>
        </w:rPr>
        <w:t xml:space="preserve"> of </w:t>
      </w:r>
      <w:r>
        <w:rPr>
          <w:kern w:val="0"/>
        </w:rPr>
        <w:t>different types</w:t>
      </w:r>
      <w:r w:rsidR="005853A9">
        <w:rPr>
          <w:kern w:val="0"/>
        </w:rPr>
        <w:t xml:space="preserve"> and </w:t>
      </w:r>
      <w:r>
        <w:rPr>
          <w:kern w:val="0"/>
        </w:rPr>
        <w:t>modes</w:t>
      </w:r>
      <w:r w:rsidR="00427468">
        <w:rPr>
          <w:kern w:val="0"/>
        </w:rPr>
        <w:t xml:space="preserve"> of </w:t>
      </w:r>
      <w:r>
        <w:rPr>
          <w:kern w:val="0"/>
        </w:rPr>
        <w:t>antibiotic therapy in the treatment</w:t>
      </w:r>
      <w:r w:rsidR="00427468">
        <w:rPr>
          <w:kern w:val="0"/>
        </w:rPr>
        <w:t xml:space="preserve"> of </w:t>
      </w:r>
      <w:r>
        <w:rPr>
          <w:kern w:val="0"/>
        </w:rPr>
        <w:t>spontaneous bacterial peritonitis in cirrhotic patients. Search strategy We performed electronic searches in The Cochrane Hepato-Biliary Group Controlled Trials Register (July 2008), the Cochrane Central Register</w:t>
      </w:r>
      <w:r w:rsidR="00427468">
        <w:rPr>
          <w:kern w:val="0"/>
        </w:rPr>
        <w:t xml:space="preserve"> of </w:t>
      </w:r>
      <w:r>
        <w:rPr>
          <w:kern w:val="0"/>
        </w:rPr>
        <w:t xml:space="preserve">Controlled Trials (CENTRAL) in The Cochrane Library (Issue 3, 2008), </w:t>
      </w:r>
      <w:r w:rsidR="00D5664A">
        <w:rPr>
          <w:kern w:val="0"/>
        </w:rPr>
        <w:t>MEDLINE</w:t>
      </w:r>
      <w:r>
        <w:rPr>
          <w:kern w:val="0"/>
        </w:rPr>
        <w:t xml:space="preserve"> (1950 to July 2008), EMBASE (1980 to July 2008),</w:t>
      </w:r>
      <w:r w:rsidR="005853A9">
        <w:rPr>
          <w:kern w:val="0"/>
        </w:rPr>
        <w:t xml:space="preserve"> and </w:t>
      </w:r>
      <w:r>
        <w:rPr>
          <w:kern w:val="0"/>
        </w:rPr>
        <w:t>Science Citation Index EXPANDED (1945 to July 2008). In addition, we handsearched the references</w:t>
      </w:r>
      <w:r w:rsidR="00427468">
        <w:rPr>
          <w:kern w:val="0"/>
        </w:rPr>
        <w:t xml:space="preserve"> of </w:t>
      </w:r>
      <w:r>
        <w:rPr>
          <w:kern w:val="0"/>
        </w:rPr>
        <w:t>all identified studies</w:t>
      </w:r>
      <w:r w:rsidR="005853A9">
        <w:rPr>
          <w:kern w:val="0"/>
        </w:rPr>
        <w:t xml:space="preserve"> and </w:t>
      </w:r>
      <w:r>
        <w:rPr>
          <w:kern w:val="0"/>
        </w:rPr>
        <w:t>contacted the first author</w:t>
      </w:r>
      <w:r w:rsidR="00427468">
        <w:rPr>
          <w:kern w:val="0"/>
        </w:rPr>
        <w:t xml:space="preserve"> of </w:t>
      </w:r>
      <w:r>
        <w:rPr>
          <w:kern w:val="0"/>
        </w:rPr>
        <w:t>each included trial. Selection criteria Randomised studies comparing different types</w:t>
      </w:r>
      <w:r w:rsidR="00427468">
        <w:rPr>
          <w:kern w:val="0"/>
        </w:rPr>
        <w:t xml:space="preserve"> of </w:t>
      </w:r>
      <w:r>
        <w:rPr>
          <w:kern w:val="0"/>
        </w:rPr>
        <w:t>antibiotics for spontaneous bacterial peritonitis in cirrhotic patients. Data collection</w:t>
      </w:r>
      <w:r w:rsidR="005853A9">
        <w:rPr>
          <w:kern w:val="0"/>
        </w:rPr>
        <w:t xml:space="preserve"> and </w:t>
      </w:r>
      <w:r>
        <w:rPr>
          <w:kern w:val="0"/>
        </w:rPr>
        <w:t>analysis Data were independently extracted from the trials by at least two authors. Peto odds ratios or average differences, with their 95% confidence intervals, were estimated. Main results This systematic review attempted to summarise evidence from randomised clinical trials on the treatment</w:t>
      </w:r>
      <w:r w:rsidR="00427468">
        <w:rPr>
          <w:kern w:val="0"/>
        </w:rPr>
        <w:t xml:space="preserve"> of </w:t>
      </w:r>
      <w:r>
        <w:rPr>
          <w:kern w:val="0"/>
        </w:rPr>
        <w:t>spontaneous bacterial peritonitis. Thirteen studies were included; each one</w:t>
      </w:r>
      <w:r w:rsidR="00427468">
        <w:rPr>
          <w:kern w:val="0"/>
        </w:rPr>
        <w:t xml:space="preserve"> of </w:t>
      </w:r>
      <w:r>
        <w:rPr>
          <w:kern w:val="0"/>
        </w:rPr>
        <w:t>them compared different antibiotics in their experimental</w:t>
      </w:r>
      <w:r w:rsidR="005853A9">
        <w:rPr>
          <w:kern w:val="0"/>
        </w:rPr>
        <w:t xml:space="preserve"> and </w:t>
      </w:r>
      <w:r>
        <w:rPr>
          <w:kern w:val="0"/>
        </w:rPr>
        <w:t>control groups. No meta-analyses could be performed, though data on the main outcomes were collected</w:t>
      </w:r>
      <w:r w:rsidR="005853A9">
        <w:rPr>
          <w:kern w:val="0"/>
        </w:rPr>
        <w:t xml:space="preserve"> and </w:t>
      </w:r>
      <w:r>
        <w:rPr>
          <w:kern w:val="0"/>
        </w:rPr>
        <w:t xml:space="preserve">analysed separately for each included trial. Currently, the evidence showing that lower dosage </w:t>
      </w:r>
      <w:r>
        <w:rPr>
          <w:kern w:val="0"/>
        </w:rPr>
        <w:lastRenderedPageBreak/>
        <w:t>or short-term treatment with third generation cephalosporins is as effective as higher dosage or long-term treatment is weak. Oral quinolones could be considered an option for those with less severe manifestations</w:t>
      </w:r>
      <w:r w:rsidR="00427468">
        <w:rPr>
          <w:kern w:val="0"/>
        </w:rPr>
        <w:t xml:space="preserve"> of </w:t>
      </w:r>
      <w:r>
        <w:rPr>
          <w:kern w:val="0"/>
        </w:rPr>
        <w:t>the disease. Authors</w:t>
      </w:r>
      <w:r w:rsidR="0071223E">
        <w:rPr>
          <w:kern w:val="0"/>
        </w:rPr>
        <w:t>’</w:t>
      </w:r>
      <w:r>
        <w:rPr>
          <w:kern w:val="0"/>
        </w:rPr>
        <w:t xml:space="preserve"> conclusions This review provides no clear evidence for the treatment</w:t>
      </w:r>
      <w:r w:rsidR="00427468">
        <w:rPr>
          <w:kern w:val="0"/>
        </w:rPr>
        <w:t xml:space="preserve"> of </w:t>
      </w:r>
      <w:r>
        <w:rPr>
          <w:kern w:val="0"/>
        </w:rPr>
        <w:t>cirrhotic patients with spontaneous bacterial peritonitis. In practice, third generation cephalosporins have already been established as the standard treatment</w:t>
      </w:r>
      <w:r w:rsidR="00427468">
        <w:rPr>
          <w:kern w:val="0"/>
        </w:rPr>
        <w:t xml:space="preserve"> of </w:t>
      </w:r>
      <w:r>
        <w:rPr>
          <w:kern w:val="0"/>
        </w:rPr>
        <w:t>spontaneous bacterial peritonitis,</w:t>
      </w:r>
      <w:r w:rsidR="005853A9">
        <w:rPr>
          <w:kern w:val="0"/>
        </w:rPr>
        <w:t xml:space="preserve"> and </w:t>
      </w:r>
      <w:r>
        <w:rPr>
          <w:kern w:val="0"/>
        </w:rPr>
        <w:t>it is clear, that empirical antibiotic therapy should be provided in any case. However, until large, well-conducted trials provide more information, practice will remain based on impression, not evidence.</w:t>
      </w:r>
    </w:p>
    <w:p w:rsidR="00365DE4" w:rsidRDefault="00365DE4" w:rsidP="00365DE4">
      <w:pPr>
        <w:pStyle w:val="a3"/>
        <w:rPr>
          <w:kern w:val="0"/>
        </w:rPr>
      </w:pPr>
      <w:r>
        <w:rPr>
          <w:kern w:val="0"/>
        </w:rPr>
        <w:t xml:space="preserve">Keywords: Authors, Cefotaxime, Ceftriaxone, Citation, Efficacy, Groups, Infections, Intravenous Ciprofloxacin, Lead, Liver-Cirrhosis, </w:t>
      </w:r>
      <w:r w:rsidR="00D5664A">
        <w:rPr>
          <w:kern w:val="0"/>
        </w:rPr>
        <w:t>MEDLINE</w:t>
      </w:r>
      <w:r>
        <w:rPr>
          <w:kern w:val="0"/>
        </w:rPr>
        <w:t>, Oral Ciprofloxacin, Prophylaxis, Randomized Controlled-Trials, Review, Science Citation Index, Systematic Review, Therapy, Treatment</w:t>
      </w:r>
    </w:p>
    <w:p w:rsidR="00365DE4" w:rsidRDefault="00365DE4" w:rsidP="00365DE4">
      <w:pPr>
        <w:pStyle w:val="a3"/>
        <w:rPr>
          <w:kern w:val="0"/>
        </w:rPr>
      </w:pPr>
      <w:r>
        <w:rPr>
          <w:kern w:val="0"/>
        </w:rPr>
        <w:t>? Duijvestijn, Y.C.M., Mourdi, N., Smucny, J., Pons, G.</w:t>
      </w:r>
      <w:r w:rsidR="005853A9">
        <w:rPr>
          <w:kern w:val="0"/>
        </w:rPr>
        <w:t xml:space="preserve"> and </w:t>
      </w:r>
      <w:r>
        <w:rPr>
          <w:kern w:val="0"/>
        </w:rPr>
        <w:t>Chalumeau, M. (2009), Acetylcysteine</w:t>
      </w:r>
      <w:r w:rsidR="005853A9">
        <w:rPr>
          <w:kern w:val="0"/>
        </w:rPr>
        <w:t xml:space="preserve"> and </w:t>
      </w:r>
      <w:r>
        <w:rPr>
          <w:kern w:val="0"/>
        </w:rPr>
        <w:t>carbocysteine for acute upper</w:t>
      </w:r>
      <w:r w:rsidR="005853A9">
        <w:rPr>
          <w:kern w:val="0"/>
        </w:rPr>
        <w:t xml:space="preserve"> and </w:t>
      </w:r>
      <w:r>
        <w:rPr>
          <w:kern w:val="0"/>
        </w:rPr>
        <w:t xml:space="preserve">lower respiratory tract infections in paediatric patients without chronic broncho-pulmonary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CD003124.</w:t>
      </w:r>
    </w:p>
    <w:p w:rsidR="00365DE4" w:rsidRDefault="00365DE4" w:rsidP="00365DE4">
      <w:pPr>
        <w:pStyle w:val="a3"/>
        <w:rPr>
          <w:kern w:val="2"/>
        </w:rPr>
      </w:pPr>
      <w:r>
        <w:t xml:space="preserve">Full Text: </w:t>
      </w:r>
      <w:hyperlink r:id="rId542" w:history="1">
        <w:r>
          <w:rPr>
            <w:rStyle w:val="a5"/>
          </w:rPr>
          <w:t>2009\Coc Dat Sys Rev2009, CD003124.pdf</w:t>
        </w:r>
      </w:hyperlink>
    </w:p>
    <w:p w:rsidR="00365DE4" w:rsidRDefault="00365DE4" w:rsidP="00365DE4">
      <w:pPr>
        <w:pStyle w:val="a3"/>
      </w:pPr>
      <w:r>
        <w:t>Abstract: Background</w:t>
      </w:r>
    </w:p>
    <w:p w:rsidR="00365DE4" w:rsidRDefault="00365DE4" w:rsidP="00365DE4">
      <w:pPr>
        <w:pStyle w:val="a3"/>
      </w:pPr>
      <w:r>
        <w:t>Acetylcysteine</w:t>
      </w:r>
      <w:r w:rsidR="005853A9">
        <w:t xml:space="preserve"> and </w:t>
      </w:r>
      <w:r>
        <w:t>carbocysteine are the most commonly prescribed mucolytic drugs in many European countries. To our knowledge, no systematic review has been published on their efficacy</w:t>
      </w:r>
      <w:r w:rsidR="005853A9">
        <w:t xml:space="preserve"> and </w:t>
      </w:r>
      <w:r>
        <w:t>safety for acute upper</w:t>
      </w:r>
      <w:r w:rsidR="005853A9">
        <w:t xml:space="preserve"> and </w:t>
      </w:r>
      <w:r>
        <w:t>lower respiratory tract infections (ARTIs) in children without chronic broncho-pulmonary disease.</w:t>
      </w:r>
    </w:p>
    <w:p w:rsidR="00365DE4" w:rsidRDefault="00365DE4" w:rsidP="00365DE4">
      <w:pPr>
        <w:pStyle w:val="a3"/>
      </w:pPr>
      <w:r>
        <w:t>Objectives</w:t>
      </w:r>
    </w:p>
    <w:p w:rsidR="00365DE4" w:rsidRDefault="00365DE4" w:rsidP="00365DE4">
      <w:pPr>
        <w:pStyle w:val="a3"/>
      </w:pPr>
      <w:r>
        <w:t>The objective was to assess the efficacy</w:t>
      </w:r>
      <w:r w:rsidR="005853A9">
        <w:t xml:space="preserve"> and </w:t>
      </w:r>
      <w:r>
        <w:t>safety</w:t>
      </w:r>
      <w:r w:rsidR="005853A9">
        <w:t xml:space="preserve"> and </w:t>
      </w:r>
      <w:r>
        <w:t>to establish a benefit-risk ratio</w:t>
      </w:r>
      <w:r w:rsidR="00427468">
        <w:t xml:space="preserve"> of </w:t>
      </w:r>
      <w:r>
        <w:t>acetylcysteine</w:t>
      </w:r>
      <w:r w:rsidR="005853A9">
        <w:t xml:space="preserve"> and </w:t>
      </w:r>
      <w:r>
        <w:t>carbocysteine as symptomatic treatments for ARTIs in children without chronic broncho-pulmonary disease.</w:t>
      </w:r>
    </w:p>
    <w:p w:rsidR="00365DE4" w:rsidRDefault="00365DE4" w:rsidP="00365DE4">
      <w:pPr>
        <w:pStyle w:val="a3"/>
      </w:pPr>
      <w:r>
        <w:t>Search strategy</w:t>
      </w:r>
    </w:p>
    <w:p w:rsidR="00365DE4" w:rsidRDefault="00365DE4" w:rsidP="00365DE4">
      <w:pPr>
        <w:pStyle w:val="a3"/>
      </w:pPr>
      <w:r>
        <w:t>We searched the Cochrane Central Register</w:t>
      </w:r>
      <w:r w:rsidR="00427468">
        <w:t xml:space="preserve"> of </w:t>
      </w:r>
      <w:r>
        <w:t>Controlled Trials (CENTRAL) (The Cochrane Library 2007, issue 4) which contains the Acute Respiratory Infections (ARI) Group</w:t>
      </w:r>
      <w:r w:rsidR="0071223E">
        <w:t>’</w:t>
      </w:r>
      <w:r>
        <w:t xml:space="preserve">s Specialized Register, </w:t>
      </w:r>
      <w:r w:rsidR="00D5664A">
        <w:t>MEDLINE</w:t>
      </w:r>
      <w:r>
        <w:t xml:space="preserve"> (1966 to 2008), EMBASE (1980 to 2008); Micromedex (2008), Pascal (1987 to 2004),</w:t>
      </w:r>
      <w:r w:rsidR="005853A9">
        <w:t xml:space="preserve"> and </w:t>
      </w:r>
      <w:r>
        <w:t>Science Citation Index (1974 to 2008).</w:t>
      </w:r>
    </w:p>
    <w:p w:rsidR="00365DE4" w:rsidRDefault="00365DE4" w:rsidP="00365DE4">
      <w:pPr>
        <w:pStyle w:val="a3"/>
      </w:pPr>
      <w:r>
        <w:t>Selection criteria</w:t>
      </w:r>
    </w:p>
    <w:p w:rsidR="00365DE4" w:rsidRDefault="00365DE4" w:rsidP="00365DE4">
      <w:pPr>
        <w:pStyle w:val="a3"/>
      </w:pPr>
      <w:r>
        <w:t>To study efficacy, we used randomised controlled trials (RCTs) comparing the use</w:t>
      </w:r>
      <w:r w:rsidR="00427468">
        <w:t xml:space="preserve"> of </w:t>
      </w:r>
      <w:r>
        <w:t>acetylcysteine or carbocysteine versus placebo either alone or as an add-on therapy. To study safety, we also used trials comparing the use</w:t>
      </w:r>
      <w:r w:rsidR="00427468">
        <w:t xml:space="preserve"> of </w:t>
      </w:r>
      <w:r>
        <w:t>acetylcysteine or carbocysteine versus active treatment or no treatment</w:t>
      </w:r>
      <w:r w:rsidR="005853A9">
        <w:t xml:space="preserve"> and </w:t>
      </w:r>
      <w:r>
        <w:t>case reports.</w:t>
      </w:r>
    </w:p>
    <w:p w:rsidR="00365DE4" w:rsidRDefault="00365DE4" w:rsidP="00365DE4">
      <w:pPr>
        <w:pStyle w:val="a3"/>
      </w:pPr>
      <w:r>
        <w:t>Data collection</w:t>
      </w:r>
      <w:r w:rsidR="005853A9">
        <w:t xml:space="preserve"> and </w:t>
      </w:r>
      <w:r>
        <w:t>analysis</w:t>
      </w:r>
    </w:p>
    <w:p w:rsidR="00365DE4" w:rsidRDefault="00365DE4" w:rsidP="00365DE4">
      <w:pPr>
        <w:pStyle w:val="a3"/>
      </w:pPr>
      <w:r>
        <w:lastRenderedPageBreak/>
        <w:t>At least two review authors extracted data</w:t>
      </w:r>
      <w:r w:rsidR="005853A9">
        <w:t xml:space="preserve"> and </w:t>
      </w:r>
      <w:r>
        <w:t>assessed trial quality. We performed a subgroup analysis</w:t>
      </w:r>
      <w:r w:rsidR="00427468">
        <w:t xml:space="preserve"> of </w:t>
      </w:r>
      <w:r>
        <w:t>children younger than two years</w:t>
      </w:r>
      <w:r w:rsidR="00427468">
        <w:t xml:space="preserve"> of </w:t>
      </w:r>
      <w:r>
        <w:t>age.</w:t>
      </w:r>
    </w:p>
    <w:p w:rsidR="00365DE4" w:rsidRDefault="00365DE4" w:rsidP="00365DE4">
      <w:pPr>
        <w:pStyle w:val="a3"/>
      </w:pPr>
      <w:r>
        <w:t>Main results</w:t>
      </w:r>
    </w:p>
    <w:p w:rsidR="00365DE4" w:rsidRDefault="00365DE4" w:rsidP="00365DE4">
      <w:pPr>
        <w:pStyle w:val="a3"/>
      </w:pPr>
      <w:r>
        <w:t>Six trials involving 497 participants were included to study efficacy</w:t>
      </w:r>
      <w:r w:rsidR="00A37C1D">
        <w:t>. The</w:t>
      </w:r>
      <w:r>
        <w:t>y showed some benefit from mucolytic agents, although differences were</w:t>
      </w:r>
      <w:r w:rsidR="00427468">
        <w:t xml:space="preserve"> of </w:t>
      </w:r>
      <w:r>
        <w:t>little clinical relevance. No conclusion was drawn about the subgroup</w:t>
      </w:r>
      <w:r w:rsidR="00427468">
        <w:t xml:space="preserve"> of </w:t>
      </w:r>
      <w:r>
        <w:t>infants younger than two years because the data were unavailable. Thirty-four studies including the previous six trials involving 2064 children were eligible to study safety. Overall safety was good but very few data were available to evaluate safety in infants younger than two years. However, 48 cases</w:t>
      </w:r>
      <w:r w:rsidR="00427468">
        <w:t xml:space="preserve"> of </w:t>
      </w:r>
      <w:r>
        <w:t>paradoxically increased bronchorrhoea observed in infants were reported to the French pharmacovigilance system.</w:t>
      </w:r>
    </w:p>
    <w:p w:rsidR="00365DE4" w:rsidRDefault="00365DE4" w:rsidP="00365DE4">
      <w:pPr>
        <w:pStyle w:val="a3"/>
      </w:pPr>
      <w:r>
        <w:t>Authors</w:t>
      </w:r>
      <w:r w:rsidR="0071223E">
        <w:t>’</w:t>
      </w:r>
      <w:r>
        <w:t xml:space="preserve"> conclusions</w:t>
      </w:r>
    </w:p>
    <w:p w:rsidR="00365DE4" w:rsidRDefault="00365DE4" w:rsidP="00365DE4">
      <w:pPr>
        <w:pStyle w:val="a3"/>
      </w:pPr>
      <w:r>
        <w:t>The results</w:t>
      </w:r>
      <w:r w:rsidR="00427468">
        <w:t xml:space="preserve"> of </w:t>
      </w:r>
      <w:r>
        <w:t>this review have to be interpreted with caution because it was based on a limited number</w:t>
      </w:r>
      <w:r w:rsidR="00427468">
        <w:t xml:space="preserve"> of </w:t>
      </w:r>
      <w:r>
        <w:t>participants included in studies whose methodological quality is questionable. Acetylcysteine</w:t>
      </w:r>
      <w:r w:rsidR="005853A9">
        <w:t xml:space="preserve"> and </w:t>
      </w:r>
      <w:r>
        <w:t>carbocysteine seem to have a limited efficacy</w:t>
      </w:r>
      <w:r w:rsidR="005853A9">
        <w:t xml:space="preserve"> and </w:t>
      </w:r>
      <w:r>
        <w:t>appear to be safe in children older than two years</w:t>
      </w:r>
      <w:r w:rsidR="00A37C1D">
        <w:t>. The</w:t>
      </w:r>
      <w:r>
        <w:t>se results should take into consideration the fact that acetylcysteine</w:t>
      </w:r>
      <w:r w:rsidR="005853A9">
        <w:t xml:space="preserve"> and </w:t>
      </w:r>
      <w:r>
        <w:t>carbocysteine are prescribed for self-limiting diseases (for example, acute cough, bronchitis). Regarding children younger than two years, given concerns about safety, these drugs should only be used for ARTIs in the context</w:t>
      </w:r>
      <w:r w:rsidR="00427468">
        <w:t xml:space="preserve"> of </w:t>
      </w:r>
      <w:r>
        <w:t>an RCT.</w:t>
      </w:r>
    </w:p>
    <w:p w:rsidR="00365DE4" w:rsidRDefault="00365DE4" w:rsidP="00365DE4">
      <w:pPr>
        <w:pStyle w:val="a3"/>
      </w:pPr>
      <w:r>
        <w:t>Keywords: Plus Mucolytic Treatment, Adverse Drug-Reactions, Oral Acetylcysteine, Bronchial Diseases, N-Acetylcysteine, Children, Infants, Cefuroxime, Secretion, France</w:t>
      </w:r>
    </w:p>
    <w:p w:rsidR="00365DE4" w:rsidRDefault="00365DE4" w:rsidP="00365DE4">
      <w:pPr>
        <w:pStyle w:val="a3"/>
        <w:rPr>
          <w:kern w:val="0"/>
        </w:rPr>
      </w:pPr>
      <w:r>
        <w:rPr>
          <w:kern w:val="0"/>
        </w:rPr>
        <w:t>? Gur</w:t>
      </w:r>
      <w:r w:rsidR="00D5664A">
        <w:rPr>
          <w:kern w:val="0"/>
        </w:rPr>
        <w:t>USA</w:t>
      </w:r>
      <w:r>
        <w:rPr>
          <w:kern w:val="0"/>
        </w:rPr>
        <w:t>my, K.S., Aggarwal, R., Palanivelu, L.</w:t>
      </w:r>
      <w:r w:rsidR="005853A9">
        <w:rPr>
          <w:kern w:val="0"/>
        </w:rPr>
        <w:t xml:space="preserve"> and </w:t>
      </w:r>
      <w:r>
        <w:rPr>
          <w:kern w:val="0"/>
        </w:rPr>
        <w:t xml:space="preserve">Davidson, B.R. (2009), Virtual reality training for surgical trainees in laparoscopic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CD006575.</w:t>
      </w:r>
    </w:p>
    <w:p w:rsidR="00365DE4" w:rsidRDefault="00365DE4" w:rsidP="00365DE4">
      <w:pPr>
        <w:pStyle w:val="a3"/>
        <w:rPr>
          <w:kern w:val="2"/>
        </w:rPr>
      </w:pPr>
      <w:r>
        <w:t xml:space="preserve">Full Text: </w:t>
      </w:r>
      <w:hyperlink r:id="rId543" w:history="1">
        <w:r>
          <w:rPr>
            <w:rStyle w:val="a5"/>
          </w:rPr>
          <w:t>2009\Coc Dat Sys Rev2009, CD006575.pdf</w:t>
        </w:r>
      </w:hyperlink>
    </w:p>
    <w:p w:rsidR="00365DE4" w:rsidRDefault="00365DE4" w:rsidP="00365DE4">
      <w:pPr>
        <w:pStyle w:val="a3"/>
        <w:rPr>
          <w:kern w:val="0"/>
        </w:rPr>
      </w:pPr>
      <w:r>
        <w:rPr>
          <w:kern w:val="0"/>
        </w:rPr>
        <w:t>Abstract: Background Surgical training has traditionally been one</w:t>
      </w:r>
      <w:r w:rsidR="00427468">
        <w:rPr>
          <w:kern w:val="0"/>
        </w:rPr>
        <w:t xml:space="preserve"> of </w:t>
      </w:r>
      <w:r>
        <w:rPr>
          <w:kern w:val="0"/>
        </w:rPr>
        <w:t>apprenticeship, where the surgical trainee learns to perform surgery under the supervision</w:t>
      </w:r>
      <w:r w:rsidR="00427468">
        <w:rPr>
          <w:kern w:val="0"/>
        </w:rPr>
        <w:t xml:space="preserve"> of </w:t>
      </w:r>
      <w:r>
        <w:rPr>
          <w:kern w:val="0"/>
        </w:rPr>
        <w:t>a trained surgeon. This is time consuming, costly,</w:t>
      </w:r>
      <w:r w:rsidR="005853A9">
        <w:rPr>
          <w:kern w:val="0"/>
        </w:rPr>
        <w:t xml:space="preserve"> and</w:t>
      </w:r>
      <w:r w:rsidR="00427468">
        <w:rPr>
          <w:kern w:val="0"/>
        </w:rPr>
        <w:t xml:space="preserve"> of </w:t>
      </w:r>
      <w:r>
        <w:rPr>
          <w:kern w:val="0"/>
        </w:rPr>
        <w:t>variable effectiveness. Training using a virtual reality simulator is an option to supplement standard training. Objectives To determine whether virtual reality training can supplement or replace conventional laparoscopic surgical training (apprenticeship) in surgical trainees with limited or no prior laparoscopic experience.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grey literature until March 2008. Selection criteria We included all randomised clinical trials comparing virtual reality training versus other forms</w:t>
      </w:r>
      <w:r w:rsidR="00427468">
        <w:rPr>
          <w:kern w:val="0"/>
        </w:rPr>
        <w:t xml:space="preserve"> of </w:t>
      </w:r>
      <w:r>
        <w:rPr>
          <w:kern w:val="0"/>
        </w:rPr>
        <w:t xml:space="preserve">training including video trainer training, no training, or </w:t>
      </w:r>
      <w:r>
        <w:rPr>
          <w:kern w:val="0"/>
        </w:rPr>
        <w:lastRenderedPageBreak/>
        <w:t>standard laparoscopic training in surgical trainees with little or no prior laparoscopic experience. We also included trials comparing different methods</w:t>
      </w:r>
      <w:r w:rsidR="00427468">
        <w:rPr>
          <w:kern w:val="0"/>
        </w:rPr>
        <w:t xml:space="preserve"> of </w:t>
      </w:r>
      <w:r>
        <w:rPr>
          <w:kern w:val="0"/>
        </w:rPr>
        <w:t>virtual reality training. Data collection</w:t>
      </w:r>
      <w:r w:rsidR="005853A9">
        <w:rPr>
          <w:kern w:val="0"/>
        </w:rPr>
        <w:t xml:space="preserve"> and </w:t>
      </w:r>
      <w:r>
        <w:rPr>
          <w:kern w:val="0"/>
        </w:rPr>
        <w:t>analysis We collected the data on the characteristics</w:t>
      </w:r>
      <w:r w:rsidR="00427468">
        <w:rPr>
          <w:kern w:val="0"/>
        </w:rPr>
        <w:t xml:space="preserve"> of </w:t>
      </w:r>
      <w:r>
        <w:rPr>
          <w:kern w:val="0"/>
        </w:rPr>
        <w:t>the trial, methodological quality</w:t>
      </w:r>
      <w:r w:rsidR="00427468">
        <w:rPr>
          <w:kern w:val="0"/>
        </w:rPr>
        <w:t xml:space="preserve"> of </w:t>
      </w:r>
      <w:r>
        <w:rPr>
          <w:kern w:val="0"/>
        </w:rPr>
        <w:t>the trials, mortality, morbidity, conversion rate, operating time,</w:t>
      </w:r>
      <w:r w:rsidR="005853A9">
        <w:rPr>
          <w:kern w:val="0"/>
        </w:rPr>
        <w:t xml:space="preserve"> and </w:t>
      </w:r>
      <w:r>
        <w:rPr>
          <w:kern w:val="0"/>
        </w:rPr>
        <w:t>hospital stay. We analysed the data with both the fixed-effect</w:t>
      </w:r>
      <w:r w:rsidR="005853A9">
        <w:rPr>
          <w:kern w:val="0"/>
        </w:rPr>
        <w:t xml:space="preserve"> and </w:t>
      </w:r>
      <w:r>
        <w:rPr>
          <w:kern w:val="0"/>
        </w:rPr>
        <w:t>the random-effects models using RevMan Analysis. For each outcome we calculated the standardised mean difference with 95% confidence intervals based on intention-to-treat analysis. Main results We included 23 trials with 612 participants. Four trials compared virtual reality versus video trainer training. Twelve trials compared virtual reality versus no training or standard laparoscopic training. Four trials compared virtual reality, video trainer training</w:t>
      </w:r>
      <w:r w:rsidR="005853A9">
        <w:rPr>
          <w:kern w:val="0"/>
        </w:rPr>
        <w:t xml:space="preserve"> and </w:t>
      </w:r>
      <w:r>
        <w:rPr>
          <w:kern w:val="0"/>
        </w:rPr>
        <w:t>no training, or standard laparoscopic training. Three trials compared different methods</w:t>
      </w:r>
      <w:r w:rsidR="00427468">
        <w:rPr>
          <w:kern w:val="0"/>
        </w:rPr>
        <w:t xml:space="preserve"> of </w:t>
      </w:r>
      <w:r>
        <w:rPr>
          <w:kern w:val="0"/>
        </w:rPr>
        <w:t>virtual reality training. Most</w:t>
      </w:r>
      <w:r w:rsidR="00427468">
        <w:rPr>
          <w:kern w:val="0"/>
        </w:rPr>
        <w:t xml:space="preserve"> of </w:t>
      </w:r>
      <w:r>
        <w:rPr>
          <w:kern w:val="0"/>
        </w:rPr>
        <w:t>the trials were</w:t>
      </w:r>
      <w:r w:rsidR="00427468">
        <w:rPr>
          <w:kern w:val="0"/>
        </w:rPr>
        <w:t xml:space="preserve"> of </w:t>
      </w:r>
      <w:r>
        <w:rPr>
          <w:kern w:val="0"/>
        </w:rPr>
        <w:t>high risk</w:t>
      </w:r>
      <w:r w:rsidR="00427468">
        <w:rPr>
          <w:kern w:val="0"/>
        </w:rPr>
        <w:t xml:space="preserve"> of </w:t>
      </w:r>
      <w:r>
        <w:rPr>
          <w:kern w:val="0"/>
        </w:rPr>
        <w:t>bias. In trainees without prior surgical experience, virtual reality training decreased the time taken to complete a task, increased accuracy,</w:t>
      </w:r>
      <w:r w:rsidR="005853A9">
        <w:rPr>
          <w:kern w:val="0"/>
        </w:rPr>
        <w:t xml:space="preserve"> and </w:t>
      </w:r>
      <w:r>
        <w:rPr>
          <w:kern w:val="0"/>
        </w:rPr>
        <w:t>decreased errors compared with no training; virtual reality group was more accurate than video trainer training group. In the participants with limited laparoscopic experience, virtual reality training reduces operating time</w:t>
      </w:r>
      <w:r w:rsidR="005853A9">
        <w:rPr>
          <w:kern w:val="0"/>
        </w:rPr>
        <w:t xml:space="preserve"> and </w:t>
      </w:r>
      <w:r>
        <w:rPr>
          <w:kern w:val="0"/>
        </w:rPr>
        <w:t>error better than standard in the laparoscopic training group; composite operative performance score was better in the virtual reality group than in the video trainer group. Authors</w:t>
      </w:r>
      <w:r w:rsidR="0071223E">
        <w:rPr>
          <w:kern w:val="0"/>
        </w:rPr>
        <w:t>’</w:t>
      </w:r>
      <w:r>
        <w:rPr>
          <w:kern w:val="0"/>
        </w:rPr>
        <w:t xml:space="preserve"> conclusions Virtual reality training can supplement standard laparoscopic surgical training</w:t>
      </w:r>
      <w:r w:rsidR="00427468">
        <w:rPr>
          <w:kern w:val="0"/>
        </w:rPr>
        <w:t xml:space="preserve"> of </w:t>
      </w:r>
      <w:r>
        <w:rPr>
          <w:kern w:val="0"/>
        </w:rPr>
        <w:t>apprenticeship</w:t>
      </w:r>
      <w:r w:rsidR="005853A9">
        <w:rPr>
          <w:kern w:val="0"/>
        </w:rPr>
        <w:t xml:space="preserve"> and </w:t>
      </w:r>
      <w:r>
        <w:rPr>
          <w:kern w:val="0"/>
        </w:rPr>
        <w:t>is at least as effective as video trainer training in supplementing standard laparoscopic training. Further research</w:t>
      </w:r>
      <w:r w:rsidR="00427468">
        <w:rPr>
          <w:kern w:val="0"/>
        </w:rPr>
        <w:t xml:space="preserve"> of </w:t>
      </w:r>
      <w:r>
        <w:rPr>
          <w:kern w:val="0"/>
        </w:rPr>
        <w:t>better methodological quality</w:t>
      </w:r>
      <w:r w:rsidR="005853A9">
        <w:rPr>
          <w:kern w:val="0"/>
        </w:rPr>
        <w:t xml:space="preserve"> and </w:t>
      </w:r>
      <w:r>
        <w:rPr>
          <w:kern w:val="0"/>
        </w:rPr>
        <w:t>more patient-relevant outcomes are needed.</w:t>
      </w:r>
    </w:p>
    <w:p w:rsidR="00365DE4" w:rsidRDefault="00365DE4" w:rsidP="00365DE4">
      <w:pPr>
        <w:pStyle w:val="a3"/>
        <w:rPr>
          <w:kern w:val="0"/>
        </w:rPr>
      </w:pPr>
      <w:r>
        <w:rPr>
          <w:kern w:val="0"/>
        </w:rPr>
        <w:t xml:space="preserve">Keywords: Accuracy, Acquisition, Authors, Bias, Characteristics, Citation, Clinical Trials, Clinical-Trials, Composite, Criteria, Effectiveness, Empirical-Evidence, High Risk, High-Risk, Laparoscopic Surgery, Learning-Curve, Literature, </w:t>
      </w:r>
      <w:r w:rsidR="00D5664A">
        <w:rPr>
          <w:kern w:val="0"/>
        </w:rPr>
        <w:t>MEDLINE</w:t>
      </w:r>
      <w:r>
        <w:rPr>
          <w:kern w:val="0"/>
        </w:rPr>
        <w:t>, Metaanalysis, Methods, Mist-VR, Models, Operating-Room Performance, Outcomes, Psychomotor-Skills, Randomized Controlled-Trial, Research, Risk, Science, Science Citation Index, Simulator, Surgery, Task, Training</w:t>
      </w:r>
    </w:p>
    <w:p w:rsidR="00365DE4" w:rsidRDefault="00365DE4" w:rsidP="00365DE4">
      <w:pPr>
        <w:pStyle w:val="a3"/>
        <w:rPr>
          <w:kern w:val="0"/>
        </w:rPr>
      </w:pPr>
      <w:r>
        <w:rPr>
          <w:kern w:val="0"/>
        </w:rPr>
        <w:t>? Gur</w:t>
      </w:r>
      <w:r w:rsidR="00D5664A">
        <w:rPr>
          <w:kern w:val="0"/>
        </w:rPr>
        <w:t>USA</w:t>
      </w:r>
      <w:r>
        <w:rPr>
          <w:kern w:val="0"/>
        </w:rPr>
        <w:t>my, K.S., Samraj, K., F</w:t>
      </w:r>
      <w:r w:rsidR="00D5664A">
        <w:rPr>
          <w:kern w:val="0"/>
        </w:rPr>
        <w:t>USA</w:t>
      </w:r>
      <w:r>
        <w:rPr>
          <w:kern w:val="0"/>
        </w:rPr>
        <w:t>i, G.</w:t>
      </w:r>
      <w:r w:rsidR="005853A9">
        <w:rPr>
          <w:kern w:val="0"/>
        </w:rPr>
        <w:t xml:space="preserve"> and </w:t>
      </w:r>
      <w:r>
        <w:rPr>
          <w:kern w:val="0"/>
        </w:rPr>
        <w:t xml:space="preserve">Davidson, B.R. (2009), Robot assistant for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CD006578.</w:t>
      </w:r>
    </w:p>
    <w:p w:rsidR="00365DE4" w:rsidRDefault="00365DE4" w:rsidP="00365DE4">
      <w:pPr>
        <w:pStyle w:val="a3"/>
        <w:rPr>
          <w:kern w:val="2"/>
        </w:rPr>
      </w:pPr>
      <w:r>
        <w:t xml:space="preserve">Full Text: </w:t>
      </w:r>
      <w:hyperlink r:id="rId544" w:history="1">
        <w:r>
          <w:rPr>
            <w:rStyle w:val="a5"/>
          </w:rPr>
          <w:t>2009\Coc Dat Sys Rev2009, CD006578.pdf</w:t>
        </w:r>
      </w:hyperlink>
    </w:p>
    <w:p w:rsidR="00365DE4" w:rsidRDefault="00365DE4" w:rsidP="00365DE4">
      <w:pPr>
        <w:pStyle w:val="a3"/>
        <w:rPr>
          <w:kern w:val="0"/>
        </w:rPr>
      </w:pPr>
      <w:r>
        <w:rPr>
          <w:kern w:val="0"/>
        </w:rPr>
        <w:t>Abstract: Background The role</w:t>
      </w:r>
      <w:r w:rsidR="00427468">
        <w:rPr>
          <w:kern w:val="0"/>
        </w:rPr>
        <w:t xml:space="preserve"> of </w:t>
      </w:r>
      <w:r>
        <w:rPr>
          <w:kern w:val="0"/>
        </w:rPr>
        <w:t>a robotic assistant in laparoscopic cholecystectomy is controversial. While some trials have shown distinct advantages</w:t>
      </w:r>
      <w:r w:rsidR="00427468">
        <w:rPr>
          <w:kern w:val="0"/>
        </w:rPr>
        <w:t xml:space="preserve"> of </w:t>
      </w:r>
      <w:r>
        <w:rPr>
          <w:kern w:val="0"/>
        </w:rPr>
        <w:t>robotic assistant over a human assistant, others have not,</w:t>
      </w:r>
      <w:r w:rsidR="005853A9">
        <w:rPr>
          <w:kern w:val="0"/>
        </w:rPr>
        <w:t xml:space="preserve"> and </w:t>
      </w:r>
      <w:r>
        <w:rPr>
          <w:kern w:val="0"/>
        </w:rPr>
        <w:t>it is unclear which robotic assistant is best. Objectives The aims</w:t>
      </w:r>
      <w:r w:rsidR="00427468">
        <w:rPr>
          <w:kern w:val="0"/>
        </w:rPr>
        <w:t xml:space="preserve"> of </w:t>
      </w:r>
      <w:r>
        <w:rPr>
          <w:kern w:val="0"/>
        </w:rPr>
        <w:t>this review are to compare the safety</w:t>
      </w:r>
      <w:r w:rsidR="00427468">
        <w:rPr>
          <w:kern w:val="0"/>
        </w:rPr>
        <w:t xml:space="preserve"> of </w:t>
      </w:r>
      <w:r>
        <w:rPr>
          <w:kern w:val="0"/>
        </w:rPr>
        <w:t>robot assistant versus human assistant in laparoscopic cholecystectomy</w:t>
      </w:r>
      <w:r w:rsidR="005853A9">
        <w:rPr>
          <w:kern w:val="0"/>
        </w:rPr>
        <w:t xml:space="preserve"> and </w:t>
      </w:r>
      <w:r>
        <w:rPr>
          <w:kern w:val="0"/>
        </w:rPr>
        <w:t xml:space="preserve">to assess whether the robot can substitute for the human assistant. Search strategy We searched The </w:t>
      </w:r>
      <w:r>
        <w:rPr>
          <w:kern w:val="0"/>
        </w:rPr>
        <w:lastRenderedPageBreak/>
        <w:t>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 de x Expanded until May 2008 for identifying the randomised trials using The Cochrane Hepato-Biliary Group search strategy. Selection criteria Only randomised clinical trials (irrespective</w:t>
      </w:r>
      <w:r w:rsidR="00427468">
        <w:rPr>
          <w:kern w:val="0"/>
        </w:rPr>
        <w:t xml:space="preserve"> of </w:t>
      </w:r>
      <w:r>
        <w:rPr>
          <w:kern w:val="0"/>
        </w:rPr>
        <w:t>language, blinding, or publication status) comparing robot assistants versus human assistants in laparoscopic cholecystectomy were considered for the review. Randomised clinical trials comparing different types</w:t>
      </w:r>
      <w:r w:rsidR="00427468">
        <w:rPr>
          <w:kern w:val="0"/>
        </w:rPr>
        <w:t xml:space="preserve"> of </w:t>
      </w:r>
      <w:r>
        <w:rPr>
          <w:kern w:val="0"/>
        </w:rPr>
        <w:t>robot assistants were also considered for the review. Data collection</w:t>
      </w:r>
      <w:r w:rsidR="005853A9">
        <w:rPr>
          <w:kern w:val="0"/>
        </w:rPr>
        <w:t xml:space="preserve"> and </w:t>
      </w:r>
      <w:r>
        <w:rPr>
          <w:kern w:val="0"/>
        </w:rPr>
        <w:t>analysis Two authors independently identified the trials for exclusion</w:t>
      </w:r>
      <w:r w:rsidR="005853A9">
        <w:rPr>
          <w:kern w:val="0"/>
        </w:rPr>
        <w:t xml:space="preserve"> and </w:t>
      </w:r>
      <w:r>
        <w:rPr>
          <w:kern w:val="0"/>
        </w:rPr>
        <w:t>independently extracted the data. We calculated the risk ratio, mean difference, or standardised mean difference with 95% confidence intervals using the fixed-effect</w:t>
      </w:r>
      <w:r w:rsidR="005853A9">
        <w:rPr>
          <w:kern w:val="0"/>
        </w:rPr>
        <w:t xml:space="preserve"> and </w:t>
      </w:r>
      <w:r>
        <w:rPr>
          <w:kern w:val="0"/>
        </w:rPr>
        <w:t>the random-effects models based on available case-analysis using RevMan 5. Main results We included five trials (all</w:t>
      </w:r>
      <w:r w:rsidR="00427468">
        <w:rPr>
          <w:kern w:val="0"/>
        </w:rPr>
        <w:t xml:space="preserve"> of </w:t>
      </w:r>
      <w:r>
        <w:rPr>
          <w:kern w:val="0"/>
        </w:rPr>
        <w:t>high risk</w:t>
      </w:r>
      <w:r w:rsidR="00427468">
        <w:rPr>
          <w:kern w:val="0"/>
        </w:rPr>
        <w:t xml:space="preserve"> of </w:t>
      </w:r>
      <w:r>
        <w:rPr>
          <w:kern w:val="0"/>
        </w:rPr>
        <w:t>bias) with 453 patients randomised: 159 to the robot-assistant group</w:t>
      </w:r>
      <w:r w:rsidR="005853A9">
        <w:rPr>
          <w:kern w:val="0"/>
        </w:rPr>
        <w:t xml:space="preserve"> and </w:t>
      </w:r>
      <w:r>
        <w:rPr>
          <w:kern w:val="0"/>
        </w:rPr>
        <w:t>165 to the human assistant group (one trial report</w:t>
      </w:r>
      <w:r w:rsidR="00427468">
        <w:rPr>
          <w:kern w:val="0"/>
        </w:rPr>
        <w:t xml:space="preserve"> of </w:t>
      </w:r>
      <w:r>
        <w:rPr>
          <w:kern w:val="0"/>
        </w:rPr>
        <w:t>129 patients was a conference abstract, not reporting on the number</w:t>
      </w:r>
      <w:r w:rsidR="00427468">
        <w:rPr>
          <w:kern w:val="0"/>
        </w:rPr>
        <w:t xml:space="preserve"> of </w:t>
      </w:r>
      <w:r>
        <w:rPr>
          <w:kern w:val="0"/>
        </w:rPr>
        <w:t>patients in each group)</w:t>
      </w:r>
      <w:r w:rsidR="00A37C1D">
        <w:rPr>
          <w:kern w:val="0"/>
        </w:rPr>
        <w:t>. The</w:t>
      </w:r>
      <w:r>
        <w:rPr>
          <w:kern w:val="0"/>
        </w:rPr>
        <w:t>re was no statistically significant difference between the two groups for morbidity, conversion to open cholecystectomy, total operating time, or hospital stay when fixed-effect or random-effects model were used</w:t>
      </w:r>
      <w:r w:rsidR="00A37C1D">
        <w:rPr>
          <w:kern w:val="0"/>
        </w:rPr>
        <w:t>. The</w:t>
      </w:r>
      <w:r>
        <w:rPr>
          <w:kern w:val="0"/>
        </w:rPr>
        <w:t xml:space="preserve"> instrument set-up time was significantly lower in the human assistant group. In one trial, about one sixth</w:t>
      </w:r>
      <w:r w:rsidR="00427468">
        <w:rPr>
          <w:kern w:val="0"/>
        </w:rPr>
        <w:t xml:space="preserve"> of </w:t>
      </w:r>
      <w:r>
        <w:rPr>
          <w:kern w:val="0"/>
        </w:rPr>
        <w:t>the laparoscopic cholecystectomies in which robot assistant was used, required temporary use</w:t>
      </w:r>
      <w:r w:rsidR="00427468">
        <w:rPr>
          <w:kern w:val="0"/>
        </w:rPr>
        <w:t xml:space="preserve"> of </w:t>
      </w:r>
      <w:r>
        <w:rPr>
          <w:kern w:val="0"/>
        </w:rPr>
        <w:t>a human assistant. It appears that there was little or no requirement for human assistants in the other three published trials. In two</w:t>
      </w:r>
      <w:r w:rsidR="00427468">
        <w:rPr>
          <w:kern w:val="0"/>
        </w:rPr>
        <w:t xml:space="preserve"> of </w:t>
      </w:r>
      <w:r>
        <w:rPr>
          <w:kern w:val="0"/>
        </w:rPr>
        <w:t>the three trials, which reported surgeons</w:t>
      </w:r>
      <w:r w:rsidR="0071223E">
        <w:rPr>
          <w:kern w:val="0"/>
        </w:rPr>
        <w:t>’</w:t>
      </w:r>
      <w:r>
        <w:rPr>
          <w:kern w:val="0"/>
        </w:rPr>
        <w:t xml:space="preserve"> preference, the surgeons preferred a robot assistant to a human assistant</w:t>
      </w:r>
      <w:r w:rsidR="00A37C1D">
        <w:rPr>
          <w:kern w:val="0"/>
        </w:rPr>
        <w:t>. The</w:t>
      </w:r>
      <w:r>
        <w:rPr>
          <w:kern w:val="0"/>
        </w:rPr>
        <w:t>re was no statistically significant difference in the accuracy when the random-effects model was used</w:t>
      </w:r>
      <w:r w:rsidR="00A37C1D">
        <w:rPr>
          <w:kern w:val="0"/>
        </w:rPr>
        <w:t>. The</w:t>
      </w:r>
      <w:r>
        <w:rPr>
          <w:kern w:val="0"/>
        </w:rPr>
        <w:t>re was no difference in the errors. Authors</w:t>
      </w:r>
      <w:r w:rsidR="0071223E">
        <w:rPr>
          <w:kern w:val="0"/>
        </w:rPr>
        <w:t>’</w:t>
      </w:r>
      <w:r>
        <w:rPr>
          <w:kern w:val="0"/>
        </w:rPr>
        <w:t xml:space="preserve"> conclusions Although robot-assisted laparoscopic cholecystectomy appears safe, there seems to be no significant advantages over human-assisted laparoscopic cholecystectomy. We were unable to identify trials comparing one type</w:t>
      </w:r>
      <w:r w:rsidR="00427468">
        <w:rPr>
          <w:kern w:val="0"/>
        </w:rPr>
        <w:t xml:space="preserve"> of </w:t>
      </w:r>
      <w:r>
        <w:rPr>
          <w:kern w:val="0"/>
        </w:rPr>
        <w:t>robot assistant versus another. Further randomised trials with low bias-risk</w:t>
      </w:r>
      <w:r w:rsidR="005853A9">
        <w:rPr>
          <w:kern w:val="0"/>
        </w:rPr>
        <w:t xml:space="preserve"> and </w:t>
      </w:r>
      <w:r>
        <w:rPr>
          <w:kern w:val="0"/>
        </w:rPr>
        <w:t>random errors are needed.</w:t>
      </w:r>
    </w:p>
    <w:p w:rsidR="00365DE4" w:rsidRDefault="00365DE4" w:rsidP="00365DE4">
      <w:pPr>
        <w:pStyle w:val="a3"/>
        <w:rPr>
          <w:kern w:val="0"/>
        </w:rPr>
      </w:pPr>
      <w:r>
        <w:rPr>
          <w:kern w:val="0"/>
        </w:rPr>
        <w:t xml:space="preserve">Keywords: Abstract, Accuracy, Authors, Bias, Citation, Clinical Trials, Clinical-Trials, Controlled-Trials, Criteria, Empirical-Evidence, Gallstones, Groups, High Risk, High-Risk, Language, </w:t>
      </w:r>
      <w:r w:rsidR="00D5664A">
        <w:rPr>
          <w:kern w:val="0"/>
        </w:rPr>
        <w:t>MEDLINE</w:t>
      </w:r>
      <w:r>
        <w:rPr>
          <w:kern w:val="0"/>
        </w:rPr>
        <w:t>, Metaanalysis, Model, Models, Population, Prevalence, Publication, Quality, Randomized-Trials, Review, Risk, Science</w:t>
      </w:r>
    </w:p>
    <w:p w:rsidR="00365DE4" w:rsidRDefault="00365DE4" w:rsidP="00365DE4">
      <w:pPr>
        <w:pStyle w:val="a3"/>
        <w:rPr>
          <w:kern w:val="0"/>
        </w:rPr>
      </w:pPr>
      <w:r>
        <w:rPr>
          <w:kern w:val="0"/>
        </w:rPr>
        <w:t>? Gur</w:t>
      </w:r>
      <w:r w:rsidR="00D5664A">
        <w:rPr>
          <w:kern w:val="0"/>
        </w:rPr>
        <w:t>USA</w:t>
      </w:r>
      <w:r>
        <w:rPr>
          <w:kern w:val="0"/>
        </w:rPr>
        <w:t>my, K.S., Pamecha, V., Sharma, D.</w:t>
      </w:r>
      <w:r w:rsidR="005853A9">
        <w:rPr>
          <w:kern w:val="0"/>
        </w:rPr>
        <w:t xml:space="preserve"> and </w:t>
      </w:r>
      <w:r>
        <w:rPr>
          <w:kern w:val="0"/>
        </w:rPr>
        <w:t xml:space="preserve">Davidson, B.R. (2009), Techniques for liver parenchymal transection in liver resection.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CD006880.</w:t>
      </w:r>
    </w:p>
    <w:p w:rsidR="00365DE4" w:rsidRDefault="00365DE4" w:rsidP="00365DE4">
      <w:pPr>
        <w:pStyle w:val="a3"/>
        <w:rPr>
          <w:kern w:val="2"/>
        </w:rPr>
      </w:pPr>
      <w:r>
        <w:t xml:space="preserve">Full Text: </w:t>
      </w:r>
      <w:hyperlink r:id="rId545" w:history="1">
        <w:r>
          <w:rPr>
            <w:rStyle w:val="a5"/>
          </w:rPr>
          <w:t>2009\Coc Dat Sys Rev2009, CD006880.pdf</w:t>
        </w:r>
      </w:hyperlink>
    </w:p>
    <w:p w:rsidR="00365DE4" w:rsidRDefault="00365DE4" w:rsidP="00365DE4">
      <w:pPr>
        <w:pStyle w:val="a3"/>
        <w:rPr>
          <w:kern w:val="0"/>
        </w:rPr>
      </w:pPr>
      <w:r>
        <w:rPr>
          <w:kern w:val="0"/>
        </w:rPr>
        <w:lastRenderedPageBreak/>
        <w:t>Abstract: Background Blood loss during elective liver resection is one</w:t>
      </w:r>
      <w:r w:rsidR="00427468">
        <w:rPr>
          <w:kern w:val="0"/>
        </w:rPr>
        <w:t xml:space="preserve"> of </w:t>
      </w:r>
      <w:r>
        <w:rPr>
          <w:kern w:val="0"/>
        </w:rPr>
        <w:t>the main factors affecting the surgical outcome. Different parenchymal transection techniques have been suggested to decrease blood loss. Objectives To assess the benefits</w:t>
      </w:r>
      <w:r w:rsidR="005853A9">
        <w:rPr>
          <w:kern w:val="0"/>
        </w:rPr>
        <w:t xml:space="preserve"> and </w:t>
      </w:r>
      <w:r>
        <w:rPr>
          <w:kern w:val="0"/>
        </w:rPr>
        <w:t>risks</w:t>
      </w:r>
      <w:r w:rsidR="00427468">
        <w:rPr>
          <w:kern w:val="0"/>
        </w:rPr>
        <w:t xml:space="preserve"> of </w:t>
      </w:r>
      <w:r>
        <w:rPr>
          <w:kern w:val="0"/>
        </w:rPr>
        <w:t>the different techniques</w:t>
      </w:r>
      <w:r w:rsidR="00427468">
        <w:rPr>
          <w:kern w:val="0"/>
        </w:rPr>
        <w:t xml:space="preserve"> of </w:t>
      </w:r>
      <w:r>
        <w:rPr>
          <w:kern w:val="0"/>
        </w:rPr>
        <w:t>parenchymal transection during liver resections.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(March 2008). Selection criteria We considered for inclusion all randomised clinical trials comparing different methods</w:t>
      </w:r>
      <w:r w:rsidR="00427468">
        <w:rPr>
          <w:kern w:val="0"/>
        </w:rPr>
        <w:t xml:space="preserve"> of </w:t>
      </w:r>
      <w:r>
        <w:rPr>
          <w:kern w:val="0"/>
        </w:rPr>
        <w:t>parenchymal dissection irrespective</w:t>
      </w:r>
      <w:r w:rsidR="00427468">
        <w:rPr>
          <w:kern w:val="0"/>
        </w:rPr>
        <w:t xml:space="preserve"> of </w:t>
      </w:r>
      <w:r>
        <w:rPr>
          <w:kern w:val="0"/>
        </w:rPr>
        <w:t>the method</w:t>
      </w:r>
      <w:r w:rsidR="00427468">
        <w:rPr>
          <w:kern w:val="0"/>
        </w:rPr>
        <w:t xml:space="preserve"> of </w:t>
      </w:r>
      <w:r>
        <w:rPr>
          <w:kern w:val="0"/>
        </w:rPr>
        <w:t>vascular occlusion or any other measures used for lowering blood loss. Data collection</w:t>
      </w:r>
      <w:r w:rsidR="005853A9">
        <w:rPr>
          <w:kern w:val="0"/>
        </w:rPr>
        <w:t xml:space="preserve"> and </w:t>
      </w:r>
      <w:r>
        <w:rPr>
          <w:kern w:val="0"/>
        </w:rPr>
        <w:t>analysis Two authors identified the trials</w:t>
      </w:r>
      <w:r w:rsidR="005853A9">
        <w:rPr>
          <w:kern w:val="0"/>
        </w:rPr>
        <w:t xml:space="preserve"> and </w:t>
      </w:r>
      <w:r>
        <w:rPr>
          <w:kern w:val="0"/>
        </w:rPr>
        <w:t>extracted the data on the population characteristics, bias risk, mortality, morbidity, blood loss, transection speed,</w:t>
      </w:r>
      <w:r w:rsidR="005853A9">
        <w:rPr>
          <w:kern w:val="0"/>
        </w:rPr>
        <w:t xml:space="preserve"> and </w:t>
      </w:r>
      <w:r>
        <w:rPr>
          <w:kern w:val="0"/>
        </w:rPr>
        <w:t>hospital stay independently</w:t>
      </w:r>
      <w:r w:rsidR="00427468">
        <w:rPr>
          <w:kern w:val="0"/>
        </w:rPr>
        <w:t xml:space="preserve"> of </w:t>
      </w:r>
      <w:r>
        <w:rPr>
          <w:kern w:val="0"/>
        </w:rPr>
        <w:t xml:space="preserve">each other. We calculated the odds ratio (OR), mean difference (MD), or standardised mean difference (SMD) with 95% confidence intervals based on </w:t>
      </w:r>
      <w:r w:rsidR="0071223E">
        <w:rPr>
          <w:kern w:val="0"/>
        </w:rPr>
        <w:t>‘</w:t>
      </w:r>
      <w:r>
        <w:rPr>
          <w:kern w:val="0"/>
        </w:rPr>
        <w:t>interntion-to-treat analysis</w:t>
      </w:r>
      <w:r w:rsidR="0071223E">
        <w:rPr>
          <w:kern w:val="0"/>
        </w:rPr>
        <w:t>’</w:t>
      </w:r>
      <w:r>
        <w:rPr>
          <w:kern w:val="0"/>
        </w:rPr>
        <w:t xml:space="preserve"> or </w:t>
      </w:r>
      <w:r w:rsidR="0071223E">
        <w:rPr>
          <w:kern w:val="0"/>
        </w:rPr>
        <w:t>‘</w:t>
      </w:r>
      <w:r>
        <w:rPr>
          <w:kern w:val="0"/>
        </w:rPr>
        <w:t>available case analysis</w:t>
      </w:r>
      <w:r w:rsidR="0071223E">
        <w:rPr>
          <w:kern w:val="0"/>
        </w:rPr>
        <w:t>’</w:t>
      </w:r>
      <w:r>
        <w:rPr>
          <w:kern w:val="0"/>
        </w:rPr>
        <w:t xml:space="preserve"> using RevMan 5. Main results We included seven trials randomising 556 patients</w:t>
      </w:r>
      <w:r w:rsidR="00A37C1D">
        <w:rPr>
          <w:kern w:val="0"/>
        </w:rPr>
        <w:t>. The</w:t>
      </w:r>
      <w:r>
        <w:rPr>
          <w:kern w:val="0"/>
        </w:rPr>
        <w:t xml:space="preserve"> comparisons include C</w:t>
      </w:r>
      <w:r w:rsidR="00D5664A">
        <w:rPr>
          <w:kern w:val="0"/>
        </w:rPr>
        <w:t>USA</w:t>
      </w:r>
      <w:r>
        <w:rPr>
          <w:kern w:val="0"/>
        </w:rPr>
        <w:t xml:space="preserve"> (cavitron ultrasound surgical aspirator) versus clamp-crush (two trials); radiofrequency dissecting sealer (RFDS) versus clamp-crush (two trials); sharp dissection versus clamp-crush technique (one trial);</w:t>
      </w:r>
      <w:r w:rsidR="005853A9">
        <w:rPr>
          <w:kern w:val="0"/>
        </w:rPr>
        <w:t xml:space="preserve"> and </w:t>
      </w:r>
      <w:r>
        <w:rPr>
          <w:kern w:val="0"/>
        </w:rPr>
        <w:t>hydrojet versus C</w:t>
      </w:r>
      <w:r w:rsidR="00D5664A">
        <w:rPr>
          <w:kern w:val="0"/>
        </w:rPr>
        <w:t>USA</w:t>
      </w:r>
      <w:r>
        <w:rPr>
          <w:kern w:val="0"/>
        </w:rPr>
        <w:t xml:space="preserve"> (one trial). One trial compared C</w:t>
      </w:r>
      <w:r w:rsidR="00D5664A">
        <w:rPr>
          <w:kern w:val="0"/>
        </w:rPr>
        <w:t>USA</w:t>
      </w:r>
      <w:r>
        <w:rPr>
          <w:kern w:val="0"/>
        </w:rPr>
        <w:t>, RFDS, hydrojet,</w:t>
      </w:r>
      <w:r w:rsidR="005853A9">
        <w:rPr>
          <w:kern w:val="0"/>
        </w:rPr>
        <w:t xml:space="preserve"> and </w:t>
      </w:r>
      <w:r>
        <w:rPr>
          <w:kern w:val="0"/>
        </w:rPr>
        <w:t>clamp-crush technique</w:t>
      </w:r>
      <w:r w:rsidR="00A37C1D">
        <w:rPr>
          <w:kern w:val="0"/>
        </w:rPr>
        <w:t>. The</w:t>
      </w:r>
      <w:r>
        <w:rPr>
          <w:kern w:val="0"/>
        </w:rPr>
        <w:t xml:space="preserve"> infective complications</w:t>
      </w:r>
      <w:r w:rsidR="005853A9">
        <w:rPr>
          <w:kern w:val="0"/>
        </w:rPr>
        <w:t xml:space="preserve"> and </w:t>
      </w:r>
      <w:r>
        <w:rPr>
          <w:kern w:val="0"/>
        </w:rPr>
        <w:t>transection blood loss were greater in the RFDS than clamp-crush</w:t>
      </w:r>
      <w:r w:rsidR="00A37C1D">
        <w:rPr>
          <w:kern w:val="0"/>
        </w:rPr>
        <w:t>. The</w:t>
      </w:r>
      <w:r>
        <w:rPr>
          <w:kern w:val="0"/>
        </w:rPr>
        <w:t>re was no difference in the blood transfusion requirements, intensive therapy unit (ITU) stay, or hospital stay in this comparison</w:t>
      </w:r>
      <w:r w:rsidR="00A37C1D">
        <w:rPr>
          <w:kern w:val="0"/>
        </w:rPr>
        <w:t>. The</w:t>
      </w:r>
      <w:r>
        <w:rPr>
          <w:kern w:val="0"/>
        </w:rPr>
        <w:t>re was no significant differences in the mortality, morbidity, markers</w:t>
      </w:r>
      <w:r w:rsidR="00427468">
        <w:rPr>
          <w:kern w:val="0"/>
        </w:rPr>
        <w:t xml:space="preserve"> of </w:t>
      </w:r>
      <w:r>
        <w:rPr>
          <w:kern w:val="0"/>
        </w:rPr>
        <w:t>liver parenchymal injury or liver dysfunction, ITU, or hospital stay in the other comparisons</w:t>
      </w:r>
      <w:r w:rsidR="00A37C1D">
        <w:rPr>
          <w:kern w:val="0"/>
        </w:rPr>
        <w:t>. The</w:t>
      </w:r>
      <w:r>
        <w:rPr>
          <w:kern w:val="0"/>
        </w:rPr>
        <w:t xml:space="preserve"> blood transfusion requirements were lower in the clamp-crush technique than C</w:t>
      </w:r>
      <w:r w:rsidR="00D5664A">
        <w:rPr>
          <w:kern w:val="0"/>
        </w:rPr>
        <w:t>USA</w:t>
      </w:r>
      <w:r w:rsidR="005853A9">
        <w:rPr>
          <w:kern w:val="0"/>
        </w:rPr>
        <w:t xml:space="preserve"> and </w:t>
      </w:r>
      <w:r>
        <w:rPr>
          <w:kern w:val="0"/>
        </w:rPr>
        <w:t>hydrojet</w:t>
      </w:r>
      <w:r w:rsidR="00A37C1D">
        <w:rPr>
          <w:kern w:val="0"/>
        </w:rPr>
        <w:t>. The</w:t>
      </w:r>
      <w:r>
        <w:rPr>
          <w:kern w:val="0"/>
        </w:rPr>
        <w:t>re was no difference in the transfusion requirements</w:t>
      </w:r>
      <w:r w:rsidR="00427468">
        <w:rPr>
          <w:kern w:val="0"/>
        </w:rPr>
        <w:t xml:space="preserve"> of </w:t>
      </w:r>
      <w:r>
        <w:rPr>
          <w:kern w:val="0"/>
        </w:rPr>
        <w:t>clamp-crush technique</w:t>
      </w:r>
      <w:r w:rsidR="005853A9">
        <w:rPr>
          <w:kern w:val="0"/>
        </w:rPr>
        <w:t xml:space="preserve"> and </w:t>
      </w:r>
      <w:r>
        <w:rPr>
          <w:kern w:val="0"/>
        </w:rPr>
        <w:t>sharp dissection. Clamp-crush technique is quicker than C</w:t>
      </w:r>
      <w:r w:rsidR="00D5664A">
        <w:rPr>
          <w:kern w:val="0"/>
        </w:rPr>
        <w:t>USA</w:t>
      </w:r>
      <w:r>
        <w:rPr>
          <w:kern w:val="0"/>
        </w:rPr>
        <w:t>, hydrojet,</w:t>
      </w:r>
      <w:r w:rsidR="005853A9">
        <w:rPr>
          <w:kern w:val="0"/>
        </w:rPr>
        <w:t xml:space="preserve"> and </w:t>
      </w:r>
      <w:r>
        <w:rPr>
          <w:kern w:val="0"/>
        </w:rPr>
        <w:t>RFDS</w:t>
      </w:r>
      <w:r w:rsidR="00A37C1D">
        <w:rPr>
          <w:kern w:val="0"/>
        </w:rPr>
        <w:t>. The</w:t>
      </w:r>
      <w:r>
        <w:rPr>
          <w:kern w:val="0"/>
        </w:rPr>
        <w:t xml:space="preserve"> transection speed</w:t>
      </w:r>
      <w:r w:rsidR="00427468">
        <w:rPr>
          <w:kern w:val="0"/>
        </w:rPr>
        <w:t xml:space="preserve"> of </w:t>
      </w:r>
      <w:r>
        <w:rPr>
          <w:kern w:val="0"/>
        </w:rPr>
        <w:t>sharp dissection</w:t>
      </w:r>
      <w:r w:rsidR="005853A9">
        <w:rPr>
          <w:kern w:val="0"/>
        </w:rPr>
        <w:t xml:space="preserve"> and </w:t>
      </w:r>
      <w:r>
        <w:rPr>
          <w:kern w:val="0"/>
        </w:rPr>
        <w:t>clamp-crush technique was not compared</w:t>
      </w:r>
      <w:r w:rsidR="00A37C1D">
        <w:rPr>
          <w:kern w:val="0"/>
        </w:rPr>
        <w:t>. The</w:t>
      </w:r>
      <w:r>
        <w:rPr>
          <w:kern w:val="0"/>
        </w:rPr>
        <w:t>re was no clinically or statistically significant difference in the operating time between sharp dissection</w:t>
      </w:r>
      <w:r w:rsidR="005853A9">
        <w:rPr>
          <w:kern w:val="0"/>
        </w:rPr>
        <w:t xml:space="preserve"> and </w:t>
      </w:r>
      <w:r>
        <w:rPr>
          <w:kern w:val="0"/>
        </w:rPr>
        <w:t>clamp-crush techniques. Clamp-crush technique is two to six times cheaper than the other methods depending upon the number</w:t>
      </w:r>
      <w:r w:rsidR="00427468">
        <w:rPr>
          <w:kern w:val="0"/>
        </w:rPr>
        <w:t xml:space="preserve"> of </w:t>
      </w:r>
      <w:r>
        <w:rPr>
          <w:kern w:val="0"/>
        </w:rPr>
        <w:t>surgeries performed each year. Authors</w:t>
      </w:r>
      <w:r w:rsidR="0071223E">
        <w:rPr>
          <w:kern w:val="0"/>
        </w:rPr>
        <w:t>’</w:t>
      </w:r>
      <w:r>
        <w:rPr>
          <w:kern w:val="0"/>
        </w:rPr>
        <w:t xml:space="preserve"> conclusions Clamp-crush technique is advocated as the method</w:t>
      </w:r>
      <w:r w:rsidR="00427468">
        <w:rPr>
          <w:kern w:val="0"/>
        </w:rPr>
        <w:t xml:space="preserve"> of </w:t>
      </w:r>
      <w:r>
        <w:rPr>
          <w:kern w:val="0"/>
        </w:rPr>
        <w:t>choice in liver parenchymal transection because it avoids special equipment, whereas the newer methods do not seem to offer any benefit in decreasing the morbidity or transfusion requirement.</w:t>
      </w:r>
    </w:p>
    <w:p w:rsidR="00365DE4" w:rsidRDefault="00365DE4" w:rsidP="00365DE4">
      <w:pPr>
        <w:pStyle w:val="a3"/>
        <w:rPr>
          <w:kern w:val="0"/>
        </w:rPr>
      </w:pPr>
      <w:r>
        <w:rPr>
          <w:kern w:val="0"/>
        </w:rPr>
        <w:t xml:space="preserve">Keywords: Authors, Bias, Blood-Loss, Characteristics, Citation, Clinical Trials, Comparison, Criteria, Drainage, Empirical-Evidence, Hepatic Vascular Exclusion, </w:t>
      </w:r>
      <w:r>
        <w:rPr>
          <w:kern w:val="0"/>
        </w:rPr>
        <w:lastRenderedPageBreak/>
        <w:t xml:space="preserve">Hepatocellular-Carcinoma, </w:t>
      </w:r>
      <w:r w:rsidR="00D5664A">
        <w:rPr>
          <w:kern w:val="0"/>
        </w:rPr>
        <w:t>MEDLINE</w:t>
      </w:r>
      <w:r>
        <w:rPr>
          <w:kern w:val="0"/>
        </w:rPr>
        <w:t>, Metaanalysis, Methods, Quality, Randomized Clinical-Trial, Risk, Risk-Factors, Science, Science Citation Index, Techniques, Therapy, Ultrasound</w:t>
      </w:r>
    </w:p>
    <w:p w:rsidR="00365DE4" w:rsidRDefault="00365DE4" w:rsidP="00365DE4">
      <w:pPr>
        <w:pStyle w:val="a3"/>
        <w:rPr>
          <w:kern w:val="0"/>
        </w:rPr>
      </w:pPr>
      <w:r>
        <w:rPr>
          <w:kern w:val="0"/>
        </w:rPr>
        <w:t>? Gur</w:t>
      </w:r>
      <w:r w:rsidR="00D5664A">
        <w:rPr>
          <w:kern w:val="0"/>
        </w:rPr>
        <w:t>USA</w:t>
      </w:r>
      <w:r>
        <w:rPr>
          <w:kern w:val="0"/>
        </w:rPr>
        <w:t>my, K.S., Abu-Amara, M., Farouk, M.</w:t>
      </w:r>
      <w:r w:rsidR="005853A9">
        <w:rPr>
          <w:kern w:val="0"/>
        </w:rPr>
        <w:t xml:space="preserve"> and </w:t>
      </w:r>
      <w:r>
        <w:rPr>
          <w:kern w:val="0"/>
        </w:rPr>
        <w:t xml:space="preserve">Davidson, B.R. (2009), Cholecystectomy for gallbladder polyp.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CD007052.</w:t>
      </w:r>
    </w:p>
    <w:p w:rsidR="00365DE4" w:rsidRDefault="00365DE4" w:rsidP="00365DE4">
      <w:pPr>
        <w:pStyle w:val="a3"/>
        <w:rPr>
          <w:kern w:val="2"/>
        </w:rPr>
      </w:pPr>
      <w:r>
        <w:t xml:space="preserve">Full Text: </w:t>
      </w:r>
      <w:hyperlink r:id="rId546" w:history="1">
        <w:r>
          <w:rPr>
            <w:rStyle w:val="a5"/>
          </w:rPr>
          <w:t>2009\Coc Dat Sys Rev2009, CD007052.pdf</w:t>
        </w:r>
      </w:hyperlink>
    </w:p>
    <w:p w:rsidR="00365DE4" w:rsidRDefault="00365DE4" w:rsidP="00365DE4">
      <w:pPr>
        <w:pStyle w:val="a3"/>
        <w:rPr>
          <w:kern w:val="0"/>
        </w:rPr>
      </w:pPr>
      <w:r>
        <w:rPr>
          <w:kern w:val="0"/>
        </w:rPr>
        <w:t>Abstract: Background The management</w:t>
      </w:r>
      <w:r w:rsidR="00427468">
        <w:rPr>
          <w:kern w:val="0"/>
        </w:rPr>
        <w:t xml:space="preserve"> of </w:t>
      </w:r>
      <w:r>
        <w:rPr>
          <w:kern w:val="0"/>
        </w:rPr>
        <w:t>gallbladder polyps is controversial. Cholecystectomy has been recommended for gallbladder polyps larger than 10 mm because</w:t>
      </w:r>
      <w:r w:rsidR="00427468">
        <w:rPr>
          <w:kern w:val="0"/>
        </w:rPr>
        <w:t xml:space="preserve"> of </w:t>
      </w:r>
      <w:r>
        <w:rPr>
          <w:kern w:val="0"/>
        </w:rPr>
        <w:t>the association with gallbladder cancer. Cholecystectomy has also been suggested for gallbladder polyps smaller than 10 mm in patients with biliary type</w:t>
      </w:r>
      <w:r w:rsidR="00427468">
        <w:rPr>
          <w:kern w:val="0"/>
        </w:rPr>
        <w:t xml:space="preserve"> of </w:t>
      </w:r>
      <w:r>
        <w:rPr>
          <w:kern w:val="0"/>
        </w:rPr>
        <w:t>symptoms. Objectives The aim</w:t>
      </w:r>
      <w:r w:rsidR="00427468">
        <w:rPr>
          <w:kern w:val="0"/>
        </w:rPr>
        <w:t xml:space="preserve"> of </w:t>
      </w:r>
      <w:r>
        <w:rPr>
          <w:kern w:val="0"/>
        </w:rPr>
        <w:t>this review is to compare the benefits (relief</w:t>
      </w:r>
      <w:r w:rsidR="00427468">
        <w:rPr>
          <w:kern w:val="0"/>
        </w:rPr>
        <w:t xml:space="preserve"> of </w:t>
      </w:r>
      <w:r>
        <w:rPr>
          <w:kern w:val="0"/>
        </w:rPr>
        <w:t>symptoms, decreased incidence</w:t>
      </w:r>
      <w:r w:rsidR="00427468">
        <w:rPr>
          <w:kern w:val="0"/>
        </w:rPr>
        <w:t xml:space="preserve"> of </w:t>
      </w:r>
      <w:r>
        <w:rPr>
          <w:kern w:val="0"/>
        </w:rPr>
        <w:t>gallbladder cancer)</w:t>
      </w:r>
      <w:r w:rsidR="005853A9">
        <w:rPr>
          <w:kern w:val="0"/>
        </w:rPr>
        <w:t xml:space="preserve"> and </w:t>
      </w:r>
      <w:r>
        <w:rPr>
          <w:kern w:val="0"/>
        </w:rPr>
        <w:t>harms (surgical morbidity)</w:t>
      </w:r>
      <w:r w:rsidR="00427468">
        <w:rPr>
          <w:kern w:val="0"/>
        </w:rPr>
        <w:t xml:space="preserve"> of </w:t>
      </w:r>
      <w:r>
        <w:rPr>
          <w:kern w:val="0"/>
        </w:rPr>
        <w:t>cholecystectomy in patients with gallbladder polyp(s). Search strategy We searched The Cochrane Hepato- 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July 2008 to identify the randomised trials. Selection criteria Only randomised clinical trials (irrespective</w:t>
      </w:r>
      <w:r w:rsidR="00427468">
        <w:rPr>
          <w:kern w:val="0"/>
        </w:rPr>
        <w:t xml:space="preserve"> of </w:t>
      </w:r>
      <w:r>
        <w:rPr>
          <w:kern w:val="0"/>
        </w:rPr>
        <w:t>language, blinding, or publication status) comparing cholecystectomy</w:t>
      </w:r>
      <w:r w:rsidR="005853A9">
        <w:rPr>
          <w:kern w:val="0"/>
        </w:rPr>
        <w:t xml:space="preserve"> and </w:t>
      </w:r>
      <w:r>
        <w:rPr>
          <w:kern w:val="0"/>
        </w:rPr>
        <w:t>no cholecystectomy were considered for the review. Data collection</w:t>
      </w:r>
      <w:r w:rsidR="005853A9">
        <w:rPr>
          <w:kern w:val="0"/>
        </w:rPr>
        <w:t xml:space="preserve"> and </w:t>
      </w:r>
      <w:r>
        <w:rPr>
          <w:kern w:val="0"/>
        </w:rPr>
        <w:t>analysis We planned to collect the data on the characteristics, methodological quality, mortality, number</w:t>
      </w:r>
      <w:r w:rsidR="00427468">
        <w:rPr>
          <w:kern w:val="0"/>
        </w:rPr>
        <w:t xml:space="preserve"> of </w:t>
      </w:r>
      <w:r>
        <w:rPr>
          <w:kern w:val="0"/>
        </w:rPr>
        <w:t>patients in whom symptoms were improved or cured from the one identified trial. We planned to analyse the data using the fixed-effect</w:t>
      </w:r>
      <w:r w:rsidR="005853A9">
        <w:rPr>
          <w:kern w:val="0"/>
        </w:rPr>
        <w:t xml:space="preserve"> and </w:t>
      </w:r>
      <w:r>
        <w:rPr>
          <w:kern w:val="0"/>
        </w:rPr>
        <w:t>the random-effects models using RevMan Analysis. For each outcome we planned to calculate the risk ratio (RR) with 95% confidence intervals based on intention-to-treat analysis. Main results We were unable to identify any randomised clinical trials comparing cholecystectomy versus no cholecystectomy in patients with a gallbladder polyp. Authors</w:t>
      </w:r>
      <w:r w:rsidR="0071223E">
        <w:rPr>
          <w:kern w:val="0"/>
        </w:rPr>
        <w:t>’</w:t>
      </w:r>
      <w:r>
        <w:rPr>
          <w:kern w:val="0"/>
        </w:rPr>
        <w:t xml:space="preserve"> conclusions There are no randomised trials comparing cholecystectomy versus no cholecystectomy in patients with gallbladder polyps. Randomised clinical trials with low bias-risk are necessary to address the question</w:t>
      </w:r>
      <w:r w:rsidR="00427468">
        <w:rPr>
          <w:kern w:val="0"/>
        </w:rPr>
        <w:t xml:space="preserve"> of </w:t>
      </w:r>
      <w:r>
        <w:rPr>
          <w:kern w:val="0"/>
        </w:rPr>
        <w:t>whether cholecystectomy is indicated in gallbladder polyps smaller than 10 mm.</w:t>
      </w:r>
    </w:p>
    <w:p w:rsidR="00365DE4" w:rsidRDefault="00365DE4" w:rsidP="00365DE4">
      <w:pPr>
        <w:pStyle w:val="a3"/>
        <w:rPr>
          <w:kern w:val="0"/>
        </w:rPr>
      </w:pPr>
      <w:r>
        <w:rPr>
          <w:kern w:val="0"/>
        </w:rPr>
        <w:t xml:space="preserve">Keywords: Authors, Cancer, Characteristics, Citation, Clinical Trials, Clinical-Trials, Controlled-Trials, Criteria, Empirical-Evidence, Injuries, Language, Laparoscopic Cholecystectomy, Lesions, Management, </w:t>
      </w:r>
      <w:r w:rsidR="00D5664A">
        <w:rPr>
          <w:kern w:val="0"/>
        </w:rPr>
        <w:t>MEDLINE</w:t>
      </w:r>
      <w:r>
        <w:rPr>
          <w:kern w:val="0"/>
        </w:rPr>
        <w:t>, Metaanalysis, Models, Publication, Randomized-Trials, Review, Risk, Risk-Factors, Science, Science Citation Index, Surgical-Management</w:t>
      </w:r>
    </w:p>
    <w:p w:rsidR="00365DE4" w:rsidRDefault="00365DE4" w:rsidP="00365DE4">
      <w:pPr>
        <w:pStyle w:val="a3"/>
        <w:rPr>
          <w:kern w:val="0"/>
        </w:rPr>
      </w:pPr>
      <w:r>
        <w:rPr>
          <w:kern w:val="0"/>
        </w:rPr>
        <w:t>? Gur</w:t>
      </w:r>
      <w:r w:rsidR="00D5664A">
        <w:rPr>
          <w:kern w:val="0"/>
        </w:rPr>
        <w:t>USA</w:t>
      </w:r>
      <w:r>
        <w:rPr>
          <w:kern w:val="0"/>
        </w:rPr>
        <w:t>my, K.S., Pamecha, V., Sharma, D.</w:t>
      </w:r>
      <w:r w:rsidR="005853A9">
        <w:rPr>
          <w:kern w:val="0"/>
        </w:rPr>
        <w:t xml:space="preserve"> and </w:t>
      </w:r>
      <w:r>
        <w:rPr>
          <w:kern w:val="0"/>
        </w:rPr>
        <w:t xml:space="preserve">Davidson, B.R. (2009), Palliative cytoreductive surgery versus other palliative treatments in patients with unresectable </w:t>
      </w:r>
      <w:r>
        <w:rPr>
          <w:kern w:val="0"/>
        </w:rPr>
        <w:lastRenderedPageBreak/>
        <w:t xml:space="preserve">liver metastases from gastro-entero-pancreatic neuroendocrine tumours.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CD007118.</w:t>
      </w:r>
    </w:p>
    <w:p w:rsidR="00365DE4" w:rsidRDefault="00365DE4" w:rsidP="00365DE4">
      <w:pPr>
        <w:pStyle w:val="a3"/>
        <w:rPr>
          <w:kern w:val="2"/>
        </w:rPr>
      </w:pPr>
      <w:r>
        <w:t xml:space="preserve">Full Text: </w:t>
      </w:r>
      <w:hyperlink r:id="rId547" w:history="1">
        <w:r>
          <w:rPr>
            <w:rStyle w:val="a5"/>
          </w:rPr>
          <w:t>2009\Coc Dat Sys Rev2009, CD007118.pdf</w:t>
        </w:r>
      </w:hyperlink>
    </w:p>
    <w:p w:rsidR="00365DE4" w:rsidRDefault="00365DE4" w:rsidP="00365DE4">
      <w:pPr>
        <w:pStyle w:val="a3"/>
        <w:rPr>
          <w:kern w:val="0"/>
        </w:rPr>
      </w:pPr>
      <w:r>
        <w:rPr>
          <w:kern w:val="0"/>
        </w:rPr>
        <w:t>Abstract: Background Neuroendocrine tumours are tumours</w:t>
      </w:r>
      <w:r w:rsidR="00427468">
        <w:rPr>
          <w:kern w:val="0"/>
        </w:rPr>
        <w:t xml:space="preserve"> of </w:t>
      </w:r>
      <w:r>
        <w:rPr>
          <w:kern w:val="0"/>
        </w:rPr>
        <w:t>cells which possess secretory granules</w:t>
      </w:r>
      <w:r w:rsidR="005853A9">
        <w:rPr>
          <w:kern w:val="0"/>
        </w:rPr>
        <w:t xml:space="preserve"> and </w:t>
      </w:r>
      <w:r>
        <w:rPr>
          <w:kern w:val="0"/>
        </w:rPr>
        <w:t>originate from the neuroectoderm. While liver resection is generally advocated in patients with resectable liver alone metastases, the management</w:t>
      </w:r>
      <w:r w:rsidR="00427468">
        <w:rPr>
          <w:kern w:val="0"/>
        </w:rPr>
        <w:t xml:space="preserve"> of </w:t>
      </w:r>
      <w:r>
        <w:rPr>
          <w:kern w:val="0"/>
        </w:rPr>
        <w:t>patients with liver metastases, which cannot be completely resected, is controversial. Objectives To determine if cytoreductive surgery is better than other palliative treatments in patients with liver metastases from gastro-enteropancreatic neuroendocrine tumours, which cannot be completely resected.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LILACS until July 2008 for identifying the randomised trials. Selection criteria Only randomised clinical trials (irrespective</w:t>
      </w:r>
      <w:r w:rsidR="00427468">
        <w:rPr>
          <w:kern w:val="0"/>
        </w:rPr>
        <w:t xml:space="preserve"> of </w:t>
      </w:r>
      <w:r>
        <w:rPr>
          <w:kern w:val="0"/>
        </w:rPr>
        <w:t>language, blinding, or publication status) comparing liver resection (alone or in combination with radiofrequency ablation or cryoablation) versus other palliative treatments (chemotherapy or hormone-therapy or immunotherapy) or no treatment in patients with liver metastases from neuroendocrine tumours, which cannot be completely resected, were considered for the review. Data collection</w:t>
      </w:r>
      <w:r w:rsidR="005853A9">
        <w:rPr>
          <w:kern w:val="0"/>
        </w:rPr>
        <w:t xml:space="preserve"> and </w:t>
      </w:r>
      <w:r>
        <w:rPr>
          <w:kern w:val="0"/>
        </w:rPr>
        <w:t>analysis Two authors independently identified trials for inclusion. Main results We were unable to identify any randomised clinical trial suitable for inclusion in this review. Authors</w:t>
      </w:r>
      <w:r w:rsidR="0071223E">
        <w:rPr>
          <w:kern w:val="0"/>
        </w:rPr>
        <w:t>’</w:t>
      </w:r>
      <w:r>
        <w:rPr>
          <w:kern w:val="0"/>
        </w:rPr>
        <w:t xml:space="preserve"> conclusions The literature provides no evidence from randomised clinical trials in order to assess the role</w:t>
      </w:r>
      <w:r w:rsidR="00427468">
        <w:rPr>
          <w:kern w:val="0"/>
        </w:rPr>
        <w:t xml:space="preserve"> of </w:t>
      </w:r>
      <w:r>
        <w:rPr>
          <w:kern w:val="0"/>
        </w:rPr>
        <w:t>cytoreductive surgery in non-resectable liver metastases from gastro-entero-pancreatic neuroendocrine tumours. High-quality randomised clinical trials may become feasible to perform if their conduct</w:t>
      </w:r>
      <w:r w:rsidR="005853A9">
        <w:rPr>
          <w:kern w:val="0"/>
        </w:rPr>
        <w:t xml:space="preserve"> and </w:t>
      </w:r>
      <w:r>
        <w:rPr>
          <w:kern w:val="0"/>
        </w:rPr>
        <w:t>study design is thoroughly considered in all their practical</w:t>
      </w:r>
      <w:r w:rsidR="005853A9">
        <w:rPr>
          <w:kern w:val="0"/>
        </w:rPr>
        <w:t xml:space="preserve"> and </w:t>
      </w:r>
      <w:r>
        <w:rPr>
          <w:kern w:val="0"/>
        </w:rPr>
        <w:t>methodological aspects. Pilot randomised clinical trials, which can guide the study design</w:t>
      </w:r>
      <w:r w:rsidR="00427468">
        <w:rPr>
          <w:kern w:val="0"/>
        </w:rPr>
        <w:t xml:space="preserve"> of </w:t>
      </w:r>
      <w:r>
        <w:rPr>
          <w:kern w:val="0"/>
        </w:rPr>
        <w:t>definitive randomised clinical trials, are necessary.</w:t>
      </w:r>
    </w:p>
    <w:p w:rsidR="00365DE4" w:rsidRDefault="00365DE4" w:rsidP="00365DE4">
      <w:pPr>
        <w:pStyle w:val="a3"/>
        <w:rPr>
          <w:kern w:val="0"/>
        </w:rPr>
      </w:pPr>
      <w:r>
        <w:rPr>
          <w:kern w:val="0"/>
        </w:rPr>
        <w:t xml:space="preserve">Keywords: Authors, Carcinoid-Tumors, Citation, Clinical Trials, Clinical-Trials, Controlled-Trials, Criteria, Empirical-Evidence, Hepatic Metastases, Interferon-Alpha, Language, Literature, Management, </w:t>
      </w:r>
      <w:r w:rsidR="00D5664A">
        <w:rPr>
          <w:kern w:val="0"/>
        </w:rPr>
        <w:t>MEDLINE</w:t>
      </w:r>
      <w:r>
        <w:rPr>
          <w:kern w:val="0"/>
        </w:rPr>
        <w:t>, Publication, Radiofrequency Ablation, Radionuclide Therapy, Randomized-Trials, Review, Science, Science Citation Index, Study Design, Surgery, Surgical-Treatment, Treatment</w:t>
      </w:r>
    </w:p>
    <w:p w:rsidR="00365DE4" w:rsidRDefault="00365DE4" w:rsidP="00365DE4">
      <w:pPr>
        <w:pStyle w:val="a3"/>
        <w:rPr>
          <w:kern w:val="0"/>
        </w:rPr>
      </w:pPr>
      <w:r>
        <w:rPr>
          <w:kern w:val="0"/>
        </w:rPr>
        <w:t>? Gur</w:t>
      </w:r>
      <w:r w:rsidR="00D5664A">
        <w:rPr>
          <w:kern w:val="0"/>
        </w:rPr>
        <w:t>USA</w:t>
      </w:r>
      <w:r>
        <w:rPr>
          <w:kern w:val="0"/>
        </w:rPr>
        <w:t>my, K.S., Kumar, Y., Pamecha, V., Sharma, D.</w:t>
      </w:r>
      <w:r w:rsidR="005853A9">
        <w:rPr>
          <w:kern w:val="0"/>
        </w:rPr>
        <w:t xml:space="preserve"> and </w:t>
      </w:r>
      <w:r>
        <w:rPr>
          <w:kern w:val="0"/>
        </w:rPr>
        <w:t xml:space="preserve">Davidson, B.R. (2009), Ischaemic pre-conditioning for elective liver resections performed under vascular occlusion.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CD007629.</w:t>
      </w:r>
    </w:p>
    <w:p w:rsidR="00365DE4" w:rsidRDefault="00365DE4" w:rsidP="00365DE4">
      <w:pPr>
        <w:pStyle w:val="a3"/>
        <w:rPr>
          <w:kern w:val="2"/>
        </w:rPr>
      </w:pPr>
      <w:r>
        <w:t xml:space="preserve">Full Text: </w:t>
      </w:r>
      <w:hyperlink r:id="rId548" w:history="1">
        <w:r>
          <w:rPr>
            <w:rStyle w:val="a5"/>
          </w:rPr>
          <w:t>2009\Coc Dat Sys Rev2009, CD007629.pdf</w:t>
        </w:r>
      </w:hyperlink>
    </w:p>
    <w:p w:rsidR="00365DE4" w:rsidRDefault="00365DE4" w:rsidP="00365DE4">
      <w:pPr>
        <w:pStyle w:val="a3"/>
        <w:rPr>
          <w:kern w:val="0"/>
        </w:rPr>
      </w:pPr>
      <w:r>
        <w:rPr>
          <w:kern w:val="0"/>
        </w:rPr>
        <w:lastRenderedPageBreak/>
        <w:t>Abstract: Background Vascular occlusion is used to reduce blood loss during liver resection surgery</w:t>
      </w:r>
      <w:r w:rsidR="00A37C1D">
        <w:rPr>
          <w:kern w:val="0"/>
        </w:rPr>
        <w:t>. The</w:t>
      </w:r>
      <w:r>
        <w:rPr>
          <w:kern w:val="0"/>
        </w:rPr>
        <w:t xml:space="preserve"> enzyme markers</w:t>
      </w:r>
      <w:r w:rsidR="00427468">
        <w:rPr>
          <w:kern w:val="0"/>
        </w:rPr>
        <w:t xml:space="preserve"> of </w:t>
      </w:r>
      <w:r>
        <w:rPr>
          <w:kern w:val="0"/>
        </w:rPr>
        <w:t>liver injury are elevated if vascular occlusion is employed during liver resection. It is not clear whether ischaemic preconditioning prior to vascular occlusion has a protective effect during elective liver resections. Objectives To assess the advantages (decreased ischaemia-reperfusion injury)</w:t>
      </w:r>
      <w:r w:rsidR="005853A9">
        <w:rPr>
          <w:kern w:val="0"/>
        </w:rPr>
        <w:t xml:space="preserve"> and </w:t>
      </w:r>
      <w:r>
        <w:rPr>
          <w:kern w:val="0"/>
        </w:rPr>
        <w:t>any potential disadvantages</w:t>
      </w:r>
      <w:r w:rsidR="00427468">
        <w:rPr>
          <w:kern w:val="0"/>
        </w:rPr>
        <w:t xml:space="preserve"> of </w:t>
      </w:r>
      <w:r>
        <w:rPr>
          <w:kern w:val="0"/>
        </w:rPr>
        <w:t>ischaemic preconditioning prior to vascular occlusion during liver resections. Search strategy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August 2008. Selection criteria We included randomised clinical trials comparing ischaemic preconditioning versus no ischaemic preconditioning prior to vascular occlusion (irrespective</w:t>
      </w:r>
      <w:r w:rsidR="00427468">
        <w:rPr>
          <w:kern w:val="0"/>
        </w:rPr>
        <w:t xml:space="preserve"> of </w:t>
      </w:r>
      <w:r>
        <w:rPr>
          <w:kern w:val="0"/>
        </w:rPr>
        <w:t>the method</w:t>
      </w:r>
      <w:r w:rsidR="00427468">
        <w:rPr>
          <w:kern w:val="0"/>
        </w:rPr>
        <w:t xml:space="preserve"> of </w:t>
      </w:r>
      <w:r>
        <w:rPr>
          <w:kern w:val="0"/>
        </w:rPr>
        <w:t>vascular occlusion) during elective liver resections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the data. We analysed the data with both the fixed-effect</w:t>
      </w:r>
      <w:r w:rsidR="005853A9">
        <w:rPr>
          <w:kern w:val="0"/>
        </w:rPr>
        <w:t xml:space="preserve"> and </w:t>
      </w:r>
      <w:r>
        <w:rPr>
          <w:kern w:val="0"/>
        </w:rPr>
        <w:t>the random-effects models using RevMan Analysis. We calculated the risk ratio, mean difference, or standardised mean difference with 95% confidence intervals based on intention-to-treat or available data analysis. Main results We included four trials with 271 patients undergoing open liver resections</w:t>
      </w:r>
      <w:r w:rsidR="00A37C1D">
        <w:rPr>
          <w:kern w:val="0"/>
        </w:rPr>
        <w:t>. The</w:t>
      </w:r>
      <w:r>
        <w:rPr>
          <w:kern w:val="0"/>
        </w:rPr>
        <w:t xml:space="preserve"> patients were randomised to ischaemic preconditioning (n = 135)</w:t>
      </w:r>
      <w:r w:rsidR="005853A9">
        <w:rPr>
          <w:kern w:val="0"/>
        </w:rPr>
        <w:t xml:space="preserve"> and </w:t>
      </w:r>
      <w:r>
        <w:rPr>
          <w:kern w:val="0"/>
        </w:rPr>
        <w:t>no ischaemic preconditioning (n = 136) prior to continuous vascular occlusion (portal triad clamping in three trials</w:t>
      </w:r>
      <w:r w:rsidR="005853A9">
        <w:rPr>
          <w:kern w:val="0"/>
        </w:rPr>
        <w:t xml:space="preserve"> and </w:t>
      </w:r>
      <w:r>
        <w:rPr>
          <w:kern w:val="0"/>
        </w:rPr>
        <w:t>hepatic vascular exclusion in one trial). All the trials excluded cirrhotic patients. We assessed all the four trials as having high risk</w:t>
      </w:r>
      <w:r w:rsidR="00427468">
        <w:rPr>
          <w:kern w:val="0"/>
        </w:rPr>
        <w:t xml:space="preserve"> of </w:t>
      </w:r>
      <w:r>
        <w:rPr>
          <w:kern w:val="0"/>
        </w:rPr>
        <w:t>bias</w:t>
      </w:r>
      <w:r w:rsidR="00A37C1D">
        <w:rPr>
          <w:kern w:val="0"/>
        </w:rPr>
        <w:t>. The</w:t>
      </w:r>
      <w:r>
        <w:rPr>
          <w:kern w:val="0"/>
        </w:rPr>
        <w:t>re was no difference in mortality, liver failure, other peri-operative morbidity, hospital stay, intensive therapy unit stay,</w:t>
      </w:r>
      <w:r w:rsidR="005853A9">
        <w:rPr>
          <w:kern w:val="0"/>
        </w:rPr>
        <w:t xml:space="preserve"> and </w:t>
      </w:r>
      <w:r>
        <w:rPr>
          <w:kern w:val="0"/>
        </w:rPr>
        <w:t>operating time between the two groups</w:t>
      </w:r>
      <w:r w:rsidR="00A37C1D">
        <w:rPr>
          <w:kern w:val="0"/>
        </w:rPr>
        <w:t>. The</w:t>
      </w:r>
      <w:r>
        <w:rPr>
          <w:kern w:val="0"/>
        </w:rPr>
        <w:t xml:space="preserve"> proportion</w:t>
      </w:r>
      <w:r w:rsidR="00427468">
        <w:rPr>
          <w:kern w:val="0"/>
        </w:rPr>
        <w:t xml:space="preserve"> of </w:t>
      </w:r>
      <w:r>
        <w:rPr>
          <w:kern w:val="0"/>
        </w:rPr>
        <w:t>patients requiring blood transfusion was lower in the ischaemic preconditioning group</w:t>
      </w:r>
      <w:r w:rsidR="00A37C1D">
        <w:rPr>
          <w:kern w:val="0"/>
        </w:rPr>
        <w:t>. The</w:t>
      </w:r>
      <w:r>
        <w:rPr>
          <w:kern w:val="0"/>
        </w:rPr>
        <w:t>re was also a trend towards a lower amount</w:t>
      </w:r>
      <w:r w:rsidR="00427468">
        <w:rPr>
          <w:kern w:val="0"/>
        </w:rPr>
        <w:t xml:space="preserve"> of </w:t>
      </w:r>
      <w:r>
        <w:rPr>
          <w:kern w:val="0"/>
        </w:rPr>
        <w:t>red cell transfusion favouring ischaemic preconditioning group</w:t>
      </w:r>
      <w:r w:rsidR="00A37C1D">
        <w:rPr>
          <w:kern w:val="0"/>
        </w:rPr>
        <w:t>. The</w:t>
      </w:r>
      <w:r>
        <w:rPr>
          <w:kern w:val="0"/>
        </w:rPr>
        <w:t>re was no difference in the haemodynamic changes, blood loss, bilirubin, or prothrombin activity between the two groups</w:t>
      </w:r>
      <w:r w:rsidR="00A37C1D">
        <w:rPr>
          <w:kern w:val="0"/>
        </w:rPr>
        <w:t>. The</w:t>
      </w:r>
      <w:r>
        <w:rPr>
          <w:kern w:val="0"/>
        </w:rPr>
        <w:t xml:space="preserve"> enzyme markers</w:t>
      </w:r>
      <w:r w:rsidR="00427468">
        <w:rPr>
          <w:kern w:val="0"/>
        </w:rPr>
        <w:t xml:space="preserve"> of </w:t>
      </w:r>
      <w:r>
        <w:rPr>
          <w:kern w:val="0"/>
        </w:rPr>
        <w:t>liver injury were lower in the ischaemic preconditioning group on the first post-operative day. Authors</w:t>
      </w:r>
      <w:r w:rsidR="0071223E">
        <w:rPr>
          <w:kern w:val="0"/>
        </w:rPr>
        <w:t>’</w:t>
      </w:r>
      <w:r>
        <w:rPr>
          <w:kern w:val="0"/>
        </w:rPr>
        <w:t xml:space="preserve"> conclusions Currently, there is no evidence to suggest a protective effect</w:t>
      </w:r>
      <w:r w:rsidR="00427468">
        <w:rPr>
          <w:kern w:val="0"/>
        </w:rPr>
        <w:t xml:space="preserve"> of </w:t>
      </w:r>
      <w:r>
        <w:rPr>
          <w:kern w:val="0"/>
        </w:rPr>
        <w:t>ischaemic preconditioning in non-cirrhotic patients undergoing liver resection under continuous vascular occlusion. Ischaemic preconditioning reduces the blood transfusion requirements in patients undergoing liver resection.</w:t>
      </w:r>
    </w:p>
    <w:p w:rsidR="00365DE4" w:rsidRDefault="00365DE4" w:rsidP="00365DE4">
      <w:pPr>
        <w:pStyle w:val="a3"/>
        <w:rPr>
          <w:kern w:val="0"/>
        </w:rPr>
      </w:pPr>
      <w:r>
        <w:rPr>
          <w:kern w:val="0"/>
        </w:rPr>
        <w:t xml:space="preserve">Keywords: 100 Consecutive Patients, Authors, Bias, Citation, Clinical Trials, Clinical-Trials, Controlled-Trials, Criteria, Data Analysis, Empirical-Evidence, Groups, Hepatectomy, Hepatic Resection, Hepatocellular-Carcinoma, High Risk, </w:t>
      </w:r>
      <w:r>
        <w:rPr>
          <w:kern w:val="0"/>
        </w:rPr>
        <w:lastRenderedPageBreak/>
        <w:t xml:space="preserve">High-Risk, Language, </w:t>
      </w:r>
      <w:r w:rsidR="00D5664A">
        <w:rPr>
          <w:kern w:val="0"/>
        </w:rPr>
        <w:t>MEDLINE</w:t>
      </w:r>
      <w:r>
        <w:rPr>
          <w:kern w:val="0"/>
        </w:rPr>
        <w:t>, Metaanalysis, Models, Publication, Randomized-Trials, Risk, Risk-Factors, Science, Science Citation Index, Surgery, Therapy</w:t>
      </w:r>
    </w:p>
    <w:p w:rsidR="00365DE4" w:rsidRDefault="00365DE4" w:rsidP="00365DE4">
      <w:pPr>
        <w:pStyle w:val="a3"/>
        <w:rPr>
          <w:kern w:val="0"/>
        </w:rPr>
      </w:pPr>
      <w:r>
        <w:rPr>
          <w:kern w:val="0"/>
        </w:rPr>
        <w:t>? Gur</w:t>
      </w:r>
      <w:r w:rsidR="00D5664A">
        <w:rPr>
          <w:kern w:val="0"/>
        </w:rPr>
        <w:t>USA</w:t>
      </w:r>
      <w:r>
        <w:rPr>
          <w:kern w:val="0"/>
        </w:rPr>
        <w:t>my, K.S., Sheth, H., Kumar, Y., Sharma, D.</w:t>
      </w:r>
      <w:r w:rsidR="005853A9">
        <w:rPr>
          <w:kern w:val="0"/>
        </w:rPr>
        <w:t xml:space="preserve"> and </w:t>
      </w:r>
      <w:r>
        <w:rPr>
          <w:kern w:val="0"/>
        </w:rPr>
        <w:t>Davidson, B.R. (2009), Methods</w:t>
      </w:r>
      <w:r w:rsidR="00427468">
        <w:rPr>
          <w:kern w:val="0"/>
        </w:rPr>
        <w:t xml:space="preserve"> of </w:t>
      </w:r>
      <w:r>
        <w:rPr>
          <w:kern w:val="0"/>
        </w:rPr>
        <w:t xml:space="preserve">vascular occlusion for elective liver resections.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CD007632.</w:t>
      </w:r>
    </w:p>
    <w:p w:rsidR="00365DE4" w:rsidRDefault="00365DE4" w:rsidP="00365DE4">
      <w:pPr>
        <w:pStyle w:val="a3"/>
        <w:rPr>
          <w:kern w:val="2"/>
        </w:rPr>
      </w:pPr>
      <w:r>
        <w:t xml:space="preserve">Full Text: </w:t>
      </w:r>
      <w:hyperlink r:id="rId549" w:history="1">
        <w:r>
          <w:rPr>
            <w:rStyle w:val="a5"/>
          </w:rPr>
          <w:t>2009\Coc Dat Sys Rev2009, CD007632.pdf</w:t>
        </w:r>
      </w:hyperlink>
    </w:p>
    <w:p w:rsidR="00365DE4" w:rsidRDefault="00365DE4" w:rsidP="00365DE4">
      <w:pPr>
        <w:pStyle w:val="a3"/>
        <w:rPr>
          <w:kern w:val="0"/>
        </w:rPr>
      </w:pPr>
      <w:r>
        <w:rPr>
          <w:kern w:val="0"/>
        </w:rPr>
        <w:t>Abstract: Background Vascular occlusion is used to reduce blood loss during liver resection surgery. Various methods</w:t>
      </w:r>
      <w:r w:rsidR="00427468">
        <w:rPr>
          <w:kern w:val="0"/>
        </w:rPr>
        <w:t xml:space="preserve"> of </w:t>
      </w:r>
      <w:r>
        <w:rPr>
          <w:kern w:val="0"/>
        </w:rPr>
        <w:t>vascular occlusion have been suggested. Objectives To compare the benefits</w:t>
      </w:r>
      <w:r w:rsidR="005853A9">
        <w:rPr>
          <w:kern w:val="0"/>
        </w:rPr>
        <w:t xml:space="preserve"> and </w:t>
      </w:r>
      <w:r>
        <w:rPr>
          <w:kern w:val="0"/>
        </w:rPr>
        <w:t>harms</w:t>
      </w:r>
      <w:r w:rsidR="00427468">
        <w:rPr>
          <w:kern w:val="0"/>
        </w:rPr>
        <w:t xml:space="preserve"> of </w:t>
      </w:r>
      <w:r>
        <w:rPr>
          <w:kern w:val="0"/>
        </w:rPr>
        <w:t>different methods</w:t>
      </w:r>
      <w:r w:rsidR="00427468">
        <w:rPr>
          <w:kern w:val="0"/>
        </w:rPr>
        <w:t xml:space="preserve"> of </w:t>
      </w:r>
      <w:r>
        <w:rPr>
          <w:kern w:val="0"/>
        </w:rPr>
        <w:t>vascular occlusion during elective liver resection.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August 2008. Selection criteria We included randomised clinical trials comparing different methods</w:t>
      </w:r>
      <w:r w:rsidR="00427468">
        <w:rPr>
          <w:kern w:val="0"/>
        </w:rPr>
        <w:t xml:space="preserve"> of </w:t>
      </w:r>
      <w:r>
        <w:rPr>
          <w:kern w:val="0"/>
        </w:rPr>
        <w:t>vascular occlusion during elective liver resections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the data. We calculated the risk ratio or mean difference with 95% confidence intervals using fixed-effect</w:t>
      </w:r>
      <w:r w:rsidR="005853A9">
        <w:rPr>
          <w:kern w:val="0"/>
        </w:rPr>
        <w:t xml:space="preserve"> and </w:t>
      </w:r>
      <w:r>
        <w:rPr>
          <w:kern w:val="0"/>
        </w:rPr>
        <w:t>random-effects models based on intention-to-treat or available data analysis. Main results Ten trials including 657 patients compared different methods</w:t>
      </w:r>
      <w:r w:rsidR="00427468">
        <w:rPr>
          <w:kern w:val="0"/>
        </w:rPr>
        <w:t xml:space="preserve"> of </w:t>
      </w:r>
      <w:r>
        <w:rPr>
          <w:kern w:val="0"/>
        </w:rPr>
        <w:t>vascular occlusion. All trials were</w:t>
      </w:r>
      <w:r w:rsidR="00427468">
        <w:rPr>
          <w:kern w:val="0"/>
        </w:rPr>
        <w:t xml:space="preserve"> of </w:t>
      </w:r>
      <w:r>
        <w:rPr>
          <w:kern w:val="0"/>
        </w:rPr>
        <w:t>high risk</w:t>
      </w:r>
      <w:r w:rsidR="00427468">
        <w:rPr>
          <w:kern w:val="0"/>
        </w:rPr>
        <w:t xml:space="preserve"> of </w:t>
      </w:r>
      <w:r>
        <w:rPr>
          <w:kern w:val="0"/>
        </w:rPr>
        <w:t>bias. Only one or two trials were included under each comparison</w:t>
      </w:r>
      <w:r w:rsidR="00A37C1D">
        <w:rPr>
          <w:kern w:val="0"/>
        </w:rPr>
        <w:t>. The</w:t>
      </w:r>
      <w:r>
        <w:rPr>
          <w:kern w:val="0"/>
        </w:rPr>
        <w:t>re was no statistically significant differences in mortality, liver failure, or other morbidity between any</w:t>
      </w:r>
      <w:r w:rsidR="00427468">
        <w:rPr>
          <w:kern w:val="0"/>
        </w:rPr>
        <w:t xml:space="preserve"> of </w:t>
      </w:r>
      <w:r>
        <w:rPr>
          <w:kern w:val="0"/>
        </w:rPr>
        <w:t>the comparisons. Hepatic vascular occlusion does not decrease the blood transfusion requirements. It decreases the cardiac output</w:t>
      </w:r>
      <w:r w:rsidR="005853A9">
        <w:rPr>
          <w:kern w:val="0"/>
        </w:rPr>
        <w:t xml:space="preserve"> and </w:t>
      </w:r>
      <w:r>
        <w:rPr>
          <w:kern w:val="0"/>
        </w:rPr>
        <w:t>increases the systemic vascular resistance. In the comparison between continuous portal triad clamping</w:t>
      </w:r>
      <w:r w:rsidR="005853A9">
        <w:rPr>
          <w:kern w:val="0"/>
        </w:rPr>
        <w:t xml:space="preserve"> and </w:t>
      </w:r>
      <w:r>
        <w:rPr>
          <w:kern w:val="0"/>
        </w:rPr>
        <w:t>intermittent portal triad clamping, four</w:t>
      </w:r>
      <w:r w:rsidR="00427468">
        <w:rPr>
          <w:kern w:val="0"/>
        </w:rPr>
        <w:t xml:space="preserve"> of </w:t>
      </w:r>
      <w:r>
        <w:rPr>
          <w:kern w:val="0"/>
        </w:rPr>
        <w:t>the five liver failures occurred in patients with chronic liver diseases undergoing the liver resections using continuous portal triad clamping. In the comparison between selective inflow occlusion</w:t>
      </w:r>
      <w:r w:rsidR="005853A9">
        <w:rPr>
          <w:kern w:val="0"/>
        </w:rPr>
        <w:t xml:space="preserve"> and </w:t>
      </w:r>
      <w:r>
        <w:rPr>
          <w:kern w:val="0"/>
        </w:rPr>
        <w:t>portal triad clamping, all four patients with liver failure occurred in the selective inflow occlusion group</w:t>
      </w:r>
      <w:r w:rsidR="00A37C1D">
        <w:rPr>
          <w:kern w:val="0"/>
        </w:rPr>
        <w:t>. The</w:t>
      </w:r>
      <w:r>
        <w:rPr>
          <w:kern w:val="0"/>
        </w:rPr>
        <w:t>re was no difference in any</w:t>
      </w:r>
      <w:r w:rsidR="00427468">
        <w:rPr>
          <w:kern w:val="0"/>
        </w:rPr>
        <w:t xml:space="preserve"> of </w:t>
      </w:r>
      <w:r>
        <w:rPr>
          <w:kern w:val="0"/>
        </w:rPr>
        <w:t>the other important outcomes in any</w:t>
      </w:r>
      <w:r w:rsidR="00427468">
        <w:rPr>
          <w:kern w:val="0"/>
        </w:rPr>
        <w:t xml:space="preserve"> of </w:t>
      </w:r>
      <w:r>
        <w:rPr>
          <w:kern w:val="0"/>
        </w:rPr>
        <w:t>the comparisons. Authors</w:t>
      </w:r>
      <w:r w:rsidR="0071223E">
        <w:rPr>
          <w:kern w:val="0"/>
        </w:rPr>
        <w:t>’</w:t>
      </w:r>
      <w:r>
        <w:rPr>
          <w:kern w:val="0"/>
        </w:rPr>
        <w:t xml:space="preserve"> conclusions In elective liver resection, hepatic vascular occlusion cannot be recommended over portal triad clamping. Intermittent portal triad clamping seems to be better than continuous portal triad clamping at least in patients with chronic liver disease</w:t>
      </w:r>
      <w:r w:rsidR="00A37C1D">
        <w:rPr>
          <w:kern w:val="0"/>
        </w:rPr>
        <w:t>. The</w:t>
      </w:r>
      <w:r>
        <w:rPr>
          <w:kern w:val="0"/>
        </w:rPr>
        <w:t>re is no evidence to support selective inflow occlusion over portal triad clamping</w:t>
      </w:r>
      <w:r w:rsidR="00A37C1D">
        <w:rPr>
          <w:kern w:val="0"/>
        </w:rPr>
        <w:t>. The</w:t>
      </w:r>
      <w:r>
        <w:rPr>
          <w:kern w:val="0"/>
        </w:rPr>
        <w:t xml:space="preserve"> optimal method</w:t>
      </w:r>
      <w:r w:rsidR="00427468">
        <w:rPr>
          <w:kern w:val="0"/>
        </w:rPr>
        <w:t xml:space="preserve"> of </w:t>
      </w:r>
      <w:r>
        <w:rPr>
          <w:kern w:val="0"/>
        </w:rPr>
        <w:t>intermittent portal triad clamping is not clear</w:t>
      </w:r>
      <w:r w:rsidR="00A37C1D">
        <w:rPr>
          <w:kern w:val="0"/>
        </w:rPr>
        <w:t>. The</w:t>
      </w:r>
      <w:r>
        <w:rPr>
          <w:kern w:val="0"/>
        </w:rPr>
        <w:t>re is no evidence for any difference between the ischaemic preconditioning followed by vascular occlusion</w:t>
      </w:r>
      <w:r w:rsidR="005853A9">
        <w:rPr>
          <w:kern w:val="0"/>
        </w:rPr>
        <w:t xml:space="preserve"> and </w:t>
      </w:r>
      <w:r>
        <w:rPr>
          <w:kern w:val="0"/>
        </w:rPr>
        <w:t xml:space="preserve">intermittent vascular occlusion for liver resection in patients with non-cirrhotic livers. </w:t>
      </w:r>
      <w:r>
        <w:rPr>
          <w:kern w:val="0"/>
        </w:rPr>
        <w:lastRenderedPageBreak/>
        <w:t>Further randomised trials</w:t>
      </w:r>
      <w:r w:rsidR="00427468">
        <w:rPr>
          <w:kern w:val="0"/>
        </w:rPr>
        <w:t xml:space="preserve"> of </w:t>
      </w:r>
      <w:r>
        <w:rPr>
          <w:kern w:val="0"/>
        </w:rPr>
        <w:t>low risk</w:t>
      </w:r>
      <w:r w:rsidR="00427468">
        <w:rPr>
          <w:kern w:val="0"/>
        </w:rPr>
        <w:t xml:space="preserve"> of </w:t>
      </w:r>
      <w:r>
        <w:rPr>
          <w:kern w:val="0"/>
        </w:rPr>
        <w:t>bias are needed to determine the optimal technique</w:t>
      </w:r>
      <w:r w:rsidR="00427468">
        <w:rPr>
          <w:kern w:val="0"/>
        </w:rPr>
        <w:t xml:space="preserve"> of </w:t>
      </w:r>
      <w:r>
        <w:rPr>
          <w:kern w:val="0"/>
        </w:rPr>
        <w:t>vascular occlusion.</w:t>
      </w:r>
    </w:p>
    <w:p w:rsidR="00365DE4" w:rsidRDefault="00365DE4" w:rsidP="00365DE4">
      <w:pPr>
        <w:pStyle w:val="a3"/>
        <w:rPr>
          <w:kern w:val="0"/>
        </w:rPr>
      </w:pPr>
      <w:r>
        <w:rPr>
          <w:kern w:val="0"/>
        </w:rPr>
        <w:t xml:space="preserve">Keywords: Authors, Bias, Blood-Loss, Chronic, Citation, Clinical Trials, Comparison, Criteria, Data Analysis, Empirical-Evidence, Hepatic Resection, Hepatocellular-Carcinoma, High Risk, High-Risk, Inferior Vena-Cava, Language, </w:t>
      </w:r>
      <w:r w:rsidR="00D5664A">
        <w:rPr>
          <w:kern w:val="0"/>
        </w:rPr>
        <w:t>MEDLINE</w:t>
      </w:r>
      <w:r>
        <w:rPr>
          <w:kern w:val="0"/>
        </w:rPr>
        <w:t>, Methods, Models, Noncirrhotic Patients, Outcomes, Portal Triad, Pringle Maneuver, Publication, Randomized Clinical-Trial, Risk, Risk-Factors, Science, Science Citation Index, Surgery</w:t>
      </w:r>
    </w:p>
    <w:p w:rsidR="00365DE4" w:rsidRDefault="00365DE4" w:rsidP="00365DE4">
      <w:pPr>
        <w:pStyle w:val="a3"/>
        <w:rPr>
          <w:kern w:val="0"/>
        </w:rPr>
      </w:pPr>
      <w:r>
        <w:rPr>
          <w:kern w:val="0"/>
        </w:rPr>
        <w:t>? Duperrex, O., Blackhall, K., Burri, M.</w:t>
      </w:r>
      <w:r w:rsidR="005853A9">
        <w:rPr>
          <w:kern w:val="0"/>
        </w:rPr>
        <w:t xml:space="preserve"> and </w:t>
      </w:r>
      <w:r>
        <w:rPr>
          <w:kern w:val="0"/>
        </w:rPr>
        <w:t>Jeannot, E. (2009), Education</w:t>
      </w:r>
      <w:r w:rsidR="00427468">
        <w:rPr>
          <w:kern w:val="0"/>
        </w:rPr>
        <w:t xml:space="preserve"> of </w:t>
      </w:r>
      <w:r>
        <w:rPr>
          <w:kern w:val="0"/>
        </w:rPr>
        <w:t>children</w:t>
      </w:r>
      <w:r w:rsidR="005853A9">
        <w:rPr>
          <w:kern w:val="0"/>
        </w:rPr>
        <w:t xml:space="preserve"> and </w:t>
      </w:r>
      <w:r>
        <w:rPr>
          <w:kern w:val="0"/>
        </w:rPr>
        <w:t>adolescents for the prevention</w:t>
      </w:r>
      <w:r w:rsidR="00427468">
        <w:rPr>
          <w:kern w:val="0"/>
        </w:rPr>
        <w:t xml:space="preserve"> of </w:t>
      </w:r>
      <w:r>
        <w:rPr>
          <w:kern w:val="0"/>
        </w:rPr>
        <w:t xml:space="preserve">dog bite injuries.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CD004726.</w:t>
      </w:r>
    </w:p>
    <w:p w:rsidR="00365DE4" w:rsidRDefault="00365DE4" w:rsidP="00365DE4">
      <w:pPr>
        <w:pStyle w:val="a3"/>
        <w:rPr>
          <w:kern w:val="2"/>
        </w:rPr>
      </w:pPr>
      <w:r>
        <w:t xml:space="preserve">Full Text: </w:t>
      </w:r>
      <w:hyperlink r:id="rId550" w:history="1">
        <w:r>
          <w:rPr>
            <w:rStyle w:val="a5"/>
          </w:rPr>
          <w:t>2009\Coc Dat Sys Rev2009, CD004726.pdf</w:t>
        </w:r>
      </w:hyperlink>
    </w:p>
    <w:p w:rsidR="00365DE4" w:rsidRDefault="00365DE4" w:rsidP="00365DE4">
      <w:pPr>
        <w:pStyle w:val="a3"/>
        <w:rPr>
          <w:kern w:val="0"/>
        </w:rPr>
      </w:pPr>
      <w:r>
        <w:rPr>
          <w:kern w:val="0"/>
        </w:rPr>
        <w:t>Abstract: Background Dog bites can have dramatic consequences for children</w:t>
      </w:r>
      <w:r w:rsidR="005853A9">
        <w:rPr>
          <w:kern w:val="0"/>
        </w:rPr>
        <w:t xml:space="preserve"> and </w:t>
      </w:r>
      <w:r>
        <w:rPr>
          <w:kern w:val="0"/>
        </w:rPr>
        <w:t>adolescents. Educating young people on how to interact with dogs could contribute to reducing dog bite injuries. Objectives To determine the effectiveness</w:t>
      </w:r>
      <w:r w:rsidR="00427468">
        <w:rPr>
          <w:kern w:val="0"/>
        </w:rPr>
        <w:t xml:space="preserve"> of </w:t>
      </w:r>
      <w:r>
        <w:rPr>
          <w:kern w:val="0"/>
        </w:rPr>
        <w:t>educational interventions that target children</w:t>
      </w:r>
      <w:r w:rsidR="005853A9">
        <w:rPr>
          <w:kern w:val="0"/>
        </w:rPr>
        <w:t xml:space="preserve"> and </w:t>
      </w:r>
      <w:r>
        <w:rPr>
          <w:kern w:val="0"/>
        </w:rPr>
        <w:t>adolescents in reducing dog bite injuries</w:t>
      </w:r>
      <w:r w:rsidR="005853A9">
        <w:rPr>
          <w:kern w:val="0"/>
        </w:rPr>
        <w:t xml:space="preserve"> and </w:t>
      </w:r>
      <w:r>
        <w:rPr>
          <w:kern w:val="0"/>
        </w:rPr>
        <w:t>their consequences. Search strategy We searched the following databases: The Cochrane Injuries Group</w:t>
      </w:r>
      <w:r w:rsidR="0071223E">
        <w:rPr>
          <w:kern w:val="0"/>
        </w:rPr>
        <w:t>’</w:t>
      </w:r>
      <w:r>
        <w:rPr>
          <w:kern w:val="0"/>
        </w:rPr>
        <w:t xml:space="preserve">s Specialised Register, CENTRAL (The Cochrane Library Issue 3, 2008), CAB Abstracts, Zetoc, SIGLE, </w:t>
      </w:r>
      <w:r w:rsidR="00D5664A">
        <w:rPr>
          <w:kern w:val="0"/>
        </w:rPr>
        <w:t>MEDLINE</w:t>
      </w:r>
      <w:r>
        <w:rPr>
          <w:kern w:val="0"/>
        </w:rPr>
        <w:t>, EMBASE, ERIC, PsycInfo, SPECTR, CINAHL, National Research Register, LILACs, African Healthline, Science Citation Index, Social Science Citation Index, CurrentClinicalTrials. Gov, Centrewatch, Controlledtrials. com, Vetgate</w:t>
      </w:r>
      <w:r w:rsidR="005853A9">
        <w:rPr>
          <w:kern w:val="0"/>
        </w:rPr>
        <w:t xml:space="preserve"> and </w:t>
      </w:r>
      <w:r>
        <w:rPr>
          <w:kern w:val="0"/>
        </w:rPr>
        <w:t>the WHO database. We checked the bibliographies</w:t>
      </w:r>
      <w:r w:rsidR="00427468">
        <w:rPr>
          <w:kern w:val="0"/>
        </w:rPr>
        <w:t xml:space="preserve"> of </w:t>
      </w:r>
      <w:r>
        <w:rPr>
          <w:kern w:val="0"/>
        </w:rPr>
        <w:t>relevant reviews</w:t>
      </w:r>
      <w:r w:rsidR="005853A9">
        <w:rPr>
          <w:kern w:val="0"/>
        </w:rPr>
        <w:t xml:space="preserve"> and </w:t>
      </w:r>
      <w:r>
        <w:rPr>
          <w:kern w:val="0"/>
        </w:rPr>
        <w:t>trials</w:t>
      </w:r>
      <w:r w:rsidR="005853A9">
        <w:rPr>
          <w:kern w:val="0"/>
        </w:rPr>
        <w:t xml:space="preserve"> and </w:t>
      </w:r>
      <w:r>
        <w:rPr>
          <w:kern w:val="0"/>
        </w:rPr>
        <w:t>also contacted experts in the field</w:t>
      </w:r>
      <w:r w:rsidR="00A37C1D">
        <w:rPr>
          <w:kern w:val="0"/>
        </w:rPr>
        <w:t>. The</w:t>
      </w:r>
      <w:r>
        <w:rPr>
          <w:kern w:val="0"/>
        </w:rPr>
        <w:t xml:space="preserve"> searches were carried out to 18 July 2008. Selection criteria We included randomised controlled trials</w:t>
      </w:r>
      <w:r w:rsidR="005853A9">
        <w:rPr>
          <w:kern w:val="0"/>
        </w:rPr>
        <w:t xml:space="preserve"> and </w:t>
      </w:r>
      <w:r>
        <w:rPr>
          <w:kern w:val="0"/>
        </w:rPr>
        <w:t>controlled before-after studies that evaluated the effectiveness</w:t>
      </w:r>
      <w:r w:rsidR="00427468">
        <w:rPr>
          <w:kern w:val="0"/>
        </w:rPr>
        <w:t xml:space="preserve"> of </w:t>
      </w:r>
      <w:r>
        <w:rPr>
          <w:kern w:val="0"/>
        </w:rPr>
        <w:t>educational interventions, in populations under 20 years old, for preventing dog bites. Data collection analysis Two review authors selected eligible studies based on information from the title</w:t>
      </w:r>
      <w:r w:rsidR="005853A9">
        <w:rPr>
          <w:kern w:val="0"/>
        </w:rPr>
        <w:t xml:space="preserve"> and </w:t>
      </w:r>
      <w:r>
        <w:rPr>
          <w:kern w:val="0"/>
        </w:rPr>
        <w:t>abstract. Two review authors decided on the inclusion</w:t>
      </w:r>
      <w:r w:rsidR="00427468">
        <w:rPr>
          <w:kern w:val="0"/>
        </w:rPr>
        <w:t xml:space="preserve"> of </w:t>
      </w:r>
      <w:r>
        <w:rPr>
          <w:kern w:val="0"/>
        </w:rPr>
        <w:t>eligible trials</w:t>
      </w:r>
      <w:r w:rsidR="005853A9">
        <w:rPr>
          <w:kern w:val="0"/>
        </w:rPr>
        <w:t xml:space="preserve"> and </w:t>
      </w:r>
      <w:r>
        <w:rPr>
          <w:kern w:val="0"/>
        </w:rPr>
        <w:t>extracted data from the trial reports. We contacted authors</w:t>
      </w:r>
      <w:r w:rsidR="00427468">
        <w:rPr>
          <w:kern w:val="0"/>
        </w:rPr>
        <w:t xml:space="preserve"> of </w:t>
      </w:r>
      <w:r>
        <w:rPr>
          <w:kern w:val="0"/>
        </w:rPr>
        <w:t>eligible studies to obtain more information. Main results Two studies met the inclusion criteria. No study looked at our main outcome: dog bite rates</w:t>
      </w:r>
      <w:r w:rsidR="00A37C1D">
        <w:rPr>
          <w:kern w:val="0"/>
        </w:rPr>
        <w:t>. The</w:t>
      </w:r>
      <w:r>
        <w:rPr>
          <w:kern w:val="0"/>
        </w:rPr>
        <w:t xml:space="preserve"> included studies were randomised controlled trials conducted in kindergarten</w:t>
      </w:r>
      <w:r w:rsidR="005853A9">
        <w:rPr>
          <w:kern w:val="0"/>
        </w:rPr>
        <w:t xml:space="preserve"> and </w:t>
      </w:r>
      <w:r>
        <w:rPr>
          <w:kern w:val="0"/>
        </w:rPr>
        <w:t>primary schools</w:t>
      </w:r>
      <w:r w:rsidR="00A37C1D">
        <w:rPr>
          <w:kern w:val="0"/>
        </w:rPr>
        <w:t>. The</w:t>
      </w:r>
      <w:r>
        <w:rPr>
          <w:kern w:val="0"/>
        </w:rPr>
        <w:t>ir methodology was</w:t>
      </w:r>
      <w:r w:rsidR="00427468">
        <w:rPr>
          <w:kern w:val="0"/>
        </w:rPr>
        <w:t xml:space="preserve"> of </w:t>
      </w:r>
      <w:r>
        <w:rPr>
          <w:kern w:val="0"/>
        </w:rPr>
        <w:t xml:space="preserve">moderate quality. One study showed that the intervention group showed less </w:t>
      </w:r>
      <w:r w:rsidR="0071223E">
        <w:rPr>
          <w:kern w:val="0"/>
        </w:rPr>
        <w:t>‘</w:t>
      </w:r>
      <w:r>
        <w:rPr>
          <w:kern w:val="0"/>
        </w:rPr>
        <w:t>inappropriate behaviour</w:t>
      </w:r>
      <w:r w:rsidR="0071223E">
        <w:rPr>
          <w:kern w:val="0"/>
        </w:rPr>
        <w:t>’</w:t>
      </w:r>
      <w:r>
        <w:rPr>
          <w:kern w:val="0"/>
        </w:rPr>
        <w:t xml:space="preserve"> when observed in the presence</w:t>
      </w:r>
      <w:r w:rsidR="00427468">
        <w:rPr>
          <w:kern w:val="0"/>
        </w:rPr>
        <w:t xml:space="preserve"> of </w:t>
      </w:r>
      <w:r>
        <w:rPr>
          <w:kern w:val="0"/>
        </w:rPr>
        <w:t>a dog after a 30-minute educational intervention. Another study showed an increase in knowledge</w:t>
      </w:r>
      <w:r w:rsidR="005853A9">
        <w:rPr>
          <w:kern w:val="0"/>
        </w:rPr>
        <w:t xml:space="preserve"> and </w:t>
      </w:r>
      <w:r>
        <w:rPr>
          <w:kern w:val="0"/>
        </w:rPr>
        <w:t>in caution after an information programme. Authors</w:t>
      </w:r>
      <w:r w:rsidR="0071223E">
        <w:rPr>
          <w:kern w:val="0"/>
        </w:rPr>
        <w:t>’</w:t>
      </w:r>
      <w:r>
        <w:rPr>
          <w:kern w:val="0"/>
        </w:rPr>
        <w:t xml:space="preserve"> conclusions There is no direct evidence that educational programmes can reduce dog bite rates in children</w:t>
      </w:r>
      <w:r w:rsidR="005853A9">
        <w:rPr>
          <w:kern w:val="0"/>
        </w:rPr>
        <w:t xml:space="preserve"> and </w:t>
      </w:r>
      <w:r>
        <w:rPr>
          <w:kern w:val="0"/>
        </w:rPr>
        <w:t xml:space="preserve">adolescents. Educating children who are less than 10 years old in school settings </w:t>
      </w:r>
      <w:r>
        <w:rPr>
          <w:kern w:val="0"/>
        </w:rPr>
        <w:lastRenderedPageBreak/>
        <w:t>could improve their knowledge, attitude</w:t>
      </w:r>
      <w:r w:rsidR="005853A9">
        <w:rPr>
          <w:kern w:val="0"/>
        </w:rPr>
        <w:t xml:space="preserve"> and </w:t>
      </w:r>
      <w:r>
        <w:rPr>
          <w:kern w:val="0"/>
        </w:rPr>
        <w:t>behaviour towards dogs. Educating children</w:t>
      </w:r>
      <w:r w:rsidR="005853A9">
        <w:rPr>
          <w:kern w:val="0"/>
        </w:rPr>
        <w:t xml:space="preserve"> and </w:t>
      </w:r>
      <w:r>
        <w:rPr>
          <w:kern w:val="0"/>
        </w:rPr>
        <w:t>adolescents in settings other than schools should also be evaluated</w:t>
      </w:r>
      <w:r w:rsidR="00A37C1D">
        <w:rPr>
          <w:kern w:val="0"/>
        </w:rPr>
        <w:t>. The</w:t>
      </w:r>
      <w:r>
        <w:rPr>
          <w:kern w:val="0"/>
        </w:rPr>
        <w:t>re is a need for high quality studies that measure dog bite rates as an outcome. To date, evidence does not suggest that educating children</w:t>
      </w:r>
      <w:r w:rsidR="005853A9">
        <w:rPr>
          <w:kern w:val="0"/>
        </w:rPr>
        <w:t xml:space="preserve"> and </w:t>
      </w:r>
      <w:r>
        <w:rPr>
          <w:kern w:val="0"/>
        </w:rPr>
        <w:t>adolescents is effective as a unique public health strategy to reduce dog bite injuries</w:t>
      </w:r>
      <w:r w:rsidR="005853A9">
        <w:rPr>
          <w:kern w:val="0"/>
        </w:rPr>
        <w:t xml:space="preserve"> and </w:t>
      </w:r>
      <w:r>
        <w:rPr>
          <w:kern w:val="0"/>
        </w:rPr>
        <w:t>their consequences.</w:t>
      </w:r>
    </w:p>
    <w:p w:rsidR="00365DE4" w:rsidRDefault="00365DE4" w:rsidP="00365DE4">
      <w:pPr>
        <w:pStyle w:val="a3"/>
        <w:rPr>
          <w:kern w:val="0"/>
        </w:rPr>
      </w:pPr>
      <w:r>
        <w:rPr>
          <w:kern w:val="0"/>
        </w:rPr>
        <w:t xml:space="preserve">Keywords: Accident, Adolescents, Attitude, Authors, Bias, Children, Citation, Databases, Education, Embase, Emergency-Departments, Epidemiology, Information, Intervention, Interventions, </w:t>
      </w:r>
      <w:r w:rsidR="00D5664A">
        <w:rPr>
          <w:kern w:val="0"/>
        </w:rPr>
        <w:t>MEDLINE</w:t>
      </w:r>
      <w:r>
        <w:rPr>
          <w:kern w:val="0"/>
        </w:rPr>
        <w:t>, Methodology, Posttraumatic-Stress-Disorder, Prevention, Primary, Program, Public Health, Randomized Controlled-Trial, Research, Review, Risk, Schools, Science, Science Citation Index, Search Strategy, Strategy, WHO</w:t>
      </w:r>
    </w:p>
    <w:p w:rsidR="00365DE4" w:rsidRDefault="00365DE4" w:rsidP="00365DE4">
      <w:pPr>
        <w:pStyle w:val="a3"/>
        <w:rPr>
          <w:kern w:val="0"/>
        </w:rPr>
      </w:pPr>
      <w:r>
        <w:rPr>
          <w:kern w:val="0"/>
        </w:rPr>
        <w:t>? Bradt, J.</w:t>
      </w:r>
      <w:r w:rsidR="005853A9">
        <w:rPr>
          <w:kern w:val="0"/>
        </w:rPr>
        <w:t xml:space="preserve"> and </w:t>
      </w:r>
      <w:r>
        <w:rPr>
          <w:kern w:val="0"/>
        </w:rPr>
        <w:t>Dileo, C. (2009), Music for stress</w:t>
      </w:r>
      <w:r w:rsidR="005853A9">
        <w:rPr>
          <w:kern w:val="0"/>
        </w:rPr>
        <w:t xml:space="preserve"> and </w:t>
      </w:r>
      <w:r>
        <w:rPr>
          <w:kern w:val="0"/>
        </w:rPr>
        <w:t xml:space="preserve">anxiety reduction in coronary heart disease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CD006577.</w:t>
      </w:r>
    </w:p>
    <w:p w:rsidR="00365DE4" w:rsidRDefault="00365DE4" w:rsidP="00365DE4">
      <w:pPr>
        <w:pStyle w:val="a3"/>
        <w:rPr>
          <w:kern w:val="2"/>
        </w:rPr>
      </w:pPr>
      <w:r>
        <w:t xml:space="preserve">Full Text: </w:t>
      </w:r>
      <w:hyperlink r:id="rId551" w:history="1">
        <w:r>
          <w:rPr>
            <w:rStyle w:val="a5"/>
          </w:rPr>
          <w:t>2009\Coc Dat Sys Rev2009, CD006577.pdf</w:t>
        </w:r>
      </w:hyperlink>
    </w:p>
    <w:p w:rsidR="00365DE4" w:rsidRDefault="00365DE4" w:rsidP="00365DE4">
      <w:pPr>
        <w:pStyle w:val="a3"/>
        <w:rPr>
          <w:kern w:val="0"/>
        </w:rPr>
      </w:pPr>
      <w:r>
        <w:rPr>
          <w:kern w:val="0"/>
        </w:rPr>
        <w:t>Abstract: Background Individuals with coronary heart disease (CHD) often suffer from severe distress putting them at greater risk for complications. Music interventions have been used to reduce anxiety</w:t>
      </w:r>
      <w:r w:rsidR="005853A9">
        <w:rPr>
          <w:kern w:val="0"/>
        </w:rPr>
        <w:t xml:space="preserve"> and </w:t>
      </w:r>
      <w:r>
        <w:rPr>
          <w:kern w:val="0"/>
        </w:rPr>
        <w:t>distress</w:t>
      </w:r>
      <w:r w:rsidR="005853A9">
        <w:rPr>
          <w:kern w:val="0"/>
        </w:rPr>
        <w:t xml:space="preserve"> and </w:t>
      </w:r>
      <w:r>
        <w:rPr>
          <w:kern w:val="0"/>
        </w:rPr>
        <w:t>improve physiological functioning in medical patients, however its efficacy for CHD patients needs to be evaluated. Objectives To examine the effects</w:t>
      </w:r>
      <w:r w:rsidR="00427468">
        <w:rPr>
          <w:kern w:val="0"/>
        </w:rPr>
        <w:t xml:space="preserve"> of </w:t>
      </w:r>
      <w:r>
        <w:rPr>
          <w:kern w:val="0"/>
        </w:rPr>
        <w:t>music interventions with standard care versus standard care alone on psychological</w:t>
      </w:r>
      <w:r w:rsidR="005853A9">
        <w:rPr>
          <w:kern w:val="0"/>
        </w:rPr>
        <w:t xml:space="preserve"> and </w:t>
      </w:r>
      <w:r>
        <w:rPr>
          <w:kern w:val="0"/>
        </w:rPr>
        <w:t>physiological responses in persons with CHD. Search strategy We searched the Cochrane Central Register</w:t>
      </w:r>
      <w:r w:rsidR="00427468">
        <w:rPr>
          <w:kern w:val="0"/>
        </w:rPr>
        <w:t xml:space="preserve"> of </w:t>
      </w:r>
      <w:r>
        <w:rPr>
          <w:kern w:val="0"/>
        </w:rPr>
        <w:t xml:space="preserve">Controlled Trials (CENTRAL), </w:t>
      </w:r>
      <w:r w:rsidR="00D5664A">
        <w:rPr>
          <w:kern w:val="0"/>
        </w:rPr>
        <w:t>MEDLINE</w:t>
      </w:r>
      <w:r>
        <w:rPr>
          <w:kern w:val="0"/>
        </w:rPr>
        <w:t>, CINAHL, EMBASE, PSYCINFO, LILACS, Science Citation Index, www.musictherapyworld.net, CAIRSS for Music, Proquest Digital Dissertations, ClinicalTrials.gov, Current Controlled Trials,</w:t>
      </w:r>
      <w:r w:rsidR="005853A9">
        <w:rPr>
          <w:kern w:val="0"/>
        </w:rPr>
        <w:t xml:space="preserve"> and </w:t>
      </w:r>
      <w:r>
        <w:rPr>
          <w:kern w:val="0"/>
        </w:rPr>
        <w:t>the National Research Register (all to May 2008). We handsearched music therapy journals</w:t>
      </w:r>
      <w:r w:rsidR="005853A9">
        <w:rPr>
          <w:kern w:val="0"/>
        </w:rPr>
        <w:t xml:space="preserve"> and </w:t>
      </w:r>
      <w:r>
        <w:rPr>
          <w:kern w:val="0"/>
        </w:rPr>
        <w:t>reference lists,</w:t>
      </w:r>
      <w:r w:rsidR="005853A9">
        <w:rPr>
          <w:kern w:val="0"/>
        </w:rPr>
        <w:t xml:space="preserve"> and </w:t>
      </w:r>
      <w:r>
        <w:rPr>
          <w:kern w:val="0"/>
        </w:rPr>
        <w:t>contacted relevant experts to identify unpublished manuscripts</w:t>
      </w:r>
      <w:r w:rsidR="00A37C1D">
        <w:rPr>
          <w:kern w:val="0"/>
        </w:rPr>
        <w:t>. The</w:t>
      </w:r>
      <w:r>
        <w:rPr>
          <w:kern w:val="0"/>
        </w:rPr>
        <w:t>re was no language restriction. Selection criteria We included all randomized controlled trials that compared music interventions</w:t>
      </w:r>
      <w:r w:rsidR="005853A9">
        <w:rPr>
          <w:kern w:val="0"/>
        </w:rPr>
        <w:t xml:space="preserve"> and </w:t>
      </w:r>
      <w:r>
        <w:rPr>
          <w:kern w:val="0"/>
        </w:rPr>
        <w:t>standard care with standard care alone for persons with CHD. Data collection</w:t>
      </w:r>
      <w:r w:rsidR="005853A9">
        <w:rPr>
          <w:kern w:val="0"/>
        </w:rPr>
        <w:t xml:space="preserve"> and </w:t>
      </w:r>
      <w:r>
        <w:rPr>
          <w:kern w:val="0"/>
        </w:rPr>
        <w:t>analysis Data were extracted,</w:t>
      </w:r>
      <w:r w:rsidR="005853A9">
        <w:rPr>
          <w:kern w:val="0"/>
        </w:rPr>
        <w:t xml:space="preserve"> and </w:t>
      </w:r>
      <w:r>
        <w:rPr>
          <w:kern w:val="0"/>
        </w:rPr>
        <w:t>methodological quality was assessed, independently by the two reviewers. Additional information was sought from the trial researchers when necessary. Results are presented using weighted mean differences for outcomes measured by the same scale</w:t>
      </w:r>
      <w:r w:rsidR="005853A9">
        <w:rPr>
          <w:kern w:val="0"/>
        </w:rPr>
        <w:t xml:space="preserve"> and </w:t>
      </w:r>
      <w:r>
        <w:rPr>
          <w:kern w:val="0"/>
        </w:rPr>
        <w:t>standardized mean differences for outcomes measured by different scales. Posttest scores were used. In cases</w:t>
      </w:r>
      <w:r w:rsidR="00427468">
        <w:rPr>
          <w:kern w:val="0"/>
        </w:rPr>
        <w:t xml:space="preserve"> of </w:t>
      </w:r>
      <w:r>
        <w:rPr>
          <w:kern w:val="0"/>
        </w:rPr>
        <w:t>significant baseline difference, we used change scores. Main results Twenty-three trials (1461 participants) were included. Music listening was the main intervention used,</w:t>
      </w:r>
      <w:r w:rsidR="005853A9">
        <w:rPr>
          <w:kern w:val="0"/>
        </w:rPr>
        <w:t xml:space="preserve"> and </w:t>
      </w:r>
      <w:r>
        <w:rPr>
          <w:kern w:val="0"/>
        </w:rPr>
        <w:t>21</w:t>
      </w:r>
      <w:r w:rsidR="00427468">
        <w:rPr>
          <w:kern w:val="0"/>
        </w:rPr>
        <w:t xml:space="preserve"> of </w:t>
      </w:r>
      <w:r>
        <w:rPr>
          <w:kern w:val="0"/>
        </w:rPr>
        <w:t xml:space="preserve">the studies did not include a trained music therapist. Results indicated that music listening has a moderate effect on anxiety in patients with CHD, however results were inconsistent across studies. </w:t>
      </w:r>
      <w:r>
        <w:rPr>
          <w:kern w:val="0"/>
        </w:rPr>
        <w:lastRenderedPageBreak/>
        <w:t>This review did not find strong evidence for reduction</w:t>
      </w:r>
      <w:r w:rsidR="00427468">
        <w:rPr>
          <w:kern w:val="0"/>
        </w:rPr>
        <w:t xml:space="preserve"> of </w:t>
      </w:r>
      <w:r>
        <w:rPr>
          <w:kern w:val="0"/>
        </w:rPr>
        <w:t>psychological distress. Findings indicated that listening to music reduces heart rate, respiratory rate</w:t>
      </w:r>
      <w:r w:rsidR="005853A9">
        <w:rPr>
          <w:kern w:val="0"/>
        </w:rPr>
        <w:t xml:space="preserve"> and </w:t>
      </w:r>
      <w:r>
        <w:rPr>
          <w:kern w:val="0"/>
        </w:rPr>
        <w:t>blood pressure. Studies that included two or more music sessions led to a small</w:t>
      </w:r>
      <w:r w:rsidR="005853A9">
        <w:rPr>
          <w:kern w:val="0"/>
        </w:rPr>
        <w:t xml:space="preserve"> and </w:t>
      </w:r>
      <w:r>
        <w:rPr>
          <w:kern w:val="0"/>
        </w:rPr>
        <w:t>consistent pain-reducing effect. No strong evidence was found for peripheral skin temperature. None</w:t>
      </w:r>
      <w:r w:rsidR="00427468">
        <w:rPr>
          <w:kern w:val="0"/>
        </w:rPr>
        <w:t xml:space="preserve"> of </w:t>
      </w:r>
      <w:r>
        <w:rPr>
          <w:kern w:val="0"/>
        </w:rPr>
        <w:t>the studies considered hormone levels</w:t>
      </w:r>
      <w:r w:rsidR="005853A9">
        <w:rPr>
          <w:kern w:val="0"/>
        </w:rPr>
        <w:t xml:space="preserve"> and </w:t>
      </w:r>
      <w:r>
        <w:rPr>
          <w:kern w:val="0"/>
        </w:rPr>
        <w:t>only one study considered quality</w:t>
      </w:r>
      <w:r w:rsidR="00427468">
        <w:rPr>
          <w:kern w:val="0"/>
        </w:rPr>
        <w:t xml:space="preserve"> of </w:t>
      </w:r>
      <w:r>
        <w:rPr>
          <w:kern w:val="0"/>
        </w:rPr>
        <w:t>life as an outcome variable. Authors</w:t>
      </w:r>
      <w:r w:rsidR="0071223E">
        <w:rPr>
          <w:kern w:val="0"/>
        </w:rPr>
        <w:t>’</w:t>
      </w:r>
      <w:r>
        <w:rPr>
          <w:kern w:val="0"/>
        </w:rPr>
        <w:t xml:space="preserve"> conclusions Music listening may have a beneficial effect on blood pressure, heart rate, respiratory rate, anxiety,</w:t>
      </w:r>
      <w:r w:rsidR="005853A9">
        <w:rPr>
          <w:kern w:val="0"/>
        </w:rPr>
        <w:t xml:space="preserve"> and </w:t>
      </w:r>
      <w:r>
        <w:rPr>
          <w:kern w:val="0"/>
        </w:rPr>
        <w:t>pain in persons with CHD. However, the quality</w:t>
      </w:r>
      <w:r w:rsidR="00427468">
        <w:rPr>
          <w:kern w:val="0"/>
        </w:rPr>
        <w:t xml:space="preserve"> of </w:t>
      </w:r>
      <w:r>
        <w:rPr>
          <w:kern w:val="0"/>
        </w:rPr>
        <w:t>the evidence is not strong</w:t>
      </w:r>
      <w:r w:rsidR="005853A9">
        <w:rPr>
          <w:kern w:val="0"/>
        </w:rPr>
        <w:t xml:space="preserve"> and </w:t>
      </w:r>
      <w:r>
        <w:rPr>
          <w:kern w:val="0"/>
        </w:rPr>
        <w:t>the clinical significance unclear. Most studies examined the effects</w:t>
      </w:r>
      <w:r w:rsidR="00427468">
        <w:rPr>
          <w:kern w:val="0"/>
        </w:rPr>
        <w:t xml:space="preserve"> of </w:t>
      </w:r>
      <w:r>
        <w:rPr>
          <w:kern w:val="0"/>
        </w:rPr>
        <w:t>listening to pre-recorded music. More research is needed on the effects</w:t>
      </w:r>
      <w:r w:rsidR="00427468">
        <w:rPr>
          <w:kern w:val="0"/>
        </w:rPr>
        <w:t xml:space="preserve"> of </w:t>
      </w:r>
      <w:r>
        <w:rPr>
          <w:kern w:val="0"/>
        </w:rPr>
        <w:t>music offered by a trained music therapist.</w:t>
      </w:r>
    </w:p>
    <w:p w:rsidR="00365DE4" w:rsidRDefault="00365DE4" w:rsidP="00365DE4">
      <w:pPr>
        <w:pStyle w:val="a3"/>
        <w:rPr>
          <w:kern w:val="0"/>
        </w:rPr>
      </w:pPr>
      <w:r>
        <w:rPr>
          <w:kern w:val="0"/>
        </w:rPr>
        <w:t xml:space="preserve">Keywords: Anxiety, Authors, Care Unit, Change, Citation, Criteria, Intervention, Interventions, Journals, Language, Manuscripts, Medical, </w:t>
      </w:r>
      <w:r w:rsidR="00D5664A">
        <w:rPr>
          <w:kern w:val="0"/>
        </w:rPr>
        <w:t>MEDLINE</w:t>
      </w:r>
      <w:r>
        <w:rPr>
          <w:kern w:val="0"/>
        </w:rPr>
        <w:t>, Metaanalysis, Outcomes, Pain, Reduction, Relaxation, Research, Researchers, Respiratory, Review, Risk, Scale, Science, Science Citation Index, Stress, Surgery, Temperature, Therapy</w:t>
      </w:r>
    </w:p>
    <w:p w:rsidR="00365DE4" w:rsidRDefault="00365DE4" w:rsidP="00365DE4">
      <w:pPr>
        <w:pStyle w:val="a3"/>
        <w:rPr>
          <w:kern w:val="0"/>
        </w:rPr>
      </w:pPr>
      <w:r>
        <w:rPr>
          <w:kern w:val="0"/>
        </w:rPr>
        <w:t>? Gur</w:t>
      </w:r>
      <w:r w:rsidR="00D5664A">
        <w:rPr>
          <w:kern w:val="0"/>
        </w:rPr>
        <w:t>USA</w:t>
      </w:r>
      <w:r>
        <w:rPr>
          <w:kern w:val="0"/>
        </w:rPr>
        <w:t>my, K.S., Samraj, K.</w:t>
      </w:r>
      <w:r w:rsidR="005853A9">
        <w:rPr>
          <w:kern w:val="0"/>
        </w:rPr>
        <w:t xml:space="preserve"> and </w:t>
      </w:r>
      <w:r>
        <w:rPr>
          <w:kern w:val="0"/>
        </w:rPr>
        <w:t xml:space="preserve">Davidson, B.R. (2009), Low pressure versus standard pressure pneumoperitoneum in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CD006930.</w:t>
      </w:r>
    </w:p>
    <w:p w:rsidR="00365DE4" w:rsidRDefault="00365DE4" w:rsidP="00365DE4">
      <w:pPr>
        <w:pStyle w:val="a3"/>
        <w:rPr>
          <w:kern w:val="2"/>
        </w:rPr>
      </w:pPr>
      <w:r>
        <w:t xml:space="preserve">Full Text: </w:t>
      </w:r>
      <w:hyperlink r:id="rId552" w:history="1">
        <w:r>
          <w:rPr>
            <w:rStyle w:val="a5"/>
          </w:rPr>
          <w:t>2009\Coc Dat Sys Rev2009, CD006930.pdf</w:t>
        </w:r>
      </w:hyperlink>
    </w:p>
    <w:p w:rsidR="00365DE4" w:rsidRDefault="00365DE4" w:rsidP="00365DE4">
      <w:pPr>
        <w:pStyle w:val="a3"/>
        <w:rPr>
          <w:kern w:val="0"/>
        </w:rPr>
      </w:pPr>
      <w:r>
        <w:rPr>
          <w:kern w:val="0"/>
        </w:rPr>
        <w:t>Abstract: Background A pneumoperitoneum</w:t>
      </w:r>
      <w:r w:rsidR="00427468">
        <w:rPr>
          <w:kern w:val="0"/>
        </w:rPr>
        <w:t xml:space="preserve"> of </w:t>
      </w:r>
      <w:r>
        <w:rPr>
          <w:kern w:val="0"/>
        </w:rPr>
        <w:t>12 to 16 mmHg is used for laparoscopic cholecystectomy. Lower pressures are claimed to be safe</w:t>
      </w:r>
      <w:r w:rsidR="005853A9">
        <w:rPr>
          <w:kern w:val="0"/>
        </w:rPr>
        <w:t xml:space="preserve"> and </w:t>
      </w:r>
      <w:r>
        <w:rPr>
          <w:kern w:val="0"/>
        </w:rPr>
        <w:t>effective in decreasing cardiopulmonary complications</w:t>
      </w:r>
      <w:r w:rsidR="005853A9">
        <w:rPr>
          <w:kern w:val="0"/>
        </w:rPr>
        <w:t xml:space="preserve"> and </w:t>
      </w:r>
      <w:r>
        <w:rPr>
          <w:kern w:val="0"/>
        </w:rPr>
        <w:t>pain. Objectives To assess the benefits</w:t>
      </w:r>
      <w:r w:rsidR="005853A9">
        <w:rPr>
          <w:kern w:val="0"/>
        </w:rPr>
        <w:t xml:space="preserve"> and </w:t>
      </w:r>
      <w:r>
        <w:rPr>
          <w:kern w:val="0"/>
        </w:rPr>
        <w:t>harms</w:t>
      </w:r>
      <w:r w:rsidR="00427468">
        <w:rPr>
          <w:kern w:val="0"/>
        </w:rPr>
        <w:t xml:space="preserve"> of </w:t>
      </w:r>
      <w:r>
        <w:rPr>
          <w:kern w:val="0"/>
        </w:rPr>
        <w:t>low pressure pneumoperitoneum compared with standard pressure pneumoperitoneum in patients undergoing laparoscopic cholecystectomy.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November 2008 for identifying randomised trials using search strategies. Selection criteria Only randomised clinical trials, irrespective</w:t>
      </w:r>
      <w:r w:rsidR="00427468">
        <w:rPr>
          <w:kern w:val="0"/>
        </w:rPr>
        <w:t xml:space="preserve"> of </w:t>
      </w:r>
      <w:r>
        <w:rPr>
          <w:kern w:val="0"/>
        </w:rPr>
        <w:t>language, blinding, or publication status were considered for the review. Data collection</w:t>
      </w:r>
      <w:r w:rsidR="005853A9">
        <w:rPr>
          <w:kern w:val="0"/>
        </w:rPr>
        <w:t xml:space="preserve"> and </w:t>
      </w:r>
      <w:r>
        <w:rPr>
          <w:kern w:val="0"/>
        </w:rPr>
        <w:t>analysis Two authors independently identified trials</w:t>
      </w:r>
      <w:r w:rsidR="005853A9">
        <w:rPr>
          <w:kern w:val="0"/>
        </w:rPr>
        <w:t xml:space="preserve"> and </w:t>
      </w:r>
      <w:r>
        <w:rPr>
          <w:kern w:val="0"/>
        </w:rPr>
        <w:t>independently extracted data on mortality, morbidity, conversion to open cholecystectomy, pain, analgesic requirement, operating time, hospital stay, patient satisfaction, additional measures to increase vision,</w:t>
      </w:r>
      <w:r w:rsidR="005853A9">
        <w:rPr>
          <w:kern w:val="0"/>
        </w:rPr>
        <w:t xml:space="preserve"> and </w:t>
      </w:r>
      <w:r>
        <w:rPr>
          <w:kern w:val="0"/>
        </w:rPr>
        <w:t>cardiopulmonary parameters. We calculated the risk ratio (RR), mean difference (MD), or standardised mean difference (SMD) with 95% confidence intervals (CI) using both the fixed-effect</w:t>
      </w:r>
      <w:r w:rsidR="005853A9">
        <w:rPr>
          <w:kern w:val="0"/>
        </w:rPr>
        <w:t xml:space="preserve"> and </w:t>
      </w:r>
      <w:r>
        <w:rPr>
          <w:kern w:val="0"/>
        </w:rPr>
        <w:t>the random-effects models with RevMan 5 based on available case-analysis. Main results Fifteen trials randomised 690 patients to low pressure (n = 336)</w:t>
      </w:r>
      <w:r w:rsidR="005853A9">
        <w:rPr>
          <w:kern w:val="0"/>
        </w:rPr>
        <w:t xml:space="preserve"> and </w:t>
      </w:r>
      <w:r>
        <w:rPr>
          <w:kern w:val="0"/>
        </w:rPr>
        <w:t>standard pressure (n = 354). All the trials were</w:t>
      </w:r>
      <w:r w:rsidR="00427468">
        <w:rPr>
          <w:kern w:val="0"/>
        </w:rPr>
        <w:t xml:space="preserve"> of </w:t>
      </w:r>
      <w:r>
        <w:rPr>
          <w:kern w:val="0"/>
        </w:rPr>
        <w:t>high risk</w:t>
      </w:r>
      <w:r w:rsidR="00427468">
        <w:rPr>
          <w:kern w:val="0"/>
        </w:rPr>
        <w:t xml:space="preserve"> of </w:t>
      </w:r>
      <w:r>
        <w:rPr>
          <w:kern w:val="0"/>
        </w:rPr>
        <w:t>bias</w:t>
      </w:r>
      <w:r w:rsidR="00A37C1D">
        <w:rPr>
          <w:kern w:val="0"/>
        </w:rPr>
        <w:t>. The</w:t>
      </w:r>
      <w:r>
        <w:rPr>
          <w:kern w:val="0"/>
        </w:rPr>
        <w:t xml:space="preserve">re was no difference in the mortality, morbidity, or </w:t>
      </w:r>
      <w:r>
        <w:rPr>
          <w:kern w:val="0"/>
        </w:rPr>
        <w:lastRenderedPageBreak/>
        <w:t>conversion to open cholecystectomy between the groups</w:t>
      </w:r>
      <w:r w:rsidR="00A37C1D">
        <w:rPr>
          <w:kern w:val="0"/>
        </w:rPr>
        <w:t>. The</w:t>
      </w:r>
      <w:r>
        <w:rPr>
          <w:kern w:val="0"/>
        </w:rPr>
        <w:t xml:space="preserve"> intensity</w:t>
      </w:r>
      <w:r w:rsidR="00427468">
        <w:rPr>
          <w:kern w:val="0"/>
        </w:rPr>
        <w:t xml:space="preserve"> of </w:t>
      </w:r>
      <w:r>
        <w:rPr>
          <w:kern w:val="0"/>
        </w:rPr>
        <w:t>pain was lower in the low pressure group at various time points</w:t>
      </w:r>
      <w:r w:rsidR="00A37C1D">
        <w:rPr>
          <w:kern w:val="0"/>
        </w:rPr>
        <w:t>. The</w:t>
      </w:r>
      <w:r>
        <w:rPr>
          <w:kern w:val="0"/>
        </w:rPr>
        <w:t xml:space="preserve"> incidence</w:t>
      </w:r>
      <w:r w:rsidR="00427468">
        <w:rPr>
          <w:kern w:val="0"/>
        </w:rPr>
        <w:t xml:space="preserve"> of </w:t>
      </w:r>
      <w:r>
        <w:rPr>
          <w:kern w:val="0"/>
        </w:rPr>
        <w:t>shoulder pain was lower in the low pressure group (RR 0.53; 95% CI 0.31 to 0.90)</w:t>
      </w:r>
      <w:r w:rsidR="00A37C1D">
        <w:rPr>
          <w:kern w:val="0"/>
        </w:rPr>
        <w:t>. The</w:t>
      </w:r>
      <w:r>
        <w:rPr>
          <w:kern w:val="0"/>
        </w:rPr>
        <w:t xml:space="preserve"> analgesic consumption was also lower</w:t>
      </w:r>
      <w:r w:rsidR="00A37C1D">
        <w:rPr>
          <w:kern w:val="0"/>
        </w:rPr>
        <w:t>. The</w:t>
      </w:r>
      <w:r>
        <w:rPr>
          <w:kern w:val="0"/>
        </w:rPr>
        <w:t xml:space="preserve"> operating time was similar between the groups (MD 2.30 minutes; 95% CI 0.42 to 4.18). Because</w:t>
      </w:r>
      <w:r w:rsidR="00427468">
        <w:rPr>
          <w:kern w:val="0"/>
        </w:rPr>
        <w:t xml:space="preserve"> of </w:t>
      </w:r>
      <w:r>
        <w:rPr>
          <w:kern w:val="0"/>
        </w:rPr>
        <w:t>the high risk</w:t>
      </w:r>
      <w:r w:rsidR="00427468">
        <w:rPr>
          <w:kern w:val="0"/>
        </w:rPr>
        <w:t xml:space="preserve"> of </w:t>
      </w:r>
      <w:r>
        <w:rPr>
          <w:kern w:val="0"/>
        </w:rPr>
        <w:t>bias due to incomplete outcome data in seven trials, it was not possible to conclude about the safety</w:t>
      </w:r>
      <w:r w:rsidR="00427468">
        <w:rPr>
          <w:kern w:val="0"/>
        </w:rPr>
        <w:t xml:space="preserve"> of </w:t>
      </w:r>
      <w:r>
        <w:rPr>
          <w:kern w:val="0"/>
        </w:rPr>
        <w:t>low pressure pneumoperitoneum. Authors</w:t>
      </w:r>
      <w:r w:rsidR="0071223E">
        <w:rPr>
          <w:kern w:val="0"/>
        </w:rPr>
        <w:t>’</w:t>
      </w:r>
      <w:r>
        <w:rPr>
          <w:kern w:val="0"/>
        </w:rPr>
        <w:t xml:space="preserve"> conclusions Low pressure pneumoperitoneum appears effective in decreasing pain after laparoscopic cholecystectomy</w:t>
      </w:r>
      <w:r w:rsidR="00A37C1D">
        <w:rPr>
          <w:kern w:val="0"/>
        </w:rPr>
        <w:t>. The</w:t>
      </w:r>
      <w:r>
        <w:rPr>
          <w:kern w:val="0"/>
        </w:rPr>
        <w:t xml:space="preserve"> safety</w:t>
      </w:r>
      <w:r w:rsidR="00427468">
        <w:rPr>
          <w:kern w:val="0"/>
        </w:rPr>
        <w:t xml:space="preserve"> of </w:t>
      </w:r>
      <w:r>
        <w:rPr>
          <w:kern w:val="0"/>
        </w:rPr>
        <w:t>low pressure pneumoperitoneum has to be established.</w:t>
      </w:r>
    </w:p>
    <w:p w:rsidR="00365DE4" w:rsidRDefault="00365DE4" w:rsidP="00365DE4">
      <w:pPr>
        <w:pStyle w:val="a3"/>
        <w:rPr>
          <w:kern w:val="0"/>
        </w:rPr>
      </w:pPr>
      <w:r>
        <w:rPr>
          <w:kern w:val="0"/>
        </w:rPr>
        <w:t xml:space="preserve">Keywords: Abdominal-Wall Lift, Authors, Base-Balance Alterations, Bias, Carbon-Dioxide Pneumoperitoneum, Citation, Clinical Trials, Clinical-Trials, Consumption, Criteria, Different Insufflation Pressures, Different Intraabdominal Pressures, Empirical-Evidence, Groups, Hepatic-Function, High Risk, High-Risk, Language, </w:t>
      </w:r>
      <w:r w:rsidR="00D5664A">
        <w:rPr>
          <w:kern w:val="0"/>
        </w:rPr>
        <w:t>MEDLINE</w:t>
      </w:r>
      <w:r>
        <w:rPr>
          <w:kern w:val="0"/>
        </w:rPr>
        <w:t>, Models, Pain, Pressures, Prospective Randomized-Trial, Publication, Review, Risk, Science, Science Citation Index, Surgery</w:t>
      </w:r>
    </w:p>
    <w:p w:rsidR="00365DE4" w:rsidRDefault="00365DE4" w:rsidP="00365DE4">
      <w:pPr>
        <w:pStyle w:val="a3"/>
        <w:rPr>
          <w:kern w:val="0"/>
        </w:rPr>
      </w:pPr>
      <w:r>
        <w:rPr>
          <w:kern w:val="0"/>
        </w:rPr>
        <w:t>? Gur</w:t>
      </w:r>
      <w:r w:rsidR="00D5664A">
        <w:rPr>
          <w:kern w:val="0"/>
        </w:rPr>
        <w:t>USA</w:t>
      </w:r>
      <w:r>
        <w:rPr>
          <w:kern w:val="0"/>
        </w:rPr>
        <w:t>my, K.S., Ramamoorthy, R., Sharma, D.</w:t>
      </w:r>
      <w:r w:rsidR="005853A9">
        <w:rPr>
          <w:kern w:val="0"/>
        </w:rPr>
        <w:t xml:space="preserve"> and </w:t>
      </w:r>
      <w:r>
        <w:rPr>
          <w:kern w:val="0"/>
        </w:rPr>
        <w:t xml:space="preserve">Davidson, B.R. (2009), Liver resection versus other treatments for neuroendocrine tumours in patients with resectable liver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CD007060.</w:t>
      </w:r>
    </w:p>
    <w:p w:rsidR="00365DE4" w:rsidRDefault="00365DE4" w:rsidP="00365DE4">
      <w:pPr>
        <w:pStyle w:val="a3"/>
        <w:rPr>
          <w:kern w:val="2"/>
        </w:rPr>
      </w:pPr>
      <w:r>
        <w:t xml:space="preserve">Full Text: </w:t>
      </w:r>
      <w:hyperlink r:id="rId553" w:history="1">
        <w:r>
          <w:rPr>
            <w:rStyle w:val="a5"/>
          </w:rPr>
          <w:t>2009\Coc Dat Sys Rev2009, CD007060.pdf</w:t>
        </w:r>
      </w:hyperlink>
    </w:p>
    <w:p w:rsidR="00365DE4" w:rsidRDefault="00365DE4" w:rsidP="00365DE4">
      <w:pPr>
        <w:pStyle w:val="a3"/>
        <w:rPr>
          <w:kern w:val="0"/>
        </w:rPr>
      </w:pPr>
      <w:r>
        <w:rPr>
          <w:kern w:val="0"/>
        </w:rPr>
        <w:t>Abstract: Background Neuroendocrine tumours are tumours</w:t>
      </w:r>
      <w:r w:rsidR="00427468">
        <w:rPr>
          <w:kern w:val="0"/>
        </w:rPr>
        <w:t xml:space="preserve"> of </w:t>
      </w:r>
      <w:r>
        <w:rPr>
          <w:kern w:val="0"/>
        </w:rPr>
        <w:t>cells, which possess secretory granules</w:t>
      </w:r>
      <w:r w:rsidR="005853A9">
        <w:rPr>
          <w:kern w:val="0"/>
        </w:rPr>
        <w:t xml:space="preserve"> and </w:t>
      </w:r>
      <w:r>
        <w:rPr>
          <w:kern w:val="0"/>
        </w:rPr>
        <w:t>originate from the neuroectoderm. While liver resection is generally advocated in patients with resectable liver metastases, recent studies have shown good survival in patients with disseminated neuroendocrine tumours who underwent thermal ablation using radiofrequency. Objectives To determine the benefits</w:t>
      </w:r>
      <w:r w:rsidR="005853A9">
        <w:rPr>
          <w:kern w:val="0"/>
        </w:rPr>
        <w:t xml:space="preserve"> and </w:t>
      </w:r>
      <w:r>
        <w:rPr>
          <w:kern w:val="0"/>
        </w:rPr>
        <w:t>harms</w:t>
      </w:r>
      <w:r w:rsidR="00427468">
        <w:rPr>
          <w:kern w:val="0"/>
        </w:rPr>
        <w:t xml:space="preserve"> of </w:t>
      </w:r>
      <w:r>
        <w:rPr>
          <w:kern w:val="0"/>
        </w:rPr>
        <w:t>liver resection versus other treatments in patients with resectable liver metastases from gastroentero-pancreatic neuroendocrine tumours.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LILACS until July 2008 for identifying the randomised trials. Selection criteria We considered only randomised clinical trials (irrespective</w:t>
      </w:r>
      <w:r w:rsidR="00427468">
        <w:rPr>
          <w:kern w:val="0"/>
        </w:rPr>
        <w:t xml:space="preserve"> of </w:t>
      </w:r>
      <w:r>
        <w:rPr>
          <w:kern w:val="0"/>
        </w:rPr>
        <w:t>language, blinding, or publication status) comparing liver resection (alone or in combination with radiofrequency ablation or cryoablation) versus other interventions (chemotherapy, hormonotherapy, or immunotherapy)</w:t>
      </w:r>
      <w:r w:rsidR="005853A9">
        <w:rPr>
          <w:kern w:val="0"/>
        </w:rPr>
        <w:t xml:space="preserve"> and </w:t>
      </w:r>
      <w:r>
        <w:rPr>
          <w:kern w:val="0"/>
        </w:rPr>
        <w:t>those comparing liver resection</w:t>
      </w:r>
      <w:r w:rsidR="005853A9">
        <w:rPr>
          <w:kern w:val="0"/>
        </w:rPr>
        <w:t xml:space="preserve"> and </w:t>
      </w:r>
      <w:r>
        <w:rPr>
          <w:kern w:val="0"/>
        </w:rPr>
        <w:t>thermal ablation (radiofrequency ablation or cryoablation) in patients with resectable liver metastases from neuroendocrine tumours for the review. Data collection</w:t>
      </w:r>
      <w:r w:rsidR="005853A9">
        <w:rPr>
          <w:kern w:val="0"/>
        </w:rPr>
        <w:t xml:space="preserve"> and </w:t>
      </w:r>
      <w:r>
        <w:rPr>
          <w:kern w:val="0"/>
        </w:rPr>
        <w:t xml:space="preserve">analysis Two authors independently identified trials for inclusion. Main results We </w:t>
      </w:r>
      <w:r>
        <w:rPr>
          <w:kern w:val="0"/>
        </w:rPr>
        <w:lastRenderedPageBreak/>
        <w:t>were unable to identify any randomised clinical trial suitable for inclusion in this review. We were also unable to identify any quasi-randomised studies, cohort studies, or case-control studies that could inform meaningfully. Authors</w:t>
      </w:r>
      <w:r w:rsidR="0071223E">
        <w:rPr>
          <w:kern w:val="0"/>
        </w:rPr>
        <w:t>’</w:t>
      </w:r>
      <w:r>
        <w:rPr>
          <w:kern w:val="0"/>
        </w:rPr>
        <w:t xml:space="preserve"> conclusions There is no evidence from randomised clinical trials comparing liver resection versus other treatments in patients with resectable liver metastases from gastro-entero-pancreatic neuroendocrine tumours. Liver resection appears to be the main stay curative treatment for neuroendocrine liver metastases based on non-randomised studies. Further randomised clinical trials comparing liver resection alone or in combination with chemoembolisation or radionuclide therapy are needed. Further randomised clinical trials comparing surgical resection</w:t>
      </w:r>
      <w:r w:rsidR="005853A9">
        <w:rPr>
          <w:kern w:val="0"/>
        </w:rPr>
        <w:t xml:space="preserve"> and </w:t>
      </w:r>
      <w:r>
        <w:rPr>
          <w:kern w:val="0"/>
        </w:rPr>
        <w:t>radiofrequency ablation in selected patients may also be appropriate.</w:t>
      </w:r>
    </w:p>
    <w:p w:rsidR="00365DE4" w:rsidRDefault="00365DE4" w:rsidP="00365DE4">
      <w:pPr>
        <w:pStyle w:val="a3"/>
        <w:rPr>
          <w:kern w:val="0"/>
        </w:rPr>
      </w:pPr>
      <w:r>
        <w:rPr>
          <w:kern w:val="0"/>
        </w:rPr>
        <w:t xml:space="preserve">Keywords: Authors, Case-Control, Citation, Clinical Trials, Clinical-Trials, Cohort, Controlled-Trials, Criteria, Empirical-Evidence, Hepatic-Tumors, Interferon-Alpha, Language, </w:t>
      </w:r>
      <w:r w:rsidR="00D5664A">
        <w:rPr>
          <w:kern w:val="0"/>
        </w:rPr>
        <w:t>MEDLINE</w:t>
      </w:r>
      <w:r>
        <w:rPr>
          <w:kern w:val="0"/>
        </w:rPr>
        <w:t>, Midgut Carcinoid-Tumors, Publication, Radiofrequency Ablation, Radionuclide, Randomized-Trials, Review, Science, Science Citation Index, Surgical-Treatment, Survival, Therapy, Treatment</w:t>
      </w:r>
    </w:p>
    <w:p w:rsidR="00365DE4" w:rsidRDefault="00365DE4" w:rsidP="00365DE4">
      <w:pPr>
        <w:pStyle w:val="a3"/>
        <w:rPr>
          <w:kern w:val="0"/>
        </w:rPr>
      </w:pPr>
      <w:r>
        <w:rPr>
          <w:kern w:val="0"/>
        </w:rPr>
        <w:t>? Settas, G., Settas, C., Minos, E.</w:t>
      </w:r>
      <w:r w:rsidR="005853A9">
        <w:rPr>
          <w:kern w:val="0"/>
        </w:rPr>
        <w:t xml:space="preserve"> and </w:t>
      </w:r>
      <w:r>
        <w:rPr>
          <w:kern w:val="0"/>
        </w:rPr>
        <w:t xml:space="preserve">Yeung, I.Y.L. (2009), Photorefractive keratectomy (PRK) versus laser assisted in situ keratomileusis (LASIK) for hyperopia correction.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CD007112.</w:t>
      </w:r>
    </w:p>
    <w:p w:rsidR="00365DE4" w:rsidRDefault="00365DE4" w:rsidP="00365DE4">
      <w:pPr>
        <w:pStyle w:val="a3"/>
        <w:rPr>
          <w:kern w:val="2"/>
        </w:rPr>
      </w:pPr>
      <w:r>
        <w:t xml:space="preserve">Full Text: </w:t>
      </w:r>
      <w:hyperlink r:id="rId554" w:history="1">
        <w:r>
          <w:rPr>
            <w:rStyle w:val="a5"/>
          </w:rPr>
          <w:t>2009\Coc Dat Sys Rev2009, CD007112.pdf</w:t>
        </w:r>
      </w:hyperlink>
    </w:p>
    <w:p w:rsidR="00365DE4" w:rsidRDefault="00365DE4" w:rsidP="00365DE4">
      <w:pPr>
        <w:pStyle w:val="a3"/>
        <w:rPr>
          <w:kern w:val="0"/>
        </w:rPr>
      </w:pPr>
      <w:r>
        <w:rPr>
          <w:kern w:val="0"/>
        </w:rPr>
        <w:t>Abstract: Background Hyperopia, or hypermetropia (also known as long-sightedness or far-sightedness), is the condition where the unaccommodating eye brings parallel light to a focus behind the retina instead</w:t>
      </w:r>
      <w:r w:rsidR="00427468">
        <w:rPr>
          <w:kern w:val="0"/>
        </w:rPr>
        <w:t xml:space="preserve"> of </w:t>
      </w:r>
      <w:r>
        <w:rPr>
          <w:kern w:val="0"/>
        </w:rPr>
        <w:t>on it. Hyperopia can be corrected with both non-surgical</w:t>
      </w:r>
      <w:r w:rsidR="005853A9">
        <w:rPr>
          <w:kern w:val="0"/>
        </w:rPr>
        <w:t xml:space="preserve"> and </w:t>
      </w:r>
      <w:r>
        <w:rPr>
          <w:kern w:val="0"/>
        </w:rPr>
        <w:t>surgical methods, among them photorefractive keratectomy (PRK)</w:t>
      </w:r>
      <w:r w:rsidR="005853A9">
        <w:rPr>
          <w:kern w:val="0"/>
        </w:rPr>
        <w:t xml:space="preserve"> and </w:t>
      </w:r>
      <w:r>
        <w:rPr>
          <w:kern w:val="0"/>
        </w:rPr>
        <w:t>laser assisted In situ keratomileusis (LASIK)</w:t>
      </w:r>
      <w:r w:rsidR="00A37C1D">
        <w:rPr>
          <w:kern w:val="0"/>
        </w:rPr>
        <w:t>. The</w:t>
      </w:r>
      <w:r>
        <w:rPr>
          <w:kern w:val="0"/>
        </w:rPr>
        <w:t>re is uncertainty as to whether hyperopic-PRK or hyperopic-LASIK is the better method. Objectives The objectives</w:t>
      </w:r>
      <w:r w:rsidR="00427468">
        <w:rPr>
          <w:kern w:val="0"/>
        </w:rPr>
        <w:t xml:space="preserve"> of </w:t>
      </w:r>
      <w:r>
        <w:rPr>
          <w:kern w:val="0"/>
        </w:rPr>
        <w:t>this review were to determine whether PRK or LASIK leads to more reliable, stable</w:t>
      </w:r>
      <w:r w:rsidR="005853A9">
        <w:rPr>
          <w:kern w:val="0"/>
        </w:rPr>
        <w:t xml:space="preserve"> and </w:t>
      </w:r>
      <w:r>
        <w:rPr>
          <w:kern w:val="0"/>
        </w:rPr>
        <w:t>safe results when correcting a hyperopic refractive error. Search strategy We searched the Cochrane Central Register</w:t>
      </w:r>
      <w:r w:rsidR="00427468">
        <w:rPr>
          <w:kern w:val="0"/>
        </w:rPr>
        <w:t xml:space="preserve"> of </w:t>
      </w:r>
      <w:r>
        <w:rPr>
          <w:kern w:val="0"/>
        </w:rPr>
        <w:t xml:space="preserve">Controlled Trials (The Cochrane Library Issue 4, 2008), </w:t>
      </w:r>
      <w:r w:rsidR="00D5664A">
        <w:rPr>
          <w:kern w:val="0"/>
        </w:rPr>
        <w:t>MEDLINE</w:t>
      </w:r>
      <w:r>
        <w:rPr>
          <w:kern w:val="0"/>
        </w:rPr>
        <w:t xml:space="preserve"> (January 1950 to January 2009), EMBASE (January 1980 to January 2009)</w:t>
      </w:r>
      <w:r w:rsidR="005853A9">
        <w:rPr>
          <w:kern w:val="0"/>
        </w:rPr>
        <w:t xml:space="preserve"> and </w:t>
      </w:r>
      <w:r>
        <w:rPr>
          <w:kern w:val="0"/>
        </w:rPr>
        <w:t>LILACS (January 1982 to January 2009)</w:t>
      </w:r>
      <w:r w:rsidR="00A37C1D">
        <w:rPr>
          <w:kern w:val="0"/>
        </w:rPr>
        <w:t>. The</w:t>
      </w:r>
      <w:r>
        <w:rPr>
          <w:kern w:val="0"/>
        </w:rPr>
        <w:t>re were no language or date restrictions in the search for trials</w:t>
      </w:r>
      <w:r w:rsidR="00A37C1D">
        <w:rPr>
          <w:kern w:val="0"/>
        </w:rPr>
        <w:t>. The</w:t>
      </w:r>
      <w:r>
        <w:rPr>
          <w:kern w:val="0"/>
        </w:rPr>
        <w:t xml:space="preserve"> electronic databases were last searched on 13 January 2009. We also searched the reference lists</w:t>
      </w:r>
      <w:r w:rsidR="00427468">
        <w:rPr>
          <w:kern w:val="0"/>
        </w:rPr>
        <w:t xml:space="preserve"> of </w:t>
      </w:r>
      <w:r>
        <w:rPr>
          <w:kern w:val="0"/>
        </w:rPr>
        <w:t>the studies included in the review for information about further trials</w:t>
      </w:r>
      <w:r w:rsidR="005853A9">
        <w:rPr>
          <w:kern w:val="0"/>
        </w:rPr>
        <w:t xml:space="preserve"> and </w:t>
      </w:r>
      <w:r>
        <w:rPr>
          <w:kern w:val="0"/>
        </w:rPr>
        <w:t>used the Science Citation Index to search for papers that cite any studies included in this review. We did not handsearch journals or conference proceedings specifically for this review. Selection criteria We planned to include only randomised controlled trials (RCTs) comparing PRK against LASIK for correction</w:t>
      </w:r>
      <w:r w:rsidR="00427468">
        <w:rPr>
          <w:kern w:val="0"/>
        </w:rPr>
        <w:t xml:space="preserve"> of </w:t>
      </w:r>
      <w:r>
        <w:rPr>
          <w:kern w:val="0"/>
        </w:rPr>
        <w:t>hyperopia</w:t>
      </w:r>
      <w:r w:rsidR="005853A9">
        <w:rPr>
          <w:kern w:val="0"/>
        </w:rPr>
        <w:t xml:space="preserve"> </w:t>
      </w:r>
      <w:r w:rsidR="005853A9">
        <w:rPr>
          <w:kern w:val="0"/>
        </w:rPr>
        <w:lastRenderedPageBreak/>
        <w:t xml:space="preserve">and </w:t>
      </w:r>
      <w:r>
        <w:rPr>
          <w:kern w:val="0"/>
        </w:rPr>
        <w:t>then perform a sensitivity analysis</w:t>
      </w:r>
      <w:r w:rsidR="00427468">
        <w:rPr>
          <w:kern w:val="0"/>
        </w:rPr>
        <w:t xml:space="preserve"> of </w:t>
      </w:r>
      <w:r>
        <w:rPr>
          <w:kern w:val="0"/>
        </w:rPr>
        <w:t>pre-and post-millennial trials since this is the mid-point in the history</w:t>
      </w:r>
      <w:r w:rsidR="00427468">
        <w:rPr>
          <w:kern w:val="0"/>
        </w:rPr>
        <w:t xml:space="preserve"> of </w:t>
      </w:r>
      <w:r>
        <w:rPr>
          <w:kern w:val="0"/>
        </w:rPr>
        <w:t>both PRK</w:t>
      </w:r>
      <w:r w:rsidR="005853A9">
        <w:rPr>
          <w:kern w:val="0"/>
        </w:rPr>
        <w:t xml:space="preserve"> and </w:t>
      </w:r>
      <w:r>
        <w:rPr>
          <w:kern w:val="0"/>
        </w:rPr>
        <w:t>LASIK. Data collection analysis We did not identify any studies that met the inclusion criteria for this review. Main results As no studies met the inclusion criteria for this review, we discussed the results</w:t>
      </w:r>
      <w:r w:rsidR="00427468">
        <w:rPr>
          <w:kern w:val="0"/>
        </w:rPr>
        <w:t xml:space="preserve"> of </w:t>
      </w:r>
      <w:r>
        <w:rPr>
          <w:kern w:val="0"/>
        </w:rPr>
        <w:t>non- randomised trials comparing hyperopic-PRK with hyperopic-LASIK. Authors</w:t>
      </w:r>
      <w:r w:rsidR="0071223E">
        <w:rPr>
          <w:kern w:val="0"/>
        </w:rPr>
        <w:t>’</w:t>
      </w:r>
      <w:r>
        <w:rPr>
          <w:kern w:val="0"/>
        </w:rPr>
        <w:t xml:space="preserve"> conclusions No robust, reliable conclusions could be reached, but the non-randomised trials reviewed appear to be in agreement that hyperopic-PRK</w:t>
      </w:r>
      <w:r w:rsidR="005853A9">
        <w:rPr>
          <w:kern w:val="0"/>
        </w:rPr>
        <w:t xml:space="preserve"> and </w:t>
      </w:r>
      <w:r>
        <w:rPr>
          <w:kern w:val="0"/>
        </w:rPr>
        <w:t>hyperopic-LASIK are</w:t>
      </w:r>
      <w:r w:rsidR="00427468">
        <w:rPr>
          <w:kern w:val="0"/>
        </w:rPr>
        <w:t xml:space="preserve"> of </w:t>
      </w:r>
      <w:r>
        <w:rPr>
          <w:kern w:val="0"/>
        </w:rPr>
        <w:t>comparable efficacy. High quality, well-planned open RCTs are needed in order to obtain a robust clinical evidence base.</w:t>
      </w:r>
    </w:p>
    <w:p w:rsidR="00365DE4" w:rsidRDefault="00365DE4" w:rsidP="00365DE4">
      <w:pPr>
        <w:pStyle w:val="a3"/>
        <w:rPr>
          <w:kern w:val="0"/>
        </w:rPr>
      </w:pPr>
      <w:r>
        <w:rPr>
          <w:kern w:val="0"/>
        </w:rPr>
        <w:t xml:space="preserve">Keywords: Astigmatism, Authors, Children, Citation, Criteria, Databases, History, Journals, Language, Lasik, </w:t>
      </w:r>
      <w:r w:rsidR="00D5664A">
        <w:rPr>
          <w:kern w:val="0"/>
        </w:rPr>
        <w:t>MEDLINE</w:t>
      </w:r>
      <w:r>
        <w:rPr>
          <w:kern w:val="0"/>
        </w:rPr>
        <w:t>, Methods, Refractive Errors, Review, Science, Science Citation Index, Sensitivity Analysis, Uncertainty</w:t>
      </w:r>
    </w:p>
    <w:p w:rsidR="00365DE4" w:rsidRDefault="00365DE4" w:rsidP="00365DE4">
      <w:pPr>
        <w:pStyle w:val="a3"/>
        <w:rPr>
          <w:kern w:val="0"/>
        </w:rPr>
      </w:pPr>
      <w:r>
        <w:rPr>
          <w:kern w:val="0"/>
        </w:rPr>
        <w:t>? Keay, L., Lindsley, K., Tielsch, J., Katz, J.</w:t>
      </w:r>
      <w:r w:rsidR="005853A9">
        <w:rPr>
          <w:kern w:val="0"/>
        </w:rPr>
        <w:t xml:space="preserve"> and </w:t>
      </w:r>
      <w:r>
        <w:rPr>
          <w:kern w:val="0"/>
        </w:rPr>
        <w:t xml:space="preserve">Schein, O. (2009), Routine preoperative medical testing for cataract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CD007293.</w:t>
      </w:r>
    </w:p>
    <w:p w:rsidR="00365DE4" w:rsidRDefault="00365DE4" w:rsidP="00365DE4">
      <w:pPr>
        <w:pStyle w:val="a3"/>
        <w:rPr>
          <w:kern w:val="2"/>
        </w:rPr>
      </w:pPr>
      <w:r>
        <w:t xml:space="preserve">Full Text: </w:t>
      </w:r>
      <w:hyperlink r:id="rId555" w:history="1">
        <w:r>
          <w:rPr>
            <w:rStyle w:val="a5"/>
          </w:rPr>
          <w:t>2009\Coc Dat Sys Rev2009, CD007293.pdf</w:t>
        </w:r>
      </w:hyperlink>
    </w:p>
    <w:p w:rsidR="00365DE4" w:rsidRDefault="00365DE4" w:rsidP="00365DE4">
      <w:pPr>
        <w:pStyle w:val="a3"/>
        <w:rPr>
          <w:kern w:val="0"/>
        </w:rPr>
      </w:pPr>
      <w:r>
        <w:rPr>
          <w:kern w:val="0"/>
        </w:rPr>
        <w:t>Abstract: Background Cataract surgery is practiced widely</w:t>
      </w:r>
      <w:r w:rsidR="005853A9">
        <w:rPr>
          <w:kern w:val="0"/>
        </w:rPr>
        <w:t xml:space="preserve"> and </w:t>
      </w:r>
      <w:r>
        <w:rPr>
          <w:kern w:val="0"/>
        </w:rPr>
        <w:t>substantial resources are committed to an increasing cataract surgical rate in developing countries. With the current volume</w:t>
      </w:r>
      <w:r w:rsidR="00427468">
        <w:rPr>
          <w:kern w:val="0"/>
        </w:rPr>
        <w:t xml:space="preserve"> of </w:t>
      </w:r>
      <w:r>
        <w:rPr>
          <w:kern w:val="0"/>
        </w:rPr>
        <w:t>cataract surgery</w:t>
      </w:r>
      <w:r w:rsidR="005853A9">
        <w:rPr>
          <w:kern w:val="0"/>
        </w:rPr>
        <w:t xml:space="preserve"> and </w:t>
      </w:r>
      <w:r>
        <w:rPr>
          <w:kern w:val="0"/>
        </w:rPr>
        <w:t>the increases in the future, it is critical to optimize the safety</w:t>
      </w:r>
      <w:r w:rsidR="005853A9">
        <w:rPr>
          <w:kern w:val="0"/>
        </w:rPr>
        <w:t xml:space="preserve"> and </w:t>
      </w:r>
      <w:r>
        <w:rPr>
          <w:kern w:val="0"/>
        </w:rPr>
        <w:t>costeffectiveness</w:t>
      </w:r>
      <w:r w:rsidR="00427468">
        <w:rPr>
          <w:kern w:val="0"/>
        </w:rPr>
        <w:t xml:space="preserve"> of </w:t>
      </w:r>
      <w:r>
        <w:rPr>
          <w:kern w:val="0"/>
        </w:rPr>
        <w:t>this procedure. Most cataracts are performed on older individuals with correspondingly high systemic</w:t>
      </w:r>
      <w:r w:rsidR="005853A9">
        <w:rPr>
          <w:kern w:val="0"/>
        </w:rPr>
        <w:t xml:space="preserve"> and </w:t>
      </w:r>
      <w:r>
        <w:rPr>
          <w:kern w:val="0"/>
        </w:rPr>
        <w:t>ocular comorbidities. It is likely that routine preoperative medical testing will detect medical conditions, but it is questionable whether these conditions should preclude individuals from cataract surgery or change their perioperative management. Objectives (1) To investigate the evidence for reductions in adverse events through preoperative medical testing,</w:t>
      </w:r>
      <w:r w:rsidR="005853A9">
        <w:rPr>
          <w:kern w:val="0"/>
        </w:rPr>
        <w:t xml:space="preserve"> and </w:t>
      </w:r>
      <w:r>
        <w:rPr>
          <w:kern w:val="0"/>
        </w:rPr>
        <w:t>(2) to estimate the average cost</w:t>
      </w:r>
      <w:r w:rsidR="00427468">
        <w:rPr>
          <w:kern w:val="0"/>
        </w:rPr>
        <w:t xml:space="preserve"> of </w:t>
      </w:r>
      <w:r>
        <w:rPr>
          <w:kern w:val="0"/>
        </w:rPr>
        <w:t xml:space="preserve">performing routine medical testing. Search strategy We searched CENTRAL, </w:t>
      </w:r>
      <w:r w:rsidR="00D5664A">
        <w:rPr>
          <w:kern w:val="0"/>
        </w:rPr>
        <w:t>MEDLINE</w:t>
      </w:r>
      <w:r>
        <w:rPr>
          <w:kern w:val="0"/>
        </w:rPr>
        <w:t>, EMBASE</w:t>
      </w:r>
      <w:r w:rsidR="005853A9">
        <w:rPr>
          <w:kern w:val="0"/>
        </w:rPr>
        <w:t xml:space="preserve"> and </w:t>
      </w:r>
      <w:r>
        <w:rPr>
          <w:kern w:val="0"/>
        </w:rPr>
        <w:t>LILACS using no date or language restrictions. We used reference lists</w:t>
      </w:r>
      <w:r w:rsidR="005853A9">
        <w:rPr>
          <w:kern w:val="0"/>
        </w:rPr>
        <w:t xml:space="preserve"> and </w:t>
      </w:r>
      <w:r>
        <w:rPr>
          <w:kern w:val="0"/>
        </w:rPr>
        <w:t>the Science Citation Index to search for additional studies. Selection criteria We included randomized clinical trials in which routine preoperative medical testing was compared to no preoperative or selective preoperative testing prior to age-related cataract surgery. Data collection</w:t>
      </w:r>
      <w:r w:rsidR="005853A9">
        <w:rPr>
          <w:kern w:val="0"/>
        </w:rPr>
        <w:t xml:space="preserve"> and </w:t>
      </w:r>
      <w:r>
        <w:rPr>
          <w:kern w:val="0"/>
        </w:rPr>
        <w:t>analysis Two review authors independently assessed abstracts to identify possible trials for inclusion. For each included study, two review authors independently documented study characteristics, extracted data,</w:t>
      </w:r>
      <w:r w:rsidR="005853A9">
        <w:rPr>
          <w:kern w:val="0"/>
        </w:rPr>
        <w:t xml:space="preserve"> and </w:t>
      </w:r>
      <w:r>
        <w:rPr>
          <w:kern w:val="0"/>
        </w:rPr>
        <w:t>assessed methodological quality. Main results The three randomized clinical trials included in this review reported results for 21,531 total cataract surgeries with 707 total surgery-associated medical adverse events, including 61 hospitalizations</w:t>
      </w:r>
      <w:r w:rsidR="005853A9">
        <w:rPr>
          <w:kern w:val="0"/>
        </w:rPr>
        <w:t xml:space="preserve"> and </w:t>
      </w:r>
      <w:r>
        <w:rPr>
          <w:kern w:val="0"/>
        </w:rPr>
        <w:t>three deaths.</w:t>
      </w:r>
      <w:r w:rsidR="00427468">
        <w:rPr>
          <w:kern w:val="0"/>
        </w:rPr>
        <w:t xml:space="preserve"> of </w:t>
      </w:r>
      <w:r>
        <w:rPr>
          <w:kern w:val="0"/>
        </w:rPr>
        <w:t>the 707 medical adverse events reported, 353 occurred in the pretesting group</w:t>
      </w:r>
      <w:r w:rsidR="005853A9">
        <w:rPr>
          <w:kern w:val="0"/>
        </w:rPr>
        <w:t xml:space="preserve"> and </w:t>
      </w:r>
      <w:r>
        <w:rPr>
          <w:kern w:val="0"/>
        </w:rPr>
        <w:t xml:space="preserve">354 occurred in the no testing group. Most events were </w:t>
      </w:r>
      <w:r>
        <w:rPr>
          <w:kern w:val="0"/>
        </w:rPr>
        <w:lastRenderedPageBreak/>
        <w:t>cardiovascular</w:t>
      </w:r>
      <w:r w:rsidR="005853A9">
        <w:rPr>
          <w:kern w:val="0"/>
        </w:rPr>
        <w:t xml:space="preserve"> and </w:t>
      </w:r>
      <w:r>
        <w:rPr>
          <w:kern w:val="0"/>
        </w:rPr>
        <w:t>occurred during the intraoperative period. Routine preoperative medical testing did not reduce the risk</w:t>
      </w:r>
      <w:r w:rsidR="00427468">
        <w:rPr>
          <w:kern w:val="0"/>
        </w:rPr>
        <w:t xml:space="preserve"> of </w:t>
      </w:r>
      <w:r>
        <w:rPr>
          <w:kern w:val="0"/>
        </w:rPr>
        <w:t>intraoperative (OR 1.02, 95% CI 0.85 to 1.22) or postoperative medical adverse events (OR 0.96, 95% CI 0.74 to 1.24) when compared to selective or no testing. Cost savings were evaluated in one study which estimated the costs to be 2.55 times higher in those with preoperative medical testing compared to those without preoperative medical testing</w:t>
      </w:r>
      <w:r w:rsidR="00A37C1D">
        <w:rPr>
          <w:kern w:val="0"/>
        </w:rPr>
        <w:t>. The</w:t>
      </w:r>
      <w:r>
        <w:rPr>
          <w:kern w:val="0"/>
        </w:rPr>
        <w:t>re was no difference in cancellation</w:t>
      </w:r>
      <w:r w:rsidR="00427468">
        <w:rPr>
          <w:kern w:val="0"/>
        </w:rPr>
        <w:t xml:space="preserve"> of </w:t>
      </w:r>
      <w:r>
        <w:rPr>
          <w:kern w:val="0"/>
        </w:rPr>
        <w:t>surgery between those with preoperative medical testing</w:t>
      </w:r>
      <w:r w:rsidR="005853A9">
        <w:rPr>
          <w:kern w:val="0"/>
        </w:rPr>
        <w:t xml:space="preserve"> and </w:t>
      </w:r>
      <w:r>
        <w:rPr>
          <w:kern w:val="0"/>
        </w:rPr>
        <w:t>those with no or limited preoperative testing, reported by two studies. Authors</w:t>
      </w:r>
      <w:r w:rsidR="0071223E">
        <w:rPr>
          <w:kern w:val="0"/>
        </w:rPr>
        <w:t>’</w:t>
      </w:r>
      <w:r>
        <w:rPr>
          <w:kern w:val="0"/>
        </w:rPr>
        <w:t xml:space="preserve"> conclusions This review has shown that routine pre- operative testing does not increase the safety</w:t>
      </w:r>
      <w:r w:rsidR="00427468">
        <w:rPr>
          <w:kern w:val="0"/>
        </w:rPr>
        <w:t xml:space="preserve"> of </w:t>
      </w:r>
      <w:r>
        <w:rPr>
          <w:kern w:val="0"/>
        </w:rPr>
        <w:t>cataract surgery. Alternatives to routine preoperative medical testing have been proposed, including self-administered health questionnaires, which could substitute for health provider histories</w:t>
      </w:r>
      <w:r w:rsidR="005853A9">
        <w:rPr>
          <w:kern w:val="0"/>
        </w:rPr>
        <w:t xml:space="preserve"> and </w:t>
      </w:r>
      <w:r>
        <w:rPr>
          <w:kern w:val="0"/>
        </w:rPr>
        <w:t>physical examinations. Such avenues may lead to cost-effective means</w:t>
      </w:r>
      <w:r w:rsidR="00427468">
        <w:rPr>
          <w:kern w:val="0"/>
        </w:rPr>
        <w:t xml:space="preserve"> of </w:t>
      </w:r>
      <w:r>
        <w:rPr>
          <w:kern w:val="0"/>
        </w:rPr>
        <w:t>identifying those at increased risk</w:t>
      </w:r>
      <w:r w:rsidR="00427468">
        <w:rPr>
          <w:kern w:val="0"/>
        </w:rPr>
        <w:t xml:space="preserve"> of </w:t>
      </w:r>
      <w:r>
        <w:rPr>
          <w:kern w:val="0"/>
        </w:rPr>
        <w:t>medical adverse events due to cataract surgery. However, despite the rare occurrence, adverse medical events precipitated by cataract surgery remain a concern because</w:t>
      </w:r>
      <w:r w:rsidR="00427468">
        <w:rPr>
          <w:kern w:val="0"/>
        </w:rPr>
        <w:t xml:space="preserve"> of </w:t>
      </w:r>
      <w:r>
        <w:rPr>
          <w:kern w:val="0"/>
        </w:rPr>
        <w:t>the large number</w:t>
      </w:r>
      <w:r w:rsidR="00427468">
        <w:rPr>
          <w:kern w:val="0"/>
        </w:rPr>
        <w:t xml:space="preserve"> of </w:t>
      </w:r>
      <w:r>
        <w:rPr>
          <w:kern w:val="0"/>
        </w:rPr>
        <w:t>elderly patients with multiple medical comorbidities who have cataract surgery in various settings</w:t>
      </w:r>
      <w:r w:rsidR="00A37C1D">
        <w:rPr>
          <w:kern w:val="0"/>
        </w:rPr>
        <w:t>. The</w:t>
      </w:r>
      <w:r>
        <w:rPr>
          <w:kern w:val="0"/>
        </w:rPr>
        <w:t xml:space="preserve"> studies summarized in this review should assist recommendations for the standard</w:t>
      </w:r>
      <w:r w:rsidR="00427468">
        <w:rPr>
          <w:kern w:val="0"/>
        </w:rPr>
        <w:t xml:space="preserve"> of </w:t>
      </w:r>
      <w:r>
        <w:rPr>
          <w:kern w:val="0"/>
        </w:rPr>
        <w:t>care</w:t>
      </w:r>
      <w:r w:rsidR="00427468">
        <w:rPr>
          <w:kern w:val="0"/>
        </w:rPr>
        <w:t xml:space="preserve"> of </w:t>
      </w:r>
      <w:r>
        <w:rPr>
          <w:kern w:val="0"/>
        </w:rPr>
        <w:t>cataract surgery, at least in developed settings. Unfortunately, in developing country settings, medical history questionnaires would be useless to screen for risk since few people have ever been to a physician, let alone been diagnosed with any chronic disease.</w:t>
      </w:r>
    </w:p>
    <w:p w:rsidR="00365DE4" w:rsidRDefault="00365DE4" w:rsidP="00365DE4">
      <w:pPr>
        <w:pStyle w:val="a3"/>
        <w:rPr>
          <w:kern w:val="0"/>
        </w:rPr>
      </w:pPr>
      <w:r>
        <w:rPr>
          <w:kern w:val="0"/>
        </w:rPr>
        <w:t xml:space="preserve">Keywords: Anesthesiologists, Authors, Cataract, Change, Characteristics, Chronic, Citation, Clinical Trials, Cost, Costs, Criteria, Developing Countries, Developing Country, Elderly, Health, History, Impact, Language, Lead, Management, Medical, </w:t>
      </w:r>
      <w:r w:rsidR="00D5664A">
        <w:rPr>
          <w:kern w:val="0"/>
        </w:rPr>
        <w:t>MEDLINE</w:t>
      </w:r>
      <w:r>
        <w:rPr>
          <w:kern w:val="0"/>
        </w:rPr>
        <w:t>, Occurrence, Outcomes, Questionnaires, Randomized Clinical Trials, Review, Risk, Science, Science Citation Index, Surgery</w:t>
      </w:r>
    </w:p>
    <w:p w:rsidR="00365DE4" w:rsidRDefault="00365DE4" w:rsidP="00365DE4">
      <w:pPr>
        <w:pStyle w:val="a3"/>
        <w:rPr>
          <w:kern w:val="0"/>
        </w:rPr>
      </w:pPr>
      <w:r>
        <w:rPr>
          <w:kern w:val="0"/>
        </w:rPr>
        <w:t>? Wijeysundera, D.N., Bender, J.S.</w:t>
      </w:r>
      <w:r w:rsidR="005853A9">
        <w:rPr>
          <w:kern w:val="0"/>
        </w:rPr>
        <w:t xml:space="preserve"> and </w:t>
      </w:r>
      <w:r>
        <w:rPr>
          <w:kern w:val="0"/>
        </w:rPr>
        <w:t>Beattie, W.S. (2009), Alpha-2 adrenergic agonists for the prevention</w:t>
      </w:r>
      <w:r w:rsidR="00427468">
        <w:rPr>
          <w:kern w:val="0"/>
        </w:rPr>
        <w:t xml:space="preserve"> of </w:t>
      </w:r>
      <w:r>
        <w:rPr>
          <w:kern w:val="0"/>
        </w:rPr>
        <w:t xml:space="preserve">cardiac complications among patients undergoing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CD004126.</w:t>
      </w:r>
    </w:p>
    <w:p w:rsidR="00365DE4" w:rsidRDefault="00365DE4" w:rsidP="00365DE4">
      <w:pPr>
        <w:pStyle w:val="a3"/>
        <w:rPr>
          <w:kern w:val="2"/>
        </w:rPr>
      </w:pPr>
      <w:r>
        <w:t xml:space="preserve">Full Text: </w:t>
      </w:r>
      <w:hyperlink r:id="rId556" w:history="1">
        <w:r>
          <w:rPr>
            <w:rStyle w:val="a5"/>
          </w:rPr>
          <w:t>2009\Coc Dat Sys Rev2009, CD004126.pdf</w:t>
        </w:r>
      </w:hyperlink>
    </w:p>
    <w:p w:rsidR="00365DE4" w:rsidRDefault="00365DE4" w:rsidP="00365DE4">
      <w:pPr>
        <w:pStyle w:val="a3"/>
        <w:rPr>
          <w:kern w:val="0"/>
        </w:rPr>
      </w:pPr>
      <w:r>
        <w:rPr>
          <w:kern w:val="0"/>
        </w:rPr>
        <w:t>Abstract: Background The surgical stress response plays an important role on the pathogenesis</w:t>
      </w:r>
      <w:r w:rsidR="00427468">
        <w:rPr>
          <w:kern w:val="0"/>
        </w:rPr>
        <w:t xml:space="preserve"> of </w:t>
      </w:r>
      <w:r>
        <w:rPr>
          <w:kern w:val="0"/>
        </w:rPr>
        <w:t>perioperative cardiac complications. Alpha-2 adrenergic agonists attenuate this response</w:t>
      </w:r>
      <w:r w:rsidR="005853A9">
        <w:rPr>
          <w:kern w:val="0"/>
        </w:rPr>
        <w:t xml:space="preserve"> and </w:t>
      </w:r>
      <w:r>
        <w:rPr>
          <w:kern w:val="0"/>
        </w:rPr>
        <w:t>may thereby prevent cardiac complications. Objectives This review assessed the efficacy</w:t>
      </w:r>
      <w:r w:rsidR="005853A9">
        <w:rPr>
          <w:kern w:val="0"/>
        </w:rPr>
        <w:t xml:space="preserve"> and </w:t>
      </w:r>
      <w:r>
        <w:rPr>
          <w:kern w:val="0"/>
        </w:rPr>
        <w:t>safety</w:t>
      </w:r>
      <w:r w:rsidR="00427468">
        <w:rPr>
          <w:kern w:val="0"/>
        </w:rPr>
        <w:t xml:space="preserve"> of </w:t>
      </w:r>
      <w:r>
        <w:rPr>
          <w:kern w:val="0"/>
        </w:rPr>
        <w:t>preoperative (within 24 hours), intraoperative,</w:t>
      </w:r>
      <w:r w:rsidR="005853A9">
        <w:rPr>
          <w:kern w:val="0"/>
        </w:rPr>
        <w:t xml:space="preserve"> and </w:t>
      </w:r>
      <w:r>
        <w:rPr>
          <w:kern w:val="0"/>
        </w:rPr>
        <w:t>postoperative (first 48 hours) alpha-2 adrenergic agonists for preventing mortality</w:t>
      </w:r>
      <w:r w:rsidR="005853A9">
        <w:rPr>
          <w:kern w:val="0"/>
        </w:rPr>
        <w:t xml:space="preserve"> and </w:t>
      </w:r>
      <w:r>
        <w:rPr>
          <w:kern w:val="0"/>
        </w:rPr>
        <w:t>cardiac complications after surgery performed under either general or neuraxial anaesthesia, or both. Search strategy We searched the Cochrane Central Register</w:t>
      </w:r>
      <w:r w:rsidR="00427468">
        <w:rPr>
          <w:kern w:val="0"/>
        </w:rPr>
        <w:t xml:space="preserve"> of </w:t>
      </w:r>
      <w:r>
        <w:rPr>
          <w:kern w:val="0"/>
        </w:rPr>
        <w:t xml:space="preserve">Controlled Trials (CENTRAL) (The Cochrane Library 2008, Issue 3), </w:t>
      </w:r>
      <w:r w:rsidR="00D5664A">
        <w:rPr>
          <w:kern w:val="0"/>
        </w:rPr>
        <w:t>MEDLINE</w:t>
      </w:r>
      <w:r>
        <w:rPr>
          <w:kern w:val="0"/>
        </w:rPr>
        <w:t xml:space="preserve"> (1950 to August week 4 2008), EMBASE (1980 to week 36 </w:t>
      </w:r>
      <w:r>
        <w:rPr>
          <w:kern w:val="0"/>
        </w:rPr>
        <w:lastRenderedPageBreak/>
        <w:t>2008), the Science Citation Index,</w:t>
      </w:r>
      <w:r w:rsidR="005853A9">
        <w:rPr>
          <w:kern w:val="0"/>
        </w:rPr>
        <w:t xml:space="preserve"> and </w:t>
      </w:r>
      <w:r>
        <w:rPr>
          <w:kern w:val="0"/>
        </w:rPr>
        <w:t>reference lists</w:t>
      </w:r>
      <w:r w:rsidR="00427468">
        <w:rPr>
          <w:kern w:val="0"/>
        </w:rPr>
        <w:t xml:space="preserve"> of </w:t>
      </w:r>
      <w:r>
        <w:rPr>
          <w:kern w:val="0"/>
        </w:rPr>
        <w:t>articles. Selection criteria We included randomized controlled trials that compared alpha-2 adrenergic agonists (clonidine, dexmedetomidine, or mivazerol) against placebo or non-alpha-2 adrenergic agonists. Included studies had to report on mortality, myocardial infarction, myocardial ischaemia, or supraventricular tachyarrhythmia. Data collection</w:t>
      </w:r>
      <w:r w:rsidR="005853A9">
        <w:rPr>
          <w:kern w:val="0"/>
        </w:rPr>
        <w:t xml:space="preserve"> and </w:t>
      </w:r>
      <w:r>
        <w:rPr>
          <w:kern w:val="0"/>
        </w:rPr>
        <w:t>analysis Three authors independently assessed trial quality</w:t>
      </w:r>
      <w:r w:rsidR="005853A9">
        <w:rPr>
          <w:kern w:val="0"/>
        </w:rPr>
        <w:t xml:space="preserve"> and </w:t>
      </w:r>
      <w:r>
        <w:rPr>
          <w:kern w:val="0"/>
        </w:rPr>
        <w:t>extracted data. Two authors independently performed computer entry</w:t>
      </w:r>
      <w:r w:rsidR="00427468">
        <w:rPr>
          <w:kern w:val="0"/>
        </w:rPr>
        <w:t xml:space="preserve"> of </w:t>
      </w:r>
      <w:r>
        <w:rPr>
          <w:kern w:val="0"/>
        </w:rPr>
        <w:t>abstracted data. We contacted study authors for additional information. Adverse event data were gathered from the trials. Main results We included 31 studies (4578 participants). Study quality was generally inadequate, with only six studies clearly reporting methods for blinding</w:t>
      </w:r>
      <w:r w:rsidR="005853A9">
        <w:rPr>
          <w:kern w:val="0"/>
        </w:rPr>
        <w:t xml:space="preserve"> and </w:t>
      </w:r>
      <w:r>
        <w:rPr>
          <w:kern w:val="0"/>
        </w:rPr>
        <w:t>allocation concealment. Overall, alpha-2 adrenergic agonists reduced mortality (relative risk (RR) 0.66; 95% CI 0.44 to 0.98; P = 0.04)</w:t>
      </w:r>
      <w:r w:rsidR="005853A9">
        <w:rPr>
          <w:kern w:val="0"/>
        </w:rPr>
        <w:t xml:space="preserve"> and </w:t>
      </w:r>
      <w:r>
        <w:rPr>
          <w:kern w:val="0"/>
        </w:rPr>
        <w:t>myocardial ischaemia (RR 0.68; 95% CI 0.57 to 0.81; P &lt; 0.0001). However, their effects appeared to vary with the surgical procedure</w:t>
      </w:r>
      <w:r w:rsidR="00A37C1D">
        <w:rPr>
          <w:kern w:val="0"/>
        </w:rPr>
        <w:t>. The</w:t>
      </w:r>
      <w:r>
        <w:rPr>
          <w:kern w:val="0"/>
        </w:rPr>
        <w:t xml:space="preserve"> most encouraging data pertained to vascular surgery, where they reduced mortality (RR 0.47; 95% CI 0.25 to 0.90; P = 0.02), cardiac mortality (RR 0.36; 95% CI 0.16 to 0.79; P = 0.01),</w:t>
      </w:r>
      <w:r w:rsidR="005853A9">
        <w:rPr>
          <w:kern w:val="0"/>
        </w:rPr>
        <w:t xml:space="preserve"> and </w:t>
      </w:r>
      <w:r>
        <w:rPr>
          <w:kern w:val="0"/>
        </w:rPr>
        <w:t>myocardial infarction (RR 0.66; 95% CI 0.46 to 0.94; P = 0.02). With regard to adverse effects, alpha-2 adrenergic agonists significantly increased perioperative hypotension (RR 1.32; 95% CI 1.07 to 1.62; P = 0.009)</w:t>
      </w:r>
      <w:r w:rsidR="005853A9">
        <w:rPr>
          <w:kern w:val="0"/>
        </w:rPr>
        <w:t xml:space="preserve"> and </w:t>
      </w:r>
      <w:r>
        <w:rPr>
          <w:kern w:val="0"/>
        </w:rPr>
        <w:t>bradycardia (RR 1.66; 95% CI 1.14 to 2.41; P = 0.008). Authors</w:t>
      </w:r>
      <w:r w:rsidR="0071223E">
        <w:rPr>
          <w:kern w:val="0"/>
        </w:rPr>
        <w:t>’</w:t>
      </w:r>
      <w:r>
        <w:rPr>
          <w:kern w:val="0"/>
        </w:rPr>
        <w:t xml:space="preserve"> conclusions Our study provides encouraging evidence that alpha-2 adrenergic agonists may reduce cardiac risk, especially during vascular surgery. Nonetheless, these data remain insufficient to make firm conclusions about their efficacy</w:t>
      </w:r>
      <w:r w:rsidR="005853A9">
        <w:rPr>
          <w:kern w:val="0"/>
        </w:rPr>
        <w:t xml:space="preserve"> and </w:t>
      </w:r>
      <w:r>
        <w:rPr>
          <w:kern w:val="0"/>
        </w:rPr>
        <w:t>safety. A large randomized trial</w:t>
      </w:r>
      <w:r w:rsidR="00427468">
        <w:rPr>
          <w:kern w:val="0"/>
        </w:rPr>
        <w:t xml:space="preserve"> of </w:t>
      </w:r>
      <w:r>
        <w:rPr>
          <w:kern w:val="0"/>
        </w:rPr>
        <w:t>alpha-2 adrenergic agonists is therefore warranted. Additionally, future research must determine which specific alpha-2 adrenergic agonist should be used,</w:t>
      </w:r>
      <w:r w:rsidR="005853A9">
        <w:rPr>
          <w:kern w:val="0"/>
        </w:rPr>
        <w:t xml:space="preserve"> and </w:t>
      </w:r>
      <w:r>
        <w:rPr>
          <w:kern w:val="0"/>
        </w:rPr>
        <w:t>whether it is safe to combine them with other perioperative interventions (for example beta-adrenergic blockade).</w:t>
      </w:r>
    </w:p>
    <w:p w:rsidR="00365DE4" w:rsidRDefault="00365DE4" w:rsidP="00365DE4">
      <w:pPr>
        <w:pStyle w:val="a3"/>
        <w:rPr>
          <w:kern w:val="0"/>
        </w:rPr>
      </w:pPr>
      <w:r>
        <w:rPr>
          <w:kern w:val="0"/>
        </w:rPr>
        <w:t xml:space="preserve">Keywords: Anaesthesia, Artery Bypass-Surgery, Articles, Authors, Citation, Computer, Criteria, Double-Blind, Elective Abdominal Hysterectomy, Hemodynamic-Responses, Intensive-Care-Unit, Intravenously Administered Dexmedetomidine, </w:t>
      </w:r>
      <w:r w:rsidR="00D5664A">
        <w:rPr>
          <w:kern w:val="0"/>
        </w:rPr>
        <w:t>MEDLINE</w:t>
      </w:r>
      <w:r>
        <w:rPr>
          <w:kern w:val="0"/>
        </w:rPr>
        <w:t>, Methods, Noncardiac Surgery, Oral Clonidine Premedication, Perioperative Myocardial-Ischemia, Placebo, Postoperative Analgesia, Research, Review, Risk, Science, Science Citation Index, Stress, Surgery, Vascular Surgery</w:t>
      </w:r>
    </w:p>
    <w:p w:rsidR="00365DE4" w:rsidRDefault="00365DE4" w:rsidP="00365DE4">
      <w:pPr>
        <w:pStyle w:val="a3"/>
        <w:rPr>
          <w:kern w:val="0"/>
        </w:rPr>
      </w:pPr>
      <w:r>
        <w:rPr>
          <w:kern w:val="0"/>
        </w:rPr>
        <w:t>? Gur</w:t>
      </w:r>
      <w:r w:rsidR="00D5664A">
        <w:rPr>
          <w:kern w:val="0"/>
        </w:rPr>
        <w:t>USA</w:t>
      </w:r>
      <w:r>
        <w:rPr>
          <w:kern w:val="0"/>
        </w:rPr>
        <w:t>my, K.S., Li, J., Sharma, D.</w:t>
      </w:r>
      <w:r w:rsidR="005853A9">
        <w:rPr>
          <w:kern w:val="0"/>
        </w:rPr>
        <w:t xml:space="preserve"> and </w:t>
      </w:r>
      <w:r>
        <w:rPr>
          <w:kern w:val="0"/>
        </w:rPr>
        <w:t>Davidson, B.R. (2009), Cardiopulmonary interventions to decrease blood loss</w:t>
      </w:r>
      <w:r w:rsidR="005853A9">
        <w:rPr>
          <w:kern w:val="0"/>
        </w:rPr>
        <w:t xml:space="preserve"> and </w:t>
      </w:r>
      <w:r>
        <w:rPr>
          <w:kern w:val="0"/>
        </w:rPr>
        <w:t xml:space="preserve">blood transfusion requirements for liver resection.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CD007338.</w:t>
      </w:r>
    </w:p>
    <w:p w:rsidR="00365DE4" w:rsidRDefault="00365DE4" w:rsidP="00365DE4">
      <w:pPr>
        <w:pStyle w:val="a3"/>
        <w:rPr>
          <w:kern w:val="2"/>
        </w:rPr>
      </w:pPr>
      <w:r>
        <w:t xml:space="preserve">Full Text: </w:t>
      </w:r>
      <w:hyperlink r:id="rId557" w:history="1">
        <w:r>
          <w:rPr>
            <w:rStyle w:val="a5"/>
          </w:rPr>
          <w:t>2009\Coc Dat Sys Rev2009, CD007338.pdf</w:t>
        </w:r>
      </w:hyperlink>
    </w:p>
    <w:p w:rsidR="00365DE4" w:rsidRDefault="00365DE4" w:rsidP="00365DE4">
      <w:pPr>
        <w:pStyle w:val="a3"/>
        <w:rPr>
          <w:kern w:val="0"/>
        </w:rPr>
      </w:pPr>
      <w:r>
        <w:rPr>
          <w:kern w:val="0"/>
        </w:rPr>
        <w:t>Abstract: Background Blood loss during liver resection is one</w:t>
      </w:r>
      <w:r w:rsidR="00427468">
        <w:rPr>
          <w:kern w:val="0"/>
        </w:rPr>
        <w:t xml:space="preserve"> of </w:t>
      </w:r>
      <w:r>
        <w:rPr>
          <w:kern w:val="0"/>
        </w:rPr>
        <w:t xml:space="preserve">the most important </w:t>
      </w:r>
      <w:r>
        <w:rPr>
          <w:kern w:val="0"/>
        </w:rPr>
        <w:lastRenderedPageBreak/>
        <w:t>factors affecting the peri-operative outcomes</w:t>
      </w:r>
      <w:r w:rsidR="00427468">
        <w:rPr>
          <w:kern w:val="0"/>
        </w:rPr>
        <w:t xml:space="preserve"> of </w:t>
      </w:r>
      <w:r>
        <w:rPr>
          <w:kern w:val="0"/>
        </w:rPr>
        <w:t>patients undergoing liver resection. Objectives To determine the benefits</w:t>
      </w:r>
      <w:r w:rsidR="005853A9">
        <w:rPr>
          <w:kern w:val="0"/>
        </w:rPr>
        <w:t xml:space="preserve"> and </w:t>
      </w:r>
      <w:r>
        <w:rPr>
          <w:kern w:val="0"/>
        </w:rPr>
        <w:t>harms</w:t>
      </w:r>
      <w:r w:rsidR="00427468">
        <w:rPr>
          <w:kern w:val="0"/>
        </w:rPr>
        <w:t xml:space="preserve"> of </w:t>
      </w:r>
      <w:r>
        <w:rPr>
          <w:kern w:val="0"/>
        </w:rPr>
        <w:t>cardiopulmonary interventions to decrease blood loss</w:t>
      </w:r>
      <w:r w:rsidR="005853A9">
        <w:rPr>
          <w:kern w:val="0"/>
        </w:rPr>
        <w:t xml:space="preserve"> and </w:t>
      </w:r>
      <w:r>
        <w:rPr>
          <w:kern w:val="0"/>
        </w:rPr>
        <w:t>to decrease allogeneic blood transfusion requirements in patients undergoing liver resections.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November 2008 for identifying the randomised trials. Selection criteria We included all randomised clinical trials comparing various cardiopulmonary interventions aimed at decreasing blood loss</w:t>
      </w:r>
      <w:r w:rsidR="005853A9">
        <w:rPr>
          <w:kern w:val="0"/>
        </w:rPr>
        <w:t xml:space="preserve"> and </w:t>
      </w:r>
      <w:r>
        <w:rPr>
          <w:kern w:val="0"/>
        </w:rPr>
        <w:t>allogeneic blood transfusion requirements in liver resection. Trials were included irrespective</w:t>
      </w:r>
      <w:r w:rsidR="00427468">
        <w:rPr>
          <w:kern w:val="0"/>
        </w:rPr>
        <w:t xml:space="preserve"> of </w:t>
      </w:r>
      <w:r>
        <w:rPr>
          <w:kern w:val="0"/>
        </w:rPr>
        <w:t>whether they included major or minor liver resections, normal or cirrhotic livers, vascular occlusion was used or not,</w:t>
      </w:r>
      <w:r w:rsidR="005853A9">
        <w:rPr>
          <w:kern w:val="0"/>
        </w:rPr>
        <w:t xml:space="preserve"> and </w:t>
      </w:r>
      <w:r>
        <w:rPr>
          <w:kern w:val="0"/>
        </w:rPr>
        <w:t>irrespective</w:t>
      </w:r>
      <w:r w:rsidR="00427468">
        <w:rPr>
          <w:kern w:val="0"/>
        </w:rPr>
        <w:t xml:space="preserve"> of </w:t>
      </w:r>
      <w:r>
        <w:rPr>
          <w:kern w:val="0"/>
        </w:rPr>
        <w:t>the reason for liver resection. Data collection</w:t>
      </w:r>
      <w:r w:rsidR="005853A9">
        <w:rPr>
          <w:kern w:val="0"/>
        </w:rPr>
        <w:t xml:space="preserve"> and </w:t>
      </w:r>
      <w:r>
        <w:rPr>
          <w:kern w:val="0"/>
        </w:rPr>
        <w:t>analysis Two authors independently identified trials for inclusion</w:t>
      </w:r>
      <w:r w:rsidR="005853A9">
        <w:rPr>
          <w:kern w:val="0"/>
        </w:rPr>
        <w:t xml:space="preserve"> and </w:t>
      </w:r>
      <w:r>
        <w:rPr>
          <w:kern w:val="0"/>
        </w:rPr>
        <w:t>independently extracted data. We analysed the data with both the fixed-effect</w:t>
      </w:r>
      <w:r w:rsidR="005853A9">
        <w:rPr>
          <w:kern w:val="0"/>
        </w:rPr>
        <w:t xml:space="preserve"> and </w:t>
      </w:r>
      <w:r>
        <w:rPr>
          <w:kern w:val="0"/>
        </w:rPr>
        <w:t>the random-effects models using RevMan Analysis. For each outcome we calculated the risk ratio (RR), mean difference (MD), or standardised mean difference (SMD) with 95% confidence intervals (CI) based on intention-to-treat analysis or available case-analysis. For dichotomous outcomes with only one trial included under the outcome, we performed the Fisher</w:t>
      </w:r>
      <w:r w:rsidR="0071223E">
        <w:rPr>
          <w:kern w:val="0"/>
        </w:rPr>
        <w:t>’</w:t>
      </w:r>
      <w:r>
        <w:rPr>
          <w:kern w:val="0"/>
        </w:rPr>
        <w:t>s exact test. Main results Nine trials involving 587 patients satisfied the inclusion criteria</w:t>
      </w:r>
      <w:r w:rsidR="00A37C1D">
        <w:rPr>
          <w:kern w:val="0"/>
        </w:rPr>
        <w:t>. The</w:t>
      </w:r>
      <w:r>
        <w:rPr>
          <w:kern w:val="0"/>
        </w:rPr>
        <w:t xml:space="preserve"> interventions included low central venous pressure (CVP), autologous blood donation, haemodilution, haemodilution with controlled hypotension,</w:t>
      </w:r>
      <w:r w:rsidR="005853A9">
        <w:rPr>
          <w:kern w:val="0"/>
        </w:rPr>
        <w:t xml:space="preserve"> and </w:t>
      </w:r>
      <w:r>
        <w:rPr>
          <w:kern w:val="0"/>
        </w:rPr>
        <w:t>hypoventilation. Only one or two trials were included under most comparisons. All trials had a high risk</w:t>
      </w:r>
      <w:r w:rsidR="00427468">
        <w:rPr>
          <w:kern w:val="0"/>
        </w:rPr>
        <w:t xml:space="preserve"> of </w:t>
      </w:r>
      <w:r>
        <w:rPr>
          <w:kern w:val="0"/>
        </w:rPr>
        <w:t>bias</w:t>
      </w:r>
      <w:r w:rsidR="00A37C1D">
        <w:rPr>
          <w:kern w:val="0"/>
        </w:rPr>
        <w:t>. The</w:t>
      </w:r>
      <w:r>
        <w:rPr>
          <w:kern w:val="0"/>
        </w:rPr>
        <w:t>re was no significant difference in the peri-operative mortality or other peri-operative morbidity. None</w:t>
      </w:r>
      <w:r w:rsidR="00427468">
        <w:rPr>
          <w:kern w:val="0"/>
        </w:rPr>
        <w:t xml:space="preserve"> of </w:t>
      </w:r>
      <w:r>
        <w:rPr>
          <w:kern w:val="0"/>
        </w:rPr>
        <w:t>the trials reported long-term survival or liver failure</w:t>
      </w:r>
      <w:r w:rsidR="00A37C1D">
        <w:rPr>
          <w:kern w:val="0"/>
        </w:rPr>
        <w:t>. The</w:t>
      </w:r>
      <w:r>
        <w:rPr>
          <w:kern w:val="0"/>
        </w:rPr>
        <w:t xml:space="preserve"> risk ratio</w:t>
      </w:r>
      <w:r w:rsidR="00427468">
        <w:rPr>
          <w:kern w:val="0"/>
        </w:rPr>
        <w:t xml:space="preserve"> of </w:t>
      </w:r>
      <w:r>
        <w:rPr>
          <w:kern w:val="0"/>
        </w:rPr>
        <w:t>requiring allogeneic blood transfusion was significantly lower in the haemodilution</w:t>
      </w:r>
      <w:r w:rsidR="005853A9">
        <w:rPr>
          <w:kern w:val="0"/>
        </w:rPr>
        <w:t xml:space="preserve"> and </w:t>
      </w:r>
      <w:r>
        <w:rPr>
          <w:kern w:val="0"/>
        </w:rPr>
        <w:t>haemodilution with controlled hypotension groups than the respective control groups. Other interventions did not show significant decreases</w:t>
      </w:r>
      <w:r w:rsidR="00427468">
        <w:rPr>
          <w:kern w:val="0"/>
        </w:rPr>
        <w:t xml:space="preserve"> of </w:t>
      </w:r>
      <w:r>
        <w:rPr>
          <w:kern w:val="0"/>
        </w:rPr>
        <w:t>allogeneic transfusion requirements. Authors</w:t>
      </w:r>
      <w:r w:rsidR="0071223E">
        <w:rPr>
          <w:kern w:val="0"/>
        </w:rPr>
        <w:t>’</w:t>
      </w:r>
      <w:r>
        <w:rPr>
          <w:kern w:val="0"/>
        </w:rPr>
        <w:t xml:space="preserve"> conclusions None</w:t>
      </w:r>
      <w:r w:rsidR="00427468">
        <w:rPr>
          <w:kern w:val="0"/>
        </w:rPr>
        <w:t xml:space="preserve"> of </w:t>
      </w:r>
      <w:r>
        <w:rPr>
          <w:kern w:val="0"/>
        </w:rPr>
        <w:t>the interventions seem to decrease peri-operative morbidity or offer any long-term survival benefit. Haemodilution shows promise in the reduction</w:t>
      </w:r>
      <w:r w:rsidR="00427468">
        <w:rPr>
          <w:kern w:val="0"/>
        </w:rPr>
        <w:t xml:space="preserve"> of </w:t>
      </w:r>
      <w:r>
        <w:rPr>
          <w:kern w:val="0"/>
        </w:rPr>
        <w:t>blood transfusion requirements in liver resection surgery. However, there is a high risk</w:t>
      </w:r>
      <w:r w:rsidR="00427468">
        <w:rPr>
          <w:kern w:val="0"/>
        </w:rPr>
        <w:t xml:space="preserve"> of </w:t>
      </w:r>
      <w:r>
        <w:rPr>
          <w:kern w:val="0"/>
        </w:rPr>
        <w:t>type I (erroneously concluding that an intervention is beneficial when it is actually not beneficial)</w:t>
      </w:r>
      <w:r w:rsidR="005853A9">
        <w:rPr>
          <w:kern w:val="0"/>
        </w:rPr>
        <w:t xml:space="preserve"> and </w:t>
      </w:r>
      <w:r>
        <w:rPr>
          <w:kern w:val="0"/>
        </w:rPr>
        <w:t>type II errors (erroneously concluding that an intervention is not beneficial when it is actually beneficial) because</w:t>
      </w:r>
      <w:r w:rsidR="00427468">
        <w:rPr>
          <w:kern w:val="0"/>
        </w:rPr>
        <w:t xml:space="preserve"> of </w:t>
      </w:r>
      <w:r>
        <w:rPr>
          <w:kern w:val="0"/>
        </w:rPr>
        <w:t>the few trials included, the small sample size in each trial,</w:t>
      </w:r>
      <w:r w:rsidR="005853A9">
        <w:rPr>
          <w:kern w:val="0"/>
        </w:rPr>
        <w:t xml:space="preserve"> and </w:t>
      </w:r>
      <w:r>
        <w:rPr>
          <w:kern w:val="0"/>
        </w:rPr>
        <w:t>the high risk</w:t>
      </w:r>
      <w:r w:rsidR="00427468">
        <w:rPr>
          <w:kern w:val="0"/>
        </w:rPr>
        <w:t xml:space="preserve"> of </w:t>
      </w:r>
      <w:r>
        <w:rPr>
          <w:kern w:val="0"/>
        </w:rPr>
        <w:t>bias. Further randomised clinical trials with low risk</w:t>
      </w:r>
      <w:r w:rsidR="00427468">
        <w:rPr>
          <w:kern w:val="0"/>
        </w:rPr>
        <w:t xml:space="preserve"> of </w:t>
      </w:r>
      <w:r>
        <w:rPr>
          <w:kern w:val="0"/>
        </w:rPr>
        <w:t>bias</w:t>
      </w:r>
      <w:r w:rsidR="005853A9">
        <w:rPr>
          <w:kern w:val="0"/>
        </w:rPr>
        <w:t xml:space="preserve"> and </w:t>
      </w:r>
      <w:r>
        <w:rPr>
          <w:kern w:val="0"/>
        </w:rPr>
        <w:t>random errors assessing clinically important outcomes such as peri-operative mortality are necessary to assess any cardiopulmonary interventions aimed at decreasing blood loss</w:t>
      </w:r>
      <w:r w:rsidR="005853A9">
        <w:rPr>
          <w:kern w:val="0"/>
        </w:rPr>
        <w:t xml:space="preserve"> and </w:t>
      </w:r>
      <w:r>
        <w:rPr>
          <w:kern w:val="0"/>
        </w:rPr>
        <w:t xml:space="preserve">blood transfusion </w:t>
      </w:r>
      <w:r>
        <w:rPr>
          <w:kern w:val="0"/>
        </w:rPr>
        <w:lastRenderedPageBreak/>
        <w:t>requirements in liver resections. Trials need to be designed to assess the effect</w:t>
      </w:r>
      <w:r w:rsidR="00427468">
        <w:rPr>
          <w:kern w:val="0"/>
        </w:rPr>
        <w:t xml:space="preserve"> of </w:t>
      </w:r>
      <w:r>
        <w:rPr>
          <w:kern w:val="0"/>
        </w:rPr>
        <w:t>a combination</w:t>
      </w:r>
      <w:r w:rsidR="00427468">
        <w:rPr>
          <w:kern w:val="0"/>
        </w:rPr>
        <w:t xml:space="preserve"> of </w:t>
      </w:r>
      <w:r>
        <w:rPr>
          <w:kern w:val="0"/>
        </w:rPr>
        <w:t>different interventions in liver resections.</w:t>
      </w:r>
    </w:p>
    <w:p w:rsidR="00365DE4" w:rsidRDefault="00365DE4" w:rsidP="00365DE4">
      <w:pPr>
        <w:pStyle w:val="a3"/>
        <w:rPr>
          <w:kern w:val="0"/>
        </w:rPr>
      </w:pPr>
      <w:r>
        <w:rPr>
          <w:kern w:val="0"/>
        </w:rPr>
        <w:t xml:space="preserve">Keywords: Acute Normovolemic Hemodilution, Authors, Bias, Citation, Clinical Trials, Clinical-Trials, Criteria, Empirical-Evidence, Groups, Hepatectomy, Hepatic Resection, Hepatocellular-Carcinoma, High Risk, High-Risk, Intervention, </w:t>
      </w:r>
      <w:r w:rsidR="00D5664A">
        <w:rPr>
          <w:kern w:val="0"/>
        </w:rPr>
        <w:t>MEDLINE</w:t>
      </w:r>
      <w:r>
        <w:rPr>
          <w:kern w:val="0"/>
        </w:rPr>
        <w:t>, Metaanalysis, Models, Outcomes, Quality, Randomized Controlled-Trial, Reduction, Risk, Risk-Factors, Science, Science Citation Index, Surgery</w:t>
      </w:r>
    </w:p>
    <w:p w:rsidR="00365DE4" w:rsidRDefault="00365DE4" w:rsidP="00365DE4">
      <w:pPr>
        <w:pStyle w:val="a3"/>
        <w:rPr>
          <w:kern w:val="0"/>
        </w:rPr>
      </w:pPr>
      <w:r>
        <w:rPr>
          <w:kern w:val="0"/>
        </w:rPr>
        <w:t>? Brand, M., Goosen, J.</w:t>
      </w:r>
      <w:r w:rsidR="005853A9">
        <w:rPr>
          <w:kern w:val="0"/>
        </w:rPr>
        <w:t xml:space="preserve"> and </w:t>
      </w:r>
      <w:r>
        <w:rPr>
          <w:kern w:val="0"/>
        </w:rPr>
        <w:t xml:space="preserve">Grieve, A. (2009), Prophylactic antibiotics for penetrating abdominal trauma.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CD007370.</w:t>
      </w:r>
    </w:p>
    <w:p w:rsidR="00365DE4" w:rsidRDefault="00365DE4" w:rsidP="00365DE4">
      <w:pPr>
        <w:pStyle w:val="a3"/>
        <w:rPr>
          <w:kern w:val="2"/>
        </w:rPr>
      </w:pPr>
      <w:r>
        <w:t xml:space="preserve">Full Text: </w:t>
      </w:r>
      <w:hyperlink r:id="rId558" w:history="1">
        <w:r>
          <w:rPr>
            <w:rStyle w:val="a5"/>
          </w:rPr>
          <w:t>2009\Coc Dat Sys Rev2009, CD007370.pdf</w:t>
        </w:r>
      </w:hyperlink>
    </w:p>
    <w:p w:rsidR="00365DE4" w:rsidRDefault="00365DE4" w:rsidP="00365DE4">
      <w:pPr>
        <w:pStyle w:val="a3"/>
        <w:rPr>
          <w:kern w:val="0"/>
        </w:rPr>
      </w:pPr>
      <w:r>
        <w:rPr>
          <w:kern w:val="0"/>
        </w:rPr>
        <w:t>Abstract: Background Penetrating abdominal trauma occurs when the peritoneal cavity is breached. Routine laparotomy for penetrating abdominal injuries began in the 1800s, with antibiotics first being used in World War II to combat septic complications associated with these injuries. This practice was marked with a reduction in sepsis-related mortality</w:t>
      </w:r>
      <w:r w:rsidR="005853A9">
        <w:rPr>
          <w:kern w:val="0"/>
        </w:rPr>
        <w:t xml:space="preserve"> and </w:t>
      </w:r>
      <w:r>
        <w:rPr>
          <w:kern w:val="0"/>
        </w:rPr>
        <w:t>morbidity. Whether prophylactic antibiotics are required in the prevention</w:t>
      </w:r>
      <w:r w:rsidR="00427468">
        <w:rPr>
          <w:kern w:val="0"/>
        </w:rPr>
        <w:t xml:space="preserve"> of </w:t>
      </w:r>
      <w:r>
        <w:rPr>
          <w:kern w:val="0"/>
        </w:rPr>
        <w:t>infective complications following penetrating abdominal trauma is controversial, however, as no randomised placebo controlled trials have been published to date</w:t>
      </w:r>
      <w:r w:rsidR="00A37C1D">
        <w:rPr>
          <w:kern w:val="0"/>
        </w:rPr>
        <w:t>. The</w:t>
      </w:r>
      <w:r>
        <w:rPr>
          <w:kern w:val="0"/>
        </w:rPr>
        <w:t>re has also been debate about the timing</w:t>
      </w:r>
      <w:r w:rsidR="00427468">
        <w:rPr>
          <w:kern w:val="0"/>
        </w:rPr>
        <w:t xml:space="preserve"> of </w:t>
      </w:r>
      <w:r>
        <w:rPr>
          <w:kern w:val="0"/>
        </w:rPr>
        <w:t>antibiotic prophylaxis. In 1972 Fullen noted a 7% to 11% post-surgical infection rate with pre-operative antibiotics, a 33% to 57% infection rate with intra-operative antibiotic administration</w:t>
      </w:r>
      <w:r w:rsidR="005853A9">
        <w:rPr>
          <w:kern w:val="0"/>
        </w:rPr>
        <w:t xml:space="preserve"> and </w:t>
      </w:r>
      <w:r>
        <w:rPr>
          <w:kern w:val="0"/>
        </w:rPr>
        <w:t>30% to 70% infection rate with only post-operative antibiotic administration. Current guidelines state there is sufficient class I evidence to support the use</w:t>
      </w:r>
      <w:r w:rsidR="00427468">
        <w:rPr>
          <w:kern w:val="0"/>
        </w:rPr>
        <w:t xml:space="preserve"> of </w:t>
      </w:r>
      <w:r>
        <w:rPr>
          <w:kern w:val="0"/>
        </w:rPr>
        <w:t>a single pre-operative broad spectrum antibiotic dose, with aerobic</w:t>
      </w:r>
      <w:r w:rsidR="005853A9">
        <w:rPr>
          <w:kern w:val="0"/>
        </w:rPr>
        <w:t xml:space="preserve"> and </w:t>
      </w:r>
      <w:r>
        <w:rPr>
          <w:kern w:val="0"/>
        </w:rPr>
        <w:t>anaerobic cover,</w:t>
      </w:r>
      <w:r w:rsidR="005853A9">
        <w:rPr>
          <w:kern w:val="0"/>
        </w:rPr>
        <w:t xml:space="preserve"> and </w:t>
      </w:r>
      <w:r>
        <w:rPr>
          <w:kern w:val="0"/>
        </w:rPr>
        <w:t>continuation (up to 24 hours) only in the event</w:t>
      </w:r>
      <w:r w:rsidR="00427468">
        <w:rPr>
          <w:kern w:val="0"/>
        </w:rPr>
        <w:t xml:space="preserve"> of </w:t>
      </w:r>
      <w:r>
        <w:rPr>
          <w:kern w:val="0"/>
        </w:rPr>
        <w:t>a hollow viscus perforation found at exploratory laparotomy. Objectives To assess the benefits</w:t>
      </w:r>
      <w:r w:rsidR="005853A9">
        <w:rPr>
          <w:kern w:val="0"/>
        </w:rPr>
        <w:t xml:space="preserve"> and </w:t>
      </w:r>
      <w:r>
        <w:rPr>
          <w:kern w:val="0"/>
        </w:rPr>
        <w:t>harms</w:t>
      </w:r>
      <w:r w:rsidR="00427468">
        <w:rPr>
          <w:kern w:val="0"/>
        </w:rPr>
        <w:t xml:space="preserve"> of </w:t>
      </w:r>
      <w:r>
        <w:rPr>
          <w:kern w:val="0"/>
        </w:rPr>
        <w:t>prophylactic antibiotics administered for penetrating abdominal injuries for the reduction</w:t>
      </w:r>
      <w:r w:rsidR="00427468">
        <w:rPr>
          <w:kern w:val="0"/>
        </w:rPr>
        <w:t xml:space="preserve"> of </w:t>
      </w:r>
      <w:r>
        <w:rPr>
          <w:kern w:val="0"/>
        </w:rPr>
        <w:t>the incidence</w:t>
      </w:r>
      <w:r w:rsidR="00427468">
        <w:rPr>
          <w:kern w:val="0"/>
        </w:rPr>
        <w:t xml:space="preserve"> of </w:t>
      </w:r>
      <w:r>
        <w:rPr>
          <w:kern w:val="0"/>
        </w:rPr>
        <w:t>septic complications, such as septicaemia, intra-abdominal abscesses</w:t>
      </w:r>
      <w:r w:rsidR="005853A9">
        <w:rPr>
          <w:kern w:val="0"/>
        </w:rPr>
        <w:t xml:space="preserve"> and </w:t>
      </w:r>
      <w:r>
        <w:rPr>
          <w:kern w:val="0"/>
        </w:rPr>
        <w:t xml:space="preserve">wound infections. Search strategy Searches were not restricted by date, language or publication status. We searched the following electronic databases: the Cochrane Injuries Group Specialised Register, CENTRAL (The Cochrane Library 2008 Issue 3), </w:t>
      </w:r>
      <w:r w:rsidR="00D5664A">
        <w:rPr>
          <w:kern w:val="0"/>
        </w:rPr>
        <w:t>MEDLINE</w:t>
      </w:r>
      <w:r>
        <w:rPr>
          <w:kern w:val="0"/>
        </w:rPr>
        <w:t xml:space="preserve"> (Ovid), EMBASE (Ovid), ISI </w:t>
      </w:r>
      <w:r w:rsidR="00D5664A">
        <w:rPr>
          <w:kern w:val="0"/>
        </w:rPr>
        <w:t>Web</w:t>
      </w:r>
      <w:r w:rsidR="00427468">
        <w:rPr>
          <w:kern w:val="0"/>
        </w:rPr>
        <w:t xml:space="preserve"> of </w:t>
      </w:r>
      <w:r w:rsidR="00D5664A">
        <w:rPr>
          <w:kern w:val="0"/>
        </w:rPr>
        <w:t>Science</w:t>
      </w:r>
      <w:r>
        <w:rPr>
          <w:kern w:val="0"/>
        </w:rPr>
        <w:t xml:space="preserve">: Science Citation Index Expanded (SCI-EXPANDED), ISI </w:t>
      </w:r>
      <w:r w:rsidR="00D5664A">
        <w:rPr>
          <w:kern w:val="0"/>
        </w:rPr>
        <w:t>Web</w:t>
      </w:r>
      <w:r w:rsidR="00427468">
        <w:rPr>
          <w:kern w:val="0"/>
        </w:rPr>
        <w:t xml:space="preserve"> of </w:t>
      </w:r>
      <w:r w:rsidR="00D5664A">
        <w:rPr>
          <w:kern w:val="0"/>
        </w:rPr>
        <w:t>Science</w:t>
      </w:r>
      <w:r>
        <w:rPr>
          <w:kern w:val="0"/>
        </w:rPr>
        <w:t>: Conference Proceedings Citation Index-Science (CPCI-S), PUBMED. Searches were last conducted in September 2008. Selection criteria All randomised controlled trials</w:t>
      </w:r>
      <w:r w:rsidR="00427468">
        <w:rPr>
          <w:kern w:val="0"/>
        </w:rPr>
        <w:t xml:space="preserve"> of </w:t>
      </w:r>
      <w:r>
        <w:rPr>
          <w:kern w:val="0"/>
        </w:rPr>
        <w:t>antibiotic prophylaxis or treatment in patients with penetrating abdominal trauma versus no antibiotics or placebo. Data collection</w:t>
      </w:r>
      <w:r w:rsidR="005853A9">
        <w:rPr>
          <w:kern w:val="0"/>
        </w:rPr>
        <w:t xml:space="preserve"> and </w:t>
      </w:r>
      <w:r>
        <w:rPr>
          <w:kern w:val="0"/>
        </w:rPr>
        <w:t>analysis The authors performed the literature search independently,</w:t>
      </w:r>
      <w:r w:rsidR="005853A9">
        <w:rPr>
          <w:kern w:val="0"/>
        </w:rPr>
        <w:t xml:space="preserve"> and </w:t>
      </w:r>
      <w:r>
        <w:rPr>
          <w:kern w:val="0"/>
        </w:rPr>
        <w:t xml:space="preserve">screened all resulting abstracts for inclusion.We identified no trials meeting the inclusion criteria. </w:t>
      </w:r>
      <w:r>
        <w:rPr>
          <w:kern w:val="0"/>
        </w:rPr>
        <w:lastRenderedPageBreak/>
        <w:t>Author</w:t>
      </w:r>
      <w:r w:rsidR="0071223E">
        <w:rPr>
          <w:kern w:val="0"/>
        </w:rPr>
        <w:t>’</w:t>
      </w:r>
      <w:r>
        <w:rPr>
          <w:kern w:val="0"/>
        </w:rPr>
        <w:t>s conclusions There is currently no information from randomised controlled trials to support or refute the use</w:t>
      </w:r>
      <w:r w:rsidR="00427468">
        <w:rPr>
          <w:kern w:val="0"/>
        </w:rPr>
        <w:t xml:space="preserve"> of </w:t>
      </w:r>
      <w:r>
        <w:rPr>
          <w:kern w:val="0"/>
        </w:rPr>
        <w:t>antibiotics for patients with penetrating abdominal trauma.</w:t>
      </w:r>
    </w:p>
    <w:p w:rsidR="00365DE4" w:rsidRDefault="00365DE4" w:rsidP="00365DE4">
      <w:pPr>
        <w:pStyle w:val="a3"/>
        <w:rPr>
          <w:kern w:val="0"/>
        </w:rPr>
      </w:pPr>
      <w:r>
        <w:rPr>
          <w:kern w:val="0"/>
        </w:rPr>
        <w:t>Keywords: Antibiotics, Bias, Citation, Criteria, Databases</w:t>
      </w:r>
      <w:r w:rsidR="00D5664A">
        <w:rPr>
          <w:kern w:val="0"/>
        </w:rPr>
        <w:t>, ISI,</w:t>
      </w:r>
      <w:r>
        <w:rPr>
          <w:kern w:val="0"/>
        </w:rPr>
        <w:t xml:space="preserve"> Isi Web, ISI </w:t>
      </w:r>
      <w:r w:rsidR="00D5664A">
        <w:rPr>
          <w:kern w:val="0"/>
        </w:rPr>
        <w:t>Web</w:t>
      </w:r>
      <w:r w:rsidR="00427468">
        <w:rPr>
          <w:kern w:val="0"/>
        </w:rPr>
        <w:t xml:space="preserve"> of </w:t>
      </w:r>
      <w:r w:rsidR="00D5664A">
        <w:rPr>
          <w:kern w:val="0"/>
        </w:rPr>
        <w:t>Science</w:t>
      </w:r>
      <w:r>
        <w:rPr>
          <w:kern w:val="0"/>
        </w:rPr>
        <w:t xml:space="preserve">, Language, Literature, </w:t>
      </w:r>
      <w:r w:rsidR="00D5664A">
        <w:rPr>
          <w:kern w:val="0"/>
        </w:rPr>
        <w:t>MEDLINE</w:t>
      </w:r>
      <w:r>
        <w:rPr>
          <w:kern w:val="0"/>
        </w:rPr>
        <w:t xml:space="preserve">, Metaanalysis, Placebo, Publication, Quality, Randomized-Trials, Reduction, Science, Science Citation Index, Spectrum, State, Trauma,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Abu-Amara, M., Gur</w:t>
      </w:r>
      <w:r w:rsidR="00D5664A">
        <w:rPr>
          <w:kern w:val="0"/>
        </w:rPr>
        <w:t>USA</w:t>
      </w:r>
      <w:r>
        <w:rPr>
          <w:kern w:val="0"/>
        </w:rPr>
        <w:t>my, K.S., Hori, S., Glantzounis, G., Fuller, B.</w:t>
      </w:r>
      <w:r w:rsidR="005853A9">
        <w:rPr>
          <w:kern w:val="0"/>
        </w:rPr>
        <w:t xml:space="preserve"> and </w:t>
      </w:r>
      <w:r>
        <w:rPr>
          <w:kern w:val="0"/>
        </w:rPr>
        <w:t xml:space="preserve">Davidson, B.R. (2009), Pharmacological interventions versus no pharmacological intervention for ischaemia reperfusion injury in liver resection surgery performed under vascular control.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CD007472.</w:t>
      </w:r>
    </w:p>
    <w:p w:rsidR="00365DE4" w:rsidRDefault="00365DE4" w:rsidP="00365DE4">
      <w:pPr>
        <w:pStyle w:val="a3"/>
        <w:rPr>
          <w:kern w:val="2"/>
        </w:rPr>
      </w:pPr>
      <w:r>
        <w:t xml:space="preserve">Full Text: </w:t>
      </w:r>
      <w:hyperlink r:id="rId559" w:history="1">
        <w:r>
          <w:rPr>
            <w:rStyle w:val="a5"/>
          </w:rPr>
          <w:t>2009\Coc Dat Sys Rev2009, CD007472.pdf</w:t>
        </w:r>
      </w:hyperlink>
    </w:p>
    <w:p w:rsidR="00365DE4" w:rsidRDefault="00365DE4" w:rsidP="00365DE4">
      <w:pPr>
        <w:pStyle w:val="a3"/>
        <w:rPr>
          <w:kern w:val="0"/>
        </w:rPr>
      </w:pPr>
      <w:r>
        <w:rPr>
          <w:kern w:val="0"/>
        </w:rPr>
        <w:t>Abstract: Background Vascular occlusion to reduce blood loss is used during elective liver resection but results in significant ischaemia reperfusion injury. This, in turn, might lead to significant postoperative liver dysfunction</w:t>
      </w:r>
      <w:r w:rsidR="005853A9">
        <w:rPr>
          <w:kern w:val="0"/>
        </w:rPr>
        <w:t xml:space="preserve"> and </w:t>
      </w:r>
      <w:r>
        <w:rPr>
          <w:kern w:val="0"/>
        </w:rPr>
        <w:t>morbidity. Various pharmacological drugs have been used with an intention to ameliorate the ischaemia reperfusion injury in liver resections. Objectives To assess the benefits</w:t>
      </w:r>
      <w:r w:rsidR="005853A9">
        <w:rPr>
          <w:kern w:val="0"/>
        </w:rPr>
        <w:t xml:space="preserve"> and </w:t>
      </w:r>
      <w:r>
        <w:rPr>
          <w:kern w:val="0"/>
        </w:rPr>
        <w:t>harms</w:t>
      </w:r>
      <w:r w:rsidR="00427468">
        <w:rPr>
          <w:kern w:val="0"/>
        </w:rPr>
        <w:t xml:space="preserve"> of </w:t>
      </w:r>
      <w:r>
        <w:rPr>
          <w:kern w:val="0"/>
        </w:rPr>
        <w:t>different pharmacological agents versus no pharmacological interventions to decrease ischaemia reperfusion injury during liver resections where vascular occlusion was performed during the surgery.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January 2009. Selection criteria We included randomised clinical trials, irrespective</w:t>
      </w:r>
      <w:r w:rsidR="00427468">
        <w:rPr>
          <w:kern w:val="0"/>
        </w:rPr>
        <w:t xml:space="preserve"> of </w:t>
      </w:r>
      <w:r>
        <w:rPr>
          <w:kern w:val="0"/>
        </w:rPr>
        <w:t>language or publication status, comparing any pharmacological agent versus placebo or no pharmacological agent during elective liver resections with vascular occlusion. Data collection</w:t>
      </w:r>
      <w:r w:rsidR="005853A9">
        <w:rPr>
          <w:kern w:val="0"/>
        </w:rPr>
        <w:t xml:space="preserve"> and </w:t>
      </w:r>
      <w:r>
        <w:rPr>
          <w:kern w:val="0"/>
        </w:rPr>
        <w:t>analysis Two authors independently identified trials for inclusion</w:t>
      </w:r>
      <w:r w:rsidR="005853A9">
        <w:rPr>
          <w:kern w:val="0"/>
        </w:rPr>
        <w:t xml:space="preserve"> and </w:t>
      </w:r>
      <w:r>
        <w:rPr>
          <w:kern w:val="0"/>
        </w:rPr>
        <w:t>independently extracted the data. We analysed the data with both the fixed-effect</w:t>
      </w:r>
      <w:r w:rsidR="005853A9">
        <w:rPr>
          <w:kern w:val="0"/>
        </w:rPr>
        <w:t xml:space="preserve"> and </w:t>
      </w:r>
      <w:r>
        <w:rPr>
          <w:kern w:val="0"/>
        </w:rPr>
        <w:t>the random-effects models using RevMan Analysis. We calculated the risk ratio (RR) or mean difference (MD) with 95% confidence intervals (CI) based on intention-to-treat analysis or available case analysis. Main results We identified a total</w:t>
      </w:r>
      <w:r w:rsidR="00427468">
        <w:rPr>
          <w:kern w:val="0"/>
        </w:rPr>
        <w:t xml:space="preserve"> of </w:t>
      </w:r>
      <w:r>
        <w:rPr>
          <w:kern w:val="0"/>
        </w:rPr>
        <w:t>15 randomised trials evaluating 11 different pharmacological interventions (methylprednisolone, multivitamin antioxidant infusion, vitamin E infusion, amrinone, prostaglandin E1, pentoxifylline, mannitol, trimetazidine, dextrose, allopurinol,</w:t>
      </w:r>
      <w:r w:rsidR="005853A9">
        <w:rPr>
          <w:kern w:val="0"/>
        </w:rPr>
        <w:t xml:space="preserve"> and </w:t>
      </w:r>
      <w:r>
        <w:rPr>
          <w:kern w:val="0"/>
        </w:rPr>
        <w:t>OKY 046 (a thromboxane A2 synthetase inhibitor)). All trials had high risk</w:t>
      </w:r>
      <w:r w:rsidR="00427468">
        <w:rPr>
          <w:kern w:val="0"/>
        </w:rPr>
        <w:t xml:space="preserve"> of </w:t>
      </w:r>
      <w:r>
        <w:rPr>
          <w:kern w:val="0"/>
        </w:rPr>
        <w:t>bias</w:t>
      </w:r>
      <w:r w:rsidR="00A37C1D">
        <w:rPr>
          <w:kern w:val="0"/>
        </w:rPr>
        <w:t>. The</w:t>
      </w:r>
      <w:r>
        <w:rPr>
          <w:kern w:val="0"/>
        </w:rPr>
        <w:t>re were no significant differences between the groups in mortality, liver failure, or perioperative morbidity</w:t>
      </w:r>
      <w:r w:rsidR="00A37C1D">
        <w:rPr>
          <w:kern w:val="0"/>
        </w:rPr>
        <w:t>. The</w:t>
      </w:r>
      <w:r>
        <w:rPr>
          <w:kern w:val="0"/>
        </w:rPr>
        <w:t xml:space="preserve"> trimetazidine group had a significantly shorter hospital stay than control (MD -3.00 days; 95% CI -3.57 to -2.43)</w:t>
      </w:r>
      <w:r w:rsidR="00A37C1D">
        <w:rPr>
          <w:kern w:val="0"/>
        </w:rPr>
        <w:t>. The</w:t>
      </w:r>
      <w:r>
        <w:rPr>
          <w:kern w:val="0"/>
        </w:rPr>
        <w:t>re were no significant differences in any</w:t>
      </w:r>
      <w:r w:rsidR="00427468">
        <w:rPr>
          <w:kern w:val="0"/>
        </w:rPr>
        <w:t xml:space="preserve"> of </w:t>
      </w:r>
      <w:r>
        <w:rPr>
          <w:kern w:val="0"/>
        </w:rPr>
        <w:t xml:space="preserve">the clinically relevant </w:t>
      </w:r>
      <w:r>
        <w:rPr>
          <w:kern w:val="0"/>
        </w:rPr>
        <w:lastRenderedPageBreak/>
        <w:t>outcomes in the remaining comparisons. Methylprednisolone improved the enzyme markers</w:t>
      </w:r>
      <w:r w:rsidR="00427468">
        <w:rPr>
          <w:kern w:val="0"/>
        </w:rPr>
        <w:t xml:space="preserve"> of </w:t>
      </w:r>
      <w:r>
        <w:rPr>
          <w:kern w:val="0"/>
        </w:rPr>
        <w:t>liver function</w:t>
      </w:r>
      <w:r w:rsidR="005853A9">
        <w:rPr>
          <w:kern w:val="0"/>
        </w:rPr>
        <w:t xml:space="preserve"> and </w:t>
      </w:r>
      <w:r>
        <w:rPr>
          <w:kern w:val="0"/>
        </w:rPr>
        <w:t>trimetazidine, methylprednisolone,</w:t>
      </w:r>
      <w:r w:rsidR="005853A9">
        <w:rPr>
          <w:kern w:val="0"/>
        </w:rPr>
        <w:t xml:space="preserve"> and </w:t>
      </w:r>
      <w:r>
        <w:rPr>
          <w:kern w:val="0"/>
        </w:rPr>
        <w:t>dextrose reduced the enzyme markers</w:t>
      </w:r>
      <w:r w:rsidR="00427468">
        <w:rPr>
          <w:kern w:val="0"/>
        </w:rPr>
        <w:t xml:space="preserve"> of </w:t>
      </w:r>
      <w:r>
        <w:rPr>
          <w:kern w:val="0"/>
        </w:rPr>
        <w:t>liver injury compared with controls. However, there is a high risk</w:t>
      </w:r>
      <w:r w:rsidR="00427468">
        <w:rPr>
          <w:kern w:val="0"/>
        </w:rPr>
        <w:t xml:space="preserve"> of </w:t>
      </w:r>
      <w:r>
        <w:rPr>
          <w:kern w:val="0"/>
        </w:rPr>
        <w:t>type I</w:t>
      </w:r>
      <w:r w:rsidR="005853A9">
        <w:rPr>
          <w:kern w:val="0"/>
        </w:rPr>
        <w:t xml:space="preserve"> and </w:t>
      </w:r>
      <w:r>
        <w:rPr>
          <w:kern w:val="0"/>
        </w:rPr>
        <w:t>type II errors because</w:t>
      </w:r>
      <w:r w:rsidR="00427468">
        <w:rPr>
          <w:kern w:val="0"/>
        </w:rPr>
        <w:t xml:space="preserve"> of </w:t>
      </w:r>
      <w:r>
        <w:rPr>
          <w:kern w:val="0"/>
        </w:rPr>
        <w:t>the few trials included, the small sample size in each trial,</w:t>
      </w:r>
      <w:r w:rsidR="005853A9">
        <w:rPr>
          <w:kern w:val="0"/>
        </w:rPr>
        <w:t xml:space="preserve"> and </w:t>
      </w:r>
      <w:r>
        <w:rPr>
          <w:kern w:val="0"/>
        </w:rPr>
        <w:t>the risk</w:t>
      </w:r>
      <w:r w:rsidR="00427468">
        <w:rPr>
          <w:kern w:val="0"/>
        </w:rPr>
        <w:t xml:space="preserve"> of </w:t>
      </w:r>
      <w:r>
        <w:rPr>
          <w:kern w:val="0"/>
        </w:rPr>
        <w:t>bias. Authors</w:t>
      </w:r>
      <w:r w:rsidR="0071223E">
        <w:rPr>
          <w:kern w:val="0"/>
        </w:rPr>
        <w:t>’</w:t>
      </w:r>
      <w:r>
        <w:rPr>
          <w:kern w:val="0"/>
        </w:rPr>
        <w:t xml:space="preserve"> conclusions Trimetazidine, methylprednisolone,</w:t>
      </w:r>
      <w:r w:rsidR="005853A9">
        <w:rPr>
          <w:kern w:val="0"/>
        </w:rPr>
        <w:t xml:space="preserve"> and </w:t>
      </w:r>
      <w:r>
        <w:rPr>
          <w:kern w:val="0"/>
        </w:rPr>
        <w:t>dextrose may protect against ischaemia reperfusion injury in elective liver resections performed under vascular occlusion, but this is shown in trials with small sample sizes</w:t>
      </w:r>
      <w:r w:rsidR="005853A9">
        <w:rPr>
          <w:kern w:val="0"/>
        </w:rPr>
        <w:t xml:space="preserve"> and </w:t>
      </w:r>
      <w:r>
        <w:rPr>
          <w:kern w:val="0"/>
        </w:rPr>
        <w:t>high risk</w:t>
      </w:r>
      <w:r w:rsidR="00427468">
        <w:rPr>
          <w:kern w:val="0"/>
        </w:rPr>
        <w:t xml:space="preserve"> of </w:t>
      </w:r>
      <w:r>
        <w:rPr>
          <w:kern w:val="0"/>
        </w:rPr>
        <w:t>bias</w:t>
      </w:r>
      <w:r w:rsidR="00A37C1D">
        <w:rPr>
          <w:kern w:val="0"/>
        </w:rPr>
        <w:t>. The</w:t>
      </w:r>
      <w:r>
        <w:rPr>
          <w:kern w:val="0"/>
        </w:rPr>
        <w:t xml:space="preserve"> use</w:t>
      </w:r>
      <w:r w:rsidR="00427468">
        <w:rPr>
          <w:kern w:val="0"/>
        </w:rPr>
        <w:t xml:space="preserve"> of </w:t>
      </w:r>
      <w:r>
        <w:rPr>
          <w:kern w:val="0"/>
        </w:rPr>
        <w:t>these drugs should be restricted to well-designed randomised clinical trials before implementing them in clinical practice.</w:t>
      </w:r>
    </w:p>
    <w:p w:rsidR="00365DE4" w:rsidRDefault="00365DE4" w:rsidP="00365DE4">
      <w:pPr>
        <w:pStyle w:val="a3"/>
        <w:rPr>
          <w:kern w:val="0"/>
        </w:rPr>
      </w:pPr>
      <w:r>
        <w:rPr>
          <w:kern w:val="0"/>
        </w:rPr>
        <w:t xml:space="preserve">Keywords: Authors, Bias, Cirrhotic-Patients, Citation, Clinical Trials, Criteria, Groups, Hepatic Resection, Hepatocellular-Carcinoma, High Risk, High-Risk, Intervention, Intraoperative Blood-Loss, Ischemia, Reperfusion Injury, Language, Lead, </w:t>
      </w:r>
      <w:r w:rsidR="00D5664A">
        <w:rPr>
          <w:kern w:val="0"/>
        </w:rPr>
        <w:t>MEDLINE</w:t>
      </w:r>
      <w:r>
        <w:rPr>
          <w:kern w:val="0"/>
        </w:rPr>
        <w:t>, Models, Outcomes, Placebo, Prostaglandin E-1, Protease Inhibitor, Publication, Randomized Clinical-Trials, Risk, Science, Science Citation Index, Surgery, Surgical Stress, Type I</w:t>
      </w:r>
      <w:r w:rsidR="005853A9">
        <w:rPr>
          <w:kern w:val="0"/>
        </w:rPr>
        <w:t xml:space="preserve"> and </w:t>
      </w:r>
      <w:r>
        <w:rPr>
          <w:kern w:val="0"/>
        </w:rPr>
        <w:t>Type Ii Errors, Warm Ischemia</w:t>
      </w:r>
    </w:p>
    <w:p w:rsidR="00365DE4" w:rsidRDefault="00365DE4" w:rsidP="00365DE4">
      <w:pPr>
        <w:pStyle w:val="a3"/>
        <w:rPr>
          <w:kern w:val="0"/>
        </w:rPr>
      </w:pPr>
      <w:r>
        <w:rPr>
          <w:kern w:val="0"/>
        </w:rPr>
        <w:t>? Gur</w:t>
      </w:r>
      <w:r w:rsidR="00D5664A">
        <w:rPr>
          <w:kern w:val="0"/>
        </w:rPr>
        <w:t>USA</w:t>
      </w:r>
      <w:r>
        <w:rPr>
          <w:kern w:val="0"/>
        </w:rPr>
        <w:t>my, K.S., Li, J., Sharma, D.</w:t>
      </w:r>
      <w:r w:rsidR="005853A9">
        <w:rPr>
          <w:kern w:val="0"/>
        </w:rPr>
        <w:t xml:space="preserve"> and </w:t>
      </w:r>
      <w:r>
        <w:rPr>
          <w:kern w:val="0"/>
        </w:rPr>
        <w:t>Davidson, B.R. (2009), Pharmacological interventions to decrease blood loss</w:t>
      </w:r>
      <w:r w:rsidR="005853A9">
        <w:rPr>
          <w:kern w:val="0"/>
        </w:rPr>
        <w:t xml:space="preserve"> and </w:t>
      </w:r>
      <w:r>
        <w:rPr>
          <w:kern w:val="0"/>
        </w:rPr>
        <w:t xml:space="preserve">blood transfusion requirements for liver resection.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CD008085.</w:t>
      </w:r>
    </w:p>
    <w:p w:rsidR="00365DE4" w:rsidRDefault="00365DE4" w:rsidP="00365DE4">
      <w:pPr>
        <w:pStyle w:val="a3"/>
        <w:rPr>
          <w:kern w:val="2"/>
        </w:rPr>
      </w:pPr>
      <w:r>
        <w:t xml:space="preserve">Full Text: </w:t>
      </w:r>
      <w:hyperlink r:id="rId560" w:history="1">
        <w:r>
          <w:rPr>
            <w:rStyle w:val="a5"/>
          </w:rPr>
          <w:t>2009\Coc Dat Sys Rev2009, CD008085.pdf</w:t>
        </w:r>
      </w:hyperlink>
    </w:p>
    <w:p w:rsidR="00365DE4" w:rsidRDefault="00365DE4" w:rsidP="00365DE4">
      <w:pPr>
        <w:pStyle w:val="a3"/>
        <w:rPr>
          <w:kern w:val="0"/>
        </w:rPr>
      </w:pPr>
      <w:r>
        <w:rPr>
          <w:kern w:val="0"/>
        </w:rPr>
        <w:t>Abstract: Background Blood loss during liver resection is one</w:t>
      </w:r>
      <w:r w:rsidR="00427468">
        <w:rPr>
          <w:kern w:val="0"/>
        </w:rPr>
        <w:t xml:space="preserve"> of </w:t>
      </w:r>
      <w:r>
        <w:rPr>
          <w:kern w:val="0"/>
        </w:rPr>
        <w:t>the most important factors affecting the peri-operative outcomes</w:t>
      </w:r>
      <w:r w:rsidR="00427468">
        <w:rPr>
          <w:kern w:val="0"/>
        </w:rPr>
        <w:t xml:space="preserve"> of </w:t>
      </w:r>
      <w:r>
        <w:rPr>
          <w:kern w:val="0"/>
        </w:rPr>
        <w:t>patients undergoing liver resection. Objectives To determine the benefits</w:t>
      </w:r>
      <w:r w:rsidR="005853A9">
        <w:rPr>
          <w:kern w:val="0"/>
        </w:rPr>
        <w:t xml:space="preserve"> and </w:t>
      </w:r>
      <w:r>
        <w:rPr>
          <w:kern w:val="0"/>
        </w:rPr>
        <w:t>harms</w:t>
      </w:r>
      <w:r w:rsidR="00427468">
        <w:rPr>
          <w:kern w:val="0"/>
        </w:rPr>
        <w:t xml:space="preserve"> of </w:t>
      </w:r>
      <w:r>
        <w:rPr>
          <w:kern w:val="0"/>
        </w:rPr>
        <w:t>pharmacological interventions to decrease blood loss</w:t>
      </w:r>
      <w:r w:rsidR="005853A9">
        <w:rPr>
          <w:kern w:val="0"/>
        </w:rPr>
        <w:t xml:space="preserve"> and </w:t>
      </w:r>
      <w:r>
        <w:rPr>
          <w:kern w:val="0"/>
        </w:rPr>
        <w:t>to decrease allogeneic blood transfusion requirements in patients undergoing liver resections.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November 2008 for identifying the randomised trials. Selection criteria We included all randomised clinical trials comparing various pharmacological interventions aimed at decreasing blood loss</w:t>
      </w:r>
      <w:r w:rsidR="005853A9">
        <w:rPr>
          <w:kern w:val="0"/>
        </w:rPr>
        <w:t xml:space="preserve"> and </w:t>
      </w:r>
      <w:r>
        <w:rPr>
          <w:kern w:val="0"/>
        </w:rPr>
        <w:t>allogeneic blood transfusion requirements in liver resection. Trials were included irrespective</w:t>
      </w:r>
      <w:r w:rsidR="00427468">
        <w:rPr>
          <w:kern w:val="0"/>
        </w:rPr>
        <w:t xml:space="preserve"> of </w:t>
      </w:r>
      <w:r>
        <w:rPr>
          <w:kern w:val="0"/>
        </w:rPr>
        <w:t>whether they included major or minor liver resections, normal or cirrhotic livers, vascular occlusion was used or not,</w:t>
      </w:r>
      <w:r w:rsidR="005853A9">
        <w:rPr>
          <w:kern w:val="0"/>
        </w:rPr>
        <w:t xml:space="preserve"> and </w:t>
      </w:r>
      <w:r>
        <w:rPr>
          <w:kern w:val="0"/>
        </w:rPr>
        <w:t>irrespective</w:t>
      </w:r>
      <w:r w:rsidR="00427468">
        <w:rPr>
          <w:kern w:val="0"/>
        </w:rPr>
        <w:t xml:space="preserve"> of </w:t>
      </w:r>
      <w:r>
        <w:rPr>
          <w:kern w:val="0"/>
        </w:rPr>
        <w:t>the reason for liver resection. Data collection</w:t>
      </w:r>
      <w:r w:rsidR="005853A9">
        <w:rPr>
          <w:kern w:val="0"/>
        </w:rPr>
        <w:t xml:space="preserve"> and </w:t>
      </w:r>
      <w:r>
        <w:rPr>
          <w:kern w:val="0"/>
        </w:rPr>
        <w:t>analysis Two authors independently identified trials for inclusion</w:t>
      </w:r>
      <w:r w:rsidR="005853A9">
        <w:rPr>
          <w:kern w:val="0"/>
        </w:rPr>
        <w:t xml:space="preserve"> and </w:t>
      </w:r>
      <w:r>
        <w:rPr>
          <w:kern w:val="0"/>
        </w:rPr>
        <w:t>independently extracted data. We analysed the data with both the fixed-effect</w:t>
      </w:r>
      <w:r w:rsidR="005853A9">
        <w:rPr>
          <w:kern w:val="0"/>
        </w:rPr>
        <w:t xml:space="preserve"> and </w:t>
      </w:r>
      <w:r>
        <w:rPr>
          <w:kern w:val="0"/>
        </w:rPr>
        <w:t xml:space="preserve">the random-effects models using RevMan Analysis. For each outcome we calculated the risk ratio (RR), mean difference (MD), or standardised mean difference with 95% confidence intervals (CI) based on intention-to-treat analysis or available case-analysis. For dichotomous outcomes with only one trial </w:t>
      </w:r>
      <w:r>
        <w:rPr>
          <w:kern w:val="0"/>
        </w:rPr>
        <w:lastRenderedPageBreak/>
        <w:t>included under the outcome, we performed the Fisher</w:t>
      </w:r>
      <w:r w:rsidR="0071223E">
        <w:rPr>
          <w:kern w:val="0"/>
        </w:rPr>
        <w:t>’</w:t>
      </w:r>
      <w:r>
        <w:rPr>
          <w:kern w:val="0"/>
        </w:rPr>
        <w:t>s exact test. Main results Six trials involving 849 patients satisfied the inclusion criteria. Pharmacological interventions included aprotinin, desmopressin, recombinant factor VIIa, antithrombin III,</w:t>
      </w:r>
      <w:r w:rsidR="005853A9">
        <w:rPr>
          <w:kern w:val="0"/>
        </w:rPr>
        <w:t xml:space="preserve"> and </w:t>
      </w:r>
      <w:r>
        <w:rPr>
          <w:kern w:val="0"/>
        </w:rPr>
        <w:t>tranexamic acid. One or two trials could be included under most comparisons. All trials had a high risk</w:t>
      </w:r>
      <w:r w:rsidR="00427468">
        <w:rPr>
          <w:kern w:val="0"/>
        </w:rPr>
        <w:t xml:space="preserve"> of </w:t>
      </w:r>
      <w:r>
        <w:rPr>
          <w:kern w:val="0"/>
        </w:rPr>
        <w:t>bias</w:t>
      </w:r>
      <w:r w:rsidR="00A37C1D">
        <w:rPr>
          <w:kern w:val="0"/>
        </w:rPr>
        <w:t>. The</w:t>
      </w:r>
      <w:r>
        <w:rPr>
          <w:kern w:val="0"/>
        </w:rPr>
        <w:t>re was no significant difference in the peri-operative mortality, survival at maximal follow-up, liver failure, or other peri-operative morbidity</w:t>
      </w:r>
      <w:r w:rsidR="00A37C1D">
        <w:rPr>
          <w:kern w:val="0"/>
        </w:rPr>
        <w:t>. The</w:t>
      </w:r>
      <w:r>
        <w:rPr>
          <w:kern w:val="0"/>
        </w:rPr>
        <w:t xml:space="preserve"> risk ratio</w:t>
      </w:r>
      <w:r w:rsidR="00427468">
        <w:rPr>
          <w:kern w:val="0"/>
        </w:rPr>
        <w:t xml:space="preserve"> of </w:t>
      </w:r>
      <w:r>
        <w:rPr>
          <w:kern w:val="0"/>
        </w:rPr>
        <w:t>requiring allogeneic blood transfusion was significantly lower in the aprotinin</w:t>
      </w:r>
      <w:r w:rsidR="005853A9">
        <w:rPr>
          <w:kern w:val="0"/>
        </w:rPr>
        <w:t xml:space="preserve"> and </w:t>
      </w:r>
      <w:r>
        <w:rPr>
          <w:kern w:val="0"/>
        </w:rPr>
        <w:t>tranexamic acid groups than the respective control groups. Other interventions did not show significant decreases</w:t>
      </w:r>
      <w:r w:rsidR="00427468">
        <w:rPr>
          <w:kern w:val="0"/>
        </w:rPr>
        <w:t xml:space="preserve"> of </w:t>
      </w:r>
      <w:r>
        <w:rPr>
          <w:kern w:val="0"/>
        </w:rPr>
        <w:t>allogeneic transfusion requirements. Authors</w:t>
      </w:r>
      <w:r w:rsidR="0071223E">
        <w:rPr>
          <w:kern w:val="0"/>
        </w:rPr>
        <w:t>’</w:t>
      </w:r>
      <w:r>
        <w:rPr>
          <w:kern w:val="0"/>
        </w:rPr>
        <w:t xml:space="preserve"> conclusions None</w:t>
      </w:r>
      <w:r w:rsidR="00427468">
        <w:rPr>
          <w:kern w:val="0"/>
        </w:rPr>
        <w:t xml:space="preserve"> of </w:t>
      </w:r>
      <w:r>
        <w:rPr>
          <w:kern w:val="0"/>
        </w:rPr>
        <w:t>the interventions seem to decrease peri-operative morbidity or offer any long-term survival benefit. Aprotinin</w:t>
      </w:r>
      <w:r w:rsidR="005853A9">
        <w:rPr>
          <w:kern w:val="0"/>
        </w:rPr>
        <w:t xml:space="preserve"> and </w:t>
      </w:r>
      <w:r>
        <w:rPr>
          <w:kern w:val="0"/>
        </w:rPr>
        <w:t>tranexamic acid show promise in the reduction</w:t>
      </w:r>
      <w:r w:rsidR="00427468">
        <w:rPr>
          <w:kern w:val="0"/>
        </w:rPr>
        <w:t xml:space="preserve"> of </w:t>
      </w:r>
      <w:r>
        <w:rPr>
          <w:kern w:val="0"/>
        </w:rPr>
        <w:t>blood transfusion requirements in liver resection surgery. However, there is a high risk</w:t>
      </w:r>
      <w:r w:rsidR="00427468">
        <w:rPr>
          <w:kern w:val="0"/>
        </w:rPr>
        <w:t xml:space="preserve"> of </w:t>
      </w:r>
      <w:r>
        <w:rPr>
          <w:kern w:val="0"/>
        </w:rPr>
        <w:t>type I (erroneously concluding that an intervention is beneficial when it is actually not beneficial)</w:t>
      </w:r>
      <w:r w:rsidR="005853A9">
        <w:rPr>
          <w:kern w:val="0"/>
        </w:rPr>
        <w:t xml:space="preserve"> and </w:t>
      </w:r>
      <w:r>
        <w:rPr>
          <w:kern w:val="0"/>
        </w:rPr>
        <w:t>type II errors (erroneously concluding that an intervention is not beneficial when it is actually beneficial) because</w:t>
      </w:r>
      <w:r w:rsidR="00427468">
        <w:rPr>
          <w:kern w:val="0"/>
        </w:rPr>
        <w:t xml:space="preserve"> of </w:t>
      </w:r>
      <w:r>
        <w:rPr>
          <w:kern w:val="0"/>
        </w:rPr>
        <w:t>the few trials included, the small sample size in each trial,</w:t>
      </w:r>
      <w:r w:rsidR="005853A9">
        <w:rPr>
          <w:kern w:val="0"/>
        </w:rPr>
        <w:t xml:space="preserve"> and </w:t>
      </w:r>
      <w:r>
        <w:rPr>
          <w:kern w:val="0"/>
        </w:rPr>
        <w:t>the high risk</w:t>
      </w:r>
      <w:r w:rsidR="00427468">
        <w:rPr>
          <w:kern w:val="0"/>
        </w:rPr>
        <w:t xml:space="preserve"> of </w:t>
      </w:r>
      <w:r>
        <w:rPr>
          <w:kern w:val="0"/>
        </w:rPr>
        <w:t>bias. Further randomised clinical trials with low risk</w:t>
      </w:r>
      <w:r w:rsidR="00427468">
        <w:rPr>
          <w:kern w:val="0"/>
        </w:rPr>
        <w:t xml:space="preserve"> of </w:t>
      </w:r>
      <w:r>
        <w:rPr>
          <w:kern w:val="0"/>
        </w:rPr>
        <w:t>bias</w:t>
      </w:r>
      <w:r w:rsidR="005853A9">
        <w:rPr>
          <w:kern w:val="0"/>
        </w:rPr>
        <w:t xml:space="preserve"> and </w:t>
      </w:r>
      <w:r>
        <w:rPr>
          <w:kern w:val="0"/>
        </w:rPr>
        <w:t>random errors assessing clinically important outcomes such as peri-operative mortality are necessary to assess any pharmacological interventions aimed at decreasing blood loss</w:t>
      </w:r>
      <w:r w:rsidR="005853A9">
        <w:rPr>
          <w:kern w:val="0"/>
        </w:rPr>
        <w:t xml:space="preserve"> and </w:t>
      </w:r>
      <w:r>
        <w:rPr>
          <w:kern w:val="0"/>
        </w:rPr>
        <w:t>blood transfusion requirements in liver resections. Trials need to be designed to assess the effect</w:t>
      </w:r>
      <w:r w:rsidR="00427468">
        <w:rPr>
          <w:kern w:val="0"/>
        </w:rPr>
        <w:t xml:space="preserve"> of </w:t>
      </w:r>
      <w:r>
        <w:rPr>
          <w:kern w:val="0"/>
        </w:rPr>
        <w:t>a combination</w:t>
      </w:r>
      <w:r w:rsidR="00427468">
        <w:rPr>
          <w:kern w:val="0"/>
        </w:rPr>
        <w:t xml:space="preserve"> of </w:t>
      </w:r>
      <w:r>
        <w:rPr>
          <w:kern w:val="0"/>
        </w:rPr>
        <w:t>different interventions in liver resections.</w:t>
      </w:r>
    </w:p>
    <w:p w:rsidR="00365DE4" w:rsidRDefault="00365DE4" w:rsidP="00365DE4">
      <w:pPr>
        <w:pStyle w:val="a3"/>
        <w:rPr>
          <w:kern w:val="0"/>
        </w:rPr>
      </w:pPr>
      <w:r>
        <w:rPr>
          <w:kern w:val="0"/>
        </w:rPr>
        <w:t xml:space="preserve">Keywords: Authors, Bias, Citation, Clinical Trials, Clinical-Trials, Criteria, Double-Blind, Empirical-Evidence, Groups, Hepatectomy, Hepatic Resection, Hepatocellular-Carcinoma, High Risk, High-Risk, Intervention, </w:t>
      </w:r>
      <w:r w:rsidR="00D5664A">
        <w:rPr>
          <w:kern w:val="0"/>
        </w:rPr>
        <w:t>MEDLINE</w:t>
      </w:r>
      <w:r>
        <w:rPr>
          <w:kern w:val="0"/>
        </w:rPr>
        <w:t>, Metaanalysis, Models, Outcomes, Quality, Randomized-Trials, Reduction, Risk, Risk-Factors, Science, Science Citation Index, Surgery</w:t>
      </w:r>
    </w:p>
    <w:p w:rsidR="00365DE4" w:rsidRDefault="00365DE4" w:rsidP="00365DE4">
      <w:pPr>
        <w:pStyle w:val="a3"/>
        <w:rPr>
          <w:kern w:val="0"/>
        </w:rPr>
      </w:pPr>
      <w:r>
        <w:rPr>
          <w:kern w:val="0"/>
        </w:rPr>
        <w:t>? Abu-Amara, M., Gur</w:t>
      </w:r>
      <w:r w:rsidR="00D5664A">
        <w:rPr>
          <w:kern w:val="0"/>
        </w:rPr>
        <w:t>USA</w:t>
      </w:r>
      <w:r>
        <w:rPr>
          <w:kern w:val="0"/>
        </w:rPr>
        <w:t>my, K.S., Glantzounis, G., Fuller, B.</w:t>
      </w:r>
      <w:r w:rsidR="005853A9">
        <w:rPr>
          <w:kern w:val="0"/>
        </w:rPr>
        <w:t xml:space="preserve"> and </w:t>
      </w:r>
      <w:r>
        <w:rPr>
          <w:kern w:val="0"/>
        </w:rPr>
        <w:t xml:space="preserve">Davidson, B.R. (2009), Pharmacological interventions for ischaemia reperfusion injury in liver resection surgery performed under vascular control.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CD008154.</w:t>
      </w:r>
    </w:p>
    <w:p w:rsidR="00365DE4" w:rsidRDefault="00365DE4" w:rsidP="00365DE4">
      <w:pPr>
        <w:pStyle w:val="a3"/>
        <w:rPr>
          <w:kern w:val="2"/>
        </w:rPr>
      </w:pPr>
      <w:r>
        <w:t xml:space="preserve">Full Text: </w:t>
      </w:r>
      <w:hyperlink r:id="rId561" w:history="1">
        <w:r>
          <w:rPr>
            <w:rStyle w:val="a5"/>
          </w:rPr>
          <w:t>2009\Coc Dat Sys Rev2009, CD008154.pdf</w:t>
        </w:r>
      </w:hyperlink>
    </w:p>
    <w:p w:rsidR="00365DE4" w:rsidRDefault="00365DE4" w:rsidP="00365DE4">
      <w:pPr>
        <w:pStyle w:val="a3"/>
        <w:rPr>
          <w:kern w:val="0"/>
        </w:rPr>
      </w:pPr>
      <w:r>
        <w:rPr>
          <w:kern w:val="0"/>
        </w:rPr>
        <w:t>Abstract: Background Vascular occlusion used during elective liver resection to reduce blood loss results in significant ischaemia reperfusion (IR) injury. This in turn leads to significant postoperative liver dysfunction</w:t>
      </w:r>
      <w:r w:rsidR="005853A9">
        <w:rPr>
          <w:kern w:val="0"/>
        </w:rPr>
        <w:t xml:space="preserve"> and </w:t>
      </w:r>
      <w:r>
        <w:rPr>
          <w:kern w:val="0"/>
        </w:rPr>
        <w:t>morbidity. Various pharmacological drugs have been used in experimental settings to ameliorate the ischaemia reperfusion injury in liver resections. Objectives To assess the relative benefits</w:t>
      </w:r>
      <w:r w:rsidR="005853A9">
        <w:rPr>
          <w:kern w:val="0"/>
        </w:rPr>
        <w:t xml:space="preserve"> and </w:t>
      </w:r>
      <w:r>
        <w:rPr>
          <w:kern w:val="0"/>
        </w:rPr>
        <w:t>harms</w:t>
      </w:r>
      <w:r w:rsidR="00427468">
        <w:rPr>
          <w:kern w:val="0"/>
        </w:rPr>
        <w:t xml:space="preserve"> of </w:t>
      </w:r>
      <w:r>
        <w:rPr>
          <w:kern w:val="0"/>
        </w:rPr>
        <w:t xml:space="preserve">using one pharmacological intervention versus another pharmacological intervention to decrease ischaemia reperfusion injury during liver </w:t>
      </w:r>
      <w:r>
        <w:rPr>
          <w:kern w:val="0"/>
        </w:rPr>
        <w:lastRenderedPageBreak/>
        <w:t>resections where vascular occlusion was performed during the surgery.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January 2009. Selection criteria We included randomised clinical trials, irrespective</w:t>
      </w:r>
      <w:r w:rsidR="00427468">
        <w:rPr>
          <w:kern w:val="0"/>
        </w:rPr>
        <w:t xml:space="preserve"> of </w:t>
      </w:r>
      <w:r>
        <w:rPr>
          <w:kern w:val="0"/>
        </w:rPr>
        <w:t>language or publication status, comparing one pharmacological agent versus another pharmacological agent during elective liver resections with vascular occlusion. Data collection</w:t>
      </w:r>
      <w:r w:rsidR="005853A9">
        <w:rPr>
          <w:kern w:val="0"/>
        </w:rPr>
        <w:t xml:space="preserve"> and </w:t>
      </w:r>
      <w:r>
        <w:rPr>
          <w:kern w:val="0"/>
        </w:rPr>
        <w:t>analysis Two authors independently identified trials for inclusion</w:t>
      </w:r>
      <w:r w:rsidR="005853A9">
        <w:rPr>
          <w:kern w:val="0"/>
        </w:rPr>
        <w:t xml:space="preserve"> and </w:t>
      </w:r>
      <w:r>
        <w:rPr>
          <w:kern w:val="0"/>
        </w:rPr>
        <w:t>independently extracted data. We analysed the data with both the fixed-effect</w:t>
      </w:r>
      <w:r w:rsidR="005853A9">
        <w:rPr>
          <w:kern w:val="0"/>
        </w:rPr>
        <w:t xml:space="preserve"> and </w:t>
      </w:r>
      <w:r>
        <w:rPr>
          <w:kern w:val="0"/>
        </w:rPr>
        <w:t>the random-effects models using RevMan Analysis. We planned to calculate the risk ratio (RR) or mean difference (MD) with 95% confidence intervals (CI) based on intention-to-treat analysis or available case analysis. However, all outcomes were only reported on by single trials,</w:t>
      </w:r>
      <w:r w:rsidR="005853A9">
        <w:rPr>
          <w:kern w:val="0"/>
        </w:rPr>
        <w:t xml:space="preserve"> and </w:t>
      </w:r>
      <w:r>
        <w:rPr>
          <w:kern w:val="0"/>
        </w:rPr>
        <w:t>meta-analysis could not be performed</w:t>
      </w:r>
      <w:r w:rsidR="00A37C1D">
        <w:rPr>
          <w:kern w:val="0"/>
        </w:rPr>
        <w:t>. The</w:t>
      </w:r>
      <w:r>
        <w:rPr>
          <w:kern w:val="0"/>
        </w:rPr>
        <w:t>refore, we performed Fisher</w:t>
      </w:r>
      <w:r w:rsidR="0071223E">
        <w:rPr>
          <w:kern w:val="0"/>
        </w:rPr>
        <w:t>’</w:t>
      </w:r>
      <w:r>
        <w:rPr>
          <w:kern w:val="0"/>
        </w:rPr>
        <w:t>s exact test on dichotomous outcomes. Main results We identified a total</w:t>
      </w:r>
      <w:r w:rsidR="00427468">
        <w:rPr>
          <w:kern w:val="0"/>
        </w:rPr>
        <w:t xml:space="preserve"> of </w:t>
      </w:r>
      <w:r>
        <w:rPr>
          <w:kern w:val="0"/>
        </w:rPr>
        <w:t>five randomised trials evaluating nine different pharmacological interventions (amrinone, prostaglandin E1, pentoxifylline, dopexamine, dopamine, ulinastatin, gantaile, sevoflurane,</w:t>
      </w:r>
      <w:r w:rsidR="005853A9">
        <w:rPr>
          <w:kern w:val="0"/>
        </w:rPr>
        <w:t xml:space="preserve"> and </w:t>
      </w:r>
      <w:r>
        <w:rPr>
          <w:kern w:val="0"/>
        </w:rPr>
        <w:t>propofol). All trials had high risk</w:t>
      </w:r>
      <w:r w:rsidR="00427468">
        <w:rPr>
          <w:kern w:val="0"/>
        </w:rPr>
        <w:t xml:space="preserve"> of </w:t>
      </w:r>
      <w:r>
        <w:rPr>
          <w:kern w:val="0"/>
        </w:rPr>
        <w:t>bias</w:t>
      </w:r>
      <w:r w:rsidR="00A37C1D">
        <w:rPr>
          <w:kern w:val="0"/>
        </w:rPr>
        <w:t>. The</w:t>
      </w:r>
      <w:r>
        <w:rPr>
          <w:kern w:val="0"/>
        </w:rPr>
        <w:t>re was no significant difference between the groups in mortality, liver failure, or perioperative morbidity</w:t>
      </w:r>
      <w:r w:rsidR="00A37C1D">
        <w:rPr>
          <w:kern w:val="0"/>
        </w:rPr>
        <w:t>. The</w:t>
      </w:r>
      <w:r>
        <w:rPr>
          <w:kern w:val="0"/>
        </w:rPr>
        <w:t xml:space="preserve"> ulinastatin group had significantly lower postoperative enzyme markers</w:t>
      </w:r>
      <w:r w:rsidR="00427468">
        <w:rPr>
          <w:kern w:val="0"/>
        </w:rPr>
        <w:t xml:space="preserve"> of </w:t>
      </w:r>
      <w:r>
        <w:rPr>
          <w:kern w:val="0"/>
        </w:rPr>
        <w:t>liver injury compared with the gantaile group. None</w:t>
      </w:r>
      <w:r w:rsidR="00427468">
        <w:rPr>
          <w:kern w:val="0"/>
        </w:rPr>
        <w:t xml:space="preserve"> of </w:t>
      </w:r>
      <w:r>
        <w:rPr>
          <w:kern w:val="0"/>
        </w:rPr>
        <w:t>the other comparisons showed any difference in any</w:t>
      </w:r>
      <w:r w:rsidR="00427468">
        <w:rPr>
          <w:kern w:val="0"/>
        </w:rPr>
        <w:t xml:space="preserve"> of </w:t>
      </w:r>
      <w:r>
        <w:rPr>
          <w:kern w:val="0"/>
        </w:rPr>
        <w:t>the other outcomes. However, there is a high risk</w:t>
      </w:r>
      <w:r w:rsidR="00427468">
        <w:rPr>
          <w:kern w:val="0"/>
        </w:rPr>
        <w:t xml:space="preserve"> of </w:t>
      </w:r>
      <w:r>
        <w:rPr>
          <w:kern w:val="0"/>
        </w:rPr>
        <w:t>type I</w:t>
      </w:r>
      <w:r w:rsidR="005853A9">
        <w:rPr>
          <w:kern w:val="0"/>
        </w:rPr>
        <w:t xml:space="preserve"> and </w:t>
      </w:r>
      <w:r>
        <w:rPr>
          <w:kern w:val="0"/>
        </w:rPr>
        <w:t>type II errors because</w:t>
      </w:r>
      <w:r w:rsidR="00427468">
        <w:rPr>
          <w:kern w:val="0"/>
        </w:rPr>
        <w:t xml:space="preserve"> of </w:t>
      </w:r>
      <w:r>
        <w:rPr>
          <w:kern w:val="0"/>
        </w:rPr>
        <w:t>the few trials included, the small sample size in each trial,</w:t>
      </w:r>
      <w:r w:rsidR="005853A9">
        <w:rPr>
          <w:kern w:val="0"/>
        </w:rPr>
        <w:t xml:space="preserve"> and </w:t>
      </w:r>
      <w:r>
        <w:rPr>
          <w:kern w:val="0"/>
        </w:rPr>
        <w:t>the risk</w:t>
      </w:r>
      <w:r w:rsidR="00427468">
        <w:rPr>
          <w:kern w:val="0"/>
        </w:rPr>
        <w:t xml:space="preserve"> of </w:t>
      </w:r>
      <w:r>
        <w:rPr>
          <w:kern w:val="0"/>
        </w:rPr>
        <w:t>bias. Authors</w:t>
      </w:r>
      <w:r w:rsidR="0071223E">
        <w:rPr>
          <w:kern w:val="0"/>
        </w:rPr>
        <w:t>’</w:t>
      </w:r>
      <w:r>
        <w:rPr>
          <w:kern w:val="0"/>
        </w:rPr>
        <w:t xml:space="preserve"> conclusions Ulinastatin may have a protective effect against ischaemia reperfusion injury relative to gantaile in elective liver resections performed under vascular occlusion</w:t>
      </w:r>
      <w:r w:rsidR="00A37C1D">
        <w:rPr>
          <w:kern w:val="0"/>
        </w:rPr>
        <w:t>. The</w:t>
      </w:r>
      <w:r>
        <w:rPr>
          <w:kern w:val="0"/>
        </w:rPr>
        <w:t xml:space="preserve"> absolute benefit</w:t>
      </w:r>
      <w:r w:rsidR="00427468">
        <w:rPr>
          <w:kern w:val="0"/>
        </w:rPr>
        <w:t xml:space="preserve"> of </w:t>
      </w:r>
      <w:r>
        <w:rPr>
          <w:kern w:val="0"/>
        </w:rPr>
        <w:t>this drug agent remains unknown. None</w:t>
      </w:r>
      <w:r w:rsidR="00427468">
        <w:rPr>
          <w:kern w:val="0"/>
        </w:rPr>
        <w:t xml:space="preserve"> of </w:t>
      </w:r>
      <w:r>
        <w:rPr>
          <w:kern w:val="0"/>
        </w:rPr>
        <w:t>the drugs can be recommended for routine clinical practice. Considering that none</w:t>
      </w:r>
      <w:r w:rsidR="00427468">
        <w:rPr>
          <w:kern w:val="0"/>
        </w:rPr>
        <w:t xml:space="preserve"> of </w:t>
      </w:r>
      <w:r>
        <w:rPr>
          <w:kern w:val="0"/>
        </w:rPr>
        <w:t>the drugs have proven to be useful to decrease ischaemia reperfusion injury, such trials should include a group</w:t>
      </w:r>
      <w:r w:rsidR="00427468">
        <w:rPr>
          <w:kern w:val="0"/>
        </w:rPr>
        <w:t xml:space="preserve"> of </w:t>
      </w:r>
      <w:r>
        <w:rPr>
          <w:kern w:val="0"/>
        </w:rPr>
        <w:t>patients who do not receive any active intervention whenever possible to determine the pharmacological drug</w:t>
      </w:r>
      <w:r w:rsidR="0071223E">
        <w:rPr>
          <w:kern w:val="0"/>
        </w:rPr>
        <w:t>’</w:t>
      </w:r>
      <w:r>
        <w:rPr>
          <w:kern w:val="0"/>
        </w:rPr>
        <w:t>s absolute effects on ischaemia reperfusion injury in liver resections.</w:t>
      </w:r>
    </w:p>
    <w:p w:rsidR="00365DE4" w:rsidRDefault="00365DE4" w:rsidP="00365DE4">
      <w:pPr>
        <w:pStyle w:val="a3"/>
        <w:rPr>
          <w:kern w:val="0"/>
        </w:rPr>
      </w:pPr>
      <w:r>
        <w:rPr>
          <w:kern w:val="0"/>
        </w:rPr>
        <w:t xml:space="preserve">Keywords: Authors, Bias, Cirrhotic-Patients, Citation, Clinical Trials, Criteria, Groups, Hepatic Resection, Hepatocellular-Carcinoma, High Risk, High-Risk, Intervention, Intraoperative Blood-Loss, IR, Ischemia, Reperfusion Injury, Language, </w:t>
      </w:r>
      <w:r w:rsidR="00D5664A">
        <w:rPr>
          <w:kern w:val="0"/>
        </w:rPr>
        <w:t>MEDLINE</w:t>
      </w:r>
      <w:r>
        <w:rPr>
          <w:kern w:val="0"/>
        </w:rPr>
        <w:t>, Meta-Analysis, Models, Outcomes, Postoperative Morbidity, Prostaglandin E-1, Protease Inhibitor, Publication, Randomized Clinical-Trials, Risk, Science, Science Citation Index, Surgery, Surgical Stress, Type I</w:t>
      </w:r>
      <w:r w:rsidR="005853A9">
        <w:rPr>
          <w:kern w:val="0"/>
        </w:rPr>
        <w:t xml:space="preserve"> and </w:t>
      </w:r>
      <w:r>
        <w:rPr>
          <w:kern w:val="0"/>
        </w:rPr>
        <w:t>Type Ii Errors</w:t>
      </w:r>
    </w:p>
    <w:p w:rsidR="00365DE4" w:rsidRDefault="00365DE4" w:rsidP="00365DE4">
      <w:pPr>
        <w:pStyle w:val="a3"/>
        <w:rPr>
          <w:kern w:val="0"/>
        </w:rPr>
      </w:pPr>
      <w:r>
        <w:rPr>
          <w:kern w:val="0"/>
        </w:rPr>
        <w:t>? Treweek, S., Mitchell, E., Pitkethly, M., Cook, J., Kjeldstrom, M., Taskila, T., Johansen, M., Sullivan, F., Wilson, S., Jackson, C.</w:t>
      </w:r>
      <w:r w:rsidR="005853A9">
        <w:rPr>
          <w:kern w:val="0"/>
        </w:rPr>
        <w:t xml:space="preserve"> and </w:t>
      </w:r>
      <w:r>
        <w:rPr>
          <w:kern w:val="0"/>
        </w:rPr>
        <w:t xml:space="preserve">Jones, R. (2010), Strategies to </w:t>
      </w:r>
      <w:r>
        <w:rPr>
          <w:kern w:val="0"/>
        </w:rPr>
        <w:lastRenderedPageBreak/>
        <w:t xml:space="preserve">improve recruitment to randomised controlled trials.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MR000013.</w:t>
      </w:r>
    </w:p>
    <w:p w:rsidR="00365DE4" w:rsidRDefault="00365DE4" w:rsidP="00365DE4">
      <w:pPr>
        <w:pStyle w:val="a3"/>
        <w:rPr>
          <w:kern w:val="2"/>
        </w:rPr>
      </w:pPr>
      <w:r>
        <w:t xml:space="preserve">Full Text: </w:t>
      </w:r>
      <w:hyperlink r:id="rId562" w:history="1">
        <w:r>
          <w:rPr>
            <w:rStyle w:val="a5"/>
          </w:rPr>
          <w:t>2010\Coc Dat Sys Rev2010, MR000013.pdf</w:t>
        </w:r>
      </w:hyperlink>
    </w:p>
    <w:p w:rsidR="00365DE4" w:rsidRDefault="00365DE4" w:rsidP="00365DE4">
      <w:pPr>
        <w:pStyle w:val="a3"/>
        <w:rPr>
          <w:kern w:val="0"/>
        </w:rPr>
      </w:pPr>
      <w:r>
        <w:rPr>
          <w:kern w:val="0"/>
        </w:rPr>
        <w:t>Abstract: Background Recruiting participants to trials can be extremely difficult. Identifying strategies that improve trial recruitment would benefit both trialists</w:t>
      </w:r>
      <w:r w:rsidR="005853A9">
        <w:rPr>
          <w:kern w:val="0"/>
        </w:rPr>
        <w:t xml:space="preserve"> and </w:t>
      </w:r>
      <w:r>
        <w:rPr>
          <w:kern w:val="0"/>
        </w:rPr>
        <w:t>health research. Objectives To quantify the effects</w:t>
      </w:r>
      <w:r w:rsidR="00427468">
        <w:rPr>
          <w:kern w:val="0"/>
        </w:rPr>
        <w:t xml:space="preserve"> of </w:t>
      </w:r>
      <w:r>
        <w:rPr>
          <w:kern w:val="0"/>
        </w:rPr>
        <w:t>strategies to improve recruitment</w:t>
      </w:r>
      <w:r w:rsidR="00427468">
        <w:rPr>
          <w:kern w:val="0"/>
        </w:rPr>
        <w:t xml:space="preserve"> of </w:t>
      </w:r>
      <w:r>
        <w:rPr>
          <w:kern w:val="0"/>
        </w:rPr>
        <w:t xml:space="preserve">participants to randomised controlled trials. Search strategy We searched the Cochrane Methodology Review Group Specialised Register - CMR (The Cochrane Library (online) Issue 1 2008) (searched 20 February 2008); </w:t>
      </w:r>
      <w:r w:rsidR="00D5664A">
        <w:rPr>
          <w:kern w:val="0"/>
        </w:rPr>
        <w:t>MEDLINE</w:t>
      </w:r>
      <w:r>
        <w:rPr>
          <w:kern w:val="0"/>
        </w:rPr>
        <w:t>, Ovid (1950 to date</w:t>
      </w:r>
      <w:r w:rsidR="00427468">
        <w:rPr>
          <w:kern w:val="0"/>
        </w:rPr>
        <w:t xml:space="preserve"> of </w:t>
      </w:r>
      <w:r>
        <w:rPr>
          <w:kern w:val="0"/>
        </w:rPr>
        <w:t>search) (searched 06 May 2008); EMBASE, Ovid (1980 to date</w:t>
      </w:r>
      <w:r w:rsidR="00427468">
        <w:rPr>
          <w:kern w:val="0"/>
        </w:rPr>
        <w:t xml:space="preserve"> of </w:t>
      </w:r>
      <w:r>
        <w:rPr>
          <w:kern w:val="0"/>
        </w:rPr>
        <w:t>search) (searched 16 May 2008); ERIC, CSA (1966 to date</w:t>
      </w:r>
      <w:r w:rsidR="00427468">
        <w:rPr>
          <w:kern w:val="0"/>
        </w:rPr>
        <w:t xml:space="preserve"> of </w:t>
      </w:r>
      <w:r>
        <w:rPr>
          <w:kern w:val="0"/>
        </w:rPr>
        <w:t xml:space="preserve">search) (searched 19 March 2008); Science Citation Index Expanded, ISI </w:t>
      </w:r>
      <w:r w:rsidR="00D5664A">
        <w:rPr>
          <w:kern w:val="0"/>
        </w:rPr>
        <w:t>Web</w:t>
      </w:r>
      <w:r w:rsidR="00427468">
        <w:rPr>
          <w:kern w:val="0"/>
        </w:rPr>
        <w:t xml:space="preserve"> of </w:t>
      </w:r>
      <w:r w:rsidR="00D5664A">
        <w:rPr>
          <w:kern w:val="0"/>
        </w:rPr>
        <w:t>Science</w:t>
      </w:r>
      <w:r>
        <w:rPr>
          <w:kern w:val="0"/>
        </w:rPr>
        <w:t xml:space="preserve"> (1975 to date</w:t>
      </w:r>
      <w:r w:rsidR="00427468">
        <w:rPr>
          <w:kern w:val="0"/>
        </w:rPr>
        <w:t xml:space="preserve"> of </w:t>
      </w:r>
      <w:r>
        <w:rPr>
          <w:kern w:val="0"/>
        </w:rPr>
        <w:t xml:space="preserve">search) (searched 19 March 2008); Social Sciences Citation Index, ISI </w:t>
      </w:r>
      <w:r w:rsidR="00D5664A">
        <w:rPr>
          <w:kern w:val="0"/>
        </w:rPr>
        <w:t>Web</w:t>
      </w:r>
      <w:r w:rsidR="00427468">
        <w:rPr>
          <w:kern w:val="0"/>
        </w:rPr>
        <w:t xml:space="preserve"> of </w:t>
      </w:r>
      <w:r w:rsidR="00D5664A">
        <w:rPr>
          <w:kern w:val="0"/>
        </w:rPr>
        <w:t>Science</w:t>
      </w:r>
      <w:r>
        <w:rPr>
          <w:kern w:val="0"/>
        </w:rPr>
        <w:t xml:space="preserve"> (1975 to date</w:t>
      </w:r>
      <w:r w:rsidR="00427468">
        <w:rPr>
          <w:kern w:val="0"/>
        </w:rPr>
        <w:t xml:space="preserve"> of </w:t>
      </w:r>
      <w:r>
        <w:rPr>
          <w:kern w:val="0"/>
        </w:rPr>
        <w:t>search) (searched 19 March 2008);</w:t>
      </w:r>
      <w:r w:rsidR="005853A9">
        <w:rPr>
          <w:kern w:val="0"/>
        </w:rPr>
        <w:t xml:space="preserve"> and </w:t>
      </w:r>
      <w:r>
        <w:rPr>
          <w:kern w:val="0"/>
        </w:rPr>
        <w:t>National Research Register (online) (Issue 3 2007) (searched 03 September 2007); C2-SPECTR (searched 09 April 2008). We also searched PUBMED (25 March 2008) to retrieve “related articles” for 15 studies included in a previous version</w:t>
      </w:r>
      <w:r w:rsidR="00427468">
        <w:rPr>
          <w:kern w:val="0"/>
        </w:rPr>
        <w:t xml:space="preserve"> of </w:t>
      </w:r>
      <w:r>
        <w:rPr>
          <w:kern w:val="0"/>
        </w:rPr>
        <w:t>this review. Selection criteria Randomised</w:t>
      </w:r>
      <w:r w:rsidR="005853A9">
        <w:rPr>
          <w:kern w:val="0"/>
        </w:rPr>
        <w:t xml:space="preserve"> and </w:t>
      </w:r>
      <w:r>
        <w:rPr>
          <w:kern w:val="0"/>
        </w:rPr>
        <w:t>quasi-randomised controlled trials</w:t>
      </w:r>
      <w:r w:rsidR="00427468">
        <w:rPr>
          <w:kern w:val="0"/>
        </w:rPr>
        <w:t xml:space="preserve"> of </w:t>
      </w:r>
      <w:r>
        <w:rPr>
          <w:kern w:val="0"/>
        </w:rPr>
        <w:t>methods to increase recruitment to randomised controlled trials. This includes non-healthcare studies</w:t>
      </w:r>
      <w:r w:rsidR="005853A9">
        <w:rPr>
          <w:kern w:val="0"/>
        </w:rPr>
        <w:t xml:space="preserve"> and </w:t>
      </w:r>
      <w:r>
        <w:rPr>
          <w:kern w:val="0"/>
        </w:rPr>
        <w:t>studies recruiting to hypothetical trials. Studies aiming to increase response rates to questionnaires or trial retention, or which evaluated incentives</w:t>
      </w:r>
      <w:r w:rsidR="005853A9">
        <w:rPr>
          <w:kern w:val="0"/>
        </w:rPr>
        <w:t xml:space="preserve"> and </w:t>
      </w:r>
      <w:r>
        <w:rPr>
          <w:kern w:val="0"/>
        </w:rPr>
        <w:t>disincentives for clinicians to recruit patients were excluded. Data collection</w:t>
      </w:r>
      <w:r w:rsidR="005853A9">
        <w:rPr>
          <w:kern w:val="0"/>
        </w:rPr>
        <w:t xml:space="preserve"> and </w:t>
      </w:r>
      <w:r>
        <w:rPr>
          <w:kern w:val="0"/>
        </w:rPr>
        <w:t>analysis Data were extracted on the method evaluated; country in which the study was carried out; nature</w:t>
      </w:r>
      <w:r w:rsidR="00427468">
        <w:rPr>
          <w:kern w:val="0"/>
        </w:rPr>
        <w:t xml:space="preserve"> of </w:t>
      </w:r>
      <w:r>
        <w:rPr>
          <w:kern w:val="0"/>
        </w:rPr>
        <w:t>the population; nature</w:t>
      </w:r>
      <w:r w:rsidR="00427468">
        <w:rPr>
          <w:kern w:val="0"/>
        </w:rPr>
        <w:t xml:space="preserve"> of </w:t>
      </w:r>
      <w:r>
        <w:rPr>
          <w:kern w:val="0"/>
        </w:rPr>
        <w:t>the study setting; nature</w:t>
      </w:r>
      <w:r w:rsidR="00427468">
        <w:rPr>
          <w:kern w:val="0"/>
        </w:rPr>
        <w:t xml:space="preserve"> of </w:t>
      </w:r>
      <w:r>
        <w:rPr>
          <w:kern w:val="0"/>
        </w:rPr>
        <w:t>the study to be recruited into; randomisation or quasi-randomisation method;</w:t>
      </w:r>
      <w:r w:rsidR="005853A9">
        <w:rPr>
          <w:kern w:val="0"/>
        </w:rPr>
        <w:t xml:space="preserve"> and </w:t>
      </w:r>
      <w:r>
        <w:rPr>
          <w:kern w:val="0"/>
        </w:rPr>
        <w:t>numbers</w:t>
      </w:r>
      <w:r w:rsidR="005853A9">
        <w:rPr>
          <w:kern w:val="0"/>
        </w:rPr>
        <w:t xml:space="preserve"> and </w:t>
      </w:r>
      <w:r>
        <w:rPr>
          <w:kern w:val="0"/>
        </w:rPr>
        <w:t>proportions in each intervention group. We used risk ratios</w:t>
      </w:r>
      <w:r w:rsidR="005853A9">
        <w:rPr>
          <w:kern w:val="0"/>
        </w:rPr>
        <w:t xml:space="preserve"> and </w:t>
      </w:r>
      <w:r>
        <w:rPr>
          <w:kern w:val="0"/>
        </w:rPr>
        <w:t>their 95% confidence intervals to describe the effects in individual trials,</w:t>
      </w:r>
      <w:r w:rsidR="005853A9">
        <w:rPr>
          <w:kern w:val="0"/>
        </w:rPr>
        <w:t xml:space="preserve"> and </w:t>
      </w:r>
      <w:r>
        <w:rPr>
          <w:kern w:val="0"/>
        </w:rPr>
        <w:t>assessed heterogeneity</w:t>
      </w:r>
      <w:r w:rsidR="00427468">
        <w:rPr>
          <w:kern w:val="0"/>
        </w:rPr>
        <w:t xml:space="preserve"> of </w:t>
      </w:r>
      <w:r>
        <w:rPr>
          <w:kern w:val="0"/>
        </w:rPr>
        <w:t>these ratios between trials. Main results We identified 27 eligible trials with more than 26,604 participants</w:t>
      </w:r>
      <w:r w:rsidR="00A37C1D">
        <w:rPr>
          <w:kern w:val="0"/>
        </w:rPr>
        <w:t>. The</w:t>
      </w:r>
      <w:r>
        <w:rPr>
          <w:kern w:val="0"/>
        </w:rPr>
        <w:t>re were 24 studies involving interventions aimed directly at trial participants, while three evaluated interventions aimed at people recruiting participants. All studies were in health care. Some interventions were effective in increasing recruitment: telephone reminders to non-respondents (RR 2.66, 95% CI 1.37 to 5.18), use</w:t>
      </w:r>
      <w:r w:rsidR="00427468">
        <w:rPr>
          <w:kern w:val="0"/>
        </w:rPr>
        <w:t xml:space="preserve"> of </w:t>
      </w:r>
      <w:r>
        <w:rPr>
          <w:kern w:val="0"/>
        </w:rPr>
        <w:t>opt-out, rather than opt-in, procedures for contacting potential trial participants (RR 1.39, 95% CI 1.06 to 1.84)</w:t>
      </w:r>
      <w:r w:rsidR="005853A9">
        <w:rPr>
          <w:kern w:val="0"/>
        </w:rPr>
        <w:t xml:space="preserve"> and </w:t>
      </w:r>
      <w:r>
        <w:rPr>
          <w:kern w:val="0"/>
        </w:rPr>
        <w:t>open designs where participants know which treatment they are receiving in the trial (RR 1.25, 95% CI 1.18 to 1.34). However, some</w:t>
      </w:r>
      <w:r w:rsidR="00427468">
        <w:rPr>
          <w:kern w:val="0"/>
        </w:rPr>
        <w:t xml:space="preserve"> of </w:t>
      </w:r>
      <w:r>
        <w:rPr>
          <w:kern w:val="0"/>
        </w:rPr>
        <w:t>these strategies have disadvantages, which may limit their widespread use. For example, opt-out procedures are controversial</w:t>
      </w:r>
      <w:r w:rsidR="005853A9">
        <w:rPr>
          <w:kern w:val="0"/>
        </w:rPr>
        <w:t xml:space="preserve"> and </w:t>
      </w:r>
      <w:r>
        <w:rPr>
          <w:kern w:val="0"/>
        </w:rPr>
        <w:t>open designs are by definition unblinded</w:t>
      </w:r>
      <w:r w:rsidR="00A37C1D">
        <w:rPr>
          <w:kern w:val="0"/>
        </w:rPr>
        <w:t>. The</w:t>
      </w:r>
      <w:r>
        <w:rPr>
          <w:kern w:val="0"/>
        </w:rPr>
        <w:t xml:space="preserve"> effects</w:t>
      </w:r>
      <w:r w:rsidR="00427468">
        <w:rPr>
          <w:kern w:val="0"/>
        </w:rPr>
        <w:t xml:space="preserve"> of </w:t>
      </w:r>
      <w:r>
        <w:rPr>
          <w:kern w:val="0"/>
        </w:rPr>
        <w:t>many other recruitment strategies are unclear; examples include the use</w:t>
      </w:r>
      <w:r w:rsidR="00427468">
        <w:rPr>
          <w:kern w:val="0"/>
        </w:rPr>
        <w:t xml:space="preserve"> of </w:t>
      </w:r>
      <w:r>
        <w:rPr>
          <w:kern w:val="0"/>
        </w:rPr>
        <w:lastRenderedPageBreak/>
        <w:t>video to provide trial information to potential participants</w:t>
      </w:r>
      <w:r w:rsidR="005853A9">
        <w:rPr>
          <w:kern w:val="0"/>
        </w:rPr>
        <w:t xml:space="preserve"> and </w:t>
      </w:r>
      <w:r>
        <w:rPr>
          <w:kern w:val="0"/>
        </w:rPr>
        <w:t>modifying the training</w:t>
      </w:r>
      <w:r w:rsidR="00427468">
        <w:rPr>
          <w:kern w:val="0"/>
        </w:rPr>
        <w:t xml:space="preserve"> of </w:t>
      </w:r>
      <w:r>
        <w:rPr>
          <w:kern w:val="0"/>
        </w:rPr>
        <w:t>recruiters. Many studies looked at recruitment to hypothetical trials</w:t>
      </w:r>
      <w:r w:rsidR="005853A9">
        <w:rPr>
          <w:kern w:val="0"/>
        </w:rPr>
        <w:t xml:space="preserve"> and </w:t>
      </w:r>
      <w:r>
        <w:rPr>
          <w:kern w:val="0"/>
        </w:rPr>
        <w:t>it is unclear how applicable these results are to real trials. Authors</w:t>
      </w:r>
      <w:r w:rsidR="0071223E">
        <w:rPr>
          <w:kern w:val="0"/>
        </w:rPr>
        <w:t>’</w:t>
      </w:r>
      <w:r>
        <w:rPr>
          <w:kern w:val="0"/>
        </w:rPr>
        <w:t xml:space="preserve"> conclusions Trialists can increase recruitment to their trials by using the strategies shown to be effective in this review: telephone reminders; use</w:t>
      </w:r>
      <w:r w:rsidR="00427468">
        <w:rPr>
          <w:kern w:val="0"/>
        </w:rPr>
        <w:t xml:space="preserve"> of </w:t>
      </w:r>
      <w:r>
        <w:rPr>
          <w:kern w:val="0"/>
        </w:rPr>
        <w:t>opt-out, rather than opt-in; procedures for contacting potential trial participants</w:t>
      </w:r>
      <w:r w:rsidR="005853A9">
        <w:rPr>
          <w:kern w:val="0"/>
        </w:rPr>
        <w:t xml:space="preserve"> and </w:t>
      </w:r>
      <w:r>
        <w:rPr>
          <w:kern w:val="0"/>
        </w:rPr>
        <w:t>open designs. Some strategies (e. g. open trial designs) need to be considered carefully before use because they also have disadvantages. For example, opt-out procedures are controversial</w:t>
      </w:r>
      <w:r w:rsidR="005853A9">
        <w:rPr>
          <w:kern w:val="0"/>
        </w:rPr>
        <w:t xml:space="preserve"> and </w:t>
      </w:r>
      <w:r>
        <w:rPr>
          <w:kern w:val="0"/>
        </w:rPr>
        <w:t>open designs are by definition unblinded.</w:t>
      </w:r>
    </w:p>
    <w:p w:rsidR="00365DE4" w:rsidRDefault="00365DE4" w:rsidP="00365DE4">
      <w:pPr>
        <w:pStyle w:val="a3"/>
        <w:rPr>
          <w:kern w:val="0"/>
        </w:rPr>
      </w:pPr>
      <w:r>
        <w:rPr>
          <w:kern w:val="0"/>
        </w:rPr>
        <w:t>Keywords: Authors, Breast-Cancer, Cancer-Patients, Citation, Clinical Trials As Topic, Clinical-Trials, Decision-Making, Hazardous Drinking, Health, Health Care, Heterogeneity, Humans, Informed-Consent Process, Injured Patients</w:t>
      </w:r>
      <w:r w:rsidR="00D5664A">
        <w:rPr>
          <w:kern w:val="0"/>
        </w:rPr>
        <w:t>, ISI,</w:t>
      </w:r>
      <w:r>
        <w:rPr>
          <w:kern w:val="0"/>
        </w:rPr>
        <w:t xml:space="preserve"> ISI Web, ISI </w:t>
      </w:r>
      <w:r w:rsidR="00D5664A">
        <w:rPr>
          <w:kern w:val="0"/>
        </w:rPr>
        <w:t>Web</w:t>
      </w:r>
      <w:r w:rsidR="00427468">
        <w:rPr>
          <w:kern w:val="0"/>
        </w:rPr>
        <w:t xml:space="preserve"> of </w:t>
      </w:r>
      <w:r w:rsidR="00D5664A">
        <w:rPr>
          <w:kern w:val="0"/>
        </w:rPr>
        <w:t>Science</w:t>
      </w:r>
      <w:r>
        <w:rPr>
          <w:kern w:val="0"/>
        </w:rPr>
        <w:t xml:space="preserve">, Medical-Research, </w:t>
      </w:r>
      <w:r w:rsidR="00D5664A">
        <w:rPr>
          <w:kern w:val="0"/>
        </w:rPr>
        <w:t>MEDLINE</w:t>
      </w:r>
      <w:r>
        <w:rPr>
          <w:kern w:val="0"/>
        </w:rPr>
        <w:t xml:space="preserve">, Patient Education As Topic, Patient Recruitment, Patient Selection, Prevention Trial, Randomized Controlled Trials As Topic, Research, Retention, Review, Risk, Sample Size, Science, Science Citation Index, Training,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Shepperd, S., McClaran, J., Phillips, C.O., Lannin, N.A., Clemson, L.M., McCluskey, A., Cameron, I.D.</w:t>
      </w:r>
      <w:r w:rsidR="005853A9">
        <w:rPr>
          <w:kern w:val="0"/>
        </w:rPr>
        <w:t xml:space="preserve"> and </w:t>
      </w:r>
      <w:r>
        <w:rPr>
          <w:kern w:val="0"/>
        </w:rPr>
        <w:t xml:space="preserve">Barras, S.L. (2010), Discharge planning from hospital to home.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CD000313.</w:t>
      </w:r>
    </w:p>
    <w:p w:rsidR="00365DE4" w:rsidRDefault="00365DE4" w:rsidP="00365DE4">
      <w:pPr>
        <w:pStyle w:val="a3"/>
        <w:rPr>
          <w:kern w:val="2"/>
        </w:rPr>
      </w:pPr>
      <w:r>
        <w:t xml:space="preserve">Full Text: </w:t>
      </w:r>
      <w:hyperlink r:id="rId563" w:history="1">
        <w:r>
          <w:rPr>
            <w:rStyle w:val="a5"/>
          </w:rPr>
          <w:t>2010\Coc Dat Sys Rev2010, CD000313.pdf</w:t>
        </w:r>
      </w:hyperlink>
    </w:p>
    <w:p w:rsidR="00365DE4" w:rsidRDefault="00365DE4" w:rsidP="00365DE4">
      <w:pPr>
        <w:pStyle w:val="a3"/>
        <w:rPr>
          <w:kern w:val="0"/>
        </w:rPr>
      </w:pPr>
      <w:r>
        <w:rPr>
          <w:kern w:val="0"/>
        </w:rPr>
        <w:t>Abstract: Background Discharge planning is a routine feature</w:t>
      </w:r>
      <w:r w:rsidR="00427468">
        <w:rPr>
          <w:kern w:val="0"/>
        </w:rPr>
        <w:t xml:space="preserve"> of </w:t>
      </w:r>
      <w:r>
        <w:rPr>
          <w:kern w:val="0"/>
        </w:rPr>
        <w:t>health systems in many countries</w:t>
      </w:r>
      <w:r w:rsidR="00A37C1D">
        <w:rPr>
          <w:kern w:val="0"/>
        </w:rPr>
        <w:t>. The</w:t>
      </w:r>
      <w:r>
        <w:rPr>
          <w:kern w:val="0"/>
        </w:rPr>
        <w:t xml:space="preserve"> aim</w:t>
      </w:r>
      <w:r w:rsidR="00427468">
        <w:rPr>
          <w:kern w:val="0"/>
        </w:rPr>
        <w:t xml:space="preserve"> of </w:t>
      </w:r>
      <w:r>
        <w:rPr>
          <w:kern w:val="0"/>
        </w:rPr>
        <w:t>discharge planning is to reduce hospital length</w:t>
      </w:r>
      <w:r w:rsidR="00427468">
        <w:rPr>
          <w:kern w:val="0"/>
        </w:rPr>
        <w:t xml:space="preserve"> of </w:t>
      </w:r>
      <w:r>
        <w:rPr>
          <w:kern w:val="0"/>
        </w:rPr>
        <w:t>stay</w:t>
      </w:r>
      <w:r w:rsidR="005853A9">
        <w:rPr>
          <w:kern w:val="0"/>
        </w:rPr>
        <w:t xml:space="preserve"> and </w:t>
      </w:r>
      <w:r>
        <w:rPr>
          <w:kern w:val="0"/>
        </w:rPr>
        <w:t>unplanned readmission to hospital,</w:t>
      </w:r>
      <w:r w:rsidR="005853A9">
        <w:rPr>
          <w:kern w:val="0"/>
        </w:rPr>
        <w:t xml:space="preserve"> and </w:t>
      </w:r>
      <w:r>
        <w:rPr>
          <w:kern w:val="0"/>
        </w:rPr>
        <w:t>improve the co-ordination</w:t>
      </w:r>
      <w:r w:rsidR="00427468">
        <w:rPr>
          <w:kern w:val="0"/>
        </w:rPr>
        <w:t xml:space="preserve"> of </w:t>
      </w:r>
      <w:r>
        <w:rPr>
          <w:kern w:val="0"/>
        </w:rPr>
        <w:t>services following discharge from hospital. Objectives To determine the effectiveness</w:t>
      </w:r>
      <w:r w:rsidR="00427468">
        <w:rPr>
          <w:kern w:val="0"/>
        </w:rPr>
        <w:t xml:space="preserve"> of </w:t>
      </w:r>
      <w:r>
        <w:rPr>
          <w:kern w:val="0"/>
        </w:rPr>
        <w:t>planning the discharge</w:t>
      </w:r>
      <w:r w:rsidR="00427468">
        <w:rPr>
          <w:kern w:val="0"/>
        </w:rPr>
        <w:t xml:space="preserve"> of </w:t>
      </w:r>
      <w:r>
        <w:rPr>
          <w:kern w:val="0"/>
        </w:rPr>
        <w:t xml:space="preserve">patients moving from hospital. Search strategy We updated the review using the Cochrane EPOC Group Trials Register, </w:t>
      </w:r>
      <w:r w:rsidR="00D5664A">
        <w:rPr>
          <w:kern w:val="0"/>
        </w:rPr>
        <w:t>MEDLINE</w:t>
      </w:r>
      <w:r>
        <w:rPr>
          <w:kern w:val="0"/>
        </w:rPr>
        <w:t>, EMBASE</w:t>
      </w:r>
      <w:r w:rsidR="005853A9">
        <w:rPr>
          <w:kern w:val="0"/>
        </w:rPr>
        <w:t xml:space="preserve"> and </w:t>
      </w:r>
      <w:r>
        <w:rPr>
          <w:kern w:val="0"/>
        </w:rPr>
        <w:t>the Social Science Citation Index (last searched in March 2009). Selection criteria Randomised controlled trials (RCTs) that compared an individualised discharge plan with routine discharge care that was not tailored to the individual patient. Participants were hospital inpatients. Data collection</w:t>
      </w:r>
      <w:r w:rsidR="005853A9">
        <w:rPr>
          <w:kern w:val="0"/>
        </w:rPr>
        <w:t xml:space="preserve"> and </w:t>
      </w:r>
      <w:r>
        <w:rPr>
          <w:kern w:val="0"/>
        </w:rPr>
        <w:t>analysis Two authors independently undertook data analysis</w:t>
      </w:r>
      <w:r w:rsidR="005853A9">
        <w:rPr>
          <w:kern w:val="0"/>
        </w:rPr>
        <w:t xml:space="preserve"> and </w:t>
      </w:r>
      <w:r>
        <w:rPr>
          <w:kern w:val="0"/>
        </w:rPr>
        <w:t>quality assessment using a predesigned data extraction sheet. Studies are grouped according to patient group (elderly medical patients, surgical patients</w:t>
      </w:r>
      <w:r w:rsidR="005853A9">
        <w:rPr>
          <w:kern w:val="0"/>
        </w:rPr>
        <w:t xml:space="preserve"> and </w:t>
      </w:r>
      <w:r>
        <w:rPr>
          <w:kern w:val="0"/>
        </w:rPr>
        <w:t>those with a mix</w:t>
      </w:r>
      <w:r w:rsidR="00427468">
        <w:rPr>
          <w:kern w:val="0"/>
        </w:rPr>
        <w:t xml:space="preserve"> of </w:t>
      </w:r>
      <w:r>
        <w:rPr>
          <w:kern w:val="0"/>
        </w:rPr>
        <w:t>conditions)</w:t>
      </w:r>
      <w:r w:rsidR="005853A9">
        <w:rPr>
          <w:kern w:val="0"/>
        </w:rPr>
        <w:t xml:space="preserve"> and </w:t>
      </w:r>
      <w:r>
        <w:rPr>
          <w:kern w:val="0"/>
        </w:rPr>
        <w:t>by outcome. Main results Twenty-one RCTs (7234 patients) are included; ten</w:t>
      </w:r>
      <w:r w:rsidR="00427468">
        <w:rPr>
          <w:kern w:val="0"/>
        </w:rPr>
        <w:t xml:space="preserve"> of </w:t>
      </w:r>
      <w:r>
        <w:rPr>
          <w:kern w:val="0"/>
        </w:rPr>
        <w:t>these were identified in this update. Fourteen trials recruited patients with a medical condition (4509 patients), four recruited patients with a mix</w:t>
      </w:r>
      <w:r w:rsidR="00427468">
        <w:rPr>
          <w:kern w:val="0"/>
        </w:rPr>
        <w:t xml:space="preserve"> of </w:t>
      </w:r>
      <w:r>
        <w:rPr>
          <w:kern w:val="0"/>
        </w:rPr>
        <w:t>medical</w:t>
      </w:r>
      <w:r w:rsidR="005853A9">
        <w:rPr>
          <w:kern w:val="0"/>
        </w:rPr>
        <w:t xml:space="preserve"> and </w:t>
      </w:r>
      <w:r>
        <w:rPr>
          <w:kern w:val="0"/>
        </w:rPr>
        <w:t>surgical conditions (2225 patients), one recruited patients from a psychiatric hospital (343 patients), one from both a psychiatric hospital</w:t>
      </w:r>
      <w:r w:rsidR="005853A9">
        <w:rPr>
          <w:kern w:val="0"/>
        </w:rPr>
        <w:t xml:space="preserve"> and </w:t>
      </w:r>
      <w:r>
        <w:rPr>
          <w:kern w:val="0"/>
        </w:rPr>
        <w:t>from a general hospital (97 patients),</w:t>
      </w:r>
      <w:r w:rsidR="005853A9">
        <w:rPr>
          <w:kern w:val="0"/>
        </w:rPr>
        <w:t xml:space="preserve"> and </w:t>
      </w:r>
      <w:r>
        <w:rPr>
          <w:kern w:val="0"/>
        </w:rPr>
        <w:t xml:space="preserve">the final trial recruited patients admitted to hospital following a fall (60 </w:t>
      </w:r>
      <w:r>
        <w:rPr>
          <w:kern w:val="0"/>
        </w:rPr>
        <w:lastRenderedPageBreak/>
        <w:t>patients). Hospital length</w:t>
      </w:r>
      <w:r w:rsidR="00427468">
        <w:rPr>
          <w:kern w:val="0"/>
        </w:rPr>
        <w:t xml:space="preserve"> of </w:t>
      </w:r>
      <w:r>
        <w:rPr>
          <w:kern w:val="0"/>
        </w:rPr>
        <w:t>stay</w:t>
      </w:r>
      <w:r w:rsidR="005853A9">
        <w:rPr>
          <w:kern w:val="0"/>
        </w:rPr>
        <w:t xml:space="preserve"> and </w:t>
      </w:r>
      <w:r>
        <w:rPr>
          <w:kern w:val="0"/>
        </w:rPr>
        <w:t>readmissions to hospital were significantly reduced for patients allocated to discharge planning (mean difference length</w:t>
      </w:r>
      <w:r w:rsidR="00427468">
        <w:rPr>
          <w:kern w:val="0"/>
        </w:rPr>
        <w:t xml:space="preserve"> of </w:t>
      </w:r>
      <w:r>
        <w:rPr>
          <w:kern w:val="0"/>
        </w:rPr>
        <w:t>stay -0.91, 95% CI -1.55 to -0.27, 10 trials; readmission rates RR 0.85, 95% CI 0.74 to 0.97, 11 trials). For elderly patients with a medical condition (usually heart failure) there was insufficient evidence for a difference in mortality (RR 1.04, 95% CI 0.74 to 1.46, four trials) or being discharged from hospital to home (RR 1.03, 95% CI 0.93 to 1.14, two trials). This was also the case for trials recruiting patients recovering from surgery</w:t>
      </w:r>
      <w:r w:rsidR="005853A9">
        <w:rPr>
          <w:kern w:val="0"/>
        </w:rPr>
        <w:t xml:space="preserve"> and </w:t>
      </w:r>
      <w:r>
        <w:rPr>
          <w:kern w:val="0"/>
        </w:rPr>
        <w:t>a mix</w:t>
      </w:r>
      <w:r w:rsidR="00427468">
        <w:rPr>
          <w:kern w:val="0"/>
        </w:rPr>
        <w:t xml:space="preserve"> of </w:t>
      </w:r>
      <w:r>
        <w:rPr>
          <w:kern w:val="0"/>
        </w:rPr>
        <w:t>medical</w:t>
      </w:r>
      <w:r w:rsidR="005853A9">
        <w:rPr>
          <w:kern w:val="0"/>
        </w:rPr>
        <w:t xml:space="preserve"> and </w:t>
      </w:r>
      <w:r>
        <w:rPr>
          <w:kern w:val="0"/>
        </w:rPr>
        <w:t>surgical conditions. In three trials patients allocated to discharge planning reported increased satisfaction</w:t>
      </w:r>
      <w:r w:rsidR="00A37C1D">
        <w:rPr>
          <w:kern w:val="0"/>
        </w:rPr>
        <w:t>. The</w:t>
      </w:r>
      <w:r>
        <w:rPr>
          <w:kern w:val="0"/>
        </w:rPr>
        <w:t>re was little evidence on overall healthcare costs. Authors</w:t>
      </w:r>
      <w:r w:rsidR="0071223E">
        <w:rPr>
          <w:kern w:val="0"/>
        </w:rPr>
        <w:t>’</w:t>
      </w:r>
      <w:r>
        <w:rPr>
          <w:kern w:val="0"/>
        </w:rPr>
        <w:t xml:space="preserve"> conclusions The evidence suggests that a structured discharge plan tailored to the individual patient probably brings about small reductions in hospital length</w:t>
      </w:r>
      <w:r w:rsidR="00427468">
        <w:rPr>
          <w:kern w:val="0"/>
        </w:rPr>
        <w:t xml:space="preserve"> of </w:t>
      </w:r>
      <w:r>
        <w:rPr>
          <w:kern w:val="0"/>
        </w:rPr>
        <w:t>stay</w:t>
      </w:r>
      <w:r w:rsidR="005853A9">
        <w:rPr>
          <w:kern w:val="0"/>
        </w:rPr>
        <w:t xml:space="preserve"> and </w:t>
      </w:r>
      <w:r>
        <w:rPr>
          <w:kern w:val="0"/>
        </w:rPr>
        <w:t>readmission rates for older people admitted to hospital with a medical condition</w:t>
      </w:r>
      <w:r w:rsidR="00A37C1D">
        <w:rPr>
          <w:kern w:val="0"/>
        </w:rPr>
        <w:t>. The</w:t>
      </w:r>
      <w:r>
        <w:rPr>
          <w:kern w:val="0"/>
        </w:rPr>
        <w:t xml:space="preserve"> impact</w:t>
      </w:r>
      <w:r w:rsidR="00427468">
        <w:rPr>
          <w:kern w:val="0"/>
        </w:rPr>
        <w:t xml:space="preserve"> of </w:t>
      </w:r>
      <w:r>
        <w:rPr>
          <w:kern w:val="0"/>
        </w:rPr>
        <w:t>discharge planning on mortality, health outcomes</w:t>
      </w:r>
      <w:r w:rsidR="005853A9">
        <w:rPr>
          <w:kern w:val="0"/>
        </w:rPr>
        <w:t xml:space="preserve"> and </w:t>
      </w:r>
      <w:r>
        <w:rPr>
          <w:kern w:val="0"/>
        </w:rPr>
        <w:t>cost remains uncertain.</w:t>
      </w:r>
    </w:p>
    <w:p w:rsidR="00365DE4" w:rsidRDefault="00365DE4" w:rsidP="00365DE4">
      <w:pPr>
        <w:pStyle w:val="a3"/>
        <w:rPr>
          <w:kern w:val="0"/>
        </w:rPr>
      </w:pPr>
      <w:r>
        <w:rPr>
          <w:kern w:val="0"/>
        </w:rPr>
        <w:t>Keywords: Acute-Care, Assessment, Authors, Citation, Clinical-Trial, Congestive-Heart-Failure, Controlled Clinical Trials As Topic, Data Analysis, Discharge, Elderly, Follow-Up, Frail Elderly-Patients, Geriatric Consultation Team, Health, Health Care Costs, Humans, Impact, Intervention Team, Length</w:t>
      </w:r>
      <w:r w:rsidR="00427468">
        <w:rPr>
          <w:kern w:val="0"/>
        </w:rPr>
        <w:t xml:space="preserve"> of </w:t>
      </w:r>
      <w:r>
        <w:rPr>
          <w:kern w:val="0"/>
        </w:rPr>
        <w:t xml:space="preserve">Stay, Medical, Medicare Population, </w:t>
      </w:r>
      <w:r w:rsidR="00D5664A">
        <w:rPr>
          <w:kern w:val="0"/>
        </w:rPr>
        <w:t>MEDLINE</w:t>
      </w:r>
      <w:r>
        <w:rPr>
          <w:kern w:val="0"/>
        </w:rPr>
        <w:t>, Older People, Outcome Assessment (Health Care), Patient Discharge, Patient Readmission, Quality-of-Life, Randomized Controlled Trials As Topic, Randomized Controlled-Trial, Review, Science, Science Citation Index, Social Science Citation Index, Surgery</w:t>
      </w:r>
    </w:p>
    <w:p w:rsidR="00365DE4" w:rsidRDefault="00365DE4" w:rsidP="00365DE4">
      <w:pPr>
        <w:pStyle w:val="a3"/>
        <w:rPr>
          <w:kern w:val="0"/>
        </w:rPr>
      </w:pPr>
      <w:r>
        <w:rPr>
          <w:kern w:val="0"/>
        </w:rPr>
        <w:t>? Iorio, A., Marchesini, E., Awad, T.</w:t>
      </w:r>
      <w:r w:rsidR="005853A9">
        <w:rPr>
          <w:kern w:val="0"/>
        </w:rPr>
        <w:t xml:space="preserve"> and </w:t>
      </w:r>
      <w:r>
        <w:rPr>
          <w:kern w:val="0"/>
        </w:rPr>
        <w:t xml:space="preserve">Gluud, L.L. (2010), Antiviral treatment for chronic hepatitis C in patients with human immunodeficiency virus.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CD004888.</w:t>
      </w:r>
    </w:p>
    <w:p w:rsidR="00365DE4" w:rsidRDefault="00365DE4" w:rsidP="00365DE4">
      <w:pPr>
        <w:pStyle w:val="a3"/>
        <w:rPr>
          <w:kern w:val="2"/>
        </w:rPr>
      </w:pPr>
      <w:r>
        <w:t xml:space="preserve">Full Text: </w:t>
      </w:r>
      <w:hyperlink r:id="rId564" w:history="1">
        <w:r>
          <w:rPr>
            <w:rStyle w:val="a5"/>
          </w:rPr>
          <w:t>2010\Coc Dat Sys Rev2010, CD004888.pdf</w:t>
        </w:r>
      </w:hyperlink>
    </w:p>
    <w:p w:rsidR="00365DE4" w:rsidRDefault="00365DE4" w:rsidP="00365DE4">
      <w:pPr>
        <w:pStyle w:val="a3"/>
        <w:rPr>
          <w:kern w:val="0"/>
        </w:rPr>
      </w:pPr>
      <w:r>
        <w:rPr>
          <w:kern w:val="0"/>
        </w:rPr>
        <w:t>Abstract: Background Antiviral treatment for chronic hepatitis C may be less effective if patients are co-infected with human immunodeficiency virus (HIV). Objectives To assess the benefits</w:t>
      </w:r>
      <w:r w:rsidR="005853A9">
        <w:rPr>
          <w:kern w:val="0"/>
        </w:rPr>
        <w:t xml:space="preserve"> and </w:t>
      </w:r>
      <w:r>
        <w:rPr>
          <w:kern w:val="0"/>
        </w:rPr>
        <w:t>harms</w:t>
      </w:r>
      <w:r w:rsidR="00427468">
        <w:rPr>
          <w:kern w:val="0"/>
        </w:rPr>
        <w:t xml:space="preserve"> of </w:t>
      </w:r>
      <w:r>
        <w:rPr>
          <w:kern w:val="0"/>
        </w:rPr>
        <w:t>antiviral treatment for chronic hepatitis C in patients with HIV. Search strategy Trials were identified through manual</w:t>
      </w:r>
      <w:r w:rsidR="005853A9">
        <w:rPr>
          <w:kern w:val="0"/>
        </w:rPr>
        <w:t xml:space="preserve"> and </w:t>
      </w:r>
      <w:r>
        <w:rPr>
          <w:kern w:val="0"/>
        </w:rPr>
        <w:t>electronic searches in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w:t>
      </w:r>
      <w:r w:rsidR="00A37C1D">
        <w:rPr>
          <w:kern w:val="0"/>
        </w:rPr>
        <w:t>. The</w:t>
      </w:r>
      <w:r>
        <w:rPr>
          <w:kern w:val="0"/>
        </w:rPr>
        <w:t xml:space="preserve"> last search was May 2009. Selection criteria Randomised trials comparing at least 12 weeks</w:t>
      </w:r>
      <w:r w:rsidR="00427468">
        <w:rPr>
          <w:kern w:val="0"/>
        </w:rPr>
        <w:t xml:space="preserve"> of </w:t>
      </w:r>
      <w:r>
        <w:rPr>
          <w:kern w:val="0"/>
        </w:rPr>
        <w:t>any anti-HCV treatment versus another treatment regimen or no treatment. Included patients had chronic hepatitis C</w:t>
      </w:r>
      <w:r w:rsidR="005853A9">
        <w:rPr>
          <w:kern w:val="0"/>
        </w:rPr>
        <w:t xml:space="preserve"> and </w:t>
      </w:r>
      <w:r>
        <w:rPr>
          <w:kern w:val="0"/>
        </w:rPr>
        <w:t>stable HIV irrespective</w:t>
      </w:r>
      <w:r w:rsidR="00427468">
        <w:rPr>
          <w:kern w:val="0"/>
        </w:rPr>
        <w:t xml:space="preserve"> of </w:t>
      </w:r>
      <w:r>
        <w:rPr>
          <w:kern w:val="0"/>
        </w:rPr>
        <w:t>previous antiviral therapy. Data collection</w:t>
      </w:r>
      <w:r w:rsidR="005853A9">
        <w:rPr>
          <w:kern w:val="0"/>
        </w:rPr>
        <w:t xml:space="preserve"> and </w:t>
      </w:r>
      <w:r>
        <w:rPr>
          <w:kern w:val="0"/>
        </w:rPr>
        <w:t>analysis Data extraction</w:t>
      </w:r>
      <w:r w:rsidR="005853A9">
        <w:rPr>
          <w:kern w:val="0"/>
        </w:rPr>
        <w:t xml:space="preserve"> and </w:t>
      </w:r>
      <w:r>
        <w:rPr>
          <w:kern w:val="0"/>
        </w:rPr>
        <w:t>assessment</w:t>
      </w:r>
      <w:r w:rsidR="00427468">
        <w:rPr>
          <w:kern w:val="0"/>
        </w:rPr>
        <w:t xml:space="preserve"> of </w:t>
      </w:r>
      <w:r>
        <w:rPr>
          <w:kern w:val="0"/>
        </w:rPr>
        <w:t>risk</w:t>
      </w:r>
      <w:r w:rsidR="00427468">
        <w:rPr>
          <w:kern w:val="0"/>
        </w:rPr>
        <w:t xml:space="preserve"> of </w:t>
      </w:r>
      <w:r>
        <w:rPr>
          <w:kern w:val="0"/>
        </w:rPr>
        <w:t>bias were done in duplicate. Analysis was by intention-to-treat. Main results Fourteen trials were included. None</w:t>
      </w:r>
      <w:r w:rsidR="00427468">
        <w:rPr>
          <w:kern w:val="0"/>
        </w:rPr>
        <w:t xml:space="preserve"> of </w:t>
      </w:r>
      <w:r>
        <w:rPr>
          <w:kern w:val="0"/>
        </w:rPr>
        <w:t xml:space="preserve">the included 2269 patients were previously </w:t>
      </w:r>
      <w:r>
        <w:rPr>
          <w:kern w:val="0"/>
        </w:rPr>
        <w:lastRenderedPageBreak/>
        <w:t>treated for chronic hepatitis C. Peginterferon (either 2a, 180 microgram, or 2b, 1.5 microgram/kg, once weekly) plus ribavirin was more effective in achieving end</w:t>
      </w:r>
      <w:r w:rsidR="00427468">
        <w:rPr>
          <w:kern w:val="0"/>
        </w:rPr>
        <w:t xml:space="preserve"> of </w:t>
      </w:r>
      <w:r>
        <w:rPr>
          <w:kern w:val="0"/>
        </w:rPr>
        <w:t>treatment</w:t>
      </w:r>
      <w:r w:rsidR="005853A9">
        <w:rPr>
          <w:kern w:val="0"/>
        </w:rPr>
        <w:t xml:space="preserve"> and </w:t>
      </w:r>
      <w:r>
        <w:rPr>
          <w:kern w:val="0"/>
        </w:rPr>
        <w:t>sustained virological response compared with interferon plus ribavirin (5 trials, 1340 patients) or peginterferon (2 trials, 714 patients)</w:t>
      </w:r>
      <w:r w:rsidR="00A37C1D">
        <w:rPr>
          <w:kern w:val="0"/>
        </w:rPr>
        <w:t>. The</w:t>
      </w:r>
      <w:r>
        <w:rPr>
          <w:kern w:val="0"/>
        </w:rPr>
        <w:t xml:space="preserve"> benefit</w:t>
      </w:r>
      <w:r w:rsidR="00427468">
        <w:rPr>
          <w:kern w:val="0"/>
        </w:rPr>
        <w:t xml:space="preserve"> of </w:t>
      </w:r>
      <w:r>
        <w:rPr>
          <w:kern w:val="0"/>
        </w:rPr>
        <w:t>peginterferon plus ribavirin was seen irrespective</w:t>
      </w:r>
      <w:r w:rsidR="00427468">
        <w:rPr>
          <w:kern w:val="0"/>
        </w:rPr>
        <w:t xml:space="preserve"> of </w:t>
      </w:r>
      <w:r>
        <w:rPr>
          <w:kern w:val="0"/>
        </w:rPr>
        <w:t>HCV genotype although patients with genotype 1 or 4 had lower response rates (27%) than patients with genotype 2 or 3 (56%)</w:t>
      </w:r>
      <w:r w:rsidR="00A37C1D">
        <w:rPr>
          <w:kern w:val="0"/>
        </w:rPr>
        <w:t>. The</w:t>
      </w:r>
      <w:r>
        <w:rPr>
          <w:kern w:val="0"/>
        </w:rPr>
        <w:t xml:space="preserve"> remaining trials compared different treatment regimens in patients who were treatment naive or had no virological response after three months</w:t>
      </w:r>
      <w:r w:rsidR="00427468">
        <w:rPr>
          <w:kern w:val="0"/>
        </w:rPr>
        <w:t xml:space="preserve"> of </w:t>
      </w:r>
      <w:r>
        <w:rPr>
          <w:kern w:val="0"/>
        </w:rPr>
        <w:t>treatment, but overall they had not enough power to show any effect</w:t>
      </w:r>
      <w:r w:rsidR="00427468">
        <w:rPr>
          <w:kern w:val="0"/>
        </w:rPr>
        <w:t xml:space="preserve"> of </w:t>
      </w:r>
      <w:r>
        <w:rPr>
          <w:kern w:val="0"/>
        </w:rPr>
        <w:t>increasing the dose</w:t>
      </w:r>
      <w:r w:rsidR="00427468">
        <w:rPr>
          <w:kern w:val="0"/>
        </w:rPr>
        <w:t xml:space="preserve"> of </w:t>
      </w:r>
      <w:r>
        <w:rPr>
          <w:kern w:val="0"/>
        </w:rPr>
        <w:t>interferon or adding both amantadine or ribavirin</w:t>
      </w:r>
      <w:r w:rsidR="00A37C1D">
        <w:rPr>
          <w:kern w:val="0"/>
        </w:rPr>
        <w:t>. The</w:t>
      </w:r>
      <w:r>
        <w:rPr>
          <w:kern w:val="0"/>
        </w:rPr>
        <w:t xml:space="preserve"> overall mortality was 23/2111 patients with no significant differences between treatment regimens. Treatment increased the risk</w:t>
      </w:r>
      <w:r w:rsidR="00427468">
        <w:rPr>
          <w:kern w:val="0"/>
        </w:rPr>
        <w:t xml:space="preserve"> of </w:t>
      </w:r>
      <w:r>
        <w:rPr>
          <w:kern w:val="0"/>
        </w:rPr>
        <w:t>adverse events including anaemia</w:t>
      </w:r>
      <w:r w:rsidR="005853A9">
        <w:rPr>
          <w:kern w:val="0"/>
        </w:rPr>
        <w:t xml:space="preserve"> and </w:t>
      </w:r>
      <w:r>
        <w:rPr>
          <w:kern w:val="0"/>
        </w:rPr>
        <w:t>flu-like symptoms,</w:t>
      </w:r>
      <w:r w:rsidR="005853A9">
        <w:rPr>
          <w:kern w:val="0"/>
        </w:rPr>
        <w:t xml:space="preserve"> and </w:t>
      </w:r>
      <w:r>
        <w:rPr>
          <w:kern w:val="0"/>
        </w:rPr>
        <w:t>several serious adverse events occurred including fatal lactic acidosis, liver failure,</w:t>
      </w:r>
      <w:r w:rsidR="005853A9">
        <w:rPr>
          <w:kern w:val="0"/>
        </w:rPr>
        <w:t xml:space="preserve"> and </w:t>
      </w:r>
      <w:r>
        <w:rPr>
          <w:kern w:val="0"/>
        </w:rPr>
        <w:t>suicide due to depression. Authors</w:t>
      </w:r>
      <w:r w:rsidR="0071223E">
        <w:rPr>
          <w:kern w:val="0"/>
        </w:rPr>
        <w:t>’</w:t>
      </w:r>
      <w:r>
        <w:rPr>
          <w:kern w:val="0"/>
        </w:rPr>
        <w:t xml:space="preserve"> conclusions Peginterferon plus ribavirin may be considered a treatment for patients with chronic hepatitis C</w:t>
      </w:r>
      <w:r w:rsidR="005853A9">
        <w:rPr>
          <w:kern w:val="0"/>
        </w:rPr>
        <w:t xml:space="preserve"> and </w:t>
      </w:r>
      <w:r>
        <w:rPr>
          <w:kern w:val="0"/>
        </w:rPr>
        <w:t>stable HIV who have not received treatment for hepatitis C as the intervention may clear the blood</w:t>
      </w:r>
      <w:r w:rsidR="00427468">
        <w:rPr>
          <w:kern w:val="0"/>
        </w:rPr>
        <w:t xml:space="preserve"> of </w:t>
      </w:r>
      <w:r>
        <w:rPr>
          <w:kern w:val="0"/>
        </w:rPr>
        <w:t>HCV RNA. Supporting evidence comes mainly from the analysis</w:t>
      </w:r>
      <w:r w:rsidR="00427468">
        <w:rPr>
          <w:kern w:val="0"/>
        </w:rPr>
        <w:t xml:space="preserve"> of </w:t>
      </w:r>
      <w:r>
        <w:rPr>
          <w:kern w:val="0"/>
        </w:rPr>
        <w:t>this non-validated surrogate outcome assessed in comparisons against other antiviral treatments</w:t>
      </w:r>
      <w:r w:rsidR="00A37C1D">
        <w:rPr>
          <w:kern w:val="0"/>
        </w:rPr>
        <w:t>. The</w:t>
      </w:r>
      <w:r>
        <w:rPr>
          <w:kern w:val="0"/>
        </w:rPr>
        <w:t>re is no evidence on treatment</w:t>
      </w:r>
      <w:r w:rsidR="00427468">
        <w:rPr>
          <w:kern w:val="0"/>
        </w:rPr>
        <w:t xml:space="preserve"> of </w:t>
      </w:r>
      <w:r>
        <w:rPr>
          <w:kern w:val="0"/>
        </w:rPr>
        <w:t>patients who have relapsed or did not respond to previous therapy. Careful monitoring</w:t>
      </w:r>
      <w:r w:rsidR="00427468">
        <w:rPr>
          <w:kern w:val="0"/>
        </w:rPr>
        <w:t xml:space="preserve"> of </w:t>
      </w:r>
      <w:r>
        <w:rPr>
          <w:kern w:val="0"/>
        </w:rPr>
        <w:t>adverse events is warranted.</w:t>
      </w:r>
    </w:p>
    <w:p w:rsidR="00365DE4" w:rsidRDefault="00365DE4" w:rsidP="00365DE4">
      <w:pPr>
        <w:pStyle w:val="a3"/>
        <w:rPr>
          <w:kern w:val="0"/>
        </w:rPr>
      </w:pPr>
      <w:r>
        <w:rPr>
          <w:kern w:val="0"/>
        </w:rPr>
        <w:t xml:space="preserve">Keywords: Antiretroviral Therapy, Assessment, Authors, Citation, Disease Progression, Early Virological Response, HIV-Infected Patients, Hiv, Hcv-Coinfected Patients, Interferon Plus Ribavirin, </w:t>
      </w:r>
      <w:r w:rsidR="00D5664A">
        <w:rPr>
          <w:kern w:val="0"/>
        </w:rPr>
        <w:t>MEDLINE</w:t>
      </w:r>
      <w:r>
        <w:rPr>
          <w:kern w:val="0"/>
        </w:rPr>
        <w:t>, Natural-History, Pegylated Interferon-Alpha-2b, Randomized Controlled-Trial, Risk, Risk-Factors, Science, Science Citation Index, Treatment</w:t>
      </w:r>
    </w:p>
    <w:p w:rsidR="00365DE4" w:rsidRDefault="00365DE4" w:rsidP="00365DE4">
      <w:pPr>
        <w:pStyle w:val="a3"/>
        <w:rPr>
          <w:kern w:val="0"/>
        </w:rPr>
      </w:pPr>
      <w:r>
        <w:rPr>
          <w:kern w:val="0"/>
        </w:rPr>
        <w:t>? Jordan, J.L., Holden, M.A., Mason, E.E.J.</w:t>
      </w:r>
      <w:r w:rsidR="005853A9">
        <w:rPr>
          <w:kern w:val="0"/>
        </w:rPr>
        <w:t xml:space="preserve"> and </w:t>
      </w:r>
      <w:r>
        <w:rPr>
          <w:kern w:val="0"/>
        </w:rPr>
        <w:t xml:space="preserve">Foster, N.E. (2010), Interventions to improve adherence to exercise for chronic musculoskeletal pain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CD005956.</w:t>
      </w:r>
    </w:p>
    <w:p w:rsidR="00365DE4" w:rsidRDefault="00365DE4" w:rsidP="00365DE4">
      <w:pPr>
        <w:pStyle w:val="a3"/>
        <w:rPr>
          <w:kern w:val="2"/>
        </w:rPr>
      </w:pPr>
      <w:r>
        <w:t xml:space="preserve">Full Text: </w:t>
      </w:r>
      <w:hyperlink r:id="rId565" w:history="1">
        <w:r>
          <w:rPr>
            <w:rStyle w:val="a5"/>
          </w:rPr>
          <w:t>2010\Coc Dat Sys Rev2010, CD005956.pdf</w:t>
        </w:r>
      </w:hyperlink>
    </w:p>
    <w:p w:rsidR="00365DE4" w:rsidRDefault="00365DE4" w:rsidP="00365DE4">
      <w:pPr>
        <w:pStyle w:val="a3"/>
        <w:rPr>
          <w:kern w:val="0"/>
        </w:rPr>
      </w:pPr>
      <w:r>
        <w:rPr>
          <w:kern w:val="0"/>
        </w:rPr>
        <w:t>Abstract: Background Chronic musculoskeletal pain (CMP) is a major health problem, accounting for approximately one-quarter</w:t>
      </w:r>
      <w:r w:rsidR="00427468">
        <w:rPr>
          <w:kern w:val="0"/>
        </w:rPr>
        <w:t xml:space="preserve"> of </w:t>
      </w:r>
      <w:r>
        <w:rPr>
          <w:kern w:val="0"/>
        </w:rPr>
        <w:t>general practice (GP) consultations in the United Kingdom (UK). Exercise</w:t>
      </w:r>
      <w:r w:rsidR="005853A9">
        <w:rPr>
          <w:kern w:val="0"/>
        </w:rPr>
        <w:t xml:space="preserve"> and </w:t>
      </w:r>
      <w:r>
        <w:rPr>
          <w:kern w:val="0"/>
        </w:rPr>
        <w:t>physical activity is beneficial for the most common types</w:t>
      </w:r>
      <w:r w:rsidR="00427468">
        <w:rPr>
          <w:kern w:val="0"/>
        </w:rPr>
        <w:t xml:space="preserve"> of </w:t>
      </w:r>
      <w:r>
        <w:rPr>
          <w:kern w:val="0"/>
        </w:rPr>
        <w:t>CMP, such as back</w:t>
      </w:r>
      <w:r w:rsidR="005853A9">
        <w:rPr>
          <w:kern w:val="0"/>
        </w:rPr>
        <w:t xml:space="preserve"> and </w:t>
      </w:r>
      <w:r>
        <w:rPr>
          <w:kern w:val="0"/>
        </w:rPr>
        <w:t>knee pain. However, poor adherence to exercise</w:t>
      </w:r>
      <w:r w:rsidR="005853A9">
        <w:rPr>
          <w:kern w:val="0"/>
        </w:rPr>
        <w:t xml:space="preserve"> and </w:t>
      </w:r>
      <w:r>
        <w:rPr>
          <w:kern w:val="0"/>
        </w:rPr>
        <w:t>physical activity may limit long-term effectiveness. Objectives To assess the effects</w:t>
      </w:r>
      <w:r w:rsidR="00427468">
        <w:rPr>
          <w:kern w:val="0"/>
        </w:rPr>
        <w:t xml:space="preserve"> of </w:t>
      </w:r>
      <w:r>
        <w:rPr>
          <w:kern w:val="0"/>
        </w:rPr>
        <w:t>interventions to improve adherence to exercise</w:t>
      </w:r>
      <w:r w:rsidR="005853A9">
        <w:rPr>
          <w:kern w:val="0"/>
        </w:rPr>
        <w:t xml:space="preserve"> and </w:t>
      </w:r>
      <w:r>
        <w:rPr>
          <w:kern w:val="0"/>
        </w:rPr>
        <w:t>physical activity for people with chronic musculoskeletal pain. Search strategy We searched the trials registers</w:t>
      </w:r>
      <w:r w:rsidR="00427468">
        <w:rPr>
          <w:kern w:val="0"/>
        </w:rPr>
        <w:t xml:space="preserve"> of </w:t>
      </w:r>
      <w:r>
        <w:rPr>
          <w:kern w:val="0"/>
        </w:rPr>
        <w:t>relevant Cochrane Review Groups. In addition, we searched the Cochrane Central Register</w:t>
      </w:r>
      <w:r w:rsidR="00427468">
        <w:rPr>
          <w:kern w:val="0"/>
        </w:rPr>
        <w:t xml:space="preserve"> of </w:t>
      </w:r>
      <w:r>
        <w:rPr>
          <w:kern w:val="0"/>
        </w:rPr>
        <w:t xml:space="preserve">Controlled Trials, </w:t>
      </w:r>
      <w:r w:rsidR="00D5664A">
        <w:rPr>
          <w:kern w:val="0"/>
        </w:rPr>
        <w:t>MEDLINE</w:t>
      </w:r>
      <w:r>
        <w:rPr>
          <w:kern w:val="0"/>
        </w:rPr>
        <w:t>, EMBASE, CINAHL, AMED, PsycINFO, Science Citation Index</w:t>
      </w:r>
      <w:r w:rsidR="005853A9">
        <w:rPr>
          <w:kern w:val="0"/>
        </w:rPr>
        <w:t xml:space="preserve"> and </w:t>
      </w:r>
      <w:r>
        <w:rPr>
          <w:kern w:val="0"/>
        </w:rPr>
        <w:t>Social Science Citation Index</w:t>
      </w:r>
      <w:r w:rsidR="005853A9">
        <w:rPr>
          <w:kern w:val="0"/>
        </w:rPr>
        <w:t xml:space="preserve"> and </w:t>
      </w:r>
      <w:r>
        <w:rPr>
          <w:kern w:val="0"/>
        </w:rPr>
        <w:lastRenderedPageBreak/>
        <w:t>reference lists</w:t>
      </w:r>
      <w:r w:rsidR="00427468">
        <w:rPr>
          <w:kern w:val="0"/>
        </w:rPr>
        <w:t xml:space="preserve"> of </w:t>
      </w:r>
      <w:r>
        <w:rPr>
          <w:kern w:val="0"/>
        </w:rPr>
        <w:t>articles to October 2007. We consulted experts for unpublished trials. Selection criteria Randomised or quasi-randomised trials evaluating interventions that aimed to improve adherence to exercise</w:t>
      </w:r>
      <w:r w:rsidR="005853A9">
        <w:rPr>
          <w:kern w:val="0"/>
        </w:rPr>
        <w:t xml:space="preserve"> and </w:t>
      </w:r>
      <w:r>
        <w:rPr>
          <w:kern w:val="0"/>
        </w:rPr>
        <w:t>physical activity in adults with pain for three months</w:t>
      </w:r>
      <w:r w:rsidR="005853A9">
        <w:rPr>
          <w:kern w:val="0"/>
        </w:rPr>
        <w:t xml:space="preserve"> and </w:t>
      </w:r>
      <w:r>
        <w:rPr>
          <w:kern w:val="0"/>
        </w:rPr>
        <w:t>over in the axial skeleton or large peripheral joints. Data collection</w:t>
      </w:r>
      <w:r w:rsidR="005853A9">
        <w:rPr>
          <w:kern w:val="0"/>
        </w:rPr>
        <w:t xml:space="preserve"> and </w:t>
      </w:r>
      <w:r>
        <w:rPr>
          <w:kern w:val="0"/>
        </w:rPr>
        <w:t>analysis Two</w:t>
      </w:r>
      <w:r w:rsidR="00427468">
        <w:rPr>
          <w:kern w:val="0"/>
        </w:rPr>
        <w:t xml:space="preserve"> of </w:t>
      </w:r>
      <w:r>
        <w:rPr>
          <w:kern w:val="0"/>
        </w:rPr>
        <w:t>the four authors independently assessed the quality</w:t>
      </w:r>
      <w:r w:rsidR="00427468">
        <w:rPr>
          <w:kern w:val="0"/>
        </w:rPr>
        <w:t xml:space="preserve"> of </w:t>
      </w:r>
      <w:r>
        <w:rPr>
          <w:kern w:val="0"/>
        </w:rPr>
        <w:t>each included trial</w:t>
      </w:r>
      <w:r w:rsidR="005853A9">
        <w:rPr>
          <w:kern w:val="0"/>
        </w:rPr>
        <w:t xml:space="preserve"> and </w:t>
      </w:r>
      <w:r>
        <w:rPr>
          <w:kern w:val="0"/>
        </w:rPr>
        <w:t>extracted data. We contacted study authors for missing information. Main results We included 42 trials with 8243 participants, mainly with osteoarthritis</w:t>
      </w:r>
      <w:r w:rsidR="005853A9">
        <w:rPr>
          <w:kern w:val="0"/>
        </w:rPr>
        <w:t xml:space="preserve"> and </w:t>
      </w:r>
      <w:r>
        <w:rPr>
          <w:kern w:val="0"/>
        </w:rPr>
        <w:t>spinal pain. Methods used for improving</w:t>
      </w:r>
      <w:r w:rsidR="005853A9">
        <w:rPr>
          <w:kern w:val="0"/>
        </w:rPr>
        <w:t xml:space="preserve"> and </w:t>
      </w:r>
      <w:r>
        <w:rPr>
          <w:kern w:val="0"/>
        </w:rPr>
        <w:t>measuring adherence in the included trials were inconsistent. Two</w:t>
      </w:r>
      <w:r w:rsidR="00427468">
        <w:rPr>
          <w:kern w:val="0"/>
        </w:rPr>
        <w:t xml:space="preserve"> of </w:t>
      </w:r>
      <w:r>
        <w:rPr>
          <w:kern w:val="0"/>
        </w:rPr>
        <w:t>the 17 trials that compared different types</w:t>
      </w:r>
      <w:r w:rsidR="00427468">
        <w:rPr>
          <w:kern w:val="0"/>
        </w:rPr>
        <w:t xml:space="preserve"> of </w:t>
      </w:r>
      <w:r>
        <w:rPr>
          <w:kern w:val="0"/>
        </w:rPr>
        <w:t>exercise showed positive effects, suggesting that the type</w:t>
      </w:r>
      <w:r w:rsidR="00427468">
        <w:rPr>
          <w:kern w:val="0"/>
        </w:rPr>
        <w:t xml:space="preserve"> of </w:t>
      </w:r>
      <w:r>
        <w:rPr>
          <w:kern w:val="0"/>
        </w:rPr>
        <w:t>exercise is not an important factor in improving exercise adherence. Six trials studied different methods</w:t>
      </w:r>
      <w:r w:rsidR="00427468">
        <w:rPr>
          <w:kern w:val="0"/>
        </w:rPr>
        <w:t xml:space="preserve"> of </w:t>
      </w:r>
      <w:r>
        <w:rPr>
          <w:kern w:val="0"/>
        </w:rPr>
        <w:t>delivering exercise, such as supervising exercise sessions, refresher sessions</w:t>
      </w:r>
      <w:r w:rsidR="005853A9">
        <w:rPr>
          <w:kern w:val="0"/>
        </w:rPr>
        <w:t xml:space="preserve"> and </w:t>
      </w:r>
      <w:r>
        <w:rPr>
          <w:kern w:val="0"/>
        </w:rPr>
        <w:t>audio or videotapes</w:t>
      </w:r>
      <w:r w:rsidR="00427468">
        <w:rPr>
          <w:kern w:val="0"/>
        </w:rPr>
        <w:t xml:space="preserve"> of </w:t>
      </w:r>
      <w:r>
        <w:rPr>
          <w:kern w:val="0"/>
        </w:rPr>
        <w:t>the exercises to take home.</w:t>
      </w:r>
      <w:r w:rsidR="00427468">
        <w:rPr>
          <w:kern w:val="0"/>
        </w:rPr>
        <w:t xml:space="preserve"> of </w:t>
      </w:r>
      <w:r>
        <w:rPr>
          <w:kern w:val="0"/>
        </w:rPr>
        <w:t>these, five trials found interventions improved exercise adherence. Four trials evaluated specific interventions targeting exercise adherence; three</w:t>
      </w:r>
      <w:r w:rsidR="00427468">
        <w:rPr>
          <w:kern w:val="0"/>
        </w:rPr>
        <w:t xml:space="preserve"> of </w:t>
      </w:r>
      <w:r>
        <w:rPr>
          <w:kern w:val="0"/>
        </w:rPr>
        <w:t>these showed a positive effect on exercise adherence. In eight trials studying self-management programmes, six improved adherence measures. One trial found graded activity was more effective than usual care for improving exercise adherence. Cognitive behavioural therapy was effective in a trial in people with whiplash-associated disorder, but not in trials</w:t>
      </w:r>
      <w:r w:rsidR="00427468">
        <w:rPr>
          <w:kern w:val="0"/>
        </w:rPr>
        <w:t xml:space="preserve"> of </w:t>
      </w:r>
      <w:r>
        <w:rPr>
          <w:kern w:val="0"/>
        </w:rPr>
        <w:t>people with other CMP. In the trials that showed a positive effect on adherence, association between clinical outcomes</w:t>
      </w:r>
      <w:r w:rsidR="005853A9">
        <w:rPr>
          <w:kern w:val="0"/>
        </w:rPr>
        <w:t xml:space="preserve"> and </w:t>
      </w:r>
      <w:r>
        <w:rPr>
          <w:kern w:val="0"/>
        </w:rPr>
        <w:t>exercise adherence was conflicting. Authors</w:t>
      </w:r>
      <w:r w:rsidR="0071223E">
        <w:rPr>
          <w:kern w:val="0"/>
        </w:rPr>
        <w:t>’</w:t>
      </w:r>
      <w:r>
        <w:rPr>
          <w:kern w:val="0"/>
        </w:rPr>
        <w:t xml:space="preserve"> conclusions Interventions such as supervised or individualised exercise therapy</w:t>
      </w:r>
      <w:r w:rsidR="005853A9">
        <w:rPr>
          <w:kern w:val="0"/>
        </w:rPr>
        <w:t xml:space="preserve"> and </w:t>
      </w:r>
      <w:r>
        <w:rPr>
          <w:kern w:val="0"/>
        </w:rPr>
        <w:t>self-management techniques may enhance exercise adherence. However, high-quality, randomised trials with long-term follow up that explicitly address adherence to exercises</w:t>
      </w:r>
      <w:r w:rsidR="005853A9">
        <w:rPr>
          <w:kern w:val="0"/>
        </w:rPr>
        <w:t xml:space="preserve"> and </w:t>
      </w:r>
      <w:r>
        <w:rPr>
          <w:kern w:val="0"/>
        </w:rPr>
        <w:t>physical activity are needed. A standard validated measure</w:t>
      </w:r>
      <w:r w:rsidR="00427468">
        <w:rPr>
          <w:kern w:val="0"/>
        </w:rPr>
        <w:t xml:space="preserve"> of </w:t>
      </w:r>
      <w:r>
        <w:rPr>
          <w:kern w:val="0"/>
        </w:rPr>
        <w:t>exercise adherence should be used consistently in future studies.</w:t>
      </w:r>
    </w:p>
    <w:p w:rsidR="00365DE4" w:rsidRDefault="00365DE4" w:rsidP="00365DE4">
      <w:pPr>
        <w:pStyle w:val="a3"/>
        <w:rPr>
          <w:kern w:val="0"/>
        </w:rPr>
      </w:pPr>
      <w:r>
        <w:rPr>
          <w:kern w:val="0"/>
        </w:rPr>
        <w:t xml:space="preserve">Keywords: Articles, Authors, Chronic Neck Pain, Chronic Spinal Pain, Citation, Clinical-Practice Guidelines, Cognitive-Behavioral Treatment, Disorder, Exercises, Health, Low-Back-Pain, </w:t>
      </w:r>
      <w:r w:rsidR="00D5664A">
        <w:rPr>
          <w:kern w:val="0"/>
        </w:rPr>
        <w:t>MEDLINE</w:t>
      </w:r>
      <w:r>
        <w:rPr>
          <w:kern w:val="0"/>
        </w:rPr>
        <w:t>, Physical-Activity Intervention, Positive, Randomized Controlled-Trial, Review, Science, Science Citation Index, Self-Management Program, Social Science Citation Index, Techniques</w:t>
      </w:r>
      <w:r w:rsidR="00D5664A">
        <w:rPr>
          <w:kern w:val="0"/>
        </w:rPr>
        <w:t>, UK,</w:t>
      </w:r>
      <w:r>
        <w:rPr>
          <w:kern w:val="0"/>
        </w:rPr>
        <w:t xml:space="preserve"> United Kingdom, Upper-Limb Symptoms, Work Style Intervention</w:t>
      </w:r>
    </w:p>
    <w:p w:rsidR="00365DE4" w:rsidRDefault="00365DE4" w:rsidP="00365DE4">
      <w:pPr>
        <w:pStyle w:val="a3"/>
        <w:rPr>
          <w:kern w:val="0"/>
        </w:rPr>
      </w:pPr>
      <w:r>
        <w:rPr>
          <w:kern w:val="0"/>
        </w:rPr>
        <w:t>? Gur</w:t>
      </w:r>
      <w:r w:rsidR="00D5664A">
        <w:rPr>
          <w:kern w:val="0"/>
        </w:rPr>
        <w:t>USA</w:t>
      </w:r>
      <w:r>
        <w:rPr>
          <w:kern w:val="0"/>
        </w:rPr>
        <w:t>my, K.S., Ramamoorthy, R., Imber, C.</w:t>
      </w:r>
      <w:r w:rsidR="005853A9">
        <w:rPr>
          <w:kern w:val="0"/>
        </w:rPr>
        <w:t xml:space="preserve"> and </w:t>
      </w:r>
      <w:r>
        <w:rPr>
          <w:kern w:val="0"/>
        </w:rPr>
        <w:t xml:space="preserve">Davidson, B.R. (2010), Surgical resection versus non-surgical treatment for hepatic node positive patients with colorectal liver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CD006797.</w:t>
      </w:r>
    </w:p>
    <w:p w:rsidR="00365DE4" w:rsidRDefault="00365DE4" w:rsidP="00365DE4">
      <w:pPr>
        <w:pStyle w:val="a3"/>
        <w:rPr>
          <w:kern w:val="2"/>
        </w:rPr>
      </w:pPr>
      <w:r>
        <w:t xml:space="preserve">Full Text: </w:t>
      </w:r>
      <w:hyperlink r:id="rId566" w:history="1">
        <w:r>
          <w:rPr>
            <w:rStyle w:val="a5"/>
          </w:rPr>
          <w:t>2010\Coc Dat Sys Rev2010, CD006797.pdf</w:t>
        </w:r>
      </w:hyperlink>
    </w:p>
    <w:p w:rsidR="00365DE4" w:rsidRDefault="00365DE4" w:rsidP="00365DE4">
      <w:pPr>
        <w:pStyle w:val="a3"/>
        <w:rPr>
          <w:kern w:val="0"/>
        </w:rPr>
      </w:pPr>
      <w:r>
        <w:rPr>
          <w:kern w:val="0"/>
        </w:rPr>
        <w:t>Abstract: Background Involvement</w:t>
      </w:r>
      <w:r w:rsidR="00427468">
        <w:rPr>
          <w:kern w:val="0"/>
        </w:rPr>
        <w:t xml:space="preserve"> of </w:t>
      </w:r>
      <w:r>
        <w:rPr>
          <w:kern w:val="0"/>
        </w:rPr>
        <w:t xml:space="preserve">hepatic lymph node in patients with colorectal </w:t>
      </w:r>
      <w:r>
        <w:rPr>
          <w:kern w:val="0"/>
        </w:rPr>
        <w:lastRenderedPageBreak/>
        <w:t>liver metastases is associated with poor prognosis. Objectives To determine the benefits</w:t>
      </w:r>
      <w:r w:rsidR="005853A9">
        <w:rPr>
          <w:kern w:val="0"/>
        </w:rPr>
        <w:t xml:space="preserve"> and </w:t>
      </w:r>
      <w:r>
        <w:rPr>
          <w:kern w:val="0"/>
        </w:rPr>
        <w:t>harms</w:t>
      </w:r>
      <w:r w:rsidR="00427468">
        <w:rPr>
          <w:kern w:val="0"/>
        </w:rPr>
        <w:t xml:space="preserve"> of </w:t>
      </w:r>
      <w:r>
        <w:rPr>
          <w:kern w:val="0"/>
        </w:rPr>
        <w:t>curative liver resection with lymphadenectomy versus other treatments for colorectal liver metastases with hepatic node involvement.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LILACS until September 2009 for identifying the randomised trials. Selection criteria We considered only randomised clinical trials (irrespective</w:t>
      </w:r>
      <w:r w:rsidR="00427468">
        <w:rPr>
          <w:kern w:val="0"/>
        </w:rPr>
        <w:t xml:space="preserve"> of </w:t>
      </w:r>
      <w:r>
        <w:rPr>
          <w:kern w:val="0"/>
        </w:rPr>
        <w:t>language, blinding, or publication status) comparing liver resection (alone or in combination with radiofrequency ablation or cryoablation) versus other treatments (neo-adjuvant chemotherapy, chemotherapy, or radiofrequency ablation) in patients with colorectal liver metastases with hepatic node involvement. Data collection</w:t>
      </w:r>
      <w:r w:rsidR="005853A9">
        <w:rPr>
          <w:kern w:val="0"/>
        </w:rPr>
        <w:t xml:space="preserve"> and </w:t>
      </w:r>
      <w:r>
        <w:rPr>
          <w:kern w:val="0"/>
        </w:rPr>
        <w:t>analysis Two authors independently identified trials for inclusion. Main results We were unable to identify any randomised clinical trial fulfilling the inclusion criteria</w:t>
      </w:r>
      <w:r w:rsidR="00427468">
        <w:rPr>
          <w:kern w:val="0"/>
        </w:rPr>
        <w:t xml:space="preserve"> of </w:t>
      </w:r>
      <w:r>
        <w:rPr>
          <w:kern w:val="0"/>
        </w:rPr>
        <w:t>this review. We were also unable to identify any quasi-randomised or cohort studies, which could meaningfully answer this important issue. Authors</w:t>
      </w:r>
      <w:r w:rsidR="0071223E">
        <w:rPr>
          <w:kern w:val="0"/>
        </w:rPr>
        <w:t>’</w:t>
      </w:r>
      <w:r>
        <w:rPr>
          <w:kern w:val="0"/>
        </w:rPr>
        <w:t xml:space="preserve"> conclusions There is no evidence in the literature to assess the role</w:t>
      </w:r>
      <w:r w:rsidR="00427468">
        <w:rPr>
          <w:kern w:val="0"/>
        </w:rPr>
        <w:t xml:space="preserve"> of </w:t>
      </w:r>
      <w:r>
        <w:rPr>
          <w:kern w:val="0"/>
        </w:rPr>
        <w:t>surgery versus other treatments for patients with colorectal liver metastases with hepatic node involvement. High quality randomised clinical trials are feasible</w:t>
      </w:r>
      <w:r w:rsidR="005853A9">
        <w:rPr>
          <w:kern w:val="0"/>
        </w:rPr>
        <w:t xml:space="preserve"> and </w:t>
      </w:r>
      <w:r>
        <w:rPr>
          <w:kern w:val="0"/>
        </w:rPr>
        <w:t>are necessary to determine the optimal management</w:t>
      </w:r>
      <w:r w:rsidR="00427468">
        <w:rPr>
          <w:kern w:val="0"/>
        </w:rPr>
        <w:t xml:space="preserve"> of </w:t>
      </w:r>
      <w:r>
        <w:rPr>
          <w:kern w:val="0"/>
        </w:rPr>
        <w:t>patients with colorectal liver metastases with hepatic node involvement.</w:t>
      </w:r>
    </w:p>
    <w:p w:rsidR="00365DE4" w:rsidRDefault="00365DE4" w:rsidP="00365DE4">
      <w:pPr>
        <w:pStyle w:val="a3"/>
        <w:rPr>
          <w:kern w:val="0"/>
        </w:rPr>
      </w:pPr>
      <w:r>
        <w:rPr>
          <w:kern w:val="0"/>
        </w:rPr>
        <w:t xml:space="preserve">Keywords: Arterial Infusion, Authors, Citation, Clinical-Trials, Cohort, Controlled-Trials, Empirical-Evidence, Literature, </w:t>
      </w:r>
      <w:r w:rsidR="00D5664A">
        <w:rPr>
          <w:kern w:val="0"/>
        </w:rPr>
        <w:t>MEDLINE</w:t>
      </w:r>
      <w:r>
        <w:rPr>
          <w:kern w:val="0"/>
        </w:rPr>
        <w:t>, Natural-History, Positive, Preoperative Chemotherapy, Prognosis, Prognostic-Factors, Publication, Radiofrequency Ablation, Randomized-Trial, Review, Science, Science Citation Index, Squamous-Cell Carcinoma, Surgery, Treatment</w:t>
      </w:r>
    </w:p>
    <w:p w:rsidR="00365DE4" w:rsidRDefault="00365DE4" w:rsidP="00365DE4">
      <w:pPr>
        <w:pStyle w:val="a3"/>
        <w:rPr>
          <w:kern w:val="0"/>
        </w:rPr>
      </w:pPr>
      <w:r>
        <w:rPr>
          <w:kern w:val="0"/>
        </w:rPr>
        <w:t>? Gur</w:t>
      </w:r>
      <w:r w:rsidR="00D5664A">
        <w:rPr>
          <w:kern w:val="0"/>
        </w:rPr>
        <w:t>USA</w:t>
      </w:r>
      <w:r>
        <w:rPr>
          <w:kern w:val="0"/>
        </w:rPr>
        <w:t>my, K.S., Tsochatzis, E., Xirouchakis, E., Burroughs, A.K.</w:t>
      </w:r>
      <w:r w:rsidR="005853A9">
        <w:rPr>
          <w:kern w:val="0"/>
        </w:rPr>
        <w:t xml:space="preserve"> and </w:t>
      </w:r>
      <w:r>
        <w:rPr>
          <w:kern w:val="0"/>
        </w:rPr>
        <w:t xml:space="preserve">Davidson, B.R. (2010), Antiviral therapy for recurrent liver graft infection with hepatitis C virus.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CD006803.</w:t>
      </w:r>
    </w:p>
    <w:p w:rsidR="00365DE4" w:rsidRDefault="00365DE4" w:rsidP="00365DE4">
      <w:pPr>
        <w:pStyle w:val="a3"/>
        <w:rPr>
          <w:kern w:val="2"/>
        </w:rPr>
      </w:pPr>
      <w:r>
        <w:t xml:space="preserve">Full Text: </w:t>
      </w:r>
      <w:hyperlink r:id="rId567" w:history="1">
        <w:r>
          <w:rPr>
            <w:rStyle w:val="a5"/>
          </w:rPr>
          <w:t>2010\Coc Dat Sys Rev2010, CD006803.pdf</w:t>
        </w:r>
      </w:hyperlink>
    </w:p>
    <w:p w:rsidR="00365DE4" w:rsidRDefault="00365DE4" w:rsidP="00365DE4">
      <w:pPr>
        <w:pStyle w:val="a3"/>
        <w:rPr>
          <w:kern w:val="0"/>
        </w:rPr>
      </w:pPr>
      <w:r>
        <w:rPr>
          <w:kern w:val="0"/>
        </w:rPr>
        <w:t>Abstract: Background Antiviral therapy to treat recurrent hepatitis C infection after liver transplantation is controversial due to unresolved balance between benefits</w:t>
      </w:r>
      <w:r w:rsidR="005853A9">
        <w:rPr>
          <w:kern w:val="0"/>
        </w:rPr>
        <w:t xml:space="preserve"> and </w:t>
      </w:r>
      <w:r>
        <w:rPr>
          <w:kern w:val="0"/>
        </w:rPr>
        <w:t>harms. Objectives To compare the therapeutic benefits</w:t>
      </w:r>
      <w:r w:rsidR="005853A9">
        <w:rPr>
          <w:kern w:val="0"/>
        </w:rPr>
        <w:t xml:space="preserve"> and </w:t>
      </w:r>
      <w:r>
        <w:rPr>
          <w:kern w:val="0"/>
        </w:rPr>
        <w:t>harms</w:t>
      </w:r>
      <w:r w:rsidR="00427468">
        <w:rPr>
          <w:kern w:val="0"/>
        </w:rPr>
        <w:t xml:space="preserve"> of </w:t>
      </w:r>
      <w:r>
        <w:rPr>
          <w:kern w:val="0"/>
        </w:rPr>
        <w:t>different antiviral regimens in patients with hepatitis C re-infected grafts after liver transplantation.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March 2009. Selection criteria Only randomised clinical trials (irrespective</w:t>
      </w:r>
      <w:r w:rsidR="00427468">
        <w:rPr>
          <w:kern w:val="0"/>
        </w:rPr>
        <w:t xml:space="preserve"> of </w:t>
      </w:r>
      <w:r>
        <w:rPr>
          <w:kern w:val="0"/>
        </w:rPr>
        <w:t>language, blinding, or publication status) comparing various antiviral therapies (alone or in combination) in the treatment</w:t>
      </w:r>
      <w:r w:rsidR="00427468">
        <w:rPr>
          <w:kern w:val="0"/>
        </w:rPr>
        <w:t xml:space="preserve"> of </w:t>
      </w:r>
      <w:r>
        <w:rPr>
          <w:kern w:val="0"/>
        </w:rPr>
        <w:t xml:space="preserve">hepatitis C virus recurrence in </w:t>
      </w:r>
      <w:r>
        <w:rPr>
          <w:kern w:val="0"/>
        </w:rPr>
        <w:lastRenderedPageBreak/>
        <w:t>liver transplantation were considered for the review. Data collection</w:t>
      </w:r>
      <w:r w:rsidR="005853A9">
        <w:rPr>
          <w:kern w:val="0"/>
        </w:rPr>
        <w:t xml:space="preserve"> and </w:t>
      </w:r>
      <w:r>
        <w:rPr>
          <w:kern w:val="0"/>
        </w:rPr>
        <w:t>analysis Two authors collected the data independently. We calculated the risk ratio (RR) or mean difference (MD) with 95% confidence intervals (CI) using the fixed-effect</w:t>
      </w:r>
      <w:r w:rsidR="005853A9">
        <w:rPr>
          <w:kern w:val="0"/>
        </w:rPr>
        <w:t xml:space="preserve"> and </w:t>
      </w:r>
      <w:r>
        <w:rPr>
          <w:kern w:val="0"/>
        </w:rPr>
        <w:t>the random-effects models based on available case-analysis. In the presence</w:t>
      </w:r>
      <w:r w:rsidR="00427468">
        <w:rPr>
          <w:kern w:val="0"/>
        </w:rPr>
        <w:t xml:space="preserve"> of </w:t>
      </w:r>
      <w:r>
        <w:rPr>
          <w:kern w:val="0"/>
        </w:rPr>
        <w:t>only trial for a dichotomous outcome, we performed the Fisher</w:t>
      </w:r>
      <w:r w:rsidR="0071223E">
        <w:rPr>
          <w:kern w:val="0"/>
        </w:rPr>
        <w:t>’</w:t>
      </w:r>
      <w:r>
        <w:rPr>
          <w:kern w:val="0"/>
        </w:rPr>
        <w:t>s exact test. Main results A total</w:t>
      </w:r>
      <w:r w:rsidR="00427468">
        <w:rPr>
          <w:kern w:val="0"/>
        </w:rPr>
        <w:t xml:space="preserve"> of </w:t>
      </w:r>
      <w:r>
        <w:rPr>
          <w:kern w:val="0"/>
        </w:rPr>
        <w:t>425 liver transplant recipients with proven hepatitis C recurrence were randomised in twelve trials to various interventions</w:t>
      </w:r>
      <w:r w:rsidR="005853A9">
        <w:rPr>
          <w:kern w:val="0"/>
        </w:rPr>
        <w:t xml:space="preserve"> and </w:t>
      </w:r>
      <w:r>
        <w:rPr>
          <w:kern w:val="0"/>
        </w:rPr>
        <w:t>controls</w:t>
      </w:r>
      <w:r w:rsidR="00A37C1D">
        <w:rPr>
          <w:kern w:val="0"/>
        </w:rPr>
        <w:t>. The</w:t>
      </w:r>
      <w:r>
        <w:rPr>
          <w:kern w:val="0"/>
        </w:rPr>
        <w:t xml:space="preserve"> mean proportion</w:t>
      </w:r>
      <w:r w:rsidR="00427468">
        <w:rPr>
          <w:kern w:val="0"/>
        </w:rPr>
        <w:t xml:space="preserve"> of </w:t>
      </w:r>
      <w:r>
        <w:rPr>
          <w:kern w:val="0"/>
        </w:rPr>
        <w:t>genotype I was 79.9% in the nine trials that reported the genotype. All the trials were</w:t>
      </w:r>
      <w:r w:rsidR="00427468">
        <w:rPr>
          <w:kern w:val="0"/>
        </w:rPr>
        <w:t xml:space="preserve"> of </w:t>
      </w:r>
      <w:r>
        <w:rPr>
          <w:kern w:val="0"/>
        </w:rPr>
        <w:t>high risk</w:t>
      </w:r>
      <w:r w:rsidR="00427468">
        <w:rPr>
          <w:kern w:val="0"/>
        </w:rPr>
        <w:t xml:space="preserve"> of </w:t>
      </w:r>
      <w:r>
        <w:rPr>
          <w:kern w:val="0"/>
        </w:rPr>
        <w:t>bias. One to two trials were included under each comparison including single drug or multidrug regimens</w:t>
      </w:r>
      <w:r w:rsidR="00427468">
        <w:rPr>
          <w:kern w:val="0"/>
        </w:rPr>
        <w:t xml:space="preserve"> of </w:t>
      </w:r>
      <w:r>
        <w:rPr>
          <w:kern w:val="0"/>
        </w:rPr>
        <w:t>interferon, ribavirin,</w:t>
      </w:r>
      <w:r w:rsidR="005853A9">
        <w:rPr>
          <w:kern w:val="0"/>
        </w:rPr>
        <w:t xml:space="preserve"> and </w:t>
      </w:r>
      <w:r>
        <w:rPr>
          <w:kern w:val="0"/>
        </w:rPr>
        <w:t>amantadine</w:t>
      </w:r>
      <w:r w:rsidR="00A37C1D">
        <w:rPr>
          <w:kern w:val="0"/>
        </w:rPr>
        <w:t>. The</w:t>
      </w:r>
      <w:r>
        <w:rPr>
          <w:kern w:val="0"/>
        </w:rPr>
        <w:t>re was no significant difference in the mortality, graft rejection, or in re-transplantation between intervention</w:t>
      </w:r>
      <w:r w:rsidR="005853A9">
        <w:rPr>
          <w:kern w:val="0"/>
        </w:rPr>
        <w:t xml:space="preserve"> and </w:t>
      </w:r>
      <w:r>
        <w:rPr>
          <w:kern w:val="0"/>
        </w:rPr>
        <w:t>control in any</w:t>
      </w:r>
      <w:r w:rsidR="00427468">
        <w:rPr>
          <w:kern w:val="0"/>
        </w:rPr>
        <w:t xml:space="preserve"> of </w:t>
      </w:r>
      <w:r>
        <w:rPr>
          <w:kern w:val="0"/>
        </w:rPr>
        <w:t>the comparisons that reported these outcomes. None</w:t>
      </w:r>
      <w:r w:rsidR="00427468">
        <w:rPr>
          <w:kern w:val="0"/>
        </w:rPr>
        <w:t xml:space="preserve"> of </w:t>
      </w:r>
      <w:r>
        <w:rPr>
          <w:kern w:val="0"/>
        </w:rPr>
        <w:t>the trials reported liver decompensation or quality</w:t>
      </w:r>
      <w:r w:rsidR="00427468">
        <w:rPr>
          <w:kern w:val="0"/>
        </w:rPr>
        <w:t xml:space="preserve"> of </w:t>
      </w:r>
      <w:r>
        <w:rPr>
          <w:kern w:val="0"/>
        </w:rPr>
        <w:t>life. Life-threatening adverse effects were not reported in either group in any</w:t>
      </w:r>
      <w:r w:rsidR="00427468">
        <w:rPr>
          <w:kern w:val="0"/>
        </w:rPr>
        <w:t xml:space="preserve"> of </w:t>
      </w:r>
      <w:r>
        <w:rPr>
          <w:kern w:val="0"/>
        </w:rPr>
        <w:t>the comparisons. Up to 87.5%</w:t>
      </w:r>
      <w:r w:rsidR="00427468">
        <w:rPr>
          <w:kern w:val="0"/>
        </w:rPr>
        <w:t xml:space="preserve"> of </w:t>
      </w:r>
      <w:r>
        <w:rPr>
          <w:kern w:val="0"/>
        </w:rPr>
        <w:t>patients required reduction in dose</w:t>
      </w:r>
      <w:r w:rsidR="005853A9">
        <w:rPr>
          <w:kern w:val="0"/>
        </w:rPr>
        <w:t xml:space="preserve"> and </w:t>
      </w:r>
      <w:r>
        <w:rPr>
          <w:kern w:val="0"/>
        </w:rPr>
        <w:t>up to 42.9%</w:t>
      </w:r>
      <w:r w:rsidR="00427468">
        <w:rPr>
          <w:kern w:val="0"/>
        </w:rPr>
        <w:t xml:space="preserve"> of </w:t>
      </w:r>
      <w:r>
        <w:rPr>
          <w:kern w:val="0"/>
        </w:rPr>
        <w:t>patients required cessation</w:t>
      </w:r>
      <w:r w:rsidR="00427468">
        <w:rPr>
          <w:kern w:val="0"/>
        </w:rPr>
        <w:t xml:space="preserve"> of </w:t>
      </w:r>
      <w:r>
        <w:rPr>
          <w:kern w:val="0"/>
        </w:rPr>
        <w:t>treatment in the various comparisons because</w:t>
      </w:r>
      <w:r w:rsidR="00427468">
        <w:rPr>
          <w:kern w:val="0"/>
        </w:rPr>
        <w:t xml:space="preserve"> of </w:t>
      </w:r>
      <w:r>
        <w:rPr>
          <w:kern w:val="0"/>
        </w:rPr>
        <w:t>adverse effects or because</w:t>
      </w:r>
      <w:r w:rsidR="00427468">
        <w:rPr>
          <w:kern w:val="0"/>
        </w:rPr>
        <w:t xml:space="preserve"> of </w:t>
      </w:r>
      <w:r>
        <w:rPr>
          <w:kern w:val="0"/>
        </w:rPr>
        <w:t>patient</w:t>
      </w:r>
      <w:r w:rsidR="0071223E">
        <w:rPr>
          <w:kern w:val="0"/>
        </w:rPr>
        <w:t>’</w:t>
      </w:r>
      <w:r>
        <w:rPr>
          <w:kern w:val="0"/>
        </w:rPr>
        <w:t>s choice to stop treatment. Authors</w:t>
      </w:r>
      <w:r w:rsidR="0071223E">
        <w:rPr>
          <w:kern w:val="0"/>
        </w:rPr>
        <w:t>’</w:t>
      </w:r>
      <w:r>
        <w:rPr>
          <w:kern w:val="0"/>
        </w:rPr>
        <w:t xml:space="preserve"> conclusions Considering the lack</w:t>
      </w:r>
      <w:r w:rsidR="00427468">
        <w:rPr>
          <w:kern w:val="0"/>
        </w:rPr>
        <w:t xml:space="preserve"> of </w:t>
      </w:r>
      <w:r>
        <w:rPr>
          <w:kern w:val="0"/>
        </w:rPr>
        <w:t>clinical benefit</w:t>
      </w:r>
      <w:r w:rsidR="005853A9">
        <w:rPr>
          <w:kern w:val="0"/>
        </w:rPr>
        <w:t xml:space="preserve"> and </w:t>
      </w:r>
      <w:r>
        <w:rPr>
          <w:kern w:val="0"/>
        </w:rPr>
        <w:t>the frequent adverse effects, there is currently no evidence to recommend antiviral treatment for recurrent liver graft infection with HCV. Further randomised clinical trials with adequate trial methodology</w:t>
      </w:r>
      <w:r w:rsidR="005853A9">
        <w:rPr>
          <w:kern w:val="0"/>
        </w:rPr>
        <w:t xml:space="preserve"> and </w:t>
      </w:r>
      <w:r>
        <w:rPr>
          <w:kern w:val="0"/>
        </w:rPr>
        <w:t>adequate duration</w:t>
      </w:r>
      <w:r w:rsidR="00427468">
        <w:rPr>
          <w:kern w:val="0"/>
        </w:rPr>
        <w:t xml:space="preserve"> of </w:t>
      </w:r>
      <w:r>
        <w:rPr>
          <w:kern w:val="0"/>
        </w:rPr>
        <w:t>follow-up are necessary.</w:t>
      </w:r>
    </w:p>
    <w:p w:rsidR="00365DE4" w:rsidRDefault="00365DE4" w:rsidP="00365DE4">
      <w:pPr>
        <w:pStyle w:val="a3"/>
        <w:rPr>
          <w:kern w:val="0"/>
        </w:rPr>
      </w:pPr>
      <w:r>
        <w:rPr>
          <w:kern w:val="0"/>
        </w:rPr>
        <w:t xml:space="preserve">Keywords: Antiviral Agents [Adverse Effects, Authors, Citation, Clinical-Trials, Combination Therapy, Comparison, Genotype, Graft Rejection [Epidemiology], HCV Treatment, Hepacivirus [Genetics], Hepatitis C [Drug Therapy, Humans, Interferon-Alpha, Liver Transplantation [Adverse Effects, </w:t>
      </w:r>
      <w:r w:rsidR="00D5664A">
        <w:rPr>
          <w:kern w:val="0"/>
        </w:rPr>
        <w:t>MEDLINE</w:t>
      </w:r>
      <w:r>
        <w:rPr>
          <w:kern w:val="0"/>
        </w:rPr>
        <w:t>, Models, Mortality], Multicenter Randomized-Trial, Peginterferon Alpha-2a Pegasys(R), Plus Ribavirin, Publication, Randomized Controlled Trials As Topic, Recurrence, Rejection, Review, Risk, Science, Science Citation Index, Sustained Virological Response, Therapeutic Use], Transplant Recipients, Transplantation, Treatment, Viral Response</w:t>
      </w:r>
    </w:p>
    <w:p w:rsidR="00365DE4" w:rsidRDefault="00365DE4" w:rsidP="00365DE4">
      <w:pPr>
        <w:pStyle w:val="a3"/>
        <w:rPr>
          <w:kern w:val="0"/>
        </w:rPr>
      </w:pPr>
      <w:r>
        <w:rPr>
          <w:kern w:val="0"/>
        </w:rPr>
        <w:t>? Bradt, J.</w:t>
      </w:r>
      <w:r w:rsidR="005853A9">
        <w:rPr>
          <w:kern w:val="0"/>
        </w:rPr>
        <w:t xml:space="preserve"> and </w:t>
      </w:r>
      <w:r>
        <w:rPr>
          <w:kern w:val="0"/>
        </w:rPr>
        <w:t xml:space="preserve">Dileo, C. (2010), Music therapy for end-of-life care.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CD007169.</w:t>
      </w:r>
    </w:p>
    <w:p w:rsidR="00365DE4" w:rsidRDefault="00365DE4" w:rsidP="00365DE4">
      <w:pPr>
        <w:pStyle w:val="a3"/>
        <w:rPr>
          <w:kern w:val="2"/>
        </w:rPr>
      </w:pPr>
      <w:r>
        <w:t xml:space="preserve">Full Text: </w:t>
      </w:r>
      <w:hyperlink r:id="rId568" w:history="1">
        <w:r>
          <w:rPr>
            <w:rStyle w:val="a5"/>
          </w:rPr>
          <w:t>2010\Coc Dat Sys Rev2010, CD007169.pdf</w:t>
        </w:r>
      </w:hyperlink>
    </w:p>
    <w:p w:rsidR="00365DE4" w:rsidRDefault="00365DE4" w:rsidP="00365DE4">
      <w:pPr>
        <w:pStyle w:val="a3"/>
        <w:rPr>
          <w:kern w:val="0"/>
        </w:rPr>
      </w:pPr>
      <w:r>
        <w:rPr>
          <w:kern w:val="0"/>
        </w:rPr>
        <w:t>Abstract: Background Music therapy in end-of-life care aims to improve a person</w:t>
      </w:r>
      <w:r w:rsidR="0071223E">
        <w:rPr>
          <w:kern w:val="0"/>
        </w:rPr>
        <w:t>’</w:t>
      </w:r>
      <w:r>
        <w:rPr>
          <w:kern w:val="0"/>
        </w:rPr>
        <w:t>s quality</w:t>
      </w:r>
      <w:r w:rsidR="00427468">
        <w:rPr>
          <w:kern w:val="0"/>
        </w:rPr>
        <w:t xml:space="preserve"> of </w:t>
      </w:r>
      <w:r>
        <w:rPr>
          <w:kern w:val="0"/>
        </w:rPr>
        <w:t>life by helping relieve symptoms, addressing psychological needs, offering support, facilitating communication,</w:t>
      </w:r>
      <w:r w:rsidR="005853A9">
        <w:rPr>
          <w:kern w:val="0"/>
        </w:rPr>
        <w:t xml:space="preserve"> and </w:t>
      </w:r>
      <w:r>
        <w:rPr>
          <w:kern w:val="0"/>
        </w:rPr>
        <w:t>meeting spiritual needs. In addition, music therapists assist family</w:t>
      </w:r>
      <w:r w:rsidR="005853A9">
        <w:rPr>
          <w:kern w:val="0"/>
        </w:rPr>
        <w:t xml:space="preserve"> and </w:t>
      </w:r>
      <w:r>
        <w:rPr>
          <w:kern w:val="0"/>
        </w:rPr>
        <w:t>caregivers with coping, communication,</w:t>
      </w:r>
      <w:r w:rsidR="005853A9">
        <w:rPr>
          <w:kern w:val="0"/>
        </w:rPr>
        <w:t xml:space="preserve"> and </w:t>
      </w:r>
      <w:r>
        <w:rPr>
          <w:kern w:val="0"/>
        </w:rPr>
        <w:t>grief/bereavement. Objectives To examine effects</w:t>
      </w:r>
      <w:r w:rsidR="00427468">
        <w:rPr>
          <w:kern w:val="0"/>
        </w:rPr>
        <w:t xml:space="preserve"> of </w:t>
      </w:r>
      <w:r>
        <w:rPr>
          <w:kern w:val="0"/>
        </w:rPr>
        <w:t xml:space="preserve">music therapy with standard care versus standard care alone or standard care combined with other therapies on </w:t>
      </w:r>
      <w:r>
        <w:rPr>
          <w:kern w:val="0"/>
        </w:rPr>
        <w:lastRenderedPageBreak/>
        <w:t>psychological, physiological,</w:t>
      </w:r>
      <w:r w:rsidR="005853A9">
        <w:rPr>
          <w:kern w:val="0"/>
        </w:rPr>
        <w:t xml:space="preserve"> and </w:t>
      </w:r>
      <w:r>
        <w:rPr>
          <w:kern w:val="0"/>
        </w:rPr>
        <w:t xml:space="preserve">social responses in end-of-life care. Search strategy We searched CENTRAL, </w:t>
      </w:r>
      <w:r w:rsidR="00D5664A">
        <w:rPr>
          <w:kern w:val="0"/>
        </w:rPr>
        <w:t>MEDLINE</w:t>
      </w:r>
      <w:r>
        <w:rPr>
          <w:kern w:val="0"/>
        </w:rPr>
        <w:t>, CINAHL, EMBASE, PSYCINFO, LILACS, CancerLit, Science Citation Index, www. musictherapyworld. de, CAIRSS for Music, Proquest Digital Dissertations, ClinicalTrials. gov, Current Controlled Trials,</w:t>
      </w:r>
      <w:r w:rsidR="005853A9">
        <w:rPr>
          <w:kern w:val="0"/>
        </w:rPr>
        <w:t xml:space="preserve"> and </w:t>
      </w:r>
      <w:r>
        <w:rPr>
          <w:kern w:val="0"/>
        </w:rPr>
        <w:t>the National Research Register to September 2009. We handsearched music therapy journals</w:t>
      </w:r>
      <w:r w:rsidR="005853A9">
        <w:rPr>
          <w:kern w:val="0"/>
        </w:rPr>
        <w:t xml:space="preserve"> and </w:t>
      </w:r>
      <w:r>
        <w:rPr>
          <w:kern w:val="0"/>
        </w:rPr>
        <w:t>reference lists,</w:t>
      </w:r>
      <w:r w:rsidR="005853A9">
        <w:rPr>
          <w:kern w:val="0"/>
        </w:rPr>
        <w:t xml:space="preserve"> and </w:t>
      </w:r>
      <w:r>
        <w:rPr>
          <w:kern w:val="0"/>
        </w:rPr>
        <w:t>contacted experts to identify unpublished manuscripts</w:t>
      </w:r>
      <w:r w:rsidR="00A37C1D">
        <w:rPr>
          <w:kern w:val="0"/>
        </w:rPr>
        <w:t>. The</w:t>
      </w:r>
      <w:r>
        <w:rPr>
          <w:kern w:val="0"/>
        </w:rPr>
        <w:t>re was no language restriction. Selection criteria We included all randomized</w:t>
      </w:r>
      <w:r w:rsidR="005853A9">
        <w:rPr>
          <w:kern w:val="0"/>
        </w:rPr>
        <w:t xml:space="preserve"> and </w:t>
      </w:r>
      <w:r>
        <w:rPr>
          <w:kern w:val="0"/>
        </w:rPr>
        <w:t>quasi-randomized controlled trials that compared music interventions</w:t>
      </w:r>
      <w:r w:rsidR="005853A9">
        <w:rPr>
          <w:kern w:val="0"/>
        </w:rPr>
        <w:t xml:space="preserve"> and </w:t>
      </w:r>
      <w:r>
        <w:rPr>
          <w:kern w:val="0"/>
        </w:rPr>
        <w:t>standard care with standard care alone or combined with other therapies in any care setting with a diagnosis</w:t>
      </w:r>
      <w:r w:rsidR="00427468">
        <w:rPr>
          <w:kern w:val="0"/>
        </w:rPr>
        <w:t xml:space="preserve"> of </w:t>
      </w:r>
      <w:r>
        <w:rPr>
          <w:kern w:val="0"/>
        </w:rPr>
        <w:t>advanced life-limiting illness being treated with palliative intent</w:t>
      </w:r>
      <w:r w:rsidR="005853A9">
        <w:rPr>
          <w:kern w:val="0"/>
        </w:rPr>
        <w:t xml:space="preserve"> and </w:t>
      </w:r>
      <w:r>
        <w:rPr>
          <w:kern w:val="0"/>
        </w:rPr>
        <w:t>with a life expectancy</w:t>
      </w:r>
      <w:r w:rsidR="00427468">
        <w:rPr>
          <w:kern w:val="0"/>
        </w:rPr>
        <w:t xml:space="preserve"> of </w:t>
      </w:r>
      <w:r>
        <w:rPr>
          <w:kern w:val="0"/>
        </w:rPr>
        <w:t>less than two years. Data collection</w:t>
      </w:r>
      <w:r w:rsidR="005853A9">
        <w:rPr>
          <w:kern w:val="0"/>
        </w:rPr>
        <w:t xml:space="preserve"> and </w:t>
      </w:r>
      <w:r>
        <w:rPr>
          <w:kern w:val="0"/>
        </w:rPr>
        <w:t>analysis Data were extracted,</w:t>
      </w:r>
      <w:r w:rsidR="005853A9">
        <w:rPr>
          <w:kern w:val="0"/>
        </w:rPr>
        <w:t xml:space="preserve"> and </w:t>
      </w:r>
      <w:r>
        <w:rPr>
          <w:kern w:val="0"/>
        </w:rPr>
        <w:t>methodological quality was assessed, independently by review authors. Additional information was sought fromstudy authors when necessary. Results are presented using weightedmean differences for outcomes measured by the same scale</w:t>
      </w:r>
      <w:r w:rsidR="005853A9">
        <w:rPr>
          <w:kern w:val="0"/>
        </w:rPr>
        <w:t xml:space="preserve"> and </w:t>
      </w:r>
      <w:r>
        <w:rPr>
          <w:kern w:val="0"/>
        </w:rPr>
        <w:t>standardized mean differences for outcomes measured by different scales. Posttest scores were used. In cases</w:t>
      </w:r>
      <w:r w:rsidR="00427468">
        <w:rPr>
          <w:kern w:val="0"/>
        </w:rPr>
        <w:t xml:space="preserve"> of </w:t>
      </w:r>
      <w:r>
        <w:rPr>
          <w:kern w:val="0"/>
        </w:rPr>
        <w:t>statistically significant baseline difference, we used change scores. Main results Five studies (175 participants) were included</w:t>
      </w:r>
      <w:r w:rsidR="00A37C1D">
        <w:rPr>
          <w:kern w:val="0"/>
        </w:rPr>
        <w:t>. The</w:t>
      </w:r>
      <w:r>
        <w:rPr>
          <w:kern w:val="0"/>
        </w:rPr>
        <w:t>re is insufficient evidence</w:t>
      </w:r>
      <w:r w:rsidR="00427468">
        <w:rPr>
          <w:kern w:val="0"/>
        </w:rPr>
        <w:t xml:space="preserve"> of </w:t>
      </w:r>
      <w:r>
        <w:rPr>
          <w:kern w:val="0"/>
        </w:rPr>
        <w:t>high quality to support the effect</w:t>
      </w:r>
      <w:r w:rsidR="00427468">
        <w:rPr>
          <w:kern w:val="0"/>
        </w:rPr>
        <w:t xml:space="preserve"> of </w:t>
      </w:r>
      <w:r>
        <w:rPr>
          <w:kern w:val="0"/>
        </w:rPr>
        <w:t>music therapy on quality</w:t>
      </w:r>
      <w:r w:rsidR="00427468">
        <w:rPr>
          <w:kern w:val="0"/>
        </w:rPr>
        <w:t xml:space="preserve"> of </w:t>
      </w:r>
      <w:r>
        <w:rPr>
          <w:kern w:val="0"/>
        </w:rPr>
        <w:t>life</w:t>
      </w:r>
      <w:r w:rsidR="00427468">
        <w:rPr>
          <w:kern w:val="0"/>
        </w:rPr>
        <w:t xml:space="preserve"> of </w:t>
      </w:r>
      <w:r>
        <w:rPr>
          <w:kern w:val="0"/>
        </w:rPr>
        <w:t>people in end-of-life care. Given the limited number</w:t>
      </w:r>
      <w:r w:rsidR="00427468">
        <w:rPr>
          <w:kern w:val="0"/>
        </w:rPr>
        <w:t xml:space="preserve"> of </w:t>
      </w:r>
      <w:r>
        <w:rPr>
          <w:kern w:val="0"/>
        </w:rPr>
        <w:t>studies</w:t>
      </w:r>
      <w:r w:rsidR="005853A9">
        <w:rPr>
          <w:kern w:val="0"/>
        </w:rPr>
        <w:t xml:space="preserve"> and </w:t>
      </w:r>
      <w:r>
        <w:rPr>
          <w:kern w:val="0"/>
        </w:rPr>
        <w:t>small sample sizes, more research is needed. No strong evidence was found for the effect</w:t>
      </w:r>
      <w:r w:rsidR="00427468">
        <w:rPr>
          <w:kern w:val="0"/>
        </w:rPr>
        <w:t xml:space="preserve"> of </w:t>
      </w:r>
      <w:r>
        <w:rPr>
          <w:kern w:val="0"/>
        </w:rPr>
        <w:t>music therapy on pain or anxiety</w:t>
      </w:r>
      <w:r w:rsidR="00A37C1D">
        <w:rPr>
          <w:kern w:val="0"/>
        </w:rPr>
        <w:t>. The</w:t>
      </w:r>
      <w:r>
        <w:rPr>
          <w:kern w:val="0"/>
        </w:rPr>
        <w:t>se results were based on two small studies</w:t>
      </w:r>
      <w:r w:rsidR="00A37C1D">
        <w:rPr>
          <w:kern w:val="0"/>
        </w:rPr>
        <w:t>. The</w:t>
      </w:r>
      <w:r>
        <w:rPr>
          <w:kern w:val="0"/>
        </w:rPr>
        <w:t>re were insufficient data to examine the effect</w:t>
      </w:r>
      <w:r w:rsidR="00427468">
        <w:rPr>
          <w:kern w:val="0"/>
        </w:rPr>
        <w:t xml:space="preserve"> of </w:t>
      </w:r>
      <w:r>
        <w:rPr>
          <w:kern w:val="0"/>
        </w:rPr>
        <w:t>music therapy on other physical, psychological, or social outcomes. Authors</w:t>
      </w:r>
      <w:r w:rsidR="0071223E">
        <w:rPr>
          <w:kern w:val="0"/>
        </w:rPr>
        <w:t>’</w:t>
      </w:r>
      <w:r>
        <w:rPr>
          <w:kern w:val="0"/>
        </w:rPr>
        <w:t xml:space="preserve"> conclusions A limited number</w:t>
      </w:r>
      <w:r w:rsidR="00427468">
        <w:rPr>
          <w:kern w:val="0"/>
        </w:rPr>
        <w:t xml:space="preserve"> of </w:t>
      </w:r>
      <w:r>
        <w:rPr>
          <w:kern w:val="0"/>
        </w:rPr>
        <w:t>studies suggest there may be a benefit</w:t>
      </w:r>
      <w:r w:rsidR="00427468">
        <w:rPr>
          <w:kern w:val="0"/>
        </w:rPr>
        <w:t xml:space="preserve"> of </w:t>
      </w:r>
      <w:r>
        <w:rPr>
          <w:kern w:val="0"/>
        </w:rPr>
        <w:t>music therapy on the quality</w:t>
      </w:r>
      <w:r w:rsidR="00427468">
        <w:rPr>
          <w:kern w:val="0"/>
        </w:rPr>
        <w:t xml:space="preserve"> of </w:t>
      </w:r>
      <w:r>
        <w:rPr>
          <w:kern w:val="0"/>
        </w:rPr>
        <w:t>life</w:t>
      </w:r>
      <w:r w:rsidR="00427468">
        <w:rPr>
          <w:kern w:val="0"/>
        </w:rPr>
        <w:t xml:space="preserve"> of </w:t>
      </w:r>
      <w:r>
        <w:rPr>
          <w:kern w:val="0"/>
        </w:rPr>
        <w:t>people in end-of-life care. However, the results stem from studies with a high risk</w:t>
      </w:r>
      <w:r w:rsidR="00427468">
        <w:rPr>
          <w:kern w:val="0"/>
        </w:rPr>
        <w:t xml:space="preserve"> of </w:t>
      </w:r>
      <w:r>
        <w:rPr>
          <w:kern w:val="0"/>
        </w:rPr>
        <w:t>bias. More research is needed.</w:t>
      </w:r>
    </w:p>
    <w:p w:rsidR="00365DE4" w:rsidRDefault="00365DE4" w:rsidP="00365DE4">
      <w:pPr>
        <w:pStyle w:val="a3"/>
        <w:rPr>
          <w:kern w:val="0"/>
        </w:rPr>
      </w:pPr>
      <w:r>
        <w:rPr>
          <w:kern w:val="0"/>
        </w:rPr>
        <w:t xml:space="preserve">Keywords: Authors, Cancer, Citation, Diagnosis, Hospice, Journals, Manuscripts, </w:t>
      </w:r>
      <w:r w:rsidR="00D5664A">
        <w:rPr>
          <w:kern w:val="0"/>
        </w:rPr>
        <w:t>MEDLINE</w:t>
      </w:r>
      <w:r>
        <w:rPr>
          <w:kern w:val="0"/>
        </w:rPr>
        <w:t>, Palliative Care, Research, Review, Risk, Scale, Science, Science Citation Index, Terminally-Ill</w:t>
      </w:r>
    </w:p>
    <w:p w:rsidR="00365DE4" w:rsidRDefault="00365DE4" w:rsidP="00365DE4">
      <w:pPr>
        <w:pStyle w:val="a3"/>
        <w:rPr>
          <w:kern w:val="0"/>
        </w:rPr>
      </w:pPr>
      <w:r>
        <w:rPr>
          <w:kern w:val="0"/>
        </w:rPr>
        <w:t>? Chavaez-Tapia, N.C., Tellez-Avila, F.I., Barrientos-Gutierrez, T., Mendez-Sanchez, N., Lizardi-Cervera, J.</w:t>
      </w:r>
      <w:r w:rsidR="005853A9">
        <w:rPr>
          <w:kern w:val="0"/>
        </w:rPr>
        <w:t xml:space="preserve"> and </w:t>
      </w:r>
      <w:r>
        <w:rPr>
          <w:kern w:val="0"/>
        </w:rPr>
        <w:t xml:space="preserve">Uribe, M. (2010), Bariatric surgery for non-alcoholic steatohepatitis in obese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CD007340.</w:t>
      </w:r>
    </w:p>
    <w:p w:rsidR="00365DE4" w:rsidRDefault="00365DE4" w:rsidP="00365DE4">
      <w:pPr>
        <w:pStyle w:val="a3"/>
        <w:rPr>
          <w:kern w:val="2"/>
        </w:rPr>
      </w:pPr>
      <w:r>
        <w:t xml:space="preserve">Full Text: </w:t>
      </w:r>
      <w:hyperlink r:id="rId569" w:history="1">
        <w:r>
          <w:rPr>
            <w:rStyle w:val="a5"/>
          </w:rPr>
          <w:t>2010\Coc Dat Sys Rev2010, CD007340.pdf</w:t>
        </w:r>
      </w:hyperlink>
    </w:p>
    <w:p w:rsidR="00365DE4" w:rsidRDefault="00365DE4" w:rsidP="00365DE4">
      <w:pPr>
        <w:pStyle w:val="a3"/>
        <w:rPr>
          <w:kern w:val="0"/>
        </w:rPr>
      </w:pPr>
      <w:r>
        <w:rPr>
          <w:kern w:val="0"/>
        </w:rPr>
        <w:t>Abstract: Background Nonalcoholic fatty liver disease (NAFLD) is increasingly recognised as a condition associated with overweight or obesity that may progress to end-stage liver disease. NAFLD histology resembles alcohol-induced liver injury, but occurs in patients with no history</w:t>
      </w:r>
      <w:r w:rsidR="00427468">
        <w:rPr>
          <w:kern w:val="0"/>
        </w:rPr>
        <w:t xml:space="preserve"> of </w:t>
      </w:r>
      <w:r>
        <w:rPr>
          <w:kern w:val="0"/>
        </w:rPr>
        <w:t>alcohol abuse. NAFLD has a broad spectrum</w:t>
      </w:r>
      <w:r w:rsidR="00427468">
        <w:rPr>
          <w:kern w:val="0"/>
        </w:rPr>
        <w:t xml:space="preserve"> </w:t>
      </w:r>
      <w:r w:rsidR="00427468">
        <w:rPr>
          <w:kern w:val="0"/>
        </w:rPr>
        <w:lastRenderedPageBreak/>
        <w:t xml:space="preserve">of </w:t>
      </w:r>
      <w:r>
        <w:rPr>
          <w:kern w:val="0"/>
        </w:rPr>
        <w:t>clinical</w:t>
      </w:r>
      <w:r w:rsidR="005853A9">
        <w:rPr>
          <w:kern w:val="0"/>
        </w:rPr>
        <w:t xml:space="preserve"> and </w:t>
      </w:r>
      <w:r>
        <w:rPr>
          <w:kern w:val="0"/>
        </w:rPr>
        <w:t>histological manifestations, ranging from simple fatty liver to hepatic steatosis with inflammation, advanced fibrosis,</w:t>
      </w:r>
      <w:r w:rsidR="005853A9">
        <w:rPr>
          <w:kern w:val="0"/>
        </w:rPr>
        <w:t xml:space="preserve"> and </w:t>
      </w:r>
      <w:r>
        <w:rPr>
          <w:kern w:val="0"/>
        </w:rPr>
        <w:t>cirrhosis</w:t>
      </w:r>
      <w:r w:rsidR="00A37C1D">
        <w:rPr>
          <w:kern w:val="0"/>
        </w:rPr>
        <w:t>. The</w:t>
      </w:r>
      <w:r>
        <w:rPr>
          <w:kern w:val="0"/>
        </w:rPr>
        <w:t xml:space="preserve"> inflammatory stage is known as non-alcoholic steatohepatitis (NASH). Recent reports indicate that weight loss induced by bariatric procedures could be beneficial for NASH treatment. Objectives To assess the benefits</w:t>
      </w:r>
      <w:r w:rsidR="005853A9">
        <w:rPr>
          <w:kern w:val="0"/>
        </w:rPr>
        <w:t xml:space="preserve"> and </w:t>
      </w:r>
      <w:r>
        <w:rPr>
          <w:kern w:val="0"/>
        </w:rPr>
        <w:t>harms</w:t>
      </w:r>
      <w:r w:rsidR="00427468">
        <w:rPr>
          <w:kern w:val="0"/>
        </w:rPr>
        <w:t xml:space="preserve"> of </w:t>
      </w:r>
      <w:r>
        <w:rPr>
          <w:kern w:val="0"/>
        </w:rPr>
        <w:t>bariatric surgery for NASH in obese patients.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to October 2009. Selection criteria All randomised clinical trials evaluating any bariatric procedure versus no intervention, placebo (sham procedure), or other interventions in patients with NASH regardless</w:t>
      </w:r>
      <w:r w:rsidR="00427468">
        <w:rPr>
          <w:kern w:val="0"/>
        </w:rPr>
        <w:t xml:space="preserve"> of </w:t>
      </w:r>
      <w:r>
        <w:rPr>
          <w:kern w:val="0"/>
        </w:rPr>
        <w:t>publication status, number</w:t>
      </w:r>
      <w:r w:rsidR="00427468">
        <w:rPr>
          <w:kern w:val="0"/>
        </w:rPr>
        <w:t xml:space="preserve"> of </w:t>
      </w:r>
      <w:r>
        <w:rPr>
          <w:kern w:val="0"/>
        </w:rPr>
        <w:t>patients randomised, language, or blinding. Quasi-randomised clinical studies were to be considered for the review if no randomised clinical trials were identified. If included, their bias towards positive findings was to be considered. Data collection</w:t>
      </w:r>
      <w:r w:rsidR="005853A9">
        <w:rPr>
          <w:kern w:val="0"/>
        </w:rPr>
        <w:t xml:space="preserve"> and </w:t>
      </w:r>
      <w:r>
        <w:rPr>
          <w:kern w:val="0"/>
        </w:rPr>
        <w:t>analysis We extracted data in duplicate,</w:t>
      </w:r>
      <w:r w:rsidR="005853A9">
        <w:rPr>
          <w:kern w:val="0"/>
        </w:rPr>
        <w:t xml:space="preserve"> and </w:t>
      </w:r>
      <w:r>
        <w:rPr>
          <w:kern w:val="0"/>
        </w:rPr>
        <w:t>we planned to analyse the data by intention-to-treat. Main results We could not find any randomised clinical trials or quasi-randomised clinical studies that fulfilled the inclusion criteria. Our search resulted in twenty-one prospective or retrospective cohort studies, in which improvement on steatosis or inflammation scores was reported. However, four studies also described some deterioration in the degree</w:t>
      </w:r>
      <w:r w:rsidR="00427468">
        <w:rPr>
          <w:kern w:val="0"/>
        </w:rPr>
        <w:t xml:space="preserve"> of </w:t>
      </w:r>
      <w:r>
        <w:rPr>
          <w:kern w:val="0"/>
        </w:rPr>
        <w:t>fibrosis. Authors</w:t>
      </w:r>
      <w:r w:rsidR="0071223E">
        <w:rPr>
          <w:kern w:val="0"/>
        </w:rPr>
        <w:t>’</w:t>
      </w:r>
      <w:r>
        <w:rPr>
          <w:kern w:val="0"/>
        </w:rPr>
        <w:t xml:space="preserve"> conclusions LThe lack</w:t>
      </w:r>
      <w:r w:rsidR="00427468">
        <w:rPr>
          <w:kern w:val="0"/>
        </w:rPr>
        <w:t xml:space="preserve"> of </w:t>
      </w:r>
      <w:r>
        <w:rPr>
          <w:kern w:val="0"/>
        </w:rPr>
        <w:t>randomised clinical trials</w:t>
      </w:r>
      <w:r w:rsidR="005853A9">
        <w:rPr>
          <w:kern w:val="0"/>
        </w:rPr>
        <w:t xml:space="preserve"> and </w:t>
      </w:r>
      <w:r>
        <w:rPr>
          <w:kern w:val="0"/>
        </w:rPr>
        <w:t>quasi-randomised clinical studies precludes us to assess the benefits</w:t>
      </w:r>
      <w:r w:rsidR="005853A9">
        <w:rPr>
          <w:kern w:val="0"/>
        </w:rPr>
        <w:t xml:space="preserve"> and </w:t>
      </w:r>
      <w:r>
        <w:rPr>
          <w:kern w:val="0"/>
        </w:rPr>
        <w:t>harms</w:t>
      </w:r>
      <w:r w:rsidR="00427468">
        <w:rPr>
          <w:kern w:val="0"/>
        </w:rPr>
        <w:t xml:space="preserve"> of </w:t>
      </w:r>
      <w:r>
        <w:rPr>
          <w:kern w:val="0"/>
        </w:rPr>
        <w:t>bariatric surgery as a therapeutic approach for patients with NASH. Limitations</w:t>
      </w:r>
      <w:r w:rsidR="00427468">
        <w:rPr>
          <w:kern w:val="0"/>
        </w:rPr>
        <w:t xml:space="preserve"> of </w:t>
      </w:r>
      <w:r>
        <w:rPr>
          <w:kern w:val="0"/>
        </w:rPr>
        <w:t>all other studies with inferior design did not allow us to draw any unbiased conclusion on bariatric surgery for treatment</w:t>
      </w:r>
      <w:r w:rsidR="00427468">
        <w:rPr>
          <w:kern w:val="0"/>
        </w:rPr>
        <w:t xml:space="preserve"> of </w:t>
      </w:r>
      <w:r>
        <w:rPr>
          <w:kern w:val="0"/>
        </w:rPr>
        <w:t>NASH.</w:t>
      </w:r>
    </w:p>
    <w:p w:rsidR="00365DE4" w:rsidRDefault="00365DE4" w:rsidP="00365DE4">
      <w:pPr>
        <w:pStyle w:val="a3"/>
        <w:rPr>
          <w:kern w:val="0"/>
        </w:rPr>
      </w:pPr>
      <w:r>
        <w:rPr>
          <w:kern w:val="0"/>
        </w:rPr>
        <w:t xml:space="preserve">Keywords: Authors, Citation, Clinical-Trials, Cohort, Empirical-Evidence, Fatty Liver-Disease, Gastric Bypass-Surgery, History, Insulin-Resistance, </w:t>
      </w:r>
      <w:r w:rsidR="00D5664A">
        <w:rPr>
          <w:kern w:val="0"/>
        </w:rPr>
        <w:t>MEDLINE</w:t>
      </w:r>
      <w:r>
        <w:rPr>
          <w:kern w:val="0"/>
        </w:rPr>
        <w:t>, Metabolic Syndrome, Morbid-Obesity, Natural-History, Placebo-Controlled Trial, Positive, Publication, Review, Science, Science Citation Index, Surgery, Treatment, Weight-Loss</w:t>
      </w:r>
    </w:p>
    <w:p w:rsidR="00365DE4" w:rsidRDefault="00365DE4" w:rsidP="00365DE4">
      <w:pPr>
        <w:pStyle w:val="a3"/>
        <w:rPr>
          <w:kern w:val="0"/>
        </w:rPr>
      </w:pPr>
      <w:r>
        <w:rPr>
          <w:kern w:val="0"/>
        </w:rPr>
        <w:t>? Cirocchi, R., Abraha, I., Montedori, A., Farinella, E., Bonacini, I., Tagliabue, L.</w:t>
      </w:r>
      <w:r w:rsidR="005853A9">
        <w:rPr>
          <w:kern w:val="0"/>
        </w:rPr>
        <w:t xml:space="preserve"> and </w:t>
      </w:r>
      <w:r>
        <w:rPr>
          <w:kern w:val="0"/>
        </w:rPr>
        <w:t xml:space="preserve">Sciannameo, F. (2010), Damage control surgery for abdominal trauma.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CD007438.</w:t>
      </w:r>
    </w:p>
    <w:p w:rsidR="00365DE4" w:rsidRDefault="00365DE4" w:rsidP="00365DE4">
      <w:pPr>
        <w:pStyle w:val="a3"/>
        <w:rPr>
          <w:kern w:val="2"/>
        </w:rPr>
      </w:pPr>
      <w:r>
        <w:t xml:space="preserve">Full Text: </w:t>
      </w:r>
      <w:hyperlink r:id="rId570" w:history="1">
        <w:r>
          <w:rPr>
            <w:rStyle w:val="a5"/>
          </w:rPr>
          <w:t>2010\Coc Dat Sys Rev2010, CD007438.pdf</w:t>
        </w:r>
      </w:hyperlink>
    </w:p>
    <w:p w:rsidR="00365DE4" w:rsidRDefault="00365DE4" w:rsidP="00365DE4">
      <w:pPr>
        <w:pStyle w:val="a3"/>
        <w:rPr>
          <w:kern w:val="0"/>
        </w:rPr>
      </w:pPr>
      <w:r>
        <w:rPr>
          <w:kern w:val="0"/>
        </w:rPr>
        <w:t>Abstract: Background Trauma is one</w:t>
      </w:r>
      <w:r w:rsidR="00427468">
        <w:rPr>
          <w:kern w:val="0"/>
        </w:rPr>
        <w:t xml:space="preserve"> of </w:t>
      </w:r>
      <w:r>
        <w:rPr>
          <w:kern w:val="0"/>
        </w:rPr>
        <w:t>the leading causes</w:t>
      </w:r>
      <w:r w:rsidR="00427468">
        <w:rPr>
          <w:kern w:val="0"/>
        </w:rPr>
        <w:t xml:space="preserve"> of </w:t>
      </w:r>
      <w:r>
        <w:rPr>
          <w:kern w:val="0"/>
        </w:rPr>
        <w:t>death in any age group</w:t>
      </w:r>
      <w:r w:rsidR="00A37C1D">
        <w:rPr>
          <w:kern w:val="0"/>
        </w:rPr>
        <w:t>. The</w:t>
      </w:r>
      <w:r>
        <w:rPr>
          <w:kern w:val="0"/>
        </w:rPr>
        <w:t xml:space="preserve"> </w:t>
      </w:r>
      <w:r w:rsidR="0071223E">
        <w:rPr>
          <w:kern w:val="0"/>
        </w:rPr>
        <w:t>‘</w:t>
      </w:r>
      <w:r>
        <w:rPr>
          <w:kern w:val="0"/>
        </w:rPr>
        <w:t>lethal triad</w:t>
      </w:r>
      <w:r w:rsidR="0071223E">
        <w:rPr>
          <w:kern w:val="0"/>
        </w:rPr>
        <w:t>’</w:t>
      </w:r>
      <w:r w:rsidR="00427468">
        <w:rPr>
          <w:kern w:val="0"/>
        </w:rPr>
        <w:t xml:space="preserve"> of </w:t>
      </w:r>
      <w:r>
        <w:rPr>
          <w:kern w:val="0"/>
        </w:rPr>
        <w:t>acidosis, hypothermia,</w:t>
      </w:r>
      <w:r w:rsidR="005853A9">
        <w:rPr>
          <w:kern w:val="0"/>
        </w:rPr>
        <w:t xml:space="preserve"> and </w:t>
      </w:r>
      <w:r>
        <w:rPr>
          <w:kern w:val="0"/>
        </w:rPr>
        <w:t>coagulopathy has been recognized as a significant cause</w:t>
      </w:r>
      <w:r w:rsidR="00427468">
        <w:rPr>
          <w:kern w:val="0"/>
        </w:rPr>
        <w:t xml:space="preserve"> of </w:t>
      </w:r>
      <w:r>
        <w:rPr>
          <w:kern w:val="0"/>
        </w:rPr>
        <w:t>death in patients with traumatic injuries. In order to prevent the lethal triad two factors are essential, early control</w:t>
      </w:r>
      <w:r w:rsidR="00427468">
        <w:rPr>
          <w:kern w:val="0"/>
        </w:rPr>
        <w:t xml:space="preserve"> of </w:t>
      </w:r>
      <w:r>
        <w:rPr>
          <w:kern w:val="0"/>
        </w:rPr>
        <w:t>bleeding</w:t>
      </w:r>
      <w:r w:rsidR="005853A9">
        <w:rPr>
          <w:kern w:val="0"/>
        </w:rPr>
        <w:t xml:space="preserve"> and </w:t>
      </w:r>
      <w:r>
        <w:rPr>
          <w:kern w:val="0"/>
        </w:rPr>
        <w:t>prevention</w:t>
      </w:r>
      <w:r w:rsidR="00427468">
        <w:rPr>
          <w:kern w:val="0"/>
        </w:rPr>
        <w:t xml:space="preserve"> of </w:t>
      </w:r>
      <w:r>
        <w:rPr>
          <w:kern w:val="0"/>
        </w:rPr>
        <w:t xml:space="preserve">further heat loss. In patients with major abdominal trauma, damage control surgery </w:t>
      </w:r>
      <w:r>
        <w:rPr>
          <w:kern w:val="0"/>
        </w:rPr>
        <w:lastRenderedPageBreak/>
        <w:t>(DCS) avoids extensive procedures on unstable patients, stabilizes potentially fatal problems at initial operation,</w:t>
      </w:r>
      <w:r w:rsidR="005853A9">
        <w:rPr>
          <w:kern w:val="0"/>
        </w:rPr>
        <w:t xml:space="preserve"> and </w:t>
      </w:r>
      <w:r>
        <w:rPr>
          <w:kern w:val="0"/>
        </w:rPr>
        <w:t>applies staged surgery after successful initial resuscitation. It is not currently known whether DCS is superior to immediate surgery for patients with major abdominal trauma. Objectives To assess the effectiveness</w:t>
      </w:r>
      <w:r w:rsidR="00427468">
        <w:rPr>
          <w:kern w:val="0"/>
        </w:rPr>
        <w:t xml:space="preserve"> of </w:t>
      </w:r>
      <w:r>
        <w:rPr>
          <w:kern w:val="0"/>
        </w:rPr>
        <w:t xml:space="preserve">DCS compared to traditional immediate definitive surgical treatment for patients with major abdominal trauma. Search strategy We searched the Cochrane Injuries Group Specialised Register, CENTRAL (The Cochrane Library 2008, Issue 3),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Science Citation Index &amp; ISI Proceedings, Current Controlled Trials MetaRegister, Clinicaltrials. gov, Zetoc,</w:t>
      </w:r>
      <w:r w:rsidR="005853A9">
        <w:rPr>
          <w:kern w:val="0"/>
        </w:rPr>
        <w:t xml:space="preserve"> and </w:t>
      </w:r>
      <w:r>
        <w:rPr>
          <w:kern w:val="0"/>
        </w:rPr>
        <w:t>CINAHL for all published</w:t>
      </w:r>
      <w:r w:rsidR="005853A9">
        <w:rPr>
          <w:kern w:val="0"/>
        </w:rPr>
        <w:t xml:space="preserve"> and </w:t>
      </w:r>
      <w:r>
        <w:rPr>
          <w:kern w:val="0"/>
        </w:rPr>
        <w:t>unpublished randomised controlled trials. We did not restrict the searches by language, date, or publication status. Searches were conducted in August 2008. Selection criteria Randomised controlled trials</w:t>
      </w:r>
      <w:r w:rsidR="00427468">
        <w:rPr>
          <w:kern w:val="0"/>
        </w:rPr>
        <w:t xml:space="preserve"> of </w:t>
      </w:r>
      <w:r>
        <w:rPr>
          <w:kern w:val="0"/>
        </w:rPr>
        <w:t>DCS versus immediate traditional surgical repair were included in this review. We included patients with major abdominal trauma (Abbreviated Injury Scale &gt; 3) who were undergoing surgery. Patient selection was crucial as patients with relatively simple abdominal injuries should not undergo unnecessary procedures. Data collection</w:t>
      </w:r>
      <w:r w:rsidR="005853A9">
        <w:rPr>
          <w:kern w:val="0"/>
        </w:rPr>
        <w:t xml:space="preserve"> and </w:t>
      </w:r>
      <w:r>
        <w:rPr>
          <w:kern w:val="0"/>
        </w:rPr>
        <w:t>analysis Two authors independently evaluated the search results. Main results A total</w:t>
      </w:r>
      <w:r w:rsidR="00427468">
        <w:rPr>
          <w:kern w:val="0"/>
        </w:rPr>
        <w:t xml:space="preserve"> of </w:t>
      </w:r>
      <w:r>
        <w:rPr>
          <w:kern w:val="0"/>
        </w:rPr>
        <w:t>1523 studies were identified by our search. No randomised controlled trials comparing DCS with immediate</w:t>
      </w:r>
      <w:r w:rsidR="005853A9">
        <w:rPr>
          <w:kern w:val="0"/>
        </w:rPr>
        <w:t xml:space="preserve"> and </w:t>
      </w:r>
      <w:r>
        <w:rPr>
          <w:kern w:val="0"/>
        </w:rPr>
        <w:t>definitive repair in patients with major abdominal trauma were found. A total</w:t>
      </w:r>
      <w:r w:rsidR="00427468">
        <w:rPr>
          <w:kern w:val="0"/>
        </w:rPr>
        <w:t xml:space="preserve"> of </w:t>
      </w:r>
      <w:r>
        <w:rPr>
          <w:kern w:val="0"/>
        </w:rPr>
        <w:t>1521 studies were excluded because they were not relevant to the review topic</w:t>
      </w:r>
      <w:r w:rsidR="005853A9">
        <w:rPr>
          <w:kern w:val="0"/>
        </w:rPr>
        <w:t xml:space="preserve"> and </w:t>
      </w:r>
      <w:r>
        <w:rPr>
          <w:kern w:val="0"/>
        </w:rPr>
        <w:t>two studies were excluded because they were case-control studies. Authors</w:t>
      </w:r>
      <w:r w:rsidR="0071223E">
        <w:rPr>
          <w:kern w:val="0"/>
        </w:rPr>
        <w:t>’</w:t>
      </w:r>
      <w:r>
        <w:rPr>
          <w:kern w:val="0"/>
        </w:rPr>
        <w:t xml:space="preserve"> conclusion Evidence that supports the efficacy</w:t>
      </w:r>
      <w:r w:rsidR="00427468">
        <w:rPr>
          <w:kern w:val="0"/>
        </w:rPr>
        <w:t xml:space="preserve"> of </w:t>
      </w:r>
      <w:r>
        <w:rPr>
          <w:kern w:val="0"/>
        </w:rPr>
        <w:t>DCS with respect to traditional laparotomy in patients with major abdominal trauma is limited.</w:t>
      </w:r>
    </w:p>
    <w:p w:rsidR="00365DE4" w:rsidRDefault="00365DE4" w:rsidP="00365DE4">
      <w:pPr>
        <w:pStyle w:val="a3"/>
        <w:rPr>
          <w:kern w:val="0"/>
        </w:rPr>
      </w:pPr>
      <w:r>
        <w:rPr>
          <w:kern w:val="0"/>
        </w:rPr>
        <w:t>Keywords: Authors, Case-Control, Citation, Coagulopathy, Consecutive Patients, Experience, Hemorrhage, Hepatic-Trauma, Injury</w:t>
      </w:r>
      <w:r w:rsidR="00D5664A">
        <w:rPr>
          <w:kern w:val="0"/>
        </w:rPr>
        <w:t>, ISI,</w:t>
      </w:r>
      <w:r>
        <w:rPr>
          <w:kern w:val="0"/>
        </w:rPr>
        <w:t xml:space="preserve"> Laparotomy, Management, </w:t>
      </w:r>
      <w:r w:rsidR="00D5664A">
        <w:rPr>
          <w:kern w:val="0"/>
        </w:rPr>
        <w:t>MEDLINE</w:t>
      </w:r>
      <w:r>
        <w:rPr>
          <w:kern w:val="0"/>
        </w:rPr>
        <w:t xml:space="preserve">, Publication, Review, Science, Science Citation Index, Surgery, Survival, Topic,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Hillier, S.L., Louw, Q., Morris, L., Uwimana, J.</w:t>
      </w:r>
      <w:r w:rsidR="005853A9">
        <w:rPr>
          <w:kern w:val="0"/>
        </w:rPr>
        <w:t xml:space="preserve"> and </w:t>
      </w:r>
      <w:r>
        <w:rPr>
          <w:kern w:val="0"/>
        </w:rPr>
        <w:t xml:space="preserve">Statham, S. (2010), Massage therapy for people with HIV/AIDS.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CD007502.</w:t>
      </w:r>
    </w:p>
    <w:p w:rsidR="00365DE4" w:rsidRDefault="00365DE4" w:rsidP="00365DE4">
      <w:pPr>
        <w:pStyle w:val="a3"/>
        <w:rPr>
          <w:kern w:val="2"/>
        </w:rPr>
      </w:pPr>
      <w:r>
        <w:t xml:space="preserve">Full Text: </w:t>
      </w:r>
      <w:hyperlink r:id="rId571" w:history="1">
        <w:r>
          <w:rPr>
            <w:rStyle w:val="a5"/>
          </w:rPr>
          <w:t>2010\Coc Dat Sys Rev2010, CD007502.pdf</w:t>
        </w:r>
      </w:hyperlink>
    </w:p>
    <w:p w:rsidR="00365DE4" w:rsidRDefault="00365DE4" w:rsidP="00365DE4">
      <w:pPr>
        <w:pStyle w:val="a3"/>
        <w:rPr>
          <w:kern w:val="0"/>
        </w:rPr>
      </w:pPr>
      <w:r>
        <w:rPr>
          <w:kern w:val="0"/>
        </w:rPr>
        <w:t>Abstract: Background Infection with human immunodeficency virus (HIV)</w:t>
      </w:r>
      <w:r w:rsidR="005853A9">
        <w:rPr>
          <w:kern w:val="0"/>
        </w:rPr>
        <w:t xml:space="preserve"> and </w:t>
      </w:r>
      <w:r>
        <w:rPr>
          <w:kern w:val="0"/>
        </w:rPr>
        <w:t>acquired immunodeficency syndrome (AIDS) is a pandemic that has affected millions</w:t>
      </w:r>
      <w:r w:rsidR="00427468">
        <w:rPr>
          <w:kern w:val="0"/>
        </w:rPr>
        <w:t xml:space="preserve"> of </w:t>
      </w:r>
      <w:r>
        <w:rPr>
          <w:kern w:val="0"/>
        </w:rPr>
        <w:t>people globally. Although major research</w:t>
      </w:r>
      <w:r w:rsidR="005853A9">
        <w:rPr>
          <w:kern w:val="0"/>
        </w:rPr>
        <w:t xml:space="preserve"> and </w:t>
      </w:r>
      <w:r>
        <w:rPr>
          <w:kern w:val="0"/>
        </w:rPr>
        <w:t>clinical initiatives are addressing prevention</w:t>
      </w:r>
      <w:r w:rsidR="005853A9">
        <w:rPr>
          <w:kern w:val="0"/>
        </w:rPr>
        <w:t xml:space="preserve"> and </w:t>
      </w:r>
      <w:r>
        <w:rPr>
          <w:kern w:val="0"/>
        </w:rPr>
        <w:t>cure strategies, issues</w:t>
      </w:r>
      <w:r w:rsidR="00427468">
        <w:rPr>
          <w:kern w:val="0"/>
        </w:rPr>
        <w:t xml:space="preserve"> of </w:t>
      </w:r>
      <w:r>
        <w:rPr>
          <w:kern w:val="0"/>
        </w:rPr>
        <w:t>quality</w:t>
      </w:r>
      <w:r w:rsidR="00427468">
        <w:rPr>
          <w:kern w:val="0"/>
        </w:rPr>
        <w:t xml:space="preserve"> of </w:t>
      </w:r>
      <w:r>
        <w:rPr>
          <w:kern w:val="0"/>
        </w:rPr>
        <w:t>life for survivors have received less attention. Massage therapy is proposed to have a positive effect on quality</w:t>
      </w:r>
      <w:r w:rsidR="00427468">
        <w:rPr>
          <w:kern w:val="0"/>
        </w:rPr>
        <w:t xml:space="preserve"> of </w:t>
      </w:r>
      <w:r>
        <w:rPr>
          <w:kern w:val="0"/>
        </w:rPr>
        <w:t>life</w:t>
      </w:r>
      <w:r w:rsidR="005853A9">
        <w:rPr>
          <w:kern w:val="0"/>
        </w:rPr>
        <w:t xml:space="preserve"> and </w:t>
      </w:r>
      <w:r>
        <w:rPr>
          <w:kern w:val="0"/>
        </w:rPr>
        <w:t>may also have a positive effect on immune function through stress mediation. Objectives The objective</w:t>
      </w:r>
      <w:r w:rsidR="00427468">
        <w:rPr>
          <w:kern w:val="0"/>
        </w:rPr>
        <w:t xml:space="preserve"> of </w:t>
      </w:r>
      <w:r>
        <w:rPr>
          <w:kern w:val="0"/>
        </w:rPr>
        <w:t xml:space="preserve">this systematic review was to examine the </w:t>
      </w:r>
      <w:r>
        <w:rPr>
          <w:kern w:val="0"/>
        </w:rPr>
        <w:lastRenderedPageBreak/>
        <w:t>safety</w:t>
      </w:r>
      <w:r w:rsidR="005853A9">
        <w:rPr>
          <w:kern w:val="0"/>
        </w:rPr>
        <w:t xml:space="preserve"> and </w:t>
      </w:r>
      <w:r>
        <w:rPr>
          <w:kern w:val="0"/>
        </w:rPr>
        <w:t>effectiveness</w:t>
      </w:r>
      <w:r w:rsidR="00427468">
        <w:rPr>
          <w:kern w:val="0"/>
        </w:rPr>
        <w:t xml:space="preserve"> of </w:t>
      </w:r>
      <w:r>
        <w:rPr>
          <w:kern w:val="0"/>
        </w:rPr>
        <w:t>massage therapy on quality</w:t>
      </w:r>
      <w:r w:rsidR="00427468">
        <w:rPr>
          <w:kern w:val="0"/>
        </w:rPr>
        <w:t xml:space="preserve"> of </w:t>
      </w:r>
      <w:r>
        <w:rPr>
          <w:kern w:val="0"/>
        </w:rPr>
        <w:t>life, pain</w:t>
      </w:r>
      <w:r w:rsidR="005853A9">
        <w:rPr>
          <w:kern w:val="0"/>
        </w:rPr>
        <w:t xml:space="preserve"> and </w:t>
      </w:r>
      <w:r>
        <w:rPr>
          <w:kern w:val="0"/>
        </w:rPr>
        <w:t>immune system parameters in people living with HIV/AIDS. Search strategy A comprehensive search strategy was devised incorporating appropriate terms for HIV/AIDS, randomised controlled trials (RCTs), massage therapy</w:t>
      </w:r>
      <w:r w:rsidR="005853A9">
        <w:rPr>
          <w:kern w:val="0"/>
        </w:rPr>
        <w:t xml:space="preserve"> and </w:t>
      </w:r>
      <w:r>
        <w:rPr>
          <w:kern w:val="0"/>
        </w:rPr>
        <w:t>the pertinent measures</w:t>
      </w:r>
      <w:r w:rsidR="00427468">
        <w:rPr>
          <w:kern w:val="0"/>
        </w:rPr>
        <w:t xml:space="preserve"> of </w:t>
      </w:r>
      <w:r>
        <w:rPr>
          <w:kern w:val="0"/>
        </w:rPr>
        <w:t>benefit. All electronic databases identified were searched in November 2008, including Cochrane Group Trials Register, Cochrane Central Register</w:t>
      </w:r>
      <w:r w:rsidR="00427468">
        <w:rPr>
          <w:kern w:val="0"/>
        </w:rPr>
        <w:t xml:space="preserve"> of </w:t>
      </w:r>
      <w:r>
        <w:rPr>
          <w:kern w:val="0"/>
        </w:rPr>
        <w:t xml:space="preserve">Controlled Trials (CENTRAL), </w:t>
      </w:r>
      <w:r w:rsidR="00D5664A">
        <w:rPr>
          <w:kern w:val="0"/>
        </w:rPr>
        <w:t>MEDLINE</w:t>
      </w:r>
      <w:r>
        <w:rPr>
          <w:kern w:val="0"/>
        </w:rPr>
        <w:t>, EMBASE, SCIENCE CITATION INDEX, AIDSLINE, AIDSearch, CINAHL, HEALTHSTAR, PsycLIT, AMED, Current Contents, AMI, NLM GATEWAY, LILACS, IndMed, SOCIOFILE</w:t>
      </w:r>
      <w:r w:rsidR="00D5664A">
        <w:rPr>
          <w:kern w:val="0"/>
        </w:rPr>
        <w:t>, SCI,</w:t>
      </w:r>
      <w:r>
        <w:rPr>
          <w:kern w:val="0"/>
        </w:rPr>
        <w:t xml:space="preserve"> </w:t>
      </w:r>
      <w:r w:rsidR="00D5664A">
        <w:rPr>
          <w:kern w:val="0"/>
        </w:rPr>
        <w:t>SSCI</w:t>
      </w:r>
      <w:r>
        <w:rPr>
          <w:kern w:val="0"/>
        </w:rPr>
        <w:t>, ERIC</w:t>
      </w:r>
      <w:r w:rsidR="005853A9">
        <w:rPr>
          <w:kern w:val="0"/>
        </w:rPr>
        <w:t xml:space="preserve"> and </w:t>
      </w:r>
      <w:r>
        <w:rPr>
          <w:kern w:val="0"/>
        </w:rPr>
        <w:t>DAI. We also reviewed relevant published</w:t>
      </w:r>
      <w:r w:rsidR="005853A9">
        <w:rPr>
          <w:kern w:val="0"/>
        </w:rPr>
        <w:t xml:space="preserve"> and </w:t>
      </w:r>
      <w:r>
        <w:rPr>
          <w:kern w:val="0"/>
        </w:rPr>
        <w:t>unpublished conference abstracts</w:t>
      </w:r>
      <w:r w:rsidR="005853A9">
        <w:rPr>
          <w:kern w:val="0"/>
        </w:rPr>
        <w:t xml:space="preserve"> and </w:t>
      </w:r>
      <w:r>
        <w:rPr>
          <w:kern w:val="0"/>
        </w:rPr>
        <w:t>proceedings</w:t>
      </w:r>
      <w:r w:rsidR="005853A9">
        <w:rPr>
          <w:kern w:val="0"/>
        </w:rPr>
        <w:t xml:space="preserve"> and </w:t>
      </w:r>
      <w:r>
        <w:rPr>
          <w:kern w:val="0"/>
        </w:rPr>
        <w:t>scrutinised reference lists from pertinent journals</w:t>
      </w:r>
      <w:r w:rsidR="00A37C1D">
        <w:rPr>
          <w:kern w:val="0"/>
        </w:rPr>
        <w:t>. The</w:t>
      </w:r>
      <w:r>
        <w:rPr>
          <w:kern w:val="0"/>
        </w:rPr>
        <w:t>re were no language or date restrictions. Selection criteria Studies were identified by two reviewers based on trial design (RCTs)</w:t>
      </w:r>
      <w:r w:rsidR="005853A9">
        <w:rPr>
          <w:kern w:val="0"/>
        </w:rPr>
        <w:t xml:space="preserve"> and </w:t>
      </w:r>
      <w:r>
        <w:rPr>
          <w:kern w:val="0"/>
        </w:rPr>
        <w:t>participants (ie, people</w:t>
      </w:r>
      <w:r w:rsidR="00427468">
        <w:rPr>
          <w:kern w:val="0"/>
        </w:rPr>
        <w:t xml:space="preserve"> of </w:t>
      </w:r>
      <w:r>
        <w:rPr>
          <w:kern w:val="0"/>
        </w:rPr>
        <w:t>any age with HIV/AIDS, at any stage</w:t>
      </w:r>
      <w:r w:rsidR="00427468">
        <w:rPr>
          <w:kern w:val="0"/>
        </w:rPr>
        <w:t xml:space="preserve"> of </w:t>
      </w:r>
      <w:r>
        <w:rPr>
          <w:kern w:val="0"/>
        </w:rPr>
        <w:t>the disease) who had undergone an intervention that included massage therapy for the identified aims</w:t>
      </w:r>
      <w:r w:rsidR="00427468">
        <w:rPr>
          <w:kern w:val="0"/>
        </w:rPr>
        <w:t xml:space="preserve"> of </w:t>
      </w:r>
      <w:r>
        <w:rPr>
          <w:kern w:val="0"/>
        </w:rPr>
        <w:t>improving quality</w:t>
      </w:r>
      <w:r w:rsidR="00427468">
        <w:rPr>
          <w:kern w:val="0"/>
        </w:rPr>
        <w:t xml:space="preserve"> of </w:t>
      </w:r>
      <w:r>
        <w:rPr>
          <w:kern w:val="0"/>
        </w:rPr>
        <w:t>life</w:t>
      </w:r>
      <w:r w:rsidR="005853A9">
        <w:rPr>
          <w:kern w:val="0"/>
        </w:rPr>
        <w:t xml:space="preserve"> and </w:t>
      </w:r>
      <w:r>
        <w:rPr>
          <w:kern w:val="0"/>
        </w:rPr>
        <w:t>activity</w:t>
      </w:r>
      <w:r w:rsidR="005853A9">
        <w:rPr>
          <w:kern w:val="0"/>
        </w:rPr>
        <w:t xml:space="preserve"> and </w:t>
      </w:r>
      <w:r>
        <w:rPr>
          <w:kern w:val="0"/>
        </w:rPr>
        <w:t>participation levels, improving immune function, reducing pain</w:t>
      </w:r>
      <w:r w:rsidR="005853A9">
        <w:rPr>
          <w:kern w:val="0"/>
        </w:rPr>
        <w:t xml:space="preserve"> and </w:t>
      </w:r>
      <w:r>
        <w:rPr>
          <w:kern w:val="0"/>
        </w:rPr>
        <w:t>improving other physiological or psychological impairments. Datacollection</w:t>
      </w:r>
      <w:r w:rsidR="005853A9">
        <w:rPr>
          <w:kern w:val="0"/>
        </w:rPr>
        <w:t xml:space="preserve"> and </w:t>
      </w:r>
      <w:r>
        <w:rPr>
          <w:kern w:val="0"/>
        </w:rPr>
        <w:t>analysis Two reviewers independently identified included studies</w:t>
      </w:r>
      <w:r w:rsidR="005853A9">
        <w:rPr>
          <w:kern w:val="0"/>
        </w:rPr>
        <w:t xml:space="preserve"> and </w:t>
      </w:r>
      <w:r>
        <w:rPr>
          <w:kern w:val="0"/>
        </w:rPr>
        <w:t>extracted relevant data. Two other reviewers independently reviewed the included studies for risk</w:t>
      </w:r>
      <w:r w:rsidR="00427468">
        <w:rPr>
          <w:kern w:val="0"/>
        </w:rPr>
        <w:t xml:space="preserve"> of </w:t>
      </w:r>
      <w:r>
        <w:rPr>
          <w:kern w:val="0"/>
        </w:rPr>
        <w:t>bias. All data</w:t>
      </w:r>
      <w:r w:rsidR="005853A9">
        <w:rPr>
          <w:kern w:val="0"/>
        </w:rPr>
        <w:t xml:space="preserve"> and </w:t>
      </w:r>
      <w:r>
        <w:rPr>
          <w:kern w:val="0"/>
        </w:rPr>
        <w:t>risk</w:t>
      </w:r>
      <w:r w:rsidR="00427468">
        <w:rPr>
          <w:kern w:val="0"/>
        </w:rPr>
        <w:t xml:space="preserve"> of </w:t>
      </w:r>
      <w:r>
        <w:rPr>
          <w:kern w:val="0"/>
        </w:rPr>
        <w:t>bias judgements were entered into Revman (v5)</w:t>
      </w:r>
      <w:r w:rsidR="005853A9">
        <w:rPr>
          <w:kern w:val="0"/>
        </w:rPr>
        <w:t xml:space="preserve"> and </w:t>
      </w:r>
      <w:r>
        <w:rPr>
          <w:kern w:val="0"/>
        </w:rPr>
        <w:t>meta-analyses were conducted where appropriate. Main results Twelve papers were identified, from which four were included</w:t>
      </w:r>
      <w:r w:rsidR="00A37C1D">
        <w:rPr>
          <w:kern w:val="0"/>
        </w:rPr>
        <w:t>. The</w:t>
      </w:r>
      <w:r>
        <w:rPr>
          <w:kern w:val="0"/>
        </w:rPr>
        <w:t xml:space="preserve"> remaining eight papers were excluded predominantly due to inappropriate methodology</w:t>
      </w:r>
      <w:r w:rsidR="00A37C1D">
        <w:rPr>
          <w:kern w:val="0"/>
        </w:rPr>
        <w:t>. The</w:t>
      </w:r>
      <w:r>
        <w:rPr>
          <w:kern w:val="0"/>
        </w:rPr>
        <w:t xml:space="preserve"> four included studies were highly clinically heterogenous, investigating a range</w:t>
      </w:r>
      <w:r w:rsidR="00427468">
        <w:rPr>
          <w:kern w:val="0"/>
        </w:rPr>
        <w:t xml:space="preserve"> of </w:t>
      </w:r>
      <w:r>
        <w:rPr>
          <w:kern w:val="0"/>
        </w:rPr>
        <w:t>age groups (ie, children, adolescents</w:t>
      </w:r>
      <w:r w:rsidR="005853A9">
        <w:rPr>
          <w:kern w:val="0"/>
        </w:rPr>
        <w:t xml:space="preserve"> and </w:t>
      </w:r>
      <w:r>
        <w:rPr>
          <w:kern w:val="0"/>
        </w:rPr>
        <w:t>adults) across the disease spectrum from early HIV through late-stage AIDS</w:t>
      </w:r>
      <w:r w:rsidR="00A37C1D">
        <w:rPr>
          <w:kern w:val="0"/>
        </w:rPr>
        <w:t>. The</w:t>
      </w:r>
      <w:r>
        <w:rPr>
          <w:kern w:val="0"/>
        </w:rPr>
        <w:t xml:space="preserve"> settings were either community or palliative care,</w:t>
      </w:r>
      <w:r w:rsidR="005853A9">
        <w:rPr>
          <w:kern w:val="0"/>
        </w:rPr>
        <w:t xml:space="preserve"> and </w:t>
      </w:r>
      <w:r>
        <w:rPr>
          <w:kern w:val="0"/>
        </w:rPr>
        <w:t>the outcome measures were a combination</w:t>
      </w:r>
      <w:r w:rsidR="00427468">
        <w:rPr>
          <w:kern w:val="0"/>
        </w:rPr>
        <w:t xml:space="preserve"> of </w:t>
      </w:r>
      <w:r>
        <w:rPr>
          <w:kern w:val="0"/>
        </w:rPr>
        <w:t>quality</w:t>
      </w:r>
      <w:r w:rsidR="00427468">
        <w:rPr>
          <w:kern w:val="0"/>
        </w:rPr>
        <w:t xml:space="preserve"> of </w:t>
      </w:r>
      <w:r>
        <w:rPr>
          <w:kern w:val="0"/>
        </w:rPr>
        <w:t>life</w:t>
      </w:r>
      <w:r w:rsidR="005853A9">
        <w:rPr>
          <w:kern w:val="0"/>
        </w:rPr>
        <w:t xml:space="preserve"> and </w:t>
      </w:r>
      <w:r>
        <w:rPr>
          <w:kern w:val="0"/>
        </w:rPr>
        <w:t>immunological function</w:t>
      </w:r>
      <w:r w:rsidR="00A37C1D">
        <w:rPr>
          <w:kern w:val="0"/>
        </w:rPr>
        <w:t>. The</w:t>
      </w:r>
      <w:r>
        <w:rPr>
          <w:kern w:val="0"/>
        </w:rPr>
        <w:t xml:space="preserve"> trials were judged to be at moderate risk</w:t>
      </w:r>
      <w:r w:rsidR="00427468">
        <w:rPr>
          <w:kern w:val="0"/>
        </w:rPr>
        <w:t xml:space="preserve"> of </w:t>
      </w:r>
      <w:r>
        <w:rPr>
          <w:kern w:val="0"/>
        </w:rPr>
        <w:t>bias mostly because</w:t>
      </w:r>
      <w:r w:rsidR="00427468">
        <w:rPr>
          <w:kern w:val="0"/>
        </w:rPr>
        <w:t xml:space="preserve"> of </w:t>
      </w:r>
      <w:r>
        <w:rPr>
          <w:kern w:val="0"/>
        </w:rPr>
        <w:t>incomplete reporting. For quality</w:t>
      </w:r>
      <w:r w:rsidR="00427468">
        <w:rPr>
          <w:kern w:val="0"/>
        </w:rPr>
        <w:t xml:space="preserve"> of </w:t>
      </w:r>
      <w:r>
        <w:rPr>
          <w:kern w:val="0"/>
        </w:rPr>
        <w:t>life measures, the studies reported that massage therapy in combination with other modalities, such as meditation</w:t>
      </w:r>
      <w:r w:rsidR="005853A9">
        <w:rPr>
          <w:kern w:val="0"/>
        </w:rPr>
        <w:t xml:space="preserve"> and </w:t>
      </w:r>
      <w:r>
        <w:rPr>
          <w:kern w:val="0"/>
        </w:rPr>
        <w:t>stress reduction, are superior to massage therapy alone or to the other modalities alone</w:t>
      </w:r>
      <w:r w:rsidR="00A37C1D">
        <w:rPr>
          <w:kern w:val="0"/>
        </w:rPr>
        <w:t>. The</w:t>
      </w:r>
      <w:r>
        <w:rPr>
          <w:kern w:val="0"/>
        </w:rPr>
        <w:t xml:space="preserve"> quality</w:t>
      </w:r>
      <w:r w:rsidR="00427468">
        <w:rPr>
          <w:kern w:val="0"/>
        </w:rPr>
        <w:t xml:space="preserve"> of </w:t>
      </w:r>
      <w:r>
        <w:rPr>
          <w:kern w:val="0"/>
        </w:rPr>
        <w:t>life domains with significant effect sizes included self-reported reduced use</w:t>
      </w:r>
      <w:r w:rsidR="00427468">
        <w:rPr>
          <w:kern w:val="0"/>
        </w:rPr>
        <w:t xml:space="preserve"> of </w:t>
      </w:r>
      <w:r>
        <w:rPr>
          <w:kern w:val="0"/>
        </w:rPr>
        <w:t>health care resources, improvement in self-perceived spiritual quality</w:t>
      </w:r>
      <w:r w:rsidR="00427468">
        <w:rPr>
          <w:kern w:val="0"/>
        </w:rPr>
        <w:t xml:space="preserve"> of </w:t>
      </w:r>
      <w:r>
        <w:rPr>
          <w:kern w:val="0"/>
        </w:rPr>
        <w:t>life</w:t>
      </w:r>
      <w:r w:rsidR="005853A9">
        <w:rPr>
          <w:kern w:val="0"/>
        </w:rPr>
        <w:t xml:space="preserve"> and </w:t>
      </w:r>
      <w:r>
        <w:rPr>
          <w:kern w:val="0"/>
        </w:rPr>
        <w:t>improvement in total quality</w:t>
      </w:r>
      <w:r w:rsidR="00427468">
        <w:rPr>
          <w:kern w:val="0"/>
        </w:rPr>
        <w:t xml:space="preserve"> of </w:t>
      </w:r>
      <w:r>
        <w:rPr>
          <w:kern w:val="0"/>
        </w:rPr>
        <w:t>life scores. One study also reported positive changes in immune function, in particular CD4+ cell count</w:t>
      </w:r>
      <w:r w:rsidR="005853A9">
        <w:rPr>
          <w:kern w:val="0"/>
        </w:rPr>
        <w:t xml:space="preserve"> and </w:t>
      </w:r>
      <w:r>
        <w:rPr>
          <w:kern w:val="0"/>
        </w:rPr>
        <w:t>natural killer cell counts, due to massage therapy,</w:t>
      </w:r>
      <w:r w:rsidR="005853A9">
        <w:rPr>
          <w:kern w:val="0"/>
        </w:rPr>
        <w:t xml:space="preserve"> and </w:t>
      </w:r>
      <w:r>
        <w:rPr>
          <w:kern w:val="0"/>
        </w:rPr>
        <w:t>one study reported no difference between people given massage therapy</w:t>
      </w:r>
      <w:r w:rsidR="005853A9">
        <w:rPr>
          <w:kern w:val="0"/>
        </w:rPr>
        <w:t xml:space="preserve"> and </w:t>
      </w:r>
      <w:r>
        <w:rPr>
          <w:kern w:val="0"/>
        </w:rPr>
        <w:t>controls in immune parameters. Adverse or harmful effects were not well reported. Authors</w:t>
      </w:r>
      <w:r w:rsidR="0071223E">
        <w:rPr>
          <w:kern w:val="0"/>
        </w:rPr>
        <w:t>’</w:t>
      </w:r>
      <w:r>
        <w:rPr>
          <w:kern w:val="0"/>
        </w:rPr>
        <w:t xml:space="preserve"> conclusions There is some evidence to support the use</w:t>
      </w:r>
      <w:r w:rsidR="00427468">
        <w:rPr>
          <w:kern w:val="0"/>
        </w:rPr>
        <w:t xml:space="preserve"> of </w:t>
      </w:r>
      <w:r>
        <w:rPr>
          <w:kern w:val="0"/>
        </w:rPr>
        <w:t>massage therapy to improve quality</w:t>
      </w:r>
      <w:r w:rsidR="00427468">
        <w:rPr>
          <w:kern w:val="0"/>
        </w:rPr>
        <w:t xml:space="preserve"> of </w:t>
      </w:r>
      <w:r>
        <w:rPr>
          <w:kern w:val="0"/>
        </w:rPr>
        <w:t xml:space="preserve">life for people living with HIV/AIDS </w:t>
      </w:r>
      <w:r>
        <w:rPr>
          <w:kern w:val="0"/>
        </w:rPr>
        <w:lastRenderedPageBreak/>
        <w:t>(PLWHA), particularly in combination with other stress-management modalities,</w:t>
      </w:r>
      <w:r w:rsidR="005853A9">
        <w:rPr>
          <w:kern w:val="0"/>
        </w:rPr>
        <w:t xml:space="preserve"> and </w:t>
      </w:r>
      <w:r>
        <w:rPr>
          <w:kern w:val="0"/>
        </w:rPr>
        <w:t>that massage therapymay have a positive effect on immunological function</w:t>
      </w:r>
      <w:r w:rsidR="00A37C1D">
        <w:rPr>
          <w:kern w:val="0"/>
        </w:rPr>
        <w:t>. The</w:t>
      </w:r>
      <w:r>
        <w:rPr>
          <w:kern w:val="0"/>
        </w:rPr>
        <w:t xml:space="preserve"> trials are small, however,</w:t>
      </w:r>
      <w:r w:rsidR="005853A9">
        <w:rPr>
          <w:kern w:val="0"/>
        </w:rPr>
        <w:t xml:space="preserve"> and </w:t>
      </w:r>
      <w:r>
        <w:rPr>
          <w:kern w:val="0"/>
        </w:rPr>
        <w:t>at moderate risk</w:t>
      </w:r>
      <w:r w:rsidR="00427468">
        <w:rPr>
          <w:kern w:val="0"/>
        </w:rPr>
        <w:t xml:space="preserve"> of </w:t>
      </w:r>
      <w:r>
        <w:rPr>
          <w:kern w:val="0"/>
        </w:rPr>
        <w:t>bias. Further studies are needed using larger sample sizes</w:t>
      </w:r>
      <w:r w:rsidR="005853A9">
        <w:rPr>
          <w:kern w:val="0"/>
        </w:rPr>
        <w:t xml:space="preserve"> and </w:t>
      </w:r>
      <w:r>
        <w:rPr>
          <w:kern w:val="0"/>
        </w:rPr>
        <w:t>rigorous design/reporting before massage therapy can be strongly recommended for PLWHA.</w:t>
      </w:r>
    </w:p>
    <w:p w:rsidR="00365DE4" w:rsidRDefault="00365DE4" w:rsidP="00365DE4">
      <w:pPr>
        <w:pStyle w:val="a3"/>
        <w:rPr>
          <w:kern w:val="0"/>
        </w:rPr>
      </w:pPr>
      <w:r>
        <w:rPr>
          <w:kern w:val="0"/>
        </w:rPr>
        <w:t xml:space="preserve">Keywords: Aids, Authors, Citation, Citation Indexes, Citation-Index, Complementary Therapies, Databases, Dominican Children, Efficacy, Groups, Health, Health Care, HIV, Human-Immunodeficiency-Virus, Improved Immune, Index, Indexes, Journals, </w:t>
      </w:r>
      <w:r w:rsidR="00D5664A">
        <w:rPr>
          <w:kern w:val="0"/>
        </w:rPr>
        <w:t>MEDLINE</w:t>
      </w:r>
      <w:r>
        <w:rPr>
          <w:kern w:val="0"/>
        </w:rPr>
        <w:t>, Palliative Care, Positive, Quality, Research, Review, Risk</w:t>
      </w:r>
      <w:r w:rsidR="00D5664A">
        <w:rPr>
          <w:kern w:val="0"/>
        </w:rPr>
        <w:t>, SCI,</w:t>
      </w:r>
      <w:r>
        <w:rPr>
          <w:kern w:val="0"/>
        </w:rPr>
        <w:t xml:space="preserve"> Science, Science Citation, Science-Citation-Index, System, Systematic Review</w:t>
      </w:r>
    </w:p>
    <w:p w:rsidR="00365DE4" w:rsidRDefault="00365DE4" w:rsidP="00365DE4">
      <w:pPr>
        <w:pStyle w:val="a3"/>
        <w:rPr>
          <w:kern w:val="0"/>
        </w:rPr>
      </w:pPr>
      <w:r>
        <w:rPr>
          <w:kern w:val="0"/>
        </w:rPr>
        <w:t>? Perel, P., Roberts, I., Shakur, H., Thinkhamrop, B., Phuenpathom, N.</w:t>
      </w:r>
      <w:r w:rsidR="005853A9">
        <w:rPr>
          <w:kern w:val="0"/>
        </w:rPr>
        <w:t xml:space="preserve"> and </w:t>
      </w:r>
      <w:r>
        <w:rPr>
          <w:kern w:val="0"/>
        </w:rPr>
        <w:t xml:space="preserve">Yutthakasemsunt, S. (2010), Haemostatic drugs for traumatic brain injury.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CD007877.</w:t>
      </w:r>
    </w:p>
    <w:p w:rsidR="00365DE4" w:rsidRDefault="00365DE4" w:rsidP="00365DE4">
      <w:pPr>
        <w:pStyle w:val="a3"/>
        <w:rPr>
          <w:kern w:val="2"/>
        </w:rPr>
      </w:pPr>
      <w:r>
        <w:t xml:space="preserve">Full Text: </w:t>
      </w:r>
      <w:hyperlink r:id="rId572" w:history="1">
        <w:r>
          <w:rPr>
            <w:rStyle w:val="a5"/>
          </w:rPr>
          <w:t>2010\Coc Dat Sys Rev2010, CD007877.pdf</w:t>
        </w:r>
      </w:hyperlink>
    </w:p>
    <w:p w:rsidR="00365DE4" w:rsidRDefault="00365DE4" w:rsidP="00365DE4">
      <w:pPr>
        <w:pStyle w:val="a3"/>
        <w:rPr>
          <w:kern w:val="0"/>
        </w:rPr>
      </w:pPr>
      <w:r>
        <w:rPr>
          <w:kern w:val="0"/>
        </w:rPr>
        <w:t>Abstract: Back ground Traumatic brain injury (TBI) is a leading cause</w:t>
      </w:r>
      <w:r w:rsidR="00427468">
        <w:rPr>
          <w:kern w:val="0"/>
        </w:rPr>
        <w:t xml:space="preserve"> of </w:t>
      </w:r>
      <w:r>
        <w:rPr>
          <w:kern w:val="0"/>
        </w:rPr>
        <w:t>death</w:t>
      </w:r>
      <w:r w:rsidR="005853A9">
        <w:rPr>
          <w:kern w:val="0"/>
        </w:rPr>
        <w:t xml:space="preserve"> and </w:t>
      </w:r>
      <w:r>
        <w:rPr>
          <w:kern w:val="0"/>
        </w:rPr>
        <w:t>disability. Intracranial bleeding is a common complication</w:t>
      </w:r>
      <w:r w:rsidR="00427468">
        <w:rPr>
          <w:kern w:val="0"/>
        </w:rPr>
        <w:t xml:space="preserve"> of </w:t>
      </w:r>
      <w:r>
        <w:rPr>
          <w:kern w:val="0"/>
        </w:rPr>
        <w:t>TBI,</w:t>
      </w:r>
      <w:r w:rsidR="005853A9">
        <w:rPr>
          <w:kern w:val="0"/>
        </w:rPr>
        <w:t xml:space="preserve"> and </w:t>
      </w:r>
      <w:r>
        <w:rPr>
          <w:kern w:val="0"/>
        </w:rPr>
        <w:t>intracranial bleeding can develop or worsen after hospital admission. Haemostatic drugsmay reduce the occurrence or size</w:t>
      </w:r>
      <w:r w:rsidR="00427468">
        <w:rPr>
          <w:kern w:val="0"/>
        </w:rPr>
        <w:t xml:space="preserve"> of </w:t>
      </w:r>
      <w:r>
        <w:rPr>
          <w:kern w:val="0"/>
        </w:rPr>
        <w:t>intracranial bleeds</w:t>
      </w:r>
      <w:r w:rsidR="005853A9">
        <w:rPr>
          <w:kern w:val="0"/>
        </w:rPr>
        <w:t xml:space="preserve"> and </w:t>
      </w:r>
      <w:r>
        <w:rPr>
          <w:kern w:val="0"/>
        </w:rPr>
        <w:t>consequently lower the morbidity</w:t>
      </w:r>
      <w:r w:rsidR="005853A9">
        <w:rPr>
          <w:kern w:val="0"/>
        </w:rPr>
        <w:t xml:space="preserve"> and </w:t>
      </w:r>
      <w:r>
        <w:rPr>
          <w:kern w:val="0"/>
        </w:rPr>
        <w:t>mortality associated with TBI. Objectives To assess the effects</w:t>
      </w:r>
      <w:r w:rsidR="00427468">
        <w:rPr>
          <w:kern w:val="0"/>
        </w:rPr>
        <w:t xml:space="preserve"> of </w:t>
      </w:r>
      <w:r>
        <w:rPr>
          <w:kern w:val="0"/>
        </w:rPr>
        <w:t>haemostatic drugs on mortality, disability</w:t>
      </w:r>
      <w:r w:rsidR="005853A9">
        <w:rPr>
          <w:kern w:val="0"/>
        </w:rPr>
        <w:t xml:space="preserve"> and </w:t>
      </w:r>
      <w:r>
        <w:rPr>
          <w:kern w:val="0"/>
        </w:rPr>
        <w:t xml:space="preserve">thrombotic complications in patients with traumatic brain injury. Search strategy We searched the electronic databases: Cochrane Injuries Group Specialised Register (3 February 2009), CENTRAL (The Cochrane Library 2009, Issue 1), </w:t>
      </w:r>
      <w:r w:rsidR="00D5664A">
        <w:rPr>
          <w:kern w:val="0"/>
        </w:rPr>
        <w:t>MEDLINE</w:t>
      </w:r>
      <w:r>
        <w:rPr>
          <w:kern w:val="0"/>
        </w:rPr>
        <w:t xml:space="preserve"> (1950 to Week 3 2009), PUBMED (searched 3 February 2009 (last 180 days)), EMBASE (1980 to Week 4 2009), CINAHL (1982 to January 2009),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January 2009), ISI </w:t>
      </w:r>
      <w:r w:rsidR="00D5664A">
        <w:rPr>
          <w:kern w:val="0"/>
        </w:rPr>
        <w:t>Web</w:t>
      </w:r>
      <w:r w:rsidR="00427468">
        <w:rPr>
          <w:kern w:val="0"/>
        </w:rPr>
        <w:t xml:space="preserve"> of </w:t>
      </w:r>
      <w:r w:rsidR="00D5664A">
        <w:rPr>
          <w:kern w:val="0"/>
        </w:rPr>
        <w:t>Science</w:t>
      </w:r>
      <w:r>
        <w:rPr>
          <w:kern w:val="0"/>
        </w:rPr>
        <w:t>: Conference Proceedings Citation Index-Science (CPCI-S) (1990 to January 2009). Selection criteria We included published</w:t>
      </w:r>
      <w:r w:rsidR="005853A9">
        <w:rPr>
          <w:kern w:val="0"/>
        </w:rPr>
        <w:t xml:space="preserve"> and </w:t>
      </w:r>
      <w:r>
        <w:rPr>
          <w:kern w:val="0"/>
        </w:rPr>
        <w:t>unpublished randomised controlled trials comparing haemostatic drugs (antifibrinolytics: aprotinin, tranexamic acid (TXA), aminocaproic acid or recombined activated factor VIIa (rFVIIa)) with placebo, no treatment, or other treatment in patients with acute traumatic brain injury. Data collection</w:t>
      </w:r>
      <w:r w:rsidR="005853A9">
        <w:rPr>
          <w:kern w:val="0"/>
        </w:rPr>
        <w:t xml:space="preserve"> and </w:t>
      </w:r>
      <w:r>
        <w:rPr>
          <w:kern w:val="0"/>
        </w:rPr>
        <w:t>analysis Two review authors independently examined all electronic records,</w:t>
      </w:r>
      <w:r w:rsidR="005853A9">
        <w:rPr>
          <w:kern w:val="0"/>
        </w:rPr>
        <w:t xml:space="preserve"> and </w:t>
      </w:r>
      <w:r>
        <w:rPr>
          <w:kern w:val="0"/>
        </w:rPr>
        <w:t>extracted the data. We judged that there was clinical heterogeneity between trials so we did not attempt to pool the results</w:t>
      </w:r>
      <w:r w:rsidR="00427468">
        <w:rPr>
          <w:kern w:val="0"/>
        </w:rPr>
        <w:t xml:space="preserve"> of </w:t>
      </w:r>
      <w:r>
        <w:rPr>
          <w:kern w:val="0"/>
        </w:rPr>
        <w:t>the included trials</w:t>
      </w:r>
      <w:r w:rsidR="00A37C1D">
        <w:rPr>
          <w:kern w:val="0"/>
        </w:rPr>
        <w:t>. The</w:t>
      </w:r>
      <w:r>
        <w:rPr>
          <w:kern w:val="0"/>
        </w:rPr>
        <w:t xml:space="preserve"> results are reported separately. Main results We included two trials. One was a post-hoc analysis</w:t>
      </w:r>
      <w:r w:rsidR="00427468">
        <w:rPr>
          <w:kern w:val="0"/>
        </w:rPr>
        <w:t xml:space="preserve"> of </w:t>
      </w:r>
      <w:r>
        <w:rPr>
          <w:kern w:val="0"/>
        </w:rPr>
        <w:t>30 TBI patients from a randomised controlled trial</w:t>
      </w:r>
      <w:r w:rsidR="00427468">
        <w:rPr>
          <w:kern w:val="0"/>
        </w:rPr>
        <w:t xml:space="preserve"> of </w:t>
      </w:r>
      <w:r>
        <w:rPr>
          <w:kern w:val="0"/>
        </w:rPr>
        <w:t>rFVIIa in blunt trauma patients</w:t>
      </w:r>
      <w:r w:rsidR="00A37C1D">
        <w:rPr>
          <w:kern w:val="0"/>
        </w:rPr>
        <w:t>. The</w:t>
      </w:r>
      <w:r>
        <w:rPr>
          <w:kern w:val="0"/>
        </w:rPr>
        <w:t xml:space="preserve"> risk ratio for mortality at 30 days was 0.64 (95% CI 0.25 to 1.63) for rFVIIa compared to placebo. This result should be considered with caution as the subgroup analysis was not pre-specified for the trial</w:t>
      </w:r>
      <w:r w:rsidR="00A37C1D">
        <w:rPr>
          <w:kern w:val="0"/>
        </w:rPr>
        <w:t>. The</w:t>
      </w:r>
      <w:r>
        <w:rPr>
          <w:kern w:val="0"/>
        </w:rPr>
        <w:t xml:space="preserve"> other </w:t>
      </w:r>
      <w:r>
        <w:rPr>
          <w:kern w:val="0"/>
        </w:rPr>
        <w:lastRenderedPageBreak/>
        <w:t>trial evaluated the effect</w:t>
      </w:r>
      <w:r w:rsidR="00427468">
        <w:rPr>
          <w:kern w:val="0"/>
        </w:rPr>
        <w:t xml:space="preserve"> of </w:t>
      </w:r>
      <w:r>
        <w:rPr>
          <w:kern w:val="0"/>
        </w:rPr>
        <w:t>rFVIIa in 97 TBI patients with evidence</w:t>
      </w:r>
      <w:r w:rsidR="00427468">
        <w:rPr>
          <w:kern w:val="0"/>
        </w:rPr>
        <w:t xml:space="preserve"> of </w:t>
      </w:r>
      <w:r>
        <w:rPr>
          <w:kern w:val="0"/>
        </w:rPr>
        <w:t>intracerebral bleeding in a computed tomography (CT) scan</w:t>
      </w:r>
      <w:r w:rsidR="00A37C1D">
        <w:rPr>
          <w:kern w:val="0"/>
        </w:rPr>
        <w:t>. The</w:t>
      </w:r>
      <w:r>
        <w:rPr>
          <w:kern w:val="0"/>
        </w:rPr>
        <w:t xml:space="preserve"> corresponding risk ratio for mortality at the last follow up was 1.08 (95% CI 0.44 to 2.68)</w:t>
      </w:r>
      <w:r w:rsidR="00A37C1D">
        <w:rPr>
          <w:kern w:val="0"/>
        </w:rPr>
        <w:t>. The</w:t>
      </w:r>
      <w:r>
        <w:rPr>
          <w:kern w:val="0"/>
        </w:rPr>
        <w:t xml:space="preserve"> quality</w:t>
      </w:r>
      <w:r w:rsidR="00427468">
        <w:rPr>
          <w:kern w:val="0"/>
        </w:rPr>
        <w:t xml:space="preserve"> of </w:t>
      </w:r>
      <w:r>
        <w:rPr>
          <w:kern w:val="0"/>
        </w:rPr>
        <w:t>the reporting</w:t>
      </w:r>
      <w:r w:rsidR="00427468">
        <w:rPr>
          <w:kern w:val="0"/>
        </w:rPr>
        <w:t xml:space="preserve"> of </w:t>
      </w:r>
      <w:r>
        <w:rPr>
          <w:kern w:val="0"/>
        </w:rPr>
        <w:t>both trials was poor so it was difficult to assess the risk</w:t>
      </w:r>
      <w:r w:rsidR="00427468">
        <w:rPr>
          <w:kern w:val="0"/>
        </w:rPr>
        <w:t xml:space="preserve"> of </w:t>
      </w:r>
      <w:r>
        <w:rPr>
          <w:kern w:val="0"/>
        </w:rPr>
        <w:t>bias. Authors</w:t>
      </w:r>
      <w:r w:rsidR="0071223E">
        <w:rPr>
          <w:kern w:val="0"/>
        </w:rPr>
        <w:t>’</w:t>
      </w:r>
      <w:r>
        <w:rPr>
          <w:kern w:val="0"/>
        </w:rPr>
        <w:t xml:space="preserve"> conclusions There is no reliable evidence from randomised controlled trials to support the effectiveness</w:t>
      </w:r>
      <w:r w:rsidR="00427468">
        <w:rPr>
          <w:kern w:val="0"/>
        </w:rPr>
        <w:t xml:space="preserve"> of </w:t>
      </w:r>
      <w:r>
        <w:rPr>
          <w:kern w:val="0"/>
        </w:rPr>
        <w:t>haemostatic drugs in reducing mortality or disability in patients with TBI. New randomised controlled trials assessing the effects</w:t>
      </w:r>
      <w:r w:rsidR="00427468">
        <w:rPr>
          <w:kern w:val="0"/>
        </w:rPr>
        <w:t xml:space="preserve"> of </w:t>
      </w:r>
      <w:r>
        <w:rPr>
          <w:kern w:val="0"/>
        </w:rPr>
        <w:t>haemostatic drugs in TBI patients should be conducted</w:t>
      </w:r>
      <w:r w:rsidR="00A37C1D">
        <w:rPr>
          <w:kern w:val="0"/>
        </w:rPr>
        <w:t>. The</w:t>
      </w:r>
      <w:r>
        <w:rPr>
          <w:kern w:val="0"/>
        </w:rPr>
        <w:t>se trials should be large enough to detect clinically plausible treatment effects.</w:t>
      </w:r>
    </w:p>
    <w:p w:rsidR="00365DE4" w:rsidRDefault="00365DE4" w:rsidP="00365DE4">
      <w:pPr>
        <w:pStyle w:val="a3"/>
        <w:rPr>
          <w:kern w:val="0"/>
        </w:rPr>
      </w:pPr>
      <w:r>
        <w:rPr>
          <w:kern w:val="0"/>
        </w:rPr>
        <w:t>Keywords: Activated Factor-Vii, Authors, Citation, Clinical-Trial, Databases, Head-Injury, Heterogeneity, Impact, Intracerebral Hemorrhage</w:t>
      </w:r>
      <w:r w:rsidR="00D5664A">
        <w:rPr>
          <w:kern w:val="0"/>
        </w:rPr>
        <w:t>, ISI,</w:t>
      </w:r>
      <w:r>
        <w:rPr>
          <w:kern w:val="0"/>
        </w:rPr>
        <w:t xml:space="preserve"> ISI Web, ISI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 xml:space="preserve">, Occurrence, Review, Risk, Safety, Science, Science Citation Index, Therapy,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Abdel-Latif, M.E., Osborn, D.A.</w:t>
      </w:r>
      <w:r w:rsidR="005853A9">
        <w:rPr>
          <w:kern w:val="0"/>
        </w:rPr>
        <w:t xml:space="preserve"> and </w:t>
      </w:r>
      <w:r>
        <w:rPr>
          <w:kern w:val="0"/>
        </w:rPr>
        <w:t>Challis, D. (2010), Intra-amniotic surfactant for women at risk</w:t>
      </w:r>
      <w:r w:rsidR="00427468">
        <w:rPr>
          <w:kern w:val="0"/>
        </w:rPr>
        <w:t xml:space="preserve"> of </w:t>
      </w:r>
      <w:r>
        <w:rPr>
          <w:kern w:val="0"/>
        </w:rPr>
        <w:t xml:space="preserve">preterm birth for preventing respiratory distress in newborns.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CD007916.</w:t>
      </w:r>
    </w:p>
    <w:p w:rsidR="00365DE4" w:rsidRDefault="00365DE4" w:rsidP="00365DE4">
      <w:pPr>
        <w:pStyle w:val="a3"/>
        <w:rPr>
          <w:kern w:val="2"/>
        </w:rPr>
      </w:pPr>
      <w:r>
        <w:t xml:space="preserve">Full Text: </w:t>
      </w:r>
      <w:hyperlink r:id="rId573" w:history="1">
        <w:r>
          <w:rPr>
            <w:rStyle w:val="a5"/>
          </w:rPr>
          <w:t>2010\Coc Dat Sys Rev2010, CD007916.pdf</w:t>
        </w:r>
      </w:hyperlink>
    </w:p>
    <w:p w:rsidR="00365DE4" w:rsidRDefault="00365DE4" w:rsidP="00365DE4">
      <w:pPr>
        <w:pStyle w:val="a3"/>
        <w:rPr>
          <w:kern w:val="0"/>
        </w:rPr>
      </w:pPr>
      <w:r>
        <w:rPr>
          <w:kern w:val="0"/>
        </w:rPr>
        <w:t>Abstract: Background Early surfactant reduces mortality</w:t>
      </w:r>
      <w:r w:rsidR="005853A9">
        <w:rPr>
          <w:kern w:val="0"/>
        </w:rPr>
        <w:t xml:space="preserve"> and </w:t>
      </w:r>
      <w:r>
        <w:rPr>
          <w:kern w:val="0"/>
        </w:rPr>
        <w:t>pulmonary complications in preterm infants with respiratory distress syndrome. However, current surfactant administration strategies require endotracheal intubation with or without continued mechanical ventilation. Bronchopulmonary dysplasia</w:t>
      </w:r>
      <w:r w:rsidR="005853A9">
        <w:rPr>
          <w:kern w:val="0"/>
        </w:rPr>
        <w:t xml:space="preserve"> and </w:t>
      </w:r>
      <w:r>
        <w:rPr>
          <w:kern w:val="0"/>
        </w:rPr>
        <w:t>chronic lung disease (CLD) are associated with mechanical ventilation</w:t>
      </w:r>
      <w:r w:rsidR="005853A9">
        <w:rPr>
          <w:kern w:val="0"/>
        </w:rPr>
        <w:t xml:space="preserve"> and </w:t>
      </w:r>
      <w:r>
        <w:rPr>
          <w:kern w:val="0"/>
        </w:rPr>
        <w:t>potentially life-long effects. Noninvasive methods</w:t>
      </w:r>
      <w:r w:rsidR="00427468">
        <w:rPr>
          <w:kern w:val="0"/>
        </w:rPr>
        <w:t xml:space="preserve"> of </w:t>
      </w:r>
      <w:r>
        <w:rPr>
          <w:kern w:val="0"/>
        </w:rPr>
        <w:t>surfactant administration including intra-amniotic surfactant may avoid endotracheal intubation</w:t>
      </w:r>
      <w:r w:rsidR="005853A9">
        <w:rPr>
          <w:kern w:val="0"/>
        </w:rPr>
        <w:t xml:space="preserve"> and </w:t>
      </w:r>
      <w:r>
        <w:rPr>
          <w:kern w:val="0"/>
        </w:rPr>
        <w:t>mechanical ventilation, potentially preventing development</w:t>
      </w:r>
      <w:r w:rsidR="00427468">
        <w:rPr>
          <w:kern w:val="0"/>
        </w:rPr>
        <w:t xml:space="preserve"> of </w:t>
      </w:r>
      <w:r>
        <w:rPr>
          <w:kern w:val="0"/>
        </w:rPr>
        <w:t>CLD. Objectives To determine if intra-amniotic instillation</w:t>
      </w:r>
      <w:r w:rsidR="00427468">
        <w:rPr>
          <w:kern w:val="0"/>
        </w:rPr>
        <w:t xml:space="preserve"> of </w:t>
      </w:r>
      <w:r>
        <w:rPr>
          <w:kern w:val="0"/>
        </w:rPr>
        <w:t>surfactant for women at risk</w:t>
      </w:r>
      <w:r w:rsidR="00427468">
        <w:rPr>
          <w:kern w:val="0"/>
        </w:rPr>
        <w:t xml:space="preserve"> of </w:t>
      </w:r>
      <w:r>
        <w:rPr>
          <w:kern w:val="0"/>
        </w:rPr>
        <w:t>preterm birth, compared to placebo or no treatment or post-delivery tracheal surfactant instillation, reduces morbidity or mortality, or both, in preterm infants. If intra-amniotic instillation is effective, in subgroup analysis to determine the effect</w:t>
      </w:r>
      <w:r w:rsidR="00427468">
        <w:rPr>
          <w:kern w:val="0"/>
        </w:rPr>
        <w:t xml:space="preserve"> of </w:t>
      </w:r>
      <w:r>
        <w:rPr>
          <w:kern w:val="0"/>
        </w:rPr>
        <w:t>1) gestational age; 2) type</w:t>
      </w:r>
      <w:r w:rsidR="00427468">
        <w:rPr>
          <w:kern w:val="0"/>
        </w:rPr>
        <w:t xml:space="preserve"> of </w:t>
      </w:r>
      <w:r>
        <w:rPr>
          <w:kern w:val="0"/>
        </w:rPr>
        <w:t>surfactant; 3) dose; 4) timing; 5) indication;</w:t>
      </w:r>
      <w:r w:rsidR="005853A9">
        <w:rPr>
          <w:kern w:val="0"/>
        </w:rPr>
        <w:t xml:space="preserve"> and </w:t>
      </w:r>
      <w:r>
        <w:rPr>
          <w:kern w:val="0"/>
        </w:rPr>
        <w:t>6) multiple pregnancy. Search strategy We searched the Cochrane Pregnancy</w:t>
      </w:r>
      <w:r w:rsidR="005853A9">
        <w:rPr>
          <w:kern w:val="0"/>
        </w:rPr>
        <w:t xml:space="preserve"> and </w:t>
      </w:r>
      <w:r>
        <w:rPr>
          <w:kern w:val="0"/>
        </w:rPr>
        <w:t>Childbirth Group</w:t>
      </w:r>
      <w:r w:rsidR="0071223E">
        <w:rPr>
          <w:kern w:val="0"/>
        </w:rPr>
        <w:t>’</w:t>
      </w:r>
      <w:r>
        <w:rPr>
          <w:kern w:val="0"/>
        </w:rPr>
        <w:t xml:space="preserve">s Trials Register (August 2009), </w:t>
      </w:r>
      <w:r w:rsidR="00D5664A">
        <w:rPr>
          <w:kern w:val="0"/>
        </w:rPr>
        <w:t>MEDLINE</w:t>
      </w:r>
      <w:r>
        <w:rPr>
          <w:kern w:val="0"/>
        </w:rPr>
        <w:t xml:space="preserve"> (1950-August 2009), hand-searched the Proceedings</w:t>
      </w:r>
      <w:r w:rsidR="00427468">
        <w:rPr>
          <w:kern w:val="0"/>
        </w:rPr>
        <w:t xml:space="preserve"> of </w:t>
      </w:r>
      <w:r>
        <w:rPr>
          <w:kern w:val="0"/>
        </w:rPr>
        <w:t>Pediatric Academic Societies (American Pediatric Society, Society for Pediatric Research</w:t>
      </w:r>
      <w:r w:rsidR="005853A9">
        <w:rPr>
          <w:kern w:val="0"/>
        </w:rPr>
        <w:t xml:space="preserve"> and </w:t>
      </w:r>
      <w:r>
        <w:rPr>
          <w:kern w:val="0"/>
        </w:rPr>
        <w:t>European Society for Pediatric Research) from 1990-2009 in Pediatric Research Journal</w:t>
      </w:r>
      <w:r w:rsidR="005853A9">
        <w:rPr>
          <w:kern w:val="0"/>
        </w:rPr>
        <w:t xml:space="preserve"> and </w:t>
      </w:r>
      <w:r>
        <w:rPr>
          <w:kern w:val="0"/>
        </w:rPr>
        <w:t>Abstracts online</w:t>
      </w:r>
      <w:r w:rsidR="005853A9">
        <w:rPr>
          <w:kern w:val="0"/>
        </w:rPr>
        <w:t xml:space="preserve"> and </w:t>
      </w:r>
      <w:r>
        <w:rPr>
          <w:kern w:val="0"/>
        </w:rPr>
        <w:t>the Proceedings</w:t>
      </w:r>
      <w:r w:rsidR="00427468">
        <w:rPr>
          <w:kern w:val="0"/>
        </w:rPr>
        <w:t xml:space="preserve"> of </w:t>
      </w:r>
      <w:r>
        <w:rPr>
          <w:kern w:val="0"/>
        </w:rPr>
        <w:t>Perinatal Society</w:t>
      </w:r>
      <w:r w:rsidR="00427468">
        <w:rPr>
          <w:kern w:val="0"/>
        </w:rPr>
        <w:t xml:space="preserve"> of </w:t>
      </w:r>
      <w:r>
        <w:rPr>
          <w:kern w:val="0"/>
        </w:rPr>
        <w:t>Australia</w:t>
      </w:r>
      <w:r w:rsidR="005853A9">
        <w:rPr>
          <w:kern w:val="0"/>
        </w:rPr>
        <w:t xml:space="preserve"> and </w:t>
      </w:r>
      <w:r>
        <w:rPr>
          <w:kern w:val="0"/>
        </w:rPr>
        <w:t>New Zealand (PSANZ) (1996-2009). We also searched the Science Citation Index (</w:t>
      </w:r>
      <w:r w:rsidR="00D5664A">
        <w:rPr>
          <w:kern w:val="0"/>
        </w:rPr>
        <w:t>Web</w:t>
      </w:r>
      <w:r w:rsidR="00427468">
        <w:rPr>
          <w:kern w:val="0"/>
        </w:rPr>
        <w:t xml:space="preserve"> of </w:t>
      </w:r>
      <w:r w:rsidR="00D5664A">
        <w:rPr>
          <w:kern w:val="0"/>
        </w:rPr>
        <w:t>Science</w:t>
      </w:r>
      <w:r>
        <w:rPr>
          <w:kern w:val="0"/>
        </w:rPr>
        <w:t>) (August 2009)</w:t>
      </w:r>
      <w:r w:rsidR="005853A9">
        <w:rPr>
          <w:kern w:val="0"/>
        </w:rPr>
        <w:t xml:space="preserve"> and </w:t>
      </w:r>
      <w:r>
        <w:rPr>
          <w:kern w:val="0"/>
        </w:rPr>
        <w:t>checked reference lists</w:t>
      </w:r>
      <w:r w:rsidR="00427468">
        <w:rPr>
          <w:kern w:val="0"/>
        </w:rPr>
        <w:t xml:space="preserve"> of </w:t>
      </w:r>
      <w:r>
        <w:rPr>
          <w:kern w:val="0"/>
        </w:rPr>
        <w:t>identified studies. We contacted Abbott Laboratories, Inc for unpublished studies. Selection criteria Published, unpublished</w:t>
      </w:r>
      <w:r w:rsidR="005853A9">
        <w:rPr>
          <w:kern w:val="0"/>
        </w:rPr>
        <w:t xml:space="preserve"> and </w:t>
      </w:r>
      <w:r>
        <w:rPr>
          <w:kern w:val="0"/>
        </w:rPr>
        <w:t xml:space="preserve">ongoing randomised controlled, cluster-randomised or </w:t>
      </w:r>
      <w:r>
        <w:rPr>
          <w:kern w:val="0"/>
        </w:rPr>
        <w:lastRenderedPageBreak/>
        <w:t>quasi-randomised trials</w:t>
      </w:r>
      <w:r w:rsidR="00427468">
        <w:rPr>
          <w:kern w:val="0"/>
        </w:rPr>
        <w:t xml:space="preserve"> of </w:t>
      </w:r>
      <w:r>
        <w:rPr>
          <w:kern w:val="0"/>
        </w:rPr>
        <w:t>intra-amniotic instillation</w:t>
      </w:r>
      <w:r w:rsidR="00427468">
        <w:rPr>
          <w:kern w:val="0"/>
        </w:rPr>
        <w:t xml:space="preserve"> of </w:t>
      </w:r>
      <w:r>
        <w:rPr>
          <w:kern w:val="0"/>
        </w:rPr>
        <w:t>surfactant for women at risk</w:t>
      </w:r>
      <w:r w:rsidR="00427468">
        <w:rPr>
          <w:kern w:val="0"/>
        </w:rPr>
        <w:t xml:space="preserve"> of </w:t>
      </w:r>
      <w:r>
        <w:rPr>
          <w:kern w:val="0"/>
        </w:rPr>
        <w:t>preterm birth, compared to placebo or no treatment or post-delivery tracheal surfactant instillation. Data collection</w:t>
      </w:r>
      <w:r w:rsidR="005853A9">
        <w:rPr>
          <w:kern w:val="0"/>
        </w:rPr>
        <w:t xml:space="preserve"> and </w:t>
      </w:r>
      <w:r>
        <w:rPr>
          <w:kern w:val="0"/>
        </w:rPr>
        <w:t>analysis Three review authors independently assessed study eligibility</w:t>
      </w:r>
      <w:r w:rsidR="005853A9">
        <w:rPr>
          <w:kern w:val="0"/>
        </w:rPr>
        <w:t xml:space="preserve"> and </w:t>
      </w:r>
      <w:r>
        <w:rPr>
          <w:kern w:val="0"/>
        </w:rPr>
        <w:t>quality. Main results We found no trials were found met the inclusion criteria for this review. Authors</w:t>
      </w:r>
      <w:r w:rsidR="0071223E">
        <w:rPr>
          <w:kern w:val="0"/>
        </w:rPr>
        <w:t>’</w:t>
      </w:r>
      <w:r>
        <w:rPr>
          <w:kern w:val="0"/>
        </w:rPr>
        <w:t xml:space="preserve"> conclusions We identified no randomised trials that evaluated the effect</w:t>
      </w:r>
      <w:r w:rsidR="00427468">
        <w:rPr>
          <w:kern w:val="0"/>
        </w:rPr>
        <w:t xml:space="preserve"> of </w:t>
      </w:r>
      <w:r>
        <w:rPr>
          <w:kern w:val="0"/>
        </w:rPr>
        <w:t>intra-amniotic instillation</w:t>
      </w:r>
      <w:r w:rsidR="00427468">
        <w:rPr>
          <w:kern w:val="0"/>
        </w:rPr>
        <w:t xml:space="preserve"> of </w:t>
      </w:r>
      <w:r>
        <w:rPr>
          <w:kern w:val="0"/>
        </w:rPr>
        <w:t>surfactant for women at risk</w:t>
      </w:r>
      <w:r w:rsidR="00427468">
        <w:rPr>
          <w:kern w:val="0"/>
        </w:rPr>
        <w:t xml:space="preserve"> of </w:t>
      </w:r>
      <w:r>
        <w:rPr>
          <w:kern w:val="0"/>
        </w:rPr>
        <w:t>preterm birth. Evidence from animal</w:t>
      </w:r>
      <w:r w:rsidR="005853A9">
        <w:rPr>
          <w:kern w:val="0"/>
        </w:rPr>
        <w:t xml:space="preserve"> and </w:t>
      </w:r>
      <w:r>
        <w:rPr>
          <w:kern w:val="0"/>
        </w:rPr>
        <w:t>observational human studies suggest that intra-amniotic surfactant administration is potentially safe, feasible</w:t>
      </w:r>
      <w:r w:rsidR="005853A9">
        <w:rPr>
          <w:kern w:val="0"/>
        </w:rPr>
        <w:t xml:space="preserve"> and </w:t>
      </w:r>
      <w:r>
        <w:rPr>
          <w:kern w:val="0"/>
        </w:rPr>
        <w:t>effective. Well designed trials</w:t>
      </w:r>
      <w:r w:rsidR="00427468">
        <w:rPr>
          <w:kern w:val="0"/>
        </w:rPr>
        <w:t xml:space="preserve"> of </w:t>
      </w:r>
      <w:r>
        <w:rPr>
          <w:kern w:val="0"/>
        </w:rPr>
        <w:t>intra-amniotic instillation</w:t>
      </w:r>
      <w:r w:rsidR="00427468">
        <w:rPr>
          <w:kern w:val="0"/>
        </w:rPr>
        <w:t xml:space="preserve"> of </w:t>
      </w:r>
      <w:r>
        <w:rPr>
          <w:kern w:val="0"/>
        </w:rPr>
        <w:t>surfactant for women at risk</w:t>
      </w:r>
      <w:r w:rsidR="00427468">
        <w:rPr>
          <w:kern w:val="0"/>
        </w:rPr>
        <w:t xml:space="preserve"> of </w:t>
      </w:r>
      <w:r>
        <w:rPr>
          <w:kern w:val="0"/>
        </w:rPr>
        <w:t>preterm birth are needed.</w:t>
      </w:r>
    </w:p>
    <w:p w:rsidR="00365DE4" w:rsidRDefault="00365DE4" w:rsidP="00365DE4">
      <w:pPr>
        <w:pStyle w:val="a3"/>
        <w:rPr>
          <w:kern w:val="0"/>
        </w:rPr>
      </w:pPr>
      <w:r>
        <w:rPr>
          <w:kern w:val="0"/>
        </w:rPr>
        <w:t xml:space="preserve">Keywords: Age, Australia, Authors, Bronchopulmonary Dysplasia, Chronic Lung-Disease, Citation, In-Utero, Indication, </w:t>
      </w:r>
      <w:r w:rsidR="00D5664A">
        <w:rPr>
          <w:kern w:val="0"/>
        </w:rPr>
        <w:t>MEDLINE</w:t>
      </w:r>
      <w:r>
        <w:rPr>
          <w:kern w:val="0"/>
        </w:rPr>
        <w:t xml:space="preserve">, Positive Airway Pressure, Pregnancy, Premature-Infants, Replacement, Research, Respiratory, Review, Risk, Science, Science Citation Index, Surfactant, Syndrome Rds, Treatment, Ventilation, </w:t>
      </w:r>
      <w:r w:rsidR="00D5664A">
        <w:rPr>
          <w:kern w:val="0"/>
        </w:rPr>
        <w:t>Web</w:t>
      </w:r>
      <w:r w:rsidR="00427468">
        <w:rPr>
          <w:kern w:val="0"/>
        </w:rPr>
        <w:t xml:space="preserve"> of </w:t>
      </w:r>
      <w:r w:rsidR="00D5664A">
        <w:rPr>
          <w:kern w:val="0"/>
        </w:rPr>
        <w:t>Science</w:t>
      </w:r>
      <w:r>
        <w:rPr>
          <w:kern w:val="0"/>
        </w:rPr>
        <w:t>, Weight Infants</w:t>
      </w:r>
    </w:p>
    <w:p w:rsidR="00365DE4" w:rsidRDefault="00365DE4" w:rsidP="00365DE4">
      <w:pPr>
        <w:pStyle w:val="a3"/>
        <w:rPr>
          <w:kern w:val="0"/>
        </w:rPr>
      </w:pPr>
      <w:r>
        <w:rPr>
          <w:kern w:val="0"/>
        </w:rPr>
        <w:t>? Singh, J.A., Noorbaloochi, S.</w:t>
      </w:r>
      <w:r w:rsidR="005853A9">
        <w:rPr>
          <w:kern w:val="0"/>
        </w:rPr>
        <w:t xml:space="preserve"> and </w:t>
      </w:r>
      <w:r>
        <w:rPr>
          <w:kern w:val="0"/>
        </w:rPr>
        <w:t xml:space="preserve">Singh, G. (2010), Golimumab for rheumatoid arthritis.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CD008341.</w:t>
      </w:r>
    </w:p>
    <w:p w:rsidR="00365DE4" w:rsidRDefault="00365DE4" w:rsidP="00365DE4">
      <w:pPr>
        <w:pStyle w:val="a3"/>
        <w:rPr>
          <w:kern w:val="2"/>
        </w:rPr>
      </w:pPr>
      <w:r>
        <w:t xml:space="preserve">Full Text: </w:t>
      </w:r>
      <w:hyperlink r:id="rId574" w:history="1">
        <w:r>
          <w:rPr>
            <w:rStyle w:val="a5"/>
          </w:rPr>
          <w:t>2010\Coc Dat Sys Rev2010, CD008341.pdf</w:t>
        </w:r>
      </w:hyperlink>
    </w:p>
    <w:p w:rsidR="00365DE4" w:rsidRDefault="00365DE4" w:rsidP="00365DE4">
      <w:pPr>
        <w:pStyle w:val="a3"/>
        <w:rPr>
          <w:kern w:val="0"/>
        </w:rPr>
      </w:pPr>
      <w:r>
        <w:rPr>
          <w:kern w:val="0"/>
        </w:rPr>
        <w:t>Abstract: Background Golimumab is a humanized inhibitor</w:t>
      </w:r>
      <w:r w:rsidR="00427468">
        <w:rPr>
          <w:kern w:val="0"/>
        </w:rPr>
        <w:t xml:space="preserve"> of </w:t>
      </w:r>
      <w:r>
        <w:rPr>
          <w:kern w:val="0"/>
        </w:rPr>
        <w:t>Tumor necrosis factor-alpha, recently approved by the Food</w:t>
      </w:r>
      <w:r w:rsidR="005853A9">
        <w:rPr>
          <w:kern w:val="0"/>
        </w:rPr>
        <w:t xml:space="preserve"> and </w:t>
      </w:r>
      <w:r>
        <w:rPr>
          <w:kern w:val="0"/>
        </w:rPr>
        <w:t>Drug Administration (FDA) for the treatment</w:t>
      </w:r>
      <w:r w:rsidR="00427468">
        <w:rPr>
          <w:kern w:val="0"/>
        </w:rPr>
        <w:t xml:space="preserve"> of </w:t>
      </w:r>
      <w:r>
        <w:rPr>
          <w:kern w:val="0"/>
        </w:rPr>
        <w:t>Rheumatoid arthritis (RA). Objectives The objective</w:t>
      </w:r>
      <w:r w:rsidR="00427468">
        <w:rPr>
          <w:kern w:val="0"/>
        </w:rPr>
        <w:t xml:space="preserve"> of </w:t>
      </w:r>
      <w:r>
        <w:rPr>
          <w:kern w:val="0"/>
        </w:rPr>
        <w:t>this systematic review was to compare the efficacy</w:t>
      </w:r>
      <w:r w:rsidR="005853A9">
        <w:rPr>
          <w:kern w:val="0"/>
        </w:rPr>
        <w:t xml:space="preserve"> and </w:t>
      </w:r>
      <w:r>
        <w:rPr>
          <w:kern w:val="0"/>
        </w:rPr>
        <w:t>safety</w:t>
      </w:r>
      <w:r w:rsidR="00427468">
        <w:rPr>
          <w:kern w:val="0"/>
        </w:rPr>
        <w:t xml:space="preserve"> of </w:t>
      </w:r>
      <w:r>
        <w:rPr>
          <w:kern w:val="0"/>
        </w:rPr>
        <w:t>golimumab (alone or in combination with DMARDs or biologics) to placebo (alone or in combination with DMARDs or biologics) in randomized or quasi-randomized clinical trials in adults with RA. Search strategy An expert librarian searched six databases for any clinical trials</w:t>
      </w:r>
      <w:r w:rsidR="00427468">
        <w:rPr>
          <w:kern w:val="0"/>
        </w:rPr>
        <w:t xml:space="preserve"> of </w:t>
      </w:r>
      <w:r>
        <w:rPr>
          <w:kern w:val="0"/>
        </w:rPr>
        <w:t>golimumab in RA, including the Cochrane Central Register</w:t>
      </w:r>
      <w:r w:rsidR="00427468">
        <w:rPr>
          <w:kern w:val="0"/>
        </w:rPr>
        <w:t xml:space="preserve"> of </w:t>
      </w:r>
      <w:r>
        <w:rPr>
          <w:kern w:val="0"/>
        </w:rPr>
        <w:t xml:space="preserve">Controlled Trials (CENTRAL), OVID </w:t>
      </w:r>
      <w:r w:rsidR="00D5664A">
        <w:rPr>
          <w:kern w:val="0"/>
        </w:rPr>
        <w:t>MEDLINE</w:t>
      </w:r>
      <w:r>
        <w:rPr>
          <w:kern w:val="0"/>
        </w:rPr>
        <w:t>, CINAHL, EMBASE, Science Citation Index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Current Controlled Trials databases. Selection criteria Studies were included if they used golimumab in adults with RA, were randomized or quasi-randomized</w:t>
      </w:r>
      <w:r w:rsidR="005853A9">
        <w:rPr>
          <w:kern w:val="0"/>
        </w:rPr>
        <w:t xml:space="preserve"> and </w:t>
      </w:r>
      <w:r>
        <w:rPr>
          <w:kern w:val="0"/>
        </w:rPr>
        <w:t>provided clinical outcomes. Data collection</w:t>
      </w:r>
      <w:r w:rsidR="005853A9">
        <w:rPr>
          <w:kern w:val="0"/>
        </w:rPr>
        <w:t xml:space="preserve"> and </w:t>
      </w:r>
      <w:r>
        <w:rPr>
          <w:kern w:val="0"/>
        </w:rPr>
        <w:t>analysis Two review authors (JS, SN) independently reviewed all titles</w:t>
      </w:r>
      <w:r w:rsidR="005853A9">
        <w:rPr>
          <w:kern w:val="0"/>
        </w:rPr>
        <w:t xml:space="preserve"> and </w:t>
      </w:r>
      <w:r>
        <w:rPr>
          <w:kern w:val="0"/>
        </w:rPr>
        <w:t>abstracts, selected appropriate studies for full review</w:t>
      </w:r>
      <w:r w:rsidR="005853A9">
        <w:rPr>
          <w:kern w:val="0"/>
        </w:rPr>
        <w:t xml:space="preserve"> and </w:t>
      </w:r>
      <w:r>
        <w:rPr>
          <w:kern w:val="0"/>
        </w:rPr>
        <w:t>reviewed the full-text articles for the final selection</w:t>
      </w:r>
      <w:r w:rsidR="00427468">
        <w:rPr>
          <w:kern w:val="0"/>
        </w:rPr>
        <w:t xml:space="preserve"> of </w:t>
      </w:r>
      <w:r>
        <w:rPr>
          <w:kern w:val="0"/>
        </w:rPr>
        <w:t>included studies. For each study, they independently abstracted study characteristics, safety</w:t>
      </w:r>
      <w:r w:rsidR="005853A9">
        <w:rPr>
          <w:kern w:val="0"/>
        </w:rPr>
        <w:t xml:space="preserve"> and </w:t>
      </w:r>
      <w:r>
        <w:rPr>
          <w:kern w:val="0"/>
        </w:rPr>
        <w:t>efficacy data</w:t>
      </w:r>
      <w:r w:rsidR="005853A9">
        <w:rPr>
          <w:kern w:val="0"/>
        </w:rPr>
        <w:t xml:space="preserve"> and </w:t>
      </w:r>
      <w:r>
        <w:rPr>
          <w:kern w:val="0"/>
        </w:rPr>
        <w:t>performed risk</w:t>
      </w:r>
      <w:r w:rsidR="00427468">
        <w:rPr>
          <w:kern w:val="0"/>
        </w:rPr>
        <w:t xml:space="preserve"> of </w:t>
      </w:r>
      <w:r>
        <w:rPr>
          <w:kern w:val="0"/>
        </w:rPr>
        <w:t>bias assessment. Disagreements were resolved by consensus. For continuous measures, we calculated mean differences or standardized mean differences</w:t>
      </w:r>
      <w:r w:rsidR="005853A9">
        <w:rPr>
          <w:kern w:val="0"/>
        </w:rPr>
        <w:t xml:space="preserve"> and </w:t>
      </w:r>
      <w:r>
        <w:rPr>
          <w:kern w:val="0"/>
        </w:rPr>
        <w:t>for categorical measures, relative risks. 95% confidence intervals were calculated. Main results Four RCTs with 1,231 patients treated with golimumab</w:t>
      </w:r>
      <w:r w:rsidR="005853A9">
        <w:rPr>
          <w:kern w:val="0"/>
        </w:rPr>
        <w:t xml:space="preserve"> and </w:t>
      </w:r>
      <w:r>
        <w:rPr>
          <w:kern w:val="0"/>
        </w:rPr>
        <w:t>483 patients treated with placebo were included.</w:t>
      </w:r>
      <w:r w:rsidR="00427468">
        <w:rPr>
          <w:kern w:val="0"/>
        </w:rPr>
        <w:t xml:space="preserve"> of </w:t>
      </w:r>
      <w:r>
        <w:rPr>
          <w:kern w:val="0"/>
        </w:rPr>
        <w:t>these, 436 were treated with the FDA-approved dose</w:t>
      </w:r>
      <w:r w:rsidR="00427468">
        <w:rPr>
          <w:kern w:val="0"/>
        </w:rPr>
        <w:t xml:space="preserve"> of </w:t>
      </w:r>
      <w:r>
        <w:rPr>
          <w:kern w:val="0"/>
        </w:rPr>
        <w:t xml:space="preserve">golimumab </w:t>
      </w:r>
      <w:r>
        <w:rPr>
          <w:kern w:val="0"/>
        </w:rPr>
        <w:lastRenderedPageBreak/>
        <w:t>50 mg every four weeks. Compared to patients treated with placebo+ methotrexate, patients treated with the FDA-approved dose</w:t>
      </w:r>
      <w:r w:rsidR="00427468">
        <w:rPr>
          <w:kern w:val="0"/>
        </w:rPr>
        <w:t xml:space="preserve"> of </w:t>
      </w:r>
      <w:r>
        <w:rPr>
          <w:kern w:val="0"/>
        </w:rPr>
        <w:t>golimumab+ methotrexate were 2.6 times more likely to reach ACR50 (95% confidence interval (CI) 1.3 to 4.9; P=0.005</w:t>
      </w:r>
      <w:r w:rsidR="005853A9">
        <w:rPr>
          <w:kern w:val="0"/>
        </w:rPr>
        <w:t xml:space="preserve"> and </w:t>
      </w:r>
      <w:r>
        <w:rPr>
          <w:kern w:val="0"/>
        </w:rPr>
        <w:t>NNT=5,95% confidence interval 2 to 20), no more likely to have any adverse event (relative risk 1.1, 95% Cl 0.9 to 1.2; P = 0.44),</w:t>
      </w:r>
      <w:r w:rsidR="005853A9">
        <w:rPr>
          <w:kern w:val="0"/>
        </w:rPr>
        <w:t xml:space="preserve"> and </w:t>
      </w:r>
      <w:r>
        <w:rPr>
          <w:kern w:val="0"/>
        </w:rPr>
        <w:t>0.5 times as likely to have overall withdrawals (95% Cl 0.3 to 0.8; P = 0.005). Golimumab-treated patients were significantly more likely to achieve remission, low disease activity</w:t>
      </w:r>
      <w:r w:rsidR="005853A9">
        <w:rPr>
          <w:kern w:val="0"/>
        </w:rPr>
        <w:t xml:space="preserve"> and </w:t>
      </w:r>
      <w:r>
        <w:rPr>
          <w:kern w:val="0"/>
        </w:rPr>
        <w:t>improvement in functional ability compared to placebo (all statistically significant). No significant differences were noted between golimumab</w:t>
      </w:r>
      <w:r w:rsidR="005853A9">
        <w:rPr>
          <w:kern w:val="0"/>
        </w:rPr>
        <w:t xml:space="preserve"> and </w:t>
      </w:r>
      <w:r>
        <w:rPr>
          <w:kern w:val="0"/>
        </w:rPr>
        <w:t>placebo regarding serious adverse events, infections, serious infections, lung infections, tuberculosis, cancer, withdrawals due to adverse events</w:t>
      </w:r>
      <w:r w:rsidR="005853A9">
        <w:rPr>
          <w:kern w:val="0"/>
        </w:rPr>
        <w:t xml:space="preserve"> and </w:t>
      </w:r>
      <w:r>
        <w:rPr>
          <w:kern w:val="0"/>
        </w:rPr>
        <w:t>inefficacy</w:t>
      </w:r>
      <w:r w:rsidR="005853A9">
        <w:rPr>
          <w:kern w:val="0"/>
        </w:rPr>
        <w:t xml:space="preserve"> and </w:t>
      </w:r>
      <w:r>
        <w:rPr>
          <w:kern w:val="0"/>
        </w:rPr>
        <w:t>deaths. No radiographic data were reported. Authors</w:t>
      </w:r>
      <w:r w:rsidR="0071223E">
        <w:rPr>
          <w:kern w:val="0"/>
        </w:rPr>
        <w:t>’</w:t>
      </w:r>
      <w:r>
        <w:rPr>
          <w:kern w:val="0"/>
        </w:rPr>
        <w:t xml:space="preserve"> conclusions With an overall high grade</w:t>
      </w:r>
      <w:r w:rsidR="00427468">
        <w:rPr>
          <w:kern w:val="0"/>
        </w:rPr>
        <w:t xml:space="preserve"> of </w:t>
      </w:r>
      <w:r>
        <w:rPr>
          <w:kern w:val="0"/>
        </w:rPr>
        <w:t>evidence, at the FDA-approved dose, golimumab is significantly more efficacious than placebo in treatment</w:t>
      </w:r>
      <w:r w:rsidR="00427468">
        <w:rPr>
          <w:kern w:val="0"/>
        </w:rPr>
        <w:t xml:space="preserve"> of </w:t>
      </w:r>
      <w:r>
        <w:rPr>
          <w:kern w:val="0"/>
        </w:rPr>
        <w:t>patients with active RA, when used in combination with methotrexate</w:t>
      </w:r>
      <w:r w:rsidR="00A37C1D">
        <w:rPr>
          <w:kern w:val="0"/>
        </w:rPr>
        <w:t>. The</w:t>
      </w:r>
      <w:r>
        <w:rPr>
          <w:kern w:val="0"/>
        </w:rPr>
        <w:t xml:space="preserve"> short-term safety profile, based on short-term RCTs, is reasonable with no differences in total adverse events, serious infections, cancer, tuberculosis or deaths. Long-term surveillance studies are needed for safety assessment.</w:t>
      </w:r>
    </w:p>
    <w:p w:rsidR="00365DE4" w:rsidRDefault="00365DE4" w:rsidP="00365DE4">
      <w:pPr>
        <w:pStyle w:val="a3"/>
        <w:rPr>
          <w:kern w:val="0"/>
        </w:rPr>
      </w:pPr>
      <w:r>
        <w:rPr>
          <w:kern w:val="0"/>
        </w:rPr>
        <w:t xml:space="preserve">Keywords: Articles, Assessment, Authors, Cancer, Characteristics, Citation, Databases, Disease, Factor-Alpha, </w:t>
      </w:r>
      <w:r w:rsidR="00D5664A">
        <w:rPr>
          <w:kern w:val="0"/>
        </w:rPr>
        <w:t>MEDLINE</w:t>
      </w:r>
      <w:r>
        <w:rPr>
          <w:kern w:val="0"/>
        </w:rPr>
        <w:t xml:space="preserve">, Metaanalysis, Methotrexate, Necrosis-Factor Inhibitors, Preliminary Definition, Progression, Response Criteria, Review, Rheumatoid Arthritis, Risk, Science, Science Citation Index, Systematic Review, Therapy, Treatment, </w:t>
      </w:r>
      <w:r w:rsidR="00D5664A">
        <w:rPr>
          <w:kern w:val="0"/>
        </w:rPr>
        <w:t>Web</w:t>
      </w:r>
      <w:r w:rsidR="00427468">
        <w:rPr>
          <w:kern w:val="0"/>
        </w:rPr>
        <w:t xml:space="preserve"> of </w:t>
      </w:r>
      <w:r w:rsidR="00D5664A">
        <w:rPr>
          <w:kern w:val="0"/>
        </w:rPr>
        <w:t>Science</w:t>
      </w:r>
      <w:r>
        <w:rPr>
          <w:kern w:val="0"/>
        </w:rPr>
        <w:t>, Work Disability</w:t>
      </w:r>
    </w:p>
    <w:p w:rsidR="00365DE4" w:rsidRDefault="00365DE4" w:rsidP="00365DE4">
      <w:pPr>
        <w:pStyle w:val="a3"/>
        <w:rPr>
          <w:kern w:val="0"/>
        </w:rPr>
      </w:pPr>
      <w:r>
        <w:rPr>
          <w:kern w:val="0"/>
        </w:rPr>
        <w:t>? Forsyth, R.J., Wolny, S.</w:t>
      </w:r>
      <w:r w:rsidR="005853A9">
        <w:rPr>
          <w:kern w:val="0"/>
        </w:rPr>
        <w:t xml:space="preserve"> and </w:t>
      </w:r>
      <w:r>
        <w:rPr>
          <w:kern w:val="0"/>
        </w:rPr>
        <w:t xml:space="preserve">Rodrigues, B. (2010), Routine intracranial pressure monitoring in acute coma.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CD002043.</w:t>
      </w:r>
    </w:p>
    <w:p w:rsidR="00365DE4" w:rsidRDefault="00365DE4" w:rsidP="00365DE4">
      <w:pPr>
        <w:pStyle w:val="a3"/>
        <w:rPr>
          <w:kern w:val="2"/>
        </w:rPr>
      </w:pPr>
      <w:r>
        <w:t xml:space="preserve">Full Text: </w:t>
      </w:r>
      <w:hyperlink r:id="rId575" w:history="1">
        <w:r>
          <w:rPr>
            <w:rStyle w:val="a5"/>
          </w:rPr>
          <w:t>2010\Coc Dat Sys Rev2010, CD002043.pdf</w:t>
        </w:r>
      </w:hyperlink>
    </w:p>
    <w:p w:rsidR="00365DE4" w:rsidRDefault="00365DE4" w:rsidP="00365DE4">
      <w:pPr>
        <w:pStyle w:val="a3"/>
        <w:rPr>
          <w:kern w:val="0"/>
        </w:rPr>
      </w:pPr>
      <w:r>
        <w:rPr>
          <w:kern w:val="0"/>
        </w:rPr>
        <w:t>Abstract: Background Studies in traumatic encephalopathy first led to the insight that the damage seen was not just due to direct consequences</w:t>
      </w:r>
      <w:r w:rsidR="00427468">
        <w:rPr>
          <w:kern w:val="0"/>
        </w:rPr>
        <w:t xml:space="preserve"> of </w:t>
      </w:r>
      <w:r>
        <w:rPr>
          <w:kern w:val="0"/>
        </w:rPr>
        <w:t>the primary injury. A significant,</w:t>
      </w:r>
      <w:r w:rsidR="005853A9">
        <w:rPr>
          <w:kern w:val="0"/>
        </w:rPr>
        <w:t xml:space="preserve"> and </w:t>
      </w:r>
      <w:r>
        <w:rPr>
          <w:kern w:val="0"/>
        </w:rPr>
        <w:t>potentially preventable, contribution to the overall morbidity arose from secondary hypoxic-ischaemic damage. Brain swelling accompanied by raised intracranial pressure (ICP) resulted in inadequate cerebral perfusion with well-oxygenated blood. Detection</w:t>
      </w:r>
      <w:r w:rsidR="00427468">
        <w:rPr>
          <w:kern w:val="0"/>
        </w:rPr>
        <w:t xml:space="preserve"> of </w:t>
      </w:r>
      <w:r>
        <w:rPr>
          <w:kern w:val="0"/>
        </w:rPr>
        <w:t>raised ICP could be useful in alerting clinicians to the need to improve cerebral perfusion, with consequent reductions in brain injury. Objectives To determine whether routine ICP monitoring in all acute cases</w:t>
      </w:r>
      <w:r w:rsidR="00427468">
        <w:rPr>
          <w:kern w:val="0"/>
        </w:rPr>
        <w:t xml:space="preserve"> of </w:t>
      </w:r>
      <w:r>
        <w:rPr>
          <w:kern w:val="0"/>
        </w:rPr>
        <w:t>severe coma reduces the risk</w:t>
      </w:r>
      <w:r w:rsidR="00427468">
        <w:rPr>
          <w:kern w:val="0"/>
        </w:rPr>
        <w:t xml:space="preserve"> of </w:t>
      </w:r>
      <w:r>
        <w:rPr>
          <w:kern w:val="0"/>
        </w:rPr>
        <w:t>all-cause mortality or severe disability at final follow-up. Search strategy We searched the Cochrane Injuries Group</w:t>
      </w:r>
      <w:r w:rsidR="0071223E">
        <w:rPr>
          <w:kern w:val="0"/>
        </w:rPr>
        <w:t>’</w:t>
      </w:r>
      <w:r>
        <w:rPr>
          <w:kern w:val="0"/>
        </w:rPr>
        <w:t xml:space="preserve">s Specialised Register (searched 7 April 2009), CENTRAL (The Cochrane Library 2009, Issue 1), </w:t>
      </w:r>
      <w:r w:rsidR="00D5664A">
        <w:rPr>
          <w:kern w:val="0"/>
        </w:rPr>
        <w:t>MEDLINE</w:t>
      </w:r>
      <w:r>
        <w:rPr>
          <w:kern w:val="0"/>
        </w:rPr>
        <w:t xml:space="preserve"> 1950 to March week 4 2009, EMBASE 1980 to week 14 March 2009, CINAHL 1982 to March 2009, ISI </w:t>
      </w:r>
      <w:r w:rsidR="00D5664A">
        <w:rPr>
          <w:kern w:val="0"/>
        </w:rPr>
        <w:t>Web</w:t>
      </w:r>
      <w:r w:rsidR="00427468">
        <w:rPr>
          <w:kern w:val="0"/>
        </w:rPr>
        <w:t xml:space="preserve"> of </w:t>
      </w:r>
      <w:r w:rsidR="00D5664A">
        <w:rPr>
          <w:kern w:val="0"/>
        </w:rPr>
        <w:t>Science</w:t>
      </w:r>
      <w:r>
        <w:rPr>
          <w:kern w:val="0"/>
        </w:rPr>
        <w:t xml:space="preserve">: Science Citation Index </w:t>
      </w:r>
      <w:r>
        <w:rPr>
          <w:kern w:val="0"/>
        </w:rPr>
        <w:lastRenderedPageBreak/>
        <w:t>Expanded (SCI-EXPANDED) 1970 to March 2009, Conference Proceedings Citation Index-Science (CPCI-S) 1990 to March 2009, PUBMED (searched 7 April 2009, limit; added in last 6 months)</w:t>
      </w:r>
      <w:r w:rsidR="00A37C1D">
        <w:rPr>
          <w:kern w:val="0"/>
        </w:rPr>
        <w:t>. The</w:t>
      </w:r>
      <w:r>
        <w:rPr>
          <w:kern w:val="0"/>
        </w:rPr>
        <w:t xml:space="preserve"> searches were last updated in April 2009. Selection criteria All randomised controlled studies</w:t>
      </w:r>
      <w:r w:rsidR="00427468">
        <w:rPr>
          <w:kern w:val="0"/>
        </w:rPr>
        <w:t xml:space="preserve"> of </w:t>
      </w:r>
      <w:r>
        <w:rPr>
          <w:kern w:val="0"/>
        </w:rPr>
        <w:t>real-time ICP monitoring by invasive or semi-invasive means in acute coma (traumatic or non-traumatic aetiology) versus no ICP monitoring (that is, clinical assessment</w:t>
      </w:r>
      <w:r w:rsidR="00427468">
        <w:rPr>
          <w:kern w:val="0"/>
        </w:rPr>
        <w:t xml:space="preserve"> of </w:t>
      </w:r>
      <w:r>
        <w:rPr>
          <w:kern w:val="0"/>
        </w:rPr>
        <w:t>ICP). Data collection</w:t>
      </w:r>
      <w:r w:rsidR="005853A9">
        <w:rPr>
          <w:kern w:val="0"/>
        </w:rPr>
        <w:t xml:space="preserve"> and </w:t>
      </w:r>
      <w:r>
        <w:rPr>
          <w:kern w:val="0"/>
        </w:rPr>
        <w:t>analysis Primary outcome measures were all-cause mortality</w:t>
      </w:r>
      <w:r w:rsidR="005853A9">
        <w:rPr>
          <w:kern w:val="0"/>
        </w:rPr>
        <w:t xml:space="preserve"> and </w:t>
      </w:r>
      <w:r>
        <w:rPr>
          <w:kern w:val="0"/>
        </w:rPr>
        <w:t>severe disability at the end</w:t>
      </w:r>
      <w:r w:rsidR="00427468">
        <w:rPr>
          <w:kern w:val="0"/>
        </w:rPr>
        <w:t xml:space="preserve"> of </w:t>
      </w:r>
      <w:r>
        <w:rPr>
          <w:kern w:val="0"/>
        </w:rPr>
        <w:t>the follow-up period. Main results No studies meeting the selection criteria have been identified to date. Authors</w:t>
      </w:r>
      <w:r w:rsidR="0071223E">
        <w:rPr>
          <w:kern w:val="0"/>
        </w:rPr>
        <w:t>’</w:t>
      </w:r>
      <w:r>
        <w:rPr>
          <w:kern w:val="0"/>
        </w:rPr>
        <w:t xml:space="preserve"> conclusions There are no data from randomised controlled trials that can clarify the role</w:t>
      </w:r>
      <w:r w:rsidR="00427468">
        <w:rPr>
          <w:kern w:val="0"/>
        </w:rPr>
        <w:t xml:space="preserve"> of </w:t>
      </w:r>
      <w:r>
        <w:rPr>
          <w:kern w:val="0"/>
        </w:rPr>
        <w:t>ICP monitoring in acute coma.</w:t>
      </w:r>
    </w:p>
    <w:p w:rsidR="00365DE4" w:rsidRDefault="00365DE4" w:rsidP="00365DE4">
      <w:pPr>
        <w:pStyle w:val="a3"/>
        <w:rPr>
          <w:kern w:val="0"/>
        </w:rPr>
      </w:pPr>
      <w:r>
        <w:rPr>
          <w:kern w:val="0"/>
        </w:rPr>
        <w:t>Keywords: Acute Disease, Aggressive Treatment, Assessment, Authors, Brain Injuries [Complications], Cerebrovascular Circulation, Citation, Coma [Physiopathology], Contribution, Experience, Failure, Humans, Insults, Intensive-Care, Intra-Cranical Pressure, Intracranial Hypertension [Physiopathology], Intracranial Pressure [Physiology]</w:t>
      </w:r>
      <w:r w:rsidR="00D5664A">
        <w:rPr>
          <w:kern w:val="0"/>
        </w:rPr>
        <w:t>, ISI,</w:t>
      </w:r>
      <w:r>
        <w:rPr>
          <w:kern w:val="0"/>
        </w:rPr>
        <w:t xml:space="preserve"> ISI Web, ISI </w:t>
      </w:r>
      <w:r w:rsidR="00D5664A">
        <w:rPr>
          <w:kern w:val="0"/>
        </w:rPr>
        <w:t>Web</w:t>
      </w:r>
      <w:r w:rsidR="00427468">
        <w:rPr>
          <w:kern w:val="0"/>
        </w:rPr>
        <w:t xml:space="preserve"> of </w:t>
      </w:r>
      <w:r w:rsidR="00D5664A">
        <w:rPr>
          <w:kern w:val="0"/>
        </w:rPr>
        <w:t>Science</w:t>
      </w:r>
      <w:r>
        <w:rPr>
          <w:kern w:val="0"/>
        </w:rPr>
        <w:t xml:space="preserve">, Management, </w:t>
      </w:r>
      <w:r w:rsidR="00D5664A">
        <w:rPr>
          <w:kern w:val="0"/>
        </w:rPr>
        <w:t>MEDLINE</w:t>
      </w:r>
      <w:r>
        <w:rPr>
          <w:kern w:val="0"/>
        </w:rPr>
        <w:t xml:space="preserve">, Monitoring,Physiologic, Primary, Risk, Science, Science Citation Index, Severe Head-Injury, Survival, Swelling, Traumatic Brain-Injury,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Hackett, M.L., Yang, M., Anderson, C.S., Horrocks, J.A.</w:t>
      </w:r>
      <w:r w:rsidR="005853A9">
        <w:rPr>
          <w:kern w:val="0"/>
        </w:rPr>
        <w:t xml:space="preserve"> and </w:t>
      </w:r>
      <w:r>
        <w:rPr>
          <w:kern w:val="0"/>
        </w:rPr>
        <w:t xml:space="preserve">House, A. (2010), Pharmaceutical interventions for emotionalism after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CD003690.</w:t>
      </w:r>
    </w:p>
    <w:p w:rsidR="00365DE4" w:rsidRDefault="00365DE4" w:rsidP="00365DE4">
      <w:pPr>
        <w:pStyle w:val="a3"/>
        <w:rPr>
          <w:kern w:val="2"/>
        </w:rPr>
      </w:pPr>
      <w:r>
        <w:t xml:space="preserve">Full Text: </w:t>
      </w:r>
      <w:hyperlink r:id="rId576" w:history="1">
        <w:r>
          <w:rPr>
            <w:rStyle w:val="a5"/>
          </w:rPr>
          <w:t>2010\Coc Dat Sys Rev2010, CD003690.pdf</w:t>
        </w:r>
      </w:hyperlink>
    </w:p>
    <w:p w:rsidR="00365DE4" w:rsidRDefault="00365DE4" w:rsidP="00365DE4">
      <w:pPr>
        <w:pStyle w:val="a3"/>
        <w:rPr>
          <w:kern w:val="0"/>
        </w:rPr>
      </w:pPr>
      <w:r>
        <w:rPr>
          <w:kern w:val="0"/>
        </w:rPr>
        <w:t>Abstract: Background Antidepressants may be useful in the treatment</w:t>
      </w:r>
      <w:r w:rsidR="00427468">
        <w:rPr>
          <w:kern w:val="0"/>
        </w:rPr>
        <w:t xml:space="preserve"> of </w:t>
      </w:r>
      <w:r>
        <w:rPr>
          <w:kern w:val="0"/>
        </w:rPr>
        <w:t>abnormal crying associated with stroke. This is an update</w:t>
      </w:r>
      <w:r w:rsidR="00427468">
        <w:rPr>
          <w:kern w:val="0"/>
        </w:rPr>
        <w:t xml:space="preserve"> of </w:t>
      </w:r>
      <w:r>
        <w:rPr>
          <w:kern w:val="0"/>
        </w:rPr>
        <w:t>a Cochrane Review first published in 2004. Objectives To determine whether pharmaceutical treatment reduces the frequency</w:t>
      </w:r>
      <w:r w:rsidR="00427468">
        <w:rPr>
          <w:kern w:val="0"/>
        </w:rPr>
        <w:t xml:space="preserve"> of </w:t>
      </w:r>
      <w:r>
        <w:rPr>
          <w:kern w:val="0"/>
        </w:rPr>
        <w:t>emotional displays in people with emotionalism after stroke. Search strategy We searched the trials registers</w:t>
      </w:r>
      <w:r w:rsidR="00427468">
        <w:rPr>
          <w:kern w:val="0"/>
        </w:rPr>
        <w:t xml:space="preserve"> of </w:t>
      </w:r>
      <w:r>
        <w:rPr>
          <w:kern w:val="0"/>
        </w:rPr>
        <w:t>the Cochrane Stroke Group</w:t>
      </w:r>
      <w:r w:rsidR="005853A9">
        <w:rPr>
          <w:kern w:val="0"/>
        </w:rPr>
        <w:t xml:space="preserve"> and </w:t>
      </w:r>
      <w:r>
        <w:rPr>
          <w:kern w:val="0"/>
        </w:rPr>
        <w:t>the Cochrane Depression Anxiety</w:t>
      </w:r>
      <w:r w:rsidR="005853A9">
        <w:rPr>
          <w:kern w:val="0"/>
        </w:rPr>
        <w:t xml:space="preserve"> and </w:t>
      </w:r>
      <w:r>
        <w:rPr>
          <w:kern w:val="0"/>
        </w:rPr>
        <w:t>Neurosis Group (last searched August 2009). In addition, we searched the Cochrane Central Register</w:t>
      </w:r>
      <w:r w:rsidR="00427468">
        <w:rPr>
          <w:kern w:val="0"/>
        </w:rPr>
        <w:t xml:space="preserve"> of </w:t>
      </w:r>
      <w:r>
        <w:rPr>
          <w:kern w:val="0"/>
        </w:rPr>
        <w:t xml:space="preserve">Controlled Trials (CENTRAL) (The Cochrane Library Issue 3, 2009), </w:t>
      </w:r>
      <w:r w:rsidR="00D5664A">
        <w:rPr>
          <w:kern w:val="0"/>
        </w:rPr>
        <w:t>MEDLINE</w:t>
      </w:r>
      <w:r>
        <w:rPr>
          <w:kern w:val="0"/>
        </w:rPr>
        <w:t xml:space="preserve"> (1966 to May 2008), EMBASE (1980 to May 2008), CINAHL (1982 to May 2008), PsycINFO (1967 to May 2008), Arts</w:t>
      </w:r>
      <w:r w:rsidR="005853A9">
        <w:rPr>
          <w:kern w:val="0"/>
        </w:rPr>
        <w:t xml:space="preserve"> and </w:t>
      </w:r>
      <w:r>
        <w:rPr>
          <w:kern w:val="0"/>
        </w:rPr>
        <w:t xml:space="preserve">Humanities Index (1991 to May 2008), BIOSIS Previews (2002 to May 2008), Science Citation Index (1992 to May 2008), Social Sciences Citation Index (1991 to May 2008), Sociological Abstract/Sociofile (1974 to May 2008), ISI </w:t>
      </w:r>
      <w:r w:rsidR="00D5664A">
        <w:rPr>
          <w:kern w:val="0"/>
        </w:rPr>
        <w:t>Web</w:t>
      </w:r>
      <w:r w:rsidR="00427468">
        <w:rPr>
          <w:kern w:val="0"/>
        </w:rPr>
        <w:t xml:space="preserve"> of </w:t>
      </w:r>
      <w:r w:rsidR="00D5664A">
        <w:rPr>
          <w:kern w:val="0"/>
        </w:rPr>
        <w:t>Science</w:t>
      </w:r>
      <w:r>
        <w:rPr>
          <w:kern w:val="0"/>
        </w:rPr>
        <w:t xml:space="preserve"> (2002 to May 2008), reference lists, clinical trials registers, conference proceedings</w:t>
      </w:r>
      <w:r w:rsidR="005853A9">
        <w:rPr>
          <w:kern w:val="0"/>
        </w:rPr>
        <w:t xml:space="preserve"> and </w:t>
      </w:r>
      <w:r>
        <w:rPr>
          <w:kern w:val="0"/>
        </w:rPr>
        <w:t>dissertation abstracts. We also contacted authors, researchers</w:t>
      </w:r>
      <w:r w:rsidR="005853A9">
        <w:rPr>
          <w:kern w:val="0"/>
        </w:rPr>
        <w:t xml:space="preserve"> and </w:t>
      </w:r>
      <w:r>
        <w:rPr>
          <w:kern w:val="0"/>
        </w:rPr>
        <w:t>pharmaceutical companies. Selection criteria Randomised</w:t>
      </w:r>
      <w:r w:rsidR="005853A9">
        <w:rPr>
          <w:kern w:val="0"/>
        </w:rPr>
        <w:t xml:space="preserve"> and </w:t>
      </w:r>
      <w:r>
        <w:rPr>
          <w:kern w:val="0"/>
        </w:rPr>
        <w:t>quasi-randomised controlled trials comparing psychotropic medication to placebo in people with stroke</w:t>
      </w:r>
      <w:r w:rsidR="005853A9">
        <w:rPr>
          <w:kern w:val="0"/>
        </w:rPr>
        <w:t xml:space="preserve"> and </w:t>
      </w:r>
      <w:r>
        <w:rPr>
          <w:kern w:val="0"/>
        </w:rPr>
        <w:t xml:space="preserve">emotionalism (also known as emotional lability or </w:t>
      </w:r>
      <w:r>
        <w:rPr>
          <w:kern w:val="0"/>
        </w:rPr>
        <w:lastRenderedPageBreak/>
        <w:t>pathological crying</w:t>
      </w:r>
      <w:r w:rsidR="005853A9">
        <w:rPr>
          <w:kern w:val="0"/>
        </w:rPr>
        <w:t xml:space="preserve"> and </w:t>
      </w:r>
      <w:r>
        <w:rPr>
          <w:kern w:val="0"/>
        </w:rPr>
        <w:t>laughing). Data collection</w:t>
      </w:r>
      <w:r w:rsidR="005853A9">
        <w:rPr>
          <w:kern w:val="0"/>
        </w:rPr>
        <w:t xml:space="preserve"> and </w:t>
      </w:r>
      <w:r>
        <w:rPr>
          <w:kern w:val="0"/>
        </w:rPr>
        <w:t>analysis We obtained data for people who no longer met the criteria for emotionalism,</w:t>
      </w:r>
      <w:r w:rsidR="005853A9">
        <w:rPr>
          <w:kern w:val="0"/>
        </w:rPr>
        <w:t xml:space="preserve"> and </w:t>
      </w:r>
      <w:r>
        <w:rPr>
          <w:kern w:val="0"/>
        </w:rPr>
        <w:t>on reduction in frequency</w:t>
      </w:r>
      <w:r w:rsidR="00427468">
        <w:rPr>
          <w:kern w:val="0"/>
        </w:rPr>
        <w:t xml:space="preserve"> of </w:t>
      </w:r>
      <w:r>
        <w:rPr>
          <w:kern w:val="0"/>
        </w:rPr>
        <w:t>crying. Primary analyses were the proportion</w:t>
      </w:r>
      <w:r w:rsidR="00427468">
        <w:rPr>
          <w:kern w:val="0"/>
        </w:rPr>
        <w:t xml:space="preserve"> of </w:t>
      </w:r>
      <w:r>
        <w:rPr>
          <w:kern w:val="0"/>
        </w:rPr>
        <w:t>patients who met the criteria for emotionalism at the end</w:t>
      </w:r>
      <w:r w:rsidR="00427468">
        <w:rPr>
          <w:kern w:val="0"/>
        </w:rPr>
        <w:t xml:space="preserve"> of </w:t>
      </w:r>
      <w:r>
        <w:rPr>
          <w:kern w:val="0"/>
        </w:rPr>
        <w:t>treatment. Secondary outcomes included emotionalism</w:t>
      </w:r>
      <w:r w:rsidR="005853A9">
        <w:rPr>
          <w:kern w:val="0"/>
        </w:rPr>
        <w:t xml:space="preserve"> and </w:t>
      </w:r>
      <w:r>
        <w:rPr>
          <w:kern w:val="0"/>
        </w:rPr>
        <w:t>depression scores, cognitive function, death, activities</w:t>
      </w:r>
      <w:r w:rsidR="00427468">
        <w:rPr>
          <w:kern w:val="0"/>
        </w:rPr>
        <w:t xml:space="preserve"> of </w:t>
      </w:r>
      <w:r>
        <w:rPr>
          <w:kern w:val="0"/>
        </w:rPr>
        <w:t>daily living</w:t>
      </w:r>
      <w:r w:rsidR="005853A9">
        <w:rPr>
          <w:kern w:val="0"/>
        </w:rPr>
        <w:t xml:space="preserve"> and </w:t>
      </w:r>
      <w:r>
        <w:rPr>
          <w:kern w:val="0"/>
        </w:rPr>
        <w:t>adverse effects. Main results We included seven trials involving 239 participants. Data were available for five trials with 213 participants. Five trials showed large effects</w:t>
      </w:r>
      <w:r w:rsidR="00427468">
        <w:rPr>
          <w:kern w:val="0"/>
        </w:rPr>
        <w:t xml:space="preserve"> of </w:t>
      </w:r>
      <w:r>
        <w:rPr>
          <w:kern w:val="0"/>
        </w:rPr>
        <w:t>treatment: 50% reduction in emotionalism, diminished tearfulness, improvements (reduction) in lability, tearfulness</w:t>
      </w:r>
      <w:r w:rsidR="005853A9">
        <w:rPr>
          <w:kern w:val="0"/>
        </w:rPr>
        <w:t xml:space="preserve"> and </w:t>
      </w:r>
      <w:r>
        <w:rPr>
          <w:kern w:val="0"/>
        </w:rPr>
        <w:t>scores on the Pathological Laughter</w:t>
      </w:r>
      <w:r w:rsidR="005853A9">
        <w:rPr>
          <w:kern w:val="0"/>
        </w:rPr>
        <w:t xml:space="preserve"> and </w:t>
      </w:r>
      <w:r>
        <w:rPr>
          <w:kern w:val="0"/>
        </w:rPr>
        <w:t>Crying Scale. However, confidence intervals were wide indicating that treatment may have had only a small positive effect, or even a small negative effect (in one trial). Only two studies systematically reported adverse events; no discernible differences were seen between groups. Authors</w:t>
      </w:r>
      <w:r w:rsidR="0071223E">
        <w:rPr>
          <w:kern w:val="0"/>
        </w:rPr>
        <w:t>’</w:t>
      </w:r>
      <w:r>
        <w:rPr>
          <w:kern w:val="0"/>
        </w:rPr>
        <w:t xml:space="preserve"> conclusions Antidepressants can reduce the frequency</w:t>
      </w:r>
      <w:r w:rsidR="005853A9">
        <w:rPr>
          <w:kern w:val="0"/>
        </w:rPr>
        <w:t xml:space="preserve"> and </w:t>
      </w:r>
      <w:r>
        <w:rPr>
          <w:kern w:val="0"/>
        </w:rPr>
        <w:t>severity</w:t>
      </w:r>
      <w:r w:rsidR="00427468">
        <w:rPr>
          <w:kern w:val="0"/>
        </w:rPr>
        <w:t xml:space="preserve"> of </w:t>
      </w:r>
      <w:r>
        <w:rPr>
          <w:kern w:val="0"/>
        </w:rPr>
        <w:t>crying or laughing episodes</w:t>
      </w:r>
      <w:r w:rsidR="00A37C1D">
        <w:rPr>
          <w:kern w:val="0"/>
        </w:rPr>
        <w:t>. The</w:t>
      </w:r>
      <w:r>
        <w:rPr>
          <w:kern w:val="0"/>
        </w:rPr>
        <w:t xml:space="preserve"> effect does not seem specific to one drug or class</w:t>
      </w:r>
      <w:r w:rsidR="00427468">
        <w:rPr>
          <w:kern w:val="0"/>
        </w:rPr>
        <w:t xml:space="preserve"> of </w:t>
      </w:r>
      <w:r>
        <w:rPr>
          <w:kern w:val="0"/>
        </w:rPr>
        <w:t>drugs. Our conclusions must be qualified by several methodological deficiencies in the studies. More reliable data are required before recommendations can be made about the treatment</w:t>
      </w:r>
      <w:r w:rsidR="00427468">
        <w:rPr>
          <w:kern w:val="0"/>
        </w:rPr>
        <w:t xml:space="preserve"> of </w:t>
      </w:r>
      <w:r>
        <w:rPr>
          <w:kern w:val="0"/>
        </w:rPr>
        <w:t>post-stroke emotionalism.</w:t>
      </w:r>
    </w:p>
    <w:p w:rsidR="00365DE4" w:rsidRDefault="00365DE4" w:rsidP="00365DE4">
      <w:pPr>
        <w:pStyle w:val="a3"/>
        <w:rPr>
          <w:kern w:val="0"/>
        </w:rPr>
      </w:pPr>
      <w:r>
        <w:rPr>
          <w:kern w:val="0"/>
        </w:rPr>
        <w:t>Keywords: Antidepressants, Antidepressive Agents [Therapeutic Use], Authors, Brain-Damage, Citalopram Treatment, Citation, Crying [Psychology], Double-Blind, Fluoxetine Improves, Groups, Humans, Incontinence</w:t>
      </w:r>
      <w:r w:rsidR="00D5664A">
        <w:rPr>
          <w:kern w:val="0"/>
        </w:rPr>
        <w:t>, ISI,</w:t>
      </w:r>
      <w:r>
        <w:rPr>
          <w:kern w:val="0"/>
        </w:rPr>
        <w:t xml:space="preserve"> ISI Web, ISI </w:t>
      </w:r>
      <w:r w:rsidR="00D5664A">
        <w:rPr>
          <w:kern w:val="0"/>
        </w:rPr>
        <w:t>Web</w:t>
      </w:r>
      <w:r w:rsidR="00427468">
        <w:rPr>
          <w:kern w:val="0"/>
        </w:rPr>
        <w:t xml:space="preserve"> of </w:t>
      </w:r>
      <w:r w:rsidR="00D5664A">
        <w:rPr>
          <w:kern w:val="0"/>
        </w:rPr>
        <w:t>Science</w:t>
      </w:r>
      <w:r>
        <w:rPr>
          <w:kern w:val="0"/>
        </w:rPr>
        <w:t xml:space="preserve">, Lability, Laughter [Psychology], </w:t>
      </w:r>
      <w:r w:rsidR="00D5664A">
        <w:rPr>
          <w:kern w:val="0"/>
        </w:rPr>
        <w:t>MEDLINE</w:t>
      </w:r>
      <w:r>
        <w:rPr>
          <w:kern w:val="0"/>
        </w:rPr>
        <w:t xml:space="preserve">, Pharmaceutical, Positive, Poststroke Depression, Pseudobulbar Affect, Quality-of-Life, Randomized Controlled Trials as Topic, Researchers, Review, Science, Science Citation Index, Sertraline, Stroke [Psychology],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Thomas, R.E., Jefferson, T.</w:t>
      </w:r>
      <w:r w:rsidR="005853A9">
        <w:rPr>
          <w:kern w:val="0"/>
        </w:rPr>
        <w:t xml:space="preserve"> and </w:t>
      </w:r>
      <w:r>
        <w:rPr>
          <w:kern w:val="0"/>
        </w:rPr>
        <w:t xml:space="preserve">Lasserson, T.J. (2010), Influenza vaccination for healthcare workers who work with the elderly.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CD005187.</w:t>
      </w:r>
    </w:p>
    <w:p w:rsidR="00365DE4" w:rsidRDefault="00365DE4" w:rsidP="00365DE4">
      <w:pPr>
        <w:pStyle w:val="a3"/>
        <w:rPr>
          <w:kern w:val="2"/>
        </w:rPr>
      </w:pPr>
      <w:r>
        <w:t xml:space="preserve">Full Text: </w:t>
      </w:r>
      <w:hyperlink r:id="rId577" w:history="1">
        <w:r>
          <w:rPr>
            <w:rStyle w:val="a5"/>
          </w:rPr>
          <w:t>2010\Coc Dat Sys Rev2010, CD005187.pdf</w:t>
        </w:r>
      </w:hyperlink>
    </w:p>
    <w:p w:rsidR="00365DE4" w:rsidRDefault="00365DE4" w:rsidP="00365DE4">
      <w:pPr>
        <w:pStyle w:val="a3"/>
        <w:rPr>
          <w:kern w:val="0"/>
        </w:rPr>
      </w:pPr>
      <w:r>
        <w:rPr>
          <w:kern w:val="0"/>
        </w:rPr>
        <w:t>Abstract: Background Healthcare workers</w:t>
      </w:r>
      <w:r w:rsidR="0071223E">
        <w:rPr>
          <w:kern w:val="0"/>
        </w:rPr>
        <w:t>’</w:t>
      </w:r>
      <w:r>
        <w:rPr>
          <w:kern w:val="0"/>
        </w:rPr>
        <w:t xml:space="preserve"> (HCWs) influenza rates are unknown, but may be similar to the general public</w:t>
      </w:r>
      <w:r w:rsidR="005853A9">
        <w:rPr>
          <w:kern w:val="0"/>
        </w:rPr>
        <w:t xml:space="preserve"> and </w:t>
      </w:r>
      <w:r>
        <w:rPr>
          <w:kern w:val="0"/>
        </w:rPr>
        <w:t>they may transmit influenza to patients. Objectives To identify studies</w:t>
      </w:r>
      <w:r w:rsidR="00427468">
        <w:rPr>
          <w:kern w:val="0"/>
        </w:rPr>
        <w:t xml:space="preserve"> of </w:t>
      </w:r>
      <w:r>
        <w:rPr>
          <w:kern w:val="0"/>
        </w:rPr>
        <w:t>vaccinating HCWs</w:t>
      </w:r>
      <w:r w:rsidR="005853A9">
        <w:rPr>
          <w:kern w:val="0"/>
        </w:rPr>
        <w:t xml:space="preserve"> and </w:t>
      </w:r>
      <w:r>
        <w:rPr>
          <w:kern w:val="0"/>
        </w:rPr>
        <w:t>the incidence</w:t>
      </w:r>
      <w:r w:rsidR="00427468">
        <w:rPr>
          <w:kern w:val="0"/>
        </w:rPr>
        <w:t xml:space="preserve"> of </w:t>
      </w:r>
      <w:r>
        <w:rPr>
          <w:kern w:val="0"/>
        </w:rPr>
        <w:t>influenza, its complications</w:t>
      </w:r>
      <w:r w:rsidR="005853A9">
        <w:rPr>
          <w:kern w:val="0"/>
        </w:rPr>
        <w:t xml:space="preserve"> and </w:t>
      </w:r>
      <w:r>
        <w:rPr>
          <w:kern w:val="0"/>
        </w:rPr>
        <w:t>influenza-like illness (ILI) in individuals &gt;= 60 in long-term care facilities (LTCFs). Search strategy We searched CENTRAL (The Cochrane Library 2009, issue 3), which contains the Cochrane Acute Respiratory Infections Group</w:t>
      </w:r>
      <w:r w:rsidR="0071223E">
        <w:rPr>
          <w:kern w:val="0"/>
        </w:rPr>
        <w:t>’</w:t>
      </w:r>
      <w:r>
        <w:rPr>
          <w:kern w:val="0"/>
        </w:rPr>
        <w:t xml:space="preserve">s Specialised Register, </w:t>
      </w:r>
      <w:r w:rsidR="00D5664A">
        <w:rPr>
          <w:kern w:val="0"/>
        </w:rPr>
        <w:t>MEDLINE</w:t>
      </w:r>
      <w:r>
        <w:rPr>
          <w:kern w:val="0"/>
        </w:rPr>
        <w:t xml:space="preserve"> (1966 to 2009), EMBASE (1974 to 2009)</w:t>
      </w:r>
      <w:r w:rsidR="005853A9">
        <w:rPr>
          <w:kern w:val="0"/>
        </w:rPr>
        <w:t xml:space="preserve"> and </w:t>
      </w:r>
      <w:r>
        <w:rPr>
          <w:kern w:val="0"/>
        </w:rPr>
        <w:t>Biological Abstracts</w:t>
      </w:r>
      <w:r w:rsidR="005853A9">
        <w:rPr>
          <w:kern w:val="0"/>
        </w:rPr>
        <w:t xml:space="preserve"> and </w:t>
      </w:r>
      <w:r>
        <w:rPr>
          <w:kern w:val="0"/>
        </w:rPr>
        <w:t>Science Citation Index-Expanded. Selection criteria Randomised controlled trials (RCTs)</w:t>
      </w:r>
      <w:r w:rsidR="005853A9">
        <w:rPr>
          <w:kern w:val="0"/>
        </w:rPr>
        <w:t xml:space="preserve"> and </w:t>
      </w:r>
      <w:r>
        <w:rPr>
          <w:kern w:val="0"/>
        </w:rPr>
        <w:t>non-RCTs</w:t>
      </w:r>
      <w:r w:rsidR="00427468">
        <w:rPr>
          <w:kern w:val="0"/>
        </w:rPr>
        <w:t xml:space="preserve"> of </w:t>
      </w:r>
      <w:r>
        <w:rPr>
          <w:kern w:val="0"/>
        </w:rPr>
        <w:t>influenza vaccination</w:t>
      </w:r>
      <w:r w:rsidR="00427468">
        <w:rPr>
          <w:kern w:val="0"/>
        </w:rPr>
        <w:t xml:space="preserve"> of </w:t>
      </w:r>
      <w:r>
        <w:rPr>
          <w:kern w:val="0"/>
        </w:rPr>
        <w:t>HCWs caring for individuals &gt;= 60 in LTCFs</w:t>
      </w:r>
      <w:r w:rsidR="005853A9">
        <w:rPr>
          <w:kern w:val="0"/>
        </w:rPr>
        <w:t xml:space="preserve"> and </w:t>
      </w:r>
      <w:r>
        <w:rPr>
          <w:kern w:val="0"/>
        </w:rPr>
        <w:t>the incidence</w:t>
      </w:r>
      <w:r w:rsidR="00427468">
        <w:rPr>
          <w:kern w:val="0"/>
        </w:rPr>
        <w:t xml:space="preserve"> of </w:t>
      </w:r>
      <w:r>
        <w:rPr>
          <w:kern w:val="0"/>
        </w:rPr>
        <w:t xml:space="preserve">laboratory-proven </w:t>
      </w:r>
      <w:r>
        <w:rPr>
          <w:kern w:val="0"/>
        </w:rPr>
        <w:lastRenderedPageBreak/>
        <w:t>influenza, its complications or ILI.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risk</w:t>
      </w:r>
      <w:r w:rsidR="00427468">
        <w:rPr>
          <w:kern w:val="0"/>
        </w:rPr>
        <w:t xml:space="preserve"> of </w:t>
      </w:r>
      <w:r>
        <w:rPr>
          <w:kern w:val="0"/>
        </w:rPr>
        <w:t>bias. Main results We identified four cluster-RCTs (C-RCTs) (n = 7558)</w:t>
      </w:r>
      <w:r w:rsidR="005853A9">
        <w:rPr>
          <w:kern w:val="0"/>
        </w:rPr>
        <w:t xml:space="preserve"> and </w:t>
      </w:r>
      <w:r>
        <w:rPr>
          <w:kern w:val="0"/>
        </w:rPr>
        <w:t>one cohort (n = 12742)</w:t>
      </w:r>
      <w:r w:rsidR="00427468">
        <w:rPr>
          <w:kern w:val="0"/>
        </w:rPr>
        <w:t xml:space="preserve"> of </w:t>
      </w:r>
      <w:r>
        <w:rPr>
          <w:kern w:val="0"/>
        </w:rPr>
        <w:t>influenza vaccination for HCWs caring for individuals &gt;= 60 in LTCFs. Pooled data from three C-RCTs showed no effect on specific outcomes: laboratory-proven influenza, pneumonia or deaths from pneumonia. For non-specific outcomes pooled data from three C-RCTs showed HCW vaccination reduced ILI; data from one C-RCT that HCW vaccination reduced GP consultations for ILI;</w:t>
      </w:r>
      <w:r w:rsidR="005853A9">
        <w:rPr>
          <w:kern w:val="0"/>
        </w:rPr>
        <w:t xml:space="preserve"> and </w:t>
      </w:r>
      <w:r>
        <w:rPr>
          <w:kern w:val="0"/>
        </w:rPr>
        <w:t>pooled data from three C-RCTs showed reduced all-cause mortality in individuals &gt;= 60. Authors</w:t>
      </w:r>
      <w:r w:rsidR="0071223E">
        <w:rPr>
          <w:kern w:val="0"/>
        </w:rPr>
        <w:t>’</w:t>
      </w:r>
      <w:r>
        <w:rPr>
          <w:kern w:val="0"/>
        </w:rPr>
        <w:t xml:space="preserve"> conclusions No effect was shown for specific outcomes: laboratory-proven influenza, pneumonia</w:t>
      </w:r>
      <w:r w:rsidR="005853A9">
        <w:rPr>
          <w:kern w:val="0"/>
        </w:rPr>
        <w:t xml:space="preserve"> and </w:t>
      </w:r>
      <w:r>
        <w:rPr>
          <w:kern w:val="0"/>
        </w:rPr>
        <w:t>death from pneumonia. An effect was shown for the non-specific outcomes</w:t>
      </w:r>
      <w:r w:rsidR="00427468">
        <w:rPr>
          <w:kern w:val="0"/>
        </w:rPr>
        <w:t xml:space="preserve"> of </w:t>
      </w:r>
      <w:r>
        <w:rPr>
          <w:kern w:val="0"/>
        </w:rPr>
        <w:t>ILI, GP consultations for ILI</w:t>
      </w:r>
      <w:r w:rsidR="005853A9">
        <w:rPr>
          <w:kern w:val="0"/>
        </w:rPr>
        <w:t xml:space="preserve"> and </w:t>
      </w:r>
      <w:r>
        <w:rPr>
          <w:kern w:val="0"/>
        </w:rPr>
        <w:t>all-cause mortality in individuals &gt;= 60</w:t>
      </w:r>
      <w:r w:rsidR="00A37C1D">
        <w:rPr>
          <w:kern w:val="0"/>
        </w:rPr>
        <w:t>. The</w:t>
      </w:r>
      <w:r>
        <w:rPr>
          <w:kern w:val="0"/>
        </w:rPr>
        <w:t>se non-specific outcomes are difficult to interpret because ILI includes many pathogens,</w:t>
      </w:r>
      <w:r w:rsidR="005853A9">
        <w:rPr>
          <w:kern w:val="0"/>
        </w:rPr>
        <w:t xml:space="preserve"> and </w:t>
      </w:r>
      <w:r>
        <w:rPr>
          <w:kern w:val="0"/>
        </w:rPr>
        <w:t>winter influenza contributes &lt; 10% to all-cause mortality in individuals &gt;= 60</w:t>
      </w:r>
      <w:r w:rsidR="00A37C1D">
        <w:rPr>
          <w:kern w:val="0"/>
        </w:rPr>
        <w:t>. The</w:t>
      </w:r>
      <w:r>
        <w:rPr>
          <w:kern w:val="0"/>
        </w:rPr>
        <w:t xml:space="preserve"> key interest is preventing laboratory-proven influenza in individuals &gt;= 60, pneumonia</w:t>
      </w:r>
      <w:r w:rsidR="005853A9">
        <w:rPr>
          <w:kern w:val="0"/>
        </w:rPr>
        <w:t xml:space="preserve"> and </w:t>
      </w:r>
      <w:r>
        <w:rPr>
          <w:kern w:val="0"/>
        </w:rPr>
        <w:t>deaths from pneumonia,</w:t>
      </w:r>
      <w:r w:rsidR="005853A9">
        <w:rPr>
          <w:kern w:val="0"/>
        </w:rPr>
        <w:t xml:space="preserve"> and </w:t>
      </w:r>
      <w:r>
        <w:rPr>
          <w:kern w:val="0"/>
        </w:rPr>
        <w:t>we cannot draw such conclusions</w:t>
      </w:r>
      <w:r w:rsidR="00A37C1D">
        <w:rPr>
          <w:kern w:val="0"/>
        </w:rPr>
        <w:t>. The</w:t>
      </w:r>
      <w:r>
        <w:rPr>
          <w:kern w:val="0"/>
        </w:rPr>
        <w:t xml:space="preserve"> identified studies are at high risk</w:t>
      </w:r>
      <w:r w:rsidR="00427468">
        <w:rPr>
          <w:kern w:val="0"/>
        </w:rPr>
        <w:t xml:space="preserve"> of </w:t>
      </w:r>
      <w:r>
        <w:rPr>
          <w:kern w:val="0"/>
        </w:rPr>
        <w:t>bias. Some HCWs remain unvaccinated because they do not perceive risk, doubt vaccine efficacy</w:t>
      </w:r>
      <w:r w:rsidR="005853A9">
        <w:rPr>
          <w:kern w:val="0"/>
        </w:rPr>
        <w:t xml:space="preserve"> and </w:t>
      </w:r>
      <w:r>
        <w:rPr>
          <w:kern w:val="0"/>
        </w:rPr>
        <w:t>are concerned about side effects. This review did not find information on co-interventions with HCW vaccination: hand washing, face masks, early detection</w:t>
      </w:r>
      <w:r w:rsidR="00427468">
        <w:rPr>
          <w:kern w:val="0"/>
        </w:rPr>
        <w:t xml:space="preserve"> of </w:t>
      </w:r>
      <w:r>
        <w:rPr>
          <w:kern w:val="0"/>
        </w:rPr>
        <w:t>laboratory-proven influenza, quarantine, avoiding admissions, anti-virals,</w:t>
      </w:r>
      <w:r w:rsidR="005853A9">
        <w:rPr>
          <w:kern w:val="0"/>
        </w:rPr>
        <w:t xml:space="preserve"> and </w:t>
      </w:r>
      <w:r>
        <w:rPr>
          <w:kern w:val="0"/>
        </w:rPr>
        <w:t>asking HCWs with ILI not to work. We conclude there is no evidence that vaccinating HCWs prevents influenza in elderly residents in LTCFs. High quality RCTs are required to avoid risks</w:t>
      </w:r>
      <w:r w:rsidR="00427468">
        <w:rPr>
          <w:kern w:val="0"/>
        </w:rPr>
        <w:t xml:space="preserve"> of </w:t>
      </w:r>
      <w:r>
        <w:rPr>
          <w:kern w:val="0"/>
        </w:rPr>
        <w:t>bias in methodology</w:t>
      </w:r>
      <w:r w:rsidR="005853A9">
        <w:rPr>
          <w:kern w:val="0"/>
        </w:rPr>
        <w:t xml:space="preserve"> and </w:t>
      </w:r>
      <w:r>
        <w:rPr>
          <w:kern w:val="0"/>
        </w:rPr>
        <w:t>conduct,</w:t>
      </w:r>
      <w:r w:rsidR="005853A9">
        <w:rPr>
          <w:kern w:val="0"/>
        </w:rPr>
        <w:t xml:space="preserve"> and </w:t>
      </w:r>
      <w:r>
        <w:rPr>
          <w:kern w:val="0"/>
        </w:rPr>
        <w:t>to test these interventions in combination.</w:t>
      </w:r>
    </w:p>
    <w:p w:rsidR="00365DE4" w:rsidRDefault="00365DE4" w:rsidP="00365DE4">
      <w:pPr>
        <w:pStyle w:val="a3"/>
        <w:rPr>
          <w:kern w:val="0"/>
        </w:rPr>
      </w:pPr>
      <w:r>
        <w:rPr>
          <w:kern w:val="0"/>
        </w:rPr>
        <w:t xml:space="preserve">Keywords: A H3N2, Adult, Aged, Authors, Citation, Cohort, Efficacy, Elderly, Facilities, Health Personnel, Homes for the Aged, Humans, Infections, Infectious Disease Transmission,Professional-To-Patient [Prevention &amp; Control], Influenza Vaccines [Administration &amp; Dosage], Influenza,Human [Prevention &amp; Control, Long-Term-Care, </w:t>
      </w:r>
      <w:r w:rsidR="00D5664A">
        <w:rPr>
          <w:kern w:val="0"/>
        </w:rPr>
        <w:t>MEDLINE</w:t>
      </w:r>
      <w:r>
        <w:rPr>
          <w:kern w:val="0"/>
        </w:rPr>
        <w:t>, Middle Aged, Mortality, Nursing-Home Residents, Pathogens, People, Prevention, Randomized Controlled Trials As Topic, Randomized Controlled-Trial, Residents, Review, Risk, Science, Transmission], Vaccines,Inactivated [Administration &amp; Dosage]</w:t>
      </w:r>
    </w:p>
    <w:p w:rsidR="00365DE4" w:rsidRDefault="00365DE4" w:rsidP="00365DE4">
      <w:pPr>
        <w:pStyle w:val="a3"/>
        <w:rPr>
          <w:kern w:val="0"/>
        </w:rPr>
      </w:pPr>
      <w:r>
        <w:rPr>
          <w:kern w:val="0"/>
        </w:rPr>
        <w:t>? Amin, F., Al Hajeri, A., Civelek, B., Fedorowicz, Z.</w:t>
      </w:r>
      <w:r w:rsidR="005853A9">
        <w:rPr>
          <w:kern w:val="0"/>
        </w:rPr>
        <w:t xml:space="preserve"> and </w:t>
      </w:r>
      <w:r>
        <w:rPr>
          <w:kern w:val="0"/>
        </w:rPr>
        <w:t xml:space="preserve">Manzer, B.M. (2010), Enhanced external counterpulsation for chronic angina pectoris.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CD007219.</w:t>
      </w:r>
    </w:p>
    <w:p w:rsidR="00365DE4" w:rsidRDefault="00365DE4" w:rsidP="00365DE4">
      <w:pPr>
        <w:pStyle w:val="a3"/>
        <w:rPr>
          <w:kern w:val="2"/>
        </w:rPr>
      </w:pPr>
      <w:r>
        <w:t xml:space="preserve">Full Text: </w:t>
      </w:r>
      <w:hyperlink r:id="rId578" w:history="1">
        <w:r>
          <w:rPr>
            <w:rStyle w:val="a5"/>
          </w:rPr>
          <w:t>2010\Coc Dat Sys Rev2010, CD007219.pdf</w:t>
        </w:r>
      </w:hyperlink>
    </w:p>
    <w:p w:rsidR="00365DE4" w:rsidRDefault="00365DE4" w:rsidP="00365DE4">
      <w:pPr>
        <w:pStyle w:val="a3"/>
        <w:rPr>
          <w:kern w:val="0"/>
        </w:rPr>
      </w:pPr>
      <w:r>
        <w:rPr>
          <w:kern w:val="0"/>
        </w:rPr>
        <w:t>Abstract: Background Cardiovascular disease is a major cause</w:t>
      </w:r>
      <w:r w:rsidR="00427468">
        <w:rPr>
          <w:kern w:val="0"/>
        </w:rPr>
        <w:t xml:space="preserve"> of </w:t>
      </w:r>
      <w:r>
        <w:rPr>
          <w:kern w:val="0"/>
        </w:rPr>
        <w:t>death in developed</w:t>
      </w:r>
      <w:r w:rsidR="005853A9">
        <w:rPr>
          <w:kern w:val="0"/>
        </w:rPr>
        <w:t xml:space="preserve"> and </w:t>
      </w:r>
      <w:r>
        <w:rPr>
          <w:kern w:val="0"/>
        </w:rPr>
        <w:t xml:space="preserve">developing countries. Refractory stable angina pectoris is, in general, </w:t>
      </w:r>
      <w:r>
        <w:rPr>
          <w:kern w:val="0"/>
        </w:rPr>
        <w:lastRenderedPageBreak/>
        <w:t>inadequately responsive to conventional medical therapy. Enhanced external counterpulsation is a non-invasive treatment for patients with refractory angina</w:t>
      </w:r>
      <w:r w:rsidR="005853A9">
        <w:rPr>
          <w:kern w:val="0"/>
        </w:rPr>
        <w:t xml:space="preserve"> and </w:t>
      </w:r>
      <w:r>
        <w:rPr>
          <w:kern w:val="0"/>
        </w:rPr>
        <w:t>involves the placing</w:t>
      </w:r>
      <w:r w:rsidR="00427468">
        <w:rPr>
          <w:kern w:val="0"/>
        </w:rPr>
        <w:t xml:space="preserve"> of </w:t>
      </w:r>
      <w:r>
        <w:rPr>
          <w:kern w:val="0"/>
        </w:rPr>
        <w:t>compressible cuffs around the calves</w:t>
      </w:r>
      <w:r w:rsidR="005853A9">
        <w:rPr>
          <w:kern w:val="0"/>
        </w:rPr>
        <w:t xml:space="preserve"> and </w:t>
      </w:r>
      <w:r>
        <w:rPr>
          <w:kern w:val="0"/>
        </w:rPr>
        <w:t>lower</w:t>
      </w:r>
      <w:r w:rsidR="005853A9">
        <w:rPr>
          <w:kern w:val="0"/>
        </w:rPr>
        <w:t xml:space="preserve"> and </w:t>
      </w:r>
      <w:r>
        <w:rPr>
          <w:kern w:val="0"/>
        </w:rPr>
        <w:t>upper thighs</w:t>
      </w:r>
      <w:r w:rsidR="00A37C1D">
        <w:rPr>
          <w:kern w:val="0"/>
        </w:rPr>
        <w:t>. The</w:t>
      </w:r>
      <w:r>
        <w:rPr>
          <w:kern w:val="0"/>
        </w:rPr>
        <w:t>se are inflated sequentially so that during early diastole they help propel blood back to the heart</w:t>
      </w:r>
      <w:r w:rsidR="005853A9">
        <w:rPr>
          <w:kern w:val="0"/>
        </w:rPr>
        <w:t xml:space="preserve"> and </w:t>
      </w:r>
      <w:r>
        <w:rPr>
          <w:kern w:val="0"/>
        </w:rPr>
        <w:t>when deflated at end</w:t>
      </w:r>
      <w:r w:rsidR="00427468">
        <w:rPr>
          <w:kern w:val="0"/>
        </w:rPr>
        <w:t xml:space="preserve"> of </w:t>
      </w:r>
      <w:r>
        <w:rPr>
          <w:kern w:val="0"/>
        </w:rPr>
        <w:t>diastole allow the blood vessels to return to their normal state. It is claimed that enhanced external counterpulsation can help reduce aortic impedance</w:t>
      </w:r>
      <w:r w:rsidR="005853A9">
        <w:rPr>
          <w:kern w:val="0"/>
        </w:rPr>
        <w:t xml:space="preserve"> and </w:t>
      </w:r>
      <w:r>
        <w:rPr>
          <w:kern w:val="0"/>
        </w:rPr>
        <w:t>thereby alleviate some</w:t>
      </w:r>
      <w:r w:rsidR="00427468">
        <w:rPr>
          <w:kern w:val="0"/>
        </w:rPr>
        <w:t xml:space="preserve"> of </w:t>
      </w:r>
      <w:r>
        <w:rPr>
          <w:kern w:val="0"/>
        </w:rPr>
        <w:t>the symptoms</w:t>
      </w:r>
      <w:r w:rsidR="00427468">
        <w:rPr>
          <w:kern w:val="0"/>
        </w:rPr>
        <w:t xml:space="preserve"> of </w:t>
      </w:r>
      <w:r>
        <w:rPr>
          <w:kern w:val="0"/>
        </w:rPr>
        <w:t>angina. Objectives To assess the effects</w:t>
      </w:r>
      <w:r w:rsidR="00427468">
        <w:rPr>
          <w:kern w:val="0"/>
        </w:rPr>
        <w:t xml:space="preserve"> of </w:t>
      </w:r>
      <w:r>
        <w:rPr>
          <w:kern w:val="0"/>
        </w:rPr>
        <w:t>enhanced external counterpulsation therapy in improving health outcomes for patients with chronic stable or refractory stable angina pectoris. Search strategy We searched the Cochrane Central Register</w:t>
      </w:r>
      <w:r w:rsidR="00427468">
        <w:rPr>
          <w:kern w:val="0"/>
        </w:rPr>
        <w:t xml:space="preserve"> of </w:t>
      </w:r>
      <w:r>
        <w:rPr>
          <w:kern w:val="0"/>
        </w:rPr>
        <w:t xml:space="preserve">Controlled Trials (CENTRAL) on The Cochrane Library (2008, Issue 1), </w:t>
      </w:r>
      <w:r w:rsidR="00D5664A">
        <w:rPr>
          <w:kern w:val="0"/>
        </w:rPr>
        <w:t>MEDLINE</w:t>
      </w:r>
      <w:r>
        <w:rPr>
          <w:kern w:val="0"/>
        </w:rPr>
        <w:t xml:space="preserve"> (1966 to February 2008), EMBASE (1980 to February 2008), LILACS via BIREME (to February 2008)</w:t>
      </w:r>
      <w:r w:rsidR="005853A9">
        <w:rPr>
          <w:kern w:val="0"/>
        </w:rPr>
        <w:t xml:space="preserve"> and </w:t>
      </w:r>
      <w:r>
        <w:rPr>
          <w:kern w:val="0"/>
        </w:rPr>
        <w:t xml:space="preserve">ISI Science Citation Index on </w:t>
      </w:r>
      <w:r w:rsidR="00D5664A">
        <w:rPr>
          <w:kern w:val="0"/>
        </w:rPr>
        <w:t>Web</w:t>
      </w:r>
      <w:r w:rsidR="00427468">
        <w:rPr>
          <w:kern w:val="0"/>
        </w:rPr>
        <w:t xml:space="preserve"> of </w:t>
      </w:r>
      <w:r w:rsidR="00D5664A">
        <w:rPr>
          <w:kern w:val="0"/>
        </w:rPr>
        <w:t>Science</w:t>
      </w:r>
      <w:r>
        <w:rPr>
          <w:kern w:val="0"/>
        </w:rPr>
        <w:t xml:space="preserve"> (to February 2008). No language restrictions were applied. Selection criteria Randomized controlled trials</w:t>
      </w:r>
      <w:r w:rsidR="005853A9">
        <w:rPr>
          <w:kern w:val="0"/>
        </w:rPr>
        <w:t xml:space="preserve"> and </w:t>
      </w:r>
      <w:r>
        <w:rPr>
          <w:kern w:val="0"/>
        </w:rPr>
        <w:t>cluster-randomized trials comparing enhanced external counterpulsation therapy to sham treatment in adults, aged over 18 years, with chronic stable</w:t>
      </w:r>
      <w:r w:rsidR="005853A9">
        <w:rPr>
          <w:kern w:val="0"/>
        </w:rPr>
        <w:t xml:space="preserve"> and </w:t>
      </w:r>
      <w:r>
        <w:rPr>
          <w:kern w:val="0"/>
        </w:rPr>
        <w:t>stable refractory angina pectoris graded Canadian Cardiovascular Society Class III to IV at baseline. Data collection</w:t>
      </w:r>
      <w:r w:rsidR="005853A9">
        <w:rPr>
          <w:kern w:val="0"/>
        </w:rPr>
        <w:t xml:space="preserve"> and </w:t>
      </w:r>
      <w:r>
        <w:rPr>
          <w:kern w:val="0"/>
        </w:rPr>
        <w:t>analysis Two authors independently screened papers, extracted trial details</w:t>
      </w:r>
      <w:r w:rsidR="005853A9">
        <w:rPr>
          <w:kern w:val="0"/>
        </w:rPr>
        <w:t xml:space="preserve"> and </w:t>
      </w:r>
      <w:r>
        <w:rPr>
          <w:kern w:val="0"/>
        </w:rPr>
        <w:t>assessed risk</w:t>
      </w:r>
      <w:r w:rsidR="00427468">
        <w:rPr>
          <w:kern w:val="0"/>
        </w:rPr>
        <w:t xml:space="preserve"> of </w:t>
      </w:r>
      <w:r>
        <w:rPr>
          <w:kern w:val="0"/>
        </w:rPr>
        <w:t>bias. Main results One trial (139 participants) was included in this review. Poormethodological quality, in terms</w:t>
      </w:r>
      <w:r w:rsidR="00427468">
        <w:rPr>
          <w:kern w:val="0"/>
        </w:rPr>
        <w:t xml:space="preserve"> of </w:t>
      </w:r>
      <w:r>
        <w:rPr>
          <w:kern w:val="0"/>
        </w:rPr>
        <w:t>trial design</w:t>
      </w:r>
      <w:r w:rsidR="005853A9">
        <w:rPr>
          <w:kern w:val="0"/>
        </w:rPr>
        <w:t xml:space="preserve"> and </w:t>
      </w:r>
      <w:r>
        <w:rPr>
          <w:kern w:val="0"/>
        </w:rPr>
        <w:t>conduct, incompleteness in reporting</w:t>
      </w:r>
      <w:r w:rsidR="00427468">
        <w:rPr>
          <w:kern w:val="0"/>
        </w:rPr>
        <w:t xml:space="preserve"> of </w:t>
      </w:r>
      <w:r>
        <w:rPr>
          <w:kern w:val="0"/>
        </w:rPr>
        <w:t>the review</w:t>
      </w:r>
      <w:r w:rsidR="0071223E">
        <w:rPr>
          <w:kern w:val="0"/>
        </w:rPr>
        <w:t>’</w:t>
      </w:r>
      <w:r>
        <w:rPr>
          <w:kern w:val="0"/>
        </w:rPr>
        <w:t>s primary outcome, limited follow up for the secondary outcomes</w:t>
      </w:r>
      <w:r w:rsidR="005853A9">
        <w:rPr>
          <w:kern w:val="0"/>
        </w:rPr>
        <w:t xml:space="preserve"> and </w:t>
      </w:r>
      <w:r>
        <w:rPr>
          <w:kern w:val="0"/>
        </w:rPr>
        <w:t>subsequent flawed statistical analysis, compromised the reliability</w:t>
      </w:r>
      <w:r w:rsidR="00427468">
        <w:rPr>
          <w:kern w:val="0"/>
        </w:rPr>
        <w:t xml:space="preserve"> of </w:t>
      </w:r>
      <w:r>
        <w:rPr>
          <w:kern w:val="0"/>
        </w:rPr>
        <w:t>the reported data. Authors</w:t>
      </w:r>
      <w:r w:rsidR="0071223E">
        <w:rPr>
          <w:kern w:val="0"/>
        </w:rPr>
        <w:t>’</w:t>
      </w:r>
      <w:r>
        <w:rPr>
          <w:kern w:val="0"/>
        </w:rPr>
        <w:t xml:space="preserve"> conclusions We found one relevant trial which failed to address the characteristics</w:t>
      </w:r>
      <w:r w:rsidR="00427468">
        <w:rPr>
          <w:kern w:val="0"/>
        </w:rPr>
        <w:t xml:space="preserve"> of </w:t>
      </w:r>
      <w:r>
        <w:rPr>
          <w:kern w:val="0"/>
        </w:rPr>
        <w:t>interest satisfactorily, in terms</w:t>
      </w:r>
      <w:r w:rsidR="00427468">
        <w:rPr>
          <w:kern w:val="0"/>
        </w:rPr>
        <w:t xml:space="preserve"> of </w:t>
      </w:r>
      <w:r>
        <w:rPr>
          <w:kern w:val="0"/>
        </w:rPr>
        <w:t>severity</w:t>
      </w:r>
      <w:r w:rsidR="00427468">
        <w:rPr>
          <w:kern w:val="0"/>
        </w:rPr>
        <w:t xml:space="preserve"> of </w:t>
      </w:r>
      <w:r>
        <w:rPr>
          <w:kern w:val="0"/>
        </w:rPr>
        <w:t>angina, for the participants in this review. Participants with the most severe symptoms</w:t>
      </w:r>
      <w:r w:rsidR="00427468">
        <w:rPr>
          <w:kern w:val="0"/>
        </w:rPr>
        <w:t xml:space="preserve"> of </w:t>
      </w:r>
      <w:r>
        <w:rPr>
          <w:kern w:val="0"/>
        </w:rPr>
        <w:t>angina were excluded, therefore the results</w:t>
      </w:r>
      <w:r w:rsidR="00427468">
        <w:rPr>
          <w:kern w:val="0"/>
        </w:rPr>
        <w:t xml:space="preserve"> of </w:t>
      </w:r>
      <w:r>
        <w:rPr>
          <w:kern w:val="0"/>
        </w:rPr>
        <w:t>this study represent only a subsection</w:t>
      </w:r>
      <w:r w:rsidR="00427468">
        <w:rPr>
          <w:kern w:val="0"/>
        </w:rPr>
        <w:t xml:space="preserve"> of </w:t>
      </w:r>
      <w:r>
        <w:rPr>
          <w:kern w:val="0"/>
        </w:rPr>
        <w:t>the broader population with the disorder, are not generalizable</w:t>
      </w:r>
      <w:r w:rsidR="005853A9">
        <w:rPr>
          <w:kern w:val="0"/>
        </w:rPr>
        <w:t xml:space="preserve"> and </w:t>
      </w:r>
      <w:r>
        <w:rPr>
          <w:kern w:val="0"/>
        </w:rPr>
        <w:t>provide inconclusive evidence for the effectiveness</w:t>
      </w:r>
      <w:r w:rsidR="00427468">
        <w:rPr>
          <w:kern w:val="0"/>
        </w:rPr>
        <w:t xml:space="preserve"> of </w:t>
      </w:r>
      <w:r>
        <w:rPr>
          <w:kern w:val="0"/>
        </w:rPr>
        <w:t>enhanced external counterpulsation therapy for chronic angina pectoris.</w:t>
      </w:r>
    </w:p>
    <w:p w:rsidR="00365DE4" w:rsidRDefault="00365DE4" w:rsidP="00365DE4">
      <w:pPr>
        <w:pStyle w:val="a3"/>
        <w:rPr>
          <w:kern w:val="0"/>
        </w:rPr>
      </w:pPr>
      <w:r>
        <w:rPr>
          <w:kern w:val="0"/>
        </w:rPr>
        <w:t>Keywords: Authors, Cardiovascular Disease, Characteristics, Citation, Developing Countries, Disease, Disorder, Health</w:t>
      </w:r>
      <w:r w:rsidR="00D5664A">
        <w:rPr>
          <w:kern w:val="0"/>
        </w:rPr>
        <w:t>, ISI,</w:t>
      </w:r>
      <w:r>
        <w:rPr>
          <w:kern w:val="0"/>
        </w:rPr>
        <w:t xml:space="preserve"> Medical, </w:t>
      </w:r>
      <w:r w:rsidR="00D5664A">
        <w:rPr>
          <w:kern w:val="0"/>
        </w:rPr>
        <w:t>MEDLINE</w:t>
      </w:r>
      <w:r>
        <w:rPr>
          <w:kern w:val="0"/>
        </w:rPr>
        <w:t xml:space="preserve">, Multicenter, Primary, Randomized Controlled Trials, Refractory Angina, Reliability, Review, Risk, Science, Science Citation Index, Stable Angina, State, Term,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Joyce, K., Pabayo, R., Critchley, J.A.</w:t>
      </w:r>
      <w:r w:rsidR="005853A9">
        <w:rPr>
          <w:kern w:val="0"/>
        </w:rPr>
        <w:t xml:space="preserve"> and </w:t>
      </w:r>
      <w:r>
        <w:rPr>
          <w:kern w:val="0"/>
        </w:rPr>
        <w:t>Bambra, C. (2010), Flexible working conditions</w:t>
      </w:r>
      <w:r w:rsidR="005853A9">
        <w:rPr>
          <w:kern w:val="0"/>
        </w:rPr>
        <w:t xml:space="preserve"> and </w:t>
      </w:r>
      <w:r>
        <w:rPr>
          <w:kern w:val="0"/>
        </w:rPr>
        <w:t>their effects on employee health</w:t>
      </w:r>
      <w:r w:rsidR="005853A9">
        <w:rPr>
          <w:kern w:val="0"/>
        </w:rPr>
        <w:t xml:space="preserve"> and </w:t>
      </w:r>
      <w:r>
        <w:rPr>
          <w:kern w:val="0"/>
        </w:rPr>
        <w:t xml:space="preserve">wellbeing.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CD008009.</w:t>
      </w:r>
    </w:p>
    <w:p w:rsidR="00365DE4" w:rsidRDefault="00365DE4" w:rsidP="00365DE4">
      <w:pPr>
        <w:pStyle w:val="a3"/>
        <w:rPr>
          <w:kern w:val="2"/>
        </w:rPr>
      </w:pPr>
      <w:r>
        <w:t xml:space="preserve">Full Text: </w:t>
      </w:r>
      <w:hyperlink r:id="rId579" w:history="1">
        <w:r>
          <w:rPr>
            <w:rStyle w:val="a5"/>
          </w:rPr>
          <w:t>2010\Coc Dat Sys Rev2010, CD008009.pdf</w:t>
        </w:r>
      </w:hyperlink>
    </w:p>
    <w:p w:rsidR="00365DE4" w:rsidRDefault="00365DE4" w:rsidP="00365DE4">
      <w:pPr>
        <w:pStyle w:val="a3"/>
        <w:rPr>
          <w:kern w:val="0"/>
        </w:rPr>
      </w:pPr>
      <w:r>
        <w:rPr>
          <w:kern w:val="0"/>
        </w:rPr>
        <w:lastRenderedPageBreak/>
        <w:t>Abstract: Background Flexible working conditions are increasingly popular in developed countries but the effects on employee health</w:t>
      </w:r>
      <w:r w:rsidR="005853A9">
        <w:rPr>
          <w:kern w:val="0"/>
        </w:rPr>
        <w:t xml:space="preserve"> and </w:t>
      </w:r>
      <w:r>
        <w:rPr>
          <w:kern w:val="0"/>
        </w:rPr>
        <w:t>wellbeing are largely unknown. Objectives To evaluate the effects (benefits</w:t>
      </w:r>
      <w:r w:rsidR="005853A9">
        <w:rPr>
          <w:kern w:val="0"/>
        </w:rPr>
        <w:t xml:space="preserve"> and </w:t>
      </w:r>
      <w:r>
        <w:rPr>
          <w:kern w:val="0"/>
        </w:rPr>
        <w:t>harms)</w:t>
      </w:r>
      <w:r w:rsidR="00427468">
        <w:rPr>
          <w:kern w:val="0"/>
        </w:rPr>
        <w:t xml:space="preserve"> of </w:t>
      </w:r>
      <w:r>
        <w:rPr>
          <w:kern w:val="0"/>
        </w:rPr>
        <w:t>flexible working interventions on the physical, mental</w:t>
      </w:r>
      <w:r w:rsidR="005853A9">
        <w:rPr>
          <w:kern w:val="0"/>
        </w:rPr>
        <w:t xml:space="preserve"> and </w:t>
      </w:r>
      <w:r>
        <w:rPr>
          <w:kern w:val="0"/>
        </w:rPr>
        <w:t>general health</w:t>
      </w:r>
      <w:r w:rsidR="005853A9">
        <w:rPr>
          <w:kern w:val="0"/>
        </w:rPr>
        <w:t xml:space="preserve"> and </w:t>
      </w:r>
      <w:r>
        <w:rPr>
          <w:kern w:val="0"/>
        </w:rPr>
        <w:t>wellbeing</w:t>
      </w:r>
      <w:r w:rsidR="00427468">
        <w:rPr>
          <w:kern w:val="0"/>
        </w:rPr>
        <w:t xml:space="preserve"> of </w:t>
      </w:r>
      <w:r>
        <w:rPr>
          <w:kern w:val="0"/>
        </w:rPr>
        <w:t>employees</w:t>
      </w:r>
      <w:r w:rsidR="005853A9">
        <w:rPr>
          <w:kern w:val="0"/>
        </w:rPr>
        <w:t xml:space="preserve"> and </w:t>
      </w:r>
      <w:r>
        <w:rPr>
          <w:kern w:val="0"/>
        </w:rPr>
        <w:t xml:space="preserve">their families. Search strategy Our searches (July 2009) covered 12 databases including the Cochrane Public Health Group Specialised Register, CENTRAL; </w:t>
      </w:r>
      <w:r w:rsidR="00D5664A">
        <w:rPr>
          <w:kern w:val="0"/>
        </w:rPr>
        <w:t>MEDLINE</w:t>
      </w:r>
      <w:r>
        <w:rPr>
          <w:kern w:val="0"/>
        </w:rPr>
        <w:t>; EMBASE; CINAHL; PsycINFO; Social Science Citation Index; ASSIA; IBSS; Sociological Abstracts;</w:t>
      </w:r>
      <w:r w:rsidR="005853A9">
        <w:rPr>
          <w:kern w:val="0"/>
        </w:rPr>
        <w:t xml:space="preserve"> and </w:t>
      </w:r>
      <w:r>
        <w:rPr>
          <w:kern w:val="0"/>
        </w:rPr>
        <w:t>ABI/Inform. We also searched relevant websites, handsearched key journals, searched bibliographies</w:t>
      </w:r>
      <w:r w:rsidR="005853A9">
        <w:rPr>
          <w:kern w:val="0"/>
        </w:rPr>
        <w:t xml:space="preserve"> and </w:t>
      </w:r>
      <w:r>
        <w:rPr>
          <w:kern w:val="0"/>
        </w:rPr>
        <w:t>contacted study authors</w:t>
      </w:r>
      <w:r w:rsidR="005853A9">
        <w:rPr>
          <w:kern w:val="0"/>
        </w:rPr>
        <w:t xml:space="preserve"> and </w:t>
      </w:r>
      <w:r>
        <w:rPr>
          <w:kern w:val="0"/>
        </w:rPr>
        <w:t>key experts. Selection criteria Randomised controlled trials (RCT), interrupted time series</w:t>
      </w:r>
      <w:r w:rsidR="005853A9">
        <w:rPr>
          <w:kern w:val="0"/>
        </w:rPr>
        <w:t xml:space="preserve"> and </w:t>
      </w:r>
      <w:r>
        <w:rPr>
          <w:kern w:val="0"/>
        </w:rPr>
        <w:t>controlled before</w:t>
      </w:r>
      <w:r w:rsidR="005853A9">
        <w:rPr>
          <w:kern w:val="0"/>
        </w:rPr>
        <w:t xml:space="preserve"> and </w:t>
      </w:r>
      <w:r>
        <w:rPr>
          <w:kern w:val="0"/>
        </w:rPr>
        <w:t>after studies (CBA), which examined the effects</w:t>
      </w:r>
      <w:r w:rsidR="00427468">
        <w:rPr>
          <w:kern w:val="0"/>
        </w:rPr>
        <w:t xml:space="preserve"> of </w:t>
      </w:r>
      <w:r>
        <w:rPr>
          <w:kern w:val="0"/>
        </w:rPr>
        <w:t>flexible working interventions on employee health</w:t>
      </w:r>
      <w:r w:rsidR="005853A9">
        <w:rPr>
          <w:kern w:val="0"/>
        </w:rPr>
        <w:t xml:space="preserve"> and </w:t>
      </w:r>
      <w:r>
        <w:rPr>
          <w:kern w:val="0"/>
        </w:rPr>
        <w:t>wellbeing. We excluded studies assessing outcomes for less than six months</w:t>
      </w:r>
      <w:r w:rsidR="005853A9">
        <w:rPr>
          <w:kern w:val="0"/>
        </w:rPr>
        <w:t xml:space="preserve"> and </w:t>
      </w:r>
      <w:r>
        <w:rPr>
          <w:kern w:val="0"/>
        </w:rPr>
        <w:t>extracted outcomes relating to physical, mental</w:t>
      </w:r>
      <w:r w:rsidR="005853A9">
        <w:rPr>
          <w:kern w:val="0"/>
        </w:rPr>
        <w:t xml:space="preserve"> and </w:t>
      </w:r>
      <w:r>
        <w:rPr>
          <w:kern w:val="0"/>
        </w:rPr>
        <w:t xml:space="preserve">general health/ill health measured using a validated instrument. We also extracted secondary outcomes (including sickness absence, health service </w:t>
      </w:r>
      <w:r w:rsidR="00D5664A">
        <w:rPr>
          <w:kern w:val="0"/>
        </w:rPr>
        <w:t>USA</w:t>
      </w:r>
      <w:r>
        <w:rPr>
          <w:kern w:val="0"/>
        </w:rPr>
        <w:t>ge, behavioural changes, accidents, work-life balance, quality</w:t>
      </w:r>
      <w:r w:rsidR="00427468">
        <w:rPr>
          <w:kern w:val="0"/>
        </w:rPr>
        <w:t xml:space="preserve"> of </w:t>
      </w:r>
      <w:r>
        <w:rPr>
          <w:kern w:val="0"/>
        </w:rPr>
        <w:t>life, health</w:t>
      </w:r>
      <w:r w:rsidR="005853A9">
        <w:rPr>
          <w:kern w:val="0"/>
        </w:rPr>
        <w:t xml:space="preserve"> and </w:t>
      </w:r>
      <w:r>
        <w:rPr>
          <w:kern w:val="0"/>
        </w:rPr>
        <w:t>wellbeing</w:t>
      </w:r>
      <w:r w:rsidR="00427468">
        <w:rPr>
          <w:kern w:val="0"/>
        </w:rPr>
        <w:t xml:space="preserve"> of </w:t>
      </w:r>
      <w:r>
        <w:rPr>
          <w:kern w:val="0"/>
        </w:rPr>
        <w:t>children, family members</w:t>
      </w:r>
      <w:r w:rsidR="005853A9">
        <w:rPr>
          <w:kern w:val="0"/>
        </w:rPr>
        <w:t xml:space="preserve"> and </w:t>
      </w:r>
      <w:r>
        <w:rPr>
          <w:kern w:val="0"/>
        </w:rPr>
        <w:t>co-workers) if reported alongside at least one primary outcome. Data collection</w:t>
      </w:r>
      <w:r w:rsidR="005853A9">
        <w:rPr>
          <w:kern w:val="0"/>
        </w:rPr>
        <w:t xml:space="preserve"> and </w:t>
      </w:r>
      <w:r>
        <w:rPr>
          <w:kern w:val="0"/>
        </w:rPr>
        <w:t>analysis Two experienced review authors conducted data extraction</w:t>
      </w:r>
      <w:r w:rsidR="005853A9">
        <w:rPr>
          <w:kern w:val="0"/>
        </w:rPr>
        <w:t xml:space="preserve"> and </w:t>
      </w:r>
      <w:r>
        <w:rPr>
          <w:kern w:val="0"/>
        </w:rPr>
        <w:t>quality appraisal. We undertook a narrative synthesis as there was substantial heterogeneity between studies. Main results Ten studies fulfilled the inclusion criteria. Six CBA studies reported on interventions relating to temporal flexibility: self-scheduling</w:t>
      </w:r>
      <w:r w:rsidR="00427468">
        <w:rPr>
          <w:kern w:val="0"/>
        </w:rPr>
        <w:t xml:space="preserve"> of </w:t>
      </w:r>
      <w:r>
        <w:rPr>
          <w:kern w:val="0"/>
        </w:rPr>
        <w:t>shift work (n = 4), flexitime (n = 1)</w:t>
      </w:r>
      <w:r w:rsidR="005853A9">
        <w:rPr>
          <w:kern w:val="0"/>
        </w:rPr>
        <w:t xml:space="preserve"> and </w:t>
      </w:r>
      <w:r>
        <w:rPr>
          <w:kern w:val="0"/>
        </w:rPr>
        <w:t>overtime (n = 1)</w:t>
      </w:r>
      <w:r w:rsidR="00A37C1D">
        <w:rPr>
          <w:kern w:val="0"/>
        </w:rPr>
        <w:t>. The</w:t>
      </w:r>
      <w:r>
        <w:rPr>
          <w:kern w:val="0"/>
        </w:rPr>
        <w:t xml:space="preserve"> remaining four CBA studies evaluated a form</w:t>
      </w:r>
      <w:r w:rsidR="00427468">
        <w:rPr>
          <w:kern w:val="0"/>
        </w:rPr>
        <w:t xml:space="preserve"> of </w:t>
      </w:r>
      <w:r>
        <w:rPr>
          <w:kern w:val="0"/>
        </w:rPr>
        <w:t>contractual flexibility: partial/gradual retirement (n = 2), involuntary part-time work (n = 1)</w:t>
      </w:r>
      <w:r w:rsidR="005853A9">
        <w:rPr>
          <w:kern w:val="0"/>
        </w:rPr>
        <w:t xml:space="preserve"> and </w:t>
      </w:r>
      <w:r>
        <w:rPr>
          <w:kern w:val="0"/>
        </w:rPr>
        <w:t>fixed-term contract (n = 1)</w:t>
      </w:r>
      <w:r w:rsidR="00A37C1D">
        <w:rPr>
          <w:kern w:val="0"/>
        </w:rPr>
        <w:t>. The</w:t>
      </w:r>
      <w:r>
        <w:rPr>
          <w:kern w:val="0"/>
        </w:rPr>
        <w:t xml:space="preserve"> studies retrieved had a number</w:t>
      </w:r>
      <w:r w:rsidR="00427468">
        <w:rPr>
          <w:kern w:val="0"/>
        </w:rPr>
        <w:t xml:space="preserve"> of </w:t>
      </w:r>
      <w:r>
        <w:rPr>
          <w:kern w:val="0"/>
        </w:rPr>
        <w:t>methodological limitations including short follow-up periods, risk</w:t>
      </w:r>
      <w:r w:rsidR="00427468">
        <w:rPr>
          <w:kern w:val="0"/>
        </w:rPr>
        <w:t xml:space="preserve"> of </w:t>
      </w:r>
      <w:r>
        <w:rPr>
          <w:kern w:val="0"/>
        </w:rPr>
        <w:t>selection bias</w:t>
      </w:r>
      <w:r w:rsidR="005853A9">
        <w:rPr>
          <w:kern w:val="0"/>
        </w:rPr>
        <w:t xml:space="preserve"> and </w:t>
      </w:r>
      <w:r>
        <w:rPr>
          <w:kern w:val="0"/>
        </w:rPr>
        <w:t>reliance on largely self-reported outcome data. Four CBA studies on self-scheduling</w:t>
      </w:r>
      <w:r w:rsidR="00427468">
        <w:rPr>
          <w:kern w:val="0"/>
        </w:rPr>
        <w:t xml:space="preserve"> of </w:t>
      </w:r>
      <w:r>
        <w:rPr>
          <w:kern w:val="0"/>
        </w:rPr>
        <w:t>shifts</w:t>
      </w:r>
      <w:r w:rsidR="005853A9">
        <w:rPr>
          <w:kern w:val="0"/>
        </w:rPr>
        <w:t xml:space="preserve"> and </w:t>
      </w:r>
      <w:r>
        <w:rPr>
          <w:kern w:val="0"/>
        </w:rPr>
        <w:t>one CBA study on gradual/partial retirement reported statistically significant improvements in either primary outcomes (including systolic blood pressure</w:t>
      </w:r>
      <w:r w:rsidR="005853A9">
        <w:rPr>
          <w:kern w:val="0"/>
        </w:rPr>
        <w:t xml:space="preserve"> and </w:t>
      </w:r>
      <w:r>
        <w:rPr>
          <w:kern w:val="0"/>
        </w:rPr>
        <w:t>heart rate; tiredness; mental health, sleep duration, sleep quality</w:t>
      </w:r>
      <w:r w:rsidR="005853A9">
        <w:rPr>
          <w:kern w:val="0"/>
        </w:rPr>
        <w:t xml:space="preserve"> and </w:t>
      </w:r>
      <w:r>
        <w:rPr>
          <w:kern w:val="0"/>
        </w:rPr>
        <w:t>alertness; self-rated health status) or secondary health outcomes (co-workers social support</w:t>
      </w:r>
      <w:r w:rsidR="005853A9">
        <w:rPr>
          <w:kern w:val="0"/>
        </w:rPr>
        <w:t xml:space="preserve"> and </w:t>
      </w:r>
      <w:r>
        <w:rPr>
          <w:kern w:val="0"/>
        </w:rPr>
        <w:t>sense</w:t>
      </w:r>
      <w:r w:rsidR="00427468">
        <w:rPr>
          <w:kern w:val="0"/>
        </w:rPr>
        <w:t xml:space="preserve"> of </w:t>
      </w:r>
      <w:r>
        <w:rPr>
          <w:kern w:val="0"/>
        </w:rPr>
        <w:t>community)</w:t>
      </w:r>
      <w:r w:rsidR="005853A9">
        <w:rPr>
          <w:kern w:val="0"/>
        </w:rPr>
        <w:t xml:space="preserve"> and </w:t>
      </w:r>
      <w:r>
        <w:rPr>
          <w:kern w:val="0"/>
        </w:rPr>
        <w:t>no ill health effects were reported. Flexitime was shown not to have significant effects on self-reported physiological</w:t>
      </w:r>
      <w:r w:rsidR="005853A9">
        <w:rPr>
          <w:kern w:val="0"/>
        </w:rPr>
        <w:t xml:space="preserve"> and </w:t>
      </w:r>
      <w:r>
        <w:rPr>
          <w:kern w:val="0"/>
        </w:rPr>
        <w:t>psychological health outcomes. Similarly, when comparing individuals working overtime with those who did not the odds</w:t>
      </w:r>
      <w:r w:rsidR="00427468">
        <w:rPr>
          <w:kern w:val="0"/>
        </w:rPr>
        <w:t xml:space="preserve"> of </w:t>
      </w:r>
      <w:r>
        <w:rPr>
          <w:kern w:val="0"/>
        </w:rPr>
        <w:t>ill health effects were not significantly higher in the intervention group at follow up</w:t>
      </w:r>
      <w:r w:rsidR="00A37C1D">
        <w:rPr>
          <w:kern w:val="0"/>
        </w:rPr>
        <w:t>. The</w:t>
      </w:r>
      <w:r>
        <w:rPr>
          <w:kern w:val="0"/>
        </w:rPr>
        <w:t xml:space="preserve"> effects</w:t>
      </w:r>
      <w:r w:rsidR="00427468">
        <w:rPr>
          <w:kern w:val="0"/>
        </w:rPr>
        <w:t xml:space="preserve"> of </w:t>
      </w:r>
      <w:r>
        <w:rPr>
          <w:kern w:val="0"/>
        </w:rPr>
        <w:t>contractual flexibility on self-reported health (with the exception</w:t>
      </w:r>
      <w:r w:rsidR="00427468">
        <w:rPr>
          <w:kern w:val="0"/>
        </w:rPr>
        <w:t xml:space="preserve"> of </w:t>
      </w:r>
      <w:r>
        <w:rPr>
          <w:kern w:val="0"/>
        </w:rPr>
        <w:t xml:space="preserve">gradual/partial retirement, which when controlled by employees improved health outcomes) were either equivocal or negative. No studies differentiated results by </w:t>
      </w:r>
      <w:r>
        <w:rPr>
          <w:kern w:val="0"/>
        </w:rPr>
        <w:lastRenderedPageBreak/>
        <w:t>socio-economic status, although one study did compare findings by gender but found no differential effect on self-reported health outcomes. Authors</w:t>
      </w:r>
      <w:r w:rsidR="0071223E">
        <w:rPr>
          <w:kern w:val="0"/>
        </w:rPr>
        <w:t>’</w:t>
      </w:r>
      <w:r>
        <w:rPr>
          <w:kern w:val="0"/>
        </w:rPr>
        <w:t xml:space="preserve"> conclusions The findings</w:t>
      </w:r>
      <w:r w:rsidR="00427468">
        <w:rPr>
          <w:kern w:val="0"/>
        </w:rPr>
        <w:t xml:space="preserve"> of </w:t>
      </w:r>
      <w:r>
        <w:rPr>
          <w:kern w:val="0"/>
        </w:rPr>
        <w:t>this review tentatively suggest that flexible working interventions that increase worker control</w:t>
      </w:r>
      <w:r w:rsidR="005853A9">
        <w:rPr>
          <w:kern w:val="0"/>
        </w:rPr>
        <w:t xml:space="preserve"> and </w:t>
      </w:r>
      <w:r>
        <w:rPr>
          <w:kern w:val="0"/>
        </w:rPr>
        <w:t>choice (such as self-scheduling or gradual/partial retirement) are likely to have a positive effect on health outcomes. In contrast, interventions that were motivated or dictated by organisational interests, such as fixed-term contract</w:t>
      </w:r>
      <w:r w:rsidR="005853A9">
        <w:rPr>
          <w:kern w:val="0"/>
        </w:rPr>
        <w:t xml:space="preserve"> and </w:t>
      </w:r>
      <w:r>
        <w:rPr>
          <w:kern w:val="0"/>
        </w:rPr>
        <w:t>involuntary part-time employment, found equivocal or negative health effects. Given the partial</w:t>
      </w:r>
      <w:r w:rsidR="005853A9">
        <w:rPr>
          <w:kern w:val="0"/>
        </w:rPr>
        <w:t xml:space="preserve"> and </w:t>
      </w:r>
      <w:r>
        <w:rPr>
          <w:kern w:val="0"/>
        </w:rPr>
        <w:t>methodologically limited evidence base these findings should be interpreted with caution. Moreover, there is a clear need for well-designed intervention studies to delineate the impact</w:t>
      </w:r>
      <w:r w:rsidR="00427468">
        <w:rPr>
          <w:kern w:val="0"/>
        </w:rPr>
        <w:t xml:space="preserve"> of </w:t>
      </w:r>
      <w:r>
        <w:rPr>
          <w:kern w:val="0"/>
        </w:rPr>
        <w:t>flexible working conditions on health, wellbeing</w:t>
      </w:r>
      <w:r w:rsidR="005853A9">
        <w:rPr>
          <w:kern w:val="0"/>
        </w:rPr>
        <w:t xml:space="preserve"> and </w:t>
      </w:r>
      <w:r>
        <w:rPr>
          <w:kern w:val="0"/>
        </w:rPr>
        <w:t>health inequalities.</w:t>
      </w:r>
    </w:p>
    <w:p w:rsidR="00365DE4" w:rsidRDefault="00365DE4" w:rsidP="00365DE4">
      <w:pPr>
        <w:pStyle w:val="a3"/>
        <w:rPr>
          <w:kern w:val="0"/>
        </w:rPr>
      </w:pPr>
      <w:r>
        <w:rPr>
          <w:kern w:val="0"/>
        </w:rPr>
        <w:t xml:space="preserve">Keywords: Authors, Bibliographies, British Civil-Servants, Citation, Coronary-Heart-Disease, Databases, Decision Latitude, Gradual Retirement, Health, Heterogeneity, Impact, Journals, </w:t>
      </w:r>
      <w:r w:rsidR="00D5664A">
        <w:rPr>
          <w:kern w:val="0"/>
        </w:rPr>
        <w:t>MEDLINE</w:t>
      </w:r>
      <w:r>
        <w:rPr>
          <w:kern w:val="0"/>
        </w:rPr>
        <w:t>, Mental Health, Positive, Primary, Prospective Cohort, Review, Risk, Science, Science Citation Index, Self-Rated Health, Social Interventions, Social Science Citation Index, Systematic Reviews, Whitehall-II, Workplace Reorganization</w:t>
      </w:r>
    </w:p>
    <w:p w:rsidR="00365DE4" w:rsidRDefault="00365DE4" w:rsidP="00365DE4">
      <w:pPr>
        <w:pStyle w:val="a3"/>
        <w:rPr>
          <w:kern w:val="0"/>
        </w:rPr>
      </w:pPr>
      <w:r>
        <w:rPr>
          <w:kern w:val="0"/>
        </w:rPr>
        <w:t>? Gur</w:t>
      </w:r>
      <w:r w:rsidR="00D5664A">
        <w:rPr>
          <w:kern w:val="0"/>
        </w:rPr>
        <w:t>USA</w:t>
      </w:r>
      <w:r>
        <w:rPr>
          <w:kern w:val="0"/>
        </w:rPr>
        <w:t>my, K.S., Koti, R., F</w:t>
      </w:r>
      <w:r w:rsidR="00D5664A">
        <w:rPr>
          <w:kern w:val="0"/>
        </w:rPr>
        <w:t>USA</w:t>
      </w:r>
      <w:r>
        <w:rPr>
          <w:kern w:val="0"/>
        </w:rPr>
        <w:t>i, G.</w:t>
      </w:r>
      <w:r w:rsidR="005853A9">
        <w:rPr>
          <w:kern w:val="0"/>
        </w:rPr>
        <w:t xml:space="preserve"> and </w:t>
      </w:r>
      <w:r>
        <w:rPr>
          <w:kern w:val="0"/>
        </w:rPr>
        <w:t xml:space="preserve">Davidson, B.R. (2010), Somatostatin analogues for pancreatic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CD008370.</w:t>
      </w:r>
    </w:p>
    <w:p w:rsidR="00365DE4" w:rsidRDefault="00365DE4" w:rsidP="00365DE4">
      <w:pPr>
        <w:pStyle w:val="a3"/>
        <w:rPr>
          <w:kern w:val="2"/>
        </w:rPr>
      </w:pPr>
      <w:r>
        <w:t xml:space="preserve">Full Text: </w:t>
      </w:r>
      <w:hyperlink r:id="rId580" w:history="1">
        <w:r>
          <w:rPr>
            <w:rStyle w:val="a5"/>
          </w:rPr>
          <w:t>2010\Coc Dat Sys Rev2010, CD008370.pdf</w:t>
        </w:r>
      </w:hyperlink>
    </w:p>
    <w:p w:rsidR="00365DE4" w:rsidRDefault="00365DE4" w:rsidP="00365DE4">
      <w:pPr>
        <w:pStyle w:val="a3"/>
        <w:rPr>
          <w:kern w:val="0"/>
        </w:rPr>
      </w:pPr>
      <w:r>
        <w:rPr>
          <w:kern w:val="0"/>
        </w:rPr>
        <w:t>Abstract: Background Pancreatic resections are associated with high morbidity (30% to 60%)</w:t>
      </w:r>
      <w:r w:rsidR="005853A9">
        <w:rPr>
          <w:kern w:val="0"/>
        </w:rPr>
        <w:t xml:space="preserve"> and </w:t>
      </w:r>
      <w:r>
        <w:rPr>
          <w:kern w:val="0"/>
        </w:rPr>
        <w:t>mortality (5%). Synthetic analogues</w:t>
      </w:r>
      <w:r w:rsidR="00427468">
        <w:rPr>
          <w:kern w:val="0"/>
        </w:rPr>
        <w:t xml:space="preserve"> of </w:t>
      </w:r>
      <w:r>
        <w:rPr>
          <w:kern w:val="0"/>
        </w:rPr>
        <w:t>somatostatin are advocated by some surgeons to reduce complications following pancreatic surgery, however their use is controversial. Objectives To determine whether prophylactic somatostatin analogues should be used routinely in pancreatic surgery. Search strategy We searched the Cochrane Upper Gastrointestinal</w:t>
      </w:r>
      <w:r w:rsidR="005853A9">
        <w:rPr>
          <w:kern w:val="0"/>
        </w:rPr>
        <w:t xml:space="preserve"> and </w:t>
      </w:r>
      <w:r>
        <w:rPr>
          <w:kern w:val="0"/>
        </w:rPr>
        <w:t>Pancreatic Diseases Group Trials Register, the Cochrane Central Register</w:t>
      </w:r>
      <w:r w:rsidR="00427468">
        <w:rPr>
          <w:kern w:val="0"/>
        </w:rPr>
        <w:t xml:space="preserve"> of </w:t>
      </w:r>
      <w:r>
        <w:rPr>
          <w:kern w:val="0"/>
        </w:rPr>
        <w:t xml:space="preserve">Controlled Trials (CENTRAL) (The Cochrane Library 2009, issue 4), </w:t>
      </w:r>
      <w:r w:rsidR="00D5664A">
        <w:rPr>
          <w:kern w:val="0"/>
        </w:rPr>
        <w:t>MEDLINE</w:t>
      </w:r>
      <w:r>
        <w:rPr>
          <w:kern w:val="0"/>
        </w:rPr>
        <w:t>, EMBASE</w:t>
      </w:r>
      <w:r w:rsidR="005853A9">
        <w:rPr>
          <w:kern w:val="0"/>
        </w:rPr>
        <w:t xml:space="preserve"> and </w:t>
      </w:r>
      <w:r>
        <w:rPr>
          <w:kern w:val="0"/>
        </w:rPr>
        <w:t>Science Citation Index Expanded to November 2009. Selection criteria We included randomised controlled trials comparing prophylactic somatostatin or one</w:t>
      </w:r>
      <w:r w:rsidR="00427468">
        <w:rPr>
          <w:kern w:val="0"/>
        </w:rPr>
        <w:t xml:space="preserve"> of </w:t>
      </w:r>
      <w:r>
        <w:rPr>
          <w:kern w:val="0"/>
        </w:rPr>
        <w:t>its analogues versus no drug or placebo during pancreatic surgery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data. We analysed data with both the fixed-effect</w:t>
      </w:r>
      <w:r w:rsidR="005853A9">
        <w:rPr>
          <w:kern w:val="0"/>
        </w:rPr>
        <w:t xml:space="preserve"> and </w:t>
      </w:r>
      <w:r>
        <w:rPr>
          <w:kern w:val="0"/>
        </w:rPr>
        <w:t>the random-effects models using Review Manager (RevMan). We calculated the risk ratio (RR), mean difference (MD) or standardised mean difference (SMD) with 95% confidence intervals (CI) based on an intention-to-treat or available case analysis. When it was not possible to perform either</w:t>
      </w:r>
      <w:r w:rsidR="00427468">
        <w:rPr>
          <w:kern w:val="0"/>
        </w:rPr>
        <w:t xml:space="preserve"> of </w:t>
      </w:r>
      <w:r>
        <w:rPr>
          <w:kern w:val="0"/>
        </w:rPr>
        <w:t>the above, we performed per protocol analysis. Main results We identified 17 trials (of high risk</w:t>
      </w:r>
      <w:r w:rsidR="00427468">
        <w:rPr>
          <w:kern w:val="0"/>
        </w:rPr>
        <w:t xml:space="preserve"> of </w:t>
      </w:r>
      <w:r>
        <w:rPr>
          <w:kern w:val="0"/>
        </w:rPr>
        <w:t xml:space="preserve">bias) involving 2143 </w:t>
      </w:r>
      <w:r>
        <w:rPr>
          <w:kern w:val="0"/>
        </w:rPr>
        <w:lastRenderedPageBreak/>
        <w:t>patients</w:t>
      </w:r>
      <w:r w:rsidR="00A37C1D">
        <w:rPr>
          <w:kern w:val="0"/>
        </w:rPr>
        <w:t>. The</w:t>
      </w:r>
      <w:r>
        <w:rPr>
          <w:kern w:val="0"/>
        </w:rPr>
        <w:t xml:space="preserve"> overall number</w:t>
      </w:r>
      <w:r w:rsidR="00427468">
        <w:rPr>
          <w:kern w:val="0"/>
        </w:rPr>
        <w:t xml:space="preserve"> of </w:t>
      </w:r>
      <w:r>
        <w:rPr>
          <w:kern w:val="0"/>
        </w:rPr>
        <w:t>patients with postoperative complications was lower in the somatostatin analogue group (RR 0.71; 95% CI 0.62 to 0.82) but there was no difference in the perioperative mortality, re-operation rate or hospital stay between the groups</w:t>
      </w:r>
      <w:r w:rsidR="00A37C1D">
        <w:rPr>
          <w:kern w:val="0"/>
        </w:rPr>
        <w:t>. The</w:t>
      </w:r>
      <w:r>
        <w:rPr>
          <w:kern w:val="0"/>
        </w:rPr>
        <w:t xml:space="preserve"> incidence</w:t>
      </w:r>
      <w:r w:rsidR="00427468">
        <w:rPr>
          <w:kern w:val="0"/>
        </w:rPr>
        <w:t xml:space="preserve"> of </w:t>
      </w:r>
      <w:r>
        <w:rPr>
          <w:kern w:val="0"/>
        </w:rPr>
        <w:t>pancreatic fistula was lower in the somatostatin analogue group (RR 0.64; 95% CI 0.53 to 0.78)</w:t>
      </w:r>
      <w:r w:rsidR="00A37C1D">
        <w:rPr>
          <w:kern w:val="0"/>
        </w:rPr>
        <w:t>. The</w:t>
      </w:r>
      <w:r>
        <w:rPr>
          <w:kern w:val="0"/>
        </w:rPr>
        <w:t xml:space="preserve"> proportion</w:t>
      </w:r>
      <w:r w:rsidR="00427468">
        <w:rPr>
          <w:kern w:val="0"/>
        </w:rPr>
        <w:t xml:space="preserve"> of </w:t>
      </w:r>
      <w:r>
        <w:rPr>
          <w:kern w:val="0"/>
        </w:rPr>
        <w:t>these fistulas that were clinically significant was not mentioned in most trials. On inclusion</w:t>
      </w:r>
      <w:r w:rsidR="00427468">
        <w:rPr>
          <w:kern w:val="0"/>
        </w:rPr>
        <w:t xml:space="preserve"> of </w:t>
      </w:r>
      <w:r>
        <w:rPr>
          <w:kern w:val="0"/>
        </w:rPr>
        <w:t>trials that clearly distinguished clinically significant fistulas, there was no difference between the two groups (RR 0.69; 95% CI 0.34 to 1.41). Subgroup analysis revealed a shorter hospital stay in the somatostatin analogue group than the controls for patients with malignant aetiology (MD -7.57; 95% CI -11.29 to -3.84). Authors</w:t>
      </w:r>
      <w:r w:rsidR="0071223E">
        <w:rPr>
          <w:kern w:val="0"/>
        </w:rPr>
        <w:t>’</w:t>
      </w:r>
      <w:r>
        <w:rPr>
          <w:kern w:val="0"/>
        </w:rPr>
        <w:t xml:space="preserve"> conclusions Somatostatin analogues reduce perioperative complications but do not reduce perioperative mortality. In those undergoing pancreatic surgery for malignancy, they shorten hospital stay. Further adequately powered trials with low risk</w:t>
      </w:r>
      <w:r w:rsidR="00427468">
        <w:rPr>
          <w:kern w:val="0"/>
        </w:rPr>
        <w:t xml:space="preserve"> of </w:t>
      </w:r>
      <w:r>
        <w:rPr>
          <w:kern w:val="0"/>
        </w:rPr>
        <w:t>bias are necessary. Based on the current available evidence, somatostatin</w:t>
      </w:r>
      <w:r w:rsidR="005853A9">
        <w:rPr>
          <w:kern w:val="0"/>
        </w:rPr>
        <w:t xml:space="preserve"> and </w:t>
      </w:r>
      <w:r>
        <w:rPr>
          <w:kern w:val="0"/>
        </w:rPr>
        <w:t>its analogues are recommended for routine use in patients undergoing pancreatic resection for malignancy</w:t>
      </w:r>
      <w:r w:rsidR="00A37C1D">
        <w:rPr>
          <w:kern w:val="0"/>
        </w:rPr>
        <w:t>. The</w:t>
      </w:r>
      <w:r>
        <w:rPr>
          <w:kern w:val="0"/>
        </w:rPr>
        <w:t>re is currently no evidence to support their routine use in pancreatic surgeries performed for other indications.</w:t>
      </w:r>
    </w:p>
    <w:p w:rsidR="00365DE4" w:rsidRDefault="00365DE4" w:rsidP="00365DE4">
      <w:pPr>
        <w:pStyle w:val="a3"/>
        <w:rPr>
          <w:kern w:val="0"/>
        </w:rPr>
      </w:pPr>
      <w:r>
        <w:rPr>
          <w:kern w:val="0"/>
        </w:rPr>
        <w:t xml:space="preserve">Keywords: Authors, Citation, Clinical-Trials, Elective Pancreatectomy, Empirical-Evidence, General Complications, Groups, Low-Dose Octreotide, </w:t>
      </w:r>
      <w:r w:rsidR="00D5664A">
        <w:rPr>
          <w:kern w:val="0"/>
        </w:rPr>
        <w:t>MEDLINE</w:t>
      </w:r>
      <w:r>
        <w:rPr>
          <w:kern w:val="0"/>
        </w:rPr>
        <w:t>, Models, Pancreaticoduodenectomy, Placebo-Controlled Trial, Prevention, Prophylactic Octreotide, Publication, Randomized Controlled Multicenter, Review, Risk, Science, Science Citation Index, Surgery</w:t>
      </w:r>
    </w:p>
    <w:p w:rsidR="00365DE4" w:rsidRDefault="00365DE4" w:rsidP="00365DE4">
      <w:pPr>
        <w:pStyle w:val="a3"/>
        <w:rPr>
          <w:kern w:val="2"/>
        </w:rPr>
      </w:pPr>
      <w:r>
        <w:t>? D</w:t>
      </w:r>
      <w:r w:rsidR="0071223E">
        <w:t>’</w:t>
      </w:r>
      <w:r>
        <w:t>Amico, G., Pagliaro, L., Pietrosi, G.</w:t>
      </w:r>
      <w:r w:rsidR="005853A9">
        <w:t xml:space="preserve"> and </w:t>
      </w:r>
      <w:r>
        <w:t xml:space="preserve">Tarantino, I. (2010), Emergency sclerotherapy versus vasoactive drugs for bleeding oesophageal varices in cirrhotic patients. </w:t>
      </w:r>
      <w:r>
        <w:rPr>
          <w:i/>
        </w:rPr>
        <w:t>Cochrane Database</w:t>
      </w:r>
      <w:r w:rsidR="00427468">
        <w:rPr>
          <w:i/>
        </w:rPr>
        <w:t xml:space="preserve"> of </w:t>
      </w:r>
      <w:r>
        <w:rPr>
          <w:i/>
        </w:rPr>
        <w:t>Systematic Reviews</w:t>
      </w:r>
      <w:r>
        <w:t xml:space="preserve">, </w:t>
      </w:r>
      <w:r>
        <w:rPr>
          <w:b/>
        </w:rPr>
        <w:t>3</w:t>
      </w:r>
      <w:r>
        <w:t>, Article Number: CD002233.</w:t>
      </w:r>
    </w:p>
    <w:p w:rsidR="00365DE4" w:rsidRDefault="00365DE4" w:rsidP="00365DE4">
      <w:pPr>
        <w:pStyle w:val="a3"/>
      </w:pPr>
      <w:r>
        <w:t xml:space="preserve">Full Text: </w:t>
      </w:r>
      <w:hyperlink r:id="rId581" w:history="1">
        <w:r>
          <w:rPr>
            <w:rStyle w:val="a5"/>
          </w:rPr>
          <w:t>2010\Coc Dat Sys Rev2010, CD002233.pdf</w:t>
        </w:r>
      </w:hyperlink>
    </w:p>
    <w:p w:rsidR="00365DE4" w:rsidRDefault="00365DE4" w:rsidP="00365DE4">
      <w:pPr>
        <w:pStyle w:val="a3"/>
      </w:pPr>
      <w:r>
        <w:t>? Barlow, J., Smailagic, N., Ferriter, M., Bennett, C.</w:t>
      </w:r>
      <w:r w:rsidR="005853A9">
        <w:t xml:space="preserve"> and </w:t>
      </w:r>
      <w:r>
        <w:t>Jones, H. (2010), Group-based parent-training programmes for improving emotional</w:t>
      </w:r>
      <w:r w:rsidR="005853A9">
        <w:t xml:space="preserve"> and </w:t>
      </w:r>
      <w:r>
        <w:t xml:space="preserve">behavioural adjustment in children from birth to three years old. </w:t>
      </w:r>
      <w:r>
        <w:rPr>
          <w:i/>
        </w:rPr>
        <w:t>Cochrane Database</w:t>
      </w:r>
      <w:r w:rsidR="00427468">
        <w:rPr>
          <w:i/>
        </w:rPr>
        <w:t xml:space="preserve"> of </w:t>
      </w:r>
      <w:r>
        <w:rPr>
          <w:i/>
        </w:rPr>
        <w:t>Systematic Reviews</w:t>
      </w:r>
      <w:r>
        <w:t xml:space="preserve">, </w:t>
      </w:r>
      <w:r>
        <w:rPr>
          <w:b/>
        </w:rPr>
        <w:t>3</w:t>
      </w:r>
      <w:r>
        <w:t>, Article Number: CD003680.</w:t>
      </w:r>
    </w:p>
    <w:p w:rsidR="00365DE4" w:rsidRDefault="00365DE4" w:rsidP="00365DE4">
      <w:pPr>
        <w:pStyle w:val="a3"/>
      </w:pPr>
      <w:r>
        <w:t xml:space="preserve">Full Text: </w:t>
      </w:r>
      <w:hyperlink r:id="rId582" w:history="1">
        <w:r>
          <w:rPr>
            <w:rStyle w:val="a5"/>
          </w:rPr>
          <w:t>2010\Coc Dat Sys Rev2010, CD003680.pdf</w:t>
        </w:r>
      </w:hyperlink>
    </w:p>
    <w:p w:rsidR="00365DE4" w:rsidRDefault="00365DE4" w:rsidP="00365DE4">
      <w:pPr>
        <w:pStyle w:val="a3"/>
      </w:pPr>
      <w:r>
        <w:t>Keywords: Children</w:t>
      </w:r>
    </w:p>
    <w:p w:rsidR="00365DE4" w:rsidRDefault="00365DE4" w:rsidP="00365DE4">
      <w:pPr>
        <w:pStyle w:val="a3"/>
      </w:pPr>
      <w:r>
        <w:t>? Lewin, S., Munabi-Babigumira, S., Glenton, C., Daniels, K., Bosch-Capblanch, X., van Wyk, B.E., Odgaard-Jensen, J., Johansen, M., Aja, G.N., Zwarenstein, M.</w:t>
      </w:r>
      <w:r w:rsidR="005853A9">
        <w:t xml:space="preserve"> and </w:t>
      </w:r>
      <w:r>
        <w:t>Scheel, I.B. (2010), Lay health workers in primary</w:t>
      </w:r>
      <w:r w:rsidR="005853A9">
        <w:t xml:space="preserve"> and </w:t>
      </w:r>
      <w:r>
        <w:t>community health care for maternal</w:t>
      </w:r>
      <w:r w:rsidR="005853A9">
        <w:t xml:space="preserve"> and </w:t>
      </w:r>
      <w:r>
        <w:t>child health</w:t>
      </w:r>
      <w:r w:rsidR="005853A9">
        <w:t xml:space="preserve"> and </w:t>
      </w:r>
      <w:r>
        <w:t>the management</w:t>
      </w:r>
      <w:r w:rsidR="00427468">
        <w:t xml:space="preserve"> of </w:t>
      </w:r>
      <w:r>
        <w:t xml:space="preserve">infectious diseases. </w:t>
      </w:r>
      <w:r>
        <w:rPr>
          <w:i/>
        </w:rPr>
        <w:t>Cochrane Database</w:t>
      </w:r>
      <w:r w:rsidR="00427468">
        <w:rPr>
          <w:i/>
        </w:rPr>
        <w:t xml:space="preserve"> of </w:t>
      </w:r>
      <w:r>
        <w:rPr>
          <w:i/>
        </w:rPr>
        <w:t>Systematic Reviews</w:t>
      </w:r>
      <w:r>
        <w:t xml:space="preserve">, </w:t>
      </w:r>
      <w:r>
        <w:rPr>
          <w:b/>
        </w:rPr>
        <w:t>3</w:t>
      </w:r>
      <w:r>
        <w:t>, Article Number: CD004015.</w:t>
      </w:r>
    </w:p>
    <w:p w:rsidR="00365DE4" w:rsidRDefault="00365DE4" w:rsidP="00365DE4">
      <w:pPr>
        <w:pStyle w:val="a3"/>
      </w:pPr>
      <w:r>
        <w:t xml:space="preserve">Full Text: </w:t>
      </w:r>
      <w:hyperlink r:id="rId583" w:history="1">
        <w:r>
          <w:rPr>
            <w:rStyle w:val="a5"/>
          </w:rPr>
          <w:t>2010\Coc Dat Sys Rev2010, CD004015.pdf</w:t>
        </w:r>
      </w:hyperlink>
    </w:p>
    <w:p w:rsidR="00365DE4" w:rsidRDefault="00365DE4" w:rsidP="00365DE4">
      <w:pPr>
        <w:pStyle w:val="a3"/>
      </w:pPr>
      <w:r>
        <w:t xml:space="preserve">Abstract: Background Lay health workers (LHWs) are widely used to provide care for a </w:t>
      </w:r>
      <w:r>
        <w:lastRenderedPageBreak/>
        <w:t>broad range</w:t>
      </w:r>
      <w:r w:rsidR="00427468">
        <w:t xml:space="preserve"> of </w:t>
      </w:r>
      <w:r>
        <w:t>health issues. Little is known, however, about the effectiveness</w:t>
      </w:r>
      <w:r w:rsidR="00427468">
        <w:t xml:space="preserve"> of </w:t>
      </w:r>
      <w:r>
        <w:t>LHW interventions.</w:t>
      </w:r>
    </w:p>
    <w:p w:rsidR="00365DE4" w:rsidRDefault="00365DE4" w:rsidP="00365DE4">
      <w:pPr>
        <w:pStyle w:val="a3"/>
      </w:pPr>
      <w:r>
        <w:t>Objectives To assess the effects</w:t>
      </w:r>
      <w:r w:rsidR="00427468">
        <w:t xml:space="preserve"> of </w:t>
      </w:r>
      <w:r>
        <w:t>LHW interventions in primary</w:t>
      </w:r>
      <w:r w:rsidR="005853A9">
        <w:t xml:space="preserve"> and </w:t>
      </w:r>
      <w:r>
        <w:t>community health care on maternal</w:t>
      </w:r>
      <w:r w:rsidR="005853A9">
        <w:t xml:space="preserve"> and </w:t>
      </w:r>
      <w:r>
        <w:t>child health</w:t>
      </w:r>
      <w:r w:rsidR="005853A9">
        <w:t xml:space="preserve"> and </w:t>
      </w:r>
      <w:r>
        <w:t>the management</w:t>
      </w:r>
      <w:r w:rsidR="00427468">
        <w:t xml:space="preserve"> of </w:t>
      </w:r>
      <w:r>
        <w:t>infectious diseases.</w:t>
      </w:r>
    </w:p>
    <w:p w:rsidR="00365DE4" w:rsidRDefault="00365DE4" w:rsidP="00365DE4">
      <w:pPr>
        <w:pStyle w:val="a3"/>
      </w:pPr>
      <w:r>
        <w:t>Search strategy For the current version</w:t>
      </w:r>
      <w:r w:rsidR="00427468">
        <w:t xml:space="preserve"> of </w:t>
      </w:r>
      <w:r>
        <w:t>this review we searched The Cochrane Central Register</w:t>
      </w:r>
      <w:r w:rsidR="00427468">
        <w:t xml:space="preserve"> of </w:t>
      </w:r>
      <w:r>
        <w:t>Controlled Trials (including citations uploaded from the EPOC</w:t>
      </w:r>
      <w:r w:rsidR="005853A9">
        <w:t xml:space="preserve"> and </w:t>
      </w:r>
      <w:r>
        <w:t xml:space="preserve">the CCRG registers) (The Cochrane Library 2009, Issue 1 Online) (searched 18 February 2009); </w:t>
      </w:r>
      <w:r w:rsidR="00D5664A">
        <w:t>MEDLINE</w:t>
      </w:r>
      <w:r>
        <w:t xml:space="preserve">, Ovid (1950 to February Week 1 2009) (searched 17 February 2009); </w:t>
      </w:r>
      <w:r w:rsidR="00D5664A">
        <w:t>MEDLINE</w:t>
      </w:r>
      <w:r>
        <w:t xml:space="preserve"> In-Process &amp; Other Non-Indexed Citations, Ovid (February 13 2009) (searched 17 February 2009); EMBASE, Ovid (1980 to 2009 Week 05) (searched 18 February 2009); AMED, Ovid (1985 to February 2009) (searched 19 February 2009); British Nursing Index</w:t>
      </w:r>
      <w:r w:rsidR="005853A9">
        <w:t xml:space="preserve"> and </w:t>
      </w:r>
      <w:r>
        <w:t>Archive, Ovid (1985 to February 2009) (searched 17 February 2009); CINAHL, Ebsco 1981 to present (searched 07 February 2010); POPLINE (searched 25 February 2009); WHOLIS (searched 16 April 2009); Science Citation Index</w:t>
      </w:r>
      <w:r w:rsidR="005853A9">
        <w:t xml:space="preserve"> and </w:t>
      </w:r>
      <w:r>
        <w:t xml:space="preserve">Social Sciences Citation Index (ISI </w:t>
      </w:r>
      <w:r w:rsidR="00D5664A">
        <w:t>Web</w:t>
      </w:r>
      <w:r w:rsidR="00427468">
        <w:t xml:space="preserve"> of </w:t>
      </w:r>
      <w:r w:rsidR="00D5664A">
        <w:t>Science</w:t>
      </w:r>
      <w:r>
        <w:t>) (1975 to present) (searched 10 August 2006</w:t>
      </w:r>
      <w:r w:rsidR="005853A9">
        <w:t xml:space="preserve"> and </w:t>
      </w:r>
      <w:r>
        <w:t>10 February 2010). We also searched the reference lists</w:t>
      </w:r>
      <w:r w:rsidR="00427468">
        <w:t xml:space="preserve"> of </w:t>
      </w:r>
      <w:r>
        <w:t>all included papers</w:t>
      </w:r>
      <w:r w:rsidR="005853A9">
        <w:t xml:space="preserve"> and </w:t>
      </w:r>
      <w:r>
        <w:t>relevant reviews,</w:t>
      </w:r>
      <w:r w:rsidR="005853A9">
        <w:t xml:space="preserve"> and </w:t>
      </w:r>
      <w:r>
        <w:t>contacted study authors</w:t>
      </w:r>
      <w:r w:rsidR="005853A9">
        <w:t xml:space="preserve"> and </w:t>
      </w:r>
      <w:r>
        <w:t>researchers in the field for additional papers.</w:t>
      </w:r>
    </w:p>
    <w:p w:rsidR="00365DE4" w:rsidRDefault="00365DE4" w:rsidP="00365DE4">
      <w:pPr>
        <w:pStyle w:val="a3"/>
      </w:pPr>
      <w:r>
        <w:t>Selection criteria Randomised controlled trials</w:t>
      </w:r>
      <w:r w:rsidR="00427468">
        <w:t xml:space="preserve"> of </w:t>
      </w:r>
      <w:r>
        <w:t>any intervention delivered by LHWs (paid or voluntary) in primary or community health care</w:t>
      </w:r>
      <w:r w:rsidR="005853A9">
        <w:t xml:space="preserve"> and </w:t>
      </w:r>
      <w:r>
        <w:t>intended to improve maternal or child health or the management</w:t>
      </w:r>
      <w:r w:rsidR="00427468">
        <w:t xml:space="preserve"> of </w:t>
      </w:r>
      <w:r>
        <w:t xml:space="preserve">infectious diseases. A </w:t>
      </w:r>
      <w:r w:rsidR="0071223E">
        <w:t>‘</w:t>
      </w:r>
      <w:r>
        <w:t>lay health worker</w:t>
      </w:r>
      <w:r w:rsidR="0071223E">
        <w:t>’</w:t>
      </w:r>
      <w:r>
        <w:t xml:space="preserve"> was defined as any health worker carrying out functions related to healthcare delivery, trained in some way in the context</w:t>
      </w:r>
      <w:r w:rsidR="00427468">
        <w:t xml:space="preserve"> of </w:t>
      </w:r>
      <w:r>
        <w:t>the intervention,</w:t>
      </w:r>
      <w:r w:rsidR="005853A9">
        <w:t xml:space="preserve"> and </w:t>
      </w:r>
      <w:r>
        <w:t>having no formal professional or paraprofessional certificate or tertiary education degree</w:t>
      </w:r>
      <w:r w:rsidR="00A37C1D">
        <w:t>. The</w:t>
      </w:r>
      <w:r>
        <w:t>re were no restrictions on care recipients.</w:t>
      </w:r>
    </w:p>
    <w:p w:rsidR="00365DE4" w:rsidRDefault="00365DE4" w:rsidP="00365DE4">
      <w:pPr>
        <w:pStyle w:val="a3"/>
      </w:pPr>
      <w:r>
        <w:t>Data collection</w:t>
      </w:r>
      <w:r w:rsidR="005853A9">
        <w:t xml:space="preserve"> and </w:t>
      </w:r>
      <w:r>
        <w:t>analysis Two review authors independently extracted data using a standard form</w:t>
      </w:r>
      <w:r w:rsidR="005853A9">
        <w:t xml:space="preserve"> and </w:t>
      </w:r>
      <w:r>
        <w:t>assessed risk</w:t>
      </w:r>
      <w:r w:rsidR="00427468">
        <w:t xml:space="preserve"> of </w:t>
      </w:r>
      <w:r>
        <w:t>bias. Studies that compared broadly similar types</w:t>
      </w:r>
      <w:r w:rsidR="00427468">
        <w:t xml:space="preserve"> of </w:t>
      </w:r>
      <w:r>
        <w:t>interventions were grouped together. Where feasible, the study results were combined</w:t>
      </w:r>
      <w:r w:rsidR="005853A9">
        <w:t xml:space="preserve"> and </w:t>
      </w:r>
      <w:r>
        <w:t>an overall estimate</w:t>
      </w:r>
      <w:r w:rsidR="00427468">
        <w:t xml:space="preserve"> of </w:t>
      </w:r>
      <w:r>
        <w:t>effect obtained.</w:t>
      </w:r>
    </w:p>
    <w:p w:rsidR="00365DE4" w:rsidRDefault="00365DE4" w:rsidP="00365DE4">
      <w:pPr>
        <w:pStyle w:val="a3"/>
      </w:pPr>
      <w:r>
        <w:t>Main results Eighty-two studies met the inclusion criteria</w:t>
      </w:r>
      <w:r w:rsidR="00A37C1D">
        <w:t>. The</w:t>
      </w:r>
      <w:r>
        <w:t>se showed considerable diversity in the targeted health issue</w:t>
      </w:r>
      <w:r w:rsidR="005853A9">
        <w:t xml:space="preserve"> and </w:t>
      </w:r>
      <w:r>
        <w:t>the aims, content,</w:t>
      </w:r>
      <w:r w:rsidR="005853A9">
        <w:t xml:space="preserve"> and </w:t>
      </w:r>
      <w:r>
        <w:t>outcomes</w:t>
      </w:r>
      <w:r w:rsidR="00427468">
        <w:t xml:space="preserve"> of </w:t>
      </w:r>
      <w:r>
        <w:t>interventions</w:t>
      </w:r>
      <w:r w:rsidR="00A37C1D">
        <w:t>. The</w:t>
      </w:r>
      <w:r>
        <w:t xml:space="preserve"> majority were conducted in high income countries (n = 55) but many</w:t>
      </w:r>
      <w:r w:rsidR="00427468">
        <w:t xml:space="preserve"> of </w:t>
      </w:r>
      <w:r>
        <w:t>these focused on low income</w:t>
      </w:r>
      <w:r w:rsidR="005853A9">
        <w:t xml:space="preserve"> and </w:t>
      </w:r>
      <w:r>
        <w:t>minority populations</w:t>
      </w:r>
      <w:r w:rsidR="00A37C1D">
        <w:t>. The</w:t>
      </w:r>
      <w:r>
        <w:t xml:space="preserve"> diversity</w:t>
      </w:r>
      <w:r w:rsidR="00427468">
        <w:t xml:space="preserve"> of </w:t>
      </w:r>
      <w:r>
        <w:t>included studies limited meta-analysis to outcomes for four study groups</w:t>
      </w:r>
      <w:r w:rsidR="00A37C1D">
        <w:t>. The</w:t>
      </w:r>
      <w:r>
        <w:t>se analyses found evidence</w:t>
      </w:r>
      <w:r w:rsidR="00427468">
        <w:t xml:space="preserve"> of </w:t>
      </w:r>
      <w:r>
        <w:t>moderate quality</w:t>
      </w:r>
      <w:r w:rsidR="00427468">
        <w:t xml:space="preserve"> of </w:t>
      </w:r>
      <w:r>
        <w:t>the effectiveness</w:t>
      </w:r>
      <w:r w:rsidR="00427468">
        <w:t xml:space="preserve"> of </w:t>
      </w:r>
      <w:r>
        <w:t>LHWs in promoting immunisation childhood uptake (RR 1.22, 95% CI 1.10 to 1.37; P = 0.0004); promoting initiation</w:t>
      </w:r>
      <w:r w:rsidR="00427468">
        <w:t xml:space="preserve"> of </w:t>
      </w:r>
      <w:r>
        <w:t>breastfeeding (RR = 1.36, 95% CI 1.14 to 1.61; P &lt; 0.00001), any breastfeeding (RR 1.24, 95% CI 1.10 to 1.39; P = 0.0004),</w:t>
      </w:r>
      <w:r w:rsidR="005853A9">
        <w:t xml:space="preserve"> and </w:t>
      </w:r>
      <w:r>
        <w:lastRenderedPageBreak/>
        <w:t>exclusive breastfeeding (RR 2.78, 95% CI 1.74 to 4.44; P &lt; 0.0001);</w:t>
      </w:r>
      <w:r w:rsidR="005853A9">
        <w:t xml:space="preserve"> and </w:t>
      </w:r>
      <w:r>
        <w:t>improving pulmonary TB cure rates (RR 1.22 (95% CI 1.13 to 1.31) P &lt; 0.0001), when compared to usual care</w:t>
      </w:r>
      <w:r w:rsidR="00A37C1D">
        <w:t>. The</w:t>
      </w:r>
      <w:r>
        <w:t>re was moderate quality evidence that LHW support had little or no effect on TB preventive treatment completion (RR 1.00, 95% CI 0.92 to 1.09; P = 0.99)</w:t>
      </w:r>
      <w:r w:rsidR="00A37C1D">
        <w:t>. The</w:t>
      </w:r>
      <w:r>
        <w:t>re was also low quality evidence that LHWs may reduce child morbidity (RR 0.86, 95% CI 0.75 to 0.99; P = 0.03)</w:t>
      </w:r>
      <w:r w:rsidR="005853A9">
        <w:t xml:space="preserve"> and </w:t>
      </w:r>
      <w:r>
        <w:t>child (RR 0.75, 95% CI 0.55 to 1.03; P = 0.07)</w:t>
      </w:r>
      <w:r w:rsidR="005853A9">
        <w:t xml:space="preserve"> and </w:t>
      </w:r>
      <w:r>
        <w:t>neonatal (RR 0.76, 95% CI 0.57 to 1.02; P = 0.07) mortality,</w:t>
      </w:r>
      <w:r w:rsidR="005853A9">
        <w:t xml:space="preserve"> and </w:t>
      </w:r>
      <w:r>
        <w:t>increase the likelihood</w:t>
      </w:r>
      <w:r w:rsidR="00427468">
        <w:t xml:space="preserve"> of </w:t>
      </w:r>
      <w:r>
        <w:t>seeking care for childhood illness (RR 1.33, 95% CI 0.86 to 2.05; P = 0.20). For other health issues, the evidence is insufficient to draw conclusions regarding effectiveness, or to enable the identification</w:t>
      </w:r>
      <w:r w:rsidR="00427468">
        <w:t xml:space="preserve"> of </w:t>
      </w:r>
      <w:r>
        <w:t>specific LHW training or intervention strategies likely to be most effective.</w:t>
      </w:r>
    </w:p>
    <w:p w:rsidR="00365DE4" w:rsidRDefault="00365DE4" w:rsidP="00365DE4">
      <w:pPr>
        <w:pStyle w:val="a3"/>
      </w:pPr>
      <w:r>
        <w:t>Authors</w:t>
      </w:r>
      <w:r w:rsidR="0071223E">
        <w:t>’</w:t>
      </w:r>
      <w:r>
        <w:t xml:space="preserve"> conclusions LHWs provide promising benefits in promoting immunisation uptake</w:t>
      </w:r>
      <w:r w:rsidR="005853A9">
        <w:t xml:space="preserve"> and </w:t>
      </w:r>
      <w:r>
        <w:t>breastfeeding, improving TB treatment outcomes,</w:t>
      </w:r>
      <w:r w:rsidR="005853A9">
        <w:t xml:space="preserve"> and </w:t>
      </w:r>
      <w:r>
        <w:t>reducing child morbidity</w:t>
      </w:r>
      <w:r w:rsidR="005853A9">
        <w:t xml:space="preserve"> and </w:t>
      </w:r>
      <w:r>
        <w:t>mortality when compared to usual care. For other health issues, evidence is insufficient to draw conclusions about the effects</w:t>
      </w:r>
      <w:r w:rsidR="00427468">
        <w:t xml:space="preserve"> of </w:t>
      </w:r>
      <w:r>
        <w:t>LHWs.</w:t>
      </w:r>
    </w:p>
    <w:p w:rsidR="00365DE4" w:rsidRDefault="00365DE4" w:rsidP="00365DE4">
      <w:pPr>
        <w:pStyle w:val="a3"/>
      </w:pPr>
      <w:r>
        <w:t>Keywords: Allied Health Personnel, Community Health Services, Health Promotion, Primary Health Care, Community Health Aides, Home Health Aides, Randomized Controlled Trials As Topic, Humans, Randomized Controlled-Trial, Traditional Birth Attendants, Cost-Effective Interventions, Social Support Intervention, Mother-Infant Interaction, Breast-Feeding Duration, Home Visiting Program, Failure-To-Thrive, Low-Income, Peer Support</w:t>
      </w:r>
    </w:p>
    <w:p w:rsidR="00365DE4" w:rsidRDefault="00365DE4" w:rsidP="00365DE4">
      <w:pPr>
        <w:pStyle w:val="a3"/>
      </w:pPr>
      <w:r>
        <w:t>? Poropat, G., Giljaca, V., Stimac, D.</w:t>
      </w:r>
      <w:r w:rsidR="005853A9">
        <w:t xml:space="preserve"> and </w:t>
      </w:r>
      <w:r>
        <w:t xml:space="preserve">Gluud, C. (2010), Bile acids for liver-transplanted patients. </w:t>
      </w:r>
      <w:r>
        <w:rPr>
          <w:i/>
        </w:rPr>
        <w:t>Cochrane Database</w:t>
      </w:r>
      <w:r w:rsidR="00427468">
        <w:rPr>
          <w:i/>
        </w:rPr>
        <w:t xml:space="preserve"> of </w:t>
      </w:r>
      <w:r>
        <w:rPr>
          <w:i/>
        </w:rPr>
        <w:t>Systematic Reviews</w:t>
      </w:r>
      <w:r>
        <w:t xml:space="preserve">, </w:t>
      </w:r>
      <w:r>
        <w:rPr>
          <w:b/>
        </w:rPr>
        <w:t>3</w:t>
      </w:r>
      <w:r>
        <w:t>, Article Number: CD005442.</w:t>
      </w:r>
    </w:p>
    <w:p w:rsidR="00365DE4" w:rsidRDefault="00365DE4" w:rsidP="00365DE4">
      <w:pPr>
        <w:pStyle w:val="a3"/>
      </w:pPr>
      <w:r>
        <w:t xml:space="preserve">Full Text: </w:t>
      </w:r>
      <w:hyperlink r:id="rId584" w:history="1">
        <w:r>
          <w:rPr>
            <w:rStyle w:val="a5"/>
          </w:rPr>
          <w:t>2010\Coc Dat Sys Rev2010, CD005442.pdf</w:t>
        </w:r>
      </w:hyperlink>
    </w:p>
    <w:p w:rsidR="00365DE4" w:rsidRDefault="00365DE4" w:rsidP="00365DE4">
      <w:pPr>
        <w:pStyle w:val="a3"/>
      </w:pPr>
      <w:r>
        <w:t>? Hosking, J., Macmillan, A., Connor, J., Bullen, C.</w:t>
      </w:r>
      <w:r w:rsidR="005853A9">
        <w:t xml:space="preserve"> and </w:t>
      </w:r>
      <w:r>
        <w:t xml:space="preserve">Ameratunga, S. (2010), Organisational travel plans for improving health. </w:t>
      </w:r>
      <w:r>
        <w:rPr>
          <w:i/>
        </w:rPr>
        <w:t>Cochrane Database</w:t>
      </w:r>
      <w:r w:rsidR="00427468">
        <w:rPr>
          <w:i/>
        </w:rPr>
        <w:t xml:space="preserve"> of </w:t>
      </w:r>
      <w:r>
        <w:rPr>
          <w:i/>
        </w:rPr>
        <w:t>Systematic Reviews</w:t>
      </w:r>
      <w:r>
        <w:t xml:space="preserve">, </w:t>
      </w:r>
      <w:r>
        <w:rPr>
          <w:b/>
        </w:rPr>
        <w:t>3</w:t>
      </w:r>
      <w:r>
        <w:t>, Article Number: CD005575.</w:t>
      </w:r>
    </w:p>
    <w:p w:rsidR="00365DE4" w:rsidRDefault="00365DE4" w:rsidP="00365DE4">
      <w:pPr>
        <w:pStyle w:val="a3"/>
      </w:pPr>
      <w:r>
        <w:t xml:space="preserve">Full Text: </w:t>
      </w:r>
      <w:hyperlink r:id="rId585" w:history="1">
        <w:r>
          <w:rPr>
            <w:rStyle w:val="a5"/>
          </w:rPr>
          <w:t>2010\Coc Dat Sys Rev2010, CD005575.pdf</w:t>
        </w:r>
      </w:hyperlink>
    </w:p>
    <w:p w:rsidR="00365DE4" w:rsidRDefault="00365DE4" w:rsidP="00365DE4">
      <w:pPr>
        <w:pStyle w:val="a3"/>
      </w:pPr>
      <w:r>
        <w:t>Keywords: Health</w:t>
      </w:r>
    </w:p>
    <w:p w:rsidR="00365DE4" w:rsidRDefault="00365DE4" w:rsidP="00365DE4">
      <w:pPr>
        <w:pStyle w:val="a3"/>
      </w:pPr>
      <w:r>
        <w:t>? Gur</w:t>
      </w:r>
      <w:r w:rsidR="00D5664A">
        <w:t>USA</w:t>
      </w:r>
      <w:r>
        <w:t>my, K.S., Samraj, K., Ramamoorthy, R., Farouk, M., F</w:t>
      </w:r>
      <w:r w:rsidR="00D5664A">
        <w:t>USA</w:t>
      </w:r>
      <w:r>
        <w:t>i, G.</w:t>
      </w:r>
      <w:r w:rsidR="005853A9">
        <w:t xml:space="preserve"> and </w:t>
      </w:r>
      <w:r>
        <w:t xml:space="preserve">Davidson, B.R. (2010), Miniport versus standard ports for laparoscopic cholecystectomy. </w:t>
      </w:r>
      <w:r>
        <w:rPr>
          <w:i/>
        </w:rPr>
        <w:t>Cochrane Database</w:t>
      </w:r>
      <w:r w:rsidR="00427468">
        <w:rPr>
          <w:i/>
        </w:rPr>
        <w:t xml:space="preserve"> of </w:t>
      </w:r>
      <w:r>
        <w:rPr>
          <w:i/>
        </w:rPr>
        <w:t>Systematic Reviews</w:t>
      </w:r>
      <w:r>
        <w:t xml:space="preserve">, </w:t>
      </w:r>
      <w:r>
        <w:rPr>
          <w:b/>
        </w:rPr>
        <w:t>3</w:t>
      </w:r>
      <w:r>
        <w:t>, Article Number: CD006804.</w:t>
      </w:r>
    </w:p>
    <w:p w:rsidR="00365DE4" w:rsidRDefault="00365DE4" w:rsidP="00365DE4">
      <w:pPr>
        <w:pStyle w:val="a3"/>
      </w:pPr>
      <w:r>
        <w:t xml:space="preserve">Full Text: </w:t>
      </w:r>
      <w:hyperlink r:id="rId586" w:history="1">
        <w:r>
          <w:rPr>
            <w:rStyle w:val="a5"/>
          </w:rPr>
          <w:t>2010\Coc Dat Sys Rev2010, CD006804.pdf</w:t>
        </w:r>
      </w:hyperlink>
    </w:p>
    <w:p w:rsidR="00365DE4" w:rsidRDefault="00365DE4" w:rsidP="00365DE4">
      <w:pPr>
        <w:pStyle w:val="a3"/>
        <w:rPr>
          <w:kern w:val="0"/>
        </w:rPr>
      </w:pPr>
      <w:r>
        <w:rPr>
          <w:kern w:val="0"/>
        </w:rPr>
        <w:t>Abstract: Background In conventional (standard) laparoscopic cholecystectomy, four abdominal ports (two</w:t>
      </w:r>
      <w:r w:rsidR="00427468">
        <w:rPr>
          <w:kern w:val="0"/>
        </w:rPr>
        <w:t xml:space="preserve"> of </w:t>
      </w:r>
      <w:r>
        <w:rPr>
          <w:kern w:val="0"/>
        </w:rPr>
        <w:t>10 mm diameter</w:t>
      </w:r>
      <w:r w:rsidR="005853A9">
        <w:rPr>
          <w:kern w:val="0"/>
        </w:rPr>
        <w:t xml:space="preserve"> and </w:t>
      </w:r>
      <w:r>
        <w:rPr>
          <w:kern w:val="0"/>
        </w:rPr>
        <w:t>two</w:t>
      </w:r>
      <w:r w:rsidR="00427468">
        <w:rPr>
          <w:kern w:val="0"/>
        </w:rPr>
        <w:t xml:space="preserve"> of </w:t>
      </w:r>
      <w:r>
        <w:rPr>
          <w:kern w:val="0"/>
        </w:rPr>
        <w:t>5 mm diameter) are used. Recently, use</w:t>
      </w:r>
      <w:r w:rsidR="00427468">
        <w:rPr>
          <w:kern w:val="0"/>
        </w:rPr>
        <w:t xml:space="preserve"> of </w:t>
      </w:r>
      <w:r>
        <w:rPr>
          <w:kern w:val="0"/>
        </w:rPr>
        <w:t>smaller ports have been reported. Objectives To assess the benefits</w:t>
      </w:r>
      <w:r w:rsidR="005853A9">
        <w:rPr>
          <w:kern w:val="0"/>
        </w:rPr>
        <w:t xml:space="preserve"> and </w:t>
      </w:r>
      <w:r>
        <w:rPr>
          <w:kern w:val="0"/>
        </w:rPr>
        <w:t>harms</w:t>
      </w:r>
      <w:r w:rsidR="00427468">
        <w:rPr>
          <w:kern w:val="0"/>
        </w:rPr>
        <w:t xml:space="preserve"> of </w:t>
      </w:r>
      <w:r>
        <w:rPr>
          <w:kern w:val="0"/>
        </w:rPr>
        <w:t xml:space="preserve">miniport (defined as ports smaller than conventional ports) </w:t>
      </w:r>
      <w:r>
        <w:rPr>
          <w:kern w:val="0"/>
        </w:rPr>
        <w:lastRenderedPageBreak/>
        <w:t>laparoscopic cholecystectomy versus standard laparoscopic cholecystectomy.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September 2009 for identifying the randomised trials. Selection criteria Only randomised clinical trials (irrespective</w:t>
      </w:r>
      <w:r w:rsidR="00427468">
        <w:rPr>
          <w:kern w:val="0"/>
        </w:rPr>
        <w:t xml:space="preserve"> of </w:t>
      </w:r>
      <w:r>
        <w:rPr>
          <w:kern w:val="0"/>
        </w:rPr>
        <w:t>language, blinding, or publication status) comparing miniport versus standard ports laparoscopic cholecystectomy were considered for the review. Data collection</w:t>
      </w:r>
      <w:r w:rsidR="005853A9">
        <w:rPr>
          <w:kern w:val="0"/>
        </w:rPr>
        <w:t xml:space="preserve"> and </w:t>
      </w:r>
      <w:r>
        <w:rPr>
          <w:kern w:val="0"/>
        </w:rPr>
        <w:t>analysis Two authors collected the data independently. We analysed the data with both the fixed-effect</w:t>
      </w:r>
      <w:r w:rsidR="005853A9">
        <w:rPr>
          <w:kern w:val="0"/>
        </w:rPr>
        <w:t xml:space="preserve"> and </w:t>
      </w:r>
      <w:r>
        <w:rPr>
          <w:kern w:val="0"/>
        </w:rPr>
        <w:t>the random-effects models using RevMan Analysis. For each outcome we calculated the risk ratio (RR), mean difference (MD), or standardised mean difference (SMD) with 95% confidence intervals (CI). Main results We included thirteen trials with 803 patients randomised to miniport (n = 416) versus standard ports laparoscopic cholecystectomy (n = 387). In twelve trials, four ports were used. In one trial, three ports were used</w:t>
      </w:r>
      <w:r w:rsidR="00A37C1D">
        <w:rPr>
          <w:kern w:val="0"/>
        </w:rPr>
        <w:t>. The</w:t>
      </w:r>
      <w:r>
        <w:rPr>
          <w:kern w:val="0"/>
        </w:rPr>
        <w:t xml:space="preserve"> bias risk</w:t>
      </w:r>
      <w:r w:rsidR="00427468">
        <w:rPr>
          <w:kern w:val="0"/>
        </w:rPr>
        <w:t xml:space="preserve"> of </w:t>
      </w:r>
      <w:r>
        <w:rPr>
          <w:kern w:val="0"/>
        </w:rPr>
        <w:t>all trials was high. Miniport laparoscopic cholecystectomy could be completed successfully in 87%</w:t>
      </w:r>
      <w:r w:rsidR="00427468">
        <w:rPr>
          <w:kern w:val="0"/>
        </w:rPr>
        <w:t xml:space="preserve"> of </w:t>
      </w:r>
      <w:r>
        <w:rPr>
          <w:kern w:val="0"/>
        </w:rPr>
        <w:t>patients</w:t>
      </w:r>
      <w:r w:rsidR="00A37C1D">
        <w:rPr>
          <w:kern w:val="0"/>
        </w:rPr>
        <w:t>. The</w:t>
      </w:r>
      <w:r>
        <w:rPr>
          <w:kern w:val="0"/>
        </w:rPr>
        <w:t xml:space="preserve"> remaining patients were mostly converted to standard laparoscopic cholecystectomy but some were also converted to open cholecystectomy. Further information about these patients who underwent conversion to open cholecystectomy was not available in most trials. In the patients on whom information was available, there was no mortality reported;</w:t>
      </w:r>
      <w:r w:rsidR="005853A9">
        <w:rPr>
          <w:kern w:val="0"/>
        </w:rPr>
        <w:t xml:space="preserve"> and </w:t>
      </w:r>
      <w:r>
        <w:rPr>
          <w:kern w:val="0"/>
        </w:rPr>
        <w:t>there was no significant difference in the surgery-related morbidity or conversion to open cholecystectomy. Most trials excluded the patients who were converted to standard laparoscopic cholecystectomy. In patients who underwent successful miniport laparoscopic cholecystectomy, the pain was significantly lower in the miniport group than in the standard port at various time points. Authors</w:t>
      </w:r>
      <w:r w:rsidR="0071223E">
        <w:rPr>
          <w:kern w:val="0"/>
        </w:rPr>
        <w:t>’</w:t>
      </w:r>
      <w:r>
        <w:rPr>
          <w:kern w:val="0"/>
        </w:rPr>
        <w:t xml:space="preserve"> conclusions Miniport laparoscopic cholecystectomy can be completed successfully in more than 85%</w:t>
      </w:r>
      <w:r w:rsidR="00427468">
        <w:rPr>
          <w:kern w:val="0"/>
        </w:rPr>
        <w:t xml:space="preserve"> of </w:t>
      </w:r>
      <w:r>
        <w:rPr>
          <w:kern w:val="0"/>
        </w:rPr>
        <w:t>patients. Patients, in whom elective miniport laparoscopic cholecystectomy was completed successfully, had lower pain than those who underwent standard laparoscopic cholecystectomy. However, because</w:t>
      </w:r>
      <w:r w:rsidR="00427468">
        <w:rPr>
          <w:kern w:val="0"/>
        </w:rPr>
        <w:t xml:space="preserve"> of </w:t>
      </w:r>
      <w:r>
        <w:rPr>
          <w:kern w:val="0"/>
        </w:rPr>
        <w:t>the lack</w:t>
      </w:r>
      <w:r w:rsidR="00427468">
        <w:rPr>
          <w:kern w:val="0"/>
        </w:rPr>
        <w:t xml:space="preserve"> of </w:t>
      </w:r>
      <w:r>
        <w:rPr>
          <w:kern w:val="0"/>
        </w:rPr>
        <w:t>information on its safety, miniport laparoscopic cholecystectomy cannot be recommended outside well-designed, randomised clinical trials.</w:t>
      </w:r>
    </w:p>
    <w:p w:rsidR="00365DE4" w:rsidRDefault="00365DE4" w:rsidP="00365DE4">
      <w:pPr>
        <w:pStyle w:val="a3"/>
        <w:rPr>
          <w:kern w:val="0"/>
        </w:rPr>
      </w:pPr>
      <w:r>
        <w:rPr>
          <w:kern w:val="0"/>
        </w:rPr>
        <w:t xml:space="preserve">Keywords: Authors, Bias, Citation, Clinical Trials, Clinical-Trials, Criteria, Empirical-Evidence, Language, </w:t>
      </w:r>
      <w:r w:rsidR="00D5664A">
        <w:rPr>
          <w:kern w:val="0"/>
        </w:rPr>
        <w:t>MEDLINE</w:t>
      </w:r>
      <w:r>
        <w:rPr>
          <w:kern w:val="0"/>
        </w:rPr>
        <w:t>, Metaanalysis, Microlaparoscopic Cholecystectomy, Models, Pain, Population, Prevalence, Publication, Quality, Randomized Controlled-Trials, Review, Risk, Science, Science Citation Index</w:t>
      </w:r>
    </w:p>
    <w:p w:rsidR="00365DE4" w:rsidRDefault="00365DE4" w:rsidP="00365DE4">
      <w:pPr>
        <w:pStyle w:val="a3"/>
        <w:rPr>
          <w:kern w:val="2"/>
        </w:rPr>
      </w:pPr>
      <w:r>
        <w:t>? Rooney, A.</w:t>
      </w:r>
      <w:r w:rsidR="005853A9">
        <w:t xml:space="preserve"> and </w:t>
      </w:r>
      <w:r>
        <w:t>Grant, R. (2010), Pharmacological treatment</w:t>
      </w:r>
      <w:r w:rsidR="00427468">
        <w:t xml:space="preserve"> of </w:t>
      </w:r>
      <w:r>
        <w:t xml:space="preserve">depression in patients with a primary brain tumour. </w:t>
      </w:r>
      <w:r>
        <w:rPr>
          <w:i/>
        </w:rPr>
        <w:t>Cochrane Database</w:t>
      </w:r>
      <w:r w:rsidR="00427468">
        <w:rPr>
          <w:i/>
        </w:rPr>
        <w:t xml:space="preserve"> of </w:t>
      </w:r>
      <w:r>
        <w:rPr>
          <w:i/>
        </w:rPr>
        <w:t>Systematic Reviews</w:t>
      </w:r>
      <w:r>
        <w:t xml:space="preserve">, </w:t>
      </w:r>
      <w:r>
        <w:rPr>
          <w:b/>
        </w:rPr>
        <w:t>3</w:t>
      </w:r>
      <w:r>
        <w:t>, Article Number: CD006932.</w:t>
      </w:r>
    </w:p>
    <w:p w:rsidR="00365DE4" w:rsidRDefault="00365DE4" w:rsidP="00365DE4">
      <w:pPr>
        <w:pStyle w:val="a3"/>
      </w:pPr>
      <w:r>
        <w:lastRenderedPageBreak/>
        <w:t xml:space="preserve">Full Text: </w:t>
      </w:r>
      <w:hyperlink r:id="rId587" w:history="1">
        <w:r>
          <w:rPr>
            <w:rStyle w:val="a5"/>
          </w:rPr>
          <w:t>2010\Coc Dat Sys Rev2010, CD006932.pdf</w:t>
        </w:r>
      </w:hyperlink>
    </w:p>
    <w:p w:rsidR="00365DE4" w:rsidRDefault="00365DE4" w:rsidP="00365DE4">
      <w:pPr>
        <w:pStyle w:val="a3"/>
      </w:pPr>
      <w:r>
        <w:t>Keywords: Primary, Treatment</w:t>
      </w:r>
    </w:p>
    <w:p w:rsidR="00365DE4" w:rsidRDefault="00365DE4" w:rsidP="00365DE4">
      <w:pPr>
        <w:pStyle w:val="a3"/>
      </w:pPr>
      <w:r>
        <w:t>? Choo, K.J.L., Simons, F.E.R.</w:t>
      </w:r>
      <w:r w:rsidR="005853A9">
        <w:t xml:space="preserve"> and </w:t>
      </w:r>
      <w:r>
        <w:t>Sheikh, A. (2010), Glucocorticoids for the treatment</w:t>
      </w:r>
      <w:r w:rsidR="00427468">
        <w:t xml:space="preserve"> of </w:t>
      </w:r>
      <w:r>
        <w:t xml:space="preserve">anaphylaxis. </w:t>
      </w:r>
      <w:r>
        <w:rPr>
          <w:i/>
        </w:rPr>
        <w:t>Cochrane Database</w:t>
      </w:r>
      <w:r w:rsidR="00427468">
        <w:rPr>
          <w:i/>
        </w:rPr>
        <w:t xml:space="preserve"> of </w:t>
      </w:r>
      <w:r>
        <w:rPr>
          <w:i/>
        </w:rPr>
        <w:t>Systematic Reviews</w:t>
      </w:r>
      <w:r>
        <w:t xml:space="preserve">, </w:t>
      </w:r>
      <w:r>
        <w:rPr>
          <w:b/>
        </w:rPr>
        <w:t>3</w:t>
      </w:r>
      <w:r>
        <w:t>, Article Number: CD007596.</w:t>
      </w:r>
    </w:p>
    <w:p w:rsidR="00365DE4" w:rsidRDefault="00365DE4" w:rsidP="00365DE4">
      <w:pPr>
        <w:pStyle w:val="a3"/>
      </w:pPr>
      <w:r>
        <w:t xml:space="preserve">Full Text: </w:t>
      </w:r>
      <w:hyperlink r:id="rId588" w:history="1">
        <w:r>
          <w:rPr>
            <w:rStyle w:val="a5"/>
          </w:rPr>
          <w:t>2010\Coc Dat Sys Rev2010, CD007596.pdf</w:t>
        </w:r>
      </w:hyperlink>
    </w:p>
    <w:p w:rsidR="00365DE4" w:rsidRDefault="00365DE4" w:rsidP="00365DE4">
      <w:pPr>
        <w:pStyle w:val="a3"/>
      </w:pPr>
      <w:r>
        <w:t>Keywords: Treatment</w:t>
      </w:r>
    </w:p>
    <w:p w:rsidR="00365DE4" w:rsidRDefault="00365DE4" w:rsidP="00365DE4">
      <w:pPr>
        <w:pStyle w:val="a3"/>
      </w:pPr>
      <w:r>
        <w:t>? Anderson, A.</w:t>
      </w:r>
      <w:r w:rsidR="005853A9">
        <w:t xml:space="preserve"> and </w:t>
      </w:r>
      <w:r>
        <w:t xml:space="preserve">Singh, J.A. (2010), Pegloticase for chronic gout. </w:t>
      </w:r>
      <w:r>
        <w:rPr>
          <w:i/>
        </w:rPr>
        <w:t>Cochrane Database</w:t>
      </w:r>
      <w:r w:rsidR="00427468">
        <w:rPr>
          <w:i/>
        </w:rPr>
        <w:t xml:space="preserve"> of </w:t>
      </w:r>
      <w:r>
        <w:rPr>
          <w:i/>
        </w:rPr>
        <w:t>Systematic Reviews</w:t>
      </w:r>
      <w:r>
        <w:t xml:space="preserve">, </w:t>
      </w:r>
      <w:r>
        <w:rPr>
          <w:b/>
        </w:rPr>
        <w:t>3</w:t>
      </w:r>
      <w:r>
        <w:t>, Article Number: CD008335.</w:t>
      </w:r>
    </w:p>
    <w:p w:rsidR="00365DE4" w:rsidRDefault="00365DE4" w:rsidP="00365DE4">
      <w:pPr>
        <w:pStyle w:val="a3"/>
      </w:pPr>
      <w:r>
        <w:t xml:space="preserve">Full Text: </w:t>
      </w:r>
      <w:hyperlink r:id="rId589" w:history="1">
        <w:r>
          <w:rPr>
            <w:rStyle w:val="a5"/>
          </w:rPr>
          <w:t>2010\Coc Dat Sys Rev2010, CD008335.pdf</w:t>
        </w:r>
      </w:hyperlink>
    </w:p>
    <w:p w:rsidR="00365DE4" w:rsidRDefault="00365DE4" w:rsidP="00365DE4">
      <w:pPr>
        <w:pStyle w:val="a3"/>
        <w:rPr>
          <w:kern w:val="0"/>
        </w:rPr>
      </w:pPr>
      <w:r>
        <w:rPr>
          <w:kern w:val="0"/>
        </w:rPr>
        <w:t>? Treweek, S., Pitkethly, M., Cook, J., Kjeldstrom, M., Taskila, T., Johansen, M., Sullivan, F., Wilson, S., Jackson, C., Jones, R.</w:t>
      </w:r>
      <w:r w:rsidR="005853A9">
        <w:rPr>
          <w:kern w:val="0"/>
        </w:rPr>
        <w:t xml:space="preserve"> and </w:t>
      </w:r>
      <w:r>
        <w:rPr>
          <w:kern w:val="0"/>
        </w:rPr>
        <w:t xml:space="preserve">Mitchell, E. (2010), Strategies to improve recruitment to randomised controlled trials.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MR000013.</w:t>
      </w:r>
    </w:p>
    <w:p w:rsidR="00365DE4" w:rsidRDefault="00365DE4" w:rsidP="00365DE4">
      <w:pPr>
        <w:pStyle w:val="a3"/>
        <w:rPr>
          <w:kern w:val="2"/>
        </w:rPr>
      </w:pPr>
      <w:r>
        <w:t xml:space="preserve">Full Text: </w:t>
      </w:r>
      <w:hyperlink r:id="rId590" w:history="1">
        <w:r>
          <w:rPr>
            <w:rStyle w:val="a5"/>
          </w:rPr>
          <w:t>2010\Coc Dat Sys Rev2010, MR000013-1.pdf</w:t>
        </w:r>
      </w:hyperlink>
    </w:p>
    <w:p w:rsidR="00365DE4" w:rsidRDefault="00365DE4" w:rsidP="00365DE4">
      <w:pPr>
        <w:pStyle w:val="a3"/>
        <w:rPr>
          <w:kern w:val="0"/>
        </w:rPr>
      </w:pPr>
      <w:r>
        <w:rPr>
          <w:kern w:val="0"/>
        </w:rPr>
        <w:t>Abstract: Background Recruiting participants to trials can be extremely difficult. Identifying strategies that improve trial recruitment would benefit both trialists</w:t>
      </w:r>
      <w:r w:rsidR="005853A9">
        <w:rPr>
          <w:kern w:val="0"/>
        </w:rPr>
        <w:t xml:space="preserve"> and </w:t>
      </w:r>
      <w:r>
        <w:rPr>
          <w:kern w:val="0"/>
        </w:rPr>
        <w:t>health research. Objectives To quantify the effects</w:t>
      </w:r>
      <w:r w:rsidR="00427468">
        <w:rPr>
          <w:kern w:val="0"/>
        </w:rPr>
        <w:t xml:space="preserve"> of </w:t>
      </w:r>
      <w:r>
        <w:rPr>
          <w:kern w:val="0"/>
        </w:rPr>
        <w:t>strategies to improve recruitment</w:t>
      </w:r>
      <w:r w:rsidR="00427468">
        <w:rPr>
          <w:kern w:val="0"/>
        </w:rPr>
        <w:t xml:space="preserve"> of </w:t>
      </w:r>
      <w:r>
        <w:rPr>
          <w:kern w:val="0"/>
        </w:rPr>
        <w:t xml:space="preserve">participants to randomised controlled trials. Search strategy We searched the Cochrane Methodology Review Group Specialised Register - CMR (The Cochrane Library (online) Issue 1 2008) (searched 20 February 2008); </w:t>
      </w:r>
      <w:r w:rsidR="00D5664A">
        <w:rPr>
          <w:kern w:val="0"/>
        </w:rPr>
        <w:t>MEDLINE</w:t>
      </w:r>
      <w:r>
        <w:rPr>
          <w:kern w:val="0"/>
        </w:rPr>
        <w:t>, Ovid (1950 to date</w:t>
      </w:r>
      <w:r w:rsidR="00427468">
        <w:rPr>
          <w:kern w:val="0"/>
        </w:rPr>
        <w:t xml:space="preserve"> of </w:t>
      </w:r>
      <w:r>
        <w:rPr>
          <w:kern w:val="0"/>
        </w:rPr>
        <w:t>search) (searched 06 May 2008); EMBASE, Ovid (1980 to date</w:t>
      </w:r>
      <w:r w:rsidR="00427468">
        <w:rPr>
          <w:kern w:val="0"/>
        </w:rPr>
        <w:t xml:space="preserve"> of </w:t>
      </w:r>
      <w:r>
        <w:rPr>
          <w:kern w:val="0"/>
        </w:rPr>
        <w:t>search) (searched 16 May 2008); ERIC, CSA (1966 to date</w:t>
      </w:r>
      <w:r w:rsidR="00427468">
        <w:rPr>
          <w:kern w:val="0"/>
        </w:rPr>
        <w:t xml:space="preserve"> of </w:t>
      </w:r>
      <w:r>
        <w:rPr>
          <w:kern w:val="0"/>
        </w:rPr>
        <w:t xml:space="preserve">search) (searched 19 March 2008); Science Citation Index Expanded, ISI </w:t>
      </w:r>
      <w:r w:rsidR="00D5664A">
        <w:rPr>
          <w:kern w:val="0"/>
        </w:rPr>
        <w:t>Web</w:t>
      </w:r>
      <w:r w:rsidR="00427468">
        <w:rPr>
          <w:kern w:val="0"/>
        </w:rPr>
        <w:t xml:space="preserve"> of </w:t>
      </w:r>
      <w:r w:rsidR="00D5664A">
        <w:rPr>
          <w:kern w:val="0"/>
        </w:rPr>
        <w:t>Science</w:t>
      </w:r>
      <w:r>
        <w:rPr>
          <w:kern w:val="0"/>
        </w:rPr>
        <w:t xml:space="preserve"> (1975 to date</w:t>
      </w:r>
      <w:r w:rsidR="00427468">
        <w:rPr>
          <w:kern w:val="0"/>
        </w:rPr>
        <w:t xml:space="preserve"> of </w:t>
      </w:r>
      <w:r>
        <w:rPr>
          <w:kern w:val="0"/>
        </w:rPr>
        <w:t xml:space="preserve">search) (searched 19 March 2008); Social Sciences Citation Index, ISI </w:t>
      </w:r>
      <w:r w:rsidR="00D5664A">
        <w:rPr>
          <w:kern w:val="0"/>
        </w:rPr>
        <w:t>Web</w:t>
      </w:r>
      <w:r w:rsidR="00427468">
        <w:rPr>
          <w:kern w:val="0"/>
        </w:rPr>
        <w:t xml:space="preserve"> of </w:t>
      </w:r>
      <w:r w:rsidR="00D5664A">
        <w:rPr>
          <w:kern w:val="0"/>
        </w:rPr>
        <w:t>Science</w:t>
      </w:r>
      <w:r>
        <w:rPr>
          <w:kern w:val="0"/>
        </w:rPr>
        <w:t xml:space="preserve"> (1975 to date</w:t>
      </w:r>
      <w:r w:rsidR="00427468">
        <w:rPr>
          <w:kern w:val="0"/>
        </w:rPr>
        <w:t xml:space="preserve"> of </w:t>
      </w:r>
      <w:r>
        <w:rPr>
          <w:kern w:val="0"/>
        </w:rPr>
        <w:t>search) (searched 19 March 2008);</w:t>
      </w:r>
      <w:r w:rsidR="005853A9">
        <w:rPr>
          <w:kern w:val="0"/>
        </w:rPr>
        <w:t xml:space="preserve"> and </w:t>
      </w:r>
      <w:r>
        <w:rPr>
          <w:kern w:val="0"/>
        </w:rPr>
        <w:t>National Research Register (online) (Issue 3 2007) (searched 03 September 2007); C2-SPECTR (searched 09 April 2008). We also searched PUBMED (25 March 2008) to retrieve “related articles” for 15 studies included in a previous version</w:t>
      </w:r>
      <w:r w:rsidR="00427468">
        <w:rPr>
          <w:kern w:val="0"/>
        </w:rPr>
        <w:t xml:space="preserve"> of </w:t>
      </w:r>
      <w:r>
        <w:rPr>
          <w:kern w:val="0"/>
        </w:rPr>
        <w:t>this review. Selection criteria Randomised</w:t>
      </w:r>
      <w:r w:rsidR="005853A9">
        <w:rPr>
          <w:kern w:val="0"/>
        </w:rPr>
        <w:t xml:space="preserve"> and </w:t>
      </w:r>
      <w:r>
        <w:rPr>
          <w:kern w:val="0"/>
        </w:rPr>
        <w:t>quasi-randomised controlled trials</w:t>
      </w:r>
      <w:r w:rsidR="00427468">
        <w:rPr>
          <w:kern w:val="0"/>
        </w:rPr>
        <w:t xml:space="preserve"> of </w:t>
      </w:r>
      <w:r>
        <w:rPr>
          <w:kern w:val="0"/>
        </w:rPr>
        <w:t>methods to increase recruitment to randomised controlled trials. This includes non-healthcare studies</w:t>
      </w:r>
      <w:r w:rsidR="005853A9">
        <w:rPr>
          <w:kern w:val="0"/>
        </w:rPr>
        <w:t xml:space="preserve"> and </w:t>
      </w:r>
      <w:r>
        <w:rPr>
          <w:kern w:val="0"/>
        </w:rPr>
        <w:t>studies recruiting to hypothetical trials. Studies aiming to increase response rates to questionnaires or trial retention, or which evaluated incentives</w:t>
      </w:r>
      <w:r w:rsidR="005853A9">
        <w:rPr>
          <w:kern w:val="0"/>
        </w:rPr>
        <w:t xml:space="preserve"> and </w:t>
      </w:r>
      <w:r>
        <w:rPr>
          <w:kern w:val="0"/>
        </w:rPr>
        <w:t>disincentives for clinicians to recruit patients were excluded. Data collection</w:t>
      </w:r>
      <w:r w:rsidR="005853A9">
        <w:rPr>
          <w:kern w:val="0"/>
        </w:rPr>
        <w:t xml:space="preserve"> and </w:t>
      </w:r>
      <w:r>
        <w:rPr>
          <w:kern w:val="0"/>
        </w:rPr>
        <w:t>analysis Data were extracted on the method evaluated; country in which the study was carried out; nature</w:t>
      </w:r>
      <w:r w:rsidR="00427468">
        <w:rPr>
          <w:kern w:val="0"/>
        </w:rPr>
        <w:t xml:space="preserve"> of </w:t>
      </w:r>
      <w:r>
        <w:rPr>
          <w:kern w:val="0"/>
        </w:rPr>
        <w:t>the population; nature</w:t>
      </w:r>
      <w:r w:rsidR="00427468">
        <w:rPr>
          <w:kern w:val="0"/>
        </w:rPr>
        <w:t xml:space="preserve"> of </w:t>
      </w:r>
      <w:r>
        <w:rPr>
          <w:kern w:val="0"/>
        </w:rPr>
        <w:t>the study setting; nature</w:t>
      </w:r>
      <w:r w:rsidR="00427468">
        <w:rPr>
          <w:kern w:val="0"/>
        </w:rPr>
        <w:t xml:space="preserve"> of </w:t>
      </w:r>
      <w:r>
        <w:rPr>
          <w:kern w:val="0"/>
        </w:rPr>
        <w:t>the study to be recruited into; randomisation or quasi-randomisation method;</w:t>
      </w:r>
      <w:r w:rsidR="005853A9">
        <w:rPr>
          <w:kern w:val="0"/>
        </w:rPr>
        <w:t xml:space="preserve"> and </w:t>
      </w:r>
      <w:r>
        <w:rPr>
          <w:kern w:val="0"/>
        </w:rPr>
        <w:t>numbers</w:t>
      </w:r>
      <w:r w:rsidR="005853A9">
        <w:rPr>
          <w:kern w:val="0"/>
        </w:rPr>
        <w:t xml:space="preserve"> and </w:t>
      </w:r>
      <w:r>
        <w:rPr>
          <w:kern w:val="0"/>
        </w:rPr>
        <w:t>proportions in each intervention group. We used risk ratios</w:t>
      </w:r>
      <w:r w:rsidR="005853A9">
        <w:rPr>
          <w:kern w:val="0"/>
        </w:rPr>
        <w:t xml:space="preserve"> and </w:t>
      </w:r>
      <w:r>
        <w:rPr>
          <w:kern w:val="0"/>
        </w:rPr>
        <w:t>their 95% confidence intervals to describe the effects in individual trials,</w:t>
      </w:r>
      <w:r w:rsidR="005853A9">
        <w:rPr>
          <w:kern w:val="0"/>
        </w:rPr>
        <w:t xml:space="preserve"> and </w:t>
      </w:r>
      <w:r>
        <w:rPr>
          <w:kern w:val="0"/>
        </w:rPr>
        <w:lastRenderedPageBreak/>
        <w:t>assessed heterogeneity</w:t>
      </w:r>
      <w:r w:rsidR="00427468">
        <w:rPr>
          <w:kern w:val="0"/>
        </w:rPr>
        <w:t xml:space="preserve"> of </w:t>
      </w:r>
      <w:r>
        <w:rPr>
          <w:kern w:val="0"/>
        </w:rPr>
        <w:t>these ratios between trials. Main results We identified 27 eligible trials with more than 26,604 participants</w:t>
      </w:r>
      <w:r w:rsidR="00A37C1D">
        <w:rPr>
          <w:kern w:val="0"/>
        </w:rPr>
        <w:t>. The</w:t>
      </w:r>
      <w:r>
        <w:rPr>
          <w:kern w:val="0"/>
        </w:rPr>
        <w:t>re were 24 studies involving interventions aimed directly at trial participants, while three evaluated interventions aimed at people recruiting participants. All studies were in health care. Some interventions were effective in increasing recruitment: telephone reminders to non-respondents (RR 2.66, 95% CI 1.37 to 5.18), use</w:t>
      </w:r>
      <w:r w:rsidR="00427468">
        <w:rPr>
          <w:kern w:val="0"/>
        </w:rPr>
        <w:t xml:space="preserve"> of </w:t>
      </w:r>
      <w:r>
        <w:rPr>
          <w:kern w:val="0"/>
        </w:rPr>
        <w:t>opt-out, rather than opt-in, procedures for contacting potential trial participants (RR 1.39, 95% CI 1.06 to 1.84)</w:t>
      </w:r>
      <w:r w:rsidR="005853A9">
        <w:rPr>
          <w:kern w:val="0"/>
        </w:rPr>
        <w:t xml:space="preserve"> and </w:t>
      </w:r>
      <w:r>
        <w:rPr>
          <w:kern w:val="0"/>
        </w:rPr>
        <w:t>open designs where participants know which treatment they are receiving in the trial (RR 1.25, 95% CI 1.18 to 1.34). However, some</w:t>
      </w:r>
      <w:r w:rsidR="00427468">
        <w:rPr>
          <w:kern w:val="0"/>
        </w:rPr>
        <w:t xml:space="preserve"> of </w:t>
      </w:r>
      <w:r>
        <w:rPr>
          <w:kern w:val="0"/>
        </w:rPr>
        <w:t>these strategies have disadvantages, which may limit their widespread use. For example, opt-out procedures are controversial</w:t>
      </w:r>
      <w:r w:rsidR="005853A9">
        <w:rPr>
          <w:kern w:val="0"/>
        </w:rPr>
        <w:t xml:space="preserve"> and </w:t>
      </w:r>
      <w:r>
        <w:rPr>
          <w:kern w:val="0"/>
        </w:rPr>
        <w:t>open designs are by definition unblinded</w:t>
      </w:r>
      <w:r w:rsidR="00A37C1D">
        <w:rPr>
          <w:kern w:val="0"/>
        </w:rPr>
        <w:t>. The</w:t>
      </w:r>
      <w:r>
        <w:rPr>
          <w:kern w:val="0"/>
        </w:rPr>
        <w:t xml:space="preserve"> effects</w:t>
      </w:r>
      <w:r w:rsidR="00427468">
        <w:rPr>
          <w:kern w:val="0"/>
        </w:rPr>
        <w:t xml:space="preserve"> of </w:t>
      </w:r>
      <w:r>
        <w:rPr>
          <w:kern w:val="0"/>
        </w:rPr>
        <w:t>many other recruitment strategies are unclear; examples include the use</w:t>
      </w:r>
      <w:r w:rsidR="00427468">
        <w:rPr>
          <w:kern w:val="0"/>
        </w:rPr>
        <w:t xml:space="preserve"> of </w:t>
      </w:r>
      <w:r>
        <w:rPr>
          <w:kern w:val="0"/>
        </w:rPr>
        <w:t>video to provide trial information to potential participants</w:t>
      </w:r>
      <w:r w:rsidR="005853A9">
        <w:rPr>
          <w:kern w:val="0"/>
        </w:rPr>
        <w:t xml:space="preserve"> and </w:t>
      </w:r>
      <w:r>
        <w:rPr>
          <w:kern w:val="0"/>
        </w:rPr>
        <w:t>modifying the training</w:t>
      </w:r>
      <w:r w:rsidR="00427468">
        <w:rPr>
          <w:kern w:val="0"/>
        </w:rPr>
        <w:t xml:space="preserve"> of </w:t>
      </w:r>
      <w:r>
        <w:rPr>
          <w:kern w:val="0"/>
        </w:rPr>
        <w:t>recruiters. Many studies looked at recruitment to hypothetical trials</w:t>
      </w:r>
      <w:r w:rsidR="005853A9">
        <w:rPr>
          <w:kern w:val="0"/>
        </w:rPr>
        <w:t xml:space="preserve"> and </w:t>
      </w:r>
      <w:r>
        <w:rPr>
          <w:kern w:val="0"/>
        </w:rPr>
        <w:t>it is unclear how applicable these results are to real trials. Authors</w:t>
      </w:r>
      <w:r w:rsidR="0071223E">
        <w:rPr>
          <w:kern w:val="0"/>
        </w:rPr>
        <w:t>’</w:t>
      </w:r>
      <w:r>
        <w:rPr>
          <w:kern w:val="0"/>
        </w:rPr>
        <w:t xml:space="preserve"> conclusions Trialists can increase recruitment to their trials by using the strategies shown to be effective in this review: telephone reminders; use</w:t>
      </w:r>
      <w:r w:rsidR="00427468">
        <w:rPr>
          <w:kern w:val="0"/>
        </w:rPr>
        <w:t xml:space="preserve"> of </w:t>
      </w:r>
      <w:r>
        <w:rPr>
          <w:kern w:val="0"/>
        </w:rPr>
        <w:t>opt-out, rather than opt-in; procedures for contacting potential trial participants</w:t>
      </w:r>
      <w:r w:rsidR="005853A9">
        <w:rPr>
          <w:kern w:val="0"/>
        </w:rPr>
        <w:t xml:space="preserve"> and </w:t>
      </w:r>
      <w:r>
        <w:rPr>
          <w:kern w:val="0"/>
        </w:rPr>
        <w:t>open designs. Some strategies (e. g. open trial designs) need to be considered carefully before use because they also have disadvantages. For example, opt-out procedures are controversial</w:t>
      </w:r>
      <w:r w:rsidR="005853A9">
        <w:rPr>
          <w:kern w:val="0"/>
        </w:rPr>
        <w:t xml:space="preserve"> and </w:t>
      </w:r>
      <w:r>
        <w:rPr>
          <w:kern w:val="0"/>
        </w:rPr>
        <w:t>open designs are by definition unblinded.</w:t>
      </w:r>
    </w:p>
    <w:p w:rsidR="00365DE4" w:rsidRDefault="00365DE4" w:rsidP="00365DE4">
      <w:pPr>
        <w:pStyle w:val="a3"/>
        <w:rPr>
          <w:kern w:val="0"/>
        </w:rPr>
      </w:pPr>
      <w:r>
        <w:rPr>
          <w:kern w:val="0"/>
        </w:rPr>
        <w:t>Keywords: Authors, Breast-Cancer, Cancer-Patients, Citation, Clinical Trials as Topic, Clinical-Trials, Decision-Making, Hazardous Drinking, Health, Health Care, Heterogeneity, Humans, Informed-Consent Process, Injured Patients</w:t>
      </w:r>
      <w:r w:rsidR="00D5664A">
        <w:rPr>
          <w:kern w:val="0"/>
        </w:rPr>
        <w:t>, ISI,</w:t>
      </w:r>
      <w:r>
        <w:rPr>
          <w:kern w:val="0"/>
        </w:rPr>
        <w:t xml:space="preserve"> ISI Web, ISI </w:t>
      </w:r>
      <w:r w:rsidR="00D5664A">
        <w:rPr>
          <w:kern w:val="0"/>
        </w:rPr>
        <w:t>Web</w:t>
      </w:r>
      <w:r w:rsidR="00427468">
        <w:rPr>
          <w:kern w:val="0"/>
        </w:rPr>
        <w:t xml:space="preserve"> of </w:t>
      </w:r>
      <w:r w:rsidR="00D5664A">
        <w:rPr>
          <w:kern w:val="0"/>
        </w:rPr>
        <w:t>Science</w:t>
      </w:r>
      <w:r>
        <w:rPr>
          <w:kern w:val="0"/>
        </w:rPr>
        <w:t xml:space="preserve">, Medical-Research, </w:t>
      </w:r>
      <w:r w:rsidR="00D5664A">
        <w:rPr>
          <w:kern w:val="0"/>
        </w:rPr>
        <w:t>MEDLINE</w:t>
      </w:r>
      <w:r>
        <w:rPr>
          <w:kern w:val="0"/>
        </w:rPr>
        <w:t xml:space="preserve">, Methodology, Methods, Patient Education as Topic, Patient Recruitment, Patient Selection, Prevention Trial, Questionnaires, Randomized Controlled Trials As Topic, Research, Retention, Review, Risk, Sample Size, Science, Science Citation Index, Training,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MacLennan, S., Augood, C., Cash-Gibson, L., Logan, S.</w:t>
      </w:r>
      <w:r w:rsidR="005853A9">
        <w:rPr>
          <w:kern w:val="0"/>
        </w:rPr>
        <w:t xml:space="preserve"> and </w:t>
      </w:r>
      <w:r>
        <w:rPr>
          <w:kern w:val="0"/>
        </w:rPr>
        <w:t xml:space="preserve">Gilbert, R.E. (2010), Cisapride treatment for gastro-oesophageal reflux in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CD002300.</w:t>
      </w:r>
    </w:p>
    <w:p w:rsidR="00365DE4" w:rsidRDefault="00365DE4" w:rsidP="00365DE4">
      <w:pPr>
        <w:pStyle w:val="a3"/>
        <w:rPr>
          <w:kern w:val="2"/>
        </w:rPr>
      </w:pPr>
      <w:r>
        <w:t xml:space="preserve">Full Text: </w:t>
      </w:r>
      <w:hyperlink r:id="rId591" w:history="1">
        <w:r>
          <w:rPr>
            <w:rStyle w:val="a5"/>
          </w:rPr>
          <w:t>2010\Coc Dat Sys Rev2010, CD002300.pdf</w:t>
        </w:r>
      </w:hyperlink>
    </w:p>
    <w:p w:rsidR="00365DE4" w:rsidRDefault="00365DE4" w:rsidP="00365DE4">
      <w:pPr>
        <w:pStyle w:val="a3"/>
        <w:rPr>
          <w:kern w:val="0"/>
        </w:rPr>
      </w:pPr>
      <w:r>
        <w:rPr>
          <w:kern w:val="0"/>
        </w:rPr>
        <w:t>Abstract: Background Gastro-oesophageal reflux (GOR) is common</w:t>
      </w:r>
      <w:r w:rsidR="005853A9">
        <w:rPr>
          <w:kern w:val="0"/>
        </w:rPr>
        <w:t xml:space="preserve"> and </w:t>
      </w:r>
      <w:r>
        <w:rPr>
          <w:kern w:val="0"/>
        </w:rPr>
        <w:t>usually self-limiting in infants. Cisapride, a pro-kinetic agent, was commonly prescribed until reports</w:t>
      </w:r>
      <w:r w:rsidR="00427468">
        <w:rPr>
          <w:kern w:val="0"/>
        </w:rPr>
        <w:t xml:space="preserve"> of </w:t>
      </w:r>
      <w:r>
        <w:rPr>
          <w:kern w:val="0"/>
        </w:rPr>
        <w:t>possible serious adverse events were associated with its use. Objectives To determine the effectiveness</w:t>
      </w:r>
      <w:r w:rsidR="00427468">
        <w:rPr>
          <w:kern w:val="0"/>
        </w:rPr>
        <w:t xml:space="preserve"> of </w:t>
      </w:r>
      <w:r>
        <w:rPr>
          <w:kern w:val="0"/>
        </w:rPr>
        <w:t>cisapride versus placebo or non-surgical treatments for symptoms</w:t>
      </w:r>
      <w:r w:rsidR="00427468">
        <w:rPr>
          <w:kern w:val="0"/>
        </w:rPr>
        <w:t xml:space="preserve"> of </w:t>
      </w:r>
      <w:r>
        <w:rPr>
          <w:kern w:val="0"/>
        </w:rPr>
        <w:t>GOR. Search strategy We searched the Cochrane Upper Gastrointestinal</w:t>
      </w:r>
      <w:r w:rsidR="005853A9">
        <w:rPr>
          <w:kern w:val="0"/>
        </w:rPr>
        <w:t xml:space="preserve"> and </w:t>
      </w:r>
      <w:r>
        <w:rPr>
          <w:kern w:val="0"/>
        </w:rPr>
        <w:t>Pancreatic Diseases Group Specialised Register</w:t>
      </w:r>
      <w:r w:rsidR="005853A9">
        <w:rPr>
          <w:kern w:val="0"/>
        </w:rPr>
        <w:t xml:space="preserve"> </w:t>
      </w:r>
      <w:r w:rsidR="005853A9">
        <w:rPr>
          <w:kern w:val="0"/>
        </w:rPr>
        <w:lastRenderedPageBreak/>
        <w:t xml:space="preserve">and </w:t>
      </w:r>
      <w:r>
        <w:rPr>
          <w:kern w:val="0"/>
        </w:rPr>
        <w:t>Central Register</w:t>
      </w:r>
      <w:r w:rsidR="00427468">
        <w:rPr>
          <w:kern w:val="0"/>
        </w:rPr>
        <w:t xml:space="preserve"> of </w:t>
      </w:r>
      <w:r>
        <w:rPr>
          <w:kern w:val="0"/>
        </w:rPr>
        <w:t xml:space="preserve">Controlled Trials (CENTRAL), </w:t>
      </w:r>
      <w:r w:rsidR="00D5664A">
        <w:rPr>
          <w:kern w:val="0"/>
        </w:rPr>
        <w:t>MEDLINE</w:t>
      </w:r>
      <w:r w:rsidR="005853A9">
        <w:rPr>
          <w:kern w:val="0"/>
        </w:rPr>
        <w:t xml:space="preserve"> and </w:t>
      </w:r>
      <w:r>
        <w:rPr>
          <w:kern w:val="0"/>
        </w:rPr>
        <w:t>EMBASE, reference lists</w:t>
      </w:r>
      <w:r w:rsidR="00427468">
        <w:rPr>
          <w:kern w:val="0"/>
        </w:rPr>
        <w:t xml:space="preserve"> of </w:t>
      </w:r>
      <w:r>
        <w:rPr>
          <w:kern w:val="0"/>
        </w:rPr>
        <w:t>relevant review articles</w:t>
      </w:r>
      <w:r w:rsidR="005853A9">
        <w:rPr>
          <w:kern w:val="0"/>
        </w:rPr>
        <w:t xml:space="preserve"> and </w:t>
      </w:r>
      <w:r>
        <w:rPr>
          <w:kern w:val="0"/>
        </w:rPr>
        <w:t>searched in the Science Citation Index for all the trials identified. All searches were updated in February 2009. Selection criteria Randomised controlled trials comparing oral cisapride therapy with placebo or other non-surgical treatments for children diagnosed with GOR were included. We excluded trials with a majority</w:t>
      </w:r>
      <w:r w:rsidR="00427468">
        <w:rPr>
          <w:kern w:val="0"/>
        </w:rPr>
        <w:t xml:space="preserve"> of </w:t>
      </w:r>
      <w:r>
        <w:rPr>
          <w:kern w:val="0"/>
        </w:rPr>
        <w:t>participants less than 28 days</w:t>
      </w:r>
      <w:r w:rsidR="00427468">
        <w:rPr>
          <w:kern w:val="0"/>
        </w:rPr>
        <w:t xml:space="preserve"> of </w:t>
      </w:r>
      <w:r>
        <w:rPr>
          <w:kern w:val="0"/>
        </w:rPr>
        <w:t>age. Data collection</w:t>
      </w:r>
      <w:r w:rsidR="005853A9">
        <w:rPr>
          <w:kern w:val="0"/>
        </w:rPr>
        <w:t xml:space="preserve"> and </w:t>
      </w:r>
      <w:r>
        <w:rPr>
          <w:kern w:val="0"/>
        </w:rPr>
        <w:t>analysis Primary outcomes were a change in symptoms at the end</w:t>
      </w:r>
      <w:r w:rsidR="00427468">
        <w:rPr>
          <w:kern w:val="0"/>
        </w:rPr>
        <w:t xml:space="preserve"> of </w:t>
      </w:r>
      <w:r>
        <w:rPr>
          <w:kern w:val="0"/>
        </w:rPr>
        <w:t>treatment, presence</w:t>
      </w:r>
      <w:r w:rsidR="00427468">
        <w:rPr>
          <w:kern w:val="0"/>
        </w:rPr>
        <w:t xml:space="preserve"> of </w:t>
      </w:r>
      <w:r>
        <w:rPr>
          <w:kern w:val="0"/>
        </w:rPr>
        <w:t>adverse events, occurrence</w:t>
      </w:r>
      <w:r w:rsidR="00427468">
        <w:rPr>
          <w:kern w:val="0"/>
        </w:rPr>
        <w:t xml:space="preserve"> of </w:t>
      </w:r>
      <w:r>
        <w:rPr>
          <w:kern w:val="0"/>
        </w:rPr>
        <w:t>clinical complications</w:t>
      </w:r>
      <w:r w:rsidR="005853A9">
        <w:rPr>
          <w:kern w:val="0"/>
        </w:rPr>
        <w:t xml:space="preserve"> and </w:t>
      </w:r>
      <w:r>
        <w:rPr>
          <w:kern w:val="0"/>
        </w:rPr>
        <w:t>weight gain. Secondary outcomes included physiological measures</w:t>
      </w:r>
      <w:r w:rsidR="00427468">
        <w:rPr>
          <w:kern w:val="0"/>
        </w:rPr>
        <w:t xml:space="preserve"> of </w:t>
      </w:r>
      <w:r>
        <w:rPr>
          <w:kern w:val="0"/>
        </w:rPr>
        <w:t>GOR or histological evidence</w:t>
      </w:r>
      <w:r w:rsidR="00427468">
        <w:rPr>
          <w:kern w:val="0"/>
        </w:rPr>
        <w:t xml:space="preserve"> of </w:t>
      </w:r>
      <w:r>
        <w:rPr>
          <w:kern w:val="0"/>
        </w:rPr>
        <w:t xml:space="preserve">oesophagitis. We dichotomised symptoms into </w:t>
      </w:r>
      <w:r w:rsidR="0071223E">
        <w:rPr>
          <w:kern w:val="0"/>
        </w:rPr>
        <w:t>‘</w:t>
      </w:r>
      <w:r>
        <w:rPr>
          <w:kern w:val="0"/>
        </w:rPr>
        <w:t>same or worse</w:t>
      </w:r>
      <w:r w:rsidR="0071223E">
        <w:rPr>
          <w:kern w:val="0"/>
        </w:rPr>
        <w:t>’</w:t>
      </w:r>
      <w:r>
        <w:rPr>
          <w:kern w:val="0"/>
        </w:rPr>
        <w:t xml:space="preserve"> versus </w:t>
      </w:r>
      <w:r w:rsidR="0071223E">
        <w:rPr>
          <w:kern w:val="0"/>
        </w:rPr>
        <w:t>‘</w:t>
      </w:r>
      <w:r>
        <w:rPr>
          <w:kern w:val="0"/>
        </w:rPr>
        <w:t>improved</w:t>
      </w:r>
      <w:r w:rsidR="0071223E">
        <w:rPr>
          <w:kern w:val="0"/>
        </w:rPr>
        <w:t>’</w:t>
      </w:r>
      <w:r w:rsidR="005853A9">
        <w:rPr>
          <w:kern w:val="0"/>
        </w:rPr>
        <w:t xml:space="preserve"> and </w:t>
      </w:r>
      <w:r>
        <w:rPr>
          <w:kern w:val="0"/>
        </w:rPr>
        <w:t>calculated summary odds ratios (OR). Continuous measures</w:t>
      </w:r>
      <w:r w:rsidR="00427468">
        <w:rPr>
          <w:kern w:val="0"/>
        </w:rPr>
        <w:t xml:space="preserve"> of </w:t>
      </w:r>
      <w:r>
        <w:rPr>
          <w:kern w:val="0"/>
        </w:rPr>
        <w:t>GOR (for example reflux index) were summarised as a weighted mean difference. All outcomes were analysed using a random-effects method. Main results Ten trials in total met the inclusion criteria. Nine trials compared cisapride with placebo or no treatment,</w:t>
      </w:r>
      <w:r w:rsidR="00427468">
        <w:rPr>
          <w:kern w:val="0"/>
        </w:rPr>
        <w:t xml:space="preserve"> of </w:t>
      </w:r>
      <w:r>
        <w:rPr>
          <w:kern w:val="0"/>
        </w:rPr>
        <w:t>which eight (262 participants) reported data on symptoms</w:t>
      </w:r>
      <w:r w:rsidR="00427468">
        <w:rPr>
          <w:kern w:val="0"/>
        </w:rPr>
        <w:t xml:space="preserve"> of </w:t>
      </w:r>
      <w:r>
        <w:rPr>
          <w:kern w:val="0"/>
        </w:rPr>
        <w:t>gastro-oesophageal reflux</w:t>
      </w:r>
      <w:r w:rsidR="00A37C1D">
        <w:rPr>
          <w:kern w:val="0"/>
        </w:rPr>
        <w:t>. The</w:t>
      </w:r>
      <w:r>
        <w:rPr>
          <w:kern w:val="0"/>
        </w:rPr>
        <w:t xml:space="preserve">re was no statistically significant difference between the two interventions (OR 0.34; 95% CI 0.10 to 1.19) for </w:t>
      </w:r>
      <w:r w:rsidR="0071223E">
        <w:rPr>
          <w:kern w:val="0"/>
        </w:rPr>
        <w:t>‘</w:t>
      </w:r>
      <w:r>
        <w:rPr>
          <w:kern w:val="0"/>
        </w:rPr>
        <w:t>same or worse</w:t>
      </w:r>
      <w:r w:rsidR="0071223E">
        <w:rPr>
          <w:kern w:val="0"/>
        </w:rPr>
        <w:t>’</w:t>
      </w:r>
      <w:r>
        <w:rPr>
          <w:kern w:val="0"/>
        </w:rPr>
        <w:t xml:space="preserve"> versus </w:t>
      </w:r>
      <w:r w:rsidR="0071223E">
        <w:rPr>
          <w:kern w:val="0"/>
        </w:rPr>
        <w:t>‘</w:t>
      </w:r>
      <w:r>
        <w:rPr>
          <w:kern w:val="0"/>
        </w:rPr>
        <w:t>improved symptoms</w:t>
      </w:r>
      <w:r w:rsidR="0071223E">
        <w:rPr>
          <w:kern w:val="0"/>
        </w:rPr>
        <w:t>’</w:t>
      </w:r>
      <w:r>
        <w:rPr>
          <w:kern w:val="0"/>
        </w:rPr>
        <w:t xml:space="preserve"> at the end</w:t>
      </w:r>
      <w:r w:rsidR="00427468">
        <w:rPr>
          <w:kern w:val="0"/>
        </w:rPr>
        <w:t xml:space="preserve"> of </w:t>
      </w:r>
      <w:r>
        <w:rPr>
          <w:kern w:val="0"/>
        </w:rPr>
        <w:t>treatment</w:t>
      </w:r>
      <w:r w:rsidR="00A37C1D">
        <w:rPr>
          <w:kern w:val="0"/>
        </w:rPr>
        <w:t>. The</w:t>
      </w:r>
      <w:r>
        <w:rPr>
          <w:kern w:val="0"/>
        </w:rPr>
        <w:t>re was significant heterogeneity between the studies, suggesting publication bias. Four studies reported adverse events (mainly diarrhoea); this difference was not statistically significant (OR 1.80; 95% CI 0.87 to 3.70). Another trial found no difference in the electrocardiographic QTc interval after three to eight weeks</w:t>
      </w:r>
      <w:r w:rsidR="00427468">
        <w:rPr>
          <w:kern w:val="0"/>
        </w:rPr>
        <w:t xml:space="preserve"> of </w:t>
      </w:r>
      <w:r>
        <w:rPr>
          <w:kern w:val="0"/>
        </w:rPr>
        <w:t>treatment. Cisapride significantly reduced the reflux index (weighted mean difference 6.49; 95% CI -10.13 to -2.85; P = 0.0005). Other measures</w:t>
      </w:r>
      <w:r w:rsidR="00427468">
        <w:rPr>
          <w:kern w:val="0"/>
        </w:rPr>
        <w:t xml:space="preserve"> of </w:t>
      </w:r>
      <w:r>
        <w:rPr>
          <w:kern w:val="0"/>
        </w:rPr>
        <w:t>oesophageal pH monitoring did not reach significance. One included study compared cisapride with Gaviscon (with no statistically significant difference). One small study found no evidence</w:t>
      </w:r>
      <w:r w:rsidR="00427468">
        <w:rPr>
          <w:kern w:val="0"/>
        </w:rPr>
        <w:t xml:space="preserve"> of </w:t>
      </w:r>
      <w:r>
        <w:rPr>
          <w:kern w:val="0"/>
        </w:rPr>
        <w:t>benefit on frequency</w:t>
      </w:r>
      <w:r w:rsidR="00427468">
        <w:rPr>
          <w:kern w:val="0"/>
        </w:rPr>
        <w:t xml:space="preserve"> of </w:t>
      </w:r>
      <w:r>
        <w:rPr>
          <w:kern w:val="0"/>
        </w:rPr>
        <w:t>regurgitation or weight gain after treatment with cisapride versus no treatment, carob bean or corn syrup thickeners. Authors</w:t>
      </w:r>
      <w:r w:rsidR="0071223E">
        <w:rPr>
          <w:kern w:val="0"/>
        </w:rPr>
        <w:t>’</w:t>
      </w:r>
      <w:r>
        <w:rPr>
          <w:kern w:val="0"/>
        </w:rPr>
        <w:t xml:space="preserve"> conclusions We found no clear evidence that cisapride reduces symptoms</w:t>
      </w:r>
      <w:r w:rsidR="00427468">
        <w:rPr>
          <w:kern w:val="0"/>
        </w:rPr>
        <w:t xml:space="preserve"> of </w:t>
      </w:r>
      <w:r>
        <w:rPr>
          <w:kern w:val="0"/>
        </w:rPr>
        <w:t>GOR. Due to reports</w:t>
      </w:r>
      <w:r w:rsidR="00427468">
        <w:rPr>
          <w:kern w:val="0"/>
        </w:rPr>
        <w:t xml:space="preserve"> of </w:t>
      </w:r>
      <w:r>
        <w:rPr>
          <w:kern w:val="0"/>
        </w:rPr>
        <w:t xml:space="preserve">fatal cardiac arrhythmias or sudden death, from July 2000 in the </w:t>
      </w:r>
      <w:r w:rsidR="00D5664A">
        <w:rPr>
          <w:kern w:val="0"/>
        </w:rPr>
        <w:t>USA</w:t>
      </w:r>
      <w:r w:rsidR="005853A9">
        <w:rPr>
          <w:kern w:val="0"/>
        </w:rPr>
        <w:t xml:space="preserve"> and </w:t>
      </w:r>
      <w:r>
        <w:rPr>
          <w:kern w:val="0"/>
        </w:rPr>
        <w:t>Europe cisapride was restricted to a limited access programme supervised by a paediatric gastrologist.</w:t>
      </w:r>
    </w:p>
    <w:p w:rsidR="00365DE4" w:rsidRDefault="00365DE4" w:rsidP="00365DE4">
      <w:pPr>
        <w:pStyle w:val="a3"/>
        <w:rPr>
          <w:kern w:val="0"/>
        </w:rPr>
      </w:pPr>
      <w:r>
        <w:rPr>
          <w:kern w:val="0"/>
        </w:rPr>
        <w:t xml:space="preserve">Keywords: 100 Babies, Anti-Ulcer Agents [Therapeutic Use], Articles, Authors, Bias, Children, Cisapride [Therapeutic Use], Citation, Disease, Double-Blind, Esophageal PH, Europe, Feed Intolerance, Gastroesophageal Reflux [Drug Therapy], Gastrointestinal Agents [Therapeutic Use], Heterogeneity, Humans, Infant, </w:t>
      </w:r>
      <w:r w:rsidR="00D5664A">
        <w:rPr>
          <w:kern w:val="0"/>
        </w:rPr>
        <w:t>MEDLINE</w:t>
      </w:r>
      <w:r>
        <w:rPr>
          <w:kern w:val="0"/>
        </w:rPr>
        <w:t xml:space="preserve">, Newborn, Occurrence, pH, Placebo, Placebo-Controlled Therapy, Predictive-Value, Preterm Infants, Publication, Publication Bias, Randomized Controlled Trials As Topic, Randomized Controlled-Trial, Review, Science, Science </w:t>
      </w:r>
      <w:r>
        <w:rPr>
          <w:kern w:val="0"/>
        </w:rPr>
        <w:lastRenderedPageBreak/>
        <w:t xml:space="preserve">Citation Index, Symptoms, Treatment, </w:t>
      </w:r>
      <w:r w:rsidR="00D5664A">
        <w:rPr>
          <w:kern w:val="0"/>
        </w:rPr>
        <w:t>USA</w:t>
      </w:r>
    </w:p>
    <w:p w:rsidR="00365DE4" w:rsidRDefault="00365DE4" w:rsidP="00365DE4">
      <w:pPr>
        <w:pStyle w:val="a3"/>
        <w:rPr>
          <w:kern w:val="0"/>
        </w:rPr>
      </w:pPr>
      <w:r>
        <w:rPr>
          <w:kern w:val="0"/>
        </w:rPr>
        <w:t>? Ziganshina, L.E., Abakumova, T.</w:t>
      </w:r>
      <w:r w:rsidR="005853A9">
        <w:rPr>
          <w:kern w:val="0"/>
        </w:rPr>
        <w:t xml:space="preserve"> and </w:t>
      </w:r>
      <w:r>
        <w:rPr>
          <w:kern w:val="0"/>
        </w:rPr>
        <w:t xml:space="preserve">Kuchaeva, A. (2010), Cerebrolysin for acute ischaemic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CD007026.</w:t>
      </w:r>
    </w:p>
    <w:p w:rsidR="00365DE4" w:rsidRDefault="00365DE4" w:rsidP="00365DE4">
      <w:pPr>
        <w:pStyle w:val="a3"/>
        <w:rPr>
          <w:kern w:val="2"/>
        </w:rPr>
      </w:pPr>
      <w:r>
        <w:t xml:space="preserve">Full Text: </w:t>
      </w:r>
      <w:hyperlink r:id="rId592" w:history="1">
        <w:r>
          <w:rPr>
            <w:rStyle w:val="a5"/>
          </w:rPr>
          <w:t>2010\Coc Dat Sys Rev2010, CD007026.pdf</w:t>
        </w:r>
      </w:hyperlink>
    </w:p>
    <w:p w:rsidR="00365DE4" w:rsidRDefault="00365DE4" w:rsidP="00365DE4">
      <w:pPr>
        <w:pStyle w:val="a3"/>
        <w:rPr>
          <w:kern w:val="0"/>
        </w:rPr>
      </w:pPr>
      <w:r>
        <w:rPr>
          <w:kern w:val="0"/>
        </w:rPr>
        <w:t>Abstract: Background Cerebrolysin is a mixture</w:t>
      </w:r>
      <w:r w:rsidR="00427468">
        <w:rPr>
          <w:kern w:val="0"/>
        </w:rPr>
        <w:t xml:space="preserve"> of </w:t>
      </w:r>
      <w:r>
        <w:rPr>
          <w:kern w:val="0"/>
        </w:rPr>
        <w:t>low-molecular-weight peptides</w:t>
      </w:r>
      <w:r w:rsidR="005853A9">
        <w:rPr>
          <w:kern w:val="0"/>
        </w:rPr>
        <w:t xml:space="preserve"> and </w:t>
      </w:r>
      <w:r>
        <w:rPr>
          <w:kern w:val="0"/>
        </w:rPr>
        <w:t>amino acids derived from pigs</w:t>
      </w:r>
      <w:r w:rsidR="0071223E">
        <w:rPr>
          <w:kern w:val="0"/>
        </w:rPr>
        <w:t>’</w:t>
      </w:r>
      <w:r>
        <w:rPr>
          <w:kern w:val="0"/>
        </w:rPr>
        <w:t xml:space="preserve"> brain tissue which has proposed neuroprotective</w:t>
      </w:r>
      <w:r w:rsidR="005853A9">
        <w:rPr>
          <w:kern w:val="0"/>
        </w:rPr>
        <w:t xml:space="preserve"> and </w:t>
      </w:r>
      <w:r>
        <w:rPr>
          <w:kern w:val="0"/>
        </w:rPr>
        <w:t>neurotrophic properties. It is widely used in the treatment</w:t>
      </w:r>
      <w:r w:rsidR="00427468">
        <w:rPr>
          <w:kern w:val="0"/>
        </w:rPr>
        <w:t xml:space="preserve"> of </w:t>
      </w:r>
      <w:r>
        <w:rPr>
          <w:kern w:val="0"/>
        </w:rPr>
        <w:t>acute ischaemic stroke in Russia</w:t>
      </w:r>
      <w:r w:rsidR="005853A9">
        <w:rPr>
          <w:kern w:val="0"/>
        </w:rPr>
        <w:t xml:space="preserve"> and </w:t>
      </w:r>
      <w:r>
        <w:rPr>
          <w:kern w:val="0"/>
        </w:rPr>
        <w:t>China. Objectives To assess the benefits</w:t>
      </w:r>
      <w:r w:rsidR="005853A9">
        <w:rPr>
          <w:kern w:val="0"/>
        </w:rPr>
        <w:t xml:space="preserve"> and </w:t>
      </w:r>
      <w:r>
        <w:rPr>
          <w:kern w:val="0"/>
        </w:rPr>
        <w:t>risks</w:t>
      </w:r>
      <w:r w:rsidR="00427468">
        <w:rPr>
          <w:kern w:val="0"/>
        </w:rPr>
        <w:t xml:space="preserve"> of </w:t>
      </w:r>
      <w:r>
        <w:rPr>
          <w:kern w:val="0"/>
        </w:rPr>
        <w:t>cerebrolysin for treating acute ischaemic stroke. Search strategy We searched the Cochrane Stroke Group Trials Register (February 2009), the Cochrane Central Register</w:t>
      </w:r>
      <w:r w:rsidR="00427468">
        <w:rPr>
          <w:kern w:val="0"/>
        </w:rPr>
        <w:t xml:space="preserve"> of </w:t>
      </w:r>
      <w:r>
        <w:rPr>
          <w:kern w:val="0"/>
        </w:rPr>
        <w:t xml:space="preserve">Controlled Trials (CENTRAL) (The Cochrane Library Issue 1, 2009), </w:t>
      </w:r>
      <w:r w:rsidR="00D5664A">
        <w:rPr>
          <w:kern w:val="0"/>
        </w:rPr>
        <w:t>MEDLINE</w:t>
      </w:r>
      <w:r>
        <w:rPr>
          <w:kern w:val="0"/>
        </w:rPr>
        <w:t xml:space="preserve"> (1966 to February 2009), EMBASE (1974 to February 2009), LILACS (1982 to February 2009), Science Citation Index (1940 to February 2009), SIGLE Archive (1980 to March 2005),</w:t>
      </w:r>
      <w:r w:rsidR="005853A9">
        <w:rPr>
          <w:kern w:val="0"/>
        </w:rPr>
        <w:t xml:space="preserve"> and </w:t>
      </w:r>
      <w:r>
        <w:rPr>
          <w:kern w:val="0"/>
        </w:rPr>
        <w:t>a number</w:t>
      </w:r>
      <w:r w:rsidR="00427468">
        <w:rPr>
          <w:kern w:val="0"/>
        </w:rPr>
        <w:t xml:space="preserve"> of </w:t>
      </w:r>
      <w:r>
        <w:rPr>
          <w:kern w:val="0"/>
        </w:rPr>
        <w:t>relevant Russian Databases (1988 to February 2009). We also searched reference lists, ongoing trials registers</w:t>
      </w:r>
      <w:r w:rsidR="005853A9">
        <w:rPr>
          <w:kern w:val="0"/>
        </w:rPr>
        <w:t xml:space="preserve"> and </w:t>
      </w:r>
      <w:r>
        <w:rPr>
          <w:kern w:val="0"/>
        </w:rPr>
        <w:t>conference proceedings. Selection criteria Randomised controlled trials comparing cerebrolysin with placebo or no treatment in patients with acute ischaemic stroke. Data collection</w:t>
      </w:r>
      <w:r w:rsidR="005853A9">
        <w:rPr>
          <w:kern w:val="0"/>
        </w:rPr>
        <w:t xml:space="preserve"> and </w:t>
      </w:r>
      <w:r>
        <w:rPr>
          <w:kern w:val="0"/>
        </w:rPr>
        <w:t>analysis Three review authors independently applied the inclusion criteria, assessed trial quality</w:t>
      </w:r>
      <w:r w:rsidR="005853A9">
        <w:rPr>
          <w:kern w:val="0"/>
        </w:rPr>
        <w:t xml:space="preserve"> and </w:t>
      </w:r>
      <w:r>
        <w:rPr>
          <w:kern w:val="0"/>
        </w:rPr>
        <w:t>extracted the data. Main results We included one trial involving 146 participants</w:t>
      </w:r>
      <w:r w:rsidR="00A37C1D">
        <w:rPr>
          <w:kern w:val="0"/>
        </w:rPr>
        <w:t>. The</w:t>
      </w:r>
      <w:r>
        <w:rPr>
          <w:kern w:val="0"/>
        </w:rPr>
        <w:t>re was no difference in death (6/78 in the cerebrolysin group versus 6/68 in the placebo group; risk ratio (RR) 0.87, 95% confidence interval (CI) 0.29 to 2.58) or in the total number</w:t>
      </w:r>
      <w:r w:rsidR="00427468">
        <w:rPr>
          <w:kern w:val="0"/>
        </w:rPr>
        <w:t xml:space="preserve"> of </w:t>
      </w:r>
      <w:r>
        <w:rPr>
          <w:kern w:val="0"/>
        </w:rPr>
        <w:t>adverse events (16.4% versus 10.3%; RR 1.62, 95% CI 0.69 to 3.82) between the treatment</w:t>
      </w:r>
      <w:r w:rsidR="005853A9">
        <w:rPr>
          <w:kern w:val="0"/>
        </w:rPr>
        <w:t xml:space="preserve"> and </w:t>
      </w:r>
      <w:r>
        <w:rPr>
          <w:kern w:val="0"/>
        </w:rPr>
        <w:t>control groups. Authors</w:t>
      </w:r>
      <w:r w:rsidR="0071223E">
        <w:rPr>
          <w:kern w:val="0"/>
        </w:rPr>
        <w:t>’</w:t>
      </w:r>
      <w:r>
        <w:rPr>
          <w:kern w:val="0"/>
        </w:rPr>
        <w:t xml:space="preserve"> conclusions There is not enough evidence to evaluate the effect</w:t>
      </w:r>
      <w:r w:rsidR="00427468">
        <w:rPr>
          <w:kern w:val="0"/>
        </w:rPr>
        <w:t xml:space="preserve"> of </w:t>
      </w:r>
      <w:r>
        <w:rPr>
          <w:kern w:val="0"/>
        </w:rPr>
        <w:t>cerebrolysin on survival</w:t>
      </w:r>
      <w:r w:rsidR="005853A9">
        <w:rPr>
          <w:kern w:val="0"/>
        </w:rPr>
        <w:t xml:space="preserve"> and </w:t>
      </w:r>
      <w:r>
        <w:rPr>
          <w:kern w:val="0"/>
        </w:rPr>
        <w:t>dependency in people with acute ischaemic stroke. High-quality</w:t>
      </w:r>
      <w:r w:rsidR="005853A9">
        <w:rPr>
          <w:kern w:val="0"/>
        </w:rPr>
        <w:t xml:space="preserve"> and </w:t>
      </w:r>
      <w:r>
        <w:rPr>
          <w:kern w:val="0"/>
        </w:rPr>
        <w:t>large-scale randomised controlled trials may help to gain a better understanding</w:t>
      </w:r>
      <w:r w:rsidR="00427468">
        <w:rPr>
          <w:kern w:val="0"/>
        </w:rPr>
        <w:t xml:space="preserve"> of </w:t>
      </w:r>
      <w:r>
        <w:rPr>
          <w:kern w:val="0"/>
        </w:rPr>
        <w:t>the potential value</w:t>
      </w:r>
      <w:r w:rsidR="00427468">
        <w:rPr>
          <w:kern w:val="0"/>
        </w:rPr>
        <w:t xml:space="preserve"> of </w:t>
      </w:r>
      <w:r>
        <w:rPr>
          <w:kern w:val="0"/>
        </w:rPr>
        <w:t>cerebrolysin in acute ischaemic stroke.</w:t>
      </w:r>
    </w:p>
    <w:p w:rsidR="00365DE4" w:rsidRDefault="00365DE4" w:rsidP="00365DE4">
      <w:pPr>
        <w:pStyle w:val="a3"/>
        <w:rPr>
          <w:kern w:val="0"/>
        </w:rPr>
      </w:pPr>
      <w:r>
        <w:rPr>
          <w:kern w:val="0"/>
        </w:rPr>
        <w:t xml:space="preserve">Keywords: Authors, China, Citation, Databases, Groups, </w:t>
      </w:r>
      <w:r w:rsidR="00D5664A">
        <w:rPr>
          <w:kern w:val="0"/>
        </w:rPr>
        <w:t>MEDLINE</w:t>
      </w:r>
      <w:r>
        <w:rPr>
          <w:kern w:val="0"/>
        </w:rPr>
        <w:t>, Neuroprotection, Placebo, Review, Risk, Science, Science Citation Index, Treatment</w:t>
      </w:r>
    </w:p>
    <w:p w:rsidR="00365DE4" w:rsidRDefault="00365DE4" w:rsidP="00365DE4">
      <w:pPr>
        <w:pStyle w:val="a3"/>
        <w:rPr>
          <w:kern w:val="0"/>
        </w:rPr>
      </w:pPr>
      <w:r>
        <w:rPr>
          <w:kern w:val="0"/>
        </w:rPr>
        <w:t>? Opiyo, N.</w:t>
      </w:r>
      <w:r w:rsidR="005853A9">
        <w:rPr>
          <w:kern w:val="0"/>
        </w:rPr>
        <w:t xml:space="preserve"> and </w:t>
      </w:r>
      <w:r>
        <w:rPr>
          <w:kern w:val="0"/>
        </w:rPr>
        <w:t>English, M. (2010), In-service training for health professionals to improve care</w:t>
      </w:r>
      <w:r w:rsidR="00427468">
        <w:rPr>
          <w:kern w:val="0"/>
        </w:rPr>
        <w:t xml:space="preserve"> of </w:t>
      </w:r>
      <w:r>
        <w:rPr>
          <w:kern w:val="0"/>
        </w:rPr>
        <w:t>the seriously ill newborn or child in low</w:t>
      </w:r>
      <w:r w:rsidR="005853A9">
        <w:rPr>
          <w:kern w:val="0"/>
        </w:rPr>
        <w:t xml:space="preserve"> and </w:t>
      </w:r>
      <w:r>
        <w:rPr>
          <w:kern w:val="0"/>
        </w:rPr>
        <w:t xml:space="preserve">middle-income countries (Review).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CD007071.</w:t>
      </w:r>
    </w:p>
    <w:p w:rsidR="00365DE4" w:rsidRDefault="00365DE4" w:rsidP="00365DE4">
      <w:pPr>
        <w:pStyle w:val="a3"/>
        <w:rPr>
          <w:kern w:val="2"/>
        </w:rPr>
      </w:pPr>
      <w:r>
        <w:t xml:space="preserve">Full Text: </w:t>
      </w:r>
      <w:hyperlink r:id="rId593" w:history="1">
        <w:r>
          <w:rPr>
            <w:rStyle w:val="a5"/>
          </w:rPr>
          <w:t>2010\Coc Dat Sys Rev2010, CD007071.pdf</w:t>
        </w:r>
      </w:hyperlink>
    </w:p>
    <w:p w:rsidR="00365DE4" w:rsidRDefault="00365DE4" w:rsidP="00365DE4">
      <w:pPr>
        <w:pStyle w:val="a3"/>
        <w:rPr>
          <w:kern w:val="0"/>
        </w:rPr>
      </w:pPr>
      <w:r>
        <w:rPr>
          <w:kern w:val="0"/>
        </w:rPr>
        <w:t>Abstract: Background A variety</w:t>
      </w:r>
      <w:r w:rsidR="00427468">
        <w:rPr>
          <w:kern w:val="0"/>
        </w:rPr>
        <w:t xml:space="preserve"> of </w:t>
      </w:r>
      <w:r>
        <w:rPr>
          <w:kern w:val="0"/>
        </w:rPr>
        <w:t>emergency care training courses based on developed country models are being promoted as a strategy to improve the quality</w:t>
      </w:r>
      <w:r w:rsidR="00427468">
        <w:rPr>
          <w:kern w:val="0"/>
        </w:rPr>
        <w:t xml:space="preserve"> of </w:t>
      </w:r>
      <w:r>
        <w:rPr>
          <w:kern w:val="0"/>
        </w:rPr>
        <w:t>care</w:t>
      </w:r>
      <w:r w:rsidR="00427468">
        <w:rPr>
          <w:kern w:val="0"/>
        </w:rPr>
        <w:t xml:space="preserve"> of </w:t>
      </w:r>
      <w:r>
        <w:rPr>
          <w:kern w:val="0"/>
        </w:rPr>
        <w:t>the seriously ill newborn or child in developing countries. Clear evidence</w:t>
      </w:r>
      <w:r w:rsidR="00427468">
        <w:rPr>
          <w:kern w:val="0"/>
        </w:rPr>
        <w:t xml:space="preserve"> of </w:t>
      </w:r>
      <w:r>
        <w:rPr>
          <w:kern w:val="0"/>
        </w:rPr>
        <w:t>their effectiveness is lacking. Objectives To investigate the effectiveness</w:t>
      </w:r>
      <w:r w:rsidR="00427468">
        <w:rPr>
          <w:kern w:val="0"/>
        </w:rPr>
        <w:t xml:space="preserve"> of </w:t>
      </w:r>
      <w:r>
        <w:rPr>
          <w:kern w:val="0"/>
        </w:rPr>
        <w:t xml:space="preserve">in-service </w:t>
      </w:r>
      <w:r>
        <w:rPr>
          <w:kern w:val="0"/>
        </w:rPr>
        <w:lastRenderedPageBreak/>
        <w:t>training</w:t>
      </w:r>
      <w:r w:rsidR="00427468">
        <w:rPr>
          <w:kern w:val="0"/>
        </w:rPr>
        <w:t xml:space="preserve"> of </w:t>
      </w:r>
      <w:r>
        <w:rPr>
          <w:kern w:val="0"/>
        </w:rPr>
        <w:t>health professionals on their management</w:t>
      </w:r>
      <w:r w:rsidR="005853A9">
        <w:rPr>
          <w:kern w:val="0"/>
        </w:rPr>
        <w:t xml:space="preserve"> and </w:t>
      </w:r>
      <w:r>
        <w:rPr>
          <w:kern w:val="0"/>
        </w:rPr>
        <w:t>care</w:t>
      </w:r>
      <w:r w:rsidR="00427468">
        <w:rPr>
          <w:kern w:val="0"/>
        </w:rPr>
        <w:t xml:space="preserve"> of </w:t>
      </w:r>
      <w:r>
        <w:rPr>
          <w:kern w:val="0"/>
        </w:rPr>
        <w:t>the seriously ill newborn or child in low</w:t>
      </w:r>
      <w:r w:rsidR="005853A9">
        <w:rPr>
          <w:kern w:val="0"/>
        </w:rPr>
        <w:t xml:space="preserve"> and </w:t>
      </w:r>
      <w:r>
        <w:rPr>
          <w:kern w:val="0"/>
        </w:rPr>
        <w:t>middle-income settings. Search strategy We searched The Cochrane Register</w:t>
      </w:r>
      <w:r w:rsidR="00427468">
        <w:rPr>
          <w:kern w:val="0"/>
        </w:rPr>
        <w:t xml:space="preserve"> of </w:t>
      </w:r>
      <w:r>
        <w:rPr>
          <w:kern w:val="0"/>
        </w:rPr>
        <w:t>Controlled Trials (CENTRAL), the Specialised Register</w:t>
      </w:r>
      <w:r w:rsidR="00427468">
        <w:rPr>
          <w:kern w:val="0"/>
        </w:rPr>
        <w:t xml:space="preserve"> of </w:t>
      </w:r>
      <w:r>
        <w:rPr>
          <w:kern w:val="0"/>
        </w:rPr>
        <w:t xml:space="preserve">the Cochrane EPOC group (both up to May 2009), </w:t>
      </w:r>
      <w:r w:rsidR="00D5664A">
        <w:rPr>
          <w:kern w:val="0"/>
        </w:rPr>
        <w:t>MEDLINE</w:t>
      </w:r>
      <w:r>
        <w:rPr>
          <w:kern w:val="0"/>
        </w:rPr>
        <w:t xml:space="preserve"> (1950 to May 2009), EMBASE (1980 to May 2009), CINAHL (1982 to March 2008), ERIC / LILACS / WHOLIS (all up to October 2008),</w:t>
      </w:r>
      <w:r w:rsidR="005853A9">
        <w:rPr>
          <w:kern w:val="0"/>
        </w:rPr>
        <w:t xml:space="preserve"> and </w:t>
      </w:r>
      <w:r>
        <w:rPr>
          <w:kern w:val="0"/>
        </w:rPr>
        <w:t>ISI Science Citation Index Expanded</w:t>
      </w:r>
      <w:r w:rsidR="005853A9">
        <w:rPr>
          <w:kern w:val="0"/>
        </w:rPr>
        <w:t xml:space="preserve"> and </w:t>
      </w:r>
      <w:r>
        <w:rPr>
          <w:kern w:val="0"/>
        </w:rPr>
        <w:t>ISI Social Sciences Citation Index (both from 1975 to March 2009). We checked references</w:t>
      </w:r>
      <w:r w:rsidR="00427468">
        <w:rPr>
          <w:kern w:val="0"/>
        </w:rPr>
        <w:t xml:space="preserve"> of </w:t>
      </w:r>
      <w:r>
        <w:rPr>
          <w:kern w:val="0"/>
        </w:rPr>
        <w:t>retrieved articles</w:t>
      </w:r>
      <w:r w:rsidR="005853A9">
        <w:rPr>
          <w:kern w:val="0"/>
        </w:rPr>
        <w:t xml:space="preserve"> and </w:t>
      </w:r>
      <w:r>
        <w:rPr>
          <w:kern w:val="0"/>
        </w:rPr>
        <w:t>reviews</w:t>
      </w:r>
      <w:r w:rsidR="005853A9">
        <w:rPr>
          <w:kern w:val="0"/>
        </w:rPr>
        <w:t xml:space="preserve"> and </w:t>
      </w:r>
      <w:r>
        <w:rPr>
          <w:kern w:val="0"/>
        </w:rPr>
        <w:t>contacted authors to identify additional studies. Selection criteria Randomised controlled trials (RCTs), cluster-randomised trials (CRTs), controlled clinical trials (CCTs), controlled before-after studies (CBAs)</w:t>
      </w:r>
      <w:r w:rsidR="005853A9">
        <w:rPr>
          <w:kern w:val="0"/>
        </w:rPr>
        <w:t xml:space="preserve"> and </w:t>
      </w:r>
      <w:r>
        <w:rPr>
          <w:kern w:val="0"/>
        </w:rPr>
        <w:t>interrupted time series studies (ITSs) that reported objectively measured professional practice, patient outcomes, health resource / services utilization, or training costs in healthcare settings (not restricted to studies in low-income settings). Data collection</w:t>
      </w:r>
      <w:r w:rsidR="005853A9">
        <w:rPr>
          <w:kern w:val="0"/>
        </w:rPr>
        <w:t xml:space="preserve"> and </w:t>
      </w:r>
      <w:r>
        <w:rPr>
          <w:kern w:val="0"/>
        </w:rPr>
        <w:t>analysis We independently selected studies for inclusion, abstracted data using a standardised form,</w:t>
      </w:r>
      <w:r w:rsidR="005853A9">
        <w:rPr>
          <w:kern w:val="0"/>
        </w:rPr>
        <w:t xml:space="preserve"> and </w:t>
      </w:r>
      <w:r>
        <w:rPr>
          <w:kern w:val="0"/>
        </w:rPr>
        <w:t>assessed study quality. Meta-analysis was not appropriate. Study results were summarised</w:t>
      </w:r>
      <w:r w:rsidR="005853A9">
        <w:rPr>
          <w:kern w:val="0"/>
        </w:rPr>
        <w:t xml:space="preserve"> and </w:t>
      </w:r>
      <w:r>
        <w:rPr>
          <w:kern w:val="0"/>
        </w:rPr>
        <w:t>appraised. Main results Two studies</w:t>
      </w:r>
      <w:r w:rsidR="00427468">
        <w:rPr>
          <w:kern w:val="0"/>
        </w:rPr>
        <w:t xml:space="preserve"> of </w:t>
      </w:r>
      <w:r>
        <w:rPr>
          <w:kern w:val="0"/>
        </w:rPr>
        <w:t>varied designs were included. In one RCT</w:t>
      </w:r>
      <w:r w:rsidR="00427468">
        <w:rPr>
          <w:kern w:val="0"/>
        </w:rPr>
        <w:t xml:space="preserve"> of </w:t>
      </w:r>
      <w:r>
        <w:rPr>
          <w:kern w:val="0"/>
        </w:rPr>
        <w:t>moderate quality, Newborn Resuscitation Training (NRT) was associated with a significant improvement in performance</w:t>
      </w:r>
      <w:r w:rsidR="00427468">
        <w:rPr>
          <w:kern w:val="0"/>
        </w:rPr>
        <w:t xml:space="preserve"> of </w:t>
      </w:r>
      <w:r>
        <w:rPr>
          <w:kern w:val="0"/>
        </w:rPr>
        <w:t>adequate initial resuscitation steps (risk ratio 2.45, 95% confidence interval (CI) 1.75 to 3.42, P &lt; 0.001, adjusted for clustering)</w:t>
      </w:r>
      <w:r w:rsidR="005853A9">
        <w:rPr>
          <w:kern w:val="0"/>
        </w:rPr>
        <w:t xml:space="preserve"> and </w:t>
      </w:r>
      <w:r>
        <w:rPr>
          <w:kern w:val="0"/>
        </w:rPr>
        <w:t>a reduction in the frequency</w:t>
      </w:r>
      <w:r w:rsidR="00427468">
        <w:rPr>
          <w:kern w:val="0"/>
        </w:rPr>
        <w:t xml:space="preserve"> of </w:t>
      </w:r>
      <w:r>
        <w:rPr>
          <w:kern w:val="0"/>
        </w:rPr>
        <w:t>inappropriate</w:t>
      </w:r>
      <w:r w:rsidR="005853A9">
        <w:rPr>
          <w:kern w:val="0"/>
        </w:rPr>
        <w:t xml:space="preserve"> and </w:t>
      </w:r>
      <w:r>
        <w:rPr>
          <w:kern w:val="0"/>
        </w:rPr>
        <w:t>potentially harmful practices (mean difference 0.40, 95% CI 0.13 to 0.66, P = 0.004). In the second RCT, available limited data suggested that there was improvement in assessment</w:t>
      </w:r>
      <w:r w:rsidR="00427468">
        <w:rPr>
          <w:kern w:val="0"/>
        </w:rPr>
        <w:t xml:space="preserve"> of </w:t>
      </w:r>
      <w:r>
        <w:rPr>
          <w:kern w:val="0"/>
        </w:rPr>
        <w:t>breathing</w:t>
      </w:r>
      <w:r w:rsidR="005853A9">
        <w:rPr>
          <w:kern w:val="0"/>
        </w:rPr>
        <w:t xml:space="preserve"> and </w:t>
      </w:r>
      <w:r>
        <w:rPr>
          <w:kern w:val="0"/>
        </w:rPr>
        <w:t>newborn care practices in the delivery room following implementation</w:t>
      </w:r>
      <w:r w:rsidR="00427468">
        <w:rPr>
          <w:kern w:val="0"/>
        </w:rPr>
        <w:t xml:space="preserve"> of </w:t>
      </w:r>
      <w:r>
        <w:rPr>
          <w:kern w:val="0"/>
        </w:rPr>
        <w:t>Essential Newborn Care (ENC) training. Authors</w:t>
      </w:r>
      <w:r w:rsidR="0071223E">
        <w:rPr>
          <w:kern w:val="0"/>
        </w:rPr>
        <w:t>’</w:t>
      </w:r>
      <w:r>
        <w:rPr>
          <w:kern w:val="0"/>
        </w:rPr>
        <w:t xml:space="preserve"> conclusions There is limited evidence that in-service neonatal emergency care courses improve health-workers</w:t>
      </w:r>
      <w:r w:rsidR="0071223E">
        <w:rPr>
          <w:kern w:val="0"/>
        </w:rPr>
        <w:t>’</w:t>
      </w:r>
      <w:r>
        <w:rPr>
          <w:kern w:val="0"/>
        </w:rPr>
        <w:t xml:space="preserve"> practices when caring for a seriously ill newborn although there is some evidence</w:t>
      </w:r>
      <w:r w:rsidR="00427468">
        <w:rPr>
          <w:kern w:val="0"/>
        </w:rPr>
        <w:t xml:space="preserve"> of </w:t>
      </w:r>
      <w:r>
        <w:rPr>
          <w:kern w:val="0"/>
        </w:rPr>
        <w:t>benefit. Rigorous trials evaluating the impact</w:t>
      </w:r>
      <w:r w:rsidR="00427468">
        <w:rPr>
          <w:kern w:val="0"/>
        </w:rPr>
        <w:t xml:space="preserve"> of </w:t>
      </w:r>
      <w:r>
        <w:rPr>
          <w:kern w:val="0"/>
        </w:rPr>
        <w:t>refresher emergency care training on long-term professional practices are needed. To optimise appropriate policy decisions, studies should aim to collect data on resource use</w:t>
      </w:r>
      <w:r w:rsidR="005853A9">
        <w:rPr>
          <w:kern w:val="0"/>
        </w:rPr>
        <w:t xml:space="preserve"> and </w:t>
      </w:r>
      <w:r>
        <w:rPr>
          <w:kern w:val="0"/>
        </w:rPr>
        <w:t>costs</w:t>
      </w:r>
      <w:r w:rsidR="00427468">
        <w:rPr>
          <w:kern w:val="0"/>
        </w:rPr>
        <w:t xml:space="preserve"> of </w:t>
      </w:r>
      <w:r>
        <w:rPr>
          <w:kern w:val="0"/>
        </w:rPr>
        <w:t>training implementation.</w:t>
      </w:r>
    </w:p>
    <w:p w:rsidR="00365DE4" w:rsidRDefault="00365DE4" w:rsidP="00365DE4">
      <w:pPr>
        <w:pStyle w:val="a3"/>
        <w:rPr>
          <w:kern w:val="0"/>
        </w:rPr>
      </w:pPr>
      <w:r>
        <w:rPr>
          <w:kern w:val="0"/>
        </w:rPr>
        <w:t>Keywords: Articles, Assessment, Authors, Case-Management, Citation, Clustering, Design, Developing Countries, Guidelines, Health, Illness, Impact, Integrated Management</w:t>
      </w:r>
      <w:r w:rsidR="00D5664A">
        <w:rPr>
          <w:kern w:val="0"/>
        </w:rPr>
        <w:t>, ISI,</w:t>
      </w:r>
      <w:r>
        <w:rPr>
          <w:kern w:val="0"/>
        </w:rPr>
        <w:t xml:space="preserve"> </w:t>
      </w:r>
      <w:r w:rsidR="00D5664A">
        <w:rPr>
          <w:kern w:val="0"/>
        </w:rPr>
        <w:t>MEDLINE</w:t>
      </w:r>
      <w:r>
        <w:rPr>
          <w:kern w:val="0"/>
        </w:rPr>
        <w:t>, Meta-Analysis, Models, Mortality, Pneumonia, Professional, Quality, Reduction, Resuscitation, Review, Risk, Science, Science Citation Index, Training, Triage</w:t>
      </w:r>
    </w:p>
    <w:p w:rsidR="00365DE4" w:rsidRDefault="00365DE4" w:rsidP="00365DE4">
      <w:pPr>
        <w:pStyle w:val="a3"/>
        <w:rPr>
          <w:kern w:val="0"/>
        </w:rPr>
      </w:pPr>
      <w:r>
        <w:rPr>
          <w:kern w:val="0"/>
        </w:rPr>
        <w:t>? Shepherd, J.P., Frampton, G.K.</w:t>
      </w:r>
      <w:r w:rsidR="005853A9">
        <w:rPr>
          <w:kern w:val="0"/>
        </w:rPr>
        <w:t xml:space="preserve"> and </w:t>
      </w:r>
      <w:r>
        <w:rPr>
          <w:kern w:val="0"/>
        </w:rPr>
        <w:t xml:space="preserve">Harris, P. (2011), Interventions for encouraging sexual behaviours intended to prevent cervical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CD001035.</w:t>
      </w:r>
    </w:p>
    <w:p w:rsidR="00365DE4" w:rsidRDefault="00365DE4" w:rsidP="00365DE4">
      <w:pPr>
        <w:pStyle w:val="a3"/>
        <w:rPr>
          <w:kern w:val="2"/>
        </w:rPr>
      </w:pPr>
      <w:r>
        <w:lastRenderedPageBreak/>
        <w:t xml:space="preserve">Full Text: </w:t>
      </w:r>
      <w:hyperlink r:id="rId594" w:history="1">
        <w:r>
          <w:rPr>
            <w:rStyle w:val="a5"/>
          </w:rPr>
          <w:t>2011\Coc Dat Sys Rev2011, CD001035.pdf</w:t>
        </w:r>
      </w:hyperlink>
    </w:p>
    <w:p w:rsidR="00365DE4" w:rsidRDefault="00365DE4" w:rsidP="00365DE4">
      <w:pPr>
        <w:pStyle w:val="a3"/>
        <w:rPr>
          <w:kern w:val="0"/>
        </w:rPr>
      </w:pPr>
      <w:r>
        <w:rPr>
          <w:kern w:val="0"/>
        </w:rPr>
        <w:t>Abstract: Background Human papillomavirus (HPV) is the key risk factor for cervical cancer. Continuing high rates</w:t>
      </w:r>
      <w:r w:rsidR="00427468">
        <w:rPr>
          <w:kern w:val="0"/>
        </w:rPr>
        <w:t xml:space="preserve"> of </w:t>
      </w:r>
      <w:r>
        <w:rPr>
          <w:kern w:val="0"/>
        </w:rPr>
        <w:t>HPV</w:t>
      </w:r>
      <w:r w:rsidR="005853A9">
        <w:rPr>
          <w:kern w:val="0"/>
        </w:rPr>
        <w:t xml:space="preserve"> and </w:t>
      </w:r>
      <w:r>
        <w:rPr>
          <w:kern w:val="0"/>
        </w:rPr>
        <w:t>other sexually transmitted infections (STIs) in young people demonstrate the need for effective behavioural interventions. Objectives To assess the effectiveness</w:t>
      </w:r>
      <w:r w:rsidR="00427468">
        <w:rPr>
          <w:kern w:val="0"/>
        </w:rPr>
        <w:t xml:space="preserve"> of </w:t>
      </w:r>
      <w:r>
        <w:rPr>
          <w:kern w:val="0"/>
        </w:rPr>
        <w:t>behavioural interventions for young women to encourage safer sexual behaviours to prevent transmission</w:t>
      </w:r>
      <w:r w:rsidR="00427468">
        <w:rPr>
          <w:kern w:val="0"/>
        </w:rPr>
        <w:t xml:space="preserve"> of </w:t>
      </w:r>
      <w:r>
        <w:rPr>
          <w:kern w:val="0"/>
        </w:rPr>
        <w:t>STIs (including HPV)</w:t>
      </w:r>
      <w:r w:rsidR="005853A9">
        <w:rPr>
          <w:kern w:val="0"/>
        </w:rPr>
        <w:t xml:space="preserve"> and </w:t>
      </w:r>
      <w:r>
        <w:rPr>
          <w:kern w:val="0"/>
        </w:rPr>
        <w:t>cervical cancer. Search strategy Systematic literature searches were performed on the following databases: Cochrane Central Register</w:t>
      </w:r>
      <w:r w:rsidR="00427468">
        <w:rPr>
          <w:kern w:val="0"/>
        </w:rPr>
        <w:t xml:space="preserve"> of </w:t>
      </w:r>
      <w:r>
        <w:rPr>
          <w:kern w:val="0"/>
        </w:rPr>
        <w:t xml:space="preserve">Controlled Trials (CENTRAL Issue 4, 2009) Cochrane Gynaecological Cancer Review Group (CGCRG) Specialised Register, </w:t>
      </w:r>
      <w:r w:rsidR="00D5664A">
        <w:rPr>
          <w:kern w:val="0"/>
        </w:rPr>
        <w:t>MEDLINE</w:t>
      </w:r>
      <w:r>
        <w:rPr>
          <w:kern w:val="0"/>
        </w:rPr>
        <w:t>, EMBASE, CINAHL, PsychINFO, Social Science Citation Index</w:t>
      </w:r>
      <w:r w:rsidR="005853A9">
        <w:rPr>
          <w:kern w:val="0"/>
        </w:rPr>
        <w:t xml:space="preserve"> and </w:t>
      </w:r>
      <w:r>
        <w:rPr>
          <w:kern w:val="0"/>
        </w:rPr>
        <w:t>Trials Register</w:t>
      </w:r>
      <w:r w:rsidR="00427468">
        <w:rPr>
          <w:kern w:val="0"/>
        </w:rPr>
        <w:t xml:space="preserve"> of </w:t>
      </w:r>
      <w:r>
        <w:rPr>
          <w:kern w:val="0"/>
        </w:rPr>
        <w:t>Promoting Health Interventions (TRoPHI) up to the end</w:t>
      </w:r>
      <w:r w:rsidR="00427468">
        <w:rPr>
          <w:kern w:val="0"/>
        </w:rPr>
        <w:t xml:space="preserve"> of </w:t>
      </w:r>
      <w:r>
        <w:rPr>
          <w:kern w:val="0"/>
        </w:rPr>
        <w:t>2009. All references were screened for inclusion against selection criteria. Selection criteria Randomised controlled trials (RCTs)</w:t>
      </w:r>
      <w:r w:rsidR="00427468">
        <w:rPr>
          <w:kern w:val="0"/>
        </w:rPr>
        <w:t xml:space="preserve"> of </w:t>
      </w:r>
      <w:r>
        <w:rPr>
          <w:kern w:val="0"/>
        </w:rPr>
        <w:t>behavioural interventions for young women up to the age</w:t>
      </w:r>
      <w:r w:rsidR="00427468">
        <w:rPr>
          <w:kern w:val="0"/>
        </w:rPr>
        <w:t xml:space="preserve"> of </w:t>
      </w:r>
      <w:r>
        <w:rPr>
          <w:kern w:val="0"/>
        </w:rPr>
        <w:t>25 years that included, amongst other things, information provision about the transmission</w:t>
      </w:r>
      <w:r w:rsidR="005853A9">
        <w:rPr>
          <w:kern w:val="0"/>
        </w:rPr>
        <w:t xml:space="preserve"> and </w:t>
      </w:r>
      <w:r>
        <w:rPr>
          <w:kern w:val="0"/>
        </w:rPr>
        <w:t>prevention</w:t>
      </w:r>
      <w:r w:rsidR="00427468">
        <w:rPr>
          <w:kern w:val="0"/>
        </w:rPr>
        <w:t xml:space="preserve"> of </w:t>
      </w:r>
      <w:r>
        <w:rPr>
          <w:kern w:val="0"/>
        </w:rPr>
        <w:t>STIs. Trials had to measure behavioural outcomes (e. g. condom use) and/or biological outcomes (e. g. incidence</w:t>
      </w:r>
      <w:r w:rsidR="00427468">
        <w:rPr>
          <w:kern w:val="0"/>
        </w:rPr>
        <w:t xml:space="preserve"> of </w:t>
      </w:r>
      <w:r>
        <w:rPr>
          <w:kern w:val="0"/>
        </w:rPr>
        <w:t>STIs, cervical cancer). Data collection</w:t>
      </w:r>
      <w:r w:rsidR="005853A9">
        <w:rPr>
          <w:kern w:val="0"/>
        </w:rPr>
        <w:t xml:space="preserve"> and </w:t>
      </w:r>
      <w:r>
        <w:rPr>
          <w:kern w:val="0"/>
        </w:rPr>
        <w:t>analysis A narrative synthesis was conducted. Meta-analysis was not considered appropriate due to heterogeneity between the interventions</w:t>
      </w:r>
      <w:r w:rsidR="005853A9">
        <w:rPr>
          <w:kern w:val="0"/>
        </w:rPr>
        <w:t xml:space="preserve"> and </w:t>
      </w:r>
      <w:r>
        <w:rPr>
          <w:kern w:val="0"/>
        </w:rPr>
        <w:t>trial populations. Main results A total</w:t>
      </w:r>
      <w:r w:rsidR="00427468">
        <w:rPr>
          <w:kern w:val="0"/>
        </w:rPr>
        <w:t xml:space="preserve"> of </w:t>
      </w:r>
      <w:r>
        <w:rPr>
          <w:kern w:val="0"/>
        </w:rPr>
        <w:t>5271 references were screened</w:t>
      </w:r>
      <w:r w:rsidR="005853A9">
        <w:rPr>
          <w:kern w:val="0"/>
        </w:rPr>
        <w:t xml:space="preserve"> and</w:t>
      </w:r>
      <w:r w:rsidR="00427468">
        <w:rPr>
          <w:kern w:val="0"/>
        </w:rPr>
        <w:t xml:space="preserve"> of </w:t>
      </w:r>
      <w:r>
        <w:rPr>
          <w:kern w:val="0"/>
        </w:rPr>
        <w:t xml:space="preserve">these 23 RCTs met the inclusion criteria. Most were conducted in the </w:t>
      </w:r>
      <w:r w:rsidR="00D5664A">
        <w:rPr>
          <w:kern w:val="0"/>
        </w:rPr>
        <w:t>USA</w:t>
      </w:r>
      <w:r w:rsidR="005853A9">
        <w:rPr>
          <w:kern w:val="0"/>
        </w:rPr>
        <w:t xml:space="preserve"> and </w:t>
      </w:r>
      <w:r>
        <w:rPr>
          <w:kern w:val="0"/>
        </w:rPr>
        <w:t>in health-care clinics (e. g. family planning)</w:t>
      </w:r>
      <w:r w:rsidR="00A37C1D">
        <w:rPr>
          <w:kern w:val="0"/>
        </w:rPr>
        <w:t>. The</w:t>
      </w:r>
      <w:r>
        <w:rPr>
          <w:kern w:val="0"/>
        </w:rPr>
        <w:t xml:space="preserve"> majority</w:t>
      </w:r>
      <w:r w:rsidR="00427468">
        <w:rPr>
          <w:kern w:val="0"/>
        </w:rPr>
        <w:t xml:space="preserve"> of </w:t>
      </w:r>
      <w:r>
        <w:rPr>
          <w:kern w:val="0"/>
        </w:rPr>
        <w:t>interventions provided information about STIs</w:t>
      </w:r>
      <w:r w:rsidR="005853A9">
        <w:rPr>
          <w:kern w:val="0"/>
        </w:rPr>
        <w:t xml:space="preserve"> and </w:t>
      </w:r>
      <w:r>
        <w:rPr>
          <w:kern w:val="0"/>
        </w:rPr>
        <w:t>taught safer sex skills (e. g. communication), occasionally supplemented with provision</w:t>
      </w:r>
      <w:r w:rsidR="00427468">
        <w:rPr>
          <w:kern w:val="0"/>
        </w:rPr>
        <w:t xml:space="preserve"> of </w:t>
      </w:r>
      <w:r>
        <w:rPr>
          <w:kern w:val="0"/>
        </w:rPr>
        <w:t>resources (e. g. free sexual health services)</w:t>
      </w:r>
      <w:r w:rsidR="00A37C1D">
        <w:rPr>
          <w:kern w:val="0"/>
        </w:rPr>
        <w:t>. The</w:t>
      </w:r>
      <w:r>
        <w:rPr>
          <w:kern w:val="0"/>
        </w:rPr>
        <w:t>y were heterogeneous in duration, contact time, provider, behavioural aims</w:t>
      </w:r>
      <w:r w:rsidR="005853A9">
        <w:rPr>
          <w:kern w:val="0"/>
        </w:rPr>
        <w:t xml:space="preserve"> and </w:t>
      </w:r>
      <w:r>
        <w:rPr>
          <w:kern w:val="0"/>
        </w:rPr>
        <w:t>outcomes. A variety</w:t>
      </w:r>
      <w:r w:rsidR="00427468">
        <w:rPr>
          <w:kern w:val="0"/>
        </w:rPr>
        <w:t xml:space="preserve"> of </w:t>
      </w:r>
      <w:r>
        <w:rPr>
          <w:kern w:val="0"/>
        </w:rPr>
        <w:t>STIs were addressed including HIV</w:t>
      </w:r>
      <w:r w:rsidR="005853A9">
        <w:rPr>
          <w:kern w:val="0"/>
        </w:rPr>
        <w:t xml:space="preserve"> and </w:t>
      </w:r>
      <w:r>
        <w:rPr>
          <w:kern w:val="0"/>
        </w:rPr>
        <w:t>chlamydia. None</w:t>
      </w:r>
      <w:r w:rsidR="00427468">
        <w:rPr>
          <w:kern w:val="0"/>
        </w:rPr>
        <w:t xml:space="preserve"> of </w:t>
      </w:r>
      <w:r>
        <w:rPr>
          <w:kern w:val="0"/>
        </w:rPr>
        <w:t>the trials explicitly mentioned HPV or cervical cancer prevention. Statistically significant effects for behavioural outcomes (e. g. increasing condom use) were common, though not universal</w:t>
      </w:r>
      <w:r w:rsidR="005853A9">
        <w:rPr>
          <w:kern w:val="0"/>
        </w:rPr>
        <w:t xml:space="preserve"> and </w:t>
      </w:r>
      <w:r>
        <w:rPr>
          <w:kern w:val="0"/>
        </w:rPr>
        <w:t>varied according to the type</w:t>
      </w:r>
      <w:r w:rsidR="00427468">
        <w:rPr>
          <w:kern w:val="0"/>
        </w:rPr>
        <w:t xml:space="preserve"> of </w:t>
      </w:r>
      <w:r>
        <w:rPr>
          <w:kern w:val="0"/>
        </w:rPr>
        <w:t>outcome</w:t>
      </w:r>
      <w:r w:rsidR="00A37C1D">
        <w:rPr>
          <w:kern w:val="0"/>
        </w:rPr>
        <w:t>. The</w:t>
      </w:r>
      <w:r>
        <w:rPr>
          <w:kern w:val="0"/>
        </w:rPr>
        <w:t>re were no statistically significant effects</w:t>
      </w:r>
      <w:r w:rsidR="00427468">
        <w:rPr>
          <w:kern w:val="0"/>
        </w:rPr>
        <w:t xml:space="preserve"> of </w:t>
      </w:r>
      <w:r>
        <w:rPr>
          <w:kern w:val="0"/>
        </w:rPr>
        <w:t>abstaining from or reducing sexual activity</w:t>
      </w:r>
      <w:r w:rsidR="00A37C1D">
        <w:rPr>
          <w:kern w:val="0"/>
        </w:rPr>
        <w:t>. The</w:t>
      </w:r>
      <w:r>
        <w:rPr>
          <w:kern w:val="0"/>
        </w:rPr>
        <w:t>re were few statistically significant effects on biological (STI) outcomes. Considerable uncertainty exists in the risk</w:t>
      </w:r>
      <w:r w:rsidR="00427468">
        <w:rPr>
          <w:kern w:val="0"/>
        </w:rPr>
        <w:t xml:space="preserve"> of </w:t>
      </w:r>
      <w:r>
        <w:rPr>
          <w:kern w:val="0"/>
        </w:rPr>
        <w:t>bias due to incomplete or ambiguous reporting. Authors</w:t>
      </w:r>
      <w:r w:rsidR="0071223E">
        <w:rPr>
          <w:kern w:val="0"/>
        </w:rPr>
        <w:t>’</w:t>
      </w:r>
      <w:r>
        <w:rPr>
          <w:kern w:val="0"/>
        </w:rPr>
        <w:t xml:space="preserve"> conclusions Behavioural interventions for young women which aim to promote sexual behaviours protective</w:t>
      </w:r>
      <w:r w:rsidR="00427468">
        <w:rPr>
          <w:kern w:val="0"/>
        </w:rPr>
        <w:t xml:space="preserve"> of </w:t>
      </w:r>
      <w:r>
        <w:rPr>
          <w:kern w:val="0"/>
        </w:rPr>
        <w:t>STI transmission can be effective, primarily at encouraging condom use. Future evaluations should include a greater focus on HPV</w:t>
      </w:r>
      <w:r w:rsidR="005853A9">
        <w:rPr>
          <w:kern w:val="0"/>
        </w:rPr>
        <w:t xml:space="preserve"> and </w:t>
      </w:r>
      <w:r>
        <w:rPr>
          <w:kern w:val="0"/>
        </w:rPr>
        <w:t>its link to cervical cancer, with long-term follow-up to assess impact on behaviour change, rates</w:t>
      </w:r>
      <w:r w:rsidR="00427468">
        <w:rPr>
          <w:kern w:val="0"/>
        </w:rPr>
        <w:t xml:space="preserve"> of </w:t>
      </w:r>
      <w:r>
        <w:rPr>
          <w:kern w:val="0"/>
        </w:rPr>
        <w:t>HPV infection</w:t>
      </w:r>
      <w:r w:rsidR="005853A9">
        <w:rPr>
          <w:kern w:val="0"/>
        </w:rPr>
        <w:t xml:space="preserve"> and </w:t>
      </w:r>
      <w:r>
        <w:rPr>
          <w:kern w:val="0"/>
        </w:rPr>
        <w:t>progression to cervical cancer. Studies should use an RCT design where possible with integral process evaluation</w:t>
      </w:r>
      <w:r w:rsidR="005853A9">
        <w:rPr>
          <w:kern w:val="0"/>
        </w:rPr>
        <w:t xml:space="preserve"> and </w:t>
      </w:r>
      <w:r>
        <w:rPr>
          <w:kern w:val="0"/>
        </w:rPr>
        <w:t>cost-effectiveness analysis where appropriate. Given the predominance</w:t>
      </w:r>
      <w:r w:rsidR="00427468">
        <w:rPr>
          <w:kern w:val="0"/>
        </w:rPr>
        <w:t xml:space="preserve"> of </w:t>
      </w:r>
      <w:r w:rsidR="00D5664A">
        <w:rPr>
          <w:kern w:val="0"/>
        </w:rPr>
        <w:t>USA</w:t>
      </w:r>
      <w:r>
        <w:rPr>
          <w:kern w:val="0"/>
        </w:rPr>
        <w:t xml:space="preserve"> </w:t>
      </w:r>
      <w:r>
        <w:rPr>
          <w:kern w:val="0"/>
        </w:rPr>
        <w:lastRenderedPageBreak/>
        <w:t>studies in this systematic review evaluations conducted in other countries would be particularly useful.</w:t>
      </w:r>
    </w:p>
    <w:p w:rsidR="00365DE4" w:rsidRDefault="00365DE4" w:rsidP="00365DE4">
      <w:pPr>
        <w:pStyle w:val="a3"/>
        <w:rPr>
          <w:kern w:val="0"/>
        </w:rPr>
      </w:pPr>
      <w:r>
        <w:rPr>
          <w:kern w:val="0"/>
        </w:rPr>
        <w:t xml:space="preserve">Keywords: African-American Women, Bias, Cancer, Citation, Cost-Effectiveness, Databases, Embase, Evaluation, Female, Female-Condom Use, Health Care, Health Services, Hiv-Risk-Reduction, HPV, Human, Human-Immunodeficiency-Virus, Human-Papillomavirus Infection, Humans, Impact, Impoverished Minority Women, Information, Inner-City Women, Interventions, Literature, </w:t>
      </w:r>
      <w:r w:rsidR="00D5664A">
        <w:rPr>
          <w:kern w:val="0"/>
        </w:rPr>
        <w:t>MEDLINE</w:t>
      </w:r>
      <w:r>
        <w:rPr>
          <w:kern w:val="0"/>
        </w:rPr>
        <w:t>, Meta-Analysis, Outcomes, Peer Education-Program, Prevention, Randomized-Controlled-Trial, Review, Science, Science Citation Index, Search Strategy, Sexual Behavior, Strategy, Systematic Review, Transmitted-Disease Prevention, Uterine Cervical Neoplasms [Prevention &amp; Control]</w:t>
      </w:r>
    </w:p>
    <w:p w:rsidR="00365DE4" w:rsidRDefault="00365DE4" w:rsidP="00365DE4">
      <w:pPr>
        <w:pStyle w:val="a3"/>
        <w:rPr>
          <w:kern w:val="0"/>
        </w:rPr>
      </w:pPr>
      <w:r>
        <w:rPr>
          <w:kern w:val="0"/>
        </w:rPr>
        <w:t>? Fede, G., Germani, G., Gluud, C., Gur</w:t>
      </w:r>
      <w:r w:rsidR="00D5664A">
        <w:rPr>
          <w:kern w:val="0"/>
        </w:rPr>
        <w:t>USA</w:t>
      </w:r>
      <w:r>
        <w:rPr>
          <w:kern w:val="0"/>
        </w:rPr>
        <w:t>my, K.S.</w:t>
      </w:r>
      <w:r w:rsidR="005853A9">
        <w:rPr>
          <w:kern w:val="0"/>
        </w:rPr>
        <w:t xml:space="preserve"> and </w:t>
      </w:r>
      <w:r>
        <w:rPr>
          <w:kern w:val="0"/>
        </w:rPr>
        <w:t xml:space="preserve">Burroughs, A.K. (2011), Propylthiouracil for alcoholic liver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CD002800.</w:t>
      </w:r>
    </w:p>
    <w:p w:rsidR="00365DE4" w:rsidRDefault="00365DE4" w:rsidP="00365DE4">
      <w:pPr>
        <w:pStyle w:val="a3"/>
        <w:rPr>
          <w:kern w:val="2"/>
        </w:rPr>
      </w:pPr>
      <w:r>
        <w:t xml:space="preserve">Full Text: </w:t>
      </w:r>
      <w:hyperlink r:id="rId595" w:history="1">
        <w:r>
          <w:rPr>
            <w:rStyle w:val="a5"/>
          </w:rPr>
          <w:t>2011\Coc Dat Sys Rev2011, CD002800.pdf</w:t>
        </w:r>
      </w:hyperlink>
    </w:p>
    <w:p w:rsidR="00365DE4" w:rsidRDefault="00365DE4" w:rsidP="00365DE4">
      <w:pPr>
        <w:pStyle w:val="a3"/>
        <w:rPr>
          <w:kern w:val="0"/>
        </w:rPr>
      </w:pPr>
      <w:r>
        <w:rPr>
          <w:kern w:val="0"/>
        </w:rPr>
        <w:t>Abstract: Background Randomised clinical trials have addressed the question whether propylthiouracil has any beneficial effects in patients with alcoholic liver disease. Objectives To assess the beneficial</w:t>
      </w:r>
      <w:r w:rsidR="005853A9">
        <w:rPr>
          <w:kern w:val="0"/>
        </w:rPr>
        <w:t xml:space="preserve"> and </w:t>
      </w:r>
      <w:r>
        <w:rPr>
          <w:kern w:val="0"/>
        </w:rPr>
        <w:t>harmful effects</w:t>
      </w:r>
      <w:r w:rsidR="00427468">
        <w:rPr>
          <w:kern w:val="0"/>
        </w:rPr>
        <w:t xml:space="preserve"> of </w:t>
      </w:r>
      <w:r>
        <w:rPr>
          <w:kern w:val="0"/>
        </w:rPr>
        <w:t>propylthiouracil for patients with alcoholic liver disease. Search strategy We searched The Cochrane Hepato-Biliary Group Controlled Trials Register (April 2011), The Cochrane Central Register</w:t>
      </w:r>
      <w:r w:rsidR="00427468">
        <w:rPr>
          <w:kern w:val="0"/>
        </w:rPr>
        <w:t xml:space="preserve"> of </w:t>
      </w:r>
      <w:r>
        <w:rPr>
          <w:kern w:val="0"/>
        </w:rPr>
        <w:t xml:space="preserve">Controlled Trials (CENTRAL) in The Cochrane Library (April 2011), </w:t>
      </w:r>
      <w:r w:rsidR="00D5664A">
        <w:rPr>
          <w:kern w:val="0"/>
        </w:rPr>
        <w:t>MEDLINE</w:t>
      </w:r>
      <w:r>
        <w:rPr>
          <w:kern w:val="0"/>
        </w:rPr>
        <w:t xml:space="preserve"> (1948 to April 2011), EMBASE (1980 to April 2011),</w:t>
      </w:r>
      <w:r w:rsidR="005853A9">
        <w:rPr>
          <w:kern w:val="0"/>
        </w:rPr>
        <w:t xml:space="preserve"> and </w:t>
      </w:r>
      <w:r>
        <w:rPr>
          <w:kern w:val="0"/>
        </w:rPr>
        <w:t>Science Citation Index Expanded (1900 to April 2011)</w:t>
      </w:r>
      <w:r w:rsidR="00A37C1D">
        <w:rPr>
          <w:kern w:val="0"/>
        </w:rPr>
        <w:t>. The</w:t>
      </w:r>
      <w:r>
        <w:rPr>
          <w:kern w:val="0"/>
        </w:rPr>
        <w:t>se electronic searches were combined with full text searches. Manufacturers</w:t>
      </w:r>
      <w:r w:rsidR="005853A9">
        <w:rPr>
          <w:kern w:val="0"/>
        </w:rPr>
        <w:t xml:space="preserve"> and </w:t>
      </w:r>
      <w:r>
        <w:rPr>
          <w:kern w:val="0"/>
        </w:rPr>
        <w:t>researchers in the field were also contacted. Selection criteria Randomised clinical trials studying patients with alcoholic steatosis, alcoholic fibrosis, alcoholic hepatitis, and/or alcoholic cirrhosis were included irrespective</w:t>
      </w:r>
      <w:r w:rsidR="00427468">
        <w:rPr>
          <w:kern w:val="0"/>
        </w:rPr>
        <w:t xml:space="preserve"> of </w:t>
      </w:r>
      <w:r>
        <w:rPr>
          <w:kern w:val="0"/>
        </w:rPr>
        <w:t>blinding, publication status, or language. Interventions encompassed propylthiouracil at any dose versus placebo or no intervention. Data collection</w:t>
      </w:r>
      <w:r w:rsidR="005853A9">
        <w:rPr>
          <w:kern w:val="0"/>
        </w:rPr>
        <w:t xml:space="preserve"> and </w:t>
      </w:r>
      <w:r>
        <w:rPr>
          <w:kern w:val="0"/>
        </w:rPr>
        <w:t>analysis All analyses were performed according to the intention-to-treat method in RevMan Analyses</w:t>
      </w:r>
      <w:r w:rsidR="00A37C1D">
        <w:rPr>
          <w:kern w:val="0"/>
        </w:rPr>
        <w:t>. The</w:t>
      </w:r>
      <w:r>
        <w:rPr>
          <w:kern w:val="0"/>
        </w:rPr>
        <w:t xml:space="preserve"> risk</w:t>
      </w:r>
      <w:r w:rsidR="00427468">
        <w:rPr>
          <w:kern w:val="0"/>
        </w:rPr>
        <w:t xml:space="preserve"> of </w:t>
      </w:r>
      <w:r>
        <w:rPr>
          <w:kern w:val="0"/>
        </w:rPr>
        <w:t>bias</w:t>
      </w:r>
      <w:r w:rsidR="00427468">
        <w:rPr>
          <w:kern w:val="0"/>
        </w:rPr>
        <w:t xml:space="preserve"> of </w:t>
      </w:r>
      <w:r>
        <w:rPr>
          <w:kern w:val="0"/>
        </w:rPr>
        <w:t>the randomised clinical trials was evaluated by bias risk domains such as generation</w:t>
      </w:r>
      <w:r w:rsidR="00427468">
        <w:rPr>
          <w:kern w:val="0"/>
        </w:rPr>
        <w:t xml:space="preserve"> of </w:t>
      </w:r>
      <w:r>
        <w:rPr>
          <w:kern w:val="0"/>
        </w:rPr>
        <w:t>allocation sequence, allocation concealment, blinding, incomplete outcome data, selective outcome reporting, academic bias,</w:t>
      </w:r>
      <w:r w:rsidR="005853A9">
        <w:rPr>
          <w:kern w:val="0"/>
        </w:rPr>
        <w:t xml:space="preserve"> and </w:t>
      </w:r>
      <w:r>
        <w:rPr>
          <w:kern w:val="0"/>
        </w:rPr>
        <w:t>source</w:t>
      </w:r>
      <w:r w:rsidR="00427468">
        <w:rPr>
          <w:kern w:val="0"/>
        </w:rPr>
        <w:t xml:space="preserve"> of </w:t>
      </w:r>
      <w:r>
        <w:rPr>
          <w:kern w:val="0"/>
        </w:rPr>
        <w:t>funding. Main results Combining the results</w:t>
      </w:r>
      <w:r w:rsidR="00427468">
        <w:rPr>
          <w:kern w:val="0"/>
        </w:rPr>
        <w:t xml:space="preserve"> of </w:t>
      </w:r>
      <w:r>
        <w:rPr>
          <w:kern w:val="0"/>
        </w:rPr>
        <w:t>six randomised clinical trials with high risk</w:t>
      </w:r>
      <w:r w:rsidR="00427468">
        <w:rPr>
          <w:kern w:val="0"/>
        </w:rPr>
        <w:t xml:space="preserve"> of </w:t>
      </w:r>
      <w:r>
        <w:rPr>
          <w:kern w:val="0"/>
        </w:rPr>
        <w:t>bias which included 710 patients demonstrated no significant effects</w:t>
      </w:r>
      <w:r w:rsidR="00427468">
        <w:rPr>
          <w:kern w:val="0"/>
        </w:rPr>
        <w:t xml:space="preserve"> of </w:t>
      </w:r>
      <w:r>
        <w:rPr>
          <w:kern w:val="0"/>
        </w:rPr>
        <w:t>propylthiouracil versus placebo on all-cause mortality (risk ratio (RR) 0.93, 95% confidence interval (CI) 0.66 to 1.30), liver-related mortality (RR 0.90, 95% CI 0.58 to 1.40), or complications</w:t>
      </w:r>
      <w:r w:rsidR="00427468">
        <w:rPr>
          <w:kern w:val="0"/>
        </w:rPr>
        <w:t xml:space="preserve"> of </w:t>
      </w:r>
      <w:r>
        <w:rPr>
          <w:kern w:val="0"/>
        </w:rPr>
        <w:t>the liver disease. Although propylthiouracil was not associated with a significant increased risk</w:t>
      </w:r>
      <w:r w:rsidR="00427468">
        <w:rPr>
          <w:kern w:val="0"/>
        </w:rPr>
        <w:t xml:space="preserve"> of </w:t>
      </w:r>
      <w:r>
        <w:rPr>
          <w:kern w:val="0"/>
        </w:rPr>
        <w:t>non-serious adverse events, there were occasional instances</w:t>
      </w:r>
      <w:r w:rsidR="00427468">
        <w:rPr>
          <w:kern w:val="0"/>
        </w:rPr>
        <w:t xml:space="preserve"> of </w:t>
      </w:r>
      <w:r>
        <w:rPr>
          <w:kern w:val="0"/>
        </w:rPr>
        <w:t xml:space="preserve">serious adverse </w:t>
      </w:r>
      <w:r>
        <w:rPr>
          <w:kern w:val="0"/>
        </w:rPr>
        <w:lastRenderedPageBreak/>
        <w:t>events such as leukopenia</w:t>
      </w:r>
      <w:r w:rsidR="005853A9">
        <w:rPr>
          <w:kern w:val="0"/>
        </w:rPr>
        <w:t xml:space="preserve"> and </w:t>
      </w:r>
      <w:r>
        <w:rPr>
          <w:kern w:val="0"/>
        </w:rPr>
        <w:t>generalised bullous eruption. Authors</w:t>
      </w:r>
      <w:r w:rsidR="0071223E">
        <w:rPr>
          <w:kern w:val="0"/>
        </w:rPr>
        <w:t>’</w:t>
      </w:r>
      <w:r>
        <w:rPr>
          <w:kern w:val="0"/>
        </w:rPr>
        <w:t xml:space="preserve"> conclusions We could not demonstrate any significant beneficial effect</w:t>
      </w:r>
      <w:r w:rsidR="00427468">
        <w:rPr>
          <w:kern w:val="0"/>
        </w:rPr>
        <w:t xml:space="preserve"> of </w:t>
      </w:r>
      <w:r>
        <w:rPr>
          <w:kern w:val="0"/>
        </w:rPr>
        <w:t>propylthiouracil on all-cause mortality, liver-related mortality, liver complications, or liver histology</w:t>
      </w:r>
      <w:r w:rsidR="00427468">
        <w:rPr>
          <w:kern w:val="0"/>
        </w:rPr>
        <w:t xml:space="preserve"> of </w:t>
      </w:r>
      <w:r>
        <w:rPr>
          <w:kern w:val="0"/>
        </w:rPr>
        <w:t>patients with alcoholic liver disease. Propylthiouracil was associated with adverse events. Confidence intervals were wide. Thus, the risk</w:t>
      </w:r>
      <w:r w:rsidR="00427468">
        <w:rPr>
          <w:kern w:val="0"/>
        </w:rPr>
        <w:t xml:space="preserve"> of </w:t>
      </w:r>
      <w:r>
        <w:rPr>
          <w:kern w:val="0"/>
        </w:rPr>
        <w:t>random errors</w:t>
      </w:r>
      <w:r w:rsidR="005853A9">
        <w:rPr>
          <w:kern w:val="0"/>
        </w:rPr>
        <w:t xml:space="preserve"> and </w:t>
      </w:r>
      <w:r>
        <w:rPr>
          <w:kern w:val="0"/>
        </w:rPr>
        <w:t>systematic errors was high. Accordingly, there is no evidence for using propylthiouracil for alcoholic liver disease outside randomised clinical trials.</w:t>
      </w:r>
    </w:p>
    <w:p w:rsidR="00365DE4" w:rsidRDefault="00365DE4" w:rsidP="00365DE4">
      <w:pPr>
        <w:pStyle w:val="a3"/>
        <w:rPr>
          <w:kern w:val="0"/>
        </w:rPr>
      </w:pPr>
      <w:r>
        <w:rPr>
          <w:kern w:val="0"/>
        </w:rPr>
        <w:t xml:space="preserve">Keywords: Alcoholic [*Drug Therapy], Antimetabolites [*Therapeutic Use], Antithyroid Drugs, Bias, Citation, Clinical Trials, Double-Blind, Embase, Empirical-Evidence, Hepatitis, Humans, Liver Diseases, Long-Term Treatment, </w:t>
      </w:r>
      <w:r w:rsidR="00D5664A">
        <w:rPr>
          <w:kern w:val="0"/>
        </w:rPr>
        <w:t>MEDLINE</w:t>
      </w:r>
      <w:r>
        <w:rPr>
          <w:kern w:val="0"/>
        </w:rPr>
        <w:t>, Of-The-Literature, Propylthiouracil [*Therapeutic Use], Publication, Radical Formation, Randomized Clinical-Trials, Randomized Controlled Trials As Topic, Science, Science Citation Index, Search Strategy, Sequential-Analysis, Simulated Controls, Treatment Outcome</w:t>
      </w:r>
    </w:p>
    <w:p w:rsidR="00365DE4" w:rsidRDefault="00365DE4" w:rsidP="00365DE4">
      <w:pPr>
        <w:pStyle w:val="a3"/>
        <w:rPr>
          <w:kern w:val="0"/>
        </w:rPr>
      </w:pPr>
      <w:r>
        <w:rPr>
          <w:kern w:val="0"/>
        </w:rPr>
        <w:t>? Peng, L.J., Wang, J.Y.</w:t>
      </w:r>
      <w:r w:rsidR="005853A9">
        <w:rPr>
          <w:kern w:val="0"/>
        </w:rPr>
        <w:t xml:space="preserve"> and </w:t>
      </w:r>
      <w:r>
        <w:rPr>
          <w:kern w:val="0"/>
        </w:rPr>
        <w:t xml:space="preserve">Li, F. (2011), Weight reduction for non-alcoholic fatty liver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CD003619.</w:t>
      </w:r>
    </w:p>
    <w:p w:rsidR="00365DE4" w:rsidRDefault="00365DE4" w:rsidP="00365DE4">
      <w:pPr>
        <w:pStyle w:val="a3"/>
        <w:rPr>
          <w:kern w:val="2"/>
        </w:rPr>
      </w:pPr>
      <w:r>
        <w:t xml:space="preserve">Full Text: </w:t>
      </w:r>
      <w:hyperlink r:id="rId596" w:history="1">
        <w:r>
          <w:rPr>
            <w:rStyle w:val="a5"/>
          </w:rPr>
          <w:t>2011\Coc Dat Sys Rev2011, CD003619.pdf</w:t>
        </w:r>
      </w:hyperlink>
    </w:p>
    <w:p w:rsidR="00365DE4" w:rsidRDefault="00365DE4" w:rsidP="00365DE4">
      <w:pPr>
        <w:pStyle w:val="a3"/>
        <w:rPr>
          <w:kern w:val="0"/>
        </w:rPr>
      </w:pPr>
      <w:r>
        <w:rPr>
          <w:kern w:val="0"/>
        </w:rPr>
        <w:t>Abstract: Background Non-alcoholic fatty liver disease (NAFLD) is becoming a wide spread liver disease</w:t>
      </w:r>
      <w:r w:rsidR="00A37C1D">
        <w:rPr>
          <w:kern w:val="0"/>
        </w:rPr>
        <w:t>. The</w:t>
      </w:r>
      <w:r>
        <w:rPr>
          <w:kern w:val="0"/>
        </w:rPr>
        <w:t xml:space="preserve"> present recommendations for treatment are not evidence-based. Some</w:t>
      </w:r>
      <w:r w:rsidR="00427468">
        <w:rPr>
          <w:kern w:val="0"/>
        </w:rPr>
        <w:t xml:space="preserve"> of </w:t>
      </w:r>
      <w:r>
        <w:rPr>
          <w:kern w:val="0"/>
        </w:rPr>
        <w:t>them are various weight reduction measures with diet, exercise, drug, or surgical therapy. Objectives To assess the benefits</w:t>
      </w:r>
      <w:r w:rsidR="005853A9">
        <w:rPr>
          <w:kern w:val="0"/>
        </w:rPr>
        <w:t xml:space="preserve"> and </w:t>
      </w:r>
      <w:r>
        <w:rPr>
          <w:kern w:val="0"/>
        </w:rPr>
        <w:t>harms</w:t>
      </w:r>
      <w:r w:rsidR="00427468">
        <w:rPr>
          <w:kern w:val="0"/>
        </w:rPr>
        <w:t xml:space="preserve"> of </w:t>
      </w:r>
      <w:r>
        <w:rPr>
          <w:kern w:val="0"/>
        </w:rPr>
        <w:t>intended weight reduction for patients with NAFLD. Search strategy We searched The Cochrane Hepato-Biliary Group Controlled Trials Register, The Cochrane Central Register</w:t>
      </w:r>
      <w:r w:rsidR="00427468">
        <w:rPr>
          <w:kern w:val="0"/>
        </w:rPr>
        <w:t xml:space="preserve"> of </w:t>
      </w:r>
      <w:r>
        <w:rPr>
          <w:kern w:val="0"/>
        </w:rPr>
        <w:t>Controlled Trials (CENTRAL) in The Cochrane Library, PUBMED, EMBASE, Science Citation Index Expanded, Chinese Biomedicine Database,</w:t>
      </w:r>
      <w:r w:rsidR="005853A9">
        <w:rPr>
          <w:kern w:val="0"/>
        </w:rPr>
        <w:t xml:space="preserve"> and </w:t>
      </w:r>
      <w:r>
        <w:rPr>
          <w:kern w:val="0"/>
        </w:rPr>
        <w:t>ClinicalTrials.gov until February 2011. Selection criteria We included randomised clinical trials evaluating weight reduction with different measures versus no intervention or placebo in NAFLD patients. Data collection</w:t>
      </w:r>
      <w:r w:rsidR="005853A9">
        <w:rPr>
          <w:kern w:val="0"/>
        </w:rPr>
        <w:t xml:space="preserve"> and </w:t>
      </w:r>
      <w:r>
        <w:rPr>
          <w:kern w:val="0"/>
        </w:rPr>
        <w:t>analysis We extracted data independently. We calculated the odds ratio (OR) for dichotomous data</w:t>
      </w:r>
      <w:r w:rsidR="005853A9">
        <w:rPr>
          <w:kern w:val="0"/>
        </w:rPr>
        <w:t xml:space="preserve"> and </w:t>
      </w:r>
      <w:r>
        <w:rPr>
          <w:kern w:val="0"/>
        </w:rPr>
        <w:t>calculated the mean difference (MD) for continuous data, both with 95% confidence intervals (CI). Main results The review includes seven trials; five on aspects</w:t>
      </w:r>
      <w:r w:rsidR="00427468">
        <w:rPr>
          <w:kern w:val="0"/>
        </w:rPr>
        <w:t xml:space="preserve"> of </w:t>
      </w:r>
      <w:r>
        <w:rPr>
          <w:kern w:val="0"/>
        </w:rPr>
        <w:t>lifestyle changes (eg, diet, physical exercise)</w:t>
      </w:r>
      <w:r w:rsidR="005853A9">
        <w:rPr>
          <w:kern w:val="0"/>
        </w:rPr>
        <w:t xml:space="preserve"> and </w:t>
      </w:r>
      <w:r>
        <w:rPr>
          <w:kern w:val="0"/>
        </w:rPr>
        <w:t xml:space="preserve">two on treatment with a weight reduction drug </w:t>
      </w:r>
      <w:r w:rsidR="0071223E">
        <w:rPr>
          <w:kern w:val="0"/>
        </w:rPr>
        <w:t>‘</w:t>
      </w:r>
      <w:r>
        <w:rPr>
          <w:kern w:val="0"/>
        </w:rPr>
        <w:t>orlistat</w:t>
      </w:r>
      <w:r w:rsidR="0071223E">
        <w:rPr>
          <w:kern w:val="0"/>
        </w:rPr>
        <w:t>’</w:t>
      </w:r>
      <w:r>
        <w:rPr>
          <w:kern w:val="0"/>
        </w:rPr>
        <w:t>. In total, 373 participants were enrolled,</w:t>
      </w:r>
      <w:r w:rsidR="005853A9">
        <w:rPr>
          <w:kern w:val="0"/>
        </w:rPr>
        <w:t xml:space="preserve"> and </w:t>
      </w:r>
      <w:r>
        <w:rPr>
          <w:kern w:val="0"/>
        </w:rPr>
        <w:t>the duration</w:t>
      </w:r>
      <w:r w:rsidR="00427468">
        <w:rPr>
          <w:kern w:val="0"/>
        </w:rPr>
        <w:t xml:space="preserve"> of </w:t>
      </w:r>
      <w:r>
        <w:rPr>
          <w:kern w:val="0"/>
        </w:rPr>
        <w:t>the trials ranged from 1 month to 1 year. Only one trial on lifestyle programme was judged to be</w:t>
      </w:r>
      <w:r w:rsidR="00427468">
        <w:rPr>
          <w:kern w:val="0"/>
        </w:rPr>
        <w:t xml:space="preserve"> of </w:t>
      </w:r>
      <w:r>
        <w:rPr>
          <w:kern w:val="0"/>
        </w:rPr>
        <w:t>low risk</w:t>
      </w:r>
      <w:r w:rsidR="00427468">
        <w:rPr>
          <w:kern w:val="0"/>
        </w:rPr>
        <w:t xml:space="preserve"> of </w:t>
      </w:r>
      <w:r>
        <w:rPr>
          <w:kern w:val="0"/>
        </w:rPr>
        <w:t>bias. We could not perform meta-analyses for the main outcomes as they were either not reported or there were insufficient number</w:t>
      </w:r>
      <w:r w:rsidR="00427468">
        <w:rPr>
          <w:kern w:val="0"/>
        </w:rPr>
        <w:t xml:space="preserve"> of </w:t>
      </w:r>
      <w:r>
        <w:rPr>
          <w:kern w:val="0"/>
        </w:rPr>
        <w:t>trials for each outcome to be meta-analysed. We could meta-analyse the available data for body weight</w:t>
      </w:r>
      <w:r w:rsidR="005853A9">
        <w:rPr>
          <w:kern w:val="0"/>
        </w:rPr>
        <w:t xml:space="preserve"> and </w:t>
      </w:r>
      <w:r>
        <w:rPr>
          <w:kern w:val="0"/>
        </w:rPr>
        <w:t xml:space="preserve">body mass index only. Adverse </w:t>
      </w:r>
      <w:r>
        <w:rPr>
          <w:kern w:val="0"/>
        </w:rPr>
        <w:lastRenderedPageBreak/>
        <w:t>events were poorly reported. Authors</w:t>
      </w:r>
      <w:r w:rsidR="0071223E">
        <w:rPr>
          <w:kern w:val="0"/>
        </w:rPr>
        <w:t>’</w:t>
      </w:r>
      <w:r>
        <w:rPr>
          <w:kern w:val="0"/>
        </w:rPr>
        <w:t xml:space="preserve"> conclusions The sparse data</w:t>
      </w:r>
      <w:r w:rsidR="005853A9">
        <w:rPr>
          <w:kern w:val="0"/>
        </w:rPr>
        <w:t xml:space="preserve"> and </w:t>
      </w:r>
      <w:r>
        <w:rPr>
          <w:kern w:val="0"/>
        </w:rPr>
        <w:t>high risk</w:t>
      </w:r>
      <w:r w:rsidR="00427468">
        <w:rPr>
          <w:kern w:val="0"/>
        </w:rPr>
        <w:t xml:space="preserve"> of </w:t>
      </w:r>
      <w:r>
        <w:rPr>
          <w:kern w:val="0"/>
        </w:rPr>
        <w:t>bias preclude us from drawing any definite conclusion on lifestyle programme or orlistat for treatment</w:t>
      </w:r>
      <w:r w:rsidR="00427468">
        <w:rPr>
          <w:kern w:val="0"/>
        </w:rPr>
        <w:t xml:space="preserve"> of </w:t>
      </w:r>
      <w:r>
        <w:rPr>
          <w:kern w:val="0"/>
        </w:rPr>
        <w:t>NAFLD. Further randomised clinical trials with low risk</w:t>
      </w:r>
      <w:r w:rsidR="00427468">
        <w:rPr>
          <w:kern w:val="0"/>
        </w:rPr>
        <w:t xml:space="preserve"> of </w:t>
      </w:r>
      <w:r>
        <w:rPr>
          <w:kern w:val="0"/>
        </w:rPr>
        <w:t>bias are needed to test the beneficial</w:t>
      </w:r>
      <w:r w:rsidR="005853A9">
        <w:rPr>
          <w:kern w:val="0"/>
        </w:rPr>
        <w:t xml:space="preserve"> and </w:t>
      </w:r>
      <w:r>
        <w:rPr>
          <w:kern w:val="0"/>
        </w:rPr>
        <w:t>harmful effects</w:t>
      </w:r>
      <w:r w:rsidR="00427468">
        <w:rPr>
          <w:kern w:val="0"/>
        </w:rPr>
        <w:t xml:space="preserve"> of </w:t>
      </w:r>
      <w:r>
        <w:rPr>
          <w:kern w:val="0"/>
        </w:rPr>
        <w:t>weight reduction for NAFLD patients</w:t>
      </w:r>
      <w:r w:rsidR="00A37C1D">
        <w:rPr>
          <w:kern w:val="0"/>
        </w:rPr>
        <w:t>. The</w:t>
      </w:r>
      <w:r>
        <w:rPr>
          <w:kern w:val="0"/>
        </w:rPr>
        <w:t xml:space="preserve"> long-term prognosis</w:t>
      </w:r>
      <w:r w:rsidR="00427468">
        <w:rPr>
          <w:kern w:val="0"/>
        </w:rPr>
        <w:t xml:space="preserve"> of </w:t>
      </w:r>
      <w:r>
        <w:rPr>
          <w:kern w:val="0"/>
        </w:rPr>
        <w:t>development</w:t>
      </w:r>
      <w:r w:rsidR="00427468">
        <w:rPr>
          <w:kern w:val="0"/>
        </w:rPr>
        <w:t xml:space="preserve"> of </w:t>
      </w:r>
      <w:r>
        <w:rPr>
          <w:kern w:val="0"/>
        </w:rPr>
        <w:t>fibrosis, mortality,</w:t>
      </w:r>
      <w:r w:rsidR="005853A9">
        <w:rPr>
          <w:kern w:val="0"/>
        </w:rPr>
        <w:t xml:space="preserve"> and </w:t>
      </w:r>
      <w:r>
        <w:rPr>
          <w:kern w:val="0"/>
        </w:rPr>
        <w:t>quality</w:t>
      </w:r>
      <w:r w:rsidR="00427468">
        <w:rPr>
          <w:kern w:val="0"/>
        </w:rPr>
        <w:t xml:space="preserve"> of </w:t>
      </w:r>
      <w:r>
        <w:rPr>
          <w:kern w:val="0"/>
        </w:rPr>
        <w:t>life should be studied.</w:t>
      </w:r>
    </w:p>
    <w:p w:rsidR="00365DE4" w:rsidRDefault="00365DE4" w:rsidP="00365DE4">
      <w:pPr>
        <w:pStyle w:val="a3"/>
        <w:rPr>
          <w:kern w:val="0"/>
        </w:rPr>
      </w:pPr>
      <w:r>
        <w:rPr>
          <w:kern w:val="0"/>
        </w:rPr>
        <w:t>Keywords: Aminotransferase Levels, Bariatric Surgery, Bias, Citation, Clinical Trials, Development, Embase, Follow-Up, Hepatic Steatosis, Impaired Glucose-Tolerance, Life-Style Intervention, Obese Children, Outcomes, Placebo-Controlled Trial, PUBMED, Randomized Controlled-Trial, Review, Risk-Factors, Science, Science Citation Index, Search Strategy</w:t>
      </w:r>
    </w:p>
    <w:p w:rsidR="00365DE4" w:rsidRDefault="00365DE4" w:rsidP="00365DE4">
      <w:pPr>
        <w:pStyle w:val="a3"/>
        <w:rPr>
          <w:kern w:val="0"/>
        </w:rPr>
      </w:pPr>
      <w:r>
        <w:rPr>
          <w:kern w:val="0"/>
        </w:rPr>
        <w:t>? Verbeek, J.H., Martimo, K.P., Karppinen, J., Kuijer, P.P.F.M., Viikari-Juntura, E.</w:t>
      </w:r>
      <w:r w:rsidR="005853A9">
        <w:rPr>
          <w:kern w:val="0"/>
        </w:rPr>
        <w:t xml:space="preserve"> and </w:t>
      </w:r>
      <w:r>
        <w:rPr>
          <w:kern w:val="0"/>
        </w:rPr>
        <w:t>Takala, E.P. (2011), Manual material handling advice</w:t>
      </w:r>
      <w:r w:rsidR="005853A9">
        <w:rPr>
          <w:kern w:val="0"/>
        </w:rPr>
        <w:t xml:space="preserve"> and </w:t>
      </w:r>
      <w:r>
        <w:rPr>
          <w:kern w:val="0"/>
        </w:rPr>
        <w:t>assistive devices for preventing</w:t>
      </w:r>
      <w:r w:rsidR="005853A9">
        <w:rPr>
          <w:kern w:val="0"/>
        </w:rPr>
        <w:t xml:space="preserve"> and </w:t>
      </w:r>
      <w:r>
        <w:rPr>
          <w:kern w:val="0"/>
        </w:rPr>
        <w:t xml:space="preserve">treating back pain in workers.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CD005958.</w:t>
      </w:r>
    </w:p>
    <w:p w:rsidR="00365DE4" w:rsidRDefault="00365DE4" w:rsidP="00365DE4">
      <w:pPr>
        <w:pStyle w:val="a3"/>
        <w:rPr>
          <w:kern w:val="2"/>
        </w:rPr>
      </w:pPr>
      <w:r>
        <w:t xml:space="preserve">Full Text: </w:t>
      </w:r>
      <w:hyperlink r:id="rId597" w:history="1">
        <w:r>
          <w:rPr>
            <w:rStyle w:val="a5"/>
          </w:rPr>
          <w:t>2011\Coc Dat Sys Rev2011, CD005958.pdf</w:t>
        </w:r>
      </w:hyperlink>
    </w:p>
    <w:p w:rsidR="00365DE4" w:rsidRDefault="00365DE4" w:rsidP="00365DE4">
      <w:pPr>
        <w:pStyle w:val="a3"/>
        <w:rPr>
          <w:kern w:val="0"/>
        </w:rPr>
      </w:pPr>
      <w:r>
        <w:rPr>
          <w:kern w:val="0"/>
        </w:rPr>
        <w:t>Abstract: Background Training</w:t>
      </w:r>
      <w:r w:rsidR="005853A9">
        <w:rPr>
          <w:kern w:val="0"/>
        </w:rPr>
        <w:t xml:space="preserve"> and </w:t>
      </w:r>
      <w:r>
        <w:rPr>
          <w:kern w:val="0"/>
        </w:rPr>
        <w:t>the provision</w:t>
      </w:r>
      <w:r w:rsidR="00427468">
        <w:rPr>
          <w:kern w:val="0"/>
        </w:rPr>
        <w:t xml:space="preserve"> of </w:t>
      </w:r>
      <w:r>
        <w:rPr>
          <w:kern w:val="0"/>
        </w:rPr>
        <w:t>assistive devices are considered major interventions to prevent back pain</w:t>
      </w:r>
      <w:r w:rsidR="005853A9">
        <w:rPr>
          <w:kern w:val="0"/>
        </w:rPr>
        <w:t xml:space="preserve"> and </w:t>
      </w:r>
      <w:r>
        <w:rPr>
          <w:kern w:val="0"/>
        </w:rPr>
        <w:t>its related disability among workers exposed to manual material handling (MMH). Objectives To determine the effectiveness</w:t>
      </w:r>
      <w:r w:rsidR="00427468">
        <w:rPr>
          <w:kern w:val="0"/>
        </w:rPr>
        <w:t xml:space="preserve"> of </w:t>
      </w:r>
      <w:r>
        <w:rPr>
          <w:kern w:val="0"/>
        </w:rPr>
        <w:t>MMH advice</w:t>
      </w:r>
      <w:r w:rsidR="005853A9">
        <w:rPr>
          <w:kern w:val="0"/>
        </w:rPr>
        <w:t xml:space="preserve"> and </w:t>
      </w:r>
      <w:r>
        <w:rPr>
          <w:kern w:val="0"/>
        </w:rPr>
        <w:t>training</w:t>
      </w:r>
      <w:r w:rsidR="005853A9">
        <w:rPr>
          <w:kern w:val="0"/>
        </w:rPr>
        <w:t xml:space="preserve"> and </w:t>
      </w:r>
      <w:r>
        <w:rPr>
          <w:kern w:val="0"/>
        </w:rPr>
        <w:t>the provision</w:t>
      </w:r>
      <w:r w:rsidR="00427468">
        <w:rPr>
          <w:kern w:val="0"/>
        </w:rPr>
        <w:t xml:space="preserve"> of </w:t>
      </w:r>
      <w:r>
        <w:rPr>
          <w:kern w:val="0"/>
        </w:rPr>
        <w:t>assistive devices in preventing</w:t>
      </w:r>
      <w:r w:rsidR="005853A9">
        <w:rPr>
          <w:kern w:val="0"/>
        </w:rPr>
        <w:t xml:space="preserve"> and </w:t>
      </w:r>
      <w:r>
        <w:rPr>
          <w:kern w:val="0"/>
        </w:rPr>
        <w:t xml:space="preserve">treating back pain. Search strategy We searched CENTRAL (The Cochrane Library 2011, issue 1), </w:t>
      </w:r>
      <w:r w:rsidR="00D5664A">
        <w:rPr>
          <w:kern w:val="0"/>
        </w:rPr>
        <w:t>MEDLINE</w:t>
      </w:r>
      <w:r>
        <w:rPr>
          <w:kern w:val="0"/>
        </w:rPr>
        <w:t>, EMBASE, CINAHL, Nioshtic, CISdoc, Science Citation Index,</w:t>
      </w:r>
      <w:r w:rsidR="005853A9">
        <w:rPr>
          <w:kern w:val="0"/>
        </w:rPr>
        <w:t xml:space="preserve"> and </w:t>
      </w:r>
      <w:r>
        <w:rPr>
          <w:kern w:val="0"/>
        </w:rPr>
        <w:t>PsychLIT to February 2011. Selection criteria We included randomised controlled trials (RCT)</w:t>
      </w:r>
      <w:r w:rsidR="005853A9">
        <w:rPr>
          <w:kern w:val="0"/>
        </w:rPr>
        <w:t xml:space="preserve"> and </w:t>
      </w:r>
      <w:r>
        <w:rPr>
          <w:kern w:val="0"/>
        </w:rPr>
        <w:t>cohort studies with a concurrent control group that were aimed at changing human behaviour in MMH</w:t>
      </w:r>
      <w:r w:rsidR="005853A9">
        <w:rPr>
          <w:kern w:val="0"/>
        </w:rPr>
        <w:t xml:space="preserve"> and </w:t>
      </w:r>
      <w:r>
        <w:rPr>
          <w:kern w:val="0"/>
        </w:rPr>
        <w:t>measured back pain, back pain-related disability or sickness absence. Data collection</w:t>
      </w:r>
      <w:r w:rsidR="005853A9">
        <w:rPr>
          <w:kern w:val="0"/>
        </w:rPr>
        <w:t xml:space="preserve"> and </w:t>
      </w:r>
      <w:r>
        <w:rPr>
          <w:kern w:val="0"/>
        </w:rPr>
        <w:t>analysis Two authors independently extracted the data</w:t>
      </w:r>
      <w:r w:rsidR="005853A9">
        <w:rPr>
          <w:kern w:val="0"/>
        </w:rPr>
        <w:t xml:space="preserve"> and </w:t>
      </w:r>
      <w:r>
        <w:rPr>
          <w:kern w:val="0"/>
        </w:rPr>
        <w:t>assessed the risk</w:t>
      </w:r>
      <w:r w:rsidR="00427468">
        <w:rPr>
          <w:kern w:val="0"/>
        </w:rPr>
        <w:t xml:space="preserve"> of </w:t>
      </w:r>
      <w:r>
        <w:rPr>
          <w:kern w:val="0"/>
        </w:rPr>
        <w:t>bias using the criteria recommended by the Cochrane Back Review Group for RCTs</w:t>
      </w:r>
      <w:r w:rsidR="005853A9">
        <w:rPr>
          <w:kern w:val="0"/>
        </w:rPr>
        <w:t xml:space="preserve"> and </w:t>
      </w:r>
      <w:r>
        <w:rPr>
          <w:kern w:val="0"/>
        </w:rPr>
        <w:t>MINORS for the cohort studies. We based the results</w:t>
      </w:r>
      <w:r w:rsidR="005853A9">
        <w:rPr>
          <w:kern w:val="0"/>
        </w:rPr>
        <w:t xml:space="preserve"> and </w:t>
      </w:r>
      <w:r>
        <w:rPr>
          <w:kern w:val="0"/>
        </w:rPr>
        <w:t>conclusions on the analysis</w:t>
      </w:r>
      <w:r w:rsidR="00427468">
        <w:rPr>
          <w:kern w:val="0"/>
        </w:rPr>
        <w:t xml:space="preserve"> of </w:t>
      </w:r>
      <w:r>
        <w:rPr>
          <w:kern w:val="0"/>
        </w:rPr>
        <w:t>RCTs only. We compared these with the results from cohort studies. Main results We included nine RCTs (20,101 employees)</w:t>
      </w:r>
      <w:r w:rsidR="005853A9">
        <w:rPr>
          <w:kern w:val="0"/>
        </w:rPr>
        <w:t xml:space="preserve"> and </w:t>
      </w:r>
      <w:r>
        <w:rPr>
          <w:kern w:val="0"/>
        </w:rPr>
        <w:t>nine cohort studies (1280 employees) on the prevention</w:t>
      </w:r>
      <w:r w:rsidR="00427468">
        <w:rPr>
          <w:kern w:val="0"/>
        </w:rPr>
        <w:t xml:space="preserve"> of </w:t>
      </w:r>
      <w:r>
        <w:rPr>
          <w:kern w:val="0"/>
        </w:rPr>
        <w:t>back pain in this updated review. Studies compared training to no intervention (4), professional education (2), a video (3), use</w:t>
      </w:r>
      <w:r w:rsidR="00427468">
        <w:rPr>
          <w:kern w:val="0"/>
        </w:rPr>
        <w:t xml:space="preserve"> of </w:t>
      </w:r>
      <w:r>
        <w:rPr>
          <w:kern w:val="0"/>
        </w:rPr>
        <w:t>a back belt (3) or exercise (2). Other studies compared training plus lifting aids to no intervention (3)</w:t>
      </w:r>
      <w:r w:rsidR="005853A9">
        <w:rPr>
          <w:kern w:val="0"/>
        </w:rPr>
        <w:t xml:space="preserve"> and </w:t>
      </w:r>
      <w:r>
        <w:rPr>
          <w:kern w:val="0"/>
        </w:rPr>
        <w:t>to training only (1)</w:t>
      </w:r>
      <w:r w:rsidR="00A37C1D">
        <w:rPr>
          <w:kern w:val="0"/>
        </w:rPr>
        <w:t>. The</w:t>
      </w:r>
      <w:r>
        <w:rPr>
          <w:kern w:val="0"/>
        </w:rPr>
        <w:t xml:space="preserve"> intensity</w:t>
      </w:r>
      <w:r w:rsidR="00427468">
        <w:rPr>
          <w:kern w:val="0"/>
        </w:rPr>
        <w:t xml:space="preserve"> of </w:t>
      </w:r>
      <w:r>
        <w:rPr>
          <w:kern w:val="0"/>
        </w:rPr>
        <w:t>training ranged from a single educational session to very extensive personal biofeedback. Six RCTs had a high risk</w:t>
      </w:r>
      <w:r w:rsidR="00427468">
        <w:rPr>
          <w:kern w:val="0"/>
        </w:rPr>
        <w:t xml:space="preserve"> of </w:t>
      </w:r>
      <w:r>
        <w:rPr>
          <w:kern w:val="0"/>
        </w:rPr>
        <w:t>bias. None</w:t>
      </w:r>
      <w:r w:rsidR="00427468">
        <w:rPr>
          <w:kern w:val="0"/>
        </w:rPr>
        <w:t xml:space="preserve"> of </w:t>
      </w:r>
      <w:r>
        <w:rPr>
          <w:kern w:val="0"/>
        </w:rPr>
        <w:t>the included studies showed evidence</w:t>
      </w:r>
      <w:r w:rsidR="00427468">
        <w:rPr>
          <w:kern w:val="0"/>
        </w:rPr>
        <w:t xml:space="preserve"> of </w:t>
      </w:r>
      <w:r>
        <w:rPr>
          <w:kern w:val="0"/>
        </w:rPr>
        <w:t>a preventive effect</w:t>
      </w:r>
      <w:r w:rsidR="00427468">
        <w:rPr>
          <w:kern w:val="0"/>
        </w:rPr>
        <w:t xml:space="preserve"> of </w:t>
      </w:r>
      <w:r>
        <w:rPr>
          <w:kern w:val="0"/>
        </w:rPr>
        <w:t>training on back pain</w:t>
      </w:r>
      <w:r w:rsidR="00A37C1D">
        <w:rPr>
          <w:kern w:val="0"/>
        </w:rPr>
        <w:t>. The</w:t>
      </w:r>
      <w:r>
        <w:rPr>
          <w:kern w:val="0"/>
        </w:rPr>
        <w:t>re was moderate quality evidence from seven RCTs (19,317 employees) that those who received training reported levels</w:t>
      </w:r>
      <w:r w:rsidR="00427468">
        <w:rPr>
          <w:kern w:val="0"/>
        </w:rPr>
        <w:t xml:space="preserve"> of </w:t>
      </w:r>
      <w:r>
        <w:rPr>
          <w:kern w:val="0"/>
        </w:rPr>
        <w:t xml:space="preserve">back </w:t>
      </w:r>
      <w:r>
        <w:rPr>
          <w:kern w:val="0"/>
        </w:rPr>
        <w:lastRenderedPageBreak/>
        <w:t>pain similar to those who received no intervention, with an odds ratio</w:t>
      </w:r>
      <w:r w:rsidR="00427468">
        <w:rPr>
          <w:kern w:val="0"/>
        </w:rPr>
        <w:t xml:space="preserve"> of </w:t>
      </w:r>
      <w:r>
        <w:rPr>
          <w:kern w:val="0"/>
        </w:rPr>
        <w:t>1.17 (95% confidence intervals (CI) 0.68 to 2.02) or minor advice (video), with a relative risk</w:t>
      </w:r>
      <w:r w:rsidR="00427468">
        <w:rPr>
          <w:kern w:val="0"/>
        </w:rPr>
        <w:t xml:space="preserve"> of </w:t>
      </w:r>
      <w:r>
        <w:rPr>
          <w:kern w:val="0"/>
        </w:rPr>
        <w:t>0.93 (95% CI 0.69 to 1.25). Confidence intervals around the effect estimates were still wide due to the adjustment for the design effect</w:t>
      </w:r>
      <w:r w:rsidR="00427468">
        <w:rPr>
          <w:kern w:val="0"/>
        </w:rPr>
        <w:t xml:space="preserve"> of </w:t>
      </w:r>
      <w:r>
        <w:rPr>
          <w:kern w:val="0"/>
        </w:rPr>
        <w:t>clustered studies</w:t>
      </w:r>
      <w:r w:rsidR="00A37C1D">
        <w:rPr>
          <w:kern w:val="0"/>
        </w:rPr>
        <w:t>. The</w:t>
      </w:r>
      <w:r>
        <w:rPr>
          <w:kern w:val="0"/>
        </w:rPr>
        <w:t xml:space="preserve"> results</w:t>
      </w:r>
      <w:r w:rsidR="00427468">
        <w:rPr>
          <w:kern w:val="0"/>
        </w:rPr>
        <w:t xml:space="preserve"> of </w:t>
      </w:r>
      <w:r>
        <w:rPr>
          <w:kern w:val="0"/>
        </w:rPr>
        <w:t>the cohort studies were similar to those</w:t>
      </w:r>
      <w:r w:rsidR="00427468">
        <w:rPr>
          <w:kern w:val="0"/>
        </w:rPr>
        <w:t xml:space="preserve"> of </w:t>
      </w:r>
      <w:r>
        <w:rPr>
          <w:kern w:val="0"/>
        </w:rPr>
        <w:t>the randomised studies. Authors</w:t>
      </w:r>
      <w:r w:rsidR="0071223E">
        <w:rPr>
          <w:kern w:val="0"/>
        </w:rPr>
        <w:t>’</w:t>
      </w:r>
      <w:r>
        <w:rPr>
          <w:kern w:val="0"/>
        </w:rPr>
        <w:t xml:space="preserve"> conclusions There is moderate quality evidence that MMH advice</w:t>
      </w:r>
      <w:r w:rsidR="005853A9">
        <w:rPr>
          <w:kern w:val="0"/>
        </w:rPr>
        <w:t xml:space="preserve"> and </w:t>
      </w:r>
      <w:r>
        <w:rPr>
          <w:kern w:val="0"/>
        </w:rPr>
        <w:t>training with or without assistive devices does not prevent back pain or back pain-related disability when compared to no intervention or alternative interventions</w:t>
      </w:r>
      <w:r w:rsidR="00A37C1D">
        <w:rPr>
          <w:kern w:val="0"/>
        </w:rPr>
        <w:t>. The</w:t>
      </w:r>
      <w:r>
        <w:rPr>
          <w:kern w:val="0"/>
        </w:rPr>
        <w:t>re is no evidence available from RCTs for the effectiveness</w:t>
      </w:r>
      <w:r w:rsidR="00427468">
        <w:rPr>
          <w:kern w:val="0"/>
        </w:rPr>
        <w:t xml:space="preserve"> of </w:t>
      </w:r>
      <w:r>
        <w:rPr>
          <w:kern w:val="0"/>
        </w:rPr>
        <w:t>MMH advice</w:t>
      </w:r>
      <w:r w:rsidR="005853A9">
        <w:rPr>
          <w:kern w:val="0"/>
        </w:rPr>
        <w:t xml:space="preserve"> and </w:t>
      </w:r>
      <w:r>
        <w:rPr>
          <w:kern w:val="0"/>
        </w:rPr>
        <w:t>training or MMH assistive devices for treating back pain. More high quality studies could further reduce the remaining uncertainty.</w:t>
      </w:r>
    </w:p>
    <w:p w:rsidR="00365DE4" w:rsidRDefault="00365DE4" w:rsidP="00365DE4">
      <w:pPr>
        <w:pStyle w:val="a3"/>
        <w:rPr>
          <w:kern w:val="0"/>
        </w:rPr>
      </w:pPr>
      <w:r>
        <w:rPr>
          <w:kern w:val="0"/>
        </w:rPr>
        <w:t xml:space="preserve">Keywords: *Health Education, *Self-Help Devices, *Therapy], Authors, Back Pain [Prevention &amp; Control, Bias, Care Facilities, Citation, Cohort Studies, Education, Embase, Human, Humans, Intervention Program, Interventions, Lifting, Lumbar Supports, </w:t>
      </w:r>
      <w:r w:rsidR="00D5664A">
        <w:rPr>
          <w:kern w:val="0"/>
        </w:rPr>
        <w:t>MEDLINE</w:t>
      </w:r>
      <w:r>
        <w:rPr>
          <w:kern w:val="0"/>
        </w:rPr>
        <w:t>, Musculoskeletal Disorders, No Lifting Policy, Nurses, Occupational Diseases [Prevention &amp; Control, Participatory Ergonomics, Prevention, Professional, Randomized Controlled Trials As Topic, Randomized Controlled-Trial, Review, Science, Science Citation Index, Search Strategy, Systematic Reviews, Training, Updated Method Guidelines</w:t>
      </w:r>
    </w:p>
    <w:p w:rsidR="00365DE4" w:rsidRDefault="00365DE4" w:rsidP="00365DE4">
      <w:pPr>
        <w:pStyle w:val="a3"/>
        <w:rPr>
          <w:kern w:val="0"/>
        </w:rPr>
      </w:pPr>
      <w:r>
        <w:rPr>
          <w:kern w:val="0"/>
        </w:rPr>
        <w:t>? Gur</w:t>
      </w:r>
      <w:r w:rsidR="00D5664A">
        <w:rPr>
          <w:kern w:val="0"/>
        </w:rPr>
        <w:t>USA</w:t>
      </w:r>
      <w:r>
        <w:rPr>
          <w:kern w:val="0"/>
        </w:rPr>
        <w:t>my, K.S., Naik, P.</w:t>
      </w:r>
      <w:r w:rsidR="005853A9">
        <w:rPr>
          <w:kern w:val="0"/>
        </w:rPr>
        <w:t xml:space="preserve"> and </w:t>
      </w:r>
      <w:r>
        <w:rPr>
          <w:kern w:val="0"/>
        </w:rPr>
        <w:t xml:space="preserve">Davidson, B.R. (2011), Routine drainage for orthotopic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CD008399.</w:t>
      </w:r>
    </w:p>
    <w:p w:rsidR="00365DE4" w:rsidRDefault="00365DE4" w:rsidP="00365DE4">
      <w:pPr>
        <w:pStyle w:val="a3"/>
        <w:rPr>
          <w:kern w:val="2"/>
        </w:rPr>
      </w:pPr>
      <w:r>
        <w:t xml:space="preserve">Full Text: </w:t>
      </w:r>
      <w:hyperlink r:id="rId598" w:history="1">
        <w:r>
          <w:rPr>
            <w:rStyle w:val="a5"/>
          </w:rPr>
          <w:t>2011\Coc Dat Sys Rev2011, CD008399.pdf</w:t>
        </w:r>
      </w:hyperlink>
    </w:p>
    <w:p w:rsidR="00365DE4" w:rsidRDefault="00365DE4" w:rsidP="00365DE4">
      <w:pPr>
        <w:pStyle w:val="a3"/>
        <w:rPr>
          <w:kern w:val="0"/>
        </w:rPr>
      </w:pPr>
      <w:r>
        <w:rPr>
          <w:kern w:val="0"/>
        </w:rPr>
        <w:t>Abstract: Background Routine use</w:t>
      </w:r>
      <w:r w:rsidR="00427468">
        <w:rPr>
          <w:kern w:val="0"/>
        </w:rPr>
        <w:t xml:space="preserve"> of </w:t>
      </w:r>
      <w:r>
        <w:rPr>
          <w:kern w:val="0"/>
        </w:rPr>
        <w:t>abdominal drainage in patients undergoing liver transplantation is controversial. Objectives To assess the benefits</w:t>
      </w:r>
      <w:r w:rsidR="005853A9">
        <w:rPr>
          <w:kern w:val="0"/>
        </w:rPr>
        <w:t xml:space="preserve"> and </w:t>
      </w:r>
      <w:r>
        <w:rPr>
          <w:kern w:val="0"/>
        </w:rPr>
        <w:t>harms</w:t>
      </w:r>
      <w:r w:rsidR="00427468">
        <w:rPr>
          <w:kern w:val="0"/>
        </w:rPr>
        <w:t xml:space="preserve"> of </w:t>
      </w:r>
      <w:r>
        <w:rPr>
          <w:kern w:val="0"/>
        </w:rPr>
        <w:t>routine abdominal drainage after orthotopic liver transplantation versus no drainage</w:t>
      </w:r>
      <w:r w:rsidR="005853A9">
        <w:rPr>
          <w:kern w:val="0"/>
        </w:rPr>
        <w:t xml:space="preserve"> and </w:t>
      </w:r>
      <w:r>
        <w:rPr>
          <w:kern w:val="0"/>
        </w:rPr>
        <w:t>to address different drain types. Search strategy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the MetaRegister</w:t>
      </w:r>
      <w:r w:rsidR="00427468">
        <w:rPr>
          <w:kern w:val="0"/>
        </w:rPr>
        <w:t xml:space="preserve"> of </w:t>
      </w:r>
      <w:r>
        <w:rPr>
          <w:kern w:val="0"/>
        </w:rPr>
        <w:t>Controlled Trials until March 2011 to identify the randomised trials. Selection criteria We planned to include only randomised clinical trials (irrespective</w:t>
      </w:r>
      <w:r w:rsidR="00427468">
        <w:rPr>
          <w:kern w:val="0"/>
        </w:rPr>
        <w:t xml:space="preserve"> of </w:t>
      </w:r>
      <w:r>
        <w:rPr>
          <w:kern w:val="0"/>
        </w:rPr>
        <w:t>language, blinding, or publication status) addressing this issue. Data collection</w:t>
      </w:r>
      <w:r w:rsidR="005853A9">
        <w:rPr>
          <w:kern w:val="0"/>
        </w:rPr>
        <w:t xml:space="preserve"> and </w:t>
      </w:r>
      <w:r>
        <w:rPr>
          <w:kern w:val="0"/>
        </w:rPr>
        <w:t>analysis Two authors identified the trials for inclusion independently. Two authors planned to collect the data independently. We planned to analyse the data with both the fixed-effect</w:t>
      </w:r>
      <w:r w:rsidR="005853A9">
        <w:rPr>
          <w:kern w:val="0"/>
        </w:rPr>
        <w:t xml:space="preserve"> and </w:t>
      </w:r>
      <w:r>
        <w:rPr>
          <w:kern w:val="0"/>
        </w:rPr>
        <w:t>the random-effects model using RevMan Analysis. For each outcome we planned to calculate the risk ratio (RR) or mean difference (MD) with 95% confidence intervals (CI) based on intention-to-treat analysis whenever possible. Main results We did not identify any randomised clinical trials addressing this issue. Authors</w:t>
      </w:r>
      <w:r w:rsidR="0071223E">
        <w:rPr>
          <w:kern w:val="0"/>
        </w:rPr>
        <w:t>’</w:t>
      </w:r>
      <w:r>
        <w:rPr>
          <w:kern w:val="0"/>
        </w:rPr>
        <w:t xml:space="preserve"> conclusions There is currently no evidence to conclude whether routine </w:t>
      </w:r>
      <w:r>
        <w:rPr>
          <w:kern w:val="0"/>
        </w:rPr>
        <w:lastRenderedPageBreak/>
        <w:t>abdominal drainage is useful or harmful in patients undergoing orthotopic liver transplantation. Evidence from non-randomised studies</w:t>
      </w:r>
      <w:r w:rsidR="00427468">
        <w:rPr>
          <w:kern w:val="0"/>
        </w:rPr>
        <w:t xml:space="preserve"> of </w:t>
      </w:r>
      <w:r>
        <w:rPr>
          <w:kern w:val="0"/>
        </w:rPr>
        <w:t>high risk</w:t>
      </w:r>
      <w:r w:rsidR="00427468">
        <w:rPr>
          <w:kern w:val="0"/>
        </w:rPr>
        <w:t xml:space="preserve"> of </w:t>
      </w:r>
      <w:r>
        <w:rPr>
          <w:kern w:val="0"/>
        </w:rPr>
        <w:t>bias showed conflicting results on the impact</w:t>
      </w:r>
      <w:r w:rsidR="00427468">
        <w:rPr>
          <w:kern w:val="0"/>
        </w:rPr>
        <w:t xml:space="preserve"> of </w:t>
      </w:r>
      <w:r>
        <w:rPr>
          <w:kern w:val="0"/>
        </w:rPr>
        <w:t>routine drainage in orthotopic liver transplantation on serious adverse events, showing that this question is an important clinical research question. Well-designed randomised clinical trials with adequate sample size to decrease systematic errors</w:t>
      </w:r>
      <w:r w:rsidR="005853A9">
        <w:rPr>
          <w:kern w:val="0"/>
        </w:rPr>
        <w:t xml:space="preserve"> and </w:t>
      </w:r>
      <w:r>
        <w:rPr>
          <w:kern w:val="0"/>
        </w:rPr>
        <w:t>to decrease random errors are necessary.</w:t>
      </w:r>
    </w:p>
    <w:p w:rsidR="00365DE4" w:rsidRDefault="00365DE4" w:rsidP="00365DE4">
      <w:pPr>
        <w:pStyle w:val="a3"/>
        <w:rPr>
          <w:kern w:val="0"/>
        </w:rPr>
      </w:pPr>
      <w:r>
        <w:rPr>
          <w:kern w:val="0"/>
        </w:rPr>
        <w:t xml:space="preserve">Keywords: Authors, Bias, Citation, Clinical Research, Clinical Trials, Efficacy, Embase, Empirical-Evidence, Impact, </w:t>
      </w:r>
      <w:r w:rsidR="00D5664A">
        <w:rPr>
          <w:kern w:val="0"/>
        </w:rPr>
        <w:t>MEDLINE</w:t>
      </w:r>
      <w:r>
        <w:rPr>
          <w:kern w:val="0"/>
        </w:rPr>
        <w:t>, Metaanalysis, Model, Publication, Quality, Randomized Clinical-Trials, Research, Science, Science Citation Index, Search Strategy, Survival</w:t>
      </w:r>
    </w:p>
    <w:p w:rsidR="00365DE4" w:rsidRDefault="00365DE4" w:rsidP="00365DE4">
      <w:pPr>
        <w:pStyle w:val="a3"/>
        <w:rPr>
          <w:kern w:val="0"/>
        </w:rPr>
      </w:pPr>
      <w:r>
        <w:t xml:space="preserve">? </w:t>
      </w:r>
      <w:r>
        <w:rPr>
          <w:kern w:val="0"/>
        </w:rPr>
        <w:t>Marti-Carvajal, A.J., Sola, I., Gonzalez, L.E., de Gonzalez, G.L.</w:t>
      </w:r>
      <w:r w:rsidR="005853A9">
        <w:rPr>
          <w:kern w:val="0"/>
        </w:rPr>
        <w:t xml:space="preserve"> and </w:t>
      </w:r>
      <w:r>
        <w:rPr>
          <w:kern w:val="0"/>
        </w:rPr>
        <w:t>Rodriguez-Malagon, N. (2010), Pharmacological interventions for the prevention</w:t>
      </w:r>
      <w:r w:rsidR="00427468">
        <w:rPr>
          <w:kern w:val="0"/>
        </w:rPr>
        <w:t xml:space="preserve"> of </w:t>
      </w:r>
      <w:r>
        <w:rPr>
          <w:kern w:val="0"/>
        </w:rPr>
        <w:t>allergic</w:t>
      </w:r>
      <w:r w:rsidR="005853A9">
        <w:rPr>
          <w:kern w:val="0"/>
        </w:rPr>
        <w:t xml:space="preserve"> and </w:t>
      </w:r>
      <w:r>
        <w:rPr>
          <w:kern w:val="0"/>
        </w:rPr>
        <w:t xml:space="preserve">febrile non-haemolytic transfusion reactions.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CD007539.</w:t>
      </w:r>
    </w:p>
    <w:p w:rsidR="00365DE4" w:rsidRDefault="00365DE4" w:rsidP="00365DE4">
      <w:pPr>
        <w:pStyle w:val="a3"/>
        <w:rPr>
          <w:kern w:val="2"/>
        </w:rPr>
      </w:pPr>
      <w:r>
        <w:t xml:space="preserve">Full Text: </w:t>
      </w:r>
      <w:hyperlink r:id="rId599" w:history="1">
        <w:r>
          <w:rPr>
            <w:rStyle w:val="a5"/>
          </w:rPr>
          <w:t>2010\Coc Dat Sys Rev2010, CD007539.pdf</w:t>
        </w:r>
      </w:hyperlink>
    </w:p>
    <w:p w:rsidR="00365DE4" w:rsidRDefault="00365DE4" w:rsidP="00365DE4">
      <w:pPr>
        <w:pStyle w:val="a3"/>
        <w:rPr>
          <w:kern w:val="0"/>
        </w:rPr>
      </w:pPr>
      <w:r>
        <w:rPr>
          <w:kern w:val="0"/>
        </w:rPr>
        <w:t>Abstract: Background Allergic</w:t>
      </w:r>
      <w:r w:rsidR="005853A9">
        <w:rPr>
          <w:kern w:val="0"/>
        </w:rPr>
        <w:t xml:space="preserve"> and </w:t>
      </w:r>
      <w:r>
        <w:rPr>
          <w:kern w:val="0"/>
        </w:rPr>
        <w:t>febrile non-haemolytic transfusion reactions (NHTRs) are the two most common forms</w:t>
      </w:r>
      <w:r w:rsidR="00427468">
        <w:rPr>
          <w:kern w:val="0"/>
        </w:rPr>
        <w:t xml:space="preserve"> of </w:t>
      </w:r>
      <w:r>
        <w:rPr>
          <w:kern w:val="0"/>
        </w:rPr>
        <w:t>transfusion reaction. Pretransfusion medication with anti-inflammatory drugs is used in NHTR prevention, however its efficacy</w:t>
      </w:r>
      <w:r w:rsidR="005853A9">
        <w:rPr>
          <w:kern w:val="0"/>
        </w:rPr>
        <w:t xml:space="preserve"> and </w:t>
      </w:r>
      <w:r>
        <w:rPr>
          <w:kern w:val="0"/>
        </w:rPr>
        <w:t>safety remains unclear. Objectives To assess the clinical effects</w:t>
      </w:r>
      <w:r w:rsidR="005853A9">
        <w:rPr>
          <w:kern w:val="0"/>
        </w:rPr>
        <w:t xml:space="preserve"> and </w:t>
      </w:r>
      <w:r>
        <w:rPr>
          <w:kern w:val="0"/>
        </w:rPr>
        <w:t>safety</w:t>
      </w:r>
      <w:r w:rsidR="00427468">
        <w:rPr>
          <w:kern w:val="0"/>
        </w:rPr>
        <w:t xml:space="preserve"> of </w:t>
      </w:r>
      <w:r>
        <w:rPr>
          <w:kern w:val="0"/>
        </w:rPr>
        <w:t>pharmacological interventions for preventing NHTR in patients with</w:t>
      </w:r>
      <w:r w:rsidR="005853A9">
        <w:rPr>
          <w:kern w:val="0"/>
        </w:rPr>
        <w:t xml:space="preserve"> and </w:t>
      </w:r>
      <w:r>
        <w:rPr>
          <w:kern w:val="0"/>
        </w:rPr>
        <w:t>without a history</w:t>
      </w:r>
      <w:r w:rsidR="00427468">
        <w:rPr>
          <w:kern w:val="0"/>
        </w:rPr>
        <w:t xml:space="preserve"> of </w:t>
      </w:r>
      <w:r>
        <w:rPr>
          <w:kern w:val="0"/>
        </w:rPr>
        <w:t>transfusion reactions. Search strategy The search strategy included The Cochrane Central Register</w:t>
      </w:r>
      <w:r w:rsidR="00427468">
        <w:rPr>
          <w:kern w:val="0"/>
        </w:rPr>
        <w:t xml:space="preserve"> of </w:t>
      </w:r>
      <w:r>
        <w:rPr>
          <w:kern w:val="0"/>
        </w:rPr>
        <w:t>Controlled Trials (CENTRAL) on The Cochrane Library (Issue 4, 2008), Cochrane Injuries Group</w:t>
      </w:r>
      <w:r w:rsidR="0071223E">
        <w:rPr>
          <w:kern w:val="0"/>
        </w:rPr>
        <w:t>’</w:t>
      </w:r>
      <w:r>
        <w:rPr>
          <w:kern w:val="0"/>
        </w:rPr>
        <w:t xml:space="preserve">s Specialised Register (December 17, 2008), </w:t>
      </w:r>
      <w:r w:rsidR="00D5664A">
        <w:rPr>
          <w:kern w:val="0"/>
        </w:rPr>
        <w:t>MEDLINE</w:t>
      </w:r>
      <w:r>
        <w:rPr>
          <w:kern w:val="0"/>
        </w:rPr>
        <w:t xml:space="preserve"> (1950 to November (week 3) 2008), EMBASE (1988 to November (week 3) 2008), LILACS (1982 to January 12, 2009), CINAHL (1982 to December 2008), ISI </w:t>
      </w:r>
      <w:r w:rsidR="00D5664A">
        <w:rPr>
          <w:kern w:val="0"/>
        </w:rPr>
        <w:t>Web</w:t>
      </w:r>
      <w:r w:rsidR="00427468">
        <w:rPr>
          <w:kern w:val="0"/>
        </w:rPr>
        <w:t xml:space="preserve"> of </w:t>
      </w:r>
      <w:r w:rsidR="00D5664A">
        <w:rPr>
          <w:kern w:val="0"/>
        </w:rPr>
        <w:t>Science</w:t>
      </w:r>
      <w:r>
        <w:rPr>
          <w:kern w:val="0"/>
        </w:rPr>
        <w:t>: Science Citation Index Expanded (SCI-EXPANDED): 1970 to December 2008)</w:t>
      </w:r>
      <w:r w:rsidR="00A37C1D">
        <w:rPr>
          <w:kern w:val="0"/>
        </w:rPr>
        <w:t>. The</w:t>
      </w:r>
      <w:r>
        <w:rPr>
          <w:kern w:val="0"/>
        </w:rPr>
        <w:t>re was no language restriction. Selection criteria Randomised controlled trials (RCTs) assessing the effectiveness</w:t>
      </w:r>
      <w:r w:rsidR="00427468">
        <w:rPr>
          <w:kern w:val="0"/>
        </w:rPr>
        <w:t xml:space="preserve"> of </w:t>
      </w:r>
      <w:r>
        <w:rPr>
          <w:kern w:val="0"/>
        </w:rPr>
        <w:t>interventions for the prevention</w:t>
      </w:r>
      <w:r w:rsidR="00427468">
        <w:rPr>
          <w:kern w:val="0"/>
        </w:rPr>
        <w:t xml:space="preserve"> of </w:t>
      </w:r>
      <w:r>
        <w:rPr>
          <w:kern w:val="0"/>
        </w:rPr>
        <w:t>NHTR. Data collection</w:t>
      </w:r>
      <w:r w:rsidR="005853A9">
        <w:rPr>
          <w:kern w:val="0"/>
        </w:rPr>
        <w:t xml:space="preserve"> and </w:t>
      </w:r>
      <w:r>
        <w:rPr>
          <w:kern w:val="0"/>
        </w:rPr>
        <w:t>analysis Authors independently selected studies, assessed the risks</w:t>
      </w:r>
      <w:r w:rsidR="00427468">
        <w:rPr>
          <w:kern w:val="0"/>
        </w:rPr>
        <w:t xml:space="preserve"> of </w:t>
      </w:r>
      <w:r>
        <w:rPr>
          <w:kern w:val="0"/>
        </w:rPr>
        <w:t>bias</w:t>
      </w:r>
      <w:r w:rsidR="005853A9">
        <w:rPr>
          <w:kern w:val="0"/>
        </w:rPr>
        <w:t xml:space="preserve"> and </w:t>
      </w:r>
      <w:r>
        <w:rPr>
          <w:kern w:val="0"/>
        </w:rPr>
        <w:t>extracted data. Relative risks (RR) were estimated in RCTs with parallel design (PD). Odds ratio (OR) was estimated for one RCT with crossover design (CD). No meta-analysis was attempted due to differences in the pharmacotherapy</w:t>
      </w:r>
      <w:r w:rsidR="00427468">
        <w:rPr>
          <w:kern w:val="0"/>
        </w:rPr>
        <w:t xml:space="preserve"> of </w:t>
      </w:r>
      <w:r>
        <w:rPr>
          <w:kern w:val="0"/>
        </w:rPr>
        <w:t>pre-transfusion medication</w:t>
      </w:r>
      <w:r w:rsidR="005853A9">
        <w:rPr>
          <w:kern w:val="0"/>
        </w:rPr>
        <w:t xml:space="preserve"> and </w:t>
      </w:r>
      <w:r>
        <w:rPr>
          <w:kern w:val="0"/>
        </w:rPr>
        <w:t>methodology between the studies; a per-protocol analysis was used. Main results This review includes three RCTs (two PD</w:t>
      </w:r>
      <w:r w:rsidR="005853A9">
        <w:rPr>
          <w:kern w:val="0"/>
        </w:rPr>
        <w:t xml:space="preserve"> and </w:t>
      </w:r>
      <w:r>
        <w:rPr>
          <w:kern w:val="0"/>
        </w:rPr>
        <w:t>one CD)</w:t>
      </w:r>
      <w:r w:rsidR="00A37C1D">
        <w:rPr>
          <w:kern w:val="0"/>
        </w:rPr>
        <w:t>. The</w:t>
      </w:r>
      <w:r>
        <w:rPr>
          <w:kern w:val="0"/>
        </w:rPr>
        <w:t xml:space="preserve"> PD-RCTs employed disparate units</w:t>
      </w:r>
      <w:r w:rsidR="00427468">
        <w:rPr>
          <w:kern w:val="0"/>
        </w:rPr>
        <w:t xml:space="preserve"> of </w:t>
      </w:r>
      <w:r>
        <w:rPr>
          <w:kern w:val="0"/>
        </w:rPr>
        <w:t>randomisation (UofR); patient or transfusion, while the CD-RCT applied the patient as the UofR</w:t>
      </w:r>
      <w:r w:rsidR="00A37C1D">
        <w:rPr>
          <w:kern w:val="0"/>
        </w:rPr>
        <w:t>. The</w:t>
      </w:r>
      <w:r>
        <w:rPr>
          <w:kern w:val="0"/>
        </w:rPr>
        <w:t xml:space="preserve"> PD-RCTs administered leukodepleted blood products. Both PD-RCTs compared acetaminophen plus diphenhydramine (ApD) at </w:t>
      </w:r>
      <w:r>
        <w:rPr>
          <w:kern w:val="0"/>
        </w:rPr>
        <w:lastRenderedPageBreak/>
        <w:t>different regimens with placebo, while the CD-RCT contrasted hydrocortisone pharmacotherapy with diphenhydramine. Both PD-RCTs found no statistically significant difference in allergic reactions (RR 0.13, 95% confidence interval (CI) 0.01 to 2.39, RR 1.46, 95% CI 0.78 to 2.73)</w:t>
      </w:r>
      <w:r w:rsidR="005853A9">
        <w:rPr>
          <w:kern w:val="0"/>
        </w:rPr>
        <w:t xml:space="preserve"> and </w:t>
      </w:r>
      <w:r>
        <w:rPr>
          <w:kern w:val="0"/>
        </w:rPr>
        <w:t>febrile reactions (RR 0.52, 95% CI 0.22 to 1.26)</w:t>
      </w:r>
      <w:r w:rsidR="00A37C1D">
        <w:rPr>
          <w:kern w:val="0"/>
        </w:rPr>
        <w:t>. The</w:t>
      </w:r>
      <w:r>
        <w:rPr>
          <w:kern w:val="0"/>
        </w:rPr>
        <w:t xml:space="preserve"> CD-RCT found a statistically significant difference in the odds</w:t>
      </w:r>
      <w:r w:rsidR="00427468">
        <w:rPr>
          <w:kern w:val="0"/>
        </w:rPr>
        <w:t xml:space="preserve"> of </w:t>
      </w:r>
      <w:r>
        <w:rPr>
          <w:kern w:val="0"/>
        </w:rPr>
        <w:t>febrile reactions (OR 2.38, 95% CI 1.07 to 5.27)</w:t>
      </w:r>
      <w:r w:rsidR="00A37C1D">
        <w:rPr>
          <w:kern w:val="0"/>
        </w:rPr>
        <w:t>. The</w:t>
      </w:r>
      <w:r>
        <w:rPr>
          <w:kern w:val="0"/>
        </w:rPr>
        <w:t xml:space="preserve"> trials did not report anaphylactic reactions, deaths related to transfusion reactions or other adverse events. Authors</w:t>
      </w:r>
      <w:r w:rsidR="0071223E">
        <w:rPr>
          <w:kern w:val="0"/>
        </w:rPr>
        <w:t>’</w:t>
      </w:r>
      <w:r>
        <w:rPr>
          <w:kern w:val="0"/>
        </w:rPr>
        <w:t xml:space="preserve"> conclusions None</w:t>
      </w:r>
      <w:r w:rsidR="00427468">
        <w:rPr>
          <w:kern w:val="0"/>
        </w:rPr>
        <w:t xml:space="preserve"> of </w:t>
      </w:r>
      <w:r>
        <w:rPr>
          <w:kern w:val="0"/>
        </w:rPr>
        <w:t>the three studies found that medication prior to transfusion reduces NHTR. This applied regardless</w:t>
      </w:r>
      <w:r w:rsidR="00427468">
        <w:rPr>
          <w:kern w:val="0"/>
        </w:rPr>
        <w:t xml:space="preserve"> of </w:t>
      </w:r>
      <w:r>
        <w:rPr>
          <w:kern w:val="0"/>
        </w:rPr>
        <w:t>the patient</w:t>
      </w:r>
      <w:r w:rsidR="0071223E">
        <w:rPr>
          <w:kern w:val="0"/>
        </w:rPr>
        <w:t>’</w:t>
      </w:r>
      <w:r>
        <w:rPr>
          <w:kern w:val="0"/>
        </w:rPr>
        <w:t>s history</w:t>
      </w:r>
      <w:r w:rsidR="00427468">
        <w:rPr>
          <w:kern w:val="0"/>
        </w:rPr>
        <w:t xml:space="preserve"> of </w:t>
      </w:r>
      <w:r>
        <w:rPr>
          <w:kern w:val="0"/>
        </w:rPr>
        <w:t>NHTR</w:t>
      </w:r>
      <w:r w:rsidR="005853A9">
        <w:rPr>
          <w:kern w:val="0"/>
        </w:rPr>
        <w:t xml:space="preserve"> and </w:t>
      </w:r>
      <w:r>
        <w:rPr>
          <w:kern w:val="0"/>
        </w:rPr>
        <w:t>the use</w:t>
      </w:r>
      <w:r w:rsidR="00427468">
        <w:rPr>
          <w:kern w:val="0"/>
        </w:rPr>
        <w:t xml:space="preserve"> of </w:t>
      </w:r>
      <w:r>
        <w:rPr>
          <w:kern w:val="0"/>
        </w:rPr>
        <w:t>leukodepleted blood products in the transfusion. However, this conclusion is based on three trials</w:t>
      </w:r>
      <w:r w:rsidR="00427468">
        <w:rPr>
          <w:kern w:val="0"/>
        </w:rPr>
        <w:t xml:space="preserve"> of </w:t>
      </w:r>
      <w:r>
        <w:rPr>
          <w:kern w:val="0"/>
        </w:rPr>
        <w:t>moderate to low quality. A better-powered RCT is necessary to evaluate the role</w:t>
      </w:r>
      <w:r w:rsidR="00427468">
        <w:rPr>
          <w:kern w:val="0"/>
        </w:rPr>
        <w:t xml:space="preserve"> of </w:t>
      </w:r>
      <w:r>
        <w:rPr>
          <w:kern w:val="0"/>
        </w:rPr>
        <w:t>pretransfusion medication in the prevention</w:t>
      </w:r>
      <w:r w:rsidR="00427468">
        <w:rPr>
          <w:kern w:val="0"/>
        </w:rPr>
        <w:t xml:space="preserve"> of </w:t>
      </w:r>
      <w:r>
        <w:rPr>
          <w:kern w:val="0"/>
        </w:rPr>
        <w:t>NHTR. Inclusion criteria should be restricted to patients at high risk</w:t>
      </w:r>
      <w:r w:rsidR="00427468">
        <w:rPr>
          <w:kern w:val="0"/>
        </w:rPr>
        <w:t xml:space="preserve"> of </w:t>
      </w:r>
      <w:r>
        <w:rPr>
          <w:kern w:val="0"/>
        </w:rPr>
        <w:t>developing NHTR, with no restriction by age, history</w:t>
      </w:r>
      <w:r w:rsidR="00427468">
        <w:rPr>
          <w:kern w:val="0"/>
        </w:rPr>
        <w:t xml:space="preserve"> of </w:t>
      </w:r>
      <w:r>
        <w:rPr>
          <w:kern w:val="0"/>
        </w:rPr>
        <w:t>transfusion reactions</w:t>
      </w:r>
      <w:r w:rsidR="005853A9">
        <w:rPr>
          <w:kern w:val="0"/>
        </w:rPr>
        <w:t xml:space="preserve"> and </w:t>
      </w:r>
      <w:r>
        <w:rPr>
          <w:kern w:val="0"/>
        </w:rPr>
        <w:t>type</w:t>
      </w:r>
      <w:r w:rsidR="00427468">
        <w:rPr>
          <w:kern w:val="0"/>
        </w:rPr>
        <w:t xml:space="preserve"> of </w:t>
      </w:r>
      <w:r>
        <w:rPr>
          <w:kern w:val="0"/>
        </w:rPr>
        <w:t>blood products (leukodepleted or not).</w:t>
      </w:r>
    </w:p>
    <w:p w:rsidR="00365DE4" w:rsidRDefault="00365DE4" w:rsidP="00365DE4">
      <w:pPr>
        <w:pStyle w:val="a3"/>
        <w:rPr>
          <w:kern w:val="0"/>
        </w:rPr>
      </w:pPr>
      <w:r>
        <w:t>Keywords: Acetaminophen, Authors, Bias, Blood, Cd, Citation, Controlled-Trial, Criteria, Diphenhydramine, Effectiveness, Effects, High Risk, High-Risk, History</w:t>
      </w:r>
      <w:r w:rsidR="00D5664A">
        <w:t>, ISI,</w:t>
      </w:r>
      <w:r>
        <w:t xml:space="preserve"> ISI Web, ISI </w:t>
      </w:r>
      <w:r w:rsidR="00D5664A">
        <w:t>Web</w:t>
      </w:r>
      <w:r w:rsidR="00427468">
        <w:t xml:space="preserve"> of </w:t>
      </w:r>
      <w:r w:rsidR="00D5664A">
        <w:t>Science</w:t>
      </w:r>
      <w:r>
        <w:t xml:space="preserve">, Language, Leukoreduction, </w:t>
      </w:r>
      <w:r w:rsidR="00D5664A">
        <w:t>MEDLINE</w:t>
      </w:r>
      <w:r>
        <w:t xml:space="preserve">, Meta-Analysis, Metaanalyses, Methodology, PD, Placebo, Premedication, Reduction, Review, Risk, Science, Science Citation Index, </w:t>
      </w:r>
      <w:r w:rsidR="00D5664A">
        <w:t>Web</w:t>
      </w:r>
      <w:r w:rsidR="00427468">
        <w:t xml:space="preserve"> of </w:t>
      </w:r>
      <w:r w:rsidR="00D5664A">
        <w:t>Science</w:t>
      </w:r>
    </w:p>
    <w:p w:rsidR="00365DE4" w:rsidRDefault="00365DE4" w:rsidP="00365DE4">
      <w:pPr>
        <w:pStyle w:val="a3"/>
        <w:rPr>
          <w:kern w:val="0"/>
        </w:rPr>
      </w:pPr>
      <w:r>
        <w:t xml:space="preserve">? </w:t>
      </w:r>
      <w:r>
        <w:rPr>
          <w:kern w:val="0"/>
        </w:rPr>
        <w:t>Li, L.R.Y., Sydenham, E., Chaudhary, B.</w:t>
      </w:r>
      <w:r w:rsidR="005853A9">
        <w:rPr>
          <w:kern w:val="0"/>
        </w:rPr>
        <w:t xml:space="preserve"> and </w:t>
      </w:r>
      <w:r>
        <w:rPr>
          <w:kern w:val="0"/>
        </w:rPr>
        <w:t xml:space="preserve">You, C. (2010), Glucocorticoid with cyclophosphamide for paraquat-induced lung fibrosis.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CD008084.</w:t>
      </w:r>
    </w:p>
    <w:p w:rsidR="00365DE4" w:rsidRDefault="00365DE4" w:rsidP="00365DE4">
      <w:pPr>
        <w:pStyle w:val="a3"/>
        <w:rPr>
          <w:kern w:val="2"/>
        </w:rPr>
      </w:pPr>
      <w:r>
        <w:t xml:space="preserve">Full Text: </w:t>
      </w:r>
      <w:hyperlink r:id="rId600" w:history="1">
        <w:r>
          <w:rPr>
            <w:rStyle w:val="a5"/>
          </w:rPr>
          <w:t>2010\Coc Dat Sys Rev2010, CD008084.pdf</w:t>
        </w:r>
      </w:hyperlink>
    </w:p>
    <w:p w:rsidR="00365DE4" w:rsidRDefault="00365DE4" w:rsidP="00365DE4">
      <w:pPr>
        <w:pStyle w:val="a3"/>
        <w:rPr>
          <w:kern w:val="0"/>
        </w:rPr>
      </w:pPr>
      <w:r>
        <w:rPr>
          <w:kern w:val="0"/>
        </w:rPr>
        <w:t>Abstract: Background Paraquat is an effective</w:t>
      </w:r>
      <w:r w:rsidR="005853A9">
        <w:rPr>
          <w:kern w:val="0"/>
        </w:rPr>
        <w:t xml:space="preserve"> and </w:t>
      </w:r>
      <w:r>
        <w:rPr>
          <w:kern w:val="0"/>
        </w:rPr>
        <w:t>widely used herbicide but is also a lethal poison. In many developing countries paraquat is widely available</w:t>
      </w:r>
      <w:r w:rsidR="005853A9">
        <w:rPr>
          <w:kern w:val="0"/>
        </w:rPr>
        <w:t xml:space="preserve"> and </w:t>
      </w:r>
      <w:r>
        <w:rPr>
          <w:kern w:val="0"/>
        </w:rPr>
        <w:t>inexpensive, making poisoning prevention difficult. However most</w:t>
      </w:r>
      <w:r w:rsidR="00427468">
        <w:rPr>
          <w:kern w:val="0"/>
        </w:rPr>
        <w:t xml:space="preserve"> of </w:t>
      </w:r>
      <w:r>
        <w:rPr>
          <w:kern w:val="0"/>
        </w:rPr>
        <w:t>the people who become poisoned from paraquat have taken it as a means</w:t>
      </w:r>
      <w:r w:rsidR="00427468">
        <w:rPr>
          <w:kern w:val="0"/>
        </w:rPr>
        <w:t xml:space="preserve"> of </w:t>
      </w:r>
      <w:r>
        <w:rPr>
          <w:kern w:val="0"/>
        </w:rPr>
        <w:t>suicide. Standard treatment for paraquat poisoning both prevents further absorption</w:t>
      </w:r>
      <w:r w:rsidR="005853A9">
        <w:rPr>
          <w:kern w:val="0"/>
        </w:rPr>
        <w:t xml:space="preserve"> and </w:t>
      </w:r>
      <w:r>
        <w:rPr>
          <w:kern w:val="0"/>
        </w:rPr>
        <w:t>reduces the load</w:t>
      </w:r>
      <w:r w:rsidR="00427468">
        <w:rPr>
          <w:kern w:val="0"/>
        </w:rPr>
        <w:t xml:space="preserve"> of </w:t>
      </w:r>
      <w:r>
        <w:rPr>
          <w:kern w:val="0"/>
        </w:rPr>
        <w:t>paraquat in the blood through haemoperfusion or haemodialysis</w:t>
      </w:r>
      <w:r w:rsidR="00A37C1D">
        <w:rPr>
          <w:kern w:val="0"/>
        </w:rPr>
        <w:t>. The</w:t>
      </w:r>
      <w:r>
        <w:rPr>
          <w:kern w:val="0"/>
        </w:rPr>
        <w:t xml:space="preserve"> effectiveness</w:t>
      </w:r>
      <w:r w:rsidR="00427468">
        <w:rPr>
          <w:kern w:val="0"/>
        </w:rPr>
        <w:t xml:space="preserve"> of </w:t>
      </w:r>
      <w:r>
        <w:rPr>
          <w:kern w:val="0"/>
        </w:rPr>
        <w:t>standard treatments is extremely limited</w:t>
      </w:r>
      <w:r w:rsidR="00A37C1D">
        <w:rPr>
          <w:kern w:val="0"/>
        </w:rPr>
        <w:t>. The</w:t>
      </w:r>
      <w:r>
        <w:rPr>
          <w:kern w:val="0"/>
        </w:rPr>
        <w:t xml:space="preserve"> immune system plays an important role in exacerbating paraquat-induced lung fibrosis. Immunosuppressive treatment using glucocorticoid</w:t>
      </w:r>
      <w:r w:rsidR="005853A9">
        <w:rPr>
          <w:kern w:val="0"/>
        </w:rPr>
        <w:t xml:space="preserve"> and </w:t>
      </w:r>
      <w:r>
        <w:rPr>
          <w:kern w:val="0"/>
        </w:rPr>
        <w:t>cyclophosphamide in combination is being developed</w:t>
      </w:r>
      <w:r w:rsidR="005853A9">
        <w:rPr>
          <w:kern w:val="0"/>
        </w:rPr>
        <w:t xml:space="preserve"> and </w:t>
      </w:r>
      <w:r>
        <w:rPr>
          <w:kern w:val="0"/>
        </w:rPr>
        <w:t>studied. Objectives To assess the effects</w:t>
      </w:r>
      <w:r w:rsidR="00427468">
        <w:rPr>
          <w:kern w:val="0"/>
        </w:rPr>
        <w:t xml:space="preserve"> of </w:t>
      </w:r>
      <w:r>
        <w:rPr>
          <w:kern w:val="0"/>
        </w:rPr>
        <w:t>glucocorticoid with cyclophosphamide on mortality in patients with paraquat-induced lung fibrosis. Search strategy To identify randomised controlled trials on this topic, we searched the Cochrane Injuries Group</w:t>
      </w:r>
      <w:r w:rsidR="0071223E">
        <w:rPr>
          <w:kern w:val="0"/>
        </w:rPr>
        <w:t>’</w:t>
      </w:r>
      <w:r>
        <w:rPr>
          <w:kern w:val="0"/>
        </w:rPr>
        <w:t xml:space="preserve">s Specialised Register (searched 15 Sept 2009), CENTRAL (The Cochrane Library 2009, Issue 3), </w:t>
      </w:r>
      <w:r w:rsidR="00D5664A">
        <w:rPr>
          <w:kern w:val="0"/>
        </w:rPr>
        <w:t>MEDLINE</w:t>
      </w:r>
      <w:r>
        <w:rPr>
          <w:kern w:val="0"/>
        </w:rPr>
        <w:t xml:space="preserve"> (Ovid SP) (1950 September Week 1 2009), EMBASE (Ovid SP) (1980 to </w:t>
      </w:r>
      <w:r>
        <w:rPr>
          <w:kern w:val="0"/>
        </w:rPr>
        <w:lastRenderedPageBreak/>
        <w:t xml:space="preserve">2009 Week 37),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Sept 2009), ISI </w:t>
      </w:r>
      <w:r w:rsidR="00D5664A">
        <w:rPr>
          <w:kern w:val="0"/>
        </w:rPr>
        <w:t>Web</w:t>
      </w:r>
      <w:r w:rsidR="00427468">
        <w:rPr>
          <w:kern w:val="0"/>
        </w:rPr>
        <w:t xml:space="preserve"> of </w:t>
      </w:r>
      <w:r w:rsidR="00D5664A">
        <w:rPr>
          <w:kern w:val="0"/>
        </w:rPr>
        <w:t>Science</w:t>
      </w:r>
      <w:r>
        <w:rPr>
          <w:kern w:val="0"/>
        </w:rPr>
        <w:t>: Conference Proceedings Citation Index-Science (CPCI-S) (1990 to Sept 2009), Chinese bio-medical literature &amp; retrieval system (CBM) (1978 to Sept 2009), Chinese medical current contents (CMCC) (1995 to Sept 2009),</w:t>
      </w:r>
      <w:r w:rsidR="005853A9">
        <w:rPr>
          <w:kern w:val="0"/>
        </w:rPr>
        <w:t xml:space="preserve"> and </w:t>
      </w:r>
      <w:r>
        <w:rPr>
          <w:kern w:val="0"/>
        </w:rPr>
        <w:t>Chinese medical academic conference (CMAC) (1994-Sept 2009)</w:t>
      </w:r>
      <w:r w:rsidR="00A37C1D">
        <w:rPr>
          <w:kern w:val="0"/>
        </w:rPr>
        <w:t>. The</w:t>
      </w:r>
      <w:r>
        <w:rPr>
          <w:kern w:val="0"/>
        </w:rPr>
        <w:t xml:space="preserve"> searches were completed in September 2009. Selection criteria Randomised controlled trials (RCTs) were included in this review. All patients were to receive standard care, plus the intervention or control</w:t>
      </w:r>
      <w:r w:rsidR="00A37C1D">
        <w:rPr>
          <w:kern w:val="0"/>
        </w:rPr>
        <w:t>. The</w:t>
      </w:r>
      <w:r>
        <w:rPr>
          <w:kern w:val="0"/>
        </w:rPr>
        <w:t xml:space="preserve"> intervention was glucocorticoid with cyclophosphamide in combination versus a control</w:t>
      </w:r>
      <w:r w:rsidR="00427468">
        <w:rPr>
          <w:kern w:val="0"/>
        </w:rPr>
        <w:t xml:space="preserve"> of </w:t>
      </w:r>
      <w:r>
        <w:rPr>
          <w:kern w:val="0"/>
        </w:rPr>
        <w:t>a placebo, standard care alone, or any other therapy in addition to standard care. Data collection</w:t>
      </w:r>
      <w:r w:rsidR="005853A9">
        <w:rPr>
          <w:kern w:val="0"/>
        </w:rPr>
        <w:t xml:space="preserve"> and </w:t>
      </w:r>
      <w:r>
        <w:rPr>
          <w:kern w:val="0"/>
        </w:rPr>
        <w:t>analysis The mortality risk ratio (RR)</w:t>
      </w:r>
      <w:r w:rsidR="005853A9">
        <w:rPr>
          <w:kern w:val="0"/>
        </w:rPr>
        <w:t xml:space="preserve"> and </w:t>
      </w:r>
      <w:r>
        <w:rPr>
          <w:kern w:val="0"/>
        </w:rPr>
        <w:t>95% confidence interval (CI) was calculated for each study on an intention-to-treat basis. Data for all-cause mortality at final follow-up were summarised in a meta-analysis using a fixed-effects model. Main results This systematic review includes three trials with a combined total</w:t>
      </w:r>
      <w:r w:rsidR="00427468">
        <w:rPr>
          <w:kern w:val="0"/>
        </w:rPr>
        <w:t xml:space="preserve"> of </w:t>
      </w:r>
      <w:r>
        <w:rPr>
          <w:kern w:val="0"/>
        </w:rPr>
        <w:t>164 participants who had moderate to severe paraquat poisoning. Patients who received glucocorticoid with cyclophosphamide in addition to standard care had a lower risk</w:t>
      </w:r>
      <w:r w:rsidR="00427468">
        <w:rPr>
          <w:kern w:val="0"/>
        </w:rPr>
        <w:t xml:space="preserve"> of </w:t>
      </w:r>
      <w:r>
        <w:rPr>
          <w:kern w:val="0"/>
        </w:rPr>
        <w:t>death at final follow-up than those receiving standard care only (RR 0.72 (95% CI 0.59 to 0.89)). Authors</w:t>
      </w:r>
      <w:r w:rsidR="0071223E">
        <w:rPr>
          <w:kern w:val="0"/>
        </w:rPr>
        <w:t>’</w:t>
      </w:r>
      <w:r>
        <w:rPr>
          <w:kern w:val="0"/>
        </w:rPr>
        <w:t xml:space="preserve"> conclusions Based on the findings</w:t>
      </w:r>
      <w:r w:rsidR="00427468">
        <w:rPr>
          <w:kern w:val="0"/>
        </w:rPr>
        <w:t xml:space="preserve"> of </w:t>
      </w:r>
      <w:r>
        <w:rPr>
          <w:kern w:val="0"/>
        </w:rPr>
        <w:t>three small RCTs</w:t>
      </w:r>
      <w:r w:rsidR="00427468">
        <w:rPr>
          <w:kern w:val="0"/>
        </w:rPr>
        <w:t xml:space="preserve"> of </w:t>
      </w:r>
      <w:r>
        <w:rPr>
          <w:kern w:val="0"/>
        </w:rPr>
        <w:t>moderate to severely poisoned patients, glucocorticoid with cyclophosphamide in addition to standard care may be a beneficial treatment for patients with paraquat-induced lung fibrosis. To enable further study</w:t>
      </w:r>
      <w:r w:rsidR="00427468">
        <w:rPr>
          <w:kern w:val="0"/>
        </w:rPr>
        <w:t xml:space="preserve"> of </w:t>
      </w:r>
      <w:r>
        <w:rPr>
          <w:kern w:val="0"/>
        </w:rPr>
        <w:t>the effects</w:t>
      </w:r>
      <w:r w:rsidR="00427468">
        <w:rPr>
          <w:kern w:val="0"/>
        </w:rPr>
        <w:t xml:space="preserve"> of </w:t>
      </w:r>
      <w:r>
        <w:rPr>
          <w:kern w:val="0"/>
        </w:rPr>
        <w:t>glucocorticoid with cyclophosphamide for patients with moderate to severe paraquat poisoning, hospitals may provide this treatment as part</w:t>
      </w:r>
      <w:r w:rsidR="00427468">
        <w:rPr>
          <w:kern w:val="0"/>
        </w:rPr>
        <w:t xml:space="preserve"> of </w:t>
      </w:r>
      <w:r>
        <w:rPr>
          <w:kern w:val="0"/>
        </w:rPr>
        <w:t>an RCT with allocation concealment.</w:t>
      </w:r>
    </w:p>
    <w:p w:rsidR="00365DE4" w:rsidRDefault="00365DE4" w:rsidP="00365DE4">
      <w:pPr>
        <w:pStyle w:val="a3"/>
        <w:rPr>
          <w:kern w:val="0"/>
        </w:rPr>
      </w:pPr>
      <w:r>
        <w:t>Keywords: Absorption, Authors, Biomedical, Citation, Criteria, Cyclophosphamide, Developing Countries, Dexamethasone, Effectiveness, Effects, Intervention</w:t>
      </w:r>
      <w:r w:rsidR="00D5664A">
        <w:t>, ISI,</w:t>
      </w:r>
      <w:r>
        <w:t xml:space="preserve"> ISI Web, ISI </w:t>
      </w:r>
      <w:r w:rsidR="00D5664A">
        <w:t>Web</w:t>
      </w:r>
      <w:r w:rsidR="00427468">
        <w:t xml:space="preserve"> of </w:t>
      </w:r>
      <w:r w:rsidR="00D5664A">
        <w:t>Science</w:t>
      </w:r>
      <w:r>
        <w:t xml:space="preserve">, Literature, Medical, </w:t>
      </w:r>
      <w:r w:rsidR="00D5664A">
        <w:t>MEDLINE</w:t>
      </w:r>
      <w:r>
        <w:t xml:space="preserve">, Meta-Analysis, Methylprednisolone, Model, Mortality, Placebo, Poisoning, Pulse, Randomised Controlled Trials, Review, Risk, Science, Science Citation Index, System, Systematic Review, Therapy, Topic, Treatment, </w:t>
      </w:r>
      <w:r w:rsidR="00D5664A">
        <w:t>Web</w:t>
      </w:r>
      <w:r w:rsidR="00427468">
        <w:t xml:space="preserve"> of </w:t>
      </w:r>
      <w:r w:rsidR="00D5664A">
        <w:t>Science</w:t>
      </w:r>
    </w:p>
    <w:p w:rsidR="00365DE4" w:rsidRDefault="00365DE4" w:rsidP="00365DE4">
      <w:pPr>
        <w:pStyle w:val="a3"/>
        <w:rPr>
          <w:kern w:val="0"/>
        </w:rPr>
      </w:pPr>
      <w:r>
        <w:rPr>
          <w:kern w:val="0"/>
        </w:rPr>
        <w:t>? Hemmingsen, B., Lund, S.S., Gluud, C., Vaag, A., Almdal, T., Hemmingsen, C.</w:t>
      </w:r>
      <w:r w:rsidR="005853A9">
        <w:rPr>
          <w:kern w:val="0"/>
        </w:rPr>
        <w:t xml:space="preserve"> and </w:t>
      </w:r>
      <w:r>
        <w:rPr>
          <w:kern w:val="0"/>
        </w:rPr>
        <w:t xml:space="preserve">Wetterslev, J. (2011), Targeting intensive glycaemic control versus targeting conventional glycaemic control for type 2 diabetes mellitus.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CD008143.</w:t>
      </w:r>
    </w:p>
    <w:p w:rsidR="00365DE4" w:rsidRDefault="00365DE4" w:rsidP="00365DE4">
      <w:pPr>
        <w:pStyle w:val="a3"/>
        <w:rPr>
          <w:kern w:val="2"/>
        </w:rPr>
      </w:pPr>
      <w:r>
        <w:t xml:space="preserve">Full Text: </w:t>
      </w:r>
      <w:hyperlink r:id="rId601" w:history="1">
        <w:r>
          <w:rPr>
            <w:rStyle w:val="a5"/>
          </w:rPr>
          <w:t>2011\Coc Dat Sys Rev2011, CD008143.pdf</w:t>
        </w:r>
      </w:hyperlink>
    </w:p>
    <w:p w:rsidR="00365DE4" w:rsidRDefault="00365DE4" w:rsidP="00365DE4">
      <w:pPr>
        <w:pStyle w:val="a3"/>
        <w:rPr>
          <w:kern w:val="0"/>
        </w:rPr>
      </w:pPr>
      <w:r>
        <w:rPr>
          <w:kern w:val="0"/>
        </w:rPr>
        <w:t>Abstract: Background Patients with type 2 diabetes mellitus (T2D) exhibit an increased risk</w:t>
      </w:r>
      <w:r w:rsidR="00427468">
        <w:rPr>
          <w:kern w:val="0"/>
        </w:rPr>
        <w:t xml:space="preserve"> of </w:t>
      </w:r>
      <w:r>
        <w:rPr>
          <w:kern w:val="0"/>
        </w:rPr>
        <w:t>cardiovascular disease</w:t>
      </w:r>
      <w:r w:rsidR="005853A9">
        <w:rPr>
          <w:kern w:val="0"/>
        </w:rPr>
        <w:t xml:space="preserve"> and </w:t>
      </w:r>
      <w:r>
        <w:rPr>
          <w:kern w:val="0"/>
        </w:rPr>
        <w:t>mortality compared to the background population. Observational studies report a relationship between reduced blood glucose</w:t>
      </w:r>
      <w:r w:rsidR="005853A9">
        <w:rPr>
          <w:kern w:val="0"/>
        </w:rPr>
        <w:t xml:space="preserve"> and </w:t>
      </w:r>
      <w:r>
        <w:rPr>
          <w:kern w:val="0"/>
        </w:rPr>
        <w:t>reduced risk</w:t>
      </w:r>
      <w:r w:rsidR="00427468">
        <w:rPr>
          <w:kern w:val="0"/>
        </w:rPr>
        <w:t xml:space="preserve"> of </w:t>
      </w:r>
      <w:r>
        <w:rPr>
          <w:kern w:val="0"/>
        </w:rPr>
        <w:t xml:space="preserve">both micro-and macrovascular complications in patients with T2D. </w:t>
      </w:r>
      <w:r>
        <w:rPr>
          <w:kern w:val="0"/>
        </w:rPr>
        <w:lastRenderedPageBreak/>
        <w:t>Objectives To assess the effects</w:t>
      </w:r>
      <w:r w:rsidR="00427468">
        <w:rPr>
          <w:kern w:val="0"/>
        </w:rPr>
        <w:t xml:space="preserve"> of </w:t>
      </w:r>
      <w:r>
        <w:rPr>
          <w:kern w:val="0"/>
        </w:rPr>
        <w:t>targeting intensive versus conventional glycaemic control in T2D patients. Search strategy Trials were obtained from searches</w:t>
      </w:r>
      <w:r w:rsidR="00427468">
        <w:rPr>
          <w:kern w:val="0"/>
        </w:rPr>
        <w:t xml:space="preserve"> of </w:t>
      </w:r>
      <w:r>
        <w:rPr>
          <w:kern w:val="0"/>
        </w:rPr>
        <w:t xml:space="preserve">CENTRAL (The Cochrane Library), </w:t>
      </w:r>
      <w:r w:rsidR="00D5664A">
        <w:rPr>
          <w:kern w:val="0"/>
        </w:rPr>
        <w:t>MEDLINE</w:t>
      </w:r>
      <w:r>
        <w:rPr>
          <w:kern w:val="0"/>
        </w:rPr>
        <w:t>, EMBASE, Science Citation Index Expanded, LILACS,</w:t>
      </w:r>
      <w:r w:rsidR="005853A9">
        <w:rPr>
          <w:kern w:val="0"/>
        </w:rPr>
        <w:t xml:space="preserve"> and </w:t>
      </w:r>
      <w:r>
        <w:rPr>
          <w:kern w:val="0"/>
        </w:rPr>
        <w:t>CINAHL (until December 2010). Selection criteria We included randomised clinical trials that prespecified different targets</w:t>
      </w:r>
      <w:r w:rsidR="00427468">
        <w:rPr>
          <w:kern w:val="0"/>
        </w:rPr>
        <w:t xml:space="preserve"> of </w:t>
      </w:r>
      <w:r>
        <w:rPr>
          <w:kern w:val="0"/>
        </w:rPr>
        <w:t>glycaemic control in adults with T2D. Data collection</w:t>
      </w:r>
      <w:r w:rsidR="005853A9">
        <w:rPr>
          <w:kern w:val="0"/>
        </w:rPr>
        <w:t xml:space="preserve"> and </w:t>
      </w:r>
      <w:r>
        <w:rPr>
          <w:kern w:val="0"/>
        </w:rPr>
        <w:t>analysis Two authors independently assessed the risk</w:t>
      </w:r>
      <w:r w:rsidR="00427468">
        <w:rPr>
          <w:kern w:val="0"/>
        </w:rPr>
        <w:t xml:space="preserve"> of </w:t>
      </w:r>
      <w:r>
        <w:rPr>
          <w:kern w:val="0"/>
        </w:rPr>
        <w:t>bias</w:t>
      </w:r>
      <w:r w:rsidR="005853A9">
        <w:rPr>
          <w:kern w:val="0"/>
        </w:rPr>
        <w:t xml:space="preserve"> and </w:t>
      </w:r>
      <w:r>
        <w:rPr>
          <w:kern w:val="0"/>
        </w:rPr>
        <w:t>extracted data. Dichotomous outcomes were assessed by risk ratios (RR)</w:t>
      </w:r>
      <w:r w:rsidR="005853A9">
        <w:rPr>
          <w:kern w:val="0"/>
        </w:rPr>
        <w:t xml:space="preserve"> and </w:t>
      </w:r>
      <w:r>
        <w:rPr>
          <w:kern w:val="0"/>
        </w:rPr>
        <w:t>95% confidence intervals (CI). Main results Twenty trials randomised 16,106T2D participants to intensive control</w:t>
      </w:r>
      <w:r w:rsidR="005853A9">
        <w:rPr>
          <w:kern w:val="0"/>
        </w:rPr>
        <w:t xml:space="preserve"> and </w:t>
      </w:r>
      <w:r>
        <w:rPr>
          <w:kern w:val="0"/>
        </w:rPr>
        <w:t>13,880 T2D participants to conventional glycaemic control</w:t>
      </w:r>
      <w:r w:rsidR="00A37C1D">
        <w:rPr>
          <w:kern w:val="0"/>
        </w:rPr>
        <w:t>. The</w:t>
      </w:r>
      <w:r>
        <w:rPr>
          <w:kern w:val="0"/>
        </w:rPr>
        <w:t xml:space="preserve"> mean age</w:t>
      </w:r>
      <w:r w:rsidR="00427468">
        <w:rPr>
          <w:kern w:val="0"/>
        </w:rPr>
        <w:t xml:space="preserve"> of </w:t>
      </w:r>
      <w:r>
        <w:rPr>
          <w:kern w:val="0"/>
        </w:rPr>
        <w:t>the participants was 62.1 years</w:t>
      </w:r>
      <w:r w:rsidR="00A37C1D">
        <w:rPr>
          <w:kern w:val="0"/>
        </w:rPr>
        <w:t>. The</w:t>
      </w:r>
      <w:r>
        <w:rPr>
          <w:kern w:val="0"/>
        </w:rPr>
        <w:t xml:space="preserve"> duration</w:t>
      </w:r>
      <w:r w:rsidR="00427468">
        <w:rPr>
          <w:kern w:val="0"/>
        </w:rPr>
        <w:t xml:space="preserve"> of </w:t>
      </w:r>
      <w:r>
        <w:rPr>
          <w:kern w:val="0"/>
        </w:rPr>
        <w:t>the intervention ranged from three days to 12.5 years</w:t>
      </w:r>
      <w:r w:rsidR="00A37C1D">
        <w:rPr>
          <w:kern w:val="0"/>
        </w:rPr>
        <w:t>. The</w:t>
      </w:r>
      <w:r>
        <w:rPr>
          <w:kern w:val="0"/>
        </w:rPr>
        <w:t xml:space="preserve"> number</w:t>
      </w:r>
      <w:r w:rsidR="00427468">
        <w:rPr>
          <w:kern w:val="0"/>
        </w:rPr>
        <w:t xml:space="preserve"> of </w:t>
      </w:r>
      <w:r>
        <w:rPr>
          <w:kern w:val="0"/>
        </w:rPr>
        <w:t>participants in the included trials ranged from 20 to 11,140</w:t>
      </w:r>
      <w:r w:rsidR="00A37C1D">
        <w:rPr>
          <w:kern w:val="0"/>
        </w:rPr>
        <w:t>. The</w:t>
      </w:r>
      <w:r>
        <w:rPr>
          <w:kern w:val="0"/>
        </w:rPr>
        <w:t>re was no significant difference between targeting intensive andconventional glycaemic control for all-cause mortality (RR 1.01, 95% CI 0.90 to 1.13; 29,731 participants, 18 trials) or cardiovascular mortality (RR 1.06, 95% CI 0.90 to 1.26; 29,731 participants, 18 trials). Trial sequential analysis (TSA) showed that a 10% RR reduction could be refuted for all-cause mortality. Targeting intensive glycaemic control did not show a significant effect on the risk</w:t>
      </w:r>
      <w:r w:rsidR="00427468">
        <w:rPr>
          <w:kern w:val="0"/>
        </w:rPr>
        <w:t xml:space="preserve"> of </w:t>
      </w:r>
      <w:r>
        <w:rPr>
          <w:kern w:val="0"/>
        </w:rPr>
        <w:t>non-fatal myocardial infarction in the random-effects model but decreased the risk in the fixed-effect model (RR 0.86, 95% CI 0.78 to 0.96; P = 0.006; 29,174 participants, 12 trials). Targeting intensive glycaemic control reduced the risk</w:t>
      </w:r>
      <w:r w:rsidR="00427468">
        <w:rPr>
          <w:kern w:val="0"/>
        </w:rPr>
        <w:t xml:space="preserve"> of </w:t>
      </w:r>
      <w:r>
        <w:rPr>
          <w:kern w:val="0"/>
        </w:rPr>
        <w:t>amputation (RR 0.64, 95% CI 0.43 to 0.95; P = 0.03; 6960 participants, 8 trials), the composite risk</w:t>
      </w:r>
      <w:r w:rsidR="00427468">
        <w:rPr>
          <w:kern w:val="0"/>
        </w:rPr>
        <w:t xml:space="preserve"> of </w:t>
      </w:r>
      <w:r>
        <w:rPr>
          <w:kern w:val="0"/>
        </w:rPr>
        <w:t>microvascular disease (RR 0.89, 95% CI 0.83 to 0.95; P = 0.0006; 25,760 participants, 4 trials), retinopathy (RR 0.79, 95% CI 0.68 to 0.92; P = 0.002; 10,986 participants, 8 trials), retinal photocoagulation (RR 0.77, 95% CI 0.61 to 0.97; P = 0.03; 11,142 participants, 7 trials),</w:t>
      </w:r>
      <w:r w:rsidR="005853A9">
        <w:rPr>
          <w:kern w:val="0"/>
        </w:rPr>
        <w:t xml:space="preserve"> and </w:t>
      </w:r>
      <w:r>
        <w:rPr>
          <w:kern w:val="0"/>
        </w:rPr>
        <w:t>nephropathy (RR 0.78, 95% CI 0.61 to 0.99; P = 0.04; 27,929 participants, 9 trials)</w:t>
      </w:r>
      <w:r w:rsidR="00A37C1D">
        <w:rPr>
          <w:kern w:val="0"/>
        </w:rPr>
        <w:t>. The</w:t>
      </w:r>
      <w:r>
        <w:rPr>
          <w:kern w:val="0"/>
        </w:rPr>
        <w:t xml:space="preserve"> risks</w:t>
      </w:r>
      <w:r w:rsidR="00427468">
        <w:rPr>
          <w:kern w:val="0"/>
        </w:rPr>
        <w:t xml:space="preserve"> of </w:t>
      </w:r>
      <w:r>
        <w:rPr>
          <w:kern w:val="0"/>
        </w:rPr>
        <w:t>both mild</w:t>
      </w:r>
      <w:r w:rsidR="005853A9">
        <w:rPr>
          <w:kern w:val="0"/>
        </w:rPr>
        <w:t xml:space="preserve"> and </w:t>
      </w:r>
      <w:r>
        <w:rPr>
          <w:kern w:val="0"/>
        </w:rPr>
        <w:t>severe hypoglycaemia were increased with targeting intensive glycaemic control but substantial heterogeneity was present</w:t>
      </w:r>
      <w:r w:rsidR="00A37C1D">
        <w:rPr>
          <w:kern w:val="0"/>
        </w:rPr>
        <w:t>. The</w:t>
      </w:r>
      <w:r>
        <w:rPr>
          <w:kern w:val="0"/>
        </w:rPr>
        <w:t xml:space="preserve"> definition</w:t>
      </w:r>
      <w:r w:rsidR="00427468">
        <w:rPr>
          <w:kern w:val="0"/>
        </w:rPr>
        <w:t xml:space="preserve"> of </w:t>
      </w:r>
      <w:r>
        <w:rPr>
          <w:kern w:val="0"/>
        </w:rPr>
        <w:t>severe hypoglycaemia varied among the included trials; severe hypoglycaemia was reported in 12 trials that included 28,127 participants. TSA showed that firm evidence was reached for a 30% RR increase in severe hypoglycaemic when targeting intensive glycaemic control. Subgroup analysis</w:t>
      </w:r>
      <w:r w:rsidR="00427468">
        <w:rPr>
          <w:kern w:val="0"/>
        </w:rPr>
        <w:t xml:space="preserve"> of </w:t>
      </w:r>
      <w:r>
        <w:rPr>
          <w:kern w:val="0"/>
        </w:rPr>
        <w:t>trials exclusively dealing with glycaemic control in usual care settings showed a significant effect in favour</w:t>
      </w:r>
      <w:r w:rsidR="00427468">
        <w:rPr>
          <w:kern w:val="0"/>
        </w:rPr>
        <w:t xml:space="preserve"> of </w:t>
      </w:r>
      <w:r>
        <w:rPr>
          <w:kern w:val="0"/>
        </w:rPr>
        <w:t>targeting intensive glycaemic control for non-fatal myocardial infarction. However, TSA showed more trials are needed before firm evidence is established. Authors</w:t>
      </w:r>
      <w:r w:rsidR="0071223E">
        <w:rPr>
          <w:kern w:val="0"/>
        </w:rPr>
        <w:t>’</w:t>
      </w:r>
      <w:r>
        <w:rPr>
          <w:kern w:val="0"/>
        </w:rPr>
        <w:t xml:space="preserve"> conclusions The included trials did not show significant differences for all-cause mortality</w:t>
      </w:r>
      <w:r w:rsidR="005853A9">
        <w:rPr>
          <w:kern w:val="0"/>
        </w:rPr>
        <w:t xml:space="preserve"> and </w:t>
      </w:r>
      <w:r>
        <w:rPr>
          <w:kern w:val="0"/>
        </w:rPr>
        <w:t>cardiovascular mortality when targeting intensive glycaemic control compared with conventional glycaemic control. Targeting intensive glycaemic control reduced the risk</w:t>
      </w:r>
      <w:r w:rsidR="00427468">
        <w:rPr>
          <w:kern w:val="0"/>
        </w:rPr>
        <w:t xml:space="preserve"> of </w:t>
      </w:r>
      <w:r>
        <w:rPr>
          <w:kern w:val="0"/>
        </w:rPr>
        <w:t>microvascular complications while increasing the risk</w:t>
      </w:r>
      <w:r w:rsidR="00427468">
        <w:rPr>
          <w:kern w:val="0"/>
        </w:rPr>
        <w:t xml:space="preserve"> of </w:t>
      </w:r>
      <w:r>
        <w:rPr>
          <w:kern w:val="0"/>
        </w:rPr>
        <w:lastRenderedPageBreak/>
        <w:t>hypoglycaemia. Furthermore, intensive glycaemic control might reduce the risk</w:t>
      </w:r>
      <w:r w:rsidR="00427468">
        <w:rPr>
          <w:kern w:val="0"/>
        </w:rPr>
        <w:t xml:space="preserve"> of </w:t>
      </w:r>
      <w:r>
        <w:rPr>
          <w:kern w:val="0"/>
        </w:rPr>
        <w:t>non-fatal myocardial infarction in trials exclusively dealing with glycaemic control in usual care settings.</w:t>
      </w:r>
    </w:p>
    <w:p w:rsidR="00365DE4" w:rsidRDefault="00365DE4" w:rsidP="00365DE4">
      <w:pPr>
        <w:pStyle w:val="a3"/>
        <w:rPr>
          <w:kern w:val="0"/>
        </w:rPr>
      </w:pPr>
      <w:r>
        <w:rPr>
          <w:kern w:val="0"/>
        </w:rPr>
        <w:t xml:space="preserve">Keywords: 10-Year Follow-Up, Acute Myocardial-Infarction, Authors, Bias, Blood-Glucose Control, Cardiac Surgical-Procedures, Citation, Clinical Trials, Cost-Effectiveness, Embase, Insulin-Treatment, </w:t>
      </w:r>
      <w:r w:rsidR="00D5664A">
        <w:rPr>
          <w:kern w:val="0"/>
        </w:rPr>
        <w:t>MEDLINE</w:t>
      </w:r>
      <w:r>
        <w:rPr>
          <w:kern w:val="0"/>
        </w:rPr>
        <w:t>, Metabolic-Control, Model, Multifactorial Intervention, Outcomes, Randomized Controlled-Trials, Science, Science Citation Index, Search Strategy, Sternal Wound-Infection</w:t>
      </w:r>
    </w:p>
    <w:p w:rsidR="00365DE4" w:rsidRDefault="00365DE4" w:rsidP="00365DE4">
      <w:pPr>
        <w:pStyle w:val="a3"/>
        <w:rPr>
          <w:kern w:val="0"/>
        </w:rPr>
      </w:pPr>
      <w:r>
        <w:rPr>
          <w:kern w:val="0"/>
        </w:rPr>
        <w:t>? Heran, B.S., Chen, J.M.H., Ebrahim, S., Moxham, T., Oldridge, N., Rees, K., Thompson, D.R.</w:t>
      </w:r>
      <w:r w:rsidR="005853A9">
        <w:rPr>
          <w:kern w:val="0"/>
        </w:rPr>
        <w:t xml:space="preserve"> and </w:t>
      </w:r>
      <w:r>
        <w:rPr>
          <w:kern w:val="0"/>
        </w:rPr>
        <w:t xml:space="preserve">Taylor, R.S. (2011), Exercise-based cardiac rehabilitation for coronary heart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CD001800.</w:t>
      </w:r>
    </w:p>
    <w:p w:rsidR="00365DE4" w:rsidRDefault="00365DE4" w:rsidP="00365DE4">
      <w:pPr>
        <w:pStyle w:val="a3"/>
        <w:rPr>
          <w:kern w:val="2"/>
        </w:rPr>
      </w:pPr>
      <w:r>
        <w:t xml:space="preserve">Full Text: </w:t>
      </w:r>
      <w:hyperlink r:id="rId602" w:history="1">
        <w:r>
          <w:rPr>
            <w:rStyle w:val="a5"/>
          </w:rPr>
          <w:t>2011\Coc Dat Sys Rev2011, CD001800.pdf</w:t>
        </w:r>
      </w:hyperlink>
    </w:p>
    <w:p w:rsidR="00365DE4" w:rsidRDefault="00365DE4" w:rsidP="00365DE4">
      <w:pPr>
        <w:pStyle w:val="a3"/>
        <w:rPr>
          <w:kern w:val="0"/>
        </w:rPr>
      </w:pPr>
      <w:r>
        <w:rPr>
          <w:kern w:val="0"/>
        </w:rPr>
        <w:t>Abstract: Background The burden</w:t>
      </w:r>
      <w:r w:rsidR="00427468">
        <w:rPr>
          <w:kern w:val="0"/>
        </w:rPr>
        <w:t xml:space="preserve"> of </w:t>
      </w:r>
      <w:r>
        <w:rPr>
          <w:kern w:val="0"/>
        </w:rPr>
        <w:t>coronary heart disease (CHD) worldwide is one</w:t>
      </w:r>
      <w:r w:rsidR="00427468">
        <w:rPr>
          <w:kern w:val="0"/>
        </w:rPr>
        <w:t xml:space="preserve"> of </w:t>
      </w:r>
      <w:r>
        <w:rPr>
          <w:kern w:val="0"/>
        </w:rPr>
        <w:t>great concern to patients</w:t>
      </w:r>
      <w:r w:rsidR="005853A9">
        <w:rPr>
          <w:kern w:val="0"/>
        </w:rPr>
        <w:t xml:space="preserve"> and </w:t>
      </w:r>
      <w:r>
        <w:rPr>
          <w:kern w:val="0"/>
        </w:rPr>
        <w:t>healthcare agencies alike. Exercise-based cardiac rehabilitation aims to restore patients with heart disease to health. Objectives To determine the effectiveness</w:t>
      </w:r>
      <w:r w:rsidR="00427468">
        <w:rPr>
          <w:kern w:val="0"/>
        </w:rPr>
        <w:t xml:space="preserve"> of </w:t>
      </w:r>
      <w:r>
        <w:rPr>
          <w:kern w:val="0"/>
        </w:rPr>
        <w:t>exercise-based cardiac rehabilitation (exercise training alone or in combination with psychosocial or educational interventions) on mortality, morbidity</w:t>
      </w:r>
      <w:r w:rsidR="005853A9">
        <w:rPr>
          <w:kern w:val="0"/>
        </w:rPr>
        <w:t xml:space="preserve"> and </w:t>
      </w:r>
      <w:r>
        <w:rPr>
          <w:kern w:val="0"/>
        </w:rPr>
        <w:t>health-related quality</w:t>
      </w:r>
      <w:r w:rsidR="00427468">
        <w:rPr>
          <w:kern w:val="0"/>
        </w:rPr>
        <w:t xml:space="preserve"> of </w:t>
      </w:r>
      <w:r>
        <w:rPr>
          <w:kern w:val="0"/>
        </w:rPr>
        <w:t>life</w:t>
      </w:r>
      <w:r w:rsidR="00427468">
        <w:rPr>
          <w:kern w:val="0"/>
        </w:rPr>
        <w:t xml:space="preserve"> of </w:t>
      </w:r>
      <w:r>
        <w:rPr>
          <w:kern w:val="0"/>
        </w:rPr>
        <w:t>patients with CHD. Search strategy RCTs have been identified by searching CENTRAL, HTA,</w:t>
      </w:r>
      <w:r w:rsidR="005853A9">
        <w:rPr>
          <w:kern w:val="0"/>
        </w:rPr>
        <w:t xml:space="preserve"> and </w:t>
      </w:r>
      <w:r>
        <w:rPr>
          <w:kern w:val="0"/>
        </w:rPr>
        <w:t xml:space="preserve">DARE (using The Cochrane Library Issue 4, 2009), as well as </w:t>
      </w:r>
      <w:r w:rsidR="00D5664A">
        <w:rPr>
          <w:kern w:val="0"/>
        </w:rPr>
        <w:t>MEDLINE</w:t>
      </w:r>
      <w:r>
        <w:rPr>
          <w:kern w:val="0"/>
        </w:rPr>
        <w:t xml:space="preserve"> (1950 to December 2009), EMBASE (1980 to December 2009), CINAHL (1982 to December 2009),</w:t>
      </w:r>
      <w:r w:rsidR="005853A9">
        <w:rPr>
          <w:kern w:val="0"/>
        </w:rPr>
        <w:t xml:space="preserve"> and </w:t>
      </w:r>
      <w:r>
        <w:rPr>
          <w:kern w:val="0"/>
        </w:rPr>
        <w:t>Science Citation Index Expanded (1900 to December 2009). Selection criteria Men</w:t>
      </w:r>
      <w:r w:rsidR="005853A9">
        <w:rPr>
          <w:kern w:val="0"/>
        </w:rPr>
        <w:t xml:space="preserve"> and </w:t>
      </w:r>
      <w:r>
        <w:rPr>
          <w:kern w:val="0"/>
        </w:rPr>
        <w:t>women</w:t>
      </w:r>
      <w:r w:rsidR="00427468">
        <w:rPr>
          <w:kern w:val="0"/>
        </w:rPr>
        <w:t xml:space="preserve"> of </w:t>
      </w:r>
      <w:r>
        <w:rPr>
          <w:kern w:val="0"/>
        </w:rPr>
        <w:t>all ages who have hadmyocardial infarction (MI), coronary artery bypass graft (CABG) or percutaneous transluminal coronary angioplasty (PTCA), or who have angina pectoris or coronary artery disease defined by angiography. Data collection</w:t>
      </w:r>
      <w:r w:rsidR="005853A9">
        <w:rPr>
          <w:kern w:val="0"/>
        </w:rPr>
        <w:t xml:space="preserve"> and </w:t>
      </w:r>
      <w:r>
        <w:rPr>
          <w:kern w:val="0"/>
        </w:rPr>
        <w:t>analysis Studies were selected</w:t>
      </w:r>
      <w:r w:rsidR="005853A9">
        <w:rPr>
          <w:kern w:val="0"/>
        </w:rPr>
        <w:t xml:space="preserve"> and </w:t>
      </w:r>
      <w:r>
        <w:rPr>
          <w:kern w:val="0"/>
        </w:rPr>
        <w:t>data extracted independently by two reviewers. Authors were contacted where possible to obtain missing information. Main results This systematic review has allowed analysis</w:t>
      </w:r>
      <w:r w:rsidR="00427468">
        <w:rPr>
          <w:kern w:val="0"/>
        </w:rPr>
        <w:t xml:space="preserve"> of </w:t>
      </w:r>
      <w:r>
        <w:rPr>
          <w:kern w:val="0"/>
        </w:rPr>
        <w:t>47 studies randomising 10,794 patients to exercise-based cardiac rehabilitation or usual care. In medium to longer term (i.e. 12 or more months follow-up) exercise-based cardiac rehabilitation reduced overall</w:t>
      </w:r>
      <w:r w:rsidR="005853A9">
        <w:rPr>
          <w:kern w:val="0"/>
        </w:rPr>
        <w:t xml:space="preserve"> and </w:t>
      </w:r>
      <w:r>
        <w:rPr>
          <w:kern w:val="0"/>
        </w:rPr>
        <w:t>cardiovascular mortality [RR 0.87 (95% CI 0.75, 0.99)</w:t>
      </w:r>
      <w:r w:rsidR="005853A9">
        <w:rPr>
          <w:kern w:val="0"/>
        </w:rPr>
        <w:t xml:space="preserve"> and </w:t>
      </w:r>
      <w:r>
        <w:rPr>
          <w:kern w:val="0"/>
        </w:rPr>
        <w:t>0.74 (95% CI 0.63, 0.87), respectively],</w:t>
      </w:r>
      <w:r w:rsidR="005853A9">
        <w:rPr>
          <w:kern w:val="0"/>
        </w:rPr>
        <w:t xml:space="preserve"> and </w:t>
      </w:r>
      <w:r>
        <w:rPr>
          <w:kern w:val="0"/>
        </w:rPr>
        <w:t>hospital admissions [RR 0.69 (95% CI 0.51, 0.93)] in the shorter term (&lt; 12 months follow-up) with no evidence</w:t>
      </w:r>
      <w:r w:rsidR="00427468">
        <w:rPr>
          <w:kern w:val="0"/>
        </w:rPr>
        <w:t xml:space="preserve"> of </w:t>
      </w:r>
      <w:r>
        <w:rPr>
          <w:kern w:val="0"/>
        </w:rPr>
        <w:t>heterogeneity</w:t>
      </w:r>
      <w:r w:rsidR="00427468">
        <w:rPr>
          <w:kern w:val="0"/>
        </w:rPr>
        <w:t xml:space="preserve"> of </w:t>
      </w:r>
      <w:r>
        <w:rPr>
          <w:kern w:val="0"/>
        </w:rPr>
        <w:t>effect across trials. Cardiac rehabilitation did not reduce the risk</w:t>
      </w:r>
      <w:r w:rsidR="00427468">
        <w:rPr>
          <w:kern w:val="0"/>
        </w:rPr>
        <w:t xml:space="preserve"> of </w:t>
      </w:r>
      <w:r>
        <w:rPr>
          <w:kern w:val="0"/>
        </w:rPr>
        <w:t>total MI, CABG or PTCA. Given both the heterogeneity in outcome measures</w:t>
      </w:r>
      <w:r w:rsidR="005853A9">
        <w:rPr>
          <w:kern w:val="0"/>
        </w:rPr>
        <w:t xml:space="preserve"> and </w:t>
      </w:r>
      <w:r>
        <w:rPr>
          <w:kern w:val="0"/>
        </w:rPr>
        <w:t>methods</w:t>
      </w:r>
      <w:r w:rsidR="00427468">
        <w:rPr>
          <w:kern w:val="0"/>
        </w:rPr>
        <w:t xml:space="preserve"> of </w:t>
      </w:r>
      <w:r>
        <w:rPr>
          <w:kern w:val="0"/>
        </w:rPr>
        <w:t>reporting findings, a meta-analysis was not undertaken for health-related quality</w:t>
      </w:r>
      <w:r w:rsidR="00427468">
        <w:rPr>
          <w:kern w:val="0"/>
        </w:rPr>
        <w:t xml:space="preserve"> of </w:t>
      </w:r>
      <w:r>
        <w:rPr>
          <w:kern w:val="0"/>
        </w:rPr>
        <w:t>life. In seven out</w:t>
      </w:r>
      <w:r w:rsidR="00427468">
        <w:rPr>
          <w:kern w:val="0"/>
        </w:rPr>
        <w:t xml:space="preserve"> of </w:t>
      </w:r>
      <w:r>
        <w:rPr>
          <w:kern w:val="0"/>
        </w:rPr>
        <w:t>10 trials reporting health-related quality</w:t>
      </w:r>
      <w:r w:rsidR="00427468">
        <w:rPr>
          <w:kern w:val="0"/>
        </w:rPr>
        <w:t xml:space="preserve"> of </w:t>
      </w:r>
      <w:r>
        <w:rPr>
          <w:kern w:val="0"/>
        </w:rPr>
        <w:t>life using validated measures was there evidence</w:t>
      </w:r>
      <w:r w:rsidR="00427468">
        <w:rPr>
          <w:kern w:val="0"/>
        </w:rPr>
        <w:t xml:space="preserve"> of </w:t>
      </w:r>
      <w:r>
        <w:rPr>
          <w:kern w:val="0"/>
        </w:rPr>
        <w:t>a significantly higher level</w:t>
      </w:r>
      <w:r w:rsidR="00427468">
        <w:rPr>
          <w:kern w:val="0"/>
        </w:rPr>
        <w:t xml:space="preserve"> of </w:t>
      </w:r>
      <w:r>
        <w:rPr>
          <w:kern w:val="0"/>
        </w:rPr>
        <w:t>quality</w:t>
      </w:r>
      <w:r w:rsidR="00427468">
        <w:rPr>
          <w:kern w:val="0"/>
        </w:rPr>
        <w:t xml:space="preserve"> of </w:t>
      </w:r>
      <w:r>
        <w:rPr>
          <w:kern w:val="0"/>
        </w:rPr>
        <w:t xml:space="preserve">life with </w:t>
      </w:r>
      <w:r>
        <w:rPr>
          <w:kern w:val="0"/>
        </w:rPr>
        <w:lastRenderedPageBreak/>
        <w:t>exercise-based cardiac rehabilitation than usual care. Authors</w:t>
      </w:r>
      <w:r w:rsidR="0071223E">
        <w:rPr>
          <w:kern w:val="0"/>
        </w:rPr>
        <w:t>’</w:t>
      </w:r>
      <w:r>
        <w:rPr>
          <w:kern w:val="0"/>
        </w:rPr>
        <w:t xml:space="preserve"> conclusions Exercise-based cardiac rehabilitation is effective in reducing total</w:t>
      </w:r>
      <w:r w:rsidR="005853A9">
        <w:rPr>
          <w:kern w:val="0"/>
        </w:rPr>
        <w:t xml:space="preserve"> and </w:t>
      </w:r>
      <w:r>
        <w:rPr>
          <w:kern w:val="0"/>
        </w:rPr>
        <w:t>cardiovascular mortality (in medium to longer term studies)</w:t>
      </w:r>
      <w:r w:rsidR="005853A9">
        <w:rPr>
          <w:kern w:val="0"/>
        </w:rPr>
        <w:t xml:space="preserve"> and </w:t>
      </w:r>
      <w:r>
        <w:rPr>
          <w:kern w:val="0"/>
        </w:rPr>
        <w:t>hospital admissions (in shorter term studies) but not total MI or revascularisation (CABG or PTCA). Despite inclusion</w:t>
      </w:r>
      <w:r w:rsidR="00427468">
        <w:rPr>
          <w:kern w:val="0"/>
        </w:rPr>
        <w:t xml:space="preserve"> of </w:t>
      </w:r>
      <w:r>
        <w:rPr>
          <w:kern w:val="0"/>
        </w:rPr>
        <w:t>more recent trials, the population studied in this review is still predominantly male, middle aged</w:t>
      </w:r>
      <w:r w:rsidR="005853A9">
        <w:rPr>
          <w:kern w:val="0"/>
        </w:rPr>
        <w:t xml:space="preserve"> and </w:t>
      </w:r>
      <w:r>
        <w:rPr>
          <w:kern w:val="0"/>
        </w:rPr>
        <w:t>low risk</w:t>
      </w:r>
      <w:r w:rsidR="00A37C1D">
        <w:rPr>
          <w:kern w:val="0"/>
        </w:rPr>
        <w:t>. The</w:t>
      </w:r>
      <w:r>
        <w:rPr>
          <w:kern w:val="0"/>
        </w:rPr>
        <w:t>refore, well-designed,</w:t>
      </w:r>
      <w:r w:rsidR="005853A9">
        <w:rPr>
          <w:kern w:val="0"/>
        </w:rPr>
        <w:t xml:space="preserve"> and </w:t>
      </w:r>
      <w:r>
        <w:rPr>
          <w:kern w:val="0"/>
        </w:rPr>
        <w:t>adequately reported RCTs in groups</w:t>
      </w:r>
      <w:r w:rsidR="00427468">
        <w:rPr>
          <w:kern w:val="0"/>
        </w:rPr>
        <w:t xml:space="preserve"> of </w:t>
      </w:r>
      <w:r>
        <w:rPr>
          <w:kern w:val="0"/>
        </w:rPr>
        <w:t>CHD patients more representative</w:t>
      </w:r>
      <w:r w:rsidR="00427468">
        <w:rPr>
          <w:kern w:val="0"/>
        </w:rPr>
        <w:t xml:space="preserve"> of </w:t>
      </w:r>
      <w:r>
        <w:rPr>
          <w:kern w:val="0"/>
        </w:rPr>
        <w:t>usual clinical practice are still needed</w:t>
      </w:r>
      <w:r w:rsidR="00A37C1D">
        <w:rPr>
          <w:kern w:val="0"/>
        </w:rPr>
        <w:t>. The</w:t>
      </w:r>
      <w:r>
        <w:rPr>
          <w:kern w:val="0"/>
        </w:rPr>
        <w:t>se trials should include validated health-related quality</w:t>
      </w:r>
      <w:r w:rsidR="00427468">
        <w:rPr>
          <w:kern w:val="0"/>
        </w:rPr>
        <w:t xml:space="preserve"> of </w:t>
      </w:r>
      <w:r>
        <w:rPr>
          <w:kern w:val="0"/>
        </w:rPr>
        <w:t>life outcome measures, need to explicitly report clinical events including hospital admission,</w:t>
      </w:r>
      <w:r w:rsidR="005853A9">
        <w:rPr>
          <w:kern w:val="0"/>
        </w:rPr>
        <w:t xml:space="preserve"> and </w:t>
      </w:r>
      <w:r>
        <w:rPr>
          <w:kern w:val="0"/>
        </w:rPr>
        <w:t>assess costs</w:t>
      </w:r>
      <w:r w:rsidR="005853A9">
        <w:rPr>
          <w:kern w:val="0"/>
        </w:rPr>
        <w:t xml:space="preserve"> and </w:t>
      </w:r>
      <w:r>
        <w:rPr>
          <w:kern w:val="0"/>
        </w:rPr>
        <w:t>cost-effectiveness.</w:t>
      </w:r>
    </w:p>
    <w:p w:rsidR="00365DE4" w:rsidRDefault="00365DE4" w:rsidP="00365DE4">
      <w:pPr>
        <w:pStyle w:val="a3"/>
        <w:rPr>
          <w:kern w:val="0"/>
        </w:rPr>
      </w:pPr>
      <w:r>
        <w:rPr>
          <w:kern w:val="0"/>
        </w:rPr>
        <w:t xml:space="preserve">Keywords: Acute Myocardial-Infarction, Artery-Bypass-Surgery, Citation, Comprehensive Rehabilitation, Coronary Disease [Mortality, Costs, Elderly-Patients, Embase, Exercise Therapy, Information, Interventions, Low-Fat Diet, </w:t>
      </w:r>
      <w:r w:rsidR="00D5664A">
        <w:rPr>
          <w:kern w:val="0"/>
        </w:rPr>
        <w:t>MEDLINE</w:t>
      </w:r>
      <w:r>
        <w:rPr>
          <w:kern w:val="0"/>
        </w:rPr>
        <w:t>, Meta-Analysis, Myocardial Infarction [Mortality, Outcome Assessment (Health Care), Physical-Exercise, Program J-Carp, Quality</w:t>
      </w:r>
      <w:r w:rsidR="00427468">
        <w:rPr>
          <w:kern w:val="0"/>
        </w:rPr>
        <w:t xml:space="preserve"> of </w:t>
      </w:r>
      <w:r>
        <w:rPr>
          <w:kern w:val="0"/>
        </w:rPr>
        <w:t>Life, Quality-of-Life, Randomized Clinical-Trial, Randomized Controlled Trials As Topic, Rehabilitation], Review, Risk-Factors, Science, Science Citation Index, Search Strategy, Systematic Review, Training</w:t>
      </w:r>
    </w:p>
    <w:p w:rsidR="00365DE4" w:rsidRDefault="00365DE4" w:rsidP="00365DE4">
      <w:pPr>
        <w:pStyle w:val="a3"/>
        <w:rPr>
          <w:kern w:val="0"/>
        </w:rPr>
      </w:pPr>
      <w:r>
        <w:rPr>
          <w:kern w:val="0"/>
        </w:rPr>
        <w:t>? Afshari, A., Brok, J., Moller, A.M.</w:t>
      </w:r>
      <w:r w:rsidR="005853A9">
        <w:rPr>
          <w:kern w:val="0"/>
        </w:rPr>
        <w:t xml:space="preserve"> and </w:t>
      </w:r>
      <w:r>
        <w:rPr>
          <w:kern w:val="0"/>
        </w:rPr>
        <w:t>Wetterslev, J. (2010), Inhaled nitric oxide for acute respiratory distress syndrome (ARDS)</w:t>
      </w:r>
      <w:r w:rsidR="005853A9">
        <w:rPr>
          <w:kern w:val="0"/>
        </w:rPr>
        <w:t xml:space="preserve"> and </w:t>
      </w:r>
      <w:r>
        <w:rPr>
          <w:kern w:val="0"/>
        </w:rPr>
        <w:t>acute lung injury in children</w:t>
      </w:r>
      <w:r w:rsidR="005853A9">
        <w:rPr>
          <w:kern w:val="0"/>
        </w:rPr>
        <w:t xml:space="preserve"> and </w:t>
      </w:r>
      <w:r>
        <w:rPr>
          <w:kern w:val="0"/>
        </w:rPr>
        <w:t xml:space="preserve">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CD002787.</w:t>
      </w:r>
    </w:p>
    <w:p w:rsidR="00365DE4" w:rsidRDefault="00365DE4" w:rsidP="00365DE4">
      <w:pPr>
        <w:pStyle w:val="a3"/>
        <w:rPr>
          <w:kern w:val="2"/>
        </w:rPr>
      </w:pPr>
      <w:r>
        <w:t xml:space="preserve">Full Text: </w:t>
      </w:r>
      <w:hyperlink r:id="rId603" w:history="1">
        <w:r>
          <w:rPr>
            <w:rStyle w:val="a5"/>
          </w:rPr>
          <w:t>2010\Coc Dat Sys Rev2010, CD002787.pdf</w:t>
        </w:r>
      </w:hyperlink>
    </w:p>
    <w:p w:rsidR="00365DE4" w:rsidRDefault="00365DE4" w:rsidP="00365DE4">
      <w:pPr>
        <w:pStyle w:val="a3"/>
        <w:rPr>
          <w:kern w:val="0"/>
        </w:rPr>
      </w:pPr>
      <w:r>
        <w:rPr>
          <w:kern w:val="0"/>
        </w:rPr>
        <w:t>Abstract: Background Acute hypoxaemic respiratory failure (AHRF), defined as acute lung injury (ALI)</w:t>
      </w:r>
      <w:r w:rsidR="005853A9">
        <w:rPr>
          <w:kern w:val="0"/>
        </w:rPr>
        <w:t xml:space="preserve"> and </w:t>
      </w:r>
      <w:r>
        <w:rPr>
          <w:kern w:val="0"/>
        </w:rPr>
        <w:t>acute respiratory distress syndrome (ARDS), are critical conditions. AHRF results from a number</w:t>
      </w:r>
      <w:r w:rsidR="00427468">
        <w:rPr>
          <w:kern w:val="0"/>
        </w:rPr>
        <w:t xml:space="preserve"> of </w:t>
      </w:r>
      <w:r>
        <w:rPr>
          <w:kern w:val="0"/>
        </w:rPr>
        <w:t>systemic conditions</w:t>
      </w:r>
      <w:r w:rsidR="005853A9">
        <w:rPr>
          <w:kern w:val="0"/>
        </w:rPr>
        <w:t xml:space="preserve"> and </w:t>
      </w:r>
      <w:r>
        <w:rPr>
          <w:kern w:val="0"/>
        </w:rPr>
        <w:t>is associated with high mortality</w:t>
      </w:r>
      <w:r w:rsidR="005853A9">
        <w:rPr>
          <w:kern w:val="0"/>
        </w:rPr>
        <w:t xml:space="preserve"> and </w:t>
      </w:r>
      <w:r>
        <w:rPr>
          <w:kern w:val="0"/>
        </w:rPr>
        <w:t>morbidity in all ages. Inhaled nitric oxide (INO) has been used to improve oxygenation but its role remains controversial. Objectives To systematically assess the benefits</w:t>
      </w:r>
      <w:r w:rsidR="005853A9">
        <w:rPr>
          <w:kern w:val="0"/>
        </w:rPr>
        <w:t xml:space="preserve"> and </w:t>
      </w:r>
      <w:r>
        <w:rPr>
          <w:kern w:val="0"/>
        </w:rPr>
        <w:t>harms</w:t>
      </w:r>
      <w:r w:rsidR="00427468">
        <w:rPr>
          <w:kern w:val="0"/>
        </w:rPr>
        <w:t xml:space="preserve"> of </w:t>
      </w:r>
      <w:r>
        <w:rPr>
          <w:kern w:val="0"/>
        </w:rPr>
        <w:t>INO in critically ill patients with AHRF. Search strategy Randomized clinical trials (RCTs) were identified from electronic databases: the Cochrane Central Register</w:t>
      </w:r>
      <w:r w:rsidR="00427468">
        <w:rPr>
          <w:kern w:val="0"/>
        </w:rPr>
        <w:t xml:space="preserve"> of </w:t>
      </w:r>
      <w:r>
        <w:rPr>
          <w:kern w:val="0"/>
        </w:rPr>
        <w:t xml:space="preserve">Controlled Trials (CENTRAL) (The Cochrane Library 2010, Issue 1); </w:t>
      </w:r>
      <w:r w:rsidR="00D5664A">
        <w:rPr>
          <w:kern w:val="0"/>
        </w:rPr>
        <w:t>MEDLINE</w:t>
      </w:r>
      <w:r>
        <w:rPr>
          <w:kern w:val="0"/>
        </w:rPr>
        <w:t xml:space="preserve">; EMBASE; Science Citation Index Expanded; International </w:t>
      </w:r>
      <w:r w:rsidR="00D5664A">
        <w:rPr>
          <w:kern w:val="0"/>
        </w:rPr>
        <w:t>Web</w:t>
      </w:r>
      <w:r w:rsidR="00427468">
        <w:rPr>
          <w:kern w:val="0"/>
        </w:rPr>
        <w:t xml:space="preserve"> of </w:t>
      </w:r>
      <w:r w:rsidR="00D5664A">
        <w:rPr>
          <w:kern w:val="0"/>
        </w:rPr>
        <w:t>Science</w:t>
      </w:r>
      <w:r>
        <w:rPr>
          <w:kern w:val="0"/>
        </w:rPr>
        <w:t>; CINAHL; LILACS;</w:t>
      </w:r>
      <w:r w:rsidR="005853A9">
        <w:rPr>
          <w:kern w:val="0"/>
        </w:rPr>
        <w:t xml:space="preserve"> and </w:t>
      </w:r>
      <w:r>
        <w:rPr>
          <w:kern w:val="0"/>
        </w:rPr>
        <w:t>the Chinese Biomedical Literature Database (up to 31st January 2010). We contacted trial authors, authors</w:t>
      </w:r>
      <w:r w:rsidR="00427468">
        <w:rPr>
          <w:kern w:val="0"/>
        </w:rPr>
        <w:t xml:space="preserve"> of </w:t>
      </w:r>
      <w:r>
        <w:rPr>
          <w:kern w:val="0"/>
        </w:rPr>
        <w:t>previous reviews,</w:t>
      </w:r>
      <w:r w:rsidR="005853A9">
        <w:rPr>
          <w:kern w:val="0"/>
        </w:rPr>
        <w:t xml:space="preserve"> and </w:t>
      </w:r>
      <w:r>
        <w:rPr>
          <w:kern w:val="0"/>
        </w:rPr>
        <w:t>manufacturers in the field. Selection criteria We included all RCTs, irrespective</w:t>
      </w:r>
      <w:r w:rsidR="00427468">
        <w:rPr>
          <w:kern w:val="0"/>
        </w:rPr>
        <w:t xml:space="preserve"> of </w:t>
      </w:r>
      <w:r>
        <w:rPr>
          <w:kern w:val="0"/>
        </w:rPr>
        <w:t>blinding or language, that compared INO with no intervention or placebo in children or adults with AHRF. Data collection</w:t>
      </w:r>
      <w:r w:rsidR="005853A9">
        <w:rPr>
          <w:kern w:val="0"/>
        </w:rPr>
        <w:t xml:space="preserve"> and </w:t>
      </w:r>
      <w:r>
        <w:rPr>
          <w:kern w:val="0"/>
        </w:rPr>
        <w:t>analysis Two authors independently abstracted data</w:t>
      </w:r>
      <w:r w:rsidR="005853A9">
        <w:rPr>
          <w:kern w:val="0"/>
        </w:rPr>
        <w:t xml:space="preserve"> and </w:t>
      </w:r>
      <w:r>
        <w:rPr>
          <w:kern w:val="0"/>
        </w:rPr>
        <w:t>resolved any disagreements by discussion. We presented pooled estimates</w:t>
      </w:r>
      <w:r w:rsidR="00427468">
        <w:rPr>
          <w:kern w:val="0"/>
        </w:rPr>
        <w:t xml:space="preserve"> of </w:t>
      </w:r>
      <w:r>
        <w:rPr>
          <w:kern w:val="0"/>
        </w:rPr>
        <w:t xml:space="preserve">the intervention effects on dichotomous outcomes as relative risks (RR) with 95% confidence intervals (CI). </w:t>
      </w:r>
      <w:r>
        <w:rPr>
          <w:kern w:val="0"/>
        </w:rPr>
        <w:lastRenderedPageBreak/>
        <w:t>Our primary outcome measure was all cause mortality. We performed subgroup</w:t>
      </w:r>
      <w:r w:rsidR="005853A9">
        <w:rPr>
          <w:kern w:val="0"/>
        </w:rPr>
        <w:t xml:space="preserve"> and </w:t>
      </w:r>
      <w:r>
        <w:rPr>
          <w:kern w:val="0"/>
        </w:rPr>
        <w:t>sensitivity analyses to assess the effect</w:t>
      </w:r>
      <w:r w:rsidR="00427468">
        <w:rPr>
          <w:kern w:val="0"/>
        </w:rPr>
        <w:t xml:space="preserve"> of </w:t>
      </w:r>
      <w:r>
        <w:rPr>
          <w:kern w:val="0"/>
        </w:rPr>
        <w:t>INO in adults</w:t>
      </w:r>
      <w:r w:rsidR="005853A9">
        <w:rPr>
          <w:kern w:val="0"/>
        </w:rPr>
        <w:t xml:space="preserve"> and </w:t>
      </w:r>
      <w:r>
        <w:rPr>
          <w:kern w:val="0"/>
        </w:rPr>
        <w:t>children</w:t>
      </w:r>
      <w:r w:rsidR="005853A9">
        <w:rPr>
          <w:kern w:val="0"/>
        </w:rPr>
        <w:t xml:space="preserve"> and </w:t>
      </w:r>
      <w:r>
        <w:rPr>
          <w:kern w:val="0"/>
        </w:rPr>
        <w:t>on various clinical</w:t>
      </w:r>
      <w:r w:rsidR="005853A9">
        <w:rPr>
          <w:kern w:val="0"/>
        </w:rPr>
        <w:t xml:space="preserve"> and </w:t>
      </w:r>
      <w:r>
        <w:rPr>
          <w:kern w:val="0"/>
        </w:rPr>
        <w:t>physiological outcomes. We assessed the risk</w:t>
      </w:r>
      <w:r w:rsidR="00427468">
        <w:rPr>
          <w:kern w:val="0"/>
        </w:rPr>
        <w:t xml:space="preserve"> of </w:t>
      </w:r>
      <w:r>
        <w:rPr>
          <w:kern w:val="0"/>
        </w:rPr>
        <w:t>bias through assessment</w:t>
      </w:r>
      <w:r w:rsidR="00427468">
        <w:rPr>
          <w:kern w:val="0"/>
        </w:rPr>
        <w:t xml:space="preserve"> of </w:t>
      </w:r>
      <w:r>
        <w:rPr>
          <w:kern w:val="0"/>
        </w:rPr>
        <w:t>trial methodological components</w:t>
      </w:r>
      <w:r w:rsidR="005853A9">
        <w:rPr>
          <w:kern w:val="0"/>
        </w:rPr>
        <w:t xml:space="preserve"> and </w:t>
      </w:r>
      <w:r>
        <w:rPr>
          <w:kern w:val="0"/>
        </w:rPr>
        <w:t>the risk</w:t>
      </w:r>
      <w:r w:rsidR="00427468">
        <w:rPr>
          <w:kern w:val="0"/>
        </w:rPr>
        <w:t xml:space="preserve"> of </w:t>
      </w:r>
      <w:r>
        <w:rPr>
          <w:kern w:val="0"/>
        </w:rPr>
        <w:t>random error through trial sequential analysis. Main results We included 14 RCTs with a total</w:t>
      </w:r>
      <w:r w:rsidR="00427468">
        <w:rPr>
          <w:kern w:val="0"/>
        </w:rPr>
        <w:t xml:space="preserve"> of </w:t>
      </w:r>
      <w:r>
        <w:rPr>
          <w:kern w:val="0"/>
        </w:rPr>
        <w:t>1303 participants; 10</w:t>
      </w:r>
      <w:r w:rsidR="00427468">
        <w:rPr>
          <w:kern w:val="0"/>
        </w:rPr>
        <w:t xml:space="preserve"> of </w:t>
      </w:r>
      <w:r>
        <w:rPr>
          <w:kern w:val="0"/>
        </w:rPr>
        <w:t>these trials had a high risk</w:t>
      </w:r>
      <w:r w:rsidR="00427468">
        <w:rPr>
          <w:kern w:val="0"/>
        </w:rPr>
        <w:t xml:space="preserve"> of </w:t>
      </w:r>
      <w:r>
        <w:rPr>
          <w:kern w:val="0"/>
        </w:rPr>
        <w:t>bias. INO showed no statistically significant effect on overallmortality (40.2% versus 38.6%) (RR 1.06, 95% CI 0.93 to 1.22; I-2 = 0)</w:t>
      </w:r>
      <w:r w:rsidR="005853A9">
        <w:rPr>
          <w:kern w:val="0"/>
        </w:rPr>
        <w:t xml:space="preserve"> and </w:t>
      </w:r>
      <w:r>
        <w:rPr>
          <w:kern w:val="0"/>
        </w:rPr>
        <w:t>in several subgroup</w:t>
      </w:r>
      <w:r w:rsidR="005853A9">
        <w:rPr>
          <w:kern w:val="0"/>
        </w:rPr>
        <w:t xml:space="preserve"> and </w:t>
      </w:r>
      <w:r>
        <w:rPr>
          <w:kern w:val="0"/>
        </w:rPr>
        <w:t>sensitivity analyses, indicating robust results. Limited data demonstrated a statistically insignificant effect</w:t>
      </w:r>
      <w:r w:rsidR="00427468">
        <w:rPr>
          <w:kern w:val="0"/>
        </w:rPr>
        <w:t xml:space="preserve"> of </w:t>
      </w:r>
      <w:r>
        <w:rPr>
          <w:kern w:val="0"/>
        </w:rPr>
        <w:t>INO on duration</w:t>
      </w:r>
      <w:r w:rsidR="00427468">
        <w:rPr>
          <w:kern w:val="0"/>
        </w:rPr>
        <w:t xml:space="preserve"> of </w:t>
      </w:r>
      <w:r>
        <w:rPr>
          <w:kern w:val="0"/>
        </w:rPr>
        <w:t>ventilation, ventilator-free days,</w:t>
      </w:r>
      <w:r w:rsidR="005853A9">
        <w:rPr>
          <w:kern w:val="0"/>
        </w:rPr>
        <w:t xml:space="preserve"> and </w:t>
      </w:r>
      <w:r>
        <w:rPr>
          <w:kern w:val="0"/>
        </w:rPr>
        <w:t>length</w:t>
      </w:r>
      <w:r w:rsidR="00427468">
        <w:rPr>
          <w:kern w:val="0"/>
        </w:rPr>
        <w:t xml:space="preserve"> of </w:t>
      </w:r>
      <w:r>
        <w:rPr>
          <w:kern w:val="0"/>
        </w:rPr>
        <w:t>stay in the intensive care unit</w:t>
      </w:r>
      <w:r w:rsidR="005853A9">
        <w:rPr>
          <w:kern w:val="0"/>
        </w:rPr>
        <w:t xml:space="preserve"> and </w:t>
      </w:r>
      <w:r>
        <w:rPr>
          <w:kern w:val="0"/>
        </w:rPr>
        <w:t>hospital. We found a statistically significant but transient improvement in oxygenation in the first 24 hours, expressed as the ratio</w:t>
      </w:r>
      <w:r w:rsidR="00427468">
        <w:rPr>
          <w:kern w:val="0"/>
        </w:rPr>
        <w:t xml:space="preserve"> of </w:t>
      </w:r>
      <w:r>
        <w:rPr>
          <w:kern w:val="0"/>
        </w:rPr>
        <w:t>partial pressure</w:t>
      </w:r>
      <w:r w:rsidR="00427468">
        <w:rPr>
          <w:kern w:val="0"/>
        </w:rPr>
        <w:t xml:space="preserve"> of </w:t>
      </w:r>
      <w:r>
        <w:rPr>
          <w:kern w:val="0"/>
        </w:rPr>
        <w:t>oxygen to fraction</w:t>
      </w:r>
      <w:r w:rsidR="00427468">
        <w:rPr>
          <w:kern w:val="0"/>
        </w:rPr>
        <w:t xml:space="preserve"> of </w:t>
      </w:r>
      <w:r>
        <w:rPr>
          <w:kern w:val="0"/>
        </w:rPr>
        <w:t>inspired oxygen</w:t>
      </w:r>
      <w:r w:rsidR="005853A9">
        <w:rPr>
          <w:kern w:val="0"/>
        </w:rPr>
        <w:t xml:space="preserve"> and </w:t>
      </w:r>
      <w:r>
        <w:rPr>
          <w:kern w:val="0"/>
        </w:rPr>
        <w:t>the oxygenation index (MD 15.91, 95% CI 8.25 to 23.56; I-2 = 25%). However, INO appears to increase the risk</w:t>
      </w:r>
      <w:r w:rsidR="00427468">
        <w:rPr>
          <w:kern w:val="0"/>
        </w:rPr>
        <w:t xml:space="preserve"> of </w:t>
      </w:r>
      <w:r>
        <w:rPr>
          <w:kern w:val="0"/>
        </w:rPr>
        <w:t>renal impairment among adults (RR 1.59, 95% CI 1.17 to 2.16; I-2 = 0) but not the risk</w:t>
      </w:r>
      <w:r w:rsidR="00427468">
        <w:rPr>
          <w:kern w:val="0"/>
        </w:rPr>
        <w:t xml:space="preserve"> of </w:t>
      </w:r>
      <w:r>
        <w:rPr>
          <w:kern w:val="0"/>
        </w:rPr>
        <w:t>bleeding or methaemoglobin or nitrogen dioxide formation. Authors</w:t>
      </w:r>
      <w:r w:rsidR="0071223E">
        <w:rPr>
          <w:kern w:val="0"/>
        </w:rPr>
        <w:t>’</w:t>
      </w:r>
      <w:r>
        <w:rPr>
          <w:kern w:val="0"/>
        </w:rPr>
        <w:t xml:space="preserve"> conclusions INO cannot be recommended for patients with AHRF. INO results in a transient improvement in oxygenation but does not reduce mortality</w:t>
      </w:r>
      <w:r w:rsidR="005853A9">
        <w:rPr>
          <w:kern w:val="0"/>
        </w:rPr>
        <w:t xml:space="preserve"> and </w:t>
      </w:r>
      <w:r>
        <w:rPr>
          <w:kern w:val="0"/>
        </w:rPr>
        <w:t>may be harmful.</w:t>
      </w:r>
    </w:p>
    <w:p w:rsidR="00365DE4" w:rsidRDefault="00365DE4" w:rsidP="00365DE4">
      <w:pPr>
        <w:pStyle w:val="a3"/>
        <w:rPr>
          <w:kern w:val="0"/>
        </w:rPr>
      </w:pPr>
      <w:r>
        <w:rPr>
          <w:kern w:val="0"/>
        </w:rPr>
        <w:t>Keywords: Acute Disease, Administration, Adult [Drug Therapy], Anoxia [Complications, Bias, Bronchodilator Agents [Administration &amp; Dosage], Cumulative Metaanalysis, Failure, Inhalation, Monitoring Boundaries, Mortality], Nitric Oxide [Administration &amp; Dosage], Outcomes, Oxygen Consumption, Randomized Controlled Trials as Topic, Randomized Controlled-Trial, Respiratory Distress Syndrome, Respiratory Insufficiency [Drug Therapy, Right-Ventricular Function, Risk-Factors, Therapy, Trial Sequential-Analysis, Web</w:t>
      </w:r>
    </w:p>
    <w:p w:rsidR="00365DE4" w:rsidRDefault="00365DE4" w:rsidP="00365DE4">
      <w:pPr>
        <w:pStyle w:val="a3"/>
        <w:rPr>
          <w:kern w:val="0"/>
        </w:rPr>
      </w:pPr>
      <w:r>
        <w:rPr>
          <w:kern w:val="0"/>
        </w:rPr>
        <w:t>? Geeganage, C.</w:t>
      </w:r>
      <w:r w:rsidR="005853A9">
        <w:rPr>
          <w:kern w:val="0"/>
        </w:rPr>
        <w:t xml:space="preserve"> and </w:t>
      </w:r>
      <w:r>
        <w:rPr>
          <w:kern w:val="0"/>
        </w:rPr>
        <w:t xml:space="preserve">Bath, P.M.W. (2010), Vasoactive drugs for acute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CD002839.</w:t>
      </w:r>
    </w:p>
    <w:p w:rsidR="00365DE4" w:rsidRDefault="00365DE4" w:rsidP="00365DE4">
      <w:pPr>
        <w:pStyle w:val="a3"/>
        <w:rPr>
          <w:kern w:val="2"/>
        </w:rPr>
      </w:pPr>
      <w:r>
        <w:t xml:space="preserve">Full Text: </w:t>
      </w:r>
      <w:hyperlink r:id="rId604" w:history="1">
        <w:r>
          <w:rPr>
            <w:rStyle w:val="a5"/>
          </w:rPr>
          <w:t>2010\Coc Dat Sys Rev2010, CD002839.pdf</w:t>
        </w:r>
      </w:hyperlink>
    </w:p>
    <w:p w:rsidR="00365DE4" w:rsidRDefault="00365DE4" w:rsidP="00365DE4">
      <w:pPr>
        <w:pStyle w:val="a3"/>
        <w:rPr>
          <w:kern w:val="0"/>
        </w:rPr>
      </w:pPr>
      <w:r>
        <w:rPr>
          <w:kern w:val="0"/>
        </w:rPr>
        <w:t>Abstract: Background It is unclear whether blood pressure (BP) should be altered actively during the acute phase</w:t>
      </w:r>
      <w:r w:rsidR="00427468">
        <w:rPr>
          <w:kern w:val="0"/>
        </w:rPr>
        <w:t xml:space="preserve"> of </w:t>
      </w:r>
      <w:r>
        <w:rPr>
          <w:kern w:val="0"/>
        </w:rPr>
        <w:t>stroke. Objectives To assess the effect</w:t>
      </w:r>
      <w:r w:rsidR="00427468">
        <w:rPr>
          <w:kern w:val="0"/>
        </w:rPr>
        <w:t xml:space="preserve"> of </w:t>
      </w:r>
      <w:r>
        <w:rPr>
          <w:kern w:val="0"/>
        </w:rPr>
        <w:t>lowering or elevating BP in people with acute stroke,</w:t>
      </w:r>
      <w:r w:rsidR="005853A9">
        <w:rPr>
          <w:kern w:val="0"/>
        </w:rPr>
        <w:t xml:space="preserve"> and </w:t>
      </w:r>
      <w:r>
        <w:rPr>
          <w:kern w:val="0"/>
        </w:rPr>
        <w:t>the effect</w:t>
      </w:r>
      <w:r w:rsidR="00427468">
        <w:rPr>
          <w:kern w:val="0"/>
        </w:rPr>
        <w:t xml:space="preserve"> of </w:t>
      </w:r>
      <w:r>
        <w:rPr>
          <w:kern w:val="0"/>
        </w:rPr>
        <w:t>different vasoactive drugs on BP in acute stroke. Search strategy We searched the Cochrane Stroke Group Trials Register (last searched June 2009), the Cochrane Central Register</w:t>
      </w:r>
      <w:r w:rsidR="00427468">
        <w:rPr>
          <w:kern w:val="0"/>
        </w:rPr>
        <w:t xml:space="preserve"> of </w:t>
      </w:r>
      <w:r>
        <w:rPr>
          <w:kern w:val="0"/>
        </w:rPr>
        <w:t xml:space="preserve">Controlled Trials (CENTRAL) (The Cochrane Library Issue 4, 2009), </w:t>
      </w:r>
      <w:r w:rsidR="00D5664A">
        <w:rPr>
          <w:kern w:val="0"/>
        </w:rPr>
        <w:t>MEDLINE</w:t>
      </w:r>
      <w:r>
        <w:rPr>
          <w:kern w:val="0"/>
        </w:rPr>
        <w:t xml:space="preserve"> (1966 to October 2009), EMBASE (1980 to October 2009),</w:t>
      </w:r>
      <w:r w:rsidR="005853A9">
        <w:rPr>
          <w:kern w:val="0"/>
        </w:rPr>
        <w:t xml:space="preserve"> and </w:t>
      </w:r>
      <w:r>
        <w:rPr>
          <w:kern w:val="0"/>
        </w:rPr>
        <w:t>Science Citation Index (1981 to October 2009). Selection criteria Randomised trials</w:t>
      </w:r>
      <w:r w:rsidR="00427468">
        <w:rPr>
          <w:kern w:val="0"/>
        </w:rPr>
        <w:t xml:space="preserve"> of </w:t>
      </w:r>
      <w:r>
        <w:rPr>
          <w:kern w:val="0"/>
        </w:rPr>
        <w:t>interventions that would be expected, on pharmacological grounds, to alter BP in patients within one week</w:t>
      </w:r>
      <w:r w:rsidR="00427468">
        <w:rPr>
          <w:kern w:val="0"/>
        </w:rPr>
        <w:t xml:space="preserve"> of </w:t>
      </w:r>
      <w:r>
        <w:rPr>
          <w:kern w:val="0"/>
        </w:rPr>
        <w:t>the onset</w:t>
      </w:r>
      <w:r w:rsidR="00427468">
        <w:rPr>
          <w:kern w:val="0"/>
        </w:rPr>
        <w:t xml:space="preserve"> of </w:t>
      </w:r>
      <w:r>
        <w:rPr>
          <w:kern w:val="0"/>
        </w:rPr>
        <w:t>acute stroke. Data collection</w:t>
      </w:r>
      <w:r w:rsidR="005853A9">
        <w:rPr>
          <w:kern w:val="0"/>
        </w:rPr>
        <w:t xml:space="preserve"> and </w:t>
      </w:r>
      <w:r>
        <w:rPr>
          <w:kern w:val="0"/>
        </w:rPr>
        <w:t>analysis Two review authors independently applied the trial inclusion criteria, assessed trial quality,</w:t>
      </w:r>
      <w:r w:rsidR="005853A9">
        <w:rPr>
          <w:kern w:val="0"/>
        </w:rPr>
        <w:t xml:space="preserve"> and </w:t>
      </w:r>
      <w:r>
        <w:rPr>
          <w:kern w:val="0"/>
        </w:rPr>
        <w:lastRenderedPageBreak/>
        <w:t>extracted data. Main results We identified 131 trials involving in excess</w:t>
      </w:r>
      <w:r w:rsidR="00427468">
        <w:rPr>
          <w:kern w:val="0"/>
        </w:rPr>
        <w:t xml:space="preserve"> of </w:t>
      </w:r>
      <w:r>
        <w:rPr>
          <w:kern w:val="0"/>
        </w:rPr>
        <w:t>18,000 patients; a further 13 trials are ongoing. We obtained data for 43 trials (7649 patients). Among BP-lowering trials, beta receptor antagonists lowered BP (early systolic BP (SBP) mean difference (MD) -6.1 mmHg, 95% CI -11.4 to -0.9; late SBP MD -4.9 mmHg, 95% CI -10.2 to 0.4; late diastolic BP (DBP) MD -4.5 mmHg, 95% CI -7.8 to 1.2). Oral calcium channel blockers (CCB) lowered BP (late SBP MD -3.2 mmHg, 95% CI -5.4 to -1.1; early DBP MD -2.5, 95% CI -5.6 to 0.7; late DBP MD -2.1, 95% CI -3.5 to -0.7). Nitric oxide donors lowered BP (early SBP MD -10.3 mmHg, 95% CI 17.6 to -3.0). Prostacyclin lowered BP (late SBP MD, -7.7 mmHg, 95% CI -15.6 to 0.2; late DBP MD -3.9 mmHg, 95% CI -8.1 to 0.4). Among BP-increasing trials, diaspirin cross-linked haemoglobin (DCLHb) increased BP (early SBP MD 15.3 mmHg, 95% CI 4.0 to 26.6; late SBP MD 15.9 mmHg, 95% CI 1.8 to 30.0). None</w:t>
      </w:r>
      <w:r w:rsidR="00427468">
        <w:rPr>
          <w:kern w:val="0"/>
        </w:rPr>
        <w:t xml:space="preserve"> of </w:t>
      </w:r>
      <w:r>
        <w:rPr>
          <w:kern w:val="0"/>
        </w:rPr>
        <w:t>the drug classes significantly altered outcome apart from DCLHb which increased combined death or dependency (odds ratio (OR) 5.41, 95% CI 1.87 to 15.64). Authors</w:t>
      </w:r>
      <w:r w:rsidR="0071223E">
        <w:rPr>
          <w:kern w:val="0"/>
        </w:rPr>
        <w:t>’</w:t>
      </w:r>
      <w:r>
        <w:rPr>
          <w:kern w:val="0"/>
        </w:rPr>
        <w:t xml:space="preserve"> conclusions There is not enough evidence to evaluate reliably the effect</w:t>
      </w:r>
      <w:r w:rsidR="00427468">
        <w:rPr>
          <w:kern w:val="0"/>
        </w:rPr>
        <w:t xml:space="preserve"> of </w:t>
      </w:r>
      <w:r>
        <w:rPr>
          <w:kern w:val="0"/>
        </w:rPr>
        <w:t>altering BP on outcome after acute stroke. However, treatment with DCLHb was associated with poor clinical outcomes. Beta receptor antagonists, CCBs, nitric oxide,</w:t>
      </w:r>
      <w:r w:rsidR="005853A9">
        <w:rPr>
          <w:kern w:val="0"/>
        </w:rPr>
        <w:t xml:space="preserve"> and </w:t>
      </w:r>
      <w:r>
        <w:rPr>
          <w:kern w:val="0"/>
        </w:rPr>
        <w:t>prostacyclin each lowered BP during the acute phase</w:t>
      </w:r>
      <w:r w:rsidR="00427468">
        <w:rPr>
          <w:kern w:val="0"/>
        </w:rPr>
        <w:t xml:space="preserve"> of </w:t>
      </w:r>
      <w:r>
        <w:rPr>
          <w:kern w:val="0"/>
        </w:rPr>
        <w:t>stroke. In contrast, DCLHb increased BP.</w:t>
      </w:r>
    </w:p>
    <w:p w:rsidR="00365DE4" w:rsidRDefault="00365DE4" w:rsidP="00365DE4">
      <w:pPr>
        <w:pStyle w:val="a3"/>
        <w:rPr>
          <w:kern w:val="0"/>
        </w:rPr>
      </w:pPr>
      <w:r>
        <w:rPr>
          <w:kern w:val="0"/>
        </w:rPr>
        <w:t>Keywords: Acute Cerebral Infarction, Acute Ischemic-Stroke, Acute Nonhemorrhagic Stroke, Administration, Adrenergic Alpha-Antagonists [Therapeutic Use], Adrenergic Beta-Antagonists [Therapeutic Use], Angiotensin Converting Enzyme Inhibitors [Therapeutic Use], Antihypertensive Agents [Therapeutic Use], Blind Controlled Trial, Blood Pressure [Drug Effects, Calcium Channel Blockers [Therapeutic Use], Epoprostenol [Therapeutic Use], Injections, Intravenous, Intravenous Magnesium-Sulfate, Oral, Physiology], Physiopathology], Placebo-Controlled Trial, Quality-of-Care, Randomized Controlled Trials as Topic, Randomized Controlled-Trial, Reduces Blood-Pressure, Stroke [Drug Therapy, Transdermal Glyceryl Trinitrate, Vasodilator Agents [Therapeutic Use]</w:t>
      </w:r>
    </w:p>
    <w:p w:rsidR="00365DE4" w:rsidRDefault="00365DE4" w:rsidP="00365DE4">
      <w:pPr>
        <w:pStyle w:val="a3"/>
        <w:rPr>
          <w:kern w:val="0"/>
        </w:rPr>
      </w:pPr>
      <w:r>
        <w:rPr>
          <w:kern w:val="0"/>
        </w:rPr>
        <w:t>? Katz, L.H., Tur-Kaspa, R., Guy, D.G.</w:t>
      </w:r>
      <w:r w:rsidR="005853A9">
        <w:rPr>
          <w:kern w:val="0"/>
        </w:rPr>
        <w:t xml:space="preserve"> and </w:t>
      </w:r>
      <w:r>
        <w:rPr>
          <w:kern w:val="0"/>
        </w:rPr>
        <w:t xml:space="preserve">Paul, M. (2010), Lamivudine or adefovir dipivoxil alone or combined with immunoglobulin for preventing hepatitis B recurrence after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CD006005.</w:t>
      </w:r>
    </w:p>
    <w:p w:rsidR="00365DE4" w:rsidRDefault="00365DE4" w:rsidP="00365DE4">
      <w:pPr>
        <w:pStyle w:val="a3"/>
        <w:rPr>
          <w:kern w:val="2"/>
        </w:rPr>
      </w:pPr>
      <w:r>
        <w:t xml:space="preserve">Full Text: </w:t>
      </w:r>
      <w:hyperlink r:id="rId605" w:history="1">
        <w:r>
          <w:rPr>
            <w:rStyle w:val="a5"/>
          </w:rPr>
          <w:t>2010\Coc Dat Sys Rev2010, CD006005.pdf</w:t>
        </w:r>
      </w:hyperlink>
    </w:p>
    <w:p w:rsidR="00365DE4" w:rsidRDefault="00365DE4" w:rsidP="00365DE4">
      <w:pPr>
        <w:pStyle w:val="a3"/>
        <w:rPr>
          <w:kern w:val="0"/>
        </w:rPr>
      </w:pPr>
      <w:r>
        <w:rPr>
          <w:kern w:val="0"/>
        </w:rPr>
        <w:t>Abstract: Background Recurrence</w:t>
      </w:r>
      <w:r w:rsidR="00427468">
        <w:rPr>
          <w:kern w:val="0"/>
        </w:rPr>
        <w:t xml:space="preserve"> of </w:t>
      </w:r>
      <w:r>
        <w:rPr>
          <w:kern w:val="0"/>
        </w:rPr>
        <w:t>hepatitis B virus (HBV) infection in the liver graft is a grave complication following liver transplantation for HBV cirrhosis. Hepatitis B immunoglobulin (HBIg) seems effective in increasing survival after liver transplantation. HBIg</w:t>
      </w:r>
      <w:r w:rsidR="005853A9">
        <w:rPr>
          <w:kern w:val="0"/>
        </w:rPr>
        <w:t xml:space="preserve"> and </w:t>
      </w:r>
      <w:r>
        <w:rPr>
          <w:kern w:val="0"/>
        </w:rPr>
        <w:t>anti-viral drugs are given alone or in combination for its prevention. Objectives To assess the benefits</w:t>
      </w:r>
      <w:r w:rsidR="005853A9">
        <w:rPr>
          <w:kern w:val="0"/>
        </w:rPr>
        <w:t xml:space="preserve"> and </w:t>
      </w:r>
      <w:r>
        <w:rPr>
          <w:kern w:val="0"/>
        </w:rPr>
        <w:t>harms</w:t>
      </w:r>
      <w:r w:rsidR="00427468">
        <w:rPr>
          <w:kern w:val="0"/>
        </w:rPr>
        <w:t xml:space="preserve"> of </w:t>
      </w:r>
      <w:r>
        <w:rPr>
          <w:kern w:val="0"/>
        </w:rPr>
        <w:t xml:space="preserve">different regimens for </w:t>
      </w:r>
      <w:r>
        <w:rPr>
          <w:kern w:val="0"/>
        </w:rPr>
        <w:lastRenderedPageBreak/>
        <w:t>preventing HBV reactivation following liver transplantation.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February 2010. We attempted to identify further trials by reviewing the reference lists</w:t>
      </w:r>
      <w:r w:rsidR="005853A9">
        <w:rPr>
          <w:kern w:val="0"/>
        </w:rPr>
        <w:t xml:space="preserve"> and </w:t>
      </w:r>
      <w:r>
        <w:rPr>
          <w:kern w:val="0"/>
        </w:rPr>
        <w:t>contacting the principal authors</w:t>
      </w:r>
      <w:r w:rsidR="00427468">
        <w:rPr>
          <w:kern w:val="0"/>
        </w:rPr>
        <w:t xml:space="preserve"> of </w:t>
      </w:r>
      <w:r>
        <w:rPr>
          <w:kern w:val="0"/>
        </w:rPr>
        <w:t>identified trials. Selection criteria Randomised clinical trials addressing benefits</w:t>
      </w:r>
      <w:r w:rsidR="005853A9">
        <w:rPr>
          <w:kern w:val="0"/>
        </w:rPr>
        <w:t xml:space="preserve"> and </w:t>
      </w:r>
      <w:r>
        <w:rPr>
          <w:kern w:val="0"/>
        </w:rPr>
        <w:t>harms</w:t>
      </w:r>
      <w:r w:rsidR="00427468">
        <w:rPr>
          <w:kern w:val="0"/>
        </w:rPr>
        <w:t xml:space="preserve"> of </w:t>
      </w:r>
      <w:r>
        <w:rPr>
          <w:kern w:val="0"/>
        </w:rPr>
        <w:t>lamivudine or adefovir dipivoxil alone or in combination with hepatitis B immunoglobulins (HBIg) for preventing recurrent HBV infection in patients who are liver transplanted due to HBV infection with or without hepatocellular carcinoma. Data collection</w:t>
      </w:r>
      <w:r w:rsidR="005853A9">
        <w:rPr>
          <w:kern w:val="0"/>
        </w:rPr>
        <w:t xml:space="preserve"> and </w:t>
      </w:r>
      <w:r>
        <w:rPr>
          <w:kern w:val="0"/>
        </w:rPr>
        <w:t>analysis Two authors independently assessed the trials for risk</w:t>
      </w:r>
      <w:r w:rsidR="00427468">
        <w:rPr>
          <w:kern w:val="0"/>
        </w:rPr>
        <w:t xml:space="preserve"> of </w:t>
      </w:r>
      <w:r>
        <w:rPr>
          <w:kern w:val="0"/>
        </w:rPr>
        <w:t>bias</w:t>
      </w:r>
      <w:r w:rsidR="005853A9">
        <w:rPr>
          <w:kern w:val="0"/>
        </w:rPr>
        <w:t xml:space="preserve"> and </w:t>
      </w:r>
      <w:r>
        <w:rPr>
          <w:kern w:val="0"/>
        </w:rPr>
        <w:t>extracted data. We contacted study authors whenever information was lacking. We collected information on adverse events</w:t>
      </w:r>
      <w:r w:rsidR="00A37C1D">
        <w:rPr>
          <w:kern w:val="0"/>
        </w:rPr>
        <w:t>. The</w:t>
      </w:r>
      <w:r>
        <w:rPr>
          <w:kern w:val="0"/>
        </w:rPr>
        <w:t xml:space="preserve"> primary outcomes were all-cause mortality</w:t>
      </w:r>
      <w:r w:rsidR="005853A9">
        <w:rPr>
          <w:kern w:val="0"/>
        </w:rPr>
        <w:t xml:space="preserve"> and </w:t>
      </w:r>
      <w:r>
        <w:rPr>
          <w:kern w:val="0"/>
        </w:rPr>
        <w:t>reappearance</w:t>
      </w:r>
      <w:r w:rsidR="00427468">
        <w:rPr>
          <w:kern w:val="0"/>
        </w:rPr>
        <w:t xml:space="preserve"> of </w:t>
      </w:r>
      <w:r>
        <w:rPr>
          <w:kern w:val="0"/>
        </w:rPr>
        <w:t>hepatitis B surface antigen in serum after liver transplantation. Relative risks were calculated from individual trials. Main results Four trials, recruiting 136 participants, were included. Two trials compared lamivudine alone versus HBIg alone. Randomisation was performed one week after transplantation in one</w:t>
      </w:r>
      <w:r w:rsidR="00427468">
        <w:rPr>
          <w:kern w:val="0"/>
        </w:rPr>
        <w:t xml:space="preserve"> of </w:t>
      </w:r>
      <w:r>
        <w:rPr>
          <w:kern w:val="0"/>
        </w:rPr>
        <w:t>the trials</w:t>
      </w:r>
      <w:r w:rsidR="005853A9">
        <w:rPr>
          <w:kern w:val="0"/>
        </w:rPr>
        <w:t xml:space="preserve"> and </w:t>
      </w:r>
      <w:r>
        <w:rPr>
          <w:kern w:val="0"/>
        </w:rPr>
        <w:t>after six months after transplantation in another; from transplantation until randomisation, HBIg alone was given to all patients in the two trials. A third trial compared combination treatment with lamivudine</w:t>
      </w:r>
      <w:r w:rsidR="005853A9">
        <w:rPr>
          <w:kern w:val="0"/>
        </w:rPr>
        <w:t xml:space="preserve"> and </w:t>
      </w:r>
      <w:r>
        <w:rPr>
          <w:kern w:val="0"/>
        </w:rPr>
        <w:t>HBIg versus lamivudine alone after one month</w:t>
      </w:r>
      <w:r w:rsidR="00427468">
        <w:rPr>
          <w:kern w:val="0"/>
        </w:rPr>
        <w:t xml:space="preserve"> of </w:t>
      </w:r>
      <w:r>
        <w:rPr>
          <w:kern w:val="0"/>
        </w:rPr>
        <w:t>combination treatment,</w:t>
      </w:r>
      <w:r w:rsidR="005853A9">
        <w:rPr>
          <w:kern w:val="0"/>
        </w:rPr>
        <w:t xml:space="preserve"> and </w:t>
      </w:r>
      <w:r>
        <w:rPr>
          <w:kern w:val="0"/>
        </w:rPr>
        <w:t>a fourth trial compared the combination</w:t>
      </w:r>
      <w:r w:rsidR="00427468">
        <w:rPr>
          <w:kern w:val="0"/>
        </w:rPr>
        <w:t xml:space="preserve"> of </w:t>
      </w:r>
      <w:r>
        <w:rPr>
          <w:kern w:val="0"/>
        </w:rPr>
        <w:t>lamivudine</w:t>
      </w:r>
      <w:r w:rsidR="005853A9">
        <w:rPr>
          <w:kern w:val="0"/>
        </w:rPr>
        <w:t xml:space="preserve"> and </w:t>
      </w:r>
      <w:r>
        <w:rPr>
          <w:kern w:val="0"/>
        </w:rPr>
        <w:t>HBIg versus a combination</w:t>
      </w:r>
      <w:r w:rsidR="00427468">
        <w:rPr>
          <w:kern w:val="0"/>
        </w:rPr>
        <w:t xml:space="preserve"> of </w:t>
      </w:r>
      <w:r>
        <w:rPr>
          <w:kern w:val="0"/>
        </w:rPr>
        <w:t>lamivudine</w:t>
      </w:r>
      <w:r w:rsidR="005853A9">
        <w:rPr>
          <w:kern w:val="0"/>
        </w:rPr>
        <w:t xml:space="preserve"> and </w:t>
      </w:r>
      <w:r>
        <w:rPr>
          <w:kern w:val="0"/>
        </w:rPr>
        <w:t>adefovir dipivoxil after at least 12-month</w:t>
      </w:r>
      <w:r w:rsidR="00427468">
        <w:rPr>
          <w:kern w:val="0"/>
        </w:rPr>
        <w:t xml:space="preserve"> of </w:t>
      </w:r>
      <w:r>
        <w:rPr>
          <w:kern w:val="0"/>
        </w:rPr>
        <w:t>lamivudine</w:t>
      </w:r>
      <w:r w:rsidR="005853A9">
        <w:rPr>
          <w:kern w:val="0"/>
        </w:rPr>
        <w:t xml:space="preserve"> and </w:t>
      </w:r>
      <w:r>
        <w:rPr>
          <w:kern w:val="0"/>
        </w:rPr>
        <w:t>HBIg combination treatment. Statistically significant differences were not detected in any</w:t>
      </w:r>
      <w:r w:rsidR="00427468">
        <w:rPr>
          <w:kern w:val="0"/>
        </w:rPr>
        <w:t xml:space="preserve"> of </w:t>
      </w:r>
      <w:r>
        <w:rPr>
          <w:kern w:val="0"/>
        </w:rPr>
        <w:t>the comparisons</w:t>
      </w:r>
      <w:r w:rsidR="005853A9">
        <w:rPr>
          <w:kern w:val="0"/>
        </w:rPr>
        <w:t xml:space="preserve"> and </w:t>
      </w:r>
      <w:r>
        <w:rPr>
          <w:kern w:val="0"/>
        </w:rPr>
        <w:t>outcomes. All trials were open-labelled,</w:t>
      </w:r>
      <w:r w:rsidR="005853A9">
        <w:rPr>
          <w:kern w:val="0"/>
        </w:rPr>
        <w:t xml:space="preserve"> and </w:t>
      </w:r>
      <w:r>
        <w:rPr>
          <w:kern w:val="0"/>
        </w:rPr>
        <w:t>none</w:t>
      </w:r>
      <w:r w:rsidR="00427468">
        <w:rPr>
          <w:kern w:val="0"/>
        </w:rPr>
        <w:t xml:space="preserve"> of </w:t>
      </w:r>
      <w:r>
        <w:rPr>
          <w:kern w:val="0"/>
        </w:rPr>
        <w:t>the trials were adequately powered to show a difference in HBV recurrence. No meta-analyses were performed since the identified trials assessed different comparisons. Authors</w:t>
      </w:r>
      <w:r w:rsidR="0071223E">
        <w:rPr>
          <w:kern w:val="0"/>
        </w:rPr>
        <w:t>’</w:t>
      </w:r>
      <w:r>
        <w:rPr>
          <w:kern w:val="0"/>
        </w:rPr>
        <w:t xml:space="preserve"> conclusions This review could not derive clear evidence from randomised clinical trials for the treatment</w:t>
      </w:r>
      <w:r w:rsidR="00427468">
        <w:rPr>
          <w:kern w:val="0"/>
        </w:rPr>
        <w:t xml:space="preserve"> of </w:t>
      </w:r>
      <w:r>
        <w:rPr>
          <w:kern w:val="0"/>
        </w:rPr>
        <w:t>patients with chronic HBV following liver transplantation for preventing recurrence</w:t>
      </w:r>
      <w:r w:rsidR="00427468">
        <w:rPr>
          <w:kern w:val="0"/>
        </w:rPr>
        <w:t xml:space="preserve"> of </w:t>
      </w:r>
      <w:r>
        <w:rPr>
          <w:kern w:val="0"/>
        </w:rPr>
        <w:t>HBV infection. Large randomised clinical trials comparing long-term combination treatment to each</w:t>
      </w:r>
      <w:r w:rsidR="00427468">
        <w:rPr>
          <w:kern w:val="0"/>
        </w:rPr>
        <w:t xml:space="preserve"> of </w:t>
      </w:r>
      <w:r>
        <w:rPr>
          <w:kern w:val="0"/>
        </w:rPr>
        <w:t>the monotherapy alone, including the newer antiviral drugs, are needed.</w:t>
      </w:r>
    </w:p>
    <w:p w:rsidR="00365DE4" w:rsidRDefault="00365DE4" w:rsidP="00365DE4">
      <w:pPr>
        <w:pStyle w:val="a3"/>
        <w:rPr>
          <w:kern w:val="0"/>
        </w:rPr>
      </w:pPr>
      <w:r>
        <w:rPr>
          <w:kern w:val="0"/>
        </w:rPr>
        <w:t>Keywords: Combination, Controlled-Trials, Empirical-Evidence, HBIG, Immune Globulin Monotherapy, Infection, Prophylaxis, Randomized-Trials, Surface-Antigen, Virus Recurrence</w:t>
      </w:r>
    </w:p>
    <w:p w:rsidR="00365DE4" w:rsidRDefault="00365DE4" w:rsidP="00365DE4">
      <w:pPr>
        <w:pStyle w:val="a3"/>
        <w:rPr>
          <w:kern w:val="0"/>
        </w:rPr>
      </w:pPr>
      <w:r>
        <w:rPr>
          <w:kern w:val="0"/>
        </w:rPr>
        <w:t>? Bradt, J., Magee, W.L., Dileo, C., Wheeler, B.L.</w:t>
      </w:r>
      <w:r w:rsidR="005853A9">
        <w:rPr>
          <w:kern w:val="0"/>
        </w:rPr>
        <w:t xml:space="preserve"> and </w:t>
      </w:r>
      <w:r>
        <w:rPr>
          <w:kern w:val="0"/>
        </w:rPr>
        <w:t xml:space="preserve">McGilloway, E. (2010), Music therapy for acquired brain injury.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CD006787.</w:t>
      </w:r>
    </w:p>
    <w:p w:rsidR="00365DE4" w:rsidRDefault="00365DE4" w:rsidP="00365DE4">
      <w:pPr>
        <w:pStyle w:val="a3"/>
        <w:rPr>
          <w:kern w:val="2"/>
        </w:rPr>
      </w:pPr>
      <w:r>
        <w:t xml:space="preserve">Full Text: </w:t>
      </w:r>
      <w:hyperlink r:id="rId606" w:history="1">
        <w:r>
          <w:rPr>
            <w:rStyle w:val="a5"/>
          </w:rPr>
          <w:t>2010\Coc Dat Sys Rev2010, CD006787.pdf</w:t>
        </w:r>
      </w:hyperlink>
    </w:p>
    <w:p w:rsidR="00365DE4" w:rsidRDefault="00365DE4" w:rsidP="00365DE4">
      <w:pPr>
        <w:pStyle w:val="a3"/>
        <w:rPr>
          <w:kern w:val="0"/>
        </w:rPr>
      </w:pPr>
      <w:r>
        <w:rPr>
          <w:kern w:val="0"/>
        </w:rPr>
        <w:lastRenderedPageBreak/>
        <w:t>Abstract: Background Acquired brain injury (ABI)can result in impairments in motor function, language, cognition, sensory processing</w:t>
      </w:r>
      <w:r w:rsidR="005853A9">
        <w:rPr>
          <w:kern w:val="0"/>
        </w:rPr>
        <w:t xml:space="preserve"> and </w:t>
      </w:r>
      <w:r>
        <w:rPr>
          <w:kern w:val="0"/>
        </w:rPr>
        <w:t>emotional disturbances. This may severely reduce a survivor</w:t>
      </w:r>
      <w:r w:rsidR="0071223E">
        <w:rPr>
          <w:kern w:val="0"/>
        </w:rPr>
        <w:t>’</w:t>
      </w:r>
      <w:r>
        <w:rPr>
          <w:kern w:val="0"/>
        </w:rPr>
        <w:t>s quality</w:t>
      </w:r>
      <w:r w:rsidR="00427468">
        <w:rPr>
          <w:kern w:val="0"/>
        </w:rPr>
        <w:t xml:space="preserve"> of </w:t>
      </w:r>
      <w:r>
        <w:rPr>
          <w:kern w:val="0"/>
        </w:rPr>
        <w:t>life. Music therapy has been used in rehabilitation to stimulate brain functions involved in movement, cognition, speech, emotions</w:t>
      </w:r>
      <w:r w:rsidR="005853A9">
        <w:rPr>
          <w:kern w:val="0"/>
        </w:rPr>
        <w:t xml:space="preserve"> and </w:t>
      </w:r>
      <w:r>
        <w:rPr>
          <w:kern w:val="0"/>
        </w:rPr>
        <w:t>sensory perceptions. A systematic review is needed to gauge the efficacy</w:t>
      </w:r>
      <w:r w:rsidR="00427468">
        <w:rPr>
          <w:kern w:val="0"/>
        </w:rPr>
        <w:t xml:space="preserve"> of </w:t>
      </w:r>
      <w:r>
        <w:rPr>
          <w:kern w:val="0"/>
        </w:rPr>
        <w:t>music therapy as a rehabilitation intervention for people with ABI. Objectives To examine the effects</w:t>
      </w:r>
      <w:r w:rsidR="00427468">
        <w:rPr>
          <w:kern w:val="0"/>
        </w:rPr>
        <w:t xml:space="preserve"> of </w:t>
      </w:r>
      <w:r>
        <w:rPr>
          <w:kern w:val="0"/>
        </w:rPr>
        <w:t>music therapy with standard care versus standard care alone or standard care combined with other therapies on gait, upper extremity function, communication, mood</w:t>
      </w:r>
      <w:r w:rsidR="005853A9">
        <w:rPr>
          <w:kern w:val="0"/>
        </w:rPr>
        <w:t xml:space="preserve"> and </w:t>
      </w:r>
      <w:r>
        <w:rPr>
          <w:kern w:val="0"/>
        </w:rPr>
        <w:t>emotions, social skills, pain, behavioral outcomes, activities</w:t>
      </w:r>
      <w:r w:rsidR="00427468">
        <w:rPr>
          <w:kern w:val="0"/>
        </w:rPr>
        <w:t xml:space="preserve"> of </w:t>
      </w:r>
      <w:r>
        <w:rPr>
          <w:kern w:val="0"/>
        </w:rPr>
        <w:t>daily living</w:t>
      </w:r>
      <w:r w:rsidR="005853A9">
        <w:rPr>
          <w:kern w:val="0"/>
        </w:rPr>
        <w:t xml:space="preserve"> and </w:t>
      </w:r>
      <w:r>
        <w:rPr>
          <w:kern w:val="0"/>
        </w:rPr>
        <w:t>adverse events. Search strategy We searched the Cochrane Stroke Group Trials Register (February 2010), the Cochrane Central Register</w:t>
      </w:r>
      <w:r w:rsidR="00427468">
        <w:rPr>
          <w:kern w:val="0"/>
        </w:rPr>
        <w:t xml:space="preserve"> of </w:t>
      </w:r>
      <w:r>
        <w:rPr>
          <w:kern w:val="0"/>
        </w:rPr>
        <w:t xml:space="preserve">Controlled Trials (The Cochrane Library Issue 2, 2009), </w:t>
      </w:r>
      <w:r w:rsidR="00D5664A">
        <w:rPr>
          <w:kern w:val="0"/>
        </w:rPr>
        <w:t>MEDLINE</w:t>
      </w:r>
      <w:r>
        <w:rPr>
          <w:kern w:val="0"/>
        </w:rPr>
        <w:t xml:space="preserve"> (July 2009), EMBASE (August 2009), CINAHL (March 2010), PsycINFO (July 2009), LILACS (August 2009), AMED (August 2009)</w:t>
      </w:r>
      <w:r w:rsidR="005853A9">
        <w:rPr>
          <w:kern w:val="0"/>
        </w:rPr>
        <w:t xml:space="preserve"> and </w:t>
      </w:r>
      <w:r>
        <w:rPr>
          <w:kern w:val="0"/>
        </w:rPr>
        <w:t>Science Citation Index (August 2009). We handsearched music therapy journals</w:t>
      </w:r>
      <w:r w:rsidR="005853A9">
        <w:rPr>
          <w:kern w:val="0"/>
        </w:rPr>
        <w:t xml:space="preserve"> and </w:t>
      </w:r>
      <w:r>
        <w:rPr>
          <w:kern w:val="0"/>
        </w:rPr>
        <w:t>conference proceedings, searched dissertation</w:t>
      </w:r>
      <w:r w:rsidR="005853A9">
        <w:rPr>
          <w:kern w:val="0"/>
        </w:rPr>
        <w:t xml:space="preserve"> and </w:t>
      </w:r>
      <w:r>
        <w:rPr>
          <w:kern w:val="0"/>
        </w:rPr>
        <w:t>specialist music databases, trials</w:t>
      </w:r>
      <w:r w:rsidR="005853A9">
        <w:rPr>
          <w:kern w:val="0"/>
        </w:rPr>
        <w:t xml:space="preserve"> and </w:t>
      </w:r>
      <w:r>
        <w:rPr>
          <w:kern w:val="0"/>
        </w:rPr>
        <w:t>research registers, reference lists,</w:t>
      </w:r>
      <w:r w:rsidR="005853A9">
        <w:rPr>
          <w:kern w:val="0"/>
        </w:rPr>
        <w:t xml:space="preserve"> and </w:t>
      </w:r>
      <w:r>
        <w:rPr>
          <w:kern w:val="0"/>
        </w:rPr>
        <w:t>contacted experts</w:t>
      </w:r>
      <w:r w:rsidR="005853A9">
        <w:rPr>
          <w:kern w:val="0"/>
        </w:rPr>
        <w:t xml:space="preserve"> and </w:t>
      </w:r>
      <w:r>
        <w:rPr>
          <w:kern w:val="0"/>
        </w:rPr>
        <w:t>music therapy associations</w:t>
      </w:r>
      <w:r w:rsidR="00A37C1D">
        <w:rPr>
          <w:kern w:val="0"/>
        </w:rPr>
        <w:t>. The</w:t>
      </w:r>
      <w:r>
        <w:rPr>
          <w:kern w:val="0"/>
        </w:rPr>
        <w:t>re was no language restriction. Selection criteria Randomized</w:t>
      </w:r>
      <w:r w:rsidR="005853A9">
        <w:rPr>
          <w:kern w:val="0"/>
        </w:rPr>
        <w:t xml:space="preserve"> and </w:t>
      </w:r>
      <w:r>
        <w:rPr>
          <w:kern w:val="0"/>
        </w:rPr>
        <w:t>quasi-randomized controlled trials that compared music therapy interventions</w:t>
      </w:r>
      <w:r w:rsidR="005853A9">
        <w:rPr>
          <w:kern w:val="0"/>
        </w:rPr>
        <w:t xml:space="preserve"> and </w:t>
      </w:r>
      <w:r>
        <w:rPr>
          <w:kern w:val="0"/>
        </w:rPr>
        <w:t>standard care with standard care alone or combined with other therapies for people older than 16 years</w:t>
      </w:r>
      <w:r w:rsidR="00427468">
        <w:rPr>
          <w:kern w:val="0"/>
        </w:rPr>
        <w:t xml:space="preserve"> of </w:t>
      </w:r>
      <w:r>
        <w:rPr>
          <w:kern w:val="0"/>
        </w:rPr>
        <w:t>age who had acquired brain damage</w:t>
      </w:r>
      <w:r w:rsidR="00427468">
        <w:rPr>
          <w:kern w:val="0"/>
        </w:rPr>
        <w:t xml:space="preserve"> of </w:t>
      </w:r>
      <w:r>
        <w:rPr>
          <w:kern w:val="0"/>
        </w:rPr>
        <w:t>a non-degenerative nature</w:t>
      </w:r>
      <w:r w:rsidR="005853A9">
        <w:rPr>
          <w:kern w:val="0"/>
        </w:rPr>
        <w:t xml:space="preserve"> and </w:t>
      </w:r>
      <w:r>
        <w:rPr>
          <w:kern w:val="0"/>
        </w:rPr>
        <w:t>were participating in treatment programs offered in hospital, outpatient or community settings. Data collection</w:t>
      </w:r>
      <w:r w:rsidR="005853A9">
        <w:rPr>
          <w:kern w:val="0"/>
        </w:rPr>
        <w:t xml:space="preserve"> and </w:t>
      </w:r>
      <w:r>
        <w:rPr>
          <w:kern w:val="0"/>
        </w:rPr>
        <w:t>analysis Two review authors independently assessed methodological quality</w:t>
      </w:r>
      <w:r w:rsidR="005853A9">
        <w:rPr>
          <w:kern w:val="0"/>
        </w:rPr>
        <w:t xml:space="preserve"> and </w:t>
      </w:r>
      <w:r>
        <w:rPr>
          <w:kern w:val="0"/>
        </w:rPr>
        <w:t>extracted data. We present results using mean differences (using post-test scores) as all outcomes were measured with the same scale. Main results We included seven studies (184 participants)</w:t>
      </w:r>
      <w:r w:rsidR="00A37C1D">
        <w:rPr>
          <w:kern w:val="0"/>
        </w:rPr>
        <w:t>. The</w:t>
      </w:r>
      <w:r>
        <w:rPr>
          <w:kern w:val="0"/>
        </w:rPr>
        <w:t xml:space="preserve"> results suggest that rhythmic auditory stimulation (RAS) may be beneficial for improving gait parameters in stroke patients, including gait velocity, cadence, stride length</w:t>
      </w:r>
      <w:r w:rsidR="005853A9">
        <w:rPr>
          <w:kern w:val="0"/>
        </w:rPr>
        <w:t xml:space="preserve"> and </w:t>
      </w:r>
      <w:r>
        <w:rPr>
          <w:kern w:val="0"/>
        </w:rPr>
        <w:t>gait symmetry</w:t>
      </w:r>
      <w:r w:rsidR="00A37C1D">
        <w:rPr>
          <w:kern w:val="0"/>
        </w:rPr>
        <w:t>. The</w:t>
      </w:r>
      <w:r>
        <w:rPr>
          <w:kern w:val="0"/>
        </w:rPr>
        <w:t>se results were based on two studies that received a low risk</w:t>
      </w:r>
      <w:r w:rsidR="00427468">
        <w:rPr>
          <w:kern w:val="0"/>
        </w:rPr>
        <w:t xml:space="preserve"> of </w:t>
      </w:r>
      <w:r>
        <w:rPr>
          <w:kern w:val="0"/>
        </w:rPr>
        <w:t>bias score</w:t>
      </w:r>
      <w:r w:rsidR="00A37C1D">
        <w:rPr>
          <w:kern w:val="0"/>
        </w:rPr>
        <w:t>. The</w:t>
      </w:r>
      <w:r>
        <w:rPr>
          <w:kern w:val="0"/>
        </w:rPr>
        <w:t>re were insufficient data to examine the effect</w:t>
      </w:r>
      <w:r w:rsidR="00427468">
        <w:rPr>
          <w:kern w:val="0"/>
        </w:rPr>
        <w:t xml:space="preserve"> of </w:t>
      </w:r>
      <w:r>
        <w:rPr>
          <w:kern w:val="0"/>
        </w:rPr>
        <w:t>music therapy on other outcomes. Authors</w:t>
      </w:r>
      <w:r w:rsidR="0071223E">
        <w:rPr>
          <w:kern w:val="0"/>
        </w:rPr>
        <w:t>’</w:t>
      </w:r>
      <w:r>
        <w:rPr>
          <w:kern w:val="0"/>
        </w:rPr>
        <w:t xml:space="preserve"> conclusions RAS may be beneficial for gait improvement in people with stroke</w:t>
      </w:r>
      <w:r w:rsidR="00A37C1D">
        <w:rPr>
          <w:kern w:val="0"/>
        </w:rPr>
        <w:t>. The</w:t>
      </w:r>
      <w:r>
        <w:rPr>
          <w:kern w:val="0"/>
        </w:rPr>
        <w:t>se results are encouraging, but more RCTs are needed before recommendations can be made for clinical practice. More research is needed to examine the effects</w:t>
      </w:r>
      <w:r w:rsidR="00427468">
        <w:rPr>
          <w:kern w:val="0"/>
        </w:rPr>
        <w:t xml:space="preserve"> of </w:t>
      </w:r>
      <w:r>
        <w:rPr>
          <w:kern w:val="0"/>
        </w:rPr>
        <w:t>music therapy on other outcomes in people with ABI.</w:t>
      </w:r>
    </w:p>
    <w:p w:rsidR="00365DE4" w:rsidRDefault="00365DE4" w:rsidP="00365DE4">
      <w:pPr>
        <w:pStyle w:val="a3"/>
        <w:rPr>
          <w:kern w:val="0"/>
        </w:rPr>
      </w:pPr>
      <w:r>
        <w:rPr>
          <w:kern w:val="0"/>
        </w:rPr>
        <w:t>Keywords: Depression, Individuals, Instruction, Low, Mood, Patterns, People, Recovery, Research, Speech, States, Stroke Patients</w:t>
      </w:r>
    </w:p>
    <w:p w:rsidR="00365DE4" w:rsidRDefault="00365DE4" w:rsidP="00365DE4">
      <w:pPr>
        <w:pStyle w:val="a3"/>
        <w:rPr>
          <w:kern w:val="0"/>
        </w:rPr>
      </w:pPr>
      <w:r>
        <w:rPr>
          <w:kern w:val="0"/>
        </w:rPr>
        <w:t>? Bjelakovic, G., Gluud, L.L., Nikolova, D., Whitfield, K., Wetterslev, J., Simonetti, R.G., Bjelakovic, M.</w:t>
      </w:r>
      <w:r w:rsidR="005853A9">
        <w:rPr>
          <w:kern w:val="0"/>
        </w:rPr>
        <w:t xml:space="preserve"> and </w:t>
      </w:r>
      <w:r>
        <w:rPr>
          <w:kern w:val="0"/>
        </w:rPr>
        <w:t>Gluud, C. (2011), Vitamin D supplementation for prevention</w:t>
      </w:r>
      <w:r w:rsidR="00427468">
        <w:rPr>
          <w:kern w:val="0"/>
        </w:rPr>
        <w:t xml:space="preserve"> of </w:t>
      </w:r>
      <w:r>
        <w:rPr>
          <w:kern w:val="0"/>
        </w:rPr>
        <w:t xml:space="preserve">mortality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xml:space="preserve">, </w:t>
      </w:r>
      <w:r>
        <w:rPr>
          <w:kern w:val="0"/>
        </w:rPr>
        <w:lastRenderedPageBreak/>
        <w:t>Article Number: CD007470.</w:t>
      </w:r>
    </w:p>
    <w:p w:rsidR="00365DE4" w:rsidRDefault="00365DE4" w:rsidP="00365DE4">
      <w:pPr>
        <w:pStyle w:val="a3"/>
        <w:rPr>
          <w:kern w:val="2"/>
        </w:rPr>
      </w:pPr>
      <w:r>
        <w:t xml:space="preserve">Full Text: </w:t>
      </w:r>
      <w:hyperlink r:id="rId607" w:history="1">
        <w:r>
          <w:rPr>
            <w:rStyle w:val="a5"/>
          </w:rPr>
          <w:t>2011\Coc Dat Sys Rev2011, CD007470.pdf</w:t>
        </w:r>
      </w:hyperlink>
    </w:p>
    <w:p w:rsidR="00365DE4" w:rsidRDefault="00365DE4" w:rsidP="00365DE4">
      <w:pPr>
        <w:pStyle w:val="a3"/>
        <w:rPr>
          <w:kern w:val="0"/>
        </w:rPr>
      </w:pPr>
      <w:r>
        <w:rPr>
          <w:kern w:val="0"/>
        </w:rPr>
        <w:t>Abstract: Background The available evidence on vitamin D</w:t>
      </w:r>
      <w:r w:rsidR="005853A9">
        <w:rPr>
          <w:kern w:val="0"/>
        </w:rPr>
        <w:t xml:space="preserve"> and </w:t>
      </w:r>
      <w:r>
        <w:rPr>
          <w:kern w:val="0"/>
        </w:rPr>
        <w:t>mortality is inconclusive. Objectives To assess the beneficial</w:t>
      </w:r>
      <w:r w:rsidR="005853A9">
        <w:rPr>
          <w:kern w:val="0"/>
        </w:rPr>
        <w:t xml:space="preserve"> and </w:t>
      </w:r>
      <w:r>
        <w:rPr>
          <w:kern w:val="0"/>
        </w:rPr>
        <w:t>harmful effects</w:t>
      </w:r>
      <w:r w:rsidR="00427468">
        <w:rPr>
          <w:kern w:val="0"/>
        </w:rPr>
        <w:t xml:space="preserve"> of </w:t>
      </w:r>
      <w:r>
        <w:rPr>
          <w:kern w:val="0"/>
        </w:rPr>
        <w:t>vitamin D for prevention</w:t>
      </w:r>
      <w:r w:rsidR="00427468">
        <w:rPr>
          <w:kern w:val="0"/>
        </w:rPr>
        <w:t xml:space="preserve"> of </w:t>
      </w:r>
      <w:r>
        <w:rPr>
          <w:kern w:val="0"/>
        </w:rPr>
        <w:t xml:space="preserve">mortality in adults. Search strategy We searched The Cochrane Library, </w:t>
      </w:r>
      <w:r w:rsidR="00D5664A">
        <w:rPr>
          <w:kern w:val="0"/>
        </w:rPr>
        <w:t>MEDLINE</w:t>
      </w:r>
      <w:r>
        <w:rPr>
          <w:kern w:val="0"/>
        </w:rPr>
        <w:t>, EMBASE, LILACS, the Science Citation Index Expanded,</w:t>
      </w:r>
      <w:r w:rsidR="005853A9">
        <w:rPr>
          <w:kern w:val="0"/>
        </w:rPr>
        <w:t xml:space="preserve"> and </w:t>
      </w:r>
      <w:r>
        <w:rPr>
          <w:kern w:val="0"/>
        </w:rPr>
        <w:t>Conference Proceedings Citation Index-Science (to January 2011). We scanned bibliographies</w:t>
      </w:r>
      <w:r w:rsidR="00427468">
        <w:rPr>
          <w:kern w:val="0"/>
        </w:rPr>
        <w:t xml:space="preserve"> of </w:t>
      </w:r>
      <w:r>
        <w:rPr>
          <w:kern w:val="0"/>
        </w:rPr>
        <w:t>relevant publications</w:t>
      </w:r>
      <w:r w:rsidR="005853A9">
        <w:rPr>
          <w:kern w:val="0"/>
        </w:rPr>
        <w:t xml:space="preserve"> and </w:t>
      </w:r>
      <w:r>
        <w:rPr>
          <w:kern w:val="0"/>
        </w:rPr>
        <w:t>asked experts</w:t>
      </w:r>
      <w:r w:rsidR="005853A9">
        <w:rPr>
          <w:kern w:val="0"/>
        </w:rPr>
        <w:t xml:space="preserve"> and </w:t>
      </w:r>
      <w:r>
        <w:rPr>
          <w:kern w:val="0"/>
        </w:rPr>
        <w:t>pharmaceutical companies for additional trials. Selection criteria We included randomised trials that compared vitamin D at any dose, duration,</w:t>
      </w:r>
      <w:r w:rsidR="005853A9">
        <w:rPr>
          <w:kern w:val="0"/>
        </w:rPr>
        <w:t xml:space="preserve"> and </w:t>
      </w:r>
      <w:r>
        <w:rPr>
          <w:kern w:val="0"/>
        </w:rPr>
        <w:t>route</w:t>
      </w:r>
      <w:r w:rsidR="00427468">
        <w:rPr>
          <w:kern w:val="0"/>
        </w:rPr>
        <w:t xml:space="preserve"> of </w:t>
      </w:r>
      <w:r>
        <w:rPr>
          <w:kern w:val="0"/>
        </w:rPr>
        <w:t>administration versus placebo or no intervention. Vitamin D could have been administered as supplemental vitamin D (vitamin D(3) (cholecalciferol) or vitamin D(2) (ergocalciferol)) or an active form</w:t>
      </w:r>
      <w:r w:rsidR="00427468">
        <w:rPr>
          <w:kern w:val="0"/>
        </w:rPr>
        <w:t xml:space="preserve"> of </w:t>
      </w:r>
      <w:r>
        <w:rPr>
          <w:kern w:val="0"/>
        </w:rPr>
        <w:t>vitamin D (1 alpha-hydroxyvitamin D (alfacalcidol) or 1,25-dihydroxyvitamin D (calcitriol)). Data collection</w:t>
      </w:r>
      <w:r w:rsidR="005853A9">
        <w:rPr>
          <w:kern w:val="0"/>
        </w:rPr>
        <w:t xml:space="preserve"> and </w:t>
      </w:r>
      <w:r>
        <w:rPr>
          <w:kern w:val="0"/>
        </w:rPr>
        <w:t>analysis Six authors extracted data independently. Random-effects</w:t>
      </w:r>
      <w:r w:rsidR="005853A9">
        <w:rPr>
          <w:kern w:val="0"/>
        </w:rPr>
        <w:t xml:space="preserve"> and </w:t>
      </w:r>
      <w:r>
        <w:rPr>
          <w:kern w:val="0"/>
        </w:rPr>
        <w:t>fixed-effect model meta-analyses were conducted. For dichotomous outcomes, we calculated the risk ratios (RR). To account for trials with zero events, meta-analyses</w:t>
      </w:r>
      <w:r w:rsidR="00427468">
        <w:rPr>
          <w:kern w:val="0"/>
        </w:rPr>
        <w:t xml:space="preserve"> of </w:t>
      </w:r>
      <w:r>
        <w:rPr>
          <w:kern w:val="0"/>
        </w:rPr>
        <w:t>dichotomous data were repeated using risk differences (RD)</w:t>
      </w:r>
      <w:r w:rsidR="005853A9">
        <w:rPr>
          <w:kern w:val="0"/>
        </w:rPr>
        <w:t xml:space="preserve"> and </w:t>
      </w:r>
      <w:r>
        <w:rPr>
          <w:kern w:val="0"/>
        </w:rPr>
        <w:t>empirical continuity corrections. Risk</w:t>
      </w:r>
      <w:r w:rsidR="00427468">
        <w:rPr>
          <w:kern w:val="0"/>
        </w:rPr>
        <w:t xml:space="preserve"> of </w:t>
      </w:r>
      <w:r>
        <w:rPr>
          <w:kern w:val="0"/>
        </w:rPr>
        <w:t>bias was considered in order to minimise risk</w:t>
      </w:r>
      <w:r w:rsidR="00427468">
        <w:rPr>
          <w:kern w:val="0"/>
        </w:rPr>
        <w:t xml:space="preserve"> of </w:t>
      </w:r>
      <w:r>
        <w:rPr>
          <w:kern w:val="0"/>
        </w:rPr>
        <w:t>systematic errors. Trial sequential analyses were conducted to minimise the risk</w:t>
      </w:r>
      <w:r w:rsidR="00427468">
        <w:rPr>
          <w:kern w:val="0"/>
        </w:rPr>
        <w:t xml:space="preserve"> of </w:t>
      </w:r>
      <w:r>
        <w:rPr>
          <w:kern w:val="0"/>
        </w:rPr>
        <w:t>random errors. Main results Fifty randomised trials with 94,148 participants provided data for the mortality analyses. Most trials included elderly women (older than 70 years). Vitamin D was administered for a median</w:t>
      </w:r>
      <w:r w:rsidR="00427468">
        <w:rPr>
          <w:kern w:val="0"/>
        </w:rPr>
        <w:t xml:space="preserve"> of </w:t>
      </w:r>
      <w:r>
        <w:rPr>
          <w:kern w:val="0"/>
        </w:rPr>
        <w:t>two years. More than one half</w:t>
      </w:r>
      <w:r w:rsidR="00427468">
        <w:rPr>
          <w:kern w:val="0"/>
        </w:rPr>
        <w:t xml:space="preserve"> of </w:t>
      </w:r>
      <w:r>
        <w:rPr>
          <w:kern w:val="0"/>
        </w:rPr>
        <w:t>the trials had a low risk</w:t>
      </w:r>
      <w:r w:rsidR="00427468">
        <w:rPr>
          <w:kern w:val="0"/>
        </w:rPr>
        <w:t xml:space="preserve"> of </w:t>
      </w:r>
      <w:r>
        <w:rPr>
          <w:kern w:val="0"/>
        </w:rPr>
        <w:t>bias. Overall, vitamin D decreased mortality (RR 0.97, 95% confidence interval (CI) 0.94 to 1.00, I(2) = 0%). When the different forms</w:t>
      </w:r>
      <w:r w:rsidR="00427468">
        <w:rPr>
          <w:kern w:val="0"/>
        </w:rPr>
        <w:t xml:space="preserve"> of </w:t>
      </w:r>
      <w:r>
        <w:rPr>
          <w:kern w:val="0"/>
        </w:rPr>
        <w:t>vitamin D were assessed separately, only vitamin D(3) decreasedmortality significantly (RR 0.94, 95% CI 0.91 to 0.98, I(2) = 0%; 74,789 participants, 32 trials) whereas vitamin D(2), alfacalcidol, or calcitriol did not. Trial sequential analysis supported our finding regarding vitamin D(3), corresponding to 161 individuals treated to prevent one additional death. Vitamin D3 combined with calcium increased the risk</w:t>
      </w:r>
      <w:r w:rsidR="00427468">
        <w:rPr>
          <w:kern w:val="0"/>
        </w:rPr>
        <w:t xml:space="preserve"> of </w:t>
      </w:r>
      <w:r>
        <w:rPr>
          <w:kern w:val="0"/>
        </w:rPr>
        <w:t>nephrolithiasis (RR 1.17, 95% CI 1.02 to 1.34, I(2) = 0%). Alfacalcidol</w:t>
      </w:r>
      <w:r w:rsidR="005853A9">
        <w:rPr>
          <w:kern w:val="0"/>
        </w:rPr>
        <w:t xml:space="preserve"> and </w:t>
      </w:r>
      <w:r>
        <w:rPr>
          <w:kern w:val="0"/>
        </w:rPr>
        <w:t>calcitriol increased the risk</w:t>
      </w:r>
      <w:r w:rsidR="00427468">
        <w:rPr>
          <w:kern w:val="0"/>
        </w:rPr>
        <w:t xml:space="preserve"> of </w:t>
      </w:r>
      <w:r>
        <w:rPr>
          <w:kern w:val="0"/>
        </w:rPr>
        <w:t>hypercalcaemia (RR 3.18, 95% CI 1.17 to 8.68, I(2) = 17%). Data on health-related quality</w:t>
      </w:r>
      <w:r w:rsidR="00427468">
        <w:rPr>
          <w:kern w:val="0"/>
        </w:rPr>
        <w:t xml:space="preserve"> of </w:t>
      </w:r>
      <w:r>
        <w:rPr>
          <w:kern w:val="0"/>
        </w:rPr>
        <w:t>life</w:t>
      </w:r>
      <w:r w:rsidR="005853A9">
        <w:rPr>
          <w:kern w:val="0"/>
        </w:rPr>
        <w:t xml:space="preserve"> and </w:t>
      </w:r>
      <w:r>
        <w:rPr>
          <w:kern w:val="0"/>
        </w:rPr>
        <w:t>health economics were inconclusive. Authors</w:t>
      </w:r>
      <w:r w:rsidR="0071223E">
        <w:rPr>
          <w:kern w:val="0"/>
        </w:rPr>
        <w:t>’</w:t>
      </w:r>
      <w:r>
        <w:rPr>
          <w:kern w:val="0"/>
        </w:rPr>
        <w:t xml:space="preserve"> conclusions Vitamin D in the form</w:t>
      </w:r>
      <w:r w:rsidR="00427468">
        <w:rPr>
          <w:kern w:val="0"/>
        </w:rPr>
        <w:t xml:space="preserve"> of </w:t>
      </w:r>
      <w:r>
        <w:rPr>
          <w:kern w:val="0"/>
        </w:rPr>
        <w:t>vitamin D(3) seems to decrease mortality in predominantly elderly women who are mainly in institutions</w:t>
      </w:r>
      <w:r w:rsidR="005853A9">
        <w:rPr>
          <w:kern w:val="0"/>
        </w:rPr>
        <w:t xml:space="preserve"> and </w:t>
      </w:r>
      <w:r>
        <w:rPr>
          <w:kern w:val="0"/>
        </w:rPr>
        <w:t>dependent care. Vitamin D(2), alfacalcidol,</w:t>
      </w:r>
      <w:r w:rsidR="005853A9">
        <w:rPr>
          <w:kern w:val="0"/>
        </w:rPr>
        <w:t xml:space="preserve"> and </w:t>
      </w:r>
      <w:r>
        <w:rPr>
          <w:kern w:val="0"/>
        </w:rPr>
        <w:t>calcitriol had no statistically significant effect on mortality. Vitamin D(3) combined with calcium significantly increased nephrolithiasis. Both alfacalcidol</w:t>
      </w:r>
      <w:r w:rsidR="005853A9">
        <w:rPr>
          <w:kern w:val="0"/>
        </w:rPr>
        <w:t xml:space="preserve"> and </w:t>
      </w:r>
      <w:r>
        <w:rPr>
          <w:kern w:val="0"/>
        </w:rPr>
        <w:t>calcitriol significantly increased hypercalcaemia.</w:t>
      </w:r>
    </w:p>
    <w:p w:rsidR="00365DE4" w:rsidRDefault="00365DE4" w:rsidP="00365DE4">
      <w:pPr>
        <w:pStyle w:val="a3"/>
        <w:rPr>
          <w:kern w:val="0"/>
        </w:rPr>
      </w:pPr>
      <w:r>
        <w:rPr>
          <w:kern w:val="0"/>
        </w:rPr>
        <w:t xml:space="preserve">Keywords: African-American Women, Authors, Bias, Bone-Mineral Density, Citation, </w:t>
      </w:r>
      <w:r>
        <w:rPr>
          <w:kern w:val="0"/>
        </w:rPr>
        <w:lastRenderedPageBreak/>
        <w:t>Conference, Congestive-Heart-Failure, Early Postmenopa</w:t>
      </w:r>
      <w:r w:rsidR="00D5664A">
        <w:rPr>
          <w:kern w:val="0"/>
        </w:rPr>
        <w:t>USA</w:t>
      </w:r>
      <w:r>
        <w:rPr>
          <w:kern w:val="0"/>
        </w:rPr>
        <w:t xml:space="preserve">l Women, Economics, Embase, Hormone-Replacement Therapy, Long-Term Treatment, </w:t>
      </w:r>
      <w:r w:rsidR="00D5664A">
        <w:rPr>
          <w:kern w:val="0"/>
        </w:rPr>
        <w:t>MEDLINE</w:t>
      </w:r>
      <w:r>
        <w:rPr>
          <w:kern w:val="0"/>
        </w:rPr>
        <w:t>, Model, Nursing-Home Residents, Outcomes, Pharmaceutical Companies, Placebo-Controlled Trial, Prevention, Publications, Randomized-Controlled-Trial, Science, Science Citation Index, Search Strategy, Serum 25-Hydroxyvitamin D</w:t>
      </w:r>
    </w:p>
    <w:p w:rsidR="00365DE4" w:rsidRDefault="00365DE4" w:rsidP="00365DE4">
      <w:pPr>
        <w:pStyle w:val="a3"/>
        <w:rPr>
          <w:kern w:val="0"/>
        </w:rPr>
      </w:pPr>
      <w:r>
        <w:rPr>
          <w:kern w:val="0"/>
        </w:rPr>
        <w:t>? Abba, K., Deeks, J.J., Olliaro, P., Naing, C.M., Jackson, S.M., Takwoingi, Y., Donegan, S.</w:t>
      </w:r>
      <w:r w:rsidR="005853A9">
        <w:rPr>
          <w:kern w:val="0"/>
        </w:rPr>
        <w:t xml:space="preserve"> and </w:t>
      </w:r>
      <w:r>
        <w:rPr>
          <w:kern w:val="0"/>
        </w:rPr>
        <w:t xml:space="preserve">Garner, P. (2011), Rapid diagnostic tests for diagnosing uncomplicated P. falciparum malaria in endemic countries.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CD008122.</w:t>
      </w:r>
    </w:p>
    <w:p w:rsidR="00365DE4" w:rsidRDefault="00365DE4" w:rsidP="00365DE4">
      <w:pPr>
        <w:pStyle w:val="a3"/>
        <w:rPr>
          <w:kern w:val="2"/>
        </w:rPr>
      </w:pPr>
      <w:r>
        <w:t xml:space="preserve">Full Text: </w:t>
      </w:r>
      <w:hyperlink r:id="rId608" w:history="1">
        <w:r>
          <w:rPr>
            <w:rStyle w:val="a5"/>
          </w:rPr>
          <w:t>2011\Coc Dat Sys Rev2011, CD008122.pdf</w:t>
        </w:r>
      </w:hyperlink>
    </w:p>
    <w:p w:rsidR="00365DE4" w:rsidRDefault="00365DE4" w:rsidP="00365DE4">
      <w:pPr>
        <w:pStyle w:val="a3"/>
        <w:rPr>
          <w:kern w:val="0"/>
        </w:rPr>
      </w:pPr>
      <w:r>
        <w:rPr>
          <w:kern w:val="0"/>
        </w:rPr>
        <w:t>Abstract: Background Rapid diagnostic tests (RDTs) for Plasmodium falciparum malaria use antibodies to detect either HRP-2 antigen or pLDH antigen,</w:t>
      </w:r>
      <w:r w:rsidR="005853A9">
        <w:rPr>
          <w:kern w:val="0"/>
        </w:rPr>
        <w:t xml:space="preserve"> and </w:t>
      </w:r>
      <w:r>
        <w:rPr>
          <w:kern w:val="0"/>
        </w:rPr>
        <w:t>can improve access to diagnostics in developing countries. Objectives To assess the diagnostic accuracy</w:t>
      </w:r>
      <w:r w:rsidR="00427468">
        <w:rPr>
          <w:kern w:val="0"/>
        </w:rPr>
        <w:t xml:space="preserve"> of </w:t>
      </w:r>
      <w:r>
        <w:rPr>
          <w:kern w:val="0"/>
        </w:rPr>
        <w:t>RDTs for detecting P. falciparum parasitaemia in persons living in endemic areas who present to ambulatory healthcare facilities with symptoms suggestive</w:t>
      </w:r>
      <w:r w:rsidR="00427468">
        <w:rPr>
          <w:kern w:val="0"/>
        </w:rPr>
        <w:t xml:space="preserve"> of </w:t>
      </w:r>
      <w:r>
        <w:rPr>
          <w:kern w:val="0"/>
        </w:rPr>
        <w:t>malaria by type</w:t>
      </w:r>
      <w:r w:rsidR="005853A9">
        <w:rPr>
          <w:kern w:val="0"/>
        </w:rPr>
        <w:t xml:space="preserve"> and </w:t>
      </w:r>
      <w:r>
        <w:rPr>
          <w:kern w:val="0"/>
        </w:rPr>
        <w:t>brand. Search strategy We undertook a comprehensive search</w:t>
      </w:r>
      <w:r w:rsidR="00427468">
        <w:rPr>
          <w:kern w:val="0"/>
        </w:rPr>
        <w:t xml:space="preserve"> of </w:t>
      </w:r>
      <w:r>
        <w:rPr>
          <w:kern w:val="0"/>
        </w:rPr>
        <w:t xml:space="preserve">the following databases: Cochrane Infectious Diseases Group Specialized Register; </w:t>
      </w:r>
      <w:r w:rsidR="00D5664A">
        <w:rPr>
          <w:kern w:val="0"/>
        </w:rPr>
        <w:t>MEDLINE</w:t>
      </w:r>
      <w:r>
        <w:rPr>
          <w:kern w:val="0"/>
        </w:rPr>
        <w:t>; EMBASE; MEDION; Science Citation Index; Web</w:t>
      </w:r>
      <w:r w:rsidR="00427468">
        <w:rPr>
          <w:kern w:val="0"/>
        </w:rPr>
        <w:t xml:space="preserve"> of </w:t>
      </w:r>
      <w:r>
        <w:rPr>
          <w:kern w:val="0"/>
        </w:rPr>
        <w:t>Knowledge; African Index Medicus; LILACS; IndMED; to January 14, 2010. Selection criteria Studies comparing RDTs with a reference standard (microscopy or polymerase chain reaction) in blood samples from a random or consecutive series</w:t>
      </w:r>
      <w:r w:rsidR="00427468">
        <w:rPr>
          <w:kern w:val="0"/>
        </w:rPr>
        <w:t xml:space="preserve"> of </w:t>
      </w:r>
      <w:r>
        <w:rPr>
          <w:kern w:val="0"/>
        </w:rPr>
        <w:t>patients attending ambulatory health facilities with symptoms suggestive</w:t>
      </w:r>
      <w:r w:rsidR="00427468">
        <w:rPr>
          <w:kern w:val="0"/>
        </w:rPr>
        <w:t xml:space="preserve"> of </w:t>
      </w:r>
      <w:r>
        <w:rPr>
          <w:kern w:val="0"/>
        </w:rPr>
        <w:t>malaria in P. falciparum endemic areas. Data collection</w:t>
      </w:r>
      <w:r w:rsidR="005853A9">
        <w:rPr>
          <w:kern w:val="0"/>
        </w:rPr>
        <w:t xml:space="preserve"> and </w:t>
      </w:r>
      <w:r>
        <w:rPr>
          <w:kern w:val="0"/>
        </w:rPr>
        <w:t>analysis For each study, a standard set</w:t>
      </w:r>
      <w:r w:rsidR="00427468">
        <w:rPr>
          <w:kern w:val="0"/>
        </w:rPr>
        <w:t xml:space="preserve"> of </w:t>
      </w:r>
      <w:r>
        <w:rPr>
          <w:kern w:val="0"/>
        </w:rPr>
        <w:t>data was extracted independently by two authors, using a tailored data extraction form. Comparisons were grouped hierarchically by target antigen,</w:t>
      </w:r>
      <w:r w:rsidR="005853A9">
        <w:rPr>
          <w:kern w:val="0"/>
        </w:rPr>
        <w:t xml:space="preserve"> and </w:t>
      </w:r>
      <w:r>
        <w:rPr>
          <w:kern w:val="0"/>
        </w:rPr>
        <w:t>type</w:t>
      </w:r>
      <w:r w:rsidR="005853A9">
        <w:rPr>
          <w:kern w:val="0"/>
        </w:rPr>
        <w:t xml:space="preserve"> and </w:t>
      </w:r>
      <w:r>
        <w:rPr>
          <w:kern w:val="0"/>
        </w:rPr>
        <w:t>brand</w:t>
      </w:r>
      <w:r w:rsidR="00427468">
        <w:rPr>
          <w:kern w:val="0"/>
        </w:rPr>
        <w:t xml:space="preserve"> of </w:t>
      </w:r>
      <w:r>
        <w:rPr>
          <w:kern w:val="0"/>
        </w:rPr>
        <w:t>RDT,</w:t>
      </w:r>
      <w:r w:rsidR="005853A9">
        <w:rPr>
          <w:kern w:val="0"/>
        </w:rPr>
        <w:t xml:space="preserve"> and </w:t>
      </w:r>
      <w:r>
        <w:rPr>
          <w:kern w:val="0"/>
        </w:rPr>
        <w:t>combined in meta-analysis where appropriate. Main results We identified 74 unique studies as eligible for this review</w:t>
      </w:r>
      <w:r w:rsidR="005853A9">
        <w:rPr>
          <w:kern w:val="0"/>
        </w:rPr>
        <w:t xml:space="preserve"> and </w:t>
      </w:r>
      <w:r>
        <w:rPr>
          <w:kern w:val="0"/>
        </w:rPr>
        <w:t>categorized them according to the antigens they detected. Types 1 to 3 include HRP-2 (from P. falciparum) either by itself or with other antigens. Types 4</w:t>
      </w:r>
      <w:r w:rsidR="005853A9">
        <w:rPr>
          <w:kern w:val="0"/>
        </w:rPr>
        <w:t xml:space="preserve"> and </w:t>
      </w:r>
      <w:r>
        <w:rPr>
          <w:kern w:val="0"/>
        </w:rPr>
        <w:t>5 included pLDH (from P. falciparum) either by itself or with other antigens. In comparisons with microscopy, we identified 71 evaluations</w:t>
      </w:r>
      <w:r w:rsidR="00427468">
        <w:rPr>
          <w:kern w:val="0"/>
        </w:rPr>
        <w:t xml:space="preserve"> of </w:t>
      </w:r>
      <w:r>
        <w:rPr>
          <w:kern w:val="0"/>
        </w:rPr>
        <w:t>Type 1 tests, eight evaluations</w:t>
      </w:r>
      <w:r w:rsidR="00427468">
        <w:rPr>
          <w:kern w:val="0"/>
        </w:rPr>
        <w:t xml:space="preserve"> of </w:t>
      </w:r>
      <w:r>
        <w:rPr>
          <w:kern w:val="0"/>
        </w:rPr>
        <w:t>Type 2 tests</w:t>
      </w:r>
      <w:r w:rsidR="005853A9">
        <w:rPr>
          <w:kern w:val="0"/>
        </w:rPr>
        <w:t xml:space="preserve"> and </w:t>
      </w:r>
      <w:r>
        <w:rPr>
          <w:kern w:val="0"/>
        </w:rPr>
        <w:t>five evaluations</w:t>
      </w:r>
      <w:r w:rsidR="00427468">
        <w:rPr>
          <w:kern w:val="0"/>
        </w:rPr>
        <w:t xml:space="preserve"> of </w:t>
      </w:r>
      <w:r>
        <w:rPr>
          <w:kern w:val="0"/>
        </w:rPr>
        <w:t>Type 3 tests. In meta-analyses, average sensitivities</w:t>
      </w:r>
      <w:r w:rsidR="005853A9">
        <w:rPr>
          <w:kern w:val="0"/>
        </w:rPr>
        <w:t xml:space="preserve"> and </w:t>
      </w:r>
      <w:r>
        <w:rPr>
          <w:kern w:val="0"/>
        </w:rPr>
        <w:t>specificities (95% CI) were 94.8% (93.1% to 96.1%)</w:t>
      </w:r>
      <w:r w:rsidR="005853A9">
        <w:rPr>
          <w:kern w:val="0"/>
        </w:rPr>
        <w:t xml:space="preserve"> and </w:t>
      </w:r>
      <w:r>
        <w:rPr>
          <w:kern w:val="0"/>
        </w:rPr>
        <w:t>95.2% (93.2% to 96.7%) for Type 1 tests, 96.0% (94.0% to 97.3%)</w:t>
      </w:r>
      <w:r w:rsidR="005853A9">
        <w:rPr>
          <w:kern w:val="0"/>
        </w:rPr>
        <w:t xml:space="preserve"> and </w:t>
      </w:r>
      <w:r>
        <w:rPr>
          <w:kern w:val="0"/>
        </w:rPr>
        <w:t>95.3% (87.3% to 98.3%) for Type 2 tests,</w:t>
      </w:r>
      <w:r w:rsidR="005853A9">
        <w:rPr>
          <w:kern w:val="0"/>
        </w:rPr>
        <w:t xml:space="preserve"> and </w:t>
      </w:r>
      <w:r>
        <w:rPr>
          <w:kern w:val="0"/>
        </w:rPr>
        <w:t>99.5% (71.0% to 100.0%)</w:t>
      </w:r>
      <w:r w:rsidR="005853A9">
        <w:rPr>
          <w:kern w:val="0"/>
        </w:rPr>
        <w:t xml:space="preserve"> and </w:t>
      </w:r>
      <w:r>
        <w:rPr>
          <w:kern w:val="0"/>
        </w:rPr>
        <w:t>90.6% (80.5% to 95.7%) for Type 3 tests, respectively. Overall for HRP-2, the meta-analytical average sensitivity</w:t>
      </w:r>
      <w:r w:rsidR="005853A9">
        <w:rPr>
          <w:kern w:val="0"/>
        </w:rPr>
        <w:t xml:space="preserve"> and </w:t>
      </w:r>
      <w:r>
        <w:rPr>
          <w:kern w:val="0"/>
        </w:rPr>
        <w:t>specificity (95% CI) were 95.0% (93.5% to 96.2%)</w:t>
      </w:r>
      <w:r w:rsidR="005853A9">
        <w:rPr>
          <w:kern w:val="0"/>
        </w:rPr>
        <w:t xml:space="preserve"> and </w:t>
      </w:r>
      <w:r>
        <w:rPr>
          <w:kern w:val="0"/>
        </w:rPr>
        <w:t>95.2% (93.4% to 99.4%), respectively. For pLDH antibody-based RDTs verified with microscopy, we identified 17 evaluations</w:t>
      </w:r>
      <w:r w:rsidR="00427468">
        <w:rPr>
          <w:kern w:val="0"/>
        </w:rPr>
        <w:t xml:space="preserve"> of </w:t>
      </w:r>
      <w:r>
        <w:rPr>
          <w:kern w:val="0"/>
        </w:rPr>
        <w:t>Type 4 RDTs</w:t>
      </w:r>
      <w:r w:rsidR="005853A9">
        <w:rPr>
          <w:kern w:val="0"/>
        </w:rPr>
        <w:t xml:space="preserve"> and </w:t>
      </w:r>
      <w:r>
        <w:rPr>
          <w:kern w:val="0"/>
        </w:rPr>
        <w:t>three evaluations</w:t>
      </w:r>
      <w:r w:rsidR="00427468">
        <w:rPr>
          <w:kern w:val="0"/>
        </w:rPr>
        <w:t xml:space="preserve"> </w:t>
      </w:r>
      <w:r w:rsidR="00427468">
        <w:rPr>
          <w:kern w:val="0"/>
        </w:rPr>
        <w:lastRenderedPageBreak/>
        <w:t xml:space="preserve">of </w:t>
      </w:r>
      <w:r>
        <w:rPr>
          <w:kern w:val="0"/>
        </w:rPr>
        <w:t>Type 5 RDTs. In meta-analyses, average sensitivity for Type 4 tests was 91.5% (84.7% to 95.3%)</w:t>
      </w:r>
      <w:r w:rsidR="005853A9">
        <w:rPr>
          <w:kern w:val="0"/>
        </w:rPr>
        <w:t xml:space="preserve"> and </w:t>
      </w:r>
      <w:r>
        <w:rPr>
          <w:kern w:val="0"/>
        </w:rPr>
        <w:t>average specificity was 98.7% (96.9% to 99.5%). For Type 5 tests, average sensitivity was 98.4% (95.1% to 99.5%)</w:t>
      </w:r>
      <w:r w:rsidR="005853A9">
        <w:rPr>
          <w:kern w:val="0"/>
        </w:rPr>
        <w:t xml:space="preserve"> and </w:t>
      </w:r>
      <w:r>
        <w:rPr>
          <w:kern w:val="0"/>
        </w:rPr>
        <w:t>average specificity was 97.5% (93.5% to 99.1%). Overall for pLDH, the meta-analytical average sensitivity</w:t>
      </w:r>
      <w:r w:rsidR="005853A9">
        <w:rPr>
          <w:kern w:val="0"/>
        </w:rPr>
        <w:t xml:space="preserve"> and </w:t>
      </w:r>
      <w:r>
        <w:rPr>
          <w:kern w:val="0"/>
        </w:rPr>
        <w:t>specificity (95% CI) were 93.2% (88.0% to 96.2%)</w:t>
      </w:r>
      <w:r w:rsidR="005853A9">
        <w:rPr>
          <w:kern w:val="0"/>
        </w:rPr>
        <w:t xml:space="preserve"> and </w:t>
      </w:r>
      <w:r>
        <w:rPr>
          <w:kern w:val="0"/>
        </w:rPr>
        <w:t>98.5% (96.7% to 99.4%), respectively. For both categories</w:t>
      </w:r>
      <w:r w:rsidR="00427468">
        <w:rPr>
          <w:kern w:val="0"/>
        </w:rPr>
        <w:t xml:space="preserve"> of </w:t>
      </w:r>
      <w:r>
        <w:rPr>
          <w:kern w:val="0"/>
        </w:rPr>
        <w:t>test, there was substantial heterogeneity in study results. Quality</w:t>
      </w:r>
      <w:r w:rsidR="00427468">
        <w:rPr>
          <w:kern w:val="0"/>
        </w:rPr>
        <w:t xml:space="preserve"> of </w:t>
      </w:r>
      <w:r>
        <w:rPr>
          <w:kern w:val="0"/>
        </w:rPr>
        <w:t>the microscopy reference standard could only be assessed in 40%</w:t>
      </w:r>
      <w:r w:rsidR="00427468">
        <w:rPr>
          <w:kern w:val="0"/>
        </w:rPr>
        <w:t xml:space="preserve"> of </w:t>
      </w:r>
      <w:r>
        <w:rPr>
          <w:kern w:val="0"/>
        </w:rPr>
        <w:t>studies due to inadequate reporting, but results did not seem to be influenced by the reporting quality. Overall, HRP-2 antibody-based tests (such as the Type 1 tests) tended to be more sensitive</w:t>
      </w:r>
      <w:r w:rsidR="005853A9">
        <w:rPr>
          <w:kern w:val="0"/>
        </w:rPr>
        <w:t xml:space="preserve"> and </w:t>
      </w:r>
      <w:r>
        <w:rPr>
          <w:kern w:val="0"/>
        </w:rPr>
        <w:t>were significantly less specific than pLDH-based tests (such as the Type 4 tests). If the point estimates for Type 1</w:t>
      </w:r>
      <w:r w:rsidR="005853A9">
        <w:rPr>
          <w:kern w:val="0"/>
        </w:rPr>
        <w:t xml:space="preserve"> and </w:t>
      </w:r>
      <w:r>
        <w:rPr>
          <w:kern w:val="0"/>
        </w:rPr>
        <w:t>Type 4 tests are applied to a hypothetical cohort</w:t>
      </w:r>
      <w:r w:rsidR="00427468">
        <w:rPr>
          <w:kern w:val="0"/>
        </w:rPr>
        <w:t xml:space="preserve"> of </w:t>
      </w:r>
      <w:r>
        <w:rPr>
          <w:kern w:val="0"/>
        </w:rPr>
        <w:t>1000 patients where 30%</w:t>
      </w:r>
      <w:r w:rsidR="00427468">
        <w:rPr>
          <w:kern w:val="0"/>
        </w:rPr>
        <w:t xml:space="preserve"> of </w:t>
      </w:r>
      <w:r>
        <w:rPr>
          <w:kern w:val="0"/>
        </w:rPr>
        <w:t>those presenting with symptoms have P. falciparum, Type 1 tests will miss 16 cases,</w:t>
      </w:r>
      <w:r w:rsidR="005853A9">
        <w:rPr>
          <w:kern w:val="0"/>
        </w:rPr>
        <w:t xml:space="preserve"> and </w:t>
      </w:r>
      <w:r>
        <w:rPr>
          <w:kern w:val="0"/>
        </w:rPr>
        <w:t>Type 4 tests will miss 26 cases</w:t>
      </w:r>
      <w:r w:rsidR="00A37C1D">
        <w:rPr>
          <w:kern w:val="0"/>
        </w:rPr>
        <w:t>. The</w:t>
      </w:r>
      <w:r>
        <w:rPr>
          <w:kern w:val="0"/>
        </w:rPr>
        <w:t xml:space="preserve"> number</w:t>
      </w:r>
      <w:r w:rsidR="00427468">
        <w:rPr>
          <w:kern w:val="0"/>
        </w:rPr>
        <w:t xml:space="preserve"> of </w:t>
      </w:r>
      <w:r>
        <w:rPr>
          <w:kern w:val="0"/>
        </w:rPr>
        <w:t>people wrongly diagnosed with P. falciparum would be 34 with Type 1 tests,</w:t>
      </w:r>
      <w:r w:rsidR="005853A9">
        <w:rPr>
          <w:kern w:val="0"/>
        </w:rPr>
        <w:t xml:space="preserve"> and </w:t>
      </w:r>
      <w:r>
        <w:rPr>
          <w:kern w:val="0"/>
        </w:rPr>
        <w:t>nine with Type 4 tests. Authors</w:t>
      </w:r>
      <w:r w:rsidR="0071223E">
        <w:rPr>
          <w:kern w:val="0"/>
        </w:rPr>
        <w:t>’</w:t>
      </w:r>
      <w:r>
        <w:rPr>
          <w:kern w:val="0"/>
        </w:rPr>
        <w:t xml:space="preserve"> conclusions The sensitivity</w:t>
      </w:r>
      <w:r w:rsidR="005853A9">
        <w:rPr>
          <w:kern w:val="0"/>
        </w:rPr>
        <w:t xml:space="preserve"> and </w:t>
      </w:r>
      <w:r>
        <w:rPr>
          <w:kern w:val="0"/>
        </w:rPr>
        <w:t>specificity</w:t>
      </w:r>
      <w:r w:rsidR="00427468">
        <w:rPr>
          <w:kern w:val="0"/>
        </w:rPr>
        <w:t xml:space="preserve"> of </w:t>
      </w:r>
      <w:r>
        <w:rPr>
          <w:kern w:val="0"/>
        </w:rPr>
        <w:t>all RDTs is such that they can replace or extend the access</w:t>
      </w:r>
      <w:r w:rsidR="00427468">
        <w:rPr>
          <w:kern w:val="0"/>
        </w:rPr>
        <w:t xml:space="preserve"> of </w:t>
      </w:r>
      <w:r>
        <w:rPr>
          <w:kern w:val="0"/>
        </w:rPr>
        <w:t>diagnostic services for uncomplicated P. falciparum malaria. HRP-2 antibody types may be more sensitive but are less specific than pLDH antibody-based tests, but the differences are small</w:t>
      </w:r>
      <w:r w:rsidR="00A37C1D">
        <w:rPr>
          <w:kern w:val="0"/>
        </w:rPr>
        <w:t>. The</w:t>
      </w:r>
      <w:r>
        <w:rPr>
          <w:kern w:val="0"/>
        </w:rPr>
        <w:t xml:space="preserve"> HRP-2 antigen persists even after effective treatment</w:t>
      </w:r>
      <w:r w:rsidR="005853A9">
        <w:rPr>
          <w:kern w:val="0"/>
        </w:rPr>
        <w:t xml:space="preserve"> and </w:t>
      </w:r>
      <w:r>
        <w:rPr>
          <w:kern w:val="0"/>
        </w:rPr>
        <w:t>so is not useful for detecting treatment failures.</w:t>
      </w:r>
    </w:p>
    <w:p w:rsidR="00365DE4" w:rsidRDefault="00365DE4" w:rsidP="00365DE4">
      <w:pPr>
        <w:pStyle w:val="a3"/>
        <w:rPr>
          <w:kern w:val="0"/>
        </w:rPr>
      </w:pPr>
      <w:r>
        <w:rPr>
          <w:kern w:val="0"/>
        </w:rPr>
        <w:t xml:space="preserve">Keywords: Accuracy, Antigen-Capture Assay, Authors, Citation, Databases, Developing Countries, Embase, Febrile Returned Travelers, Histidine-Rich Protein-2, Home-Based Management, Knowledge, </w:t>
      </w:r>
      <w:r w:rsidR="00D5664A">
        <w:rPr>
          <w:kern w:val="0"/>
        </w:rPr>
        <w:t>MEDLINE</w:t>
      </w:r>
      <w:r>
        <w:rPr>
          <w:kern w:val="0"/>
        </w:rPr>
        <w:t>, Meta-Analysis, P.F, P.V Immunochromatographic Test, Parasight-F Test, Plasmodium Lactate-Dehydrogenase, Polymerase-Chain-Reaction, Primary-Health-Care, Quality, Review, Science, Science Citation Index, Search Strategy, Strategy, Sub-Saharan Africa</w:t>
      </w:r>
    </w:p>
    <w:p w:rsidR="00365DE4" w:rsidRDefault="00365DE4" w:rsidP="00365DE4">
      <w:pPr>
        <w:pStyle w:val="a3"/>
        <w:rPr>
          <w:kern w:val="0"/>
        </w:rPr>
      </w:pPr>
      <w:r>
        <w:rPr>
          <w:kern w:val="0"/>
        </w:rPr>
        <w:t>? Singh, J.A., Beg, S.</w:t>
      </w:r>
      <w:r w:rsidR="005853A9">
        <w:rPr>
          <w:kern w:val="0"/>
        </w:rPr>
        <w:t xml:space="preserve"> and </w:t>
      </w:r>
      <w:r>
        <w:rPr>
          <w:kern w:val="0"/>
        </w:rPr>
        <w:t xml:space="preserve">Lopez-Olivo, M.A. (2010), Tocilizumab for rheumatoid arthritis.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CD008331.</w:t>
      </w:r>
    </w:p>
    <w:p w:rsidR="00365DE4" w:rsidRDefault="00365DE4" w:rsidP="00365DE4">
      <w:pPr>
        <w:pStyle w:val="a3"/>
        <w:rPr>
          <w:kern w:val="2"/>
        </w:rPr>
      </w:pPr>
      <w:r>
        <w:t xml:space="preserve">Full Text: </w:t>
      </w:r>
      <w:hyperlink r:id="rId609" w:history="1">
        <w:r>
          <w:rPr>
            <w:rStyle w:val="a5"/>
          </w:rPr>
          <w:t>2010\Coc Dat Sys Rev2010, CD008331.pdf</w:t>
        </w:r>
      </w:hyperlink>
    </w:p>
    <w:p w:rsidR="00365DE4" w:rsidRDefault="00365DE4" w:rsidP="00365DE4">
      <w:pPr>
        <w:pStyle w:val="a3"/>
        <w:rPr>
          <w:kern w:val="0"/>
        </w:rPr>
      </w:pPr>
      <w:r>
        <w:rPr>
          <w:kern w:val="0"/>
        </w:rPr>
        <w:t>Abstract: Background Tocilizumab, a new biologic that inhibits interleukin-6, is approved for treatment</w:t>
      </w:r>
      <w:r w:rsidR="00427468">
        <w:rPr>
          <w:kern w:val="0"/>
        </w:rPr>
        <w:t xml:space="preserve"> of </w:t>
      </w:r>
      <w:r>
        <w:rPr>
          <w:kern w:val="0"/>
        </w:rPr>
        <w:t>rheumatoid arthritis (RA) in Europe, Japan</w:t>
      </w:r>
      <w:r w:rsidR="005853A9">
        <w:rPr>
          <w:kern w:val="0"/>
        </w:rPr>
        <w:t xml:space="preserve"> and </w:t>
      </w:r>
      <w:r>
        <w:rPr>
          <w:kern w:val="0"/>
        </w:rPr>
        <w:t>the US. Objectives To assess the efficacy</w:t>
      </w:r>
      <w:r w:rsidR="005853A9">
        <w:rPr>
          <w:kern w:val="0"/>
        </w:rPr>
        <w:t xml:space="preserve"> and </w:t>
      </w:r>
      <w:r>
        <w:rPr>
          <w:kern w:val="0"/>
        </w:rPr>
        <w:t>safety</w:t>
      </w:r>
      <w:r w:rsidR="00427468">
        <w:rPr>
          <w:kern w:val="0"/>
        </w:rPr>
        <w:t xml:space="preserve"> of </w:t>
      </w:r>
      <w:r>
        <w:rPr>
          <w:kern w:val="0"/>
        </w:rPr>
        <w:t>tocilizumab in patients with RA using the data from published randomized or quasi-randomized controlled trials (RCTs). Search strategy We performed a search</w:t>
      </w:r>
      <w:r w:rsidR="00427468">
        <w:rPr>
          <w:kern w:val="0"/>
        </w:rPr>
        <w:t xml:space="preserve"> of </w:t>
      </w:r>
      <w:r>
        <w:rPr>
          <w:kern w:val="0"/>
        </w:rPr>
        <w:t>the following databases: the Cochrane Central Register</w:t>
      </w:r>
      <w:r w:rsidR="00427468">
        <w:rPr>
          <w:kern w:val="0"/>
        </w:rPr>
        <w:t xml:space="preserve"> of </w:t>
      </w:r>
      <w:r>
        <w:rPr>
          <w:kern w:val="0"/>
        </w:rPr>
        <w:t xml:space="preserve">Controlled Trials (CENTRAL) up to issue 3, 2009; OVID </w:t>
      </w:r>
      <w:r w:rsidR="00D5664A">
        <w:rPr>
          <w:kern w:val="0"/>
        </w:rPr>
        <w:t>MEDLINE</w:t>
      </w:r>
      <w:r>
        <w:rPr>
          <w:kern w:val="0"/>
        </w:rPr>
        <w:t>(1966 to 1 October 2009); CINAHL(1982 to 2009); EMBASE (1980 to week 39, 2009); Science Citation Index (</w:t>
      </w:r>
      <w:r w:rsidR="00D5664A">
        <w:rPr>
          <w:kern w:val="0"/>
        </w:rPr>
        <w:t>Web</w:t>
      </w:r>
      <w:r w:rsidR="00427468">
        <w:rPr>
          <w:kern w:val="0"/>
        </w:rPr>
        <w:t xml:space="preserve"> of </w:t>
      </w:r>
      <w:r w:rsidR="00D5664A">
        <w:rPr>
          <w:kern w:val="0"/>
        </w:rPr>
        <w:t>Science</w:t>
      </w:r>
      <w:r>
        <w:rPr>
          <w:kern w:val="0"/>
        </w:rPr>
        <w:t>) (1945 to 2009)</w:t>
      </w:r>
      <w:r w:rsidR="005853A9">
        <w:rPr>
          <w:kern w:val="0"/>
        </w:rPr>
        <w:t xml:space="preserve"> and </w:t>
      </w:r>
      <w:r>
        <w:rPr>
          <w:kern w:val="0"/>
        </w:rPr>
        <w:t xml:space="preserve">Current Controlled Trials. Selection criteria Tocilizumab alone or in combination </w:t>
      </w:r>
      <w:r>
        <w:rPr>
          <w:kern w:val="0"/>
        </w:rPr>
        <w:lastRenderedPageBreak/>
        <w:t>with disease-modifying anti-rheumatic drugs (DMARDs) or biologics compared to placebo or other DMARDs or biologics. Data collection</w:t>
      </w:r>
      <w:r w:rsidR="005853A9">
        <w:rPr>
          <w:kern w:val="0"/>
        </w:rPr>
        <w:t xml:space="preserve"> and </w:t>
      </w:r>
      <w:r>
        <w:rPr>
          <w:kern w:val="0"/>
        </w:rPr>
        <w:t>analysis Two review authors independently extracted all data including major (ACR50, adverse events, serious adverse events, withdrawals, specific adverse events)</w:t>
      </w:r>
      <w:r w:rsidR="005853A9">
        <w:rPr>
          <w:kern w:val="0"/>
        </w:rPr>
        <w:t xml:space="preserve"> and </w:t>
      </w:r>
      <w:r>
        <w:rPr>
          <w:kern w:val="0"/>
        </w:rPr>
        <w:t>secondary outcomes. We calculated the risk ratio for dichotomous outcomes</w:t>
      </w:r>
      <w:r w:rsidR="005853A9">
        <w:rPr>
          <w:kern w:val="0"/>
        </w:rPr>
        <w:t xml:space="preserve"> and </w:t>
      </w:r>
      <w:r>
        <w:rPr>
          <w:kern w:val="0"/>
        </w:rPr>
        <w:t>mean difference for continuous outcomes. Main results Eight RCTs were included in this systematic review with 3334 participants; 2233 treated with tocilizumab</w:t>
      </w:r>
      <w:r w:rsidR="005853A9">
        <w:rPr>
          <w:kern w:val="0"/>
        </w:rPr>
        <w:t xml:space="preserve"> and </w:t>
      </w:r>
      <w:r>
        <w:rPr>
          <w:kern w:val="0"/>
        </w:rPr>
        <w:t>1101 controls.</w:t>
      </w:r>
      <w:r w:rsidR="00427468">
        <w:rPr>
          <w:kern w:val="0"/>
        </w:rPr>
        <w:t xml:space="preserve"> of </w:t>
      </w:r>
      <w:r>
        <w:rPr>
          <w:kern w:val="0"/>
        </w:rPr>
        <w:t>the 2233, 1561 were treated with tocilizumab 8 mg/kg every four weeks, which is the approved dose. In patients taking concomitant methotrexate, compared to placebo, tocilizumab-treated patients were four times more likely to achieve ACR50 (absolute %, 38.8% versus 9.6%), 11 times more likely to achieve Disease Activity Score (DAS) remission (absolute %, 30.5% versus 2.7%), 1.8 times more likely to achieve clinically meaningful decrease in Health Assessment Questionnaire (HAQ/mHAQ) scores (absolute %, 60.5% versus 34%), 1.2 times more likely to have any adverse event (absolute %, 74% versus 65%)</w:t>
      </w:r>
      <w:r w:rsidR="005853A9">
        <w:rPr>
          <w:kern w:val="0"/>
        </w:rPr>
        <w:t xml:space="preserve"> and </w:t>
      </w:r>
      <w:r>
        <w:rPr>
          <w:kern w:val="0"/>
        </w:rPr>
        <w:t>0.6 times less likely to withdraw from therapy for any reason (absolute %, 8.1% versus 14.9%). With the limitation that none</w:t>
      </w:r>
      <w:r w:rsidR="00427468">
        <w:rPr>
          <w:kern w:val="0"/>
        </w:rPr>
        <w:t xml:space="preserve"> of </w:t>
      </w:r>
      <w:r>
        <w:rPr>
          <w:kern w:val="0"/>
        </w:rPr>
        <w:t>the studies were powered for safety as primary outcome, there were no statistically significant differences in serious adverse effects, or withdrawals due to adverse events. A significant increase in total, HDL</w:t>
      </w:r>
      <w:r w:rsidR="005853A9">
        <w:rPr>
          <w:kern w:val="0"/>
        </w:rPr>
        <w:t xml:space="preserve"> and </w:t>
      </w:r>
      <w:r>
        <w:rPr>
          <w:kern w:val="0"/>
        </w:rPr>
        <w:t>LDL cholesterol</w:t>
      </w:r>
      <w:r w:rsidR="005853A9">
        <w:rPr>
          <w:kern w:val="0"/>
        </w:rPr>
        <w:t xml:space="preserve"> and </w:t>
      </w:r>
      <w:r>
        <w:rPr>
          <w:kern w:val="0"/>
        </w:rPr>
        <w:t>triglyceride level was seen in the tocilizumab treated patients. Authors</w:t>
      </w:r>
      <w:r w:rsidR="0071223E">
        <w:rPr>
          <w:kern w:val="0"/>
        </w:rPr>
        <w:t>’</w:t>
      </w:r>
      <w:r>
        <w:rPr>
          <w:kern w:val="0"/>
        </w:rPr>
        <w:t xml:space="preserve"> conclusions Tocilizumab is beneficial in decreasingRA disease activity</w:t>
      </w:r>
      <w:r w:rsidR="005853A9">
        <w:rPr>
          <w:kern w:val="0"/>
        </w:rPr>
        <w:t xml:space="preserve"> and </w:t>
      </w:r>
      <w:r>
        <w:rPr>
          <w:kern w:val="0"/>
        </w:rPr>
        <w:t>improving function. Tocilizumab treatment was associated with significant increase in cholesterol levels</w:t>
      </w:r>
      <w:r w:rsidR="005853A9">
        <w:rPr>
          <w:kern w:val="0"/>
        </w:rPr>
        <w:t xml:space="preserve"> and </w:t>
      </w:r>
      <w:r>
        <w:rPr>
          <w:kern w:val="0"/>
        </w:rPr>
        <w:t>in total adverse events. Larger safety studies are needed to address these safety concerns.</w:t>
      </w:r>
    </w:p>
    <w:p w:rsidR="00365DE4" w:rsidRDefault="00365DE4" w:rsidP="00365DE4">
      <w:pPr>
        <w:pStyle w:val="a3"/>
        <w:rPr>
          <w:kern w:val="0"/>
        </w:rPr>
      </w:pPr>
      <w:r>
        <w:rPr>
          <w:kern w:val="0"/>
        </w:rPr>
        <w:t>Keywords: Anti-Interleukin-6 Receptor Antibody, Criteria, Disease-Activity Score, Double-Blind, IL-6 Receptor, Inadequate Response, Inhibition, Placebo-Controlled Trial, Preliminary Definition, Therapy, Web</w:t>
      </w:r>
    </w:p>
    <w:p w:rsidR="00365DE4" w:rsidRDefault="00365DE4" w:rsidP="00365DE4">
      <w:pPr>
        <w:pStyle w:val="a3"/>
        <w:rPr>
          <w:kern w:val="0"/>
        </w:rPr>
      </w:pPr>
      <w:r>
        <w:rPr>
          <w:kern w:val="0"/>
        </w:rPr>
        <w:t>? Kiwanuka, S.N., Rutebemberwa, E., Nalwadda, C., Okui, O., Ssengooba, F., Kinengyere, A.A.</w:t>
      </w:r>
      <w:r w:rsidR="005853A9">
        <w:rPr>
          <w:kern w:val="0"/>
        </w:rPr>
        <w:t xml:space="preserve"> and </w:t>
      </w:r>
      <w:r>
        <w:rPr>
          <w:kern w:val="0"/>
        </w:rPr>
        <w:t xml:space="preserve">Pariyo, G.W. (2011), Interventions to manage dual practice among health workers.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CD008405.</w:t>
      </w:r>
    </w:p>
    <w:p w:rsidR="00365DE4" w:rsidRDefault="00365DE4" w:rsidP="00365DE4">
      <w:pPr>
        <w:pStyle w:val="a3"/>
        <w:rPr>
          <w:kern w:val="2"/>
        </w:rPr>
      </w:pPr>
      <w:r>
        <w:t xml:space="preserve">Full Text: 2011\Coc Dat Sys Rev2011, </w:t>
      </w:r>
      <w:r>
        <w:rPr>
          <w:kern w:val="0"/>
        </w:rPr>
        <w:t>CD008405.pdf</w:t>
      </w:r>
    </w:p>
    <w:p w:rsidR="00365DE4" w:rsidRDefault="00365DE4" w:rsidP="00365DE4">
      <w:pPr>
        <w:pStyle w:val="a3"/>
        <w:rPr>
          <w:kern w:val="0"/>
        </w:rPr>
      </w:pPr>
      <w:r>
        <w:rPr>
          <w:kern w:val="0"/>
        </w:rPr>
        <w:t>Abstract: Background Dual practice, whereby health workers hold two or more jobs, is a common phenomenon globally. In resource constrained low-and middle-income countries dual practice poses an ongoing threat to the efficiency, quality</w:t>
      </w:r>
      <w:r w:rsidR="005853A9">
        <w:rPr>
          <w:kern w:val="0"/>
        </w:rPr>
        <w:t xml:space="preserve"> and </w:t>
      </w:r>
      <w:r>
        <w:rPr>
          <w:kern w:val="0"/>
        </w:rPr>
        <w:t>equity</w:t>
      </w:r>
      <w:r w:rsidR="00427468">
        <w:rPr>
          <w:kern w:val="0"/>
        </w:rPr>
        <w:t xml:space="preserve"> of </w:t>
      </w:r>
      <w:r>
        <w:rPr>
          <w:kern w:val="0"/>
        </w:rPr>
        <w:t>health services, especially in the public sector. Identifying effective interventions to manage dual practice is important. Objectives To assess the effects</w:t>
      </w:r>
      <w:r w:rsidR="00427468">
        <w:rPr>
          <w:kern w:val="0"/>
        </w:rPr>
        <w:t xml:space="preserve"> of </w:t>
      </w:r>
      <w:r>
        <w:rPr>
          <w:kern w:val="0"/>
        </w:rPr>
        <w:t>regulations implemented to manage dual practice. Search strategy Databases searched included: The Cochrane Central Register</w:t>
      </w:r>
      <w:r w:rsidR="00427468">
        <w:rPr>
          <w:kern w:val="0"/>
        </w:rPr>
        <w:t xml:space="preserve"> of </w:t>
      </w:r>
      <w:r>
        <w:rPr>
          <w:kern w:val="0"/>
        </w:rPr>
        <w:t>Controlled Trials (CENTRAL) 2011, Issue 4, part</w:t>
      </w:r>
      <w:r w:rsidR="00427468">
        <w:rPr>
          <w:kern w:val="0"/>
        </w:rPr>
        <w:t xml:space="preserve"> </w:t>
      </w:r>
      <w:r w:rsidR="00427468">
        <w:rPr>
          <w:kern w:val="0"/>
        </w:rPr>
        <w:lastRenderedPageBreak/>
        <w:t xml:space="preserve">of </w:t>
      </w:r>
      <w:r>
        <w:rPr>
          <w:kern w:val="0"/>
        </w:rPr>
        <w:t>The Cochrane Library. www.thecochranelibrary.com, including the Cochrane Effective Practice</w:t>
      </w:r>
      <w:r w:rsidR="005853A9">
        <w:rPr>
          <w:kern w:val="0"/>
        </w:rPr>
        <w:t xml:space="preserve"> and </w:t>
      </w:r>
      <w:r>
        <w:rPr>
          <w:kern w:val="0"/>
        </w:rPr>
        <w:t>Organisation</w:t>
      </w:r>
      <w:r w:rsidR="00427468">
        <w:rPr>
          <w:kern w:val="0"/>
        </w:rPr>
        <w:t xml:space="preserve"> of </w:t>
      </w:r>
      <w:r>
        <w:rPr>
          <w:kern w:val="0"/>
        </w:rPr>
        <w:t xml:space="preserve">Care (EPOC) Group Specialised Register (searched 26 May 2011); </w:t>
      </w:r>
      <w:r w:rsidR="00D5664A">
        <w:rPr>
          <w:kern w:val="0"/>
        </w:rPr>
        <w:t>MEDLINE</w:t>
      </w:r>
      <w:r>
        <w:rPr>
          <w:kern w:val="0"/>
        </w:rPr>
        <w:t xml:space="preserve"> In-Process &amp; Other Non-Indexed Citations May 24, 2011 (searched 26 May 2011); </w:t>
      </w:r>
      <w:r w:rsidR="00D5664A">
        <w:rPr>
          <w:kern w:val="0"/>
        </w:rPr>
        <w:t>MEDLINE</w:t>
      </w:r>
      <w:r>
        <w:rPr>
          <w:kern w:val="0"/>
        </w:rPr>
        <w:t>, Ovid (1948 to May week 2 2011) (searched 26 May 2011); EMBASE, Ovid (1980 to 2011 week 20) (searched 26 May 2011); Science Citation Index</w:t>
      </w:r>
      <w:r w:rsidR="005853A9">
        <w:rPr>
          <w:kern w:val="0"/>
        </w:rPr>
        <w:t xml:space="preserve"> and </w:t>
      </w:r>
      <w:r>
        <w:rPr>
          <w:kern w:val="0"/>
        </w:rPr>
        <w:t>Social Sciences Citation Index, ISI</w:t>
      </w:r>
      <w:r w:rsidR="00D5664A">
        <w:rPr>
          <w:kern w:val="0"/>
        </w:rPr>
        <w:t>Web</w:t>
      </w:r>
      <w:r w:rsidR="00427468">
        <w:rPr>
          <w:kern w:val="0"/>
        </w:rPr>
        <w:t xml:space="preserve"> of </w:t>
      </w:r>
      <w:r w:rsidR="00D5664A">
        <w:rPr>
          <w:kern w:val="0"/>
        </w:rPr>
        <w:t>Science</w:t>
      </w:r>
      <w:r>
        <w:rPr>
          <w:kern w:val="0"/>
        </w:rPr>
        <w:t xml:space="preserve"> (1975 to present) (searched 04 December 2009); LILACS (searched January 2010);</w:t>
      </w:r>
      <w:r w:rsidR="005853A9">
        <w:rPr>
          <w:kern w:val="0"/>
        </w:rPr>
        <w:t xml:space="preserve"> and </w:t>
      </w:r>
      <w:r>
        <w:rPr>
          <w:kern w:val="0"/>
        </w:rPr>
        <w:t>AIM (December 2009) (searched 18 December 2009). Selection criteria Randomized controlled trials, non-randomized controlled trials, controlled before-and-after studies</w:t>
      </w:r>
      <w:r w:rsidR="005853A9">
        <w:rPr>
          <w:kern w:val="0"/>
        </w:rPr>
        <w:t xml:space="preserve"> and </w:t>
      </w:r>
      <w:r>
        <w:rPr>
          <w:kern w:val="0"/>
        </w:rPr>
        <w:t>interrupted-time-series studies. Dual practice was defined as holding more than one job. Studies for inclusion were those focusing on interventions to manage dual practice among health professionals employed in the public health sector. Data collection</w:t>
      </w:r>
      <w:r w:rsidR="005853A9">
        <w:rPr>
          <w:kern w:val="0"/>
        </w:rPr>
        <w:t xml:space="preserve"> and </w:t>
      </w:r>
      <w:r>
        <w:rPr>
          <w:kern w:val="0"/>
        </w:rPr>
        <w:t>analysis Two review authors independently applied the criteria for inclusion</w:t>
      </w:r>
      <w:r w:rsidR="005853A9">
        <w:rPr>
          <w:kern w:val="0"/>
        </w:rPr>
        <w:t xml:space="preserve"> and </w:t>
      </w:r>
      <w:r>
        <w:rPr>
          <w:kern w:val="0"/>
        </w:rPr>
        <w:t>exclusion</w:t>
      </w:r>
      <w:r w:rsidR="00427468">
        <w:rPr>
          <w:kern w:val="0"/>
        </w:rPr>
        <w:t xml:space="preserve"> of </w:t>
      </w:r>
      <w:r>
        <w:rPr>
          <w:kern w:val="0"/>
        </w:rPr>
        <w:t>studies when scanning the identified titles</w:t>
      </w:r>
      <w:r w:rsidR="005853A9">
        <w:rPr>
          <w:kern w:val="0"/>
        </w:rPr>
        <w:t xml:space="preserve"> and </w:t>
      </w:r>
      <w:r>
        <w:rPr>
          <w:kern w:val="0"/>
        </w:rPr>
        <w:t>abstracts</w:t>
      </w:r>
      <w:r w:rsidR="00A37C1D">
        <w:rPr>
          <w:kern w:val="0"/>
        </w:rPr>
        <w:t>. The</w:t>
      </w:r>
      <w:r>
        <w:rPr>
          <w:kern w:val="0"/>
        </w:rPr>
        <w:t xml:space="preserve"> same two review authors independently Main results No studies were found which were eligible for inclusion in this review. Authors</w:t>
      </w:r>
      <w:r w:rsidR="0071223E">
        <w:rPr>
          <w:kern w:val="0"/>
        </w:rPr>
        <w:t>’</w:t>
      </w:r>
      <w:r>
        <w:rPr>
          <w:kern w:val="0"/>
        </w:rPr>
        <w:t xml:space="preserve"> conclusions There is a need to rigorously evaluate the effects</w:t>
      </w:r>
      <w:r w:rsidR="00427468">
        <w:rPr>
          <w:kern w:val="0"/>
        </w:rPr>
        <w:t xml:space="preserve"> of </w:t>
      </w:r>
      <w:r>
        <w:rPr>
          <w:kern w:val="0"/>
        </w:rPr>
        <w:t>interventions implemented to manage dual practice among health workers. However, there is still much that is unknown about dual practice itself</w:t>
      </w:r>
      <w:r w:rsidR="00A37C1D">
        <w:rPr>
          <w:kern w:val="0"/>
        </w:rPr>
        <w:t>. The</w:t>
      </w:r>
      <w:r>
        <w:rPr>
          <w:kern w:val="0"/>
        </w:rPr>
        <w:t xml:space="preserve"> designing</w:t>
      </w:r>
      <w:r w:rsidR="00427468">
        <w:rPr>
          <w:kern w:val="0"/>
        </w:rPr>
        <w:t xml:space="preserve"> of </w:t>
      </w:r>
      <w:r>
        <w:rPr>
          <w:kern w:val="0"/>
        </w:rPr>
        <w:t>studies to evaluate the effects</w:t>
      </w:r>
      <w:r w:rsidR="00427468">
        <w:rPr>
          <w:kern w:val="0"/>
        </w:rPr>
        <w:t xml:space="preserve"> of </w:t>
      </w:r>
      <w:r>
        <w:rPr>
          <w:kern w:val="0"/>
        </w:rPr>
        <w:t>interventions to manage dual practice could benefit from prior studies to assess the various manifestations</w:t>
      </w:r>
      <w:r w:rsidR="00427468">
        <w:rPr>
          <w:kern w:val="0"/>
        </w:rPr>
        <w:t xml:space="preserve"> of </w:t>
      </w:r>
      <w:r>
        <w:rPr>
          <w:kern w:val="0"/>
        </w:rPr>
        <w:t>dual practice, their prevalence</w:t>
      </w:r>
      <w:r w:rsidR="005853A9">
        <w:rPr>
          <w:kern w:val="0"/>
        </w:rPr>
        <w:t xml:space="preserve"> and </w:t>
      </w:r>
      <w:r>
        <w:rPr>
          <w:kern w:val="0"/>
        </w:rPr>
        <w:t>their likely impacts on health services delivery</w:t>
      </w:r>
      <w:r w:rsidR="00A37C1D">
        <w:rPr>
          <w:kern w:val="0"/>
        </w:rPr>
        <w:t>. The</w:t>
      </w:r>
      <w:r>
        <w:rPr>
          <w:kern w:val="0"/>
        </w:rPr>
        <w:t>se findings would then inform the design</w:t>
      </w:r>
      <w:r w:rsidR="00427468">
        <w:rPr>
          <w:kern w:val="0"/>
        </w:rPr>
        <w:t xml:space="preserve"> of </w:t>
      </w:r>
      <w:r>
        <w:rPr>
          <w:kern w:val="0"/>
        </w:rPr>
        <w:t>studies to evaluate interventions to manage dual practice.</w:t>
      </w:r>
    </w:p>
    <w:p w:rsidR="00365DE4" w:rsidRDefault="00365DE4" w:rsidP="00365DE4">
      <w:pPr>
        <w:pStyle w:val="a3"/>
        <w:rPr>
          <w:kern w:val="0"/>
        </w:rPr>
      </w:pPr>
      <w:r>
        <w:rPr>
          <w:kern w:val="0"/>
        </w:rPr>
        <w:t xml:space="preserve">Keywords: Authors, Care, Citation, Citations, Embase, Exploration, Interventions, </w:t>
      </w:r>
      <w:r w:rsidR="00D5664A">
        <w:rPr>
          <w:kern w:val="0"/>
        </w:rPr>
        <w:t>MEDLINE</w:t>
      </w:r>
      <w:r>
        <w:rPr>
          <w:kern w:val="0"/>
        </w:rPr>
        <w:t>, Private-Practice, Public Health, Review, Science, Science Citation Index, Search Strategy, Service, Social Sciences</w:t>
      </w:r>
    </w:p>
    <w:p w:rsidR="00365DE4" w:rsidRDefault="00365DE4" w:rsidP="00365DE4">
      <w:pPr>
        <w:pStyle w:val="a3"/>
        <w:rPr>
          <w:kern w:val="0"/>
        </w:rPr>
      </w:pPr>
      <w:r>
        <w:rPr>
          <w:kern w:val="0"/>
        </w:rPr>
        <w:t>? Flodgren, G., Eccles, M.P., Shepperd, S., Scott, A., Parmelli, E.</w:t>
      </w:r>
      <w:r w:rsidR="005853A9">
        <w:rPr>
          <w:kern w:val="0"/>
        </w:rPr>
        <w:t xml:space="preserve"> and </w:t>
      </w:r>
      <w:r>
        <w:rPr>
          <w:kern w:val="0"/>
        </w:rPr>
        <w:t>Beyer, F.R. (2011), An overview</w:t>
      </w:r>
      <w:r w:rsidR="00427468">
        <w:rPr>
          <w:kern w:val="0"/>
        </w:rPr>
        <w:t xml:space="preserve"> of </w:t>
      </w:r>
      <w:r>
        <w:rPr>
          <w:kern w:val="0"/>
        </w:rPr>
        <w:t>reviews evaluating the effectiveness</w:t>
      </w:r>
      <w:r w:rsidR="00427468">
        <w:rPr>
          <w:kern w:val="0"/>
        </w:rPr>
        <w:t xml:space="preserve"> of </w:t>
      </w:r>
      <w:r>
        <w:rPr>
          <w:kern w:val="0"/>
        </w:rPr>
        <w:t>financial incentives in changing healthcare professional behaviours</w:t>
      </w:r>
      <w:r w:rsidR="005853A9">
        <w:rPr>
          <w:kern w:val="0"/>
        </w:rPr>
        <w:t xml:space="preserve"> and </w:t>
      </w:r>
      <w:r>
        <w:rPr>
          <w:kern w:val="0"/>
        </w:rPr>
        <w:t xml:space="preserve">patient outcomes.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CD009255.</w:t>
      </w:r>
    </w:p>
    <w:p w:rsidR="00365DE4" w:rsidRDefault="00365DE4" w:rsidP="00365DE4">
      <w:pPr>
        <w:pStyle w:val="a3"/>
        <w:rPr>
          <w:kern w:val="2"/>
        </w:rPr>
      </w:pPr>
      <w:r>
        <w:t xml:space="preserve">Full Text: 2011\Coc Dat Sys Rev2011, </w:t>
      </w:r>
      <w:r>
        <w:rPr>
          <w:kern w:val="0"/>
        </w:rPr>
        <w:t>CD009255.pdf</w:t>
      </w:r>
    </w:p>
    <w:p w:rsidR="00365DE4" w:rsidRDefault="00365DE4" w:rsidP="00365DE4">
      <w:pPr>
        <w:pStyle w:val="a3"/>
        <w:rPr>
          <w:kern w:val="0"/>
        </w:rPr>
      </w:pPr>
      <w:r>
        <w:rPr>
          <w:kern w:val="0"/>
        </w:rPr>
        <w:t>Abstract: Background There is considerable interest in the effectiveness</w:t>
      </w:r>
      <w:r w:rsidR="00427468">
        <w:rPr>
          <w:kern w:val="0"/>
        </w:rPr>
        <w:t xml:space="preserve"> of </w:t>
      </w:r>
      <w:r>
        <w:rPr>
          <w:kern w:val="0"/>
        </w:rPr>
        <w:t>financial incentives in the delivery</w:t>
      </w:r>
      <w:r w:rsidR="00427468">
        <w:rPr>
          <w:kern w:val="0"/>
        </w:rPr>
        <w:t xml:space="preserve"> of </w:t>
      </w:r>
      <w:r>
        <w:rPr>
          <w:kern w:val="0"/>
        </w:rPr>
        <w:t>health care. Incentives may be used in an attempt to increase the use</w:t>
      </w:r>
      <w:r w:rsidR="00427468">
        <w:rPr>
          <w:kern w:val="0"/>
        </w:rPr>
        <w:t xml:space="preserve"> of </w:t>
      </w:r>
      <w:r>
        <w:rPr>
          <w:kern w:val="0"/>
        </w:rPr>
        <w:t>evidence-based treatments among healthcare professionals or to stimulate health professionals to change their clinical behaviour with respect to preventive, diagnostic</w:t>
      </w:r>
      <w:r w:rsidR="005853A9">
        <w:rPr>
          <w:kern w:val="0"/>
        </w:rPr>
        <w:t xml:space="preserve"> and </w:t>
      </w:r>
      <w:r>
        <w:rPr>
          <w:kern w:val="0"/>
        </w:rPr>
        <w:t>treatment decisions, or both. Financial incentives are an extrinsic source</w:t>
      </w:r>
      <w:r w:rsidR="00427468">
        <w:rPr>
          <w:kern w:val="0"/>
        </w:rPr>
        <w:t xml:space="preserve"> of </w:t>
      </w:r>
      <w:r>
        <w:rPr>
          <w:kern w:val="0"/>
        </w:rPr>
        <w:t>motivation</w:t>
      </w:r>
      <w:r w:rsidR="005853A9">
        <w:rPr>
          <w:kern w:val="0"/>
        </w:rPr>
        <w:t xml:space="preserve"> and </w:t>
      </w:r>
      <w:r>
        <w:rPr>
          <w:kern w:val="0"/>
        </w:rPr>
        <w:t>exist when an individual can expect a monetary transfer which is made conditional on acting in a particular way. Since there are numerous reviews performed within the healthcare area describing the effects</w:t>
      </w:r>
      <w:r w:rsidR="00427468">
        <w:rPr>
          <w:kern w:val="0"/>
        </w:rPr>
        <w:t xml:space="preserve"> of </w:t>
      </w:r>
      <w:r>
        <w:rPr>
          <w:kern w:val="0"/>
        </w:rPr>
        <w:lastRenderedPageBreak/>
        <w:t>various types</w:t>
      </w:r>
      <w:r w:rsidR="00427468">
        <w:rPr>
          <w:kern w:val="0"/>
        </w:rPr>
        <w:t xml:space="preserve"> of </w:t>
      </w:r>
      <w:r>
        <w:rPr>
          <w:kern w:val="0"/>
        </w:rPr>
        <w:t>financial incentives, it is important to summarise the effectiveness</w:t>
      </w:r>
      <w:r w:rsidR="00427468">
        <w:rPr>
          <w:kern w:val="0"/>
        </w:rPr>
        <w:t xml:space="preserve"> of </w:t>
      </w:r>
      <w:r>
        <w:rPr>
          <w:kern w:val="0"/>
        </w:rPr>
        <w:t>these in an overview to discern which are most effective in changing health professionals</w:t>
      </w:r>
      <w:r w:rsidR="0071223E">
        <w:rPr>
          <w:kern w:val="0"/>
        </w:rPr>
        <w:t>’</w:t>
      </w:r>
      <w:r>
        <w:rPr>
          <w:kern w:val="0"/>
        </w:rPr>
        <w:t xml:space="preserve"> behaviour</w:t>
      </w:r>
      <w:r w:rsidR="005853A9">
        <w:rPr>
          <w:kern w:val="0"/>
        </w:rPr>
        <w:t xml:space="preserve"> and </w:t>
      </w:r>
      <w:r>
        <w:rPr>
          <w:kern w:val="0"/>
        </w:rPr>
        <w:t>patient outcomes. Objectives To conduct an overview</w:t>
      </w:r>
      <w:r w:rsidR="00427468">
        <w:rPr>
          <w:kern w:val="0"/>
        </w:rPr>
        <w:t xml:space="preserve"> of </w:t>
      </w:r>
      <w:r>
        <w:rPr>
          <w:kern w:val="0"/>
        </w:rPr>
        <w:t>systematic reviews that evaluates the impact</w:t>
      </w:r>
      <w:r w:rsidR="00427468">
        <w:rPr>
          <w:kern w:val="0"/>
        </w:rPr>
        <w:t xml:space="preserve"> of </w:t>
      </w:r>
      <w:r>
        <w:rPr>
          <w:kern w:val="0"/>
        </w:rPr>
        <w:t>financial incentives on healthcare professional behaviour</w:t>
      </w:r>
      <w:r w:rsidR="005853A9">
        <w:rPr>
          <w:kern w:val="0"/>
        </w:rPr>
        <w:t xml:space="preserve"> and </w:t>
      </w:r>
      <w:r>
        <w:rPr>
          <w:kern w:val="0"/>
        </w:rPr>
        <w:t>patient outcomes. Methods We searched the Cochrane Database</w:t>
      </w:r>
      <w:r w:rsidR="00427468">
        <w:rPr>
          <w:kern w:val="0"/>
        </w:rPr>
        <w:t xml:space="preserve"> of </w:t>
      </w:r>
      <w:r>
        <w:rPr>
          <w:kern w:val="0"/>
        </w:rPr>
        <w:t>Systematic Reviews (CDSR) (The Cochrane Library);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 xml:space="preserve">Effectiveness (DARE); TRIP; </w:t>
      </w:r>
      <w:r w:rsidR="00D5664A">
        <w:rPr>
          <w:kern w:val="0"/>
        </w:rPr>
        <w:t>MEDLINE</w:t>
      </w:r>
      <w:r>
        <w:rPr>
          <w:kern w:val="0"/>
        </w:rPr>
        <w:t>; EMBASE; Science Citation Index; Social Science Citation Index; NHS EED; HEED; EconLit;</w:t>
      </w:r>
      <w:r w:rsidR="005853A9">
        <w:rPr>
          <w:kern w:val="0"/>
        </w:rPr>
        <w:t xml:space="preserve"> and </w:t>
      </w:r>
      <w:r>
        <w:rPr>
          <w:kern w:val="0"/>
        </w:rPr>
        <w:t>Program in Policy Decision-Making (PPd) (from their inception dates up to January 2010). We searched the reference lists</w:t>
      </w:r>
      <w:r w:rsidR="00427468">
        <w:rPr>
          <w:kern w:val="0"/>
        </w:rPr>
        <w:t xml:space="preserve"> of </w:t>
      </w:r>
      <w:r>
        <w:rPr>
          <w:kern w:val="0"/>
        </w:rPr>
        <w:t>all included reviews</w:t>
      </w:r>
      <w:r w:rsidR="005853A9">
        <w:rPr>
          <w:kern w:val="0"/>
        </w:rPr>
        <w:t xml:space="preserve"> and </w:t>
      </w:r>
      <w:r>
        <w:rPr>
          <w:kern w:val="0"/>
        </w:rPr>
        <w:t>carried out a citation search</w:t>
      </w:r>
      <w:r w:rsidR="00427468">
        <w:rPr>
          <w:kern w:val="0"/>
        </w:rPr>
        <w:t xml:space="preserve"> of </w:t>
      </w:r>
      <w:r>
        <w:rPr>
          <w:kern w:val="0"/>
        </w:rPr>
        <w:t>those papers which cited studies included in the review. We included both Cochrane</w:t>
      </w:r>
      <w:r w:rsidR="005853A9">
        <w:rPr>
          <w:kern w:val="0"/>
        </w:rPr>
        <w:t xml:space="preserve"> and </w:t>
      </w:r>
      <w:r>
        <w:rPr>
          <w:kern w:val="0"/>
        </w:rPr>
        <w:t>non-Cochrane reviews</w:t>
      </w:r>
      <w:r w:rsidR="00427468">
        <w:rPr>
          <w:kern w:val="0"/>
        </w:rPr>
        <w:t xml:space="preserve"> of </w:t>
      </w:r>
      <w:r>
        <w:rPr>
          <w:kern w:val="0"/>
        </w:rPr>
        <w:t>randomised controlled trials (RCTs), controlled clinical trials (CCTs), interrupted time series (ITSs)</w:t>
      </w:r>
      <w:r w:rsidR="005853A9">
        <w:rPr>
          <w:kern w:val="0"/>
        </w:rPr>
        <w:t xml:space="preserve"> and </w:t>
      </w:r>
      <w:r>
        <w:rPr>
          <w:kern w:val="0"/>
        </w:rPr>
        <w:t>controlled before</w:t>
      </w:r>
      <w:r w:rsidR="005853A9">
        <w:rPr>
          <w:kern w:val="0"/>
        </w:rPr>
        <w:t xml:space="preserve"> and </w:t>
      </w:r>
      <w:r>
        <w:rPr>
          <w:kern w:val="0"/>
        </w:rPr>
        <w:t>after studies (CBAs) that evaluated the effects</w:t>
      </w:r>
      <w:r w:rsidR="00427468">
        <w:rPr>
          <w:kern w:val="0"/>
        </w:rPr>
        <w:t xml:space="preserve"> of </w:t>
      </w:r>
      <w:r>
        <w:rPr>
          <w:kern w:val="0"/>
        </w:rPr>
        <w:t>financial incentives on professional practice</w:t>
      </w:r>
      <w:r w:rsidR="005853A9">
        <w:rPr>
          <w:kern w:val="0"/>
        </w:rPr>
        <w:t xml:space="preserve"> and </w:t>
      </w:r>
      <w:r>
        <w:rPr>
          <w:kern w:val="0"/>
        </w:rPr>
        <w:t>patient outcomes,</w:t>
      </w:r>
      <w:r w:rsidR="005853A9">
        <w:rPr>
          <w:kern w:val="0"/>
        </w:rPr>
        <w:t xml:space="preserve"> and </w:t>
      </w:r>
      <w:r>
        <w:rPr>
          <w:kern w:val="0"/>
        </w:rPr>
        <w:t>that reported numerical results</w:t>
      </w:r>
      <w:r w:rsidR="00427468">
        <w:rPr>
          <w:kern w:val="0"/>
        </w:rPr>
        <w:t xml:space="preserve"> of </w:t>
      </w:r>
      <w:r>
        <w:rPr>
          <w:kern w:val="0"/>
        </w:rPr>
        <w:t>the included individual studies. Two review authors independently extracted data</w:t>
      </w:r>
      <w:r w:rsidR="005853A9">
        <w:rPr>
          <w:kern w:val="0"/>
        </w:rPr>
        <w:t xml:space="preserve"> and </w:t>
      </w:r>
      <w:r>
        <w:rPr>
          <w:kern w:val="0"/>
        </w:rPr>
        <w:t>assessed the methodological quality</w:t>
      </w:r>
      <w:r w:rsidR="00427468">
        <w:rPr>
          <w:kern w:val="0"/>
        </w:rPr>
        <w:t xml:space="preserve"> of </w:t>
      </w:r>
      <w:r>
        <w:rPr>
          <w:kern w:val="0"/>
        </w:rPr>
        <w:t>each review according to the AMSTAR criteria. We included systematic reviews</w:t>
      </w:r>
      <w:r w:rsidR="00427468">
        <w:rPr>
          <w:kern w:val="0"/>
        </w:rPr>
        <w:t xml:space="preserve"> of </w:t>
      </w:r>
      <w:r>
        <w:rPr>
          <w:kern w:val="0"/>
        </w:rPr>
        <w:t>studies evaluating the effectiveness</w:t>
      </w:r>
      <w:r w:rsidR="00427468">
        <w:rPr>
          <w:kern w:val="0"/>
        </w:rPr>
        <w:t xml:space="preserve"> of </w:t>
      </w:r>
      <w:r>
        <w:rPr>
          <w:kern w:val="0"/>
        </w:rPr>
        <w:t>any type</w:t>
      </w:r>
      <w:r w:rsidR="00427468">
        <w:rPr>
          <w:kern w:val="0"/>
        </w:rPr>
        <w:t xml:space="preserve"> of </w:t>
      </w:r>
      <w:r>
        <w:rPr>
          <w:kern w:val="0"/>
        </w:rPr>
        <w:t>financial incentive. We grouped financial incentives into five groups: payment for working for a specified time period; payment for each service, episode or visit; payment for providing care for a patient or specific population; payment for providing a pre-specified level or providing a change in activity or quality</w:t>
      </w:r>
      <w:r w:rsidR="00427468">
        <w:rPr>
          <w:kern w:val="0"/>
        </w:rPr>
        <w:t xml:space="preserve"> of </w:t>
      </w:r>
      <w:r>
        <w:rPr>
          <w:kern w:val="0"/>
        </w:rPr>
        <w:t>care;</w:t>
      </w:r>
      <w:r w:rsidR="005853A9">
        <w:rPr>
          <w:kern w:val="0"/>
        </w:rPr>
        <w:t xml:space="preserve"> and </w:t>
      </w:r>
      <w:r>
        <w:rPr>
          <w:kern w:val="0"/>
        </w:rPr>
        <w:t>mixed or other systems. We summarised data using vote counting. Mainresults We identified four reviews reporting on 32 studies. Two reviews scored 7 on the AMSTAR criteria (moderate, score 5 to 7, quality)</w:t>
      </w:r>
      <w:r w:rsidR="005853A9">
        <w:rPr>
          <w:kern w:val="0"/>
        </w:rPr>
        <w:t xml:space="preserve"> and </w:t>
      </w:r>
      <w:r>
        <w:rPr>
          <w:kern w:val="0"/>
        </w:rPr>
        <w:t>two scored 9 (high, score 8 to 11, quality)</w:t>
      </w:r>
      <w:r w:rsidR="00A37C1D">
        <w:rPr>
          <w:kern w:val="0"/>
        </w:rPr>
        <w:t>. The</w:t>
      </w:r>
      <w:r>
        <w:rPr>
          <w:kern w:val="0"/>
        </w:rPr>
        <w:t xml:space="preserve"> reported quality</w:t>
      </w:r>
      <w:r w:rsidR="00427468">
        <w:rPr>
          <w:kern w:val="0"/>
        </w:rPr>
        <w:t xml:space="preserve"> of </w:t>
      </w:r>
      <w:r>
        <w:rPr>
          <w:kern w:val="0"/>
        </w:rPr>
        <w:t>the included studies was, by a variety</w:t>
      </w:r>
      <w:r w:rsidR="00427468">
        <w:rPr>
          <w:kern w:val="0"/>
        </w:rPr>
        <w:t xml:space="preserve"> of </w:t>
      </w:r>
      <w:r>
        <w:rPr>
          <w:kern w:val="0"/>
        </w:rPr>
        <w:t>methods, low to moderate. Payment for working for a specified time period was generally ineffective, improving 3/11 outcomes from one study reported in one review. Payment for each service, episode or visit was generally effective, improving 7/10 outcomes from five studies reported in three reviews; payment for providing care for a patient or specific population was generally effective, improving 48/69 outcomes from 13 studies reported in two reviews; payment for providing a pre-specified level or providing a change in activity or quality</w:t>
      </w:r>
      <w:r w:rsidR="00427468">
        <w:rPr>
          <w:kern w:val="0"/>
        </w:rPr>
        <w:t xml:space="preserve"> of </w:t>
      </w:r>
      <w:r>
        <w:rPr>
          <w:kern w:val="0"/>
        </w:rPr>
        <w:t>care was generally effective, improving 17/20 reported outcomes from 10 studies reported in two reviews;</w:t>
      </w:r>
      <w:r w:rsidR="005853A9">
        <w:rPr>
          <w:kern w:val="0"/>
        </w:rPr>
        <w:t xml:space="preserve"> and </w:t>
      </w:r>
      <w:r>
        <w:rPr>
          <w:kern w:val="0"/>
        </w:rPr>
        <w:t>mixed</w:t>
      </w:r>
      <w:r w:rsidR="005853A9">
        <w:rPr>
          <w:kern w:val="0"/>
        </w:rPr>
        <w:t xml:space="preserve"> and </w:t>
      </w:r>
      <w:r>
        <w:rPr>
          <w:kern w:val="0"/>
        </w:rPr>
        <w:t>other systems were</w:t>
      </w:r>
      <w:r w:rsidR="00427468">
        <w:rPr>
          <w:kern w:val="0"/>
        </w:rPr>
        <w:t xml:space="preserve"> of </w:t>
      </w:r>
      <w:r>
        <w:rPr>
          <w:kern w:val="0"/>
        </w:rPr>
        <w:t>mixed effectiveness, improving 20/31 reported outcomes from seven studies reported in three reviews. When looking at the effect</w:t>
      </w:r>
      <w:r w:rsidR="00427468">
        <w:rPr>
          <w:kern w:val="0"/>
        </w:rPr>
        <w:t xml:space="preserve"> of </w:t>
      </w:r>
      <w:r>
        <w:rPr>
          <w:kern w:val="0"/>
        </w:rPr>
        <w:t>financial incentives overall across categories</w:t>
      </w:r>
      <w:r w:rsidR="00427468">
        <w:rPr>
          <w:kern w:val="0"/>
        </w:rPr>
        <w:t xml:space="preserve"> of </w:t>
      </w:r>
      <w:r>
        <w:rPr>
          <w:kern w:val="0"/>
        </w:rPr>
        <w:t>outcomes, they were</w:t>
      </w:r>
      <w:r w:rsidR="00427468">
        <w:rPr>
          <w:kern w:val="0"/>
        </w:rPr>
        <w:t xml:space="preserve"> of </w:t>
      </w:r>
      <w:r>
        <w:rPr>
          <w:kern w:val="0"/>
        </w:rPr>
        <w:t xml:space="preserve">mixed effectiveness on consultation or visit rates (improving 10/17 outcomes from three studies in two reviews); generally </w:t>
      </w:r>
      <w:r>
        <w:rPr>
          <w:kern w:val="0"/>
        </w:rPr>
        <w:lastRenderedPageBreak/>
        <w:t>effective in improving processes</w:t>
      </w:r>
      <w:r w:rsidR="00427468">
        <w:rPr>
          <w:kern w:val="0"/>
        </w:rPr>
        <w:t xml:space="preserve"> of </w:t>
      </w:r>
      <w:r>
        <w:rPr>
          <w:kern w:val="0"/>
        </w:rPr>
        <w:t>care (improving 41/57 outcomes from 19 studies in three reviews); generally effective in improving referrals</w:t>
      </w:r>
      <w:r w:rsidR="005853A9">
        <w:rPr>
          <w:kern w:val="0"/>
        </w:rPr>
        <w:t xml:space="preserve"> and </w:t>
      </w:r>
      <w:r>
        <w:rPr>
          <w:kern w:val="0"/>
        </w:rPr>
        <w:t>admissions (improving 11/16 outcomes from 11 studies in four reviews); generally ineffective in improving compliance with guidelines outcomes (improving 5/17 outcomes from five studies in two reviews);</w:t>
      </w:r>
      <w:r w:rsidR="005853A9">
        <w:rPr>
          <w:kern w:val="0"/>
        </w:rPr>
        <w:t xml:space="preserve"> and </w:t>
      </w:r>
      <w:r>
        <w:rPr>
          <w:kern w:val="0"/>
        </w:rPr>
        <w:t>generally effective in improving prescribing costs outcomes (improving 28/34 outcomes from 10 studies in one review). Authors</w:t>
      </w:r>
      <w:r w:rsidR="0071223E">
        <w:rPr>
          <w:kern w:val="0"/>
        </w:rPr>
        <w:t>’</w:t>
      </w:r>
      <w:r>
        <w:rPr>
          <w:kern w:val="0"/>
        </w:rPr>
        <w:t xml:space="preserve"> conclusions Financial incentives may be effective in changing healthcare professional practice</w:t>
      </w:r>
      <w:r w:rsidR="00A37C1D">
        <w:rPr>
          <w:kern w:val="0"/>
        </w:rPr>
        <w:t>. The</w:t>
      </w:r>
      <w:r>
        <w:rPr>
          <w:kern w:val="0"/>
        </w:rPr>
        <w:t xml:space="preserve"> evidence has serious methodological limitations</w:t>
      </w:r>
      <w:r w:rsidR="005853A9">
        <w:rPr>
          <w:kern w:val="0"/>
        </w:rPr>
        <w:t xml:space="preserve"> and </w:t>
      </w:r>
      <w:r>
        <w:rPr>
          <w:kern w:val="0"/>
        </w:rPr>
        <w:t>is also very limited in its completeness</w:t>
      </w:r>
      <w:r w:rsidR="005853A9">
        <w:rPr>
          <w:kern w:val="0"/>
        </w:rPr>
        <w:t xml:space="preserve"> and </w:t>
      </w:r>
      <w:r>
        <w:rPr>
          <w:kern w:val="0"/>
        </w:rPr>
        <w:t>generalisability. We found no evidence from reviews that examined the effect</w:t>
      </w:r>
      <w:r w:rsidR="00427468">
        <w:rPr>
          <w:kern w:val="0"/>
        </w:rPr>
        <w:t xml:space="preserve"> of </w:t>
      </w:r>
      <w:r>
        <w:rPr>
          <w:kern w:val="0"/>
        </w:rPr>
        <w:t>financial incentives on patient outcomes.</w:t>
      </w:r>
    </w:p>
    <w:p w:rsidR="00365DE4" w:rsidRDefault="00365DE4" w:rsidP="00365DE4">
      <w:pPr>
        <w:pStyle w:val="a3"/>
        <w:rPr>
          <w:kern w:val="0"/>
        </w:rPr>
      </w:pPr>
      <w:r>
        <w:rPr>
          <w:kern w:val="0"/>
        </w:rPr>
        <w:t>Keywords: Authors, Citation, Clinical Trials, Compliance, Costs, Delivery</w:t>
      </w:r>
      <w:r w:rsidR="00427468">
        <w:rPr>
          <w:kern w:val="0"/>
        </w:rPr>
        <w:t xml:space="preserve"> of </w:t>
      </w:r>
      <w:r>
        <w:rPr>
          <w:kern w:val="0"/>
        </w:rPr>
        <w:t xml:space="preserve">Health Care, Effectiveness, Embase, Fundholders, General-Practice, Health Care, Immunization Rates, Impact, Incentives, Medicaid Managed Care, </w:t>
      </w:r>
      <w:r w:rsidR="00D5664A">
        <w:rPr>
          <w:kern w:val="0"/>
        </w:rPr>
        <w:t>MEDLINE</w:t>
      </w:r>
      <w:r>
        <w:rPr>
          <w:kern w:val="0"/>
        </w:rPr>
        <w:t>, Outcomes, Overview, Papers, Pay-For-Performance, Physician Reimbursement, Prescribing Patterns, Preventive Care, Professional, Quality-of-Care, Review, Science, Science Citation Index, Systematic Reviews</w:t>
      </w:r>
    </w:p>
    <w:p w:rsidR="00365DE4" w:rsidRDefault="00365DE4" w:rsidP="00365DE4">
      <w:pPr>
        <w:pStyle w:val="a3"/>
        <w:rPr>
          <w:kern w:val="0"/>
        </w:rPr>
      </w:pPr>
      <w:r>
        <w:rPr>
          <w:kern w:val="0"/>
        </w:rPr>
        <w:t>? O</w:t>
      </w:r>
      <w:r w:rsidR="0071223E">
        <w:rPr>
          <w:kern w:val="0"/>
        </w:rPr>
        <w:t>’</w:t>
      </w:r>
      <w:r>
        <w:rPr>
          <w:kern w:val="0"/>
        </w:rPr>
        <w:t>Brien, K., Nixon, S., Tynan, A.M.</w:t>
      </w:r>
      <w:r w:rsidR="005853A9">
        <w:rPr>
          <w:kern w:val="0"/>
        </w:rPr>
        <w:t xml:space="preserve"> and </w:t>
      </w:r>
      <w:r>
        <w:rPr>
          <w:kern w:val="0"/>
        </w:rPr>
        <w:t xml:space="preserve">Glazier, R. (2010), Aerobic exercise interventions for adults living with HIV/AIDS.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CD001796.</w:t>
      </w:r>
    </w:p>
    <w:p w:rsidR="00365DE4" w:rsidRDefault="00365DE4" w:rsidP="00365DE4">
      <w:pPr>
        <w:pStyle w:val="a3"/>
        <w:rPr>
          <w:kern w:val="2"/>
        </w:rPr>
      </w:pPr>
      <w:r>
        <w:t xml:space="preserve">Full Text: </w:t>
      </w:r>
      <w:hyperlink r:id="rId610" w:history="1">
        <w:r>
          <w:rPr>
            <w:rStyle w:val="a5"/>
          </w:rPr>
          <w:t>2010\Coc Dat Sys Rev2010, CD001796.pdf</w:t>
        </w:r>
      </w:hyperlink>
    </w:p>
    <w:p w:rsidR="00365DE4" w:rsidRDefault="00365DE4" w:rsidP="00365DE4">
      <w:pPr>
        <w:pStyle w:val="a3"/>
        <w:rPr>
          <w:kern w:val="0"/>
        </w:rPr>
      </w:pPr>
      <w:r>
        <w:rPr>
          <w:kern w:val="0"/>
        </w:rPr>
        <w:t>Abstract: Background Access to combination antiretroviral therapy has turnedHIV into a chronic</w:t>
      </w:r>
      <w:r w:rsidR="005853A9">
        <w:rPr>
          <w:kern w:val="0"/>
        </w:rPr>
        <w:t xml:space="preserve"> and </w:t>
      </w:r>
      <w:r>
        <w:rPr>
          <w:kern w:val="0"/>
        </w:rPr>
        <w:t>manageable disease for many. This increased chronicity has been mirrored by increased prevalence</w:t>
      </w:r>
      <w:r w:rsidR="00427468">
        <w:rPr>
          <w:kern w:val="0"/>
        </w:rPr>
        <w:t xml:space="preserve"> of </w:t>
      </w:r>
      <w:r>
        <w:rPr>
          <w:kern w:val="0"/>
        </w:rPr>
        <w:t>health-related challenges experienced by people living with HIV (Rusch 2004). Exercise is a key strategy for people living with HIV</w:t>
      </w:r>
      <w:r w:rsidR="005853A9">
        <w:rPr>
          <w:kern w:val="0"/>
        </w:rPr>
        <w:t xml:space="preserve"> and </w:t>
      </w:r>
      <w:r>
        <w:rPr>
          <w:kern w:val="0"/>
        </w:rPr>
        <w:t>by rehabilitation professionals to address these disablements; however, knowledge about the effects</w:t>
      </w:r>
      <w:r w:rsidR="00427468">
        <w:rPr>
          <w:kern w:val="0"/>
        </w:rPr>
        <w:t xml:space="preserve"> of </w:t>
      </w:r>
      <w:r>
        <w:rPr>
          <w:kern w:val="0"/>
        </w:rPr>
        <w:t>exercise among adults living with HIV still is emerging. Objectives To examine the safety</w:t>
      </w:r>
      <w:r w:rsidR="005853A9">
        <w:rPr>
          <w:kern w:val="0"/>
        </w:rPr>
        <w:t xml:space="preserve"> and </w:t>
      </w:r>
      <w:r>
        <w:rPr>
          <w:kern w:val="0"/>
        </w:rPr>
        <w:t>effectiveness</w:t>
      </w:r>
      <w:r w:rsidR="00427468">
        <w:rPr>
          <w:kern w:val="0"/>
        </w:rPr>
        <w:t xml:space="preserve"> of </w:t>
      </w:r>
      <w:r>
        <w:rPr>
          <w:kern w:val="0"/>
        </w:rPr>
        <w:t>aerobic exercise interventions on immunologic</w:t>
      </w:r>
      <w:r w:rsidR="005853A9">
        <w:rPr>
          <w:kern w:val="0"/>
        </w:rPr>
        <w:t xml:space="preserve"> and </w:t>
      </w:r>
      <w:r>
        <w:rPr>
          <w:kern w:val="0"/>
        </w:rPr>
        <w:t>virologic, cardiopulmonary, psychologic outcomes</w:t>
      </w:r>
      <w:r w:rsidR="005853A9">
        <w:rPr>
          <w:kern w:val="0"/>
        </w:rPr>
        <w:t xml:space="preserve"> and </w:t>
      </w:r>
      <w:r>
        <w:rPr>
          <w:kern w:val="0"/>
        </w:rPr>
        <w:t>strength, weight,</w:t>
      </w:r>
      <w:r w:rsidR="005853A9">
        <w:rPr>
          <w:kern w:val="0"/>
        </w:rPr>
        <w:t xml:space="preserve"> and </w:t>
      </w:r>
      <w:r>
        <w:rPr>
          <w:kern w:val="0"/>
        </w:rPr>
        <w:t>body composition in adults living with HIV. Search strategy Searches</w:t>
      </w:r>
      <w:r w:rsidR="00427468">
        <w:rPr>
          <w:kern w:val="0"/>
        </w:rPr>
        <w:t xml:space="preserve"> of </w:t>
      </w:r>
      <w:r w:rsidR="00D5664A">
        <w:rPr>
          <w:kern w:val="0"/>
        </w:rPr>
        <w:t>MEDLINE</w:t>
      </w:r>
      <w:r>
        <w:rPr>
          <w:kern w:val="0"/>
        </w:rPr>
        <w:t>, EMBASE, SCIENCE CITATION INDEX, CINAHL, HEALTHSTAR, PsycINFO, SPORTDISCUS</w:t>
      </w:r>
      <w:r w:rsidR="005853A9">
        <w:rPr>
          <w:kern w:val="0"/>
        </w:rPr>
        <w:t xml:space="preserve"> and </w:t>
      </w:r>
      <w:r>
        <w:rPr>
          <w:kern w:val="0"/>
        </w:rPr>
        <w:t>Cochrane Review Group Databases were conducted between 1980</w:t>
      </w:r>
      <w:r w:rsidR="005853A9">
        <w:rPr>
          <w:kern w:val="0"/>
        </w:rPr>
        <w:t xml:space="preserve"> and </w:t>
      </w:r>
      <w:r>
        <w:rPr>
          <w:kern w:val="0"/>
        </w:rPr>
        <w:t>June 2009. Searches</w:t>
      </w:r>
      <w:r w:rsidR="00427468">
        <w:rPr>
          <w:kern w:val="0"/>
        </w:rPr>
        <w:t xml:space="preserve"> of </w:t>
      </w:r>
      <w:r>
        <w:rPr>
          <w:kern w:val="0"/>
        </w:rPr>
        <w:t>published</w:t>
      </w:r>
      <w:r w:rsidR="005853A9">
        <w:rPr>
          <w:kern w:val="0"/>
        </w:rPr>
        <w:t xml:space="preserve"> and </w:t>
      </w:r>
      <w:r>
        <w:rPr>
          <w:kern w:val="0"/>
        </w:rPr>
        <w:t>unpublished abstracts</w:t>
      </w:r>
      <w:r w:rsidR="005853A9">
        <w:rPr>
          <w:kern w:val="0"/>
        </w:rPr>
        <w:t xml:space="preserve"> and </w:t>
      </w:r>
      <w:r>
        <w:rPr>
          <w:kern w:val="0"/>
        </w:rPr>
        <w:t>proceedings from major international</w:t>
      </w:r>
      <w:r w:rsidR="005853A9">
        <w:rPr>
          <w:kern w:val="0"/>
        </w:rPr>
        <w:t xml:space="preserve"> and </w:t>
      </w:r>
      <w:r>
        <w:rPr>
          <w:kern w:val="0"/>
        </w:rPr>
        <w:t>national HIV/AIDS conferences were conducted, as well as a handsearch</w:t>
      </w:r>
      <w:r w:rsidR="00427468">
        <w:rPr>
          <w:kern w:val="0"/>
        </w:rPr>
        <w:t xml:space="preserve"> of </w:t>
      </w:r>
      <w:r>
        <w:rPr>
          <w:kern w:val="0"/>
        </w:rPr>
        <w:t>reference lists</w:t>
      </w:r>
      <w:r w:rsidR="005853A9">
        <w:rPr>
          <w:kern w:val="0"/>
        </w:rPr>
        <w:t xml:space="preserve"> and </w:t>
      </w:r>
      <w:r>
        <w:rPr>
          <w:kern w:val="0"/>
        </w:rPr>
        <w:t>tables</w:t>
      </w:r>
      <w:r w:rsidR="00427468">
        <w:rPr>
          <w:kern w:val="0"/>
        </w:rPr>
        <w:t xml:space="preserve"> of </w:t>
      </w:r>
      <w:r>
        <w:rPr>
          <w:kern w:val="0"/>
        </w:rPr>
        <w:t>contents</w:t>
      </w:r>
      <w:r w:rsidR="00427468">
        <w:rPr>
          <w:kern w:val="0"/>
        </w:rPr>
        <w:t xml:space="preserve"> of </w:t>
      </w:r>
      <w:r>
        <w:rPr>
          <w:kern w:val="0"/>
        </w:rPr>
        <w:t>relevant journals</w:t>
      </w:r>
      <w:r w:rsidR="005853A9">
        <w:rPr>
          <w:kern w:val="0"/>
        </w:rPr>
        <w:t xml:space="preserve"> and </w:t>
      </w:r>
      <w:r>
        <w:rPr>
          <w:kern w:val="0"/>
        </w:rPr>
        <w:t>books. Selection criteria We included studies</w:t>
      </w:r>
      <w:r w:rsidR="00427468">
        <w:rPr>
          <w:kern w:val="0"/>
        </w:rPr>
        <w:t xml:space="preserve"> of </w:t>
      </w:r>
      <w:r>
        <w:rPr>
          <w:kern w:val="0"/>
        </w:rPr>
        <w:t>randomised controlled trials (RCTs) comparing aerobic exercise interventions with no aerobic exercise interventions or another exercise or treatment modality, performed at least three times per week for at least four weeks among adults (18 years</w:t>
      </w:r>
      <w:r w:rsidR="00427468">
        <w:rPr>
          <w:kern w:val="0"/>
        </w:rPr>
        <w:t xml:space="preserve"> of </w:t>
      </w:r>
      <w:r>
        <w:rPr>
          <w:kern w:val="0"/>
        </w:rPr>
        <w:t>age or older) living with HIV. Data collection</w:t>
      </w:r>
      <w:r w:rsidR="005853A9">
        <w:rPr>
          <w:kern w:val="0"/>
        </w:rPr>
        <w:t xml:space="preserve"> and </w:t>
      </w:r>
      <w:r>
        <w:rPr>
          <w:kern w:val="0"/>
        </w:rPr>
        <w:t xml:space="preserve">analysis </w:t>
      </w:r>
      <w:r>
        <w:rPr>
          <w:kern w:val="0"/>
        </w:rPr>
        <w:lastRenderedPageBreak/>
        <w:t>Data on study design, participants, interventions, outcomes,</w:t>
      </w:r>
      <w:r w:rsidR="005853A9">
        <w:rPr>
          <w:kern w:val="0"/>
        </w:rPr>
        <w:t xml:space="preserve"> and </w:t>
      </w:r>
      <w:r>
        <w:rPr>
          <w:kern w:val="0"/>
        </w:rPr>
        <w:t>methodological quality were abstracted from included studies by two reviewers. Meta-analyses, using RevMan 5 computer software, were performed on outcomes when possible. Main results A total</w:t>
      </w:r>
      <w:r w:rsidR="00427468">
        <w:rPr>
          <w:kern w:val="0"/>
        </w:rPr>
        <w:t xml:space="preserve"> of </w:t>
      </w:r>
      <w:r>
        <w:rPr>
          <w:kern w:val="0"/>
        </w:rPr>
        <w:t>14 studies met inclusion criteria for this review</w:t>
      </w:r>
      <w:r w:rsidR="005853A9">
        <w:rPr>
          <w:kern w:val="0"/>
        </w:rPr>
        <w:t xml:space="preserve"> and </w:t>
      </w:r>
      <w:r>
        <w:rPr>
          <w:kern w:val="0"/>
        </w:rPr>
        <w:t>30 meta-analyses over several updates were performed. Main results indicated that performing constant or interval aerobic exercise, or a combination</w:t>
      </w:r>
      <w:r w:rsidR="00427468">
        <w:rPr>
          <w:kern w:val="0"/>
        </w:rPr>
        <w:t xml:space="preserve"> of </w:t>
      </w:r>
      <w:r>
        <w:rPr>
          <w:kern w:val="0"/>
        </w:rPr>
        <w:t>constant aerobic exercise</w:t>
      </w:r>
      <w:r w:rsidR="005853A9">
        <w:rPr>
          <w:kern w:val="0"/>
        </w:rPr>
        <w:t xml:space="preserve"> and </w:t>
      </w:r>
      <w:r>
        <w:rPr>
          <w:kern w:val="0"/>
        </w:rPr>
        <w:t>progressive resistive exercise for at least 20 minutes at least three times per week for at least five weeks appears to be safe</w:t>
      </w:r>
      <w:r w:rsidR="005853A9">
        <w:rPr>
          <w:kern w:val="0"/>
        </w:rPr>
        <w:t xml:space="preserve"> and </w:t>
      </w:r>
      <w:r>
        <w:rPr>
          <w:kern w:val="0"/>
        </w:rPr>
        <w:t>may lead to significant improvements in selected outcomes</w:t>
      </w:r>
      <w:r w:rsidR="00427468">
        <w:rPr>
          <w:kern w:val="0"/>
        </w:rPr>
        <w:t xml:space="preserve"> of </w:t>
      </w:r>
      <w:r>
        <w:rPr>
          <w:kern w:val="0"/>
        </w:rPr>
        <w:t>cardiopulmonary fitness (maximum oxygen consumption), body composition (leg muscle area, percent body fat),</w:t>
      </w:r>
      <w:r w:rsidR="005853A9">
        <w:rPr>
          <w:kern w:val="0"/>
        </w:rPr>
        <w:t xml:space="preserve"> and </w:t>
      </w:r>
      <w:r>
        <w:rPr>
          <w:kern w:val="0"/>
        </w:rPr>
        <w:t>psychological status (depression-dejection symptoms)</w:t>
      </w:r>
      <w:r w:rsidR="00A37C1D">
        <w:rPr>
          <w:kern w:val="0"/>
        </w:rPr>
        <w:t>. The</w:t>
      </w:r>
      <w:r>
        <w:rPr>
          <w:kern w:val="0"/>
        </w:rPr>
        <w:t>se findings are limited to participants who continued to exercise</w:t>
      </w:r>
      <w:r w:rsidR="005853A9">
        <w:rPr>
          <w:kern w:val="0"/>
        </w:rPr>
        <w:t xml:space="preserve"> and </w:t>
      </w:r>
      <w:r>
        <w:rPr>
          <w:kern w:val="0"/>
        </w:rPr>
        <w:t>for whom there were adequate follow-up data. Authors</w:t>
      </w:r>
      <w:r w:rsidR="0071223E">
        <w:rPr>
          <w:kern w:val="0"/>
        </w:rPr>
        <w:t>’</w:t>
      </w:r>
      <w:r>
        <w:rPr>
          <w:kern w:val="0"/>
        </w:rPr>
        <w:t xml:space="preserve"> conclusions Aerobic exercise appears to be safe</w:t>
      </w:r>
      <w:r w:rsidR="005853A9">
        <w:rPr>
          <w:kern w:val="0"/>
        </w:rPr>
        <w:t xml:space="preserve"> and </w:t>
      </w:r>
      <w:r>
        <w:rPr>
          <w:kern w:val="0"/>
        </w:rPr>
        <w:t>may be beneficial for adults living with HIV</w:t>
      </w:r>
      <w:r w:rsidR="00A37C1D">
        <w:rPr>
          <w:kern w:val="0"/>
        </w:rPr>
        <w:t>. The</w:t>
      </w:r>
      <w:r>
        <w:rPr>
          <w:kern w:val="0"/>
        </w:rPr>
        <w:t>se findings are limited by the small sample sizes</w:t>
      </w:r>
      <w:r w:rsidR="005853A9">
        <w:rPr>
          <w:kern w:val="0"/>
        </w:rPr>
        <w:t xml:space="preserve"> and </w:t>
      </w:r>
      <w:r>
        <w:rPr>
          <w:kern w:val="0"/>
        </w:rPr>
        <w:t>large withdrawal rates described in the studies. Future research would benefit from participant follow-up</w:t>
      </w:r>
      <w:r w:rsidR="005853A9">
        <w:rPr>
          <w:kern w:val="0"/>
        </w:rPr>
        <w:t xml:space="preserve"> and </w:t>
      </w:r>
      <w:r>
        <w:rPr>
          <w:kern w:val="0"/>
        </w:rPr>
        <w:t>intention-totreat analysis. Further research is required to determine the optimal parameters in which aerobic exercise may be most beneficial for adults living with HIV.</w:t>
      </w:r>
    </w:p>
    <w:p w:rsidR="00365DE4" w:rsidRDefault="00365DE4" w:rsidP="00365DE4">
      <w:pPr>
        <w:pStyle w:val="a3"/>
        <w:rPr>
          <w:kern w:val="0"/>
        </w:rPr>
      </w:pPr>
      <w:r>
        <w:rPr>
          <w:kern w:val="0"/>
        </w:rPr>
        <w:t>Keywords: *Exercise, *Rehabilitation], Active Antiretroviral Therapy, Adult, Body-Composition, Cardiovascular Physiological Phenomena, CD4 Lymphocyte Count, Citation, Citation Indexes, Clinical-Trial, Fat Redistribution, Female, HIV Infections [Physiopathology, HIV-Infected Patients, Human-Immunodeficiency-Virus, Humans, Index, Lead, Male, Metabolic Indexes, Psychology, Quality-of-Life, Randomized Controlled Trials as Topic, Randomized-Trial, Research, Resistance Exercise, Respiratory Physiological Phenomena, Review, Science, Science-Citation-Index, Time Factors</w:t>
      </w:r>
    </w:p>
    <w:p w:rsidR="00365DE4" w:rsidRDefault="00365DE4" w:rsidP="00365DE4">
      <w:pPr>
        <w:pStyle w:val="a3"/>
        <w:rPr>
          <w:kern w:val="0"/>
        </w:rPr>
      </w:pPr>
      <w:r>
        <w:rPr>
          <w:kern w:val="0"/>
        </w:rPr>
        <w:t>? Inglis, S.C., Clark, R.A., McAlister, F.A., Ball, J., Lewinter, C., Cullington, D., Stewart, S.</w:t>
      </w:r>
      <w:r w:rsidR="005853A9">
        <w:rPr>
          <w:kern w:val="0"/>
        </w:rPr>
        <w:t xml:space="preserve"> and </w:t>
      </w:r>
      <w:r>
        <w:rPr>
          <w:kern w:val="0"/>
        </w:rPr>
        <w:t xml:space="preserve">Cleland, J.G.F. (2010), Structured telephone support or telemonitoring programmes for patients with chronic heart failure.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CD007228.</w:t>
      </w:r>
    </w:p>
    <w:p w:rsidR="00365DE4" w:rsidRDefault="00365DE4" w:rsidP="00365DE4">
      <w:pPr>
        <w:pStyle w:val="a3"/>
        <w:rPr>
          <w:kern w:val="2"/>
        </w:rPr>
      </w:pPr>
      <w:r>
        <w:t xml:space="preserve">Full Text: </w:t>
      </w:r>
      <w:hyperlink r:id="rId611" w:history="1">
        <w:r>
          <w:rPr>
            <w:rStyle w:val="a5"/>
          </w:rPr>
          <w:t>2010\Coc Dat Sys Rev2010, CD007228.pdf</w:t>
        </w:r>
      </w:hyperlink>
    </w:p>
    <w:p w:rsidR="00365DE4" w:rsidRDefault="00365DE4" w:rsidP="00365DE4">
      <w:pPr>
        <w:pStyle w:val="a3"/>
        <w:rPr>
          <w:kern w:val="0"/>
        </w:rPr>
      </w:pPr>
      <w:r>
        <w:rPr>
          <w:kern w:val="0"/>
        </w:rPr>
        <w:t>Abstract: Background Specialised disease management programmes for chronic heart failure (CHF) improve survival, quality</w:t>
      </w:r>
      <w:r w:rsidR="00427468">
        <w:rPr>
          <w:kern w:val="0"/>
        </w:rPr>
        <w:t xml:space="preserve"> of </w:t>
      </w:r>
      <w:r>
        <w:rPr>
          <w:kern w:val="0"/>
        </w:rPr>
        <w:t>life</w:t>
      </w:r>
      <w:r w:rsidR="005853A9">
        <w:rPr>
          <w:kern w:val="0"/>
        </w:rPr>
        <w:t xml:space="preserve"> and </w:t>
      </w:r>
      <w:r>
        <w:rPr>
          <w:kern w:val="0"/>
        </w:rPr>
        <w:t>reduce healthcare utilisation</w:t>
      </w:r>
      <w:r w:rsidR="00A37C1D">
        <w:rPr>
          <w:kern w:val="0"/>
        </w:rPr>
        <w:t>. The</w:t>
      </w:r>
      <w:r>
        <w:rPr>
          <w:kern w:val="0"/>
        </w:rPr>
        <w:t xml:space="preserve"> overall efficacy</w:t>
      </w:r>
      <w:r w:rsidR="00427468">
        <w:rPr>
          <w:kern w:val="0"/>
        </w:rPr>
        <w:t xml:space="preserve"> of </w:t>
      </w:r>
      <w:r>
        <w:rPr>
          <w:kern w:val="0"/>
        </w:rPr>
        <w:t>structured telephone support or telemonitoring as an individual component</w:t>
      </w:r>
      <w:r w:rsidR="00427468">
        <w:rPr>
          <w:kern w:val="0"/>
        </w:rPr>
        <w:t xml:space="preserve"> of </w:t>
      </w:r>
      <w:r>
        <w:rPr>
          <w:kern w:val="0"/>
        </w:rPr>
        <w:t>a CHF disease management strategy remains inconclusive. Objectives To review randomised controlled trials (RCTs)</w:t>
      </w:r>
      <w:r w:rsidR="00427468">
        <w:rPr>
          <w:kern w:val="0"/>
        </w:rPr>
        <w:t xml:space="preserve"> of </w:t>
      </w:r>
      <w:r>
        <w:rPr>
          <w:kern w:val="0"/>
        </w:rPr>
        <w:t>structured telephone support or telemonitoring compared to standard practice for patients with CHF in order to quantify the effects</w:t>
      </w:r>
      <w:r w:rsidR="00427468">
        <w:rPr>
          <w:kern w:val="0"/>
        </w:rPr>
        <w:t xml:space="preserve"> of </w:t>
      </w:r>
      <w:r>
        <w:rPr>
          <w:kern w:val="0"/>
        </w:rPr>
        <w:t>these interventions over</w:t>
      </w:r>
      <w:r w:rsidR="005853A9">
        <w:rPr>
          <w:kern w:val="0"/>
        </w:rPr>
        <w:t xml:space="preserve"> and </w:t>
      </w:r>
      <w:r>
        <w:rPr>
          <w:kern w:val="0"/>
        </w:rPr>
        <w:t>above usual care for these patients. Search strategy Databases (the Cochrane Central Register</w:t>
      </w:r>
      <w:r w:rsidR="00427468">
        <w:rPr>
          <w:kern w:val="0"/>
        </w:rPr>
        <w:t xml:space="preserve"> of </w:t>
      </w:r>
      <w:r>
        <w:rPr>
          <w:kern w:val="0"/>
        </w:rPr>
        <w:t xml:space="preserve">Controlled </w:t>
      </w:r>
      <w:r>
        <w:rPr>
          <w:kern w:val="0"/>
        </w:rPr>
        <w:lastRenderedPageBreak/>
        <w:t>Trials (CENTRAL),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Effects (DARE)</w:t>
      </w:r>
      <w:r w:rsidR="005853A9">
        <w:rPr>
          <w:kern w:val="0"/>
        </w:rPr>
        <w:t xml:space="preserve"> and </w:t>
      </w:r>
      <w:r>
        <w:rPr>
          <w:kern w:val="0"/>
        </w:rPr>
        <w:t xml:space="preserve">Health Technology Assessment Database (HTA) on The Cochrane Library, </w:t>
      </w:r>
      <w:r w:rsidR="00D5664A">
        <w:rPr>
          <w:kern w:val="0"/>
        </w:rPr>
        <w:t>MEDLINE</w:t>
      </w:r>
      <w:r>
        <w:rPr>
          <w:kern w:val="0"/>
        </w:rPr>
        <w:t>, EMBASE, CINAHL, AMED</w:t>
      </w:r>
      <w:r w:rsidR="005853A9">
        <w:rPr>
          <w:kern w:val="0"/>
        </w:rPr>
        <w:t xml:space="preserve"> and </w:t>
      </w:r>
      <w:r>
        <w:rPr>
          <w:kern w:val="0"/>
        </w:rPr>
        <w:t>Science Citation Index Expanded</w:t>
      </w:r>
      <w:r w:rsidR="005853A9">
        <w:rPr>
          <w:kern w:val="0"/>
        </w:rPr>
        <w:t xml:space="preserve"> and </w:t>
      </w:r>
      <w:r>
        <w:rPr>
          <w:kern w:val="0"/>
        </w:rPr>
        <w:t>Conference Citation Index on ISI Web</w:t>
      </w:r>
      <w:r w:rsidR="00427468">
        <w:rPr>
          <w:kern w:val="0"/>
        </w:rPr>
        <w:t xml:space="preserve"> of </w:t>
      </w:r>
      <w:r>
        <w:rPr>
          <w:kern w:val="0"/>
        </w:rPr>
        <w:t>Knowledge)</w:t>
      </w:r>
      <w:r w:rsidR="005853A9">
        <w:rPr>
          <w:kern w:val="0"/>
        </w:rPr>
        <w:t xml:space="preserve"> and </w:t>
      </w:r>
      <w:r>
        <w:rPr>
          <w:kern w:val="0"/>
        </w:rPr>
        <w:t>various search engines were searched from 2006 to November 2008 to update a previously published non-Cochrane review. Bibliographies</w:t>
      </w:r>
      <w:r w:rsidR="00427468">
        <w:rPr>
          <w:kern w:val="0"/>
        </w:rPr>
        <w:t xml:space="preserve"> of </w:t>
      </w:r>
      <w:r>
        <w:rPr>
          <w:kern w:val="0"/>
        </w:rPr>
        <w:t>relevant studies</w:t>
      </w:r>
      <w:r w:rsidR="005853A9">
        <w:rPr>
          <w:kern w:val="0"/>
        </w:rPr>
        <w:t xml:space="preserve"> and </w:t>
      </w:r>
      <w:r>
        <w:rPr>
          <w:kern w:val="0"/>
        </w:rPr>
        <w:t>systematic reviews</w:t>
      </w:r>
      <w:r w:rsidR="005853A9">
        <w:rPr>
          <w:kern w:val="0"/>
        </w:rPr>
        <w:t xml:space="preserve"> and </w:t>
      </w:r>
      <w:r>
        <w:rPr>
          <w:kern w:val="0"/>
        </w:rPr>
        <w:t>abstract conference proceedings were handsearched. No language limits were applied. Selection criteria Only peer reviewed, published RCTs comparing structured telephone support or telemonitoring to usual care</w:t>
      </w:r>
      <w:r w:rsidR="00427468">
        <w:rPr>
          <w:kern w:val="0"/>
        </w:rPr>
        <w:t xml:space="preserve"> of </w:t>
      </w:r>
      <w:r>
        <w:rPr>
          <w:kern w:val="0"/>
        </w:rPr>
        <w:t>CHF patients were included. Unpublished abstract data was included in sensitivity analyses</w:t>
      </w:r>
      <w:r w:rsidR="00A37C1D">
        <w:rPr>
          <w:kern w:val="0"/>
        </w:rPr>
        <w:t>. The</w:t>
      </w:r>
      <w:r>
        <w:rPr>
          <w:kern w:val="0"/>
        </w:rPr>
        <w:t xml:space="preserve"> intervention or usual care could not include a home visit or more than the usual (four to six weeks) clinic follow-up. Data collection</w:t>
      </w:r>
      <w:r w:rsidR="005853A9">
        <w:rPr>
          <w:kern w:val="0"/>
        </w:rPr>
        <w:t xml:space="preserve"> and </w:t>
      </w:r>
      <w:r>
        <w:rPr>
          <w:kern w:val="0"/>
        </w:rPr>
        <w:t>analysis Data were presented as risk ratio (RR) with 95% confidence intervals (CI). Primary outcomes included all-cause mortality, all-cause</w:t>
      </w:r>
      <w:r w:rsidR="005853A9">
        <w:rPr>
          <w:kern w:val="0"/>
        </w:rPr>
        <w:t xml:space="preserve"> and </w:t>
      </w:r>
      <w:r>
        <w:rPr>
          <w:kern w:val="0"/>
        </w:rPr>
        <w:t>CHF-related hospitalisations which were meta-analysed using fixed effectsmodels. Other outcomes included length</w:t>
      </w:r>
      <w:r w:rsidR="00427468">
        <w:rPr>
          <w:kern w:val="0"/>
        </w:rPr>
        <w:t xml:space="preserve"> of </w:t>
      </w:r>
      <w:r>
        <w:rPr>
          <w:kern w:val="0"/>
        </w:rPr>
        <w:t>stay, quality</w:t>
      </w:r>
      <w:r w:rsidR="00427468">
        <w:rPr>
          <w:kern w:val="0"/>
        </w:rPr>
        <w:t xml:space="preserve"> of </w:t>
      </w:r>
      <w:r>
        <w:rPr>
          <w:kern w:val="0"/>
        </w:rPr>
        <w:t>life, acceptability</w:t>
      </w:r>
      <w:r w:rsidR="005853A9">
        <w:rPr>
          <w:kern w:val="0"/>
        </w:rPr>
        <w:t xml:space="preserve"> and </w:t>
      </w:r>
      <w:r>
        <w:rPr>
          <w:kern w:val="0"/>
        </w:rPr>
        <w:t>cost</w:t>
      </w:r>
      <w:r w:rsidR="005853A9">
        <w:rPr>
          <w:kern w:val="0"/>
        </w:rPr>
        <w:t xml:space="preserve"> and </w:t>
      </w:r>
      <w:r>
        <w:rPr>
          <w:kern w:val="0"/>
        </w:rPr>
        <w:t>these were described</w:t>
      </w:r>
      <w:r w:rsidR="005853A9">
        <w:rPr>
          <w:kern w:val="0"/>
        </w:rPr>
        <w:t xml:space="preserve"> and </w:t>
      </w:r>
      <w:r>
        <w:rPr>
          <w:kern w:val="0"/>
        </w:rPr>
        <w:t>tabulated. Main results Twenty-five studies</w:t>
      </w:r>
      <w:r w:rsidR="005853A9">
        <w:rPr>
          <w:kern w:val="0"/>
        </w:rPr>
        <w:t xml:space="preserve"> and </w:t>
      </w:r>
      <w:r>
        <w:rPr>
          <w:kern w:val="0"/>
        </w:rPr>
        <w:t>five published abstracts were included.</w:t>
      </w:r>
      <w:r w:rsidR="00427468">
        <w:rPr>
          <w:kern w:val="0"/>
        </w:rPr>
        <w:t xml:space="preserve"> of </w:t>
      </w:r>
      <w:r>
        <w:rPr>
          <w:kern w:val="0"/>
        </w:rPr>
        <w:t>the 25 full peer-reviewed studies meta-analysed, 16 evaluated structured telephone support (5613 participants), 11 evaluated telemonitoring (2710 participants),</w:t>
      </w:r>
      <w:r w:rsidR="005853A9">
        <w:rPr>
          <w:kern w:val="0"/>
        </w:rPr>
        <w:t xml:space="preserve"> and </w:t>
      </w:r>
      <w:r>
        <w:rPr>
          <w:kern w:val="0"/>
        </w:rPr>
        <w:t>two tested both interventions (included in counts). Telemonitoring reduced all-cause mortality (RR 0.66, 95% CI 0.54 to 0.81, P &lt; 0.0001) with structured telephone support demonstrating a non-significant positive effect (RR 0.88, 95% CI 0.76 to 1.01, P = 0.08). Both structured telephone support (RR 0.77, 95% CI 0.68 to 0.87, P &lt; 0.0001)</w:t>
      </w:r>
      <w:r w:rsidR="005853A9">
        <w:rPr>
          <w:kern w:val="0"/>
        </w:rPr>
        <w:t xml:space="preserve"> and </w:t>
      </w:r>
      <w:r>
        <w:rPr>
          <w:kern w:val="0"/>
        </w:rPr>
        <w:t>telemonitoring (RR 0.79, 95% CI 0.67 to 0.94, P = 0.008) reduced CHF-related hospitalisations. For both interventions, several studies improved quality</w:t>
      </w:r>
      <w:r w:rsidR="00427468">
        <w:rPr>
          <w:kern w:val="0"/>
        </w:rPr>
        <w:t xml:space="preserve"> of </w:t>
      </w:r>
      <w:r>
        <w:rPr>
          <w:kern w:val="0"/>
        </w:rPr>
        <w:t>life, reduced healthcare costs</w:t>
      </w:r>
      <w:r w:rsidR="005853A9">
        <w:rPr>
          <w:kern w:val="0"/>
        </w:rPr>
        <w:t xml:space="preserve"> and </w:t>
      </w:r>
      <w:r>
        <w:rPr>
          <w:kern w:val="0"/>
        </w:rPr>
        <w:t>were acceptable to patients. Improvements in prescribing, patient knowledge</w:t>
      </w:r>
      <w:r w:rsidR="005853A9">
        <w:rPr>
          <w:kern w:val="0"/>
        </w:rPr>
        <w:t xml:space="preserve"> and </w:t>
      </w:r>
      <w:r>
        <w:rPr>
          <w:kern w:val="0"/>
        </w:rPr>
        <w:t>self-care,</w:t>
      </w:r>
      <w:r w:rsidR="005853A9">
        <w:rPr>
          <w:kern w:val="0"/>
        </w:rPr>
        <w:t xml:space="preserve"> and </w:t>
      </w:r>
      <w:r>
        <w:rPr>
          <w:kern w:val="0"/>
        </w:rPr>
        <w:t>New York Heart Association (NYHA) functional class were observed. Authors</w:t>
      </w:r>
      <w:r w:rsidR="0071223E">
        <w:rPr>
          <w:kern w:val="0"/>
        </w:rPr>
        <w:t>’</w:t>
      </w:r>
      <w:r>
        <w:rPr>
          <w:kern w:val="0"/>
        </w:rPr>
        <w:t xml:space="preserve"> conclusions Structured telephone support</w:t>
      </w:r>
      <w:r w:rsidR="005853A9">
        <w:rPr>
          <w:kern w:val="0"/>
        </w:rPr>
        <w:t xml:space="preserve"> and </w:t>
      </w:r>
      <w:r>
        <w:rPr>
          <w:kern w:val="0"/>
        </w:rPr>
        <w:t>telemonitoring are effective in reducing the risk</w:t>
      </w:r>
      <w:r w:rsidR="00427468">
        <w:rPr>
          <w:kern w:val="0"/>
        </w:rPr>
        <w:t xml:space="preserve"> of </w:t>
      </w:r>
      <w:r>
        <w:rPr>
          <w:kern w:val="0"/>
        </w:rPr>
        <w:t>all-cause mortality</w:t>
      </w:r>
      <w:r w:rsidR="005853A9">
        <w:rPr>
          <w:kern w:val="0"/>
        </w:rPr>
        <w:t xml:space="preserve"> and </w:t>
      </w:r>
      <w:r>
        <w:rPr>
          <w:kern w:val="0"/>
        </w:rPr>
        <w:t>CHF-related hospitalisations in patients with CHF; they improve quality</w:t>
      </w:r>
      <w:r w:rsidR="00427468">
        <w:rPr>
          <w:kern w:val="0"/>
        </w:rPr>
        <w:t xml:space="preserve"> of </w:t>
      </w:r>
      <w:r>
        <w:rPr>
          <w:kern w:val="0"/>
        </w:rPr>
        <w:t>life, reduce costs,</w:t>
      </w:r>
      <w:r w:rsidR="005853A9">
        <w:rPr>
          <w:kern w:val="0"/>
        </w:rPr>
        <w:t xml:space="preserve"> and </w:t>
      </w:r>
      <w:r>
        <w:rPr>
          <w:kern w:val="0"/>
        </w:rPr>
        <w:t>evidence-based prescribing.</w:t>
      </w:r>
    </w:p>
    <w:p w:rsidR="00365DE4" w:rsidRDefault="00365DE4" w:rsidP="00365DE4">
      <w:pPr>
        <w:pStyle w:val="a3"/>
        <w:rPr>
          <w:kern w:val="0"/>
        </w:rPr>
      </w:pPr>
      <w:r>
        <w:rPr>
          <w:kern w:val="0"/>
        </w:rPr>
        <w:t>Keywords: Citation, Disease-Management Program, Home Health-Care, Improves Clinical-Outcomes</w:t>
      </w:r>
      <w:r w:rsidR="00D5664A">
        <w:rPr>
          <w:kern w:val="0"/>
        </w:rPr>
        <w:t>, ISI,</w:t>
      </w:r>
      <w:r>
        <w:rPr>
          <w:kern w:val="0"/>
        </w:rPr>
        <w:t xml:space="preserve"> Long-Term Benefits, Preserved Ejection Fraction, Quality-of-Life, Randomized Controlled-Trial, Science, Science Citation Index, Self-Management, Span-Chf Trial, Technology, Trans-European Network, Web</w:t>
      </w:r>
    </w:p>
    <w:p w:rsidR="00365DE4" w:rsidRDefault="00365DE4" w:rsidP="00365DE4">
      <w:pPr>
        <w:pStyle w:val="a3"/>
        <w:rPr>
          <w:kern w:val="0"/>
        </w:rPr>
      </w:pPr>
      <w:r>
        <w:rPr>
          <w:kern w:val="0"/>
        </w:rPr>
        <w:t>? Khalifa, N., Duggan, C., Stoffers, J., Huband, N., Vollm, B.A., Ferriter, M.</w:t>
      </w:r>
      <w:r w:rsidR="005853A9">
        <w:rPr>
          <w:kern w:val="0"/>
        </w:rPr>
        <w:t xml:space="preserve"> and </w:t>
      </w:r>
      <w:r>
        <w:rPr>
          <w:kern w:val="0"/>
        </w:rPr>
        <w:t xml:space="preserve">Lieb, K. (2010), Pharmacological interventions for antisocial personality disorder.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CD007667.</w:t>
      </w:r>
    </w:p>
    <w:p w:rsidR="00365DE4" w:rsidRDefault="00365DE4" w:rsidP="00365DE4">
      <w:pPr>
        <w:pStyle w:val="a3"/>
        <w:rPr>
          <w:kern w:val="2"/>
        </w:rPr>
      </w:pPr>
      <w:r>
        <w:t xml:space="preserve">Full Text: </w:t>
      </w:r>
      <w:hyperlink r:id="rId612" w:history="1">
        <w:r>
          <w:rPr>
            <w:rStyle w:val="a5"/>
          </w:rPr>
          <w:t>2010\Coc Dat Sys Rev2010, CD007667.pdf</w:t>
        </w:r>
      </w:hyperlink>
    </w:p>
    <w:p w:rsidR="00365DE4" w:rsidRDefault="00365DE4" w:rsidP="00365DE4">
      <w:pPr>
        <w:pStyle w:val="a3"/>
        <w:rPr>
          <w:kern w:val="0"/>
        </w:rPr>
      </w:pPr>
      <w:r>
        <w:rPr>
          <w:kern w:val="0"/>
        </w:rPr>
        <w:lastRenderedPageBreak/>
        <w:t>Abstract: Background Antisocial personality disorder (AsPD) is associated with a wide range</w:t>
      </w:r>
      <w:r w:rsidR="00427468">
        <w:rPr>
          <w:kern w:val="0"/>
        </w:rPr>
        <w:t xml:space="preserve"> of </w:t>
      </w:r>
      <w:r>
        <w:rPr>
          <w:kern w:val="0"/>
        </w:rPr>
        <w:t>disturbance including persistent rule-breaking, criminality, substance misuse, unemployment, homelessness</w:t>
      </w:r>
      <w:r w:rsidR="005853A9">
        <w:rPr>
          <w:kern w:val="0"/>
        </w:rPr>
        <w:t xml:space="preserve"> and </w:t>
      </w:r>
      <w:r>
        <w:rPr>
          <w:kern w:val="0"/>
        </w:rPr>
        <w:t>relationship difficulties. Objectives To evaluate the potential beneficial</w:t>
      </w:r>
      <w:r w:rsidR="005853A9">
        <w:rPr>
          <w:kern w:val="0"/>
        </w:rPr>
        <w:t xml:space="preserve"> and </w:t>
      </w:r>
      <w:r>
        <w:rPr>
          <w:kern w:val="0"/>
        </w:rPr>
        <w:t>adverse effects</w:t>
      </w:r>
      <w:r w:rsidR="00427468">
        <w:rPr>
          <w:kern w:val="0"/>
        </w:rPr>
        <w:t xml:space="preserve"> of </w:t>
      </w:r>
      <w:r>
        <w:rPr>
          <w:kern w:val="0"/>
        </w:rPr>
        <w:t>pharmacological interventions for people with AsPD. Search strategy We searched the Cochrane Central Register</w:t>
      </w:r>
      <w:r w:rsidR="00427468">
        <w:rPr>
          <w:kern w:val="0"/>
        </w:rPr>
        <w:t xml:space="preserve"> of </w:t>
      </w:r>
      <w:r>
        <w:rPr>
          <w:kern w:val="0"/>
        </w:rPr>
        <w:t xml:space="preserve">Controlled Trials (The Cochrane Library 2009, Issue 3), </w:t>
      </w:r>
      <w:r w:rsidR="00D5664A">
        <w:rPr>
          <w:kern w:val="0"/>
        </w:rPr>
        <w:t>MEDLINE</w:t>
      </w:r>
      <w:r>
        <w:rPr>
          <w:kern w:val="0"/>
        </w:rPr>
        <w:t xml:space="preserve"> (1950 to September 2009), EMBASE (1980 to 2009, week 37), CINAHL (1982 to September 2009), PsycINFO (1872 to September 2009), ASSIA (1987 to September 2009), BIOSIS (1985 to September 2009), COPAC (September 2009), National Criminal Justice Reference Service Abstracts (1970 to July 2008), Sociological Abstracts (1963 to September 2009), ISI-Proceedings (1981 to September 2009), Science Citation Index (1981 to September 2009), Social Science Citation Index (1981 to September 2009), SIGLE (1980 to April 2006), Dissertation Abstracts (September 2009), ZETOC (September 2009)</w:t>
      </w:r>
      <w:r w:rsidR="005853A9">
        <w:rPr>
          <w:kern w:val="0"/>
        </w:rPr>
        <w:t xml:space="preserve"> and </w:t>
      </w:r>
      <w:r>
        <w:rPr>
          <w:kern w:val="0"/>
        </w:rPr>
        <w:t>the metaRegister</w:t>
      </w:r>
      <w:r w:rsidR="00427468">
        <w:rPr>
          <w:kern w:val="0"/>
        </w:rPr>
        <w:t xml:space="preserve"> of </w:t>
      </w:r>
      <w:r>
        <w:rPr>
          <w:kern w:val="0"/>
        </w:rPr>
        <w:t>Controlled Trials (September 2009). Selection criteria Controlled trials in which participants with AsPD were randomly allocated to a pharmacological intervention</w:t>
      </w:r>
      <w:r w:rsidR="005853A9">
        <w:rPr>
          <w:kern w:val="0"/>
        </w:rPr>
        <w:t xml:space="preserve"> and </w:t>
      </w:r>
      <w:r>
        <w:rPr>
          <w:kern w:val="0"/>
        </w:rPr>
        <w:t>a placebo control condition. Two trials comparing one drug against another without a placebo control are reported separately. Data collection</w:t>
      </w:r>
      <w:r w:rsidR="005853A9">
        <w:rPr>
          <w:kern w:val="0"/>
        </w:rPr>
        <w:t xml:space="preserve"> and </w:t>
      </w:r>
      <w:r>
        <w:rPr>
          <w:kern w:val="0"/>
        </w:rPr>
        <w:t>analysis Three review authors independently selected studies. Two review authors independently extracted data. We calculated mean differences, with odds ratios for dichotomous data. Main results Eight studies met the inclusion criteria involving 394 participants with AsPD. Data were available from four studies involving 274 participants with AsPD. No study set out to recruit participants solely on the basis</w:t>
      </w:r>
      <w:r w:rsidR="00427468">
        <w:rPr>
          <w:kern w:val="0"/>
        </w:rPr>
        <w:t xml:space="preserve"> of </w:t>
      </w:r>
      <w:r>
        <w:rPr>
          <w:kern w:val="0"/>
        </w:rPr>
        <w:t>having AsPD,</w:t>
      </w:r>
      <w:r w:rsidR="005853A9">
        <w:rPr>
          <w:kern w:val="0"/>
        </w:rPr>
        <w:t xml:space="preserve"> and </w:t>
      </w:r>
      <w:r>
        <w:rPr>
          <w:kern w:val="0"/>
        </w:rPr>
        <w:t>in only one study was the sample entirely</w:t>
      </w:r>
      <w:r w:rsidR="00427468">
        <w:rPr>
          <w:kern w:val="0"/>
        </w:rPr>
        <w:t xml:space="preserve"> of </w:t>
      </w:r>
      <w:r>
        <w:rPr>
          <w:kern w:val="0"/>
        </w:rPr>
        <w:t>AsPD participants. Eight different drugs were examined in eight studies. Study quality was relatively poor. Inadequate reporting meant the data available were generally insufficient to allow any independent statistical analysis</w:t>
      </w:r>
      <w:r w:rsidR="00A37C1D">
        <w:rPr>
          <w:kern w:val="0"/>
        </w:rPr>
        <w:t>. The</w:t>
      </w:r>
      <w:r>
        <w:rPr>
          <w:kern w:val="0"/>
        </w:rPr>
        <w:t xml:space="preserve"> findings are limited to descriptive summaries based on analyses carried out</w:t>
      </w:r>
      <w:r w:rsidR="005853A9">
        <w:rPr>
          <w:kern w:val="0"/>
        </w:rPr>
        <w:t xml:space="preserve"> and </w:t>
      </w:r>
      <w:r>
        <w:rPr>
          <w:kern w:val="0"/>
        </w:rPr>
        <w:t>reported by the trial investigators. All the available data were derived from unreplicated single reports. Only three drugs (nortriptyline, bromocriptine, phenytoin) were effective compared to placebo in terms</w:t>
      </w:r>
      <w:r w:rsidR="00427468">
        <w:rPr>
          <w:kern w:val="0"/>
        </w:rPr>
        <w:t xml:space="preserve"> of </w:t>
      </w:r>
      <w:r>
        <w:rPr>
          <w:kern w:val="0"/>
        </w:rPr>
        <w:t>improvement in at least one outcome. Nortriptyline was reported in one study as superior for men with alcohol dependency on mean number</w:t>
      </w:r>
      <w:r w:rsidR="00427468">
        <w:rPr>
          <w:kern w:val="0"/>
        </w:rPr>
        <w:t xml:space="preserve"> of </w:t>
      </w:r>
      <w:r>
        <w:rPr>
          <w:kern w:val="0"/>
        </w:rPr>
        <w:t>drinking days</w:t>
      </w:r>
      <w:r w:rsidR="005853A9">
        <w:rPr>
          <w:kern w:val="0"/>
        </w:rPr>
        <w:t xml:space="preserve"> and </w:t>
      </w:r>
      <w:r>
        <w:rPr>
          <w:kern w:val="0"/>
        </w:rPr>
        <w:t>on alcohol dependence, but not for severity</w:t>
      </w:r>
      <w:r w:rsidR="00427468">
        <w:rPr>
          <w:kern w:val="0"/>
        </w:rPr>
        <w:t xml:space="preserve"> of </w:t>
      </w:r>
      <w:r>
        <w:rPr>
          <w:kern w:val="0"/>
        </w:rPr>
        <w:t>alcohol misuse or on the patient</w:t>
      </w:r>
      <w:r w:rsidR="0071223E">
        <w:rPr>
          <w:kern w:val="0"/>
        </w:rPr>
        <w:t>’</w:t>
      </w:r>
      <w:r>
        <w:rPr>
          <w:kern w:val="0"/>
        </w:rPr>
        <w:t>s or clinician</w:t>
      </w:r>
      <w:r w:rsidR="0071223E">
        <w:rPr>
          <w:kern w:val="0"/>
        </w:rPr>
        <w:t>’</w:t>
      </w:r>
      <w:r>
        <w:rPr>
          <w:kern w:val="0"/>
        </w:rPr>
        <w:t>s rating</w:t>
      </w:r>
      <w:r w:rsidR="00427468">
        <w:rPr>
          <w:kern w:val="0"/>
        </w:rPr>
        <w:t xml:space="preserve"> of </w:t>
      </w:r>
      <w:r>
        <w:rPr>
          <w:kern w:val="0"/>
        </w:rPr>
        <w:t>drinking. In the same study, both nortriptyline</w:t>
      </w:r>
      <w:r w:rsidR="005853A9">
        <w:rPr>
          <w:kern w:val="0"/>
        </w:rPr>
        <w:t xml:space="preserve"> and </w:t>
      </w:r>
      <w:r>
        <w:rPr>
          <w:kern w:val="0"/>
        </w:rPr>
        <w:t>bromocriptine were reported as superior to placebo on anxiety on one scale but not on another. In one study, phenytoin was reported as superior to placebo on the frequency</w:t>
      </w:r>
      <w:r w:rsidR="005853A9">
        <w:rPr>
          <w:kern w:val="0"/>
        </w:rPr>
        <w:t xml:space="preserve"> and </w:t>
      </w:r>
      <w:r>
        <w:rPr>
          <w:kern w:val="0"/>
        </w:rPr>
        <w:t>intensity</w:t>
      </w:r>
      <w:r w:rsidR="00427468">
        <w:rPr>
          <w:kern w:val="0"/>
        </w:rPr>
        <w:t xml:space="preserve"> of </w:t>
      </w:r>
      <w:r>
        <w:rPr>
          <w:kern w:val="0"/>
        </w:rPr>
        <w:t>aggressive acts in male prisoners with impulsive (but not premeditated) aggression. In the remaining two studies, both amantadine</w:t>
      </w:r>
      <w:r w:rsidR="005853A9">
        <w:rPr>
          <w:kern w:val="0"/>
        </w:rPr>
        <w:t xml:space="preserve"> and </w:t>
      </w:r>
      <w:r>
        <w:rPr>
          <w:kern w:val="0"/>
        </w:rPr>
        <w:t>desipramine were not superior to placebo for adults with opioid</w:t>
      </w:r>
      <w:r w:rsidR="005853A9">
        <w:rPr>
          <w:kern w:val="0"/>
        </w:rPr>
        <w:t xml:space="preserve"> and </w:t>
      </w:r>
      <w:r>
        <w:rPr>
          <w:kern w:val="0"/>
        </w:rPr>
        <w:t>cocaine dependence,</w:t>
      </w:r>
      <w:r w:rsidR="005853A9">
        <w:rPr>
          <w:kern w:val="0"/>
        </w:rPr>
        <w:t xml:space="preserve"> and </w:t>
      </w:r>
      <w:r>
        <w:rPr>
          <w:kern w:val="0"/>
        </w:rPr>
        <w:t xml:space="preserve">desipramine was not superior to placebo for men with </w:t>
      </w:r>
      <w:r>
        <w:rPr>
          <w:kern w:val="0"/>
        </w:rPr>
        <w:lastRenderedPageBreak/>
        <w:t>cocaine dependence. Authors</w:t>
      </w:r>
      <w:r w:rsidR="0071223E">
        <w:rPr>
          <w:kern w:val="0"/>
        </w:rPr>
        <w:t>’</w:t>
      </w:r>
      <w:r>
        <w:rPr>
          <w:kern w:val="0"/>
        </w:rPr>
        <w:t xml:space="preserve"> conclusions The body</w:t>
      </w:r>
      <w:r w:rsidR="00427468">
        <w:rPr>
          <w:kern w:val="0"/>
        </w:rPr>
        <w:t xml:space="preserve"> of </w:t>
      </w:r>
      <w:r>
        <w:rPr>
          <w:kern w:val="0"/>
        </w:rPr>
        <w:t>evidence summarised in this review is insufficient to allow any conclusion to be drawn about the use</w:t>
      </w:r>
      <w:r w:rsidR="00427468">
        <w:rPr>
          <w:kern w:val="0"/>
        </w:rPr>
        <w:t xml:space="preserve"> of </w:t>
      </w:r>
      <w:r>
        <w:rPr>
          <w:kern w:val="0"/>
        </w:rPr>
        <w:t>pharmacological interventions in the treatment</w:t>
      </w:r>
      <w:r w:rsidR="00427468">
        <w:rPr>
          <w:kern w:val="0"/>
        </w:rPr>
        <w:t xml:space="preserve"> of </w:t>
      </w:r>
      <w:r>
        <w:rPr>
          <w:kern w:val="0"/>
        </w:rPr>
        <w:t>antisocial personality disorder.</w:t>
      </w:r>
    </w:p>
    <w:p w:rsidR="00365DE4" w:rsidRDefault="00365DE4" w:rsidP="00365DE4">
      <w:pPr>
        <w:pStyle w:val="a3"/>
        <w:rPr>
          <w:kern w:val="0"/>
        </w:rPr>
      </w:pPr>
      <w:r>
        <w:rPr>
          <w:kern w:val="0"/>
        </w:rPr>
        <w:t>Keywords: Alcohol Dependence, Citation, Cocaine Dependence, Comorbid Psychiatric-Disorders, Conduct Disorder, Desipramine Treatment, Double-Blind, Impulsive Aggressive-Behavior, Major Depression, Placebo-Controlled Trial, Science, Science Citation Index, Substance-Abuse</w:t>
      </w:r>
    </w:p>
    <w:p w:rsidR="00365DE4" w:rsidRDefault="00365DE4" w:rsidP="00365DE4">
      <w:pPr>
        <w:pStyle w:val="a3"/>
        <w:rPr>
          <w:kern w:val="0"/>
        </w:rPr>
      </w:pPr>
      <w:r>
        <w:rPr>
          <w:kern w:val="0"/>
        </w:rPr>
        <w:t>? Afshari, A., Brok, J., Moller, A.M.</w:t>
      </w:r>
      <w:r w:rsidR="005853A9">
        <w:rPr>
          <w:kern w:val="0"/>
        </w:rPr>
        <w:t xml:space="preserve"> and </w:t>
      </w:r>
      <w:r>
        <w:rPr>
          <w:kern w:val="0"/>
        </w:rPr>
        <w:t>Wetterslev, J. (2010), Aerosolized prostacyclin for acute lung injury (ALI)</w:t>
      </w:r>
      <w:r w:rsidR="005853A9">
        <w:rPr>
          <w:kern w:val="0"/>
        </w:rPr>
        <w:t xml:space="preserve"> and </w:t>
      </w:r>
      <w:r>
        <w:rPr>
          <w:kern w:val="0"/>
        </w:rPr>
        <w:t xml:space="preserve">acute respiratory distress syndrome (ARDS).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CD007733.</w:t>
      </w:r>
    </w:p>
    <w:p w:rsidR="00365DE4" w:rsidRDefault="00365DE4" w:rsidP="00365DE4">
      <w:pPr>
        <w:pStyle w:val="a3"/>
        <w:rPr>
          <w:kern w:val="2"/>
        </w:rPr>
      </w:pPr>
      <w:r>
        <w:t xml:space="preserve">Full Text: </w:t>
      </w:r>
      <w:hyperlink r:id="rId613" w:history="1">
        <w:r>
          <w:rPr>
            <w:rStyle w:val="a5"/>
          </w:rPr>
          <w:t>2010\Coc Dat Sys Rev2010, CD007733.pdf</w:t>
        </w:r>
      </w:hyperlink>
    </w:p>
    <w:p w:rsidR="00365DE4" w:rsidRDefault="00365DE4" w:rsidP="00365DE4">
      <w:pPr>
        <w:pStyle w:val="a3"/>
        <w:rPr>
          <w:kern w:val="0"/>
        </w:rPr>
      </w:pPr>
      <w:r>
        <w:rPr>
          <w:kern w:val="0"/>
        </w:rPr>
        <w:t>Abstract: Background Acute lung injury (ALI)</w:t>
      </w:r>
      <w:r w:rsidR="005853A9">
        <w:rPr>
          <w:kern w:val="0"/>
        </w:rPr>
        <w:t xml:space="preserve"> and </w:t>
      </w:r>
      <w:r>
        <w:rPr>
          <w:kern w:val="0"/>
        </w:rPr>
        <w:t>acute respiratory distress syndrome (ARDS) are critical conditions that are associated with high mortality</w:t>
      </w:r>
      <w:r w:rsidR="005853A9">
        <w:rPr>
          <w:kern w:val="0"/>
        </w:rPr>
        <w:t xml:space="preserve"> and </w:t>
      </w:r>
      <w:r>
        <w:rPr>
          <w:kern w:val="0"/>
        </w:rPr>
        <w:t>morbidity. Aerosolized prostacyclin has been used to improve oxygenation despite the limited evidence available so far. Objectives To systematically assess the benefits</w:t>
      </w:r>
      <w:r w:rsidR="005853A9">
        <w:rPr>
          <w:kern w:val="0"/>
        </w:rPr>
        <w:t xml:space="preserve"> and </w:t>
      </w:r>
      <w:r>
        <w:rPr>
          <w:kern w:val="0"/>
        </w:rPr>
        <w:t>harms</w:t>
      </w:r>
      <w:r w:rsidR="00427468">
        <w:rPr>
          <w:kern w:val="0"/>
        </w:rPr>
        <w:t xml:space="preserve"> of </w:t>
      </w:r>
      <w:r>
        <w:rPr>
          <w:kern w:val="0"/>
        </w:rPr>
        <w:t>aerosolized prostacyclin in critically ill patients with ALI</w:t>
      </w:r>
      <w:r w:rsidR="005853A9">
        <w:rPr>
          <w:kern w:val="0"/>
        </w:rPr>
        <w:t xml:space="preserve"> and </w:t>
      </w:r>
      <w:r>
        <w:rPr>
          <w:kern w:val="0"/>
        </w:rPr>
        <w:t>ARDS. Search strategy We identified randomized clinical trials (RCTs) from electronic databases: the Cochrane Central Register</w:t>
      </w:r>
      <w:r w:rsidR="00427468">
        <w:rPr>
          <w:kern w:val="0"/>
        </w:rPr>
        <w:t xml:space="preserve"> of </w:t>
      </w:r>
      <w:r>
        <w:rPr>
          <w:kern w:val="0"/>
        </w:rPr>
        <w:t xml:space="preserve">Controlled Trials (CENTRAL) (The Cochrane Library 2010, Issue 1); </w:t>
      </w:r>
      <w:r w:rsidR="00D5664A">
        <w:rPr>
          <w:kern w:val="0"/>
        </w:rPr>
        <w:t>MEDLINE</w:t>
      </w:r>
      <w:r>
        <w:rPr>
          <w:kern w:val="0"/>
        </w:rPr>
        <w:t xml:space="preserve">; EMBASE; Science Citation Index Expanded; International </w:t>
      </w:r>
      <w:r w:rsidR="00D5664A">
        <w:rPr>
          <w:kern w:val="0"/>
        </w:rPr>
        <w:t>Web</w:t>
      </w:r>
      <w:r w:rsidR="00427468">
        <w:rPr>
          <w:kern w:val="0"/>
        </w:rPr>
        <w:t xml:space="preserve"> of </w:t>
      </w:r>
      <w:r w:rsidR="00D5664A">
        <w:rPr>
          <w:kern w:val="0"/>
        </w:rPr>
        <w:t>Science</w:t>
      </w:r>
      <w:r>
        <w:rPr>
          <w:kern w:val="0"/>
        </w:rPr>
        <w:t>; CINAHL; LILACS;</w:t>
      </w:r>
      <w:r w:rsidR="005853A9">
        <w:rPr>
          <w:kern w:val="0"/>
        </w:rPr>
        <w:t xml:space="preserve"> and </w:t>
      </w:r>
      <w:r>
        <w:rPr>
          <w:kern w:val="0"/>
        </w:rPr>
        <w:t>the Chinese Biomedical Literature Database (to 31st January 2010). We contacted trial authors</w:t>
      </w:r>
      <w:r w:rsidR="005853A9">
        <w:rPr>
          <w:kern w:val="0"/>
        </w:rPr>
        <w:t xml:space="preserve"> and </w:t>
      </w:r>
      <w:r>
        <w:rPr>
          <w:kern w:val="0"/>
        </w:rPr>
        <w:t>manufacturers in the field. Selection criteria We included all RCTs, irrespective</w:t>
      </w:r>
      <w:r w:rsidR="00427468">
        <w:rPr>
          <w:kern w:val="0"/>
        </w:rPr>
        <w:t xml:space="preserve"> of </w:t>
      </w:r>
      <w:r>
        <w:rPr>
          <w:kern w:val="0"/>
        </w:rPr>
        <w:t>blinding or language, that compared aerosolized prostacyclin with no intervention or placebo in either children or adults with ALI or ARDS. Data collection</w:t>
      </w:r>
      <w:r w:rsidR="005853A9">
        <w:rPr>
          <w:kern w:val="0"/>
        </w:rPr>
        <w:t xml:space="preserve"> and </w:t>
      </w:r>
      <w:r>
        <w:rPr>
          <w:kern w:val="0"/>
        </w:rPr>
        <w:t>analysis Two authors independently abstracted data</w:t>
      </w:r>
      <w:r w:rsidR="005853A9">
        <w:rPr>
          <w:kern w:val="0"/>
        </w:rPr>
        <w:t xml:space="preserve"> and </w:t>
      </w:r>
      <w:r>
        <w:rPr>
          <w:kern w:val="0"/>
        </w:rPr>
        <w:t>resolved any disagreements by discussion. We presented pooled estimates</w:t>
      </w:r>
      <w:r w:rsidR="00427468">
        <w:rPr>
          <w:kern w:val="0"/>
        </w:rPr>
        <w:t xml:space="preserve"> of </w:t>
      </w:r>
      <w:r>
        <w:rPr>
          <w:kern w:val="0"/>
        </w:rPr>
        <w:t>the intervention effects as relative risks (RR) with 95% confidence intervals (CI) for dichotomous outcomes. Our primary outcome measure was all cause mortality. We planned to perform subgroup</w:t>
      </w:r>
      <w:r w:rsidR="005853A9">
        <w:rPr>
          <w:kern w:val="0"/>
        </w:rPr>
        <w:t xml:space="preserve"> and </w:t>
      </w:r>
      <w:r>
        <w:rPr>
          <w:kern w:val="0"/>
        </w:rPr>
        <w:t>sensitivity analyses to assess the effect</w:t>
      </w:r>
      <w:r w:rsidR="00427468">
        <w:rPr>
          <w:kern w:val="0"/>
        </w:rPr>
        <w:t xml:space="preserve"> of </w:t>
      </w:r>
      <w:r>
        <w:rPr>
          <w:kern w:val="0"/>
        </w:rPr>
        <w:t>aerosolized prostacyclin in adults</w:t>
      </w:r>
      <w:r w:rsidR="005853A9">
        <w:rPr>
          <w:kern w:val="0"/>
        </w:rPr>
        <w:t xml:space="preserve"> and </w:t>
      </w:r>
      <w:r>
        <w:rPr>
          <w:kern w:val="0"/>
        </w:rPr>
        <w:t>children,</w:t>
      </w:r>
      <w:r w:rsidR="005853A9">
        <w:rPr>
          <w:kern w:val="0"/>
        </w:rPr>
        <w:t xml:space="preserve"> and </w:t>
      </w:r>
      <w:r>
        <w:rPr>
          <w:kern w:val="0"/>
        </w:rPr>
        <w:t>on various clinical</w:t>
      </w:r>
      <w:r w:rsidR="005853A9">
        <w:rPr>
          <w:kern w:val="0"/>
        </w:rPr>
        <w:t xml:space="preserve"> and </w:t>
      </w:r>
      <w:r>
        <w:rPr>
          <w:kern w:val="0"/>
        </w:rPr>
        <w:t>physiological outcomes. We assessed the risk</w:t>
      </w:r>
      <w:r w:rsidR="00427468">
        <w:rPr>
          <w:kern w:val="0"/>
        </w:rPr>
        <w:t xml:space="preserve"> of </w:t>
      </w:r>
      <w:r>
        <w:rPr>
          <w:kern w:val="0"/>
        </w:rPr>
        <w:t>bias through assessment</w:t>
      </w:r>
      <w:r w:rsidR="00427468">
        <w:rPr>
          <w:kern w:val="0"/>
        </w:rPr>
        <w:t xml:space="preserve"> of </w:t>
      </w:r>
      <w:r>
        <w:rPr>
          <w:kern w:val="0"/>
        </w:rPr>
        <w:t>methodological trial components</w:t>
      </w:r>
      <w:r w:rsidR="005853A9">
        <w:rPr>
          <w:kern w:val="0"/>
        </w:rPr>
        <w:t xml:space="preserve"> and </w:t>
      </w:r>
      <w:r>
        <w:rPr>
          <w:kern w:val="0"/>
        </w:rPr>
        <w:t>the risk</w:t>
      </w:r>
      <w:r w:rsidR="00427468">
        <w:rPr>
          <w:kern w:val="0"/>
        </w:rPr>
        <w:t xml:space="preserve"> of </w:t>
      </w:r>
      <w:r>
        <w:rPr>
          <w:kern w:val="0"/>
        </w:rPr>
        <w:t>random error through trial sequential analysis. Main results We included one paediatric RCT with low risk</w:t>
      </w:r>
      <w:r w:rsidR="00427468">
        <w:rPr>
          <w:kern w:val="0"/>
        </w:rPr>
        <w:t xml:space="preserve"> of </w:t>
      </w:r>
      <w:r>
        <w:rPr>
          <w:kern w:val="0"/>
        </w:rPr>
        <w:t>bias</w:t>
      </w:r>
      <w:r w:rsidR="005853A9">
        <w:rPr>
          <w:kern w:val="0"/>
        </w:rPr>
        <w:t xml:space="preserve"> and </w:t>
      </w:r>
      <w:r>
        <w:rPr>
          <w:kern w:val="0"/>
        </w:rPr>
        <w:t>involving a total</w:t>
      </w:r>
      <w:r w:rsidR="00427468">
        <w:rPr>
          <w:kern w:val="0"/>
        </w:rPr>
        <w:t xml:space="preserve"> of </w:t>
      </w:r>
      <w:r>
        <w:rPr>
          <w:kern w:val="0"/>
        </w:rPr>
        <w:t>14 critically ill children with ALI or ARDS. Aersosolized prostacyclin over less than 24 hours did not reduce overall mortality at 28 days (RR 1.50, 95% CI 0.17 to 12.94) compared with aerosolized saline (a total</w:t>
      </w:r>
      <w:r w:rsidR="00427468">
        <w:rPr>
          <w:kern w:val="0"/>
        </w:rPr>
        <w:t xml:space="preserve"> of </w:t>
      </w:r>
      <w:r>
        <w:rPr>
          <w:kern w:val="0"/>
        </w:rPr>
        <w:t>three deaths)</w:t>
      </w:r>
      <w:r w:rsidR="00A37C1D">
        <w:rPr>
          <w:kern w:val="0"/>
        </w:rPr>
        <w:t>. The</w:t>
      </w:r>
      <w:r>
        <w:rPr>
          <w:kern w:val="0"/>
        </w:rPr>
        <w:t xml:space="preserve"> authors did not encounter any adverse events such as bleeding or organ dysfunction. We were unable to perform the prespecified subgroups</w:t>
      </w:r>
      <w:r w:rsidR="005853A9">
        <w:rPr>
          <w:kern w:val="0"/>
        </w:rPr>
        <w:t xml:space="preserve"> and </w:t>
      </w:r>
      <w:r>
        <w:rPr>
          <w:kern w:val="0"/>
        </w:rPr>
        <w:t>sensitivity analyses or trial sequential analysis due to the limited number</w:t>
      </w:r>
      <w:r w:rsidR="00427468">
        <w:rPr>
          <w:kern w:val="0"/>
        </w:rPr>
        <w:t xml:space="preserve"> of </w:t>
      </w:r>
      <w:r>
        <w:rPr>
          <w:kern w:val="0"/>
        </w:rPr>
        <w:t>RCTs. We were also not able to assess the safety</w:t>
      </w:r>
      <w:r w:rsidR="005853A9">
        <w:rPr>
          <w:kern w:val="0"/>
        </w:rPr>
        <w:t xml:space="preserve"> and </w:t>
      </w:r>
      <w:r>
        <w:rPr>
          <w:kern w:val="0"/>
        </w:rPr>
        <w:t>efficacy</w:t>
      </w:r>
      <w:r w:rsidR="00427468">
        <w:rPr>
          <w:kern w:val="0"/>
        </w:rPr>
        <w:t xml:space="preserve"> of </w:t>
      </w:r>
      <w:r>
        <w:rPr>
          <w:kern w:val="0"/>
        </w:rPr>
        <w:lastRenderedPageBreak/>
        <w:t>aerosolized prostacyclin for ALI</w:t>
      </w:r>
      <w:r w:rsidR="005853A9">
        <w:rPr>
          <w:kern w:val="0"/>
        </w:rPr>
        <w:t xml:space="preserve"> and </w:t>
      </w:r>
      <w:r>
        <w:rPr>
          <w:kern w:val="0"/>
        </w:rPr>
        <w:t>ARDS. We found two ongoing trials, one involving adults</w:t>
      </w:r>
      <w:r w:rsidR="005853A9">
        <w:rPr>
          <w:kern w:val="0"/>
        </w:rPr>
        <w:t xml:space="preserve"> and </w:t>
      </w:r>
      <w:r>
        <w:rPr>
          <w:kern w:val="0"/>
        </w:rPr>
        <w:t>the other paediatric participants</w:t>
      </w:r>
      <w:r w:rsidR="00A37C1D">
        <w:rPr>
          <w:kern w:val="0"/>
        </w:rPr>
        <w:t>. The</w:t>
      </w:r>
      <w:r>
        <w:rPr>
          <w:kern w:val="0"/>
        </w:rPr>
        <w:t xml:space="preserve"> adult trial has been finalized but the data are not yet available. Authors</w:t>
      </w:r>
      <w:r w:rsidR="0071223E">
        <w:rPr>
          <w:kern w:val="0"/>
        </w:rPr>
        <w:t>’</w:t>
      </w:r>
      <w:r>
        <w:rPr>
          <w:kern w:val="0"/>
        </w:rPr>
        <w:t xml:space="preserve"> conclusions There is no current evidence to support or refute the routine use</w:t>
      </w:r>
      <w:r w:rsidR="00427468">
        <w:rPr>
          <w:kern w:val="0"/>
        </w:rPr>
        <w:t xml:space="preserve"> of </w:t>
      </w:r>
      <w:r>
        <w:rPr>
          <w:kern w:val="0"/>
        </w:rPr>
        <w:t>aerosolized prostacyclin for patients with ALI</w:t>
      </w:r>
      <w:r w:rsidR="005853A9">
        <w:rPr>
          <w:kern w:val="0"/>
        </w:rPr>
        <w:t xml:space="preserve"> and </w:t>
      </w:r>
      <w:r>
        <w:rPr>
          <w:kern w:val="0"/>
        </w:rPr>
        <w:t>ARDS</w:t>
      </w:r>
      <w:r w:rsidR="00A37C1D">
        <w:rPr>
          <w:kern w:val="0"/>
        </w:rPr>
        <w:t>. The</w:t>
      </w:r>
      <w:r>
        <w:rPr>
          <w:kern w:val="0"/>
        </w:rPr>
        <w:t>re is an urgent need for more randomized clinical trials.</w:t>
      </w:r>
    </w:p>
    <w:p w:rsidR="00365DE4" w:rsidRDefault="00365DE4" w:rsidP="00365DE4">
      <w:pPr>
        <w:pStyle w:val="a3"/>
        <w:rPr>
          <w:kern w:val="0"/>
        </w:rPr>
      </w:pPr>
      <w:r>
        <w:rPr>
          <w:kern w:val="0"/>
        </w:rPr>
        <w:t xml:space="preserve">Keywords: Assessment, Citation, Cumulative Metaanalysis, Failure, Inhaled Nitric-Oxide, Low, Multicenter Clinical-Trial, Prostaglandin E-1, Pulmonary-Hypertension, Randomized Double-Blind, RCT, Risk-Factors, Science, Science Citation Index, Sequential-Analysis, TLC C-53, Web,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Chavez-Tapia, N.C., Barrientos-Gutierrez, T., Tellez-Avila, F.I., Soares-Weiser, K.</w:t>
      </w:r>
      <w:r w:rsidR="005853A9">
        <w:rPr>
          <w:kern w:val="0"/>
        </w:rPr>
        <w:t xml:space="preserve"> and </w:t>
      </w:r>
      <w:r>
        <w:rPr>
          <w:kern w:val="0"/>
        </w:rPr>
        <w:t xml:space="preserve">Uribe, M. (2010), Antibiotic prophylaxis for cirrhotic patients with upper gastrointestinal bleeding.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CD002907.</w:t>
      </w:r>
    </w:p>
    <w:p w:rsidR="00365DE4" w:rsidRDefault="00365DE4" w:rsidP="00365DE4">
      <w:pPr>
        <w:pStyle w:val="a3"/>
        <w:rPr>
          <w:kern w:val="2"/>
        </w:rPr>
      </w:pPr>
      <w:r>
        <w:t xml:space="preserve">Full Text: </w:t>
      </w:r>
      <w:hyperlink r:id="rId614" w:history="1">
        <w:r>
          <w:rPr>
            <w:rStyle w:val="a5"/>
          </w:rPr>
          <w:t>2010\Coc Dat Sys Rev2010, CD002907.pdf</w:t>
        </w:r>
      </w:hyperlink>
    </w:p>
    <w:p w:rsidR="00365DE4" w:rsidRDefault="00365DE4" w:rsidP="00365DE4">
      <w:pPr>
        <w:pStyle w:val="a3"/>
        <w:rPr>
          <w:kern w:val="0"/>
        </w:rPr>
      </w:pPr>
      <w:r>
        <w:rPr>
          <w:kern w:val="0"/>
        </w:rPr>
        <w:t>Abstract: Background Bacterial infections are a frequent complication in patients with cirrhosis</w:t>
      </w:r>
      <w:r w:rsidR="005853A9">
        <w:rPr>
          <w:kern w:val="0"/>
        </w:rPr>
        <w:t xml:space="preserve"> and </w:t>
      </w:r>
      <w:r>
        <w:rPr>
          <w:kern w:val="0"/>
        </w:rPr>
        <w:t>upper gastrointestinal bleeding. Antibiotic prophylaxis seems to decrease the incidence</w:t>
      </w:r>
      <w:r w:rsidR="00427468">
        <w:rPr>
          <w:kern w:val="0"/>
        </w:rPr>
        <w:t xml:space="preserve"> of </w:t>
      </w:r>
      <w:r>
        <w:rPr>
          <w:kern w:val="0"/>
        </w:rPr>
        <w:t>bacterial infections. Oral antibiotics, active against enteric bacteria, have been commonly used as antibiotic prophylaxis in patients with cirrhosis</w:t>
      </w:r>
      <w:r w:rsidR="005853A9">
        <w:rPr>
          <w:kern w:val="0"/>
        </w:rPr>
        <w:t xml:space="preserve"> and </w:t>
      </w:r>
      <w:r>
        <w:rPr>
          <w:kern w:val="0"/>
        </w:rPr>
        <w:t>upper gastrointestinal bleeding. This is an update</w:t>
      </w:r>
      <w:r w:rsidR="00427468">
        <w:rPr>
          <w:kern w:val="0"/>
        </w:rPr>
        <w:t xml:space="preserve"> of </w:t>
      </w:r>
      <w:r>
        <w:rPr>
          <w:kern w:val="0"/>
        </w:rPr>
        <w:t>a Cochrane review first published in 2002. Objectives To assess the benefits</w:t>
      </w:r>
      <w:r w:rsidR="005853A9">
        <w:rPr>
          <w:kern w:val="0"/>
        </w:rPr>
        <w:t xml:space="preserve"> and </w:t>
      </w:r>
      <w:r>
        <w:rPr>
          <w:kern w:val="0"/>
        </w:rPr>
        <w:t>harms</w:t>
      </w:r>
      <w:r w:rsidR="00427468">
        <w:rPr>
          <w:kern w:val="0"/>
        </w:rPr>
        <w:t xml:space="preserve"> of </w:t>
      </w:r>
      <w:r>
        <w:rPr>
          <w:kern w:val="0"/>
        </w:rPr>
        <w:t>antibiotic prophylaxis in cirrhotic patients with upper gastrointestinal bleeding. Search strategy We searched TheCochraneHepato- Biliary Group Controlled Trials Register, TheCochrane Central Register</w:t>
      </w:r>
      <w:r w:rsidR="00427468">
        <w:rPr>
          <w:kern w:val="0"/>
        </w:rPr>
        <w:t xml:space="preserve"> of </w:t>
      </w:r>
      <w:r>
        <w:rPr>
          <w:kern w:val="0"/>
        </w:rPr>
        <w:t xml:space="preserve">Controlled Trials ( CENTRAL) in The Cochrane Library, </w:t>
      </w:r>
      <w:r w:rsidR="00D5664A">
        <w:rPr>
          <w:kern w:val="0"/>
        </w:rPr>
        <w:t>MEDLINE</w:t>
      </w:r>
      <w:r>
        <w:rPr>
          <w:kern w:val="0"/>
        </w:rPr>
        <w:t>, EMBASE,</w:t>
      </w:r>
      <w:r w:rsidR="005853A9">
        <w:rPr>
          <w:kern w:val="0"/>
        </w:rPr>
        <w:t xml:space="preserve"> and </w:t>
      </w:r>
      <w:r>
        <w:rPr>
          <w:kern w:val="0"/>
        </w:rPr>
        <w:t>Science Citation Index EXPANDED until June 2010. In addition, we handsearched the references</w:t>
      </w:r>
      <w:r w:rsidR="00427468">
        <w:rPr>
          <w:kern w:val="0"/>
        </w:rPr>
        <w:t xml:space="preserve"> of </w:t>
      </w:r>
      <w:r>
        <w:rPr>
          <w:kern w:val="0"/>
        </w:rPr>
        <w:t>all identified studies. Selection criteria Randomised clinical trials comparing different types</w:t>
      </w:r>
      <w:r w:rsidR="00427468">
        <w:rPr>
          <w:kern w:val="0"/>
        </w:rPr>
        <w:t xml:space="preserve"> of </w:t>
      </w:r>
      <w:r>
        <w:rPr>
          <w:kern w:val="0"/>
        </w:rPr>
        <w:t>antibiotic prophylaxis with no intervention, placebo, or another antibiotic to prevent bacterial infections in cirrhotic patients with upper gastrointestinal bleeding. Data collection</w:t>
      </w:r>
      <w:r w:rsidR="005853A9">
        <w:rPr>
          <w:kern w:val="0"/>
        </w:rPr>
        <w:t xml:space="preserve"> and </w:t>
      </w:r>
      <w:r>
        <w:rPr>
          <w:kern w:val="0"/>
        </w:rPr>
        <w:t>analysis Three authors independently assessed trial quality, risk</w:t>
      </w:r>
      <w:r w:rsidR="00427468">
        <w:rPr>
          <w:kern w:val="0"/>
        </w:rPr>
        <w:t xml:space="preserve"> of </w:t>
      </w:r>
      <w:r>
        <w:rPr>
          <w:kern w:val="0"/>
        </w:rPr>
        <w:t>bias,</w:t>
      </w:r>
      <w:r w:rsidR="005853A9">
        <w:rPr>
          <w:kern w:val="0"/>
        </w:rPr>
        <w:t xml:space="preserve"> and </w:t>
      </w:r>
      <w:r>
        <w:rPr>
          <w:kern w:val="0"/>
        </w:rPr>
        <w:t>extracted data. We contacted study authors for additional information. Association measures were relative risk (RR) for dichotomous outcomes</w:t>
      </w:r>
      <w:r w:rsidR="005853A9">
        <w:rPr>
          <w:kern w:val="0"/>
        </w:rPr>
        <w:t xml:space="preserve"> and </w:t>
      </w:r>
      <w:r>
        <w:rPr>
          <w:kern w:val="0"/>
        </w:rPr>
        <w:t>mean difference (MD) for continuous outcomes. Main results Twelve trials (1241 patients) evaluated antibiotic prophylaxis compared with placebo or no antibiotic prophylaxis. All trials were at risk</w:t>
      </w:r>
      <w:r w:rsidR="00427468">
        <w:rPr>
          <w:kern w:val="0"/>
        </w:rPr>
        <w:t xml:space="preserve"> of </w:t>
      </w:r>
      <w:r>
        <w:rPr>
          <w:kern w:val="0"/>
        </w:rPr>
        <w:t>bias. Antibiotic prophylaxis compared with no intervention or placebo was associated with beneficial effects on mortality (RR 0.79, 95% CI 0.63 to 0.98), mortality from bacterial infections (RR 0.43, 95% CI 0.19 to 0.97), bacterial infections (RR 0.36, 95% CI 0.27 to 0.49), rebleeding (RR 0.53, 95% CI 0.38 to 0.74), days</w:t>
      </w:r>
      <w:r w:rsidR="00427468">
        <w:rPr>
          <w:kern w:val="0"/>
        </w:rPr>
        <w:t xml:space="preserve"> of </w:t>
      </w:r>
      <w:r>
        <w:rPr>
          <w:kern w:val="0"/>
        </w:rPr>
        <w:t xml:space="preserve">hospitalisation (MD -1.91, 95% CI -3.80 to -0.02), bacteraemia (RR 0.25, 95% CI 0.15 to 0.40), pneumonia (RR 0.45, 95% CI 0.27 to 0.75), spontaneous </w:t>
      </w:r>
      <w:r>
        <w:rPr>
          <w:kern w:val="0"/>
        </w:rPr>
        <w:lastRenderedPageBreak/>
        <w:t>bacterial peritonitis (RR 0.29, 95% CI 0.15 to 0.57),</w:t>
      </w:r>
      <w:r w:rsidR="005853A9">
        <w:rPr>
          <w:kern w:val="0"/>
        </w:rPr>
        <w:t xml:space="preserve"> and </w:t>
      </w:r>
      <w:r>
        <w:rPr>
          <w:kern w:val="0"/>
        </w:rPr>
        <w:t>urinary tract infections (RR 0.23, 95% CI 0.12 to 0.41). No serious adverse events were reported</w:t>
      </w:r>
      <w:r w:rsidR="00A37C1D">
        <w:rPr>
          <w:kern w:val="0"/>
        </w:rPr>
        <w:t>. The</w:t>
      </w:r>
      <w:r>
        <w:rPr>
          <w:kern w:val="0"/>
        </w:rPr>
        <w:t xml:space="preserve"> trials showed no significant heterogeneity</w:t>
      </w:r>
      <w:r w:rsidR="00427468">
        <w:rPr>
          <w:kern w:val="0"/>
        </w:rPr>
        <w:t xml:space="preserve"> of </w:t>
      </w:r>
      <w:r>
        <w:rPr>
          <w:kern w:val="0"/>
        </w:rPr>
        <w:t>effects. Another five trials (650 patients) compared different antibiotic regimens. Data could not be combined as each trial used different antibiotic regimen. None</w:t>
      </w:r>
      <w:r w:rsidR="00427468">
        <w:rPr>
          <w:kern w:val="0"/>
        </w:rPr>
        <w:t xml:space="preserve"> of </w:t>
      </w:r>
      <w:r>
        <w:rPr>
          <w:kern w:val="0"/>
        </w:rPr>
        <w:t>the examined antibiotic regimen was superior to the control regimen regarding mortality or bacterial infections.</w:t>
      </w:r>
    </w:p>
    <w:p w:rsidR="00365DE4" w:rsidRDefault="00365DE4" w:rsidP="00365DE4">
      <w:pPr>
        <w:pStyle w:val="a3"/>
        <w:rPr>
          <w:kern w:val="0"/>
        </w:rPr>
      </w:pPr>
      <w:r>
        <w:rPr>
          <w:kern w:val="0"/>
        </w:rPr>
        <w:t>Keywords: Acute Variceal Hemorrhage, Antibiotic Prophylaxis, Bacteria, Bacterial Infections [Mortality, Citation, Empirical-Evidence, Endoscopic Sclerotherapy, Esophageal-Varices, Liver Cirrhosis [Complications, Liver-Cirrhosis, Mortality], Placebo-Controlled Trial, Portal-Hypertension, Prevention &amp; Control] Gastrointestinal Hemorrhage [Complications, Prognosis, Randomized Controlled Trials as Topic, Randomized-Trial, Science Citation Index, Spontaneous Bacterial Peritonitis, Trial Sequential-Analysis</w:t>
      </w:r>
    </w:p>
    <w:p w:rsidR="00365DE4" w:rsidRDefault="00365DE4" w:rsidP="00365DE4">
      <w:pPr>
        <w:pStyle w:val="a3"/>
        <w:rPr>
          <w:kern w:val="0"/>
        </w:rPr>
      </w:pPr>
      <w:r>
        <w:rPr>
          <w:kern w:val="0"/>
          <w:szCs w:val="24"/>
        </w:rPr>
        <w:t>? Hoffmann, T., Bennett, S., Koh, C.L.</w:t>
      </w:r>
      <w:r w:rsidR="005853A9">
        <w:rPr>
          <w:kern w:val="0"/>
          <w:szCs w:val="24"/>
        </w:rPr>
        <w:t xml:space="preserve"> and </w:t>
      </w:r>
      <w:r>
        <w:rPr>
          <w:kern w:val="0"/>
          <w:szCs w:val="24"/>
        </w:rPr>
        <w:t xml:space="preserve">McKenna, K.T. (2010), Occupational therapy for cognitive impairment in stroke patients.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szCs w:val="24"/>
        </w:rPr>
        <w:t>,</w:t>
      </w:r>
      <w:r>
        <w:t xml:space="preserve"> Article Number: CD006430</w:t>
      </w:r>
      <w:r>
        <w:rPr>
          <w:kern w:val="0"/>
        </w:rPr>
        <w:t>.</w:t>
      </w:r>
    </w:p>
    <w:p w:rsidR="00365DE4" w:rsidRDefault="00365DE4" w:rsidP="00365DE4">
      <w:pPr>
        <w:pStyle w:val="a3"/>
        <w:rPr>
          <w:kern w:val="2"/>
        </w:rPr>
      </w:pPr>
      <w:r>
        <w:t xml:space="preserve">Full Text: </w:t>
      </w:r>
      <w:hyperlink r:id="rId615" w:history="1">
        <w:r>
          <w:rPr>
            <w:rStyle w:val="a5"/>
          </w:rPr>
          <w:t>2010\Coc Dat Sys Rev2010, CD006430.pdf</w:t>
        </w:r>
      </w:hyperlink>
    </w:p>
    <w:p w:rsidR="00365DE4" w:rsidRDefault="00365DE4" w:rsidP="00365DE4">
      <w:pPr>
        <w:pStyle w:val="a3"/>
        <w:rPr>
          <w:kern w:val="0"/>
          <w:szCs w:val="24"/>
        </w:rPr>
      </w:pPr>
      <w:r>
        <w:rPr>
          <w:kern w:val="0"/>
          <w:szCs w:val="24"/>
        </w:rPr>
        <w:t>Abstract: Background Cognitive impairment is a frequent consequence</w:t>
      </w:r>
      <w:r w:rsidR="00427468">
        <w:rPr>
          <w:kern w:val="0"/>
          <w:szCs w:val="24"/>
        </w:rPr>
        <w:t xml:space="preserve"> of </w:t>
      </w:r>
      <w:r>
        <w:rPr>
          <w:kern w:val="0"/>
          <w:szCs w:val="24"/>
        </w:rPr>
        <w:t>stroke</w:t>
      </w:r>
      <w:r w:rsidR="005853A9">
        <w:rPr>
          <w:kern w:val="0"/>
          <w:szCs w:val="24"/>
        </w:rPr>
        <w:t xml:space="preserve"> and </w:t>
      </w:r>
      <w:r>
        <w:rPr>
          <w:kern w:val="0"/>
          <w:szCs w:val="24"/>
        </w:rPr>
        <w:t>can impact on a person</w:t>
      </w:r>
      <w:r w:rsidR="0071223E">
        <w:rPr>
          <w:kern w:val="0"/>
          <w:szCs w:val="24"/>
        </w:rPr>
        <w:t>’</w:t>
      </w:r>
      <w:r>
        <w:rPr>
          <w:kern w:val="0"/>
          <w:szCs w:val="24"/>
        </w:rPr>
        <w:t>s ability to perform everyday activities</w:t>
      </w:r>
      <w:r w:rsidR="00A37C1D">
        <w:rPr>
          <w:kern w:val="0"/>
          <w:szCs w:val="24"/>
        </w:rPr>
        <w:t>. The</w:t>
      </w:r>
      <w:r>
        <w:rPr>
          <w:kern w:val="0"/>
          <w:szCs w:val="24"/>
        </w:rPr>
        <w:t>re are a number</w:t>
      </w:r>
      <w:r w:rsidR="00427468">
        <w:rPr>
          <w:kern w:val="0"/>
          <w:szCs w:val="24"/>
        </w:rPr>
        <w:t xml:space="preserve"> of </w:t>
      </w:r>
      <w:r>
        <w:rPr>
          <w:kern w:val="0"/>
          <w:szCs w:val="24"/>
        </w:rPr>
        <w:t>different intervention strategies that occupational therapists may use when working with people who have cognitive impairment post-stroke. Objectives To determine whether occupational therapy improves functional performance</w:t>
      </w:r>
      <w:r w:rsidR="00427468">
        <w:rPr>
          <w:kern w:val="0"/>
          <w:szCs w:val="24"/>
        </w:rPr>
        <w:t xml:space="preserve"> of </w:t>
      </w:r>
      <w:r>
        <w:rPr>
          <w:kern w:val="0"/>
          <w:szCs w:val="24"/>
        </w:rPr>
        <w:t>basic activities</w:t>
      </w:r>
      <w:r w:rsidR="00427468">
        <w:rPr>
          <w:kern w:val="0"/>
          <w:szCs w:val="24"/>
        </w:rPr>
        <w:t xml:space="preserve"> of </w:t>
      </w:r>
      <w:r>
        <w:rPr>
          <w:kern w:val="0"/>
          <w:szCs w:val="24"/>
        </w:rPr>
        <w:t>daily living (ADL)</w:t>
      </w:r>
      <w:r w:rsidR="005853A9">
        <w:rPr>
          <w:kern w:val="0"/>
          <w:szCs w:val="24"/>
        </w:rPr>
        <w:t xml:space="preserve"> and </w:t>
      </w:r>
      <w:r>
        <w:rPr>
          <w:kern w:val="0"/>
          <w:szCs w:val="24"/>
        </w:rPr>
        <w:t>specific cognitive abilities in people who have cognitive impairment following a stroke. Search strategy We searched the Cochrane Stroke Group Trials Register (last searchedMay 2009), the Cochrane Central Register</w:t>
      </w:r>
      <w:r w:rsidR="00427468">
        <w:rPr>
          <w:kern w:val="0"/>
          <w:szCs w:val="24"/>
        </w:rPr>
        <w:t xml:space="preserve"> of </w:t>
      </w:r>
      <w:r>
        <w:rPr>
          <w:kern w:val="0"/>
          <w:szCs w:val="24"/>
        </w:rPr>
        <w:t xml:space="preserve">Controlled Trials (CENTRAL) (The Cochrane Library Issue 1, 2009), </w:t>
      </w:r>
      <w:r w:rsidR="00D5664A">
        <w:rPr>
          <w:kern w:val="0"/>
          <w:szCs w:val="24"/>
        </w:rPr>
        <w:t>MEDLINE</w:t>
      </w:r>
      <w:r>
        <w:rPr>
          <w:kern w:val="0"/>
          <w:szCs w:val="24"/>
        </w:rPr>
        <w:t xml:space="preserve"> (1966 to April 2009), EMBASE (1980 to April 2009), CINAHL (1982 to April 2009), PsycINFO (1840 to April 2009), PsycBITE, OTseeker</w:t>
      </w:r>
      <w:r w:rsidR="005853A9">
        <w:rPr>
          <w:kern w:val="0"/>
          <w:szCs w:val="24"/>
        </w:rPr>
        <w:t xml:space="preserve"> and </w:t>
      </w:r>
      <w:r>
        <w:rPr>
          <w:kern w:val="0"/>
          <w:szCs w:val="24"/>
        </w:rPr>
        <w:t>Dissertation Abstracts (the latest three were searched up to April 2009). In an effort to identify further published, unpublished,</w:t>
      </w:r>
      <w:r w:rsidR="005853A9">
        <w:rPr>
          <w:kern w:val="0"/>
          <w:szCs w:val="24"/>
        </w:rPr>
        <w:t xml:space="preserve"> and </w:t>
      </w:r>
      <w:r>
        <w:rPr>
          <w:kern w:val="0"/>
          <w:szCs w:val="24"/>
        </w:rPr>
        <w:t>ongoing trials, we also tracked relevant references through the cited reference search in Science Citation Index (SCI)</w:t>
      </w:r>
      <w:r w:rsidR="005853A9">
        <w:rPr>
          <w:kern w:val="0"/>
          <w:szCs w:val="24"/>
        </w:rPr>
        <w:t xml:space="preserve"> and </w:t>
      </w:r>
      <w:r>
        <w:rPr>
          <w:kern w:val="0"/>
          <w:szCs w:val="24"/>
        </w:rPr>
        <w:t>Social Science Citation Index (</w:t>
      </w:r>
      <w:r w:rsidR="00D5664A">
        <w:rPr>
          <w:kern w:val="0"/>
          <w:szCs w:val="24"/>
        </w:rPr>
        <w:t>SSCI</w:t>
      </w:r>
      <w:r>
        <w:rPr>
          <w:kern w:val="0"/>
          <w:szCs w:val="24"/>
        </w:rPr>
        <w:t>), reviewed the reference lists</w:t>
      </w:r>
      <w:r w:rsidR="00427468">
        <w:rPr>
          <w:kern w:val="0"/>
          <w:szCs w:val="24"/>
        </w:rPr>
        <w:t xml:space="preserve"> of </w:t>
      </w:r>
      <w:r>
        <w:rPr>
          <w:kern w:val="0"/>
          <w:szCs w:val="24"/>
        </w:rPr>
        <w:t>relevant studies</w:t>
      </w:r>
      <w:r w:rsidR="005853A9">
        <w:rPr>
          <w:kern w:val="0"/>
          <w:szCs w:val="24"/>
        </w:rPr>
        <w:t xml:space="preserve"> and </w:t>
      </w:r>
      <w:r>
        <w:rPr>
          <w:kern w:val="0"/>
          <w:szCs w:val="24"/>
        </w:rPr>
        <w:t>reviews, handsearched relevant occupational therapy journals,</w:t>
      </w:r>
      <w:r w:rsidR="005853A9">
        <w:rPr>
          <w:kern w:val="0"/>
          <w:szCs w:val="24"/>
        </w:rPr>
        <w:t xml:space="preserve"> and </w:t>
      </w:r>
      <w:r>
        <w:rPr>
          <w:kern w:val="0"/>
          <w:szCs w:val="24"/>
        </w:rPr>
        <w:t>contacted key researchers in the area. Selection criteria Randomised</w:t>
      </w:r>
      <w:r w:rsidR="005853A9">
        <w:rPr>
          <w:kern w:val="0"/>
          <w:szCs w:val="24"/>
        </w:rPr>
        <w:t xml:space="preserve"> and </w:t>
      </w:r>
      <w:r>
        <w:rPr>
          <w:kern w:val="0"/>
          <w:szCs w:val="24"/>
        </w:rPr>
        <w:t>quasi-randomised controlled trials that evaluated an intervention focused on providing cognitive retraining to adults with clinically defined stroke</w:t>
      </w:r>
      <w:r w:rsidR="005853A9">
        <w:rPr>
          <w:kern w:val="0"/>
          <w:szCs w:val="24"/>
        </w:rPr>
        <w:t xml:space="preserve"> and </w:t>
      </w:r>
      <w:r>
        <w:rPr>
          <w:kern w:val="0"/>
          <w:szCs w:val="24"/>
        </w:rPr>
        <w:t>confirmed cognitive impairment</w:t>
      </w:r>
      <w:r w:rsidR="00A37C1D">
        <w:rPr>
          <w:kern w:val="0"/>
          <w:szCs w:val="24"/>
        </w:rPr>
        <w:t>. The</w:t>
      </w:r>
      <w:r>
        <w:rPr>
          <w:kern w:val="0"/>
          <w:szCs w:val="24"/>
        </w:rPr>
        <w:t xml:space="preserve"> intervention needed either to be provided by an occupational therapist or given under the supervision</w:t>
      </w:r>
      <w:r w:rsidR="00427468">
        <w:rPr>
          <w:kern w:val="0"/>
          <w:szCs w:val="24"/>
        </w:rPr>
        <w:t xml:space="preserve"> of </w:t>
      </w:r>
      <w:r>
        <w:rPr>
          <w:kern w:val="0"/>
          <w:szCs w:val="24"/>
        </w:rPr>
        <w:t>an occupational therapist. Data collection</w:t>
      </w:r>
      <w:r w:rsidR="005853A9">
        <w:rPr>
          <w:kern w:val="0"/>
          <w:szCs w:val="24"/>
        </w:rPr>
        <w:t xml:space="preserve"> and </w:t>
      </w:r>
      <w:r>
        <w:rPr>
          <w:kern w:val="0"/>
          <w:szCs w:val="24"/>
        </w:rPr>
        <w:t xml:space="preserve">analysis Two review authors independently examined the abstracts that might </w:t>
      </w:r>
      <w:r>
        <w:rPr>
          <w:kern w:val="0"/>
          <w:szCs w:val="24"/>
        </w:rPr>
        <w:lastRenderedPageBreak/>
        <w:t>meet the inclusion criteria, assessed the quality</w:t>
      </w:r>
      <w:r w:rsidR="005853A9">
        <w:rPr>
          <w:kern w:val="0"/>
          <w:szCs w:val="24"/>
        </w:rPr>
        <w:t xml:space="preserve"> and </w:t>
      </w:r>
      <w:r>
        <w:rPr>
          <w:kern w:val="0"/>
          <w:szCs w:val="24"/>
        </w:rPr>
        <w:t>extracted data. We have presented results using mean differences. Main results We included one trial with 33 participants in this review. We found no difference between groups for the two relevant outcomes that were measured: improvement in time judgement skills</w:t>
      </w:r>
      <w:r w:rsidR="005853A9">
        <w:rPr>
          <w:kern w:val="0"/>
          <w:szCs w:val="24"/>
        </w:rPr>
        <w:t xml:space="preserve"> and </w:t>
      </w:r>
      <w:r>
        <w:rPr>
          <w:kern w:val="0"/>
          <w:szCs w:val="24"/>
        </w:rPr>
        <w:t>improvement in basic ADLs on the Barthel Index. Authors</w:t>
      </w:r>
      <w:r w:rsidR="0071223E">
        <w:rPr>
          <w:kern w:val="0"/>
          <w:szCs w:val="24"/>
        </w:rPr>
        <w:t>’</w:t>
      </w:r>
      <w:r>
        <w:rPr>
          <w:kern w:val="0"/>
          <w:szCs w:val="24"/>
        </w:rPr>
        <w:t xml:space="preserve"> conclusions The effectiveness</w:t>
      </w:r>
      <w:r w:rsidR="00427468">
        <w:rPr>
          <w:kern w:val="0"/>
          <w:szCs w:val="24"/>
        </w:rPr>
        <w:t xml:space="preserve"> of </w:t>
      </w:r>
      <w:r>
        <w:rPr>
          <w:kern w:val="0"/>
          <w:szCs w:val="24"/>
        </w:rPr>
        <w:t>occupational therapy for cognitive impairment post- stroke remains unclear</w:t>
      </w:r>
      <w:r w:rsidR="00A37C1D">
        <w:rPr>
          <w:kern w:val="0"/>
          <w:szCs w:val="24"/>
        </w:rPr>
        <w:t>. The</w:t>
      </w:r>
      <w:r>
        <w:rPr>
          <w:kern w:val="0"/>
          <w:szCs w:val="24"/>
        </w:rPr>
        <w:t xml:space="preserve"> potential benefits</w:t>
      </w:r>
      <w:r w:rsidR="00427468">
        <w:rPr>
          <w:kern w:val="0"/>
          <w:szCs w:val="24"/>
        </w:rPr>
        <w:t xml:space="preserve"> of </w:t>
      </w:r>
      <w:r>
        <w:rPr>
          <w:kern w:val="0"/>
          <w:szCs w:val="24"/>
        </w:rPr>
        <w:t>cognitive retraining delivered as part</w:t>
      </w:r>
      <w:r w:rsidR="00427468">
        <w:rPr>
          <w:kern w:val="0"/>
          <w:szCs w:val="24"/>
        </w:rPr>
        <w:t xml:space="preserve"> of </w:t>
      </w:r>
      <w:r>
        <w:rPr>
          <w:kern w:val="0"/>
          <w:szCs w:val="24"/>
        </w:rPr>
        <w:t>occupational therapy on improving basic daily activity function or specific cognitive abilities, or both,</w:t>
      </w:r>
      <w:r w:rsidR="00427468">
        <w:rPr>
          <w:kern w:val="0"/>
          <w:szCs w:val="24"/>
        </w:rPr>
        <w:t xml:space="preserve"> of </w:t>
      </w:r>
      <w:r>
        <w:rPr>
          <w:kern w:val="0"/>
          <w:szCs w:val="24"/>
        </w:rPr>
        <w:t>people who have had a stroke cannot be supported or refuted by the evidence included in this review. More research is required.</w:t>
      </w:r>
    </w:p>
    <w:p w:rsidR="00365DE4" w:rsidRDefault="00365DE4" w:rsidP="00365DE4">
      <w:pPr>
        <w:pStyle w:val="a3"/>
        <w:rPr>
          <w:kern w:val="0"/>
          <w:szCs w:val="24"/>
        </w:rPr>
      </w:pPr>
      <w:r>
        <w:rPr>
          <w:kern w:val="0"/>
          <w:szCs w:val="24"/>
        </w:rPr>
        <w:t>Keywords: Adults, Brain-Injury, Citation, Health, Journals, Performance, Program, Quality, Randomized Clinical-Trial, Recovery, Rehabilitation, Remediation, Research, Researchers</w:t>
      </w:r>
      <w:r w:rsidR="00D5664A">
        <w:rPr>
          <w:kern w:val="0"/>
          <w:szCs w:val="24"/>
        </w:rPr>
        <w:t>, SCI,</w:t>
      </w:r>
      <w:r>
        <w:rPr>
          <w:kern w:val="0"/>
          <w:szCs w:val="24"/>
        </w:rPr>
        <w:t xml:space="preserve"> Science Citation Index</w:t>
      </w:r>
    </w:p>
    <w:p w:rsidR="00365DE4" w:rsidRDefault="00365DE4" w:rsidP="00365DE4">
      <w:pPr>
        <w:pStyle w:val="a3"/>
        <w:rPr>
          <w:kern w:val="0"/>
        </w:rPr>
      </w:pPr>
      <w:r>
        <w:rPr>
          <w:kern w:val="0"/>
          <w:szCs w:val="24"/>
        </w:rPr>
        <w:t>? Ervin, A.M., Wojciechowski, R.</w:t>
      </w:r>
      <w:r w:rsidR="005853A9">
        <w:rPr>
          <w:kern w:val="0"/>
          <w:szCs w:val="24"/>
        </w:rPr>
        <w:t xml:space="preserve"> and </w:t>
      </w:r>
      <w:r>
        <w:rPr>
          <w:kern w:val="0"/>
          <w:szCs w:val="24"/>
        </w:rPr>
        <w:t xml:space="preserve">Schein, O. (2010), Punctal occlusion for dry eye syndrome.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szCs w:val="24"/>
        </w:rPr>
        <w:t>,</w:t>
      </w:r>
      <w:r>
        <w:t xml:space="preserve"> Article Number: CD006775</w:t>
      </w:r>
      <w:r>
        <w:rPr>
          <w:kern w:val="0"/>
        </w:rPr>
        <w:t>.</w:t>
      </w:r>
    </w:p>
    <w:p w:rsidR="00365DE4" w:rsidRDefault="00365DE4" w:rsidP="00365DE4">
      <w:pPr>
        <w:pStyle w:val="a3"/>
        <w:rPr>
          <w:kern w:val="2"/>
        </w:rPr>
      </w:pPr>
      <w:r>
        <w:t xml:space="preserve">Full Text: </w:t>
      </w:r>
      <w:hyperlink r:id="rId616" w:history="1">
        <w:r>
          <w:rPr>
            <w:rStyle w:val="a5"/>
          </w:rPr>
          <w:t>2010\Coc Dat Sys Rev2010, CD006775.pdf</w:t>
        </w:r>
      </w:hyperlink>
    </w:p>
    <w:p w:rsidR="00365DE4" w:rsidRDefault="00365DE4" w:rsidP="00365DE4">
      <w:pPr>
        <w:pStyle w:val="a3"/>
        <w:rPr>
          <w:kern w:val="0"/>
          <w:szCs w:val="24"/>
        </w:rPr>
      </w:pPr>
      <w:r>
        <w:rPr>
          <w:kern w:val="0"/>
          <w:szCs w:val="24"/>
        </w:rPr>
        <w:t>Abstract: Background Dry eye syndrome is a disorder</w:t>
      </w:r>
      <w:r w:rsidR="00427468">
        <w:rPr>
          <w:kern w:val="0"/>
          <w:szCs w:val="24"/>
        </w:rPr>
        <w:t xml:space="preserve"> of </w:t>
      </w:r>
      <w:r>
        <w:rPr>
          <w:kern w:val="0"/>
          <w:szCs w:val="24"/>
        </w:rPr>
        <w:t>the tear film</w:t>
      </w:r>
      <w:r w:rsidR="005853A9">
        <w:rPr>
          <w:kern w:val="0"/>
          <w:szCs w:val="24"/>
        </w:rPr>
        <w:t xml:space="preserve"> and </w:t>
      </w:r>
      <w:r>
        <w:rPr>
          <w:kern w:val="0"/>
          <w:szCs w:val="24"/>
        </w:rPr>
        <w:t>is associated with symptoms</w:t>
      </w:r>
      <w:r w:rsidR="00427468">
        <w:rPr>
          <w:kern w:val="0"/>
          <w:szCs w:val="24"/>
        </w:rPr>
        <w:t xml:space="preserve"> of </w:t>
      </w:r>
      <w:r>
        <w:rPr>
          <w:kern w:val="0"/>
          <w:szCs w:val="24"/>
        </w:rPr>
        <w:t>ocular discomfort. Punctal occlusion is a mechanical treatment in which the tear drainage system is blocked in order to aid in the preservation</w:t>
      </w:r>
      <w:r w:rsidR="00427468">
        <w:rPr>
          <w:kern w:val="0"/>
          <w:szCs w:val="24"/>
        </w:rPr>
        <w:t xml:space="preserve"> of </w:t>
      </w:r>
      <w:r>
        <w:rPr>
          <w:kern w:val="0"/>
          <w:szCs w:val="24"/>
        </w:rPr>
        <w:t>natural tears on the ocular surface. Objectives The objective</w:t>
      </w:r>
      <w:r w:rsidR="00427468">
        <w:rPr>
          <w:kern w:val="0"/>
          <w:szCs w:val="24"/>
        </w:rPr>
        <w:t xml:space="preserve"> of </w:t>
      </w:r>
      <w:r>
        <w:rPr>
          <w:kern w:val="0"/>
          <w:szCs w:val="24"/>
        </w:rPr>
        <w:t>this review was to assess the safety</w:t>
      </w:r>
      <w:r w:rsidR="005853A9">
        <w:rPr>
          <w:kern w:val="0"/>
          <w:szCs w:val="24"/>
        </w:rPr>
        <w:t xml:space="preserve"> and </w:t>
      </w:r>
      <w:r>
        <w:rPr>
          <w:kern w:val="0"/>
          <w:szCs w:val="24"/>
        </w:rPr>
        <w:t>efficacy</w:t>
      </w:r>
      <w:r w:rsidR="00427468">
        <w:rPr>
          <w:kern w:val="0"/>
          <w:szCs w:val="24"/>
        </w:rPr>
        <w:t xml:space="preserve"> of </w:t>
      </w:r>
      <w:r>
        <w:rPr>
          <w:kern w:val="0"/>
          <w:szCs w:val="24"/>
        </w:rPr>
        <w:t>punctal plugs for the management</w:t>
      </w:r>
      <w:r w:rsidR="00427468">
        <w:rPr>
          <w:kern w:val="0"/>
          <w:szCs w:val="24"/>
        </w:rPr>
        <w:t xml:space="preserve"> of </w:t>
      </w:r>
      <w:r>
        <w:rPr>
          <w:kern w:val="0"/>
          <w:szCs w:val="24"/>
        </w:rPr>
        <w:t>dry eye. Search strategy We searched the Cochrane Central Register</w:t>
      </w:r>
      <w:r w:rsidR="00427468">
        <w:rPr>
          <w:kern w:val="0"/>
          <w:szCs w:val="24"/>
        </w:rPr>
        <w:t xml:space="preserve"> of </w:t>
      </w:r>
      <w:r>
        <w:rPr>
          <w:kern w:val="0"/>
          <w:szCs w:val="24"/>
        </w:rPr>
        <w:t>Controlled Trials (CENTRAL) (which contains the Cochrane Eyes</w:t>
      </w:r>
      <w:r w:rsidR="005853A9">
        <w:rPr>
          <w:kern w:val="0"/>
          <w:szCs w:val="24"/>
        </w:rPr>
        <w:t xml:space="preserve"> and </w:t>
      </w:r>
      <w:r>
        <w:rPr>
          <w:kern w:val="0"/>
          <w:szCs w:val="24"/>
        </w:rPr>
        <w:t xml:space="preserve">Vision Group Trials Register) (The Cochrane Library 2010, Issue 6), </w:t>
      </w:r>
      <w:r w:rsidR="00D5664A">
        <w:rPr>
          <w:kern w:val="0"/>
          <w:szCs w:val="24"/>
        </w:rPr>
        <w:t>MEDLINE</w:t>
      </w:r>
      <w:r>
        <w:rPr>
          <w:kern w:val="0"/>
          <w:szCs w:val="24"/>
        </w:rPr>
        <w:t xml:space="preserve"> (January 1950 to June 2010), EMBASE (January 1980 to June 2010), Latin American</w:t>
      </w:r>
      <w:r w:rsidR="005853A9">
        <w:rPr>
          <w:kern w:val="0"/>
          <w:szCs w:val="24"/>
        </w:rPr>
        <w:t xml:space="preserve"> and </w:t>
      </w:r>
      <w:r>
        <w:rPr>
          <w:kern w:val="0"/>
          <w:szCs w:val="24"/>
        </w:rPr>
        <w:t>Caribbean Literature on Health Sciences (LILACS) (January 1982 to June 2010), the metaRegister</w:t>
      </w:r>
      <w:r w:rsidR="00427468">
        <w:rPr>
          <w:kern w:val="0"/>
          <w:szCs w:val="24"/>
        </w:rPr>
        <w:t xml:space="preserve"> of </w:t>
      </w:r>
      <w:r>
        <w:rPr>
          <w:kern w:val="0"/>
          <w:szCs w:val="24"/>
        </w:rPr>
        <w:t>Controlled Trials (mRCT) (www. controlled-trials. com)</w:t>
      </w:r>
      <w:r w:rsidR="005853A9">
        <w:rPr>
          <w:kern w:val="0"/>
          <w:szCs w:val="24"/>
        </w:rPr>
        <w:t xml:space="preserve"> and </w:t>
      </w:r>
      <w:r>
        <w:rPr>
          <w:kern w:val="0"/>
          <w:szCs w:val="24"/>
        </w:rPr>
        <w:t>ClinicalTrials. gov (http://clinicaltrials. gov). We also searched the Science Citation Index-Expanded database</w:t>
      </w:r>
      <w:r w:rsidR="005853A9">
        <w:rPr>
          <w:kern w:val="0"/>
          <w:szCs w:val="24"/>
        </w:rPr>
        <w:t xml:space="preserve"> and </w:t>
      </w:r>
      <w:r>
        <w:rPr>
          <w:kern w:val="0"/>
          <w:szCs w:val="24"/>
        </w:rPr>
        <w:t>reference lists</w:t>
      </w:r>
      <w:r w:rsidR="00427468">
        <w:rPr>
          <w:kern w:val="0"/>
          <w:szCs w:val="24"/>
        </w:rPr>
        <w:t xml:space="preserve"> of </w:t>
      </w:r>
      <w:r>
        <w:rPr>
          <w:kern w:val="0"/>
          <w:szCs w:val="24"/>
        </w:rPr>
        <w:t>included studies</w:t>
      </w:r>
      <w:r w:rsidR="00A37C1D">
        <w:rPr>
          <w:kern w:val="0"/>
          <w:szCs w:val="24"/>
        </w:rPr>
        <w:t>. The</w:t>
      </w:r>
      <w:r>
        <w:rPr>
          <w:kern w:val="0"/>
          <w:szCs w:val="24"/>
        </w:rPr>
        <w:t>re were no language or date restrictions in the search for trials</w:t>
      </w:r>
      <w:r w:rsidR="00A37C1D">
        <w:rPr>
          <w:kern w:val="0"/>
          <w:szCs w:val="24"/>
        </w:rPr>
        <w:t>. The</w:t>
      </w:r>
      <w:r>
        <w:rPr>
          <w:kern w:val="0"/>
          <w:szCs w:val="24"/>
        </w:rPr>
        <w:t xml:space="preserve"> electronic databases were last searched on 21 June 2010. Selection criteria We included randomized</w:t>
      </w:r>
      <w:r w:rsidR="005853A9">
        <w:rPr>
          <w:kern w:val="0"/>
          <w:szCs w:val="24"/>
        </w:rPr>
        <w:t xml:space="preserve"> and </w:t>
      </w:r>
      <w:r>
        <w:rPr>
          <w:kern w:val="0"/>
          <w:szCs w:val="24"/>
        </w:rPr>
        <w:t>quasi-randomized controlled trials</w:t>
      </w:r>
      <w:r w:rsidR="00427468">
        <w:rPr>
          <w:kern w:val="0"/>
          <w:szCs w:val="24"/>
        </w:rPr>
        <w:t xml:space="preserve"> of </w:t>
      </w:r>
      <w:r>
        <w:rPr>
          <w:kern w:val="0"/>
          <w:szCs w:val="24"/>
        </w:rPr>
        <w:t>collagen or silicone punctal plugs in symptomatic participants diagnosed with aqueous tear deficiency or dry eye syndrome. Data collection</w:t>
      </w:r>
      <w:r w:rsidR="005853A9">
        <w:rPr>
          <w:kern w:val="0"/>
          <w:szCs w:val="24"/>
        </w:rPr>
        <w:t xml:space="preserve"> and </w:t>
      </w:r>
      <w:r>
        <w:rPr>
          <w:kern w:val="0"/>
          <w:szCs w:val="24"/>
        </w:rPr>
        <w:t>analysis Two review authors independently assessed trial quality</w:t>
      </w:r>
      <w:r w:rsidR="005853A9">
        <w:rPr>
          <w:kern w:val="0"/>
          <w:szCs w:val="24"/>
        </w:rPr>
        <w:t xml:space="preserve"> and </w:t>
      </w:r>
      <w:r>
        <w:rPr>
          <w:kern w:val="0"/>
          <w:szCs w:val="24"/>
        </w:rPr>
        <w:t>extracted data. We contacted study investigators for additional information. Main results Seven randomized controlled trials including 305 participants (601 eyes) met the inclusion criteria</w:t>
      </w:r>
      <w:r w:rsidR="005853A9">
        <w:rPr>
          <w:kern w:val="0"/>
          <w:szCs w:val="24"/>
        </w:rPr>
        <w:t xml:space="preserve"> and </w:t>
      </w:r>
      <w:r>
        <w:rPr>
          <w:kern w:val="0"/>
          <w:szCs w:val="24"/>
        </w:rPr>
        <w:t>are summarized in this review. We did not perform meta-analysis due to appreciable variability in interventions</w:t>
      </w:r>
      <w:r w:rsidR="005853A9">
        <w:rPr>
          <w:kern w:val="0"/>
          <w:szCs w:val="24"/>
        </w:rPr>
        <w:t xml:space="preserve"> and </w:t>
      </w:r>
      <w:r>
        <w:rPr>
          <w:kern w:val="0"/>
          <w:szCs w:val="24"/>
        </w:rPr>
        <w:t xml:space="preserve">follow-up intervals. Although punctal </w:t>
      </w:r>
      <w:r>
        <w:rPr>
          <w:kern w:val="0"/>
          <w:szCs w:val="24"/>
        </w:rPr>
        <w:lastRenderedPageBreak/>
        <w:t>plugs provided symptomatic improvement</w:t>
      </w:r>
      <w:r w:rsidR="005853A9">
        <w:rPr>
          <w:kern w:val="0"/>
          <w:szCs w:val="24"/>
        </w:rPr>
        <w:t xml:space="preserve"> and </w:t>
      </w:r>
      <w:r>
        <w:rPr>
          <w:kern w:val="0"/>
          <w:szCs w:val="24"/>
        </w:rPr>
        <w:t>clinical outcomes also improved frombaseline measures, few studies demonstrated a benefit</w:t>
      </w:r>
      <w:r w:rsidR="00427468">
        <w:rPr>
          <w:kern w:val="0"/>
          <w:szCs w:val="24"/>
        </w:rPr>
        <w:t xml:space="preserve"> of </w:t>
      </w:r>
      <w:r>
        <w:rPr>
          <w:kern w:val="0"/>
          <w:szCs w:val="24"/>
        </w:rPr>
        <w:t>punctal plugs over the comparison intervention. Reported adverse effects included epiphora (overflow</w:t>
      </w:r>
      <w:r w:rsidR="00427468">
        <w:rPr>
          <w:kern w:val="0"/>
          <w:szCs w:val="24"/>
        </w:rPr>
        <w:t xml:space="preserve"> of </w:t>
      </w:r>
      <w:r>
        <w:rPr>
          <w:kern w:val="0"/>
          <w:szCs w:val="24"/>
        </w:rPr>
        <w:t>tears), foreign body sensation, eye irritation,</w:t>
      </w:r>
      <w:r w:rsidR="005853A9">
        <w:rPr>
          <w:kern w:val="0"/>
          <w:szCs w:val="24"/>
        </w:rPr>
        <w:t xml:space="preserve"> and </w:t>
      </w:r>
      <w:r>
        <w:rPr>
          <w:kern w:val="0"/>
          <w:szCs w:val="24"/>
        </w:rPr>
        <w:t>spontaneous plug loss. Authors</w:t>
      </w:r>
      <w:r w:rsidR="0071223E">
        <w:rPr>
          <w:kern w:val="0"/>
          <w:szCs w:val="24"/>
        </w:rPr>
        <w:t>’</w:t>
      </w:r>
      <w:r>
        <w:rPr>
          <w:kern w:val="0"/>
          <w:szCs w:val="24"/>
        </w:rPr>
        <w:t xml:space="preserve"> conclusions This systematic review shows a relative scarcity</w:t>
      </w:r>
      <w:r w:rsidR="00427468">
        <w:rPr>
          <w:kern w:val="0"/>
          <w:szCs w:val="24"/>
        </w:rPr>
        <w:t xml:space="preserve"> of </w:t>
      </w:r>
      <w:r>
        <w:rPr>
          <w:kern w:val="0"/>
          <w:szCs w:val="24"/>
        </w:rPr>
        <w:t>controlled clinical trials assessing the efficacy</w:t>
      </w:r>
      <w:r w:rsidR="00427468">
        <w:rPr>
          <w:kern w:val="0"/>
          <w:szCs w:val="24"/>
        </w:rPr>
        <w:t xml:space="preserve"> of </w:t>
      </w:r>
      <w:r>
        <w:rPr>
          <w:kern w:val="0"/>
          <w:szCs w:val="24"/>
        </w:rPr>
        <w:t>punctal occlusion therapy in dry eye. Although the evidence is very limited, the data suggest that silicone plugs can provide symptomatic relief in severe dry eye. Moreover, temporary collagen plugs appear similarly effective to silicone plugs on a short-term basis.</w:t>
      </w:r>
    </w:p>
    <w:p w:rsidR="00365DE4" w:rsidRDefault="00365DE4" w:rsidP="00365DE4">
      <w:pPr>
        <w:pStyle w:val="a3"/>
        <w:rPr>
          <w:kern w:val="0"/>
          <w:szCs w:val="24"/>
        </w:rPr>
      </w:pPr>
      <w:r>
        <w:rPr>
          <w:kern w:val="0"/>
          <w:szCs w:val="24"/>
        </w:rPr>
        <w:t>Keywords: Citation, Efficacy, Epidemiology, Keratoconjunctivitis Sicca, Management, Prevalence, Prospective Randomized-Trial, Risk-Factors, Science Citation Index Expanded, Silicone Plugs, Symptoms, Therapy</w:t>
      </w:r>
    </w:p>
    <w:p w:rsidR="00365DE4" w:rsidRDefault="00365DE4" w:rsidP="00365DE4">
      <w:pPr>
        <w:pStyle w:val="a3"/>
        <w:rPr>
          <w:kern w:val="0"/>
        </w:rPr>
      </w:pPr>
      <w:r>
        <w:rPr>
          <w:kern w:val="0"/>
          <w:szCs w:val="24"/>
        </w:rPr>
        <w:t>? Boncoraglio, G.B., Bersano, A., Candelise, L., Reynolds, B.A.</w:t>
      </w:r>
      <w:r w:rsidR="005853A9">
        <w:rPr>
          <w:kern w:val="0"/>
          <w:szCs w:val="24"/>
        </w:rPr>
        <w:t xml:space="preserve"> and </w:t>
      </w:r>
      <w:r>
        <w:rPr>
          <w:kern w:val="0"/>
          <w:szCs w:val="24"/>
        </w:rPr>
        <w:t xml:space="preserve">Parati, E.A. (2010), Stem cell transplantation for ischemic stroke.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szCs w:val="24"/>
        </w:rPr>
        <w:t>,</w:t>
      </w:r>
      <w:r>
        <w:t xml:space="preserve"> Article Number: CD007231</w:t>
      </w:r>
      <w:r>
        <w:rPr>
          <w:kern w:val="0"/>
        </w:rPr>
        <w:t>.</w:t>
      </w:r>
    </w:p>
    <w:p w:rsidR="00365DE4" w:rsidRDefault="00365DE4" w:rsidP="00365DE4">
      <w:pPr>
        <w:pStyle w:val="a3"/>
        <w:rPr>
          <w:kern w:val="2"/>
        </w:rPr>
      </w:pPr>
      <w:r>
        <w:t xml:space="preserve">Full Text: </w:t>
      </w:r>
      <w:hyperlink r:id="rId617" w:history="1">
        <w:r>
          <w:rPr>
            <w:rStyle w:val="a5"/>
          </w:rPr>
          <w:t>2010\Coc Dat Sys Rev2010, CD007231.pdf</w:t>
        </w:r>
      </w:hyperlink>
    </w:p>
    <w:p w:rsidR="00365DE4" w:rsidRDefault="00365DE4" w:rsidP="00365DE4">
      <w:pPr>
        <w:pStyle w:val="a3"/>
        <w:rPr>
          <w:kern w:val="0"/>
          <w:szCs w:val="24"/>
        </w:rPr>
      </w:pPr>
      <w:r>
        <w:rPr>
          <w:kern w:val="0"/>
          <w:szCs w:val="24"/>
        </w:rPr>
        <w:t>Abstract: Background Studies in animal models</w:t>
      </w:r>
      <w:r w:rsidR="00427468">
        <w:rPr>
          <w:kern w:val="0"/>
          <w:szCs w:val="24"/>
        </w:rPr>
        <w:t xml:space="preserve"> of </w:t>
      </w:r>
      <w:r>
        <w:rPr>
          <w:kern w:val="0"/>
          <w:szCs w:val="24"/>
        </w:rPr>
        <w:t>ischemic stroke have shown that stem cells transplanted into the brain can lead to functional improvement. However, to date, evidence for the benefits</w:t>
      </w:r>
      <w:r w:rsidR="00427468">
        <w:rPr>
          <w:kern w:val="0"/>
          <w:szCs w:val="24"/>
        </w:rPr>
        <w:t xml:space="preserve"> of </w:t>
      </w:r>
      <w:r>
        <w:rPr>
          <w:kern w:val="0"/>
          <w:szCs w:val="24"/>
        </w:rPr>
        <w:t>stem cell transplantation in ischemic stroke patients is lacking. Objectives To assess the efficacy</w:t>
      </w:r>
      <w:r w:rsidR="005853A9">
        <w:rPr>
          <w:kern w:val="0"/>
          <w:szCs w:val="24"/>
        </w:rPr>
        <w:t xml:space="preserve"> and </w:t>
      </w:r>
      <w:r>
        <w:rPr>
          <w:kern w:val="0"/>
          <w:szCs w:val="24"/>
        </w:rPr>
        <w:t>safety</w:t>
      </w:r>
      <w:r w:rsidR="00427468">
        <w:rPr>
          <w:kern w:val="0"/>
          <w:szCs w:val="24"/>
        </w:rPr>
        <w:t xml:space="preserve"> of </w:t>
      </w:r>
      <w:r>
        <w:rPr>
          <w:kern w:val="0"/>
          <w:szCs w:val="24"/>
        </w:rPr>
        <w:t>stem cell transplantation compared with conventional treatments in patients with ischemic stroke. Search strategy We searched the Cochrane Stroke Group Trials Register (last searched February 2010), the Cochrane Central Register</w:t>
      </w:r>
      <w:r w:rsidR="00427468">
        <w:rPr>
          <w:kern w:val="0"/>
          <w:szCs w:val="24"/>
        </w:rPr>
        <w:t xml:space="preserve"> of </w:t>
      </w:r>
      <w:r>
        <w:rPr>
          <w:kern w:val="0"/>
          <w:szCs w:val="24"/>
        </w:rPr>
        <w:t xml:space="preserve">Controlled Trials (CENTRAL) (The Cochrane Library 2009, Issue 3), </w:t>
      </w:r>
      <w:r w:rsidR="00D5664A">
        <w:rPr>
          <w:kern w:val="0"/>
          <w:szCs w:val="24"/>
        </w:rPr>
        <w:t>MEDLINE</w:t>
      </w:r>
      <w:r>
        <w:rPr>
          <w:kern w:val="0"/>
          <w:szCs w:val="24"/>
        </w:rPr>
        <w:t xml:space="preserve"> (1966 to August 2008), EMBASE (1980 to August 2008), Science Citation Index (1900 to August 2008),</w:t>
      </w:r>
      <w:r w:rsidR="005853A9">
        <w:rPr>
          <w:kern w:val="0"/>
          <w:szCs w:val="24"/>
        </w:rPr>
        <w:t xml:space="preserve"> and </w:t>
      </w:r>
      <w:r>
        <w:rPr>
          <w:kern w:val="0"/>
          <w:szCs w:val="24"/>
        </w:rPr>
        <w:t>BIOSIS (1926 to August 2008). We handsearched potentially relevant conference proceedings, screened reference lists,</w:t>
      </w:r>
      <w:r w:rsidR="005853A9">
        <w:rPr>
          <w:kern w:val="0"/>
          <w:szCs w:val="24"/>
        </w:rPr>
        <w:t xml:space="preserve"> and </w:t>
      </w:r>
      <w:r>
        <w:rPr>
          <w:kern w:val="0"/>
          <w:szCs w:val="24"/>
        </w:rPr>
        <w:t>searched ongoing trials</w:t>
      </w:r>
      <w:r w:rsidR="005853A9">
        <w:rPr>
          <w:kern w:val="0"/>
          <w:szCs w:val="24"/>
        </w:rPr>
        <w:t xml:space="preserve"> and </w:t>
      </w:r>
      <w:r>
        <w:rPr>
          <w:kern w:val="0"/>
          <w:szCs w:val="24"/>
        </w:rPr>
        <w:t>research registers (last searchedNovember 2008). We also contacted individuals active in the field</w:t>
      </w:r>
      <w:r w:rsidR="005853A9">
        <w:rPr>
          <w:kern w:val="0"/>
          <w:szCs w:val="24"/>
        </w:rPr>
        <w:t xml:space="preserve"> and </w:t>
      </w:r>
      <w:r>
        <w:rPr>
          <w:kern w:val="0"/>
          <w:szCs w:val="24"/>
        </w:rPr>
        <w:t>stem cell manufacturers (last contacted December 2008). Selection criteria We included randomized controlled trials (RCTs) recruiting patients with ischemic stroke, in any phase</w:t>
      </w:r>
      <w:r w:rsidR="00427468">
        <w:rPr>
          <w:kern w:val="0"/>
          <w:szCs w:val="24"/>
        </w:rPr>
        <w:t xml:space="preserve"> of </w:t>
      </w:r>
      <w:r>
        <w:rPr>
          <w:kern w:val="0"/>
          <w:szCs w:val="24"/>
        </w:rPr>
        <w:t>the disease,</w:t>
      </w:r>
      <w:r w:rsidR="005853A9">
        <w:rPr>
          <w:kern w:val="0"/>
          <w:szCs w:val="24"/>
        </w:rPr>
        <w:t xml:space="preserve"> and </w:t>
      </w:r>
      <w:r>
        <w:rPr>
          <w:kern w:val="0"/>
          <w:szCs w:val="24"/>
        </w:rPr>
        <w:t>an ischemic lesion confirmed by computerized tomography or magnetic resonance imaging scan. We included all types</w:t>
      </w:r>
      <w:r w:rsidR="00427468">
        <w:rPr>
          <w:kern w:val="0"/>
          <w:szCs w:val="24"/>
        </w:rPr>
        <w:t xml:space="preserve"> of </w:t>
      </w:r>
      <w:r>
        <w:rPr>
          <w:kern w:val="0"/>
          <w:szCs w:val="24"/>
        </w:rPr>
        <w:t>stem cell transplantation regardless</w:t>
      </w:r>
      <w:r w:rsidR="00427468">
        <w:rPr>
          <w:kern w:val="0"/>
          <w:szCs w:val="24"/>
        </w:rPr>
        <w:t xml:space="preserve"> of </w:t>
      </w:r>
      <w:r>
        <w:rPr>
          <w:kern w:val="0"/>
          <w:szCs w:val="24"/>
        </w:rPr>
        <w:t>cell source (autograft, allograft, or xenograft; embryonic, fetal, or adult; from brain or other tissues), route</w:t>
      </w:r>
      <w:r w:rsidR="00427468">
        <w:rPr>
          <w:kern w:val="0"/>
          <w:szCs w:val="24"/>
        </w:rPr>
        <w:t xml:space="preserve"> of </w:t>
      </w:r>
      <w:r>
        <w:rPr>
          <w:kern w:val="0"/>
          <w:szCs w:val="24"/>
        </w:rPr>
        <w:t>cell administration (systemic or local),</w:t>
      </w:r>
      <w:r w:rsidR="005853A9">
        <w:rPr>
          <w:kern w:val="0"/>
          <w:szCs w:val="24"/>
        </w:rPr>
        <w:t xml:space="preserve"> and </w:t>
      </w:r>
      <w:r>
        <w:rPr>
          <w:kern w:val="0"/>
          <w:szCs w:val="24"/>
        </w:rPr>
        <w:t>dosage</w:t>
      </w:r>
      <w:r w:rsidR="00A37C1D">
        <w:rPr>
          <w:kern w:val="0"/>
          <w:szCs w:val="24"/>
        </w:rPr>
        <w:t>. The</w:t>
      </w:r>
      <w:r>
        <w:rPr>
          <w:kern w:val="0"/>
          <w:szCs w:val="24"/>
        </w:rPr>
        <w:t xml:space="preserve"> primary outcome was efficacy (assessed as combined functional outcome or disability</w:t>
      </w:r>
      <w:r w:rsidR="005853A9">
        <w:rPr>
          <w:kern w:val="0"/>
          <w:szCs w:val="24"/>
        </w:rPr>
        <w:t xml:space="preserve"> and </w:t>
      </w:r>
      <w:r>
        <w:rPr>
          <w:kern w:val="0"/>
          <w:szCs w:val="24"/>
        </w:rPr>
        <w:t>dependency) at longer follow-up (minimum six months). Secondary outcomes included post-procedure safety outcomes (death, worsening</w:t>
      </w:r>
      <w:r w:rsidR="00427468">
        <w:rPr>
          <w:kern w:val="0"/>
          <w:szCs w:val="24"/>
        </w:rPr>
        <w:t xml:space="preserve"> of </w:t>
      </w:r>
      <w:r>
        <w:rPr>
          <w:kern w:val="0"/>
          <w:szCs w:val="24"/>
        </w:rPr>
        <w:t>neurological deficit, infections</w:t>
      </w:r>
      <w:r w:rsidR="005853A9">
        <w:rPr>
          <w:kern w:val="0"/>
          <w:szCs w:val="24"/>
        </w:rPr>
        <w:t xml:space="preserve"> and </w:t>
      </w:r>
      <w:r>
        <w:rPr>
          <w:kern w:val="0"/>
          <w:szCs w:val="24"/>
        </w:rPr>
        <w:t>neoplastic transformation). Data collection</w:t>
      </w:r>
      <w:r w:rsidR="005853A9">
        <w:rPr>
          <w:kern w:val="0"/>
          <w:szCs w:val="24"/>
        </w:rPr>
        <w:t xml:space="preserve"> and </w:t>
      </w:r>
      <w:r>
        <w:rPr>
          <w:kern w:val="0"/>
          <w:szCs w:val="24"/>
        </w:rPr>
        <w:t xml:space="preserve">analysis Two review authors </w:t>
      </w:r>
      <w:r>
        <w:rPr>
          <w:kern w:val="0"/>
          <w:szCs w:val="24"/>
        </w:rPr>
        <w:lastRenderedPageBreak/>
        <w:t>independently extracted data</w:t>
      </w:r>
      <w:r w:rsidR="005853A9">
        <w:rPr>
          <w:kern w:val="0"/>
          <w:szCs w:val="24"/>
        </w:rPr>
        <w:t xml:space="preserve"> and </w:t>
      </w:r>
      <w:r>
        <w:rPr>
          <w:kern w:val="0"/>
          <w:szCs w:val="24"/>
        </w:rPr>
        <w:t>assessed trial quality. We contacted study authors for additional information. Main results We identified three very small RCTs. Two are still awaiting classification because only subgroups</w:t>
      </w:r>
      <w:r w:rsidR="00427468">
        <w:rPr>
          <w:kern w:val="0"/>
          <w:szCs w:val="24"/>
        </w:rPr>
        <w:t xml:space="preserve"> of </w:t>
      </w:r>
      <w:r>
        <w:rPr>
          <w:kern w:val="0"/>
          <w:szCs w:val="24"/>
        </w:rPr>
        <w:t>patients could be included in this meta-analysis</w:t>
      </w:r>
      <w:r w:rsidR="005853A9">
        <w:rPr>
          <w:kern w:val="0"/>
          <w:szCs w:val="24"/>
        </w:rPr>
        <w:t xml:space="preserve"> and </w:t>
      </w:r>
      <w:r>
        <w:rPr>
          <w:kern w:val="0"/>
          <w:szCs w:val="24"/>
        </w:rPr>
        <w:t>additional unpublished data are needed</w:t>
      </w:r>
      <w:r w:rsidR="00A37C1D">
        <w:rPr>
          <w:kern w:val="0"/>
          <w:szCs w:val="24"/>
        </w:rPr>
        <w:t>. The</w:t>
      </w:r>
      <w:r>
        <w:rPr>
          <w:kern w:val="0"/>
          <w:szCs w:val="24"/>
        </w:rPr>
        <w:t xml:space="preserve"> third trial randomized 30 patients to intravenous transplantation</w:t>
      </w:r>
      <w:r w:rsidR="00427468">
        <w:rPr>
          <w:kern w:val="0"/>
          <w:szCs w:val="24"/>
        </w:rPr>
        <w:t xml:space="preserve"> of </w:t>
      </w:r>
      <w:r>
        <w:rPr>
          <w:kern w:val="0"/>
          <w:szCs w:val="24"/>
        </w:rPr>
        <w:t>autologous mesenchymal stem cell (10 participants) or reference group (20 participants) (five participants, initially randomized to the intervention group, refused the treatment</w:t>
      </w:r>
      <w:r w:rsidR="005853A9">
        <w:rPr>
          <w:kern w:val="0"/>
          <w:szCs w:val="24"/>
        </w:rPr>
        <w:t xml:space="preserve"> and </w:t>
      </w:r>
      <w:r>
        <w:rPr>
          <w:kern w:val="0"/>
          <w:szCs w:val="24"/>
        </w:rPr>
        <w:t>were allocated to the reference group)</w:t>
      </w:r>
      <w:r w:rsidR="005853A9">
        <w:rPr>
          <w:kern w:val="0"/>
          <w:szCs w:val="24"/>
        </w:rPr>
        <w:t xml:space="preserve"> and </w:t>
      </w:r>
      <w:r>
        <w:rPr>
          <w:kern w:val="0"/>
          <w:szCs w:val="24"/>
        </w:rPr>
        <w:t>found a statistically non-significant functional improvement in treated patients at longer follow-up. No adverse cell-related events were reported. Authors</w:t>
      </w:r>
      <w:r w:rsidR="0071223E">
        <w:rPr>
          <w:kern w:val="0"/>
          <w:szCs w:val="24"/>
        </w:rPr>
        <w:t>’</w:t>
      </w:r>
      <w:r>
        <w:rPr>
          <w:kern w:val="0"/>
          <w:szCs w:val="24"/>
        </w:rPr>
        <w:t>s conclusions No large trials</w:t>
      </w:r>
      <w:r w:rsidR="00427468">
        <w:rPr>
          <w:kern w:val="0"/>
          <w:szCs w:val="24"/>
        </w:rPr>
        <w:t xml:space="preserve"> of </w:t>
      </w:r>
      <w:r>
        <w:rPr>
          <w:kern w:val="0"/>
          <w:szCs w:val="24"/>
        </w:rPr>
        <w:t>stem cell transplantation have been performed in ischemic stroke patients</w:t>
      </w:r>
      <w:r w:rsidR="005853A9">
        <w:rPr>
          <w:kern w:val="0"/>
          <w:szCs w:val="24"/>
        </w:rPr>
        <w:t xml:space="preserve"> and </w:t>
      </w:r>
      <w:r>
        <w:rPr>
          <w:kern w:val="0"/>
          <w:szCs w:val="24"/>
        </w:rPr>
        <w:t>it is too early to know whether this intervention can improve functional outcome. Large, well-designed trials are needed.</w:t>
      </w:r>
    </w:p>
    <w:p w:rsidR="00365DE4" w:rsidRDefault="00365DE4" w:rsidP="00365DE4">
      <w:pPr>
        <w:pStyle w:val="a3"/>
        <w:rPr>
          <w:kern w:val="0"/>
          <w:szCs w:val="24"/>
        </w:rPr>
      </w:pPr>
      <w:r>
        <w:rPr>
          <w:kern w:val="0"/>
          <w:szCs w:val="24"/>
        </w:rPr>
        <w:t>Keywords: Citation, Implantation, Neurological Disorders, Neurotransplantation, Research, Science Citation Index, Therapy, Trial</w:t>
      </w:r>
    </w:p>
    <w:p w:rsidR="0097422C" w:rsidRDefault="0097422C" w:rsidP="0097422C">
      <w:pPr>
        <w:pStyle w:val="a3"/>
        <w:rPr>
          <w:kern w:val="0"/>
        </w:rPr>
      </w:pPr>
      <w:r>
        <w:rPr>
          <w:rFonts w:hint="eastAsia"/>
          <w:kern w:val="0"/>
        </w:rPr>
        <w:t xml:space="preserve">? </w:t>
      </w:r>
      <w:r>
        <w:rPr>
          <w:kern w:val="0"/>
        </w:rPr>
        <w:t>Adie, S., Kwan, A., Naylor, J.M., Harris, I.A.</w:t>
      </w:r>
      <w:r w:rsidR="005853A9">
        <w:rPr>
          <w:kern w:val="0"/>
        </w:rPr>
        <w:t xml:space="preserve"> and </w:t>
      </w:r>
      <w:r>
        <w:rPr>
          <w:kern w:val="0"/>
        </w:rPr>
        <w:t xml:space="preserve">Mittal, R. (2012), Cryotherapy following total knee replacement.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9</w:t>
      </w:r>
      <w:r>
        <w:rPr>
          <w:kern w:val="0"/>
        </w:rPr>
        <w:t xml:space="preserve">, Article Number: </w:t>
      </w:r>
      <w:r w:rsidRPr="0074333A">
        <w:rPr>
          <w:kern w:val="0"/>
        </w:rPr>
        <w:t>CD007911</w:t>
      </w:r>
      <w:r>
        <w:rPr>
          <w:kern w:val="0"/>
        </w:rPr>
        <w:t>.</w:t>
      </w:r>
    </w:p>
    <w:p w:rsidR="0097422C" w:rsidRDefault="0097422C" w:rsidP="0097422C">
      <w:pPr>
        <w:pStyle w:val="a3"/>
        <w:rPr>
          <w:kern w:val="2"/>
        </w:rPr>
      </w:pPr>
      <w:r>
        <w:t xml:space="preserve">Full Text: 2013\Coc Dat Sys Rev2013, </w:t>
      </w:r>
      <w:r w:rsidRPr="0074333A">
        <w:rPr>
          <w:kern w:val="0"/>
        </w:rPr>
        <w:t>CD007911</w:t>
      </w:r>
      <w:r>
        <w:t>.pdf</w:t>
      </w:r>
    </w:p>
    <w:p w:rsidR="0097422C" w:rsidRDefault="0097422C" w:rsidP="0097422C">
      <w:pPr>
        <w:pStyle w:val="a3"/>
        <w:rPr>
          <w:kern w:val="0"/>
        </w:rPr>
      </w:pPr>
      <w:r>
        <w:rPr>
          <w:kern w:val="0"/>
        </w:rPr>
        <w:t>Abstract: Background Total knee replacement (TKR) is a common intervention for patients with end-stage osteoarthritis</w:t>
      </w:r>
      <w:r w:rsidR="00427468">
        <w:rPr>
          <w:kern w:val="0"/>
        </w:rPr>
        <w:t xml:space="preserve"> of </w:t>
      </w:r>
      <w:r>
        <w:rPr>
          <w:kern w:val="0"/>
        </w:rPr>
        <w:t>the knee. Post-surgical management may include cryotherapy. However, the effectiveness</w:t>
      </w:r>
      <w:r w:rsidR="00427468">
        <w:rPr>
          <w:kern w:val="0"/>
        </w:rPr>
        <w:t xml:space="preserve"> of </w:t>
      </w:r>
      <w:r>
        <w:rPr>
          <w:kern w:val="0"/>
        </w:rPr>
        <w:t>cryotherapy is unclear. Objectives To evaluate the acute (within 48 hours) application</w:t>
      </w:r>
      <w:r w:rsidR="00427468">
        <w:rPr>
          <w:kern w:val="0"/>
        </w:rPr>
        <w:t xml:space="preserve"> of </w:t>
      </w:r>
      <w:r>
        <w:rPr>
          <w:kern w:val="0"/>
        </w:rPr>
        <w:t>cryotherapy following TKR on pain, blood loss</w:t>
      </w:r>
      <w:r w:rsidR="005853A9">
        <w:rPr>
          <w:kern w:val="0"/>
        </w:rPr>
        <w:t xml:space="preserve"> and </w:t>
      </w:r>
      <w:r>
        <w:rPr>
          <w:kern w:val="0"/>
        </w:rPr>
        <w:t>function. Search methods We searched the Cochrane Database</w:t>
      </w:r>
      <w:r w:rsidR="00427468">
        <w:rPr>
          <w:kern w:val="0"/>
        </w:rPr>
        <w:t xml:space="preserve"> of </w:t>
      </w:r>
      <w:r>
        <w:rPr>
          <w:kern w:val="0"/>
        </w:rPr>
        <w:t xml:space="preserve">Systematic Reviews, CENTRAL, DARE, HTA Database, </w:t>
      </w:r>
      <w:r w:rsidR="00D5664A">
        <w:rPr>
          <w:kern w:val="0"/>
        </w:rPr>
        <w:t>MEDLINE</w:t>
      </w:r>
      <w:r>
        <w:rPr>
          <w:kern w:val="0"/>
        </w:rPr>
        <w:t>, EMBASE, CINAHL, PEDro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on 15th March 2012. Selection criteria Randomised controlled trials or controlled clinical trials in which the experimental group received any form</w:t>
      </w:r>
      <w:r w:rsidR="00427468">
        <w:rPr>
          <w:kern w:val="0"/>
        </w:rPr>
        <w:t xml:space="preserve"> of </w:t>
      </w:r>
      <w:r>
        <w:rPr>
          <w:kern w:val="0"/>
        </w:rPr>
        <w:t>cryotherapy,</w:t>
      </w:r>
      <w:r w:rsidR="005853A9">
        <w:rPr>
          <w:kern w:val="0"/>
        </w:rPr>
        <w:t xml:space="preserve"> and </w:t>
      </w:r>
      <w:r>
        <w:rPr>
          <w:kern w:val="0"/>
        </w:rPr>
        <w:t>was compared to any control group following TKR indicated for osteoarthritis. Data collection</w:t>
      </w:r>
      <w:r w:rsidR="005853A9">
        <w:rPr>
          <w:kern w:val="0"/>
        </w:rPr>
        <w:t xml:space="preserve"> and </w:t>
      </w:r>
      <w:r>
        <w:rPr>
          <w:kern w:val="0"/>
        </w:rPr>
        <w:t>analysis Two reviewers independently selected trials for inclusion. Disagreements were discussed</w:t>
      </w:r>
      <w:r w:rsidR="005853A9">
        <w:rPr>
          <w:kern w:val="0"/>
        </w:rPr>
        <w:t xml:space="preserve"> and </w:t>
      </w:r>
      <w:r>
        <w:rPr>
          <w:kern w:val="0"/>
        </w:rPr>
        <w:t>resolved involving a third reviewer if required. Data were then extracted</w:t>
      </w:r>
      <w:r w:rsidR="005853A9">
        <w:rPr>
          <w:kern w:val="0"/>
        </w:rPr>
        <w:t xml:space="preserve"> and </w:t>
      </w:r>
      <w:r>
        <w:rPr>
          <w:kern w:val="0"/>
        </w:rPr>
        <w:t>the risk</w:t>
      </w:r>
      <w:r w:rsidR="00427468">
        <w:rPr>
          <w:kern w:val="0"/>
        </w:rPr>
        <w:t xml:space="preserve"> of </w:t>
      </w:r>
      <w:r>
        <w:rPr>
          <w:kern w:val="0"/>
        </w:rPr>
        <w:t>bias</w:t>
      </w:r>
      <w:r w:rsidR="00427468">
        <w:rPr>
          <w:kern w:val="0"/>
        </w:rPr>
        <w:t xml:space="preserve"> of </w:t>
      </w:r>
      <w:r>
        <w:rPr>
          <w:kern w:val="0"/>
        </w:rPr>
        <w:t>trials assessed. Main outcomes were blood loss, visual analogue score (VAS) pain, adverse events, knee range</w:t>
      </w:r>
      <w:r w:rsidR="00427468">
        <w:rPr>
          <w:kern w:val="0"/>
        </w:rPr>
        <w:t xml:space="preserve"> of </w:t>
      </w:r>
      <w:r>
        <w:rPr>
          <w:kern w:val="0"/>
        </w:rPr>
        <w:t>motion, transfusion rate</w:t>
      </w:r>
      <w:r w:rsidR="005853A9">
        <w:rPr>
          <w:kern w:val="0"/>
        </w:rPr>
        <w:t xml:space="preserve"> and </w:t>
      </w:r>
      <w:r>
        <w:rPr>
          <w:kern w:val="0"/>
        </w:rPr>
        <w:t>knee function. Secondary outcomes were analgesia use, knee swelling, length</w:t>
      </w:r>
      <w:r w:rsidR="00427468">
        <w:rPr>
          <w:kern w:val="0"/>
        </w:rPr>
        <w:t xml:space="preserve"> of </w:t>
      </w:r>
      <w:r>
        <w:rPr>
          <w:kern w:val="0"/>
        </w:rPr>
        <w:t>hospital stay, quality</w:t>
      </w:r>
      <w:r w:rsidR="00427468">
        <w:rPr>
          <w:kern w:val="0"/>
        </w:rPr>
        <w:t xml:space="preserve"> of </w:t>
      </w:r>
      <w:r>
        <w:rPr>
          <w:kern w:val="0"/>
        </w:rPr>
        <w:t>life</w:t>
      </w:r>
      <w:r w:rsidR="005853A9">
        <w:rPr>
          <w:kern w:val="0"/>
        </w:rPr>
        <w:t xml:space="preserve"> and </w:t>
      </w:r>
      <w:r>
        <w:rPr>
          <w:kern w:val="0"/>
        </w:rPr>
        <w:t>activity level. Effects</w:t>
      </w:r>
      <w:r w:rsidR="00427468">
        <w:rPr>
          <w:kern w:val="0"/>
        </w:rPr>
        <w:t xml:space="preserve"> of </w:t>
      </w:r>
      <w:r>
        <w:rPr>
          <w:kern w:val="0"/>
        </w:rPr>
        <w:t>interventions were estimated as mean differences (MD), standardised mean differences (SMD) or given as risk ratios (RR), with 95% confidence intervals (CI). Meta-analyses were performed using the inverse variance method</w:t>
      </w:r>
      <w:r w:rsidR="005853A9">
        <w:rPr>
          <w:kern w:val="0"/>
        </w:rPr>
        <w:t xml:space="preserve"> and </w:t>
      </w:r>
      <w:r>
        <w:rPr>
          <w:kern w:val="0"/>
        </w:rPr>
        <w:t>pooled using random effects. Main results Eleven randomised trials</w:t>
      </w:r>
      <w:r w:rsidR="005853A9">
        <w:rPr>
          <w:kern w:val="0"/>
        </w:rPr>
        <w:t xml:space="preserve"> and </w:t>
      </w:r>
      <w:r>
        <w:rPr>
          <w:kern w:val="0"/>
        </w:rPr>
        <w:t>one controlled clinical trial involving 809 participants met the inclusion criteria</w:t>
      </w:r>
      <w:r w:rsidR="00A37C1D">
        <w:rPr>
          <w:kern w:val="0"/>
        </w:rPr>
        <w:t>. The</w:t>
      </w:r>
      <w:r>
        <w:rPr>
          <w:kern w:val="0"/>
        </w:rPr>
        <w:t xml:space="preserve">re is very low quality evidence from 10 </w:t>
      </w:r>
      <w:r>
        <w:rPr>
          <w:kern w:val="0"/>
        </w:rPr>
        <w:lastRenderedPageBreak/>
        <w:t>trials (666 participants) that cryotherapy has a small benefit on blood loss (SMD -0.46, 95% CI, -0.84 to -0.08), equivalent to 225mL less blood loss in cryotherapy group (95% CI, 39 to 410mL). This benefit may not be clinically significant</w:t>
      </w:r>
      <w:r w:rsidR="00A37C1D">
        <w:rPr>
          <w:kern w:val="0"/>
        </w:rPr>
        <w:t>. The</w:t>
      </w:r>
      <w:r>
        <w:rPr>
          <w:kern w:val="0"/>
        </w:rPr>
        <w:t>re was very low quality evidence from four trials (322 participants) that cryotherapy improved visual analogue score pain at 48 hours (MD = -1.32 points on a 10 point scale, 95% CI, -2.37 to -0.27), but not at 24 or 72 hours. This benefit may not be clinically significant</w:t>
      </w:r>
      <w:r w:rsidR="00A37C1D">
        <w:rPr>
          <w:kern w:val="0"/>
        </w:rPr>
        <w:t>. The</w:t>
      </w:r>
      <w:r>
        <w:rPr>
          <w:kern w:val="0"/>
        </w:rPr>
        <w:t>re was no difference between groups in adverse events (RR = 0.98, 95% CI, 0.28 to 3.47)</w:t>
      </w:r>
      <w:r w:rsidR="00A37C1D">
        <w:rPr>
          <w:kern w:val="0"/>
        </w:rPr>
        <w:t>. The</w:t>
      </w:r>
      <w:r>
        <w:rPr>
          <w:kern w:val="0"/>
        </w:rPr>
        <w:t>re is low quality evidence from two trials (107 participants) for improved range</w:t>
      </w:r>
      <w:r w:rsidR="00427468">
        <w:rPr>
          <w:kern w:val="0"/>
        </w:rPr>
        <w:t xml:space="preserve"> of </w:t>
      </w:r>
      <w:r>
        <w:rPr>
          <w:kern w:val="0"/>
        </w:rPr>
        <w:t>motion at discharge (MD 11.39 degrees</w:t>
      </w:r>
      <w:r w:rsidR="00427468">
        <w:rPr>
          <w:kern w:val="0"/>
        </w:rPr>
        <w:t xml:space="preserve"> of </w:t>
      </w:r>
      <w:r>
        <w:rPr>
          <w:kern w:val="0"/>
        </w:rPr>
        <w:t>additional flexion, 95% CI 4.13 to 18.66), but this benefit may not be clinically significant</w:t>
      </w:r>
      <w:r w:rsidR="00A37C1D">
        <w:rPr>
          <w:kern w:val="0"/>
        </w:rPr>
        <w:t>. The</w:t>
      </w:r>
      <w:r>
        <w:rPr>
          <w:kern w:val="0"/>
        </w:rPr>
        <w:t>re was no difference between groups in transfusion rate (RR 2.13, 95% CI 0.04 to 109.63),</w:t>
      </w:r>
      <w:r w:rsidR="005853A9">
        <w:rPr>
          <w:kern w:val="0"/>
        </w:rPr>
        <w:t xml:space="preserve"> and </w:t>
      </w:r>
      <w:r>
        <w:rPr>
          <w:kern w:val="0"/>
        </w:rPr>
        <w:t>knee function was not measured in any trial. No significant benefit were found for analgesia use, swelling or length</w:t>
      </w:r>
      <w:r w:rsidR="00427468">
        <w:rPr>
          <w:kern w:val="0"/>
        </w:rPr>
        <w:t xml:space="preserve"> of </w:t>
      </w:r>
      <w:r>
        <w:rPr>
          <w:kern w:val="0"/>
        </w:rPr>
        <w:t>stay. Outcomes measuring quality</w:t>
      </w:r>
      <w:r w:rsidR="00427468">
        <w:rPr>
          <w:kern w:val="0"/>
        </w:rPr>
        <w:t xml:space="preserve"> of </w:t>
      </w:r>
      <w:r>
        <w:rPr>
          <w:kern w:val="0"/>
        </w:rPr>
        <w:t>life or activity level were not reported. Authors</w:t>
      </w:r>
      <w:r w:rsidR="0071223E">
        <w:rPr>
          <w:kern w:val="0"/>
        </w:rPr>
        <w:t>’</w:t>
      </w:r>
      <w:r>
        <w:rPr>
          <w:kern w:val="0"/>
        </w:rPr>
        <w:t xml:space="preserve"> conclusions Potential benefits</w:t>
      </w:r>
      <w:r w:rsidR="00427468">
        <w:rPr>
          <w:kern w:val="0"/>
        </w:rPr>
        <w:t xml:space="preserve"> of </w:t>
      </w:r>
      <w:r>
        <w:rPr>
          <w:kern w:val="0"/>
        </w:rPr>
        <w:t>cryotherapy on blood loss, postoperative pain,</w:t>
      </w:r>
      <w:r w:rsidR="005853A9">
        <w:rPr>
          <w:kern w:val="0"/>
        </w:rPr>
        <w:t xml:space="preserve"> and </w:t>
      </w:r>
      <w:r>
        <w:rPr>
          <w:kern w:val="0"/>
        </w:rPr>
        <w:t>range</w:t>
      </w:r>
      <w:r w:rsidR="00427468">
        <w:rPr>
          <w:kern w:val="0"/>
        </w:rPr>
        <w:t xml:space="preserve"> of </w:t>
      </w:r>
      <w:r>
        <w:rPr>
          <w:kern w:val="0"/>
        </w:rPr>
        <w:t>motion may be too small to justify its use,</w:t>
      </w:r>
      <w:r w:rsidR="005853A9">
        <w:rPr>
          <w:kern w:val="0"/>
        </w:rPr>
        <w:t xml:space="preserve"> and </w:t>
      </w:r>
      <w:r>
        <w:rPr>
          <w:kern w:val="0"/>
        </w:rPr>
        <w:t>the quality</w:t>
      </w:r>
      <w:r w:rsidR="00427468">
        <w:rPr>
          <w:kern w:val="0"/>
        </w:rPr>
        <w:t xml:space="preserve"> of </w:t>
      </w:r>
      <w:r>
        <w:rPr>
          <w:kern w:val="0"/>
        </w:rPr>
        <w:t>the evidence was very low or low for all main outcomes. This needs to be balanced against potential inconveniences</w:t>
      </w:r>
      <w:r w:rsidR="005853A9">
        <w:rPr>
          <w:kern w:val="0"/>
        </w:rPr>
        <w:t xml:space="preserve"> and </w:t>
      </w:r>
      <w:r>
        <w:rPr>
          <w:kern w:val="0"/>
        </w:rPr>
        <w:t>expenses</w:t>
      </w:r>
      <w:r w:rsidR="00427468">
        <w:rPr>
          <w:kern w:val="0"/>
        </w:rPr>
        <w:t xml:space="preserve"> of </w:t>
      </w:r>
      <w:r>
        <w:rPr>
          <w:kern w:val="0"/>
        </w:rPr>
        <w:t>using cryotherapy. Well designed randomised trials are required to improve the quality</w:t>
      </w:r>
      <w:r w:rsidR="00427468">
        <w:rPr>
          <w:kern w:val="0"/>
        </w:rPr>
        <w:t xml:space="preserve"> of </w:t>
      </w:r>
      <w:r>
        <w:rPr>
          <w:kern w:val="0"/>
        </w:rPr>
        <w:t>the evidence.</w:t>
      </w:r>
    </w:p>
    <w:p w:rsidR="0097422C" w:rsidRDefault="0097422C" w:rsidP="0097422C">
      <w:pPr>
        <w:pStyle w:val="a3"/>
        <w:rPr>
          <w:kern w:val="0"/>
        </w:rPr>
      </w:pPr>
      <w:r>
        <w:rPr>
          <w:kern w:val="0"/>
        </w:rPr>
        <w:t>Keywords: Activity, Analgesia, Analysis, Application, Arthroplasty, Benefits, Bias, Blood, Blood Loss, Blood-Loss, Clinical, Clinical Trial, Clinical Trials, Cold Compression Dressings, Collection, Confidence, Confidence Intervals, Control, Controlled Clinical Trial, Criteria, Data Collection, Database, Discharge, Effectiveness, Effects, Embase, Events, Evidence, Experimental, Function, Groups, Hospital, Hospital Stay, Hta, Intervals, Intervention, Interventions, Intraarticular Temperature, Joint Replacement, Length, Length</w:t>
      </w:r>
      <w:r w:rsidR="00427468">
        <w:rPr>
          <w:kern w:val="0"/>
        </w:rPr>
        <w:t xml:space="preserve"> of </w:t>
      </w:r>
      <w:r>
        <w:rPr>
          <w:kern w:val="0"/>
        </w:rPr>
        <w:t xml:space="preserve">Stay, Life, Management, </w:t>
      </w:r>
      <w:r w:rsidR="00D5664A">
        <w:rPr>
          <w:kern w:val="0"/>
        </w:rPr>
        <w:t>MEDLINE</w:t>
      </w:r>
      <w:r>
        <w:rPr>
          <w:kern w:val="0"/>
        </w:rPr>
        <w:t>, Methods, Needs, Outcomes, Pain, Patients, Postoperative, Postoperative Pain, Potential, Quality, Quality Of, Quality</w:t>
      </w:r>
      <w:r w:rsidR="00427468">
        <w:rPr>
          <w:kern w:val="0"/>
        </w:rPr>
        <w:t xml:space="preserve"> of </w:t>
      </w:r>
      <w:r>
        <w:rPr>
          <w:kern w:val="0"/>
        </w:rPr>
        <w:t xml:space="preserve">Life, Randomised, Randomised Controlled Trials, Randomized Controlled-Trials, Rehabilitation, Risk, Scale, Science, Search, Small, Soft-Tissue Injury, Swelling, Systematic Reviews, Therapy, Total Hip, Transfusion, Trial, Vas, </w:t>
      </w:r>
      <w:r w:rsidR="00D5664A">
        <w:rPr>
          <w:kern w:val="0"/>
        </w:rPr>
        <w:t>Web</w:t>
      </w:r>
      <w:r w:rsidR="00427468">
        <w:rPr>
          <w:kern w:val="0"/>
        </w:rPr>
        <w:t xml:space="preserve"> of </w:t>
      </w:r>
      <w:r w:rsidR="00D5664A">
        <w:rPr>
          <w:kern w:val="0"/>
        </w:rPr>
        <w:t>Science</w:t>
      </w:r>
      <w:r>
        <w:rPr>
          <w:kern w:val="0"/>
        </w:rPr>
        <w:t>, Well</w:t>
      </w:r>
    </w:p>
    <w:p w:rsidR="00365DE4" w:rsidRDefault="00365DE4" w:rsidP="00365DE4">
      <w:pPr>
        <w:pStyle w:val="a3"/>
        <w:rPr>
          <w:kern w:val="0"/>
        </w:rPr>
      </w:pPr>
      <w:r>
        <w:rPr>
          <w:kern w:val="0"/>
          <w:szCs w:val="24"/>
        </w:rPr>
        <w:t>? Singh, J.A.</w:t>
      </w:r>
      <w:r w:rsidR="005853A9">
        <w:rPr>
          <w:kern w:val="0"/>
          <w:szCs w:val="24"/>
        </w:rPr>
        <w:t xml:space="preserve"> and </w:t>
      </w:r>
      <w:r>
        <w:rPr>
          <w:kern w:val="0"/>
          <w:szCs w:val="24"/>
        </w:rPr>
        <w:t xml:space="preserve">Fitzgerald, P.M. (2010), Botulinum toxin for shoulder pain.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szCs w:val="24"/>
        </w:rPr>
        <w:t>,</w:t>
      </w:r>
      <w:r>
        <w:t xml:space="preserve"> Article Number: CD008271</w:t>
      </w:r>
      <w:r>
        <w:rPr>
          <w:kern w:val="0"/>
        </w:rPr>
        <w:t>.</w:t>
      </w:r>
    </w:p>
    <w:p w:rsidR="00365DE4" w:rsidRDefault="00365DE4" w:rsidP="00365DE4">
      <w:pPr>
        <w:pStyle w:val="a3"/>
        <w:rPr>
          <w:kern w:val="2"/>
        </w:rPr>
      </w:pPr>
      <w:r>
        <w:t xml:space="preserve">Full Text: </w:t>
      </w:r>
      <w:hyperlink r:id="rId618" w:history="1">
        <w:r>
          <w:rPr>
            <w:rStyle w:val="a5"/>
          </w:rPr>
          <w:t>2010\Coc Dat Sys Rev2010, CD008271.pdf</w:t>
        </w:r>
      </w:hyperlink>
    </w:p>
    <w:p w:rsidR="00365DE4" w:rsidRDefault="00365DE4" w:rsidP="00365DE4">
      <w:pPr>
        <w:pStyle w:val="a3"/>
        <w:rPr>
          <w:kern w:val="0"/>
          <w:szCs w:val="24"/>
        </w:rPr>
      </w:pPr>
      <w:r>
        <w:rPr>
          <w:kern w:val="0"/>
          <w:szCs w:val="24"/>
        </w:rPr>
        <w:t>Abstract: Background Recent evidence suggests an anti-nociceptive effect</w:t>
      </w:r>
      <w:r w:rsidR="00427468">
        <w:rPr>
          <w:kern w:val="0"/>
          <w:szCs w:val="24"/>
        </w:rPr>
        <w:t xml:space="preserve"> of </w:t>
      </w:r>
      <w:r>
        <w:rPr>
          <w:kern w:val="0"/>
          <w:szCs w:val="24"/>
        </w:rPr>
        <w:t>botulinum toxin. Objectives To compare the efficacy</w:t>
      </w:r>
      <w:r w:rsidR="005853A9">
        <w:rPr>
          <w:kern w:val="0"/>
          <w:szCs w:val="24"/>
        </w:rPr>
        <w:t xml:space="preserve"> and </w:t>
      </w:r>
      <w:r>
        <w:rPr>
          <w:kern w:val="0"/>
          <w:szCs w:val="24"/>
        </w:rPr>
        <w:t>safety</w:t>
      </w:r>
      <w:r w:rsidR="00427468">
        <w:rPr>
          <w:kern w:val="0"/>
          <w:szCs w:val="24"/>
        </w:rPr>
        <w:t xml:space="preserve"> of </w:t>
      </w:r>
      <w:r>
        <w:rPr>
          <w:kern w:val="0"/>
          <w:szCs w:val="24"/>
        </w:rPr>
        <w:t>botulinum toxin in comparison to placebo or other treatment options for shoulder pain. Search strategy We searched the Cochrane Central Register</w:t>
      </w:r>
      <w:r w:rsidR="00427468">
        <w:rPr>
          <w:kern w:val="0"/>
          <w:szCs w:val="24"/>
        </w:rPr>
        <w:t xml:space="preserve"> of </w:t>
      </w:r>
      <w:r>
        <w:rPr>
          <w:kern w:val="0"/>
          <w:szCs w:val="24"/>
        </w:rPr>
        <w:t xml:space="preserve">Controlled Trials (CENTRAL) (T h e Cochrane Library), Ovid </w:t>
      </w:r>
      <w:r w:rsidR="00D5664A">
        <w:rPr>
          <w:kern w:val="0"/>
          <w:szCs w:val="24"/>
        </w:rPr>
        <w:t>MEDLINE</w:t>
      </w:r>
      <w:r>
        <w:rPr>
          <w:kern w:val="0"/>
          <w:szCs w:val="24"/>
        </w:rPr>
        <w:t xml:space="preserve">, CINAHL (via EBSCOhost), Ovid </w:t>
      </w:r>
      <w:r>
        <w:rPr>
          <w:kern w:val="0"/>
          <w:szCs w:val="24"/>
        </w:rPr>
        <w:lastRenderedPageBreak/>
        <w:t>SPORTDiscus, EMBASE</w:t>
      </w:r>
      <w:r w:rsidR="005853A9">
        <w:rPr>
          <w:kern w:val="0"/>
          <w:szCs w:val="24"/>
        </w:rPr>
        <w:t xml:space="preserve"> and </w:t>
      </w:r>
      <w:r>
        <w:rPr>
          <w:kern w:val="0"/>
          <w:szCs w:val="24"/>
        </w:rPr>
        <w:t>Science Citation Index. Selection criteria Randomized controlled trials (RCTs) comparing botulinum toxin with placebo or active treatment in people with shoulder pain were included. Data collection</w:t>
      </w:r>
      <w:r w:rsidR="005853A9">
        <w:rPr>
          <w:kern w:val="0"/>
          <w:szCs w:val="24"/>
        </w:rPr>
        <w:t xml:space="preserve"> and </w:t>
      </w:r>
      <w:r>
        <w:rPr>
          <w:kern w:val="0"/>
          <w:szCs w:val="24"/>
        </w:rPr>
        <w:t>analysis For continuous measures we calculated mean difference (MD),</w:t>
      </w:r>
      <w:r w:rsidR="005853A9">
        <w:rPr>
          <w:kern w:val="0"/>
          <w:szCs w:val="24"/>
        </w:rPr>
        <w:t xml:space="preserve"> and </w:t>
      </w:r>
      <w:r>
        <w:rPr>
          <w:kern w:val="0"/>
          <w:szCs w:val="24"/>
        </w:rPr>
        <w:t>for categorical measures risk ratio (RR) (with 95% confidence interval (CI)). Main results Six RCTs with 164 patients were included. Five RCTs in participants with post-stroke shoulder pain indicated that compared with placebo, a single intramuscular injection</w:t>
      </w:r>
      <w:r w:rsidR="00427468">
        <w:rPr>
          <w:kern w:val="0"/>
          <w:szCs w:val="24"/>
        </w:rPr>
        <w:t xml:space="preserve"> of </w:t>
      </w:r>
      <w:r>
        <w:rPr>
          <w:kern w:val="0"/>
          <w:szCs w:val="24"/>
        </w:rPr>
        <w:t>botulinum toxin A significantly reduced pain at three to six months post-injection (MD -1.2 points, 95% CI -2.4 to -0.07; 0 to 10 point scale) but not at one month (MD -1.1 points, 95% CI -2.9 to 0.7). Shoulder external rotation was increased at one month (MD 9.8, 95% CI 0.2 to 19.4) but not at three to six months. Shoulder abduction, external rotation or spasticity did not differ between groups, nor did the number</w:t>
      </w:r>
      <w:r w:rsidR="00427468">
        <w:rPr>
          <w:kern w:val="0"/>
          <w:szCs w:val="24"/>
        </w:rPr>
        <w:t xml:space="preserve"> of </w:t>
      </w:r>
      <w:r>
        <w:rPr>
          <w:kern w:val="0"/>
          <w:szCs w:val="24"/>
        </w:rPr>
        <w:t>adverse events (RR 1.46, 95% CI 0.6 to 24.3). One RCT in arthritis-related shoulder pain indicated that botulinum toxin reduced pain severity (MD -2.0, 95% CI -3.7 to -0.3; 10 point scale)</w:t>
      </w:r>
      <w:r w:rsidR="005853A9">
        <w:rPr>
          <w:kern w:val="0"/>
          <w:szCs w:val="24"/>
        </w:rPr>
        <w:t xml:space="preserve"> and </w:t>
      </w:r>
      <w:r>
        <w:rPr>
          <w:kern w:val="0"/>
          <w:szCs w:val="24"/>
        </w:rPr>
        <w:t>shoulder disability with a reduction in Shoulder Pain</w:t>
      </w:r>
      <w:r w:rsidR="005853A9">
        <w:rPr>
          <w:kern w:val="0"/>
          <w:szCs w:val="24"/>
        </w:rPr>
        <w:t xml:space="preserve"> and </w:t>
      </w:r>
      <w:r>
        <w:rPr>
          <w:kern w:val="0"/>
          <w:szCs w:val="24"/>
        </w:rPr>
        <w:t>Disability Index score (MD -13.4, 95% CI -24.9 to -1.9; 100 point scale) when compared with placebo. Shoulder abduction was improved (MD 13.8 degrees, 95% CI 3.2 to 44.0). Serious adverse events did not differ between groups (RR 0.35, 95% CI: 0.11, 1.12). Authors</w:t>
      </w:r>
      <w:r w:rsidR="0071223E">
        <w:rPr>
          <w:kern w:val="0"/>
          <w:szCs w:val="24"/>
        </w:rPr>
        <w:t>’</w:t>
      </w:r>
      <w:r>
        <w:rPr>
          <w:kern w:val="0"/>
          <w:szCs w:val="24"/>
        </w:rPr>
        <w:t xml:space="preserve"> conclusions The results should be interpreted with caution due to few studies with small sample sizes</w:t>
      </w:r>
      <w:r w:rsidR="005853A9">
        <w:rPr>
          <w:kern w:val="0"/>
          <w:szCs w:val="24"/>
        </w:rPr>
        <w:t xml:space="preserve"> and </w:t>
      </w:r>
      <w:r>
        <w:rPr>
          <w:kern w:val="0"/>
          <w:szCs w:val="24"/>
        </w:rPr>
        <w:t>high risk</w:t>
      </w:r>
      <w:r w:rsidR="00427468">
        <w:rPr>
          <w:kern w:val="0"/>
          <w:szCs w:val="24"/>
        </w:rPr>
        <w:t xml:space="preserve"> of </w:t>
      </w:r>
      <w:r>
        <w:rPr>
          <w:kern w:val="0"/>
          <w:szCs w:val="24"/>
        </w:rPr>
        <w:t>bias. Botulinum toxin A injections seem to reduce pain severity</w:t>
      </w:r>
      <w:r w:rsidR="005853A9">
        <w:rPr>
          <w:kern w:val="0"/>
          <w:szCs w:val="24"/>
        </w:rPr>
        <w:t xml:space="preserve"> and </w:t>
      </w:r>
      <w:r>
        <w:rPr>
          <w:kern w:val="0"/>
          <w:szCs w:val="24"/>
        </w:rPr>
        <w:t>improve shoulder function</w:t>
      </w:r>
      <w:r w:rsidR="005853A9">
        <w:rPr>
          <w:kern w:val="0"/>
          <w:szCs w:val="24"/>
        </w:rPr>
        <w:t xml:space="preserve"> and </w:t>
      </w:r>
      <w:r>
        <w:rPr>
          <w:kern w:val="0"/>
          <w:szCs w:val="24"/>
        </w:rPr>
        <w:t>range</w:t>
      </w:r>
      <w:r w:rsidR="00427468">
        <w:rPr>
          <w:kern w:val="0"/>
          <w:szCs w:val="24"/>
        </w:rPr>
        <w:t xml:space="preserve"> of </w:t>
      </w:r>
      <w:r>
        <w:rPr>
          <w:kern w:val="0"/>
          <w:szCs w:val="24"/>
        </w:rPr>
        <w:t>motion when compared with placebo in patients with shoulder pain due to spastic hemiplegia or arthritis. It is unclear if the benefit</w:t>
      </w:r>
      <w:r w:rsidR="00427468">
        <w:rPr>
          <w:kern w:val="0"/>
          <w:szCs w:val="24"/>
        </w:rPr>
        <w:t xml:space="preserve"> of </w:t>
      </w:r>
      <w:r>
        <w:rPr>
          <w:kern w:val="0"/>
          <w:szCs w:val="24"/>
        </w:rPr>
        <w:t>pain relief in post-stroke shoulder pain at three to six months but not at one month is due to limitations</w:t>
      </w:r>
      <w:r w:rsidR="00427468">
        <w:rPr>
          <w:kern w:val="0"/>
          <w:szCs w:val="24"/>
        </w:rPr>
        <w:t xml:space="preserve"> of </w:t>
      </w:r>
      <w:r>
        <w:rPr>
          <w:kern w:val="0"/>
          <w:szCs w:val="24"/>
        </w:rPr>
        <w:t>the evidence, which includes small sample sizes with imprecise estimates, or a delayed onset</w:t>
      </w:r>
      <w:r w:rsidR="00427468">
        <w:rPr>
          <w:kern w:val="0"/>
          <w:szCs w:val="24"/>
        </w:rPr>
        <w:t xml:space="preserve"> of </w:t>
      </w:r>
      <w:r>
        <w:rPr>
          <w:kern w:val="0"/>
          <w:szCs w:val="24"/>
        </w:rPr>
        <w:t>action. More studies with safety data are needed.</w:t>
      </w:r>
    </w:p>
    <w:p w:rsidR="00365DE4" w:rsidRDefault="00365DE4" w:rsidP="00365DE4">
      <w:pPr>
        <w:pStyle w:val="a3"/>
        <w:rPr>
          <w:kern w:val="0"/>
          <w:szCs w:val="24"/>
        </w:rPr>
      </w:pPr>
      <w:r>
        <w:rPr>
          <w:kern w:val="0"/>
          <w:szCs w:val="24"/>
        </w:rPr>
        <w:t>Keywords: Barthel Index, Chronic Myofascial Pain, Citation, Controlled-Trial, Double-Blind, Modified Rankin Scale, Primary-Care, Rheumatoid-Arthritis, Science Citation Index, Spastic Hemiplegia, Subscapular Muscle, Tennis Elbow</w:t>
      </w:r>
    </w:p>
    <w:p w:rsidR="00365DE4" w:rsidRDefault="00365DE4" w:rsidP="00365DE4">
      <w:pPr>
        <w:pStyle w:val="a3"/>
        <w:rPr>
          <w:kern w:val="0"/>
        </w:rPr>
      </w:pPr>
      <w:r>
        <w:rPr>
          <w:kern w:val="0"/>
        </w:rPr>
        <w:t>? Wilson, C., Willis, C., Hendrikz, J.K., Le Brocque, R.</w:t>
      </w:r>
      <w:r w:rsidR="005853A9">
        <w:rPr>
          <w:kern w:val="0"/>
        </w:rPr>
        <w:t xml:space="preserve"> and </w:t>
      </w:r>
      <w:r>
        <w:rPr>
          <w:kern w:val="0"/>
        </w:rPr>
        <w:t>Bellamy, N. (2010), Speed cameras for the prevention</w:t>
      </w:r>
      <w:r w:rsidR="00427468">
        <w:rPr>
          <w:kern w:val="0"/>
        </w:rPr>
        <w:t xml:space="preserve"> of </w:t>
      </w:r>
      <w:r>
        <w:rPr>
          <w:kern w:val="0"/>
        </w:rPr>
        <w:t>road traffic injuries</w:t>
      </w:r>
      <w:r w:rsidR="005853A9">
        <w:rPr>
          <w:kern w:val="0"/>
        </w:rPr>
        <w:t xml:space="preserve"> and </w:t>
      </w:r>
      <w:r>
        <w:rPr>
          <w:kern w:val="0"/>
        </w:rPr>
        <w:t xml:space="preserve">deaths.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CD004607.</w:t>
      </w:r>
    </w:p>
    <w:p w:rsidR="00365DE4" w:rsidRDefault="00365DE4" w:rsidP="00365DE4">
      <w:pPr>
        <w:pStyle w:val="a3"/>
        <w:rPr>
          <w:kern w:val="2"/>
        </w:rPr>
      </w:pPr>
      <w:r>
        <w:t xml:space="preserve">Full Text: </w:t>
      </w:r>
      <w:hyperlink r:id="rId619" w:history="1">
        <w:r>
          <w:rPr>
            <w:rStyle w:val="a5"/>
          </w:rPr>
          <w:t>2010\Coc Dat Sys Rev2010, CD004607.pdf</w:t>
        </w:r>
      </w:hyperlink>
    </w:p>
    <w:p w:rsidR="00365DE4" w:rsidRDefault="00365DE4" w:rsidP="00365DE4">
      <w:pPr>
        <w:pStyle w:val="a3"/>
        <w:rPr>
          <w:kern w:val="0"/>
        </w:rPr>
      </w:pPr>
      <w:r>
        <w:rPr>
          <w:kern w:val="0"/>
        </w:rPr>
        <w:t>Abstract: Background It is estimated that by 2020, road traffic crashes will have moved from ninth to third in the world ranking</w:t>
      </w:r>
      <w:r w:rsidR="00427468">
        <w:rPr>
          <w:kern w:val="0"/>
        </w:rPr>
        <w:t xml:space="preserve"> of </w:t>
      </w:r>
      <w:r>
        <w:rPr>
          <w:kern w:val="0"/>
        </w:rPr>
        <w:t>burden</w:t>
      </w:r>
      <w:r w:rsidR="00427468">
        <w:rPr>
          <w:kern w:val="0"/>
        </w:rPr>
        <w:t xml:space="preserve"> of </w:t>
      </w:r>
      <w:r>
        <w:rPr>
          <w:kern w:val="0"/>
        </w:rPr>
        <w:t>disease, as measured in disability adjusted life years</w:t>
      </w:r>
      <w:r w:rsidR="00A37C1D">
        <w:rPr>
          <w:kern w:val="0"/>
        </w:rPr>
        <w:t>. The</w:t>
      </w:r>
      <w:r>
        <w:rPr>
          <w:kern w:val="0"/>
        </w:rPr>
        <w:t xml:space="preserve"> prevention</w:t>
      </w:r>
      <w:r w:rsidR="00427468">
        <w:rPr>
          <w:kern w:val="0"/>
        </w:rPr>
        <w:t xml:space="preserve"> of </w:t>
      </w:r>
      <w:r>
        <w:rPr>
          <w:kern w:val="0"/>
        </w:rPr>
        <w:t>road traffic injuries is</w:t>
      </w:r>
      <w:r w:rsidR="00427468">
        <w:rPr>
          <w:kern w:val="0"/>
        </w:rPr>
        <w:t xml:space="preserve"> of </w:t>
      </w:r>
      <w:r>
        <w:rPr>
          <w:kern w:val="0"/>
        </w:rPr>
        <w:t>global public health importance. Measures aimed at reducing traffic speed are considered essential to preventing road injuries; the use</w:t>
      </w:r>
      <w:r w:rsidR="00427468">
        <w:rPr>
          <w:kern w:val="0"/>
        </w:rPr>
        <w:t xml:space="preserve"> of </w:t>
      </w:r>
      <w:r>
        <w:rPr>
          <w:kern w:val="0"/>
        </w:rPr>
        <w:t xml:space="preserve">speed cameras is one such measure. </w:t>
      </w:r>
      <w:r>
        <w:rPr>
          <w:kern w:val="0"/>
        </w:rPr>
        <w:lastRenderedPageBreak/>
        <w:t>Objectives To assess whether the use</w:t>
      </w:r>
      <w:r w:rsidR="00427468">
        <w:rPr>
          <w:kern w:val="0"/>
        </w:rPr>
        <w:t xml:space="preserve"> of </w:t>
      </w:r>
      <w:r>
        <w:rPr>
          <w:kern w:val="0"/>
        </w:rPr>
        <w:t>speed cameras reduces the incidence</w:t>
      </w:r>
      <w:r w:rsidR="00427468">
        <w:rPr>
          <w:kern w:val="0"/>
        </w:rPr>
        <w:t xml:space="preserve"> of </w:t>
      </w:r>
      <w:r>
        <w:rPr>
          <w:kern w:val="0"/>
        </w:rPr>
        <w:t>speeding, road traffic crashes, injuries</w:t>
      </w:r>
      <w:r w:rsidR="005853A9">
        <w:rPr>
          <w:kern w:val="0"/>
        </w:rPr>
        <w:t xml:space="preserve"> and </w:t>
      </w:r>
      <w:r>
        <w:rPr>
          <w:kern w:val="0"/>
        </w:rPr>
        <w:t xml:space="preserve">deaths. Search strategy We searched the following electronic databases covering all available years up to March 2010; the Cochrane Library, </w:t>
      </w:r>
      <w:r w:rsidR="00D5664A">
        <w:rPr>
          <w:kern w:val="0"/>
        </w:rPr>
        <w:t>MEDLINE</w:t>
      </w:r>
      <w:r>
        <w:rPr>
          <w:kern w:val="0"/>
        </w:rPr>
        <w:t xml:space="preserve"> (WebSPIRS), EMBASE (WebSPIRS), TRANSPORT, IRRD(International Road Research Documentation), TRANSDOC (European Conference</w:t>
      </w:r>
      <w:r w:rsidR="00427468">
        <w:rPr>
          <w:kern w:val="0"/>
        </w:rPr>
        <w:t xml:space="preserve"> of </w:t>
      </w:r>
      <w:r>
        <w:rPr>
          <w:kern w:val="0"/>
        </w:rPr>
        <w:t>Ministers</w:t>
      </w:r>
      <w:r w:rsidR="00427468">
        <w:rPr>
          <w:kern w:val="0"/>
        </w:rPr>
        <w:t xml:space="preserve"> of </w:t>
      </w:r>
      <w:r>
        <w:rPr>
          <w:kern w:val="0"/>
        </w:rPr>
        <w:t xml:space="preserve">Transport databases), </w:t>
      </w:r>
      <w:r w:rsidR="00D5664A">
        <w:rPr>
          <w:kern w:val="0"/>
        </w:rPr>
        <w:t>Web</w:t>
      </w:r>
      <w:r w:rsidR="00427468">
        <w:rPr>
          <w:kern w:val="0"/>
        </w:rPr>
        <w:t xml:space="preserve"> of </w:t>
      </w:r>
      <w:r w:rsidR="00D5664A">
        <w:rPr>
          <w:kern w:val="0"/>
        </w:rPr>
        <w:t>Science</w:t>
      </w:r>
      <w:r>
        <w:rPr>
          <w:kern w:val="0"/>
        </w:rPr>
        <w:t xml:space="preserve"> (Science</w:t>
      </w:r>
      <w:r w:rsidR="005853A9">
        <w:rPr>
          <w:kern w:val="0"/>
        </w:rPr>
        <w:t xml:space="preserve"> and </w:t>
      </w:r>
      <w:r>
        <w:rPr>
          <w:kern w:val="0"/>
        </w:rPr>
        <w:t>Social Science Citation Index), PsycINFO, CINAHL, EconLit, WHO database, Sociological Abstracts, Dissertation Abstracts, Index to Theses. Selection criteria Randomised controlled trials, interrupted time series</w:t>
      </w:r>
      <w:r w:rsidR="005853A9">
        <w:rPr>
          <w:kern w:val="0"/>
        </w:rPr>
        <w:t xml:space="preserve"> and </w:t>
      </w:r>
      <w:r>
        <w:rPr>
          <w:kern w:val="0"/>
        </w:rPr>
        <w:t>controlled before-after studies that assessed the impact</w:t>
      </w:r>
      <w:r w:rsidR="00427468">
        <w:rPr>
          <w:kern w:val="0"/>
        </w:rPr>
        <w:t xml:space="preserve"> of </w:t>
      </w:r>
      <w:r>
        <w:rPr>
          <w:kern w:val="0"/>
        </w:rPr>
        <w:t>speed cameras on speeding, road crashes, crashes causing injury</w:t>
      </w:r>
      <w:r w:rsidR="005853A9">
        <w:rPr>
          <w:kern w:val="0"/>
        </w:rPr>
        <w:t xml:space="preserve"> and </w:t>
      </w:r>
      <w:r>
        <w:rPr>
          <w:kern w:val="0"/>
        </w:rPr>
        <w:t>fatalities were eligible for inclusion. Data collection</w:t>
      </w:r>
      <w:r w:rsidR="005853A9">
        <w:rPr>
          <w:kern w:val="0"/>
        </w:rPr>
        <w:t xml:space="preserve"> and </w:t>
      </w:r>
      <w:r>
        <w:rPr>
          <w:kern w:val="0"/>
        </w:rPr>
        <w:t>analysis We independently screened studies for inclusion, extracted data, assessed methodological quality, reported study authors</w:t>
      </w:r>
      <w:r w:rsidR="0071223E">
        <w:rPr>
          <w:kern w:val="0"/>
        </w:rPr>
        <w:t>’</w:t>
      </w:r>
      <w:r>
        <w:rPr>
          <w:kern w:val="0"/>
        </w:rPr>
        <w:t xml:space="preserve"> outcomes</w:t>
      </w:r>
      <w:r w:rsidR="005853A9">
        <w:rPr>
          <w:kern w:val="0"/>
        </w:rPr>
        <w:t xml:space="preserve"> and </w:t>
      </w:r>
      <w:r>
        <w:rPr>
          <w:kern w:val="0"/>
        </w:rPr>
        <w:t>where possible, calculated standardised results based on the information available in each study. Due to considerable heterogeneity between</w:t>
      </w:r>
      <w:r w:rsidR="005853A9">
        <w:rPr>
          <w:kern w:val="0"/>
        </w:rPr>
        <w:t xml:space="preserve"> and </w:t>
      </w:r>
      <w:r>
        <w:rPr>
          <w:kern w:val="0"/>
        </w:rPr>
        <w:t>within included studies, a meta-analysis was not appropriate. Main results Thirty five studies met the inclusion criteria. Compared with controls, the relative reduction in average speed ranged from 1% to 15%</w:t>
      </w:r>
      <w:r w:rsidR="005853A9">
        <w:rPr>
          <w:kern w:val="0"/>
        </w:rPr>
        <w:t xml:space="preserve"> and </w:t>
      </w:r>
      <w:r>
        <w:rPr>
          <w:kern w:val="0"/>
        </w:rPr>
        <w:t>the reduction in proportion</w:t>
      </w:r>
      <w:r w:rsidR="00427468">
        <w:rPr>
          <w:kern w:val="0"/>
        </w:rPr>
        <w:t xml:space="preserve"> of </w:t>
      </w:r>
      <w:r>
        <w:rPr>
          <w:kern w:val="0"/>
        </w:rPr>
        <w:t>vehicles speeding ranged from 14% to 65%. In the vicinity</w:t>
      </w:r>
      <w:r w:rsidR="00427468">
        <w:rPr>
          <w:kern w:val="0"/>
        </w:rPr>
        <w:t xml:space="preserve"> of </w:t>
      </w:r>
      <w:r>
        <w:rPr>
          <w:kern w:val="0"/>
        </w:rPr>
        <w:t>camera sites, the pre/post reductions ranged from 8% to 49% for all crashes</w:t>
      </w:r>
      <w:r w:rsidR="005853A9">
        <w:rPr>
          <w:kern w:val="0"/>
        </w:rPr>
        <w:t xml:space="preserve"> and </w:t>
      </w:r>
      <w:r>
        <w:rPr>
          <w:kern w:val="0"/>
        </w:rPr>
        <w:t>11% to 44% for fatal</w:t>
      </w:r>
      <w:r w:rsidR="005853A9">
        <w:rPr>
          <w:kern w:val="0"/>
        </w:rPr>
        <w:t xml:space="preserve"> and </w:t>
      </w:r>
      <w:r>
        <w:rPr>
          <w:kern w:val="0"/>
        </w:rPr>
        <w:t>serious injury crashes. Compared with controls, the relative improvement in pre/post injury crash proportions ranged from 8% to 50%. Authors</w:t>
      </w:r>
      <w:r w:rsidR="0071223E">
        <w:rPr>
          <w:kern w:val="0"/>
        </w:rPr>
        <w:t>’</w:t>
      </w:r>
      <w:r>
        <w:rPr>
          <w:kern w:val="0"/>
        </w:rPr>
        <w:t xml:space="preserve"> conclusions Despite the methodological limitations</w:t>
      </w:r>
      <w:r w:rsidR="005853A9">
        <w:rPr>
          <w:kern w:val="0"/>
        </w:rPr>
        <w:t xml:space="preserve"> and </w:t>
      </w:r>
      <w:r>
        <w:rPr>
          <w:kern w:val="0"/>
        </w:rPr>
        <w:t>the variability in degree</w:t>
      </w:r>
      <w:r w:rsidR="00427468">
        <w:rPr>
          <w:kern w:val="0"/>
        </w:rPr>
        <w:t xml:space="preserve"> of </w:t>
      </w:r>
      <w:r>
        <w:rPr>
          <w:kern w:val="0"/>
        </w:rPr>
        <w:t>signal to noise effect, the consistency</w:t>
      </w:r>
      <w:r w:rsidR="00427468">
        <w:rPr>
          <w:kern w:val="0"/>
        </w:rPr>
        <w:t xml:space="preserve"> of </w:t>
      </w:r>
      <w:r>
        <w:rPr>
          <w:kern w:val="0"/>
        </w:rPr>
        <w:t>reported reductions in speed</w:t>
      </w:r>
      <w:r w:rsidR="005853A9">
        <w:rPr>
          <w:kern w:val="0"/>
        </w:rPr>
        <w:t xml:space="preserve"> and </w:t>
      </w:r>
      <w:r>
        <w:rPr>
          <w:kern w:val="0"/>
        </w:rPr>
        <w:t>crash outcomes across all studies show that speed cameras are a worthwhile intervention for reducing the number</w:t>
      </w:r>
      <w:r w:rsidR="00427468">
        <w:rPr>
          <w:kern w:val="0"/>
        </w:rPr>
        <w:t xml:space="preserve"> of </w:t>
      </w:r>
      <w:r>
        <w:rPr>
          <w:kern w:val="0"/>
        </w:rPr>
        <w:t>road traffic injuries</w:t>
      </w:r>
      <w:r w:rsidR="005853A9">
        <w:rPr>
          <w:kern w:val="0"/>
        </w:rPr>
        <w:t xml:space="preserve"> and </w:t>
      </w:r>
      <w:r>
        <w:rPr>
          <w:kern w:val="0"/>
        </w:rPr>
        <w:t>deaths. However, whilst the the evidence base clearly demonstrates a positive direction in the effect, an overall magnitude</w:t>
      </w:r>
      <w:r w:rsidR="00427468">
        <w:rPr>
          <w:kern w:val="0"/>
        </w:rPr>
        <w:t xml:space="preserve"> of </w:t>
      </w:r>
      <w:r>
        <w:rPr>
          <w:kern w:val="0"/>
        </w:rPr>
        <w:t>this effect is currently not deducible due to heterogeneity</w:t>
      </w:r>
      <w:r w:rsidR="005853A9">
        <w:rPr>
          <w:kern w:val="0"/>
        </w:rPr>
        <w:t xml:space="preserve"> and </w:t>
      </w:r>
      <w:r>
        <w:rPr>
          <w:kern w:val="0"/>
        </w:rPr>
        <w:t>lack</w:t>
      </w:r>
      <w:r w:rsidR="00427468">
        <w:rPr>
          <w:kern w:val="0"/>
        </w:rPr>
        <w:t xml:space="preserve"> of </w:t>
      </w:r>
      <w:r>
        <w:rPr>
          <w:kern w:val="0"/>
        </w:rPr>
        <w:t>methodological rigour. More studies</w:t>
      </w:r>
      <w:r w:rsidR="00427468">
        <w:rPr>
          <w:kern w:val="0"/>
        </w:rPr>
        <w:t xml:space="preserve"> of </w:t>
      </w:r>
      <w:r>
        <w:rPr>
          <w:kern w:val="0"/>
        </w:rPr>
        <w:t>a scientifically rigorous</w:t>
      </w:r>
      <w:r w:rsidR="005853A9">
        <w:rPr>
          <w:kern w:val="0"/>
        </w:rPr>
        <w:t xml:space="preserve"> and </w:t>
      </w:r>
      <w:r>
        <w:rPr>
          <w:kern w:val="0"/>
        </w:rPr>
        <w:t>homogenous nature are necessary, to provide the answer to the magnitude</w:t>
      </w:r>
      <w:r w:rsidR="00427468">
        <w:rPr>
          <w:kern w:val="0"/>
        </w:rPr>
        <w:t xml:space="preserve"> of </w:t>
      </w:r>
      <w:r>
        <w:rPr>
          <w:kern w:val="0"/>
        </w:rPr>
        <w:t>effect.</w:t>
      </w:r>
    </w:p>
    <w:p w:rsidR="00365DE4" w:rsidRDefault="00365DE4" w:rsidP="00365DE4">
      <w:pPr>
        <w:pStyle w:val="a3"/>
        <w:rPr>
          <w:kern w:val="0"/>
        </w:rPr>
      </w:pPr>
      <w:r>
        <w:rPr>
          <w:kern w:val="0"/>
        </w:rPr>
        <w:t xml:space="preserve">Keywords: Accident Prevention [*Instrumentation, Accidents, Accidents,Traffic [*Prevention &amp; Control, British-Columbia, Casualties, Citation, Conference, Controlled Clinical Trials As Topic, Crashes, Disease, Enforcement Cameras, Hidden, Humans, Management Measures, </w:t>
      </w:r>
      <w:r w:rsidR="00D5664A">
        <w:rPr>
          <w:kern w:val="0"/>
        </w:rPr>
        <w:t>MEDLINE</w:t>
      </w:r>
      <w:r>
        <w:rPr>
          <w:kern w:val="0"/>
        </w:rPr>
        <w:t xml:space="preserve">, Meta-Analysis, Methods], Photography [Instrumentation], Program, Radar, Radar [Instrumentation], Research, Safety, Science Citation Index, Statistics &amp; Numerical Data], Transport,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Kardamanidis, K., Martiniuk, A., Ivers, R.Q., Stevenson, M.R.</w:t>
      </w:r>
      <w:r w:rsidR="005853A9">
        <w:rPr>
          <w:kern w:val="0"/>
        </w:rPr>
        <w:t xml:space="preserve"> and </w:t>
      </w:r>
      <w:r>
        <w:rPr>
          <w:kern w:val="0"/>
        </w:rPr>
        <w:t>Thistlethwaite, K. (2010), Motorcycle rider training for the prevention</w:t>
      </w:r>
      <w:r w:rsidR="00427468">
        <w:rPr>
          <w:kern w:val="0"/>
        </w:rPr>
        <w:t xml:space="preserve"> of </w:t>
      </w:r>
      <w:r>
        <w:rPr>
          <w:kern w:val="0"/>
        </w:rPr>
        <w:t xml:space="preserve">road traffic crashes.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CD005240.</w:t>
      </w:r>
    </w:p>
    <w:p w:rsidR="00365DE4" w:rsidRDefault="00365DE4" w:rsidP="00365DE4">
      <w:pPr>
        <w:pStyle w:val="a3"/>
        <w:rPr>
          <w:kern w:val="2"/>
        </w:rPr>
      </w:pPr>
      <w:r>
        <w:lastRenderedPageBreak/>
        <w:t xml:space="preserve">Full Text: </w:t>
      </w:r>
      <w:hyperlink r:id="rId620" w:history="1">
        <w:r>
          <w:rPr>
            <w:rStyle w:val="a5"/>
          </w:rPr>
          <w:t>2010\Coc Dat Sys Rev2010, CD005240.pdf</w:t>
        </w:r>
      </w:hyperlink>
    </w:p>
    <w:p w:rsidR="00365DE4" w:rsidRDefault="00365DE4" w:rsidP="00365DE4">
      <w:pPr>
        <w:pStyle w:val="a3"/>
        <w:rPr>
          <w:kern w:val="0"/>
        </w:rPr>
      </w:pPr>
      <w:r>
        <w:rPr>
          <w:kern w:val="0"/>
        </w:rPr>
        <w:t>Abstract: Background Riding a motorcycle (a two-wheeled vehicle that is powered by a motor</w:t>
      </w:r>
      <w:r w:rsidR="005853A9">
        <w:rPr>
          <w:kern w:val="0"/>
        </w:rPr>
        <w:t xml:space="preserve"> and </w:t>
      </w:r>
      <w:r>
        <w:rPr>
          <w:kern w:val="0"/>
        </w:rPr>
        <w:t>has no pedals) is associated with a high risk</w:t>
      </w:r>
      <w:r w:rsidR="00427468">
        <w:rPr>
          <w:kern w:val="0"/>
        </w:rPr>
        <w:t xml:space="preserve"> of </w:t>
      </w:r>
      <w:r>
        <w:rPr>
          <w:kern w:val="0"/>
        </w:rPr>
        <w:t>fatal crashes, particularly in new riders. Motorcycle rider training has therefore been suggested as an important means</w:t>
      </w:r>
      <w:r w:rsidR="00427468">
        <w:rPr>
          <w:kern w:val="0"/>
        </w:rPr>
        <w:t xml:space="preserve"> of </w:t>
      </w:r>
      <w:r>
        <w:rPr>
          <w:kern w:val="0"/>
        </w:rPr>
        <w:t>reducing the number</w:t>
      </w:r>
      <w:r w:rsidR="00427468">
        <w:rPr>
          <w:kern w:val="0"/>
        </w:rPr>
        <w:t xml:space="preserve"> of </w:t>
      </w:r>
      <w:r>
        <w:rPr>
          <w:kern w:val="0"/>
        </w:rPr>
        <w:t>crashes,</w:t>
      </w:r>
      <w:r w:rsidR="005853A9">
        <w:rPr>
          <w:kern w:val="0"/>
        </w:rPr>
        <w:t xml:space="preserve"> and </w:t>
      </w:r>
      <w:r>
        <w:rPr>
          <w:kern w:val="0"/>
        </w:rPr>
        <w:t>the severity</w:t>
      </w:r>
      <w:r w:rsidR="00427468">
        <w:rPr>
          <w:kern w:val="0"/>
        </w:rPr>
        <w:t xml:space="preserve"> of </w:t>
      </w:r>
      <w:r>
        <w:rPr>
          <w:kern w:val="0"/>
        </w:rPr>
        <w:t>injuries. Objectives To quantify the effectiveness</w:t>
      </w:r>
      <w:r w:rsidR="00427468">
        <w:rPr>
          <w:kern w:val="0"/>
        </w:rPr>
        <w:t xml:space="preserve"> of </w:t>
      </w:r>
      <w:r>
        <w:rPr>
          <w:kern w:val="0"/>
        </w:rPr>
        <w:t>pre-</w:t>
      </w:r>
      <w:r w:rsidR="005853A9">
        <w:rPr>
          <w:kern w:val="0"/>
        </w:rPr>
        <w:t xml:space="preserve"> and </w:t>
      </w:r>
      <w:r>
        <w:rPr>
          <w:kern w:val="0"/>
        </w:rPr>
        <w:t>post-licence motorcycle rider training on the reduction</w:t>
      </w:r>
      <w:r w:rsidR="00427468">
        <w:rPr>
          <w:kern w:val="0"/>
        </w:rPr>
        <w:t xml:space="preserve"> of </w:t>
      </w:r>
      <w:r>
        <w:rPr>
          <w:kern w:val="0"/>
        </w:rPr>
        <w:t>traffic offences, traffic crash involvement, injuries</w:t>
      </w:r>
      <w:r w:rsidR="005853A9">
        <w:rPr>
          <w:kern w:val="0"/>
        </w:rPr>
        <w:t xml:space="preserve"> and </w:t>
      </w:r>
      <w:r>
        <w:rPr>
          <w:kern w:val="0"/>
        </w:rPr>
        <w:t>deaths</w:t>
      </w:r>
      <w:r w:rsidR="00427468">
        <w:rPr>
          <w:kern w:val="0"/>
        </w:rPr>
        <w:t xml:space="preserve"> of </w:t>
      </w:r>
      <w:r>
        <w:rPr>
          <w:kern w:val="0"/>
        </w:rPr>
        <w:t xml:space="preserve">motorcycle riders. Search strategy We searched the Cochrane Injuries Group Specialised Register, CENTRAL (T h e Cochrane Library 2008, Issue 3), TRANSPORT, </w:t>
      </w:r>
      <w:r w:rsidR="00D5664A">
        <w:rPr>
          <w:kern w:val="0"/>
        </w:rPr>
        <w:t>MEDLINE</w:t>
      </w:r>
      <w:r>
        <w:rPr>
          <w:kern w:val="0"/>
        </w:rPr>
        <w:t>, EMBASE, CINAHL, WHOLIS (World Health Organization Library Information System), PsycInfo, LILACS (Latin American</w:t>
      </w:r>
      <w:r w:rsidR="005853A9">
        <w:rPr>
          <w:kern w:val="0"/>
        </w:rPr>
        <w:t xml:space="preserve"> and </w:t>
      </w:r>
      <w:r>
        <w:rPr>
          <w:kern w:val="0"/>
        </w:rPr>
        <w:t xml:space="preserve">Caribbean Health Sciences), ISI </w:t>
      </w:r>
      <w:r w:rsidR="00D5664A">
        <w:rPr>
          <w:kern w:val="0"/>
        </w:rPr>
        <w:t>Web</w:t>
      </w:r>
      <w:r w:rsidR="00427468">
        <w:rPr>
          <w:kern w:val="0"/>
        </w:rPr>
        <w:t xml:space="preserve"> of </w:t>
      </w:r>
      <w:r w:rsidR="00D5664A">
        <w:rPr>
          <w:kern w:val="0"/>
        </w:rPr>
        <w:t>Science</w:t>
      </w:r>
      <w:r>
        <w:rPr>
          <w:kern w:val="0"/>
        </w:rPr>
        <w:t>: Social Sciences Citation Index (S S C I), ERIC, ZETOC</w:t>
      </w:r>
      <w:r w:rsidR="005853A9">
        <w:rPr>
          <w:kern w:val="0"/>
        </w:rPr>
        <w:t xml:space="preserve"> and </w:t>
      </w:r>
      <w:r>
        <w:rPr>
          <w:kern w:val="0"/>
        </w:rPr>
        <w:t>SIGLE. Database searches covered all available dates up to October 2008. We also checked reference lists</w:t>
      </w:r>
      <w:r w:rsidR="00427468">
        <w:rPr>
          <w:kern w:val="0"/>
        </w:rPr>
        <w:t xml:space="preserve"> of </w:t>
      </w:r>
      <w:r>
        <w:rPr>
          <w:kern w:val="0"/>
        </w:rPr>
        <w:t>relevant papers</w:t>
      </w:r>
      <w:r w:rsidR="005853A9">
        <w:rPr>
          <w:kern w:val="0"/>
        </w:rPr>
        <w:t xml:space="preserve"> and </w:t>
      </w:r>
      <w:r>
        <w:rPr>
          <w:kern w:val="0"/>
        </w:rPr>
        <w:t>contacted study authors in an effort to identify published, unpublished</w:t>
      </w:r>
      <w:r w:rsidR="005853A9">
        <w:rPr>
          <w:kern w:val="0"/>
        </w:rPr>
        <w:t xml:space="preserve"> and </w:t>
      </w:r>
      <w:r>
        <w:rPr>
          <w:kern w:val="0"/>
        </w:rPr>
        <w:t>ongoing trials related to motorcycle rider training. Selection criteria We included all relevant intervention studies such as randomised</w:t>
      </w:r>
      <w:r w:rsidR="005853A9">
        <w:rPr>
          <w:kern w:val="0"/>
        </w:rPr>
        <w:t xml:space="preserve"> and </w:t>
      </w:r>
      <w:r>
        <w:rPr>
          <w:kern w:val="0"/>
        </w:rPr>
        <w:t>non-randomised controlled trials, interrupted time-series</w:t>
      </w:r>
      <w:r w:rsidR="005853A9">
        <w:rPr>
          <w:kern w:val="0"/>
        </w:rPr>
        <w:t xml:space="preserve"> and </w:t>
      </w:r>
      <w:r>
        <w:rPr>
          <w:kern w:val="0"/>
        </w:rPr>
        <w:t>observational studies such as cohort</w:t>
      </w:r>
      <w:r w:rsidR="005853A9">
        <w:rPr>
          <w:kern w:val="0"/>
        </w:rPr>
        <w:t xml:space="preserve"> and </w:t>
      </w:r>
      <w:r>
        <w:rPr>
          <w:kern w:val="0"/>
        </w:rPr>
        <w:t>case-control studies. Data collection</w:t>
      </w:r>
      <w:r w:rsidR="005853A9">
        <w:rPr>
          <w:kern w:val="0"/>
        </w:rPr>
        <w:t xml:space="preserve"> and </w:t>
      </w:r>
      <w:r>
        <w:rPr>
          <w:kern w:val="0"/>
        </w:rPr>
        <w:t>analysis Two review authors independently analysed data about the study population, study design</w:t>
      </w:r>
      <w:r w:rsidR="005853A9">
        <w:rPr>
          <w:kern w:val="0"/>
        </w:rPr>
        <w:t xml:space="preserve"> and </w:t>
      </w:r>
      <w:r>
        <w:rPr>
          <w:kern w:val="0"/>
        </w:rPr>
        <w:t>methods, interventions</w:t>
      </w:r>
      <w:r w:rsidR="005853A9">
        <w:rPr>
          <w:kern w:val="0"/>
        </w:rPr>
        <w:t xml:space="preserve"> and </w:t>
      </w:r>
      <w:r>
        <w:rPr>
          <w:kern w:val="0"/>
        </w:rPr>
        <w:t>outcome measures as well as data quality from each included study,</w:t>
      </w:r>
      <w:r w:rsidR="005853A9">
        <w:rPr>
          <w:kern w:val="0"/>
        </w:rPr>
        <w:t xml:space="preserve"> and </w:t>
      </w:r>
      <w:r>
        <w:rPr>
          <w:kern w:val="0"/>
        </w:rPr>
        <w:t>compared the findings. We resolved differences by discussion with a third review author. Main results We reviewed 23 studies: three randomised trials, two non-randomised trials, 14 cohort studies</w:t>
      </w:r>
      <w:r w:rsidR="005853A9">
        <w:rPr>
          <w:kern w:val="0"/>
        </w:rPr>
        <w:t xml:space="preserve"> and </w:t>
      </w:r>
      <w:r>
        <w:rPr>
          <w:kern w:val="0"/>
        </w:rPr>
        <w:t>four case-control studies. Five examined mandatory pre-licence training, 14 assessed non-mandatory training, three</w:t>
      </w:r>
      <w:r w:rsidR="00427468">
        <w:rPr>
          <w:kern w:val="0"/>
        </w:rPr>
        <w:t xml:space="preserve"> of </w:t>
      </w:r>
      <w:r>
        <w:rPr>
          <w:kern w:val="0"/>
        </w:rPr>
        <w:t>the case-control studies assessed `any</w:t>
      </w:r>
      <w:r w:rsidR="0071223E">
        <w:rPr>
          <w:kern w:val="0"/>
        </w:rPr>
        <w:t>’</w:t>
      </w:r>
      <w:r>
        <w:rPr>
          <w:kern w:val="0"/>
        </w:rPr>
        <w:t xml:space="preserve"> type</w:t>
      </w:r>
      <w:r w:rsidR="00427468">
        <w:rPr>
          <w:kern w:val="0"/>
        </w:rPr>
        <w:t xml:space="preserve"> of </w:t>
      </w:r>
      <w:r>
        <w:rPr>
          <w:kern w:val="0"/>
        </w:rPr>
        <w:t>rider training,</w:t>
      </w:r>
      <w:r w:rsidR="005853A9">
        <w:rPr>
          <w:kern w:val="0"/>
        </w:rPr>
        <w:t xml:space="preserve"> and </w:t>
      </w:r>
      <w:r>
        <w:rPr>
          <w:kern w:val="0"/>
        </w:rPr>
        <w:t>one case-control study assessed mandatory pre-licence training</w:t>
      </w:r>
      <w:r w:rsidR="005853A9">
        <w:rPr>
          <w:kern w:val="0"/>
        </w:rPr>
        <w:t xml:space="preserve"> and </w:t>
      </w:r>
      <w:r>
        <w:rPr>
          <w:kern w:val="0"/>
        </w:rPr>
        <w:t>non-mandatory training</w:t>
      </w:r>
      <w:r w:rsidR="00A37C1D">
        <w:rPr>
          <w:kern w:val="0"/>
        </w:rPr>
        <w:t>. The</w:t>
      </w:r>
      <w:r>
        <w:rPr>
          <w:kern w:val="0"/>
        </w:rPr>
        <w:t xml:space="preserve"> types</w:t>
      </w:r>
      <w:r w:rsidR="00427468">
        <w:rPr>
          <w:kern w:val="0"/>
        </w:rPr>
        <w:t xml:space="preserve"> of </w:t>
      </w:r>
      <w:r>
        <w:rPr>
          <w:kern w:val="0"/>
        </w:rPr>
        <w:t>assessed rider training varied in duration</w:t>
      </w:r>
      <w:r w:rsidR="005853A9">
        <w:rPr>
          <w:kern w:val="0"/>
        </w:rPr>
        <w:t xml:space="preserve"> and </w:t>
      </w:r>
      <w:r>
        <w:rPr>
          <w:kern w:val="0"/>
        </w:rPr>
        <w:t>content. Most studies suffered from serious methodological weaknesses. Most studies were non-randomised</w:t>
      </w:r>
      <w:r w:rsidR="005853A9">
        <w:rPr>
          <w:kern w:val="0"/>
        </w:rPr>
        <w:t xml:space="preserve"> and </w:t>
      </w:r>
      <w:r>
        <w:rPr>
          <w:kern w:val="0"/>
        </w:rPr>
        <w:t>controlled poorly for confounders. Most studies also suffered from detection bias due to the poor use</w:t>
      </w:r>
      <w:r w:rsidR="00427468">
        <w:rPr>
          <w:kern w:val="0"/>
        </w:rPr>
        <w:t xml:space="preserve"> of </w:t>
      </w:r>
      <w:r>
        <w:rPr>
          <w:kern w:val="0"/>
        </w:rPr>
        <w:t>outcome measurement tools such as the sole reliance upon police records or self-reported data. Small sample sizes</w:t>
      </w:r>
      <w:r w:rsidR="005853A9">
        <w:rPr>
          <w:kern w:val="0"/>
        </w:rPr>
        <w:t xml:space="preserve"> and </w:t>
      </w:r>
      <w:r>
        <w:rPr>
          <w:kern w:val="0"/>
        </w:rPr>
        <w:t>short follow-up time after training were also common. Authors</w:t>
      </w:r>
      <w:r w:rsidR="0071223E">
        <w:rPr>
          <w:kern w:val="0"/>
        </w:rPr>
        <w:t>’</w:t>
      </w:r>
      <w:r>
        <w:rPr>
          <w:kern w:val="0"/>
        </w:rPr>
        <w:t xml:space="preserve"> conclusions Due to the poor quality</w:t>
      </w:r>
      <w:r w:rsidR="00427468">
        <w:rPr>
          <w:kern w:val="0"/>
        </w:rPr>
        <w:t xml:space="preserve"> of </w:t>
      </w:r>
      <w:r>
        <w:rPr>
          <w:kern w:val="0"/>
        </w:rPr>
        <w:t>studies identified, we were unable to draw any conclusions about the effectiveness</w:t>
      </w:r>
      <w:r w:rsidR="00427468">
        <w:rPr>
          <w:kern w:val="0"/>
        </w:rPr>
        <w:t xml:space="preserve"> of </w:t>
      </w:r>
      <w:r>
        <w:rPr>
          <w:kern w:val="0"/>
        </w:rPr>
        <w:t>rider training on crash, injury, or offence rates</w:t>
      </w:r>
      <w:r w:rsidR="00A37C1D">
        <w:rPr>
          <w:kern w:val="0"/>
        </w:rPr>
        <w:t>. The</w:t>
      </w:r>
      <w:r>
        <w:rPr>
          <w:kern w:val="0"/>
        </w:rPr>
        <w:t xml:space="preserve"> findings suggest that mandatory pre-licence training may be an impediment to completing a motorcycle licensing process, possibly indirectly reducing crashes through a reduction in exposure. It is not clear if training (or what type) reduces the risk</w:t>
      </w:r>
      <w:r w:rsidR="00427468">
        <w:rPr>
          <w:kern w:val="0"/>
        </w:rPr>
        <w:t xml:space="preserve"> of </w:t>
      </w:r>
      <w:r>
        <w:rPr>
          <w:kern w:val="0"/>
        </w:rPr>
        <w:t>crashes, injuries or offences in motorcyclists,</w:t>
      </w:r>
      <w:r w:rsidR="005853A9">
        <w:rPr>
          <w:kern w:val="0"/>
        </w:rPr>
        <w:t xml:space="preserve"> and </w:t>
      </w:r>
      <w:r>
        <w:rPr>
          <w:kern w:val="0"/>
        </w:rPr>
        <w:t>a best rider training practice can therefore not be recommended. As some type</w:t>
      </w:r>
      <w:r w:rsidR="00427468">
        <w:rPr>
          <w:kern w:val="0"/>
        </w:rPr>
        <w:t xml:space="preserve"> of </w:t>
      </w:r>
      <w:r>
        <w:rPr>
          <w:kern w:val="0"/>
        </w:rPr>
        <w:t xml:space="preserve">rider </w:t>
      </w:r>
      <w:r>
        <w:rPr>
          <w:kern w:val="0"/>
        </w:rPr>
        <w:lastRenderedPageBreak/>
        <w:t>training is likely to be necessary to teach motorcyclists to ride a motorcycle safely, rigorous research is needed.</w:t>
      </w:r>
    </w:p>
    <w:p w:rsidR="00365DE4" w:rsidRDefault="00365DE4" w:rsidP="00365DE4">
      <w:pPr>
        <w:pStyle w:val="a3"/>
        <w:rPr>
          <w:kern w:val="0"/>
        </w:rPr>
      </w:pPr>
      <w:r>
        <w:rPr>
          <w:kern w:val="0"/>
        </w:rPr>
        <w:t>Keywords: Accidents, Author, Citation, Education, Injuries</w:t>
      </w:r>
      <w:r w:rsidR="00D5664A">
        <w:rPr>
          <w:kern w:val="0"/>
        </w:rPr>
        <w:t>, ISI,</w:t>
      </w:r>
      <w:r>
        <w:rPr>
          <w:kern w:val="0"/>
        </w:rPr>
        <w:t xml:space="preserve"> </w:t>
      </w:r>
      <w:r w:rsidR="00D5664A">
        <w:rPr>
          <w:kern w:val="0"/>
        </w:rPr>
        <w:t>MEDLINE</w:t>
      </w:r>
      <w:r>
        <w:rPr>
          <w:kern w:val="0"/>
        </w:rPr>
        <w:t xml:space="preserve">, Operator Skill Test, Quality, Research, Safety, Transport, Trials,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Gur</w:t>
      </w:r>
      <w:r w:rsidR="00D5664A">
        <w:rPr>
          <w:kern w:val="0"/>
        </w:rPr>
        <w:t>USA</w:t>
      </w:r>
      <w:r>
        <w:rPr>
          <w:kern w:val="0"/>
        </w:rPr>
        <w:t>my, K.S., Bong, J.J., F</w:t>
      </w:r>
      <w:r w:rsidR="00D5664A">
        <w:rPr>
          <w:kern w:val="0"/>
        </w:rPr>
        <w:t>USA</w:t>
      </w:r>
      <w:r>
        <w:rPr>
          <w:kern w:val="0"/>
        </w:rPr>
        <w:t>i, G.</w:t>
      </w:r>
      <w:r w:rsidR="005853A9">
        <w:rPr>
          <w:kern w:val="0"/>
        </w:rPr>
        <w:t xml:space="preserve"> and </w:t>
      </w:r>
      <w:r>
        <w:rPr>
          <w:kern w:val="0"/>
        </w:rPr>
        <w:t>Davidson, B.R. (2010), Methods</w:t>
      </w:r>
      <w:r w:rsidR="00427468">
        <w:rPr>
          <w:kern w:val="0"/>
        </w:rPr>
        <w:t xml:space="preserve"> of </w:t>
      </w:r>
      <w:r>
        <w:rPr>
          <w:kern w:val="0"/>
        </w:rPr>
        <w:t xml:space="preserve">cystic duct occlusion during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CD006807.</w:t>
      </w:r>
    </w:p>
    <w:p w:rsidR="00365DE4" w:rsidRDefault="00365DE4" w:rsidP="00365DE4">
      <w:pPr>
        <w:pStyle w:val="a3"/>
        <w:rPr>
          <w:kern w:val="2"/>
        </w:rPr>
      </w:pPr>
      <w:r>
        <w:t xml:space="preserve">Full Text: </w:t>
      </w:r>
      <w:hyperlink r:id="rId621" w:history="1">
        <w:r>
          <w:rPr>
            <w:rStyle w:val="a5"/>
          </w:rPr>
          <w:t>2010\Coc Dat Sys Rev2010, CD006807.pdf</w:t>
        </w:r>
      </w:hyperlink>
    </w:p>
    <w:p w:rsidR="00365DE4" w:rsidRDefault="00365DE4" w:rsidP="00365DE4">
      <w:pPr>
        <w:pStyle w:val="a3"/>
        <w:rPr>
          <w:kern w:val="0"/>
        </w:rPr>
      </w:pPr>
      <w:r>
        <w:rPr>
          <w:kern w:val="0"/>
        </w:rPr>
        <w:t>Abstract: Background During laparoscopic cholecystectomy, it is necessary to occlude the cystic duct permanently. Traditionally, this has been performed through the application</w:t>
      </w:r>
      <w:r w:rsidR="00427468">
        <w:rPr>
          <w:kern w:val="0"/>
        </w:rPr>
        <w:t xml:space="preserve"> of </w:t>
      </w:r>
      <w:r>
        <w:rPr>
          <w:kern w:val="0"/>
        </w:rPr>
        <w:t>non-absorbable metal clips. Use</w:t>
      </w:r>
      <w:r w:rsidR="00427468">
        <w:rPr>
          <w:kern w:val="0"/>
        </w:rPr>
        <w:t xml:space="preserve"> of </w:t>
      </w:r>
      <w:r>
        <w:rPr>
          <w:kern w:val="0"/>
        </w:rPr>
        <w:t>absorbable materials to occlude the cystic duct has been suggested as an alternative for metal clips for various reasons. Objectives To assess the benefits</w:t>
      </w:r>
      <w:r w:rsidR="005853A9">
        <w:rPr>
          <w:kern w:val="0"/>
        </w:rPr>
        <w:t xml:space="preserve"> and </w:t>
      </w:r>
      <w:r>
        <w:rPr>
          <w:kern w:val="0"/>
        </w:rPr>
        <w:t>harms</w:t>
      </w:r>
      <w:r w:rsidR="00427468">
        <w:rPr>
          <w:kern w:val="0"/>
        </w:rPr>
        <w:t xml:space="preserve"> of </w:t>
      </w:r>
      <w:r>
        <w:rPr>
          <w:kern w:val="0"/>
        </w:rPr>
        <w:t>the different methods</w:t>
      </w:r>
      <w:r w:rsidR="00427468">
        <w:rPr>
          <w:kern w:val="0"/>
        </w:rPr>
        <w:t xml:space="preserve"> of </w:t>
      </w:r>
      <w:r>
        <w:rPr>
          <w:kern w:val="0"/>
        </w:rPr>
        <w:t>occlusion</w:t>
      </w:r>
      <w:r w:rsidR="00427468">
        <w:rPr>
          <w:kern w:val="0"/>
        </w:rPr>
        <w:t xml:space="preserve"> of </w:t>
      </w:r>
      <w:r>
        <w:rPr>
          <w:kern w:val="0"/>
        </w:rPr>
        <w:t>cystic duct in patients undergoing laparoscopic cholecystectomy. Search strategy We searched The Cochrane Hepato-Biliary Group Controlled Trials Register, The Cochrane Central Register</w:t>
      </w:r>
      <w:r w:rsidR="00427468">
        <w:rPr>
          <w:kern w:val="0"/>
        </w:rPr>
        <w:t xml:space="preserve"> of </w:t>
      </w:r>
      <w:r>
        <w:rPr>
          <w:kern w:val="0"/>
        </w:rPr>
        <w:t xml:space="preserve">Controlled Trials in The Cochrane Library, </w:t>
      </w:r>
      <w:r w:rsidR="00D5664A">
        <w:rPr>
          <w:kern w:val="0"/>
        </w:rPr>
        <w:t>MEDLINE</w:t>
      </w:r>
      <w:r>
        <w:rPr>
          <w:kern w:val="0"/>
        </w:rPr>
        <w:t>, EMBASE,</w:t>
      </w:r>
      <w:r w:rsidR="005853A9">
        <w:rPr>
          <w:kern w:val="0"/>
        </w:rPr>
        <w:t xml:space="preserve"> and </w:t>
      </w:r>
      <w:r>
        <w:rPr>
          <w:kern w:val="0"/>
        </w:rPr>
        <w:t>Science Citation Index Expanded until August 2010. Selection criteria We included all randomised clinical trials comparing different methods</w:t>
      </w:r>
      <w:r w:rsidR="00427468">
        <w:rPr>
          <w:kern w:val="0"/>
        </w:rPr>
        <w:t xml:space="preserve"> of </w:t>
      </w:r>
      <w:r>
        <w:rPr>
          <w:kern w:val="0"/>
        </w:rPr>
        <w:t>occlusion</w:t>
      </w:r>
      <w:r w:rsidR="00427468">
        <w:rPr>
          <w:kern w:val="0"/>
        </w:rPr>
        <w:t xml:space="preserve"> of </w:t>
      </w:r>
      <w:r>
        <w:rPr>
          <w:kern w:val="0"/>
        </w:rPr>
        <w:t>cystic duct. Data collection</w:t>
      </w:r>
      <w:r w:rsidR="005853A9">
        <w:rPr>
          <w:kern w:val="0"/>
        </w:rPr>
        <w:t xml:space="preserve"> and </w:t>
      </w:r>
      <w:r>
        <w:rPr>
          <w:kern w:val="0"/>
        </w:rPr>
        <w:t>analysis We collected the data on the characteristics, methodological quality, bile duct injury, bile leaks, operating time,</w:t>
      </w:r>
      <w:r w:rsidR="005853A9">
        <w:rPr>
          <w:kern w:val="0"/>
        </w:rPr>
        <w:t xml:space="preserve"> and </w:t>
      </w:r>
      <w:r>
        <w:rPr>
          <w:kern w:val="0"/>
        </w:rPr>
        <w:t>incidence</w:t>
      </w:r>
      <w:r w:rsidR="00427468">
        <w:rPr>
          <w:kern w:val="0"/>
        </w:rPr>
        <w:t xml:space="preserve"> of </w:t>
      </w:r>
      <w:r>
        <w:rPr>
          <w:kern w:val="0"/>
        </w:rPr>
        <w:t>recurrent common bile duct stone from each trial. We analysed the data with both the fixed-effect</w:t>
      </w:r>
      <w:r w:rsidR="005853A9">
        <w:rPr>
          <w:kern w:val="0"/>
        </w:rPr>
        <w:t xml:space="preserve"> and </w:t>
      </w:r>
      <w:r>
        <w:rPr>
          <w:kern w:val="0"/>
        </w:rPr>
        <w:t>the random-effects model using RevMan Analysis. For each outcome we calculated the risk ratio (RR) in the presence</w:t>
      </w:r>
      <w:r w:rsidR="00427468">
        <w:rPr>
          <w:kern w:val="0"/>
        </w:rPr>
        <w:t xml:space="preserve"> of </w:t>
      </w:r>
      <w:r>
        <w:rPr>
          <w:kern w:val="0"/>
        </w:rPr>
        <w:t>more than one trial for the outcome or mean difference (MD) with 95% confidence intervals (CI) based on intention-to-treat analysis. In the presence</w:t>
      </w:r>
      <w:r w:rsidR="00427468">
        <w:rPr>
          <w:kern w:val="0"/>
        </w:rPr>
        <w:t xml:space="preserve"> of </w:t>
      </w:r>
      <w:r>
        <w:rPr>
          <w:kern w:val="0"/>
        </w:rPr>
        <w:t>only one trial under a dichotomous outcome, we performed the Fisher</w:t>
      </w:r>
      <w:r w:rsidR="0071223E">
        <w:rPr>
          <w:kern w:val="0"/>
        </w:rPr>
        <w:t>’</w:t>
      </w:r>
      <w:r>
        <w:rPr>
          <w:kern w:val="0"/>
        </w:rPr>
        <w:t>s exact test. Main results Three trials including 255 patients qualified for this review. In two</w:t>
      </w:r>
      <w:r w:rsidR="00427468">
        <w:rPr>
          <w:kern w:val="0"/>
        </w:rPr>
        <w:t xml:space="preserve"> of </w:t>
      </w:r>
      <w:r>
        <w:rPr>
          <w:kern w:val="0"/>
        </w:rPr>
        <w:t>the trial, a total</w:t>
      </w:r>
      <w:r w:rsidR="00427468">
        <w:rPr>
          <w:kern w:val="0"/>
        </w:rPr>
        <w:t xml:space="preserve"> of </w:t>
      </w:r>
      <w:r>
        <w:rPr>
          <w:kern w:val="0"/>
        </w:rPr>
        <w:t>150 patients were randomised to absorbable clips (n = 75)</w:t>
      </w:r>
      <w:r w:rsidR="005853A9">
        <w:rPr>
          <w:kern w:val="0"/>
        </w:rPr>
        <w:t xml:space="preserve"> and </w:t>
      </w:r>
      <w:r>
        <w:rPr>
          <w:kern w:val="0"/>
        </w:rPr>
        <w:t>non-absorbable clips (n = 75). In the third trial, a total</w:t>
      </w:r>
      <w:r w:rsidR="00427468">
        <w:rPr>
          <w:kern w:val="0"/>
        </w:rPr>
        <w:t xml:space="preserve"> of </w:t>
      </w:r>
      <w:r>
        <w:rPr>
          <w:kern w:val="0"/>
        </w:rPr>
        <w:t>105 patients were randomised to absorbable ligatures (n = 53)</w:t>
      </w:r>
      <w:r w:rsidR="005853A9">
        <w:rPr>
          <w:kern w:val="0"/>
        </w:rPr>
        <w:t xml:space="preserve"> and </w:t>
      </w:r>
      <w:r>
        <w:rPr>
          <w:kern w:val="0"/>
        </w:rPr>
        <w:t>non-absorbable clips (n = 52). All three trials were</w:t>
      </w:r>
      <w:r w:rsidR="00427468">
        <w:rPr>
          <w:kern w:val="0"/>
        </w:rPr>
        <w:t xml:space="preserve"> of </w:t>
      </w:r>
      <w:r>
        <w:rPr>
          <w:kern w:val="0"/>
        </w:rPr>
        <w:t>high risk</w:t>
      </w:r>
      <w:r w:rsidR="00427468">
        <w:rPr>
          <w:kern w:val="0"/>
        </w:rPr>
        <w:t xml:space="preserve"> of </w:t>
      </w:r>
      <w:r>
        <w:rPr>
          <w:kern w:val="0"/>
        </w:rPr>
        <w:t>bias</w:t>
      </w:r>
      <w:r w:rsidR="00A37C1D">
        <w:rPr>
          <w:kern w:val="0"/>
        </w:rPr>
        <w:t>. The</w:t>
      </w:r>
      <w:r>
        <w:rPr>
          <w:kern w:val="0"/>
        </w:rPr>
        <w:t>re was no difference in the morbidity between the groups</w:t>
      </w:r>
      <w:r w:rsidR="00A37C1D">
        <w:rPr>
          <w:kern w:val="0"/>
        </w:rPr>
        <w:t>. The</w:t>
      </w:r>
      <w:r>
        <w:rPr>
          <w:kern w:val="0"/>
        </w:rPr>
        <w:t>re was statistically significant longer operating time (MD 12.00 minutes, 95% CI 1.59 to 22.41) in the absorbable ligature group than non-absorbable clips</w:t>
      </w:r>
      <w:r w:rsidR="00A37C1D">
        <w:rPr>
          <w:kern w:val="0"/>
        </w:rPr>
        <w:t>. The</w:t>
      </w:r>
      <w:r>
        <w:rPr>
          <w:kern w:val="0"/>
        </w:rPr>
        <w:t xml:space="preserve"> duration</w:t>
      </w:r>
      <w:r w:rsidR="005853A9">
        <w:rPr>
          <w:kern w:val="0"/>
        </w:rPr>
        <w:t xml:space="preserve"> and </w:t>
      </w:r>
      <w:r>
        <w:rPr>
          <w:kern w:val="0"/>
        </w:rPr>
        <w:t>method</w:t>
      </w:r>
      <w:r w:rsidR="00427468">
        <w:rPr>
          <w:kern w:val="0"/>
        </w:rPr>
        <w:t xml:space="preserve"> of </w:t>
      </w:r>
      <w:r>
        <w:rPr>
          <w:kern w:val="0"/>
        </w:rPr>
        <w:t>follow-up were not adequate to determine the incidence</w:t>
      </w:r>
      <w:r w:rsidR="00427468">
        <w:rPr>
          <w:kern w:val="0"/>
        </w:rPr>
        <w:t xml:space="preserve"> of </w:t>
      </w:r>
      <w:r>
        <w:rPr>
          <w:kern w:val="0"/>
        </w:rPr>
        <w:t>long-term complications. Authors</w:t>
      </w:r>
      <w:r w:rsidR="0071223E">
        <w:rPr>
          <w:kern w:val="0"/>
        </w:rPr>
        <w:t>’</w:t>
      </w:r>
      <w:r>
        <w:rPr>
          <w:kern w:val="0"/>
        </w:rPr>
        <w:t xml:space="preserve"> conclusions We are unable to determine the benefits</w:t>
      </w:r>
      <w:r w:rsidR="005853A9">
        <w:rPr>
          <w:kern w:val="0"/>
        </w:rPr>
        <w:t xml:space="preserve"> and </w:t>
      </w:r>
      <w:r>
        <w:rPr>
          <w:kern w:val="0"/>
        </w:rPr>
        <w:t>harms</w:t>
      </w:r>
      <w:r w:rsidR="00427468">
        <w:rPr>
          <w:kern w:val="0"/>
        </w:rPr>
        <w:t xml:space="preserve"> of </w:t>
      </w:r>
      <w:r>
        <w:rPr>
          <w:kern w:val="0"/>
        </w:rPr>
        <w:t>different methods</w:t>
      </w:r>
      <w:r w:rsidR="00427468">
        <w:rPr>
          <w:kern w:val="0"/>
        </w:rPr>
        <w:t xml:space="preserve"> of </w:t>
      </w:r>
      <w:r>
        <w:rPr>
          <w:kern w:val="0"/>
        </w:rPr>
        <w:t>cystic duct occlusion because</w:t>
      </w:r>
      <w:r w:rsidR="00427468">
        <w:rPr>
          <w:kern w:val="0"/>
        </w:rPr>
        <w:t xml:space="preserve"> of </w:t>
      </w:r>
      <w:r>
        <w:rPr>
          <w:kern w:val="0"/>
        </w:rPr>
        <w:t>the small sample size, short period</w:t>
      </w:r>
      <w:r w:rsidR="00427468">
        <w:rPr>
          <w:kern w:val="0"/>
        </w:rPr>
        <w:t xml:space="preserve"> of </w:t>
      </w:r>
      <w:r>
        <w:rPr>
          <w:kern w:val="0"/>
        </w:rPr>
        <w:t>follow-up,</w:t>
      </w:r>
      <w:r w:rsidR="005853A9">
        <w:rPr>
          <w:kern w:val="0"/>
        </w:rPr>
        <w:t xml:space="preserve"> and </w:t>
      </w:r>
      <w:r>
        <w:rPr>
          <w:kern w:val="0"/>
        </w:rPr>
        <w:t>lack</w:t>
      </w:r>
      <w:r w:rsidR="00427468">
        <w:rPr>
          <w:kern w:val="0"/>
        </w:rPr>
        <w:t xml:space="preserve"> of </w:t>
      </w:r>
      <w:r>
        <w:rPr>
          <w:kern w:val="0"/>
        </w:rPr>
        <w:t>reporting</w:t>
      </w:r>
      <w:r w:rsidR="00427468">
        <w:rPr>
          <w:kern w:val="0"/>
        </w:rPr>
        <w:t xml:space="preserve"> of </w:t>
      </w:r>
      <w:r>
        <w:rPr>
          <w:kern w:val="0"/>
        </w:rPr>
        <w:t>important outcomes in the included trials. Adequately powered randomised trials with low risk</w:t>
      </w:r>
      <w:r w:rsidR="00427468">
        <w:rPr>
          <w:kern w:val="0"/>
        </w:rPr>
        <w:t xml:space="preserve"> of </w:t>
      </w:r>
      <w:r>
        <w:rPr>
          <w:kern w:val="0"/>
        </w:rPr>
        <w:t>bias</w:t>
      </w:r>
      <w:r w:rsidR="005853A9">
        <w:rPr>
          <w:kern w:val="0"/>
        </w:rPr>
        <w:t xml:space="preserve"> and </w:t>
      </w:r>
      <w:r>
        <w:rPr>
          <w:kern w:val="0"/>
        </w:rPr>
        <w:t>with long periods</w:t>
      </w:r>
      <w:r w:rsidR="00427468">
        <w:rPr>
          <w:kern w:val="0"/>
        </w:rPr>
        <w:t xml:space="preserve"> of </w:t>
      </w:r>
      <w:r>
        <w:rPr>
          <w:kern w:val="0"/>
        </w:rPr>
        <w:t>follow-up</w:t>
      </w:r>
      <w:r w:rsidR="005853A9">
        <w:rPr>
          <w:kern w:val="0"/>
        </w:rPr>
        <w:t xml:space="preserve"> and </w:t>
      </w:r>
      <w:r>
        <w:rPr>
          <w:kern w:val="0"/>
        </w:rPr>
        <w:t>assessing all</w:t>
      </w:r>
      <w:r w:rsidR="00427468">
        <w:rPr>
          <w:kern w:val="0"/>
        </w:rPr>
        <w:t xml:space="preserve"> of </w:t>
      </w:r>
      <w:r>
        <w:rPr>
          <w:kern w:val="0"/>
        </w:rPr>
        <w:t>the important outcomes for patients</w:t>
      </w:r>
      <w:r w:rsidR="005853A9">
        <w:rPr>
          <w:kern w:val="0"/>
        </w:rPr>
        <w:t xml:space="preserve"> and </w:t>
      </w:r>
      <w:r>
        <w:rPr>
          <w:kern w:val="0"/>
        </w:rPr>
        <w:t xml:space="preserve">professionals </w:t>
      </w:r>
      <w:r>
        <w:rPr>
          <w:kern w:val="0"/>
        </w:rPr>
        <w:lastRenderedPageBreak/>
        <w:t>are necessary.</w:t>
      </w:r>
    </w:p>
    <w:p w:rsidR="00365DE4" w:rsidRDefault="00365DE4" w:rsidP="00365DE4">
      <w:pPr>
        <w:pStyle w:val="a3"/>
        <w:rPr>
          <w:kern w:val="0"/>
        </w:rPr>
      </w:pPr>
      <w:r>
        <w:rPr>
          <w:kern w:val="0"/>
        </w:rPr>
        <w:t xml:space="preserve">Keywords: Audit, Bias, Cautionary Note, Citation, Clinical-Trials, Empirical-Evidence, Group Randomized-Trials, </w:t>
      </w:r>
      <w:r w:rsidR="00D5664A">
        <w:rPr>
          <w:kern w:val="0"/>
        </w:rPr>
        <w:t>MEDLINE</w:t>
      </w:r>
      <w:r>
        <w:rPr>
          <w:kern w:val="0"/>
        </w:rPr>
        <w:t>, Metaanalysis, Metallic Clips, Occlusion, Prevalence, Quality, Science Citation Index, Science Citation Index Expanded</w:t>
      </w:r>
    </w:p>
    <w:p w:rsidR="00365DE4" w:rsidRDefault="00365DE4" w:rsidP="00365DE4">
      <w:pPr>
        <w:pStyle w:val="a3"/>
        <w:rPr>
          <w:kern w:val="0"/>
        </w:rPr>
      </w:pPr>
      <w:r>
        <w:rPr>
          <w:kern w:val="0"/>
        </w:rPr>
        <w:t>? Brand, M., Bizos, D.</w:t>
      </w:r>
      <w:r w:rsidR="005853A9">
        <w:rPr>
          <w:kern w:val="0"/>
        </w:rPr>
        <w:t xml:space="preserve"> and </w:t>
      </w:r>
      <w:r>
        <w:rPr>
          <w:kern w:val="0"/>
        </w:rPr>
        <w:t>O</w:t>
      </w:r>
      <w:r w:rsidR="0071223E">
        <w:rPr>
          <w:kern w:val="0"/>
        </w:rPr>
        <w:t>’</w:t>
      </w:r>
      <w:r>
        <w:rPr>
          <w:kern w:val="0"/>
        </w:rPr>
        <w:t xml:space="preserve">Farrell, P.J.R. (2010), Antibiotic prophylaxis for patients undergoing elective endoscopic retrograde cholangiopancreatography.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CD007345.</w:t>
      </w:r>
    </w:p>
    <w:p w:rsidR="00365DE4" w:rsidRDefault="00365DE4" w:rsidP="00365DE4">
      <w:pPr>
        <w:pStyle w:val="a3"/>
        <w:rPr>
          <w:kern w:val="2"/>
        </w:rPr>
      </w:pPr>
      <w:r>
        <w:t xml:space="preserve">Full Text: </w:t>
      </w:r>
      <w:hyperlink r:id="rId622" w:history="1">
        <w:r>
          <w:rPr>
            <w:rStyle w:val="a5"/>
          </w:rPr>
          <w:t>2010\Coc Dat Sys Rev2010, CD007345.pdf</w:t>
        </w:r>
      </w:hyperlink>
    </w:p>
    <w:p w:rsidR="00365DE4" w:rsidRDefault="00365DE4" w:rsidP="00365DE4">
      <w:pPr>
        <w:pStyle w:val="a3"/>
        <w:rPr>
          <w:kern w:val="0"/>
        </w:rPr>
      </w:pPr>
      <w:r>
        <w:rPr>
          <w:kern w:val="0"/>
        </w:rPr>
        <w:t>Abstract: Background The use</w:t>
      </w:r>
      <w:r w:rsidR="00427468">
        <w:rPr>
          <w:kern w:val="0"/>
        </w:rPr>
        <w:t xml:space="preserve"> of </w:t>
      </w:r>
      <w:r>
        <w:rPr>
          <w:kern w:val="0"/>
        </w:rPr>
        <w:t>prophylactic antibiotics before endoscopic retrograde cholangiopancreatography (ERCP) is recommended by all major international gastroenterological societies, especially in the presence</w:t>
      </w:r>
      <w:r w:rsidR="00427468">
        <w:rPr>
          <w:kern w:val="0"/>
        </w:rPr>
        <w:t xml:space="preserve"> of </w:t>
      </w:r>
      <w:r>
        <w:rPr>
          <w:kern w:val="0"/>
        </w:rPr>
        <w:t>an obstructed biliary system</w:t>
      </w:r>
      <w:r w:rsidR="00A37C1D">
        <w:rPr>
          <w:kern w:val="0"/>
        </w:rPr>
        <w:t>. The</w:t>
      </w:r>
      <w:r>
        <w:rPr>
          <w:kern w:val="0"/>
        </w:rPr>
        <w:t>ir use is intended to decrease or eliminate the incidence</w:t>
      </w:r>
      <w:r w:rsidR="00427468">
        <w:rPr>
          <w:kern w:val="0"/>
        </w:rPr>
        <w:t xml:space="preserve"> of </w:t>
      </w:r>
      <w:r>
        <w:rPr>
          <w:kern w:val="0"/>
        </w:rPr>
        <w:t>complications following the procedure, namely cholangitis, cholecystitis, septicaemia,</w:t>
      </w:r>
      <w:r w:rsidR="005853A9">
        <w:rPr>
          <w:kern w:val="0"/>
        </w:rPr>
        <w:t xml:space="preserve"> and </w:t>
      </w:r>
      <w:r>
        <w:rPr>
          <w:kern w:val="0"/>
        </w:rPr>
        <w:t>pancreatitis. Objectives To assess the benefits</w:t>
      </w:r>
      <w:r w:rsidR="005853A9">
        <w:rPr>
          <w:kern w:val="0"/>
        </w:rPr>
        <w:t xml:space="preserve"> and </w:t>
      </w:r>
      <w:r>
        <w:rPr>
          <w:kern w:val="0"/>
        </w:rPr>
        <w:t>harms</w:t>
      </w:r>
      <w:r w:rsidR="00427468">
        <w:rPr>
          <w:kern w:val="0"/>
        </w:rPr>
        <w:t xml:space="preserve"> of </w:t>
      </w:r>
      <w:r>
        <w:rPr>
          <w:kern w:val="0"/>
        </w:rPr>
        <w:t>antibiotics before elective ERCP in patients without evidence</w:t>
      </w:r>
      <w:r w:rsidR="00427468">
        <w:rPr>
          <w:kern w:val="0"/>
        </w:rPr>
        <w:t xml:space="preserve"> of </w:t>
      </w:r>
      <w:r>
        <w:rPr>
          <w:kern w:val="0"/>
        </w:rPr>
        <w:t>acute or chronic cholecystitis, or acute or chronic cholangitis, or severe acute pancreatitis.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LILACS until March 2010. Relevant medical</w:t>
      </w:r>
      <w:r w:rsidR="005853A9">
        <w:rPr>
          <w:kern w:val="0"/>
        </w:rPr>
        <w:t xml:space="preserve"> and </w:t>
      </w:r>
      <w:r>
        <w:rPr>
          <w:kern w:val="0"/>
        </w:rPr>
        <w:t>surgical international conference proceedings were also searched. Selection criteria Only randomised clinical trials were included in the analyses, irrespective</w:t>
      </w:r>
      <w:r w:rsidR="00427468">
        <w:rPr>
          <w:kern w:val="0"/>
        </w:rPr>
        <w:t xml:space="preserve"> of </w:t>
      </w:r>
      <w:r>
        <w:rPr>
          <w:kern w:val="0"/>
        </w:rPr>
        <w:t>blinding, language, or publication status. Participants were patients that underwent elective ERCP that were not on antibiotics, without evidence</w:t>
      </w:r>
      <w:r w:rsidR="00427468">
        <w:rPr>
          <w:kern w:val="0"/>
        </w:rPr>
        <w:t xml:space="preserve"> of </w:t>
      </w:r>
      <w:r>
        <w:rPr>
          <w:kern w:val="0"/>
        </w:rPr>
        <w:t>acute or chronic cholecystitis, cholangitis, or severe acute pancreatitis before the procedure. We compared patients that received prophylactic antibiotics before the procedure with patients that were given placebo or no intervention before the procedure. Data collection</w:t>
      </w:r>
      <w:r w:rsidR="005853A9">
        <w:rPr>
          <w:kern w:val="0"/>
        </w:rPr>
        <w:t xml:space="preserve"> and </w:t>
      </w:r>
      <w:r>
        <w:rPr>
          <w:kern w:val="0"/>
        </w:rPr>
        <w:t>analysis The review was conducted according to the recommendations</w:t>
      </w:r>
      <w:r w:rsidR="00427468">
        <w:rPr>
          <w:kern w:val="0"/>
        </w:rPr>
        <w:t xml:space="preserve"> of </w:t>
      </w:r>
      <w:r>
        <w:rPr>
          <w:kern w:val="0"/>
        </w:rPr>
        <w:t>The Cochrane Collaboration as well as the Cochrane Hepato-Biliary Group. Review Manager 5 was used employing fixed-effect</w:t>
      </w:r>
      <w:r w:rsidR="005853A9">
        <w:rPr>
          <w:kern w:val="0"/>
        </w:rPr>
        <w:t xml:space="preserve"> and </w:t>
      </w:r>
      <w:r>
        <w:rPr>
          <w:kern w:val="0"/>
        </w:rPr>
        <w:t>random-effects models meta-analyses. Main results Nine randomised clinical trials (1573 patients) were included in the analyses</w:t>
      </w:r>
      <w:r w:rsidR="00A37C1D">
        <w:rPr>
          <w:kern w:val="0"/>
        </w:rPr>
        <w:t>. The</w:t>
      </w:r>
      <w:r>
        <w:rPr>
          <w:kern w:val="0"/>
        </w:rPr>
        <w:t xml:space="preserve"> majority</w:t>
      </w:r>
      <w:r w:rsidR="00427468">
        <w:rPr>
          <w:kern w:val="0"/>
        </w:rPr>
        <w:t xml:space="preserve"> of </w:t>
      </w:r>
      <w:r>
        <w:rPr>
          <w:kern w:val="0"/>
        </w:rPr>
        <w:t>the trials had risks</w:t>
      </w:r>
      <w:r w:rsidR="00427468">
        <w:rPr>
          <w:kern w:val="0"/>
        </w:rPr>
        <w:t xml:space="preserve"> of </w:t>
      </w:r>
      <w:r>
        <w:rPr>
          <w:kern w:val="0"/>
        </w:rPr>
        <w:t>bias. When all patients providing data for a certain outcome were included, the fixed-effect meta-analyses significantly favoured the use</w:t>
      </w:r>
      <w:r w:rsidR="00427468">
        <w:rPr>
          <w:kern w:val="0"/>
        </w:rPr>
        <w:t xml:space="preserve"> of </w:t>
      </w:r>
      <w:r>
        <w:rPr>
          <w:kern w:val="0"/>
        </w:rPr>
        <w:t>prophylactic antibiotics in preventing cholangitis (relative risk (RR) 0.54, 95% CI 0.33 to 0.91), septicaemia (RR 0.35, 95% CI 0.11 to 1.11), bacteriaemia (RR 0.50, 95% CI 0.33 to 0.78),</w:t>
      </w:r>
      <w:r w:rsidR="005853A9">
        <w:rPr>
          <w:kern w:val="0"/>
        </w:rPr>
        <w:t xml:space="preserve"> and </w:t>
      </w:r>
      <w:r>
        <w:rPr>
          <w:kern w:val="0"/>
        </w:rPr>
        <w:t xml:space="preserve">pancreatitis (RR 0.54, 95% CI 0.29 to 1.00). In random-effects meta-analyses, only the effect on bacteriaemia remained significant. Overall mortality was not reduced (RR 1.33, 95% CI 0.32 to 5.44). If one selects patients in whom the ERCP resolved the biliary obstruction at the first procedure, there seem to be no significant benefit in </w:t>
      </w:r>
      <w:r>
        <w:rPr>
          <w:kern w:val="0"/>
        </w:rPr>
        <w:lastRenderedPageBreak/>
        <w:t>using prophylactic antibiotics to prevent cholangitis (RR 0.98, 95% CI 0.35 to 2.69, only three trials). Authors</w:t>
      </w:r>
      <w:r w:rsidR="0071223E">
        <w:rPr>
          <w:kern w:val="0"/>
        </w:rPr>
        <w:t>’</w:t>
      </w:r>
      <w:r>
        <w:rPr>
          <w:kern w:val="0"/>
        </w:rPr>
        <w:t xml:space="preserve"> conclusions Prophylactic antibiotics reduce bacteriaemia</w:t>
      </w:r>
      <w:r w:rsidR="005853A9">
        <w:rPr>
          <w:kern w:val="0"/>
        </w:rPr>
        <w:t xml:space="preserve"> and </w:t>
      </w:r>
      <w:r>
        <w:rPr>
          <w:kern w:val="0"/>
        </w:rPr>
        <w:t>seem to prevent cholangitis</w:t>
      </w:r>
      <w:r w:rsidR="005853A9">
        <w:rPr>
          <w:kern w:val="0"/>
        </w:rPr>
        <w:t xml:space="preserve"> and </w:t>
      </w:r>
      <w:r>
        <w:rPr>
          <w:kern w:val="0"/>
        </w:rPr>
        <w:t>septicaemia in patients undergoing elective ERCP. In the subgroup</w:t>
      </w:r>
      <w:r w:rsidR="00427468">
        <w:rPr>
          <w:kern w:val="0"/>
        </w:rPr>
        <w:t xml:space="preserve"> of </w:t>
      </w:r>
      <w:r>
        <w:rPr>
          <w:kern w:val="0"/>
        </w:rPr>
        <w:t>patients with uncomplicated ERCP, the effect</w:t>
      </w:r>
      <w:r w:rsidR="00427468">
        <w:rPr>
          <w:kern w:val="0"/>
        </w:rPr>
        <w:t xml:space="preserve"> of </w:t>
      </w:r>
      <w:r>
        <w:rPr>
          <w:kern w:val="0"/>
        </w:rPr>
        <w:t>antibiotics may be less evident. Further research is required to determine whether antibiotics can be given during or after an ERCP if it becomes apparent that biliary obstruction cannot be relieved during that procedure.</w:t>
      </w:r>
    </w:p>
    <w:p w:rsidR="00365DE4" w:rsidRDefault="00365DE4" w:rsidP="00365DE4">
      <w:pPr>
        <w:pStyle w:val="a3"/>
        <w:rPr>
          <w:kern w:val="0"/>
        </w:rPr>
      </w:pPr>
      <w:r>
        <w:rPr>
          <w:kern w:val="0"/>
        </w:rPr>
        <w:t xml:space="preserve">Keywords: Cholangitis, Citation, Collaboration, Empirical-Evidence, Ercp, Infectious Complications, Information Size, </w:t>
      </w:r>
      <w:r w:rsidR="00D5664A">
        <w:rPr>
          <w:kern w:val="0"/>
        </w:rPr>
        <w:t>MEDLINE</w:t>
      </w:r>
      <w:r>
        <w:rPr>
          <w:kern w:val="0"/>
        </w:rPr>
        <w:t>, Metaanalyses, Piperacillin, Publication, Quality, Randomized-Trials, Research, Science Citation Index, Science Citation Index Expanded, Trial Sequential-Analysis</w:t>
      </w:r>
    </w:p>
    <w:p w:rsidR="00365DE4" w:rsidRDefault="00365DE4" w:rsidP="00365DE4">
      <w:pPr>
        <w:pStyle w:val="a3"/>
        <w:rPr>
          <w:kern w:val="0"/>
        </w:rPr>
      </w:pPr>
      <w:r>
        <w:rPr>
          <w:kern w:val="0"/>
        </w:rPr>
        <w:t>? Singh, J.A., Sperling, J., Buchbinder, R.</w:t>
      </w:r>
      <w:r w:rsidR="005853A9">
        <w:rPr>
          <w:kern w:val="0"/>
        </w:rPr>
        <w:t xml:space="preserve"> and </w:t>
      </w:r>
      <w:r>
        <w:rPr>
          <w:kern w:val="0"/>
        </w:rPr>
        <w:t xml:space="preserve">McMaken, K. (2010), Surgery for shoulder osteoarthritis.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CD008089.</w:t>
      </w:r>
    </w:p>
    <w:p w:rsidR="00365DE4" w:rsidRDefault="00365DE4" w:rsidP="00365DE4">
      <w:pPr>
        <w:pStyle w:val="a3"/>
        <w:rPr>
          <w:kern w:val="2"/>
        </w:rPr>
      </w:pPr>
      <w:r>
        <w:t xml:space="preserve">Full Text: </w:t>
      </w:r>
      <w:hyperlink r:id="rId623" w:history="1">
        <w:r>
          <w:rPr>
            <w:rStyle w:val="a5"/>
          </w:rPr>
          <w:t>2010\Coc Dat Sys Rev2010, CD008089.pdf</w:t>
        </w:r>
      </w:hyperlink>
    </w:p>
    <w:p w:rsidR="00365DE4" w:rsidRDefault="00365DE4" w:rsidP="00365DE4">
      <w:pPr>
        <w:pStyle w:val="a3"/>
        <w:rPr>
          <w:kern w:val="0"/>
        </w:rPr>
      </w:pPr>
      <w:r>
        <w:rPr>
          <w:kern w:val="0"/>
        </w:rPr>
        <w:t>Abstract: Background Surgical treatment including shoulder arthroplasty is a treatment option for patients with advanced osteoarthritis</w:t>
      </w:r>
      <w:r w:rsidR="00427468">
        <w:rPr>
          <w:kern w:val="0"/>
        </w:rPr>
        <w:t xml:space="preserve"> of </w:t>
      </w:r>
      <w:r>
        <w:rPr>
          <w:kern w:val="0"/>
        </w:rPr>
        <w:t>the shoulder who have failed conservative treatment. Objectives To determine the benefit</w:t>
      </w:r>
      <w:r w:rsidR="005853A9">
        <w:rPr>
          <w:kern w:val="0"/>
        </w:rPr>
        <w:t xml:space="preserve"> and </w:t>
      </w:r>
      <w:r>
        <w:rPr>
          <w:kern w:val="0"/>
        </w:rPr>
        <w:t>harm</w:t>
      </w:r>
      <w:r w:rsidR="00427468">
        <w:rPr>
          <w:kern w:val="0"/>
        </w:rPr>
        <w:t xml:space="preserve"> of </w:t>
      </w:r>
      <w:r>
        <w:rPr>
          <w:kern w:val="0"/>
        </w:rPr>
        <w:t>surgery in patients with osteoarthritis</w:t>
      </w:r>
      <w:r w:rsidR="00427468">
        <w:rPr>
          <w:kern w:val="0"/>
        </w:rPr>
        <w:t xml:space="preserve"> of </w:t>
      </w:r>
      <w:r>
        <w:rPr>
          <w:kern w:val="0"/>
        </w:rPr>
        <w:t>the shoulder confirmed on X-ray who do not respond to analgesics</w:t>
      </w:r>
      <w:r w:rsidR="005853A9">
        <w:rPr>
          <w:kern w:val="0"/>
        </w:rPr>
        <w:t xml:space="preserve"> and </w:t>
      </w:r>
      <w:r>
        <w:rPr>
          <w:kern w:val="0"/>
        </w:rPr>
        <w:t>NSAIDs. Search strategy We searched: The Cochrane Central Register</w:t>
      </w:r>
      <w:r w:rsidR="00427468">
        <w:rPr>
          <w:kern w:val="0"/>
        </w:rPr>
        <w:t xml:space="preserve"> of </w:t>
      </w:r>
      <w:r>
        <w:rPr>
          <w:kern w:val="0"/>
        </w:rPr>
        <w:t>Controlled Trials (CENTRAL), via The Cochrane Library; OVID</w:t>
      </w:r>
      <w:r w:rsidR="00D5664A">
        <w:rPr>
          <w:kern w:val="0"/>
        </w:rPr>
        <w:t>MEDLINE</w:t>
      </w:r>
      <w:r>
        <w:rPr>
          <w:kern w:val="0"/>
        </w:rPr>
        <w:t>; CINAHL (via EBSCOHost); OVID SPORTdiscus; EMBASE;</w:t>
      </w:r>
      <w:r w:rsidR="005853A9">
        <w:rPr>
          <w:kern w:val="0"/>
        </w:rPr>
        <w:t xml:space="preserve"> and </w:t>
      </w:r>
      <w:r>
        <w:rPr>
          <w:kern w:val="0"/>
        </w:rPr>
        <w:t>Science Citation Index (</w:t>
      </w:r>
      <w:r w:rsidR="00D5664A">
        <w:rPr>
          <w:kern w:val="0"/>
        </w:rPr>
        <w:t>Web</w:t>
      </w:r>
      <w:r w:rsidR="00427468">
        <w:rPr>
          <w:kern w:val="0"/>
        </w:rPr>
        <w:t xml:space="preserve"> of </w:t>
      </w:r>
      <w:r w:rsidR="00D5664A">
        <w:rPr>
          <w:kern w:val="0"/>
        </w:rPr>
        <w:t>Science</w:t>
      </w:r>
      <w:r>
        <w:rPr>
          <w:kern w:val="0"/>
        </w:rPr>
        <w:t>). Selection criteria All randomized clinical trials (RCTs) or quasi-randomized trials including adults with osteoarthritis</w:t>
      </w:r>
      <w:r w:rsidR="00427468">
        <w:rPr>
          <w:kern w:val="0"/>
        </w:rPr>
        <w:t xml:space="preserve"> of </w:t>
      </w:r>
      <w:r>
        <w:rPr>
          <w:kern w:val="0"/>
        </w:rPr>
        <w:t>the shoulder joint (PICO-patients) comparing surgical techniques (total shoulder arthroplasty, hemiarthroplasty, implant types</w:t>
      </w:r>
      <w:r w:rsidR="005853A9">
        <w:rPr>
          <w:kern w:val="0"/>
        </w:rPr>
        <w:t xml:space="preserve"> and </w:t>
      </w:r>
      <w:r>
        <w:rPr>
          <w:kern w:val="0"/>
        </w:rPr>
        <w:t>fixation-intervention) versus placebo or sham surgery, non-surgical modalities, no treatment, or comparison</w:t>
      </w:r>
      <w:r w:rsidR="00427468">
        <w:rPr>
          <w:kern w:val="0"/>
        </w:rPr>
        <w:t xml:space="preserve"> of </w:t>
      </w:r>
      <w:r>
        <w:rPr>
          <w:kern w:val="0"/>
        </w:rPr>
        <w:t>one type</w:t>
      </w:r>
      <w:r w:rsidR="00427468">
        <w:rPr>
          <w:kern w:val="0"/>
        </w:rPr>
        <w:t xml:space="preserve"> of </w:t>
      </w:r>
      <w:r>
        <w:rPr>
          <w:kern w:val="0"/>
        </w:rPr>
        <w:t>surgical technique to another (comparison) with patient-reported outcomes (pain, function, quality</w:t>
      </w:r>
      <w:r w:rsidR="00427468">
        <w:rPr>
          <w:kern w:val="0"/>
        </w:rPr>
        <w:t xml:space="preserve"> of </w:t>
      </w:r>
      <w:r>
        <w:rPr>
          <w:kern w:val="0"/>
        </w:rPr>
        <w:t>life etc.) or revision rates (outcomes). Data collection</w:t>
      </w:r>
      <w:r w:rsidR="005853A9">
        <w:rPr>
          <w:kern w:val="0"/>
        </w:rPr>
        <w:t xml:space="preserve"> and </w:t>
      </w:r>
      <w:r>
        <w:rPr>
          <w:kern w:val="0"/>
        </w:rPr>
        <w:t>analysis We reviewed titles</w:t>
      </w:r>
      <w:r w:rsidR="005853A9">
        <w:rPr>
          <w:kern w:val="0"/>
        </w:rPr>
        <w:t xml:space="preserve"> and </w:t>
      </w:r>
      <w:r>
        <w:rPr>
          <w:kern w:val="0"/>
        </w:rPr>
        <w:t>abstracts for inclusion, extracted study</w:t>
      </w:r>
      <w:r w:rsidR="005853A9">
        <w:rPr>
          <w:kern w:val="0"/>
        </w:rPr>
        <w:t xml:space="preserve"> and </w:t>
      </w:r>
      <w:r>
        <w:rPr>
          <w:kern w:val="0"/>
        </w:rPr>
        <w:t>outcomes data</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included studies. For categorical outcomes, we calculated the risk ratio (with 95% confidence interval (CI))</w:t>
      </w:r>
      <w:r w:rsidR="005853A9">
        <w:rPr>
          <w:kern w:val="0"/>
        </w:rPr>
        <w:t xml:space="preserve"> and </w:t>
      </w:r>
      <w:r>
        <w:rPr>
          <w:kern w:val="0"/>
        </w:rPr>
        <w:t>for continuous outcomes, the mean difference (95% CI). Main results Seven studies (238 patients) were included for analyses. None</w:t>
      </w:r>
      <w:r w:rsidR="00427468">
        <w:rPr>
          <w:kern w:val="0"/>
        </w:rPr>
        <w:t xml:space="preserve"> of </w:t>
      </w:r>
      <w:r>
        <w:rPr>
          <w:kern w:val="0"/>
        </w:rPr>
        <w:t>the studies compared shoulder surgery to sham surgery, non-surgical modalities or placebo. Two studies compared hemiarthroplasty to total shoulder arthroplasty; three compared keeled</w:t>
      </w:r>
      <w:r w:rsidR="005853A9">
        <w:rPr>
          <w:kern w:val="0"/>
        </w:rPr>
        <w:t xml:space="preserve"> and </w:t>
      </w:r>
      <w:r>
        <w:rPr>
          <w:kern w:val="0"/>
        </w:rPr>
        <w:t>pegged humeral components;</w:t>
      </w:r>
      <w:r w:rsidR="005853A9">
        <w:rPr>
          <w:kern w:val="0"/>
        </w:rPr>
        <w:t xml:space="preserve"> and </w:t>
      </w:r>
      <w:r>
        <w:rPr>
          <w:kern w:val="0"/>
        </w:rPr>
        <w:t>one each compared navigation surgery to conventional</w:t>
      </w:r>
      <w:r w:rsidR="005853A9">
        <w:rPr>
          <w:kern w:val="0"/>
        </w:rPr>
        <w:t xml:space="preserve"> and </w:t>
      </w:r>
      <w:r>
        <w:rPr>
          <w:kern w:val="0"/>
        </w:rPr>
        <w:t xml:space="preserve">all-polyethylene to metal-backed implant. Two studies (88 patients) compared hemiarthroplasty to total shoulder arthroplasty. Patients who underwent </w:t>
      </w:r>
      <w:r>
        <w:rPr>
          <w:kern w:val="0"/>
        </w:rPr>
        <w:lastRenderedPageBreak/>
        <w:t>hemiarthroplasty had statistically significantly worse functional scores on American Shoulder</w:t>
      </w:r>
      <w:r w:rsidR="005853A9">
        <w:rPr>
          <w:kern w:val="0"/>
        </w:rPr>
        <w:t xml:space="preserve"> and </w:t>
      </w:r>
      <w:r>
        <w:rPr>
          <w:kern w:val="0"/>
        </w:rPr>
        <w:t>Elbow Surgeons Shoulder Scale (100 point scale; higher = better) at 24 to 34 month follow-up compared to those who underwent total shoulder arthroplasty (mean difference, -10.05; 95% CI, -18.97 to -1.13; 2 studies, 88 patients), but no statistically significant differences between hemiarthroplasty</w:t>
      </w:r>
      <w:r w:rsidR="005853A9">
        <w:rPr>
          <w:kern w:val="0"/>
        </w:rPr>
        <w:t xml:space="preserve"> and </w:t>
      </w:r>
      <w:r>
        <w:rPr>
          <w:kern w:val="0"/>
        </w:rPr>
        <w:t>TSA were noted for pain scores (mean difference, 7.8; 95% CI, -5.33 to 20.93; 1 study, 41 patients), quality</w:t>
      </w:r>
      <w:r w:rsidR="00427468">
        <w:rPr>
          <w:kern w:val="0"/>
        </w:rPr>
        <w:t xml:space="preserve"> of </w:t>
      </w:r>
      <w:r>
        <w:rPr>
          <w:kern w:val="0"/>
        </w:rPr>
        <w:t>life on short-form 36 physical component summary (mean difference, 0.80; 95% CI, -6.63 to 8.23; 1 study, 41 patients)</w:t>
      </w:r>
      <w:r w:rsidR="005853A9">
        <w:rPr>
          <w:kern w:val="0"/>
        </w:rPr>
        <w:t xml:space="preserve"> and </w:t>
      </w:r>
      <w:r>
        <w:rPr>
          <w:kern w:val="0"/>
        </w:rPr>
        <w:t>adverse events (Risk ratio, 1.19; 95% CI, 0.37 to 3.81; 1 study, 41 patients), respectively. A non-statistically significant trend towards higher revision rate in hemiarthroplasty compared to total shoulder arthroplasty was noted (Risk ratio, 6.18; 95% CI, 0.77 to 49.52; 2 studies, 88 patients; P = 0.09). Authors</w:t>
      </w:r>
      <w:r w:rsidR="0071223E">
        <w:rPr>
          <w:kern w:val="0"/>
        </w:rPr>
        <w:t>’</w:t>
      </w:r>
      <w:r>
        <w:rPr>
          <w:kern w:val="0"/>
        </w:rPr>
        <w:t xml:space="preserve"> conclusions Total shoulder arthroplasty seems to offer an advantage in terms</w:t>
      </w:r>
      <w:r w:rsidR="00427468">
        <w:rPr>
          <w:kern w:val="0"/>
        </w:rPr>
        <w:t xml:space="preserve"> of </w:t>
      </w:r>
      <w:r>
        <w:rPr>
          <w:kern w:val="0"/>
        </w:rPr>
        <w:t>shoulder function, with no other clinical benefits over hemiarthroplasty. More studies are needed to compare clinical outcomes</w:t>
      </w:r>
      <w:r w:rsidR="00427468">
        <w:rPr>
          <w:kern w:val="0"/>
        </w:rPr>
        <w:t xml:space="preserve"> of </w:t>
      </w:r>
      <w:r>
        <w:rPr>
          <w:kern w:val="0"/>
        </w:rPr>
        <w:t>surgery using different components</w:t>
      </w:r>
      <w:r w:rsidR="005853A9">
        <w:rPr>
          <w:kern w:val="0"/>
        </w:rPr>
        <w:t xml:space="preserve"> and </w:t>
      </w:r>
      <w:r>
        <w:rPr>
          <w:kern w:val="0"/>
        </w:rPr>
        <w:t>techniques in patients with osteoarthritis</w:t>
      </w:r>
      <w:r w:rsidR="00427468">
        <w:rPr>
          <w:kern w:val="0"/>
        </w:rPr>
        <w:t xml:space="preserve"> of </w:t>
      </w:r>
      <w:r>
        <w:rPr>
          <w:kern w:val="0"/>
        </w:rPr>
        <w:t>the shoulder</w:t>
      </w:r>
      <w:r w:rsidR="00A37C1D">
        <w:rPr>
          <w:kern w:val="0"/>
        </w:rPr>
        <w:t>. The</w:t>
      </w:r>
      <w:r>
        <w:rPr>
          <w:kern w:val="0"/>
        </w:rPr>
        <w:t>re is a need for studies comparing shoulder surgery to sham, placebo</w:t>
      </w:r>
      <w:r w:rsidR="005853A9">
        <w:rPr>
          <w:kern w:val="0"/>
        </w:rPr>
        <w:t xml:space="preserve"> and </w:t>
      </w:r>
      <w:r>
        <w:rPr>
          <w:kern w:val="0"/>
        </w:rPr>
        <w:t>other non-surgical treatment options.</w:t>
      </w:r>
    </w:p>
    <w:p w:rsidR="00365DE4" w:rsidRDefault="00365DE4" w:rsidP="00365DE4">
      <w:pPr>
        <w:pStyle w:val="a3"/>
        <w:rPr>
          <w:kern w:val="0"/>
        </w:rPr>
      </w:pPr>
      <w:r>
        <w:rPr>
          <w:kern w:val="0"/>
        </w:rPr>
        <w:t>Keywords: Arthroplasty, Citation, Disability, Hemiarthroplasty, Instability, Keeled Glenoid Components, Life, Pain, Prevalence, Primary-Care, Quality</w:t>
      </w:r>
      <w:r w:rsidR="00427468">
        <w:rPr>
          <w:kern w:val="0"/>
        </w:rPr>
        <w:t xml:space="preserve"> of </w:t>
      </w:r>
      <w:r>
        <w:rPr>
          <w:kern w:val="0"/>
        </w:rPr>
        <w:t xml:space="preserve">Life, Randomized-Trial, Risk, Science Citation Index, Surgical Techniques, Treatment, Trend,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Gur</w:t>
      </w:r>
      <w:r w:rsidR="00D5664A">
        <w:rPr>
          <w:kern w:val="0"/>
        </w:rPr>
        <w:t>USA</w:t>
      </w:r>
      <w:r>
        <w:rPr>
          <w:kern w:val="0"/>
        </w:rPr>
        <w:t>my, K.S., Kumar, S.</w:t>
      </w:r>
      <w:r w:rsidR="005853A9">
        <w:rPr>
          <w:kern w:val="0"/>
        </w:rPr>
        <w:t xml:space="preserve"> and </w:t>
      </w:r>
      <w:r>
        <w:rPr>
          <w:kern w:val="0"/>
        </w:rPr>
        <w:t xml:space="preserve">Davidson, B.R. (2010), Prophylactic gastrojejunostomy for unresectable periampullary carcinoma.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CD008533.</w:t>
      </w:r>
    </w:p>
    <w:p w:rsidR="00365DE4" w:rsidRDefault="00365DE4" w:rsidP="00365DE4">
      <w:pPr>
        <w:pStyle w:val="a3"/>
        <w:rPr>
          <w:kern w:val="2"/>
        </w:rPr>
      </w:pPr>
      <w:r>
        <w:t xml:space="preserve">Full Text: </w:t>
      </w:r>
      <w:hyperlink r:id="rId624" w:history="1">
        <w:r>
          <w:rPr>
            <w:rStyle w:val="a5"/>
          </w:rPr>
          <w:t>2010\Coc Dat Sys Rev2010, CD008533.pdf</w:t>
        </w:r>
      </w:hyperlink>
    </w:p>
    <w:p w:rsidR="00365DE4" w:rsidRDefault="00365DE4" w:rsidP="00365DE4">
      <w:pPr>
        <w:pStyle w:val="a3"/>
        <w:rPr>
          <w:kern w:val="0"/>
        </w:rPr>
      </w:pPr>
      <w:r>
        <w:rPr>
          <w:kern w:val="0"/>
        </w:rPr>
        <w:t>Abstract: Background The role</w:t>
      </w:r>
      <w:r w:rsidR="00427468">
        <w:rPr>
          <w:kern w:val="0"/>
        </w:rPr>
        <w:t xml:space="preserve"> of </w:t>
      </w:r>
      <w:r>
        <w:rPr>
          <w:kern w:val="0"/>
        </w:rPr>
        <w:t>prophylactic gastrojejunostomy in patients with unresectable periampullary cancer is controversial. Objectives To determine whether prophylactic gastrojejunostomy should be performed routinely in patients with unresectable periampullary cancer. Search strategy We searched the Cochrane Upper Gastrointestinal</w:t>
      </w:r>
      <w:r w:rsidR="005853A9">
        <w:rPr>
          <w:kern w:val="0"/>
        </w:rPr>
        <w:t xml:space="preserve"> and </w:t>
      </w:r>
      <w:r>
        <w:rPr>
          <w:kern w:val="0"/>
        </w:rPr>
        <w:t>Pancreatic Diseases Group Trials Register, the Cochrane Central Register</w:t>
      </w:r>
      <w:r w:rsidR="00427468">
        <w:rPr>
          <w:kern w:val="0"/>
        </w:rPr>
        <w:t xml:space="preserve"> of </w:t>
      </w:r>
      <w:r>
        <w:rPr>
          <w:kern w:val="0"/>
        </w:rPr>
        <w:t xml:space="preserve">Controlled Trials (CENTRAL) (The Cochrane Library 2010, issue 3), </w:t>
      </w:r>
      <w:r w:rsidR="00D5664A">
        <w:rPr>
          <w:kern w:val="0"/>
        </w:rPr>
        <w:t>MEDLINE</w:t>
      </w:r>
      <w:r>
        <w:rPr>
          <w:kern w:val="0"/>
        </w:rPr>
        <w:t>, EMBASE</w:t>
      </w:r>
      <w:r w:rsidR="005853A9">
        <w:rPr>
          <w:kern w:val="0"/>
        </w:rPr>
        <w:t xml:space="preserve"> and </w:t>
      </w:r>
      <w:r>
        <w:rPr>
          <w:kern w:val="0"/>
        </w:rPr>
        <w:t>Science Citation Index Expanded until April 2010. Selection criteria We included randomised controlled trials comparing prophylactic gastrojejunostomy versus no gastrojejunostomy in patients with unresectable periampullary cancer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data. We analysed data with both the fixed-effect</w:t>
      </w:r>
      <w:r w:rsidR="005853A9">
        <w:rPr>
          <w:kern w:val="0"/>
        </w:rPr>
        <w:t xml:space="preserve"> and </w:t>
      </w:r>
      <w:r>
        <w:rPr>
          <w:kern w:val="0"/>
        </w:rPr>
        <w:t xml:space="preserve">the random-effects models using Review Manager (RevMan). We calculated the hazard ratio (HR), risk ratio (RR), or mean difference (MD) with 95% confidence intervals </w:t>
      </w:r>
      <w:r>
        <w:rPr>
          <w:kern w:val="0"/>
        </w:rPr>
        <w:lastRenderedPageBreak/>
        <w:t>(CI) based on an intention-to-treat or available case analysis. Main results We identified two trials (of high risk</w:t>
      </w:r>
      <w:r w:rsidR="00427468">
        <w:rPr>
          <w:kern w:val="0"/>
        </w:rPr>
        <w:t xml:space="preserve"> of </w:t>
      </w:r>
      <w:r>
        <w:rPr>
          <w:kern w:val="0"/>
        </w:rPr>
        <w:t>bias) involving 152 patients randomised to gastrojejunostomy (80 patients)</w:t>
      </w:r>
      <w:r w:rsidR="005853A9">
        <w:rPr>
          <w:kern w:val="0"/>
        </w:rPr>
        <w:t xml:space="preserve"> and </w:t>
      </w:r>
      <w:r>
        <w:rPr>
          <w:kern w:val="0"/>
        </w:rPr>
        <w:t>no gastrojejunostomy (72 patients). In both trials, patients were found to be unresectable during exploratory laparotomy. Most</w:t>
      </w:r>
      <w:r w:rsidR="00427468">
        <w:rPr>
          <w:kern w:val="0"/>
        </w:rPr>
        <w:t xml:space="preserve"> of </w:t>
      </w:r>
      <w:r>
        <w:rPr>
          <w:kern w:val="0"/>
        </w:rPr>
        <w:t>the patients also underwent biliary-enteric drainage</w:t>
      </w:r>
      <w:r w:rsidR="00A37C1D">
        <w:rPr>
          <w:kern w:val="0"/>
        </w:rPr>
        <w:t>. The</w:t>
      </w:r>
      <w:r>
        <w:rPr>
          <w:kern w:val="0"/>
        </w:rPr>
        <w:t>re was no evidence</w:t>
      </w:r>
      <w:r w:rsidR="00427468">
        <w:rPr>
          <w:kern w:val="0"/>
        </w:rPr>
        <w:t xml:space="preserve"> of </w:t>
      </w:r>
      <w:r>
        <w:rPr>
          <w:kern w:val="0"/>
        </w:rPr>
        <w:t>difference in the overall survival (HR 1.02; 95% CI 0.84 to 1.25), perioperative mortality or morbidity, quality</w:t>
      </w:r>
      <w:r w:rsidR="00427468">
        <w:rPr>
          <w:kern w:val="0"/>
        </w:rPr>
        <w:t xml:space="preserve"> of </w:t>
      </w:r>
      <w:r>
        <w:rPr>
          <w:kern w:val="0"/>
        </w:rPr>
        <w:t>life, or hospital stay (MD 0.97 days; 95% CI -0.18 to 2.12) between the two groups</w:t>
      </w:r>
      <w:r w:rsidR="00A37C1D">
        <w:rPr>
          <w:kern w:val="0"/>
        </w:rPr>
        <w:t>. The</w:t>
      </w:r>
      <w:r>
        <w:rPr>
          <w:kern w:val="0"/>
        </w:rPr>
        <w:t xml:space="preserve"> proportion</w:t>
      </w:r>
      <w:r w:rsidR="00427468">
        <w:rPr>
          <w:kern w:val="0"/>
        </w:rPr>
        <w:t xml:space="preserve"> of </w:t>
      </w:r>
      <w:r>
        <w:rPr>
          <w:kern w:val="0"/>
        </w:rPr>
        <w:t>patients who developed long term gastric outlet obstruction was significantly lower in the prophylactic gastrojejunostomy group (2/80; 2.5%) compared with no gastrojejunostomy group (20/72; 27.8%) (RR 0.10; 95% CI 0.03 to 0.37)</w:t>
      </w:r>
      <w:r w:rsidR="00A37C1D">
        <w:rPr>
          <w:kern w:val="0"/>
        </w:rPr>
        <w:t>. The</w:t>
      </w:r>
      <w:r>
        <w:rPr>
          <w:kern w:val="0"/>
        </w:rPr>
        <w:t xml:space="preserve"> operating time was significantly longer in the gastrojejunostomy group compared with no gastrojejunostomy group (MD 45.00 minutes; 95% CI 21.39 to 68.61). Authors</w:t>
      </w:r>
      <w:r w:rsidR="0071223E">
        <w:rPr>
          <w:kern w:val="0"/>
        </w:rPr>
        <w:t>’</w:t>
      </w:r>
      <w:r>
        <w:rPr>
          <w:kern w:val="0"/>
        </w:rPr>
        <w:t xml:space="preserve"> conclusions Routine prophylactic gastrojejunostomy is indicated in patients with unresectable periampullary cancer undergoing exploratory laparotomy (with or without hepaticojejunostomy).</w:t>
      </w:r>
    </w:p>
    <w:p w:rsidR="00365DE4" w:rsidRDefault="00365DE4" w:rsidP="00365DE4">
      <w:pPr>
        <w:pStyle w:val="a3"/>
        <w:rPr>
          <w:kern w:val="0"/>
        </w:rPr>
      </w:pPr>
      <w:r>
        <w:rPr>
          <w:kern w:val="0"/>
        </w:rPr>
        <w:t xml:space="preserve">Keywords: Bias, Cancer, Citation, Clinical-Trials, Empirical-Evidence, Gastric Outlet Obstruction, </w:t>
      </w:r>
      <w:r w:rsidR="00D5664A">
        <w:rPr>
          <w:kern w:val="0"/>
        </w:rPr>
        <w:t>MEDLINE</w:t>
      </w:r>
      <w:r>
        <w:rPr>
          <w:kern w:val="0"/>
        </w:rPr>
        <w:t>, Metaanalysis, Palliation, Pancreatic-Cancer, Prospective Randomized-Trial, Publication, Quality</w:t>
      </w:r>
      <w:r w:rsidR="00427468">
        <w:rPr>
          <w:kern w:val="0"/>
        </w:rPr>
        <w:t xml:space="preserve"> of </w:t>
      </w:r>
      <w:r>
        <w:rPr>
          <w:kern w:val="0"/>
        </w:rPr>
        <w:t>Life, Quality-of-Life, Science Citation Index, Science Citation Index Expanded, Surgical Complications</w:t>
      </w:r>
    </w:p>
    <w:p w:rsidR="00365DE4" w:rsidRDefault="00365DE4" w:rsidP="00365DE4">
      <w:pPr>
        <w:pStyle w:val="a3"/>
        <w:rPr>
          <w:kern w:val="0"/>
          <w:szCs w:val="24"/>
        </w:rPr>
      </w:pPr>
      <w:r>
        <w:rPr>
          <w:kern w:val="0"/>
          <w:szCs w:val="24"/>
        </w:rPr>
        <w:t>? Wilson, C., Willis, C., Hendrikz, J.K., Le Brocque, R.</w:t>
      </w:r>
      <w:r w:rsidR="005853A9">
        <w:rPr>
          <w:kern w:val="0"/>
          <w:szCs w:val="24"/>
        </w:rPr>
        <w:t xml:space="preserve"> and </w:t>
      </w:r>
      <w:r>
        <w:rPr>
          <w:kern w:val="0"/>
          <w:szCs w:val="24"/>
        </w:rPr>
        <w:t>Bellamy, N. (2010), Speed cameras for the prevention</w:t>
      </w:r>
      <w:r w:rsidR="00427468">
        <w:rPr>
          <w:kern w:val="0"/>
          <w:szCs w:val="24"/>
        </w:rPr>
        <w:t xml:space="preserve"> of </w:t>
      </w:r>
      <w:r>
        <w:rPr>
          <w:kern w:val="0"/>
          <w:szCs w:val="24"/>
        </w:rPr>
        <w:t>road traffic injuries</w:t>
      </w:r>
      <w:r w:rsidR="005853A9">
        <w:rPr>
          <w:kern w:val="0"/>
          <w:szCs w:val="24"/>
        </w:rPr>
        <w:t xml:space="preserve"> and </w:t>
      </w:r>
      <w:r>
        <w:rPr>
          <w:kern w:val="0"/>
          <w:szCs w:val="24"/>
        </w:rPr>
        <w:t xml:space="preserve">deaths.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11</w:t>
      </w:r>
      <w:r>
        <w:t>, Article Number: CD004607.</w:t>
      </w:r>
    </w:p>
    <w:p w:rsidR="00365DE4" w:rsidRDefault="00365DE4" w:rsidP="00365DE4">
      <w:pPr>
        <w:pStyle w:val="a3"/>
        <w:rPr>
          <w:kern w:val="2"/>
        </w:rPr>
      </w:pPr>
      <w:r>
        <w:t xml:space="preserve">Full Text: </w:t>
      </w:r>
      <w:hyperlink r:id="rId625" w:history="1">
        <w:r>
          <w:rPr>
            <w:rStyle w:val="a5"/>
          </w:rPr>
          <w:t>2010\Coc Dat Sys Rev2010, CD004607.pdf</w:t>
        </w:r>
      </w:hyperlink>
    </w:p>
    <w:p w:rsidR="00365DE4" w:rsidRDefault="00365DE4" w:rsidP="00365DE4">
      <w:pPr>
        <w:pStyle w:val="a3"/>
        <w:rPr>
          <w:kern w:val="0"/>
          <w:szCs w:val="24"/>
        </w:rPr>
      </w:pPr>
      <w:r>
        <w:rPr>
          <w:kern w:val="0"/>
          <w:szCs w:val="24"/>
        </w:rPr>
        <w:t>Abstract: Background It is estimated that by 2020, road traffic crashes will have moved from ninth to third in the world ranking</w:t>
      </w:r>
      <w:r w:rsidR="00427468">
        <w:rPr>
          <w:kern w:val="0"/>
          <w:szCs w:val="24"/>
        </w:rPr>
        <w:t xml:space="preserve"> of </w:t>
      </w:r>
      <w:r>
        <w:rPr>
          <w:kern w:val="0"/>
          <w:szCs w:val="24"/>
        </w:rPr>
        <w:t>burden</w:t>
      </w:r>
      <w:r w:rsidR="00427468">
        <w:rPr>
          <w:kern w:val="0"/>
          <w:szCs w:val="24"/>
        </w:rPr>
        <w:t xml:space="preserve"> of </w:t>
      </w:r>
      <w:r>
        <w:rPr>
          <w:kern w:val="0"/>
          <w:szCs w:val="24"/>
        </w:rPr>
        <w:t>disease, as measured in disability adjusted life years</w:t>
      </w:r>
      <w:r w:rsidR="00A37C1D">
        <w:rPr>
          <w:kern w:val="0"/>
          <w:szCs w:val="24"/>
        </w:rPr>
        <w:t>. The</w:t>
      </w:r>
      <w:r>
        <w:rPr>
          <w:kern w:val="0"/>
          <w:szCs w:val="24"/>
        </w:rPr>
        <w:t xml:space="preserve"> prevention</w:t>
      </w:r>
      <w:r w:rsidR="00427468">
        <w:rPr>
          <w:kern w:val="0"/>
          <w:szCs w:val="24"/>
        </w:rPr>
        <w:t xml:space="preserve"> of </w:t>
      </w:r>
      <w:r>
        <w:rPr>
          <w:kern w:val="0"/>
          <w:szCs w:val="24"/>
        </w:rPr>
        <w:t>road traffic injuries is</w:t>
      </w:r>
      <w:r w:rsidR="00427468">
        <w:rPr>
          <w:kern w:val="0"/>
          <w:szCs w:val="24"/>
        </w:rPr>
        <w:t xml:space="preserve"> of </w:t>
      </w:r>
      <w:r>
        <w:rPr>
          <w:kern w:val="0"/>
          <w:szCs w:val="24"/>
        </w:rPr>
        <w:t>global public health importance. Measures aimed at reducing traffic speed are considered essential to preventing road injuries; the use</w:t>
      </w:r>
      <w:r w:rsidR="00427468">
        <w:rPr>
          <w:kern w:val="0"/>
          <w:szCs w:val="24"/>
        </w:rPr>
        <w:t xml:space="preserve"> of </w:t>
      </w:r>
      <w:r>
        <w:rPr>
          <w:kern w:val="0"/>
          <w:szCs w:val="24"/>
        </w:rPr>
        <w:t>speed cameras is one such measure. Objectives To assess whether the use</w:t>
      </w:r>
      <w:r w:rsidR="00427468">
        <w:rPr>
          <w:kern w:val="0"/>
          <w:szCs w:val="24"/>
        </w:rPr>
        <w:t xml:space="preserve"> of </w:t>
      </w:r>
      <w:r>
        <w:rPr>
          <w:kern w:val="0"/>
          <w:szCs w:val="24"/>
        </w:rPr>
        <w:t>speed cameras reduces the incidence</w:t>
      </w:r>
      <w:r w:rsidR="00427468">
        <w:rPr>
          <w:kern w:val="0"/>
          <w:szCs w:val="24"/>
        </w:rPr>
        <w:t xml:space="preserve"> of </w:t>
      </w:r>
      <w:r>
        <w:rPr>
          <w:kern w:val="0"/>
          <w:szCs w:val="24"/>
        </w:rPr>
        <w:t>speeding, road traffic crashes, injuries</w:t>
      </w:r>
      <w:r w:rsidR="005853A9">
        <w:rPr>
          <w:kern w:val="0"/>
          <w:szCs w:val="24"/>
        </w:rPr>
        <w:t xml:space="preserve"> and </w:t>
      </w:r>
      <w:r>
        <w:rPr>
          <w:kern w:val="0"/>
          <w:szCs w:val="24"/>
        </w:rPr>
        <w:t xml:space="preserve">deaths. Search strategy We searched the following electronic databases covering all available years up to March 2010; the Cochrane Library, </w:t>
      </w:r>
      <w:r w:rsidR="00D5664A">
        <w:rPr>
          <w:kern w:val="0"/>
          <w:szCs w:val="24"/>
        </w:rPr>
        <w:t>MEDLINE</w:t>
      </w:r>
      <w:r>
        <w:rPr>
          <w:kern w:val="0"/>
          <w:szCs w:val="24"/>
        </w:rPr>
        <w:t xml:space="preserve"> (WebSPIRS), EMBASE (WebSPIRS), TRANSPORT, IRRD(International Road Research Documentation), TRANSDOC (European Conference</w:t>
      </w:r>
      <w:r w:rsidR="00427468">
        <w:rPr>
          <w:kern w:val="0"/>
          <w:szCs w:val="24"/>
        </w:rPr>
        <w:t xml:space="preserve"> of </w:t>
      </w:r>
      <w:r>
        <w:rPr>
          <w:kern w:val="0"/>
          <w:szCs w:val="24"/>
        </w:rPr>
        <w:t>Ministers</w:t>
      </w:r>
      <w:r w:rsidR="00427468">
        <w:rPr>
          <w:kern w:val="0"/>
          <w:szCs w:val="24"/>
        </w:rPr>
        <w:t xml:space="preserve"> of </w:t>
      </w:r>
      <w:r>
        <w:rPr>
          <w:kern w:val="0"/>
          <w:szCs w:val="24"/>
        </w:rPr>
        <w:t xml:space="preserve">Transport databases), </w:t>
      </w:r>
      <w:r w:rsidR="00D5664A">
        <w:rPr>
          <w:kern w:val="0"/>
          <w:szCs w:val="24"/>
        </w:rPr>
        <w:t>Web</w:t>
      </w:r>
      <w:r w:rsidR="00427468">
        <w:rPr>
          <w:kern w:val="0"/>
          <w:szCs w:val="24"/>
        </w:rPr>
        <w:t xml:space="preserve"> of </w:t>
      </w:r>
      <w:r w:rsidR="00D5664A">
        <w:rPr>
          <w:kern w:val="0"/>
          <w:szCs w:val="24"/>
        </w:rPr>
        <w:t>Science</w:t>
      </w:r>
      <w:r>
        <w:rPr>
          <w:kern w:val="0"/>
          <w:szCs w:val="24"/>
        </w:rPr>
        <w:t xml:space="preserve"> (Science</w:t>
      </w:r>
      <w:r w:rsidR="005853A9">
        <w:rPr>
          <w:kern w:val="0"/>
          <w:szCs w:val="24"/>
        </w:rPr>
        <w:t xml:space="preserve"> and </w:t>
      </w:r>
      <w:r>
        <w:rPr>
          <w:kern w:val="0"/>
          <w:szCs w:val="24"/>
        </w:rPr>
        <w:t>Social Science Citation Index), PsycINFO, CINAHL, EconLit, WHO database, Sociological Abstracts, Dissertation Abstracts, Index to Theses. Selection criteria Randomised controlled trials, interrupted time series</w:t>
      </w:r>
      <w:r w:rsidR="005853A9">
        <w:rPr>
          <w:kern w:val="0"/>
          <w:szCs w:val="24"/>
        </w:rPr>
        <w:t xml:space="preserve"> and </w:t>
      </w:r>
      <w:r>
        <w:rPr>
          <w:kern w:val="0"/>
          <w:szCs w:val="24"/>
        </w:rPr>
        <w:t>controlled before-after studies that assessed the impact</w:t>
      </w:r>
      <w:r w:rsidR="00427468">
        <w:rPr>
          <w:kern w:val="0"/>
          <w:szCs w:val="24"/>
        </w:rPr>
        <w:t xml:space="preserve"> of </w:t>
      </w:r>
      <w:r>
        <w:rPr>
          <w:kern w:val="0"/>
          <w:szCs w:val="24"/>
        </w:rPr>
        <w:t>speed cameras on speeding, road crashes, crashes causing injury</w:t>
      </w:r>
      <w:r w:rsidR="005853A9">
        <w:rPr>
          <w:kern w:val="0"/>
          <w:szCs w:val="24"/>
        </w:rPr>
        <w:t xml:space="preserve"> and </w:t>
      </w:r>
      <w:r>
        <w:rPr>
          <w:kern w:val="0"/>
          <w:szCs w:val="24"/>
        </w:rPr>
        <w:t>fatalities were eligible for inclusion. Data collection</w:t>
      </w:r>
      <w:r w:rsidR="005853A9">
        <w:rPr>
          <w:kern w:val="0"/>
          <w:szCs w:val="24"/>
        </w:rPr>
        <w:t xml:space="preserve"> and </w:t>
      </w:r>
      <w:r>
        <w:rPr>
          <w:kern w:val="0"/>
          <w:szCs w:val="24"/>
        </w:rPr>
        <w:t xml:space="preserve">analysis </w:t>
      </w:r>
      <w:r>
        <w:rPr>
          <w:kern w:val="0"/>
          <w:szCs w:val="24"/>
        </w:rPr>
        <w:lastRenderedPageBreak/>
        <w:t>We independently screened studies for inclusion, extracted data, assessed methodological quality, reported study authors</w:t>
      </w:r>
      <w:r w:rsidR="0071223E">
        <w:rPr>
          <w:kern w:val="0"/>
          <w:szCs w:val="24"/>
        </w:rPr>
        <w:t>’</w:t>
      </w:r>
      <w:r>
        <w:rPr>
          <w:kern w:val="0"/>
          <w:szCs w:val="24"/>
        </w:rPr>
        <w:t xml:space="preserve"> outcomes</w:t>
      </w:r>
      <w:r w:rsidR="005853A9">
        <w:rPr>
          <w:kern w:val="0"/>
          <w:szCs w:val="24"/>
        </w:rPr>
        <w:t xml:space="preserve"> and </w:t>
      </w:r>
      <w:r>
        <w:rPr>
          <w:kern w:val="0"/>
          <w:szCs w:val="24"/>
        </w:rPr>
        <w:t>where possible, calculated standardised results based on the information available in each study. Due to considerable heterogeneity between</w:t>
      </w:r>
      <w:r w:rsidR="005853A9">
        <w:rPr>
          <w:kern w:val="0"/>
          <w:szCs w:val="24"/>
        </w:rPr>
        <w:t xml:space="preserve"> and </w:t>
      </w:r>
      <w:r>
        <w:rPr>
          <w:kern w:val="0"/>
          <w:szCs w:val="24"/>
        </w:rPr>
        <w:t>within included studies, a meta-analysis was not appropriate. Main results Thirty five studies met the inclusion criteria. Compared with controls, the relative reduction in average speed ranged from 1% to 15%</w:t>
      </w:r>
      <w:r w:rsidR="005853A9">
        <w:rPr>
          <w:kern w:val="0"/>
          <w:szCs w:val="24"/>
        </w:rPr>
        <w:t xml:space="preserve"> and </w:t>
      </w:r>
      <w:r>
        <w:rPr>
          <w:kern w:val="0"/>
          <w:szCs w:val="24"/>
        </w:rPr>
        <w:t>the reduction in proportion</w:t>
      </w:r>
      <w:r w:rsidR="00427468">
        <w:rPr>
          <w:kern w:val="0"/>
          <w:szCs w:val="24"/>
        </w:rPr>
        <w:t xml:space="preserve"> of </w:t>
      </w:r>
      <w:r>
        <w:rPr>
          <w:kern w:val="0"/>
          <w:szCs w:val="24"/>
        </w:rPr>
        <w:t>vehicles speeding ranged from 14% to 65%. In the vicinity</w:t>
      </w:r>
      <w:r w:rsidR="00427468">
        <w:rPr>
          <w:kern w:val="0"/>
          <w:szCs w:val="24"/>
        </w:rPr>
        <w:t xml:space="preserve"> of </w:t>
      </w:r>
      <w:r>
        <w:rPr>
          <w:kern w:val="0"/>
          <w:szCs w:val="24"/>
        </w:rPr>
        <w:t>camera sites, the pre/post reductions ranged from 8% to 49% for all crashes</w:t>
      </w:r>
      <w:r w:rsidR="005853A9">
        <w:rPr>
          <w:kern w:val="0"/>
          <w:szCs w:val="24"/>
        </w:rPr>
        <w:t xml:space="preserve"> and </w:t>
      </w:r>
      <w:r>
        <w:rPr>
          <w:kern w:val="0"/>
          <w:szCs w:val="24"/>
        </w:rPr>
        <w:t>11% to 44% for fatal</w:t>
      </w:r>
      <w:r w:rsidR="005853A9">
        <w:rPr>
          <w:kern w:val="0"/>
          <w:szCs w:val="24"/>
        </w:rPr>
        <w:t xml:space="preserve"> and </w:t>
      </w:r>
      <w:r>
        <w:rPr>
          <w:kern w:val="0"/>
          <w:szCs w:val="24"/>
        </w:rPr>
        <w:t>serious injury crashes. Compared with controls, the relative improvement in pre/post injury crash proportions ranged from 8% to 50%. Authors</w:t>
      </w:r>
      <w:r w:rsidR="0071223E">
        <w:rPr>
          <w:kern w:val="0"/>
          <w:szCs w:val="24"/>
        </w:rPr>
        <w:t>’</w:t>
      </w:r>
      <w:r>
        <w:rPr>
          <w:kern w:val="0"/>
          <w:szCs w:val="24"/>
        </w:rPr>
        <w:t xml:space="preserve"> conclusions Despite the methodological limitations</w:t>
      </w:r>
      <w:r w:rsidR="005853A9">
        <w:rPr>
          <w:kern w:val="0"/>
          <w:szCs w:val="24"/>
        </w:rPr>
        <w:t xml:space="preserve"> and </w:t>
      </w:r>
      <w:r>
        <w:rPr>
          <w:kern w:val="0"/>
          <w:szCs w:val="24"/>
        </w:rPr>
        <w:t>the variability in degree</w:t>
      </w:r>
      <w:r w:rsidR="00427468">
        <w:rPr>
          <w:kern w:val="0"/>
          <w:szCs w:val="24"/>
        </w:rPr>
        <w:t xml:space="preserve"> of </w:t>
      </w:r>
      <w:r>
        <w:rPr>
          <w:kern w:val="0"/>
          <w:szCs w:val="24"/>
        </w:rPr>
        <w:t>signal to noise effect, the consistency</w:t>
      </w:r>
      <w:r w:rsidR="00427468">
        <w:rPr>
          <w:kern w:val="0"/>
          <w:szCs w:val="24"/>
        </w:rPr>
        <w:t xml:space="preserve"> of </w:t>
      </w:r>
      <w:r>
        <w:rPr>
          <w:kern w:val="0"/>
          <w:szCs w:val="24"/>
        </w:rPr>
        <w:t>reported reductions in speed</w:t>
      </w:r>
      <w:r w:rsidR="005853A9">
        <w:rPr>
          <w:kern w:val="0"/>
          <w:szCs w:val="24"/>
        </w:rPr>
        <w:t xml:space="preserve"> and </w:t>
      </w:r>
      <w:r>
        <w:rPr>
          <w:kern w:val="0"/>
          <w:szCs w:val="24"/>
        </w:rPr>
        <w:t>crash outcomes across all studies show that speed cameras are a worthwhile intervention for reducing the number</w:t>
      </w:r>
      <w:r w:rsidR="00427468">
        <w:rPr>
          <w:kern w:val="0"/>
          <w:szCs w:val="24"/>
        </w:rPr>
        <w:t xml:space="preserve"> of </w:t>
      </w:r>
      <w:r>
        <w:rPr>
          <w:kern w:val="0"/>
          <w:szCs w:val="24"/>
        </w:rPr>
        <w:t>road traffic injuries</w:t>
      </w:r>
      <w:r w:rsidR="005853A9">
        <w:rPr>
          <w:kern w:val="0"/>
          <w:szCs w:val="24"/>
        </w:rPr>
        <w:t xml:space="preserve"> and </w:t>
      </w:r>
      <w:r>
        <w:rPr>
          <w:kern w:val="0"/>
          <w:szCs w:val="24"/>
        </w:rPr>
        <w:t>deaths. However, whilst the the evidence base clearly demonstrates a positive direction in the effect, an overall magnitude</w:t>
      </w:r>
      <w:r w:rsidR="00427468">
        <w:rPr>
          <w:kern w:val="0"/>
          <w:szCs w:val="24"/>
        </w:rPr>
        <w:t xml:space="preserve"> of </w:t>
      </w:r>
      <w:r>
        <w:rPr>
          <w:kern w:val="0"/>
          <w:szCs w:val="24"/>
        </w:rPr>
        <w:t>this effect is currently not deducible due to heterogeneity</w:t>
      </w:r>
      <w:r w:rsidR="005853A9">
        <w:rPr>
          <w:kern w:val="0"/>
          <w:szCs w:val="24"/>
        </w:rPr>
        <w:t xml:space="preserve"> and </w:t>
      </w:r>
      <w:r>
        <w:rPr>
          <w:kern w:val="0"/>
          <w:szCs w:val="24"/>
        </w:rPr>
        <w:t>lack</w:t>
      </w:r>
      <w:r w:rsidR="00427468">
        <w:rPr>
          <w:kern w:val="0"/>
          <w:szCs w:val="24"/>
        </w:rPr>
        <w:t xml:space="preserve"> of </w:t>
      </w:r>
      <w:r>
        <w:rPr>
          <w:kern w:val="0"/>
          <w:szCs w:val="24"/>
        </w:rPr>
        <w:t>methodological rigour. More studies</w:t>
      </w:r>
      <w:r w:rsidR="00427468">
        <w:rPr>
          <w:kern w:val="0"/>
          <w:szCs w:val="24"/>
        </w:rPr>
        <w:t xml:space="preserve"> of </w:t>
      </w:r>
      <w:r>
        <w:rPr>
          <w:kern w:val="0"/>
          <w:szCs w:val="24"/>
        </w:rPr>
        <w:t>a scientifically rigorous</w:t>
      </w:r>
      <w:r w:rsidR="005853A9">
        <w:rPr>
          <w:kern w:val="0"/>
          <w:szCs w:val="24"/>
        </w:rPr>
        <w:t xml:space="preserve"> and </w:t>
      </w:r>
      <w:r>
        <w:rPr>
          <w:kern w:val="0"/>
          <w:szCs w:val="24"/>
        </w:rPr>
        <w:t>homogenous nature are necessary, to provide the answer to the magnitude</w:t>
      </w:r>
      <w:r w:rsidR="00427468">
        <w:rPr>
          <w:kern w:val="0"/>
          <w:szCs w:val="24"/>
        </w:rPr>
        <w:t xml:space="preserve"> of </w:t>
      </w:r>
      <w:r>
        <w:rPr>
          <w:kern w:val="0"/>
          <w:szCs w:val="24"/>
        </w:rPr>
        <w:t>effect.</w:t>
      </w:r>
    </w:p>
    <w:p w:rsidR="00365DE4" w:rsidRDefault="00365DE4" w:rsidP="00365DE4">
      <w:pPr>
        <w:pStyle w:val="a3"/>
        <w:rPr>
          <w:kern w:val="0"/>
          <w:szCs w:val="24"/>
        </w:rPr>
      </w:pPr>
      <w:r>
        <w:rPr>
          <w:kern w:val="0"/>
          <w:szCs w:val="24"/>
        </w:rPr>
        <w:t xml:space="preserve">Keywords: Accident Prevention [Instrumentation, Accidents, Accidents,Traffic [Prevention &amp; Control, Analysis, Authors, British-Columbia, Casualties, Citation, Conference, Controlled Clinical Trials As Topic, Crashes, Database, Databases, Disease, Embase, Enforcement Cameras, Hidden, Humans, Management Measures, </w:t>
      </w:r>
      <w:r w:rsidR="00D5664A">
        <w:rPr>
          <w:kern w:val="0"/>
          <w:szCs w:val="24"/>
        </w:rPr>
        <w:t>MEDLINE</w:t>
      </w:r>
      <w:r>
        <w:rPr>
          <w:kern w:val="0"/>
          <w:szCs w:val="24"/>
        </w:rPr>
        <w:t xml:space="preserve">, Meta-Analysis, Methodological Quality, Methods], Photography [Instrumentation], Program, Public Health, Radar, Radar [Instrumentation], Reduction, Research, Safety, Science, Science Citation Index, Statistics &amp; Numerical Data], Transport, </w:t>
      </w:r>
      <w:r w:rsidR="00D5664A">
        <w:rPr>
          <w:kern w:val="0"/>
          <w:szCs w:val="24"/>
        </w:rPr>
        <w:t>Web</w:t>
      </w:r>
      <w:r w:rsidR="00427468">
        <w:rPr>
          <w:kern w:val="0"/>
          <w:szCs w:val="24"/>
        </w:rPr>
        <w:t xml:space="preserve"> of </w:t>
      </w:r>
      <w:r w:rsidR="00D5664A">
        <w:rPr>
          <w:kern w:val="0"/>
          <w:szCs w:val="24"/>
        </w:rPr>
        <w:t>Science</w:t>
      </w:r>
    </w:p>
    <w:p w:rsidR="00365DE4" w:rsidRDefault="00365DE4" w:rsidP="00365DE4">
      <w:pPr>
        <w:pStyle w:val="a3"/>
        <w:rPr>
          <w:kern w:val="0"/>
          <w:szCs w:val="24"/>
        </w:rPr>
      </w:pPr>
      <w:r>
        <w:rPr>
          <w:kern w:val="0"/>
          <w:szCs w:val="24"/>
        </w:rPr>
        <w:t>? Hegarty, J., Beirne, P.V., Walsh, E., Comber, H., Fitzgerald, T.</w:t>
      </w:r>
      <w:r w:rsidR="005853A9">
        <w:rPr>
          <w:kern w:val="0"/>
          <w:szCs w:val="24"/>
        </w:rPr>
        <w:t xml:space="preserve"> and </w:t>
      </w:r>
      <w:r>
        <w:rPr>
          <w:kern w:val="0"/>
          <w:szCs w:val="24"/>
        </w:rPr>
        <w:t xml:space="preserve">Kazer, M.W. (2010), Radical prostatectomy versus watchful waiting for prostate cancer.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11</w:t>
      </w:r>
      <w:r>
        <w:t>, Article Number: CD006590.</w:t>
      </w:r>
    </w:p>
    <w:p w:rsidR="00365DE4" w:rsidRDefault="00365DE4" w:rsidP="00365DE4">
      <w:pPr>
        <w:pStyle w:val="a3"/>
        <w:rPr>
          <w:kern w:val="2"/>
        </w:rPr>
      </w:pPr>
      <w:r>
        <w:t xml:space="preserve">Full Text: </w:t>
      </w:r>
      <w:hyperlink r:id="rId626" w:history="1">
        <w:r>
          <w:rPr>
            <w:rStyle w:val="a5"/>
          </w:rPr>
          <w:t>2010\Coc Dat Sys Rev2010, CD006590.pdf</w:t>
        </w:r>
      </w:hyperlink>
    </w:p>
    <w:p w:rsidR="00365DE4" w:rsidRDefault="00365DE4" w:rsidP="00365DE4">
      <w:pPr>
        <w:pStyle w:val="a3"/>
        <w:rPr>
          <w:kern w:val="0"/>
          <w:szCs w:val="24"/>
        </w:rPr>
      </w:pPr>
      <w:r>
        <w:rPr>
          <w:kern w:val="0"/>
          <w:szCs w:val="24"/>
        </w:rPr>
        <w:t>Abstract: Background The lack</w:t>
      </w:r>
      <w:r w:rsidR="00427468">
        <w:rPr>
          <w:kern w:val="0"/>
          <w:szCs w:val="24"/>
        </w:rPr>
        <w:t xml:space="preserve"> of </w:t>
      </w:r>
      <w:r>
        <w:rPr>
          <w:kern w:val="0"/>
          <w:szCs w:val="24"/>
        </w:rPr>
        <w:t>evidence regarding the effectiveness</w:t>
      </w:r>
      <w:r w:rsidR="00427468">
        <w:rPr>
          <w:kern w:val="0"/>
          <w:szCs w:val="24"/>
        </w:rPr>
        <w:t xml:space="preserve"> of </w:t>
      </w:r>
      <w:r>
        <w:rPr>
          <w:kern w:val="0"/>
          <w:szCs w:val="24"/>
        </w:rPr>
        <w:t>treatment options for clinically localised prostate cancer continues to impact on clinical decision-making. Two such options are radical prostatectomy (RP)</w:t>
      </w:r>
      <w:r w:rsidR="005853A9">
        <w:rPr>
          <w:kern w:val="0"/>
          <w:szCs w:val="24"/>
        </w:rPr>
        <w:t xml:space="preserve"> and </w:t>
      </w:r>
      <w:r>
        <w:rPr>
          <w:kern w:val="0"/>
          <w:szCs w:val="24"/>
        </w:rPr>
        <w:t>watchful waiting (WW). WW involves providing no initial treatment</w:t>
      </w:r>
      <w:r w:rsidR="005853A9">
        <w:rPr>
          <w:kern w:val="0"/>
          <w:szCs w:val="24"/>
        </w:rPr>
        <w:t xml:space="preserve"> and </w:t>
      </w:r>
      <w:r>
        <w:rPr>
          <w:kern w:val="0"/>
          <w:szCs w:val="24"/>
        </w:rPr>
        <w:t>monitoring the patient with the intention</w:t>
      </w:r>
      <w:r w:rsidR="00427468">
        <w:rPr>
          <w:kern w:val="0"/>
          <w:szCs w:val="24"/>
        </w:rPr>
        <w:t xml:space="preserve"> of </w:t>
      </w:r>
      <w:r>
        <w:rPr>
          <w:kern w:val="0"/>
          <w:szCs w:val="24"/>
        </w:rPr>
        <w:t>providing palliative treatment if there is evidence</w:t>
      </w:r>
      <w:r w:rsidR="00427468">
        <w:rPr>
          <w:kern w:val="0"/>
          <w:szCs w:val="24"/>
        </w:rPr>
        <w:t xml:space="preserve"> of </w:t>
      </w:r>
      <w:r>
        <w:rPr>
          <w:kern w:val="0"/>
          <w:szCs w:val="24"/>
        </w:rPr>
        <w:t>disease progression. Objectives To compare the beneficial</w:t>
      </w:r>
      <w:r w:rsidR="005853A9">
        <w:rPr>
          <w:kern w:val="0"/>
          <w:szCs w:val="24"/>
        </w:rPr>
        <w:t xml:space="preserve"> and </w:t>
      </w:r>
      <w:r>
        <w:rPr>
          <w:kern w:val="0"/>
          <w:szCs w:val="24"/>
        </w:rPr>
        <w:t>harmful effects</w:t>
      </w:r>
      <w:r w:rsidR="00427468">
        <w:rPr>
          <w:kern w:val="0"/>
          <w:szCs w:val="24"/>
        </w:rPr>
        <w:t xml:space="preserve"> of </w:t>
      </w:r>
      <w:r>
        <w:rPr>
          <w:kern w:val="0"/>
          <w:szCs w:val="24"/>
        </w:rPr>
        <w:t>RP versus WW for the treatment</w:t>
      </w:r>
      <w:r w:rsidR="00427468">
        <w:rPr>
          <w:kern w:val="0"/>
          <w:szCs w:val="24"/>
        </w:rPr>
        <w:t xml:space="preserve"> of </w:t>
      </w:r>
      <w:r>
        <w:rPr>
          <w:kern w:val="0"/>
          <w:szCs w:val="24"/>
        </w:rPr>
        <w:t xml:space="preserve">localised prostate cancer. Search strategy </w:t>
      </w:r>
      <w:r w:rsidR="00D5664A">
        <w:rPr>
          <w:kern w:val="0"/>
          <w:szCs w:val="24"/>
        </w:rPr>
        <w:t>MEDLINE</w:t>
      </w:r>
      <w:r>
        <w:rPr>
          <w:kern w:val="0"/>
          <w:szCs w:val="24"/>
        </w:rPr>
        <w:t>, EMBASE, The Cochrane Library, ISI Science Citation Index, DARE</w:t>
      </w:r>
      <w:r w:rsidR="005853A9">
        <w:rPr>
          <w:kern w:val="0"/>
          <w:szCs w:val="24"/>
        </w:rPr>
        <w:t xml:space="preserve"> and </w:t>
      </w:r>
      <w:r>
        <w:rPr>
          <w:kern w:val="0"/>
          <w:szCs w:val="24"/>
        </w:rPr>
        <w:t xml:space="preserve">LILACS were searched through 30 July 2010. Selection criteria Randomised or </w:t>
      </w:r>
      <w:r>
        <w:rPr>
          <w:kern w:val="0"/>
          <w:szCs w:val="24"/>
        </w:rPr>
        <w:lastRenderedPageBreak/>
        <w:t>quasi-randomised controlled trials comparing the effects</w:t>
      </w:r>
      <w:r w:rsidR="00427468">
        <w:rPr>
          <w:kern w:val="0"/>
          <w:szCs w:val="24"/>
        </w:rPr>
        <w:t xml:space="preserve"> of </w:t>
      </w:r>
      <w:r>
        <w:rPr>
          <w:kern w:val="0"/>
          <w:szCs w:val="24"/>
        </w:rPr>
        <w:t>RP versus WW for clinically localised prostate cancer. Data collection</w:t>
      </w:r>
      <w:r w:rsidR="005853A9">
        <w:rPr>
          <w:kern w:val="0"/>
          <w:szCs w:val="24"/>
        </w:rPr>
        <w:t xml:space="preserve"> and </w:t>
      </w:r>
      <w:r>
        <w:rPr>
          <w:kern w:val="0"/>
          <w:szCs w:val="24"/>
        </w:rPr>
        <w:t>analysis Data extraction</w:t>
      </w:r>
      <w:r w:rsidR="005853A9">
        <w:rPr>
          <w:kern w:val="0"/>
          <w:szCs w:val="24"/>
        </w:rPr>
        <w:t xml:space="preserve"> and </w:t>
      </w:r>
      <w:r>
        <w:rPr>
          <w:kern w:val="0"/>
          <w:szCs w:val="24"/>
        </w:rPr>
        <w:t>quality assessment were carried out independently by two authors. Main results Two trials met the inclusion criteria. Both trials commenced prior to the widespread availability</w:t>
      </w:r>
      <w:r w:rsidR="00427468">
        <w:rPr>
          <w:kern w:val="0"/>
          <w:szCs w:val="24"/>
        </w:rPr>
        <w:t xml:space="preserve"> of </w:t>
      </w:r>
      <w:r>
        <w:rPr>
          <w:kern w:val="0"/>
          <w:szCs w:val="24"/>
        </w:rPr>
        <w:t>prostate-specific antigen (PSA) screening; hence the results may not be applicable to men with PSA-detected disease. One trial (N = 142), conducted in the US, was judged to be</w:t>
      </w:r>
      <w:r w:rsidR="00427468">
        <w:rPr>
          <w:kern w:val="0"/>
          <w:szCs w:val="24"/>
        </w:rPr>
        <w:t xml:space="preserve"> of </w:t>
      </w:r>
      <w:r>
        <w:rPr>
          <w:kern w:val="0"/>
          <w:szCs w:val="24"/>
        </w:rPr>
        <w:t>poor quality. All cause (overall) mortality was not significantly different between RP</w:t>
      </w:r>
      <w:r w:rsidR="005853A9">
        <w:rPr>
          <w:kern w:val="0"/>
          <w:szCs w:val="24"/>
        </w:rPr>
        <w:t xml:space="preserve"> and </w:t>
      </w:r>
      <w:r>
        <w:rPr>
          <w:kern w:val="0"/>
          <w:szCs w:val="24"/>
        </w:rPr>
        <w:t>WW groups after fifteen years</w:t>
      </w:r>
      <w:r w:rsidR="00427468">
        <w:rPr>
          <w:kern w:val="0"/>
          <w:szCs w:val="24"/>
        </w:rPr>
        <w:t xml:space="preserve"> of </w:t>
      </w:r>
      <w:r>
        <w:rPr>
          <w:kern w:val="0"/>
          <w:szCs w:val="24"/>
        </w:rPr>
        <w:t>follow up (Hazard Ratio (HR) 0.9 (95% Confidence Interval (CI) 0.56 to 1.43)</w:t>
      </w:r>
      <w:r w:rsidR="00A37C1D">
        <w:rPr>
          <w:kern w:val="0"/>
          <w:szCs w:val="24"/>
        </w:rPr>
        <w:t>. The</w:t>
      </w:r>
      <w:r>
        <w:rPr>
          <w:kern w:val="0"/>
          <w:szCs w:val="24"/>
        </w:rPr>
        <w:t xml:space="preserve"> second trial (N = 695), conducted in Scandinavia, was judged to be</w:t>
      </w:r>
      <w:r w:rsidR="00427468">
        <w:rPr>
          <w:kern w:val="0"/>
          <w:szCs w:val="24"/>
        </w:rPr>
        <w:t xml:space="preserve"> of </w:t>
      </w:r>
      <w:r>
        <w:rPr>
          <w:kern w:val="0"/>
          <w:szCs w:val="24"/>
        </w:rPr>
        <w:t>good quality. After 12 years</w:t>
      </w:r>
      <w:r w:rsidR="00427468">
        <w:rPr>
          <w:kern w:val="0"/>
          <w:szCs w:val="24"/>
        </w:rPr>
        <w:t xml:space="preserve"> of </w:t>
      </w:r>
      <w:r>
        <w:rPr>
          <w:kern w:val="0"/>
          <w:szCs w:val="24"/>
        </w:rPr>
        <w:t>follow up, the trial results were compatible with a beneficial effect</w:t>
      </w:r>
      <w:r w:rsidR="00427468">
        <w:rPr>
          <w:kern w:val="0"/>
          <w:szCs w:val="24"/>
        </w:rPr>
        <w:t xml:space="preserve"> of </w:t>
      </w:r>
      <w:r>
        <w:rPr>
          <w:kern w:val="0"/>
          <w:szCs w:val="24"/>
        </w:rPr>
        <w:t>RP on the risks</w:t>
      </w:r>
      <w:r w:rsidR="00427468">
        <w:rPr>
          <w:kern w:val="0"/>
          <w:szCs w:val="24"/>
        </w:rPr>
        <w:t xml:space="preserve"> of </w:t>
      </w:r>
      <w:r>
        <w:rPr>
          <w:kern w:val="0"/>
          <w:szCs w:val="24"/>
        </w:rPr>
        <w:t>overall mortality, prostate cancer mortality</w:t>
      </w:r>
      <w:r w:rsidR="005853A9">
        <w:rPr>
          <w:kern w:val="0"/>
          <w:szCs w:val="24"/>
        </w:rPr>
        <w:t xml:space="preserve"> and </w:t>
      </w:r>
      <w:r>
        <w:rPr>
          <w:kern w:val="0"/>
          <w:szCs w:val="24"/>
        </w:rPr>
        <w:t>distant metastases compared with WW but the precise magnitude</w:t>
      </w:r>
      <w:r w:rsidR="00427468">
        <w:rPr>
          <w:kern w:val="0"/>
          <w:szCs w:val="24"/>
        </w:rPr>
        <w:t xml:space="preserve"> of </w:t>
      </w:r>
      <w:r>
        <w:rPr>
          <w:kern w:val="0"/>
          <w:szCs w:val="24"/>
        </w:rPr>
        <w:t>the effect is uncertain as indicated by the width</w:t>
      </w:r>
      <w:r w:rsidR="00427468">
        <w:rPr>
          <w:kern w:val="0"/>
          <w:szCs w:val="24"/>
        </w:rPr>
        <w:t xml:space="preserve"> of </w:t>
      </w:r>
      <w:r>
        <w:rPr>
          <w:kern w:val="0"/>
          <w:szCs w:val="24"/>
        </w:rPr>
        <w:t>the confidence intervals for all estimates (risk difference (RD) -7.1% (95% CI - 14.7 to 0.5); RD -5.4% (95% CI -11.1 to 0.2); RD-6.7% (95% CI -13.2 to -0.2), respectively). Compared to WW, RP increased the absolute risks</w:t>
      </w:r>
      <w:r w:rsidR="00427468">
        <w:rPr>
          <w:kern w:val="0"/>
          <w:szCs w:val="24"/>
        </w:rPr>
        <w:t xml:space="preserve"> of </w:t>
      </w:r>
      <w:r>
        <w:rPr>
          <w:kern w:val="0"/>
          <w:szCs w:val="24"/>
        </w:rPr>
        <w:t>erectile dysfunction (RD 35% (95% CI 25 to 45))</w:t>
      </w:r>
      <w:r w:rsidR="005853A9">
        <w:rPr>
          <w:kern w:val="0"/>
          <w:szCs w:val="24"/>
        </w:rPr>
        <w:t xml:space="preserve"> and </w:t>
      </w:r>
      <w:r>
        <w:rPr>
          <w:kern w:val="0"/>
          <w:szCs w:val="24"/>
        </w:rPr>
        <w:t>urinary leakage (RD 27% (95% CI 17 to 37))</w:t>
      </w:r>
      <w:r w:rsidR="00A37C1D">
        <w:rPr>
          <w:kern w:val="0"/>
          <w:szCs w:val="24"/>
        </w:rPr>
        <w:t>. The</w:t>
      </w:r>
      <w:r>
        <w:rPr>
          <w:kern w:val="0"/>
          <w:szCs w:val="24"/>
        </w:rPr>
        <w:t>se estimates must be interpreted cautiously as they are derived from data obtained from a self-administered questionnaire survey</w:t>
      </w:r>
      <w:r w:rsidR="00427468">
        <w:rPr>
          <w:kern w:val="0"/>
          <w:szCs w:val="24"/>
        </w:rPr>
        <w:t xml:space="preserve"> of </w:t>
      </w:r>
      <w:r>
        <w:rPr>
          <w:kern w:val="0"/>
          <w:szCs w:val="24"/>
        </w:rPr>
        <w:t>a sample</w:t>
      </w:r>
      <w:r w:rsidR="00427468">
        <w:rPr>
          <w:kern w:val="0"/>
          <w:szCs w:val="24"/>
        </w:rPr>
        <w:t xml:space="preserve"> of </w:t>
      </w:r>
      <w:r>
        <w:rPr>
          <w:kern w:val="0"/>
          <w:szCs w:val="24"/>
        </w:rPr>
        <w:t>the trial participants (N = 326), no baseline quality</w:t>
      </w:r>
      <w:r w:rsidR="00427468">
        <w:rPr>
          <w:kern w:val="0"/>
          <w:szCs w:val="24"/>
        </w:rPr>
        <w:t xml:space="preserve"> of </w:t>
      </w:r>
      <w:r>
        <w:rPr>
          <w:kern w:val="0"/>
          <w:szCs w:val="24"/>
        </w:rPr>
        <w:t>life data were obtained</w:t>
      </w:r>
      <w:r w:rsidR="005853A9">
        <w:rPr>
          <w:kern w:val="0"/>
          <w:szCs w:val="24"/>
        </w:rPr>
        <w:t xml:space="preserve"> and </w:t>
      </w:r>
      <w:r>
        <w:rPr>
          <w:kern w:val="0"/>
          <w:szCs w:val="24"/>
        </w:rPr>
        <w:t>nerve-sparing surgery was not routinely performed on trial participants undergoing RP. Authors</w:t>
      </w:r>
      <w:r w:rsidR="0071223E">
        <w:rPr>
          <w:kern w:val="0"/>
          <w:szCs w:val="24"/>
        </w:rPr>
        <w:t>’</w:t>
      </w:r>
      <w:r>
        <w:rPr>
          <w:kern w:val="0"/>
          <w:szCs w:val="24"/>
        </w:rPr>
        <w:t xml:space="preserve"> conclusions The existing trials provide insufficient evidence to allow confident statements to be made about the relative beneficial</w:t>
      </w:r>
      <w:r w:rsidR="005853A9">
        <w:rPr>
          <w:kern w:val="0"/>
          <w:szCs w:val="24"/>
        </w:rPr>
        <w:t xml:space="preserve"> and </w:t>
      </w:r>
      <w:r>
        <w:rPr>
          <w:kern w:val="0"/>
          <w:szCs w:val="24"/>
        </w:rPr>
        <w:t>harmful effects</w:t>
      </w:r>
      <w:r w:rsidR="00427468">
        <w:rPr>
          <w:kern w:val="0"/>
          <w:szCs w:val="24"/>
        </w:rPr>
        <w:t xml:space="preserve"> of </w:t>
      </w:r>
      <w:r>
        <w:rPr>
          <w:kern w:val="0"/>
          <w:szCs w:val="24"/>
        </w:rPr>
        <w:t>RP</w:t>
      </w:r>
      <w:r w:rsidR="005853A9">
        <w:rPr>
          <w:kern w:val="0"/>
          <w:szCs w:val="24"/>
        </w:rPr>
        <w:t xml:space="preserve"> and </w:t>
      </w:r>
      <w:r>
        <w:rPr>
          <w:kern w:val="0"/>
          <w:szCs w:val="24"/>
        </w:rPr>
        <w:t>WW for patients with localised prostate cancer</w:t>
      </w:r>
      <w:r w:rsidR="00A37C1D">
        <w:rPr>
          <w:kern w:val="0"/>
          <w:szCs w:val="24"/>
        </w:rPr>
        <w:t>. The</w:t>
      </w:r>
      <w:r>
        <w:rPr>
          <w:kern w:val="0"/>
          <w:szCs w:val="24"/>
        </w:rPr>
        <w:t xml:space="preserve"> results</w:t>
      </w:r>
      <w:r w:rsidR="00427468">
        <w:rPr>
          <w:kern w:val="0"/>
          <w:szCs w:val="24"/>
        </w:rPr>
        <w:t xml:space="preserve"> of </w:t>
      </w:r>
      <w:r>
        <w:rPr>
          <w:kern w:val="0"/>
          <w:szCs w:val="24"/>
        </w:rPr>
        <w:t>ongoing trials should help to inform treatment decisions for men with screen-detected localised prostate cancer.</w:t>
      </w:r>
    </w:p>
    <w:p w:rsidR="00365DE4" w:rsidRDefault="00365DE4" w:rsidP="00365DE4">
      <w:pPr>
        <w:pStyle w:val="a3"/>
        <w:rPr>
          <w:kern w:val="0"/>
          <w:szCs w:val="24"/>
        </w:rPr>
      </w:pPr>
      <w:r>
        <w:rPr>
          <w:kern w:val="0"/>
          <w:szCs w:val="24"/>
        </w:rPr>
        <w:t>Keywords: Active Surveillance, Analysis, Assessment, Authors, Availability, Baseline Quality, Bicalutamide 150 Mg, Cancer, Citation, Clinical, Collection, Confidence, Confidence Intervals, Criteria, Data, Decision Making, Decision-Making, Disease, Effectiveness, Erectile Dysfunction, Estimates, Evidence, Expectant Management, Extraction, Follow-up, Impact, Intervals</w:t>
      </w:r>
      <w:r w:rsidR="00D5664A">
        <w:rPr>
          <w:kern w:val="0"/>
          <w:szCs w:val="24"/>
        </w:rPr>
        <w:t>, ISI,</w:t>
      </w:r>
      <w:r>
        <w:rPr>
          <w:kern w:val="0"/>
          <w:szCs w:val="24"/>
        </w:rPr>
        <w:t xml:space="preserve"> Life, Long-Term Survival, Median Follow-up, </w:t>
      </w:r>
      <w:r w:rsidR="00D5664A">
        <w:rPr>
          <w:kern w:val="0"/>
          <w:szCs w:val="24"/>
        </w:rPr>
        <w:t>MEDLINE</w:t>
      </w:r>
      <w:r>
        <w:rPr>
          <w:kern w:val="0"/>
          <w:szCs w:val="24"/>
        </w:rPr>
        <w:t>, Men, Metastases, Monitoring, Mortality, N, Nerve Sparing, Nerve-Sparing, Options, Patients, Population-Based Cohort, Prostate Cancer, Prostatectomy, Quality, Quality of, Quality</w:t>
      </w:r>
      <w:r w:rsidR="00427468">
        <w:rPr>
          <w:kern w:val="0"/>
          <w:szCs w:val="24"/>
        </w:rPr>
        <w:t xml:space="preserve"> of </w:t>
      </w:r>
      <w:r>
        <w:rPr>
          <w:kern w:val="0"/>
          <w:szCs w:val="24"/>
        </w:rPr>
        <w:t>Life, Quality-of-Life, Questionnaire, Radiation-Therapy, Randomized Controlled-Trial, Risk, Risks, Science, Science Citation Index, Screening, Search, Selective Delayed Intervention, Self, Strategy, Surgery, Survey, Treatment, Trial, Urinary, US</w:t>
      </w:r>
    </w:p>
    <w:p w:rsidR="00365DE4" w:rsidRDefault="00365DE4" w:rsidP="00365DE4">
      <w:pPr>
        <w:pStyle w:val="a3"/>
        <w:rPr>
          <w:kern w:val="0"/>
          <w:szCs w:val="24"/>
        </w:rPr>
      </w:pPr>
      <w:r>
        <w:rPr>
          <w:kern w:val="0"/>
          <w:szCs w:val="24"/>
        </w:rPr>
        <w:t>? Poorolajal, J., Mahmoodi, M., Haghdoost, A., Majdzadeh, R., Nasseri-Moghaddam, S., Ghalichi, L.</w:t>
      </w:r>
      <w:r w:rsidR="005853A9">
        <w:rPr>
          <w:kern w:val="0"/>
          <w:szCs w:val="24"/>
        </w:rPr>
        <w:t xml:space="preserve"> and </w:t>
      </w:r>
      <w:r>
        <w:rPr>
          <w:kern w:val="0"/>
          <w:szCs w:val="24"/>
        </w:rPr>
        <w:t xml:space="preserve">Fotouhi, A. (2010), Booster dose vaccination for preventing </w:t>
      </w:r>
      <w:r>
        <w:rPr>
          <w:kern w:val="0"/>
          <w:szCs w:val="24"/>
        </w:rPr>
        <w:lastRenderedPageBreak/>
        <w:t xml:space="preserve">hepatitis B.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11</w:t>
      </w:r>
      <w:r>
        <w:t>, Article Number: CD008256.</w:t>
      </w:r>
    </w:p>
    <w:p w:rsidR="00365DE4" w:rsidRDefault="00365DE4" w:rsidP="00365DE4">
      <w:pPr>
        <w:pStyle w:val="a3"/>
        <w:rPr>
          <w:kern w:val="2"/>
        </w:rPr>
      </w:pPr>
      <w:r>
        <w:t xml:space="preserve">Full Text: </w:t>
      </w:r>
      <w:hyperlink r:id="rId627" w:history="1">
        <w:r>
          <w:rPr>
            <w:rStyle w:val="a5"/>
          </w:rPr>
          <w:t>2010\Coc Dat Sys Rev2010, CD008256.pdf</w:t>
        </w:r>
      </w:hyperlink>
    </w:p>
    <w:p w:rsidR="00365DE4" w:rsidRDefault="00365DE4" w:rsidP="00365DE4">
      <w:pPr>
        <w:pStyle w:val="a3"/>
        <w:rPr>
          <w:kern w:val="0"/>
          <w:szCs w:val="24"/>
        </w:rPr>
      </w:pPr>
      <w:r>
        <w:rPr>
          <w:kern w:val="0"/>
          <w:szCs w:val="24"/>
        </w:rPr>
        <w:t>Abstract: Background Antibodies against hepatitis B surface antigen (HBs) wane over time after vaccination for hepatitis B (HB); hence, the duration</w:t>
      </w:r>
      <w:r w:rsidR="00427468">
        <w:rPr>
          <w:kern w:val="0"/>
          <w:szCs w:val="24"/>
        </w:rPr>
        <w:t xml:space="preserve"> of </w:t>
      </w:r>
      <w:r>
        <w:rPr>
          <w:kern w:val="0"/>
          <w:szCs w:val="24"/>
        </w:rPr>
        <w:t>protection provided by the vaccine is still unknown but may be evaluated indirectly by measuring the anamnestic immune response to booster doses</w:t>
      </w:r>
      <w:r w:rsidR="00427468">
        <w:rPr>
          <w:kern w:val="0"/>
          <w:szCs w:val="24"/>
        </w:rPr>
        <w:t xml:space="preserve"> of </w:t>
      </w:r>
      <w:r>
        <w:rPr>
          <w:kern w:val="0"/>
          <w:szCs w:val="24"/>
        </w:rPr>
        <w:t>vaccine. Objectives To assess the benefits</w:t>
      </w:r>
      <w:r w:rsidR="005853A9">
        <w:rPr>
          <w:kern w:val="0"/>
          <w:szCs w:val="24"/>
        </w:rPr>
        <w:t xml:space="preserve"> and </w:t>
      </w:r>
      <w:r>
        <w:rPr>
          <w:kern w:val="0"/>
          <w:szCs w:val="24"/>
        </w:rPr>
        <w:t>harms</w:t>
      </w:r>
      <w:r w:rsidR="00427468">
        <w:rPr>
          <w:kern w:val="0"/>
          <w:szCs w:val="24"/>
        </w:rPr>
        <w:t xml:space="preserve"> of </w:t>
      </w:r>
      <w:r>
        <w:rPr>
          <w:kern w:val="0"/>
          <w:szCs w:val="24"/>
        </w:rPr>
        <w:t>booster dose hepatitis B vaccination for preventing HB infection. Search strategy We searched The Cochrane Hepato-biliary Group Control led Trials Register, the Cochrane Centra l Register</w:t>
      </w:r>
      <w:r w:rsidR="00427468">
        <w:rPr>
          <w:kern w:val="0"/>
          <w:szCs w:val="24"/>
        </w:rPr>
        <w:t xml:space="preserve"> of </w:t>
      </w:r>
      <w:r>
        <w:rPr>
          <w:kern w:val="0"/>
          <w:szCs w:val="24"/>
        </w:rPr>
        <w:t xml:space="preserve">Control led Trials (CENTRAL) (Issue 4, 2010) in The Cochrane Library, </w:t>
      </w:r>
      <w:r w:rsidR="00D5664A">
        <w:rPr>
          <w:kern w:val="0"/>
          <w:szCs w:val="24"/>
        </w:rPr>
        <w:t>MEDLINE</w:t>
      </w:r>
      <w:r>
        <w:rPr>
          <w:kern w:val="0"/>
          <w:szCs w:val="24"/>
        </w:rPr>
        <w:t>, EMBASE, Science Citation Index Expanded, conference databases,</w:t>
      </w:r>
      <w:r w:rsidR="005853A9">
        <w:rPr>
          <w:kern w:val="0"/>
          <w:szCs w:val="24"/>
        </w:rPr>
        <w:t xml:space="preserve"> and </w:t>
      </w:r>
      <w:r>
        <w:rPr>
          <w:kern w:val="0"/>
          <w:szCs w:val="24"/>
        </w:rPr>
        <w:t>reference lists</w:t>
      </w:r>
      <w:r w:rsidR="00427468">
        <w:rPr>
          <w:kern w:val="0"/>
          <w:szCs w:val="24"/>
        </w:rPr>
        <w:t xml:space="preserve"> of </w:t>
      </w:r>
      <w:r>
        <w:rPr>
          <w:kern w:val="0"/>
          <w:szCs w:val="24"/>
        </w:rPr>
        <w:t>articles to May 2010. We also contacted authors</w:t>
      </w:r>
      <w:r w:rsidR="00427468">
        <w:rPr>
          <w:kern w:val="0"/>
          <w:szCs w:val="24"/>
        </w:rPr>
        <w:t xml:space="preserve"> of </w:t>
      </w:r>
      <w:r>
        <w:rPr>
          <w:kern w:val="0"/>
          <w:szCs w:val="24"/>
        </w:rPr>
        <w:t>articles</w:t>
      </w:r>
      <w:r w:rsidR="005853A9">
        <w:rPr>
          <w:kern w:val="0"/>
          <w:szCs w:val="24"/>
        </w:rPr>
        <w:t xml:space="preserve"> and </w:t>
      </w:r>
      <w:r>
        <w:rPr>
          <w:kern w:val="0"/>
          <w:szCs w:val="24"/>
        </w:rPr>
        <w:t>manufacturers. Selection criteria Randomised clinical trials addressing anamnestic immune response to booster</w:t>
      </w:r>
      <w:r w:rsidR="00427468">
        <w:rPr>
          <w:kern w:val="0"/>
          <w:szCs w:val="24"/>
        </w:rPr>
        <w:t xml:space="preserve"> of </w:t>
      </w:r>
      <w:r>
        <w:rPr>
          <w:kern w:val="0"/>
          <w:szCs w:val="24"/>
        </w:rPr>
        <w:t>HB vaccine five years or more after primary vaccination in apparently healthy participants, vaccinated in a 3-dose or 4-dose schedules</w:t>
      </w:r>
      <w:r w:rsidR="00427468">
        <w:rPr>
          <w:kern w:val="0"/>
          <w:szCs w:val="24"/>
        </w:rPr>
        <w:t xml:space="preserve"> of </w:t>
      </w:r>
      <w:r>
        <w:rPr>
          <w:kern w:val="0"/>
          <w:szCs w:val="24"/>
        </w:rPr>
        <w:t>HB vaccine without receiving additional dose or immunoglobulin. Data collection</w:t>
      </w:r>
      <w:r w:rsidR="005853A9">
        <w:rPr>
          <w:kern w:val="0"/>
          <w:szCs w:val="24"/>
        </w:rPr>
        <w:t xml:space="preserve"> and </w:t>
      </w:r>
      <w:r>
        <w:rPr>
          <w:kern w:val="0"/>
          <w:szCs w:val="24"/>
        </w:rPr>
        <w:t>analysis Two authors made the decisions if the identified publications on studies met the inclusion criteria or not. Primary outcome measures included the proportion with anamnestic immune response in non-protected participants</w:t>
      </w:r>
      <w:r w:rsidR="005853A9">
        <w:rPr>
          <w:kern w:val="0"/>
          <w:szCs w:val="24"/>
        </w:rPr>
        <w:t xml:space="preserve"> and </w:t>
      </w:r>
      <w:r>
        <w:rPr>
          <w:kern w:val="0"/>
          <w:szCs w:val="24"/>
        </w:rPr>
        <w:t>signs</w:t>
      </w:r>
      <w:r w:rsidR="00427468">
        <w:rPr>
          <w:kern w:val="0"/>
          <w:szCs w:val="24"/>
        </w:rPr>
        <w:t xml:space="preserve"> of </w:t>
      </w:r>
      <w:r>
        <w:rPr>
          <w:kern w:val="0"/>
          <w:szCs w:val="24"/>
        </w:rPr>
        <w:t>hepatitis B virus infection. Secondary outcomes were the proportion with local</w:t>
      </w:r>
      <w:r w:rsidR="005853A9">
        <w:rPr>
          <w:kern w:val="0"/>
          <w:szCs w:val="24"/>
        </w:rPr>
        <w:t xml:space="preserve"> and </w:t>
      </w:r>
      <w:r>
        <w:rPr>
          <w:kern w:val="0"/>
          <w:szCs w:val="24"/>
        </w:rPr>
        <w:t>systemic adverse event events developed following booster dose injection. Weighted proportion were planned to be reported with 95% confidence intervals. Main results There were no eligible randomised clinical trials fulfilling the inclusion criteria</w:t>
      </w:r>
      <w:r w:rsidR="00427468">
        <w:rPr>
          <w:kern w:val="0"/>
          <w:szCs w:val="24"/>
        </w:rPr>
        <w:t xml:space="preserve"> of </w:t>
      </w:r>
      <w:r>
        <w:rPr>
          <w:kern w:val="0"/>
          <w:szCs w:val="24"/>
        </w:rPr>
        <w:t>this review. Authors</w:t>
      </w:r>
      <w:r w:rsidR="0071223E">
        <w:rPr>
          <w:kern w:val="0"/>
          <w:szCs w:val="24"/>
        </w:rPr>
        <w:t>’</w:t>
      </w:r>
      <w:r>
        <w:rPr>
          <w:kern w:val="0"/>
          <w:szCs w:val="24"/>
        </w:rPr>
        <w:t xml:space="preserve"> conclusions We were unable to identify randomised clinical trials on the topic. We need randomised clinical trials to formulate future booster policies for preventing hepatitis B infection.</w:t>
      </w:r>
    </w:p>
    <w:p w:rsidR="00365DE4" w:rsidRDefault="00365DE4" w:rsidP="00365DE4">
      <w:pPr>
        <w:pStyle w:val="a3"/>
        <w:rPr>
          <w:kern w:val="0"/>
          <w:szCs w:val="24"/>
        </w:rPr>
      </w:pPr>
      <w:r>
        <w:rPr>
          <w:kern w:val="0"/>
          <w:szCs w:val="24"/>
        </w:rPr>
        <w:t xml:space="preserve">Keywords: 15-Year Follow-Up, Analysis, Anti-HBS, Authors, Citation, Confidence Intervals, Databases, Dna Yeast Vaccine, Duration, Embase, Health-Care Workers, Immune-Response, Immunological Memory, Long-Term Immunogenicity, </w:t>
      </w:r>
      <w:r w:rsidR="00D5664A">
        <w:rPr>
          <w:kern w:val="0"/>
          <w:szCs w:val="24"/>
        </w:rPr>
        <w:t>MEDLINE</w:t>
      </w:r>
      <w:r>
        <w:rPr>
          <w:kern w:val="0"/>
          <w:szCs w:val="24"/>
        </w:rPr>
        <w:t>, Plasma-Derived Vaccine, Prospective Randomized-Trial, Publications, Science, Science Citation Index, Science Citation Index Expanded, Yupik Eskimo Population</w:t>
      </w:r>
    </w:p>
    <w:p w:rsidR="00365DE4" w:rsidRDefault="00365DE4" w:rsidP="00365DE4">
      <w:pPr>
        <w:pStyle w:val="a3"/>
        <w:rPr>
          <w:kern w:val="0"/>
        </w:rPr>
      </w:pPr>
      <w:r>
        <w:rPr>
          <w:kern w:val="0"/>
        </w:rPr>
        <w:t>? Wilson, C., Willis, C., Hendrikz, J.K., Le Brocque, R.</w:t>
      </w:r>
      <w:r w:rsidR="005853A9">
        <w:rPr>
          <w:kern w:val="0"/>
        </w:rPr>
        <w:t xml:space="preserve"> and </w:t>
      </w:r>
      <w:r>
        <w:rPr>
          <w:kern w:val="0"/>
        </w:rPr>
        <w:t>Bellamy, N. (2010), Speed cameras for the prevention</w:t>
      </w:r>
      <w:r w:rsidR="00427468">
        <w:rPr>
          <w:kern w:val="0"/>
        </w:rPr>
        <w:t xml:space="preserve"> of </w:t>
      </w:r>
      <w:r>
        <w:rPr>
          <w:kern w:val="0"/>
        </w:rPr>
        <w:t>road traffic injuries</w:t>
      </w:r>
      <w:r w:rsidR="005853A9">
        <w:rPr>
          <w:kern w:val="0"/>
        </w:rPr>
        <w:t xml:space="preserve"> and </w:t>
      </w:r>
      <w:r>
        <w:rPr>
          <w:kern w:val="0"/>
        </w:rPr>
        <w:t xml:space="preserve">deaths.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CD004607.</w:t>
      </w:r>
    </w:p>
    <w:p w:rsidR="00365DE4" w:rsidRDefault="00365DE4" w:rsidP="00365DE4">
      <w:pPr>
        <w:pStyle w:val="a3"/>
        <w:rPr>
          <w:kern w:val="2"/>
        </w:rPr>
      </w:pPr>
      <w:r>
        <w:t xml:space="preserve">Full Text: </w:t>
      </w:r>
      <w:hyperlink r:id="rId628" w:history="1">
        <w:r>
          <w:rPr>
            <w:rStyle w:val="a5"/>
          </w:rPr>
          <w:t>2010\Coc Dat Sys Rev2010, CD004607.pdf</w:t>
        </w:r>
      </w:hyperlink>
    </w:p>
    <w:p w:rsidR="00365DE4" w:rsidRDefault="00365DE4" w:rsidP="00365DE4">
      <w:pPr>
        <w:pStyle w:val="a3"/>
        <w:rPr>
          <w:kern w:val="0"/>
        </w:rPr>
      </w:pPr>
      <w:r>
        <w:rPr>
          <w:kern w:val="0"/>
        </w:rPr>
        <w:t>Abstract: Background It is estimated that by 2020, road traffic crashes will have moved from ninth to third in the world ranking</w:t>
      </w:r>
      <w:r w:rsidR="00427468">
        <w:rPr>
          <w:kern w:val="0"/>
        </w:rPr>
        <w:t xml:space="preserve"> of </w:t>
      </w:r>
      <w:r>
        <w:rPr>
          <w:kern w:val="0"/>
        </w:rPr>
        <w:t>burden</w:t>
      </w:r>
      <w:r w:rsidR="00427468">
        <w:rPr>
          <w:kern w:val="0"/>
        </w:rPr>
        <w:t xml:space="preserve"> of </w:t>
      </w:r>
      <w:r>
        <w:rPr>
          <w:kern w:val="0"/>
        </w:rPr>
        <w:t xml:space="preserve">disease, as measured in </w:t>
      </w:r>
      <w:r>
        <w:rPr>
          <w:kern w:val="0"/>
        </w:rPr>
        <w:lastRenderedPageBreak/>
        <w:t>disability adjusted life years</w:t>
      </w:r>
      <w:r w:rsidR="00A37C1D">
        <w:rPr>
          <w:kern w:val="0"/>
        </w:rPr>
        <w:t>. The</w:t>
      </w:r>
      <w:r>
        <w:rPr>
          <w:kern w:val="0"/>
        </w:rPr>
        <w:t xml:space="preserve"> prevention</w:t>
      </w:r>
      <w:r w:rsidR="00427468">
        <w:rPr>
          <w:kern w:val="0"/>
        </w:rPr>
        <w:t xml:space="preserve"> of </w:t>
      </w:r>
      <w:r>
        <w:rPr>
          <w:kern w:val="0"/>
        </w:rPr>
        <w:t>road traffic injuries is</w:t>
      </w:r>
      <w:r w:rsidR="00427468">
        <w:rPr>
          <w:kern w:val="0"/>
        </w:rPr>
        <w:t xml:space="preserve"> of </w:t>
      </w:r>
      <w:r>
        <w:rPr>
          <w:kern w:val="0"/>
        </w:rPr>
        <w:t>global public health importance. Measures aimed at reducing traffic speed are considered essential to preventing road injuries; the use</w:t>
      </w:r>
      <w:r w:rsidR="00427468">
        <w:rPr>
          <w:kern w:val="0"/>
        </w:rPr>
        <w:t xml:space="preserve"> of </w:t>
      </w:r>
      <w:r>
        <w:rPr>
          <w:kern w:val="0"/>
        </w:rPr>
        <w:t>speed cameras is one such measure. Objectives To assess whether the use</w:t>
      </w:r>
      <w:r w:rsidR="00427468">
        <w:rPr>
          <w:kern w:val="0"/>
        </w:rPr>
        <w:t xml:space="preserve"> of </w:t>
      </w:r>
      <w:r>
        <w:rPr>
          <w:kern w:val="0"/>
        </w:rPr>
        <w:t>speed cameras reduces the incidence</w:t>
      </w:r>
      <w:r w:rsidR="00427468">
        <w:rPr>
          <w:kern w:val="0"/>
        </w:rPr>
        <w:t xml:space="preserve"> of </w:t>
      </w:r>
      <w:r>
        <w:rPr>
          <w:kern w:val="0"/>
        </w:rPr>
        <w:t>speeding, road traffic crashes, injuries</w:t>
      </w:r>
      <w:r w:rsidR="005853A9">
        <w:rPr>
          <w:kern w:val="0"/>
        </w:rPr>
        <w:t xml:space="preserve"> and </w:t>
      </w:r>
      <w:r>
        <w:rPr>
          <w:kern w:val="0"/>
        </w:rPr>
        <w:t xml:space="preserve">deaths. Search strategy We searched the following electronic databases covering all available years up to March 2010; the Cochrane Library, </w:t>
      </w:r>
      <w:r w:rsidR="00D5664A">
        <w:rPr>
          <w:kern w:val="0"/>
        </w:rPr>
        <w:t>MEDLINE</w:t>
      </w:r>
      <w:r>
        <w:rPr>
          <w:kern w:val="0"/>
        </w:rPr>
        <w:t xml:space="preserve"> (WebSPIRS), EMBASE (WebSPIRS), TRANSPORT, IRRD(International Road Research Documentation), TRANSDOC (European Conference</w:t>
      </w:r>
      <w:r w:rsidR="00427468">
        <w:rPr>
          <w:kern w:val="0"/>
        </w:rPr>
        <w:t xml:space="preserve"> of </w:t>
      </w:r>
      <w:r>
        <w:rPr>
          <w:kern w:val="0"/>
        </w:rPr>
        <w:t>Ministers</w:t>
      </w:r>
      <w:r w:rsidR="00427468">
        <w:rPr>
          <w:kern w:val="0"/>
        </w:rPr>
        <w:t xml:space="preserve"> of </w:t>
      </w:r>
      <w:r>
        <w:rPr>
          <w:kern w:val="0"/>
        </w:rPr>
        <w:t xml:space="preserve">Transport databases), </w:t>
      </w:r>
      <w:r w:rsidR="00D5664A">
        <w:rPr>
          <w:kern w:val="0"/>
        </w:rPr>
        <w:t>Web</w:t>
      </w:r>
      <w:r w:rsidR="00427468">
        <w:rPr>
          <w:kern w:val="0"/>
        </w:rPr>
        <w:t xml:space="preserve"> of </w:t>
      </w:r>
      <w:r w:rsidR="00D5664A">
        <w:rPr>
          <w:kern w:val="0"/>
        </w:rPr>
        <w:t>Science</w:t>
      </w:r>
      <w:r>
        <w:rPr>
          <w:kern w:val="0"/>
        </w:rPr>
        <w:t xml:space="preserve"> (Science</w:t>
      </w:r>
      <w:r w:rsidR="005853A9">
        <w:rPr>
          <w:kern w:val="0"/>
        </w:rPr>
        <w:t xml:space="preserve"> and </w:t>
      </w:r>
      <w:r>
        <w:rPr>
          <w:kern w:val="0"/>
        </w:rPr>
        <w:t>Social Science Citation Index), PsycINFO, CINAHL, EconLit, WHO database, Sociological Abstracts, Dissertation Abstracts, Index to Theses. Selection criteria Randomised controlled trials, interrupted time series</w:t>
      </w:r>
      <w:r w:rsidR="005853A9">
        <w:rPr>
          <w:kern w:val="0"/>
        </w:rPr>
        <w:t xml:space="preserve"> and </w:t>
      </w:r>
      <w:r>
        <w:rPr>
          <w:kern w:val="0"/>
        </w:rPr>
        <w:t>controlled before-after studies that assessed the impact</w:t>
      </w:r>
      <w:r w:rsidR="00427468">
        <w:rPr>
          <w:kern w:val="0"/>
        </w:rPr>
        <w:t xml:space="preserve"> of </w:t>
      </w:r>
      <w:r>
        <w:rPr>
          <w:kern w:val="0"/>
        </w:rPr>
        <w:t>speed cameras on speeding, road crashes, crashes causing injury</w:t>
      </w:r>
      <w:r w:rsidR="005853A9">
        <w:rPr>
          <w:kern w:val="0"/>
        </w:rPr>
        <w:t xml:space="preserve"> and </w:t>
      </w:r>
      <w:r>
        <w:rPr>
          <w:kern w:val="0"/>
        </w:rPr>
        <w:t>fatalities were eligible for inclusion. Data collection</w:t>
      </w:r>
      <w:r w:rsidR="005853A9">
        <w:rPr>
          <w:kern w:val="0"/>
        </w:rPr>
        <w:t xml:space="preserve"> and </w:t>
      </w:r>
      <w:r>
        <w:rPr>
          <w:kern w:val="0"/>
        </w:rPr>
        <w:t>analysis We independently screened studies for inclusion, extracted data, assessed methodological quality, reported study authors</w:t>
      </w:r>
      <w:r w:rsidR="0071223E">
        <w:rPr>
          <w:kern w:val="0"/>
        </w:rPr>
        <w:t>’</w:t>
      </w:r>
      <w:r>
        <w:rPr>
          <w:kern w:val="0"/>
        </w:rPr>
        <w:t xml:space="preserve"> outcomes</w:t>
      </w:r>
      <w:r w:rsidR="005853A9">
        <w:rPr>
          <w:kern w:val="0"/>
        </w:rPr>
        <w:t xml:space="preserve"> and </w:t>
      </w:r>
      <w:r>
        <w:rPr>
          <w:kern w:val="0"/>
        </w:rPr>
        <w:t>where possible, calculated standardised results based on the information available in each study. Due to considerable heterogeneity between</w:t>
      </w:r>
      <w:r w:rsidR="005853A9">
        <w:rPr>
          <w:kern w:val="0"/>
        </w:rPr>
        <w:t xml:space="preserve"> and </w:t>
      </w:r>
      <w:r>
        <w:rPr>
          <w:kern w:val="0"/>
        </w:rPr>
        <w:t>within included studies, a meta-analysis was not appropriate. Main results Thirty five studies met the inclusion criteria. Compared with controls, the relative reduction in average speed ranged from 1% to 15%</w:t>
      </w:r>
      <w:r w:rsidR="005853A9">
        <w:rPr>
          <w:kern w:val="0"/>
        </w:rPr>
        <w:t xml:space="preserve"> and </w:t>
      </w:r>
      <w:r>
        <w:rPr>
          <w:kern w:val="0"/>
        </w:rPr>
        <w:t>the reduction in proportion</w:t>
      </w:r>
      <w:r w:rsidR="00427468">
        <w:rPr>
          <w:kern w:val="0"/>
        </w:rPr>
        <w:t xml:space="preserve"> of </w:t>
      </w:r>
      <w:r>
        <w:rPr>
          <w:kern w:val="0"/>
        </w:rPr>
        <w:t>vehicles speeding ranged from 14% to 65%. In the vicinity</w:t>
      </w:r>
      <w:r w:rsidR="00427468">
        <w:rPr>
          <w:kern w:val="0"/>
        </w:rPr>
        <w:t xml:space="preserve"> of </w:t>
      </w:r>
      <w:r>
        <w:rPr>
          <w:kern w:val="0"/>
        </w:rPr>
        <w:t>camera sites, the pre/post reductions ranged from 8% to 49% for all crashes</w:t>
      </w:r>
      <w:r w:rsidR="005853A9">
        <w:rPr>
          <w:kern w:val="0"/>
        </w:rPr>
        <w:t xml:space="preserve"> and </w:t>
      </w:r>
      <w:r>
        <w:rPr>
          <w:kern w:val="0"/>
        </w:rPr>
        <w:t>11% to 44% for fatal</w:t>
      </w:r>
      <w:r w:rsidR="005853A9">
        <w:rPr>
          <w:kern w:val="0"/>
        </w:rPr>
        <w:t xml:space="preserve"> and </w:t>
      </w:r>
      <w:r>
        <w:rPr>
          <w:kern w:val="0"/>
        </w:rPr>
        <w:t>serious injury crashes. Compared with controls, the relative improvement in pre/post injury crash proportions ranged from 8% to 50%. Authors</w:t>
      </w:r>
      <w:r w:rsidR="0071223E">
        <w:rPr>
          <w:kern w:val="0"/>
        </w:rPr>
        <w:t>’</w:t>
      </w:r>
      <w:r>
        <w:rPr>
          <w:kern w:val="0"/>
        </w:rPr>
        <w:t xml:space="preserve"> conclusions Despite the methodological limitations</w:t>
      </w:r>
      <w:r w:rsidR="005853A9">
        <w:rPr>
          <w:kern w:val="0"/>
        </w:rPr>
        <w:t xml:space="preserve"> and </w:t>
      </w:r>
      <w:r>
        <w:rPr>
          <w:kern w:val="0"/>
        </w:rPr>
        <w:t>the variability in degree</w:t>
      </w:r>
      <w:r w:rsidR="00427468">
        <w:rPr>
          <w:kern w:val="0"/>
        </w:rPr>
        <w:t xml:space="preserve"> of </w:t>
      </w:r>
      <w:r>
        <w:rPr>
          <w:kern w:val="0"/>
        </w:rPr>
        <w:t>signal to noise effect, the consistency</w:t>
      </w:r>
      <w:r w:rsidR="00427468">
        <w:rPr>
          <w:kern w:val="0"/>
        </w:rPr>
        <w:t xml:space="preserve"> of </w:t>
      </w:r>
      <w:r>
        <w:rPr>
          <w:kern w:val="0"/>
        </w:rPr>
        <w:t>reported reductions in speed</w:t>
      </w:r>
      <w:r w:rsidR="005853A9">
        <w:rPr>
          <w:kern w:val="0"/>
        </w:rPr>
        <w:t xml:space="preserve"> and </w:t>
      </w:r>
      <w:r>
        <w:rPr>
          <w:kern w:val="0"/>
        </w:rPr>
        <w:t>crash outcomes across all studies show that speed cameras are a worthwhile intervention for reducing the number</w:t>
      </w:r>
      <w:r w:rsidR="00427468">
        <w:rPr>
          <w:kern w:val="0"/>
        </w:rPr>
        <w:t xml:space="preserve"> of </w:t>
      </w:r>
      <w:r>
        <w:rPr>
          <w:kern w:val="0"/>
        </w:rPr>
        <w:t>road traffic injuries</w:t>
      </w:r>
      <w:r w:rsidR="005853A9">
        <w:rPr>
          <w:kern w:val="0"/>
        </w:rPr>
        <w:t xml:space="preserve"> and </w:t>
      </w:r>
      <w:r>
        <w:rPr>
          <w:kern w:val="0"/>
        </w:rPr>
        <w:t>deaths. However, whilst the the evidence base clearly demonstrates a positive direction in the effect, an overall magnitude</w:t>
      </w:r>
      <w:r w:rsidR="00427468">
        <w:rPr>
          <w:kern w:val="0"/>
        </w:rPr>
        <w:t xml:space="preserve"> of </w:t>
      </w:r>
      <w:r>
        <w:rPr>
          <w:kern w:val="0"/>
        </w:rPr>
        <w:t>this effect is currently not deducible due to heterogeneity</w:t>
      </w:r>
      <w:r w:rsidR="005853A9">
        <w:rPr>
          <w:kern w:val="0"/>
        </w:rPr>
        <w:t xml:space="preserve"> and </w:t>
      </w:r>
      <w:r>
        <w:rPr>
          <w:kern w:val="0"/>
        </w:rPr>
        <w:t>lack</w:t>
      </w:r>
      <w:r w:rsidR="00427468">
        <w:rPr>
          <w:kern w:val="0"/>
        </w:rPr>
        <w:t xml:space="preserve"> of </w:t>
      </w:r>
      <w:r>
        <w:rPr>
          <w:kern w:val="0"/>
        </w:rPr>
        <w:t>methodological rigour. More studies</w:t>
      </w:r>
      <w:r w:rsidR="00427468">
        <w:rPr>
          <w:kern w:val="0"/>
        </w:rPr>
        <w:t xml:space="preserve"> of </w:t>
      </w:r>
      <w:r>
        <w:rPr>
          <w:kern w:val="0"/>
        </w:rPr>
        <w:t>a scientifically rigorous</w:t>
      </w:r>
      <w:r w:rsidR="005853A9">
        <w:rPr>
          <w:kern w:val="0"/>
        </w:rPr>
        <w:t xml:space="preserve"> and </w:t>
      </w:r>
      <w:r>
        <w:rPr>
          <w:kern w:val="0"/>
        </w:rPr>
        <w:t>homogenous nature are necessary, to provide the answer to the magnitude</w:t>
      </w:r>
      <w:r w:rsidR="00427468">
        <w:rPr>
          <w:kern w:val="0"/>
        </w:rPr>
        <w:t xml:space="preserve"> of </w:t>
      </w:r>
      <w:r>
        <w:rPr>
          <w:kern w:val="0"/>
        </w:rPr>
        <w:t>effect.</w:t>
      </w:r>
    </w:p>
    <w:p w:rsidR="00365DE4" w:rsidRDefault="00365DE4" w:rsidP="00365DE4">
      <w:pPr>
        <w:pStyle w:val="a3"/>
        <w:rPr>
          <w:kern w:val="0"/>
        </w:rPr>
      </w:pPr>
      <w:r>
        <w:rPr>
          <w:kern w:val="0"/>
        </w:rPr>
        <w:t xml:space="preserve">Keywords: Accident Prevention [Instrumentation, Accidents, Accidents,Traffic [Prevention &amp; Control, Analysis, Authors, British-Columbia, Casualties, Citation, Conference, Controlled Clinical Trials As Topic, Crashes, Data, Database, Databases, Embase, Enforcement Cameras, Hidden, Humans, Impact, Management Measures, </w:t>
      </w:r>
      <w:r w:rsidR="00D5664A">
        <w:rPr>
          <w:kern w:val="0"/>
        </w:rPr>
        <w:t>MEDLINE</w:t>
      </w:r>
      <w:r>
        <w:rPr>
          <w:kern w:val="0"/>
        </w:rPr>
        <w:t xml:space="preserve">, Meta-Analysis, Methodological Quality, Methods], Photography [Instrumentation], Program, Public Health, Radar, Radar [Instrumentation], Reduction, Research, Safety, Science, Science Citation Index, Statistics &amp; Numerical </w:t>
      </w:r>
      <w:r>
        <w:rPr>
          <w:kern w:val="0"/>
        </w:rPr>
        <w:lastRenderedPageBreak/>
        <w:t xml:space="preserve">Data], Transport,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xml:space="preserve">? </w:t>
      </w:r>
      <w:r w:rsidR="009E1CAC">
        <w:rPr>
          <w:kern w:val="0"/>
        </w:rPr>
        <w:t>Gurusamy</w:t>
      </w:r>
      <w:r>
        <w:rPr>
          <w:kern w:val="0"/>
        </w:rPr>
        <w:t>, K.S., Tsochatzis, E., Davidson, B.R.</w:t>
      </w:r>
      <w:r w:rsidR="005853A9">
        <w:rPr>
          <w:kern w:val="0"/>
        </w:rPr>
        <w:t xml:space="preserve"> and </w:t>
      </w:r>
      <w:r>
        <w:rPr>
          <w:kern w:val="0"/>
        </w:rPr>
        <w:t xml:space="preserve">Burroughs, A.K. (2010), Antiviral prophylactic intervention for chronic hepatitis C virus in patients undergoing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CD006573.</w:t>
      </w:r>
    </w:p>
    <w:p w:rsidR="00365DE4" w:rsidRDefault="00365DE4" w:rsidP="00365DE4">
      <w:pPr>
        <w:pStyle w:val="a3"/>
        <w:rPr>
          <w:kern w:val="2"/>
        </w:rPr>
      </w:pPr>
      <w:r>
        <w:t xml:space="preserve">Full Text: </w:t>
      </w:r>
      <w:hyperlink r:id="rId629" w:history="1">
        <w:r>
          <w:rPr>
            <w:rStyle w:val="a5"/>
          </w:rPr>
          <w:t>2010\Coc Dat Sys Rev2010, CD006573.pdf</w:t>
        </w:r>
      </w:hyperlink>
    </w:p>
    <w:p w:rsidR="00365DE4" w:rsidRDefault="00365DE4" w:rsidP="00365DE4">
      <w:pPr>
        <w:pStyle w:val="a3"/>
        <w:rPr>
          <w:kern w:val="0"/>
        </w:rPr>
      </w:pPr>
      <w:r>
        <w:rPr>
          <w:kern w:val="0"/>
        </w:rPr>
        <w:t>Abstract: Background It is not clear whether prophylactic antiviral therapy is indicated in patients undergoing liver transplantation for chronic decompensated hepatitis C virus (HCV) infection. Objectives To compare the benefits</w:t>
      </w:r>
      <w:r w:rsidR="005853A9">
        <w:rPr>
          <w:kern w:val="0"/>
        </w:rPr>
        <w:t xml:space="preserve"> and </w:t>
      </w:r>
      <w:r>
        <w:rPr>
          <w:kern w:val="0"/>
        </w:rPr>
        <w:t>harms</w:t>
      </w:r>
      <w:r w:rsidR="00427468">
        <w:rPr>
          <w:kern w:val="0"/>
        </w:rPr>
        <w:t xml:space="preserve"> of </w:t>
      </w:r>
      <w:r>
        <w:rPr>
          <w:kern w:val="0"/>
        </w:rPr>
        <w:t>different prophylactic anti-viral therapies for patients undergoing liver transplantation for chronic HCV infection.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August 2010. Selection criteria Only randomised clinical trials irrespective</w:t>
      </w:r>
      <w:r w:rsidR="00427468">
        <w:rPr>
          <w:kern w:val="0"/>
        </w:rPr>
        <w:t xml:space="preserve"> of </w:t>
      </w:r>
      <w:r>
        <w:rPr>
          <w:kern w:val="0"/>
        </w:rPr>
        <w:t>language, blinding, or publication status</w:t>
      </w:r>
      <w:r w:rsidR="005853A9">
        <w:rPr>
          <w:kern w:val="0"/>
        </w:rPr>
        <w:t xml:space="preserve"> and </w:t>
      </w:r>
      <w:r>
        <w:rPr>
          <w:kern w:val="0"/>
        </w:rPr>
        <w:t>comparing various prophylactic antiviral therapies (alone or in combination) in the prophylactic treatment</w:t>
      </w:r>
      <w:r w:rsidR="00427468">
        <w:rPr>
          <w:kern w:val="0"/>
        </w:rPr>
        <w:t xml:space="preserve"> of </w:t>
      </w:r>
      <w:r>
        <w:rPr>
          <w:kern w:val="0"/>
        </w:rPr>
        <w:t>patients undergoing liver transplantation for chronic HCV infection. Data collection</w:t>
      </w:r>
      <w:r w:rsidR="005853A9">
        <w:rPr>
          <w:kern w:val="0"/>
        </w:rPr>
        <w:t xml:space="preserve"> and </w:t>
      </w:r>
      <w:r>
        <w:rPr>
          <w:kern w:val="0"/>
        </w:rPr>
        <w:t>analysis Two authors collected the data independently. We calculated the risk ratio (RR) or mean difference (MD) or hazard ratio (HR) with 95% confidence intervals (CI) using the fixed-effect</w:t>
      </w:r>
      <w:r w:rsidR="005853A9">
        <w:rPr>
          <w:kern w:val="0"/>
        </w:rPr>
        <w:t xml:space="preserve"> and </w:t>
      </w:r>
      <w:r>
        <w:rPr>
          <w:kern w:val="0"/>
        </w:rPr>
        <w:t>the random-effects models based on available case analysis. Main results A total</w:t>
      </w:r>
      <w:r w:rsidR="00427468">
        <w:rPr>
          <w:kern w:val="0"/>
        </w:rPr>
        <w:t xml:space="preserve"> of </w:t>
      </w:r>
      <w:r>
        <w:rPr>
          <w:kern w:val="0"/>
        </w:rPr>
        <w:t>477 liver transplant recipients undergoing liver transplantation for chronic HCV infection were randomised in eleven trials to various interventions</w:t>
      </w:r>
      <w:r w:rsidR="005853A9">
        <w:rPr>
          <w:kern w:val="0"/>
        </w:rPr>
        <w:t xml:space="preserve"> and </w:t>
      </w:r>
      <w:r>
        <w:rPr>
          <w:kern w:val="0"/>
        </w:rPr>
        <w:t>controls</w:t>
      </w:r>
      <w:r w:rsidR="00A37C1D">
        <w:rPr>
          <w:kern w:val="0"/>
        </w:rPr>
        <w:t>. The</w:t>
      </w:r>
      <w:r>
        <w:rPr>
          <w:kern w:val="0"/>
        </w:rPr>
        <w:t xml:space="preserve"> proportion</w:t>
      </w:r>
      <w:r w:rsidR="00427468">
        <w:rPr>
          <w:kern w:val="0"/>
        </w:rPr>
        <w:t xml:space="preserve"> of </w:t>
      </w:r>
      <w:r>
        <w:rPr>
          <w:kern w:val="0"/>
        </w:rPr>
        <w:t>genotype I varied between 49% to 88% in the five trials that reported the genotype. Only one or two trials were included under each comparison. All the trials were</w:t>
      </w:r>
      <w:r w:rsidR="00427468">
        <w:rPr>
          <w:kern w:val="0"/>
        </w:rPr>
        <w:t xml:space="preserve"> of </w:t>
      </w:r>
      <w:r>
        <w:rPr>
          <w:kern w:val="0"/>
        </w:rPr>
        <w:t>high risk</w:t>
      </w:r>
      <w:r w:rsidR="00427468">
        <w:rPr>
          <w:kern w:val="0"/>
        </w:rPr>
        <w:t xml:space="preserve"> of </w:t>
      </w:r>
      <w:r>
        <w:rPr>
          <w:kern w:val="0"/>
        </w:rPr>
        <w:t>bias</w:t>
      </w:r>
      <w:r w:rsidR="00A37C1D">
        <w:rPr>
          <w:kern w:val="0"/>
        </w:rPr>
        <w:t>. The</w:t>
      </w:r>
      <w:r>
        <w:rPr>
          <w:kern w:val="0"/>
        </w:rPr>
        <w:t>re was no significantdifferences in the patient survival, graft rejection, re-transplantation, or HCV recurrence between intervention</w:t>
      </w:r>
      <w:r w:rsidR="005853A9">
        <w:rPr>
          <w:kern w:val="0"/>
        </w:rPr>
        <w:t xml:space="preserve"> and </w:t>
      </w:r>
      <w:r>
        <w:rPr>
          <w:kern w:val="0"/>
        </w:rPr>
        <w:t>control groups in any</w:t>
      </w:r>
      <w:r w:rsidR="00427468">
        <w:rPr>
          <w:kern w:val="0"/>
        </w:rPr>
        <w:t xml:space="preserve"> of </w:t>
      </w:r>
      <w:r>
        <w:rPr>
          <w:kern w:val="0"/>
        </w:rPr>
        <w:t>the comparisons that reported these outcomes. None</w:t>
      </w:r>
      <w:r w:rsidR="00427468">
        <w:rPr>
          <w:kern w:val="0"/>
        </w:rPr>
        <w:t xml:space="preserve"> of </w:t>
      </w:r>
      <w:r>
        <w:rPr>
          <w:kern w:val="0"/>
        </w:rPr>
        <w:t>the trials reported liver decompensation, primary graft non-function, intensive therapy unit stay, hospital stay, or quality</w:t>
      </w:r>
      <w:r w:rsidR="00427468">
        <w:rPr>
          <w:kern w:val="0"/>
        </w:rPr>
        <w:t xml:space="preserve"> of </w:t>
      </w:r>
      <w:r>
        <w:rPr>
          <w:kern w:val="0"/>
        </w:rPr>
        <w:t>life. Life-threatening adverse events were not reported in either group in any</w:t>
      </w:r>
      <w:r w:rsidR="00427468">
        <w:rPr>
          <w:kern w:val="0"/>
        </w:rPr>
        <w:t xml:space="preserve"> of </w:t>
      </w:r>
      <w:r>
        <w:rPr>
          <w:kern w:val="0"/>
        </w:rPr>
        <w:t>the comparisons. Up to 91%</w:t>
      </w:r>
      <w:r w:rsidR="00427468">
        <w:rPr>
          <w:kern w:val="0"/>
        </w:rPr>
        <w:t xml:space="preserve"> of </w:t>
      </w:r>
      <w:r>
        <w:rPr>
          <w:kern w:val="0"/>
        </w:rPr>
        <w:t>patients required reduction in dose</w:t>
      </w:r>
      <w:r w:rsidR="005853A9">
        <w:rPr>
          <w:kern w:val="0"/>
        </w:rPr>
        <w:t xml:space="preserve"> and </w:t>
      </w:r>
      <w:r>
        <w:rPr>
          <w:kern w:val="0"/>
        </w:rPr>
        <w:t>up to 36%</w:t>
      </w:r>
      <w:r w:rsidR="00427468">
        <w:rPr>
          <w:kern w:val="0"/>
        </w:rPr>
        <w:t xml:space="preserve"> of </w:t>
      </w:r>
      <w:r>
        <w:rPr>
          <w:kern w:val="0"/>
        </w:rPr>
        <w:t>patients required cessation</w:t>
      </w:r>
      <w:r w:rsidR="00427468">
        <w:rPr>
          <w:kern w:val="0"/>
        </w:rPr>
        <w:t xml:space="preserve"> of </w:t>
      </w:r>
      <w:r>
        <w:rPr>
          <w:kern w:val="0"/>
        </w:rPr>
        <w:t>treatment in the various comparisons because</w:t>
      </w:r>
      <w:r w:rsidR="00427468">
        <w:rPr>
          <w:kern w:val="0"/>
        </w:rPr>
        <w:t xml:space="preserve"> of </w:t>
      </w:r>
      <w:r>
        <w:rPr>
          <w:kern w:val="0"/>
        </w:rPr>
        <w:t>adverse events or because</w:t>
      </w:r>
      <w:r w:rsidR="00427468">
        <w:rPr>
          <w:kern w:val="0"/>
        </w:rPr>
        <w:t xml:space="preserve"> of </w:t>
      </w:r>
      <w:r>
        <w:rPr>
          <w:kern w:val="0"/>
        </w:rPr>
        <w:t>patient</w:t>
      </w:r>
      <w:r w:rsidR="0071223E">
        <w:rPr>
          <w:kern w:val="0"/>
        </w:rPr>
        <w:t>’</w:t>
      </w:r>
      <w:r>
        <w:rPr>
          <w:kern w:val="0"/>
        </w:rPr>
        <w:t>s choice to stop treatment. Authors</w:t>
      </w:r>
      <w:r w:rsidR="0071223E">
        <w:rPr>
          <w:kern w:val="0"/>
        </w:rPr>
        <w:t>’</w:t>
      </w:r>
      <w:r>
        <w:rPr>
          <w:kern w:val="0"/>
        </w:rPr>
        <w:t xml:space="preserve"> conclusions There is currently no evidence to recommend prophylactic antiviral treatment to prevent recurrence</w:t>
      </w:r>
      <w:r w:rsidR="00427468">
        <w:rPr>
          <w:kern w:val="0"/>
        </w:rPr>
        <w:t xml:space="preserve"> of </w:t>
      </w:r>
      <w:r>
        <w:rPr>
          <w:kern w:val="0"/>
        </w:rPr>
        <w:t>HCV infection either in primary liver transplantation or re-transplantation. Further randomised clinical trials with adequate trial methodology</w:t>
      </w:r>
      <w:r w:rsidR="005853A9">
        <w:rPr>
          <w:kern w:val="0"/>
        </w:rPr>
        <w:t xml:space="preserve"> and </w:t>
      </w:r>
      <w:r>
        <w:rPr>
          <w:kern w:val="0"/>
        </w:rPr>
        <w:t>adequate duration</w:t>
      </w:r>
      <w:r w:rsidR="00427468">
        <w:rPr>
          <w:kern w:val="0"/>
        </w:rPr>
        <w:t xml:space="preserve"> of </w:t>
      </w:r>
      <w:r>
        <w:rPr>
          <w:kern w:val="0"/>
        </w:rPr>
        <w:t>follow-up are necessary.</w:t>
      </w:r>
    </w:p>
    <w:p w:rsidR="00365DE4" w:rsidRDefault="00365DE4" w:rsidP="00365DE4">
      <w:pPr>
        <w:pStyle w:val="a3"/>
        <w:rPr>
          <w:kern w:val="0"/>
        </w:rPr>
      </w:pPr>
      <w:r>
        <w:rPr>
          <w:kern w:val="0"/>
        </w:rPr>
        <w:t xml:space="preserve">Keywords: Analysis, Authors, Chronic Hepatitis C, Citation, Clinical-Trials, Comparison, Confidence Intervals, Control, Control Groups, Data, Duration, Embase, </w:t>
      </w:r>
      <w:r>
        <w:rPr>
          <w:kern w:val="0"/>
        </w:rPr>
        <w:lastRenderedPageBreak/>
        <w:t xml:space="preserve">Empirical-Evidence, Genotype, Infected Patients, Interferon-Alpha, Language, Liver, </w:t>
      </w:r>
      <w:r w:rsidR="00D5664A">
        <w:rPr>
          <w:kern w:val="0"/>
        </w:rPr>
        <w:t>MEDLINE</w:t>
      </w:r>
      <w:r>
        <w:rPr>
          <w:kern w:val="0"/>
        </w:rPr>
        <w:t>, Models, Multicenter Trial, Patient, Peginterferon Alpha-2A, Ribavirin, Plus Ribavirin, Prospective Randomized-Trial, Publication, Quality</w:t>
      </w:r>
      <w:r w:rsidR="00427468">
        <w:rPr>
          <w:kern w:val="0"/>
        </w:rPr>
        <w:t xml:space="preserve"> of </w:t>
      </w:r>
      <w:r>
        <w:rPr>
          <w:kern w:val="0"/>
        </w:rPr>
        <w:t>Life, Recurrence, Reduction, Ribavirin Combination, Science, Science Citation Index, Science Citation Index Expanded, Survival, Therapy, Treatment</w:t>
      </w:r>
    </w:p>
    <w:p w:rsidR="00365DE4" w:rsidRDefault="00365DE4" w:rsidP="00365DE4">
      <w:pPr>
        <w:pStyle w:val="a3"/>
        <w:rPr>
          <w:kern w:val="0"/>
        </w:rPr>
      </w:pPr>
      <w:r>
        <w:rPr>
          <w:kern w:val="0"/>
        </w:rPr>
        <w:t>? Hegarty, J., Beirne, P.V., Walsh, E., Comber, H., Fitzgerald, T.</w:t>
      </w:r>
      <w:r w:rsidR="005853A9">
        <w:rPr>
          <w:kern w:val="0"/>
        </w:rPr>
        <w:t xml:space="preserve"> and </w:t>
      </w:r>
      <w:r>
        <w:rPr>
          <w:kern w:val="0"/>
        </w:rPr>
        <w:t xml:space="preserve">Kazer, M.W. (2010), Radical prostatectomy versus watchful waiting for prostate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CD006590.</w:t>
      </w:r>
    </w:p>
    <w:p w:rsidR="00365DE4" w:rsidRDefault="00365DE4" w:rsidP="00365DE4">
      <w:pPr>
        <w:pStyle w:val="a3"/>
        <w:rPr>
          <w:kern w:val="2"/>
        </w:rPr>
      </w:pPr>
      <w:r>
        <w:t xml:space="preserve">Full Text: </w:t>
      </w:r>
      <w:hyperlink r:id="rId630" w:history="1">
        <w:r>
          <w:rPr>
            <w:rStyle w:val="a5"/>
          </w:rPr>
          <w:t>2010\Coc Dat Sys Rev2010, CD006590.pdf</w:t>
        </w:r>
      </w:hyperlink>
    </w:p>
    <w:p w:rsidR="00365DE4" w:rsidRDefault="00365DE4" w:rsidP="00365DE4">
      <w:pPr>
        <w:pStyle w:val="a3"/>
        <w:rPr>
          <w:kern w:val="0"/>
        </w:rPr>
      </w:pPr>
      <w:r>
        <w:rPr>
          <w:kern w:val="0"/>
        </w:rPr>
        <w:t>Abstract: Background The lack</w:t>
      </w:r>
      <w:r w:rsidR="00427468">
        <w:rPr>
          <w:kern w:val="0"/>
        </w:rPr>
        <w:t xml:space="preserve"> of </w:t>
      </w:r>
      <w:r>
        <w:rPr>
          <w:kern w:val="0"/>
        </w:rPr>
        <w:t>evidence regarding the effectiveness</w:t>
      </w:r>
      <w:r w:rsidR="00427468">
        <w:rPr>
          <w:kern w:val="0"/>
        </w:rPr>
        <w:t xml:space="preserve"> of </w:t>
      </w:r>
      <w:r>
        <w:rPr>
          <w:kern w:val="0"/>
        </w:rPr>
        <w:t>treatment options for clinically localised prostate cancer continues to impact on clinical decision-making. Two such options are radical prostatectomy (RP)</w:t>
      </w:r>
      <w:r w:rsidR="005853A9">
        <w:rPr>
          <w:kern w:val="0"/>
        </w:rPr>
        <w:t xml:space="preserve"> and </w:t>
      </w:r>
      <w:r>
        <w:rPr>
          <w:kern w:val="0"/>
        </w:rPr>
        <w:t>watchful waiting (WW). WW involves providing no initial treatment</w:t>
      </w:r>
      <w:r w:rsidR="005853A9">
        <w:rPr>
          <w:kern w:val="0"/>
        </w:rPr>
        <w:t xml:space="preserve"> and </w:t>
      </w:r>
      <w:r>
        <w:rPr>
          <w:kern w:val="0"/>
        </w:rPr>
        <w:t>monitoring the patient with the intention</w:t>
      </w:r>
      <w:r w:rsidR="00427468">
        <w:rPr>
          <w:kern w:val="0"/>
        </w:rPr>
        <w:t xml:space="preserve"> of </w:t>
      </w:r>
      <w:r>
        <w:rPr>
          <w:kern w:val="0"/>
        </w:rPr>
        <w:t>providing palliative treatment if there is evidence</w:t>
      </w:r>
      <w:r w:rsidR="00427468">
        <w:rPr>
          <w:kern w:val="0"/>
        </w:rPr>
        <w:t xml:space="preserve"> of </w:t>
      </w:r>
      <w:r>
        <w:rPr>
          <w:kern w:val="0"/>
        </w:rPr>
        <w:t>disease progression. Objectives To compare the beneficial</w:t>
      </w:r>
      <w:r w:rsidR="005853A9">
        <w:rPr>
          <w:kern w:val="0"/>
        </w:rPr>
        <w:t xml:space="preserve"> and </w:t>
      </w:r>
      <w:r>
        <w:rPr>
          <w:kern w:val="0"/>
        </w:rPr>
        <w:t>harmful effects</w:t>
      </w:r>
      <w:r w:rsidR="00427468">
        <w:rPr>
          <w:kern w:val="0"/>
        </w:rPr>
        <w:t xml:space="preserve"> of </w:t>
      </w:r>
      <w:r>
        <w:rPr>
          <w:kern w:val="0"/>
        </w:rPr>
        <w:t>RP versus WW for the treatment</w:t>
      </w:r>
      <w:r w:rsidR="00427468">
        <w:rPr>
          <w:kern w:val="0"/>
        </w:rPr>
        <w:t xml:space="preserve"> of </w:t>
      </w:r>
      <w:r>
        <w:rPr>
          <w:kern w:val="0"/>
        </w:rPr>
        <w:t xml:space="preserve">localised prostate cancer. Search strategy </w:t>
      </w:r>
      <w:r w:rsidR="00D5664A">
        <w:rPr>
          <w:kern w:val="0"/>
        </w:rPr>
        <w:t>MEDLINE</w:t>
      </w:r>
      <w:r>
        <w:rPr>
          <w:kern w:val="0"/>
        </w:rPr>
        <w:t>, EMBASE, The Cochrane Library, ISI Science Citation Index, DARE</w:t>
      </w:r>
      <w:r w:rsidR="005853A9">
        <w:rPr>
          <w:kern w:val="0"/>
        </w:rPr>
        <w:t xml:space="preserve"> and </w:t>
      </w:r>
      <w:r>
        <w:rPr>
          <w:kern w:val="0"/>
        </w:rPr>
        <w:t>LILACS were searched through 30 July 2010. Selection criteria Randomised or quasi-randomised controlled trials comparing the effects</w:t>
      </w:r>
      <w:r w:rsidR="00427468">
        <w:rPr>
          <w:kern w:val="0"/>
        </w:rPr>
        <w:t xml:space="preserve"> of </w:t>
      </w:r>
      <w:r>
        <w:rPr>
          <w:kern w:val="0"/>
        </w:rPr>
        <w:t>RP versus WW for clinically localised prostate cancer. Data collection</w:t>
      </w:r>
      <w:r w:rsidR="005853A9">
        <w:rPr>
          <w:kern w:val="0"/>
        </w:rPr>
        <w:t xml:space="preserve"> and </w:t>
      </w:r>
      <w:r>
        <w:rPr>
          <w:kern w:val="0"/>
        </w:rPr>
        <w:t>analysis Data extraction</w:t>
      </w:r>
      <w:r w:rsidR="005853A9">
        <w:rPr>
          <w:kern w:val="0"/>
        </w:rPr>
        <w:t xml:space="preserve"> and </w:t>
      </w:r>
      <w:r>
        <w:rPr>
          <w:kern w:val="0"/>
        </w:rPr>
        <w:t>quality assessment were carried out independently by two authors. Main results Two trials met the inclusion criteria. Both trials commenced prior to the widespread availability</w:t>
      </w:r>
      <w:r w:rsidR="00427468">
        <w:rPr>
          <w:kern w:val="0"/>
        </w:rPr>
        <w:t xml:space="preserve"> of </w:t>
      </w:r>
      <w:r>
        <w:rPr>
          <w:kern w:val="0"/>
        </w:rPr>
        <w:t>prostate-specific antigen (PSA) screening; hence the results may not be applicable to men with PSA-detected disease. One trial (N = 142), conducted in the US, was judged to be</w:t>
      </w:r>
      <w:r w:rsidR="00427468">
        <w:rPr>
          <w:kern w:val="0"/>
        </w:rPr>
        <w:t xml:space="preserve"> of </w:t>
      </w:r>
      <w:r>
        <w:rPr>
          <w:kern w:val="0"/>
        </w:rPr>
        <w:t>poor quality. All cause (overall) mortality was not significantly different between RP</w:t>
      </w:r>
      <w:r w:rsidR="005853A9">
        <w:rPr>
          <w:kern w:val="0"/>
        </w:rPr>
        <w:t xml:space="preserve"> and </w:t>
      </w:r>
      <w:r>
        <w:rPr>
          <w:kern w:val="0"/>
        </w:rPr>
        <w:t>WW groups after fifteen years</w:t>
      </w:r>
      <w:r w:rsidR="00427468">
        <w:rPr>
          <w:kern w:val="0"/>
        </w:rPr>
        <w:t xml:space="preserve"> of </w:t>
      </w:r>
      <w:r>
        <w:rPr>
          <w:kern w:val="0"/>
        </w:rPr>
        <w:t>follow up (Hazard Ratio (HR) 0.9 (95% Confidence Interval (CI) 0.56 to 1.43)</w:t>
      </w:r>
      <w:r w:rsidR="00A37C1D">
        <w:rPr>
          <w:kern w:val="0"/>
        </w:rPr>
        <w:t>. The</w:t>
      </w:r>
      <w:r>
        <w:rPr>
          <w:kern w:val="0"/>
        </w:rPr>
        <w:t xml:space="preserve"> second trial (N = 695), conducted in Scandinavia, was judged to be</w:t>
      </w:r>
      <w:r w:rsidR="00427468">
        <w:rPr>
          <w:kern w:val="0"/>
        </w:rPr>
        <w:t xml:space="preserve"> of </w:t>
      </w:r>
      <w:r>
        <w:rPr>
          <w:kern w:val="0"/>
        </w:rPr>
        <w:t>good quality. After 12 years</w:t>
      </w:r>
      <w:r w:rsidR="00427468">
        <w:rPr>
          <w:kern w:val="0"/>
        </w:rPr>
        <w:t xml:space="preserve"> of </w:t>
      </w:r>
      <w:r>
        <w:rPr>
          <w:kern w:val="0"/>
        </w:rPr>
        <w:t>follow up, the trial results were compatible with a beneficial effect</w:t>
      </w:r>
      <w:r w:rsidR="00427468">
        <w:rPr>
          <w:kern w:val="0"/>
        </w:rPr>
        <w:t xml:space="preserve"> of </w:t>
      </w:r>
      <w:r>
        <w:rPr>
          <w:kern w:val="0"/>
        </w:rPr>
        <w:t>RP on the risks</w:t>
      </w:r>
      <w:r w:rsidR="00427468">
        <w:rPr>
          <w:kern w:val="0"/>
        </w:rPr>
        <w:t xml:space="preserve"> of </w:t>
      </w:r>
      <w:r>
        <w:rPr>
          <w:kern w:val="0"/>
        </w:rPr>
        <w:t>overall mortality, prostate cancer mortality</w:t>
      </w:r>
      <w:r w:rsidR="005853A9">
        <w:rPr>
          <w:kern w:val="0"/>
        </w:rPr>
        <w:t xml:space="preserve"> and </w:t>
      </w:r>
      <w:r>
        <w:rPr>
          <w:kern w:val="0"/>
        </w:rPr>
        <w:t>distant metastases compared with WW but the precise magnitude</w:t>
      </w:r>
      <w:r w:rsidR="00427468">
        <w:rPr>
          <w:kern w:val="0"/>
        </w:rPr>
        <w:t xml:space="preserve"> of </w:t>
      </w:r>
      <w:r>
        <w:rPr>
          <w:kern w:val="0"/>
        </w:rPr>
        <w:t>the effect is uncertain as indicated by the width</w:t>
      </w:r>
      <w:r w:rsidR="00427468">
        <w:rPr>
          <w:kern w:val="0"/>
        </w:rPr>
        <w:t xml:space="preserve"> of </w:t>
      </w:r>
      <w:r>
        <w:rPr>
          <w:kern w:val="0"/>
        </w:rPr>
        <w:t>the confidence intervals for all estimates (risk difference (RD) - 7.1% (95% CI - 14.7 to 0.5); RD -5.4% (95% CI -11.1 to 0.2); RD - 6.7% (95% CI -13.2 to -0.2), respectively). Compared to WW, RP increased the absolute risks</w:t>
      </w:r>
      <w:r w:rsidR="00427468">
        <w:rPr>
          <w:kern w:val="0"/>
        </w:rPr>
        <w:t xml:space="preserve"> of </w:t>
      </w:r>
      <w:r>
        <w:rPr>
          <w:kern w:val="0"/>
        </w:rPr>
        <w:t>erectile dysfunction (RD 35% (95% CI 25 to 45))</w:t>
      </w:r>
      <w:r w:rsidR="005853A9">
        <w:rPr>
          <w:kern w:val="0"/>
        </w:rPr>
        <w:t xml:space="preserve"> and </w:t>
      </w:r>
      <w:r>
        <w:rPr>
          <w:kern w:val="0"/>
        </w:rPr>
        <w:t>urinary leakage (RD 27% (95% CI 17 to 37))</w:t>
      </w:r>
      <w:r w:rsidR="00A37C1D">
        <w:rPr>
          <w:kern w:val="0"/>
        </w:rPr>
        <w:t>. The</w:t>
      </w:r>
      <w:r>
        <w:rPr>
          <w:kern w:val="0"/>
        </w:rPr>
        <w:t>se estimates must be interpreted cautiously as they are derived from data obtained from a self- administered questionnaire survey</w:t>
      </w:r>
      <w:r w:rsidR="00427468">
        <w:rPr>
          <w:kern w:val="0"/>
        </w:rPr>
        <w:t xml:space="preserve"> of </w:t>
      </w:r>
      <w:r>
        <w:rPr>
          <w:kern w:val="0"/>
        </w:rPr>
        <w:t>a sample</w:t>
      </w:r>
      <w:r w:rsidR="00427468">
        <w:rPr>
          <w:kern w:val="0"/>
        </w:rPr>
        <w:t xml:space="preserve"> of </w:t>
      </w:r>
      <w:r>
        <w:rPr>
          <w:kern w:val="0"/>
        </w:rPr>
        <w:t>the trial participants (N = 326), no baseline quality</w:t>
      </w:r>
      <w:r w:rsidR="00427468">
        <w:rPr>
          <w:kern w:val="0"/>
        </w:rPr>
        <w:t xml:space="preserve"> of </w:t>
      </w:r>
      <w:r>
        <w:rPr>
          <w:kern w:val="0"/>
        </w:rPr>
        <w:t>life data were obtained</w:t>
      </w:r>
      <w:r w:rsidR="005853A9">
        <w:rPr>
          <w:kern w:val="0"/>
        </w:rPr>
        <w:t xml:space="preserve"> and </w:t>
      </w:r>
      <w:r>
        <w:rPr>
          <w:kern w:val="0"/>
        </w:rPr>
        <w:t xml:space="preserve">nerve-sparing surgery was not routinely performed on trial participants undergoing </w:t>
      </w:r>
      <w:r>
        <w:rPr>
          <w:kern w:val="0"/>
        </w:rPr>
        <w:lastRenderedPageBreak/>
        <w:t>RP. Authors</w:t>
      </w:r>
      <w:r w:rsidR="0071223E">
        <w:rPr>
          <w:kern w:val="0"/>
        </w:rPr>
        <w:t>’</w:t>
      </w:r>
      <w:r>
        <w:rPr>
          <w:kern w:val="0"/>
        </w:rPr>
        <w:t xml:space="preserve"> conclusions The existing trials provide insufficient evidence to allow confident statements to be made about the relative beneficial</w:t>
      </w:r>
      <w:r w:rsidR="005853A9">
        <w:rPr>
          <w:kern w:val="0"/>
        </w:rPr>
        <w:t xml:space="preserve"> and </w:t>
      </w:r>
      <w:r>
        <w:rPr>
          <w:kern w:val="0"/>
        </w:rPr>
        <w:t>harmful effects</w:t>
      </w:r>
      <w:r w:rsidR="00427468">
        <w:rPr>
          <w:kern w:val="0"/>
        </w:rPr>
        <w:t xml:space="preserve"> of </w:t>
      </w:r>
      <w:r>
        <w:rPr>
          <w:kern w:val="0"/>
        </w:rPr>
        <w:t>RP</w:t>
      </w:r>
      <w:r w:rsidR="005853A9">
        <w:rPr>
          <w:kern w:val="0"/>
        </w:rPr>
        <w:t xml:space="preserve"> and </w:t>
      </w:r>
      <w:r>
        <w:rPr>
          <w:kern w:val="0"/>
        </w:rPr>
        <w:t>WW for patients with localised prostate cancer</w:t>
      </w:r>
      <w:r w:rsidR="00A37C1D">
        <w:rPr>
          <w:kern w:val="0"/>
        </w:rPr>
        <w:t>. The</w:t>
      </w:r>
      <w:r>
        <w:rPr>
          <w:kern w:val="0"/>
        </w:rPr>
        <w:t xml:space="preserve"> results</w:t>
      </w:r>
      <w:r w:rsidR="00427468">
        <w:rPr>
          <w:kern w:val="0"/>
        </w:rPr>
        <w:t xml:space="preserve"> of </w:t>
      </w:r>
      <w:r>
        <w:rPr>
          <w:kern w:val="0"/>
        </w:rPr>
        <w:t>ongoing trials should help to inform treatment decisions for men with screen- detected localised prostate cancer.</w:t>
      </w:r>
    </w:p>
    <w:p w:rsidR="00365DE4" w:rsidRDefault="00365DE4" w:rsidP="00365DE4">
      <w:pPr>
        <w:pStyle w:val="a3"/>
        <w:rPr>
          <w:kern w:val="0"/>
        </w:rPr>
      </w:pPr>
      <w:r>
        <w:rPr>
          <w:kern w:val="0"/>
        </w:rPr>
        <w:t>Keywords: Active Surveillance, Analysis, Authors, Bicalutamide 150 Mg, Cancer, Citation, Confidence Intervals, Data, Decision Making, Embase, Expectant Management, Extraction, Hazard, Impact</w:t>
      </w:r>
      <w:r w:rsidR="00D5664A">
        <w:rPr>
          <w:kern w:val="0"/>
        </w:rPr>
        <w:t>, ISI,</w:t>
      </w:r>
      <w:r>
        <w:rPr>
          <w:kern w:val="0"/>
        </w:rPr>
        <w:t xml:space="preserve"> Long-Term Survival, Median Follow-up, </w:t>
      </w:r>
      <w:r w:rsidR="00D5664A">
        <w:rPr>
          <w:kern w:val="0"/>
        </w:rPr>
        <w:t>MEDLINE</w:t>
      </w:r>
      <w:r>
        <w:rPr>
          <w:kern w:val="0"/>
        </w:rPr>
        <w:t>, Monitoring, Mortality, Patient, Population-Based Cohort, Quality</w:t>
      </w:r>
      <w:r w:rsidR="00427468">
        <w:rPr>
          <w:kern w:val="0"/>
        </w:rPr>
        <w:t xml:space="preserve"> of </w:t>
      </w:r>
      <w:r>
        <w:rPr>
          <w:kern w:val="0"/>
        </w:rPr>
        <w:t>Life, Quality-of-Life, Radiation-Therapy, Randomized Controlled-Trial, Science, Science Citation Index, Screening, Selective Delayed Intervention, Survey, Treatment, US</w:t>
      </w:r>
    </w:p>
    <w:p w:rsidR="00365DE4" w:rsidRDefault="00365DE4" w:rsidP="00365DE4">
      <w:pPr>
        <w:pStyle w:val="a3"/>
        <w:rPr>
          <w:kern w:val="0"/>
        </w:rPr>
      </w:pPr>
      <w:r>
        <w:rPr>
          <w:kern w:val="0"/>
        </w:rPr>
        <w:t>? Bradt, J., Dileo, C.</w:t>
      </w:r>
      <w:r w:rsidR="005853A9">
        <w:rPr>
          <w:kern w:val="0"/>
        </w:rPr>
        <w:t xml:space="preserve"> and </w:t>
      </w:r>
      <w:r>
        <w:rPr>
          <w:kern w:val="0"/>
        </w:rPr>
        <w:t xml:space="preserve">Grocke, D. (2010), Music interventions for mechanically ventilated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CD006902.</w:t>
      </w:r>
    </w:p>
    <w:p w:rsidR="00365DE4" w:rsidRDefault="00365DE4" w:rsidP="00365DE4">
      <w:pPr>
        <w:pStyle w:val="a3"/>
        <w:rPr>
          <w:kern w:val="2"/>
        </w:rPr>
      </w:pPr>
      <w:r>
        <w:t xml:space="preserve">Full Text: </w:t>
      </w:r>
      <w:hyperlink r:id="rId631" w:history="1">
        <w:r>
          <w:rPr>
            <w:rStyle w:val="a5"/>
          </w:rPr>
          <w:t>2010\Coc Dat Sys Rev2010, CD006902.pdf</w:t>
        </w:r>
      </w:hyperlink>
    </w:p>
    <w:p w:rsidR="00365DE4" w:rsidRDefault="00365DE4" w:rsidP="00365DE4">
      <w:pPr>
        <w:pStyle w:val="a3"/>
        <w:rPr>
          <w:kern w:val="0"/>
        </w:rPr>
      </w:pPr>
      <w:r>
        <w:rPr>
          <w:kern w:val="0"/>
        </w:rPr>
        <w:t>Abstract: Background Mechanical ventilation often causes major distress</w:t>
      </w:r>
      <w:r w:rsidR="005853A9">
        <w:rPr>
          <w:kern w:val="0"/>
        </w:rPr>
        <w:t xml:space="preserve"> and </w:t>
      </w:r>
      <w:r>
        <w:rPr>
          <w:kern w:val="0"/>
        </w:rPr>
        <w:t>anxiety in patients. Music interventions have been used to reduce anxiety</w:t>
      </w:r>
      <w:r w:rsidR="005853A9">
        <w:rPr>
          <w:kern w:val="0"/>
        </w:rPr>
        <w:t xml:space="preserve"> and </w:t>
      </w:r>
      <w:r>
        <w:rPr>
          <w:kern w:val="0"/>
        </w:rPr>
        <w:t>distress</w:t>
      </w:r>
      <w:r w:rsidR="005853A9">
        <w:rPr>
          <w:kern w:val="0"/>
        </w:rPr>
        <w:t xml:space="preserve"> and </w:t>
      </w:r>
      <w:r>
        <w:rPr>
          <w:kern w:val="0"/>
        </w:rPr>
        <w:t>improve physiological functioning in medical patients; however its efficacy for mechanically ventilated patients needs to be evaluated. Objectives To examine the effects</w:t>
      </w:r>
      <w:r w:rsidR="00427468">
        <w:rPr>
          <w:kern w:val="0"/>
        </w:rPr>
        <w:t xml:space="preserve"> of </w:t>
      </w:r>
      <w:r>
        <w:rPr>
          <w:kern w:val="0"/>
        </w:rPr>
        <w:t>music interventions with standard care versus standard care alone on anxiety</w:t>
      </w:r>
      <w:r w:rsidR="005853A9">
        <w:rPr>
          <w:kern w:val="0"/>
        </w:rPr>
        <w:t xml:space="preserve"> and </w:t>
      </w:r>
      <w:r>
        <w:rPr>
          <w:kern w:val="0"/>
        </w:rPr>
        <w:t>physiological responses in mechanically ventilated patients. Search strategy We searched the Cochrane Central Register</w:t>
      </w:r>
      <w:r w:rsidR="00427468">
        <w:rPr>
          <w:kern w:val="0"/>
        </w:rPr>
        <w:t xml:space="preserve"> of </w:t>
      </w:r>
      <w:r>
        <w:rPr>
          <w:kern w:val="0"/>
        </w:rPr>
        <w:t xml:space="preserve">Controlled Trials (CENTRAL) (The Cochrane Library 2010, Issue 1), </w:t>
      </w:r>
      <w:r w:rsidR="00D5664A">
        <w:rPr>
          <w:kern w:val="0"/>
        </w:rPr>
        <w:t>MEDLINE</w:t>
      </w:r>
      <w:r>
        <w:rPr>
          <w:kern w:val="0"/>
        </w:rPr>
        <w:t>, CINAHL, AMED, EMBASE, PsycINFO, LILACS, Science Citation Index, www.musictherapyworld. net, CAIRSS for Music, Proquest Digital Dissertations, ClinicalTrials.gov, Current Controlled Trials, the National Research Register,</w:t>
      </w:r>
      <w:r w:rsidR="005853A9">
        <w:rPr>
          <w:kern w:val="0"/>
        </w:rPr>
        <w:t xml:space="preserve"> and </w:t>
      </w:r>
      <w:r>
        <w:rPr>
          <w:kern w:val="0"/>
        </w:rPr>
        <w:t>NIH CRISP (all to January 2010). We handsearched music therapy journals</w:t>
      </w:r>
      <w:r w:rsidR="005853A9">
        <w:rPr>
          <w:kern w:val="0"/>
        </w:rPr>
        <w:t xml:space="preserve"> and </w:t>
      </w:r>
      <w:r>
        <w:rPr>
          <w:kern w:val="0"/>
        </w:rPr>
        <w:t>reference lists</w:t>
      </w:r>
      <w:r w:rsidR="005853A9">
        <w:rPr>
          <w:kern w:val="0"/>
        </w:rPr>
        <w:t xml:space="preserve"> and </w:t>
      </w:r>
      <w:r>
        <w:rPr>
          <w:kern w:val="0"/>
        </w:rPr>
        <w:t>contacted relevant experts to identify unpublished manuscripts</w:t>
      </w:r>
      <w:r w:rsidR="00A37C1D">
        <w:rPr>
          <w:kern w:val="0"/>
        </w:rPr>
        <w:t>. The</w:t>
      </w:r>
      <w:r>
        <w:rPr>
          <w:kern w:val="0"/>
        </w:rPr>
        <w:t>re was no language restriction. Selection criteria We included all randomized</w:t>
      </w:r>
      <w:r w:rsidR="005853A9">
        <w:rPr>
          <w:kern w:val="0"/>
        </w:rPr>
        <w:t xml:space="preserve"> and </w:t>
      </w:r>
      <w:r>
        <w:rPr>
          <w:kern w:val="0"/>
        </w:rPr>
        <w:t>quasi-randomized controlled trials that compared music interventions</w:t>
      </w:r>
      <w:r w:rsidR="005853A9">
        <w:rPr>
          <w:kern w:val="0"/>
        </w:rPr>
        <w:t xml:space="preserve"> and </w:t>
      </w:r>
      <w:r>
        <w:rPr>
          <w:kern w:val="0"/>
        </w:rPr>
        <w:t>standard care with standard care alone for mechanically ventilated patients. Data collection</w:t>
      </w:r>
      <w:r w:rsidR="005853A9">
        <w:rPr>
          <w:kern w:val="0"/>
        </w:rPr>
        <w:t xml:space="preserve"> and </w:t>
      </w:r>
      <w:r>
        <w:rPr>
          <w:kern w:val="0"/>
        </w:rPr>
        <w:t>analysis Two authors independently extracted the data</w:t>
      </w:r>
      <w:r w:rsidR="005853A9">
        <w:rPr>
          <w:kern w:val="0"/>
        </w:rPr>
        <w:t xml:space="preserve"> and </w:t>
      </w:r>
      <w:r>
        <w:rPr>
          <w:kern w:val="0"/>
        </w:rPr>
        <w:t>assessed the methodological quality. Additional information was sought from the trial researchers, when necessary. Results were presented using mean differences for outcomes measured by the same scale</w:t>
      </w:r>
      <w:r w:rsidR="005853A9">
        <w:rPr>
          <w:kern w:val="0"/>
        </w:rPr>
        <w:t xml:space="preserve"> and </w:t>
      </w:r>
      <w:r>
        <w:rPr>
          <w:kern w:val="0"/>
        </w:rPr>
        <w:t>standardized mean differences for outcomes measured by different scales. Post-test scores were used. In cases</w:t>
      </w:r>
      <w:r w:rsidR="00427468">
        <w:rPr>
          <w:kern w:val="0"/>
        </w:rPr>
        <w:t xml:space="preserve"> of </w:t>
      </w:r>
      <w:r>
        <w:rPr>
          <w:kern w:val="0"/>
        </w:rPr>
        <w:t>significant baseline difference, we used change scores. Main results We included eight trials (213 participants). Music listening was the main intervention used,</w:t>
      </w:r>
      <w:r w:rsidR="005853A9">
        <w:rPr>
          <w:kern w:val="0"/>
        </w:rPr>
        <w:t xml:space="preserve"> and </w:t>
      </w:r>
      <w:r>
        <w:rPr>
          <w:kern w:val="0"/>
        </w:rPr>
        <w:t>seven</w:t>
      </w:r>
      <w:r w:rsidR="00427468">
        <w:rPr>
          <w:kern w:val="0"/>
        </w:rPr>
        <w:t xml:space="preserve"> of </w:t>
      </w:r>
      <w:r>
        <w:rPr>
          <w:kern w:val="0"/>
        </w:rPr>
        <w:t xml:space="preserve">the studies did not include a </w:t>
      </w:r>
      <w:r>
        <w:rPr>
          <w:kern w:val="0"/>
        </w:rPr>
        <w:lastRenderedPageBreak/>
        <w:t>trained music therapist. Results indicated that music listening may be beneficial for anxiety reduction in mechanically ventilated patients; however, these results need to be interpreted with caution due to the small sample size. Findings indicated that listening to music consistently reduced heart rate</w:t>
      </w:r>
      <w:r w:rsidR="005853A9">
        <w:rPr>
          <w:kern w:val="0"/>
        </w:rPr>
        <w:t xml:space="preserve"> and </w:t>
      </w:r>
      <w:r>
        <w:rPr>
          <w:kern w:val="0"/>
        </w:rPr>
        <w:t>respiratory rate, suggesting a relaxation response. No strong evidence was found for blood pressure reduction. Music listening did not improve oxygen saturation level. No studies could be found that examined the effects</w:t>
      </w:r>
      <w:r w:rsidR="00427468">
        <w:rPr>
          <w:kern w:val="0"/>
        </w:rPr>
        <w:t xml:space="preserve"> of </w:t>
      </w:r>
      <w:r>
        <w:rPr>
          <w:kern w:val="0"/>
        </w:rPr>
        <w:t>music interventions on quality</w:t>
      </w:r>
      <w:r w:rsidR="00427468">
        <w:rPr>
          <w:kern w:val="0"/>
        </w:rPr>
        <w:t xml:space="preserve"> of </w:t>
      </w:r>
      <w:r>
        <w:rPr>
          <w:kern w:val="0"/>
        </w:rPr>
        <w:t>life, patient satisfaction, post-discharge outcomes, mortality, or cost-effectiveness. Authors</w:t>
      </w:r>
      <w:r w:rsidR="0071223E">
        <w:rPr>
          <w:kern w:val="0"/>
        </w:rPr>
        <w:t>’</w:t>
      </w:r>
      <w:r>
        <w:rPr>
          <w:kern w:val="0"/>
        </w:rPr>
        <w:t xml:space="preserve"> conclusions Music listening may have a beneficial effect on heart rate, respiratory rate,</w:t>
      </w:r>
      <w:r w:rsidR="005853A9">
        <w:rPr>
          <w:kern w:val="0"/>
        </w:rPr>
        <w:t xml:space="preserve"> and </w:t>
      </w:r>
      <w:r>
        <w:rPr>
          <w:kern w:val="0"/>
        </w:rPr>
        <w:t>anxiety in mechanically ventilated patients. However, the quality</w:t>
      </w:r>
      <w:r w:rsidR="00427468">
        <w:rPr>
          <w:kern w:val="0"/>
        </w:rPr>
        <w:t xml:space="preserve"> of </w:t>
      </w:r>
      <w:r>
        <w:rPr>
          <w:kern w:val="0"/>
        </w:rPr>
        <w:t>the evidence is not strong. Most studies examined the effects</w:t>
      </w:r>
      <w:r w:rsidR="00427468">
        <w:rPr>
          <w:kern w:val="0"/>
        </w:rPr>
        <w:t xml:space="preserve"> of </w:t>
      </w:r>
      <w:r>
        <w:rPr>
          <w:kern w:val="0"/>
        </w:rPr>
        <w:t>listening to pre-recorded music. More research is needed on the effects</w:t>
      </w:r>
      <w:r w:rsidR="00427468">
        <w:rPr>
          <w:kern w:val="0"/>
        </w:rPr>
        <w:t xml:space="preserve"> of </w:t>
      </w:r>
      <w:r>
        <w:rPr>
          <w:kern w:val="0"/>
        </w:rPr>
        <w:t>music offered by a trained music therapist.</w:t>
      </w:r>
    </w:p>
    <w:p w:rsidR="00365DE4" w:rsidRDefault="00365DE4" w:rsidP="00365DE4">
      <w:pPr>
        <w:pStyle w:val="a3"/>
        <w:rPr>
          <w:kern w:val="0"/>
        </w:rPr>
      </w:pPr>
      <w:r>
        <w:rPr>
          <w:kern w:val="0"/>
        </w:rPr>
        <w:t xml:space="preserve">Keywords: Analysis, Anxiety, Authors, Care-Unit, Citation, Data, Embase, Heart-Rate, Infarction, Journals, Language, Management, Medical, </w:t>
      </w:r>
      <w:r w:rsidR="00D5664A">
        <w:rPr>
          <w:kern w:val="0"/>
        </w:rPr>
        <w:t>MEDLINE</w:t>
      </w:r>
      <w:r>
        <w:rPr>
          <w:kern w:val="0"/>
        </w:rPr>
        <w:t>, Metaanalysis, Methodological Quality, Mortality, Patient, Pressure, Quality</w:t>
      </w:r>
      <w:r w:rsidR="00427468">
        <w:rPr>
          <w:kern w:val="0"/>
        </w:rPr>
        <w:t xml:space="preserve"> of </w:t>
      </w:r>
      <w:r>
        <w:rPr>
          <w:kern w:val="0"/>
        </w:rPr>
        <w:t>Life, Reduction, Research, Researchers, Respiratory, Sample Size, Science, Science Citation Index, Sedation, Stress, Therapy, Ventilation</w:t>
      </w:r>
    </w:p>
    <w:p w:rsidR="00365DE4" w:rsidRDefault="00365DE4" w:rsidP="00365DE4">
      <w:pPr>
        <w:pStyle w:val="a3"/>
        <w:rPr>
          <w:kern w:val="0"/>
        </w:rPr>
      </w:pPr>
      <w:r>
        <w:rPr>
          <w:kern w:val="0"/>
        </w:rPr>
        <w:t>? Poorolajal, J., Mahmoodi, M., Haghdoost, A., Majdzadeh, R., Nasseri-Moghaddam, S., Ghalichi, L.</w:t>
      </w:r>
      <w:r w:rsidR="005853A9">
        <w:rPr>
          <w:kern w:val="0"/>
        </w:rPr>
        <w:t xml:space="preserve"> and </w:t>
      </w:r>
      <w:r>
        <w:rPr>
          <w:kern w:val="0"/>
        </w:rPr>
        <w:t xml:space="preserve">Fotouhi, A. (2010), Booster dose vaccination for preventing hepatitis B.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CD008256.</w:t>
      </w:r>
    </w:p>
    <w:p w:rsidR="00365DE4" w:rsidRDefault="00365DE4" w:rsidP="00365DE4">
      <w:pPr>
        <w:pStyle w:val="a3"/>
        <w:rPr>
          <w:kern w:val="2"/>
        </w:rPr>
      </w:pPr>
      <w:r>
        <w:t xml:space="preserve">Full Text: </w:t>
      </w:r>
      <w:hyperlink r:id="rId632" w:history="1">
        <w:r>
          <w:rPr>
            <w:rStyle w:val="a5"/>
          </w:rPr>
          <w:t>2010\Coc Dat Sys Rev2010, CD008256.pdf</w:t>
        </w:r>
      </w:hyperlink>
    </w:p>
    <w:p w:rsidR="00365DE4" w:rsidRDefault="00365DE4" w:rsidP="00365DE4">
      <w:pPr>
        <w:pStyle w:val="a3"/>
        <w:rPr>
          <w:kern w:val="0"/>
        </w:rPr>
      </w:pPr>
      <w:r>
        <w:rPr>
          <w:kern w:val="0"/>
        </w:rPr>
        <w:t>Abstract: Background Antibodies against hepatitis B surface antigen (HBs) wane over time after vaccination for hepatitis B (HB); hence, the duration</w:t>
      </w:r>
      <w:r w:rsidR="00427468">
        <w:rPr>
          <w:kern w:val="0"/>
        </w:rPr>
        <w:t xml:space="preserve"> of </w:t>
      </w:r>
      <w:r>
        <w:rPr>
          <w:kern w:val="0"/>
        </w:rPr>
        <w:t>protection provided by the vaccine is still unknown but may be evaluated indirectly by measuring the anamnestic immune response to booster doses</w:t>
      </w:r>
      <w:r w:rsidR="00427468">
        <w:rPr>
          <w:kern w:val="0"/>
        </w:rPr>
        <w:t xml:space="preserve"> of </w:t>
      </w:r>
      <w:r>
        <w:rPr>
          <w:kern w:val="0"/>
        </w:rPr>
        <w:t>vaccine. Objectives To assess the benefits</w:t>
      </w:r>
      <w:r w:rsidR="005853A9">
        <w:rPr>
          <w:kern w:val="0"/>
        </w:rPr>
        <w:t xml:space="preserve"> and </w:t>
      </w:r>
      <w:r>
        <w:rPr>
          <w:kern w:val="0"/>
        </w:rPr>
        <w:t>harms</w:t>
      </w:r>
      <w:r w:rsidR="00427468">
        <w:rPr>
          <w:kern w:val="0"/>
        </w:rPr>
        <w:t xml:space="preserve"> of </w:t>
      </w:r>
      <w:r>
        <w:rPr>
          <w:kern w:val="0"/>
        </w:rPr>
        <w:t>booster dose hepatitis B vaccination for preventing HB infection. Search strategy We searched The cochrane Hepato-biliary Group Controlled Trials Register, the Cochrane Central Register</w:t>
      </w:r>
      <w:r w:rsidR="00427468">
        <w:rPr>
          <w:kern w:val="0"/>
        </w:rPr>
        <w:t xml:space="preserve"> of </w:t>
      </w:r>
      <w:r>
        <w:rPr>
          <w:kern w:val="0"/>
        </w:rPr>
        <w:t xml:space="preserve">Controlled Trials (CENTRAL) (Issue 4, 2010) in The Cochrane Library, </w:t>
      </w:r>
      <w:r w:rsidR="00D5664A">
        <w:rPr>
          <w:kern w:val="0"/>
        </w:rPr>
        <w:t>MEDLINE</w:t>
      </w:r>
      <w:r>
        <w:rPr>
          <w:kern w:val="0"/>
        </w:rPr>
        <w:t>, EMBASE, Science Citation Index Expanded, conference databases,</w:t>
      </w:r>
      <w:r w:rsidR="005853A9">
        <w:rPr>
          <w:kern w:val="0"/>
        </w:rPr>
        <w:t xml:space="preserve"> and </w:t>
      </w:r>
      <w:r>
        <w:rPr>
          <w:kern w:val="0"/>
        </w:rPr>
        <w:t>reference lists</w:t>
      </w:r>
      <w:r w:rsidR="00427468">
        <w:rPr>
          <w:kern w:val="0"/>
        </w:rPr>
        <w:t xml:space="preserve"> of </w:t>
      </w:r>
      <w:r>
        <w:rPr>
          <w:kern w:val="0"/>
        </w:rPr>
        <w:t>articles to May 2010. We also contacted authors</w:t>
      </w:r>
      <w:r w:rsidR="00427468">
        <w:rPr>
          <w:kern w:val="0"/>
        </w:rPr>
        <w:t xml:space="preserve"> of </w:t>
      </w:r>
      <w:r>
        <w:rPr>
          <w:kern w:val="0"/>
        </w:rPr>
        <w:t>articles</w:t>
      </w:r>
      <w:r w:rsidR="005853A9">
        <w:rPr>
          <w:kern w:val="0"/>
        </w:rPr>
        <w:t xml:space="preserve"> and </w:t>
      </w:r>
      <w:r>
        <w:rPr>
          <w:kern w:val="0"/>
        </w:rPr>
        <w:t>manufacturers. Selection criteria Randomised clinical trials addressing anamnestic immune response to booster</w:t>
      </w:r>
      <w:r w:rsidR="00427468">
        <w:rPr>
          <w:kern w:val="0"/>
        </w:rPr>
        <w:t xml:space="preserve"> of </w:t>
      </w:r>
      <w:r>
        <w:rPr>
          <w:kern w:val="0"/>
        </w:rPr>
        <w:t>HB vaccine five years or more after primary vaccination in apparently healthy participants, vaccinated in a 3-dose or 4-dose schedules</w:t>
      </w:r>
      <w:r w:rsidR="00427468">
        <w:rPr>
          <w:kern w:val="0"/>
        </w:rPr>
        <w:t xml:space="preserve"> of </w:t>
      </w:r>
      <w:r>
        <w:rPr>
          <w:kern w:val="0"/>
        </w:rPr>
        <w:t>HB vaccine without receiving additional dose or immunoglobulin. Data collection</w:t>
      </w:r>
      <w:r w:rsidR="005853A9">
        <w:rPr>
          <w:kern w:val="0"/>
        </w:rPr>
        <w:t xml:space="preserve"> and </w:t>
      </w:r>
      <w:r>
        <w:rPr>
          <w:kern w:val="0"/>
        </w:rPr>
        <w:t>analysis Two authors made the decisions if the identified publications on studies met the inclusion criteria or not. Primary outcome measures included the proportion with anamnestic immune response in non-protected participants</w:t>
      </w:r>
      <w:r w:rsidR="005853A9">
        <w:rPr>
          <w:kern w:val="0"/>
        </w:rPr>
        <w:t xml:space="preserve"> and </w:t>
      </w:r>
      <w:r>
        <w:rPr>
          <w:kern w:val="0"/>
        </w:rPr>
        <w:t>signs</w:t>
      </w:r>
      <w:r w:rsidR="00427468">
        <w:rPr>
          <w:kern w:val="0"/>
        </w:rPr>
        <w:t xml:space="preserve"> of </w:t>
      </w:r>
      <w:r>
        <w:rPr>
          <w:kern w:val="0"/>
        </w:rPr>
        <w:t xml:space="preserve">hepatitis B </w:t>
      </w:r>
      <w:r>
        <w:rPr>
          <w:kern w:val="0"/>
        </w:rPr>
        <w:lastRenderedPageBreak/>
        <w:t>virus infection. Secondary outcomes were the proportion with local</w:t>
      </w:r>
      <w:r w:rsidR="005853A9">
        <w:rPr>
          <w:kern w:val="0"/>
        </w:rPr>
        <w:t xml:space="preserve"> and </w:t>
      </w:r>
      <w:r>
        <w:rPr>
          <w:kern w:val="0"/>
        </w:rPr>
        <w:t>systemic adverse event events developed following booster dose injection. Weighted proportion were planned to be reported with 95% confidence intervals. Main results There were no eligible randomised clinical trials fulfilling the inclusion criteria</w:t>
      </w:r>
      <w:r w:rsidR="00427468">
        <w:rPr>
          <w:kern w:val="0"/>
        </w:rPr>
        <w:t xml:space="preserve"> of </w:t>
      </w:r>
      <w:r>
        <w:rPr>
          <w:kern w:val="0"/>
        </w:rPr>
        <w:t>this review. Authors</w:t>
      </w:r>
      <w:r w:rsidR="0071223E">
        <w:rPr>
          <w:kern w:val="0"/>
        </w:rPr>
        <w:t>’</w:t>
      </w:r>
      <w:r>
        <w:rPr>
          <w:kern w:val="0"/>
        </w:rPr>
        <w:t xml:space="preserve"> conclusions We were unable to identify randomised clinical trials on the topic. We need randomised clinical trials to formulate future booster policies for preventing hepatitis B infection.</w:t>
      </w:r>
    </w:p>
    <w:p w:rsidR="00365DE4" w:rsidRDefault="00365DE4" w:rsidP="00365DE4">
      <w:pPr>
        <w:pStyle w:val="a3"/>
        <w:rPr>
          <w:kern w:val="0"/>
        </w:rPr>
      </w:pPr>
      <w:r>
        <w:rPr>
          <w:kern w:val="0"/>
        </w:rPr>
        <w:t xml:space="preserve">Keywords: 15-Year Follow-Up, Analysis, Anti-Hbs, Authors, Citation, Confidence Intervals, Databases, DNA Yeast Vaccine, Duration, Embase, Health-Care Workers, Immune-Response, Immunological Memory, Long-Term Immunogenicity, </w:t>
      </w:r>
      <w:r w:rsidR="00D5664A">
        <w:rPr>
          <w:kern w:val="0"/>
        </w:rPr>
        <w:t>MEDLINE</w:t>
      </w:r>
      <w:r>
        <w:rPr>
          <w:kern w:val="0"/>
        </w:rPr>
        <w:t>, Plasma-Derived Vaccine, Prospective Randomized-Trial, Publications, Review, Science, Science Citation Index, Science Citation Index Expanded, Yupik Eskimo Population</w:t>
      </w:r>
    </w:p>
    <w:p w:rsidR="00365DE4" w:rsidRDefault="00365DE4" w:rsidP="00365DE4">
      <w:pPr>
        <w:pStyle w:val="a3"/>
        <w:rPr>
          <w:kern w:val="0"/>
        </w:rPr>
      </w:pPr>
      <w:r>
        <w:rPr>
          <w:kern w:val="0"/>
        </w:rPr>
        <w:t>? White, A.R., Rampes, H., Liu, J.P., Stead, L.F.</w:t>
      </w:r>
      <w:r w:rsidR="005853A9">
        <w:rPr>
          <w:kern w:val="0"/>
        </w:rPr>
        <w:t xml:space="preserve"> and </w:t>
      </w:r>
      <w:r>
        <w:rPr>
          <w:kern w:val="0"/>
        </w:rPr>
        <w:t>Campbell, J. (2011), Acupuncture</w:t>
      </w:r>
      <w:r w:rsidR="005853A9">
        <w:rPr>
          <w:kern w:val="0"/>
        </w:rPr>
        <w:t xml:space="preserve"> and </w:t>
      </w:r>
      <w:r>
        <w:rPr>
          <w:kern w:val="0"/>
        </w:rPr>
        <w:t xml:space="preserve">related interventions for smoking cessation.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CD000009.</w:t>
      </w:r>
    </w:p>
    <w:p w:rsidR="00365DE4" w:rsidRDefault="00365DE4" w:rsidP="00365DE4">
      <w:pPr>
        <w:pStyle w:val="a3"/>
        <w:rPr>
          <w:kern w:val="2"/>
        </w:rPr>
      </w:pPr>
      <w:r>
        <w:t xml:space="preserve">Full Text: </w:t>
      </w:r>
      <w:hyperlink r:id="rId633" w:history="1">
        <w:r>
          <w:rPr>
            <w:rStyle w:val="a5"/>
          </w:rPr>
          <w:t>2011\Coc Dat Sys Rev2011, CD000009.pdf</w:t>
        </w:r>
      </w:hyperlink>
    </w:p>
    <w:p w:rsidR="00365DE4" w:rsidRDefault="00365DE4" w:rsidP="00365DE4">
      <w:pPr>
        <w:pStyle w:val="a3"/>
        <w:rPr>
          <w:kern w:val="0"/>
        </w:rPr>
      </w:pPr>
      <w:r>
        <w:rPr>
          <w:kern w:val="0"/>
        </w:rPr>
        <w:t>Abstract: Background Acupuncture</w:t>
      </w:r>
      <w:r w:rsidR="005853A9">
        <w:rPr>
          <w:kern w:val="0"/>
        </w:rPr>
        <w:t xml:space="preserve"> and </w:t>
      </w:r>
      <w:r>
        <w:rPr>
          <w:kern w:val="0"/>
        </w:rPr>
        <w:t>related techniques are promoted as a treatment for smoking cessation in the belief that they may reduce nicotine withdrawal symptoms. Objectives The objectives</w:t>
      </w:r>
      <w:r w:rsidR="00427468">
        <w:rPr>
          <w:kern w:val="0"/>
        </w:rPr>
        <w:t xml:space="preserve"> of </w:t>
      </w:r>
      <w:r>
        <w:rPr>
          <w:kern w:val="0"/>
        </w:rPr>
        <w:t>this review are to determine the effectiveness</w:t>
      </w:r>
      <w:r w:rsidR="00427468">
        <w:rPr>
          <w:kern w:val="0"/>
        </w:rPr>
        <w:t xml:space="preserve"> of </w:t>
      </w:r>
      <w:r>
        <w:rPr>
          <w:kern w:val="0"/>
        </w:rPr>
        <w:t>acupuncture</w:t>
      </w:r>
      <w:r w:rsidR="005853A9">
        <w:rPr>
          <w:kern w:val="0"/>
        </w:rPr>
        <w:t xml:space="preserve"> and </w:t>
      </w:r>
      <w:r>
        <w:rPr>
          <w:kern w:val="0"/>
        </w:rPr>
        <w:t>the related interventions</w:t>
      </w:r>
      <w:r w:rsidR="00427468">
        <w:rPr>
          <w:kern w:val="0"/>
        </w:rPr>
        <w:t xml:space="preserve"> of </w:t>
      </w:r>
      <w:r>
        <w:rPr>
          <w:kern w:val="0"/>
        </w:rPr>
        <w:t>acupressure, laser therapy</w:t>
      </w:r>
      <w:r w:rsidR="005853A9">
        <w:rPr>
          <w:kern w:val="0"/>
        </w:rPr>
        <w:t xml:space="preserve"> and </w:t>
      </w:r>
      <w:r>
        <w:rPr>
          <w:kern w:val="0"/>
        </w:rPr>
        <w:t>electrostimulation in smoking cessation, in comparison with no intervention, sham treatment, or other interventions. Search strategy We searched the Cochrane Tobacco Addiction Group specialized register, the Cochrane Central Register</w:t>
      </w:r>
      <w:r w:rsidR="00427468">
        <w:rPr>
          <w:kern w:val="0"/>
        </w:rPr>
        <w:t xml:space="preserve"> of </w:t>
      </w:r>
      <w:r>
        <w:rPr>
          <w:kern w:val="0"/>
        </w:rPr>
        <w:t xml:space="preserve">Controlled Trials (CENTRAL), </w:t>
      </w:r>
      <w:r w:rsidR="00D5664A">
        <w:rPr>
          <w:kern w:val="0"/>
        </w:rPr>
        <w:t>MEDLINE</w:t>
      </w:r>
      <w:r>
        <w:rPr>
          <w:kern w:val="0"/>
        </w:rPr>
        <w:t>, EMBASE, BIOSIS Previews, PsycINFO, Science Citation Index, AMED, Acubriefs in November 2010;</w:t>
      </w:r>
      <w:r w:rsidR="005853A9">
        <w:rPr>
          <w:kern w:val="0"/>
        </w:rPr>
        <w:t xml:space="preserve"> and </w:t>
      </w:r>
      <w:r>
        <w:rPr>
          <w:kern w:val="0"/>
        </w:rPr>
        <w:t>four Chinese databases: Chinese Biomedical Database, China National Knowledge Infrastructure, Wanfang Data</w:t>
      </w:r>
      <w:r w:rsidR="005853A9">
        <w:rPr>
          <w:kern w:val="0"/>
        </w:rPr>
        <w:t xml:space="preserve"> and </w:t>
      </w:r>
      <w:r>
        <w:rPr>
          <w:kern w:val="0"/>
        </w:rPr>
        <w:t>VIP in November 2010. Selection criteria Randomized trials comparing a form</w:t>
      </w:r>
      <w:r w:rsidR="00427468">
        <w:rPr>
          <w:kern w:val="0"/>
        </w:rPr>
        <w:t xml:space="preserve"> of </w:t>
      </w:r>
      <w:r>
        <w:rPr>
          <w:kern w:val="0"/>
        </w:rPr>
        <w:t>acupuncture, acupressure, laser therapy or electrostimulation with either no intervention, sham treatment or another intervention for smoking cessation. Data collection</w:t>
      </w:r>
      <w:r w:rsidR="005853A9">
        <w:rPr>
          <w:kern w:val="0"/>
        </w:rPr>
        <w:t xml:space="preserve"> and </w:t>
      </w:r>
      <w:r>
        <w:rPr>
          <w:kern w:val="0"/>
        </w:rPr>
        <w:t>analysis We extracted data in duplicate on the type</w:t>
      </w:r>
      <w:r w:rsidR="00427468">
        <w:rPr>
          <w:kern w:val="0"/>
        </w:rPr>
        <w:t xml:space="preserve"> of </w:t>
      </w:r>
      <w:r>
        <w:rPr>
          <w:kern w:val="0"/>
        </w:rPr>
        <w:t>smokers recruited, the nature</w:t>
      </w:r>
      <w:r w:rsidR="00427468">
        <w:rPr>
          <w:kern w:val="0"/>
        </w:rPr>
        <w:t xml:space="preserve"> of </w:t>
      </w:r>
      <w:r>
        <w:rPr>
          <w:kern w:val="0"/>
        </w:rPr>
        <w:t>the intervention</w:t>
      </w:r>
      <w:r w:rsidR="005853A9">
        <w:rPr>
          <w:kern w:val="0"/>
        </w:rPr>
        <w:t xml:space="preserve"> and </w:t>
      </w:r>
      <w:r>
        <w:rPr>
          <w:kern w:val="0"/>
        </w:rPr>
        <w:t>control procedures, the outcome measures, method</w:t>
      </w:r>
      <w:r w:rsidR="00427468">
        <w:rPr>
          <w:kern w:val="0"/>
        </w:rPr>
        <w:t xml:space="preserve"> of </w:t>
      </w:r>
      <w:r>
        <w:rPr>
          <w:kern w:val="0"/>
        </w:rPr>
        <w:t>randomization,</w:t>
      </w:r>
      <w:r w:rsidR="005853A9">
        <w:rPr>
          <w:kern w:val="0"/>
        </w:rPr>
        <w:t xml:space="preserve"> and </w:t>
      </w:r>
      <w:r>
        <w:rPr>
          <w:kern w:val="0"/>
        </w:rPr>
        <w:t>completeness</w:t>
      </w:r>
      <w:r w:rsidR="00427468">
        <w:rPr>
          <w:kern w:val="0"/>
        </w:rPr>
        <w:t xml:space="preserve"> of </w:t>
      </w:r>
      <w:r>
        <w:rPr>
          <w:kern w:val="0"/>
        </w:rPr>
        <w:t>follow up. We assessed abstinence from smoking at the earliest time-point (before six weeks),</w:t>
      </w:r>
      <w:r w:rsidR="005853A9">
        <w:rPr>
          <w:kern w:val="0"/>
        </w:rPr>
        <w:t xml:space="preserve"> and </w:t>
      </w:r>
      <w:r>
        <w:rPr>
          <w:kern w:val="0"/>
        </w:rPr>
        <w:t>at the last measurement point between six months</w:t>
      </w:r>
      <w:r w:rsidR="005853A9">
        <w:rPr>
          <w:kern w:val="0"/>
        </w:rPr>
        <w:t xml:space="preserve"> and </w:t>
      </w:r>
      <w:r>
        <w:rPr>
          <w:kern w:val="0"/>
        </w:rPr>
        <w:t>one year. We used the most rigorous definition</w:t>
      </w:r>
      <w:r w:rsidR="00427468">
        <w:rPr>
          <w:kern w:val="0"/>
        </w:rPr>
        <w:t xml:space="preserve"> of </w:t>
      </w:r>
      <w:r>
        <w:rPr>
          <w:kern w:val="0"/>
        </w:rPr>
        <w:t>abstinence for each trial,</w:t>
      </w:r>
      <w:r w:rsidR="005853A9">
        <w:rPr>
          <w:kern w:val="0"/>
        </w:rPr>
        <w:t xml:space="preserve"> and </w:t>
      </w:r>
      <w:r>
        <w:rPr>
          <w:kern w:val="0"/>
        </w:rPr>
        <w:t>biochemically validated rates if available. Those lost to follow up were counted as continuing smokers. Where appropriate, we performed meta-analysis using a fixed-effect model. Main results We included 33 reports</w:t>
      </w:r>
      <w:r w:rsidR="00427468">
        <w:rPr>
          <w:kern w:val="0"/>
        </w:rPr>
        <w:t xml:space="preserve"> of </w:t>
      </w:r>
      <w:r>
        <w:rPr>
          <w:kern w:val="0"/>
        </w:rPr>
        <w:t xml:space="preserve">studies. Compared with sham acupuncture, the </w:t>
      </w:r>
      <w:r>
        <w:rPr>
          <w:kern w:val="0"/>
        </w:rPr>
        <w:lastRenderedPageBreak/>
        <w:t>fixed-effect risk ratio (RR) for the short-term effect</w:t>
      </w:r>
      <w:r w:rsidR="00427468">
        <w:rPr>
          <w:kern w:val="0"/>
        </w:rPr>
        <w:t xml:space="preserve"> of </w:t>
      </w:r>
      <w:r>
        <w:rPr>
          <w:kern w:val="0"/>
        </w:rPr>
        <w:t>acupuncture was 1.18 (95% confidence interval 1.03 to 1.34),</w:t>
      </w:r>
      <w:r w:rsidR="005853A9">
        <w:rPr>
          <w:kern w:val="0"/>
        </w:rPr>
        <w:t xml:space="preserve"> and </w:t>
      </w:r>
      <w:r>
        <w:rPr>
          <w:kern w:val="0"/>
        </w:rPr>
        <w:t>for the long-term effect was 1.05 (CI 0.82 to 1.35)</w:t>
      </w:r>
      <w:r w:rsidR="00A37C1D">
        <w:rPr>
          <w:kern w:val="0"/>
        </w:rPr>
        <w:t>. The</w:t>
      </w:r>
      <w:r>
        <w:rPr>
          <w:kern w:val="0"/>
        </w:rPr>
        <w:t xml:space="preserve"> studies were not judged to be free from bias. Acupuncture was less effective than nicotine replacement therapy (NRT)</w:t>
      </w:r>
      <w:r w:rsidR="00A37C1D">
        <w:rPr>
          <w:kern w:val="0"/>
        </w:rPr>
        <w:t>. The</w:t>
      </w:r>
      <w:r>
        <w:rPr>
          <w:kern w:val="0"/>
        </w:rPr>
        <w:t>re was no evidence that acupuncture is superior to waiting list, nor to psychological interventions in short-or long-term</w:t>
      </w:r>
      <w:r w:rsidR="00A37C1D">
        <w:rPr>
          <w:kern w:val="0"/>
        </w:rPr>
        <w:t>. The</w:t>
      </w:r>
      <w:r>
        <w:rPr>
          <w:kern w:val="0"/>
        </w:rPr>
        <w:t xml:space="preserve"> evidence on acupressure</w:t>
      </w:r>
      <w:r w:rsidR="005853A9">
        <w:rPr>
          <w:kern w:val="0"/>
        </w:rPr>
        <w:t xml:space="preserve"> and </w:t>
      </w:r>
      <w:r>
        <w:rPr>
          <w:kern w:val="0"/>
        </w:rPr>
        <w:t>laser stimulation was insufficient</w:t>
      </w:r>
      <w:r w:rsidR="005853A9">
        <w:rPr>
          <w:kern w:val="0"/>
        </w:rPr>
        <w:t xml:space="preserve"> and </w:t>
      </w:r>
      <w:r>
        <w:rPr>
          <w:kern w:val="0"/>
        </w:rPr>
        <w:t>could not be combined</w:t>
      </w:r>
      <w:r w:rsidR="00A37C1D">
        <w:rPr>
          <w:kern w:val="0"/>
        </w:rPr>
        <w:t>. The</w:t>
      </w:r>
      <w:r>
        <w:rPr>
          <w:kern w:val="0"/>
        </w:rPr>
        <w:t xml:space="preserve"> evidence suggested that electrostimulation is not superior to sham electrostimulation. Authors</w:t>
      </w:r>
      <w:r w:rsidR="0071223E">
        <w:rPr>
          <w:kern w:val="0"/>
        </w:rPr>
        <w:t>’</w:t>
      </w:r>
      <w:r>
        <w:rPr>
          <w:kern w:val="0"/>
        </w:rPr>
        <w:t xml:space="preserve"> conclusions There is no consistent, bias-free evidence that acupuncture, acupressure, laser therapy or electrostimulation are effective for smoking cessation, but lack</w:t>
      </w:r>
      <w:r w:rsidR="00427468">
        <w:rPr>
          <w:kern w:val="0"/>
        </w:rPr>
        <w:t xml:space="preserve"> of </w:t>
      </w:r>
      <w:r>
        <w:rPr>
          <w:kern w:val="0"/>
        </w:rPr>
        <w:t>evidence</w:t>
      </w:r>
      <w:r w:rsidR="005853A9">
        <w:rPr>
          <w:kern w:val="0"/>
        </w:rPr>
        <w:t xml:space="preserve"> and </w:t>
      </w:r>
      <w:r>
        <w:rPr>
          <w:kern w:val="0"/>
        </w:rPr>
        <w:t>methodological problems mean that no firm conclusions can be drawn. Further, well designed research into acupuncture, acupressure</w:t>
      </w:r>
      <w:r w:rsidR="005853A9">
        <w:rPr>
          <w:kern w:val="0"/>
        </w:rPr>
        <w:t xml:space="preserve"> and </w:t>
      </w:r>
      <w:r>
        <w:rPr>
          <w:kern w:val="0"/>
        </w:rPr>
        <w:t>laser stimulation is justified since these are popular interventions</w:t>
      </w:r>
      <w:r w:rsidR="005853A9">
        <w:rPr>
          <w:kern w:val="0"/>
        </w:rPr>
        <w:t xml:space="preserve"> and </w:t>
      </w:r>
      <w:r>
        <w:rPr>
          <w:kern w:val="0"/>
        </w:rPr>
        <w:t>safe when correctly applied, though these interventions alone are likely to be less effective than evidence-based interventions.</w:t>
      </w:r>
    </w:p>
    <w:p w:rsidR="00365DE4" w:rsidRDefault="00365DE4" w:rsidP="00365DE4">
      <w:pPr>
        <w:pStyle w:val="a3"/>
        <w:rPr>
          <w:kern w:val="0"/>
        </w:rPr>
      </w:pPr>
      <w:r>
        <w:rPr>
          <w:kern w:val="0"/>
        </w:rPr>
        <w:t xml:space="preserve">Keywords: Acupressure, Acupuncture, Acupuncture Therapy, Analysis, Auricular Acupuncture, Bias, China, Chinese, Collection, Comparison, Confidence, Control, Controlled Trial, Cranial Electrostimulation Therapy, Criteria, Data, Databases, Effectiveness, Electric Stimulation Therapy, Electroacupuncture, Evidence, Evidence Based, Evidence-Based, Follow-Up, Humans, Interval, Intervention, Interventions, Laser, Laser Therapy, Long Term, Long-Term, Measurement, Medical Acupuncture, </w:t>
      </w:r>
      <w:r w:rsidR="00D5664A">
        <w:rPr>
          <w:kern w:val="0"/>
        </w:rPr>
        <w:t>MEDLINE</w:t>
      </w:r>
      <w:r>
        <w:rPr>
          <w:kern w:val="0"/>
        </w:rPr>
        <w:t>, Meta-Analysis, Metaanalysis, Model, Nicotine Gum, Outcome, Outcome Measures, Procedures, Psycinfo, Randomization, Randomized Controlled Trials As Topic, Rat Nucleus-Accumbens, Rates, Replacement Therapy, Research, Review, Risk, Science Citation Index, Sham Acupuncture, Smoking, Smoking Cessation [Methods], Smoking [Therapy], Stopping Smoking, Strategy, Symptoms, Techniques, Therapy, Tobacco Smoking, Treatment, Trial, Withdrawal</w:t>
      </w:r>
    </w:p>
    <w:p w:rsidR="00365DE4" w:rsidRDefault="00365DE4" w:rsidP="00365DE4">
      <w:pPr>
        <w:pStyle w:val="a3"/>
        <w:rPr>
          <w:kern w:val="0"/>
        </w:rPr>
      </w:pPr>
      <w:r>
        <w:rPr>
          <w:kern w:val="0"/>
        </w:rPr>
        <w:t>? Poropat, G., Giljaca, V., Stimac, D.</w:t>
      </w:r>
      <w:r w:rsidR="005853A9">
        <w:rPr>
          <w:kern w:val="0"/>
        </w:rPr>
        <w:t xml:space="preserve"> and </w:t>
      </w:r>
      <w:r>
        <w:rPr>
          <w:kern w:val="0"/>
        </w:rPr>
        <w:t xml:space="preserve">Gluud, C. (2011), Bile acids for primary sclerosing cholangitis.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CD003626.</w:t>
      </w:r>
    </w:p>
    <w:p w:rsidR="00365DE4" w:rsidRDefault="00365DE4" w:rsidP="00365DE4">
      <w:pPr>
        <w:pStyle w:val="a3"/>
        <w:rPr>
          <w:kern w:val="2"/>
        </w:rPr>
      </w:pPr>
      <w:r>
        <w:t xml:space="preserve">Full Text: </w:t>
      </w:r>
      <w:hyperlink r:id="rId634" w:history="1">
        <w:r>
          <w:rPr>
            <w:rStyle w:val="a5"/>
          </w:rPr>
          <w:t>2011\Coc Dat Sys Rev2011, CD003626.pdf</w:t>
        </w:r>
      </w:hyperlink>
    </w:p>
    <w:p w:rsidR="00365DE4" w:rsidRDefault="00365DE4" w:rsidP="00365DE4">
      <w:pPr>
        <w:pStyle w:val="a3"/>
        <w:rPr>
          <w:kern w:val="0"/>
        </w:rPr>
      </w:pPr>
      <w:r>
        <w:rPr>
          <w:kern w:val="0"/>
        </w:rPr>
        <w:t>Abstract: Background Primary sclerosing cholangitis is a progressive chronic cholestatic liver disease that usually leads to the development</w:t>
      </w:r>
      <w:r w:rsidR="00427468">
        <w:rPr>
          <w:kern w:val="0"/>
        </w:rPr>
        <w:t xml:space="preserve"> of </w:t>
      </w:r>
      <w:r>
        <w:rPr>
          <w:kern w:val="0"/>
        </w:rPr>
        <w:t>cirrhosis. Studies evaluating bile acids in the treatment</w:t>
      </w:r>
      <w:r w:rsidR="00427468">
        <w:rPr>
          <w:kern w:val="0"/>
        </w:rPr>
        <w:t xml:space="preserve"> of </w:t>
      </w:r>
      <w:r>
        <w:rPr>
          <w:kern w:val="0"/>
        </w:rPr>
        <w:t>primary sclerosing cholangitis have shown a potential benefit</w:t>
      </w:r>
      <w:r w:rsidR="00427468">
        <w:rPr>
          <w:kern w:val="0"/>
        </w:rPr>
        <w:t xml:space="preserve"> of </w:t>
      </w:r>
      <w:r>
        <w:rPr>
          <w:kern w:val="0"/>
        </w:rPr>
        <w:t>their use. However, no influence on patients survival</w:t>
      </w:r>
      <w:r w:rsidR="005853A9">
        <w:rPr>
          <w:kern w:val="0"/>
        </w:rPr>
        <w:t xml:space="preserve"> and </w:t>
      </w:r>
      <w:r>
        <w:rPr>
          <w:kern w:val="0"/>
        </w:rPr>
        <w:t>disease outcome has yet been proven. Objectives To assess the beneficial</w:t>
      </w:r>
      <w:r w:rsidR="005853A9">
        <w:rPr>
          <w:kern w:val="0"/>
        </w:rPr>
        <w:t xml:space="preserve"> and </w:t>
      </w:r>
      <w:r>
        <w:rPr>
          <w:kern w:val="0"/>
        </w:rPr>
        <w:t>harmful effects</w:t>
      </w:r>
      <w:r w:rsidR="00427468">
        <w:rPr>
          <w:kern w:val="0"/>
        </w:rPr>
        <w:t xml:space="preserve"> of </w:t>
      </w:r>
      <w:r>
        <w:rPr>
          <w:kern w:val="0"/>
        </w:rPr>
        <w:t xml:space="preserve">bile acids for patients with primary sclerosing cholangitis. Search strategy We searched The Cochrane Hepato-Biliary Group Controlled Trials Register, The Cochrane Library, </w:t>
      </w:r>
      <w:r w:rsidR="00D5664A">
        <w:rPr>
          <w:kern w:val="0"/>
        </w:rPr>
        <w:t>MEDLINE</w:t>
      </w:r>
      <w:r>
        <w:rPr>
          <w:kern w:val="0"/>
        </w:rPr>
        <w:t>, EMBASE</w:t>
      </w:r>
      <w:r w:rsidR="005853A9">
        <w:rPr>
          <w:kern w:val="0"/>
        </w:rPr>
        <w:t xml:space="preserve"> and </w:t>
      </w:r>
      <w:r>
        <w:rPr>
          <w:kern w:val="0"/>
        </w:rPr>
        <w:t xml:space="preserve">Science Citation Index Expanded generally from inception through to October 2010. Selection criteria Randomised </w:t>
      </w:r>
      <w:r>
        <w:rPr>
          <w:kern w:val="0"/>
        </w:rPr>
        <w:lastRenderedPageBreak/>
        <w:t>clinical trials comparing any dose</w:t>
      </w:r>
      <w:r w:rsidR="00427468">
        <w:rPr>
          <w:kern w:val="0"/>
        </w:rPr>
        <w:t xml:space="preserve"> of </w:t>
      </w:r>
      <w:r>
        <w:rPr>
          <w:kern w:val="0"/>
        </w:rPr>
        <w:t>bile acids or duration</w:t>
      </w:r>
      <w:r w:rsidR="00427468">
        <w:rPr>
          <w:kern w:val="0"/>
        </w:rPr>
        <w:t xml:space="preserve"> of </w:t>
      </w:r>
      <w:r>
        <w:rPr>
          <w:kern w:val="0"/>
        </w:rPr>
        <w:t>treatment versus placebo, no intervention, or another intervention were included irrespective</w:t>
      </w:r>
      <w:r w:rsidR="00427468">
        <w:rPr>
          <w:kern w:val="0"/>
        </w:rPr>
        <w:t xml:space="preserve"> of </w:t>
      </w:r>
      <w:r>
        <w:rPr>
          <w:kern w:val="0"/>
        </w:rPr>
        <w:t>blinding, language, or publication status. Data collection</w:t>
      </w:r>
      <w:r w:rsidR="005853A9">
        <w:rPr>
          <w:kern w:val="0"/>
        </w:rPr>
        <w:t xml:space="preserve"> and </w:t>
      </w:r>
      <w:r>
        <w:rPr>
          <w:kern w:val="0"/>
        </w:rPr>
        <w:t>analysis Two authors extracted data independently. We evaluated the risk</w:t>
      </w:r>
      <w:r w:rsidR="00427468">
        <w:rPr>
          <w:kern w:val="0"/>
        </w:rPr>
        <w:t xml:space="preserve"> of </w:t>
      </w:r>
      <w:r>
        <w:rPr>
          <w:kern w:val="0"/>
        </w:rPr>
        <w:t>bias</w:t>
      </w:r>
      <w:r w:rsidR="00427468">
        <w:rPr>
          <w:kern w:val="0"/>
        </w:rPr>
        <w:t xml:space="preserve"> of </w:t>
      </w:r>
      <w:r>
        <w:rPr>
          <w:kern w:val="0"/>
        </w:rPr>
        <w:t>the trials using prespecified domains. We performed the meta-analysis according to the intention-to-treat principle. We presented outcomes as relative risks (RR) or mean differences (MD), both with 95% confidence intervals (CI). Main results Eight trials evaluated ursodeoxycholic acid versus placebo or no intervention (592 patients)</w:t>
      </w:r>
      <w:r w:rsidR="00A37C1D">
        <w:rPr>
          <w:kern w:val="0"/>
        </w:rPr>
        <w:t>. The</w:t>
      </w:r>
      <w:r>
        <w:rPr>
          <w:kern w:val="0"/>
        </w:rPr>
        <w:t xml:space="preserve"> eight randomised clinical trials have a high risk</w:t>
      </w:r>
      <w:r w:rsidR="00427468">
        <w:rPr>
          <w:kern w:val="0"/>
        </w:rPr>
        <w:t xml:space="preserve"> of </w:t>
      </w:r>
      <w:r>
        <w:rPr>
          <w:kern w:val="0"/>
        </w:rPr>
        <w:t>bias. Patients were treated for three months to six years (median three years)</w:t>
      </w:r>
      <w:r w:rsidR="00A37C1D">
        <w:rPr>
          <w:kern w:val="0"/>
        </w:rPr>
        <w:t>. The</w:t>
      </w:r>
      <w:r>
        <w:rPr>
          <w:kern w:val="0"/>
        </w:rPr>
        <w:t xml:space="preserve"> dosage</w:t>
      </w:r>
      <w:r w:rsidR="00427468">
        <w:rPr>
          <w:kern w:val="0"/>
        </w:rPr>
        <w:t xml:space="preserve"> of </w:t>
      </w:r>
      <w:r>
        <w:rPr>
          <w:kern w:val="0"/>
        </w:rPr>
        <w:t>ursodeoxycholic acid used in the trials ranged from low (10 mg/kg body weight/day) to high (28 to 30 mg/kg body weight/day). Ursodeoxycholic acid did not significantly reduce the risk</w:t>
      </w:r>
      <w:r w:rsidR="00427468">
        <w:rPr>
          <w:kern w:val="0"/>
        </w:rPr>
        <w:t xml:space="preserve"> of </w:t>
      </w:r>
      <w:r>
        <w:rPr>
          <w:kern w:val="0"/>
        </w:rPr>
        <w:t>death (RR 1.00; 95% CI 0.46 to 2.20); treatment failure including liver transplantation, varices, ascites,</w:t>
      </w:r>
      <w:r w:rsidR="005853A9">
        <w:rPr>
          <w:kern w:val="0"/>
        </w:rPr>
        <w:t xml:space="preserve"> and </w:t>
      </w:r>
      <w:r>
        <w:rPr>
          <w:kern w:val="0"/>
        </w:rPr>
        <w:t>encephalopathy (RR 1.22; 95% CI 0.91 to 1.64); liver histological deterioration (RR 0.89; 95% CI 0.45 to 1.74); or liver cholangiographic deterioration (RR 0.60; 95% CI 0.23 to 1.57). Ursodeoxycholic acid significantly improved serum bilirubin (MD -4.6 mu mol/litre; 95% CI -18.7 to -10.6), alkaline phosphatases (MD -506 IU/litre; 95% CI -583 to -430), aspartate aminotransferase (MD -46 IU/litre; 95% CI -77 to -16),</w:t>
      </w:r>
      <w:r w:rsidR="005853A9">
        <w:rPr>
          <w:kern w:val="0"/>
        </w:rPr>
        <w:t xml:space="preserve"> and </w:t>
      </w:r>
      <w:r>
        <w:rPr>
          <w:kern w:val="0"/>
        </w:rPr>
        <w:t>gamma-glutamyltranspeptidase (MD -260 IU/litre; 95% CI -315 to -205), but not albumin (MD -0.20 g/litre; 95% CI -1.91 to 1.50). Ursodeoxycholic acid was safe</w:t>
      </w:r>
      <w:r w:rsidR="005853A9">
        <w:rPr>
          <w:kern w:val="0"/>
        </w:rPr>
        <w:t xml:space="preserve"> and </w:t>
      </w:r>
      <w:r>
        <w:rPr>
          <w:kern w:val="0"/>
        </w:rPr>
        <w:t>well tolerated by patients with primary sclerosing cholangitis. Authors</w:t>
      </w:r>
      <w:r w:rsidR="0071223E">
        <w:rPr>
          <w:kern w:val="0"/>
        </w:rPr>
        <w:t>’</w:t>
      </w:r>
      <w:r>
        <w:rPr>
          <w:kern w:val="0"/>
        </w:rPr>
        <w:t xml:space="preserve"> conclusions We did not find enough evidence to support or refute the use</w:t>
      </w:r>
      <w:r w:rsidR="00427468">
        <w:rPr>
          <w:kern w:val="0"/>
        </w:rPr>
        <w:t xml:space="preserve"> of </w:t>
      </w:r>
      <w:r>
        <w:rPr>
          <w:kern w:val="0"/>
        </w:rPr>
        <w:t>bile acids in the treatment</w:t>
      </w:r>
      <w:r w:rsidR="00427468">
        <w:rPr>
          <w:kern w:val="0"/>
        </w:rPr>
        <w:t xml:space="preserve"> of </w:t>
      </w:r>
      <w:r>
        <w:rPr>
          <w:kern w:val="0"/>
        </w:rPr>
        <w:t>primary sclerosing cholangitis. However, bile acids seem to lead to a significant improvement in liver biochemistry</w:t>
      </w:r>
      <w:r w:rsidR="00A37C1D">
        <w:rPr>
          <w:kern w:val="0"/>
        </w:rPr>
        <w:t>. The</w:t>
      </w:r>
      <w:r>
        <w:rPr>
          <w:kern w:val="0"/>
        </w:rPr>
        <w:t>refore, more randomised trials are needed before any</w:t>
      </w:r>
      <w:r w:rsidR="00427468">
        <w:rPr>
          <w:kern w:val="0"/>
        </w:rPr>
        <w:t xml:space="preserve"> of </w:t>
      </w:r>
      <w:r>
        <w:rPr>
          <w:kern w:val="0"/>
        </w:rPr>
        <w:t>the bile acids can be recommended for this indication.</w:t>
      </w:r>
    </w:p>
    <w:p w:rsidR="00365DE4" w:rsidRDefault="00365DE4" w:rsidP="00365DE4">
      <w:pPr>
        <w:pStyle w:val="a3"/>
        <w:rPr>
          <w:kern w:val="0"/>
        </w:rPr>
      </w:pPr>
      <w:r>
        <w:rPr>
          <w:kern w:val="0"/>
        </w:rPr>
        <w:t>Keywords: Albumin, Analysis, Aspartate Aminotransferase, Authors, Bias, Bilirubin, Biochemistry, Cholagogues</w:t>
      </w:r>
      <w:r w:rsidR="005853A9">
        <w:rPr>
          <w:kern w:val="0"/>
        </w:rPr>
        <w:t xml:space="preserve"> and </w:t>
      </w:r>
      <w:r>
        <w:rPr>
          <w:kern w:val="0"/>
        </w:rPr>
        <w:t xml:space="preserve">Choleretics [Therapeutic Use], Cholangitis, Cholestatic Liver-Disease, Chronic, Chronic Ulcerative-Colitis, Cirrhosis, Clinical, Clinical Trials, Clinical-Trials, Collection, Confidence, Confidence Intervals, Criteria, Data, Death, Development, Disease, Dose Ursodeoxycholic Acid, Duration, Empirical-Evidence, Encephalopathy, Evidence, Failure, Humans, Improvement, Indication, Intervals, Intervention, Lead, Liver, Liver Transplantation, </w:t>
      </w:r>
      <w:r w:rsidR="00D5664A">
        <w:rPr>
          <w:kern w:val="0"/>
        </w:rPr>
        <w:t>MEDLINE</w:t>
      </w:r>
      <w:r>
        <w:rPr>
          <w:kern w:val="0"/>
        </w:rPr>
        <w:t xml:space="preserve">, Meta-Analysis, Metaanalysis, Outcome, Outcomes, Patients, Placebo, Placebo-Controlled Trial, Potential, Primary, Primary Biliary-Cirrhosis, Protein-Kinase-C, Publication, Randomised, Randomized Controlled Trials As Topic, Randomized Double-Blind, Risk, Risks, Science Citation Index, Sclerosing [Drug Therapy], Serum, Strategy, Support, Survival, Taurodeoxycholic Acid [Therapeutic Use], Tauroursodeoxycholic Acid, Transplantation, Treatment, Ursodeoxycholic </w:t>
      </w:r>
      <w:r>
        <w:rPr>
          <w:kern w:val="0"/>
        </w:rPr>
        <w:lastRenderedPageBreak/>
        <w:t>Acid [Therapeutic Use], Varices</w:t>
      </w:r>
    </w:p>
    <w:p w:rsidR="00365DE4" w:rsidRDefault="00365DE4" w:rsidP="00365DE4">
      <w:pPr>
        <w:pStyle w:val="a3"/>
        <w:rPr>
          <w:kern w:val="0"/>
        </w:rPr>
      </w:pPr>
      <w:r>
        <w:rPr>
          <w:kern w:val="0"/>
        </w:rPr>
        <w:t>? Roberts, I., Shakur, H., Ker, K.</w:t>
      </w:r>
      <w:r w:rsidR="005853A9">
        <w:rPr>
          <w:kern w:val="0"/>
        </w:rPr>
        <w:t xml:space="preserve"> and </w:t>
      </w:r>
      <w:r>
        <w:rPr>
          <w:kern w:val="0"/>
        </w:rPr>
        <w:t xml:space="preserve">Coats, T. (2011), Antifibrinolytic drugs for acute traumatic injury.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CD004896.</w:t>
      </w:r>
    </w:p>
    <w:p w:rsidR="00365DE4" w:rsidRDefault="00365DE4" w:rsidP="00365DE4">
      <w:pPr>
        <w:pStyle w:val="a3"/>
        <w:rPr>
          <w:kern w:val="0"/>
        </w:rPr>
      </w:pPr>
      <w:r>
        <w:t xml:space="preserve">Full Text: </w:t>
      </w:r>
      <w:hyperlink r:id="rId635" w:history="1">
        <w:r>
          <w:rPr>
            <w:rStyle w:val="a5"/>
          </w:rPr>
          <w:t>2011\Coc Dat Sys Rev2011, CD004896.pdf</w:t>
        </w:r>
      </w:hyperlink>
    </w:p>
    <w:p w:rsidR="00365DE4" w:rsidRDefault="00365DE4" w:rsidP="00365DE4">
      <w:pPr>
        <w:pStyle w:val="a3"/>
        <w:rPr>
          <w:kern w:val="0"/>
        </w:rPr>
      </w:pPr>
      <w:r>
        <w:rPr>
          <w:kern w:val="0"/>
        </w:rPr>
        <w:t>Abstract: Background Uncontrolled bleeding is an important cause</w:t>
      </w:r>
      <w:r w:rsidR="00427468">
        <w:rPr>
          <w:kern w:val="0"/>
        </w:rPr>
        <w:t xml:space="preserve"> of </w:t>
      </w:r>
      <w:r>
        <w:rPr>
          <w:kern w:val="0"/>
        </w:rPr>
        <w:t>death in trauma victims. Antifibrinolytic treatment has been shown to reduce blood loss following surgery</w:t>
      </w:r>
      <w:r w:rsidR="005853A9">
        <w:rPr>
          <w:kern w:val="0"/>
        </w:rPr>
        <w:t xml:space="preserve"> and </w:t>
      </w:r>
      <w:r>
        <w:rPr>
          <w:kern w:val="0"/>
        </w:rPr>
        <w:t>may also be effective in reducing blood loss following trauma. Objectives To quantify the effect</w:t>
      </w:r>
      <w:r w:rsidR="00427468">
        <w:rPr>
          <w:kern w:val="0"/>
        </w:rPr>
        <w:t xml:space="preserve"> of </w:t>
      </w:r>
      <w:r>
        <w:rPr>
          <w:kern w:val="0"/>
        </w:rPr>
        <w:t>antifibrinolytic drugs in reducing blood loss, transfusion requirement</w:t>
      </w:r>
      <w:r w:rsidR="005853A9">
        <w:rPr>
          <w:kern w:val="0"/>
        </w:rPr>
        <w:t xml:space="preserve"> and </w:t>
      </w:r>
      <w:r>
        <w:rPr>
          <w:kern w:val="0"/>
        </w:rPr>
        <w:t>mortality after acute traumatic injury. Search strategy We searched the Cochrane Injuries Group</w:t>
      </w:r>
      <w:r w:rsidR="0071223E">
        <w:rPr>
          <w:kern w:val="0"/>
        </w:rPr>
        <w:t>’</w:t>
      </w:r>
      <w:r>
        <w:rPr>
          <w:kern w:val="0"/>
        </w:rPr>
        <w:t xml:space="preserve">s Specialised Register, CENTRAL, </w:t>
      </w:r>
      <w:r w:rsidR="00D5664A">
        <w:rPr>
          <w:kern w:val="0"/>
        </w:rPr>
        <w:t>MEDLINE</w:t>
      </w:r>
      <w:r>
        <w:rPr>
          <w:kern w:val="0"/>
        </w:rPr>
        <w:t>, PUBMED, EMBASE, Science Citation Index, National Research Register, Zetoc, SIGLE, Global Health, LILACS,</w:t>
      </w:r>
      <w:r w:rsidR="005853A9">
        <w:rPr>
          <w:kern w:val="0"/>
        </w:rPr>
        <w:t xml:space="preserve"> and </w:t>
      </w:r>
      <w:r>
        <w:rPr>
          <w:kern w:val="0"/>
        </w:rPr>
        <w:t>Current Controlled Trials</w:t>
      </w:r>
      <w:r w:rsidR="00A37C1D">
        <w:rPr>
          <w:kern w:val="0"/>
        </w:rPr>
        <w:t>. The</w:t>
      </w:r>
      <w:r>
        <w:rPr>
          <w:kern w:val="0"/>
        </w:rPr>
        <w:t xml:space="preserve"> Cochrane Injuries Group Specialised Register, CENTRAL, </w:t>
      </w:r>
      <w:r w:rsidR="00D5664A">
        <w:rPr>
          <w:kern w:val="0"/>
        </w:rPr>
        <w:t>MEDLINE</w:t>
      </w:r>
      <w:r w:rsidR="005853A9">
        <w:rPr>
          <w:kern w:val="0"/>
        </w:rPr>
        <w:t xml:space="preserve"> and </w:t>
      </w:r>
      <w:r>
        <w:rPr>
          <w:kern w:val="0"/>
        </w:rPr>
        <w:t>EMBASE searches were updated in July 2010. Selection criteria We included all randomised controlled trials</w:t>
      </w:r>
      <w:r w:rsidR="00427468">
        <w:rPr>
          <w:kern w:val="0"/>
        </w:rPr>
        <w:t xml:space="preserve"> of </w:t>
      </w:r>
      <w:r>
        <w:rPr>
          <w:kern w:val="0"/>
        </w:rPr>
        <w:t>antifibrinolytic agents (aprotinin, tranexamic acid [TXA]</w:t>
      </w:r>
      <w:r w:rsidR="005853A9">
        <w:rPr>
          <w:kern w:val="0"/>
        </w:rPr>
        <w:t xml:space="preserve"> and </w:t>
      </w:r>
      <w:r>
        <w:rPr>
          <w:kern w:val="0"/>
        </w:rPr>
        <w:t>epsilon-aminocaproic acid) following acute traumatic injury. Data collection</w:t>
      </w:r>
      <w:r w:rsidR="005853A9">
        <w:rPr>
          <w:kern w:val="0"/>
        </w:rPr>
        <w:t xml:space="preserve"> and </w:t>
      </w:r>
      <w:r>
        <w:rPr>
          <w:kern w:val="0"/>
        </w:rPr>
        <w:t>analysis The titles</w:t>
      </w:r>
      <w:r w:rsidR="005853A9">
        <w:rPr>
          <w:kern w:val="0"/>
        </w:rPr>
        <w:t xml:space="preserve"> and </w:t>
      </w:r>
      <w:r>
        <w:rPr>
          <w:kern w:val="0"/>
        </w:rPr>
        <w:t>abstracts identified in the electronic searches were screened by two independent authors to identify studies that had the potential to meet the inclusion criteria</w:t>
      </w:r>
      <w:r w:rsidR="00A37C1D">
        <w:rPr>
          <w:kern w:val="0"/>
        </w:rPr>
        <w:t>. The</w:t>
      </w:r>
      <w:r>
        <w:rPr>
          <w:kern w:val="0"/>
        </w:rPr>
        <w:t xml:space="preserve"> full reports</w:t>
      </w:r>
      <w:r w:rsidR="00427468">
        <w:rPr>
          <w:kern w:val="0"/>
        </w:rPr>
        <w:t xml:space="preserve"> of </w:t>
      </w:r>
      <w:r>
        <w:rPr>
          <w:kern w:val="0"/>
        </w:rPr>
        <w:t>all such studies were obtained. From the results</w:t>
      </w:r>
      <w:r w:rsidR="00427468">
        <w:rPr>
          <w:kern w:val="0"/>
        </w:rPr>
        <w:t xml:space="preserve"> of </w:t>
      </w:r>
      <w:r>
        <w:rPr>
          <w:kern w:val="0"/>
        </w:rPr>
        <w:t>the screened electronic searches, bibliographic searches,</w:t>
      </w:r>
      <w:r w:rsidR="005853A9">
        <w:rPr>
          <w:kern w:val="0"/>
        </w:rPr>
        <w:t xml:space="preserve"> and </w:t>
      </w:r>
      <w:r>
        <w:rPr>
          <w:kern w:val="0"/>
        </w:rPr>
        <w:t>contacts with experts, two authors independently selected trials meeting the inclusion criteria, with any disagreements resolved by consensus. Main results Four trials met the inclusion criteria. Two trials with a combined total</w:t>
      </w:r>
      <w:r w:rsidR="00427468">
        <w:rPr>
          <w:kern w:val="0"/>
        </w:rPr>
        <w:t xml:space="preserve"> of </w:t>
      </w:r>
      <w:r>
        <w:rPr>
          <w:kern w:val="0"/>
        </w:rPr>
        <w:t>20,451 patients assessed the effects</w:t>
      </w:r>
      <w:r w:rsidR="00427468">
        <w:rPr>
          <w:kern w:val="0"/>
        </w:rPr>
        <w:t xml:space="preserve"> of </w:t>
      </w:r>
      <w:r>
        <w:rPr>
          <w:kern w:val="0"/>
        </w:rPr>
        <w:t>TXA on mortality; TXA reduced the risk</w:t>
      </w:r>
      <w:r w:rsidR="00427468">
        <w:rPr>
          <w:kern w:val="0"/>
        </w:rPr>
        <w:t xml:space="preserve"> of </w:t>
      </w:r>
      <w:r>
        <w:rPr>
          <w:kern w:val="0"/>
        </w:rPr>
        <w:t>death by 10% (RR=0.90, 95% CI 0.85 to 0.97; p=0.0035). Data from one trial involving 20,211 patients found that TXA reduced the risk</w:t>
      </w:r>
      <w:r w:rsidR="00427468">
        <w:rPr>
          <w:kern w:val="0"/>
        </w:rPr>
        <w:t xml:space="preserve"> of </w:t>
      </w:r>
      <w:r>
        <w:rPr>
          <w:kern w:val="0"/>
        </w:rPr>
        <w:t>death due to bleeding by 15% (RR=0.85, 95% CI 0.76 to 0.96; p=0.0077)</w:t>
      </w:r>
      <w:r w:rsidR="00A37C1D">
        <w:rPr>
          <w:kern w:val="0"/>
        </w:rPr>
        <w:t>. The</w:t>
      </w:r>
      <w:r>
        <w:rPr>
          <w:kern w:val="0"/>
        </w:rPr>
        <w:t>re was no evidence that TXA increased the risk</w:t>
      </w:r>
      <w:r w:rsidR="00427468">
        <w:rPr>
          <w:kern w:val="0"/>
        </w:rPr>
        <w:t xml:space="preserve"> of </w:t>
      </w:r>
      <w:r>
        <w:rPr>
          <w:kern w:val="0"/>
        </w:rPr>
        <w:t>vascular occlusive events or need for surgical intervention</w:t>
      </w:r>
      <w:r w:rsidR="00A37C1D">
        <w:rPr>
          <w:kern w:val="0"/>
        </w:rPr>
        <w:t>. The</w:t>
      </w:r>
      <w:r>
        <w:rPr>
          <w:kern w:val="0"/>
        </w:rPr>
        <w:t>re was no substantial difference in the receipt</w:t>
      </w:r>
      <w:r w:rsidR="00427468">
        <w:rPr>
          <w:kern w:val="0"/>
        </w:rPr>
        <w:t xml:space="preserve"> of </w:t>
      </w:r>
      <w:r>
        <w:rPr>
          <w:kern w:val="0"/>
        </w:rPr>
        <w:t>blood transfusion between the TXA</w:t>
      </w:r>
      <w:r w:rsidR="005853A9">
        <w:rPr>
          <w:kern w:val="0"/>
        </w:rPr>
        <w:t xml:space="preserve"> and </w:t>
      </w:r>
      <w:r>
        <w:rPr>
          <w:kern w:val="0"/>
        </w:rPr>
        <w:t>placebo groups</w:t>
      </w:r>
      <w:r w:rsidR="00A37C1D">
        <w:rPr>
          <w:kern w:val="0"/>
        </w:rPr>
        <w:t>. The</w:t>
      </w:r>
      <w:r>
        <w:rPr>
          <w:kern w:val="0"/>
        </w:rPr>
        <w:t xml:space="preserve"> two trials</w:t>
      </w:r>
      <w:r w:rsidR="00427468">
        <w:rPr>
          <w:kern w:val="0"/>
        </w:rPr>
        <w:t xml:space="preserve"> of </w:t>
      </w:r>
      <w:r>
        <w:rPr>
          <w:kern w:val="0"/>
        </w:rPr>
        <w:t>aprotinin provided no reliable data. Authors</w:t>
      </w:r>
      <w:r w:rsidR="0071223E">
        <w:rPr>
          <w:kern w:val="0"/>
        </w:rPr>
        <w:t>’</w:t>
      </w:r>
      <w:r>
        <w:rPr>
          <w:kern w:val="0"/>
        </w:rPr>
        <w:t xml:space="preserve"> conclusions TXA safely reduces mortality in bleeding trauma patients without increasing the risk</w:t>
      </w:r>
      <w:r w:rsidR="00427468">
        <w:rPr>
          <w:kern w:val="0"/>
        </w:rPr>
        <w:t xml:space="preserve"> of </w:t>
      </w:r>
      <w:r>
        <w:rPr>
          <w:kern w:val="0"/>
        </w:rPr>
        <w:t>adverse events. Further trials are needed to determine the effects</w:t>
      </w:r>
      <w:r w:rsidR="00427468">
        <w:rPr>
          <w:kern w:val="0"/>
        </w:rPr>
        <w:t xml:space="preserve"> of </w:t>
      </w:r>
      <w:r>
        <w:rPr>
          <w:kern w:val="0"/>
        </w:rPr>
        <w:t>TXA in patients with isolated traumatic brain injury.</w:t>
      </w:r>
    </w:p>
    <w:p w:rsidR="00365DE4" w:rsidRDefault="00365DE4" w:rsidP="00365DE4">
      <w:pPr>
        <w:pStyle w:val="a3"/>
        <w:rPr>
          <w:kern w:val="0"/>
        </w:rPr>
      </w:pPr>
      <w:r>
        <w:rPr>
          <w:kern w:val="0"/>
        </w:rPr>
        <w:t>Keywords: Analysis, Antifibrinolytic Agents [Therapeutic Use], Aprotinin, Authors, Bleeding, Blood, Blood Loss, Blood Loss,Surgical [Prevention &amp; Control], Blood Transfusion, Blood Transfusion [Utilization], Brain, Brain Injury, Cause</w:t>
      </w:r>
      <w:r w:rsidR="00427468">
        <w:rPr>
          <w:kern w:val="0"/>
        </w:rPr>
        <w:t xml:space="preserve"> of </w:t>
      </w:r>
      <w:r>
        <w:rPr>
          <w:kern w:val="0"/>
        </w:rPr>
        <w:t xml:space="preserve">Death, Collection, Consensus, Criteria, Data, Death, Drugs, Etiology], Events, Evidence, Experts, Hemorrhage [Drug Therapy, Humans, Inhibitor, Injury, Intervention, </w:t>
      </w:r>
      <w:r w:rsidR="00D5664A">
        <w:rPr>
          <w:kern w:val="0"/>
        </w:rPr>
        <w:lastRenderedPageBreak/>
        <w:t>MEDLINE</w:t>
      </w:r>
      <w:r>
        <w:rPr>
          <w:kern w:val="0"/>
        </w:rPr>
        <w:t>, Mortality, Patients, Placebo, Potential, PUBMED, Randomised, Randomised Controlled Trials, Randomized Controlled Trials As Topic, Requirement, Risk, Science Citation Index, Strategy, Surgery, Tranexamic Acid, Transfusion, Trauma, Traumatic, Traumatic Brain Injury, Traumatic Injury, Treatment, Trial, Wounds</w:t>
      </w:r>
      <w:r w:rsidR="005853A9">
        <w:rPr>
          <w:kern w:val="0"/>
        </w:rPr>
        <w:t xml:space="preserve"> and </w:t>
      </w:r>
      <w:r>
        <w:rPr>
          <w:kern w:val="0"/>
        </w:rPr>
        <w:t>Injuries [Complications]</w:t>
      </w:r>
    </w:p>
    <w:p w:rsidR="00365DE4" w:rsidRDefault="00365DE4" w:rsidP="00365DE4">
      <w:pPr>
        <w:pStyle w:val="a3"/>
        <w:rPr>
          <w:kern w:val="0"/>
        </w:rPr>
      </w:pPr>
      <w:r>
        <w:rPr>
          <w:kern w:val="0"/>
        </w:rPr>
        <w:t>? Gharaibeh, A., Savage, H.I., Scherer, R.W., Goldberg, M.F.</w:t>
      </w:r>
      <w:r w:rsidR="005853A9">
        <w:rPr>
          <w:kern w:val="0"/>
        </w:rPr>
        <w:t xml:space="preserve"> and </w:t>
      </w:r>
      <w:r>
        <w:rPr>
          <w:kern w:val="0"/>
        </w:rPr>
        <w:t xml:space="preserve">Lindsley, K. (2011), Medical interventions for traumatic hyphema.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CD005431.</w:t>
      </w:r>
    </w:p>
    <w:p w:rsidR="00365DE4" w:rsidRDefault="00365DE4" w:rsidP="00365DE4">
      <w:pPr>
        <w:pStyle w:val="a3"/>
        <w:rPr>
          <w:kern w:val="0"/>
        </w:rPr>
      </w:pPr>
      <w:r>
        <w:t xml:space="preserve">Full Text: </w:t>
      </w:r>
      <w:hyperlink r:id="rId636" w:history="1">
        <w:r>
          <w:rPr>
            <w:rStyle w:val="a5"/>
          </w:rPr>
          <w:t>2011\Coc Dat Sys Rev2011, CD005431.pdf</w:t>
        </w:r>
      </w:hyperlink>
    </w:p>
    <w:p w:rsidR="00365DE4" w:rsidRDefault="00365DE4" w:rsidP="00365DE4">
      <w:pPr>
        <w:pStyle w:val="a3"/>
        <w:rPr>
          <w:kern w:val="0"/>
        </w:rPr>
      </w:pPr>
      <w:r>
        <w:rPr>
          <w:kern w:val="0"/>
        </w:rPr>
        <w:t>Abstract: Background Traumatic hyphema is the entry</w:t>
      </w:r>
      <w:r w:rsidR="00427468">
        <w:rPr>
          <w:kern w:val="0"/>
        </w:rPr>
        <w:t xml:space="preserve"> of </w:t>
      </w:r>
      <w:r>
        <w:rPr>
          <w:kern w:val="0"/>
        </w:rPr>
        <w:t>blood into the anterior chamber (the space between the cornea</w:t>
      </w:r>
      <w:r w:rsidR="005853A9">
        <w:rPr>
          <w:kern w:val="0"/>
        </w:rPr>
        <w:t xml:space="preserve"> and </w:t>
      </w:r>
      <w:r>
        <w:rPr>
          <w:kern w:val="0"/>
        </w:rPr>
        <w:t>iris) subsequent to a blow or a projectile striking the eye. Hyphema uncommonly causes permanent loss</w:t>
      </w:r>
      <w:r w:rsidR="00427468">
        <w:rPr>
          <w:kern w:val="0"/>
        </w:rPr>
        <w:t xml:space="preserve"> of </w:t>
      </w:r>
      <w:r>
        <w:rPr>
          <w:kern w:val="0"/>
        </w:rPr>
        <w:t>vision. Associated trauma (e. g., corneal staining, traumatic cataract, angle recession glaucoma, optic atrophy, etc.) may seriously affect vision. Such complications may lead to permanent impairment</w:t>
      </w:r>
      <w:r w:rsidR="00427468">
        <w:rPr>
          <w:kern w:val="0"/>
        </w:rPr>
        <w:t xml:space="preserve"> of </w:t>
      </w:r>
      <w:r>
        <w:rPr>
          <w:kern w:val="0"/>
        </w:rPr>
        <w:t>vision. Patients with sickle cell trait/disease may be particularly susceptible to increases</w:t>
      </w:r>
      <w:r w:rsidR="00427468">
        <w:rPr>
          <w:kern w:val="0"/>
        </w:rPr>
        <w:t xml:space="preserve"> of </w:t>
      </w:r>
      <w:r>
        <w:rPr>
          <w:kern w:val="0"/>
        </w:rPr>
        <w:t>elevated intraocular pressure. If rebleeding occurs, the rates</w:t>
      </w:r>
      <w:r w:rsidR="005853A9">
        <w:rPr>
          <w:kern w:val="0"/>
        </w:rPr>
        <w:t xml:space="preserve"> and </w:t>
      </w:r>
      <w:r>
        <w:rPr>
          <w:kern w:val="0"/>
        </w:rPr>
        <w:t>severity</w:t>
      </w:r>
      <w:r w:rsidR="00427468">
        <w:rPr>
          <w:kern w:val="0"/>
        </w:rPr>
        <w:t xml:space="preserve"> of </w:t>
      </w:r>
      <w:r>
        <w:rPr>
          <w:kern w:val="0"/>
        </w:rPr>
        <w:t>complications increase. Objectives The objective</w:t>
      </w:r>
      <w:r w:rsidR="00427468">
        <w:rPr>
          <w:kern w:val="0"/>
        </w:rPr>
        <w:t xml:space="preserve"> of </w:t>
      </w:r>
      <w:r>
        <w:rPr>
          <w:kern w:val="0"/>
        </w:rPr>
        <w:t>this review was to assess the effectiveness</w:t>
      </w:r>
      <w:r w:rsidR="00427468">
        <w:rPr>
          <w:kern w:val="0"/>
        </w:rPr>
        <w:t xml:space="preserve"> of </w:t>
      </w:r>
      <w:r>
        <w:rPr>
          <w:kern w:val="0"/>
        </w:rPr>
        <w:t>various medical interventions in the management</w:t>
      </w:r>
      <w:r w:rsidR="00427468">
        <w:rPr>
          <w:kern w:val="0"/>
        </w:rPr>
        <w:t xml:space="preserve"> of </w:t>
      </w:r>
      <w:r>
        <w:rPr>
          <w:kern w:val="0"/>
        </w:rPr>
        <w:t>traumatic hyphema. Search strategy We searched the Cochrane Central Register</w:t>
      </w:r>
      <w:r w:rsidR="00427468">
        <w:rPr>
          <w:kern w:val="0"/>
        </w:rPr>
        <w:t xml:space="preserve"> of </w:t>
      </w:r>
      <w:r>
        <w:rPr>
          <w:kern w:val="0"/>
        </w:rPr>
        <w:t>Controlled Trials (CENTRAL) (which contains the Cochrane Eyes</w:t>
      </w:r>
      <w:r w:rsidR="005853A9">
        <w:rPr>
          <w:kern w:val="0"/>
        </w:rPr>
        <w:t xml:space="preserve"> and </w:t>
      </w:r>
      <w:r>
        <w:rPr>
          <w:kern w:val="0"/>
        </w:rPr>
        <w:t xml:space="preserve">Vision Group Trials Register) (The Cochrane Library 2010, Issue 6), </w:t>
      </w:r>
      <w:r w:rsidR="00D5664A">
        <w:rPr>
          <w:kern w:val="0"/>
        </w:rPr>
        <w:t>MEDLINE</w:t>
      </w:r>
      <w:r>
        <w:rPr>
          <w:kern w:val="0"/>
        </w:rPr>
        <w:t xml:space="preserve"> (January 1950 to June 2010), EMBASE (January 1980 to June 2010), the metaRegister</w:t>
      </w:r>
      <w:r w:rsidR="00427468">
        <w:rPr>
          <w:kern w:val="0"/>
        </w:rPr>
        <w:t xml:space="preserve"> of </w:t>
      </w:r>
      <w:r>
        <w:rPr>
          <w:kern w:val="0"/>
        </w:rPr>
        <w:t>Controlled Trials (mRCT) (www.controlled-trials.com)</w:t>
      </w:r>
      <w:r w:rsidR="005853A9">
        <w:rPr>
          <w:kern w:val="0"/>
        </w:rPr>
        <w:t xml:space="preserve"> and </w:t>
      </w:r>
      <w:r>
        <w:rPr>
          <w:kern w:val="0"/>
        </w:rPr>
        <w:t>ClinicalTrials.gov (http://clinicaltrials.gov). We searched the reference lists</w:t>
      </w:r>
      <w:r w:rsidR="00427468">
        <w:rPr>
          <w:kern w:val="0"/>
        </w:rPr>
        <w:t xml:space="preserve"> of </w:t>
      </w:r>
      <w:r>
        <w:rPr>
          <w:kern w:val="0"/>
        </w:rPr>
        <w:t xml:space="preserve">identified trial reports to find additional trials. We also searched the ISI </w:t>
      </w:r>
      <w:r w:rsidR="00D5664A">
        <w:rPr>
          <w:kern w:val="0"/>
        </w:rPr>
        <w:t>Web</w:t>
      </w:r>
      <w:r w:rsidR="00427468">
        <w:rPr>
          <w:kern w:val="0"/>
        </w:rPr>
        <w:t xml:space="preserve"> of </w:t>
      </w:r>
      <w:r w:rsidR="00D5664A">
        <w:rPr>
          <w:kern w:val="0"/>
        </w:rPr>
        <w:t>Science</w:t>
      </w:r>
      <w:r>
        <w:rPr>
          <w:kern w:val="0"/>
        </w:rPr>
        <w:t xml:space="preserve"> Social Sciences Citation Index (</w:t>
      </w:r>
      <w:r w:rsidR="00D5664A">
        <w:rPr>
          <w:kern w:val="0"/>
        </w:rPr>
        <w:t>SSCI</w:t>
      </w:r>
      <w:r>
        <w:rPr>
          <w:kern w:val="0"/>
        </w:rPr>
        <w:t>) to find studies that cited the identified trials</w:t>
      </w:r>
      <w:r w:rsidR="00A37C1D">
        <w:rPr>
          <w:kern w:val="0"/>
        </w:rPr>
        <w:t>. The</w:t>
      </w:r>
      <w:r>
        <w:rPr>
          <w:kern w:val="0"/>
        </w:rPr>
        <w:t>re were no language or date restrictions in the search for trials</w:t>
      </w:r>
      <w:r w:rsidR="00A37C1D">
        <w:rPr>
          <w:kern w:val="0"/>
        </w:rPr>
        <w:t>. The</w:t>
      </w:r>
      <w:r>
        <w:rPr>
          <w:kern w:val="0"/>
        </w:rPr>
        <w:t xml:space="preserve"> electronic databases were last searched on 25 June 2010. Selection criteria Two authors independently assessed the titles</w:t>
      </w:r>
      <w:r w:rsidR="005853A9">
        <w:rPr>
          <w:kern w:val="0"/>
        </w:rPr>
        <w:t xml:space="preserve"> and </w:t>
      </w:r>
      <w:r>
        <w:rPr>
          <w:kern w:val="0"/>
        </w:rPr>
        <w:t>abstracts</w:t>
      </w:r>
      <w:r w:rsidR="00427468">
        <w:rPr>
          <w:kern w:val="0"/>
        </w:rPr>
        <w:t xml:space="preserve"> of </w:t>
      </w:r>
      <w:r>
        <w:rPr>
          <w:kern w:val="0"/>
        </w:rPr>
        <w:t>all reports identified by the electronic</w:t>
      </w:r>
      <w:r w:rsidR="005853A9">
        <w:rPr>
          <w:kern w:val="0"/>
        </w:rPr>
        <w:t xml:space="preserve"> and </w:t>
      </w:r>
      <w:r>
        <w:rPr>
          <w:kern w:val="0"/>
        </w:rPr>
        <w:t>manual searches. In this review, we included randomized</w:t>
      </w:r>
      <w:r w:rsidR="005853A9">
        <w:rPr>
          <w:kern w:val="0"/>
        </w:rPr>
        <w:t xml:space="preserve"> and </w:t>
      </w:r>
      <w:r>
        <w:rPr>
          <w:kern w:val="0"/>
        </w:rPr>
        <w:t>quasi-randomized trials that compared various medical interventions to other medical interventions or control groups for the treatment</w:t>
      </w:r>
      <w:r w:rsidR="00427468">
        <w:rPr>
          <w:kern w:val="0"/>
        </w:rPr>
        <w:t xml:space="preserve"> of </w:t>
      </w:r>
      <w:r>
        <w:rPr>
          <w:kern w:val="0"/>
        </w:rPr>
        <w:t>traumatic hyphema following closed globe trauma</w:t>
      </w:r>
      <w:r w:rsidR="00A37C1D">
        <w:rPr>
          <w:kern w:val="0"/>
        </w:rPr>
        <w:t>. The</w:t>
      </w:r>
      <w:r>
        <w:rPr>
          <w:kern w:val="0"/>
        </w:rPr>
        <w:t>re were no restrictions regarding age, gender, severity</w:t>
      </w:r>
      <w:r w:rsidR="00427468">
        <w:rPr>
          <w:kern w:val="0"/>
        </w:rPr>
        <w:t xml:space="preserve"> of </w:t>
      </w:r>
      <w:r>
        <w:rPr>
          <w:kern w:val="0"/>
        </w:rPr>
        <w:t>the closed globe trauma or level</w:t>
      </w:r>
      <w:r w:rsidR="00427468">
        <w:rPr>
          <w:kern w:val="0"/>
        </w:rPr>
        <w:t xml:space="preserve"> of </w:t>
      </w:r>
      <w:r>
        <w:rPr>
          <w:kern w:val="0"/>
        </w:rPr>
        <w:t>visual acuity at the time</w:t>
      </w:r>
      <w:r w:rsidR="00427468">
        <w:rPr>
          <w:kern w:val="0"/>
        </w:rPr>
        <w:t xml:space="preserve"> of </w:t>
      </w:r>
      <w:r>
        <w:rPr>
          <w:kern w:val="0"/>
        </w:rPr>
        <w:t>enrollment. Data collection</w:t>
      </w:r>
      <w:r w:rsidR="005853A9">
        <w:rPr>
          <w:kern w:val="0"/>
        </w:rPr>
        <w:t xml:space="preserve"> and </w:t>
      </w:r>
      <w:r>
        <w:rPr>
          <w:kern w:val="0"/>
        </w:rPr>
        <w:t>analysis Two authors independently extracted the data for the primary</w:t>
      </w:r>
      <w:r w:rsidR="005853A9">
        <w:rPr>
          <w:kern w:val="0"/>
        </w:rPr>
        <w:t xml:space="preserve"> and </w:t>
      </w:r>
      <w:r>
        <w:rPr>
          <w:kern w:val="0"/>
        </w:rPr>
        <w:t>secondary outcomes. We entered</w:t>
      </w:r>
      <w:r w:rsidR="005853A9">
        <w:rPr>
          <w:kern w:val="0"/>
        </w:rPr>
        <w:t xml:space="preserve"> and </w:t>
      </w:r>
      <w:r>
        <w:rPr>
          <w:kern w:val="0"/>
        </w:rPr>
        <w:t>analyzed data using Review Manager (RevMan) 5. We performed meta-analyses using a fixed-effect model</w:t>
      </w:r>
      <w:r w:rsidR="005853A9">
        <w:rPr>
          <w:kern w:val="0"/>
        </w:rPr>
        <w:t xml:space="preserve"> and </w:t>
      </w:r>
      <w:r>
        <w:rPr>
          <w:kern w:val="0"/>
        </w:rPr>
        <w:t>reported dichotomous outcomes as odds ratios</w:t>
      </w:r>
      <w:r w:rsidR="005853A9">
        <w:rPr>
          <w:kern w:val="0"/>
        </w:rPr>
        <w:t xml:space="preserve"> and </w:t>
      </w:r>
      <w:r>
        <w:rPr>
          <w:kern w:val="0"/>
        </w:rPr>
        <w:t>continuous outcomes as mean differences. Main results Nineteen randomized</w:t>
      </w:r>
      <w:r w:rsidR="005853A9">
        <w:rPr>
          <w:kern w:val="0"/>
        </w:rPr>
        <w:t xml:space="preserve"> and </w:t>
      </w:r>
      <w:r>
        <w:rPr>
          <w:kern w:val="0"/>
        </w:rPr>
        <w:t xml:space="preserve">seven quasi-randomized studies with 2,560 participants were </w:t>
      </w:r>
      <w:r>
        <w:rPr>
          <w:kern w:val="0"/>
        </w:rPr>
        <w:lastRenderedPageBreak/>
        <w:t>included in this review. Interventions included antifibrinolytic agents (oral</w:t>
      </w:r>
      <w:r w:rsidR="005853A9">
        <w:rPr>
          <w:kern w:val="0"/>
        </w:rPr>
        <w:t xml:space="preserve"> and </w:t>
      </w:r>
      <w:r>
        <w:rPr>
          <w:kern w:val="0"/>
        </w:rPr>
        <w:t>systemic aminocaproic acid, tranexamic acid,</w:t>
      </w:r>
      <w:r w:rsidR="005853A9">
        <w:rPr>
          <w:kern w:val="0"/>
        </w:rPr>
        <w:t xml:space="preserve"> and </w:t>
      </w:r>
      <w:r>
        <w:rPr>
          <w:kern w:val="0"/>
        </w:rPr>
        <w:t>aminomethylbenzoic acid), corticosteroids (systemic</w:t>
      </w:r>
      <w:r w:rsidR="005853A9">
        <w:rPr>
          <w:kern w:val="0"/>
        </w:rPr>
        <w:t xml:space="preserve"> and </w:t>
      </w:r>
      <w:r>
        <w:rPr>
          <w:kern w:val="0"/>
        </w:rPr>
        <w:t>topical), cycloplegics, miotics, aspirin, conjugated estrogens, monocular versus bilateral patching, elevation</w:t>
      </w:r>
      <w:r w:rsidR="00427468">
        <w:rPr>
          <w:kern w:val="0"/>
        </w:rPr>
        <w:t xml:space="preserve"> of </w:t>
      </w:r>
      <w:r>
        <w:rPr>
          <w:kern w:val="0"/>
        </w:rPr>
        <w:t>the head,</w:t>
      </w:r>
      <w:r w:rsidR="005853A9">
        <w:rPr>
          <w:kern w:val="0"/>
        </w:rPr>
        <w:t xml:space="preserve"> and </w:t>
      </w:r>
      <w:r>
        <w:rPr>
          <w:kern w:val="0"/>
        </w:rPr>
        <w:t>bed rest. No intervention had a significant effect on visual acuity whether measured at two weeks or less after the trauma or at longer time periods</w:t>
      </w:r>
      <w:r w:rsidR="00A37C1D">
        <w:rPr>
          <w:kern w:val="0"/>
        </w:rPr>
        <w:t>. The</w:t>
      </w:r>
      <w:r>
        <w:rPr>
          <w:kern w:val="0"/>
        </w:rPr>
        <w:t xml:space="preserve"> number</w:t>
      </w:r>
      <w:r w:rsidR="00427468">
        <w:rPr>
          <w:kern w:val="0"/>
        </w:rPr>
        <w:t xml:space="preserve"> of </w:t>
      </w:r>
      <w:r>
        <w:rPr>
          <w:kern w:val="0"/>
        </w:rPr>
        <w:t>days for the primary hyphema to resolve appeared to be longer with the use</w:t>
      </w:r>
      <w:r w:rsidR="00427468">
        <w:rPr>
          <w:kern w:val="0"/>
        </w:rPr>
        <w:t xml:space="preserve"> of </w:t>
      </w:r>
      <w:r>
        <w:rPr>
          <w:kern w:val="0"/>
        </w:rPr>
        <w:t>aminocaproic acid compared to no use, but was not altered by any other intervention. Systemic aminocaproic acid reduced the rate</w:t>
      </w:r>
      <w:r w:rsidR="00427468">
        <w:rPr>
          <w:kern w:val="0"/>
        </w:rPr>
        <w:t xml:space="preserve"> of </w:t>
      </w:r>
      <w:r>
        <w:rPr>
          <w:kern w:val="0"/>
        </w:rPr>
        <w:t>recurrent hemorrhage (odds ratio (OR) 0.25, 95% confidence interval (CI) 0.11 to 0.5), but a sensitivity analysis omitting studies not using an intention-to-treat (ITT) analysis reduced the strength</w:t>
      </w:r>
      <w:r w:rsidR="00427468">
        <w:rPr>
          <w:kern w:val="0"/>
        </w:rPr>
        <w:t xml:space="preserve"> of </w:t>
      </w:r>
      <w:r>
        <w:rPr>
          <w:kern w:val="0"/>
        </w:rPr>
        <w:t>the evidence (OR 0.41, 95% CI 0.16 to 1.09). We obtained similar results for topical aminocaproic acid (OR 0.42, 95% CI 0.16 to 1.10). We found tranexamic acid had a significant effect in reducing the rate</w:t>
      </w:r>
      <w:r w:rsidR="00427468">
        <w:rPr>
          <w:kern w:val="0"/>
        </w:rPr>
        <w:t xml:space="preserve"> of </w:t>
      </w:r>
      <w:r>
        <w:rPr>
          <w:kern w:val="0"/>
        </w:rPr>
        <w:t>secondary hemorrhage (OR 0.25, 95% CI 0.13 to 0.49), as did aminomethylbenzoic acid as reported in a single study (OR 0.07, 95% CI 0.01 to 0.32)</w:t>
      </w:r>
      <w:r w:rsidR="00A37C1D">
        <w:rPr>
          <w:kern w:val="0"/>
        </w:rPr>
        <w:t>. The</w:t>
      </w:r>
      <w:r>
        <w:rPr>
          <w:kern w:val="0"/>
        </w:rPr>
        <w:t xml:space="preserve"> evidence to support an associated reduction in the risk</w:t>
      </w:r>
      <w:r w:rsidR="00427468">
        <w:rPr>
          <w:kern w:val="0"/>
        </w:rPr>
        <w:t xml:space="preserve"> of </w:t>
      </w:r>
      <w:r>
        <w:rPr>
          <w:kern w:val="0"/>
        </w:rPr>
        <w:t>complications from secondary hemorrhage (i.e., corneal blood staining, peripheral anterior synechiae, elevated intraocular pressure,</w:t>
      </w:r>
      <w:r w:rsidR="005853A9">
        <w:rPr>
          <w:kern w:val="0"/>
        </w:rPr>
        <w:t xml:space="preserve"> and </w:t>
      </w:r>
      <w:r>
        <w:rPr>
          <w:kern w:val="0"/>
        </w:rPr>
        <w:t>development</w:t>
      </w:r>
      <w:r w:rsidR="00427468">
        <w:rPr>
          <w:kern w:val="0"/>
        </w:rPr>
        <w:t xml:space="preserve"> of </w:t>
      </w:r>
      <w:r>
        <w:rPr>
          <w:kern w:val="0"/>
        </w:rPr>
        <w:t>optic atrophy) by antifibrinolytics was limited by the small number</w:t>
      </w:r>
      <w:r w:rsidR="00427468">
        <w:rPr>
          <w:kern w:val="0"/>
        </w:rPr>
        <w:t xml:space="preserve"> of </w:t>
      </w:r>
      <w:r>
        <w:rPr>
          <w:kern w:val="0"/>
        </w:rPr>
        <w:t>these events. Use</w:t>
      </w:r>
      <w:r w:rsidR="00427468">
        <w:rPr>
          <w:kern w:val="0"/>
        </w:rPr>
        <w:t xml:space="preserve"> of </w:t>
      </w:r>
      <w:r>
        <w:rPr>
          <w:kern w:val="0"/>
        </w:rPr>
        <w:t>aminocaproic acid was associated with increased nausea, vomiting,</w:t>
      </w:r>
      <w:r w:rsidR="005853A9">
        <w:rPr>
          <w:kern w:val="0"/>
        </w:rPr>
        <w:t xml:space="preserve"> and </w:t>
      </w:r>
      <w:r>
        <w:rPr>
          <w:kern w:val="0"/>
        </w:rPr>
        <w:t>other adverse events compares with placebo. We found no difference in the number</w:t>
      </w:r>
      <w:r w:rsidR="00427468">
        <w:rPr>
          <w:kern w:val="0"/>
        </w:rPr>
        <w:t xml:space="preserve"> of </w:t>
      </w:r>
      <w:r>
        <w:rPr>
          <w:kern w:val="0"/>
        </w:rPr>
        <w:t>adverse events with the use</w:t>
      </w:r>
      <w:r w:rsidR="00427468">
        <w:rPr>
          <w:kern w:val="0"/>
        </w:rPr>
        <w:t xml:space="preserve"> of </w:t>
      </w:r>
      <w:r>
        <w:rPr>
          <w:kern w:val="0"/>
        </w:rPr>
        <w:t>systemic versus topical aminocaproic acid or with standard versus lower drug dose</w:t>
      </w:r>
      <w:r w:rsidR="00A37C1D">
        <w:rPr>
          <w:kern w:val="0"/>
        </w:rPr>
        <w:t>. The</w:t>
      </w:r>
      <w:r>
        <w:rPr>
          <w:kern w:val="0"/>
        </w:rPr>
        <w:t xml:space="preserve"> available evidence on </w:t>
      </w:r>
      <w:r w:rsidR="00D5664A">
        <w:rPr>
          <w:kern w:val="0"/>
        </w:rPr>
        <w:t>USA</w:t>
      </w:r>
      <w:r>
        <w:rPr>
          <w:kern w:val="0"/>
        </w:rPr>
        <w:t>ge</w:t>
      </w:r>
      <w:r w:rsidR="00427468">
        <w:rPr>
          <w:kern w:val="0"/>
        </w:rPr>
        <w:t xml:space="preserve"> of </w:t>
      </w:r>
      <w:r>
        <w:rPr>
          <w:kern w:val="0"/>
        </w:rPr>
        <w:t>corticosteroids, cycloplegics or aspirin in traumatic hyphema was limited due to the small numbers</w:t>
      </w:r>
      <w:r w:rsidR="00427468">
        <w:rPr>
          <w:kern w:val="0"/>
        </w:rPr>
        <w:t xml:space="preserve"> of </w:t>
      </w:r>
      <w:r>
        <w:rPr>
          <w:kern w:val="0"/>
        </w:rPr>
        <w:t>participants</w:t>
      </w:r>
      <w:r w:rsidR="005853A9">
        <w:rPr>
          <w:kern w:val="0"/>
        </w:rPr>
        <w:t xml:space="preserve"> and </w:t>
      </w:r>
      <w:r>
        <w:rPr>
          <w:kern w:val="0"/>
        </w:rPr>
        <w:t>events in the trials. We found no difference in effect between a single versus binocular patch nor ambulation versus complete bed rest on the risk</w:t>
      </w:r>
      <w:r w:rsidR="00427468">
        <w:rPr>
          <w:kern w:val="0"/>
        </w:rPr>
        <w:t xml:space="preserve"> of </w:t>
      </w:r>
      <w:r>
        <w:rPr>
          <w:kern w:val="0"/>
        </w:rPr>
        <w:t>secondary hemorrhage or time to rebleed. Authors</w:t>
      </w:r>
      <w:r w:rsidR="0071223E">
        <w:rPr>
          <w:kern w:val="0"/>
        </w:rPr>
        <w:t>’</w:t>
      </w:r>
      <w:r>
        <w:rPr>
          <w:kern w:val="0"/>
        </w:rPr>
        <w:t xml:space="preserve"> conclusions Traumatic hyphema in the absence</w:t>
      </w:r>
      <w:r w:rsidR="00427468">
        <w:rPr>
          <w:kern w:val="0"/>
        </w:rPr>
        <w:t xml:space="preserve"> of </w:t>
      </w:r>
      <w:r>
        <w:rPr>
          <w:kern w:val="0"/>
        </w:rPr>
        <w:t>other intraocular injuries, uncommonly leads to permanent loss</w:t>
      </w:r>
      <w:r w:rsidR="00427468">
        <w:rPr>
          <w:kern w:val="0"/>
        </w:rPr>
        <w:t xml:space="preserve"> of </w:t>
      </w:r>
      <w:r>
        <w:rPr>
          <w:kern w:val="0"/>
        </w:rPr>
        <w:t>vision. Complications resulting from secondary hemorrhage could lead to permanent impairment</w:t>
      </w:r>
      <w:r w:rsidR="00427468">
        <w:rPr>
          <w:kern w:val="0"/>
        </w:rPr>
        <w:t xml:space="preserve"> of </w:t>
      </w:r>
      <w:r>
        <w:rPr>
          <w:kern w:val="0"/>
        </w:rPr>
        <w:t>vision, especially in patients with sickle cell trait/disease. We found no evidence to show an effect on visual acuity by any</w:t>
      </w:r>
      <w:r w:rsidR="00427468">
        <w:rPr>
          <w:kern w:val="0"/>
        </w:rPr>
        <w:t xml:space="preserve"> of </w:t>
      </w:r>
      <w:r>
        <w:rPr>
          <w:kern w:val="0"/>
        </w:rPr>
        <w:t>the interventions evaluated in this review. Although evidence is limited, it appears that patients with traumatic hyphema who receive aminocaproic acid or tranexamic acid are less likely to experience secondary hemorrhaging. However, hyphema in patients on aminocaproic acid take longer to clear. Other than the possible benefits</w:t>
      </w:r>
      <w:r w:rsidR="00427468">
        <w:rPr>
          <w:kern w:val="0"/>
        </w:rPr>
        <w:t xml:space="preserve"> of </w:t>
      </w:r>
      <w:r>
        <w:rPr>
          <w:kern w:val="0"/>
        </w:rPr>
        <w:t xml:space="preserve">antifibrinolytic </w:t>
      </w:r>
      <w:r w:rsidR="00D5664A">
        <w:rPr>
          <w:kern w:val="0"/>
        </w:rPr>
        <w:t>USA</w:t>
      </w:r>
      <w:r>
        <w:rPr>
          <w:kern w:val="0"/>
        </w:rPr>
        <w:t>ge to reduce the rate</w:t>
      </w:r>
      <w:r w:rsidR="00427468">
        <w:rPr>
          <w:kern w:val="0"/>
        </w:rPr>
        <w:t xml:space="preserve"> of </w:t>
      </w:r>
      <w:r>
        <w:rPr>
          <w:kern w:val="0"/>
        </w:rPr>
        <w:t xml:space="preserve">secondary hemorrhage, the decision to use corticosteroids, cycloplegics, or non-drug interventions (such as binocular patching, bed rest, or head elevation) should remain individualized because no solid scientific evidence supports a benefit. As these multiple interventions are rarely used in isolation, further research </w:t>
      </w:r>
      <w:r>
        <w:rPr>
          <w:kern w:val="0"/>
        </w:rPr>
        <w:lastRenderedPageBreak/>
        <w:t>to assess the additive effect</w:t>
      </w:r>
      <w:r w:rsidR="00427468">
        <w:rPr>
          <w:kern w:val="0"/>
        </w:rPr>
        <w:t xml:space="preserve"> of </w:t>
      </w:r>
      <w:r>
        <w:rPr>
          <w:kern w:val="0"/>
        </w:rPr>
        <w:t>these interventions might be</w:t>
      </w:r>
      <w:r w:rsidR="00427468">
        <w:rPr>
          <w:kern w:val="0"/>
        </w:rPr>
        <w:t xml:space="preserve"> of </w:t>
      </w:r>
      <w:r>
        <w:rPr>
          <w:kern w:val="0"/>
        </w:rPr>
        <w:t>value.</w:t>
      </w:r>
    </w:p>
    <w:p w:rsidR="00365DE4" w:rsidRDefault="00365DE4" w:rsidP="00365DE4">
      <w:pPr>
        <w:pStyle w:val="a3"/>
        <w:rPr>
          <w:kern w:val="0"/>
        </w:rPr>
      </w:pPr>
      <w:r>
        <w:rPr>
          <w:kern w:val="0"/>
        </w:rPr>
        <w:t>Keywords: Age, Analysis, Atrophy, Authors, Bed Rest, Blood, Children, Collection, Complications, Confidence, Control, Control Groups, Corticosteroids, Criteria, Data, Databases, Decision, Development, Double-Blind, Drug, Effectiveness, Events, Evidence, Experience, Gender, Hemorrhage, Interval, Intervention,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Lead, Management, Medical, </w:t>
      </w:r>
      <w:r w:rsidR="00D5664A">
        <w:rPr>
          <w:kern w:val="0"/>
        </w:rPr>
        <w:t>MEDLINE</w:t>
      </w:r>
      <w:r>
        <w:rPr>
          <w:kern w:val="0"/>
        </w:rPr>
        <w:t xml:space="preserve">, Model, Nausea, Odds Ratio, Oral, Outcomes, Outpatient Management, Patients, Permanent, Phase-Iii, Placebo, Pressure, Primary, Randomized, Randomized Clinical-Trial, Rates, Recurrent, Reduction, Reference, Reference Lists, Research, Restrictions, Review, Risk, Scientific Evidence, Secondary Hemorrhage, Sensitivity, Sensitivity Analysis, Sickled Erythrocytes, Small, </w:t>
      </w:r>
      <w:r w:rsidR="00D5664A">
        <w:rPr>
          <w:kern w:val="0"/>
        </w:rPr>
        <w:t>SSCI</w:t>
      </w:r>
      <w:r>
        <w:rPr>
          <w:kern w:val="0"/>
        </w:rPr>
        <w:t xml:space="preserve">, Standard, Strategy, Strength, Support, Topical, Topical Aminocaproic Acid, Tranexamic Acid, Trauma, Traumatic, Treatment, Trial, Urokinase, Value, Vomiting,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Yu-Wai-Man, P.</w:t>
      </w:r>
      <w:r w:rsidR="005853A9">
        <w:rPr>
          <w:kern w:val="0"/>
        </w:rPr>
        <w:t xml:space="preserve"> and </w:t>
      </w:r>
      <w:r>
        <w:rPr>
          <w:kern w:val="0"/>
        </w:rPr>
        <w:t xml:space="preserve">Griffiths, P.G. (2011), Steroids for traumatic optic neuropathy.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CD006032.</w:t>
      </w:r>
    </w:p>
    <w:p w:rsidR="00365DE4" w:rsidRDefault="00365DE4" w:rsidP="00365DE4">
      <w:pPr>
        <w:pStyle w:val="a3"/>
        <w:rPr>
          <w:kern w:val="0"/>
        </w:rPr>
      </w:pPr>
      <w:r>
        <w:t xml:space="preserve">Full Text: </w:t>
      </w:r>
      <w:hyperlink r:id="rId637" w:history="1">
        <w:r>
          <w:rPr>
            <w:rStyle w:val="a5"/>
          </w:rPr>
          <w:t>2011\Coc Dat Sys Rev2011, CD006032.pdf</w:t>
        </w:r>
      </w:hyperlink>
    </w:p>
    <w:p w:rsidR="00365DE4" w:rsidRDefault="00365DE4" w:rsidP="00365DE4">
      <w:pPr>
        <w:pStyle w:val="a3"/>
        <w:rPr>
          <w:kern w:val="0"/>
        </w:rPr>
      </w:pPr>
      <w:r>
        <w:rPr>
          <w:kern w:val="0"/>
        </w:rPr>
        <w:t>Abstract: Background Traumatic optic neuropathy (TON) is an important cause</w:t>
      </w:r>
      <w:r w:rsidR="00427468">
        <w:rPr>
          <w:kern w:val="0"/>
        </w:rPr>
        <w:t xml:space="preserve"> of </w:t>
      </w:r>
      <w:r>
        <w:rPr>
          <w:kern w:val="0"/>
        </w:rPr>
        <w:t>severe visual loss following blunt or penetrating head trauma. Following the initial injury, optic nerve swelling within the optic nerve canal can result in secondary retinal ganglion cell loss. Optic nerve decompression with steroids or surgical interventions or both has therefore been advocated as a means</w:t>
      </w:r>
      <w:r w:rsidR="00427468">
        <w:rPr>
          <w:kern w:val="0"/>
        </w:rPr>
        <w:t xml:space="preserve"> of </w:t>
      </w:r>
      <w:r>
        <w:rPr>
          <w:kern w:val="0"/>
        </w:rPr>
        <w:t>improving visual prognosis in TON. Objectives The aim</w:t>
      </w:r>
      <w:r w:rsidR="00427468">
        <w:rPr>
          <w:kern w:val="0"/>
        </w:rPr>
        <w:t xml:space="preserve"> of </w:t>
      </w:r>
      <w:r>
        <w:rPr>
          <w:kern w:val="0"/>
        </w:rPr>
        <w:t>this review was to examine the effectiveness</w:t>
      </w:r>
      <w:r w:rsidR="005853A9">
        <w:rPr>
          <w:kern w:val="0"/>
        </w:rPr>
        <w:t xml:space="preserve"> and </w:t>
      </w:r>
      <w:r>
        <w:rPr>
          <w:kern w:val="0"/>
        </w:rPr>
        <w:t>safety</w:t>
      </w:r>
      <w:r w:rsidR="00427468">
        <w:rPr>
          <w:kern w:val="0"/>
        </w:rPr>
        <w:t xml:space="preserve"> of </w:t>
      </w:r>
      <w:r>
        <w:rPr>
          <w:kern w:val="0"/>
        </w:rPr>
        <w:t>using steroids in TON. Search strategy We searched CENTRAL (which contains the Cochrane Eyes</w:t>
      </w:r>
      <w:r w:rsidR="005853A9">
        <w:rPr>
          <w:kern w:val="0"/>
        </w:rPr>
        <w:t xml:space="preserve"> and </w:t>
      </w:r>
      <w:r>
        <w:rPr>
          <w:kern w:val="0"/>
        </w:rPr>
        <w:t xml:space="preserve">Vision Group Trials Register) (The Cochrane Library 2010, Issue 11), </w:t>
      </w:r>
      <w:r w:rsidR="00D5664A">
        <w:rPr>
          <w:kern w:val="0"/>
        </w:rPr>
        <w:t>MEDLINE</w:t>
      </w:r>
      <w:r>
        <w:rPr>
          <w:kern w:val="0"/>
        </w:rPr>
        <w:t xml:space="preserve"> (January 1950 to November 2010), EMBASE (January 1980 to November 2010), Latin American</w:t>
      </w:r>
      <w:r w:rsidR="005853A9">
        <w:rPr>
          <w:kern w:val="0"/>
        </w:rPr>
        <w:t xml:space="preserve"> and </w:t>
      </w:r>
      <w:r>
        <w:rPr>
          <w:kern w:val="0"/>
        </w:rPr>
        <w:t>Caribbean Literature on Health Sciences (LILACS) (January 1982 to November 2010), the metaRegister</w:t>
      </w:r>
      <w:r w:rsidR="00427468">
        <w:rPr>
          <w:kern w:val="0"/>
        </w:rPr>
        <w:t xml:space="preserve"> of </w:t>
      </w:r>
      <w:r>
        <w:rPr>
          <w:kern w:val="0"/>
        </w:rPr>
        <w:t>Controlled Trials (mRCT) (www.controlled-trials.com), ClinicalTrials.gov (http://clinicaltrials.gov)</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Conference Proceedings Citation Index-Science (CPCIS)</w:t>
      </w:r>
      <w:r w:rsidR="00A37C1D">
        <w:rPr>
          <w:kern w:val="0"/>
        </w:rPr>
        <w:t>. The</w:t>
      </w:r>
      <w:r>
        <w:rPr>
          <w:kern w:val="0"/>
        </w:rPr>
        <w:t>re were no language or date restrictions in the search for trials</w:t>
      </w:r>
      <w:r w:rsidR="00A37C1D">
        <w:rPr>
          <w:kern w:val="0"/>
        </w:rPr>
        <w:t>. The</w:t>
      </w:r>
      <w:r>
        <w:rPr>
          <w:kern w:val="0"/>
        </w:rPr>
        <w:t xml:space="preserve"> electronic databases were last searched on 23 November 2010. We also searched the reference lists</w:t>
      </w:r>
      <w:r w:rsidR="00427468">
        <w:rPr>
          <w:kern w:val="0"/>
        </w:rPr>
        <w:t xml:space="preserve"> of </w:t>
      </w:r>
      <w:r>
        <w:rPr>
          <w:kern w:val="0"/>
        </w:rPr>
        <w:t>included studies, other reviews</w:t>
      </w:r>
      <w:r w:rsidR="005853A9">
        <w:rPr>
          <w:kern w:val="0"/>
        </w:rPr>
        <w:t xml:space="preserve"> and </w:t>
      </w:r>
      <w:r>
        <w:rPr>
          <w:kern w:val="0"/>
        </w:rPr>
        <w:t>book chapters on TON to find references to additional trials</w:t>
      </w:r>
      <w:r w:rsidR="00A37C1D">
        <w:rPr>
          <w:kern w:val="0"/>
        </w:rPr>
        <w:t>. The</w:t>
      </w:r>
      <w:r>
        <w:rPr>
          <w:kern w:val="0"/>
        </w:rPr>
        <w:t xml:space="preserve"> Science Citation Index was used to look for papers that cited the studies included in this review. We did not manually search any journals or conference proceedings. We contacted trial investigators</w:t>
      </w:r>
      <w:r w:rsidR="005853A9">
        <w:rPr>
          <w:kern w:val="0"/>
        </w:rPr>
        <w:t xml:space="preserve"> and </w:t>
      </w:r>
      <w:r>
        <w:rPr>
          <w:kern w:val="0"/>
        </w:rPr>
        <w:t>experts in the field to identify additional published</w:t>
      </w:r>
      <w:r w:rsidR="005853A9">
        <w:rPr>
          <w:kern w:val="0"/>
        </w:rPr>
        <w:t xml:space="preserve"> and </w:t>
      </w:r>
      <w:r>
        <w:rPr>
          <w:kern w:val="0"/>
        </w:rPr>
        <w:t>unpublished studies. Selection criteria We planned to include only randomised controlled trials (RCTs)</w:t>
      </w:r>
      <w:r w:rsidR="00427468">
        <w:rPr>
          <w:kern w:val="0"/>
        </w:rPr>
        <w:t xml:space="preserve"> of </w:t>
      </w:r>
      <w:r>
        <w:rPr>
          <w:kern w:val="0"/>
        </w:rPr>
        <w:t xml:space="preserve">TON in which any steroid regime, either on its own or in combination with surgical optic nerve decompression, was compared to surgery </w:t>
      </w:r>
      <w:r>
        <w:rPr>
          <w:kern w:val="0"/>
        </w:rPr>
        <w:lastRenderedPageBreak/>
        <w:t>alone or no treatment. Data collection</w:t>
      </w:r>
      <w:r w:rsidR="005853A9">
        <w:rPr>
          <w:kern w:val="0"/>
        </w:rPr>
        <w:t xml:space="preserve"> and </w:t>
      </w:r>
      <w:r>
        <w:rPr>
          <w:kern w:val="0"/>
        </w:rPr>
        <w:t>analysis Two review authors independently assessed the titles</w:t>
      </w:r>
      <w:r w:rsidR="005853A9">
        <w:rPr>
          <w:kern w:val="0"/>
        </w:rPr>
        <w:t xml:space="preserve"> and </w:t>
      </w:r>
      <w:r>
        <w:rPr>
          <w:kern w:val="0"/>
        </w:rPr>
        <w:t>abstracts identified from the electronic searches. Main results We included one study that met our selection criteria; a double-masked, placebo-controlled, randomised trial</w:t>
      </w:r>
      <w:r w:rsidR="00427468">
        <w:rPr>
          <w:kern w:val="0"/>
        </w:rPr>
        <w:t xml:space="preserve"> of </w:t>
      </w:r>
      <w:r>
        <w:rPr>
          <w:kern w:val="0"/>
        </w:rPr>
        <w:t>high dose intravenous steroids in patients with indirect TON diagnosed within seven days</w:t>
      </w:r>
      <w:r w:rsidR="00427468">
        <w:rPr>
          <w:kern w:val="0"/>
        </w:rPr>
        <w:t xml:space="preserve"> of </w:t>
      </w:r>
      <w:r>
        <w:rPr>
          <w:kern w:val="0"/>
        </w:rPr>
        <w:t>the initial injury. A total</w:t>
      </w:r>
      <w:r w:rsidR="00427468">
        <w:rPr>
          <w:kern w:val="0"/>
        </w:rPr>
        <w:t xml:space="preserve"> of </w:t>
      </w:r>
      <w:r>
        <w:rPr>
          <w:kern w:val="0"/>
        </w:rPr>
        <w:t>31 eligible participants were randomised to receive either high dose intravenous steroids (n = 16) or placebo (n = 15),</w:t>
      </w:r>
      <w:r w:rsidR="005853A9">
        <w:rPr>
          <w:kern w:val="0"/>
        </w:rPr>
        <w:t xml:space="preserve"> and </w:t>
      </w:r>
      <w:r>
        <w:rPr>
          <w:kern w:val="0"/>
        </w:rPr>
        <w:t>they were all followed-up for three months. Mean final best corrected visual acuity (BCVA) was 1.78 +/- 1.23 Logarithm</w:t>
      </w:r>
      <w:r w:rsidR="00427468">
        <w:rPr>
          <w:kern w:val="0"/>
        </w:rPr>
        <w:t xml:space="preserve"> of </w:t>
      </w:r>
      <w:r>
        <w:rPr>
          <w:kern w:val="0"/>
        </w:rPr>
        <w:t>the Minimum Angle</w:t>
      </w:r>
      <w:r w:rsidR="00427468">
        <w:rPr>
          <w:kern w:val="0"/>
        </w:rPr>
        <w:t xml:space="preserve"> of </w:t>
      </w:r>
      <w:r>
        <w:rPr>
          <w:kern w:val="0"/>
        </w:rPr>
        <w:t>Resolution (LogMAR) in the placebo group,</w:t>
      </w:r>
      <w:r w:rsidR="005853A9">
        <w:rPr>
          <w:kern w:val="0"/>
        </w:rPr>
        <w:t xml:space="preserve"> and </w:t>
      </w:r>
      <w:r>
        <w:rPr>
          <w:kern w:val="0"/>
        </w:rPr>
        <w:t>1.11 +/- 1.14 LogMAR in the steroid group</w:t>
      </w:r>
      <w:r w:rsidR="00A37C1D">
        <w:rPr>
          <w:kern w:val="0"/>
        </w:rPr>
        <w:t>. The</w:t>
      </w:r>
      <w:r>
        <w:rPr>
          <w:kern w:val="0"/>
        </w:rPr>
        <w:t xml:space="preserve"> mean difference in BCVA between the placebo</w:t>
      </w:r>
      <w:r w:rsidR="005853A9">
        <w:rPr>
          <w:kern w:val="0"/>
        </w:rPr>
        <w:t xml:space="preserve"> and </w:t>
      </w:r>
      <w:r>
        <w:rPr>
          <w:kern w:val="0"/>
        </w:rPr>
        <w:t>steroid groups was 0.67 LogMAR (95% confidence interval -1.54 to 0.20),</w:t>
      </w:r>
      <w:r w:rsidR="005853A9">
        <w:rPr>
          <w:kern w:val="0"/>
        </w:rPr>
        <w:t xml:space="preserve"> and </w:t>
      </w:r>
      <w:r>
        <w:rPr>
          <w:kern w:val="0"/>
        </w:rPr>
        <w:t>this difference was not statistically significant (P = 0.13). At three months follow-up, an improvement in BCVA</w:t>
      </w:r>
      <w:r w:rsidR="00427468">
        <w:rPr>
          <w:kern w:val="0"/>
        </w:rPr>
        <w:t xml:space="preserve"> of </w:t>
      </w:r>
      <w:r>
        <w:rPr>
          <w:kern w:val="0"/>
        </w:rPr>
        <w:t>0.40 LogMAR occurred in eight eyes (8/15, 53.3%) in the placebo group,</w:t>
      </w:r>
      <w:r w:rsidR="005853A9">
        <w:rPr>
          <w:kern w:val="0"/>
        </w:rPr>
        <w:t xml:space="preserve"> and </w:t>
      </w:r>
      <w:r>
        <w:rPr>
          <w:kern w:val="0"/>
        </w:rPr>
        <w:t>in 11 eyes (11/16, 68.8%) in the treatment group. This difference was not statistically significant (P = 0.38). Authors</w:t>
      </w:r>
      <w:r w:rsidR="0071223E">
        <w:rPr>
          <w:kern w:val="0"/>
        </w:rPr>
        <w:t>’</w:t>
      </w:r>
      <w:r>
        <w:rPr>
          <w:kern w:val="0"/>
        </w:rPr>
        <w:t xml:space="preserve"> conclusions There is a relatively high rate</w:t>
      </w:r>
      <w:r w:rsidR="00427468">
        <w:rPr>
          <w:kern w:val="0"/>
        </w:rPr>
        <w:t xml:space="preserve"> of </w:t>
      </w:r>
      <w:r>
        <w:rPr>
          <w:kern w:val="0"/>
        </w:rPr>
        <w:t>spontaneous visual recovery in TON</w:t>
      </w:r>
      <w:r w:rsidR="005853A9">
        <w:rPr>
          <w:kern w:val="0"/>
        </w:rPr>
        <w:t xml:space="preserve"> and </w:t>
      </w:r>
      <w:r>
        <w:rPr>
          <w:kern w:val="0"/>
        </w:rPr>
        <w:t>there is no convincing data that steroids provide any additional visual benefit over observation alone. Recent evidence also suggests a possible detrimental effect</w:t>
      </w:r>
      <w:r w:rsidR="00427468">
        <w:rPr>
          <w:kern w:val="0"/>
        </w:rPr>
        <w:t xml:space="preserve"> of </w:t>
      </w:r>
      <w:r>
        <w:rPr>
          <w:kern w:val="0"/>
        </w:rPr>
        <w:t>steroids in TON</w:t>
      </w:r>
      <w:r w:rsidR="005853A9">
        <w:rPr>
          <w:kern w:val="0"/>
        </w:rPr>
        <w:t xml:space="preserve"> and </w:t>
      </w:r>
      <w:r>
        <w:rPr>
          <w:kern w:val="0"/>
        </w:rPr>
        <w:t>further studies are urgently needed to clarify this important issue. Each case therefore needs to be assessed on an individual basis</w:t>
      </w:r>
      <w:r w:rsidR="005853A9">
        <w:rPr>
          <w:kern w:val="0"/>
        </w:rPr>
        <w:t xml:space="preserve"> and </w:t>
      </w:r>
      <w:r>
        <w:rPr>
          <w:kern w:val="0"/>
        </w:rPr>
        <w:t>proper informed consent is paramount.</w:t>
      </w:r>
    </w:p>
    <w:p w:rsidR="00365DE4" w:rsidRDefault="00365DE4" w:rsidP="00365DE4">
      <w:pPr>
        <w:pStyle w:val="a3"/>
        <w:rPr>
          <w:kern w:val="0"/>
        </w:rPr>
      </w:pPr>
      <w:r>
        <w:rPr>
          <w:kern w:val="0"/>
        </w:rPr>
        <w:t xml:space="preserve">Keywords: Analysis, Authors, Blindness, Collection, Confidence, Consent, Controlled-Trial, Counting Fingers, Criteria, Data, Databases, Effectiveness, Evidence, Experts, Field, Follow-Up, Hand Motion, Head Trauma, Head-Injury, High Dose, Humans, Improvement, Informed Consent, Injury, Interval, Interventions, Intravenous, Journals, </w:t>
      </w:r>
      <w:r w:rsidR="00D5664A">
        <w:rPr>
          <w:kern w:val="0"/>
        </w:rPr>
        <w:t>MEDLINE</w:t>
      </w:r>
      <w:r>
        <w:rPr>
          <w:kern w:val="0"/>
        </w:rPr>
        <w:t xml:space="preserve">, Methylprednisolone, Methylprednisolone [Administration &amp; Dosage], Needs, Nerve Trauma, Neuropathy, Nonsurgical Treatment, Observation, Optic Nerve Injuries [Drug Therapy], Optic Neuropathy, P, Papers, Patients, Placebo, Prognosis, Randomised, Randomised Controlled Trials, Randomised Trial, Recovery, Reference, Reference Lists, References, Restrictions, Review, Reviews, Safety, Science Citation Index, Selection Criteria, Spinal-Cord-Injury, Steroids, Steroids [Administration &amp; Dosage, Strategy, Surgery, Swelling, Therapeutic Use], Trauma, Traumatic, Treatment, Trial, Visual-Acuity Test,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Kisely, S.R., Campbell, L.A.</w:t>
      </w:r>
      <w:r w:rsidR="005853A9">
        <w:rPr>
          <w:kern w:val="0"/>
        </w:rPr>
        <w:t xml:space="preserve"> and </w:t>
      </w:r>
      <w:r>
        <w:rPr>
          <w:kern w:val="0"/>
        </w:rPr>
        <w:t>Preston, N.J. (2011), Compulsory community</w:t>
      </w:r>
      <w:r w:rsidR="005853A9">
        <w:rPr>
          <w:kern w:val="0"/>
        </w:rPr>
        <w:t xml:space="preserve"> and </w:t>
      </w:r>
      <w:r>
        <w:rPr>
          <w:kern w:val="0"/>
        </w:rPr>
        <w:t xml:space="preserve">involuntary outpatient treatment for people with severe mental disorders.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CD004408.</w:t>
      </w:r>
    </w:p>
    <w:p w:rsidR="00365DE4" w:rsidRDefault="00365DE4" w:rsidP="00365DE4">
      <w:pPr>
        <w:pStyle w:val="a3"/>
        <w:rPr>
          <w:kern w:val="0"/>
        </w:rPr>
      </w:pPr>
      <w:r>
        <w:t xml:space="preserve">Full Text: </w:t>
      </w:r>
      <w:hyperlink r:id="rId638" w:history="1">
        <w:r>
          <w:rPr>
            <w:rStyle w:val="a5"/>
          </w:rPr>
          <w:t>2011\Coc Dat Sys Rev2011, CD004408.pdf</w:t>
        </w:r>
      </w:hyperlink>
    </w:p>
    <w:p w:rsidR="00365DE4" w:rsidRDefault="00365DE4" w:rsidP="00365DE4">
      <w:pPr>
        <w:pStyle w:val="a3"/>
        <w:rPr>
          <w:kern w:val="0"/>
        </w:rPr>
      </w:pPr>
      <w:r>
        <w:rPr>
          <w:kern w:val="0"/>
        </w:rPr>
        <w:t xml:space="preserve">Abstract: Backround There is controversy as to whether compulsory community </w:t>
      </w:r>
      <w:r>
        <w:rPr>
          <w:kern w:val="0"/>
        </w:rPr>
        <w:lastRenderedPageBreak/>
        <w:t>treatment for people with severe mental illnesses reduces health service use, or improves clinical outcome</w:t>
      </w:r>
      <w:r w:rsidR="005853A9">
        <w:rPr>
          <w:kern w:val="0"/>
        </w:rPr>
        <w:t xml:space="preserve"> and </w:t>
      </w:r>
      <w:r>
        <w:rPr>
          <w:kern w:val="0"/>
        </w:rPr>
        <w:t>social functioning. Given the widespread use</w:t>
      </w:r>
      <w:r w:rsidR="00427468">
        <w:rPr>
          <w:kern w:val="0"/>
        </w:rPr>
        <w:t xml:space="preserve"> of </w:t>
      </w:r>
      <w:r>
        <w:rPr>
          <w:kern w:val="0"/>
        </w:rPr>
        <w:t>such powers it is important to assess the effects</w:t>
      </w:r>
      <w:r w:rsidR="00427468">
        <w:rPr>
          <w:kern w:val="0"/>
        </w:rPr>
        <w:t xml:space="preserve"> of </w:t>
      </w:r>
      <w:r>
        <w:rPr>
          <w:kern w:val="0"/>
        </w:rPr>
        <w:t>this type</w:t>
      </w:r>
      <w:r w:rsidR="00427468">
        <w:rPr>
          <w:kern w:val="0"/>
        </w:rPr>
        <w:t xml:space="preserve"> of </w:t>
      </w:r>
      <w:r>
        <w:rPr>
          <w:kern w:val="0"/>
        </w:rPr>
        <w:t>legislation. Objectives To examine the clinical</w:t>
      </w:r>
      <w:r w:rsidR="005853A9">
        <w:rPr>
          <w:kern w:val="0"/>
        </w:rPr>
        <w:t xml:space="preserve"> and </w:t>
      </w:r>
      <w:r>
        <w:rPr>
          <w:kern w:val="0"/>
        </w:rPr>
        <w:t>cost effectiveness</w:t>
      </w:r>
      <w:r w:rsidR="00427468">
        <w:rPr>
          <w:kern w:val="0"/>
        </w:rPr>
        <w:t xml:space="preserve"> of </w:t>
      </w:r>
      <w:r>
        <w:rPr>
          <w:kern w:val="0"/>
        </w:rPr>
        <w:t>compulsory community treatment for people with severe mental illness. Search strategy We undertook searches</w:t>
      </w:r>
      <w:r w:rsidR="00427468">
        <w:rPr>
          <w:kern w:val="0"/>
        </w:rPr>
        <w:t xml:space="preserve"> of </w:t>
      </w:r>
      <w:r>
        <w:rPr>
          <w:kern w:val="0"/>
        </w:rPr>
        <w:t>the Cochrane Schizophrenia Group Register 2003, 2008,</w:t>
      </w:r>
      <w:r w:rsidR="005853A9">
        <w:rPr>
          <w:kern w:val="0"/>
        </w:rPr>
        <w:t xml:space="preserve"> and </w:t>
      </w:r>
      <w:r>
        <w:rPr>
          <w:kern w:val="0"/>
        </w:rPr>
        <w:t>Science Citation Index. We obtained all references</w:t>
      </w:r>
      <w:r w:rsidR="00427468">
        <w:rPr>
          <w:kern w:val="0"/>
        </w:rPr>
        <w:t xml:space="preserve"> of </w:t>
      </w:r>
      <w:r>
        <w:rPr>
          <w:kern w:val="0"/>
        </w:rPr>
        <w:t>identified studies</w:t>
      </w:r>
      <w:r w:rsidR="005853A9">
        <w:rPr>
          <w:kern w:val="0"/>
        </w:rPr>
        <w:t xml:space="preserve"> and </w:t>
      </w:r>
      <w:r>
        <w:rPr>
          <w:kern w:val="0"/>
        </w:rPr>
        <w:t>contacted authors</w:t>
      </w:r>
      <w:r w:rsidR="00427468">
        <w:rPr>
          <w:kern w:val="0"/>
        </w:rPr>
        <w:t xml:space="preserve"> of </w:t>
      </w:r>
      <w:r>
        <w:rPr>
          <w:kern w:val="0"/>
        </w:rPr>
        <w:t>each included study. Selection criteria All relevant randomised controlled clinical trials</w:t>
      </w:r>
      <w:r w:rsidR="00427468">
        <w:rPr>
          <w:kern w:val="0"/>
        </w:rPr>
        <w:t xml:space="preserve"> of </w:t>
      </w:r>
      <w:r>
        <w:rPr>
          <w:kern w:val="0"/>
        </w:rPr>
        <w:t>compulsory community treatment compared with standard care for people with severe mental illness. Data collection</w:t>
      </w:r>
      <w:r w:rsidR="005853A9">
        <w:rPr>
          <w:kern w:val="0"/>
        </w:rPr>
        <w:t xml:space="preserve"> and </w:t>
      </w:r>
      <w:r>
        <w:rPr>
          <w:kern w:val="0"/>
        </w:rPr>
        <w:t>analysis We reliably selected</w:t>
      </w:r>
      <w:r w:rsidR="005853A9">
        <w:rPr>
          <w:kern w:val="0"/>
        </w:rPr>
        <w:t xml:space="preserve"> and </w:t>
      </w:r>
      <w:r>
        <w:rPr>
          <w:kern w:val="0"/>
        </w:rPr>
        <w:t>quality assessed studies</w:t>
      </w:r>
      <w:r w:rsidR="005853A9">
        <w:rPr>
          <w:kern w:val="0"/>
        </w:rPr>
        <w:t xml:space="preserve"> and </w:t>
      </w:r>
      <w:r>
        <w:rPr>
          <w:kern w:val="0"/>
        </w:rPr>
        <w:t>extracted data. For binary outcomes, we calculated a fixed effects risk ratio (RR), its 95% confidence interval (CI) and, where possible, the weighted number needed to treat/harm statistic (NNT/H). Main results We identified two randomised clinical trials (total n = 416)</w:t>
      </w:r>
      <w:r w:rsidR="00427468">
        <w:rPr>
          <w:kern w:val="0"/>
        </w:rPr>
        <w:t xml:space="preserve"> of </w:t>
      </w:r>
      <w:r>
        <w:rPr>
          <w:kern w:val="0"/>
        </w:rPr>
        <w:t xml:space="preserve">court-ordered </w:t>
      </w:r>
      <w:r w:rsidR="0071223E">
        <w:rPr>
          <w:kern w:val="0"/>
        </w:rPr>
        <w:t>‘</w:t>
      </w:r>
      <w:r>
        <w:rPr>
          <w:kern w:val="0"/>
        </w:rPr>
        <w:t>Outpatient Commitment</w:t>
      </w:r>
      <w:r w:rsidR="0071223E">
        <w:rPr>
          <w:kern w:val="0"/>
        </w:rPr>
        <w:t>’</w:t>
      </w:r>
      <w:r>
        <w:rPr>
          <w:kern w:val="0"/>
        </w:rPr>
        <w:t xml:space="preserve"> (OPC) from the </w:t>
      </w:r>
      <w:r w:rsidR="00D5664A">
        <w:rPr>
          <w:kern w:val="0"/>
        </w:rPr>
        <w:t>USA</w:t>
      </w:r>
      <w:r>
        <w:rPr>
          <w:kern w:val="0"/>
        </w:rPr>
        <w:t>. We found little evidence that compulsory community treatment was effective in any</w:t>
      </w:r>
      <w:r w:rsidR="00427468">
        <w:rPr>
          <w:kern w:val="0"/>
        </w:rPr>
        <w:t xml:space="preserve"> of </w:t>
      </w:r>
      <w:r>
        <w:rPr>
          <w:kern w:val="0"/>
        </w:rPr>
        <w:t>the main outcome indices: health service use (2 RCTs, n = 416, RR for readmission to hospital by 11-12 months 0.98 CI 0.79 to 1.2); social functioning (2 RCTs, n = 416, RR for arrested at least once by 11-12 months 0.97 CI 0.62 to 1.52); mental state; quality</w:t>
      </w:r>
      <w:r w:rsidR="00427468">
        <w:rPr>
          <w:kern w:val="0"/>
        </w:rPr>
        <w:t xml:space="preserve"> of </w:t>
      </w:r>
      <w:r>
        <w:rPr>
          <w:kern w:val="0"/>
        </w:rPr>
        <w:t>life (2 RCTs, n = 416, RR for homelessness 0.67 CI 0.39 to 1.15) or satisfaction with care (2 RCTs, n = 416, RR for perceived coercion 1.36 CI 0.97 to 1.89). However, risk</w:t>
      </w:r>
      <w:r w:rsidR="00427468">
        <w:rPr>
          <w:kern w:val="0"/>
        </w:rPr>
        <w:t xml:space="preserve"> of </w:t>
      </w:r>
      <w:r>
        <w:rPr>
          <w:kern w:val="0"/>
        </w:rPr>
        <w:t>victimisation may decrease with OPC (1 RCT, n = 264, RR 0.5 CI 0.31 to 0.8). In terms</w:t>
      </w:r>
      <w:r w:rsidR="00427468">
        <w:rPr>
          <w:kern w:val="0"/>
        </w:rPr>
        <w:t xml:space="preserve"> of </w:t>
      </w:r>
      <w:r>
        <w:rPr>
          <w:kern w:val="0"/>
        </w:rPr>
        <w:t>numbers needed to treat (NNT), it would take 85 OPC orders to prevent one readmission, 27 to prevent one episode</w:t>
      </w:r>
      <w:r w:rsidR="00427468">
        <w:rPr>
          <w:kern w:val="0"/>
        </w:rPr>
        <w:t xml:space="preserve"> of </w:t>
      </w:r>
      <w:r>
        <w:rPr>
          <w:kern w:val="0"/>
        </w:rPr>
        <w:t>homelessness</w:t>
      </w:r>
      <w:r w:rsidR="005853A9">
        <w:rPr>
          <w:kern w:val="0"/>
        </w:rPr>
        <w:t xml:space="preserve"> and </w:t>
      </w:r>
      <w:r>
        <w:rPr>
          <w:kern w:val="0"/>
        </w:rPr>
        <w:t>238 to prevent one arrest</w:t>
      </w:r>
      <w:r w:rsidR="00A37C1D">
        <w:rPr>
          <w:kern w:val="0"/>
        </w:rPr>
        <w:t>. The</w:t>
      </w:r>
      <w:r>
        <w:rPr>
          <w:kern w:val="0"/>
        </w:rPr>
        <w:t xml:space="preserve"> NNT for the reduction</w:t>
      </w:r>
      <w:r w:rsidR="00427468">
        <w:rPr>
          <w:kern w:val="0"/>
        </w:rPr>
        <w:t xml:space="preserve"> of </w:t>
      </w:r>
      <w:r>
        <w:rPr>
          <w:kern w:val="0"/>
        </w:rPr>
        <w:t>victimisation was lower at six (CI 6 to 6.5). A new search for trials in 2008 did not find any new trials that were relevant to this review. Authors</w:t>
      </w:r>
      <w:r w:rsidR="0071223E">
        <w:rPr>
          <w:kern w:val="0"/>
        </w:rPr>
        <w:t>’</w:t>
      </w:r>
      <w:r>
        <w:rPr>
          <w:kern w:val="0"/>
        </w:rPr>
        <w:t xml:space="preserve"> conclusions Compulsory community treatment results in no significant difference in service use, social functioning or quality</w:t>
      </w:r>
      <w:r w:rsidR="00427468">
        <w:rPr>
          <w:kern w:val="0"/>
        </w:rPr>
        <w:t xml:space="preserve"> of </w:t>
      </w:r>
      <w:r>
        <w:rPr>
          <w:kern w:val="0"/>
        </w:rPr>
        <w:t>life compared with standard care. People receiving compulsory community treatment were, however, less likely to be victims</w:t>
      </w:r>
      <w:r w:rsidR="00427468">
        <w:rPr>
          <w:kern w:val="0"/>
        </w:rPr>
        <w:t xml:space="preserve"> of </w:t>
      </w:r>
      <w:r>
        <w:rPr>
          <w:kern w:val="0"/>
        </w:rPr>
        <w:t>violent or non-violent crime. It is unclear whether this benefit is due to the intensity</w:t>
      </w:r>
      <w:r w:rsidR="00427468">
        <w:rPr>
          <w:kern w:val="0"/>
        </w:rPr>
        <w:t xml:space="preserve"> of </w:t>
      </w:r>
      <w:r>
        <w:rPr>
          <w:kern w:val="0"/>
        </w:rPr>
        <w:t>treatment or its compulsory nature. Evaluation</w:t>
      </w:r>
      <w:r w:rsidR="00427468">
        <w:rPr>
          <w:kern w:val="0"/>
        </w:rPr>
        <w:t xml:space="preserve"> of </w:t>
      </w:r>
      <w:r>
        <w:rPr>
          <w:kern w:val="0"/>
        </w:rPr>
        <w:t>a wide range</w:t>
      </w:r>
      <w:r w:rsidR="00427468">
        <w:rPr>
          <w:kern w:val="0"/>
        </w:rPr>
        <w:t xml:space="preserve"> of </w:t>
      </w:r>
      <w:r>
        <w:rPr>
          <w:kern w:val="0"/>
        </w:rPr>
        <w:t>outcomes should be considered when this type</w:t>
      </w:r>
      <w:r w:rsidR="00427468">
        <w:rPr>
          <w:kern w:val="0"/>
        </w:rPr>
        <w:t xml:space="preserve"> of </w:t>
      </w:r>
      <w:r>
        <w:rPr>
          <w:kern w:val="0"/>
        </w:rPr>
        <w:t>legislation is introduced.</w:t>
      </w:r>
    </w:p>
    <w:p w:rsidR="00365DE4" w:rsidRDefault="00365DE4" w:rsidP="00365DE4">
      <w:pPr>
        <w:pStyle w:val="a3"/>
        <w:rPr>
          <w:kern w:val="0"/>
        </w:rPr>
      </w:pPr>
      <w:r>
        <w:rPr>
          <w:kern w:val="0"/>
        </w:rPr>
        <w:t>Keywords: Ambulatory Care [Standards, Analysis, Authors, Care, Citation, Civil Commitment, Clinical, Clinical Trials, Coercion, Collection, Commitment</w:t>
      </w:r>
      <w:r w:rsidR="00427468">
        <w:rPr>
          <w:kern w:val="0"/>
        </w:rPr>
        <w:t xml:space="preserve"> of </w:t>
      </w:r>
      <w:r>
        <w:rPr>
          <w:kern w:val="0"/>
        </w:rPr>
        <w:t>Mentally Ill [Legislation &amp; Jurisprudence, Community, Community Mental Health Services [Legislation &amp; Jurisprudence, Conditional Release, Confidence, Consort Statement, Cost, Cost Effectiveness, Cost-Effectiveness, Crime, Crime Victims, Criteria, Data, Effectiveness, Evaluation, Evidence, Health, Health-Service Use, Hospital, Humans, Indices, Interval, Legislation, Length</w:t>
      </w:r>
      <w:r w:rsidR="00427468">
        <w:rPr>
          <w:kern w:val="0"/>
        </w:rPr>
        <w:t xml:space="preserve"> of </w:t>
      </w:r>
      <w:r>
        <w:rPr>
          <w:kern w:val="0"/>
        </w:rPr>
        <w:t xml:space="preserve">Stay [Statistics &amp; </w:t>
      </w:r>
      <w:r>
        <w:rPr>
          <w:kern w:val="0"/>
        </w:rPr>
        <w:lastRenderedPageBreak/>
        <w:t>Numerical Data], Life, Mental Disorders, Mental Disorders [Therapy], Mental Illness, North-Carolina, Offender Databases, Outcome, Outcomes, Outpatient, Patient Satisfaction, Psychiatric Rating-Scale, Quality, Quality Of, Quality</w:t>
      </w:r>
      <w:r w:rsidR="00427468">
        <w:rPr>
          <w:kern w:val="0"/>
        </w:rPr>
        <w:t xml:space="preserve"> of </w:t>
      </w:r>
      <w:r>
        <w:rPr>
          <w:kern w:val="0"/>
        </w:rPr>
        <w:t xml:space="preserve">Life, Randomised, Randomized Controlled Trials As Topic, Randomized Controlled-Trials, Rct, Readmission, Reduction, References, Review, Risk, Satisfaction, Science, Science Citation Index, Search, Service, Severe Mental Illness, Social, Standard, Standards, State, Statistics &amp; Numerical Data], Strategy, Treatment, Treatment Orders, Treatment Outcome, </w:t>
      </w:r>
      <w:r w:rsidR="00D5664A">
        <w:rPr>
          <w:kern w:val="0"/>
        </w:rPr>
        <w:t>USA</w:t>
      </w:r>
      <w:r>
        <w:rPr>
          <w:kern w:val="0"/>
        </w:rPr>
        <w:t>, Violent, Western-Australia</w:t>
      </w:r>
    </w:p>
    <w:p w:rsidR="00365DE4" w:rsidRDefault="00365DE4" w:rsidP="00365DE4">
      <w:pPr>
        <w:pStyle w:val="a3"/>
        <w:rPr>
          <w:kern w:val="0"/>
        </w:rPr>
      </w:pPr>
      <w:r>
        <w:rPr>
          <w:kern w:val="0"/>
        </w:rPr>
        <w:t>? Buckley, N.A., Eddleston, M., Li, Y., Bevan, M.</w:t>
      </w:r>
      <w:r w:rsidR="005853A9">
        <w:rPr>
          <w:kern w:val="0"/>
        </w:rPr>
        <w:t xml:space="preserve"> and </w:t>
      </w:r>
      <w:r>
        <w:rPr>
          <w:kern w:val="0"/>
        </w:rPr>
        <w:t xml:space="preserve">Robertson, J. (2011), Oximes for acute organophosphate pesticide poisoning.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CD005085.</w:t>
      </w:r>
    </w:p>
    <w:p w:rsidR="00365DE4" w:rsidRDefault="00365DE4" w:rsidP="00365DE4">
      <w:pPr>
        <w:pStyle w:val="a3"/>
        <w:rPr>
          <w:kern w:val="0"/>
        </w:rPr>
      </w:pPr>
      <w:r>
        <w:t xml:space="preserve">Full Text: </w:t>
      </w:r>
      <w:hyperlink r:id="rId639" w:history="1">
        <w:r>
          <w:rPr>
            <w:rStyle w:val="a5"/>
          </w:rPr>
          <w:t>2011\Coc Dat Sys Rev2011, CD005085.pdf</w:t>
        </w:r>
      </w:hyperlink>
    </w:p>
    <w:p w:rsidR="00365DE4" w:rsidRDefault="00365DE4" w:rsidP="00365DE4">
      <w:pPr>
        <w:pStyle w:val="a3"/>
        <w:rPr>
          <w:kern w:val="0"/>
        </w:rPr>
      </w:pPr>
      <w:r>
        <w:rPr>
          <w:kern w:val="0"/>
        </w:rPr>
        <w:t>Abstract: Background Acute organophosphorus pesticide poisoning causes tens</w:t>
      </w:r>
      <w:r w:rsidR="00427468">
        <w:rPr>
          <w:kern w:val="0"/>
        </w:rPr>
        <w:t xml:space="preserve"> of </w:t>
      </w:r>
      <w:r>
        <w:rPr>
          <w:kern w:val="0"/>
        </w:rPr>
        <w:t>tho</w:t>
      </w:r>
      <w:r w:rsidR="00D5664A">
        <w:rPr>
          <w:kern w:val="0"/>
        </w:rPr>
        <w:t>USA</w:t>
      </w:r>
      <w:r>
        <w:rPr>
          <w:kern w:val="0"/>
        </w:rPr>
        <w:t>nds</w:t>
      </w:r>
      <w:r w:rsidR="00427468">
        <w:rPr>
          <w:kern w:val="0"/>
        </w:rPr>
        <w:t xml:space="preserve"> of </w:t>
      </w:r>
      <w:r>
        <w:rPr>
          <w:kern w:val="0"/>
        </w:rPr>
        <w:t>deaths each year across the developing world. Standard treatment involves administration</w:t>
      </w:r>
      <w:r w:rsidR="00427468">
        <w:rPr>
          <w:kern w:val="0"/>
        </w:rPr>
        <w:t xml:space="preserve"> of </w:t>
      </w:r>
      <w:r>
        <w:rPr>
          <w:kern w:val="0"/>
        </w:rPr>
        <w:t>intravenous atropine</w:t>
      </w:r>
      <w:r w:rsidR="005853A9">
        <w:rPr>
          <w:kern w:val="0"/>
        </w:rPr>
        <w:t xml:space="preserve"> and </w:t>
      </w:r>
      <w:r>
        <w:rPr>
          <w:kern w:val="0"/>
        </w:rPr>
        <w:t>oxime to reactivate inhibited acetylcholinesterase</w:t>
      </w:r>
      <w:r w:rsidR="00A37C1D">
        <w:rPr>
          <w:kern w:val="0"/>
        </w:rPr>
        <w:t>. The</w:t>
      </w:r>
      <w:r>
        <w:rPr>
          <w:kern w:val="0"/>
        </w:rPr>
        <w:t xml:space="preserve"> clinical usefulness</w:t>
      </w:r>
      <w:r w:rsidR="00427468">
        <w:rPr>
          <w:kern w:val="0"/>
        </w:rPr>
        <w:t xml:space="preserve"> of </w:t>
      </w:r>
      <w:r>
        <w:rPr>
          <w:kern w:val="0"/>
        </w:rPr>
        <w:t>oximes, such as pralidoxime</w:t>
      </w:r>
      <w:r w:rsidR="005853A9">
        <w:rPr>
          <w:kern w:val="0"/>
        </w:rPr>
        <w:t xml:space="preserve"> and </w:t>
      </w:r>
      <w:r>
        <w:rPr>
          <w:kern w:val="0"/>
        </w:rPr>
        <w:t>obidoxime, has been challenged over the past 20 years by physicians in many parts</w:t>
      </w:r>
      <w:r w:rsidR="00427468">
        <w:rPr>
          <w:kern w:val="0"/>
        </w:rPr>
        <w:t xml:space="preserve"> of </w:t>
      </w:r>
      <w:r>
        <w:rPr>
          <w:kern w:val="0"/>
        </w:rPr>
        <w:t>the world. Objectives To quantify the effectiveness</w:t>
      </w:r>
      <w:r w:rsidR="005853A9">
        <w:rPr>
          <w:kern w:val="0"/>
        </w:rPr>
        <w:t xml:space="preserve"> and </w:t>
      </w:r>
      <w:r>
        <w:rPr>
          <w:kern w:val="0"/>
        </w:rPr>
        <w:t>safety</w:t>
      </w:r>
      <w:r w:rsidR="00427468">
        <w:rPr>
          <w:kern w:val="0"/>
        </w:rPr>
        <w:t xml:space="preserve"> of </w:t>
      </w:r>
      <w:r>
        <w:rPr>
          <w:kern w:val="0"/>
        </w:rPr>
        <w:t>the administration</w:t>
      </w:r>
      <w:r w:rsidR="00427468">
        <w:rPr>
          <w:kern w:val="0"/>
        </w:rPr>
        <w:t xml:space="preserve"> of </w:t>
      </w:r>
      <w:r>
        <w:rPr>
          <w:kern w:val="0"/>
        </w:rPr>
        <w:t>oximes in acute organophosphorus pesticide-poisoned patients. Search strategy We searched both English</w:t>
      </w:r>
      <w:r w:rsidR="005853A9">
        <w:rPr>
          <w:kern w:val="0"/>
        </w:rPr>
        <w:t xml:space="preserve"> and </w:t>
      </w:r>
      <w:r>
        <w:rPr>
          <w:kern w:val="0"/>
        </w:rPr>
        <w:t>Chinese databases: Cochrane Injuries Group Specialised Register, Cochrane Central Register</w:t>
      </w:r>
      <w:r w:rsidR="00427468">
        <w:rPr>
          <w:kern w:val="0"/>
        </w:rPr>
        <w:t xml:space="preserve"> of </w:t>
      </w:r>
      <w:r>
        <w:rPr>
          <w:kern w:val="0"/>
        </w:rPr>
        <w:t xml:space="preserve">Controlled Trials (The Cochrane Library), </w:t>
      </w:r>
      <w:r w:rsidR="00D5664A">
        <w:rPr>
          <w:kern w:val="0"/>
        </w:rPr>
        <w:t>MEDLINE</w:t>
      </w:r>
      <w:r>
        <w:rPr>
          <w:kern w:val="0"/>
        </w:rPr>
        <w:t xml:space="preserve"> (Ovid SP), EMBASE (Ovid SP), ISI </w:t>
      </w:r>
      <w:r w:rsidR="00D5664A">
        <w:rPr>
          <w:kern w:val="0"/>
        </w:rPr>
        <w:t>Web</w:t>
      </w:r>
      <w:r w:rsidR="00427468">
        <w:rPr>
          <w:kern w:val="0"/>
        </w:rPr>
        <w:t xml:space="preserve"> of </w:t>
      </w:r>
      <w:r w:rsidR="00D5664A">
        <w:rPr>
          <w:kern w:val="0"/>
        </w:rPr>
        <w:t>Science</w:t>
      </w:r>
      <w:r>
        <w:rPr>
          <w:kern w:val="0"/>
        </w:rPr>
        <w:t xml:space="preserve">: Science Citation Index Expanded (SCI-EXPANDED), ISI </w:t>
      </w:r>
      <w:r w:rsidR="00D5664A">
        <w:rPr>
          <w:kern w:val="0"/>
        </w:rPr>
        <w:t>Web</w:t>
      </w:r>
      <w:r w:rsidR="00427468">
        <w:rPr>
          <w:kern w:val="0"/>
        </w:rPr>
        <w:t xml:space="preserve"> of </w:t>
      </w:r>
      <w:r w:rsidR="00D5664A">
        <w:rPr>
          <w:kern w:val="0"/>
        </w:rPr>
        <w:t>Science</w:t>
      </w:r>
      <w:r>
        <w:rPr>
          <w:kern w:val="0"/>
        </w:rPr>
        <w:t>: Conference Proceedings Citation Index-Science (CPCI-S)</w:t>
      </w:r>
      <w:r w:rsidR="005853A9">
        <w:rPr>
          <w:kern w:val="0"/>
        </w:rPr>
        <w:t xml:space="preserve"> and </w:t>
      </w:r>
      <w:r>
        <w:rPr>
          <w:kern w:val="0"/>
        </w:rPr>
        <w:t>the Chinese language databases CNKI</w:t>
      </w:r>
      <w:r w:rsidR="005853A9">
        <w:rPr>
          <w:kern w:val="0"/>
        </w:rPr>
        <w:t xml:space="preserve"> and </w:t>
      </w:r>
      <w:r>
        <w:rPr>
          <w:kern w:val="0"/>
        </w:rPr>
        <w:t>WANGFANG. All searches were run in September 2009. Selection criteria Articles that could possibly be RCTs were retrieved to determine if they were randomised. Data collection</w:t>
      </w:r>
      <w:r w:rsidR="005853A9">
        <w:rPr>
          <w:kern w:val="0"/>
        </w:rPr>
        <w:t xml:space="preserve"> and </w:t>
      </w:r>
      <w:r>
        <w:rPr>
          <w:kern w:val="0"/>
        </w:rPr>
        <w:t>analysis The published methodology</w:t>
      </w:r>
      <w:r w:rsidR="00427468">
        <w:rPr>
          <w:kern w:val="0"/>
        </w:rPr>
        <w:t xml:space="preserve"> of </w:t>
      </w:r>
      <w:r>
        <w:rPr>
          <w:kern w:val="0"/>
        </w:rPr>
        <w:t>three RCTs was not clear. We contacted the principal authors</w:t>
      </w:r>
      <w:r w:rsidR="00427468">
        <w:rPr>
          <w:kern w:val="0"/>
        </w:rPr>
        <w:t xml:space="preserve"> of </w:t>
      </w:r>
      <w:r>
        <w:rPr>
          <w:kern w:val="0"/>
        </w:rPr>
        <w:t>these, but did not obtain further information. Main results Seven pralidoxime RCTs were found. Three RCTs including 366 patients studied pralidoxime vs placebo</w:t>
      </w:r>
      <w:r w:rsidR="005853A9">
        <w:rPr>
          <w:kern w:val="0"/>
        </w:rPr>
        <w:t xml:space="preserve"> and </w:t>
      </w:r>
      <w:r>
        <w:rPr>
          <w:kern w:val="0"/>
        </w:rPr>
        <w:t>four RCTs including 479 patients compared two or more different doses</w:t>
      </w:r>
      <w:r w:rsidR="00A37C1D">
        <w:rPr>
          <w:kern w:val="0"/>
        </w:rPr>
        <w:t>. The</w:t>
      </w:r>
      <w:r>
        <w:rPr>
          <w:kern w:val="0"/>
        </w:rPr>
        <w:t>se trials found quite disparate results with treatment effects ranging from benefit to harm. However, many studies did not take into account several issues important for outcomes. In particular, baseline characteristics were not balanced, oxime doses varied widely, there were substantial delays to treatment,</w:t>
      </w:r>
      <w:r w:rsidR="005853A9">
        <w:rPr>
          <w:kern w:val="0"/>
        </w:rPr>
        <w:t xml:space="preserve"> and </w:t>
      </w:r>
      <w:r>
        <w:rPr>
          <w:kern w:val="0"/>
        </w:rPr>
        <w:t>the type</w:t>
      </w:r>
      <w:r w:rsidR="00427468">
        <w:rPr>
          <w:kern w:val="0"/>
        </w:rPr>
        <w:t xml:space="preserve"> of </w:t>
      </w:r>
      <w:r>
        <w:rPr>
          <w:kern w:val="0"/>
        </w:rPr>
        <w:t>organophosphate was not taken into account. Only one RCT compared the World Health Organization (WHO) recommended doses with placebo. This trial showed no clinical benefits</w:t>
      </w:r>
      <w:r w:rsidR="005853A9">
        <w:rPr>
          <w:kern w:val="0"/>
        </w:rPr>
        <w:t xml:space="preserve"> and </w:t>
      </w:r>
      <w:r>
        <w:rPr>
          <w:kern w:val="0"/>
        </w:rPr>
        <w:t>a trend towards harm in all sub-groups, despite clear evidence that these doses reactivated acetylcholinesterase in the blood. Authors</w:t>
      </w:r>
      <w:r w:rsidR="0071223E">
        <w:rPr>
          <w:kern w:val="0"/>
        </w:rPr>
        <w:t>’</w:t>
      </w:r>
      <w:r>
        <w:rPr>
          <w:kern w:val="0"/>
        </w:rPr>
        <w:t xml:space="preserve"> conclusions Current evidence is </w:t>
      </w:r>
      <w:r>
        <w:rPr>
          <w:kern w:val="0"/>
        </w:rPr>
        <w:lastRenderedPageBreak/>
        <w:t>insufficient to indicate whether oximes are harmful or beneficial</w:t>
      </w:r>
      <w:r w:rsidR="00A37C1D">
        <w:rPr>
          <w:kern w:val="0"/>
        </w:rPr>
        <w:t>. The</w:t>
      </w:r>
      <w:r>
        <w:rPr>
          <w:kern w:val="0"/>
        </w:rPr>
        <w:t xml:space="preserve"> WHO recommended regimen (30 mg/kg pralidoxime chloride bolus followed by 8 mg/kg/hr infusion) is not supported. Further RCTs are required to examine other strategies</w:t>
      </w:r>
      <w:r w:rsidR="005853A9">
        <w:rPr>
          <w:kern w:val="0"/>
        </w:rPr>
        <w:t xml:space="preserve"> and </w:t>
      </w:r>
      <w:r>
        <w:rPr>
          <w:kern w:val="0"/>
        </w:rPr>
        <w:t>regimens</w:t>
      </w:r>
      <w:r w:rsidR="00A37C1D">
        <w:rPr>
          <w:kern w:val="0"/>
        </w:rPr>
        <w:t>. The</w:t>
      </w:r>
      <w:r>
        <w:rPr>
          <w:kern w:val="0"/>
        </w:rPr>
        <w:t>re are many theoretical</w:t>
      </w:r>
      <w:r w:rsidR="005853A9">
        <w:rPr>
          <w:kern w:val="0"/>
        </w:rPr>
        <w:t xml:space="preserve"> and </w:t>
      </w:r>
      <w:r>
        <w:rPr>
          <w:kern w:val="0"/>
        </w:rPr>
        <w:t>practical reasons why oximes may not be useful, particularly for late presentations</w:t>
      </w:r>
      <w:r w:rsidR="00427468">
        <w:rPr>
          <w:kern w:val="0"/>
        </w:rPr>
        <w:t xml:space="preserve"> of </w:t>
      </w:r>
      <w:r>
        <w:rPr>
          <w:kern w:val="0"/>
        </w:rPr>
        <w:t>dimethyl OP</w:t>
      </w:r>
      <w:r w:rsidR="005853A9">
        <w:rPr>
          <w:kern w:val="0"/>
        </w:rPr>
        <w:t xml:space="preserve"> and </w:t>
      </w:r>
      <w:r>
        <w:rPr>
          <w:kern w:val="0"/>
        </w:rPr>
        <w:t>those with a large excess</w:t>
      </w:r>
      <w:r w:rsidR="00427468">
        <w:rPr>
          <w:kern w:val="0"/>
        </w:rPr>
        <w:t xml:space="preserve"> of </w:t>
      </w:r>
      <w:r>
        <w:rPr>
          <w:kern w:val="0"/>
        </w:rPr>
        <w:t>OP that simply re-inhibits reactivated enzymes. Future studies should screen for patient sub-groups that may benefit</w:t>
      </w:r>
      <w:r w:rsidR="005853A9">
        <w:rPr>
          <w:kern w:val="0"/>
        </w:rPr>
        <w:t xml:space="preserve"> and </w:t>
      </w:r>
      <w:r>
        <w:rPr>
          <w:kern w:val="0"/>
        </w:rPr>
        <w:t>may need flexible dosing strategies as clinical effectiveness</w:t>
      </w:r>
      <w:r w:rsidR="005853A9">
        <w:rPr>
          <w:kern w:val="0"/>
        </w:rPr>
        <w:t xml:space="preserve"> and </w:t>
      </w:r>
      <w:r>
        <w:rPr>
          <w:kern w:val="0"/>
        </w:rPr>
        <w:t>doses may depend on the type</w:t>
      </w:r>
      <w:r w:rsidR="00427468">
        <w:rPr>
          <w:kern w:val="0"/>
        </w:rPr>
        <w:t xml:space="preserve"> of </w:t>
      </w:r>
      <w:r>
        <w:rPr>
          <w:kern w:val="0"/>
        </w:rPr>
        <w:t>OP.</w:t>
      </w:r>
    </w:p>
    <w:p w:rsidR="00365DE4" w:rsidRDefault="00365DE4" w:rsidP="00365DE4">
      <w:pPr>
        <w:pStyle w:val="a3"/>
        <w:rPr>
          <w:kern w:val="0"/>
        </w:rPr>
      </w:pPr>
      <w:r>
        <w:rPr>
          <w:kern w:val="0"/>
        </w:rPr>
        <w:t>Keywords: Acetylcholinesterase, Administration, Analysis, Antidotes [Therapeutic Use], Articles, Authors, Blood, Butyrylcholinesterase Activity, Characteristics, Chinese, Chloride, Cholinesterase Reactivation, Cholinesterase Reactivators [Therapeutic Use], Citation, Clinical, Collection, Conference, Criteria, Databases, Developing, Developing World, Developing-World, Effectiveness, Enzymes, Evidence, Experience, Humans, Information, Infusion, Intensive-Care Management, Intravenous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 xml:space="preserve">, Methodology, Organophosphorus Compounds [Poisoning], Outcomes, Oximes [Therapeutic Use], Patients, Pesticide, Pesticides [Poisoning], Pharmacokinetics, Physicians, Placebo, Poisoning, Poisoning [Drug Therapy], Pralidoxime, Pralidoxime Compounds [Therapeutic Use], Randomised, Randomized Controlled Trials As Topic, Randomized-Trials, Rct, Safety, Science, Science Citation Index, Science Citation Index Expanded, Search, Sri-Lanka, Strategy, Therapy, Treatment, Trend, Trial, </w:t>
      </w:r>
      <w:r w:rsidR="00D5664A">
        <w:rPr>
          <w:kern w:val="0"/>
        </w:rPr>
        <w:t>Web</w:t>
      </w:r>
      <w:r w:rsidR="00427468">
        <w:rPr>
          <w:kern w:val="0"/>
        </w:rPr>
        <w:t xml:space="preserve"> of </w:t>
      </w:r>
      <w:r w:rsidR="00D5664A">
        <w:rPr>
          <w:kern w:val="0"/>
        </w:rPr>
        <w:t>Science</w:t>
      </w:r>
      <w:r>
        <w:rPr>
          <w:kern w:val="0"/>
        </w:rPr>
        <w:t>, World, World Health Organization</w:t>
      </w:r>
    </w:p>
    <w:p w:rsidR="00365DE4" w:rsidRDefault="00365DE4" w:rsidP="00365DE4">
      <w:pPr>
        <w:pStyle w:val="a3"/>
        <w:rPr>
          <w:kern w:val="0"/>
        </w:rPr>
      </w:pPr>
      <w:r>
        <w:rPr>
          <w:kern w:val="0"/>
        </w:rPr>
        <w:t>? Perel, P.</w:t>
      </w:r>
      <w:r w:rsidR="005853A9">
        <w:rPr>
          <w:kern w:val="0"/>
        </w:rPr>
        <w:t xml:space="preserve"> and </w:t>
      </w:r>
      <w:r>
        <w:rPr>
          <w:kern w:val="0"/>
        </w:rPr>
        <w:t xml:space="preserve">Roberts, I. (2011), Colloids versus crystalloids for fluid resuscitation in critically ill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CD000567.</w:t>
      </w:r>
    </w:p>
    <w:p w:rsidR="00365DE4" w:rsidRDefault="00365DE4" w:rsidP="00365DE4">
      <w:pPr>
        <w:pStyle w:val="a3"/>
        <w:rPr>
          <w:kern w:val="0"/>
        </w:rPr>
      </w:pPr>
      <w:r>
        <w:t xml:space="preserve">Full Text: </w:t>
      </w:r>
      <w:hyperlink r:id="rId640" w:history="1">
        <w:r>
          <w:rPr>
            <w:rStyle w:val="a5"/>
          </w:rPr>
          <w:t>2011\Coc Dat Sys Rev2011, CD000567.pdf</w:t>
        </w:r>
      </w:hyperlink>
    </w:p>
    <w:p w:rsidR="00365DE4" w:rsidRDefault="00365DE4" w:rsidP="00365DE4">
      <w:pPr>
        <w:pStyle w:val="a3"/>
        <w:rPr>
          <w:kern w:val="0"/>
        </w:rPr>
      </w:pPr>
      <w:r>
        <w:rPr>
          <w:kern w:val="0"/>
        </w:rPr>
        <w:t>Abstract: Back ground Colloid solutions are widely used in fluid resuscitation</w:t>
      </w:r>
      <w:r w:rsidR="00427468">
        <w:rPr>
          <w:kern w:val="0"/>
        </w:rPr>
        <w:t xml:space="preserve"> of </w:t>
      </w:r>
      <w:r>
        <w:rPr>
          <w:kern w:val="0"/>
        </w:rPr>
        <w:t>critically ill patients</w:t>
      </w:r>
      <w:r w:rsidR="00A37C1D">
        <w:rPr>
          <w:kern w:val="0"/>
        </w:rPr>
        <w:t>. The</w:t>
      </w:r>
      <w:r>
        <w:rPr>
          <w:kern w:val="0"/>
        </w:rPr>
        <w:t>re are several choices</w:t>
      </w:r>
      <w:r w:rsidR="00427468">
        <w:rPr>
          <w:kern w:val="0"/>
        </w:rPr>
        <w:t xml:space="preserve"> of </w:t>
      </w:r>
      <w:r>
        <w:rPr>
          <w:kern w:val="0"/>
        </w:rPr>
        <w:t>colloid</w:t>
      </w:r>
      <w:r w:rsidR="005853A9">
        <w:rPr>
          <w:kern w:val="0"/>
        </w:rPr>
        <w:t xml:space="preserve"> and </w:t>
      </w:r>
      <w:r>
        <w:rPr>
          <w:kern w:val="0"/>
        </w:rPr>
        <w:t>there is ongoing debate about the relative effectiveness</w:t>
      </w:r>
      <w:r w:rsidR="00427468">
        <w:rPr>
          <w:kern w:val="0"/>
        </w:rPr>
        <w:t xml:space="preserve"> of </w:t>
      </w:r>
      <w:r>
        <w:rPr>
          <w:kern w:val="0"/>
        </w:rPr>
        <w:t>colloids compared to crystalloid fluids. Objectives To assess the effects</w:t>
      </w:r>
      <w:r w:rsidR="00427468">
        <w:rPr>
          <w:kern w:val="0"/>
        </w:rPr>
        <w:t xml:space="preserve"> of </w:t>
      </w:r>
      <w:r>
        <w:rPr>
          <w:kern w:val="0"/>
        </w:rPr>
        <w:t xml:space="preserve">colloids compared to crystalloids for fluid resuscitation in critically ill patients. Search strategy We searched the Cochrane Injuries Group Specialised Register, CENTRAL (The Cochrane Library 2008, Issue 3), </w:t>
      </w:r>
      <w:r w:rsidR="00D5664A">
        <w:rPr>
          <w:kern w:val="0"/>
        </w:rPr>
        <w:t>MEDLINE</w:t>
      </w:r>
      <w:r>
        <w:rPr>
          <w:kern w:val="0"/>
        </w:rPr>
        <w:t xml:space="preserve">, EMBASE, ISI </w:t>
      </w:r>
      <w:r w:rsidR="00D5664A">
        <w:rPr>
          <w:kern w:val="0"/>
        </w:rPr>
        <w:t>Web</w:t>
      </w:r>
      <w:r w:rsidR="00427468">
        <w:rPr>
          <w:kern w:val="0"/>
        </w:rPr>
        <w:t xml:space="preserve"> of </w:t>
      </w:r>
      <w:r w:rsidR="00D5664A">
        <w:rPr>
          <w:kern w:val="0"/>
        </w:rPr>
        <w:t>Science</w:t>
      </w:r>
      <w:r>
        <w:rPr>
          <w:kern w:val="0"/>
        </w:rPr>
        <w:t xml:space="preserve">: Science Citation Index Expanded (SCI-EXPANDED), ISI </w:t>
      </w:r>
      <w:r w:rsidR="00D5664A">
        <w:rPr>
          <w:kern w:val="0"/>
        </w:rPr>
        <w:t>Web</w:t>
      </w:r>
      <w:r w:rsidR="00427468">
        <w:rPr>
          <w:kern w:val="0"/>
        </w:rPr>
        <w:t xml:space="preserve"> of </w:t>
      </w:r>
      <w:r w:rsidR="00D5664A">
        <w:rPr>
          <w:kern w:val="0"/>
        </w:rPr>
        <w:t>Science</w:t>
      </w:r>
      <w:r>
        <w:rPr>
          <w:kern w:val="0"/>
        </w:rPr>
        <w:t>: Conference Proceedings Citation Index-Science (CPCI-S),</w:t>
      </w:r>
      <w:r w:rsidR="005853A9">
        <w:rPr>
          <w:kern w:val="0"/>
        </w:rPr>
        <w:t xml:space="preserve"> and </w:t>
      </w:r>
      <w:r>
        <w:rPr>
          <w:kern w:val="0"/>
        </w:rPr>
        <w:t>The Controlled Trials metaRegister (www.controlled-trials.com). Reference lists</w:t>
      </w:r>
      <w:r w:rsidR="00427468">
        <w:rPr>
          <w:kern w:val="0"/>
        </w:rPr>
        <w:t xml:space="preserve"> of </w:t>
      </w:r>
      <w:r>
        <w:rPr>
          <w:kern w:val="0"/>
        </w:rPr>
        <w:t>relevant studies</w:t>
      </w:r>
      <w:r w:rsidR="005853A9">
        <w:rPr>
          <w:kern w:val="0"/>
        </w:rPr>
        <w:t xml:space="preserve"> and </w:t>
      </w:r>
      <w:r>
        <w:rPr>
          <w:kern w:val="0"/>
        </w:rPr>
        <w:t>review articles were searched for further trials</w:t>
      </w:r>
      <w:r w:rsidR="00A37C1D">
        <w:rPr>
          <w:kern w:val="0"/>
        </w:rPr>
        <w:t>. The</w:t>
      </w:r>
      <w:r>
        <w:rPr>
          <w:kern w:val="0"/>
        </w:rPr>
        <w:t xml:space="preserve"> searches were last updated in September 2008. Selection criteria Randomised controlled trials (RCTs)</w:t>
      </w:r>
      <w:r w:rsidR="00427468">
        <w:rPr>
          <w:kern w:val="0"/>
        </w:rPr>
        <w:t xml:space="preserve"> of </w:t>
      </w:r>
      <w:r>
        <w:rPr>
          <w:kern w:val="0"/>
        </w:rPr>
        <w:t>colloids compared to crystalloids, in patients requiring volume replacement. We excluded crossover trials</w:t>
      </w:r>
      <w:r w:rsidR="005853A9">
        <w:rPr>
          <w:kern w:val="0"/>
        </w:rPr>
        <w:t xml:space="preserve"> </w:t>
      </w:r>
      <w:r w:rsidR="005853A9">
        <w:rPr>
          <w:kern w:val="0"/>
        </w:rPr>
        <w:lastRenderedPageBreak/>
        <w:t xml:space="preserve">and </w:t>
      </w:r>
      <w:r>
        <w:rPr>
          <w:kern w:val="0"/>
        </w:rPr>
        <w:t>trials in pregnant women</w:t>
      </w:r>
      <w:r w:rsidR="005853A9">
        <w:rPr>
          <w:kern w:val="0"/>
        </w:rPr>
        <w:t xml:space="preserve"> and </w:t>
      </w:r>
      <w:r>
        <w:rPr>
          <w:kern w:val="0"/>
        </w:rPr>
        <w:t>neonates. Data collection</w:t>
      </w:r>
      <w:r w:rsidR="005853A9">
        <w:rPr>
          <w:kern w:val="0"/>
        </w:rPr>
        <w:t xml:space="preserve"> and </w:t>
      </w:r>
      <w:r>
        <w:rPr>
          <w:kern w:val="0"/>
        </w:rPr>
        <w:t>analysis Two authors independently extracted data</w:t>
      </w:r>
      <w:r w:rsidR="005853A9">
        <w:rPr>
          <w:kern w:val="0"/>
        </w:rPr>
        <w:t xml:space="preserve"> and </w:t>
      </w:r>
      <w:r>
        <w:rPr>
          <w:kern w:val="0"/>
        </w:rPr>
        <w:t>rated quality</w:t>
      </w:r>
      <w:r w:rsidR="00427468">
        <w:rPr>
          <w:kern w:val="0"/>
        </w:rPr>
        <w:t xml:space="preserve"> of </w:t>
      </w:r>
      <w:r>
        <w:rPr>
          <w:kern w:val="0"/>
        </w:rPr>
        <w:t xml:space="preserve">allocation concealment. We analysed trials with a </w:t>
      </w:r>
      <w:r w:rsidR="0071223E">
        <w:rPr>
          <w:kern w:val="0"/>
        </w:rPr>
        <w:t>‘</w:t>
      </w:r>
      <w:r>
        <w:rPr>
          <w:kern w:val="0"/>
        </w:rPr>
        <w:t>double-intervention</w:t>
      </w:r>
      <w:r w:rsidR="0071223E">
        <w:rPr>
          <w:kern w:val="0"/>
        </w:rPr>
        <w:t>’</w:t>
      </w:r>
      <w:r>
        <w:rPr>
          <w:kern w:val="0"/>
        </w:rPr>
        <w:t>, such as those comparing colloid in hypertonic crystalloid to isotonic crystalloid, separately. We stratified the analysis according to colloid type</w:t>
      </w:r>
      <w:r w:rsidR="005853A9">
        <w:rPr>
          <w:kern w:val="0"/>
        </w:rPr>
        <w:t xml:space="preserve"> and </w:t>
      </w:r>
      <w:r>
        <w:rPr>
          <w:kern w:val="0"/>
        </w:rPr>
        <w:t>quality</w:t>
      </w:r>
      <w:r w:rsidR="00427468">
        <w:rPr>
          <w:kern w:val="0"/>
        </w:rPr>
        <w:t xml:space="preserve"> of </w:t>
      </w:r>
      <w:r>
        <w:rPr>
          <w:kern w:val="0"/>
        </w:rPr>
        <w:t>allocation concealment. Main results We identified 65 eligible trials; 56</w:t>
      </w:r>
      <w:r w:rsidR="00427468">
        <w:rPr>
          <w:kern w:val="0"/>
        </w:rPr>
        <w:t xml:space="preserve"> of </w:t>
      </w:r>
      <w:r>
        <w:rPr>
          <w:kern w:val="0"/>
        </w:rPr>
        <w:t>these presented mortality data. Colloids compared to crystalloids Albumin or plasma protein fraction - 23 trials reported data on mortality, including a total</w:t>
      </w:r>
      <w:r w:rsidR="00427468">
        <w:rPr>
          <w:kern w:val="0"/>
        </w:rPr>
        <w:t xml:space="preserve"> of </w:t>
      </w:r>
      <w:r>
        <w:rPr>
          <w:kern w:val="0"/>
        </w:rPr>
        <w:t>7754 patients</w:t>
      </w:r>
      <w:r w:rsidR="00A37C1D">
        <w:rPr>
          <w:kern w:val="0"/>
        </w:rPr>
        <w:t>. The</w:t>
      </w:r>
      <w:r>
        <w:rPr>
          <w:kern w:val="0"/>
        </w:rPr>
        <w:t xml:space="preserve"> pooled relative risk (RR) from these trials was 1.01 (95% confidence interval (95% CI) 0.92 to 1.10). When we excluded the trial with poor qualityallocation concealment, pooled RR was 1.00 (95% CI 0.91 to 1.09). Hydroxyethyl starch - 17 trials compared hydroxyethyl starch with crystalloids, n = 1172 patients</w:t>
      </w:r>
      <w:r w:rsidR="00A37C1D">
        <w:rPr>
          <w:kern w:val="0"/>
        </w:rPr>
        <w:t>. The</w:t>
      </w:r>
      <w:r>
        <w:rPr>
          <w:kern w:val="0"/>
        </w:rPr>
        <w:t xml:space="preserve"> pooled RR was 1.18 (95% CI 0.96 to 1.44). Modified gelatin - 11 trials compared modified gelatin with crystalloid, n = 506 patients</w:t>
      </w:r>
      <w:r w:rsidR="00A37C1D">
        <w:rPr>
          <w:kern w:val="0"/>
        </w:rPr>
        <w:t>. The</w:t>
      </w:r>
      <w:r>
        <w:rPr>
          <w:kern w:val="0"/>
        </w:rPr>
        <w:t xml:space="preserve"> pooled RR was 0.91 (95% CI 0.49 to 1.72). (When the trials by Boldt et al were removed from the three preceding analyses, the results were unchanged.) Dextran - nine trials compared dextran with a crystalloid, n = 834 patients</w:t>
      </w:r>
      <w:r w:rsidR="00A37C1D">
        <w:rPr>
          <w:kern w:val="0"/>
        </w:rPr>
        <w:t>. The</w:t>
      </w:r>
      <w:r>
        <w:rPr>
          <w:kern w:val="0"/>
        </w:rPr>
        <w:t xml:space="preserve"> pooled RR was 1.24 (95% CI 0.94 to 1.65). Colloids in hypertonic crystalloid compared to isotonic crystalloid Eight trials compared dextran in hypertonic crystalloid with isotonic crystalloid, including 1283 randomised participants. Pooled RR was 0.88 (95% CI 0.74 to 1.05). Authors</w:t>
      </w:r>
      <w:r w:rsidR="0071223E">
        <w:rPr>
          <w:kern w:val="0"/>
        </w:rPr>
        <w:t>’</w:t>
      </w:r>
      <w:r>
        <w:rPr>
          <w:kern w:val="0"/>
        </w:rPr>
        <w:t xml:space="preserve"> conclusions There is no evidence from RCTs that resuscitation with colloids reduces the risk</w:t>
      </w:r>
      <w:r w:rsidR="00427468">
        <w:rPr>
          <w:kern w:val="0"/>
        </w:rPr>
        <w:t xml:space="preserve"> of </w:t>
      </w:r>
      <w:r>
        <w:rPr>
          <w:kern w:val="0"/>
        </w:rPr>
        <w:t>death, compared to resuscitation with crystalloids, in patients with trauma, burns or following surgery. As colloids are not associated with an improvement in survival,</w:t>
      </w:r>
      <w:r w:rsidR="005853A9">
        <w:rPr>
          <w:kern w:val="0"/>
        </w:rPr>
        <w:t xml:space="preserve"> and </w:t>
      </w:r>
      <w:r>
        <w:rPr>
          <w:kern w:val="0"/>
        </w:rPr>
        <w:t>as they are more expensive than crystalloids, it is hard to see how their continued use in these patients can be justified outside the context</w:t>
      </w:r>
      <w:r w:rsidR="00427468">
        <w:rPr>
          <w:kern w:val="0"/>
        </w:rPr>
        <w:t xml:space="preserve"> of </w:t>
      </w:r>
      <w:r>
        <w:rPr>
          <w:kern w:val="0"/>
        </w:rPr>
        <w:t>RCTs.</w:t>
      </w:r>
    </w:p>
    <w:p w:rsidR="00365DE4" w:rsidRDefault="00365DE4" w:rsidP="00365DE4">
      <w:pPr>
        <w:pStyle w:val="a3"/>
        <w:rPr>
          <w:kern w:val="0"/>
        </w:rPr>
      </w:pPr>
      <w:r>
        <w:rPr>
          <w:kern w:val="0"/>
        </w:rPr>
        <w:t>Keywords: 7.5-Percent Sodium-Chloride, Albumin, Allocation, Analyses, Analysis, Authors, Citation, Collection, Colloid, Colloids, Colloids [Therapeutic Use], Conference, Confidence, Context, Controlled Clinical-Trial, Coronary-Artery-Bypass, Criteria, Critical Illness [Therapy], Crystalloid, Data, Death, Dextran, Effectiveness, Effects, Evidence, Fluid Therapy [Methods], Gelatin, Improvement, Intensive-Care-Unit, Interval</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Lactated Ringers Solution, Major Abdominal-Surgery, </w:t>
      </w:r>
      <w:r w:rsidR="00D5664A">
        <w:rPr>
          <w:kern w:val="0"/>
        </w:rPr>
        <w:t>MEDLINE</w:t>
      </w:r>
      <w:r>
        <w:rPr>
          <w:kern w:val="0"/>
        </w:rPr>
        <w:t xml:space="preserve">, Modified, Mortality, Neonates, Patients, Plasma, Plasma Substitutes [Therapeutic Use], Pregnant, Pregnant Women, Protein, Quality, Quality of, Randomised, Randomized Controlled Trials As Topic, Randomized-Trial, Rehydration Solutions, Relative Risk, Respiratory-Distress-Syndrome, Resuscitation, Resuscitation [Methods], Review, Risk, Saline-Dextran Solution, Science, Science Citation Index, Science Citation Index Expanded, Search, Solutions, Starch, Strategy, Surgery, Survival, Trauma, Trial, Volume, Volume Replacement Strategy, </w:t>
      </w:r>
      <w:r w:rsidR="00D5664A">
        <w:rPr>
          <w:kern w:val="0"/>
        </w:rPr>
        <w:t>Web</w:t>
      </w:r>
      <w:r w:rsidR="00427468">
        <w:rPr>
          <w:kern w:val="0"/>
        </w:rPr>
        <w:t xml:space="preserve"> of </w:t>
      </w:r>
      <w:r w:rsidR="00D5664A">
        <w:rPr>
          <w:kern w:val="0"/>
        </w:rPr>
        <w:t>Science</w:t>
      </w:r>
      <w:r>
        <w:rPr>
          <w:kern w:val="0"/>
        </w:rPr>
        <w:t>, Women</w:t>
      </w:r>
    </w:p>
    <w:p w:rsidR="00365DE4" w:rsidRDefault="00365DE4" w:rsidP="00365DE4">
      <w:pPr>
        <w:pStyle w:val="a3"/>
        <w:rPr>
          <w:kern w:val="0"/>
        </w:rPr>
      </w:pPr>
      <w:r>
        <w:rPr>
          <w:kern w:val="0"/>
        </w:rPr>
        <w:lastRenderedPageBreak/>
        <w:t>? Evans, J.R.</w:t>
      </w:r>
      <w:r w:rsidR="005853A9">
        <w:rPr>
          <w:kern w:val="0"/>
        </w:rPr>
        <w:t xml:space="preserve"> and </w:t>
      </w:r>
      <w:r>
        <w:rPr>
          <w:kern w:val="0"/>
        </w:rPr>
        <w:t xml:space="preserve">Solomon, A.W. (2011), Antibiotics for trachoma.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CD001860.</w:t>
      </w:r>
    </w:p>
    <w:p w:rsidR="00365DE4" w:rsidRDefault="00365DE4" w:rsidP="00365DE4">
      <w:pPr>
        <w:pStyle w:val="a3"/>
        <w:rPr>
          <w:kern w:val="0"/>
        </w:rPr>
      </w:pPr>
      <w:r>
        <w:t xml:space="preserve">Full Text: </w:t>
      </w:r>
      <w:hyperlink r:id="rId641" w:history="1">
        <w:r>
          <w:rPr>
            <w:rStyle w:val="a5"/>
          </w:rPr>
          <w:t>2011\Coc Dat Sys Rev2011, CD001860.pdf</w:t>
        </w:r>
      </w:hyperlink>
    </w:p>
    <w:p w:rsidR="00365DE4" w:rsidRDefault="00365DE4" w:rsidP="00365DE4">
      <w:pPr>
        <w:pStyle w:val="a3"/>
        <w:rPr>
          <w:kern w:val="0"/>
        </w:rPr>
      </w:pPr>
      <w:r>
        <w:rPr>
          <w:kern w:val="0"/>
        </w:rPr>
        <w:t>Abstract: Background Trachoma is the world</w:t>
      </w:r>
      <w:r w:rsidR="0071223E">
        <w:rPr>
          <w:kern w:val="0"/>
        </w:rPr>
        <w:t>’</w:t>
      </w:r>
      <w:r>
        <w:rPr>
          <w:kern w:val="0"/>
        </w:rPr>
        <w:t>s leading infectious cause</w:t>
      </w:r>
      <w:r w:rsidR="00427468">
        <w:rPr>
          <w:kern w:val="0"/>
        </w:rPr>
        <w:t xml:space="preserve"> of </w:t>
      </w:r>
      <w:r>
        <w:rPr>
          <w:kern w:val="0"/>
        </w:rPr>
        <w:t>blindness. In 1997 the World Health Organization (WHO) launched an Alliance for the Global Elimination</w:t>
      </w:r>
      <w:r w:rsidR="00427468">
        <w:rPr>
          <w:kern w:val="0"/>
        </w:rPr>
        <w:t xml:space="preserve"> of </w:t>
      </w:r>
      <w:r>
        <w:rPr>
          <w:kern w:val="0"/>
        </w:rPr>
        <w:t xml:space="preserve">Trachoma by the year 2020, based on the </w:t>
      </w:r>
      <w:r w:rsidR="0071223E">
        <w:rPr>
          <w:kern w:val="0"/>
        </w:rPr>
        <w:t>‘</w:t>
      </w:r>
      <w:r>
        <w:rPr>
          <w:kern w:val="0"/>
        </w:rPr>
        <w:t>SAFE</w:t>
      </w:r>
      <w:r w:rsidR="0071223E">
        <w:rPr>
          <w:kern w:val="0"/>
        </w:rPr>
        <w:t>’</w:t>
      </w:r>
      <w:r>
        <w:rPr>
          <w:kern w:val="0"/>
        </w:rPr>
        <w:t xml:space="preserve"> strategy (surgery, antibiotics, facial cleanliness</w:t>
      </w:r>
      <w:r w:rsidR="005853A9">
        <w:rPr>
          <w:kern w:val="0"/>
        </w:rPr>
        <w:t xml:space="preserve"> and </w:t>
      </w:r>
      <w:r>
        <w:rPr>
          <w:kern w:val="0"/>
        </w:rPr>
        <w:t>environmental improvement). Objectives To assess the evidence supporting the antibiotic arm</w:t>
      </w:r>
      <w:r w:rsidR="00427468">
        <w:rPr>
          <w:kern w:val="0"/>
        </w:rPr>
        <w:t xml:space="preserve"> of </w:t>
      </w:r>
      <w:r>
        <w:rPr>
          <w:kern w:val="0"/>
        </w:rPr>
        <w:t>the SAFE strategy by assessing the effects</w:t>
      </w:r>
      <w:r w:rsidR="00427468">
        <w:rPr>
          <w:kern w:val="0"/>
        </w:rPr>
        <w:t xml:space="preserve"> of </w:t>
      </w:r>
      <w:r>
        <w:rPr>
          <w:kern w:val="0"/>
        </w:rPr>
        <w:t>antibiotics on both active trachoma (primary objective)</w:t>
      </w:r>
      <w:r w:rsidR="005853A9">
        <w:rPr>
          <w:kern w:val="0"/>
        </w:rPr>
        <w:t xml:space="preserve"> and </w:t>
      </w:r>
      <w:r>
        <w:rPr>
          <w:kern w:val="0"/>
        </w:rPr>
        <w:t>on Chlamydia trachomatis (C. trachomatis) infection</w:t>
      </w:r>
      <w:r w:rsidR="00427468">
        <w:rPr>
          <w:kern w:val="0"/>
        </w:rPr>
        <w:t xml:space="preserve"> of </w:t>
      </w:r>
      <w:r>
        <w:rPr>
          <w:kern w:val="0"/>
        </w:rPr>
        <w:t>the conjunctiva (secondary objective). Search strategy We searched CENTRAL (which contains the Cochrane Eyes</w:t>
      </w:r>
      <w:r w:rsidR="005853A9">
        <w:rPr>
          <w:kern w:val="0"/>
        </w:rPr>
        <w:t xml:space="preserve"> and </w:t>
      </w:r>
      <w:r>
        <w:rPr>
          <w:kern w:val="0"/>
        </w:rPr>
        <w:t xml:space="preserve">Vision Group Trials Register) (The Cochrane Library 2010, Issue 11), </w:t>
      </w:r>
      <w:r w:rsidR="00D5664A">
        <w:rPr>
          <w:kern w:val="0"/>
        </w:rPr>
        <w:t>MEDLINE</w:t>
      </w:r>
      <w:r>
        <w:rPr>
          <w:kern w:val="0"/>
        </w:rPr>
        <w:t xml:space="preserve"> (January 1950 to December 2010), EMBASE (January 1980 to December 2010), the metaRegister</w:t>
      </w:r>
      <w:r w:rsidR="00427468">
        <w:rPr>
          <w:kern w:val="0"/>
        </w:rPr>
        <w:t xml:space="preserve"> of </w:t>
      </w:r>
      <w:r>
        <w:rPr>
          <w:kern w:val="0"/>
        </w:rPr>
        <w:t>Controlled Trials (mRCT) (www.controlled-trials.com) (December 2010)</w:t>
      </w:r>
      <w:r w:rsidR="005853A9">
        <w:rPr>
          <w:kern w:val="0"/>
        </w:rPr>
        <w:t xml:space="preserve"> and </w:t>
      </w:r>
      <w:r>
        <w:rPr>
          <w:kern w:val="0"/>
        </w:rPr>
        <w:t>ClinicalTrials. gov (www.clinicaltrials.gov) (December 2010). We used the Science Citation Index to look for articles that cited the included studies. We searched the reference lists</w:t>
      </w:r>
      <w:r w:rsidR="00427468">
        <w:rPr>
          <w:kern w:val="0"/>
        </w:rPr>
        <w:t xml:space="preserve"> of </w:t>
      </w:r>
      <w:r>
        <w:rPr>
          <w:kern w:val="0"/>
        </w:rPr>
        <w:t>identified articles</w:t>
      </w:r>
      <w:r w:rsidR="005853A9">
        <w:rPr>
          <w:kern w:val="0"/>
        </w:rPr>
        <w:t xml:space="preserve"> and </w:t>
      </w:r>
      <w:r>
        <w:rPr>
          <w:kern w:val="0"/>
        </w:rPr>
        <w:t>we contacted authors</w:t>
      </w:r>
      <w:r w:rsidR="005853A9">
        <w:rPr>
          <w:kern w:val="0"/>
        </w:rPr>
        <w:t xml:space="preserve"> and </w:t>
      </w:r>
      <w:r>
        <w:rPr>
          <w:kern w:val="0"/>
        </w:rPr>
        <w:t>experts for details</w:t>
      </w:r>
      <w:r w:rsidR="00427468">
        <w:rPr>
          <w:kern w:val="0"/>
        </w:rPr>
        <w:t xml:space="preserve"> of </w:t>
      </w:r>
      <w:r>
        <w:rPr>
          <w:kern w:val="0"/>
        </w:rPr>
        <w:t>further relevant studies</w:t>
      </w:r>
      <w:r w:rsidR="00A37C1D">
        <w:rPr>
          <w:kern w:val="0"/>
        </w:rPr>
        <w:t>. The</w:t>
      </w:r>
      <w:r>
        <w:rPr>
          <w:kern w:val="0"/>
        </w:rPr>
        <w:t>re were no language or date restrictions in the search for trials</w:t>
      </w:r>
      <w:r w:rsidR="00A37C1D">
        <w:rPr>
          <w:kern w:val="0"/>
        </w:rPr>
        <w:t>. The</w:t>
      </w:r>
      <w:r>
        <w:rPr>
          <w:kern w:val="0"/>
        </w:rPr>
        <w:t xml:space="preserve"> electronic databases were last searched on 12 December 2010. Selection criteria We included randomised trials that satisfied either</w:t>
      </w:r>
      <w:r w:rsidR="00427468">
        <w:rPr>
          <w:kern w:val="0"/>
        </w:rPr>
        <w:t xml:space="preserve"> of </w:t>
      </w:r>
      <w:r>
        <w:rPr>
          <w:kern w:val="0"/>
        </w:rPr>
        <w:t>two criteria: (a) trials in which topical or oral administration</w:t>
      </w:r>
      <w:r w:rsidR="00427468">
        <w:rPr>
          <w:kern w:val="0"/>
        </w:rPr>
        <w:t xml:space="preserve"> of </w:t>
      </w:r>
      <w:r>
        <w:rPr>
          <w:kern w:val="0"/>
        </w:rPr>
        <w:t>an antibiotic was compared to placebo or no treatment in people or communities with trachoma, (b) trials in which a topical antibiotic was compared with an oral antibiotic in people or communities with trachoma. A subdivision</w:t>
      </w:r>
      <w:r w:rsidR="00427468">
        <w:rPr>
          <w:kern w:val="0"/>
        </w:rPr>
        <w:t xml:space="preserve"> of </w:t>
      </w:r>
      <w:r>
        <w:rPr>
          <w:kern w:val="0"/>
        </w:rPr>
        <w:t>particular interest was trials in which topical tetracycline or chlortetracycline</w:t>
      </w:r>
      <w:r w:rsidR="005853A9">
        <w:rPr>
          <w:kern w:val="0"/>
        </w:rPr>
        <w:t xml:space="preserve"> and </w:t>
      </w:r>
      <w:r>
        <w:rPr>
          <w:kern w:val="0"/>
        </w:rPr>
        <w:t>oral azithromycin were compared with each other, or in which one</w:t>
      </w:r>
      <w:r w:rsidR="00427468">
        <w:rPr>
          <w:kern w:val="0"/>
        </w:rPr>
        <w:t xml:space="preserve"> of </w:t>
      </w:r>
      <w:r>
        <w:rPr>
          <w:kern w:val="0"/>
        </w:rPr>
        <w:t>these treatments was compared with placebo or no treatment, as these are the two WHO recommended antibiotics. We considered individually randomised</w:t>
      </w:r>
      <w:r w:rsidR="005853A9">
        <w:rPr>
          <w:kern w:val="0"/>
        </w:rPr>
        <w:t xml:space="preserve"> and </w:t>
      </w:r>
      <w:r>
        <w:rPr>
          <w:kern w:val="0"/>
        </w:rPr>
        <w:t>cluster-randomised trials separately. Data collection</w:t>
      </w:r>
      <w:r w:rsidR="005853A9">
        <w:rPr>
          <w:kern w:val="0"/>
        </w:rPr>
        <w:t xml:space="preserve"> and </w:t>
      </w:r>
      <w:r>
        <w:rPr>
          <w:kern w:val="0"/>
        </w:rPr>
        <w:t>analysis Two authors independently assessed trial quality</w:t>
      </w:r>
      <w:r w:rsidR="005853A9">
        <w:rPr>
          <w:kern w:val="0"/>
        </w:rPr>
        <w:t xml:space="preserve"> and </w:t>
      </w:r>
      <w:r>
        <w:rPr>
          <w:kern w:val="0"/>
        </w:rPr>
        <w:t>extracted data. We contacted investigators for missing data. Where appropriate, the effect estimates from the individual studies (risk ratios) were pooled using a random-effects model. Main results A total</w:t>
      </w:r>
      <w:r w:rsidR="00427468">
        <w:rPr>
          <w:kern w:val="0"/>
        </w:rPr>
        <w:t xml:space="preserve"> of </w:t>
      </w:r>
      <w:r>
        <w:rPr>
          <w:kern w:val="0"/>
        </w:rPr>
        <w:t>14 trials randomised individuals with trachoma to oral antibiotic, topical antibiotic, both, or control (no treatment or placebo)</w:t>
      </w:r>
      <w:r w:rsidR="005853A9">
        <w:rPr>
          <w:kern w:val="0"/>
        </w:rPr>
        <w:t xml:space="preserve"> and </w:t>
      </w:r>
      <w:r>
        <w:rPr>
          <w:kern w:val="0"/>
        </w:rPr>
        <w:t>were eligible for inclusion in this review (n = 3587). Overall, the quality</w:t>
      </w:r>
      <w:r w:rsidR="00427468">
        <w:rPr>
          <w:kern w:val="0"/>
        </w:rPr>
        <w:t xml:space="preserve"> of </w:t>
      </w:r>
      <w:r>
        <w:rPr>
          <w:kern w:val="0"/>
        </w:rPr>
        <w:t>the evidence provided from these trials was low. Nine</w:t>
      </w:r>
      <w:r w:rsidR="00427468">
        <w:rPr>
          <w:kern w:val="0"/>
        </w:rPr>
        <w:t xml:space="preserve"> of </w:t>
      </w:r>
      <w:r>
        <w:rPr>
          <w:kern w:val="0"/>
        </w:rPr>
        <w:t>the trials compared antibiotic treatment to control. Most</w:t>
      </w:r>
      <w:r w:rsidR="00427468">
        <w:rPr>
          <w:kern w:val="0"/>
        </w:rPr>
        <w:t xml:space="preserve"> of </w:t>
      </w:r>
      <w:r>
        <w:rPr>
          <w:kern w:val="0"/>
        </w:rPr>
        <w:t>the studies found a beneficial effect</w:t>
      </w:r>
      <w:r w:rsidR="00427468">
        <w:rPr>
          <w:kern w:val="0"/>
        </w:rPr>
        <w:t xml:space="preserve"> of </w:t>
      </w:r>
      <w:r>
        <w:rPr>
          <w:kern w:val="0"/>
        </w:rPr>
        <w:t>treatment on active trachoma</w:t>
      </w:r>
      <w:r w:rsidR="005853A9">
        <w:rPr>
          <w:kern w:val="0"/>
        </w:rPr>
        <w:t xml:space="preserve"> and </w:t>
      </w:r>
      <w:r>
        <w:rPr>
          <w:kern w:val="0"/>
        </w:rPr>
        <w:t>ocular chlamydial infection at three</w:t>
      </w:r>
      <w:r w:rsidR="005853A9">
        <w:rPr>
          <w:kern w:val="0"/>
        </w:rPr>
        <w:t xml:space="preserve"> and </w:t>
      </w:r>
      <w:r>
        <w:rPr>
          <w:kern w:val="0"/>
        </w:rPr>
        <w:t>12 months follow up</w:t>
      </w:r>
      <w:r w:rsidR="00A37C1D">
        <w:rPr>
          <w:kern w:val="0"/>
        </w:rPr>
        <w:t>. The</w:t>
      </w:r>
      <w:r>
        <w:rPr>
          <w:kern w:val="0"/>
        </w:rPr>
        <w:t>re was considerable clinical</w:t>
      </w:r>
      <w:r w:rsidR="005853A9">
        <w:rPr>
          <w:kern w:val="0"/>
        </w:rPr>
        <w:t xml:space="preserve"> and </w:t>
      </w:r>
      <w:r>
        <w:rPr>
          <w:kern w:val="0"/>
        </w:rPr>
        <w:t>statistical heterogeneity between trials, which meant that it was difficult to reliably estimate the size</w:t>
      </w:r>
      <w:r w:rsidR="00427468">
        <w:rPr>
          <w:kern w:val="0"/>
        </w:rPr>
        <w:t xml:space="preserve"> of </w:t>
      </w:r>
      <w:r>
        <w:rPr>
          <w:kern w:val="0"/>
        </w:rPr>
        <w:t xml:space="preserve">the treatment effect. It is likely to </w:t>
      </w:r>
      <w:r>
        <w:rPr>
          <w:kern w:val="0"/>
        </w:rPr>
        <w:lastRenderedPageBreak/>
        <w:t>be in the region</w:t>
      </w:r>
      <w:r w:rsidR="00427468">
        <w:rPr>
          <w:kern w:val="0"/>
        </w:rPr>
        <w:t xml:space="preserve"> of </w:t>
      </w:r>
      <w:r>
        <w:rPr>
          <w:kern w:val="0"/>
        </w:rPr>
        <w:t>a 20% relative risk reduction. Seven</w:t>
      </w:r>
      <w:r w:rsidR="00427468">
        <w:rPr>
          <w:kern w:val="0"/>
        </w:rPr>
        <w:t xml:space="preserve"> of </w:t>
      </w:r>
      <w:r>
        <w:rPr>
          <w:kern w:val="0"/>
        </w:rPr>
        <w:t>the 14 trials compared the effectiveness</w:t>
      </w:r>
      <w:r w:rsidR="00427468">
        <w:rPr>
          <w:kern w:val="0"/>
        </w:rPr>
        <w:t xml:space="preserve"> of </w:t>
      </w:r>
      <w:r>
        <w:rPr>
          <w:kern w:val="0"/>
        </w:rPr>
        <w:t>oral</w:t>
      </w:r>
      <w:r w:rsidR="005853A9">
        <w:rPr>
          <w:kern w:val="0"/>
        </w:rPr>
        <w:t xml:space="preserve"> and </w:t>
      </w:r>
      <w:r>
        <w:rPr>
          <w:kern w:val="0"/>
        </w:rPr>
        <w:t>topical antibiotics</w:t>
      </w:r>
      <w:r w:rsidR="00A37C1D">
        <w:rPr>
          <w:kern w:val="0"/>
        </w:rPr>
        <w:t>. The</w:t>
      </w:r>
      <w:r>
        <w:rPr>
          <w:kern w:val="0"/>
        </w:rPr>
        <w:t>re was no consistent evidence as to whether oral or topical antibiotics were more effective, although one trial suggested that a single dose</w:t>
      </w:r>
      <w:r w:rsidR="00427468">
        <w:rPr>
          <w:kern w:val="0"/>
        </w:rPr>
        <w:t xml:space="preserve"> of </w:t>
      </w:r>
      <w:r>
        <w:rPr>
          <w:kern w:val="0"/>
        </w:rPr>
        <w:t>oral azithromycin was significantly more effective than unsupervised use</w:t>
      </w:r>
      <w:r w:rsidR="00427468">
        <w:rPr>
          <w:kern w:val="0"/>
        </w:rPr>
        <w:t xml:space="preserve"> of </w:t>
      </w:r>
      <w:r>
        <w:rPr>
          <w:kern w:val="0"/>
        </w:rPr>
        <w:t>topical tetracycline A further eight trials assessed the effectiveness</w:t>
      </w:r>
      <w:r w:rsidR="00427468">
        <w:rPr>
          <w:kern w:val="0"/>
        </w:rPr>
        <w:t xml:space="preserve"> of </w:t>
      </w:r>
      <w:r>
        <w:rPr>
          <w:kern w:val="0"/>
        </w:rPr>
        <w:t>community-based treatment. In five trials antibiotic treatment was compared to no (or delayed) treatment (57 communities),</w:t>
      </w:r>
      <w:r w:rsidR="005853A9">
        <w:rPr>
          <w:kern w:val="0"/>
        </w:rPr>
        <w:t xml:space="preserve"> and </w:t>
      </w:r>
      <w:r>
        <w:rPr>
          <w:kern w:val="0"/>
        </w:rPr>
        <w:t>in three trials oral antibiotic was compared to topical treatment (12 communities)</w:t>
      </w:r>
      <w:r w:rsidR="00A37C1D">
        <w:rPr>
          <w:kern w:val="0"/>
        </w:rPr>
        <w:t>. The</w:t>
      </w:r>
      <w:r>
        <w:rPr>
          <w:kern w:val="0"/>
        </w:rPr>
        <w:t xml:space="preserve"> quality</w:t>
      </w:r>
      <w:r w:rsidR="00427468">
        <w:rPr>
          <w:kern w:val="0"/>
        </w:rPr>
        <w:t xml:space="preserve"> of </w:t>
      </w:r>
      <w:r>
        <w:rPr>
          <w:kern w:val="0"/>
        </w:rPr>
        <w:t>the evidence provided by these trials was variable but at least one trial was considered to provide high quality evidence</w:t>
      </w:r>
      <w:r w:rsidR="00A37C1D">
        <w:rPr>
          <w:kern w:val="0"/>
        </w:rPr>
        <w:t>. The</w:t>
      </w:r>
      <w:r>
        <w:rPr>
          <w:kern w:val="0"/>
        </w:rPr>
        <w:t>re was evidence that community-based antibiotic treatment reduced the prevalence</w:t>
      </w:r>
      <w:r w:rsidR="00427468">
        <w:rPr>
          <w:kern w:val="0"/>
        </w:rPr>
        <w:t xml:space="preserve"> of </w:t>
      </w:r>
      <w:r>
        <w:rPr>
          <w:kern w:val="0"/>
        </w:rPr>
        <w:t>active trachoma</w:t>
      </w:r>
      <w:r w:rsidR="005853A9">
        <w:rPr>
          <w:kern w:val="0"/>
        </w:rPr>
        <w:t xml:space="preserve"> and </w:t>
      </w:r>
      <w:r>
        <w:rPr>
          <w:kern w:val="0"/>
        </w:rPr>
        <w:t>ocular infection 12 months after single-dose treatment</w:t>
      </w:r>
      <w:r w:rsidR="00A37C1D">
        <w:rPr>
          <w:kern w:val="0"/>
        </w:rPr>
        <w:t>. The</w:t>
      </w:r>
      <w:r>
        <w:rPr>
          <w:kern w:val="0"/>
        </w:rPr>
        <w:t>re was some evidence that oral azithromycin was more effective than topical tetracycline as a community treatment. Data on adverse effects were not consistently reported however there were no reported serious adverse events associated with treatment with oral azithromycin or topical tetracycline; in one sample survey</w:t>
      </w:r>
      <w:r w:rsidR="00427468">
        <w:rPr>
          <w:kern w:val="0"/>
        </w:rPr>
        <w:t xml:space="preserve"> of </w:t>
      </w:r>
      <w:r>
        <w:rPr>
          <w:kern w:val="0"/>
        </w:rPr>
        <w:t>671 people treated with azithromycin between 10%</w:t>
      </w:r>
      <w:r w:rsidR="005853A9">
        <w:rPr>
          <w:kern w:val="0"/>
        </w:rPr>
        <w:t xml:space="preserve"> and </w:t>
      </w:r>
      <w:r>
        <w:rPr>
          <w:kern w:val="0"/>
        </w:rPr>
        <w:t>15% experienced gastrointestinal adverse effects (nausea or vomiting, or both). Authors</w:t>
      </w:r>
      <w:r w:rsidR="0071223E">
        <w:rPr>
          <w:kern w:val="0"/>
        </w:rPr>
        <w:t>’</w:t>
      </w:r>
      <w:r>
        <w:rPr>
          <w:kern w:val="0"/>
        </w:rPr>
        <w:t xml:space="preserve"> conclusions Antibiotic treatment reduces the risk</w:t>
      </w:r>
      <w:r w:rsidR="00427468">
        <w:rPr>
          <w:kern w:val="0"/>
        </w:rPr>
        <w:t xml:space="preserve"> of </w:t>
      </w:r>
      <w:r>
        <w:rPr>
          <w:kern w:val="0"/>
        </w:rPr>
        <w:t>active trachoma</w:t>
      </w:r>
      <w:r w:rsidR="005853A9">
        <w:rPr>
          <w:kern w:val="0"/>
        </w:rPr>
        <w:t xml:space="preserve"> and </w:t>
      </w:r>
      <w:r>
        <w:rPr>
          <w:kern w:val="0"/>
        </w:rPr>
        <w:t>ocular chlamydial infection in people infected with C. trachomatis, but we do not know for certain the size</w:t>
      </w:r>
      <w:r w:rsidR="00427468">
        <w:rPr>
          <w:kern w:val="0"/>
        </w:rPr>
        <w:t xml:space="preserve"> of </w:t>
      </w:r>
      <w:r>
        <w:rPr>
          <w:kern w:val="0"/>
        </w:rPr>
        <w:t>the treatment effect in individuals. Mass antibiotic treatment with single-dose oral azithromycin reduces the prevalence</w:t>
      </w:r>
      <w:r w:rsidR="00427468">
        <w:rPr>
          <w:kern w:val="0"/>
        </w:rPr>
        <w:t xml:space="preserve"> of </w:t>
      </w:r>
      <w:r>
        <w:rPr>
          <w:kern w:val="0"/>
        </w:rPr>
        <w:t>active trachoma</w:t>
      </w:r>
      <w:r w:rsidR="005853A9">
        <w:rPr>
          <w:kern w:val="0"/>
        </w:rPr>
        <w:t xml:space="preserve"> and </w:t>
      </w:r>
      <w:r>
        <w:rPr>
          <w:kern w:val="0"/>
        </w:rPr>
        <w:t>ocular infection in communities.</w:t>
      </w:r>
    </w:p>
    <w:p w:rsidR="00365DE4" w:rsidRDefault="00365DE4" w:rsidP="00365DE4">
      <w:pPr>
        <w:pStyle w:val="a3"/>
        <w:rPr>
          <w:kern w:val="0"/>
        </w:rPr>
      </w:pPr>
      <w:r>
        <w:rPr>
          <w:kern w:val="0"/>
        </w:rPr>
        <w:t xml:space="preserve">Keywords: Active Trachoma, Administration, Administration,Oral, Administration,Topical, Adverse Effects, Analysis, Anti-Bacterial Agents [Therapeutic Use], Antibiotics, Assessing, Authors, Azithromycin, Chlamydia Trachomatis, Citation, Clinical, Clinical-Trial, Collection, Community, Community Based, Control, Criteria, Data, Databases, Effectiveness, Environmental, Estimates, Events, Evidence, Experts, Follow-Up, Heterogeneity, Humans, Hyper-Endemic Trachoma, Improvement, Infected, Infection, Infectious Trachoma, Mass Treatment, </w:t>
      </w:r>
      <w:r w:rsidR="00D5664A">
        <w:rPr>
          <w:kern w:val="0"/>
        </w:rPr>
        <w:t>MEDLINE</w:t>
      </w:r>
      <w:r>
        <w:rPr>
          <w:kern w:val="0"/>
        </w:rPr>
        <w:t>, Model, Nausea, Oral, Oral Azithromycin, Placebo, Prevalence, Primary, Quality, Quality of, Random Effects Model, Randomised, Randomized Controlled Trials as Topic, Randomized-Trial, Reduction, Reference, Reference Lists, Region, Relative Risk, Restrictions, Review, Risk, Risk-Factors, Safe, Sample Survey, Science, Science Citation Index, Search, Single-Dose Azithromycin, Size, Strategy, Surgery, Survey, Tetracycline, Topical, Topical Tetracycline, Trachoma [Drug Therapy], Treatment, Trial, Vomiting, World Health Organization</w:t>
      </w:r>
    </w:p>
    <w:p w:rsidR="00365DE4" w:rsidRDefault="00365DE4" w:rsidP="00365DE4">
      <w:pPr>
        <w:pStyle w:val="a3"/>
        <w:rPr>
          <w:kern w:val="0"/>
        </w:rPr>
      </w:pPr>
      <w:r>
        <w:rPr>
          <w:kern w:val="0"/>
        </w:rPr>
        <w:t>? Barlow, J., Smailagic, N., Bennett, C., Huband, N., Jones, H.</w:t>
      </w:r>
      <w:r w:rsidR="005853A9">
        <w:rPr>
          <w:kern w:val="0"/>
        </w:rPr>
        <w:t xml:space="preserve"> and </w:t>
      </w:r>
      <w:r>
        <w:rPr>
          <w:kern w:val="0"/>
        </w:rPr>
        <w:t>Coren, E. (2011), Individual</w:t>
      </w:r>
      <w:r w:rsidR="005853A9">
        <w:rPr>
          <w:kern w:val="0"/>
        </w:rPr>
        <w:t xml:space="preserve"> and </w:t>
      </w:r>
      <w:r>
        <w:rPr>
          <w:kern w:val="0"/>
        </w:rPr>
        <w:t>group based parenting programmes for improving psychosocial outcomes for teenage parents</w:t>
      </w:r>
      <w:r w:rsidR="005853A9">
        <w:rPr>
          <w:kern w:val="0"/>
        </w:rPr>
        <w:t xml:space="preserve"> and </w:t>
      </w:r>
      <w:r>
        <w:rPr>
          <w:kern w:val="0"/>
        </w:rPr>
        <w:t xml:space="preserve">their children. </w:t>
      </w:r>
      <w:r>
        <w:rPr>
          <w:i/>
          <w:iCs/>
          <w:kern w:val="0"/>
        </w:rPr>
        <w:t>Cochrane Database</w:t>
      </w:r>
      <w:r w:rsidR="00427468">
        <w:rPr>
          <w:i/>
          <w:iCs/>
          <w:kern w:val="0"/>
        </w:rPr>
        <w:t xml:space="preserve"> of </w:t>
      </w:r>
      <w:r>
        <w:rPr>
          <w:i/>
          <w:iCs/>
          <w:kern w:val="0"/>
        </w:rPr>
        <w:t xml:space="preserve">Systematic </w:t>
      </w:r>
      <w:r>
        <w:rPr>
          <w:i/>
          <w:iCs/>
          <w:kern w:val="0"/>
        </w:rPr>
        <w:lastRenderedPageBreak/>
        <w:t>Reviews</w:t>
      </w:r>
      <w:r>
        <w:rPr>
          <w:kern w:val="0"/>
        </w:rPr>
        <w:t xml:space="preserve">, </w:t>
      </w:r>
      <w:r>
        <w:rPr>
          <w:b/>
          <w:kern w:val="0"/>
        </w:rPr>
        <w:t>3</w:t>
      </w:r>
      <w:r>
        <w:rPr>
          <w:kern w:val="0"/>
        </w:rPr>
        <w:t>, Article Number: CD002964.</w:t>
      </w:r>
    </w:p>
    <w:p w:rsidR="00365DE4" w:rsidRDefault="00365DE4" w:rsidP="00365DE4">
      <w:pPr>
        <w:pStyle w:val="a3"/>
        <w:rPr>
          <w:kern w:val="0"/>
        </w:rPr>
      </w:pPr>
      <w:r>
        <w:t xml:space="preserve">Full Text: </w:t>
      </w:r>
      <w:hyperlink r:id="rId642" w:history="1">
        <w:r>
          <w:rPr>
            <w:rStyle w:val="a5"/>
          </w:rPr>
          <w:t>2011\Coc Dat Sys Rev2011, CD002964.pdf</w:t>
        </w:r>
      </w:hyperlink>
    </w:p>
    <w:p w:rsidR="00365DE4" w:rsidRDefault="00365DE4" w:rsidP="00365DE4">
      <w:pPr>
        <w:pStyle w:val="a3"/>
        <w:rPr>
          <w:kern w:val="0"/>
        </w:rPr>
      </w:pPr>
      <w:r>
        <w:rPr>
          <w:kern w:val="0"/>
        </w:rPr>
        <w:t>Abstract: Background Parenting programmes are a potentially important means</w:t>
      </w:r>
      <w:r w:rsidR="00427468">
        <w:rPr>
          <w:kern w:val="0"/>
        </w:rPr>
        <w:t xml:space="preserve"> of </w:t>
      </w:r>
      <w:r>
        <w:rPr>
          <w:kern w:val="0"/>
        </w:rPr>
        <w:t>supporting teenage parents</w:t>
      </w:r>
      <w:r w:rsidR="005853A9">
        <w:rPr>
          <w:kern w:val="0"/>
        </w:rPr>
        <w:t xml:space="preserve"> and </w:t>
      </w:r>
      <w:r>
        <w:rPr>
          <w:kern w:val="0"/>
        </w:rPr>
        <w:t>improving outcomes for their children,</w:t>
      </w:r>
      <w:r w:rsidR="005853A9">
        <w:rPr>
          <w:kern w:val="0"/>
        </w:rPr>
        <w:t xml:space="preserve"> and </w:t>
      </w:r>
      <w:r>
        <w:rPr>
          <w:kern w:val="0"/>
        </w:rPr>
        <w:t>parenting support is a priority across most Western countries. This review updates the previous version published in 2001. Objectives To examine the effectiveness</w:t>
      </w:r>
      <w:r w:rsidR="00427468">
        <w:rPr>
          <w:kern w:val="0"/>
        </w:rPr>
        <w:t xml:space="preserve"> of </w:t>
      </w:r>
      <w:r>
        <w:rPr>
          <w:kern w:val="0"/>
        </w:rPr>
        <w:t>parenting programmes in improving psychosocial outcomes for teenage parents</w:t>
      </w:r>
      <w:r w:rsidR="005853A9">
        <w:rPr>
          <w:kern w:val="0"/>
        </w:rPr>
        <w:t xml:space="preserve"> and </w:t>
      </w:r>
      <w:r>
        <w:rPr>
          <w:kern w:val="0"/>
        </w:rPr>
        <w:t>developmental outcomes in their children. Search strategy We searched to find new studies for this updated review in January 2008</w:t>
      </w:r>
      <w:r w:rsidR="005853A9">
        <w:rPr>
          <w:kern w:val="0"/>
        </w:rPr>
        <w:t xml:space="preserve"> and </w:t>
      </w:r>
      <w:r>
        <w:rPr>
          <w:kern w:val="0"/>
        </w:rPr>
        <w:t xml:space="preserve">May 2010 in CENTRAL, </w:t>
      </w:r>
      <w:r w:rsidR="00D5664A">
        <w:rPr>
          <w:kern w:val="0"/>
        </w:rPr>
        <w:t>MEDLINE</w:t>
      </w:r>
      <w:r>
        <w:rPr>
          <w:kern w:val="0"/>
        </w:rPr>
        <w:t>, EMBASE, ASSIA, CINAHL, DARE, ERIC, PsycINFO, Sociological Abstracts</w:t>
      </w:r>
      <w:r w:rsidR="005853A9">
        <w:rPr>
          <w:kern w:val="0"/>
        </w:rPr>
        <w:t xml:space="preserve"> and </w:t>
      </w:r>
      <w:r>
        <w:rPr>
          <w:kern w:val="0"/>
        </w:rPr>
        <w:t>Social Science Citation Index</w:t>
      </w:r>
      <w:r w:rsidR="00A37C1D">
        <w:rPr>
          <w:kern w:val="0"/>
        </w:rPr>
        <w:t>. The</w:t>
      </w:r>
      <w:r>
        <w:rPr>
          <w:kern w:val="0"/>
        </w:rPr>
        <w:t xml:space="preserve"> National Research Register (NRR) was last searched in May 2005</w:t>
      </w:r>
      <w:r w:rsidR="005853A9">
        <w:rPr>
          <w:kern w:val="0"/>
        </w:rPr>
        <w:t xml:space="preserve"> and </w:t>
      </w:r>
      <w:r>
        <w:rPr>
          <w:kern w:val="0"/>
        </w:rPr>
        <w:t>UK Clinical Research Network Portfolio Database in May 2010. Selection criteria Randomised controlled trials assessing short-term parenting interventions aimed specifically at teenage parents</w:t>
      </w:r>
      <w:r w:rsidR="005853A9">
        <w:rPr>
          <w:kern w:val="0"/>
        </w:rPr>
        <w:t xml:space="preserve"> and </w:t>
      </w:r>
      <w:r>
        <w:rPr>
          <w:kern w:val="0"/>
        </w:rPr>
        <w:t>a control group (no-treatment, waiting list or treatment-as-usual). Data collection</w:t>
      </w:r>
      <w:r w:rsidR="005853A9">
        <w:rPr>
          <w:kern w:val="0"/>
        </w:rPr>
        <w:t xml:space="preserve"> and </w:t>
      </w:r>
      <w:r>
        <w:rPr>
          <w:kern w:val="0"/>
        </w:rPr>
        <w:t>analysis We assessed the risk</w:t>
      </w:r>
      <w:r w:rsidR="00427468">
        <w:rPr>
          <w:kern w:val="0"/>
        </w:rPr>
        <w:t xml:space="preserve"> of </w:t>
      </w:r>
      <w:r>
        <w:rPr>
          <w:kern w:val="0"/>
        </w:rPr>
        <w:t>bias in each study. We standardised the treatment effect for each outcome in each study by dividing the mean difference in post-intervention scores between the intervention</w:t>
      </w:r>
      <w:r w:rsidR="005853A9">
        <w:rPr>
          <w:kern w:val="0"/>
        </w:rPr>
        <w:t xml:space="preserve"> and </w:t>
      </w:r>
      <w:r>
        <w:rPr>
          <w:kern w:val="0"/>
        </w:rPr>
        <w:t>control groups by the pooled standard deviation. Main results We included eight studies with 513 participants, providing a total</w:t>
      </w:r>
      <w:r w:rsidR="00427468">
        <w:rPr>
          <w:kern w:val="0"/>
        </w:rPr>
        <w:t xml:space="preserve"> of </w:t>
      </w:r>
      <w:r>
        <w:rPr>
          <w:kern w:val="0"/>
        </w:rPr>
        <w:t>47 comparisons</w:t>
      </w:r>
      <w:r w:rsidR="00427468">
        <w:rPr>
          <w:kern w:val="0"/>
        </w:rPr>
        <w:t xml:space="preserve"> of </w:t>
      </w:r>
      <w:r>
        <w:rPr>
          <w:kern w:val="0"/>
        </w:rPr>
        <w:t>outcome between intervention</w:t>
      </w:r>
      <w:r w:rsidR="005853A9">
        <w:rPr>
          <w:kern w:val="0"/>
        </w:rPr>
        <w:t xml:space="preserve"> and </w:t>
      </w:r>
      <w:r>
        <w:rPr>
          <w:kern w:val="0"/>
        </w:rPr>
        <w:t>control conditions. Nineteen comparisons were statistically significant, all favouring the intervention group. We conducted nine meta-analyses using data from four studies in total (each meta-analysis included data from two studies). Four meta-analyses showed statistically significant findings favouring the intervention group for the following outcomes: parent responsiveness to the child post-intervention (SMD-0.91, 95% CI-1.52 to -0.30, P = 0.04); infant responsiveness to mother at follow-up (SMD-0.65, 95% CI-1.25 to -0.06, P = 0.03);</w:t>
      </w:r>
      <w:r w:rsidR="005853A9">
        <w:rPr>
          <w:kern w:val="0"/>
        </w:rPr>
        <w:t xml:space="preserve"> and </w:t>
      </w:r>
      <w:r>
        <w:rPr>
          <w:kern w:val="0"/>
        </w:rPr>
        <w:t>an overall measure</w:t>
      </w:r>
      <w:r w:rsidR="00427468">
        <w:rPr>
          <w:kern w:val="0"/>
        </w:rPr>
        <w:t xml:space="preserve"> of </w:t>
      </w:r>
      <w:r>
        <w:rPr>
          <w:kern w:val="0"/>
        </w:rPr>
        <w:t>parent-child interactions post-intervention (SMD-0.71, 95% CI-1.31 to -0.11, P = 0.02),</w:t>
      </w:r>
      <w:r w:rsidR="005853A9">
        <w:rPr>
          <w:kern w:val="0"/>
        </w:rPr>
        <w:t xml:space="preserve"> and </w:t>
      </w:r>
      <w:r>
        <w:rPr>
          <w:kern w:val="0"/>
        </w:rPr>
        <w:t>at follow-up (SMD-0.90, 95% CI-1.51 to -0.30, P = 0.004)</w:t>
      </w:r>
      <w:r w:rsidR="00A37C1D">
        <w:rPr>
          <w:kern w:val="0"/>
        </w:rPr>
        <w:t>. The</w:t>
      </w:r>
      <w:r>
        <w:rPr>
          <w:kern w:val="0"/>
        </w:rPr>
        <w:t xml:space="preserve"> results</w:t>
      </w:r>
      <w:r w:rsidR="00427468">
        <w:rPr>
          <w:kern w:val="0"/>
        </w:rPr>
        <w:t xml:space="preserve"> of </w:t>
      </w:r>
      <w:r>
        <w:rPr>
          <w:kern w:val="0"/>
        </w:rPr>
        <w:t>the remaining five meta-analyses were inconclusive. Authors</w:t>
      </w:r>
      <w:r w:rsidR="0071223E">
        <w:rPr>
          <w:kern w:val="0"/>
        </w:rPr>
        <w:t>’</w:t>
      </w:r>
      <w:r>
        <w:rPr>
          <w:kern w:val="0"/>
        </w:rPr>
        <w:t xml:space="preserve"> conclusions Variation in the measures used, the included populations</w:t>
      </w:r>
      <w:r w:rsidR="005853A9">
        <w:rPr>
          <w:kern w:val="0"/>
        </w:rPr>
        <w:t xml:space="preserve"> and </w:t>
      </w:r>
      <w:r>
        <w:rPr>
          <w:kern w:val="0"/>
        </w:rPr>
        <w:t>interventions,</w:t>
      </w:r>
      <w:r w:rsidR="005853A9">
        <w:rPr>
          <w:kern w:val="0"/>
        </w:rPr>
        <w:t xml:space="preserve"> and </w:t>
      </w:r>
      <w:r>
        <w:rPr>
          <w:kern w:val="0"/>
        </w:rPr>
        <w:t>the risk</w:t>
      </w:r>
      <w:r w:rsidR="00427468">
        <w:rPr>
          <w:kern w:val="0"/>
        </w:rPr>
        <w:t xml:space="preserve"> of </w:t>
      </w:r>
      <w:r>
        <w:rPr>
          <w:kern w:val="0"/>
        </w:rPr>
        <w:t>bias within the included studies limit the conclusions that can be reached</w:t>
      </w:r>
      <w:r w:rsidR="00A37C1D">
        <w:rPr>
          <w:kern w:val="0"/>
        </w:rPr>
        <w:t>. The</w:t>
      </w:r>
      <w:r>
        <w:rPr>
          <w:kern w:val="0"/>
        </w:rPr>
        <w:t xml:space="preserve"> findings provide some evidence to suggest that parenting programmes may be effective in improving a number</w:t>
      </w:r>
      <w:r w:rsidR="00427468">
        <w:rPr>
          <w:kern w:val="0"/>
        </w:rPr>
        <w:t xml:space="preserve"> of </w:t>
      </w:r>
      <w:r>
        <w:rPr>
          <w:kern w:val="0"/>
        </w:rPr>
        <w:t>aspects</w:t>
      </w:r>
      <w:r w:rsidR="00427468">
        <w:rPr>
          <w:kern w:val="0"/>
        </w:rPr>
        <w:t xml:space="preserve"> of </w:t>
      </w:r>
      <w:r>
        <w:rPr>
          <w:kern w:val="0"/>
        </w:rPr>
        <w:t>parent-child interaction both in the short-and long-term, but further research is now needed.</w:t>
      </w:r>
    </w:p>
    <w:p w:rsidR="00365DE4" w:rsidRDefault="00365DE4" w:rsidP="00365DE4">
      <w:pPr>
        <w:pStyle w:val="a3"/>
        <w:rPr>
          <w:kern w:val="0"/>
        </w:rPr>
      </w:pPr>
      <w:r>
        <w:rPr>
          <w:kern w:val="0"/>
        </w:rPr>
        <w:t xml:space="preserve">Keywords: Adolescent, Adolescent Mothers, Analysis, Assessing, Bias, Child, Child Development, Children, Citation, Collection, Control, Control Groups, Criteria, Data, Effectiveness, Evidence, Fathers, Female, Follow-Up, Home, Humans, Infant, Infants, Interaction, Intervention, Interventions, Long Term, Long-Term, Measure, </w:t>
      </w:r>
      <w:r w:rsidR="00D5664A">
        <w:rPr>
          <w:kern w:val="0"/>
        </w:rPr>
        <w:lastRenderedPageBreak/>
        <w:t>MEDLINE</w:t>
      </w:r>
      <w:r>
        <w:rPr>
          <w:kern w:val="0"/>
        </w:rPr>
        <w:t>, Meta-Analysis, Metaanalysis, Mother, Mother-Child Relations, Outcome, Outcomes, P, Parenting, Parents, Populations, Pregnancy, Prevention, Program Evaluation, Programmes, Psychosocial, Psychosocial Outcomes, Psycinfo, Randomized Controlled Trials As Topic, Randomized Controlled-Trial, Research, Review, Risk, Science, Science Citation Index, Search, Social Science Citation Index, Standard, Strategy, Support, Teenage, Treatment</w:t>
      </w:r>
      <w:r w:rsidR="00D5664A">
        <w:rPr>
          <w:kern w:val="0"/>
        </w:rPr>
        <w:t>, UK,</w:t>
      </w:r>
      <w:r>
        <w:rPr>
          <w:kern w:val="0"/>
        </w:rPr>
        <w:t xml:space="preserve"> Version, Videotape</w:t>
      </w:r>
    </w:p>
    <w:p w:rsidR="00365DE4" w:rsidRDefault="00365DE4" w:rsidP="00365DE4">
      <w:pPr>
        <w:pStyle w:val="a3"/>
        <w:rPr>
          <w:kern w:val="0"/>
        </w:rPr>
      </w:pPr>
      <w:r>
        <w:rPr>
          <w:kern w:val="0"/>
        </w:rPr>
        <w:t>? van Zuuren, E.J., Kramer, S., Carter, B., Graber, M.A.</w:t>
      </w:r>
      <w:r w:rsidR="005853A9">
        <w:rPr>
          <w:kern w:val="0"/>
        </w:rPr>
        <w:t xml:space="preserve"> and </w:t>
      </w:r>
      <w:r>
        <w:rPr>
          <w:kern w:val="0"/>
        </w:rPr>
        <w:t xml:space="preserve">Fedorowicz, Z. (2011), Interventions for rosacea.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CD003262.</w:t>
      </w:r>
    </w:p>
    <w:p w:rsidR="00365DE4" w:rsidRDefault="00365DE4" w:rsidP="00365DE4">
      <w:pPr>
        <w:pStyle w:val="a3"/>
        <w:rPr>
          <w:kern w:val="0"/>
        </w:rPr>
      </w:pPr>
      <w:r>
        <w:t xml:space="preserve">Full Text: </w:t>
      </w:r>
      <w:hyperlink r:id="rId643" w:history="1">
        <w:r>
          <w:rPr>
            <w:rStyle w:val="a5"/>
          </w:rPr>
          <w:t>2011\Coc Dat Sys Rev2011, CD003262.pdf</w:t>
        </w:r>
      </w:hyperlink>
    </w:p>
    <w:p w:rsidR="00365DE4" w:rsidRDefault="00365DE4" w:rsidP="00365DE4">
      <w:pPr>
        <w:pStyle w:val="a3"/>
        <w:rPr>
          <w:kern w:val="0"/>
        </w:rPr>
      </w:pPr>
      <w:r>
        <w:rPr>
          <w:kern w:val="0"/>
        </w:rPr>
        <w:t>Abstract: Background Rosacea is a common chronic skin condition affecting the face, characterised by flushing, redness, pimples, pustules,</w:t>
      </w:r>
      <w:r w:rsidR="005853A9">
        <w:rPr>
          <w:kern w:val="0"/>
        </w:rPr>
        <w:t xml:space="preserve"> and </w:t>
      </w:r>
      <w:r>
        <w:rPr>
          <w:kern w:val="0"/>
        </w:rPr>
        <w:t>dilated blood vessels</w:t>
      </w:r>
      <w:r w:rsidR="00A37C1D">
        <w:rPr>
          <w:kern w:val="0"/>
        </w:rPr>
        <w:t>. The</w:t>
      </w:r>
      <w:r>
        <w:rPr>
          <w:kern w:val="0"/>
        </w:rPr>
        <w:t xml:space="preserve"> eyes are often involved</w:t>
      </w:r>
      <w:r w:rsidR="005853A9">
        <w:rPr>
          <w:kern w:val="0"/>
        </w:rPr>
        <w:t xml:space="preserve"> and </w:t>
      </w:r>
      <w:r>
        <w:rPr>
          <w:kern w:val="0"/>
        </w:rPr>
        <w:t>thickening</w:t>
      </w:r>
      <w:r w:rsidR="00427468">
        <w:rPr>
          <w:kern w:val="0"/>
        </w:rPr>
        <w:t xml:space="preserve"> of </w:t>
      </w:r>
      <w:r>
        <w:rPr>
          <w:kern w:val="0"/>
        </w:rPr>
        <w:t>the skin with enlargement (phymas), especially</w:t>
      </w:r>
      <w:r w:rsidR="00427468">
        <w:rPr>
          <w:kern w:val="0"/>
        </w:rPr>
        <w:t xml:space="preserve"> of </w:t>
      </w:r>
      <w:r>
        <w:rPr>
          <w:kern w:val="0"/>
        </w:rPr>
        <w:t>the nose, can occur in some patients. A range</w:t>
      </w:r>
      <w:r w:rsidR="00427468">
        <w:rPr>
          <w:kern w:val="0"/>
        </w:rPr>
        <w:t xml:space="preserve"> of </w:t>
      </w:r>
      <w:r>
        <w:rPr>
          <w:kern w:val="0"/>
        </w:rPr>
        <w:t>treatment options are available but it is unclear which are the most effective. Objectives To assess the evidence for the efficacy</w:t>
      </w:r>
      <w:r w:rsidR="005853A9">
        <w:rPr>
          <w:kern w:val="0"/>
        </w:rPr>
        <w:t xml:space="preserve"> and </w:t>
      </w:r>
      <w:r>
        <w:rPr>
          <w:kern w:val="0"/>
        </w:rPr>
        <w:t>safety</w:t>
      </w:r>
      <w:r w:rsidR="00427468">
        <w:rPr>
          <w:kern w:val="0"/>
        </w:rPr>
        <w:t xml:space="preserve"> of </w:t>
      </w:r>
      <w:r>
        <w:rPr>
          <w:kern w:val="0"/>
        </w:rPr>
        <w:t>treatments for rosacea. Search strategy In February 2011 we updated our searches</w:t>
      </w:r>
      <w:r w:rsidR="00427468">
        <w:rPr>
          <w:kern w:val="0"/>
        </w:rPr>
        <w:t xml:space="preserve"> of </w:t>
      </w:r>
      <w:r>
        <w:rPr>
          <w:kern w:val="0"/>
        </w:rPr>
        <w:t>the Cochrane Skin Group Specialised Register, the Cochrane Central Register</w:t>
      </w:r>
      <w:r w:rsidR="00427468">
        <w:rPr>
          <w:kern w:val="0"/>
        </w:rPr>
        <w:t xml:space="preserve"> of </w:t>
      </w:r>
      <w:r>
        <w:rPr>
          <w:kern w:val="0"/>
        </w:rPr>
        <w:t xml:space="preserve">Controlled Trials (Clinical Trials) in The Cochrane Library, </w:t>
      </w:r>
      <w:r w:rsidR="00D5664A">
        <w:rPr>
          <w:kern w:val="0"/>
        </w:rPr>
        <w:t>MEDLINE</w:t>
      </w:r>
      <w:r>
        <w:rPr>
          <w:kern w:val="0"/>
        </w:rPr>
        <w:t>, EMBASE, Science Citation Index,</w:t>
      </w:r>
      <w:r w:rsidR="005853A9">
        <w:rPr>
          <w:kern w:val="0"/>
        </w:rPr>
        <w:t xml:space="preserve"> and </w:t>
      </w:r>
      <w:r>
        <w:rPr>
          <w:kern w:val="0"/>
        </w:rPr>
        <w:t>Ongoing Trials Registers. Selection criteria Randomised controlled trials in people with moderate to severe rosacea. Data collection</w:t>
      </w:r>
      <w:r w:rsidR="005853A9">
        <w:rPr>
          <w:kern w:val="0"/>
        </w:rPr>
        <w:t xml:space="preserve"> and </w:t>
      </w:r>
      <w:r>
        <w:rPr>
          <w:kern w:val="0"/>
        </w:rPr>
        <w:t>analysis Study selection, data extraction, assessment</w:t>
      </w:r>
      <w:r w:rsidR="00427468">
        <w:rPr>
          <w:kern w:val="0"/>
        </w:rPr>
        <w:t xml:space="preserve"> of </w:t>
      </w:r>
      <w:r>
        <w:rPr>
          <w:kern w:val="0"/>
        </w:rPr>
        <w:t>risk</w:t>
      </w:r>
      <w:r w:rsidR="00427468">
        <w:rPr>
          <w:kern w:val="0"/>
        </w:rPr>
        <w:t xml:space="preserve"> of </w:t>
      </w:r>
      <w:r>
        <w:rPr>
          <w:kern w:val="0"/>
        </w:rPr>
        <w:t>bias,</w:t>
      </w:r>
      <w:r w:rsidR="005853A9">
        <w:rPr>
          <w:kern w:val="0"/>
        </w:rPr>
        <w:t xml:space="preserve"> and </w:t>
      </w:r>
      <w:r>
        <w:rPr>
          <w:kern w:val="0"/>
        </w:rPr>
        <w:t>analyses were carried out by two independent review authors. Main results Fifty-eight trials, including 27 from the original review, comprising 6633 participants were included in this updated review. Interventions included topical metronidazole, oral antibiotics, topical azelaic cream or gel, topical benzoyl peroxide and/or combined with topical antibiotics, sulphacetamide/sulphur,</w:t>
      </w:r>
      <w:r w:rsidR="005853A9">
        <w:rPr>
          <w:kern w:val="0"/>
        </w:rPr>
        <w:t xml:space="preserve"> and </w:t>
      </w:r>
      <w:r>
        <w:rPr>
          <w:kern w:val="0"/>
        </w:rPr>
        <w:t xml:space="preserve">others. Only two studies assessed our primary outcome </w:t>
      </w:r>
      <w:r w:rsidR="0071223E">
        <w:rPr>
          <w:kern w:val="0"/>
        </w:rPr>
        <w:t>‘</w:t>
      </w:r>
      <w:r>
        <w:rPr>
          <w:kern w:val="0"/>
        </w:rPr>
        <w:t>quality</w:t>
      </w:r>
      <w:r w:rsidR="00427468">
        <w:rPr>
          <w:kern w:val="0"/>
        </w:rPr>
        <w:t xml:space="preserve"> of </w:t>
      </w:r>
      <w:r>
        <w:rPr>
          <w:kern w:val="0"/>
        </w:rPr>
        <w:t>life</w:t>
      </w:r>
      <w:r w:rsidR="0071223E">
        <w:rPr>
          <w:kern w:val="0"/>
        </w:rPr>
        <w:t>’</w:t>
      </w:r>
      <w:r>
        <w:rPr>
          <w:kern w:val="0"/>
        </w:rPr>
        <w:t>. Pooled data from physician assessments in three trials provided some evidence that metronidazole was more effective compared to placebo (RR 1.95, 95% CI 1.48 to 2.56). Three trials provided data, based on participants</w:t>
      </w:r>
      <w:r w:rsidR="0071223E">
        <w:rPr>
          <w:kern w:val="0"/>
        </w:rPr>
        <w:t>’</w:t>
      </w:r>
      <w:r>
        <w:rPr>
          <w:kern w:val="0"/>
        </w:rPr>
        <w:t xml:space="preserve"> assessments, illustrating azelaic acid was more effective than placebo (RR 1.52, 95% CI 1.32 to 1.76). Physician-based assessments in two trials indicated that doxycycline appeared to be significantly more effective than placebo (RR 1.59, 95% CI 1.02 to 2.47</w:t>
      </w:r>
      <w:r w:rsidR="005853A9">
        <w:rPr>
          <w:kern w:val="0"/>
        </w:rPr>
        <w:t xml:space="preserve"> and </w:t>
      </w:r>
      <w:r>
        <w:rPr>
          <w:kern w:val="0"/>
        </w:rPr>
        <w:t>RR 2.37, 95% CI 1.12 to 4.99)</w:t>
      </w:r>
      <w:r w:rsidR="00A37C1D">
        <w:rPr>
          <w:kern w:val="0"/>
        </w:rPr>
        <w:t>. The</w:t>
      </w:r>
      <w:r>
        <w:rPr>
          <w:kern w:val="0"/>
        </w:rPr>
        <w:t>re was no statistically significant difference in effectiveness between 100 mg</w:t>
      </w:r>
      <w:r w:rsidR="005853A9">
        <w:rPr>
          <w:kern w:val="0"/>
        </w:rPr>
        <w:t xml:space="preserve"> and </w:t>
      </w:r>
      <w:r>
        <w:rPr>
          <w:kern w:val="0"/>
        </w:rPr>
        <w:t>40 mg doses</w:t>
      </w:r>
      <w:r w:rsidR="00427468">
        <w:rPr>
          <w:kern w:val="0"/>
        </w:rPr>
        <w:t xml:space="preserve"> of </w:t>
      </w:r>
      <w:r>
        <w:rPr>
          <w:kern w:val="0"/>
        </w:rPr>
        <w:t>doxycycline, but there was evidence</w:t>
      </w:r>
      <w:r w:rsidR="00427468">
        <w:rPr>
          <w:kern w:val="0"/>
        </w:rPr>
        <w:t xml:space="preserve"> of </w:t>
      </w:r>
      <w:r>
        <w:rPr>
          <w:kern w:val="0"/>
        </w:rPr>
        <w:t>less adverse effects with the lower dose (RR 0.25, 95% CI 0.11 to 0.54). One study reported that cyclosporine ophthalmic emulsion was significantly more effective than artificial tears for treating ocular rosacea (for all outcomes). Authors</w:t>
      </w:r>
      <w:r w:rsidR="0071223E">
        <w:rPr>
          <w:kern w:val="0"/>
        </w:rPr>
        <w:t>’</w:t>
      </w:r>
      <w:r>
        <w:rPr>
          <w:kern w:val="0"/>
        </w:rPr>
        <w:t xml:space="preserve"> conclusions Although the majority</w:t>
      </w:r>
      <w:r w:rsidR="00427468">
        <w:rPr>
          <w:kern w:val="0"/>
        </w:rPr>
        <w:t xml:space="preserve"> of </w:t>
      </w:r>
      <w:r>
        <w:rPr>
          <w:kern w:val="0"/>
        </w:rPr>
        <w:t xml:space="preserve">included studies were assessed as being at high </w:t>
      </w:r>
      <w:r>
        <w:rPr>
          <w:kern w:val="0"/>
        </w:rPr>
        <w:lastRenderedPageBreak/>
        <w:t>or unclear risk</w:t>
      </w:r>
      <w:r w:rsidR="00427468">
        <w:rPr>
          <w:kern w:val="0"/>
        </w:rPr>
        <w:t xml:space="preserve"> of </w:t>
      </w:r>
      <w:r>
        <w:rPr>
          <w:kern w:val="0"/>
        </w:rPr>
        <w:t>bias there was some evidence to support the effectiveness</w:t>
      </w:r>
      <w:r w:rsidR="00427468">
        <w:rPr>
          <w:kern w:val="0"/>
        </w:rPr>
        <w:t xml:space="preserve"> of </w:t>
      </w:r>
      <w:r>
        <w:rPr>
          <w:kern w:val="0"/>
        </w:rPr>
        <w:t>topical metronidazole, azelaic acid,</w:t>
      </w:r>
      <w:r w:rsidR="005853A9">
        <w:rPr>
          <w:kern w:val="0"/>
        </w:rPr>
        <w:t xml:space="preserve"> and </w:t>
      </w:r>
      <w:r>
        <w:rPr>
          <w:kern w:val="0"/>
        </w:rPr>
        <w:t>doxycycline (40 mg) in the treatment</w:t>
      </w:r>
      <w:r w:rsidR="00427468">
        <w:rPr>
          <w:kern w:val="0"/>
        </w:rPr>
        <w:t xml:space="preserve"> of </w:t>
      </w:r>
      <w:r>
        <w:rPr>
          <w:kern w:val="0"/>
        </w:rPr>
        <w:t>moderate to severe rosacea,</w:t>
      </w:r>
      <w:r w:rsidR="005853A9">
        <w:rPr>
          <w:kern w:val="0"/>
        </w:rPr>
        <w:t xml:space="preserve"> and </w:t>
      </w:r>
      <w:r>
        <w:rPr>
          <w:kern w:val="0"/>
        </w:rPr>
        <w:t>cyclosporine 0.5% ophthalmic emulsion for ocular rosacea. Further well-designed, adequately-powered randomised controlled trials are required.</w:t>
      </w:r>
    </w:p>
    <w:p w:rsidR="00365DE4" w:rsidRDefault="00365DE4" w:rsidP="00365DE4">
      <w:pPr>
        <w:pStyle w:val="a3"/>
        <w:rPr>
          <w:kern w:val="0"/>
        </w:rPr>
      </w:pPr>
      <w:r>
        <w:rPr>
          <w:kern w:val="0"/>
        </w:rPr>
        <w:t xml:space="preserve">Keywords: 0.75-Percent Topical Lotion, 124 0.125-Percent Lotion, Acid 15-Percent Gel, Adverse Effects, Analyses, Analysis, Antibiotics, Antiinflammatory Dose Doxycycline, Assessment, Assessments, Authors, Bias, Blood, Chronic, Citation, Clinical Trials, Collection, Criteria, Cyclosporine, Data, Dermatologic Agents [Therapeutic Use], Effectiveness, Efficacy, Emulsion, Enlargement, Evidence, Extraction, Gel, Humans, Life, </w:t>
      </w:r>
      <w:r w:rsidR="00D5664A">
        <w:rPr>
          <w:kern w:val="0"/>
        </w:rPr>
        <w:t>MEDLINE</w:t>
      </w:r>
      <w:r>
        <w:rPr>
          <w:kern w:val="0"/>
        </w:rPr>
        <w:t>, Metronidazole, Metronidazole 1-Percent Cream, Options, Oral, Outcome, Outcomes, Patients, Physician, Placebo, Placebo-Controlled Trial, Primary, Pulsed-Dye-Laser, Quality, Quality of, Quality</w:t>
      </w:r>
      <w:r w:rsidR="00427468">
        <w:rPr>
          <w:kern w:val="0"/>
        </w:rPr>
        <w:t xml:space="preserve"> of </w:t>
      </w:r>
      <w:r>
        <w:rPr>
          <w:kern w:val="0"/>
        </w:rPr>
        <w:t>Life, Randomised, Randomised Controlled Trials, Randomized Controlled Trials as Topic, Randomized Controlled-Trial, Review, Risk, Rosacea [Drug Therapy], Safety, Science, Science Citation Index, Search, Skin, Sodium Sulfacetamide 10-Percent, Steroid-Induced Rosacea, Strategy, Support, Topical, Treatment</w:t>
      </w:r>
    </w:p>
    <w:p w:rsidR="00365DE4" w:rsidRDefault="00365DE4" w:rsidP="00365DE4">
      <w:pPr>
        <w:pStyle w:val="a3"/>
        <w:rPr>
          <w:kern w:val="0"/>
        </w:rPr>
      </w:pPr>
      <w:r>
        <w:rPr>
          <w:kern w:val="0"/>
        </w:rPr>
        <w:t>? Oliveri, R.S., Wetterslev, J.</w:t>
      </w:r>
      <w:r w:rsidR="005853A9">
        <w:rPr>
          <w:kern w:val="0"/>
        </w:rPr>
        <w:t xml:space="preserve"> and </w:t>
      </w:r>
      <w:r>
        <w:rPr>
          <w:kern w:val="0"/>
        </w:rPr>
        <w:t xml:space="preserve">Gluud, C. (2011), Transarterial (chemo)embolisation for unresectable hepatocellular carcinoma.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CD004787.</w:t>
      </w:r>
    </w:p>
    <w:p w:rsidR="00365DE4" w:rsidRDefault="00365DE4" w:rsidP="00365DE4">
      <w:pPr>
        <w:pStyle w:val="a3"/>
        <w:rPr>
          <w:kern w:val="0"/>
        </w:rPr>
      </w:pPr>
      <w:r>
        <w:t xml:space="preserve">Full Text: </w:t>
      </w:r>
      <w:hyperlink r:id="rId644" w:history="1">
        <w:r>
          <w:rPr>
            <w:rStyle w:val="a5"/>
          </w:rPr>
          <w:t>2011\Coc Dat Sys Rev2011, CD004787.pdf</w:t>
        </w:r>
      </w:hyperlink>
    </w:p>
    <w:p w:rsidR="00365DE4" w:rsidRDefault="00365DE4" w:rsidP="00365DE4">
      <w:pPr>
        <w:pStyle w:val="a3"/>
        <w:rPr>
          <w:kern w:val="0"/>
        </w:rPr>
      </w:pPr>
      <w:r>
        <w:rPr>
          <w:kern w:val="0"/>
        </w:rPr>
        <w:t>Abstract: Back ground Hepatocellular carcinoma (HCC) results in more than 600,000 deaths per year. Transarterial embolisation (TAE)</w:t>
      </w:r>
      <w:r w:rsidR="005853A9">
        <w:rPr>
          <w:kern w:val="0"/>
        </w:rPr>
        <w:t xml:space="preserve"> and </w:t>
      </w:r>
      <w:r>
        <w:rPr>
          <w:kern w:val="0"/>
        </w:rPr>
        <w:t>transarterial chemoembolisation (TACE) have become standard loco-regional treatments for unresectable HCC. Objectives To assess the beneficial</w:t>
      </w:r>
      <w:r w:rsidR="005853A9">
        <w:rPr>
          <w:kern w:val="0"/>
        </w:rPr>
        <w:t xml:space="preserve"> and </w:t>
      </w:r>
      <w:r>
        <w:rPr>
          <w:kern w:val="0"/>
        </w:rPr>
        <w:t>harmful effects</w:t>
      </w:r>
      <w:r w:rsidR="00427468">
        <w:rPr>
          <w:kern w:val="0"/>
        </w:rPr>
        <w:t xml:space="preserve"> of </w:t>
      </w:r>
      <w:r>
        <w:rPr>
          <w:kern w:val="0"/>
        </w:rPr>
        <w:t>TACE or TAE. Search strategy We searched The Cochrane Hepato-Biliary Group Controlled Trials Register, The Cochrane Cancer Network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The Latin American Caribbean Health Sciences Literature (LILACS) from dates</w:t>
      </w:r>
      <w:r w:rsidR="00427468">
        <w:rPr>
          <w:kern w:val="0"/>
        </w:rPr>
        <w:t xml:space="preserve"> of </w:t>
      </w:r>
      <w:r>
        <w:rPr>
          <w:kern w:val="0"/>
        </w:rPr>
        <w:t>inceptions up to September 2010. Selection criteria We considered for inclusion all randomised trials that compared TACE or TAE versus placebo, sham, or no intervention. Co-interventions were allowed if comparable between intervention groups. Trials with inadequate randomisation were excluded. Data collection</w:t>
      </w:r>
      <w:r w:rsidR="005853A9">
        <w:rPr>
          <w:kern w:val="0"/>
        </w:rPr>
        <w:t xml:space="preserve"> and </w:t>
      </w:r>
      <w:r>
        <w:rPr>
          <w:kern w:val="0"/>
        </w:rPr>
        <w:t>analysis For all-cause mortality, we calculated the log hazard ratio (HR) with standard error as point estimate</w:t>
      </w:r>
      <w:r w:rsidR="005853A9">
        <w:rPr>
          <w:kern w:val="0"/>
        </w:rPr>
        <w:t xml:space="preserve"> and </w:t>
      </w:r>
      <w:r>
        <w:rPr>
          <w:kern w:val="0"/>
        </w:rPr>
        <w:t>pooled them for meta-analysis using the inverse variance method. Sub-group analyses were performed regarding intervention regimen, trial truncation, or co-interventions. We validated the results with trial sequential analyses. We used random-effects model in all meta-analyses in anticipation</w:t>
      </w:r>
      <w:r w:rsidR="00427468">
        <w:rPr>
          <w:kern w:val="0"/>
        </w:rPr>
        <w:t xml:space="preserve"> of </w:t>
      </w:r>
      <w:r>
        <w:rPr>
          <w:kern w:val="0"/>
        </w:rPr>
        <w:t xml:space="preserve">statistical heterogeneity among the trials. Main results We included nine trials with 645 participants. Six trials </w:t>
      </w:r>
      <w:r>
        <w:rPr>
          <w:kern w:val="0"/>
        </w:rPr>
        <w:lastRenderedPageBreak/>
        <w:t>assessed TACE versus control</w:t>
      </w:r>
      <w:r w:rsidR="005853A9">
        <w:rPr>
          <w:kern w:val="0"/>
        </w:rPr>
        <w:t xml:space="preserve"> and </w:t>
      </w:r>
      <w:r>
        <w:rPr>
          <w:kern w:val="0"/>
        </w:rPr>
        <w:t>three trials assessed TAE versus control. Seven trials had low risk</w:t>
      </w:r>
      <w:r w:rsidR="00427468">
        <w:rPr>
          <w:kern w:val="0"/>
        </w:rPr>
        <w:t xml:space="preserve"> of </w:t>
      </w:r>
      <w:r>
        <w:rPr>
          <w:kern w:val="0"/>
        </w:rPr>
        <w:t>selection bias based on adequate generation</w:t>
      </w:r>
      <w:r w:rsidR="00427468">
        <w:rPr>
          <w:kern w:val="0"/>
        </w:rPr>
        <w:t xml:space="preserve"> of </w:t>
      </w:r>
      <w:r>
        <w:rPr>
          <w:kern w:val="0"/>
        </w:rPr>
        <w:t>allocation sequence</w:t>
      </w:r>
      <w:r w:rsidR="005853A9">
        <w:rPr>
          <w:kern w:val="0"/>
        </w:rPr>
        <w:t xml:space="preserve"> and </w:t>
      </w:r>
      <w:r>
        <w:rPr>
          <w:kern w:val="0"/>
        </w:rPr>
        <w:t>concealment - but all these trials had other risks</w:t>
      </w:r>
      <w:r w:rsidR="00427468">
        <w:rPr>
          <w:kern w:val="0"/>
        </w:rPr>
        <w:t xml:space="preserve"> of </w:t>
      </w:r>
      <w:r>
        <w:rPr>
          <w:kern w:val="0"/>
        </w:rPr>
        <w:t>bias. Three trials were stopped early due to interim inspections</w:t>
      </w:r>
      <w:r w:rsidR="005853A9">
        <w:rPr>
          <w:kern w:val="0"/>
        </w:rPr>
        <w:t xml:space="preserve"> and </w:t>
      </w:r>
      <w:r>
        <w:rPr>
          <w:kern w:val="0"/>
        </w:rPr>
        <w:t>one due to slow accrual. For all-cause mortality, statistical heterogeneity between trials was low to moderate (I-2 = 30%). Meta-analysis</w:t>
      </w:r>
      <w:r w:rsidR="00427468">
        <w:rPr>
          <w:kern w:val="0"/>
        </w:rPr>
        <w:t xml:space="preserve"> of </w:t>
      </w:r>
      <w:r>
        <w:rPr>
          <w:kern w:val="0"/>
        </w:rPr>
        <w:t>trials with low risk</w:t>
      </w:r>
      <w:r w:rsidR="00427468">
        <w:rPr>
          <w:kern w:val="0"/>
        </w:rPr>
        <w:t xml:space="preserve"> of </w:t>
      </w:r>
      <w:r>
        <w:rPr>
          <w:kern w:val="0"/>
        </w:rPr>
        <w:t>selection bias showed that TACE or TAE versus control does not significantly increase survival (HR 0.88; 95% CI 0.71 to 1.10). Two trials with low risk</w:t>
      </w:r>
      <w:r w:rsidR="00427468">
        <w:rPr>
          <w:kern w:val="0"/>
        </w:rPr>
        <w:t xml:space="preserve"> of </w:t>
      </w:r>
      <w:r>
        <w:rPr>
          <w:kern w:val="0"/>
        </w:rPr>
        <w:t>selection bias, no early stopping,</w:t>
      </w:r>
      <w:r w:rsidR="005853A9">
        <w:rPr>
          <w:kern w:val="0"/>
        </w:rPr>
        <w:t xml:space="preserve"> and </w:t>
      </w:r>
      <w:r>
        <w:rPr>
          <w:kern w:val="0"/>
        </w:rPr>
        <w:t>no co-intervention did not establish any significant effect</w:t>
      </w:r>
      <w:r w:rsidR="00427468">
        <w:rPr>
          <w:kern w:val="0"/>
        </w:rPr>
        <w:t xml:space="preserve"> of </w:t>
      </w:r>
      <w:r>
        <w:rPr>
          <w:kern w:val="0"/>
        </w:rPr>
        <w:t>TACE or TAE on overall survival (hazard ratio 1.22, 95% confidence interval 0.82 to 1.83; P = 0.33). Trial sequential analysis confirmed the absence</w:t>
      </w:r>
      <w:r w:rsidR="00427468">
        <w:rPr>
          <w:kern w:val="0"/>
        </w:rPr>
        <w:t xml:space="preserve"> of </w:t>
      </w:r>
      <w:r>
        <w:rPr>
          <w:kern w:val="0"/>
        </w:rPr>
        <w:t>evidence for a beneficial effect</w:t>
      </w:r>
      <w:r w:rsidR="00427468">
        <w:rPr>
          <w:kern w:val="0"/>
        </w:rPr>
        <w:t xml:space="preserve"> of </w:t>
      </w:r>
      <w:r>
        <w:rPr>
          <w:kern w:val="0"/>
        </w:rPr>
        <w:t>TACE or TAE on survival indicating the need for future randomisation</w:t>
      </w:r>
      <w:r w:rsidR="00427468">
        <w:rPr>
          <w:kern w:val="0"/>
        </w:rPr>
        <w:t xml:space="preserve"> of </w:t>
      </w:r>
      <w:r>
        <w:rPr>
          <w:kern w:val="0"/>
        </w:rPr>
        <w:t>up to 383 additional participants. Substantial differences in criteria for assessing tumour response did not allow quantitative analyses. One trial investigated quality</w:t>
      </w:r>
      <w:r w:rsidR="00427468">
        <w:rPr>
          <w:kern w:val="0"/>
        </w:rPr>
        <w:t xml:space="preserve"> of </w:t>
      </w:r>
      <w:r>
        <w:rPr>
          <w:kern w:val="0"/>
        </w:rPr>
        <w:t>life but did not detect any significant differences between the intervention groups. A range</w:t>
      </w:r>
      <w:r w:rsidR="00427468">
        <w:rPr>
          <w:kern w:val="0"/>
        </w:rPr>
        <w:t xml:space="preserve"> of </w:t>
      </w:r>
      <w:r>
        <w:rPr>
          <w:kern w:val="0"/>
        </w:rPr>
        <w:t>adverse events including post-embolisation syndrome</w:t>
      </w:r>
      <w:r w:rsidR="005853A9">
        <w:rPr>
          <w:kern w:val="0"/>
        </w:rPr>
        <w:t xml:space="preserve"> and </w:t>
      </w:r>
      <w:r>
        <w:rPr>
          <w:kern w:val="0"/>
        </w:rPr>
        <w:t>serious complications were reported. Authors</w:t>
      </w:r>
      <w:r w:rsidR="0071223E">
        <w:rPr>
          <w:kern w:val="0"/>
        </w:rPr>
        <w:t>’</w:t>
      </w:r>
      <w:r>
        <w:rPr>
          <w:kern w:val="0"/>
        </w:rPr>
        <w:t xml:space="preserve"> conclusions There is no firm evidence to support or refute TACE or TAE for patients with unresectable HCC. More adequately powered</w:t>
      </w:r>
      <w:r w:rsidR="005853A9">
        <w:rPr>
          <w:kern w:val="0"/>
        </w:rPr>
        <w:t xml:space="preserve"> and </w:t>
      </w:r>
      <w:r>
        <w:rPr>
          <w:kern w:val="0"/>
        </w:rPr>
        <w:t>biasprotected trials are needed.</w:t>
      </w:r>
    </w:p>
    <w:p w:rsidR="00365DE4" w:rsidRDefault="00365DE4" w:rsidP="00365DE4">
      <w:pPr>
        <w:pStyle w:val="a3"/>
        <w:rPr>
          <w:kern w:val="0"/>
        </w:rPr>
      </w:pPr>
      <w:r>
        <w:rPr>
          <w:kern w:val="0"/>
        </w:rPr>
        <w:t xml:space="preserve">Keywords: Allocation, Analyses, Analysis, Assessing, Bias, Citation, Clinical-Trials, Collection, Combination Therapy, Complications, Confidence, Control, Criteria, Effects, Error, Events, Evidence, Generation, Hazard, Heterogeneity, Interval, Intervention, Life, Lipiodol Chemoembolization, Literature, Low Risk, </w:t>
      </w:r>
      <w:r w:rsidR="00D5664A">
        <w:rPr>
          <w:kern w:val="0"/>
        </w:rPr>
        <w:t>MEDLINE</w:t>
      </w:r>
      <w:r>
        <w:rPr>
          <w:kern w:val="0"/>
        </w:rPr>
        <w:t>, Meta-Analysis, Metaanalysis, Model, Mortality, P, Patients, Percutaneous Ethanol Injection, Placebo, Portal-Vein Chemotherapy, Quality, Quality of, Quality</w:t>
      </w:r>
      <w:r w:rsidR="00427468">
        <w:rPr>
          <w:kern w:val="0"/>
        </w:rPr>
        <w:t xml:space="preserve"> of </w:t>
      </w:r>
      <w:r>
        <w:rPr>
          <w:kern w:val="0"/>
        </w:rPr>
        <w:t>Life, Radiofrequency Ablation, Random Effects Model, Randomisation, Randomised, Randomized Controlled-Trial, Response Evaluation Criteria, Risk, Risks, Science, Science Citation Index, Science Citation Index Expanded, Search, Standard, Strategy, Support, Survival, Symptomatic Treatment, Syndrome, Transcatheter Arterial Chemoembolization, Trial</w:t>
      </w:r>
    </w:p>
    <w:p w:rsidR="00365DE4" w:rsidRDefault="00365DE4" w:rsidP="00365DE4">
      <w:pPr>
        <w:pStyle w:val="a3"/>
        <w:rPr>
          <w:kern w:val="0"/>
        </w:rPr>
      </w:pPr>
      <w:r>
        <w:rPr>
          <w:kern w:val="0"/>
        </w:rPr>
        <w:t>? Desapriya, E., Wijeratne, H., Subzwari, S., Babul-Wellar, S., Turcotte, K., Rajabali, F., Kinney, J.</w:t>
      </w:r>
      <w:r w:rsidR="005853A9">
        <w:rPr>
          <w:kern w:val="0"/>
        </w:rPr>
        <w:t xml:space="preserve"> and </w:t>
      </w:r>
      <w:r>
        <w:rPr>
          <w:kern w:val="0"/>
        </w:rPr>
        <w:t>Pike, I. (2011), Vision screening</w:t>
      </w:r>
      <w:r w:rsidR="00427468">
        <w:rPr>
          <w:kern w:val="0"/>
        </w:rPr>
        <w:t xml:space="preserve"> of </w:t>
      </w:r>
      <w:r>
        <w:rPr>
          <w:kern w:val="0"/>
        </w:rPr>
        <w:t>older drivers for preventing road traffic injuries</w:t>
      </w:r>
      <w:r w:rsidR="005853A9">
        <w:rPr>
          <w:kern w:val="0"/>
        </w:rPr>
        <w:t xml:space="preserve"> and </w:t>
      </w:r>
      <w:r>
        <w:rPr>
          <w:kern w:val="0"/>
        </w:rPr>
        <w:t xml:space="preserve">fatalities.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CD006252.</w:t>
      </w:r>
    </w:p>
    <w:p w:rsidR="00365DE4" w:rsidRDefault="00365DE4" w:rsidP="00365DE4">
      <w:pPr>
        <w:pStyle w:val="a3"/>
        <w:rPr>
          <w:kern w:val="0"/>
        </w:rPr>
      </w:pPr>
      <w:r>
        <w:t xml:space="preserve">Full Text: </w:t>
      </w:r>
      <w:hyperlink r:id="rId645" w:history="1">
        <w:r>
          <w:rPr>
            <w:rStyle w:val="a5"/>
          </w:rPr>
          <w:t>2011\Coc Dat Sys Rev2011, CD006252.pdf</w:t>
        </w:r>
      </w:hyperlink>
    </w:p>
    <w:p w:rsidR="00365DE4" w:rsidRDefault="00365DE4" w:rsidP="00365DE4">
      <w:pPr>
        <w:pStyle w:val="a3"/>
        <w:rPr>
          <w:kern w:val="0"/>
        </w:rPr>
      </w:pPr>
      <w:r>
        <w:rPr>
          <w:kern w:val="0"/>
        </w:rPr>
        <w:t>Abstract: Back ground Demographic data in North America, Europe, Asia, Australia</w:t>
      </w:r>
      <w:r w:rsidR="005853A9">
        <w:rPr>
          <w:kern w:val="0"/>
        </w:rPr>
        <w:t xml:space="preserve"> and </w:t>
      </w:r>
      <w:r>
        <w:rPr>
          <w:kern w:val="0"/>
        </w:rPr>
        <w:t>New Zealand suggest a rapid growth in the number</w:t>
      </w:r>
      <w:r w:rsidR="00427468">
        <w:rPr>
          <w:kern w:val="0"/>
        </w:rPr>
        <w:t xml:space="preserve"> of </w:t>
      </w:r>
      <w:r>
        <w:rPr>
          <w:kern w:val="0"/>
        </w:rPr>
        <w:t>persons over the age</w:t>
      </w:r>
      <w:r w:rsidR="00427468">
        <w:rPr>
          <w:kern w:val="0"/>
        </w:rPr>
        <w:t xml:space="preserve"> of </w:t>
      </w:r>
      <w:r>
        <w:rPr>
          <w:kern w:val="0"/>
        </w:rPr>
        <w:t>65 years as the baby boomer generation passes retirement age. As older adults make up an increasing proportion</w:t>
      </w:r>
      <w:r w:rsidR="00427468">
        <w:rPr>
          <w:kern w:val="0"/>
        </w:rPr>
        <w:t xml:space="preserve"> of </w:t>
      </w:r>
      <w:r>
        <w:rPr>
          <w:kern w:val="0"/>
        </w:rPr>
        <w:t xml:space="preserve">the population, they are an important consideration when </w:t>
      </w:r>
      <w:r>
        <w:rPr>
          <w:kern w:val="0"/>
        </w:rPr>
        <w:lastRenderedPageBreak/>
        <w:t>designing future evidence-based traffic safety policies, particularly those that lead to restrictions or cessation</w:t>
      </w:r>
      <w:r w:rsidR="00427468">
        <w:rPr>
          <w:kern w:val="0"/>
        </w:rPr>
        <w:t xml:space="preserve"> of </w:t>
      </w:r>
      <w:r>
        <w:rPr>
          <w:kern w:val="0"/>
        </w:rPr>
        <w:t>driving. Research has shown that cessation</w:t>
      </w:r>
      <w:r w:rsidR="00427468">
        <w:rPr>
          <w:kern w:val="0"/>
        </w:rPr>
        <w:t xml:space="preserve"> of </w:t>
      </w:r>
      <w:r>
        <w:rPr>
          <w:kern w:val="0"/>
        </w:rPr>
        <w:t>driving among older drivers can lead to negative emotional consequences such as loss</w:t>
      </w:r>
      <w:r w:rsidR="00427468">
        <w:rPr>
          <w:kern w:val="0"/>
        </w:rPr>
        <w:t xml:space="preserve"> of </w:t>
      </w:r>
      <w:r>
        <w:rPr>
          <w:kern w:val="0"/>
        </w:rPr>
        <w:t>independence</w:t>
      </w:r>
      <w:r w:rsidR="005853A9">
        <w:rPr>
          <w:kern w:val="0"/>
        </w:rPr>
        <w:t xml:space="preserve"> and </w:t>
      </w:r>
      <w:r>
        <w:rPr>
          <w:kern w:val="0"/>
        </w:rPr>
        <w:t>depression. Those older adults who continue to drive tend to do so less frequently than other demographic groups</w:t>
      </w:r>
      <w:r w:rsidR="005853A9">
        <w:rPr>
          <w:kern w:val="0"/>
        </w:rPr>
        <w:t xml:space="preserve"> and </w:t>
      </w:r>
      <w:r>
        <w:rPr>
          <w:kern w:val="0"/>
        </w:rPr>
        <w:t xml:space="preserve">are more likely to be involved in a road traffic crash, probably due to what is termed the </w:t>
      </w:r>
      <w:r w:rsidR="0071223E">
        <w:rPr>
          <w:kern w:val="0"/>
        </w:rPr>
        <w:t>‘</w:t>
      </w:r>
      <w:r>
        <w:rPr>
          <w:kern w:val="0"/>
        </w:rPr>
        <w:t>low mileage bias</w:t>
      </w:r>
      <w:r w:rsidR="0071223E">
        <w:rPr>
          <w:kern w:val="0"/>
        </w:rPr>
        <w:t>’</w:t>
      </w:r>
      <w:r w:rsidR="00A37C1D">
        <w:rPr>
          <w:kern w:val="0"/>
        </w:rPr>
        <w:t>. The</w:t>
      </w:r>
      <w:r>
        <w:rPr>
          <w:kern w:val="0"/>
        </w:rPr>
        <w:t>re is universal agreement among researchers that vision plays a significant role in driving performance,</w:t>
      </w:r>
      <w:r w:rsidR="005853A9">
        <w:rPr>
          <w:kern w:val="0"/>
        </w:rPr>
        <w:t xml:space="preserve"> and </w:t>
      </w:r>
      <w:r>
        <w:rPr>
          <w:kern w:val="0"/>
        </w:rPr>
        <w:t>that there are age-related visual changes. Vision testing</w:t>
      </w:r>
      <w:r w:rsidR="00427468">
        <w:rPr>
          <w:kern w:val="0"/>
        </w:rPr>
        <w:t xml:space="preserve"> of </w:t>
      </w:r>
      <w:r>
        <w:rPr>
          <w:kern w:val="0"/>
        </w:rPr>
        <w:t>all drivers,</w:t>
      </w:r>
      <w:r w:rsidR="005853A9">
        <w:rPr>
          <w:kern w:val="0"/>
        </w:rPr>
        <w:t xml:space="preserve"> and </w:t>
      </w:r>
      <w:r>
        <w:rPr>
          <w:kern w:val="0"/>
        </w:rPr>
        <w:t>in particular</w:t>
      </w:r>
      <w:r w:rsidR="00427468">
        <w:rPr>
          <w:kern w:val="0"/>
        </w:rPr>
        <w:t xml:space="preserve"> of </w:t>
      </w:r>
      <w:r>
        <w:rPr>
          <w:kern w:val="0"/>
        </w:rPr>
        <w:t>older drivers, is therefore an important road safety issue</w:t>
      </w:r>
      <w:r w:rsidR="00A37C1D">
        <w:rPr>
          <w:kern w:val="0"/>
        </w:rPr>
        <w:t>. The</w:t>
      </w:r>
      <w:r>
        <w:rPr>
          <w:kern w:val="0"/>
        </w:rPr>
        <w:t xml:space="preserve"> components</w:t>
      </w:r>
      <w:r w:rsidR="00427468">
        <w:rPr>
          <w:kern w:val="0"/>
        </w:rPr>
        <w:t xml:space="preserve"> of </w:t>
      </w:r>
      <w:r>
        <w:rPr>
          <w:kern w:val="0"/>
        </w:rPr>
        <w:t>visual function essential for driving are acuity, field, depth perception</w:t>
      </w:r>
      <w:r w:rsidR="005853A9">
        <w:rPr>
          <w:kern w:val="0"/>
        </w:rPr>
        <w:t xml:space="preserve"> and </w:t>
      </w:r>
      <w:r>
        <w:rPr>
          <w:kern w:val="0"/>
        </w:rPr>
        <w:t>contrast sensitivity, which are currently not fully measured by licensing agencies. Furthermore, it is not known how effective vision screening tools are,</w:t>
      </w:r>
      <w:r w:rsidR="005853A9">
        <w:rPr>
          <w:kern w:val="0"/>
        </w:rPr>
        <w:t xml:space="preserve"> and </w:t>
      </w:r>
      <w:r>
        <w:rPr>
          <w:kern w:val="0"/>
        </w:rPr>
        <w:t>current vision screening regulations</w:t>
      </w:r>
      <w:r w:rsidR="005853A9">
        <w:rPr>
          <w:kern w:val="0"/>
        </w:rPr>
        <w:t xml:space="preserve"> and </w:t>
      </w:r>
      <w:r>
        <w:rPr>
          <w:kern w:val="0"/>
        </w:rPr>
        <w:t>cut-off values required to pass a licensing test vary from country to country</w:t>
      </w:r>
      <w:r w:rsidR="00A37C1D">
        <w:rPr>
          <w:kern w:val="0"/>
        </w:rPr>
        <w:t>. The</w:t>
      </w:r>
      <w:r>
        <w:rPr>
          <w:kern w:val="0"/>
        </w:rPr>
        <w:t>re is, therefore, a need to develop evidence-based tools for vision screening for driving, thereby increasing road safety. Objectives To assess the effects</w:t>
      </w:r>
      <w:r w:rsidR="00427468">
        <w:rPr>
          <w:kern w:val="0"/>
        </w:rPr>
        <w:t xml:space="preserve"> of </w:t>
      </w:r>
      <w:r>
        <w:rPr>
          <w:kern w:val="0"/>
        </w:rPr>
        <w:t>vision screening interventions for older drivers to prevent road traffic injuries</w:t>
      </w:r>
      <w:r w:rsidR="005853A9">
        <w:rPr>
          <w:kern w:val="0"/>
        </w:rPr>
        <w:t xml:space="preserve"> and </w:t>
      </w:r>
      <w:r>
        <w:rPr>
          <w:kern w:val="0"/>
        </w:rPr>
        <w:t>fatalities. Search strategy We searched the Cochrane Injuries Group</w:t>
      </w:r>
      <w:r w:rsidR="0071223E">
        <w:rPr>
          <w:kern w:val="0"/>
        </w:rPr>
        <w:t>’</w:t>
      </w:r>
      <w:r>
        <w:rPr>
          <w:kern w:val="0"/>
        </w:rPr>
        <w:t>s Specialised Register, the Cochrane Central Register</w:t>
      </w:r>
      <w:r w:rsidR="00427468">
        <w:rPr>
          <w:kern w:val="0"/>
        </w:rPr>
        <w:t xml:space="preserve"> of </w:t>
      </w:r>
      <w:r>
        <w:rPr>
          <w:kern w:val="0"/>
        </w:rPr>
        <w:t xml:space="preserve">Controlled Trials (CENTRAL) (T h e Cochrane Library 2010, Issue 2), </w:t>
      </w:r>
      <w:r w:rsidR="00D5664A">
        <w:rPr>
          <w:kern w:val="0"/>
        </w:rPr>
        <w:t>MEDLINE</w:t>
      </w:r>
      <w:r>
        <w:rPr>
          <w:kern w:val="0"/>
        </w:rPr>
        <w:t xml:space="preserve"> (Ovid), TRANSPORT (Ovid), IBSS (International Bibliography</w:t>
      </w:r>
      <w:r w:rsidR="00427468">
        <w:rPr>
          <w:kern w:val="0"/>
        </w:rPr>
        <w:t xml:space="preserve"> of </w:t>
      </w:r>
      <w:r>
        <w:rPr>
          <w:kern w:val="0"/>
        </w:rPr>
        <w:t>Social Sciences), ASSIA: Applied Social Sciences Index</w:t>
      </w:r>
      <w:r w:rsidR="005853A9">
        <w:rPr>
          <w:kern w:val="0"/>
        </w:rPr>
        <w:t xml:space="preserve"> and </w:t>
      </w:r>
      <w:r>
        <w:rPr>
          <w:kern w:val="0"/>
        </w:rPr>
        <w:t xml:space="preserve">Abstracts, ISI </w:t>
      </w:r>
      <w:r w:rsidR="00D5664A">
        <w:rPr>
          <w:kern w:val="0"/>
        </w:rPr>
        <w:t>Web</w:t>
      </w:r>
      <w:r w:rsidR="00427468">
        <w:rPr>
          <w:kern w:val="0"/>
        </w:rPr>
        <w:t xml:space="preserve"> of </w:t>
      </w:r>
      <w:r w:rsidR="00D5664A">
        <w:rPr>
          <w:kern w:val="0"/>
        </w:rPr>
        <w:t>Science</w:t>
      </w:r>
      <w:r>
        <w:rPr>
          <w:kern w:val="0"/>
        </w:rPr>
        <w:t>: Social Sciences Citation Index (</w:t>
      </w:r>
      <w:r w:rsidR="00D5664A">
        <w:rPr>
          <w:kern w:val="0"/>
        </w:rPr>
        <w:t>SSCI</w:t>
      </w:r>
      <w:r>
        <w:rPr>
          <w:kern w:val="0"/>
        </w:rPr>
        <w:t xml:space="preserve">), ISI </w:t>
      </w:r>
      <w:r w:rsidR="00D5664A">
        <w:rPr>
          <w:kern w:val="0"/>
        </w:rPr>
        <w:t>Web</w:t>
      </w:r>
      <w:r w:rsidR="00427468">
        <w:rPr>
          <w:kern w:val="0"/>
        </w:rPr>
        <w:t xml:space="preserve"> of </w:t>
      </w:r>
      <w:r w:rsidR="00D5664A">
        <w:rPr>
          <w:kern w:val="0"/>
        </w:rPr>
        <w:t>Science</w:t>
      </w:r>
      <w:r>
        <w:rPr>
          <w:kern w:val="0"/>
        </w:rPr>
        <w:t>: Conference Proceedings Citation Index-Science (CPCI-S)</w:t>
      </w:r>
      <w:r w:rsidR="005853A9">
        <w:rPr>
          <w:kern w:val="0"/>
        </w:rPr>
        <w:t xml:space="preserve"> and </w:t>
      </w:r>
      <w:r>
        <w:rPr>
          <w:kern w:val="0"/>
        </w:rPr>
        <w:t>PUBMED. We also searched the Internet</w:t>
      </w:r>
      <w:r w:rsidR="005853A9">
        <w:rPr>
          <w:kern w:val="0"/>
        </w:rPr>
        <w:t xml:space="preserve"> and </w:t>
      </w:r>
      <w:r>
        <w:rPr>
          <w:kern w:val="0"/>
        </w:rPr>
        <w:t>checked the reference lists</w:t>
      </w:r>
      <w:r w:rsidR="00427468">
        <w:rPr>
          <w:kern w:val="0"/>
        </w:rPr>
        <w:t xml:space="preserve"> of </w:t>
      </w:r>
      <w:r>
        <w:rPr>
          <w:kern w:val="0"/>
        </w:rPr>
        <w:t>relevant papers to identify any further studies</w:t>
      </w:r>
      <w:r w:rsidR="00A37C1D">
        <w:rPr>
          <w:kern w:val="0"/>
        </w:rPr>
        <w:t>. The</w:t>
      </w:r>
      <w:r>
        <w:rPr>
          <w:kern w:val="0"/>
        </w:rPr>
        <w:t xml:space="preserve"> searches were conducted up to the first week</w:t>
      </w:r>
      <w:r w:rsidR="00427468">
        <w:rPr>
          <w:kern w:val="0"/>
        </w:rPr>
        <w:t xml:space="preserve"> of </w:t>
      </w:r>
      <w:r>
        <w:rPr>
          <w:kern w:val="0"/>
        </w:rPr>
        <w:t>June 2010. Selection criteria Randomised controlled trials (RCTs)</w:t>
      </w:r>
      <w:r w:rsidR="005853A9">
        <w:rPr>
          <w:kern w:val="0"/>
        </w:rPr>
        <w:t xml:space="preserve"> and </w:t>
      </w:r>
      <w:r>
        <w:rPr>
          <w:kern w:val="0"/>
        </w:rPr>
        <w:t>controlled before</w:t>
      </w:r>
      <w:r w:rsidR="005853A9">
        <w:rPr>
          <w:kern w:val="0"/>
        </w:rPr>
        <w:t xml:space="preserve"> and </w:t>
      </w:r>
      <w:r>
        <w:rPr>
          <w:kern w:val="0"/>
        </w:rPr>
        <w:t>after studies comparing vision screening to non-screening</w:t>
      </w:r>
      <w:r w:rsidR="00427468">
        <w:rPr>
          <w:kern w:val="0"/>
        </w:rPr>
        <w:t xml:space="preserve"> of </w:t>
      </w:r>
      <w:r>
        <w:rPr>
          <w:kern w:val="0"/>
        </w:rPr>
        <w:t>drivers aged 55 years</w:t>
      </w:r>
      <w:r w:rsidR="005853A9">
        <w:rPr>
          <w:kern w:val="0"/>
        </w:rPr>
        <w:t xml:space="preserve"> and </w:t>
      </w:r>
      <w:r>
        <w:rPr>
          <w:kern w:val="0"/>
        </w:rPr>
        <w:t>older,</w:t>
      </w:r>
      <w:r w:rsidR="005853A9">
        <w:rPr>
          <w:kern w:val="0"/>
        </w:rPr>
        <w:t xml:space="preserve"> and </w:t>
      </w:r>
      <w:r>
        <w:rPr>
          <w:kern w:val="0"/>
        </w:rPr>
        <w:t>which assessed the effect on road traffic crashes, injuries, fatalities</w:t>
      </w:r>
      <w:r w:rsidR="005853A9">
        <w:rPr>
          <w:kern w:val="0"/>
        </w:rPr>
        <w:t xml:space="preserve"> and </w:t>
      </w:r>
      <w:r>
        <w:rPr>
          <w:kern w:val="0"/>
        </w:rPr>
        <w:t>any involvement in traffic law violations, were included. Data collection</w:t>
      </w:r>
      <w:r w:rsidR="005853A9">
        <w:rPr>
          <w:kern w:val="0"/>
        </w:rPr>
        <w:t xml:space="preserve"> and </w:t>
      </w:r>
      <w:r>
        <w:rPr>
          <w:kern w:val="0"/>
        </w:rPr>
        <w:t>an anlysis Two authors independently screened the reference lists for eligible articles</w:t>
      </w:r>
      <w:r w:rsidR="005853A9">
        <w:rPr>
          <w:kern w:val="0"/>
        </w:rPr>
        <w:t xml:space="preserve"> and </w:t>
      </w:r>
      <w:r>
        <w:rPr>
          <w:kern w:val="0"/>
        </w:rPr>
        <w:t>independently assessed the articles for inclusion against the criteria. Two authors independently extracted data using a standardised extraction form. Main results No studies were found which met the inclusion criteria for this review. Authors</w:t>
      </w:r>
      <w:r w:rsidR="0071223E">
        <w:rPr>
          <w:kern w:val="0"/>
        </w:rPr>
        <w:t>’</w:t>
      </w:r>
      <w:r>
        <w:rPr>
          <w:kern w:val="0"/>
        </w:rPr>
        <w:t xml:space="preserve"> conclusions Most countries require a vision screening test for the renewal</w:t>
      </w:r>
      <w:r w:rsidR="00427468">
        <w:rPr>
          <w:kern w:val="0"/>
        </w:rPr>
        <w:t xml:space="preserve"> of </w:t>
      </w:r>
      <w:r>
        <w:rPr>
          <w:kern w:val="0"/>
        </w:rPr>
        <w:t>an individual</w:t>
      </w:r>
      <w:r w:rsidR="0071223E">
        <w:rPr>
          <w:kern w:val="0"/>
        </w:rPr>
        <w:t>’</w:t>
      </w:r>
      <w:r>
        <w:rPr>
          <w:kern w:val="0"/>
        </w:rPr>
        <w:t>s driver</w:t>
      </w:r>
      <w:r w:rsidR="0071223E">
        <w:rPr>
          <w:kern w:val="0"/>
        </w:rPr>
        <w:t>’</w:t>
      </w:r>
      <w:r>
        <w:rPr>
          <w:kern w:val="0"/>
        </w:rPr>
        <w:t>s license</w:t>
      </w:r>
      <w:r w:rsidR="00A37C1D">
        <w:rPr>
          <w:kern w:val="0"/>
        </w:rPr>
        <w:t>. The</w:t>
      </w:r>
      <w:r>
        <w:rPr>
          <w:kern w:val="0"/>
        </w:rPr>
        <w:t>re is, however insufficient evidence to assess the effects</w:t>
      </w:r>
      <w:r w:rsidR="00427468">
        <w:rPr>
          <w:kern w:val="0"/>
        </w:rPr>
        <w:t xml:space="preserve"> of </w:t>
      </w:r>
      <w:r>
        <w:rPr>
          <w:kern w:val="0"/>
        </w:rPr>
        <w:t>vision screening tests on subsequent motor vehicle crash reduction</w:t>
      </w:r>
      <w:r w:rsidR="00A37C1D">
        <w:rPr>
          <w:kern w:val="0"/>
        </w:rPr>
        <w:t>. The</w:t>
      </w:r>
      <w:r>
        <w:rPr>
          <w:kern w:val="0"/>
        </w:rPr>
        <w:t>re is a need to develop valid</w:t>
      </w:r>
      <w:r w:rsidR="005853A9">
        <w:rPr>
          <w:kern w:val="0"/>
        </w:rPr>
        <w:t xml:space="preserve"> and </w:t>
      </w:r>
      <w:r>
        <w:rPr>
          <w:kern w:val="0"/>
        </w:rPr>
        <w:t>reliable tools</w:t>
      </w:r>
      <w:r w:rsidR="00427468">
        <w:rPr>
          <w:kern w:val="0"/>
        </w:rPr>
        <w:t xml:space="preserve"> of </w:t>
      </w:r>
      <w:r>
        <w:rPr>
          <w:kern w:val="0"/>
        </w:rPr>
        <w:t>vision screening that can predict driving performance.</w:t>
      </w:r>
    </w:p>
    <w:p w:rsidR="00365DE4" w:rsidRDefault="00365DE4" w:rsidP="00365DE4">
      <w:pPr>
        <w:pStyle w:val="a3"/>
        <w:rPr>
          <w:kern w:val="0"/>
        </w:rPr>
      </w:pPr>
      <w:r>
        <w:rPr>
          <w:kern w:val="0"/>
        </w:rPr>
        <w:t xml:space="preserve">Keywords: Accidents, Adults, Age, Aged, Asia, Australia, Authors, Automobile </w:t>
      </w:r>
      <w:r>
        <w:rPr>
          <w:kern w:val="0"/>
        </w:rPr>
        <w:lastRenderedPageBreak/>
        <w:t>Driving, Baby, Bias, Bibliography, Cessation, Changes, Citation, Collection, Conference, Country, Criteria, Data, Dementia, Depression, Drive, Driver</w:t>
      </w:r>
      <w:r w:rsidR="0071223E">
        <w:rPr>
          <w:kern w:val="0"/>
        </w:rPr>
        <w:t>’</w:t>
      </w:r>
      <w:r>
        <w:rPr>
          <w:kern w:val="0"/>
        </w:rPr>
        <w:t>s License, Driving, Driving Performance, Effects, Europe, Evidence, Evidence Based, Evidence-Based, Extraction, Fatalities, Field, First, Function, Generation, Growth, Humans, Increased Depressive Symptoms, Internet,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Law, Lead, License, License Renewal, Licensing, </w:t>
      </w:r>
      <w:r w:rsidR="00D5664A">
        <w:rPr>
          <w:kern w:val="0"/>
        </w:rPr>
        <w:t>MEDLINE</w:t>
      </w:r>
      <w:r>
        <w:rPr>
          <w:kern w:val="0"/>
        </w:rPr>
        <w:t xml:space="preserve">, Motor Vehicle, Motor-Vehicle Crashes, New Zealand, North, North America, Older Drivers, Papers, Perception, Performance, Policies, Population, PUBMED, Reduction, Reference, Reference Lists, Regulations, Research, Restrictions, Review, Risk, Road, Role, Safety, Science, Screening, Screening Tests, Search, Sensitivity, Social Sciences, Social Sciences Citation Index, </w:t>
      </w:r>
      <w:r w:rsidR="00D5664A">
        <w:rPr>
          <w:kern w:val="0"/>
        </w:rPr>
        <w:t>SSCI</w:t>
      </w:r>
      <w:r>
        <w:rPr>
          <w:kern w:val="0"/>
        </w:rPr>
        <w:t xml:space="preserve">, Strategy, Testing, Traffic, Traffic Crash, Traffic Crashes, Traffic [Prevention &amp; Control], Transport, Useful Field, Vehicle, Vision Screening, Visual Impairment,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Scheiman, M., Gwiazda, J.</w:t>
      </w:r>
      <w:r w:rsidR="005853A9">
        <w:rPr>
          <w:kern w:val="0"/>
        </w:rPr>
        <w:t xml:space="preserve"> and </w:t>
      </w:r>
      <w:r>
        <w:rPr>
          <w:kern w:val="0"/>
        </w:rPr>
        <w:t xml:space="preserve">Li, T.J. (2011), Non-surgical interventions for convergence insufficiency.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CD006768.</w:t>
      </w:r>
    </w:p>
    <w:p w:rsidR="00365DE4" w:rsidRDefault="00365DE4" w:rsidP="00365DE4">
      <w:pPr>
        <w:pStyle w:val="a3"/>
        <w:rPr>
          <w:kern w:val="0"/>
        </w:rPr>
      </w:pPr>
      <w:r>
        <w:t xml:space="preserve">Full Text: </w:t>
      </w:r>
      <w:hyperlink r:id="rId646" w:history="1">
        <w:r>
          <w:rPr>
            <w:rStyle w:val="a5"/>
          </w:rPr>
          <w:t>2011\Coc Dat Sys Rev2011, CD006768.pdf</w:t>
        </w:r>
      </w:hyperlink>
    </w:p>
    <w:p w:rsidR="00365DE4" w:rsidRDefault="00365DE4" w:rsidP="00365DE4">
      <w:pPr>
        <w:pStyle w:val="a3"/>
        <w:rPr>
          <w:kern w:val="0"/>
        </w:rPr>
      </w:pPr>
      <w:r>
        <w:rPr>
          <w:kern w:val="0"/>
        </w:rPr>
        <w:t>Abstract: Background Convergence insufficiency is a common eye muscle co-ordination problem in which the eyes have a strong tendency to drift outward (exophoria) when reading or doing close work. Symptoms may include eye strain, headaches, double vision, print moving on the page, frequent loss</w:t>
      </w:r>
      <w:r w:rsidR="00427468">
        <w:rPr>
          <w:kern w:val="0"/>
        </w:rPr>
        <w:t xml:space="preserve"> of </w:t>
      </w:r>
      <w:r>
        <w:rPr>
          <w:kern w:val="0"/>
        </w:rPr>
        <w:t>place when reading, inability to concentrate,</w:t>
      </w:r>
      <w:r w:rsidR="005853A9">
        <w:rPr>
          <w:kern w:val="0"/>
        </w:rPr>
        <w:t xml:space="preserve"> and </w:t>
      </w:r>
      <w:r>
        <w:rPr>
          <w:kern w:val="0"/>
        </w:rPr>
        <w:t>short attention span. Objectives To systematically assess</w:t>
      </w:r>
      <w:r w:rsidR="005853A9">
        <w:rPr>
          <w:kern w:val="0"/>
        </w:rPr>
        <w:t xml:space="preserve"> and </w:t>
      </w:r>
      <w:r>
        <w:rPr>
          <w:kern w:val="0"/>
        </w:rPr>
        <w:t>synthesize evidence from randomized controlled trials (RCTs) on the effectiveness</w:t>
      </w:r>
      <w:r w:rsidR="00427468">
        <w:rPr>
          <w:kern w:val="0"/>
        </w:rPr>
        <w:t xml:space="preserve"> of </w:t>
      </w:r>
      <w:r>
        <w:rPr>
          <w:kern w:val="0"/>
        </w:rPr>
        <w:t xml:space="preserve">non-surgical interventions for convergence insufficiency. Search strategy We searched The Cochrane Library, </w:t>
      </w:r>
      <w:r w:rsidR="00D5664A">
        <w:rPr>
          <w:kern w:val="0"/>
        </w:rPr>
        <w:t>MEDLINE</w:t>
      </w:r>
      <w:r>
        <w:rPr>
          <w:kern w:val="0"/>
        </w:rPr>
        <w:t>, EMBASE, Science Citation Index, the metaRegister</w:t>
      </w:r>
      <w:r w:rsidR="00427468">
        <w:rPr>
          <w:kern w:val="0"/>
        </w:rPr>
        <w:t xml:space="preserve"> of </w:t>
      </w:r>
      <w:r>
        <w:rPr>
          <w:kern w:val="0"/>
        </w:rPr>
        <w:t>Controlled Trials (mRCT) (www.controlled-trials.com)</w:t>
      </w:r>
      <w:r w:rsidR="005853A9">
        <w:rPr>
          <w:kern w:val="0"/>
        </w:rPr>
        <w:t xml:space="preserve"> and </w:t>
      </w:r>
      <w:r>
        <w:rPr>
          <w:kern w:val="0"/>
        </w:rPr>
        <w:t>ClinicalTrials. gov (www.clinicaltrials.gov) on 7 October 2010. We manually searched reference lists</w:t>
      </w:r>
      <w:r w:rsidR="005853A9">
        <w:rPr>
          <w:kern w:val="0"/>
        </w:rPr>
        <w:t xml:space="preserve"> and </w:t>
      </w:r>
      <w:r>
        <w:rPr>
          <w:kern w:val="0"/>
        </w:rPr>
        <w:t>optometric journals. Selection criteria We included RCTs examining any form</w:t>
      </w:r>
      <w:r w:rsidR="00427468">
        <w:rPr>
          <w:kern w:val="0"/>
        </w:rPr>
        <w:t xml:space="preserve"> of </w:t>
      </w:r>
      <w:r>
        <w:rPr>
          <w:kern w:val="0"/>
        </w:rPr>
        <w:t>non-surgical intervention against placebo, no treatment, sham treatment, or each other. Data collection</w:t>
      </w:r>
      <w:r w:rsidR="005853A9">
        <w:rPr>
          <w:kern w:val="0"/>
        </w:rPr>
        <w:t xml:space="preserve"> and </w:t>
      </w:r>
      <w:r>
        <w:rPr>
          <w:kern w:val="0"/>
        </w:rPr>
        <w:t>analysis Two authors independently assessed eligibility, risk</w:t>
      </w:r>
      <w:r w:rsidR="00427468">
        <w:rPr>
          <w:kern w:val="0"/>
        </w:rPr>
        <w:t xml:space="preserve"> of </w:t>
      </w:r>
      <w:r>
        <w:rPr>
          <w:kern w:val="0"/>
        </w:rPr>
        <w:t>bias,</w:t>
      </w:r>
      <w:r w:rsidR="005853A9">
        <w:rPr>
          <w:kern w:val="0"/>
        </w:rPr>
        <w:t xml:space="preserve"> and </w:t>
      </w:r>
      <w:r>
        <w:rPr>
          <w:kern w:val="0"/>
        </w:rPr>
        <w:t>extracted data. We performed meta-analyses when appropriate. Main results We included six trials (three in children, three in adults) with a total</w:t>
      </w:r>
      <w:r w:rsidR="00427468">
        <w:rPr>
          <w:kern w:val="0"/>
        </w:rPr>
        <w:t xml:space="preserve"> of </w:t>
      </w:r>
      <w:r>
        <w:rPr>
          <w:kern w:val="0"/>
        </w:rPr>
        <w:t>475 participants. We graded four trials at low risk</w:t>
      </w:r>
      <w:r w:rsidR="00427468">
        <w:rPr>
          <w:kern w:val="0"/>
        </w:rPr>
        <w:t xml:space="preserve"> of </w:t>
      </w:r>
      <w:r>
        <w:rPr>
          <w:kern w:val="0"/>
        </w:rPr>
        <w:t>bias. Evidence from one trial (graded at low risk</w:t>
      </w:r>
      <w:r w:rsidR="00427468">
        <w:rPr>
          <w:kern w:val="0"/>
        </w:rPr>
        <w:t xml:space="preserve"> of </w:t>
      </w:r>
      <w:r>
        <w:rPr>
          <w:kern w:val="0"/>
        </w:rPr>
        <w:t>bias) suggests that base-in prism reading glasses was no more effective than placebo reading glasses in improving clinical signs or symptoms in children. Evidence from one trial (graded at high risk</w:t>
      </w:r>
      <w:r w:rsidR="00427468">
        <w:rPr>
          <w:kern w:val="0"/>
        </w:rPr>
        <w:t xml:space="preserve"> of </w:t>
      </w:r>
      <w:r>
        <w:rPr>
          <w:kern w:val="0"/>
        </w:rPr>
        <w:t>bias) suggests that base-in prism glasses using a progressive addition lens design was more effective than progressive addition lens alone in decreasing symptoms in adults. At three weeks</w:t>
      </w:r>
      <w:r w:rsidR="00427468">
        <w:rPr>
          <w:kern w:val="0"/>
        </w:rPr>
        <w:t xml:space="preserve"> of </w:t>
      </w:r>
      <w:r>
        <w:rPr>
          <w:kern w:val="0"/>
        </w:rPr>
        <w:t xml:space="preserve">therapy, the </w:t>
      </w:r>
      <w:r>
        <w:rPr>
          <w:kern w:val="0"/>
        </w:rPr>
        <w:lastRenderedPageBreak/>
        <w:t>mean difference in Convergence Insufficiency Symptoms Survey (CISS) score was -10.24 points (95% confidence interval (CI) -15.45 to -5.03). Evidence from two trials (graded at low risk</w:t>
      </w:r>
      <w:r w:rsidR="00427468">
        <w:rPr>
          <w:kern w:val="0"/>
        </w:rPr>
        <w:t xml:space="preserve"> of </w:t>
      </w:r>
      <w:r>
        <w:rPr>
          <w:kern w:val="0"/>
        </w:rPr>
        <w:t>bias) suggests that outpatient (or office-based as used in the US) vision therapy/orthoptics was more effective than home-based convergence exercises (or pencil push-ups as used in the US) in children. At 12 weeks</w:t>
      </w:r>
      <w:r w:rsidR="00427468">
        <w:rPr>
          <w:kern w:val="0"/>
        </w:rPr>
        <w:t xml:space="preserve"> of </w:t>
      </w:r>
      <w:r>
        <w:rPr>
          <w:kern w:val="0"/>
        </w:rPr>
        <w:t>therapy, the mean difference in change in near point</w:t>
      </w:r>
      <w:r w:rsidR="00427468">
        <w:rPr>
          <w:kern w:val="0"/>
        </w:rPr>
        <w:t xml:space="preserve"> of </w:t>
      </w:r>
      <w:r>
        <w:rPr>
          <w:kern w:val="0"/>
        </w:rPr>
        <w:t>convergence, positive fusional vergence,</w:t>
      </w:r>
      <w:r w:rsidR="005853A9">
        <w:rPr>
          <w:kern w:val="0"/>
        </w:rPr>
        <w:t xml:space="preserve"> and </w:t>
      </w:r>
      <w:r>
        <w:rPr>
          <w:kern w:val="0"/>
        </w:rPr>
        <w:t>CISS score from baseline was 3.99 cm (95% CI 2.11 to 5.86), 13.13 diopters (95% CI 9.91 to 16.35),</w:t>
      </w:r>
      <w:r w:rsidR="005853A9">
        <w:rPr>
          <w:kern w:val="0"/>
        </w:rPr>
        <w:t xml:space="preserve"> and </w:t>
      </w:r>
      <w:r>
        <w:rPr>
          <w:kern w:val="0"/>
        </w:rPr>
        <w:t>9.86 points (95% CI 6.70 to 13.02), respectively. In a young adult population, evidence from one trial (graded at low risk</w:t>
      </w:r>
      <w:r w:rsidR="00427468">
        <w:rPr>
          <w:kern w:val="0"/>
        </w:rPr>
        <w:t xml:space="preserve"> of </w:t>
      </w:r>
      <w:r>
        <w:rPr>
          <w:kern w:val="0"/>
        </w:rPr>
        <w:t>bias) suggests outpatient vision therapy/orthoptics was more effective than home-based convergence exercises in improving positive fusional vergence at near (7.7 diopters, 95% CI 0.82 to 14.58), but not the other outcomes. Evidence from one trial (graded at low risk</w:t>
      </w:r>
      <w:r w:rsidR="00427468">
        <w:rPr>
          <w:kern w:val="0"/>
        </w:rPr>
        <w:t xml:space="preserve"> of </w:t>
      </w:r>
      <w:r>
        <w:rPr>
          <w:kern w:val="0"/>
        </w:rPr>
        <w:t>bias) comparing four interventions, also suggests that outpatient vision therapy/orthoptics was more effective than home-based computer vision therapy/orthoptics in children. At 12 weeks, the mean difference in change in near point</w:t>
      </w:r>
      <w:r w:rsidR="00427468">
        <w:rPr>
          <w:kern w:val="0"/>
        </w:rPr>
        <w:t xml:space="preserve"> of </w:t>
      </w:r>
      <w:r>
        <w:rPr>
          <w:kern w:val="0"/>
        </w:rPr>
        <w:t>convergence, positive fusional vergence,</w:t>
      </w:r>
      <w:r w:rsidR="005853A9">
        <w:rPr>
          <w:kern w:val="0"/>
        </w:rPr>
        <w:t xml:space="preserve"> and </w:t>
      </w:r>
      <w:r>
        <w:rPr>
          <w:kern w:val="0"/>
        </w:rPr>
        <w:t>CISS score from baseline was 2.90 cm (95% CI 0.96 to 4.84), 7.70 diopters (95% CI 3.94 to 11.46),</w:t>
      </w:r>
      <w:r w:rsidR="005853A9">
        <w:rPr>
          <w:kern w:val="0"/>
        </w:rPr>
        <w:t xml:space="preserve"> and </w:t>
      </w:r>
      <w:r>
        <w:rPr>
          <w:kern w:val="0"/>
        </w:rPr>
        <w:t>8.80 points (95% CI 5.26 to 12.34), respectively. Evidence was less consistent for other pair-wise comparisons. Authors</w:t>
      </w:r>
      <w:r w:rsidR="0071223E">
        <w:rPr>
          <w:kern w:val="0"/>
        </w:rPr>
        <w:t>’</w:t>
      </w:r>
      <w:r>
        <w:rPr>
          <w:kern w:val="0"/>
        </w:rPr>
        <w:t xml:space="preserve"> conclusions Current research suggests that outpatient vision therapy/orthoptics is more effective than home-based convergence exercises or home-based computer vision therapy/orthoptics for children. In adult population, evidence</w:t>
      </w:r>
      <w:r w:rsidR="00427468">
        <w:rPr>
          <w:kern w:val="0"/>
        </w:rPr>
        <w:t xml:space="preserve"> of </w:t>
      </w:r>
      <w:r>
        <w:rPr>
          <w:kern w:val="0"/>
        </w:rPr>
        <w:t>the effectiveness</w:t>
      </w:r>
      <w:r w:rsidR="00427468">
        <w:rPr>
          <w:kern w:val="0"/>
        </w:rPr>
        <w:t xml:space="preserve"> of </w:t>
      </w:r>
      <w:r>
        <w:rPr>
          <w:kern w:val="0"/>
        </w:rPr>
        <w:t>various non-surgical interventions is less consistent.</w:t>
      </w:r>
    </w:p>
    <w:p w:rsidR="00365DE4" w:rsidRDefault="00365DE4" w:rsidP="00365DE4">
      <w:pPr>
        <w:pStyle w:val="a3"/>
        <w:rPr>
          <w:kern w:val="0"/>
        </w:rPr>
      </w:pPr>
      <w:r>
        <w:rPr>
          <w:kern w:val="0"/>
        </w:rPr>
        <w:t xml:space="preserve">Keywords: Adult, Analysis, Authors, Bias, Binocular Vision, Children, Citation, Clinical, Collection, Concentrate, Confidence, Convergence, Coordination, Criteria, Data, Design, Drift, Effectiveness, Efficacy, Evidence, Exercises, Interval, Intervention, Interventions, Journals, Low Risk, </w:t>
      </w:r>
      <w:r w:rsidR="00D5664A">
        <w:rPr>
          <w:kern w:val="0"/>
        </w:rPr>
        <w:t>MEDLINE</w:t>
      </w:r>
      <w:r>
        <w:rPr>
          <w:kern w:val="0"/>
        </w:rPr>
        <w:t>, Muscle, Nearpoint, Outcomes, Outpatient, Placebo, Population, Prism, Randomized, Randomized Clinical-Trial, Randomized Controlled Trials, Reading, Reference, Reference Lists, Reliability, Research, Risk, Science, Science Citation Index, Search, Strategy, Symptom Survey, Symptoms, Therapy, Treatment, Trial, US, Work, Young Adult</w:t>
      </w:r>
    </w:p>
    <w:p w:rsidR="00365DE4" w:rsidRDefault="00365DE4" w:rsidP="00365DE4">
      <w:pPr>
        <w:pStyle w:val="a3"/>
        <w:rPr>
          <w:kern w:val="0"/>
        </w:rPr>
      </w:pPr>
      <w:r>
        <w:rPr>
          <w:kern w:val="0"/>
        </w:rPr>
        <w:t>? Hall, S., Kolliakou, A., Petkova, H., Froggatt, K.</w:t>
      </w:r>
      <w:r w:rsidR="005853A9">
        <w:rPr>
          <w:kern w:val="0"/>
        </w:rPr>
        <w:t xml:space="preserve"> and </w:t>
      </w:r>
      <w:r>
        <w:rPr>
          <w:kern w:val="0"/>
        </w:rPr>
        <w:t xml:space="preserve">Higginson, I.J. (2011), Interventions for improving palliative care for older people living in nursing care homes.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CD007132.</w:t>
      </w:r>
    </w:p>
    <w:p w:rsidR="00365DE4" w:rsidRDefault="00365DE4" w:rsidP="00365DE4">
      <w:pPr>
        <w:pStyle w:val="a3"/>
        <w:rPr>
          <w:kern w:val="0"/>
        </w:rPr>
      </w:pPr>
      <w:r>
        <w:t xml:space="preserve">Full Text: </w:t>
      </w:r>
      <w:hyperlink r:id="rId647" w:history="1">
        <w:r>
          <w:rPr>
            <w:rStyle w:val="a5"/>
          </w:rPr>
          <w:t>2011\Coc Dat Sys Rev2011, CD007132.pdf</w:t>
        </w:r>
      </w:hyperlink>
    </w:p>
    <w:p w:rsidR="00365DE4" w:rsidRDefault="00365DE4" w:rsidP="00365DE4">
      <w:pPr>
        <w:pStyle w:val="a3"/>
        <w:rPr>
          <w:kern w:val="0"/>
        </w:rPr>
      </w:pPr>
      <w:r>
        <w:rPr>
          <w:kern w:val="0"/>
        </w:rPr>
        <w:t>Abstract: Back ground Residents</w:t>
      </w:r>
      <w:r w:rsidR="00427468">
        <w:rPr>
          <w:kern w:val="0"/>
        </w:rPr>
        <w:t xml:space="preserve"> of </w:t>
      </w:r>
      <w:r>
        <w:rPr>
          <w:kern w:val="0"/>
        </w:rPr>
        <w:t>nursing care homes for older people are highly likely to die there, making these places where palliative care is needed. Objectives The primary objective was to determine effectiveness</w:t>
      </w:r>
      <w:r w:rsidR="00427468">
        <w:rPr>
          <w:kern w:val="0"/>
        </w:rPr>
        <w:t xml:space="preserve"> of </w:t>
      </w:r>
      <w:r>
        <w:rPr>
          <w:kern w:val="0"/>
        </w:rPr>
        <w:t>multi-component palliative care service delivery interventions for residents</w:t>
      </w:r>
      <w:r w:rsidR="00427468">
        <w:rPr>
          <w:kern w:val="0"/>
        </w:rPr>
        <w:t xml:space="preserve"> of </w:t>
      </w:r>
      <w:r>
        <w:rPr>
          <w:kern w:val="0"/>
        </w:rPr>
        <w:t>care homes for older people</w:t>
      </w:r>
      <w:r w:rsidR="00A37C1D">
        <w:rPr>
          <w:kern w:val="0"/>
        </w:rPr>
        <w:t>. The</w:t>
      </w:r>
      <w:r>
        <w:rPr>
          <w:kern w:val="0"/>
        </w:rPr>
        <w:t xml:space="preserve"> </w:t>
      </w:r>
      <w:r>
        <w:rPr>
          <w:kern w:val="0"/>
        </w:rPr>
        <w:lastRenderedPageBreak/>
        <w:t>secondary objective was to describe the range</w:t>
      </w:r>
      <w:r w:rsidR="005853A9">
        <w:rPr>
          <w:kern w:val="0"/>
        </w:rPr>
        <w:t xml:space="preserve"> and </w:t>
      </w:r>
      <w:r>
        <w:rPr>
          <w:kern w:val="0"/>
        </w:rPr>
        <w:t>quality</w:t>
      </w:r>
      <w:r w:rsidR="00427468">
        <w:rPr>
          <w:kern w:val="0"/>
        </w:rPr>
        <w:t xml:space="preserve"> of </w:t>
      </w:r>
      <w:r>
        <w:rPr>
          <w:kern w:val="0"/>
        </w:rPr>
        <w:t>outcome measures. Search strategy The grey literature</w:t>
      </w:r>
      <w:r w:rsidR="005853A9">
        <w:rPr>
          <w:kern w:val="0"/>
        </w:rPr>
        <w:t xml:space="preserve"> and </w:t>
      </w:r>
      <w:r>
        <w:rPr>
          <w:kern w:val="0"/>
        </w:rPr>
        <w:t>the following electronic databases were searched: Cochrane Central Register</w:t>
      </w:r>
      <w:r w:rsidR="00427468">
        <w:rPr>
          <w:kern w:val="0"/>
        </w:rPr>
        <w:t xml:space="preserve"> of </w:t>
      </w:r>
      <w:r>
        <w:rPr>
          <w:kern w:val="0"/>
        </w:rPr>
        <w:t>Controlled Trials, Cochrane Database</w:t>
      </w:r>
      <w:r w:rsidR="00427468">
        <w:rPr>
          <w:kern w:val="0"/>
        </w:rPr>
        <w:t xml:space="preserve"> of </w:t>
      </w:r>
      <w:r>
        <w:rPr>
          <w:kern w:val="0"/>
        </w:rPr>
        <w:t>Systematic Reviews,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 xml:space="preserve">Effectiveness (all issue 1, 2010); </w:t>
      </w:r>
      <w:r w:rsidR="00D5664A">
        <w:rPr>
          <w:kern w:val="0"/>
        </w:rPr>
        <w:t>MEDLINE</w:t>
      </w:r>
      <w:r>
        <w:rPr>
          <w:kern w:val="0"/>
        </w:rPr>
        <w:t>, EMBASE, CINAHL, British Nursing Index, (1806 to February 2010), Science Citation Index Expanded &amp; AMED (all to February 2010). Key journals were hand searched</w:t>
      </w:r>
      <w:r w:rsidR="005853A9">
        <w:rPr>
          <w:kern w:val="0"/>
        </w:rPr>
        <w:t xml:space="preserve"> and </w:t>
      </w:r>
      <w:r>
        <w:rPr>
          <w:kern w:val="0"/>
        </w:rPr>
        <w:t>a PUBMED related articles link search was conducted on the final list</w:t>
      </w:r>
      <w:r w:rsidR="00427468">
        <w:rPr>
          <w:kern w:val="0"/>
        </w:rPr>
        <w:t xml:space="preserve"> of </w:t>
      </w:r>
      <w:r>
        <w:rPr>
          <w:kern w:val="0"/>
        </w:rPr>
        <w:t>articles. Selection criteria We planned to include Randomised Clinical Trials (RCTs), Controlled Clinical Trials (CCTs), controlled before-and-after studies</w:t>
      </w:r>
      <w:r w:rsidR="005853A9">
        <w:rPr>
          <w:kern w:val="0"/>
        </w:rPr>
        <w:t xml:space="preserve"> and </w:t>
      </w:r>
      <w:r>
        <w:rPr>
          <w:kern w:val="0"/>
        </w:rPr>
        <w:t>interrupted time series studies</w:t>
      </w:r>
      <w:r w:rsidR="00427468">
        <w:rPr>
          <w:kern w:val="0"/>
        </w:rPr>
        <w:t xml:space="preserve"> of </w:t>
      </w:r>
      <w:r>
        <w:rPr>
          <w:kern w:val="0"/>
        </w:rPr>
        <w:t>multi-component palliative care service delivery interventions for residents</w:t>
      </w:r>
      <w:r w:rsidR="00427468">
        <w:rPr>
          <w:kern w:val="0"/>
        </w:rPr>
        <w:t xml:space="preserve"> of </w:t>
      </w:r>
      <w:r>
        <w:rPr>
          <w:kern w:val="0"/>
        </w:rPr>
        <w:t>care homes for older people</w:t>
      </w:r>
      <w:r w:rsidR="00A37C1D">
        <w:rPr>
          <w:kern w:val="0"/>
        </w:rPr>
        <w:t>. The</w:t>
      </w:r>
      <w:r>
        <w:rPr>
          <w:kern w:val="0"/>
        </w:rPr>
        <w:t>se usually include the assessment</w:t>
      </w:r>
      <w:r w:rsidR="005853A9">
        <w:rPr>
          <w:kern w:val="0"/>
        </w:rPr>
        <w:t xml:space="preserve"> and </w:t>
      </w:r>
      <w:r>
        <w:rPr>
          <w:kern w:val="0"/>
        </w:rPr>
        <w:t>management</w:t>
      </w:r>
      <w:r w:rsidR="00427468">
        <w:rPr>
          <w:kern w:val="0"/>
        </w:rPr>
        <w:t xml:space="preserve"> of </w:t>
      </w:r>
      <w:r>
        <w:rPr>
          <w:kern w:val="0"/>
        </w:rPr>
        <w:t>physical, psychological</w:t>
      </w:r>
      <w:r w:rsidR="005853A9">
        <w:rPr>
          <w:kern w:val="0"/>
        </w:rPr>
        <w:t xml:space="preserve"> and </w:t>
      </w:r>
      <w:r>
        <w:rPr>
          <w:kern w:val="0"/>
        </w:rPr>
        <w:t>spiritual symptoms</w:t>
      </w:r>
      <w:r w:rsidR="005853A9">
        <w:rPr>
          <w:kern w:val="0"/>
        </w:rPr>
        <w:t xml:space="preserve"> and </w:t>
      </w:r>
      <w:r>
        <w:rPr>
          <w:kern w:val="0"/>
        </w:rPr>
        <w:t>advance care planning. We did not include individual components</w:t>
      </w:r>
      <w:r w:rsidR="00427468">
        <w:rPr>
          <w:kern w:val="0"/>
        </w:rPr>
        <w:t xml:space="preserve"> of </w:t>
      </w:r>
      <w:r>
        <w:rPr>
          <w:kern w:val="0"/>
        </w:rPr>
        <w:t>palliative care, such as advance care planning. Data collection</w:t>
      </w:r>
      <w:r w:rsidR="005853A9">
        <w:rPr>
          <w:kern w:val="0"/>
        </w:rPr>
        <w:t xml:space="preserve"> and </w:t>
      </w:r>
      <w:r>
        <w:rPr>
          <w:kern w:val="0"/>
        </w:rPr>
        <w:t>analysis Two review authors independently assessed studies for inclusion, extracted data,</w:t>
      </w:r>
      <w:r w:rsidR="005853A9">
        <w:rPr>
          <w:kern w:val="0"/>
        </w:rPr>
        <w:t xml:space="preserve"> and </w:t>
      </w:r>
      <w:r>
        <w:rPr>
          <w:kern w:val="0"/>
        </w:rPr>
        <w:t>assessed quality</w:t>
      </w:r>
      <w:r w:rsidR="005853A9">
        <w:rPr>
          <w:kern w:val="0"/>
        </w:rPr>
        <w:t xml:space="preserve"> and </w:t>
      </w:r>
      <w:r>
        <w:rPr>
          <w:kern w:val="0"/>
        </w:rPr>
        <w:t>risk</w:t>
      </w:r>
      <w:r w:rsidR="00427468">
        <w:rPr>
          <w:kern w:val="0"/>
        </w:rPr>
        <w:t xml:space="preserve"> of </w:t>
      </w:r>
      <w:r>
        <w:rPr>
          <w:kern w:val="0"/>
        </w:rPr>
        <w:t>bias. Meta analysis was not conducted due to heterogeneity</w:t>
      </w:r>
      <w:r w:rsidR="00427468">
        <w:rPr>
          <w:kern w:val="0"/>
        </w:rPr>
        <w:t xml:space="preserve"> of </w:t>
      </w:r>
      <w:r>
        <w:rPr>
          <w:kern w:val="0"/>
        </w:rPr>
        <w:t>studies</w:t>
      </w:r>
      <w:r w:rsidR="00A37C1D">
        <w:rPr>
          <w:kern w:val="0"/>
        </w:rPr>
        <w:t>. The</w:t>
      </w:r>
      <w:r>
        <w:rPr>
          <w:kern w:val="0"/>
        </w:rPr>
        <w:t xml:space="preserve"> analysis comprised a structured narrative synthesis. Outcomes for residents</w:t>
      </w:r>
      <w:r w:rsidR="005853A9">
        <w:rPr>
          <w:kern w:val="0"/>
        </w:rPr>
        <w:t xml:space="preserve"> and </w:t>
      </w:r>
      <w:r>
        <w:rPr>
          <w:kern w:val="0"/>
        </w:rPr>
        <w:t>process</w:t>
      </w:r>
      <w:r w:rsidR="00427468">
        <w:rPr>
          <w:kern w:val="0"/>
        </w:rPr>
        <w:t xml:space="preserve"> of </w:t>
      </w:r>
      <w:r>
        <w:rPr>
          <w:kern w:val="0"/>
        </w:rPr>
        <w:t>care measures were reported separately. Main results Two RCTs</w:t>
      </w:r>
      <w:r w:rsidR="005853A9">
        <w:rPr>
          <w:kern w:val="0"/>
        </w:rPr>
        <w:t xml:space="preserve"> and </w:t>
      </w:r>
      <w:r>
        <w:rPr>
          <w:kern w:val="0"/>
        </w:rPr>
        <w:t xml:space="preserve">one controlled before-and-after study were included (735 participants). All were conducted in the </w:t>
      </w:r>
      <w:r w:rsidR="00D5664A">
        <w:rPr>
          <w:kern w:val="0"/>
        </w:rPr>
        <w:t>USA</w:t>
      </w:r>
      <w:r w:rsidR="005853A9">
        <w:rPr>
          <w:kern w:val="0"/>
        </w:rPr>
        <w:t xml:space="preserve"> and </w:t>
      </w:r>
      <w:r>
        <w:rPr>
          <w:kern w:val="0"/>
        </w:rPr>
        <w:t>had several potential sources</w:t>
      </w:r>
      <w:r w:rsidR="00427468">
        <w:rPr>
          <w:kern w:val="0"/>
        </w:rPr>
        <w:t xml:space="preserve"> of </w:t>
      </w:r>
      <w:r>
        <w:rPr>
          <w:kern w:val="0"/>
        </w:rPr>
        <w:t>bias. Few outcomes for residents were assessed. One study reported higher satisfaction with care</w:t>
      </w:r>
      <w:r w:rsidR="005853A9">
        <w:rPr>
          <w:kern w:val="0"/>
        </w:rPr>
        <w:t xml:space="preserve"> and </w:t>
      </w:r>
      <w:r>
        <w:rPr>
          <w:kern w:val="0"/>
        </w:rPr>
        <w:t>the other found lower observed discomfort in residents with end-stage dementia. Two studies reported group differences on some process measures. Both reported higher referral to hospice services in their intervention group, one found fewer hospital admissions</w:t>
      </w:r>
      <w:r w:rsidR="005853A9">
        <w:rPr>
          <w:kern w:val="0"/>
        </w:rPr>
        <w:t xml:space="preserve"> and </w:t>
      </w:r>
      <w:r>
        <w:rPr>
          <w:kern w:val="0"/>
        </w:rPr>
        <w:t>days in hospital in the intervention group, the other found an increase in do-not-resuscitate orders</w:t>
      </w:r>
      <w:r w:rsidR="005853A9">
        <w:rPr>
          <w:kern w:val="0"/>
        </w:rPr>
        <w:t xml:space="preserve"> and </w:t>
      </w:r>
      <w:r>
        <w:rPr>
          <w:kern w:val="0"/>
        </w:rPr>
        <w:t>documented advance care plan discussions. Authors</w:t>
      </w:r>
      <w:r w:rsidR="0071223E">
        <w:rPr>
          <w:kern w:val="0"/>
        </w:rPr>
        <w:t>’</w:t>
      </w:r>
      <w:r>
        <w:rPr>
          <w:kern w:val="0"/>
        </w:rPr>
        <w:t xml:space="preserve"> conclusions We found few studies,</w:t>
      </w:r>
      <w:r w:rsidR="005853A9">
        <w:rPr>
          <w:kern w:val="0"/>
        </w:rPr>
        <w:t xml:space="preserve"> and </w:t>
      </w:r>
      <w:r>
        <w:rPr>
          <w:kern w:val="0"/>
        </w:rPr>
        <w:t xml:space="preserve">all were in the </w:t>
      </w:r>
      <w:r w:rsidR="00D5664A">
        <w:rPr>
          <w:kern w:val="0"/>
        </w:rPr>
        <w:t>USA</w:t>
      </w:r>
      <w:r>
        <w:rPr>
          <w:kern w:val="0"/>
        </w:rPr>
        <w:t>. Although the results are potentially promising, high quality trials</w:t>
      </w:r>
      <w:r w:rsidR="00427468">
        <w:rPr>
          <w:kern w:val="0"/>
        </w:rPr>
        <w:t xml:space="preserve"> of </w:t>
      </w:r>
      <w:r>
        <w:rPr>
          <w:kern w:val="0"/>
        </w:rPr>
        <w:t xml:space="preserve">palliative care service delivery interventions which assess outcomes for residents are needed, particularly outside the </w:t>
      </w:r>
      <w:r w:rsidR="00D5664A">
        <w:rPr>
          <w:kern w:val="0"/>
        </w:rPr>
        <w:t>USA</w:t>
      </w:r>
      <w:r w:rsidR="00A37C1D">
        <w:rPr>
          <w:kern w:val="0"/>
        </w:rPr>
        <w:t>. The</w:t>
      </w:r>
      <w:r>
        <w:rPr>
          <w:kern w:val="0"/>
        </w:rPr>
        <w:t>se should focus on measuring standard outcomes, assessing cost-effectiveness,</w:t>
      </w:r>
      <w:r w:rsidR="005853A9">
        <w:rPr>
          <w:kern w:val="0"/>
        </w:rPr>
        <w:t xml:space="preserve"> and </w:t>
      </w:r>
      <w:r>
        <w:rPr>
          <w:kern w:val="0"/>
        </w:rPr>
        <w:t>reducing bias.</w:t>
      </w:r>
    </w:p>
    <w:p w:rsidR="00365DE4" w:rsidRDefault="00365DE4" w:rsidP="00365DE4">
      <w:pPr>
        <w:pStyle w:val="a3"/>
        <w:rPr>
          <w:kern w:val="0"/>
        </w:rPr>
      </w:pPr>
      <w:r>
        <w:rPr>
          <w:kern w:val="0"/>
        </w:rPr>
        <w:t>Keywords: Advance, Advance Care Planning, Advanced Dementia, Analysis, Assessing, Assessment, Assessment</w:t>
      </w:r>
      <w:r w:rsidR="005853A9">
        <w:rPr>
          <w:kern w:val="0"/>
        </w:rPr>
        <w:t xml:space="preserve"> and </w:t>
      </w:r>
      <w:r>
        <w:rPr>
          <w:kern w:val="0"/>
        </w:rPr>
        <w:t xml:space="preserve">Management, Authors, Bias, Care, Citation, Clinical Trials, Collection, Cost Effectiveness, Cost-Effectiveness, Criteria, Data, Databases, Delivery, Dementia, Do Not Resuscitate, Effectiveness, End, Experiences, Heterogeneity, Hospice, Hospital, Interrupted Time Series, Intervention, Interventions, Journals, Literature, Living, Management, </w:t>
      </w:r>
      <w:r w:rsidR="00D5664A">
        <w:rPr>
          <w:kern w:val="0"/>
        </w:rPr>
        <w:t>MEDLINE</w:t>
      </w:r>
      <w:r>
        <w:rPr>
          <w:kern w:val="0"/>
        </w:rPr>
        <w:t xml:space="preserve">, Meta-Analysis, Nursing, of-Life Care, Older People, Outcome, Outcome Measures, Outcome Scale, </w:t>
      </w:r>
      <w:r>
        <w:rPr>
          <w:kern w:val="0"/>
        </w:rPr>
        <w:lastRenderedPageBreak/>
        <w:t xml:space="preserve">Outcomes, Palliative Care, Perceptions, Physical, Planning, Potential, Primary, Program, PUBMED, Quality, Quality of, Randomized Controlled-Trial, Review, Risk, Satisfaction, Science, Science Citation Index, Science Citation Index Expanded, Search, Service, Services, Sources, Standard, Strategy, Symptoms, Synthesis, The-Literature, Time Series, </w:t>
      </w:r>
      <w:r w:rsidR="00D5664A">
        <w:rPr>
          <w:kern w:val="0"/>
        </w:rPr>
        <w:t>USA</w:t>
      </w:r>
      <w:r>
        <w:rPr>
          <w:kern w:val="0"/>
        </w:rPr>
        <w:t>, Validation</w:t>
      </w:r>
    </w:p>
    <w:p w:rsidR="00365DE4" w:rsidRDefault="00365DE4" w:rsidP="00365DE4">
      <w:pPr>
        <w:pStyle w:val="a3"/>
        <w:rPr>
          <w:kern w:val="0"/>
        </w:rPr>
      </w:pPr>
      <w:r>
        <w:rPr>
          <w:kern w:val="0"/>
        </w:rPr>
        <w:t>? Hart, M.G., Grant, R., Garside, R., Rogers, G., Somerville, M.</w:t>
      </w:r>
      <w:r w:rsidR="005853A9">
        <w:rPr>
          <w:kern w:val="0"/>
        </w:rPr>
        <w:t xml:space="preserve"> and </w:t>
      </w:r>
      <w:r>
        <w:rPr>
          <w:kern w:val="0"/>
        </w:rPr>
        <w:t xml:space="preserve">Stein, K. (2011), Chemotherapy wafers for high grade glioma.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CD007294.</w:t>
      </w:r>
    </w:p>
    <w:p w:rsidR="00365DE4" w:rsidRDefault="00365DE4" w:rsidP="00365DE4">
      <w:pPr>
        <w:pStyle w:val="a3"/>
        <w:rPr>
          <w:kern w:val="0"/>
        </w:rPr>
      </w:pPr>
      <w:r>
        <w:t xml:space="preserve">Full Text: </w:t>
      </w:r>
      <w:hyperlink r:id="rId648" w:history="1">
        <w:r>
          <w:rPr>
            <w:rStyle w:val="a5"/>
          </w:rPr>
          <w:t>2011\Coc Dat Sys Rev2011, CD007294.pdf</w:t>
        </w:r>
      </w:hyperlink>
    </w:p>
    <w:p w:rsidR="00365DE4" w:rsidRDefault="00365DE4" w:rsidP="00365DE4">
      <w:pPr>
        <w:pStyle w:val="a3"/>
        <w:rPr>
          <w:kern w:val="0"/>
        </w:rPr>
      </w:pPr>
      <w:r>
        <w:rPr>
          <w:kern w:val="0"/>
        </w:rPr>
        <w:t>Abstract: Background Standard treatment for high grade glioma (HGG) usually entails surgery (either biopsy or resection) followed by radiotherapy plus or minus temozolomide. Implanting wafers impregnated with chemotherapy agents into the resection cavity represents a novel means</w:t>
      </w:r>
      <w:r w:rsidR="00427468">
        <w:rPr>
          <w:kern w:val="0"/>
        </w:rPr>
        <w:t xml:space="preserve"> of </w:t>
      </w:r>
      <w:r>
        <w:rPr>
          <w:kern w:val="0"/>
        </w:rPr>
        <w:t>delivering drugs directly to the resection cavity with potentially fewer systemic side effects. It is not clear how effective this modality is or whether it should be recommended as part</w:t>
      </w:r>
      <w:r w:rsidR="00427468">
        <w:rPr>
          <w:kern w:val="0"/>
        </w:rPr>
        <w:t xml:space="preserve"> of </w:t>
      </w:r>
      <w:r>
        <w:rPr>
          <w:kern w:val="0"/>
        </w:rPr>
        <w:t>standard care for patients with HGG. Objectives To estimate the clinical effectiveness</w:t>
      </w:r>
      <w:r w:rsidR="00427468">
        <w:rPr>
          <w:kern w:val="0"/>
        </w:rPr>
        <w:t xml:space="preserve"> of </w:t>
      </w:r>
      <w:r>
        <w:rPr>
          <w:kern w:val="0"/>
        </w:rPr>
        <w:t xml:space="preserve">chemotherapy wafers for patients with HGG. Search strategy The following databases were searched: CENTRAL (issue 4. 2010); </w:t>
      </w:r>
      <w:r w:rsidR="00D5664A">
        <w:rPr>
          <w:kern w:val="0"/>
        </w:rPr>
        <w:t>MEDLINE</w:t>
      </w:r>
      <w:r w:rsidR="005853A9">
        <w:rPr>
          <w:kern w:val="0"/>
        </w:rPr>
        <w:t xml:space="preserve"> and </w:t>
      </w:r>
      <w:r>
        <w:rPr>
          <w:kern w:val="0"/>
        </w:rPr>
        <w:t>EMBASE</w:t>
      </w:r>
      <w:r w:rsidR="00A37C1D">
        <w:rPr>
          <w:kern w:val="0"/>
        </w:rPr>
        <w:t>. The</w:t>
      </w:r>
      <w:r>
        <w:rPr>
          <w:kern w:val="0"/>
        </w:rPr>
        <w:t xml:space="preserve"> original search strategy also included: Science Citation Index; Physician Data Query;</w:t>
      </w:r>
      <w:r w:rsidR="005853A9">
        <w:rPr>
          <w:kern w:val="0"/>
        </w:rPr>
        <w:t xml:space="preserve"> and </w:t>
      </w:r>
      <w:r>
        <w:rPr>
          <w:kern w:val="0"/>
        </w:rPr>
        <w:t>the meta-Register</w:t>
      </w:r>
      <w:r w:rsidR="00427468">
        <w:rPr>
          <w:kern w:val="0"/>
        </w:rPr>
        <w:t xml:space="preserve"> of </w:t>
      </w:r>
      <w:r>
        <w:rPr>
          <w:kern w:val="0"/>
        </w:rPr>
        <w:t>Controlled Trials. Reference lists</w:t>
      </w:r>
      <w:r w:rsidR="00427468">
        <w:rPr>
          <w:kern w:val="0"/>
        </w:rPr>
        <w:t xml:space="preserve"> of </w:t>
      </w:r>
      <w:r>
        <w:rPr>
          <w:kern w:val="0"/>
        </w:rPr>
        <w:t>all identified studies were searched</w:t>
      </w:r>
      <w:r w:rsidR="00A37C1D">
        <w:rPr>
          <w:kern w:val="0"/>
        </w:rPr>
        <w:t>. The</w:t>
      </w:r>
      <w:r>
        <w:rPr>
          <w:kern w:val="0"/>
        </w:rPr>
        <w:t xml:space="preserve"> Journal</w:t>
      </w:r>
      <w:r w:rsidR="00427468">
        <w:rPr>
          <w:kern w:val="0"/>
        </w:rPr>
        <w:t xml:space="preserve"> of </w:t>
      </w:r>
      <w:r>
        <w:rPr>
          <w:kern w:val="0"/>
        </w:rPr>
        <w:t>Neuro-Oncology</w:t>
      </w:r>
      <w:r w:rsidR="005853A9">
        <w:rPr>
          <w:kern w:val="0"/>
        </w:rPr>
        <w:t xml:space="preserve"> and </w:t>
      </w:r>
      <w:r>
        <w:rPr>
          <w:kern w:val="0"/>
        </w:rPr>
        <w:t>Neuro-oncology were hand searched from 1999 to 2010, including all conference abstracts. Neuro-oncologists, trial authors</w:t>
      </w:r>
      <w:r w:rsidR="005853A9">
        <w:rPr>
          <w:kern w:val="0"/>
        </w:rPr>
        <w:t xml:space="preserve"> and </w:t>
      </w:r>
      <w:r>
        <w:rPr>
          <w:kern w:val="0"/>
        </w:rPr>
        <w:t>drug manufacturers were contacted regarding ongoing</w:t>
      </w:r>
      <w:r w:rsidR="005853A9">
        <w:rPr>
          <w:kern w:val="0"/>
        </w:rPr>
        <w:t xml:space="preserve"> and </w:t>
      </w:r>
      <w:r>
        <w:rPr>
          <w:kern w:val="0"/>
        </w:rPr>
        <w:t>unpublished trials. Selection criteria Patients included those</w:t>
      </w:r>
      <w:r w:rsidR="00427468">
        <w:rPr>
          <w:kern w:val="0"/>
        </w:rPr>
        <w:t xml:space="preserve"> of </w:t>
      </w:r>
      <w:r>
        <w:rPr>
          <w:kern w:val="0"/>
        </w:rPr>
        <w:t>all ages with a histologically proven diagnosis</w:t>
      </w:r>
      <w:r w:rsidR="00427468">
        <w:rPr>
          <w:kern w:val="0"/>
        </w:rPr>
        <w:t xml:space="preserve"> of </w:t>
      </w:r>
      <w:r>
        <w:rPr>
          <w:kern w:val="0"/>
        </w:rPr>
        <w:t>HGG (using intra-operative analysis when undergoing first resection)</w:t>
      </w:r>
      <w:r w:rsidR="00A37C1D">
        <w:rPr>
          <w:kern w:val="0"/>
        </w:rPr>
        <w:t>. The</w:t>
      </w:r>
      <w:r>
        <w:rPr>
          <w:kern w:val="0"/>
        </w:rPr>
        <w:t>rapy could be instigated for either newly diagnosed disease (primary therapy) or at recurrence. Interventions included insertion</w:t>
      </w:r>
      <w:r w:rsidR="00427468">
        <w:rPr>
          <w:kern w:val="0"/>
        </w:rPr>
        <w:t xml:space="preserve"> of </w:t>
      </w:r>
      <w:r>
        <w:rPr>
          <w:kern w:val="0"/>
        </w:rPr>
        <w:t>chemotherapy wafers to the resection cavity. Included studies had to be randomised controlled trials (RCTs). Data collection</w:t>
      </w:r>
      <w:r w:rsidR="005853A9">
        <w:rPr>
          <w:kern w:val="0"/>
        </w:rPr>
        <w:t xml:space="preserve"> and </w:t>
      </w:r>
      <w:r>
        <w:rPr>
          <w:kern w:val="0"/>
        </w:rPr>
        <w:t>analysis Two independent review authors assessed the search results for relevance</w:t>
      </w:r>
      <w:r w:rsidR="005853A9">
        <w:rPr>
          <w:kern w:val="0"/>
        </w:rPr>
        <w:t xml:space="preserve"> and </w:t>
      </w:r>
      <w:r>
        <w:rPr>
          <w:kern w:val="0"/>
        </w:rPr>
        <w:t>undertook critical appraisal according to pre-specified guidelines. Main results In primary disease two RCTs assessing the effect</w:t>
      </w:r>
      <w:r w:rsidR="00427468">
        <w:rPr>
          <w:kern w:val="0"/>
        </w:rPr>
        <w:t xml:space="preserve"> of </w:t>
      </w:r>
      <w:r>
        <w:rPr>
          <w:kern w:val="0"/>
        </w:rPr>
        <w:t>carmustine impregnated wafers (Gliadel (R))</w:t>
      </w:r>
      <w:r w:rsidR="005853A9">
        <w:rPr>
          <w:kern w:val="0"/>
        </w:rPr>
        <w:t xml:space="preserve"> and </w:t>
      </w:r>
      <w:r>
        <w:rPr>
          <w:kern w:val="0"/>
        </w:rPr>
        <w:t>enrolling a total</w:t>
      </w:r>
      <w:r w:rsidR="00427468">
        <w:rPr>
          <w:kern w:val="0"/>
        </w:rPr>
        <w:t xml:space="preserve"> of </w:t>
      </w:r>
      <w:r>
        <w:rPr>
          <w:kern w:val="0"/>
        </w:rPr>
        <w:t>272 participants were identified. Survival was increased with Gliadel (R) compared to placebo (hazard ratio (HR) 0.65, 95% Confidence Interval (CI) 0.48 to 0.86, P = 0.003). In recurrent disease a single RCT was included comparing Gliadel (R) with placebo</w:t>
      </w:r>
      <w:r w:rsidR="005853A9">
        <w:rPr>
          <w:kern w:val="0"/>
        </w:rPr>
        <w:t xml:space="preserve"> and </w:t>
      </w:r>
      <w:r>
        <w:rPr>
          <w:kern w:val="0"/>
        </w:rPr>
        <w:t>enrolled 222 participants. It did not demonstrate a significant survival increase (HR 0.83, 95% CI 0.62 to 1.10, P = 0.2)</w:t>
      </w:r>
      <w:r w:rsidR="00A37C1D">
        <w:rPr>
          <w:kern w:val="0"/>
        </w:rPr>
        <w:t>. The</w:t>
      </w:r>
      <w:r>
        <w:rPr>
          <w:kern w:val="0"/>
        </w:rPr>
        <w:t>re was no suitable data for any</w:t>
      </w:r>
      <w:r w:rsidR="00427468">
        <w:rPr>
          <w:kern w:val="0"/>
        </w:rPr>
        <w:t xml:space="preserve"> of </w:t>
      </w:r>
      <w:r>
        <w:rPr>
          <w:kern w:val="0"/>
        </w:rPr>
        <w:t>the secondary outcome measures. Adverse events were not more common in either arm</w:t>
      </w:r>
      <w:r w:rsidR="005853A9">
        <w:rPr>
          <w:kern w:val="0"/>
        </w:rPr>
        <w:t xml:space="preserve"> and </w:t>
      </w:r>
      <w:r>
        <w:rPr>
          <w:kern w:val="0"/>
        </w:rPr>
        <w:t>are presented in a descriptive fashion. Authors</w:t>
      </w:r>
      <w:r w:rsidR="0071223E">
        <w:rPr>
          <w:kern w:val="0"/>
        </w:rPr>
        <w:t>’</w:t>
      </w:r>
      <w:r>
        <w:rPr>
          <w:kern w:val="0"/>
        </w:rPr>
        <w:t xml:space="preserve"> conclusions Carmustine impregnated wafers (Gliadel </w:t>
      </w:r>
      <w:r>
        <w:rPr>
          <w:kern w:val="0"/>
        </w:rPr>
        <w:lastRenderedPageBreak/>
        <w:t>(R)) result in improved survival without an increased incidence</w:t>
      </w:r>
      <w:r w:rsidR="00427468">
        <w:rPr>
          <w:kern w:val="0"/>
        </w:rPr>
        <w:t xml:space="preserve"> of </w:t>
      </w:r>
      <w:r>
        <w:rPr>
          <w:kern w:val="0"/>
        </w:rPr>
        <w:t>adverse events over placebo wafers when used for primary disease therapy</w:t>
      </w:r>
      <w:r w:rsidR="00A37C1D">
        <w:rPr>
          <w:kern w:val="0"/>
        </w:rPr>
        <w:t>. The</w:t>
      </w:r>
      <w:r>
        <w:rPr>
          <w:kern w:val="0"/>
        </w:rPr>
        <w:t>re is no evidence</w:t>
      </w:r>
      <w:r w:rsidR="00427468">
        <w:rPr>
          <w:kern w:val="0"/>
        </w:rPr>
        <w:t xml:space="preserve"> of </w:t>
      </w:r>
      <w:r>
        <w:rPr>
          <w:kern w:val="0"/>
        </w:rPr>
        <w:t>benefit for any other outcome measures. In recurrent disease Gliadel (R) does not appear to confer any additional benefit.</w:t>
      </w:r>
    </w:p>
    <w:p w:rsidR="00365DE4" w:rsidRDefault="00365DE4" w:rsidP="00365DE4">
      <w:pPr>
        <w:pStyle w:val="a3"/>
        <w:rPr>
          <w:kern w:val="0"/>
        </w:rPr>
      </w:pPr>
      <w:r>
        <w:rPr>
          <w:kern w:val="0"/>
        </w:rPr>
        <w:t xml:space="preserve">Keywords: Analysis, Anaplastic Gliomas, Antineoplastic Agents,Alkylating [Administration &amp; Dosage], Assessing, Authors, Biopsy, Brain Neoplasms [Drug Therapy, Brain-Tumors, Care, Carmustine [Administration &amp; Dosage], Chemotherapy, Citation, Clinical, Clinical-Trials, Collection, Combined Modality Therapy [Methods], Criteria, Data, Databases, Diagnosis, Disease, Drug, Drugs, Effectiveness, Events, Evidence, First, Gliadel Wafers, Glioblastoma-Multiforme, Glioma, Glioma [Drug Therapy, Guidelines, Hazard, Humans, Incidence, Interstitial Chemotherapy, Journal, Local Chemotherapy, Malignant Glioma, </w:t>
      </w:r>
      <w:r w:rsidR="00D5664A">
        <w:rPr>
          <w:kern w:val="0"/>
        </w:rPr>
        <w:t>MEDLINE</w:t>
      </w:r>
      <w:r>
        <w:rPr>
          <w:kern w:val="0"/>
        </w:rPr>
        <w:t>, Neoplasm Recurrence,Local [Drug Therapy], Outcome, Outcome Measures, P, Patients, Placebo, Primary, Radiation-Therapy, Radiotherapy, Randomised, Randomised Controlled Trials, Randomized Controlled Trials As Topic, Rct, Recurrence, Recurrent, Relevance, Review, Science, Science Citation Index, Search, Search Strategy, Side Effects, Standard, Strategy, Surgery, Surgery], Survival, Therapy, Treatment, Trial</w:t>
      </w:r>
    </w:p>
    <w:p w:rsidR="00365DE4" w:rsidRDefault="00365DE4" w:rsidP="00365DE4">
      <w:pPr>
        <w:pStyle w:val="a3"/>
        <w:rPr>
          <w:kern w:val="0"/>
        </w:rPr>
      </w:pPr>
      <w:r>
        <w:rPr>
          <w:kern w:val="0"/>
        </w:rPr>
        <w:t>? Gur</w:t>
      </w:r>
      <w:r w:rsidR="00D5664A">
        <w:rPr>
          <w:kern w:val="0"/>
        </w:rPr>
        <w:t>USA</w:t>
      </w:r>
      <w:r>
        <w:rPr>
          <w:kern w:val="0"/>
        </w:rPr>
        <w:t>my, K.S., Koti, R., Pamecha, V.</w:t>
      </w:r>
      <w:r w:rsidR="005853A9">
        <w:rPr>
          <w:kern w:val="0"/>
        </w:rPr>
        <w:t xml:space="preserve"> and </w:t>
      </w:r>
      <w:r>
        <w:rPr>
          <w:kern w:val="0"/>
        </w:rPr>
        <w:t xml:space="preserve">Davidson, B.R. (2011), Veno-venous bypass versus none for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CD007712.</w:t>
      </w:r>
    </w:p>
    <w:p w:rsidR="00365DE4" w:rsidRDefault="00365DE4" w:rsidP="00365DE4">
      <w:pPr>
        <w:pStyle w:val="a3"/>
        <w:rPr>
          <w:kern w:val="0"/>
        </w:rPr>
      </w:pPr>
      <w:r>
        <w:t xml:space="preserve">Full Text: </w:t>
      </w:r>
      <w:hyperlink r:id="rId649" w:history="1">
        <w:r>
          <w:rPr>
            <w:rStyle w:val="a5"/>
          </w:rPr>
          <w:t>2011\Coc Dat Sys Rev2011, CD007712.pdf</w:t>
        </w:r>
      </w:hyperlink>
    </w:p>
    <w:p w:rsidR="00365DE4" w:rsidRDefault="00365DE4" w:rsidP="00365DE4">
      <w:pPr>
        <w:pStyle w:val="a3"/>
        <w:rPr>
          <w:kern w:val="0"/>
        </w:rPr>
      </w:pPr>
      <w:r>
        <w:rPr>
          <w:kern w:val="0"/>
        </w:rPr>
        <w:t>Abstract: Back ground Veno-venous bypass is used to overcome the effects</w:t>
      </w:r>
      <w:r w:rsidR="00427468">
        <w:rPr>
          <w:kern w:val="0"/>
        </w:rPr>
        <w:t xml:space="preserve"> of </w:t>
      </w:r>
      <w:r>
        <w:rPr>
          <w:kern w:val="0"/>
        </w:rPr>
        <w:t>clamping</w:t>
      </w:r>
      <w:r w:rsidR="00427468">
        <w:rPr>
          <w:kern w:val="0"/>
        </w:rPr>
        <w:t xml:space="preserve"> of </w:t>
      </w:r>
      <w:r>
        <w:rPr>
          <w:kern w:val="0"/>
        </w:rPr>
        <w:t>the inferior vena cava</w:t>
      </w:r>
      <w:r w:rsidR="005853A9">
        <w:rPr>
          <w:kern w:val="0"/>
        </w:rPr>
        <w:t xml:space="preserve"> and </w:t>
      </w:r>
      <w:r>
        <w:rPr>
          <w:kern w:val="0"/>
        </w:rPr>
        <w:t>portal vein during liver transplanation</w:t>
      </w:r>
      <w:r w:rsidR="00A37C1D">
        <w:rPr>
          <w:kern w:val="0"/>
        </w:rPr>
        <w:t>. The</w:t>
      </w:r>
      <w:r>
        <w:rPr>
          <w:kern w:val="0"/>
        </w:rPr>
        <w:t xml:space="preserve"> routine use</w:t>
      </w:r>
      <w:r w:rsidR="00427468">
        <w:rPr>
          <w:kern w:val="0"/>
        </w:rPr>
        <w:t xml:space="preserve"> of </w:t>
      </w:r>
      <w:r>
        <w:rPr>
          <w:kern w:val="0"/>
        </w:rPr>
        <w:t>veno-venous bypass is, however, controversial. Objectives To compare the benefits</w:t>
      </w:r>
      <w:r w:rsidR="005853A9">
        <w:rPr>
          <w:kern w:val="0"/>
        </w:rPr>
        <w:t xml:space="preserve"> and </w:t>
      </w:r>
      <w:r>
        <w:rPr>
          <w:kern w:val="0"/>
        </w:rPr>
        <w:t>harms</w:t>
      </w:r>
      <w:r w:rsidR="00427468">
        <w:rPr>
          <w:kern w:val="0"/>
        </w:rPr>
        <w:t xml:space="preserve"> of </w:t>
      </w:r>
      <w:r>
        <w:rPr>
          <w:kern w:val="0"/>
        </w:rPr>
        <w:t>veno-venous bypass (irrespective</w:t>
      </w:r>
      <w:r w:rsidR="00427468">
        <w:rPr>
          <w:kern w:val="0"/>
        </w:rPr>
        <w:t xml:space="preserve"> of </w:t>
      </w:r>
      <w:r>
        <w:rPr>
          <w:kern w:val="0"/>
        </w:rPr>
        <w:t>open or percutaneous technique; heparin-coated or no heparin-coating) versus no veno-venous bypass during liver transplantation. To compare the benefits</w:t>
      </w:r>
      <w:r w:rsidR="005853A9">
        <w:rPr>
          <w:kern w:val="0"/>
        </w:rPr>
        <w:t xml:space="preserve"> and </w:t>
      </w:r>
      <w:r>
        <w:rPr>
          <w:kern w:val="0"/>
        </w:rPr>
        <w:t>harms</w:t>
      </w:r>
      <w:r w:rsidR="00427468">
        <w:rPr>
          <w:kern w:val="0"/>
        </w:rPr>
        <w:t xml:space="preserve"> of </w:t>
      </w:r>
      <w:r>
        <w:rPr>
          <w:kern w:val="0"/>
        </w:rPr>
        <w:t>the different techniques</w:t>
      </w:r>
      <w:r w:rsidR="00427468">
        <w:rPr>
          <w:kern w:val="0"/>
        </w:rPr>
        <w:t xml:space="preserve"> of </w:t>
      </w:r>
      <w:r>
        <w:rPr>
          <w:kern w:val="0"/>
        </w:rPr>
        <w:t>veno-venous bypass during liver transplantation.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December 2010. Selection criteria We included randomised clinical trials comparing veno-venous bypass during liver transplantation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data. We analysed the data with both the fixed-effect</w:t>
      </w:r>
      <w:r w:rsidR="005853A9">
        <w:rPr>
          <w:kern w:val="0"/>
        </w:rPr>
        <w:t xml:space="preserve"> and </w:t>
      </w:r>
      <w:r>
        <w:rPr>
          <w:kern w:val="0"/>
        </w:rPr>
        <w:t xml:space="preserve">the random-effects models using RevMan Analysis. For continuous outcomes, we calculated the mean difference (MD) with 95% confidence intervals (CI) based on intention-to-treat or available case analysis. For binary </w:t>
      </w:r>
      <w:r>
        <w:rPr>
          <w:kern w:val="0"/>
        </w:rPr>
        <w:lastRenderedPageBreak/>
        <w:t>outcomes, we used the Fisher</w:t>
      </w:r>
      <w:r w:rsidR="0071223E">
        <w:rPr>
          <w:kern w:val="0"/>
        </w:rPr>
        <w:t>’</w:t>
      </w:r>
      <w:r>
        <w:rPr>
          <w:kern w:val="0"/>
        </w:rPr>
        <w:t>s exact test since none</w:t>
      </w:r>
      <w:r w:rsidR="00427468">
        <w:rPr>
          <w:kern w:val="0"/>
        </w:rPr>
        <w:t xml:space="preserve"> of </w:t>
      </w:r>
      <w:r>
        <w:rPr>
          <w:kern w:val="0"/>
        </w:rPr>
        <w:t>the comparisons</w:t>
      </w:r>
      <w:r w:rsidR="00427468">
        <w:rPr>
          <w:kern w:val="0"/>
        </w:rPr>
        <w:t xml:space="preserve"> of </w:t>
      </w:r>
      <w:r>
        <w:rPr>
          <w:kern w:val="0"/>
        </w:rPr>
        <w:t>binary outcomes included more than one trial. Main results We identified three trials with high risk</w:t>
      </w:r>
      <w:r w:rsidR="00427468">
        <w:rPr>
          <w:kern w:val="0"/>
        </w:rPr>
        <w:t xml:space="preserve"> of </w:t>
      </w:r>
      <w:r>
        <w:rPr>
          <w:kern w:val="0"/>
        </w:rPr>
        <w:t>bias which compared veno-venous bypass (n = 65) versus no veno-venous bypass (n = 66). None</w:t>
      </w:r>
      <w:r w:rsidR="00427468">
        <w:rPr>
          <w:kern w:val="0"/>
        </w:rPr>
        <w:t xml:space="preserve"> of </w:t>
      </w:r>
      <w:r>
        <w:rPr>
          <w:kern w:val="0"/>
        </w:rPr>
        <w:t>the trials reported patient or graft survival</w:t>
      </w:r>
      <w:r w:rsidR="00A37C1D">
        <w:rPr>
          <w:kern w:val="0"/>
        </w:rPr>
        <w:t>. The</w:t>
      </w:r>
      <w:r>
        <w:rPr>
          <w:kern w:val="0"/>
        </w:rPr>
        <w:t>re were no significant differences regarding renal failure or blood transfusion requirements between the two groups. None</w:t>
      </w:r>
      <w:r w:rsidR="00427468">
        <w:rPr>
          <w:kern w:val="0"/>
        </w:rPr>
        <w:t xml:space="preserve"> of </w:t>
      </w:r>
      <w:r>
        <w:rPr>
          <w:kern w:val="0"/>
        </w:rPr>
        <w:t>the trials reported on the morbidity related to veno-venous bypass or the requirement</w:t>
      </w:r>
      <w:r w:rsidR="00427468">
        <w:rPr>
          <w:kern w:val="0"/>
        </w:rPr>
        <w:t xml:space="preserve"> of </w:t>
      </w:r>
      <w:r>
        <w:rPr>
          <w:kern w:val="0"/>
        </w:rPr>
        <w:t>veno-venous bypass in the control group. We identified one trial with high risk</w:t>
      </w:r>
      <w:r w:rsidR="00427468">
        <w:rPr>
          <w:kern w:val="0"/>
        </w:rPr>
        <w:t xml:space="preserve"> of </w:t>
      </w:r>
      <w:r>
        <w:rPr>
          <w:kern w:val="0"/>
        </w:rPr>
        <w:t>bias which compared percutaneous (n = 20) versus open technique (n = 19)</w:t>
      </w:r>
      <w:r w:rsidR="00427468">
        <w:rPr>
          <w:kern w:val="0"/>
        </w:rPr>
        <w:t xml:space="preserve"> of </w:t>
      </w:r>
      <w:r>
        <w:rPr>
          <w:kern w:val="0"/>
        </w:rPr>
        <w:t>veno-venous bypass</w:t>
      </w:r>
      <w:r w:rsidR="00A37C1D">
        <w:rPr>
          <w:kern w:val="0"/>
        </w:rPr>
        <w:t>. The</w:t>
      </w:r>
      <w:r>
        <w:rPr>
          <w:kern w:val="0"/>
        </w:rPr>
        <w:t xml:space="preserve"> patient or graft survival was not reported</w:t>
      </w:r>
      <w:r w:rsidR="00A37C1D">
        <w:rPr>
          <w:kern w:val="0"/>
        </w:rPr>
        <w:t>. The</w:t>
      </w:r>
      <w:r>
        <w:rPr>
          <w:kern w:val="0"/>
        </w:rPr>
        <w:t>re was no difference in veno-venous bypass related morbidity between the two groups</w:t>
      </w:r>
      <w:r w:rsidR="00A37C1D">
        <w:rPr>
          <w:kern w:val="0"/>
        </w:rPr>
        <w:t>. The</w:t>
      </w:r>
      <w:r>
        <w:rPr>
          <w:kern w:val="0"/>
        </w:rPr>
        <w:t xml:space="preserve"> operating time was significantly shorter in the percutaneous technique group (MD - 59 minutes; 95% CI -102 to 16). Authors</w:t>
      </w:r>
      <w:r w:rsidR="0071223E">
        <w:rPr>
          <w:kern w:val="0"/>
        </w:rPr>
        <w:t>’</w:t>
      </w:r>
      <w:r>
        <w:rPr>
          <w:kern w:val="0"/>
        </w:rPr>
        <w:t xml:space="preserve"> conclusions There is no evidence to support or refute the use</w:t>
      </w:r>
      <w:r w:rsidR="00427468">
        <w:rPr>
          <w:kern w:val="0"/>
        </w:rPr>
        <w:t xml:space="preserve"> of </w:t>
      </w:r>
      <w:r>
        <w:rPr>
          <w:kern w:val="0"/>
        </w:rPr>
        <w:t>veno-venous bypass in liver transplantation</w:t>
      </w:r>
      <w:r w:rsidR="00A37C1D">
        <w:rPr>
          <w:kern w:val="0"/>
        </w:rPr>
        <w:t>. The</w:t>
      </w:r>
      <w:r>
        <w:rPr>
          <w:kern w:val="0"/>
        </w:rPr>
        <w:t>re is no evidence to prefer any particular technique</w:t>
      </w:r>
      <w:r w:rsidR="00427468">
        <w:rPr>
          <w:kern w:val="0"/>
        </w:rPr>
        <w:t xml:space="preserve"> of </w:t>
      </w:r>
      <w:r>
        <w:rPr>
          <w:kern w:val="0"/>
        </w:rPr>
        <w:t>veno-venous bypass in liver transplantation.</w:t>
      </w:r>
    </w:p>
    <w:p w:rsidR="00365DE4" w:rsidRDefault="00365DE4" w:rsidP="00365DE4">
      <w:pPr>
        <w:pStyle w:val="a3"/>
        <w:rPr>
          <w:kern w:val="0"/>
        </w:rPr>
      </w:pPr>
      <w:r>
        <w:rPr>
          <w:kern w:val="0"/>
        </w:rPr>
        <w:t xml:space="preserve">Keywords: Activation, Analysis, Authors, Bias, Blood, Blood Transfusion, Case Analysis, Circuits, Citation, Clinical, Clinical Trials, Collection, Confidence, Confidence Intervals, Control, Criteria, Data, Effects, Empirical-Evidence, Evidence, Failure, Graft, Intervals, Liver, Liver Transplantation, </w:t>
      </w:r>
      <w:r w:rsidR="00D5664A">
        <w:rPr>
          <w:kern w:val="0"/>
        </w:rPr>
        <w:t>MEDLINE</w:t>
      </w:r>
      <w:r>
        <w:rPr>
          <w:kern w:val="0"/>
        </w:rPr>
        <w:t>, Metaanalysis, Model, Models, Morbidity, Open, Outcomes, Percutaneous, Perioperative Renal-Function, Publication, Quality, Randomised, Randomized Clinical-Trials, Renal, Renal Failure, Requirement, Risk, Science, Science Citation Index, Science Citation Index Expanded, Search, Selective Use, Strategy, Support, Survival, Techniques, Transfusion, Transplantation, Trial</w:t>
      </w:r>
    </w:p>
    <w:p w:rsidR="00365DE4" w:rsidRDefault="00365DE4" w:rsidP="00365DE4">
      <w:pPr>
        <w:pStyle w:val="a3"/>
        <w:rPr>
          <w:kern w:val="0"/>
        </w:rPr>
      </w:pPr>
      <w:r>
        <w:rPr>
          <w:kern w:val="0"/>
        </w:rPr>
        <w:t>? Bjelakovic, G., Gluud, L.L., Nikolova, D., Bjelakovic, M., Nagorni, A.</w:t>
      </w:r>
      <w:r w:rsidR="005853A9">
        <w:rPr>
          <w:kern w:val="0"/>
        </w:rPr>
        <w:t xml:space="preserve"> and </w:t>
      </w:r>
      <w:r>
        <w:rPr>
          <w:kern w:val="0"/>
        </w:rPr>
        <w:t xml:space="preserve">Gluud, C. (2011), Antioxidant supplements for liver diseases.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CD007749.</w:t>
      </w:r>
    </w:p>
    <w:p w:rsidR="00365DE4" w:rsidRDefault="00365DE4" w:rsidP="00365DE4">
      <w:pPr>
        <w:pStyle w:val="a3"/>
        <w:rPr>
          <w:kern w:val="0"/>
        </w:rPr>
      </w:pPr>
      <w:r>
        <w:t xml:space="preserve">Full Text: </w:t>
      </w:r>
      <w:hyperlink r:id="rId650" w:history="1">
        <w:r>
          <w:rPr>
            <w:rStyle w:val="a5"/>
          </w:rPr>
          <w:t>2011\Coc Dat Sys Rev2011, CD007749.pdf</w:t>
        </w:r>
      </w:hyperlink>
    </w:p>
    <w:p w:rsidR="00365DE4" w:rsidRDefault="00365DE4" w:rsidP="00365DE4">
      <w:pPr>
        <w:pStyle w:val="a3"/>
        <w:rPr>
          <w:kern w:val="0"/>
        </w:rPr>
      </w:pPr>
      <w:r>
        <w:rPr>
          <w:kern w:val="0"/>
        </w:rPr>
        <w:t>Abstract: Back ground Several liver diseases have been associated with oxidative stress. Accordingly, antioxidants have been suggested as potential therapeutics for various liver diseases</w:t>
      </w:r>
      <w:r w:rsidR="00A37C1D">
        <w:rPr>
          <w:kern w:val="0"/>
        </w:rPr>
        <w:t>. The</w:t>
      </w:r>
      <w:r>
        <w:rPr>
          <w:kern w:val="0"/>
        </w:rPr>
        <w:t xml:space="preserve"> evidence supporting these suggestions is equivocal. Objectives To assess the benefits</w:t>
      </w:r>
      <w:r w:rsidR="005853A9">
        <w:rPr>
          <w:kern w:val="0"/>
        </w:rPr>
        <w:t xml:space="preserve"> and </w:t>
      </w:r>
      <w:r>
        <w:rPr>
          <w:kern w:val="0"/>
        </w:rPr>
        <w:t>harms</w:t>
      </w:r>
      <w:r w:rsidR="00427468">
        <w:rPr>
          <w:kern w:val="0"/>
        </w:rPr>
        <w:t xml:space="preserve"> of </w:t>
      </w:r>
      <w:r>
        <w:rPr>
          <w:kern w:val="0"/>
        </w:rPr>
        <w:t xml:space="preserve">antioxidant supplements for patients with liver diseases. Search strategy We searched The Cochrane Library, </w:t>
      </w:r>
      <w:r w:rsidR="00D5664A">
        <w:rPr>
          <w:kern w:val="0"/>
        </w:rPr>
        <w:t>MEDLINE</w:t>
      </w:r>
      <w:r>
        <w:rPr>
          <w:kern w:val="0"/>
        </w:rPr>
        <w:t>, EMBASE, LILACS, the Science Citation Index Expanded,</w:t>
      </w:r>
      <w:r w:rsidR="005853A9">
        <w:rPr>
          <w:kern w:val="0"/>
        </w:rPr>
        <w:t xml:space="preserve"> and </w:t>
      </w:r>
      <w:r>
        <w:rPr>
          <w:kern w:val="0"/>
        </w:rPr>
        <w:t>Conference Proceedings Citation Index-Science to January 2011. We scanned bibliographies</w:t>
      </w:r>
      <w:r w:rsidR="00427468">
        <w:rPr>
          <w:kern w:val="0"/>
        </w:rPr>
        <w:t xml:space="preserve"> of </w:t>
      </w:r>
      <w:r>
        <w:rPr>
          <w:kern w:val="0"/>
        </w:rPr>
        <w:t>relevant publications</w:t>
      </w:r>
      <w:r w:rsidR="005853A9">
        <w:rPr>
          <w:kern w:val="0"/>
        </w:rPr>
        <w:t xml:space="preserve"> and </w:t>
      </w:r>
      <w:r>
        <w:rPr>
          <w:kern w:val="0"/>
        </w:rPr>
        <w:t>asked experts</w:t>
      </w:r>
      <w:r w:rsidR="005853A9">
        <w:rPr>
          <w:kern w:val="0"/>
        </w:rPr>
        <w:t xml:space="preserve"> and </w:t>
      </w:r>
      <w:r>
        <w:rPr>
          <w:kern w:val="0"/>
        </w:rPr>
        <w:t>pharmaceutical companies for additional trials. Selection criteria We considered for inclusion randomised trials that compared antioxidant supplements (beta-carotene, vitamin A, C, E,</w:t>
      </w:r>
      <w:r w:rsidR="005853A9">
        <w:rPr>
          <w:kern w:val="0"/>
        </w:rPr>
        <w:t xml:space="preserve"> and </w:t>
      </w:r>
      <w:r>
        <w:rPr>
          <w:kern w:val="0"/>
        </w:rPr>
        <w:t>selenium) versus placebo or no intervention for autoimmune liver diseases, viral hepatitis, alcoholic liver disease,</w:t>
      </w:r>
      <w:r w:rsidR="005853A9">
        <w:rPr>
          <w:kern w:val="0"/>
        </w:rPr>
        <w:t xml:space="preserve"> </w:t>
      </w:r>
      <w:r w:rsidR="005853A9">
        <w:rPr>
          <w:kern w:val="0"/>
        </w:rPr>
        <w:lastRenderedPageBreak/>
        <w:t xml:space="preserve">and </w:t>
      </w:r>
      <w:r>
        <w:rPr>
          <w:kern w:val="0"/>
        </w:rPr>
        <w:t>cirrhosis (any aetiology). Data collection</w:t>
      </w:r>
      <w:r w:rsidR="005853A9">
        <w:rPr>
          <w:kern w:val="0"/>
        </w:rPr>
        <w:t xml:space="preserve"> and </w:t>
      </w:r>
      <w:r>
        <w:rPr>
          <w:kern w:val="0"/>
        </w:rPr>
        <w:t>analysis Four authors independently selected trials for inclusion</w:t>
      </w:r>
      <w:r w:rsidR="005853A9">
        <w:rPr>
          <w:kern w:val="0"/>
        </w:rPr>
        <w:t xml:space="preserve"> and </w:t>
      </w:r>
      <w:r>
        <w:rPr>
          <w:kern w:val="0"/>
        </w:rPr>
        <w:t>extracted data. Outcome measures were all-cause mortality, liver-related mortality, liver-related morbidity, biochemical indices at maximum follow-up in the individual trials as well as adverse events, quality-of-life measures,</w:t>
      </w:r>
      <w:r w:rsidR="005853A9">
        <w:rPr>
          <w:kern w:val="0"/>
        </w:rPr>
        <w:t xml:space="preserve"> and </w:t>
      </w:r>
      <w:r>
        <w:rPr>
          <w:kern w:val="0"/>
        </w:rPr>
        <w:t>cost-effectiveness. For patients with hepatitis B or C we also considered end</w:t>
      </w:r>
      <w:r w:rsidR="00427468">
        <w:rPr>
          <w:kern w:val="0"/>
        </w:rPr>
        <w:t xml:space="preserve"> of </w:t>
      </w:r>
      <w:r>
        <w:rPr>
          <w:kern w:val="0"/>
        </w:rPr>
        <w:t>treatment</w:t>
      </w:r>
      <w:r w:rsidR="005853A9">
        <w:rPr>
          <w:kern w:val="0"/>
        </w:rPr>
        <w:t xml:space="preserve"> and </w:t>
      </w:r>
      <w:r>
        <w:rPr>
          <w:kern w:val="0"/>
        </w:rPr>
        <w:t>sustained virological response. We conducted random-effects</w:t>
      </w:r>
      <w:r w:rsidR="005853A9">
        <w:rPr>
          <w:kern w:val="0"/>
        </w:rPr>
        <w:t xml:space="preserve"> and </w:t>
      </w:r>
      <w:r>
        <w:rPr>
          <w:kern w:val="0"/>
        </w:rPr>
        <w:t>fixed-effect meta-analyses. Results were presented as relative risks (RR) or mean differences (MD), both with 95% confidence intervals (CI). Main results Twenty randomised trials with 1225 participants were included</w:t>
      </w:r>
      <w:r w:rsidR="00A37C1D">
        <w:rPr>
          <w:kern w:val="0"/>
        </w:rPr>
        <w:t>. The</w:t>
      </w:r>
      <w:r>
        <w:rPr>
          <w:kern w:val="0"/>
        </w:rPr>
        <w:t xml:space="preserve"> trials assessed beta-carotene (3 trials), vitamin A (2 trials), vitamin C (9 trials), vitamin E (15 trials),</w:t>
      </w:r>
      <w:r w:rsidR="005853A9">
        <w:rPr>
          <w:kern w:val="0"/>
        </w:rPr>
        <w:t xml:space="preserve"> and </w:t>
      </w:r>
      <w:r>
        <w:rPr>
          <w:kern w:val="0"/>
        </w:rPr>
        <w:t>selenium (8 trials)</w:t>
      </w:r>
      <w:r w:rsidR="00A37C1D">
        <w:rPr>
          <w:kern w:val="0"/>
        </w:rPr>
        <w:t>. The</w:t>
      </w:r>
      <w:r>
        <w:rPr>
          <w:kern w:val="0"/>
        </w:rPr>
        <w:t xml:space="preserve"> majority</w:t>
      </w:r>
      <w:r w:rsidR="00427468">
        <w:rPr>
          <w:kern w:val="0"/>
        </w:rPr>
        <w:t xml:space="preserve"> of </w:t>
      </w:r>
      <w:r>
        <w:rPr>
          <w:kern w:val="0"/>
        </w:rPr>
        <w:t>the trials had high risk</w:t>
      </w:r>
      <w:r w:rsidR="00427468">
        <w:rPr>
          <w:kern w:val="0"/>
        </w:rPr>
        <w:t xml:space="preserve"> of </w:t>
      </w:r>
      <w:r>
        <w:rPr>
          <w:kern w:val="0"/>
        </w:rPr>
        <w:t>bias</w:t>
      </w:r>
      <w:r w:rsidR="005853A9">
        <w:rPr>
          <w:kern w:val="0"/>
        </w:rPr>
        <w:t xml:space="preserve"> and </w:t>
      </w:r>
      <w:r>
        <w:rPr>
          <w:kern w:val="0"/>
        </w:rPr>
        <w:t>showed heterogeneity. Overall, the assessed antioxidant supplements had no significant effect on all-cause mortality (relative risk [RR] 0.84, 95% confidence interval [CI] 0.60 to 1.19, I-2 = 0%), or liver-related mortality (RR 0.89, 95% CI 0.39 to 2.05, I-2 = 37%). Stratification according to the type</w:t>
      </w:r>
      <w:r w:rsidR="00427468">
        <w:rPr>
          <w:kern w:val="0"/>
        </w:rPr>
        <w:t xml:space="preserve"> of </w:t>
      </w:r>
      <w:r>
        <w:rPr>
          <w:kern w:val="0"/>
        </w:rPr>
        <w:t>liver disease did not affect noticeably the results. Antioxidant supplements significantly increased activity</w:t>
      </w:r>
      <w:r w:rsidR="00427468">
        <w:rPr>
          <w:kern w:val="0"/>
        </w:rPr>
        <w:t xml:space="preserve"> of </w:t>
      </w:r>
      <w:r>
        <w:rPr>
          <w:kern w:val="0"/>
        </w:rPr>
        <w:t>gamma glutamyl transpeptidase (MD 24.21 IU/l, 95% CI 6.67 to 41.75, I-2 = 0%). Authors</w:t>
      </w:r>
      <w:r w:rsidR="0071223E">
        <w:rPr>
          <w:kern w:val="0"/>
        </w:rPr>
        <w:t>’</w:t>
      </w:r>
      <w:r>
        <w:rPr>
          <w:kern w:val="0"/>
        </w:rPr>
        <w:t xml:space="preserve"> conclusions We found no evidence to support or refute antioxidant supplements in patients with liver disease. Antioxidant supplements may increase liver enzyme activity.</w:t>
      </w:r>
    </w:p>
    <w:p w:rsidR="00365DE4" w:rsidRDefault="00365DE4" w:rsidP="00365DE4">
      <w:pPr>
        <w:pStyle w:val="a3"/>
        <w:rPr>
          <w:kern w:val="0"/>
        </w:rPr>
      </w:pPr>
      <w:r>
        <w:rPr>
          <w:kern w:val="0"/>
        </w:rPr>
        <w:t xml:space="preserve">Keywords: Aetiology, Alpha-Tocopherol, Analysis, Antioxidant, Antioxidants, Authors, Beta Carotene, Bias, Bibliographies, Chronic Hepatitis-C, Cirrhosis, Citation, Clinical-Trial, Collection, Conference, Confidence, Confidence Intervals, Controlled Pilot Trial, Cost Effectiveness, Cost-Effectiveness, Criteria, Data, Disease, Diseases, Events, Evidence, Experts, Follow-up, Gamma, Hepatitis, Hepatitis B, Heterogeneity, Indices, Interval, Intervals, Intervention, Liver, </w:t>
      </w:r>
      <w:r w:rsidR="00D5664A">
        <w:rPr>
          <w:kern w:val="0"/>
        </w:rPr>
        <w:t>MEDLINE</w:t>
      </w:r>
      <w:r>
        <w:rPr>
          <w:kern w:val="0"/>
        </w:rPr>
        <w:t>, Morbidity, Mortality, Outcome Reporting Bias, Oxidative Stress, Patients, Placebo, Placebo-Controlled Trial, Potential, Publications, Quality</w:t>
      </w:r>
      <w:r w:rsidR="00427468">
        <w:rPr>
          <w:kern w:val="0"/>
        </w:rPr>
        <w:t xml:space="preserve"> of </w:t>
      </w:r>
      <w:r>
        <w:rPr>
          <w:kern w:val="0"/>
        </w:rPr>
        <w:t>Life, Randomised, Randomized-Trials, Relative Risk, Risk, Risks, Routine Vitamin Supplementation, Science, Science Citation Index, Science Citation Index Expanded, Search, Selenium, Strategy, Stress, Support, Treatment, Trial Sequential-Analysis, Viral, Viral Hepatitis, Vitamin A, Vitamin C, Vitamin E</w:t>
      </w:r>
    </w:p>
    <w:p w:rsidR="00365DE4" w:rsidRDefault="00365DE4" w:rsidP="00365DE4">
      <w:pPr>
        <w:pStyle w:val="a3"/>
        <w:rPr>
          <w:kern w:val="0"/>
        </w:rPr>
      </w:pPr>
      <w:r>
        <w:rPr>
          <w:kern w:val="0"/>
        </w:rPr>
        <w:t>? Afshari, A., Wikkelso, A., Brok, J., Moller, A.M.</w:t>
      </w:r>
      <w:r w:rsidR="005853A9">
        <w:rPr>
          <w:kern w:val="0"/>
        </w:rPr>
        <w:t xml:space="preserve"> and </w:t>
      </w:r>
      <w:r>
        <w:rPr>
          <w:kern w:val="0"/>
        </w:rPr>
        <w:t xml:space="preserve">Wetterslev, J. (2011), Thrombelastography (TEG) or thromboelastometry (ROTEM) to monitor haemotherapy versus usual care in patients with massive transfusion.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CD007871.</w:t>
      </w:r>
    </w:p>
    <w:p w:rsidR="00365DE4" w:rsidRDefault="00365DE4" w:rsidP="00365DE4">
      <w:pPr>
        <w:pStyle w:val="a3"/>
        <w:rPr>
          <w:kern w:val="0"/>
        </w:rPr>
      </w:pPr>
      <w:r>
        <w:t xml:space="preserve">Full Text: </w:t>
      </w:r>
      <w:hyperlink r:id="rId651" w:history="1">
        <w:r>
          <w:rPr>
            <w:rStyle w:val="a5"/>
          </w:rPr>
          <w:t>2011\Coc Dat Sys Rev2011, CD007871.pdf</w:t>
        </w:r>
      </w:hyperlink>
    </w:p>
    <w:p w:rsidR="00365DE4" w:rsidRDefault="00365DE4" w:rsidP="00365DE4">
      <w:pPr>
        <w:pStyle w:val="a3"/>
        <w:rPr>
          <w:kern w:val="0"/>
        </w:rPr>
      </w:pPr>
      <w:r>
        <w:rPr>
          <w:kern w:val="0"/>
        </w:rPr>
        <w:t>Abstract: Background Severe bleeding</w:t>
      </w:r>
      <w:r w:rsidR="005853A9">
        <w:rPr>
          <w:kern w:val="0"/>
        </w:rPr>
        <w:t xml:space="preserve"> and </w:t>
      </w:r>
      <w:r>
        <w:rPr>
          <w:kern w:val="0"/>
        </w:rPr>
        <w:t>coagulopathy as a result</w:t>
      </w:r>
      <w:r w:rsidR="00427468">
        <w:rPr>
          <w:kern w:val="0"/>
        </w:rPr>
        <w:t xml:space="preserve"> of </w:t>
      </w:r>
      <w:r>
        <w:rPr>
          <w:kern w:val="0"/>
        </w:rPr>
        <w:t xml:space="preserve">massive transfusion are serious clinical conditions that are associated with high mortality. </w:t>
      </w:r>
      <w:r>
        <w:rPr>
          <w:kern w:val="0"/>
        </w:rPr>
        <w:lastRenderedPageBreak/>
        <w:t>Thromboelastography (TEG)</w:t>
      </w:r>
      <w:r w:rsidR="005853A9">
        <w:rPr>
          <w:kern w:val="0"/>
        </w:rPr>
        <w:t xml:space="preserve"> and </w:t>
      </w:r>
      <w:r>
        <w:rPr>
          <w:kern w:val="0"/>
        </w:rPr>
        <w:t>thromboelastometry (ROTEM) are increasingly used to guide transfusion strategy but their roles remain disputed. Objectives To systematically assess the benefits</w:t>
      </w:r>
      <w:r w:rsidR="005853A9">
        <w:rPr>
          <w:kern w:val="0"/>
        </w:rPr>
        <w:t xml:space="preserve"> and </w:t>
      </w:r>
      <w:r>
        <w:rPr>
          <w:kern w:val="0"/>
        </w:rPr>
        <w:t>harms</w:t>
      </w:r>
      <w:r w:rsidR="00427468">
        <w:rPr>
          <w:kern w:val="0"/>
        </w:rPr>
        <w:t xml:space="preserve"> of </w:t>
      </w:r>
      <w:r>
        <w:rPr>
          <w:kern w:val="0"/>
        </w:rPr>
        <w:t>a TEG or ROTEM guided transfusion strategy in randomized trials involving patients with severe bleeding. Search strategy Randomized clinical trials (RCTs) were identified from electronic databases: Cochrane Central Register</w:t>
      </w:r>
      <w:r w:rsidR="00427468">
        <w:rPr>
          <w:kern w:val="0"/>
        </w:rPr>
        <w:t xml:space="preserve"> of </w:t>
      </w:r>
      <w:r>
        <w:rPr>
          <w:kern w:val="0"/>
        </w:rPr>
        <w:t xml:space="preserve">Controlled Trials (CENTRAL) (The Cochrane Library 2010, Issue 9); </w:t>
      </w:r>
      <w:r w:rsidR="00D5664A">
        <w:rPr>
          <w:kern w:val="0"/>
        </w:rPr>
        <w:t>MEDLINE</w:t>
      </w:r>
      <w:r>
        <w:rPr>
          <w:kern w:val="0"/>
        </w:rPr>
        <w:t xml:space="preserve">; EMBASE; Science Citation Index Expanded; International </w:t>
      </w:r>
      <w:r w:rsidR="00D5664A">
        <w:rPr>
          <w:kern w:val="0"/>
        </w:rPr>
        <w:t>Web</w:t>
      </w:r>
      <w:r w:rsidR="00427468">
        <w:rPr>
          <w:kern w:val="0"/>
        </w:rPr>
        <w:t xml:space="preserve"> of </w:t>
      </w:r>
      <w:r w:rsidR="00D5664A">
        <w:rPr>
          <w:kern w:val="0"/>
        </w:rPr>
        <w:t>Science</w:t>
      </w:r>
      <w:r>
        <w:rPr>
          <w:kern w:val="0"/>
        </w:rPr>
        <w:t>; CINAHL; LILACS;</w:t>
      </w:r>
      <w:r w:rsidR="005853A9">
        <w:rPr>
          <w:kern w:val="0"/>
        </w:rPr>
        <w:t xml:space="preserve"> and </w:t>
      </w:r>
      <w:r>
        <w:rPr>
          <w:kern w:val="0"/>
        </w:rPr>
        <w:t>the Chinese Biomedical Literature Database (up to 31st October 2010). We contacted trial authors, authors</w:t>
      </w:r>
      <w:r w:rsidR="00427468">
        <w:rPr>
          <w:kern w:val="0"/>
        </w:rPr>
        <w:t xml:space="preserve"> of </w:t>
      </w:r>
      <w:r>
        <w:rPr>
          <w:kern w:val="0"/>
        </w:rPr>
        <w:t>previous reviews,</w:t>
      </w:r>
      <w:r w:rsidR="005853A9">
        <w:rPr>
          <w:kern w:val="0"/>
        </w:rPr>
        <w:t xml:space="preserve"> and </w:t>
      </w:r>
      <w:r>
        <w:rPr>
          <w:kern w:val="0"/>
        </w:rPr>
        <w:t>manufacturers in the field. Selection criteria We included all RCTs, irrespective</w:t>
      </w:r>
      <w:r w:rsidR="00427468">
        <w:rPr>
          <w:kern w:val="0"/>
        </w:rPr>
        <w:t xml:space="preserve"> of </w:t>
      </w:r>
      <w:r>
        <w:rPr>
          <w:kern w:val="0"/>
        </w:rPr>
        <w:t>blinding or language, that compared transfusion guided by TEG or ROTEM to transfusion guided by clinical judgement</w:t>
      </w:r>
      <w:r w:rsidR="005853A9">
        <w:rPr>
          <w:kern w:val="0"/>
        </w:rPr>
        <w:t xml:space="preserve"> and </w:t>
      </w:r>
      <w:r>
        <w:rPr>
          <w:kern w:val="0"/>
        </w:rPr>
        <w:t>standard laboratory tests, or both. Data collection</w:t>
      </w:r>
      <w:r w:rsidR="005853A9">
        <w:rPr>
          <w:kern w:val="0"/>
        </w:rPr>
        <w:t xml:space="preserve"> and </w:t>
      </w:r>
      <w:r>
        <w:rPr>
          <w:kern w:val="0"/>
        </w:rPr>
        <w:t>analysis Two authors independently abstracted data; they resolved any disagreements by discussion. We presented pooled estimates</w:t>
      </w:r>
      <w:r w:rsidR="00427468">
        <w:rPr>
          <w:kern w:val="0"/>
        </w:rPr>
        <w:t xml:space="preserve"> of </w:t>
      </w:r>
      <w:r>
        <w:rPr>
          <w:kern w:val="0"/>
        </w:rPr>
        <w:t>the intervention effects on dichotomous outcomes as relative risks (RR)</w:t>
      </w:r>
      <w:r w:rsidR="005853A9">
        <w:rPr>
          <w:kern w:val="0"/>
        </w:rPr>
        <w:t xml:space="preserve"> and </w:t>
      </w:r>
      <w:r>
        <w:rPr>
          <w:kern w:val="0"/>
        </w:rPr>
        <w:t>on continuous outcomes as mean differences, with 95% confidence intervals (CI). Our primary outcome measure was all cause mortality. We performed subgroup</w:t>
      </w:r>
      <w:r w:rsidR="005853A9">
        <w:rPr>
          <w:kern w:val="0"/>
        </w:rPr>
        <w:t xml:space="preserve"> and </w:t>
      </w:r>
      <w:r>
        <w:rPr>
          <w:kern w:val="0"/>
        </w:rPr>
        <w:t>sensitivity analyses to assess the effect</w:t>
      </w:r>
      <w:r w:rsidR="00427468">
        <w:rPr>
          <w:kern w:val="0"/>
        </w:rPr>
        <w:t xml:space="preserve"> of </w:t>
      </w:r>
      <w:r>
        <w:rPr>
          <w:kern w:val="0"/>
        </w:rPr>
        <w:t>TEG or ROTEM in adults</w:t>
      </w:r>
      <w:r w:rsidR="005853A9">
        <w:rPr>
          <w:kern w:val="0"/>
        </w:rPr>
        <w:t xml:space="preserve"> and </w:t>
      </w:r>
      <w:r>
        <w:rPr>
          <w:kern w:val="0"/>
        </w:rPr>
        <w:t>children on various clinical</w:t>
      </w:r>
      <w:r w:rsidR="005853A9">
        <w:rPr>
          <w:kern w:val="0"/>
        </w:rPr>
        <w:t xml:space="preserve"> and </w:t>
      </w:r>
      <w:r>
        <w:rPr>
          <w:kern w:val="0"/>
        </w:rPr>
        <w:t>physiological outcomes. We assessed the risk</w:t>
      </w:r>
      <w:r w:rsidR="00427468">
        <w:rPr>
          <w:kern w:val="0"/>
        </w:rPr>
        <w:t xml:space="preserve"> of </w:t>
      </w:r>
      <w:r>
        <w:rPr>
          <w:kern w:val="0"/>
        </w:rPr>
        <w:t>bias through assessment</w:t>
      </w:r>
      <w:r w:rsidR="00427468">
        <w:rPr>
          <w:kern w:val="0"/>
        </w:rPr>
        <w:t xml:space="preserve"> of </w:t>
      </w:r>
      <w:r>
        <w:rPr>
          <w:kern w:val="0"/>
        </w:rPr>
        <w:t>trial methodological components</w:t>
      </w:r>
      <w:r w:rsidR="005853A9">
        <w:rPr>
          <w:kern w:val="0"/>
        </w:rPr>
        <w:t xml:space="preserve"> and </w:t>
      </w:r>
      <w:r>
        <w:rPr>
          <w:kern w:val="0"/>
        </w:rPr>
        <w:t>the risk</w:t>
      </w:r>
      <w:r w:rsidR="00427468">
        <w:rPr>
          <w:kern w:val="0"/>
        </w:rPr>
        <w:t xml:space="preserve"> of </w:t>
      </w:r>
      <w:r>
        <w:rPr>
          <w:kern w:val="0"/>
        </w:rPr>
        <w:t>random error through trial sequential analysis. Main results We included nine RCTs with a total</w:t>
      </w:r>
      <w:r w:rsidR="00427468">
        <w:rPr>
          <w:kern w:val="0"/>
        </w:rPr>
        <w:t xml:space="preserve"> of </w:t>
      </w:r>
      <w:r>
        <w:rPr>
          <w:kern w:val="0"/>
        </w:rPr>
        <w:t>776 participants; only one trial had a low risk</w:t>
      </w:r>
      <w:r w:rsidR="00427468">
        <w:rPr>
          <w:kern w:val="0"/>
        </w:rPr>
        <w:t xml:space="preserve"> of </w:t>
      </w:r>
      <w:r>
        <w:rPr>
          <w:kern w:val="0"/>
        </w:rPr>
        <w:t>bias. We found two ongoing trials but were unable to retrieve any data from them. Compared with standard treatment, TEG or ROTEM showed no statistically significant effect on overall mortality (3.78% versus 5.11%, RR 0.77, 95% CI 0.35 to 1.72; I-2 = 0%) but only five trials provided data on mortality. Our analyses demonstrated a statistically significant effect</w:t>
      </w:r>
      <w:r w:rsidR="00427468">
        <w:rPr>
          <w:kern w:val="0"/>
        </w:rPr>
        <w:t xml:space="preserve"> of </w:t>
      </w:r>
      <w:r>
        <w:rPr>
          <w:kern w:val="0"/>
        </w:rPr>
        <w:t>TEG or ROTEM on the amount</w:t>
      </w:r>
      <w:r w:rsidR="00427468">
        <w:rPr>
          <w:kern w:val="0"/>
        </w:rPr>
        <w:t xml:space="preserve"> of </w:t>
      </w:r>
      <w:r>
        <w:rPr>
          <w:kern w:val="0"/>
        </w:rPr>
        <w:t>bleeding (MD -85.05 ml, 95% CI -140.68 to -29.42; I-2 = 26%) but failed to show any statistically significant effect on other predefined outcomes. Authors</w:t>
      </w:r>
      <w:r w:rsidR="0071223E">
        <w:rPr>
          <w:kern w:val="0"/>
        </w:rPr>
        <w:t>’</w:t>
      </w:r>
      <w:r>
        <w:rPr>
          <w:kern w:val="0"/>
        </w:rPr>
        <w:t xml:space="preserve"> conclusions There is an absence</w:t>
      </w:r>
      <w:r w:rsidR="00427468">
        <w:rPr>
          <w:kern w:val="0"/>
        </w:rPr>
        <w:t xml:space="preserve"> of </w:t>
      </w:r>
      <w:r>
        <w:rPr>
          <w:kern w:val="0"/>
        </w:rPr>
        <w:t>evidence that TEG or ROTEM improves morbidity or mortality in patients with severe bleeding. Application</w:t>
      </w:r>
      <w:r w:rsidR="00427468">
        <w:rPr>
          <w:kern w:val="0"/>
        </w:rPr>
        <w:t xml:space="preserve"> of </w:t>
      </w:r>
      <w:r>
        <w:rPr>
          <w:kern w:val="0"/>
        </w:rPr>
        <w:t>a TEG or ROTEM guided transfusion strategy seems to reduce the amount</w:t>
      </w:r>
      <w:r w:rsidR="00427468">
        <w:rPr>
          <w:kern w:val="0"/>
        </w:rPr>
        <w:t xml:space="preserve"> of </w:t>
      </w:r>
      <w:r>
        <w:rPr>
          <w:kern w:val="0"/>
        </w:rPr>
        <w:t>bleeding but whether this has implications for the clinical condition</w:t>
      </w:r>
      <w:r w:rsidR="00427468">
        <w:rPr>
          <w:kern w:val="0"/>
        </w:rPr>
        <w:t xml:space="preserve"> of </w:t>
      </w:r>
      <w:r>
        <w:rPr>
          <w:kern w:val="0"/>
        </w:rPr>
        <w:t>patients is still uncertain. More research is needed.</w:t>
      </w:r>
    </w:p>
    <w:p w:rsidR="00365DE4" w:rsidRDefault="00365DE4" w:rsidP="00365DE4">
      <w:pPr>
        <w:pStyle w:val="a3"/>
        <w:rPr>
          <w:kern w:val="0"/>
        </w:rPr>
      </w:pPr>
      <w:r>
        <w:rPr>
          <w:kern w:val="0"/>
        </w:rPr>
        <w:t xml:space="preserve">Keywords: Acute Lung Injury, Analyses, Analysis, Application, Assessment, Authors, Bias, Bleeding, Bypass Graft-Surgery, Cardiac Surgical-Patients, Care, Children, Chinese, Citation, Clinical, Clinical Trials, Coagulopathy, Collection, Confidence, Confidence Intervals, Criteria, Critically-Ill Patients, Data, Databases, Effects, Error, Estimates, Evidence, Field, Intervals, Intervention, Intervention Effects, Literature, Long-Term Survival, Low Risk, Measure, </w:t>
      </w:r>
      <w:r w:rsidR="00D5664A">
        <w:rPr>
          <w:kern w:val="0"/>
        </w:rPr>
        <w:t>MEDLINE</w:t>
      </w:r>
      <w:r>
        <w:rPr>
          <w:kern w:val="0"/>
        </w:rPr>
        <w:t xml:space="preserve">, Morbidity, Mortality, </w:t>
      </w:r>
      <w:r>
        <w:rPr>
          <w:kern w:val="0"/>
        </w:rPr>
        <w:lastRenderedPageBreak/>
        <w:t xml:space="preserve">Orthotopic Liver-Transplantation, Outcome, Outcomes, Patients, Primary, Quality-of-Life, Randomized, Red-Blood-Cell, Research, Reviews, Risk, Risks, Science, Science Citation Index, Science Citation Index Expanded, Search, Sensitivity, Standard, Strategy, Transfusion, Trauma Patients, Treatment, Trial, Trial Sequential-Analysis,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Odgaard-Jensen, J., Vist, G.E., Timmer, A., Kunz, R., Akl, E.A., Schuenemann, H., Briel, M., Nordmann, A.J., Pregno, S.</w:t>
      </w:r>
      <w:r w:rsidR="005853A9">
        <w:rPr>
          <w:kern w:val="0"/>
        </w:rPr>
        <w:t xml:space="preserve"> and </w:t>
      </w:r>
      <w:r>
        <w:rPr>
          <w:kern w:val="0"/>
        </w:rPr>
        <w:t xml:space="preserve">Oxman, A.D. (2011), Randomisation to protect against selection bias in healthcare trials.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MR000012.</w:t>
      </w:r>
    </w:p>
    <w:p w:rsidR="00365DE4" w:rsidRDefault="00365DE4" w:rsidP="00365DE4">
      <w:pPr>
        <w:pStyle w:val="a3"/>
        <w:rPr>
          <w:kern w:val="0"/>
        </w:rPr>
      </w:pPr>
      <w:r>
        <w:t xml:space="preserve">Full Text: </w:t>
      </w:r>
      <w:hyperlink r:id="rId652" w:history="1">
        <w:r>
          <w:rPr>
            <w:rStyle w:val="a5"/>
          </w:rPr>
          <w:t>2011\Coc Dat Sys Rev2011, MR000012.pdf</w:t>
        </w:r>
      </w:hyperlink>
    </w:p>
    <w:p w:rsidR="00365DE4" w:rsidRDefault="00365DE4" w:rsidP="00365DE4">
      <w:pPr>
        <w:pStyle w:val="a3"/>
        <w:rPr>
          <w:kern w:val="0"/>
        </w:rPr>
      </w:pPr>
      <w:r>
        <w:rPr>
          <w:kern w:val="0"/>
        </w:rPr>
        <w:t>Abstract: Background Randomised trials use the play</w:t>
      </w:r>
      <w:r w:rsidR="00427468">
        <w:rPr>
          <w:kern w:val="0"/>
        </w:rPr>
        <w:t xml:space="preserve"> of </w:t>
      </w:r>
      <w:r>
        <w:rPr>
          <w:kern w:val="0"/>
        </w:rPr>
        <w:t>chance to assign participants to comparison groups</w:t>
      </w:r>
      <w:r w:rsidR="00A37C1D">
        <w:rPr>
          <w:kern w:val="0"/>
        </w:rPr>
        <w:t>. The</w:t>
      </w:r>
      <w:r>
        <w:rPr>
          <w:kern w:val="0"/>
        </w:rPr>
        <w:t xml:space="preserve"> unpredictability</w:t>
      </w:r>
      <w:r w:rsidR="00427468">
        <w:rPr>
          <w:kern w:val="0"/>
        </w:rPr>
        <w:t xml:space="preserve"> of </w:t>
      </w:r>
      <w:r>
        <w:rPr>
          <w:kern w:val="0"/>
        </w:rPr>
        <w:t>the process, if not subverted, should prevent systematic differences between comparison groups (selection bias). Differences due to chance will still occur</w:t>
      </w:r>
      <w:r w:rsidR="005853A9">
        <w:rPr>
          <w:kern w:val="0"/>
        </w:rPr>
        <w:t xml:space="preserve"> and </w:t>
      </w:r>
      <w:r>
        <w:rPr>
          <w:kern w:val="0"/>
        </w:rPr>
        <w:t>these are minimised by randomising a sufficiently large number</w:t>
      </w:r>
      <w:r w:rsidR="00427468">
        <w:rPr>
          <w:kern w:val="0"/>
        </w:rPr>
        <w:t xml:space="preserve"> of </w:t>
      </w:r>
      <w:r>
        <w:rPr>
          <w:kern w:val="0"/>
        </w:rPr>
        <w:t>people. Objectives To assess the effects</w:t>
      </w:r>
      <w:r w:rsidR="00427468">
        <w:rPr>
          <w:kern w:val="0"/>
        </w:rPr>
        <w:t xml:space="preserve"> of </w:t>
      </w:r>
      <w:r>
        <w:rPr>
          <w:kern w:val="0"/>
        </w:rPr>
        <w:t>randomisation</w:t>
      </w:r>
      <w:r w:rsidR="005853A9">
        <w:rPr>
          <w:kern w:val="0"/>
        </w:rPr>
        <w:t xml:space="preserve"> and </w:t>
      </w:r>
      <w:r>
        <w:rPr>
          <w:kern w:val="0"/>
        </w:rPr>
        <w:t>concealment</w:t>
      </w:r>
      <w:r w:rsidR="00427468">
        <w:rPr>
          <w:kern w:val="0"/>
        </w:rPr>
        <w:t xml:space="preserve"> of </w:t>
      </w:r>
      <w:r>
        <w:rPr>
          <w:kern w:val="0"/>
        </w:rPr>
        <w:t>allocation on the results</w:t>
      </w:r>
      <w:r w:rsidR="00427468">
        <w:rPr>
          <w:kern w:val="0"/>
        </w:rPr>
        <w:t xml:space="preserve"> of </w:t>
      </w:r>
      <w:r>
        <w:rPr>
          <w:kern w:val="0"/>
        </w:rPr>
        <w:t xml:space="preserve">healthcare studies. Search strategy We searched the Cochrane Methodology Register, </w:t>
      </w:r>
      <w:r w:rsidR="00D5664A">
        <w:rPr>
          <w:kern w:val="0"/>
        </w:rPr>
        <w:t>MEDLINE</w:t>
      </w:r>
      <w:r>
        <w:rPr>
          <w:kern w:val="0"/>
        </w:rPr>
        <w:t>, SciSearch</w:t>
      </w:r>
      <w:r w:rsidR="005853A9">
        <w:rPr>
          <w:kern w:val="0"/>
        </w:rPr>
        <w:t xml:space="preserve"> and </w:t>
      </w:r>
      <w:r>
        <w:rPr>
          <w:kern w:val="0"/>
        </w:rPr>
        <w:t>reference lists up to September 2009. In addition, we screened articles citing included studies (ISI Science Citation Index)</w:t>
      </w:r>
      <w:r w:rsidR="005853A9">
        <w:rPr>
          <w:kern w:val="0"/>
        </w:rPr>
        <w:t xml:space="preserve"> and </w:t>
      </w:r>
      <w:r>
        <w:rPr>
          <w:kern w:val="0"/>
        </w:rPr>
        <w:t>papers related to included studies (PUBMED). Selection criteria Eligible study designs were cohorts</w:t>
      </w:r>
      <w:r w:rsidR="00427468">
        <w:rPr>
          <w:kern w:val="0"/>
        </w:rPr>
        <w:t xml:space="preserve"> of </w:t>
      </w:r>
      <w:r>
        <w:rPr>
          <w:kern w:val="0"/>
        </w:rPr>
        <w:t>studies, systematic reviews or meta-analyses</w:t>
      </w:r>
      <w:r w:rsidR="00427468">
        <w:rPr>
          <w:kern w:val="0"/>
        </w:rPr>
        <w:t xml:space="preserve"> of </w:t>
      </w:r>
      <w:r>
        <w:rPr>
          <w:kern w:val="0"/>
        </w:rPr>
        <w:t>healthcare interventions that compared random allocation versus non-random allocation or adequate versus inadequate/unclear concealment</w:t>
      </w:r>
      <w:r w:rsidR="00427468">
        <w:rPr>
          <w:kern w:val="0"/>
        </w:rPr>
        <w:t xml:space="preserve"> of </w:t>
      </w:r>
      <w:r>
        <w:rPr>
          <w:kern w:val="0"/>
        </w:rPr>
        <w:t>allocation in randomised trials. Outcomes</w:t>
      </w:r>
      <w:r w:rsidR="00427468">
        <w:rPr>
          <w:kern w:val="0"/>
        </w:rPr>
        <w:t xml:space="preserve"> of </w:t>
      </w:r>
      <w:r>
        <w:rPr>
          <w:kern w:val="0"/>
        </w:rPr>
        <w:t>interest were the magnitude</w:t>
      </w:r>
      <w:r w:rsidR="005853A9">
        <w:rPr>
          <w:kern w:val="0"/>
        </w:rPr>
        <w:t xml:space="preserve"> and </w:t>
      </w:r>
      <w:r>
        <w:rPr>
          <w:kern w:val="0"/>
        </w:rPr>
        <w:t>direction</w:t>
      </w:r>
      <w:r w:rsidR="00427468">
        <w:rPr>
          <w:kern w:val="0"/>
        </w:rPr>
        <w:t xml:space="preserve"> of </w:t>
      </w:r>
      <w:r>
        <w:rPr>
          <w:kern w:val="0"/>
        </w:rPr>
        <w:t>estimates</w:t>
      </w:r>
      <w:r w:rsidR="00427468">
        <w:rPr>
          <w:kern w:val="0"/>
        </w:rPr>
        <w:t xml:space="preserve"> of </w:t>
      </w:r>
      <w:r>
        <w:rPr>
          <w:kern w:val="0"/>
        </w:rPr>
        <w:t>effect</w:t>
      </w:r>
      <w:r w:rsidR="005853A9">
        <w:rPr>
          <w:kern w:val="0"/>
        </w:rPr>
        <w:t xml:space="preserve"> and </w:t>
      </w:r>
      <w:r>
        <w:rPr>
          <w:kern w:val="0"/>
        </w:rPr>
        <w:t>imbalances in prognostic factors. Data collection</w:t>
      </w:r>
      <w:r w:rsidR="005853A9">
        <w:rPr>
          <w:kern w:val="0"/>
        </w:rPr>
        <w:t xml:space="preserve"> and </w:t>
      </w:r>
      <w:r>
        <w:rPr>
          <w:kern w:val="0"/>
        </w:rPr>
        <w:t>analysis We retrieved</w:t>
      </w:r>
      <w:r w:rsidR="005853A9">
        <w:rPr>
          <w:kern w:val="0"/>
        </w:rPr>
        <w:t xml:space="preserve"> and </w:t>
      </w:r>
      <w:r>
        <w:rPr>
          <w:kern w:val="0"/>
        </w:rPr>
        <w:t>assessed studies that appeared to meet the inclusion criteria independently. At least two review authors independently appraised methodological quality</w:t>
      </w:r>
      <w:r w:rsidR="005853A9">
        <w:rPr>
          <w:kern w:val="0"/>
        </w:rPr>
        <w:t xml:space="preserve"> and </w:t>
      </w:r>
      <w:r>
        <w:rPr>
          <w:kern w:val="0"/>
        </w:rPr>
        <w:t>extracted information. We prepared tabular summaries</w:t>
      </w:r>
      <w:r w:rsidR="00427468">
        <w:rPr>
          <w:kern w:val="0"/>
        </w:rPr>
        <w:t xml:space="preserve"> of </w:t>
      </w:r>
      <w:r>
        <w:rPr>
          <w:kern w:val="0"/>
        </w:rPr>
        <w:t>the results for each comparison</w:t>
      </w:r>
      <w:r w:rsidR="005853A9">
        <w:rPr>
          <w:kern w:val="0"/>
        </w:rPr>
        <w:t xml:space="preserve"> and </w:t>
      </w:r>
      <w:r>
        <w:rPr>
          <w:kern w:val="0"/>
        </w:rPr>
        <w:t>assessed the results across studies qualitatively to identify common trends or discrepancies. Main results A total</w:t>
      </w:r>
      <w:r w:rsidR="00427468">
        <w:rPr>
          <w:kern w:val="0"/>
        </w:rPr>
        <w:t xml:space="preserve"> of </w:t>
      </w:r>
      <w:r>
        <w:rPr>
          <w:kern w:val="0"/>
        </w:rPr>
        <w:t>18 studies (systematic reviews or meta-analyses) met our inclusion criteria. Ten compared random allocation versus non-random allocation</w:t>
      </w:r>
      <w:r w:rsidR="005853A9">
        <w:rPr>
          <w:kern w:val="0"/>
        </w:rPr>
        <w:t xml:space="preserve"> and </w:t>
      </w:r>
      <w:r>
        <w:rPr>
          <w:kern w:val="0"/>
        </w:rPr>
        <w:t>nine compared adequate versus inadequate or unclear concealment</w:t>
      </w:r>
      <w:r w:rsidR="00427468">
        <w:rPr>
          <w:kern w:val="0"/>
        </w:rPr>
        <w:t xml:space="preserve"> of </w:t>
      </w:r>
      <w:r>
        <w:rPr>
          <w:kern w:val="0"/>
        </w:rPr>
        <w:t>allocation within controlled trials. All studies were at high risk</w:t>
      </w:r>
      <w:r w:rsidR="00427468">
        <w:rPr>
          <w:kern w:val="0"/>
        </w:rPr>
        <w:t xml:space="preserve"> of </w:t>
      </w:r>
      <w:r>
        <w:rPr>
          <w:kern w:val="0"/>
        </w:rPr>
        <w:t>bias. For the comparison</w:t>
      </w:r>
      <w:r w:rsidR="00427468">
        <w:rPr>
          <w:kern w:val="0"/>
        </w:rPr>
        <w:t xml:space="preserve"> of </w:t>
      </w:r>
      <w:r>
        <w:rPr>
          <w:kern w:val="0"/>
        </w:rPr>
        <w:t>randomised versus non-randomised studies, four comparisons yielded inconclusive results (differed between outcomes or different modes</w:t>
      </w:r>
      <w:r w:rsidR="00427468">
        <w:rPr>
          <w:kern w:val="0"/>
        </w:rPr>
        <w:t xml:space="preserve"> of </w:t>
      </w:r>
      <w:r>
        <w:rPr>
          <w:kern w:val="0"/>
        </w:rPr>
        <w:t>analysis); three comparisons showed similar results for random</w:t>
      </w:r>
      <w:r w:rsidR="005853A9">
        <w:rPr>
          <w:kern w:val="0"/>
        </w:rPr>
        <w:t xml:space="preserve"> and </w:t>
      </w:r>
      <w:r>
        <w:rPr>
          <w:kern w:val="0"/>
        </w:rPr>
        <w:t>non-random allocation; two comparisons had larger estimates</w:t>
      </w:r>
      <w:r w:rsidR="00427468">
        <w:rPr>
          <w:kern w:val="0"/>
        </w:rPr>
        <w:t xml:space="preserve"> of </w:t>
      </w:r>
      <w:r>
        <w:rPr>
          <w:kern w:val="0"/>
        </w:rPr>
        <w:t>effect in non-randomised studies than in randomised trials;</w:t>
      </w:r>
      <w:r w:rsidR="005853A9">
        <w:rPr>
          <w:kern w:val="0"/>
        </w:rPr>
        <w:t xml:space="preserve"> and </w:t>
      </w:r>
      <w:r>
        <w:rPr>
          <w:kern w:val="0"/>
        </w:rPr>
        <w:t>two comparisons had larger estimates</w:t>
      </w:r>
      <w:r w:rsidR="00427468">
        <w:rPr>
          <w:kern w:val="0"/>
        </w:rPr>
        <w:t xml:space="preserve"> of </w:t>
      </w:r>
      <w:r>
        <w:rPr>
          <w:kern w:val="0"/>
        </w:rPr>
        <w:t>effect in randomised than in non-randomised studies. Five studies found larger estimates</w:t>
      </w:r>
      <w:r w:rsidR="00427468">
        <w:rPr>
          <w:kern w:val="0"/>
        </w:rPr>
        <w:t xml:space="preserve"> of </w:t>
      </w:r>
      <w:r>
        <w:rPr>
          <w:kern w:val="0"/>
        </w:rPr>
        <w:t xml:space="preserve">effect in trials </w:t>
      </w:r>
      <w:r>
        <w:rPr>
          <w:kern w:val="0"/>
        </w:rPr>
        <w:lastRenderedPageBreak/>
        <w:t>with inadequate concealment</w:t>
      </w:r>
      <w:r w:rsidR="00427468">
        <w:rPr>
          <w:kern w:val="0"/>
        </w:rPr>
        <w:t xml:space="preserve"> of </w:t>
      </w:r>
      <w:r>
        <w:rPr>
          <w:kern w:val="0"/>
        </w:rPr>
        <w:t>allocation than in trials with adequate concealment</w:t>
      </w:r>
      <w:r w:rsidR="00A37C1D">
        <w:rPr>
          <w:kern w:val="0"/>
        </w:rPr>
        <w:t>. The</w:t>
      </w:r>
      <w:r>
        <w:rPr>
          <w:kern w:val="0"/>
        </w:rPr>
        <w:t xml:space="preserve"> four other studies did not find statistically significant differences. Authors</w:t>
      </w:r>
      <w:r w:rsidR="0071223E">
        <w:rPr>
          <w:kern w:val="0"/>
        </w:rPr>
        <w:t>’</w:t>
      </w:r>
      <w:r>
        <w:rPr>
          <w:kern w:val="0"/>
        </w:rPr>
        <w:t xml:space="preserve"> conclusions The results</w:t>
      </w:r>
      <w:r w:rsidR="00427468">
        <w:rPr>
          <w:kern w:val="0"/>
        </w:rPr>
        <w:t xml:space="preserve"> of </w:t>
      </w:r>
      <w:r>
        <w:rPr>
          <w:kern w:val="0"/>
        </w:rPr>
        <w:t>randomised</w:t>
      </w:r>
      <w:r w:rsidR="005853A9">
        <w:rPr>
          <w:kern w:val="0"/>
        </w:rPr>
        <w:t xml:space="preserve"> and </w:t>
      </w:r>
      <w:r>
        <w:rPr>
          <w:kern w:val="0"/>
        </w:rPr>
        <w:t>non-randomised studies sometimes differed. In some instances non-randomised studies yielded larger estimates</w:t>
      </w:r>
      <w:r w:rsidR="00427468">
        <w:rPr>
          <w:kern w:val="0"/>
        </w:rPr>
        <w:t xml:space="preserve"> of </w:t>
      </w:r>
      <w:r>
        <w:rPr>
          <w:kern w:val="0"/>
        </w:rPr>
        <w:t>effect</w:t>
      </w:r>
      <w:r w:rsidR="005853A9">
        <w:rPr>
          <w:kern w:val="0"/>
        </w:rPr>
        <w:t xml:space="preserve"> and </w:t>
      </w:r>
      <w:r>
        <w:rPr>
          <w:kern w:val="0"/>
        </w:rPr>
        <w:t>in other instances randomised trials yielded larger estimates</w:t>
      </w:r>
      <w:r w:rsidR="00427468">
        <w:rPr>
          <w:kern w:val="0"/>
        </w:rPr>
        <w:t xml:space="preserve"> of </w:t>
      </w:r>
      <w:r>
        <w:rPr>
          <w:kern w:val="0"/>
        </w:rPr>
        <w:t>effect</w:t>
      </w:r>
      <w:r w:rsidR="00A37C1D">
        <w:rPr>
          <w:kern w:val="0"/>
        </w:rPr>
        <w:t>. The</w:t>
      </w:r>
      <w:r>
        <w:rPr>
          <w:kern w:val="0"/>
        </w:rPr>
        <w:t xml:space="preserve"> results</w:t>
      </w:r>
      <w:r w:rsidR="00427468">
        <w:rPr>
          <w:kern w:val="0"/>
        </w:rPr>
        <w:t xml:space="preserve"> of </w:t>
      </w:r>
      <w:r>
        <w:rPr>
          <w:kern w:val="0"/>
        </w:rPr>
        <w:t>controlled trials with adequate</w:t>
      </w:r>
      <w:r w:rsidR="005853A9">
        <w:rPr>
          <w:kern w:val="0"/>
        </w:rPr>
        <w:t xml:space="preserve"> and </w:t>
      </w:r>
      <w:r>
        <w:rPr>
          <w:kern w:val="0"/>
        </w:rPr>
        <w:t>inadequate/unclear concealment</w:t>
      </w:r>
      <w:r w:rsidR="00427468">
        <w:rPr>
          <w:kern w:val="0"/>
        </w:rPr>
        <w:t xml:space="preserve"> of </w:t>
      </w:r>
      <w:r>
        <w:rPr>
          <w:kern w:val="0"/>
        </w:rPr>
        <w:t>allocation sometimes differed. When differences occurred, most often trials with inadequate or unclear allocation concealment yielded larger estimates</w:t>
      </w:r>
      <w:r w:rsidR="00427468">
        <w:rPr>
          <w:kern w:val="0"/>
        </w:rPr>
        <w:t xml:space="preserve"> of </w:t>
      </w:r>
      <w:r>
        <w:rPr>
          <w:kern w:val="0"/>
        </w:rPr>
        <w:t>effects relative to controlled trials with adequate allocation concealment. However, it is not generally possible to predict the magnitude, or even the direction,</w:t>
      </w:r>
      <w:r w:rsidR="00427468">
        <w:rPr>
          <w:kern w:val="0"/>
        </w:rPr>
        <w:t xml:space="preserve"> of </w:t>
      </w:r>
      <w:r>
        <w:rPr>
          <w:kern w:val="0"/>
        </w:rPr>
        <w:t>possible selection biases</w:t>
      </w:r>
      <w:r w:rsidR="005853A9">
        <w:rPr>
          <w:kern w:val="0"/>
        </w:rPr>
        <w:t xml:space="preserve"> and </w:t>
      </w:r>
      <w:r>
        <w:rPr>
          <w:kern w:val="0"/>
        </w:rPr>
        <w:t>consequent distortions</w:t>
      </w:r>
      <w:r w:rsidR="00427468">
        <w:rPr>
          <w:kern w:val="0"/>
        </w:rPr>
        <w:t xml:space="preserve"> of </w:t>
      </w:r>
      <w:r>
        <w:rPr>
          <w:kern w:val="0"/>
        </w:rPr>
        <w:t>treatment effects from studies with non-random allocation or controlled trials with inadequate or unclear allocation concealment.</w:t>
      </w:r>
    </w:p>
    <w:p w:rsidR="00365DE4" w:rsidRDefault="00365DE4" w:rsidP="00365DE4">
      <w:pPr>
        <w:pStyle w:val="a3"/>
        <w:rPr>
          <w:kern w:val="0"/>
        </w:rPr>
      </w:pPr>
      <w:r>
        <w:rPr>
          <w:kern w:val="0"/>
        </w:rPr>
        <w:t>Keywords: Acute Myocardial-Infarction, Clinical Trials As Topic [Methods, Clinical-Trials, Controlled Clinical Trials As Topic [Methods, Design Affects Outcomes, Empirical-Evidence, Historical Controls, Low-Back-Pain, Meta-Regression Analysis, Methodological Quality, Placebo-Controlled Trials, Random Allocation, Randomized Controlled Trials As Topic [Methods, Selection Bias, Standards, Statistics &amp; Numerical Data], Stroke Rehabilitation, Treatment Outcome</w:t>
      </w:r>
    </w:p>
    <w:p w:rsidR="00365DE4" w:rsidRDefault="00365DE4" w:rsidP="00365DE4">
      <w:pPr>
        <w:pStyle w:val="a3"/>
        <w:rPr>
          <w:kern w:val="0"/>
        </w:rPr>
      </w:pPr>
      <w:r>
        <w:rPr>
          <w:kern w:val="0"/>
        </w:rPr>
        <w:t>? Shepherd, J.P., Frampton, G.K.</w:t>
      </w:r>
      <w:r w:rsidR="005853A9">
        <w:rPr>
          <w:kern w:val="0"/>
        </w:rPr>
        <w:t xml:space="preserve"> and </w:t>
      </w:r>
      <w:r>
        <w:rPr>
          <w:kern w:val="0"/>
        </w:rPr>
        <w:t xml:space="preserve">Harris, P. (2011), Interventions for encouraging sexual behaviours intended to prevent cervical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CD001035.</w:t>
      </w:r>
    </w:p>
    <w:p w:rsidR="00365DE4" w:rsidRDefault="00365DE4" w:rsidP="00365DE4">
      <w:pPr>
        <w:pStyle w:val="a3"/>
        <w:rPr>
          <w:kern w:val="0"/>
        </w:rPr>
      </w:pPr>
      <w:r>
        <w:t xml:space="preserve">Full Text: </w:t>
      </w:r>
      <w:hyperlink r:id="rId653" w:history="1">
        <w:r>
          <w:rPr>
            <w:rStyle w:val="a5"/>
          </w:rPr>
          <w:t>2011\Coc Dat Sys Rev2011, CD001035.pdf</w:t>
        </w:r>
      </w:hyperlink>
    </w:p>
    <w:p w:rsidR="00365DE4" w:rsidRDefault="00365DE4" w:rsidP="00365DE4">
      <w:pPr>
        <w:pStyle w:val="a3"/>
        <w:rPr>
          <w:kern w:val="0"/>
        </w:rPr>
      </w:pPr>
      <w:r>
        <w:rPr>
          <w:kern w:val="0"/>
        </w:rPr>
        <w:t>Abstract: Background Human papillomavirus (HPV) is the key risk factor for cervical cancer. Continuing high rates</w:t>
      </w:r>
      <w:r w:rsidR="00427468">
        <w:rPr>
          <w:kern w:val="0"/>
        </w:rPr>
        <w:t xml:space="preserve"> of </w:t>
      </w:r>
      <w:r>
        <w:rPr>
          <w:kern w:val="0"/>
        </w:rPr>
        <w:t>HPV</w:t>
      </w:r>
      <w:r w:rsidR="005853A9">
        <w:rPr>
          <w:kern w:val="0"/>
        </w:rPr>
        <w:t xml:space="preserve"> and </w:t>
      </w:r>
      <w:r>
        <w:rPr>
          <w:kern w:val="0"/>
        </w:rPr>
        <w:t>other sexually transmitted infections (STIs) in young people demonstrate the need for effective behavioural interventions. Objectives To assess the effectiveness</w:t>
      </w:r>
      <w:r w:rsidR="00427468">
        <w:rPr>
          <w:kern w:val="0"/>
        </w:rPr>
        <w:t xml:space="preserve"> of </w:t>
      </w:r>
      <w:r>
        <w:rPr>
          <w:kern w:val="0"/>
        </w:rPr>
        <w:t>behavioural interventions for young women to encourage safer sexual behaviours to prevent transmission</w:t>
      </w:r>
      <w:r w:rsidR="00427468">
        <w:rPr>
          <w:kern w:val="0"/>
        </w:rPr>
        <w:t xml:space="preserve"> of </w:t>
      </w:r>
      <w:r>
        <w:rPr>
          <w:kern w:val="0"/>
        </w:rPr>
        <w:t>STIs (including HPV)</w:t>
      </w:r>
      <w:r w:rsidR="005853A9">
        <w:rPr>
          <w:kern w:val="0"/>
        </w:rPr>
        <w:t xml:space="preserve"> and </w:t>
      </w:r>
      <w:r>
        <w:rPr>
          <w:kern w:val="0"/>
        </w:rPr>
        <w:t>cervical cancer. Search strategy Systematic literature searches were performed on the following databases: Cochrane Central Register</w:t>
      </w:r>
      <w:r w:rsidR="00427468">
        <w:rPr>
          <w:kern w:val="0"/>
        </w:rPr>
        <w:t xml:space="preserve"> of </w:t>
      </w:r>
      <w:r>
        <w:rPr>
          <w:kern w:val="0"/>
        </w:rPr>
        <w:t xml:space="preserve">Controlled Trials (CENTRAL Issue 4, 2009) Cochrane Gynaecological Cancer Review Group (CGCRG) Specialised Register, </w:t>
      </w:r>
      <w:r w:rsidR="00D5664A">
        <w:rPr>
          <w:kern w:val="0"/>
        </w:rPr>
        <w:t>MEDLINE</w:t>
      </w:r>
      <w:r>
        <w:rPr>
          <w:kern w:val="0"/>
        </w:rPr>
        <w:t>, EMBASE, CINAHL, PsychINFO, Social Science Citation Index</w:t>
      </w:r>
      <w:r w:rsidR="005853A9">
        <w:rPr>
          <w:kern w:val="0"/>
        </w:rPr>
        <w:t xml:space="preserve"> and </w:t>
      </w:r>
      <w:r>
        <w:rPr>
          <w:kern w:val="0"/>
        </w:rPr>
        <w:t>Trials Register</w:t>
      </w:r>
      <w:r w:rsidR="00427468">
        <w:rPr>
          <w:kern w:val="0"/>
        </w:rPr>
        <w:t xml:space="preserve"> of </w:t>
      </w:r>
      <w:r>
        <w:rPr>
          <w:kern w:val="0"/>
        </w:rPr>
        <w:t>Promoting Health Interventions (TRoPHI) up to the end</w:t>
      </w:r>
      <w:r w:rsidR="00427468">
        <w:rPr>
          <w:kern w:val="0"/>
        </w:rPr>
        <w:t xml:space="preserve"> of </w:t>
      </w:r>
      <w:r>
        <w:rPr>
          <w:kern w:val="0"/>
        </w:rPr>
        <w:t>2009. All references were screened for inclusion against selection criteria. Selection criteria Randomised controlled trials (RCTs)</w:t>
      </w:r>
      <w:r w:rsidR="00427468">
        <w:rPr>
          <w:kern w:val="0"/>
        </w:rPr>
        <w:t xml:space="preserve"> of </w:t>
      </w:r>
      <w:r>
        <w:rPr>
          <w:kern w:val="0"/>
        </w:rPr>
        <w:t>behavioural interventions for young women up to the age</w:t>
      </w:r>
      <w:r w:rsidR="00427468">
        <w:rPr>
          <w:kern w:val="0"/>
        </w:rPr>
        <w:t xml:space="preserve"> of </w:t>
      </w:r>
      <w:r>
        <w:rPr>
          <w:kern w:val="0"/>
        </w:rPr>
        <w:t>25 years that included, amongst other things, information provision about the transmission</w:t>
      </w:r>
      <w:r w:rsidR="005853A9">
        <w:rPr>
          <w:kern w:val="0"/>
        </w:rPr>
        <w:t xml:space="preserve"> and </w:t>
      </w:r>
      <w:r>
        <w:rPr>
          <w:kern w:val="0"/>
        </w:rPr>
        <w:t>prevention</w:t>
      </w:r>
      <w:r w:rsidR="00427468">
        <w:rPr>
          <w:kern w:val="0"/>
        </w:rPr>
        <w:t xml:space="preserve"> of </w:t>
      </w:r>
      <w:r>
        <w:rPr>
          <w:kern w:val="0"/>
        </w:rPr>
        <w:t>STIs. Trials had to measure behavioural outcomes (e. g. condom use) and/or biological outcomes (e. g. incidence</w:t>
      </w:r>
      <w:r w:rsidR="00427468">
        <w:rPr>
          <w:kern w:val="0"/>
        </w:rPr>
        <w:t xml:space="preserve"> of </w:t>
      </w:r>
      <w:r>
        <w:rPr>
          <w:kern w:val="0"/>
        </w:rPr>
        <w:t>STIs, cervical cancer). Data collection</w:t>
      </w:r>
      <w:r w:rsidR="005853A9">
        <w:rPr>
          <w:kern w:val="0"/>
        </w:rPr>
        <w:t xml:space="preserve"> and </w:t>
      </w:r>
      <w:r>
        <w:rPr>
          <w:kern w:val="0"/>
        </w:rPr>
        <w:lastRenderedPageBreak/>
        <w:t>analysis A narrative synthesis was conducted. Meta-analysis was not considered appropriate due to heterogeneity between the interventions</w:t>
      </w:r>
      <w:r w:rsidR="005853A9">
        <w:rPr>
          <w:kern w:val="0"/>
        </w:rPr>
        <w:t xml:space="preserve"> and </w:t>
      </w:r>
      <w:r>
        <w:rPr>
          <w:kern w:val="0"/>
        </w:rPr>
        <w:t>trial populations. Main results A total</w:t>
      </w:r>
      <w:r w:rsidR="00427468">
        <w:rPr>
          <w:kern w:val="0"/>
        </w:rPr>
        <w:t xml:space="preserve"> of </w:t>
      </w:r>
      <w:r>
        <w:rPr>
          <w:kern w:val="0"/>
        </w:rPr>
        <w:t>5271 references were screened</w:t>
      </w:r>
      <w:r w:rsidR="005853A9">
        <w:rPr>
          <w:kern w:val="0"/>
        </w:rPr>
        <w:t xml:space="preserve"> and</w:t>
      </w:r>
      <w:r w:rsidR="00427468">
        <w:rPr>
          <w:kern w:val="0"/>
        </w:rPr>
        <w:t xml:space="preserve"> of </w:t>
      </w:r>
      <w:r>
        <w:rPr>
          <w:kern w:val="0"/>
        </w:rPr>
        <w:t xml:space="preserve">these 23 RCTs met the inclusion criteria. Most were conducted in the </w:t>
      </w:r>
      <w:r w:rsidR="00D5664A">
        <w:rPr>
          <w:kern w:val="0"/>
        </w:rPr>
        <w:t>USA</w:t>
      </w:r>
      <w:r w:rsidR="005853A9">
        <w:rPr>
          <w:kern w:val="0"/>
        </w:rPr>
        <w:t xml:space="preserve"> and </w:t>
      </w:r>
      <w:r>
        <w:rPr>
          <w:kern w:val="0"/>
        </w:rPr>
        <w:t>in health-care clinics (e. g. family planning)</w:t>
      </w:r>
      <w:r w:rsidR="00A37C1D">
        <w:rPr>
          <w:kern w:val="0"/>
        </w:rPr>
        <w:t>. The</w:t>
      </w:r>
      <w:r>
        <w:rPr>
          <w:kern w:val="0"/>
        </w:rPr>
        <w:t xml:space="preserve"> majority</w:t>
      </w:r>
      <w:r w:rsidR="00427468">
        <w:rPr>
          <w:kern w:val="0"/>
        </w:rPr>
        <w:t xml:space="preserve"> of </w:t>
      </w:r>
      <w:r>
        <w:rPr>
          <w:kern w:val="0"/>
        </w:rPr>
        <w:t>interventions provided information about STIs</w:t>
      </w:r>
      <w:r w:rsidR="005853A9">
        <w:rPr>
          <w:kern w:val="0"/>
        </w:rPr>
        <w:t xml:space="preserve"> and </w:t>
      </w:r>
      <w:r>
        <w:rPr>
          <w:kern w:val="0"/>
        </w:rPr>
        <w:t>taught safer sex skills (e. g. communication), occasionally supplemented with provision</w:t>
      </w:r>
      <w:r w:rsidR="00427468">
        <w:rPr>
          <w:kern w:val="0"/>
        </w:rPr>
        <w:t xml:space="preserve"> of </w:t>
      </w:r>
      <w:r>
        <w:rPr>
          <w:kern w:val="0"/>
        </w:rPr>
        <w:t>resources (e. g. free sexual health services)</w:t>
      </w:r>
      <w:r w:rsidR="00A37C1D">
        <w:rPr>
          <w:kern w:val="0"/>
        </w:rPr>
        <w:t>. The</w:t>
      </w:r>
      <w:r>
        <w:rPr>
          <w:kern w:val="0"/>
        </w:rPr>
        <w:t>y were heterogeneous in duration, contact time, provider, behavioural aims</w:t>
      </w:r>
      <w:r w:rsidR="005853A9">
        <w:rPr>
          <w:kern w:val="0"/>
        </w:rPr>
        <w:t xml:space="preserve"> and </w:t>
      </w:r>
      <w:r>
        <w:rPr>
          <w:kern w:val="0"/>
        </w:rPr>
        <w:t>outcomes. A variety</w:t>
      </w:r>
      <w:r w:rsidR="00427468">
        <w:rPr>
          <w:kern w:val="0"/>
        </w:rPr>
        <w:t xml:space="preserve"> of </w:t>
      </w:r>
      <w:r>
        <w:rPr>
          <w:kern w:val="0"/>
        </w:rPr>
        <w:t>STIs were addressed including HIV</w:t>
      </w:r>
      <w:r w:rsidR="005853A9">
        <w:rPr>
          <w:kern w:val="0"/>
        </w:rPr>
        <w:t xml:space="preserve"> and </w:t>
      </w:r>
      <w:r>
        <w:rPr>
          <w:kern w:val="0"/>
        </w:rPr>
        <w:t>chlamydia. None</w:t>
      </w:r>
      <w:r w:rsidR="00427468">
        <w:rPr>
          <w:kern w:val="0"/>
        </w:rPr>
        <w:t xml:space="preserve"> of </w:t>
      </w:r>
      <w:r>
        <w:rPr>
          <w:kern w:val="0"/>
        </w:rPr>
        <w:t>the trials explicitly mentioned HPV or cervical cancer prevention. Statistically significant effects for behavioural outcomes (e. g. increasing condom use) were common, though not universal</w:t>
      </w:r>
      <w:r w:rsidR="005853A9">
        <w:rPr>
          <w:kern w:val="0"/>
        </w:rPr>
        <w:t xml:space="preserve"> and </w:t>
      </w:r>
      <w:r>
        <w:rPr>
          <w:kern w:val="0"/>
        </w:rPr>
        <w:t>varied according to the type</w:t>
      </w:r>
      <w:r w:rsidR="00427468">
        <w:rPr>
          <w:kern w:val="0"/>
        </w:rPr>
        <w:t xml:space="preserve"> of </w:t>
      </w:r>
      <w:r>
        <w:rPr>
          <w:kern w:val="0"/>
        </w:rPr>
        <w:t>outcome</w:t>
      </w:r>
      <w:r w:rsidR="00A37C1D">
        <w:rPr>
          <w:kern w:val="0"/>
        </w:rPr>
        <w:t>. The</w:t>
      </w:r>
      <w:r>
        <w:rPr>
          <w:kern w:val="0"/>
        </w:rPr>
        <w:t>re were no statistically significant effects</w:t>
      </w:r>
      <w:r w:rsidR="00427468">
        <w:rPr>
          <w:kern w:val="0"/>
        </w:rPr>
        <w:t xml:space="preserve"> of </w:t>
      </w:r>
      <w:r>
        <w:rPr>
          <w:kern w:val="0"/>
        </w:rPr>
        <w:t>abstaining from or reducing sexual activity</w:t>
      </w:r>
      <w:r w:rsidR="00A37C1D">
        <w:rPr>
          <w:kern w:val="0"/>
        </w:rPr>
        <w:t>. The</w:t>
      </w:r>
      <w:r>
        <w:rPr>
          <w:kern w:val="0"/>
        </w:rPr>
        <w:t>re were few statistically significant effects on biological (STI) outcomes. Considerable uncertainty exists in the risk</w:t>
      </w:r>
      <w:r w:rsidR="00427468">
        <w:rPr>
          <w:kern w:val="0"/>
        </w:rPr>
        <w:t xml:space="preserve"> of </w:t>
      </w:r>
      <w:r>
        <w:rPr>
          <w:kern w:val="0"/>
        </w:rPr>
        <w:t>bias due to incomplete or ambiguous reporting. Authors</w:t>
      </w:r>
      <w:r w:rsidR="0071223E">
        <w:rPr>
          <w:kern w:val="0"/>
        </w:rPr>
        <w:t>’</w:t>
      </w:r>
      <w:r>
        <w:rPr>
          <w:kern w:val="0"/>
        </w:rPr>
        <w:t xml:space="preserve"> conclusions Behavioural interventions for young women which aim to promote sexual behaviours protective</w:t>
      </w:r>
      <w:r w:rsidR="00427468">
        <w:rPr>
          <w:kern w:val="0"/>
        </w:rPr>
        <w:t xml:space="preserve"> of </w:t>
      </w:r>
      <w:r>
        <w:rPr>
          <w:kern w:val="0"/>
        </w:rPr>
        <w:t>STI transmission can be effective, primarily at encouraging condom use. Future evaluations should include a greater focus on HPV</w:t>
      </w:r>
      <w:r w:rsidR="005853A9">
        <w:rPr>
          <w:kern w:val="0"/>
        </w:rPr>
        <w:t xml:space="preserve"> and </w:t>
      </w:r>
      <w:r>
        <w:rPr>
          <w:kern w:val="0"/>
        </w:rPr>
        <w:t>its link to cervical cancer, with long-term follow-up to assess impact on behaviour change, rates</w:t>
      </w:r>
      <w:r w:rsidR="00427468">
        <w:rPr>
          <w:kern w:val="0"/>
        </w:rPr>
        <w:t xml:space="preserve"> of </w:t>
      </w:r>
      <w:r>
        <w:rPr>
          <w:kern w:val="0"/>
        </w:rPr>
        <w:t>HPV infection</w:t>
      </w:r>
      <w:r w:rsidR="005853A9">
        <w:rPr>
          <w:kern w:val="0"/>
        </w:rPr>
        <w:t xml:space="preserve"> and </w:t>
      </w:r>
      <w:r>
        <w:rPr>
          <w:kern w:val="0"/>
        </w:rPr>
        <w:t>progression to cervical cancer. Studies should use an RCT design where possible with integral process evaluation</w:t>
      </w:r>
      <w:r w:rsidR="005853A9">
        <w:rPr>
          <w:kern w:val="0"/>
        </w:rPr>
        <w:t xml:space="preserve"> and </w:t>
      </w:r>
      <w:r>
        <w:rPr>
          <w:kern w:val="0"/>
        </w:rPr>
        <w:t>cost-effectiveness analysis where appropriate. Given the predominance</w:t>
      </w:r>
      <w:r w:rsidR="00427468">
        <w:rPr>
          <w:kern w:val="0"/>
        </w:rPr>
        <w:t xml:space="preserve"> of </w:t>
      </w:r>
      <w:r w:rsidR="00D5664A">
        <w:rPr>
          <w:kern w:val="0"/>
        </w:rPr>
        <w:t>USA</w:t>
      </w:r>
      <w:r>
        <w:rPr>
          <w:kern w:val="0"/>
        </w:rPr>
        <w:t xml:space="preserve"> studies in this systematic review evaluations conducted in other countries would be particularly useful.</w:t>
      </w:r>
    </w:p>
    <w:p w:rsidR="00365DE4" w:rsidRDefault="00365DE4" w:rsidP="00365DE4">
      <w:pPr>
        <w:pStyle w:val="a3"/>
        <w:rPr>
          <w:kern w:val="0"/>
        </w:rPr>
      </w:pPr>
      <w:r>
        <w:rPr>
          <w:kern w:val="0"/>
        </w:rPr>
        <w:t>Keywords: African-American Women, Female, Female-Condom Use, Hiv-Risk-Reduction, Human-Immunodeficiency-Virus, Human-Papillomavirus Infection, Humans, Impoverished Minority Women, Inner-City Women, Peer Education-Program, Randomized-Controlled-Trial, Sexual Behavior, Transmitted-Disease Prevention, Uterine Cervical Neoplasms [Prevention &amp; Control]</w:t>
      </w:r>
    </w:p>
    <w:p w:rsidR="00365DE4" w:rsidRDefault="00365DE4" w:rsidP="00365DE4">
      <w:pPr>
        <w:pStyle w:val="a3"/>
        <w:rPr>
          <w:kern w:val="0"/>
        </w:rPr>
      </w:pPr>
      <w:r>
        <w:rPr>
          <w:kern w:val="0"/>
        </w:rPr>
        <w:t>? Buckley, N.A., Juurlink, D.N., Isbister, G., Bennett, M.H.</w:t>
      </w:r>
      <w:r w:rsidR="005853A9">
        <w:rPr>
          <w:kern w:val="0"/>
        </w:rPr>
        <w:t xml:space="preserve"> and </w:t>
      </w:r>
      <w:r>
        <w:rPr>
          <w:kern w:val="0"/>
        </w:rPr>
        <w:t xml:space="preserve">Lavonas, E.J. (2011), Hyperbaric oxygen for carbon monoxide poisoning.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CD002041.</w:t>
      </w:r>
    </w:p>
    <w:p w:rsidR="00365DE4" w:rsidRDefault="00365DE4" w:rsidP="00365DE4">
      <w:pPr>
        <w:pStyle w:val="a3"/>
        <w:rPr>
          <w:kern w:val="0"/>
        </w:rPr>
      </w:pPr>
      <w:r>
        <w:t xml:space="preserve">Full Text: </w:t>
      </w:r>
      <w:hyperlink r:id="rId654" w:history="1">
        <w:r>
          <w:rPr>
            <w:rStyle w:val="a5"/>
          </w:rPr>
          <w:t>2011\Coc Dat Sys Rev2011, CD002041.pdf</w:t>
        </w:r>
      </w:hyperlink>
    </w:p>
    <w:p w:rsidR="00365DE4" w:rsidRDefault="00365DE4" w:rsidP="00365DE4">
      <w:pPr>
        <w:pStyle w:val="a3"/>
        <w:rPr>
          <w:kern w:val="0"/>
        </w:rPr>
      </w:pPr>
      <w:r>
        <w:rPr>
          <w:kern w:val="0"/>
        </w:rPr>
        <w:t>Abstract: Background Poisoning with carbon monoxide (CO) remains an important cause</w:t>
      </w:r>
      <w:r w:rsidR="00427468">
        <w:rPr>
          <w:kern w:val="0"/>
        </w:rPr>
        <w:t xml:space="preserve"> of </w:t>
      </w:r>
      <w:r>
        <w:rPr>
          <w:kern w:val="0"/>
        </w:rPr>
        <w:t>accidental</w:t>
      </w:r>
      <w:r w:rsidR="005853A9">
        <w:rPr>
          <w:kern w:val="0"/>
        </w:rPr>
        <w:t xml:space="preserve"> and </w:t>
      </w:r>
      <w:r>
        <w:rPr>
          <w:kern w:val="0"/>
        </w:rPr>
        <w:t>intentional injury worldwide. Several unblinded non-randomized trials have suggested that the use</w:t>
      </w:r>
      <w:r w:rsidR="00427468">
        <w:rPr>
          <w:kern w:val="0"/>
        </w:rPr>
        <w:t xml:space="preserve"> of </w:t>
      </w:r>
      <w:r>
        <w:rPr>
          <w:kern w:val="0"/>
        </w:rPr>
        <w:t>hyperbaric oxygen (HBO) prevents the development</w:t>
      </w:r>
      <w:r w:rsidR="00427468">
        <w:rPr>
          <w:kern w:val="0"/>
        </w:rPr>
        <w:t xml:space="preserve"> of </w:t>
      </w:r>
      <w:r>
        <w:rPr>
          <w:kern w:val="0"/>
        </w:rPr>
        <w:t>neurological sequelae. This has led to the widespread use</w:t>
      </w:r>
      <w:r w:rsidR="00427468">
        <w:rPr>
          <w:kern w:val="0"/>
        </w:rPr>
        <w:t xml:space="preserve"> of </w:t>
      </w:r>
      <w:r>
        <w:rPr>
          <w:kern w:val="0"/>
        </w:rPr>
        <w:t>HBO in the management</w:t>
      </w:r>
      <w:r w:rsidR="00427468">
        <w:rPr>
          <w:kern w:val="0"/>
        </w:rPr>
        <w:t xml:space="preserve"> of </w:t>
      </w:r>
      <w:r>
        <w:rPr>
          <w:kern w:val="0"/>
        </w:rPr>
        <w:t xml:space="preserve">patients with carbon monoxide poisoning. </w:t>
      </w:r>
      <w:r>
        <w:rPr>
          <w:kern w:val="0"/>
        </w:rPr>
        <w:lastRenderedPageBreak/>
        <w:t>Objectives To examine randomised trials</w:t>
      </w:r>
      <w:r w:rsidR="00427468">
        <w:rPr>
          <w:kern w:val="0"/>
        </w:rPr>
        <w:t xml:space="preserve"> of </w:t>
      </w:r>
      <w:r>
        <w:rPr>
          <w:kern w:val="0"/>
        </w:rPr>
        <w:t>the efficacy</w:t>
      </w:r>
      <w:r w:rsidR="00427468">
        <w:rPr>
          <w:kern w:val="0"/>
        </w:rPr>
        <w:t xml:space="preserve"> of </w:t>
      </w:r>
      <w:r>
        <w:rPr>
          <w:kern w:val="0"/>
        </w:rPr>
        <w:t>hyperbaric oxygen (HBO) compared to normobaric oxygen (NBO) for the prevention</w:t>
      </w:r>
      <w:r w:rsidR="00427468">
        <w:rPr>
          <w:kern w:val="0"/>
        </w:rPr>
        <w:t xml:space="preserve"> of </w:t>
      </w:r>
      <w:r>
        <w:rPr>
          <w:kern w:val="0"/>
        </w:rPr>
        <w:t>neurologic sequelae in patients with acute carbon monoxide poisoning. Search strategy We searched the following electronic databases; Cochrane Injuries Group Specialised Register (searched June 2010), Cochrane Central Register</w:t>
      </w:r>
      <w:r w:rsidR="00427468">
        <w:rPr>
          <w:kern w:val="0"/>
        </w:rPr>
        <w:t xml:space="preserve"> of </w:t>
      </w:r>
      <w:r>
        <w:rPr>
          <w:kern w:val="0"/>
        </w:rPr>
        <w:t xml:space="preserve">Controlled Trials (The Cochrane Library 2010, Issue 2), </w:t>
      </w:r>
      <w:r w:rsidR="00D5664A">
        <w:rPr>
          <w:kern w:val="0"/>
        </w:rPr>
        <w:t>MEDLINE</w:t>
      </w:r>
      <w:r>
        <w:rPr>
          <w:kern w:val="0"/>
        </w:rPr>
        <w:t xml:space="preserve"> (Ovid SP) 1950 to June 2010, EMBASE (Ovid SP) 1980 to June 2010,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June 2010, ISI </w:t>
      </w:r>
      <w:r w:rsidR="00D5664A">
        <w:rPr>
          <w:kern w:val="0"/>
        </w:rPr>
        <w:t>Web</w:t>
      </w:r>
      <w:r w:rsidR="00427468">
        <w:rPr>
          <w:kern w:val="0"/>
        </w:rPr>
        <w:t xml:space="preserve"> of </w:t>
      </w:r>
      <w:r w:rsidR="00D5664A">
        <w:rPr>
          <w:kern w:val="0"/>
        </w:rPr>
        <w:t>Science</w:t>
      </w:r>
      <w:r>
        <w:rPr>
          <w:kern w:val="0"/>
        </w:rPr>
        <w:t>: Conference Proceedings Citation Index-Science (CPCI-S) 1990 to June 2010. Selection criteria All randomised controlled trials</w:t>
      </w:r>
      <w:r w:rsidR="00427468">
        <w:rPr>
          <w:kern w:val="0"/>
        </w:rPr>
        <w:t xml:space="preserve"> of </w:t>
      </w:r>
      <w:r>
        <w:rPr>
          <w:kern w:val="0"/>
        </w:rPr>
        <w:t>HBO compared to NBO, involving non-pregnant adults who are acutely poisoned with carbon monoxide (regardless</w:t>
      </w:r>
      <w:r w:rsidR="00427468">
        <w:rPr>
          <w:kern w:val="0"/>
        </w:rPr>
        <w:t xml:space="preserve"> of </w:t>
      </w:r>
      <w:r>
        <w:rPr>
          <w:kern w:val="0"/>
        </w:rPr>
        <w:t>severity). Data collection</w:t>
      </w:r>
      <w:r w:rsidR="005853A9">
        <w:rPr>
          <w:kern w:val="0"/>
        </w:rPr>
        <w:t xml:space="preserve"> and </w:t>
      </w:r>
      <w:r>
        <w:rPr>
          <w:kern w:val="0"/>
        </w:rPr>
        <w:t>analysis Two authors independently extracted from each trial information on: the number</w:t>
      </w:r>
      <w:r w:rsidR="00427468">
        <w:rPr>
          <w:kern w:val="0"/>
        </w:rPr>
        <w:t xml:space="preserve"> of </w:t>
      </w:r>
      <w:r>
        <w:rPr>
          <w:kern w:val="0"/>
        </w:rPr>
        <w:t>randomised patients, types</w:t>
      </w:r>
      <w:r w:rsidR="00427468">
        <w:rPr>
          <w:kern w:val="0"/>
        </w:rPr>
        <w:t xml:space="preserve"> of </w:t>
      </w:r>
      <w:r>
        <w:rPr>
          <w:kern w:val="0"/>
        </w:rPr>
        <w:t>participants, the dose</w:t>
      </w:r>
      <w:r w:rsidR="005853A9">
        <w:rPr>
          <w:kern w:val="0"/>
        </w:rPr>
        <w:t xml:space="preserve"> and </w:t>
      </w:r>
      <w:r>
        <w:rPr>
          <w:kern w:val="0"/>
        </w:rPr>
        <w:t>duration</w:t>
      </w:r>
      <w:r w:rsidR="00427468">
        <w:rPr>
          <w:kern w:val="0"/>
        </w:rPr>
        <w:t xml:space="preserve"> of </w:t>
      </w:r>
      <w:r>
        <w:rPr>
          <w:kern w:val="0"/>
        </w:rPr>
        <w:t>the intervention,</w:t>
      </w:r>
      <w:r w:rsidR="005853A9">
        <w:rPr>
          <w:kern w:val="0"/>
        </w:rPr>
        <w:t xml:space="preserve"> and </w:t>
      </w:r>
      <w:r>
        <w:rPr>
          <w:kern w:val="0"/>
        </w:rPr>
        <w:t>the prevalence</w:t>
      </w:r>
      <w:r w:rsidR="00427468">
        <w:rPr>
          <w:kern w:val="0"/>
        </w:rPr>
        <w:t xml:space="preserve"> of </w:t>
      </w:r>
      <w:r>
        <w:rPr>
          <w:kern w:val="0"/>
        </w:rPr>
        <w:t>neurologic symptoms at follow-up. Main results Seven randomised controlled trials</w:t>
      </w:r>
      <w:r w:rsidR="00427468">
        <w:rPr>
          <w:kern w:val="0"/>
        </w:rPr>
        <w:t xml:space="preserve"> of </w:t>
      </w:r>
      <w:r>
        <w:rPr>
          <w:kern w:val="0"/>
        </w:rPr>
        <w:t>varying quality were identified; one was excluded because it did not evaluate clinical outcomes.</w:t>
      </w:r>
      <w:r w:rsidR="00427468">
        <w:rPr>
          <w:kern w:val="0"/>
        </w:rPr>
        <w:t xml:space="preserve"> of </w:t>
      </w:r>
      <w:r>
        <w:rPr>
          <w:kern w:val="0"/>
        </w:rPr>
        <w:t>the six remaining trials involving 1361 participants, two found a beneficial effect</w:t>
      </w:r>
      <w:r w:rsidR="00427468">
        <w:rPr>
          <w:kern w:val="0"/>
        </w:rPr>
        <w:t xml:space="preserve"> of </w:t>
      </w:r>
      <w:r>
        <w:rPr>
          <w:kern w:val="0"/>
        </w:rPr>
        <w:t>HBO for the reduction</w:t>
      </w:r>
      <w:r w:rsidR="00427468">
        <w:rPr>
          <w:kern w:val="0"/>
        </w:rPr>
        <w:t xml:space="preserve"> of </w:t>
      </w:r>
      <w:r>
        <w:rPr>
          <w:kern w:val="0"/>
        </w:rPr>
        <w:t>neurologic sequelae at one month, while four others did not. One</w:t>
      </w:r>
      <w:r w:rsidR="00427468">
        <w:rPr>
          <w:kern w:val="0"/>
        </w:rPr>
        <w:t xml:space="preserve"> of </w:t>
      </w:r>
      <w:r>
        <w:rPr>
          <w:kern w:val="0"/>
        </w:rPr>
        <w:t>these is an incomplete publication (an abstract</w:t>
      </w:r>
      <w:r w:rsidR="00427468">
        <w:rPr>
          <w:kern w:val="0"/>
        </w:rPr>
        <w:t xml:space="preserve"> of </w:t>
      </w:r>
      <w:r>
        <w:rPr>
          <w:kern w:val="0"/>
        </w:rPr>
        <w:t>an interim analysis). Although pooled random effects meta-analysis does not suggest a significant benefit from HBOT (OR for neurological deficits 0.78, 95% CI 0.54 to 1.12), significant methodologic</w:t>
      </w:r>
      <w:r w:rsidR="005853A9">
        <w:rPr>
          <w:kern w:val="0"/>
        </w:rPr>
        <w:t xml:space="preserve"> and </w:t>
      </w:r>
      <w:r>
        <w:rPr>
          <w:kern w:val="0"/>
        </w:rPr>
        <w:t>statistical heterogeneity was apparent among the trials,</w:t>
      </w:r>
      <w:r w:rsidR="005853A9">
        <w:rPr>
          <w:kern w:val="0"/>
        </w:rPr>
        <w:t xml:space="preserve"> and </w:t>
      </w:r>
      <w:r>
        <w:rPr>
          <w:kern w:val="0"/>
        </w:rPr>
        <w:t>this result should be interpreted cautiously. Moreover, design or analysis flaws were evident in all trials. Importantly, the conclusions</w:t>
      </w:r>
      <w:r w:rsidR="00427468">
        <w:rPr>
          <w:kern w:val="0"/>
        </w:rPr>
        <w:t xml:space="preserve"> of </w:t>
      </w:r>
      <w:r>
        <w:rPr>
          <w:kern w:val="0"/>
        </w:rPr>
        <w:t>one positive trial may have been influenced by failure to adjust for multiple hypothesis testing, while interpretation</w:t>
      </w:r>
      <w:r w:rsidR="00427468">
        <w:rPr>
          <w:kern w:val="0"/>
        </w:rPr>
        <w:t xml:space="preserve"> of </w:t>
      </w:r>
      <w:r>
        <w:rPr>
          <w:kern w:val="0"/>
        </w:rPr>
        <w:t>the other positive trial is hampered by a high risk</w:t>
      </w:r>
      <w:r w:rsidR="00427468">
        <w:rPr>
          <w:kern w:val="0"/>
        </w:rPr>
        <w:t xml:space="preserve"> of </w:t>
      </w:r>
      <w:r>
        <w:rPr>
          <w:kern w:val="0"/>
        </w:rPr>
        <w:t xml:space="preserve">bias introduced during the analysis including an apparent change in the primary outcome. Both were also stopped early </w:t>
      </w:r>
      <w:r w:rsidR="0071223E">
        <w:rPr>
          <w:kern w:val="0"/>
        </w:rPr>
        <w:t>‘</w:t>
      </w:r>
      <w:r>
        <w:rPr>
          <w:kern w:val="0"/>
        </w:rPr>
        <w:t>for benefit</w:t>
      </w:r>
      <w:r w:rsidR="0071223E">
        <w:rPr>
          <w:kern w:val="0"/>
        </w:rPr>
        <w:t>’</w:t>
      </w:r>
      <w:r>
        <w:rPr>
          <w:kern w:val="0"/>
        </w:rPr>
        <w:t>, which is likely to have inflated the observed effect. In contrast three negative trials had low power to detect a benefit</w:t>
      </w:r>
      <w:r w:rsidR="00427468">
        <w:rPr>
          <w:kern w:val="0"/>
        </w:rPr>
        <w:t xml:space="preserve"> of </w:t>
      </w:r>
      <w:r>
        <w:rPr>
          <w:kern w:val="0"/>
        </w:rPr>
        <w:t>HBO due to exclusion</w:t>
      </w:r>
      <w:r w:rsidR="00427468">
        <w:rPr>
          <w:kern w:val="0"/>
        </w:rPr>
        <w:t xml:space="preserve"> of </w:t>
      </w:r>
      <w:r>
        <w:rPr>
          <w:kern w:val="0"/>
        </w:rPr>
        <w:t>severely poisoned patients in two</w:t>
      </w:r>
      <w:r w:rsidR="005853A9">
        <w:rPr>
          <w:kern w:val="0"/>
        </w:rPr>
        <w:t xml:space="preserve"> and </w:t>
      </w:r>
      <w:r>
        <w:rPr>
          <w:kern w:val="0"/>
        </w:rPr>
        <w:t>very poor follow-up in the other. One trial that was said to be finished around eight years ago has not reported the final analysis in any forum. Authors</w:t>
      </w:r>
      <w:r w:rsidR="0071223E">
        <w:rPr>
          <w:kern w:val="0"/>
        </w:rPr>
        <w:t>’</w:t>
      </w:r>
      <w:r>
        <w:rPr>
          <w:kern w:val="0"/>
        </w:rPr>
        <w:t xml:space="preserve"> conclusions Existing randomised trials do not establish whether the administration</w:t>
      </w:r>
      <w:r w:rsidR="00427468">
        <w:rPr>
          <w:kern w:val="0"/>
        </w:rPr>
        <w:t xml:space="preserve"> of </w:t>
      </w:r>
      <w:r>
        <w:rPr>
          <w:kern w:val="0"/>
        </w:rPr>
        <w:t>HBO to patients with carbon monoxide poisoning reduces the incidence</w:t>
      </w:r>
      <w:r w:rsidR="00427468">
        <w:rPr>
          <w:kern w:val="0"/>
        </w:rPr>
        <w:t xml:space="preserve"> of </w:t>
      </w:r>
      <w:r>
        <w:rPr>
          <w:kern w:val="0"/>
        </w:rPr>
        <w:t>adverse neurologic outcomes. Additional research is needed to better define the role, if any,</w:t>
      </w:r>
      <w:r w:rsidR="00427468">
        <w:rPr>
          <w:kern w:val="0"/>
        </w:rPr>
        <w:t xml:space="preserve"> of </w:t>
      </w:r>
      <w:r>
        <w:rPr>
          <w:kern w:val="0"/>
        </w:rPr>
        <w:t>HBO in the treatment</w:t>
      </w:r>
      <w:r w:rsidR="00427468">
        <w:rPr>
          <w:kern w:val="0"/>
        </w:rPr>
        <w:t xml:space="preserve"> of </w:t>
      </w:r>
      <w:r>
        <w:rPr>
          <w:kern w:val="0"/>
        </w:rPr>
        <w:t>patients with carbon monoxide poisoning. This research question is ideally suited to a multi-center randomised controlled trial.</w:t>
      </w:r>
    </w:p>
    <w:p w:rsidR="00365DE4" w:rsidRDefault="00365DE4" w:rsidP="00365DE4">
      <w:pPr>
        <w:pStyle w:val="a3"/>
        <w:rPr>
          <w:kern w:val="0"/>
        </w:rPr>
      </w:pPr>
      <w:r>
        <w:rPr>
          <w:kern w:val="0"/>
        </w:rPr>
        <w:t xml:space="preserve">Keywords: Carbon Monoxide Poisoning [Therapy], Cardiopulmonary-Resuscitation, Clinical-Trial, Emergency Cardiovascular Care, Humans, Hyperbaric Oxygenation, </w:t>
      </w:r>
      <w:r>
        <w:rPr>
          <w:kern w:val="0"/>
        </w:rPr>
        <w:lastRenderedPageBreak/>
        <w:t>Issues, Normobaric Oxygen, Oxygen Inhalation Therapy, Randomized Controlled Trials As Topic, Sequelae, Therapy</w:t>
      </w:r>
    </w:p>
    <w:p w:rsidR="00365DE4" w:rsidRDefault="00365DE4" w:rsidP="00365DE4">
      <w:pPr>
        <w:pStyle w:val="a3"/>
        <w:rPr>
          <w:kern w:val="0"/>
        </w:rPr>
      </w:pPr>
      <w:r>
        <w:rPr>
          <w:kern w:val="0"/>
        </w:rPr>
        <w:t>? Baker, P.R.A., Francis, D.P., Soares, J., Weightman, A.L.</w:t>
      </w:r>
      <w:r w:rsidR="005853A9">
        <w:rPr>
          <w:kern w:val="0"/>
        </w:rPr>
        <w:t xml:space="preserve"> and </w:t>
      </w:r>
      <w:r>
        <w:rPr>
          <w:kern w:val="0"/>
        </w:rPr>
        <w:t xml:space="preserve">Foster, C. (2011), Community wide interventions for increasing physical activity.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CD008366.</w:t>
      </w:r>
    </w:p>
    <w:p w:rsidR="00365DE4" w:rsidRDefault="00365DE4" w:rsidP="00365DE4">
      <w:pPr>
        <w:pStyle w:val="a3"/>
        <w:rPr>
          <w:kern w:val="0"/>
        </w:rPr>
      </w:pPr>
      <w:r>
        <w:t xml:space="preserve">Full Text: </w:t>
      </w:r>
      <w:hyperlink r:id="rId655" w:history="1">
        <w:r>
          <w:rPr>
            <w:rStyle w:val="a5"/>
          </w:rPr>
          <w:t>2011\Coc Dat Sys Rev2011, CD008366.pdf</w:t>
        </w:r>
      </w:hyperlink>
    </w:p>
    <w:p w:rsidR="00365DE4" w:rsidRDefault="00365DE4" w:rsidP="00365DE4">
      <w:pPr>
        <w:pStyle w:val="a3"/>
        <w:rPr>
          <w:kern w:val="0"/>
        </w:rPr>
      </w:pPr>
      <w:r>
        <w:rPr>
          <w:kern w:val="0"/>
        </w:rPr>
        <w:t>Abstract: Background Multi-strategic community wide interventions for physical activity are increasingly popular but their ability to achieve population level improvements is unknown. Objectives To evaluate the effects</w:t>
      </w:r>
      <w:r w:rsidR="00427468">
        <w:rPr>
          <w:kern w:val="0"/>
        </w:rPr>
        <w:t xml:space="preserve"> of </w:t>
      </w:r>
      <w:r>
        <w:rPr>
          <w:kern w:val="0"/>
        </w:rPr>
        <w:t>community wide, multi-strategic interventions upon population levels</w:t>
      </w:r>
      <w:r w:rsidR="00427468">
        <w:rPr>
          <w:kern w:val="0"/>
        </w:rPr>
        <w:t xml:space="preserve"> of </w:t>
      </w:r>
      <w:r>
        <w:rPr>
          <w:kern w:val="0"/>
        </w:rPr>
        <w:t xml:space="preserve">physical activity. Search strategy We searched the Cochrane Public Health Group Specialised Register, The Cochrane Library, </w:t>
      </w:r>
      <w:r w:rsidR="00D5664A">
        <w:rPr>
          <w:kern w:val="0"/>
        </w:rPr>
        <w:t>MEDLINE</w:t>
      </w:r>
      <w:r>
        <w:rPr>
          <w:kern w:val="0"/>
        </w:rPr>
        <w:t xml:space="preserve">, </w:t>
      </w:r>
      <w:r w:rsidR="00D5664A">
        <w:rPr>
          <w:kern w:val="0"/>
        </w:rPr>
        <w:t>MEDLINE</w:t>
      </w:r>
      <w:r>
        <w:rPr>
          <w:kern w:val="0"/>
        </w:rPr>
        <w:t xml:space="preserve"> in Process, EMBASE, CINAHL, LILACS, PsycINFO, ASSIA, The British Nursing Index, Chinese CNKI databases, EPPI Centre (DoPHER, TRoPHI), ERIC, HMIC, Sociological Abstracts, SPORTDiscus, Transport Database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(Science Citation Index, Social Sciences Citation Index, Conference Proceedings Citation Index). We also scanned websites</w:t>
      </w:r>
      <w:r w:rsidR="00427468">
        <w:rPr>
          <w:kern w:val="0"/>
        </w:rPr>
        <w:t xml:space="preserve"> of </w:t>
      </w:r>
      <w:r>
        <w:rPr>
          <w:kern w:val="0"/>
        </w:rPr>
        <w:t>the EU Platform on Diet, Physical Activity</w:t>
      </w:r>
      <w:r w:rsidR="005853A9">
        <w:rPr>
          <w:kern w:val="0"/>
        </w:rPr>
        <w:t xml:space="preserve"> and </w:t>
      </w:r>
      <w:r>
        <w:rPr>
          <w:kern w:val="0"/>
        </w:rPr>
        <w:t>Health; Health-Evidence.ca; the International Union for Health Promotion</w:t>
      </w:r>
      <w:r w:rsidR="005853A9">
        <w:rPr>
          <w:kern w:val="0"/>
        </w:rPr>
        <w:t xml:space="preserve"> and </w:t>
      </w:r>
      <w:r>
        <w:rPr>
          <w:kern w:val="0"/>
        </w:rPr>
        <w:t>Education; the NIHR Coordinating Centre for Health Technology (NCCHTA)</w:t>
      </w:r>
      <w:r w:rsidR="005853A9">
        <w:rPr>
          <w:kern w:val="0"/>
        </w:rPr>
        <w:t xml:space="preserve"> and </w:t>
      </w:r>
      <w:r>
        <w:rPr>
          <w:kern w:val="0"/>
        </w:rPr>
        <w:t>NICE</w:t>
      </w:r>
      <w:r w:rsidR="005853A9">
        <w:rPr>
          <w:kern w:val="0"/>
        </w:rPr>
        <w:t xml:space="preserve"> and </w:t>
      </w:r>
      <w:r>
        <w:rPr>
          <w:kern w:val="0"/>
        </w:rPr>
        <w:t>SIGN guidelines. Reference lists</w:t>
      </w:r>
      <w:r w:rsidR="00427468">
        <w:rPr>
          <w:kern w:val="0"/>
        </w:rPr>
        <w:t xml:space="preserve"> of </w:t>
      </w:r>
      <w:r>
        <w:rPr>
          <w:kern w:val="0"/>
        </w:rPr>
        <w:t>all relevant systematic reviews, guidelines</w:t>
      </w:r>
      <w:r w:rsidR="005853A9">
        <w:rPr>
          <w:kern w:val="0"/>
        </w:rPr>
        <w:t xml:space="preserve"> and </w:t>
      </w:r>
      <w:r>
        <w:rPr>
          <w:kern w:val="0"/>
        </w:rPr>
        <w:t>primary studies were followed up. We contacted experts in the field from the National Obesity Observatory Oxford, Oxford University; Queensland Health, Queensland University</w:t>
      </w:r>
      <w:r w:rsidR="00427468">
        <w:rPr>
          <w:kern w:val="0"/>
        </w:rPr>
        <w:t xml:space="preserve"> of </w:t>
      </w:r>
      <w:r>
        <w:rPr>
          <w:kern w:val="0"/>
        </w:rPr>
        <w:t>Technology, the University</w:t>
      </w:r>
      <w:r w:rsidR="00427468">
        <w:rPr>
          <w:kern w:val="0"/>
        </w:rPr>
        <w:t xml:space="preserve"> of </w:t>
      </w:r>
      <w:r>
        <w:rPr>
          <w:kern w:val="0"/>
        </w:rPr>
        <w:t>Central Queensland; the University</w:t>
      </w:r>
      <w:r w:rsidR="00427468">
        <w:rPr>
          <w:kern w:val="0"/>
        </w:rPr>
        <w:t xml:space="preserve"> of </w:t>
      </w:r>
      <w:r>
        <w:rPr>
          <w:kern w:val="0"/>
        </w:rPr>
        <w:t>Tennessee</w:t>
      </w:r>
      <w:r w:rsidR="005853A9">
        <w:rPr>
          <w:kern w:val="0"/>
        </w:rPr>
        <w:t xml:space="preserve"> and </w:t>
      </w:r>
      <w:r>
        <w:rPr>
          <w:kern w:val="0"/>
        </w:rPr>
        <w:t>Washington University;</w:t>
      </w:r>
      <w:r w:rsidR="005853A9">
        <w:rPr>
          <w:kern w:val="0"/>
        </w:rPr>
        <w:t xml:space="preserve"> and </w:t>
      </w:r>
      <w:r>
        <w:rPr>
          <w:kern w:val="0"/>
        </w:rPr>
        <w:t>handsearched six relevant journals</w:t>
      </w:r>
      <w:r w:rsidR="00A37C1D">
        <w:rPr>
          <w:kern w:val="0"/>
        </w:rPr>
        <w:t>. The</w:t>
      </w:r>
      <w:r>
        <w:rPr>
          <w:kern w:val="0"/>
        </w:rPr>
        <w:t xml:space="preserve"> searches were last updated to the end</w:t>
      </w:r>
      <w:r w:rsidR="00427468">
        <w:rPr>
          <w:kern w:val="0"/>
        </w:rPr>
        <w:t xml:space="preserve"> of </w:t>
      </w:r>
      <w:r>
        <w:rPr>
          <w:kern w:val="0"/>
        </w:rPr>
        <w:t>November 2009</w:t>
      </w:r>
      <w:r w:rsidR="005853A9">
        <w:rPr>
          <w:kern w:val="0"/>
        </w:rPr>
        <w:t xml:space="preserve"> and </w:t>
      </w:r>
      <w:r>
        <w:rPr>
          <w:kern w:val="0"/>
        </w:rPr>
        <w:t>were not restricted by language or publication status. Selection criteria Cluster randomised controlled trials, randomised controlled trials (RCT), quasi-experimental designs which used a control population for comparison, interrupted time-series (ITS) studies,</w:t>
      </w:r>
      <w:r w:rsidR="005853A9">
        <w:rPr>
          <w:kern w:val="0"/>
        </w:rPr>
        <w:t xml:space="preserve"> and </w:t>
      </w:r>
      <w:r>
        <w:rPr>
          <w:kern w:val="0"/>
        </w:rPr>
        <w:t>prospective controlled cohort studies (PCCS) were included. Only studies with a minimum six-month follow up from the start</w:t>
      </w:r>
      <w:r w:rsidR="00427468">
        <w:rPr>
          <w:kern w:val="0"/>
        </w:rPr>
        <w:t xml:space="preserve"> of </w:t>
      </w:r>
      <w:r>
        <w:rPr>
          <w:kern w:val="0"/>
        </w:rPr>
        <w:t>the intervention to measurement</w:t>
      </w:r>
      <w:r w:rsidR="00427468">
        <w:rPr>
          <w:kern w:val="0"/>
        </w:rPr>
        <w:t xml:space="preserve"> of </w:t>
      </w:r>
      <w:r>
        <w:rPr>
          <w:kern w:val="0"/>
        </w:rPr>
        <w:t>outcomes were included. Community wide interventions had to comprise at least two broad strategies aimed at physical activity for the whole population. Studies which randomised individuals from the same community were excluded. Data collection</w:t>
      </w:r>
      <w:r w:rsidR="005853A9">
        <w:rPr>
          <w:kern w:val="0"/>
        </w:rPr>
        <w:t xml:space="preserve"> and </w:t>
      </w:r>
      <w:r>
        <w:rPr>
          <w:kern w:val="0"/>
        </w:rPr>
        <w:t>analysis At least two review authors independently extracted the data</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each included study. Non-English language papers were reviewed with the assistance</w:t>
      </w:r>
      <w:r w:rsidR="00427468">
        <w:rPr>
          <w:kern w:val="0"/>
        </w:rPr>
        <w:t xml:space="preserve"> of </w:t>
      </w:r>
      <w:r>
        <w:rPr>
          <w:kern w:val="0"/>
        </w:rPr>
        <w:t>an epidemiologist interpreter. Each study was assessed for the setting, the number</w:t>
      </w:r>
      <w:r w:rsidR="00427468">
        <w:rPr>
          <w:kern w:val="0"/>
        </w:rPr>
        <w:t xml:space="preserve"> of </w:t>
      </w:r>
      <w:r>
        <w:rPr>
          <w:kern w:val="0"/>
        </w:rPr>
        <w:t>included components</w:t>
      </w:r>
      <w:r w:rsidR="005853A9">
        <w:rPr>
          <w:kern w:val="0"/>
        </w:rPr>
        <w:t xml:space="preserve"> and </w:t>
      </w:r>
      <w:r>
        <w:rPr>
          <w:kern w:val="0"/>
        </w:rPr>
        <w:t>their intensity. Outcome measures were grouped according to whether they were dichotomous (physically active, physically active during leisure time</w:t>
      </w:r>
      <w:r w:rsidR="005853A9">
        <w:rPr>
          <w:kern w:val="0"/>
        </w:rPr>
        <w:t xml:space="preserve"> and </w:t>
      </w:r>
      <w:r>
        <w:rPr>
          <w:kern w:val="0"/>
        </w:rPr>
        <w:t xml:space="preserve">sedentary or physically </w:t>
      </w:r>
      <w:r>
        <w:rPr>
          <w:kern w:val="0"/>
        </w:rPr>
        <w:lastRenderedPageBreak/>
        <w:t>inactive) or continuous (leisure time physical activity, walking, energy expenditure). For dichotomous measures we calculated the unadjusted</w:t>
      </w:r>
      <w:r w:rsidR="005853A9">
        <w:rPr>
          <w:kern w:val="0"/>
        </w:rPr>
        <w:t xml:space="preserve"> and </w:t>
      </w:r>
      <w:r>
        <w:rPr>
          <w:kern w:val="0"/>
        </w:rPr>
        <w:t>adjusted risk difference,</w:t>
      </w:r>
      <w:r w:rsidR="005853A9">
        <w:rPr>
          <w:kern w:val="0"/>
        </w:rPr>
        <w:t xml:space="preserve"> and </w:t>
      </w:r>
      <w:r>
        <w:rPr>
          <w:kern w:val="0"/>
        </w:rPr>
        <w:t>the unadjusted</w:t>
      </w:r>
      <w:r w:rsidR="005853A9">
        <w:rPr>
          <w:kern w:val="0"/>
        </w:rPr>
        <w:t xml:space="preserve"> and </w:t>
      </w:r>
      <w:r>
        <w:rPr>
          <w:kern w:val="0"/>
        </w:rPr>
        <w:t>adjusted relative risk. For continuous measures we calculated net percentage change from baseline, unadjusted</w:t>
      </w:r>
      <w:r w:rsidR="005853A9">
        <w:rPr>
          <w:kern w:val="0"/>
        </w:rPr>
        <w:t xml:space="preserve"> and </w:t>
      </w:r>
      <w:r>
        <w:rPr>
          <w:kern w:val="0"/>
        </w:rPr>
        <w:t>adjusted risk difference,</w:t>
      </w:r>
      <w:r w:rsidR="005853A9">
        <w:rPr>
          <w:kern w:val="0"/>
        </w:rPr>
        <w:t xml:space="preserve"> and </w:t>
      </w:r>
      <w:r>
        <w:rPr>
          <w:kern w:val="0"/>
        </w:rPr>
        <w:t>the unadjusted</w:t>
      </w:r>
      <w:r w:rsidR="005853A9">
        <w:rPr>
          <w:kern w:val="0"/>
        </w:rPr>
        <w:t xml:space="preserve"> and </w:t>
      </w:r>
      <w:r>
        <w:rPr>
          <w:kern w:val="0"/>
        </w:rPr>
        <w:t>adjusted relative risk. Main results After the selection process had been completed 25 studies were included in the review.</w:t>
      </w:r>
      <w:r w:rsidR="00427468">
        <w:rPr>
          <w:kern w:val="0"/>
        </w:rPr>
        <w:t xml:space="preserve"> of </w:t>
      </w:r>
      <w:r>
        <w:rPr>
          <w:kern w:val="0"/>
        </w:rPr>
        <w:t>the included studies, 19 were set in high income countries, using the World Bank economic classification,</w:t>
      </w:r>
      <w:r w:rsidR="005853A9">
        <w:rPr>
          <w:kern w:val="0"/>
        </w:rPr>
        <w:t xml:space="preserve"> and </w:t>
      </w:r>
      <w:r>
        <w:rPr>
          <w:kern w:val="0"/>
        </w:rPr>
        <w:t>the remaining six were in low income countries</w:t>
      </w:r>
      <w:r w:rsidR="00A37C1D">
        <w:rPr>
          <w:kern w:val="0"/>
        </w:rPr>
        <w:t>. The</w:t>
      </w:r>
      <w:r>
        <w:rPr>
          <w:kern w:val="0"/>
        </w:rPr>
        <w:t xml:space="preserve"> interventions varied by the number</w:t>
      </w:r>
      <w:r w:rsidR="00427468">
        <w:rPr>
          <w:kern w:val="0"/>
        </w:rPr>
        <w:t xml:space="preserve"> of </w:t>
      </w:r>
      <w:r>
        <w:rPr>
          <w:kern w:val="0"/>
        </w:rPr>
        <w:t>strategies included</w:t>
      </w:r>
      <w:r w:rsidR="005853A9">
        <w:rPr>
          <w:kern w:val="0"/>
        </w:rPr>
        <w:t xml:space="preserve"> and </w:t>
      </w:r>
      <w:r>
        <w:rPr>
          <w:kern w:val="0"/>
        </w:rPr>
        <w:t>their intensity. Almost all</w:t>
      </w:r>
      <w:r w:rsidR="00427468">
        <w:rPr>
          <w:kern w:val="0"/>
        </w:rPr>
        <w:t xml:space="preserve"> of </w:t>
      </w:r>
      <w:r>
        <w:rPr>
          <w:kern w:val="0"/>
        </w:rPr>
        <w:t>the interventions included a component</w:t>
      </w:r>
      <w:r w:rsidR="00427468">
        <w:rPr>
          <w:kern w:val="0"/>
        </w:rPr>
        <w:t xml:space="preserve"> of </w:t>
      </w:r>
      <w:r>
        <w:rPr>
          <w:kern w:val="0"/>
        </w:rPr>
        <w:t>building partnerships with local governments or non-governmental organisations (NGOs) (22 studies). None</w:t>
      </w:r>
      <w:r w:rsidR="00427468">
        <w:rPr>
          <w:kern w:val="0"/>
        </w:rPr>
        <w:t xml:space="preserve"> of </w:t>
      </w:r>
      <w:r>
        <w:rPr>
          <w:kern w:val="0"/>
        </w:rPr>
        <w:t>the studies provided results by socio-economic disadvantage or other markers</w:t>
      </w:r>
      <w:r w:rsidR="00427468">
        <w:rPr>
          <w:kern w:val="0"/>
        </w:rPr>
        <w:t xml:space="preserve"> of </w:t>
      </w:r>
      <w:r>
        <w:rPr>
          <w:kern w:val="0"/>
        </w:rPr>
        <w:t>equity consideration. However</w:t>
      </w:r>
      <w:r w:rsidR="00427468">
        <w:rPr>
          <w:kern w:val="0"/>
        </w:rPr>
        <w:t xml:space="preserve"> of </w:t>
      </w:r>
      <w:r>
        <w:rPr>
          <w:kern w:val="0"/>
        </w:rPr>
        <w:t>those included studies undertaken in high income countries, 11 studies were described by the authors as being provided to deprived, disadvantaged, or low socio-economic communities. Fifteen studies were identified as having a high risk</w:t>
      </w:r>
      <w:r w:rsidR="00427468">
        <w:rPr>
          <w:kern w:val="0"/>
        </w:rPr>
        <w:t xml:space="preserve"> of </w:t>
      </w:r>
      <w:r>
        <w:rPr>
          <w:kern w:val="0"/>
        </w:rPr>
        <w:t>bias, 10 studies were unclear,</w:t>
      </w:r>
      <w:r w:rsidR="005853A9">
        <w:rPr>
          <w:kern w:val="0"/>
        </w:rPr>
        <w:t xml:space="preserve"> and </w:t>
      </w:r>
      <w:r>
        <w:rPr>
          <w:kern w:val="0"/>
        </w:rPr>
        <w:t>no studies had a low risk</w:t>
      </w:r>
      <w:r w:rsidR="00427468">
        <w:rPr>
          <w:kern w:val="0"/>
        </w:rPr>
        <w:t xml:space="preserve"> of </w:t>
      </w:r>
      <w:r>
        <w:rPr>
          <w:kern w:val="0"/>
        </w:rPr>
        <w:t>bias. Selection bias was a major concern with these studies, with only one study using randomisation to allocate communities (Simon 2008). No studies were judged as being at low risk</w:t>
      </w:r>
      <w:r w:rsidR="00427468">
        <w:rPr>
          <w:kern w:val="0"/>
        </w:rPr>
        <w:t xml:space="preserve"> of </w:t>
      </w:r>
      <w:r>
        <w:rPr>
          <w:kern w:val="0"/>
        </w:rPr>
        <w:t>selection bias although 16 studies were considered to have an unclear risk</w:t>
      </w:r>
      <w:r w:rsidR="00427468">
        <w:rPr>
          <w:kern w:val="0"/>
        </w:rPr>
        <w:t xml:space="preserve"> of </w:t>
      </w:r>
      <w:r>
        <w:rPr>
          <w:kern w:val="0"/>
        </w:rPr>
        <w:t>bias. Eleven studies had a high risk</w:t>
      </w:r>
      <w:r w:rsidR="00427468">
        <w:rPr>
          <w:kern w:val="0"/>
        </w:rPr>
        <w:t xml:space="preserve"> of </w:t>
      </w:r>
      <w:r>
        <w:rPr>
          <w:kern w:val="0"/>
        </w:rPr>
        <w:t>detection bias, 10 with an unclear risk</w:t>
      </w:r>
      <w:r w:rsidR="005853A9">
        <w:rPr>
          <w:kern w:val="0"/>
        </w:rPr>
        <w:t xml:space="preserve"> and </w:t>
      </w:r>
      <w:r>
        <w:rPr>
          <w:kern w:val="0"/>
        </w:rPr>
        <w:t>four with no risk. Assessment</w:t>
      </w:r>
      <w:r w:rsidR="00427468">
        <w:rPr>
          <w:kern w:val="0"/>
        </w:rPr>
        <w:t xml:space="preserve"> of </w:t>
      </w:r>
      <w:r>
        <w:rPr>
          <w:kern w:val="0"/>
        </w:rPr>
        <w:t>detection bias included an assessment</w:t>
      </w:r>
      <w:r w:rsidR="00427468">
        <w:rPr>
          <w:kern w:val="0"/>
        </w:rPr>
        <w:t xml:space="preserve"> of </w:t>
      </w:r>
      <w:r>
        <w:rPr>
          <w:kern w:val="0"/>
        </w:rPr>
        <w:t>the validity</w:t>
      </w:r>
      <w:r w:rsidR="00427468">
        <w:rPr>
          <w:kern w:val="0"/>
        </w:rPr>
        <w:t xml:space="preserve"> of </w:t>
      </w:r>
      <w:r>
        <w:rPr>
          <w:kern w:val="0"/>
        </w:rPr>
        <w:t>the measurement tools</w:t>
      </w:r>
      <w:r w:rsidR="005853A9">
        <w:rPr>
          <w:kern w:val="0"/>
        </w:rPr>
        <w:t xml:space="preserve"> and </w:t>
      </w:r>
      <w:r>
        <w:rPr>
          <w:kern w:val="0"/>
        </w:rPr>
        <w:t>quality</w:t>
      </w:r>
      <w:r w:rsidR="00427468">
        <w:rPr>
          <w:kern w:val="0"/>
        </w:rPr>
        <w:t xml:space="preserve"> of </w:t>
      </w:r>
      <w:r>
        <w:rPr>
          <w:kern w:val="0"/>
        </w:rPr>
        <w:t>outcome measures</w:t>
      </w:r>
      <w:r w:rsidR="00A37C1D">
        <w:rPr>
          <w:kern w:val="0"/>
        </w:rPr>
        <w:t>. The</w:t>
      </w:r>
      <w:r>
        <w:rPr>
          <w:kern w:val="0"/>
        </w:rPr>
        <w:t xml:space="preserve"> effects reported were inconsistent across the studies</w:t>
      </w:r>
      <w:r w:rsidR="005853A9">
        <w:rPr>
          <w:kern w:val="0"/>
        </w:rPr>
        <w:t xml:space="preserve"> and </w:t>
      </w:r>
      <w:r>
        <w:rPr>
          <w:kern w:val="0"/>
        </w:rPr>
        <w:t>the measures. Some</w:t>
      </w:r>
      <w:r w:rsidR="00427468">
        <w:rPr>
          <w:kern w:val="0"/>
        </w:rPr>
        <w:t xml:space="preserve"> of </w:t>
      </w:r>
      <w:r>
        <w:rPr>
          <w:kern w:val="0"/>
        </w:rPr>
        <w:t>the better designed studies showed no improvement in measures</w:t>
      </w:r>
      <w:r w:rsidR="00427468">
        <w:rPr>
          <w:kern w:val="0"/>
        </w:rPr>
        <w:t xml:space="preserve"> of </w:t>
      </w:r>
      <w:r>
        <w:rPr>
          <w:kern w:val="0"/>
        </w:rPr>
        <w:t>physical activity. Publication bias was evident. Authors</w:t>
      </w:r>
      <w:r w:rsidR="0071223E">
        <w:rPr>
          <w:kern w:val="0"/>
        </w:rPr>
        <w:t>’</w:t>
      </w:r>
      <w:r>
        <w:rPr>
          <w:kern w:val="0"/>
        </w:rPr>
        <w:t xml:space="preserve"> conclusions Although numerous studies have been undertaken, there is a noticeable inconsistency</w:t>
      </w:r>
      <w:r w:rsidR="00427468">
        <w:rPr>
          <w:kern w:val="0"/>
        </w:rPr>
        <w:t xml:space="preserve"> of </w:t>
      </w:r>
      <w:r>
        <w:rPr>
          <w:kern w:val="0"/>
        </w:rPr>
        <w:t>the findings</w:t>
      </w:r>
      <w:r w:rsidR="00427468">
        <w:rPr>
          <w:kern w:val="0"/>
        </w:rPr>
        <w:t xml:space="preserve"> of </w:t>
      </w:r>
      <w:r>
        <w:rPr>
          <w:kern w:val="0"/>
        </w:rPr>
        <w:t>the available studies</w:t>
      </w:r>
      <w:r w:rsidR="005853A9">
        <w:rPr>
          <w:kern w:val="0"/>
        </w:rPr>
        <w:t xml:space="preserve"> and </w:t>
      </w:r>
      <w:r>
        <w:rPr>
          <w:kern w:val="0"/>
        </w:rPr>
        <w:t>this is confounded by serious methodological issues within the included studies</w:t>
      </w:r>
      <w:r w:rsidR="00A37C1D">
        <w:rPr>
          <w:kern w:val="0"/>
        </w:rPr>
        <w:t>. The</w:t>
      </w:r>
      <w:r>
        <w:rPr>
          <w:kern w:val="0"/>
        </w:rPr>
        <w:t xml:space="preserve"> body</w:t>
      </w:r>
      <w:r w:rsidR="00427468">
        <w:rPr>
          <w:kern w:val="0"/>
        </w:rPr>
        <w:t xml:space="preserve"> of </w:t>
      </w:r>
      <w:r>
        <w:rPr>
          <w:kern w:val="0"/>
        </w:rPr>
        <w:t>evidence in this review does not support the hypothesis that multi-component community wide interventions effectively increase population levels</w:t>
      </w:r>
      <w:r w:rsidR="00427468">
        <w:rPr>
          <w:kern w:val="0"/>
        </w:rPr>
        <w:t xml:space="preserve"> of </w:t>
      </w:r>
      <w:r>
        <w:rPr>
          <w:kern w:val="0"/>
        </w:rPr>
        <w:t>physical activity</w:t>
      </w:r>
      <w:r w:rsidR="00A37C1D">
        <w:rPr>
          <w:kern w:val="0"/>
        </w:rPr>
        <w:t>. The</w:t>
      </w:r>
      <w:r>
        <w:rPr>
          <w:kern w:val="0"/>
        </w:rPr>
        <w:t>re is a clear need for well-designed intervention studies</w:t>
      </w:r>
      <w:r w:rsidR="005853A9">
        <w:rPr>
          <w:kern w:val="0"/>
        </w:rPr>
        <w:t xml:space="preserve"> and </w:t>
      </w:r>
      <w:r>
        <w:rPr>
          <w:kern w:val="0"/>
        </w:rPr>
        <w:t>such studies should focus on the quality</w:t>
      </w:r>
      <w:r w:rsidR="00427468">
        <w:rPr>
          <w:kern w:val="0"/>
        </w:rPr>
        <w:t xml:space="preserve"> of </w:t>
      </w:r>
      <w:r>
        <w:rPr>
          <w:kern w:val="0"/>
        </w:rPr>
        <w:t>the measurement</w:t>
      </w:r>
      <w:r w:rsidR="00427468">
        <w:rPr>
          <w:kern w:val="0"/>
        </w:rPr>
        <w:t xml:space="preserve"> of </w:t>
      </w:r>
      <w:r>
        <w:rPr>
          <w:kern w:val="0"/>
        </w:rPr>
        <w:t>physical activity, the frequency</w:t>
      </w:r>
      <w:r w:rsidR="00427468">
        <w:rPr>
          <w:kern w:val="0"/>
        </w:rPr>
        <w:t xml:space="preserve"> of </w:t>
      </w:r>
      <w:r>
        <w:rPr>
          <w:kern w:val="0"/>
        </w:rPr>
        <w:t>measurement</w:t>
      </w:r>
      <w:r w:rsidR="005853A9">
        <w:rPr>
          <w:kern w:val="0"/>
        </w:rPr>
        <w:t xml:space="preserve"> and </w:t>
      </w:r>
      <w:r>
        <w:rPr>
          <w:kern w:val="0"/>
        </w:rPr>
        <w:t>the allocation to intervention</w:t>
      </w:r>
      <w:r w:rsidR="005853A9">
        <w:rPr>
          <w:kern w:val="0"/>
        </w:rPr>
        <w:t xml:space="preserve"> and </w:t>
      </w:r>
      <w:r>
        <w:rPr>
          <w:kern w:val="0"/>
        </w:rPr>
        <w:t>control communities.</w:t>
      </w:r>
    </w:p>
    <w:p w:rsidR="00365DE4" w:rsidRDefault="00365DE4" w:rsidP="00365DE4">
      <w:pPr>
        <w:pStyle w:val="a3"/>
        <w:rPr>
          <w:kern w:val="0"/>
        </w:rPr>
      </w:pPr>
      <w:r>
        <w:rPr>
          <w:kern w:val="0"/>
        </w:rPr>
        <w:t>Keywords: Cardiovascular-Disease Prevention, Heart-Health-Program, Life-Style Interventions, Promoting Safe Walking, Randomized Controlled-Trial, Reduce Risk-Factors, Sante St-Henri, School-Based-Program, Sedentary Older-Adults, Stanford 5-City Project</w:t>
      </w:r>
    </w:p>
    <w:p w:rsidR="00365DE4" w:rsidRDefault="00365DE4" w:rsidP="00365DE4">
      <w:pPr>
        <w:pStyle w:val="a3"/>
        <w:rPr>
          <w:kern w:val="0"/>
        </w:rPr>
      </w:pPr>
      <w:r>
        <w:rPr>
          <w:kern w:val="0"/>
        </w:rPr>
        <w:t>? Xia, Y., Luo, H., Liu, J.P.</w:t>
      </w:r>
      <w:r w:rsidR="005853A9">
        <w:rPr>
          <w:kern w:val="0"/>
        </w:rPr>
        <w:t xml:space="preserve"> and </w:t>
      </w:r>
      <w:r>
        <w:rPr>
          <w:kern w:val="0"/>
        </w:rPr>
        <w:t xml:space="preserve">Gluud, C. (2011), Phyllanthus species for chronic hepatitis B virus infection.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CD008960.</w:t>
      </w:r>
    </w:p>
    <w:p w:rsidR="00365DE4" w:rsidRDefault="00365DE4" w:rsidP="00365DE4">
      <w:pPr>
        <w:pStyle w:val="a3"/>
        <w:rPr>
          <w:kern w:val="0"/>
        </w:rPr>
      </w:pPr>
      <w:r>
        <w:lastRenderedPageBreak/>
        <w:t xml:space="preserve">Full Text: </w:t>
      </w:r>
      <w:hyperlink r:id="rId656" w:history="1">
        <w:r>
          <w:rPr>
            <w:rStyle w:val="a5"/>
          </w:rPr>
          <w:t>2011\Coc Dat Sys Rev2011, CD008960.pdf</w:t>
        </w:r>
      </w:hyperlink>
    </w:p>
    <w:p w:rsidR="00365DE4" w:rsidRDefault="00365DE4" w:rsidP="00365DE4">
      <w:pPr>
        <w:pStyle w:val="a3"/>
        <w:rPr>
          <w:kern w:val="0"/>
        </w:rPr>
      </w:pPr>
      <w:r>
        <w:rPr>
          <w:kern w:val="0"/>
        </w:rPr>
        <w:t>Abstract: Background Phyllanthus species for patients with chronic hepatitis B virus (HBV) infection have been assessed in clinical trials, but no consensus regarding their usefulness exists. Objectives To evaluate the benefits</w:t>
      </w:r>
      <w:r w:rsidR="005853A9">
        <w:rPr>
          <w:kern w:val="0"/>
        </w:rPr>
        <w:t xml:space="preserve"> and </w:t>
      </w:r>
      <w:r>
        <w:rPr>
          <w:kern w:val="0"/>
        </w:rPr>
        <w:t>harms</w:t>
      </w:r>
      <w:r w:rsidR="00427468">
        <w:rPr>
          <w:kern w:val="0"/>
        </w:rPr>
        <w:t xml:space="preserve"> of </w:t>
      </w:r>
      <w:r>
        <w:rPr>
          <w:kern w:val="0"/>
        </w:rPr>
        <w:t>phyllanthus species for patients with chronic HBV infection. Search strategy Searches were performed in The Cochrane Hepato-Biliary Gorup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the Chinese Biomedical CD Database, China Network Knowledge Information, Chinese Science Journal Database, TCM Online,</w:t>
      </w:r>
      <w:r w:rsidR="005853A9">
        <w:rPr>
          <w:kern w:val="0"/>
        </w:rPr>
        <w:t xml:space="preserve"> and </w:t>
      </w:r>
      <w:r>
        <w:rPr>
          <w:kern w:val="0"/>
        </w:rPr>
        <w:t>Wanfang Database. Conference proceedings in Chinese were handsearched. All searches were conducted until October 2010. Selection criteria Randomised clinical trials comparing phyllanthus species with placebo or no intervention for patients with chronic HBV infection. Co-interventions were allowed if all comparison groups had received the same co-interventions. We included trials irrespective</w:t>
      </w:r>
      <w:r w:rsidR="00427468">
        <w:rPr>
          <w:kern w:val="0"/>
        </w:rPr>
        <w:t xml:space="preserve"> of </w:t>
      </w:r>
      <w:r>
        <w:rPr>
          <w:kern w:val="0"/>
        </w:rPr>
        <w:t>blinding, publication status, or language. Data collection</w:t>
      </w:r>
      <w:r w:rsidR="005853A9">
        <w:rPr>
          <w:kern w:val="0"/>
        </w:rPr>
        <w:t xml:space="preserve"> and </w:t>
      </w:r>
      <w:r>
        <w:rPr>
          <w:kern w:val="0"/>
        </w:rPr>
        <w:t>analysis Two authors selected the trials</w:t>
      </w:r>
      <w:r w:rsidR="005853A9">
        <w:rPr>
          <w:kern w:val="0"/>
        </w:rPr>
        <w:t xml:space="preserve"> and </w:t>
      </w:r>
      <w:r>
        <w:rPr>
          <w:kern w:val="0"/>
        </w:rPr>
        <w:t>extracted the data independently</w:t>
      </w:r>
      <w:r w:rsidR="00A37C1D">
        <w:rPr>
          <w:kern w:val="0"/>
        </w:rPr>
        <w:t>. The</w:t>
      </w:r>
      <w:r>
        <w:rPr>
          <w:kern w:val="0"/>
        </w:rPr>
        <w:t xml:space="preserve"> RevMan software was used for statistical analysis</w:t>
      </w:r>
      <w:r w:rsidR="00427468">
        <w:rPr>
          <w:kern w:val="0"/>
        </w:rPr>
        <w:t xml:space="preserve"> of </w:t>
      </w:r>
      <w:r>
        <w:rPr>
          <w:kern w:val="0"/>
        </w:rPr>
        <w:t>dichotomous data with risk ratio (RR) with 95% confidence intervals (CI). Risk</w:t>
      </w:r>
      <w:r w:rsidR="00427468">
        <w:rPr>
          <w:kern w:val="0"/>
        </w:rPr>
        <w:t xml:space="preserve"> of </w:t>
      </w:r>
      <w:r>
        <w:rPr>
          <w:kern w:val="0"/>
        </w:rPr>
        <w:t>bias was assessed to control for systematic errors. Trial sequential analysis was used in order to control for random errors. Main results A total</w:t>
      </w:r>
      <w:r w:rsidR="00427468">
        <w:rPr>
          <w:kern w:val="0"/>
        </w:rPr>
        <w:t xml:space="preserve"> of </w:t>
      </w:r>
      <w:r>
        <w:rPr>
          <w:kern w:val="0"/>
        </w:rPr>
        <w:t>16 randomised trials with 1326 patients were included. One trial with 42 participants compared phyllanthus with placebo</w:t>
      </w:r>
      <w:r w:rsidR="00A37C1D">
        <w:rPr>
          <w:kern w:val="0"/>
        </w:rPr>
        <w:t>. The</w:t>
      </w:r>
      <w:r>
        <w:rPr>
          <w:kern w:val="0"/>
        </w:rPr>
        <w:t xml:space="preserve"> trial found no significant difference in HBeAg seroconversion after the end</w:t>
      </w:r>
      <w:r w:rsidR="00427468">
        <w:rPr>
          <w:kern w:val="0"/>
        </w:rPr>
        <w:t xml:space="preserve"> of </w:t>
      </w:r>
      <w:r>
        <w:rPr>
          <w:kern w:val="0"/>
        </w:rPr>
        <w:t>treatment (RR 0.9; 95% CI 0.73 to 1.25) or follow-up (RR 1.00; 95% CI 0.63 to 1.60). No other outcomes could be assessed. Fifteen trials compared phyllanthus plus an antiviral drug like interferon alpha, lamivudine, adefovir dipivoxil, thymosin, vidarabine, or conventional treatment with the same antiviral drug alone. Phyllanthus did significantly affect serum HBV DNA (RR 0.69; 95% CI 0.52 to 0.91, P = 0.008; I-2 = 71%), serum HBeAg (RR 0.70; 95% CI 0.60 to 0.81, P &lt; 0.00001; I-2 = 68%),</w:t>
      </w:r>
      <w:r w:rsidR="005853A9">
        <w:rPr>
          <w:kern w:val="0"/>
        </w:rPr>
        <w:t xml:space="preserve"> and </w:t>
      </w:r>
      <w:r>
        <w:rPr>
          <w:kern w:val="0"/>
        </w:rPr>
        <w:t>HBeAg seroconversion (RR 0.77; 95% CI 0.63 to 0.92, P = 0.005; I-2 = 78%), but the heterogeneity was substantial</w:t>
      </w:r>
      <w:r w:rsidR="00A37C1D">
        <w:rPr>
          <w:kern w:val="0"/>
        </w:rPr>
        <w:t>. The</w:t>
      </w:r>
      <w:r>
        <w:rPr>
          <w:kern w:val="0"/>
        </w:rPr>
        <w:t xml:space="preserve"> result obtained regarding serum HBV DNA was not supported by trial sequential analysis. None</w:t>
      </w:r>
      <w:r w:rsidR="00427468">
        <w:rPr>
          <w:kern w:val="0"/>
        </w:rPr>
        <w:t xml:space="preserve"> of </w:t>
      </w:r>
      <w:r>
        <w:rPr>
          <w:kern w:val="0"/>
        </w:rPr>
        <w:t>the trials reported mortality</w:t>
      </w:r>
      <w:r w:rsidR="005853A9">
        <w:rPr>
          <w:kern w:val="0"/>
        </w:rPr>
        <w:t xml:space="preserve"> and </w:t>
      </w:r>
      <w:r>
        <w:rPr>
          <w:kern w:val="0"/>
        </w:rPr>
        <w:t>hepatitis B-related morbidity, quality</w:t>
      </w:r>
      <w:r w:rsidR="00427468">
        <w:rPr>
          <w:kern w:val="0"/>
        </w:rPr>
        <w:t xml:space="preserve"> of </w:t>
      </w:r>
      <w:r>
        <w:rPr>
          <w:kern w:val="0"/>
        </w:rPr>
        <w:t>life, or liver histology. Only two trials reported adverse events with numbers without significant differences. No serious adverse events were reported. Authors</w:t>
      </w:r>
      <w:r w:rsidR="0071223E">
        <w:rPr>
          <w:kern w:val="0"/>
        </w:rPr>
        <w:t>’</w:t>
      </w:r>
      <w:r>
        <w:rPr>
          <w:kern w:val="0"/>
        </w:rPr>
        <w:t xml:space="preserve"> conclusions There is no convincing evidence that phyllanthus compared with placebo benefits patients with chronic HBV infection. Phyllanthus plus an antiviral drug may be better than the same antiviral drug alone. However, heterogeneity, systematic errors,</w:t>
      </w:r>
      <w:r w:rsidR="005853A9">
        <w:rPr>
          <w:kern w:val="0"/>
        </w:rPr>
        <w:t xml:space="preserve"> and </w:t>
      </w:r>
      <w:r>
        <w:rPr>
          <w:kern w:val="0"/>
        </w:rPr>
        <w:t>random errors question the validity</w:t>
      </w:r>
      <w:r w:rsidR="00427468">
        <w:rPr>
          <w:kern w:val="0"/>
        </w:rPr>
        <w:t xml:space="preserve"> of </w:t>
      </w:r>
      <w:r>
        <w:rPr>
          <w:kern w:val="0"/>
        </w:rPr>
        <w:t>the results. Clinical trials with large sample size</w:t>
      </w:r>
      <w:r w:rsidR="005853A9">
        <w:rPr>
          <w:kern w:val="0"/>
        </w:rPr>
        <w:t xml:space="preserve"> and </w:t>
      </w:r>
      <w:r>
        <w:rPr>
          <w:kern w:val="0"/>
        </w:rPr>
        <w:t>low risk</w:t>
      </w:r>
      <w:r w:rsidR="00427468">
        <w:rPr>
          <w:kern w:val="0"/>
        </w:rPr>
        <w:t xml:space="preserve"> of </w:t>
      </w:r>
      <w:r>
        <w:rPr>
          <w:kern w:val="0"/>
        </w:rPr>
        <w:t>bias are needed to confirm our findings. Species</w:t>
      </w:r>
      <w:r w:rsidR="00427468">
        <w:rPr>
          <w:kern w:val="0"/>
        </w:rPr>
        <w:t xml:space="preserve"> of </w:t>
      </w:r>
      <w:r>
        <w:rPr>
          <w:kern w:val="0"/>
        </w:rPr>
        <w:lastRenderedPageBreak/>
        <w:t>phyllanthus should be reported in future trials,</w:t>
      </w:r>
      <w:r w:rsidR="005853A9">
        <w:rPr>
          <w:kern w:val="0"/>
        </w:rPr>
        <w:t xml:space="preserve"> and </w:t>
      </w:r>
      <w:r>
        <w:rPr>
          <w:kern w:val="0"/>
        </w:rPr>
        <w:t>a dose-finding design is warranted.</w:t>
      </w:r>
    </w:p>
    <w:p w:rsidR="00365DE4" w:rsidRDefault="00365DE4" w:rsidP="00365DE4">
      <w:pPr>
        <w:pStyle w:val="a3"/>
        <w:rPr>
          <w:kern w:val="0"/>
        </w:rPr>
      </w:pPr>
      <w:r>
        <w:rPr>
          <w:kern w:val="0"/>
        </w:rPr>
        <w:t>Keywords: Amarus, Bias, Carriers, Clinical-Trials, Empirical-Evidence, Genus Phyllanthus, Metaanalysis, Quality, Randomized-Trials, Transcription</w:t>
      </w:r>
    </w:p>
    <w:p w:rsidR="00365DE4" w:rsidRDefault="00365DE4" w:rsidP="00365DE4">
      <w:pPr>
        <w:pStyle w:val="a3"/>
        <w:rPr>
          <w:kern w:val="2"/>
          <w:szCs w:val="24"/>
        </w:rPr>
      </w:pPr>
      <w:r>
        <w:t xml:space="preserve">? </w:t>
      </w:r>
      <w:r>
        <w:rPr>
          <w:szCs w:val="24"/>
        </w:rPr>
        <w:t>Daley, A., Stokes-Lampard, H.</w:t>
      </w:r>
      <w:r w:rsidR="005853A9">
        <w:rPr>
          <w:szCs w:val="24"/>
        </w:rPr>
        <w:t xml:space="preserve"> and </w:t>
      </w:r>
      <w:r>
        <w:rPr>
          <w:szCs w:val="24"/>
        </w:rPr>
        <w:t>MacArthur, C. (2011), Exercise for vasomotor menopa</w:t>
      </w:r>
      <w:r w:rsidR="00D5664A">
        <w:rPr>
          <w:szCs w:val="24"/>
        </w:rPr>
        <w:t>USA</w:t>
      </w:r>
      <w:r>
        <w:rPr>
          <w:szCs w:val="24"/>
        </w:rPr>
        <w:t xml:space="preserve">l symptoms. </w:t>
      </w:r>
      <w:r>
        <w:rPr>
          <w:i/>
          <w:szCs w:val="24"/>
        </w:rPr>
        <w:t>Cochrane Database</w:t>
      </w:r>
      <w:r w:rsidR="00427468">
        <w:rPr>
          <w:i/>
          <w:szCs w:val="24"/>
        </w:rPr>
        <w:t xml:space="preserve"> of </w:t>
      </w:r>
      <w:r>
        <w:rPr>
          <w:i/>
          <w:szCs w:val="24"/>
        </w:rPr>
        <w:t>Systematic Reviews</w:t>
      </w:r>
      <w:r>
        <w:t xml:space="preserve">, </w:t>
      </w:r>
      <w:r>
        <w:rPr>
          <w:b/>
          <w:szCs w:val="24"/>
        </w:rPr>
        <w:t>5</w:t>
      </w:r>
      <w:r>
        <w:rPr>
          <w:szCs w:val="24"/>
        </w:rPr>
        <w:t>, CD006108.</w:t>
      </w:r>
    </w:p>
    <w:p w:rsidR="00365DE4" w:rsidRDefault="00365DE4" w:rsidP="00365DE4">
      <w:pPr>
        <w:pStyle w:val="a3"/>
      </w:pPr>
      <w:r>
        <w:t xml:space="preserve">Full Text: </w:t>
      </w:r>
      <w:hyperlink r:id="rId657" w:history="1">
        <w:r>
          <w:rPr>
            <w:rStyle w:val="a5"/>
          </w:rPr>
          <w:t>2011\Coc Dat Sys Rev2011, CD006108.pdf</w:t>
        </w:r>
      </w:hyperlink>
    </w:p>
    <w:p w:rsidR="00365DE4" w:rsidRDefault="00365DE4" w:rsidP="00365DE4">
      <w:pPr>
        <w:pStyle w:val="a3"/>
        <w:rPr>
          <w:szCs w:val="24"/>
        </w:rPr>
      </w:pPr>
      <w:r>
        <w:rPr>
          <w:szCs w:val="24"/>
        </w:rPr>
        <w:t>Abstract: Background Evidence suggests that many perimenopa</w:t>
      </w:r>
      <w:r w:rsidR="00D5664A">
        <w:rPr>
          <w:szCs w:val="24"/>
        </w:rPr>
        <w:t>USA</w:t>
      </w:r>
      <w:r>
        <w:rPr>
          <w:szCs w:val="24"/>
        </w:rPr>
        <w:t>l</w:t>
      </w:r>
      <w:r w:rsidR="005853A9">
        <w:rPr>
          <w:szCs w:val="24"/>
        </w:rPr>
        <w:t xml:space="preserve"> and </w:t>
      </w:r>
      <w:r>
        <w:rPr>
          <w:szCs w:val="24"/>
        </w:rPr>
        <w:t>early postmenopa</w:t>
      </w:r>
      <w:r w:rsidR="00D5664A">
        <w:rPr>
          <w:szCs w:val="24"/>
        </w:rPr>
        <w:t>USA</w:t>
      </w:r>
      <w:r>
        <w:rPr>
          <w:szCs w:val="24"/>
        </w:rPr>
        <w:t>l women will experience menopause symptoms, hot flushes being the most common. Symptoms caused by fluctuating levels</w:t>
      </w:r>
      <w:r w:rsidR="00427468">
        <w:rPr>
          <w:szCs w:val="24"/>
        </w:rPr>
        <w:t xml:space="preserve"> of </w:t>
      </w:r>
      <w:r>
        <w:rPr>
          <w:szCs w:val="24"/>
        </w:rPr>
        <w:t>oestrogen may be alleviated by HRT but there has been a marked global decline in its use due to concerns about the risks</w:t>
      </w:r>
      <w:r w:rsidR="005853A9">
        <w:rPr>
          <w:szCs w:val="24"/>
        </w:rPr>
        <w:t xml:space="preserve"> and </w:t>
      </w:r>
      <w:r>
        <w:rPr>
          <w:szCs w:val="24"/>
        </w:rPr>
        <w:t>benefits</w:t>
      </w:r>
      <w:r w:rsidR="00427468">
        <w:rPr>
          <w:szCs w:val="24"/>
        </w:rPr>
        <w:t xml:space="preserve"> of </w:t>
      </w:r>
      <w:r>
        <w:rPr>
          <w:szCs w:val="24"/>
        </w:rPr>
        <w:t>HRT; consequently many women are now seeking alternatives. As large numbers</w:t>
      </w:r>
      <w:r w:rsidR="00427468">
        <w:rPr>
          <w:szCs w:val="24"/>
        </w:rPr>
        <w:t xml:space="preserve"> of </w:t>
      </w:r>
      <w:r>
        <w:rPr>
          <w:szCs w:val="24"/>
        </w:rPr>
        <w:t>women are choosing not to take HRT, it is increasingly important to identify evidence based lifestyle modification interventions that have potential to reduce vasomotor menopa</w:t>
      </w:r>
      <w:r w:rsidR="00D5664A">
        <w:rPr>
          <w:szCs w:val="24"/>
        </w:rPr>
        <w:t>USA</w:t>
      </w:r>
      <w:r>
        <w:rPr>
          <w:szCs w:val="24"/>
        </w:rPr>
        <w:t>l symptoms. Objectives To examine the effectiveness</w:t>
      </w:r>
      <w:r w:rsidR="00427468">
        <w:rPr>
          <w:szCs w:val="24"/>
        </w:rPr>
        <w:t xml:space="preserve"> of </w:t>
      </w:r>
      <w:r>
        <w:rPr>
          <w:szCs w:val="24"/>
        </w:rPr>
        <w:t>any type</w:t>
      </w:r>
      <w:r w:rsidR="00427468">
        <w:rPr>
          <w:szCs w:val="24"/>
        </w:rPr>
        <w:t xml:space="preserve"> of </w:t>
      </w:r>
      <w:r>
        <w:rPr>
          <w:szCs w:val="24"/>
        </w:rPr>
        <w:t>exercise intervention in the management</w:t>
      </w:r>
      <w:r w:rsidR="00427468">
        <w:rPr>
          <w:szCs w:val="24"/>
        </w:rPr>
        <w:t xml:space="preserve"> of </w:t>
      </w:r>
      <w:r>
        <w:rPr>
          <w:szCs w:val="24"/>
        </w:rPr>
        <w:t>vasomotor menopa</w:t>
      </w:r>
      <w:r w:rsidR="00D5664A">
        <w:rPr>
          <w:szCs w:val="24"/>
        </w:rPr>
        <w:t>USA</w:t>
      </w:r>
      <w:r>
        <w:rPr>
          <w:szCs w:val="24"/>
        </w:rPr>
        <w:t>l symptoms (hot flushes</w:t>
      </w:r>
      <w:r w:rsidR="005853A9">
        <w:rPr>
          <w:szCs w:val="24"/>
        </w:rPr>
        <w:t xml:space="preserve"> and </w:t>
      </w:r>
      <w:r>
        <w:rPr>
          <w:szCs w:val="24"/>
        </w:rPr>
        <w:t>night sweats) in perimenopa</w:t>
      </w:r>
      <w:r w:rsidR="00D5664A">
        <w:rPr>
          <w:szCs w:val="24"/>
        </w:rPr>
        <w:t>USA</w:t>
      </w:r>
      <w:r>
        <w:rPr>
          <w:szCs w:val="24"/>
        </w:rPr>
        <w:t>l</w:t>
      </w:r>
      <w:r w:rsidR="005853A9">
        <w:rPr>
          <w:szCs w:val="24"/>
        </w:rPr>
        <w:t xml:space="preserve"> and </w:t>
      </w:r>
      <w:r>
        <w:rPr>
          <w:szCs w:val="24"/>
        </w:rPr>
        <w:t>postmenopa</w:t>
      </w:r>
      <w:r w:rsidR="00D5664A">
        <w:rPr>
          <w:szCs w:val="24"/>
        </w:rPr>
        <w:t>USA</w:t>
      </w:r>
      <w:r>
        <w:rPr>
          <w:szCs w:val="24"/>
        </w:rPr>
        <w:t>l women. Search strategy Searches</w:t>
      </w:r>
      <w:r w:rsidR="00427468">
        <w:rPr>
          <w:szCs w:val="24"/>
        </w:rPr>
        <w:t xml:space="preserve"> of </w:t>
      </w:r>
      <w:r>
        <w:rPr>
          <w:szCs w:val="24"/>
        </w:rPr>
        <w:t>the following electronic bibliographic databases were performed to identify randomised controlled trials (RCTs): Cochrane Menstrual Disorders</w:t>
      </w:r>
      <w:r w:rsidR="005853A9">
        <w:rPr>
          <w:szCs w:val="24"/>
        </w:rPr>
        <w:t xml:space="preserve"> and </w:t>
      </w:r>
      <w:r>
        <w:rPr>
          <w:szCs w:val="24"/>
        </w:rPr>
        <w:t xml:space="preserve">Subfertility Group Specialised trials register; Cochrane Library (CENTRAL) (Wiley Internet interface), </w:t>
      </w:r>
      <w:r w:rsidR="00D5664A">
        <w:rPr>
          <w:szCs w:val="24"/>
        </w:rPr>
        <w:t>MEDLINE</w:t>
      </w:r>
      <w:r>
        <w:rPr>
          <w:szCs w:val="24"/>
        </w:rPr>
        <w:t xml:space="preserve"> (Ovid), EMBASE (Ovid), PsycINFO (Ovid), Science Citation Index</w:t>
      </w:r>
      <w:r w:rsidR="005853A9">
        <w:rPr>
          <w:szCs w:val="24"/>
        </w:rPr>
        <w:t xml:space="preserve"> and </w:t>
      </w:r>
      <w:r>
        <w:rPr>
          <w:szCs w:val="24"/>
        </w:rPr>
        <w:t>Social Science Citation Index (</w:t>
      </w:r>
      <w:r w:rsidR="00D5664A">
        <w:rPr>
          <w:szCs w:val="24"/>
        </w:rPr>
        <w:t>Web</w:t>
      </w:r>
      <w:r w:rsidR="00427468">
        <w:rPr>
          <w:szCs w:val="24"/>
        </w:rPr>
        <w:t xml:space="preserve"> of </w:t>
      </w:r>
      <w:r w:rsidR="00D5664A">
        <w:rPr>
          <w:szCs w:val="24"/>
        </w:rPr>
        <w:t>Science</w:t>
      </w:r>
      <w:r>
        <w:rPr>
          <w:szCs w:val="24"/>
        </w:rPr>
        <w:t>), CINAHL (Ovid)</w:t>
      </w:r>
      <w:r w:rsidR="005853A9">
        <w:rPr>
          <w:szCs w:val="24"/>
        </w:rPr>
        <w:t xml:space="preserve"> and </w:t>
      </w:r>
      <w:r>
        <w:rPr>
          <w:szCs w:val="24"/>
        </w:rPr>
        <w:t>SPORT Discus. Searches included dates up until 16-24 March 2010. Selection criteria RCTs in which any type</w:t>
      </w:r>
      <w:r w:rsidR="00427468">
        <w:rPr>
          <w:szCs w:val="24"/>
        </w:rPr>
        <w:t xml:space="preserve"> of </w:t>
      </w:r>
      <w:r>
        <w:rPr>
          <w:szCs w:val="24"/>
        </w:rPr>
        <w:t>exercise intervention were compared no treatment/control or other treatments in the management</w:t>
      </w:r>
      <w:r w:rsidR="00427468">
        <w:rPr>
          <w:szCs w:val="24"/>
        </w:rPr>
        <w:t xml:space="preserve"> of </w:t>
      </w:r>
      <w:r>
        <w:rPr>
          <w:szCs w:val="24"/>
        </w:rPr>
        <w:t>menopa</w:t>
      </w:r>
      <w:r w:rsidR="00D5664A">
        <w:rPr>
          <w:szCs w:val="24"/>
        </w:rPr>
        <w:t>USA</w:t>
      </w:r>
      <w:r>
        <w:rPr>
          <w:szCs w:val="24"/>
        </w:rPr>
        <w:t>l vasomotor symptoms in symptomatic perimenopa</w:t>
      </w:r>
      <w:r w:rsidR="00D5664A">
        <w:rPr>
          <w:szCs w:val="24"/>
        </w:rPr>
        <w:t>USA</w:t>
      </w:r>
      <w:r>
        <w:rPr>
          <w:szCs w:val="24"/>
        </w:rPr>
        <w:t>l/postmenopa</w:t>
      </w:r>
      <w:r w:rsidR="00D5664A">
        <w:rPr>
          <w:szCs w:val="24"/>
        </w:rPr>
        <w:t>USA</w:t>
      </w:r>
      <w:r>
        <w:rPr>
          <w:szCs w:val="24"/>
        </w:rPr>
        <w:t>l women. Data collection</w:t>
      </w:r>
      <w:r w:rsidR="005853A9">
        <w:rPr>
          <w:szCs w:val="24"/>
        </w:rPr>
        <w:t xml:space="preserve"> and </w:t>
      </w:r>
      <w:r>
        <w:rPr>
          <w:szCs w:val="24"/>
        </w:rPr>
        <w:t>analysis Six studies were deemed eligible for inclusion. Three authors independently extracted data from eligible studies. Three meta-analyses according to comparator the group were performed. Main results In the comparison</w:t>
      </w:r>
      <w:r w:rsidR="00427468">
        <w:rPr>
          <w:szCs w:val="24"/>
        </w:rPr>
        <w:t xml:space="preserve"> of </w:t>
      </w:r>
      <w:r>
        <w:rPr>
          <w:szCs w:val="24"/>
        </w:rPr>
        <w:t>exercise versus no treatment/control (three studies), the non-significant effect size Standardised Mean Difference (SMD) for vasomotor symptoms was -0.14 (95% CI: -0.54 to 0.26); SMD was -0.04, -0.25, -0.38. For the analysis</w:t>
      </w:r>
      <w:r w:rsidR="00427468">
        <w:rPr>
          <w:szCs w:val="24"/>
        </w:rPr>
        <w:t xml:space="preserve"> of </w:t>
      </w:r>
      <w:r>
        <w:rPr>
          <w:szCs w:val="24"/>
        </w:rPr>
        <w:t>exercise versus HRT (three studies), the non-significant SMD was 0.49 (95% CI: -0.27 to 1.26); SMD across studies was 0.13, 0.19</w:t>
      </w:r>
      <w:r w:rsidR="005853A9">
        <w:rPr>
          <w:szCs w:val="24"/>
        </w:rPr>
        <w:t xml:space="preserve"> and </w:t>
      </w:r>
      <w:r>
        <w:rPr>
          <w:szCs w:val="24"/>
        </w:rPr>
        <w:t>1.52, with all studies favouring HRT. In the comparison</w:t>
      </w:r>
      <w:r w:rsidR="00427468">
        <w:rPr>
          <w:szCs w:val="24"/>
        </w:rPr>
        <w:t xml:space="preserve"> of </w:t>
      </w:r>
      <w:r>
        <w:rPr>
          <w:szCs w:val="24"/>
        </w:rPr>
        <w:t>exercise versus yoga (two studies), the non-significant SMD was -0.09 (95% CI:-0.64 to 0.45); SMD was -0.37</w:t>
      </w:r>
      <w:r w:rsidR="005853A9">
        <w:rPr>
          <w:szCs w:val="24"/>
        </w:rPr>
        <w:t xml:space="preserve"> and </w:t>
      </w:r>
      <w:r>
        <w:rPr>
          <w:szCs w:val="24"/>
        </w:rPr>
        <w:t xml:space="preserve">0.19. All comparisons were based on small samples. One small study reported data that could not be included in the meta-analysis; in this study hot flush scores were significantly lower in the exercise plus soy milk group (83%) than soy </w:t>
      </w:r>
      <w:r>
        <w:rPr>
          <w:szCs w:val="24"/>
        </w:rPr>
        <w:lastRenderedPageBreak/>
        <w:t>milk only group (72%). Authors</w:t>
      </w:r>
      <w:r w:rsidR="0071223E">
        <w:t>’</w:t>
      </w:r>
      <w:r>
        <w:rPr>
          <w:szCs w:val="24"/>
        </w:rPr>
        <w:t xml:space="preserve"> conclusions The existing studies provided insufficient evidence to determine the effectiveness</w:t>
      </w:r>
      <w:r w:rsidR="00427468">
        <w:rPr>
          <w:szCs w:val="24"/>
        </w:rPr>
        <w:t xml:space="preserve"> of </w:t>
      </w:r>
      <w:r>
        <w:rPr>
          <w:szCs w:val="24"/>
        </w:rPr>
        <w:t>exercise as a treatment for vasomotor menopa</w:t>
      </w:r>
      <w:r w:rsidR="00D5664A">
        <w:rPr>
          <w:szCs w:val="24"/>
        </w:rPr>
        <w:t>USA</w:t>
      </w:r>
      <w:r>
        <w:rPr>
          <w:szCs w:val="24"/>
        </w:rPr>
        <w:t>l symptoms, or whether exercise is more effective than HRT or yoga.</w:t>
      </w:r>
    </w:p>
    <w:p w:rsidR="00365DE4" w:rsidRDefault="00365DE4" w:rsidP="00365DE4">
      <w:pPr>
        <w:pStyle w:val="a3"/>
        <w:rPr>
          <w:szCs w:val="24"/>
        </w:rPr>
      </w:pPr>
      <w:r>
        <w:t xml:space="preserve">Keywords: Authors, Bibliographic, Bibliographic Databases, Bone-Mineral Density, Citation, Complementary Therapies, Databases, Embase, Estrogen Plus Progestin, Estrogen Replacement Therapy, Exercise, Female, Health-Education Intervention, Hormone-Replacement Therapy, Hot Flashes [Therapy], Humans, Interventions, </w:t>
      </w:r>
      <w:r w:rsidR="00D5664A">
        <w:t>MEDLINE</w:t>
      </w:r>
      <w:r>
        <w:t>, Menopause, Meta-Analysis, Mid-Aged Women, Middle Aged, Moderate-Intensity Exercise, Oral Estradiol Treatment, Postmenopa</w:t>
      </w:r>
      <w:r w:rsidR="00D5664A">
        <w:t>USA</w:t>
      </w:r>
      <w:r>
        <w:t xml:space="preserve">l Women, Quality-of-Life, Randomized Controlled Trial, Science Citation Index, Search Strategy, Sweat Gland Diseases [Therapy], Sweating, </w:t>
      </w:r>
      <w:r w:rsidR="00D5664A">
        <w:t>Web</w:t>
      </w:r>
      <w:r w:rsidR="00427468">
        <w:t xml:space="preserve"> of </w:t>
      </w:r>
      <w:r w:rsidR="00D5664A">
        <w:t>Science</w:t>
      </w:r>
    </w:p>
    <w:p w:rsidR="00365DE4" w:rsidRDefault="00365DE4" w:rsidP="00365DE4">
      <w:pPr>
        <w:pStyle w:val="a3"/>
        <w:rPr>
          <w:kern w:val="0"/>
        </w:rPr>
      </w:pPr>
      <w:r>
        <w:rPr>
          <w:kern w:val="0"/>
        </w:rPr>
        <w:t>? Gur</w:t>
      </w:r>
      <w:r w:rsidR="00D5664A">
        <w:rPr>
          <w:kern w:val="0"/>
        </w:rPr>
        <w:t>USA</w:t>
      </w:r>
      <w:r>
        <w:rPr>
          <w:kern w:val="0"/>
        </w:rPr>
        <w:t>my, K.S., Naik, P.</w:t>
      </w:r>
      <w:r w:rsidR="005853A9">
        <w:rPr>
          <w:kern w:val="0"/>
        </w:rPr>
        <w:t xml:space="preserve"> and </w:t>
      </w:r>
      <w:r>
        <w:rPr>
          <w:kern w:val="0"/>
        </w:rPr>
        <w:t xml:space="preserve">Davidson, B.R. (2011), Routine drainage for orthotopic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CD002800.</w:t>
      </w:r>
    </w:p>
    <w:p w:rsidR="00365DE4" w:rsidRDefault="00365DE4" w:rsidP="00365DE4">
      <w:pPr>
        <w:pStyle w:val="a3"/>
        <w:rPr>
          <w:kern w:val="2"/>
        </w:rPr>
      </w:pPr>
      <w:r>
        <w:t xml:space="preserve">Full Text: </w:t>
      </w:r>
      <w:hyperlink r:id="rId658" w:history="1">
        <w:r>
          <w:rPr>
            <w:rStyle w:val="a5"/>
          </w:rPr>
          <w:t>2011\Coc Dat Sys Rev2011, CD002800.pdf</w:t>
        </w:r>
      </w:hyperlink>
    </w:p>
    <w:p w:rsidR="00365DE4" w:rsidRDefault="00365DE4" w:rsidP="00365DE4">
      <w:pPr>
        <w:pStyle w:val="a3"/>
        <w:rPr>
          <w:kern w:val="0"/>
        </w:rPr>
      </w:pPr>
      <w:r>
        <w:rPr>
          <w:kern w:val="0"/>
        </w:rPr>
        <w:t>Abstract: Background Routine use</w:t>
      </w:r>
      <w:r w:rsidR="00427468">
        <w:rPr>
          <w:kern w:val="0"/>
        </w:rPr>
        <w:t xml:space="preserve"> of </w:t>
      </w:r>
      <w:r>
        <w:rPr>
          <w:kern w:val="0"/>
        </w:rPr>
        <w:t>abdominal drainage in patients undergoing liver transplantation is controversial. Objectives To assess the benefits</w:t>
      </w:r>
      <w:r w:rsidR="005853A9">
        <w:rPr>
          <w:kern w:val="0"/>
        </w:rPr>
        <w:t xml:space="preserve"> and </w:t>
      </w:r>
      <w:r>
        <w:rPr>
          <w:kern w:val="0"/>
        </w:rPr>
        <w:t>harms</w:t>
      </w:r>
      <w:r w:rsidR="00427468">
        <w:rPr>
          <w:kern w:val="0"/>
        </w:rPr>
        <w:t xml:space="preserve"> of </w:t>
      </w:r>
      <w:r>
        <w:rPr>
          <w:kern w:val="0"/>
        </w:rPr>
        <w:t>routine abdominal drainage after orthotopic liver transplantation versus no drainage</w:t>
      </w:r>
      <w:r w:rsidR="005853A9">
        <w:rPr>
          <w:kern w:val="0"/>
        </w:rPr>
        <w:t xml:space="preserve"> and </w:t>
      </w:r>
      <w:r>
        <w:rPr>
          <w:kern w:val="0"/>
        </w:rPr>
        <w:t>to address different drain types. Search strategy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the MetaRegister</w:t>
      </w:r>
      <w:r w:rsidR="00427468">
        <w:rPr>
          <w:kern w:val="0"/>
        </w:rPr>
        <w:t xml:space="preserve"> of </w:t>
      </w:r>
      <w:r>
        <w:rPr>
          <w:kern w:val="0"/>
        </w:rPr>
        <w:t>Controlled Trials until March 2011 to identify the randomised trials. Selection criteria We planned to include only randomised clinical trials (irrespective</w:t>
      </w:r>
      <w:r w:rsidR="00427468">
        <w:rPr>
          <w:kern w:val="0"/>
        </w:rPr>
        <w:t xml:space="preserve"> of </w:t>
      </w:r>
      <w:r>
        <w:rPr>
          <w:kern w:val="0"/>
        </w:rPr>
        <w:t>language, blinding, or publication status) addressing this issue. Data collection</w:t>
      </w:r>
      <w:r w:rsidR="005853A9">
        <w:rPr>
          <w:kern w:val="0"/>
        </w:rPr>
        <w:t xml:space="preserve"> and </w:t>
      </w:r>
      <w:r>
        <w:rPr>
          <w:kern w:val="0"/>
        </w:rPr>
        <w:t>analysis Two authors identified the trials for inclusion independently. Two authors planned to collect the data independently. We planned to analyse the data with both the fixed-effect</w:t>
      </w:r>
      <w:r w:rsidR="005853A9">
        <w:rPr>
          <w:kern w:val="0"/>
        </w:rPr>
        <w:t xml:space="preserve"> and </w:t>
      </w:r>
      <w:r>
        <w:rPr>
          <w:kern w:val="0"/>
        </w:rPr>
        <w:t>the random-effects model using RevMan Analysis. For each outcome we planned to calculate the risk ratio (RR) or mean difference (MD) with 95% confidence intervals (CI) based on intention-to-treat analysis whenever possible. Main results We did not identify any randomised clinical trials addressing this issue. Authors</w:t>
      </w:r>
      <w:r w:rsidR="0071223E">
        <w:rPr>
          <w:kern w:val="0"/>
        </w:rPr>
        <w:t>’</w:t>
      </w:r>
      <w:r>
        <w:rPr>
          <w:kern w:val="0"/>
        </w:rPr>
        <w:t xml:space="preserve"> conclusions There is currently no evidence to conclude whether routine abdominal drainage is useful or harmful in patients undergoing orthotopic liver transplantation. Evidence from non-randomised studies</w:t>
      </w:r>
      <w:r w:rsidR="00427468">
        <w:rPr>
          <w:kern w:val="0"/>
        </w:rPr>
        <w:t xml:space="preserve"> of </w:t>
      </w:r>
      <w:r>
        <w:rPr>
          <w:kern w:val="0"/>
        </w:rPr>
        <w:t>high risk</w:t>
      </w:r>
      <w:r w:rsidR="00427468">
        <w:rPr>
          <w:kern w:val="0"/>
        </w:rPr>
        <w:t xml:space="preserve"> of </w:t>
      </w:r>
      <w:r>
        <w:rPr>
          <w:kern w:val="0"/>
        </w:rPr>
        <w:t>bias showed conflicting results on the impact</w:t>
      </w:r>
      <w:r w:rsidR="00427468">
        <w:rPr>
          <w:kern w:val="0"/>
        </w:rPr>
        <w:t xml:space="preserve"> of </w:t>
      </w:r>
      <w:r>
        <w:rPr>
          <w:kern w:val="0"/>
        </w:rPr>
        <w:t>routine drainage in orthotopic liver transplantation on serious adverse events, showing that this question is an important clinical research question. Well-designed randomised clinical trials with adequate sample size to decrease systematic errors</w:t>
      </w:r>
      <w:r w:rsidR="005853A9">
        <w:rPr>
          <w:kern w:val="0"/>
        </w:rPr>
        <w:t xml:space="preserve"> and </w:t>
      </w:r>
      <w:r>
        <w:rPr>
          <w:kern w:val="0"/>
        </w:rPr>
        <w:t>to decrease random errors are necessary.</w:t>
      </w:r>
    </w:p>
    <w:p w:rsidR="00365DE4" w:rsidRDefault="00365DE4" w:rsidP="00365DE4">
      <w:pPr>
        <w:pStyle w:val="a3"/>
        <w:rPr>
          <w:kern w:val="0"/>
        </w:rPr>
      </w:pPr>
      <w:r>
        <w:rPr>
          <w:kern w:val="0"/>
        </w:rPr>
        <w:lastRenderedPageBreak/>
        <w:t xml:space="preserve">Keywords: Authors, Bias, Citation, Clinical Research, Clinical Trials, Efficacy, Embase, Empirical-Evidence, Impact, </w:t>
      </w:r>
      <w:r w:rsidR="00D5664A">
        <w:rPr>
          <w:kern w:val="0"/>
        </w:rPr>
        <w:t>MEDLINE</w:t>
      </w:r>
      <w:r>
        <w:rPr>
          <w:kern w:val="0"/>
        </w:rPr>
        <w:t>, Metaanalysis, Model, Publication, Quality, Randomized Clinical-Trials, Research, Science, Science Citation Index, Search Strategy, Survival</w:t>
      </w:r>
    </w:p>
    <w:p w:rsidR="00365DE4" w:rsidRDefault="00365DE4" w:rsidP="00365DE4">
      <w:pPr>
        <w:pStyle w:val="a3"/>
        <w:rPr>
          <w:kern w:val="0"/>
        </w:rPr>
      </w:pPr>
      <w:r>
        <w:rPr>
          <w:kern w:val="0"/>
        </w:rPr>
        <w:t>? Peng, L.J., Wang, J.Y.</w:t>
      </w:r>
      <w:r w:rsidR="005853A9">
        <w:rPr>
          <w:kern w:val="0"/>
        </w:rPr>
        <w:t xml:space="preserve"> and </w:t>
      </w:r>
      <w:r>
        <w:rPr>
          <w:kern w:val="0"/>
        </w:rPr>
        <w:t xml:space="preserve">Li, F. (2011), Weight reduction for non-alcoholic fatty liver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CD003619.</w:t>
      </w:r>
    </w:p>
    <w:p w:rsidR="00365DE4" w:rsidRDefault="00365DE4" w:rsidP="00365DE4">
      <w:pPr>
        <w:pStyle w:val="a3"/>
        <w:rPr>
          <w:kern w:val="2"/>
        </w:rPr>
      </w:pPr>
      <w:r>
        <w:t xml:space="preserve">Full Text: </w:t>
      </w:r>
      <w:hyperlink r:id="rId659" w:history="1">
        <w:r>
          <w:rPr>
            <w:rStyle w:val="a5"/>
          </w:rPr>
          <w:t>2011\Coc Dat Sys Rev2011, CD003619.pdf</w:t>
        </w:r>
      </w:hyperlink>
    </w:p>
    <w:p w:rsidR="00365DE4" w:rsidRDefault="00365DE4" w:rsidP="00365DE4">
      <w:pPr>
        <w:pStyle w:val="a3"/>
        <w:rPr>
          <w:kern w:val="0"/>
        </w:rPr>
      </w:pPr>
      <w:r>
        <w:rPr>
          <w:kern w:val="0"/>
        </w:rPr>
        <w:t>Abstract: Background Non-alcoholic fatty liver disease (NAFLD) is becoming a wide spread liver disease</w:t>
      </w:r>
      <w:r w:rsidR="00A37C1D">
        <w:rPr>
          <w:kern w:val="0"/>
        </w:rPr>
        <w:t>. The</w:t>
      </w:r>
      <w:r>
        <w:rPr>
          <w:kern w:val="0"/>
        </w:rPr>
        <w:t xml:space="preserve"> present recommendations for treatment are not evidence-based. Some</w:t>
      </w:r>
      <w:r w:rsidR="00427468">
        <w:rPr>
          <w:kern w:val="0"/>
        </w:rPr>
        <w:t xml:space="preserve"> of </w:t>
      </w:r>
      <w:r>
        <w:rPr>
          <w:kern w:val="0"/>
        </w:rPr>
        <w:t>them are various weight reduction measures with diet, exercise, drug, or surgical therapy. Objectives To assess the benefits</w:t>
      </w:r>
      <w:r w:rsidR="005853A9">
        <w:rPr>
          <w:kern w:val="0"/>
        </w:rPr>
        <w:t xml:space="preserve"> and </w:t>
      </w:r>
      <w:r>
        <w:rPr>
          <w:kern w:val="0"/>
        </w:rPr>
        <w:t>harms</w:t>
      </w:r>
      <w:r w:rsidR="00427468">
        <w:rPr>
          <w:kern w:val="0"/>
        </w:rPr>
        <w:t xml:space="preserve"> of </w:t>
      </w:r>
      <w:r>
        <w:rPr>
          <w:kern w:val="0"/>
        </w:rPr>
        <w:t>intended weight reduction for patients with NAFLD. Search strategy We searched The Cochrane Hepato-Biliary Group Controlled Trials Register, The Cochrane Central Register</w:t>
      </w:r>
      <w:r w:rsidR="00427468">
        <w:rPr>
          <w:kern w:val="0"/>
        </w:rPr>
        <w:t xml:space="preserve"> of </w:t>
      </w:r>
      <w:r>
        <w:rPr>
          <w:kern w:val="0"/>
        </w:rPr>
        <w:t>Controlled Trials (CENTRAL) in The Cochrane Library, PUBMED, EMBASE, Science Citation Index Expanded, Chinese Biomedicine Database,</w:t>
      </w:r>
      <w:r w:rsidR="005853A9">
        <w:rPr>
          <w:kern w:val="0"/>
        </w:rPr>
        <w:t xml:space="preserve"> and </w:t>
      </w:r>
      <w:r>
        <w:rPr>
          <w:kern w:val="0"/>
        </w:rPr>
        <w:t>ClinicalTrials.gov until February 2011. Selection criteria We included randomised clinical trials evaluating weight reduction with different measures versus no intervention or placebo in NAFLD patients. Data collection</w:t>
      </w:r>
      <w:r w:rsidR="005853A9">
        <w:rPr>
          <w:kern w:val="0"/>
        </w:rPr>
        <w:t xml:space="preserve"> and </w:t>
      </w:r>
      <w:r>
        <w:rPr>
          <w:kern w:val="0"/>
        </w:rPr>
        <w:t>analysis We extracted data independently. We calculated the odds ratio (OR) for dichotomous data</w:t>
      </w:r>
      <w:r w:rsidR="005853A9">
        <w:rPr>
          <w:kern w:val="0"/>
        </w:rPr>
        <w:t xml:space="preserve"> and </w:t>
      </w:r>
      <w:r>
        <w:rPr>
          <w:kern w:val="0"/>
        </w:rPr>
        <w:t>calculated the mean difference (MD) for continuous data, both with 95% confidence intervals (CI). Main results The review includes seven trials; five on aspects</w:t>
      </w:r>
      <w:r w:rsidR="00427468">
        <w:rPr>
          <w:kern w:val="0"/>
        </w:rPr>
        <w:t xml:space="preserve"> of </w:t>
      </w:r>
      <w:r>
        <w:rPr>
          <w:kern w:val="0"/>
        </w:rPr>
        <w:t>lifestyle changes (eg, diet, physical exercise)</w:t>
      </w:r>
      <w:r w:rsidR="005853A9">
        <w:rPr>
          <w:kern w:val="0"/>
        </w:rPr>
        <w:t xml:space="preserve"> and </w:t>
      </w:r>
      <w:r>
        <w:rPr>
          <w:kern w:val="0"/>
        </w:rPr>
        <w:t xml:space="preserve">two on treatment with a weight reduction drug </w:t>
      </w:r>
      <w:r w:rsidR="0071223E">
        <w:rPr>
          <w:kern w:val="0"/>
        </w:rPr>
        <w:t>‘</w:t>
      </w:r>
      <w:r>
        <w:rPr>
          <w:kern w:val="0"/>
        </w:rPr>
        <w:t>orlistat</w:t>
      </w:r>
      <w:r w:rsidR="0071223E">
        <w:rPr>
          <w:kern w:val="0"/>
        </w:rPr>
        <w:t>’</w:t>
      </w:r>
      <w:r>
        <w:rPr>
          <w:kern w:val="0"/>
        </w:rPr>
        <w:t>. In total, 373 participants were enrolled,</w:t>
      </w:r>
      <w:r w:rsidR="005853A9">
        <w:rPr>
          <w:kern w:val="0"/>
        </w:rPr>
        <w:t xml:space="preserve"> and </w:t>
      </w:r>
      <w:r>
        <w:rPr>
          <w:kern w:val="0"/>
        </w:rPr>
        <w:t>the duration</w:t>
      </w:r>
      <w:r w:rsidR="00427468">
        <w:rPr>
          <w:kern w:val="0"/>
        </w:rPr>
        <w:t xml:space="preserve"> of </w:t>
      </w:r>
      <w:r>
        <w:rPr>
          <w:kern w:val="0"/>
        </w:rPr>
        <w:t>the trials ranged from 1 month to 1 year. Only one trial on lifestyle programme was judged to be</w:t>
      </w:r>
      <w:r w:rsidR="00427468">
        <w:rPr>
          <w:kern w:val="0"/>
        </w:rPr>
        <w:t xml:space="preserve"> of </w:t>
      </w:r>
      <w:r>
        <w:rPr>
          <w:kern w:val="0"/>
        </w:rPr>
        <w:t>low risk</w:t>
      </w:r>
      <w:r w:rsidR="00427468">
        <w:rPr>
          <w:kern w:val="0"/>
        </w:rPr>
        <w:t xml:space="preserve"> of </w:t>
      </w:r>
      <w:r>
        <w:rPr>
          <w:kern w:val="0"/>
        </w:rPr>
        <w:t>bias. We could not perform meta-analyses for the main outcomes as they were either not reported or there were insufficient number</w:t>
      </w:r>
      <w:r w:rsidR="00427468">
        <w:rPr>
          <w:kern w:val="0"/>
        </w:rPr>
        <w:t xml:space="preserve"> of </w:t>
      </w:r>
      <w:r>
        <w:rPr>
          <w:kern w:val="0"/>
        </w:rPr>
        <w:t>trials for each outcome to be meta-analysed. We could meta-analyse the available data for body weight</w:t>
      </w:r>
      <w:r w:rsidR="005853A9">
        <w:rPr>
          <w:kern w:val="0"/>
        </w:rPr>
        <w:t xml:space="preserve"> and </w:t>
      </w:r>
      <w:r>
        <w:rPr>
          <w:kern w:val="0"/>
        </w:rPr>
        <w:t>body mass index only. Adverse events were poorly reported. Authors</w:t>
      </w:r>
      <w:r w:rsidR="0071223E">
        <w:rPr>
          <w:kern w:val="0"/>
        </w:rPr>
        <w:t>’</w:t>
      </w:r>
      <w:r>
        <w:rPr>
          <w:kern w:val="0"/>
        </w:rPr>
        <w:t xml:space="preserve"> conclusions The sparse data</w:t>
      </w:r>
      <w:r w:rsidR="005853A9">
        <w:rPr>
          <w:kern w:val="0"/>
        </w:rPr>
        <w:t xml:space="preserve"> and </w:t>
      </w:r>
      <w:r>
        <w:rPr>
          <w:kern w:val="0"/>
        </w:rPr>
        <w:t>high risk</w:t>
      </w:r>
      <w:r w:rsidR="00427468">
        <w:rPr>
          <w:kern w:val="0"/>
        </w:rPr>
        <w:t xml:space="preserve"> of </w:t>
      </w:r>
      <w:r>
        <w:rPr>
          <w:kern w:val="0"/>
        </w:rPr>
        <w:t>bias preclude us from drawing any definite conclusion on lifestyle programme or orlistat for treatment</w:t>
      </w:r>
      <w:r w:rsidR="00427468">
        <w:rPr>
          <w:kern w:val="0"/>
        </w:rPr>
        <w:t xml:space="preserve"> of </w:t>
      </w:r>
      <w:r>
        <w:rPr>
          <w:kern w:val="0"/>
        </w:rPr>
        <w:t>NAFLD. Further randomised clinical trials with low risk</w:t>
      </w:r>
      <w:r w:rsidR="00427468">
        <w:rPr>
          <w:kern w:val="0"/>
        </w:rPr>
        <w:t xml:space="preserve"> of </w:t>
      </w:r>
      <w:r>
        <w:rPr>
          <w:kern w:val="0"/>
        </w:rPr>
        <w:t>bias are needed to test the beneficial</w:t>
      </w:r>
      <w:r w:rsidR="005853A9">
        <w:rPr>
          <w:kern w:val="0"/>
        </w:rPr>
        <w:t xml:space="preserve"> and </w:t>
      </w:r>
      <w:r>
        <w:rPr>
          <w:kern w:val="0"/>
        </w:rPr>
        <w:t>harmful effects</w:t>
      </w:r>
      <w:r w:rsidR="00427468">
        <w:rPr>
          <w:kern w:val="0"/>
        </w:rPr>
        <w:t xml:space="preserve"> of </w:t>
      </w:r>
      <w:r>
        <w:rPr>
          <w:kern w:val="0"/>
        </w:rPr>
        <w:t>weight reduction for NAFLD patients</w:t>
      </w:r>
      <w:r w:rsidR="00A37C1D">
        <w:rPr>
          <w:kern w:val="0"/>
        </w:rPr>
        <w:t>. The</w:t>
      </w:r>
      <w:r>
        <w:rPr>
          <w:kern w:val="0"/>
        </w:rPr>
        <w:t xml:space="preserve"> long-term prognosis</w:t>
      </w:r>
      <w:r w:rsidR="00427468">
        <w:rPr>
          <w:kern w:val="0"/>
        </w:rPr>
        <w:t xml:space="preserve"> of </w:t>
      </w:r>
      <w:r>
        <w:rPr>
          <w:kern w:val="0"/>
        </w:rPr>
        <w:t>development</w:t>
      </w:r>
      <w:r w:rsidR="00427468">
        <w:rPr>
          <w:kern w:val="0"/>
        </w:rPr>
        <w:t xml:space="preserve"> of </w:t>
      </w:r>
      <w:r>
        <w:rPr>
          <w:kern w:val="0"/>
        </w:rPr>
        <w:t>fibrosis, mortality,</w:t>
      </w:r>
      <w:r w:rsidR="005853A9">
        <w:rPr>
          <w:kern w:val="0"/>
        </w:rPr>
        <w:t xml:space="preserve"> and </w:t>
      </w:r>
      <w:r>
        <w:rPr>
          <w:kern w:val="0"/>
        </w:rPr>
        <w:t>quality</w:t>
      </w:r>
      <w:r w:rsidR="00427468">
        <w:rPr>
          <w:kern w:val="0"/>
        </w:rPr>
        <w:t xml:space="preserve"> of </w:t>
      </w:r>
      <w:r>
        <w:rPr>
          <w:kern w:val="0"/>
        </w:rPr>
        <w:t>life should be studied.</w:t>
      </w:r>
    </w:p>
    <w:p w:rsidR="00365DE4" w:rsidRDefault="00365DE4" w:rsidP="00365DE4">
      <w:pPr>
        <w:pStyle w:val="a3"/>
        <w:rPr>
          <w:kern w:val="0"/>
        </w:rPr>
      </w:pPr>
      <w:r>
        <w:rPr>
          <w:kern w:val="0"/>
        </w:rPr>
        <w:t xml:space="preserve">Keywords: Aminotransferase Levels, Bariatric Surgery, Bias, Citation, Clinical Trials, Development, Embase, Follow-Up, Hepatic Steatosis, Impaired Glucose-Tolerance, Life-Style Intervention, Obese Children, Outcomes, Placebo-Controlled Trial, PUBMED, Randomized Controlled-Trial, Review, Risk-Factors, Science, Science </w:t>
      </w:r>
      <w:r>
        <w:rPr>
          <w:kern w:val="0"/>
        </w:rPr>
        <w:lastRenderedPageBreak/>
        <w:t>Citation Index, Search Strategy</w:t>
      </w:r>
    </w:p>
    <w:p w:rsidR="00365DE4" w:rsidRDefault="00365DE4" w:rsidP="00365DE4">
      <w:pPr>
        <w:pStyle w:val="a3"/>
        <w:rPr>
          <w:kern w:val="0"/>
        </w:rPr>
      </w:pPr>
      <w:r>
        <w:rPr>
          <w:kern w:val="0"/>
        </w:rPr>
        <w:t>? Verbeek, J.H., Martimo, K.P., Karppinen, J., Kuijer, P.P.F.M., Viikari-Juntura, E.</w:t>
      </w:r>
      <w:r w:rsidR="005853A9">
        <w:rPr>
          <w:kern w:val="0"/>
        </w:rPr>
        <w:t xml:space="preserve"> and </w:t>
      </w:r>
      <w:r>
        <w:rPr>
          <w:kern w:val="0"/>
        </w:rPr>
        <w:t>Takala, E.P. (2011), Manual material handling advice</w:t>
      </w:r>
      <w:r w:rsidR="005853A9">
        <w:rPr>
          <w:kern w:val="0"/>
        </w:rPr>
        <w:t xml:space="preserve"> and </w:t>
      </w:r>
      <w:r>
        <w:rPr>
          <w:kern w:val="0"/>
        </w:rPr>
        <w:t>assistive devices for preventing</w:t>
      </w:r>
      <w:r w:rsidR="005853A9">
        <w:rPr>
          <w:kern w:val="0"/>
        </w:rPr>
        <w:t xml:space="preserve"> and </w:t>
      </w:r>
      <w:r>
        <w:rPr>
          <w:kern w:val="0"/>
        </w:rPr>
        <w:t xml:space="preserve">treating back pain in workers.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CD005958.</w:t>
      </w:r>
    </w:p>
    <w:p w:rsidR="00365DE4" w:rsidRDefault="00365DE4" w:rsidP="00365DE4">
      <w:pPr>
        <w:pStyle w:val="a3"/>
        <w:rPr>
          <w:kern w:val="2"/>
        </w:rPr>
      </w:pPr>
      <w:r>
        <w:t xml:space="preserve">Full Text: </w:t>
      </w:r>
      <w:hyperlink r:id="rId660" w:history="1">
        <w:r>
          <w:rPr>
            <w:rStyle w:val="a5"/>
          </w:rPr>
          <w:t>2011\Coc Dat Sys Rev2011, CD005958.pdf</w:t>
        </w:r>
      </w:hyperlink>
    </w:p>
    <w:p w:rsidR="00365DE4" w:rsidRDefault="00365DE4" w:rsidP="00365DE4">
      <w:pPr>
        <w:pStyle w:val="a3"/>
        <w:rPr>
          <w:kern w:val="0"/>
        </w:rPr>
      </w:pPr>
      <w:r>
        <w:rPr>
          <w:kern w:val="0"/>
        </w:rPr>
        <w:t>Abstract: Background Training</w:t>
      </w:r>
      <w:r w:rsidR="005853A9">
        <w:rPr>
          <w:kern w:val="0"/>
        </w:rPr>
        <w:t xml:space="preserve"> and </w:t>
      </w:r>
      <w:r>
        <w:rPr>
          <w:kern w:val="0"/>
        </w:rPr>
        <w:t>the provision</w:t>
      </w:r>
      <w:r w:rsidR="00427468">
        <w:rPr>
          <w:kern w:val="0"/>
        </w:rPr>
        <w:t xml:space="preserve"> of </w:t>
      </w:r>
      <w:r>
        <w:rPr>
          <w:kern w:val="0"/>
        </w:rPr>
        <w:t>assistive devices are considered major interventions to prevent back pain</w:t>
      </w:r>
      <w:r w:rsidR="005853A9">
        <w:rPr>
          <w:kern w:val="0"/>
        </w:rPr>
        <w:t xml:space="preserve"> and </w:t>
      </w:r>
      <w:r>
        <w:rPr>
          <w:kern w:val="0"/>
        </w:rPr>
        <w:t>its related disability among workers exposed to manual material handling (MMH). Objectives To determine the effectiveness</w:t>
      </w:r>
      <w:r w:rsidR="00427468">
        <w:rPr>
          <w:kern w:val="0"/>
        </w:rPr>
        <w:t xml:space="preserve"> of </w:t>
      </w:r>
      <w:r>
        <w:rPr>
          <w:kern w:val="0"/>
        </w:rPr>
        <w:t>MMH advice</w:t>
      </w:r>
      <w:r w:rsidR="005853A9">
        <w:rPr>
          <w:kern w:val="0"/>
        </w:rPr>
        <w:t xml:space="preserve"> and </w:t>
      </w:r>
      <w:r>
        <w:rPr>
          <w:kern w:val="0"/>
        </w:rPr>
        <w:t>training</w:t>
      </w:r>
      <w:r w:rsidR="005853A9">
        <w:rPr>
          <w:kern w:val="0"/>
        </w:rPr>
        <w:t xml:space="preserve"> and </w:t>
      </w:r>
      <w:r>
        <w:rPr>
          <w:kern w:val="0"/>
        </w:rPr>
        <w:t>the provision</w:t>
      </w:r>
      <w:r w:rsidR="00427468">
        <w:rPr>
          <w:kern w:val="0"/>
        </w:rPr>
        <w:t xml:space="preserve"> of </w:t>
      </w:r>
      <w:r>
        <w:rPr>
          <w:kern w:val="0"/>
        </w:rPr>
        <w:t>assistive devices in preventing</w:t>
      </w:r>
      <w:r w:rsidR="005853A9">
        <w:rPr>
          <w:kern w:val="0"/>
        </w:rPr>
        <w:t xml:space="preserve"> and </w:t>
      </w:r>
      <w:r>
        <w:rPr>
          <w:kern w:val="0"/>
        </w:rPr>
        <w:t xml:space="preserve">treating back pain. Search strategy We searched CENTRAL (The Cochrane Library 2011, issue 1), </w:t>
      </w:r>
      <w:r w:rsidR="00D5664A">
        <w:rPr>
          <w:kern w:val="0"/>
        </w:rPr>
        <w:t>MEDLINE</w:t>
      </w:r>
      <w:r>
        <w:rPr>
          <w:kern w:val="0"/>
        </w:rPr>
        <w:t>, EMBASE, CINAHL, Nioshtic, CISdoc, Science Citation Index,</w:t>
      </w:r>
      <w:r w:rsidR="005853A9">
        <w:rPr>
          <w:kern w:val="0"/>
        </w:rPr>
        <w:t xml:space="preserve"> and </w:t>
      </w:r>
      <w:r>
        <w:rPr>
          <w:kern w:val="0"/>
        </w:rPr>
        <w:t>PsychLIT to February 2011. Selection criteria We included randomised controlled trials (RCT)</w:t>
      </w:r>
      <w:r w:rsidR="005853A9">
        <w:rPr>
          <w:kern w:val="0"/>
        </w:rPr>
        <w:t xml:space="preserve"> and </w:t>
      </w:r>
      <w:r>
        <w:rPr>
          <w:kern w:val="0"/>
        </w:rPr>
        <w:t>cohort studies with a concurrent control group that were aimed at changing human behaviour in MMH</w:t>
      </w:r>
      <w:r w:rsidR="005853A9">
        <w:rPr>
          <w:kern w:val="0"/>
        </w:rPr>
        <w:t xml:space="preserve"> and </w:t>
      </w:r>
      <w:r>
        <w:rPr>
          <w:kern w:val="0"/>
        </w:rPr>
        <w:t>measured back pain, back pain-related disability or sickness absence. Data collection</w:t>
      </w:r>
      <w:r w:rsidR="005853A9">
        <w:rPr>
          <w:kern w:val="0"/>
        </w:rPr>
        <w:t xml:space="preserve"> and </w:t>
      </w:r>
      <w:r>
        <w:rPr>
          <w:kern w:val="0"/>
        </w:rPr>
        <w:t>analysis Two authors independently extracted the data</w:t>
      </w:r>
      <w:r w:rsidR="005853A9">
        <w:rPr>
          <w:kern w:val="0"/>
        </w:rPr>
        <w:t xml:space="preserve"> and </w:t>
      </w:r>
      <w:r>
        <w:rPr>
          <w:kern w:val="0"/>
        </w:rPr>
        <w:t>assessed the risk</w:t>
      </w:r>
      <w:r w:rsidR="00427468">
        <w:rPr>
          <w:kern w:val="0"/>
        </w:rPr>
        <w:t xml:space="preserve"> of </w:t>
      </w:r>
      <w:r>
        <w:rPr>
          <w:kern w:val="0"/>
        </w:rPr>
        <w:t>bias using the criteria recommended by the Cochrane Back Review Group for RCTs</w:t>
      </w:r>
      <w:r w:rsidR="005853A9">
        <w:rPr>
          <w:kern w:val="0"/>
        </w:rPr>
        <w:t xml:space="preserve"> and </w:t>
      </w:r>
      <w:r>
        <w:rPr>
          <w:kern w:val="0"/>
        </w:rPr>
        <w:t>MINORS for the cohort studies. We based the results</w:t>
      </w:r>
      <w:r w:rsidR="005853A9">
        <w:rPr>
          <w:kern w:val="0"/>
        </w:rPr>
        <w:t xml:space="preserve"> and </w:t>
      </w:r>
      <w:r>
        <w:rPr>
          <w:kern w:val="0"/>
        </w:rPr>
        <w:t>conclusions on the analysis</w:t>
      </w:r>
      <w:r w:rsidR="00427468">
        <w:rPr>
          <w:kern w:val="0"/>
        </w:rPr>
        <w:t xml:space="preserve"> of </w:t>
      </w:r>
      <w:r>
        <w:rPr>
          <w:kern w:val="0"/>
        </w:rPr>
        <w:t>RCTs only. We compared these with the results from cohort studies. Main results We included nine RCTs (20,101 employees)</w:t>
      </w:r>
      <w:r w:rsidR="005853A9">
        <w:rPr>
          <w:kern w:val="0"/>
        </w:rPr>
        <w:t xml:space="preserve"> and </w:t>
      </w:r>
      <w:r>
        <w:rPr>
          <w:kern w:val="0"/>
        </w:rPr>
        <w:t>nine cohort studies (1280 employees) on the prevention</w:t>
      </w:r>
      <w:r w:rsidR="00427468">
        <w:rPr>
          <w:kern w:val="0"/>
        </w:rPr>
        <w:t xml:space="preserve"> of </w:t>
      </w:r>
      <w:r>
        <w:rPr>
          <w:kern w:val="0"/>
        </w:rPr>
        <w:t>back pain in this updated review. Studies compared training to no intervention (4), professional education (2), a video (3), use</w:t>
      </w:r>
      <w:r w:rsidR="00427468">
        <w:rPr>
          <w:kern w:val="0"/>
        </w:rPr>
        <w:t xml:space="preserve"> of </w:t>
      </w:r>
      <w:r>
        <w:rPr>
          <w:kern w:val="0"/>
        </w:rPr>
        <w:t>a back belt (3) or exercise (2). Other studies compared training plus lifting aids to no intervention (3)</w:t>
      </w:r>
      <w:r w:rsidR="005853A9">
        <w:rPr>
          <w:kern w:val="0"/>
        </w:rPr>
        <w:t xml:space="preserve"> and </w:t>
      </w:r>
      <w:r>
        <w:rPr>
          <w:kern w:val="0"/>
        </w:rPr>
        <w:t>to training only (1)</w:t>
      </w:r>
      <w:r w:rsidR="00A37C1D">
        <w:rPr>
          <w:kern w:val="0"/>
        </w:rPr>
        <w:t>. The</w:t>
      </w:r>
      <w:r>
        <w:rPr>
          <w:kern w:val="0"/>
        </w:rPr>
        <w:t xml:space="preserve"> intensity</w:t>
      </w:r>
      <w:r w:rsidR="00427468">
        <w:rPr>
          <w:kern w:val="0"/>
        </w:rPr>
        <w:t xml:space="preserve"> of </w:t>
      </w:r>
      <w:r>
        <w:rPr>
          <w:kern w:val="0"/>
        </w:rPr>
        <w:t>training ranged from a single educational session to very extensive personal biofeedback. Six RCTs had a high risk</w:t>
      </w:r>
      <w:r w:rsidR="00427468">
        <w:rPr>
          <w:kern w:val="0"/>
        </w:rPr>
        <w:t xml:space="preserve"> of </w:t>
      </w:r>
      <w:r>
        <w:rPr>
          <w:kern w:val="0"/>
        </w:rPr>
        <w:t>bias. None</w:t>
      </w:r>
      <w:r w:rsidR="00427468">
        <w:rPr>
          <w:kern w:val="0"/>
        </w:rPr>
        <w:t xml:space="preserve"> of </w:t>
      </w:r>
      <w:r>
        <w:rPr>
          <w:kern w:val="0"/>
        </w:rPr>
        <w:t>the included studies showed evidence</w:t>
      </w:r>
      <w:r w:rsidR="00427468">
        <w:rPr>
          <w:kern w:val="0"/>
        </w:rPr>
        <w:t xml:space="preserve"> of </w:t>
      </w:r>
      <w:r>
        <w:rPr>
          <w:kern w:val="0"/>
        </w:rPr>
        <w:t>a preventive effect</w:t>
      </w:r>
      <w:r w:rsidR="00427468">
        <w:rPr>
          <w:kern w:val="0"/>
        </w:rPr>
        <w:t xml:space="preserve"> of </w:t>
      </w:r>
      <w:r>
        <w:rPr>
          <w:kern w:val="0"/>
        </w:rPr>
        <w:t>training on back pain</w:t>
      </w:r>
      <w:r w:rsidR="00A37C1D">
        <w:rPr>
          <w:kern w:val="0"/>
        </w:rPr>
        <w:t>. The</w:t>
      </w:r>
      <w:r>
        <w:rPr>
          <w:kern w:val="0"/>
        </w:rPr>
        <w:t>re was moderate quality evidence from seven RCTs (19,317 employees) that those who received training reported levels</w:t>
      </w:r>
      <w:r w:rsidR="00427468">
        <w:rPr>
          <w:kern w:val="0"/>
        </w:rPr>
        <w:t xml:space="preserve"> of </w:t>
      </w:r>
      <w:r>
        <w:rPr>
          <w:kern w:val="0"/>
        </w:rPr>
        <w:t>back pain similar to those who received no intervention, with an odds ratio</w:t>
      </w:r>
      <w:r w:rsidR="00427468">
        <w:rPr>
          <w:kern w:val="0"/>
        </w:rPr>
        <w:t xml:space="preserve"> of </w:t>
      </w:r>
      <w:r>
        <w:rPr>
          <w:kern w:val="0"/>
        </w:rPr>
        <w:t>1.17 (95% confidence intervals (CI) 0.68 to 2.02) or minor advice (video), with a relative risk</w:t>
      </w:r>
      <w:r w:rsidR="00427468">
        <w:rPr>
          <w:kern w:val="0"/>
        </w:rPr>
        <w:t xml:space="preserve"> of </w:t>
      </w:r>
      <w:r>
        <w:rPr>
          <w:kern w:val="0"/>
        </w:rPr>
        <w:t>0.93 (95% CI 0.69 to 1.25). Confidence intervals around the effect estimates were still wide due to the adjustment for the design effect</w:t>
      </w:r>
      <w:r w:rsidR="00427468">
        <w:rPr>
          <w:kern w:val="0"/>
        </w:rPr>
        <w:t xml:space="preserve"> of </w:t>
      </w:r>
      <w:r>
        <w:rPr>
          <w:kern w:val="0"/>
        </w:rPr>
        <w:t>clustered studies</w:t>
      </w:r>
      <w:r w:rsidR="00A37C1D">
        <w:rPr>
          <w:kern w:val="0"/>
        </w:rPr>
        <w:t>. The</w:t>
      </w:r>
      <w:r>
        <w:rPr>
          <w:kern w:val="0"/>
        </w:rPr>
        <w:t xml:space="preserve"> results</w:t>
      </w:r>
      <w:r w:rsidR="00427468">
        <w:rPr>
          <w:kern w:val="0"/>
        </w:rPr>
        <w:t xml:space="preserve"> of </w:t>
      </w:r>
      <w:r>
        <w:rPr>
          <w:kern w:val="0"/>
        </w:rPr>
        <w:t>the cohort studies were similar to those</w:t>
      </w:r>
      <w:r w:rsidR="00427468">
        <w:rPr>
          <w:kern w:val="0"/>
        </w:rPr>
        <w:t xml:space="preserve"> of </w:t>
      </w:r>
      <w:r>
        <w:rPr>
          <w:kern w:val="0"/>
        </w:rPr>
        <w:t>the randomised studies. Authors</w:t>
      </w:r>
      <w:r w:rsidR="0071223E">
        <w:rPr>
          <w:kern w:val="0"/>
        </w:rPr>
        <w:t>’</w:t>
      </w:r>
      <w:r>
        <w:rPr>
          <w:kern w:val="0"/>
        </w:rPr>
        <w:t xml:space="preserve"> conclusions There is moderate quality evidence that MMH advice</w:t>
      </w:r>
      <w:r w:rsidR="005853A9">
        <w:rPr>
          <w:kern w:val="0"/>
        </w:rPr>
        <w:t xml:space="preserve"> and </w:t>
      </w:r>
      <w:r>
        <w:rPr>
          <w:kern w:val="0"/>
        </w:rPr>
        <w:t>training with or without assistive devices does not prevent back pain or back pain-related disability when compared to no intervention or alternative interventions</w:t>
      </w:r>
      <w:r w:rsidR="00A37C1D">
        <w:rPr>
          <w:kern w:val="0"/>
        </w:rPr>
        <w:t>. The</w:t>
      </w:r>
      <w:r>
        <w:rPr>
          <w:kern w:val="0"/>
        </w:rPr>
        <w:t>re is no evidence available from RCTs for the effectiveness</w:t>
      </w:r>
      <w:r w:rsidR="00427468">
        <w:rPr>
          <w:kern w:val="0"/>
        </w:rPr>
        <w:t xml:space="preserve"> of </w:t>
      </w:r>
      <w:r>
        <w:rPr>
          <w:kern w:val="0"/>
        </w:rPr>
        <w:t>MMH advice</w:t>
      </w:r>
      <w:r w:rsidR="005853A9">
        <w:rPr>
          <w:kern w:val="0"/>
        </w:rPr>
        <w:t xml:space="preserve"> and </w:t>
      </w:r>
      <w:r>
        <w:rPr>
          <w:kern w:val="0"/>
        </w:rPr>
        <w:t xml:space="preserve">training or MMH assistive devices for treating back pain. More high quality studies could further </w:t>
      </w:r>
      <w:r>
        <w:rPr>
          <w:kern w:val="0"/>
        </w:rPr>
        <w:lastRenderedPageBreak/>
        <w:t>reduce the remaining uncertainty.</w:t>
      </w:r>
    </w:p>
    <w:p w:rsidR="00365DE4" w:rsidRDefault="00365DE4" w:rsidP="00365DE4">
      <w:pPr>
        <w:pStyle w:val="a3"/>
        <w:rPr>
          <w:kern w:val="0"/>
        </w:rPr>
      </w:pPr>
      <w:r>
        <w:rPr>
          <w:kern w:val="0"/>
        </w:rPr>
        <w:t xml:space="preserve">Keywords: *Health Education, *Self-Help Devices, *Therapy], Authors, Back Pain [Prevention &amp; Control, Bias, Care Facilities, Citation, Cohort Studies, Education, Embase, Human, Humans, Intervention Program, Interventions, Lifting, Lumbar Supports, </w:t>
      </w:r>
      <w:r w:rsidR="00D5664A">
        <w:rPr>
          <w:kern w:val="0"/>
        </w:rPr>
        <w:t>MEDLINE</w:t>
      </w:r>
      <w:r>
        <w:rPr>
          <w:kern w:val="0"/>
        </w:rPr>
        <w:t>, Musculoskeletal Disorders, No Lifting Policy, Nurses, Occupational Diseases [Prevention &amp; Control, Participatory Ergonomics, Prevention, Professional, Randomized Controlled Trials As Topic, Randomized Controlled-Trial, Review, Science, Science Citation Index, Search Strategy, Systematic Reviews, Training, Updated Method Guidelines</w:t>
      </w:r>
    </w:p>
    <w:p w:rsidR="00365DE4" w:rsidRDefault="00365DE4" w:rsidP="00365DE4">
      <w:pPr>
        <w:pStyle w:val="a3"/>
        <w:rPr>
          <w:kern w:val="0"/>
        </w:rPr>
      </w:pPr>
      <w:r>
        <w:rPr>
          <w:kern w:val="0"/>
        </w:rPr>
        <w:t>? Hemmingsen, B., Lund, S.S., Gluud, C., Vaag, A., Almdal, T., Hemmingsen, C.</w:t>
      </w:r>
      <w:r w:rsidR="005853A9">
        <w:rPr>
          <w:kern w:val="0"/>
        </w:rPr>
        <w:t xml:space="preserve"> and </w:t>
      </w:r>
      <w:r>
        <w:rPr>
          <w:kern w:val="0"/>
        </w:rPr>
        <w:t xml:space="preserve">Wetterslev, J. (2011), Targeting intensive glycaemic control versus targeting conventional glycaemic control for type 2 diabetes mellitus.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CD008143.</w:t>
      </w:r>
    </w:p>
    <w:p w:rsidR="00365DE4" w:rsidRDefault="00365DE4" w:rsidP="00365DE4">
      <w:pPr>
        <w:pStyle w:val="a3"/>
        <w:rPr>
          <w:kern w:val="2"/>
        </w:rPr>
      </w:pPr>
      <w:r>
        <w:t xml:space="preserve">Full Text: </w:t>
      </w:r>
      <w:hyperlink r:id="rId661" w:history="1">
        <w:r>
          <w:rPr>
            <w:rStyle w:val="a5"/>
          </w:rPr>
          <w:t>2011\Coc Dat Sys Rev2011, CD008143.pdf</w:t>
        </w:r>
      </w:hyperlink>
    </w:p>
    <w:p w:rsidR="00365DE4" w:rsidRDefault="00365DE4" w:rsidP="00365DE4">
      <w:pPr>
        <w:pStyle w:val="a3"/>
        <w:rPr>
          <w:kern w:val="0"/>
        </w:rPr>
      </w:pPr>
      <w:r>
        <w:rPr>
          <w:kern w:val="0"/>
        </w:rPr>
        <w:t>Abstract: Background Patients with type 2 diabetes mellitus (T2D) exhibit an increased risk</w:t>
      </w:r>
      <w:r w:rsidR="00427468">
        <w:rPr>
          <w:kern w:val="0"/>
        </w:rPr>
        <w:t xml:space="preserve"> of </w:t>
      </w:r>
      <w:r>
        <w:rPr>
          <w:kern w:val="0"/>
        </w:rPr>
        <w:t>cardiovascular disease</w:t>
      </w:r>
      <w:r w:rsidR="005853A9">
        <w:rPr>
          <w:kern w:val="0"/>
        </w:rPr>
        <w:t xml:space="preserve"> and </w:t>
      </w:r>
      <w:r>
        <w:rPr>
          <w:kern w:val="0"/>
        </w:rPr>
        <w:t>mortality compared to the background population. Observational studies report a relationship between reduced blood glucose</w:t>
      </w:r>
      <w:r w:rsidR="005853A9">
        <w:rPr>
          <w:kern w:val="0"/>
        </w:rPr>
        <w:t xml:space="preserve"> and </w:t>
      </w:r>
      <w:r>
        <w:rPr>
          <w:kern w:val="0"/>
        </w:rPr>
        <w:t>reduced risk</w:t>
      </w:r>
      <w:r w:rsidR="00427468">
        <w:rPr>
          <w:kern w:val="0"/>
        </w:rPr>
        <w:t xml:space="preserve"> of </w:t>
      </w:r>
      <w:r>
        <w:rPr>
          <w:kern w:val="0"/>
        </w:rPr>
        <w:t>both micro-and macrovascular complications in patients with T2D. Objectives To assess the effects</w:t>
      </w:r>
      <w:r w:rsidR="00427468">
        <w:rPr>
          <w:kern w:val="0"/>
        </w:rPr>
        <w:t xml:space="preserve"> of </w:t>
      </w:r>
      <w:r>
        <w:rPr>
          <w:kern w:val="0"/>
        </w:rPr>
        <w:t>targeting intensive versus conventional glycaemic control in T2D patients. Search strategy Trials were obtained from searches</w:t>
      </w:r>
      <w:r w:rsidR="00427468">
        <w:rPr>
          <w:kern w:val="0"/>
        </w:rPr>
        <w:t xml:space="preserve"> of </w:t>
      </w:r>
      <w:r>
        <w:rPr>
          <w:kern w:val="0"/>
        </w:rPr>
        <w:t xml:space="preserve">CENTRAL (The Cochrane Library), </w:t>
      </w:r>
      <w:r w:rsidR="00D5664A">
        <w:rPr>
          <w:kern w:val="0"/>
        </w:rPr>
        <w:t>MEDLINE</w:t>
      </w:r>
      <w:r>
        <w:rPr>
          <w:kern w:val="0"/>
        </w:rPr>
        <w:t>, EMBASE, Science Citation Index Expanded, LILACS,</w:t>
      </w:r>
      <w:r w:rsidR="005853A9">
        <w:rPr>
          <w:kern w:val="0"/>
        </w:rPr>
        <w:t xml:space="preserve"> and </w:t>
      </w:r>
      <w:r>
        <w:rPr>
          <w:kern w:val="0"/>
        </w:rPr>
        <w:t>CINAHL (until December 2010). Selection criteria We included randomised clinical trials that prespecified different targets</w:t>
      </w:r>
      <w:r w:rsidR="00427468">
        <w:rPr>
          <w:kern w:val="0"/>
        </w:rPr>
        <w:t xml:space="preserve"> of </w:t>
      </w:r>
      <w:r>
        <w:rPr>
          <w:kern w:val="0"/>
        </w:rPr>
        <w:t>glycaemic control in adults with T2D. Data collection</w:t>
      </w:r>
      <w:r w:rsidR="005853A9">
        <w:rPr>
          <w:kern w:val="0"/>
        </w:rPr>
        <w:t xml:space="preserve"> and </w:t>
      </w:r>
      <w:r>
        <w:rPr>
          <w:kern w:val="0"/>
        </w:rPr>
        <w:t>analysis Two authors independently assessed the risk</w:t>
      </w:r>
      <w:r w:rsidR="00427468">
        <w:rPr>
          <w:kern w:val="0"/>
        </w:rPr>
        <w:t xml:space="preserve"> of </w:t>
      </w:r>
      <w:r>
        <w:rPr>
          <w:kern w:val="0"/>
        </w:rPr>
        <w:t>bias</w:t>
      </w:r>
      <w:r w:rsidR="005853A9">
        <w:rPr>
          <w:kern w:val="0"/>
        </w:rPr>
        <w:t xml:space="preserve"> and </w:t>
      </w:r>
      <w:r>
        <w:rPr>
          <w:kern w:val="0"/>
        </w:rPr>
        <w:t>extracted data. Dichotomous outcomes were assessed by risk ratios (RR)</w:t>
      </w:r>
      <w:r w:rsidR="005853A9">
        <w:rPr>
          <w:kern w:val="0"/>
        </w:rPr>
        <w:t xml:space="preserve"> and </w:t>
      </w:r>
      <w:r>
        <w:rPr>
          <w:kern w:val="0"/>
        </w:rPr>
        <w:t>95% confidence intervals (CI). Main results Twenty trials randomised 16,106T2D participants to intensive control</w:t>
      </w:r>
      <w:r w:rsidR="005853A9">
        <w:rPr>
          <w:kern w:val="0"/>
        </w:rPr>
        <w:t xml:space="preserve"> and </w:t>
      </w:r>
      <w:r>
        <w:rPr>
          <w:kern w:val="0"/>
        </w:rPr>
        <w:t>13,880 T2D participants to conventional glycaemic control</w:t>
      </w:r>
      <w:r w:rsidR="00A37C1D">
        <w:rPr>
          <w:kern w:val="0"/>
        </w:rPr>
        <w:t>. The</w:t>
      </w:r>
      <w:r>
        <w:rPr>
          <w:kern w:val="0"/>
        </w:rPr>
        <w:t xml:space="preserve"> mean age</w:t>
      </w:r>
      <w:r w:rsidR="00427468">
        <w:rPr>
          <w:kern w:val="0"/>
        </w:rPr>
        <w:t xml:space="preserve"> of </w:t>
      </w:r>
      <w:r>
        <w:rPr>
          <w:kern w:val="0"/>
        </w:rPr>
        <w:t>the participants was 62.1 years</w:t>
      </w:r>
      <w:r w:rsidR="00A37C1D">
        <w:rPr>
          <w:kern w:val="0"/>
        </w:rPr>
        <w:t>. The</w:t>
      </w:r>
      <w:r>
        <w:rPr>
          <w:kern w:val="0"/>
        </w:rPr>
        <w:t xml:space="preserve"> duration</w:t>
      </w:r>
      <w:r w:rsidR="00427468">
        <w:rPr>
          <w:kern w:val="0"/>
        </w:rPr>
        <w:t xml:space="preserve"> of </w:t>
      </w:r>
      <w:r>
        <w:rPr>
          <w:kern w:val="0"/>
        </w:rPr>
        <w:t>the intervention ranged from three days to 12.5 years</w:t>
      </w:r>
      <w:r w:rsidR="00A37C1D">
        <w:rPr>
          <w:kern w:val="0"/>
        </w:rPr>
        <w:t>. The</w:t>
      </w:r>
      <w:r>
        <w:rPr>
          <w:kern w:val="0"/>
        </w:rPr>
        <w:t xml:space="preserve"> number</w:t>
      </w:r>
      <w:r w:rsidR="00427468">
        <w:rPr>
          <w:kern w:val="0"/>
        </w:rPr>
        <w:t xml:space="preserve"> of </w:t>
      </w:r>
      <w:r>
        <w:rPr>
          <w:kern w:val="0"/>
        </w:rPr>
        <w:t>participants in the included trials ranged from 20 to 11,140</w:t>
      </w:r>
      <w:r w:rsidR="00A37C1D">
        <w:rPr>
          <w:kern w:val="0"/>
        </w:rPr>
        <w:t>. The</w:t>
      </w:r>
      <w:r>
        <w:rPr>
          <w:kern w:val="0"/>
        </w:rPr>
        <w:t>re was no significant difference between targeting intensive andconventional glycaemic control for all-cause mortality (RR 1.01, 95% CI 0.90 to 1.13; 29,731 participants, 18 trials) or cardiovascular mortality (RR 1.06, 95% CI 0.90 to 1.26; 29,731 participants, 18 trials). Trial sequential analysis (TSA) showed that a 10% RR reduction could be refuted for all-cause mortality. Targeting intensive glycaemic control did not show a significant effect on the risk</w:t>
      </w:r>
      <w:r w:rsidR="00427468">
        <w:rPr>
          <w:kern w:val="0"/>
        </w:rPr>
        <w:t xml:space="preserve"> of </w:t>
      </w:r>
      <w:r>
        <w:rPr>
          <w:kern w:val="0"/>
        </w:rPr>
        <w:t>non-fatal myocardial infarction in the random-effects model but decreased the risk in the fixed-effect model (RR 0.86, 95% CI 0.78 to 0.96; P = 0.006; 29,174 participants, 12 trials). Targeting intensive glycaemic control reduced the risk</w:t>
      </w:r>
      <w:r w:rsidR="00427468">
        <w:rPr>
          <w:kern w:val="0"/>
        </w:rPr>
        <w:t xml:space="preserve"> of </w:t>
      </w:r>
      <w:r>
        <w:rPr>
          <w:kern w:val="0"/>
        </w:rPr>
        <w:t xml:space="preserve">amputation (RR 0.64, 95% CI 0.43 to 0.95; P = 0.03; 6960 </w:t>
      </w:r>
      <w:r>
        <w:rPr>
          <w:kern w:val="0"/>
        </w:rPr>
        <w:lastRenderedPageBreak/>
        <w:t>participants, 8 trials), the composite risk</w:t>
      </w:r>
      <w:r w:rsidR="00427468">
        <w:rPr>
          <w:kern w:val="0"/>
        </w:rPr>
        <w:t xml:space="preserve"> of </w:t>
      </w:r>
      <w:r>
        <w:rPr>
          <w:kern w:val="0"/>
        </w:rPr>
        <w:t>microvascular disease (RR 0.89, 95% CI 0.83 to 0.95; P = 0.0006; 25,760 participants, 4 trials), retinopathy (RR 0.79, 95% CI 0.68 to 0.92; P = 0.002; 10,986 participants, 8 trials), retinal photocoagulation (RR 0.77, 95% CI 0.61 to 0.97; P = 0.03; 11,142 participants, 7 trials),</w:t>
      </w:r>
      <w:r w:rsidR="005853A9">
        <w:rPr>
          <w:kern w:val="0"/>
        </w:rPr>
        <w:t xml:space="preserve"> and </w:t>
      </w:r>
      <w:r>
        <w:rPr>
          <w:kern w:val="0"/>
        </w:rPr>
        <w:t>nephropathy (RR 0.78, 95% CI 0.61 to 0.99; P = 0.04; 27,929 participants, 9 trials)</w:t>
      </w:r>
      <w:r w:rsidR="00A37C1D">
        <w:rPr>
          <w:kern w:val="0"/>
        </w:rPr>
        <w:t>. The</w:t>
      </w:r>
      <w:r>
        <w:rPr>
          <w:kern w:val="0"/>
        </w:rPr>
        <w:t xml:space="preserve"> risks</w:t>
      </w:r>
      <w:r w:rsidR="00427468">
        <w:rPr>
          <w:kern w:val="0"/>
        </w:rPr>
        <w:t xml:space="preserve"> of </w:t>
      </w:r>
      <w:r>
        <w:rPr>
          <w:kern w:val="0"/>
        </w:rPr>
        <w:t>both mild</w:t>
      </w:r>
      <w:r w:rsidR="005853A9">
        <w:rPr>
          <w:kern w:val="0"/>
        </w:rPr>
        <w:t xml:space="preserve"> and </w:t>
      </w:r>
      <w:r>
        <w:rPr>
          <w:kern w:val="0"/>
        </w:rPr>
        <w:t>severe hypoglycaemia were increased with targeting intensive glycaemic control but substantial heterogeneity was present</w:t>
      </w:r>
      <w:r w:rsidR="00A37C1D">
        <w:rPr>
          <w:kern w:val="0"/>
        </w:rPr>
        <w:t>. The</w:t>
      </w:r>
      <w:r>
        <w:rPr>
          <w:kern w:val="0"/>
        </w:rPr>
        <w:t xml:space="preserve"> definition</w:t>
      </w:r>
      <w:r w:rsidR="00427468">
        <w:rPr>
          <w:kern w:val="0"/>
        </w:rPr>
        <w:t xml:space="preserve"> of </w:t>
      </w:r>
      <w:r>
        <w:rPr>
          <w:kern w:val="0"/>
        </w:rPr>
        <w:t>severe hypoglycaemia varied among the included trials; severe hypoglycaemia was reported in 12 trials that included 28,127 participants. TSA showed that firm evidence was reached for a 30% RR increase in severe hypoglycaemic when targeting intensive glycaemic control. Subgroup analysis</w:t>
      </w:r>
      <w:r w:rsidR="00427468">
        <w:rPr>
          <w:kern w:val="0"/>
        </w:rPr>
        <w:t xml:space="preserve"> of </w:t>
      </w:r>
      <w:r>
        <w:rPr>
          <w:kern w:val="0"/>
        </w:rPr>
        <w:t>trials exclusively dealing with glycaemic control in usual care settings showed a significant effect in favour</w:t>
      </w:r>
      <w:r w:rsidR="00427468">
        <w:rPr>
          <w:kern w:val="0"/>
        </w:rPr>
        <w:t xml:space="preserve"> of </w:t>
      </w:r>
      <w:r>
        <w:rPr>
          <w:kern w:val="0"/>
        </w:rPr>
        <w:t>targeting intensive glycaemic control for non-fatal myocardial infarction. However, TSA showed more trials are needed before firm evidence is established. Authors</w:t>
      </w:r>
      <w:r w:rsidR="0071223E">
        <w:rPr>
          <w:kern w:val="0"/>
        </w:rPr>
        <w:t>’</w:t>
      </w:r>
      <w:r>
        <w:rPr>
          <w:kern w:val="0"/>
        </w:rPr>
        <w:t xml:space="preserve"> conclusions The included trials did not show significant differences for all-cause mortality</w:t>
      </w:r>
      <w:r w:rsidR="005853A9">
        <w:rPr>
          <w:kern w:val="0"/>
        </w:rPr>
        <w:t xml:space="preserve"> and </w:t>
      </w:r>
      <w:r>
        <w:rPr>
          <w:kern w:val="0"/>
        </w:rPr>
        <w:t>cardiovascular mortality when targeting intensive glycaemic control compared with conventional glycaemic control. Targeting intensive glycaemic control reduced the risk</w:t>
      </w:r>
      <w:r w:rsidR="00427468">
        <w:rPr>
          <w:kern w:val="0"/>
        </w:rPr>
        <w:t xml:space="preserve"> of </w:t>
      </w:r>
      <w:r>
        <w:rPr>
          <w:kern w:val="0"/>
        </w:rPr>
        <w:t>microvascular complications while increasing the risk</w:t>
      </w:r>
      <w:r w:rsidR="00427468">
        <w:rPr>
          <w:kern w:val="0"/>
        </w:rPr>
        <w:t xml:space="preserve"> of </w:t>
      </w:r>
      <w:r>
        <w:rPr>
          <w:kern w:val="0"/>
        </w:rPr>
        <w:t>hypoglycaemia. Furthermore, intensive glycaemic control might reduce the risk</w:t>
      </w:r>
      <w:r w:rsidR="00427468">
        <w:rPr>
          <w:kern w:val="0"/>
        </w:rPr>
        <w:t xml:space="preserve"> of </w:t>
      </w:r>
      <w:r>
        <w:rPr>
          <w:kern w:val="0"/>
        </w:rPr>
        <w:t>non-fatal myocardial infarction in trials exclusively dealing with glycaemic control in usual care settings.</w:t>
      </w:r>
    </w:p>
    <w:p w:rsidR="00365DE4" w:rsidRDefault="00365DE4" w:rsidP="00365DE4">
      <w:pPr>
        <w:pStyle w:val="a3"/>
        <w:rPr>
          <w:kern w:val="0"/>
        </w:rPr>
      </w:pPr>
      <w:r>
        <w:rPr>
          <w:kern w:val="0"/>
        </w:rPr>
        <w:t xml:space="preserve">Keywords: 10-Year Follow-Up, Acute Myocardial-Infarction, Authors, Bias, Blood-Glucose Control, Cardiac Surgical-Procedures, Citation, Clinical Trials, Cost-Effectiveness, Embase, Insulin-Treatment, </w:t>
      </w:r>
      <w:r w:rsidR="00D5664A">
        <w:rPr>
          <w:kern w:val="0"/>
        </w:rPr>
        <w:t>MEDLINE</w:t>
      </w:r>
      <w:r>
        <w:rPr>
          <w:kern w:val="0"/>
        </w:rPr>
        <w:t>, Metabolic-Control, Model, Multifactorial Intervention, Outcomes, Randomized Controlled-Trials, Science, Science Citation Index, Search Strategy, Sternal Wound-Infection</w:t>
      </w:r>
    </w:p>
    <w:p w:rsidR="00365DE4" w:rsidRDefault="00365DE4" w:rsidP="00365DE4">
      <w:pPr>
        <w:pStyle w:val="a3"/>
        <w:rPr>
          <w:kern w:val="0"/>
        </w:rPr>
      </w:pPr>
      <w:r>
        <w:rPr>
          <w:kern w:val="0"/>
        </w:rPr>
        <w:t>? Heran, B.S., Chen, J.M.H., Ebrahim, S., Moxham, T., Oldridge, N., Rees, K., Thompson, D.R.</w:t>
      </w:r>
      <w:r w:rsidR="005853A9">
        <w:rPr>
          <w:kern w:val="0"/>
        </w:rPr>
        <w:t xml:space="preserve"> and </w:t>
      </w:r>
      <w:r>
        <w:rPr>
          <w:kern w:val="0"/>
        </w:rPr>
        <w:t xml:space="preserve">Taylor, R.S. (2011), Exercise-based cardiac rehabilitation for coronary heart disease. </w:t>
      </w:r>
      <w:r>
        <w:rPr>
          <w:i/>
          <w:iCs/>
          <w:kern w:val="0"/>
        </w:rPr>
        <w:t>Cochrane Database</w:t>
      </w:r>
      <w:r w:rsidR="00427468">
        <w:rPr>
          <w:i/>
          <w:iCs/>
          <w:kern w:val="0"/>
        </w:rPr>
        <w:t xml:space="preserve"> of </w:t>
      </w:r>
      <w:r>
        <w:rPr>
          <w:i/>
          <w:iCs/>
          <w:kern w:val="0"/>
        </w:rPr>
        <w:t>Systematic Reviews</w:t>
      </w:r>
      <w:r>
        <w:rPr>
          <w:kern w:val="0"/>
        </w:rPr>
        <w:t>, 7, Article Number: CD001800.</w:t>
      </w:r>
    </w:p>
    <w:p w:rsidR="00365DE4" w:rsidRDefault="00365DE4" w:rsidP="00365DE4">
      <w:pPr>
        <w:pStyle w:val="a3"/>
        <w:rPr>
          <w:kern w:val="2"/>
        </w:rPr>
      </w:pPr>
      <w:r>
        <w:t xml:space="preserve">Full Text: </w:t>
      </w:r>
      <w:hyperlink r:id="rId662" w:history="1">
        <w:r>
          <w:rPr>
            <w:rStyle w:val="a5"/>
          </w:rPr>
          <w:t>2011\Coc Dat Sys Rev2011, CD001800.pdf</w:t>
        </w:r>
      </w:hyperlink>
    </w:p>
    <w:p w:rsidR="00365DE4" w:rsidRDefault="00365DE4" w:rsidP="00365DE4">
      <w:pPr>
        <w:pStyle w:val="a3"/>
        <w:rPr>
          <w:kern w:val="0"/>
        </w:rPr>
      </w:pPr>
      <w:r>
        <w:rPr>
          <w:kern w:val="0"/>
        </w:rPr>
        <w:t>Abstract: Background The burden</w:t>
      </w:r>
      <w:r w:rsidR="00427468">
        <w:rPr>
          <w:kern w:val="0"/>
        </w:rPr>
        <w:t xml:space="preserve"> of </w:t>
      </w:r>
      <w:r>
        <w:rPr>
          <w:kern w:val="0"/>
        </w:rPr>
        <w:t>coronary heart disease (CHD) worldwide is one</w:t>
      </w:r>
      <w:r w:rsidR="00427468">
        <w:rPr>
          <w:kern w:val="0"/>
        </w:rPr>
        <w:t xml:space="preserve"> of </w:t>
      </w:r>
      <w:r>
        <w:rPr>
          <w:kern w:val="0"/>
        </w:rPr>
        <w:t>great concern to patients</w:t>
      </w:r>
      <w:r w:rsidR="005853A9">
        <w:rPr>
          <w:kern w:val="0"/>
        </w:rPr>
        <w:t xml:space="preserve"> and </w:t>
      </w:r>
      <w:r>
        <w:rPr>
          <w:kern w:val="0"/>
        </w:rPr>
        <w:t>healthcare agencies alike. Exercise-based cardiac rehabilitation aims to restore patients with heart disease to health. Objectives To determine the effectiveness</w:t>
      </w:r>
      <w:r w:rsidR="00427468">
        <w:rPr>
          <w:kern w:val="0"/>
        </w:rPr>
        <w:t xml:space="preserve"> of </w:t>
      </w:r>
      <w:r>
        <w:rPr>
          <w:kern w:val="0"/>
        </w:rPr>
        <w:t>exercise-based cardiac rehabilitation (exercise training alone or in combination with psychosocial or educational interventions) on mortality, morbidity</w:t>
      </w:r>
      <w:r w:rsidR="005853A9">
        <w:rPr>
          <w:kern w:val="0"/>
        </w:rPr>
        <w:t xml:space="preserve"> and </w:t>
      </w:r>
      <w:r>
        <w:rPr>
          <w:kern w:val="0"/>
        </w:rPr>
        <w:t>health-related quality</w:t>
      </w:r>
      <w:r w:rsidR="00427468">
        <w:rPr>
          <w:kern w:val="0"/>
        </w:rPr>
        <w:t xml:space="preserve"> of </w:t>
      </w:r>
      <w:r>
        <w:rPr>
          <w:kern w:val="0"/>
        </w:rPr>
        <w:t>life</w:t>
      </w:r>
      <w:r w:rsidR="00427468">
        <w:rPr>
          <w:kern w:val="0"/>
        </w:rPr>
        <w:t xml:space="preserve"> of </w:t>
      </w:r>
      <w:r>
        <w:rPr>
          <w:kern w:val="0"/>
        </w:rPr>
        <w:t>patients with CHD. Search strategy RCTs have been identified by searching CENTRAL, HTA,</w:t>
      </w:r>
      <w:r w:rsidR="005853A9">
        <w:rPr>
          <w:kern w:val="0"/>
        </w:rPr>
        <w:t xml:space="preserve"> and </w:t>
      </w:r>
      <w:r>
        <w:rPr>
          <w:kern w:val="0"/>
        </w:rPr>
        <w:t xml:space="preserve">DARE (using The Cochrane Library Issue 4, 2009), as well as </w:t>
      </w:r>
      <w:r w:rsidR="00D5664A">
        <w:rPr>
          <w:kern w:val="0"/>
        </w:rPr>
        <w:t>MEDLINE</w:t>
      </w:r>
      <w:r>
        <w:rPr>
          <w:kern w:val="0"/>
        </w:rPr>
        <w:t xml:space="preserve"> (1950 to December 2009), </w:t>
      </w:r>
      <w:r>
        <w:rPr>
          <w:kern w:val="0"/>
        </w:rPr>
        <w:lastRenderedPageBreak/>
        <w:t>EMBASE (1980 to December 2009), CINAHL (1982 to December 2009),</w:t>
      </w:r>
      <w:r w:rsidR="005853A9">
        <w:rPr>
          <w:kern w:val="0"/>
        </w:rPr>
        <w:t xml:space="preserve"> and </w:t>
      </w:r>
      <w:r>
        <w:rPr>
          <w:kern w:val="0"/>
        </w:rPr>
        <w:t>Science Citation Index Expanded (1900 to December 2009). Selection criteria Men</w:t>
      </w:r>
      <w:r w:rsidR="005853A9">
        <w:rPr>
          <w:kern w:val="0"/>
        </w:rPr>
        <w:t xml:space="preserve"> and </w:t>
      </w:r>
      <w:r>
        <w:rPr>
          <w:kern w:val="0"/>
        </w:rPr>
        <w:t>women</w:t>
      </w:r>
      <w:r w:rsidR="00427468">
        <w:rPr>
          <w:kern w:val="0"/>
        </w:rPr>
        <w:t xml:space="preserve"> of </w:t>
      </w:r>
      <w:r>
        <w:rPr>
          <w:kern w:val="0"/>
        </w:rPr>
        <w:t>all ages who have hadmyocardial infarction (MI), coronary artery bypass graft (CABG) or percutaneous transluminal coronary angioplasty (PTCA), or who have angina pectoris or coronary artery disease defined by angiography. Data collection</w:t>
      </w:r>
      <w:r w:rsidR="005853A9">
        <w:rPr>
          <w:kern w:val="0"/>
        </w:rPr>
        <w:t xml:space="preserve"> and </w:t>
      </w:r>
      <w:r>
        <w:rPr>
          <w:kern w:val="0"/>
        </w:rPr>
        <w:t>analysis Studies were selected</w:t>
      </w:r>
      <w:r w:rsidR="005853A9">
        <w:rPr>
          <w:kern w:val="0"/>
        </w:rPr>
        <w:t xml:space="preserve"> and </w:t>
      </w:r>
      <w:r>
        <w:rPr>
          <w:kern w:val="0"/>
        </w:rPr>
        <w:t>data extracted independently by two reviewers. Authors were contacted where possible to obtain missing information. Main results This systematic review has allowed analysis</w:t>
      </w:r>
      <w:r w:rsidR="00427468">
        <w:rPr>
          <w:kern w:val="0"/>
        </w:rPr>
        <w:t xml:space="preserve"> of </w:t>
      </w:r>
      <w:r>
        <w:rPr>
          <w:kern w:val="0"/>
        </w:rPr>
        <w:t>47 studies randomising 10,794 patients to exercise-based cardiac rehabilitation or usual care. In medium to longer term (i.e. 12 or more months follow-up) exercise-based cardiac rehabilitation reduced overall</w:t>
      </w:r>
      <w:r w:rsidR="005853A9">
        <w:rPr>
          <w:kern w:val="0"/>
        </w:rPr>
        <w:t xml:space="preserve"> and </w:t>
      </w:r>
      <w:r>
        <w:rPr>
          <w:kern w:val="0"/>
        </w:rPr>
        <w:t>cardiovascular mortality [RR 0.87 (95% CI 0.75, 0.99)</w:t>
      </w:r>
      <w:r w:rsidR="005853A9">
        <w:rPr>
          <w:kern w:val="0"/>
        </w:rPr>
        <w:t xml:space="preserve"> and </w:t>
      </w:r>
      <w:r>
        <w:rPr>
          <w:kern w:val="0"/>
        </w:rPr>
        <w:t>0.74 (95% CI 0.63, 0.87), respectively],</w:t>
      </w:r>
      <w:r w:rsidR="005853A9">
        <w:rPr>
          <w:kern w:val="0"/>
        </w:rPr>
        <w:t xml:space="preserve"> and </w:t>
      </w:r>
      <w:r>
        <w:rPr>
          <w:kern w:val="0"/>
        </w:rPr>
        <w:t>hospital admissions [RR 0.69 (95% CI 0.51, 0.93)] in the shorter term (&lt; 12 months follow-up) with no evidence</w:t>
      </w:r>
      <w:r w:rsidR="00427468">
        <w:rPr>
          <w:kern w:val="0"/>
        </w:rPr>
        <w:t xml:space="preserve"> of </w:t>
      </w:r>
      <w:r>
        <w:rPr>
          <w:kern w:val="0"/>
        </w:rPr>
        <w:t>heterogeneity</w:t>
      </w:r>
      <w:r w:rsidR="00427468">
        <w:rPr>
          <w:kern w:val="0"/>
        </w:rPr>
        <w:t xml:space="preserve"> of </w:t>
      </w:r>
      <w:r>
        <w:rPr>
          <w:kern w:val="0"/>
        </w:rPr>
        <w:t>effect across trials. Cardiac rehabilitation did not reduce the risk</w:t>
      </w:r>
      <w:r w:rsidR="00427468">
        <w:rPr>
          <w:kern w:val="0"/>
        </w:rPr>
        <w:t xml:space="preserve"> of </w:t>
      </w:r>
      <w:r>
        <w:rPr>
          <w:kern w:val="0"/>
        </w:rPr>
        <w:t>total MI, CABG or PTCA. Given both the heterogeneity in outcome measures</w:t>
      </w:r>
      <w:r w:rsidR="005853A9">
        <w:rPr>
          <w:kern w:val="0"/>
        </w:rPr>
        <w:t xml:space="preserve"> and </w:t>
      </w:r>
      <w:r>
        <w:rPr>
          <w:kern w:val="0"/>
        </w:rPr>
        <w:t>methods</w:t>
      </w:r>
      <w:r w:rsidR="00427468">
        <w:rPr>
          <w:kern w:val="0"/>
        </w:rPr>
        <w:t xml:space="preserve"> of </w:t>
      </w:r>
      <w:r>
        <w:rPr>
          <w:kern w:val="0"/>
        </w:rPr>
        <w:t>reporting findings, a meta-analysis was not undertaken for health-related quality</w:t>
      </w:r>
      <w:r w:rsidR="00427468">
        <w:rPr>
          <w:kern w:val="0"/>
        </w:rPr>
        <w:t xml:space="preserve"> of </w:t>
      </w:r>
      <w:r>
        <w:rPr>
          <w:kern w:val="0"/>
        </w:rPr>
        <w:t>life. In seven out</w:t>
      </w:r>
      <w:r w:rsidR="00427468">
        <w:rPr>
          <w:kern w:val="0"/>
        </w:rPr>
        <w:t xml:space="preserve"> of </w:t>
      </w:r>
      <w:r>
        <w:rPr>
          <w:kern w:val="0"/>
        </w:rPr>
        <w:t>10 trials reporting health-related quality</w:t>
      </w:r>
      <w:r w:rsidR="00427468">
        <w:rPr>
          <w:kern w:val="0"/>
        </w:rPr>
        <w:t xml:space="preserve"> of </w:t>
      </w:r>
      <w:r>
        <w:rPr>
          <w:kern w:val="0"/>
        </w:rPr>
        <w:t>life using validated measures was there evidence</w:t>
      </w:r>
      <w:r w:rsidR="00427468">
        <w:rPr>
          <w:kern w:val="0"/>
        </w:rPr>
        <w:t xml:space="preserve"> of </w:t>
      </w:r>
      <w:r>
        <w:rPr>
          <w:kern w:val="0"/>
        </w:rPr>
        <w:t>a significantly higher level</w:t>
      </w:r>
      <w:r w:rsidR="00427468">
        <w:rPr>
          <w:kern w:val="0"/>
        </w:rPr>
        <w:t xml:space="preserve"> of </w:t>
      </w:r>
      <w:r>
        <w:rPr>
          <w:kern w:val="0"/>
        </w:rPr>
        <w:t>quality</w:t>
      </w:r>
      <w:r w:rsidR="00427468">
        <w:rPr>
          <w:kern w:val="0"/>
        </w:rPr>
        <w:t xml:space="preserve"> of </w:t>
      </w:r>
      <w:r>
        <w:rPr>
          <w:kern w:val="0"/>
        </w:rPr>
        <w:t>life with exercise-based cardiac rehabilitation than usual care. Authors</w:t>
      </w:r>
      <w:r w:rsidR="0071223E">
        <w:rPr>
          <w:kern w:val="0"/>
        </w:rPr>
        <w:t>’</w:t>
      </w:r>
      <w:r>
        <w:rPr>
          <w:kern w:val="0"/>
        </w:rPr>
        <w:t xml:space="preserve"> conclusions Exercise-based cardiac rehabilitation is effective in reducing total</w:t>
      </w:r>
      <w:r w:rsidR="005853A9">
        <w:rPr>
          <w:kern w:val="0"/>
        </w:rPr>
        <w:t xml:space="preserve"> and </w:t>
      </w:r>
      <w:r>
        <w:rPr>
          <w:kern w:val="0"/>
        </w:rPr>
        <w:t>cardiovascular mortality (in medium to longer term studies)</w:t>
      </w:r>
      <w:r w:rsidR="005853A9">
        <w:rPr>
          <w:kern w:val="0"/>
        </w:rPr>
        <w:t xml:space="preserve"> and </w:t>
      </w:r>
      <w:r>
        <w:rPr>
          <w:kern w:val="0"/>
        </w:rPr>
        <w:t>hospital admissions (in shorter term studies) but not total MI or revascularisation (CABG or PTCA). Despite inclusion</w:t>
      </w:r>
      <w:r w:rsidR="00427468">
        <w:rPr>
          <w:kern w:val="0"/>
        </w:rPr>
        <w:t xml:space="preserve"> of </w:t>
      </w:r>
      <w:r>
        <w:rPr>
          <w:kern w:val="0"/>
        </w:rPr>
        <w:t>more recent trials, the population studied in this review is still predominantly male, middle aged</w:t>
      </w:r>
      <w:r w:rsidR="005853A9">
        <w:rPr>
          <w:kern w:val="0"/>
        </w:rPr>
        <w:t xml:space="preserve"> and </w:t>
      </w:r>
      <w:r>
        <w:rPr>
          <w:kern w:val="0"/>
        </w:rPr>
        <w:t>low risk</w:t>
      </w:r>
      <w:r w:rsidR="00A37C1D">
        <w:rPr>
          <w:kern w:val="0"/>
        </w:rPr>
        <w:t>. The</w:t>
      </w:r>
      <w:r>
        <w:rPr>
          <w:kern w:val="0"/>
        </w:rPr>
        <w:t>refore, well-designed,</w:t>
      </w:r>
      <w:r w:rsidR="005853A9">
        <w:rPr>
          <w:kern w:val="0"/>
        </w:rPr>
        <w:t xml:space="preserve"> and </w:t>
      </w:r>
      <w:r>
        <w:rPr>
          <w:kern w:val="0"/>
        </w:rPr>
        <w:t>adequately reported RCTs in groups</w:t>
      </w:r>
      <w:r w:rsidR="00427468">
        <w:rPr>
          <w:kern w:val="0"/>
        </w:rPr>
        <w:t xml:space="preserve"> of </w:t>
      </w:r>
      <w:r>
        <w:rPr>
          <w:kern w:val="0"/>
        </w:rPr>
        <w:t>CHD patients more representative</w:t>
      </w:r>
      <w:r w:rsidR="00427468">
        <w:rPr>
          <w:kern w:val="0"/>
        </w:rPr>
        <w:t xml:space="preserve"> of </w:t>
      </w:r>
      <w:r>
        <w:rPr>
          <w:kern w:val="0"/>
        </w:rPr>
        <w:t>usual clinical practice are still needed</w:t>
      </w:r>
      <w:r w:rsidR="00A37C1D">
        <w:rPr>
          <w:kern w:val="0"/>
        </w:rPr>
        <w:t>. The</w:t>
      </w:r>
      <w:r>
        <w:rPr>
          <w:kern w:val="0"/>
        </w:rPr>
        <w:t>se trials should include validated health-related quality</w:t>
      </w:r>
      <w:r w:rsidR="00427468">
        <w:rPr>
          <w:kern w:val="0"/>
        </w:rPr>
        <w:t xml:space="preserve"> of </w:t>
      </w:r>
      <w:r>
        <w:rPr>
          <w:kern w:val="0"/>
        </w:rPr>
        <w:t>life outcome measures, need to explicitly report clinical events including hospital admission,</w:t>
      </w:r>
      <w:r w:rsidR="005853A9">
        <w:rPr>
          <w:kern w:val="0"/>
        </w:rPr>
        <w:t xml:space="preserve"> and </w:t>
      </w:r>
      <w:r>
        <w:rPr>
          <w:kern w:val="0"/>
        </w:rPr>
        <w:t>assess costs</w:t>
      </w:r>
      <w:r w:rsidR="005853A9">
        <w:rPr>
          <w:kern w:val="0"/>
        </w:rPr>
        <w:t xml:space="preserve"> and </w:t>
      </w:r>
      <w:r>
        <w:rPr>
          <w:kern w:val="0"/>
        </w:rPr>
        <w:t>cost-effectiveness.</w:t>
      </w:r>
    </w:p>
    <w:p w:rsidR="00365DE4" w:rsidRDefault="00365DE4" w:rsidP="00365DE4">
      <w:pPr>
        <w:pStyle w:val="a3"/>
        <w:rPr>
          <w:kern w:val="0"/>
        </w:rPr>
      </w:pPr>
      <w:r>
        <w:rPr>
          <w:kern w:val="0"/>
        </w:rPr>
        <w:t xml:space="preserve">Keywords: Acute Myocardial-Infarction, Artery-Bypass-Surgery, Citation, Comprehensive Rehabilitation, Coronary Disease [Mortality, Costs, Elderly-Patients, Embase, Exercise Therapy, Information, Interventions, Low-Fat Diet, </w:t>
      </w:r>
      <w:r w:rsidR="00D5664A">
        <w:rPr>
          <w:kern w:val="0"/>
        </w:rPr>
        <w:t>MEDLINE</w:t>
      </w:r>
      <w:r>
        <w:rPr>
          <w:kern w:val="0"/>
        </w:rPr>
        <w:t>, Meta-Analysis, Myocardial Infarction [Mortality, Outcome Assessment (Health Care), Physical-Exercise, Program J-Carp, Quality</w:t>
      </w:r>
      <w:r w:rsidR="00427468">
        <w:rPr>
          <w:kern w:val="0"/>
        </w:rPr>
        <w:t xml:space="preserve"> of </w:t>
      </w:r>
      <w:r>
        <w:rPr>
          <w:kern w:val="0"/>
        </w:rPr>
        <w:t>Life, Quality-of-Life, Randomized Clinical-Trial, Randomized Controlled Trials As Topic, Rehabilitation], Review, Risk-Factors, Science, Science Citation Index, Search Strategy, Systematic Review, Training</w:t>
      </w:r>
    </w:p>
    <w:p w:rsidR="00365DE4" w:rsidRDefault="00365DE4" w:rsidP="00365DE4">
      <w:pPr>
        <w:pStyle w:val="a3"/>
        <w:rPr>
          <w:kern w:val="0"/>
        </w:rPr>
      </w:pPr>
      <w:r>
        <w:rPr>
          <w:kern w:val="0"/>
        </w:rPr>
        <w:t>? Kiwanuka, S.N., Rutebemberwa, E., Nalwadda, C., Okui, O., Ssengooba, F., Kinengyere, A.A.</w:t>
      </w:r>
      <w:r w:rsidR="005853A9">
        <w:rPr>
          <w:kern w:val="0"/>
        </w:rPr>
        <w:t xml:space="preserve"> and </w:t>
      </w:r>
      <w:r>
        <w:rPr>
          <w:kern w:val="0"/>
        </w:rPr>
        <w:t xml:space="preserve">Pariyo, G.W. (2011), Interventions to manage dual practice among health workers.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xml:space="preserve">, Article </w:t>
      </w:r>
      <w:r>
        <w:rPr>
          <w:kern w:val="0"/>
        </w:rPr>
        <w:lastRenderedPageBreak/>
        <w:t>Number: CD008405.</w:t>
      </w:r>
    </w:p>
    <w:p w:rsidR="00365DE4" w:rsidRDefault="00365DE4" w:rsidP="00365DE4">
      <w:pPr>
        <w:pStyle w:val="a3"/>
        <w:rPr>
          <w:kern w:val="2"/>
        </w:rPr>
      </w:pPr>
      <w:r>
        <w:t xml:space="preserve">Full Text: </w:t>
      </w:r>
      <w:hyperlink r:id="rId663" w:history="1">
        <w:r>
          <w:rPr>
            <w:rStyle w:val="a5"/>
          </w:rPr>
          <w:t>2011\Coc Dat Sys Rev2011, CD008405.pdf</w:t>
        </w:r>
      </w:hyperlink>
    </w:p>
    <w:p w:rsidR="00365DE4" w:rsidRDefault="00365DE4" w:rsidP="00365DE4">
      <w:pPr>
        <w:pStyle w:val="a3"/>
        <w:rPr>
          <w:kern w:val="0"/>
        </w:rPr>
      </w:pPr>
      <w:r>
        <w:rPr>
          <w:kern w:val="0"/>
        </w:rPr>
        <w:t>Abstract: Background Dual practice, whereby health workers hold two or more jobs, is a common phenomenon globally. In resource constrained low-and middle-income countries dual practice poses an ongoing threat to the efficiency, quality</w:t>
      </w:r>
      <w:r w:rsidR="005853A9">
        <w:rPr>
          <w:kern w:val="0"/>
        </w:rPr>
        <w:t xml:space="preserve"> and </w:t>
      </w:r>
      <w:r>
        <w:rPr>
          <w:kern w:val="0"/>
        </w:rPr>
        <w:t>equity</w:t>
      </w:r>
      <w:r w:rsidR="00427468">
        <w:rPr>
          <w:kern w:val="0"/>
        </w:rPr>
        <w:t xml:space="preserve"> of </w:t>
      </w:r>
      <w:r>
        <w:rPr>
          <w:kern w:val="0"/>
        </w:rPr>
        <w:t>health services, especially in the public sector. Identifying effective interventions to manage dual practice is important. Objectives To assess the effects</w:t>
      </w:r>
      <w:r w:rsidR="00427468">
        <w:rPr>
          <w:kern w:val="0"/>
        </w:rPr>
        <w:t xml:space="preserve"> of </w:t>
      </w:r>
      <w:r>
        <w:rPr>
          <w:kern w:val="0"/>
        </w:rPr>
        <w:t>regulations implemented to manage dual practice. Search strategy Databases searched included: The Cochrane Central Register</w:t>
      </w:r>
      <w:r w:rsidR="00427468">
        <w:rPr>
          <w:kern w:val="0"/>
        </w:rPr>
        <w:t xml:space="preserve"> of </w:t>
      </w:r>
      <w:r>
        <w:rPr>
          <w:kern w:val="0"/>
        </w:rPr>
        <w:t>Controlled Trials (CENTRAL) 2011, Issue 4, part</w:t>
      </w:r>
      <w:r w:rsidR="00427468">
        <w:rPr>
          <w:kern w:val="0"/>
        </w:rPr>
        <w:t xml:space="preserve"> of </w:t>
      </w:r>
      <w:r>
        <w:rPr>
          <w:kern w:val="0"/>
        </w:rPr>
        <w:t>The Cochrane Library. www.thecochranelibrary.com, including the Cochrane Effective Practice</w:t>
      </w:r>
      <w:r w:rsidR="005853A9">
        <w:rPr>
          <w:kern w:val="0"/>
        </w:rPr>
        <w:t xml:space="preserve"> and </w:t>
      </w:r>
      <w:r>
        <w:rPr>
          <w:kern w:val="0"/>
        </w:rPr>
        <w:t>Organisation</w:t>
      </w:r>
      <w:r w:rsidR="00427468">
        <w:rPr>
          <w:kern w:val="0"/>
        </w:rPr>
        <w:t xml:space="preserve"> of </w:t>
      </w:r>
      <w:r>
        <w:rPr>
          <w:kern w:val="0"/>
        </w:rPr>
        <w:t xml:space="preserve">Care (EPOC) Group Specialised Register (searched 26 May 2011); </w:t>
      </w:r>
      <w:r w:rsidR="00D5664A">
        <w:rPr>
          <w:kern w:val="0"/>
        </w:rPr>
        <w:t>MEDLINE</w:t>
      </w:r>
      <w:r>
        <w:rPr>
          <w:kern w:val="0"/>
        </w:rPr>
        <w:t xml:space="preserve"> In-Process &amp; Other Non-Indexed Citations May 24, 2011 (searched 26 May 2011); </w:t>
      </w:r>
      <w:r w:rsidR="00D5664A">
        <w:rPr>
          <w:kern w:val="0"/>
        </w:rPr>
        <w:t>MEDLINE</w:t>
      </w:r>
      <w:r>
        <w:rPr>
          <w:kern w:val="0"/>
        </w:rPr>
        <w:t>, Ovid (1948 to May week 2 2011) (searched 26 May 2011); EMBASE, Ovid (1980 to 2011 week 20) (searched 26 May 2011); Science Citation Index</w:t>
      </w:r>
      <w:r w:rsidR="005853A9">
        <w:rPr>
          <w:kern w:val="0"/>
        </w:rPr>
        <w:t xml:space="preserve"> and </w:t>
      </w:r>
      <w:r>
        <w:rPr>
          <w:kern w:val="0"/>
        </w:rPr>
        <w:t>Social Sciences Citation Index, ISI</w:t>
      </w:r>
      <w:r w:rsidR="00D5664A">
        <w:rPr>
          <w:kern w:val="0"/>
        </w:rPr>
        <w:t>Web</w:t>
      </w:r>
      <w:r w:rsidR="00427468">
        <w:rPr>
          <w:kern w:val="0"/>
        </w:rPr>
        <w:t xml:space="preserve"> of </w:t>
      </w:r>
      <w:r w:rsidR="00D5664A">
        <w:rPr>
          <w:kern w:val="0"/>
        </w:rPr>
        <w:t>Science</w:t>
      </w:r>
      <w:r>
        <w:rPr>
          <w:kern w:val="0"/>
        </w:rPr>
        <w:t xml:space="preserve"> (1975 to present) (searched 04 December 2009); LILACS (searched January 2010);</w:t>
      </w:r>
      <w:r w:rsidR="005853A9">
        <w:rPr>
          <w:kern w:val="0"/>
        </w:rPr>
        <w:t xml:space="preserve"> and </w:t>
      </w:r>
      <w:r>
        <w:rPr>
          <w:kern w:val="0"/>
        </w:rPr>
        <w:t>AIM (December 2009) (searched 18 December 2009). Selection criteria Randomized controlled trials, non-randomized controlled trials, controlled before-and-after studies</w:t>
      </w:r>
      <w:r w:rsidR="005853A9">
        <w:rPr>
          <w:kern w:val="0"/>
        </w:rPr>
        <w:t xml:space="preserve"> and </w:t>
      </w:r>
      <w:r>
        <w:rPr>
          <w:kern w:val="0"/>
        </w:rPr>
        <w:t>interrupted-time-series studies. Dual practice was defined as holding more than one job. Studies for inclusion were those focusing on interventions to manage dual practice among health professionals employed in the public health sector. Data collection</w:t>
      </w:r>
      <w:r w:rsidR="005853A9">
        <w:rPr>
          <w:kern w:val="0"/>
        </w:rPr>
        <w:t xml:space="preserve"> and </w:t>
      </w:r>
      <w:r>
        <w:rPr>
          <w:kern w:val="0"/>
        </w:rPr>
        <w:t>analysis Two review authors independently applied the criteria for inclusion</w:t>
      </w:r>
      <w:r w:rsidR="005853A9">
        <w:rPr>
          <w:kern w:val="0"/>
        </w:rPr>
        <w:t xml:space="preserve"> and </w:t>
      </w:r>
      <w:r>
        <w:rPr>
          <w:kern w:val="0"/>
        </w:rPr>
        <w:t>exclusion</w:t>
      </w:r>
      <w:r w:rsidR="00427468">
        <w:rPr>
          <w:kern w:val="0"/>
        </w:rPr>
        <w:t xml:space="preserve"> of </w:t>
      </w:r>
      <w:r>
        <w:rPr>
          <w:kern w:val="0"/>
        </w:rPr>
        <w:t>studies when scanning the identified titles</w:t>
      </w:r>
      <w:r w:rsidR="005853A9">
        <w:rPr>
          <w:kern w:val="0"/>
        </w:rPr>
        <w:t xml:space="preserve"> and </w:t>
      </w:r>
      <w:r>
        <w:rPr>
          <w:kern w:val="0"/>
        </w:rPr>
        <w:t>abstracts</w:t>
      </w:r>
      <w:r w:rsidR="00A37C1D">
        <w:rPr>
          <w:kern w:val="0"/>
        </w:rPr>
        <w:t>. The</w:t>
      </w:r>
      <w:r>
        <w:rPr>
          <w:kern w:val="0"/>
        </w:rPr>
        <w:t xml:space="preserve"> same two review authors independently Main results No studies were found which were eligible for inclusion in this review. Authors</w:t>
      </w:r>
      <w:r w:rsidR="0071223E">
        <w:rPr>
          <w:kern w:val="0"/>
        </w:rPr>
        <w:t>’</w:t>
      </w:r>
      <w:r>
        <w:rPr>
          <w:kern w:val="0"/>
        </w:rPr>
        <w:t xml:space="preserve"> conclusions There is a need to rigorously evaluate the effects</w:t>
      </w:r>
      <w:r w:rsidR="00427468">
        <w:rPr>
          <w:kern w:val="0"/>
        </w:rPr>
        <w:t xml:space="preserve"> of </w:t>
      </w:r>
      <w:r>
        <w:rPr>
          <w:kern w:val="0"/>
        </w:rPr>
        <w:t>interventions implemented to manage dual practice among health workers. However, there is still much that is unknown about dual practice itself</w:t>
      </w:r>
      <w:r w:rsidR="00A37C1D">
        <w:rPr>
          <w:kern w:val="0"/>
        </w:rPr>
        <w:t>. The</w:t>
      </w:r>
      <w:r>
        <w:rPr>
          <w:kern w:val="0"/>
        </w:rPr>
        <w:t xml:space="preserve"> designing</w:t>
      </w:r>
      <w:r w:rsidR="00427468">
        <w:rPr>
          <w:kern w:val="0"/>
        </w:rPr>
        <w:t xml:space="preserve"> of </w:t>
      </w:r>
      <w:r>
        <w:rPr>
          <w:kern w:val="0"/>
        </w:rPr>
        <w:t>studies to evaluate the effects</w:t>
      </w:r>
      <w:r w:rsidR="00427468">
        <w:rPr>
          <w:kern w:val="0"/>
        </w:rPr>
        <w:t xml:space="preserve"> of </w:t>
      </w:r>
      <w:r>
        <w:rPr>
          <w:kern w:val="0"/>
        </w:rPr>
        <w:t>interventions to manage dual practice could benefit from prior studies to assess the various manifestations</w:t>
      </w:r>
      <w:r w:rsidR="00427468">
        <w:rPr>
          <w:kern w:val="0"/>
        </w:rPr>
        <w:t xml:space="preserve"> of </w:t>
      </w:r>
      <w:r>
        <w:rPr>
          <w:kern w:val="0"/>
        </w:rPr>
        <w:t>dual practice, their prevalence</w:t>
      </w:r>
      <w:r w:rsidR="005853A9">
        <w:rPr>
          <w:kern w:val="0"/>
        </w:rPr>
        <w:t xml:space="preserve"> and </w:t>
      </w:r>
      <w:r>
        <w:rPr>
          <w:kern w:val="0"/>
        </w:rPr>
        <w:t>their likely impacts on health services delivery</w:t>
      </w:r>
      <w:r w:rsidR="00A37C1D">
        <w:rPr>
          <w:kern w:val="0"/>
        </w:rPr>
        <w:t>. The</w:t>
      </w:r>
      <w:r>
        <w:rPr>
          <w:kern w:val="0"/>
        </w:rPr>
        <w:t>se findings would then inform the design</w:t>
      </w:r>
      <w:r w:rsidR="00427468">
        <w:rPr>
          <w:kern w:val="0"/>
        </w:rPr>
        <w:t xml:space="preserve"> of </w:t>
      </w:r>
      <w:r>
        <w:rPr>
          <w:kern w:val="0"/>
        </w:rPr>
        <w:t>studies to evaluate interventions to manage dual practice.</w:t>
      </w:r>
    </w:p>
    <w:p w:rsidR="00365DE4" w:rsidRDefault="00365DE4" w:rsidP="00365DE4">
      <w:pPr>
        <w:pStyle w:val="a3"/>
        <w:rPr>
          <w:kern w:val="0"/>
        </w:rPr>
      </w:pPr>
      <w:r>
        <w:rPr>
          <w:kern w:val="0"/>
        </w:rPr>
        <w:t xml:space="preserve">Keywords: Authors, Care, Citation, Citations, Embase, Exploration, Interventions, </w:t>
      </w:r>
      <w:r w:rsidR="00D5664A">
        <w:rPr>
          <w:kern w:val="0"/>
        </w:rPr>
        <w:t>MEDLINE</w:t>
      </w:r>
      <w:r>
        <w:rPr>
          <w:kern w:val="0"/>
        </w:rPr>
        <w:t>, Private-Practice, Public Health, Review, Science, Science Citation Index, Search Strategy, Service, Social Sciences</w:t>
      </w:r>
    </w:p>
    <w:p w:rsidR="00365DE4" w:rsidRDefault="00365DE4" w:rsidP="00365DE4">
      <w:pPr>
        <w:pStyle w:val="a3"/>
        <w:rPr>
          <w:kern w:val="0"/>
        </w:rPr>
      </w:pPr>
      <w:r>
        <w:rPr>
          <w:kern w:val="0"/>
        </w:rPr>
        <w:t>? Flodgren, G., Eccles, M.P., Shepperd, S., Scott, A., Parmelli, E.</w:t>
      </w:r>
      <w:r w:rsidR="005853A9">
        <w:rPr>
          <w:kern w:val="0"/>
        </w:rPr>
        <w:t xml:space="preserve"> and </w:t>
      </w:r>
      <w:r>
        <w:rPr>
          <w:kern w:val="0"/>
        </w:rPr>
        <w:t>Beyer, F.R. (2011), An overview</w:t>
      </w:r>
      <w:r w:rsidR="00427468">
        <w:rPr>
          <w:kern w:val="0"/>
        </w:rPr>
        <w:t xml:space="preserve"> of </w:t>
      </w:r>
      <w:r>
        <w:rPr>
          <w:kern w:val="0"/>
        </w:rPr>
        <w:t>reviews evaluating the effectiveness</w:t>
      </w:r>
      <w:r w:rsidR="00427468">
        <w:rPr>
          <w:kern w:val="0"/>
        </w:rPr>
        <w:t xml:space="preserve"> of </w:t>
      </w:r>
      <w:r>
        <w:rPr>
          <w:kern w:val="0"/>
        </w:rPr>
        <w:t>financial incentives in changing healthcare professional behaviours</w:t>
      </w:r>
      <w:r w:rsidR="005853A9">
        <w:rPr>
          <w:kern w:val="0"/>
        </w:rPr>
        <w:t xml:space="preserve"> and </w:t>
      </w:r>
      <w:r>
        <w:rPr>
          <w:kern w:val="0"/>
        </w:rPr>
        <w:t xml:space="preserve">patient outcomes.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CD009255.</w:t>
      </w:r>
    </w:p>
    <w:p w:rsidR="00365DE4" w:rsidRDefault="00365DE4" w:rsidP="00365DE4">
      <w:pPr>
        <w:pStyle w:val="a3"/>
        <w:rPr>
          <w:kern w:val="2"/>
        </w:rPr>
      </w:pPr>
      <w:r>
        <w:lastRenderedPageBreak/>
        <w:t xml:space="preserve">Full Text: </w:t>
      </w:r>
      <w:hyperlink r:id="rId664" w:history="1">
        <w:r>
          <w:rPr>
            <w:rStyle w:val="a5"/>
          </w:rPr>
          <w:t>2011\Coc Dat Sys Rev2011, CD009255.pdf</w:t>
        </w:r>
      </w:hyperlink>
    </w:p>
    <w:p w:rsidR="00365DE4" w:rsidRDefault="00365DE4" w:rsidP="00365DE4">
      <w:pPr>
        <w:pStyle w:val="a3"/>
        <w:rPr>
          <w:kern w:val="0"/>
        </w:rPr>
      </w:pPr>
      <w:r>
        <w:rPr>
          <w:kern w:val="0"/>
        </w:rPr>
        <w:t>Abstract: Background There is considerable interest in the effectiveness</w:t>
      </w:r>
      <w:r w:rsidR="00427468">
        <w:rPr>
          <w:kern w:val="0"/>
        </w:rPr>
        <w:t xml:space="preserve"> of </w:t>
      </w:r>
      <w:r>
        <w:rPr>
          <w:kern w:val="0"/>
        </w:rPr>
        <w:t>financial incentives in the delivery</w:t>
      </w:r>
      <w:r w:rsidR="00427468">
        <w:rPr>
          <w:kern w:val="0"/>
        </w:rPr>
        <w:t xml:space="preserve"> of </w:t>
      </w:r>
      <w:r>
        <w:rPr>
          <w:kern w:val="0"/>
        </w:rPr>
        <w:t>health care. Incentives may be used in an attempt to increase the use</w:t>
      </w:r>
      <w:r w:rsidR="00427468">
        <w:rPr>
          <w:kern w:val="0"/>
        </w:rPr>
        <w:t xml:space="preserve"> of </w:t>
      </w:r>
      <w:r>
        <w:rPr>
          <w:kern w:val="0"/>
        </w:rPr>
        <w:t>evidence-based treatments among healthcare professionals or to stimulate health professionals to change their clinical behaviour with respect to preventive, diagnostic</w:t>
      </w:r>
      <w:r w:rsidR="005853A9">
        <w:rPr>
          <w:kern w:val="0"/>
        </w:rPr>
        <w:t xml:space="preserve"> and </w:t>
      </w:r>
      <w:r>
        <w:rPr>
          <w:kern w:val="0"/>
        </w:rPr>
        <w:t>treatment decisions, or both. Financial incentives are an extrinsic source</w:t>
      </w:r>
      <w:r w:rsidR="00427468">
        <w:rPr>
          <w:kern w:val="0"/>
        </w:rPr>
        <w:t xml:space="preserve"> of </w:t>
      </w:r>
      <w:r>
        <w:rPr>
          <w:kern w:val="0"/>
        </w:rPr>
        <w:t>motivation</w:t>
      </w:r>
      <w:r w:rsidR="005853A9">
        <w:rPr>
          <w:kern w:val="0"/>
        </w:rPr>
        <w:t xml:space="preserve"> and </w:t>
      </w:r>
      <w:r>
        <w:rPr>
          <w:kern w:val="0"/>
        </w:rPr>
        <w:t>exist when an individual can expect a monetary transfer which is made conditional on acting in a particular way. Since there are numerous reviews performed within the healthcare area describing the effects</w:t>
      </w:r>
      <w:r w:rsidR="00427468">
        <w:rPr>
          <w:kern w:val="0"/>
        </w:rPr>
        <w:t xml:space="preserve"> of </w:t>
      </w:r>
      <w:r>
        <w:rPr>
          <w:kern w:val="0"/>
        </w:rPr>
        <w:t>various types</w:t>
      </w:r>
      <w:r w:rsidR="00427468">
        <w:rPr>
          <w:kern w:val="0"/>
        </w:rPr>
        <w:t xml:space="preserve"> of </w:t>
      </w:r>
      <w:r>
        <w:rPr>
          <w:kern w:val="0"/>
        </w:rPr>
        <w:t>financial incentives, it is important to summarise the effectiveness</w:t>
      </w:r>
      <w:r w:rsidR="00427468">
        <w:rPr>
          <w:kern w:val="0"/>
        </w:rPr>
        <w:t xml:space="preserve"> of </w:t>
      </w:r>
      <w:r>
        <w:rPr>
          <w:kern w:val="0"/>
        </w:rPr>
        <w:t>these in an overview to discern which are most effective in changing health professionals</w:t>
      </w:r>
      <w:r w:rsidR="0071223E">
        <w:rPr>
          <w:kern w:val="0"/>
        </w:rPr>
        <w:t>’</w:t>
      </w:r>
      <w:r>
        <w:rPr>
          <w:kern w:val="0"/>
        </w:rPr>
        <w:t xml:space="preserve"> behaviour</w:t>
      </w:r>
      <w:r w:rsidR="005853A9">
        <w:rPr>
          <w:kern w:val="0"/>
        </w:rPr>
        <w:t xml:space="preserve"> and </w:t>
      </w:r>
      <w:r>
        <w:rPr>
          <w:kern w:val="0"/>
        </w:rPr>
        <w:t>patient outcomes. Objectives To conduct an overview</w:t>
      </w:r>
      <w:r w:rsidR="00427468">
        <w:rPr>
          <w:kern w:val="0"/>
        </w:rPr>
        <w:t xml:space="preserve"> of </w:t>
      </w:r>
      <w:r>
        <w:rPr>
          <w:kern w:val="0"/>
        </w:rPr>
        <w:t>systematic reviews that evaluates the impact</w:t>
      </w:r>
      <w:r w:rsidR="00427468">
        <w:rPr>
          <w:kern w:val="0"/>
        </w:rPr>
        <w:t xml:space="preserve"> of </w:t>
      </w:r>
      <w:r>
        <w:rPr>
          <w:kern w:val="0"/>
        </w:rPr>
        <w:t>financial incentives on healthcare professional behaviour</w:t>
      </w:r>
      <w:r w:rsidR="005853A9">
        <w:rPr>
          <w:kern w:val="0"/>
        </w:rPr>
        <w:t xml:space="preserve"> and </w:t>
      </w:r>
      <w:r>
        <w:rPr>
          <w:kern w:val="0"/>
        </w:rPr>
        <w:t>patient outcomes. Methods We searched the Cochrane Database</w:t>
      </w:r>
      <w:r w:rsidR="00427468">
        <w:rPr>
          <w:kern w:val="0"/>
        </w:rPr>
        <w:t xml:space="preserve"> of </w:t>
      </w:r>
      <w:r>
        <w:rPr>
          <w:kern w:val="0"/>
        </w:rPr>
        <w:t>Systematic Reviews (CDSR) (The Cochrane Library);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 xml:space="preserve">Effectiveness (DARE); TRIP; </w:t>
      </w:r>
      <w:r w:rsidR="00D5664A">
        <w:rPr>
          <w:kern w:val="0"/>
        </w:rPr>
        <w:t>MEDLINE</w:t>
      </w:r>
      <w:r>
        <w:rPr>
          <w:kern w:val="0"/>
        </w:rPr>
        <w:t>; EMBASE; Science Citation Index; Social Science Citation Index; NHS EED; HEED; EconLit;</w:t>
      </w:r>
      <w:r w:rsidR="005853A9">
        <w:rPr>
          <w:kern w:val="0"/>
        </w:rPr>
        <w:t xml:space="preserve"> and </w:t>
      </w:r>
      <w:r>
        <w:rPr>
          <w:kern w:val="0"/>
        </w:rPr>
        <w:t>Program in Policy Decision-Making (PPd) (from their inception dates up to January 2010). We searched the reference lists</w:t>
      </w:r>
      <w:r w:rsidR="00427468">
        <w:rPr>
          <w:kern w:val="0"/>
        </w:rPr>
        <w:t xml:space="preserve"> of </w:t>
      </w:r>
      <w:r>
        <w:rPr>
          <w:kern w:val="0"/>
        </w:rPr>
        <w:t>all included reviews</w:t>
      </w:r>
      <w:r w:rsidR="005853A9">
        <w:rPr>
          <w:kern w:val="0"/>
        </w:rPr>
        <w:t xml:space="preserve"> and </w:t>
      </w:r>
      <w:r>
        <w:rPr>
          <w:kern w:val="0"/>
        </w:rPr>
        <w:t>carried out a citation search</w:t>
      </w:r>
      <w:r w:rsidR="00427468">
        <w:rPr>
          <w:kern w:val="0"/>
        </w:rPr>
        <w:t xml:space="preserve"> of </w:t>
      </w:r>
      <w:r>
        <w:rPr>
          <w:kern w:val="0"/>
        </w:rPr>
        <w:t>those papers which cited studies included in the review. We included both Cochrane</w:t>
      </w:r>
      <w:r w:rsidR="005853A9">
        <w:rPr>
          <w:kern w:val="0"/>
        </w:rPr>
        <w:t xml:space="preserve"> and </w:t>
      </w:r>
      <w:r>
        <w:rPr>
          <w:kern w:val="0"/>
        </w:rPr>
        <w:t>non-Cochrane reviews</w:t>
      </w:r>
      <w:r w:rsidR="00427468">
        <w:rPr>
          <w:kern w:val="0"/>
        </w:rPr>
        <w:t xml:space="preserve"> of </w:t>
      </w:r>
      <w:r>
        <w:rPr>
          <w:kern w:val="0"/>
        </w:rPr>
        <w:t>randomised controlled trials (RCTs), controlled clinical trials (CCTs), interrupted time series (ITSs)</w:t>
      </w:r>
      <w:r w:rsidR="005853A9">
        <w:rPr>
          <w:kern w:val="0"/>
        </w:rPr>
        <w:t xml:space="preserve"> and </w:t>
      </w:r>
      <w:r>
        <w:rPr>
          <w:kern w:val="0"/>
        </w:rPr>
        <w:t>controlled before</w:t>
      </w:r>
      <w:r w:rsidR="005853A9">
        <w:rPr>
          <w:kern w:val="0"/>
        </w:rPr>
        <w:t xml:space="preserve"> and </w:t>
      </w:r>
      <w:r>
        <w:rPr>
          <w:kern w:val="0"/>
        </w:rPr>
        <w:t>after studies (CBAs) that evaluated the effects</w:t>
      </w:r>
      <w:r w:rsidR="00427468">
        <w:rPr>
          <w:kern w:val="0"/>
        </w:rPr>
        <w:t xml:space="preserve"> of </w:t>
      </w:r>
      <w:r>
        <w:rPr>
          <w:kern w:val="0"/>
        </w:rPr>
        <w:t>financial incentives on professional practice</w:t>
      </w:r>
      <w:r w:rsidR="005853A9">
        <w:rPr>
          <w:kern w:val="0"/>
        </w:rPr>
        <w:t xml:space="preserve"> and </w:t>
      </w:r>
      <w:r>
        <w:rPr>
          <w:kern w:val="0"/>
        </w:rPr>
        <w:t>patient outcomes,</w:t>
      </w:r>
      <w:r w:rsidR="005853A9">
        <w:rPr>
          <w:kern w:val="0"/>
        </w:rPr>
        <w:t xml:space="preserve"> and </w:t>
      </w:r>
      <w:r>
        <w:rPr>
          <w:kern w:val="0"/>
        </w:rPr>
        <w:t>that reported numerical results</w:t>
      </w:r>
      <w:r w:rsidR="00427468">
        <w:rPr>
          <w:kern w:val="0"/>
        </w:rPr>
        <w:t xml:space="preserve"> of </w:t>
      </w:r>
      <w:r>
        <w:rPr>
          <w:kern w:val="0"/>
        </w:rPr>
        <w:t>the included individual studies. Two review authors independently extracted data</w:t>
      </w:r>
      <w:r w:rsidR="005853A9">
        <w:rPr>
          <w:kern w:val="0"/>
        </w:rPr>
        <w:t xml:space="preserve"> and </w:t>
      </w:r>
      <w:r>
        <w:rPr>
          <w:kern w:val="0"/>
        </w:rPr>
        <w:t>assessed the methodological quality</w:t>
      </w:r>
      <w:r w:rsidR="00427468">
        <w:rPr>
          <w:kern w:val="0"/>
        </w:rPr>
        <w:t xml:space="preserve"> of </w:t>
      </w:r>
      <w:r>
        <w:rPr>
          <w:kern w:val="0"/>
        </w:rPr>
        <w:t>each review according to the AMSTAR criteria. We included systematic reviews</w:t>
      </w:r>
      <w:r w:rsidR="00427468">
        <w:rPr>
          <w:kern w:val="0"/>
        </w:rPr>
        <w:t xml:space="preserve"> of </w:t>
      </w:r>
      <w:r>
        <w:rPr>
          <w:kern w:val="0"/>
        </w:rPr>
        <w:t>studies evaluating the effectiveness</w:t>
      </w:r>
      <w:r w:rsidR="00427468">
        <w:rPr>
          <w:kern w:val="0"/>
        </w:rPr>
        <w:t xml:space="preserve"> of </w:t>
      </w:r>
      <w:r>
        <w:rPr>
          <w:kern w:val="0"/>
        </w:rPr>
        <w:t>any type</w:t>
      </w:r>
      <w:r w:rsidR="00427468">
        <w:rPr>
          <w:kern w:val="0"/>
        </w:rPr>
        <w:t xml:space="preserve"> of </w:t>
      </w:r>
      <w:r>
        <w:rPr>
          <w:kern w:val="0"/>
        </w:rPr>
        <w:t>financial incentive. We grouped financial incentives into five groups: payment for working for a specified time period; payment for each service, episode or visit; payment for providing care for a patient or specific population; payment for providing a pre-specified level or providing a change in activity or quality</w:t>
      </w:r>
      <w:r w:rsidR="00427468">
        <w:rPr>
          <w:kern w:val="0"/>
        </w:rPr>
        <w:t xml:space="preserve"> of </w:t>
      </w:r>
      <w:r>
        <w:rPr>
          <w:kern w:val="0"/>
        </w:rPr>
        <w:t>care;</w:t>
      </w:r>
      <w:r w:rsidR="005853A9">
        <w:rPr>
          <w:kern w:val="0"/>
        </w:rPr>
        <w:t xml:space="preserve"> and </w:t>
      </w:r>
      <w:r>
        <w:rPr>
          <w:kern w:val="0"/>
        </w:rPr>
        <w:t>mixed or other systems. We summarised data using vote counting. Mainresults We identified four reviews reporting on 32 studies. Two reviews scored 7 on the AMSTAR criteria (moderate, score 5 to 7, quality)</w:t>
      </w:r>
      <w:r w:rsidR="005853A9">
        <w:rPr>
          <w:kern w:val="0"/>
        </w:rPr>
        <w:t xml:space="preserve"> and </w:t>
      </w:r>
      <w:r>
        <w:rPr>
          <w:kern w:val="0"/>
        </w:rPr>
        <w:t>two scored 9 (high, score 8 to 11, quality)</w:t>
      </w:r>
      <w:r w:rsidR="00A37C1D">
        <w:rPr>
          <w:kern w:val="0"/>
        </w:rPr>
        <w:t>. The</w:t>
      </w:r>
      <w:r>
        <w:rPr>
          <w:kern w:val="0"/>
        </w:rPr>
        <w:t xml:space="preserve"> reported quality</w:t>
      </w:r>
      <w:r w:rsidR="00427468">
        <w:rPr>
          <w:kern w:val="0"/>
        </w:rPr>
        <w:t xml:space="preserve"> of </w:t>
      </w:r>
      <w:r>
        <w:rPr>
          <w:kern w:val="0"/>
        </w:rPr>
        <w:t>the included studies was, by a variety</w:t>
      </w:r>
      <w:r w:rsidR="00427468">
        <w:rPr>
          <w:kern w:val="0"/>
        </w:rPr>
        <w:t xml:space="preserve"> of </w:t>
      </w:r>
      <w:r>
        <w:rPr>
          <w:kern w:val="0"/>
        </w:rPr>
        <w:t xml:space="preserve">methods, low to moderate. Payment for working for a specified time period was generally ineffective, improving 3/11 outcomes from one study reported in one review. Payment for each service, episode or visit was generally effective, improving 7/10 outcomes from five studies reported in three reviews; </w:t>
      </w:r>
      <w:r>
        <w:rPr>
          <w:kern w:val="0"/>
        </w:rPr>
        <w:lastRenderedPageBreak/>
        <w:t>payment for providing care for a patient or specific population was generally effective, improving 48/69 outcomes from 13 studies reported in two reviews; payment for providing a pre-specified level or providing a change in activity or quality</w:t>
      </w:r>
      <w:r w:rsidR="00427468">
        <w:rPr>
          <w:kern w:val="0"/>
        </w:rPr>
        <w:t xml:space="preserve"> of </w:t>
      </w:r>
      <w:r>
        <w:rPr>
          <w:kern w:val="0"/>
        </w:rPr>
        <w:t>care was generally effective, improving 17/20 reported outcomes from 10 studies reported in two reviews;</w:t>
      </w:r>
      <w:r w:rsidR="005853A9">
        <w:rPr>
          <w:kern w:val="0"/>
        </w:rPr>
        <w:t xml:space="preserve"> and </w:t>
      </w:r>
      <w:r>
        <w:rPr>
          <w:kern w:val="0"/>
        </w:rPr>
        <w:t>mixed</w:t>
      </w:r>
      <w:r w:rsidR="005853A9">
        <w:rPr>
          <w:kern w:val="0"/>
        </w:rPr>
        <w:t xml:space="preserve"> and </w:t>
      </w:r>
      <w:r>
        <w:rPr>
          <w:kern w:val="0"/>
        </w:rPr>
        <w:t>other systems were</w:t>
      </w:r>
      <w:r w:rsidR="00427468">
        <w:rPr>
          <w:kern w:val="0"/>
        </w:rPr>
        <w:t xml:space="preserve"> of </w:t>
      </w:r>
      <w:r>
        <w:rPr>
          <w:kern w:val="0"/>
        </w:rPr>
        <w:t>mixed effectiveness, improving 20/31 reported outcomes from seven studies reported in three reviews. When looking at the effect</w:t>
      </w:r>
      <w:r w:rsidR="00427468">
        <w:rPr>
          <w:kern w:val="0"/>
        </w:rPr>
        <w:t xml:space="preserve"> of </w:t>
      </w:r>
      <w:r>
        <w:rPr>
          <w:kern w:val="0"/>
        </w:rPr>
        <w:t>financial incentives overall across categories</w:t>
      </w:r>
      <w:r w:rsidR="00427468">
        <w:rPr>
          <w:kern w:val="0"/>
        </w:rPr>
        <w:t xml:space="preserve"> of </w:t>
      </w:r>
      <w:r>
        <w:rPr>
          <w:kern w:val="0"/>
        </w:rPr>
        <w:t>outcomes, they were</w:t>
      </w:r>
      <w:r w:rsidR="00427468">
        <w:rPr>
          <w:kern w:val="0"/>
        </w:rPr>
        <w:t xml:space="preserve"> of </w:t>
      </w:r>
      <w:r>
        <w:rPr>
          <w:kern w:val="0"/>
        </w:rPr>
        <w:t>mixed effectiveness on consultation or visit rates (improving 10/17 outcomes from three studies in two reviews); generally effective in improving processes</w:t>
      </w:r>
      <w:r w:rsidR="00427468">
        <w:rPr>
          <w:kern w:val="0"/>
        </w:rPr>
        <w:t xml:space="preserve"> of </w:t>
      </w:r>
      <w:r>
        <w:rPr>
          <w:kern w:val="0"/>
        </w:rPr>
        <w:t>care (improving 41/57 outcomes from 19 studies in three reviews); generally effective in improving referrals</w:t>
      </w:r>
      <w:r w:rsidR="005853A9">
        <w:rPr>
          <w:kern w:val="0"/>
        </w:rPr>
        <w:t xml:space="preserve"> and </w:t>
      </w:r>
      <w:r>
        <w:rPr>
          <w:kern w:val="0"/>
        </w:rPr>
        <w:t>admissions (improving 11/16 outcomes from 11 studies in four reviews); generally ineffective in improving compliance with guidelines outcomes (improving 5/17 outcomes from five studies in two reviews);</w:t>
      </w:r>
      <w:r w:rsidR="005853A9">
        <w:rPr>
          <w:kern w:val="0"/>
        </w:rPr>
        <w:t xml:space="preserve"> and </w:t>
      </w:r>
      <w:r>
        <w:rPr>
          <w:kern w:val="0"/>
        </w:rPr>
        <w:t>generally effective in improving prescribing costs outcomes (improving 28/34 outcomes from 10 studies in one review). Authors</w:t>
      </w:r>
      <w:r w:rsidR="0071223E">
        <w:rPr>
          <w:kern w:val="0"/>
        </w:rPr>
        <w:t>’</w:t>
      </w:r>
      <w:r>
        <w:rPr>
          <w:kern w:val="0"/>
        </w:rPr>
        <w:t xml:space="preserve"> conclusions Financial incentives may be effective in changing healthcare professional practice</w:t>
      </w:r>
      <w:r w:rsidR="00A37C1D">
        <w:rPr>
          <w:kern w:val="0"/>
        </w:rPr>
        <w:t>. The</w:t>
      </w:r>
      <w:r>
        <w:rPr>
          <w:kern w:val="0"/>
        </w:rPr>
        <w:t xml:space="preserve"> evidence has serious methodological limitations</w:t>
      </w:r>
      <w:r w:rsidR="005853A9">
        <w:rPr>
          <w:kern w:val="0"/>
        </w:rPr>
        <w:t xml:space="preserve"> and </w:t>
      </w:r>
      <w:r>
        <w:rPr>
          <w:kern w:val="0"/>
        </w:rPr>
        <w:t>is also very limited in its completeness</w:t>
      </w:r>
      <w:r w:rsidR="005853A9">
        <w:rPr>
          <w:kern w:val="0"/>
        </w:rPr>
        <w:t xml:space="preserve"> and </w:t>
      </w:r>
      <w:r>
        <w:rPr>
          <w:kern w:val="0"/>
        </w:rPr>
        <w:t>generalisability. We found no evidence from reviews that examined the effect</w:t>
      </w:r>
      <w:r w:rsidR="00427468">
        <w:rPr>
          <w:kern w:val="0"/>
        </w:rPr>
        <w:t xml:space="preserve"> of </w:t>
      </w:r>
      <w:r>
        <w:rPr>
          <w:kern w:val="0"/>
        </w:rPr>
        <w:t>financial incentives on patient outcomes.</w:t>
      </w:r>
    </w:p>
    <w:p w:rsidR="00365DE4" w:rsidRDefault="00365DE4" w:rsidP="00365DE4">
      <w:pPr>
        <w:pStyle w:val="a3"/>
        <w:rPr>
          <w:kern w:val="0"/>
        </w:rPr>
      </w:pPr>
      <w:r>
        <w:rPr>
          <w:kern w:val="0"/>
        </w:rPr>
        <w:t>Keywords: Authors, Citation, Clinical Trials, Compliance, Costs, Delivery</w:t>
      </w:r>
      <w:r w:rsidR="00427468">
        <w:rPr>
          <w:kern w:val="0"/>
        </w:rPr>
        <w:t xml:space="preserve"> of </w:t>
      </w:r>
      <w:r>
        <w:rPr>
          <w:kern w:val="0"/>
        </w:rPr>
        <w:t xml:space="preserve">Health Care, Effectiveness, Embase, Fundholders, General-Practice, Health Care, Immunization Rates, Impact, Incentives, Medicaid Managed Care, </w:t>
      </w:r>
      <w:r w:rsidR="00D5664A">
        <w:rPr>
          <w:kern w:val="0"/>
        </w:rPr>
        <w:t>MEDLINE</w:t>
      </w:r>
      <w:r>
        <w:rPr>
          <w:kern w:val="0"/>
        </w:rPr>
        <w:t>, Outcomes, Overview, Papers, Pay-For-Performance, Physician Reimbursement, Prescribing Patterns, Preventive Care, Professional, Quality-of-Care, Review, Science, Science Citation Index, Systematic Reviews</w:t>
      </w:r>
    </w:p>
    <w:p w:rsidR="00365DE4" w:rsidRDefault="00365DE4" w:rsidP="00365DE4">
      <w:pPr>
        <w:pStyle w:val="a3"/>
        <w:rPr>
          <w:kern w:val="0"/>
        </w:rPr>
      </w:pPr>
      <w:r>
        <w:rPr>
          <w:kern w:val="0"/>
          <w:szCs w:val="24"/>
        </w:rPr>
        <w:t>? Flodgren, G., Parmelli, E., Doumit, G., Gattellari, M., O</w:t>
      </w:r>
      <w:r w:rsidR="0071223E">
        <w:rPr>
          <w:kern w:val="0"/>
          <w:szCs w:val="24"/>
        </w:rPr>
        <w:t>’</w:t>
      </w:r>
      <w:r>
        <w:rPr>
          <w:kern w:val="0"/>
          <w:szCs w:val="24"/>
        </w:rPr>
        <w:t>Brien, M.A., Grimshaw, J.</w:t>
      </w:r>
      <w:r w:rsidR="005853A9">
        <w:rPr>
          <w:kern w:val="0"/>
          <w:szCs w:val="24"/>
        </w:rPr>
        <w:t xml:space="preserve"> and </w:t>
      </w:r>
      <w:r>
        <w:rPr>
          <w:kern w:val="0"/>
          <w:szCs w:val="24"/>
        </w:rPr>
        <w:t>Eccles, M.P. (2011), Local opinion leaders: effects on professional practice</w:t>
      </w:r>
      <w:r w:rsidR="005853A9">
        <w:rPr>
          <w:kern w:val="0"/>
          <w:szCs w:val="24"/>
        </w:rPr>
        <w:t xml:space="preserve"> and </w:t>
      </w:r>
      <w:r>
        <w:rPr>
          <w:kern w:val="0"/>
          <w:szCs w:val="24"/>
        </w:rPr>
        <w:t xml:space="preserve">health care outcomes.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8</w:t>
      </w:r>
      <w:r>
        <w:rPr>
          <w:kern w:val="0"/>
        </w:rPr>
        <w:t>, Article Number: CD000125.</w:t>
      </w:r>
    </w:p>
    <w:p w:rsidR="00365DE4" w:rsidRDefault="00365DE4" w:rsidP="00365DE4">
      <w:pPr>
        <w:pStyle w:val="a3"/>
        <w:rPr>
          <w:kern w:val="2"/>
        </w:rPr>
      </w:pPr>
      <w:r>
        <w:t xml:space="preserve">Full Text: </w:t>
      </w:r>
      <w:hyperlink r:id="rId665" w:history="1">
        <w:r>
          <w:rPr>
            <w:rStyle w:val="a5"/>
          </w:rPr>
          <w:t>2011\Coc Dat Sys Rev2011, CD000125.pdf</w:t>
        </w:r>
      </w:hyperlink>
    </w:p>
    <w:p w:rsidR="00365DE4" w:rsidRDefault="00365DE4" w:rsidP="00365DE4">
      <w:pPr>
        <w:pStyle w:val="a3"/>
        <w:rPr>
          <w:kern w:val="0"/>
          <w:szCs w:val="24"/>
        </w:rPr>
      </w:pPr>
      <w:r>
        <w:rPr>
          <w:kern w:val="0"/>
          <w:szCs w:val="24"/>
        </w:rPr>
        <w:t>Abstract: Background Clinical practice is not always evidence-based and, therefore, may not optimise patient outcomes. Opinion leaders disseminating</w:t>
      </w:r>
      <w:r w:rsidR="005853A9">
        <w:rPr>
          <w:kern w:val="0"/>
          <w:szCs w:val="24"/>
        </w:rPr>
        <w:t xml:space="preserve"> and </w:t>
      </w:r>
      <w:r>
        <w:rPr>
          <w:kern w:val="0"/>
          <w:szCs w:val="24"/>
        </w:rPr>
        <w:t xml:space="preserve">implementing </w:t>
      </w:r>
      <w:r w:rsidR="0071223E">
        <w:rPr>
          <w:kern w:val="0"/>
          <w:szCs w:val="24"/>
        </w:rPr>
        <w:t>‘</w:t>
      </w:r>
      <w:r>
        <w:rPr>
          <w:kern w:val="0"/>
          <w:szCs w:val="24"/>
        </w:rPr>
        <w:t>best evidence</w:t>
      </w:r>
      <w:r w:rsidR="0071223E">
        <w:rPr>
          <w:kern w:val="0"/>
          <w:szCs w:val="24"/>
        </w:rPr>
        <w:t>’</w:t>
      </w:r>
      <w:r>
        <w:rPr>
          <w:kern w:val="0"/>
          <w:szCs w:val="24"/>
        </w:rPr>
        <w:t xml:space="preserve"> is one method that holds promise as a strategy to bridge evidence-practice gaps. Objectives To assess the effectiveness</w:t>
      </w:r>
      <w:r w:rsidR="00427468">
        <w:rPr>
          <w:kern w:val="0"/>
          <w:szCs w:val="24"/>
        </w:rPr>
        <w:t xml:space="preserve"> of </w:t>
      </w:r>
      <w:r>
        <w:rPr>
          <w:kern w:val="0"/>
          <w:szCs w:val="24"/>
        </w:rPr>
        <w:t>the use</w:t>
      </w:r>
      <w:r w:rsidR="00427468">
        <w:rPr>
          <w:kern w:val="0"/>
          <w:szCs w:val="24"/>
        </w:rPr>
        <w:t xml:space="preserve"> of </w:t>
      </w:r>
      <w:r>
        <w:rPr>
          <w:kern w:val="0"/>
          <w:szCs w:val="24"/>
        </w:rPr>
        <w:t>local opinion leaders in improving professional practice</w:t>
      </w:r>
      <w:r w:rsidR="005853A9">
        <w:rPr>
          <w:kern w:val="0"/>
          <w:szCs w:val="24"/>
        </w:rPr>
        <w:t xml:space="preserve"> and </w:t>
      </w:r>
      <w:r>
        <w:rPr>
          <w:kern w:val="0"/>
          <w:szCs w:val="24"/>
        </w:rPr>
        <w:t>patient outcomes. Search strategy We searched Cochrane EPOC Group Trials Register, the Cochrane Central Register</w:t>
      </w:r>
      <w:r w:rsidR="00427468">
        <w:rPr>
          <w:kern w:val="0"/>
          <w:szCs w:val="24"/>
        </w:rPr>
        <w:t xml:space="preserve"> of </w:t>
      </w:r>
      <w:r>
        <w:rPr>
          <w:kern w:val="0"/>
          <w:szCs w:val="24"/>
        </w:rPr>
        <w:t xml:space="preserve">Controlled Trials, </w:t>
      </w:r>
      <w:r w:rsidR="00D5664A">
        <w:rPr>
          <w:kern w:val="0"/>
          <w:szCs w:val="24"/>
        </w:rPr>
        <w:t>MEDLINE</w:t>
      </w:r>
      <w:r>
        <w:rPr>
          <w:kern w:val="0"/>
          <w:szCs w:val="24"/>
        </w:rPr>
        <w:t>, EMBASE, HMIC, Science Citation Index, Social Science Citation Index, ISI Conference Proceedings</w:t>
      </w:r>
      <w:r w:rsidR="005853A9">
        <w:rPr>
          <w:kern w:val="0"/>
          <w:szCs w:val="24"/>
        </w:rPr>
        <w:t xml:space="preserve"> and </w:t>
      </w:r>
      <w:r>
        <w:rPr>
          <w:kern w:val="0"/>
          <w:szCs w:val="24"/>
        </w:rPr>
        <w:t>World Cat Dissertations up to 5 May 2009. In addition, we searched reference lists</w:t>
      </w:r>
      <w:r w:rsidR="00427468">
        <w:rPr>
          <w:kern w:val="0"/>
          <w:szCs w:val="24"/>
        </w:rPr>
        <w:t xml:space="preserve"> of </w:t>
      </w:r>
      <w:r>
        <w:rPr>
          <w:kern w:val="0"/>
          <w:szCs w:val="24"/>
        </w:rPr>
        <w:t xml:space="preserve">included </w:t>
      </w:r>
      <w:r>
        <w:rPr>
          <w:kern w:val="0"/>
          <w:szCs w:val="24"/>
        </w:rPr>
        <w:lastRenderedPageBreak/>
        <w:t>articles. Selection criteria Studies eligible for inclusion were randomised controlled trials investigating the effectiveness</w:t>
      </w:r>
      <w:r w:rsidR="00427468">
        <w:rPr>
          <w:kern w:val="0"/>
          <w:szCs w:val="24"/>
        </w:rPr>
        <w:t xml:space="preserve"> of </w:t>
      </w:r>
      <w:r>
        <w:rPr>
          <w:kern w:val="0"/>
          <w:szCs w:val="24"/>
        </w:rPr>
        <w:t>using opinion leaders to disseminate evidence-based practice</w:t>
      </w:r>
      <w:r w:rsidR="005853A9">
        <w:rPr>
          <w:kern w:val="0"/>
          <w:szCs w:val="24"/>
        </w:rPr>
        <w:t xml:space="preserve"> and </w:t>
      </w:r>
      <w:r>
        <w:rPr>
          <w:kern w:val="0"/>
          <w:szCs w:val="24"/>
        </w:rPr>
        <w:t>reporting objective measures</w:t>
      </w:r>
      <w:r w:rsidR="00427468">
        <w:rPr>
          <w:kern w:val="0"/>
          <w:szCs w:val="24"/>
        </w:rPr>
        <w:t xml:space="preserve"> of </w:t>
      </w:r>
      <w:r>
        <w:rPr>
          <w:kern w:val="0"/>
          <w:szCs w:val="24"/>
        </w:rPr>
        <w:t>professional performance and/or health outcomes. Data collection</w:t>
      </w:r>
      <w:r w:rsidR="005853A9">
        <w:rPr>
          <w:kern w:val="0"/>
          <w:szCs w:val="24"/>
        </w:rPr>
        <w:t xml:space="preserve"> and </w:t>
      </w:r>
      <w:r>
        <w:rPr>
          <w:kern w:val="0"/>
          <w:szCs w:val="24"/>
        </w:rPr>
        <w:t>analysis Two review authors independently extracted data from each study</w:t>
      </w:r>
      <w:r w:rsidR="005853A9">
        <w:rPr>
          <w:kern w:val="0"/>
          <w:szCs w:val="24"/>
        </w:rPr>
        <w:t xml:space="preserve"> and </w:t>
      </w:r>
      <w:r>
        <w:rPr>
          <w:kern w:val="0"/>
          <w:szCs w:val="24"/>
        </w:rPr>
        <w:t>assessed its risk</w:t>
      </w:r>
      <w:r w:rsidR="00427468">
        <w:rPr>
          <w:kern w:val="0"/>
          <w:szCs w:val="24"/>
        </w:rPr>
        <w:t xml:space="preserve"> of </w:t>
      </w:r>
      <w:r>
        <w:rPr>
          <w:kern w:val="0"/>
          <w:szCs w:val="24"/>
        </w:rPr>
        <w:t>bias. For each trial, we calculated the median risk difference (RD) for compliance with desired practice, adjusting for baseline where data were available. We reported the median adjusted RD for each</w:t>
      </w:r>
      <w:r w:rsidR="00427468">
        <w:rPr>
          <w:kern w:val="0"/>
          <w:szCs w:val="24"/>
        </w:rPr>
        <w:t xml:space="preserve"> of </w:t>
      </w:r>
      <w:r>
        <w:rPr>
          <w:kern w:val="0"/>
          <w:szCs w:val="24"/>
        </w:rPr>
        <w:t>the main comparisons. Main results We included 18 studies involving more than 296 hospitals</w:t>
      </w:r>
      <w:r w:rsidR="005853A9">
        <w:rPr>
          <w:kern w:val="0"/>
          <w:szCs w:val="24"/>
        </w:rPr>
        <w:t xml:space="preserve"> and </w:t>
      </w:r>
      <w:r>
        <w:rPr>
          <w:kern w:val="0"/>
          <w:szCs w:val="24"/>
        </w:rPr>
        <w:t>318 PCPs. Fifteen studies (18 comparisons) contributed to the calculations</w:t>
      </w:r>
      <w:r w:rsidR="00427468">
        <w:rPr>
          <w:kern w:val="0"/>
          <w:szCs w:val="24"/>
        </w:rPr>
        <w:t xml:space="preserve"> of </w:t>
      </w:r>
      <w:r>
        <w:rPr>
          <w:kern w:val="0"/>
          <w:szCs w:val="24"/>
        </w:rPr>
        <w:t>the median adjusted RD for the main comparisons</w:t>
      </w:r>
      <w:r w:rsidR="00A37C1D">
        <w:rPr>
          <w:kern w:val="0"/>
          <w:szCs w:val="24"/>
        </w:rPr>
        <w:t>. The</w:t>
      </w:r>
      <w:r>
        <w:rPr>
          <w:kern w:val="0"/>
          <w:szCs w:val="24"/>
        </w:rPr>
        <w:t xml:space="preserve"> effects</w:t>
      </w:r>
      <w:r w:rsidR="00427468">
        <w:rPr>
          <w:kern w:val="0"/>
          <w:szCs w:val="24"/>
        </w:rPr>
        <w:t xml:space="preserve"> of </w:t>
      </w:r>
      <w:r>
        <w:rPr>
          <w:kern w:val="0"/>
          <w:szCs w:val="24"/>
        </w:rPr>
        <w:t>interventions varied across the 63 outcomes from 15% decrease in compliance to 72% increase in compliance with desired practice</w:t>
      </w:r>
      <w:r w:rsidR="00A37C1D">
        <w:rPr>
          <w:kern w:val="0"/>
          <w:szCs w:val="24"/>
        </w:rPr>
        <w:t>. The</w:t>
      </w:r>
      <w:r>
        <w:rPr>
          <w:kern w:val="0"/>
          <w:szCs w:val="24"/>
        </w:rPr>
        <w:t xml:space="preserve"> median adjusted RD for the main comparisons were: i) Opinion leaders compared to no intervention, +0.09; ii) Opinion leaders alone compared to a single intervention, + 0.14; iii) Opinion leaders with one or more additional intervention(s) compared to the one or more additional intervention(s), +0.10; iv) Opinion leaders as part</w:t>
      </w:r>
      <w:r w:rsidR="00427468">
        <w:rPr>
          <w:kern w:val="0"/>
          <w:szCs w:val="24"/>
        </w:rPr>
        <w:t xml:space="preserve"> of </w:t>
      </w:r>
      <w:r>
        <w:rPr>
          <w:kern w:val="0"/>
          <w:szCs w:val="24"/>
        </w:rPr>
        <w:t>multiple interventions compared to no intervention, +0.10. Overall, across all 18 studies the median adjusted RD was +0.12 representing a 12% absolute increase in compliance in the intervention group. Authors</w:t>
      </w:r>
      <w:r w:rsidR="0071223E">
        <w:rPr>
          <w:kern w:val="0"/>
          <w:szCs w:val="24"/>
        </w:rPr>
        <w:t>’</w:t>
      </w:r>
      <w:r>
        <w:rPr>
          <w:kern w:val="0"/>
          <w:szCs w:val="24"/>
        </w:rPr>
        <w:t xml:space="preserve"> conclusions Opinion leaders alone or in combination with other interventions may successfully promote evidence-based practice, but effectiveness varies both within</w:t>
      </w:r>
      <w:r w:rsidR="005853A9">
        <w:rPr>
          <w:kern w:val="0"/>
          <w:szCs w:val="24"/>
        </w:rPr>
        <w:t xml:space="preserve"> and </w:t>
      </w:r>
      <w:r>
        <w:rPr>
          <w:kern w:val="0"/>
          <w:szCs w:val="24"/>
        </w:rPr>
        <w:t>between studies</w:t>
      </w:r>
      <w:r w:rsidR="00A37C1D">
        <w:rPr>
          <w:kern w:val="0"/>
          <w:szCs w:val="24"/>
        </w:rPr>
        <w:t>. The</w:t>
      </w:r>
      <w:r>
        <w:rPr>
          <w:kern w:val="0"/>
          <w:szCs w:val="24"/>
        </w:rPr>
        <w:t>se results are based on heterogeneous studies differing in terms</w:t>
      </w:r>
      <w:r w:rsidR="00427468">
        <w:rPr>
          <w:kern w:val="0"/>
          <w:szCs w:val="24"/>
        </w:rPr>
        <w:t xml:space="preserve"> of </w:t>
      </w:r>
      <w:r>
        <w:rPr>
          <w:kern w:val="0"/>
          <w:szCs w:val="24"/>
        </w:rPr>
        <w:t>type</w:t>
      </w:r>
      <w:r w:rsidR="00427468">
        <w:rPr>
          <w:kern w:val="0"/>
          <w:szCs w:val="24"/>
        </w:rPr>
        <w:t xml:space="preserve"> of </w:t>
      </w:r>
      <w:r>
        <w:rPr>
          <w:kern w:val="0"/>
          <w:szCs w:val="24"/>
        </w:rPr>
        <w:t>intervention, setting,</w:t>
      </w:r>
      <w:r w:rsidR="005853A9">
        <w:rPr>
          <w:kern w:val="0"/>
          <w:szCs w:val="24"/>
        </w:rPr>
        <w:t xml:space="preserve"> and </w:t>
      </w:r>
      <w:r>
        <w:rPr>
          <w:kern w:val="0"/>
          <w:szCs w:val="24"/>
        </w:rPr>
        <w:t>outcomes measured. In most</w:t>
      </w:r>
      <w:r w:rsidR="00427468">
        <w:rPr>
          <w:kern w:val="0"/>
          <w:szCs w:val="24"/>
        </w:rPr>
        <w:t xml:space="preserve"> of </w:t>
      </w:r>
      <w:r>
        <w:rPr>
          <w:kern w:val="0"/>
          <w:szCs w:val="24"/>
        </w:rPr>
        <w:t>the studies the role</w:t>
      </w:r>
      <w:r w:rsidR="00427468">
        <w:rPr>
          <w:kern w:val="0"/>
          <w:szCs w:val="24"/>
        </w:rPr>
        <w:t xml:space="preserve"> of </w:t>
      </w:r>
      <w:r>
        <w:rPr>
          <w:kern w:val="0"/>
          <w:szCs w:val="24"/>
        </w:rPr>
        <w:t>the opinion leader was not clearly described,</w:t>
      </w:r>
      <w:r w:rsidR="005853A9">
        <w:rPr>
          <w:kern w:val="0"/>
          <w:szCs w:val="24"/>
        </w:rPr>
        <w:t xml:space="preserve"> and </w:t>
      </w:r>
      <w:r>
        <w:rPr>
          <w:kern w:val="0"/>
          <w:szCs w:val="24"/>
        </w:rPr>
        <w:t>it is therefore not possible to say what the best way is to optimise the effectiveness</w:t>
      </w:r>
      <w:r w:rsidR="00427468">
        <w:rPr>
          <w:kern w:val="0"/>
          <w:szCs w:val="24"/>
        </w:rPr>
        <w:t xml:space="preserve"> of </w:t>
      </w:r>
      <w:r>
        <w:rPr>
          <w:kern w:val="0"/>
          <w:szCs w:val="24"/>
        </w:rPr>
        <w:t>opinion leaders.</w:t>
      </w:r>
    </w:p>
    <w:p w:rsidR="00365DE4" w:rsidRDefault="00365DE4" w:rsidP="00365DE4">
      <w:pPr>
        <w:pStyle w:val="a3"/>
        <w:rPr>
          <w:kern w:val="0"/>
          <w:szCs w:val="24"/>
        </w:rPr>
      </w:pPr>
      <w:r>
        <w:rPr>
          <w:kern w:val="0"/>
          <w:szCs w:val="24"/>
        </w:rPr>
        <w:t>Keywords: *Leadership, *Policy Making, Acute Myocardial-Infarction, Analysis, Authors, Bias, Citation, Clinical-Practice, Cochrane, Compliance, Conference, Continuing-Education, Cost-Effectiveness Analysis, Dissertations, Effectiveness, Embase, Evidence-Based Medicine, Evidence-Based Practice, Health Care, Health Outcomes, Hospitals, Humans, Implementation Strategies, Improving Adherence, Intervention, Interventions</w:t>
      </w:r>
      <w:r w:rsidR="00D5664A">
        <w:rPr>
          <w:kern w:val="0"/>
          <w:szCs w:val="24"/>
        </w:rPr>
        <w:t>, ISI,</w:t>
      </w:r>
      <w:r>
        <w:rPr>
          <w:kern w:val="0"/>
          <w:szCs w:val="24"/>
        </w:rPr>
        <w:t xml:space="preserve"> Leaders, Low-Back-Pain, </w:t>
      </w:r>
      <w:r w:rsidR="00D5664A">
        <w:rPr>
          <w:kern w:val="0"/>
          <w:szCs w:val="24"/>
        </w:rPr>
        <w:t>MEDLINE</w:t>
      </w:r>
      <w:r>
        <w:rPr>
          <w:kern w:val="0"/>
          <w:szCs w:val="24"/>
        </w:rPr>
        <w:t>, Outcomes, Patient Outcomes, Physician</w:t>
      </w:r>
      <w:r w:rsidR="0071223E">
        <w:rPr>
          <w:kern w:val="0"/>
          <w:szCs w:val="24"/>
        </w:rPr>
        <w:t>’</w:t>
      </w:r>
      <w:r>
        <w:rPr>
          <w:kern w:val="0"/>
          <w:szCs w:val="24"/>
        </w:rPr>
        <w:t>s Practice Patterns, Practice, Practice Guidelines, Professional, Professional Practice [*Standards], Quality Improvement, Quality</w:t>
      </w:r>
      <w:r w:rsidR="00427468">
        <w:rPr>
          <w:kern w:val="0"/>
          <w:szCs w:val="24"/>
        </w:rPr>
        <w:t xml:space="preserve"> of </w:t>
      </w:r>
      <w:r>
        <w:rPr>
          <w:kern w:val="0"/>
          <w:szCs w:val="24"/>
        </w:rPr>
        <w:t>Health Care, Randomized Controlled Trials as Topic, Randomized Controlled-Trial, Review, Risk, Science, Science Citation Index, Search Strategy, Strategy</w:t>
      </w:r>
    </w:p>
    <w:p w:rsidR="00365DE4" w:rsidRDefault="00365DE4" w:rsidP="00365DE4">
      <w:pPr>
        <w:pStyle w:val="a3"/>
        <w:rPr>
          <w:kern w:val="0"/>
        </w:rPr>
      </w:pPr>
      <w:r>
        <w:rPr>
          <w:kern w:val="0"/>
          <w:szCs w:val="24"/>
        </w:rPr>
        <w:t>? Sacks, P.L., Harvey, R.J., Rimmer, J., Gallagher, R.M.</w:t>
      </w:r>
      <w:r w:rsidR="005853A9">
        <w:rPr>
          <w:kern w:val="0"/>
          <w:szCs w:val="24"/>
        </w:rPr>
        <w:t xml:space="preserve"> and </w:t>
      </w:r>
      <w:r>
        <w:rPr>
          <w:kern w:val="0"/>
          <w:szCs w:val="24"/>
        </w:rPr>
        <w:t>Sacks, R. (2011), Topical</w:t>
      </w:r>
      <w:r w:rsidR="005853A9">
        <w:rPr>
          <w:kern w:val="0"/>
          <w:szCs w:val="24"/>
        </w:rPr>
        <w:t xml:space="preserve"> and </w:t>
      </w:r>
      <w:r>
        <w:rPr>
          <w:kern w:val="0"/>
          <w:szCs w:val="24"/>
        </w:rPr>
        <w:t>systemic antifungal therapy for the symptomatic treatment</w:t>
      </w:r>
      <w:r w:rsidR="00427468">
        <w:rPr>
          <w:kern w:val="0"/>
          <w:szCs w:val="24"/>
        </w:rPr>
        <w:t xml:space="preserve"> of </w:t>
      </w:r>
      <w:r>
        <w:rPr>
          <w:kern w:val="0"/>
          <w:szCs w:val="24"/>
        </w:rPr>
        <w:t xml:space="preserve">chronic rhinosinusitis.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8</w:t>
      </w:r>
      <w:r>
        <w:rPr>
          <w:kern w:val="0"/>
        </w:rPr>
        <w:t xml:space="preserve">, Article Number: </w:t>
      </w:r>
      <w:r>
        <w:rPr>
          <w:rFonts w:eastAsia="新細明體"/>
          <w:szCs w:val="22"/>
        </w:rPr>
        <w:t>CD008263</w:t>
      </w:r>
      <w:r>
        <w:rPr>
          <w:kern w:val="0"/>
        </w:rPr>
        <w:t>.</w:t>
      </w:r>
    </w:p>
    <w:p w:rsidR="00365DE4" w:rsidRDefault="00365DE4" w:rsidP="00365DE4">
      <w:pPr>
        <w:pStyle w:val="a3"/>
        <w:rPr>
          <w:kern w:val="2"/>
        </w:rPr>
      </w:pPr>
      <w:r>
        <w:lastRenderedPageBreak/>
        <w:t xml:space="preserve">Full Text: </w:t>
      </w:r>
      <w:hyperlink r:id="rId666" w:history="1">
        <w:r>
          <w:rPr>
            <w:rStyle w:val="a5"/>
          </w:rPr>
          <w:t>2011\Coc Dat Sys Rev2011, CD008263.pdf</w:t>
        </w:r>
      </w:hyperlink>
    </w:p>
    <w:p w:rsidR="00365DE4" w:rsidRDefault="00365DE4" w:rsidP="00365DE4">
      <w:pPr>
        <w:pStyle w:val="a3"/>
        <w:rPr>
          <w:kern w:val="0"/>
          <w:szCs w:val="24"/>
        </w:rPr>
      </w:pPr>
      <w:r>
        <w:rPr>
          <w:kern w:val="0"/>
          <w:szCs w:val="24"/>
        </w:rPr>
        <w:t>Abstract: Background Chronic rhinosinusitis (CRS) is an inflammatory disorder</w:t>
      </w:r>
      <w:r w:rsidR="00427468">
        <w:rPr>
          <w:kern w:val="0"/>
          <w:szCs w:val="24"/>
        </w:rPr>
        <w:t xml:space="preserve"> of </w:t>
      </w:r>
      <w:r>
        <w:rPr>
          <w:kern w:val="0"/>
          <w:szCs w:val="24"/>
        </w:rPr>
        <w:t>the nose</w:t>
      </w:r>
      <w:r w:rsidR="005853A9">
        <w:rPr>
          <w:kern w:val="0"/>
          <w:szCs w:val="24"/>
        </w:rPr>
        <w:t xml:space="preserve"> and </w:t>
      </w:r>
      <w:r>
        <w:rPr>
          <w:kern w:val="0"/>
          <w:szCs w:val="24"/>
        </w:rPr>
        <w:t>sinuses. Since fungi were postulated as a potential cause</w:t>
      </w:r>
      <w:r w:rsidR="00427468">
        <w:rPr>
          <w:kern w:val="0"/>
          <w:szCs w:val="24"/>
        </w:rPr>
        <w:t xml:space="preserve"> of </w:t>
      </w:r>
      <w:r>
        <w:rPr>
          <w:kern w:val="0"/>
          <w:szCs w:val="24"/>
        </w:rPr>
        <w:t>CRS in the late 1990s, there has been increasing controversy about the use</w:t>
      </w:r>
      <w:r w:rsidR="00427468">
        <w:rPr>
          <w:kern w:val="0"/>
          <w:szCs w:val="24"/>
        </w:rPr>
        <w:t xml:space="preserve"> of </w:t>
      </w:r>
      <w:r>
        <w:rPr>
          <w:kern w:val="0"/>
          <w:szCs w:val="24"/>
        </w:rPr>
        <w:t>both topical</w:t>
      </w:r>
      <w:r w:rsidR="005853A9">
        <w:rPr>
          <w:kern w:val="0"/>
          <w:szCs w:val="24"/>
        </w:rPr>
        <w:t xml:space="preserve"> and </w:t>
      </w:r>
      <w:r>
        <w:rPr>
          <w:kern w:val="0"/>
          <w:szCs w:val="24"/>
        </w:rPr>
        <w:t>systemic antifungal agents in its management. Although interaction between the immune system</w:t>
      </w:r>
      <w:r w:rsidR="005853A9">
        <w:rPr>
          <w:kern w:val="0"/>
          <w:szCs w:val="24"/>
        </w:rPr>
        <w:t xml:space="preserve"> and </w:t>
      </w:r>
      <w:r>
        <w:rPr>
          <w:kern w:val="0"/>
          <w:szCs w:val="24"/>
        </w:rPr>
        <w:t>fungus has been demonstrated in CRS, this does not necessarily imply that fungi are the cause</w:t>
      </w:r>
      <w:r w:rsidR="00427468">
        <w:rPr>
          <w:kern w:val="0"/>
          <w:szCs w:val="24"/>
        </w:rPr>
        <w:t xml:space="preserve"> of </w:t>
      </w:r>
      <w:r>
        <w:rPr>
          <w:kern w:val="0"/>
          <w:szCs w:val="24"/>
        </w:rPr>
        <w:t>CRS or that antifungals will be effective its management. Objectives To assess the effectiveness</w:t>
      </w:r>
      <w:r w:rsidR="00427468">
        <w:rPr>
          <w:kern w:val="0"/>
          <w:szCs w:val="24"/>
        </w:rPr>
        <w:t xml:space="preserve"> of </w:t>
      </w:r>
      <w:r>
        <w:rPr>
          <w:kern w:val="0"/>
          <w:szCs w:val="24"/>
        </w:rPr>
        <w:t>topical or systemic antifungal therapy in the treatment</w:t>
      </w:r>
      <w:r w:rsidR="00427468">
        <w:rPr>
          <w:kern w:val="0"/>
          <w:szCs w:val="24"/>
        </w:rPr>
        <w:t xml:space="preserve"> of </w:t>
      </w:r>
      <w:r>
        <w:rPr>
          <w:kern w:val="0"/>
          <w:szCs w:val="24"/>
        </w:rPr>
        <w:t>CRS. Search strategy We searched the Cochrane Ear, Nose</w:t>
      </w:r>
      <w:r w:rsidR="005853A9">
        <w:rPr>
          <w:kern w:val="0"/>
          <w:szCs w:val="24"/>
        </w:rPr>
        <w:t xml:space="preserve"> and </w:t>
      </w:r>
      <w:r>
        <w:rPr>
          <w:kern w:val="0"/>
          <w:szCs w:val="24"/>
        </w:rPr>
        <w:t>Throat Disorders Group Trials Register; the Cochrane Central Register</w:t>
      </w:r>
      <w:r w:rsidR="00427468">
        <w:rPr>
          <w:kern w:val="0"/>
          <w:szCs w:val="24"/>
        </w:rPr>
        <w:t xml:space="preserve"> of </w:t>
      </w:r>
      <w:r>
        <w:rPr>
          <w:kern w:val="0"/>
          <w:szCs w:val="24"/>
        </w:rPr>
        <w:t xml:space="preserve">Controlled Trials (CENTRAL); PubMed; EMBASE; CINAHL; </w:t>
      </w:r>
      <w:r w:rsidR="00D5664A">
        <w:rPr>
          <w:kern w:val="0"/>
          <w:szCs w:val="24"/>
        </w:rPr>
        <w:t>Web</w:t>
      </w:r>
      <w:r w:rsidR="00427468">
        <w:rPr>
          <w:kern w:val="0"/>
          <w:szCs w:val="24"/>
        </w:rPr>
        <w:t xml:space="preserve"> of </w:t>
      </w:r>
      <w:r w:rsidR="00D5664A">
        <w:rPr>
          <w:kern w:val="0"/>
          <w:szCs w:val="24"/>
        </w:rPr>
        <w:t>Science</w:t>
      </w:r>
      <w:r>
        <w:rPr>
          <w:kern w:val="0"/>
          <w:szCs w:val="24"/>
        </w:rPr>
        <w:t>; BIOSIS Previews; Cambridge Scientific Abstracts; ICTRP</w:t>
      </w:r>
      <w:r w:rsidR="005853A9">
        <w:rPr>
          <w:kern w:val="0"/>
          <w:szCs w:val="24"/>
        </w:rPr>
        <w:t xml:space="preserve"> and </w:t>
      </w:r>
      <w:r>
        <w:rPr>
          <w:kern w:val="0"/>
          <w:szCs w:val="24"/>
        </w:rPr>
        <w:t>additional sources for published</w:t>
      </w:r>
      <w:r w:rsidR="005853A9">
        <w:rPr>
          <w:kern w:val="0"/>
          <w:szCs w:val="24"/>
        </w:rPr>
        <w:t xml:space="preserve"> and </w:t>
      </w:r>
      <w:r>
        <w:rPr>
          <w:kern w:val="0"/>
          <w:szCs w:val="24"/>
        </w:rPr>
        <w:t>unpublished trials</w:t>
      </w:r>
      <w:r w:rsidR="00A37C1D">
        <w:rPr>
          <w:kern w:val="0"/>
          <w:szCs w:val="24"/>
        </w:rPr>
        <w:t>. The</w:t>
      </w:r>
      <w:r>
        <w:rPr>
          <w:kern w:val="0"/>
          <w:szCs w:val="24"/>
        </w:rPr>
        <w:t xml:space="preserve"> date</w:t>
      </w:r>
      <w:r w:rsidR="00427468">
        <w:rPr>
          <w:kern w:val="0"/>
          <w:szCs w:val="24"/>
        </w:rPr>
        <w:t xml:space="preserve"> of </w:t>
      </w:r>
      <w:r>
        <w:rPr>
          <w:kern w:val="0"/>
          <w:szCs w:val="24"/>
        </w:rPr>
        <w:t>the most recent search was 8 March 2011. Selection criteria All randomised, placebo-controlled trials considering the use</w:t>
      </w:r>
      <w:r w:rsidR="00427468">
        <w:rPr>
          <w:kern w:val="0"/>
          <w:szCs w:val="24"/>
        </w:rPr>
        <w:t xml:space="preserve"> of </w:t>
      </w:r>
      <w:r>
        <w:rPr>
          <w:kern w:val="0"/>
          <w:szCs w:val="24"/>
        </w:rPr>
        <w:t>topical or systemic antifungal therapy in the treatment</w:t>
      </w:r>
      <w:r w:rsidR="00427468">
        <w:rPr>
          <w:kern w:val="0"/>
          <w:szCs w:val="24"/>
        </w:rPr>
        <w:t xml:space="preserve"> of </w:t>
      </w:r>
      <w:r>
        <w:rPr>
          <w:kern w:val="0"/>
          <w:szCs w:val="24"/>
        </w:rPr>
        <w:t>CRS</w:t>
      </w:r>
      <w:r w:rsidR="005853A9">
        <w:rPr>
          <w:kern w:val="0"/>
          <w:szCs w:val="24"/>
        </w:rPr>
        <w:t xml:space="preserve"> and </w:t>
      </w:r>
      <w:r>
        <w:rPr>
          <w:kern w:val="0"/>
          <w:szCs w:val="24"/>
        </w:rPr>
        <w:t>allergic fungal sinusitis (AFS). CRS was defined using either the European Position Paper on Rhinosinusitis</w:t>
      </w:r>
      <w:r w:rsidR="005853A9">
        <w:rPr>
          <w:kern w:val="0"/>
          <w:szCs w:val="24"/>
        </w:rPr>
        <w:t xml:space="preserve"> and </w:t>
      </w:r>
      <w:r>
        <w:rPr>
          <w:kern w:val="0"/>
          <w:szCs w:val="24"/>
        </w:rPr>
        <w:t>Nasal Polyps (EPOS) or American Academy</w:t>
      </w:r>
      <w:r w:rsidR="00427468">
        <w:rPr>
          <w:kern w:val="0"/>
          <w:szCs w:val="24"/>
        </w:rPr>
        <w:t xml:space="preserve"> of </w:t>
      </w:r>
      <w:r>
        <w:rPr>
          <w:kern w:val="0"/>
          <w:szCs w:val="24"/>
        </w:rPr>
        <w:t>Otolaryngology - Head</w:t>
      </w:r>
      <w:r w:rsidR="005853A9">
        <w:rPr>
          <w:kern w:val="0"/>
          <w:szCs w:val="24"/>
        </w:rPr>
        <w:t xml:space="preserve"> and </w:t>
      </w:r>
      <w:r>
        <w:rPr>
          <w:kern w:val="0"/>
          <w:szCs w:val="24"/>
        </w:rPr>
        <w:t>Neck Surgery (AAO-HNS) criteria. Data collection</w:t>
      </w:r>
      <w:r w:rsidR="005853A9">
        <w:rPr>
          <w:kern w:val="0"/>
          <w:szCs w:val="24"/>
        </w:rPr>
        <w:t xml:space="preserve"> and </w:t>
      </w:r>
      <w:r>
        <w:rPr>
          <w:kern w:val="0"/>
          <w:szCs w:val="24"/>
        </w:rPr>
        <w:t>analysis We reviewed the titles</w:t>
      </w:r>
      <w:r w:rsidR="005853A9">
        <w:rPr>
          <w:kern w:val="0"/>
          <w:szCs w:val="24"/>
        </w:rPr>
        <w:t xml:space="preserve"> and </w:t>
      </w:r>
      <w:r>
        <w:rPr>
          <w:kern w:val="0"/>
          <w:szCs w:val="24"/>
        </w:rPr>
        <w:t>abstracts</w:t>
      </w:r>
      <w:r w:rsidR="00427468">
        <w:rPr>
          <w:kern w:val="0"/>
          <w:szCs w:val="24"/>
        </w:rPr>
        <w:t xml:space="preserve"> of </w:t>
      </w:r>
      <w:r>
        <w:rPr>
          <w:kern w:val="0"/>
          <w:szCs w:val="24"/>
        </w:rPr>
        <w:t>all studies obtained from the searches</w:t>
      </w:r>
      <w:r w:rsidR="005853A9">
        <w:rPr>
          <w:kern w:val="0"/>
          <w:szCs w:val="24"/>
        </w:rPr>
        <w:t xml:space="preserve"> and </w:t>
      </w:r>
      <w:r>
        <w:rPr>
          <w:kern w:val="0"/>
          <w:szCs w:val="24"/>
        </w:rPr>
        <w:t>selected trials that met the eligibility criteria. We extracted data using a pre-determined data extraction form</w:t>
      </w:r>
      <w:r w:rsidR="00A37C1D">
        <w:rPr>
          <w:kern w:val="0"/>
          <w:szCs w:val="24"/>
        </w:rPr>
        <w:t>. The</w:t>
      </w:r>
      <w:r>
        <w:rPr>
          <w:kern w:val="0"/>
          <w:szCs w:val="24"/>
        </w:rPr>
        <w:t>re was significant heterogeneity</w:t>
      </w:r>
      <w:r w:rsidR="00427468">
        <w:rPr>
          <w:kern w:val="0"/>
          <w:szCs w:val="24"/>
        </w:rPr>
        <w:t xml:space="preserve"> of </w:t>
      </w:r>
      <w:r>
        <w:rPr>
          <w:kern w:val="0"/>
          <w:szCs w:val="24"/>
        </w:rPr>
        <w:t>outcome data reporting with reports containing both parametric</w:t>
      </w:r>
      <w:r w:rsidR="005853A9">
        <w:rPr>
          <w:kern w:val="0"/>
          <w:szCs w:val="24"/>
        </w:rPr>
        <w:t xml:space="preserve"> and </w:t>
      </w:r>
      <w:r>
        <w:rPr>
          <w:kern w:val="0"/>
          <w:szCs w:val="24"/>
        </w:rPr>
        <w:t>non-parametric representations</w:t>
      </w:r>
      <w:r w:rsidR="00427468">
        <w:rPr>
          <w:kern w:val="0"/>
          <w:szCs w:val="24"/>
        </w:rPr>
        <w:t xml:space="preserve"> of </w:t>
      </w:r>
      <w:r>
        <w:rPr>
          <w:kern w:val="0"/>
          <w:szCs w:val="24"/>
        </w:rPr>
        <w:t>data for the same outcomes. Means</w:t>
      </w:r>
      <w:r w:rsidR="005853A9">
        <w:rPr>
          <w:kern w:val="0"/>
          <w:szCs w:val="24"/>
        </w:rPr>
        <w:t xml:space="preserve"> and </w:t>
      </w:r>
      <w:r>
        <w:rPr>
          <w:kern w:val="0"/>
          <w:szCs w:val="24"/>
        </w:rPr>
        <w:t>standard deviations for change data were unavailable for a number</w:t>
      </w:r>
      <w:r w:rsidR="00427468">
        <w:rPr>
          <w:kern w:val="0"/>
          <w:szCs w:val="24"/>
        </w:rPr>
        <w:t xml:space="preserve"> of </w:t>
      </w:r>
      <w:r>
        <w:rPr>
          <w:kern w:val="0"/>
          <w:szCs w:val="24"/>
        </w:rPr>
        <w:t>trials. Due to the limited reported data, we contacted authors</w:t>
      </w:r>
      <w:r w:rsidR="005853A9">
        <w:rPr>
          <w:kern w:val="0"/>
          <w:szCs w:val="24"/>
        </w:rPr>
        <w:t xml:space="preserve"> and </w:t>
      </w:r>
      <w:r>
        <w:rPr>
          <w:kern w:val="0"/>
          <w:szCs w:val="24"/>
        </w:rPr>
        <w:t>used original data for data analysis. Main results Six studies were included (380 participants). Five studies investigated topical antifungals</w:t>
      </w:r>
      <w:r w:rsidR="005853A9">
        <w:rPr>
          <w:kern w:val="0"/>
          <w:szCs w:val="24"/>
        </w:rPr>
        <w:t xml:space="preserve"> and </w:t>
      </w:r>
      <w:r>
        <w:rPr>
          <w:kern w:val="0"/>
          <w:szCs w:val="24"/>
        </w:rPr>
        <w:t>one study investigated systemic antifungals</w:t>
      </w:r>
      <w:r w:rsidR="00A37C1D">
        <w:rPr>
          <w:kern w:val="0"/>
          <w:szCs w:val="24"/>
        </w:rPr>
        <w:t>. The</w:t>
      </w:r>
      <w:r>
        <w:rPr>
          <w:kern w:val="0"/>
          <w:szCs w:val="24"/>
        </w:rPr>
        <w:t xml:space="preserve"> risk</w:t>
      </w:r>
      <w:r w:rsidR="00427468">
        <w:rPr>
          <w:kern w:val="0"/>
          <w:szCs w:val="24"/>
        </w:rPr>
        <w:t xml:space="preserve"> of </w:t>
      </w:r>
      <w:r>
        <w:rPr>
          <w:kern w:val="0"/>
          <w:szCs w:val="24"/>
        </w:rPr>
        <w:t>bias in all included studies was low, with all trials being double-blinded</w:t>
      </w:r>
      <w:r w:rsidR="005853A9">
        <w:rPr>
          <w:kern w:val="0"/>
          <w:szCs w:val="24"/>
        </w:rPr>
        <w:t xml:space="preserve"> and </w:t>
      </w:r>
      <w:r>
        <w:rPr>
          <w:kern w:val="0"/>
          <w:szCs w:val="24"/>
        </w:rPr>
        <w:t>randomised. Pooled meta-analysis showed no statistically significant benefit</w:t>
      </w:r>
      <w:r w:rsidR="00427468">
        <w:rPr>
          <w:kern w:val="0"/>
          <w:szCs w:val="24"/>
        </w:rPr>
        <w:t xml:space="preserve"> of </w:t>
      </w:r>
      <w:r>
        <w:rPr>
          <w:kern w:val="0"/>
          <w:szCs w:val="24"/>
        </w:rPr>
        <w:t>topical or systemic antifungals over placebo for any outcome. Symptom scores in fact statistically favoured the placebo group. Adverse event reporting was statistically significantly higher in the antifungal group. Authors</w:t>
      </w:r>
      <w:r w:rsidR="0071223E">
        <w:rPr>
          <w:kern w:val="0"/>
          <w:szCs w:val="24"/>
        </w:rPr>
        <w:t>’</w:t>
      </w:r>
      <w:r>
        <w:rPr>
          <w:kern w:val="0"/>
          <w:szCs w:val="24"/>
        </w:rPr>
        <w:t xml:space="preserve"> conclusions On the basis</w:t>
      </w:r>
      <w:r w:rsidR="00427468">
        <w:rPr>
          <w:kern w:val="0"/>
          <w:szCs w:val="24"/>
        </w:rPr>
        <w:t xml:space="preserve"> of </w:t>
      </w:r>
      <w:r>
        <w:rPr>
          <w:kern w:val="0"/>
          <w:szCs w:val="24"/>
        </w:rPr>
        <w:t>this meta-analysis, there is no evidence to support the use</w:t>
      </w:r>
      <w:r w:rsidR="00427468">
        <w:rPr>
          <w:kern w:val="0"/>
          <w:szCs w:val="24"/>
        </w:rPr>
        <w:t xml:space="preserve"> of </w:t>
      </w:r>
      <w:r>
        <w:rPr>
          <w:kern w:val="0"/>
          <w:szCs w:val="24"/>
        </w:rPr>
        <w:t>either topical or systemic antifungal treatment in the management</w:t>
      </w:r>
      <w:r w:rsidR="00427468">
        <w:rPr>
          <w:kern w:val="0"/>
          <w:szCs w:val="24"/>
        </w:rPr>
        <w:t xml:space="preserve"> of </w:t>
      </w:r>
      <w:r>
        <w:rPr>
          <w:kern w:val="0"/>
          <w:szCs w:val="24"/>
        </w:rPr>
        <w:t>CRS.</w:t>
      </w:r>
    </w:p>
    <w:p w:rsidR="00365DE4" w:rsidRDefault="00365DE4" w:rsidP="00365DE4">
      <w:pPr>
        <w:pStyle w:val="a3"/>
        <w:rPr>
          <w:kern w:val="0"/>
          <w:szCs w:val="24"/>
        </w:rPr>
      </w:pPr>
      <w:r>
        <w:rPr>
          <w:kern w:val="0"/>
          <w:szCs w:val="24"/>
        </w:rPr>
        <w:t xml:space="preserve">Keywords: Amphotericin-B Irrigation, Analysis, Authors, Bias, Chronic Sinusitis, Clinical-Trials, Cochrane, Cr, Disorder, Double-Blind, Effectiveness, Embase, Epidemiology, Fungal Sinusitis, Fungus, Itraconazole, Management, Meta Analysis, Meta-Analysis, Nasal Polyps, Nonparametric, Outcome, Outcomes, Pubmed, Rhinosinusitis, Risk, Science, Search Strategy, Sinusitis, Spray, Strategy, Surgery, </w:t>
      </w:r>
      <w:r>
        <w:rPr>
          <w:kern w:val="0"/>
          <w:szCs w:val="24"/>
        </w:rPr>
        <w:lastRenderedPageBreak/>
        <w:t xml:space="preserve">Therapy, Treatment, </w:t>
      </w:r>
      <w:r w:rsidR="00D5664A">
        <w:rPr>
          <w:kern w:val="0"/>
          <w:szCs w:val="24"/>
        </w:rPr>
        <w:t>Web</w:t>
      </w:r>
      <w:r w:rsidR="00427468">
        <w:rPr>
          <w:kern w:val="0"/>
          <w:szCs w:val="24"/>
        </w:rPr>
        <w:t xml:space="preserve"> of </w:t>
      </w:r>
      <w:r w:rsidR="00D5664A">
        <w:rPr>
          <w:kern w:val="0"/>
          <w:szCs w:val="24"/>
        </w:rPr>
        <w:t>Science</w:t>
      </w:r>
    </w:p>
    <w:p w:rsidR="00365DE4" w:rsidRDefault="00365DE4" w:rsidP="00365DE4">
      <w:pPr>
        <w:pStyle w:val="a3"/>
        <w:rPr>
          <w:kern w:val="0"/>
        </w:rPr>
      </w:pPr>
      <w:r>
        <w:rPr>
          <w:kern w:val="0"/>
          <w:szCs w:val="24"/>
        </w:rPr>
        <w:t>? Snidvongs, K., Kalish, L., Sacks, R., Craig, J.C.</w:t>
      </w:r>
      <w:r w:rsidR="005853A9">
        <w:rPr>
          <w:kern w:val="0"/>
          <w:szCs w:val="24"/>
        </w:rPr>
        <w:t xml:space="preserve"> and </w:t>
      </w:r>
      <w:r>
        <w:rPr>
          <w:kern w:val="0"/>
          <w:szCs w:val="24"/>
        </w:rPr>
        <w:t xml:space="preserve">Harvey, R.J. (2011), Topical steroid for chronic rhinosinusitis without polyps.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8</w:t>
      </w:r>
      <w:r>
        <w:rPr>
          <w:kern w:val="0"/>
        </w:rPr>
        <w:t xml:space="preserve">, Article Number: </w:t>
      </w:r>
      <w:r>
        <w:rPr>
          <w:rFonts w:eastAsia="新細明體"/>
          <w:szCs w:val="22"/>
        </w:rPr>
        <w:t>CD009274</w:t>
      </w:r>
      <w:r>
        <w:rPr>
          <w:kern w:val="0"/>
        </w:rPr>
        <w:t>.</w:t>
      </w:r>
    </w:p>
    <w:p w:rsidR="00365DE4" w:rsidRDefault="00365DE4" w:rsidP="00365DE4">
      <w:pPr>
        <w:pStyle w:val="a3"/>
        <w:rPr>
          <w:kern w:val="2"/>
        </w:rPr>
      </w:pPr>
      <w:r>
        <w:t xml:space="preserve">Full Text: </w:t>
      </w:r>
      <w:hyperlink r:id="rId667" w:history="1">
        <w:r>
          <w:rPr>
            <w:rStyle w:val="a5"/>
          </w:rPr>
          <w:t>2011\Coc Dat Sys Rev2011, CD009274.pdf</w:t>
        </w:r>
      </w:hyperlink>
    </w:p>
    <w:p w:rsidR="00365DE4" w:rsidRDefault="00365DE4" w:rsidP="00365DE4">
      <w:pPr>
        <w:pStyle w:val="a3"/>
        <w:rPr>
          <w:kern w:val="0"/>
          <w:szCs w:val="24"/>
        </w:rPr>
      </w:pPr>
      <w:r>
        <w:rPr>
          <w:kern w:val="0"/>
          <w:szCs w:val="24"/>
        </w:rPr>
        <w:t>Abstract: Background Topical corticosteroid is used as part</w:t>
      </w:r>
      <w:r w:rsidR="00427468">
        <w:rPr>
          <w:kern w:val="0"/>
          <w:szCs w:val="24"/>
        </w:rPr>
        <w:t xml:space="preserve"> of </w:t>
      </w:r>
      <w:r>
        <w:rPr>
          <w:kern w:val="0"/>
          <w:szCs w:val="24"/>
        </w:rPr>
        <w:t>a comprehensive medical treatment for chronic rhinosinusitis (CRS) without polyps. Nevertheless, there is insufficient evidence to show a clear overall benefit. Trials studying the efficacy</w:t>
      </w:r>
      <w:r w:rsidR="00427468">
        <w:rPr>
          <w:kern w:val="0"/>
          <w:szCs w:val="24"/>
        </w:rPr>
        <w:t xml:space="preserve"> of </w:t>
      </w:r>
      <w:r>
        <w:rPr>
          <w:kern w:val="0"/>
          <w:szCs w:val="24"/>
        </w:rPr>
        <w:t>topical corticosteroid use various delivery methods in patients who have or have not had sinus surgery, which directly impacts on topical delivery</w:t>
      </w:r>
      <w:r w:rsidR="005853A9">
        <w:rPr>
          <w:kern w:val="0"/>
          <w:szCs w:val="24"/>
        </w:rPr>
        <w:t xml:space="preserve"> and </w:t>
      </w:r>
      <w:r>
        <w:rPr>
          <w:kern w:val="0"/>
          <w:szCs w:val="24"/>
        </w:rPr>
        <w:t>distribution. Objectives To assess the effects</w:t>
      </w:r>
      <w:r w:rsidR="00427468">
        <w:rPr>
          <w:kern w:val="0"/>
          <w:szCs w:val="24"/>
        </w:rPr>
        <w:t xml:space="preserve"> of </w:t>
      </w:r>
      <w:r>
        <w:rPr>
          <w:kern w:val="0"/>
          <w:szCs w:val="24"/>
        </w:rPr>
        <w:t>topical steroid in patients with CRS without nasal polyps</w:t>
      </w:r>
      <w:r w:rsidR="005853A9">
        <w:rPr>
          <w:kern w:val="0"/>
          <w:szCs w:val="24"/>
        </w:rPr>
        <w:t xml:space="preserve"> and </w:t>
      </w:r>
      <w:r>
        <w:rPr>
          <w:kern w:val="0"/>
          <w:szCs w:val="24"/>
        </w:rPr>
        <w:t>perform ameta-analysis</w:t>
      </w:r>
      <w:r w:rsidR="00427468">
        <w:rPr>
          <w:kern w:val="0"/>
          <w:szCs w:val="24"/>
        </w:rPr>
        <w:t xml:space="preserve"> of </w:t>
      </w:r>
      <w:r>
        <w:rPr>
          <w:kern w:val="0"/>
          <w:szCs w:val="24"/>
        </w:rPr>
        <w:t>symptom improvement data, including subgroup analysis by sinus surgery status</w:t>
      </w:r>
      <w:r w:rsidR="005853A9">
        <w:rPr>
          <w:kern w:val="0"/>
          <w:szCs w:val="24"/>
        </w:rPr>
        <w:t xml:space="preserve"> and </w:t>
      </w:r>
      <w:r>
        <w:rPr>
          <w:kern w:val="0"/>
          <w:szCs w:val="24"/>
        </w:rPr>
        <w:t>topical delivery methods. Search strategy We searched the Cochrane Ear, Nose</w:t>
      </w:r>
      <w:r w:rsidR="005853A9">
        <w:rPr>
          <w:kern w:val="0"/>
          <w:szCs w:val="24"/>
        </w:rPr>
        <w:t xml:space="preserve"> and </w:t>
      </w:r>
      <w:r>
        <w:rPr>
          <w:kern w:val="0"/>
          <w:szCs w:val="24"/>
        </w:rPr>
        <w:t>Throat Disorders Group Trials Register; the Cochrane Central Register</w:t>
      </w:r>
      <w:r w:rsidR="00427468">
        <w:rPr>
          <w:kern w:val="0"/>
          <w:szCs w:val="24"/>
        </w:rPr>
        <w:t xml:space="preserve"> of </w:t>
      </w:r>
      <w:r>
        <w:rPr>
          <w:kern w:val="0"/>
          <w:szCs w:val="24"/>
        </w:rPr>
        <w:t xml:space="preserve">Controlled Trials (CENTRAL); PubMed; EMBASE; CINAHL; </w:t>
      </w:r>
      <w:r w:rsidR="00D5664A">
        <w:rPr>
          <w:kern w:val="0"/>
          <w:szCs w:val="24"/>
        </w:rPr>
        <w:t>Web</w:t>
      </w:r>
      <w:r w:rsidR="00427468">
        <w:rPr>
          <w:kern w:val="0"/>
          <w:szCs w:val="24"/>
        </w:rPr>
        <w:t xml:space="preserve"> of </w:t>
      </w:r>
      <w:r w:rsidR="00D5664A">
        <w:rPr>
          <w:kern w:val="0"/>
          <w:szCs w:val="24"/>
        </w:rPr>
        <w:t>Science</w:t>
      </w:r>
      <w:r>
        <w:rPr>
          <w:kern w:val="0"/>
          <w:szCs w:val="24"/>
        </w:rPr>
        <w:t>; BIOSIS Previews; Cambridge Scientific Abstracts; ISRCTN</w:t>
      </w:r>
      <w:r w:rsidR="005853A9">
        <w:rPr>
          <w:kern w:val="0"/>
          <w:szCs w:val="24"/>
        </w:rPr>
        <w:t xml:space="preserve"> and </w:t>
      </w:r>
      <w:r>
        <w:rPr>
          <w:kern w:val="0"/>
          <w:szCs w:val="24"/>
        </w:rPr>
        <w:t>additional sources for published</w:t>
      </w:r>
      <w:r w:rsidR="005853A9">
        <w:rPr>
          <w:kern w:val="0"/>
          <w:szCs w:val="24"/>
        </w:rPr>
        <w:t xml:space="preserve"> and </w:t>
      </w:r>
      <w:r>
        <w:rPr>
          <w:kern w:val="0"/>
          <w:szCs w:val="24"/>
        </w:rPr>
        <w:t>unpublished trials</w:t>
      </w:r>
      <w:r w:rsidR="00A37C1D">
        <w:rPr>
          <w:kern w:val="0"/>
          <w:szCs w:val="24"/>
        </w:rPr>
        <w:t>. The</w:t>
      </w:r>
      <w:r>
        <w:rPr>
          <w:kern w:val="0"/>
          <w:szCs w:val="24"/>
        </w:rPr>
        <w:t xml:space="preserve"> date</w:t>
      </w:r>
      <w:r w:rsidR="00427468">
        <w:rPr>
          <w:kern w:val="0"/>
          <w:szCs w:val="24"/>
        </w:rPr>
        <w:t xml:space="preserve"> of </w:t>
      </w:r>
      <w:r>
        <w:rPr>
          <w:kern w:val="0"/>
          <w:szCs w:val="24"/>
        </w:rPr>
        <w:t>the most recent search was 9 July 2010. Selection criteria All randomised trials in which a topically administered corticosteroid was compared with either a placebo, no treatment or alternative topically administered corticosteroid for the treatment</w:t>
      </w:r>
      <w:r w:rsidR="00427468">
        <w:rPr>
          <w:kern w:val="0"/>
          <w:szCs w:val="24"/>
        </w:rPr>
        <w:t xml:space="preserve"> of </w:t>
      </w:r>
      <w:r>
        <w:rPr>
          <w:kern w:val="0"/>
          <w:szCs w:val="24"/>
        </w:rPr>
        <w:t>CRS without polyps in patients</w:t>
      </w:r>
      <w:r w:rsidR="00427468">
        <w:rPr>
          <w:kern w:val="0"/>
          <w:szCs w:val="24"/>
        </w:rPr>
        <w:t xml:space="preserve"> of </w:t>
      </w:r>
      <w:r>
        <w:rPr>
          <w:kern w:val="0"/>
          <w:szCs w:val="24"/>
        </w:rPr>
        <w:t>any age. Data collection</w:t>
      </w:r>
      <w:r w:rsidR="005853A9">
        <w:rPr>
          <w:kern w:val="0"/>
          <w:szCs w:val="24"/>
        </w:rPr>
        <w:t xml:space="preserve"> and </w:t>
      </w:r>
      <w:r>
        <w:rPr>
          <w:kern w:val="0"/>
          <w:szCs w:val="24"/>
        </w:rPr>
        <w:t>analysis Two authors reviewed the search results</w:t>
      </w:r>
      <w:r w:rsidR="005853A9">
        <w:rPr>
          <w:kern w:val="0"/>
          <w:szCs w:val="24"/>
        </w:rPr>
        <w:t xml:space="preserve"> and </w:t>
      </w:r>
      <w:r>
        <w:rPr>
          <w:kern w:val="0"/>
          <w:szCs w:val="24"/>
        </w:rPr>
        <w:t>selected trials meeting the eligibility criteria, obtaining full texts</w:t>
      </w:r>
      <w:r w:rsidR="005853A9">
        <w:rPr>
          <w:kern w:val="0"/>
          <w:szCs w:val="24"/>
        </w:rPr>
        <w:t xml:space="preserve"> and </w:t>
      </w:r>
      <w:r>
        <w:rPr>
          <w:kern w:val="0"/>
          <w:szCs w:val="24"/>
        </w:rPr>
        <w:t>contacting authors where necessary. We documented our justification for the exclusion</w:t>
      </w:r>
      <w:r w:rsidR="00427468">
        <w:rPr>
          <w:kern w:val="0"/>
          <w:szCs w:val="24"/>
        </w:rPr>
        <w:t xml:space="preserve"> of </w:t>
      </w:r>
      <w:r>
        <w:rPr>
          <w:kern w:val="0"/>
          <w:szCs w:val="24"/>
        </w:rPr>
        <w:t>studies. Two authors extracted data using a pre-determined standardised data form. Main results Ten studies (590 patients) met the inclusion criteria</w:t>
      </w:r>
      <w:r w:rsidR="00A37C1D">
        <w:rPr>
          <w:kern w:val="0"/>
          <w:szCs w:val="24"/>
        </w:rPr>
        <w:t>. The</w:t>
      </w:r>
      <w:r>
        <w:rPr>
          <w:kern w:val="0"/>
          <w:szCs w:val="24"/>
        </w:rPr>
        <w:t xml:space="preserve"> trials were</w:t>
      </w:r>
      <w:r w:rsidR="00427468">
        <w:rPr>
          <w:kern w:val="0"/>
          <w:szCs w:val="24"/>
        </w:rPr>
        <w:t xml:space="preserve"> of </w:t>
      </w:r>
      <w:r>
        <w:rPr>
          <w:kern w:val="0"/>
          <w:szCs w:val="24"/>
        </w:rPr>
        <w:t>low (six trials)</w:t>
      </w:r>
      <w:r w:rsidR="005853A9">
        <w:rPr>
          <w:kern w:val="0"/>
          <w:szCs w:val="24"/>
        </w:rPr>
        <w:t xml:space="preserve"> and </w:t>
      </w:r>
      <w:r>
        <w:rPr>
          <w:kern w:val="0"/>
          <w:szCs w:val="24"/>
        </w:rPr>
        <w:t>medium (four trials) risk</w:t>
      </w:r>
      <w:r w:rsidR="00427468">
        <w:rPr>
          <w:kern w:val="0"/>
          <w:szCs w:val="24"/>
        </w:rPr>
        <w:t xml:space="preserve"> of </w:t>
      </w:r>
      <w:r>
        <w:rPr>
          <w:kern w:val="0"/>
          <w:szCs w:val="24"/>
        </w:rPr>
        <w:t>bias</w:t>
      </w:r>
      <w:r w:rsidR="00A37C1D">
        <w:rPr>
          <w:kern w:val="0"/>
          <w:szCs w:val="24"/>
        </w:rPr>
        <w:t>. The</w:t>
      </w:r>
      <w:r>
        <w:rPr>
          <w:kern w:val="0"/>
          <w:szCs w:val="24"/>
        </w:rPr>
        <w:t xml:space="preserve"> primary outcome was sino-nasal symptoms. When compared to placebo, topical steroid improved symptom scores (standardised mean difference -0.37; 95% confidence interval (CI) -0.60 to -0.13, P = 0.002; five trials, n = 286)</w:t>
      </w:r>
      <w:r w:rsidR="005853A9">
        <w:rPr>
          <w:kern w:val="0"/>
          <w:szCs w:val="24"/>
        </w:rPr>
        <w:t xml:space="preserve"> and </w:t>
      </w:r>
      <w:r>
        <w:rPr>
          <w:kern w:val="0"/>
          <w:szCs w:val="24"/>
        </w:rPr>
        <w:t>had a greater proportion</w:t>
      </w:r>
      <w:r w:rsidR="00427468">
        <w:rPr>
          <w:kern w:val="0"/>
          <w:szCs w:val="24"/>
        </w:rPr>
        <w:t xml:space="preserve"> of </w:t>
      </w:r>
      <w:r>
        <w:rPr>
          <w:kern w:val="0"/>
          <w:szCs w:val="24"/>
        </w:rPr>
        <w:t>responders (risk ratio 1.69; 95% CI 1.21 to 2.37, P = 0.002; four trials, n = 263). With a limited number</w:t>
      </w:r>
      <w:r w:rsidR="00427468">
        <w:rPr>
          <w:kern w:val="0"/>
          <w:szCs w:val="24"/>
        </w:rPr>
        <w:t xml:space="preserve"> of </w:t>
      </w:r>
      <w:r>
        <w:rPr>
          <w:kern w:val="0"/>
          <w:szCs w:val="24"/>
        </w:rPr>
        <w:t>studies, the subgroup analyses</w:t>
      </w:r>
      <w:r w:rsidR="00427468">
        <w:rPr>
          <w:kern w:val="0"/>
          <w:szCs w:val="24"/>
        </w:rPr>
        <w:t xml:space="preserve"> of </w:t>
      </w:r>
      <w:r>
        <w:rPr>
          <w:kern w:val="0"/>
          <w:szCs w:val="24"/>
        </w:rPr>
        <w:t>patients who had received sinus surgery versus those who had not was not significant (P = 0.35). Subgroup analyses by topical delivery method revealed more benefit when steroid was administered directly to the sinuses than with simple nasal delivery (P = 0.04)</w:t>
      </w:r>
      <w:r w:rsidR="00A37C1D">
        <w:rPr>
          <w:kern w:val="0"/>
          <w:szCs w:val="24"/>
        </w:rPr>
        <w:t>. The</w:t>
      </w:r>
      <w:r>
        <w:rPr>
          <w:kern w:val="0"/>
          <w:szCs w:val="24"/>
        </w:rPr>
        <w:t>re were no differences between groups for quality</w:t>
      </w:r>
      <w:r w:rsidR="00427468">
        <w:rPr>
          <w:kern w:val="0"/>
          <w:szCs w:val="24"/>
        </w:rPr>
        <w:t xml:space="preserve"> of </w:t>
      </w:r>
      <w:r>
        <w:rPr>
          <w:kern w:val="0"/>
          <w:szCs w:val="24"/>
        </w:rPr>
        <w:t>life</w:t>
      </w:r>
      <w:r w:rsidR="005853A9">
        <w:rPr>
          <w:kern w:val="0"/>
          <w:szCs w:val="24"/>
        </w:rPr>
        <w:t xml:space="preserve"> and </w:t>
      </w:r>
      <w:r>
        <w:rPr>
          <w:kern w:val="0"/>
          <w:szCs w:val="24"/>
        </w:rPr>
        <w:t>adverse events. Authors</w:t>
      </w:r>
      <w:r w:rsidR="0071223E">
        <w:rPr>
          <w:kern w:val="0"/>
          <w:szCs w:val="24"/>
        </w:rPr>
        <w:t>’</w:t>
      </w:r>
      <w:r>
        <w:rPr>
          <w:kern w:val="0"/>
          <w:szCs w:val="24"/>
        </w:rPr>
        <w:t xml:space="preserve"> conclusions Topical steroid is a beneficial treatment for CRS without polyps</w:t>
      </w:r>
      <w:r w:rsidR="005853A9">
        <w:rPr>
          <w:kern w:val="0"/>
          <w:szCs w:val="24"/>
        </w:rPr>
        <w:t xml:space="preserve"> and </w:t>
      </w:r>
      <w:r>
        <w:rPr>
          <w:kern w:val="0"/>
          <w:szCs w:val="24"/>
        </w:rPr>
        <w:t>the adverse effects are minor. It may be included in a comprehensive treatment</w:t>
      </w:r>
      <w:r w:rsidR="00427468">
        <w:rPr>
          <w:kern w:val="0"/>
          <w:szCs w:val="24"/>
        </w:rPr>
        <w:t xml:space="preserve"> of </w:t>
      </w:r>
      <w:r>
        <w:rPr>
          <w:kern w:val="0"/>
          <w:szCs w:val="24"/>
        </w:rPr>
        <w:t>CRS without polyps. Direct delivery</w:t>
      </w:r>
      <w:r w:rsidR="00427468">
        <w:rPr>
          <w:kern w:val="0"/>
          <w:szCs w:val="24"/>
        </w:rPr>
        <w:t xml:space="preserve"> of </w:t>
      </w:r>
      <w:r>
        <w:rPr>
          <w:kern w:val="0"/>
          <w:szCs w:val="24"/>
        </w:rPr>
        <w:t xml:space="preserve">steroid to the sinuses may bring more beneficial effect. Further studies comparing different topical </w:t>
      </w:r>
      <w:r>
        <w:rPr>
          <w:kern w:val="0"/>
          <w:szCs w:val="24"/>
        </w:rPr>
        <w:lastRenderedPageBreak/>
        <w:t>drug delivery methods to the sinuses, with appropriate treatment duration (longer than 12 weeks), are required.</w:t>
      </w:r>
    </w:p>
    <w:p w:rsidR="00365DE4" w:rsidRDefault="00365DE4" w:rsidP="00365DE4">
      <w:pPr>
        <w:pStyle w:val="a3"/>
        <w:rPr>
          <w:kern w:val="0"/>
          <w:szCs w:val="24"/>
        </w:rPr>
      </w:pPr>
      <w:r>
        <w:rPr>
          <w:kern w:val="0"/>
          <w:szCs w:val="24"/>
        </w:rPr>
        <w:t>Keywords: Adenosine-Monophosphate Challenge, Adverse Effects, Adverse Events, Analysis, Aqueous Nasal Spray, Authors, Beclomethasone Dipropionate, Bias, Cochrane, Corticosteroid, Cr, Drug, Drug Delivery, Efficacy, Embase, Endoscopic Sinus Surgery, Fluticasone Propionate, Intranasal Corticosteroids, Medical, Mometasone Furoate, Outcome, Patients, Perennial Rhinitis, Persistent Allergic Rhinitis, Placebo-Controlled Trial, Primary, Pubmed, Quality</w:t>
      </w:r>
      <w:r w:rsidR="00427468">
        <w:rPr>
          <w:kern w:val="0"/>
          <w:szCs w:val="24"/>
        </w:rPr>
        <w:t xml:space="preserve"> of </w:t>
      </w:r>
      <w:r>
        <w:rPr>
          <w:kern w:val="0"/>
          <w:szCs w:val="24"/>
        </w:rPr>
        <w:t xml:space="preserve">Life, Ratio, Rhinosinusitis, Risk, Science, Search Strategy, Sinus, Steroid, Strategy, Surgery, Symptoms, Treatment, Treatment Duration, </w:t>
      </w:r>
      <w:r w:rsidR="00D5664A">
        <w:rPr>
          <w:kern w:val="0"/>
          <w:szCs w:val="24"/>
        </w:rPr>
        <w:t>Web</w:t>
      </w:r>
      <w:r w:rsidR="00427468">
        <w:rPr>
          <w:kern w:val="0"/>
          <w:szCs w:val="24"/>
        </w:rPr>
        <w:t xml:space="preserve"> of </w:t>
      </w:r>
      <w:r w:rsidR="00D5664A">
        <w:rPr>
          <w:kern w:val="0"/>
          <w:szCs w:val="24"/>
        </w:rPr>
        <w:t>Science</w:t>
      </w:r>
    </w:p>
    <w:p w:rsidR="00365DE4" w:rsidRDefault="00365DE4" w:rsidP="00365DE4">
      <w:pPr>
        <w:pStyle w:val="a3"/>
        <w:rPr>
          <w:kern w:val="0"/>
        </w:rPr>
      </w:pPr>
      <w:r>
        <w:rPr>
          <w:kern w:val="0"/>
          <w:szCs w:val="24"/>
        </w:rPr>
        <w:t>? Steward, D.L., Grisel, J.</w:t>
      </w:r>
      <w:r w:rsidR="005853A9">
        <w:rPr>
          <w:kern w:val="0"/>
          <w:szCs w:val="24"/>
        </w:rPr>
        <w:t xml:space="preserve"> and </w:t>
      </w:r>
      <w:r>
        <w:rPr>
          <w:kern w:val="0"/>
          <w:szCs w:val="24"/>
        </w:rPr>
        <w:t xml:space="preserve">Meinzen-Derr, J. (2011), Steroids for improving recovery following tonsillectomy in children.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8</w:t>
      </w:r>
      <w:r>
        <w:rPr>
          <w:kern w:val="0"/>
        </w:rPr>
        <w:t xml:space="preserve">, Article Number: </w:t>
      </w:r>
      <w:r>
        <w:rPr>
          <w:rFonts w:eastAsia="新細明體"/>
          <w:szCs w:val="22"/>
        </w:rPr>
        <w:t>CD003997</w:t>
      </w:r>
      <w:r>
        <w:rPr>
          <w:kern w:val="0"/>
        </w:rPr>
        <w:t>.</w:t>
      </w:r>
    </w:p>
    <w:p w:rsidR="00365DE4" w:rsidRDefault="00365DE4" w:rsidP="00365DE4">
      <w:pPr>
        <w:pStyle w:val="a3"/>
        <w:rPr>
          <w:kern w:val="2"/>
        </w:rPr>
      </w:pPr>
      <w:r>
        <w:t xml:space="preserve">Full Text: </w:t>
      </w:r>
      <w:hyperlink r:id="rId668" w:history="1">
        <w:r>
          <w:rPr>
            <w:rStyle w:val="a5"/>
          </w:rPr>
          <w:t>2011\Coc Dat Sys Rev2011, CD003997.pdf</w:t>
        </w:r>
      </w:hyperlink>
    </w:p>
    <w:p w:rsidR="00365DE4" w:rsidRDefault="00365DE4" w:rsidP="00365DE4">
      <w:pPr>
        <w:pStyle w:val="a3"/>
        <w:rPr>
          <w:kern w:val="0"/>
          <w:szCs w:val="24"/>
        </w:rPr>
      </w:pPr>
      <w:r>
        <w:rPr>
          <w:kern w:val="0"/>
          <w:szCs w:val="24"/>
        </w:rPr>
        <w:t>Abstract: Background This is an update</w:t>
      </w:r>
      <w:r w:rsidR="00427468">
        <w:rPr>
          <w:kern w:val="0"/>
          <w:szCs w:val="24"/>
        </w:rPr>
        <w:t xml:space="preserve"> of </w:t>
      </w:r>
      <w:r>
        <w:rPr>
          <w:kern w:val="0"/>
          <w:szCs w:val="24"/>
        </w:rPr>
        <w:t>a Cochrane Review first published in The Cochrane Library in Issue 1, 2003. Tonsillectomy continues to be one</w:t>
      </w:r>
      <w:r w:rsidR="00427468">
        <w:rPr>
          <w:kern w:val="0"/>
          <w:szCs w:val="24"/>
        </w:rPr>
        <w:t xml:space="preserve"> of </w:t>
      </w:r>
      <w:r>
        <w:rPr>
          <w:kern w:val="0"/>
          <w:szCs w:val="24"/>
        </w:rPr>
        <w:t>the most common surgical procedures performed worldwide. Despite advances in anesthetic</w:t>
      </w:r>
      <w:r w:rsidR="005853A9">
        <w:rPr>
          <w:kern w:val="0"/>
          <w:szCs w:val="24"/>
        </w:rPr>
        <w:t xml:space="preserve"> and </w:t>
      </w:r>
      <w:r>
        <w:rPr>
          <w:kern w:val="0"/>
          <w:szCs w:val="24"/>
        </w:rPr>
        <w:t>surgical techniques, post-tonsillectomy morbidity remains a significant clinical problem. Objectives To assess the clinical efficacy</w:t>
      </w:r>
      <w:r w:rsidR="00427468">
        <w:rPr>
          <w:kern w:val="0"/>
          <w:szCs w:val="24"/>
        </w:rPr>
        <w:t xml:space="preserve"> of </w:t>
      </w:r>
      <w:r>
        <w:rPr>
          <w:kern w:val="0"/>
          <w:szCs w:val="24"/>
        </w:rPr>
        <w:t>a single intraoperative dose</w:t>
      </w:r>
      <w:r w:rsidR="00427468">
        <w:rPr>
          <w:kern w:val="0"/>
          <w:szCs w:val="24"/>
        </w:rPr>
        <w:t xml:space="preserve"> of </w:t>
      </w:r>
      <w:r>
        <w:rPr>
          <w:kern w:val="0"/>
          <w:szCs w:val="24"/>
        </w:rPr>
        <w:t>dexamethasone in reducing post-tonsillectomy morbidity. Search strategy We searched the Cochrane Ear, Nose</w:t>
      </w:r>
      <w:r w:rsidR="005853A9">
        <w:rPr>
          <w:kern w:val="0"/>
          <w:szCs w:val="24"/>
        </w:rPr>
        <w:t xml:space="preserve"> and </w:t>
      </w:r>
      <w:r>
        <w:rPr>
          <w:kern w:val="0"/>
          <w:szCs w:val="24"/>
        </w:rPr>
        <w:t>Throat Disorders Group Trials Register; the Cochrane Central Register</w:t>
      </w:r>
      <w:r w:rsidR="00427468">
        <w:rPr>
          <w:kern w:val="0"/>
          <w:szCs w:val="24"/>
        </w:rPr>
        <w:t xml:space="preserve"> of </w:t>
      </w:r>
      <w:r>
        <w:rPr>
          <w:kern w:val="0"/>
          <w:szCs w:val="24"/>
        </w:rPr>
        <w:t xml:space="preserve">Controlled Trials (CENTRAL); PubMed; EMBASE; CINAHL; </w:t>
      </w:r>
      <w:r w:rsidR="00D5664A">
        <w:rPr>
          <w:kern w:val="0"/>
          <w:szCs w:val="24"/>
        </w:rPr>
        <w:t>Web</w:t>
      </w:r>
      <w:r w:rsidR="00427468">
        <w:rPr>
          <w:kern w:val="0"/>
          <w:szCs w:val="24"/>
        </w:rPr>
        <w:t xml:space="preserve"> of </w:t>
      </w:r>
      <w:r w:rsidR="00D5664A">
        <w:rPr>
          <w:kern w:val="0"/>
          <w:szCs w:val="24"/>
        </w:rPr>
        <w:t>Science</w:t>
      </w:r>
      <w:r>
        <w:rPr>
          <w:kern w:val="0"/>
          <w:szCs w:val="24"/>
        </w:rPr>
        <w:t>; BIOSIS Previews; Cambridge Scientific Abstracts; ISRCTN;</w:t>
      </w:r>
      <w:r w:rsidR="005853A9">
        <w:rPr>
          <w:kern w:val="0"/>
          <w:szCs w:val="24"/>
        </w:rPr>
        <w:t xml:space="preserve"> and </w:t>
      </w:r>
      <w:r>
        <w:rPr>
          <w:kern w:val="0"/>
          <w:szCs w:val="24"/>
        </w:rPr>
        <w:t>additional sources for published</w:t>
      </w:r>
      <w:r w:rsidR="005853A9">
        <w:rPr>
          <w:kern w:val="0"/>
          <w:szCs w:val="24"/>
        </w:rPr>
        <w:t xml:space="preserve"> and </w:t>
      </w:r>
      <w:r>
        <w:rPr>
          <w:kern w:val="0"/>
          <w:szCs w:val="24"/>
        </w:rPr>
        <w:t>unpublished trials</w:t>
      </w:r>
      <w:r w:rsidR="00A37C1D">
        <w:rPr>
          <w:kern w:val="0"/>
          <w:szCs w:val="24"/>
        </w:rPr>
        <w:t>. The</w:t>
      </w:r>
      <w:r>
        <w:rPr>
          <w:kern w:val="0"/>
          <w:szCs w:val="24"/>
        </w:rPr>
        <w:t xml:space="preserve"> date</w:t>
      </w:r>
      <w:r w:rsidR="00427468">
        <w:rPr>
          <w:kern w:val="0"/>
          <w:szCs w:val="24"/>
        </w:rPr>
        <w:t xml:space="preserve"> of </w:t>
      </w:r>
      <w:r>
        <w:rPr>
          <w:kern w:val="0"/>
          <w:szCs w:val="24"/>
        </w:rPr>
        <w:t>the most recent search was 29 October 2010, following a previous search in September 2002. Selection criteria Randomized, double-blind, placebo-controlled trials</w:t>
      </w:r>
      <w:r w:rsidR="00427468">
        <w:rPr>
          <w:kern w:val="0"/>
          <w:szCs w:val="24"/>
        </w:rPr>
        <w:t xml:space="preserve"> of </w:t>
      </w:r>
      <w:r>
        <w:rPr>
          <w:kern w:val="0"/>
          <w:szCs w:val="24"/>
        </w:rPr>
        <w:t>a single dose</w:t>
      </w:r>
      <w:r w:rsidR="00427468">
        <w:rPr>
          <w:kern w:val="0"/>
          <w:szCs w:val="24"/>
        </w:rPr>
        <w:t xml:space="preserve"> of </w:t>
      </w:r>
      <w:r>
        <w:rPr>
          <w:kern w:val="0"/>
          <w:szCs w:val="24"/>
        </w:rPr>
        <w:t>intravenous, intraoperative corticosteroid for pediatric patients (age &lt; 18 years) who underwent tonsillectomy or adenotonsillectomy. Data collection</w:t>
      </w:r>
      <w:r w:rsidR="005853A9">
        <w:rPr>
          <w:kern w:val="0"/>
          <w:szCs w:val="24"/>
        </w:rPr>
        <w:t xml:space="preserve"> and </w:t>
      </w:r>
      <w:r>
        <w:rPr>
          <w:kern w:val="0"/>
          <w:szCs w:val="24"/>
        </w:rPr>
        <w:t>analysis The first author extracted data regarding the primary outcome measures</w:t>
      </w:r>
      <w:r w:rsidR="005853A9">
        <w:rPr>
          <w:kern w:val="0"/>
          <w:szCs w:val="24"/>
        </w:rPr>
        <w:t xml:space="preserve"> and </w:t>
      </w:r>
      <w:r>
        <w:rPr>
          <w:kern w:val="0"/>
          <w:szCs w:val="24"/>
        </w:rPr>
        <w:t>measurement tools from the published studies</w:t>
      </w:r>
      <w:r w:rsidR="00A37C1D">
        <w:rPr>
          <w:kern w:val="0"/>
          <w:szCs w:val="24"/>
        </w:rPr>
        <w:t>. The</w:t>
      </w:r>
      <w:r>
        <w:rPr>
          <w:kern w:val="0"/>
          <w:szCs w:val="24"/>
        </w:rPr>
        <w:t xml:space="preserve"> first author also recorded data regarding study design, patient ages, procedures performed, dose</w:t>
      </w:r>
      <w:r w:rsidR="00427468">
        <w:rPr>
          <w:kern w:val="0"/>
          <w:szCs w:val="24"/>
        </w:rPr>
        <w:t xml:space="preserve"> of </w:t>
      </w:r>
      <w:r>
        <w:rPr>
          <w:kern w:val="0"/>
          <w:szCs w:val="24"/>
        </w:rPr>
        <w:t>corticosteroid</w:t>
      </w:r>
      <w:r w:rsidR="005853A9">
        <w:rPr>
          <w:kern w:val="0"/>
          <w:szCs w:val="24"/>
        </w:rPr>
        <w:t xml:space="preserve"> and </w:t>
      </w:r>
      <w:r>
        <w:rPr>
          <w:kern w:val="0"/>
          <w:szCs w:val="24"/>
        </w:rPr>
        <w:t>method</w:t>
      </w:r>
      <w:r w:rsidR="00427468">
        <w:rPr>
          <w:kern w:val="0"/>
          <w:szCs w:val="24"/>
        </w:rPr>
        <w:t xml:space="preserve"> of </w:t>
      </w:r>
      <w:r>
        <w:rPr>
          <w:kern w:val="0"/>
          <w:szCs w:val="24"/>
        </w:rPr>
        <w:t>delivery, as well as methodological quality. When data were missing from the original publications, we contacted the authors for more information. We performed data analysis with a random-effects model, using the RevMan 5.1 software developed by the Cochrane Collaboration. Main results We included 19 studies (1756 participants). We selected only randomized, placebo-controlled, double-blinded studies to minimize inclusion</w:t>
      </w:r>
      <w:r w:rsidR="00427468">
        <w:rPr>
          <w:kern w:val="0"/>
          <w:szCs w:val="24"/>
        </w:rPr>
        <w:t xml:space="preserve"> of </w:t>
      </w:r>
      <w:r>
        <w:rPr>
          <w:kern w:val="0"/>
          <w:szCs w:val="24"/>
        </w:rPr>
        <w:t>poor quality studies. However, the risk</w:t>
      </w:r>
      <w:r w:rsidR="00427468">
        <w:rPr>
          <w:kern w:val="0"/>
          <w:szCs w:val="24"/>
        </w:rPr>
        <w:t xml:space="preserve"> of </w:t>
      </w:r>
      <w:r>
        <w:rPr>
          <w:kern w:val="0"/>
          <w:szCs w:val="24"/>
        </w:rPr>
        <w:t>bias in the included studies was not formally assessed. Children receiving a single intraoperative dose</w:t>
      </w:r>
      <w:r w:rsidR="00427468">
        <w:rPr>
          <w:kern w:val="0"/>
          <w:szCs w:val="24"/>
        </w:rPr>
        <w:t xml:space="preserve"> of </w:t>
      </w:r>
      <w:r>
        <w:rPr>
          <w:kern w:val="0"/>
          <w:szCs w:val="24"/>
        </w:rPr>
        <w:t xml:space="preserve">dexamethasone (dose range = 0.15 to 1.0 mg/kg) were </w:t>
      </w:r>
      <w:r>
        <w:rPr>
          <w:kern w:val="0"/>
          <w:szCs w:val="24"/>
        </w:rPr>
        <w:lastRenderedPageBreak/>
        <w:t>half as likely to vomit in the first 24 hours compared to children receiving placebo (risk ratio (RR) 0.49; 95% confidence interval (CI) 0.41 to 0.58; P &lt; 0.00001). Routine use in five children would be expected to result in one less patient experiencing post-tonsillectomy emesis (risk difference (RD) -0.24; 95% CI -0.32 to 0.15; P &lt; 0.00001). Children receiving dexamethasone were also more likely to advance to a soft/solid diet on post-tonsillectomy day one (RR 1.45; 95% CI 1.15 to 1.83; P = 0.001) than those receiving placebo. Finally, postoperative pain was improved in children receiving dexamethasone as measured by a visual analog scale (VAS, 0 to 10) (MD -1.07; 95% CI -1.73 to -0.41; P = 0.001), which correlates clinically to a reduction in pain (on a VAS</w:t>
      </w:r>
      <w:r w:rsidR="00427468">
        <w:rPr>
          <w:kern w:val="0"/>
          <w:szCs w:val="24"/>
        </w:rPr>
        <w:t xml:space="preserve"> of </w:t>
      </w:r>
      <w:r>
        <w:rPr>
          <w:kern w:val="0"/>
          <w:szCs w:val="24"/>
        </w:rPr>
        <w:t>0 to 10) from 4.72 to 3.65. No adverse events were noted in the included studies. Authors</w:t>
      </w:r>
      <w:r w:rsidR="0071223E">
        <w:rPr>
          <w:kern w:val="0"/>
          <w:szCs w:val="24"/>
        </w:rPr>
        <w:t>’</w:t>
      </w:r>
      <w:r>
        <w:rPr>
          <w:kern w:val="0"/>
          <w:szCs w:val="24"/>
        </w:rPr>
        <w:t xml:space="preserve"> conclusions The evidence suggests that a single intravenous dose</w:t>
      </w:r>
      <w:r w:rsidR="00427468">
        <w:rPr>
          <w:kern w:val="0"/>
          <w:szCs w:val="24"/>
        </w:rPr>
        <w:t xml:space="preserve"> of </w:t>
      </w:r>
      <w:r>
        <w:rPr>
          <w:kern w:val="0"/>
          <w:szCs w:val="24"/>
        </w:rPr>
        <w:t>dexamethasone is an effective, safe</w:t>
      </w:r>
      <w:r w:rsidR="005853A9">
        <w:rPr>
          <w:kern w:val="0"/>
          <w:szCs w:val="24"/>
        </w:rPr>
        <w:t xml:space="preserve"> and </w:t>
      </w:r>
      <w:r>
        <w:rPr>
          <w:kern w:val="0"/>
          <w:szCs w:val="24"/>
        </w:rPr>
        <w:t>inexpensive treatment for reducing morbidity from pediatric tonsillectomy.</w:t>
      </w:r>
    </w:p>
    <w:p w:rsidR="00365DE4" w:rsidRDefault="00365DE4" w:rsidP="00365DE4">
      <w:pPr>
        <w:pStyle w:val="a3"/>
        <w:rPr>
          <w:kern w:val="0"/>
          <w:szCs w:val="24"/>
        </w:rPr>
      </w:pPr>
      <w:r>
        <w:rPr>
          <w:kern w:val="0"/>
          <w:szCs w:val="24"/>
        </w:rPr>
        <w:t>Keywords: Adenoidectomy [*Adverse Effects], Adenotonsillectomy, Adolescent, Adverse Events, Analysis, Antiemetics [*Therapeutic Use], Author, Authors, Bias, Child, Children, Cochrane, Collaboration, Convalescence, Correlates, Corticosteroid, Design, Dexamethasone [*Therapeutic Use], Diet, Double-Blind, Efficacy, Embase, Glucocorticoids [*Therapeutic Use], Humans, Information, Intravenous Dexamethasone, Measurement, Metaanalysis, Model, Morbidity, Oral Intake, Outcome, Pain, Patients, Pediatric, Pediatric Tonsillectomy, Postoperative Nausea, Postoperative Nausea</w:t>
      </w:r>
      <w:r w:rsidR="005853A9">
        <w:rPr>
          <w:kern w:val="0"/>
          <w:szCs w:val="24"/>
        </w:rPr>
        <w:t xml:space="preserve"> and </w:t>
      </w:r>
      <w:r>
        <w:rPr>
          <w:kern w:val="0"/>
          <w:szCs w:val="24"/>
        </w:rPr>
        <w:t xml:space="preserve">Vomiting [Drug Therapy], Preoperative Dexamethasone, Primary, Publications, Pubmed, Randomized Controlled Trials as Topic, Randomized-Trial, Ratio, Recovery, Reduction, Review, Risk, Science, Search Strategy, Software, Strategy, Surgical, Time Factors, Tonsillectomy [*Adverse Effects], Treatment, Treatment Outcome, </w:t>
      </w:r>
      <w:r w:rsidR="00D5664A">
        <w:rPr>
          <w:kern w:val="0"/>
          <w:szCs w:val="24"/>
        </w:rPr>
        <w:t>Web</w:t>
      </w:r>
      <w:r w:rsidR="00427468">
        <w:rPr>
          <w:kern w:val="0"/>
          <w:szCs w:val="24"/>
        </w:rPr>
        <w:t xml:space="preserve"> of </w:t>
      </w:r>
      <w:r w:rsidR="00D5664A">
        <w:rPr>
          <w:kern w:val="0"/>
          <w:szCs w:val="24"/>
        </w:rPr>
        <w:t>Science</w:t>
      </w:r>
    </w:p>
    <w:p w:rsidR="00365DE4" w:rsidRDefault="00365DE4" w:rsidP="00365DE4">
      <w:pPr>
        <w:pStyle w:val="a3"/>
        <w:rPr>
          <w:kern w:val="0"/>
        </w:rPr>
      </w:pPr>
      <w:r>
        <w:rPr>
          <w:kern w:val="0"/>
        </w:rPr>
        <w:t>? Griffin, G.</w:t>
      </w:r>
      <w:r w:rsidR="005853A9">
        <w:rPr>
          <w:kern w:val="0"/>
        </w:rPr>
        <w:t xml:space="preserve"> and </w:t>
      </w:r>
      <w:r>
        <w:rPr>
          <w:kern w:val="0"/>
        </w:rPr>
        <w:t xml:space="preserve">Flynn, C.A. (2011), Antihistamines and/or decongestants for otitis media with effusion (OME) in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CD003423.</w:t>
      </w:r>
    </w:p>
    <w:p w:rsidR="00365DE4" w:rsidRDefault="00365DE4" w:rsidP="00365DE4">
      <w:pPr>
        <w:pStyle w:val="a3"/>
        <w:rPr>
          <w:kern w:val="2"/>
        </w:rPr>
      </w:pPr>
      <w:r>
        <w:t xml:space="preserve">Full Text: </w:t>
      </w:r>
      <w:hyperlink r:id="rId669" w:history="1">
        <w:r>
          <w:rPr>
            <w:rStyle w:val="a5"/>
          </w:rPr>
          <w:t>2011\Coc Dat Sys Rev2011, CD003423.pdf</w:t>
        </w:r>
      </w:hyperlink>
    </w:p>
    <w:p w:rsidR="00365DE4" w:rsidRDefault="00365DE4" w:rsidP="00365DE4">
      <w:pPr>
        <w:pStyle w:val="a3"/>
        <w:rPr>
          <w:kern w:val="0"/>
        </w:rPr>
      </w:pPr>
      <w:r>
        <w:rPr>
          <w:kern w:val="0"/>
        </w:rPr>
        <w:t>Abstract: Background This is an update</w:t>
      </w:r>
      <w:r w:rsidR="00427468">
        <w:rPr>
          <w:kern w:val="0"/>
        </w:rPr>
        <w:t xml:space="preserve"> of </w:t>
      </w:r>
      <w:r>
        <w:rPr>
          <w:kern w:val="0"/>
        </w:rPr>
        <w:t>a Cochrane Review first published in The Cochrane Library in Issue 4, 2006. Otitis media with effusion (OME) is common</w:t>
      </w:r>
      <w:r w:rsidR="005853A9">
        <w:rPr>
          <w:kern w:val="0"/>
        </w:rPr>
        <w:t xml:space="preserve"> and </w:t>
      </w:r>
      <w:r>
        <w:rPr>
          <w:kern w:val="0"/>
        </w:rPr>
        <w:t>may cause hearing loss with associated developmental delay. Treatment remains controversial</w:t>
      </w:r>
      <w:r w:rsidR="00A37C1D">
        <w:rPr>
          <w:kern w:val="0"/>
        </w:rPr>
        <w:t>. The</w:t>
      </w:r>
      <w:r>
        <w:rPr>
          <w:kern w:val="0"/>
        </w:rPr>
        <w:t xml:space="preserve"> effectiveness</w:t>
      </w:r>
      <w:r w:rsidR="00427468">
        <w:rPr>
          <w:kern w:val="0"/>
        </w:rPr>
        <w:t xml:space="preserve"> of </w:t>
      </w:r>
      <w:r>
        <w:rPr>
          <w:kern w:val="0"/>
        </w:rPr>
        <w:t>antihistamines, decongestants</w:t>
      </w:r>
      <w:r w:rsidR="005853A9">
        <w:rPr>
          <w:kern w:val="0"/>
        </w:rPr>
        <w:t xml:space="preserve"> and </w:t>
      </w:r>
      <w:r>
        <w:rPr>
          <w:kern w:val="0"/>
        </w:rPr>
        <w:t>antihistamine/decongestant combinations in promoting the resolution</w:t>
      </w:r>
      <w:r w:rsidR="00427468">
        <w:rPr>
          <w:kern w:val="0"/>
        </w:rPr>
        <w:t xml:space="preserve"> of </w:t>
      </w:r>
      <w:r>
        <w:rPr>
          <w:kern w:val="0"/>
        </w:rPr>
        <w:t>effusions has been assessed by randomized controlled trials. Objectives The objective</w:t>
      </w:r>
      <w:r w:rsidR="00427468">
        <w:rPr>
          <w:kern w:val="0"/>
        </w:rPr>
        <w:t xml:space="preserve"> of </w:t>
      </w:r>
      <w:r>
        <w:rPr>
          <w:kern w:val="0"/>
        </w:rPr>
        <w:t>this review was to determine whether antihistamine, decongestant or combination therapy is effective in treating children who present with OME. . Search strategy We searched the Cochrane Ear, Nose</w:t>
      </w:r>
      <w:r w:rsidR="005853A9">
        <w:rPr>
          <w:kern w:val="0"/>
        </w:rPr>
        <w:t xml:space="preserve"> and </w:t>
      </w:r>
      <w:r>
        <w:rPr>
          <w:kern w:val="0"/>
        </w:rPr>
        <w:t>Throat Disorders Group Trials Register; the Cochrane Central Register</w:t>
      </w:r>
      <w:r w:rsidR="00427468">
        <w:rPr>
          <w:kern w:val="0"/>
        </w:rPr>
        <w:t xml:space="preserve"> of </w:t>
      </w:r>
      <w:r>
        <w:rPr>
          <w:kern w:val="0"/>
        </w:rPr>
        <w:t xml:space="preserve">Controlled Trials (CENTRAL); PubMed; EMBASE; </w:t>
      </w:r>
      <w:r>
        <w:rPr>
          <w:kern w:val="0"/>
        </w:rPr>
        <w:lastRenderedPageBreak/>
        <w:t xml:space="preserve">CINAHL; </w:t>
      </w:r>
      <w:r w:rsidR="00D5664A">
        <w:rPr>
          <w:kern w:val="0"/>
        </w:rPr>
        <w:t>Web</w:t>
      </w:r>
      <w:r w:rsidR="00427468">
        <w:rPr>
          <w:kern w:val="0"/>
        </w:rPr>
        <w:t xml:space="preserve"> of </w:t>
      </w:r>
      <w:r w:rsidR="00D5664A">
        <w:rPr>
          <w:kern w:val="0"/>
        </w:rPr>
        <w:t>Science</w:t>
      </w:r>
      <w:r>
        <w:rPr>
          <w:kern w:val="0"/>
        </w:rPr>
        <w:t>; BIOSIS Previews; Cambridge Scientific Abstracts; ISRCTN</w:t>
      </w:r>
      <w:r w:rsidR="005853A9">
        <w:rPr>
          <w:kern w:val="0"/>
        </w:rPr>
        <w:t xml:space="preserve"> and </w:t>
      </w:r>
      <w:r>
        <w:rPr>
          <w:kern w:val="0"/>
        </w:rPr>
        <w:t>additional sources for published</w:t>
      </w:r>
      <w:r w:rsidR="005853A9">
        <w:rPr>
          <w:kern w:val="0"/>
        </w:rPr>
        <w:t xml:space="preserve"> and </w:t>
      </w:r>
      <w:r>
        <w:rPr>
          <w:kern w:val="0"/>
        </w:rPr>
        <w:t>unpublished trials</w:t>
      </w:r>
      <w:r w:rsidR="00A37C1D">
        <w:rPr>
          <w:kern w:val="0"/>
        </w:rPr>
        <w:t>. The</w:t>
      </w:r>
      <w:r>
        <w:rPr>
          <w:kern w:val="0"/>
        </w:rPr>
        <w:t xml:space="preserve"> date</w:t>
      </w:r>
      <w:r w:rsidR="00427468">
        <w:rPr>
          <w:kern w:val="0"/>
        </w:rPr>
        <w:t xml:space="preserve"> of </w:t>
      </w:r>
      <w:r>
        <w:rPr>
          <w:kern w:val="0"/>
        </w:rPr>
        <w:t>the most recent search was 1 February 2011, following a previous search in 2006. Selection criteria Randomized controlled trials (RCTs) using antihistamines, decongestants or antihistamine/decongestant combinations as treatment for OME in children. We excluded trials that randomized on the basis</w:t>
      </w:r>
      <w:r w:rsidR="00427468">
        <w:rPr>
          <w:kern w:val="0"/>
        </w:rPr>
        <w:t xml:space="preserve"> of </w:t>
      </w:r>
      <w:r>
        <w:rPr>
          <w:kern w:val="0"/>
        </w:rPr>
        <w:t>acute otitis media (AOM) even though OME was also studied in follow up. Data collection</w:t>
      </w:r>
      <w:r w:rsidR="005853A9">
        <w:rPr>
          <w:kern w:val="0"/>
        </w:rPr>
        <w:t xml:space="preserve"> and </w:t>
      </w:r>
      <w:r>
        <w:rPr>
          <w:kern w:val="0"/>
        </w:rPr>
        <w:t>analysis Two authors independently extracted data from the published reports using standardized data extraction forms</w:t>
      </w:r>
      <w:r w:rsidR="005853A9">
        <w:rPr>
          <w:kern w:val="0"/>
        </w:rPr>
        <w:t xml:space="preserve"> and </w:t>
      </w:r>
      <w:r>
        <w:rPr>
          <w:kern w:val="0"/>
        </w:rPr>
        <w:t>methods</w:t>
      </w:r>
      <w:r w:rsidR="00A37C1D">
        <w:rPr>
          <w:kern w:val="0"/>
        </w:rPr>
        <w:t>. The</w:t>
      </w:r>
      <w:r>
        <w:rPr>
          <w:kern w:val="0"/>
        </w:rPr>
        <w:t xml:space="preserve"> two authors assessed the methodological quality</w:t>
      </w:r>
      <w:r w:rsidR="00427468">
        <w:rPr>
          <w:kern w:val="0"/>
        </w:rPr>
        <w:t xml:space="preserve"> of </w:t>
      </w:r>
      <w:r>
        <w:rPr>
          <w:kern w:val="0"/>
        </w:rPr>
        <w:t>the included studies independently. We expressed dichotomous results as a risk ratio with 95% confidence intervals using a fixed-effect model when homogeneous</w:t>
      </w:r>
      <w:r w:rsidR="005853A9">
        <w:rPr>
          <w:kern w:val="0"/>
        </w:rPr>
        <w:t xml:space="preserve"> and </w:t>
      </w:r>
      <w:r>
        <w:rPr>
          <w:kern w:val="0"/>
        </w:rPr>
        <w:t>a random-effects model when heterogeneous. Nearly all outcomes analyzed were homogeneous. We discussed continuous results qualitatively. We conducted statistical analysis using RevMan 5.1 software. Main results Sixteen studies (1880 participants) were included in the review. No statistical or clinical benefit was found for any</w:t>
      </w:r>
      <w:r w:rsidR="00427468">
        <w:rPr>
          <w:kern w:val="0"/>
        </w:rPr>
        <w:t xml:space="preserve"> of </w:t>
      </w:r>
      <w:r>
        <w:rPr>
          <w:kern w:val="0"/>
        </w:rPr>
        <w:t>the interventions or outcomes studied. However, treated study subjects experienced 11% more side effects than untreated subjects (number needed to treat to harm = 9). Authors</w:t>
      </w:r>
      <w:r w:rsidR="0071223E">
        <w:rPr>
          <w:kern w:val="0"/>
        </w:rPr>
        <w:t>’</w:t>
      </w:r>
      <w:r>
        <w:rPr>
          <w:kern w:val="0"/>
        </w:rPr>
        <w:t xml:space="preserve"> conclusions The pooled data demonstrate no benefit</w:t>
      </w:r>
      <w:r w:rsidR="005853A9">
        <w:rPr>
          <w:kern w:val="0"/>
        </w:rPr>
        <w:t xml:space="preserve"> and </w:t>
      </w:r>
      <w:r>
        <w:rPr>
          <w:kern w:val="0"/>
        </w:rPr>
        <w:t>some harm from the use</w:t>
      </w:r>
      <w:r w:rsidR="00427468">
        <w:rPr>
          <w:kern w:val="0"/>
        </w:rPr>
        <w:t xml:space="preserve"> of </w:t>
      </w:r>
      <w:r>
        <w:rPr>
          <w:kern w:val="0"/>
        </w:rPr>
        <w:t>antihistamines or decongestants alone or in combination in the management</w:t>
      </w:r>
      <w:r w:rsidR="00427468">
        <w:rPr>
          <w:kern w:val="0"/>
        </w:rPr>
        <w:t xml:space="preserve"> of </w:t>
      </w:r>
      <w:r>
        <w:rPr>
          <w:kern w:val="0"/>
        </w:rPr>
        <w:t>OME, therefore we recommend against their use.</w:t>
      </w:r>
    </w:p>
    <w:p w:rsidR="00365DE4" w:rsidRDefault="00365DE4" w:rsidP="00365DE4">
      <w:pPr>
        <w:pStyle w:val="a3"/>
        <w:rPr>
          <w:kern w:val="0"/>
        </w:rPr>
      </w:pPr>
      <w:r>
        <w:rPr>
          <w:kern w:val="0"/>
        </w:rPr>
        <w:t xml:space="preserve">Keywords: 3-Year-Old Children, Acute, Adrenergic Combination, Analysis, Authors, Child, Children, Cochrane, Combination Therapy, Confidence Intervals, Corticosteroid Treatment, Double-Blind, Drug Therapy,Combination, Effectiveness, Embase, Eustachian-Tube Function, Follow-Up, Histamine H1 Antagonists [Adverse Effects, Humans, Interventions, Management, Middle-Ear Effusion, Model, Nasal Decongestant, Nasal Decongestants [Adverse Effects, Oral Decongestant, Otitis, Otitis Media With Effusion [Drug Therapy], Outcomes, Pediatric Practice, Pubmed, Randomized Controlled Trials, Randomized Controlled Trials As Topic, Randomized Trial, Ratio, Review, Risk, Science, Search Strategy, Selection, Side Effects, Software, Statistical, Strategy, Therapeutic Use], Therapy,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Mahtani, K.R., Heneghan, C.J., Glasziou, P.P.</w:t>
      </w:r>
      <w:r w:rsidR="005853A9">
        <w:rPr>
          <w:kern w:val="0"/>
        </w:rPr>
        <w:t xml:space="preserve"> and </w:t>
      </w:r>
      <w:r>
        <w:rPr>
          <w:kern w:val="0"/>
        </w:rPr>
        <w:t xml:space="preserve">Perera, R. (2011), Reminder packaging for improving adherence to self-administered long-term medications.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CD005025.</w:t>
      </w:r>
    </w:p>
    <w:p w:rsidR="00365DE4" w:rsidRDefault="00365DE4" w:rsidP="00365DE4">
      <w:pPr>
        <w:pStyle w:val="a3"/>
        <w:rPr>
          <w:kern w:val="2"/>
        </w:rPr>
      </w:pPr>
      <w:r>
        <w:t xml:space="preserve">Full Text: </w:t>
      </w:r>
      <w:hyperlink r:id="rId670" w:history="1">
        <w:r>
          <w:rPr>
            <w:rStyle w:val="a5"/>
          </w:rPr>
          <w:t>2011\Coc Dat Sys Rev2011, CD005025.pdf</w:t>
        </w:r>
      </w:hyperlink>
    </w:p>
    <w:p w:rsidR="00365DE4" w:rsidRDefault="00365DE4" w:rsidP="00365DE4">
      <w:pPr>
        <w:pStyle w:val="a3"/>
        <w:rPr>
          <w:kern w:val="0"/>
        </w:rPr>
      </w:pPr>
      <w:r>
        <w:rPr>
          <w:kern w:val="0"/>
        </w:rPr>
        <w:t>Abstract: Background Current methods</w:t>
      </w:r>
      <w:r w:rsidR="00427468">
        <w:rPr>
          <w:kern w:val="0"/>
        </w:rPr>
        <w:t xml:space="preserve"> of </w:t>
      </w:r>
      <w:r>
        <w:rPr>
          <w:kern w:val="0"/>
        </w:rPr>
        <w:t>improving medication adherence for health problems are mostly complex, labour-intensive,</w:t>
      </w:r>
      <w:r w:rsidR="005853A9">
        <w:rPr>
          <w:kern w:val="0"/>
        </w:rPr>
        <w:t xml:space="preserve"> and </w:t>
      </w:r>
      <w:r>
        <w:rPr>
          <w:kern w:val="0"/>
        </w:rPr>
        <w:t xml:space="preserve">not reliably effective. Medication </w:t>
      </w:r>
      <w:r w:rsidR="0071223E">
        <w:rPr>
          <w:kern w:val="0"/>
        </w:rPr>
        <w:t>‘</w:t>
      </w:r>
      <w:r>
        <w:rPr>
          <w:kern w:val="0"/>
        </w:rPr>
        <w:t>reminder packaging</w:t>
      </w:r>
      <w:r w:rsidR="0071223E">
        <w:rPr>
          <w:kern w:val="0"/>
        </w:rPr>
        <w:t>’</w:t>
      </w:r>
      <w:r>
        <w:rPr>
          <w:kern w:val="0"/>
        </w:rPr>
        <w:t xml:space="preserve">, which incorporates a date or time for a medication </w:t>
      </w:r>
      <w:r>
        <w:rPr>
          <w:kern w:val="0"/>
        </w:rPr>
        <w:lastRenderedPageBreak/>
        <w:t>to be taken in the packaging, can act as a reminder to improve adherence. This review</w:t>
      </w:r>
      <w:r w:rsidR="00427468">
        <w:rPr>
          <w:kern w:val="0"/>
        </w:rPr>
        <w:t xml:space="preserve"> of </w:t>
      </w:r>
      <w:r>
        <w:rPr>
          <w:kern w:val="0"/>
        </w:rPr>
        <w:t>reminder packaging is an update</w:t>
      </w:r>
      <w:r w:rsidR="00427468">
        <w:rPr>
          <w:kern w:val="0"/>
        </w:rPr>
        <w:t xml:space="preserve"> of </w:t>
      </w:r>
      <w:r>
        <w:rPr>
          <w:kern w:val="0"/>
        </w:rPr>
        <w:t>our 2006 Cochrane review. Objectives The objective</w:t>
      </w:r>
      <w:r w:rsidR="00427468">
        <w:rPr>
          <w:kern w:val="0"/>
        </w:rPr>
        <w:t xml:space="preserve"> of </w:t>
      </w:r>
      <w:r>
        <w:rPr>
          <w:kern w:val="0"/>
        </w:rPr>
        <w:t>this review was to determine the effects</w:t>
      </w:r>
      <w:r w:rsidR="00427468">
        <w:rPr>
          <w:kern w:val="0"/>
        </w:rPr>
        <w:t xml:space="preserve"> of </w:t>
      </w:r>
      <w:r>
        <w:rPr>
          <w:kern w:val="0"/>
        </w:rPr>
        <w:t>reminder packaging aids for self-administered medication/s taken for at least one month, on adherence</w:t>
      </w:r>
      <w:r w:rsidR="005853A9">
        <w:rPr>
          <w:kern w:val="0"/>
        </w:rPr>
        <w:t xml:space="preserve"> and </w:t>
      </w:r>
      <w:r>
        <w:rPr>
          <w:kern w:val="0"/>
        </w:rPr>
        <w:t>other outcomes. Search strategy We updated searches</w:t>
      </w:r>
      <w:r w:rsidR="00427468">
        <w:rPr>
          <w:kern w:val="0"/>
        </w:rPr>
        <w:t xml:space="preserve"> of </w:t>
      </w:r>
      <w:r>
        <w:rPr>
          <w:kern w:val="0"/>
        </w:rPr>
        <w:t>the Cochrane Central Register</w:t>
      </w:r>
      <w:r w:rsidR="00427468">
        <w:rPr>
          <w:kern w:val="0"/>
        </w:rPr>
        <w:t xml:space="preserve"> of </w:t>
      </w:r>
      <w:r>
        <w:rPr>
          <w:kern w:val="0"/>
        </w:rPr>
        <w:t>Controlled Trials (CENTRAL)</w:t>
      </w:r>
      <w:r w:rsidR="005853A9">
        <w:rPr>
          <w:kern w:val="0"/>
        </w:rPr>
        <w:t xml:space="preserve"> and </w:t>
      </w:r>
      <w:r>
        <w:rPr>
          <w:kern w:val="0"/>
        </w:rPr>
        <w:t>the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 xml:space="preserve">Effects (DARE) (The Cochrane Library Issue 9, 2010), </w:t>
      </w:r>
      <w:r w:rsidR="00D5664A">
        <w:rPr>
          <w:kern w:val="0"/>
        </w:rPr>
        <w:t>MEDLINE</w:t>
      </w:r>
      <w:r>
        <w:rPr>
          <w:kern w:val="0"/>
        </w:rPr>
        <w:t>, EMBASE, CINAHL</w:t>
      </w:r>
      <w:r w:rsidR="005853A9">
        <w:rPr>
          <w:kern w:val="0"/>
        </w:rPr>
        <w:t xml:space="preserve"> and </w:t>
      </w:r>
      <w:r>
        <w:rPr>
          <w:kern w:val="0"/>
        </w:rPr>
        <w:t>PsycINFO from the database start dates to September 2010. We searched Current Controlled Trials to identify trials in progress. We performed a cited reference search on the Science Citation Index to identify papers that had cited the original systematic review. We also searched the Internet, contacted packaging manufacturers,</w:t>
      </w:r>
      <w:r w:rsidR="005853A9">
        <w:rPr>
          <w:kern w:val="0"/>
        </w:rPr>
        <w:t xml:space="preserve"> and </w:t>
      </w:r>
      <w:r>
        <w:rPr>
          <w:kern w:val="0"/>
        </w:rPr>
        <w:t>checked abstracts from the Pharm-line database</w:t>
      </w:r>
      <w:r w:rsidR="005853A9">
        <w:rPr>
          <w:kern w:val="0"/>
        </w:rPr>
        <w:t xml:space="preserve"> and </w:t>
      </w:r>
      <w:r>
        <w:rPr>
          <w:kern w:val="0"/>
        </w:rPr>
        <w:t>reference lists from relevant articles. We did not apply any language restrictions. Selection criteria We selected randomised controlled trials with at least 80% follow up. We intended to do a sensitivity analysis</w:t>
      </w:r>
      <w:r w:rsidR="00427468">
        <w:rPr>
          <w:kern w:val="0"/>
        </w:rPr>
        <w:t xml:space="preserve"> of </w:t>
      </w:r>
      <w:r>
        <w:rPr>
          <w:kern w:val="0"/>
        </w:rPr>
        <w:t>those studies that analysed their data on an intention-to-treat basis. Included studies compared a reminder packaging device with no device, for participants taking self-administered medications for at least one month. Data collection</w:t>
      </w:r>
      <w:r w:rsidR="005853A9">
        <w:rPr>
          <w:kern w:val="0"/>
        </w:rPr>
        <w:t xml:space="preserve"> and </w:t>
      </w:r>
      <w:r>
        <w:rPr>
          <w:kern w:val="0"/>
        </w:rPr>
        <w:t>analysis Three review authors independently assessed studies for inclusion, assessed quality,</w:t>
      </w:r>
      <w:r w:rsidR="005853A9">
        <w:rPr>
          <w:kern w:val="0"/>
        </w:rPr>
        <w:t xml:space="preserve"> and </w:t>
      </w:r>
      <w:r>
        <w:rPr>
          <w:kern w:val="0"/>
        </w:rPr>
        <w:t>extracted data from included studies. Where considered appropriate, data were combined for meta-analysis, or were reported</w:t>
      </w:r>
      <w:r w:rsidR="005853A9">
        <w:rPr>
          <w:kern w:val="0"/>
        </w:rPr>
        <w:t xml:space="preserve"> and </w:t>
      </w:r>
      <w:r>
        <w:rPr>
          <w:kern w:val="0"/>
        </w:rPr>
        <w:t>discussed in a narrative. Main results We included twelve studies containing data on 2196 participants; four</w:t>
      </w:r>
      <w:r w:rsidR="00427468">
        <w:rPr>
          <w:kern w:val="0"/>
        </w:rPr>
        <w:t xml:space="preserve"> of </w:t>
      </w:r>
      <w:r>
        <w:rPr>
          <w:kern w:val="0"/>
        </w:rPr>
        <w:t>these studies were newly included in this 2011 update</w:t>
      </w:r>
      <w:r w:rsidR="00427468">
        <w:rPr>
          <w:kern w:val="0"/>
        </w:rPr>
        <w:t xml:space="preserve"> of </w:t>
      </w:r>
      <w:r>
        <w:rPr>
          <w:kern w:val="0"/>
        </w:rPr>
        <w:t>our 2006 Cochrane review. Six intervention groups in four trials provided data on the percentage</w:t>
      </w:r>
      <w:r w:rsidR="00427468">
        <w:rPr>
          <w:kern w:val="0"/>
        </w:rPr>
        <w:t xml:space="preserve"> of </w:t>
      </w:r>
      <w:r>
        <w:rPr>
          <w:kern w:val="0"/>
        </w:rPr>
        <w:t>pills taken. Reminder packaging increased the percentage</w:t>
      </w:r>
      <w:r w:rsidR="00427468">
        <w:rPr>
          <w:kern w:val="0"/>
        </w:rPr>
        <w:t xml:space="preserve"> of </w:t>
      </w:r>
      <w:r>
        <w:rPr>
          <w:kern w:val="0"/>
        </w:rPr>
        <w:t>pills taken (mean difference (MD) 11% (95% confidence interval (CI) 6% to 17%)). Notable heterogeneity occurred among these trials (I(2) = 96.3%). Two trials provided data for the proportion</w:t>
      </w:r>
      <w:r w:rsidR="00427468">
        <w:rPr>
          <w:kern w:val="0"/>
        </w:rPr>
        <w:t xml:space="preserve"> of </w:t>
      </w:r>
      <w:r>
        <w:rPr>
          <w:kern w:val="0"/>
        </w:rPr>
        <w:t>self-reported adherent patients, reporting a reduction in the intervention group which was not statistically significant (odds ratio = 0.89 (95% CI 0.56 to 1.40)). We conducted meta-analysis on data from two trials assessing the effect</w:t>
      </w:r>
      <w:r w:rsidR="00427468">
        <w:rPr>
          <w:kern w:val="0"/>
        </w:rPr>
        <w:t xml:space="preserve"> of </w:t>
      </w:r>
      <w:r>
        <w:rPr>
          <w:kern w:val="0"/>
        </w:rPr>
        <w:t>reminder packaging on blood pressure measurements. We found that reminder packaging significantly decreased diastolic blood pressure (MD = -5.89 mmHg (95% CI -6.70 to -5.09; P &lt; 0.00001; I(2) = 0%). No effect was seen on systolic blood pressure (mean change -1.01, 95% CI -2.22 to 0.20; P = 0.1, I(2) = 0%). We also conducted meta-analysis on extracted data from two trials that looked at change in glycated haemoglobin. We found that reminder packaging significantly reduced glycated haemoglobin levels (MD -0.72; 95% CI -0.83 to -0.60; P &lt; 0.00001; I(2) = 92%), although there was considerable heterogeneity. No appropriate data were available for meta-analysis</w:t>
      </w:r>
      <w:r w:rsidR="00427468">
        <w:rPr>
          <w:kern w:val="0"/>
        </w:rPr>
        <w:t xml:space="preserve"> of </w:t>
      </w:r>
      <w:r>
        <w:rPr>
          <w:kern w:val="0"/>
        </w:rPr>
        <w:t>remaining clinical outcomes, which included serum vitamin C</w:t>
      </w:r>
      <w:r w:rsidR="005853A9">
        <w:rPr>
          <w:kern w:val="0"/>
        </w:rPr>
        <w:t xml:space="preserve"> and </w:t>
      </w:r>
      <w:r>
        <w:rPr>
          <w:kern w:val="0"/>
        </w:rPr>
        <w:t>E levels,</w:t>
      </w:r>
      <w:r w:rsidR="005853A9">
        <w:rPr>
          <w:kern w:val="0"/>
        </w:rPr>
        <w:t xml:space="preserve"> and </w:t>
      </w:r>
      <w:r>
        <w:rPr>
          <w:kern w:val="0"/>
        </w:rPr>
        <w:t xml:space="preserve">self-reported psychological symptoms (one trial </w:t>
      </w:r>
      <w:r>
        <w:rPr>
          <w:kern w:val="0"/>
        </w:rPr>
        <w:lastRenderedPageBreak/>
        <w:t>each). We reported remaining data narratively. In one study the presence</w:t>
      </w:r>
      <w:r w:rsidR="00427468">
        <w:rPr>
          <w:kern w:val="0"/>
        </w:rPr>
        <w:t xml:space="preserve"> of </w:t>
      </w:r>
      <w:r>
        <w:rPr>
          <w:kern w:val="0"/>
        </w:rPr>
        <w:t>a reminder packaging aid was found to be preferred by patients with low literacy levels. Authors</w:t>
      </w:r>
      <w:r w:rsidR="0071223E">
        <w:rPr>
          <w:kern w:val="0"/>
        </w:rPr>
        <w:t>’</w:t>
      </w:r>
      <w:r>
        <w:rPr>
          <w:kern w:val="0"/>
        </w:rPr>
        <w:t xml:space="preserve"> conclusions Reminder packing may represent a simple method for improving adherence for patients with selected conditions. Further research is warranted to improve the design</w:t>
      </w:r>
      <w:r w:rsidR="005853A9">
        <w:rPr>
          <w:kern w:val="0"/>
        </w:rPr>
        <w:t xml:space="preserve"> and </w:t>
      </w:r>
      <w:r>
        <w:rPr>
          <w:kern w:val="0"/>
        </w:rPr>
        <w:t>targeting</w:t>
      </w:r>
      <w:r w:rsidR="00427468">
        <w:rPr>
          <w:kern w:val="0"/>
        </w:rPr>
        <w:t xml:space="preserve"> of </w:t>
      </w:r>
      <w:r>
        <w:rPr>
          <w:kern w:val="0"/>
        </w:rPr>
        <w:t>these devices.</w:t>
      </w:r>
    </w:p>
    <w:p w:rsidR="00365DE4" w:rsidRDefault="00365DE4" w:rsidP="00365DE4">
      <w:pPr>
        <w:pStyle w:val="a3"/>
        <w:rPr>
          <w:kern w:val="0"/>
        </w:rPr>
      </w:pPr>
      <w:r>
        <w:rPr>
          <w:kern w:val="0"/>
        </w:rPr>
        <w:t xml:space="preserve">Keywords: Active Antiretroviral Therapy, Adherence, Analysis, Antimalarial-Drugs, Authors, Blood, Blood Pressure, Blood-Pressure, Citation, Cochrane, Database, Design, Drug Packaging [Methods], Drug-Therapy, Embase, Follow-Up, Glycated Haemoglobin, Haemoglobin, Health-Care Expenditures, Helicobacter-Pylori, Humans, Internet, Intervention, Literacy, Medication, Medication Adherence, </w:t>
      </w:r>
      <w:r w:rsidR="00D5664A">
        <w:rPr>
          <w:kern w:val="0"/>
        </w:rPr>
        <w:t>MEDLINE</w:t>
      </w:r>
      <w:r>
        <w:rPr>
          <w:kern w:val="0"/>
        </w:rPr>
        <w:t>, Meta Analysis, Meta-Analysis, Outcomes, Papers, Patient Compliance, Patient Compliance, Patients, Pharmaceutical Preparations [Administration &amp; Dosage], Prescription Refill Compliance, Pressure, Psychological, Randomized Controlled Trials As Topic, Randomized Controlled-Trial, Ratio, Reduction, Reminder Systems, Research, Review, Science, Science Citation Index, Search Strategy, Selection, Self Administration, Sensitivity, Strategy, Symptoms, Systematic, Systematic Review, Value-Added Utilities, Vitamin C</w:t>
      </w:r>
    </w:p>
    <w:p w:rsidR="00365DE4" w:rsidRDefault="00365DE4" w:rsidP="00365DE4">
      <w:pPr>
        <w:pStyle w:val="a3"/>
        <w:rPr>
          <w:kern w:val="0"/>
        </w:rPr>
      </w:pPr>
      <w:r>
        <w:rPr>
          <w:kern w:val="0"/>
        </w:rPr>
        <w:t>? El Dib, R.P., Mathew, J.L.</w:t>
      </w:r>
      <w:r w:rsidR="005853A9">
        <w:rPr>
          <w:kern w:val="0"/>
        </w:rPr>
        <w:t xml:space="preserve"> and </w:t>
      </w:r>
      <w:r>
        <w:rPr>
          <w:kern w:val="0"/>
        </w:rPr>
        <w:t>Martins, R.H.G. (2011), Interventions to promote the wearing</w:t>
      </w:r>
      <w:r w:rsidR="00427468">
        <w:rPr>
          <w:kern w:val="0"/>
        </w:rPr>
        <w:t xml:space="preserve"> of </w:t>
      </w:r>
      <w:r>
        <w:rPr>
          <w:kern w:val="0"/>
        </w:rPr>
        <w:t xml:space="preserve">hearing protection.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CD005234.</w:t>
      </w:r>
    </w:p>
    <w:p w:rsidR="00365DE4" w:rsidRDefault="00365DE4" w:rsidP="00365DE4">
      <w:pPr>
        <w:pStyle w:val="a3"/>
        <w:rPr>
          <w:kern w:val="2"/>
        </w:rPr>
      </w:pPr>
      <w:r>
        <w:t xml:space="preserve">Full Text: </w:t>
      </w:r>
      <w:hyperlink r:id="rId671" w:history="1">
        <w:r>
          <w:rPr>
            <w:rStyle w:val="a5"/>
          </w:rPr>
          <w:t>2011\Coc Dat Sys Rev2011, CD005234.pdf</w:t>
        </w:r>
      </w:hyperlink>
    </w:p>
    <w:p w:rsidR="00365DE4" w:rsidRDefault="00365DE4" w:rsidP="00365DE4">
      <w:pPr>
        <w:pStyle w:val="a3"/>
        <w:rPr>
          <w:kern w:val="0"/>
        </w:rPr>
      </w:pPr>
      <w:r>
        <w:rPr>
          <w:kern w:val="0"/>
        </w:rPr>
        <w:t>Abstract: Background This is an update</w:t>
      </w:r>
      <w:r w:rsidR="00427468">
        <w:rPr>
          <w:kern w:val="0"/>
        </w:rPr>
        <w:t xml:space="preserve"> of </w:t>
      </w:r>
      <w:r>
        <w:rPr>
          <w:kern w:val="0"/>
        </w:rPr>
        <w:t>a Cochrane Review first published in The Cochrane Library in Issue 2, 2006</w:t>
      </w:r>
      <w:r w:rsidR="005853A9">
        <w:rPr>
          <w:kern w:val="0"/>
        </w:rPr>
        <w:t xml:space="preserve"> and </w:t>
      </w:r>
      <w:r>
        <w:rPr>
          <w:kern w:val="0"/>
        </w:rPr>
        <w:t>previously updated in 2009. Noise-induced hearing loss can be prevented by eliminating or lowering noise exposure levels. Where the source</w:t>
      </w:r>
      <w:r w:rsidR="00427468">
        <w:rPr>
          <w:kern w:val="0"/>
        </w:rPr>
        <w:t xml:space="preserve"> of </w:t>
      </w:r>
      <w:r>
        <w:rPr>
          <w:kern w:val="0"/>
        </w:rPr>
        <w:t>the noise cannot be eliminated, workers have to rely on hearing protection equipment. Several trials have been conducted to study the effectiveness</w:t>
      </w:r>
      <w:r w:rsidR="00427468">
        <w:rPr>
          <w:kern w:val="0"/>
        </w:rPr>
        <w:t xml:space="preserve"> of </w:t>
      </w:r>
      <w:r>
        <w:rPr>
          <w:kern w:val="0"/>
        </w:rPr>
        <w:t>interventions to influence the wearing</w:t>
      </w:r>
      <w:r w:rsidR="00427468">
        <w:rPr>
          <w:kern w:val="0"/>
        </w:rPr>
        <w:t xml:space="preserve"> of </w:t>
      </w:r>
      <w:r>
        <w:rPr>
          <w:kern w:val="0"/>
        </w:rPr>
        <w:t>hearing protection. Objectives To evaluate the effectiveness</w:t>
      </w:r>
      <w:r w:rsidR="00427468">
        <w:rPr>
          <w:kern w:val="0"/>
        </w:rPr>
        <w:t xml:space="preserve"> of </w:t>
      </w:r>
      <w:r>
        <w:rPr>
          <w:kern w:val="0"/>
        </w:rPr>
        <w:t>interventions to enhance the wearing</w:t>
      </w:r>
      <w:r w:rsidR="00427468">
        <w:rPr>
          <w:kern w:val="0"/>
        </w:rPr>
        <w:t xml:space="preserve"> of </w:t>
      </w:r>
      <w:r>
        <w:rPr>
          <w:kern w:val="0"/>
        </w:rPr>
        <w:t>hearing protection among persons regularly exposed to high noise levels. Search strategy We searched the Cochrane Ear, Nose</w:t>
      </w:r>
      <w:r w:rsidR="005853A9">
        <w:rPr>
          <w:kern w:val="0"/>
        </w:rPr>
        <w:t xml:space="preserve"> and </w:t>
      </w:r>
      <w:r>
        <w:rPr>
          <w:kern w:val="0"/>
        </w:rPr>
        <w:t>Throat Disorders Group Trials Register; the Cochrane Central Register</w:t>
      </w:r>
      <w:r w:rsidR="00427468">
        <w:rPr>
          <w:kern w:val="0"/>
        </w:rPr>
        <w:t xml:space="preserve"> of </w:t>
      </w:r>
      <w:r>
        <w:rPr>
          <w:kern w:val="0"/>
        </w:rPr>
        <w:t xml:space="preserve">Controlled Trials (CENTRAL) (The Cochrane Library 2011, Issue 1); PubMed; EMBASE; CINAHL; </w:t>
      </w:r>
      <w:r w:rsidR="00D5664A">
        <w:rPr>
          <w:kern w:val="0"/>
        </w:rPr>
        <w:t>Web</w:t>
      </w:r>
      <w:r w:rsidR="00427468">
        <w:rPr>
          <w:kern w:val="0"/>
        </w:rPr>
        <w:t xml:space="preserve"> of </w:t>
      </w:r>
      <w:r w:rsidR="00D5664A">
        <w:rPr>
          <w:kern w:val="0"/>
        </w:rPr>
        <w:t>Science</w:t>
      </w:r>
      <w:r>
        <w:rPr>
          <w:kern w:val="0"/>
        </w:rPr>
        <w:t>; BIOSIS Previews; Cambridge Scientific Abstracts; ICTRP</w:t>
      </w:r>
      <w:r w:rsidR="005853A9">
        <w:rPr>
          <w:kern w:val="0"/>
        </w:rPr>
        <w:t xml:space="preserve"> and </w:t>
      </w:r>
      <w:r>
        <w:rPr>
          <w:kern w:val="0"/>
        </w:rPr>
        <w:t>additional sources for published</w:t>
      </w:r>
      <w:r w:rsidR="005853A9">
        <w:rPr>
          <w:kern w:val="0"/>
        </w:rPr>
        <w:t xml:space="preserve"> and </w:t>
      </w:r>
      <w:r>
        <w:rPr>
          <w:kern w:val="0"/>
        </w:rPr>
        <w:t>unpublished trials</w:t>
      </w:r>
      <w:r w:rsidR="00A37C1D">
        <w:rPr>
          <w:kern w:val="0"/>
        </w:rPr>
        <w:t>. The</w:t>
      </w:r>
      <w:r>
        <w:rPr>
          <w:kern w:val="0"/>
        </w:rPr>
        <w:t xml:space="preserve"> date</w:t>
      </w:r>
      <w:r w:rsidR="00427468">
        <w:rPr>
          <w:kern w:val="0"/>
        </w:rPr>
        <w:t xml:space="preserve"> of </w:t>
      </w:r>
      <w:r>
        <w:rPr>
          <w:kern w:val="0"/>
        </w:rPr>
        <w:t>the most recent search was 8 April 2011. Selection criteria We included studies if they had a randomised design, if they were among noise exposed (&gt; 80 dB(A)) persons, if they included an intervention to promote the wearing</w:t>
      </w:r>
      <w:r w:rsidR="00427468">
        <w:rPr>
          <w:kern w:val="0"/>
        </w:rPr>
        <w:t xml:space="preserve"> of </w:t>
      </w:r>
      <w:r>
        <w:rPr>
          <w:kern w:val="0"/>
        </w:rPr>
        <w:t>hearing protection (compared to another intervention or no intervention),</w:t>
      </w:r>
      <w:r w:rsidR="005853A9">
        <w:rPr>
          <w:kern w:val="0"/>
        </w:rPr>
        <w:t xml:space="preserve"> and </w:t>
      </w:r>
      <w:r>
        <w:rPr>
          <w:kern w:val="0"/>
        </w:rPr>
        <w:t>if the outcome measured was the amount</w:t>
      </w:r>
      <w:r w:rsidR="00427468">
        <w:rPr>
          <w:kern w:val="0"/>
        </w:rPr>
        <w:t xml:space="preserve"> of </w:t>
      </w:r>
      <w:r>
        <w:rPr>
          <w:kern w:val="0"/>
        </w:rPr>
        <w:t>use</w:t>
      </w:r>
      <w:r w:rsidR="00427468">
        <w:rPr>
          <w:kern w:val="0"/>
        </w:rPr>
        <w:t xml:space="preserve"> of </w:t>
      </w:r>
      <w:r>
        <w:rPr>
          <w:kern w:val="0"/>
        </w:rPr>
        <w:t>hearing protection or a proxy measure thereof. Data collection</w:t>
      </w:r>
      <w:r w:rsidR="005853A9">
        <w:rPr>
          <w:kern w:val="0"/>
        </w:rPr>
        <w:t xml:space="preserve"> and </w:t>
      </w:r>
      <w:r>
        <w:rPr>
          <w:kern w:val="0"/>
        </w:rPr>
        <w:t xml:space="preserve">analysis Two authors selected relevant trials, </w:t>
      </w:r>
      <w:r>
        <w:rPr>
          <w:kern w:val="0"/>
        </w:rPr>
        <w:lastRenderedPageBreak/>
        <w:t>assessed risk</w:t>
      </w:r>
      <w:r w:rsidR="00427468">
        <w:rPr>
          <w:kern w:val="0"/>
        </w:rPr>
        <w:t xml:space="preserve"> of </w:t>
      </w:r>
      <w:r>
        <w:rPr>
          <w:kern w:val="0"/>
        </w:rPr>
        <w:t>bias</w:t>
      </w:r>
      <w:r w:rsidR="005853A9">
        <w:rPr>
          <w:kern w:val="0"/>
        </w:rPr>
        <w:t xml:space="preserve"> and </w:t>
      </w:r>
      <w:r>
        <w:rPr>
          <w:kern w:val="0"/>
        </w:rPr>
        <w:t>extracted data. Main results Seven studies, involving 4670 participants, were included. A computer-based intervention lasting 30 minutes, tailored to the risk</w:t>
      </w:r>
      <w:r w:rsidR="00427468">
        <w:rPr>
          <w:kern w:val="0"/>
        </w:rPr>
        <w:t xml:space="preserve"> of </w:t>
      </w:r>
      <w:r>
        <w:rPr>
          <w:kern w:val="0"/>
        </w:rPr>
        <w:t>an individual worker, was not found to be more effective than a video providing general information among workers, around 80%</w:t>
      </w:r>
      <w:r w:rsidR="00427468">
        <w:rPr>
          <w:kern w:val="0"/>
        </w:rPr>
        <w:t xml:space="preserve"> of </w:t>
      </w:r>
      <w:r>
        <w:rPr>
          <w:kern w:val="0"/>
        </w:rPr>
        <w:t>whom already used hearing protection. A four-year school-based hearing loss prevention programme found that the intervention group was twice as likely to wear some kind</w:t>
      </w:r>
      <w:r w:rsidR="00427468">
        <w:rPr>
          <w:kern w:val="0"/>
        </w:rPr>
        <w:t xml:space="preserve"> of </w:t>
      </w:r>
      <w:r>
        <w:rPr>
          <w:kern w:val="0"/>
        </w:rPr>
        <w:t>hearing protection as the control group that received a baseline hearing test</w:t>
      </w:r>
      <w:r w:rsidR="005853A9">
        <w:rPr>
          <w:kern w:val="0"/>
        </w:rPr>
        <w:t xml:space="preserve"> and </w:t>
      </w:r>
      <w:r>
        <w:rPr>
          <w:kern w:val="0"/>
        </w:rPr>
        <w:t>two additional tests at years two</w:t>
      </w:r>
      <w:r w:rsidR="005853A9">
        <w:rPr>
          <w:kern w:val="0"/>
        </w:rPr>
        <w:t xml:space="preserve"> and </w:t>
      </w:r>
      <w:r>
        <w:rPr>
          <w:kern w:val="0"/>
        </w:rPr>
        <w:t xml:space="preserve">three. We conducted two meta-analyses for the comparisons </w:t>
      </w:r>
      <w:r w:rsidR="0071223E">
        <w:rPr>
          <w:kern w:val="0"/>
        </w:rPr>
        <w:t>‘</w:t>
      </w:r>
      <w:r>
        <w:rPr>
          <w:kern w:val="0"/>
        </w:rPr>
        <w:t>tailored strategy (the use</w:t>
      </w:r>
      <w:r w:rsidR="00427468">
        <w:rPr>
          <w:kern w:val="0"/>
        </w:rPr>
        <w:t xml:space="preserve"> of </w:t>
      </w:r>
      <w:r>
        <w:rPr>
          <w:kern w:val="0"/>
        </w:rPr>
        <w:t>communication or other types</w:t>
      </w:r>
      <w:r w:rsidR="00427468">
        <w:rPr>
          <w:kern w:val="0"/>
        </w:rPr>
        <w:t xml:space="preserve"> of </w:t>
      </w:r>
      <w:r>
        <w:rPr>
          <w:kern w:val="0"/>
        </w:rPr>
        <w:t>interventions that are specific to an individual or a group</w:t>
      </w:r>
      <w:r w:rsidR="005853A9">
        <w:rPr>
          <w:kern w:val="0"/>
        </w:rPr>
        <w:t xml:space="preserve"> and </w:t>
      </w:r>
      <w:r>
        <w:rPr>
          <w:kern w:val="0"/>
        </w:rPr>
        <w:t>aim to change behaviour) versus non-tailored strategy</w:t>
      </w:r>
      <w:r w:rsidR="0071223E">
        <w:rPr>
          <w:kern w:val="0"/>
        </w:rPr>
        <w:t>’</w:t>
      </w:r>
      <w:r w:rsidR="005853A9">
        <w:rPr>
          <w:kern w:val="0"/>
        </w:rPr>
        <w:t xml:space="preserve"> and </w:t>
      </w:r>
      <w:r w:rsidR="0071223E">
        <w:rPr>
          <w:kern w:val="0"/>
        </w:rPr>
        <w:t>‘</w:t>
      </w:r>
      <w:r>
        <w:rPr>
          <w:kern w:val="0"/>
        </w:rPr>
        <w:t>tailored strategy versus a commercial video on the use</w:t>
      </w:r>
      <w:r w:rsidR="00427468">
        <w:rPr>
          <w:kern w:val="0"/>
        </w:rPr>
        <w:t xml:space="preserve"> of </w:t>
      </w:r>
      <w:r>
        <w:rPr>
          <w:kern w:val="0"/>
        </w:rPr>
        <w:t>hearing protection</w:t>
      </w:r>
      <w:r w:rsidR="0071223E">
        <w:rPr>
          <w:kern w:val="0"/>
        </w:rPr>
        <w:t>’</w:t>
      </w:r>
      <w:r>
        <w:rPr>
          <w:kern w:val="0"/>
        </w:rPr>
        <w:t xml:space="preserve"> to look at mean percentage use</w:t>
      </w:r>
      <w:r w:rsidR="00427468">
        <w:rPr>
          <w:kern w:val="0"/>
        </w:rPr>
        <w:t xml:space="preserve"> of </w:t>
      </w:r>
      <w:r>
        <w:rPr>
          <w:kern w:val="0"/>
        </w:rPr>
        <w:t>hearing protective devices (HPDs), that showed improvement in the mean use</w:t>
      </w:r>
      <w:r w:rsidR="00427468">
        <w:rPr>
          <w:kern w:val="0"/>
        </w:rPr>
        <w:t xml:space="preserve"> of </w:t>
      </w:r>
      <w:r>
        <w:rPr>
          <w:kern w:val="0"/>
        </w:rPr>
        <w:t>HPDs for the tailored group. A meta-analysis</w:t>
      </w:r>
      <w:r w:rsidR="00427468">
        <w:rPr>
          <w:kern w:val="0"/>
        </w:rPr>
        <w:t xml:space="preserve"> of </w:t>
      </w:r>
      <w:r>
        <w:rPr>
          <w:kern w:val="0"/>
        </w:rPr>
        <w:t xml:space="preserve">the comparison </w:t>
      </w:r>
      <w:r w:rsidR="0071223E">
        <w:rPr>
          <w:kern w:val="0"/>
        </w:rPr>
        <w:t>‘</w:t>
      </w:r>
      <w:r>
        <w:rPr>
          <w:kern w:val="0"/>
        </w:rPr>
        <w:t>mixed interventions</w:t>
      </w:r>
      <w:r w:rsidR="0071223E">
        <w:rPr>
          <w:kern w:val="0"/>
        </w:rPr>
        <w:t>’</w:t>
      </w:r>
      <w:r>
        <w:rPr>
          <w:kern w:val="0"/>
        </w:rPr>
        <w:t xml:space="preserve"> (classroom instruction, distribution</w:t>
      </w:r>
      <w:r w:rsidR="00427468">
        <w:rPr>
          <w:kern w:val="0"/>
        </w:rPr>
        <w:t xml:space="preserve"> of </w:t>
      </w:r>
      <w:r>
        <w:rPr>
          <w:kern w:val="0"/>
        </w:rPr>
        <w:t>HPDs, mailings, noise level assessments</w:t>
      </w:r>
      <w:r w:rsidR="005853A9">
        <w:rPr>
          <w:kern w:val="0"/>
        </w:rPr>
        <w:t xml:space="preserve"> and </w:t>
      </w:r>
      <w:r>
        <w:rPr>
          <w:kern w:val="0"/>
        </w:rPr>
        <w:t>audiometric testing) versus control (audiometric testing alone) also showed improvement in self reported use</w:t>
      </w:r>
      <w:r w:rsidR="00427468">
        <w:rPr>
          <w:kern w:val="0"/>
        </w:rPr>
        <w:t xml:space="preserve"> of </w:t>
      </w:r>
      <w:r>
        <w:rPr>
          <w:kern w:val="0"/>
        </w:rPr>
        <w:t>HPDs when shooting firearms. Tailored education showed an improvement in HPD use</w:t>
      </w:r>
      <w:r w:rsidR="00427468">
        <w:rPr>
          <w:kern w:val="0"/>
        </w:rPr>
        <w:t xml:space="preserve"> of </w:t>
      </w:r>
      <w:r>
        <w:rPr>
          <w:kern w:val="0"/>
        </w:rPr>
        <w:t>8.3% versus targeted education (6.1%). Authors</w:t>
      </w:r>
      <w:r w:rsidR="0071223E">
        <w:rPr>
          <w:kern w:val="0"/>
        </w:rPr>
        <w:t>’</w:t>
      </w:r>
      <w:r>
        <w:rPr>
          <w:kern w:val="0"/>
        </w:rPr>
        <w:t xml:space="preserve"> conclusions The evidence found in this review shows that some interventions improve the mean use</w:t>
      </w:r>
      <w:r w:rsidR="00427468">
        <w:rPr>
          <w:kern w:val="0"/>
        </w:rPr>
        <w:t xml:space="preserve"> of </w:t>
      </w:r>
      <w:r>
        <w:rPr>
          <w:kern w:val="0"/>
        </w:rPr>
        <w:t>hearing protection devices compared to non-intervention. Future trials should have standard outcomes</w:t>
      </w:r>
      <w:r w:rsidR="005853A9">
        <w:rPr>
          <w:kern w:val="0"/>
        </w:rPr>
        <w:t xml:space="preserve"> and </w:t>
      </w:r>
      <w:r>
        <w:rPr>
          <w:kern w:val="0"/>
        </w:rPr>
        <w:t>interventions to allow the combining</w:t>
      </w:r>
      <w:r w:rsidR="00427468">
        <w:rPr>
          <w:kern w:val="0"/>
        </w:rPr>
        <w:t xml:space="preserve"> of </w:t>
      </w:r>
      <w:r>
        <w:rPr>
          <w:kern w:val="0"/>
        </w:rPr>
        <w:t>results in meta-analysis.</w:t>
      </w:r>
    </w:p>
    <w:p w:rsidR="00365DE4" w:rsidRDefault="00365DE4" w:rsidP="00365DE4">
      <w:pPr>
        <w:pStyle w:val="a3"/>
        <w:rPr>
          <w:kern w:val="0"/>
        </w:rPr>
      </w:pPr>
      <w:r>
        <w:rPr>
          <w:kern w:val="0"/>
        </w:rPr>
        <w:t xml:space="preserve">Keywords: Analysis, Authors, Bias, Cochrane, Communication, Conservation Program, Construction, Control, Design, Ear Protective Devices, Education, Effectiveness, Efficacy, Embase, Exposure, Farmers, Health Education [Methods], Hearing Loss,Noise-Induced [Prevention &amp; Control], Humans, Information, Intervention, Interventions, Meta Analysis, Meta-Analysis, Model, Noise, Noise,Occupational [Adverse Effects], Occupational Diseases [Prevention &amp; Control], Outcome, Outcomes, Prevention, Pubmed, Randomized Controlled Trials As Topic, Review, Risk, Science, Search Strategy, Selection, Strategy, </w:t>
      </w:r>
      <w:r w:rsidR="00D5664A">
        <w:rPr>
          <w:kern w:val="0"/>
        </w:rPr>
        <w:t>Web</w:t>
      </w:r>
      <w:r w:rsidR="00427468">
        <w:rPr>
          <w:kern w:val="0"/>
        </w:rPr>
        <w:t xml:space="preserve"> of </w:t>
      </w:r>
      <w:r w:rsidR="00D5664A">
        <w:rPr>
          <w:kern w:val="0"/>
        </w:rPr>
        <w:t>Science</w:t>
      </w:r>
      <w:r>
        <w:rPr>
          <w:kern w:val="0"/>
        </w:rPr>
        <w:t>, Workers Use, Working</w:t>
      </w:r>
    </w:p>
    <w:p w:rsidR="00365DE4" w:rsidRDefault="00365DE4" w:rsidP="00365DE4">
      <w:pPr>
        <w:pStyle w:val="a3"/>
        <w:rPr>
          <w:kern w:val="0"/>
        </w:rPr>
      </w:pPr>
      <w:r>
        <w:rPr>
          <w:kern w:val="0"/>
        </w:rPr>
        <w:t>? Bellolio, M.F., Gilmore, R.M.</w:t>
      </w:r>
      <w:r w:rsidR="005853A9">
        <w:rPr>
          <w:kern w:val="0"/>
        </w:rPr>
        <w:t xml:space="preserve"> and </w:t>
      </w:r>
      <w:r>
        <w:rPr>
          <w:kern w:val="0"/>
        </w:rPr>
        <w:t xml:space="preserve">Stead, L.G. (2011), Insulin for glycaemic control in acute ischaemic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CD005346.</w:t>
      </w:r>
    </w:p>
    <w:p w:rsidR="00365DE4" w:rsidRDefault="00365DE4" w:rsidP="00365DE4">
      <w:pPr>
        <w:pStyle w:val="a3"/>
        <w:rPr>
          <w:kern w:val="2"/>
        </w:rPr>
      </w:pPr>
      <w:r>
        <w:t xml:space="preserve">Full Text: </w:t>
      </w:r>
      <w:hyperlink r:id="rId672" w:history="1">
        <w:r>
          <w:rPr>
            <w:rStyle w:val="a5"/>
          </w:rPr>
          <w:t>2011\Coc Dat Sys Rev2011, CD005346.pdf</w:t>
        </w:r>
      </w:hyperlink>
    </w:p>
    <w:p w:rsidR="00365DE4" w:rsidRDefault="00365DE4" w:rsidP="00365DE4">
      <w:pPr>
        <w:pStyle w:val="a3"/>
        <w:rPr>
          <w:kern w:val="0"/>
        </w:rPr>
      </w:pPr>
      <w:r>
        <w:rPr>
          <w:kern w:val="0"/>
        </w:rPr>
        <w:t>Abstract: Background Patients with hyperglycaemia concomitant with an acute stroke have greater stroke severity</w:t>
      </w:r>
      <w:r w:rsidR="005853A9">
        <w:rPr>
          <w:kern w:val="0"/>
        </w:rPr>
        <w:t xml:space="preserve"> and </w:t>
      </w:r>
      <w:r>
        <w:rPr>
          <w:kern w:val="0"/>
        </w:rPr>
        <w:t xml:space="preserve">greater functional impairment when compared to those with normoglycaemia at stroke presentation. Objectives To determine whether maintaining serum glucose within a specific normal range (4 to 7.5 mmol/L) in the </w:t>
      </w:r>
      <w:r>
        <w:rPr>
          <w:kern w:val="0"/>
        </w:rPr>
        <w:lastRenderedPageBreak/>
        <w:t>first 24 hours</w:t>
      </w:r>
      <w:r w:rsidR="00427468">
        <w:rPr>
          <w:kern w:val="0"/>
        </w:rPr>
        <w:t xml:space="preserve"> of </w:t>
      </w:r>
      <w:r>
        <w:rPr>
          <w:kern w:val="0"/>
        </w:rPr>
        <w:t xml:space="preserve">acute ischaemic stroke influences outcome. Search strategy We searched the Cochrane Stroke Group Trials Register (June 2010), CENTRAL (The Cochrane Library 2010, Issue 2), </w:t>
      </w:r>
      <w:r w:rsidR="00D5664A">
        <w:rPr>
          <w:kern w:val="0"/>
        </w:rPr>
        <w:t>MEDLINE</w:t>
      </w:r>
      <w:r>
        <w:rPr>
          <w:kern w:val="0"/>
        </w:rPr>
        <w:t xml:space="preserve"> (1950 to June 2010), EMBASE (1980 to June 2010), CINAHL (1982 to June 2010), Science Citation Index (1900 to June 2010),</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(ISI Web</w:t>
      </w:r>
      <w:r w:rsidR="00427468">
        <w:rPr>
          <w:kern w:val="0"/>
        </w:rPr>
        <w:t xml:space="preserve"> of </w:t>
      </w:r>
      <w:r>
        <w:rPr>
          <w:kern w:val="0"/>
        </w:rPr>
        <w:t>Knowledge) (1993 to June 2010). In an effort to identify further published, unpublished</w:t>
      </w:r>
      <w:r w:rsidR="005853A9">
        <w:rPr>
          <w:kern w:val="0"/>
        </w:rPr>
        <w:t xml:space="preserve"> and </w:t>
      </w:r>
      <w:r>
        <w:rPr>
          <w:kern w:val="0"/>
        </w:rPr>
        <w:t>ongoing trials we searched ongoing trials registers</w:t>
      </w:r>
      <w:r w:rsidR="005853A9">
        <w:rPr>
          <w:kern w:val="0"/>
        </w:rPr>
        <w:t xml:space="preserve"> and </w:t>
      </w:r>
      <w:r>
        <w:rPr>
          <w:kern w:val="0"/>
        </w:rPr>
        <w:t>SCOPUS. Selection criteria Eligible studies were randomised controlled trials comparing intensively monitored insulin therapy versus usual care in adult patients with acute ischaemic stroke. Data collection</w:t>
      </w:r>
      <w:r w:rsidR="005853A9">
        <w:rPr>
          <w:kern w:val="0"/>
        </w:rPr>
        <w:t xml:space="preserve"> and </w:t>
      </w:r>
      <w:r>
        <w:rPr>
          <w:kern w:val="0"/>
        </w:rPr>
        <w:t>analysis Two review authors independently extracted the study characteristics, study quality,</w:t>
      </w:r>
      <w:r w:rsidR="005853A9">
        <w:rPr>
          <w:kern w:val="0"/>
        </w:rPr>
        <w:t xml:space="preserve"> and </w:t>
      </w:r>
      <w:r>
        <w:rPr>
          <w:kern w:val="0"/>
        </w:rPr>
        <w:t>data to estimate the odds ratio (OR)</w:t>
      </w:r>
      <w:r w:rsidR="005853A9">
        <w:rPr>
          <w:kern w:val="0"/>
        </w:rPr>
        <w:t xml:space="preserve"> and </w:t>
      </w:r>
      <w:r>
        <w:rPr>
          <w:kern w:val="0"/>
        </w:rPr>
        <w:t>95% confidence interval (CI), mean difference (MD)</w:t>
      </w:r>
      <w:r w:rsidR="005853A9">
        <w:rPr>
          <w:kern w:val="0"/>
        </w:rPr>
        <w:t xml:space="preserve"> and </w:t>
      </w:r>
      <w:r>
        <w:rPr>
          <w:kern w:val="0"/>
        </w:rPr>
        <w:t>standardised mean difference (SMD)</w:t>
      </w:r>
      <w:r w:rsidR="00427468">
        <w:rPr>
          <w:kern w:val="0"/>
        </w:rPr>
        <w:t xml:space="preserve"> of </w:t>
      </w:r>
      <w:r>
        <w:rPr>
          <w:kern w:val="0"/>
        </w:rPr>
        <w:t>outcome measures. Main results We included seven trials involving 1296 participants (639 participants in the intervention group</w:t>
      </w:r>
      <w:r w:rsidR="005853A9">
        <w:rPr>
          <w:kern w:val="0"/>
        </w:rPr>
        <w:t xml:space="preserve"> and </w:t>
      </w:r>
      <w:r>
        <w:rPr>
          <w:kern w:val="0"/>
        </w:rPr>
        <w:t>657 in the control group). We found that there was no difference between treatment</w:t>
      </w:r>
      <w:r w:rsidR="005853A9">
        <w:rPr>
          <w:kern w:val="0"/>
        </w:rPr>
        <w:t xml:space="preserve"> and </w:t>
      </w:r>
      <w:r>
        <w:rPr>
          <w:kern w:val="0"/>
        </w:rPr>
        <w:t>control groups in the outcome</w:t>
      </w:r>
      <w:r w:rsidR="00427468">
        <w:rPr>
          <w:kern w:val="0"/>
        </w:rPr>
        <w:t xml:space="preserve"> of </w:t>
      </w:r>
      <w:r>
        <w:rPr>
          <w:kern w:val="0"/>
        </w:rPr>
        <w:t>death or disability</w:t>
      </w:r>
      <w:r w:rsidR="005853A9">
        <w:rPr>
          <w:kern w:val="0"/>
        </w:rPr>
        <w:t xml:space="preserve"> and </w:t>
      </w:r>
      <w:r>
        <w:rPr>
          <w:kern w:val="0"/>
        </w:rPr>
        <w:t>dependence (OR 1.00, 95% CI 0.78 to 1.28) or final neurological deficit (SMD -0.12, 95% CI -0.23 to 0.00)</w:t>
      </w:r>
      <w:r w:rsidR="00A37C1D">
        <w:rPr>
          <w:kern w:val="0"/>
        </w:rPr>
        <w:t>. The</w:t>
      </w:r>
      <w:r>
        <w:rPr>
          <w:kern w:val="0"/>
        </w:rPr>
        <w:t xml:space="preserve"> rate</w:t>
      </w:r>
      <w:r w:rsidR="00427468">
        <w:rPr>
          <w:kern w:val="0"/>
        </w:rPr>
        <w:t xml:space="preserve"> of </w:t>
      </w:r>
      <w:r>
        <w:rPr>
          <w:kern w:val="0"/>
        </w:rPr>
        <w:t>symptomatic hypoglycaemia was higher in the intervention group (OR 25.9, 95% CI 9.2 to 72.7). In the subgroup analyses</w:t>
      </w:r>
      <w:r w:rsidR="00427468">
        <w:rPr>
          <w:kern w:val="0"/>
        </w:rPr>
        <w:t xml:space="preserve"> of </w:t>
      </w:r>
      <w:r>
        <w:rPr>
          <w:kern w:val="0"/>
        </w:rPr>
        <w:t>diabetes mellitus (DM) versus non-DM, we found no difference for the outcomes</w:t>
      </w:r>
      <w:r w:rsidR="00427468">
        <w:rPr>
          <w:kern w:val="0"/>
        </w:rPr>
        <w:t xml:space="preserve"> of </w:t>
      </w:r>
      <w:r>
        <w:rPr>
          <w:kern w:val="0"/>
        </w:rPr>
        <w:t>death</w:t>
      </w:r>
      <w:r w:rsidR="005853A9">
        <w:rPr>
          <w:kern w:val="0"/>
        </w:rPr>
        <w:t xml:space="preserve"> and </w:t>
      </w:r>
      <w:r>
        <w:rPr>
          <w:kern w:val="0"/>
        </w:rPr>
        <w:t>dependency or neurological deficit. Authors</w:t>
      </w:r>
      <w:r w:rsidR="0071223E">
        <w:rPr>
          <w:kern w:val="0"/>
        </w:rPr>
        <w:t>’</w:t>
      </w:r>
      <w:r>
        <w:rPr>
          <w:kern w:val="0"/>
        </w:rPr>
        <w:t xml:space="preserve"> conclusions With the current evidence, we found that the administration</w:t>
      </w:r>
      <w:r w:rsidR="00427468">
        <w:rPr>
          <w:kern w:val="0"/>
        </w:rPr>
        <w:t xml:space="preserve"> of </w:t>
      </w:r>
      <w:r>
        <w:rPr>
          <w:kern w:val="0"/>
        </w:rPr>
        <w:t>intravenous insulin with the objective</w:t>
      </w:r>
      <w:r w:rsidR="00427468">
        <w:rPr>
          <w:kern w:val="0"/>
        </w:rPr>
        <w:t xml:space="preserve"> of </w:t>
      </w:r>
      <w:r>
        <w:rPr>
          <w:kern w:val="0"/>
        </w:rPr>
        <w:t>maintaining serum glucose within a specific range in the first hours</w:t>
      </w:r>
      <w:r w:rsidR="00427468">
        <w:rPr>
          <w:kern w:val="0"/>
        </w:rPr>
        <w:t xml:space="preserve"> of </w:t>
      </w:r>
      <w:r>
        <w:rPr>
          <w:kern w:val="0"/>
        </w:rPr>
        <w:t>acute ischaemic stroke does not provide benefit in terms</w:t>
      </w:r>
      <w:r w:rsidR="00427468">
        <w:rPr>
          <w:kern w:val="0"/>
        </w:rPr>
        <w:t xml:space="preserve"> of </w:t>
      </w:r>
      <w:r>
        <w:rPr>
          <w:kern w:val="0"/>
        </w:rPr>
        <w:t>functional outcome, death, or improvement in final neurological deficit</w:t>
      </w:r>
      <w:r w:rsidR="005853A9">
        <w:rPr>
          <w:kern w:val="0"/>
        </w:rPr>
        <w:t xml:space="preserve"> and </w:t>
      </w:r>
      <w:r>
        <w:rPr>
          <w:kern w:val="0"/>
        </w:rPr>
        <w:t>significantly increased the number</w:t>
      </w:r>
      <w:r w:rsidR="00427468">
        <w:rPr>
          <w:kern w:val="0"/>
        </w:rPr>
        <w:t xml:space="preserve"> of </w:t>
      </w:r>
      <w:r>
        <w:rPr>
          <w:kern w:val="0"/>
        </w:rPr>
        <w:t>hypoglycaemic episodes. Specifically, those who were maintained within a more tight range</w:t>
      </w:r>
      <w:r w:rsidR="00427468">
        <w:rPr>
          <w:kern w:val="0"/>
        </w:rPr>
        <w:t xml:space="preserve"> of </w:t>
      </w:r>
      <w:r>
        <w:rPr>
          <w:kern w:val="0"/>
        </w:rPr>
        <w:t>glycaemia with intravenous insulin experienced a greater risk</w:t>
      </w:r>
      <w:r w:rsidR="00427468">
        <w:rPr>
          <w:kern w:val="0"/>
        </w:rPr>
        <w:t xml:space="preserve"> of </w:t>
      </w:r>
      <w:r>
        <w:rPr>
          <w:kern w:val="0"/>
        </w:rPr>
        <w:t>symptomatic</w:t>
      </w:r>
      <w:r w:rsidR="005853A9">
        <w:rPr>
          <w:kern w:val="0"/>
        </w:rPr>
        <w:t xml:space="preserve"> and </w:t>
      </w:r>
      <w:r>
        <w:rPr>
          <w:kern w:val="0"/>
        </w:rPr>
        <w:t>asymptomatic hypoglycaemia than those individuals in the control group.</w:t>
      </w:r>
    </w:p>
    <w:p w:rsidR="00365DE4" w:rsidRDefault="00365DE4" w:rsidP="00365DE4">
      <w:pPr>
        <w:pStyle w:val="a3"/>
        <w:rPr>
          <w:kern w:val="0"/>
        </w:rPr>
      </w:pPr>
      <w:r>
        <w:rPr>
          <w:kern w:val="0"/>
        </w:rPr>
        <w:t>Keywords: Acute, Acute Stroke, Adult, Analysis, Authors, Blood-Glucose, Brain-Damage, Care, Citation, Cochrane, Control, Control Groups, Critically-Ill Patients, Diabetes, Diabetes Mellitus, Disability, Embase, Functional, Glucose-Insulin, Hypoglycaemia, Independent Predictor, Insulin, Intervention</w:t>
      </w:r>
      <w:r w:rsidR="00D5664A">
        <w:rPr>
          <w:kern w:val="0"/>
        </w:rPr>
        <w:t>, ISI,</w:t>
      </w:r>
      <w:r>
        <w:rPr>
          <w:kern w:val="0"/>
        </w:rPr>
        <w:t xml:space="preserve"> Knowledge, </w:t>
      </w:r>
      <w:r w:rsidR="00D5664A">
        <w:rPr>
          <w:kern w:val="0"/>
        </w:rPr>
        <w:t>MEDLINE</w:t>
      </w:r>
      <w:r>
        <w:rPr>
          <w:kern w:val="0"/>
        </w:rPr>
        <w:t>, Moderate Hyperglycemia, Normal, Outcome, Outcomes, Patients, Ratio, Review, Risk, Science, Science Citation Index, Scopus, Search Strategy, Selection, Spreading Depression, Strategy, Stress Hyperglycemia, Stroke, Systematic Reviews, Therapy, Transient Forebrain Ischemia, Treatment, Web</w:t>
      </w:r>
      <w:r w:rsidR="00427468">
        <w:rPr>
          <w:kern w:val="0"/>
        </w:rPr>
        <w:t xml:space="preserve"> of </w:t>
      </w:r>
      <w:r>
        <w:rPr>
          <w:kern w:val="0"/>
        </w:rPr>
        <w:t xml:space="preserve">Knowledge,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Hao, Q.K., Lu, Z.C., Dong, B.R., Huang, C.Q.</w:t>
      </w:r>
      <w:r w:rsidR="005853A9">
        <w:rPr>
          <w:kern w:val="0"/>
        </w:rPr>
        <w:t xml:space="preserve"> and </w:t>
      </w:r>
      <w:r>
        <w:rPr>
          <w:kern w:val="0"/>
        </w:rPr>
        <w:t xml:space="preserve">Wu, T.X. (2011), Probiotics for preventing acute upper respiratory tract infections. </w:t>
      </w:r>
      <w:r>
        <w:rPr>
          <w:i/>
          <w:iCs/>
          <w:kern w:val="0"/>
        </w:rPr>
        <w:t>Cochrane Database</w:t>
      </w:r>
      <w:r w:rsidR="00427468">
        <w:rPr>
          <w:i/>
          <w:iCs/>
          <w:kern w:val="0"/>
        </w:rPr>
        <w:t xml:space="preserve"> of </w:t>
      </w:r>
      <w:r>
        <w:rPr>
          <w:i/>
          <w:iCs/>
          <w:kern w:val="0"/>
        </w:rPr>
        <w:t xml:space="preserve">Systematic </w:t>
      </w:r>
      <w:r>
        <w:rPr>
          <w:i/>
          <w:iCs/>
          <w:kern w:val="0"/>
        </w:rPr>
        <w:lastRenderedPageBreak/>
        <w:t>Reviews</w:t>
      </w:r>
      <w:r>
        <w:rPr>
          <w:kern w:val="0"/>
        </w:rPr>
        <w:t xml:space="preserve">, </w:t>
      </w:r>
      <w:r>
        <w:rPr>
          <w:b/>
          <w:kern w:val="0"/>
        </w:rPr>
        <w:t>9</w:t>
      </w:r>
      <w:r>
        <w:rPr>
          <w:kern w:val="0"/>
        </w:rPr>
        <w:t>, Article Number: CD006895.</w:t>
      </w:r>
    </w:p>
    <w:p w:rsidR="00365DE4" w:rsidRDefault="00365DE4" w:rsidP="00365DE4">
      <w:pPr>
        <w:pStyle w:val="a3"/>
        <w:rPr>
          <w:kern w:val="2"/>
        </w:rPr>
      </w:pPr>
      <w:r>
        <w:t xml:space="preserve">Full Text: </w:t>
      </w:r>
      <w:hyperlink r:id="rId673" w:history="1">
        <w:r>
          <w:rPr>
            <w:rStyle w:val="a5"/>
          </w:rPr>
          <w:t>2011\Coc Dat Sys Rev2011, CD006895.pdf</w:t>
        </w:r>
      </w:hyperlink>
    </w:p>
    <w:p w:rsidR="00365DE4" w:rsidRDefault="00365DE4" w:rsidP="00365DE4">
      <w:pPr>
        <w:pStyle w:val="a3"/>
        <w:rPr>
          <w:kern w:val="0"/>
        </w:rPr>
      </w:pPr>
      <w:r>
        <w:rPr>
          <w:kern w:val="0"/>
        </w:rPr>
        <w:t>Abstract: Background Probiotics may improve a person</w:t>
      </w:r>
      <w:r w:rsidR="0071223E">
        <w:rPr>
          <w:kern w:val="0"/>
        </w:rPr>
        <w:t>’</w:t>
      </w:r>
      <w:r>
        <w:rPr>
          <w:kern w:val="0"/>
        </w:rPr>
        <w:t>s health by regulating their immune function. Some studies show that probiotic strains can prevent respiratory infections. However, no evidence</w:t>
      </w:r>
      <w:r w:rsidR="00427468">
        <w:rPr>
          <w:kern w:val="0"/>
        </w:rPr>
        <w:t xml:space="preserve"> of </w:t>
      </w:r>
      <w:r>
        <w:rPr>
          <w:kern w:val="0"/>
        </w:rPr>
        <w:t>the benefits</w:t>
      </w:r>
      <w:r w:rsidR="00427468">
        <w:rPr>
          <w:kern w:val="0"/>
        </w:rPr>
        <w:t xml:space="preserve"> of </w:t>
      </w:r>
      <w:r>
        <w:rPr>
          <w:kern w:val="0"/>
        </w:rPr>
        <w:t>probiotics for acute upper respiratory tract infections (URTIs)</w:t>
      </w:r>
      <w:r w:rsidR="005853A9">
        <w:rPr>
          <w:kern w:val="0"/>
        </w:rPr>
        <w:t xml:space="preserve"> and </w:t>
      </w:r>
      <w:r>
        <w:rPr>
          <w:kern w:val="0"/>
        </w:rPr>
        <w:t>related potential adverse effects has been published. Objectives To assess the effectiveness</w:t>
      </w:r>
      <w:r w:rsidR="005853A9">
        <w:rPr>
          <w:kern w:val="0"/>
        </w:rPr>
        <w:t xml:space="preserve"> and </w:t>
      </w:r>
      <w:r>
        <w:rPr>
          <w:kern w:val="0"/>
        </w:rPr>
        <w:t>safety</w:t>
      </w:r>
      <w:r w:rsidR="00427468">
        <w:rPr>
          <w:kern w:val="0"/>
        </w:rPr>
        <w:t xml:space="preserve"> of </w:t>
      </w:r>
      <w:r>
        <w:rPr>
          <w:kern w:val="0"/>
        </w:rPr>
        <w:t>probiotics for preventing acute URTIs. Search strategy We searched the Cochrane Central Register</w:t>
      </w:r>
      <w:r w:rsidR="00427468">
        <w:rPr>
          <w:kern w:val="0"/>
        </w:rPr>
        <w:t xml:space="preserve"> of </w:t>
      </w:r>
      <w:r>
        <w:rPr>
          <w:kern w:val="0"/>
        </w:rPr>
        <w:t>Controlled Trials (CENTRAL) (T h e Cochrane Library 2011, Issue 2), which includes the Cochrane Acute Respiratory Infections Group</w:t>
      </w:r>
      <w:r w:rsidR="0071223E">
        <w:rPr>
          <w:kern w:val="0"/>
        </w:rPr>
        <w:t>’</w:t>
      </w:r>
      <w:r>
        <w:rPr>
          <w:kern w:val="0"/>
        </w:rPr>
        <w:t xml:space="preserve">s Specialised Register, </w:t>
      </w:r>
      <w:r w:rsidR="00D5664A">
        <w:rPr>
          <w:kern w:val="0"/>
        </w:rPr>
        <w:t>MEDLINE</w:t>
      </w:r>
      <w:r>
        <w:rPr>
          <w:kern w:val="0"/>
        </w:rPr>
        <w:t xml:space="preserve"> (Ovid) (1950 to May week 1, 2011), EMBASE (1974 to May 2011), </w:t>
      </w:r>
      <w:r w:rsidR="00D5664A">
        <w:rPr>
          <w:kern w:val="0"/>
        </w:rPr>
        <w:t>Web</w:t>
      </w:r>
      <w:r w:rsidR="00427468">
        <w:rPr>
          <w:kern w:val="0"/>
        </w:rPr>
        <w:t xml:space="preserve"> of </w:t>
      </w:r>
      <w:r w:rsidR="00D5664A">
        <w:rPr>
          <w:kern w:val="0"/>
        </w:rPr>
        <w:t>Science</w:t>
      </w:r>
      <w:r>
        <w:rPr>
          <w:kern w:val="0"/>
        </w:rPr>
        <w:t xml:space="preserve"> which includes Science Citation Index (from 1900 to May 2011)</w:t>
      </w:r>
      <w:r w:rsidR="005853A9">
        <w:rPr>
          <w:kern w:val="0"/>
        </w:rPr>
        <w:t xml:space="preserve"> and </w:t>
      </w:r>
      <w:r>
        <w:rPr>
          <w:kern w:val="0"/>
        </w:rPr>
        <w:t>Conference Proceedings Citation Index (from 1991 toMay 2011), the Chinese Biomedical Literature Database, which includes the China Biological Medicine Database (from 1978 to May 2011), the Chinese Medicine Popular Science Literature Database (from 2000 to May 2011)</w:t>
      </w:r>
      <w:r w:rsidR="005853A9">
        <w:rPr>
          <w:kern w:val="0"/>
        </w:rPr>
        <w:t xml:space="preserve"> and </w:t>
      </w:r>
      <w:r>
        <w:rPr>
          <w:kern w:val="0"/>
        </w:rPr>
        <w:t>the Masters Degree Dissertation</w:t>
      </w:r>
      <w:r w:rsidR="00427468">
        <w:rPr>
          <w:kern w:val="0"/>
        </w:rPr>
        <w:t xml:space="preserve"> of </w:t>
      </w:r>
      <w:r>
        <w:rPr>
          <w:kern w:val="0"/>
        </w:rPr>
        <w:t>Beijing Union Medical College Database (from 1981 to May 2011). Selection criteria Randomised controlled trials (RCTs) comparing probiotics with placebo to prevent acute URTIs. Data collection</w:t>
      </w:r>
      <w:r w:rsidR="005853A9">
        <w:rPr>
          <w:kern w:val="0"/>
        </w:rPr>
        <w:t xml:space="preserve"> and </w:t>
      </w:r>
      <w:r>
        <w:rPr>
          <w:kern w:val="0"/>
        </w:rPr>
        <w:t>analysis Two review authors independently assessed eligibility, quality</w:t>
      </w:r>
      <w:r w:rsidR="00427468">
        <w:rPr>
          <w:kern w:val="0"/>
        </w:rPr>
        <w:t xml:space="preserve"> of </w:t>
      </w:r>
      <w:r>
        <w:rPr>
          <w:kern w:val="0"/>
        </w:rPr>
        <w:t>trials</w:t>
      </w:r>
      <w:r w:rsidR="005853A9">
        <w:rPr>
          <w:kern w:val="0"/>
        </w:rPr>
        <w:t xml:space="preserve"> and </w:t>
      </w:r>
      <w:r>
        <w:rPr>
          <w:kern w:val="0"/>
        </w:rPr>
        <w:t>extracted data. Main results We included 14 RCTs, although we could only extract available data to meta-analyse in 10 trials which involved 3451 participants. We found that probiotics were better than placebo when measuring the number</w:t>
      </w:r>
      <w:r w:rsidR="00427468">
        <w:rPr>
          <w:kern w:val="0"/>
        </w:rPr>
        <w:t xml:space="preserve"> of </w:t>
      </w:r>
      <w:r>
        <w:rPr>
          <w:kern w:val="0"/>
        </w:rPr>
        <w:t>participants experiencing episodes</w:t>
      </w:r>
      <w:r w:rsidR="00427468">
        <w:rPr>
          <w:kern w:val="0"/>
        </w:rPr>
        <w:t xml:space="preserve"> of </w:t>
      </w:r>
      <w:r>
        <w:rPr>
          <w:kern w:val="0"/>
        </w:rPr>
        <w:t>acute URTI: at least one episode: odds ratio (OR) 0.58; 95% confidence interval (CI) 0.36 to 0.92; at least three episodes: OR 0.53; 95% CI 0.36 to 0.80; rate ratio</w:t>
      </w:r>
      <w:r w:rsidR="00427468">
        <w:rPr>
          <w:kern w:val="0"/>
        </w:rPr>
        <w:t xml:space="preserve"> of </w:t>
      </w:r>
      <w:r>
        <w:rPr>
          <w:kern w:val="0"/>
        </w:rPr>
        <w:t>episodes</w:t>
      </w:r>
      <w:r w:rsidR="00427468">
        <w:rPr>
          <w:kern w:val="0"/>
        </w:rPr>
        <w:t xml:space="preserve"> of </w:t>
      </w:r>
      <w:r>
        <w:rPr>
          <w:kern w:val="0"/>
        </w:rPr>
        <w:t>acute URTI: rate ratio 0.88; 95% CI 0.81 to 0.96;</w:t>
      </w:r>
      <w:r w:rsidR="005853A9">
        <w:rPr>
          <w:kern w:val="0"/>
        </w:rPr>
        <w:t xml:space="preserve"> and </w:t>
      </w:r>
      <w:r>
        <w:rPr>
          <w:kern w:val="0"/>
        </w:rPr>
        <w:t>reduced antibiotic prescription rates for acute URTIs: OR 0.67; 95% CI 0.45 to 0.98. Probiotics</w:t>
      </w:r>
      <w:r w:rsidR="005853A9">
        <w:rPr>
          <w:kern w:val="0"/>
        </w:rPr>
        <w:t xml:space="preserve"> and </w:t>
      </w:r>
      <w:r>
        <w:rPr>
          <w:kern w:val="0"/>
        </w:rPr>
        <w:t>placebo were similar when measuring the mean duration ( MD)</w:t>
      </w:r>
      <w:r w:rsidR="00427468">
        <w:rPr>
          <w:kern w:val="0"/>
        </w:rPr>
        <w:t xml:space="preserve"> of </w:t>
      </w:r>
      <w:r>
        <w:rPr>
          <w:kern w:val="0"/>
        </w:rPr>
        <w:t>an episode</w:t>
      </w:r>
      <w:r w:rsidR="00427468">
        <w:rPr>
          <w:kern w:val="0"/>
        </w:rPr>
        <w:t xml:space="preserve"> of </w:t>
      </w:r>
      <w:r>
        <w:rPr>
          <w:kern w:val="0"/>
        </w:rPr>
        <w:t>acute URTI: MD -0.29; 95% CI -3.71 to 3.13</w:t>
      </w:r>
      <w:r w:rsidR="005853A9">
        <w:rPr>
          <w:kern w:val="0"/>
        </w:rPr>
        <w:t xml:space="preserve"> and </w:t>
      </w:r>
      <w:r>
        <w:rPr>
          <w:kern w:val="0"/>
        </w:rPr>
        <w:t>adverse events: OR 0.92; 95% CI 0.37 to 2.28. Side effects</w:t>
      </w:r>
      <w:r w:rsidR="00427468">
        <w:rPr>
          <w:kern w:val="0"/>
        </w:rPr>
        <w:t xml:space="preserve"> of </w:t>
      </w:r>
      <w:r>
        <w:rPr>
          <w:kern w:val="0"/>
        </w:rPr>
        <w:t>probiotics were minor</w:t>
      </w:r>
      <w:r w:rsidR="005853A9">
        <w:rPr>
          <w:kern w:val="0"/>
        </w:rPr>
        <w:t xml:space="preserve"> and </w:t>
      </w:r>
      <w:r>
        <w:rPr>
          <w:kern w:val="0"/>
        </w:rPr>
        <w:t>gastrointestinal symptoms were the most common. We found that some subgroups had a high level</w:t>
      </w:r>
      <w:r w:rsidR="00427468">
        <w:rPr>
          <w:kern w:val="0"/>
        </w:rPr>
        <w:t xml:space="preserve"> of </w:t>
      </w:r>
      <w:r>
        <w:rPr>
          <w:kern w:val="0"/>
        </w:rPr>
        <w:t>heterogeneity when conducting pooled analyses. Authors</w:t>
      </w:r>
      <w:r w:rsidR="0071223E">
        <w:rPr>
          <w:kern w:val="0"/>
        </w:rPr>
        <w:t>’</w:t>
      </w:r>
      <w:r>
        <w:rPr>
          <w:kern w:val="0"/>
        </w:rPr>
        <w:t xml:space="preserve"> conclusions Probiotics were better than placebo in reducing the number</w:t>
      </w:r>
      <w:r w:rsidR="00427468">
        <w:rPr>
          <w:kern w:val="0"/>
        </w:rPr>
        <w:t xml:space="preserve"> of </w:t>
      </w:r>
      <w:r>
        <w:rPr>
          <w:kern w:val="0"/>
        </w:rPr>
        <w:t>participants experiencing episodes</w:t>
      </w:r>
      <w:r w:rsidR="00427468">
        <w:rPr>
          <w:kern w:val="0"/>
        </w:rPr>
        <w:t xml:space="preserve"> of </w:t>
      </w:r>
      <w:r>
        <w:rPr>
          <w:kern w:val="0"/>
        </w:rPr>
        <w:t>acute URTIs, the rate ratio</w:t>
      </w:r>
      <w:r w:rsidR="00427468">
        <w:rPr>
          <w:kern w:val="0"/>
        </w:rPr>
        <w:t xml:space="preserve"> of </w:t>
      </w:r>
      <w:r>
        <w:rPr>
          <w:kern w:val="0"/>
        </w:rPr>
        <w:t>episodes</w:t>
      </w:r>
      <w:r w:rsidR="00427468">
        <w:rPr>
          <w:kern w:val="0"/>
        </w:rPr>
        <w:t xml:space="preserve"> of </w:t>
      </w:r>
      <w:r>
        <w:rPr>
          <w:kern w:val="0"/>
        </w:rPr>
        <w:t>acute URTI</w:t>
      </w:r>
      <w:r w:rsidR="005853A9">
        <w:rPr>
          <w:kern w:val="0"/>
        </w:rPr>
        <w:t xml:space="preserve"> and </w:t>
      </w:r>
      <w:r>
        <w:rPr>
          <w:kern w:val="0"/>
        </w:rPr>
        <w:t>reducing antibiotic use. This indicates that probiotics may be more beneficial than placebo for preventing acute URTIs. However, the results have some limitations</w:t>
      </w:r>
      <w:r w:rsidR="005853A9">
        <w:rPr>
          <w:kern w:val="0"/>
        </w:rPr>
        <w:t xml:space="preserve"> and </w:t>
      </w:r>
      <w:r>
        <w:rPr>
          <w:kern w:val="0"/>
        </w:rPr>
        <w:t>there were no data for older people.</w:t>
      </w:r>
    </w:p>
    <w:p w:rsidR="00365DE4" w:rsidRDefault="00365DE4" w:rsidP="00365DE4">
      <w:pPr>
        <w:pStyle w:val="a3"/>
        <w:rPr>
          <w:kern w:val="0"/>
        </w:rPr>
      </w:pPr>
      <w:r>
        <w:rPr>
          <w:kern w:val="0"/>
        </w:rPr>
        <w:t xml:space="preserve">Keywords: Acute, Adverse Effects, Adverse Events, Analysis, Antibiotic, Attending Day-Care, Authors, Children, China, Citation, Cochrane, Conference, Controlled-Trial, Database, Dietary Consumption, Double-Blind, Effectiveness, </w:t>
      </w:r>
      <w:r>
        <w:rPr>
          <w:kern w:val="0"/>
        </w:rPr>
        <w:lastRenderedPageBreak/>
        <w:t xml:space="preserve">Embase, Gastrointestinal, Healthy-Subjects, Immune, Immune-System, Lactic-Acid Bacteria, Lactobacillus-Casei, Literature, </w:t>
      </w:r>
      <w:r w:rsidR="00D5664A">
        <w:rPr>
          <w:kern w:val="0"/>
        </w:rPr>
        <w:t>MEDLINE</w:t>
      </w:r>
      <w:r>
        <w:rPr>
          <w:kern w:val="0"/>
        </w:rPr>
        <w:t xml:space="preserve">, Milk, Older People, Probiotic, Probiotics, Ratio, Respiratory, Respiratory Infections, Review, Safety, Science, Science Citation Index, Search Strategy, Selection, Strategy, Symptoms, Tract,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Dempsey, E.</w:t>
      </w:r>
      <w:r w:rsidR="005853A9">
        <w:rPr>
          <w:kern w:val="0"/>
        </w:rPr>
        <w:t xml:space="preserve"> and </w:t>
      </w:r>
      <w:r>
        <w:rPr>
          <w:kern w:val="0"/>
        </w:rPr>
        <w:t>McCreery, K. (2011), Local anaesthetic eye drops for prevention</w:t>
      </w:r>
      <w:r w:rsidR="00427468">
        <w:rPr>
          <w:kern w:val="0"/>
        </w:rPr>
        <w:t xml:space="preserve"> of </w:t>
      </w:r>
      <w:r>
        <w:rPr>
          <w:kern w:val="0"/>
        </w:rPr>
        <w:t>pain in preterm infants undergoing screening for retinopathy</w:t>
      </w:r>
      <w:r w:rsidR="00427468">
        <w:rPr>
          <w:kern w:val="0"/>
        </w:rPr>
        <w:t xml:space="preserve"> of </w:t>
      </w:r>
      <w:r>
        <w:rPr>
          <w:kern w:val="0"/>
        </w:rPr>
        <w:t xml:space="preserve">prematurity.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CD007645.</w:t>
      </w:r>
    </w:p>
    <w:p w:rsidR="00365DE4" w:rsidRDefault="00365DE4" w:rsidP="00365DE4">
      <w:pPr>
        <w:pStyle w:val="a3"/>
        <w:rPr>
          <w:kern w:val="2"/>
        </w:rPr>
      </w:pPr>
      <w:r>
        <w:t xml:space="preserve">Full Text: </w:t>
      </w:r>
      <w:hyperlink r:id="rId674" w:history="1">
        <w:r>
          <w:rPr>
            <w:rStyle w:val="a5"/>
          </w:rPr>
          <w:t>2011\Coc Dat Sys Rev2011, CD007645.pdf</w:t>
        </w:r>
      </w:hyperlink>
    </w:p>
    <w:p w:rsidR="00365DE4" w:rsidRDefault="00365DE4" w:rsidP="00365DE4">
      <w:pPr>
        <w:pStyle w:val="a3"/>
        <w:rPr>
          <w:kern w:val="0"/>
        </w:rPr>
      </w:pPr>
      <w:r>
        <w:rPr>
          <w:kern w:val="0"/>
        </w:rPr>
        <w:t>Abstract: Background Screening examinations for retinopathy</w:t>
      </w:r>
      <w:r w:rsidR="00427468">
        <w:rPr>
          <w:kern w:val="0"/>
        </w:rPr>
        <w:t xml:space="preserve"> of </w:t>
      </w:r>
      <w:r>
        <w:rPr>
          <w:kern w:val="0"/>
        </w:rPr>
        <w:t>prematurity (ROP) are performed routinely in the neonatal intensive care unit</w:t>
      </w:r>
      <w:r w:rsidR="005853A9">
        <w:rPr>
          <w:kern w:val="0"/>
        </w:rPr>
        <w:t xml:space="preserve"> and </w:t>
      </w:r>
      <w:r>
        <w:rPr>
          <w:kern w:val="0"/>
        </w:rPr>
        <w:t>are a recognised cause</w:t>
      </w:r>
      <w:r w:rsidR="00427468">
        <w:rPr>
          <w:kern w:val="0"/>
        </w:rPr>
        <w:t xml:space="preserve"> of </w:t>
      </w:r>
      <w:r>
        <w:rPr>
          <w:kern w:val="0"/>
        </w:rPr>
        <w:t>pain in the newborn. Objectives To determine the effect</w:t>
      </w:r>
      <w:r w:rsidR="00427468">
        <w:rPr>
          <w:kern w:val="0"/>
        </w:rPr>
        <w:t xml:space="preserve"> of </w:t>
      </w:r>
      <w:r>
        <w:rPr>
          <w:kern w:val="0"/>
        </w:rPr>
        <w:t>instillation</w:t>
      </w:r>
      <w:r w:rsidR="00427468">
        <w:rPr>
          <w:kern w:val="0"/>
        </w:rPr>
        <w:t xml:space="preserve"> of </w:t>
      </w:r>
      <w:r>
        <w:rPr>
          <w:kern w:val="0"/>
        </w:rPr>
        <w:t>topical anaesthetic eye drops compared with placebo or no treatment on pain in infants undergoing ROP screening. Search strategy We used the standard search strategy</w:t>
      </w:r>
      <w:r w:rsidR="00427468">
        <w:rPr>
          <w:kern w:val="0"/>
        </w:rPr>
        <w:t xml:space="preserve"> of </w:t>
      </w:r>
      <w:r>
        <w:rPr>
          <w:kern w:val="0"/>
        </w:rPr>
        <w:t>the Cochrane Neonatal Review Group. This included a search</w:t>
      </w:r>
      <w:r w:rsidR="00427468">
        <w:rPr>
          <w:kern w:val="0"/>
        </w:rPr>
        <w:t xml:space="preserve"> of </w:t>
      </w:r>
      <w:r>
        <w:rPr>
          <w:kern w:val="0"/>
        </w:rPr>
        <w:t>the Cochrane Neonatal Group register</w:t>
      </w:r>
      <w:r w:rsidR="005853A9">
        <w:rPr>
          <w:kern w:val="0"/>
        </w:rPr>
        <w:t xml:space="preserve"> and </w:t>
      </w:r>
      <w:r>
        <w:rPr>
          <w:kern w:val="0"/>
        </w:rPr>
        <w:t>the Cochrane Central Register</w:t>
      </w:r>
      <w:r w:rsidR="00427468">
        <w:rPr>
          <w:kern w:val="0"/>
        </w:rPr>
        <w:t xml:space="preserve"> of </w:t>
      </w:r>
      <w:r>
        <w:rPr>
          <w:kern w:val="0"/>
        </w:rPr>
        <w:t xml:space="preserve">Controlled Trials (CENTRAL, The Cochrane Library, Issue 10, 2010). We identified relevant studies by searching the following: (1) computerised bibliographic databases: </w:t>
      </w:r>
      <w:r w:rsidR="00D5664A">
        <w:rPr>
          <w:kern w:val="0"/>
        </w:rPr>
        <w:t>MEDLINE</w:t>
      </w:r>
      <w:r>
        <w:rPr>
          <w:kern w:val="0"/>
        </w:rPr>
        <w:t xml:space="preserve"> (1966 to October 2010), EMBASE (1988 to October 2010)</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(1975 to March 2010; (2) the Oxford Database</w:t>
      </w:r>
      <w:r w:rsidR="00427468">
        <w:rPr>
          <w:kern w:val="0"/>
        </w:rPr>
        <w:t xml:space="preserve"> of </w:t>
      </w:r>
      <w:r>
        <w:rPr>
          <w:kern w:val="0"/>
        </w:rPr>
        <w:t>Perinatal Trials. We searched electronically abstracts from PAS from 2000 to 2010</w:t>
      </w:r>
      <w:r w:rsidR="005853A9">
        <w:rPr>
          <w:kern w:val="0"/>
        </w:rPr>
        <w:t xml:space="preserve"> and </w:t>
      </w:r>
      <w:r>
        <w:rPr>
          <w:kern w:val="0"/>
        </w:rPr>
        <w:t>handsearched abstracts from ESPR from 2000 to 2009. Selection criteria All randomised, or quasi-randomised controlled trials, or randomised cross-over trials. Data collection</w:t>
      </w:r>
      <w:r w:rsidR="005853A9">
        <w:rPr>
          <w:kern w:val="0"/>
        </w:rPr>
        <w:t xml:space="preserve"> and </w:t>
      </w:r>
      <w:r>
        <w:rPr>
          <w:kern w:val="0"/>
        </w:rPr>
        <w:t>analysis We used the standard methods</w:t>
      </w:r>
      <w:r w:rsidR="00427468">
        <w:rPr>
          <w:kern w:val="0"/>
        </w:rPr>
        <w:t xml:space="preserve"> of </w:t>
      </w:r>
      <w:r>
        <w:rPr>
          <w:kern w:val="0"/>
        </w:rPr>
        <w:t>the Cochrane Neonatal Review Group. Main results We identified two studies for inclusion. Both studies were randomised cross-over trials performed in single centres. Both studies used the Premature Infant Pain Profile (PIPP) score as a measure</w:t>
      </w:r>
      <w:r w:rsidR="00427468">
        <w:rPr>
          <w:kern w:val="0"/>
        </w:rPr>
        <w:t xml:space="preserve"> of </w:t>
      </w:r>
      <w:r>
        <w:rPr>
          <w:kern w:val="0"/>
        </w:rPr>
        <w:t>pain response. Different methods</w:t>
      </w:r>
      <w:r w:rsidR="00427468">
        <w:rPr>
          <w:kern w:val="0"/>
        </w:rPr>
        <w:t xml:space="preserve"> of </w:t>
      </w:r>
      <w:r>
        <w:rPr>
          <w:kern w:val="0"/>
        </w:rPr>
        <w:t>evaluating PIPP scores are presented including the absolute PIPP score, a PIPP score &gt; 10 or &gt; 12</w:t>
      </w:r>
      <w:r w:rsidR="005853A9">
        <w:rPr>
          <w:kern w:val="0"/>
        </w:rPr>
        <w:t xml:space="preserve"> and </w:t>
      </w:r>
      <w:r>
        <w:rPr>
          <w:kern w:val="0"/>
        </w:rPr>
        <w:t>an increase in PIPP &gt;= 4 from the baseline value</w:t>
      </w:r>
      <w:r w:rsidR="00A37C1D">
        <w:rPr>
          <w:kern w:val="0"/>
        </w:rPr>
        <w:t>. The</w:t>
      </w:r>
      <w:r>
        <w:rPr>
          <w:kern w:val="0"/>
        </w:rPr>
        <w:t>re is a nonsignificant reduction in pain scores at one minute</w:t>
      </w:r>
      <w:r w:rsidR="005853A9">
        <w:rPr>
          <w:kern w:val="0"/>
        </w:rPr>
        <w:t xml:space="preserve"> and </w:t>
      </w:r>
      <w:r>
        <w:rPr>
          <w:kern w:val="0"/>
        </w:rPr>
        <w:t>a nonsignificant increase at five minutes post insertion</w:t>
      </w:r>
      <w:r w:rsidR="00427468">
        <w:rPr>
          <w:kern w:val="0"/>
        </w:rPr>
        <w:t xml:space="preserve"> of </w:t>
      </w:r>
      <w:r>
        <w:rPr>
          <w:kern w:val="0"/>
        </w:rPr>
        <w:t>the speculum. PIPP score &gt; 12 at one minute resulted in a statistically significant reduction in the number</w:t>
      </w:r>
      <w:r w:rsidR="00427468">
        <w:rPr>
          <w:kern w:val="0"/>
        </w:rPr>
        <w:t xml:space="preserve"> of </w:t>
      </w:r>
      <w:r>
        <w:rPr>
          <w:kern w:val="0"/>
        </w:rPr>
        <w:t>patients who experienced pain (typical risk ratio (RR) 0.56, 95% CI 0.36 to 0.89; typical risk difference (RD) -0.23, 95% CI -0.39 to -0.86; number needed to treat to benefit (NNTB) 4). When pain was defined as an increase in PIPP &gt; 4 there was a statistically significant reduction in the absolute number</w:t>
      </w:r>
      <w:r w:rsidR="00427468">
        <w:rPr>
          <w:kern w:val="0"/>
        </w:rPr>
        <w:t xml:space="preserve"> of </w:t>
      </w:r>
      <w:r>
        <w:rPr>
          <w:kern w:val="0"/>
        </w:rPr>
        <w:t>patients who experienced pain at one minute ( typical RR 0.70, 95% CI 0.52 to 0.94; typical RD -0.19, 95% CI -0.34 to -0.04; NNTB 5.3). Authors</w:t>
      </w:r>
      <w:r w:rsidR="0071223E">
        <w:rPr>
          <w:kern w:val="0"/>
        </w:rPr>
        <w:t>’</w:t>
      </w:r>
      <w:r>
        <w:rPr>
          <w:kern w:val="0"/>
        </w:rPr>
        <w:t xml:space="preserve"> conclusions The administration</w:t>
      </w:r>
      <w:r w:rsidR="00427468">
        <w:rPr>
          <w:kern w:val="0"/>
        </w:rPr>
        <w:t xml:space="preserve"> of </w:t>
      </w:r>
      <w:r>
        <w:rPr>
          <w:kern w:val="0"/>
        </w:rPr>
        <w:t xml:space="preserve">topical proparacaine 30 seconds prior to the ophthalmological evaluation was associated with a reduction in pain scores </w:t>
      </w:r>
      <w:r>
        <w:rPr>
          <w:kern w:val="0"/>
        </w:rPr>
        <w:lastRenderedPageBreak/>
        <w:t>especially at the time</w:t>
      </w:r>
      <w:r w:rsidR="00427468">
        <w:rPr>
          <w:kern w:val="0"/>
        </w:rPr>
        <w:t xml:space="preserve"> of </w:t>
      </w:r>
      <w:r>
        <w:rPr>
          <w:kern w:val="0"/>
        </w:rPr>
        <w:t>speculum insertion. However, despite treatment, screening remains a painful procedure</w:t>
      </w:r>
      <w:r w:rsidR="005853A9">
        <w:rPr>
          <w:kern w:val="0"/>
        </w:rPr>
        <w:t xml:space="preserve"> and </w:t>
      </w:r>
      <w:r>
        <w:rPr>
          <w:kern w:val="0"/>
        </w:rPr>
        <w:t>the role</w:t>
      </w:r>
      <w:r w:rsidR="00427468">
        <w:rPr>
          <w:kern w:val="0"/>
        </w:rPr>
        <w:t xml:space="preserve"> of </w:t>
      </w:r>
      <w:r>
        <w:rPr>
          <w:kern w:val="0"/>
        </w:rPr>
        <w:t>nonpharmacological</w:t>
      </w:r>
      <w:r w:rsidR="005853A9">
        <w:rPr>
          <w:kern w:val="0"/>
        </w:rPr>
        <w:t xml:space="preserve"> and </w:t>
      </w:r>
      <w:r>
        <w:rPr>
          <w:kern w:val="0"/>
        </w:rPr>
        <w:t>pharmacological intervention including different local anaesthetic agents should be ascertained in future randomised trials.</w:t>
      </w:r>
    </w:p>
    <w:p w:rsidR="00365DE4" w:rsidRDefault="00365DE4" w:rsidP="00365DE4">
      <w:pPr>
        <w:pStyle w:val="a3"/>
        <w:rPr>
          <w:kern w:val="0"/>
        </w:rPr>
      </w:pPr>
      <w:r>
        <w:rPr>
          <w:kern w:val="0"/>
        </w:rPr>
        <w:t xml:space="preserve">Keywords: Analysis, Bibliographic, Bibliographic Databases, Care, Cochrane, Database, Databases, Embase, Evaluation, Infants, Intensive Care, Intensive Care Unit, Intervention, Management, </w:t>
      </w:r>
      <w:r w:rsidR="00D5664A">
        <w:rPr>
          <w:kern w:val="0"/>
        </w:rPr>
        <w:t>MEDLINE</w:t>
      </w:r>
      <w:r>
        <w:rPr>
          <w:kern w:val="0"/>
        </w:rPr>
        <w:t xml:space="preserve">, Neonatal Intensive Care, Pain, Patients, Pharmacological Intervention, Premature Infant Pain Profile, Prevention, Profile, Ratio, Reduction, Review, Risk, Science, Screening, Search Strategy, Selection, Strategy,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Peñaloza, B., Pantoja, T., Bastías, G., Herrera, C.</w:t>
      </w:r>
      <w:r w:rsidR="005853A9">
        <w:rPr>
          <w:kern w:val="0"/>
        </w:rPr>
        <w:t xml:space="preserve"> and </w:t>
      </w:r>
      <w:r>
        <w:rPr>
          <w:kern w:val="0"/>
        </w:rPr>
        <w:t>Rada, G. (2011), Interventions to reduce emigration</w:t>
      </w:r>
      <w:r w:rsidR="00427468">
        <w:rPr>
          <w:kern w:val="0"/>
        </w:rPr>
        <w:t xml:space="preserve"> of </w:t>
      </w:r>
      <w:r>
        <w:rPr>
          <w:kern w:val="0"/>
        </w:rPr>
        <w:t>health care professionals from low-</w:t>
      </w:r>
      <w:r w:rsidR="005853A9">
        <w:rPr>
          <w:kern w:val="0"/>
        </w:rPr>
        <w:t xml:space="preserve"> and </w:t>
      </w:r>
      <w:r>
        <w:rPr>
          <w:kern w:val="0"/>
        </w:rPr>
        <w:t xml:space="preserve">middle-income countries.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CD007673.</w:t>
      </w:r>
    </w:p>
    <w:p w:rsidR="00365DE4" w:rsidRDefault="00365DE4" w:rsidP="00365DE4">
      <w:pPr>
        <w:pStyle w:val="a3"/>
        <w:rPr>
          <w:kern w:val="2"/>
        </w:rPr>
      </w:pPr>
      <w:r>
        <w:t xml:space="preserve">Full Text: </w:t>
      </w:r>
      <w:hyperlink r:id="rId675" w:history="1">
        <w:r>
          <w:rPr>
            <w:rStyle w:val="a5"/>
          </w:rPr>
          <w:t>2011\Coc Dat Sys Rev2011, CD007673.pdf</w:t>
        </w:r>
      </w:hyperlink>
    </w:p>
    <w:p w:rsidR="00365DE4" w:rsidRDefault="00365DE4" w:rsidP="00365DE4">
      <w:pPr>
        <w:pStyle w:val="a3"/>
        <w:rPr>
          <w:kern w:val="0"/>
        </w:rPr>
      </w:pPr>
      <w:r>
        <w:rPr>
          <w:kern w:val="0"/>
        </w:rPr>
        <w:t>Abstract: Background The emigration</w:t>
      </w:r>
      <w:r w:rsidR="00427468">
        <w:rPr>
          <w:kern w:val="0"/>
        </w:rPr>
        <w:t xml:space="preserve"> of </w:t>
      </w:r>
      <w:r>
        <w:rPr>
          <w:kern w:val="0"/>
        </w:rPr>
        <w:t>skilled professionals from low-and middle-income countries (LMICs) to high-income countries (HICs) is a general phenomenon but poses particular challenges in health care, where it contributes to human resource shortages in the health systems</w:t>
      </w:r>
      <w:r w:rsidR="00427468">
        <w:rPr>
          <w:kern w:val="0"/>
        </w:rPr>
        <w:t xml:space="preserve"> of </w:t>
      </w:r>
      <w:r>
        <w:rPr>
          <w:kern w:val="0"/>
        </w:rPr>
        <w:t>poorer countries. However, little is known about the effects</w:t>
      </w:r>
      <w:r w:rsidR="00427468">
        <w:rPr>
          <w:kern w:val="0"/>
        </w:rPr>
        <w:t xml:space="preserve"> of </w:t>
      </w:r>
      <w:r>
        <w:rPr>
          <w:kern w:val="0"/>
        </w:rPr>
        <w:t>strategies to help regulate this movement. Objectives To assess the effects</w:t>
      </w:r>
      <w:r w:rsidR="00427468">
        <w:rPr>
          <w:kern w:val="0"/>
        </w:rPr>
        <w:t xml:space="preserve"> of </w:t>
      </w:r>
      <w:r>
        <w:rPr>
          <w:kern w:val="0"/>
        </w:rPr>
        <w:t>policy interventions to regulate emigration</w:t>
      </w:r>
      <w:r w:rsidR="00427468">
        <w:rPr>
          <w:kern w:val="0"/>
        </w:rPr>
        <w:t xml:space="preserve"> of </w:t>
      </w:r>
      <w:r>
        <w:rPr>
          <w:kern w:val="0"/>
        </w:rPr>
        <w:t>health professionals from LMICs. Search strategy We searched the Cochrane Effective Practice</w:t>
      </w:r>
      <w:r w:rsidR="005853A9">
        <w:rPr>
          <w:kern w:val="0"/>
        </w:rPr>
        <w:t xml:space="preserve"> and </w:t>
      </w:r>
      <w:r>
        <w:rPr>
          <w:kern w:val="0"/>
        </w:rPr>
        <w:t>Organisation</w:t>
      </w:r>
      <w:r w:rsidR="00427468">
        <w:rPr>
          <w:kern w:val="0"/>
        </w:rPr>
        <w:t xml:space="preserve"> of </w:t>
      </w:r>
      <w:r>
        <w:rPr>
          <w:kern w:val="0"/>
        </w:rPr>
        <w:t>Care (EPOC) Group Specialised Register (searched 15 March 2011), the Cochrane Register</w:t>
      </w:r>
      <w:r w:rsidR="00427468">
        <w:rPr>
          <w:kern w:val="0"/>
        </w:rPr>
        <w:t xml:space="preserve"> of </w:t>
      </w:r>
      <w:r>
        <w:rPr>
          <w:kern w:val="0"/>
        </w:rPr>
        <w:t xml:space="preserve">Controlled Trials (CENTRAL) (searched 2 March 2011), </w:t>
      </w:r>
      <w:r w:rsidR="00D5664A">
        <w:rPr>
          <w:kern w:val="0"/>
        </w:rPr>
        <w:t>MEDLINE</w:t>
      </w:r>
      <w:r>
        <w:rPr>
          <w:kern w:val="0"/>
        </w:rPr>
        <w:t xml:space="preserve"> (searched 5 March 2011), EMBASE (searched 2 March 2011), CINAHL (searched 5 March 2011), LILACS (searched 7 March 2011), WHOLIS (searched 20 March 2011), SocINDEX (searched 11 March 2011), EconLit (searched 8 March 2011), Science</w:t>
      </w:r>
      <w:r w:rsidR="005853A9">
        <w:rPr>
          <w:kern w:val="0"/>
        </w:rPr>
        <w:t xml:space="preserve"> and </w:t>
      </w:r>
      <w:r>
        <w:rPr>
          <w:kern w:val="0"/>
        </w:rPr>
        <w:t>Social Science Citation Index (searched 8 March 2011), NLM Gateway (searched 31 March 2011)</w:t>
      </w:r>
      <w:r w:rsidR="005853A9">
        <w:rPr>
          <w:kern w:val="0"/>
        </w:rPr>
        <w:t xml:space="preserve"> and </w:t>
      </w:r>
      <w:r>
        <w:rPr>
          <w:kern w:val="0"/>
        </w:rPr>
        <w:t>ERIC (searched March 3 2011). We reviewed reference lists</w:t>
      </w:r>
      <w:r w:rsidR="00427468">
        <w:rPr>
          <w:kern w:val="0"/>
        </w:rPr>
        <w:t xml:space="preserve"> of </w:t>
      </w:r>
      <w:r>
        <w:rPr>
          <w:kern w:val="0"/>
        </w:rPr>
        <w:t>included studies</w:t>
      </w:r>
      <w:r w:rsidR="005853A9">
        <w:rPr>
          <w:kern w:val="0"/>
        </w:rPr>
        <w:t xml:space="preserve"> and </w:t>
      </w:r>
      <w:r>
        <w:rPr>
          <w:kern w:val="0"/>
        </w:rPr>
        <w:t>selected reviews on the topic, contacted authors</w:t>
      </w:r>
      <w:r w:rsidR="00427468">
        <w:rPr>
          <w:kern w:val="0"/>
        </w:rPr>
        <w:t xml:space="preserve"> of </w:t>
      </w:r>
      <w:r>
        <w:rPr>
          <w:kern w:val="0"/>
        </w:rPr>
        <w:t>included studies</w:t>
      </w:r>
      <w:r w:rsidR="005853A9">
        <w:rPr>
          <w:kern w:val="0"/>
        </w:rPr>
        <w:t xml:space="preserve"> and </w:t>
      </w:r>
      <w:r>
        <w:rPr>
          <w:kern w:val="0"/>
        </w:rPr>
        <w:t>experts on the field,</w:t>
      </w:r>
      <w:r w:rsidR="005853A9">
        <w:rPr>
          <w:kern w:val="0"/>
        </w:rPr>
        <w:t xml:space="preserve"> and </w:t>
      </w:r>
      <w:r>
        <w:rPr>
          <w:kern w:val="0"/>
        </w:rPr>
        <w:t>reviewed relevant websites. Selection criteria Randomised controlled trials (RCT), non-randomised controlled trials (NRCT), controlled before-and-after studies (CBA)</w:t>
      </w:r>
      <w:r w:rsidR="005853A9">
        <w:rPr>
          <w:kern w:val="0"/>
        </w:rPr>
        <w:t xml:space="preserve"> and </w:t>
      </w:r>
      <w:r>
        <w:rPr>
          <w:kern w:val="0"/>
        </w:rPr>
        <w:t>interrupted time series (ITS) studies assessing any intervention in the source, the recipient or both countries that could have an impact on the number</w:t>
      </w:r>
      <w:r w:rsidR="00427468">
        <w:rPr>
          <w:kern w:val="0"/>
        </w:rPr>
        <w:t xml:space="preserve"> of </w:t>
      </w:r>
      <w:r>
        <w:rPr>
          <w:kern w:val="0"/>
        </w:rPr>
        <w:t>professionals that emigrate from a LMIC. Health professionals, such as physicians, dentists, nurses or midwives, should be nationals</w:t>
      </w:r>
      <w:r w:rsidR="00427468">
        <w:rPr>
          <w:kern w:val="0"/>
        </w:rPr>
        <w:t xml:space="preserve"> of </w:t>
      </w:r>
      <w:r>
        <w:rPr>
          <w:kern w:val="0"/>
        </w:rPr>
        <w:t>a LMIC whose graduate training was in a LMIC. Data collection</w:t>
      </w:r>
      <w:r w:rsidR="005853A9">
        <w:rPr>
          <w:kern w:val="0"/>
        </w:rPr>
        <w:t xml:space="preserve"> and </w:t>
      </w:r>
      <w:r>
        <w:rPr>
          <w:kern w:val="0"/>
        </w:rPr>
        <w:t>analysis One review author extracted data onto a standard form</w:t>
      </w:r>
      <w:r w:rsidR="005853A9">
        <w:rPr>
          <w:kern w:val="0"/>
        </w:rPr>
        <w:t xml:space="preserve"> and </w:t>
      </w:r>
      <w:r>
        <w:rPr>
          <w:kern w:val="0"/>
        </w:rPr>
        <w:t>a second review author checked data. Two review authors assessed risk</w:t>
      </w:r>
      <w:r w:rsidR="00427468">
        <w:rPr>
          <w:kern w:val="0"/>
        </w:rPr>
        <w:t xml:space="preserve"> of </w:t>
      </w:r>
      <w:r>
        <w:rPr>
          <w:kern w:val="0"/>
        </w:rPr>
        <w:t xml:space="preserve">bias. Main results Only one study was included. This time series </w:t>
      </w:r>
      <w:r>
        <w:rPr>
          <w:kern w:val="0"/>
        </w:rPr>
        <w:lastRenderedPageBreak/>
        <w:t>study assessed the migration</w:t>
      </w:r>
      <w:r w:rsidR="00427468">
        <w:rPr>
          <w:kern w:val="0"/>
        </w:rPr>
        <w:t xml:space="preserve"> of </w:t>
      </w:r>
      <w:r>
        <w:rPr>
          <w:kern w:val="0"/>
        </w:rPr>
        <w:t>Philippine nurses to the United States</w:t>
      </w:r>
      <w:r w:rsidR="00427468">
        <w:rPr>
          <w:kern w:val="0"/>
        </w:rPr>
        <w:t xml:space="preserve"> of </w:t>
      </w:r>
      <w:r>
        <w:rPr>
          <w:kern w:val="0"/>
        </w:rPr>
        <w:t>America (</w:t>
      </w:r>
      <w:r w:rsidR="00D5664A">
        <w:rPr>
          <w:kern w:val="0"/>
        </w:rPr>
        <w:t>USA</w:t>
      </w:r>
      <w:r>
        <w:rPr>
          <w:kern w:val="0"/>
        </w:rPr>
        <w:t>) from 1954 to 1990. We re-analysed it as an interrupted time series study</w:t>
      </w:r>
      <w:r w:rsidR="00A37C1D">
        <w:rPr>
          <w:kern w:val="0"/>
        </w:rPr>
        <w:t>. The</w:t>
      </w:r>
      <w:r>
        <w:rPr>
          <w:kern w:val="0"/>
        </w:rPr>
        <w:t xml:space="preserve"> intervention was a modification</w:t>
      </w:r>
      <w:r w:rsidR="00427468">
        <w:rPr>
          <w:kern w:val="0"/>
        </w:rPr>
        <w:t xml:space="preserve"> of </w:t>
      </w:r>
      <w:r>
        <w:rPr>
          <w:kern w:val="0"/>
        </w:rPr>
        <w:t xml:space="preserve">migratory law in the US, called the </w:t>
      </w:r>
      <w:r w:rsidR="0071223E">
        <w:rPr>
          <w:kern w:val="0"/>
        </w:rPr>
        <w:t>‘</w:t>
      </w:r>
      <w:r>
        <w:rPr>
          <w:kern w:val="0"/>
        </w:rPr>
        <w:t xml:space="preserve"> Act</w:t>
      </w:r>
      <w:r w:rsidR="00427468">
        <w:rPr>
          <w:kern w:val="0"/>
        </w:rPr>
        <w:t xml:space="preserve"> of </w:t>
      </w:r>
      <w:r>
        <w:rPr>
          <w:kern w:val="0"/>
        </w:rPr>
        <w:t>October 1965</w:t>
      </w:r>
      <w:r w:rsidR="0071223E">
        <w:rPr>
          <w:kern w:val="0"/>
        </w:rPr>
        <w:t>’</w:t>
      </w:r>
      <w:r>
        <w:rPr>
          <w:kern w:val="0"/>
        </w:rPr>
        <w:t xml:space="preserve">, which decreased the restrictions on Eastern hemisphere immigrants to the </w:t>
      </w:r>
      <w:r w:rsidR="00D5664A">
        <w:rPr>
          <w:kern w:val="0"/>
        </w:rPr>
        <w:t>USA</w:t>
      </w:r>
      <w:r w:rsidR="00A37C1D">
        <w:rPr>
          <w:kern w:val="0"/>
        </w:rPr>
        <w:t>. The</w:t>
      </w:r>
      <w:r>
        <w:rPr>
          <w:kern w:val="0"/>
        </w:rPr>
        <w:t xml:space="preserve"> analysis showed a significant immediate increase</w:t>
      </w:r>
      <w:r w:rsidR="00427468">
        <w:rPr>
          <w:kern w:val="0"/>
        </w:rPr>
        <w:t xml:space="preserve"> of </w:t>
      </w:r>
      <w:r>
        <w:rPr>
          <w:kern w:val="0"/>
        </w:rPr>
        <w:t>807.6 (95% confidence interval (CI) 480.9 to 1134.3) in the number</w:t>
      </w:r>
      <w:r w:rsidR="00427468">
        <w:rPr>
          <w:kern w:val="0"/>
        </w:rPr>
        <w:t xml:space="preserve"> of </w:t>
      </w:r>
      <w:r>
        <w:rPr>
          <w:kern w:val="0"/>
        </w:rPr>
        <w:t xml:space="preserve">nurses migrating to the </w:t>
      </w:r>
      <w:r w:rsidR="00D5664A">
        <w:rPr>
          <w:kern w:val="0"/>
        </w:rPr>
        <w:t>USA</w:t>
      </w:r>
      <w:r>
        <w:rPr>
          <w:kern w:val="0"/>
        </w:rPr>
        <w:t xml:space="preserve"> annually after the intervention. This represents a relative increase</w:t>
      </w:r>
      <w:r w:rsidR="00427468">
        <w:rPr>
          <w:kern w:val="0"/>
        </w:rPr>
        <w:t xml:space="preserve"> of </w:t>
      </w:r>
      <w:r>
        <w:rPr>
          <w:kern w:val="0"/>
        </w:rPr>
        <w:t>5000% over the underlying pre-intervention trend</w:t>
      </w:r>
      <w:r w:rsidR="00A37C1D">
        <w:rPr>
          <w:kern w:val="0"/>
        </w:rPr>
        <w:t>. The</w:t>
      </w:r>
      <w:r>
        <w:rPr>
          <w:kern w:val="0"/>
        </w:rPr>
        <w:t>re were no significant differences in the slopes</w:t>
      </w:r>
      <w:r w:rsidR="00427468">
        <w:rPr>
          <w:kern w:val="0"/>
        </w:rPr>
        <w:t xml:space="preserve"> of </w:t>
      </w:r>
      <w:r>
        <w:rPr>
          <w:kern w:val="0"/>
        </w:rPr>
        <w:t>the underlying trends for the number</w:t>
      </w:r>
      <w:r w:rsidR="00427468">
        <w:rPr>
          <w:kern w:val="0"/>
        </w:rPr>
        <w:t xml:space="preserve"> of </w:t>
      </w:r>
      <w:r>
        <w:rPr>
          <w:kern w:val="0"/>
        </w:rPr>
        <w:t>nurses migrating between the pre-and postintervention periods. Authors</w:t>
      </w:r>
      <w:r w:rsidR="0071223E">
        <w:rPr>
          <w:kern w:val="0"/>
        </w:rPr>
        <w:t>’</w:t>
      </w:r>
      <w:r>
        <w:rPr>
          <w:kern w:val="0"/>
        </w:rPr>
        <w:t xml:space="preserve"> conclusions There is an important gap in knowledge about the effectiveness</w:t>
      </w:r>
      <w:r w:rsidR="00427468">
        <w:rPr>
          <w:kern w:val="0"/>
        </w:rPr>
        <w:t xml:space="preserve"> of </w:t>
      </w:r>
      <w:r>
        <w:rPr>
          <w:kern w:val="0"/>
        </w:rPr>
        <w:t>policy interventions in either HICs or LMICs that could regulate positively themovement</w:t>
      </w:r>
      <w:r w:rsidR="00427468">
        <w:rPr>
          <w:kern w:val="0"/>
        </w:rPr>
        <w:t xml:space="preserve"> of </w:t>
      </w:r>
      <w:r>
        <w:rPr>
          <w:kern w:val="0"/>
        </w:rPr>
        <w:t>health professionals fromLMICs</w:t>
      </w:r>
      <w:r w:rsidR="00A37C1D">
        <w:rPr>
          <w:kern w:val="0"/>
        </w:rPr>
        <w:t>. The</w:t>
      </w:r>
      <w:r>
        <w:rPr>
          <w:kern w:val="0"/>
        </w:rPr>
        <w:t xml:space="preserve"> only evidence found was froman intervention in aHIC that increased the movement</w:t>
      </w:r>
      <w:r w:rsidR="00427468">
        <w:rPr>
          <w:kern w:val="0"/>
        </w:rPr>
        <w:t xml:space="preserve"> of </w:t>
      </w:r>
      <w:r>
        <w:rPr>
          <w:kern w:val="0"/>
        </w:rPr>
        <w:t>health professionals from a LMIC. New initiatives to improve records on the migration</w:t>
      </w:r>
      <w:r w:rsidR="00427468">
        <w:rPr>
          <w:kern w:val="0"/>
        </w:rPr>
        <w:t xml:space="preserve"> of </w:t>
      </w:r>
      <w:r>
        <w:rPr>
          <w:kern w:val="0"/>
        </w:rPr>
        <w:t>health professionals from LMICs should be implemented, as a prerequisite to conductingmore rigorous research in the field. This research should focus on whether the range</w:t>
      </w:r>
      <w:r w:rsidR="00427468">
        <w:rPr>
          <w:kern w:val="0"/>
        </w:rPr>
        <w:t xml:space="preserve"> of </w:t>
      </w:r>
      <w:r>
        <w:rPr>
          <w:kern w:val="0"/>
        </w:rPr>
        <w:t>interventions outlined in the literature could be effective in retaining health professionals in LMICs. Such interventions include financial rewards, career development</w:t>
      </w:r>
      <w:r w:rsidR="005853A9">
        <w:rPr>
          <w:kern w:val="0"/>
        </w:rPr>
        <w:t xml:space="preserve"> and </w:t>
      </w:r>
      <w:r>
        <w:rPr>
          <w:kern w:val="0"/>
        </w:rPr>
        <w:t>continuing education, improving hospital infrastructure, resource availability, better hospital management</w:t>
      </w:r>
      <w:r w:rsidR="005853A9">
        <w:rPr>
          <w:kern w:val="0"/>
        </w:rPr>
        <w:t xml:space="preserve"> and </w:t>
      </w:r>
      <w:r>
        <w:rPr>
          <w:kern w:val="0"/>
        </w:rPr>
        <w:t>improved recognition</w:t>
      </w:r>
      <w:r w:rsidR="00427468">
        <w:rPr>
          <w:kern w:val="0"/>
        </w:rPr>
        <w:t xml:space="preserve"> of </w:t>
      </w:r>
      <w:r>
        <w:rPr>
          <w:kern w:val="0"/>
        </w:rPr>
        <w:t>health professionals.</w:t>
      </w:r>
    </w:p>
    <w:p w:rsidR="00365DE4" w:rsidRDefault="00365DE4" w:rsidP="00365DE4">
      <w:pPr>
        <w:pStyle w:val="a3"/>
        <w:rPr>
          <w:kern w:val="0"/>
        </w:rPr>
      </w:pPr>
      <w:r>
        <w:rPr>
          <w:kern w:val="0"/>
        </w:rPr>
        <w:t>Keywords: Analysis, Author, Authors, Bias, Brain-Drain, Care, Career Development, Challenges, Citation, Cochrane, Continuing Education, Crisis, Dentists, Development, Differences, Education, Effectiveness, Embase, Health, Health Care, Hospital, Human, Impact, Intervention, Interventions, Knowledge, Literature, Low-</w:t>
      </w:r>
      <w:r w:rsidR="005853A9">
        <w:rPr>
          <w:kern w:val="0"/>
        </w:rPr>
        <w:t xml:space="preserve"> and </w:t>
      </w:r>
      <w:r>
        <w:rPr>
          <w:kern w:val="0"/>
        </w:rPr>
        <w:t xml:space="preserve">Middle-Income Countries, Management, </w:t>
      </w:r>
      <w:r w:rsidR="00D5664A">
        <w:rPr>
          <w:kern w:val="0"/>
        </w:rPr>
        <w:t>MEDLINE</w:t>
      </w:r>
      <w:r>
        <w:rPr>
          <w:kern w:val="0"/>
        </w:rPr>
        <w:t xml:space="preserve">, Migration, Modification, Movement, Nurses, Physicians, Policy, Practice, Recruitment, Research, Review, Risk, Science, Science Citation Index, Search Strategy, Selection, Strategy, Sub-Saharan Africa, Training, Trend, Trends, US, </w:t>
      </w:r>
      <w:r w:rsidR="00D5664A">
        <w:rPr>
          <w:kern w:val="0"/>
        </w:rPr>
        <w:t>USA</w:t>
      </w:r>
      <w:r>
        <w:rPr>
          <w:kern w:val="0"/>
        </w:rPr>
        <w:t>, Websites, Workers, Workforce</w:t>
      </w:r>
    </w:p>
    <w:p w:rsidR="00365DE4" w:rsidRDefault="00365DE4" w:rsidP="00365DE4">
      <w:pPr>
        <w:pStyle w:val="a3"/>
        <w:rPr>
          <w:kern w:val="0"/>
        </w:rPr>
      </w:pPr>
      <w:r>
        <w:rPr>
          <w:kern w:val="0"/>
        </w:rPr>
        <w:t>? Sauni, R., Uitti, J., Jauhiainen, M., Kreiss, K., Sigsgaard, T.</w:t>
      </w:r>
      <w:r w:rsidR="005853A9">
        <w:rPr>
          <w:kern w:val="0"/>
        </w:rPr>
        <w:t xml:space="preserve"> and </w:t>
      </w:r>
      <w:r>
        <w:rPr>
          <w:kern w:val="0"/>
        </w:rPr>
        <w:t>Verbeek, J.H. (2011), Remediating buildings damaged by dampness</w:t>
      </w:r>
      <w:r w:rsidR="005853A9">
        <w:rPr>
          <w:kern w:val="0"/>
        </w:rPr>
        <w:t xml:space="preserve"> and </w:t>
      </w:r>
      <w:r>
        <w:rPr>
          <w:kern w:val="0"/>
        </w:rPr>
        <w:t>mould for preventing or reducing respiratory tract symptoms, infections</w:t>
      </w:r>
      <w:r w:rsidR="005853A9">
        <w:rPr>
          <w:kern w:val="0"/>
        </w:rPr>
        <w:t xml:space="preserve"> and </w:t>
      </w:r>
      <w:r>
        <w:rPr>
          <w:kern w:val="0"/>
        </w:rPr>
        <w:t xml:space="preserve">asthma.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CD007897.</w:t>
      </w:r>
    </w:p>
    <w:p w:rsidR="00365DE4" w:rsidRDefault="00365DE4" w:rsidP="00365DE4">
      <w:pPr>
        <w:pStyle w:val="a3"/>
        <w:rPr>
          <w:kern w:val="2"/>
        </w:rPr>
      </w:pPr>
      <w:r>
        <w:t xml:space="preserve">Full Text: </w:t>
      </w:r>
      <w:hyperlink r:id="rId676" w:history="1">
        <w:r>
          <w:rPr>
            <w:rStyle w:val="a5"/>
          </w:rPr>
          <w:t>2011\Coc Dat Sys Rev2011, CD007897.pdf</w:t>
        </w:r>
      </w:hyperlink>
    </w:p>
    <w:p w:rsidR="00365DE4" w:rsidRDefault="00365DE4" w:rsidP="00365DE4">
      <w:pPr>
        <w:pStyle w:val="a3"/>
        <w:rPr>
          <w:kern w:val="0"/>
        </w:rPr>
      </w:pPr>
      <w:r>
        <w:rPr>
          <w:kern w:val="0"/>
        </w:rPr>
        <w:t>Abstract: Background Dampness</w:t>
      </w:r>
      <w:r w:rsidR="005853A9">
        <w:rPr>
          <w:kern w:val="0"/>
        </w:rPr>
        <w:t xml:space="preserve"> and </w:t>
      </w:r>
      <w:r>
        <w:rPr>
          <w:kern w:val="0"/>
        </w:rPr>
        <w:t>mould in buildings have been associated with adverse respiratory symptoms, asthma</w:t>
      </w:r>
      <w:r w:rsidR="005853A9">
        <w:rPr>
          <w:kern w:val="0"/>
        </w:rPr>
        <w:t xml:space="preserve"> and </w:t>
      </w:r>
      <w:r>
        <w:rPr>
          <w:kern w:val="0"/>
        </w:rPr>
        <w:t>respiratory infections</w:t>
      </w:r>
      <w:r w:rsidR="00427468">
        <w:rPr>
          <w:kern w:val="0"/>
        </w:rPr>
        <w:t xml:space="preserve"> of </w:t>
      </w:r>
      <w:r>
        <w:rPr>
          <w:kern w:val="0"/>
        </w:rPr>
        <w:t>inhabitants. Moisture damage is a very common problem in private houses, workplaces</w:t>
      </w:r>
      <w:r w:rsidR="005853A9">
        <w:rPr>
          <w:kern w:val="0"/>
        </w:rPr>
        <w:t xml:space="preserve"> and </w:t>
      </w:r>
      <w:r>
        <w:rPr>
          <w:kern w:val="0"/>
        </w:rPr>
        <w:t>public buildings such as schools. Objectives To determine the effectiveness</w:t>
      </w:r>
      <w:r w:rsidR="00427468">
        <w:rPr>
          <w:kern w:val="0"/>
        </w:rPr>
        <w:t xml:space="preserve"> of </w:t>
      </w:r>
      <w:r>
        <w:rPr>
          <w:kern w:val="0"/>
        </w:rPr>
        <w:lastRenderedPageBreak/>
        <w:t>remediating buildings damaged by dampness</w:t>
      </w:r>
      <w:r w:rsidR="005853A9">
        <w:rPr>
          <w:kern w:val="0"/>
        </w:rPr>
        <w:t xml:space="preserve"> and </w:t>
      </w:r>
      <w:r>
        <w:rPr>
          <w:kern w:val="0"/>
        </w:rPr>
        <w:t>mould in order to reduce or prevent respiratory tract symptoms, infections</w:t>
      </w:r>
      <w:r w:rsidR="005853A9">
        <w:rPr>
          <w:kern w:val="0"/>
        </w:rPr>
        <w:t xml:space="preserve"> and </w:t>
      </w:r>
      <w:r>
        <w:rPr>
          <w:kern w:val="0"/>
        </w:rPr>
        <w:t>symptoms</w:t>
      </w:r>
      <w:r w:rsidR="00427468">
        <w:rPr>
          <w:kern w:val="0"/>
        </w:rPr>
        <w:t xml:space="preserve"> of </w:t>
      </w:r>
      <w:r>
        <w:rPr>
          <w:kern w:val="0"/>
        </w:rPr>
        <w:t>asthma. Search strategy We searched the Cochrane Central Register</w:t>
      </w:r>
      <w:r w:rsidR="00427468">
        <w:rPr>
          <w:kern w:val="0"/>
        </w:rPr>
        <w:t xml:space="preserve"> of </w:t>
      </w:r>
      <w:r>
        <w:rPr>
          <w:kern w:val="0"/>
        </w:rPr>
        <w:t>Controlled Trials (CENTRAL) (T h e Cochrane Library 2011, Issue 2), which contains the Cochrane Acute Respiratory Infections Group</w:t>
      </w:r>
      <w:r w:rsidR="0071223E">
        <w:rPr>
          <w:kern w:val="0"/>
        </w:rPr>
        <w:t>’</w:t>
      </w:r>
      <w:r>
        <w:rPr>
          <w:kern w:val="0"/>
        </w:rPr>
        <w:t xml:space="preserve">s Specialised Register, </w:t>
      </w:r>
      <w:r w:rsidR="00D5664A">
        <w:rPr>
          <w:kern w:val="0"/>
        </w:rPr>
        <w:t>MEDLINE</w:t>
      </w:r>
      <w:r>
        <w:rPr>
          <w:kern w:val="0"/>
        </w:rPr>
        <w:t xml:space="preserve"> (1951 to June week 1, 2011), EMBASE (1974 to June 2011), CINAHL (1982 to June 2011), Science Citation Index (1973 to June 2011), Biosis Previews (1989 to June 2011), NIOSHTIC (1930 to November 2010)</w:t>
      </w:r>
      <w:r w:rsidR="005853A9">
        <w:rPr>
          <w:kern w:val="0"/>
        </w:rPr>
        <w:t xml:space="preserve"> and </w:t>
      </w:r>
      <w:r>
        <w:rPr>
          <w:kern w:val="0"/>
        </w:rPr>
        <w:t>CISDOC (1974 to November 2010). Selection criteria Randomised controlled trials (RCTs), cluster-RCTs (cRCTs), interrupted time series studies</w:t>
      </w:r>
      <w:r w:rsidR="005853A9">
        <w:rPr>
          <w:kern w:val="0"/>
        </w:rPr>
        <w:t xml:space="preserve"> and </w:t>
      </w:r>
      <w:r>
        <w:rPr>
          <w:kern w:val="0"/>
        </w:rPr>
        <w:t>controlled before-after (CBA) studies</w:t>
      </w:r>
      <w:r w:rsidR="00427468">
        <w:rPr>
          <w:kern w:val="0"/>
        </w:rPr>
        <w:t xml:space="preserve"> of </w:t>
      </w:r>
      <w:r>
        <w:rPr>
          <w:kern w:val="0"/>
        </w:rPr>
        <w:t>the effects</w:t>
      </w:r>
      <w:r w:rsidR="00427468">
        <w:rPr>
          <w:kern w:val="0"/>
        </w:rPr>
        <w:t xml:space="preserve"> of </w:t>
      </w:r>
      <w:r>
        <w:rPr>
          <w:kern w:val="0"/>
        </w:rPr>
        <w:t>remediating dampness</w:t>
      </w:r>
      <w:r w:rsidR="005853A9">
        <w:rPr>
          <w:kern w:val="0"/>
        </w:rPr>
        <w:t xml:space="preserve"> and </w:t>
      </w:r>
      <w:r>
        <w:rPr>
          <w:kern w:val="0"/>
        </w:rPr>
        <w:t>mould in a building on respiratory symptoms, infections</w:t>
      </w:r>
      <w:r w:rsidR="005853A9">
        <w:rPr>
          <w:kern w:val="0"/>
        </w:rPr>
        <w:t xml:space="preserve"> and </w:t>
      </w:r>
      <w:r>
        <w:rPr>
          <w:kern w:val="0"/>
        </w:rPr>
        <w:t>asthma.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the risk</w:t>
      </w:r>
      <w:r w:rsidR="00427468">
        <w:rPr>
          <w:kern w:val="0"/>
        </w:rPr>
        <w:t xml:space="preserve"> of </w:t>
      </w:r>
      <w:r>
        <w:rPr>
          <w:kern w:val="0"/>
        </w:rPr>
        <w:t>bias in the included studies. Main results We included eight studies (6538 participants); two RCTs (294 participants), one cRCT (4407 participants)</w:t>
      </w:r>
      <w:r w:rsidR="005853A9">
        <w:rPr>
          <w:kern w:val="0"/>
        </w:rPr>
        <w:t xml:space="preserve"> and </w:t>
      </w:r>
      <w:r>
        <w:rPr>
          <w:kern w:val="0"/>
        </w:rPr>
        <w:t>five CBA studies (1837 participants)</w:t>
      </w:r>
      <w:r w:rsidR="00A37C1D">
        <w:rPr>
          <w:kern w:val="0"/>
        </w:rPr>
        <w:t>. The</w:t>
      </w:r>
      <w:r>
        <w:rPr>
          <w:kern w:val="0"/>
        </w:rPr>
        <w:t xml:space="preserve"> interventions varied from thorough renovation to cleaning only. We found moderate-quality evidence in adults that repairing houses decreased asthma-related symptoms (among others, wheezing (odds ratio (OR) 0.64; 95% confidence interval (CI) 0.55 to 0.75)</w:t>
      </w:r>
      <w:r w:rsidR="005853A9">
        <w:rPr>
          <w:kern w:val="0"/>
        </w:rPr>
        <w:t xml:space="preserve"> and </w:t>
      </w:r>
      <w:r>
        <w:rPr>
          <w:kern w:val="0"/>
        </w:rPr>
        <w:t>respiratory infections (among others, rhinitis (OR 0.57; 95% CI 0.49 to 0.66)). For children, we found moderate-quality evidence that the number</w:t>
      </w:r>
      <w:r w:rsidR="00427468">
        <w:rPr>
          <w:kern w:val="0"/>
        </w:rPr>
        <w:t xml:space="preserve"> of </w:t>
      </w:r>
      <w:r>
        <w:rPr>
          <w:kern w:val="0"/>
        </w:rPr>
        <w:t>acute care visits (among others mean difference (MD) -0.45; 95% CI -0.76 to -0.14)) decreased in the group receiving thorough remediation. One CBA study showed very low-quality evidence that after repairing a mould-damaged office building, asthma-related</w:t>
      </w:r>
      <w:r w:rsidR="005853A9">
        <w:rPr>
          <w:kern w:val="0"/>
        </w:rPr>
        <w:t xml:space="preserve"> and </w:t>
      </w:r>
      <w:r>
        <w:rPr>
          <w:kern w:val="0"/>
        </w:rPr>
        <w:t>other respiratory symptoms decreased. For children</w:t>
      </w:r>
      <w:r w:rsidR="005853A9">
        <w:rPr>
          <w:kern w:val="0"/>
        </w:rPr>
        <w:t xml:space="preserve"> and </w:t>
      </w:r>
      <w:r>
        <w:rPr>
          <w:kern w:val="0"/>
        </w:rPr>
        <w:t>staff in schools, there was very low-quality evidence that asthma-related</w:t>
      </w:r>
      <w:r w:rsidR="005853A9">
        <w:rPr>
          <w:kern w:val="0"/>
        </w:rPr>
        <w:t xml:space="preserve"> and </w:t>
      </w:r>
      <w:r>
        <w:rPr>
          <w:kern w:val="0"/>
        </w:rPr>
        <w:t>other respiratory symptoms in mould-damaged schools were similar to those</w:t>
      </w:r>
      <w:r w:rsidR="00427468">
        <w:rPr>
          <w:kern w:val="0"/>
        </w:rPr>
        <w:t xml:space="preserve"> of </w:t>
      </w:r>
      <w:r>
        <w:rPr>
          <w:kern w:val="0"/>
        </w:rPr>
        <w:t>children</w:t>
      </w:r>
      <w:r w:rsidR="005853A9">
        <w:rPr>
          <w:kern w:val="0"/>
        </w:rPr>
        <w:t xml:space="preserve"> and </w:t>
      </w:r>
      <w:r>
        <w:rPr>
          <w:kern w:val="0"/>
        </w:rPr>
        <w:t>staff in non-damaged schools, both before</w:t>
      </w:r>
      <w:r w:rsidR="005853A9">
        <w:rPr>
          <w:kern w:val="0"/>
        </w:rPr>
        <w:t xml:space="preserve"> and </w:t>
      </w:r>
      <w:r>
        <w:rPr>
          <w:kern w:val="0"/>
        </w:rPr>
        <w:t>after intervention. For children, respiratory infections might have decreased after the intervention. Authors</w:t>
      </w:r>
      <w:r w:rsidR="0071223E">
        <w:rPr>
          <w:kern w:val="0"/>
        </w:rPr>
        <w:t>’</w:t>
      </w:r>
      <w:r>
        <w:rPr>
          <w:kern w:val="0"/>
        </w:rPr>
        <w:t xml:space="preserve"> conclusions We found moderate to very low-quality evidence that repairing mould-damaged houses</w:t>
      </w:r>
      <w:r w:rsidR="005853A9">
        <w:rPr>
          <w:kern w:val="0"/>
        </w:rPr>
        <w:t xml:space="preserve"> and </w:t>
      </w:r>
      <w:r>
        <w:rPr>
          <w:kern w:val="0"/>
        </w:rPr>
        <w:t>offices decreases asthma-related symptoms</w:t>
      </w:r>
      <w:r w:rsidR="005853A9">
        <w:rPr>
          <w:kern w:val="0"/>
        </w:rPr>
        <w:t xml:space="preserve"> and </w:t>
      </w:r>
      <w:r>
        <w:rPr>
          <w:kern w:val="0"/>
        </w:rPr>
        <w:t>respiratory infections compared to no intervention in adults</w:t>
      </w:r>
      <w:r w:rsidR="00A37C1D">
        <w:rPr>
          <w:kern w:val="0"/>
        </w:rPr>
        <w:t>. The</w:t>
      </w:r>
      <w:r>
        <w:rPr>
          <w:kern w:val="0"/>
        </w:rPr>
        <w:t>re is very low-quality evidence that although repairing schools did not significantly change respiratory symptoms in staff or children, pupils</w:t>
      </w:r>
      <w:r w:rsidR="0071223E">
        <w:rPr>
          <w:kern w:val="0"/>
        </w:rPr>
        <w:t>’</w:t>
      </w:r>
      <w:r>
        <w:rPr>
          <w:kern w:val="0"/>
        </w:rPr>
        <w:t xml:space="preserve"> visits to physicians due to a common cold were less frequent after remediation</w:t>
      </w:r>
      <w:r w:rsidR="00427468">
        <w:rPr>
          <w:kern w:val="0"/>
        </w:rPr>
        <w:t xml:space="preserve"> of </w:t>
      </w:r>
      <w:r>
        <w:rPr>
          <w:kern w:val="0"/>
        </w:rPr>
        <w:t>the school. Better research, preferably with a cRCT design</w:t>
      </w:r>
      <w:r w:rsidR="005853A9">
        <w:rPr>
          <w:kern w:val="0"/>
        </w:rPr>
        <w:t xml:space="preserve"> and </w:t>
      </w:r>
      <w:r>
        <w:rPr>
          <w:kern w:val="0"/>
        </w:rPr>
        <w:t>with more validated outcome measures, is needed.</w:t>
      </w:r>
    </w:p>
    <w:p w:rsidR="00365DE4" w:rsidRDefault="00365DE4" w:rsidP="00365DE4">
      <w:pPr>
        <w:pStyle w:val="a3"/>
        <w:rPr>
          <w:kern w:val="0"/>
        </w:rPr>
      </w:pPr>
      <w:r>
        <w:rPr>
          <w:kern w:val="0"/>
        </w:rPr>
        <w:t xml:space="preserve">Keywords: Acute, Adults, Analysis, Associations, Asthma, Authors, Bias, Care, Children, Citation, Cochrane, Design, Effectiveness, Embase, Feasibility, Health, Home Remediation, Intervention, Interventions, </w:t>
      </w:r>
      <w:r w:rsidR="00D5664A">
        <w:rPr>
          <w:kern w:val="0"/>
        </w:rPr>
        <w:t>MEDLINE</w:t>
      </w:r>
      <w:r>
        <w:rPr>
          <w:kern w:val="0"/>
        </w:rPr>
        <w:t xml:space="preserve">, Moisture Problems, Outcome, Physicians, Quality, Ratio, Remediation, Renovation, Research, </w:t>
      </w:r>
      <w:r>
        <w:rPr>
          <w:kern w:val="0"/>
        </w:rPr>
        <w:lastRenderedPageBreak/>
        <w:t>Respiratory, Respiratory Infections, Rhinitis, Risk, School, Schools, Science, Science Citation Index, Search Strategy, Selection, Strategy, Symptoms, Tract</w:t>
      </w:r>
    </w:p>
    <w:p w:rsidR="00365DE4" w:rsidRDefault="00365DE4" w:rsidP="00365DE4">
      <w:pPr>
        <w:pStyle w:val="a3"/>
        <w:rPr>
          <w:kern w:val="0"/>
        </w:rPr>
      </w:pPr>
      <w:r>
        <w:rPr>
          <w:kern w:val="0"/>
        </w:rPr>
        <w:t>? Guo, J., Zhou, M.K., Yang, M., Zhu, C.R.</w:t>
      </w:r>
      <w:r w:rsidR="005853A9">
        <w:rPr>
          <w:kern w:val="0"/>
        </w:rPr>
        <w:t xml:space="preserve"> and </w:t>
      </w:r>
      <w:r>
        <w:rPr>
          <w:kern w:val="0"/>
        </w:rPr>
        <w:t>He, L. (2011), Repetitive transcranial magnetic stimulation for the treatment</w:t>
      </w:r>
      <w:r w:rsidR="00427468">
        <w:rPr>
          <w:kern w:val="0"/>
        </w:rPr>
        <w:t xml:space="preserve"> of </w:t>
      </w:r>
      <w:r>
        <w:rPr>
          <w:kern w:val="0"/>
        </w:rPr>
        <w:t xml:space="preserve">amyotrophic lateral sclerosis or motor neuron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CD008554.</w:t>
      </w:r>
    </w:p>
    <w:p w:rsidR="00365DE4" w:rsidRDefault="00365DE4" w:rsidP="00365DE4">
      <w:pPr>
        <w:pStyle w:val="a3"/>
        <w:rPr>
          <w:kern w:val="2"/>
        </w:rPr>
      </w:pPr>
      <w:r>
        <w:t xml:space="preserve">Full Text: </w:t>
      </w:r>
      <w:hyperlink r:id="rId677" w:history="1">
        <w:r>
          <w:rPr>
            <w:rStyle w:val="a5"/>
          </w:rPr>
          <w:t>2011\Coc Dat Sys Rev2011, CD008554.pdf</w:t>
        </w:r>
      </w:hyperlink>
    </w:p>
    <w:p w:rsidR="00365DE4" w:rsidRDefault="00365DE4" w:rsidP="00365DE4">
      <w:pPr>
        <w:pStyle w:val="a3"/>
        <w:rPr>
          <w:kern w:val="0"/>
        </w:rPr>
      </w:pPr>
      <w:r>
        <w:rPr>
          <w:kern w:val="0"/>
        </w:rPr>
        <w:t>Abstract: Background Amyotrophic lateral sclerosis (ALS), also known as motor neuron disease (MND), is a progressive neurodegenerative disease without effective therapies. Several studies have suggested that repetitive transcranial magnetic stimulation (rTMS) may have positive benefit in ALS. However, the efficacy</w:t>
      </w:r>
      <w:r w:rsidR="005853A9">
        <w:rPr>
          <w:kern w:val="0"/>
        </w:rPr>
        <w:t xml:space="preserve"> and </w:t>
      </w:r>
      <w:r>
        <w:rPr>
          <w:kern w:val="0"/>
        </w:rPr>
        <w:t>safety</w:t>
      </w:r>
      <w:r w:rsidR="00427468">
        <w:rPr>
          <w:kern w:val="0"/>
        </w:rPr>
        <w:t xml:space="preserve"> of </w:t>
      </w:r>
      <w:r>
        <w:rPr>
          <w:kern w:val="0"/>
        </w:rPr>
        <w:t>this therapy remain uncertain. Objectives We aimed to determine the clinical efficacy</w:t>
      </w:r>
      <w:r w:rsidR="005853A9">
        <w:rPr>
          <w:kern w:val="0"/>
        </w:rPr>
        <w:t xml:space="preserve"> and </w:t>
      </w:r>
      <w:r>
        <w:rPr>
          <w:kern w:val="0"/>
        </w:rPr>
        <w:t>safety</w:t>
      </w:r>
      <w:r w:rsidR="00427468">
        <w:rPr>
          <w:kern w:val="0"/>
        </w:rPr>
        <w:t xml:space="preserve"> of </w:t>
      </w:r>
      <w:r>
        <w:rPr>
          <w:kern w:val="0"/>
        </w:rPr>
        <w:t>rTMS for treating ALS. Search strategy We searched the Cochrane Neuromuscular Disease Group Specialized Register (July 2010), the Cochrane Central Register</w:t>
      </w:r>
      <w:r w:rsidR="00427468">
        <w:rPr>
          <w:kern w:val="0"/>
        </w:rPr>
        <w:t xml:space="preserve"> of </w:t>
      </w:r>
      <w:r>
        <w:rPr>
          <w:kern w:val="0"/>
        </w:rPr>
        <w:t xml:space="preserve">Controlled Trials (The Cochrane Library, Issue 2, 2010), </w:t>
      </w:r>
      <w:r w:rsidR="00D5664A">
        <w:rPr>
          <w:kern w:val="0"/>
        </w:rPr>
        <w:t>MEDLINE</w:t>
      </w:r>
      <w:r>
        <w:rPr>
          <w:kern w:val="0"/>
        </w:rPr>
        <w:t xml:space="preserve"> (1966 to July 2010), EMBASE (1980 to July 2010), CINAHL (1937 to July 2010), Science Citation Index Expanded (January 1945 to June 2010), AMED (January 1985 to July 2010)</w:t>
      </w:r>
      <w:r w:rsidR="005853A9">
        <w:rPr>
          <w:kern w:val="0"/>
        </w:rPr>
        <w:t xml:space="preserve"> and </w:t>
      </w:r>
      <w:r>
        <w:rPr>
          <w:kern w:val="0"/>
        </w:rPr>
        <w:t>the Chinese Biomedical Database (1979 to September 2010). We also searched for ongoing studies on clinical trials. gov (September 2010). Selection criteria Randomised</w:t>
      </w:r>
      <w:r w:rsidR="005853A9">
        <w:rPr>
          <w:kern w:val="0"/>
        </w:rPr>
        <w:t xml:space="preserve"> and </w:t>
      </w:r>
      <w:r>
        <w:rPr>
          <w:kern w:val="0"/>
        </w:rPr>
        <w:t>quasi-randomised controlled trials assessing the therapeutic efficacy</w:t>
      </w:r>
      <w:r w:rsidR="005853A9">
        <w:rPr>
          <w:kern w:val="0"/>
        </w:rPr>
        <w:t xml:space="preserve"> and </w:t>
      </w:r>
      <w:r>
        <w:rPr>
          <w:kern w:val="0"/>
        </w:rPr>
        <w:t>safety</w:t>
      </w:r>
      <w:r w:rsidR="00427468">
        <w:rPr>
          <w:kern w:val="0"/>
        </w:rPr>
        <w:t xml:space="preserve"> of </w:t>
      </w:r>
      <w:r>
        <w:rPr>
          <w:kern w:val="0"/>
        </w:rPr>
        <w:t>rTMS for patients with a clinical diagnosis</w:t>
      </w:r>
      <w:r w:rsidR="00427468">
        <w:rPr>
          <w:kern w:val="0"/>
        </w:rPr>
        <w:t xml:space="preserve"> of </w:t>
      </w:r>
      <w:r>
        <w:rPr>
          <w:kern w:val="0"/>
        </w:rPr>
        <w:t>ALS. Comparisons eligible for inclusion were: 1. rTMS versus no intervention; 2. rTMS versus sham rTMS; 3. rTMS versus physiotherapy; 4. rTMS versus medications; 5. rTMS + other therapies or drugs versus sham rTMS + the same therapies or drugs; 6. different methods</w:t>
      </w:r>
      <w:r w:rsidR="00427468">
        <w:rPr>
          <w:kern w:val="0"/>
        </w:rPr>
        <w:t xml:space="preserve"> of </w:t>
      </w:r>
      <w:r>
        <w:rPr>
          <w:kern w:val="0"/>
        </w:rPr>
        <w:t>application</w:t>
      </w:r>
      <w:r w:rsidR="00427468">
        <w:rPr>
          <w:kern w:val="0"/>
        </w:rPr>
        <w:t xml:space="preserve"> of </w:t>
      </w:r>
      <w:r>
        <w:rPr>
          <w:kern w:val="0"/>
        </w:rPr>
        <w:t>rTMS such as high-frequency (&gt; 1Hz) compared to low-frequency (&lt;= 1Hz) rTMS. Data collection</w:t>
      </w:r>
      <w:r w:rsidR="005853A9">
        <w:rPr>
          <w:kern w:val="0"/>
        </w:rPr>
        <w:t xml:space="preserve"> and </w:t>
      </w:r>
      <w:r>
        <w:rPr>
          <w:kern w:val="0"/>
        </w:rPr>
        <w:t>analysis Two authors independently selected papers, assessed risk</w:t>
      </w:r>
      <w:r w:rsidR="00427468">
        <w:rPr>
          <w:kern w:val="0"/>
        </w:rPr>
        <w:t xml:space="preserve"> of </w:t>
      </w:r>
      <w:r>
        <w:rPr>
          <w:kern w:val="0"/>
        </w:rPr>
        <w:t>bias</w:t>
      </w:r>
      <w:r w:rsidR="005853A9">
        <w:rPr>
          <w:kern w:val="0"/>
        </w:rPr>
        <w:t xml:space="preserve"> and </w:t>
      </w:r>
      <w:r>
        <w:rPr>
          <w:kern w:val="0"/>
        </w:rPr>
        <w:t>extracted data. We resolved disagreements through discussion. We contacted study authors for additional information. Main results Three randomised, placebo-controlled trials with a total</w:t>
      </w:r>
      <w:r w:rsidR="00427468">
        <w:rPr>
          <w:kern w:val="0"/>
        </w:rPr>
        <w:t xml:space="preserve"> of </w:t>
      </w:r>
      <w:r>
        <w:rPr>
          <w:kern w:val="0"/>
        </w:rPr>
        <w:t>50 participants were included in the review. All the trials were</w:t>
      </w:r>
      <w:r w:rsidR="00427468">
        <w:rPr>
          <w:kern w:val="0"/>
        </w:rPr>
        <w:t xml:space="preserve"> of </w:t>
      </w:r>
      <w:r>
        <w:rPr>
          <w:kern w:val="0"/>
        </w:rPr>
        <w:t>poor methodological quality</w:t>
      </w:r>
      <w:r w:rsidR="005853A9">
        <w:rPr>
          <w:kern w:val="0"/>
        </w:rPr>
        <w:t xml:space="preserve"> and </w:t>
      </w:r>
      <w:r>
        <w:rPr>
          <w:kern w:val="0"/>
        </w:rPr>
        <w:t>were insufficiently homogeneous to allow the pooling</w:t>
      </w:r>
      <w:r w:rsidR="00427468">
        <w:rPr>
          <w:kern w:val="0"/>
        </w:rPr>
        <w:t xml:space="preserve"> of </w:t>
      </w:r>
      <w:r>
        <w:rPr>
          <w:kern w:val="0"/>
        </w:rPr>
        <w:t>results. Moreover, the high rate</w:t>
      </w:r>
      <w:r w:rsidR="00427468">
        <w:rPr>
          <w:kern w:val="0"/>
        </w:rPr>
        <w:t xml:space="preserve"> of </w:t>
      </w:r>
      <w:r>
        <w:rPr>
          <w:kern w:val="0"/>
        </w:rPr>
        <w:t>attrition further increased the risk</w:t>
      </w:r>
      <w:r w:rsidR="00427468">
        <w:rPr>
          <w:kern w:val="0"/>
        </w:rPr>
        <w:t xml:space="preserve"> of </w:t>
      </w:r>
      <w:r>
        <w:rPr>
          <w:kern w:val="0"/>
        </w:rPr>
        <w:t>bias. None</w:t>
      </w:r>
      <w:r w:rsidR="00427468">
        <w:rPr>
          <w:kern w:val="0"/>
        </w:rPr>
        <w:t xml:space="preserve"> of </w:t>
      </w:r>
      <w:r>
        <w:rPr>
          <w:kern w:val="0"/>
        </w:rPr>
        <w:t>the trials provided detailed data on the ALS Functional Rating Scale-Revised (ALSFRS-R) scores at six months follow-up which was pre-assigned as our primary outcome. One trial contained data in a suitable form for quantitative analysis</w:t>
      </w:r>
      <w:r w:rsidR="00427468">
        <w:rPr>
          <w:kern w:val="0"/>
        </w:rPr>
        <w:t xml:space="preserve"> of </w:t>
      </w:r>
      <w:r>
        <w:rPr>
          <w:kern w:val="0"/>
        </w:rPr>
        <w:t>our secondary outcomes. No difference was seen between rTMS</w:t>
      </w:r>
      <w:r w:rsidR="005853A9">
        <w:rPr>
          <w:kern w:val="0"/>
        </w:rPr>
        <w:t xml:space="preserve"> and </w:t>
      </w:r>
      <w:r>
        <w:rPr>
          <w:kern w:val="0"/>
        </w:rPr>
        <w:t>sham rTMS using the ALSFRS-R scores</w:t>
      </w:r>
      <w:r w:rsidR="005853A9">
        <w:rPr>
          <w:kern w:val="0"/>
        </w:rPr>
        <w:t xml:space="preserve"> and </w:t>
      </w:r>
      <w:r>
        <w:rPr>
          <w:kern w:val="0"/>
        </w:rPr>
        <w:t>manual muscle testing (MMT) scores at 12 months follow-up in this trial. Additionally, none</w:t>
      </w:r>
      <w:r w:rsidR="00427468">
        <w:rPr>
          <w:kern w:val="0"/>
        </w:rPr>
        <w:t xml:space="preserve"> of </w:t>
      </w:r>
      <w:r>
        <w:rPr>
          <w:kern w:val="0"/>
        </w:rPr>
        <w:t>the trials reported any adverse events associated with the use</w:t>
      </w:r>
      <w:r w:rsidR="00427468">
        <w:rPr>
          <w:kern w:val="0"/>
        </w:rPr>
        <w:t xml:space="preserve"> of </w:t>
      </w:r>
      <w:r>
        <w:rPr>
          <w:kern w:val="0"/>
        </w:rPr>
        <w:t>rTMS. However, in view</w:t>
      </w:r>
      <w:r w:rsidR="00427468">
        <w:rPr>
          <w:kern w:val="0"/>
        </w:rPr>
        <w:t xml:space="preserve"> </w:t>
      </w:r>
      <w:r w:rsidR="00427468">
        <w:rPr>
          <w:kern w:val="0"/>
        </w:rPr>
        <w:lastRenderedPageBreak/>
        <w:t xml:space="preserve">of </w:t>
      </w:r>
      <w:r>
        <w:rPr>
          <w:kern w:val="0"/>
        </w:rPr>
        <w:t>the small sample size, the methodological limitations</w:t>
      </w:r>
      <w:r w:rsidR="005853A9">
        <w:rPr>
          <w:kern w:val="0"/>
        </w:rPr>
        <w:t xml:space="preserve"> and </w:t>
      </w:r>
      <w:r>
        <w:rPr>
          <w:kern w:val="0"/>
        </w:rPr>
        <w:t>incomplete outcome data, treatment with rTMS cannot be judged as completely safe. Authors</w:t>
      </w:r>
      <w:r w:rsidR="0071223E">
        <w:rPr>
          <w:kern w:val="0"/>
        </w:rPr>
        <w:t>’</w:t>
      </w:r>
      <w:r>
        <w:rPr>
          <w:kern w:val="0"/>
        </w:rPr>
        <w:t xml:space="preserve"> conclusions There is currently insufficient evidence to draw conclusions about the efficacy</w:t>
      </w:r>
      <w:r w:rsidR="005853A9">
        <w:rPr>
          <w:kern w:val="0"/>
        </w:rPr>
        <w:t xml:space="preserve"> and </w:t>
      </w:r>
      <w:r>
        <w:rPr>
          <w:kern w:val="0"/>
        </w:rPr>
        <w:t>safety</w:t>
      </w:r>
      <w:r w:rsidR="00427468">
        <w:rPr>
          <w:kern w:val="0"/>
        </w:rPr>
        <w:t xml:space="preserve"> of </w:t>
      </w:r>
      <w:r>
        <w:rPr>
          <w:kern w:val="0"/>
        </w:rPr>
        <w:t>rTMS in the treatment</w:t>
      </w:r>
      <w:r w:rsidR="00427468">
        <w:rPr>
          <w:kern w:val="0"/>
        </w:rPr>
        <w:t xml:space="preserve"> of </w:t>
      </w:r>
      <w:r>
        <w:rPr>
          <w:kern w:val="0"/>
        </w:rPr>
        <w:t>ALS. Further studies may be helpful if their potential benefit is weighed against the impact</w:t>
      </w:r>
      <w:r w:rsidR="00427468">
        <w:rPr>
          <w:kern w:val="0"/>
        </w:rPr>
        <w:t xml:space="preserve"> of </w:t>
      </w:r>
      <w:r>
        <w:rPr>
          <w:kern w:val="0"/>
        </w:rPr>
        <w:t>participation in a randomised controlled trial on people with ALS.</w:t>
      </w:r>
    </w:p>
    <w:p w:rsidR="00365DE4" w:rsidRDefault="00365DE4" w:rsidP="00365DE4">
      <w:pPr>
        <w:pStyle w:val="a3"/>
        <w:rPr>
          <w:kern w:val="0"/>
        </w:rPr>
      </w:pPr>
      <w:r>
        <w:rPr>
          <w:kern w:val="0"/>
        </w:rPr>
        <w:t xml:space="preserve">Keywords: Adverse Events, Al, Als, Analysis, Authors, Bias, Citation, Clinical Trials, Cochrane, Cortex Excitability, Criteria, Database, Depression, Diagnosis, Disease, Double-Blind, Drugs, Efficacy, Embase, Epidemiology, Fatigue, Follow-Up, Frequency, Impact, Information, Intervention, </w:t>
      </w:r>
      <w:r w:rsidR="00D5664A">
        <w:rPr>
          <w:kern w:val="0"/>
        </w:rPr>
        <w:t>MEDLINE</w:t>
      </w:r>
      <w:r>
        <w:rPr>
          <w:kern w:val="0"/>
        </w:rPr>
        <w:t>, Outcome, Outcomes, Papers, Patients, Primary, Quantitative, Randomised Controlled Trial, Review, Risk, Safety, Science, Science Citation Index, Search Strategy, Selection, Strategy, Therapy, Theta-Burst Stimulation, Transcranial Magnetic Stimulation, Treatment</w:t>
      </w:r>
    </w:p>
    <w:p w:rsidR="00365DE4" w:rsidRDefault="00365DE4" w:rsidP="00365DE4">
      <w:pPr>
        <w:pStyle w:val="a3"/>
        <w:rPr>
          <w:kern w:val="0"/>
        </w:rPr>
      </w:pPr>
      <w:r>
        <w:rPr>
          <w:kern w:val="0"/>
        </w:rPr>
        <w:t>? De-Regil, L.M., Suchdev, P.S., Vist, G.E., Walleser, S.</w:t>
      </w:r>
      <w:r w:rsidR="005853A9">
        <w:rPr>
          <w:kern w:val="0"/>
        </w:rPr>
        <w:t xml:space="preserve"> and </w:t>
      </w:r>
      <w:r>
        <w:rPr>
          <w:kern w:val="0"/>
        </w:rPr>
        <w:t>Pena-Rosas, J.P. (2011), Home fortification</w:t>
      </w:r>
      <w:r w:rsidR="00427468">
        <w:rPr>
          <w:kern w:val="0"/>
        </w:rPr>
        <w:t xml:space="preserve"> of </w:t>
      </w:r>
      <w:r>
        <w:rPr>
          <w:kern w:val="0"/>
        </w:rPr>
        <w:t>foods with multiple micronutrient powders for health</w:t>
      </w:r>
      <w:r w:rsidR="005853A9">
        <w:rPr>
          <w:kern w:val="0"/>
        </w:rPr>
        <w:t xml:space="preserve"> and </w:t>
      </w:r>
      <w:r>
        <w:rPr>
          <w:kern w:val="0"/>
        </w:rPr>
        <w:t>nutrition in children under two years</w:t>
      </w:r>
      <w:r w:rsidR="00427468">
        <w:rPr>
          <w:kern w:val="0"/>
        </w:rPr>
        <w:t xml:space="preserve"> of </w:t>
      </w:r>
      <w:r>
        <w:rPr>
          <w:kern w:val="0"/>
        </w:rPr>
        <w:t xml:space="preserve">age.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CD008959.</w:t>
      </w:r>
    </w:p>
    <w:p w:rsidR="00365DE4" w:rsidRDefault="00365DE4" w:rsidP="00365DE4">
      <w:pPr>
        <w:pStyle w:val="a3"/>
        <w:rPr>
          <w:kern w:val="2"/>
        </w:rPr>
      </w:pPr>
      <w:r>
        <w:t xml:space="preserve">Full Text: </w:t>
      </w:r>
      <w:hyperlink r:id="rId678" w:history="1">
        <w:r>
          <w:rPr>
            <w:rStyle w:val="a5"/>
          </w:rPr>
          <w:t>2011\Coc Dat Sys Rev2011, CD008959.pdf</w:t>
        </w:r>
      </w:hyperlink>
    </w:p>
    <w:p w:rsidR="00365DE4" w:rsidRDefault="00365DE4" w:rsidP="00365DE4">
      <w:pPr>
        <w:pStyle w:val="a3"/>
        <w:rPr>
          <w:kern w:val="0"/>
        </w:rPr>
      </w:pPr>
      <w:r>
        <w:rPr>
          <w:kern w:val="0"/>
        </w:rPr>
        <w:t>Abstract: Background Vitamin</w:t>
      </w:r>
      <w:r w:rsidR="005853A9">
        <w:rPr>
          <w:kern w:val="0"/>
        </w:rPr>
        <w:t xml:space="preserve"> and </w:t>
      </w:r>
      <w:r>
        <w:rPr>
          <w:kern w:val="0"/>
        </w:rPr>
        <w:t>mineral deficiencies, particularly those</w:t>
      </w:r>
      <w:r w:rsidR="00427468">
        <w:rPr>
          <w:kern w:val="0"/>
        </w:rPr>
        <w:t xml:space="preserve"> of </w:t>
      </w:r>
      <w:r>
        <w:rPr>
          <w:kern w:val="0"/>
        </w:rPr>
        <w:t>iron, vitamin A</w:t>
      </w:r>
      <w:r w:rsidR="005853A9">
        <w:rPr>
          <w:kern w:val="0"/>
        </w:rPr>
        <w:t xml:space="preserve"> and </w:t>
      </w:r>
      <w:r>
        <w:rPr>
          <w:kern w:val="0"/>
        </w:rPr>
        <w:t>zinc, affect more than two billion people worldwide. Young children are highly vulnerable because</w:t>
      </w:r>
      <w:r w:rsidR="00427468">
        <w:rPr>
          <w:kern w:val="0"/>
        </w:rPr>
        <w:t xml:space="preserve"> of </w:t>
      </w:r>
      <w:r>
        <w:rPr>
          <w:kern w:val="0"/>
        </w:rPr>
        <w:t>rapid growth</w:t>
      </w:r>
      <w:r w:rsidR="005853A9">
        <w:rPr>
          <w:kern w:val="0"/>
        </w:rPr>
        <w:t xml:space="preserve"> and </w:t>
      </w:r>
      <w:r>
        <w:rPr>
          <w:kern w:val="0"/>
        </w:rPr>
        <w:t>inadequate dietary practices. Micronutrient powders (MNP) are single-dose packets containing multiple vitamins</w:t>
      </w:r>
      <w:r w:rsidR="005853A9">
        <w:rPr>
          <w:kern w:val="0"/>
        </w:rPr>
        <w:t xml:space="preserve"> and </w:t>
      </w:r>
      <w:r>
        <w:rPr>
          <w:kern w:val="0"/>
        </w:rPr>
        <w:t>minerals in powder form that can be sprinkled onto any semi-solid food</w:t>
      </w:r>
      <w:r w:rsidR="00A37C1D">
        <w:rPr>
          <w:kern w:val="0"/>
        </w:rPr>
        <w:t>. The</w:t>
      </w:r>
      <w:r>
        <w:rPr>
          <w:kern w:val="0"/>
        </w:rPr>
        <w:t xml:space="preserve"> use</w:t>
      </w:r>
      <w:r w:rsidR="00427468">
        <w:rPr>
          <w:kern w:val="0"/>
        </w:rPr>
        <w:t xml:space="preserve"> of </w:t>
      </w:r>
      <w:r>
        <w:rPr>
          <w:kern w:val="0"/>
        </w:rPr>
        <w:t>MNP for home or point-of-use fortification</w:t>
      </w:r>
      <w:r w:rsidR="00427468">
        <w:rPr>
          <w:kern w:val="0"/>
        </w:rPr>
        <w:t xml:space="preserve"> of </w:t>
      </w:r>
      <w:r>
        <w:rPr>
          <w:kern w:val="0"/>
        </w:rPr>
        <w:t>complementary foods has been proposed as an intervention for improving micronutrient intake in children under two years</w:t>
      </w:r>
      <w:r w:rsidR="00427468">
        <w:rPr>
          <w:kern w:val="0"/>
        </w:rPr>
        <w:t xml:space="preserve"> of </w:t>
      </w:r>
      <w:r>
        <w:rPr>
          <w:kern w:val="0"/>
        </w:rPr>
        <w:t>age. Objectives To assess the effects</w:t>
      </w:r>
      <w:r w:rsidR="005853A9">
        <w:rPr>
          <w:kern w:val="0"/>
        </w:rPr>
        <w:t xml:space="preserve"> and </w:t>
      </w:r>
      <w:r>
        <w:rPr>
          <w:kern w:val="0"/>
        </w:rPr>
        <w:t>safety</w:t>
      </w:r>
      <w:r w:rsidR="00427468">
        <w:rPr>
          <w:kern w:val="0"/>
        </w:rPr>
        <w:t xml:space="preserve"> of </w:t>
      </w:r>
      <w:r>
        <w:rPr>
          <w:kern w:val="0"/>
        </w:rPr>
        <w:t>home (point-of-use) fortification</w:t>
      </w:r>
      <w:r w:rsidR="00427468">
        <w:rPr>
          <w:kern w:val="0"/>
        </w:rPr>
        <w:t xml:space="preserve"> of </w:t>
      </w:r>
      <w:r>
        <w:rPr>
          <w:kern w:val="0"/>
        </w:rPr>
        <w:t>foods with multiple micronutrient powders on nutritional, health</w:t>
      </w:r>
      <w:r w:rsidR="005853A9">
        <w:rPr>
          <w:kern w:val="0"/>
        </w:rPr>
        <w:t xml:space="preserve"> and </w:t>
      </w:r>
      <w:r>
        <w:rPr>
          <w:kern w:val="0"/>
        </w:rPr>
        <w:t>developmental outcomes in children under two years</w:t>
      </w:r>
      <w:r w:rsidR="00427468">
        <w:rPr>
          <w:kern w:val="0"/>
        </w:rPr>
        <w:t xml:space="preserve"> of </w:t>
      </w:r>
      <w:r>
        <w:rPr>
          <w:kern w:val="0"/>
        </w:rPr>
        <w:t>age. Search strategy We searched the following databases in February 2011: Cochrane Central Register</w:t>
      </w:r>
      <w:r w:rsidR="00427468">
        <w:rPr>
          <w:kern w:val="0"/>
        </w:rPr>
        <w:t xml:space="preserve"> of </w:t>
      </w:r>
      <w:r>
        <w:rPr>
          <w:kern w:val="0"/>
        </w:rPr>
        <w:t xml:space="preserve">Controlled Trials (CENTRAL) (The Cochrane Library), </w:t>
      </w:r>
      <w:r w:rsidR="00D5664A">
        <w:rPr>
          <w:kern w:val="0"/>
        </w:rPr>
        <w:t>MEDLINE</w:t>
      </w:r>
      <w:r>
        <w:rPr>
          <w:kern w:val="0"/>
        </w:rPr>
        <w:t xml:space="preserve"> (1948 to week 2 February 2011), EMBASE (1980 to Week 6 2011), CINAHL (1937 to current), CPCI-S (1990 to 19 February 2011), Science Citation Index (1970 to 19 February 2011), African Index Medicus (searched 23 February 2011), POPLINE (searched 21 February 2011), Clinical Trials.gov (searched 23 February 2011), mRCT (searched 23 February 2011),</w:t>
      </w:r>
      <w:r w:rsidR="005853A9">
        <w:rPr>
          <w:kern w:val="0"/>
        </w:rPr>
        <w:t xml:space="preserve"> and </w:t>
      </w:r>
      <w:r>
        <w:rPr>
          <w:kern w:val="0"/>
        </w:rPr>
        <w:t>World Health Organization International Clinical Trials Registry Platform (ICTRP) (searched 23 February 2011). We also contacted relevant organisations (25 January 2011) for the identification</w:t>
      </w:r>
      <w:r w:rsidR="00427468">
        <w:rPr>
          <w:kern w:val="0"/>
        </w:rPr>
        <w:t xml:space="preserve"> of </w:t>
      </w:r>
      <w:r>
        <w:rPr>
          <w:kern w:val="0"/>
        </w:rPr>
        <w:t>ongoing</w:t>
      </w:r>
      <w:r w:rsidR="005853A9">
        <w:rPr>
          <w:kern w:val="0"/>
        </w:rPr>
        <w:t xml:space="preserve"> and </w:t>
      </w:r>
      <w:r>
        <w:rPr>
          <w:kern w:val="0"/>
        </w:rPr>
        <w:t>unpublished studies. Selection criteria We included randomised</w:t>
      </w:r>
      <w:r w:rsidR="005853A9">
        <w:rPr>
          <w:kern w:val="0"/>
        </w:rPr>
        <w:t xml:space="preserve"> and </w:t>
      </w:r>
      <w:r>
        <w:rPr>
          <w:kern w:val="0"/>
        </w:rPr>
        <w:t>quasi-randomised trials with either individual or cluster randomisation. Participants were children under the age</w:t>
      </w:r>
      <w:r w:rsidR="00427468">
        <w:rPr>
          <w:kern w:val="0"/>
        </w:rPr>
        <w:t xml:space="preserve"> of </w:t>
      </w:r>
      <w:r>
        <w:rPr>
          <w:kern w:val="0"/>
        </w:rPr>
        <w:lastRenderedPageBreak/>
        <w:t>two years at the time</w:t>
      </w:r>
      <w:r w:rsidR="00427468">
        <w:rPr>
          <w:kern w:val="0"/>
        </w:rPr>
        <w:t xml:space="preserve"> of </w:t>
      </w:r>
      <w:r>
        <w:rPr>
          <w:kern w:val="0"/>
        </w:rPr>
        <w:t>intervention, with no specific health problems</w:t>
      </w:r>
      <w:r w:rsidR="00A37C1D">
        <w:rPr>
          <w:kern w:val="0"/>
        </w:rPr>
        <w:t>. The</w:t>
      </w:r>
      <w:r>
        <w:rPr>
          <w:kern w:val="0"/>
        </w:rPr>
        <w:t xml:space="preserve"> intervention was consumption</w:t>
      </w:r>
      <w:r w:rsidR="00427468">
        <w:rPr>
          <w:kern w:val="0"/>
        </w:rPr>
        <w:t xml:space="preserve"> of </w:t>
      </w:r>
      <w:r>
        <w:rPr>
          <w:kern w:val="0"/>
        </w:rPr>
        <w:t>food fortified at the point</w:t>
      </w:r>
      <w:r w:rsidR="00427468">
        <w:rPr>
          <w:kern w:val="0"/>
        </w:rPr>
        <w:t xml:space="preserve"> of </w:t>
      </w:r>
      <w:r>
        <w:rPr>
          <w:kern w:val="0"/>
        </w:rPr>
        <w:t>use with multiple micronutrient powders formulated with at least iron, zinc</w:t>
      </w:r>
      <w:r w:rsidR="005853A9">
        <w:rPr>
          <w:kern w:val="0"/>
        </w:rPr>
        <w:t xml:space="preserve"> and </w:t>
      </w:r>
      <w:r>
        <w:rPr>
          <w:kern w:val="0"/>
        </w:rPr>
        <w:t>vitamin A compared with placebo, no intervention or the use</w:t>
      </w:r>
      <w:r w:rsidR="00427468">
        <w:rPr>
          <w:kern w:val="0"/>
        </w:rPr>
        <w:t xml:space="preserve"> of </w:t>
      </w:r>
      <w:r>
        <w:rPr>
          <w:kern w:val="0"/>
        </w:rPr>
        <w:t>iron containing supplements, which is the standard practice. Data collection</w:t>
      </w:r>
      <w:r w:rsidR="005853A9">
        <w:rPr>
          <w:kern w:val="0"/>
        </w:rPr>
        <w:t xml:space="preserve"> and </w:t>
      </w:r>
      <w:r>
        <w:rPr>
          <w:kern w:val="0"/>
        </w:rPr>
        <w:t>analysis Two review authors independently assessed the eligibility</w:t>
      </w:r>
      <w:r w:rsidR="00427468">
        <w:rPr>
          <w:kern w:val="0"/>
        </w:rPr>
        <w:t xml:space="preserve"> of </w:t>
      </w:r>
      <w:r>
        <w:rPr>
          <w:kern w:val="0"/>
        </w:rPr>
        <w:t>studies against the inclusion criteria, extracted data from included studies</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the included studies. Main results We included eight trials (3748 participants) conducted in low income countries in Asia, Africa</w:t>
      </w:r>
      <w:r w:rsidR="005853A9">
        <w:rPr>
          <w:kern w:val="0"/>
        </w:rPr>
        <w:t xml:space="preserve"> and </w:t>
      </w:r>
      <w:r>
        <w:rPr>
          <w:kern w:val="0"/>
        </w:rPr>
        <w:t>the Caribbean, where anaemia is a public health problem</w:t>
      </w:r>
      <w:r w:rsidR="00A37C1D">
        <w:rPr>
          <w:kern w:val="0"/>
        </w:rPr>
        <w:t>. The</w:t>
      </w:r>
      <w:r>
        <w:rPr>
          <w:kern w:val="0"/>
        </w:rPr>
        <w:t xml:space="preserve"> interventions lasted between two</w:t>
      </w:r>
      <w:r w:rsidR="005853A9">
        <w:rPr>
          <w:kern w:val="0"/>
        </w:rPr>
        <w:t xml:space="preserve"> and </w:t>
      </w:r>
      <w:r>
        <w:rPr>
          <w:kern w:val="0"/>
        </w:rPr>
        <w:t>12 months</w:t>
      </w:r>
      <w:r w:rsidR="005853A9">
        <w:rPr>
          <w:kern w:val="0"/>
        </w:rPr>
        <w:t xml:space="preserve"> and </w:t>
      </w:r>
      <w:r>
        <w:rPr>
          <w:kern w:val="0"/>
        </w:rPr>
        <w:t>the powder formulations contained between five</w:t>
      </w:r>
      <w:r w:rsidR="005853A9">
        <w:rPr>
          <w:kern w:val="0"/>
        </w:rPr>
        <w:t xml:space="preserve"> and </w:t>
      </w:r>
      <w:r>
        <w:rPr>
          <w:kern w:val="0"/>
        </w:rPr>
        <w:t>15 nutrients. Six trials compared the use</w:t>
      </w:r>
      <w:r w:rsidR="00427468">
        <w:rPr>
          <w:kern w:val="0"/>
        </w:rPr>
        <w:t xml:space="preserve"> of </w:t>
      </w:r>
      <w:r>
        <w:rPr>
          <w:kern w:val="0"/>
        </w:rPr>
        <w:t>MNP versus no intervention or a placebo</w:t>
      </w:r>
      <w:r w:rsidR="005853A9">
        <w:rPr>
          <w:kern w:val="0"/>
        </w:rPr>
        <w:t xml:space="preserve"> and </w:t>
      </w:r>
      <w:r>
        <w:rPr>
          <w:kern w:val="0"/>
        </w:rPr>
        <w:t>the other two compared the use</w:t>
      </w:r>
      <w:r w:rsidR="00427468">
        <w:rPr>
          <w:kern w:val="0"/>
        </w:rPr>
        <w:t xml:space="preserve"> of </w:t>
      </w:r>
      <w:r>
        <w:rPr>
          <w:kern w:val="0"/>
        </w:rPr>
        <w:t>MNP versus daily iron drops. Most</w:t>
      </w:r>
      <w:r w:rsidR="00427468">
        <w:rPr>
          <w:kern w:val="0"/>
        </w:rPr>
        <w:t xml:space="preserve"> of </w:t>
      </w:r>
      <w:r>
        <w:rPr>
          <w:kern w:val="0"/>
        </w:rPr>
        <w:t>the included trials were assessed as at low risk</w:t>
      </w:r>
      <w:r w:rsidR="00427468">
        <w:rPr>
          <w:kern w:val="0"/>
        </w:rPr>
        <w:t xml:space="preserve"> of </w:t>
      </w:r>
      <w:r>
        <w:rPr>
          <w:kern w:val="0"/>
        </w:rPr>
        <w:t>bias. Home fortification with MNP reduced anaemia by 31% (six trials, RR 0.69; 95% CI 0.60 to 0.78)</w:t>
      </w:r>
      <w:r w:rsidR="005853A9">
        <w:rPr>
          <w:kern w:val="0"/>
        </w:rPr>
        <w:t xml:space="preserve"> and </w:t>
      </w:r>
      <w:r>
        <w:rPr>
          <w:kern w:val="0"/>
        </w:rPr>
        <w:t>iron deficiency by 51% (four trials, RR 0.49; 95% CI 0.35 to 0.67) in infants</w:t>
      </w:r>
      <w:r w:rsidR="005853A9">
        <w:rPr>
          <w:kern w:val="0"/>
        </w:rPr>
        <w:t xml:space="preserve"> and </w:t>
      </w:r>
      <w:r>
        <w:rPr>
          <w:kern w:val="0"/>
        </w:rPr>
        <w:t>young children when compared with no intervention or placebo, but we did not find an effect on growth. In comparison with daily iron supplementation, the use</w:t>
      </w:r>
      <w:r w:rsidR="00427468">
        <w:rPr>
          <w:kern w:val="0"/>
        </w:rPr>
        <w:t xml:space="preserve"> of </w:t>
      </w:r>
      <w:r>
        <w:rPr>
          <w:kern w:val="0"/>
        </w:rPr>
        <w:t>MNP produced similar results on anaemia (one trial, RR 0.89; 95% CI 0.58 to 1.39)</w:t>
      </w:r>
      <w:r w:rsidR="005853A9">
        <w:rPr>
          <w:kern w:val="0"/>
        </w:rPr>
        <w:t xml:space="preserve"> and </w:t>
      </w:r>
      <w:r>
        <w:rPr>
          <w:kern w:val="0"/>
        </w:rPr>
        <w:t>haemoglobin concentrations (two trials, MD -2.36 g/L; 95% CI -10.30 to 5.58); however, given the limited amount</w:t>
      </w:r>
      <w:r w:rsidR="00427468">
        <w:rPr>
          <w:kern w:val="0"/>
        </w:rPr>
        <w:t xml:space="preserve"> of </w:t>
      </w:r>
      <w:r>
        <w:rPr>
          <w:kern w:val="0"/>
        </w:rPr>
        <w:t>data these results should be interpreted cautiously. No deaths were reported in the trials</w:t>
      </w:r>
      <w:r w:rsidR="005853A9">
        <w:rPr>
          <w:kern w:val="0"/>
        </w:rPr>
        <w:t xml:space="preserve"> and </w:t>
      </w:r>
      <w:r>
        <w:rPr>
          <w:kern w:val="0"/>
        </w:rPr>
        <w:t>information on side effects</w:t>
      </w:r>
      <w:r w:rsidR="005853A9">
        <w:rPr>
          <w:kern w:val="0"/>
        </w:rPr>
        <w:t xml:space="preserve"> and </w:t>
      </w:r>
      <w:r>
        <w:rPr>
          <w:kern w:val="0"/>
        </w:rPr>
        <w:t>morbidity, including malaria, was scarce. It seems that the use</w:t>
      </w:r>
      <w:r w:rsidR="00427468">
        <w:rPr>
          <w:kern w:val="0"/>
        </w:rPr>
        <w:t xml:space="preserve"> of </w:t>
      </w:r>
      <w:r>
        <w:rPr>
          <w:kern w:val="0"/>
        </w:rPr>
        <w:t>MNP is efficacious among infants</w:t>
      </w:r>
      <w:r w:rsidR="005853A9">
        <w:rPr>
          <w:kern w:val="0"/>
        </w:rPr>
        <w:t xml:space="preserve"> and </w:t>
      </w:r>
      <w:r>
        <w:rPr>
          <w:kern w:val="0"/>
        </w:rPr>
        <w:t>young children six to 23 months</w:t>
      </w:r>
      <w:r w:rsidR="00427468">
        <w:rPr>
          <w:kern w:val="0"/>
        </w:rPr>
        <w:t xml:space="preserve"> of </w:t>
      </w:r>
      <w:r>
        <w:rPr>
          <w:kern w:val="0"/>
        </w:rPr>
        <w:t>age living in settings with different prevalences</w:t>
      </w:r>
      <w:r w:rsidR="00427468">
        <w:rPr>
          <w:kern w:val="0"/>
        </w:rPr>
        <w:t xml:space="preserve"> of </w:t>
      </w:r>
      <w:r>
        <w:rPr>
          <w:kern w:val="0"/>
        </w:rPr>
        <w:t>anaemia</w:t>
      </w:r>
      <w:r w:rsidR="005853A9">
        <w:rPr>
          <w:kern w:val="0"/>
        </w:rPr>
        <w:t xml:space="preserve"> and </w:t>
      </w:r>
      <w:r>
        <w:rPr>
          <w:kern w:val="0"/>
        </w:rPr>
        <w:t>malaria endemicity, regardless</w:t>
      </w:r>
      <w:r w:rsidR="00427468">
        <w:rPr>
          <w:kern w:val="0"/>
        </w:rPr>
        <w:t xml:space="preserve"> of </w:t>
      </w:r>
      <w:r>
        <w:rPr>
          <w:kern w:val="0"/>
        </w:rPr>
        <w:t>whether the intervention lasts two, six or 12 months or whether recipients are male or female. Authors</w:t>
      </w:r>
      <w:r w:rsidR="0071223E">
        <w:rPr>
          <w:kern w:val="0"/>
        </w:rPr>
        <w:t>’</w:t>
      </w:r>
      <w:r>
        <w:rPr>
          <w:kern w:val="0"/>
        </w:rPr>
        <w:t xml:space="preserve"> conclusions Home fortification</w:t>
      </w:r>
      <w:r w:rsidR="00427468">
        <w:rPr>
          <w:kern w:val="0"/>
        </w:rPr>
        <w:t xml:space="preserve"> of </w:t>
      </w:r>
      <w:r>
        <w:rPr>
          <w:kern w:val="0"/>
        </w:rPr>
        <w:t>foods with multiple micronutrient powders is an effective intervention to reduce anaemia</w:t>
      </w:r>
      <w:r w:rsidR="005853A9">
        <w:rPr>
          <w:kern w:val="0"/>
        </w:rPr>
        <w:t xml:space="preserve"> and </w:t>
      </w:r>
      <w:r>
        <w:rPr>
          <w:kern w:val="0"/>
        </w:rPr>
        <w:t>iron deficiency in children six months to 23 months</w:t>
      </w:r>
      <w:r w:rsidR="00427468">
        <w:rPr>
          <w:kern w:val="0"/>
        </w:rPr>
        <w:t xml:space="preserve"> of </w:t>
      </w:r>
      <w:r>
        <w:rPr>
          <w:kern w:val="0"/>
        </w:rPr>
        <w:t>age</w:t>
      </w:r>
      <w:r w:rsidR="00A37C1D">
        <w:rPr>
          <w:kern w:val="0"/>
        </w:rPr>
        <w:t>. The</w:t>
      </w:r>
      <w:r>
        <w:rPr>
          <w:kern w:val="0"/>
        </w:rPr>
        <w:t xml:space="preserve"> provision</w:t>
      </w:r>
      <w:r w:rsidR="00427468">
        <w:rPr>
          <w:kern w:val="0"/>
        </w:rPr>
        <w:t xml:space="preserve"> of </w:t>
      </w:r>
      <w:r>
        <w:rPr>
          <w:kern w:val="0"/>
        </w:rPr>
        <w:t>MNP is better than no intervention or placebo</w:t>
      </w:r>
      <w:r w:rsidR="005853A9">
        <w:rPr>
          <w:kern w:val="0"/>
        </w:rPr>
        <w:t xml:space="preserve"> and </w:t>
      </w:r>
      <w:r>
        <w:rPr>
          <w:kern w:val="0"/>
        </w:rPr>
        <w:t>possibly comparable to commonly used daily iron supplementation</w:t>
      </w:r>
      <w:r w:rsidR="00A37C1D">
        <w:rPr>
          <w:kern w:val="0"/>
        </w:rPr>
        <w:t>. The</w:t>
      </w:r>
      <w:r>
        <w:rPr>
          <w:kern w:val="0"/>
        </w:rPr>
        <w:t xml:space="preserve"> benefits</w:t>
      </w:r>
      <w:r w:rsidR="00427468">
        <w:rPr>
          <w:kern w:val="0"/>
        </w:rPr>
        <w:t xml:space="preserve"> of </w:t>
      </w:r>
      <w:r>
        <w:rPr>
          <w:kern w:val="0"/>
        </w:rPr>
        <w:t>this intervention as a child survival strategy or on developmental outcomes are unclear. Data on effects on malaria outcomes are lacking</w:t>
      </w:r>
      <w:r w:rsidR="005853A9">
        <w:rPr>
          <w:kern w:val="0"/>
        </w:rPr>
        <w:t xml:space="preserve"> and </w:t>
      </w:r>
      <w:r>
        <w:rPr>
          <w:kern w:val="0"/>
        </w:rPr>
        <w:t>further investigation</w:t>
      </w:r>
      <w:r w:rsidR="00427468">
        <w:rPr>
          <w:kern w:val="0"/>
        </w:rPr>
        <w:t xml:space="preserve"> of </w:t>
      </w:r>
      <w:r>
        <w:rPr>
          <w:kern w:val="0"/>
        </w:rPr>
        <w:t>morbidity outcomes is needed</w:t>
      </w:r>
      <w:r w:rsidR="00A37C1D">
        <w:rPr>
          <w:kern w:val="0"/>
        </w:rPr>
        <w:t>. The</w:t>
      </w:r>
      <w:r>
        <w:rPr>
          <w:kern w:val="0"/>
        </w:rPr>
        <w:t xml:space="preserve"> micronutrient powders containing multiple nutrients are well accepted but adherence is variable</w:t>
      </w:r>
      <w:r w:rsidR="005853A9">
        <w:rPr>
          <w:kern w:val="0"/>
        </w:rPr>
        <w:t xml:space="preserve"> and </w:t>
      </w:r>
      <w:r>
        <w:rPr>
          <w:kern w:val="0"/>
        </w:rPr>
        <w:t>in some cases comparable to that achieved in infants</w:t>
      </w:r>
      <w:r w:rsidR="005853A9">
        <w:rPr>
          <w:kern w:val="0"/>
        </w:rPr>
        <w:t xml:space="preserve"> and </w:t>
      </w:r>
      <w:r>
        <w:rPr>
          <w:kern w:val="0"/>
        </w:rPr>
        <w:t>young children receiving standard iron supplements as drops or syrups.</w:t>
      </w:r>
    </w:p>
    <w:p w:rsidR="00365DE4" w:rsidRDefault="00365DE4" w:rsidP="00365DE4">
      <w:pPr>
        <w:pStyle w:val="a3"/>
        <w:rPr>
          <w:kern w:val="0"/>
        </w:rPr>
      </w:pPr>
      <w:r>
        <w:rPr>
          <w:kern w:val="0"/>
        </w:rPr>
        <w:t xml:space="preserve">Keywords: Adherence, Africa, Anaemia, Analysis, Asia, Authors, Bias, Cambodian Infants, Child, Children, Citation, Cluster-Randomized Trial, Cochrane, Complementary Foods, Databases, Double-Blind, Embase, Growth, Haemoglobin, Health, Income, Infants, Information, Intervention, Interventions, Iron, </w:t>
      </w:r>
      <w:r>
        <w:rPr>
          <w:kern w:val="0"/>
        </w:rPr>
        <w:lastRenderedPageBreak/>
        <w:t xml:space="preserve">Iron-Deficiency, Malaria, Male, </w:t>
      </w:r>
      <w:r w:rsidR="00D5664A">
        <w:rPr>
          <w:kern w:val="0"/>
        </w:rPr>
        <w:t>MEDLINE</w:t>
      </w:r>
      <w:r>
        <w:rPr>
          <w:kern w:val="0"/>
        </w:rPr>
        <w:t>, Morbidity, Nutrition, Outcomes, Placebo-Controlled Trial, Practice, Preschool-Children, Public Health, Review, Risk, Rural Haiti, Safety, Science, Science Citation Index, Search Strategy, Selection, Side Effects, Strategy, Survival, Vitamin-A Supplementation, Young-Children, Zinc</w:t>
      </w:r>
    </w:p>
    <w:p w:rsidR="00365DE4" w:rsidRDefault="00365DE4" w:rsidP="00365DE4">
      <w:pPr>
        <w:pStyle w:val="a3"/>
        <w:rPr>
          <w:kern w:val="0"/>
        </w:rPr>
      </w:pPr>
      <w:r>
        <w:rPr>
          <w:kern w:val="0"/>
        </w:rPr>
        <w:t>? Wei, C.Y., Herrick, A., Raymond, H.F., Anglemyer, A., Gerbase, A.</w:t>
      </w:r>
      <w:r w:rsidR="005853A9">
        <w:rPr>
          <w:kern w:val="0"/>
        </w:rPr>
        <w:t xml:space="preserve"> and </w:t>
      </w:r>
      <w:r>
        <w:rPr>
          <w:kern w:val="0"/>
        </w:rPr>
        <w:t>Noar, S.M. (2011), Social marketing interventions to increase HIV/STI testing uptake among men who have sex with men</w:t>
      </w:r>
      <w:r w:rsidR="005853A9">
        <w:rPr>
          <w:kern w:val="0"/>
        </w:rPr>
        <w:t xml:space="preserve"> and </w:t>
      </w:r>
      <w:r>
        <w:rPr>
          <w:kern w:val="0"/>
        </w:rPr>
        <w:t xml:space="preserve">male-to-female transgender women.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CD009337.</w:t>
      </w:r>
    </w:p>
    <w:p w:rsidR="00365DE4" w:rsidRDefault="00365DE4" w:rsidP="00365DE4">
      <w:pPr>
        <w:pStyle w:val="a3"/>
        <w:rPr>
          <w:kern w:val="2"/>
        </w:rPr>
      </w:pPr>
      <w:r>
        <w:t xml:space="preserve">Full Text: </w:t>
      </w:r>
      <w:hyperlink r:id="rId679" w:history="1">
        <w:r>
          <w:rPr>
            <w:rStyle w:val="a5"/>
          </w:rPr>
          <w:t>2011\Coc Dat Sys Rev2011, CD009337.pdf</w:t>
        </w:r>
      </w:hyperlink>
    </w:p>
    <w:p w:rsidR="00365DE4" w:rsidRDefault="00365DE4" w:rsidP="00365DE4">
      <w:pPr>
        <w:pStyle w:val="a3"/>
        <w:rPr>
          <w:kern w:val="0"/>
        </w:rPr>
      </w:pPr>
      <w:r>
        <w:rPr>
          <w:kern w:val="0"/>
        </w:rPr>
        <w:t>Abstract: Background Social marketing interventions have been shown to both promote</w:t>
      </w:r>
      <w:r w:rsidR="005853A9">
        <w:rPr>
          <w:kern w:val="0"/>
        </w:rPr>
        <w:t xml:space="preserve"> and </w:t>
      </w:r>
      <w:r>
        <w:rPr>
          <w:kern w:val="0"/>
        </w:rPr>
        <w:t>change many health-related behaviours</w:t>
      </w:r>
      <w:r w:rsidR="005853A9">
        <w:rPr>
          <w:kern w:val="0"/>
        </w:rPr>
        <w:t xml:space="preserve"> and </w:t>
      </w:r>
      <w:r>
        <w:rPr>
          <w:kern w:val="0"/>
        </w:rPr>
        <w:t>issues. As the HIV epidemic continues to disproportionately affect MSM</w:t>
      </w:r>
      <w:r w:rsidR="005853A9">
        <w:rPr>
          <w:kern w:val="0"/>
        </w:rPr>
        <w:t xml:space="preserve"> and </w:t>
      </w:r>
      <w:r>
        <w:rPr>
          <w:kern w:val="0"/>
        </w:rPr>
        <w:t>transgender women around the world, social marketing interventions have the potential to increase HIV/STI testing uptake among these populations. Objectives To assess the impact</w:t>
      </w:r>
      <w:r w:rsidR="00427468">
        <w:rPr>
          <w:kern w:val="0"/>
        </w:rPr>
        <w:t xml:space="preserve"> of </w:t>
      </w:r>
      <w:r>
        <w:rPr>
          <w:kern w:val="0"/>
        </w:rPr>
        <w:t>social marketing interventions on HIV/STI testing uptake among men who have sex with men</w:t>
      </w:r>
      <w:r w:rsidR="005853A9">
        <w:rPr>
          <w:kern w:val="0"/>
        </w:rPr>
        <w:t xml:space="preserve"> and </w:t>
      </w:r>
      <w:r>
        <w:rPr>
          <w:kern w:val="0"/>
        </w:rPr>
        <w:t>transgender women compared to pre-intervention or control group testing uptake in the same population. Search strategy We searched the following electronic databasesfor results from 01 January 1980 to the search date, 14 July 2010: Cochrane Central Register</w:t>
      </w:r>
      <w:r w:rsidR="00427468">
        <w:rPr>
          <w:kern w:val="0"/>
        </w:rPr>
        <w:t xml:space="preserve"> of </w:t>
      </w:r>
      <w:r>
        <w:rPr>
          <w:kern w:val="0"/>
        </w:rPr>
        <w:t>Controlled Trials (CENTRAL), EMBASE, LILACS (Latin America</w:t>
      </w:r>
      <w:r w:rsidR="005853A9">
        <w:rPr>
          <w:kern w:val="0"/>
        </w:rPr>
        <w:t xml:space="preserve"> and </w:t>
      </w:r>
      <w:r>
        <w:rPr>
          <w:kern w:val="0"/>
        </w:rPr>
        <w:t xml:space="preserve">Brazil), PsycINFO, PubMed, </w:t>
      </w:r>
      <w:r w:rsidR="00D5664A">
        <w:rPr>
          <w:kern w:val="0"/>
        </w:rPr>
        <w:t>Web</w:t>
      </w:r>
      <w:r w:rsidR="00427468">
        <w:rPr>
          <w:kern w:val="0"/>
        </w:rPr>
        <w:t xml:space="preserve"> of </w:t>
      </w:r>
      <w:r w:rsidR="00D5664A">
        <w:rPr>
          <w:kern w:val="0"/>
        </w:rPr>
        <w:t>Science</w:t>
      </w:r>
      <w:r>
        <w:rPr>
          <w:kern w:val="0"/>
        </w:rPr>
        <w:t>/Web</w:t>
      </w:r>
      <w:r w:rsidR="00427468">
        <w:rPr>
          <w:kern w:val="0"/>
        </w:rPr>
        <w:t xml:space="preserve"> of </w:t>
      </w:r>
      <w:r>
        <w:rPr>
          <w:kern w:val="0"/>
        </w:rPr>
        <w:t>Social Science, Chinese National Knowledge Infrastructure (CNKI),</w:t>
      </w:r>
      <w:r w:rsidR="005853A9">
        <w:rPr>
          <w:kern w:val="0"/>
        </w:rPr>
        <w:t xml:space="preserve"> and </w:t>
      </w:r>
      <w:r>
        <w:rPr>
          <w:kern w:val="0"/>
        </w:rPr>
        <w:t>CQ VIP (China). We also searched for conference abstracts in the Aegis archive</w:t>
      </w:r>
      <w:r w:rsidR="00427468">
        <w:rPr>
          <w:kern w:val="0"/>
        </w:rPr>
        <w:t xml:space="preserve"> of </w:t>
      </w:r>
      <w:r>
        <w:rPr>
          <w:kern w:val="0"/>
        </w:rPr>
        <w:t>HIV/AIDS conference abstracts</w:t>
      </w:r>
      <w:r w:rsidR="005853A9">
        <w:rPr>
          <w:kern w:val="0"/>
        </w:rPr>
        <w:t xml:space="preserve"> and </w:t>
      </w:r>
      <w:r>
        <w:rPr>
          <w:kern w:val="0"/>
        </w:rPr>
        <w:t>the CROI</w:t>
      </w:r>
      <w:r w:rsidR="005853A9">
        <w:rPr>
          <w:kern w:val="0"/>
        </w:rPr>
        <w:t xml:space="preserve"> and </w:t>
      </w:r>
      <w:r>
        <w:rPr>
          <w:kern w:val="0"/>
        </w:rPr>
        <w:t>International AIDS Society websites. In addition to searching electronic databases, we searched the following sources</w:t>
      </w:r>
      <w:r w:rsidR="00427468">
        <w:rPr>
          <w:kern w:val="0"/>
        </w:rPr>
        <w:t xml:space="preserve"> of </w:t>
      </w:r>
      <w:r>
        <w:rPr>
          <w:kern w:val="0"/>
        </w:rPr>
        <w:t>grey literature: Australasian Digital Theses Program, Canadian Evaluation Society, Eastview: China Conference Proceedings, ProQuest Dissertations</w:t>
      </w:r>
      <w:r w:rsidR="005853A9">
        <w:rPr>
          <w:kern w:val="0"/>
        </w:rPr>
        <w:t xml:space="preserve"> and </w:t>
      </w:r>
      <w:r>
        <w:rPr>
          <w:kern w:val="0"/>
        </w:rPr>
        <w:t>Theses,</w:t>
      </w:r>
      <w:r w:rsidR="005853A9">
        <w:rPr>
          <w:kern w:val="0"/>
        </w:rPr>
        <w:t xml:space="preserve"> and </w:t>
      </w:r>
      <w:r>
        <w:rPr>
          <w:kern w:val="0"/>
        </w:rPr>
        <w:t>World Health Organization Library Information System (WHOLIS). We contacted individual researchers, experts working in the field,</w:t>
      </w:r>
      <w:r w:rsidR="005853A9">
        <w:rPr>
          <w:kern w:val="0"/>
        </w:rPr>
        <w:t xml:space="preserve"> and </w:t>
      </w:r>
      <w:r>
        <w:rPr>
          <w:kern w:val="0"/>
        </w:rPr>
        <w:t>authors</w:t>
      </w:r>
      <w:r w:rsidR="00427468">
        <w:rPr>
          <w:kern w:val="0"/>
        </w:rPr>
        <w:t xml:space="preserve"> of </w:t>
      </w:r>
      <w:r>
        <w:rPr>
          <w:kern w:val="0"/>
        </w:rPr>
        <w:t>major trials for suggestions</w:t>
      </w:r>
      <w:r w:rsidR="00427468">
        <w:rPr>
          <w:kern w:val="0"/>
        </w:rPr>
        <w:t xml:space="preserve"> of </w:t>
      </w:r>
      <w:r>
        <w:rPr>
          <w:kern w:val="0"/>
        </w:rPr>
        <w:t>any relevant manuscripts that were in preparation or in press. References</w:t>
      </w:r>
      <w:r w:rsidR="00427468">
        <w:rPr>
          <w:kern w:val="0"/>
        </w:rPr>
        <w:t xml:space="preserve"> of </w:t>
      </w:r>
      <w:r>
        <w:rPr>
          <w:kern w:val="0"/>
        </w:rPr>
        <w:t>published articles from the databases above were searched for additional, pertinent materials. All languages were included in this search. Selection criteria Randomized controlled trials</w:t>
      </w:r>
      <w:r w:rsidR="005853A9">
        <w:rPr>
          <w:kern w:val="0"/>
        </w:rPr>
        <w:t xml:space="preserve"> and </w:t>
      </w:r>
      <w:r>
        <w:rPr>
          <w:kern w:val="0"/>
        </w:rPr>
        <w:t>controlled clinical trials that compared social marketing interventions with a control were included. Interrupted time series</w:t>
      </w:r>
      <w:r w:rsidR="005853A9">
        <w:rPr>
          <w:kern w:val="0"/>
        </w:rPr>
        <w:t xml:space="preserve"> and </w:t>
      </w:r>
      <w:r>
        <w:rPr>
          <w:kern w:val="0"/>
        </w:rPr>
        <w:t>pretest-posttest design studies (controlled or uncontrolled) that compared social marketing interventions with no intervention or a control were also included. Posttest-only studies</w:t>
      </w:r>
      <w:r w:rsidR="005853A9">
        <w:rPr>
          <w:kern w:val="0"/>
        </w:rPr>
        <w:t xml:space="preserve"> and </w:t>
      </w:r>
      <w:r>
        <w:rPr>
          <w:kern w:val="0"/>
        </w:rPr>
        <w:t>studies that combined pre-post data were excluded. Interventions that targeted at general public but did not include MSM or transgender women as a segment or did not have outcome data for an MSM or transgender segment were excluded. Data collection</w:t>
      </w:r>
      <w:r w:rsidR="005853A9">
        <w:rPr>
          <w:kern w:val="0"/>
        </w:rPr>
        <w:t xml:space="preserve"> and </w:t>
      </w:r>
      <w:r>
        <w:rPr>
          <w:kern w:val="0"/>
        </w:rPr>
        <w:t xml:space="preserve">analysis Two authors independently </w:t>
      </w:r>
      <w:r>
        <w:rPr>
          <w:kern w:val="0"/>
        </w:rPr>
        <w:lastRenderedPageBreak/>
        <w:t>extracted data from each included study</w:t>
      </w:r>
      <w:r w:rsidR="005853A9">
        <w:rPr>
          <w:kern w:val="0"/>
        </w:rPr>
        <w:t xml:space="preserve"> and </w:t>
      </w:r>
      <w:r>
        <w:rPr>
          <w:kern w:val="0"/>
        </w:rPr>
        <w:t>assessed study quality. Meta-analyses were conducted to compare pre-</w:t>
      </w:r>
      <w:r w:rsidR="005853A9">
        <w:rPr>
          <w:kern w:val="0"/>
        </w:rPr>
        <w:t xml:space="preserve"> and </w:t>
      </w:r>
      <w:r>
        <w:rPr>
          <w:kern w:val="0"/>
        </w:rPr>
        <w:t>post-intervention</w:t>
      </w:r>
      <w:r w:rsidR="005853A9">
        <w:rPr>
          <w:kern w:val="0"/>
        </w:rPr>
        <w:t xml:space="preserve"> and </w:t>
      </w:r>
      <w:r>
        <w:rPr>
          <w:kern w:val="0"/>
        </w:rPr>
        <w:t>intervention</w:t>
      </w:r>
      <w:r w:rsidR="005853A9">
        <w:rPr>
          <w:kern w:val="0"/>
        </w:rPr>
        <w:t xml:space="preserve"> and </w:t>
      </w:r>
      <w:r>
        <w:rPr>
          <w:kern w:val="0"/>
        </w:rPr>
        <w:t>control group outcomes</w:t>
      </w:r>
      <w:r w:rsidR="00427468">
        <w:rPr>
          <w:kern w:val="0"/>
        </w:rPr>
        <w:t xml:space="preserve"> of </w:t>
      </w:r>
      <w:r>
        <w:rPr>
          <w:kern w:val="0"/>
        </w:rPr>
        <w:t>HIV</w:t>
      </w:r>
      <w:r w:rsidR="005853A9">
        <w:rPr>
          <w:kern w:val="0"/>
        </w:rPr>
        <w:t xml:space="preserve"> and </w:t>
      </w:r>
      <w:r>
        <w:rPr>
          <w:kern w:val="0"/>
        </w:rPr>
        <w:t>STI testing uptake. Quality</w:t>
      </w:r>
      <w:r w:rsidR="00427468">
        <w:rPr>
          <w:kern w:val="0"/>
        </w:rPr>
        <w:t xml:space="preserve"> of </w:t>
      </w:r>
      <w:r>
        <w:rPr>
          <w:kern w:val="0"/>
        </w:rPr>
        <w:t>evidence was assessed using the GRADE approach. Main results Three serial, cross-sectional pretest-posttest study designs (one with a control group</w:t>
      </w:r>
      <w:r w:rsidR="005853A9">
        <w:rPr>
          <w:kern w:val="0"/>
        </w:rPr>
        <w:t xml:space="preserve"> and </w:t>
      </w:r>
      <w:r>
        <w:rPr>
          <w:kern w:val="0"/>
        </w:rPr>
        <w:t>two without) were included in the final analysis. Statistical pooling was conducted for two studies</w:t>
      </w:r>
      <w:r w:rsidR="005853A9">
        <w:rPr>
          <w:kern w:val="0"/>
        </w:rPr>
        <w:t xml:space="preserve"> and </w:t>
      </w:r>
      <w:r>
        <w:rPr>
          <w:kern w:val="0"/>
        </w:rPr>
        <w:t>compared to pre-intervention level testing uptake, which showed that multimedia social marketing campaigns had a significant impact on HIV testing uptake (OR=1.58, 95% CI = 1.40 - 1.77). However, the campaigns were not found to be effective in increasing STI testing uptake (OR=0.94, 95% CI = 0.68 - 1.28). Overall, risk</w:t>
      </w:r>
      <w:r w:rsidR="00427468">
        <w:rPr>
          <w:kern w:val="0"/>
        </w:rPr>
        <w:t xml:space="preserve"> of </w:t>
      </w:r>
      <w:r>
        <w:rPr>
          <w:kern w:val="0"/>
        </w:rPr>
        <w:t>bias was high</w:t>
      </w:r>
      <w:r w:rsidR="005853A9">
        <w:rPr>
          <w:kern w:val="0"/>
        </w:rPr>
        <w:t xml:space="preserve"> and </w:t>
      </w:r>
      <w:r>
        <w:rPr>
          <w:kern w:val="0"/>
        </w:rPr>
        <w:t>quality</w:t>
      </w:r>
      <w:r w:rsidR="00427468">
        <w:rPr>
          <w:kern w:val="0"/>
        </w:rPr>
        <w:t xml:space="preserve"> of </w:t>
      </w:r>
      <w:r>
        <w:rPr>
          <w:kern w:val="0"/>
        </w:rPr>
        <w:t>evidence was low. None</w:t>
      </w:r>
      <w:r w:rsidR="00427468">
        <w:rPr>
          <w:kern w:val="0"/>
        </w:rPr>
        <w:t xml:space="preserve"> of </w:t>
      </w:r>
      <w:r>
        <w:rPr>
          <w:kern w:val="0"/>
        </w:rPr>
        <w:t>the studies were conducted in developing countries or included male-to-female transgender women. Authors</w:t>
      </w:r>
      <w:r w:rsidR="0071223E">
        <w:rPr>
          <w:kern w:val="0"/>
        </w:rPr>
        <w:t>’</w:t>
      </w:r>
      <w:r>
        <w:rPr>
          <w:kern w:val="0"/>
        </w:rPr>
        <w:t xml:space="preserve"> conclusions This review provided limited evidence that multi-media social marketing campaigns can promote HIV testing among MSM in developed countries. Future evaluations</w:t>
      </w:r>
      <w:r w:rsidR="00427468">
        <w:rPr>
          <w:kern w:val="0"/>
        </w:rPr>
        <w:t xml:space="preserve"> of </w:t>
      </w:r>
      <w:r>
        <w:rPr>
          <w:kern w:val="0"/>
        </w:rPr>
        <w:t>social marketing interventions for MSM should employ more rigorous study designs. Long-term impact evaluations (changes in HIV or STI incidence over time) are also needed. Implementation research, including detailed process evaluation, is needed to identify elements</w:t>
      </w:r>
      <w:r w:rsidR="00427468">
        <w:rPr>
          <w:kern w:val="0"/>
        </w:rPr>
        <w:t xml:space="preserve"> of </w:t>
      </w:r>
      <w:r>
        <w:rPr>
          <w:kern w:val="0"/>
        </w:rPr>
        <w:t>social marketing interventions that are most effective in reaching the target population</w:t>
      </w:r>
      <w:r w:rsidR="005853A9">
        <w:rPr>
          <w:kern w:val="0"/>
        </w:rPr>
        <w:t xml:space="preserve"> and </w:t>
      </w:r>
      <w:r>
        <w:rPr>
          <w:kern w:val="0"/>
        </w:rPr>
        <w:t>changing behaviours.</w:t>
      </w:r>
    </w:p>
    <w:p w:rsidR="00365DE4" w:rsidRDefault="00365DE4" w:rsidP="00365DE4">
      <w:pPr>
        <w:pStyle w:val="a3"/>
        <w:rPr>
          <w:kern w:val="0"/>
        </w:rPr>
      </w:pPr>
      <w:r>
        <w:rPr>
          <w:kern w:val="0"/>
        </w:rPr>
        <w:t>Keywords: AID, AIDS, Analysis, Antiretroviral Therapy, Authors, Bias, Bisexual Men, Brazil, China, Clinical Trials, Cochrane, Conference, Control, Controlled Clinical Trials, Databases, Design, Developing Countries, Dissertations, Embase, Evaluation, Gay, General Public, Grade, Health, HIV, HIV Testing, HIV-Infection, HIV, AIDS, Impact, Implementation, Incidence, Intervention, Interventions, Knowledge, Latin America, Literature, Men, Outcome, Outcomes, Preparation, Prevention Campaign, Pubmed, Quality, Randomized Controlled Trials, References, Research, Researchers, Review, Risk, San-Francisco, Science, Search Strategy, Selection, Sex, Sexually-Transmitted-Diseases, Social, Strategy, Syphilis, Testing Uptake, Transmission, Uptake, Websites, Women</w:t>
      </w:r>
    </w:p>
    <w:p w:rsidR="00365DE4" w:rsidRDefault="00365DE4" w:rsidP="00365DE4">
      <w:pPr>
        <w:pStyle w:val="a3"/>
        <w:rPr>
          <w:kern w:val="0"/>
        </w:rPr>
      </w:pPr>
      <w:r>
        <w:rPr>
          <w:kern w:val="0"/>
        </w:rPr>
        <w:t>? Darlow, B.A.</w:t>
      </w:r>
      <w:r w:rsidR="005853A9">
        <w:rPr>
          <w:kern w:val="0"/>
        </w:rPr>
        <w:t xml:space="preserve"> and </w:t>
      </w:r>
      <w:r>
        <w:rPr>
          <w:kern w:val="0"/>
        </w:rPr>
        <w:t>Graham, P.J. (2011), Vitamin A supplementation to prevent mortality</w:t>
      </w:r>
      <w:r w:rsidR="005853A9">
        <w:rPr>
          <w:kern w:val="0"/>
        </w:rPr>
        <w:t xml:space="preserve"> and </w:t>
      </w:r>
      <w:r>
        <w:rPr>
          <w:kern w:val="0"/>
        </w:rPr>
        <w:t>short-</w:t>
      </w:r>
      <w:r w:rsidR="005853A9">
        <w:rPr>
          <w:kern w:val="0"/>
        </w:rPr>
        <w:t xml:space="preserve"> and </w:t>
      </w:r>
      <w:r>
        <w:rPr>
          <w:kern w:val="0"/>
        </w:rPr>
        <w:t xml:space="preserve">long-term morbidity in very low birthweight infants.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CD000501.</w:t>
      </w:r>
    </w:p>
    <w:p w:rsidR="00365DE4" w:rsidRDefault="00365DE4" w:rsidP="00365DE4">
      <w:pPr>
        <w:pStyle w:val="a3"/>
        <w:rPr>
          <w:kern w:val="2"/>
        </w:rPr>
      </w:pPr>
      <w:r>
        <w:t xml:space="preserve">Full Text: </w:t>
      </w:r>
      <w:hyperlink r:id="rId680" w:history="1">
        <w:r>
          <w:rPr>
            <w:rStyle w:val="a5"/>
          </w:rPr>
          <w:t>2011\Coc Dat Sys Rev2011, CD000501.pdf</w:t>
        </w:r>
      </w:hyperlink>
    </w:p>
    <w:p w:rsidR="00365DE4" w:rsidRDefault="00365DE4" w:rsidP="00365DE4">
      <w:pPr>
        <w:pStyle w:val="a3"/>
        <w:rPr>
          <w:kern w:val="0"/>
        </w:rPr>
      </w:pPr>
      <w:r>
        <w:rPr>
          <w:kern w:val="0"/>
        </w:rPr>
        <w:t>Abstract: Background Vitamin A is necessary for normal lung growth</w:t>
      </w:r>
      <w:r w:rsidR="005853A9">
        <w:rPr>
          <w:kern w:val="0"/>
        </w:rPr>
        <w:t xml:space="preserve"> and </w:t>
      </w:r>
      <w:r>
        <w:rPr>
          <w:kern w:val="0"/>
        </w:rPr>
        <w:t>the integrity</w:t>
      </w:r>
      <w:r w:rsidR="00427468">
        <w:rPr>
          <w:kern w:val="0"/>
        </w:rPr>
        <w:t xml:space="preserve"> of </w:t>
      </w:r>
      <w:r>
        <w:rPr>
          <w:kern w:val="0"/>
        </w:rPr>
        <w:t>respiratory tract epithelial cells. Preterm infants have low vitamin A status at birth,</w:t>
      </w:r>
      <w:r w:rsidR="005853A9">
        <w:rPr>
          <w:kern w:val="0"/>
        </w:rPr>
        <w:t xml:space="preserve"> and </w:t>
      </w:r>
      <w:r>
        <w:rPr>
          <w:kern w:val="0"/>
        </w:rPr>
        <w:t>this has been associated with increased risk</w:t>
      </w:r>
      <w:r w:rsidR="00427468">
        <w:rPr>
          <w:kern w:val="0"/>
        </w:rPr>
        <w:t xml:space="preserve"> of </w:t>
      </w:r>
      <w:r>
        <w:rPr>
          <w:kern w:val="0"/>
        </w:rPr>
        <w:t>developing chronic lung disease. Objectives To evaluate vitamin A supplementation on the incidence</w:t>
      </w:r>
      <w:r w:rsidR="00427468">
        <w:rPr>
          <w:kern w:val="0"/>
        </w:rPr>
        <w:t xml:space="preserve"> of </w:t>
      </w:r>
      <w:r>
        <w:rPr>
          <w:kern w:val="0"/>
        </w:rPr>
        <w:t>death and/or neonatal chronic lung disease</w:t>
      </w:r>
      <w:r w:rsidR="005853A9">
        <w:rPr>
          <w:kern w:val="0"/>
        </w:rPr>
        <w:t xml:space="preserve"> and </w:t>
      </w:r>
      <w:r>
        <w:rPr>
          <w:kern w:val="0"/>
        </w:rPr>
        <w:t>long-term neurodevelopmental disability in very low birthweight infants (VLBW);</w:t>
      </w:r>
      <w:r w:rsidR="005853A9">
        <w:rPr>
          <w:kern w:val="0"/>
        </w:rPr>
        <w:t xml:space="preserve"> and </w:t>
      </w:r>
      <w:r>
        <w:rPr>
          <w:kern w:val="0"/>
        </w:rPr>
        <w:t>to consider the effect</w:t>
      </w:r>
      <w:r w:rsidR="00427468">
        <w:rPr>
          <w:kern w:val="0"/>
        </w:rPr>
        <w:t xml:space="preserve"> of </w:t>
      </w:r>
      <w:r>
        <w:rPr>
          <w:kern w:val="0"/>
        </w:rPr>
        <w:t xml:space="preserve">the supplementation </w:t>
      </w:r>
      <w:r>
        <w:rPr>
          <w:kern w:val="0"/>
        </w:rPr>
        <w:lastRenderedPageBreak/>
        <w:t>route, dose,</w:t>
      </w:r>
      <w:r w:rsidR="005853A9">
        <w:rPr>
          <w:kern w:val="0"/>
        </w:rPr>
        <w:t xml:space="preserve"> and </w:t>
      </w:r>
      <w:r>
        <w:rPr>
          <w:kern w:val="0"/>
        </w:rPr>
        <w:t>timing. Search strategy In August 2011, the Cochrane Central Regsiter</w:t>
      </w:r>
      <w:r w:rsidR="00427468">
        <w:rPr>
          <w:kern w:val="0"/>
        </w:rPr>
        <w:t xml:space="preserve"> of </w:t>
      </w:r>
      <w:r>
        <w:rPr>
          <w:kern w:val="0"/>
        </w:rPr>
        <w:t xml:space="preserve">Controlled Trials (Central, The Cochrane Library), </w:t>
      </w:r>
      <w:r w:rsidR="00D5664A">
        <w:rPr>
          <w:kern w:val="0"/>
        </w:rPr>
        <w:t>MEDLINE</w:t>
      </w:r>
      <w:r>
        <w:rPr>
          <w:kern w:val="0"/>
        </w:rPr>
        <w:t>, Science Citation Index</w:t>
      </w:r>
      <w:r w:rsidR="005853A9">
        <w:rPr>
          <w:kern w:val="0"/>
        </w:rPr>
        <w:t xml:space="preserve"> and </w:t>
      </w:r>
      <w:r>
        <w:rPr>
          <w:kern w:val="0"/>
        </w:rPr>
        <w:t>the Oxford Database</w:t>
      </w:r>
      <w:r w:rsidR="00427468">
        <w:rPr>
          <w:kern w:val="0"/>
        </w:rPr>
        <w:t xml:space="preserve"> of </w:t>
      </w:r>
      <w:r>
        <w:rPr>
          <w:kern w:val="0"/>
        </w:rPr>
        <w:t>Perinatal Trials were searched</w:t>
      </w:r>
      <w:r w:rsidR="00A37C1D">
        <w:rPr>
          <w:kern w:val="0"/>
        </w:rPr>
        <w:t>. The</w:t>
      </w:r>
      <w:r>
        <w:rPr>
          <w:kern w:val="0"/>
        </w:rPr>
        <w:t xml:space="preserve"> reference lists</w:t>
      </w:r>
      <w:r w:rsidR="00427468">
        <w:rPr>
          <w:kern w:val="0"/>
        </w:rPr>
        <w:t xml:space="preserve"> of </w:t>
      </w:r>
      <w:r>
        <w:rPr>
          <w:kern w:val="0"/>
        </w:rPr>
        <w:t>relevant trials, paediatric</w:t>
      </w:r>
      <w:r w:rsidR="005853A9">
        <w:rPr>
          <w:kern w:val="0"/>
        </w:rPr>
        <w:t xml:space="preserve"> and </w:t>
      </w:r>
      <w:r>
        <w:rPr>
          <w:kern w:val="0"/>
        </w:rPr>
        <w:t>nutrition journals,</w:t>
      </w:r>
      <w:r w:rsidR="005853A9">
        <w:rPr>
          <w:kern w:val="0"/>
        </w:rPr>
        <w:t xml:space="preserve"> and </w:t>
      </w:r>
      <w:r>
        <w:rPr>
          <w:kern w:val="0"/>
        </w:rPr>
        <w:t>conference abstracts</w:t>
      </w:r>
      <w:r w:rsidR="005853A9">
        <w:rPr>
          <w:kern w:val="0"/>
        </w:rPr>
        <w:t xml:space="preserve"> and </w:t>
      </w:r>
      <w:r>
        <w:rPr>
          <w:kern w:val="0"/>
        </w:rPr>
        <w:t>proceedings were handsearched up to 2007. Selection criteria Randomised controlled trials comparing vitamin A supplementation with a control (placebo or no supplementation) or other dosage regimens in VLBW infants (birthweight &lt;= 1500 g or &lt; 32 weeks</w:t>
      </w:r>
      <w:r w:rsidR="0071223E">
        <w:rPr>
          <w:kern w:val="0"/>
        </w:rPr>
        <w:t>’</w:t>
      </w:r>
      <w:r>
        <w:rPr>
          <w:kern w:val="0"/>
        </w:rPr>
        <w:t xml:space="preserve"> gestation). Data collection</w:t>
      </w:r>
      <w:r w:rsidR="005853A9">
        <w:rPr>
          <w:kern w:val="0"/>
        </w:rPr>
        <w:t xml:space="preserve"> and </w:t>
      </w:r>
      <w:r>
        <w:rPr>
          <w:kern w:val="0"/>
        </w:rPr>
        <w:t>analysis Both review authors screened the search results, extracted data,</w:t>
      </w:r>
      <w:r w:rsidR="005853A9">
        <w:rPr>
          <w:kern w:val="0"/>
        </w:rPr>
        <w:t xml:space="preserve"> and </w:t>
      </w:r>
      <w:r>
        <w:rPr>
          <w:kern w:val="0"/>
        </w:rPr>
        <w:t>assessed the trials</w:t>
      </w:r>
      <w:r w:rsidR="0071223E">
        <w:rPr>
          <w:kern w:val="0"/>
        </w:rPr>
        <w:t>’</w:t>
      </w:r>
      <w:r>
        <w:rPr>
          <w:kern w:val="0"/>
        </w:rPr>
        <w:t xml:space="preserve"> risk</w:t>
      </w:r>
      <w:r w:rsidR="00427468">
        <w:rPr>
          <w:kern w:val="0"/>
        </w:rPr>
        <w:t xml:space="preserve"> of </w:t>
      </w:r>
      <w:r>
        <w:rPr>
          <w:kern w:val="0"/>
        </w:rPr>
        <w:t>bias. Results were reported as risk ratios (RR), risk differences (RD),</w:t>
      </w:r>
      <w:r w:rsidR="005853A9">
        <w:rPr>
          <w:kern w:val="0"/>
        </w:rPr>
        <w:t xml:space="preserve"> and </w:t>
      </w:r>
      <w:r>
        <w:rPr>
          <w:kern w:val="0"/>
        </w:rPr>
        <w:t>number needed to treat to benefit (NNTB), all with 95% confidence intervals (CI). Trialists were contacted for additional data. Main results Nine trials met the inclusion criteria, eight compared vitamin A supplementation with a control (1291 infants),</w:t>
      </w:r>
      <w:r w:rsidR="005853A9">
        <w:rPr>
          <w:kern w:val="0"/>
        </w:rPr>
        <w:t xml:space="preserve"> and </w:t>
      </w:r>
      <w:r>
        <w:rPr>
          <w:kern w:val="0"/>
        </w:rPr>
        <w:t>one compared different regimens (120 infants). Compared to the control group, vitamin A appears to be beneficial in reducing death or oxygen requirement at one month</w:t>
      </w:r>
      <w:r w:rsidR="00427468">
        <w:rPr>
          <w:kern w:val="0"/>
        </w:rPr>
        <w:t xml:space="preserve"> of </w:t>
      </w:r>
      <w:r>
        <w:rPr>
          <w:kern w:val="0"/>
        </w:rPr>
        <w:t>age (RR 0.93, 95% CI 0.88 to 0.99; RD -0.05, 95% CI -0.10 to -0.01; NNTB 20, 95% CI 10 to 100; 1165 infants)</w:t>
      </w:r>
      <w:r w:rsidR="005853A9">
        <w:rPr>
          <w:kern w:val="0"/>
        </w:rPr>
        <w:t xml:space="preserve"> and </w:t>
      </w:r>
      <w:r>
        <w:rPr>
          <w:kern w:val="0"/>
        </w:rPr>
        <w:t>oxygen requirement at 36 weeks</w:t>
      </w:r>
      <w:r w:rsidR="0071223E">
        <w:rPr>
          <w:kern w:val="0"/>
        </w:rPr>
        <w:t>’</w:t>
      </w:r>
      <w:r>
        <w:rPr>
          <w:kern w:val="0"/>
        </w:rPr>
        <w:t xml:space="preserve"> postmenstrual age (RR 0.87, 95% CI 0.77 to 0.98; RD -0.08, 95% CI -0.14 to -0.01; NNTB 13, 95% CI 7 to 100; 824 infants). A trend towards a reduction in death or oxygen requirement at 36 weeks</w:t>
      </w:r>
      <w:r w:rsidR="0071223E">
        <w:rPr>
          <w:kern w:val="0"/>
        </w:rPr>
        <w:t>’</w:t>
      </w:r>
      <w:r>
        <w:rPr>
          <w:kern w:val="0"/>
        </w:rPr>
        <w:t xml:space="preserve"> postmenstrual age was also noted (RR 0.91, 95% CI 0.82 to 1.00; 1001 infants). Neurodevelopmental assessment</w:t>
      </w:r>
      <w:r w:rsidR="00427468">
        <w:rPr>
          <w:kern w:val="0"/>
        </w:rPr>
        <w:t xml:space="preserve"> of </w:t>
      </w:r>
      <w:r>
        <w:rPr>
          <w:kern w:val="0"/>
        </w:rPr>
        <w:t>88%</w:t>
      </w:r>
      <w:r w:rsidR="00427468">
        <w:rPr>
          <w:kern w:val="0"/>
        </w:rPr>
        <w:t xml:space="preserve"> of </w:t>
      </w:r>
      <w:r>
        <w:rPr>
          <w:kern w:val="0"/>
        </w:rPr>
        <w:t>surviving infants in the largest trial showed no differences between the groups at 18 to 22 months</w:t>
      </w:r>
      <w:r w:rsidR="00427468">
        <w:rPr>
          <w:kern w:val="0"/>
        </w:rPr>
        <w:t xml:space="preserve"> of </w:t>
      </w:r>
      <w:r>
        <w:rPr>
          <w:kern w:val="0"/>
        </w:rPr>
        <w:t>age, corrected for prematurity</w:t>
      </w:r>
      <w:r w:rsidR="00A37C1D">
        <w:rPr>
          <w:kern w:val="0"/>
        </w:rPr>
        <w:t>. The</w:t>
      </w:r>
      <w:r>
        <w:rPr>
          <w:kern w:val="0"/>
        </w:rPr>
        <w:t xml:space="preserve"> different dosage vitamin A regimens showed similar results. Authors</w:t>
      </w:r>
      <w:r w:rsidR="0071223E">
        <w:rPr>
          <w:kern w:val="0"/>
        </w:rPr>
        <w:t>’</w:t>
      </w:r>
      <w:r>
        <w:rPr>
          <w:kern w:val="0"/>
        </w:rPr>
        <w:t xml:space="preserve"> conclusions Whether clinicians decide to utilise repeat intramuscular doses</w:t>
      </w:r>
      <w:r w:rsidR="00427468">
        <w:rPr>
          <w:kern w:val="0"/>
        </w:rPr>
        <w:t xml:space="preserve"> of </w:t>
      </w:r>
      <w:r>
        <w:rPr>
          <w:kern w:val="0"/>
        </w:rPr>
        <w:t>vitamin A to prevent chronic lung disease may depend upon the local incidence</w:t>
      </w:r>
      <w:r w:rsidR="00427468">
        <w:rPr>
          <w:kern w:val="0"/>
        </w:rPr>
        <w:t xml:space="preserve"> of </w:t>
      </w:r>
      <w:r>
        <w:rPr>
          <w:kern w:val="0"/>
        </w:rPr>
        <w:t>this outcome</w:t>
      </w:r>
      <w:r w:rsidR="005853A9">
        <w:rPr>
          <w:kern w:val="0"/>
        </w:rPr>
        <w:t xml:space="preserve"> and </w:t>
      </w:r>
      <w:r>
        <w:rPr>
          <w:kern w:val="0"/>
        </w:rPr>
        <w:t>the value attached to achieving a modest reduction in this outcome, balanced against the lack</w:t>
      </w:r>
      <w:r w:rsidR="00427468">
        <w:rPr>
          <w:kern w:val="0"/>
        </w:rPr>
        <w:t xml:space="preserve"> of </w:t>
      </w:r>
      <w:r>
        <w:rPr>
          <w:kern w:val="0"/>
        </w:rPr>
        <w:t>other proven benefits</w:t>
      </w:r>
      <w:r w:rsidR="005853A9">
        <w:rPr>
          <w:kern w:val="0"/>
        </w:rPr>
        <w:t xml:space="preserve"> and </w:t>
      </w:r>
      <w:r>
        <w:rPr>
          <w:kern w:val="0"/>
        </w:rPr>
        <w:t>the acceptability</w:t>
      </w:r>
      <w:r w:rsidR="00427468">
        <w:rPr>
          <w:kern w:val="0"/>
        </w:rPr>
        <w:t xml:space="preserve"> of </w:t>
      </w:r>
      <w:r>
        <w:rPr>
          <w:kern w:val="0"/>
        </w:rPr>
        <w:t>treatment. Information on long-term neurodevelopmental status suggests no evidence</w:t>
      </w:r>
      <w:r w:rsidR="00427468">
        <w:rPr>
          <w:kern w:val="0"/>
        </w:rPr>
        <w:t xml:space="preserve"> of </w:t>
      </w:r>
      <w:r>
        <w:rPr>
          <w:kern w:val="0"/>
        </w:rPr>
        <w:t>either benefit or harm from the intervention.</w:t>
      </w:r>
    </w:p>
    <w:p w:rsidR="00365DE4" w:rsidRDefault="00365DE4" w:rsidP="00365DE4">
      <w:pPr>
        <w:pStyle w:val="a3"/>
        <w:rPr>
          <w:kern w:val="0"/>
        </w:rPr>
      </w:pPr>
      <w:r>
        <w:rPr>
          <w:kern w:val="0"/>
        </w:rPr>
        <w:t xml:space="preserve">Keywords: Analysis, Assessment, Authors, Bias, Birthweight, Bronchopulmonary Dysplasia, Chronic Lung-Disease, Citation, Cochrane, Confidence Intervals, Control, Database, Differences, Disability, Disease, Growth, Humans, Incidence, Infant,Newborn, Infant,Premature, Infant,Premature, Diseases [Prevention &amp; Control], Infant,Very Low Birth Weight, Infants, Intervention, Journals, Low, Low Birthweight, Lung Diseases [Prevention &amp; Control], </w:t>
      </w:r>
      <w:r w:rsidR="00D5664A">
        <w:rPr>
          <w:kern w:val="0"/>
        </w:rPr>
        <w:t>MEDLINE</w:t>
      </w:r>
      <w:r>
        <w:rPr>
          <w:kern w:val="0"/>
        </w:rPr>
        <w:t xml:space="preserve">, Morbidity, Mortality, Normal, Nutrition, Outcome, Paediatric, Premature-Infants, Preterm Infants, Randomized Controlled Trials As Topic, Randomized Controlled-Trial, Reduction, Respiratory, Review, Risk, Science, Science Citation Index, Search Strategy, Selection, Strategy, Tract, Treatment, Trend, Vitamin A [Therapeutic Use], </w:t>
      </w:r>
      <w:r>
        <w:rPr>
          <w:kern w:val="0"/>
        </w:rPr>
        <w:lastRenderedPageBreak/>
        <w:t>Vitamins [Therapeutic Use]</w:t>
      </w:r>
    </w:p>
    <w:p w:rsidR="00365DE4" w:rsidRDefault="00365DE4" w:rsidP="00365DE4">
      <w:pPr>
        <w:pStyle w:val="a3"/>
        <w:rPr>
          <w:kern w:val="0"/>
        </w:rPr>
      </w:pPr>
      <w:r>
        <w:rPr>
          <w:kern w:val="0"/>
        </w:rPr>
        <w:t>? Alderson, P., Bunn, F., Li, W.P.A., Li, L., Blackhall, K., Roberts, I.</w:t>
      </w:r>
      <w:r w:rsidR="005853A9">
        <w:rPr>
          <w:kern w:val="0"/>
        </w:rPr>
        <w:t xml:space="preserve"> and </w:t>
      </w:r>
      <w:r>
        <w:rPr>
          <w:kern w:val="0"/>
        </w:rPr>
        <w:t>Schierhout, G. (2011), Human albumin solution for resuscitation</w:t>
      </w:r>
      <w:r w:rsidR="005853A9">
        <w:rPr>
          <w:kern w:val="0"/>
        </w:rPr>
        <w:t xml:space="preserve"> and </w:t>
      </w:r>
      <w:r>
        <w:rPr>
          <w:kern w:val="0"/>
        </w:rPr>
        <w:t xml:space="preserve">volume expansion in critically ill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CD001208.</w:t>
      </w:r>
    </w:p>
    <w:p w:rsidR="00365DE4" w:rsidRDefault="00365DE4" w:rsidP="00365DE4">
      <w:pPr>
        <w:pStyle w:val="a3"/>
        <w:rPr>
          <w:kern w:val="2"/>
        </w:rPr>
      </w:pPr>
      <w:r>
        <w:t xml:space="preserve">Full Text: </w:t>
      </w:r>
      <w:hyperlink r:id="rId681" w:history="1">
        <w:r>
          <w:rPr>
            <w:rStyle w:val="a5"/>
          </w:rPr>
          <w:t>2011\Coc Dat Sys Rev2011, CD001208.pdf</w:t>
        </w:r>
      </w:hyperlink>
    </w:p>
    <w:p w:rsidR="00365DE4" w:rsidRDefault="00365DE4" w:rsidP="00365DE4">
      <w:pPr>
        <w:pStyle w:val="a3"/>
        <w:rPr>
          <w:kern w:val="0"/>
        </w:rPr>
      </w:pPr>
      <w:r>
        <w:rPr>
          <w:kern w:val="0"/>
        </w:rPr>
        <w:t>Abstract: Background Human albumin solutions are used for a range</w:t>
      </w:r>
      <w:r w:rsidR="00427468">
        <w:rPr>
          <w:kern w:val="0"/>
        </w:rPr>
        <w:t xml:space="preserve"> of </w:t>
      </w:r>
      <w:r>
        <w:rPr>
          <w:kern w:val="0"/>
        </w:rPr>
        <w:t>medical</w:t>
      </w:r>
      <w:r w:rsidR="005853A9">
        <w:rPr>
          <w:kern w:val="0"/>
        </w:rPr>
        <w:t xml:space="preserve"> and </w:t>
      </w:r>
      <w:r>
        <w:rPr>
          <w:kern w:val="0"/>
        </w:rPr>
        <w:t>surgical problems. Licensed indications are the emergency treatment</w:t>
      </w:r>
      <w:r w:rsidR="00427468">
        <w:rPr>
          <w:kern w:val="0"/>
        </w:rPr>
        <w:t xml:space="preserve"> of </w:t>
      </w:r>
      <w:r>
        <w:rPr>
          <w:kern w:val="0"/>
        </w:rPr>
        <w:t>shock</w:t>
      </w:r>
      <w:r w:rsidR="005853A9">
        <w:rPr>
          <w:kern w:val="0"/>
        </w:rPr>
        <w:t xml:space="preserve"> and </w:t>
      </w:r>
      <w:r>
        <w:rPr>
          <w:kern w:val="0"/>
        </w:rPr>
        <w:t>other conditions where restoration</w:t>
      </w:r>
      <w:r w:rsidR="00427468">
        <w:rPr>
          <w:kern w:val="0"/>
        </w:rPr>
        <w:t xml:space="preserve"> of </w:t>
      </w:r>
      <w:r>
        <w:rPr>
          <w:kern w:val="0"/>
        </w:rPr>
        <w:t>blood volume is urgent, such as in burns</w:t>
      </w:r>
      <w:r w:rsidR="005853A9">
        <w:rPr>
          <w:kern w:val="0"/>
        </w:rPr>
        <w:t xml:space="preserve"> and </w:t>
      </w:r>
      <w:r>
        <w:rPr>
          <w:kern w:val="0"/>
        </w:rPr>
        <w:t>hypoproteinaemia. Human albumin solutions are more expensive than other colloids</w:t>
      </w:r>
      <w:r w:rsidR="005853A9">
        <w:rPr>
          <w:kern w:val="0"/>
        </w:rPr>
        <w:t xml:space="preserve"> and </w:t>
      </w:r>
      <w:r>
        <w:rPr>
          <w:kern w:val="0"/>
        </w:rPr>
        <w:t>crystalloids. Objectives To quantify the effect on mortality</w:t>
      </w:r>
      <w:r w:rsidR="00427468">
        <w:rPr>
          <w:kern w:val="0"/>
        </w:rPr>
        <w:t xml:space="preserve"> of </w:t>
      </w:r>
      <w:r>
        <w:rPr>
          <w:kern w:val="0"/>
        </w:rPr>
        <w:t>human albumin</w:t>
      </w:r>
      <w:r w:rsidR="005853A9">
        <w:rPr>
          <w:kern w:val="0"/>
        </w:rPr>
        <w:t xml:space="preserve"> and </w:t>
      </w:r>
      <w:r>
        <w:rPr>
          <w:kern w:val="0"/>
        </w:rPr>
        <w:t>plasma protein fraction (PPF) administration in the management</w:t>
      </w:r>
      <w:r w:rsidR="00427468">
        <w:rPr>
          <w:kern w:val="0"/>
        </w:rPr>
        <w:t xml:space="preserve"> of </w:t>
      </w:r>
      <w:r>
        <w:rPr>
          <w:kern w:val="0"/>
        </w:rPr>
        <w:t>critically ill patients. Search strategy We searched the Cochrane Injuries Group Specialised Register (searched 31 May 2011), the Cochrane Central Register</w:t>
      </w:r>
      <w:r w:rsidR="00427468">
        <w:rPr>
          <w:kern w:val="0"/>
        </w:rPr>
        <w:t xml:space="preserve"> of </w:t>
      </w:r>
      <w:r>
        <w:rPr>
          <w:kern w:val="0"/>
        </w:rPr>
        <w:t xml:space="preserve">Controlled Trials (CENTRAL) (The Cochrane Library 2011, Issue 2), </w:t>
      </w:r>
      <w:r w:rsidR="00D5664A">
        <w:rPr>
          <w:kern w:val="0"/>
        </w:rPr>
        <w:t>MEDLINE</w:t>
      </w:r>
      <w:r>
        <w:rPr>
          <w:kern w:val="0"/>
        </w:rPr>
        <w:t xml:space="preserve"> (Ovid) (1948 to week 3 May 2011), EMBASE (Ovid) (1980 to Week 21 2011), CINAHL (EBSCO) (1982 to May 2011),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May 2011), ISI </w:t>
      </w:r>
      <w:r w:rsidR="00D5664A">
        <w:rPr>
          <w:kern w:val="0"/>
        </w:rPr>
        <w:t>Web</w:t>
      </w:r>
      <w:r w:rsidR="00427468">
        <w:rPr>
          <w:kern w:val="0"/>
        </w:rPr>
        <w:t xml:space="preserve"> of </w:t>
      </w:r>
      <w:r w:rsidR="00D5664A">
        <w:rPr>
          <w:kern w:val="0"/>
        </w:rPr>
        <w:t>Science</w:t>
      </w:r>
      <w:r>
        <w:rPr>
          <w:kern w:val="0"/>
        </w:rPr>
        <w:t>: Conference Proceedings Citation Index - Science (CPCI-S) (1990 to May 2011), PubMed (www.ncbi.nlm.nih.gov/sites/entrez/) (searched 10 June 2011, limit: last 60 days). Reference lists</w:t>
      </w:r>
      <w:r w:rsidR="00427468">
        <w:rPr>
          <w:kern w:val="0"/>
        </w:rPr>
        <w:t xml:space="preserve"> of </w:t>
      </w:r>
      <w:r>
        <w:rPr>
          <w:kern w:val="0"/>
        </w:rPr>
        <w:t>trials</w:t>
      </w:r>
      <w:r w:rsidR="005853A9">
        <w:rPr>
          <w:kern w:val="0"/>
        </w:rPr>
        <w:t xml:space="preserve"> and </w:t>
      </w:r>
      <w:r>
        <w:rPr>
          <w:kern w:val="0"/>
        </w:rPr>
        <w:t>review articles were checked,</w:t>
      </w:r>
      <w:r w:rsidR="005853A9">
        <w:rPr>
          <w:kern w:val="0"/>
        </w:rPr>
        <w:t xml:space="preserve"> and </w:t>
      </w:r>
      <w:r>
        <w:rPr>
          <w:kern w:val="0"/>
        </w:rPr>
        <w:t>authors</w:t>
      </w:r>
      <w:r w:rsidR="00427468">
        <w:rPr>
          <w:kern w:val="0"/>
        </w:rPr>
        <w:t xml:space="preserve"> of </w:t>
      </w:r>
      <w:r>
        <w:rPr>
          <w:kern w:val="0"/>
        </w:rPr>
        <w:t>identified trials were contacted. Selection criteria Randomised controlled trials comparing albumin or PPF with no albumin or PPF or with a crystalloid solution in critically ill patients with hypovolaemia, burns or hypoalbuminaemia. Data collection</w:t>
      </w:r>
      <w:r w:rsidR="005853A9">
        <w:rPr>
          <w:kern w:val="0"/>
        </w:rPr>
        <w:t xml:space="preserve"> and </w:t>
      </w:r>
      <w:r>
        <w:rPr>
          <w:kern w:val="0"/>
        </w:rPr>
        <w:t>analysis We collected data on the participants, albumin solution used, mortality at the end</w:t>
      </w:r>
      <w:r w:rsidR="00427468">
        <w:rPr>
          <w:kern w:val="0"/>
        </w:rPr>
        <w:t xml:space="preserve"> of </w:t>
      </w:r>
      <w:r>
        <w:rPr>
          <w:kern w:val="0"/>
        </w:rPr>
        <w:t>follow up,</w:t>
      </w:r>
      <w:r w:rsidR="005853A9">
        <w:rPr>
          <w:kern w:val="0"/>
        </w:rPr>
        <w:t xml:space="preserve"> and </w:t>
      </w:r>
      <w:r>
        <w:rPr>
          <w:kern w:val="0"/>
        </w:rPr>
        <w:t>quality</w:t>
      </w:r>
      <w:r w:rsidR="00427468">
        <w:rPr>
          <w:kern w:val="0"/>
        </w:rPr>
        <w:t xml:space="preserve"> of </w:t>
      </w:r>
      <w:r>
        <w:rPr>
          <w:kern w:val="0"/>
        </w:rPr>
        <w:t>allocation concealment. Analysis was stratified according to patient type. Main results We found 38 trials meeting the inclusion criteria</w:t>
      </w:r>
      <w:r w:rsidR="005853A9">
        <w:rPr>
          <w:kern w:val="0"/>
        </w:rPr>
        <w:t xml:space="preserve"> and </w:t>
      </w:r>
      <w:r>
        <w:rPr>
          <w:kern w:val="0"/>
        </w:rPr>
        <w:t>reporting death as an outcome</w:t>
      </w:r>
      <w:r w:rsidR="00A37C1D">
        <w:rPr>
          <w:kern w:val="0"/>
        </w:rPr>
        <w:t>. The</w:t>
      </w:r>
      <w:r>
        <w:rPr>
          <w:kern w:val="0"/>
        </w:rPr>
        <w:t>re were 1,958 deaths among 10,842 trial participants. For hypovolaemia, the relative risk</w:t>
      </w:r>
      <w:r w:rsidR="00427468">
        <w:rPr>
          <w:kern w:val="0"/>
        </w:rPr>
        <w:t xml:space="preserve"> of </w:t>
      </w:r>
      <w:r>
        <w:rPr>
          <w:kern w:val="0"/>
        </w:rPr>
        <w:t>death following albumin administration was 1.02 (95% confidence interval (CI) 0.92 to 1.13). This estimate was heavily influenced by the results</w:t>
      </w:r>
      <w:r w:rsidR="00427468">
        <w:rPr>
          <w:kern w:val="0"/>
        </w:rPr>
        <w:t xml:space="preserve"> of </w:t>
      </w:r>
      <w:r>
        <w:rPr>
          <w:kern w:val="0"/>
        </w:rPr>
        <w:t>the SAFE trial, which contributed 75.2%</w:t>
      </w:r>
      <w:r w:rsidR="00427468">
        <w:rPr>
          <w:kern w:val="0"/>
        </w:rPr>
        <w:t xml:space="preserve"> of </w:t>
      </w:r>
      <w:r>
        <w:rPr>
          <w:kern w:val="0"/>
        </w:rPr>
        <w:t>the information (based on the weights in the meta-analysis). For burns, the relative risk was 2.93 (95% CI 1.28 to 6.72)</w:t>
      </w:r>
      <w:r w:rsidR="005853A9">
        <w:rPr>
          <w:kern w:val="0"/>
        </w:rPr>
        <w:t xml:space="preserve"> and </w:t>
      </w:r>
      <w:r>
        <w:rPr>
          <w:kern w:val="0"/>
        </w:rPr>
        <w:t>for hypoalbuminaemia the relative risk was 1.26 (95% CI 0.84 to 1.88)</w:t>
      </w:r>
      <w:r w:rsidR="00A37C1D">
        <w:rPr>
          <w:kern w:val="0"/>
        </w:rPr>
        <w:t>. The</w:t>
      </w:r>
      <w:r>
        <w:rPr>
          <w:kern w:val="0"/>
        </w:rPr>
        <w:t>re was no substantial heterogeneity between the trials in the various categories (Chi(2) = 26.66, df = 31, P = 0.69)</w:t>
      </w:r>
      <w:r w:rsidR="00A37C1D">
        <w:rPr>
          <w:kern w:val="0"/>
        </w:rPr>
        <w:t>. The</w:t>
      </w:r>
      <w:r>
        <w:rPr>
          <w:kern w:val="0"/>
        </w:rPr>
        <w:t xml:space="preserve"> pooled relative risk</w:t>
      </w:r>
      <w:r w:rsidR="00427468">
        <w:rPr>
          <w:kern w:val="0"/>
        </w:rPr>
        <w:t xml:space="preserve"> of </w:t>
      </w:r>
      <w:r>
        <w:rPr>
          <w:kern w:val="0"/>
        </w:rPr>
        <w:t>death with albumin administration was 1.05 (95% CI 0.95 to 1.16). Authors</w:t>
      </w:r>
      <w:r w:rsidR="0071223E">
        <w:rPr>
          <w:kern w:val="0"/>
        </w:rPr>
        <w:t>’</w:t>
      </w:r>
      <w:r>
        <w:rPr>
          <w:kern w:val="0"/>
        </w:rPr>
        <w:t xml:space="preserve"> conclusions For patients with hypovolaemia, there is no evidence that albumin reduces mortality when compared with cheaper alternatives such as saline</w:t>
      </w:r>
      <w:r w:rsidR="00A37C1D">
        <w:rPr>
          <w:kern w:val="0"/>
        </w:rPr>
        <w:t>. The</w:t>
      </w:r>
      <w:r>
        <w:rPr>
          <w:kern w:val="0"/>
        </w:rPr>
        <w:t>re is no evidence that albumin reduces mortality in critically ill patients with burns</w:t>
      </w:r>
      <w:r w:rsidR="005853A9">
        <w:rPr>
          <w:kern w:val="0"/>
        </w:rPr>
        <w:t xml:space="preserve"> and </w:t>
      </w:r>
      <w:r>
        <w:rPr>
          <w:kern w:val="0"/>
        </w:rPr>
        <w:lastRenderedPageBreak/>
        <w:t>hypoalbuminaemia</w:t>
      </w:r>
      <w:r w:rsidR="00A37C1D">
        <w:rPr>
          <w:kern w:val="0"/>
        </w:rPr>
        <w:t>. The</w:t>
      </w:r>
      <w:r>
        <w:rPr>
          <w:kern w:val="0"/>
        </w:rPr>
        <w:t xml:space="preserve"> possibility that there may be highly selected populations</w:t>
      </w:r>
      <w:r w:rsidR="00427468">
        <w:rPr>
          <w:kern w:val="0"/>
        </w:rPr>
        <w:t xml:space="preserve"> of </w:t>
      </w:r>
      <w:r>
        <w:rPr>
          <w:kern w:val="0"/>
        </w:rPr>
        <w:t>critically ill patients in which albumin may be indicated remains open to question. However, in view</w:t>
      </w:r>
      <w:r w:rsidR="00427468">
        <w:rPr>
          <w:kern w:val="0"/>
        </w:rPr>
        <w:t xml:space="preserve"> of </w:t>
      </w:r>
      <w:r>
        <w:rPr>
          <w:kern w:val="0"/>
        </w:rPr>
        <w:t>the absence</w:t>
      </w:r>
      <w:r w:rsidR="00427468">
        <w:rPr>
          <w:kern w:val="0"/>
        </w:rPr>
        <w:t xml:space="preserve"> of </w:t>
      </w:r>
      <w:r>
        <w:rPr>
          <w:kern w:val="0"/>
        </w:rPr>
        <w:t>evidence</w:t>
      </w:r>
      <w:r w:rsidR="00427468">
        <w:rPr>
          <w:kern w:val="0"/>
        </w:rPr>
        <w:t xml:space="preserve"> of </w:t>
      </w:r>
      <w:r>
        <w:rPr>
          <w:kern w:val="0"/>
        </w:rPr>
        <w:t>a mortality benefit from albumin</w:t>
      </w:r>
      <w:r w:rsidR="005853A9">
        <w:rPr>
          <w:kern w:val="0"/>
        </w:rPr>
        <w:t xml:space="preserve"> and </w:t>
      </w:r>
      <w:r>
        <w:rPr>
          <w:kern w:val="0"/>
        </w:rPr>
        <w:t>the increased cost</w:t>
      </w:r>
      <w:r w:rsidR="00427468">
        <w:rPr>
          <w:kern w:val="0"/>
        </w:rPr>
        <w:t xml:space="preserve"> of </w:t>
      </w:r>
      <w:r>
        <w:rPr>
          <w:kern w:val="0"/>
        </w:rPr>
        <w:t>albumin compared to alternatives such as saline, it would seem reasonable that albumin should only be used within the context</w:t>
      </w:r>
      <w:r w:rsidR="00427468">
        <w:rPr>
          <w:kern w:val="0"/>
        </w:rPr>
        <w:t xml:space="preserve"> of </w:t>
      </w:r>
      <w:r>
        <w:rPr>
          <w:kern w:val="0"/>
        </w:rPr>
        <w:t>well concealed</w:t>
      </w:r>
      <w:r w:rsidR="005853A9">
        <w:rPr>
          <w:kern w:val="0"/>
        </w:rPr>
        <w:t xml:space="preserve"> and </w:t>
      </w:r>
      <w:r>
        <w:rPr>
          <w:kern w:val="0"/>
        </w:rPr>
        <w:t>adequately powered randomised controlled trials.</w:t>
      </w:r>
    </w:p>
    <w:p w:rsidR="00365DE4" w:rsidRDefault="00365DE4" w:rsidP="00365DE4">
      <w:pPr>
        <w:pStyle w:val="a3"/>
        <w:rPr>
          <w:kern w:val="0"/>
        </w:rPr>
      </w:pPr>
      <w:r>
        <w:rPr>
          <w:kern w:val="0"/>
        </w:rPr>
        <w:t>Keywords: 5-Percent Albumin, Analysis, Authors, Blood, Blood Proteins [Therapeutic Use], Cerebral-Blood-Flow, Citation, Cochrane, Colloid Osmotic-Pressure, Conference, Critical Illness [Mortality, Critically Ill Patients, Embase, Emergency, Fluid Resuscitation, Fluid Therapy, Follow-Up, Human, Humans, Hypoalbuminemic Patients, Information, Intensive-Care-Unit</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Major Surgery, Management, Medical, </w:t>
      </w:r>
      <w:r w:rsidR="00D5664A">
        <w:rPr>
          <w:kern w:val="0"/>
        </w:rPr>
        <w:t>MEDLINE</w:t>
      </w:r>
      <w:r>
        <w:rPr>
          <w:kern w:val="0"/>
        </w:rPr>
        <w:t xml:space="preserve">, Meta Analysis, Meta-Analysis, Mortality, Normal Saline, Outcome, Patients, Plasma, Plasma Substitutes [Therapeutic Use], Pubmed, Quality, Randomized Controlled Trials As Topic, Randomized Controlled-Trial, Relative Risk, Restoration, Review, Risk, Safe, Science, Science Citation Index, Search Strategy, Selection, Serum Albumin [Therapeutic Use], Serum Globulins, Strategy, Surgical, Therapy], Total Parenteral-Nutrition,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Heiwe, S.</w:t>
      </w:r>
      <w:r w:rsidR="005853A9">
        <w:rPr>
          <w:kern w:val="0"/>
        </w:rPr>
        <w:t xml:space="preserve"> and </w:t>
      </w:r>
      <w:r>
        <w:rPr>
          <w:kern w:val="0"/>
        </w:rPr>
        <w:t xml:space="preserve">Jacobson, S.H. (2011), Exercise training for adults with chronic kidney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CD003236.</w:t>
      </w:r>
    </w:p>
    <w:p w:rsidR="00365DE4" w:rsidRDefault="00365DE4" w:rsidP="00365DE4">
      <w:pPr>
        <w:pStyle w:val="a3"/>
        <w:rPr>
          <w:kern w:val="2"/>
        </w:rPr>
      </w:pPr>
      <w:r>
        <w:t xml:space="preserve">Full Text: </w:t>
      </w:r>
      <w:hyperlink r:id="rId682" w:history="1">
        <w:r>
          <w:rPr>
            <w:rStyle w:val="a5"/>
          </w:rPr>
          <w:t>2011\Coc Dat Sys Rev2011, CD003236.pdf</w:t>
        </w:r>
      </w:hyperlink>
    </w:p>
    <w:p w:rsidR="00365DE4" w:rsidRDefault="00365DE4" w:rsidP="00365DE4">
      <w:pPr>
        <w:pStyle w:val="a3"/>
        <w:rPr>
          <w:kern w:val="0"/>
        </w:rPr>
      </w:pPr>
      <w:r>
        <w:rPr>
          <w:kern w:val="0"/>
        </w:rPr>
        <w:t>Abstract: Background Chronic kidney disease (CKD) is a worldwide public health problem. In the National Kidney Foundation Disease Outcomes Quality Initiative guidelines it is stressed that lifestyle issues such as physical activity should be seen as cornerstones</w:t>
      </w:r>
      <w:r w:rsidR="00427468">
        <w:rPr>
          <w:kern w:val="0"/>
        </w:rPr>
        <w:t xml:space="preserve"> of </w:t>
      </w:r>
      <w:r>
        <w:rPr>
          <w:kern w:val="0"/>
        </w:rPr>
        <w:t>the therapy</w:t>
      </w:r>
      <w:r w:rsidR="00A37C1D">
        <w:rPr>
          <w:kern w:val="0"/>
        </w:rPr>
        <w:t>. The</w:t>
      </w:r>
      <w:r>
        <w:rPr>
          <w:kern w:val="0"/>
        </w:rPr>
        <w:t xml:space="preserve"> physical fitness in adults with CKD is so reduced that it impinges on ability</w:t>
      </w:r>
      <w:r w:rsidR="005853A9">
        <w:rPr>
          <w:kern w:val="0"/>
        </w:rPr>
        <w:t xml:space="preserve"> and </w:t>
      </w:r>
      <w:r>
        <w:rPr>
          <w:kern w:val="0"/>
        </w:rPr>
        <w:t>capacity to perform activities in everyday life</w:t>
      </w:r>
      <w:r w:rsidR="005853A9">
        <w:rPr>
          <w:kern w:val="0"/>
        </w:rPr>
        <w:t xml:space="preserve"> and </w:t>
      </w:r>
      <w:r>
        <w:rPr>
          <w:kern w:val="0"/>
        </w:rPr>
        <w:t>occupational tasks. An increasing number</w:t>
      </w:r>
      <w:r w:rsidR="00427468">
        <w:rPr>
          <w:kern w:val="0"/>
        </w:rPr>
        <w:t xml:space="preserve"> of </w:t>
      </w:r>
      <w:r>
        <w:rPr>
          <w:kern w:val="0"/>
        </w:rPr>
        <w:t>studies have been published regarding health effects</w:t>
      </w:r>
      <w:r w:rsidR="00427468">
        <w:rPr>
          <w:kern w:val="0"/>
        </w:rPr>
        <w:t xml:space="preserve"> of </w:t>
      </w:r>
      <w:r>
        <w:rPr>
          <w:kern w:val="0"/>
        </w:rPr>
        <w:t>various regular exercise programmes in adults with CKD</w:t>
      </w:r>
      <w:r w:rsidR="005853A9">
        <w:rPr>
          <w:kern w:val="0"/>
        </w:rPr>
        <w:t xml:space="preserve"> and </w:t>
      </w:r>
      <w:r>
        <w:rPr>
          <w:kern w:val="0"/>
        </w:rPr>
        <w:t>in renal transplant patients. Objectives We aimed to: 1) assess the effects</w:t>
      </w:r>
      <w:r w:rsidR="00427468">
        <w:rPr>
          <w:kern w:val="0"/>
        </w:rPr>
        <w:t xml:space="preserve"> of </w:t>
      </w:r>
      <w:r>
        <w:rPr>
          <w:kern w:val="0"/>
        </w:rPr>
        <w:t>regular exercise in adults with CKD</w:t>
      </w:r>
      <w:r w:rsidR="005853A9">
        <w:rPr>
          <w:kern w:val="0"/>
        </w:rPr>
        <w:t xml:space="preserve"> and </w:t>
      </w:r>
      <w:r>
        <w:rPr>
          <w:kern w:val="0"/>
        </w:rPr>
        <w:t>kidney transplant patients;</w:t>
      </w:r>
      <w:r w:rsidR="005853A9">
        <w:rPr>
          <w:kern w:val="0"/>
        </w:rPr>
        <w:t xml:space="preserve"> and </w:t>
      </w:r>
      <w:r>
        <w:rPr>
          <w:kern w:val="0"/>
        </w:rPr>
        <w:t>2) determine how the exercise programme should be designed (e.g. type, duration, intensity, frequency</w:t>
      </w:r>
      <w:r w:rsidR="00427468">
        <w:rPr>
          <w:kern w:val="0"/>
        </w:rPr>
        <w:t xml:space="preserve"> of </w:t>
      </w:r>
      <w:r>
        <w:rPr>
          <w:kern w:val="0"/>
        </w:rPr>
        <w:t>exercise) to be able to affect physical fitness</w:t>
      </w:r>
      <w:r w:rsidR="005853A9">
        <w:rPr>
          <w:kern w:val="0"/>
        </w:rPr>
        <w:t xml:space="preserve"> and </w:t>
      </w:r>
      <w:r>
        <w:rPr>
          <w:kern w:val="0"/>
        </w:rPr>
        <w:t>functioning, level</w:t>
      </w:r>
      <w:r w:rsidR="00427468">
        <w:rPr>
          <w:kern w:val="0"/>
        </w:rPr>
        <w:t xml:space="preserve"> of </w:t>
      </w:r>
      <w:r>
        <w:rPr>
          <w:kern w:val="0"/>
        </w:rPr>
        <w:t>physical activity, cardiovascular dimensions, nutrition, lipids, glucose metabolism, systemic inflammation, muscle morphology</w:t>
      </w:r>
      <w:r w:rsidR="005853A9">
        <w:rPr>
          <w:kern w:val="0"/>
        </w:rPr>
        <w:t xml:space="preserve"> and </w:t>
      </w:r>
      <w:r>
        <w:rPr>
          <w:kern w:val="0"/>
        </w:rPr>
        <w:t>morphometrics, dropout rates, compliance, adverse events</w:t>
      </w:r>
      <w:r w:rsidR="005853A9">
        <w:rPr>
          <w:kern w:val="0"/>
        </w:rPr>
        <w:t xml:space="preserve"> and </w:t>
      </w:r>
      <w:r>
        <w:rPr>
          <w:kern w:val="0"/>
        </w:rPr>
        <w:t>mortality. Search strategy We searched the Cochrane Renal Group</w:t>
      </w:r>
      <w:r w:rsidR="0071223E">
        <w:rPr>
          <w:kern w:val="0"/>
        </w:rPr>
        <w:t>’</w:t>
      </w:r>
      <w:r>
        <w:rPr>
          <w:kern w:val="0"/>
        </w:rPr>
        <w:t xml:space="preserve">s specialised register, CENTRAL, </w:t>
      </w:r>
      <w:r w:rsidR="00D5664A">
        <w:rPr>
          <w:kern w:val="0"/>
        </w:rPr>
        <w:t>MEDLINE</w:t>
      </w:r>
      <w:r>
        <w:rPr>
          <w:kern w:val="0"/>
        </w:rPr>
        <w:t xml:space="preserve">, EMBASE, CINAHL, </w:t>
      </w:r>
      <w:r w:rsidR="00D5664A">
        <w:rPr>
          <w:kern w:val="0"/>
        </w:rPr>
        <w:t>Web</w:t>
      </w:r>
      <w:r w:rsidR="00427468">
        <w:rPr>
          <w:kern w:val="0"/>
        </w:rPr>
        <w:t xml:space="preserve"> of </w:t>
      </w:r>
      <w:r w:rsidR="00D5664A">
        <w:rPr>
          <w:kern w:val="0"/>
        </w:rPr>
        <w:t>Science</w:t>
      </w:r>
      <w:r>
        <w:rPr>
          <w:kern w:val="0"/>
        </w:rPr>
        <w:t>, Biosis, Pedro, Amed, AgeLine, PsycINFO</w:t>
      </w:r>
      <w:r w:rsidR="005853A9">
        <w:rPr>
          <w:kern w:val="0"/>
        </w:rPr>
        <w:t xml:space="preserve"> and </w:t>
      </w:r>
      <w:r>
        <w:rPr>
          <w:kern w:val="0"/>
        </w:rPr>
        <w:t>KoreaMed. We also handsearched reference lists</w:t>
      </w:r>
      <w:r w:rsidR="00427468">
        <w:rPr>
          <w:kern w:val="0"/>
        </w:rPr>
        <w:t xml:space="preserve"> of </w:t>
      </w:r>
      <w:r>
        <w:rPr>
          <w:kern w:val="0"/>
        </w:rPr>
        <w:t>review articles</w:t>
      </w:r>
      <w:r w:rsidR="005853A9">
        <w:rPr>
          <w:kern w:val="0"/>
        </w:rPr>
        <w:t xml:space="preserve"> and </w:t>
      </w:r>
      <w:r>
        <w:rPr>
          <w:kern w:val="0"/>
        </w:rPr>
        <w:t>included studies, conference proceeding</w:t>
      </w:r>
      <w:r w:rsidR="0071223E">
        <w:rPr>
          <w:kern w:val="0"/>
        </w:rPr>
        <w:t>’</w:t>
      </w:r>
      <w:r>
        <w:rPr>
          <w:kern w:val="0"/>
        </w:rPr>
        <w:t>s abstracts</w:t>
      </w:r>
      <w:r w:rsidR="00A37C1D">
        <w:rPr>
          <w:kern w:val="0"/>
        </w:rPr>
        <w:t>. The</w:t>
      </w:r>
      <w:r>
        <w:rPr>
          <w:kern w:val="0"/>
        </w:rPr>
        <w:t>re were no language restrictions. Date</w:t>
      </w:r>
      <w:r w:rsidR="00427468">
        <w:rPr>
          <w:kern w:val="0"/>
        </w:rPr>
        <w:t xml:space="preserve"> of </w:t>
      </w:r>
      <w:r>
        <w:rPr>
          <w:kern w:val="0"/>
        </w:rPr>
        <w:t xml:space="preserve">last search: May </w:t>
      </w:r>
      <w:r>
        <w:rPr>
          <w:kern w:val="0"/>
        </w:rPr>
        <w:lastRenderedPageBreak/>
        <w:t>2010. Selection criteria We included any randomised controlled trial (RCT) enrolling adults with CKD or kidney transplant recipients undergoing any type</w:t>
      </w:r>
      <w:r w:rsidR="00427468">
        <w:rPr>
          <w:kern w:val="0"/>
        </w:rPr>
        <w:t xml:space="preserve"> of </w:t>
      </w:r>
      <w:r>
        <w:rPr>
          <w:kern w:val="0"/>
        </w:rPr>
        <w:t>physical exercise intervention undertaken for eight weeks or more. Studies using less than eight weeks exercise, those only recommending an increase in physical activity,</w:t>
      </w:r>
      <w:r w:rsidR="005853A9">
        <w:rPr>
          <w:kern w:val="0"/>
        </w:rPr>
        <w:t xml:space="preserve"> and </w:t>
      </w:r>
      <w:r>
        <w:rPr>
          <w:kern w:val="0"/>
        </w:rPr>
        <w:t>studies in which co-interventions are not applied or given to both groups were excluded. Data collection</w:t>
      </w:r>
      <w:r w:rsidR="005853A9">
        <w:rPr>
          <w:kern w:val="0"/>
        </w:rPr>
        <w:t xml:space="preserve"> and </w:t>
      </w:r>
      <w:r>
        <w:rPr>
          <w:kern w:val="0"/>
        </w:rPr>
        <w:t>analysis Data extraction</w:t>
      </w:r>
      <w:r w:rsidR="005853A9">
        <w:rPr>
          <w:kern w:val="0"/>
        </w:rPr>
        <w:t xml:space="preserve"> and </w:t>
      </w:r>
      <w:r>
        <w:rPr>
          <w:kern w:val="0"/>
        </w:rPr>
        <w:t>assessment</w:t>
      </w:r>
      <w:r w:rsidR="00427468">
        <w:rPr>
          <w:kern w:val="0"/>
        </w:rPr>
        <w:t xml:space="preserve"> of </w:t>
      </w:r>
      <w:r>
        <w:rPr>
          <w:kern w:val="0"/>
        </w:rPr>
        <w:t>study</w:t>
      </w:r>
      <w:r w:rsidR="005853A9">
        <w:rPr>
          <w:kern w:val="0"/>
        </w:rPr>
        <w:t xml:space="preserve"> and </w:t>
      </w:r>
      <w:r>
        <w:rPr>
          <w:kern w:val="0"/>
        </w:rPr>
        <w:t>data quality were performed independently by the two authors. Continuous outcome data are presented as standardised mean difference (SMD) or mean difference (MD) with 95% confidence intervals (CI). Main results Forty-five studies, randomising 1863 participants were included in this review. Thirty two studies presented data that could be meta-analysed. Types</w:t>
      </w:r>
      <w:r w:rsidR="00427468">
        <w:rPr>
          <w:kern w:val="0"/>
        </w:rPr>
        <w:t xml:space="preserve"> of </w:t>
      </w:r>
      <w:r>
        <w:rPr>
          <w:kern w:val="0"/>
        </w:rPr>
        <w:t>exercise training included cardiovascular training, mixed cardiovascular</w:t>
      </w:r>
      <w:r w:rsidR="005853A9">
        <w:rPr>
          <w:kern w:val="0"/>
        </w:rPr>
        <w:t xml:space="preserve"> and </w:t>
      </w:r>
      <w:r>
        <w:rPr>
          <w:kern w:val="0"/>
        </w:rPr>
        <w:t>resistance training, resistance-only training</w:t>
      </w:r>
      <w:r w:rsidR="005853A9">
        <w:rPr>
          <w:kern w:val="0"/>
        </w:rPr>
        <w:t xml:space="preserve"> and </w:t>
      </w:r>
      <w:r>
        <w:rPr>
          <w:kern w:val="0"/>
        </w:rPr>
        <w:t>yoga. Some studies used supervised exercise interventions</w:t>
      </w:r>
      <w:r w:rsidR="005853A9">
        <w:rPr>
          <w:kern w:val="0"/>
        </w:rPr>
        <w:t xml:space="preserve"> and </w:t>
      </w:r>
      <w:r>
        <w:rPr>
          <w:kern w:val="0"/>
        </w:rPr>
        <w:t xml:space="preserve">others used unsupervised interventions. Exercise intensity was classed as </w:t>
      </w:r>
      <w:r w:rsidR="0071223E">
        <w:rPr>
          <w:kern w:val="0"/>
        </w:rPr>
        <w:t>‘</w:t>
      </w:r>
      <w:r>
        <w:rPr>
          <w:kern w:val="0"/>
        </w:rPr>
        <w:t>high</w:t>
      </w:r>
      <w:r w:rsidR="0071223E">
        <w:rPr>
          <w:kern w:val="0"/>
        </w:rPr>
        <w:t>’</w:t>
      </w:r>
      <w:r>
        <w:rPr>
          <w:kern w:val="0"/>
        </w:rPr>
        <w:t xml:space="preserve"> or </w:t>
      </w:r>
      <w:r w:rsidR="0071223E">
        <w:rPr>
          <w:kern w:val="0"/>
        </w:rPr>
        <w:t>‘</w:t>
      </w:r>
      <w:r>
        <w:rPr>
          <w:kern w:val="0"/>
        </w:rPr>
        <w:t>low</w:t>
      </w:r>
      <w:r w:rsidR="0071223E">
        <w:rPr>
          <w:kern w:val="0"/>
        </w:rPr>
        <w:t>’</w:t>
      </w:r>
      <w:r>
        <w:rPr>
          <w:kern w:val="0"/>
        </w:rPr>
        <w:t>, duration</w:t>
      </w:r>
      <w:r w:rsidR="00427468">
        <w:rPr>
          <w:kern w:val="0"/>
        </w:rPr>
        <w:t xml:space="preserve"> of </w:t>
      </w:r>
      <w:r>
        <w:rPr>
          <w:kern w:val="0"/>
        </w:rPr>
        <w:t>individual exercise sessions ranged from 20 minutes/session to 110 minutes/session,</w:t>
      </w:r>
      <w:r w:rsidR="005853A9">
        <w:rPr>
          <w:kern w:val="0"/>
        </w:rPr>
        <w:t xml:space="preserve"> and </w:t>
      </w:r>
      <w:r>
        <w:rPr>
          <w:kern w:val="0"/>
        </w:rPr>
        <w:t>study duration was from two to 18 months. Seventeen per cent</w:t>
      </w:r>
      <w:r w:rsidR="00427468">
        <w:rPr>
          <w:kern w:val="0"/>
        </w:rPr>
        <w:t xml:space="preserve"> of </w:t>
      </w:r>
      <w:r>
        <w:rPr>
          <w:kern w:val="0"/>
        </w:rPr>
        <w:t>studies were classed as having an overall low risk</w:t>
      </w:r>
      <w:r w:rsidR="00427468">
        <w:rPr>
          <w:kern w:val="0"/>
        </w:rPr>
        <w:t xml:space="preserve"> of </w:t>
      </w:r>
      <w:r>
        <w:rPr>
          <w:kern w:val="0"/>
        </w:rPr>
        <w:t>bias, 33% as moderate,</w:t>
      </w:r>
      <w:r w:rsidR="005853A9">
        <w:rPr>
          <w:kern w:val="0"/>
        </w:rPr>
        <w:t xml:space="preserve"> and </w:t>
      </w:r>
      <w:r>
        <w:rPr>
          <w:kern w:val="0"/>
        </w:rPr>
        <w:t>49% as having a high risk</w:t>
      </w:r>
      <w:r w:rsidR="00427468">
        <w:rPr>
          <w:kern w:val="0"/>
        </w:rPr>
        <w:t xml:space="preserve"> of </w:t>
      </w:r>
      <w:r>
        <w:rPr>
          <w:kern w:val="0"/>
        </w:rPr>
        <w:t>bias</w:t>
      </w:r>
      <w:r w:rsidR="00A37C1D">
        <w:rPr>
          <w:kern w:val="0"/>
        </w:rPr>
        <w:t>. The</w:t>
      </w:r>
      <w:r>
        <w:rPr>
          <w:kern w:val="0"/>
        </w:rPr>
        <w:t xml:space="preserve"> results shows that regular exercise significantly improved: 1) physical fitness (aerobic capacity, 24 studies, 847 participants: SMD -0.56, 95% CI -0.70 to -0.42; walking capacity, 7 studies, 191 participants: SMD -0.36, 95% CI -0.65 to -0.06); 2) cardiovascular dimensions (resting diastolic blood pressure, 11 studies, 419 participants: MD 2.32 mm Hg, 95% CI 0.59 to 4.05; resting systolic blood pressure, 9 studies, 347 participants: MD 6.08 mm Hg, 95% CI 2.15 to 10.12; heart rate, 11 studies, 229 participants: MD 6 bpm, 95% CI 10 to 2); 3) some nutritional parameters (albumin, 3 studies, 111 participants: MD -2.28 g/L, 95% CI -4.25 to -0.32; pre-albumin, 3 studies, 111 participants: MD -44.02 mg/L, 95% CI -71.52 to -16.53; energy intake, 4 studies, 97 participants: SMD -0.47, 95% CI -0.88 to -0.05);</w:t>
      </w:r>
      <w:r w:rsidR="005853A9">
        <w:rPr>
          <w:kern w:val="0"/>
        </w:rPr>
        <w:t xml:space="preserve"> and </w:t>
      </w:r>
      <w:r>
        <w:rPr>
          <w:kern w:val="0"/>
        </w:rPr>
        <w:t>4) health-related quality</w:t>
      </w:r>
      <w:r w:rsidR="00427468">
        <w:rPr>
          <w:kern w:val="0"/>
        </w:rPr>
        <w:t xml:space="preserve"> of </w:t>
      </w:r>
      <w:r>
        <w:rPr>
          <w:kern w:val="0"/>
        </w:rPr>
        <w:t>life. Results also showed how exercise should be designed in order to optimise the effect. Other outcomes had insufficient evidence. Authors</w:t>
      </w:r>
      <w:r w:rsidR="0071223E">
        <w:rPr>
          <w:kern w:val="0"/>
        </w:rPr>
        <w:t>’</w:t>
      </w:r>
      <w:r>
        <w:rPr>
          <w:kern w:val="0"/>
        </w:rPr>
        <w:t xml:space="preserve"> conclusions There is evidence for significant beneficial effects</w:t>
      </w:r>
      <w:r w:rsidR="00427468">
        <w:rPr>
          <w:kern w:val="0"/>
        </w:rPr>
        <w:t xml:space="preserve"> of </w:t>
      </w:r>
      <w:r>
        <w:rPr>
          <w:kern w:val="0"/>
        </w:rPr>
        <w:t>regular exercise on physical fitness, walking capacity, cardiovascular dimensions (e.g. blood pressure</w:t>
      </w:r>
      <w:r w:rsidR="005853A9">
        <w:rPr>
          <w:kern w:val="0"/>
        </w:rPr>
        <w:t xml:space="preserve"> and </w:t>
      </w:r>
      <w:r>
        <w:rPr>
          <w:kern w:val="0"/>
        </w:rPr>
        <w:t>heart rate), health-related quality</w:t>
      </w:r>
      <w:r w:rsidR="00427468">
        <w:rPr>
          <w:kern w:val="0"/>
        </w:rPr>
        <w:t xml:space="preserve"> of </w:t>
      </w:r>
      <w:r>
        <w:rPr>
          <w:kern w:val="0"/>
        </w:rPr>
        <w:t>life</w:t>
      </w:r>
      <w:r w:rsidR="005853A9">
        <w:rPr>
          <w:kern w:val="0"/>
        </w:rPr>
        <w:t xml:space="preserve"> and </w:t>
      </w:r>
      <w:r>
        <w:rPr>
          <w:kern w:val="0"/>
        </w:rPr>
        <w:t>some nutritional parameters in adults with CKD. Other outcomes had insufficient evidence due to the lack</w:t>
      </w:r>
      <w:r w:rsidR="00427468">
        <w:rPr>
          <w:kern w:val="0"/>
        </w:rPr>
        <w:t xml:space="preserve"> of </w:t>
      </w:r>
      <w:r>
        <w:rPr>
          <w:kern w:val="0"/>
        </w:rPr>
        <w:t>data from RCTs</w:t>
      </w:r>
      <w:r w:rsidR="00A37C1D">
        <w:rPr>
          <w:kern w:val="0"/>
        </w:rPr>
        <w:t>. The</w:t>
      </w:r>
      <w:r>
        <w:rPr>
          <w:kern w:val="0"/>
        </w:rPr>
        <w:t xml:space="preserve"> design</w:t>
      </w:r>
      <w:r w:rsidR="00427468">
        <w:rPr>
          <w:kern w:val="0"/>
        </w:rPr>
        <w:t xml:space="preserve"> of </w:t>
      </w:r>
      <w:r>
        <w:rPr>
          <w:kern w:val="0"/>
        </w:rPr>
        <w:t>the exercise intervention causes difference in effect size</w:t>
      </w:r>
      <w:r w:rsidR="005853A9">
        <w:rPr>
          <w:kern w:val="0"/>
        </w:rPr>
        <w:t xml:space="preserve"> and </w:t>
      </w:r>
      <w:r>
        <w:rPr>
          <w:kern w:val="0"/>
        </w:rPr>
        <w:t>should be considered when prescribing exercise with the aim</w:t>
      </w:r>
      <w:r w:rsidR="00427468">
        <w:rPr>
          <w:kern w:val="0"/>
        </w:rPr>
        <w:t xml:space="preserve"> of </w:t>
      </w:r>
      <w:r>
        <w:rPr>
          <w:kern w:val="0"/>
        </w:rPr>
        <w:t>affecting a certain outcome. Future RCTs should focus more on the effects</w:t>
      </w:r>
      <w:r w:rsidR="00427468">
        <w:rPr>
          <w:kern w:val="0"/>
        </w:rPr>
        <w:t xml:space="preserve"> of </w:t>
      </w:r>
      <w:r>
        <w:rPr>
          <w:kern w:val="0"/>
        </w:rPr>
        <w:t>resistance training interventions or mixed cardiovascular-</w:t>
      </w:r>
      <w:r w:rsidR="005853A9">
        <w:rPr>
          <w:kern w:val="0"/>
        </w:rPr>
        <w:t xml:space="preserve"> and </w:t>
      </w:r>
      <w:r>
        <w:rPr>
          <w:kern w:val="0"/>
        </w:rPr>
        <w:t>resistance training as these exercise types have not been studied as much as cardiovascular exercise.</w:t>
      </w:r>
    </w:p>
    <w:p w:rsidR="00365DE4" w:rsidRDefault="00365DE4" w:rsidP="00365DE4">
      <w:pPr>
        <w:pStyle w:val="a3"/>
        <w:rPr>
          <w:kern w:val="0"/>
        </w:rPr>
      </w:pPr>
      <w:r>
        <w:rPr>
          <w:kern w:val="0"/>
        </w:rPr>
        <w:t xml:space="preserve">Keywords: Activities, Adults, Adverse Events, Aerobic, Ambulatory </w:t>
      </w:r>
      <w:r>
        <w:rPr>
          <w:kern w:val="0"/>
        </w:rPr>
        <w:lastRenderedPageBreak/>
        <w:t>Peritoneal-Dialysis, Analysis, Assessment, Authors, Bias, Blood, Blood Pressure, Capacity, Cardiovascular, Chronic Kidney Disease, Cochrane, Compliance, Confidence Intervals, Design, Disease, Embase, Energy, Exercise, Extraction, Frequency, Guidelines, Health-Related Quality</w:t>
      </w:r>
      <w:r w:rsidR="00427468">
        <w:rPr>
          <w:kern w:val="0"/>
        </w:rPr>
        <w:t xml:space="preserve"> of </w:t>
      </w:r>
      <w:r>
        <w:rPr>
          <w:kern w:val="0"/>
        </w:rPr>
        <w:t xml:space="preserve">Life, Heart Rate, Improves Functional-Capacity, Inflammation, Intervention, Interventions, Kidney, Kidney Disease, Kidney Transplant, Lipids, Low, Maintenance Hemodialysis-Patients, </w:t>
      </w:r>
      <w:r w:rsidR="00D5664A">
        <w:rPr>
          <w:kern w:val="0"/>
        </w:rPr>
        <w:t>MEDLINE</w:t>
      </w:r>
      <w:r>
        <w:rPr>
          <w:kern w:val="0"/>
        </w:rPr>
        <w:t>, Mortality, Nutrition, Occupational, Outcome, Outcomes, Patients, Patients Receiving Hemodialysis, Physical Activity, Physical Working Capacity, Predialytic Uremic Patients, Pressure, Public Health, Quality, Quality</w:t>
      </w:r>
      <w:r w:rsidR="00427468">
        <w:rPr>
          <w:kern w:val="0"/>
        </w:rPr>
        <w:t xml:space="preserve"> of </w:t>
      </w:r>
      <w:r>
        <w:rPr>
          <w:kern w:val="0"/>
        </w:rPr>
        <w:t xml:space="preserve">Life, Quality-of-Life, Randomised Controlled Trial, Randomized Controlled-Trial, Recombinant-Human-Erythropoietin, Renal, Resistance, Resistance Training, Review, Risk, Science, Search Strategy, Selection, Stage Renal-Disease, Strategy, Therapy, Training, Walking, </w:t>
      </w:r>
      <w:r w:rsidR="00D5664A">
        <w:rPr>
          <w:kern w:val="0"/>
        </w:rPr>
        <w:t>Web</w:t>
      </w:r>
      <w:r w:rsidR="00427468">
        <w:rPr>
          <w:kern w:val="0"/>
        </w:rPr>
        <w:t xml:space="preserve"> of </w:t>
      </w:r>
      <w:r w:rsidR="00D5664A">
        <w:rPr>
          <w:kern w:val="0"/>
        </w:rPr>
        <w:t>Science</w:t>
      </w:r>
      <w:r>
        <w:rPr>
          <w:kern w:val="0"/>
        </w:rPr>
        <w:t>, Yoga</w:t>
      </w:r>
    </w:p>
    <w:p w:rsidR="00365DE4" w:rsidRDefault="00365DE4" w:rsidP="00365DE4">
      <w:pPr>
        <w:pStyle w:val="a3"/>
        <w:rPr>
          <w:kern w:val="0"/>
        </w:rPr>
      </w:pPr>
      <w:r>
        <w:rPr>
          <w:kern w:val="0"/>
        </w:rPr>
        <w:t>? Russell, K.F., Vandermeer, B.</w:t>
      </w:r>
      <w:r w:rsidR="005853A9">
        <w:rPr>
          <w:kern w:val="0"/>
        </w:rPr>
        <w:t xml:space="preserve"> and </w:t>
      </w:r>
      <w:r>
        <w:rPr>
          <w:kern w:val="0"/>
        </w:rPr>
        <w:t xml:space="preserve">Hartling, L. (2011), Graduated driver licensing for reducing motor vehicle crashes among young drivers.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CD003300.</w:t>
      </w:r>
    </w:p>
    <w:p w:rsidR="00365DE4" w:rsidRDefault="00365DE4" w:rsidP="00365DE4">
      <w:pPr>
        <w:pStyle w:val="a3"/>
        <w:rPr>
          <w:kern w:val="2"/>
        </w:rPr>
      </w:pPr>
      <w:r>
        <w:t xml:space="preserve">Full Text: </w:t>
      </w:r>
      <w:hyperlink r:id="rId683" w:history="1">
        <w:r>
          <w:rPr>
            <w:rStyle w:val="a5"/>
          </w:rPr>
          <w:t>2011\Coc Dat Sys Rev2011, CD003300.pdf</w:t>
        </w:r>
      </w:hyperlink>
    </w:p>
    <w:p w:rsidR="00365DE4" w:rsidRDefault="00365DE4" w:rsidP="00365DE4">
      <w:pPr>
        <w:pStyle w:val="a3"/>
        <w:rPr>
          <w:kern w:val="0"/>
        </w:rPr>
      </w:pPr>
      <w:r>
        <w:rPr>
          <w:kern w:val="0"/>
        </w:rPr>
        <w:t>Abstract: Background Graduated driver licensing (GDL) has been proposed as a means</w:t>
      </w:r>
      <w:r w:rsidR="00427468">
        <w:rPr>
          <w:kern w:val="0"/>
        </w:rPr>
        <w:t xml:space="preserve"> of </w:t>
      </w:r>
      <w:r>
        <w:rPr>
          <w:kern w:val="0"/>
        </w:rPr>
        <w:t>reducing crash rates among novice drivers by gradually introducing them to higher risk driving situations. Objectives To examine the effectiveness</w:t>
      </w:r>
      <w:r w:rsidR="00427468">
        <w:rPr>
          <w:kern w:val="0"/>
        </w:rPr>
        <w:t xml:space="preserve"> of </w:t>
      </w:r>
      <w:r>
        <w:rPr>
          <w:kern w:val="0"/>
        </w:rPr>
        <w:t xml:space="preserve">GDL in reducing crash rates among young drivers. Search strategy Studies were identified through searching </w:t>
      </w:r>
      <w:r w:rsidR="00D5664A">
        <w:rPr>
          <w:kern w:val="0"/>
        </w:rPr>
        <w:t>MEDLINE</w:t>
      </w:r>
      <w:r>
        <w:rPr>
          <w:kern w:val="0"/>
        </w:rPr>
        <w:t xml:space="preserve">, EMBASE, CINAHL, Healthstar, </w:t>
      </w:r>
      <w:r w:rsidR="00D5664A">
        <w:rPr>
          <w:kern w:val="0"/>
        </w:rPr>
        <w:t>Web</w:t>
      </w:r>
      <w:r w:rsidR="00427468">
        <w:rPr>
          <w:kern w:val="0"/>
        </w:rPr>
        <w:t xml:space="preserve"> of </w:t>
      </w:r>
      <w:r w:rsidR="00D5664A">
        <w:rPr>
          <w:kern w:val="0"/>
        </w:rPr>
        <w:t>Science</w:t>
      </w:r>
      <w:r>
        <w:rPr>
          <w:kern w:val="0"/>
        </w:rPr>
        <w:t>, NTIS Bibliographic Database, TRIS Online, SIGLE, the World Wide Web, conference proceedings, consultation with experts</w:t>
      </w:r>
      <w:r w:rsidR="005853A9">
        <w:rPr>
          <w:kern w:val="0"/>
        </w:rPr>
        <w:t xml:space="preserve"> and </w:t>
      </w:r>
      <w:r>
        <w:rPr>
          <w:kern w:val="0"/>
        </w:rPr>
        <w:t>reference lists in relevant published literature</w:t>
      </w:r>
      <w:r w:rsidR="00A37C1D">
        <w:rPr>
          <w:kern w:val="0"/>
        </w:rPr>
        <w:t>. The</w:t>
      </w:r>
      <w:r>
        <w:rPr>
          <w:kern w:val="0"/>
        </w:rPr>
        <w:t xml:space="preserve"> searches were conducted from the time</w:t>
      </w:r>
      <w:r w:rsidR="00427468">
        <w:rPr>
          <w:kern w:val="0"/>
        </w:rPr>
        <w:t xml:space="preserve"> of </w:t>
      </w:r>
      <w:r>
        <w:rPr>
          <w:kern w:val="0"/>
        </w:rPr>
        <w:t>inception to May 2009,</w:t>
      </w:r>
      <w:r w:rsidR="005853A9">
        <w:rPr>
          <w:kern w:val="0"/>
        </w:rPr>
        <w:t xml:space="preserve"> and </w:t>
      </w:r>
      <w:r>
        <w:rPr>
          <w:kern w:val="0"/>
        </w:rPr>
        <w:t>the Cochrane Injuries Group conducted an updated search</w:t>
      </w:r>
      <w:r w:rsidR="00427468">
        <w:rPr>
          <w:kern w:val="0"/>
        </w:rPr>
        <w:t xml:space="preserve"> of </w:t>
      </w:r>
      <w:r>
        <w:rPr>
          <w:kern w:val="0"/>
        </w:rPr>
        <w:t>the TRANSPORT database in September 2009. Selection criteria Studies were included if: 1) they compared outcomes pre-</w:t>
      </w:r>
      <w:r w:rsidR="005853A9">
        <w:rPr>
          <w:kern w:val="0"/>
        </w:rPr>
        <w:t xml:space="preserve"> and </w:t>
      </w:r>
      <w:r>
        <w:rPr>
          <w:kern w:val="0"/>
        </w:rPr>
        <w:t>post-implementation</w:t>
      </w:r>
      <w:r w:rsidR="00427468">
        <w:rPr>
          <w:kern w:val="0"/>
        </w:rPr>
        <w:t xml:space="preserve"> of </w:t>
      </w:r>
      <w:r>
        <w:rPr>
          <w:kern w:val="0"/>
        </w:rPr>
        <w:t>a GDL program within the same jurisdiction, 2) comparisons were made between jurisdictions with</w:t>
      </w:r>
      <w:r w:rsidR="005853A9">
        <w:rPr>
          <w:kern w:val="0"/>
        </w:rPr>
        <w:t xml:space="preserve"> and </w:t>
      </w:r>
      <w:r>
        <w:rPr>
          <w:kern w:val="0"/>
        </w:rPr>
        <w:t>without GDL, or 3) both. Studies had to report at least one objective, quantified outcome. Data collection</w:t>
      </w:r>
      <w:r w:rsidR="005853A9">
        <w:rPr>
          <w:kern w:val="0"/>
        </w:rPr>
        <w:t xml:space="preserve"> and </w:t>
      </w:r>
      <w:r>
        <w:rPr>
          <w:kern w:val="0"/>
        </w:rPr>
        <w:t>analysis Results were not pooled due to substantial heterogeneity. Percentage change was calculated for each year after the intervention, using one year prior to the intervention as baseline. Results were adjusted by internal controls. Analyses were stratified by denominators (population, licensed drivers). Results were calculated for the different crash types</w:t>
      </w:r>
      <w:r w:rsidR="005853A9">
        <w:rPr>
          <w:kern w:val="0"/>
        </w:rPr>
        <w:t xml:space="preserve"> and </w:t>
      </w:r>
      <w:r>
        <w:rPr>
          <w:kern w:val="0"/>
        </w:rPr>
        <w:t>presented for 16 year-olds alone as well as all teenage drivers. Main results We included 34 studies evaluating 21 GDL programs</w:t>
      </w:r>
      <w:r w:rsidR="005853A9">
        <w:rPr>
          <w:kern w:val="0"/>
        </w:rPr>
        <w:t xml:space="preserve"> and </w:t>
      </w:r>
      <w:r>
        <w:rPr>
          <w:kern w:val="0"/>
        </w:rPr>
        <w:t>2 analyses</w:t>
      </w:r>
      <w:r w:rsidR="00427468">
        <w:rPr>
          <w:kern w:val="0"/>
        </w:rPr>
        <w:t xml:space="preserve"> of </w:t>
      </w:r>
      <w:r>
        <w:rPr>
          <w:kern w:val="0"/>
        </w:rPr>
        <w:t>&gt;40 US states. GDL programs were implemented in the US (n=16), Canada (n=3), New Zealand (n=1),</w:t>
      </w:r>
      <w:r w:rsidR="005853A9">
        <w:rPr>
          <w:kern w:val="0"/>
        </w:rPr>
        <w:t xml:space="preserve"> and </w:t>
      </w:r>
      <w:r>
        <w:rPr>
          <w:kern w:val="0"/>
        </w:rPr>
        <w:t>Australia (n=1)</w:t>
      </w:r>
      <w:r w:rsidR="005853A9">
        <w:rPr>
          <w:kern w:val="0"/>
        </w:rPr>
        <w:t xml:space="preserve"> and </w:t>
      </w:r>
      <w:r>
        <w:rPr>
          <w:kern w:val="0"/>
        </w:rPr>
        <w:t xml:space="preserve">varied in their restrictions during the intermediate stage. Based on the Insurance Institute for </w:t>
      </w:r>
      <w:r>
        <w:rPr>
          <w:kern w:val="0"/>
        </w:rPr>
        <w:lastRenderedPageBreak/>
        <w:t>Highway Safety (IIHS) classification, eleven programs were good, four were fair, five were marginal, one was poor</w:t>
      </w:r>
      <w:r w:rsidR="005853A9">
        <w:rPr>
          <w:kern w:val="0"/>
        </w:rPr>
        <w:t xml:space="preserve"> and </w:t>
      </w:r>
      <w:r>
        <w:rPr>
          <w:kern w:val="0"/>
        </w:rPr>
        <w:t>two could not be assessed. Reductions in crash rates were seen in all jurisdictions</w:t>
      </w:r>
      <w:r w:rsidR="005853A9">
        <w:rPr>
          <w:kern w:val="0"/>
        </w:rPr>
        <w:t xml:space="preserve"> and </w:t>
      </w:r>
      <w:r>
        <w:rPr>
          <w:kern w:val="0"/>
        </w:rPr>
        <w:t>for all crash types. Among 16 year-old drivers, the median decrease in per population adjusted overall crash rates during the first year was 15.5% (range -27 to -8%, five studies)</w:t>
      </w:r>
      <w:r w:rsidR="00A37C1D">
        <w:rPr>
          <w:kern w:val="0"/>
        </w:rPr>
        <w:t>. The</w:t>
      </w:r>
      <w:r>
        <w:rPr>
          <w:kern w:val="0"/>
        </w:rPr>
        <w:t>re was a decrease in per population adjusted injury crash rates (median -21%, range -46 to -2%, five studies). Results for all teenage drivers, rates per licensed driver,</w:t>
      </w:r>
      <w:r w:rsidR="005853A9">
        <w:rPr>
          <w:kern w:val="0"/>
        </w:rPr>
        <w:t xml:space="preserve"> and </w:t>
      </w:r>
      <w:r>
        <w:rPr>
          <w:kern w:val="0"/>
        </w:rPr>
        <w:t>rates adjusting for internal controls were generally reduced when comparing within jurisdictions. Authors</w:t>
      </w:r>
      <w:r w:rsidR="0071223E">
        <w:rPr>
          <w:kern w:val="0"/>
        </w:rPr>
        <w:t>’</w:t>
      </w:r>
      <w:r>
        <w:rPr>
          <w:kern w:val="0"/>
        </w:rPr>
        <w:t xml:space="preserve"> conclusions GDL is effective in reducing crash rates among young drivers, although the magnitude</w:t>
      </w:r>
      <w:r w:rsidR="00427468">
        <w:rPr>
          <w:kern w:val="0"/>
        </w:rPr>
        <w:t xml:space="preserve"> of </w:t>
      </w:r>
      <w:r>
        <w:rPr>
          <w:kern w:val="0"/>
        </w:rPr>
        <w:t>the effect varies</w:t>
      </w:r>
      <w:r w:rsidR="00A37C1D">
        <w:rPr>
          <w:kern w:val="0"/>
        </w:rPr>
        <w:t>. The</w:t>
      </w:r>
      <w:r>
        <w:rPr>
          <w:kern w:val="0"/>
        </w:rPr>
        <w:t xml:space="preserve"> conclusions are supported by consistent findings, temporal relationship,</w:t>
      </w:r>
      <w:r w:rsidR="005853A9">
        <w:rPr>
          <w:kern w:val="0"/>
        </w:rPr>
        <w:t xml:space="preserve"> and </w:t>
      </w:r>
      <w:r>
        <w:rPr>
          <w:kern w:val="0"/>
        </w:rPr>
        <w:t>plausibility</w:t>
      </w:r>
      <w:r w:rsidR="00427468">
        <w:rPr>
          <w:kern w:val="0"/>
        </w:rPr>
        <w:t xml:space="preserve"> of </w:t>
      </w:r>
      <w:r>
        <w:rPr>
          <w:kern w:val="0"/>
        </w:rPr>
        <w:t>the association. Stronger GDL programs (i.e. more restrictions or higher quality based on IIHS classification) appear to result in greater fatality reduction. Future studies should focus on which components</w:t>
      </w:r>
      <w:r w:rsidR="005853A9">
        <w:rPr>
          <w:kern w:val="0"/>
        </w:rPr>
        <w:t xml:space="preserve"> and </w:t>
      </w:r>
      <w:r>
        <w:rPr>
          <w:kern w:val="0"/>
        </w:rPr>
        <w:t>combination</w:t>
      </w:r>
      <w:r w:rsidR="00427468">
        <w:rPr>
          <w:kern w:val="0"/>
        </w:rPr>
        <w:t xml:space="preserve"> of </w:t>
      </w:r>
      <w:r>
        <w:rPr>
          <w:kern w:val="0"/>
        </w:rPr>
        <w:t>components yield the greatest reductions.</w:t>
      </w:r>
    </w:p>
    <w:p w:rsidR="00365DE4" w:rsidRDefault="00365DE4" w:rsidP="00365DE4">
      <w:pPr>
        <w:pStyle w:val="a3"/>
        <w:rPr>
          <w:kern w:val="0"/>
        </w:rPr>
      </w:pPr>
      <w:r>
        <w:rPr>
          <w:kern w:val="0"/>
        </w:rPr>
        <w:t xml:space="preserve">Keywords: 16-Year-Old Drivers, Accidents,Traffic [Prevention &amp; Control, Adolescent, Analysis, Association, Automobile Driving [Legislation &amp; Jurisprudence, Bibliographic, Canada, Cochrane, Consultation, Database, Driving, Effectiveness, Embase, Fatalities, Humans, Impact, Injury, Intervention, Licensure [Legislation &amp; Jurisprudence, Literature, </w:t>
      </w:r>
      <w:r w:rsidR="00D5664A">
        <w:rPr>
          <w:kern w:val="0"/>
        </w:rPr>
        <w:t>MEDLINE</w:t>
      </w:r>
      <w:r>
        <w:rPr>
          <w:kern w:val="0"/>
        </w:rPr>
        <w:t xml:space="preserve">, New Zealand, New-Zealand, Outcome, Outcomes, Passengers, Program, Quality, Reduction, Risk, Road, Safety, Science, Search Strategy, Selection, Standards], Statistics &amp; Numerical Data], Strategy, System, Teenage Drivers, Transport, Us, </w:t>
      </w:r>
      <w:r w:rsidR="00D5664A">
        <w:rPr>
          <w:kern w:val="0"/>
        </w:rPr>
        <w:t>Web</w:t>
      </w:r>
      <w:r w:rsidR="00427468">
        <w:rPr>
          <w:kern w:val="0"/>
        </w:rPr>
        <w:t xml:space="preserve"> of </w:t>
      </w:r>
      <w:r w:rsidR="00D5664A">
        <w:rPr>
          <w:kern w:val="0"/>
        </w:rPr>
        <w:t>Science</w:t>
      </w:r>
      <w:r>
        <w:rPr>
          <w:kern w:val="0"/>
        </w:rPr>
        <w:t>, World Wide Web</w:t>
      </w:r>
    </w:p>
    <w:p w:rsidR="00365DE4" w:rsidRDefault="00365DE4" w:rsidP="00365DE4">
      <w:pPr>
        <w:pStyle w:val="a3"/>
        <w:rPr>
          <w:kern w:val="0"/>
        </w:rPr>
      </w:pPr>
      <w:r>
        <w:rPr>
          <w:kern w:val="0"/>
        </w:rPr>
        <w:t>? Pammi, M.</w:t>
      </w:r>
      <w:r w:rsidR="005853A9">
        <w:rPr>
          <w:kern w:val="0"/>
        </w:rPr>
        <w:t xml:space="preserve"> and </w:t>
      </w:r>
      <w:r>
        <w:rPr>
          <w:kern w:val="0"/>
        </w:rPr>
        <w:t>Haque, K.N. (2011), Oral immunoglobulin for the treatment</w:t>
      </w:r>
      <w:r w:rsidR="00427468">
        <w:rPr>
          <w:kern w:val="0"/>
        </w:rPr>
        <w:t xml:space="preserve"> of </w:t>
      </w:r>
      <w:r>
        <w:rPr>
          <w:kern w:val="0"/>
        </w:rPr>
        <w:t xml:space="preserve">rotavirus diarrhea in low birth weight infants.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CD003742.</w:t>
      </w:r>
    </w:p>
    <w:p w:rsidR="00365DE4" w:rsidRDefault="00365DE4" w:rsidP="00365DE4">
      <w:pPr>
        <w:pStyle w:val="a3"/>
        <w:rPr>
          <w:kern w:val="2"/>
        </w:rPr>
      </w:pPr>
      <w:r>
        <w:t xml:space="preserve">Full Text: </w:t>
      </w:r>
      <w:hyperlink r:id="rId684" w:history="1">
        <w:r>
          <w:rPr>
            <w:rStyle w:val="a5"/>
          </w:rPr>
          <w:t>2011\Coc Dat Sys Rev2011, CD003742.pdf</w:t>
        </w:r>
      </w:hyperlink>
    </w:p>
    <w:p w:rsidR="00365DE4" w:rsidRDefault="00365DE4" w:rsidP="00365DE4">
      <w:pPr>
        <w:pStyle w:val="a3"/>
        <w:rPr>
          <w:kern w:val="0"/>
        </w:rPr>
      </w:pPr>
      <w:r>
        <w:rPr>
          <w:kern w:val="0"/>
        </w:rPr>
        <w:t>Abstract: Background Rotavirus infection is the most common neonatal nosocomial viral infection. It is a major health problem worldwide. Epidemics with the newer P(6)G9 strains have been reported in neonatal units globally</w:t>
      </w:r>
      <w:r w:rsidR="00A37C1D">
        <w:rPr>
          <w:kern w:val="0"/>
        </w:rPr>
        <w:t>. The</w:t>
      </w:r>
      <w:r>
        <w:rPr>
          <w:kern w:val="0"/>
        </w:rPr>
        <w:t>se strains can cause severe symptoms inmost infected infants. Infection control measures become necessary</w:t>
      </w:r>
      <w:r w:rsidR="005853A9">
        <w:rPr>
          <w:kern w:val="0"/>
        </w:rPr>
        <w:t xml:space="preserve"> and </w:t>
      </w:r>
      <w:r>
        <w:rPr>
          <w:kern w:val="0"/>
        </w:rPr>
        <w:t>the utilization</w:t>
      </w:r>
      <w:r w:rsidR="00427468">
        <w:rPr>
          <w:kern w:val="0"/>
        </w:rPr>
        <w:t xml:space="preserve"> of </w:t>
      </w:r>
      <w:r>
        <w:rPr>
          <w:kern w:val="0"/>
        </w:rPr>
        <w:t>hospital resources increase. Local mucosal immunity in the intestine to rotavirus is important in the resolution</w:t>
      </w:r>
      <w:r w:rsidR="00427468">
        <w:rPr>
          <w:kern w:val="0"/>
        </w:rPr>
        <w:t xml:space="preserve"> of </w:t>
      </w:r>
      <w:r>
        <w:rPr>
          <w:kern w:val="0"/>
        </w:rPr>
        <w:t>infection</w:t>
      </w:r>
      <w:r w:rsidR="005853A9">
        <w:rPr>
          <w:kern w:val="0"/>
        </w:rPr>
        <w:t xml:space="preserve"> and </w:t>
      </w:r>
      <w:r>
        <w:rPr>
          <w:kern w:val="0"/>
        </w:rPr>
        <w:t>protection against subsequent infections. Boosting local immunity by oral administration</w:t>
      </w:r>
      <w:r w:rsidR="00427468">
        <w:rPr>
          <w:kern w:val="0"/>
        </w:rPr>
        <w:t xml:space="preserve"> of </w:t>
      </w:r>
      <w:r>
        <w:rPr>
          <w:kern w:val="0"/>
        </w:rPr>
        <w:t>anti-rotaviral immunoglobulin preparations might be a useful strategy in treating rotaviral infections, especially in low birth weight babies. Objectives To determine the effectiveness</w:t>
      </w:r>
      <w:r w:rsidR="005853A9">
        <w:rPr>
          <w:kern w:val="0"/>
        </w:rPr>
        <w:t xml:space="preserve"> and </w:t>
      </w:r>
      <w:r>
        <w:rPr>
          <w:kern w:val="0"/>
        </w:rPr>
        <w:t>safety</w:t>
      </w:r>
      <w:r w:rsidR="00427468">
        <w:rPr>
          <w:kern w:val="0"/>
        </w:rPr>
        <w:t xml:space="preserve"> of </w:t>
      </w:r>
      <w:r>
        <w:rPr>
          <w:kern w:val="0"/>
        </w:rPr>
        <w:t>oral immunoglobulin preparations for the treatment</w:t>
      </w:r>
      <w:r w:rsidR="00427468">
        <w:rPr>
          <w:kern w:val="0"/>
        </w:rPr>
        <w:t xml:space="preserve"> of </w:t>
      </w:r>
      <w:r>
        <w:rPr>
          <w:kern w:val="0"/>
        </w:rPr>
        <w:t xml:space="preserve">rotavirus diarrhea in hospitalized low birth weight infants (birth weight less than 2500 g) Search strategy Electronic databases including The Cochrane Central </w:t>
      </w:r>
      <w:r>
        <w:rPr>
          <w:kern w:val="0"/>
        </w:rPr>
        <w:lastRenderedPageBreak/>
        <w:t>Register</w:t>
      </w:r>
      <w:r w:rsidR="00427468">
        <w:rPr>
          <w:kern w:val="0"/>
        </w:rPr>
        <w:t xml:space="preserve"> of </w:t>
      </w:r>
      <w:r>
        <w:rPr>
          <w:kern w:val="0"/>
        </w:rPr>
        <w:t xml:space="preserve">Controlled Trials (CENTRAL, The Cochrane Library, Issue 3, 2004), </w:t>
      </w:r>
      <w:r w:rsidR="00D5664A">
        <w:rPr>
          <w:kern w:val="0"/>
        </w:rPr>
        <w:t>MEDLINE</w:t>
      </w:r>
      <w:r>
        <w:rPr>
          <w:kern w:val="0"/>
        </w:rPr>
        <w:t>, EMBASE</w:t>
      </w:r>
      <w:r w:rsidR="005853A9">
        <w:rPr>
          <w:kern w:val="0"/>
        </w:rPr>
        <w:t xml:space="preserve"> and </w:t>
      </w:r>
      <w:r>
        <w:rPr>
          <w:kern w:val="0"/>
        </w:rPr>
        <w:t>CINAHL, Biological Abstracts (BIOSIS) were searched by the strategy outlined in the protocol. Science Citation Index search for all articles that referenced Barnes 1982 were searched</w:t>
      </w:r>
      <w:r w:rsidR="00A37C1D">
        <w:rPr>
          <w:kern w:val="0"/>
        </w:rPr>
        <w:t>. The</w:t>
      </w:r>
      <w:r>
        <w:rPr>
          <w:kern w:val="0"/>
        </w:rPr>
        <w:t xml:space="preserve"> proceedings</w:t>
      </w:r>
      <w:r w:rsidR="00427468">
        <w:rPr>
          <w:kern w:val="0"/>
        </w:rPr>
        <w:t xml:space="preserve"> of </w:t>
      </w:r>
      <w:r>
        <w:rPr>
          <w:kern w:val="0"/>
        </w:rPr>
        <w:t xml:space="preserve">the Pediatric Academic Societies published online at </w:t>
      </w:r>
      <w:r w:rsidR="0071223E">
        <w:rPr>
          <w:kern w:val="0"/>
        </w:rPr>
        <w:t>‘</w:t>
      </w:r>
      <w:r>
        <w:rPr>
          <w:kern w:val="0"/>
        </w:rPr>
        <w:t>Abstracts Online</w:t>
      </w:r>
      <w:r w:rsidR="0071223E">
        <w:rPr>
          <w:kern w:val="0"/>
        </w:rPr>
        <w:t>’</w:t>
      </w:r>
      <w:r>
        <w:rPr>
          <w:kern w:val="0"/>
        </w:rPr>
        <w:t xml:space="preserve"> were searched. Ongoing registered trials at www.clinicaltrials.gov</w:t>
      </w:r>
      <w:r w:rsidR="005853A9">
        <w:rPr>
          <w:kern w:val="0"/>
        </w:rPr>
        <w:t xml:space="preserve"> and </w:t>
      </w:r>
      <w:r>
        <w:rPr>
          <w:kern w:val="0"/>
        </w:rPr>
        <w:t>www.controlled-trials.com were searched. Authors prominent in the field were contacted for any unpublished articles</w:t>
      </w:r>
      <w:r w:rsidR="005853A9">
        <w:rPr>
          <w:kern w:val="0"/>
        </w:rPr>
        <w:t xml:space="preserve"> and </w:t>
      </w:r>
      <w:r>
        <w:rPr>
          <w:kern w:val="0"/>
        </w:rPr>
        <w:t>more information on published articles was sought. Reference lists</w:t>
      </w:r>
      <w:r w:rsidR="00427468">
        <w:rPr>
          <w:kern w:val="0"/>
        </w:rPr>
        <w:t xml:space="preserve"> of </w:t>
      </w:r>
      <w:r>
        <w:rPr>
          <w:kern w:val="0"/>
        </w:rPr>
        <w:t>identified clinical trials</w:t>
      </w:r>
      <w:r w:rsidR="005853A9">
        <w:rPr>
          <w:kern w:val="0"/>
        </w:rPr>
        <w:t xml:space="preserve"> and </w:t>
      </w:r>
      <w:r>
        <w:rPr>
          <w:kern w:val="0"/>
        </w:rPr>
        <w:t>personal files were also reviewed</w:t>
      </w:r>
      <w:r w:rsidR="00A37C1D">
        <w:rPr>
          <w:kern w:val="0"/>
        </w:rPr>
        <w:t>. The</w:t>
      </w:r>
      <w:r>
        <w:rPr>
          <w:kern w:val="0"/>
        </w:rPr>
        <w:t xml:space="preserve"> above search was updated in July 2011. Selection criteria The criteria used to select studies for inclusion were: 1) Design: randomized or quasi-randomized controlled trials 2) Hospitalized low birth weight infants with rotavirus diarrhea 3) Intervention: Oral immunoglobulin preparations compared to placebo or no intervention 4) At least one</w:t>
      </w:r>
      <w:r w:rsidR="00427468">
        <w:rPr>
          <w:kern w:val="0"/>
        </w:rPr>
        <w:t xml:space="preserve"> of </w:t>
      </w:r>
      <w:r>
        <w:rPr>
          <w:kern w:val="0"/>
        </w:rPr>
        <w:t>the following outcomes were reported: All cause mortality during hospital stay, mortality due to rotavirus infection during hospital stay, duration</w:t>
      </w:r>
      <w:r w:rsidR="00427468">
        <w:rPr>
          <w:kern w:val="0"/>
        </w:rPr>
        <w:t xml:space="preserve"> of </w:t>
      </w:r>
      <w:r>
        <w:rPr>
          <w:kern w:val="0"/>
        </w:rPr>
        <w:t>diarrhea, need for rehydration, duration</w:t>
      </w:r>
      <w:r w:rsidR="00427468">
        <w:rPr>
          <w:kern w:val="0"/>
        </w:rPr>
        <w:t xml:space="preserve"> of </w:t>
      </w:r>
      <w:r>
        <w:rPr>
          <w:kern w:val="0"/>
        </w:rPr>
        <w:t>viral excretion, duration</w:t>
      </w:r>
      <w:r w:rsidR="00427468">
        <w:rPr>
          <w:kern w:val="0"/>
        </w:rPr>
        <w:t xml:space="preserve"> of </w:t>
      </w:r>
      <w:r>
        <w:rPr>
          <w:kern w:val="0"/>
        </w:rPr>
        <w:t>infection control measures, length</w:t>
      </w:r>
      <w:r w:rsidR="00427468">
        <w:rPr>
          <w:kern w:val="0"/>
        </w:rPr>
        <w:t xml:space="preserve"> of </w:t>
      </w:r>
      <w:r>
        <w:rPr>
          <w:kern w:val="0"/>
        </w:rPr>
        <w:t>hospital stay in days, recurrent diarrhea or chronic diarrhea Data collection</w:t>
      </w:r>
      <w:r w:rsidR="005853A9">
        <w:rPr>
          <w:kern w:val="0"/>
        </w:rPr>
        <w:t xml:space="preserve"> and </w:t>
      </w:r>
      <w:r>
        <w:rPr>
          <w:kern w:val="0"/>
        </w:rPr>
        <w:t>analysis The two reviewers were to independently abstract data from eligible trials. No data were available for analysis. Main results No eligible randomized controlled trials were found. Authors</w:t>
      </w:r>
      <w:r w:rsidR="0071223E">
        <w:rPr>
          <w:kern w:val="0"/>
        </w:rPr>
        <w:t>’</w:t>
      </w:r>
      <w:r>
        <w:rPr>
          <w:kern w:val="0"/>
        </w:rPr>
        <w:t xml:space="preserve"> conclusions No randomized controlled trials that assessed the effectiveness or safety</w:t>
      </w:r>
      <w:r w:rsidR="00427468">
        <w:rPr>
          <w:kern w:val="0"/>
        </w:rPr>
        <w:t xml:space="preserve"> of </w:t>
      </w:r>
      <w:r>
        <w:rPr>
          <w:kern w:val="0"/>
        </w:rPr>
        <w:t>oral immunoglobulin preparations for the treatment</w:t>
      </w:r>
      <w:r w:rsidR="00427468">
        <w:rPr>
          <w:kern w:val="0"/>
        </w:rPr>
        <w:t xml:space="preserve"> of </w:t>
      </w:r>
      <w:r>
        <w:rPr>
          <w:kern w:val="0"/>
        </w:rPr>
        <w:t>rotavirus diarrhea in hospitalized low birth weight infants were found. Clinical trials that address the issue</w:t>
      </w:r>
      <w:r w:rsidR="00427468">
        <w:rPr>
          <w:kern w:val="0"/>
        </w:rPr>
        <w:t xml:space="preserve"> of </w:t>
      </w:r>
      <w:r>
        <w:rPr>
          <w:kern w:val="0"/>
        </w:rPr>
        <w:t>oral immunoglobulin treatment</w:t>
      </w:r>
      <w:r w:rsidR="00427468">
        <w:rPr>
          <w:kern w:val="0"/>
        </w:rPr>
        <w:t xml:space="preserve"> of </w:t>
      </w:r>
      <w:r>
        <w:rPr>
          <w:kern w:val="0"/>
        </w:rPr>
        <w:t>rotavirus infection are needed.</w:t>
      </w:r>
    </w:p>
    <w:p w:rsidR="00365DE4" w:rsidRDefault="00365DE4" w:rsidP="00365DE4">
      <w:pPr>
        <w:pStyle w:val="a3"/>
        <w:rPr>
          <w:kern w:val="0"/>
        </w:rPr>
      </w:pPr>
      <w:r>
        <w:rPr>
          <w:kern w:val="0"/>
        </w:rPr>
        <w:t xml:space="preserve">Keywords: Administration,Oral, Analysis, Children, Citation, Clinical Trials, Clinical-Trial, Cochrane, Control, Cross Infection [Therapy, Databases, Diarrhea [Therapy, Disease, Effectiveness, Embase, Gastroenteritis, Gastrointestinal Infections, Group-A Rotavirus, Hospital, Humans, Immunoglobulins [Administration &amp; Dosage], Infant, Infant,Low Birth Weight, Infant,Newborn, Infants, Infection, Infection Control, Information, Intervention, Intestine, Low, </w:t>
      </w:r>
      <w:r w:rsidR="00D5664A">
        <w:rPr>
          <w:kern w:val="0"/>
        </w:rPr>
        <w:t>MEDLINE</w:t>
      </w:r>
      <w:r>
        <w:rPr>
          <w:kern w:val="0"/>
        </w:rPr>
        <w:t>, Mortality, Necrotizing Enterocolitis, Oral, Outcomes, Prevention, Protocol, Randomized Controlled Trials, Risk-Factors, Rotavirus Infections [Therapy], Safety, Science, Science Citation Index, Search Strategy, Selection, Strategy, Symptoms, Treatment, Trypsin-Inhibitors, Utilization, Virology]</w:t>
      </w:r>
    </w:p>
    <w:p w:rsidR="00365DE4" w:rsidRDefault="00365DE4" w:rsidP="00365DE4">
      <w:pPr>
        <w:pStyle w:val="a3"/>
        <w:rPr>
          <w:kern w:val="0"/>
        </w:rPr>
      </w:pPr>
      <w:r>
        <w:rPr>
          <w:kern w:val="0"/>
        </w:rPr>
        <w:t>? Haque, K.N.</w:t>
      </w:r>
      <w:r w:rsidR="005853A9">
        <w:rPr>
          <w:kern w:val="0"/>
        </w:rPr>
        <w:t xml:space="preserve"> and </w:t>
      </w:r>
      <w:r>
        <w:rPr>
          <w:kern w:val="0"/>
        </w:rPr>
        <w:t>Pammi, M. (2011), Pentoxifylline for treatment</w:t>
      </w:r>
      <w:r w:rsidR="00427468">
        <w:rPr>
          <w:kern w:val="0"/>
        </w:rPr>
        <w:t xml:space="preserve"> of </w:t>
      </w:r>
      <w:r>
        <w:rPr>
          <w:kern w:val="0"/>
        </w:rPr>
        <w:t>sepsis</w:t>
      </w:r>
      <w:r w:rsidR="005853A9">
        <w:rPr>
          <w:kern w:val="0"/>
        </w:rPr>
        <w:t xml:space="preserve"> and </w:t>
      </w:r>
      <w:r>
        <w:rPr>
          <w:kern w:val="0"/>
        </w:rPr>
        <w:t xml:space="preserve">necrotizing enterocolitis in neonates.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CD004205.</w:t>
      </w:r>
    </w:p>
    <w:p w:rsidR="00365DE4" w:rsidRDefault="00365DE4" w:rsidP="00365DE4">
      <w:pPr>
        <w:pStyle w:val="a3"/>
        <w:rPr>
          <w:kern w:val="2"/>
        </w:rPr>
      </w:pPr>
      <w:r>
        <w:t xml:space="preserve">Full Text: </w:t>
      </w:r>
      <w:hyperlink r:id="rId685" w:history="1">
        <w:r>
          <w:rPr>
            <w:rStyle w:val="a5"/>
          </w:rPr>
          <w:t>2011\Coc Dat Sys Rev2011, CD004205.pdf</w:t>
        </w:r>
      </w:hyperlink>
    </w:p>
    <w:p w:rsidR="00365DE4" w:rsidRDefault="00365DE4" w:rsidP="00365DE4">
      <w:pPr>
        <w:pStyle w:val="a3"/>
        <w:rPr>
          <w:kern w:val="0"/>
        </w:rPr>
      </w:pPr>
      <w:r>
        <w:rPr>
          <w:kern w:val="0"/>
        </w:rPr>
        <w:t>Abstract: Background Mortality</w:t>
      </w:r>
      <w:r w:rsidR="005853A9">
        <w:rPr>
          <w:kern w:val="0"/>
        </w:rPr>
        <w:t xml:space="preserve"> and </w:t>
      </w:r>
      <w:r>
        <w:rPr>
          <w:kern w:val="0"/>
        </w:rPr>
        <w:t>morbidity due to neonatal sepsis</w:t>
      </w:r>
      <w:r w:rsidR="005853A9">
        <w:rPr>
          <w:kern w:val="0"/>
        </w:rPr>
        <w:t xml:space="preserve"> and </w:t>
      </w:r>
      <w:r>
        <w:rPr>
          <w:kern w:val="0"/>
        </w:rPr>
        <w:t xml:space="preserve">necrotizing </w:t>
      </w:r>
      <w:r>
        <w:rPr>
          <w:kern w:val="0"/>
        </w:rPr>
        <w:lastRenderedPageBreak/>
        <w:t>enterocolitis (NEC) is high despite the use</w:t>
      </w:r>
      <w:r w:rsidR="00427468">
        <w:rPr>
          <w:kern w:val="0"/>
        </w:rPr>
        <w:t xml:space="preserve"> of </w:t>
      </w:r>
      <w:r>
        <w:rPr>
          <w:kern w:val="0"/>
        </w:rPr>
        <w:t>potent antimicrobial agents. Agents that modulate inflammation may improve outcomes. Pentoxifylline, a phosphodiesterase inhibitor, is one such agent. Objectives The primary objectives were to assess the effect on mortality</w:t>
      </w:r>
      <w:r w:rsidR="005853A9">
        <w:rPr>
          <w:kern w:val="0"/>
        </w:rPr>
        <w:t xml:space="preserve"> and </w:t>
      </w:r>
      <w:r>
        <w:rPr>
          <w:kern w:val="0"/>
        </w:rPr>
        <w:t>the safety</w:t>
      </w:r>
      <w:r w:rsidR="00427468">
        <w:rPr>
          <w:kern w:val="0"/>
        </w:rPr>
        <w:t xml:space="preserve"> of </w:t>
      </w:r>
      <w:r>
        <w:rPr>
          <w:kern w:val="0"/>
        </w:rPr>
        <w:t>intravenous pentoxifylline as an adjunct to antibiotic therapy in neonates with suspected or confirmed sepsis</w:t>
      </w:r>
      <w:r w:rsidR="005853A9">
        <w:rPr>
          <w:kern w:val="0"/>
        </w:rPr>
        <w:t xml:space="preserve"> and </w:t>
      </w:r>
      <w:r>
        <w:rPr>
          <w:kern w:val="0"/>
        </w:rPr>
        <w:t>NEC. Search strategy The Cochrane Central Register</w:t>
      </w:r>
      <w:r w:rsidR="00427468">
        <w:rPr>
          <w:kern w:val="0"/>
        </w:rPr>
        <w:t xml:space="preserve"> of </w:t>
      </w:r>
      <w:r>
        <w:rPr>
          <w:kern w:val="0"/>
        </w:rPr>
        <w:t xml:space="preserve">Controlled Trials (CENTRAL, The Cochrane Library, Issue 2, 2011), </w:t>
      </w:r>
      <w:r w:rsidR="00D5664A">
        <w:rPr>
          <w:kern w:val="0"/>
        </w:rPr>
        <w:t>MEDLINE</w:t>
      </w:r>
      <w:r>
        <w:rPr>
          <w:kern w:val="0"/>
        </w:rPr>
        <w:t>, EMBASE</w:t>
      </w:r>
      <w:r w:rsidR="005853A9">
        <w:rPr>
          <w:kern w:val="0"/>
        </w:rPr>
        <w:t xml:space="preserve"> and </w:t>
      </w:r>
      <w:r>
        <w:rPr>
          <w:kern w:val="0"/>
        </w:rPr>
        <w:t>CINAHL, Science Citation Index for articles referencing Lauterbach 1996, proceedings</w:t>
      </w:r>
      <w:r w:rsidR="00427468">
        <w:rPr>
          <w:kern w:val="0"/>
        </w:rPr>
        <w:t xml:space="preserve"> of </w:t>
      </w:r>
      <w:r>
        <w:rPr>
          <w:kern w:val="0"/>
        </w:rPr>
        <w:t>the Pediatric Academic Societies (1990 to 2011), BIOSIS (1992 to 2011), conference proceedings (1992 to 2011), ongoing trials</w:t>
      </w:r>
      <w:r w:rsidR="005853A9">
        <w:rPr>
          <w:kern w:val="0"/>
        </w:rPr>
        <w:t xml:space="preserve"> and </w:t>
      </w:r>
      <w:r>
        <w:rPr>
          <w:kern w:val="0"/>
        </w:rPr>
        <w:t>reference lists</w:t>
      </w:r>
      <w:r w:rsidR="00427468">
        <w:rPr>
          <w:kern w:val="0"/>
        </w:rPr>
        <w:t xml:space="preserve"> of </w:t>
      </w:r>
      <w:r>
        <w:rPr>
          <w:kern w:val="0"/>
        </w:rPr>
        <w:t>identified RCTs were searched in July 2011. Selection criteria Randomised or quasi-randomised trials assessing the efficacy</w:t>
      </w:r>
      <w:r w:rsidR="00427468">
        <w:rPr>
          <w:kern w:val="0"/>
        </w:rPr>
        <w:t xml:space="preserve"> of </w:t>
      </w:r>
      <w:r>
        <w:rPr>
          <w:kern w:val="0"/>
        </w:rPr>
        <w:t>pentoxifylline as an adjunct to antibiotics for treatment</w:t>
      </w:r>
      <w:r w:rsidR="00427468">
        <w:rPr>
          <w:kern w:val="0"/>
        </w:rPr>
        <w:t xml:space="preserve"> of </w:t>
      </w:r>
      <w:r>
        <w:rPr>
          <w:kern w:val="0"/>
        </w:rPr>
        <w:t>suspected or confirmed sepsis or NEC in neonates were eligible. Data collection</w:t>
      </w:r>
      <w:r w:rsidR="005853A9">
        <w:rPr>
          <w:kern w:val="0"/>
        </w:rPr>
        <w:t xml:space="preserve"> and </w:t>
      </w:r>
      <w:r>
        <w:rPr>
          <w:kern w:val="0"/>
        </w:rPr>
        <w:t>analysis Two review authors independently abstracted information for the outcomes</w:t>
      </w:r>
      <w:r w:rsidR="00427468">
        <w:rPr>
          <w:kern w:val="0"/>
        </w:rPr>
        <w:t xml:space="preserve"> of </w:t>
      </w:r>
      <w:r>
        <w:rPr>
          <w:kern w:val="0"/>
        </w:rPr>
        <w:t>interest. Typical relative risk (RR)</w:t>
      </w:r>
      <w:r w:rsidR="005853A9">
        <w:rPr>
          <w:kern w:val="0"/>
        </w:rPr>
        <w:t xml:space="preserve"> and </w:t>
      </w:r>
      <w:r>
        <w:rPr>
          <w:kern w:val="0"/>
        </w:rPr>
        <w:t>risk difference (RD) with 95% confidence intervals (CI) using fixed effects model are reported for dichotomous outcomes</w:t>
      </w:r>
      <w:r w:rsidR="005853A9">
        <w:rPr>
          <w:kern w:val="0"/>
        </w:rPr>
        <w:t xml:space="preserve"> and </w:t>
      </w:r>
      <w:r>
        <w:rPr>
          <w:kern w:val="0"/>
        </w:rPr>
        <w:t>mean differences for continuous outcomes. NNT was calculated for outcomes for which there was a statistically significant reduction in RD. Main results In four randomised controlled trials, 227 neonates with suspected or confirmed sepsis were randomised to pentoxifylline or placebo. Pentoxifylline therapy significantly decreased “all cause mortality during hospital stay” in the overall population</w:t>
      </w:r>
      <w:r w:rsidR="00427468">
        <w:rPr>
          <w:kern w:val="0"/>
        </w:rPr>
        <w:t xml:space="preserve"> of </w:t>
      </w:r>
      <w:r>
        <w:rPr>
          <w:kern w:val="0"/>
        </w:rPr>
        <w:t>infants with sepsis [typical RR 0.40 (95%CI 0.20 to 0.77); typical RD -0.15 (95%CI -0.26 to -0.05); NNT 7 (95%CI 4 to 20)]. Subgroup analyses revealed significant reduction in mortality in preterm infants, infants with confirmed sepsis</w:t>
      </w:r>
      <w:r w:rsidR="005853A9">
        <w:rPr>
          <w:kern w:val="0"/>
        </w:rPr>
        <w:t xml:space="preserve"> and </w:t>
      </w:r>
      <w:r>
        <w:rPr>
          <w:kern w:val="0"/>
        </w:rPr>
        <w:t>gram-negative sepsis. Pentoxifylline treatment significantly decreased length</w:t>
      </w:r>
      <w:r w:rsidR="00427468">
        <w:rPr>
          <w:kern w:val="0"/>
        </w:rPr>
        <w:t xml:space="preserve"> of </w:t>
      </w:r>
      <w:r>
        <w:rPr>
          <w:kern w:val="0"/>
        </w:rPr>
        <w:t>hospital stay [mean difference -11.20 [95%CI -22.09 to -0.31] but not development</w:t>
      </w:r>
      <w:r w:rsidR="00427468">
        <w:rPr>
          <w:kern w:val="0"/>
        </w:rPr>
        <w:t xml:space="preserve"> of </w:t>
      </w:r>
      <w:r>
        <w:rPr>
          <w:kern w:val="0"/>
        </w:rPr>
        <w:t>NEC in neonates with sepsis [typical RR 0.29 (95%CI 0.07 to 1.24); typical RD -0.20 (95%CI -0.41 to 0.01)]. No adverse effects due to pentoxifylline were noted. No completed trial</w:t>
      </w:r>
      <w:r w:rsidR="00427468">
        <w:rPr>
          <w:kern w:val="0"/>
        </w:rPr>
        <w:t xml:space="preserve"> of </w:t>
      </w:r>
      <w:r>
        <w:rPr>
          <w:kern w:val="0"/>
        </w:rPr>
        <w:t>treatment with pentoxifylline for treatment</w:t>
      </w:r>
      <w:r w:rsidR="00427468">
        <w:rPr>
          <w:kern w:val="0"/>
        </w:rPr>
        <w:t xml:space="preserve"> of </w:t>
      </w:r>
      <w:r>
        <w:rPr>
          <w:kern w:val="0"/>
        </w:rPr>
        <w:t>NEC was identified. Authors</w:t>
      </w:r>
      <w:r w:rsidR="0071223E">
        <w:rPr>
          <w:kern w:val="0"/>
        </w:rPr>
        <w:t>’</w:t>
      </w:r>
      <w:r>
        <w:rPr>
          <w:kern w:val="0"/>
        </w:rPr>
        <w:t xml:space="preserve"> conclusions Current evidence from four small studies suggests that the use</w:t>
      </w:r>
      <w:r w:rsidR="00427468">
        <w:rPr>
          <w:kern w:val="0"/>
        </w:rPr>
        <w:t xml:space="preserve"> of </w:t>
      </w:r>
      <w:r>
        <w:rPr>
          <w:kern w:val="0"/>
        </w:rPr>
        <w:t>pentoxifylline as an adjunct to antibiotics in neonatal sepsis decreases mortality without any adverse effects. Researchers are encouraged to undertake large well-designed multicenter trials to confirm or refute the effectiveness</w:t>
      </w:r>
      <w:r w:rsidR="00427468">
        <w:rPr>
          <w:kern w:val="0"/>
        </w:rPr>
        <w:t xml:space="preserve"> of </w:t>
      </w:r>
      <w:r>
        <w:rPr>
          <w:kern w:val="0"/>
        </w:rPr>
        <w:t>pentoxifylline in reducing mortality</w:t>
      </w:r>
      <w:r w:rsidR="005853A9">
        <w:rPr>
          <w:kern w:val="0"/>
        </w:rPr>
        <w:t xml:space="preserve"> and </w:t>
      </w:r>
      <w:r>
        <w:rPr>
          <w:kern w:val="0"/>
        </w:rPr>
        <w:t>adverse outcomes in neonates with suspected or confirmed neonatal sepsis</w:t>
      </w:r>
      <w:r w:rsidR="005853A9">
        <w:rPr>
          <w:kern w:val="0"/>
        </w:rPr>
        <w:t xml:space="preserve"> and </w:t>
      </w:r>
      <w:r>
        <w:rPr>
          <w:kern w:val="0"/>
        </w:rPr>
        <w:t>NEC.</w:t>
      </w:r>
    </w:p>
    <w:p w:rsidR="00365DE4" w:rsidRDefault="00365DE4" w:rsidP="00365DE4">
      <w:pPr>
        <w:pStyle w:val="a3"/>
        <w:rPr>
          <w:kern w:val="0"/>
        </w:rPr>
      </w:pPr>
      <w:r>
        <w:rPr>
          <w:kern w:val="0"/>
        </w:rPr>
        <w:t xml:space="preserve">Keywords: Adverse Effects, Adverse Outcomes, Analysis, Anti-Bacterial Agents [Therapeutic Use], Anti-Inflammatory Agents [Therapeutic Use], Antibiotic, Antibiotics, Authors, Bacterial Infections [Drug Therapy], Birth-Weight Infants, Chemotherapy,Adjuvant, Citation, Coagulation, Cochrane, Confidence Intervals, </w:t>
      </w:r>
      <w:r>
        <w:rPr>
          <w:kern w:val="0"/>
        </w:rPr>
        <w:lastRenderedPageBreak/>
        <w:t xml:space="preserve">Development, Differences, Double-Blind, Effectiveness, Efficacy, Embase, Factor-Alpha, Hemodynamics, Hospital, Humans, Infant,Newborn, Infant,Premature, Infants, Infections, Inflammation, Information, Interest, </w:t>
      </w:r>
      <w:r w:rsidR="00D5664A">
        <w:rPr>
          <w:kern w:val="0"/>
        </w:rPr>
        <w:t>MEDLINE</w:t>
      </w:r>
      <w:r>
        <w:rPr>
          <w:kern w:val="0"/>
        </w:rPr>
        <w:t>, Model, Morbidity, Mortality, Outcomes, Pentoxifylline [Therapeutic Use], Phosphodiesterase Inhibitors [Therapeutic Use], Platelet Activating Factor, Premature-Infants, Preterm, Primary, Randomized Controlled Trials As Topic, Reduction, Relative Risk, Research Network, Researchers, Review, Risk, Safety, Science, Science Citation Index, Search Strategy, Selection, Sepsis, Sepsis [Drug Therapy], Strategy, Therapy, Treatment, Tumor-Necrosis-Factor</w:t>
      </w:r>
    </w:p>
    <w:p w:rsidR="00365DE4" w:rsidRDefault="00365DE4" w:rsidP="00365DE4">
      <w:pPr>
        <w:pStyle w:val="a3"/>
        <w:rPr>
          <w:kern w:val="0"/>
        </w:rPr>
      </w:pPr>
      <w:r>
        <w:rPr>
          <w:kern w:val="0"/>
        </w:rPr>
        <w:t>? Shyangdan, D.S., Royle, P., Clar, C., Sharma, P., Waugh, N.</w:t>
      </w:r>
      <w:r w:rsidR="005853A9">
        <w:rPr>
          <w:kern w:val="0"/>
        </w:rPr>
        <w:t xml:space="preserve"> and </w:t>
      </w:r>
      <w:r>
        <w:rPr>
          <w:kern w:val="0"/>
        </w:rPr>
        <w:t xml:space="preserve">Snaith, A. (2011), Glucagon-like peptide analogues for type 2 diabetes mellitus.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CD006423.</w:t>
      </w:r>
    </w:p>
    <w:p w:rsidR="00365DE4" w:rsidRDefault="00365DE4" w:rsidP="00365DE4">
      <w:pPr>
        <w:pStyle w:val="a3"/>
        <w:rPr>
          <w:kern w:val="2"/>
        </w:rPr>
      </w:pPr>
      <w:r>
        <w:t xml:space="preserve">Full Text: </w:t>
      </w:r>
      <w:hyperlink r:id="rId686" w:history="1">
        <w:r>
          <w:rPr>
            <w:rStyle w:val="a5"/>
          </w:rPr>
          <w:t>2011\Coc Dat Sys Rev2011, CD006423.pdf</w:t>
        </w:r>
      </w:hyperlink>
    </w:p>
    <w:p w:rsidR="00365DE4" w:rsidRDefault="00365DE4" w:rsidP="00365DE4">
      <w:pPr>
        <w:pStyle w:val="a3"/>
        <w:rPr>
          <w:kern w:val="0"/>
        </w:rPr>
      </w:pPr>
      <w:r>
        <w:rPr>
          <w:kern w:val="0"/>
        </w:rPr>
        <w:t>Abstract: Background Glucagon-like peptide analogues are a new class</w:t>
      </w:r>
      <w:r w:rsidR="00427468">
        <w:rPr>
          <w:kern w:val="0"/>
        </w:rPr>
        <w:t xml:space="preserve"> of </w:t>
      </w:r>
      <w:r>
        <w:rPr>
          <w:kern w:val="0"/>
        </w:rPr>
        <w:t>drugs used in the treatment</w:t>
      </w:r>
      <w:r w:rsidR="00427468">
        <w:rPr>
          <w:kern w:val="0"/>
        </w:rPr>
        <w:t xml:space="preserve"> of </w:t>
      </w:r>
      <w:r>
        <w:rPr>
          <w:kern w:val="0"/>
        </w:rPr>
        <w:t>type 2 diabetes that mimic the endogenous hormone glucagon-like peptide 1 (GLP-1). GLP-1 is an incretin, a gastrointestinal hormone that is released into the circulation in response to ingested nutrients. GLP-1 regulates glucose levels by stimulating glucose-dependent insulin secretion</w:t>
      </w:r>
      <w:r w:rsidR="005853A9">
        <w:rPr>
          <w:kern w:val="0"/>
        </w:rPr>
        <w:t xml:space="preserve"> and </w:t>
      </w:r>
      <w:r>
        <w:rPr>
          <w:kern w:val="0"/>
        </w:rPr>
        <w:t>biosynthesis,</w:t>
      </w:r>
      <w:r w:rsidR="005853A9">
        <w:rPr>
          <w:kern w:val="0"/>
        </w:rPr>
        <w:t xml:space="preserve"> and </w:t>
      </w:r>
      <w:r>
        <w:rPr>
          <w:kern w:val="0"/>
        </w:rPr>
        <w:t>by suppressing glucagon secretion, delayed gastric emptying</w:t>
      </w:r>
      <w:r w:rsidR="005853A9">
        <w:rPr>
          <w:kern w:val="0"/>
        </w:rPr>
        <w:t xml:space="preserve"> and </w:t>
      </w:r>
      <w:r>
        <w:rPr>
          <w:kern w:val="0"/>
        </w:rPr>
        <w:t>promoting satiety. Objectives To assess the effects</w:t>
      </w:r>
      <w:r w:rsidR="00427468">
        <w:rPr>
          <w:kern w:val="0"/>
        </w:rPr>
        <w:t xml:space="preserve"> of </w:t>
      </w:r>
      <w:r>
        <w:rPr>
          <w:kern w:val="0"/>
        </w:rPr>
        <w:t>glucagon-like peptide analogues in patients with type 2 diabetes mellitus. Search strategy Studies were obtained from electronic searches</w:t>
      </w:r>
      <w:r w:rsidR="00427468">
        <w:rPr>
          <w:kern w:val="0"/>
        </w:rPr>
        <w:t xml:space="preserve"> of </w:t>
      </w:r>
      <w:r>
        <w:rPr>
          <w:kern w:val="0"/>
        </w:rPr>
        <w:t xml:space="preserve">The Cochrane Library (last search issue 1, 2011), </w:t>
      </w:r>
      <w:r w:rsidR="00D5664A">
        <w:rPr>
          <w:kern w:val="0"/>
        </w:rPr>
        <w:t>MEDLINE</w:t>
      </w:r>
      <w:r>
        <w:rPr>
          <w:kern w:val="0"/>
        </w:rPr>
        <w:t xml:space="preserve"> (last search March 2011), EMBASE (last search March 2011), </w:t>
      </w:r>
      <w:r w:rsidR="00D5664A">
        <w:rPr>
          <w:kern w:val="0"/>
        </w:rPr>
        <w:t>Web</w:t>
      </w:r>
      <w:r w:rsidR="00427468">
        <w:rPr>
          <w:kern w:val="0"/>
        </w:rPr>
        <w:t xml:space="preserve"> of </w:t>
      </w:r>
      <w:r w:rsidR="00D5664A">
        <w:rPr>
          <w:kern w:val="0"/>
        </w:rPr>
        <w:t>Science</w:t>
      </w:r>
      <w:r>
        <w:rPr>
          <w:kern w:val="0"/>
        </w:rPr>
        <w:t xml:space="preserve"> (last search March 2011)</w:t>
      </w:r>
      <w:r w:rsidR="005853A9">
        <w:rPr>
          <w:kern w:val="0"/>
        </w:rPr>
        <w:t xml:space="preserve"> and </w:t>
      </w:r>
      <w:r>
        <w:rPr>
          <w:kern w:val="0"/>
        </w:rPr>
        <w:t>databases</w:t>
      </w:r>
      <w:r w:rsidR="00427468">
        <w:rPr>
          <w:kern w:val="0"/>
        </w:rPr>
        <w:t xml:space="preserve"> of </w:t>
      </w:r>
      <w:r>
        <w:rPr>
          <w:kern w:val="0"/>
        </w:rPr>
        <w:t>ongoing trials. Selection criteria Studies were included if they were randomised controlled trials</w:t>
      </w:r>
      <w:r w:rsidR="00427468">
        <w:rPr>
          <w:kern w:val="0"/>
        </w:rPr>
        <w:t xml:space="preserve"> of </w:t>
      </w:r>
      <w:r>
        <w:rPr>
          <w:kern w:val="0"/>
        </w:rPr>
        <w:t>a minimum duration</w:t>
      </w:r>
      <w:r w:rsidR="00427468">
        <w:rPr>
          <w:kern w:val="0"/>
        </w:rPr>
        <w:t xml:space="preserve"> of </w:t>
      </w:r>
      <w:r>
        <w:rPr>
          <w:kern w:val="0"/>
        </w:rPr>
        <w:t>eight weeks comparing a GLP-1 analogue with placebo, insulin, an oral anti-diabetic agent, or another GLP-1 analogue in people with type 2 diabetes. Data collection</w:t>
      </w:r>
      <w:r w:rsidR="005853A9">
        <w:rPr>
          <w:kern w:val="0"/>
        </w:rPr>
        <w:t xml:space="preserve"> and </w:t>
      </w:r>
      <w:r>
        <w:rPr>
          <w:kern w:val="0"/>
        </w:rPr>
        <w:t>analysis Data extraction</w:t>
      </w:r>
      <w:r w:rsidR="005853A9">
        <w:rPr>
          <w:kern w:val="0"/>
        </w:rPr>
        <w:t xml:space="preserve"> and </w:t>
      </w:r>
      <w:r>
        <w:rPr>
          <w:kern w:val="0"/>
        </w:rPr>
        <w:t>quality assessment</w:t>
      </w:r>
      <w:r w:rsidR="00427468">
        <w:rPr>
          <w:kern w:val="0"/>
        </w:rPr>
        <w:t xml:space="preserve"> of </w:t>
      </w:r>
      <w:r>
        <w:rPr>
          <w:kern w:val="0"/>
        </w:rPr>
        <w:t>studies were done by one reviewer</w:t>
      </w:r>
      <w:r w:rsidR="005853A9">
        <w:rPr>
          <w:kern w:val="0"/>
        </w:rPr>
        <w:t xml:space="preserve"> and </w:t>
      </w:r>
      <w:r>
        <w:rPr>
          <w:kern w:val="0"/>
        </w:rPr>
        <w:t>checked by a second. Data were analysed by type</w:t>
      </w:r>
      <w:r w:rsidR="00427468">
        <w:rPr>
          <w:kern w:val="0"/>
        </w:rPr>
        <w:t xml:space="preserve"> of </w:t>
      </w:r>
      <w:r>
        <w:rPr>
          <w:kern w:val="0"/>
        </w:rPr>
        <w:t>GLP-1 agonist</w:t>
      </w:r>
      <w:r w:rsidR="005853A9">
        <w:rPr>
          <w:kern w:val="0"/>
        </w:rPr>
        <w:t xml:space="preserve"> and </w:t>
      </w:r>
      <w:r>
        <w:rPr>
          <w:kern w:val="0"/>
        </w:rPr>
        <w:t>comparison treatment. Where appropriate, data were summarised in a meta-analysis (mean differences</w:t>
      </w:r>
      <w:r w:rsidR="005853A9">
        <w:rPr>
          <w:kern w:val="0"/>
        </w:rPr>
        <w:t xml:space="preserve"> and </w:t>
      </w:r>
      <w:r>
        <w:rPr>
          <w:kern w:val="0"/>
        </w:rPr>
        <w:t>risk ratios summarised using a random-effects model). Main results Seventeen randomised controlled trials including relevant analyses for 6899 participants were included in the analysis. Studies were mostly</w:t>
      </w:r>
      <w:r w:rsidR="00427468">
        <w:rPr>
          <w:kern w:val="0"/>
        </w:rPr>
        <w:t xml:space="preserve"> of </w:t>
      </w:r>
      <w:r>
        <w:rPr>
          <w:kern w:val="0"/>
        </w:rPr>
        <w:t>short duration, usually 26 weeks. In comparison with placebo, all GLP-1 agonists reduced glycosylated haemoglobin A1c (HbA1c) levels by about 1%. Exenatide 2 mg once weekly reduced HbA1c more than exenatide 10 mu g twice daily, sitagliptin</w:t>
      </w:r>
      <w:r w:rsidR="005853A9">
        <w:rPr>
          <w:kern w:val="0"/>
        </w:rPr>
        <w:t xml:space="preserve"> and </w:t>
      </w:r>
      <w:r>
        <w:rPr>
          <w:kern w:val="0"/>
        </w:rPr>
        <w:t>pioglitazone. Liraglutide 1.8 mg reduced HbA1c by 0.33% more than exenatide 10 mu g twice daily. Liraglutide led to similar improvements in HbA1c compared to sulphonylureas but reduced it more than sitagliptin</w:t>
      </w:r>
      <w:r w:rsidR="005853A9">
        <w:rPr>
          <w:kern w:val="0"/>
        </w:rPr>
        <w:t xml:space="preserve"> and </w:t>
      </w:r>
      <w:r>
        <w:rPr>
          <w:kern w:val="0"/>
        </w:rPr>
        <w:t>rosiglitazone. Both exenatide</w:t>
      </w:r>
      <w:r w:rsidR="005853A9">
        <w:rPr>
          <w:kern w:val="0"/>
        </w:rPr>
        <w:t xml:space="preserve"> </w:t>
      </w:r>
      <w:r w:rsidR="005853A9">
        <w:rPr>
          <w:kern w:val="0"/>
        </w:rPr>
        <w:lastRenderedPageBreak/>
        <w:t xml:space="preserve">and </w:t>
      </w:r>
      <w:r>
        <w:rPr>
          <w:kern w:val="0"/>
        </w:rPr>
        <w:t>liraglutide led to greater weight loss than most active comparators, including in participants not experiencing nausea. Hypoglycaemia occurred more frequently in participants taking concomitant sulphonylurea. GLP-1 agonists caused gastrointestinal adverse effects, mainly nausea</w:t>
      </w:r>
      <w:r w:rsidR="00A37C1D">
        <w:rPr>
          <w:kern w:val="0"/>
        </w:rPr>
        <w:t>. The</w:t>
      </w:r>
      <w:r>
        <w:rPr>
          <w:kern w:val="0"/>
        </w:rPr>
        <w:t>se adverse events were strongest at the beginning</w:t>
      </w:r>
      <w:r w:rsidR="005853A9">
        <w:rPr>
          <w:kern w:val="0"/>
        </w:rPr>
        <w:t xml:space="preserve"> and </w:t>
      </w:r>
      <w:r>
        <w:rPr>
          <w:kern w:val="0"/>
        </w:rPr>
        <w:t>then subsided. Beta-cell function was improved with GLP-1 agonists but the effect did not persist after cessation</w:t>
      </w:r>
      <w:r w:rsidR="00427468">
        <w:rPr>
          <w:kern w:val="0"/>
        </w:rPr>
        <w:t xml:space="preserve"> of </w:t>
      </w:r>
      <w:r>
        <w:rPr>
          <w:kern w:val="0"/>
        </w:rPr>
        <w:t>treatment. None</w:t>
      </w:r>
      <w:r w:rsidR="00427468">
        <w:rPr>
          <w:kern w:val="0"/>
        </w:rPr>
        <w:t xml:space="preserve"> of </w:t>
      </w:r>
      <w:r>
        <w:rPr>
          <w:kern w:val="0"/>
        </w:rPr>
        <w:t>the studies was long enough to assess long-term positive or negative effects. Authors</w:t>
      </w:r>
      <w:r w:rsidR="0071223E">
        <w:rPr>
          <w:kern w:val="0"/>
        </w:rPr>
        <w:t>’</w:t>
      </w:r>
      <w:r>
        <w:rPr>
          <w:kern w:val="0"/>
        </w:rPr>
        <w:t xml:space="preserve"> conclusions GLP-1 agonists are effective in improving glycaemic control.</w:t>
      </w:r>
    </w:p>
    <w:p w:rsidR="00365DE4" w:rsidRDefault="00365DE4" w:rsidP="00365DE4">
      <w:pPr>
        <w:pStyle w:val="a3"/>
        <w:rPr>
          <w:kern w:val="0"/>
        </w:rPr>
      </w:pPr>
      <w:r>
        <w:rPr>
          <w:kern w:val="0"/>
        </w:rPr>
        <w:t xml:space="preserve">Keywords: Adverse Effects, Adverse Events, Analysis, Assessment, Cardiovascular Risk-Factors, Cochrane, Control, Databases, Diabetes, Diabetes Mellitus, Differences, Double-Blind, Drugs, Embase, Exenatide, Extraction, Gastrointestinal, Glp-1, Haemoglobin, Hormone, Human Glp-1 Analog, Improved Treatment Satisfaction, Improves Glycemic Control, Insulin, Insulin Glargine, Lowers Body-Weight, </w:t>
      </w:r>
      <w:r w:rsidR="00D5664A">
        <w:rPr>
          <w:kern w:val="0"/>
        </w:rPr>
        <w:t>MEDLINE</w:t>
      </w:r>
      <w:r>
        <w:rPr>
          <w:kern w:val="0"/>
        </w:rPr>
        <w:t xml:space="preserve">, Meta Analysis, Meta-Analysis, Model, Once-Daily Liraglutide, Open-Label Trial, Oral, Parallel-Group, Patients, Quality, Risk, Science, Search Strategy, Selection, Strategy, Treatment, Type 2, Type 2 Diabetes, Type 2 Diabetes Mellitus, </w:t>
      </w:r>
      <w:r w:rsidR="00D5664A">
        <w:rPr>
          <w:kern w:val="0"/>
        </w:rPr>
        <w:t>Web</w:t>
      </w:r>
      <w:r w:rsidR="00427468">
        <w:rPr>
          <w:kern w:val="0"/>
        </w:rPr>
        <w:t xml:space="preserve"> of </w:t>
      </w:r>
      <w:r w:rsidR="00D5664A">
        <w:rPr>
          <w:kern w:val="0"/>
        </w:rPr>
        <w:t>Science</w:t>
      </w:r>
      <w:r>
        <w:rPr>
          <w:kern w:val="0"/>
        </w:rPr>
        <w:t>, Weight Loss</w:t>
      </w:r>
    </w:p>
    <w:p w:rsidR="00365DE4" w:rsidRDefault="00365DE4" w:rsidP="00365DE4">
      <w:pPr>
        <w:pStyle w:val="a3"/>
        <w:rPr>
          <w:kern w:val="0"/>
        </w:rPr>
      </w:pPr>
      <w:r>
        <w:rPr>
          <w:kern w:val="0"/>
        </w:rPr>
        <w:t>? Bradt, J., Goodill, S.W.</w:t>
      </w:r>
      <w:r w:rsidR="005853A9">
        <w:rPr>
          <w:kern w:val="0"/>
        </w:rPr>
        <w:t xml:space="preserve"> and </w:t>
      </w:r>
      <w:r>
        <w:rPr>
          <w:kern w:val="0"/>
        </w:rPr>
        <w:t>Dileo, C. (2011), Dance/movement therapy for improving psychological</w:t>
      </w:r>
      <w:r w:rsidR="005853A9">
        <w:rPr>
          <w:kern w:val="0"/>
        </w:rPr>
        <w:t xml:space="preserve"> and </w:t>
      </w:r>
      <w:r>
        <w:rPr>
          <w:kern w:val="0"/>
        </w:rPr>
        <w:t xml:space="preserve">physical outcomes in cancer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CD007103.</w:t>
      </w:r>
    </w:p>
    <w:p w:rsidR="00365DE4" w:rsidRDefault="00365DE4" w:rsidP="00365DE4">
      <w:pPr>
        <w:pStyle w:val="a3"/>
        <w:rPr>
          <w:kern w:val="2"/>
        </w:rPr>
      </w:pPr>
      <w:r>
        <w:t xml:space="preserve">Full Text: </w:t>
      </w:r>
      <w:hyperlink r:id="rId687" w:history="1">
        <w:r>
          <w:rPr>
            <w:rStyle w:val="a5"/>
          </w:rPr>
          <w:t>2011\Coc Dat Sys Rev2011, CD007103.pdf</w:t>
        </w:r>
      </w:hyperlink>
    </w:p>
    <w:p w:rsidR="00365DE4" w:rsidRDefault="00365DE4" w:rsidP="00365DE4">
      <w:pPr>
        <w:pStyle w:val="a3"/>
        <w:rPr>
          <w:kern w:val="0"/>
        </w:rPr>
      </w:pPr>
      <w:r>
        <w:rPr>
          <w:kern w:val="0"/>
        </w:rPr>
        <w:t>Abstract: Background Current cancer care increasingly incorporates psychosocial interventions. Cancer patients use dance/movement therapy to learn to accept</w:t>
      </w:r>
      <w:r w:rsidR="005853A9">
        <w:rPr>
          <w:kern w:val="0"/>
        </w:rPr>
        <w:t xml:space="preserve"> and </w:t>
      </w:r>
      <w:r>
        <w:rPr>
          <w:kern w:val="0"/>
        </w:rPr>
        <w:t>reconnect with their bodies, build new self-confidence, enhance self-expression, address feelings</w:t>
      </w:r>
      <w:r w:rsidR="00427468">
        <w:rPr>
          <w:kern w:val="0"/>
        </w:rPr>
        <w:t xml:space="preserve"> of </w:t>
      </w:r>
      <w:r>
        <w:rPr>
          <w:kern w:val="0"/>
        </w:rPr>
        <w:t>isolation, depression, anger</w:t>
      </w:r>
      <w:r w:rsidR="005853A9">
        <w:rPr>
          <w:kern w:val="0"/>
        </w:rPr>
        <w:t xml:space="preserve"> and </w:t>
      </w:r>
      <w:r>
        <w:rPr>
          <w:kern w:val="0"/>
        </w:rPr>
        <w:t>fear</w:t>
      </w:r>
      <w:r w:rsidR="005853A9">
        <w:rPr>
          <w:kern w:val="0"/>
        </w:rPr>
        <w:t xml:space="preserve"> and </w:t>
      </w:r>
      <w:r>
        <w:rPr>
          <w:kern w:val="0"/>
        </w:rPr>
        <w:t>to strengthen personal resources. Objectives To compare the effects</w:t>
      </w:r>
      <w:r w:rsidR="00427468">
        <w:rPr>
          <w:kern w:val="0"/>
        </w:rPr>
        <w:t xml:space="preserve"> of </w:t>
      </w:r>
      <w:r>
        <w:rPr>
          <w:kern w:val="0"/>
        </w:rPr>
        <w:t>dance/movement therapy</w:t>
      </w:r>
      <w:r w:rsidR="005853A9">
        <w:rPr>
          <w:kern w:val="0"/>
        </w:rPr>
        <w:t xml:space="preserve"> and </w:t>
      </w:r>
      <w:r>
        <w:rPr>
          <w:kern w:val="0"/>
        </w:rPr>
        <w:t>standard care with standard care alone or standard care</w:t>
      </w:r>
      <w:r w:rsidR="005853A9">
        <w:rPr>
          <w:kern w:val="0"/>
        </w:rPr>
        <w:t xml:space="preserve"> and </w:t>
      </w:r>
      <w:r>
        <w:rPr>
          <w:kern w:val="0"/>
        </w:rPr>
        <w:t>other interventions in patients with cancer. Search strategy We searched the Cochrane Central Register</w:t>
      </w:r>
      <w:r w:rsidR="00427468">
        <w:rPr>
          <w:kern w:val="0"/>
        </w:rPr>
        <w:t xml:space="preserve"> of </w:t>
      </w:r>
      <w:r>
        <w:rPr>
          <w:kern w:val="0"/>
        </w:rPr>
        <w:t xml:space="preserve">Controlled Trials (CENTRAL) (The Cochrane Library 2011, Issue 2), </w:t>
      </w:r>
      <w:r w:rsidR="00D5664A">
        <w:rPr>
          <w:kern w:val="0"/>
        </w:rPr>
        <w:t>MEDLINE</w:t>
      </w:r>
      <w:r>
        <w:rPr>
          <w:kern w:val="0"/>
        </w:rPr>
        <w:t>, EMBASE, CINAHL, PsycINFO, LILACS, Science Citation Index, CancerLit, International Bibliography</w:t>
      </w:r>
      <w:r w:rsidR="00427468">
        <w:rPr>
          <w:kern w:val="0"/>
        </w:rPr>
        <w:t xml:space="preserve"> of </w:t>
      </w:r>
      <w:r>
        <w:rPr>
          <w:kern w:val="0"/>
        </w:rPr>
        <w:t>Theatre</w:t>
      </w:r>
      <w:r w:rsidR="005853A9">
        <w:rPr>
          <w:kern w:val="0"/>
        </w:rPr>
        <w:t xml:space="preserve"> and </w:t>
      </w:r>
      <w:r>
        <w:rPr>
          <w:kern w:val="0"/>
        </w:rPr>
        <w:t>Dance, Proquest Digital Dissertations, ClinicalTrials.gov, Current Controlled Trials</w:t>
      </w:r>
      <w:r w:rsidR="005853A9">
        <w:rPr>
          <w:kern w:val="0"/>
        </w:rPr>
        <w:t xml:space="preserve"> and </w:t>
      </w:r>
      <w:r>
        <w:rPr>
          <w:kern w:val="0"/>
        </w:rPr>
        <w:t>the National Research Register (all to March 2011). We handsearched dance/movement therapy</w:t>
      </w:r>
      <w:r w:rsidR="005853A9">
        <w:rPr>
          <w:kern w:val="0"/>
        </w:rPr>
        <w:t xml:space="preserve"> and </w:t>
      </w:r>
      <w:r>
        <w:rPr>
          <w:kern w:val="0"/>
        </w:rPr>
        <w:t>related topics journals, reviewed reference lists</w:t>
      </w:r>
      <w:r w:rsidR="005853A9">
        <w:rPr>
          <w:kern w:val="0"/>
        </w:rPr>
        <w:t xml:space="preserve"> and </w:t>
      </w:r>
      <w:r>
        <w:rPr>
          <w:kern w:val="0"/>
        </w:rPr>
        <w:t>contacted experts</w:t>
      </w:r>
      <w:r w:rsidR="00A37C1D">
        <w:rPr>
          <w:kern w:val="0"/>
        </w:rPr>
        <w:t>. The</w:t>
      </w:r>
      <w:r>
        <w:rPr>
          <w:kern w:val="0"/>
        </w:rPr>
        <w:t>re was no language restriction. Selection criteria We included all randomized</w:t>
      </w:r>
      <w:r w:rsidR="005853A9">
        <w:rPr>
          <w:kern w:val="0"/>
        </w:rPr>
        <w:t xml:space="preserve"> and </w:t>
      </w:r>
      <w:r>
        <w:rPr>
          <w:kern w:val="0"/>
        </w:rPr>
        <w:t>quasi-randomized controlled trials</w:t>
      </w:r>
      <w:r w:rsidR="00427468">
        <w:rPr>
          <w:kern w:val="0"/>
        </w:rPr>
        <w:t xml:space="preserve"> of </w:t>
      </w:r>
      <w:r>
        <w:rPr>
          <w:kern w:val="0"/>
        </w:rPr>
        <w:t>dance/movement therapy interventions for improving psychological</w:t>
      </w:r>
      <w:r w:rsidR="005853A9">
        <w:rPr>
          <w:kern w:val="0"/>
        </w:rPr>
        <w:t xml:space="preserve"> and </w:t>
      </w:r>
      <w:r>
        <w:rPr>
          <w:kern w:val="0"/>
        </w:rPr>
        <w:t>physical outcomes in patients with cancer. Data collection</w:t>
      </w:r>
      <w:r w:rsidR="005853A9">
        <w:rPr>
          <w:kern w:val="0"/>
        </w:rPr>
        <w:t xml:space="preserve"> and </w:t>
      </w:r>
      <w:r>
        <w:rPr>
          <w:kern w:val="0"/>
        </w:rPr>
        <w:t>analysis Two review authors independently extracted the data</w:t>
      </w:r>
      <w:r w:rsidR="005853A9">
        <w:rPr>
          <w:kern w:val="0"/>
        </w:rPr>
        <w:t xml:space="preserve"> and </w:t>
      </w:r>
      <w:r>
        <w:rPr>
          <w:kern w:val="0"/>
        </w:rPr>
        <w:t xml:space="preserve">assessed the methodological quality. Results were presented using standardized mean differences. </w:t>
      </w:r>
      <w:r>
        <w:rPr>
          <w:kern w:val="0"/>
        </w:rPr>
        <w:lastRenderedPageBreak/>
        <w:t>Main results We included two studies with a total</w:t>
      </w:r>
      <w:r w:rsidR="00427468">
        <w:rPr>
          <w:kern w:val="0"/>
        </w:rPr>
        <w:t xml:space="preserve"> of </w:t>
      </w:r>
      <w:r>
        <w:rPr>
          <w:kern w:val="0"/>
        </w:rPr>
        <w:t>68 participants. No evidence was found for an effect</w:t>
      </w:r>
      <w:r w:rsidR="00427468">
        <w:rPr>
          <w:kern w:val="0"/>
        </w:rPr>
        <w:t xml:space="preserve"> of </w:t>
      </w:r>
      <w:r>
        <w:rPr>
          <w:kern w:val="0"/>
        </w:rPr>
        <w:t>dance/movement therapy on body image in women with breast cancer</w:t>
      </w:r>
      <w:r w:rsidR="00A37C1D">
        <w:rPr>
          <w:kern w:val="0"/>
        </w:rPr>
        <w:t>. The</w:t>
      </w:r>
      <w:r>
        <w:rPr>
          <w:kern w:val="0"/>
        </w:rPr>
        <w:t xml:space="preserve"> data</w:t>
      </w:r>
      <w:r w:rsidR="00427468">
        <w:rPr>
          <w:kern w:val="0"/>
        </w:rPr>
        <w:t xml:space="preserve"> of </w:t>
      </w:r>
      <w:r>
        <w:rPr>
          <w:kern w:val="0"/>
        </w:rPr>
        <w:t>one study with moderate risk</w:t>
      </w:r>
      <w:r w:rsidR="00427468">
        <w:rPr>
          <w:kern w:val="0"/>
        </w:rPr>
        <w:t xml:space="preserve"> of </w:t>
      </w:r>
      <w:r>
        <w:rPr>
          <w:kern w:val="0"/>
        </w:rPr>
        <w:t>bias suggested that dance/movement therapy had a large beneficial effect on participants</w:t>
      </w:r>
      <w:r w:rsidR="0071223E">
        <w:rPr>
          <w:kern w:val="0"/>
        </w:rPr>
        <w:t>’</w:t>
      </w:r>
      <w:r>
        <w:rPr>
          <w:kern w:val="0"/>
        </w:rPr>
        <w:t xml:space="preserve"> quality</w:t>
      </w:r>
      <w:r w:rsidR="00427468">
        <w:rPr>
          <w:kern w:val="0"/>
        </w:rPr>
        <w:t xml:space="preserve"> of </w:t>
      </w:r>
      <w:r>
        <w:rPr>
          <w:kern w:val="0"/>
        </w:rPr>
        <w:t>life (QoL)</w:t>
      </w:r>
      <w:r w:rsidR="00A37C1D">
        <w:rPr>
          <w:kern w:val="0"/>
        </w:rPr>
        <w:t>. The</w:t>
      </w:r>
      <w:r>
        <w:rPr>
          <w:kern w:val="0"/>
        </w:rPr>
        <w:t xml:space="preserve"> second trial reported a large beneficial effect on fatigue. However, this trial was at high risk</w:t>
      </w:r>
      <w:r w:rsidR="00427468">
        <w:rPr>
          <w:kern w:val="0"/>
        </w:rPr>
        <w:t xml:space="preserve"> of </w:t>
      </w:r>
      <w:r>
        <w:rPr>
          <w:kern w:val="0"/>
        </w:rPr>
        <w:t>bias</w:t>
      </w:r>
      <w:r w:rsidR="00A37C1D">
        <w:rPr>
          <w:kern w:val="0"/>
        </w:rPr>
        <w:t>. The</w:t>
      </w:r>
      <w:r>
        <w:rPr>
          <w:kern w:val="0"/>
        </w:rPr>
        <w:t xml:space="preserve"> individual studies did not find support for an effect</w:t>
      </w:r>
      <w:r w:rsidR="00427468">
        <w:rPr>
          <w:kern w:val="0"/>
        </w:rPr>
        <w:t xml:space="preserve"> of </w:t>
      </w:r>
      <w:r>
        <w:rPr>
          <w:kern w:val="0"/>
        </w:rPr>
        <w:t>dance/movement therapy on mood, distress,</w:t>
      </w:r>
      <w:r w:rsidR="005853A9">
        <w:rPr>
          <w:kern w:val="0"/>
        </w:rPr>
        <w:t xml:space="preserve"> and </w:t>
      </w:r>
      <w:r>
        <w:rPr>
          <w:kern w:val="0"/>
        </w:rPr>
        <w:t>mental health. It is unclear whether this was due to ineffectiveness</w:t>
      </w:r>
      <w:r w:rsidR="00427468">
        <w:rPr>
          <w:kern w:val="0"/>
        </w:rPr>
        <w:t xml:space="preserve"> of </w:t>
      </w:r>
      <w:r>
        <w:rPr>
          <w:kern w:val="0"/>
        </w:rPr>
        <w:t>the treatment or limited power</w:t>
      </w:r>
      <w:r w:rsidR="00427468">
        <w:rPr>
          <w:kern w:val="0"/>
        </w:rPr>
        <w:t xml:space="preserve"> of </w:t>
      </w:r>
      <w:r>
        <w:rPr>
          <w:kern w:val="0"/>
        </w:rPr>
        <w:t>the trials. Finally, the results</w:t>
      </w:r>
      <w:r w:rsidR="00427468">
        <w:rPr>
          <w:kern w:val="0"/>
        </w:rPr>
        <w:t xml:space="preserve"> of </w:t>
      </w:r>
      <w:r>
        <w:rPr>
          <w:kern w:val="0"/>
        </w:rPr>
        <w:t>one study did not find evidence for an effect</w:t>
      </w:r>
      <w:r w:rsidR="00427468">
        <w:rPr>
          <w:kern w:val="0"/>
        </w:rPr>
        <w:t xml:space="preserve"> of </w:t>
      </w:r>
      <w:r>
        <w:rPr>
          <w:kern w:val="0"/>
        </w:rPr>
        <w:t>dance/movement therapy on shoulder range</w:t>
      </w:r>
      <w:r w:rsidR="00427468">
        <w:rPr>
          <w:kern w:val="0"/>
        </w:rPr>
        <w:t xml:space="preserve"> of </w:t>
      </w:r>
      <w:r>
        <w:rPr>
          <w:kern w:val="0"/>
        </w:rPr>
        <w:t>motion (ROM) or arm circumference in women who underwent a lumpectomy or breast surgery. However, this was likely due to large within-group variability for shoulder ROM</w:t>
      </w:r>
      <w:r w:rsidR="005853A9">
        <w:rPr>
          <w:kern w:val="0"/>
        </w:rPr>
        <w:t xml:space="preserve"> and </w:t>
      </w:r>
      <w:r>
        <w:rPr>
          <w:kern w:val="0"/>
        </w:rPr>
        <w:t>a limited number</w:t>
      </w:r>
      <w:r w:rsidR="00427468">
        <w:rPr>
          <w:kern w:val="0"/>
        </w:rPr>
        <w:t xml:space="preserve"> of </w:t>
      </w:r>
      <w:r>
        <w:rPr>
          <w:kern w:val="0"/>
        </w:rPr>
        <w:t>participants with lymphedema. Authors</w:t>
      </w:r>
      <w:r w:rsidR="0071223E">
        <w:rPr>
          <w:kern w:val="0"/>
        </w:rPr>
        <w:t>’</w:t>
      </w:r>
      <w:r>
        <w:rPr>
          <w:kern w:val="0"/>
        </w:rPr>
        <w:t xml:space="preserve"> conclusions We did not find support for an effect</w:t>
      </w:r>
      <w:r w:rsidR="00427468">
        <w:rPr>
          <w:kern w:val="0"/>
        </w:rPr>
        <w:t xml:space="preserve"> of </w:t>
      </w:r>
      <w:r>
        <w:rPr>
          <w:kern w:val="0"/>
        </w:rPr>
        <w:t>dance/movement therapy on body image</w:t>
      </w:r>
      <w:r w:rsidR="00A37C1D">
        <w:rPr>
          <w:kern w:val="0"/>
        </w:rPr>
        <w:t>. The</w:t>
      </w:r>
      <w:r>
        <w:rPr>
          <w:kern w:val="0"/>
        </w:rPr>
        <w:t xml:space="preserve"> findings</w:t>
      </w:r>
      <w:r w:rsidR="00427468">
        <w:rPr>
          <w:kern w:val="0"/>
        </w:rPr>
        <w:t xml:space="preserve"> of </w:t>
      </w:r>
      <w:r>
        <w:rPr>
          <w:kern w:val="0"/>
        </w:rPr>
        <w:t>one study suggest that dance/movement therapy may have a beneficial effect on QoL. However, the limited number</w:t>
      </w:r>
      <w:r w:rsidR="00427468">
        <w:rPr>
          <w:kern w:val="0"/>
        </w:rPr>
        <w:t xml:space="preserve"> of </w:t>
      </w:r>
      <w:r>
        <w:rPr>
          <w:kern w:val="0"/>
        </w:rPr>
        <w:t>studies prevents us from drawing conclusions concerning the effects</w:t>
      </w:r>
      <w:r w:rsidR="00427468">
        <w:rPr>
          <w:kern w:val="0"/>
        </w:rPr>
        <w:t xml:space="preserve"> of </w:t>
      </w:r>
      <w:r>
        <w:rPr>
          <w:kern w:val="0"/>
        </w:rPr>
        <w:t>dance/movement therapy on psychological</w:t>
      </w:r>
      <w:r w:rsidR="005853A9">
        <w:rPr>
          <w:kern w:val="0"/>
        </w:rPr>
        <w:t xml:space="preserve"> and </w:t>
      </w:r>
      <w:r>
        <w:rPr>
          <w:kern w:val="0"/>
        </w:rPr>
        <w:t>physical outcomes in cancer patients.</w:t>
      </w:r>
    </w:p>
    <w:p w:rsidR="00365DE4" w:rsidRDefault="00365DE4" w:rsidP="00365DE4">
      <w:pPr>
        <w:pStyle w:val="a3"/>
        <w:rPr>
          <w:kern w:val="0"/>
        </w:rPr>
      </w:pPr>
      <w:r>
        <w:rPr>
          <w:kern w:val="0"/>
        </w:rPr>
        <w:t xml:space="preserve">Keywords: Analysis, Authors, Bias, Bibliography, Body, Breast Cancer, Breast-Cancer, Cancer, Care, Citation, Cochrane, Dance, Depression, Diagnosis, Differences, Dissertations, Distress, Embase, Fatigue, Interventions, Journals, </w:t>
      </w:r>
      <w:r w:rsidR="00D5664A">
        <w:rPr>
          <w:kern w:val="0"/>
        </w:rPr>
        <w:t>MEDLINE</w:t>
      </w:r>
      <w:r>
        <w:rPr>
          <w:kern w:val="0"/>
        </w:rPr>
        <w:t>, Mental Health, Mood, Movement, Outcomes, Patients, Power, Prevalence, Psychological, Psychosocial, Quality, Quality</w:t>
      </w:r>
      <w:r w:rsidR="00427468">
        <w:rPr>
          <w:kern w:val="0"/>
        </w:rPr>
        <w:t xml:space="preserve"> of </w:t>
      </w:r>
      <w:r>
        <w:rPr>
          <w:kern w:val="0"/>
        </w:rPr>
        <w:t>Life, Research, Review, Risk, Scale, Science, Science Citation Index, Search Strategy, Selection, Strategy, Surgery, Therapy, Topics, Treatment, Variability, Women</w:t>
      </w:r>
    </w:p>
    <w:p w:rsidR="00365DE4" w:rsidRDefault="00365DE4" w:rsidP="00365DE4">
      <w:pPr>
        <w:pStyle w:val="a3"/>
        <w:rPr>
          <w:kern w:val="0"/>
        </w:rPr>
      </w:pPr>
      <w:r>
        <w:rPr>
          <w:kern w:val="0"/>
        </w:rPr>
        <w:t>? Haider, B.A., Lassi, Z.S., Ahmed, A.</w:t>
      </w:r>
      <w:r w:rsidR="005853A9">
        <w:rPr>
          <w:kern w:val="0"/>
        </w:rPr>
        <w:t xml:space="preserve"> and </w:t>
      </w:r>
      <w:r>
        <w:rPr>
          <w:kern w:val="0"/>
        </w:rPr>
        <w:t>Bhutta, Z.A. (2011), Zinc supplementation as an adjunct to antibiotics in the treatment</w:t>
      </w:r>
      <w:r w:rsidR="00427468">
        <w:rPr>
          <w:kern w:val="0"/>
        </w:rPr>
        <w:t xml:space="preserve"> of </w:t>
      </w:r>
      <w:r>
        <w:rPr>
          <w:kern w:val="0"/>
        </w:rPr>
        <w:t>pneumonia in children 2 to 59 months</w:t>
      </w:r>
      <w:r w:rsidR="00427468">
        <w:rPr>
          <w:kern w:val="0"/>
        </w:rPr>
        <w:t xml:space="preserve"> of </w:t>
      </w:r>
      <w:r>
        <w:rPr>
          <w:kern w:val="0"/>
        </w:rPr>
        <w:t xml:space="preserve">age.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CD007368.</w:t>
      </w:r>
    </w:p>
    <w:p w:rsidR="00365DE4" w:rsidRDefault="00365DE4" w:rsidP="00365DE4">
      <w:pPr>
        <w:pStyle w:val="a3"/>
        <w:rPr>
          <w:kern w:val="2"/>
        </w:rPr>
      </w:pPr>
      <w:r>
        <w:t xml:space="preserve">Full Text: </w:t>
      </w:r>
      <w:hyperlink r:id="rId688" w:history="1">
        <w:r>
          <w:rPr>
            <w:rStyle w:val="a5"/>
          </w:rPr>
          <w:t>2011\Coc Dat Sys Rev2011, CD007368.pdf</w:t>
        </w:r>
      </w:hyperlink>
    </w:p>
    <w:p w:rsidR="00365DE4" w:rsidRDefault="00365DE4" w:rsidP="00365DE4">
      <w:pPr>
        <w:pStyle w:val="a3"/>
        <w:rPr>
          <w:kern w:val="0"/>
        </w:rPr>
      </w:pPr>
      <w:r>
        <w:rPr>
          <w:kern w:val="0"/>
        </w:rPr>
        <w:t>Abstract: Background Diarrhoeal disorders</w:t>
      </w:r>
      <w:r w:rsidR="005853A9">
        <w:rPr>
          <w:kern w:val="0"/>
        </w:rPr>
        <w:t xml:space="preserve"> and </w:t>
      </w:r>
      <w:r>
        <w:rPr>
          <w:kern w:val="0"/>
        </w:rPr>
        <w:t>acute respiratory infections (ARIs), especially pneumonia, are the most common causes</w:t>
      </w:r>
      <w:r w:rsidR="00427468">
        <w:rPr>
          <w:kern w:val="0"/>
        </w:rPr>
        <w:t xml:space="preserve"> of </w:t>
      </w:r>
      <w:r>
        <w:rPr>
          <w:kern w:val="0"/>
        </w:rPr>
        <w:t>death in low-income countries. Studies evaluating the impact</w:t>
      </w:r>
      <w:r w:rsidR="00427468">
        <w:rPr>
          <w:kern w:val="0"/>
        </w:rPr>
        <w:t xml:space="preserve"> of </w:t>
      </w:r>
      <w:r>
        <w:rPr>
          <w:kern w:val="0"/>
        </w:rPr>
        <w:t>zinc supplementation as an adjunct in the management</w:t>
      </w:r>
      <w:r w:rsidR="00427468">
        <w:rPr>
          <w:kern w:val="0"/>
        </w:rPr>
        <w:t xml:space="preserve"> of </w:t>
      </w:r>
      <w:r>
        <w:rPr>
          <w:kern w:val="0"/>
        </w:rPr>
        <w:t>pneumonia are limited</w:t>
      </w:r>
      <w:r w:rsidR="005853A9">
        <w:rPr>
          <w:kern w:val="0"/>
        </w:rPr>
        <w:t xml:space="preserve"> and </w:t>
      </w:r>
      <w:r>
        <w:rPr>
          <w:kern w:val="0"/>
        </w:rPr>
        <w:t>have shown variable results. Objectives To evaluate zinc supplementation, as an adjunct to antibiotics, in the treatment (clinical recovery)</w:t>
      </w:r>
      <w:r w:rsidR="00427468">
        <w:rPr>
          <w:kern w:val="0"/>
        </w:rPr>
        <w:t xml:space="preserve"> of </w:t>
      </w:r>
      <w:r>
        <w:rPr>
          <w:kern w:val="0"/>
        </w:rPr>
        <w:t>pneumonia in children aged two to 59 months. Search strategy We searched the Cochrane Central Register</w:t>
      </w:r>
      <w:r w:rsidR="00427468">
        <w:rPr>
          <w:kern w:val="0"/>
        </w:rPr>
        <w:t xml:space="preserve"> of </w:t>
      </w:r>
      <w:r>
        <w:rPr>
          <w:kern w:val="0"/>
        </w:rPr>
        <w:t>Controlled Trials (CENTRAL) (The Cochrane Library 2011, Issue 1), which contains the Cochrane Acute Respiratory Infections (ARI) Group</w:t>
      </w:r>
      <w:r w:rsidR="0071223E">
        <w:rPr>
          <w:kern w:val="0"/>
        </w:rPr>
        <w:t>’</w:t>
      </w:r>
      <w:r>
        <w:rPr>
          <w:kern w:val="0"/>
        </w:rPr>
        <w:t>s</w:t>
      </w:r>
      <w:r w:rsidR="005853A9">
        <w:rPr>
          <w:kern w:val="0"/>
        </w:rPr>
        <w:t xml:space="preserve"> and </w:t>
      </w:r>
      <w:r>
        <w:rPr>
          <w:kern w:val="0"/>
        </w:rPr>
        <w:t>the Cochrane Infectious Diseases Group</w:t>
      </w:r>
      <w:r w:rsidR="0071223E">
        <w:rPr>
          <w:kern w:val="0"/>
        </w:rPr>
        <w:t>’</w:t>
      </w:r>
      <w:r>
        <w:rPr>
          <w:kern w:val="0"/>
        </w:rPr>
        <w:t xml:space="preserve">s Specialised Registers, </w:t>
      </w:r>
      <w:r w:rsidR="00D5664A">
        <w:rPr>
          <w:kern w:val="0"/>
        </w:rPr>
        <w:t>MEDLINE</w:t>
      </w:r>
      <w:r>
        <w:rPr>
          <w:kern w:val="0"/>
        </w:rPr>
        <w:t xml:space="preserve"> (1950 to March week 2, 2011), EMBASE (1974 to March </w:t>
      </w:r>
      <w:r>
        <w:rPr>
          <w:kern w:val="0"/>
        </w:rPr>
        <w:lastRenderedPageBreak/>
        <w:t>2011), CINAHL (1981 to March 2011), LILACS (1985 to March 2011), AMED (1985 to March 2011), CAB Abstracts (1910 to March 2011)</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(2000 to March 2011). Selection criteria Randomised control trials (RCTs) evaluating supplementation</w:t>
      </w:r>
      <w:r w:rsidR="00427468">
        <w:rPr>
          <w:kern w:val="0"/>
        </w:rPr>
        <w:t xml:space="preserve"> of </w:t>
      </w:r>
      <w:r>
        <w:rPr>
          <w:kern w:val="0"/>
        </w:rPr>
        <w:t>zinc as an adjunct to antibiotics for pneumonia in children aged two to 59 months. Data collection</w:t>
      </w:r>
      <w:r w:rsidR="005853A9">
        <w:rPr>
          <w:kern w:val="0"/>
        </w:rPr>
        <w:t xml:space="preserve"> and </w:t>
      </w:r>
      <w:r>
        <w:rPr>
          <w:kern w:val="0"/>
        </w:rPr>
        <w:t>analysis Two review authors independently assessed trial eligibility</w:t>
      </w:r>
      <w:r w:rsidR="005853A9">
        <w:rPr>
          <w:kern w:val="0"/>
        </w:rPr>
        <w:t xml:space="preserve"> and </w:t>
      </w:r>
      <w:r>
        <w:rPr>
          <w:kern w:val="0"/>
        </w:rPr>
        <w:t>screened all available titles</w:t>
      </w:r>
      <w:r w:rsidR="005853A9">
        <w:rPr>
          <w:kern w:val="0"/>
        </w:rPr>
        <w:t xml:space="preserve"> and </w:t>
      </w:r>
      <w:r>
        <w:rPr>
          <w:kern w:val="0"/>
        </w:rPr>
        <w:t>abstracts for inclusion. If the relevance could not be ascertained by screening the title</w:t>
      </w:r>
      <w:r w:rsidR="005853A9">
        <w:rPr>
          <w:kern w:val="0"/>
        </w:rPr>
        <w:t xml:space="preserve"> and </w:t>
      </w:r>
      <w:r>
        <w:rPr>
          <w:kern w:val="0"/>
        </w:rPr>
        <w:t>abstract, we retrieved</w:t>
      </w:r>
      <w:r w:rsidR="005853A9">
        <w:rPr>
          <w:kern w:val="0"/>
        </w:rPr>
        <w:t xml:space="preserve"> and </w:t>
      </w:r>
      <w:r>
        <w:rPr>
          <w:kern w:val="0"/>
        </w:rPr>
        <w:t>reviewed the full text</w:t>
      </w:r>
      <w:r w:rsidR="00427468">
        <w:rPr>
          <w:kern w:val="0"/>
        </w:rPr>
        <w:t xml:space="preserve"> of </w:t>
      </w:r>
      <w:r>
        <w:rPr>
          <w:kern w:val="0"/>
        </w:rPr>
        <w:t>the article. Main results We included four trials in which 3267 children aged two to 35 months participated. Analysis showed that zinc supplementation in addition to standard antibiotic therapy in children with severe</w:t>
      </w:r>
      <w:r w:rsidR="005853A9">
        <w:rPr>
          <w:kern w:val="0"/>
        </w:rPr>
        <w:t xml:space="preserve"> and </w:t>
      </w:r>
      <w:r>
        <w:rPr>
          <w:kern w:val="0"/>
        </w:rPr>
        <w:t>non-severe pneumonia failed to show a statistically significant effect on clinical recovery (risk ratio (RR) 1.02; 95% confidence interval (CI) 0.93 to 1.11). Similary, zinc supplementation in children with severe pneumonia, as an adjunct to standard antibiotic therapy, did not show a statistically significant effect on clinical recovery measured as resolution</w:t>
      </w:r>
      <w:r w:rsidR="00427468">
        <w:rPr>
          <w:kern w:val="0"/>
        </w:rPr>
        <w:t xml:space="preserve"> of </w:t>
      </w:r>
      <w:r>
        <w:rPr>
          <w:kern w:val="0"/>
        </w:rPr>
        <w:t>tachypnoea (respiratory rate &gt; 50 breaths per minute) (RR 1.13; 95% CI 0.82 to 1.57)</w:t>
      </w:r>
      <w:r w:rsidR="005853A9">
        <w:rPr>
          <w:kern w:val="0"/>
        </w:rPr>
        <w:t xml:space="preserve"> and </w:t>
      </w:r>
      <w:r>
        <w:rPr>
          <w:kern w:val="0"/>
        </w:rPr>
        <w:t>cessation</w:t>
      </w:r>
      <w:r w:rsidR="00427468">
        <w:rPr>
          <w:kern w:val="0"/>
        </w:rPr>
        <w:t xml:space="preserve"> of </w:t>
      </w:r>
      <w:r>
        <w:rPr>
          <w:kern w:val="0"/>
        </w:rPr>
        <w:t>chest indrawing (RR 1.08; 95% CI 0.88 to 1.31) as compared to the control group. Zinc supplementation in children with severe pneumonia also showed a non-significant effect on the duration</w:t>
      </w:r>
      <w:r w:rsidR="00427468">
        <w:rPr>
          <w:kern w:val="0"/>
        </w:rPr>
        <w:t xml:space="preserve"> of </w:t>
      </w:r>
      <w:r>
        <w:rPr>
          <w:kern w:val="0"/>
        </w:rPr>
        <w:t>hospitalization stay as compared to the control (RR 1.04; 95% CI 0.89 to 1.22). Authors</w:t>
      </w:r>
      <w:r w:rsidR="0071223E">
        <w:rPr>
          <w:kern w:val="0"/>
        </w:rPr>
        <w:t>’</w:t>
      </w:r>
      <w:r>
        <w:rPr>
          <w:kern w:val="0"/>
        </w:rPr>
        <w:t xml:space="preserve"> conclusions Evidence provided in this review is insufficient to recommend the use</w:t>
      </w:r>
      <w:r w:rsidR="00427468">
        <w:rPr>
          <w:kern w:val="0"/>
        </w:rPr>
        <w:t xml:space="preserve"> of </w:t>
      </w:r>
      <w:r>
        <w:rPr>
          <w:kern w:val="0"/>
        </w:rPr>
        <w:t>zinc as an adjunct to standard antibiotic therapy for pneumonia in children aged two to 35 months.</w:t>
      </w:r>
    </w:p>
    <w:p w:rsidR="00365DE4" w:rsidRDefault="00365DE4" w:rsidP="00365DE4">
      <w:pPr>
        <w:pStyle w:val="a3"/>
        <w:rPr>
          <w:kern w:val="0"/>
        </w:rPr>
      </w:pPr>
      <w:r>
        <w:rPr>
          <w:kern w:val="0"/>
        </w:rPr>
        <w:t xml:space="preserve">Keywords: Acute, Aged, Analysis, Antibiotic, Antibiotics, Authors, Chest Indrawing, Childhood Pneumonia, Children, Cochrane, Control, Diarrhea, Diseases, Double-Blind, Embase, Hospitalization, Impact, Infection, Laboratory Diagnosis, Management, </w:t>
      </w:r>
      <w:r w:rsidR="00D5664A">
        <w:rPr>
          <w:kern w:val="0"/>
        </w:rPr>
        <w:t>MEDLINE</w:t>
      </w:r>
      <w:r>
        <w:rPr>
          <w:kern w:val="0"/>
        </w:rPr>
        <w:t xml:space="preserve">, Pneumonia, Prevention, Randomized Controlled-Trial, Ratio, Recovery, Respiratory, Respiratory Infections, Review, Risk, Science, Screening, Search Strategy, Selection, Strategy, Therapy, Treatment, Urban, Vitamin-A, </w:t>
      </w:r>
      <w:r w:rsidR="00D5664A">
        <w:rPr>
          <w:kern w:val="0"/>
        </w:rPr>
        <w:t>Web</w:t>
      </w:r>
      <w:r w:rsidR="00427468">
        <w:rPr>
          <w:kern w:val="0"/>
        </w:rPr>
        <w:t xml:space="preserve"> of </w:t>
      </w:r>
      <w:r w:rsidR="00D5664A">
        <w:rPr>
          <w:kern w:val="0"/>
        </w:rPr>
        <w:t>Science</w:t>
      </w:r>
      <w:r>
        <w:rPr>
          <w:kern w:val="0"/>
        </w:rPr>
        <w:t>, Young-Children, Zinc</w:t>
      </w:r>
    </w:p>
    <w:p w:rsidR="00365DE4" w:rsidRDefault="00365DE4" w:rsidP="00365DE4">
      <w:pPr>
        <w:pStyle w:val="a3"/>
        <w:rPr>
          <w:kern w:val="0"/>
        </w:rPr>
      </w:pPr>
      <w:r>
        <w:rPr>
          <w:kern w:val="0"/>
        </w:rPr>
        <w:t>? Pugh, R., Grant, C., Cooke, R.P.D.</w:t>
      </w:r>
      <w:r w:rsidR="005853A9">
        <w:rPr>
          <w:kern w:val="0"/>
        </w:rPr>
        <w:t xml:space="preserve"> and </w:t>
      </w:r>
      <w:r>
        <w:rPr>
          <w:kern w:val="0"/>
        </w:rPr>
        <w:t xml:space="preserve">Dempsey, G. (2011), Short-course versus prolonged-course antibiotic therapy for hospital-acquired pneumonia in critically ill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CD007577.</w:t>
      </w:r>
    </w:p>
    <w:p w:rsidR="00365DE4" w:rsidRDefault="00365DE4" w:rsidP="00365DE4">
      <w:pPr>
        <w:pStyle w:val="a3"/>
        <w:rPr>
          <w:kern w:val="2"/>
        </w:rPr>
      </w:pPr>
      <w:r>
        <w:t xml:space="preserve">Full Text: </w:t>
      </w:r>
      <w:hyperlink r:id="rId689" w:history="1">
        <w:r>
          <w:rPr>
            <w:rStyle w:val="a5"/>
          </w:rPr>
          <w:t>2011\Coc Dat Sys Rev2011, CD007577.pdf</w:t>
        </w:r>
      </w:hyperlink>
    </w:p>
    <w:p w:rsidR="00365DE4" w:rsidRDefault="00365DE4" w:rsidP="00365DE4">
      <w:pPr>
        <w:pStyle w:val="a3"/>
        <w:rPr>
          <w:kern w:val="0"/>
        </w:rPr>
      </w:pPr>
      <w:r>
        <w:rPr>
          <w:kern w:val="0"/>
        </w:rPr>
        <w:t>Abstract: Background Pneumonia is the most common hospital-acquired infection affecting patients in the intensive care unit (ICU). However, the optimal duration</w:t>
      </w:r>
      <w:r w:rsidR="00427468">
        <w:rPr>
          <w:kern w:val="0"/>
        </w:rPr>
        <w:t xml:space="preserve"> of </w:t>
      </w:r>
      <w:r>
        <w:rPr>
          <w:kern w:val="0"/>
        </w:rPr>
        <w:t>antibiotic therapy for hospital-acquired pneumonia (HAP) is uncertain. Objectives To assess the effectiveness</w:t>
      </w:r>
      <w:r w:rsidR="00427468">
        <w:rPr>
          <w:kern w:val="0"/>
        </w:rPr>
        <w:t xml:space="preserve"> of </w:t>
      </w:r>
      <w:r>
        <w:rPr>
          <w:kern w:val="0"/>
        </w:rPr>
        <w:t>short versus prolonged-course antibiotic administration for HAP in critically ill adults, including patients with ventilator-associated pneumonia (VAP). Search strategy We searched the Cochrane Central Register</w:t>
      </w:r>
      <w:r w:rsidR="00427468">
        <w:rPr>
          <w:kern w:val="0"/>
        </w:rPr>
        <w:t xml:space="preserve"> of </w:t>
      </w:r>
      <w:r>
        <w:rPr>
          <w:kern w:val="0"/>
        </w:rPr>
        <w:lastRenderedPageBreak/>
        <w:t>Controlled Trials (CENTRAL) (The Cochrane Library 2011, Issue 1), which includes the Cochrane Acute Respiratory Infections Group</w:t>
      </w:r>
      <w:r w:rsidR="0071223E">
        <w:rPr>
          <w:kern w:val="0"/>
        </w:rPr>
        <w:t>’</w:t>
      </w:r>
      <w:r>
        <w:rPr>
          <w:kern w:val="0"/>
        </w:rPr>
        <w:t xml:space="preserve">s Specialised Register, </w:t>
      </w:r>
      <w:r w:rsidR="00D5664A">
        <w:rPr>
          <w:kern w:val="0"/>
        </w:rPr>
        <w:t>MEDLINE</w:t>
      </w:r>
      <w:r>
        <w:rPr>
          <w:kern w:val="0"/>
        </w:rPr>
        <w:t xml:space="preserve"> (1950 to February week 4, 2011), EMBASE (1974 to March 2011), LILACS (1985 to March 2011)</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(1985 to March 2011). Selection criteria We considered all randomised controlled trials (RCTs) comparing fixed durations</w:t>
      </w:r>
      <w:r w:rsidR="00427468">
        <w:rPr>
          <w:kern w:val="0"/>
        </w:rPr>
        <w:t xml:space="preserve"> of </w:t>
      </w:r>
      <w:r>
        <w:rPr>
          <w:kern w:val="0"/>
        </w:rPr>
        <w:t>antibiotic therapy, or comparing a protocol intended to limit duration</w:t>
      </w:r>
      <w:r w:rsidR="00427468">
        <w:rPr>
          <w:kern w:val="0"/>
        </w:rPr>
        <w:t xml:space="preserve"> of </w:t>
      </w:r>
      <w:r>
        <w:rPr>
          <w:kern w:val="0"/>
        </w:rPr>
        <w:t>therapy with standard care, for HAP (including patients with VAP) in critically ill adults. Data collection</w:t>
      </w:r>
      <w:r w:rsidR="005853A9">
        <w:rPr>
          <w:kern w:val="0"/>
        </w:rPr>
        <w:t xml:space="preserve"> and </w:t>
      </w:r>
      <w:r>
        <w:rPr>
          <w:kern w:val="0"/>
        </w:rPr>
        <w:t>analysis Two review authors conducted data extraction</w:t>
      </w:r>
      <w:r w:rsidR="005853A9">
        <w:rPr>
          <w:kern w:val="0"/>
        </w:rPr>
        <w:t xml:space="preserve"> and </w:t>
      </w:r>
      <w:r>
        <w:rPr>
          <w:kern w:val="0"/>
        </w:rPr>
        <w:t>assessment</w:t>
      </w:r>
      <w:r w:rsidR="00427468">
        <w:rPr>
          <w:kern w:val="0"/>
        </w:rPr>
        <w:t xml:space="preserve"> of </w:t>
      </w:r>
      <w:r>
        <w:rPr>
          <w:kern w:val="0"/>
        </w:rPr>
        <w:t>risk</w:t>
      </w:r>
      <w:r w:rsidR="00427468">
        <w:rPr>
          <w:kern w:val="0"/>
        </w:rPr>
        <w:t xml:space="preserve"> of </w:t>
      </w:r>
      <w:r>
        <w:rPr>
          <w:kern w:val="0"/>
        </w:rPr>
        <w:t>bias. We contacted trial authors for additional information. Main results Eight studies (1703 patients) were included. Methodology varied considerably</w:t>
      </w:r>
      <w:r w:rsidR="005853A9">
        <w:rPr>
          <w:kern w:val="0"/>
        </w:rPr>
        <w:t xml:space="preserve"> and </w:t>
      </w:r>
      <w:r>
        <w:rPr>
          <w:kern w:val="0"/>
        </w:rPr>
        <w:t>we found little evidence regarding patients with a high probability</w:t>
      </w:r>
      <w:r w:rsidR="00427468">
        <w:rPr>
          <w:kern w:val="0"/>
        </w:rPr>
        <w:t xml:space="preserve"> of </w:t>
      </w:r>
      <w:r>
        <w:rPr>
          <w:kern w:val="0"/>
        </w:rPr>
        <w:t>HAP who were not mechanically ventilated. For patients with VAP, a short seven to eight-day course</w:t>
      </w:r>
      <w:r w:rsidR="00427468">
        <w:rPr>
          <w:kern w:val="0"/>
        </w:rPr>
        <w:t xml:space="preserve"> of </w:t>
      </w:r>
      <w:r>
        <w:rPr>
          <w:kern w:val="0"/>
        </w:rPr>
        <w:t>antibiotics compared with a prolonged 10 to 15-day course (three studies, N = 508) increased 28-day antibiotic-free days (odds ratio (OR) 4.02; 95% confidence interval (CI) 2.26 to 5.78)</w:t>
      </w:r>
      <w:r w:rsidR="005853A9">
        <w:rPr>
          <w:kern w:val="0"/>
        </w:rPr>
        <w:t xml:space="preserve"> and </w:t>
      </w:r>
      <w:r>
        <w:rPr>
          <w:kern w:val="0"/>
        </w:rPr>
        <w:t>reduced recurrence</w:t>
      </w:r>
      <w:r w:rsidR="00427468">
        <w:rPr>
          <w:kern w:val="0"/>
        </w:rPr>
        <w:t xml:space="preserve"> of </w:t>
      </w:r>
      <w:r>
        <w:rPr>
          <w:kern w:val="0"/>
        </w:rPr>
        <w:t>VAP due to multi-resistant organisms (OR 0.44; 95% CI 0.21 to 0.95), without adversely affecting other outcomes. However, for cases</w:t>
      </w:r>
      <w:r w:rsidR="00427468">
        <w:rPr>
          <w:kern w:val="0"/>
        </w:rPr>
        <w:t xml:space="preserve"> of </w:t>
      </w:r>
      <w:r>
        <w:rPr>
          <w:kern w:val="0"/>
        </w:rPr>
        <w:t>VAP due to non-fermenting Gram-negative bacilli (NF-GNB), recurrence was greater after short-course therapy (OR 2.18; 95% CI 1.14 to 4.16; two studies, N = 176), though other outcome measures did not significantly differ. Discontinuation strategies utilising clinical features (one study; N = 302) or procalcitonin (three studies; N = 323) led to a reduction in duration</w:t>
      </w:r>
      <w:r w:rsidR="00427468">
        <w:rPr>
          <w:kern w:val="0"/>
        </w:rPr>
        <w:t xml:space="preserve"> of </w:t>
      </w:r>
      <w:r>
        <w:rPr>
          <w:kern w:val="0"/>
        </w:rPr>
        <w:t>therapy and, in the procalcitonin studies, increased 28-day antibiotic-free days (mean difference (MD) 2.80; 95% CI 1.39 to 4.21) without negatively affecting other outcomes. Authors</w:t>
      </w:r>
      <w:r w:rsidR="0071223E">
        <w:rPr>
          <w:kern w:val="0"/>
        </w:rPr>
        <w:t>’</w:t>
      </w:r>
      <w:r>
        <w:rPr>
          <w:kern w:val="0"/>
        </w:rPr>
        <w:t xml:space="preserve"> conclusions We conclude that for patients with VAP not due to NF-GNB, a short fixed-course (seven or eight days) antibiotic therapy may be more appropriate than a prolonged course (10 to 15 days). Use</w:t>
      </w:r>
      <w:r w:rsidR="00427468">
        <w:rPr>
          <w:kern w:val="0"/>
        </w:rPr>
        <w:t xml:space="preserve"> of </w:t>
      </w:r>
      <w:r>
        <w:rPr>
          <w:kern w:val="0"/>
        </w:rPr>
        <w:t>an individualised strategy (incorporating clinical features or serum procalcitonin) appears to safely reduce duration</w:t>
      </w:r>
      <w:r w:rsidR="00427468">
        <w:rPr>
          <w:kern w:val="0"/>
        </w:rPr>
        <w:t xml:space="preserve"> of </w:t>
      </w:r>
      <w:r>
        <w:rPr>
          <w:kern w:val="0"/>
        </w:rPr>
        <w:t>antibiotic therapy for VAP.</w:t>
      </w:r>
    </w:p>
    <w:p w:rsidR="00365DE4" w:rsidRDefault="00365DE4" w:rsidP="00365DE4">
      <w:pPr>
        <w:pStyle w:val="a3"/>
        <w:rPr>
          <w:kern w:val="0"/>
        </w:rPr>
      </w:pPr>
      <w:r>
        <w:rPr>
          <w:kern w:val="0"/>
        </w:rPr>
        <w:t xml:space="preserve">Keywords: Adults, Analysis, Antibiotic, Antibiotics, Antimicrobial Therapy, Assessment, Authors, Bias, Care, Cochrane, Duration, Effectiveness, Embase, Extraction, Icu, Infection, Information, Intensive Care, Intensive Care Unit, Intensive-Care Units, </w:t>
      </w:r>
      <w:r w:rsidR="00D5664A">
        <w:rPr>
          <w:kern w:val="0"/>
        </w:rPr>
        <w:t>MEDLINE</w:t>
      </w:r>
      <w:r>
        <w:rPr>
          <w:kern w:val="0"/>
        </w:rPr>
        <w:t xml:space="preserve">, Metaanalysis, Methodology, Outcome, Outcomes, Patients, Pneumonia, Procalcitonin, Protocol, Randomized Controlled-Trial, Ratio, Recurrence, Reduction, Review, Risk, Science, Search Strategy, Selection, Septic Patients, Strategy, Therapy, Ventilator-Associated Pneumonia,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Meng, Z.L., Liu, S.X., Zheng, Y.</w:t>
      </w:r>
      <w:r w:rsidR="005853A9">
        <w:rPr>
          <w:kern w:val="0"/>
        </w:rPr>
        <w:t xml:space="preserve"> and </w:t>
      </w:r>
      <w:r>
        <w:rPr>
          <w:kern w:val="0"/>
        </w:rPr>
        <w:t xml:space="preserve">Phillips, J.S. (2011), Repetitive transcranial magnetic stimulation for tinnitus.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10</w:t>
      </w:r>
      <w:r>
        <w:rPr>
          <w:kern w:val="0"/>
        </w:rPr>
        <w:t>, Article Number: CD007946.</w:t>
      </w:r>
    </w:p>
    <w:p w:rsidR="00365DE4" w:rsidRDefault="00365DE4" w:rsidP="00365DE4">
      <w:pPr>
        <w:pStyle w:val="a3"/>
        <w:rPr>
          <w:kern w:val="2"/>
        </w:rPr>
      </w:pPr>
      <w:r>
        <w:t xml:space="preserve">Full Text: </w:t>
      </w:r>
      <w:hyperlink r:id="rId690" w:history="1">
        <w:r>
          <w:rPr>
            <w:rStyle w:val="a5"/>
          </w:rPr>
          <w:t>2011\Coc Dat Sys Rev2011, CD007946.pdf</w:t>
        </w:r>
      </w:hyperlink>
    </w:p>
    <w:p w:rsidR="00365DE4" w:rsidRDefault="00365DE4" w:rsidP="00365DE4">
      <w:pPr>
        <w:pStyle w:val="a3"/>
        <w:rPr>
          <w:kern w:val="0"/>
        </w:rPr>
      </w:pPr>
      <w:r>
        <w:rPr>
          <w:kern w:val="0"/>
        </w:rPr>
        <w:lastRenderedPageBreak/>
        <w:t>Abstract: Background Tinnitus is the perception</w:t>
      </w:r>
      <w:r w:rsidR="00427468">
        <w:rPr>
          <w:kern w:val="0"/>
        </w:rPr>
        <w:t xml:space="preserve"> of </w:t>
      </w:r>
      <w:r>
        <w:rPr>
          <w:kern w:val="0"/>
        </w:rPr>
        <w:t>sound, in the ear or in the head, in the absence</w:t>
      </w:r>
      <w:r w:rsidR="00427468">
        <w:rPr>
          <w:kern w:val="0"/>
        </w:rPr>
        <w:t xml:space="preserve"> of </w:t>
      </w:r>
      <w:r>
        <w:rPr>
          <w:kern w:val="0"/>
        </w:rPr>
        <w:t>any external acoustic stimulation. Repetitive transcranial magnetic stimulation (rTMS) is a non-invasive means</w:t>
      </w:r>
      <w:r w:rsidR="00427468">
        <w:rPr>
          <w:kern w:val="0"/>
        </w:rPr>
        <w:t xml:space="preserve"> of </w:t>
      </w:r>
      <w:r>
        <w:rPr>
          <w:kern w:val="0"/>
        </w:rPr>
        <w:t>inducing electrical currents in the brain,</w:t>
      </w:r>
      <w:r w:rsidR="005853A9">
        <w:rPr>
          <w:kern w:val="0"/>
        </w:rPr>
        <w:t xml:space="preserve"> and </w:t>
      </w:r>
      <w:r>
        <w:rPr>
          <w:kern w:val="0"/>
        </w:rPr>
        <w:t>has received increasing attention in recent years for the treatment</w:t>
      </w:r>
      <w:r w:rsidR="00427468">
        <w:rPr>
          <w:kern w:val="0"/>
        </w:rPr>
        <w:t xml:space="preserve"> of </w:t>
      </w:r>
      <w:r>
        <w:rPr>
          <w:kern w:val="0"/>
        </w:rPr>
        <w:t>many neuropsychiatric disorders, including tinnitus. Objectives To assess the effectiveness</w:t>
      </w:r>
      <w:r w:rsidR="005853A9">
        <w:rPr>
          <w:kern w:val="0"/>
        </w:rPr>
        <w:t xml:space="preserve"> and </w:t>
      </w:r>
      <w:r>
        <w:rPr>
          <w:kern w:val="0"/>
        </w:rPr>
        <w:t>safety</w:t>
      </w:r>
      <w:r w:rsidR="00427468">
        <w:rPr>
          <w:kern w:val="0"/>
        </w:rPr>
        <w:t xml:space="preserve"> of </w:t>
      </w:r>
      <w:r>
        <w:rPr>
          <w:kern w:val="0"/>
        </w:rPr>
        <w:t>rTMS versus placebo in patients with tinnitus. Search strategy We searched the Cochrane Ear, Nose</w:t>
      </w:r>
      <w:r w:rsidR="005853A9">
        <w:rPr>
          <w:kern w:val="0"/>
        </w:rPr>
        <w:t xml:space="preserve"> and </w:t>
      </w:r>
      <w:r>
        <w:rPr>
          <w:kern w:val="0"/>
        </w:rPr>
        <w:t>Throat Disorders Group Trials Register; the Cochrane Central Register</w:t>
      </w:r>
      <w:r w:rsidR="00427468">
        <w:rPr>
          <w:kern w:val="0"/>
        </w:rPr>
        <w:t xml:space="preserve"> of </w:t>
      </w:r>
      <w:r>
        <w:rPr>
          <w:kern w:val="0"/>
        </w:rPr>
        <w:t xml:space="preserve">Controlled Trials (CENTRAL); PubMed; EMBASE; CINAHL; </w:t>
      </w:r>
      <w:r w:rsidR="00D5664A">
        <w:rPr>
          <w:kern w:val="0"/>
        </w:rPr>
        <w:t>Web</w:t>
      </w:r>
      <w:r w:rsidR="00427468">
        <w:rPr>
          <w:kern w:val="0"/>
        </w:rPr>
        <w:t xml:space="preserve"> of </w:t>
      </w:r>
      <w:r w:rsidR="00D5664A">
        <w:rPr>
          <w:kern w:val="0"/>
        </w:rPr>
        <w:t>Science</w:t>
      </w:r>
      <w:r>
        <w:rPr>
          <w:kern w:val="0"/>
        </w:rPr>
        <w:t>; BIOSIS Previews; Cambridge Scientific Abstracts; ICTRP</w:t>
      </w:r>
      <w:r w:rsidR="005853A9">
        <w:rPr>
          <w:kern w:val="0"/>
        </w:rPr>
        <w:t xml:space="preserve"> and </w:t>
      </w:r>
      <w:r>
        <w:rPr>
          <w:kern w:val="0"/>
        </w:rPr>
        <w:t>additional sources for published</w:t>
      </w:r>
      <w:r w:rsidR="005853A9">
        <w:rPr>
          <w:kern w:val="0"/>
        </w:rPr>
        <w:t xml:space="preserve"> and </w:t>
      </w:r>
      <w:r>
        <w:rPr>
          <w:kern w:val="0"/>
        </w:rPr>
        <w:t>unpublished trials</w:t>
      </w:r>
      <w:r w:rsidR="00A37C1D">
        <w:rPr>
          <w:kern w:val="0"/>
        </w:rPr>
        <w:t>. The</w:t>
      </w:r>
      <w:r>
        <w:rPr>
          <w:kern w:val="0"/>
        </w:rPr>
        <w:t xml:space="preserve"> date</w:t>
      </w:r>
      <w:r w:rsidR="00427468">
        <w:rPr>
          <w:kern w:val="0"/>
        </w:rPr>
        <w:t xml:space="preserve"> of </w:t>
      </w:r>
      <w:r>
        <w:rPr>
          <w:kern w:val="0"/>
        </w:rPr>
        <w:t>the most recent search was 24 May 2011. Selection criteria Randomised controlled trials</w:t>
      </w:r>
      <w:r w:rsidR="00427468">
        <w:rPr>
          <w:kern w:val="0"/>
        </w:rPr>
        <w:t xml:space="preserve"> of </w:t>
      </w:r>
      <w:r>
        <w:rPr>
          <w:kern w:val="0"/>
        </w:rPr>
        <w:t>rTMS versus sham rTMS. Data collection</w:t>
      </w:r>
      <w:r w:rsidR="005853A9">
        <w:rPr>
          <w:kern w:val="0"/>
        </w:rPr>
        <w:t xml:space="preserve"> and </w:t>
      </w:r>
      <w:r>
        <w:rPr>
          <w:kern w:val="0"/>
        </w:rPr>
        <w:t>analysis Two review authors reviewed the titles, abstracts</w:t>
      </w:r>
      <w:r w:rsidR="005853A9">
        <w:rPr>
          <w:kern w:val="0"/>
        </w:rPr>
        <w:t xml:space="preserve"> and </w:t>
      </w:r>
      <w:r>
        <w:rPr>
          <w:kern w:val="0"/>
        </w:rPr>
        <w:t>keywords</w:t>
      </w:r>
      <w:r w:rsidR="00427468">
        <w:rPr>
          <w:kern w:val="0"/>
        </w:rPr>
        <w:t xml:space="preserve"> of </w:t>
      </w:r>
      <w:r>
        <w:rPr>
          <w:kern w:val="0"/>
        </w:rPr>
        <w:t>all records retrieved. Three review authors independently collected</w:t>
      </w:r>
      <w:r w:rsidR="005853A9">
        <w:rPr>
          <w:kern w:val="0"/>
        </w:rPr>
        <w:t xml:space="preserve"> and </w:t>
      </w:r>
      <w:r>
        <w:rPr>
          <w:kern w:val="0"/>
        </w:rPr>
        <w:t>extracted data,</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the trials. Main results Five trials comprising</w:t>
      </w:r>
      <w:r w:rsidR="00427468">
        <w:rPr>
          <w:kern w:val="0"/>
        </w:rPr>
        <w:t xml:space="preserve"> of </w:t>
      </w:r>
      <w:r>
        <w:rPr>
          <w:kern w:val="0"/>
        </w:rPr>
        <w:t>233 participants met our inclusion criteria. Each study described the use</w:t>
      </w:r>
      <w:r w:rsidR="00427468">
        <w:rPr>
          <w:kern w:val="0"/>
        </w:rPr>
        <w:t xml:space="preserve"> of </w:t>
      </w:r>
      <w:r>
        <w:rPr>
          <w:kern w:val="0"/>
        </w:rPr>
        <w:t>a different rTMS device that delivered different waveforms at different frequencies. All five trials were relatively small studies but generally they demonstrated a low risk</w:t>
      </w:r>
      <w:r w:rsidR="00427468">
        <w:rPr>
          <w:kern w:val="0"/>
        </w:rPr>
        <w:t xml:space="preserve"> of </w:t>
      </w:r>
      <w:r>
        <w:rPr>
          <w:kern w:val="0"/>
        </w:rPr>
        <w:t>bias. When considering the impact</w:t>
      </w:r>
      <w:r w:rsidR="00427468">
        <w:rPr>
          <w:kern w:val="0"/>
        </w:rPr>
        <w:t xml:space="preserve"> of </w:t>
      </w:r>
      <w:r>
        <w:rPr>
          <w:kern w:val="0"/>
        </w:rPr>
        <w:t>tinnitus on patients</w:t>
      </w:r>
      <w:r w:rsidR="0071223E">
        <w:rPr>
          <w:kern w:val="0"/>
        </w:rPr>
        <w:t>’</w:t>
      </w:r>
      <w:r>
        <w:rPr>
          <w:kern w:val="0"/>
        </w:rPr>
        <w:t xml:space="preserve"> quality</w:t>
      </w:r>
      <w:r w:rsidR="00427468">
        <w:rPr>
          <w:kern w:val="0"/>
        </w:rPr>
        <w:t xml:space="preserve"> of </w:t>
      </w:r>
      <w:r>
        <w:rPr>
          <w:kern w:val="0"/>
        </w:rPr>
        <w:t>life, the results</w:t>
      </w:r>
      <w:r w:rsidR="00427468">
        <w:rPr>
          <w:kern w:val="0"/>
        </w:rPr>
        <w:t xml:space="preserve"> of </w:t>
      </w:r>
      <w:r>
        <w:rPr>
          <w:kern w:val="0"/>
        </w:rPr>
        <w:t xml:space="preserve">only one study demonstrated a statistically significant improvement in Tinnitus Handicap Inventory (THI) scores at four months follow-up (defined as a </w:t>
      </w:r>
      <w:r w:rsidR="0071223E">
        <w:rPr>
          <w:kern w:val="0"/>
        </w:rPr>
        <w:t>‘</w:t>
      </w:r>
      <w:r>
        <w:rPr>
          <w:kern w:val="0"/>
        </w:rPr>
        <w:t>partial improvement</w:t>
      </w:r>
      <w:r w:rsidR="0071223E">
        <w:rPr>
          <w:kern w:val="0"/>
        </w:rPr>
        <w:t>’</w:t>
      </w:r>
      <w:r>
        <w:rPr>
          <w:kern w:val="0"/>
        </w:rPr>
        <w:t xml:space="preserve"> by the study authors (THI reduction</w:t>
      </w:r>
      <w:r w:rsidR="00427468">
        <w:rPr>
          <w:kern w:val="0"/>
        </w:rPr>
        <w:t xml:space="preserve"> of </w:t>
      </w:r>
      <w:r>
        <w:rPr>
          <w:kern w:val="0"/>
        </w:rPr>
        <w:t>21% to 80%)) when low-frequency rTMS was compared with a sham control treatment. However, no statistically significant improvement was demonstrated by another two studies that considered rTMS at the same frequency. Furthermore, this single positive finding should be taken in the context</w:t>
      </w:r>
      <w:r w:rsidR="00427468">
        <w:rPr>
          <w:kern w:val="0"/>
        </w:rPr>
        <w:t xml:space="preserve"> of </w:t>
      </w:r>
      <w:r>
        <w:rPr>
          <w:kern w:val="0"/>
        </w:rPr>
        <w:t xml:space="preserve">the many different variables which were recorded at many different points in time by the study authors. In accordance with our pre-specified subgroup analysis we extracted the data from one study to consider the differential effectiveness between </w:t>
      </w:r>
      <w:r w:rsidR="0071223E">
        <w:rPr>
          <w:kern w:val="0"/>
        </w:rPr>
        <w:t>‘</w:t>
      </w:r>
      <w:r>
        <w:rPr>
          <w:kern w:val="0"/>
        </w:rPr>
        <w:t>lower</w:t>
      </w:r>
      <w:r w:rsidR="0071223E">
        <w:rPr>
          <w:kern w:val="0"/>
        </w:rPr>
        <w:t>’</w:t>
      </w:r>
      <w:r>
        <w:rPr>
          <w:kern w:val="0"/>
        </w:rPr>
        <w:t xml:space="preserve"> low-frequency rTMS (1 Hz)</w:t>
      </w:r>
      <w:r w:rsidR="005853A9">
        <w:rPr>
          <w:kern w:val="0"/>
        </w:rPr>
        <w:t xml:space="preserve"> and </w:t>
      </w:r>
      <w:r w:rsidR="0071223E">
        <w:rPr>
          <w:kern w:val="0"/>
        </w:rPr>
        <w:t>‘</w:t>
      </w:r>
      <w:r>
        <w:rPr>
          <w:kern w:val="0"/>
        </w:rPr>
        <w:t>higher</w:t>
      </w:r>
      <w:r w:rsidR="0071223E">
        <w:rPr>
          <w:kern w:val="0"/>
        </w:rPr>
        <w:t>’</w:t>
      </w:r>
      <w:r>
        <w:rPr>
          <w:kern w:val="0"/>
        </w:rPr>
        <w:t xml:space="preserve"> low-frequency rTMS (10 Hz, 25 Hz). In doing this we were able to demonstrate a statistically significant difference between rTMS employing a frequency</w:t>
      </w:r>
      <w:r w:rsidR="00427468">
        <w:rPr>
          <w:kern w:val="0"/>
        </w:rPr>
        <w:t xml:space="preserve"> of </w:t>
      </w:r>
      <w:r>
        <w:rPr>
          <w:kern w:val="0"/>
        </w:rPr>
        <w:t>1 Hz</w:t>
      </w:r>
      <w:r w:rsidR="005853A9">
        <w:rPr>
          <w:kern w:val="0"/>
        </w:rPr>
        <w:t xml:space="preserve"> and </w:t>
      </w:r>
      <w:r>
        <w:rPr>
          <w:kern w:val="0"/>
        </w:rPr>
        <w:t>the sham group when considering tinnitus severity</w:t>
      </w:r>
      <w:r w:rsidR="005853A9">
        <w:rPr>
          <w:kern w:val="0"/>
        </w:rPr>
        <w:t xml:space="preserve"> and </w:t>
      </w:r>
      <w:r>
        <w:rPr>
          <w:kern w:val="0"/>
        </w:rPr>
        <w:t>disability after four months follow-up (</w:t>
      </w:r>
      <w:r w:rsidR="0071223E">
        <w:rPr>
          <w:kern w:val="0"/>
        </w:rPr>
        <w:t>‘</w:t>
      </w:r>
      <w:r>
        <w:rPr>
          <w:kern w:val="0"/>
        </w:rPr>
        <w:t>partial</w:t>
      </w:r>
      <w:r w:rsidR="0071223E">
        <w:rPr>
          <w:kern w:val="0"/>
        </w:rPr>
        <w:t>’</w:t>
      </w:r>
      <w:r>
        <w:rPr>
          <w:kern w:val="0"/>
        </w:rPr>
        <w:t xml:space="preserve"> improvement). However, no statistically significant difference was demonstrated between 10 Hz</w:t>
      </w:r>
      <w:r w:rsidR="005853A9">
        <w:rPr>
          <w:kern w:val="0"/>
        </w:rPr>
        <w:t xml:space="preserve"> and </w:t>
      </w:r>
      <w:r>
        <w:rPr>
          <w:kern w:val="0"/>
        </w:rPr>
        <w:t>25 Hz rTMS,</w:t>
      </w:r>
      <w:r w:rsidR="005853A9">
        <w:rPr>
          <w:kern w:val="0"/>
        </w:rPr>
        <w:t xml:space="preserve"> and </w:t>
      </w:r>
      <w:r>
        <w:rPr>
          <w:kern w:val="0"/>
        </w:rPr>
        <w:t>the sham control group, when considering the severity</w:t>
      </w:r>
      <w:r w:rsidR="005853A9">
        <w:rPr>
          <w:kern w:val="0"/>
        </w:rPr>
        <w:t xml:space="preserve"> and </w:t>
      </w:r>
      <w:r>
        <w:rPr>
          <w:kern w:val="0"/>
        </w:rPr>
        <w:t>disability</w:t>
      </w:r>
      <w:r w:rsidR="00427468">
        <w:rPr>
          <w:kern w:val="0"/>
        </w:rPr>
        <w:t xml:space="preserve"> of </w:t>
      </w:r>
      <w:r>
        <w:rPr>
          <w:kern w:val="0"/>
        </w:rPr>
        <w:t>tinnitus at four months follow-up. When considering tinnitus loudness in patients undergoing rTMS we were able to demonstrate a statistically significant reduction in tinnitus loudness when the results</w:t>
      </w:r>
      <w:r w:rsidR="00427468">
        <w:rPr>
          <w:kern w:val="0"/>
        </w:rPr>
        <w:t xml:space="preserve"> of </w:t>
      </w:r>
      <w:r>
        <w:rPr>
          <w:kern w:val="0"/>
        </w:rPr>
        <w:t>two studies were pooled (risk ratio 4.17, 95% confidence interval 1.30 to 13.40). However, this finding was based on two small trials</w:t>
      </w:r>
      <w:r w:rsidR="005853A9">
        <w:rPr>
          <w:kern w:val="0"/>
        </w:rPr>
        <w:t xml:space="preserve"> and </w:t>
      </w:r>
      <w:r>
        <w:rPr>
          <w:kern w:val="0"/>
        </w:rPr>
        <w:t xml:space="preserve">consequently the confidence interval was </w:t>
      </w:r>
      <w:r>
        <w:rPr>
          <w:kern w:val="0"/>
        </w:rPr>
        <w:lastRenderedPageBreak/>
        <w:t>particularly wide. No serious adverse effects were reported in any</w:t>
      </w:r>
      <w:r w:rsidR="00427468">
        <w:rPr>
          <w:kern w:val="0"/>
        </w:rPr>
        <w:t xml:space="preserve"> of </w:t>
      </w:r>
      <w:r>
        <w:rPr>
          <w:kern w:val="0"/>
        </w:rPr>
        <w:t>the trials. Authors</w:t>
      </w:r>
      <w:r w:rsidR="0071223E">
        <w:rPr>
          <w:kern w:val="0"/>
        </w:rPr>
        <w:t>’</w:t>
      </w:r>
      <w:r>
        <w:rPr>
          <w:kern w:val="0"/>
        </w:rPr>
        <w:t xml:space="preserve"> conclusions There is very limited support for the use</w:t>
      </w:r>
      <w:r w:rsidR="00427468">
        <w:rPr>
          <w:kern w:val="0"/>
        </w:rPr>
        <w:t xml:space="preserve"> of </w:t>
      </w:r>
      <w:r>
        <w:rPr>
          <w:kern w:val="0"/>
        </w:rPr>
        <w:t>low-frequency rTMS for the treatment</w:t>
      </w:r>
      <w:r w:rsidR="00427468">
        <w:rPr>
          <w:kern w:val="0"/>
        </w:rPr>
        <w:t xml:space="preserve"> of </w:t>
      </w:r>
      <w:r>
        <w:rPr>
          <w:kern w:val="0"/>
        </w:rPr>
        <w:t>patients with tinnitus. When considering the impact</w:t>
      </w:r>
      <w:r w:rsidR="00427468">
        <w:rPr>
          <w:kern w:val="0"/>
        </w:rPr>
        <w:t xml:space="preserve"> of </w:t>
      </w:r>
      <w:r>
        <w:rPr>
          <w:kern w:val="0"/>
        </w:rPr>
        <w:t>tinnitus on patients</w:t>
      </w:r>
      <w:r w:rsidR="0071223E">
        <w:rPr>
          <w:kern w:val="0"/>
        </w:rPr>
        <w:t>’</w:t>
      </w:r>
      <w:r>
        <w:rPr>
          <w:kern w:val="0"/>
        </w:rPr>
        <w:t xml:space="preserve"> quality</w:t>
      </w:r>
      <w:r w:rsidR="00427468">
        <w:rPr>
          <w:kern w:val="0"/>
        </w:rPr>
        <w:t xml:space="preserve"> of </w:t>
      </w:r>
      <w:r>
        <w:rPr>
          <w:kern w:val="0"/>
        </w:rPr>
        <w:t>life, support is from a single study with a low risk</w:t>
      </w:r>
      <w:r w:rsidR="00427468">
        <w:rPr>
          <w:kern w:val="0"/>
        </w:rPr>
        <w:t xml:space="preserve"> of </w:t>
      </w:r>
      <w:r>
        <w:rPr>
          <w:kern w:val="0"/>
        </w:rPr>
        <w:t>bias based on a single outcome measure at a single point in time. When considering the impact on tinnitus loudness, this is based on the analysis</w:t>
      </w:r>
      <w:r w:rsidR="00427468">
        <w:rPr>
          <w:kern w:val="0"/>
        </w:rPr>
        <w:t xml:space="preserve"> of </w:t>
      </w:r>
      <w:r>
        <w:rPr>
          <w:kern w:val="0"/>
        </w:rPr>
        <w:t>pooled data with a large confidence interval. Studies suggest that rTMS is a safe treatment for tinnitus in the short-term, however there were insufficient data to provide any support for the safety</w:t>
      </w:r>
      <w:r w:rsidR="00427468">
        <w:rPr>
          <w:kern w:val="0"/>
        </w:rPr>
        <w:t xml:space="preserve"> of </w:t>
      </w:r>
      <w:r>
        <w:rPr>
          <w:kern w:val="0"/>
        </w:rPr>
        <w:t>this treatment in the long-term. More prospective, randomised, placebo-controlled, double-blind studies with large sample sizes are needed to confirm the effectiveness</w:t>
      </w:r>
      <w:r w:rsidR="00427468">
        <w:rPr>
          <w:kern w:val="0"/>
        </w:rPr>
        <w:t xml:space="preserve"> of </w:t>
      </w:r>
      <w:r>
        <w:rPr>
          <w:kern w:val="0"/>
        </w:rPr>
        <w:t>rTMS for tinnitus patients. Uniform, validated, tinnitus-specific questionnaires</w:t>
      </w:r>
      <w:r w:rsidR="005853A9">
        <w:rPr>
          <w:kern w:val="0"/>
        </w:rPr>
        <w:t xml:space="preserve"> and </w:t>
      </w:r>
      <w:r>
        <w:rPr>
          <w:kern w:val="0"/>
        </w:rPr>
        <w:t>measurement scales should be used in future studies.</w:t>
      </w:r>
    </w:p>
    <w:p w:rsidR="00365DE4" w:rsidRDefault="00365DE4" w:rsidP="00365DE4">
      <w:pPr>
        <w:pStyle w:val="a3"/>
        <w:rPr>
          <w:kern w:val="0"/>
        </w:rPr>
      </w:pPr>
      <w:r>
        <w:rPr>
          <w:kern w:val="0"/>
        </w:rPr>
        <w:t>Keywords: Acute Acoustic Trauma, Adverse Effects, Analysis, Attention, Authors, Bias, Brain, Cochrane, Control, Disability, Double-Blind, Effectiveness, Efficacy, Embase, Follow-Up, Frequency, Ginkgo-Biloba, Impact, Low, Measurement, Noise, Occupational Hearing-Loss, Outcome, Patients, Perception, Points, Pubmed, Quality, Quality</w:t>
      </w:r>
      <w:r w:rsidR="00427468">
        <w:rPr>
          <w:kern w:val="0"/>
        </w:rPr>
        <w:t xml:space="preserve"> of </w:t>
      </w:r>
      <w:r>
        <w:rPr>
          <w:kern w:val="0"/>
        </w:rPr>
        <w:t xml:space="preserve">Life, Questionnaires, Ratio, Reduction, Review, Risk, Rtms, Safety, Science, Search Strategy, Selection, Severity, Strategy, Tinnitus, Transcranial Magnetic Stimulation,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Akl, E.A., Labedi, N., Terrenato, I., Barba, M., Sperati, F., Sempos, E.V., Muti, P., Cook, D.</w:t>
      </w:r>
      <w:r w:rsidR="005853A9">
        <w:rPr>
          <w:kern w:val="0"/>
        </w:rPr>
        <w:t xml:space="preserve"> and </w:t>
      </w:r>
      <w:r>
        <w:rPr>
          <w:kern w:val="0"/>
        </w:rPr>
        <w:t xml:space="preserve">Schunemann, H. (2011), Low molecular weight heparin versus unfractionated heparin for perioperative thromboprophylaxis in patients with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CD009447.</w:t>
      </w:r>
    </w:p>
    <w:p w:rsidR="00365DE4" w:rsidRDefault="00365DE4" w:rsidP="00365DE4">
      <w:pPr>
        <w:pStyle w:val="a3"/>
        <w:rPr>
          <w:kern w:val="2"/>
        </w:rPr>
      </w:pPr>
      <w:r>
        <w:t xml:space="preserve">Full Text: </w:t>
      </w:r>
      <w:hyperlink r:id="rId691" w:history="1">
        <w:r>
          <w:rPr>
            <w:rStyle w:val="a5"/>
          </w:rPr>
          <w:t>2011\Coc Dat Sys Rev2011, CD009447.pdf</w:t>
        </w:r>
      </w:hyperlink>
    </w:p>
    <w:p w:rsidR="00365DE4" w:rsidRDefault="00365DE4" w:rsidP="00365DE4">
      <w:pPr>
        <w:pStyle w:val="a3"/>
        <w:rPr>
          <w:kern w:val="0"/>
        </w:rPr>
      </w:pPr>
      <w:r>
        <w:rPr>
          <w:kern w:val="0"/>
        </w:rPr>
        <w:t>Abstract: Background The choice</w:t>
      </w:r>
      <w:r w:rsidR="00427468">
        <w:rPr>
          <w:kern w:val="0"/>
        </w:rPr>
        <w:t xml:space="preserve"> of </w:t>
      </w:r>
      <w:r>
        <w:rPr>
          <w:kern w:val="0"/>
        </w:rPr>
        <w:t>the appropriate perioperative thromboprophylaxis in patients with cancer depends on the relative benefits</w:t>
      </w:r>
      <w:r w:rsidR="005853A9">
        <w:rPr>
          <w:kern w:val="0"/>
        </w:rPr>
        <w:t xml:space="preserve"> and </w:t>
      </w:r>
      <w:r>
        <w:rPr>
          <w:kern w:val="0"/>
        </w:rPr>
        <w:t>harms</w:t>
      </w:r>
      <w:r w:rsidR="00427468">
        <w:rPr>
          <w:kern w:val="0"/>
        </w:rPr>
        <w:t xml:space="preserve"> of </w:t>
      </w:r>
      <w:r>
        <w:rPr>
          <w:kern w:val="0"/>
        </w:rPr>
        <w:t>low molecular weight heparin (LMWH)</w:t>
      </w:r>
      <w:r w:rsidR="005853A9">
        <w:rPr>
          <w:kern w:val="0"/>
        </w:rPr>
        <w:t xml:space="preserve"> and </w:t>
      </w:r>
      <w:r>
        <w:rPr>
          <w:kern w:val="0"/>
        </w:rPr>
        <w:t>unfractionated heparin (UFH). Objectives to systematically review the evidence for the relative efficacy</w:t>
      </w:r>
      <w:r w:rsidR="005853A9">
        <w:rPr>
          <w:kern w:val="0"/>
        </w:rPr>
        <w:t xml:space="preserve"> and </w:t>
      </w:r>
      <w:r>
        <w:rPr>
          <w:kern w:val="0"/>
        </w:rPr>
        <w:t>safety</w:t>
      </w:r>
      <w:r w:rsidR="00427468">
        <w:rPr>
          <w:kern w:val="0"/>
        </w:rPr>
        <w:t xml:space="preserve"> of </w:t>
      </w:r>
      <w:r>
        <w:rPr>
          <w:kern w:val="0"/>
        </w:rPr>
        <w:t>LMWH</w:t>
      </w:r>
      <w:r w:rsidR="005853A9">
        <w:rPr>
          <w:kern w:val="0"/>
        </w:rPr>
        <w:t xml:space="preserve"> and </w:t>
      </w:r>
      <w:r>
        <w:rPr>
          <w:kern w:val="0"/>
        </w:rPr>
        <w:t>UFH for perioperative thromboprophylaxis in patients with cancer. Search strategy A comprehensive search for trials</w:t>
      </w:r>
      <w:r w:rsidR="00427468">
        <w:rPr>
          <w:kern w:val="0"/>
        </w:rPr>
        <w:t xml:space="preserve"> of </w:t>
      </w:r>
      <w:r>
        <w:rPr>
          <w:kern w:val="0"/>
        </w:rPr>
        <w:t>anticoagulation in cancer patients including a February 2010 electronic search of: the Cochrane Central Register</w:t>
      </w:r>
      <w:r w:rsidR="00427468">
        <w:rPr>
          <w:kern w:val="0"/>
        </w:rPr>
        <w:t xml:space="preserve"> of </w:t>
      </w:r>
      <w:r>
        <w:rPr>
          <w:kern w:val="0"/>
        </w:rPr>
        <w:t xml:space="preserve">Controlled Trials (CENTRAL), </w:t>
      </w:r>
      <w:r w:rsidR="00D5664A">
        <w:rPr>
          <w:kern w:val="0"/>
        </w:rPr>
        <w:t>MEDLINE</w:t>
      </w:r>
      <w:r>
        <w:rPr>
          <w:kern w:val="0"/>
        </w:rPr>
        <w:t>, EMBASE</w:t>
      </w:r>
      <w:r w:rsidR="005853A9">
        <w:rPr>
          <w:kern w:val="0"/>
        </w:rPr>
        <w:t xml:space="preserve"> and </w:t>
      </w:r>
      <w:r>
        <w:rPr>
          <w:kern w:val="0"/>
        </w:rPr>
        <w:t xml:space="preserve">ISI </w:t>
      </w:r>
      <w:r w:rsidR="00D5664A">
        <w:rPr>
          <w:kern w:val="0"/>
        </w:rPr>
        <w:t>Web</w:t>
      </w:r>
      <w:r w:rsidR="00427468">
        <w:rPr>
          <w:kern w:val="0"/>
        </w:rPr>
        <w:t xml:space="preserve"> of </w:t>
      </w:r>
      <w:r w:rsidR="00D5664A">
        <w:rPr>
          <w:kern w:val="0"/>
        </w:rPr>
        <w:t>Science</w:t>
      </w:r>
      <w:r>
        <w:rPr>
          <w:kern w:val="0"/>
        </w:rPr>
        <w:t>. Selection criteria Randomized controlled trials (RCTs) that enrolled cancer patients undergoing a surgical intervention</w:t>
      </w:r>
      <w:r w:rsidR="005853A9">
        <w:rPr>
          <w:kern w:val="0"/>
        </w:rPr>
        <w:t xml:space="preserve"> and </w:t>
      </w:r>
      <w:r>
        <w:rPr>
          <w:kern w:val="0"/>
        </w:rPr>
        <w:t>compared the effects</w:t>
      </w:r>
      <w:r w:rsidR="00427468">
        <w:rPr>
          <w:kern w:val="0"/>
        </w:rPr>
        <w:t xml:space="preserve"> of </w:t>
      </w:r>
      <w:r>
        <w:rPr>
          <w:kern w:val="0"/>
        </w:rPr>
        <w:t>LMWH to UFH on mortality, deep venous thrombosis (DVT), pulmonary embolism(PE), bleeding outcomes,</w:t>
      </w:r>
      <w:r w:rsidR="005853A9">
        <w:rPr>
          <w:kern w:val="0"/>
        </w:rPr>
        <w:t xml:space="preserve"> and </w:t>
      </w:r>
      <w:r>
        <w:rPr>
          <w:kern w:val="0"/>
        </w:rPr>
        <w:t>thrombocytopenia. Data collection</w:t>
      </w:r>
      <w:r w:rsidR="005853A9">
        <w:rPr>
          <w:kern w:val="0"/>
        </w:rPr>
        <w:t xml:space="preserve"> and </w:t>
      </w:r>
      <w:r>
        <w:rPr>
          <w:kern w:val="0"/>
        </w:rPr>
        <w:t>analysis Two review authors used a standardized form to independently extract in duplicate data on risk</w:t>
      </w:r>
      <w:r w:rsidR="00427468">
        <w:rPr>
          <w:kern w:val="0"/>
        </w:rPr>
        <w:t xml:space="preserve"> of </w:t>
      </w:r>
      <w:r>
        <w:rPr>
          <w:kern w:val="0"/>
        </w:rPr>
        <w:t>bias, participants, interventions</w:t>
      </w:r>
      <w:r w:rsidR="005853A9">
        <w:rPr>
          <w:kern w:val="0"/>
        </w:rPr>
        <w:t xml:space="preserve"> and </w:t>
      </w:r>
      <w:r>
        <w:rPr>
          <w:kern w:val="0"/>
        </w:rPr>
        <w:t>outcomes</w:t>
      </w:r>
      <w:r w:rsidR="00427468">
        <w:rPr>
          <w:kern w:val="0"/>
        </w:rPr>
        <w:t xml:space="preserve"> of </w:t>
      </w:r>
      <w:r>
        <w:rPr>
          <w:kern w:val="0"/>
        </w:rPr>
        <w:t xml:space="preserve">interest. Where possible, we conducted </w:t>
      </w:r>
      <w:r>
        <w:rPr>
          <w:kern w:val="0"/>
        </w:rPr>
        <w:lastRenderedPageBreak/>
        <w:t>meta-analyses using the random-effects model. Main results</w:t>
      </w:r>
      <w:r w:rsidR="00427468">
        <w:rPr>
          <w:kern w:val="0"/>
        </w:rPr>
        <w:t xml:space="preserve"> of </w:t>
      </w:r>
      <w:r>
        <w:rPr>
          <w:kern w:val="0"/>
        </w:rPr>
        <w:t>8187 identified citations, we included 16 RCTs with 11,847 patients in the meta-analyses, all using preoperative prophylactic anticoagulation</w:t>
      </w:r>
      <w:r w:rsidR="00A37C1D">
        <w:rPr>
          <w:kern w:val="0"/>
        </w:rPr>
        <w:t>. The</w:t>
      </w:r>
      <w:r>
        <w:rPr>
          <w:kern w:val="0"/>
        </w:rPr>
        <w:t xml:space="preserve"> overall quality</w:t>
      </w:r>
      <w:r w:rsidR="00427468">
        <w:rPr>
          <w:kern w:val="0"/>
        </w:rPr>
        <w:t xml:space="preserve"> of </w:t>
      </w:r>
      <w:r>
        <w:rPr>
          <w:kern w:val="0"/>
        </w:rPr>
        <w:t>evidence was moderate</w:t>
      </w:r>
      <w:r w:rsidR="00A37C1D">
        <w:rPr>
          <w:kern w:val="0"/>
        </w:rPr>
        <w:t>. The</w:t>
      </w:r>
      <w:r>
        <w:rPr>
          <w:kern w:val="0"/>
        </w:rPr>
        <w:t xml:space="preserve"> meta-analysis did not conclusively rule out either a beneficial or harmful effect</w:t>
      </w:r>
      <w:r w:rsidR="00427468">
        <w:rPr>
          <w:kern w:val="0"/>
        </w:rPr>
        <w:t xml:space="preserve"> of </w:t>
      </w:r>
      <w:r>
        <w:rPr>
          <w:kern w:val="0"/>
        </w:rPr>
        <w:t>LMWH compared to UFH for the following outcomes: mortality (RR = 0.90; 95% CI 0.73 to 1.10), symptomatic DVT (RR = 0.73; 95% CI 0.23 to 2.28), PE (RR = 0.59; 95% CI 0.25 to1.41), minor bleeding (RR = 0.88; 95% CI 0.47 to 1.66)</w:t>
      </w:r>
      <w:r w:rsidR="005853A9">
        <w:rPr>
          <w:kern w:val="0"/>
        </w:rPr>
        <w:t xml:space="preserve"> and </w:t>
      </w:r>
      <w:r>
        <w:rPr>
          <w:kern w:val="0"/>
        </w:rPr>
        <w:t>major bleeding (RR = 0.84; 95% CI 0.52 to 1.36). LMWH was associated with lower incidence</w:t>
      </w:r>
      <w:r w:rsidR="00427468">
        <w:rPr>
          <w:kern w:val="0"/>
        </w:rPr>
        <w:t xml:space="preserve"> of </w:t>
      </w:r>
      <w:r>
        <w:rPr>
          <w:kern w:val="0"/>
        </w:rPr>
        <w:t>wound hematoma (RR = 0.60; 95% CI 0.43, 0.84) while UFH was associated with higher incidence</w:t>
      </w:r>
      <w:r w:rsidR="00427468">
        <w:rPr>
          <w:kern w:val="0"/>
        </w:rPr>
        <w:t xml:space="preserve"> of </w:t>
      </w:r>
      <w:r>
        <w:rPr>
          <w:kern w:val="0"/>
        </w:rPr>
        <w:t>intra-operative transfusion (RR = 1.16; 95% CI 0.69,1.62). Authors</w:t>
      </w:r>
      <w:r w:rsidR="0071223E">
        <w:rPr>
          <w:kern w:val="0"/>
        </w:rPr>
        <w:t>’</w:t>
      </w:r>
      <w:r>
        <w:rPr>
          <w:kern w:val="0"/>
        </w:rPr>
        <w:t xml:space="preserve"> conclusions We found no difference between perioperative thromboprophylaxis with LMWH verus UFH in their effects on mortality</w:t>
      </w:r>
      <w:r w:rsidR="005853A9">
        <w:rPr>
          <w:kern w:val="0"/>
        </w:rPr>
        <w:t xml:space="preserve"> and </w:t>
      </w:r>
      <w:r>
        <w:rPr>
          <w:kern w:val="0"/>
        </w:rPr>
        <w:t>embolic outcomes in patients with cancer. Further trials are needed to more carefully evaluate the benefits</w:t>
      </w:r>
      <w:r w:rsidR="005853A9">
        <w:rPr>
          <w:kern w:val="0"/>
        </w:rPr>
        <w:t xml:space="preserve"> and </w:t>
      </w:r>
      <w:r>
        <w:rPr>
          <w:kern w:val="0"/>
        </w:rPr>
        <w:t>harms</w:t>
      </w:r>
      <w:r w:rsidR="00427468">
        <w:rPr>
          <w:kern w:val="0"/>
        </w:rPr>
        <w:t xml:space="preserve"> of </w:t>
      </w:r>
      <w:r>
        <w:rPr>
          <w:kern w:val="0"/>
        </w:rPr>
        <w:t>different heparin thromboprophylaxis strategies in this population.</w:t>
      </w:r>
    </w:p>
    <w:p w:rsidR="00365DE4" w:rsidRDefault="00365DE4" w:rsidP="00365DE4">
      <w:pPr>
        <w:pStyle w:val="a3"/>
        <w:rPr>
          <w:kern w:val="0"/>
        </w:rPr>
      </w:pPr>
      <w:r>
        <w:rPr>
          <w:kern w:val="0"/>
        </w:rPr>
        <w:t>Keywords: Abdominal-Surgery, Analysis, Authors, Bias, Cancer, Citations, Cochrane, Deep-Vein Thrombosis, Double-Blind Trial, Efficacy, Embase, Fatal Pulmonary-Embolism, General-Surgery, Gynecological Surgery, Heparin, Incidence, Interest, Intervention,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Low, Low-Dose Heparin, Low-Molecular-Weight, </w:t>
      </w:r>
      <w:r w:rsidR="00D5664A">
        <w:rPr>
          <w:kern w:val="0"/>
        </w:rPr>
        <w:t>MEDLINE</w:t>
      </w:r>
      <w:r>
        <w:rPr>
          <w:kern w:val="0"/>
        </w:rPr>
        <w:t xml:space="preserve">, Meta Analysis, Meta-Analysis, Model, Molecular, Mortality, Multicenter Trial, Outcomes, Patients, Postoperative Venous Thromboembolism, Quality, Randomized Controlled Trials, Review, Risk, Safety, Science, Search Strategy, Selection, Standard Heparin, Strategy, Surgical, Thrombosis, Venous Thrombosis,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Anderson, O., Boshier, P.</w:t>
      </w:r>
      <w:r w:rsidR="005853A9">
        <w:rPr>
          <w:kern w:val="0"/>
        </w:rPr>
        <w:t xml:space="preserve"> and </w:t>
      </w:r>
      <w:r>
        <w:rPr>
          <w:kern w:val="0"/>
        </w:rPr>
        <w:t xml:space="preserve">Hanna, G. (2011), Interventions designed to prevent healthcare bed-related injuries in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CD008931.</w:t>
      </w:r>
    </w:p>
    <w:p w:rsidR="00365DE4" w:rsidRDefault="00365DE4" w:rsidP="00365DE4">
      <w:pPr>
        <w:pStyle w:val="a3"/>
        <w:rPr>
          <w:kern w:val="2"/>
        </w:rPr>
      </w:pPr>
      <w:r>
        <w:t xml:space="preserve">Full Text: </w:t>
      </w:r>
      <w:hyperlink r:id="rId692" w:history="1">
        <w:r>
          <w:rPr>
            <w:rStyle w:val="a5"/>
          </w:rPr>
          <w:t>2011\Coc Dat Sys Rev2011, CD008931.pdf</w:t>
        </w:r>
      </w:hyperlink>
    </w:p>
    <w:p w:rsidR="00365DE4" w:rsidRDefault="00365DE4" w:rsidP="00365DE4">
      <w:pPr>
        <w:pStyle w:val="a3"/>
        <w:rPr>
          <w:kern w:val="0"/>
        </w:rPr>
      </w:pPr>
      <w:r>
        <w:rPr>
          <w:kern w:val="0"/>
        </w:rPr>
        <w:t>Abstract: Background Every patient in residential healthcare has a bed. Falling out</w:t>
      </w:r>
      <w:r w:rsidR="00427468">
        <w:rPr>
          <w:kern w:val="0"/>
        </w:rPr>
        <w:t xml:space="preserve"> of </w:t>
      </w:r>
      <w:r>
        <w:rPr>
          <w:kern w:val="0"/>
        </w:rPr>
        <w:t>bed is associated with preventable patient harm. Various interventions to prevent injury are available. Bed rails are the most common intervention designed to prevent patients falling out</w:t>
      </w:r>
      <w:r w:rsidR="00427468">
        <w:rPr>
          <w:kern w:val="0"/>
        </w:rPr>
        <w:t xml:space="preserve"> of </w:t>
      </w:r>
      <w:r>
        <w:rPr>
          <w:kern w:val="0"/>
        </w:rPr>
        <w:t>bed; however, their effectiveness is uncertain</w:t>
      </w:r>
      <w:r w:rsidR="005853A9">
        <w:rPr>
          <w:kern w:val="0"/>
        </w:rPr>
        <w:t xml:space="preserve"> and </w:t>
      </w:r>
      <w:r>
        <w:rPr>
          <w:kern w:val="0"/>
        </w:rPr>
        <w:t>bed rail entrapment can also result in injuries. Objectives to assess the effectiveness</w:t>
      </w:r>
      <w:r w:rsidR="00427468">
        <w:rPr>
          <w:kern w:val="0"/>
        </w:rPr>
        <w:t xml:space="preserve"> of </w:t>
      </w:r>
      <w:r>
        <w:rPr>
          <w:kern w:val="0"/>
        </w:rPr>
        <w:t>interventions designed to prevent patient injuries</w:t>
      </w:r>
      <w:r w:rsidR="005853A9">
        <w:rPr>
          <w:kern w:val="0"/>
        </w:rPr>
        <w:t xml:space="preserve"> and </w:t>
      </w:r>
      <w:r>
        <w:rPr>
          <w:kern w:val="0"/>
        </w:rPr>
        <w:t>falls from their beds. Search strategy We searched the Cochrane Injuries Group Specialised Register, Cochrane Central Register</w:t>
      </w:r>
      <w:r w:rsidR="00427468">
        <w:rPr>
          <w:kern w:val="0"/>
        </w:rPr>
        <w:t xml:space="preserve"> of </w:t>
      </w:r>
      <w:r>
        <w:rPr>
          <w:kern w:val="0"/>
        </w:rPr>
        <w:t xml:space="preserve">Controlled Trials 2010, Issue 2 (The Cochrane Library), </w:t>
      </w:r>
      <w:r w:rsidR="00D5664A">
        <w:rPr>
          <w:kern w:val="0"/>
        </w:rPr>
        <w:t>MEDLINE</w:t>
      </w:r>
      <w:r>
        <w:rPr>
          <w:kern w:val="0"/>
        </w:rPr>
        <w:t xml:space="preserve"> (Ovid), EMBASE (Ovid), CINAHL (EBSCO), ISOI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Web-based trials registers (all to December 2010) as well as reference lists. Selection criteria Randomised controlled trials</w:t>
      </w:r>
      <w:r w:rsidR="00427468">
        <w:rPr>
          <w:kern w:val="0"/>
        </w:rPr>
        <w:t xml:space="preserve"> of </w:t>
      </w:r>
      <w:r>
        <w:rPr>
          <w:kern w:val="0"/>
        </w:rPr>
        <w:t xml:space="preserve">interventions designed to prevent patient </w:t>
      </w:r>
      <w:r>
        <w:rPr>
          <w:kern w:val="0"/>
        </w:rPr>
        <w:lastRenderedPageBreak/>
        <w:t>injuries from their beds which were conducted in hospitals, nursing care facilities or rehabilitation units were eligible for inclusion. Data collection</w:t>
      </w:r>
      <w:r w:rsidR="005853A9">
        <w:rPr>
          <w:kern w:val="0"/>
        </w:rPr>
        <w:t xml:space="preserve"> and </w:t>
      </w:r>
      <w:r>
        <w:rPr>
          <w:kern w:val="0"/>
        </w:rPr>
        <w:t>analysis Two review authors independently assessed the risk</w:t>
      </w:r>
      <w:r w:rsidR="00427468">
        <w:rPr>
          <w:kern w:val="0"/>
        </w:rPr>
        <w:t xml:space="preserve"> of </w:t>
      </w:r>
      <w:r>
        <w:rPr>
          <w:kern w:val="0"/>
        </w:rPr>
        <w:t>bias</w:t>
      </w:r>
      <w:r w:rsidR="005853A9">
        <w:rPr>
          <w:kern w:val="0"/>
        </w:rPr>
        <w:t xml:space="preserve"> and </w:t>
      </w:r>
      <w:r>
        <w:rPr>
          <w:kern w:val="0"/>
        </w:rPr>
        <w:t>extracted data from the included studies. Authors contacted investigators to obtain missing information. Main results Two studies met the inclusion criteria, involving a total</w:t>
      </w:r>
      <w:r w:rsidR="00427468">
        <w:rPr>
          <w:kern w:val="0"/>
        </w:rPr>
        <w:t xml:space="preserve"> of </w:t>
      </w:r>
      <w:r>
        <w:rPr>
          <w:kern w:val="0"/>
        </w:rPr>
        <w:t>22,106 participants. One study tested low height beds</w:t>
      </w:r>
      <w:r w:rsidR="005853A9">
        <w:rPr>
          <w:kern w:val="0"/>
        </w:rPr>
        <w:t xml:space="preserve"> and </w:t>
      </w:r>
      <w:r>
        <w:rPr>
          <w:kern w:val="0"/>
        </w:rPr>
        <w:t>the other tested bed exit alarms. Both studies used standard care for their control group</w:t>
      </w:r>
      <w:r w:rsidR="005853A9">
        <w:rPr>
          <w:kern w:val="0"/>
        </w:rPr>
        <w:t xml:space="preserve"> and </w:t>
      </w:r>
      <w:r>
        <w:rPr>
          <w:kern w:val="0"/>
        </w:rPr>
        <w:t>both studies were conducted in hospitals. No study investigating bed rails met the inclusion criteria. Due to the clinical heterogeneity</w:t>
      </w:r>
      <w:r w:rsidR="00427468">
        <w:rPr>
          <w:kern w:val="0"/>
        </w:rPr>
        <w:t xml:space="preserve"> of </w:t>
      </w:r>
      <w:r>
        <w:rPr>
          <w:kern w:val="0"/>
        </w:rPr>
        <w:t>the interventions in the included studies pooling</w:t>
      </w:r>
      <w:r w:rsidR="00427468">
        <w:rPr>
          <w:kern w:val="0"/>
        </w:rPr>
        <w:t xml:space="preserve"> of </w:t>
      </w:r>
      <w:r>
        <w:rPr>
          <w:kern w:val="0"/>
        </w:rPr>
        <w:t>data</w:t>
      </w:r>
      <w:r w:rsidR="005853A9">
        <w:rPr>
          <w:kern w:val="0"/>
        </w:rPr>
        <w:t xml:space="preserve"> and </w:t>
      </w:r>
      <w:r>
        <w:rPr>
          <w:kern w:val="0"/>
        </w:rPr>
        <w:t>meta-analysis was inappropriate,</w:t>
      </w:r>
      <w:r w:rsidR="005853A9">
        <w:rPr>
          <w:kern w:val="0"/>
        </w:rPr>
        <w:t xml:space="preserve"> and </w:t>
      </w:r>
      <w:r>
        <w:rPr>
          <w:kern w:val="0"/>
        </w:rPr>
        <w:t>so the results</w:t>
      </w:r>
      <w:r w:rsidR="00427468">
        <w:rPr>
          <w:kern w:val="0"/>
        </w:rPr>
        <w:t xml:space="preserve"> of </w:t>
      </w:r>
      <w:r>
        <w:rPr>
          <w:kern w:val="0"/>
        </w:rPr>
        <w:t>the studies are described. A single cluster randomised trial</w:t>
      </w:r>
      <w:r w:rsidR="00427468">
        <w:rPr>
          <w:kern w:val="0"/>
        </w:rPr>
        <w:t xml:space="preserve"> of </w:t>
      </w:r>
      <w:r>
        <w:rPr>
          <w:kern w:val="0"/>
        </w:rPr>
        <w:t>low height beds in 18 hospital wards, including 22,036 participants, found no significant reduction in the frequency</w:t>
      </w:r>
      <w:r w:rsidR="00427468">
        <w:rPr>
          <w:kern w:val="0"/>
        </w:rPr>
        <w:t xml:space="preserve"> of </w:t>
      </w:r>
      <w:r>
        <w:rPr>
          <w:kern w:val="0"/>
        </w:rPr>
        <w:t>patient injuries due to their beds (there were no injuries in either group), patient falls in the bedroom (rate ratio 0.69, 95% CI 0.35 to 1.34), all falls (rate ratio 1.26, 95% CI 0.83 to 1.90) or patient injuries due to all falls (rate ratio 1.35, 95% CI 0.68 to 2.68). One randomised controlled trial</w:t>
      </w:r>
      <w:r w:rsidR="00427468">
        <w:rPr>
          <w:kern w:val="0"/>
        </w:rPr>
        <w:t xml:space="preserve"> of </w:t>
      </w:r>
      <w:r>
        <w:rPr>
          <w:kern w:val="0"/>
        </w:rPr>
        <w:t>bed exit alarms in one hospital geriatric ward, involving 70 participants, found no significant reduction in the frequency</w:t>
      </w:r>
      <w:r w:rsidR="00427468">
        <w:rPr>
          <w:kern w:val="0"/>
        </w:rPr>
        <w:t xml:space="preserve"> of </w:t>
      </w:r>
      <w:r>
        <w:rPr>
          <w:kern w:val="0"/>
        </w:rPr>
        <w:t>patient injuries due to their beds (there were no injuries in either group), patient falls out</w:t>
      </w:r>
      <w:r w:rsidR="00427468">
        <w:rPr>
          <w:kern w:val="0"/>
        </w:rPr>
        <w:t xml:space="preserve"> of </w:t>
      </w:r>
      <w:r>
        <w:rPr>
          <w:kern w:val="0"/>
        </w:rPr>
        <w:t>bed (rate ratio 0.25, 95% CI 0.03 to 2.24), all falls (rate ratio 0.42, 95% CI 0.15 to 1.18) or patient injuries due to all falls (no injuries in either group). Authors</w:t>
      </w:r>
      <w:r w:rsidR="0071223E">
        <w:rPr>
          <w:kern w:val="0"/>
        </w:rPr>
        <w:t>’</w:t>
      </w:r>
      <w:r>
        <w:rPr>
          <w:kern w:val="0"/>
        </w:rPr>
        <w:t xml:space="preserve"> conclusions The effectiveness</w:t>
      </w:r>
      <w:r w:rsidR="00427468">
        <w:rPr>
          <w:kern w:val="0"/>
        </w:rPr>
        <w:t xml:space="preserve"> of </w:t>
      </w:r>
      <w:r>
        <w:rPr>
          <w:kern w:val="0"/>
        </w:rPr>
        <w:t>interventions designed to prevent patient injuries from their beds (including bed rails, low height beds</w:t>
      </w:r>
      <w:r w:rsidR="005853A9">
        <w:rPr>
          <w:kern w:val="0"/>
        </w:rPr>
        <w:t xml:space="preserve"> and </w:t>
      </w:r>
      <w:r>
        <w:rPr>
          <w:kern w:val="0"/>
        </w:rPr>
        <w:t>bed exit alarms) remains uncertain</w:t>
      </w:r>
      <w:r w:rsidR="00A37C1D">
        <w:rPr>
          <w:kern w:val="0"/>
        </w:rPr>
        <w:t>. The</w:t>
      </w:r>
      <w:r>
        <w:rPr>
          <w:kern w:val="0"/>
        </w:rPr>
        <w:t xml:space="preserve"> available evidence shows no significant increase or decrease in the rate</w:t>
      </w:r>
      <w:r w:rsidR="00427468">
        <w:rPr>
          <w:kern w:val="0"/>
        </w:rPr>
        <w:t xml:space="preserve"> of </w:t>
      </w:r>
      <w:r>
        <w:rPr>
          <w:kern w:val="0"/>
        </w:rPr>
        <w:t>injuries with the use</w:t>
      </w:r>
      <w:r w:rsidR="00427468">
        <w:rPr>
          <w:kern w:val="0"/>
        </w:rPr>
        <w:t xml:space="preserve"> of </w:t>
      </w:r>
      <w:r>
        <w:rPr>
          <w:kern w:val="0"/>
        </w:rPr>
        <w:t>low height beds</w:t>
      </w:r>
      <w:r w:rsidR="005853A9">
        <w:rPr>
          <w:kern w:val="0"/>
        </w:rPr>
        <w:t xml:space="preserve"> and </w:t>
      </w:r>
      <w:r>
        <w:rPr>
          <w:kern w:val="0"/>
        </w:rPr>
        <w:t>bed exit alarms. Limitations</w:t>
      </w:r>
      <w:r w:rsidR="00427468">
        <w:rPr>
          <w:kern w:val="0"/>
        </w:rPr>
        <w:t xml:space="preserve"> of </w:t>
      </w:r>
      <w:r>
        <w:rPr>
          <w:kern w:val="0"/>
        </w:rPr>
        <w:t>the two included studies include lack</w:t>
      </w:r>
      <w:r w:rsidR="00427468">
        <w:rPr>
          <w:kern w:val="0"/>
        </w:rPr>
        <w:t xml:space="preserve"> of </w:t>
      </w:r>
      <w:r>
        <w:rPr>
          <w:kern w:val="0"/>
        </w:rPr>
        <w:t>blinding</w:t>
      </w:r>
      <w:r w:rsidR="005853A9">
        <w:rPr>
          <w:kern w:val="0"/>
        </w:rPr>
        <w:t xml:space="preserve"> and </w:t>
      </w:r>
      <w:r>
        <w:rPr>
          <w:kern w:val="0"/>
        </w:rPr>
        <w:t>insufficient power. No randomised controlled trials</w:t>
      </w:r>
      <w:r w:rsidR="00427468">
        <w:rPr>
          <w:kern w:val="0"/>
        </w:rPr>
        <w:t xml:space="preserve"> of </w:t>
      </w:r>
      <w:r>
        <w:rPr>
          <w:kern w:val="0"/>
        </w:rPr>
        <w:t>bed rails were identified. Future reports should fully describe the standard care received by the control group.</w:t>
      </w:r>
    </w:p>
    <w:p w:rsidR="00365DE4" w:rsidRDefault="00365DE4" w:rsidP="00365DE4">
      <w:pPr>
        <w:pStyle w:val="a3"/>
        <w:rPr>
          <w:kern w:val="0"/>
        </w:rPr>
      </w:pPr>
      <w:r>
        <w:rPr>
          <w:kern w:val="0"/>
        </w:rPr>
        <w:t xml:space="preserve">Keywords: Analysis, Authors, Bias, Care, Cochrane, Control, Effectiveness, Embase, Fall-Related Injuries, Falls, Frequency, Geriatric, Hospital, Hospitalized-Patients, Hospitals, Information, Injury, Intervention, Interventions, Low, </w:t>
      </w:r>
      <w:r w:rsidR="00D5664A">
        <w:rPr>
          <w:kern w:val="0"/>
        </w:rPr>
        <w:t>MEDLINE</w:t>
      </w:r>
      <w:r>
        <w:rPr>
          <w:kern w:val="0"/>
        </w:rPr>
        <w:t xml:space="preserve">, Meta Analysis, Meta-Analysis, Multifactorial Intervention, Nursing, Nursing-Home Residents, Older-People, Patients, Physical Restraint, Power, Randomised Controlled Trial, Randomized Controlled-Trial, Ratio, Reduction, Rehabilitation, Residential, Review, Risk, Risk-Factors, Science, Search Strategy, Selection, Side Rail Use, Strategy, Vitamin-D,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Cavalcanti, A.B., De Vasconcelos, C.P., de Oliveira, M.P., Rother, E.T.</w:t>
      </w:r>
      <w:r w:rsidR="005853A9">
        <w:rPr>
          <w:kern w:val="0"/>
        </w:rPr>
        <w:t xml:space="preserve"> and </w:t>
      </w:r>
      <w:r>
        <w:rPr>
          <w:kern w:val="0"/>
        </w:rPr>
        <w:t xml:space="preserve">Ferraz, L.J.R. (2011), Prostaglandins for adult liver transplanted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CD006006.</w:t>
      </w:r>
    </w:p>
    <w:p w:rsidR="00365DE4" w:rsidRDefault="00365DE4" w:rsidP="00365DE4">
      <w:pPr>
        <w:pStyle w:val="a3"/>
        <w:rPr>
          <w:kern w:val="2"/>
        </w:rPr>
      </w:pPr>
      <w:r>
        <w:t xml:space="preserve">Full Text: </w:t>
      </w:r>
      <w:hyperlink r:id="rId693" w:history="1">
        <w:r>
          <w:rPr>
            <w:rStyle w:val="a5"/>
          </w:rPr>
          <w:t>2011\Coc Dat Sys Rev2011, CD006006.pdf</w:t>
        </w:r>
      </w:hyperlink>
    </w:p>
    <w:p w:rsidR="00365DE4" w:rsidRDefault="00365DE4" w:rsidP="00365DE4">
      <w:pPr>
        <w:pStyle w:val="a3"/>
        <w:rPr>
          <w:kern w:val="0"/>
        </w:rPr>
      </w:pPr>
      <w:r>
        <w:rPr>
          <w:kern w:val="0"/>
        </w:rPr>
        <w:lastRenderedPageBreak/>
        <w:t>Abstract: Background Prostaglandins may reduce ischaemic injury after liver transplantation. Several small randomised trials have evaluated the effects</w:t>
      </w:r>
      <w:r w:rsidR="00427468">
        <w:rPr>
          <w:kern w:val="0"/>
        </w:rPr>
        <w:t xml:space="preserve"> of </w:t>
      </w:r>
      <w:r>
        <w:rPr>
          <w:kern w:val="0"/>
        </w:rPr>
        <w:t>prostaglandins in patients undergoing liver transplantation. Results</w:t>
      </w:r>
      <w:r w:rsidR="00427468">
        <w:rPr>
          <w:kern w:val="0"/>
        </w:rPr>
        <w:t xml:space="preserve"> of </w:t>
      </w:r>
      <w:r>
        <w:rPr>
          <w:kern w:val="0"/>
        </w:rPr>
        <w:t>these trials are inconsistent,</w:t>
      </w:r>
      <w:r w:rsidR="005853A9">
        <w:rPr>
          <w:kern w:val="0"/>
        </w:rPr>
        <w:t xml:space="preserve"> and </w:t>
      </w:r>
      <w:r>
        <w:rPr>
          <w:kern w:val="0"/>
        </w:rPr>
        <w:t>none has enough power to reliably exclude effects</w:t>
      </w:r>
      <w:r w:rsidR="00427468">
        <w:rPr>
          <w:kern w:val="0"/>
        </w:rPr>
        <w:t xml:space="preserve"> of </w:t>
      </w:r>
      <w:r>
        <w:rPr>
          <w:kern w:val="0"/>
        </w:rPr>
        <w:t>prostaglandins. Objectives to assess the benefits</w:t>
      </w:r>
      <w:r w:rsidR="005853A9">
        <w:rPr>
          <w:kern w:val="0"/>
        </w:rPr>
        <w:t xml:space="preserve"> and </w:t>
      </w:r>
      <w:r>
        <w:rPr>
          <w:kern w:val="0"/>
        </w:rPr>
        <w:t>harms</w:t>
      </w:r>
      <w:r w:rsidR="00427468">
        <w:rPr>
          <w:kern w:val="0"/>
        </w:rPr>
        <w:t xml:space="preserve"> of </w:t>
      </w:r>
      <w:r>
        <w:rPr>
          <w:kern w:val="0"/>
        </w:rPr>
        <w:t>prostaglandin E1 or E2 in adult liver-transplanted patients.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LILACS (search on 20 April 2011). In addition, we perused the reference lists</w:t>
      </w:r>
      <w:r w:rsidR="00427468">
        <w:rPr>
          <w:kern w:val="0"/>
        </w:rPr>
        <w:t xml:space="preserve"> of </w:t>
      </w:r>
      <w:r>
        <w:rPr>
          <w:kern w:val="0"/>
        </w:rPr>
        <w:t>the identified studies</w:t>
      </w:r>
      <w:r w:rsidR="005853A9">
        <w:rPr>
          <w:kern w:val="0"/>
        </w:rPr>
        <w:t xml:space="preserve"> and </w:t>
      </w:r>
      <w:r>
        <w:rPr>
          <w:kern w:val="0"/>
        </w:rPr>
        <w:t>contacted trials investigators,</w:t>
      </w:r>
      <w:r w:rsidR="005853A9">
        <w:rPr>
          <w:kern w:val="0"/>
        </w:rPr>
        <w:t xml:space="preserve"> and </w:t>
      </w:r>
      <w:r>
        <w:rPr>
          <w:kern w:val="0"/>
        </w:rPr>
        <w:t>national</w:t>
      </w:r>
      <w:r w:rsidR="005853A9">
        <w:rPr>
          <w:kern w:val="0"/>
        </w:rPr>
        <w:t xml:space="preserve"> and </w:t>
      </w:r>
      <w:r>
        <w:rPr>
          <w:kern w:val="0"/>
        </w:rPr>
        <w:t>international experts in order to identify more trials for the review. Selection criteria We included randomised clinical trials evaluating prostaglandin E1 or E2 initiated in the perioperative period versus placebo or standard treatment for adult patients undergoing liver transplantation. We did not apply any language or publication status restrictions. Data collection</w:t>
      </w:r>
      <w:r w:rsidR="005853A9">
        <w:rPr>
          <w:kern w:val="0"/>
        </w:rPr>
        <w:t xml:space="preserve"> and </w:t>
      </w:r>
      <w:r>
        <w:rPr>
          <w:kern w:val="0"/>
        </w:rPr>
        <w:t>analysis Two authors independently evaluated methodological quality, ie, risk</w:t>
      </w:r>
      <w:r w:rsidR="00427468">
        <w:rPr>
          <w:kern w:val="0"/>
        </w:rPr>
        <w:t xml:space="preserve"> of </w:t>
      </w:r>
      <w:r>
        <w:rPr>
          <w:kern w:val="0"/>
        </w:rPr>
        <w:t>bias</w:t>
      </w:r>
      <w:r w:rsidR="00427468">
        <w:rPr>
          <w:kern w:val="0"/>
        </w:rPr>
        <w:t xml:space="preserve"> of </w:t>
      </w:r>
      <w:r>
        <w:rPr>
          <w:kern w:val="0"/>
        </w:rPr>
        <w:t>the included trials,</w:t>
      </w:r>
      <w:r w:rsidR="005853A9">
        <w:rPr>
          <w:kern w:val="0"/>
        </w:rPr>
        <w:t xml:space="preserve"> and </w:t>
      </w:r>
      <w:r>
        <w:rPr>
          <w:kern w:val="0"/>
        </w:rPr>
        <w:t>extracted data using standardised data extraction forms. We contacted trial investigators in attempt to retrieve information not available in the original manuscripts. We used random-effects model meta-analyses</w:t>
      </w:r>
      <w:r w:rsidR="005853A9">
        <w:rPr>
          <w:kern w:val="0"/>
        </w:rPr>
        <w:t xml:space="preserve"> and </w:t>
      </w:r>
      <w:r>
        <w:rPr>
          <w:kern w:val="0"/>
        </w:rPr>
        <w:t>fixed-effect model meta-analyses to estimate the odds ratio with 95% confidence interval (CI). Main results We included ten trials in which 652 patients were randomised</w:t>
      </w:r>
      <w:r w:rsidR="00A37C1D">
        <w:rPr>
          <w:kern w:val="0"/>
        </w:rPr>
        <w:t>. The</w:t>
      </w:r>
      <w:r>
        <w:rPr>
          <w:kern w:val="0"/>
        </w:rPr>
        <w:t xml:space="preserve"> risk</w:t>
      </w:r>
      <w:r w:rsidR="00427468">
        <w:rPr>
          <w:kern w:val="0"/>
        </w:rPr>
        <w:t xml:space="preserve"> of </w:t>
      </w:r>
      <w:r>
        <w:rPr>
          <w:kern w:val="0"/>
        </w:rPr>
        <w:t>bias was considered high in most trials</w:t>
      </w:r>
      <w:r w:rsidR="00A37C1D">
        <w:rPr>
          <w:kern w:val="0"/>
        </w:rPr>
        <w:t>. The</w:t>
      </w:r>
      <w:r>
        <w:rPr>
          <w:kern w:val="0"/>
        </w:rPr>
        <w:t>re was no significant effect</w:t>
      </w:r>
      <w:r w:rsidR="00427468">
        <w:rPr>
          <w:kern w:val="0"/>
        </w:rPr>
        <w:t xml:space="preserve"> of </w:t>
      </w:r>
      <w:r>
        <w:rPr>
          <w:kern w:val="0"/>
        </w:rPr>
        <w:t>prostaglandins on all-cause mortality (37/298[12.4%] in prostaglandin group versus 47/312[15.1%] in control group; OR 0.84, 95% CI 0.53 to 1.37; I(2) = 0%), on primary non-function</w:t>
      </w:r>
      <w:r w:rsidR="00427468">
        <w:rPr>
          <w:kern w:val="0"/>
        </w:rPr>
        <w:t xml:space="preserve"> of </w:t>
      </w:r>
      <w:r>
        <w:rPr>
          <w:kern w:val="0"/>
        </w:rPr>
        <w:t>the allograft (8/238 [3.4%] versus. 16/250[6.4%]; OR 0.55, 95% CI 0.23 to 1.33; I(2) = 0%),</w:t>
      </w:r>
      <w:r w:rsidR="005853A9">
        <w:rPr>
          <w:kern w:val="0"/>
        </w:rPr>
        <w:t xml:space="preserve"> and </w:t>
      </w:r>
      <w:r>
        <w:rPr>
          <w:kern w:val="0"/>
        </w:rPr>
        <w:t>on liver re-transplantation (12/161[7.5%] versus 14/171[8.2%]; OR 0.99, 95% CI 0.44 to 2.25; I(2) = 0%). Prostaglandins seemed to significantly decrease the risk</w:t>
      </w:r>
      <w:r w:rsidR="00427468">
        <w:rPr>
          <w:kern w:val="0"/>
        </w:rPr>
        <w:t xml:space="preserve"> of </w:t>
      </w:r>
      <w:r>
        <w:rPr>
          <w:kern w:val="0"/>
        </w:rPr>
        <w:t>acute kidney failure requiring dialysis (13/158[8.2%] versus 34/171[9.9%]; OR 0.37, 95% CI 0.18 to 0.75; I(2) = 0%)</w:t>
      </w:r>
      <w:r w:rsidR="00A37C1D">
        <w:rPr>
          <w:kern w:val="0"/>
        </w:rPr>
        <w:t>. The</w:t>
      </w:r>
      <w:r>
        <w:rPr>
          <w:kern w:val="0"/>
        </w:rPr>
        <w:t>re was no significant increase in the risk</w:t>
      </w:r>
      <w:r w:rsidR="00427468">
        <w:rPr>
          <w:kern w:val="0"/>
        </w:rPr>
        <w:t xml:space="preserve"> of </w:t>
      </w:r>
      <w:r>
        <w:rPr>
          <w:kern w:val="0"/>
        </w:rPr>
        <w:t>adverse events with prostaglandins. Authors</w:t>
      </w:r>
      <w:r w:rsidR="0071223E">
        <w:rPr>
          <w:kern w:val="0"/>
        </w:rPr>
        <w:t>’</w:t>
      </w:r>
      <w:r>
        <w:rPr>
          <w:kern w:val="0"/>
        </w:rPr>
        <w:t xml:space="preserve"> conclusions We found no evidence that the administration</w:t>
      </w:r>
      <w:r w:rsidR="00427468">
        <w:rPr>
          <w:kern w:val="0"/>
        </w:rPr>
        <w:t xml:space="preserve"> of </w:t>
      </w:r>
      <w:r>
        <w:rPr>
          <w:kern w:val="0"/>
        </w:rPr>
        <w:t>prostaglandins to liver transplanted patients reduces the risk</w:t>
      </w:r>
      <w:r w:rsidR="00427468">
        <w:rPr>
          <w:kern w:val="0"/>
        </w:rPr>
        <w:t xml:space="preserve"> of </w:t>
      </w:r>
      <w:r>
        <w:rPr>
          <w:kern w:val="0"/>
        </w:rPr>
        <w:t>death, primary non-function</w:t>
      </w:r>
      <w:r w:rsidR="00427468">
        <w:rPr>
          <w:kern w:val="0"/>
        </w:rPr>
        <w:t xml:space="preserve"> of </w:t>
      </w:r>
      <w:r>
        <w:rPr>
          <w:kern w:val="0"/>
        </w:rPr>
        <w:t>the allograft, or liver re-transplantation. Prostaglandins might reduce the risk</w:t>
      </w:r>
      <w:r w:rsidR="00427468">
        <w:rPr>
          <w:kern w:val="0"/>
        </w:rPr>
        <w:t xml:space="preserve"> of </w:t>
      </w:r>
      <w:r>
        <w:rPr>
          <w:kern w:val="0"/>
        </w:rPr>
        <w:t>acute kidney failure requiring dialysis, but the quality</w:t>
      </w:r>
      <w:r w:rsidR="00427468">
        <w:rPr>
          <w:kern w:val="0"/>
        </w:rPr>
        <w:t xml:space="preserve"> of </w:t>
      </w:r>
      <w:r>
        <w:rPr>
          <w:kern w:val="0"/>
        </w:rPr>
        <w:t>the evidence is considered only moderate due to high risk</w:t>
      </w:r>
      <w:r w:rsidR="00427468">
        <w:rPr>
          <w:kern w:val="0"/>
        </w:rPr>
        <w:t xml:space="preserve"> of </w:t>
      </w:r>
      <w:r>
        <w:rPr>
          <w:kern w:val="0"/>
        </w:rPr>
        <w:t>bias in most</w:t>
      </w:r>
      <w:r w:rsidR="00427468">
        <w:rPr>
          <w:kern w:val="0"/>
        </w:rPr>
        <w:t xml:space="preserve"> of </w:t>
      </w:r>
      <w:r>
        <w:rPr>
          <w:kern w:val="0"/>
        </w:rPr>
        <w:t>the included trials. Moreover, there are risks</w:t>
      </w:r>
      <w:r w:rsidR="00427468">
        <w:rPr>
          <w:kern w:val="0"/>
        </w:rPr>
        <w:t xml:space="preserve"> of </w:t>
      </w:r>
      <w:r>
        <w:rPr>
          <w:kern w:val="0"/>
        </w:rPr>
        <w:t>outcome measure reporting bias</w:t>
      </w:r>
      <w:r w:rsidR="005853A9">
        <w:rPr>
          <w:kern w:val="0"/>
        </w:rPr>
        <w:t xml:space="preserve"> and </w:t>
      </w:r>
      <w:r>
        <w:rPr>
          <w:kern w:val="0"/>
        </w:rPr>
        <w:t>random errors</w:t>
      </w:r>
      <w:r w:rsidR="00A37C1D">
        <w:rPr>
          <w:kern w:val="0"/>
        </w:rPr>
        <w:t>. The</w:t>
      </w:r>
      <w:r>
        <w:rPr>
          <w:kern w:val="0"/>
        </w:rPr>
        <w:t>refore, further randomised, placebo-controlled trials are deemed necessary.</w:t>
      </w:r>
    </w:p>
    <w:p w:rsidR="00365DE4" w:rsidRDefault="00365DE4" w:rsidP="00365DE4">
      <w:pPr>
        <w:pStyle w:val="a3"/>
        <w:rPr>
          <w:kern w:val="0"/>
        </w:rPr>
      </w:pPr>
      <w:r>
        <w:rPr>
          <w:kern w:val="0"/>
        </w:rPr>
        <w:t xml:space="preserve">Keywords: Acute, Adult, Adverse Events, Analysis, Authors, Bias, Citation, Clinical Trials, Clinical-Trials, Cochrane, Control, Dialysis, Double-Blind, Embase, </w:t>
      </w:r>
      <w:r>
        <w:rPr>
          <w:kern w:val="0"/>
        </w:rPr>
        <w:lastRenderedPageBreak/>
        <w:t xml:space="preserve">Empirical-Evidence, Extraction, Graft Nonfunction, Improve Renal-Function, Information, Injury, Liver Transplantation, </w:t>
      </w:r>
      <w:r w:rsidR="00D5664A">
        <w:rPr>
          <w:kern w:val="0"/>
        </w:rPr>
        <w:t>MEDLINE</w:t>
      </w:r>
      <w:r>
        <w:rPr>
          <w:kern w:val="0"/>
        </w:rPr>
        <w:t>, Metaanalyses, Model, Mortality, Outcome, Patients, Power, Primary, Prostacyclin, Publication, Quality, Randomized-Trials, Ratio, Reperfusion Injury, Review, Risk, Science, Science Citation Index, Search Strategy, Selection, Strategy, Transplantation, Treatment</w:t>
      </w:r>
    </w:p>
    <w:p w:rsidR="00365DE4" w:rsidRDefault="00365DE4" w:rsidP="00365DE4">
      <w:pPr>
        <w:pStyle w:val="a3"/>
        <w:rPr>
          <w:kern w:val="0"/>
        </w:rPr>
      </w:pPr>
      <w:r>
        <w:rPr>
          <w:kern w:val="0"/>
        </w:rPr>
        <w:t>? Chen, S., Wu, T.X., Kong, X.Y.</w:t>
      </w:r>
      <w:r w:rsidR="005853A9">
        <w:rPr>
          <w:kern w:val="0"/>
        </w:rPr>
        <w:t xml:space="preserve"> and </w:t>
      </w:r>
      <w:r>
        <w:rPr>
          <w:kern w:val="0"/>
        </w:rPr>
        <w:t xml:space="preserve">Yuan, H. (2011), Chinese medicinal herbs for measles.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CD005531.</w:t>
      </w:r>
    </w:p>
    <w:p w:rsidR="00365DE4" w:rsidRDefault="00365DE4" w:rsidP="00365DE4">
      <w:pPr>
        <w:pStyle w:val="a3"/>
        <w:rPr>
          <w:kern w:val="2"/>
        </w:rPr>
      </w:pPr>
      <w:r>
        <w:t xml:space="preserve">Full Text: </w:t>
      </w:r>
      <w:hyperlink r:id="rId694" w:history="1">
        <w:r>
          <w:rPr>
            <w:rStyle w:val="a5"/>
          </w:rPr>
          <w:t>2011\Coc Dat Sys Rev2011, CD005531.pdf</w:t>
        </w:r>
      </w:hyperlink>
    </w:p>
    <w:p w:rsidR="00365DE4" w:rsidRDefault="00365DE4" w:rsidP="00365DE4">
      <w:pPr>
        <w:pStyle w:val="a3"/>
        <w:rPr>
          <w:kern w:val="0"/>
        </w:rPr>
      </w:pPr>
      <w:r>
        <w:rPr>
          <w:kern w:val="0"/>
        </w:rPr>
        <w:t>Abstract: Background Measles is an infectious disease caused by the Morbillivirus. Chinese physicians believe that medicinal herbs are effective in alleviating symptoms</w:t>
      </w:r>
      <w:r w:rsidR="005853A9">
        <w:rPr>
          <w:kern w:val="0"/>
        </w:rPr>
        <w:t xml:space="preserve"> and </w:t>
      </w:r>
      <w:r>
        <w:rPr>
          <w:kern w:val="0"/>
        </w:rPr>
        <w:t>preventing complications. Chinese herbal medicines are dispensed according to the particular symptoms. This is the second update</w:t>
      </w:r>
      <w:r w:rsidR="00427468">
        <w:rPr>
          <w:kern w:val="0"/>
        </w:rPr>
        <w:t xml:space="preserve"> of </w:t>
      </w:r>
      <w:r>
        <w:rPr>
          <w:kern w:val="0"/>
        </w:rPr>
        <w:t>a Cochrane Review first published in 2006. Objectives to assess the effectiveness</w:t>
      </w:r>
      <w:r w:rsidR="005853A9">
        <w:rPr>
          <w:kern w:val="0"/>
        </w:rPr>
        <w:t xml:space="preserve"> and </w:t>
      </w:r>
      <w:r>
        <w:rPr>
          <w:kern w:val="0"/>
        </w:rPr>
        <w:t>possible adverse effects</w:t>
      </w:r>
      <w:r w:rsidR="00427468">
        <w:rPr>
          <w:kern w:val="0"/>
        </w:rPr>
        <w:t xml:space="preserve"> of </w:t>
      </w:r>
      <w:r>
        <w:rPr>
          <w:kern w:val="0"/>
        </w:rPr>
        <w:t>Chinese medicinal herbs for measles. Search strategy We searched the Cochrane Central Register</w:t>
      </w:r>
      <w:r w:rsidR="00427468">
        <w:rPr>
          <w:kern w:val="0"/>
        </w:rPr>
        <w:t xml:space="preserve"> of </w:t>
      </w:r>
      <w:r>
        <w:rPr>
          <w:kern w:val="0"/>
        </w:rPr>
        <w:t>Controlled Clinical Trials (CENTRAL Issue 1, 2011) which contains the Cochrane Acute Respiratory Infections Group</w:t>
      </w:r>
      <w:r w:rsidR="0071223E">
        <w:rPr>
          <w:kern w:val="0"/>
        </w:rPr>
        <w:t>’</w:t>
      </w:r>
      <w:r>
        <w:rPr>
          <w:kern w:val="0"/>
        </w:rPr>
        <w:t xml:space="preserve">s Specialised Register, </w:t>
      </w:r>
      <w:r w:rsidR="00D5664A">
        <w:rPr>
          <w:kern w:val="0"/>
        </w:rPr>
        <w:t>MEDLINE</w:t>
      </w:r>
      <w:r>
        <w:rPr>
          <w:kern w:val="0"/>
        </w:rPr>
        <w:t xml:space="preserve"> (1966 to March week 5, 2011), EMBASE (1980 to April 2011), </w:t>
      </w:r>
      <w:r w:rsidR="00D5664A">
        <w:rPr>
          <w:kern w:val="0"/>
        </w:rPr>
        <w:t>Web</w:t>
      </w:r>
      <w:r w:rsidR="00427468">
        <w:rPr>
          <w:kern w:val="0"/>
        </w:rPr>
        <w:t xml:space="preserve"> of </w:t>
      </w:r>
      <w:r w:rsidR="00D5664A">
        <w:rPr>
          <w:kern w:val="0"/>
        </w:rPr>
        <w:t>Science</w:t>
      </w:r>
      <w:r>
        <w:rPr>
          <w:kern w:val="0"/>
        </w:rPr>
        <w:t xml:space="preserve"> (2005 to 30 April 2011), AMED (1985 to 30 April 2011), Chinese Biomedical Database (1976 to 30 June 2011), VIP Information (1989 to 30 June 2011), China National Knowledge Infrastructure (CNKI) (1976 to 30 June 2011), Chinese Journals full-article database (1994 to 30 June 2011)</w:t>
      </w:r>
      <w:r w:rsidR="005853A9">
        <w:rPr>
          <w:kern w:val="0"/>
        </w:rPr>
        <w:t xml:space="preserve"> and </w:t>
      </w:r>
      <w:r>
        <w:rPr>
          <w:kern w:val="0"/>
        </w:rPr>
        <w:t>the m et a Register</w:t>
      </w:r>
      <w:r w:rsidR="00427468">
        <w:rPr>
          <w:kern w:val="0"/>
        </w:rPr>
        <w:t xml:space="preserve"> of </w:t>
      </w:r>
      <w:r>
        <w:rPr>
          <w:kern w:val="0"/>
        </w:rPr>
        <w:t>Controlled Trials for ongoing trials. Selection criteria Randomised controlled trials (RCTs)</w:t>
      </w:r>
      <w:r w:rsidR="00427468">
        <w:rPr>
          <w:kern w:val="0"/>
        </w:rPr>
        <w:t xml:space="preserve"> of </w:t>
      </w:r>
      <w:r>
        <w:rPr>
          <w:kern w:val="0"/>
        </w:rPr>
        <w:t>Chinese medicinal herbs in patients with measles (without complications). Data collection</w:t>
      </w:r>
      <w:r w:rsidR="005853A9">
        <w:rPr>
          <w:kern w:val="0"/>
        </w:rPr>
        <w:t xml:space="preserve"> and </w:t>
      </w:r>
      <w:r>
        <w:rPr>
          <w:kern w:val="0"/>
        </w:rPr>
        <w:t>analysis Two review authors (SC, TW) independently assessed trial quality</w:t>
      </w:r>
      <w:r w:rsidR="005853A9">
        <w:rPr>
          <w:kern w:val="0"/>
        </w:rPr>
        <w:t xml:space="preserve"> and </w:t>
      </w:r>
      <w:r>
        <w:rPr>
          <w:kern w:val="0"/>
        </w:rPr>
        <w:t>extracted data. We telephone interviewed the trial authors for missing information regarding participant allocation. Some trials allocated participants according to the sequence they were admitted to the trials, that is to say, by using a pseudo-random allocation method. None</w:t>
      </w:r>
      <w:r w:rsidR="00427468">
        <w:rPr>
          <w:kern w:val="0"/>
        </w:rPr>
        <w:t xml:space="preserve"> of </w:t>
      </w:r>
      <w:r>
        <w:rPr>
          <w:kern w:val="0"/>
        </w:rPr>
        <w:t>the trials concealed the allocation or used blinding methods. Main results We did not identify any suitable trials for inclusion. In this updated review we identified 80 trials which claimed to use random allocation. We contacted 32 trial authors by telephone</w:t>
      </w:r>
      <w:r w:rsidR="005853A9">
        <w:rPr>
          <w:kern w:val="0"/>
        </w:rPr>
        <w:t xml:space="preserve"> and </w:t>
      </w:r>
      <w:r>
        <w:rPr>
          <w:kern w:val="0"/>
        </w:rPr>
        <w:t>learned that the allocation methods used were not randomised. We excluded 34 studies because the participants experienced complications such as pneumonia. We excluded 10 trials because</w:t>
      </w:r>
      <w:r w:rsidR="00427468">
        <w:rPr>
          <w:kern w:val="0"/>
        </w:rPr>
        <w:t xml:space="preserve"> of </w:t>
      </w:r>
      <w:r>
        <w:rPr>
          <w:kern w:val="0"/>
        </w:rPr>
        <w:t>non-random allocation</w:t>
      </w:r>
      <w:r w:rsidR="005853A9">
        <w:rPr>
          <w:kern w:val="0"/>
        </w:rPr>
        <w:t xml:space="preserve"> and </w:t>
      </w:r>
      <w:r>
        <w:rPr>
          <w:kern w:val="0"/>
        </w:rPr>
        <w:t>complications experienced by the participants. We were unable to contact the remaining four trials</w:t>
      </w:r>
      <w:r w:rsidR="0071223E">
        <w:rPr>
          <w:kern w:val="0"/>
        </w:rPr>
        <w:t>’</w:t>
      </w:r>
      <w:r>
        <w:rPr>
          <w:kern w:val="0"/>
        </w:rPr>
        <w:t xml:space="preserve"> authors, so they require further assessment</w:t>
      </w:r>
      <w:r w:rsidR="005853A9">
        <w:rPr>
          <w:kern w:val="0"/>
        </w:rPr>
        <w:t xml:space="preserve"> and </w:t>
      </w:r>
      <w:r>
        <w:rPr>
          <w:kern w:val="0"/>
        </w:rPr>
        <w:t xml:space="preserve">have been allocated to the </w:t>
      </w:r>
      <w:r w:rsidR="0071223E">
        <w:rPr>
          <w:kern w:val="0"/>
        </w:rPr>
        <w:t>‘</w:t>
      </w:r>
      <w:r>
        <w:rPr>
          <w:kern w:val="0"/>
        </w:rPr>
        <w:t>Studies awaiting classification</w:t>
      </w:r>
      <w:r w:rsidR="0071223E">
        <w:rPr>
          <w:kern w:val="0"/>
        </w:rPr>
        <w:t>’</w:t>
      </w:r>
      <w:r>
        <w:rPr>
          <w:kern w:val="0"/>
        </w:rPr>
        <w:t xml:space="preserve"> section. Authors</w:t>
      </w:r>
      <w:r w:rsidR="0071223E">
        <w:rPr>
          <w:kern w:val="0"/>
        </w:rPr>
        <w:t>’</w:t>
      </w:r>
      <w:r>
        <w:rPr>
          <w:kern w:val="0"/>
        </w:rPr>
        <w:t xml:space="preserve"> conclusions There is no RCT evidence for or against Chinese medicinal herbs as a treatment for measles. We hope high-quality, robust RCTs in this field will be conducted in the future.</w:t>
      </w:r>
    </w:p>
    <w:p w:rsidR="00365DE4" w:rsidRDefault="00365DE4" w:rsidP="00365DE4">
      <w:pPr>
        <w:pStyle w:val="a3"/>
        <w:rPr>
          <w:kern w:val="0"/>
        </w:rPr>
      </w:pPr>
      <w:r>
        <w:rPr>
          <w:kern w:val="0"/>
        </w:rPr>
        <w:lastRenderedPageBreak/>
        <w:t xml:space="preserve">Keywords: Adult, Adverse Effects, Analysis, Assessment, Authors, Child, China, Cochrane, Complications, Database, Disease, Drugs, Chinese Herbal [Therapeutic Use], Effectiveness, Embase, Herbal, Humans, Information, Journals, Knowledge, Measles [Drug Therapy], </w:t>
      </w:r>
      <w:r w:rsidR="00D5664A">
        <w:rPr>
          <w:kern w:val="0"/>
        </w:rPr>
        <w:t>MEDLINE</w:t>
      </w:r>
      <w:r>
        <w:rPr>
          <w:kern w:val="0"/>
        </w:rPr>
        <w:t xml:space="preserve">, Patients, Physicians, Pneumonia, Quality, Review, Science, Search Strategy, Selection, Strategy, Symptoms,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Gur</w:t>
      </w:r>
      <w:r w:rsidR="00D5664A">
        <w:rPr>
          <w:kern w:val="0"/>
        </w:rPr>
        <w:t>USA</w:t>
      </w:r>
      <w:r>
        <w:rPr>
          <w:kern w:val="0"/>
        </w:rPr>
        <w:t>my, K.S., Naik, P.</w:t>
      </w:r>
      <w:r w:rsidR="005853A9">
        <w:rPr>
          <w:kern w:val="0"/>
        </w:rPr>
        <w:t xml:space="preserve"> and </w:t>
      </w:r>
      <w:r>
        <w:rPr>
          <w:kern w:val="0"/>
        </w:rPr>
        <w:t>Davidson, B.R. (2011), Methods</w:t>
      </w:r>
      <w:r w:rsidR="00427468">
        <w:rPr>
          <w:kern w:val="0"/>
        </w:rPr>
        <w:t xml:space="preserve"> of </w:t>
      </w:r>
      <w:r>
        <w:rPr>
          <w:kern w:val="0"/>
        </w:rPr>
        <w:t xml:space="preserve">decreasing infection to improve outcomes after liver resections.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CD006933.</w:t>
      </w:r>
    </w:p>
    <w:p w:rsidR="00365DE4" w:rsidRDefault="00365DE4" w:rsidP="00365DE4">
      <w:pPr>
        <w:pStyle w:val="a3"/>
        <w:rPr>
          <w:kern w:val="2"/>
        </w:rPr>
      </w:pPr>
      <w:r>
        <w:t xml:space="preserve">Full Text: </w:t>
      </w:r>
      <w:hyperlink r:id="rId695" w:history="1">
        <w:r>
          <w:rPr>
            <w:rStyle w:val="a5"/>
          </w:rPr>
          <w:t>2011\Coc Dat Sys Rev2011, CD006933.pdf</w:t>
        </w:r>
      </w:hyperlink>
    </w:p>
    <w:p w:rsidR="00365DE4" w:rsidRDefault="00365DE4" w:rsidP="00365DE4">
      <w:pPr>
        <w:pStyle w:val="a3"/>
        <w:rPr>
          <w:kern w:val="0"/>
        </w:rPr>
      </w:pPr>
      <w:r>
        <w:rPr>
          <w:kern w:val="0"/>
        </w:rPr>
        <w:t>Abstract: Background Infections cause both morbidity</w:t>
      </w:r>
      <w:r w:rsidR="005853A9">
        <w:rPr>
          <w:kern w:val="0"/>
        </w:rPr>
        <w:t xml:space="preserve"> and </w:t>
      </w:r>
      <w:r>
        <w:rPr>
          <w:kern w:val="0"/>
        </w:rPr>
        <w:t>mortality in patients undergoing liver resection. Various methods have been advocated to decrease the infectious complications after liver resection. We do not know if they are</w:t>
      </w:r>
      <w:r w:rsidR="00427468">
        <w:rPr>
          <w:kern w:val="0"/>
        </w:rPr>
        <w:t xml:space="preserve"> of </w:t>
      </w:r>
      <w:r>
        <w:rPr>
          <w:kern w:val="0"/>
        </w:rPr>
        <w:t>any benefit to the patient or the health-care funder. Objectives to determine the benefits</w:t>
      </w:r>
      <w:r w:rsidR="005853A9">
        <w:rPr>
          <w:kern w:val="0"/>
        </w:rPr>
        <w:t xml:space="preserve"> and </w:t>
      </w:r>
      <w:r>
        <w:rPr>
          <w:kern w:val="0"/>
        </w:rPr>
        <w:t>harms</w:t>
      </w:r>
      <w:r w:rsidR="00427468">
        <w:rPr>
          <w:kern w:val="0"/>
        </w:rPr>
        <w:t xml:space="preserve"> of </w:t>
      </w:r>
      <w:r>
        <w:rPr>
          <w:kern w:val="0"/>
        </w:rPr>
        <w:t>different interventions in decreasing the infectious complications</w:t>
      </w:r>
      <w:r w:rsidR="005853A9">
        <w:rPr>
          <w:kern w:val="0"/>
        </w:rPr>
        <w:t xml:space="preserve"> and </w:t>
      </w:r>
      <w:r>
        <w:rPr>
          <w:kern w:val="0"/>
        </w:rPr>
        <w:t>improving the outcomes after liver resection. Search strategy We searched the Cochrane Central Register</w:t>
      </w:r>
      <w:r w:rsidR="00427468">
        <w:rPr>
          <w:kern w:val="0"/>
        </w:rPr>
        <w:t xml:space="preserve"> of </w:t>
      </w:r>
      <w:r>
        <w:rPr>
          <w:kern w:val="0"/>
        </w:rPr>
        <w:t xml:space="preserve">Controlled Trials (CENTRAL) in The Cochrae Library, </w:t>
      </w:r>
      <w:r w:rsidR="00D5664A">
        <w:rPr>
          <w:kern w:val="0"/>
        </w:rPr>
        <w:t>MEDLINE</w:t>
      </w:r>
      <w:r>
        <w:rPr>
          <w:kern w:val="0"/>
        </w:rPr>
        <w:t>, EMBASE,</w:t>
      </w:r>
      <w:r w:rsidR="005853A9">
        <w:rPr>
          <w:kern w:val="0"/>
        </w:rPr>
        <w:t xml:space="preserve"> and </w:t>
      </w:r>
      <w:r>
        <w:rPr>
          <w:kern w:val="0"/>
        </w:rPr>
        <w:t>Science Citation Index Expanded until August 2011. Selection criteria We included all randomised clinical trials that were performed to compare interventions aimed at decreasing the infectious complications after liver resection. Data collection</w:t>
      </w:r>
      <w:r w:rsidR="005853A9">
        <w:rPr>
          <w:kern w:val="0"/>
        </w:rPr>
        <w:t xml:space="preserve"> and </w:t>
      </w:r>
      <w:r>
        <w:rPr>
          <w:kern w:val="0"/>
        </w:rPr>
        <w:t>analysis Two authors independently identified the trials</w:t>
      </w:r>
      <w:r w:rsidR="005853A9">
        <w:rPr>
          <w:kern w:val="0"/>
        </w:rPr>
        <w:t xml:space="preserve"> and </w:t>
      </w:r>
      <w:r>
        <w:rPr>
          <w:kern w:val="0"/>
        </w:rPr>
        <w:t>extracted the data. We analysed the data with both the fixed-effect</w:t>
      </w:r>
      <w:r w:rsidR="005853A9">
        <w:rPr>
          <w:kern w:val="0"/>
        </w:rPr>
        <w:t xml:space="preserve"> and </w:t>
      </w:r>
      <w:r>
        <w:rPr>
          <w:kern w:val="0"/>
        </w:rPr>
        <w:t>the random-effects model using RevMan Analysis. For each outcome we calculated the risk ratio (RR), rate ratio, or mean difference (MD) with 95% confidence intervals (CI) based on available patient data analysis. Main results We included seven trials including 521 patients for this review</w:t>
      </w:r>
      <w:r w:rsidR="00A37C1D">
        <w:rPr>
          <w:kern w:val="0"/>
        </w:rPr>
        <w:t>. The</w:t>
      </w:r>
      <w:r>
        <w:rPr>
          <w:kern w:val="0"/>
        </w:rPr>
        <w:t xml:space="preserve"> sample size in the trials varied from 12 to 180 patients. All the trials were</w:t>
      </w:r>
      <w:r w:rsidR="00427468">
        <w:rPr>
          <w:kern w:val="0"/>
        </w:rPr>
        <w:t xml:space="preserve"> of </w:t>
      </w:r>
      <w:r>
        <w:rPr>
          <w:kern w:val="0"/>
        </w:rPr>
        <w:t>high risks</w:t>
      </w:r>
      <w:r w:rsidR="00427468">
        <w:rPr>
          <w:kern w:val="0"/>
        </w:rPr>
        <w:t xml:space="preserve"> of </w:t>
      </w:r>
      <w:r>
        <w:rPr>
          <w:kern w:val="0"/>
        </w:rPr>
        <w:t>systematic errors</w:t>
      </w:r>
      <w:r w:rsidR="005853A9">
        <w:rPr>
          <w:kern w:val="0"/>
        </w:rPr>
        <w:t xml:space="preserve"> and</w:t>
      </w:r>
      <w:r w:rsidR="00427468">
        <w:rPr>
          <w:kern w:val="0"/>
        </w:rPr>
        <w:t xml:space="preserve"> of </w:t>
      </w:r>
      <w:r>
        <w:rPr>
          <w:kern w:val="0"/>
        </w:rPr>
        <w:t>random errors. Four trials included patients who underwent liver resection only. In the remaining three trials, patients underwent combined liver resection with extrahepatic biliary resection resulting in a biliary enteric anastomosis. Four trials included only major liver resection</w:t>
      </w:r>
      <w:r w:rsidR="00A37C1D">
        <w:rPr>
          <w:kern w:val="0"/>
        </w:rPr>
        <w:t>. The</w:t>
      </w:r>
      <w:r>
        <w:rPr>
          <w:kern w:val="0"/>
        </w:rPr>
        <w:t xml:space="preserve"> remaining three trials included a mixture</w:t>
      </w:r>
      <w:r w:rsidR="00427468">
        <w:rPr>
          <w:kern w:val="0"/>
        </w:rPr>
        <w:t xml:space="preserve"> of </w:t>
      </w:r>
      <w:r>
        <w:rPr>
          <w:kern w:val="0"/>
        </w:rPr>
        <w:t>major</w:t>
      </w:r>
      <w:r w:rsidR="005853A9">
        <w:rPr>
          <w:kern w:val="0"/>
        </w:rPr>
        <w:t xml:space="preserve"> and </w:t>
      </w:r>
      <w:r>
        <w:rPr>
          <w:kern w:val="0"/>
        </w:rPr>
        <w:t>minor liver resections. It appears that the proportion</w:t>
      </w:r>
      <w:r w:rsidR="00427468">
        <w:rPr>
          <w:kern w:val="0"/>
        </w:rPr>
        <w:t xml:space="preserve"> of </w:t>
      </w:r>
      <w:r>
        <w:rPr>
          <w:kern w:val="0"/>
        </w:rPr>
        <w:t>cirrhotic patients in the trials was very low</w:t>
      </w:r>
      <w:r w:rsidR="00A37C1D">
        <w:rPr>
          <w:kern w:val="0"/>
        </w:rPr>
        <w:t>. The</w:t>
      </w:r>
      <w:r>
        <w:rPr>
          <w:kern w:val="0"/>
        </w:rPr>
        <w:t xml:space="preserve"> comparisons performed included whether antibiotics are necessary routinely during the peri-operative period</w:t>
      </w:r>
      <w:r w:rsidR="00427468">
        <w:rPr>
          <w:kern w:val="0"/>
        </w:rPr>
        <w:t xml:space="preserve"> of </w:t>
      </w:r>
      <w:r>
        <w:rPr>
          <w:kern w:val="0"/>
        </w:rPr>
        <w:t>liver resection, the duration</w:t>
      </w:r>
      <w:r w:rsidR="00427468">
        <w:rPr>
          <w:kern w:val="0"/>
        </w:rPr>
        <w:t xml:space="preserve"> of </w:t>
      </w:r>
      <w:r>
        <w:rPr>
          <w:kern w:val="0"/>
        </w:rPr>
        <w:t>antibiotics, the use</w:t>
      </w:r>
      <w:r w:rsidR="00427468">
        <w:rPr>
          <w:kern w:val="0"/>
        </w:rPr>
        <w:t xml:space="preserve"> of </w:t>
      </w:r>
      <w:r>
        <w:rPr>
          <w:kern w:val="0"/>
        </w:rPr>
        <w:t>prebiotics</w:t>
      </w:r>
      <w:r w:rsidR="005853A9">
        <w:rPr>
          <w:kern w:val="0"/>
        </w:rPr>
        <w:t xml:space="preserve"> and </w:t>
      </w:r>
      <w:r>
        <w:rPr>
          <w:kern w:val="0"/>
        </w:rPr>
        <w:t>probiotics in the perioperative period, use</w:t>
      </w:r>
      <w:r w:rsidR="00427468">
        <w:rPr>
          <w:kern w:val="0"/>
        </w:rPr>
        <w:t xml:space="preserve"> of </w:t>
      </w:r>
      <w:r>
        <w:rPr>
          <w:kern w:val="0"/>
        </w:rPr>
        <w:t>recombinant bactericidal-permeability increasing protein 21 (rBPI21),</w:t>
      </w:r>
      <w:r w:rsidR="005853A9">
        <w:rPr>
          <w:kern w:val="0"/>
        </w:rPr>
        <w:t xml:space="preserve"> and </w:t>
      </w:r>
      <w:r>
        <w:rPr>
          <w:kern w:val="0"/>
        </w:rPr>
        <w:t>the use</w:t>
      </w:r>
      <w:r w:rsidR="00427468">
        <w:rPr>
          <w:kern w:val="0"/>
        </w:rPr>
        <w:t xml:space="preserve"> of </w:t>
      </w:r>
      <w:r>
        <w:rPr>
          <w:kern w:val="0"/>
        </w:rPr>
        <w:t>topical povidone iodine gel at the time</w:t>
      </w:r>
      <w:r w:rsidR="00427468">
        <w:rPr>
          <w:kern w:val="0"/>
        </w:rPr>
        <w:t xml:space="preserve"> of </w:t>
      </w:r>
      <w:r>
        <w:rPr>
          <w:kern w:val="0"/>
        </w:rPr>
        <w:t>wound closure. Only one or two trials were included under each comparison</w:t>
      </w:r>
      <w:r w:rsidR="00A37C1D">
        <w:rPr>
          <w:kern w:val="0"/>
        </w:rPr>
        <w:t>. The</w:t>
      </w:r>
      <w:r>
        <w:rPr>
          <w:kern w:val="0"/>
        </w:rPr>
        <w:t>re was no significant differences in mortality or severe morbidity in any</w:t>
      </w:r>
      <w:r w:rsidR="00427468">
        <w:rPr>
          <w:kern w:val="0"/>
        </w:rPr>
        <w:t xml:space="preserve"> of </w:t>
      </w:r>
      <w:r>
        <w:rPr>
          <w:kern w:val="0"/>
        </w:rPr>
        <w:t>the comparisons. Quality</w:t>
      </w:r>
      <w:r w:rsidR="00427468">
        <w:rPr>
          <w:kern w:val="0"/>
        </w:rPr>
        <w:t xml:space="preserve"> of </w:t>
      </w:r>
      <w:r>
        <w:rPr>
          <w:kern w:val="0"/>
        </w:rPr>
        <w:t>life was not reported in any</w:t>
      </w:r>
      <w:r w:rsidR="00427468">
        <w:rPr>
          <w:kern w:val="0"/>
        </w:rPr>
        <w:t xml:space="preserve"> of </w:t>
      </w:r>
      <w:r>
        <w:rPr>
          <w:kern w:val="0"/>
        </w:rPr>
        <w:lastRenderedPageBreak/>
        <w:t>the trials. Authors</w:t>
      </w:r>
      <w:r w:rsidR="0071223E">
        <w:rPr>
          <w:kern w:val="0"/>
        </w:rPr>
        <w:t>’</w:t>
      </w:r>
      <w:r>
        <w:rPr>
          <w:kern w:val="0"/>
        </w:rPr>
        <w:t xml:space="preserve"> conclusions There is currently no evidence to support or refute the use</w:t>
      </w:r>
      <w:r w:rsidR="00427468">
        <w:rPr>
          <w:kern w:val="0"/>
        </w:rPr>
        <w:t xml:space="preserve"> of </w:t>
      </w:r>
      <w:r>
        <w:rPr>
          <w:kern w:val="0"/>
        </w:rPr>
        <w:t>any treatment to reduce infectious complications after liver resections. Further well designed trials with low risk</w:t>
      </w:r>
      <w:r w:rsidR="00427468">
        <w:rPr>
          <w:kern w:val="0"/>
        </w:rPr>
        <w:t xml:space="preserve"> of </w:t>
      </w:r>
      <w:r>
        <w:rPr>
          <w:kern w:val="0"/>
        </w:rPr>
        <w:t>systematic error</w:t>
      </w:r>
      <w:r w:rsidR="005853A9">
        <w:rPr>
          <w:kern w:val="0"/>
        </w:rPr>
        <w:t xml:space="preserve"> and </w:t>
      </w:r>
      <w:r>
        <w:rPr>
          <w:kern w:val="0"/>
        </w:rPr>
        <w:t>low risk</w:t>
      </w:r>
      <w:r w:rsidR="00427468">
        <w:rPr>
          <w:kern w:val="0"/>
        </w:rPr>
        <w:t xml:space="preserve"> of </w:t>
      </w:r>
      <w:r>
        <w:rPr>
          <w:kern w:val="0"/>
        </w:rPr>
        <w:t>random errors are necessary.</w:t>
      </w:r>
    </w:p>
    <w:p w:rsidR="00365DE4" w:rsidRDefault="00365DE4" w:rsidP="00365DE4">
      <w:pPr>
        <w:pStyle w:val="a3"/>
        <w:rPr>
          <w:kern w:val="0"/>
        </w:rPr>
      </w:pPr>
      <w:r>
        <w:rPr>
          <w:kern w:val="0"/>
        </w:rPr>
        <w:t xml:space="preserve">Keywords: Analysis, Antibiotics, Authors, Bias, Biliary Cancer-Surgery, Citation, Clinical Trials, Clinical-Trials, Cochrane, Complications, Confidence Intervals, Differences, Embase, Empirical-Evidence, Gel, Health Care, Hepatic Resection, Increasing Protein Rbpi(21), Infection, Interventions, Low, </w:t>
      </w:r>
      <w:r w:rsidR="00D5664A">
        <w:rPr>
          <w:kern w:val="0"/>
        </w:rPr>
        <w:t>MEDLINE</w:t>
      </w:r>
      <w:r>
        <w:rPr>
          <w:kern w:val="0"/>
        </w:rPr>
        <w:t>, Metaanalysis, Methods, Model, Morbidity, Mortality, Outcome, Outcomes, Patients, Perioperative Synbiotic Treatment, Probiotics, Quality, Quality</w:t>
      </w:r>
      <w:r w:rsidR="00427468">
        <w:rPr>
          <w:kern w:val="0"/>
        </w:rPr>
        <w:t xml:space="preserve"> of </w:t>
      </w:r>
      <w:r>
        <w:rPr>
          <w:kern w:val="0"/>
        </w:rPr>
        <w:t>Life, Randomized Controlled-Trial, Ratio, Review, Risk, Science, Science Citation Index, Search Strategy, Selection, Strategy, Systematic, Treatment</w:t>
      </w:r>
    </w:p>
    <w:p w:rsidR="00365DE4" w:rsidRDefault="00365DE4" w:rsidP="00365DE4">
      <w:pPr>
        <w:pStyle w:val="a3"/>
        <w:rPr>
          <w:kern w:val="0"/>
        </w:rPr>
      </w:pPr>
      <w:r>
        <w:rPr>
          <w:kern w:val="0"/>
        </w:rPr>
        <w:t>? James, S., Montgomery, P.</w:t>
      </w:r>
      <w:r w:rsidR="005853A9">
        <w:rPr>
          <w:kern w:val="0"/>
        </w:rPr>
        <w:t xml:space="preserve"> and </w:t>
      </w:r>
      <w:r>
        <w:rPr>
          <w:kern w:val="0"/>
        </w:rPr>
        <w:t xml:space="preserve">Williams, K. (2011), Omega-3 fatty acids supplementation for autism spectrum disorders (ASD).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CD007992.</w:t>
      </w:r>
    </w:p>
    <w:p w:rsidR="00365DE4" w:rsidRDefault="00365DE4" w:rsidP="00365DE4">
      <w:pPr>
        <w:pStyle w:val="a3"/>
        <w:rPr>
          <w:kern w:val="2"/>
        </w:rPr>
      </w:pPr>
      <w:r>
        <w:t xml:space="preserve">Full Text: </w:t>
      </w:r>
      <w:hyperlink r:id="rId696" w:history="1">
        <w:r>
          <w:rPr>
            <w:rStyle w:val="a5"/>
          </w:rPr>
          <w:t>2011\Coc Dat Sys Rev2011, CD007992.pdf</w:t>
        </w:r>
      </w:hyperlink>
    </w:p>
    <w:p w:rsidR="00365DE4" w:rsidRDefault="00365DE4" w:rsidP="00365DE4">
      <w:pPr>
        <w:pStyle w:val="a3"/>
        <w:rPr>
          <w:kern w:val="0"/>
        </w:rPr>
      </w:pPr>
      <w:r>
        <w:rPr>
          <w:kern w:val="0"/>
        </w:rPr>
        <w:t>Abstract: Background It has been suggested that impairments associated with autism spectrum disorders (ASD) may be partially explained by deficits</w:t>
      </w:r>
      <w:r w:rsidR="00427468">
        <w:rPr>
          <w:kern w:val="0"/>
        </w:rPr>
        <w:t xml:space="preserve"> of </w:t>
      </w:r>
      <w:r>
        <w:rPr>
          <w:kern w:val="0"/>
        </w:rPr>
        <w:t>omega-3 fatty acids,</w:t>
      </w:r>
      <w:r w:rsidR="005853A9">
        <w:rPr>
          <w:kern w:val="0"/>
        </w:rPr>
        <w:t xml:space="preserve"> and </w:t>
      </w:r>
      <w:r>
        <w:rPr>
          <w:kern w:val="0"/>
        </w:rPr>
        <w:t>that supplementation</w:t>
      </w:r>
      <w:r w:rsidR="00427468">
        <w:rPr>
          <w:kern w:val="0"/>
        </w:rPr>
        <w:t xml:space="preserve"> of </w:t>
      </w:r>
      <w:r>
        <w:rPr>
          <w:kern w:val="0"/>
        </w:rPr>
        <w:t>these essential fatty acids may lead to improvement</w:t>
      </w:r>
      <w:r w:rsidR="00427468">
        <w:rPr>
          <w:kern w:val="0"/>
        </w:rPr>
        <w:t xml:space="preserve"> of </w:t>
      </w:r>
      <w:r>
        <w:rPr>
          <w:kern w:val="0"/>
        </w:rPr>
        <w:t>symptoms. Objectives to review the efficacy</w:t>
      </w:r>
      <w:r w:rsidR="00427468">
        <w:rPr>
          <w:kern w:val="0"/>
        </w:rPr>
        <w:t xml:space="preserve"> of </w:t>
      </w:r>
      <w:r>
        <w:rPr>
          <w:kern w:val="0"/>
        </w:rPr>
        <w:t>omega-3 fatty acids for improving core features</w:t>
      </w:r>
      <w:r w:rsidR="00427468">
        <w:rPr>
          <w:kern w:val="0"/>
        </w:rPr>
        <w:t xml:space="preserve"> of </w:t>
      </w:r>
      <w:r>
        <w:rPr>
          <w:kern w:val="0"/>
        </w:rPr>
        <w:t>ASD (for example, social interaction, communication,</w:t>
      </w:r>
      <w:r w:rsidR="005853A9">
        <w:rPr>
          <w:kern w:val="0"/>
        </w:rPr>
        <w:t xml:space="preserve"> and </w:t>
      </w:r>
      <w:r>
        <w:rPr>
          <w:kern w:val="0"/>
        </w:rPr>
        <w:t>stereotypies)</w:t>
      </w:r>
      <w:r w:rsidR="005853A9">
        <w:rPr>
          <w:kern w:val="0"/>
        </w:rPr>
        <w:t xml:space="preserve"> and </w:t>
      </w:r>
      <w:r>
        <w:rPr>
          <w:kern w:val="0"/>
        </w:rPr>
        <w:t xml:space="preserve">associated symptoms. Search strategy We searched the following databases on 2 June 2010: CENTRAL (2010, Issue 2), </w:t>
      </w:r>
      <w:r w:rsidR="00D5664A">
        <w:rPr>
          <w:kern w:val="0"/>
        </w:rPr>
        <w:t>MEDLINE</w:t>
      </w:r>
      <w:r>
        <w:rPr>
          <w:kern w:val="0"/>
        </w:rPr>
        <w:t xml:space="preserve"> (1950 to May Week 3 2010), EMBASE (1980 to 2010 Week 21), PsycINFO (1806 to current), BIOSIS (1985 to current), CINAHL (1982 to current), Science Citation Index (1970 to current), Social Science Citation Index (1970 to current), metaRegister</w:t>
      </w:r>
      <w:r w:rsidR="00427468">
        <w:rPr>
          <w:kern w:val="0"/>
        </w:rPr>
        <w:t xml:space="preserve"> of </w:t>
      </w:r>
      <w:r>
        <w:rPr>
          <w:kern w:val="0"/>
        </w:rPr>
        <w:t>Controlled Trials (20 November 2008)</w:t>
      </w:r>
      <w:r w:rsidR="005853A9">
        <w:rPr>
          <w:kern w:val="0"/>
        </w:rPr>
        <w:t xml:space="preserve"> and </w:t>
      </w:r>
      <w:r>
        <w:rPr>
          <w:kern w:val="0"/>
        </w:rPr>
        <w:t>ClinicalTrials.gov (10 December 2010). Dissertation Abstracts International was searched on 10 December 2008, but was no longer available to the authors or editorial base in 2010. Selection criteria All randomised controlled trials</w:t>
      </w:r>
      <w:r w:rsidR="00427468">
        <w:rPr>
          <w:kern w:val="0"/>
        </w:rPr>
        <w:t xml:space="preserve"> of </w:t>
      </w:r>
      <w:r>
        <w:rPr>
          <w:kern w:val="0"/>
        </w:rPr>
        <w:t>omega-3 fatty acids supplementation compared to placebo in individuals with ASD. Data collection</w:t>
      </w:r>
      <w:r w:rsidR="005853A9">
        <w:rPr>
          <w:kern w:val="0"/>
        </w:rPr>
        <w:t xml:space="preserve"> and </w:t>
      </w:r>
      <w:r>
        <w:rPr>
          <w:kern w:val="0"/>
        </w:rPr>
        <w:t>analysis Three authors independently selected studies, assessed them for risk</w:t>
      </w:r>
      <w:r w:rsidR="00427468">
        <w:rPr>
          <w:kern w:val="0"/>
        </w:rPr>
        <w:t xml:space="preserve"> of </w:t>
      </w:r>
      <w:r>
        <w:rPr>
          <w:kern w:val="0"/>
        </w:rPr>
        <w:t>bias</w:t>
      </w:r>
      <w:r w:rsidR="005853A9">
        <w:rPr>
          <w:kern w:val="0"/>
        </w:rPr>
        <w:t xml:space="preserve"> and </w:t>
      </w:r>
      <w:r>
        <w:rPr>
          <w:kern w:val="0"/>
        </w:rPr>
        <w:t>extracted relevant data. We conducted meta-analysis</w:t>
      </w:r>
      <w:r w:rsidR="00427468">
        <w:rPr>
          <w:kern w:val="0"/>
        </w:rPr>
        <w:t xml:space="preserve"> of </w:t>
      </w:r>
      <w:r>
        <w:rPr>
          <w:kern w:val="0"/>
        </w:rPr>
        <w:t>the included studies for three primary outcomes (social interaction, communication,</w:t>
      </w:r>
      <w:r w:rsidR="005853A9">
        <w:rPr>
          <w:kern w:val="0"/>
        </w:rPr>
        <w:t xml:space="preserve"> and </w:t>
      </w:r>
      <w:r>
        <w:rPr>
          <w:kern w:val="0"/>
        </w:rPr>
        <w:t>stereotypy)</w:t>
      </w:r>
      <w:r w:rsidR="005853A9">
        <w:rPr>
          <w:kern w:val="0"/>
        </w:rPr>
        <w:t xml:space="preserve"> and </w:t>
      </w:r>
      <w:r>
        <w:rPr>
          <w:kern w:val="0"/>
        </w:rPr>
        <w:t>one secondary outcome (hyperactivity). Main results We included two trials with a total</w:t>
      </w:r>
      <w:r w:rsidR="00427468">
        <w:rPr>
          <w:kern w:val="0"/>
        </w:rPr>
        <w:t xml:space="preserve"> of </w:t>
      </w:r>
      <w:r>
        <w:rPr>
          <w:kern w:val="0"/>
        </w:rPr>
        <w:t xml:space="preserve">37 children diagnosed with ASD who were randomised into groups that received either omega-3 fatty acids supplementation or a placebo. We excluded six trials because they were either non-randomised controlled trials, did not contain a control group, or the control group did not receive a placebo. Overall, there was no evidence that </w:t>
      </w:r>
      <w:r>
        <w:rPr>
          <w:kern w:val="0"/>
        </w:rPr>
        <w:lastRenderedPageBreak/>
        <w:t>omega-3 supplements had an effect on social interaction (mean difference (MD) 0.82, 95% confidence interval (CI) -2.84 to 4.48, I(2) = 0%), communication (MD 0.62, 95% CI -0.89 to 2.14, I(2) = 0%), stereotypy (MD 0.77, 95% CI -0.69 to 2.22, I(2) = 8%), or hyperactivity (MD 3.46, 95% CI -0.79 to 7.70, I(2) = 0%). Authors</w:t>
      </w:r>
      <w:r w:rsidR="0071223E">
        <w:rPr>
          <w:kern w:val="0"/>
        </w:rPr>
        <w:t>’</w:t>
      </w:r>
      <w:r>
        <w:rPr>
          <w:kern w:val="0"/>
        </w:rPr>
        <w:t xml:space="preserve"> conclusions to date there is no high quality evidence that omega-3 fatty acids supplementation is effective for improving core</w:t>
      </w:r>
      <w:r w:rsidR="005853A9">
        <w:rPr>
          <w:kern w:val="0"/>
        </w:rPr>
        <w:t xml:space="preserve"> and </w:t>
      </w:r>
      <w:r>
        <w:rPr>
          <w:kern w:val="0"/>
        </w:rPr>
        <w:t>associated symptoms</w:t>
      </w:r>
      <w:r w:rsidR="00427468">
        <w:rPr>
          <w:kern w:val="0"/>
        </w:rPr>
        <w:t xml:space="preserve"> of </w:t>
      </w:r>
      <w:r>
        <w:rPr>
          <w:kern w:val="0"/>
        </w:rPr>
        <w:t>ASD. Given the paucity</w:t>
      </w:r>
      <w:r w:rsidR="00427468">
        <w:rPr>
          <w:kern w:val="0"/>
        </w:rPr>
        <w:t xml:space="preserve"> of </w:t>
      </w:r>
      <w:r>
        <w:rPr>
          <w:kern w:val="0"/>
        </w:rPr>
        <w:t>rigorous studies in this area, there is a need for large well-conducted randomised controlled trials that examine both high</w:t>
      </w:r>
      <w:r w:rsidR="005853A9">
        <w:rPr>
          <w:kern w:val="0"/>
        </w:rPr>
        <w:t xml:space="preserve"> and </w:t>
      </w:r>
      <w:r>
        <w:rPr>
          <w:kern w:val="0"/>
        </w:rPr>
        <w:t>low functioning individuals with ASD,</w:t>
      </w:r>
      <w:r w:rsidR="005853A9">
        <w:rPr>
          <w:kern w:val="0"/>
        </w:rPr>
        <w:t xml:space="preserve"> and </w:t>
      </w:r>
      <w:r>
        <w:rPr>
          <w:kern w:val="0"/>
        </w:rPr>
        <w:t>that have longer follow-up periods.</w:t>
      </w:r>
    </w:p>
    <w:p w:rsidR="00365DE4" w:rsidRDefault="00365DE4" w:rsidP="00365DE4">
      <w:pPr>
        <w:pStyle w:val="a3"/>
        <w:rPr>
          <w:kern w:val="0"/>
        </w:rPr>
      </w:pPr>
      <w:r>
        <w:rPr>
          <w:kern w:val="0"/>
        </w:rPr>
        <w:t xml:space="preserve">Keywords: Adhd, Analysis, Authors, Autism, Bias, Children, Citation, Communication, Control, Controlled-Trial, Databases, Depressive Disorder, Double-Blind, Efficacy, Embase, Essential Fatty-Acids, Ethyl-Eicosapentaenoate, Fatty Acids, Follow-Up, International, Lead, Low, </w:t>
      </w:r>
      <w:r w:rsidR="00D5664A">
        <w:rPr>
          <w:kern w:val="0"/>
        </w:rPr>
        <w:t>MEDLINE</w:t>
      </w:r>
      <w:r>
        <w:rPr>
          <w:kern w:val="0"/>
        </w:rPr>
        <w:t>, Meta Analysis, Meta-Analysis, Omega-3, Outcome, Outcomes, Prevalence, Primary, Quality, Ratio, Review, Risk, Science, Science Citation Index, Search Strategy, Selection, Social, Social Science, Strategy, Supplements, Symptoms</w:t>
      </w:r>
    </w:p>
    <w:p w:rsidR="00365DE4" w:rsidRDefault="00365DE4" w:rsidP="00365DE4">
      <w:pPr>
        <w:pStyle w:val="a3"/>
        <w:rPr>
          <w:kern w:val="0"/>
        </w:rPr>
      </w:pPr>
      <w:r>
        <w:rPr>
          <w:kern w:val="0"/>
        </w:rPr>
        <w:t>? Johnston, B.C., Goldenberg, J.Z., Vandvik, P.O., Sun, X.</w:t>
      </w:r>
      <w:r w:rsidR="005853A9">
        <w:rPr>
          <w:kern w:val="0"/>
        </w:rPr>
        <w:t xml:space="preserve"> and </w:t>
      </w:r>
      <w:r>
        <w:rPr>
          <w:kern w:val="0"/>
        </w:rPr>
        <w:t>Guyatt, G.H. (2011), Probiotics for the prevention</w:t>
      </w:r>
      <w:r w:rsidR="00427468">
        <w:rPr>
          <w:kern w:val="0"/>
        </w:rPr>
        <w:t xml:space="preserve"> of </w:t>
      </w:r>
      <w:r>
        <w:rPr>
          <w:kern w:val="0"/>
        </w:rPr>
        <w:t xml:space="preserve">pediatric antibiotic-associated diarrhea.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CD004827.</w:t>
      </w:r>
    </w:p>
    <w:p w:rsidR="00365DE4" w:rsidRDefault="00365DE4" w:rsidP="00365DE4">
      <w:pPr>
        <w:pStyle w:val="a3"/>
        <w:rPr>
          <w:kern w:val="2"/>
        </w:rPr>
      </w:pPr>
      <w:r>
        <w:t xml:space="preserve">Full Text: </w:t>
      </w:r>
      <w:hyperlink r:id="rId697" w:history="1">
        <w:r>
          <w:rPr>
            <w:rStyle w:val="a5"/>
          </w:rPr>
          <w:t>2011\Coc Dat Sys Rev2011, CD004827.pdf</w:t>
        </w:r>
      </w:hyperlink>
    </w:p>
    <w:p w:rsidR="00365DE4" w:rsidRDefault="00365DE4" w:rsidP="00365DE4">
      <w:pPr>
        <w:pStyle w:val="a3"/>
        <w:rPr>
          <w:kern w:val="0"/>
        </w:rPr>
      </w:pPr>
      <w:r>
        <w:rPr>
          <w:kern w:val="0"/>
        </w:rPr>
        <w:t>Abstract: Background Antibiotics alter the microbial balance within the gastrointestinal tract. Probiotics may prevent antibiotic-associated diarrhea (AAD) via restoration</w:t>
      </w:r>
      <w:r w:rsidR="00427468">
        <w:rPr>
          <w:kern w:val="0"/>
        </w:rPr>
        <w:t xml:space="preserve"> of </w:t>
      </w:r>
      <w:r>
        <w:rPr>
          <w:kern w:val="0"/>
        </w:rPr>
        <w:t>the gut microflora. Antibiotics are prescribed frequently in children</w:t>
      </w:r>
      <w:r w:rsidR="005853A9">
        <w:rPr>
          <w:kern w:val="0"/>
        </w:rPr>
        <w:t xml:space="preserve"> and </w:t>
      </w:r>
      <w:r>
        <w:rPr>
          <w:kern w:val="0"/>
        </w:rPr>
        <w:t>AAD is common in this population. Objectives The primary objectives were to assess the efficacy</w:t>
      </w:r>
      <w:r w:rsidR="005853A9">
        <w:rPr>
          <w:kern w:val="0"/>
        </w:rPr>
        <w:t xml:space="preserve"> and </w:t>
      </w:r>
      <w:r>
        <w:rPr>
          <w:kern w:val="0"/>
        </w:rPr>
        <w:t>safety</w:t>
      </w:r>
      <w:r w:rsidR="00427468">
        <w:rPr>
          <w:kern w:val="0"/>
        </w:rPr>
        <w:t xml:space="preserve"> of </w:t>
      </w:r>
      <w:r>
        <w:rPr>
          <w:kern w:val="0"/>
        </w:rPr>
        <w:t>probiotics (any specified strain or dose) used for the prevention</w:t>
      </w:r>
      <w:r w:rsidR="00427468">
        <w:rPr>
          <w:kern w:val="0"/>
        </w:rPr>
        <w:t xml:space="preserve"> of </w:t>
      </w:r>
      <w:r>
        <w:rPr>
          <w:kern w:val="0"/>
        </w:rPr>
        <w:t xml:space="preserve">AAD in children. Search strategy </w:t>
      </w:r>
      <w:r w:rsidR="00D5664A">
        <w:rPr>
          <w:kern w:val="0"/>
        </w:rPr>
        <w:t>MEDLINE</w:t>
      </w:r>
      <w:r>
        <w:rPr>
          <w:kern w:val="0"/>
        </w:rPr>
        <w:t>, EMBASE, CENTRAL, CINAHL, AMED,</w:t>
      </w:r>
      <w:r w:rsidR="005853A9">
        <w:rPr>
          <w:kern w:val="0"/>
        </w:rPr>
        <w:t xml:space="preserve"> and </w:t>
      </w:r>
      <w:r>
        <w:rPr>
          <w:kern w:val="0"/>
        </w:rPr>
        <w:t xml:space="preserve">the </w:t>
      </w:r>
      <w:r w:rsidR="00D5664A">
        <w:rPr>
          <w:kern w:val="0"/>
        </w:rPr>
        <w:t>Web</w:t>
      </w:r>
      <w:r w:rsidR="00427468">
        <w:rPr>
          <w:kern w:val="0"/>
        </w:rPr>
        <w:t xml:space="preserve"> of </w:t>
      </w:r>
      <w:r w:rsidR="00D5664A">
        <w:rPr>
          <w:kern w:val="0"/>
        </w:rPr>
        <w:t>Science</w:t>
      </w:r>
      <w:r>
        <w:rPr>
          <w:kern w:val="0"/>
        </w:rPr>
        <w:t xml:space="preserve"> (inception to May 2010) were searched along with specialized registers including the Cochrane IBD/FBD review group, CISCOM (Centralized Information Service for Complementary Medicine), NHS Evidence, the International Bibliographic Information on Dietary Supplements as well as trial registries. Letters were sent to authors</w:t>
      </w:r>
      <w:r w:rsidR="00427468">
        <w:rPr>
          <w:kern w:val="0"/>
        </w:rPr>
        <w:t xml:space="preserve"> of </w:t>
      </w:r>
      <w:r>
        <w:rPr>
          <w:kern w:val="0"/>
        </w:rPr>
        <w:t>included trials, nutra/pharmaceutical companies,</w:t>
      </w:r>
      <w:r w:rsidR="005853A9">
        <w:rPr>
          <w:kern w:val="0"/>
        </w:rPr>
        <w:t xml:space="preserve"> and </w:t>
      </w:r>
      <w:r>
        <w:rPr>
          <w:kern w:val="0"/>
        </w:rPr>
        <w:t>experts in the field requesting additional information on ongoing or unpublished trials. Conference proceedings, dissertation abstracts,</w:t>
      </w:r>
      <w:r w:rsidR="005853A9">
        <w:rPr>
          <w:kern w:val="0"/>
        </w:rPr>
        <w:t xml:space="preserve"> and </w:t>
      </w:r>
      <w:r>
        <w:rPr>
          <w:kern w:val="0"/>
        </w:rPr>
        <w:t>reference lists from included</w:t>
      </w:r>
      <w:r w:rsidR="005853A9">
        <w:rPr>
          <w:kern w:val="0"/>
        </w:rPr>
        <w:t xml:space="preserve"> and </w:t>
      </w:r>
      <w:r>
        <w:rPr>
          <w:kern w:val="0"/>
        </w:rPr>
        <w:t>relevant articles were also searched. Selection criteria Randomized, parallel, controlled trials in children (0 to 18 years) receiving antibiotics, that compare probiotics to placebo, active alternative prophylaxis, or no treatment</w:t>
      </w:r>
      <w:r w:rsidR="005853A9">
        <w:rPr>
          <w:kern w:val="0"/>
        </w:rPr>
        <w:t xml:space="preserve"> and </w:t>
      </w:r>
      <w:r>
        <w:rPr>
          <w:kern w:val="0"/>
        </w:rPr>
        <w:t>measure the incidence</w:t>
      </w:r>
      <w:r w:rsidR="00427468">
        <w:rPr>
          <w:kern w:val="0"/>
        </w:rPr>
        <w:t xml:space="preserve"> of </w:t>
      </w:r>
      <w:r>
        <w:rPr>
          <w:kern w:val="0"/>
        </w:rPr>
        <w:t>diarrhea secondary to antibiotic use were considered for inclusion. Data collection</w:t>
      </w:r>
      <w:r w:rsidR="005853A9">
        <w:rPr>
          <w:kern w:val="0"/>
        </w:rPr>
        <w:t xml:space="preserve"> and </w:t>
      </w:r>
      <w:r>
        <w:rPr>
          <w:kern w:val="0"/>
        </w:rPr>
        <w:t>analysis Study selection, data extraction as well as methodological quality assessment using the risk</w:t>
      </w:r>
      <w:r w:rsidR="00427468">
        <w:rPr>
          <w:kern w:val="0"/>
        </w:rPr>
        <w:t xml:space="preserve"> of </w:t>
      </w:r>
      <w:r>
        <w:rPr>
          <w:kern w:val="0"/>
        </w:rPr>
        <w:t xml:space="preserve">bias instrument was </w:t>
      </w:r>
      <w:r>
        <w:rPr>
          <w:kern w:val="0"/>
        </w:rPr>
        <w:lastRenderedPageBreak/>
        <w:t>conducted independently</w:t>
      </w:r>
      <w:r w:rsidR="005853A9">
        <w:rPr>
          <w:kern w:val="0"/>
        </w:rPr>
        <w:t xml:space="preserve"> and </w:t>
      </w:r>
      <w:r>
        <w:rPr>
          <w:kern w:val="0"/>
        </w:rPr>
        <w:t>in duplicate by two authors. Dichotomous data (incidence</w:t>
      </w:r>
      <w:r w:rsidR="00427468">
        <w:rPr>
          <w:kern w:val="0"/>
        </w:rPr>
        <w:t xml:space="preserve"> of </w:t>
      </w:r>
      <w:r>
        <w:rPr>
          <w:kern w:val="0"/>
        </w:rPr>
        <w:t>diarrhea, adverse events) were combined using a pooled relative risk</w:t>
      </w:r>
      <w:r w:rsidR="005853A9">
        <w:rPr>
          <w:kern w:val="0"/>
        </w:rPr>
        <w:t xml:space="preserve"> and </w:t>
      </w:r>
      <w:r>
        <w:rPr>
          <w:kern w:val="0"/>
        </w:rPr>
        <w:t>risk difference (adverse events),</w:t>
      </w:r>
      <w:r w:rsidR="005853A9">
        <w:rPr>
          <w:kern w:val="0"/>
        </w:rPr>
        <w:t xml:space="preserve"> and </w:t>
      </w:r>
      <w:r>
        <w:rPr>
          <w:kern w:val="0"/>
        </w:rPr>
        <w:t>continuous data (mean duration</w:t>
      </w:r>
      <w:r w:rsidR="00427468">
        <w:rPr>
          <w:kern w:val="0"/>
        </w:rPr>
        <w:t xml:space="preserve"> of </w:t>
      </w:r>
      <w:r>
        <w:rPr>
          <w:kern w:val="0"/>
        </w:rPr>
        <w:t>diarrhea, mean daily stool frequency) as weighted mean differences, along with their corresponding 95% confidence intervals. For overall pooled results on the incidence</w:t>
      </w:r>
      <w:r w:rsidR="00427468">
        <w:rPr>
          <w:kern w:val="0"/>
        </w:rPr>
        <w:t xml:space="preserve"> of </w:t>
      </w:r>
      <w:r>
        <w:rPr>
          <w:kern w:val="0"/>
        </w:rPr>
        <w:t>diarrhea, sensitivity analyses included available case versus extreme-plausible analyses</w:t>
      </w:r>
      <w:r w:rsidR="005853A9">
        <w:rPr>
          <w:kern w:val="0"/>
        </w:rPr>
        <w:t xml:space="preserve"> and </w:t>
      </w:r>
      <w:r>
        <w:rPr>
          <w:kern w:val="0"/>
        </w:rPr>
        <w:t>random-versus fixed-effectmodels. to explore possible explanations for heterogeneity, a priori subgroup analysis were conducted on probiotic strain, dose, definition</w:t>
      </w:r>
      <w:r w:rsidR="00427468">
        <w:rPr>
          <w:kern w:val="0"/>
        </w:rPr>
        <w:t xml:space="preserve"> of </w:t>
      </w:r>
      <w:r>
        <w:rPr>
          <w:kern w:val="0"/>
        </w:rPr>
        <w:t>antibiotic-associated diarrhea, antibiotic agent as well as risk</w:t>
      </w:r>
      <w:r w:rsidR="00427468">
        <w:rPr>
          <w:kern w:val="0"/>
        </w:rPr>
        <w:t xml:space="preserve"> of </w:t>
      </w:r>
      <w:r>
        <w:rPr>
          <w:kern w:val="0"/>
        </w:rPr>
        <w:t>bias. Main results Sixteen studies (3432 participants) met the inclusion criteria. Trials included treatment with either Bacillus spp., Bifidobacterium spp., Lactobacilli spp., Lactococcus spp., Leuconostoc cremoris, Saccharomyces spp., or Streptococcus spp., alone or in combination. Nine studies used a single strain probiotic agent, four combined two probiotic strains, one combined three probiotic strains, one product included ten probiotic agents,</w:t>
      </w:r>
      <w:r w:rsidR="005853A9">
        <w:rPr>
          <w:kern w:val="0"/>
        </w:rPr>
        <w:t xml:space="preserve"> and </w:t>
      </w:r>
      <w:r>
        <w:rPr>
          <w:kern w:val="0"/>
        </w:rPr>
        <w:t>one study included two probiotic arms that used three</w:t>
      </w:r>
      <w:r w:rsidR="005853A9">
        <w:rPr>
          <w:kern w:val="0"/>
        </w:rPr>
        <w:t xml:space="preserve"> and </w:t>
      </w:r>
      <w:r>
        <w:rPr>
          <w:kern w:val="0"/>
        </w:rPr>
        <w:t>two strains respectively</w:t>
      </w:r>
      <w:r w:rsidR="00A37C1D">
        <w:rPr>
          <w:kern w:val="0"/>
        </w:rPr>
        <w:t>. The</w:t>
      </w:r>
      <w:r>
        <w:rPr>
          <w:kern w:val="0"/>
        </w:rPr>
        <w:t xml:space="preserve"> risk</w:t>
      </w:r>
      <w:r w:rsidR="00427468">
        <w:rPr>
          <w:kern w:val="0"/>
        </w:rPr>
        <w:t xml:space="preserve"> of </w:t>
      </w:r>
      <w:r>
        <w:rPr>
          <w:kern w:val="0"/>
        </w:rPr>
        <w:t>bias was determined to be high in 8 studies</w:t>
      </w:r>
      <w:r w:rsidR="005853A9">
        <w:rPr>
          <w:kern w:val="0"/>
        </w:rPr>
        <w:t xml:space="preserve"> and </w:t>
      </w:r>
      <w:r>
        <w:rPr>
          <w:kern w:val="0"/>
        </w:rPr>
        <w:t>low in 8 studies. Available case (patients who did not complete the studies were not included in the analysis) results from 15/16 trials reporting on the incidence</w:t>
      </w:r>
      <w:r w:rsidR="00427468">
        <w:rPr>
          <w:kern w:val="0"/>
        </w:rPr>
        <w:t xml:space="preserve"> of </w:t>
      </w:r>
      <w:r>
        <w:rPr>
          <w:kern w:val="0"/>
        </w:rPr>
        <w:t>diarrhea show a large, precise benefit from probiotics compared to active, placebo or no treatment control</w:t>
      </w:r>
      <w:r w:rsidR="00A37C1D">
        <w:rPr>
          <w:kern w:val="0"/>
        </w:rPr>
        <w:t>. The</w:t>
      </w:r>
      <w:r>
        <w:rPr>
          <w:kern w:val="0"/>
        </w:rPr>
        <w:t xml:space="preserve"> incidence</w:t>
      </w:r>
      <w:r w:rsidR="00427468">
        <w:rPr>
          <w:kern w:val="0"/>
        </w:rPr>
        <w:t xml:space="preserve"> of </w:t>
      </w:r>
      <w:r>
        <w:rPr>
          <w:kern w:val="0"/>
        </w:rPr>
        <w:t>AAD in the probiotic group was 9% compared to 18% in the control group (2874 participants; RR 0.52; 95% CI 0.38 to 0.72; I(2) = 56%). This benefit was not statistically significant in an extreme plausible (60%</w:t>
      </w:r>
      <w:r w:rsidR="00427468">
        <w:rPr>
          <w:kern w:val="0"/>
        </w:rPr>
        <w:t xml:space="preserve"> of </w:t>
      </w:r>
      <w:r>
        <w:rPr>
          <w:kern w:val="0"/>
        </w:rPr>
        <w:t>children loss to follow-up in probiotic group</w:t>
      </w:r>
      <w:r w:rsidR="005853A9">
        <w:rPr>
          <w:kern w:val="0"/>
        </w:rPr>
        <w:t xml:space="preserve"> and </w:t>
      </w:r>
      <w:r>
        <w:rPr>
          <w:kern w:val="0"/>
        </w:rPr>
        <w:t>20% loss to follow-up in the control group had diarrhea) intention to treat (ITT) sensitivity analysis</w:t>
      </w:r>
      <w:r w:rsidR="00A37C1D">
        <w:rPr>
          <w:kern w:val="0"/>
        </w:rPr>
        <w:t>. The</w:t>
      </w:r>
      <w:r>
        <w:rPr>
          <w:kern w:val="0"/>
        </w:rPr>
        <w:t xml:space="preserve"> incidence</w:t>
      </w:r>
      <w:r w:rsidR="00427468">
        <w:rPr>
          <w:kern w:val="0"/>
        </w:rPr>
        <w:t xml:space="preserve"> of </w:t>
      </w:r>
      <w:r>
        <w:rPr>
          <w:kern w:val="0"/>
        </w:rPr>
        <w:t>AAD in the probiotic group was 16% compared to 18% in the control group (3392 participants; RR 0.81; 95% CI 0.63 to 1.04; I(2) = 59%). An a priori available case subgroup analysis exploring heterogeneity indicated that high dose (&gt;= 5 billion CFUs/day) is more effective than low probiotic dose (&lt; 5 billion CFUs/day), interaction P value = 0.010. For the high dose studies the incidence</w:t>
      </w:r>
      <w:r w:rsidR="00427468">
        <w:rPr>
          <w:kern w:val="0"/>
        </w:rPr>
        <w:t xml:space="preserve"> of </w:t>
      </w:r>
      <w:r>
        <w:rPr>
          <w:kern w:val="0"/>
        </w:rPr>
        <w:t>AAD in the probiotic group was 8% compared to 22% in the control group (1474 participants; RR 0.40; 95% CI 0.29 to 0.55). For the low dose studies the incidence</w:t>
      </w:r>
      <w:r w:rsidR="00427468">
        <w:rPr>
          <w:kern w:val="0"/>
        </w:rPr>
        <w:t xml:space="preserve"> of </w:t>
      </w:r>
      <w:r>
        <w:rPr>
          <w:kern w:val="0"/>
        </w:rPr>
        <w:t>AAD in the probiotic group was 8% compared to 11% in the control group (1382 participants; RR 0.80; 95% CI 0.53 to 1.21). An extreme plausible ITT subgroup analysis was marginally significant for high dose probiotics. For the high dose studies the incidence</w:t>
      </w:r>
      <w:r w:rsidR="00427468">
        <w:rPr>
          <w:kern w:val="0"/>
        </w:rPr>
        <w:t xml:space="preserve"> of </w:t>
      </w:r>
      <w:r>
        <w:rPr>
          <w:kern w:val="0"/>
        </w:rPr>
        <w:t>AAD in the probiotic group was 17% compared to 22% in the control group (1776 participants; RR 0.72; 95% CI 0.53 to 0.99; I(2) = 58%). None</w:t>
      </w:r>
      <w:r w:rsidR="00427468">
        <w:rPr>
          <w:kern w:val="0"/>
        </w:rPr>
        <w:t xml:space="preserve"> of </w:t>
      </w:r>
      <w:r>
        <w:rPr>
          <w:kern w:val="0"/>
        </w:rPr>
        <w:t>the 11 trials (n = 1583) that reported on adverse events documented any serious adverse events. Meta-analysis excluded all but an extremely small non-significant difference in adverse events between treatment</w:t>
      </w:r>
      <w:r w:rsidR="005853A9">
        <w:rPr>
          <w:kern w:val="0"/>
        </w:rPr>
        <w:t xml:space="preserve"> and </w:t>
      </w:r>
      <w:r>
        <w:rPr>
          <w:kern w:val="0"/>
        </w:rPr>
        <w:t xml:space="preserve">control (RD 0.00; </w:t>
      </w:r>
      <w:r>
        <w:rPr>
          <w:kern w:val="0"/>
        </w:rPr>
        <w:lastRenderedPageBreak/>
        <w:t>95% CI -0.01 to 0.02). Authors</w:t>
      </w:r>
      <w:r w:rsidR="0071223E">
        <w:rPr>
          <w:kern w:val="0"/>
        </w:rPr>
        <w:t>’</w:t>
      </w:r>
      <w:r>
        <w:rPr>
          <w:kern w:val="0"/>
        </w:rPr>
        <w:t xml:space="preserve"> conclusions Despite heterogeneity in probiotic strain, dose,</w:t>
      </w:r>
      <w:r w:rsidR="005853A9">
        <w:rPr>
          <w:kern w:val="0"/>
        </w:rPr>
        <w:t xml:space="preserve"> and </w:t>
      </w:r>
      <w:r>
        <w:rPr>
          <w:kern w:val="0"/>
        </w:rPr>
        <w:t>duration, as well as in study quality, the overall evidence suggests a protective effect</w:t>
      </w:r>
      <w:r w:rsidR="00427468">
        <w:rPr>
          <w:kern w:val="0"/>
        </w:rPr>
        <w:t xml:space="preserve"> of </w:t>
      </w:r>
      <w:r>
        <w:rPr>
          <w:kern w:val="0"/>
        </w:rPr>
        <w:t>probiotics in preventing AAD. Using 11 criteria to evaluate the credibility</w:t>
      </w:r>
      <w:r w:rsidR="00427468">
        <w:rPr>
          <w:kern w:val="0"/>
        </w:rPr>
        <w:t xml:space="preserve"> of </w:t>
      </w:r>
      <w:r>
        <w:rPr>
          <w:kern w:val="0"/>
        </w:rPr>
        <w:t>the subgroup analysis on probiotic dose, the results indicate that the subgroup effect based on dose (&gt;= 5 billion CFU/day) was credible. Based on high-dose probiotics, the number needed to treat (NNT) to prevent one case</w:t>
      </w:r>
      <w:r w:rsidR="00427468">
        <w:rPr>
          <w:kern w:val="0"/>
        </w:rPr>
        <w:t xml:space="preserve"> of </w:t>
      </w:r>
      <w:r>
        <w:rPr>
          <w:kern w:val="0"/>
        </w:rPr>
        <w:t>diarrhea is seven (NNT 7; 95% CI 6 to 10). However, a GRADE analysis indicated that the overall quality</w:t>
      </w:r>
      <w:r w:rsidR="00427468">
        <w:rPr>
          <w:kern w:val="0"/>
        </w:rPr>
        <w:t xml:space="preserve"> of </w:t>
      </w:r>
      <w:r>
        <w:rPr>
          <w:kern w:val="0"/>
        </w:rPr>
        <w:t>the evidence for the primary endpoint (incidence</w:t>
      </w:r>
      <w:r w:rsidR="00427468">
        <w:rPr>
          <w:kern w:val="0"/>
        </w:rPr>
        <w:t xml:space="preserve"> of </w:t>
      </w:r>
      <w:r>
        <w:rPr>
          <w:kern w:val="0"/>
        </w:rPr>
        <w:t>diarrhea) was low due to issues with risk</w:t>
      </w:r>
      <w:r w:rsidR="00427468">
        <w:rPr>
          <w:kern w:val="0"/>
        </w:rPr>
        <w:t xml:space="preserve"> of </w:t>
      </w:r>
      <w:r>
        <w:rPr>
          <w:kern w:val="0"/>
        </w:rPr>
        <w:t>bias (due to high loss to follow-up)</w:t>
      </w:r>
      <w:r w:rsidR="005853A9">
        <w:rPr>
          <w:kern w:val="0"/>
        </w:rPr>
        <w:t xml:space="preserve"> and </w:t>
      </w:r>
      <w:r>
        <w:rPr>
          <w:kern w:val="0"/>
        </w:rPr>
        <w:t>imprecision (sparse data, 225 events)</w:t>
      </w:r>
      <w:r w:rsidR="00A37C1D">
        <w:rPr>
          <w:kern w:val="0"/>
        </w:rPr>
        <w:t>. The</w:t>
      </w:r>
      <w:r>
        <w:rPr>
          <w:kern w:val="0"/>
        </w:rPr>
        <w:t xml:space="preserve"> benefit for high dose probiotics (Lactobacillus rhamnosus or Saccharomyces boulardii) needs to be confirmed by a large well-designed randomized trial. More refined trials are also needed that test strain specific probiotics</w:t>
      </w:r>
      <w:r w:rsidR="005853A9">
        <w:rPr>
          <w:kern w:val="0"/>
        </w:rPr>
        <w:t xml:space="preserve"> and </w:t>
      </w:r>
      <w:r>
        <w:rPr>
          <w:kern w:val="0"/>
        </w:rPr>
        <w:t>evaluate the efficacy (e.g. incidence</w:t>
      </w:r>
      <w:r w:rsidR="005853A9">
        <w:rPr>
          <w:kern w:val="0"/>
        </w:rPr>
        <w:t xml:space="preserve"> and </w:t>
      </w:r>
      <w:r>
        <w:rPr>
          <w:kern w:val="0"/>
        </w:rPr>
        <w:t>duration</w:t>
      </w:r>
      <w:r w:rsidR="00427468">
        <w:rPr>
          <w:kern w:val="0"/>
        </w:rPr>
        <w:t xml:space="preserve"> of </w:t>
      </w:r>
      <w:r>
        <w:rPr>
          <w:kern w:val="0"/>
        </w:rPr>
        <w:t>diarrhea)</w:t>
      </w:r>
      <w:r w:rsidR="005853A9">
        <w:rPr>
          <w:kern w:val="0"/>
        </w:rPr>
        <w:t xml:space="preserve"> and </w:t>
      </w:r>
      <w:r>
        <w:rPr>
          <w:kern w:val="0"/>
        </w:rPr>
        <w:t>safety</w:t>
      </w:r>
      <w:r w:rsidR="00427468">
        <w:rPr>
          <w:kern w:val="0"/>
        </w:rPr>
        <w:t xml:space="preserve"> of </w:t>
      </w:r>
      <w:r>
        <w:rPr>
          <w:kern w:val="0"/>
        </w:rPr>
        <w:t>probiotics with limited losses to follow-up. It is premature to draw conclusions about the efficacy</w:t>
      </w:r>
      <w:r w:rsidR="005853A9">
        <w:rPr>
          <w:kern w:val="0"/>
        </w:rPr>
        <w:t xml:space="preserve"> and </w:t>
      </w:r>
      <w:r>
        <w:rPr>
          <w:kern w:val="0"/>
        </w:rPr>
        <w:t>safety</w:t>
      </w:r>
      <w:r w:rsidR="00427468">
        <w:rPr>
          <w:kern w:val="0"/>
        </w:rPr>
        <w:t xml:space="preserve"> of </w:t>
      </w:r>
      <w:r>
        <w:rPr>
          <w:kern w:val="0"/>
        </w:rPr>
        <w:t>other probiotic agents for pediatric AAD. Future trials would benefit from a standard</w:t>
      </w:r>
      <w:r w:rsidR="005853A9">
        <w:rPr>
          <w:kern w:val="0"/>
        </w:rPr>
        <w:t xml:space="preserve"> and </w:t>
      </w:r>
      <w:r>
        <w:rPr>
          <w:kern w:val="0"/>
        </w:rPr>
        <w:t>valid outcomes to measure AAD.</w:t>
      </w:r>
    </w:p>
    <w:p w:rsidR="00365DE4" w:rsidRDefault="00365DE4" w:rsidP="00365DE4">
      <w:pPr>
        <w:pStyle w:val="a3"/>
        <w:rPr>
          <w:kern w:val="0"/>
        </w:rPr>
      </w:pPr>
      <w:r>
        <w:rPr>
          <w:kern w:val="0"/>
        </w:rPr>
        <w:t xml:space="preserve">Keywords: Adolescent, Adverse Events, Alternative, Analysis, Anti-Bacterial Agents [Adverse Effects], Antibiotic, Antibiotics, Assessment, Authors, Bacillus, Balance, Bias, Bibliographic, Child, Child,Preschool, Children, Clostridium-Difficile, Cochrane, Conference, Confidence Intervals, Control, Diarrhea [Chemically Induced, Differences, Double-Blind, Efficacy, Embase, Extraction, Female, Follow-Up, Frequency, Gastrointestinal, Grade, Helicobacter-Pylori Eradication, Humans, Incidence, Infant, Information, International, Lactobacillus-Gg, Loss to Follow-Up, Low, Male, </w:t>
      </w:r>
      <w:r w:rsidR="00D5664A">
        <w:rPr>
          <w:kern w:val="0"/>
        </w:rPr>
        <w:t>MEDLINE</w:t>
      </w:r>
      <w:r>
        <w:rPr>
          <w:kern w:val="0"/>
        </w:rPr>
        <w:t xml:space="preserve">, Meta Analysis, Meta-Analysis, Necrotizing Enterocolitis, Outcomes, Patients, Pediatric, Placebo-Controlled Trial, Prevention, Prevention &amp; Control], Primary, Probiotic, Probiotics, Probiotics [Therapeutic Use], Prophylaxis, Publication Bias, Quality, Randomized Controlled Trials As Topic, Randomized Controlled-Trials, Relative Risk, Restoration, Review, Risk, Risk-Factors, Saccharomyces-Boulardii, Safety, Science, Search Strategy, Selection, Sensitivity, Serious Adverse Events, Strategy, Tract,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Mcgee, R.G., Bakens, A., Wiley, K., Riordan, S.M.</w:t>
      </w:r>
      <w:r w:rsidR="005853A9">
        <w:rPr>
          <w:kern w:val="0"/>
        </w:rPr>
        <w:t xml:space="preserve"> and </w:t>
      </w:r>
      <w:r>
        <w:rPr>
          <w:kern w:val="0"/>
        </w:rPr>
        <w:t xml:space="preserve">Webster, A.C. (2011), Probiotics for patients with hepatic encephalopathy.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CD008716.</w:t>
      </w:r>
    </w:p>
    <w:p w:rsidR="00365DE4" w:rsidRDefault="00365DE4" w:rsidP="00365DE4">
      <w:pPr>
        <w:pStyle w:val="a3"/>
        <w:rPr>
          <w:kern w:val="2"/>
        </w:rPr>
      </w:pPr>
      <w:r>
        <w:t xml:space="preserve">Full Text: </w:t>
      </w:r>
      <w:hyperlink r:id="rId698" w:history="1">
        <w:r>
          <w:rPr>
            <w:rStyle w:val="a5"/>
          </w:rPr>
          <w:t>2011\Coc Dat Sys Rev2011, CD008716.pdf</w:t>
        </w:r>
      </w:hyperlink>
    </w:p>
    <w:p w:rsidR="00365DE4" w:rsidRDefault="00365DE4" w:rsidP="00365DE4">
      <w:pPr>
        <w:pStyle w:val="a3"/>
        <w:rPr>
          <w:kern w:val="0"/>
        </w:rPr>
      </w:pPr>
      <w:r>
        <w:rPr>
          <w:kern w:val="0"/>
        </w:rPr>
        <w:t>Abstract: Background Hepatic encephalopathy is a disorder</w:t>
      </w:r>
      <w:r w:rsidR="00427468">
        <w:rPr>
          <w:kern w:val="0"/>
        </w:rPr>
        <w:t xml:space="preserve"> of </w:t>
      </w:r>
      <w:r>
        <w:rPr>
          <w:kern w:val="0"/>
        </w:rPr>
        <w:t>brain function as a result</w:t>
      </w:r>
      <w:r w:rsidR="00427468">
        <w:rPr>
          <w:kern w:val="0"/>
        </w:rPr>
        <w:t xml:space="preserve"> of </w:t>
      </w:r>
      <w:r>
        <w:rPr>
          <w:kern w:val="0"/>
        </w:rPr>
        <w:t>liver failure and/or portosystemic shunt. Both hepatic encephalopathy (clinically overt)</w:t>
      </w:r>
      <w:r w:rsidR="005853A9">
        <w:rPr>
          <w:kern w:val="0"/>
        </w:rPr>
        <w:t xml:space="preserve"> and </w:t>
      </w:r>
      <w:r>
        <w:rPr>
          <w:kern w:val="0"/>
        </w:rPr>
        <w:t>minimal hepatic encephalopathy (not clinically overt) significantly impair patient</w:t>
      </w:r>
      <w:r w:rsidR="0071223E">
        <w:rPr>
          <w:kern w:val="0"/>
        </w:rPr>
        <w:t>’</w:t>
      </w:r>
      <w:r>
        <w:rPr>
          <w:kern w:val="0"/>
        </w:rPr>
        <w:t>s quality</w:t>
      </w:r>
      <w:r w:rsidR="00427468">
        <w:rPr>
          <w:kern w:val="0"/>
        </w:rPr>
        <w:t xml:space="preserve"> of </w:t>
      </w:r>
      <w:r>
        <w:rPr>
          <w:kern w:val="0"/>
        </w:rPr>
        <w:t>life</w:t>
      </w:r>
      <w:r w:rsidR="005853A9">
        <w:rPr>
          <w:kern w:val="0"/>
        </w:rPr>
        <w:t xml:space="preserve"> and </w:t>
      </w:r>
      <w:r>
        <w:rPr>
          <w:kern w:val="0"/>
        </w:rPr>
        <w:t>daily functioning</w:t>
      </w:r>
      <w:r w:rsidR="005853A9">
        <w:rPr>
          <w:kern w:val="0"/>
        </w:rPr>
        <w:t xml:space="preserve"> and </w:t>
      </w:r>
      <w:r>
        <w:rPr>
          <w:kern w:val="0"/>
        </w:rPr>
        <w:t xml:space="preserve">represent a significant burden on </w:t>
      </w:r>
      <w:r>
        <w:rPr>
          <w:kern w:val="0"/>
        </w:rPr>
        <w:lastRenderedPageBreak/>
        <w:t>health care resources. Probiotics are live microorganisms, which when administered in adequate amounts may confer a health benefit on the host. Objectives to quantify the beneficial</w:t>
      </w:r>
      <w:r w:rsidR="005853A9">
        <w:rPr>
          <w:kern w:val="0"/>
        </w:rPr>
        <w:t xml:space="preserve"> and </w:t>
      </w:r>
      <w:r>
        <w:rPr>
          <w:kern w:val="0"/>
        </w:rPr>
        <w:t>harmful effects</w:t>
      </w:r>
      <w:r w:rsidR="00427468">
        <w:rPr>
          <w:kern w:val="0"/>
        </w:rPr>
        <w:t xml:space="preserve"> of </w:t>
      </w:r>
      <w:r>
        <w:rPr>
          <w:kern w:val="0"/>
        </w:rPr>
        <w:t>any probiotic in any dosage, compared with placebo or no intervention, or with any other treatment for patients with any grade</w:t>
      </w:r>
      <w:r w:rsidR="00427468">
        <w:rPr>
          <w:kern w:val="0"/>
        </w:rPr>
        <w:t xml:space="preserve"> of </w:t>
      </w:r>
      <w:r>
        <w:rPr>
          <w:kern w:val="0"/>
        </w:rPr>
        <w:t>acute or chronic hepatic encephalopathy as assessed from randomised trials. Search strategy We searched the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conference proceedings, reference lists</w:t>
      </w:r>
      <w:r w:rsidR="00427468">
        <w:rPr>
          <w:kern w:val="0"/>
        </w:rPr>
        <w:t xml:space="preserve"> of </w:t>
      </w:r>
      <w:r>
        <w:rPr>
          <w:kern w:val="0"/>
        </w:rPr>
        <w:t>included trials</w:t>
      </w:r>
      <w:r w:rsidR="005853A9">
        <w:rPr>
          <w:kern w:val="0"/>
        </w:rPr>
        <w:t xml:space="preserve"> and </w:t>
      </w:r>
      <w:r>
        <w:rPr>
          <w:kern w:val="0"/>
        </w:rPr>
        <w:t>the WHO international clinical trials registry until April 2011 registry platform to identify new</w:t>
      </w:r>
      <w:r w:rsidR="005853A9">
        <w:rPr>
          <w:kern w:val="0"/>
        </w:rPr>
        <w:t xml:space="preserve"> and </w:t>
      </w:r>
      <w:r>
        <w:rPr>
          <w:kern w:val="0"/>
        </w:rPr>
        <w:t>ongoing trials. Selection criteria We included randomised trials that compared probiotics in any dosage with placebo or no intervention, or with any other treatment in patients with hepatic encephalopathy. Data collection</w:t>
      </w:r>
      <w:r w:rsidR="005853A9">
        <w:rPr>
          <w:kern w:val="0"/>
        </w:rPr>
        <w:t xml:space="preserve"> and </w:t>
      </w:r>
      <w:r>
        <w:rPr>
          <w:kern w:val="0"/>
        </w:rPr>
        <w:t>analysis Three authors independently assessed the risk</w:t>
      </w:r>
      <w:r w:rsidR="00427468">
        <w:rPr>
          <w:kern w:val="0"/>
        </w:rPr>
        <w:t xml:space="preserve"> of </w:t>
      </w:r>
      <w:r>
        <w:rPr>
          <w:kern w:val="0"/>
        </w:rPr>
        <w:t>bias</w:t>
      </w:r>
      <w:r w:rsidR="00427468">
        <w:rPr>
          <w:kern w:val="0"/>
        </w:rPr>
        <w:t xml:space="preserve"> of </w:t>
      </w:r>
      <w:r>
        <w:rPr>
          <w:kern w:val="0"/>
        </w:rPr>
        <w:t>the included trials</w:t>
      </w:r>
      <w:r w:rsidR="005853A9">
        <w:rPr>
          <w:kern w:val="0"/>
        </w:rPr>
        <w:t xml:space="preserve"> and </w:t>
      </w:r>
      <w:r>
        <w:rPr>
          <w:kern w:val="0"/>
        </w:rPr>
        <w:t>extracted data on relevant outcomes, with differences resolved by consensus. We conducted random-effects model meta-analysis due to obvious heterogeneity</w:t>
      </w:r>
      <w:r w:rsidR="00427468">
        <w:rPr>
          <w:kern w:val="0"/>
        </w:rPr>
        <w:t xml:space="preserve"> of </w:t>
      </w:r>
      <w:r>
        <w:rPr>
          <w:kern w:val="0"/>
        </w:rPr>
        <w:t>patients</w:t>
      </w:r>
      <w:r w:rsidR="005853A9">
        <w:rPr>
          <w:kern w:val="0"/>
        </w:rPr>
        <w:t xml:space="preserve"> and </w:t>
      </w:r>
      <w:r>
        <w:rPr>
          <w:kern w:val="0"/>
        </w:rPr>
        <w:t>interventions. A P value</w:t>
      </w:r>
      <w:r w:rsidR="00427468">
        <w:rPr>
          <w:kern w:val="0"/>
        </w:rPr>
        <w:t xml:space="preserve"> of </w:t>
      </w:r>
      <w:r>
        <w:rPr>
          <w:kern w:val="0"/>
        </w:rPr>
        <w:t>0.05 or less was defined as significant. Dichotomous outcomes are expressed as risk ratio (RR)</w:t>
      </w:r>
      <w:r w:rsidR="005853A9">
        <w:rPr>
          <w:kern w:val="0"/>
        </w:rPr>
        <w:t xml:space="preserve"> and </w:t>
      </w:r>
      <w:r>
        <w:rPr>
          <w:kern w:val="0"/>
        </w:rPr>
        <w:t>continuous outcomes as mean difference (MD) with 95% confidence intervals (CI). Main results We included seven trials</w:t>
      </w:r>
      <w:r w:rsidR="00427468">
        <w:rPr>
          <w:kern w:val="0"/>
        </w:rPr>
        <w:t xml:space="preserve"> of </w:t>
      </w:r>
      <w:r>
        <w:rPr>
          <w:kern w:val="0"/>
        </w:rPr>
        <w:t>which 550 participants were randomised. Four</w:t>
      </w:r>
      <w:r w:rsidR="00427468">
        <w:rPr>
          <w:kern w:val="0"/>
        </w:rPr>
        <w:t xml:space="preserve"> of </w:t>
      </w:r>
      <w:r>
        <w:rPr>
          <w:kern w:val="0"/>
        </w:rPr>
        <w:t>the seven trials compared a probiotic with placebo or no treatment in 245 participants, another trial compared a probiotic with lactulose in 40 participants,</w:t>
      </w:r>
      <w:r w:rsidR="005853A9">
        <w:rPr>
          <w:kern w:val="0"/>
        </w:rPr>
        <w:t xml:space="preserve"> and </w:t>
      </w:r>
      <w:r>
        <w:rPr>
          <w:kern w:val="0"/>
        </w:rPr>
        <w:t>the remaining two trials compared a probiotic with both placebo</w:t>
      </w:r>
      <w:r w:rsidR="005853A9">
        <w:rPr>
          <w:kern w:val="0"/>
        </w:rPr>
        <w:t xml:space="preserve"> and </w:t>
      </w:r>
      <w:r>
        <w:rPr>
          <w:kern w:val="0"/>
        </w:rPr>
        <w:t>lactulose in 265 participants. Each trial used different types</w:t>
      </w:r>
      <w:r w:rsidR="00427468">
        <w:rPr>
          <w:kern w:val="0"/>
        </w:rPr>
        <w:t xml:space="preserve"> of </w:t>
      </w:r>
      <w:r>
        <w:rPr>
          <w:kern w:val="0"/>
        </w:rPr>
        <w:t>probiotics. Duration</w:t>
      </w:r>
      <w:r w:rsidR="00427468">
        <w:rPr>
          <w:kern w:val="0"/>
        </w:rPr>
        <w:t xml:space="preserve"> of </w:t>
      </w:r>
      <w:r>
        <w:rPr>
          <w:kern w:val="0"/>
        </w:rPr>
        <w:t>administration</w:t>
      </w:r>
      <w:r w:rsidR="00427468">
        <w:rPr>
          <w:kern w:val="0"/>
        </w:rPr>
        <w:t xml:space="preserve"> of </w:t>
      </w:r>
      <w:r>
        <w:rPr>
          <w:kern w:val="0"/>
        </w:rPr>
        <w:t>the experimental intervention varied from 10 days to 180 days. Two trials were industry funded,</w:t>
      </w:r>
      <w:r w:rsidR="005853A9">
        <w:rPr>
          <w:kern w:val="0"/>
        </w:rPr>
        <w:t xml:space="preserve"> and </w:t>
      </w:r>
      <w:r>
        <w:rPr>
          <w:kern w:val="0"/>
        </w:rPr>
        <w:t>five were unclear about origin</w:t>
      </w:r>
      <w:r w:rsidR="00427468">
        <w:rPr>
          <w:kern w:val="0"/>
        </w:rPr>
        <w:t xml:space="preserve"> of </w:t>
      </w:r>
      <w:r>
        <w:rPr>
          <w:kern w:val="0"/>
        </w:rPr>
        <w:t>funding. All trials had high risk</w:t>
      </w:r>
      <w:r w:rsidR="00427468">
        <w:rPr>
          <w:kern w:val="0"/>
        </w:rPr>
        <w:t xml:space="preserve"> of </w:t>
      </w:r>
      <w:r>
        <w:rPr>
          <w:kern w:val="0"/>
        </w:rPr>
        <w:t>bias. When probiotics were compared with no treatment, there was no significant difference in all-cause mortality (2 trials, 105 participants; 1/57 (2%) versus 1/48 (2%): RR 0.72; 95% CI 0.08 to 6.60), lack</w:t>
      </w:r>
      <w:r w:rsidR="00427468">
        <w:rPr>
          <w:kern w:val="0"/>
        </w:rPr>
        <w:t xml:space="preserve"> of </w:t>
      </w:r>
      <w:r>
        <w:rPr>
          <w:kern w:val="0"/>
        </w:rPr>
        <w:t>recovery (4 trials, 206 participants; 54/107 (50%) versus 68/99 (69%): RR 0.72; 95% CI 0.49 to 1.05), adverse events (3 trials, 145 participants; 2/77 (3%) versus 6/68 (9%): RR 0.34; 95% CI 0.08 to 1.42), quality</w:t>
      </w:r>
      <w:r w:rsidR="00427468">
        <w:rPr>
          <w:kern w:val="0"/>
        </w:rPr>
        <w:t xml:space="preserve"> of </w:t>
      </w:r>
      <w:r>
        <w:rPr>
          <w:kern w:val="0"/>
        </w:rPr>
        <w:t>life (1 trial, 20 participants contributed to the physical quality</w:t>
      </w:r>
      <w:r w:rsidR="00427468">
        <w:rPr>
          <w:kern w:val="0"/>
        </w:rPr>
        <w:t xml:space="preserve"> of </w:t>
      </w:r>
      <w:r>
        <w:rPr>
          <w:kern w:val="0"/>
        </w:rPr>
        <w:t>life measurement, 20 participants contributed to the mental quality</w:t>
      </w:r>
      <w:r w:rsidR="00427468">
        <w:rPr>
          <w:kern w:val="0"/>
        </w:rPr>
        <w:t xml:space="preserve"> of </w:t>
      </w:r>
      <w:r>
        <w:rPr>
          <w:kern w:val="0"/>
        </w:rPr>
        <w:t>life: MD Physical 0.00; 95% CI -5.47 to 5.47; MD Mental 4.00; 95% CI -1.82 to 9.82), or change of/or withdrawal from treatment (3 trials, 175 participants; 11/92 (12%) versus 7/83 (8%): RR 1.28; 95% CI 0.52 to 3.19). No trial reported sepsis or duration</w:t>
      </w:r>
      <w:r w:rsidR="00427468">
        <w:rPr>
          <w:kern w:val="0"/>
        </w:rPr>
        <w:t xml:space="preserve"> of </w:t>
      </w:r>
      <w:r>
        <w:rPr>
          <w:kern w:val="0"/>
        </w:rPr>
        <w:t xml:space="preserve">hospital stay as an outcome. Plasma ammonia concentration was significantly lower for participants treated with probiotic at one month (3 trials, 226 participants: MD -2.99 mu mol/L; 95% CI -5.70 to -0.29) but not at two months (3 trials, 181 participants: MD -1.82 </w:t>
      </w:r>
      <w:r>
        <w:rPr>
          <w:kern w:val="0"/>
        </w:rPr>
        <w:lastRenderedPageBreak/>
        <w:t>mu mol/L; 95% CI -14.04 to 10.41). Plasma ammonia decreased the most in the participants treated with probiotic at three months (1 trial, 73 participants: MD -6.79 mu mol/L; 95% CI -10.39 to -3.19). When probiotics were compared with lactulose no trial reported all-cause mortality, quality</w:t>
      </w:r>
      <w:r w:rsidR="00427468">
        <w:rPr>
          <w:kern w:val="0"/>
        </w:rPr>
        <w:t xml:space="preserve"> of </w:t>
      </w:r>
      <w:r>
        <w:rPr>
          <w:kern w:val="0"/>
        </w:rPr>
        <w:t>life, duration</w:t>
      </w:r>
      <w:r w:rsidR="00427468">
        <w:rPr>
          <w:kern w:val="0"/>
        </w:rPr>
        <w:t xml:space="preserve"> of </w:t>
      </w:r>
      <w:r>
        <w:rPr>
          <w:kern w:val="0"/>
        </w:rPr>
        <w:t>hospital stay, or septicaemia</w:t>
      </w:r>
      <w:r w:rsidR="00A37C1D">
        <w:rPr>
          <w:kern w:val="0"/>
        </w:rPr>
        <w:t>. The</w:t>
      </w:r>
      <w:r>
        <w:rPr>
          <w:kern w:val="0"/>
        </w:rPr>
        <w:t>re were no significant differences in lack</w:t>
      </w:r>
      <w:r w:rsidR="00427468">
        <w:rPr>
          <w:kern w:val="0"/>
        </w:rPr>
        <w:t xml:space="preserve"> of </w:t>
      </w:r>
      <w:r>
        <w:rPr>
          <w:kern w:val="0"/>
        </w:rPr>
        <w:t>recovery (3 trials, 173 participants; 47/87 (54%) versus 44/86 (51%): RR 1.05; 95% CI 0.75 to 1.47), adverse events (2 trials, 111 participants; 3/56 (5%) versus 6/55 (11%): RR 0.57; 95% CI 0.06 to 5.74), change of/or withdrawal from treatment at one month (3 trials, 190 participants; 8/95 (8%) versus 7/95 (7%): RR 1.10; 95% CI 0.40 to 3.03), plasma ammonia concentration (2 trials, 93 participants: MD -6.61 mu mol/L; 95% CI -30.05 to 16.84), or change in plasma ammonia concentration (1 trial, 77 participants: MD 1.16 mu mol/L; 95% CI -1.96 to 4.28). Authors</w:t>
      </w:r>
      <w:r w:rsidR="0071223E">
        <w:rPr>
          <w:kern w:val="0"/>
        </w:rPr>
        <w:t>’</w:t>
      </w:r>
      <w:r>
        <w:rPr>
          <w:kern w:val="0"/>
        </w:rPr>
        <w:t xml:space="preserve"> conclusions The trials we located suffered from a high risk</w:t>
      </w:r>
      <w:r w:rsidR="00427468">
        <w:rPr>
          <w:kern w:val="0"/>
        </w:rPr>
        <w:t xml:space="preserve"> of </w:t>
      </w:r>
      <w:r>
        <w:rPr>
          <w:kern w:val="0"/>
        </w:rPr>
        <w:t>systematic errors (</w:t>
      </w:r>
      <w:r w:rsidR="0071223E">
        <w:rPr>
          <w:kern w:val="0"/>
        </w:rPr>
        <w:t>‘</w:t>
      </w:r>
      <w:r>
        <w:rPr>
          <w:kern w:val="0"/>
        </w:rPr>
        <w:t>bias</w:t>
      </w:r>
      <w:r w:rsidR="0071223E">
        <w:rPr>
          <w:kern w:val="0"/>
        </w:rPr>
        <w:t>’</w:t>
      </w:r>
      <w:r>
        <w:rPr>
          <w:kern w:val="0"/>
        </w:rPr>
        <w:t>)</w:t>
      </w:r>
      <w:r w:rsidR="005853A9">
        <w:rPr>
          <w:kern w:val="0"/>
        </w:rPr>
        <w:t xml:space="preserve"> and </w:t>
      </w:r>
      <w:r>
        <w:rPr>
          <w:kern w:val="0"/>
        </w:rPr>
        <w:t>high risk</w:t>
      </w:r>
      <w:r w:rsidR="00427468">
        <w:rPr>
          <w:kern w:val="0"/>
        </w:rPr>
        <w:t xml:space="preserve"> of </w:t>
      </w:r>
      <w:r>
        <w:rPr>
          <w:kern w:val="0"/>
        </w:rPr>
        <w:t>random errors (</w:t>
      </w:r>
      <w:r w:rsidR="0071223E">
        <w:rPr>
          <w:kern w:val="0"/>
        </w:rPr>
        <w:t>‘</w:t>
      </w:r>
      <w:r>
        <w:rPr>
          <w:kern w:val="0"/>
        </w:rPr>
        <w:t>play</w:t>
      </w:r>
      <w:r w:rsidR="00427468">
        <w:rPr>
          <w:kern w:val="0"/>
        </w:rPr>
        <w:t xml:space="preserve"> of </w:t>
      </w:r>
      <w:r>
        <w:rPr>
          <w:kern w:val="0"/>
        </w:rPr>
        <w:t>chance</w:t>
      </w:r>
      <w:r w:rsidR="0071223E">
        <w:rPr>
          <w:kern w:val="0"/>
        </w:rPr>
        <w:t>’</w:t>
      </w:r>
      <w:r>
        <w:rPr>
          <w:kern w:val="0"/>
        </w:rPr>
        <w:t>). While probiotics appear to reduce plasma ammonia concentration when compared with placebo or no intervention, we are unable to conclude that probiotics are efficacious in altering clinically relevant outcomes. Demonstration</w:t>
      </w:r>
      <w:r w:rsidR="00427468">
        <w:rPr>
          <w:kern w:val="0"/>
        </w:rPr>
        <w:t xml:space="preserve"> of </w:t>
      </w:r>
      <w:r>
        <w:rPr>
          <w:kern w:val="0"/>
        </w:rPr>
        <w:t>unequivocal efficacy is needed before probiotics can be endorsed as effective therapy for hepatic encephalopathy. Further randomised clinical trials are needed.</w:t>
      </w:r>
    </w:p>
    <w:p w:rsidR="00365DE4" w:rsidRDefault="00365DE4" w:rsidP="00365DE4">
      <w:pPr>
        <w:pStyle w:val="a3"/>
        <w:rPr>
          <w:kern w:val="0"/>
        </w:rPr>
      </w:pPr>
      <w:r>
        <w:rPr>
          <w:kern w:val="0"/>
        </w:rPr>
        <w:t xml:space="preserve">Keywords: Acute, Adverse Events, Ammonia, Analysis, Authors, Bias, Brain, Burden, Care, Cirrhotic-Patients, Citation, Clinical Trials, Cochrane, Confidence Intervals, Differences, Disorder, Double-Blind, Efficacy, Embase, Experimental, Fatty Liver-Disease, Fecal Flora, Funding, Gut Flora, Health Care, Hospital, Industry, Intervention, Interventions, Lactobacillus-Acidophilus, Measurement, </w:t>
      </w:r>
      <w:r w:rsidR="00D5664A">
        <w:rPr>
          <w:kern w:val="0"/>
        </w:rPr>
        <w:t>MEDLINE</w:t>
      </w:r>
      <w:r>
        <w:rPr>
          <w:kern w:val="0"/>
        </w:rPr>
        <w:t>, Meta Analysis, Meta-Analysis, Microorganisms, Model, Mortality, Nonalcoholic Steatohepatitis, Outcome, Outcomes, Patients, Plasma, Probiotic, Probiotics, Quality, Quality</w:t>
      </w:r>
      <w:r w:rsidR="00427468">
        <w:rPr>
          <w:kern w:val="0"/>
        </w:rPr>
        <w:t xml:space="preserve"> of </w:t>
      </w:r>
      <w:r>
        <w:rPr>
          <w:kern w:val="0"/>
        </w:rPr>
        <w:t>Life, Randomized Controlled-Trial, Ratio, Recovery, Risk, Science, Science Citation Index, Search Strategy, Selection, Sepsis, Spontaneous Bacterial Peritonitis, Strategy, Systematic, Therapy, Toll-Like Receptors, Treatment, Who</w:t>
      </w:r>
    </w:p>
    <w:p w:rsidR="00365DE4" w:rsidRDefault="00365DE4" w:rsidP="00365DE4">
      <w:pPr>
        <w:pStyle w:val="a3"/>
        <w:rPr>
          <w:kern w:val="0"/>
        </w:rPr>
      </w:pPr>
      <w:r>
        <w:rPr>
          <w:kern w:val="0"/>
        </w:rPr>
        <w:t>? Owen, R., Kendrick, D., Mulvaney, C., Coleman, T.</w:t>
      </w:r>
      <w:r w:rsidR="005853A9">
        <w:rPr>
          <w:kern w:val="0"/>
        </w:rPr>
        <w:t xml:space="preserve"> and </w:t>
      </w:r>
      <w:r>
        <w:rPr>
          <w:kern w:val="0"/>
        </w:rPr>
        <w:t>Royal, S. (2011), Non-legislative interventions for the promotion</w:t>
      </w:r>
      <w:r w:rsidR="00427468">
        <w:rPr>
          <w:kern w:val="0"/>
        </w:rPr>
        <w:t xml:space="preserve"> of </w:t>
      </w:r>
      <w:r>
        <w:rPr>
          <w:kern w:val="0"/>
        </w:rPr>
        <w:t xml:space="preserve">cycle helmet wearing by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CD003985.</w:t>
      </w:r>
    </w:p>
    <w:p w:rsidR="00365DE4" w:rsidRDefault="00365DE4" w:rsidP="00365DE4">
      <w:pPr>
        <w:pStyle w:val="a3"/>
        <w:rPr>
          <w:kern w:val="2"/>
        </w:rPr>
      </w:pPr>
      <w:r>
        <w:t xml:space="preserve">Full Text: </w:t>
      </w:r>
      <w:hyperlink r:id="rId699" w:history="1">
        <w:r>
          <w:rPr>
            <w:rStyle w:val="a5"/>
          </w:rPr>
          <w:t>2011\Coc Dat Sys Rev2011, CD003985.pdf</w:t>
        </w:r>
      </w:hyperlink>
    </w:p>
    <w:p w:rsidR="00365DE4" w:rsidRDefault="00365DE4" w:rsidP="00365DE4">
      <w:pPr>
        <w:pStyle w:val="a3"/>
        <w:rPr>
          <w:kern w:val="0"/>
        </w:rPr>
      </w:pPr>
      <w:r>
        <w:rPr>
          <w:kern w:val="0"/>
        </w:rPr>
        <w:t>Abstract: Background Helmets reduce bicycle-related head injuries, particularly in single vehicle crashes</w:t>
      </w:r>
      <w:r w:rsidR="005853A9">
        <w:rPr>
          <w:kern w:val="0"/>
        </w:rPr>
        <w:t xml:space="preserve"> and </w:t>
      </w:r>
      <w:r>
        <w:rPr>
          <w:kern w:val="0"/>
        </w:rPr>
        <w:t>those where the head strikes the ground. We aimed to identify non-legislative interventions for promoting helmet use among children, so future interventions can be designed on a firm evidence base. Objectives to assess the effectiveness</w:t>
      </w:r>
      <w:r w:rsidR="00427468">
        <w:rPr>
          <w:kern w:val="0"/>
        </w:rPr>
        <w:t xml:space="preserve"> of </w:t>
      </w:r>
      <w:r>
        <w:rPr>
          <w:kern w:val="0"/>
        </w:rPr>
        <w:t>non-legislative interventions in increasing helmet use among children; to identify possible reasons for differences in effectiveness</w:t>
      </w:r>
      <w:r w:rsidR="00427468">
        <w:rPr>
          <w:kern w:val="0"/>
        </w:rPr>
        <w:t xml:space="preserve"> of </w:t>
      </w:r>
      <w:r>
        <w:rPr>
          <w:kern w:val="0"/>
        </w:rPr>
        <w:t xml:space="preserve">interventions; </w:t>
      </w:r>
      <w:r>
        <w:rPr>
          <w:kern w:val="0"/>
        </w:rPr>
        <w:lastRenderedPageBreak/>
        <w:t>to evaluate effectiveness with respect to social group; to identify adverse consequences</w:t>
      </w:r>
      <w:r w:rsidR="00427468">
        <w:rPr>
          <w:kern w:val="0"/>
        </w:rPr>
        <w:t xml:space="preserve"> of </w:t>
      </w:r>
      <w:r>
        <w:rPr>
          <w:kern w:val="0"/>
        </w:rPr>
        <w:t>interventions. Search strategy We searched the following databases: Cochrane Injuries Group Specialised Register; the Cochrane Central Register</w:t>
      </w:r>
      <w:r w:rsidR="00427468">
        <w:rPr>
          <w:kern w:val="0"/>
        </w:rPr>
        <w:t xml:space="preserve"> of </w:t>
      </w:r>
      <w:r>
        <w:rPr>
          <w:kern w:val="0"/>
        </w:rPr>
        <w:t xml:space="preserve">Controlled Trials (CENTRAL); </w:t>
      </w:r>
      <w:r w:rsidR="00D5664A">
        <w:rPr>
          <w:kern w:val="0"/>
        </w:rPr>
        <w:t>MEDLINE</w:t>
      </w:r>
      <w:r>
        <w:rPr>
          <w:kern w:val="0"/>
        </w:rPr>
        <w:t xml:space="preserve">; EMBASE; PsycINFO (Ovid); PsycEXTRA (Ovid); CINAHL (EBSCO); ISI </w:t>
      </w:r>
      <w:r w:rsidR="00D5664A">
        <w:rPr>
          <w:kern w:val="0"/>
        </w:rPr>
        <w:t>Web</w:t>
      </w:r>
      <w:r w:rsidR="00427468">
        <w:rPr>
          <w:kern w:val="0"/>
        </w:rPr>
        <w:t xml:space="preserve"> of </w:t>
      </w:r>
      <w:r w:rsidR="00D5664A">
        <w:rPr>
          <w:kern w:val="0"/>
        </w:rPr>
        <w:t>Science</w:t>
      </w:r>
      <w:r>
        <w:rPr>
          <w:kern w:val="0"/>
        </w:rPr>
        <w:t>: Science Citation Index Expanded (SCI-EXPANDED); Social Sciences Citation Index (</w:t>
      </w:r>
      <w:r w:rsidR="00D5664A">
        <w:rPr>
          <w:kern w:val="0"/>
        </w:rPr>
        <w:t>SSCI</w:t>
      </w:r>
      <w:r>
        <w:rPr>
          <w:kern w:val="0"/>
        </w:rPr>
        <w:t>); Conference Proceedings Citation Index-Science (CPCI-S);</w:t>
      </w:r>
      <w:r w:rsidR="005853A9">
        <w:rPr>
          <w:kern w:val="0"/>
        </w:rPr>
        <w:t xml:space="preserve"> and </w:t>
      </w:r>
      <w:r>
        <w:rPr>
          <w:kern w:val="0"/>
        </w:rPr>
        <w:t>PubMed from inception to April 2009; TRANSPORT to 2007;</w:t>
      </w:r>
      <w:r w:rsidR="005853A9">
        <w:rPr>
          <w:kern w:val="0"/>
        </w:rPr>
        <w:t xml:space="preserve"> and </w:t>
      </w:r>
      <w:r>
        <w:rPr>
          <w:kern w:val="0"/>
        </w:rPr>
        <w:t>manually searched other sources</w:t>
      </w:r>
      <w:r w:rsidR="00427468">
        <w:rPr>
          <w:kern w:val="0"/>
        </w:rPr>
        <w:t xml:space="preserve"> of </w:t>
      </w:r>
      <w:r>
        <w:rPr>
          <w:kern w:val="0"/>
        </w:rPr>
        <w:t>data. Selection criteria We included RCTs</w:t>
      </w:r>
      <w:r w:rsidR="005853A9">
        <w:rPr>
          <w:kern w:val="0"/>
        </w:rPr>
        <w:t xml:space="preserve"> and </w:t>
      </w:r>
      <w:r>
        <w:rPr>
          <w:kern w:val="0"/>
        </w:rPr>
        <w:t>CBAs. Studies included participants aged 0 to 18 years, described interventions promoting helmet use not requiring enactment</w:t>
      </w:r>
      <w:r w:rsidR="00427468">
        <w:rPr>
          <w:kern w:val="0"/>
        </w:rPr>
        <w:t xml:space="preserve"> of </w:t>
      </w:r>
      <w:r>
        <w:rPr>
          <w:kern w:val="0"/>
        </w:rPr>
        <w:t>legislation</w:t>
      </w:r>
      <w:r w:rsidR="005853A9">
        <w:rPr>
          <w:kern w:val="0"/>
        </w:rPr>
        <w:t xml:space="preserve"> and </w:t>
      </w:r>
      <w:r>
        <w:rPr>
          <w:kern w:val="0"/>
        </w:rPr>
        <w:t>reported observed helmet wearing, self reported helmet ownership or self reported helmet wearing. Data collection</w:t>
      </w:r>
      <w:r w:rsidR="005853A9">
        <w:rPr>
          <w:kern w:val="0"/>
        </w:rPr>
        <w:t xml:space="preserve"> and </w:t>
      </w:r>
      <w:r>
        <w:rPr>
          <w:kern w:val="0"/>
        </w:rPr>
        <w:t>analysis Two independent review authors selected studies for inclusion</w:t>
      </w:r>
      <w:r w:rsidR="005853A9">
        <w:rPr>
          <w:kern w:val="0"/>
        </w:rPr>
        <w:t xml:space="preserve"> and </w:t>
      </w:r>
      <w:r>
        <w:rPr>
          <w:kern w:val="0"/>
        </w:rPr>
        <w:t>extracted data. We used random-effects models to estimate pooled odds ratios (ORs) (with 95% confidence interval (CI)). We explored heterogeneity with subgroup analyses. Main results We included 29 studies in the review, 21</w:t>
      </w:r>
      <w:r w:rsidR="00427468">
        <w:rPr>
          <w:kern w:val="0"/>
        </w:rPr>
        <w:t xml:space="preserve"> of </w:t>
      </w:r>
      <w:r>
        <w:rPr>
          <w:kern w:val="0"/>
        </w:rPr>
        <w:t>which were included in at least one meta-analysis. Non-legislative interventions increased observed helmet wearing (11 studies: OR 2.08, 95% CI 1.29 to 3.34)</w:t>
      </w:r>
      <w:r w:rsidR="00A37C1D">
        <w:rPr>
          <w:kern w:val="0"/>
        </w:rPr>
        <w:t>. The</w:t>
      </w:r>
      <w:r>
        <w:rPr>
          <w:kern w:val="0"/>
        </w:rPr>
        <w:t xml:space="preserve"> effect was most marked amongst community-based interventions (four studies: OR 4.30, 95% 2.24 to 8.25)</w:t>
      </w:r>
      <w:r w:rsidR="005853A9">
        <w:rPr>
          <w:kern w:val="0"/>
        </w:rPr>
        <w:t xml:space="preserve"> and </w:t>
      </w:r>
      <w:r>
        <w:rPr>
          <w:kern w:val="0"/>
        </w:rPr>
        <w:t>those providing free helmets (two studies: OR 4.35, 95% CI 2.13 to 8.89). Significant effects were also found amongst school-based interventions (eight studies: OR 1.73, CI 95% 1.03 to 2.91), with a smaller effect found for interventions providing education only (three studies: OR 1.43, 95% CI 1.09 to 1.88). No significant effect was found for providing subsidised helmets (seven studies: OR 2.02, 95% CI 0.98 to 4.17). Interventions provided to younger children (aged under 12) may be more effective (five studies: OR 2.50, 95% CI 1.17 to 5.37) than those provided to children</w:t>
      </w:r>
      <w:r w:rsidR="00427468">
        <w:rPr>
          <w:kern w:val="0"/>
        </w:rPr>
        <w:t xml:space="preserve"> of </w:t>
      </w:r>
      <w:r>
        <w:rPr>
          <w:kern w:val="0"/>
        </w:rPr>
        <w:t>all ages (five studies: OR 1.83, 95% CI 0.98 to 3.42). Interventions were only effective in increasing self reported helmet ownership where they provided free helmets (three studies: OR 11.63, 95% CI 2.14 to 63.16). Interventions were effective in increasing self reported helmet wearing (nine studies: OR 3.27, 95% CI 1.56 to 6.87), including those undertaken in schools (six studies: OR 4.21, 95% CI 1.06 to 16.74), providing free helmets (three studies: OR 7.27, 95% CI 1.28 to 41.44), providing education only (seven studies: OR 1.93, 95% CI 1.03 to 3.63)</w:t>
      </w:r>
      <w:r w:rsidR="005853A9">
        <w:rPr>
          <w:kern w:val="0"/>
        </w:rPr>
        <w:t xml:space="preserve"> and </w:t>
      </w:r>
      <w:r>
        <w:rPr>
          <w:kern w:val="0"/>
        </w:rPr>
        <w:t>in healthcare settings (two studies: OR 2.78, 95% CI 1.38 to 5.61). Authors</w:t>
      </w:r>
      <w:r w:rsidR="0071223E">
        <w:rPr>
          <w:kern w:val="0"/>
        </w:rPr>
        <w:t>’</w:t>
      </w:r>
      <w:r>
        <w:rPr>
          <w:kern w:val="0"/>
        </w:rPr>
        <w:t xml:space="preserve"> conclusions Non-legislative interventions appear to be effective in increasing observed helmet use, particularly community-based interventions</w:t>
      </w:r>
      <w:r w:rsidR="005853A9">
        <w:rPr>
          <w:kern w:val="0"/>
        </w:rPr>
        <w:t xml:space="preserve"> and </w:t>
      </w:r>
      <w:r>
        <w:rPr>
          <w:kern w:val="0"/>
        </w:rPr>
        <w:t>those providing free helmets. Those set in schools appear to be effective but possibly less so than community-based interventions. Interventions providing education only are less effective than those providing free helmets</w:t>
      </w:r>
      <w:r w:rsidR="00A37C1D">
        <w:rPr>
          <w:kern w:val="0"/>
        </w:rPr>
        <w:t>. The</w:t>
      </w:r>
      <w:r>
        <w:rPr>
          <w:kern w:val="0"/>
        </w:rPr>
        <w:t xml:space="preserve">re is insufficient evidence to </w:t>
      </w:r>
      <w:r>
        <w:rPr>
          <w:kern w:val="0"/>
        </w:rPr>
        <w:lastRenderedPageBreak/>
        <w:t>recommend providing subsidised helmets at present. Interventions may be more effective if provided to younger rather than older children</w:t>
      </w:r>
      <w:r w:rsidR="00A37C1D">
        <w:rPr>
          <w:kern w:val="0"/>
        </w:rPr>
        <w:t>. The</w:t>
      </w:r>
      <w:r>
        <w:rPr>
          <w:kern w:val="0"/>
        </w:rPr>
        <w:t>re is evidence that interventions offered in healthcare settings can increase self reported helmet wearing. Further high-quality studies are needed to explore whether non-legislative interventions increase helmet wearing,</w:t>
      </w:r>
      <w:r w:rsidR="005853A9">
        <w:rPr>
          <w:kern w:val="0"/>
        </w:rPr>
        <w:t xml:space="preserve"> and </w:t>
      </w:r>
      <w:r>
        <w:rPr>
          <w:kern w:val="0"/>
        </w:rPr>
        <w:t>particularly the effect</w:t>
      </w:r>
      <w:r w:rsidR="00427468">
        <w:rPr>
          <w:kern w:val="0"/>
        </w:rPr>
        <w:t xml:space="preserve"> of </w:t>
      </w:r>
      <w:r>
        <w:rPr>
          <w:kern w:val="0"/>
        </w:rPr>
        <w:t>providing subsided as opposed to free helmets,</w:t>
      </w:r>
      <w:r w:rsidR="005853A9">
        <w:rPr>
          <w:kern w:val="0"/>
        </w:rPr>
        <w:t xml:space="preserve"> and</w:t>
      </w:r>
      <w:r w:rsidR="00427468">
        <w:rPr>
          <w:kern w:val="0"/>
        </w:rPr>
        <w:t xml:space="preserve"> of </w:t>
      </w:r>
      <w:r>
        <w:rPr>
          <w:kern w:val="0"/>
        </w:rPr>
        <w:t>providing interventions in healthcare settings as opposed to in schools or communities. Alternative interventions (e.g. those including peer educators, those aimed at developing safety skills including skills in decision making</w:t>
      </w:r>
      <w:r w:rsidR="005853A9">
        <w:rPr>
          <w:kern w:val="0"/>
        </w:rPr>
        <w:t xml:space="preserve"> and </w:t>
      </w:r>
      <w:r>
        <w:rPr>
          <w:kern w:val="0"/>
        </w:rPr>
        <w:t>resisting peer pressure or those aimed at improving self esteem or self efficacy) need developing</w:t>
      </w:r>
      <w:r w:rsidR="005853A9">
        <w:rPr>
          <w:kern w:val="0"/>
        </w:rPr>
        <w:t xml:space="preserve"> and </w:t>
      </w:r>
      <w:r>
        <w:rPr>
          <w:kern w:val="0"/>
        </w:rPr>
        <w:t>testing, particularly for 11 to 18 year olds</w:t>
      </w:r>
      <w:r w:rsidR="00A37C1D">
        <w:rPr>
          <w:kern w:val="0"/>
        </w:rPr>
        <w:t>. The</w:t>
      </w:r>
      <w:r>
        <w:rPr>
          <w:kern w:val="0"/>
        </w:rPr>
        <w:t xml:space="preserve"> effect</w:t>
      </w:r>
      <w:r w:rsidR="00427468">
        <w:rPr>
          <w:kern w:val="0"/>
        </w:rPr>
        <w:t xml:space="preserve"> of </w:t>
      </w:r>
      <w:r>
        <w:rPr>
          <w:kern w:val="0"/>
        </w:rPr>
        <w:t>interventions in countries with existing cycle helmet legislation</w:t>
      </w:r>
      <w:r w:rsidR="005853A9">
        <w:rPr>
          <w:kern w:val="0"/>
        </w:rPr>
        <w:t xml:space="preserve"> and </w:t>
      </w:r>
      <w:r>
        <w:rPr>
          <w:kern w:val="0"/>
        </w:rPr>
        <w:t>in low</w:t>
      </w:r>
      <w:r w:rsidR="005853A9">
        <w:rPr>
          <w:kern w:val="0"/>
        </w:rPr>
        <w:t xml:space="preserve"> and </w:t>
      </w:r>
      <w:r>
        <w:rPr>
          <w:kern w:val="0"/>
        </w:rPr>
        <w:t>middle-income countries also requires investigation.</w:t>
      </w:r>
    </w:p>
    <w:p w:rsidR="00365DE4" w:rsidRDefault="00365DE4" w:rsidP="00365DE4">
      <w:pPr>
        <w:pStyle w:val="a3"/>
        <w:rPr>
          <w:kern w:val="0"/>
        </w:rPr>
      </w:pPr>
      <w:r>
        <w:rPr>
          <w:kern w:val="0"/>
        </w:rPr>
        <w:t>Keywords: Adolescent, Aged, Analysis,</w:t>
      </w:r>
      <w:r w:rsidR="005853A9">
        <w:rPr>
          <w:kern w:val="0"/>
        </w:rPr>
        <w:t xml:space="preserve"> and </w:t>
      </w:r>
      <w:r>
        <w:rPr>
          <w:kern w:val="0"/>
        </w:rPr>
        <w:t>Middle-Income Countries, Authors, Behavior, Bicycle Helmet, Bicycling [Legislation &amp; Jurisprudence, Child,Preschool, Children, Citation, Cochrane, Conference, Databases, Decision Making, Decision-Making, Differences, Education, Effectiveness, Efficacy, Embase, Emergency-Department, Head Protective Devices [Utilization] Child, Helmet, Helmet Use, Humans, Increase Bicycle, Injury,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Low, </w:t>
      </w:r>
      <w:r w:rsidR="00D5664A">
        <w:rPr>
          <w:kern w:val="0"/>
        </w:rPr>
        <w:t>MEDLINE</w:t>
      </w:r>
      <w:r>
        <w:rPr>
          <w:kern w:val="0"/>
        </w:rPr>
        <w:t xml:space="preserve">, Meta Analysis, Meta-Analysis, Metaanalysis, Pressure, Program, Promotion, Pubmed, Randomized Controlled-Trial, Review, Safety, Schools, Science, Science Citation Index, Sciences, Search Strategy, Selection, Self-Efficacy, Significant, Social, Social Sciences, Social Sciences Citation Index, </w:t>
      </w:r>
      <w:r w:rsidR="00D5664A">
        <w:rPr>
          <w:kern w:val="0"/>
        </w:rPr>
        <w:t>SSCI</w:t>
      </w:r>
      <w:r>
        <w:rPr>
          <w:kern w:val="0"/>
        </w:rPr>
        <w:t xml:space="preserve">, Statistics &amp; Numerical Data], Strategy, Transport,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Pammi, M.</w:t>
      </w:r>
      <w:r w:rsidR="005853A9">
        <w:rPr>
          <w:kern w:val="0"/>
        </w:rPr>
        <w:t xml:space="preserve"> and </w:t>
      </w:r>
      <w:r>
        <w:rPr>
          <w:kern w:val="0"/>
        </w:rPr>
        <w:t>Haque, K.N. (2011), Oral immunoglobulin for the prevention</w:t>
      </w:r>
      <w:r w:rsidR="00427468">
        <w:rPr>
          <w:kern w:val="0"/>
        </w:rPr>
        <w:t xml:space="preserve"> of </w:t>
      </w:r>
      <w:r>
        <w:rPr>
          <w:kern w:val="0"/>
        </w:rPr>
        <w:t xml:space="preserve">rotavirus infection in low birth weight infants.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CD003740.</w:t>
      </w:r>
    </w:p>
    <w:p w:rsidR="00365DE4" w:rsidRDefault="00365DE4" w:rsidP="00365DE4">
      <w:pPr>
        <w:pStyle w:val="a3"/>
        <w:rPr>
          <w:kern w:val="2"/>
        </w:rPr>
      </w:pPr>
      <w:r>
        <w:t xml:space="preserve">Full Text: </w:t>
      </w:r>
      <w:hyperlink r:id="rId700" w:history="1">
        <w:r>
          <w:rPr>
            <w:rStyle w:val="a5"/>
          </w:rPr>
          <w:t>2011\Coc Dat Sys Rev2011, CD003740.pdf</w:t>
        </w:r>
      </w:hyperlink>
    </w:p>
    <w:p w:rsidR="00365DE4" w:rsidRDefault="00365DE4" w:rsidP="00365DE4">
      <w:pPr>
        <w:pStyle w:val="a3"/>
        <w:rPr>
          <w:kern w:val="0"/>
        </w:rPr>
      </w:pPr>
      <w:r>
        <w:rPr>
          <w:kern w:val="0"/>
        </w:rPr>
        <w:t>Abstract: Background Rotavirus is a common neonatal nosocomial viral infection</w:t>
      </w:r>
      <w:r w:rsidR="005853A9">
        <w:rPr>
          <w:kern w:val="0"/>
        </w:rPr>
        <w:t xml:space="preserve"> and </w:t>
      </w:r>
      <w:r>
        <w:rPr>
          <w:kern w:val="0"/>
        </w:rPr>
        <w:t>epidemics with the newer P(6) G9 strains have been reported. Local mucosal immunity in the intestine to rotavirus is important in the resolution</w:t>
      </w:r>
      <w:r w:rsidR="00427468">
        <w:rPr>
          <w:kern w:val="0"/>
        </w:rPr>
        <w:t xml:space="preserve"> of </w:t>
      </w:r>
      <w:r>
        <w:rPr>
          <w:kern w:val="0"/>
        </w:rPr>
        <w:t>infection</w:t>
      </w:r>
      <w:r w:rsidR="005853A9">
        <w:rPr>
          <w:kern w:val="0"/>
        </w:rPr>
        <w:t xml:space="preserve"> and </w:t>
      </w:r>
      <w:r>
        <w:rPr>
          <w:kern w:val="0"/>
        </w:rPr>
        <w:t>protection against subsequent infections. Oral administration</w:t>
      </w:r>
      <w:r w:rsidR="00427468">
        <w:rPr>
          <w:kern w:val="0"/>
        </w:rPr>
        <w:t xml:space="preserve"> of </w:t>
      </w:r>
      <w:r>
        <w:rPr>
          <w:kern w:val="0"/>
        </w:rPr>
        <w:t>anti-rotaviral immunoglobulin preparationsmight be a useful strategy in preventing rotaviral infections, especially in low birth weight babies. Objectives to determine the effectiveness</w:t>
      </w:r>
      <w:r w:rsidR="005853A9">
        <w:rPr>
          <w:kern w:val="0"/>
        </w:rPr>
        <w:t xml:space="preserve"> and </w:t>
      </w:r>
      <w:r>
        <w:rPr>
          <w:kern w:val="0"/>
        </w:rPr>
        <w:t>safety</w:t>
      </w:r>
      <w:r w:rsidR="00427468">
        <w:rPr>
          <w:kern w:val="0"/>
        </w:rPr>
        <w:t xml:space="preserve"> of </w:t>
      </w:r>
      <w:r>
        <w:rPr>
          <w:kern w:val="0"/>
        </w:rPr>
        <w:t>oral immunoglobulin preparations for the prevention</w:t>
      </w:r>
      <w:r w:rsidR="00427468">
        <w:rPr>
          <w:kern w:val="0"/>
        </w:rPr>
        <w:t xml:space="preserve"> of </w:t>
      </w:r>
      <w:r>
        <w:rPr>
          <w:kern w:val="0"/>
        </w:rPr>
        <w:t>rotavirus infection in hospitalized low birthweight infants (birthweight &lt; 2500 g) Search strategy The Cochrane Central Register</w:t>
      </w:r>
      <w:r w:rsidR="00427468">
        <w:rPr>
          <w:kern w:val="0"/>
        </w:rPr>
        <w:t xml:space="preserve"> of </w:t>
      </w:r>
      <w:r>
        <w:rPr>
          <w:kern w:val="0"/>
        </w:rPr>
        <w:t xml:space="preserve">Controlled Trials (CENTRAL, The Cochrane Library), </w:t>
      </w:r>
      <w:r w:rsidR="00D5664A">
        <w:rPr>
          <w:kern w:val="0"/>
        </w:rPr>
        <w:t>MEDLINE</w:t>
      </w:r>
      <w:r>
        <w:rPr>
          <w:kern w:val="0"/>
        </w:rPr>
        <w:t>, EMBASE, CINAHL, biological Abstracts (BIOSIS), Science Citation Index for articles citing Barnes 1982</w:t>
      </w:r>
      <w:r w:rsidR="005853A9">
        <w:rPr>
          <w:kern w:val="0"/>
        </w:rPr>
        <w:t xml:space="preserve"> and </w:t>
      </w:r>
      <w:r>
        <w:rPr>
          <w:kern w:val="0"/>
        </w:rPr>
        <w:t>the proceedings</w:t>
      </w:r>
      <w:r w:rsidR="00427468">
        <w:rPr>
          <w:kern w:val="0"/>
        </w:rPr>
        <w:t xml:space="preserve"> of </w:t>
      </w:r>
      <w:r>
        <w:rPr>
          <w:kern w:val="0"/>
        </w:rPr>
        <w:t xml:space="preserve">the Pediatric Academic Societies from 1991 onwards were searched in July 2011. </w:t>
      </w:r>
      <w:r>
        <w:rPr>
          <w:kern w:val="0"/>
        </w:rPr>
        <w:lastRenderedPageBreak/>
        <w:t>Ongoing trials were also searched at clinicaltrials.gov</w:t>
      </w:r>
      <w:r w:rsidR="005853A9">
        <w:rPr>
          <w:kern w:val="0"/>
        </w:rPr>
        <w:t xml:space="preserve"> and </w:t>
      </w:r>
      <w:r>
        <w:rPr>
          <w:kern w:val="0"/>
        </w:rPr>
        <w:t>controlled-trials.com Selection criteria The criteria used to select studies for inclusion were: 1) design: randomized or quasi-randomized controlled trials; 2) participants: hospitalized low birthweight infants; 3) intervention: oral immunoglobulin preparations for prevention</w:t>
      </w:r>
      <w:r w:rsidR="00427468">
        <w:rPr>
          <w:kern w:val="0"/>
        </w:rPr>
        <w:t xml:space="preserve"> of </w:t>
      </w:r>
      <w:r>
        <w:rPr>
          <w:kern w:val="0"/>
        </w:rPr>
        <w:t>rotavirus infection compared to placebo OR no intervention; 4) at least one</w:t>
      </w:r>
      <w:r w:rsidR="00427468">
        <w:rPr>
          <w:kern w:val="0"/>
        </w:rPr>
        <w:t xml:space="preserve"> of </w:t>
      </w:r>
      <w:r>
        <w:rPr>
          <w:kern w:val="0"/>
        </w:rPr>
        <w:t>the following outcomes were reported: all cause mortality during hospital stay, mortality due to rotavirus infection during hospital stay, rotavirus infection, duration</w:t>
      </w:r>
      <w:r w:rsidR="00427468">
        <w:rPr>
          <w:kern w:val="0"/>
        </w:rPr>
        <w:t xml:space="preserve"> of </w:t>
      </w:r>
      <w:r>
        <w:rPr>
          <w:kern w:val="0"/>
        </w:rPr>
        <w:t>diarrhea, need for rehydration, duration</w:t>
      </w:r>
      <w:r w:rsidR="00427468">
        <w:rPr>
          <w:kern w:val="0"/>
        </w:rPr>
        <w:t xml:space="preserve"> of </w:t>
      </w:r>
      <w:r>
        <w:rPr>
          <w:kern w:val="0"/>
        </w:rPr>
        <w:t>viral excretion, duration</w:t>
      </w:r>
      <w:r w:rsidR="00427468">
        <w:rPr>
          <w:kern w:val="0"/>
        </w:rPr>
        <w:t xml:space="preserve"> of </w:t>
      </w:r>
      <w:r>
        <w:rPr>
          <w:kern w:val="0"/>
        </w:rPr>
        <w:t>infection control measures, length</w:t>
      </w:r>
      <w:r w:rsidR="00427468">
        <w:rPr>
          <w:kern w:val="0"/>
        </w:rPr>
        <w:t xml:space="preserve"> of </w:t>
      </w:r>
      <w:r>
        <w:rPr>
          <w:kern w:val="0"/>
        </w:rPr>
        <w:t>hospital stay in days, recurrent diarrhea or chronic diarrhea. Data collection</w:t>
      </w:r>
      <w:r w:rsidR="005853A9">
        <w:rPr>
          <w:kern w:val="0"/>
        </w:rPr>
        <w:t xml:space="preserve"> and </w:t>
      </w:r>
      <w:r>
        <w:rPr>
          <w:kern w:val="0"/>
        </w:rPr>
        <w:t>analysis The two review authors independently abstracted data from the included trials. Main results One published study (Barnes 1982) was eligible for inclusion in this review. Barnes 1982 found no significant difference in the rates</w:t>
      </w:r>
      <w:r w:rsidR="00427468">
        <w:rPr>
          <w:kern w:val="0"/>
        </w:rPr>
        <w:t xml:space="preserve"> of </w:t>
      </w:r>
      <w:r>
        <w:rPr>
          <w:kern w:val="0"/>
        </w:rPr>
        <w:t>rotavirus infection after oral gammaglobulin versus placebo in hospitalized low birthweight babies [RR 1.27 (95% CI 0.65 to 2.37)]. In the subset</w:t>
      </w:r>
      <w:r w:rsidR="00427468">
        <w:rPr>
          <w:kern w:val="0"/>
        </w:rPr>
        <w:t xml:space="preserve"> of </w:t>
      </w:r>
      <w:r>
        <w:rPr>
          <w:kern w:val="0"/>
        </w:rPr>
        <w:t>infants who became infected with rotavirus after receiving gammaglobulin or placebo for prevention</w:t>
      </w:r>
      <w:r w:rsidR="00427468">
        <w:rPr>
          <w:kern w:val="0"/>
        </w:rPr>
        <w:t xml:space="preserve"> of </w:t>
      </w:r>
      <w:r>
        <w:rPr>
          <w:kern w:val="0"/>
        </w:rPr>
        <w:t>rotavirus infection, there was no significant difference in the duration</w:t>
      </w:r>
      <w:r w:rsidR="00427468">
        <w:rPr>
          <w:kern w:val="0"/>
        </w:rPr>
        <w:t xml:space="preserve"> of </w:t>
      </w:r>
      <w:r>
        <w:rPr>
          <w:kern w:val="0"/>
        </w:rPr>
        <w:t>rotavirus excretion between the group who had gammaglobulin (mean 2 days, range 1 to 4 days)</w:t>
      </w:r>
      <w:r w:rsidR="005853A9">
        <w:rPr>
          <w:kern w:val="0"/>
        </w:rPr>
        <w:t xml:space="preserve"> and </w:t>
      </w:r>
      <w:r>
        <w:rPr>
          <w:kern w:val="0"/>
        </w:rPr>
        <w:t>the group who had placebo (mean 3 days, range 1 to 6 days). Barnes 1982 reported no adverse effects after administration</w:t>
      </w:r>
      <w:r w:rsidR="00427468">
        <w:rPr>
          <w:kern w:val="0"/>
        </w:rPr>
        <w:t xml:space="preserve"> of </w:t>
      </w:r>
      <w:r>
        <w:rPr>
          <w:kern w:val="0"/>
        </w:rPr>
        <w:t>oral immunoglobulin preparations. Authors</w:t>
      </w:r>
      <w:r w:rsidR="0071223E">
        <w:rPr>
          <w:kern w:val="0"/>
        </w:rPr>
        <w:t>’</w:t>
      </w:r>
      <w:r>
        <w:rPr>
          <w:kern w:val="0"/>
        </w:rPr>
        <w:t xml:space="preserve"> conclusions Current evidence does not support the use</w:t>
      </w:r>
      <w:r w:rsidR="00427468">
        <w:rPr>
          <w:kern w:val="0"/>
        </w:rPr>
        <w:t xml:space="preserve"> of </w:t>
      </w:r>
      <w:r>
        <w:rPr>
          <w:kern w:val="0"/>
        </w:rPr>
        <w:t>oral immunoglobulin preparations to prevent rotavirus infection in low birthweight infants. Researchers are encouraged to conduct well-designed neonatal trials using the newer preparations</w:t>
      </w:r>
      <w:r w:rsidR="00427468">
        <w:rPr>
          <w:kern w:val="0"/>
        </w:rPr>
        <w:t xml:space="preserve"> of </w:t>
      </w:r>
      <w:r>
        <w:rPr>
          <w:kern w:val="0"/>
        </w:rPr>
        <w:t>anti-rotaviral immunoglobulins (colostrum, egg yolk immunoglobulins)</w:t>
      </w:r>
      <w:r w:rsidR="005853A9">
        <w:rPr>
          <w:kern w:val="0"/>
        </w:rPr>
        <w:t xml:space="preserve"> and </w:t>
      </w:r>
      <w:r>
        <w:rPr>
          <w:kern w:val="0"/>
        </w:rPr>
        <w:t>include cost effectiveness evaluations.</w:t>
      </w:r>
    </w:p>
    <w:p w:rsidR="00365DE4" w:rsidRDefault="00365DE4" w:rsidP="00365DE4">
      <w:pPr>
        <w:pStyle w:val="a3"/>
        <w:rPr>
          <w:kern w:val="0"/>
        </w:rPr>
      </w:pPr>
      <w:r>
        <w:rPr>
          <w:kern w:val="0"/>
        </w:rPr>
        <w:t xml:space="preserve">Keywords: Administration,Oral, Adverse Effects, Analysis, Authors, Birthweight, Children, Citation, Clinical-Trial, Cochrane, Control, Cost-Effectiveness, Design, Diarrhea, Effectiveness, Embase, Gastroenteritis, Group-A Rotavirus, Hospital, Humans, Immunization,Passive [Methods], Immunoglobulins [Administration &amp; Dosage], Infant,Low Birth Weight, Infant,Newborn, Infants, Infection, Infection Control, Intervention, Intestine, Low, Low Birthweight, </w:t>
      </w:r>
      <w:r w:rsidR="00D5664A">
        <w:rPr>
          <w:kern w:val="0"/>
        </w:rPr>
        <w:t>MEDLINE</w:t>
      </w:r>
      <w:r>
        <w:rPr>
          <w:kern w:val="0"/>
        </w:rPr>
        <w:t>, Mortality, Necrotizing Enterocolitis, Newborns, Oral, Outcomes, Prevention, Randomized Controlled Trials As Topic, Researchers, Review, Risk-Factors, Rotavirus Infections [Prevention &amp; Control], Safety, Science, Science Citation Index, Search Strategy, Selection, Strains, Strategy, Trypsin-Inhibitors</w:t>
      </w:r>
    </w:p>
    <w:p w:rsidR="00365DE4" w:rsidRDefault="00365DE4" w:rsidP="00365DE4">
      <w:pPr>
        <w:pStyle w:val="a3"/>
        <w:rPr>
          <w:kern w:val="0"/>
        </w:rPr>
      </w:pPr>
      <w:r>
        <w:rPr>
          <w:kern w:val="0"/>
        </w:rPr>
        <w:t>? Parantainen, A., Verbeek, J.H., Lavoie, M.C.</w:t>
      </w:r>
      <w:r w:rsidR="005853A9">
        <w:rPr>
          <w:kern w:val="0"/>
        </w:rPr>
        <w:t xml:space="preserve"> and </w:t>
      </w:r>
      <w:r>
        <w:rPr>
          <w:kern w:val="0"/>
        </w:rPr>
        <w:t xml:space="preserve">Pahwa, M. (2011), Blunt versus sharp suture needles for preventing percutaneous exposure incidents in surgical staff.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CD009170.</w:t>
      </w:r>
    </w:p>
    <w:p w:rsidR="00365DE4" w:rsidRDefault="00365DE4" w:rsidP="00365DE4">
      <w:pPr>
        <w:pStyle w:val="a3"/>
        <w:rPr>
          <w:kern w:val="2"/>
        </w:rPr>
      </w:pPr>
      <w:r>
        <w:t xml:space="preserve">Full Text: </w:t>
      </w:r>
      <w:hyperlink r:id="rId701" w:history="1">
        <w:r>
          <w:rPr>
            <w:rStyle w:val="a5"/>
          </w:rPr>
          <w:t>2011\Coc Dat Sys Rev2011, CD009170.pdf</w:t>
        </w:r>
      </w:hyperlink>
    </w:p>
    <w:p w:rsidR="00365DE4" w:rsidRDefault="00365DE4" w:rsidP="00365DE4">
      <w:pPr>
        <w:pStyle w:val="a3"/>
        <w:rPr>
          <w:kern w:val="0"/>
        </w:rPr>
      </w:pPr>
      <w:r>
        <w:rPr>
          <w:kern w:val="0"/>
        </w:rPr>
        <w:t>Abstract: Background Surgeons</w:t>
      </w:r>
      <w:r w:rsidR="005853A9">
        <w:rPr>
          <w:kern w:val="0"/>
        </w:rPr>
        <w:t xml:space="preserve"> and </w:t>
      </w:r>
      <w:r>
        <w:rPr>
          <w:kern w:val="0"/>
        </w:rPr>
        <w:t>their assistants are especially at risk</w:t>
      </w:r>
      <w:r w:rsidR="00427468">
        <w:rPr>
          <w:kern w:val="0"/>
        </w:rPr>
        <w:t xml:space="preserve"> of </w:t>
      </w:r>
      <w:r>
        <w:rPr>
          <w:kern w:val="0"/>
        </w:rPr>
        <w:t xml:space="preserve">exposure to </w:t>
      </w:r>
      <w:r>
        <w:rPr>
          <w:kern w:val="0"/>
        </w:rPr>
        <w:lastRenderedPageBreak/>
        <w:t>blood due to glove perforations</w:t>
      </w:r>
      <w:r w:rsidR="005853A9">
        <w:rPr>
          <w:kern w:val="0"/>
        </w:rPr>
        <w:t xml:space="preserve"> and </w:t>
      </w:r>
      <w:r>
        <w:rPr>
          <w:kern w:val="0"/>
        </w:rPr>
        <w:t>needle stick injuries during operations</w:t>
      </w:r>
      <w:r w:rsidR="00A37C1D">
        <w:rPr>
          <w:kern w:val="0"/>
        </w:rPr>
        <w:t>. The</w:t>
      </w:r>
      <w:r>
        <w:rPr>
          <w:kern w:val="0"/>
        </w:rPr>
        <w:t xml:space="preserve"> use</w:t>
      </w:r>
      <w:r w:rsidR="00427468">
        <w:rPr>
          <w:kern w:val="0"/>
        </w:rPr>
        <w:t xml:space="preserve"> of </w:t>
      </w:r>
      <w:r>
        <w:rPr>
          <w:kern w:val="0"/>
        </w:rPr>
        <w:t>blunt needles can reduce this risk because they don</w:t>
      </w:r>
      <w:r w:rsidR="0071223E">
        <w:rPr>
          <w:kern w:val="0"/>
        </w:rPr>
        <w:t>’</w:t>
      </w:r>
      <w:r>
        <w:rPr>
          <w:kern w:val="0"/>
        </w:rPr>
        <w:t>t penetrate skin easily but still perform sufficiently in other tissues. Objectives to determine the effectiveness</w:t>
      </w:r>
      <w:r w:rsidR="00427468">
        <w:rPr>
          <w:kern w:val="0"/>
        </w:rPr>
        <w:t xml:space="preserve"> of </w:t>
      </w:r>
      <w:r>
        <w:rPr>
          <w:kern w:val="0"/>
        </w:rPr>
        <w:t xml:space="preserve">blunt needles compared to sharp needles for preventing percutaneous exposure incidents among surgical staff. Search strategy We searched </w:t>
      </w:r>
      <w:r w:rsidR="00D5664A">
        <w:rPr>
          <w:kern w:val="0"/>
        </w:rPr>
        <w:t>MEDLINE</w:t>
      </w:r>
      <w:r w:rsidR="005853A9">
        <w:rPr>
          <w:kern w:val="0"/>
        </w:rPr>
        <w:t xml:space="preserve"> and </w:t>
      </w:r>
      <w:r>
        <w:rPr>
          <w:kern w:val="0"/>
        </w:rPr>
        <w:t>EMBASE (until May 2011), CENTRAL, NHSEED, Science Citation Index Expanded, CINAHL, Nioshtic, CISdoc, PsycINFO,</w:t>
      </w:r>
      <w:r w:rsidR="005853A9">
        <w:rPr>
          <w:kern w:val="0"/>
        </w:rPr>
        <w:t xml:space="preserve"> and </w:t>
      </w:r>
      <w:r>
        <w:rPr>
          <w:kern w:val="0"/>
        </w:rPr>
        <w:t>LILACS (until September 2010). Selection criteria Randomised controlled trials (RCTs)</w:t>
      </w:r>
      <w:r w:rsidR="00427468">
        <w:rPr>
          <w:kern w:val="0"/>
        </w:rPr>
        <w:t xml:space="preserve"> of </w:t>
      </w:r>
      <w:r>
        <w:rPr>
          <w:kern w:val="0"/>
        </w:rPr>
        <w:t>blunt versus sharp suture needles for preventing needle stick injuries among surgical staff measured as glove perforations or self-reported needle stick injuries. Data collection</w:t>
      </w:r>
      <w:r w:rsidR="005853A9">
        <w:rPr>
          <w:kern w:val="0"/>
        </w:rPr>
        <w:t xml:space="preserve"> and </w:t>
      </w:r>
      <w:r>
        <w:rPr>
          <w:kern w:val="0"/>
        </w:rPr>
        <w:t>analysis Two authors independently assessed study eligibility</w:t>
      </w:r>
      <w:r w:rsidR="005853A9">
        <w:rPr>
          <w:kern w:val="0"/>
        </w:rPr>
        <w:t xml:space="preserve"> and </w:t>
      </w:r>
      <w:r>
        <w:rPr>
          <w:kern w:val="0"/>
        </w:rPr>
        <w:t>risk</w:t>
      </w:r>
      <w:r w:rsidR="00427468">
        <w:rPr>
          <w:kern w:val="0"/>
        </w:rPr>
        <w:t xml:space="preserve"> of </w:t>
      </w:r>
      <w:r>
        <w:rPr>
          <w:kern w:val="0"/>
        </w:rPr>
        <w:t>bias in trials</w:t>
      </w:r>
      <w:r w:rsidR="005853A9">
        <w:rPr>
          <w:kern w:val="0"/>
        </w:rPr>
        <w:t xml:space="preserve"> and </w:t>
      </w:r>
      <w:r>
        <w:rPr>
          <w:kern w:val="0"/>
        </w:rPr>
        <w:t>extracted data. We synthesized study results with a fixed-effect model meta-analysis. Main results We located 10 RCTs involving 2961 participating surgeons performing an operation in which the use</w:t>
      </w:r>
      <w:r w:rsidR="00427468">
        <w:rPr>
          <w:kern w:val="0"/>
        </w:rPr>
        <w:t xml:space="preserve"> of </w:t>
      </w:r>
      <w:r>
        <w:rPr>
          <w:kern w:val="0"/>
        </w:rPr>
        <w:t>blunt needles was compared to the use</w:t>
      </w:r>
      <w:r w:rsidR="00427468">
        <w:rPr>
          <w:kern w:val="0"/>
        </w:rPr>
        <w:t xml:space="preserve"> of </w:t>
      </w:r>
      <w:r>
        <w:rPr>
          <w:kern w:val="0"/>
        </w:rPr>
        <w:t>sharp needles. Four studies focused on abdominal closure, two on caesarean section, two on vaginal repair</w:t>
      </w:r>
      <w:r w:rsidR="005853A9">
        <w:rPr>
          <w:kern w:val="0"/>
        </w:rPr>
        <w:t xml:space="preserve"> and </w:t>
      </w:r>
      <w:r>
        <w:rPr>
          <w:kern w:val="0"/>
        </w:rPr>
        <w:t>two on hip replacement. On average, a surgeon that used sharp needles sustained one glove perforation in three operations</w:t>
      </w:r>
      <w:r w:rsidR="00A37C1D">
        <w:rPr>
          <w:kern w:val="0"/>
        </w:rPr>
        <w:t>. The</w:t>
      </w:r>
      <w:r>
        <w:rPr>
          <w:kern w:val="0"/>
        </w:rPr>
        <w:t xml:space="preserve"> use</w:t>
      </w:r>
      <w:r w:rsidR="00427468">
        <w:rPr>
          <w:kern w:val="0"/>
        </w:rPr>
        <w:t xml:space="preserve"> of </w:t>
      </w:r>
      <w:r>
        <w:rPr>
          <w:kern w:val="0"/>
        </w:rPr>
        <w:t>blunt needles reduced the risk</w:t>
      </w:r>
      <w:r w:rsidR="00427468">
        <w:rPr>
          <w:kern w:val="0"/>
        </w:rPr>
        <w:t xml:space="preserve"> of </w:t>
      </w:r>
      <w:r>
        <w:rPr>
          <w:kern w:val="0"/>
        </w:rPr>
        <w:t>glove perforations with a relative risk (RR)</w:t>
      </w:r>
      <w:r w:rsidR="00427468">
        <w:rPr>
          <w:kern w:val="0"/>
        </w:rPr>
        <w:t xml:space="preserve"> of </w:t>
      </w:r>
      <w:r>
        <w:rPr>
          <w:kern w:val="0"/>
        </w:rPr>
        <w:t>0.46 (95% confidence interval (CI) 0.38 to 0.54) compared to sharp needles</w:t>
      </w:r>
      <w:r w:rsidR="00A37C1D">
        <w:rPr>
          <w:kern w:val="0"/>
        </w:rPr>
        <w:t>. The</w:t>
      </w:r>
      <w:r>
        <w:rPr>
          <w:kern w:val="0"/>
        </w:rPr>
        <w:t xml:space="preserve"> use</w:t>
      </w:r>
      <w:r w:rsidR="00427468">
        <w:rPr>
          <w:kern w:val="0"/>
        </w:rPr>
        <w:t xml:space="preserve"> of </w:t>
      </w:r>
      <w:r>
        <w:rPr>
          <w:kern w:val="0"/>
        </w:rPr>
        <w:t>blunt needles will thus prevent one glove perforation in every six operations. In four studies, the use</w:t>
      </w:r>
      <w:r w:rsidR="00427468">
        <w:rPr>
          <w:kern w:val="0"/>
        </w:rPr>
        <w:t xml:space="preserve"> of </w:t>
      </w:r>
      <w:r>
        <w:rPr>
          <w:kern w:val="0"/>
        </w:rPr>
        <w:t>blunt needles reduced the number</w:t>
      </w:r>
      <w:r w:rsidR="00427468">
        <w:rPr>
          <w:kern w:val="0"/>
        </w:rPr>
        <w:t xml:space="preserve"> of </w:t>
      </w:r>
      <w:r>
        <w:rPr>
          <w:kern w:val="0"/>
        </w:rPr>
        <w:t>self-reported needle stick injuries with a RR</w:t>
      </w:r>
      <w:r w:rsidR="00427468">
        <w:rPr>
          <w:kern w:val="0"/>
        </w:rPr>
        <w:t xml:space="preserve"> of </w:t>
      </w:r>
      <w:r>
        <w:rPr>
          <w:kern w:val="0"/>
        </w:rPr>
        <w:t>0.31 (95% CI 0.14 to 0.68). Because the force needed for the blunt needles is higher, their use was rated as more difficult but still acceptable in five out</w:t>
      </w:r>
      <w:r w:rsidR="00427468">
        <w:rPr>
          <w:kern w:val="0"/>
        </w:rPr>
        <w:t xml:space="preserve"> of </w:t>
      </w:r>
      <w:r>
        <w:rPr>
          <w:kern w:val="0"/>
        </w:rPr>
        <w:t>six studies</w:t>
      </w:r>
      <w:r w:rsidR="00A37C1D">
        <w:rPr>
          <w:kern w:val="0"/>
        </w:rPr>
        <w:t>. The</w:t>
      </w:r>
      <w:r>
        <w:rPr>
          <w:kern w:val="0"/>
        </w:rPr>
        <w:t xml:space="preserve"> quality</w:t>
      </w:r>
      <w:r w:rsidR="00427468">
        <w:rPr>
          <w:kern w:val="0"/>
        </w:rPr>
        <w:t xml:space="preserve"> of </w:t>
      </w:r>
      <w:r>
        <w:rPr>
          <w:kern w:val="0"/>
        </w:rPr>
        <w:t>the evidence was rated as high. Authors</w:t>
      </w:r>
      <w:r w:rsidR="0071223E">
        <w:rPr>
          <w:kern w:val="0"/>
        </w:rPr>
        <w:t>’</w:t>
      </w:r>
      <w:r>
        <w:rPr>
          <w:kern w:val="0"/>
        </w:rPr>
        <w:t xml:space="preserve"> conclusions There is high quality evidence that the use</w:t>
      </w:r>
      <w:r w:rsidR="00427468">
        <w:rPr>
          <w:kern w:val="0"/>
        </w:rPr>
        <w:t xml:space="preserve"> of </w:t>
      </w:r>
      <w:r>
        <w:rPr>
          <w:kern w:val="0"/>
        </w:rPr>
        <w:t>blunt needles appreciably reduces the risk</w:t>
      </w:r>
      <w:r w:rsidR="00427468">
        <w:rPr>
          <w:kern w:val="0"/>
        </w:rPr>
        <w:t xml:space="preserve"> of </w:t>
      </w:r>
      <w:r>
        <w:rPr>
          <w:kern w:val="0"/>
        </w:rPr>
        <w:t>exposure to blood</w:t>
      </w:r>
      <w:r w:rsidR="005853A9">
        <w:rPr>
          <w:kern w:val="0"/>
        </w:rPr>
        <w:t xml:space="preserve"> and </w:t>
      </w:r>
      <w:r>
        <w:rPr>
          <w:kern w:val="0"/>
        </w:rPr>
        <w:t>bodily fluids for surgeons</w:t>
      </w:r>
      <w:r w:rsidR="005853A9">
        <w:rPr>
          <w:kern w:val="0"/>
        </w:rPr>
        <w:t xml:space="preserve"> and </w:t>
      </w:r>
      <w:r>
        <w:rPr>
          <w:kern w:val="0"/>
        </w:rPr>
        <w:t>their assistants over a range</w:t>
      </w:r>
      <w:r w:rsidR="00427468">
        <w:rPr>
          <w:kern w:val="0"/>
        </w:rPr>
        <w:t xml:space="preserve"> of </w:t>
      </w:r>
      <w:r>
        <w:rPr>
          <w:kern w:val="0"/>
        </w:rPr>
        <w:t>operations. It is unlikely that future research will change this conclusion.</w:t>
      </w:r>
    </w:p>
    <w:p w:rsidR="00365DE4" w:rsidRDefault="00365DE4" w:rsidP="00365DE4">
      <w:pPr>
        <w:pStyle w:val="a3"/>
        <w:rPr>
          <w:kern w:val="0"/>
        </w:rPr>
      </w:pPr>
      <w:r>
        <w:rPr>
          <w:kern w:val="0"/>
        </w:rPr>
        <w:t xml:space="preserve">Keywords: Analysis, At Risk, Authors, Bias, Blood, Blood Exposure, Citation, Effectiveness, Embase, Exposure, Glove Perforations, Health-Care Workers, Injuries, Intervention, </w:t>
      </w:r>
      <w:r w:rsidR="00D5664A">
        <w:rPr>
          <w:kern w:val="0"/>
        </w:rPr>
        <w:t>MEDLINE</w:t>
      </w:r>
      <w:r>
        <w:rPr>
          <w:kern w:val="0"/>
        </w:rPr>
        <w:t>, Meta Analysis, Meta-Analysis, Model, Nurses, Quality, Randomized-Controlled-Trial, Relative Risk, Research, Risk, Safety, Science, Science Citation Index, Search Strategy, Selection, Strategy, Surgical</w:t>
      </w:r>
    </w:p>
    <w:p w:rsidR="00365DE4" w:rsidRDefault="00365DE4" w:rsidP="00365DE4">
      <w:pPr>
        <w:pStyle w:val="a3"/>
        <w:rPr>
          <w:kern w:val="0"/>
        </w:rPr>
      </w:pPr>
      <w:r>
        <w:rPr>
          <w:kern w:val="0"/>
        </w:rPr>
        <w:t>? Roberts, I., Blackhall, K., Alderson, P., Bunn, F.</w:t>
      </w:r>
      <w:r w:rsidR="005853A9">
        <w:rPr>
          <w:kern w:val="0"/>
        </w:rPr>
        <w:t xml:space="preserve"> and </w:t>
      </w:r>
      <w:r>
        <w:rPr>
          <w:kern w:val="0"/>
        </w:rPr>
        <w:t>Schierhout, G. (2011), Human albumin solution for resuscitation</w:t>
      </w:r>
      <w:r w:rsidR="005853A9">
        <w:rPr>
          <w:kern w:val="0"/>
        </w:rPr>
        <w:t xml:space="preserve"> and </w:t>
      </w:r>
      <w:r>
        <w:rPr>
          <w:kern w:val="0"/>
        </w:rPr>
        <w:t xml:space="preserve">volume expansion in critically ill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CD001208.</w:t>
      </w:r>
    </w:p>
    <w:p w:rsidR="00365DE4" w:rsidRDefault="00365DE4" w:rsidP="00365DE4">
      <w:pPr>
        <w:pStyle w:val="a3"/>
        <w:rPr>
          <w:kern w:val="2"/>
        </w:rPr>
      </w:pPr>
      <w:r>
        <w:t xml:space="preserve">Full Text: </w:t>
      </w:r>
      <w:hyperlink r:id="rId702" w:history="1">
        <w:r>
          <w:rPr>
            <w:rStyle w:val="a5"/>
          </w:rPr>
          <w:t>2011\Coc Dat Sys Rev2011, CD001208.pdf</w:t>
        </w:r>
      </w:hyperlink>
    </w:p>
    <w:p w:rsidR="00365DE4" w:rsidRDefault="00365DE4" w:rsidP="00365DE4">
      <w:pPr>
        <w:pStyle w:val="a3"/>
        <w:rPr>
          <w:kern w:val="0"/>
        </w:rPr>
      </w:pPr>
      <w:r>
        <w:rPr>
          <w:kern w:val="0"/>
        </w:rPr>
        <w:t>Abstract: Background Human albumin solutions are used for a range</w:t>
      </w:r>
      <w:r w:rsidR="00427468">
        <w:rPr>
          <w:kern w:val="0"/>
        </w:rPr>
        <w:t xml:space="preserve"> of </w:t>
      </w:r>
      <w:r>
        <w:rPr>
          <w:kern w:val="0"/>
        </w:rPr>
        <w:t>medical</w:t>
      </w:r>
      <w:r w:rsidR="005853A9">
        <w:rPr>
          <w:kern w:val="0"/>
        </w:rPr>
        <w:t xml:space="preserve"> and </w:t>
      </w:r>
      <w:r>
        <w:rPr>
          <w:kern w:val="0"/>
        </w:rPr>
        <w:t>surgical problems. Licensed indications are the emergency treatment</w:t>
      </w:r>
      <w:r w:rsidR="00427468">
        <w:rPr>
          <w:kern w:val="0"/>
        </w:rPr>
        <w:t xml:space="preserve"> of </w:t>
      </w:r>
      <w:r>
        <w:rPr>
          <w:kern w:val="0"/>
        </w:rPr>
        <w:t>shock</w:t>
      </w:r>
      <w:r w:rsidR="005853A9">
        <w:rPr>
          <w:kern w:val="0"/>
        </w:rPr>
        <w:t xml:space="preserve"> and </w:t>
      </w:r>
      <w:r>
        <w:rPr>
          <w:kern w:val="0"/>
        </w:rPr>
        <w:lastRenderedPageBreak/>
        <w:t>other conditions where restoration</w:t>
      </w:r>
      <w:r w:rsidR="00427468">
        <w:rPr>
          <w:kern w:val="0"/>
        </w:rPr>
        <w:t xml:space="preserve"> of </w:t>
      </w:r>
      <w:r>
        <w:rPr>
          <w:kern w:val="0"/>
        </w:rPr>
        <w:t>blood volume is urgent, such as in burns</w:t>
      </w:r>
      <w:r w:rsidR="005853A9">
        <w:rPr>
          <w:kern w:val="0"/>
        </w:rPr>
        <w:t xml:space="preserve"> and </w:t>
      </w:r>
      <w:r>
        <w:rPr>
          <w:kern w:val="0"/>
        </w:rPr>
        <w:t>hypoproteinaemia. Human albumin solutions are more expensive than other colloids</w:t>
      </w:r>
      <w:r w:rsidR="005853A9">
        <w:rPr>
          <w:kern w:val="0"/>
        </w:rPr>
        <w:t xml:space="preserve"> and </w:t>
      </w:r>
      <w:r>
        <w:rPr>
          <w:kern w:val="0"/>
        </w:rPr>
        <w:t>crystalloids. Objectives to quantify the effect on mortality</w:t>
      </w:r>
      <w:r w:rsidR="00427468">
        <w:rPr>
          <w:kern w:val="0"/>
        </w:rPr>
        <w:t xml:space="preserve"> of </w:t>
      </w:r>
      <w:r>
        <w:rPr>
          <w:kern w:val="0"/>
        </w:rPr>
        <w:t>human albumin</w:t>
      </w:r>
      <w:r w:rsidR="005853A9">
        <w:rPr>
          <w:kern w:val="0"/>
        </w:rPr>
        <w:t xml:space="preserve"> and </w:t>
      </w:r>
      <w:r>
        <w:rPr>
          <w:kern w:val="0"/>
        </w:rPr>
        <w:t>plasma protein fraction (PPF) administration in the management</w:t>
      </w:r>
      <w:r w:rsidR="00427468">
        <w:rPr>
          <w:kern w:val="0"/>
        </w:rPr>
        <w:t xml:space="preserve"> of </w:t>
      </w:r>
      <w:r>
        <w:rPr>
          <w:kern w:val="0"/>
        </w:rPr>
        <w:t>critically ill patients. Search strategy We searched the Cochrane Injuries Group Specialised Register (searched 31 May 2011), the Cochrane Central Register</w:t>
      </w:r>
      <w:r w:rsidR="00427468">
        <w:rPr>
          <w:kern w:val="0"/>
        </w:rPr>
        <w:t xml:space="preserve"> of </w:t>
      </w:r>
      <w:r>
        <w:rPr>
          <w:kern w:val="0"/>
        </w:rPr>
        <w:t xml:space="preserve">Controlled Trials (CENTRAL) (The Cochrane Library 2011, Issue 2), </w:t>
      </w:r>
      <w:r w:rsidR="00D5664A">
        <w:rPr>
          <w:kern w:val="0"/>
        </w:rPr>
        <w:t>MEDLINE</w:t>
      </w:r>
      <w:r>
        <w:rPr>
          <w:kern w:val="0"/>
        </w:rPr>
        <w:t xml:space="preserve"> (Ovid) (1948 to week 3 May 2011), EMBASE (Ovid) (1980 to Week 21 2011), CINAHL (EBSCO) (1982 to May 2011),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May 2011), ISI </w:t>
      </w:r>
      <w:r w:rsidR="00D5664A">
        <w:rPr>
          <w:kern w:val="0"/>
        </w:rPr>
        <w:t>Web</w:t>
      </w:r>
      <w:r w:rsidR="00427468">
        <w:rPr>
          <w:kern w:val="0"/>
        </w:rPr>
        <w:t xml:space="preserve"> of </w:t>
      </w:r>
      <w:r w:rsidR="00D5664A">
        <w:rPr>
          <w:kern w:val="0"/>
        </w:rPr>
        <w:t>Science</w:t>
      </w:r>
      <w:r>
        <w:rPr>
          <w:kern w:val="0"/>
        </w:rPr>
        <w:t>: Conference Proceedings Citation Index - Science (CPCI-S) (1990 to May 2011), PubMed (www.ncbi.nlm.nih.gov/sites/entrez/) (searched 10 June 2011, limit: last 60 days). Reference lists</w:t>
      </w:r>
      <w:r w:rsidR="00427468">
        <w:rPr>
          <w:kern w:val="0"/>
        </w:rPr>
        <w:t xml:space="preserve"> of </w:t>
      </w:r>
      <w:r>
        <w:rPr>
          <w:kern w:val="0"/>
        </w:rPr>
        <w:t>trials</w:t>
      </w:r>
      <w:r w:rsidR="005853A9">
        <w:rPr>
          <w:kern w:val="0"/>
        </w:rPr>
        <w:t xml:space="preserve"> and </w:t>
      </w:r>
      <w:r>
        <w:rPr>
          <w:kern w:val="0"/>
        </w:rPr>
        <w:t>review articles were checked,</w:t>
      </w:r>
      <w:r w:rsidR="005853A9">
        <w:rPr>
          <w:kern w:val="0"/>
        </w:rPr>
        <w:t xml:space="preserve"> and </w:t>
      </w:r>
      <w:r>
        <w:rPr>
          <w:kern w:val="0"/>
        </w:rPr>
        <w:t>authors</w:t>
      </w:r>
      <w:r w:rsidR="00427468">
        <w:rPr>
          <w:kern w:val="0"/>
        </w:rPr>
        <w:t xml:space="preserve"> of </w:t>
      </w:r>
      <w:r>
        <w:rPr>
          <w:kern w:val="0"/>
        </w:rPr>
        <w:t>identified trials were contacted. Selection criteria Randomised controlled trials comparing albumin or PPF with no albumin or PPF or with a crystalloid solution in critically ill patients with hypovolaemia, burns or hypoalbuminaemia. Data collection</w:t>
      </w:r>
      <w:r w:rsidR="005853A9">
        <w:rPr>
          <w:kern w:val="0"/>
        </w:rPr>
        <w:t xml:space="preserve"> and </w:t>
      </w:r>
      <w:r>
        <w:rPr>
          <w:kern w:val="0"/>
        </w:rPr>
        <w:t>analysis We collected data on the participants, albumin solution used, mortality at the end</w:t>
      </w:r>
      <w:r w:rsidR="00427468">
        <w:rPr>
          <w:kern w:val="0"/>
        </w:rPr>
        <w:t xml:space="preserve"> of </w:t>
      </w:r>
      <w:r>
        <w:rPr>
          <w:kern w:val="0"/>
        </w:rPr>
        <w:t>follow up,</w:t>
      </w:r>
      <w:r w:rsidR="005853A9">
        <w:rPr>
          <w:kern w:val="0"/>
        </w:rPr>
        <w:t xml:space="preserve"> and </w:t>
      </w:r>
      <w:r>
        <w:rPr>
          <w:kern w:val="0"/>
        </w:rPr>
        <w:t>quality</w:t>
      </w:r>
      <w:r w:rsidR="00427468">
        <w:rPr>
          <w:kern w:val="0"/>
        </w:rPr>
        <w:t xml:space="preserve"> of </w:t>
      </w:r>
      <w:r>
        <w:rPr>
          <w:kern w:val="0"/>
        </w:rPr>
        <w:t>allocation concealment. Analysis was stratified according to patient type. Main results We found 38 trials meeting the inclusion criteria</w:t>
      </w:r>
      <w:r w:rsidR="005853A9">
        <w:rPr>
          <w:kern w:val="0"/>
        </w:rPr>
        <w:t xml:space="preserve"> and </w:t>
      </w:r>
      <w:r>
        <w:rPr>
          <w:kern w:val="0"/>
        </w:rPr>
        <w:t>reporting death as an outcome</w:t>
      </w:r>
      <w:r w:rsidR="00A37C1D">
        <w:rPr>
          <w:kern w:val="0"/>
        </w:rPr>
        <w:t>. The</w:t>
      </w:r>
      <w:r>
        <w:rPr>
          <w:kern w:val="0"/>
        </w:rPr>
        <w:t>re were 1,958 deaths among 10,842 trial participants. For hypovolaemia, the relative risk</w:t>
      </w:r>
      <w:r w:rsidR="00427468">
        <w:rPr>
          <w:kern w:val="0"/>
        </w:rPr>
        <w:t xml:space="preserve"> of </w:t>
      </w:r>
      <w:r>
        <w:rPr>
          <w:kern w:val="0"/>
        </w:rPr>
        <w:t>death following albumin administration was 1.02 (95% confidence interval (CI) 0.92 to 1.13). This estimate was heavily influenced by the results</w:t>
      </w:r>
      <w:r w:rsidR="00427468">
        <w:rPr>
          <w:kern w:val="0"/>
        </w:rPr>
        <w:t xml:space="preserve"> of </w:t>
      </w:r>
      <w:r>
        <w:rPr>
          <w:kern w:val="0"/>
        </w:rPr>
        <w:t>the SAFE trial, which contributed 75.2%</w:t>
      </w:r>
      <w:r w:rsidR="00427468">
        <w:rPr>
          <w:kern w:val="0"/>
        </w:rPr>
        <w:t xml:space="preserve"> of </w:t>
      </w:r>
      <w:r>
        <w:rPr>
          <w:kern w:val="0"/>
        </w:rPr>
        <w:t>the information (based on the weights in the meta-analysis). For burns, the relative risk was 2.93 (95% CI 1.28 to 6.72)</w:t>
      </w:r>
      <w:r w:rsidR="005853A9">
        <w:rPr>
          <w:kern w:val="0"/>
        </w:rPr>
        <w:t xml:space="preserve"> and </w:t>
      </w:r>
      <w:r>
        <w:rPr>
          <w:kern w:val="0"/>
        </w:rPr>
        <w:t>for hypoalbuminaemia the relative risk was 1.26 (95% CI 0.84 to 1.88)</w:t>
      </w:r>
      <w:r w:rsidR="00A37C1D">
        <w:rPr>
          <w:kern w:val="0"/>
        </w:rPr>
        <w:t>. The</w:t>
      </w:r>
      <w:r>
        <w:rPr>
          <w:kern w:val="0"/>
        </w:rPr>
        <w:t>re was no substantial heterogeneity between the trials in the various categories (Chi(2) = 26.66, df = 31, P = 0.69)</w:t>
      </w:r>
      <w:r w:rsidR="00A37C1D">
        <w:rPr>
          <w:kern w:val="0"/>
        </w:rPr>
        <w:t>. The</w:t>
      </w:r>
      <w:r>
        <w:rPr>
          <w:kern w:val="0"/>
        </w:rPr>
        <w:t xml:space="preserve"> pooled relative risk</w:t>
      </w:r>
      <w:r w:rsidR="00427468">
        <w:rPr>
          <w:kern w:val="0"/>
        </w:rPr>
        <w:t xml:space="preserve"> of </w:t>
      </w:r>
      <w:r>
        <w:rPr>
          <w:kern w:val="0"/>
        </w:rPr>
        <w:t>death with albumin administration was 1.05 (95% CI 0.95 to 1.16). Authors</w:t>
      </w:r>
      <w:r w:rsidR="0071223E">
        <w:rPr>
          <w:kern w:val="0"/>
        </w:rPr>
        <w:t>’</w:t>
      </w:r>
      <w:r>
        <w:rPr>
          <w:kern w:val="0"/>
        </w:rPr>
        <w:t xml:space="preserve"> conclusions For patients with hypovolaemia, there is no evidence that albumin reduces mortality when compared with cheaper alternatives such as saline</w:t>
      </w:r>
      <w:r w:rsidR="00A37C1D">
        <w:rPr>
          <w:kern w:val="0"/>
        </w:rPr>
        <w:t>. The</w:t>
      </w:r>
      <w:r>
        <w:rPr>
          <w:kern w:val="0"/>
        </w:rPr>
        <w:t>re is no evidence that albumin reduces mortality in critically ill patients with burns</w:t>
      </w:r>
      <w:r w:rsidR="005853A9">
        <w:rPr>
          <w:kern w:val="0"/>
        </w:rPr>
        <w:t xml:space="preserve"> and </w:t>
      </w:r>
      <w:r>
        <w:rPr>
          <w:kern w:val="0"/>
        </w:rPr>
        <w:t>hypoalbuminaemia</w:t>
      </w:r>
      <w:r w:rsidR="00A37C1D">
        <w:rPr>
          <w:kern w:val="0"/>
        </w:rPr>
        <w:t>. The</w:t>
      </w:r>
      <w:r>
        <w:rPr>
          <w:kern w:val="0"/>
        </w:rPr>
        <w:t xml:space="preserve"> possibility that there may be highly selected populations</w:t>
      </w:r>
      <w:r w:rsidR="00427468">
        <w:rPr>
          <w:kern w:val="0"/>
        </w:rPr>
        <w:t xml:space="preserve"> of </w:t>
      </w:r>
      <w:r>
        <w:rPr>
          <w:kern w:val="0"/>
        </w:rPr>
        <w:t>critically ill patients in which albumin may be indicated remains open to question. However, in view</w:t>
      </w:r>
      <w:r w:rsidR="00427468">
        <w:rPr>
          <w:kern w:val="0"/>
        </w:rPr>
        <w:t xml:space="preserve"> of </w:t>
      </w:r>
      <w:r>
        <w:rPr>
          <w:kern w:val="0"/>
        </w:rPr>
        <w:t>the absence</w:t>
      </w:r>
      <w:r w:rsidR="00427468">
        <w:rPr>
          <w:kern w:val="0"/>
        </w:rPr>
        <w:t xml:space="preserve"> of </w:t>
      </w:r>
      <w:r>
        <w:rPr>
          <w:kern w:val="0"/>
        </w:rPr>
        <w:t>evidence</w:t>
      </w:r>
      <w:r w:rsidR="00427468">
        <w:rPr>
          <w:kern w:val="0"/>
        </w:rPr>
        <w:t xml:space="preserve"> of </w:t>
      </w:r>
      <w:r>
        <w:rPr>
          <w:kern w:val="0"/>
        </w:rPr>
        <w:t>a mortality benefit from albumin</w:t>
      </w:r>
      <w:r w:rsidR="005853A9">
        <w:rPr>
          <w:kern w:val="0"/>
        </w:rPr>
        <w:t xml:space="preserve"> and </w:t>
      </w:r>
      <w:r>
        <w:rPr>
          <w:kern w:val="0"/>
        </w:rPr>
        <w:t>the increased cost</w:t>
      </w:r>
      <w:r w:rsidR="00427468">
        <w:rPr>
          <w:kern w:val="0"/>
        </w:rPr>
        <w:t xml:space="preserve"> of </w:t>
      </w:r>
      <w:r>
        <w:rPr>
          <w:kern w:val="0"/>
        </w:rPr>
        <w:t>albumin compared to alternatives such as saline, it would seem reasonable that albumin should only be used within the context</w:t>
      </w:r>
      <w:r w:rsidR="00427468">
        <w:rPr>
          <w:kern w:val="0"/>
        </w:rPr>
        <w:t xml:space="preserve"> of </w:t>
      </w:r>
      <w:r>
        <w:rPr>
          <w:kern w:val="0"/>
        </w:rPr>
        <w:t>well concealed</w:t>
      </w:r>
      <w:r w:rsidR="005853A9">
        <w:rPr>
          <w:kern w:val="0"/>
        </w:rPr>
        <w:t xml:space="preserve"> and </w:t>
      </w:r>
      <w:r>
        <w:rPr>
          <w:kern w:val="0"/>
        </w:rPr>
        <w:t>adequately powered randomised controlled trials.</w:t>
      </w:r>
    </w:p>
    <w:p w:rsidR="00365DE4" w:rsidRDefault="00365DE4" w:rsidP="00365DE4">
      <w:pPr>
        <w:pStyle w:val="a3"/>
        <w:rPr>
          <w:kern w:val="0"/>
        </w:rPr>
      </w:pPr>
      <w:r>
        <w:rPr>
          <w:kern w:val="0"/>
        </w:rPr>
        <w:t xml:space="preserve">Keywords: 5-Percent Albumin, Analysis, Authors, Blood, Blood Proteins [Therapeutic Use], Cerebral-Blood-Flow, Citation, Cochrane, Colloid Osmotic-Pressure, </w:t>
      </w:r>
      <w:r>
        <w:rPr>
          <w:kern w:val="0"/>
        </w:rPr>
        <w:lastRenderedPageBreak/>
        <w:t>Conference, Critical Illness [Mortality, Critically Ill Patients, Embase, Emergency, Fluid Resuscitation, Fluid Therapy, Follow-Up, Human, Humans, Hypoalbuminemic Patients, Information, Intensive-Care-Unit</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Major Surgery, Management, Medical, </w:t>
      </w:r>
      <w:r w:rsidR="00D5664A">
        <w:rPr>
          <w:kern w:val="0"/>
        </w:rPr>
        <w:t>MEDLINE</w:t>
      </w:r>
      <w:r>
        <w:rPr>
          <w:kern w:val="0"/>
        </w:rPr>
        <w:t xml:space="preserve">, Meta Analysis, Meta-Analysis, Mortality, Normal Saline, Outcome, Patients, Plasma, Plasma Substitutes [Therapeutic Use], Pubmed, Quality, Randomized Controlled Trials As Topic, Randomized Controlled-Trial, Relative Risk, Restoration, Review, Risk, Safe, Science, Science Citation Index, Search Strategy, Selection, Serum Albumin [Therapeutic Use], Serum Globulins, Strategy, Surgical, Therapy], Total Parenteral-Nutrition,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Rosti-Otajärvi, E.M.</w:t>
      </w:r>
      <w:r w:rsidR="005853A9">
        <w:rPr>
          <w:kern w:val="0"/>
        </w:rPr>
        <w:t xml:space="preserve"> and </w:t>
      </w:r>
      <w:r>
        <w:rPr>
          <w:kern w:val="0"/>
        </w:rPr>
        <w:t xml:space="preserve">Hämäläinen, P.I. (2011), Neuropsychological rehabilitation for multiple sclerosis.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CD009131.</w:t>
      </w:r>
    </w:p>
    <w:p w:rsidR="00365DE4" w:rsidRDefault="00365DE4" w:rsidP="00365DE4">
      <w:pPr>
        <w:pStyle w:val="a3"/>
        <w:rPr>
          <w:kern w:val="2"/>
        </w:rPr>
      </w:pPr>
      <w:r>
        <w:t xml:space="preserve">Full Text: </w:t>
      </w:r>
      <w:hyperlink r:id="rId703" w:history="1">
        <w:r>
          <w:rPr>
            <w:rStyle w:val="a5"/>
          </w:rPr>
          <w:t>2011\Coc Dat Sys Rev2011, CD009131.pdf</w:t>
        </w:r>
      </w:hyperlink>
    </w:p>
    <w:p w:rsidR="00365DE4" w:rsidRDefault="00365DE4" w:rsidP="00365DE4">
      <w:pPr>
        <w:pStyle w:val="a3"/>
        <w:rPr>
          <w:kern w:val="0"/>
        </w:rPr>
      </w:pPr>
      <w:r>
        <w:rPr>
          <w:kern w:val="0"/>
        </w:rPr>
        <w:t>Abstract: Background Cognitive deficits are a common manifestation in multiple sclerosis (MS)</w:t>
      </w:r>
      <w:r w:rsidR="005853A9">
        <w:rPr>
          <w:kern w:val="0"/>
        </w:rPr>
        <w:t xml:space="preserve"> and </w:t>
      </w:r>
      <w:r>
        <w:rPr>
          <w:kern w:val="0"/>
        </w:rPr>
        <w:t>have a wide effect on the patient</w:t>
      </w:r>
      <w:r w:rsidR="0071223E">
        <w:rPr>
          <w:kern w:val="0"/>
        </w:rPr>
        <w:t>’</w:t>
      </w:r>
      <w:r>
        <w:rPr>
          <w:kern w:val="0"/>
        </w:rPr>
        <w:t>s quality</w:t>
      </w:r>
      <w:r w:rsidR="00427468">
        <w:rPr>
          <w:kern w:val="0"/>
        </w:rPr>
        <w:t xml:space="preserve"> of </w:t>
      </w:r>
      <w:r>
        <w:rPr>
          <w:kern w:val="0"/>
        </w:rPr>
        <w:t>life. Alleviation</w:t>
      </w:r>
      <w:r w:rsidR="00427468">
        <w:rPr>
          <w:kern w:val="0"/>
        </w:rPr>
        <w:t xml:space="preserve"> of </w:t>
      </w:r>
      <w:r>
        <w:rPr>
          <w:kern w:val="0"/>
        </w:rPr>
        <w:t>the harmful effects caused by these deficits should be a major goal</w:t>
      </w:r>
      <w:r w:rsidR="00427468">
        <w:rPr>
          <w:kern w:val="0"/>
        </w:rPr>
        <w:t xml:space="preserve"> of </w:t>
      </w:r>
      <w:r>
        <w:rPr>
          <w:kern w:val="0"/>
        </w:rPr>
        <w:t>MS research</w:t>
      </w:r>
      <w:r w:rsidR="005853A9">
        <w:rPr>
          <w:kern w:val="0"/>
        </w:rPr>
        <w:t xml:space="preserve"> and </w:t>
      </w:r>
      <w:r>
        <w:rPr>
          <w:kern w:val="0"/>
        </w:rPr>
        <w:t>practice. Objectives The aim</w:t>
      </w:r>
      <w:r w:rsidR="00427468">
        <w:rPr>
          <w:kern w:val="0"/>
        </w:rPr>
        <w:t xml:space="preserve"> of </w:t>
      </w:r>
      <w:r>
        <w:rPr>
          <w:kern w:val="0"/>
        </w:rPr>
        <w:t>this review was to evaluate the effects</w:t>
      </w:r>
      <w:r w:rsidR="00427468">
        <w:rPr>
          <w:kern w:val="0"/>
        </w:rPr>
        <w:t xml:space="preserve"> of </w:t>
      </w:r>
      <w:r>
        <w:rPr>
          <w:kern w:val="0"/>
        </w:rPr>
        <w:t xml:space="preserve">neuropsychological/cognitive rehabilitation in MS by conducting a systematic review. Search strategy A systematic literature search was carried out on reports drawn from Cochrane MS Group Specialised Register (To October 2010), Evidence-based medicine (EBM) reviews (To September 2010), </w:t>
      </w:r>
      <w:r w:rsidR="00D5664A">
        <w:rPr>
          <w:kern w:val="0"/>
        </w:rPr>
        <w:t>MEDLINE</w:t>
      </w:r>
      <w:r>
        <w:rPr>
          <w:kern w:val="0"/>
        </w:rPr>
        <w:t xml:space="preserve"> (January 1950 to September 2010), EMBASE (1974 to September 2010), PsycINFO (January 1806 to September 2010), </w:t>
      </w:r>
      <w:r w:rsidR="00D5664A">
        <w:rPr>
          <w:kern w:val="0"/>
        </w:rPr>
        <w:t>Web</w:t>
      </w:r>
      <w:r w:rsidR="00427468">
        <w:rPr>
          <w:kern w:val="0"/>
        </w:rPr>
        <w:t xml:space="preserve"> of </w:t>
      </w:r>
      <w:r w:rsidR="00D5664A">
        <w:rPr>
          <w:kern w:val="0"/>
        </w:rPr>
        <w:t>Science</w:t>
      </w:r>
      <w:r>
        <w:rPr>
          <w:kern w:val="0"/>
        </w:rPr>
        <w:t xml:space="preserve"> (WOS) (January 1986 to September 2010), CINAHL (1982 to September 2010),</w:t>
      </w:r>
      <w:r w:rsidR="005853A9">
        <w:rPr>
          <w:kern w:val="0"/>
        </w:rPr>
        <w:t xml:space="preserve"> and </w:t>
      </w:r>
      <w:r>
        <w:rPr>
          <w:kern w:val="0"/>
        </w:rPr>
        <w:t>identified from the references in these reports. Selection criteria Randomised Controlled Trials (RCTs)</w:t>
      </w:r>
      <w:r w:rsidR="005853A9">
        <w:rPr>
          <w:kern w:val="0"/>
        </w:rPr>
        <w:t xml:space="preserve"> and </w:t>
      </w:r>
      <w:r>
        <w:rPr>
          <w:kern w:val="0"/>
        </w:rPr>
        <w:t>quasi-randomised trials evaluating the effects</w:t>
      </w:r>
      <w:r w:rsidR="00427468">
        <w:rPr>
          <w:kern w:val="0"/>
        </w:rPr>
        <w:t xml:space="preserve"> of </w:t>
      </w:r>
      <w:r>
        <w:rPr>
          <w:kern w:val="0"/>
        </w:rPr>
        <w:t>neuropsychological rehabilitation in MS compared to other interventions or no intervention at all</w:t>
      </w:r>
      <w:r w:rsidR="005853A9">
        <w:rPr>
          <w:kern w:val="0"/>
        </w:rPr>
        <w:t xml:space="preserve"> and </w:t>
      </w:r>
      <w:r>
        <w:rPr>
          <w:kern w:val="0"/>
        </w:rPr>
        <w:t>employing neuropsychological rehabilitation methods</w:t>
      </w:r>
      <w:r w:rsidR="005853A9">
        <w:rPr>
          <w:kern w:val="0"/>
        </w:rPr>
        <w:t xml:space="preserve"> and </w:t>
      </w:r>
      <w:r>
        <w:rPr>
          <w:kern w:val="0"/>
        </w:rPr>
        <w:t>outcome measures were included. Data collection</w:t>
      </w:r>
      <w:r w:rsidR="005853A9">
        <w:rPr>
          <w:kern w:val="0"/>
        </w:rPr>
        <w:t xml:space="preserve"> and </w:t>
      </w:r>
      <w:r>
        <w:rPr>
          <w:kern w:val="0"/>
        </w:rPr>
        <w:t>analysis Two review authors individually judged the relevance, risk</w:t>
      </w:r>
      <w:r w:rsidR="00427468">
        <w:rPr>
          <w:kern w:val="0"/>
        </w:rPr>
        <w:t xml:space="preserve"> of </w:t>
      </w:r>
      <w:r>
        <w:rPr>
          <w:kern w:val="0"/>
        </w:rPr>
        <w:t>bias,</w:t>
      </w:r>
      <w:r w:rsidR="005853A9">
        <w:rPr>
          <w:kern w:val="0"/>
        </w:rPr>
        <w:t xml:space="preserve"> and </w:t>
      </w:r>
      <w:r>
        <w:rPr>
          <w:kern w:val="0"/>
        </w:rPr>
        <w:t>content</w:t>
      </w:r>
      <w:r w:rsidR="00427468">
        <w:rPr>
          <w:kern w:val="0"/>
        </w:rPr>
        <w:t xml:space="preserve"> of </w:t>
      </w:r>
      <w:r>
        <w:rPr>
          <w:kern w:val="0"/>
        </w:rPr>
        <w:t>the included studies. Results were combined quantitatively with meta-analyses according to the intervention type: 1) Cognitive training</w:t>
      </w:r>
      <w:r w:rsidR="005853A9">
        <w:rPr>
          <w:kern w:val="0"/>
        </w:rPr>
        <w:t xml:space="preserve"> and </w:t>
      </w:r>
      <w:r>
        <w:rPr>
          <w:kern w:val="0"/>
        </w:rPr>
        <w:t>2) Cognitive training combined with other neuropsychological rehabilitation methods. In addition, narrative presentation was used in reporting the results</w:t>
      </w:r>
      <w:r w:rsidR="00427468">
        <w:rPr>
          <w:kern w:val="0"/>
        </w:rPr>
        <w:t xml:space="preserve"> of </w:t>
      </w:r>
      <w:r>
        <w:rPr>
          <w:kern w:val="0"/>
        </w:rPr>
        <w:t>those studies which were inappropriate to be included in the meta-analysis. Main results Fourteen studies (770 MS patients) fulfilled the inclusion criteria. On the basis</w:t>
      </w:r>
      <w:r w:rsidR="00427468">
        <w:rPr>
          <w:kern w:val="0"/>
        </w:rPr>
        <w:t xml:space="preserve"> of </w:t>
      </w:r>
      <w:r>
        <w:rPr>
          <w:kern w:val="0"/>
        </w:rPr>
        <w:t xml:space="preserve">these studies, low level evidence was found that neuropsychological rehabilitation reduces cognitive symptoms in MS. Cognitive training was found to improve memory span (standardised mean difference 0.54 (95% confidence interval </w:t>
      </w:r>
      <w:r>
        <w:rPr>
          <w:kern w:val="0"/>
        </w:rPr>
        <w:lastRenderedPageBreak/>
        <w:t>0.2 to 0.88, P = 0.002)), working memory (standardised mean difference 0.33 (95% confidence interval 0.09 to 0.57, P = 0.006)),</w:t>
      </w:r>
      <w:r w:rsidR="005853A9">
        <w:rPr>
          <w:kern w:val="0"/>
        </w:rPr>
        <w:t xml:space="preserve"> and </w:t>
      </w:r>
      <w:r>
        <w:rPr>
          <w:kern w:val="0"/>
        </w:rPr>
        <w:t>immediate visual memory (standardised mean difference 0.32 (95% confidence interval 0.04 to 0.6, P = 0.02))</w:t>
      </w:r>
      <w:r w:rsidR="00A37C1D">
        <w:rPr>
          <w:kern w:val="0"/>
        </w:rPr>
        <w:t>. The</w:t>
      </w:r>
      <w:r>
        <w:rPr>
          <w:kern w:val="0"/>
        </w:rPr>
        <w:t>re was no evidence</w:t>
      </w:r>
      <w:r w:rsidR="00427468">
        <w:rPr>
          <w:kern w:val="0"/>
        </w:rPr>
        <w:t xml:space="preserve"> of </w:t>
      </w:r>
      <w:r>
        <w:rPr>
          <w:kern w:val="0"/>
        </w:rPr>
        <w:t>an effect</w:t>
      </w:r>
      <w:r w:rsidR="00427468">
        <w:rPr>
          <w:kern w:val="0"/>
        </w:rPr>
        <w:t xml:space="preserve"> of </w:t>
      </w:r>
      <w:r>
        <w:rPr>
          <w:kern w:val="0"/>
        </w:rPr>
        <w:t>cognitive training combined with other neuropsychological rehabilitation methods on cognitive or emotional functions</w:t>
      </w:r>
      <w:r w:rsidR="00A37C1D">
        <w:rPr>
          <w:kern w:val="0"/>
        </w:rPr>
        <w:t>. The</w:t>
      </w:r>
      <w:r>
        <w:rPr>
          <w:kern w:val="0"/>
        </w:rPr>
        <w:t xml:space="preserve"> overall quality as well as the comparability</w:t>
      </w:r>
      <w:r w:rsidR="00427468">
        <w:rPr>
          <w:kern w:val="0"/>
        </w:rPr>
        <w:t xml:space="preserve"> of </w:t>
      </w:r>
      <w:r>
        <w:rPr>
          <w:kern w:val="0"/>
        </w:rPr>
        <w:t>the included studies were relatively low due to methodological limitations</w:t>
      </w:r>
      <w:r w:rsidR="005853A9">
        <w:rPr>
          <w:kern w:val="0"/>
        </w:rPr>
        <w:t xml:space="preserve"> and </w:t>
      </w:r>
      <w:r>
        <w:rPr>
          <w:kern w:val="0"/>
        </w:rPr>
        <w:t>heterogeneity</w:t>
      </w:r>
      <w:r w:rsidR="00427468">
        <w:rPr>
          <w:kern w:val="0"/>
        </w:rPr>
        <w:t xml:space="preserve"> of </w:t>
      </w:r>
      <w:r>
        <w:rPr>
          <w:kern w:val="0"/>
        </w:rPr>
        <w:t>outcome measures. Although most</w:t>
      </w:r>
      <w:r w:rsidR="00427468">
        <w:rPr>
          <w:kern w:val="0"/>
        </w:rPr>
        <w:t xml:space="preserve"> of </w:t>
      </w:r>
      <w:r>
        <w:rPr>
          <w:kern w:val="0"/>
        </w:rPr>
        <w:t>the pooled results in the meta-analyses yielded no significant findings, twelve</w:t>
      </w:r>
      <w:r w:rsidR="00427468">
        <w:rPr>
          <w:kern w:val="0"/>
        </w:rPr>
        <w:t xml:space="preserve"> of </w:t>
      </w:r>
      <w:r>
        <w:rPr>
          <w:kern w:val="0"/>
        </w:rPr>
        <w:t>the fourteen studies showed some evidence</w:t>
      </w:r>
      <w:r w:rsidR="00427468">
        <w:rPr>
          <w:kern w:val="0"/>
        </w:rPr>
        <w:t xml:space="preserve"> of </w:t>
      </w:r>
      <w:r>
        <w:rPr>
          <w:kern w:val="0"/>
        </w:rPr>
        <w:t>positive effects when the studies were individually analysed. Authors</w:t>
      </w:r>
      <w:r w:rsidR="0071223E">
        <w:rPr>
          <w:kern w:val="0"/>
        </w:rPr>
        <w:t>’</w:t>
      </w:r>
      <w:r>
        <w:rPr>
          <w:kern w:val="0"/>
        </w:rPr>
        <w:t xml:space="preserve"> conclusions The review indicates low level evidence for the positive effects</w:t>
      </w:r>
      <w:r w:rsidR="00427468">
        <w:rPr>
          <w:kern w:val="0"/>
        </w:rPr>
        <w:t xml:space="preserve"> of </w:t>
      </w:r>
      <w:r>
        <w:rPr>
          <w:kern w:val="0"/>
        </w:rPr>
        <w:t>neuropsychological rehabilitation in MS. Interventions included in the review were heterogeneous. Consequently, clinical inferences can basically be drawn from single studies</w:t>
      </w:r>
      <w:r w:rsidR="00A37C1D">
        <w:rPr>
          <w:kern w:val="0"/>
        </w:rPr>
        <w:t>. The</w:t>
      </w:r>
      <w:r>
        <w:rPr>
          <w:kern w:val="0"/>
        </w:rPr>
        <w:t>refore, new trials may change the strength</w:t>
      </w:r>
      <w:r w:rsidR="005853A9">
        <w:rPr>
          <w:kern w:val="0"/>
        </w:rPr>
        <w:t xml:space="preserve"> and </w:t>
      </w:r>
      <w:r>
        <w:rPr>
          <w:kern w:val="0"/>
        </w:rPr>
        <w:t>direction</w:t>
      </w:r>
      <w:r w:rsidR="00427468">
        <w:rPr>
          <w:kern w:val="0"/>
        </w:rPr>
        <w:t xml:space="preserve"> of </w:t>
      </w:r>
      <w:r>
        <w:rPr>
          <w:kern w:val="0"/>
        </w:rPr>
        <w:t>the evidence. to further strengthen the evidence, well-designed high quality studies are needed. In this systematic review, recommendations are given for improving the quality</w:t>
      </w:r>
      <w:r w:rsidR="00427468">
        <w:rPr>
          <w:kern w:val="0"/>
        </w:rPr>
        <w:t xml:space="preserve"> of </w:t>
      </w:r>
      <w:r>
        <w:rPr>
          <w:kern w:val="0"/>
        </w:rPr>
        <w:t>future studies on the effects</w:t>
      </w:r>
      <w:r w:rsidR="00427468">
        <w:rPr>
          <w:kern w:val="0"/>
        </w:rPr>
        <w:t xml:space="preserve"> of </w:t>
      </w:r>
      <w:r>
        <w:rPr>
          <w:kern w:val="0"/>
        </w:rPr>
        <w:t>neuropsychological rehabilitation in MS.</w:t>
      </w:r>
    </w:p>
    <w:p w:rsidR="00365DE4" w:rsidRDefault="00365DE4" w:rsidP="00365DE4">
      <w:pPr>
        <w:pStyle w:val="a3"/>
        <w:rPr>
          <w:kern w:val="0"/>
        </w:rPr>
      </w:pPr>
      <w:r>
        <w:rPr>
          <w:kern w:val="0"/>
        </w:rPr>
        <w:t xml:space="preserve">Keywords: Analysis, Authors, Bias, Brain Atrophy, Cochrane, Cognitive Rehabilitation, Diagnostic-Criteria, Efficacy, Embase, Evidence-Based Medicine, Follow-Up, Intervention, Interventions, Literature, Low, Medicine, </w:t>
      </w:r>
      <w:r w:rsidR="00D5664A">
        <w:rPr>
          <w:kern w:val="0"/>
        </w:rPr>
        <w:t>MEDLINE</w:t>
      </w:r>
      <w:r>
        <w:rPr>
          <w:kern w:val="0"/>
        </w:rPr>
        <w:t>, Memory, Meta Analysis, Meta-Analysis, Ms Patients, Multiple Sclerosis, Of-Science, Outcome, Patients, People, Practice, Quality, Quality</w:t>
      </w:r>
      <w:r w:rsidR="00427468">
        <w:rPr>
          <w:kern w:val="0"/>
        </w:rPr>
        <w:t xml:space="preserve"> of </w:t>
      </w:r>
      <w:r>
        <w:rPr>
          <w:kern w:val="0"/>
        </w:rPr>
        <w:t xml:space="preserve">Life, Randomized Controlled-Trial, Recommendations, Rehabilitation, Research, Review, Risk, Science, Search Strategy, Selection, Self-Generation, Strategy, Strength, Symptoms, Systematic, Systematic Review, Training, Web, </w:t>
      </w:r>
      <w:r w:rsidR="00D5664A">
        <w:rPr>
          <w:kern w:val="0"/>
        </w:rPr>
        <w:t>Web-of-Science</w:t>
      </w:r>
      <w:r>
        <w:rPr>
          <w:kern w:val="0"/>
        </w:rPr>
        <w:t>, Working-Memory</w:t>
      </w:r>
    </w:p>
    <w:p w:rsidR="00365DE4" w:rsidRDefault="00365DE4" w:rsidP="00365DE4">
      <w:pPr>
        <w:pStyle w:val="a3"/>
        <w:rPr>
          <w:kern w:val="0"/>
        </w:rPr>
      </w:pPr>
      <w:r>
        <w:rPr>
          <w:kern w:val="0"/>
        </w:rPr>
        <w:t>? Young, T.</w:t>
      </w:r>
      <w:r w:rsidR="005853A9">
        <w:rPr>
          <w:kern w:val="0"/>
        </w:rPr>
        <w:t xml:space="preserve"> and </w:t>
      </w:r>
      <w:r>
        <w:rPr>
          <w:kern w:val="0"/>
        </w:rPr>
        <w:t xml:space="preserve">Hopewell, S. (2011), Methods for obtaining unpublished data.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MR000027.</w:t>
      </w:r>
    </w:p>
    <w:p w:rsidR="00365DE4" w:rsidRDefault="00365DE4" w:rsidP="00365DE4">
      <w:pPr>
        <w:pStyle w:val="a3"/>
        <w:rPr>
          <w:kern w:val="2"/>
        </w:rPr>
      </w:pPr>
      <w:r>
        <w:t xml:space="preserve">Full Text: </w:t>
      </w:r>
      <w:hyperlink r:id="rId704" w:history="1">
        <w:r>
          <w:rPr>
            <w:rStyle w:val="a5"/>
          </w:rPr>
          <w:t>2011\Coc Dat Sys Rev2011, MR000027.pdf</w:t>
        </w:r>
      </w:hyperlink>
    </w:p>
    <w:p w:rsidR="00365DE4" w:rsidRDefault="00365DE4" w:rsidP="00365DE4">
      <w:pPr>
        <w:pStyle w:val="a3"/>
        <w:rPr>
          <w:kern w:val="0"/>
        </w:rPr>
      </w:pPr>
      <w:r>
        <w:rPr>
          <w:kern w:val="0"/>
        </w:rPr>
        <w:t>Abstract: Background In order to minimise publication bias, authors</w:t>
      </w:r>
      <w:r w:rsidR="00427468">
        <w:rPr>
          <w:kern w:val="0"/>
        </w:rPr>
        <w:t xml:space="preserve"> of </w:t>
      </w:r>
      <w:r>
        <w:rPr>
          <w:kern w:val="0"/>
        </w:rPr>
        <w:t>systematic reviews often spend considerable time trying to obtain unpublished data</w:t>
      </w:r>
      <w:r w:rsidR="00A37C1D">
        <w:rPr>
          <w:kern w:val="0"/>
        </w:rPr>
        <w:t>. The</w:t>
      </w:r>
      <w:r>
        <w:rPr>
          <w:kern w:val="0"/>
        </w:rPr>
        <w:t>se include data from studies conducted but not published (unpublished data), as either an abstract or full-text paper, as well as missing data (data available to original researchers but not reported) in published abstracts or full-text publications</w:t>
      </w:r>
      <w:r w:rsidR="00A37C1D">
        <w:rPr>
          <w:kern w:val="0"/>
        </w:rPr>
        <w:t>. The</w:t>
      </w:r>
      <w:r>
        <w:rPr>
          <w:kern w:val="0"/>
        </w:rPr>
        <w:t xml:space="preserve"> effectiveness</w:t>
      </w:r>
      <w:r w:rsidR="00427468">
        <w:rPr>
          <w:kern w:val="0"/>
        </w:rPr>
        <w:t xml:space="preserve"> of </w:t>
      </w:r>
      <w:r>
        <w:rPr>
          <w:kern w:val="0"/>
        </w:rPr>
        <w:t>different methods used to obtain unpublished or missing data has not been systematically evaluated. Objectives to assess the effects</w:t>
      </w:r>
      <w:r w:rsidR="00427468">
        <w:rPr>
          <w:kern w:val="0"/>
        </w:rPr>
        <w:t xml:space="preserve"> of </w:t>
      </w:r>
      <w:r>
        <w:rPr>
          <w:kern w:val="0"/>
        </w:rPr>
        <w:t>different methods for obtaining unpublished studies (data)</w:t>
      </w:r>
      <w:r w:rsidR="005853A9">
        <w:rPr>
          <w:kern w:val="0"/>
        </w:rPr>
        <w:t xml:space="preserve"> and </w:t>
      </w:r>
      <w:r>
        <w:rPr>
          <w:kern w:val="0"/>
        </w:rPr>
        <w:t>missing data from studies to be included in systematic reviews. Search strategy We identified primary studies comparing different methods</w:t>
      </w:r>
      <w:r w:rsidR="00427468">
        <w:rPr>
          <w:kern w:val="0"/>
        </w:rPr>
        <w:t xml:space="preserve"> of </w:t>
      </w:r>
      <w:r>
        <w:rPr>
          <w:kern w:val="0"/>
        </w:rPr>
        <w:t xml:space="preserve">obtaining unpublished studies (data) or missing data by searching the Cochrane Methodology Register (Issue 1, 2010), </w:t>
      </w:r>
      <w:r w:rsidR="00D5664A">
        <w:rPr>
          <w:kern w:val="0"/>
        </w:rPr>
        <w:t>MEDLINE</w:t>
      </w:r>
      <w:r w:rsidR="005853A9">
        <w:rPr>
          <w:kern w:val="0"/>
        </w:rPr>
        <w:t xml:space="preserve"> and </w:t>
      </w:r>
      <w:r>
        <w:rPr>
          <w:kern w:val="0"/>
        </w:rPr>
        <w:lastRenderedPageBreak/>
        <w:t>EMBASE (1980 to 28 April 2010). We also checked references in relevant reports</w:t>
      </w:r>
      <w:r w:rsidR="005853A9">
        <w:rPr>
          <w:kern w:val="0"/>
        </w:rPr>
        <w:t xml:space="preserve"> and </w:t>
      </w:r>
      <w:r>
        <w:rPr>
          <w:kern w:val="0"/>
        </w:rPr>
        <w:t>contacted researchers who were known or who were thought likely to have carried out relevant studies. We used the Science Citation Index</w:t>
      </w:r>
      <w:r w:rsidR="005853A9">
        <w:rPr>
          <w:kern w:val="0"/>
        </w:rPr>
        <w:t xml:space="preserve"> and </w:t>
      </w:r>
      <w:r>
        <w:rPr>
          <w:kern w:val="0"/>
        </w:rPr>
        <w:t xml:space="preserve">PubMed </w:t>
      </w:r>
      <w:r w:rsidR="0071223E">
        <w:rPr>
          <w:kern w:val="0"/>
        </w:rPr>
        <w:t>‘</w:t>
      </w:r>
      <w:r>
        <w:rPr>
          <w:kern w:val="0"/>
        </w:rPr>
        <w:t>related articles</w:t>
      </w:r>
      <w:r w:rsidR="0071223E">
        <w:rPr>
          <w:kern w:val="0"/>
        </w:rPr>
        <w:t>’</w:t>
      </w:r>
      <w:r>
        <w:rPr>
          <w:kern w:val="0"/>
        </w:rPr>
        <w:t xml:space="preserve"> feature to identify any additional studies identified by other sources (19 June 2009). Selection criteria Primary studies comparing different methods</w:t>
      </w:r>
      <w:r w:rsidR="00427468">
        <w:rPr>
          <w:kern w:val="0"/>
        </w:rPr>
        <w:t xml:space="preserve"> of </w:t>
      </w:r>
      <w:r>
        <w:rPr>
          <w:kern w:val="0"/>
        </w:rPr>
        <w:t>obtaining unpublished studies (data) or missing data in the healthcare setting. Data collection</w:t>
      </w:r>
      <w:r w:rsidR="005853A9">
        <w:rPr>
          <w:kern w:val="0"/>
        </w:rPr>
        <w:t xml:space="preserve"> and </w:t>
      </w:r>
      <w:r>
        <w:rPr>
          <w:kern w:val="0"/>
        </w:rPr>
        <w:t>analysis The primary outcome measure was the proportion</w:t>
      </w:r>
      <w:r w:rsidR="00427468">
        <w:rPr>
          <w:kern w:val="0"/>
        </w:rPr>
        <w:t xml:space="preserve"> of </w:t>
      </w:r>
      <w:r>
        <w:rPr>
          <w:kern w:val="0"/>
        </w:rPr>
        <w:t>unpublished studies (data) or missing data obtained, as defined</w:t>
      </w:r>
      <w:r w:rsidR="005853A9">
        <w:rPr>
          <w:kern w:val="0"/>
        </w:rPr>
        <w:t xml:space="preserve"> and </w:t>
      </w:r>
      <w:r>
        <w:rPr>
          <w:kern w:val="0"/>
        </w:rPr>
        <w:t>reported by the authors</w:t>
      </w:r>
      <w:r w:rsidR="00427468">
        <w:rPr>
          <w:kern w:val="0"/>
        </w:rPr>
        <w:t xml:space="preserve"> of </w:t>
      </w:r>
      <w:r>
        <w:rPr>
          <w:kern w:val="0"/>
        </w:rPr>
        <w:t>the included studies. Two authors independently assessed the search results, extracted data</w:t>
      </w:r>
      <w:r w:rsidR="005853A9">
        <w:rPr>
          <w:kern w:val="0"/>
        </w:rPr>
        <w:t xml:space="preserve"> and </w:t>
      </w:r>
      <w:r>
        <w:rPr>
          <w:kern w:val="0"/>
        </w:rPr>
        <w:t>assessed risk</w:t>
      </w:r>
      <w:r w:rsidR="00427468">
        <w:rPr>
          <w:kern w:val="0"/>
        </w:rPr>
        <w:t xml:space="preserve"> of </w:t>
      </w:r>
      <w:r>
        <w:rPr>
          <w:kern w:val="0"/>
        </w:rPr>
        <w:t>bias using a standardised data extraction form. We resolved any disagreements by discussion. Main results Six studies met the inclusion criteria; two were randomised studies</w:t>
      </w:r>
      <w:r w:rsidR="005853A9">
        <w:rPr>
          <w:kern w:val="0"/>
        </w:rPr>
        <w:t xml:space="preserve"> and </w:t>
      </w:r>
      <w:r>
        <w:rPr>
          <w:kern w:val="0"/>
        </w:rPr>
        <w:t>four were observational comparative studies evaluating different methods for obtaining missing data. Methods to obtain missing data Five studies, two randomised studies</w:t>
      </w:r>
      <w:r w:rsidR="005853A9">
        <w:rPr>
          <w:kern w:val="0"/>
        </w:rPr>
        <w:t xml:space="preserve"> and </w:t>
      </w:r>
      <w:r>
        <w:rPr>
          <w:kern w:val="0"/>
        </w:rPr>
        <w:t>three observational comparative studies, assessed methods for obtaining missing data (i.e. data available to the original researchers but not reported in the published study). Two studies found that correspondence with study authors by e-mail resulted in the greatest response rate with the fewest attempts</w:t>
      </w:r>
      <w:r w:rsidR="005853A9">
        <w:rPr>
          <w:kern w:val="0"/>
        </w:rPr>
        <w:t xml:space="preserve"> and </w:t>
      </w:r>
      <w:r>
        <w:rPr>
          <w:kern w:val="0"/>
        </w:rPr>
        <w:t>shortest time to respond</w:t>
      </w:r>
      <w:r w:rsidR="00A37C1D">
        <w:rPr>
          <w:kern w:val="0"/>
        </w:rPr>
        <w:t>. The</w:t>
      </w:r>
      <w:r>
        <w:rPr>
          <w:kern w:val="0"/>
        </w:rPr>
        <w:t xml:space="preserve"> difference between the effect</w:t>
      </w:r>
      <w:r w:rsidR="00427468">
        <w:rPr>
          <w:kern w:val="0"/>
        </w:rPr>
        <w:t xml:space="preserve"> of </w:t>
      </w:r>
      <w:r>
        <w:rPr>
          <w:kern w:val="0"/>
        </w:rPr>
        <w:t>a single request for missing information (by e-mail or surface mail) versus a multistage approach (pre-notification, request for missing information</w:t>
      </w:r>
      <w:r w:rsidR="005853A9">
        <w:rPr>
          <w:kern w:val="0"/>
        </w:rPr>
        <w:t xml:space="preserve"> and </w:t>
      </w:r>
      <w:r>
        <w:rPr>
          <w:kern w:val="0"/>
        </w:rPr>
        <w:t>active follow-up) was not significant for response rate</w:t>
      </w:r>
      <w:r w:rsidR="005853A9">
        <w:rPr>
          <w:kern w:val="0"/>
        </w:rPr>
        <w:t xml:space="preserve"> and </w:t>
      </w:r>
      <w:r>
        <w:rPr>
          <w:kern w:val="0"/>
        </w:rPr>
        <w:t>completeness</w:t>
      </w:r>
      <w:r w:rsidR="00427468">
        <w:rPr>
          <w:kern w:val="0"/>
        </w:rPr>
        <w:t xml:space="preserve"> of </w:t>
      </w:r>
      <w:r>
        <w:rPr>
          <w:kern w:val="0"/>
        </w:rPr>
        <w:t>information retrieved (one study). Requests for clarification</w:t>
      </w:r>
      <w:r w:rsidR="00427468">
        <w:rPr>
          <w:kern w:val="0"/>
        </w:rPr>
        <w:t xml:space="preserve"> of </w:t>
      </w:r>
      <w:r>
        <w:rPr>
          <w:kern w:val="0"/>
        </w:rPr>
        <w:t>methods (one study) resulted in a greater response than requests for missing data. A well-known signatory had no significant effect on the likelihood</w:t>
      </w:r>
      <w:r w:rsidR="00427468">
        <w:rPr>
          <w:kern w:val="0"/>
        </w:rPr>
        <w:t xml:space="preserve"> of </w:t>
      </w:r>
      <w:r>
        <w:rPr>
          <w:kern w:val="0"/>
        </w:rPr>
        <w:t>authors responding to a request for unpublished information (one study). One study assessed the number</w:t>
      </w:r>
      <w:r w:rsidR="00427468">
        <w:rPr>
          <w:kern w:val="0"/>
        </w:rPr>
        <w:t xml:space="preserve"> of </w:t>
      </w:r>
      <w:r>
        <w:rPr>
          <w:kern w:val="0"/>
        </w:rPr>
        <w:t>attempts made to obtain missing data</w:t>
      </w:r>
      <w:r w:rsidR="005853A9">
        <w:rPr>
          <w:kern w:val="0"/>
        </w:rPr>
        <w:t xml:space="preserve"> and </w:t>
      </w:r>
      <w:r>
        <w:rPr>
          <w:kern w:val="0"/>
        </w:rPr>
        <w:t>found that the number</w:t>
      </w:r>
      <w:r w:rsidR="00427468">
        <w:rPr>
          <w:kern w:val="0"/>
        </w:rPr>
        <w:t xml:space="preserve"> of </w:t>
      </w:r>
      <w:r>
        <w:rPr>
          <w:kern w:val="0"/>
        </w:rPr>
        <w:t>items requested did not influence the probability</w:t>
      </w:r>
      <w:r w:rsidR="00427468">
        <w:rPr>
          <w:kern w:val="0"/>
        </w:rPr>
        <w:t xml:space="preserve"> of </w:t>
      </w:r>
      <w:r>
        <w:rPr>
          <w:kern w:val="0"/>
        </w:rPr>
        <w:t>response. In addition, multiple attempts using the same methods did not increase the likelihood</w:t>
      </w:r>
      <w:r w:rsidR="00427468">
        <w:rPr>
          <w:kern w:val="0"/>
        </w:rPr>
        <w:t xml:space="preserve"> of </w:t>
      </w:r>
      <w:r>
        <w:rPr>
          <w:kern w:val="0"/>
        </w:rPr>
        <w:t>response. Methods to obtain unpublished studies One observational comparative study assessed methods to obtain unpublished studies (i.e. data for studies that have never been published). Identifying unpublished studies ahead</w:t>
      </w:r>
      <w:r w:rsidR="00427468">
        <w:rPr>
          <w:kern w:val="0"/>
        </w:rPr>
        <w:t xml:space="preserve"> of </w:t>
      </w:r>
      <w:r>
        <w:rPr>
          <w:kern w:val="0"/>
        </w:rPr>
        <w:t>time</w:t>
      </w:r>
      <w:r w:rsidR="005853A9">
        <w:rPr>
          <w:kern w:val="0"/>
        </w:rPr>
        <w:t xml:space="preserve"> and </w:t>
      </w:r>
      <w:r>
        <w:rPr>
          <w:kern w:val="0"/>
        </w:rPr>
        <w:t>then asking the drug industry to provide further specific detail proved to be more fruitful than sending</w:t>
      </w:r>
      <w:r w:rsidR="00427468">
        <w:rPr>
          <w:kern w:val="0"/>
        </w:rPr>
        <w:t xml:space="preserve"> of </w:t>
      </w:r>
      <w:r>
        <w:rPr>
          <w:kern w:val="0"/>
        </w:rPr>
        <w:t>a non-specific request. Authors</w:t>
      </w:r>
      <w:r w:rsidR="0071223E">
        <w:rPr>
          <w:kern w:val="0"/>
        </w:rPr>
        <w:t>’</w:t>
      </w:r>
      <w:r>
        <w:rPr>
          <w:kern w:val="0"/>
        </w:rPr>
        <w:t xml:space="preserve"> conclusions Those carrying out systematic reviews should continue to contact authors for missing data, recognising that this might not always be successful, particularly for older studies. Contacting authors by e-mail results in the greatest response rate with the fewest number</w:t>
      </w:r>
      <w:r w:rsidR="00427468">
        <w:rPr>
          <w:kern w:val="0"/>
        </w:rPr>
        <w:t xml:space="preserve"> of </w:t>
      </w:r>
      <w:r>
        <w:rPr>
          <w:kern w:val="0"/>
        </w:rPr>
        <w:t>attempts</w:t>
      </w:r>
      <w:r w:rsidR="005853A9">
        <w:rPr>
          <w:kern w:val="0"/>
        </w:rPr>
        <w:t xml:space="preserve"> and </w:t>
      </w:r>
      <w:r>
        <w:rPr>
          <w:kern w:val="0"/>
        </w:rPr>
        <w:t>the shortest time to respond.</w:t>
      </w:r>
    </w:p>
    <w:p w:rsidR="00365DE4" w:rsidRDefault="00365DE4" w:rsidP="00365DE4">
      <w:pPr>
        <w:pStyle w:val="a3"/>
        <w:rPr>
          <w:kern w:val="0"/>
        </w:rPr>
      </w:pPr>
      <w:r>
        <w:rPr>
          <w:kern w:val="0"/>
        </w:rPr>
        <w:t xml:space="preserve">Keywords: Analysis, Authors, Bias, Citation, Cochrane, Comparative Study, Controlled-Trials, Correspondence, Drug, Effectiveness, Email, Embase, Extraction, Follow-Up, Industry, Information, </w:t>
      </w:r>
      <w:r w:rsidR="00D5664A">
        <w:rPr>
          <w:kern w:val="0"/>
        </w:rPr>
        <w:t>MEDLINE</w:t>
      </w:r>
      <w:r>
        <w:rPr>
          <w:kern w:val="0"/>
        </w:rPr>
        <w:t xml:space="preserve">, Metaanalysis, Methodology, Methods, </w:t>
      </w:r>
      <w:r>
        <w:rPr>
          <w:kern w:val="0"/>
        </w:rPr>
        <w:lastRenderedPageBreak/>
        <w:t>Observational, Outcome, Primary, Publication, Publication Bias, Publications, Pubmed, Researchers, Retrieval, Risk, Science, Science Citation Index, Search Strategy, Selection, Strategy, Systematic, Systematic Reviews</w:t>
      </w:r>
    </w:p>
    <w:p w:rsidR="00365DE4" w:rsidRDefault="00365DE4" w:rsidP="00365DE4">
      <w:pPr>
        <w:pStyle w:val="a3"/>
        <w:rPr>
          <w:kern w:val="2"/>
        </w:rPr>
      </w:pPr>
      <w:r>
        <w:rPr>
          <w:kern w:val="0"/>
        </w:rPr>
        <w:t>? Akl, E.A., Labedi, N., Terrenato, I., Barba, M., Sperati, F., Sempos, E.V., Muti, P., Cook, D.</w:t>
      </w:r>
      <w:r w:rsidR="005853A9">
        <w:rPr>
          <w:kern w:val="0"/>
        </w:rPr>
        <w:t xml:space="preserve"> and </w:t>
      </w:r>
      <w:r>
        <w:rPr>
          <w:kern w:val="0"/>
        </w:rPr>
        <w:t xml:space="preserve">Schunemann, H. (2011), Low molecular weight heparin versus unfractionated heparin for perioperative thromboprophylaxis in patients with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CD009447.</w:t>
      </w:r>
    </w:p>
    <w:p w:rsidR="00365DE4" w:rsidRDefault="00365DE4" w:rsidP="00365DE4">
      <w:pPr>
        <w:pStyle w:val="a3"/>
      </w:pPr>
      <w:r>
        <w:t xml:space="preserve">Full Text: </w:t>
      </w:r>
      <w:hyperlink r:id="rId705" w:history="1">
        <w:r>
          <w:rPr>
            <w:rStyle w:val="a5"/>
          </w:rPr>
          <w:t>2011\Coc Dat Sys Rev2011, CD009447.pdf</w:t>
        </w:r>
      </w:hyperlink>
    </w:p>
    <w:p w:rsidR="00365DE4" w:rsidRDefault="00365DE4" w:rsidP="00365DE4">
      <w:pPr>
        <w:pStyle w:val="a3"/>
        <w:rPr>
          <w:kern w:val="0"/>
        </w:rPr>
      </w:pPr>
      <w:r>
        <w:rPr>
          <w:kern w:val="0"/>
        </w:rPr>
        <w:t>Abstract: Background The choice</w:t>
      </w:r>
      <w:r w:rsidR="00427468">
        <w:rPr>
          <w:kern w:val="0"/>
        </w:rPr>
        <w:t xml:space="preserve"> of </w:t>
      </w:r>
      <w:r>
        <w:rPr>
          <w:kern w:val="0"/>
        </w:rPr>
        <w:t>the appropriate perioperative thromboprophylaxis in patients with cancer depends on the relative benefits</w:t>
      </w:r>
      <w:r w:rsidR="005853A9">
        <w:rPr>
          <w:kern w:val="0"/>
        </w:rPr>
        <w:t xml:space="preserve"> and </w:t>
      </w:r>
      <w:r>
        <w:rPr>
          <w:kern w:val="0"/>
        </w:rPr>
        <w:t>harms</w:t>
      </w:r>
      <w:r w:rsidR="00427468">
        <w:rPr>
          <w:kern w:val="0"/>
        </w:rPr>
        <w:t xml:space="preserve"> of </w:t>
      </w:r>
      <w:r>
        <w:rPr>
          <w:kern w:val="0"/>
        </w:rPr>
        <w:t>low molecular weight heparin (LMWH)</w:t>
      </w:r>
      <w:r w:rsidR="005853A9">
        <w:rPr>
          <w:kern w:val="0"/>
        </w:rPr>
        <w:t xml:space="preserve"> and </w:t>
      </w:r>
      <w:r>
        <w:rPr>
          <w:kern w:val="0"/>
        </w:rPr>
        <w:t>unfractionated heparin (UFH). Objectives To systematically review the evidence for the relative efficacy</w:t>
      </w:r>
      <w:r w:rsidR="005853A9">
        <w:rPr>
          <w:kern w:val="0"/>
        </w:rPr>
        <w:t xml:space="preserve"> and </w:t>
      </w:r>
      <w:r>
        <w:rPr>
          <w:kern w:val="0"/>
        </w:rPr>
        <w:t>safety</w:t>
      </w:r>
      <w:r w:rsidR="00427468">
        <w:rPr>
          <w:kern w:val="0"/>
        </w:rPr>
        <w:t xml:space="preserve"> of </w:t>
      </w:r>
      <w:r>
        <w:rPr>
          <w:kern w:val="0"/>
        </w:rPr>
        <w:t>LMWH</w:t>
      </w:r>
      <w:r w:rsidR="005853A9">
        <w:rPr>
          <w:kern w:val="0"/>
        </w:rPr>
        <w:t xml:space="preserve"> and </w:t>
      </w:r>
      <w:r>
        <w:rPr>
          <w:kern w:val="0"/>
        </w:rPr>
        <w:t>UFH for perioperative thromboprophylaxis in patients with cancer. Search strategy A comprehensive search for trials</w:t>
      </w:r>
      <w:r w:rsidR="00427468">
        <w:rPr>
          <w:kern w:val="0"/>
        </w:rPr>
        <w:t xml:space="preserve"> of </w:t>
      </w:r>
      <w:r>
        <w:rPr>
          <w:kern w:val="0"/>
        </w:rPr>
        <w:t>anticoagulation in cancer patients including a February 2010 electronic search of: the Cochrane Central Register</w:t>
      </w:r>
      <w:r w:rsidR="00427468">
        <w:rPr>
          <w:kern w:val="0"/>
        </w:rPr>
        <w:t xml:space="preserve"> of </w:t>
      </w:r>
      <w:r>
        <w:rPr>
          <w:kern w:val="0"/>
        </w:rPr>
        <w:t xml:space="preserve">Controlled Trials (CENTRAL), </w:t>
      </w:r>
      <w:r w:rsidR="00D5664A">
        <w:rPr>
          <w:kern w:val="0"/>
        </w:rPr>
        <w:t>MEDLINE</w:t>
      </w:r>
      <w:r>
        <w:rPr>
          <w:kern w:val="0"/>
        </w:rPr>
        <w:t>, EMBASE</w:t>
      </w:r>
      <w:r w:rsidR="005853A9">
        <w:rPr>
          <w:kern w:val="0"/>
        </w:rPr>
        <w:t xml:space="preserve"> and </w:t>
      </w:r>
      <w:r>
        <w:rPr>
          <w:kern w:val="0"/>
        </w:rPr>
        <w:t xml:space="preserve">ISI </w:t>
      </w:r>
      <w:r w:rsidR="00D5664A">
        <w:rPr>
          <w:kern w:val="0"/>
        </w:rPr>
        <w:t>Web</w:t>
      </w:r>
      <w:r w:rsidR="00427468">
        <w:rPr>
          <w:kern w:val="0"/>
        </w:rPr>
        <w:t xml:space="preserve"> of </w:t>
      </w:r>
      <w:r w:rsidR="00D5664A">
        <w:rPr>
          <w:kern w:val="0"/>
        </w:rPr>
        <w:t>Science</w:t>
      </w:r>
      <w:r>
        <w:rPr>
          <w:kern w:val="0"/>
        </w:rPr>
        <w:t>. Selection criteria Randomized controlled trials (RCTs) that enrolled cancer patients undergoing a surgical intervention</w:t>
      </w:r>
      <w:r w:rsidR="005853A9">
        <w:rPr>
          <w:kern w:val="0"/>
        </w:rPr>
        <w:t xml:space="preserve"> and </w:t>
      </w:r>
      <w:r>
        <w:rPr>
          <w:kern w:val="0"/>
        </w:rPr>
        <w:t>compared the effects</w:t>
      </w:r>
      <w:r w:rsidR="00427468">
        <w:rPr>
          <w:kern w:val="0"/>
        </w:rPr>
        <w:t xml:space="preserve"> of </w:t>
      </w:r>
      <w:r>
        <w:rPr>
          <w:kern w:val="0"/>
        </w:rPr>
        <w:t>LMWH to UFH on mortality, deep venous thrombosis (DVT), pulmonary embolism(PE), bleeding outcomes,</w:t>
      </w:r>
      <w:r w:rsidR="005853A9">
        <w:rPr>
          <w:kern w:val="0"/>
        </w:rPr>
        <w:t xml:space="preserve"> and </w:t>
      </w:r>
      <w:r>
        <w:rPr>
          <w:kern w:val="0"/>
        </w:rPr>
        <w:t>thrombocytopenia. Data collection</w:t>
      </w:r>
      <w:r w:rsidR="005853A9">
        <w:rPr>
          <w:kern w:val="0"/>
        </w:rPr>
        <w:t xml:space="preserve"> and </w:t>
      </w:r>
      <w:r>
        <w:rPr>
          <w:kern w:val="0"/>
        </w:rPr>
        <w:t>analysis Two review authors used a standardized form to independently extract in duplicate data on risk</w:t>
      </w:r>
      <w:r w:rsidR="00427468">
        <w:rPr>
          <w:kern w:val="0"/>
        </w:rPr>
        <w:t xml:space="preserve"> of </w:t>
      </w:r>
      <w:r>
        <w:rPr>
          <w:kern w:val="0"/>
        </w:rPr>
        <w:t>bias, participants, interventions</w:t>
      </w:r>
      <w:r w:rsidR="005853A9">
        <w:rPr>
          <w:kern w:val="0"/>
        </w:rPr>
        <w:t xml:space="preserve"> and </w:t>
      </w:r>
      <w:r>
        <w:rPr>
          <w:kern w:val="0"/>
        </w:rPr>
        <w:t>outcomes</w:t>
      </w:r>
      <w:r w:rsidR="00427468">
        <w:rPr>
          <w:kern w:val="0"/>
        </w:rPr>
        <w:t xml:space="preserve"> of </w:t>
      </w:r>
      <w:r>
        <w:rPr>
          <w:kern w:val="0"/>
        </w:rPr>
        <w:t>interest. Where possible, we conducted meta-analyses using the random-effects model. Main results</w:t>
      </w:r>
      <w:r w:rsidR="00427468">
        <w:rPr>
          <w:kern w:val="0"/>
        </w:rPr>
        <w:t xml:space="preserve"> of </w:t>
      </w:r>
      <w:r>
        <w:rPr>
          <w:kern w:val="0"/>
        </w:rPr>
        <w:t>8187 identified citations, we included 16 RCTs with 11,847 patients in the meta-analyses, all using preoperative prophylactic anticoagulation</w:t>
      </w:r>
      <w:r w:rsidR="00A37C1D">
        <w:rPr>
          <w:kern w:val="0"/>
        </w:rPr>
        <w:t>. The</w:t>
      </w:r>
      <w:r>
        <w:rPr>
          <w:kern w:val="0"/>
        </w:rPr>
        <w:t xml:space="preserve"> overall quality</w:t>
      </w:r>
      <w:r w:rsidR="00427468">
        <w:rPr>
          <w:kern w:val="0"/>
        </w:rPr>
        <w:t xml:space="preserve"> of </w:t>
      </w:r>
      <w:r>
        <w:rPr>
          <w:kern w:val="0"/>
        </w:rPr>
        <w:t>evidence was moderate</w:t>
      </w:r>
      <w:r w:rsidR="00A37C1D">
        <w:rPr>
          <w:kern w:val="0"/>
        </w:rPr>
        <w:t>. The</w:t>
      </w:r>
      <w:r>
        <w:rPr>
          <w:kern w:val="0"/>
        </w:rPr>
        <w:t xml:space="preserve"> meta-analysis did not conclusively rule out either a beneficial or harmful effect</w:t>
      </w:r>
      <w:r w:rsidR="00427468">
        <w:rPr>
          <w:kern w:val="0"/>
        </w:rPr>
        <w:t xml:space="preserve"> of </w:t>
      </w:r>
      <w:r>
        <w:rPr>
          <w:kern w:val="0"/>
        </w:rPr>
        <w:t>LMWH compared to UFH for the following outcomes: mortality (RR = 0.90; 95% CI 0.73 to 1.10), symptomatic DVT (RR = 0.73; 95% CI 0.23 to 2.28), PE (RR = 0.59; 95% CI 0.25 to1.41), minor bleeding (RR = 0.88; 95% CI 0.47 to 1.66)</w:t>
      </w:r>
      <w:r w:rsidR="005853A9">
        <w:rPr>
          <w:kern w:val="0"/>
        </w:rPr>
        <w:t xml:space="preserve"> and </w:t>
      </w:r>
      <w:r>
        <w:rPr>
          <w:kern w:val="0"/>
        </w:rPr>
        <w:t>major bleeding (RR = 0.84; 95% CI 0.52 to 1.36). LMWH was associated with lower incidence</w:t>
      </w:r>
      <w:r w:rsidR="00427468">
        <w:rPr>
          <w:kern w:val="0"/>
        </w:rPr>
        <w:t xml:space="preserve"> of </w:t>
      </w:r>
      <w:r>
        <w:rPr>
          <w:kern w:val="0"/>
        </w:rPr>
        <w:t>wound hematoma (RR = 0.60; 95% CI 0.43, 0.84) while UFH was associated with higher incidence</w:t>
      </w:r>
      <w:r w:rsidR="00427468">
        <w:rPr>
          <w:kern w:val="0"/>
        </w:rPr>
        <w:t xml:space="preserve"> of </w:t>
      </w:r>
      <w:r>
        <w:rPr>
          <w:kern w:val="0"/>
        </w:rPr>
        <w:t>intra-operative transfusion (RR = 1.16; 95% CI 0.69,1.62). Authors</w:t>
      </w:r>
      <w:r w:rsidR="0071223E">
        <w:rPr>
          <w:kern w:val="0"/>
        </w:rPr>
        <w:t>’</w:t>
      </w:r>
      <w:r>
        <w:rPr>
          <w:kern w:val="0"/>
        </w:rPr>
        <w:t xml:space="preserve"> conclusions We found no difference between perioperative thromboprophylaxis with LMWH verus UFH in their effects on mortality</w:t>
      </w:r>
      <w:r w:rsidR="005853A9">
        <w:rPr>
          <w:kern w:val="0"/>
        </w:rPr>
        <w:t xml:space="preserve"> and </w:t>
      </w:r>
      <w:r>
        <w:rPr>
          <w:kern w:val="0"/>
        </w:rPr>
        <w:t>embolic outcomes in patients with cancer. Further trials are needed to more carefully evaluate the benefits</w:t>
      </w:r>
      <w:r w:rsidR="005853A9">
        <w:rPr>
          <w:kern w:val="0"/>
        </w:rPr>
        <w:t xml:space="preserve"> and </w:t>
      </w:r>
      <w:r>
        <w:rPr>
          <w:kern w:val="0"/>
        </w:rPr>
        <w:t>harms</w:t>
      </w:r>
      <w:r w:rsidR="00427468">
        <w:rPr>
          <w:kern w:val="0"/>
        </w:rPr>
        <w:t xml:space="preserve"> of </w:t>
      </w:r>
      <w:r>
        <w:rPr>
          <w:kern w:val="0"/>
        </w:rPr>
        <w:t>different heparin thromboprophylaxis strategies in this population.</w:t>
      </w:r>
    </w:p>
    <w:p w:rsidR="00365DE4" w:rsidRDefault="00365DE4" w:rsidP="00365DE4">
      <w:pPr>
        <w:pStyle w:val="a3"/>
        <w:rPr>
          <w:kern w:val="0"/>
        </w:rPr>
      </w:pPr>
      <w:r>
        <w:rPr>
          <w:kern w:val="0"/>
        </w:rPr>
        <w:t xml:space="preserve">Keywords: Abdominal-Surgery, Analysis, Authors, Bias, Cancer, Citations, Cochrane, Deep-Vein Thrombosis, Double-Blind Trial, Efficacy, Embase, Fatal </w:t>
      </w:r>
      <w:r>
        <w:rPr>
          <w:kern w:val="0"/>
        </w:rPr>
        <w:lastRenderedPageBreak/>
        <w:t>Pulmonary-Embolism, General-Surgery, Gynecological Surgery, Heparin, Incidence, Interest, Intervention,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Low, Low-Dose Heparin, Low-Molecular-Weight, </w:t>
      </w:r>
      <w:r w:rsidR="00D5664A">
        <w:rPr>
          <w:kern w:val="0"/>
        </w:rPr>
        <w:t>MEDLINE</w:t>
      </w:r>
      <w:r>
        <w:rPr>
          <w:kern w:val="0"/>
        </w:rPr>
        <w:t xml:space="preserve">, Meta Analysis, Meta-Analysis, Model, Molecular, Mortality, Multicenter Trial, Outcomes, Patients, Postoperative Venous Thromboembolism, Quality, Randomized Controlled Trials, Review, Risk, Safety, Science, Search Strategy, Selection, Standard Heparin, Strategy, Surgical, Thrombosis, Venous Thrombosis,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Anderson, O., Boshier, P.</w:t>
      </w:r>
      <w:r w:rsidR="005853A9">
        <w:rPr>
          <w:kern w:val="0"/>
        </w:rPr>
        <w:t xml:space="preserve"> and </w:t>
      </w:r>
      <w:r>
        <w:rPr>
          <w:kern w:val="0"/>
        </w:rPr>
        <w:t xml:space="preserve">Hanna, G. (2011), Interventions designed to prevent healthcare bed-related injuries in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CD008931.</w:t>
      </w:r>
    </w:p>
    <w:p w:rsidR="00365DE4" w:rsidRDefault="00365DE4" w:rsidP="00365DE4">
      <w:pPr>
        <w:pStyle w:val="a3"/>
        <w:rPr>
          <w:kern w:val="2"/>
        </w:rPr>
      </w:pPr>
      <w:r>
        <w:t xml:space="preserve">Full Text: </w:t>
      </w:r>
      <w:hyperlink r:id="rId706" w:history="1">
        <w:r>
          <w:rPr>
            <w:rStyle w:val="a5"/>
          </w:rPr>
          <w:t>2011\Coc Dat Sys Rev2011, CD008931.pdf</w:t>
        </w:r>
      </w:hyperlink>
    </w:p>
    <w:p w:rsidR="00365DE4" w:rsidRDefault="00365DE4" w:rsidP="00365DE4">
      <w:pPr>
        <w:pStyle w:val="a3"/>
        <w:rPr>
          <w:kern w:val="0"/>
        </w:rPr>
      </w:pPr>
      <w:r>
        <w:rPr>
          <w:kern w:val="0"/>
        </w:rPr>
        <w:t>Abstract: Background Every patient in residential healthcare has a bed. Falling out</w:t>
      </w:r>
      <w:r w:rsidR="00427468">
        <w:rPr>
          <w:kern w:val="0"/>
        </w:rPr>
        <w:t xml:space="preserve"> of </w:t>
      </w:r>
      <w:r>
        <w:rPr>
          <w:kern w:val="0"/>
        </w:rPr>
        <w:t>bed is associated with preventable patient harm. Various interventions to prevent injury are available. Bed rails are the most common intervention designed to prevent patients falling out</w:t>
      </w:r>
      <w:r w:rsidR="00427468">
        <w:rPr>
          <w:kern w:val="0"/>
        </w:rPr>
        <w:t xml:space="preserve"> of </w:t>
      </w:r>
      <w:r>
        <w:rPr>
          <w:kern w:val="0"/>
        </w:rPr>
        <w:t>bed; however, their effectiveness is uncertain</w:t>
      </w:r>
      <w:r w:rsidR="005853A9">
        <w:rPr>
          <w:kern w:val="0"/>
        </w:rPr>
        <w:t xml:space="preserve"> and </w:t>
      </w:r>
      <w:r>
        <w:rPr>
          <w:kern w:val="0"/>
        </w:rPr>
        <w:t>bed rail entrapment can also result in injuries. Objectives To assess the effectiveness</w:t>
      </w:r>
      <w:r w:rsidR="00427468">
        <w:rPr>
          <w:kern w:val="0"/>
        </w:rPr>
        <w:t xml:space="preserve"> of </w:t>
      </w:r>
      <w:r>
        <w:rPr>
          <w:kern w:val="0"/>
        </w:rPr>
        <w:t>interventions designed to prevent patient injuries</w:t>
      </w:r>
      <w:r w:rsidR="005853A9">
        <w:rPr>
          <w:kern w:val="0"/>
        </w:rPr>
        <w:t xml:space="preserve"> and </w:t>
      </w:r>
      <w:r>
        <w:rPr>
          <w:kern w:val="0"/>
        </w:rPr>
        <w:t>falls from their beds. Search strategy We searched the Cochrane Injuries Group Specialised Register, Cochrane Central Register</w:t>
      </w:r>
      <w:r w:rsidR="00427468">
        <w:rPr>
          <w:kern w:val="0"/>
        </w:rPr>
        <w:t xml:space="preserve"> of </w:t>
      </w:r>
      <w:r>
        <w:rPr>
          <w:kern w:val="0"/>
        </w:rPr>
        <w:t xml:space="preserve">Controlled Trials 2010, Issue 2 (The Cochrane Library), </w:t>
      </w:r>
      <w:r w:rsidR="00D5664A">
        <w:rPr>
          <w:kern w:val="0"/>
        </w:rPr>
        <w:t>MEDLINE</w:t>
      </w:r>
      <w:r>
        <w:rPr>
          <w:kern w:val="0"/>
        </w:rPr>
        <w:t xml:space="preserve"> (Ovid), EMBASE (Ovid), CINAHL (EBSCO), ISOI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Web-based trials registers (all to December 2010) as well as reference lists. Selection criteria Randomised controlled trials</w:t>
      </w:r>
      <w:r w:rsidR="00427468">
        <w:rPr>
          <w:kern w:val="0"/>
        </w:rPr>
        <w:t xml:space="preserve"> of </w:t>
      </w:r>
      <w:r>
        <w:rPr>
          <w:kern w:val="0"/>
        </w:rPr>
        <w:t>interventions designed to prevent patient injuries from their beds which were conducted in hospitals, nursing care facilities or rehabilitation units were eligible for inclusion. Data collection</w:t>
      </w:r>
      <w:r w:rsidR="005853A9">
        <w:rPr>
          <w:kern w:val="0"/>
        </w:rPr>
        <w:t xml:space="preserve"> and </w:t>
      </w:r>
      <w:r>
        <w:rPr>
          <w:kern w:val="0"/>
        </w:rPr>
        <w:t>analysis Two review authors independently assessed the risk</w:t>
      </w:r>
      <w:r w:rsidR="00427468">
        <w:rPr>
          <w:kern w:val="0"/>
        </w:rPr>
        <w:t xml:space="preserve"> of </w:t>
      </w:r>
      <w:r>
        <w:rPr>
          <w:kern w:val="0"/>
        </w:rPr>
        <w:t>bias</w:t>
      </w:r>
      <w:r w:rsidR="005853A9">
        <w:rPr>
          <w:kern w:val="0"/>
        </w:rPr>
        <w:t xml:space="preserve"> and </w:t>
      </w:r>
      <w:r>
        <w:rPr>
          <w:kern w:val="0"/>
        </w:rPr>
        <w:t>extracted data from the included studies. Authors contacted investigators to obtain missing information. Main results Two studies met the inclusion criteria, involving a total</w:t>
      </w:r>
      <w:r w:rsidR="00427468">
        <w:rPr>
          <w:kern w:val="0"/>
        </w:rPr>
        <w:t xml:space="preserve"> of </w:t>
      </w:r>
      <w:r>
        <w:rPr>
          <w:kern w:val="0"/>
        </w:rPr>
        <w:t>22,106 participants. One study tested low height beds</w:t>
      </w:r>
      <w:r w:rsidR="005853A9">
        <w:rPr>
          <w:kern w:val="0"/>
        </w:rPr>
        <w:t xml:space="preserve"> and </w:t>
      </w:r>
      <w:r>
        <w:rPr>
          <w:kern w:val="0"/>
        </w:rPr>
        <w:t>the other tested bed exit alarms. Both studies used standard care for their control group</w:t>
      </w:r>
      <w:r w:rsidR="005853A9">
        <w:rPr>
          <w:kern w:val="0"/>
        </w:rPr>
        <w:t xml:space="preserve"> and </w:t>
      </w:r>
      <w:r>
        <w:rPr>
          <w:kern w:val="0"/>
        </w:rPr>
        <w:t>both studies were conducted in hospitals. No study investigating bed rails met the inclusion criteria. Due to the clinical heterogeneity</w:t>
      </w:r>
      <w:r w:rsidR="00427468">
        <w:rPr>
          <w:kern w:val="0"/>
        </w:rPr>
        <w:t xml:space="preserve"> of </w:t>
      </w:r>
      <w:r>
        <w:rPr>
          <w:kern w:val="0"/>
        </w:rPr>
        <w:t>the interventions in the included studies pooling</w:t>
      </w:r>
      <w:r w:rsidR="00427468">
        <w:rPr>
          <w:kern w:val="0"/>
        </w:rPr>
        <w:t xml:space="preserve"> of </w:t>
      </w:r>
      <w:r>
        <w:rPr>
          <w:kern w:val="0"/>
        </w:rPr>
        <w:t>data</w:t>
      </w:r>
      <w:r w:rsidR="005853A9">
        <w:rPr>
          <w:kern w:val="0"/>
        </w:rPr>
        <w:t xml:space="preserve"> and </w:t>
      </w:r>
      <w:r>
        <w:rPr>
          <w:kern w:val="0"/>
        </w:rPr>
        <w:t>meta-analysis was inappropriate,</w:t>
      </w:r>
      <w:r w:rsidR="005853A9">
        <w:rPr>
          <w:kern w:val="0"/>
        </w:rPr>
        <w:t xml:space="preserve"> and </w:t>
      </w:r>
      <w:r>
        <w:rPr>
          <w:kern w:val="0"/>
        </w:rPr>
        <w:t>so the results</w:t>
      </w:r>
      <w:r w:rsidR="00427468">
        <w:rPr>
          <w:kern w:val="0"/>
        </w:rPr>
        <w:t xml:space="preserve"> of </w:t>
      </w:r>
      <w:r>
        <w:rPr>
          <w:kern w:val="0"/>
        </w:rPr>
        <w:t>the studies are described. A single cluster randomised trial</w:t>
      </w:r>
      <w:r w:rsidR="00427468">
        <w:rPr>
          <w:kern w:val="0"/>
        </w:rPr>
        <w:t xml:space="preserve"> of </w:t>
      </w:r>
      <w:r>
        <w:rPr>
          <w:kern w:val="0"/>
        </w:rPr>
        <w:t>low height beds in 18 hospital wards, including 22,036 participants, found no significant reduction in the frequency</w:t>
      </w:r>
      <w:r w:rsidR="00427468">
        <w:rPr>
          <w:kern w:val="0"/>
        </w:rPr>
        <w:t xml:space="preserve"> of </w:t>
      </w:r>
      <w:r>
        <w:rPr>
          <w:kern w:val="0"/>
        </w:rPr>
        <w:t>patient injuries due to their beds (there were no injuries in either group), patient falls in the bedroom (rate ratio 0.69, 95% CI 0.35 to 1.34), all falls (rate ratio 1.26, 95% CI 0.83 to 1.90) or patient injuries due to all falls (rate ratio 1.35, 95% CI 0.68 to 2.68). One randomised controlled trial</w:t>
      </w:r>
      <w:r w:rsidR="00427468">
        <w:rPr>
          <w:kern w:val="0"/>
        </w:rPr>
        <w:t xml:space="preserve"> of </w:t>
      </w:r>
      <w:r>
        <w:rPr>
          <w:kern w:val="0"/>
        </w:rPr>
        <w:t>bed exit alarms in one hospital geriatric ward, involving 70 participants, found no significant reduction in the frequency</w:t>
      </w:r>
      <w:r w:rsidR="00427468">
        <w:rPr>
          <w:kern w:val="0"/>
        </w:rPr>
        <w:t xml:space="preserve"> of </w:t>
      </w:r>
      <w:r>
        <w:rPr>
          <w:kern w:val="0"/>
        </w:rPr>
        <w:lastRenderedPageBreak/>
        <w:t>patient injuries due to their beds (there were no injuries in either group), patient falls out</w:t>
      </w:r>
      <w:r w:rsidR="00427468">
        <w:rPr>
          <w:kern w:val="0"/>
        </w:rPr>
        <w:t xml:space="preserve"> of </w:t>
      </w:r>
      <w:r>
        <w:rPr>
          <w:kern w:val="0"/>
        </w:rPr>
        <w:t>bed (rate ratio 0.25, 95% CI 0.03 to 2.24), all falls (rate ratio 0.42, 95% CI 0.15 to 1.18) or patient injuries due to all falls (no injuries in either group). Authors</w:t>
      </w:r>
      <w:r w:rsidR="0071223E">
        <w:rPr>
          <w:kern w:val="0"/>
        </w:rPr>
        <w:t>’</w:t>
      </w:r>
      <w:r>
        <w:rPr>
          <w:kern w:val="0"/>
        </w:rPr>
        <w:t xml:space="preserve"> conclusions The effectiveness</w:t>
      </w:r>
      <w:r w:rsidR="00427468">
        <w:rPr>
          <w:kern w:val="0"/>
        </w:rPr>
        <w:t xml:space="preserve"> of </w:t>
      </w:r>
      <w:r>
        <w:rPr>
          <w:kern w:val="0"/>
        </w:rPr>
        <w:t>interventions designed to prevent patient injuries from their beds (including bed rails, low height beds</w:t>
      </w:r>
      <w:r w:rsidR="005853A9">
        <w:rPr>
          <w:kern w:val="0"/>
        </w:rPr>
        <w:t xml:space="preserve"> and </w:t>
      </w:r>
      <w:r>
        <w:rPr>
          <w:kern w:val="0"/>
        </w:rPr>
        <w:t>bed exit alarms) remains uncertain</w:t>
      </w:r>
      <w:r w:rsidR="00A37C1D">
        <w:rPr>
          <w:kern w:val="0"/>
        </w:rPr>
        <w:t>. The</w:t>
      </w:r>
      <w:r>
        <w:rPr>
          <w:kern w:val="0"/>
        </w:rPr>
        <w:t xml:space="preserve"> available evidence shows no significant increase or decrease in the rate</w:t>
      </w:r>
      <w:r w:rsidR="00427468">
        <w:rPr>
          <w:kern w:val="0"/>
        </w:rPr>
        <w:t xml:space="preserve"> of </w:t>
      </w:r>
      <w:r>
        <w:rPr>
          <w:kern w:val="0"/>
        </w:rPr>
        <w:t>injuries with the use</w:t>
      </w:r>
      <w:r w:rsidR="00427468">
        <w:rPr>
          <w:kern w:val="0"/>
        </w:rPr>
        <w:t xml:space="preserve"> of </w:t>
      </w:r>
      <w:r>
        <w:rPr>
          <w:kern w:val="0"/>
        </w:rPr>
        <w:t>low height beds</w:t>
      </w:r>
      <w:r w:rsidR="005853A9">
        <w:rPr>
          <w:kern w:val="0"/>
        </w:rPr>
        <w:t xml:space="preserve"> and </w:t>
      </w:r>
      <w:r>
        <w:rPr>
          <w:kern w:val="0"/>
        </w:rPr>
        <w:t>bed exit alarms. Limitations</w:t>
      </w:r>
      <w:r w:rsidR="00427468">
        <w:rPr>
          <w:kern w:val="0"/>
        </w:rPr>
        <w:t xml:space="preserve"> of </w:t>
      </w:r>
      <w:r>
        <w:rPr>
          <w:kern w:val="0"/>
        </w:rPr>
        <w:t>the two included studies include lack</w:t>
      </w:r>
      <w:r w:rsidR="00427468">
        <w:rPr>
          <w:kern w:val="0"/>
        </w:rPr>
        <w:t xml:space="preserve"> of </w:t>
      </w:r>
      <w:r>
        <w:rPr>
          <w:kern w:val="0"/>
        </w:rPr>
        <w:t>blinding</w:t>
      </w:r>
      <w:r w:rsidR="005853A9">
        <w:rPr>
          <w:kern w:val="0"/>
        </w:rPr>
        <w:t xml:space="preserve"> and </w:t>
      </w:r>
      <w:r>
        <w:rPr>
          <w:kern w:val="0"/>
        </w:rPr>
        <w:t>insufficient power. No randomised controlled trials</w:t>
      </w:r>
      <w:r w:rsidR="00427468">
        <w:rPr>
          <w:kern w:val="0"/>
        </w:rPr>
        <w:t xml:space="preserve"> of </w:t>
      </w:r>
      <w:r>
        <w:rPr>
          <w:kern w:val="0"/>
        </w:rPr>
        <w:t>bed rails were identified. Future reports should fully describe the standard care received by the control group.</w:t>
      </w:r>
    </w:p>
    <w:p w:rsidR="00365DE4" w:rsidRDefault="00365DE4" w:rsidP="00365DE4">
      <w:pPr>
        <w:pStyle w:val="a3"/>
        <w:rPr>
          <w:kern w:val="0"/>
        </w:rPr>
      </w:pPr>
      <w:r>
        <w:rPr>
          <w:kern w:val="0"/>
        </w:rPr>
        <w:t xml:space="preserve">Keywords: Analysis, Authors, Bias, Care, Cochrane, Control, Effectiveness, Embase, Fall-Related Injuries, Falls, Frequency, Geriatric, Hospital, Hospitalized-Patients, Hospitals, Information, Injury, Intervention, Interventions, Low, </w:t>
      </w:r>
      <w:r w:rsidR="00D5664A">
        <w:rPr>
          <w:kern w:val="0"/>
        </w:rPr>
        <w:t>MEDLINE</w:t>
      </w:r>
      <w:r>
        <w:rPr>
          <w:kern w:val="0"/>
        </w:rPr>
        <w:t xml:space="preserve">, Meta Analysis, Meta-Analysis, Multifactorial Intervention, Nursing, Nursing-Home Residents, Older-People, Patients, Physical Restraint, Power, Randomised Controlled Trial, Randomized Controlled-Trial, Ratio, Reduction, Rehabilitation, Residential, Review, Risk, Risk-Factors, Science, Search Strategy, Selection, Side Rail Use, Strategy, Vitamin-D,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Cavalcanti, A.B., De Vasconcelos, C.P., de Oliveira, M.P., Rother, E.T.</w:t>
      </w:r>
      <w:r w:rsidR="005853A9">
        <w:rPr>
          <w:kern w:val="0"/>
        </w:rPr>
        <w:t xml:space="preserve"> and </w:t>
      </w:r>
      <w:r>
        <w:rPr>
          <w:kern w:val="0"/>
        </w:rPr>
        <w:t xml:space="preserve">Ferraz, L.J.R. (2011), Prostaglandins for adult liver transplanted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CD006006.</w:t>
      </w:r>
    </w:p>
    <w:p w:rsidR="00365DE4" w:rsidRDefault="00365DE4" w:rsidP="00365DE4">
      <w:pPr>
        <w:pStyle w:val="a3"/>
        <w:rPr>
          <w:kern w:val="2"/>
        </w:rPr>
      </w:pPr>
      <w:r>
        <w:t xml:space="preserve">Full Text: </w:t>
      </w:r>
      <w:hyperlink r:id="rId707" w:history="1">
        <w:r>
          <w:rPr>
            <w:rStyle w:val="a5"/>
          </w:rPr>
          <w:t>2011\Coc Dat Sys Rev2011, CD006006.pdf</w:t>
        </w:r>
      </w:hyperlink>
    </w:p>
    <w:p w:rsidR="00365DE4" w:rsidRDefault="00365DE4" w:rsidP="00365DE4">
      <w:pPr>
        <w:pStyle w:val="a3"/>
        <w:rPr>
          <w:kern w:val="0"/>
        </w:rPr>
      </w:pPr>
      <w:r>
        <w:rPr>
          <w:kern w:val="0"/>
        </w:rPr>
        <w:t>Abstract: Background Prostaglandins may reduce ischaemic injury after liver transplantation. Several small randomised trials have evaluated the effects</w:t>
      </w:r>
      <w:r w:rsidR="00427468">
        <w:rPr>
          <w:kern w:val="0"/>
        </w:rPr>
        <w:t xml:space="preserve"> of </w:t>
      </w:r>
      <w:r>
        <w:rPr>
          <w:kern w:val="0"/>
        </w:rPr>
        <w:t>prostaglandins in patients undergoing liver transplantation. Results</w:t>
      </w:r>
      <w:r w:rsidR="00427468">
        <w:rPr>
          <w:kern w:val="0"/>
        </w:rPr>
        <w:t xml:space="preserve"> of </w:t>
      </w:r>
      <w:r>
        <w:rPr>
          <w:kern w:val="0"/>
        </w:rPr>
        <w:t>these trials are inconsistent,</w:t>
      </w:r>
      <w:r w:rsidR="005853A9">
        <w:rPr>
          <w:kern w:val="0"/>
        </w:rPr>
        <w:t xml:space="preserve"> and </w:t>
      </w:r>
      <w:r>
        <w:rPr>
          <w:kern w:val="0"/>
        </w:rPr>
        <w:t>none has enough power to reliably exclude effects</w:t>
      </w:r>
      <w:r w:rsidR="00427468">
        <w:rPr>
          <w:kern w:val="0"/>
        </w:rPr>
        <w:t xml:space="preserve"> of </w:t>
      </w:r>
      <w:r>
        <w:rPr>
          <w:kern w:val="0"/>
        </w:rPr>
        <w:t>prostaglandins. Objectives To assess the benefits</w:t>
      </w:r>
      <w:r w:rsidR="005853A9">
        <w:rPr>
          <w:kern w:val="0"/>
        </w:rPr>
        <w:t xml:space="preserve"> and </w:t>
      </w:r>
      <w:r>
        <w:rPr>
          <w:kern w:val="0"/>
        </w:rPr>
        <w:t>harms</w:t>
      </w:r>
      <w:r w:rsidR="00427468">
        <w:rPr>
          <w:kern w:val="0"/>
        </w:rPr>
        <w:t xml:space="preserve"> of </w:t>
      </w:r>
      <w:r>
        <w:rPr>
          <w:kern w:val="0"/>
        </w:rPr>
        <w:t>prostaglandin E1 or E2 in adult liver-transplanted patients. Search strategy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LILACS (search on 20 April 2011). In addition, we perused the reference lists</w:t>
      </w:r>
      <w:r w:rsidR="00427468">
        <w:rPr>
          <w:kern w:val="0"/>
        </w:rPr>
        <w:t xml:space="preserve"> of </w:t>
      </w:r>
      <w:r>
        <w:rPr>
          <w:kern w:val="0"/>
        </w:rPr>
        <w:t>the identified studies</w:t>
      </w:r>
      <w:r w:rsidR="005853A9">
        <w:rPr>
          <w:kern w:val="0"/>
        </w:rPr>
        <w:t xml:space="preserve"> and </w:t>
      </w:r>
      <w:r>
        <w:rPr>
          <w:kern w:val="0"/>
        </w:rPr>
        <w:t>contacted trials investigators,</w:t>
      </w:r>
      <w:r w:rsidR="005853A9">
        <w:rPr>
          <w:kern w:val="0"/>
        </w:rPr>
        <w:t xml:space="preserve"> and </w:t>
      </w:r>
      <w:r>
        <w:rPr>
          <w:kern w:val="0"/>
        </w:rPr>
        <w:t>national</w:t>
      </w:r>
      <w:r w:rsidR="005853A9">
        <w:rPr>
          <w:kern w:val="0"/>
        </w:rPr>
        <w:t xml:space="preserve"> and </w:t>
      </w:r>
      <w:r>
        <w:rPr>
          <w:kern w:val="0"/>
        </w:rPr>
        <w:t>international experts in order to identify more trials for the review. Selection criteria We included randomised clinical trials evaluating prostaglandin E1 or E2 initiated in the perioperative period versus placebo or standard treatment for adult patients undergoing liver transplantation. We did not apply any language or publication status restrictions. Data collection</w:t>
      </w:r>
      <w:r w:rsidR="005853A9">
        <w:rPr>
          <w:kern w:val="0"/>
        </w:rPr>
        <w:t xml:space="preserve"> and </w:t>
      </w:r>
      <w:r>
        <w:rPr>
          <w:kern w:val="0"/>
        </w:rPr>
        <w:t>analysis Two authors independently evaluated methodological quality, ie, risk</w:t>
      </w:r>
      <w:r w:rsidR="00427468">
        <w:rPr>
          <w:kern w:val="0"/>
        </w:rPr>
        <w:t xml:space="preserve"> of </w:t>
      </w:r>
      <w:r>
        <w:rPr>
          <w:kern w:val="0"/>
        </w:rPr>
        <w:t>bias</w:t>
      </w:r>
      <w:r w:rsidR="00427468">
        <w:rPr>
          <w:kern w:val="0"/>
        </w:rPr>
        <w:t xml:space="preserve"> of </w:t>
      </w:r>
      <w:r>
        <w:rPr>
          <w:kern w:val="0"/>
        </w:rPr>
        <w:t>the included trials,</w:t>
      </w:r>
      <w:r w:rsidR="005853A9">
        <w:rPr>
          <w:kern w:val="0"/>
        </w:rPr>
        <w:t xml:space="preserve"> and </w:t>
      </w:r>
      <w:r>
        <w:rPr>
          <w:kern w:val="0"/>
        </w:rPr>
        <w:t xml:space="preserve">extracted data using standardised data extraction forms. We </w:t>
      </w:r>
      <w:r>
        <w:rPr>
          <w:kern w:val="0"/>
        </w:rPr>
        <w:lastRenderedPageBreak/>
        <w:t>contacted trial investigators in attempt to retrieve information not available in the original manuscripts. We used random-effects model meta-analyses</w:t>
      </w:r>
      <w:r w:rsidR="005853A9">
        <w:rPr>
          <w:kern w:val="0"/>
        </w:rPr>
        <w:t xml:space="preserve"> and </w:t>
      </w:r>
      <w:r>
        <w:rPr>
          <w:kern w:val="0"/>
        </w:rPr>
        <w:t>fixed-effect model meta-analyses to estimate the odds ratio with 95% confidence interval (CI). Main results We included ten trials in which 652 patients were randomised</w:t>
      </w:r>
      <w:r w:rsidR="00A37C1D">
        <w:rPr>
          <w:kern w:val="0"/>
        </w:rPr>
        <w:t>. The</w:t>
      </w:r>
      <w:r>
        <w:rPr>
          <w:kern w:val="0"/>
        </w:rPr>
        <w:t xml:space="preserve"> risk</w:t>
      </w:r>
      <w:r w:rsidR="00427468">
        <w:rPr>
          <w:kern w:val="0"/>
        </w:rPr>
        <w:t xml:space="preserve"> of </w:t>
      </w:r>
      <w:r>
        <w:rPr>
          <w:kern w:val="0"/>
        </w:rPr>
        <w:t>bias was considered high in most trials</w:t>
      </w:r>
      <w:r w:rsidR="00A37C1D">
        <w:rPr>
          <w:kern w:val="0"/>
        </w:rPr>
        <w:t>. The</w:t>
      </w:r>
      <w:r>
        <w:rPr>
          <w:kern w:val="0"/>
        </w:rPr>
        <w:t>re was no significant effect</w:t>
      </w:r>
      <w:r w:rsidR="00427468">
        <w:rPr>
          <w:kern w:val="0"/>
        </w:rPr>
        <w:t xml:space="preserve"> of </w:t>
      </w:r>
      <w:r>
        <w:rPr>
          <w:kern w:val="0"/>
        </w:rPr>
        <w:t>prostaglandins on all-cause mortality (37/298[12.4%] in prostaglandin group versus 47/312[15.1%] in control group; OR 0.84, 95% CI 0.53 to 1.37; I(2) = 0%), on primary non-function</w:t>
      </w:r>
      <w:r w:rsidR="00427468">
        <w:rPr>
          <w:kern w:val="0"/>
        </w:rPr>
        <w:t xml:space="preserve"> of </w:t>
      </w:r>
      <w:r>
        <w:rPr>
          <w:kern w:val="0"/>
        </w:rPr>
        <w:t>the allograft (8/238 [3.4%] versus. 16/250[6.4%]; OR 0.55, 95% CI 0.23 to 1.33; I(2) = 0%),</w:t>
      </w:r>
      <w:r w:rsidR="005853A9">
        <w:rPr>
          <w:kern w:val="0"/>
        </w:rPr>
        <w:t xml:space="preserve"> and </w:t>
      </w:r>
      <w:r>
        <w:rPr>
          <w:kern w:val="0"/>
        </w:rPr>
        <w:t>on liver re-transplantation (12/161[7.5%] versus 14/171[8.2%]; OR 0.99, 95% CI 0.44 to 2.25; I(2) = 0%). Prostaglandins seemed to significantly decrease the risk</w:t>
      </w:r>
      <w:r w:rsidR="00427468">
        <w:rPr>
          <w:kern w:val="0"/>
        </w:rPr>
        <w:t xml:space="preserve"> of </w:t>
      </w:r>
      <w:r>
        <w:rPr>
          <w:kern w:val="0"/>
        </w:rPr>
        <w:t>acute kidney failure requiring dialysis (13/158[8.2%] versus 34/171[9.9%]; OR 0.37, 95% CI 0.18 to 0.75; I(2) = 0%)</w:t>
      </w:r>
      <w:r w:rsidR="00A37C1D">
        <w:rPr>
          <w:kern w:val="0"/>
        </w:rPr>
        <w:t>. The</w:t>
      </w:r>
      <w:r>
        <w:rPr>
          <w:kern w:val="0"/>
        </w:rPr>
        <w:t>re was no significant increase in the risk</w:t>
      </w:r>
      <w:r w:rsidR="00427468">
        <w:rPr>
          <w:kern w:val="0"/>
        </w:rPr>
        <w:t xml:space="preserve"> of </w:t>
      </w:r>
      <w:r>
        <w:rPr>
          <w:kern w:val="0"/>
        </w:rPr>
        <w:t>adverse events with prostaglandins. Authors</w:t>
      </w:r>
      <w:r w:rsidR="0071223E">
        <w:rPr>
          <w:kern w:val="0"/>
        </w:rPr>
        <w:t>’</w:t>
      </w:r>
      <w:r>
        <w:rPr>
          <w:kern w:val="0"/>
        </w:rPr>
        <w:t xml:space="preserve"> conclusions We found no evidence that the administration</w:t>
      </w:r>
      <w:r w:rsidR="00427468">
        <w:rPr>
          <w:kern w:val="0"/>
        </w:rPr>
        <w:t xml:space="preserve"> of </w:t>
      </w:r>
      <w:r>
        <w:rPr>
          <w:kern w:val="0"/>
        </w:rPr>
        <w:t>prostaglandins to liver transplanted patients reduces the risk</w:t>
      </w:r>
      <w:r w:rsidR="00427468">
        <w:rPr>
          <w:kern w:val="0"/>
        </w:rPr>
        <w:t xml:space="preserve"> of </w:t>
      </w:r>
      <w:r>
        <w:rPr>
          <w:kern w:val="0"/>
        </w:rPr>
        <w:t>death, primary non-function</w:t>
      </w:r>
      <w:r w:rsidR="00427468">
        <w:rPr>
          <w:kern w:val="0"/>
        </w:rPr>
        <w:t xml:space="preserve"> of </w:t>
      </w:r>
      <w:r>
        <w:rPr>
          <w:kern w:val="0"/>
        </w:rPr>
        <w:t>the allograft, or liver re-transplantation. Prostaglandins might reduce the risk</w:t>
      </w:r>
      <w:r w:rsidR="00427468">
        <w:rPr>
          <w:kern w:val="0"/>
        </w:rPr>
        <w:t xml:space="preserve"> of </w:t>
      </w:r>
      <w:r>
        <w:rPr>
          <w:kern w:val="0"/>
        </w:rPr>
        <w:t>acute kidney failure requiring dialysis, but the quality</w:t>
      </w:r>
      <w:r w:rsidR="00427468">
        <w:rPr>
          <w:kern w:val="0"/>
        </w:rPr>
        <w:t xml:space="preserve"> of </w:t>
      </w:r>
      <w:r>
        <w:rPr>
          <w:kern w:val="0"/>
        </w:rPr>
        <w:t>the evidence is considered only moderate due to high risk</w:t>
      </w:r>
      <w:r w:rsidR="00427468">
        <w:rPr>
          <w:kern w:val="0"/>
        </w:rPr>
        <w:t xml:space="preserve"> of </w:t>
      </w:r>
      <w:r>
        <w:rPr>
          <w:kern w:val="0"/>
        </w:rPr>
        <w:t>bias in most</w:t>
      </w:r>
      <w:r w:rsidR="00427468">
        <w:rPr>
          <w:kern w:val="0"/>
        </w:rPr>
        <w:t xml:space="preserve"> of </w:t>
      </w:r>
      <w:r>
        <w:rPr>
          <w:kern w:val="0"/>
        </w:rPr>
        <w:t>the included trials. Moreover, there are risks</w:t>
      </w:r>
      <w:r w:rsidR="00427468">
        <w:rPr>
          <w:kern w:val="0"/>
        </w:rPr>
        <w:t xml:space="preserve"> of </w:t>
      </w:r>
      <w:r>
        <w:rPr>
          <w:kern w:val="0"/>
        </w:rPr>
        <w:t>outcome measure reporting bias</w:t>
      </w:r>
      <w:r w:rsidR="005853A9">
        <w:rPr>
          <w:kern w:val="0"/>
        </w:rPr>
        <w:t xml:space="preserve"> and </w:t>
      </w:r>
      <w:r>
        <w:rPr>
          <w:kern w:val="0"/>
        </w:rPr>
        <w:t>random errors</w:t>
      </w:r>
      <w:r w:rsidR="00A37C1D">
        <w:rPr>
          <w:kern w:val="0"/>
        </w:rPr>
        <w:t>. The</w:t>
      </w:r>
      <w:r>
        <w:rPr>
          <w:kern w:val="0"/>
        </w:rPr>
        <w:t>refore, further randomised, placebo-controlled trials are deemed necessary.</w:t>
      </w:r>
    </w:p>
    <w:p w:rsidR="00365DE4" w:rsidRDefault="00365DE4" w:rsidP="00365DE4">
      <w:pPr>
        <w:pStyle w:val="a3"/>
        <w:rPr>
          <w:kern w:val="0"/>
        </w:rPr>
      </w:pPr>
      <w:r>
        <w:rPr>
          <w:kern w:val="0"/>
        </w:rPr>
        <w:t xml:space="preserve">Keywords: Acute, Adult, Adverse Events, Analysis, Authors, Bias, Citation, Clinical Trials, Clinical-Trials, Cochrane, Control, Dialysis, Double-Blind, Embase, Empirical-Evidence, Extraction, Graft Nonfunction, Improve Renal-Function, Information, Injury, Liver Transplantation, </w:t>
      </w:r>
      <w:r w:rsidR="00D5664A">
        <w:rPr>
          <w:kern w:val="0"/>
        </w:rPr>
        <w:t>MEDLINE</w:t>
      </w:r>
      <w:r>
        <w:rPr>
          <w:kern w:val="0"/>
        </w:rPr>
        <w:t>, Metaanalyses, Model, Mortality, Outcome, Patients, Power, Primary, Prostacyclin, Publication, Quality, Randomized-Trials, Ratio, Reperfusion Injury, Review, Risk, Science, Science Citation Index, Search Strategy, Selection, Strategy, Transplantation, Treatment</w:t>
      </w:r>
    </w:p>
    <w:p w:rsidR="00365DE4" w:rsidRDefault="00365DE4" w:rsidP="00365DE4">
      <w:pPr>
        <w:pStyle w:val="a3"/>
        <w:rPr>
          <w:kern w:val="0"/>
        </w:rPr>
      </w:pPr>
      <w:r>
        <w:rPr>
          <w:kern w:val="0"/>
        </w:rPr>
        <w:t>? Chen, S., Wu, T.X., Kong, X.Y.</w:t>
      </w:r>
      <w:r w:rsidR="005853A9">
        <w:rPr>
          <w:kern w:val="0"/>
        </w:rPr>
        <w:t xml:space="preserve"> and </w:t>
      </w:r>
      <w:r>
        <w:rPr>
          <w:kern w:val="0"/>
        </w:rPr>
        <w:t xml:space="preserve">Yuan, H. (2011), Chinese medicinal herbs for measles.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CD005531.</w:t>
      </w:r>
    </w:p>
    <w:p w:rsidR="00365DE4" w:rsidRDefault="00365DE4" w:rsidP="00365DE4">
      <w:pPr>
        <w:pStyle w:val="a3"/>
        <w:rPr>
          <w:kern w:val="2"/>
        </w:rPr>
      </w:pPr>
      <w:r>
        <w:t xml:space="preserve">Full Text: </w:t>
      </w:r>
      <w:hyperlink r:id="rId708" w:history="1">
        <w:r>
          <w:rPr>
            <w:rStyle w:val="a5"/>
          </w:rPr>
          <w:t>2011\Coc Dat Sys Rev2011, CD005531.pdf</w:t>
        </w:r>
      </w:hyperlink>
    </w:p>
    <w:p w:rsidR="00365DE4" w:rsidRDefault="00365DE4" w:rsidP="00365DE4">
      <w:pPr>
        <w:pStyle w:val="a3"/>
        <w:rPr>
          <w:kern w:val="0"/>
        </w:rPr>
      </w:pPr>
      <w:r>
        <w:rPr>
          <w:kern w:val="0"/>
        </w:rPr>
        <w:t>Abstract: Background Measles is an infectious disease caused by the Morbillivirus. Chinese physicians believe that medicinal herbs are effective in alleviating symptoms</w:t>
      </w:r>
      <w:r w:rsidR="005853A9">
        <w:rPr>
          <w:kern w:val="0"/>
        </w:rPr>
        <w:t xml:space="preserve"> and </w:t>
      </w:r>
      <w:r>
        <w:rPr>
          <w:kern w:val="0"/>
        </w:rPr>
        <w:t>preventing complications. Chinese herbal medicines are dispensed according to the particular symptoms. This is the second update</w:t>
      </w:r>
      <w:r w:rsidR="00427468">
        <w:rPr>
          <w:kern w:val="0"/>
        </w:rPr>
        <w:t xml:space="preserve"> of </w:t>
      </w:r>
      <w:r>
        <w:rPr>
          <w:kern w:val="0"/>
        </w:rPr>
        <w:t>a Cochrane Review first published in 2006. Objectives To assess the effectiveness</w:t>
      </w:r>
      <w:r w:rsidR="005853A9">
        <w:rPr>
          <w:kern w:val="0"/>
        </w:rPr>
        <w:t xml:space="preserve"> and </w:t>
      </w:r>
      <w:r>
        <w:rPr>
          <w:kern w:val="0"/>
        </w:rPr>
        <w:t>possible adverse effects</w:t>
      </w:r>
      <w:r w:rsidR="00427468">
        <w:rPr>
          <w:kern w:val="0"/>
        </w:rPr>
        <w:t xml:space="preserve"> of </w:t>
      </w:r>
      <w:r>
        <w:rPr>
          <w:kern w:val="0"/>
        </w:rPr>
        <w:t>Chinese medicinal herbs for measles. Search strategy We searched the Cochrane Central Register</w:t>
      </w:r>
      <w:r w:rsidR="00427468">
        <w:rPr>
          <w:kern w:val="0"/>
        </w:rPr>
        <w:t xml:space="preserve"> of </w:t>
      </w:r>
      <w:r>
        <w:rPr>
          <w:kern w:val="0"/>
        </w:rPr>
        <w:t>Controlled Clinical Trials (CENTRAL Issue 1, 2011) which contains the Cochrane Acute Respiratory Infections Group</w:t>
      </w:r>
      <w:r w:rsidR="0071223E">
        <w:rPr>
          <w:kern w:val="0"/>
        </w:rPr>
        <w:t>’</w:t>
      </w:r>
      <w:r>
        <w:rPr>
          <w:kern w:val="0"/>
        </w:rPr>
        <w:t xml:space="preserve">s Specialised Register, </w:t>
      </w:r>
      <w:r w:rsidR="00D5664A">
        <w:rPr>
          <w:kern w:val="0"/>
        </w:rPr>
        <w:t>MEDLINE</w:t>
      </w:r>
      <w:r>
        <w:rPr>
          <w:kern w:val="0"/>
        </w:rPr>
        <w:t xml:space="preserve"> (1966 to March week 5, 2011), EMBASE (1980 to </w:t>
      </w:r>
      <w:r>
        <w:rPr>
          <w:kern w:val="0"/>
        </w:rPr>
        <w:lastRenderedPageBreak/>
        <w:t xml:space="preserve">April 2011), </w:t>
      </w:r>
      <w:r w:rsidR="00D5664A">
        <w:rPr>
          <w:kern w:val="0"/>
        </w:rPr>
        <w:t>Web</w:t>
      </w:r>
      <w:r w:rsidR="00427468">
        <w:rPr>
          <w:kern w:val="0"/>
        </w:rPr>
        <w:t xml:space="preserve"> of </w:t>
      </w:r>
      <w:r w:rsidR="00D5664A">
        <w:rPr>
          <w:kern w:val="0"/>
        </w:rPr>
        <w:t>Science</w:t>
      </w:r>
      <w:r>
        <w:rPr>
          <w:kern w:val="0"/>
        </w:rPr>
        <w:t xml:space="preserve"> (2005 to 30 April 2011), AMED (1985 to 30 April 2011), Chinese Biomedical Database (1976 to 30 June 2011), VIP Information (1989 to 30 June 2011), China National Knowledge Infrastructure (CNKI) (1976 to 30 June 2011), Chinese Journals full-article database (1994 to 30 June 2011)</w:t>
      </w:r>
      <w:r w:rsidR="005853A9">
        <w:rPr>
          <w:kern w:val="0"/>
        </w:rPr>
        <w:t xml:space="preserve"> and </w:t>
      </w:r>
      <w:r>
        <w:rPr>
          <w:kern w:val="0"/>
        </w:rPr>
        <w:t>the m et a Register</w:t>
      </w:r>
      <w:r w:rsidR="00427468">
        <w:rPr>
          <w:kern w:val="0"/>
        </w:rPr>
        <w:t xml:space="preserve"> of </w:t>
      </w:r>
      <w:r>
        <w:rPr>
          <w:kern w:val="0"/>
        </w:rPr>
        <w:t>Controlled Trials for ongoing trials. Selection criteria Randomised controlled trials (RCTs)</w:t>
      </w:r>
      <w:r w:rsidR="00427468">
        <w:rPr>
          <w:kern w:val="0"/>
        </w:rPr>
        <w:t xml:space="preserve"> of </w:t>
      </w:r>
      <w:r>
        <w:rPr>
          <w:kern w:val="0"/>
        </w:rPr>
        <w:t>Chinese medicinal herbs in patients with measles (without complications). Data collection</w:t>
      </w:r>
      <w:r w:rsidR="005853A9">
        <w:rPr>
          <w:kern w:val="0"/>
        </w:rPr>
        <w:t xml:space="preserve"> and </w:t>
      </w:r>
      <w:r>
        <w:rPr>
          <w:kern w:val="0"/>
        </w:rPr>
        <w:t>analysis Two review authors (SC, TW) independently assessed trial quality</w:t>
      </w:r>
      <w:r w:rsidR="005853A9">
        <w:rPr>
          <w:kern w:val="0"/>
        </w:rPr>
        <w:t xml:space="preserve"> and </w:t>
      </w:r>
      <w:r>
        <w:rPr>
          <w:kern w:val="0"/>
        </w:rPr>
        <w:t>extracted data. We telephone interviewed the trial authors for missing information regarding participant allocation. Some trials allocated participants according to the sequence they were admitted to the trials, that is to say, by using a pseudo-random allocation method. None</w:t>
      </w:r>
      <w:r w:rsidR="00427468">
        <w:rPr>
          <w:kern w:val="0"/>
        </w:rPr>
        <w:t xml:space="preserve"> of </w:t>
      </w:r>
      <w:r>
        <w:rPr>
          <w:kern w:val="0"/>
        </w:rPr>
        <w:t>the trials concealed the allocation or used blinding methods. Main results We did not identify any suitable trials for inclusion. In this updated review we identified 80 trials which claimed to use random allocation. We contacted 32 trial authors by telephone</w:t>
      </w:r>
      <w:r w:rsidR="005853A9">
        <w:rPr>
          <w:kern w:val="0"/>
        </w:rPr>
        <w:t xml:space="preserve"> and </w:t>
      </w:r>
      <w:r>
        <w:rPr>
          <w:kern w:val="0"/>
        </w:rPr>
        <w:t>learned that the allocation methods used were not randomised. We excluded 34 studies because the participants experienced complications such as pneumonia. We excluded 10 trials because</w:t>
      </w:r>
      <w:r w:rsidR="00427468">
        <w:rPr>
          <w:kern w:val="0"/>
        </w:rPr>
        <w:t xml:space="preserve"> of </w:t>
      </w:r>
      <w:r>
        <w:rPr>
          <w:kern w:val="0"/>
        </w:rPr>
        <w:t>non-random allocation</w:t>
      </w:r>
      <w:r w:rsidR="005853A9">
        <w:rPr>
          <w:kern w:val="0"/>
        </w:rPr>
        <w:t xml:space="preserve"> and </w:t>
      </w:r>
      <w:r>
        <w:rPr>
          <w:kern w:val="0"/>
        </w:rPr>
        <w:t>complications experienced by the participants. We were unable to contact the remaining four trials</w:t>
      </w:r>
      <w:r w:rsidR="0071223E">
        <w:rPr>
          <w:kern w:val="0"/>
        </w:rPr>
        <w:t>’</w:t>
      </w:r>
      <w:r>
        <w:rPr>
          <w:kern w:val="0"/>
        </w:rPr>
        <w:t xml:space="preserve"> authors, so they require further assessment</w:t>
      </w:r>
      <w:r w:rsidR="005853A9">
        <w:rPr>
          <w:kern w:val="0"/>
        </w:rPr>
        <w:t xml:space="preserve"> and </w:t>
      </w:r>
      <w:r>
        <w:rPr>
          <w:kern w:val="0"/>
        </w:rPr>
        <w:t xml:space="preserve">have been allocated to the </w:t>
      </w:r>
      <w:r w:rsidR="0071223E">
        <w:rPr>
          <w:kern w:val="0"/>
        </w:rPr>
        <w:t>‘</w:t>
      </w:r>
      <w:r>
        <w:rPr>
          <w:kern w:val="0"/>
        </w:rPr>
        <w:t>Studies awaiting classification</w:t>
      </w:r>
      <w:r w:rsidR="0071223E">
        <w:rPr>
          <w:kern w:val="0"/>
        </w:rPr>
        <w:t>’</w:t>
      </w:r>
      <w:r>
        <w:rPr>
          <w:kern w:val="0"/>
        </w:rPr>
        <w:t xml:space="preserve"> section. Authors</w:t>
      </w:r>
      <w:r w:rsidR="0071223E">
        <w:rPr>
          <w:kern w:val="0"/>
        </w:rPr>
        <w:t>’</w:t>
      </w:r>
      <w:r>
        <w:rPr>
          <w:kern w:val="0"/>
        </w:rPr>
        <w:t xml:space="preserve"> conclusions There is no RCT evidence for or against Chinese medicinal herbs as a treatment for measles. We hope high-quality, robust RCTs in this field will be conducted in the future.</w:t>
      </w:r>
    </w:p>
    <w:p w:rsidR="00365DE4" w:rsidRDefault="00365DE4" w:rsidP="00365DE4">
      <w:pPr>
        <w:pStyle w:val="a3"/>
        <w:rPr>
          <w:kern w:val="0"/>
        </w:rPr>
      </w:pPr>
      <w:r>
        <w:rPr>
          <w:kern w:val="0"/>
        </w:rPr>
        <w:t xml:space="preserve">Keywords: Adult, Adverse Effects, Analysis, Assessment, Authors, Child, China, Cochrane, Complications, Database, Disease, Drugs,Chinese Herbal [Therapeutic Use], Effectiveness, Embase, Herbal, Humans, Information, Journals, Knowledge, Measles [Drug Therapy], </w:t>
      </w:r>
      <w:r w:rsidR="00D5664A">
        <w:rPr>
          <w:kern w:val="0"/>
        </w:rPr>
        <w:t>MEDLINE</w:t>
      </w:r>
      <w:r>
        <w:rPr>
          <w:kern w:val="0"/>
        </w:rPr>
        <w:t xml:space="preserve">, Patients, Physicians, Pneumonia, Quality, Review, Science, Search Strategy, Selection, Strategy, Symptoms,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Gur</w:t>
      </w:r>
      <w:r w:rsidR="00D5664A">
        <w:rPr>
          <w:kern w:val="0"/>
        </w:rPr>
        <w:t>USA</w:t>
      </w:r>
      <w:r>
        <w:rPr>
          <w:kern w:val="0"/>
        </w:rPr>
        <w:t>my, K.S., Naik, P.</w:t>
      </w:r>
      <w:r w:rsidR="005853A9">
        <w:rPr>
          <w:kern w:val="0"/>
        </w:rPr>
        <w:t xml:space="preserve"> and </w:t>
      </w:r>
      <w:r>
        <w:rPr>
          <w:kern w:val="0"/>
        </w:rPr>
        <w:t>Davidson, B.R. (2011), Methods</w:t>
      </w:r>
      <w:r w:rsidR="00427468">
        <w:rPr>
          <w:kern w:val="0"/>
        </w:rPr>
        <w:t xml:space="preserve"> of </w:t>
      </w:r>
      <w:r>
        <w:rPr>
          <w:kern w:val="0"/>
        </w:rPr>
        <w:t xml:space="preserve">decreasing infection to improve outcomes after liver resections.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CD006933.</w:t>
      </w:r>
    </w:p>
    <w:p w:rsidR="00365DE4" w:rsidRDefault="00365DE4" w:rsidP="00365DE4">
      <w:pPr>
        <w:pStyle w:val="a3"/>
        <w:rPr>
          <w:kern w:val="2"/>
        </w:rPr>
      </w:pPr>
      <w:r>
        <w:t xml:space="preserve">Full Text: </w:t>
      </w:r>
      <w:hyperlink r:id="rId709" w:history="1">
        <w:r>
          <w:rPr>
            <w:rStyle w:val="a5"/>
          </w:rPr>
          <w:t>2011\Coc Dat Sys Rev2011, CD006933.pdf</w:t>
        </w:r>
      </w:hyperlink>
    </w:p>
    <w:p w:rsidR="00365DE4" w:rsidRDefault="00365DE4" w:rsidP="00365DE4">
      <w:pPr>
        <w:pStyle w:val="a3"/>
        <w:rPr>
          <w:kern w:val="0"/>
        </w:rPr>
      </w:pPr>
      <w:r>
        <w:rPr>
          <w:kern w:val="0"/>
        </w:rPr>
        <w:t>Abstract: Background Infections cause both morbidity</w:t>
      </w:r>
      <w:r w:rsidR="005853A9">
        <w:rPr>
          <w:kern w:val="0"/>
        </w:rPr>
        <w:t xml:space="preserve"> and </w:t>
      </w:r>
      <w:r>
        <w:rPr>
          <w:kern w:val="0"/>
        </w:rPr>
        <w:t>mortality in patients undergoing liver resection. Various methods have been advocated to decrease the infectious complications after liver resection. We do not know if they are</w:t>
      </w:r>
      <w:r w:rsidR="00427468">
        <w:rPr>
          <w:kern w:val="0"/>
        </w:rPr>
        <w:t xml:space="preserve"> of </w:t>
      </w:r>
      <w:r>
        <w:rPr>
          <w:kern w:val="0"/>
        </w:rPr>
        <w:t>any benefit to the patient or the health-care funder. Objectives To determine the benefits</w:t>
      </w:r>
      <w:r w:rsidR="005853A9">
        <w:rPr>
          <w:kern w:val="0"/>
        </w:rPr>
        <w:t xml:space="preserve"> and </w:t>
      </w:r>
      <w:r>
        <w:rPr>
          <w:kern w:val="0"/>
        </w:rPr>
        <w:t>harms</w:t>
      </w:r>
      <w:r w:rsidR="00427468">
        <w:rPr>
          <w:kern w:val="0"/>
        </w:rPr>
        <w:t xml:space="preserve"> of </w:t>
      </w:r>
      <w:r>
        <w:rPr>
          <w:kern w:val="0"/>
        </w:rPr>
        <w:t>different interventions in decreasing the infectious complications</w:t>
      </w:r>
      <w:r w:rsidR="005853A9">
        <w:rPr>
          <w:kern w:val="0"/>
        </w:rPr>
        <w:t xml:space="preserve"> and </w:t>
      </w:r>
      <w:r>
        <w:rPr>
          <w:kern w:val="0"/>
        </w:rPr>
        <w:t>improving the outcomes after liver resection. Search strategy We searched the Cochrane Central Register</w:t>
      </w:r>
      <w:r w:rsidR="00427468">
        <w:rPr>
          <w:kern w:val="0"/>
        </w:rPr>
        <w:t xml:space="preserve"> of </w:t>
      </w:r>
      <w:r>
        <w:rPr>
          <w:kern w:val="0"/>
        </w:rPr>
        <w:t xml:space="preserve">Controlled Trials (CENTRAL) in The Cochrae Library, </w:t>
      </w:r>
      <w:r w:rsidR="00D5664A">
        <w:rPr>
          <w:kern w:val="0"/>
        </w:rPr>
        <w:lastRenderedPageBreak/>
        <w:t>MEDLINE</w:t>
      </w:r>
      <w:r>
        <w:rPr>
          <w:kern w:val="0"/>
        </w:rPr>
        <w:t>, EMBASE,</w:t>
      </w:r>
      <w:r w:rsidR="005853A9">
        <w:rPr>
          <w:kern w:val="0"/>
        </w:rPr>
        <w:t xml:space="preserve"> and </w:t>
      </w:r>
      <w:r>
        <w:rPr>
          <w:kern w:val="0"/>
        </w:rPr>
        <w:t>Science Citation Index Expanded until August 2011. Selection criteria We included all randomised clinical trials that were performed to compare interventions aimed at decreasing the infectious complications after liver resection. Data collection</w:t>
      </w:r>
      <w:r w:rsidR="005853A9">
        <w:rPr>
          <w:kern w:val="0"/>
        </w:rPr>
        <w:t xml:space="preserve"> and </w:t>
      </w:r>
      <w:r>
        <w:rPr>
          <w:kern w:val="0"/>
        </w:rPr>
        <w:t>analysis Two authors independently identified the trials</w:t>
      </w:r>
      <w:r w:rsidR="005853A9">
        <w:rPr>
          <w:kern w:val="0"/>
        </w:rPr>
        <w:t xml:space="preserve"> and </w:t>
      </w:r>
      <w:r>
        <w:rPr>
          <w:kern w:val="0"/>
        </w:rPr>
        <w:t>extracted the data. We analysed the data with both the fixed-effect</w:t>
      </w:r>
      <w:r w:rsidR="005853A9">
        <w:rPr>
          <w:kern w:val="0"/>
        </w:rPr>
        <w:t xml:space="preserve"> and </w:t>
      </w:r>
      <w:r>
        <w:rPr>
          <w:kern w:val="0"/>
        </w:rPr>
        <w:t>the random-effects model using RevMan Analysis. For each outcome we calculated the risk ratio (RR), rate ratio, or mean difference (MD) with 95% confidence intervals (CI) based on available patient data analysis. Main results We included seven trials including 521 patients for this review</w:t>
      </w:r>
      <w:r w:rsidR="00A37C1D">
        <w:rPr>
          <w:kern w:val="0"/>
        </w:rPr>
        <w:t>. The</w:t>
      </w:r>
      <w:r>
        <w:rPr>
          <w:kern w:val="0"/>
        </w:rPr>
        <w:t xml:space="preserve"> sample size in the trials varied from 12 to 180 patients. All the trials were</w:t>
      </w:r>
      <w:r w:rsidR="00427468">
        <w:rPr>
          <w:kern w:val="0"/>
        </w:rPr>
        <w:t xml:space="preserve"> of </w:t>
      </w:r>
      <w:r>
        <w:rPr>
          <w:kern w:val="0"/>
        </w:rPr>
        <w:t>high risks</w:t>
      </w:r>
      <w:r w:rsidR="00427468">
        <w:rPr>
          <w:kern w:val="0"/>
        </w:rPr>
        <w:t xml:space="preserve"> of </w:t>
      </w:r>
      <w:r>
        <w:rPr>
          <w:kern w:val="0"/>
        </w:rPr>
        <w:t>systematic errors</w:t>
      </w:r>
      <w:r w:rsidR="005853A9">
        <w:rPr>
          <w:kern w:val="0"/>
        </w:rPr>
        <w:t xml:space="preserve"> and</w:t>
      </w:r>
      <w:r w:rsidR="00427468">
        <w:rPr>
          <w:kern w:val="0"/>
        </w:rPr>
        <w:t xml:space="preserve"> of </w:t>
      </w:r>
      <w:r>
        <w:rPr>
          <w:kern w:val="0"/>
        </w:rPr>
        <w:t>random errors. Four trials included patients who underwent liver resection only. In the remaining three trials, patients underwent combined liver resection with extrahepatic biliary resection resulting in a biliary enteric anastomosis. Four trials included only major liver resection</w:t>
      </w:r>
      <w:r w:rsidR="00A37C1D">
        <w:rPr>
          <w:kern w:val="0"/>
        </w:rPr>
        <w:t>. The</w:t>
      </w:r>
      <w:r>
        <w:rPr>
          <w:kern w:val="0"/>
        </w:rPr>
        <w:t xml:space="preserve"> remaining three trials included a mixture</w:t>
      </w:r>
      <w:r w:rsidR="00427468">
        <w:rPr>
          <w:kern w:val="0"/>
        </w:rPr>
        <w:t xml:space="preserve"> of </w:t>
      </w:r>
      <w:r>
        <w:rPr>
          <w:kern w:val="0"/>
        </w:rPr>
        <w:t>major</w:t>
      </w:r>
      <w:r w:rsidR="005853A9">
        <w:rPr>
          <w:kern w:val="0"/>
        </w:rPr>
        <w:t xml:space="preserve"> and </w:t>
      </w:r>
      <w:r>
        <w:rPr>
          <w:kern w:val="0"/>
        </w:rPr>
        <w:t>minor liver resections. It appears that the proportion</w:t>
      </w:r>
      <w:r w:rsidR="00427468">
        <w:rPr>
          <w:kern w:val="0"/>
        </w:rPr>
        <w:t xml:space="preserve"> of </w:t>
      </w:r>
      <w:r>
        <w:rPr>
          <w:kern w:val="0"/>
        </w:rPr>
        <w:t>cirrhotic patients in the trials was very low</w:t>
      </w:r>
      <w:r w:rsidR="00A37C1D">
        <w:rPr>
          <w:kern w:val="0"/>
        </w:rPr>
        <w:t>. The</w:t>
      </w:r>
      <w:r>
        <w:rPr>
          <w:kern w:val="0"/>
        </w:rPr>
        <w:t xml:space="preserve"> comparisons performed included whether antibiotics are necessary routinely during the peri-operative period</w:t>
      </w:r>
      <w:r w:rsidR="00427468">
        <w:rPr>
          <w:kern w:val="0"/>
        </w:rPr>
        <w:t xml:space="preserve"> of </w:t>
      </w:r>
      <w:r>
        <w:rPr>
          <w:kern w:val="0"/>
        </w:rPr>
        <w:t>liver resection, the duration</w:t>
      </w:r>
      <w:r w:rsidR="00427468">
        <w:rPr>
          <w:kern w:val="0"/>
        </w:rPr>
        <w:t xml:space="preserve"> of </w:t>
      </w:r>
      <w:r>
        <w:rPr>
          <w:kern w:val="0"/>
        </w:rPr>
        <w:t>antibiotics, the use</w:t>
      </w:r>
      <w:r w:rsidR="00427468">
        <w:rPr>
          <w:kern w:val="0"/>
        </w:rPr>
        <w:t xml:space="preserve"> of </w:t>
      </w:r>
      <w:r>
        <w:rPr>
          <w:kern w:val="0"/>
        </w:rPr>
        <w:t>prebiotics</w:t>
      </w:r>
      <w:r w:rsidR="005853A9">
        <w:rPr>
          <w:kern w:val="0"/>
        </w:rPr>
        <w:t xml:space="preserve"> and </w:t>
      </w:r>
      <w:r>
        <w:rPr>
          <w:kern w:val="0"/>
        </w:rPr>
        <w:t>probiotics in the perioperative period, use</w:t>
      </w:r>
      <w:r w:rsidR="00427468">
        <w:rPr>
          <w:kern w:val="0"/>
        </w:rPr>
        <w:t xml:space="preserve"> of </w:t>
      </w:r>
      <w:r>
        <w:rPr>
          <w:kern w:val="0"/>
        </w:rPr>
        <w:t>recombinant bactericidal-permeability increasing protein 21 (rBPI21),</w:t>
      </w:r>
      <w:r w:rsidR="005853A9">
        <w:rPr>
          <w:kern w:val="0"/>
        </w:rPr>
        <w:t xml:space="preserve"> and </w:t>
      </w:r>
      <w:r>
        <w:rPr>
          <w:kern w:val="0"/>
        </w:rPr>
        <w:t>the use</w:t>
      </w:r>
      <w:r w:rsidR="00427468">
        <w:rPr>
          <w:kern w:val="0"/>
        </w:rPr>
        <w:t xml:space="preserve"> of </w:t>
      </w:r>
      <w:r>
        <w:rPr>
          <w:kern w:val="0"/>
        </w:rPr>
        <w:t>topical povidone iodine gel at the time</w:t>
      </w:r>
      <w:r w:rsidR="00427468">
        <w:rPr>
          <w:kern w:val="0"/>
        </w:rPr>
        <w:t xml:space="preserve"> of </w:t>
      </w:r>
      <w:r>
        <w:rPr>
          <w:kern w:val="0"/>
        </w:rPr>
        <w:t>wound closure. Only one or two trials were included under each comparison</w:t>
      </w:r>
      <w:r w:rsidR="00A37C1D">
        <w:rPr>
          <w:kern w:val="0"/>
        </w:rPr>
        <w:t>. The</w:t>
      </w:r>
      <w:r>
        <w:rPr>
          <w:kern w:val="0"/>
        </w:rPr>
        <w:t>re was no significant differences in mortality or severe morbidity in any</w:t>
      </w:r>
      <w:r w:rsidR="00427468">
        <w:rPr>
          <w:kern w:val="0"/>
        </w:rPr>
        <w:t xml:space="preserve"> of </w:t>
      </w:r>
      <w:r>
        <w:rPr>
          <w:kern w:val="0"/>
        </w:rPr>
        <w:t>the comparisons. Quality</w:t>
      </w:r>
      <w:r w:rsidR="00427468">
        <w:rPr>
          <w:kern w:val="0"/>
        </w:rPr>
        <w:t xml:space="preserve"> of </w:t>
      </w:r>
      <w:r>
        <w:rPr>
          <w:kern w:val="0"/>
        </w:rPr>
        <w:t>life was not reported in any</w:t>
      </w:r>
      <w:r w:rsidR="00427468">
        <w:rPr>
          <w:kern w:val="0"/>
        </w:rPr>
        <w:t xml:space="preserve"> of </w:t>
      </w:r>
      <w:r>
        <w:rPr>
          <w:kern w:val="0"/>
        </w:rPr>
        <w:t>the trials. Authors</w:t>
      </w:r>
      <w:r w:rsidR="0071223E">
        <w:rPr>
          <w:kern w:val="0"/>
        </w:rPr>
        <w:t>’</w:t>
      </w:r>
      <w:r>
        <w:rPr>
          <w:kern w:val="0"/>
        </w:rPr>
        <w:t xml:space="preserve"> conclusions There is currently no evidence to support or refute the use</w:t>
      </w:r>
      <w:r w:rsidR="00427468">
        <w:rPr>
          <w:kern w:val="0"/>
        </w:rPr>
        <w:t xml:space="preserve"> of </w:t>
      </w:r>
      <w:r>
        <w:rPr>
          <w:kern w:val="0"/>
        </w:rPr>
        <w:t>any treatment to reduce infectious complications after liver resections. Further well designed trials with low risk</w:t>
      </w:r>
      <w:r w:rsidR="00427468">
        <w:rPr>
          <w:kern w:val="0"/>
        </w:rPr>
        <w:t xml:space="preserve"> of </w:t>
      </w:r>
      <w:r>
        <w:rPr>
          <w:kern w:val="0"/>
        </w:rPr>
        <w:t>systematic error</w:t>
      </w:r>
      <w:r w:rsidR="005853A9">
        <w:rPr>
          <w:kern w:val="0"/>
        </w:rPr>
        <w:t xml:space="preserve"> and </w:t>
      </w:r>
      <w:r>
        <w:rPr>
          <w:kern w:val="0"/>
        </w:rPr>
        <w:t>low risk</w:t>
      </w:r>
      <w:r w:rsidR="00427468">
        <w:rPr>
          <w:kern w:val="0"/>
        </w:rPr>
        <w:t xml:space="preserve"> of </w:t>
      </w:r>
      <w:r>
        <w:rPr>
          <w:kern w:val="0"/>
        </w:rPr>
        <w:t>random errors are necessary.</w:t>
      </w:r>
    </w:p>
    <w:p w:rsidR="00365DE4" w:rsidRDefault="00365DE4" w:rsidP="00365DE4">
      <w:pPr>
        <w:pStyle w:val="a3"/>
        <w:rPr>
          <w:kern w:val="0"/>
        </w:rPr>
      </w:pPr>
      <w:r>
        <w:rPr>
          <w:kern w:val="0"/>
        </w:rPr>
        <w:t xml:space="preserve">Keywords: Analysis, Antibiotics, Authors, Bias, Biliary Cancer-Surgery, Citation, Clinical Trials, Clinical-Trials, Cochrane, Complications, Confidence Intervals, Differences, Embase, Empirical-Evidence, Gel, Health Care, Hepatic Resection, Increasing Protein Rbpi(21), Infection, Interventions, Low, </w:t>
      </w:r>
      <w:r w:rsidR="00D5664A">
        <w:rPr>
          <w:kern w:val="0"/>
        </w:rPr>
        <w:t>MEDLINE</w:t>
      </w:r>
      <w:r>
        <w:rPr>
          <w:kern w:val="0"/>
        </w:rPr>
        <w:t>, Metaanalysis, Methods, Model, Morbidity, Mortality, Outcome, Outcomes, Patients, Perioperative Synbiotic Treatment, Probiotics, Quality, Quality</w:t>
      </w:r>
      <w:r w:rsidR="00427468">
        <w:rPr>
          <w:kern w:val="0"/>
        </w:rPr>
        <w:t xml:space="preserve"> of </w:t>
      </w:r>
      <w:r>
        <w:rPr>
          <w:kern w:val="0"/>
        </w:rPr>
        <w:t>Life, Randomized Controlled-Trial, Ratio, Review, Risk, Science, Science Citation Index, Search Strategy, Selection, Strategy, Systematic, Treatment</w:t>
      </w:r>
    </w:p>
    <w:p w:rsidR="00365DE4" w:rsidRDefault="00365DE4" w:rsidP="00365DE4">
      <w:pPr>
        <w:pStyle w:val="a3"/>
        <w:rPr>
          <w:kern w:val="0"/>
        </w:rPr>
      </w:pPr>
      <w:r>
        <w:rPr>
          <w:kern w:val="0"/>
        </w:rPr>
        <w:t>? James, S., Montgomery, P.</w:t>
      </w:r>
      <w:r w:rsidR="005853A9">
        <w:rPr>
          <w:kern w:val="0"/>
        </w:rPr>
        <w:t xml:space="preserve"> and </w:t>
      </w:r>
      <w:r>
        <w:rPr>
          <w:kern w:val="0"/>
        </w:rPr>
        <w:t xml:space="preserve">Williams, K. (2011), Omega-3 fatty acids supplementation for autism spectrum disorders (ASD).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CD007992.</w:t>
      </w:r>
    </w:p>
    <w:p w:rsidR="00365DE4" w:rsidRDefault="00365DE4" w:rsidP="00365DE4">
      <w:pPr>
        <w:pStyle w:val="a3"/>
        <w:rPr>
          <w:kern w:val="2"/>
        </w:rPr>
      </w:pPr>
      <w:r>
        <w:t xml:space="preserve">Full Text: </w:t>
      </w:r>
      <w:hyperlink r:id="rId710" w:history="1">
        <w:r>
          <w:rPr>
            <w:rStyle w:val="a5"/>
          </w:rPr>
          <w:t>2011\Coc Dat Sys Rev2011, CD007992.pdf</w:t>
        </w:r>
      </w:hyperlink>
    </w:p>
    <w:p w:rsidR="00365DE4" w:rsidRDefault="00365DE4" w:rsidP="00365DE4">
      <w:pPr>
        <w:pStyle w:val="a3"/>
        <w:rPr>
          <w:kern w:val="0"/>
        </w:rPr>
      </w:pPr>
      <w:r>
        <w:rPr>
          <w:kern w:val="0"/>
        </w:rPr>
        <w:t xml:space="preserve">Abstract: Background It has been suggested that impairments associated with autism </w:t>
      </w:r>
      <w:r>
        <w:rPr>
          <w:kern w:val="0"/>
        </w:rPr>
        <w:lastRenderedPageBreak/>
        <w:t>spectrum disorders (ASD) may be partially explained by deficits</w:t>
      </w:r>
      <w:r w:rsidR="00427468">
        <w:rPr>
          <w:kern w:val="0"/>
        </w:rPr>
        <w:t xml:space="preserve"> of </w:t>
      </w:r>
      <w:r>
        <w:rPr>
          <w:kern w:val="0"/>
        </w:rPr>
        <w:t>omega-3 fatty acids,</w:t>
      </w:r>
      <w:r w:rsidR="005853A9">
        <w:rPr>
          <w:kern w:val="0"/>
        </w:rPr>
        <w:t xml:space="preserve"> and </w:t>
      </w:r>
      <w:r>
        <w:rPr>
          <w:kern w:val="0"/>
        </w:rPr>
        <w:t>that supplementation</w:t>
      </w:r>
      <w:r w:rsidR="00427468">
        <w:rPr>
          <w:kern w:val="0"/>
        </w:rPr>
        <w:t xml:space="preserve"> of </w:t>
      </w:r>
      <w:r>
        <w:rPr>
          <w:kern w:val="0"/>
        </w:rPr>
        <w:t>these essential fatty acids may lead to improvement</w:t>
      </w:r>
      <w:r w:rsidR="00427468">
        <w:rPr>
          <w:kern w:val="0"/>
        </w:rPr>
        <w:t xml:space="preserve"> of </w:t>
      </w:r>
      <w:r>
        <w:rPr>
          <w:kern w:val="0"/>
        </w:rPr>
        <w:t>symptoms. Objectives To review the efficacy</w:t>
      </w:r>
      <w:r w:rsidR="00427468">
        <w:rPr>
          <w:kern w:val="0"/>
        </w:rPr>
        <w:t xml:space="preserve"> of </w:t>
      </w:r>
      <w:r>
        <w:rPr>
          <w:kern w:val="0"/>
        </w:rPr>
        <w:t>omega-3 fatty acids for improving core features</w:t>
      </w:r>
      <w:r w:rsidR="00427468">
        <w:rPr>
          <w:kern w:val="0"/>
        </w:rPr>
        <w:t xml:space="preserve"> of </w:t>
      </w:r>
      <w:r>
        <w:rPr>
          <w:kern w:val="0"/>
        </w:rPr>
        <w:t>ASD (for example, social interaction, communication,</w:t>
      </w:r>
      <w:r w:rsidR="005853A9">
        <w:rPr>
          <w:kern w:val="0"/>
        </w:rPr>
        <w:t xml:space="preserve"> and </w:t>
      </w:r>
      <w:r>
        <w:rPr>
          <w:kern w:val="0"/>
        </w:rPr>
        <w:t>stereotypies)</w:t>
      </w:r>
      <w:r w:rsidR="005853A9">
        <w:rPr>
          <w:kern w:val="0"/>
        </w:rPr>
        <w:t xml:space="preserve"> and </w:t>
      </w:r>
      <w:r>
        <w:rPr>
          <w:kern w:val="0"/>
        </w:rPr>
        <w:t xml:space="preserve">associated symptoms. Search strategy We searched the following databases on 2 June 2010: CENTRAL (2010, Issue 2), </w:t>
      </w:r>
      <w:r w:rsidR="00D5664A">
        <w:rPr>
          <w:kern w:val="0"/>
        </w:rPr>
        <w:t>MEDLINE</w:t>
      </w:r>
      <w:r>
        <w:rPr>
          <w:kern w:val="0"/>
        </w:rPr>
        <w:t xml:space="preserve"> (1950 to May Week 3 2010), EMBASE (1980 to 2010 Week 21), PsycINFO (1806 to current), BIOSIS (1985 to current), CINAHL (1982 to current), Science Citation Index (1970 to current), Social Science Citation Index (1970 to current), metaRegister</w:t>
      </w:r>
      <w:r w:rsidR="00427468">
        <w:rPr>
          <w:kern w:val="0"/>
        </w:rPr>
        <w:t xml:space="preserve"> of </w:t>
      </w:r>
      <w:r>
        <w:rPr>
          <w:kern w:val="0"/>
        </w:rPr>
        <w:t>Controlled Trials (20 November 2008)</w:t>
      </w:r>
      <w:r w:rsidR="005853A9">
        <w:rPr>
          <w:kern w:val="0"/>
        </w:rPr>
        <w:t xml:space="preserve"> and </w:t>
      </w:r>
      <w:r>
        <w:rPr>
          <w:kern w:val="0"/>
        </w:rPr>
        <w:t>ClinicalTrials.gov (10 December 2010). Dissertation Abstracts International was searched on 10 December 2008, but was no longer available to the authors or editorial base in 2010. Selection criteria All randomised controlled trials</w:t>
      </w:r>
      <w:r w:rsidR="00427468">
        <w:rPr>
          <w:kern w:val="0"/>
        </w:rPr>
        <w:t xml:space="preserve"> of </w:t>
      </w:r>
      <w:r>
        <w:rPr>
          <w:kern w:val="0"/>
        </w:rPr>
        <w:t>omega-3 fatty acids supplementation compared to placebo in individuals with ASD. Data collection</w:t>
      </w:r>
      <w:r w:rsidR="005853A9">
        <w:rPr>
          <w:kern w:val="0"/>
        </w:rPr>
        <w:t xml:space="preserve"> and </w:t>
      </w:r>
      <w:r>
        <w:rPr>
          <w:kern w:val="0"/>
        </w:rPr>
        <w:t>analysis Three authors independently selected studies, assessed them for risk</w:t>
      </w:r>
      <w:r w:rsidR="00427468">
        <w:rPr>
          <w:kern w:val="0"/>
        </w:rPr>
        <w:t xml:space="preserve"> of </w:t>
      </w:r>
      <w:r>
        <w:rPr>
          <w:kern w:val="0"/>
        </w:rPr>
        <w:t>bias</w:t>
      </w:r>
      <w:r w:rsidR="005853A9">
        <w:rPr>
          <w:kern w:val="0"/>
        </w:rPr>
        <w:t xml:space="preserve"> and </w:t>
      </w:r>
      <w:r>
        <w:rPr>
          <w:kern w:val="0"/>
        </w:rPr>
        <w:t>extracted relevant data. We conducted meta-analysis</w:t>
      </w:r>
      <w:r w:rsidR="00427468">
        <w:rPr>
          <w:kern w:val="0"/>
        </w:rPr>
        <w:t xml:space="preserve"> of </w:t>
      </w:r>
      <w:r>
        <w:rPr>
          <w:kern w:val="0"/>
        </w:rPr>
        <w:t>the included studies for three primary outcomes (social interaction, communication,</w:t>
      </w:r>
      <w:r w:rsidR="005853A9">
        <w:rPr>
          <w:kern w:val="0"/>
        </w:rPr>
        <w:t xml:space="preserve"> and </w:t>
      </w:r>
      <w:r>
        <w:rPr>
          <w:kern w:val="0"/>
        </w:rPr>
        <w:t>stereotypy)</w:t>
      </w:r>
      <w:r w:rsidR="005853A9">
        <w:rPr>
          <w:kern w:val="0"/>
        </w:rPr>
        <w:t xml:space="preserve"> and </w:t>
      </w:r>
      <w:r>
        <w:rPr>
          <w:kern w:val="0"/>
        </w:rPr>
        <w:t>one secondary outcome (hyperactivity). Main results We included two trials with a total</w:t>
      </w:r>
      <w:r w:rsidR="00427468">
        <w:rPr>
          <w:kern w:val="0"/>
        </w:rPr>
        <w:t xml:space="preserve"> of </w:t>
      </w:r>
      <w:r>
        <w:rPr>
          <w:kern w:val="0"/>
        </w:rPr>
        <w:t>37 children diagnosed with ASD who were randomised into groups that received either omega-3 fatty acids supplementation or a placebo. We excluded six trials because they were either non-randomised controlled trials, did not contain a control group, or the control group did not receive a placebo. Overall, there was no evidence that omega-3 supplements had an effect on social interaction (mean difference (MD) 0.82, 95% confidence interval (CI) -2.84 to 4.48, I(2) = 0%), communication (MD 0.62, 95% CI -0.89 to 2.14, I(2) = 0%), stereotypy (MD 0.77, 95% CI -0.69 to 2.22, I(2) = 8%), or hyperactivity (MD 3.46, 95% CI -0.79 to 7.70, I(2) = 0%). Authors</w:t>
      </w:r>
      <w:r w:rsidR="0071223E">
        <w:rPr>
          <w:kern w:val="0"/>
        </w:rPr>
        <w:t>’</w:t>
      </w:r>
      <w:r>
        <w:rPr>
          <w:kern w:val="0"/>
        </w:rPr>
        <w:t xml:space="preserve"> conclusions To date there is no high quality evidence that omega-3 fatty acids supplementation is effective for improving core</w:t>
      </w:r>
      <w:r w:rsidR="005853A9">
        <w:rPr>
          <w:kern w:val="0"/>
        </w:rPr>
        <w:t xml:space="preserve"> and </w:t>
      </w:r>
      <w:r>
        <w:rPr>
          <w:kern w:val="0"/>
        </w:rPr>
        <w:t>associated symptoms</w:t>
      </w:r>
      <w:r w:rsidR="00427468">
        <w:rPr>
          <w:kern w:val="0"/>
        </w:rPr>
        <w:t xml:space="preserve"> of </w:t>
      </w:r>
      <w:r>
        <w:rPr>
          <w:kern w:val="0"/>
        </w:rPr>
        <w:t>ASD. Given the paucity</w:t>
      </w:r>
      <w:r w:rsidR="00427468">
        <w:rPr>
          <w:kern w:val="0"/>
        </w:rPr>
        <w:t xml:space="preserve"> of </w:t>
      </w:r>
      <w:r>
        <w:rPr>
          <w:kern w:val="0"/>
        </w:rPr>
        <w:t>rigorous studies in this area, there is a need for large well-conducted randomised controlled trials that examine both high</w:t>
      </w:r>
      <w:r w:rsidR="005853A9">
        <w:rPr>
          <w:kern w:val="0"/>
        </w:rPr>
        <w:t xml:space="preserve"> and </w:t>
      </w:r>
      <w:r>
        <w:rPr>
          <w:kern w:val="0"/>
        </w:rPr>
        <w:t>low functioning individuals with ASD,</w:t>
      </w:r>
      <w:r w:rsidR="005853A9">
        <w:rPr>
          <w:kern w:val="0"/>
        </w:rPr>
        <w:t xml:space="preserve"> and </w:t>
      </w:r>
      <w:r>
        <w:rPr>
          <w:kern w:val="0"/>
        </w:rPr>
        <w:t>that have longer follow-up periods.</w:t>
      </w:r>
    </w:p>
    <w:p w:rsidR="00365DE4" w:rsidRDefault="00365DE4" w:rsidP="00365DE4">
      <w:pPr>
        <w:pStyle w:val="a3"/>
        <w:rPr>
          <w:kern w:val="0"/>
        </w:rPr>
      </w:pPr>
      <w:r>
        <w:rPr>
          <w:kern w:val="0"/>
        </w:rPr>
        <w:t xml:space="preserve">Keywords: Adhd, Analysis, Authors, Autism, Bias, Children, Citation, Communication, Control, Controlled-Trial, Databases, Depressive Disorder, Double-Blind, Efficacy, Embase, Essential Fatty-Acids, Ethyl-Eicosapentaenoate, Fatty Acids, Follow-Up, International, Lead, Low, </w:t>
      </w:r>
      <w:r w:rsidR="00D5664A">
        <w:rPr>
          <w:kern w:val="0"/>
        </w:rPr>
        <w:t>MEDLINE</w:t>
      </w:r>
      <w:r>
        <w:rPr>
          <w:kern w:val="0"/>
        </w:rPr>
        <w:t>, Meta Analysis, Meta-Analysis, Omega-3, Outcome, Outcomes, Prevalence, Primary, Quality, Ratio, Review, Risk, Science, Science Citation Index, Search Strategy, Selection, Social, Social Science, Strategy, Supplements, Symptoms</w:t>
      </w:r>
    </w:p>
    <w:p w:rsidR="00365DE4" w:rsidRDefault="00365DE4" w:rsidP="00365DE4">
      <w:pPr>
        <w:pStyle w:val="a3"/>
        <w:rPr>
          <w:kern w:val="0"/>
        </w:rPr>
      </w:pPr>
      <w:r>
        <w:rPr>
          <w:kern w:val="0"/>
        </w:rPr>
        <w:t>? Johnston, B.C., Goldenberg, J.Z., Vandvik, P.O., Sun, X.</w:t>
      </w:r>
      <w:r w:rsidR="005853A9">
        <w:rPr>
          <w:kern w:val="0"/>
        </w:rPr>
        <w:t xml:space="preserve"> and </w:t>
      </w:r>
      <w:r>
        <w:rPr>
          <w:kern w:val="0"/>
        </w:rPr>
        <w:t xml:space="preserve">Guyatt, G.H. (2011), </w:t>
      </w:r>
      <w:r>
        <w:rPr>
          <w:kern w:val="0"/>
        </w:rPr>
        <w:lastRenderedPageBreak/>
        <w:t>Probiotics for the prevention</w:t>
      </w:r>
      <w:r w:rsidR="00427468">
        <w:rPr>
          <w:kern w:val="0"/>
        </w:rPr>
        <w:t xml:space="preserve"> of </w:t>
      </w:r>
      <w:r>
        <w:rPr>
          <w:kern w:val="0"/>
        </w:rPr>
        <w:t xml:space="preserve">pediatric antibiotic-associated diarrhea.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CD004827.</w:t>
      </w:r>
    </w:p>
    <w:p w:rsidR="00365DE4" w:rsidRDefault="00365DE4" w:rsidP="00365DE4">
      <w:pPr>
        <w:pStyle w:val="a3"/>
        <w:rPr>
          <w:kern w:val="2"/>
        </w:rPr>
      </w:pPr>
      <w:r>
        <w:t xml:space="preserve">Full Text: </w:t>
      </w:r>
      <w:hyperlink r:id="rId711" w:history="1">
        <w:r>
          <w:rPr>
            <w:rStyle w:val="a5"/>
          </w:rPr>
          <w:t>2011\Coc Dat Sys Rev2011, CD004827.pdf</w:t>
        </w:r>
      </w:hyperlink>
    </w:p>
    <w:p w:rsidR="00365DE4" w:rsidRDefault="00365DE4" w:rsidP="00365DE4">
      <w:pPr>
        <w:pStyle w:val="a3"/>
        <w:rPr>
          <w:kern w:val="0"/>
        </w:rPr>
      </w:pPr>
      <w:r>
        <w:rPr>
          <w:kern w:val="0"/>
        </w:rPr>
        <w:t>Abstract: Background Antibiotics alter the microbial balance within the gastrointestinal tract. Probiotics may prevent antibiotic-associated diarrhea (AAD) via restoration</w:t>
      </w:r>
      <w:r w:rsidR="00427468">
        <w:rPr>
          <w:kern w:val="0"/>
        </w:rPr>
        <w:t xml:space="preserve"> of </w:t>
      </w:r>
      <w:r>
        <w:rPr>
          <w:kern w:val="0"/>
        </w:rPr>
        <w:t>the gut microflora. Antibiotics are prescribed frequently in children</w:t>
      </w:r>
      <w:r w:rsidR="005853A9">
        <w:rPr>
          <w:kern w:val="0"/>
        </w:rPr>
        <w:t xml:space="preserve"> and </w:t>
      </w:r>
      <w:r>
        <w:rPr>
          <w:kern w:val="0"/>
        </w:rPr>
        <w:t>AAD is common in this population. Objectives The primary objectives were to assess the efficacy</w:t>
      </w:r>
      <w:r w:rsidR="005853A9">
        <w:rPr>
          <w:kern w:val="0"/>
        </w:rPr>
        <w:t xml:space="preserve"> and </w:t>
      </w:r>
      <w:r>
        <w:rPr>
          <w:kern w:val="0"/>
        </w:rPr>
        <w:t>safety</w:t>
      </w:r>
      <w:r w:rsidR="00427468">
        <w:rPr>
          <w:kern w:val="0"/>
        </w:rPr>
        <w:t xml:space="preserve"> of </w:t>
      </w:r>
      <w:r>
        <w:rPr>
          <w:kern w:val="0"/>
        </w:rPr>
        <w:t>probiotics (any specified strain or dose) used for the prevention</w:t>
      </w:r>
      <w:r w:rsidR="00427468">
        <w:rPr>
          <w:kern w:val="0"/>
        </w:rPr>
        <w:t xml:space="preserve"> of </w:t>
      </w:r>
      <w:r>
        <w:rPr>
          <w:kern w:val="0"/>
        </w:rPr>
        <w:t xml:space="preserve">AAD in children. Search strategy </w:t>
      </w:r>
      <w:r w:rsidR="00D5664A">
        <w:rPr>
          <w:kern w:val="0"/>
        </w:rPr>
        <w:t>MEDLINE</w:t>
      </w:r>
      <w:r>
        <w:rPr>
          <w:kern w:val="0"/>
        </w:rPr>
        <w:t>, EMBASE, CENTRAL, CINAHL, AMED,</w:t>
      </w:r>
      <w:r w:rsidR="005853A9">
        <w:rPr>
          <w:kern w:val="0"/>
        </w:rPr>
        <w:t xml:space="preserve"> and </w:t>
      </w:r>
      <w:r>
        <w:rPr>
          <w:kern w:val="0"/>
        </w:rPr>
        <w:t xml:space="preserve">the </w:t>
      </w:r>
      <w:r w:rsidR="00D5664A">
        <w:rPr>
          <w:kern w:val="0"/>
        </w:rPr>
        <w:t>Web</w:t>
      </w:r>
      <w:r w:rsidR="00427468">
        <w:rPr>
          <w:kern w:val="0"/>
        </w:rPr>
        <w:t xml:space="preserve"> of </w:t>
      </w:r>
      <w:r w:rsidR="00D5664A">
        <w:rPr>
          <w:kern w:val="0"/>
        </w:rPr>
        <w:t>Science</w:t>
      </w:r>
      <w:r>
        <w:rPr>
          <w:kern w:val="0"/>
        </w:rPr>
        <w:t xml:space="preserve"> (inception to May 2010) were searched along with specialized registers including the Cochrane IBD/FBD review group, CISCOM (Centralized Information Service for Complementary Medicine), NHS Evidence, the International Bibliographic Information on Dietary Supplements as well as trial registries. Letters were sent to authors</w:t>
      </w:r>
      <w:r w:rsidR="00427468">
        <w:rPr>
          <w:kern w:val="0"/>
        </w:rPr>
        <w:t xml:space="preserve"> of </w:t>
      </w:r>
      <w:r>
        <w:rPr>
          <w:kern w:val="0"/>
        </w:rPr>
        <w:t>included trials, nutra/pharmaceutical companies,</w:t>
      </w:r>
      <w:r w:rsidR="005853A9">
        <w:rPr>
          <w:kern w:val="0"/>
        </w:rPr>
        <w:t xml:space="preserve"> and </w:t>
      </w:r>
      <w:r>
        <w:rPr>
          <w:kern w:val="0"/>
        </w:rPr>
        <w:t>experts in the field requesting additional information on ongoing or unpublished trials. Conference proceedings, dissertation abstracts,</w:t>
      </w:r>
      <w:r w:rsidR="005853A9">
        <w:rPr>
          <w:kern w:val="0"/>
        </w:rPr>
        <w:t xml:space="preserve"> and </w:t>
      </w:r>
      <w:r>
        <w:rPr>
          <w:kern w:val="0"/>
        </w:rPr>
        <w:t>reference lists from included</w:t>
      </w:r>
      <w:r w:rsidR="005853A9">
        <w:rPr>
          <w:kern w:val="0"/>
        </w:rPr>
        <w:t xml:space="preserve"> and </w:t>
      </w:r>
      <w:r>
        <w:rPr>
          <w:kern w:val="0"/>
        </w:rPr>
        <w:t>relevant articles were also searched. Selection criteria Randomized, parallel, controlled trials in children (0 to 18 years) receiving antibiotics, that compare probiotics to placebo, active alternative prophylaxis, or no treatment</w:t>
      </w:r>
      <w:r w:rsidR="005853A9">
        <w:rPr>
          <w:kern w:val="0"/>
        </w:rPr>
        <w:t xml:space="preserve"> and </w:t>
      </w:r>
      <w:r>
        <w:rPr>
          <w:kern w:val="0"/>
        </w:rPr>
        <w:t>measure the incidence</w:t>
      </w:r>
      <w:r w:rsidR="00427468">
        <w:rPr>
          <w:kern w:val="0"/>
        </w:rPr>
        <w:t xml:space="preserve"> of </w:t>
      </w:r>
      <w:r>
        <w:rPr>
          <w:kern w:val="0"/>
        </w:rPr>
        <w:t>diarrhea secondary to antibiotic use were considered for inclusion. Data collection</w:t>
      </w:r>
      <w:r w:rsidR="005853A9">
        <w:rPr>
          <w:kern w:val="0"/>
        </w:rPr>
        <w:t xml:space="preserve"> and </w:t>
      </w:r>
      <w:r>
        <w:rPr>
          <w:kern w:val="0"/>
        </w:rPr>
        <w:t>analysis Study selection, data extraction as well as methodological quality assessment using the risk</w:t>
      </w:r>
      <w:r w:rsidR="00427468">
        <w:rPr>
          <w:kern w:val="0"/>
        </w:rPr>
        <w:t xml:space="preserve"> of </w:t>
      </w:r>
      <w:r>
        <w:rPr>
          <w:kern w:val="0"/>
        </w:rPr>
        <w:t>bias instrument was conducted independently</w:t>
      </w:r>
      <w:r w:rsidR="005853A9">
        <w:rPr>
          <w:kern w:val="0"/>
        </w:rPr>
        <w:t xml:space="preserve"> and </w:t>
      </w:r>
      <w:r>
        <w:rPr>
          <w:kern w:val="0"/>
        </w:rPr>
        <w:t>in duplicate by two authors. Dichotomous data (incidence</w:t>
      </w:r>
      <w:r w:rsidR="00427468">
        <w:rPr>
          <w:kern w:val="0"/>
        </w:rPr>
        <w:t xml:space="preserve"> of </w:t>
      </w:r>
      <w:r>
        <w:rPr>
          <w:kern w:val="0"/>
        </w:rPr>
        <w:t>diarrhea, adverse events) were combined using a pooled relative risk</w:t>
      </w:r>
      <w:r w:rsidR="005853A9">
        <w:rPr>
          <w:kern w:val="0"/>
        </w:rPr>
        <w:t xml:space="preserve"> and </w:t>
      </w:r>
      <w:r>
        <w:rPr>
          <w:kern w:val="0"/>
        </w:rPr>
        <w:t>risk difference (adverse events),</w:t>
      </w:r>
      <w:r w:rsidR="005853A9">
        <w:rPr>
          <w:kern w:val="0"/>
        </w:rPr>
        <w:t xml:space="preserve"> and </w:t>
      </w:r>
      <w:r>
        <w:rPr>
          <w:kern w:val="0"/>
        </w:rPr>
        <w:t>continuous data (mean duration</w:t>
      </w:r>
      <w:r w:rsidR="00427468">
        <w:rPr>
          <w:kern w:val="0"/>
        </w:rPr>
        <w:t xml:space="preserve"> of </w:t>
      </w:r>
      <w:r>
        <w:rPr>
          <w:kern w:val="0"/>
        </w:rPr>
        <w:t>diarrhea, mean daily stool frequency) as weighted mean differences, along with their corresponding 95% confidence intervals. For overall pooled results on the incidence</w:t>
      </w:r>
      <w:r w:rsidR="00427468">
        <w:rPr>
          <w:kern w:val="0"/>
        </w:rPr>
        <w:t xml:space="preserve"> of </w:t>
      </w:r>
      <w:r>
        <w:rPr>
          <w:kern w:val="0"/>
        </w:rPr>
        <w:t>diarrhea, sensitivity analyses included available case versus extreme-plausible analyses</w:t>
      </w:r>
      <w:r w:rsidR="005853A9">
        <w:rPr>
          <w:kern w:val="0"/>
        </w:rPr>
        <w:t xml:space="preserve"> and </w:t>
      </w:r>
      <w:r>
        <w:rPr>
          <w:kern w:val="0"/>
        </w:rPr>
        <w:t>random-versus fixed-effectmodels. To explore possible explanations for heterogeneity, a priori subgroup analysis were conducted on probiotic strain, dose, definition</w:t>
      </w:r>
      <w:r w:rsidR="00427468">
        <w:rPr>
          <w:kern w:val="0"/>
        </w:rPr>
        <w:t xml:space="preserve"> of </w:t>
      </w:r>
      <w:r>
        <w:rPr>
          <w:kern w:val="0"/>
        </w:rPr>
        <w:t>antibiotic-associated diarrhea, antibiotic agent as well as risk</w:t>
      </w:r>
      <w:r w:rsidR="00427468">
        <w:rPr>
          <w:kern w:val="0"/>
        </w:rPr>
        <w:t xml:space="preserve"> of </w:t>
      </w:r>
      <w:r>
        <w:rPr>
          <w:kern w:val="0"/>
        </w:rPr>
        <w:t>bias. Main results Sixteen studies (3432 participants) met the inclusion criteria. Trials included treatment with either Bacillus spp., Bifidobacterium spp., Lactobacilli spp., Lactococcus spp., Leuconostoc cremoris, Saccharomyces spp., or Streptococcus spp., alone or in combination. Nine studies used a single strain probiotic agent, four combined two probiotic strains, one combined three probiotic strains, one product included ten probiotic agents,</w:t>
      </w:r>
      <w:r w:rsidR="005853A9">
        <w:rPr>
          <w:kern w:val="0"/>
        </w:rPr>
        <w:t xml:space="preserve"> and </w:t>
      </w:r>
      <w:r>
        <w:rPr>
          <w:kern w:val="0"/>
        </w:rPr>
        <w:t>one study included two probiotic arms that used three</w:t>
      </w:r>
      <w:r w:rsidR="005853A9">
        <w:rPr>
          <w:kern w:val="0"/>
        </w:rPr>
        <w:t xml:space="preserve"> and </w:t>
      </w:r>
      <w:r>
        <w:rPr>
          <w:kern w:val="0"/>
        </w:rPr>
        <w:t>two strains respectively</w:t>
      </w:r>
      <w:r w:rsidR="00A37C1D">
        <w:rPr>
          <w:kern w:val="0"/>
        </w:rPr>
        <w:t>. The</w:t>
      </w:r>
      <w:r>
        <w:rPr>
          <w:kern w:val="0"/>
        </w:rPr>
        <w:t xml:space="preserve"> risk</w:t>
      </w:r>
      <w:r w:rsidR="00427468">
        <w:rPr>
          <w:kern w:val="0"/>
        </w:rPr>
        <w:t xml:space="preserve"> of </w:t>
      </w:r>
      <w:r>
        <w:rPr>
          <w:kern w:val="0"/>
        </w:rPr>
        <w:t>bias was determined to be high in 8 studies</w:t>
      </w:r>
      <w:r w:rsidR="005853A9">
        <w:rPr>
          <w:kern w:val="0"/>
        </w:rPr>
        <w:t xml:space="preserve"> and </w:t>
      </w:r>
      <w:r>
        <w:rPr>
          <w:kern w:val="0"/>
        </w:rPr>
        <w:t xml:space="preserve">low in 8 studies. Available case (patients who did not complete the </w:t>
      </w:r>
      <w:r>
        <w:rPr>
          <w:kern w:val="0"/>
        </w:rPr>
        <w:lastRenderedPageBreak/>
        <w:t>studies were not included in the analysis) results from 15/16 trials reporting on the incidence</w:t>
      </w:r>
      <w:r w:rsidR="00427468">
        <w:rPr>
          <w:kern w:val="0"/>
        </w:rPr>
        <w:t xml:space="preserve"> of </w:t>
      </w:r>
      <w:r>
        <w:rPr>
          <w:kern w:val="0"/>
        </w:rPr>
        <w:t>diarrhea show a large, precise benefit from probiotics compared to active, placebo or no treatment control</w:t>
      </w:r>
      <w:r w:rsidR="00A37C1D">
        <w:rPr>
          <w:kern w:val="0"/>
        </w:rPr>
        <w:t>. The</w:t>
      </w:r>
      <w:r>
        <w:rPr>
          <w:kern w:val="0"/>
        </w:rPr>
        <w:t xml:space="preserve"> incidence</w:t>
      </w:r>
      <w:r w:rsidR="00427468">
        <w:rPr>
          <w:kern w:val="0"/>
        </w:rPr>
        <w:t xml:space="preserve"> of </w:t>
      </w:r>
      <w:r>
        <w:rPr>
          <w:kern w:val="0"/>
        </w:rPr>
        <w:t>AAD in the probiotic group was 9% compared to 18% in the control group (2874 participants; RR 0.52; 95% CI 0.38 to 0.72; I(2) = 56%). This benefit was not statistically significant in an extreme plausible (60%</w:t>
      </w:r>
      <w:r w:rsidR="00427468">
        <w:rPr>
          <w:kern w:val="0"/>
        </w:rPr>
        <w:t xml:space="preserve"> of </w:t>
      </w:r>
      <w:r>
        <w:rPr>
          <w:kern w:val="0"/>
        </w:rPr>
        <w:t>children loss to follow-up in probiotic group</w:t>
      </w:r>
      <w:r w:rsidR="005853A9">
        <w:rPr>
          <w:kern w:val="0"/>
        </w:rPr>
        <w:t xml:space="preserve"> and </w:t>
      </w:r>
      <w:r>
        <w:rPr>
          <w:kern w:val="0"/>
        </w:rPr>
        <w:t>20% loss to follow-up in the control group had diarrhea) intention to treat (ITT) sensitivity analysis</w:t>
      </w:r>
      <w:r w:rsidR="00A37C1D">
        <w:rPr>
          <w:kern w:val="0"/>
        </w:rPr>
        <w:t>. The</w:t>
      </w:r>
      <w:r>
        <w:rPr>
          <w:kern w:val="0"/>
        </w:rPr>
        <w:t xml:space="preserve"> incidence</w:t>
      </w:r>
      <w:r w:rsidR="00427468">
        <w:rPr>
          <w:kern w:val="0"/>
        </w:rPr>
        <w:t xml:space="preserve"> of </w:t>
      </w:r>
      <w:r>
        <w:rPr>
          <w:kern w:val="0"/>
        </w:rPr>
        <w:t>AAD in the probiotic group was 16% compared to 18% in the control group (3392 participants; RR 0.81; 95% CI 0.63 to 1.04; I(2) = 59%). An a priori available case subgroup analysis exploring heterogeneity indicated that high dose (&gt;= 5 billion CFUs/day) is more effective than low probiotic dose (&lt; 5 billion CFUs/day), interaction P value = 0.010. For the high dose studies the incidence</w:t>
      </w:r>
      <w:r w:rsidR="00427468">
        <w:rPr>
          <w:kern w:val="0"/>
        </w:rPr>
        <w:t xml:space="preserve"> of </w:t>
      </w:r>
      <w:r>
        <w:rPr>
          <w:kern w:val="0"/>
        </w:rPr>
        <w:t>AAD in the probiotic group was 8% compared to 22% in the control group (1474 participants; RR 0.40; 95% CI 0.29 to 0.55). For the low dose studies the incidence</w:t>
      </w:r>
      <w:r w:rsidR="00427468">
        <w:rPr>
          <w:kern w:val="0"/>
        </w:rPr>
        <w:t xml:space="preserve"> of </w:t>
      </w:r>
      <w:r>
        <w:rPr>
          <w:kern w:val="0"/>
        </w:rPr>
        <w:t>AAD in the probiotic group was 8% compared to 11% in the control group (1382 participants; RR 0.80; 95% CI 0.53 to 1.21). An extreme plausible ITT subgroup analysis was marginally significant for high dose probiotics. For the high dose studies the incidence</w:t>
      </w:r>
      <w:r w:rsidR="00427468">
        <w:rPr>
          <w:kern w:val="0"/>
        </w:rPr>
        <w:t xml:space="preserve"> of </w:t>
      </w:r>
      <w:r>
        <w:rPr>
          <w:kern w:val="0"/>
        </w:rPr>
        <w:t>AAD in the probiotic group was 17% compared to 22% in the control group (1776 participants; RR 0.72; 95% CI 0.53 to 0.99; I(2) = 58%). None</w:t>
      </w:r>
      <w:r w:rsidR="00427468">
        <w:rPr>
          <w:kern w:val="0"/>
        </w:rPr>
        <w:t xml:space="preserve"> of </w:t>
      </w:r>
      <w:r>
        <w:rPr>
          <w:kern w:val="0"/>
        </w:rPr>
        <w:t>the 11 trials (n = 1583) that reported on adverse events documented any serious adverse events. Meta-analysis excluded all but an extremely small non-significant difference in adverse events between treatment</w:t>
      </w:r>
      <w:r w:rsidR="005853A9">
        <w:rPr>
          <w:kern w:val="0"/>
        </w:rPr>
        <w:t xml:space="preserve"> and </w:t>
      </w:r>
      <w:r>
        <w:rPr>
          <w:kern w:val="0"/>
        </w:rPr>
        <w:t>control (RD 0.00; 95% CI -0.01 to 0.02). Authors</w:t>
      </w:r>
      <w:r w:rsidR="0071223E">
        <w:rPr>
          <w:kern w:val="0"/>
        </w:rPr>
        <w:t>’</w:t>
      </w:r>
      <w:r>
        <w:rPr>
          <w:kern w:val="0"/>
        </w:rPr>
        <w:t xml:space="preserve"> conclusions Despite heterogeneity in probiotic strain, dose,</w:t>
      </w:r>
      <w:r w:rsidR="005853A9">
        <w:rPr>
          <w:kern w:val="0"/>
        </w:rPr>
        <w:t xml:space="preserve"> and </w:t>
      </w:r>
      <w:r>
        <w:rPr>
          <w:kern w:val="0"/>
        </w:rPr>
        <w:t>duration, as well as in study quality, the overall evidence suggests a protective effect</w:t>
      </w:r>
      <w:r w:rsidR="00427468">
        <w:rPr>
          <w:kern w:val="0"/>
        </w:rPr>
        <w:t xml:space="preserve"> of </w:t>
      </w:r>
      <w:r>
        <w:rPr>
          <w:kern w:val="0"/>
        </w:rPr>
        <w:t>probiotics in preventing AAD. Using 11 criteria to evaluate the credibility</w:t>
      </w:r>
      <w:r w:rsidR="00427468">
        <w:rPr>
          <w:kern w:val="0"/>
        </w:rPr>
        <w:t xml:space="preserve"> of </w:t>
      </w:r>
      <w:r>
        <w:rPr>
          <w:kern w:val="0"/>
        </w:rPr>
        <w:t>the subgroup analysis on probiotic dose, the results indicate that the subgroup effect based on dose (&gt;= 5 billion CFU/day) was credible. Based on high-dose probiotics, the number needed to treat (NNT) to prevent one case</w:t>
      </w:r>
      <w:r w:rsidR="00427468">
        <w:rPr>
          <w:kern w:val="0"/>
        </w:rPr>
        <w:t xml:space="preserve"> of </w:t>
      </w:r>
      <w:r>
        <w:rPr>
          <w:kern w:val="0"/>
        </w:rPr>
        <w:t>diarrhea is seven (NNT 7; 95% CI 6 to 10). However, a GRADE analysis indicated that the overall quality</w:t>
      </w:r>
      <w:r w:rsidR="00427468">
        <w:rPr>
          <w:kern w:val="0"/>
        </w:rPr>
        <w:t xml:space="preserve"> of </w:t>
      </w:r>
      <w:r>
        <w:rPr>
          <w:kern w:val="0"/>
        </w:rPr>
        <w:t>the evidence for the primary endpoint (incidence</w:t>
      </w:r>
      <w:r w:rsidR="00427468">
        <w:rPr>
          <w:kern w:val="0"/>
        </w:rPr>
        <w:t xml:space="preserve"> of </w:t>
      </w:r>
      <w:r>
        <w:rPr>
          <w:kern w:val="0"/>
        </w:rPr>
        <w:t>diarrhea) was low due to issues with risk</w:t>
      </w:r>
      <w:r w:rsidR="00427468">
        <w:rPr>
          <w:kern w:val="0"/>
        </w:rPr>
        <w:t xml:space="preserve"> of </w:t>
      </w:r>
      <w:r>
        <w:rPr>
          <w:kern w:val="0"/>
        </w:rPr>
        <w:t>bias (due to high loss to follow-up)</w:t>
      </w:r>
      <w:r w:rsidR="005853A9">
        <w:rPr>
          <w:kern w:val="0"/>
        </w:rPr>
        <w:t xml:space="preserve"> and </w:t>
      </w:r>
      <w:r>
        <w:rPr>
          <w:kern w:val="0"/>
        </w:rPr>
        <w:t>imprecision (sparse data, 225 events)</w:t>
      </w:r>
      <w:r w:rsidR="00A37C1D">
        <w:rPr>
          <w:kern w:val="0"/>
        </w:rPr>
        <w:t>. The</w:t>
      </w:r>
      <w:r>
        <w:rPr>
          <w:kern w:val="0"/>
        </w:rPr>
        <w:t xml:space="preserve"> benefit for high dose probiotics (Lactobacillus rhamnosus or Saccharomyces boulardii) needs to be confirmed by a large well-designed randomized trial. More refined trials are also needed that test strain specific probiotics</w:t>
      </w:r>
      <w:r w:rsidR="005853A9">
        <w:rPr>
          <w:kern w:val="0"/>
        </w:rPr>
        <w:t xml:space="preserve"> and </w:t>
      </w:r>
      <w:r>
        <w:rPr>
          <w:kern w:val="0"/>
        </w:rPr>
        <w:t>evaluate the efficacy (e.g. incidence</w:t>
      </w:r>
      <w:r w:rsidR="005853A9">
        <w:rPr>
          <w:kern w:val="0"/>
        </w:rPr>
        <w:t xml:space="preserve"> and </w:t>
      </w:r>
      <w:r>
        <w:rPr>
          <w:kern w:val="0"/>
        </w:rPr>
        <w:t>duration</w:t>
      </w:r>
      <w:r w:rsidR="00427468">
        <w:rPr>
          <w:kern w:val="0"/>
        </w:rPr>
        <w:t xml:space="preserve"> of </w:t>
      </w:r>
      <w:r>
        <w:rPr>
          <w:kern w:val="0"/>
        </w:rPr>
        <w:t>diarrhea)</w:t>
      </w:r>
      <w:r w:rsidR="005853A9">
        <w:rPr>
          <w:kern w:val="0"/>
        </w:rPr>
        <w:t xml:space="preserve"> and </w:t>
      </w:r>
      <w:r>
        <w:rPr>
          <w:kern w:val="0"/>
        </w:rPr>
        <w:t>safety</w:t>
      </w:r>
      <w:r w:rsidR="00427468">
        <w:rPr>
          <w:kern w:val="0"/>
        </w:rPr>
        <w:t xml:space="preserve"> of </w:t>
      </w:r>
      <w:r>
        <w:rPr>
          <w:kern w:val="0"/>
        </w:rPr>
        <w:t>probiotics with limited losses to follow-up. It is premature to draw conclusions about the efficacy</w:t>
      </w:r>
      <w:r w:rsidR="005853A9">
        <w:rPr>
          <w:kern w:val="0"/>
        </w:rPr>
        <w:t xml:space="preserve"> and </w:t>
      </w:r>
      <w:r>
        <w:rPr>
          <w:kern w:val="0"/>
        </w:rPr>
        <w:t>safety</w:t>
      </w:r>
      <w:r w:rsidR="00427468">
        <w:rPr>
          <w:kern w:val="0"/>
        </w:rPr>
        <w:t xml:space="preserve"> of </w:t>
      </w:r>
      <w:r>
        <w:rPr>
          <w:kern w:val="0"/>
        </w:rPr>
        <w:t>other probiotic agents for pediatric AAD. Future trials would benefit from a standard</w:t>
      </w:r>
      <w:r w:rsidR="005853A9">
        <w:rPr>
          <w:kern w:val="0"/>
        </w:rPr>
        <w:t xml:space="preserve"> and </w:t>
      </w:r>
      <w:r>
        <w:rPr>
          <w:kern w:val="0"/>
        </w:rPr>
        <w:t>valid outcomes to measure AAD.</w:t>
      </w:r>
    </w:p>
    <w:p w:rsidR="00365DE4" w:rsidRDefault="00365DE4" w:rsidP="00365DE4">
      <w:pPr>
        <w:pStyle w:val="a3"/>
        <w:rPr>
          <w:kern w:val="0"/>
        </w:rPr>
      </w:pPr>
      <w:r>
        <w:rPr>
          <w:kern w:val="0"/>
        </w:rPr>
        <w:lastRenderedPageBreak/>
        <w:t xml:space="preserve">Keywords: Adolescent, Adverse Events, Alternative, Analysis, Anti-Bacterial Agents [Adverse Effects], Antibiotic, Antibiotics, Assessment, Authors, Bacillus, Balance, Bias, Bibliographic, Child, Child, Preschool, Children, Clostridium-Difficile, Cochrane, Conference, Confidence Intervals, Control, Diarrhea [Chemically Induced, Differences, Double-Blind, Efficacy, Embase, Extraction, Female, Follow-Up, Frequency, Gastrointestinal, Grade, Helicobacter-Pylori Eradication, Humans, Incidence, Infant, Information, International, Lactobacillus-Gg, Loss To Follow-Up, Low, Male, </w:t>
      </w:r>
      <w:r w:rsidR="00D5664A">
        <w:rPr>
          <w:kern w:val="0"/>
        </w:rPr>
        <w:t>MEDLINE</w:t>
      </w:r>
      <w:r>
        <w:rPr>
          <w:kern w:val="0"/>
        </w:rPr>
        <w:t xml:space="preserve">, Meta Analysis, Meta-Analysis, Necrotizing Enterocolitis, Outcomes, Patients, Pediatric, Placebo-Controlled Trial, Prevention, Prevention &amp; Control], Primary, Probiotic, Probiotics, Probiotics [Therapeutic Use], Prophylaxis, Publication Bias, Quality, Randomized Controlled Trials As Topic, Randomized Controlled-Trials, Relative Risk, Restoration, Review, Risk, Risk-Factors, Saccharomyces-Boulardii, Safety, Science, Search Strategy, Selection, Sensitivity, Serious Adverse Events, Strategy, Tract,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Mcgee, R.G., Bakens, A., Wiley, K., Riordan, S.M.</w:t>
      </w:r>
      <w:r w:rsidR="005853A9">
        <w:rPr>
          <w:kern w:val="0"/>
        </w:rPr>
        <w:t xml:space="preserve"> and </w:t>
      </w:r>
      <w:r>
        <w:rPr>
          <w:kern w:val="0"/>
        </w:rPr>
        <w:t xml:space="preserve">Webster, A.C. (2011), Probiotics for patients with hepatic encephalopathy.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CD008716.</w:t>
      </w:r>
    </w:p>
    <w:p w:rsidR="00365DE4" w:rsidRDefault="00365DE4" w:rsidP="00365DE4">
      <w:pPr>
        <w:pStyle w:val="a3"/>
        <w:rPr>
          <w:kern w:val="2"/>
        </w:rPr>
      </w:pPr>
      <w:r>
        <w:t xml:space="preserve">Full Text: </w:t>
      </w:r>
      <w:hyperlink r:id="rId712" w:history="1">
        <w:r>
          <w:rPr>
            <w:rStyle w:val="a5"/>
          </w:rPr>
          <w:t>2011\Coc Dat Sys Rev2011, CD008716.pdf</w:t>
        </w:r>
      </w:hyperlink>
    </w:p>
    <w:p w:rsidR="00365DE4" w:rsidRDefault="00365DE4" w:rsidP="00365DE4">
      <w:pPr>
        <w:pStyle w:val="a3"/>
        <w:rPr>
          <w:kern w:val="0"/>
        </w:rPr>
      </w:pPr>
      <w:r>
        <w:rPr>
          <w:kern w:val="0"/>
        </w:rPr>
        <w:t>Abstract: Background Hepatic encephalopathy is a disorder</w:t>
      </w:r>
      <w:r w:rsidR="00427468">
        <w:rPr>
          <w:kern w:val="0"/>
        </w:rPr>
        <w:t xml:space="preserve"> of </w:t>
      </w:r>
      <w:r>
        <w:rPr>
          <w:kern w:val="0"/>
        </w:rPr>
        <w:t>brain function as a result</w:t>
      </w:r>
      <w:r w:rsidR="00427468">
        <w:rPr>
          <w:kern w:val="0"/>
        </w:rPr>
        <w:t xml:space="preserve"> of </w:t>
      </w:r>
      <w:r>
        <w:rPr>
          <w:kern w:val="0"/>
        </w:rPr>
        <w:t>liver failure and/or portosystemic shunt. Both hepatic encephalopathy (clinically overt)</w:t>
      </w:r>
      <w:r w:rsidR="005853A9">
        <w:rPr>
          <w:kern w:val="0"/>
        </w:rPr>
        <w:t xml:space="preserve"> and </w:t>
      </w:r>
      <w:r>
        <w:rPr>
          <w:kern w:val="0"/>
        </w:rPr>
        <w:t>minimal hepatic encephalopathy (not clinically overt) significantly impair patient</w:t>
      </w:r>
      <w:r w:rsidR="0071223E">
        <w:rPr>
          <w:kern w:val="0"/>
        </w:rPr>
        <w:t>’</w:t>
      </w:r>
      <w:r>
        <w:rPr>
          <w:kern w:val="0"/>
        </w:rPr>
        <w:t>s quality</w:t>
      </w:r>
      <w:r w:rsidR="00427468">
        <w:rPr>
          <w:kern w:val="0"/>
        </w:rPr>
        <w:t xml:space="preserve"> of </w:t>
      </w:r>
      <w:r>
        <w:rPr>
          <w:kern w:val="0"/>
        </w:rPr>
        <w:t>life</w:t>
      </w:r>
      <w:r w:rsidR="005853A9">
        <w:rPr>
          <w:kern w:val="0"/>
        </w:rPr>
        <w:t xml:space="preserve"> and </w:t>
      </w:r>
      <w:r>
        <w:rPr>
          <w:kern w:val="0"/>
        </w:rPr>
        <w:t>daily functioning</w:t>
      </w:r>
      <w:r w:rsidR="005853A9">
        <w:rPr>
          <w:kern w:val="0"/>
        </w:rPr>
        <w:t xml:space="preserve"> and </w:t>
      </w:r>
      <w:r>
        <w:rPr>
          <w:kern w:val="0"/>
        </w:rPr>
        <w:t>represent a significant burden on health care resources. Probiotics are live microorganisms, which when administered in adequate amounts may confer a health benefit on the host. Objectives To quantify the beneficial</w:t>
      </w:r>
      <w:r w:rsidR="005853A9">
        <w:rPr>
          <w:kern w:val="0"/>
        </w:rPr>
        <w:t xml:space="preserve"> and </w:t>
      </w:r>
      <w:r>
        <w:rPr>
          <w:kern w:val="0"/>
        </w:rPr>
        <w:t>harmful effects</w:t>
      </w:r>
      <w:r w:rsidR="00427468">
        <w:rPr>
          <w:kern w:val="0"/>
        </w:rPr>
        <w:t xml:space="preserve"> of </w:t>
      </w:r>
      <w:r>
        <w:rPr>
          <w:kern w:val="0"/>
        </w:rPr>
        <w:t>any probiotic in any dosage, compared with placebo or no intervention, or with any other treatment for patients with any grade</w:t>
      </w:r>
      <w:r w:rsidR="00427468">
        <w:rPr>
          <w:kern w:val="0"/>
        </w:rPr>
        <w:t xml:space="preserve"> of </w:t>
      </w:r>
      <w:r>
        <w:rPr>
          <w:kern w:val="0"/>
        </w:rPr>
        <w:t>acute or chronic hepatic encephalopathy as assessed from randomised trials. Search strategy We searched the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conference proceedings, reference lists</w:t>
      </w:r>
      <w:r w:rsidR="00427468">
        <w:rPr>
          <w:kern w:val="0"/>
        </w:rPr>
        <w:t xml:space="preserve"> of </w:t>
      </w:r>
      <w:r>
        <w:rPr>
          <w:kern w:val="0"/>
        </w:rPr>
        <w:t>included trials</w:t>
      </w:r>
      <w:r w:rsidR="005853A9">
        <w:rPr>
          <w:kern w:val="0"/>
        </w:rPr>
        <w:t xml:space="preserve"> and </w:t>
      </w:r>
      <w:r>
        <w:rPr>
          <w:kern w:val="0"/>
        </w:rPr>
        <w:t>the WHO international clinical trials registry until April 2011 registry platform to identify new</w:t>
      </w:r>
      <w:r w:rsidR="005853A9">
        <w:rPr>
          <w:kern w:val="0"/>
        </w:rPr>
        <w:t xml:space="preserve"> and </w:t>
      </w:r>
      <w:r>
        <w:rPr>
          <w:kern w:val="0"/>
        </w:rPr>
        <w:t>ongoing trials. Selection criteria We included randomised trials that compared probiotics in any dosage with placebo or no intervention, or with any other treatment in patients with hepatic encephalopathy. Data collection</w:t>
      </w:r>
      <w:r w:rsidR="005853A9">
        <w:rPr>
          <w:kern w:val="0"/>
        </w:rPr>
        <w:t xml:space="preserve"> and </w:t>
      </w:r>
      <w:r>
        <w:rPr>
          <w:kern w:val="0"/>
        </w:rPr>
        <w:t>analysis Three authors independently assessed the risk</w:t>
      </w:r>
      <w:r w:rsidR="00427468">
        <w:rPr>
          <w:kern w:val="0"/>
        </w:rPr>
        <w:t xml:space="preserve"> of </w:t>
      </w:r>
      <w:r>
        <w:rPr>
          <w:kern w:val="0"/>
        </w:rPr>
        <w:t>bias</w:t>
      </w:r>
      <w:r w:rsidR="00427468">
        <w:rPr>
          <w:kern w:val="0"/>
        </w:rPr>
        <w:t xml:space="preserve"> of </w:t>
      </w:r>
      <w:r>
        <w:rPr>
          <w:kern w:val="0"/>
        </w:rPr>
        <w:t>the included trials</w:t>
      </w:r>
      <w:r w:rsidR="005853A9">
        <w:rPr>
          <w:kern w:val="0"/>
        </w:rPr>
        <w:t xml:space="preserve"> and </w:t>
      </w:r>
      <w:r>
        <w:rPr>
          <w:kern w:val="0"/>
        </w:rPr>
        <w:t>extracted data on relevant outcomes, with differences resolved by consensus. We conducted random-effects model meta-analysis due to obvious heterogeneity</w:t>
      </w:r>
      <w:r w:rsidR="00427468">
        <w:rPr>
          <w:kern w:val="0"/>
        </w:rPr>
        <w:t xml:space="preserve"> of </w:t>
      </w:r>
      <w:r>
        <w:rPr>
          <w:kern w:val="0"/>
        </w:rPr>
        <w:t>patients</w:t>
      </w:r>
      <w:r w:rsidR="005853A9">
        <w:rPr>
          <w:kern w:val="0"/>
        </w:rPr>
        <w:t xml:space="preserve"> and </w:t>
      </w:r>
      <w:r>
        <w:rPr>
          <w:kern w:val="0"/>
        </w:rPr>
        <w:t>interventions. A P value</w:t>
      </w:r>
      <w:r w:rsidR="00427468">
        <w:rPr>
          <w:kern w:val="0"/>
        </w:rPr>
        <w:t xml:space="preserve"> of </w:t>
      </w:r>
      <w:r>
        <w:rPr>
          <w:kern w:val="0"/>
        </w:rPr>
        <w:t xml:space="preserve">0.05 or less was defined as significant. Dichotomous </w:t>
      </w:r>
      <w:r>
        <w:rPr>
          <w:kern w:val="0"/>
        </w:rPr>
        <w:lastRenderedPageBreak/>
        <w:t>outcomes are expressed as risk ratio (RR)</w:t>
      </w:r>
      <w:r w:rsidR="005853A9">
        <w:rPr>
          <w:kern w:val="0"/>
        </w:rPr>
        <w:t xml:space="preserve"> and </w:t>
      </w:r>
      <w:r>
        <w:rPr>
          <w:kern w:val="0"/>
        </w:rPr>
        <w:t>continuous outcomes as mean difference (MD) with 95% confidence intervals (CI). Main results We included seven trials</w:t>
      </w:r>
      <w:r w:rsidR="00427468">
        <w:rPr>
          <w:kern w:val="0"/>
        </w:rPr>
        <w:t xml:space="preserve"> of </w:t>
      </w:r>
      <w:r>
        <w:rPr>
          <w:kern w:val="0"/>
        </w:rPr>
        <w:t>which 550 participants were randomised. Four</w:t>
      </w:r>
      <w:r w:rsidR="00427468">
        <w:rPr>
          <w:kern w:val="0"/>
        </w:rPr>
        <w:t xml:space="preserve"> of </w:t>
      </w:r>
      <w:r>
        <w:rPr>
          <w:kern w:val="0"/>
        </w:rPr>
        <w:t>the seven trials compared a probiotic with placebo or no treatment in 245 participants, another trial compared a probiotic with lactulose in 40 participants,</w:t>
      </w:r>
      <w:r w:rsidR="005853A9">
        <w:rPr>
          <w:kern w:val="0"/>
        </w:rPr>
        <w:t xml:space="preserve"> and </w:t>
      </w:r>
      <w:r>
        <w:rPr>
          <w:kern w:val="0"/>
        </w:rPr>
        <w:t>the remaining two trials compared a probiotic with both placebo</w:t>
      </w:r>
      <w:r w:rsidR="005853A9">
        <w:rPr>
          <w:kern w:val="0"/>
        </w:rPr>
        <w:t xml:space="preserve"> and </w:t>
      </w:r>
      <w:r>
        <w:rPr>
          <w:kern w:val="0"/>
        </w:rPr>
        <w:t>lactulose in 265 participants. Each trial used different types</w:t>
      </w:r>
      <w:r w:rsidR="00427468">
        <w:rPr>
          <w:kern w:val="0"/>
        </w:rPr>
        <w:t xml:space="preserve"> of </w:t>
      </w:r>
      <w:r>
        <w:rPr>
          <w:kern w:val="0"/>
        </w:rPr>
        <w:t>probiotics. Duration</w:t>
      </w:r>
      <w:r w:rsidR="00427468">
        <w:rPr>
          <w:kern w:val="0"/>
        </w:rPr>
        <w:t xml:space="preserve"> of </w:t>
      </w:r>
      <w:r>
        <w:rPr>
          <w:kern w:val="0"/>
        </w:rPr>
        <w:t>administration</w:t>
      </w:r>
      <w:r w:rsidR="00427468">
        <w:rPr>
          <w:kern w:val="0"/>
        </w:rPr>
        <w:t xml:space="preserve"> of </w:t>
      </w:r>
      <w:r>
        <w:rPr>
          <w:kern w:val="0"/>
        </w:rPr>
        <w:t>the experimental intervention varied from 10 days to 180 days. Two trials were industry funded,</w:t>
      </w:r>
      <w:r w:rsidR="005853A9">
        <w:rPr>
          <w:kern w:val="0"/>
        </w:rPr>
        <w:t xml:space="preserve"> and </w:t>
      </w:r>
      <w:r>
        <w:rPr>
          <w:kern w:val="0"/>
        </w:rPr>
        <w:t>five were unclear about origin</w:t>
      </w:r>
      <w:r w:rsidR="00427468">
        <w:rPr>
          <w:kern w:val="0"/>
        </w:rPr>
        <w:t xml:space="preserve"> of </w:t>
      </w:r>
      <w:r>
        <w:rPr>
          <w:kern w:val="0"/>
        </w:rPr>
        <w:t>funding. All trials had high risk</w:t>
      </w:r>
      <w:r w:rsidR="00427468">
        <w:rPr>
          <w:kern w:val="0"/>
        </w:rPr>
        <w:t xml:space="preserve"> of </w:t>
      </w:r>
      <w:r>
        <w:rPr>
          <w:kern w:val="0"/>
        </w:rPr>
        <w:t>bias. When probiotics were compared with no treatment, there was no significant difference in all-cause mortality (2 trials, 105 participants; 1/57 (2%) versus 1/48 (2%): RR 0.72; 95% CI 0.08 to 6.60), lack</w:t>
      </w:r>
      <w:r w:rsidR="00427468">
        <w:rPr>
          <w:kern w:val="0"/>
        </w:rPr>
        <w:t xml:space="preserve"> of </w:t>
      </w:r>
      <w:r>
        <w:rPr>
          <w:kern w:val="0"/>
        </w:rPr>
        <w:t>recovery (4 trials, 206 participants; 54/107 (50%) versus 68/99 (69%): RR 0.72; 95% CI 0.49 to 1.05), adverse events (3 trials, 145 participants; 2/77 (3%) versus 6/68 (9%): RR 0.34; 95% CI 0.08 to 1.42), quality</w:t>
      </w:r>
      <w:r w:rsidR="00427468">
        <w:rPr>
          <w:kern w:val="0"/>
        </w:rPr>
        <w:t xml:space="preserve"> of </w:t>
      </w:r>
      <w:r>
        <w:rPr>
          <w:kern w:val="0"/>
        </w:rPr>
        <w:t>life (1 trial, 20 participants contributed to the physical quality</w:t>
      </w:r>
      <w:r w:rsidR="00427468">
        <w:rPr>
          <w:kern w:val="0"/>
        </w:rPr>
        <w:t xml:space="preserve"> of </w:t>
      </w:r>
      <w:r>
        <w:rPr>
          <w:kern w:val="0"/>
        </w:rPr>
        <w:t>life measurement, 20 participants contributed to the mental quality</w:t>
      </w:r>
      <w:r w:rsidR="00427468">
        <w:rPr>
          <w:kern w:val="0"/>
        </w:rPr>
        <w:t xml:space="preserve"> of </w:t>
      </w:r>
      <w:r>
        <w:rPr>
          <w:kern w:val="0"/>
        </w:rPr>
        <w:t>life: MD Physical 0.00; 95% CI -5.47 to 5.47; MD Mental 4.00; 95% CI -1.82 to 9.82), or change of/or withdrawal from treatment (3 trials, 175 participants; 11/92 (12%) versus 7/83 (8%): RR 1.28; 95% CI 0.52 to 3.19). No trial reported sepsis or duration</w:t>
      </w:r>
      <w:r w:rsidR="00427468">
        <w:rPr>
          <w:kern w:val="0"/>
        </w:rPr>
        <w:t xml:space="preserve"> of </w:t>
      </w:r>
      <w:r>
        <w:rPr>
          <w:kern w:val="0"/>
        </w:rPr>
        <w:t>hospital stay as an outcome. Plasma ammonia concentration was significantly lower for participants treated with probiotic at one month (3 trials, 226 participants: MD -2.99 mu mol/L; 95% CI -5.70 to -0.29) but not at two months (3 trials, 181 participants: MD -1.82 mu mol/L; 95% CI -14.04 to 10.41). Plasma ammonia decreased the most in the participants treated with probiotic at three months (1 trial, 73 participants: MD -6.79 mu mol/L; 95% CI -10.39 to -3.19). When probiotics were compared with lactulose no trial reported all-cause mortality, quality</w:t>
      </w:r>
      <w:r w:rsidR="00427468">
        <w:rPr>
          <w:kern w:val="0"/>
        </w:rPr>
        <w:t xml:space="preserve"> of </w:t>
      </w:r>
      <w:r>
        <w:rPr>
          <w:kern w:val="0"/>
        </w:rPr>
        <w:t>life, duration</w:t>
      </w:r>
      <w:r w:rsidR="00427468">
        <w:rPr>
          <w:kern w:val="0"/>
        </w:rPr>
        <w:t xml:space="preserve"> of </w:t>
      </w:r>
      <w:r>
        <w:rPr>
          <w:kern w:val="0"/>
        </w:rPr>
        <w:t>hospital stay, or septicaemia</w:t>
      </w:r>
      <w:r w:rsidR="00A37C1D">
        <w:rPr>
          <w:kern w:val="0"/>
        </w:rPr>
        <w:t>. The</w:t>
      </w:r>
      <w:r>
        <w:rPr>
          <w:kern w:val="0"/>
        </w:rPr>
        <w:t>re were no significant differences in lack</w:t>
      </w:r>
      <w:r w:rsidR="00427468">
        <w:rPr>
          <w:kern w:val="0"/>
        </w:rPr>
        <w:t xml:space="preserve"> of </w:t>
      </w:r>
      <w:r>
        <w:rPr>
          <w:kern w:val="0"/>
        </w:rPr>
        <w:t>recovery (3 trials, 173 participants; 47/87 (54%) versus 44/86 (51%): RR 1.05; 95% CI 0.75 to 1.47), adverse events (2 trials, 111 participants; 3/56 (5%) versus 6/55 (11%): RR 0.57; 95% CI 0.06 to 5.74), change of/or withdrawal from treatment at one month (3 trials, 190 participants; 8/95 (8%) versus 7/95 (7%): RR 1.10; 95% CI 0.40 to 3.03), plasma ammonia concentration (2 trials, 93 participants: MD -6.61 mu mol/L; 95% CI -30.05 to 16.84), or change in plasma ammonia concentration (1 trial, 77 participants: MD 1.16 mu mol/L; 95% CI -1.96 to 4.28). Authors</w:t>
      </w:r>
      <w:r w:rsidR="0071223E">
        <w:rPr>
          <w:kern w:val="0"/>
        </w:rPr>
        <w:t>’</w:t>
      </w:r>
      <w:r>
        <w:rPr>
          <w:kern w:val="0"/>
        </w:rPr>
        <w:t xml:space="preserve"> conclusions The trials we located suffered from a high risk</w:t>
      </w:r>
      <w:r w:rsidR="00427468">
        <w:rPr>
          <w:kern w:val="0"/>
        </w:rPr>
        <w:t xml:space="preserve"> of </w:t>
      </w:r>
      <w:r>
        <w:rPr>
          <w:kern w:val="0"/>
        </w:rPr>
        <w:t>systematic errors (</w:t>
      </w:r>
      <w:r w:rsidR="0071223E">
        <w:rPr>
          <w:kern w:val="0"/>
        </w:rPr>
        <w:t>‘</w:t>
      </w:r>
      <w:r>
        <w:rPr>
          <w:kern w:val="0"/>
        </w:rPr>
        <w:t>bias</w:t>
      </w:r>
      <w:r w:rsidR="0071223E">
        <w:rPr>
          <w:kern w:val="0"/>
        </w:rPr>
        <w:t>’</w:t>
      </w:r>
      <w:r>
        <w:rPr>
          <w:kern w:val="0"/>
        </w:rPr>
        <w:t>)</w:t>
      </w:r>
      <w:r w:rsidR="005853A9">
        <w:rPr>
          <w:kern w:val="0"/>
        </w:rPr>
        <w:t xml:space="preserve"> and </w:t>
      </w:r>
      <w:r>
        <w:rPr>
          <w:kern w:val="0"/>
        </w:rPr>
        <w:t>high risk</w:t>
      </w:r>
      <w:r w:rsidR="00427468">
        <w:rPr>
          <w:kern w:val="0"/>
        </w:rPr>
        <w:t xml:space="preserve"> of </w:t>
      </w:r>
      <w:r>
        <w:rPr>
          <w:kern w:val="0"/>
        </w:rPr>
        <w:t>random errors (</w:t>
      </w:r>
      <w:r w:rsidR="0071223E">
        <w:rPr>
          <w:kern w:val="0"/>
        </w:rPr>
        <w:t>‘</w:t>
      </w:r>
      <w:r>
        <w:rPr>
          <w:kern w:val="0"/>
        </w:rPr>
        <w:t>play</w:t>
      </w:r>
      <w:r w:rsidR="00427468">
        <w:rPr>
          <w:kern w:val="0"/>
        </w:rPr>
        <w:t xml:space="preserve"> of </w:t>
      </w:r>
      <w:r>
        <w:rPr>
          <w:kern w:val="0"/>
        </w:rPr>
        <w:t>chance</w:t>
      </w:r>
      <w:r w:rsidR="0071223E">
        <w:rPr>
          <w:kern w:val="0"/>
        </w:rPr>
        <w:t>’</w:t>
      </w:r>
      <w:r>
        <w:rPr>
          <w:kern w:val="0"/>
        </w:rPr>
        <w:t>). While probiotics appear to reduce plasma ammonia concentration when compared with placebo or no intervention, we are unable to conclude that probiotics are efficacious in altering clinically relevant outcomes. Demonstration</w:t>
      </w:r>
      <w:r w:rsidR="00427468">
        <w:rPr>
          <w:kern w:val="0"/>
        </w:rPr>
        <w:t xml:space="preserve"> of </w:t>
      </w:r>
      <w:r>
        <w:rPr>
          <w:kern w:val="0"/>
        </w:rPr>
        <w:t xml:space="preserve">unequivocal efficacy is needed before probiotics can be endorsed </w:t>
      </w:r>
      <w:r>
        <w:rPr>
          <w:kern w:val="0"/>
        </w:rPr>
        <w:lastRenderedPageBreak/>
        <w:t>as effective therapy for hepatic encephalopathy. Further randomised clinical trials are needed.</w:t>
      </w:r>
    </w:p>
    <w:p w:rsidR="00365DE4" w:rsidRDefault="00365DE4" w:rsidP="00365DE4">
      <w:pPr>
        <w:pStyle w:val="a3"/>
        <w:rPr>
          <w:kern w:val="0"/>
        </w:rPr>
      </w:pPr>
      <w:r>
        <w:rPr>
          <w:kern w:val="0"/>
        </w:rPr>
        <w:t xml:space="preserve">Keywords: Acute, Adverse Events, Ammonia, Analysis, Authors, Bias, Brain, Burden, Care, Cirrhotic-Patients, Citation, Clinical Trials, Cochrane, Confidence Intervals, Differences, Disorder, Double-Blind, Efficacy, Embase, Experimental, Fatty Liver-Disease, Fecal Flora, Funding, Gut Flora, Health Care, Hospital, Industry, Intervention, Interventions, Lactobacillus-Acidophilus, Measurement, </w:t>
      </w:r>
      <w:r w:rsidR="00D5664A">
        <w:rPr>
          <w:kern w:val="0"/>
        </w:rPr>
        <w:t>MEDLINE</w:t>
      </w:r>
      <w:r>
        <w:rPr>
          <w:kern w:val="0"/>
        </w:rPr>
        <w:t>, Meta Analysis, Meta-Analysis, Microorganisms, Model, Mortality, Nonalcoholic Steatohepatitis, Outcome, Outcomes, Patients, Plasma, Probiotic, Probiotics, Quality, Quality</w:t>
      </w:r>
      <w:r w:rsidR="00427468">
        <w:rPr>
          <w:kern w:val="0"/>
        </w:rPr>
        <w:t xml:space="preserve"> of </w:t>
      </w:r>
      <w:r>
        <w:rPr>
          <w:kern w:val="0"/>
        </w:rPr>
        <w:t>Life, Randomized Controlled-Trial, Ratio, Recovery, Risk, Science, Science Citation Index, Search Strategy, Selection, Sepsis, Spontaneous Bacterial Peritonitis, Strategy, Systematic, Therapy, Toll-Like Receptors, Treatment, WHO</w:t>
      </w:r>
    </w:p>
    <w:p w:rsidR="00365DE4" w:rsidRDefault="00365DE4" w:rsidP="00365DE4">
      <w:pPr>
        <w:pStyle w:val="a3"/>
        <w:rPr>
          <w:kern w:val="0"/>
        </w:rPr>
      </w:pPr>
      <w:r>
        <w:rPr>
          <w:kern w:val="0"/>
        </w:rPr>
        <w:t>? Owen, R., Kendrick, D., Mulvaney, C., Coleman, T.</w:t>
      </w:r>
      <w:r w:rsidR="005853A9">
        <w:rPr>
          <w:kern w:val="0"/>
        </w:rPr>
        <w:t xml:space="preserve"> and </w:t>
      </w:r>
      <w:r>
        <w:rPr>
          <w:kern w:val="0"/>
        </w:rPr>
        <w:t>Royal, S. (2011), Non-legislative interventions for the promotion</w:t>
      </w:r>
      <w:r w:rsidR="00427468">
        <w:rPr>
          <w:kern w:val="0"/>
        </w:rPr>
        <w:t xml:space="preserve"> of </w:t>
      </w:r>
      <w:r>
        <w:rPr>
          <w:kern w:val="0"/>
        </w:rPr>
        <w:t xml:space="preserve">cycle helmet wearing by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CD003985.</w:t>
      </w:r>
    </w:p>
    <w:p w:rsidR="00365DE4" w:rsidRDefault="00365DE4" w:rsidP="00365DE4">
      <w:pPr>
        <w:pStyle w:val="a3"/>
        <w:rPr>
          <w:kern w:val="2"/>
        </w:rPr>
      </w:pPr>
      <w:r>
        <w:t xml:space="preserve">Full Text: </w:t>
      </w:r>
      <w:hyperlink r:id="rId713" w:history="1">
        <w:r>
          <w:rPr>
            <w:rStyle w:val="a5"/>
          </w:rPr>
          <w:t>2011\Coc Dat Sys Rev2011, CD003985.pdf</w:t>
        </w:r>
      </w:hyperlink>
    </w:p>
    <w:p w:rsidR="00365DE4" w:rsidRDefault="00365DE4" w:rsidP="00365DE4">
      <w:pPr>
        <w:pStyle w:val="a3"/>
        <w:rPr>
          <w:kern w:val="0"/>
        </w:rPr>
      </w:pPr>
      <w:r>
        <w:rPr>
          <w:kern w:val="0"/>
        </w:rPr>
        <w:t>Abstract: Background Helmets reduce bicycle-related head injuries, particularly in single vehicle crashes</w:t>
      </w:r>
      <w:r w:rsidR="005853A9">
        <w:rPr>
          <w:kern w:val="0"/>
        </w:rPr>
        <w:t xml:space="preserve"> and </w:t>
      </w:r>
      <w:r>
        <w:rPr>
          <w:kern w:val="0"/>
        </w:rPr>
        <w:t>those where the head strikes the ground. We aimed to identify non-legislative interventions for promoting helmet use among children, so future interventions can be designed on a firm evidence base. Objectives To assess the effectiveness</w:t>
      </w:r>
      <w:r w:rsidR="00427468">
        <w:rPr>
          <w:kern w:val="0"/>
        </w:rPr>
        <w:t xml:space="preserve"> of </w:t>
      </w:r>
      <w:r>
        <w:rPr>
          <w:kern w:val="0"/>
        </w:rPr>
        <w:t>non-legislative interventions in increasing helmet use among children; to identify possible reasons for differences in effectiveness</w:t>
      </w:r>
      <w:r w:rsidR="00427468">
        <w:rPr>
          <w:kern w:val="0"/>
        </w:rPr>
        <w:t xml:space="preserve"> of </w:t>
      </w:r>
      <w:r>
        <w:rPr>
          <w:kern w:val="0"/>
        </w:rPr>
        <w:t>interventions; to evaluate effectiveness with respect to social group; to identify adverse consequences</w:t>
      </w:r>
      <w:r w:rsidR="00427468">
        <w:rPr>
          <w:kern w:val="0"/>
        </w:rPr>
        <w:t xml:space="preserve"> of </w:t>
      </w:r>
      <w:r>
        <w:rPr>
          <w:kern w:val="0"/>
        </w:rPr>
        <w:t>interventions. Search strategy We searched the following databases: Cochrane Injuries Group Specialised Register; the Cochrane Central Register</w:t>
      </w:r>
      <w:r w:rsidR="00427468">
        <w:rPr>
          <w:kern w:val="0"/>
        </w:rPr>
        <w:t xml:space="preserve"> of </w:t>
      </w:r>
      <w:r>
        <w:rPr>
          <w:kern w:val="0"/>
        </w:rPr>
        <w:t xml:space="preserve">Controlled Trials (CENTRAL); </w:t>
      </w:r>
      <w:r w:rsidR="00D5664A">
        <w:rPr>
          <w:kern w:val="0"/>
        </w:rPr>
        <w:t>MEDLINE</w:t>
      </w:r>
      <w:r>
        <w:rPr>
          <w:kern w:val="0"/>
        </w:rPr>
        <w:t xml:space="preserve">; EMBASE; PsycINFO (Ovid); PsycEXTRA (Ovid); CINAHL (EBSCO); ISI </w:t>
      </w:r>
      <w:r w:rsidR="00D5664A">
        <w:rPr>
          <w:kern w:val="0"/>
        </w:rPr>
        <w:t>Web</w:t>
      </w:r>
      <w:r w:rsidR="00427468">
        <w:rPr>
          <w:kern w:val="0"/>
        </w:rPr>
        <w:t xml:space="preserve"> of </w:t>
      </w:r>
      <w:r w:rsidR="00D5664A">
        <w:rPr>
          <w:kern w:val="0"/>
        </w:rPr>
        <w:t>Science</w:t>
      </w:r>
      <w:r>
        <w:rPr>
          <w:kern w:val="0"/>
        </w:rPr>
        <w:t>: Science Citation Index Expanded (SCI-EXPANDED); Social Sciences Citation Index (</w:t>
      </w:r>
      <w:r w:rsidR="00D5664A">
        <w:rPr>
          <w:kern w:val="0"/>
        </w:rPr>
        <w:t>SSCI</w:t>
      </w:r>
      <w:r>
        <w:rPr>
          <w:kern w:val="0"/>
        </w:rPr>
        <w:t>); Conference Proceedings Citation Index-Science (CPCI-S);</w:t>
      </w:r>
      <w:r w:rsidR="005853A9">
        <w:rPr>
          <w:kern w:val="0"/>
        </w:rPr>
        <w:t xml:space="preserve"> and </w:t>
      </w:r>
      <w:r>
        <w:rPr>
          <w:kern w:val="0"/>
        </w:rPr>
        <w:t>PubMed from inception to April 2009; TRANSPORT to 2007;</w:t>
      </w:r>
      <w:r w:rsidR="005853A9">
        <w:rPr>
          <w:kern w:val="0"/>
        </w:rPr>
        <w:t xml:space="preserve"> and </w:t>
      </w:r>
      <w:r>
        <w:rPr>
          <w:kern w:val="0"/>
        </w:rPr>
        <w:t>manually searched other sources</w:t>
      </w:r>
      <w:r w:rsidR="00427468">
        <w:rPr>
          <w:kern w:val="0"/>
        </w:rPr>
        <w:t xml:space="preserve"> of </w:t>
      </w:r>
      <w:r>
        <w:rPr>
          <w:kern w:val="0"/>
        </w:rPr>
        <w:t>data. Selection criteria We included RCTs</w:t>
      </w:r>
      <w:r w:rsidR="005853A9">
        <w:rPr>
          <w:kern w:val="0"/>
        </w:rPr>
        <w:t xml:space="preserve"> and </w:t>
      </w:r>
      <w:r>
        <w:rPr>
          <w:kern w:val="0"/>
        </w:rPr>
        <w:t>CBAs. Studies included participants aged 0 to 18 years, described interventions promoting helmet use not requiring enactment</w:t>
      </w:r>
      <w:r w:rsidR="00427468">
        <w:rPr>
          <w:kern w:val="0"/>
        </w:rPr>
        <w:t xml:space="preserve"> of </w:t>
      </w:r>
      <w:r>
        <w:rPr>
          <w:kern w:val="0"/>
        </w:rPr>
        <w:t>legislation</w:t>
      </w:r>
      <w:r w:rsidR="005853A9">
        <w:rPr>
          <w:kern w:val="0"/>
        </w:rPr>
        <w:t xml:space="preserve"> and </w:t>
      </w:r>
      <w:r>
        <w:rPr>
          <w:kern w:val="0"/>
        </w:rPr>
        <w:t>reported observed helmet wearing, self reported helmet ownership or self reported helmet wearing. Data collection</w:t>
      </w:r>
      <w:r w:rsidR="005853A9">
        <w:rPr>
          <w:kern w:val="0"/>
        </w:rPr>
        <w:t xml:space="preserve"> and </w:t>
      </w:r>
      <w:r>
        <w:rPr>
          <w:kern w:val="0"/>
        </w:rPr>
        <w:t>analysis Two independent review authors selected studies for inclusion</w:t>
      </w:r>
      <w:r w:rsidR="005853A9">
        <w:rPr>
          <w:kern w:val="0"/>
        </w:rPr>
        <w:t xml:space="preserve"> and </w:t>
      </w:r>
      <w:r>
        <w:rPr>
          <w:kern w:val="0"/>
        </w:rPr>
        <w:t>extracted data. We used random-effects models to estimate pooled odds ratios (ORs) (with 95% confidence interval (CI)). We explored heterogeneity with subgroup analyses. Main results We included 29 studies in the review, 21</w:t>
      </w:r>
      <w:r w:rsidR="00427468">
        <w:rPr>
          <w:kern w:val="0"/>
        </w:rPr>
        <w:t xml:space="preserve"> of </w:t>
      </w:r>
      <w:r>
        <w:rPr>
          <w:kern w:val="0"/>
        </w:rPr>
        <w:t xml:space="preserve">which were included in at least one meta-analysis. Non-legislative interventions increased observed helmet </w:t>
      </w:r>
      <w:r>
        <w:rPr>
          <w:kern w:val="0"/>
        </w:rPr>
        <w:lastRenderedPageBreak/>
        <w:t>wearing (11 studies: OR 2.08, 95% CI 1.29 to 3.34)</w:t>
      </w:r>
      <w:r w:rsidR="00A37C1D">
        <w:rPr>
          <w:kern w:val="0"/>
        </w:rPr>
        <w:t>. The</w:t>
      </w:r>
      <w:r>
        <w:rPr>
          <w:kern w:val="0"/>
        </w:rPr>
        <w:t xml:space="preserve"> effect was most marked amongst community-based interventions (four studies: OR 4.30, 95% 2.24 to 8.25)</w:t>
      </w:r>
      <w:r w:rsidR="005853A9">
        <w:rPr>
          <w:kern w:val="0"/>
        </w:rPr>
        <w:t xml:space="preserve"> and </w:t>
      </w:r>
      <w:r>
        <w:rPr>
          <w:kern w:val="0"/>
        </w:rPr>
        <w:t>those providing free helmets (two studies: OR 4.35, 95% CI 2.13 to 8.89). Significant effects were also found amongst school-based interventions (eight studies: OR 1.73, CI 95% 1.03 to 2.91), with a smaller effect found for interventions providing education only (three studies: OR 1.43, 95% CI 1.09 to 1.88). No significant effect was found for providing subsidised helmets (seven studies: OR 2.02, 95% CI 0.98 to 4.17). Interventions provided to younger children (aged under 12) may be more effective (five studies: OR 2.50, 95% CI 1.17 to 5.37) than those provided to children</w:t>
      </w:r>
      <w:r w:rsidR="00427468">
        <w:rPr>
          <w:kern w:val="0"/>
        </w:rPr>
        <w:t xml:space="preserve"> of </w:t>
      </w:r>
      <w:r>
        <w:rPr>
          <w:kern w:val="0"/>
        </w:rPr>
        <w:t>all ages (five studies: OR 1.83, 95% CI 0.98 to 3.42). Interventions were only effective in increasing self reported helmet ownership where they provided free helmets (three studies: OR 11.63, 95% CI 2.14 to 63.16). Interventions were effective in increasing self reported helmet wearing (nine studies: OR 3.27, 95% CI 1.56 to 6.87), including those undertaken in schools (six studies: OR 4.21, 95% CI 1.06 to 16.74), providing free helmets (three studies: OR 7.27, 95% CI 1.28 to 41.44), providing education only (seven studies: OR 1.93, 95% CI 1.03 to 3.63)</w:t>
      </w:r>
      <w:r w:rsidR="005853A9">
        <w:rPr>
          <w:kern w:val="0"/>
        </w:rPr>
        <w:t xml:space="preserve"> and </w:t>
      </w:r>
      <w:r>
        <w:rPr>
          <w:kern w:val="0"/>
        </w:rPr>
        <w:t>in healthcare settings (two studies: OR 2.78, 95% CI 1.38 to 5.61). Authors</w:t>
      </w:r>
      <w:r w:rsidR="0071223E">
        <w:rPr>
          <w:kern w:val="0"/>
        </w:rPr>
        <w:t>’</w:t>
      </w:r>
      <w:r>
        <w:rPr>
          <w:kern w:val="0"/>
        </w:rPr>
        <w:t xml:space="preserve"> conclusions Non-legislative interventions appear to be effective in increasing observed helmet use, particularly community-based interventions</w:t>
      </w:r>
      <w:r w:rsidR="005853A9">
        <w:rPr>
          <w:kern w:val="0"/>
        </w:rPr>
        <w:t xml:space="preserve"> and </w:t>
      </w:r>
      <w:r>
        <w:rPr>
          <w:kern w:val="0"/>
        </w:rPr>
        <w:t>those providing free helmets. Those set in schools appear to be effective but possibly less so than community-based interventions. Interventions providing education only are less effective than those providing free helmets</w:t>
      </w:r>
      <w:r w:rsidR="00A37C1D">
        <w:rPr>
          <w:kern w:val="0"/>
        </w:rPr>
        <w:t>. The</w:t>
      </w:r>
      <w:r>
        <w:rPr>
          <w:kern w:val="0"/>
        </w:rPr>
        <w:t>re is insufficient evidence to recommend providing subsidised helmets at present. Interventions may be more effective if provided to younger rather than older children</w:t>
      </w:r>
      <w:r w:rsidR="00A37C1D">
        <w:rPr>
          <w:kern w:val="0"/>
        </w:rPr>
        <w:t>. The</w:t>
      </w:r>
      <w:r>
        <w:rPr>
          <w:kern w:val="0"/>
        </w:rPr>
        <w:t>re is evidence that interventions offered in healthcare settings can increase self reported helmet wearing. Further high-quality studies are needed to explore whether non-legislative interventions increase helmet wearing,</w:t>
      </w:r>
      <w:r w:rsidR="005853A9">
        <w:rPr>
          <w:kern w:val="0"/>
        </w:rPr>
        <w:t xml:space="preserve"> and </w:t>
      </w:r>
      <w:r>
        <w:rPr>
          <w:kern w:val="0"/>
        </w:rPr>
        <w:t>particularly the effect</w:t>
      </w:r>
      <w:r w:rsidR="00427468">
        <w:rPr>
          <w:kern w:val="0"/>
        </w:rPr>
        <w:t xml:space="preserve"> of </w:t>
      </w:r>
      <w:r>
        <w:rPr>
          <w:kern w:val="0"/>
        </w:rPr>
        <w:t>providing subsided as opposed to free helmets,</w:t>
      </w:r>
      <w:r w:rsidR="005853A9">
        <w:rPr>
          <w:kern w:val="0"/>
        </w:rPr>
        <w:t xml:space="preserve"> and</w:t>
      </w:r>
      <w:r w:rsidR="00427468">
        <w:rPr>
          <w:kern w:val="0"/>
        </w:rPr>
        <w:t xml:space="preserve"> of </w:t>
      </w:r>
      <w:r>
        <w:rPr>
          <w:kern w:val="0"/>
        </w:rPr>
        <w:t>providing interventions in healthcare settings as opposed to in schools or communities. Alternative interventions (e.g. those including peer educators, those aimed at developing safety skills including skills in decision making</w:t>
      </w:r>
      <w:r w:rsidR="005853A9">
        <w:rPr>
          <w:kern w:val="0"/>
        </w:rPr>
        <w:t xml:space="preserve"> and </w:t>
      </w:r>
      <w:r>
        <w:rPr>
          <w:kern w:val="0"/>
        </w:rPr>
        <w:t>resisting peer pressure or those aimed at improving self esteem or self efficacy) need developing</w:t>
      </w:r>
      <w:r w:rsidR="005853A9">
        <w:rPr>
          <w:kern w:val="0"/>
        </w:rPr>
        <w:t xml:space="preserve"> and </w:t>
      </w:r>
      <w:r>
        <w:rPr>
          <w:kern w:val="0"/>
        </w:rPr>
        <w:t>testing, particularly for 11 to 18 year olds</w:t>
      </w:r>
      <w:r w:rsidR="00A37C1D">
        <w:rPr>
          <w:kern w:val="0"/>
        </w:rPr>
        <w:t>. The</w:t>
      </w:r>
      <w:r>
        <w:rPr>
          <w:kern w:val="0"/>
        </w:rPr>
        <w:t xml:space="preserve"> effect</w:t>
      </w:r>
      <w:r w:rsidR="00427468">
        <w:rPr>
          <w:kern w:val="0"/>
        </w:rPr>
        <w:t xml:space="preserve"> of </w:t>
      </w:r>
      <w:r>
        <w:rPr>
          <w:kern w:val="0"/>
        </w:rPr>
        <w:t>interventions in countries with existing cycle helmet legislation</w:t>
      </w:r>
      <w:r w:rsidR="005853A9">
        <w:rPr>
          <w:kern w:val="0"/>
        </w:rPr>
        <w:t xml:space="preserve"> and </w:t>
      </w:r>
      <w:r>
        <w:rPr>
          <w:kern w:val="0"/>
        </w:rPr>
        <w:t>in low</w:t>
      </w:r>
      <w:r w:rsidR="005853A9">
        <w:rPr>
          <w:kern w:val="0"/>
        </w:rPr>
        <w:t xml:space="preserve"> and </w:t>
      </w:r>
      <w:r>
        <w:rPr>
          <w:kern w:val="0"/>
        </w:rPr>
        <w:t>middle-income countries also requires investigation.</w:t>
      </w:r>
    </w:p>
    <w:p w:rsidR="00365DE4" w:rsidRDefault="00365DE4" w:rsidP="00365DE4">
      <w:pPr>
        <w:pStyle w:val="a3"/>
        <w:rPr>
          <w:kern w:val="0"/>
        </w:rPr>
      </w:pPr>
      <w:r>
        <w:rPr>
          <w:kern w:val="0"/>
        </w:rPr>
        <w:t>Keywords: Adolescent, Aged, Analysis,</w:t>
      </w:r>
      <w:r w:rsidR="005853A9">
        <w:rPr>
          <w:kern w:val="0"/>
        </w:rPr>
        <w:t xml:space="preserve"> and </w:t>
      </w:r>
      <w:r>
        <w:rPr>
          <w:kern w:val="0"/>
        </w:rPr>
        <w:t xml:space="preserve">Middle-Income Countries, Authors, Behavior, Bicycle Helmet, Bicycling [Legislation &amp; Jurisprudence, Child,Preschool, Children, Citation, Cochrane, Conference, Databases, Decision Making, Decision-Making, Differences, Education, Effectiveness, Efficacy, Embase, Emergency-Department, Head Protective Devices [Utilization] Child, Helmet, </w:t>
      </w:r>
      <w:r>
        <w:rPr>
          <w:kern w:val="0"/>
        </w:rPr>
        <w:lastRenderedPageBreak/>
        <w:t>Helmet Use, Humans, Increase Bicycle, Injury,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Low, </w:t>
      </w:r>
      <w:r w:rsidR="00D5664A">
        <w:rPr>
          <w:kern w:val="0"/>
        </w:rPr>
        <w:t>MEDLINE</w:t>
      </w:r>
      <w:r>
        <w:rPr>
          <w:kern w:val="0"/>
        </w:rPr>
        <w:t xml:space="preserve">, Meta Analysis, Meta-Analysis, Metaanalysis, Pressure, Program, Promotion, Pubmed, Randomized Controlled-Trial, Review, Safety, Schools, Science, Science Citation Index, Sciences, Search Strategy, Selection, Self-Efficacy, Significant, Social, Social Sciences, Social Sciences Citation Index, </w:t>
      </w:r>
      <w:r w:rsidR="00D5664A">
        <w:rPr>
          <w:kern w:val="0"/>
        </w:rPr>
        <w:t>SSCI</w:t>
      </w:r>
      <w:r>
        <w:rPr>
          <w:kern w:val="0"/>
        </w:rPr>
        <w:t xml:space="preserve">, Statistics &amp; Numerical Data], Strategy, Transport,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Pammi, M.</w:t>
      </w:r>
      <w:r w:rsidR="005853A9">
        <w:rPr>
          <w:kern w:val="0"/>
        </w:rPr>
        <w:t xml:space="preserve"> and </w:t>
      </w:r>
      <w:r>
        <w:rPr>
          <w:kern w:val="0"/>
        </w:rPr>
        <w:t>Haque, K.N. (2011), Oral immunoglobulin for the prevention</w:t>
      </w:r>
      <w:r w:rsidR="00427468">
        <w:rPr>
          <w:kern w:val="0"/>
        </w:rPr>
        <w:t xml:space="preserve"> of </w:t>
      </w:r>
      <w:r>
        <w:rPr>
          <w:kern w:val="0"/>
        </w:rPr>
        <w:t xml:space="preserve">rotavirus infection in low birth weight infants.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xml:space="preserve"> Article Number: CD003740.</w:t>
      </w:r>
    </w:p>
    <w:p w:rsidR="00365DE4" w:rsidRDefault="00365DE4" w:rsidP="00365DE4">
      <w:pPr>
        <w:pStyle w:val="a3"/>
        <w:rPr>
          <w:kern w:val="2"/>
        </w:rPr>
      </w:pPr>
      <w:r>
        <w:t xml:space="preserve">Full Text: </w:t>
      </w:r>
      <w:hyperlink r:id="rId714" w:history="1">
        <w:r>
          <w:rPr>
            <w:rStyle w:val="a5"/>
          </w:rPr>
          <w:t>2011\Coc Dat Sys Rev2011, CD003740.pdf</w:t>
        </w:r>
      </w:hyperlink>
    </w:p>
    <w:p w:rsidR="00365DE4" w:rsidRDefault="00365DE4" w:rsidP="00365DE4">
      <w:pPr>
        <w:pStyle w:val="a3"/>
        <w:rPr>
          <w:kern w:val="0"/>
        </w:rPr>
      </w:pPr>
      <w:r>
        <w:rPr>
          <w:kern w:val="0"/>
        </w:rPr>
        <w:t>Abstract: Background Rotavirus is a common neonatal nosocomial viral infection</w:t>
      </w:r>
      <w:r w:rsidR="005853A9">
        <w:rPr>
          <w:kern w:val="0"/>
        </w:rPr>
        <w:t xml:space="preserve"> and </w:t>
      </w:r>
      <w:r>
        <w:rPr>
          <w:kern w:val="0"/>
        </w:rPr>
        <w:t>epidemics with the newer P(6) G9 strains have been reported. Local mucosal immunity in the intestine to rotavirus is important in the resolution</w:t>
      </w:r>
      <w:r w:rsidR="00427468">
        <w:rPr>
          <w:kern w:val="0"/>
        </w:rPr>
        <w:t xml:space="preserve"> of </w:t>
      </w:r>
      <w:r>
        <w:rPr>
          <w:kern w:val="0"/>
        </w:rPr>
        <w:t>infection</w:t>
      </w:r>
      <w:r w:rsidR="005853A9">
        <w:rPr>
          <w:kern w:val="0"/>
        </w:rPr>
        <w:t xml:space="preserve"> and </w:t>
      </w:r>
      <w:r>
        <w:rPr>
          <w:kern w:val="0"/>
        </w:rPr>
        <w:t>protection against subsequent infections. Oral administration</w:t>
      </w:r>
      <w:r w:rsidR="00427468">
        <w:rPr>
          <w:kern w:val="0"/>
        </w:rPr>
        <w:t xml:space="preserve"> of </w:t>
      </w:r>
      <w:r>
        <w:rPr>
          <w:kern w:val="0"/>
        </w:rPr>
        <w:t>anti-rotaviral immunoglobulin preparationsmight be a useful strategy in preventing rotaviral infections, especially in low birth weight babies. Objectives To determine the effectiveness</w:t>
      </w:r>
      <w:r w:rsidR="005853A9">
        <w:rPr>
          <w:kern w:val="0"/>
        </w:rPr>
        <w:t xml:space="preserve"> and </w:t>
      </w:r>
      <w:r>
        <w:rPr>
          <w:kern w:val="0"/>
        </w:rPr>
        <w:t>safety</w:t>
      </w:r>
      <w:r w:rsidR="00427468">
        <w:rPr>
          <w:kern w:val="0"/>
        </w:rPr>
        <w:t xml:space="preserve"> of </w:t>
      </w:r>
      <w:r>
        <w:rPr>
          <w:kern w:val="0"/>
        </w:rPr>
        <w:t>oral immunoglobulin preparations for the prevention</w:t>
      </w:r>
      <w:r w:rsidR="00427468">
        <w:rPr>
          <w:kern w:val="0"/>
        </w:rPr>
        <w:t xml:space="preserve"> of </w:t>
      </w:r>
      <w:r>
        <w:rPr>
          <w:kern w:val="0"/>
        </w:rPr>
        <w:t>rotavirus infection in hospitalized low birthweight infants (birthweight &lt; 2500 g) Search strategy The Cochrane Central Register</w:t>
      </w:r>
      <w:r w:rsidR="00427468">
        <w:rPr>
          <w:kern w:val="0"/>
        </w:rPr>
        <w:t xml:space="preserve"> of </w:t>
      </w:r>
      <w:r>
        <w:rPr>
          <w:kern w:val="0"/>
        </w:rPr>
        <w:t xml:space="preserve">Controlled Trials (CENTRAL, The Cochrane Library), </w:t>
      </w:r>
      <w:r w:rsidR="00D5664A">
        <w:rPr>
          <w:kern w:val="0"/>
        </w:rPr>
        <w:t>MEDLINE</w:t>
      </w:r>
      <w:r>
        <w:rPr>
          <w:kern w:val="0"/>
        </w:rPr>
        <w:t>, EMBASE, CINAHL, biological Abstracts (BIOSIS), Science Citation Index for articles citing Barnes 1982</w:t>
      </w:r>
      <w:r w:rsidR="005853A9">
        <w:rPr>
          <w:kern w:val="0"/>
        </w:rPr>
        <w:t xml:space="preserve"> and </w:t>
      </w:r>
      <w:r>
        <w:rPr>
          <w:kern w:val="0"/>
        </w:rPr>
        <w:t>the proceedings</w:t>
      </w:r>
      <w:r w:rsidR="00427468">
        <w:rPr>
          <w:kern w:val="0"/>
        </w:rPr>
        <w:t xml:space="preserve"> of </w:t>
      </w:r>
      <w:r>
        <w:rPr>
          <w:kern w:val="0"/>
        </w:rPr>
        <w:t>the Pediatric Academic Societies from 1991 onwards were searched in July 2011. Ongoing trials were also searched at clinicaltrials.gov</w:t>
      </w:r>
      <w:r w:rsidR="005853A9">
        <w:rPr>
          <w:kern w:val="0"/>
        </w:rPr>
        <w:t xml:space="preserve"> and </w:t>
      </w:r>
      <w:r>
        <w:rPr>
          <w:kern w:val="0"/>
        </w:rPr>
        <w:t>controlled-trials.com Selection criteria The criteria used to select studies for inclusion were: 1) design: randomized or quasi-randomized controlled trials; 2) participants: hospitalized low birthweight infants; 3) intervention: oral immunoglobulin preparations for prevention</w:t>
      </w:r>
      <w:r w:rsidR="00427468">
        <w:rPr>
          <w:kern w:val="0"/>
        </w:rPr>
        <w:t xml:space="preserve"> of </w:t>
      </w:r>
      <w:r>
        <w:rPr>
          <w:kern w:val="0"/>
        </w:rPr>
        <w:t>rotavirus infection compared to placebo OR no intervention; 4) at least one</w:t>
      </w:r>
      <w:r w:rsidR="00427468">
        <w:rPr>
          <w:kern w:val="0"/>
        </w:rPr>
        <w:t xml:space="preserve"> of </w:t>
      </w:r>
      <w:r>
        <w:rPr>
          <w:kern w:val="0"/>
        </w:rPr>
        <w:t>the following outcomes were reported: all cause mortality during hospital stay, mortality due to rotavirus infection during hospital stay, rotavirus infection, duration</w:t>
      </w:r>
      <w:r w:rsidR="00427468">
        <w:rPr>
          <w:kern w:val="0"/>
        </w:rPr>
        <w:t xml:space="preserve"> of </w:t>
      </w:r>
      <w:r>
        <w:rPr>
          <w:kern w:val="0"/>
        </w:rPr>
        <w:t>diarrhea, need for rehydration, duration</w:t>
      </w:r>
      <w:r w:rsidR="00427468">
        <w:rPr>
          <w:kern w:val="0"/>
        </w:rPr>
        <w:t xml:space="preserve"> of </w:t>
      </w:r>
      <w:r>
        <w:rPr>
          <w:kern w:val="0"/>
        </w:rPr>
        <w:t>viral excretion, duration</w:t>
      </w:r>
      <w:r w:rsidR="00427468">
        <w:rPr>
          <w:kern w:val="0"/>
        </w:rPr>
        <w:t xml:space="preserve"> of </w:t>
      </w:r>
      <w:r>
        <w:rPr>
          <w:kern w:val="0"/>
        </w:rPr>
        <w:t>infection control measures, length</w:t>
      </w:r>
      <w:r w:rsidR="00427468">
        <w:rPr>
          <w:kern w:val="0"/>
        </w:rPr>
        <w:t xml:space="preserve"> of </w:t>
      </w:r>
      <w:r>
        <w:rPr>
          <w:kern w:val="0"/>
        </w:rPr>
        <w:t>hospital stay in days, recurrent diarrhea or chronic diarrhea. Data collection</w:t>
      </w:r>
      <w:r w:rsidR="005853A9">
        <w:rPr>
          <w:kern w:val="0"/>
        </w:rPr>
        <w:t xml:space="preserve"> and </w:t>
      </w:r>
      <w:r>
        <w:rPr>
          <w:kern w:val="0"/>
        </w:rPr>
        <w:t>analysis The two review authors independently abstracted data from the included trials. Main results One published study (Barnes 1982) was eligible for inclusion in this review. Barnes 1982 found no significant difference in the rates</w:t>
      </w:r>
      <w:r w:rsidR="00427468">
        <w:rPr>
          <w:kern w:val="0"/>
        </w:rPr>
        <w:t xml:space="preserve"> of </w:t>
      </w:r>
      <w:r>
        <w:rPr>
          <w:kern w:val="0"/>
        </w:rPr>
        <w:t>rotavirus infection after oral gammaglobulin versus placebo in hospitalized low birthweight babies [RR 1.27 (95% CI 0.65 to 2.37)]. In the subset</w:t>
      </w:r>
      <w:r w:rsidR="00427468">
        <w:rPr>
          <w:kern w:val="0"/>
        </w:rPr>
        <w:t xml:space="preserve"> of </w:t>
      </w:r>
      <w:r>
        <w:rPr>
          <w:kern w:val="0"/>
        </w:rPr>
        <w:t>infants who became infected with rotavirus after receiving gammaglobulin or placebo for prevention</w:t>
      </w:r>
      <w:r w:rsidR="00427468">
        <w:rPr>
          <w:kern w:val="0"/>
        </w:rPr>
        <w:t xml:space="preserve"> of </w:t>
      </w:r>
      <w:r>
        <w:rPr>
          <w:kern w:val="0"/>
        </w:rPr>
        <w:t>rotavirus infection, there was no significant difference in the duration</w:t>
      </w:r>
      <w:r w:rsidR="00427468">
        <w:rPr>
          <w:kern w:val="0"/>
        </w:rPr>
        <w:t xml:space="preserve"> of </w:t>
      </w:r>
      <w:r>
        <w:rPr>
          <w:kern w:val="0"/>
        </w:rPr>
        <w:t xml:space="preserve">rotavirus excretion between the group who had gammaglobulin (mean </w:t>
      </w:r>
      <w:r>
        <w:rPr>
          <w:kern w:val="0"/>
        </w:rPr>
        <w:lastRenderedPageBreak/>
        <w:t>2 days, range 1 to 4 days)</w:t>
      </w:r>
      <w:r w:rsidR="005853A9">
        <w:rPr>
          <w:kern w:val="0"/>
        </w:rPr>
        <w:t xml:space="preserve"> and </w:t>
      </w:r>
      <w:r>
        <w:rPr>
          <w:kern w:val="0"/>
        </w:rPr>
        <w:t>the group who had placebo (mean 3 days, range 1 to 6 days). Barnes 1982 reported no adverse effects after administration</w:t>
      </w:r>
      <w:r w:rsidR="00427468">
        <w:rPr>
          <w:kern w:val="0"/>
        </w:rPr>
        <w:t xml:space="preserve"> of </w:t>
      </w:r>
      <w:r>
        <w:rPr>
          <w:kern w:val="0"/>
        </w:rPr>
        <w:t>oral immunoglobulin preparations. Authors</w:t>
      </w:r>
      <w:r w:rsidR="0071223E">
        <w:rPr>
          <w:kern w:val="0"/>
        </w:rPr>
        <w:t>’</w:t>
      </w:r>
      <w:r>
        <w:rPr>
          <w:kern w:val="0"/>
        </w:rPr>
        <w:t xml:space="preserve"> conclusions Current evidence does not support the use</w:t>
      </w:r>
      <w:r w:rsidR="00427468">
        <w:rPr>
          <w:kern w:val="0"/>
        </w:rPr>
        <w:t xml:space="preserve"> of </w:t>
      </w:r>
      <w:r>
        <w:rPr>
          <w:kern w:val="0"/>
        </w:rPr>
        <w:t>oral immunoglobulin preparations to prevent rotavirus infection in low birthweight infants. Researchers are encouraged to conduct well-designed neonatal trials using the newer preparations</w:t>
      </w:r>
      <w:r w:rsidR="00427468">
        <w:rPr>
          <w:kern w:val="0"/>
        </w:rPr>
        <w:t xml:space="preserve"> of </w:t>
      </w:r>
      <w:r>
        <w:rPr>
          <w:kern w:val="0"/>
        </w:rPr>
        <w:t>anti-rotaviral immunoglobulins (colostrum, egg yolk immunoglobulins)</w:t>
      </w:r>
      <w:r w:rsidR="005853A9">
        <w:rPr>
          <w:kern w:val="0"/>
        </w:rPr>
        <w:t xml:space="preserve"> and </w:t>
      </w:r>
      <w:r>
        <w:rPr>
          <w:kern w:val="0"/>
        </w:rPr>
        <w:t>include cost effectiveness evaluations.</w:t>
      </w:r>
    </w:p>
    <w:p w:rsidR="00365DE4" w:rsidRDefault="00365DE4" w:rsidP="00365DE4">
      <w:pPr>
        <w:pStyle w:val="a3"/>
        <w:rPr>
          <w:kern w:val="0"/>
        </w:rPr>
      </w:pPr>
      <w:r>
        <w:rPr>
          <w:kern w:val="0"/>
        </w:rPr>
        <w:t xml:space="preserve">Keywords: Administration,Oral, Adverse Effects, Analysis, Authors, Birthweight, Children, Citation, Clinical-Trial, Cochrane, Control, Cost-Effectiveness, Design, Diarrhea, Effectiveness, Embase, Gastroenteritis, Group-A Rotavirus, Hospital, Humans, Immunization,Passive [Methods], Immunoglobulins [Administration &amp; Dosage], Infant,Low Birth Weight, Infant,Newborn, Infants, Infection, Infection Control, Intervention, Intestine, Low, Low Birthweight, </w:t>
      </w:r>
      <w:r w:rsidR="00D5664A">
        <w:rPr>
          <w:kern w:val="0"/>
        </w:rPr>
        <w:t>MEDLINE</w:t>
      </w:r>
      <w:r>
        <w:rPr>
          <w:kern w:val="0"/>
        </w:rPr>
        <w:t>, Mortality, Necrotizing Enterocolitis, Newborns, Oral, Outcomes, Prevention, Randomized Controlled Trials As Topic, Researchers, Review, Risk-Factors, Rotavirus Infections [Prevention &amp; Control], Safety, Science, Science Citation Index, Search Strategy, Selection, Strains, Strategy, Trypsin-Inhibitors</w:t>
      </w:r>
    </w:p>
    <w:p w:rsidR="00365DE4" w:rsidRDefault="00365DE4" w:rsidP="00365DE4">
      <w:pPr>
        <w:pStyle w:val="a3"/>
        <w:rPr>
          <w:kern w:val="0"/>
        </w:rPr>
      </w:pPr>
      <w:r>
        <w:rPr>
          <w:kern w:val="0"/>
        </w:rPr>
        <w:t>? Parantainen, A., Verbeek, J.H., Lavoie, M.C.</w:t>
      </w:r>
      <w:r w:rsidR="005853A9">
        <w:rPr>
          <w:kern w:val="0"/>
        </w:rPr>
        <w:t xml:space="preserve"> and </w:t>
      </w:r>
      <w:r>
        <w:rPr>
          <w:kern w:val="0"/>
        </w:rPr>
        <w:t xml:space="preserve">Pahwa, M. (2011), Blunt versus sharp suture needles for preventing percutaneous exposure incidents in surgical staff.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CD009170.</w:t>
      </w:r>
    </w:p>
    <w:p w:rsidR="00365DE4" w:rsidRDefault="00365DE4" w:rsidP="00365DE4">
      <w:pPr>
        <w:pStyle w:val="a3"/>
        <w:rPr>
          <w:kern w:val="2"/>
        </w:rPr>
      </w:pPr>
      <w:r>
        <w:t xml:space="preserve">Full Text: </w:t>
      </w:r>
      <w:hyperlink r:id="rId715" w:history="1">
        <w:r>
          <w:rPr>
            <w:rStyle w:val="a5"/>
          </w:rPr>
          <w:t>2011\Coc Dat Sys Rev2011, CD009170.pdf</w:t>
        </w:r>
      </w:hyperlink>
    </w:p>
    <w:p w:rsidR="00365DE4" w:rsidRDefault="00365DE4" w:rsidP="00365DE4">
      <w:pPr>
        <w:pStyle w:val="a3"/>
        <w:rPr>
          <w:kern w:val="0"/>
        </w:rPr>
      </w:pPr>
      <w:r>
        <w:rPr>
          <w:kern w:val="0"/>
        </w:rPr>
        <w:t>Abstract: Background Surgeons</w:t>
      </w:r>
      <w:r w:rsidR="005853A9">
        <w:rPr>
          <w:kern w:val="0"/>
        </w:rPr>
        <w:t xml:space="preserve"> and </w:t>
      </w:r>
      <w:r>
        <w:rPr>
          <w:kern w:val="0"/>
        </w:rPr>
        <w:t>their assistants are especially at risk</w:t>
      </w:r>
      <w:r w:rsidR="00427468">
        <w:rPr>
          <w:kern w:val="0"/>
        </w:rPr>
        <w:t xml:space="preserve"> of </w:t>
      </w:r>
      <w:r>
        <w:rPr>
          <w:kern w:val="0"/>
        </w:rPr>
        <w:t>exposure to blood due to glove perforations</w:t>
      </w:r>
      <w:r w:rsidR="005853A9">
        <w:rPr>
          <w:kern w:val="0"/>
        </w:rPr>
        <w:t xml:space="preserve"> and </w:t>
      </w:r>
      <w:r>
        <w:rPr>
          <w:kern w:val="0"/>
        </w:rPr>
        <w:t>needle stick injuries during operations</w:t>
      </w:r>
      <w:r w:rsidR="00A37C1D">
        <w:rPr>
          <w:kern w:val="0"/>
        </w:rPr>
        <w:t>. The</w:t>
      </w:r>
      <w:r>
        <w:rPr>
          <w:kern w:val="0"/>
        </w:rPr>
        <w:t xml:space="preserve"> use</w:t>
      </w:r>
      <w:r w:rsidR="00427468">
        <w:rPr>
          <w:kern w:val="0"/>
        </w:rPr>
        <w:t xml:space="preserve"> of </w:t>
      </w:r>
      <w:r>
        <w:rPr>
          <w:kern w:val="0"/>
        </w:rPr>
        <w:t>blunt needles can reduce this risk because they don</w:t>
      </w:r>
      <w:r w:rsidR="0071223E">
        <w:rPr>
          <w:kern w:val="0"/>
        </w:rPr>
        <w:t>’</w:t>
      </w:r>
      <w:r>
        <w:rPr>
          <w:kern w:val="0"/>
        </w:rPr>
        <w:t>t penetrate skin easily but still perform sufficiently in other tissues. Objectives To determine the effectiveness</w:t>
      </w:r>
      <w:r w:rsidR="00427468">
        <w:rPr>
          <w:kern w:val="0"/>
        </w:rPr>
        <w:t xml:space="preserve"> of </w:t>
      </w:r>
      <w:r>
        <w:rPr>
          <w:kern w:val="0"/>
        </w:rPr>
        <w:t xml:space="preserve">blunt needles compared to sharp needles for preventing percutaneous exposure incidents among surgical staff. Search strategy We searched </w:t>
      </w:r>
      <w:r w:rsidR="00D5664A">
        <w:rPr>
          <w:kern w:val="0"/>
        </w:rPr>
        <w:t>MEDLINE</w:t>
      </w:r>
      <w:r w:rsidR="005853A9">
        <w:rPr>
          <w:kern w:val="0"/>
        </w:rPr>
        <w:t xml:space="preserve"> and </w:t>
      </w:r>
      <w:r>
        <w:rPr>
          <w:kern w:val="0"/>
        </w:rPr>
        <w:t>EMBASE (until May 2011), CENTRAL, NHSEED, Science Citation Index Expanded, CINAHL, Nioshtic, CISdoc, PsycINFO,</w:t>
      </w:r>
      <w:r w:rsidR="005853A9">
        <w:rPr>
          <w:kern w:val="0"/>
        </w:rPr>
        <w:t xml:space="preserve"> and </w:t>
      </w:r>
      <w:r>
        <w:rPr>
          <w:kern w:val="0"/>
        </w:rPr>
        <w:t>LILACS (until September 2010). Selection criteria Randomised controlled trials (RCTs)</w:t>
      </w:r>
      <w:r w:rsidR="00427468">
        <w:rPr>
          <w:kern w:val="0"/>
        </w:rPr>
        <w:t xml:space="preserve"> of </w:t>
      </w:r>
      <w:r>
        <w:rPr>
          <w:kern w:val="0"/>
        </w:rPr>
        <w:t>blunt versus sharp suture needles for preventing needle stick injuries among surgical staff measured as glove perforations or self-reported needle stick injuries. Data collection</w:t>
      </w:r>
      <w:r w:rsidR="005853A9">
        <w:rPr>
          <w:kern w:val="0"/>
        </w:rPr>
        <w:t xml:space="preserve"> and </w:t>
      </w:r>
      <w:r>
        <w:rPr>
          <w:kern w:val="0"/>
        </w:rPr>
        <w:t>analysis Two authors independently assessed study eligibility</w:t>
      </w:r>
      <w:r w:rsidR="005853A9">
        <w:rPr>
          <w:kern w:val="0"/>
        </w:rPr>
        <w:t xml:space="preserve"> and </w:t>
      </w:r>
      <w:r>
        <w:rPr>
          <w:kern w:val="0"/>
        </w:rPr>
        <w:t>risk</w:t>
      </w:r>
      <w:r w:rsidR="00427468">
        <w:rPr>
          <w:kern w:val="0"/>
        </w:rPr>
        <w:t xml:space="preserve"> of </w:t>
      </w:r>
      <w:r>
        <w:rPr>
          <w:kern w:val="0"/>
        </w:rPr>
        <w:t>bias in trials</w:t>
      </w:r>
      <w:r w:rsidR="005853A9">
        <w:rPr>
          <w:kern w:val="0"/>
        </w:rPr>
        <w:t xml:space="preserve"> and </w:t>
      </w:r>
      <w:r>
        <w:rPr>
          <w:kern w:val="0"/>
        </w:rPr>
        <w:t>extracted data. We synthesized study results with a fixed-effect model meta-analysis. Main results We located 10 RCTs involving 2961 participating surgeons performing an operation in which the use</w:t>
      </w:r>
      <w:r w:rsidR="00427468">
        <w:rPr>
          <w:kern w:val="0"/>
        </w:rPr>
        <w:t xml:space="preserve"> of </w:t>
      </w:r>
      <w:r>
        <w:rPr>
          <w:kern w:val="0"/>
        </w:rPr>
        <w:t>blunt needles was compared to the use</w:t>
      </w:r>
      <w:r w:rsidR="00427468">
        <w:rPr>
          <w:kern w:val="0"/>
        </w:rPr>
        <w:t xml:space="preserve"> of </w:t>
      </w:r>
      <w:r>
        <w:rPr>
          <w:kern w:val="0"/>
        </w:rPr>
        <w:t>sharp needles. Four studies focused on abdominal closure, two on caesarean section, two on vaginal repair</w:t>
      </w:r>
      <w:r w:rsidR="005853A9">
        <w:rPr>
          <w:kern w:val="0"/>
        </w:rPr>
        <w:t xml:space="preserve"> and </w:t>
      </w:r>
      <w:r>
        <w:rPr>
          <w:kern w:val="0"/>
        </w:rPr>
        <w:t>two on hip replacement. On average, a surgeon that used sharp needles sustained one glove perforation in three operations</w:t>
      </w:r>
      <w:r w:rsidR="00A37C1D">
        <w:rPr>
          <w:kern w:val="0"/>
        </w:rPr>
        <w:t>. The</w:t>
      </w:r>
      <w:r>
        <w:rPr>
          <w:kern w:val="0"/>
        </w:rPr>
        <w:t xml:space="preserve"> use</w:t>
      </w:r>
      <w:r w:rsidR="00427468">
        <w:rPr>
          <w:kern w:val="0"/>
        </w:rPr>
        <w:t xml:space="preserve"> of </w:t>
      </w:r>
      <w:r>
        <w:rPr>
          <w:kern w:val="0"/>
        </w:rPr>
        <w:t xml:space="preserve">blunt needles </w:t>
      </w:r>
      <w:r>
        <w:rPr>
          <w:kern w:val="0"/>
        </w:rPr>
        <w:lastRenderedPageBreak/>
        <w:t>reduced the risk</w:t>
      </w:r>
      <w:r w:rsidR="00427468">
        <w:rPr>
          <w:kern w:val="0"/>
        </w:rPr>
        <w:t xml:space="preserve"> of </w:t>
      </w:r>
      <w:r>
        <w:rPr>
          <w:kern w:val="0"/>
        </w:rPr>
        <w:t>glove perforations with a relative risk (RR)</w:t>
      </w:r>
      <w:r w:rsidR="00427468">
        <w:rPr>
          <w:kern w:val="0"/>
        </w:rPr>
        <w:t xml:space="preserve"> of </w:t>
      </w:r>
      <w:r>
        <w:rPr>
          <w:kern w:val="0"/>
        </w:rPr>
        <w:t>0.46 (95% confidence interval (CI) 0.38 to 0.54) compared to sharp needles</w:t>
      </w:r>
      <w:r w:rsidR="00A37C1D">
        <w:rPr>
          <w:kern w:val="0"/>
        </w:rPr>
        <w:t>. The</w:t>
      </w:r>
      <w:r>
        <w:rPr>
          <w:kern w:val="0"/>
        </w:rPr>
        <w:t xml:space="preserve"> use</w:t>
      </w:r>
      <w:r w:rsidR="00427468">
        <w:rPr>
          <w:kern w:val="0"/>
        </w:rPr>
        <w:t xml:space="preserve"> of </w:t>
      </w:r>
      <w:r>
        <w:rPr>
          <w:kern w:val="0"/>
        </w:rPr>
        <w:t>blunt needles will thus prevent one glove perforation in every six operations. In four studies, the use</w:t>
      </w:r>
      <w:r w:rsidR="00427468">
        <w:rPr>
          <w:kern w:val="0"/>
        </w:rPr>
        <w:t xml:space="preserve"> of </w:t>
      </w:r>
      <w:r>
        <w:rPr>
          <w:kern w:val="0"/>
        </w:rPr>
        <w:t>blunt needles reduced the number</w:t>
      </w:r>
      <w:r w:rsidR="00427468">
        <w:rPr>
          <w:kern w:val="0"/>
        </w:rPr>
        <w:t xml:space="preserve"> of </w:t>
      </w:r>
      <w:r>
        <w:rPr>
          <w:kern w:val="0"/>
        </w:rPr>
        <w:t>self-reported needle stick injuries with a RR</w:t>
      </w:r>
      <w:r w:rsidR="00427468">
        <w:rPr>
          <w:kern w:val="0"/>
        </w:rPr>
        <w:t xml:space="preserve"> of </w:t>
      </w:r>
      <w:r>
        <w:rPr>
          <w:kern w:val="0"/>
        </w:rPr>
        <w:t>0.31 (95% CI 0.14 to 0.68). Because the force needed for the blunt needles is higher, their use was rated as more difficult but still acceptable in five out</w:t>
      </w:r>
      <w:r w:rsidR="00427468">
        <w:rPr>
          <w:kern w:val="0"/>
        </w:rPr>
        <w:t xml:space="preserve"> of </w:t>
      </w:r>
      <w:r>
        <w:rPr>
          <w:kern w:val="0"/>
        </w:rPr>
        <w:t>six studies</w:t>
      </w:r>
      <w:r w:rsidR="00A37C1D">
        <w:rPr>
          <w:kern w:val="0"/>
        </w:rPr>
        <w:t>. The</w:t>
      </w:r>
      <w:r>
        <w:rPr>
          <w:kern w:val="0"/>
        </w:rPr>
        <w:t xml:space="preserve"> quality</w:t>
      </w:r>
      <w:r w:rsidR="00427468">
        <w:rPr>
          <w:kern w:val="0"/>
        </w:rPr>
        <w:t xml:space="preserve"> of </w:t>
      </w:r>
      <w:r>
        <w:rPr>
          <w:kern w:val="0"/>
        </w:rPr>
        <w:t>the evidence was rated as high. Authors</w:t>
      </w:r>
      <w:r w:rsidR="0071223E">
        <w:rPr>
          <w:kern w:val="0"/>
        </w:rPr>
        <w:t>’</w:t>
      </w:r>
      <w:r>
        <w:rPr>
          <w:kern w:val="0"/>
        </w:rPr>
        <w:t xml:space="preserve"> conclusions There is high quality evidence that the use</w:t>
      </w:r>
      <w:r w:rsidR="00427468">
        <w:rPr>
          <w:kern w:val="0"/>
        </w:rPr>
        <w:t xml:space="preserve"> of </w:t>
      </w:r>
      <w:r>
        <w:rPr>
          <w:kern w:val="0"/>
        </w:rPr>
        <w:t>blunt needles appreciably reduces the risk</w:t>
      </w:r>
      <w:r w:rsidR="00427468">
        <w:rPr>
          <w:kern w:val="0"/>
        </w:rPr>
        <w:t xml:space="preserve"> of </w:t>
      </w:r>
      <w:r>
        <w:rPr>
          <w:kern w:val="0"/>
        </w:rPr>
        <w:t>exposure to blood</w:t>
      </w:r>
      <w:r w:rsidR="005853A9">
        <w:rPr>
          <w:kern w:val="0"/>
        </w:rPr>
        <w:t xml:space="preserve"> and </w:t>
      </w:r>
      <w:r>
        <w:rPr>
          <w:kern w:val="0"/>
        </w:rPr>
        <w:t>bodily fluids for surgeons</w:t>
      </w:r>
      <w:r w:rsidR="005853A9">
        <w:rPr>
          <w:kern w:val="0"/>
        </w:rPr>
        <w:t xml:space="preserve"> and </w:t>
      </w:r>
      <w:r>
        <w:rPr>
          <w:kern w:val="0"/>
        </w:rPr>
        <w:t>their assistants over a range</w:t>
      </w:r>
      <w:r w:rsidR="00427468">
        <w:rPr>
          <w:kern w:val="0"/>
        </w:rPr>
        <w:t xml:space="preserve"> of </w:t>
      </w:r>
      <w:r>
        <w:rPr>
          <w:kern w:val="0"/>
        </w:rPr>
        <w:t>operations. It is unlikely that future research will change this conclusion.</w:t>
      </w:r>
    </w:p>
    <w:p w:rsidR="00365DE4" w:rsidRDefault="00365DE4" w:rsidP="00365DE4">
      <w:pPr>
        <w:pStyle w:val="a3"/>
        <w:rPr>
          <w:kern w:val="0"/>
        </w:rPr>
      </w:pPr>
      <w:r>
        <w:rPr>
          <w:kern w:val="0"/>
        </w:rPr>
        <w:t xml:space="preserve">Keywords: Analysis, At Risk, Authors, Bias, Blood, Blood Exposure, Citation, Effectiveness, Embase, Exposure, Glove Perforations, Health-Care Workers, Injuries, Intervention, </w:t>
      </w:r>
      <w:r w:rsidR="00D5664A">
        <w:rPr>
          <w:kern w:val="0"/>
        </w:rPr>
        <w:t>MEDLINE</w:t>
      </w:r>
      <w:r>
        <w:rPr>
          <w:kern w:val="0"/>
        </w:rPr>
        <w:t>, Meta Analysis, Meta-Analysis, Model, Nurses, Quality, Randomized-Controlled-Trial, Relative Risk, Research, Risk, Safety, Science, Science Citation Index, Search Strategy, Selection, Strategy, Surgical</w:t>
      </w:r>
    </w:p>
    <w:p w:rsidR="00365DE4" w:rsidRDefault="00365DE4" w:rsidP="00365DE4">
      <w:pPr>
        <w:pStyle w:val="a3"/>
        <w:rPr>
          <w:kern w:val="0"/>
        </w:rPr>
      </w:pPr>
      <w:r>
        <w:rPr>
          <w:kern w:val="0"/>
        </w:rPr>
        <w:t>? Roberts, I., Blackhall, K., Alderson, P., Bunn, F.</w:t>
      </w:r>
      <w:r w:rsidR="005853A9">
        <w:rPr>
          <w:kern w:val="0"/>
        </w:rPr>
        <w:t xml:space="preserve"> and </w:t>
      </w:r>
      <w:r>
        <w:rPr>
          <w:kern w:val="0"/>
        </w:rPr>
        <w:t>Schierhout, G. (2011), Human albumin solution for resuscitation</w:t>
      </w:r>
      <w:r w:rsidR="005853A9">
        <w:rPr>
          <w:kern w:val="0"/>
        </w:rPr>
        <w:t xml:space="preserve"> and </w:t>
      </w:r>
      <w:r>
        <w:rPr>
          <w:kern w:val="0"/>
        </w:rPr>
        <w:t xml:space="preserve">volume expansion in critically ill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CD001208.</w:t>
      </w:r>
    </w:p>
    <w:p w:rsidR="00365DE4" w:rsidRDefault="00365DE4" w:rsidP="00365DE4">
      <w:pPr>
        <w:pStyle w:val="a3"/>
        <w:rPr>
          <w:kern w:val="2"/>
        </w:rPr>
      </w:pPr>
      <w:r>
        <w:t xml:space="preserve">Full Text: </w:t>
      </w:r>
      <w:hyperlink r:id="rId716" w:history="1">
        <w:r>
          <w:rPr>
            <w:rStyle w:val="a5"/>
          </w:rPr>
          <w:t>2011\Coc Dat Sys Rev2011, CD001208.pdf</w:t>
        </w:r>
      </w:hyperlink>
    </w:p>
    <w:p w:rsidR="00365DE4" w:rsidRDefault="00365DE4" w:rsidP="00365DE4">
      <w:pPr>
        <w:pStyle w:val="a3"/>
        <w:rPr>
          <w:kern w:val="0"/>
        </w:rPr>
      </w:pPr>
      <w:r>
        <w:rPr>
          <w:kern w:val="0"/>
        </w:rPr>
        <w:t>Abstract: Background Human albumin solutions are used for a range</w:t>
      </w:r>
      <w:r w:rsidR="00427468">
        <w:rPr>
          <w:kern w:val="0"/>
        </w:rPr>
        <w:t xml:space="preserve"> of </w:t>
      </w:r>
      <w:r>
        <w:rPr>
          <w:kern w:val="0"/>
        </w:rPr>
        <w:t>medical</w:t>
      </w:r>
      <w:r w:rsidR="005853A9">
        <w:rPr>
          <w:kern w:val="0"/>
        </w:rPr>
        <w:t xml:space="preserve"> and </w:t>
      </w:r>
      <w:r>
        <w:rPr>
          <w:kern w:val="0"/>
        </w:rPr>
        <w:t>surgical problems. Licensed indications are the emergency treatment</w:t>
      </w:r>
      <w:r w:rsidR="00427468">
        <w:rPr>
          <w:kern w:val="0"/>
        </w:rPr>
        <w:t xml:space="preserve"> of </w:t>
      </w:r>
      <w:r>
        <w:rPr>
          <w:kern w:val="0"/>
        </w:rPr>
        <w:t>shock</w:t>
      </w:r>
      <w:r w:rsidR="005853A9">
        <w:rPr>
          <w:kern w:val="0"/>
        </w:rPr>
        <w:t xml:space="preserve"> and </w:t>
      </w:r>
      <w:r>
        <w:rPr>
          <w:kern w:val="0"/>
        </w:rPr>
        <w:t>other conditions where restoration</w:t>
      </w:r>
      <w:r w:rsidR="00427468">
        <w:rPr>
          <w:kern w:val="0"/>
        </w:rPr>
        <w:t xml:space="preserve"> of </w:t>
      </w:r>
      <w:r>
        <w:rPr>
          <w:kern w:val="0"/>
        </w:rPr>
        <w:t>blood volume is urgent, such as in burns</w:t>
      </w:r>
      <w:r w:rsidR="005853A9">
        <w:rPr>
          <w:kern w:val="0"/>
        </w:rPr>
        <w:t xml:space="preserve"> and </w:t>
      </w:r>
      <w:r>
        <w:rPr>
          <w:kern w:val="0"/>
        </w:rPr>
        <w:t>hypoproteinaemia. Human albumin solutions are more expensive than other colloids</w:t>
      </w:r>
      <w:r w:rsidR="005853A9">
        <w:rPr>
          <w:kern w:val="0"/>
        </w:rPr>
        <w:t xml:space="preserve"> and </w:t>
      </w:r>
      <w:r>
        <w:rPr>
          <w:kern w:val="0"/>
        </w:rPr>
        <w:t>crystalloids. Objectives To quantify the effect on mortality</w:t>
      </w:r>
      <w:r w:rsidR="00427468">
        <w:rPr>
          <w:kern w:val="0"/>
        </w:rPr>
        <w:t xml:space="preserve"> of </w:t>
      </w:r>
      <w:r>
        <w:rPr>
          <w:kern w:val="0"/>
        </w:rPr>
        <w:t>human albumin</w:t>
      </w:r>
      <w:r w:rsidR="005853A9">
        <w:rPr>
          <w:kern w:val="0"/>
        </w:rPr>
        <w:t xml:space="preserve"> and </w:t>
      </w:r>
      <w:r>
        <w:rPr>
          <w:kern w:val="0"/>
        </w:rPr>
        <w:t>plasma protein fraction (PPF) administration in the management</w:t>
      </w:r>
      <w:r w:rsidR="00427468">
        <w:rPr>
          <w:kern w:val="0"/>
        </w:rPr>
        <w:t xml:space="preserve"> of </w:t>
      </w:r>
      <w:r>
        <w:rPr>
          <w:kern w:val="0"/>
        </w:rPr>
        <w:t>critically ill patients. Search strategy We searched the Cochrane Injuries Group Specialised Register (searched 31 May 2011), the Cochrane Central Register</w:t>
      </w:r>
      <w:r w:rsidR="00427468">
        <w:rPr>
          <w:kern w:val="0"/>
        </w:rPr>
        <w:t xml:space="preserve"> of </w:t>
      </w:r>
      <w:r>
        <w:rPr>
          <w:kern w:val="0"/>
        </w:rPr>
        <w:t xml:space="preserve">Controlled Trials (CENTRAL) (The Cochrane Library 2011, Issue 2), </w:t>
      </w:r>
      <w:r w:rsidR="00D5664A">
        <w:rPr>
          <w:kern w:val="0"/>
        </w:rPr>
        <w:t>MEDLINE</w:t>
      </w:r>
      <w:r>
        <w:rPr>
          <w:kern w:val="0"/>
        </w:rPr>
        <w:t xml:space="preserve"> (Ovid) (1948 to week 3 May 2011), EMBASE (Ovid) (1980 to Week 21 2011), CINAHL (EBSCO) (1982 to May 2011),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May 2011), ISI </w:t>
      </w:r>
      <w:r w:rsidR="00D5664A">
        <w:rPr>
          <w:kern w:val="0"/>
        </w:rPr>
        <w:t>Web</w:t>
      </w:r>
      <w:r w:rsidR="00427468">
        <w:rPr>
          <w:kern w:val="0"/>
        </w:rPr>
        <w:t xml:space="preserve"> of </w:t>
      </w:r>
      <w:r w:rsidR="00D5664A">
        <w:rPr>
          <w:kern w:val="0"/>
        </w:rPr>
        <w:t>Science</w:t>
      </w:r>
      <w:r>
        <w:rPr>
          <w:kern w:val="0"/>
        </w:rPr>
        <w:t>: Conference Proceedings Citation Index - Science (CPCI-S) (1990 to May 2011), PubMed (www.ncbi.nlm.nih.gov/sites/entrez/) (searched 10 June 2011, limit: last 60 days). Reference lists</w:t>
      </w:r>
      <w:r w:rsidR="00427468">
        <w:rPr>
          <w:kern w:val="0"/>
        </w:rPr>
        <w:t xml:space="preserve"> of </w:t>
      </w:r>
      <w:r>
        <w:rPr>
          <w:kern w:val="0"/>
        </w:rPr>
        <w:t>trials</w:t>
      </w:r>
      <w:r w:rsidR="005853A9">
        <w:rPr>
          <w:kern w:val="0"/>
        </w:rPr>
        <w:t xml:space="preserve"> and </w:t>
      </w:r>
      <w:r>
        <w:rPr>
          <w:kern w:val="0"/>
        </w:rPr>
        <w:t>review articles were checked,</w:t>
      </w:r>
      <w:r w:rsidR="005853A9">
        <w:rPr>
          <w:kern w:val="0"/>
        </w:rPr>
        <w:t xml:space="preserve"> and </w:t>
      </w:r>
      <w:r>
        <w:rPr>
          <w:kern w:val="0"/>
        </w:rPr>
        <w:t>authors</w:t>
      </w:r>
      <w:r w:rsidR="00427468">
        <w:rPr>
          <w:kern w:val="0"/>
        </w:rPr>
        <w:t xml:space="preserve"> of </w:t>
      </w:r>
      <w:r>
        <w:rPr>
          <w:kern w:val="0"/>
        </w:rPr>
        <w:t>identified trials were contacted. Selection criteria Randomised controlled trials comparing albumin or PPF with no albumin or PPF or with a crystalloid solution in critically ill patients with hypovolaemia, burns or hypoalbuminaemia. Data collection</w:t>
      </w:r>
      <w:r w:rsidR="005853A9">
        <w:rPr>
          <w:kern w:val="0"/>
        </w:rPr>
        <w:t xml:space="preserve"> and </w:t>
      </w:r>
      <w:r>
        <w:rPr>
          <w:kern w:val="0"/>
        </w:rPr>
        <w:t xml:space="preserve">analysis We collected data on the participants, albumin solution used, mortality at the </w:t>
      </w:r>
      <w:r>
        <w:rPr>
          <w:kern w:val="0"/>
        </w:rPr>
        <w:lastRenderedPageBreak/>
        <w:t>end</w:t>
      </w:r>
      <w:r w:rsidR="00427468">
        <w:rPr>
          <w:kern w:val="0"/>
        </w:rPr>
        <w:t xml:space="preserve"> of </w:t>
      </w:r>
      <w:r>
        <w:rPr>
          <w:kern w:val="0"/>
        </w:rPr>
        <w:t>follow up,</w:t>
      </w:r>
      <w:r w:rsidR="005853A9">
        <w:rPr>
          <w:kern w:val="0"/>
        </w:rPr>
        <w:t xml:space="preserve"> and </w:t>
      </w:r>
      <w:r>
        <w:rPr>
          <w:kern w:val="0"/>
        </w:rPr>
        <w:t>quality</w:t>
      </w:r>
      <w:r w:rsidR="00427468">
        <w:rPr>
          <w:kern w:val="0"/>
        </w:rPr>
        <w:t xml:space="preserve"> of </w:t>
      </w:r>
      <w:r>
        <w:rPr>
          <w:kern w:val="0"/>
        </w:rPr>
        <w:t>allocation concealment. Analysis was stratified according to patient type. Main results We found 38 trials meeting the inclusion criteria</w:t>
      </w:r>
      <w:r w:rsidR="005853A9">
        <w:rPr>
          <w:kern w:val="0"/>
        </w:rPr>
        <w:t xml:space="preserve"> and </w:t>
      </w:r>
      <w:r>
        <w:rPr>
          <w:kern w:val="0"/>
        </w:rPr>
        <w:t>reporting death as an outcome</w:t>
      </w:r>
      <w:r w:rsidR="00A37C1D">
        <w:rPr>
          <w:kern w:val="0"/>
        </w:rPr>
        <w:t>. The</w:t>
      </w:r>
      <w:r>
        <w:rPr>
          <w:kern w:val="0"/>
        </w:rPr>
        <w:t>re were 1,958 deaths among 10,842 trial participants. For hypovolaemia, the relative risk</w:t>
      </w:r>
      <w:r w:rsidR="00427468">
        <w:rPr>
          <w:kern w:val="0"/>
        </w:rPr>
        <w:t xml:space="preserve"> of </w:t>
      </w:r>
      <w:r>
        <w:rPr>
          <w:kern w:val="0"/>
        </w:rPr>
        <w:t>death following albumin administration was 1.02 (95% confidence interval (CI) 0.92 to 1.13). This estimate was heavily influenced by the results</w:t>
      </w:r>
      <w:r w:rsidR="00427468">
        <w:rPr>
          <w:kern w:val="0"/>
        </w:rPr>
        <w:t xml:space="preserve"> of </w:t>
      </w:r>
      <w:r>
        <w:rPr>
          <w:kern w:val="0"/>
        </w:rPr>
        <w:t>the SAFE trial, which contributed 75.2%</w:t>
      </w:r>
      <w:r w:rsidR="00427468">
        <w:rPr>
          <w:kern w:val="0"/>
        </w:rPr>
        <w:t xml:space="preserve"> of </w:t>
      </w:r>
      <w:r>
        <w:rPr>
          <w:kern w:val="0"/>
        </w:rPr>
        <w:t>the information (based on the weights in the meta-analysis). For burns, the relative risk was 2.93 (95% CI 1.28 to 6.72)</w:t>
      </w:r>
      <w:r w:rsidR="005853A9">
        <w:rPr>
          <w:kern w:val="0"/>
        </w:rPr>
        <w:t xml:space="preserve"> and </w:t>
      </w:r>
      <w:r>
        <w:rPr>
          <w:kern w:val="0"/>
        </w:rPr>
        <w:t>for hypoalbuminaemia the relative risk was 1.26 (95% CI 0.84 to 1.88)</w:t>
      </w:r>
      <w:r w:rsidR="00A37C1D">
        <w:rPr>
          <w:kern w:val="0"/>
        </w:rPr>
        <w:t>. The</w:t>
      </w:r>
      <w:r>
        <w:rPr>
          <w:kern w:val="0"/>
        </w:rPr>
        <w:t>re was no substantial heterogeneity between the trials in the various categories (Chi(2) = 26.66, df = 31, P = 0.69)</w:t>
      </w:r>
      <w:r w:rsidR="00A37C1D">
        <w:rPr>
          <w:kern w:val="0"/>
        </w:rPr>
        <w:t>. The</w:t>
      </w:r>
      <w:r>
        <w:rPr>
          <w:kern w:val="0"/>
        </w:rPr>
        <w:t xml:space="preserve"> pooled relative risk</w:t>
      </w:r>
      <w:r w:rsidR="00427468">
        <w:rPr>
          <w:kern w:val="0"/>
        </w:rPr>
        <w:t xml:space="preserve"> of </w:t>
      </w:r>
      <w:r>
        <w:rPr>
          <w:kern w:val="0"/>
        </w:rPr>
        <w:t>death with albumin administration was 1.05 (95% CI 0.95 to 1.16). Authors</w:t>
      </w:r>
      <w:r w:rsidR="0071223E">
        <w:rPr>
          <w:kern w:val="0"/>
        </w:rPr>
        <w:t>’</w:t>
      </w:r>
      <w:r>
        <w:rPr>
          <w:kern w:val="0"/>
        </w:rPr>
        <w:t xml:space="preserve"> conclusions For patients with hypovolaemia, there is no evidence that albumin reduces mortality when compared with cheaper alternatives such as saline</w:t>
      </w:r>
      <w:r w:rsidR="00A37C1D">
        <w:rPr>
          <w:kern w:val="0"/>
        </w:rPr>
        <w:t>. The</w:t>
      </w:r>
      <w:r>
        <w:rPr>
          <w:kern w:val="0"/>
        </w:rPr>
        <w:t>re is no evidence that albumin reduces mortality in critically ill patients with burns</w:t>
      </w:r>
      <w:r w:rsidR="005853A9">
        <w:rPr>
          <w:kern w:val="0"/>
        </w:rPr>
        <w:t xml:space="preserve"> and </w:t>
      </w:r>
      <w:r>
        <w:rPr>
          <w:kern w:val="0"/>
        </w:rPr>
        <w:t>hypoalbuminaemia</w:t>
      </w:r>
      <w:r w:rsidR="00A37C1D">
        <w:rPr>
          <w:kern w:val="0"/>
        </w:rPr>
        <w:t>. The</w:t>
      </w:r>
      <w:r>
        <w:rPr>
          <w:kern w:val="0"/>
        </w:rPr>
        <w:t xml:space="preserve"> possibility that there may be highly selected populations</w:t>
      </w:r>
      <w:r w:rsidR="00427468">
        <w:rPr>
          <w:kern w:val="0"/>
        </w:rPr>
        <w:t xml:space="preserve"> of </w:t>
      </w:r>
      <w:r>
        <w:rPr>
          <w:kern w:val="0"/>
        </w:rPr>
        <w:t>critically ill patients in which albumin may be indicated remains open to question. However, in view</w:t>
      </w:r>
      <w:r w:rsidR="00427468">
        <w:rPr>
          <w:kern w:val="0"/>
        </w:rPr>
        <w:t xml:space="preserve"> of </w:t>
      </w:r>
      <w:r>
        <w:rPr>
          <w:kern w:val="0"/>
        </w:rPr>
        <w:t>the absence</w:t>
      </w:r>
      <w:r w:rsidR="00427468">
        <w:rPr>
          <w:kern w:val="0"/>
        </w:rPr>
        <w:t xml:space="preserve"> of </w:t>
      </w:r>
      <w:r>
        <w:rPr>
          <w:kern w:val="0"/>
        </w:rPr>
        <w:t>evidence</w:t>
      </w:r>
      <w:r w:rsidR="00427468">
        <w:rPr>
          <w:kern w:val="0"/>
        </w:rPr>
        <w:t xml:space="preserve"> of </w:t>
      </w:r>
      <w:r>
        <w:rPr>
          <w:kern w:val="0"/>
        </w:rPr>
        <w:t>a mortality benefit from albumin</w:t>
      </w:r>
      <w:r w:rsidR="005853A9">
        <w:rPr>
          <w:kern w:val="0"/>
        </w:rPr>
        <w:t xml:space="preserve"> and </w:t>
      </w:r>
      <w:r>
        <w:rPr>
          <w:kern w:val="0"/>
        </w:rPr>
        <w:t>the increased cost</w:t>
      </w:r>
      <w:r w:rsidR="00427468">
        <w:rPr>
          <w:kern w:val="0"/>
        </w:rPr>
        <w:t xml:space="preserve"> of </w:t>
      </w:r>
      <w:r>
        <w:rPr>
          <w:kern w:val="0"/>
        </w:rPr>
        <w:t>albumin compared to alternatives such as saline, it would seem reasonable that albumin should only be used within the context</w:t>
      </w:r>
      <w:r w:rsidR="00427468">
        <w:rPr>
          <w:kern w:val="0"/>
        </w:rPr>
        <w:t xml:space="preserve"> of </w:t>
      </w:r>
      <w:r>
        <w:rPr>
          <w:kern w:val="0"/>
        </w:rPr>
        <w:t>well concealed</w:t>
      </w:r>
      <w:r w:rsidR="005853A9">
        <w:rPr>
          <w:kern w:val="0"/>
        </w:rPr>
        <w:t xml:space="preserve"> and </w:t>
      </w:r>
      <w:r>
        <w:rPr>
          <w:kern w:val="0"/>
        </w:rPr>
        <w:t>adequately powered randomised controlled trials.</w:t>
      </w:r>
    </w:p>
    <w:p w:rsidR="00365DE4" w:rsidRDefault="00365DE4" w:rsidP="00365DE4">
      <w:pPr>
        <w:pStyle w:val="a3"/>
        <w:rPr>
          <w:kern w:val="0"/>
        </w:rPr>
      </w:pPr>
      <w:r>
        <w:rPr>
          <w:kern w:val="0"/>
        </w:rPr>
        <w:t>Keywords: 5-Percent Albumin, Analysis, Authors, Blood, Blood Proteins [Therapeutic Use], Cerebral-Blood-Flow, Citation, Cochrane, Colloid Osmotic-Pressure, Conference, Critical Illness [Mortality, Critically Ill Patients, Embase, Emergency, Fluid Resuscitation, Fluid Therapy, Follow-Up, Human, Humans, Hypoalbuminemic Patients, Information, Intensive-Care-Unit</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Major Surgery, Management, Medical, </w:t>
      </w:r>
      <w:r w:rsidR="00D5664A">
        <w:rPr>
          <w:kern w:val="0"/>
        </w:rPr>
        <w:t>MEDLINE</w:t>
      </w:r>
      <w:r>
        <w:rPr>
          <w:kern w:val="0"/>
        </w:rPr>
        <w:t xml:space="preserve">, Meta Analysis, Meta-Analysis, Mortality, Normal Saline, Outcome, Patients, Plasma, Plasma Substitutes [Therapeutic Use], Pubmed, Quality, Randomized Controlled Trials As Topic, Randomized Controlled-Trial, Relative Risk, Restoration, Review, Risk, Safe, Science, Science Citation Index, Search Strategy, Selection, Serum Albumin [Therapeutic Use], Serum Globulins, Strategy, Surgical, Therapy], Total Parenteral-Nutrition,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Rosti-Otajarvi, E.M.</w:t>
      </w:r>
      <w:r w:rsidR="005853A9">
        <w:rPr>
          <w:kern w:val="0"/>
        </w:rPr>
        <w:t xml:space="preserve"> and </w:t>
      </w:r>
      <w:r>
        <w:rPr>
          <w:kern w:val="0"/>
        </w:rPr>
        <w:t xml:space="preserve">Hamalainen, P.I. (2011), Neuropsychological rehabilitation for multiple sclerosis.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CD009131.</w:t>
      </w:r>
    </w:p>
    <w:p w:rsidR="00365DE4" w:rsidRDefault="00365DE4" w:rsidP="00365DE4">
      <w:pPr>
        <w:pStyle w:val="a3"/>
        <w:rPr>
          <w:kern w:val="2"/>
        </w:rPr>
      </w:pPr>
      <w:r>
        <w:t xml:space="preserve">Full Text: </w:t>
      </w:r>
      <w:hyperlink r:id="rId717" w:history="1">
        <w:r>
          <w:rPr>
            <w:rStyle w:val="a5"/>
          </w:rPr>
          <w:t>2011\Coc Dat Sys Rev2011, CD009131.pdf</w:t>
        </w:r>
      </w:hyperlink>
    </w:p>
    <w:p w:rsidR="00365DE4" w:rsidRDefault="00365DE4" w:rsidP="00365DE4">
      <w:pPr>
        <w:pStyle w:val="a3"/>
        <w:rPr>
          <w:kern w:val="0"/>
        </w:rPr>
      </w:pPr>
      <w:r>
        <w:rPr>
          <w:kern w:val="0"/>
        </w:rPr>
        <w:t>Abstract: Background Cognitive deficits are a common manifestation in multiple sclerosis (MS)</w:t>
      </w:r>
      <w:r w:rsidR="005853A9">
        <w:rPr>
          <w:kern w:val="0"/>
        </w:rPr>
        <w:t xml:space="preserve"> and </w:t>
      </w:r>
      <w:r>
        <w:rPr>
          <w:kern w:val="0"/>
        </w:rPr>
        <w:t>have a wide effect on the patient</w:t>
      </w:r>
      <w:r w:rsidR="0071223E">
        <w:rPr>
          <w:kern w:val="0"/>
        </w:rPr>
        <w:t>’</w:t>
      </w:r>
      <w:r>
        <w:rPr>
          <w:kern w:val="0"/>
        </w:rPr>
        <w:t>s quality</w:t>
      </w:r>
      <w:r w:rsidR="00427468">
        <w:rPr>
          <w:kern w:val="0"/>
        </w:rPr>
        <w:t xml:space="preserve"> of </w:t>
      </w:r>
      <w:r>
        <w:rPr>
          <w:kern w:val="0"/>
        </w:rPr>
        <w:t>life. Alleviation</w:t>
      </w:r>
      <w:r w:rsidR="00427468">
        <w:rPr>
          <w:kern w:val="0"/>
        </w:rPr>
        <w:t xml:space="preserve"> of </w:t>
      </w:r>
      <w:r>
        <w:rPr>
          <w:kern w:val="0"/>
        </w:rPr>
        <w:t>the harmful effects caused by these deficits should be a major goal</w:t>
      </w:r>
      <w:r w:rsidR="00427468">
        <w:rPr>
          <w:kern w:val="0"/>
        </w:rPr>
        <w:t xml:space="preserve"> of </w:t>
      </w:r>
      <w:r>
        <w:rPr>
          <w:kern w:val="0"/>
        </w:rPr>
        <w:t>MS research</w:t>
      </w:r>
      <w:r w:rsidR="005853A9">
        <w:rPr>
          <w:kern w:val="0"/>
        </w:rPr>
        <w:t xml:space="preserve"> </w:t>
      </w:r>
      <w:r w:rsidR="005853A9">
        <w:rPr>
          <w:kern w:val="0"/>
        </w:rPr>
        <w:lastRenderedPageBreak/>
        <w:t xml:space="preserve">and </w:t>
      </w:r>
      <w:r>
        <w:rPr>
          <w:kern w:val="0"/>
        </w:rPr>
        <w:t>practice. Objectives The aim</w:t>
      </w:r>
      <w:r w:rsidR="00427468">
        <w:rPr>
          <w:kern w:val="0"/>
        </w:rPr>
        <w:t xml:space="preserve"> of </w:t>
      </w:r>
      <w:r>
        <w:rPr>
          <w:kern w:val="0"/>
        </w:rPr>
        <w:t>this review was to evaluate the effects</w:t>
      </w:r>
      <w:r w:rsidR="00427468">
        <w:rPr>
          <w:kern w:val="0"/>
        </w:rPr>
        <w:t xml:space="preserve"> of </w:t>
      </w:r>
      <w:r>
        <w:rPr>
          <w:kern w:val="0"/>
        </w:rPr>
        <w:t xml:space="preserve">neuropsychological/cognitive rehabilitation in MS by conducting a systematic review. Search strategy A systematic literature search was carried out on reports drawn from Cochrane MS Group Specialised Register (To October 2010), Evidence-based medicine (EBM) reviews (To September 2010), </w:t>
      </w:r>
      <w:r w:rsidR="00D5664A">
        <w:rPr>
          <w:kern w:val="0"/>
        </w:rPr>
        <w:t>MEDLINE</w:t>
      </w:r>
      <w:r>
        <w:rPr>
          <w:kern w:val="0"/>
        </w:rPr>
        <w:t xml:space="preserve"> (January 1950 to September 2010), EMBASE (1974 to September 2010), PsycINFO (January 1806 to September 2010), </w:t>
      </w:r>
      <w:r w:rsidR="00D5664A">
        <w:rPr>
          <w:kern w:val="0"/>
        </w:rPr>
        <w:t>Web</w:t>
      </w:r>
      <w:r w:rsidR="00427468">
        <w:rPr>
          <w:kern w:val="0"/>
        </w:rPr>
        <w:t xml:space="preserve"> of </w:t>
      </w:r>
      <w:r w:rsidR="00D5664A">
        <w:rPr>
          <w:kern w:val="0"/>
        </w:rPr>
        <w:t>Science</w:t>
      </w:r>
      <w:r>
        <w:rPr>
          <w:kern w:val="0"/>
        </w:rPr>
        <w:t xml:space="preserve"> (WOS) (January 1986 to September 2010), CINAHL (1982 to September 2010),</w:t>
      </w:r>
      <w:r w:rsidR="005853A9">
        <w:rPr>
          <w:kern w:val="0"/>
        </w:rPr>
        <w:t xml:space="preserve"> and </w:t>
      </w:r>
      <w:r>
        <w:rPr>
          <w:kern w:val="0"/>
        </w:rPr>
        <w:t>identified from the references in these reports. Selection criteria Randomised Controlled Trials (RCTs)</w:t>
      </w:r>
      <w:r w:rsidR="005853A9">
        <w:rPr>
          <w:kern w:val="0"/>
        </w:rPr>
        <w:t xml:space="preserve"> and </w:t>
      </w:r>
      <w:r>
        <w:rPr>
          <w:kern w:val="0"/>
        </w:rPr>
        <w:t>quasi-randomised trials evaluating the effects</w:t>
      </w:r>
      <w:r w:rsidR="00427468">
        <w:rPr>
          <w:kern w:val="0"/>
        </w:rPr>
        <w:t xml:space="preserve"> of </w:t>
      </w:r>
      <w:r>
        <w:rPr>
          <w:kern w:val="0"/>
        </w:rPr>
        <w:t>neuropsychological rehabilitation in MS compared to other interventions or no intervention at all</w:t>
      </w:r>
      <w:r w:rsidR="005853A9">
        <w:rPr>
          <w:kern w:val="0"/>
        </w:rPr>
        <w:t xml:space="preserve"> and </w:t>
      </w:r>
      <w:r>
        <w:rPr>
          <w:kern w:val="0"/>
        </w:rPr>
        <w:t>employing neuropsychological rehabilitation methods</w:t>
      </w:r>
      <w:r w:rsidR="005853A9">
        <w:rPr>
          <w:kern w:val="0"/>
        </w:rPr>
        <w:t xml:space="preserve"> and </w:t>
      </w:r>
      <w:r>
        <w:rPr>
          <w:kern w:val="0"/>
        </w:rPr>
        <w:t>outcome measures were included. Data collection</w:t>
      </w:r>
      <w:r w:rsidR="005853A9">
        <w:rPr>
          <w:kern w:val="0"/>
        </w:rPr>
        <w:t xml:space="preserve"> and </w:t>
      </w:r>
      <w:r>
        <w:rPr>
          <w:kern w:val="0"/>
        </w:rPr>
        <w:t>analysis Two review authors individually judged the relevance, risk</w:t>
      </w:r>
      <w:r w:rsidR="00427468">
        <w:rPr>
          <w:kern w:val="0"/>
        </w:rPr>
        <w:t xml:space="preserve"> of </w:t>
      </w:r>
      <w:r>
        <w:rPr>
          <w:kern w:val="0"/>
        </w:rPr>
        <w:t>bias,</w:t>
      </w:r>
      <w:r w:rsidR="005853A9">
        <w:rPr>
          <w:kern w:val="0"/>
        </w:rPr>
        <w:t xml:space="preserve"> and </w:t>
      </w:r>
      <w:r>
        <w:rPr>
          <w:kern w:val="0"/>
        </w:rPr>
        <w:t>content</w:t>
      </w:r>
      <w:r w:rsidR="00427468">
        <w:rPr>
          <w:kern w:val="0"/>
        </w:rPr>
        <w:t xml:space="preserve"> of </w:t>
      </w:r>
      <w:r>
        <w:rPr>
          <w:kern w:val="0"/>
        </w:rPr>
        <w:t>the included studies. Results were combined quantitatively with meta-analyses according to the intervention type: 1) Cognitive training</w:t>
      </w:r>
      <w:r w:rsidR="005853A9">
        <w:rPr>
          <w:kern w:val="0"/>
        </w:rPr>
        <w:t xml:space="preserve"> and </w:t>
      </w:r>
      <w:r>
        <w:rPr>
          <w:kern w:val="0"/>
        </w:rPr>
        <w:t>2) Cognitive training combined with other neuropsychological rehabilitation methods. In addition, narrative presentation was used in reporting the results</w:t>
      </w:r>
      <w:r w:rsidR="00427468">
        <w:rPr>
          <w:kern w:val="0"/>
        </w:rPr>
        <w:t xml:space="preserve"> of </w:t>
      </w:r>
      <w:r>
        <w:rPr>
          <w:kern w:val="0"/>
        </w:rPr>
        <w:t>those studies which were inappropriate to be included in the meta-analysis. Main results Fourteen studies (770 MS patients) fulfilled the inclusion criteria. On the basis</w:t>
      </w:r>
      <w:r w:rsidR="00427468">
        <w:rPr>
          <w:kern w:val="0"/>
        </w:rPr>
        <w:t xml:space="preserve"> of </w:t>
      </w:r>
      <w:r>
        <w:rPr>
          <w:kern w:val="0"/>
        </w:rPr>
        <w:t>these studies, low level evidence was found that neuropsychological rehabilitation reduces cognitive symptoms in MS. Cognitive training was found to improve memory span (standardised mean difference 0.54 (95% confidence interval 0.2 to 0.88, P = 0.002)), working memory (standardised mean difference 0.33 (95% confidence interval 0.09 to 0.57, P = 0.006)),</w:t>
      </w:r>
      <w:r w:rsidR="005853A9">
        <w:rPr>
          <w:kern w:val="0"/>
        </w:rPr>
        <w:t xml:space="preserve"> and </w:t>
      </w:r>
      <w:r>
        <w:rPr>
          <w:kern w:val="0"/>
        </w:rPr>
        <w:t>immediate visual memory (standardised mean difference 0.32 (95% confidence interval 0.04 to 0.6, P = 0.02))</w:t>
      </w:r>
      <w:r w:rsidR="00A37C1D">
        <w:rPr>
          <w:kern w:val="0"/>
        </w:rPr>
        <w:t>. The</w:t>
      </w:r>
      <w:r>
        <w:rPr>
          <w:kern w:val="0"/>
        </w:rPr>
        <w:t>re was no evidence</w:t>
      </w:r>
      <w:r w:rsidR="00427468">
        <w:rPr>
          <w:kern w:val="0"/>
        </w:rPr>
        <w:t xml:space="preserve"> of </w:t>
      </w:r>
      <w:r>
        <w:rPr>
          <w:kern w:val="0"/>
        </w:rPr>
        <w:t>an effect</w:t>
      </w:r>
      <w:r w:rsidR="00427468">
        <w:rPr>
          <w:kern w:val="0"/>
        </w:rPr>
        <w:t xml:space="preserve"> of </w:t>
      </w:r>
      <w:r>
        <w:rPr>
          <w:kern w:val="0"/>
        </w:rPr>
        <w:t>cognitive training combined with other neuropsychological rehabilitation methods on cognitive or emotional functions</w:t>
      </w:r>
      <w:r w:rsidR="00A37C1D">
        <w:rPr>
          <w:kern w:val="0"/>
        </w:rPr>
        <w:t>. The</w:t>
      </w:r>
      <w:r>
        <w:rPr>
          <w:kern w:val="0"/>
        </w:rPr>
        <w:t xml:space="preserve"> overall quality as well as the comparability</w:t>
      </w:r>
      <w:r w:rsidR="00427468">
        <w:rPr>
          <w:kern w:val="0"/>
        </w:rPr>
        <w:t xml:space="preserve"> of </w:t>
      </w:r>
      <w:r>
        <w:rPr>
          <w:kern w:val="0"/>
        </w:rPr>
        <w:t>the included studies were relatively low due to methodological limitations</w:t>
      </w:r>
      <w:r w:rsidR="005853A9">
        <w:rPr>
          <w:kern w:val="0"/>
        </w:rPr>
        <w:t xml:space="preserve"> and </w:t>
      </w:r>
      <w:r>
        <w:rPr>
          <w:kern w:val="0"/>
        </w:rPr>
        <w:t>heterogeneity</w:t>
      </w:r>
      <w:r w:rsidR="00427468">
        <w:rPr>
          <w:kern w:val="0"/>
        </w:rPr>
        <w:t xml:space="preserve"> of </w:t>
      </w:r>
      <w:r>
        <w:rPr>
          <w:kern w:val="0"/>
        </w:rPr>
        <w:t>outcome measures. Although most</w:t>
      </w:r>
      <w:r w:rsidR="00427468">
        <w:rPr>
          <w:kern w:val="0"/>
        </w:rPr>
        <w:t xml:space="preserve"> of </w:t>
      </w:r>
      <w:r>
        <w:rPr>
          <w:kern w:val="0"/>
        </w:rPr>
        <w:t>the pooled results in the meta-analyses yielded no significant findings, twelve</w:t>
      </w:r>
      <w:r w:rsidR="00427468">
        <w:rPr>
          <w:kern w:val="0"/>
        </w:rPr>
        <w:t xml:space="preserve"> of </w:t>
      </w:r>
      <w:r>
        <w:rPr>
          <w:kern w:val="0"/>
        </w:rPr>
        <w:t>the fourteen studies showed some evidence</w:t>
      </w:r>
      <w:r w:rsidR="00427468">
        <w:rPr>
          <w:kern w:val="0"/>
        </w:rPr>
        <w:t xml:space="preserve"> of </w:t>
      </w:r>
      <w:r>
        <w:rPr>
          <w:kern w:val="0"/>
        </w:rPr>
        <w:t>positive effects when the studies were individually analysed. Authors</w:t>
      </w:r>
      <w:r w:rsidR="0071223E">
        <w:rPr>
          <w:kern w:val="0"/>
        </w:rPr>
        <w:t>’</w:t>
      </w:r>
      <w:r>
        <w:rPr>
          <w:kern w:val="0"/>
        </w:rPr>
        <w:t xml:space="preserve"> conclusions The review indicates low level evidence for the positive effects</w:t>
      </w:r>
      <w:r w:rsidR="00427468">
        <w:rPr>
          <w:kern w:val="0"/>
        </w:rPr>
        <w:t xml:space="preserve"> of </w:t>
      </w:r>
      <w:r>
        <w:rPr>
          <w:kern w:val="0"/>
        </w:rPr>
        <w:t>neuropsychological rehabilitation in MS. Interventions included in the review were heterogeneous. Consequently, clinical inferences can basically be drawn from single studies</w:t>
      </w:r>
      <w:r w:rsidR="00A37C1D">
        <w:rPr>
          <w:kern w:val="0"/>
        </w:rPr>
        <w:t>. The</w:t>
      </w:r>
      <w:r>
        <w:rPr>
          <w:kern w:val="0"/>
        </w:rPr>
        <w:t>refore, new trials may change the strength</w:t>
      </w:r>
      <w:r w:rsidR="005853A9">
        <w:rPr>
          <w:kern w:val="0"/>
        </w:rPr>
        <w:t xml:space="preserve"> and </w:t>
      </w:r>
      <w:r>
        <w:rPr>
          <w:kern w:val="0"/>
        </w:rPr>
        <w:t>direction</w:t>
      </w:r>
      <w:r w:rsidR="00427468">
        <w:rPr>
          <w:kern w:val="0"/>
        </w:rPr>
        <w:t xml:space="preserve"> of </w:t>
      </w:r>
      <w:r>
        <w:rPr>
          <w:kern w:val="0"/>
        </w:rPr>
        <w:t>the evidence. To further strengthen the evidence, well-designed high quality studies are needed. In this systematic review, recommendations are given for improving the quality</w:t>
      </w:r>
      <w:r w:rsidR="00427468">
        <w:rPr>
          <w:kern w:val="0"/>
        </w:rPr>
        <w:t xml:space="preserve"> of </w:t>
      </w:r>
      <w:r>
        <w:rPr>
          <w:kern w:val="0"/>
        </w:rPr>
        <w:t>future studies on the effects</w:t>
      </w:r>
      <w:r w:rsidR="00427468">
        <w:rPr>
          <w:kern w:val="0"/>
        </w:rPr>
        <w:t xml:space="preserve"> of </w:t>
      </w:r>
      <w:r>
        <w:rPr>
          <w:kern w:val="0"/>
        </w:rPr>
        <w:t>neuropsychological rehabilitation in MS.</w:t>
      </w:r>
    </w:p>
    <w:p w:rsidR="00365DE4" w:rsidRDefault="00365DE4" w:rsidP="00365DE4">
      <w:pPr>
        <w:pStyle w:val="a3"/>
        <w:rPr>
          <w:kern w:val="0"/>
        </w:rPr>
      </w:pPr>
      <w:r>
        <w:rPr>
          <w:kern w:val="0"/>
        </w:rPr>
        <w:lastRenderedPageBreak/>
        <w:t xml:space="preserve">Keywords: Analysis, Authors, Bias, Brain Atrophy, Cochrane, Cognitive Rehabilitation, Diagnostic-Criteria, Efficacy, Embase, Evidence-Based Medicine, Follow-Up, Intervention, Interventions, Literature, Low, Medicine, </w:t>
      </w:r>
      <w:r w:rsidR="00D5664A">
        <w:rPr>
          <w:kern w:val="0"/>
        </w:rPr>
        <w:t>MEDLINE</w:t>
      </w:r>
      <w:r>
        <w:rPr>
          <w:kern w:val="0"/>
        </w:rPr>
        <w:t>, Memory, Meta Analysis, Meta-Analysis, Ms Patients, Multiple Sclerosis, Of-Science, Outcome, Patients, People, Practice, Quality, Quality</w:t>
      </w:r>
      <w:r w:rsidR="00427468">
        <w:rPr>
          <w:kern w:val="0"/>
        </w:rPr>
        <w:t xml:space="preserve"> of </w:t>
      </w:r>
      <w:r>
        <w:rPr>
          <w:kern w:val="0"/>
        </w:rPr>
        <w:t xml:space="preserve">Life, Randomized Controlled-Trial, Recommendations, Rehabilitation, Research, Review, Risk, Science, Search Strategy, Selection, Self-Generation, Strategy, Strength, Symptoms, Systematic, Systematic Review, Training, Web, </w:t>
      </w:r>
      <w:r w:rsidR="00D5664A">
        <w:rPr>
          <w:kern w:val="0"/>
        </w:rPr>
        <w:t>Web-of-Science</w:t>
      </w:r>
      <w:r>
        <w:rPr>
          <w:kern w:val="0"/>
        </w:rPr>
        <w:t>, Working-Memory</w:t>
      </w:r>
    </w:p>
    <w:p w:rsidR="00365DE4" w:rsidRDefault="00365DE4" w:rsidP="00365DE4">
      <w:pPr>
        <w:pStyle w:val="a3"/>
        <w:rPr>
          <w:kern w:val="0"/>
        </w:rPr>
      </w:pPr>
      <w:r>
        <w:rPr>
          <w:kern w:val="0"/>
        </w:rPr>
        <w:t>? Young, T.</w:t>
      </w:r>
      <w:r w:rsidR="005853A9">
        <w:rPr>
          <w:kern w:val="0"/>
        </w:rPr>
        <w:t xml:space="preserve"> and </w:t>
      </w:r>
      <w:r>
        <w:rPr>
          <w:kern w:val="0"/>
        </w:rPr>
        <w:t xml:space="preserve">Hopewell, S. (2011), Methods for obtaining unpublished data.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MR000027.</w:t>
      </w:r>
    </w:p>
    <w:p w:rsidR="00365DE4" w:rsidRDefault="00365DE4" w:rsidP="00365DE4">
      <w:pPr>
        <w:pStyle w:val="a3"/>
        <w:rPr>
          <w:kern w:val="2"/>
        </w:rPr>
      </w:pPr>
      <w:r>
        <w:t xml:space="preserve">Full Text: </w:t>
      </w:r>
      <w:hyperlink r:id="rId718" w:history="1">
        <w:r>
          <w:rPr>
            <w:rStyle w:val="a5"/>
          </w:rPr>
          <w:t>2011\Coc Dat Sys Rev2011, MR000027.pdf</w:t>
        </w:r>
      </w:hyperlink>
    </w:p>
    <w:p w:rsidR="00365DE4" w:rsidRDefault="00365DE4" w:rsidP="00365DE4">
      <w:pPr>
        <w:pStyle w:val="a3"/>
        <w:rPr>
          <w:kern w:val="0"/>
        </w:rPr>
      </w:pPr>
      <w:r>
        <w:rPr>
          <w:kern w:val="0"/>
        </w:rPr>
        <w:t>Abstract: Background In order to minimise publication bias, authors</w:t>
      </w:r>
      <w:r w:rsidR="00427468">
        <w:rPr>
          <w:kern w:val="0"/>
        </w:rPr>
        <w:t xml:space="preserve"> of </w:t>
      </w:r>
      <w:r>
        <w:rPr>
          <w:kern w:val="0"/>
        </w:rPr>
        <w:t>systematic reviews often spend considerable time trying to obtain unpublished data</w:t>
      </w:r>
      <w:r w:rsidR="00A37C1D">
        <w:rPr>
          <w:kern w:val="0"/>
        </w:rPr>
        <w:t>. The</w:t>
      </w:r>
      <w:r>
        <w:rPr>
          <w:kern w:val="0"/>
        </w:rPr>
        <w:t>se include data from studies conducted but not published (unpublished data), as either an abstract or full-text paper, as well as missing data (data available to original researchers but not reported) in published abstracts or full-text publications</w:t>
      </w:r>
      <w:r w:rsidR="00A37C1D">
        <w:rPr>
          <w:kern w:val="0"/>
        </w:rPr>
        <w:t>. The</w:t>
      </w:r>
      <w:r>
        <w:rPr>
          <w:kern w:val="0"/>
        </w:rPr>
        <w:t xml:space="preserve"> effectiveness</w:t>
      </w:r>
      <w:r w:rsidR="00427468">
        <w:rPr>
          <w:kern w:val="0"/>
        </w:rPr>
        <w:t xml:space="preserve"> of </w:t>
      </w:r>
      <w:r>
        <w:rPr>
          <w:kern w:val="0"/>
        </w:rPr>
        <w:t>different methods used to obtain unpublished or missing data has not been systematically evaluated. Objectives To assess the effects</w:t>
      </w:r>
      <w:r w:rsidR="00427468">
        <w:rPr>
          <w:kern w:val="0"/>
        </w:rPr>
        <w:t xml:space="preserve"> of </w:t>
      </w:r>
      <w:r>
        <w:rPr>
          <w:kern w:val="0"/>
        </w:rPr>
        <w:t>different methods for obtaining unpublished studies (data)</w:t>
      </w:r>
      <w:r w:rsidR="005853A9">
        <w:rPr>
          <w:kern w:val="0"/>
        </w:rPr>
        <w:t xml:space="preserve"> and </w:t>
      </w:r>
      <w:r>
        <w:rPr>
          <w:kern w:val="0"/>
        </w:rPr>
        <w:t>missing data from studies to be included in systematic reviews. Search strategy We identified primary studies comparing different methods</w:t>
      </w:r>
      <w:r w:rsidR="00427468">
        <w:rPr>
          <w:kern w:val="0"/>
        </w:rPr>
        <w:t xml:space="preserve"> of </w:t>
      </w:r>
      <w:r>
        <w:rPr>
          <w:kern w:val="0"/>
        </w:rPr>
        <w:t xml:space="preserve">obtaining unpublished studies (data) or missing data by searching the Cochrane Methodology Register (Issue 1, 2010), </w:t>
      </w:r>
      <w:r w:rsidR="00D5664A">
        <w:rPr>
          <w:kern w:val="0"/>
        </w:rPr>
        <w:t>MEDLINE</w:t>
      </w:r>
      <w:r w:rsidR="005853A9">
        <w:rPr>
          <w:kern w:val="0"/>
        </w:rPr>
        <w:t xml:space="preserve"> and </w:t>
      </w:r>
      <w:r>
        <w:rPr>
          <w:kern w:val="0"/>
        </w:rPr>
        <w:t>EMBASE (1980 to 28 April 2010). We also checked references in relevant reports</w:t>
      </w:r>
      <w:r w:rsidR="005853A9">
        <w:rPr>
          <w:kern w:val="0"/>
        </w:rPr>
        <w:t xml:space="preserve"> and </w:t>
      </w:r>
      <w:r>
        <w:rPr>
          <w:kern w:val="0"/>
        </w:rPr>
        <w:t>contacted researchers who were known or who were thought likely to have carried out relevant studies. We used the Science Citation Index</w:t>
      </w:r>
      <w:r w:rsidR="005853A9">
        <w:rPr>
          <w:kern w:val="0"/>
        </w:rPr>
        <w:t xml:space="preserve"> and </w:t>
      </w:r>
      <w:r>
        <w:rPr>
          <w:kern w:val="0"/>
        </w:rPr>
        <w:t xml:space="preserve">PubMed </w:t>
      </w:r>
      <w:r w:rsidR="0071223E">
        <w:rPr>
          <w:kern w:val="0"/>
        </w:rPr>
        <w:t>‘</w:t>
      </w:r>
      <w:r>
        <w:rPr>
          <w:kern w:val="0"/>
        </w:rPr>
        <w:t>related articles</w:t>
      </w:r>
      <w:r w:rsidR="0071223E">
        <w:rPr>
          <w:kern w:val="0"/>
        </w:rPr>
        <w:t>’</w:t>
      </w:r>
      <w:r>
        <w:rPr>
          <w:kern w:val="0"/>
        </w:rPr>
        <w:t xml:space="preserve"> feature to identify any additional studies identified by other sources (19 June 2009). Selection criteria Primary studies comparing different methods</w:t>
      </w:r>
      <w:r w:rsidR="00427468">
        <w:rPr>
          <w:kern w:val="0"/>
        </w:rPr>
        <w:t xml:space="preserve"> of </w:t>
      </w:r>
      <w:r>
        <w:rPr>
          <w:kern w:val="0"/>
        </w:rPr>
        <w:t>obtaining unpublished studies (data) or missing data in the healthcare setting. Data collection</w:t>
      </w:r>
      <w:r w:rsidR="005853A9">
        <w:rPr>
          <w:kern w:val="0"/>
        </w:rPr>
        <w:t xml:space="preserve"> and </w:t>
      </w:r>
      <w:r>
        <w:rPr>
          <w:kern w:val="0"/>
        </w:rPr>
        <w:t>analysis The primary outcome measure was the proportion</w:t>
      </w:r>
      <w:r w:rsidR="00427468">
        <w:rPr>
          <w:kern w:val="0"/>
        </w:rPr>
        <w:t xml:space="preserve"> of </w:t>
      </w:r>
      <w:r>
        <w:rPr>
          <w:kern w:val="0"/>
        </w:rPr>
        <w:t>unpublished studies (data) or missing data obtained, as defined</w:t>
      </w:r>
      <w:r w:rsidR="005853A9">
        <w:rPr>
          <w:kern w:val="0"/>
        </w:rPr>
        <w:t xml:space="preserve"> and </w:t>
      </w:r>
      <w:r>
        <w:rPr>
          <w:kern w:val="0"/>
        </w:rPr>
        <w:t>reported by the authors</w:t>
      </w:r>
      <w:r w:rsidR="00427468">
        <w:rPr>
          <w:kern w:val="0"/>
        </w:rPr>
        <w:t xml:space="preserve"> of </w:t>
      </w:r>
      <w:r>
        <w:rPr>
          <w:kern w:val="0"/>
        </w:rPr>
        <w:t>the included studies. Two authors independently assessed the search results, extracted data</w:t>
      </w:r>
      <w:r w:rsidR="005853A9">
        <w:rPr>
          <w:kern w:val="0"/>
        </w:rPr>
        <w:t xml:space="preserve"> and </w:t>
      </w:r>
      <w:r>
        <w:rPr>
          <w:kern w:val="0"/>
        </w:rPr>
        <w:t>assessed risk</w:t>
      </w:r>
      <w:r w:rsidR="00427468">
        <w:rPr>
          <w:kern w:val="0"/>
        </w:rPr>
        <w:t xml:space="preserve"> of </w:t>
      </w:r>
      <w:r>
        <w:rPr>
          <w:kern w:val="0"/>
        </w:rPr>
        <w:t>bias using a standardised data extraction form. We resolved any disagreements by discussion. Main results Six studies met the inclusion criteria; two were randomised studies</w:t>
      </w:r>
      <w:r w:rsidR="005853A9">
        <w:rPr>
          <w:kern w:val="0"/>
        </w:rPr>
        <w:t xml:space="preserve"> and </w:t>
      </w:r>
      <w:r>
        <w:rPr>
          <w:kern w:val="0"/>
        </w:rPr>
        <w:t>four were observational comparative studies evaluating different methods for obtaining missing data. Methods to obtain missing data Five studies, two randomised studies</w:t>
      </w:r>
      <w:r w:rsidR="005853A9">
        <w:rPr>
          <w:kern w:val="0"/>
        </w:rPr>
        <w:t xml:space="preserve"> and </w:t>
      </w:r>
      <w:r>
        <w:rPr>
          <w:kern w:val="0"/>
        </w:rPr>
        <w:t xml:space="preserve">three observational comparative studies, assessed methods for obtaining missing data (i.e. data available to the original researchers but not reported in the published study). Two studies found that correspondence with study authors by e-mail resulted in the greatest response rate </w:t>
      </w:r>
      <w:r>
        <w:rPr>
          <w:kern w:val="0"/>
        </w:rPr>
        <w:lastRenderedPageBreak/>
        <w:t>with the fewest attempts</w:t>
      </w:r>
      <w:r w:rsidR="005853A9">
        <w:rPr>
          <w:kern w:val="0"/>
        </w:rPr>
        <w:t xml:space="preserve"> and </w:t>
      </w:r>
      <w:r>
        <w:rPr>
          <w:kern w:val="0"/>
        </w:rPr>
        <w:t>shortest time to respond</w:t>
      </w:r>
      <w:r w:rsidR="00A37C1D">
        <w:rPr>
          <w:kern w:val="0"/>
        </w:rPr>
        <w:t>. The</w:t>
      </w:r>
      <w:r>
        <w:rPr>
          <w:kern w:val="0"/>
        </w:rPr>
        <w:t xml:space="preserve"> difference between the effect</w:t>
      </w:r>
      <w:r w:rsidR="00427468">
        <w:rPr>
          <w:kern w:val="0"/>
        </w:rPr>
        <w:t xml:space="preserve"> of </w:t>
      </w:r>
      <w:r>
        <w:rPr>
          <w:kern w:val="0"/>
        </w:rPr>
        <w:t>a single request for missing information (by e-mail or surface mail) versus a multistage approach (pre-notification, request for missing information</w:t>
      </w:r>
      <w:r w:rsidR="005853A9">
        <w:rPr>
          <w:kern w:val="0"/>
        </w:rPr>
        <w:t xml:space="preserve"> and </w:t>
      </w:r>
      <w:r>
        <w:rPr>
          <w:kern w:val="0"/>
        </w:rPr>
        <w:t>active follow-up) was not significant for response rate</w:t>
      </w:r>
      <w:r w:rsidR="005853A9">
        <w:rPr>
          <w:kern w:val="0"/>
        </w:rPr>
        <w:t xml:space="preserve"> and </w:t>
      </w:r>
      <w:r>
        <w:rPr>
          <w:kern w:val="0"/>
        </w:rPr>
        <w:t>completeness</w:t>
      </w:r>
      <w:r w:rsidR="00427468">
        <w:rPr>
          <w:kern w:val="0"/>
        </w:rPr>
        <w:t xml:space="preserve"> of </w:t>
      </w:r>
      <w:r>
        <w:rPr>
          <w:kern w:val="0"/>
        </w:rPr>
        <w:t>information retrieved (one study). Requests for clarification</w:t>
      </w:r>
      <w:r w:rsidR="00427468">
        <w:rPr>
          <w:kern w:val="0"/>
        </w:rPr>
        <w:t xml:space="preserve"> of </w:t>
      </w:r>
      <w:r>
        <w:rPr>
          <w:kern w:val="0"/>
        </w:rPr>
        <w:t>methods (one study) resulted in a greater response than requests for missing data. A well-known signatory had no significant effect on the likelihood</w:t>
      </w:r>
      <w:r w:rsidR="00427468">
        <w:rPr>
          <w:kern w:val="0"/>
        </w:rPr>
        <w:t xml:space="preserve"> of </w:t>
      </w:r>
      <w:r>
        <w:rPr>
          <w:kern w:val="0"/>
        </w:rPr>
        <w:t>authors responding to a request for unpublished information (one study). One study assessed the number</w:t>
      </w:r>
      <w:r w:rsidR="00427468">
        <w:rPr>
          <w:kern w:val="0"/>
        </w:rPr>
        <w:t xml:space="preserve"> of </w:t>
      </w:r>
      <w:r>
        <w:rPr>
          <w:kern w:val="0"/>
        </w:rPr>
        <w:t>attempts made to obtain missing data</w:t>
      </w:r>
      <w:r w:rsidR="005853A9">
        <w:rPr>
          <w:kern w:val="0"/>
        </w:rPr>
        <w:t xml:space="preserve"> and </w:t>
      </w:r>
      <w:r>
        <w:rPr>
          <w:kern w:val="0"/>
        </w:rPr>
        <w:t>found that the number</w:t>
      </w:r>
      <w:r w:rsidR="00427468">
        <w:rPr>
          <w:kern w:val="0"/>
        </w:rPr>
        <w:t xml:space="preserve"> of </w:t>
      </w:r>
      <w:r>
        <w:rPr>
          <w:kern w:val="0"/>
        </w:rPr>
        <w:t>items requested did not influence the probability</w:t>
      </w:r>
      <w:r w:rsidR="00427468">
        <w:rPr>
          <w:kern w:val="0"/>
        </w:rPr>
        <w:t xml:space="preserve"> of </w:t>
      </w:r>
      <w:r>
        <w:rPr>
          <w:kern w:val="0"/>
        </w:rPr>
        <w:t>response. In addition, multiple attempts using the same methods did not increase the likelihood</w:t>
      </w:r>
      <w:r w:rsidR="00427468">
        <w:rPr>
          <w:kern w:val="0"/>
        </w:rPr>
        <w:t xml:space="preserve"> of </w:t>
      </w:r>
      <w:r>
        <w:rPr>
          <w:kern w:val="0"/>
        </w:rPr>
        <w:t>response. Methods to obtain unpublished studies One observational comparative study assessed methods to obtain unpublished studies (i.e. data for studies that have never been published). Identifying unpublished studies ahead</w:t>
      </w:r>
      <w:r w:rsidR="00427468">
        <w:rPr>
          <w:kern w:val="0"/>
        </w:rPr>
        <w:t xml:space="preserve"> of </w:t>
      </w:r>
      <w:r>
        <w:rPr>
          <w:kern w:val="0"/>
        </w:rPr>
        <w:t>time</w:t>
      </w:r>
      <w:r w:rsidR="005853A9">
        <w:rPr>
          <w:kern w:val="0"/>
        </w:rPr>
        <w:t xml:space="preserve"> and </w:t>
      </w:r>
      <w:r>
        <w:rPr>
          <w:kern w:val="0"/>
        </w:rPr>
        <w:t>then asking the drug industry to provide further specific detail proved to be more fruitful than sending</w:t>
      </w:r>
      <w:r w:rsidR="00427468">
        <w:rPr>
          <w:kern w:val="0"/>
        </w:rPr>
        <w:t xml:space="preserve"> of </w:t>
      </w:r>
      <w:r>
        <w:rPr>
          <w:kern w:val="0"/>
        </w:rPr>
        <w:t>a non-specific request. Authors</w:t>
      </w:r>
      <w:r w:rsidR="0071223E">
        <w:rPr>
          <w:kern w:val="0"/>
        </w:rPr>
        <w:t>’</w:t>
      </w:r>
      <w:r>
        <w:rPr>
          <w:kern w:val="0"/>
        </w:rPr>
        <w:t xml:space="preserve"> conclusions Those carrying out systematic reviews should continue to contact authors for missing data, recognising that this might not always be successful, particularly for older studies. Contacting authors by e-mail results in the greatest response rate with the fewest number</w:t>
      </w:r>
      <w:r w:rsidR="00427468">
        <w:rPr>
          <w:kern w:val="0"/>
        </w:rPr>
        <w:t xml:space="preserve"> of </w:t>
      </w:r>
      <w:r>
        <w:rPr>
          <w:kern w:val="0"/>
        </w:rPr>
        <w:t>attempts</w:t>
      </w:r>
      <w:r w:rsidR="005853A9">
        <w:rPr>
          <w:kern w:val="0"/>
        </w:rPr>
        <w:t xml:space="preserve"> and </w:t>
      </w:r>
      <w:r>
        <w:rPr>
          <w:kern w:val="0"/>
        </w:rPr>
        <w:t>the shortest time to respond.</w:t>
      </w:r>
    </w:p>
    <w:p w:rsidR="00365DE4" w:rsidRDefault="00365DE4" w:rsidP="00365DE4">
      <w:pPr>
        <w:pStyle w:val="a3"/>
        <w:rPr>
          <w:kern w:val="0"/>
        </w:rPr>
      </w:pPr>
      <w:r>
        <w:rPr>
          <w:kern w:val="0"/>
        </w:rPr>
        <w:t xml:space="preserve">Keywords: Analysis, Authors, Bias, Citation, Cochrane, Comparative Study, Controlled-Trials, Correspondence, Drug, Effectiveness, Email, Embase, Extraction, Follow-Up, Industry, Information, </w:t>
      </w:r>
      <w:r w:rsidR="00D5664A">
        <w:rPr>
          <w:kern w:val="0"/>
        </w:rPr>
        <w:t>MEDLINE</w:t>
      </w:r>
      <w:r>
        <w:rPr>
          <w:kern w:val="0"/>
        </w:rPr>
        <w:t>, Metaanalysis, Methodology, Methods, Observational, Outcome, Primary, Publication, Publication Bias, Publications, Pubmed, Researchers, Retrieval, Risk, Science, Science Citation Index, Search Strategy, Selection, Strategy, Systematic, Systematic Reviews</w:t>
      </w:r>
    </w:p>
    <w:p w:rsidR="00365DE4" w:rsidRDefault="00365DE4" w:rsidP="00365DE4">
      <w:pPr>
        <w:pStyle w:val="a3"/>
        <w:rPr>
          <w:kern w:val="0"/>
        </w:rPr>
      </w:pPr>
      <w:r>
        <w:rPr>
          <w:kern w:val="0"/>
        </w:rPr>
        <w:t>? Walline, J.J., Lindsley, K., Vedula, S.S., Cotter, S.A., Mutti, D.O.</w:t>
      </w:r>
      <w:r w:rsidR="005853A9">
        <w:rPr>
          <w:kern w:val="0"/>
        </w:rPr>
        <w:t xml:space="preserve"> and </w:t>
      </w:r>
      <w:r>
        <w:rPr>
          <w:kern w:val="0"/>
        </w:rPr>
        <w:t>Twelker, J.D. (2011), Interventions to slow progression</w:t>
      </w:r>
      <w:r w:rsidR="00427468">
        <w:rPr>
          <w:kern w:val="0"/>
        </w:rPr>
        <w:t xml:space="preserve"> of </w:t>
      </w:r>
      <w:r>
        <w:rPr>
          <w:kern w:val="0"/>
        </w:rPr>
        <w:t xml:space="preserve">myopia in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CD004916.</w:t>
      </w:r>
    </w:p>
    <w:p w:rsidR="00365DE4" w:rsidRDefault="00365DE4" w:rsidP="00365DE4">
      <w:pPr>
        <w:pStyle w:val="a3"/>
        <w:rPr>
          <w:kern w:val="2"/>
        </w:rPr>
      </w:pPr>
      <w:r>
        <w:t xml:space="preserve">Full Text: </w:t>
      </w:r>
      <w:hyperlink r:id="rId719" w:history="1">
        <w:r>
          <w:rPr>
            <w:rStyle w:val="a5"/>
          </w:rPr>
          <w:t>2011\Coc Dat Sys Rev2011, CD004916.pdf</w:t>
        </w:r>
      </w:hyperlink>
    </w:p>
    <w:p w:rsidR="00365DE4" w:rsidRDefault="00365DE4" w:rsidP="00365DE4">
      <w:pPr>
        <w:pStyle w:val="a3"/>
        <w:rPr>
          <w:kern w:val="0"/>
        </w:rPr>
      </w:pPr>
      <w:r>
        <w:rPr>
          <w:kern w:val="0"/>
        </w:rPr>
        <w:t>Abstract: Background Nearsightedness (myopia) causes blurry vision when looking at distant objects. Highly nearsighted people are at greater risk</w:t>
      </w:r>
      <w:r w:rsidR="00427468">
        <w:rPr>
          <w:kern w:val="0"/>
        </w:rPr>
        <w:t xml:space="preserve"> of </w:t>
      </w:r>
      <w:r>
        <w:rPr>
          <w:kern w:val="0"/>
        </w:rPr>
        <w:t>several vision-threatening problems such as retinal detachments, choroidal atrophy, cataracts</w:t>
      </w:r>
      <w:r w:rsidR="005853A9">
        <w:rPr>
          <w:kern w:val="0"/>
        </w:rPr>
        <w:t xml:space="preserve"> and </w:t>
      </w:r>
      <w:r>
        <w:rPr>
          <w:kern w:val="0"/>
        </w:rPr>
        <w:t>glaucoma. Interventions that have been explored to slow the progression</w:t>
      </w:r>
      <w:r w:rsidR="00427468">
        <w:rPr>
          <w:kern w:val="0"/>
        </w:rPr>
        <w:t xml:space="preserve"> of </w:t>
      </w:r>
      <w:r>
        <w:rPr>
          <w:kern w:val="0"/>
        </w:rPr>
        <w:t>myopia include bifocal spectacles, cycloplegic drops, intraocular pressure-lowering drugs, muscarinic receptor antagonists</w:t>
      </w:r>
      <w:r w:rsidR="005853A9">
        <w:rPr>
          <w:kern w:val="0"/>
        </w:rPr>
        <w:t xml:space="preserve"> and </w:t>
      </w:r>
      <w:r>
        <w:rPr>
          <w:kern w:val="0"/>
        </w:rPr>
        <w:t>contact lenses</w:t>
      </w:r>
      <w:r w:rsidR="00A37C1D">
        <w:rPr>
          <w:kern w:val="0"/>
        </w:rPr>
        <w:t>. The</w:t>
      </w:r>
      <w:r>
        <w:rPr>
          <w:kern w:val="0"/>
        </w:rPr>
        <w:t xml:space="preserve"> purpose</w:t>
      </w:r>
      <w:r w:rsidR="00427468">
        <w:rPr>
          <w:kern w:val="0"/>
        </w:rPr>
        <w:t xml:space="preserve"> of </w:t>
      </w:r>
      <w:r>
        <w:rPr>
          <w:kern w:val="0"/>
        </w:rPr>
        <w:t>this review was to systematically assess the effectiveness</w:t>
      </w:r>
      <w:r w:rsidR="00427468">
        <w:rPr>
          <w:kern w:val="0"/>
        </w:rPr>
        <w:t xml:space="preserve"> of </w:t>
      </w:r>
      <w:r>
        <w:rPr>
          <w:kern w:val="0"/>
        </w:rPr>
        <w:t>strategies to control progression</w:t>
      </w:r>
      <w:r w:rsidR="00427468">
        <w:rPr>
          <w:kern w:val="0"/>
        </w:rPr>
        <w:t xml:space="preserve"> of </w:t>
      </w:r>
      <w:r>
        <w:rPr>
          <w:kern w:val="0"/>
        </w:rPr>
        <w:t>myopia in children. Objectives To assess the effects</w:t>
      </w:r>
      <w:r w:rsidR="00427468">
        <w:rPr>
          <w:kern w:val="0"/>
        </w:rPr>
        <w:t xml:space="preserve"> of </w:t>
      </w:r>
      <w:r>
        <w:rPr>
          <w:kern w:val="0"/>
        </w:rPr>
        <w:t>several types</w:t>
      </w:r>
      <w:r w:rsidR="00427468">
        <w:rPr>
          <w:kern w:val="0"/>
        </w:rPr>
        <w:t xml:space="preserve"> of </w:t>
      </w:r>
      <w:r>
        <w:rPr>
          <w:kern w:val="0"/>
        </w:rPr>
        <w:t>interventions, including eye drops, undercorrection</w:t>
      </w:r>
      <w:r w:rsidR="00427468">
        <w:rPr>
          <w:kern w:val="0"/>
        </w:rPr>
        <w:t xml:space="preserve"> of </w:t>
      </w:r>
      <w:r>
        <w:rPr>
          <w:kern w:val="0"/>
        </w:rPr>
        <w:t>nearsightedness, multifocal spectacles</w:t>
      </w:r>
      <w:r w:rsidR="005853A9">
        <w:rPr>
          <w:kern w:val="0"/>
        </w:rPr>
        <w:t xml:space="preserve"> and </w:t>
      </w:r>
      <w:r>
        <w:rPr>
          <w:kern w:val="0"/>
        </w:rPr>
        <w:t>contact lenses, on the progression</w:t>
      </w:r>
      <w:r w:rsidR="00427468">
        <w:rPr>
          <w:kern w:val="0"/>
        </w:rPr>
        <w:t xml:space="preserve"> of </w:t>
      </w:r>
      <w:r>
        <w:rPr>
          <w:kern w:val="0"/>
        </w:rPr>
        <w:t xml:space="preserve">nearsightedness in myopic children younger </w:t>
      </w:r>
      <w:r>
        <w:rPr>
          <w:kern w:val="0"/>
        </w:rPr>
        <w:lastRenderedPageBreak/>
        <w:t>than 18 years. We compared the interventions</w:t>
      </w:r>
      <w:r w:rsidR="00427468">
        <w:rPr>
          <w:kern w:val="0"/>
        </w:rPr>
        <w:t xml:space="preserve"> of </w:t>
      </w:r>
      <w:r>
        <w:rPr>
          <w:kern w:val="0"/>
        </w:rPr>
        <w:t>interest with each other, to single vision lenses (SVLs) (spectacles), placebo or no treatment. Search methods We searched CENTRAL (which contains the Cochrane Eyes</w:t>
      </w:r>
      <w:r w:rsidR="005853A9">
        <w:rPr>
          <w:kern w:val="0"/>
        </w:rPr>
        <w:t xml:space="preserve"> and </w:t>
      </w:r>
      <w:r>
        <w:rPr>
          <w:kern w:val="0"/>
        </w:rPr>
        <w:t xml:space="preserve">Vision Group Trials Register) (T h e Cochrane Library 2011, Issue 10), </w:t>
      </w:r>
      <w:r w:rsidR="00D5664A">
        <w:rPr>
          <w:kern w:val="0"/>
        </w:rPr>
        <w:t>MEDLINE</w:t>
      </w:r>
      <w:r>
        <w:rPr>
          <w:kern w:val="0"/>
        </w:rPr>
        <w:t xml:space="preserve"> (January 1950 to October 2011), EMBASE (January 1980 to October 2011), Latin American</w:t>
      </w:r>
      <w:r w:rsidR="005853A9">
        <w:rPr>
          <w:kern w:val="0"/>
        </w:rPr>
        <w:t xml:space="preserve"> and </w:t>
      </w:r>
      <w:r>
        <w:rPr>
          <w:kern w:val="0"/>
        </w:rPr>
        <w:t>Caribbean Literature on Health Sciences (LILACS) (January 1982 to October 2011), the metaRegister</w:t>
      </w:r>
      <w:r w:rsidR="00427468">
        <w:rPr>
          <w:kern w:val="0"/>
        </w:rPr>
        <w:t xml:space="preserve"> of </w:t>
      </w:r>
      <w:r>
        <w:rPr>
          <w:kern w:val="0"/>
        </w:rPr>
        <w:t>Controlled Trials (mRCT) (www.controlledtrials.com)</w:t>
      </w:r>
      <w:r w:rsidR="005853A9">
        <w:rPr>
          <w:kern w:val="0"/>
        </w:rPr>
        <w:t xml:space="preserve"> and </w:t>
      </w:r>
      <w:r>
        <w:rPr>
          <w:kern w:val="0"/>
        </w:rPr>
        <w:t>ClinicalTrials.gov (http://clinicaltrials.gov)</w:t>
      </w:r>
      <w:r w:rsidR="00A37C1D">
        <w:rPr>
          <w:kern w:val="0"/>
        </w:rPr>
        <w:t>. The</w:t>
      </w:r>
      <w:r>
        <w:rPr>
          <w:kern w:val="0"/>
        </w:rPr>
        <w:t>re were no date or language restrictions in the electronic searches for trials</w:t>
      </w:r>
      <w:r w:rsidR="00A37C1D">
        <w:rPr>
          <w:kern w:val="0"/>
        </w:rPr>
        <w:t>. The</w:t>
      </w:r>
      <w:r>
        <w:rPr>
          <w:kern w:val="0"/>
        </w:rPr>
        <w:t xml:space="preserve"> electronic databases were last searched on 11 October 2011. We also searched the reference lists</w:t>
      </w:r>
      <w:r w:rsidR="005853A9">
        <w:rPr>
          <w:kern w:val="0"/>
        </w:rPr>
        <w:t xml:space="preserve"> and </w:t>
      </w:r>
      <w:r>
        <w:rPr>
          <w:kern w:val="0"/>
        </w:rPr>
        <w:t>Science Citation Index for additional, potentially relevant studies. Selection criteria We included randomized controlled trials (RCTs) in which participants were treated with spectacles, contact lenses or pharmaceutical agents for the purpose</w:t>
      </w:r>
      <w:r w:rsidR="00427468">
        <w:rPr>
          <w:kern w:val="0"/>
        </w:rPr>
        <w:t xml:space="preserve"> of </w:t>
      </w:r>
      <w:r>
        <w:rPr>
          <w:kern w:val="0"/>
        </w:rPr>
        <w:t>controlling progression</w:t>
      </w:r>
      <w:r w:rsidR="00427468">
        <w:rPr>
          <w:kern w:val="0"/>
        </w:rPr>
        <w:t xml:space="preserve"> of </w:t>
      </w:r>
      <w:r>
        <w:rPr>
          <w:kern w:val="0"/>
        </w:rPr>
        <w:t>myopia. We excluded trials where participants were older than 18 years at baseline or participants had less than -0.25 diopters (D) spherical equivalent myopia. Data collection</w:t>
      </w:r>
      <w:r w:rsidR="005853A9">
        <w:rPr>
          <w:kern w:val="0"/>
        </w:rPr>
        <w:t xml:space="preserve"> and </w:t>
      </w:r>
      <w:r>
        <w:rPr>
          <w:kern w:val="0"/>
        </w:rPr>
        <w:t>analysis Two review authors independently extracted data</w:t>
      </w:r>
      <w:r w:rsidR="005853A9">
        <w:rPr>
          <w:kern w:val="0"/>
        </w:rPr>
        <w:t xml:space="preserve"> and </w:t>
      </w:r>
      <w:r>
        <w:rPr>
          <w:kern w:val="0"/>
        </w:rPr>
        <w:t>assessed the risk</w:t>
      </w:r>
      <w:r w:rsidR="00427468">
        <w:rPr>
          <w:kern w:val="0"/>
        </w:rPr>
        <w:t xml:space="preserve"> of </w:t>
      </w:r>
      <w:r>
        <w:rPr>
          <w:kern w:val="0"/>
        </w:rPr>
        <w:t>bias for each included study. When possible, we analyzed data with the inverse variance method using a fixed-effect or random-effects model, depending on the number</w:t>
      </w:r>
      <w:r w:rsidR="00427468">
        <w:rPr>
          <w:kern w:val="0"/>
        </w:rPr>
        <w:t xml:space="preserve"> of </w:t>
      </w:r>
      <w:r>
        <w:rPr>
          <w:kern w:val="0"/>
        </w:rPr>
        <w:t>studies</w:t>
      </w:r>
      <w:r w:rsidR="005853A9">
        <w:rPr>
          <w:kern w:val="0"/>
        </w:rPr>
        <w:t xml:space="preserve"> and </w:t>
      </w:r>
      <w:r>
        <w:rPr>
          <w:kern w:val="0"/>
        </w:rPr>
        <w:t>amount</w:t>
      </w:r>
      <w:r w:rsidR="00427468">
        <w:rPr>
          <w:kern w:val="0"/>
        </w:rPr>
        <w:t xml:space="preserve"> of </w:t>
      </w:r>
      <w:r>
        <w:rPr>
          <w:kern w:val="0"/>
        </w:rPr>
        <w:t>heterogeneity detected. Main results We included 23 studies (4696 total participants) in this review, with 17</w:t>
      </w:r>
      <w:r w:rsidR="00427468">
        <w:rPr>
          <w:kern w:val="0"/>
        </w:rPr>
        <w:t xml:space="preserve"> of </w:t>
      </w:r>
      <w:r>
        <w:rPr>
          <w:kern w:val="0"/>
        </w:rPr>
        <w:t>these studies included in quantitative analysis. Since we only included RCTs in the review, the studies were generally at low risk</w:t>
      </w:r>
      <w:r w:rsidR="00427468">
        <w:rPr>
          <w:kern w:val="0"/>
        </w:rPr>
        <w:t xml:space="preserve"> of </w:t>
      </w:r>
      <w:r>
        <w:rPr>
          <w:kern w:val="0"/>
        </w:rPr>
        <w:t>bias for selection bias. Undercorrection</w:t>
      </w:r>
      <w:r w:rsidR="00427468">
        <w:rPr>
          <w:kern w:val="0"/>
        </w:rPr>
        <w:t xml:space="preserve"> of </w:t>
      </w:r>
      <w:r>
        <w:rPr>
          <w:kern w:val="0"/>
        </w:rPr>
        <w:t>myopia was found to increase myopia progression slightly in two studies; children who were undercorrected progressed on average 0.15 D (95% confidence interval (CI) -0.29 to 0.00) more than the fully corrected SVLs wearers at one year. Rigid gas permeable contact lenses (RGPCLs) were found to have no evidence</w:t>
      </w:r>
      <w:r w:rsidR="00427468">
        <w:rPr>
          <w:kern w:val="0"/>
        </w:rPr>
        <w:t xml:space="preserve"> of </w:t>
      </w:r>
      <w:r>
        <w:rPr>
          <w:kern w:val="0"/>
        </w:rPr>
        <w:t>effect on myopic eye growth in two studies (nometa-analysis due to heterogeneity between studies). Progressive addition lenses (PALs), reported in four studies,</w:t>
      </w:r>
      <w:r w:rsidR="005853A9">
        <w:rPr>
          <w:kern w:val="0"/>
        </w:rPr>
        <w:t xml:space="preserve"> and </w:t>
      </w:r>
      <w:r>
        <w:rPr>
          <w:kern w:val="0"/>
        </w:rPr>
        <w:t>bifocal spectacles, reported in four studies, were found to yield a small slowing</w:t>
      </w:r>
      <w:r w:rsidR="00427468">
        <w:rPr>
          <w:kern w:val="0"/>
        </w:rPr>
        <w:t xml:space="preserve"> of </w:t>
      </w:r>
      <w:r>
        <w:rPr>
          <w:kern w:val="0"/>
        </w:rPr>
        <w:t>myopia progression. For seven studies with quantitative data at one year, children wearing multifocal lenses, either PALs or bifocals, progressed on average 0.16 D (95% CI 0.07 to 0.25) less than children wearing SVLs</w:t>
      </w:r>
      <w:r w:rsidR="00A37C1D">
        <w:rPr>
          <w:kern w:val="0"/>
        </w:rPr>
        <w:t>. The</w:t>
      </w:r>
      <w:r>
        <w:rPr>
          <w:kern w:val="0"/>
        </w:rPr>
        <w:t xml:space="preserve"> largest positive effects for slowing myopia progression were exhibited by anti-muscarinic medications. At one year, children receiving pirenzepine gel (two studies), cyclopentolate eye drops (one study), or atropine eye drops (two studies) showed significantly less myopic progression compared with children receiving placebo (mean differences (MD) 0.31 (95% CI 0.17 to 0.44), 0.34 (95% CI 0.08 to 0.60),</w:t>
      </w:r>
      <w:r w:rsidR="005853A9">
        <w:rPr>
          <w:kern w:val="0"/>
        </w:rPr>
        <w:t xml:space="preserve"> and </w:t>
      </w:r>
      <w:r>
        <w:rPr>
          <w:kern w:val="0"/>
        </w:rPr>
        <w:t>0.80 (95% CI 0.70 to 0.90), respectively). Authors</w:t>
      </w:r>
      <w:r w:rsidR="0071223E">
        <w:rPr>
          <w:kern w:val="0"/>
        </w:rPr>
        <w:t>’</w:t>
      </w:r>
      <w:r>
        <w:rPr>
          <w:kern w:val="0"/>
        </w:rPr>
        <w:t xml:space="preserve"> conclusions The most likely effective treatment to slow myopia progression thus far is anti-muscarinic topical </w:t>
      </w:r>
      <w:r>
        <w:rPr>
          <w:kern w:val="0"/>
        </w:rPr>
        <w:lastRenderedPageBreak/>
        <w:t>medication. However, side effects</w:t>
      </w:r>
      <w:r w:rsidR="00427468">
        <w:rPr>
          <w:kern w:val="0"/>
        </w:rPr>
        <w:t xml:space="preserve"> of </w:t>
      </w:r>
      <w:r>
        <w:rPr>
          <w:kern w:val="0"/>
        </w:rPr>
        <w:t>these medications include light sensitivity</w:t>
      </w:r>
      <w:r w:rsidR="005853A9">
        <w:rPr>
          <w:kern w:val="0"/>
        </w:rPr>
        <w:t xml:space="preserve"> and </w:t>
      </w:r>
      <w:r>
        <w:rPr>
          <w:kern w:val="0"/>
        </w:rPr>
        <w:t>near blur. Also, they are not yet commercially available, so their use is limited</w:t>
      </w:r>
      <w:r w:rsidR="005853A9">
        <w:rPr>
          <w:kern w:val="0"/>
        </w:rPr>
        <w:t xml:space="preserve"> and </w:t>
      </w:r>
      <w:r>
        <w:rPr>
          <w:kern w:val="0"/>
        </w:rPr>
        <w:t>not practical. Further information is required for other methods</w:t>
      </w:r>
      <w:r w:rsidR="00427468">
        <w:rPr>
          <w:kern w:val="0"/>
        </w:rPr>
        <w:t xml:space="preserve"> of </w:t>
      </w:r>
      <w:r>
        <w:rPr>
          <w:kern w:val="0"/>
        </w:rPr>
        <w:t>myopia control, such as the use</w:t>
      </w:r>
      <w:r w:rsidR="00427468">
        <w:rPr>
          <w:kern w:val="0"/>
        </w:rPr>
        <w:t xml:space="preserve"> of </w:t>
      </w:r>
      <w:r>
        <w:rPr>
          <w:kern w:val="0"/>
        </w:rPr>
        <w:t>corneal reshaping contact lenses or bifocal soft contact lenses (BSCLs) with a distance center are promising, but currently no published randomized clinical trials exist.</w:t>
      </w:r>
    </w:p>
    <w:p w:rsidR="00365DE4" w:rsidRDefault="00365DE4" w:rsidP="00365DE4">
      <w:pPr>
        <w:pStyle w:val="a3"/>
        <w:rPr>
          <w:kern w:val="0"/>
        </w:rPr>
      </w:pPr>
      <w:r>
        <w:rPr>
          <w:kern w:val="0"/>
        </w:rPr>
        <w:t xml:space="preserve">Keywords: Addition Lenses, Analysis, Atrophy, Authors, Base-Line Characteristics, Bias, Children, Citation, Clinical, Clinical Trials, Collection, Confidence, Control, Criteria, Data, Data Collection, Databases, Drugs, Effectiveness, Effects, Evaluation Trial Comet, Evidence, Extended-Wear, Gel, Growth, Heterogeneity, Information, Interval, Interventions, Literature, Low, Low Risk, </w:t>
      </w:r>
      <w:r w:rsidR="00D5664A">
        <w:rPr>
          <w:kern w:val="0"/>
        </w:rPr>
        <w:t>MEDLINE</w:t>
      </w:r>
      <w:r>
        <w:rPr>
          <w:kern w:val="0"/>
        </w:rPr>
        <w:t>, Methods, Model, Monozygotic Cotwin Control, Pharmaceutical Agents, Pirenzepine Ophthalmic Gel, Placebo, Purpose, Quantitative Analysis, Random Effects Model, Randomized, Randomized Clinical Trials, Randomized Clinical-Trial, Randomized Controlled Trials, Reference, Reference Lists, Restrictions, Review, Risk, School-Aged Children, Science, Science Citation Index, Search, Sensitivity, Side Effects, Single Vision Lenses, Small, Soft Contact-Lenses, Topical, Treatment</w:t>
      </w:r>
    </w:p>
    <w:p w:rsidR="00365DE4" w:rsidRDefault="00365DE4" w:rsidP="00365DE4">
      <w:pPr>
        <w:pStyle w:val="a3"/>
        <w:rPr>
          <w:kern w:val="0"/>
        </w:rPr>
      </w:pPr>
      <w:r>
        <w:rPr>
          <w:kern w:val="0"/>
        </w:rPr>
        <w:t>? Abbas, Z., Khan, M.A., Salih, M.</w:t>
      </w:r>
      <w:r w:rsidR="005853A9">
        <w:rPr>
          <w:kern w:val="0"/>
        </w:rPr>
        <w:t xml:space="preserve"> and </w:t>
      </w:r>
      <w:r>
        <w:rPr>
          <w:kern w:val="0"/>
        </w:rPr>
        <w:t xml:space="preserve">Jafri, W. (2011), Interferon alpha for chronic hepatitis D.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CD006002.</w:t>
      </w:r>
    </w:p>
    <w:p w:rsidR="00365DE4" w:rsidRDefault="00365DE4" w:rsidP="00365DE4">
      <w:pPr>
        <w:pStyle w:val="a3"/>
        <w:rPr>
          <w:kern w:val="2"/>
        </w:rPr>
      </w:pPr>
      <w:r>
        <w:t xml:space="preserve">Full Text: </w:t>
      </w:r>
      <w:hyperlink r:id="rId720" w:history="1">
        <w:r>
          <w:rPr>
            <w:rStyle w:val="a5"/>
          </w:rPr>
          <w:t>2011\Coc Dat Sys Rev2011, CD006002.pdf</w:t>
        </w:r>
      </w:hyperlink>
    </w:p>
    <w:p w:rsidR="00365DE4" w:rsidRDefault="00365DE4" w:rsidP="00365DE4">
      <w:pPr>
        <w:pStyle w:val="a3"/>
        <w:rPr>
          <w:kern w:val="0"/>
        </w:rPr>
      </w:pPr>
      <w:r>
        <w:rPr>
          <w:kern w:val="0"/>
        </w:rPr>
        <w:t>Abstract: Background Hepatitis D virus is a small defective RNA virus that requires the presence</w:t>
      </w:r>
      <w:r w:rsidR="00427468">
        <w:rPr>
          <w:kern w:val="0"/>
        </w:rPr>
        <w:t xml:space="preserve"> of </w:t>
      </w:r>
      <w:r>
        <w:rPr>
          <w:kern w:val="0"/>
        </w:rPr>
        <w:t>hepatitis B virus infection to infect a person. Hepatitis D is a difficult-to-treat infection. Several clinical trials have been published on the efficacy</w:t>
      </w:r>
      <w:r w:rsidR="00427468">
        <w:rPr>
          <w:kern w:val="0"/>
        </w:rPr>
        <w:t xml:space="preserve"> of </w:t>
      </w:r>
      <w:r>
        <w:rPr>
          <w:kern w:val="0"/>
        </w:rPr>
        <w:t>interferon alpha for hepatitis D virus (HDV) infection. However, there are few randomised trials evaluating the effects</w:t>
      </w:r>
      <w:r w:rsidR="00427468">
        <w:rPr>
          <w:kern w:val="0"/>
        </w:rPr>
        <w:t xml:space="preserve"> of </w:t>
      </w:r>
      <w:r>
        <w:rPr>
          <w:kern w:val="0"/>
        </w:rPr>
        <w:t>interferon alpha,</w:t>
      </w:r>
      <w:r w:rsidR="005853A9">
        <w:rPr>
          <w:kern w:val="0"/>
        </w:rPr>
        <w:t xml:space="preserve"> and </w:t>
      </w:r>
      <w:r>
        <w:rPr>
          <w:kern w:val="0"/>
        </w:rPr>
        <w:t>it is difficult to judge any benefit</w:t>
      </w:r>
      <w:r w:rsidR="00427468">
        <w:rPr>
          <w:kern w:val="0"/>
        </w:rPr>
        <w:t xml:space="preserve"> of </w:t>
      </w:r>
      <w:r>
        <w:rPr>
          <w:kern w:val="0"/>
        </w:rPr>
        <w:t>this intervention from the individual trials. Objectives To evaluate the beneficial</w:t>
      </w:r>
      <w:r w:rsidR="005853A9">
        <w:rPr>
          <w:kern w:val="0"/>
        </w:rPr>
        <w:t xml:space="preserve"> and </w:t>
      </w:r>
      <w:r>
        <w:rPr>
          <w:kern w:val="0"/>
        </w:rPr>
        <w:t>harmful effects</w:t>
      </w:r>
      <w:r w:rsidR="00427468">
        <w:rPr>
          <w:kern w:val="0"/>
        </w:rPr>
        <w:t xml:space="preserve"> of </w:t>
      </w:r>
      <w:r>
        <w:rPr>
          <w:kern w:val="0"/>
        </w:rPr>
        <w:t>interferon alpha for patients with chronic hepatitis D. Search methods We identified relevant for the review randomised clinical trials by electronic searches in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May 2011. We also checked the bibliographic references</w:t>
      </w:r>
      <w:r w:rsidR="00427468">
        <w:rPr>
          <w:kern w:val="0"/>
        </w:rPr>
        <w:t xml:space="preserve"> of </w:t>
      </w:r>
      <w:r>
        <w:rPr>
          <w:kern w:val="0"/>
        </w:rPr>
        <w:t>identified randomised trials, textbooks,</w:t>
      </w:r>
      <w:r w:rsidR="005853A9">
        <w:rPr>
          <w:kern w:val="0"/>
        </w:rPr>
        <w:t xml:space="preserve"> and </w:t>
      </w:r>
      <w:r>
        <w:rPr>
          <w:kern w:val="0"/>
        </w:rPr>
        <w:t>review articles in order to find randomised trials not identified by the electronic searches. Selection criteria Randomised clinical trials evaluating interferon alpha versus placebo or no intervention for patients with chronic hepatitis D infection. Data collection</w:t>
      </w:r>
      <w:r w:rsidR="005853A9">
        <w:rPr>
          <w:kern w:val="0"/>
        </w:rPr>
        <w:t xml:space="preserve"> and </w:t>
      </w:r>
      <w:r>
        <w:rPr>
          <w:kern w:val="0"/>
        </w:rPr>
        <w:t>analysis Two authors assessed the trials</w:t>
      </w:r>
      <w:r w:rsidR="005853A9">
        <w:rPr>
          <w:kern w:val="0"/>
        </w:rPr>
        <w:t xml:space="preserve"> and </w:t>
      </w:r>
      <w:r>
        <w:rPr>
          <w:kern w:val="0"/>
        </w:rPr>
        <w:t>extracted data on mortality, virologic, biochemical,</w:t>
      </w:r>
      <w:r w:rsidR="005853A9">
        <w:rPr>
          <w:kern w:val="0"/>
        </w:rPr>
        <w:t xml:space="preserve"> and </w:t>
      </w:r>
      <w:r>
        <w:rPr>
          <w:kern w:val="0"/>
        </w:rPr>
        <w:t>histological response as well as adverse events at end</w:t>
      </w:r>
      <w:r w:rsidR="00427468">
        <w:rPr>
          <w:kern w:val="0"/>
        </w:rPr>
        <w:t xml:space="preserve"> of </w:t>
      </w:r>
      <w:r>
        <w:rPr>
          <w:kern w:val="0"/>
        </w:rPr>
        <w:t>treatment</w:t>
      </w:r>
      <w:r w:rsidR="005853A9">
        <w:rPr>
          <w:kern w:val="0"/>
        </w:rPr>
        <w:t xml:space="preserve"> and </w:t>
      </w:r>
      <w:r>
        <w:rPr>
          <w:kern w:val="0"/>
        </w:rPr>
        <w:t>six months or more after completing treatment</w:t>
      </w:r>
      <w:r w:rsidR="00A37C1D">
        <w:rPr>
          <w:kern w:val="0"/>
        </w:rPr>
        <w:t>. The</w:t>
      </w:r>
      <w:r>
        <w:rPr>
          <w:kern w:val="0"/>
        </w:rPr>
        <w:t xml:space="preserve"> analyses </w:t>
      </w:r>
      <w:r>
        <w:rPr>
          <w:kern w:val="0"/>
        </w:rPr>
        <w:lastRenderedPageBreak/>
        <w:t>were performed using the intention-to-treat principle including all randomised participants irrespective</w:t>
      </w:r>
      <w:r w:rsidR="00427468">
        <w:rPr>
          <w:kern w:val="0"/>
        </w:rPr>
        <w:t xml:space="preserve"> of </w:t>
      </w:r>
      <w:r>
        <w:rPr>
          <w:kern w:val="0"/>
        </w:rPr>
        <w:t>follow-up. Drop-outs, withdrawals,</w:t>
      </w:r>
      <w:r w:rsidR="005853A9">
        <w:rPr>
          <w:kern w:val="0"/>
        </w:rPr>
        <w:t xml:space="preserve"> and </w:t>
      </w:r>
      <w:r>
        <w:rPr>
          <w:kern w:val="0"/>
        </w:rPr>
        <w:t>non-compliance were considered as treatment failures. Data were analysed with fixed-</w:t>
      </w:r>
      <w:r w:rsidR="005853A9">
        <w:rPr>
          <w:kern w:val="0"/>
        </w:rPr>
        <w:t xml:space="preserve"> and </w:t>
      </w:r>
      <w:r>
        <w:rPr>
          <w:kern w:val="0"/>
        </w:rPr>
        <w:t>random-effects models. Reported results were based on fixed-effect model except in cases where statistical significance varied between the two models. Main results Six randomised trials fulfilled the inclusion criteria. Two hundred</w:t>
      </w:r>
      <w:r w:rsidR="005853A9">
        <w:rPr>
          <w:kern w:val="0"/>
        </w:rPr>
        <w:t xml:space="preserve"> and </w:t>
      </w:r>
      <w:r>
        <w:rPr>
          <w:kern w:val="0"/>
        </w:rPr>
        <w:t>one randomised participants (male = 174) were included</w:t>
      </w:r>
      <w:r w:rsidR="00A37C1D">
        <w:rPr>
          <w:kern w:val="0"/>
        </w:rPr>
        <w:t>. The</w:t>
      </w:r>
      <w:r>
        <w:rPr>
          <w:kern w:val="0"/>
        </w:rPr>
        <w:t xml:space="preserve"> risk</w:t>
      </w:r>
      <w:r w:rsidR="00427468">
        <w:rPr>
          <w:kern w:val="0"/>
        </w:rPr>
        <w:t xml:space="preserve"> of </w:t>
      </w:r>
      <w:r>
        <w:rPr>
          <w:kern w:val="0"/>
        </w:rPr>
        <w:t>bias in all the included trials was high. Five trials compared interferon alpha with no treatment in the control group. One</w:t>
      </w:r>
      <w:r w:rsidR="00427468">
        <w:rPr>
          <w:kern w:val="0"/>
        </w:rPr>
        <w:t xml:space="preserve"> of </w:t>
      </w:r>
      <w:r>
        <w:rPr>
          <w:kern w:val="0"/>
        </w:rPr>
        <w:t>these trials had two treatment arms with a higher dose</w:t>
      </w:r>
      <w:r w:rsidR="005853A9">
        <w:rPr>
          <w:kern w:val="0"/>
        </w:rPr>
        <w:t xml:space="preserve"> and </w:t>
      </w:r>
      <w:r>
        <w:rPr>
          <w:kern w:val="0"/>
        </w:rPr>
        <w:t>lower dose</w:t>
      </w:r>
      <w:r w:rsidR="00427468">
        <w:rPr>
          <w:kern w:val="0"/>
        </w:rPr>
        <w:t xml:space="preserve"> of </w:t>
      </w:r>
      <w:r>
        <w:rPr>
          <w:kern w:val="0"/>
        </w:rPr>
        <w:t>interferon alpha</w:t>
      </w:r>
      <w:r w:rsidR="005853A9">
        <w:rPr>
          <w:kern w:val="0"/>
        </w:rPr>
        <w:t xml:space="preserve"> and </w:t>
      </w:r>
      <w:r>
        <w:rPr>
          <w:kern w:val="0"/>
        </w:rPr>
        <w:t>a no-treatment control group. We analysed both treatment regimens as a single group in a primary analysis</w:t>
      </w:r>
      <w:r w:rsidR="005853A9">
        <w:rPr>
          <w:kern w:val="0"/>
        </w:rPr>
        <w:t xml:space="preserve"> and </w:t>
      </w:r>
      <w:r>
        <w:rPr>
          <w:kern w:val="0"/>
        </w:rPr>
        <w:t>as separate groups in the subgroup analysis</w:t>
      </w:r>
      <w:r w:rsidR="00427468">
        <w:rPr>
          <w:kern w:val="0"/>
        </w:rPr>
        <w:t xml:space="preserve"> of </w:t>
      </w:r>
      <w:r>
        <w:rPr>
          <w:kern w:val="0"/>
        </w:rPr>
        <w:t>different interferon dosages</w:t>
      </w:r>
      <w:r w:rsidR="00A37C1D">
        <w:rPr>
          <w:kern w:val="0"/>
        </w:rPr>
        <w:t>. The</w:t>
      </w:r>
      <w:r>
        <w:rPr>
          <w:kern w:val="0"/>
        </w:rPr>
        <w:t xml:space="preserve"> sixth trial compared only a higher dose</w:t>
      </w:r>
      <w:r w:rsidR="00427468">
        <w:rPr>
          <w:kern w:val="0"/>
        </w:rPr>
        <w:t xml:space="preserve"> of </w:t>
      </w:r>
      <w:r>
        <w:rPr>
          <w:kern w:val="0"/>
        </w:rPr>
        <w:t>interferon alpha with a lower dose. Meta-analysis</w:t>
      </w:r>
      <w:r w:rsidR="00427468">
        <w:rPr>
          <w:kern w:val="0"/>
        </w:rPr>
        <w:t xml:space="preserve"> of </w:t>
      </w:r>
      <w:r>
        <w:rPr>
          <w:kern w:val="0"/>
        </w:rPr>
        <w:t>five trials comparing interferon alpha with no-treatment control group included 169 participants</w:t>
      </w:r>
      <w:r w:rsidR="00A37C1D">
        <w:rPr>
          <w:kern w:val="0"/>
        </w:rPr>
        <w:t>. The</w:t>
      </w:r>
      <w:r>
        <w:rPr>
          <w:kern w:val="0"/>
        </w:rPr>
        <w:t>re were seven drop-outs in the treatment group</w:t>
      </w:r>
      <w:r w:rsidR="005853A9">
        <w:rPr>
          <w:kern w:val="0"/>
        </w:rPr>
        <w:t xml:space="preserve"> and </w:t>
      </w:r>
      <w:r>
        <w:rPr>
          <w:kern w:val="0"/>
        </w:rPr>
        <w:t>nine in the control group. One patient out</w:t>
      </w:r>
      <w:r w:rsidR="00427468">
        <w:rPr>
          <w:kern w:val="0"/>
        </w:rPr>
        <w:t xml:space="preserve"> of </w:t>
      </w:r>
      <w:r>
        <w:rPr>
          <w:kern w:val="0"/>
        </w:rPr>
        <w:t>92 (1.1%) died in the interferon alpha group compared with zero out</w:t>
      </w:r>
      <w:r w:rsidR="00427468">
        <w:rPr>
          <w:kern w:val="0"/>
        </w:rPr>
        <w:t xml:space="preserve"> of </w:t>
      </w:r>
      <w:r>
        <w:rPr>
          <w:kern w:val="0"/>
        </w:rPr>
        <w:t>77 (0.0%) in the no-intervention control group (risk ratio (RR)) 3.00; 95% confidence interval (CI) 0.14 to 66.5). Interferon alpha led to failure</w:t>
      </w:r>
      <w:r w:rsidR="00427468">
        <w:rPr>
          <w:kern w:val="0"/>
        </w:rPr>
        <w:t xml:space="preserve"> of </w:t>
      </w:r>
      <w:r>
        <w:rPr>
          <w:kern w:val="0"/>
        </w:rPr>
        <w:t>end</w:t>
      </w:r>
      <w:r w:rsidR="00427468">
        <w:rPr>
          <w:kern w:val="0"/>
        </w:rPr>
        <w:t xml:space="preserve"> of </w:t>
      </w:r>
      <w:r>
        <w:rPr>
          <w:kern w:val="0"/>
        </w:rPr>
        <w:t>treatment virological response in 62/92 (67.4%)</w:t>
      </w:r>
      <w:r w:rsidR="00427468">
        <w:rPr>
          <w:kern w:val="0"/>
        </w:rPr>
        <w:t xml:space="preserve"> of </w:t>
      </w:r>
      <w:r>
        <w:rPr>
          <w:kern w:val="0"/>
        </w:rPr>
        <w:t>the patients compared with 71/77 (92.2%) in the untreated controls (RR 0.76, 95% CI 0.66 to 0.87, P = 0.0001 by fixed-effect model</w:t>
      </w:r>
      <w:r w:rsidR="005853A9">
        <w:rPr>
          <w:kern w:val="0"/>
        </w:rPr>
        <w:t xml:space="preserve"> and </w:t>
      </w:r>
      <w:r>
        <w:rPr>
          <w:kern w:val="0"/>
        </w:rPr>
        <w:t>RR 0.71, 95% CI 0.43 to 1.16, P = 0.17 by random-effects model). Failure</w:t>
      </w:r>
      <w:r w:rsidR="00427468">
        <w:rPr>
          <w:kern w:val="0"/>
        </w:rPr>
        <w:t xml:space="preserve"> of </w:t>
      </w:r>
      <w:r>
        <w:rPr>
          <w:kern w:val="0"/>
        </w:rPr>
        <w:t>normalisation</w:t>
      </w:r>
      <w:r w:rsidR="00427468">
        <w:rPr>
          <w:kern w:val="0"/>
        </w:rPr>
        <w:t xml:space="preserve"> of </w:t>
      </w:r>
      <w:r>
        <w:rPr>
          <w:kern w:val="0"/>
        </w:rPr>
        <w:t>alanine aminotransferase (ALT) at the end</w:t>
      </w:r>
      <w:r w:rsidR="00427468">
        <w:rPr>
          <w:kern w:val="0"/>
        </w:rPr>
        <w:t xml:space="preserve"> of </w:t>
      </w:r>
      <w:r>
        <w:rPr>
          <w:kern w:val="0"/>
        </w:rPr>
        <w:t>treatment was seen in 60/92 (65.2%) patients treated with interferon alpha versus 76/77 (98.7%) in the control group (RR 0.69, 95% CI 0.59 to 0.80, P &lt; 0.00001). Sustained virological response was not achieved in 76/92 (82.6%)</w:t>
      </w:r>
      <w:r w:rsidR="00427468">
        <w:rPr>
          <w:kern w:val="0"/>
        </w:rPr>
        <w:t xml:space="preserve"> of </w:t>
      </w:r>
      <w:r>
        <w:rPr>
          <w:kern w:val="0"/>
        </w:rPr>
        <w:t>patients on interferon compared with 73/77 (94.8%)</w:t>
      </w:r>
      <w:r w:rsidR="00427468">
        <w:rPr>
          <w:kern w:val="0"/>
        </w:rPr>
        <w:t xml:space="preserve"> of </w:t>
      </w:r>
      <w:r>
        <w:rPr>
          <w:kern w:val="0"/>
        </w:rPr>
        <w:t>controls (RR 0.89, 95% CI 0.80 to 0.98, P = 0.02). Serum alanine aminotransferase was abnormal in 81/92 (88.0%) treated with interferon alpha patients at six months post-treatment follow-up compared with 76/77 (98.7%) in controls (RR 0.92, 95% CI 0.84 to 0.99, P = 0.04)</w:t>
      </w:r>
      <w:r w:rsidR="00A37C1D">
        <w:rPr>
          <w:kern w:val="0"/>
        </w:rPr>
        <w:t>. The</w:t>
      </w:r>
      <w:r>
        <w:rPr>
          <w:kern w:val="0"/>
        </w:rPr>
        <w:t>re was no significant histological improvement in 67/92 (72.8%) patients treated with interferon alpha compared with 65/77 (84.4%) in controls (RR 0.86, 95% CI 0.74 to 1.00, P = 0.06). Two trials comparing a higher dose</w:t>
      </w:r>
      <w:r w:rsidR="00427468">
        <w:rPr>
          <w:kern w:val="0"/>
        </w:rPr>
        <w:t xml:space="preserve"> of </w:t>
      </w:r>
      <w:r>
        <w:rPr>
          <w:kern w:val="0"/>
        </w:rPr>
        <w:t>interferon alpha with the lower dose showed no significant difference in sustained virological response (76.7% compared with 90.0%) (RR 0.85, 95% CI 0.68 to 1.07, P = 0.16). Adverse events such as flu-like symptoms, asthenia, weight loss, alopecia, thrombocytopenia,</w:t>
      </w:r>
      <w:r w:rsidR="005853A9">
        <w:rPr>
          <w:kern w:val="0"/>
        </w:rPr>
        <w:t xml:space="preserve"> and </w:t>
      </w:r>
      <w:r>
        <w:rPr>
          <w:kern w:val="0"/>
        </w:rPr>
        <w:t>leukopenia were reported in all these trials</w:t>
      </w:r>
      <w:r w:rsidR="005853A9">
        <w:rPr>
          <w:kern w:val="0"/>
        </w:rPr>
        <w:t xml:space="preserve"> and </w:t>
      </w:r>
      <w:r>
        <w:rPr>
          <w:kern w:val="0"/>
        </w:rPr>
        <w:t>the adverse events were related to interferon alpha</w:t>
      </w:r>
      <w:r w:rsidR="00A37C1D">
        <w:rPr>
          <w:kern w:val="0"/>
        </w:rPr>
        <w:t>. The</w:t>
      </w:r>
      <w:r>
        <w:rPr>
          <w:kern w:val="0"/>
        </w:rPr>
        <w:t>se were common</w:t>
      </w:r>
      <w:r w:rsidR="005853A9">
        <w:rPr>
          <w:kern w:val="0"/>
        </w:rPr>
        <w:t xml:space="preserve"> and </w:t>
      </w:r>
      <w:r>
        <w:rPr>
          <w:kern w:val="0"/>
        </w:rPr>
        <w:t>sometimes severe. One patient in the treatment group was reported to have died by suicide towards the end</w:t>
      </w:r>
      <w:r w:rsidR="00427468">
        <w:rPr>
          <w:kern w:val="0"/>
        </w:rPr>
        <w:t xml:space="preserve"> of </w:t>
      </w:r>
      <w:r>
        <w:rPr>
          <w:kern w:val="0"/>
        </w:rPr>
        <w:t>the study period. Authors</w:t>
      </w:r>
      <w:r w:rsidR="0071223E">
        <w:rPr>
          <w:kern w:val="0"/>
        </w:rPr>
        <w:t>’</w:t>
      </w:r>
      <w:r>
        <w:rPr>
          <w:kern w:val="0"/>
        </w:rPr>
        <w:t xml:space="preserve"> conclusions Interferon alpha does not seem to cure hepatitis D in </w:t>
      </w:r>
      <w:r>
        <w:rPr>
          <w:kern w:val="0"/>
        </w:rPr>
        <w:lastRenderedPageBreak/>
        <w:t>most patients</w:t>
      </w:r>
      <w:r w:rsidR="00A37C1D">
        <w:rPr>
          <w:kern w:val="0"/>
        </w:rPr>
        <w:t>. The</w:t>
      </w:r>
      <w:r>
        <w:rPr>
          <w:kern w:val="0"/>
        </w:rPr>
        <w:t xml:space="preserve"> agent seems effective in suppressing viral</w:t>
      </w:r>
      <w:r w:rsidR="005853A9">
        <w:rPr>
          <w:kern w:val="0"/>
        </w:rPr>
        <w:t xml:space="preserve"> and </w:t>
      </w:r>
      <w:r>
        <w:rPr>
          <w:kern w:val="0"/>
        </w:rPr>
        <w:t>liver disease activity in some patients, but this improvement is not sustained in the majority</w:t>
      </w:r>
      <w:r w:rsidR="00427468">
        <w:rPr>
          <w:kern w:val="0"/>
        </w:rPr>
        <w:t xml:space="preserve"> of </w:t>
      </w:r>
      <w:r>
        <w:rPr>
          <w:kern w:val="0"/>
        </w:rPr>
        <w:t>patients. We cannot exclude overestimation</w:t>
      </w:r>
      <w:r w:rsidR="00427468">
        <w:rPr>
          <w:kern w:val="0"/>
        </w:rPr>
        <w:t xml:space="preserve"> of </w:t>
      </w:r>
      <w:r>
        <w:rPr>
          <w:kern w:val="0"/>
        </w:rPr>
        <w:t>benefits</w:t>
      </w:r>
      <w:r w:rsidR="005853A9">
        <w:rPr>
          <w:kern w:val="0"/>
        </w:rPr>
        <w:t xml:space="preserve"> and </w:t>
      </w:r>
      <w:r>
        <w:rPr>
          <w:kern w:val="0"/>
        </w:rPr>
        <w:t>underestimation</w:t>
      </w:r>
      <w:r w:rsidR="00427468">
        <w:rPr>
          <w:kern w:val="0"/>
        </w:rPr>
        <w:t xml:space="preserve"> of </w:t>
      </w:r>
      <w:r>
        <w:rPr>
          <w:kern w:val="0"/>
        </w:rPr>
        <w:t>harms due to high risk</w:t>
      </w:r>
      <w:r w:rsidR="00427468">
        <w:rPr>
          <w:kern w:val="0"/>
        </w:rPr>
        <w:t xml:space="preserve"> of </w:t>
      </w:r>
      <w:r>
        <w:rPr>
          <w:kern w:val="0"/>
        </w:rPr>
        <w:t>bias (systematic errors)</w:t>
      </w:r>
      <w:r w:rsidR="005853A9">
        <w:rPr>
          <w:kern w:val="0"/>
        </w:rPr>
        <w:t xml:space="preserve"> and </w:t>
      </w:r>
      <w:r>
        <w:rPr>
          <w:kern w:val="0"/>
        </w:rPr>
        <w:t>high risk play</w:t>
      </w:r>
      <w:r w:rsidR="00427468">
        <w:rPr>
          <w:kern w:val="0"/>
        </w:rPr>
        <w:t xml:space="preserve"> of </w:t>
      </w:r>
      <w:r>
        <w:rPr>
          <w:kern w:val="0"/>
        </w:rPr>
        <w:t>chance (random errors)</w:t>
      </w:r>
      <w:r w:rsidR="00A37C1D">
        <w:rPr>
          <w:kern w:val="0"/>
        </w:rPr>
        <w:t>. The</w:t>
      </w:r>
      <w:r>
        <w:rPr>
          <w:kern w:val="0"/>
        </w:rPr>
        <w:t>refore, more randomised trials with large sample sizes</w:t>
      </w:r>
      <w:r w:rsidR="005853A9">
        <w:rPr>
          <w:kern w:val="0"/>
        </w:rPr>
        <w:t xml:space="preserve"> and </w:t>
      </w:r>
      <w:r>
        <w:rPr>
          <w:kern w:val="0"/>
        </w:rPr>
        <w:t>less risk</w:t>
      </w:r>
      <w:r w:rsidR="00427468">
        <w:rPr>
          <w:kern w:val="0"/>
        </w:rPr>
        <w:t xml:space="preserve"> of </w:t>
      </w:r>
      <w:r>
        <w:rPr>
          <w:kern w:val="0"/>
        </w:rPr>
        <w:t>bias are needed before interferon can be recommended or refuted.</w:t>
      </w:r>
    </w:p>
    <w:p w:rsidR="00365DE4" w:rsidRDefault="00365DE4" w:rsidP="00365DE4">
      <w:pPr>
        <w:pStyle w:val="a3"/>
        <w:rPr>
          <w:kern w:val="0"/>
        </w:rPr>
      </w:pPr>
      <w:r>
        <w:rPr>
          <w:kern w:val="0"/>
        </w:rPr>
        <w:t xml:space="preserve">Keywords: Alanine Aminotransferase, Alopecia, Analyses, Analysis, Articles, Authors, B Surface-Antigen, Bias, Chronic, Chronic Delta-Hepatitis, Chronic Hepatitis, Citation, Clinical, Clinical Trials, Clinical-Trials, Collection, Combination Therapy, Confidence, Control, Criteria, D Virus-Infection, Data, Data Collection, Disease, Disease Activity, Effects, Efficacy, Empirical-Evidence, Errors, Events, Failure, Follow-Up, Hepatitis, Hepatitis B, Hepatitis B Virus, Improvement, Infection, Interferon, Interferon-Alpha, Interval, Intervention, Lamivudine Plus Interferon, Liver, Male, </w:t>
      </w:r>
      <w:r w:rsidR="00D5664A">
        <w:rPr>
          <w:kern w:val="0"/>
        </w:rPr>
        <w:t>MEDLINE</w:t>
      </w:r>
      <w:r>
        <w:rPr>
          <w:kern w:val="0"/>
        </w:rPr>
        <w:t>, Meta-Analysis, Methods, Model, Models, Mortality, P, Patients, Pegylated Interferon-Alpha-2b, Person, Placebo, Polymerase-Chain-Reaction, Primary, Random Effects Model, Randomised, Randomized Controlled Trial, References, Review, Risk, RNA, Science, Science Citation Index, Science Citation Index Expanded, Search, Significance, Small, Suicide, Symptoms, Textbooks, Thrombocytopenia, Treatment, Trial, Viral</w:t>
      </w:r>
    </w:p>
    <w:p w:rsidR="00365DE4" w:rsidRDefault="00365DE4" w:rsidP="00365DE4">
      <w:pPr>
        <w:pStyle w:val="a3"/>
        <w:rPr>
          <w:kern w:val="0"/>
        </w:rPr>
      </w:pPr>
      <w:r>
        <w:rPr>
          <w:kern w:val="0"/>
        </w:rPr>
        <w:t>? Miller, S., Maguire, L.K.</w:t>
      </w:r>
      <w:r w:rsidR="005853A9">
        <w:rPr>
          <w:kern w:val="0"/>
        </w:rPr>
        <w:t xml:space="preserve"> and </w:t>
      </w:r>
      <w:r>
        <w:rPr>
          <w:kern w:val="0"/>
        </w:rPr>
        <w:t xml:space="preserve">Macdonald, G. (2011), Home-based child development interventions for preschool children from socially disadvantaged families.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CD008131.</w:t>
      </w:r>
    </w:p>
    <w:p w:rsidR="00365DE4" w:rsidRDefault="00365DE4" w:rsidP="00365DE4">
      <w:pPr>
        <w:pStyle w:val="a3"/>
        <w:rPr>
          <w:kern w:val="2"/>
        </w:rPr>
      </w:pPr>
      <w:r>
        <w:t xml:space="preserve">Full Text: </w:t>
      </w:r>
      <w:hyperlink r:id="rId721" w:history="1">
        <w:r>
          <w:rPr>
            <w:rStyle w:val="a5"/>
          </w:rPr>
          <w:t>2011\Coc Dat Sys Rev2011, CD008131.pdf</w:t>
        </w:r>
      </w:hyperlink>
    </w:p>
    <w:p w:rsidR="00365DE4" w:rsidRDefault="00365DE4" w:rsidP="00365DE4">
      <w:pPr>
        <w:pStyle w:val="a3"/>
        <w:rPr>
          <w:kern w:val="0"/>
        </w:rPr>
      </w:pPr>
      <w:r>
        <w:rPr>
          <w:kern w:val="0"/>
        </w:rPr>
        <w:t>Abstract: Background Social disadvantage can have a significant impact on early child development, health</w:t>
      </w:r>
      <w:r w:rsidR="005853A9">
        <w:rPr>
          <w:kern w:val="0"/>
        </w:rPr>
        <w:t xml:space="preserve"> and </w:t>
      </w:r>
      <w:r>
        <w:rPr>
          <w:kern w:val="0"/>
        </w:rPr>
        <w:t>wellbeing. What happens during this critical period is important for all aspects</w:t>
      </w:r>
      <w:r w:rsidR="00427468">
        <w:rPr>
          <w:kern w:val="0"/>
        </w:rPr>
        <w:t xml:space="preserve"> of </w:t>
      </w:r>
      <w:r>
        <w:rPr>
          <w:kern w:val="0"/>
        </w:rPr>
        <w:t>development. Caregiving competence</w:t>
      </w:r>
      <w:r w:rsidR="005853A9">
        <w:rPr>
          <w:kern w:val="0"/>
        </w:rPr>
        <w:t xml:space="preserve"> and </w:t>
      </w:r>
      <w:r>
        <w:rPr>
          <w:kern w:val="0"/>
        </w:rPr>
        <w:t>the quality</w:t>
      </w:r>
      <w:r w:rsidR="00427468">
        <w:rPr>
          <w:kern w:val="0"/>
        </w:rPr>
        <w:t xml:space="preserve"> of </w:t>
      </w:r>
      <w:r>
        <w:rPr>
          <w:kern w:val="0"/>
        </w:rPr>
        <w:t>the environment play an important role in supporting development in young children</w:t>
      </w:r>
      <w:r w:rsidR="005853A9">
        <w:rPr>
          <w:kern w:val="0"/>
        </w:rPr>
        <w:t xml:space="preserve"> and </w:t>
      </w:r>
      <w:r>
        <w:rPr>
          <w:kern w:val="0"/>
        </w:rPr>
        <w:t>parents have an important role to play in optimising child development</w:t>
      </w:r>
      <w:r w:rsidR="005853A9">
        <w:rPr>
          <w:kern w:val="0"/>
        </w:rPr>
        <w:t xml:space="preserve"> and </w:t>
      </w:r>
      <w:r>
        <w:rPr>
          <w:kern w:val="0"/>
        </w:rPr>
        <w:t>mitigating the negative effects</w:t>
      </w:r>
      <w:r w:rsidR="00427468">
        <w:rPr>
          <w:kern w:val="0"/>
        </w:rPr>
        <w:t xml:space="preserve"> of </w:t>
      </w:r>
      <w:r>
        <w:rPr>
          <w:kern w:val="0"/>
        </w:rPr>
        <w:t>social disadvantage. Home-based child development programmes aim to optimise children</w:t>
      </w:r>
      <w:r w:rsidR="0071223E">
        <w:rPr>
          <w:kern w:val="0"/>
        </w:rPr>
        <w:t>’</w:t>
      </w:r>
      <w:r>
        <w:rPr>
          <w:kern w:val="0"/>
        </w:rPr>
        <w:t>s developmental outcomes through educating, training</w:t>
      </w:r>
      <w:r w:rsidR="005853A9">
        <w:rPr>
          <w:kern w:val="0"/>
        </w:rPr>
        <w:t xml:space="preserve"> and </w:t>
      </w:r>
      <w:r>
        <w:rPr>
          <w:kern w:val="0"/>
        </w:rPr>
        <w:t>supporting parents in their own home to provide a more nurturing</w:t>
      </w:r>
      <w:r w:rsidR="005853A9">
        <w:rPr>
          <w:kern w:val="0"/>
        </w:rPr>
        <w:t xml:space="preserve"> and </w:t>
      </w:r>
      <w:r>
        <w:rPr>
          <w:kern w:val="0"/>
        </w:rPr>
        <w:t>stimulating environment for their child. Objectives To determine the effects</w:t>
      </w:r>
      <w:r w:rsidR="00427468">
        <w:rPr>
          <w:kern w:val="0"/>
        </w:rPr>
        <w:t xml:space="preserve"> of </w:t>
      </w:r>
      <w:r>
        <w:rPr>
          <w:kern w:val="0"/>
        </w:rPr>
        <w:t>home-based programmes aimed specifically at improving developmental outcomes for preschool children from socially disadvantaged families. Search methods We searched the following databases between 7 October</w:t>
      </w:r>
      <w:r w:rsidR="005853A9">
        <w:rPr>
          <w:kern w:val="0"/>
        </w:rPr>
        <w:t xml:space="preserve"> and </w:t>
      </w:r>
      <w:r>
        <w:rPr>
          <w:kern w:val="0"/>
        </w:rPr>
        <w:t>12 October 2010: Cochrane Central Register</w:t>
      </w:r>
      <w:r w:rsidR="00427468">
        <w:rPr>
          <w:kern w:val="0"/>
        </w:rPr>
        <w:t xml:space="preserve"> of </w:t>
      </w:r>
      <w:r>
        <w:rPr>
          <w:kern w:val="0"/>
        </w:rPr>
        <w:t xml:space="preserve">Controlled Trials (CENTRAL) (2010, Issue 4), </w:t>
      </w:r>
      <w:r w:rsidR="00D5664A">
        <w:rPr>
          <w:kern w:val="0"/>
        </w:rPr>
        <w:t>MEDLINE</w:t>
      </w:r>
      <w:r>
        <w:rPr>
          <w:kern w:val="0"/>
        </w:rPr>
        <w:t xml:space="preserve"> (1950 to week 4, September 2010), EMBASE (1980 to Week 39, 2010), CINAHL (1937 to current), PsycINFO (1887 to current), ERIC (1966 to current), ASSIA (1987 to current), Sociological Abstracts (1952 to current), Social </w:t>
      </w:r>
      <w:r>
        <w:rPr>
          <w:kern w:val="0"/>
        </w:rPr>
        <w:lastRenderedPageBreak/>
        <w:t>Science Citation Index (1970 to current). We also searched reference lists</w:t>
      </w:r>
      <w:r w:rsidR="00427468">
        <w:rPr>
          <w:kern w:val="0"/>
        </w:rPr>
        <w:t xml:space="preserve"> of </w:t>
      </w:r>
      <w:r>
        <w:rPr>
          <w:kern w:val="0"/>
        </w:rPr>
        <w:t xml:space="preserve">articles. Selection criteria Randomised controlled trials comparing home-based preschool child development interventions with a </w:t>
      </w:r>
      <w:r w:rsidR="0071223E">
        <w:rPr>
          <w:kern w:val="0"/>
        </w:rPr>
        <w:t>‘</w:t>
      </w:r>
      <w:r>
        <w:rPr>
          <w:kern w:val="0"/>
        </w:rPr>
        <w:t>standard care</w:t>
      </w:r>
      <w:r w:rsidR="0071223E">
        <w:rPr>
          <w:kern w:val="0"/>
        </w:rPr>
        <w:t>’</w:t>
      </w:r>
      <w:r>
        <w:rPr>
          <w:kern w:val="0"/>
        </w:rPr>
        <w:t xml:space="preserve"> control. Participants were parents with children up to the age</w:t>
      </w:r>
      <w:r w:rsidR="00427468">
        <w:rPr>
          <w:kern w:val="0"/>
        </w:rPr>
        <w:t xml:space="preserve"> of </w:t>
      </w:r>
      <w:r>
        <w:rPr>
          <w:kern w:val="0"/>
        </w:rPr>
        <w:t>school entry who were socially disadvantaged in respect</w:t>
      </w:r>
      <w:r w:rsidR="00427468">
        <w:rPr>
          <w:kern w:val="0"/>
        </w:rPr>
        <w:t xml:space="preserve"> of </w:t>
      </w:r>
      <w:r>
        <w:rPr>
          <w:kern w:val="0"/>
        </w:rPr>
        <w:t>poverty, lone parenthood or ethnic minority status. Data collection</w:t>
      </w:r>
      <w:r w:rsidR="005853A9">
        <w:rPr>
          <w:kern w:val="0"/>
        </w:rPr>
        <w:t xml:space="preserve"> and </w:t>
      </w:r>
      <w:r>
        <w:rPr>
          <w:kern w:val="0"/>
        </w:rPr>
        <w:t>analysis Two authors independently selected studies, assessed the trials</w:t>
      </w:r>
      <w:r w:rsidR="0071223E">
        <w:rPr>
          <w:kern w:val="0"/>
        </w:rPr>
        <w:t>’</w:t>
      </w:r>
      <w:r>
        <w:rPr>
          <w:kern w:val="0"/>
        </w:rPr>
        <w:t xml:space="preserve"> risk</w:t>
      </w:r>
      <w:r w:rsidR="00427468">
        <w:rPr>
          <w:kern w:val="0"/>
        </w:rPr>
        <w:t xml:space="preserve"> of </w:t>
      </w:r>
      <w:r>
        <w:rPr>
          <w:kern w:val="0"/>
        </w:rPr>
        <w:t>bias</w:t>
      </w:r>
      <w:r w:rsidR="005853A9">
        <w:rPr>
          <w:kern w:val="0"/>
        </w:rPr>
        <w:t xml:space="preserve"> and </w:t>
      </w:r>
      <w:r>
        <w:rPr>
          <w:kern w:val="0"/>
        </w:rPr>
        <w:t>extracted data. Main results We included seven studies, which involved 723 participants. We assessed four</w:t>
      </w:r>
      <w:r w:rsidR="00427468">
        <w:rPr>
          <w:kern w:val="0"/>
        </w:rPr>
        <w:t xml:space="preserve"> of </w:t>
      </w:r>
      <w:r>
        <w:rPr>
          <w:kern w:val="0"/>
        </w:rPr>
        <w:t>the seven studies as being at high risk</w:t>
      </w:r>
      <w:r w:rsidR="00427468">
        <w:rPr>
          <w:kern w:val="0"/>
        </w:rPr>
        <w:t xml:space="preserve"> of </w:t>
      </w:r>
      <w:r>
        <w:rPr>
          <w:kern w:val="0"/>
        </w:rPr>
        <w:t>bias</w:t>
      </w:r>
      <w:r w:rsidR="005853A9">
        <w:rPr>
          <w:kern w:val="0"/>
        </w:rPr>
        <w:t xml:space="preserve"> and </w:t>
      </w:r>
      <w:r>
        <w:rPr>
          <w:kern w:val="0"/>
        </w:rPr>
        <w:t>three had an unclear risk</w:t>
      </w:r>
      <w:r w:rsidR="00427468">
        <w:rPr>
          <w:kern w:val="0"/>
        </w:rPr>
        <w:t xml:space="preserve"> of </w:t>
      </w:r>
      <w:r>
        <w:rPr>
          <w:kern w:val="0"/>
        </w:rPr>
        <w:t>bias; the quality</w:t>
      </w:r>
      <w:r w:rsidR="00427468">
        <w:rPr>
          <w:kern w:val="0"/>
        </w:rPr>
        <w:t xml:space="preserve"> of </w:t>
      </w:r>
      <w:r>
        <w:rPr>
          <w:kern w:val="0"/>
        </w:rPr>
        <w:t>the evidence was difficult to assess as there was often insufficient detail reported to enable any conclusions to be drawn about the methodological rigour</w:t>
      </w:r>
      <w:r w:rsidR="00427468">
        <w:rPr>
          <w:kern w:val="0"/>
        </w:rPr>
        <w:t xml:space="preserve"> of </w:t>
      </w:r>
      <w:r>
        <w:rPr>
          <w:kern w:val="0"/>
        </w:rPr>
        <w:t>the studies. Four trials involving 285 participants measured cognitive development</w:t>
      </w:r>
      <w:r w:rsidR="005853A9">
        <w:rPr>
          <w:kern w:val="0"/>
        </w:rPr>
        <w:t xml:space="preserve"> and </w:t>
      </w:r>
      <w:r>
        <w:rPr>
          <w:kern w:val="0"/>
        </w:rPr>
        <w:t>we synthesised these data in a meta-analysis. Compared to the control group, there was no statistically significant impact</w:t>
      </w:r>
      <w:r w:rsidR="00427468">
        <w:rPr>
          <w:kern w:val="0"/>
        </w:rPr>
        <w:t xml:space="preserve"> of </w:t>
      </w:r>
      <w:r>
        <w:rPr>
          <w:kern w:val="0"/>
        </w:rPr>
        <w:t>the intervention on cognitive development (standardised mean difference (SMD) 0.30; 95% confidence interval -0.18 to 0.78). Only three studies reported socioemotional outcomes</w:t>
      </w:r>
      <w:r w:rsidR="005853A9">
        <w:rPr>
          <w:kern w:val="0"/>
        </w:rPr>
        <w:t xml:space="preserve"> and </w:t>
      </w:r>
      <w:r>
        <w:rPr>
          <w:kern w:val="0"/>
        </w:rPr>
        <w:t>there was insufficient data to combine into a meta-analysis. No study reported on adverse effects. Authors</w:t>
      </w:r>
      <w:r w:rsidR="0071223E">
        <w:rPr>
          <w:kern w:val="0"/>
        </w:rPr>
        <w:t>’</w:t>
      </w:r>
      <w:r>
        <w:rPr>
          <w:kern w:val="0"/>
        </w:rPr>
        <w:t xml:space="preserve"> conclusions This review does not provide evidence</w:t>
      </w:r>
      <w:r w:rsidR="00427468">
        <w:rPr>
          <w:kern w:val="0"/>
        </w:rPr>
        <w:t xml:space="preserve"> of </w:t>
      </w:r>
      <w:r>
        <w:rPr>
          <w:kern w:val="0"/>
        </w:rPr>
        <w:t>the effectiveness</w:t>
      </w:r>
      <w:r w:rsidR="00427468">
        <w:rPr>
          <w:kern w:val="0"/>
        </w:rPr>
        <w:t xml:space="preserve"> of </w:t>
      </w:r>
      <w:r>
        <w:rPr>
          <w:kern w:val="0"/>
        </w:rPr>
        <w:t>home-based interventions that are specifically targeted at improving developmental outcomes for preschool children from socially disadvantaged families. Future studies should endeavour to better document</w:t>
      </w:r>
      <w:r w:rsidR="005853A9">
        <w:rPr>
          <w:kern w:val="0"/>
        </w:rPr>
        <w:t xml:space="preserve"> and </w:t>
      </w:r>
      <w:r>
        <w:rPr>
          <w:kern w:val="0"/>
        </w:rPr>
        <w:t>report their methodological processes.</w:t>
      </w:r>
    </w:p>
    <w:p w:rsidR="00365DE4" w:rsidRDefault="00365DE4" w:rsidP="00365DE4">
      <w:pPr>
        <w:pStyle w:val="a3"/>
        <w:rPr>
          <w:kern w:val="0"/>
        </w:rPr>
      </w:pPr>
      <w:r>
        <w:rPr>
          <w:kern w:val="0"/>
        </w:rPr>
        <w:t xml:space="preserve">Keywords: Adverse Effects, Age, Analysis, Articles, Authors, Bias, Care, Child, Children, Citation, Cognitive-Development, Collection, Community Mothers Program, Competence, Confidence, Control, Criteria, Data, Data Collection, Databases, Development, Effectiveness, Effects, Environment, Environments, Ethnic Minority, Evidence, Families, Follow-Up, Health, Impact, Interval, Intervention, Interventions, </w:t>
      </w:r>
      <w:r w:rsidR="00D5664A">
        <w:rPr>
          <w:kern w:val="0"/>
        </w:rPr>
        <w:t>MEDLINE</w:t>
      </w:r>
      <w:r>
        <w:rPr>
          <w:kern w:val="0"/>
        </w:rPr>
        <w:t>, Meta-Analysis, Metaanalysis, Methods, Nonprofessional Intervention, Outcomes, Parents, Poverty, Preschool Children, Programmes, Psycinfo, Quality, Quality Of, Randomized Controlled-Trial, Reference, Reference Lists, Review, Risk, Role, School Readiness, Science, Science Citation Index, Search, Social, Social Science Citation Index, Standard, Teachers Program, Training, Young-Children</w:t>
      </w:r>
    </w:p>
    <w:p w:rsidR="00365DE4" w:rsidRDefault="00365DE4" w:rsidP="00365DE4">
      <w:pPr>
        <w:pStyle w:val="a3"/>
        <w:rPr>
          <w:kern w:val="0"/>
        </w:rPr>
      </w:pPr>
      <w:r>
        <w:rPr>
          <w:kern w:val="0"/>
        </w:rPr>
        <w:t>? Chi, C.C., Kirtschig, G., Baldo, M., Brackenbury, F., Lewis, F.</w:t>
      </w:r>
      <w:r w:rsidR="005853A9">
        <w:rPr>
          <w:kern w:val="0"/>
        </w:rPr>
        <w:t xml:space="preserve"> and </w:t>
      </w:r>
      <w:r>
        <w:rPr>
          <w:kern w:val="0"/>
        </w:rPr>
        <w:t xml:space="preserve">Wojnarowska, F. (2011), Topical interventions for genital lichen sclerosus.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CD008240.</w:t>
      </w:r>
    </w:p>
    <w:p w:rsidR="00365DE4" w:rsidRDefault="00365DE4" w:rsidP="00365DE4">
      <w:pPr>
        <w:pStyle w:val="a3"/>
        <w:rPr>
          <w:kern w:val="2"/>
        </w:rPr>
      </w:pPr>
      <w:r>
        <w:t xml:space="preserve">Full Text: </w:t>
      </w:r>
      <w:hyperlink r:id="rId722" w:history="1">
        <w:r>
          <w:rPr>
            <w:rStyle w:val="a5"/>
          </w:rPr>
          <w:t>2011\Coc Dat Sys Rev2011, CD008240.pdf</w:t>
        </w:r>
      </w:hyperlink>
    </w:p>
    <w:p w:rsidR="00365DE4" w:rsidRDefault="00365DE4" w:rsidP="00365DE4">
      <w:pPr>
        <w:pStyle w:val="a3"/>
        <w:rPr>
          <w:kern w:val="0"/>
        </w:rPr>
      </w:pPr>
      <w:r>
        <w:rPr>
          <w:kern w:val="0"/>
        </w:rPr>
        <w:t>Abstract: Background Lichen sclerosus is a chronic, inflammatory skin condition that most commonly occurs in adult women, although it may also be seen in men</w:t>
      </w:r>
      <w:r w:rsidR="005853A9">
        <w:rPr>
          <w:kern w:val="0"/>
        </w:rPr>
        <w:t xml:space="preserve"> and </w:t>
      </w:r>
      <w:r>
        <w:rPr>
          <w:kern w:val="0"/>
        </w:rPr>
        <w:t>children. It primarily affects the genital area</w:t>
      </w:r>
      <w:r w:rsidR="005853A9">
        <w:rPr>
          <w:kern w:val="0"/>
        </w:rPr>
        <w:t xml:space="preserve"> and </w:t>
      </w:r>
      <w:r>
        <w:rPr>
          <w:kern w:val="0"/>
        </w:rPr>
        <w:t xml:space="preserve">around the anus, where it causes </w:t>
      </w:r>
      <w:r>
        <w:rPr>
          <w:kern w:val="0"/>
        </w:rPr>
        <w:lastRenderedPageBreak/>
        <w:t>persistent itching</w:t>
      </w:r>
      <w:r w:rsidR="005853A9">
        <w:rPr>
          <w:kern w:val="0"/>
        </w:rPr>
        <w:t xml:space="preserve"> and </w:t>
      </w:r>
      <w:r>
        <w:rPr>
          <w:kern w:val="0"/>
        </w:rPr>
        <w:t>soreness. Scarring after inflammation may lead to severe damage by fusion</w:t>
      </w:r>
      <w:r w:rsidR="00427468">
        <w:rPr>
          <w:kern w:val="0"/>
        </w:rPr>
        <w:t xml:space="preserve"> of </w:t>
      </w:r>
      <w:r>
        <w:rPr>
          <w:kern w:val="0"/>
        </w:rPr>
        <w:t>the vulval lips (labia); narrowing</w:t>
      </w:r>
      <w:r w:rsidR="00427468">
        <w:rPr>
          <w:kern w:val="0"/>
        </w:rPr>
        <w:t xml:space="preserve"> of </w:t>
      </w:r>
      <w:r>
        <w:rPr>
          <w:kern w:val="0"/>
        </w:rPr>
        <w:t>the vaginal opening;</w:t>
      </w:r>
      <w:r w:rsidR="005853A9">
        <w:rPr>
          <w:kern w:val="0"/>
        </w:rPr>
        <w:t xml:space="preserve"> and </w:t>
      </w:r>
      <w:r>
        <w:rPr>
          <w:kern w:val="0"/>
        </w:rPr>
        <w:t>burying</w:t>
      </w:r>
      <w:r w:rsidR="00427468">
        <w:rPr>
          <w:kern w:val="0"/>
        </w:rPr>
        <w:t xml:space="preserve"> of </w:t>
      </w:r>
      <w:r>
        <w:rPr>
          <w:kern w:val="0"/>
        </w:rPr>
        <w:t>the clitoris in women</w:t>
      </w:r>
      <w:r w:rsidR="005853A9">
        <w:rPr>
          <w:kern w:val="0"/>
        </w:rPr>
        <w:t xml:space="preserve"> and </w:t>
      </w:r>
      <w:r>
        <w:rPr>
          <w:kern w:val="0"/>
        </w:rPr>
        <w:t>girls, as well as tightening</w:t>
      </w:r>
      <w:r w:rsidR="00427468">
        <w:rPr>
          <w:kern w:val="0"/>
        </w:rPr>
        <w:t xml:space="preserve"> of </w:t>
      </w:r>
      <w:r>
        <w:rPr>
          <w:kern w:val="0"/>
        </w:rPr>
        <w:t>the foreskin in men</w:t>
      </w:r>
      <w:r w:rsidR="005853A9">
        <w:rPr>
          <w:kern w:val="0"/>
        </w:rPr>
        <w:t xml:space="preserve"> and </w:t>
      </w:r>
      <w:r>
        <w:rPr>
          <w:kern w:val="0"/>
        </w:rPr>
        <w:t>boys, if treatments are not started early. Affected people have an increased risk</w:t>
      </w:r>
      <w:r w:rsidR="00427468">
        <w:rPr>
          <w:kern w:val="0"/>
        </w:rPr>
        <w:t xml:space="preserve"> of </w:t>
      </w:r>
      <w:r>
        <w:rPr>
          <w:kern w:val="0"/>
        </w:rPr>
        <w:t>genital cancers. Objectives To assess the effects</w:t>
      </w:r>
      <w:r w:rsidR="00427468">
        <w:rPr>
          <w:kern w:val="0"/>
        </w:rPr>
        <w:t xml:space="preserve"> of </w:t>
      </w:r>
      <w:r>
        <w:rPr>
          <w:kern w:val="0"/>
        </w:rPr>
        <w:t>topical interventions for genital lichen sclerosus</w:t>
      </w:r>
      <w:r w:rsidR="005853A9">
        <w:rPr>
          <w:kern w:val="0"/>
        </w:rPr>
        <w:t xml:space="preserve"> and </w:t>
      </w:r>
      <w:r>
        <w:rPr>
          <w:kern w:val="0"/>
        </w:rPr>
        <w:t>adverse effects reported in included trials. Search methods We searched the following databases up to 16 September 2011: the Cochrane Skin Group Specialised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xml:space="preserve"> (from 2005), EMBASE (from 2007), LILACS (from 1982), CINAHL (from 1981), British Nursing Index</w:t>
      </w:r>
      <w:r w:rsidR="005853A9">
        <w:rPr>
          <w:kern w:val="0"/>
        </w:rPr>
        <w:t xml:space="preserve"> and </w:t>
      </w:r>
      <w:r>
        <w:rPr>
          <w:kern w:val="0"/>
        </w:rPr>
        <w:t>Archive (from 1985), Science Citation Index Expanded (from 1945), BIOSIS Previews (from 1926), Conference Papers Index (from 1982),</w:t>
      </w:r>
      <w:r w:rsidR="005853A9">
        <w:rPr>
          <w:kern w:val="0"/>
        </w:rPr>
        <w:t xml:space="preserve"> and </w:t>
      </w:r>
      <w:r>
        <w:rPr>
          <w:kern w:val="0"/>
        </w:rPr>
        <w:t>Conference Proceedings Citation Index - Science (from 1990). We also searched ongoing trial registries</w:t>
      </w:r>
      <w:r w:rsidR="005853A9">
        <w:rPr>
          <w:kern w:val="0"/>
        </w:rPr>
        <w:t xml:space="preserve"> and </w:t>
      </w:r>
      <w:r>
        <w:rPr>
          <w:kern w:val="0"/>
        </w:rPr>
        <w:t>scanned the bibliographies</w:t>
      </w:r>
      <w:r w:rsidR="00427468">
        <w:rPr>
          <w:kern w:val="0"/>
        </w:rPr>
        <w:t xml:space="preserve"> of </w:t>
      </w:r>
      <w:r>
        <w:rPr>
          <w:kern w:val="0"/>
        </w:rPr>
        <w:t>included studies, published reviews,</w:t>
      </w:r>
      <w:r w:rsidR="005853A9">
        <w:rPr>
          <w:kern w:val="0"/>
        </w:rPr>
        <w:t xml:space="preserve"> and </w:t>
      </w:r>
      <w:r>
        <w:rPr>
          <w:kern w:val="0"/>
        </w:rPr>
        <w:t>papers that had cited the included studies. Selection criteria Randomised controlled trials (RCTs)</w:t>
      </w:r>
      <w:r w:rsidR="00427468">
        <w:rPr>
          <w:kern w:val="0"/>
        </w:rPr>
        <w:t xml:space="preserve"> of </w:t>
      </w:r>
      <w:r>
        <w:rPr>
          <w:kern w:val="0"/>
        </w:rPr>
        <w:t>topical interventions in genital lichen sclerosus. Data collection</w:t>
      </w:r>
      <w:r w:rsidR="005853A9">
        <w:rPr>
          <w:kern w:val="0"/>
        </w:rPr>
        <w:t xml:space="preserve"> and </w:t>
      </w:r>
      <w:r>
        <w:rPr>
          <w:kern w:val="0"/>
        </w:rPr>
        <w:t>analysis Two authors independently selected trials, extracted data,</w:t>
      </w:r>
      <w:r w:rsidR="005853A9">
        <w:rPr>
          <w:kern w:val="0"/>
        </w:rPr>
        <w:t xml:space="preserve"> and </w:t>
      </w:r>
      <w:r>
        <w:rPr>
          <w:kern w:val="0"/>
        </w:rPr>
        <w:t>assessed the risk</w:t>
      </w:r>
      <w:r w:rsidR="00427468">
        <w:rPr>
          <w:kern w:val="0"/>
        </w:rPr>
        <w:t xml:space="preserve"> of </w:t>
      </w:r>
      <w:r>
        <w:rPr>
          <w:kern w:val="0"/>
        </w:rPr>
        <w:t>bias. A third author was available for resolving differences</w:t>
      </w:r>
      <w:r w:rsidR="00427468">
        <w:rPr>
          <w:kern w:val="0"/>
        </w:rPr>
        <w:t xml:space="preserve"> of </w:t>
      </w:r>
      <w:r>
        <w:rPr>
          <w:kern w:val="0"/>
        </w:rPr>
        <w:t>opinion. Main results We included 7 RCTs, with a total</w:t>
      </w:r>
      <w:r w:rsidR="00427468">
        <w:rPr>
          <w:kern w:val="0"/>
        </w:rPr>
        <w:t xml:space="preserve"> of </w:t>
      </w:r>
      <w:r>
        <w:rPr>
          <w:kern w:val="0"/>
        </w:rPr>
        <w:t>249 participants, covering 6 treatments. Six</w:t>
      </w:r>
      <w:r w:rsidR="00427468">
        <w:rPr>
          <w:kern w:val="0"/>
        </w:rPr>
        <w:t xml:space="preserve"> of </w:t>
      </w:r>
      <w:r>
        <w:rPr>
          <w:kern w:val="0"/>
        </w:rPr>
        <w:t>these RCTs tested the efficacy</w:t>
      </w:r>
      <w:r w:rsidR="00427468">
        <w:rPr>
          <w:kern w:val="0"/>
        </w:rPr>
        <w:t xml:space="preserve"> of </w:t>
      </w:r>
      <w:r>
        <w:rPr>
          <w:kern w:val="0"/>
        </w:rPr>
        <w:t xml:space="preserve">one active intervention against placebo or another active intervention, while the other trial tested three active interventions against placebo. When compared to placebo in one trial, clobetasol propionate 0.05% was effective in treating genital lichen sclerosus in relation to the following outcomes: </w:t>
      </w:r>
      <w:r w:rsidR="0071223E">
        <w:rPr>
          <w:kern w:val="0"/>
        </w:rPr>
        <w:t>‘</w:t>
      </w:r>
      <w:r>
        <w:rPr>
          <w:kern w:val="0"/>
        </w:rPr>
        <w:t>participant-rated improvement or remission</w:t>
      </w:r>
      <w:r w:rsidR="00427468">
        <w:rPr>
          <w:kern w:val="0"/>
        </w:rPr>
        <w:t xml:space="preserve"> of </w:t>
      </w:r>
      <w:r>
        <w:rPr>
          <w:kern w:val="0"/>
        </w:rPr>
        <w:t>symptoms</w:t>
      </w:r>
      <w:r w:rsidR="0071223E">
        <w:rPr>
          <w:kern w:val="0"/>
        </w:rPr>
        <w:t>’</w:t>
      </w:r>
      <w:r>
        <w:rPr>
          <w:kern w:val="0"/>
        </w:rPr>
        <w:t xml:space="preserve"> (risk ratio (RR) 2.85, 95% confidence interval (CI) 1.45 to 5.61)</w:t>
      </w:r>
      <w:r w:rsidR="005853A9">
        <w:rPr>
          <w:kern w:val="0"/>
        </w:rPr>
        <w:t xml:space="preserve"> and </w:t>
      </w:r>
      <w:r w:rsidR="0071223E">
        <w:rPr>
          <w:kern w:val="0"/>
        </w:rPr>
        <w:t>‘</w:t>
      </w:r>
      <w:r>
        <w:rPr>
          <w:kern w:val="0"/>
        </w:rPr>
        <w:t>investigator-rated global degree</w:t>
      </w:r>
      <w:r w:rsidR="00427468">
        <w:rPr>
          <w:kern w:val="0"/>
        </w:rPr>
        <w:t xml:space="preserve"> of </w:t>
      </w:r>
      <w:r>
        <w:rPr>
          <w:kern w:val="0"/>
        </w:rPr>
        <w:t>improvement</w:t>
      </w:r>
      <w:r w:rsidR="0071223E">
        <w:rPr>
          <w:kern w:val="0"/>
        </w:rPr>
        <w:t>’</w:t>
      </w:r>
      <w:r>
        <w:rPr>
          <w:kern w:val="0"/>
        </w:rPr>
        <w:t xml:space="preserve"> (standardised mean difference (SMD) 5.74, 95% CI 4.26 to 7.23). When mometasone furoate 0.05% was compared to placebo in another trial, there was a significant improvement in the </w:t>
      </w:r>
      <w:r w:rsidR="0071223E">
        <w:rPr>
          <w:kern w:val="0"/>
        </w:rPr>
        <w:t>‘</w:t>
      </w:r>
      <w:r>
        <w:rPr>
          <w:kern w:val="0"/>
        </w:rPr>
        <w:t>investigator-rated change in clinical grade</w:t>
      </w:r>
      <w:r w:rsidR="00427468">
        <w:rPr>
          <w:kern w:val="0"/>
        </w:rPr>
        <w:t xml:space="preserve"> of </w:t>
      </w:r>
      <w:r>
        <w:rPr>
          <w:kern w:val="0"/>
        </w:rPr>
        <w:t>phimosis</w:t>
      </w:r>
      <w:r w:rsidR="0071223E">
        <w:rPr>
          <w:kern w:val="0"/>
        </w:rPr>
        <w:t>’</w:t>
      </w:r>
      <w:r>
        <w:rPr>
          <w:kern w:val="0"/>
        </w:rPr>
        <w:t xml:space="preserve"> (SMD -1.04, 95% CI -1.77 to -0.31). Both trials found no significant differences in reported adverse drug reactions between the corticosteroid</w:t>
      </w:r>
      <w:r w:rsidR="005853A9">
        <w:rPr>
          <w:kern w:val="0"/>
        </w:rPr>
        <w:t xml:space="preserve"> and </w:t>
      </w:r>
      <w:r>
        <w:rPr>
          <w:kern w:val="0"/>
        </w:rPr>
        <w:t>placebo groups</w:t>
      </w:r>
      <w:r w:rsidR="00A37C1D">
        <w:rPr>
          <w:kern w:val="0"/>
        </w:rPr>
        <w:t>. The</w:t>
      </w:r>
      <w:r>
        <w:rPr>
          <w:kern w:val="0"/>
        </w:rPr>
        <w:t xml:space="preserve"> data from four trials found no significant benefit for topical testosterone, dihydrotestosterone,</w:t>
      </w:r>
      <w:r w:rsidR="005853A9">
        <w:rPr>
          <w:kern w:val="0"/>
        </w:rPr>
        <w:t xml:space="preserve"> and </w:t>
      </w:r>
      <w:r>
        <w:rPr>
          <w:kern w:val="0"/>
        </w:rPr>
        <w:t>progesterone. When used as maintenance therapy after an initial treatment with topical clobetasol propionate in another trial, topical testosterone worsened the symptoms (P &lt; 0.05), but the placebo did not. One trial found no differences between pimecrolimus</w:t>
      </w:r>
      <w:r w:rsidR="005853A9">
        <w:rPr>
          <w:kern w:val="0"/>
        </w:rPr>
        <w:t xml:space="preserve"> and </w:t>
      </w:r>
      <w:r>
        <w:rPr>
          <w:kern w:val="0"/>
        </w:rPr>
        <w:t>clobetasol propionate in relieving symptoms through change in pruritus (itching) (SMD -0.33, 95% CI -0.99 to 0.33)</w:t>
      </w:r>
      <w:r w:rsidR="005853A9">
        <w:rPr>
          <w:kern w:val="0"/>
        </w:rPr>
        <w:t xml:space="preserve"> and </w:t>
      </w:r>
      <w:r>
        <w:rPr>
          <w:kern w:val="0"/>
        </w:rPr>
        <w:t xml:space="preserve">burning/pain (SMD 0.03, 95% CI -0.62 to 0.69). However, pimecrolimus was less effective than clobetasol propionate with regard to the </w:t>
      </w:r>
      <w:r w:rsidR="0071223E">
        <w:rPr>
          <w:kern w:val="0"/>
        </w:rPr>
        <w:t>‘</w:t>
      </w:r>
      <w:r>
        <w:rPr>
          <w:kern w:val="0"/>
        </w:rPr>
        <w:t>investigator-rated global degree</w:t>
      </w:r>
      <w:r w:rsidR="00427468">
        <w:rPr>
          <w:kern w:val="0"/>
        </w:rPr>
        <w:t xml:space="preserve"> of </w:t>
      </w:r>
      <w:r>
        <w:rPr>
          <w:kern w:val="0"/>
        </w:rPr>
        <w:t>improvement</w:t>
      </w:r>
      <w:r w:rsidR="0071223E">
        <w:rPr>
          <w:kern w:val="0"/>
        </w:rPr>
        <w:t>’</w:t>
      </w:r>
      <w:r>
        <w:rPr>
          <w:kern w:val="0"/>
        </w:rPr>
        <w:t xml:space="preserve"> </w:t>
      </w:r>
      <w:r>
        <w:rPr>
          <w:kern w:val="0"/>
        </w:rPr>
        <w:lastRenderedPageBreak/>
        <w:t>(SMD -1.64, 95% CI -2.40 to -0.87). This trial found no significant differences in reported adverse drug reactions between the pimecrolimus</w:t>
      </w:r>
      <w:r w:rsidR="005853A9">
        <w:rPr>
          <w:kern w:val="0"/>
        </w:rPr>
        <w:t xml:space="preserve"> and </w:t>
      </w:r>
      <w:r>
        <w:rPr>
          <w:kern w:val="0"/>
        </w:rPr>
        <w:t>placebo groups. Authors</w:t>
      </w:r>
      <w:r w:rsidR="0071223E">
        <w:rPr>
          <w:kern w:val="0"/>
        </w:rPr>
        <w:t>’</w:t>
      </w:r>
      <w:r>
        <w:rPr>
          <w:kern w:val="0"/>
        </w:rPr>
        <w:t xml:space="preserve"> conclusions The current limited evidence demonstrates the efficacy</w:t>
      </w:r>
      <w:r w:rsidR="00427468">
        <w:rPr>
          <w:kern w:val="0"/>
        </w:rPr>
        <w:t xml:space="preserve"> of </w:t>
      </w:r>
      <w:r>
        <w:rPr>
          <w:kern w:val="0"/>
        </w:rPr>
        <w:t>clobetasol propionate, mometasone furoate,</w:t>
      </w:r>
      <w:r w:rsidR="005853A9">
        <w:rPr>
          <w:kern w:val="0"/>
        </w:rPr>
        <w:t xml:space="preserve"> and </w:t>
      </w:r>
      <w:r>
        <w:rPr>
          <w:kern w:val="0"/>
        </w:rPr>
        <w:t>pimecrolimus in treating genital lichen sclerosus. Further RCTs are needed to determine the optimal potency</w:t>
      </w:r>
      <w:r w:rsidR="005853A9">
        <w:rPr>
          <w:kern w:val="0"/>
        </w:rPr>
        <w:t xml:space="preserve"> and </w:t>
      </w:r>
      <w:r>
        <w:rPr>
          <w:kern w:val="0"/>
        </w:rPr>
        <w:t>regimen</w:t>
      </w:r>
      <w:r w:rsidR="00427468">
        <w:rPr>
          <w:kern w:val="0"/>
        </w:rPr>
        <w:t xml:space="preserve"> of </w:t>
      </w:r>
      <w:r>
        <w:rPr>
          <w:kern w:val="0"/>
        </w:rPr>
        <w:t>topical corticosteroids, examine other topical interventions, assess the duration</w:t>
      </w:r>
      <w:r w:rsidR="00427468">
        <w:rPr>
          <w:kern w:val="0"/>
        </w:rPr>
        <w:t xml:space="preserve"> of </w:t>
      </w:r>
      <w:r>
        <w:rPr>
          <w:kern w:val="0"/>
        </w:rPr>
        <w:t>remission or prevention</w:t>
      </w:r>
      <w:r w:rsidR="00427468">
        <w:rPr>
          <w:kern w:val="0"/>
        </w:rPr>
        <w:t xml:space="preserve"> of </w:t>
      </w:r>
      <w:r>
        <w:rPr>
          <w:kern w:val="0"/>
        </w:rPr>
        <w:t>flares, evaluate the reduction in the risk</w:t>
      </w:r>
      <w:r w:rsidR="00427468">
        <w:rPr>
          <w:kern w:val="0"/>
        </w:rPr>
        <w:t xml:space="preserve"> of </w:t>
      </w:r>
      <w:r>
        <w:rPr>
          <w:kern w:val="0"/>
        </w:rPr>
        <w:t>genital squamous cell carcinoma or genital intraepithelial neoplasia,</w:t>
      </w:r>
      <w:r w:rsidR="005853A9">
        <w:rPr>
          <w:kern w:val="0"/>
        </w:rPr>
        <w:t xml:space="preserve"> and </w:t>
      </w:r>
      <w:r>
        <w:rPr>
          <w:kern w:val="0"/>
        </w:rPr>
        <w:t>examine the efficacy in improving the quality</w:t>
      </w:r>
      <w:r w:rsidR="00427468">
        <w:rPr>
          <w:kern w:val="0"/>
        </w:rPr>
        <w:t xml:space="preserve"> of </w:t>
      </w:r>
      <w:r>
        <w:rPr>
          <w:kern w:val="0"/>
        </w:rPr>
        <w:t>the sex lives</w:t>
      </w:r>
      <w:r w:rsidR="00427468">
        <w:rPr>
          <w:kern w:val="0"/>
        </w:rPr>
        <w:t xml:space="preserve"> of </w:t>
      </w:r>
      <w:r>
        <w:rPr>
          <w:kern w:val="0"/>
        </w:rPr>
        <w:t>people with this condition.</w:t>
      </w:r>
    </w:p>
    <w:p w:rsidR="00365DE4" w:rsidRDefault="00365DE4" w:rsidP="00365DE4">
      <w:pPr>
        <w:pStyle w:val="a3"/>
        <w:rPr>
          <w:kern w:val="0"/>
        </w:rPr>
      </w:pPr>
      <w:r>
        <w:rPr>
          <w:kern w:val="0"/>
        </w:rPr>
        <w:t xml:space="preserve">Keywords: Adult, Adverse Drug Reactions, Adverse Effects, Analysis, Anus, Atopic-Dermatitis, Authors, Bias, Bibliographies, Children, Chronic, Citation, Clinical, Clobetasol Propionate 0.05-Percent, Collection, Conference, Confidence, Corticosteroids, Criteria, Damage, Data, Data Collection, Databases, Disease, Drug, Duration, Effects, Efficacy, Et-Atrophicus, Evidence, Fusion, Global, Halcinonide Cream, Improvement, Inflammation, Interval, Intervention, Interventions, Itching, Lead, Lichen, </w:t>
      </w:r>
      <w:r w:rsidR="00D5664A">
        <w:rPr>
          <w:kern w:val="0"/>
        </w:rPr>
        <w:t>MEDLINE</w:t>
      </w:r>
      <w:r>
        <w:rPr>
          <w:kern w:val="0"/>
        </w:rPr>
        <w:t>, Men, Methods, Moisturizing Cream, Of-The-Literature, Outcomes, P, Papers, Placebo, Prevention, Progesterone, Pruritus, Quality, Quality Of, Reduction, Registries, Reviews, Risk, Science, Science Citation Index, Science Citation Index Expanded, Search, Sex, Skin, Squamous Cell Carcinoma, Symptoms, Testosterone, Therapy, Topical, Treatment, Trial, Vaginal, Women</w:t>
      </w:r>
    </w:p>
    <w:p w:rsidR="00365DE4" w:rsidRDefault="00365DE4" w:rsidP="00365DE4">
      <w:pPr>
        <w:pStyle w:val="a3"/>
        <w:rPr>
          <w:kern w:val="0"/>
        </w:rPr>
      </w:pPr>
      <w:r>
        <w:rPr>
          <w:kern w:val="0"/>
        </w:rPr>
        <w:t>? Desai, M., Gur</w:t>
      </w:r>
      <w:r w:rsidR="00D5664A">
        <w:rPr>
          <w:kern w:val="0"/>
        </w:rPr>
        <w:t>USA</w:t>
      </w:r>
      <w:r>
        <w:rPr>
          <w:kern w:val="0"/>
        </w:rPr>
        <w:t>my, K.S., Ghanbari, H., Hamilton, G.</w:t>
      </w:r>
      <w:r w:rsidR="005853A9">
        <w:rPr>
          <w:kern w:val="0"/>
        </w:rPr>
        <w:t xml:space="preserve"> and </w:t>
      </w:r>
      <w:r>
        <w:rPr>
          <w:kern w:val="0"/>
        </w:rPr>
        <w:t>Seifalian, A.M. (2011), Remote ischaemic preconditioning versus no remote ischaemic preconditioning for vascular</w:t>
      </w:r>
      <w:r w:rsidR="005853A9">
        <w:rPr>
          <w:kern w:val="0"/>
        </w:rPr>
        <w:t xml:space="preserve"> and </w:t>
      </w:r>
      <w:r>
        <w:rPr>
          <w:kern w:val="0"/>
        </w:rPr>
        <w:t xml:space="preserve">endovascular surgical procedures.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CD008472.</w:t>
      </w:r>
    </w:p>
    <w:p w:rsidR="00365DE4" w:rsidRDefault="00365DE4" w:rsidP="00365DE4">
      <w:pPr>
        <w:pStyle w:val="a3"/>
        <w:rPr>
          <w:kern w:val="2"/>
        </w:rPr>
      </w:pPr>
      <w:r>
        <w:t xml:space="preserve">Full Text: </w:t>
      </w:r>
      <w:hyperlink r:id="rId723" w:history="1">
        <w:r>
          <w:rPr>
            <w:rStyle w:val="a5"/>
          </w:rPr>
          <w:t>2011\Coc Dat Sys Rev2011, CD008472.pdf</w:t>
        </w:r>
      </w:hyperlink>
    </w:p>
    <w:p w:rsidR="00365DE4" w:rsidRDefault="00365DE4" w:rsidP="00365DE4">
      <w:pPr>
        <w:pStyle w:val="a3"/>
        <w:rPr>
          <w:kern w:val="0"/>
        </w:rPr>
      </w:pPr>
      <w:r>
        <w:rPr>
          <w:kern w:val="0"/>
        </w:rPr>
        <w:t>Abstract: Background Despite advances in perioperative care, elective major vascular surgical procedures carry a significant risk</w:t>
      </w:r>
      <w:r w:rsidR="00427468">
        <w:rPr>
          <w:kern w:val="0"/>
        </w:rPr>
        <w:t xml:space="preserve"> of </w:t>
      </w:r>
      <w:r>
        <w:rPr>
          <w:kern w:val="0"/>
        </w:rPr>
        <w:t>morbidity</w:t>
      </w:r>
      <w:r w:rsidR="005853A9">
        <w:rPr>
          <w:kern w:val="0"/>
        </w:rPr>
        <w:t xml:space="preserve"> and </w:t>
      </w:r>
      <w:r>
        <w:rPr>
          <w:kern w:val="0"/>
        </w:rPr>
        <w:t>mortality. Remote ischaemic preconditioning is initiated by brief, non-lethal periods</w:t>
      </w:r>
      <w:r w:rsidR="00427468">
        <w:rPr>
          <w:kern w:val="0"/>
        </w:rPr>
        <w:t xml:space="preserve"> of </w:t>
      </w:r>
      <w:r>
        <w:rPr>
          <w:kern w:val="0"/>
        </w:rPr>
        <w:t>ischaemia in a vascular bed different from the one which will be subjected to ischaemic insult during surgery. It has the potential to provide local tissue protection from further prolonged periods</w:t>
      </w:r>
      <w:r w:rsidR="00427468">
        <w:rPr>
          <w:kern w:val="0"/>
        </w:rPr>
        <w:t xml:space="preserve"> of </w:t>
      </w:r>
      <w:r>
        <w:rPr>
          <w:kern w:val="0"/>
        </w:rPr>
        <w:t>ischaemia. Objectives The aim</w:t>
      </w:r>
      <w:r w:rsidR="00427468">
        <w:rPr>
          <w:kern w:val="0"/>
        </w:rPr>
        <w:t xml:space="preserve"> of </w:t>
      </w:r>
      <w:r>
        <w:rPr>
          <w:kern w:val="0"/>
        </w:rPr>
        <w:t>this review was to compare the outcomes from vascular</w:t>
      </w:r>
      <w:r w:rsidR="005853A9">
        <w:rPr>
          <w:kern w:val="0"/>
        </w:rPr>
        <w:t xml:space="preserve"> and </w:t>
      </w:r>
      <w:r>
        <w:rPr>
          <w:kern w:val="0"/>
        </w:rPr>
        <w:t>endovascular surgical procedures with</w:t>
      </w:r>
      <w:r w:rsidR="005853A9">
        <w:rPr>
          <w:kern w:val="0"/>
        </w:rPr>
        <w:t xml:space="preserve"> and </w:t>
      </w:r>
      <w:r>
        <w:rPr>
          <w:kern w:val="0"/>
        </w:rPr>
        <w:t>without the use</w:t>
      </w:r>
      <w:r w:rsidR="00427468">
        <w:rPr>
          <w:kern w:val="0"/>
        </w:rPr>
        <w:t xml:space="preserve"> of </w:t>
      </w:r>
      <w:r>
        <w:rPr>
          <w:kern w:val="0"/>
        </w:rPr>
        <w:t>remote ischaemic preconditioning. Search methods The Cochrane Peripheral Vascular Diseases Group searched their Specialised Register (June 2011)</w:t>
      </w:r>
      <w:r w:rsidR="005853A9">
        <w:rPr>
          <w:kern w:val="0"/>
        </w:rPr>
        <w:t xml:space="preserve"> and </w:t>
      </w:r>
      <w:r>
        <w:rPr>
          <w:kern w:val="0"/>
        </w:rPr>
        <w:t>CENTRAL (2011, Issue 2)</w:t>
      </w:r>
      <w:r w:rsidR="00A37C1D">
        <w:rPr>
          <w:kern w:val="0"/>
        </w:rPr>
        <w:t>. The</w:t>
      </w:r>
      <w:r>
        <w:rPr>
          <w:kern w:val="0"/>
        </w:rPr>
        <w:t xml:space="preserve"> authors searched </w:t>
      </w:r>
      <w:r w:rsidR="00D5664A">
        <w:rPr>
          <w:kern w:val="0"/>
        </w:rPr>
        <w:t>MEDLINE</w:t>
      </w:r>
      <w:r>
        <w:rPr>
          <w:kern w:val="0"/>
        </w:rPr>
        <w:t xml:space="preserve"> via PubMed (July 2011), EMBASE (June 2011),</w:t>
      </w:r>
      <w:r w:rsidR="005853A9">
        <w:rPr>
          <w:kern w:val="0"/>
        </w:rPr>
        <w:t xml:space="preserve"> and </w:t>
      </w:r>
      <w:r>
        <w:rPr>
          <w:kern w:val="0"/>
        </w:rPr>
        <w:t>Science Citation Index Expanded (July 2011). Selection criteria We considered for inclusion all randomised controlled trials that evaluated the role</w:t>
      </w:r>
      <w:r w:rsidR="00427468">
        <w:rPr>
          <w:kern w:val="0"/>
        </w:rPr>
        <w:t xml:space="preserve"> of </w:t>
      </w:r>
      <w:r>
        <w:rPr>
          <w:kern w:val="0"/>
        </w:rPr>
        <w:t>remote ischaemic preconditioning in reducing mortality</w:t>
      </w:r>
      <w:r w:rsidR="005853A9">
        <w:rPr>
          <w:kern w:val="0"/>
        </w:rPr>
        <w:t xml:space="preserve"> and </w:t>
      </w:r>
      <w:r>
        <w:rPr>
          <w:kern w:val="0"/>
        </w:rPr>
        <w:t xml:space="preserve">systemic injury in patients undergoing open vascular or endovascular surgery. Data </w:t>
      </w:r>
      <w:r>
        <w:rPr>
          <w:kern w:val="0"/>
        </w:rPr>
        <w:lastRenderedPageBreak/>
        <w:t>collection</w:t>
      </w:r>
      <w:r w:rsidR="005853A9">
        <w:rPr>
          <w:kern w:val="0"/>
        </w:rPr>
        <w:t xml:space="preserve"> and </w:t>
      </w:r>
      <w:r>
        <w:rPr>
          <w:kern w:val="0"/>
        </w:rPr>
        <w:t>analysis We collected the data on characteristics</w:t>
      </w:r>
      <w:r w:rsidR="00427468">
        <w:rPr>
          <w:kern w:val="0"/>
        </w:rPr>
        <w:t xml:space="preserve"> of </w:t>
      </w:r>
      <w:r>
        <w:rPr>
          <w:kern w:val="0"/>
        </w:rPr>
        <w:t>the trial, methodological quality, the remote ischaemic preconditioning stimulus used, mortality, morbidity, operating time</w:t>
      </w:r>
      <w:r w:rsidR="005853A9">
        <w:rPr>
          <w:kern w:val="0"/>
        </w:rPr>
        <w:t xml:space="preserve"> and </w:t>
      </w:r>
      <w:r>
        <w:rPr>
          <w:kern w:val="0"/>
        </w:rPr>
        <w:t>hospital stay from each trial. We analysed the data with both the fixed-effect</w:t>
      </w:r>
      <w:r w:rsidR="005853A9">
        <w:rPr>
          <w:kern w:val="0"/>
        </w:rPr>
        <w:t xml:space="preserve"> and </w:t>
      </w:r>
      <w:r>
        <w:rPr>
          <w:kern w:val="0"/>
        </w:rPr>
        <w:t>the random-effects models using RevMan analysis. For each outcome we calculated the risk ratio (RR) or mean difference with 95% confidence interval (CI) based on an intention-to-treat analysis. Main results We included four studies with a total</w:t>
      </w:r>
      <w:r w:rsidR="00427468">
        <w:rPr>
          <w:kern w:val="0"/>
        </w:rPr>
        <w:t xml:space="preserve"> of </w:t>
      </w:r>
      <w:r>
        <w:rPr>
          <w:kern w:val="0"/>
        </w:rPr>
        <w:t>115 patients randomised to undergo a vascular procedure with remote ischaemic preconditioning</w:t>
      </w:r>
      <w:r w:rsidR="005853A9">
        <w:rPr>
          <w:kern w:val="0"/>
        </w:rPr>
        <w:t xml:space="preserve"> and </w:t>
      </w:r>
      <w:r>
        <w:rPr>
          <w:kern w:val="0"/>
        </w:rPr>
        <w:t>117 patients randomised to have the procedure without remote ischaemic preconditioning. None</w:t>
      </w:r>
      <w:r w:rsidR="00427468">
        <w:rPr>
          <w:kern w:val="0"/>
        </w:rPr>
        <w:t xml:space="preserve"> of </w:t>
      </w:r>
      <w:r>
        <w:rPr>
          <w:kern w:val="0"/>
        </w:rPr>
        <w:t>the trials were</w:t>
      </w:r>
      <w:r w:rsidR="00427468">
        <w:rPr>
          <w:kern w:val="0"/>
        </w:rPr>
        <w:t xml:space="preserve"> of </w:t>
      </w:r>
      <w:r>
        <w:rPr>
          <w:kern w:val="0"/>
        </w:rPr>
        <w:t>low risk</w:t>
      </w:r>
      <w:r w:rsidR="00427468">
        <w:rPr>
          <w:kern w:val="0"/>
        </w:rPr>
        <w:t xml:space="preserve"> of </w:t>
      </w:r>
      <w:r>
        <w:rPr>
          <w:kern w:val="0"/>
        </w:rPr>
        <w:t>bias</w:t>
      </w:r>
      <w:r w:rsidR="00A37C1D">
        <w:rPr>
          <w:kern w:val="0"/>
        </w:rPr>
        <w:t>. The</w:t>
      </w:r>
      <w:r>
        <w:rPr>
          <w:kern w:val="0"/>
        </w:rPr>
        <w:t>re was no significant difference in mortality between the two groups (RR 1.70, 95% CI 0.51 to 5.72). Similarly, there was no statistically significant difference between the two groups for all other outcomes except reduced risk</w:t>
      </w:r>
      <w:r w:rsidR="00427468">
        <w:rPr>
          <w:kern w:val="0"/>
        </w:rPr>
        <w:t xml:space="preserve"> of </w:t>
      </w:r>
      <w:r>
        <w:rPr>
          <w:kern w:val="0"/>
        </w:rPr>
        <w:t>myocardial infarction in the remote ischaemic preconditioning group, which was significant by the fixed-effect model (RR 0.31, 95% CI 0.10 to 0.90) but not by the random-effects model (RR 0.34, 95% CI 0.11 to 1.08). This positive effect was from the results</w:t>
      </w:r>
      <w:r w:rsidR="00427468">
        <w:rPr>
          <w:kern w:val="0"/>
        </w:rPr>
        <w:t xml:space="preserve"> of </w:t>
      </w:r>
      <w:r>
        <w:rPr>
          <w:kern w:val="0"/>
        </w:rPr>
        <w:t>only one trial</w:t>
      </w:r>
      <w:r w:rsidR="005853A9">
        <w:rPr>
          <w:kern w:val="0"/>
        </w:rPr>
        <w:t xml:space="preserve"> and </w:t>
      </w:r>
      <w:r>
        <w:rPr>
          <w:kern w:val="0"/>
        </w:rPr>
        <w:t>was not consistently observed. Furthermore, it was noted that there was an observed trend</w:t>
      </w:r>
      <w:r w:rsidR="00427468">
        <w:rPr>
          <w:kern w:val="0"/>
        </w:rPr>
        <w:t xml:space="preserve"> of </w:t>
      </w:r>
      <w:r>
        <w:rPr>
          <w:kern w:val="0"/>
        </w:rPr>
        <w:t>high incidence</w:t>
      </w:r>
      <w:r w:rsidR="00427468">
        <w:rPr>
          <w:kern w:val="0"/>
        </w:rPr>
        <w:t xml:space="preserve"> of </w:t>
      </w:r>
      <w:r>
        <w:rPr>
          <w:kern w:val="0"/>
        </w:rPr>
        <w:t>unplanned critical care admission in the remote ischaemic preconditioning group, although this was not statistically significant (RR 2.15, 95% CI 0.87 to 5.33). Authors</w:t>
      </w:r>
      <w:r w:rsidR="0071223E">
        <w:rPr>
          <w:kern w:val="0"/>
        </w:rPr>
        <w:t>’</w:t>
      </w:r>
      <w:r>
        <w:rPr>
          <w:kern w:val="0"/>
        </w:rPr>
        <w:t xml:space="preserve"> conclusions Based on current evidence from small pilot trials, there are too few data to be able to say whether remote ischaemic preconditioning has any beneficial or harmful effects</w:t>
      </w:r>
      <w:r w:rsidR="00A37C1D">
        <w:rPr>
          <w:kern w:val="0"/>
        </w:rPr>
        <w:t>. The</w:t>
      </w:r>
      <w:r>
        <w:rPr>
          <w:kern w:val="0"/>
        </w:rPr>
        <w:t xml:space="preserve"> safety</w:t>
      </w:r>
      <w:r w:rsidR="00427468">
        <w:rPr>
          <w:kern w:val="0"/>
        </w:rPr>
        <w:t xml:space="preserve"> of </w:t>
      </w:r>
      <w:r>
        <w:rPr>
          <w:kern w:val="0"/>
        </w:rPr>
        <w:t>this technique needs to be confirmed in adequately powered trials</w:t>
      </w:r>
      <w:r w:rsidR="00A37C1D">
        <w:rPr>
          <w:kern w:val="0"/>
        </w:rPr>
        <w:t>. The</w:t>
      </w:r>
      <w:r>
        <w:rPr>
          <w:kern w:val="0"/>
        </w:rPr>
        <w:t>refore, further randomised trials on this technique are required.</w:t>
      </w:r>
    </w:p>
    <w:p w:rsidR="00365DE4" w:rsidRDefault="00365DE4" w:rsidP="00365DE4">
      <w:pPr>
        <w:pStyle w:val="a3"/>
        <w:rPr>
          <w:kern w:val="0"/>
        </w:rPr>
      </w:pPr>
      <w:r>
        <w:rPr>
          <w:kern w:val="0"/>
        </w:rPr>
        <w:t xml:space="preserve">Keywords: Abdominal Aortic-Aneurysms, Advances, Analysis, Authors, Bias, Cardiac Protection, Care, Carotid-Endarterectomy, Characteristics, Citation, Clinical-Trials, Collection, Confidence, Criteria, Critical Care, Data, Data Collection, Effects, Elective, Empirical-Evidence, Evidence, Hospital, Hospital Stay, Incidence, Infarction, Injury, Interval, Ischaemia, Local, Low, Low Risk, </w:t>
      </w:r>
      <w:r w:rsidR="00D5664A">
        <w:rPr>
          <w:kern w:val="0"/>
        </w:rPr>
        <w:t>MEDLINE</w:t>
      </w:r>
      <w:r>
        <w:rPr>
          <w:kern w:val="0"/>
        </w:rPr>
        <w:t>, Metaanalysis, Methods, Model, Models, Morbidity, Mortality, Myocardial Infarction, Needs, Open, Outcome, Outcomes, Patients, Pilot, Potential, Preconditioning, Procedure, Procedures, Prolonged, Protection, Pubmed, Quality, Random Effects Model, Randomised, Randomised Controlled Trials, Randomized Controlled-Trial, Reperfusion Injury, Review, Risk, Role, Safety, Science, Science Citation Index, Science Citation Index Expanded, Search, Small, Surgery, Surgical Procedures, Trend, Trial</w:t>
      </w:r>
    </w:p>
    <w:p w:rsidR="00365DE4" w:rsidRDefault="00365DE4" w:rsidP="00365DE4">
      <w:pPr>
        <w:pStyle w:val="a3"/>
        <w:rPr>
          <w:kern w:val="0"/>
        </w:rPr>
      </w:pPr>
      <w:r>
        <w:rPr>
          <w:kern w:val="0"/>
        </w:rPr>
        <w:t>? Zhong, J.H., Li, L.Q.</w:t>
      </w:r>
      <w:r w:rsidR="005853A9">
        <w:rPr>
          <w:kern w:val="0"/>
        </w:rPr>
        <w:t xml:space="preserve"> and </w:t>
      </w:r>
      <w:r>
        <w:rPr>
          <w:kern w:val="0"/>
        </w:rPr>
        <w:t xml:space="preserve">Wu, L.C. (2011), Lamivudine with or without adefovir dipivoxil for postoperative hepatocellular carcinoma.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CD008713.</w:t>
      </w:r>
    </w:p>
    <w:p w:rsidR="00365DE4" w:rsidRDefault="00365DE4" w:rsidP="00365DE4">
      <w:pPr>
        <w:pStyle w:val="a3"/>
        <w:rPr>
          <w:kern w:val="2"/>
        </w:rPr>
      </w:pPr>
      <w:r>
        <w:lastRenderedPageBreak/>
        <w:t xml:space="preserve">Full Text: </w:t>
      </w:r>
      <w:hyperlink r:id="rId724" w:history="1">
        <w:r>
          <w:rPr>
            <w:rStyle w:val="a5"/>
          </w:rPr>
          <w:t>2011\Coc Dat Sys Rev2011, CD008713.pdf</w:t>
        </w:r>
      </w:hyperlink>
    </w:p>
    <w:p w:rsidR="00365DE4" w:rsidRDefault="00365DE4" w:rsidP="00365DE4">
      <w:pPr>
        <w:pStyle w:val="a3"/>
        <w:rPr>
          <w:kern w:val="0"/>
        </w:rPr>
      </w:pPr>
      <w:r>
        <w:rPr>
          <w:kern w:val="0"/>
        </w:rPr>
        <w:t>Abstract: Background Hepatocellular carcinoma (HCC) is a significant cause</w:t>
      </w:r>
      <w:r w:rsidR="00427468">
        <w:rPr>
          <w:kern w:val="0"/>
        </w:rPr>
        <w:t xml:space="preserve"> of </w:t>
      </w:r>
      <w:r>
        <w:rPr>
          <w:kern w:val="0"/>
        </w:rPr>
        <w:t>death, especially in Asia</w:t>
      </w:r>
      <w:r w:rsidR="005853A9">
        <w:rPr>
          <w:kern w:val="0"/>
        </w:rPr>
        <w:t xml:space="preserve"> and </w:t>
      </w:r>
      <w:r>
        <w:rPr>
          <w:kern w:val="0"/>
        </w:rPr>
        <w:t>sub-Saharan Africa. Removal</w:t>
      </w:r>
      <w:r w:rsidR="00427468">
        <w:rPr>
          <w:kern w:val="0"/>
        </w:rPr>
        <w:t xml:space="preserve"> of </w:t>
      </w:r>
      <w:r>
        <w:rPr>
          <w:kern w:val="0"/>
        </w:rPr>
        <w:t>the cancer through surgery or other techniques is considered the first-line therapy in early HCC, but relapse</w:t>
      </w:r>
      <w:r w:rsidR="00427468">
        <w:rPr>
          <w:kern w:val="0"/>
        </w:rPr>
        <w:t xml:space="preserve"> of </w:t>
      </w:r>
      <w:r>
        <w:rPr>
          <w:kern w:val="0"/>
        </w:rPr>
        <w:t>HCC is the main postoperative problem</w:t>
      </w:r>
      <w:r w:rsidR="00A37C1D">
        <w:rPr>
          <w:kern w:val="0"/>
        </w:rPr>
        <w:t>. The</w:t>
      </w:r>
      <w:r>
        <w:rPr>
          <w:kern w:val="0"/>
        </w:rPr>
        <w:t xml:space="preserve"> main risk factor for HCC is hepatitis B virus (HBV) infection. Lamivudine</w:t>
      </w:r>
      <w:r w:rsidR="005853A9">
        <w:rPr>
          <w:kern w:val="0"/>
        </w:rPr>
        <w:t xml:space="preserve"> and </w:t>
      </w:r>
      <w:r>
        <w:rPr>
          <w:kern w:val="0"/>
        </w:rPr>
        <w:t>adefovir dipivoxil are effective</w:t>
      </w:r>
      <w:r w:rsidR="005853A9">
        <w:rPr>
          <w:kern w:val="0"/>
        </w:rPr>
        <w:t xml:space="preserve"> and </w:t>
      </w:r>
      <w:r>
        <w:rPr>
          <w:kern w:val="0"/>
        </w:rPr>
        <w:t>tolerable for chronic hepatitis B by suppressing the viral load</w:t>
      </w:r>
      <w:r w:rsidR="005853A9">
        <w:rPr>
          <w:kern w:val="0"/>
        </w:rPr>
        <w:t xml:space="preserve"> and </w:t>
      </w:r>
      <w:r>
        <w:rPr>
          <w:kern w:val="0"/>
        </w:rPr>
        <w:t>to reduce fibrosis in the liver. Objectives To assess the benefits</w:t>
      </w:r>
      <w:r w:rsidR="005853A9">
        <w:rPr>
          <w:kern w:val="0"/>
        </w:rPr>
        <w:t xml:space="preserve"> and </w:t>
      </w:r>
      <w:r>
        <w:rPr>
          <w:kern w:val="0"/>
        </w:rPr>
        <w:t>harms</w:t>
      </w:r>
      <w:r w:rsidR="00427468">
        <w:rPr>
          <w:kern w:val="0"/>
        </w:rPr>
        <w:t xml:space="preserve"> of </w:t>
      </w:r>
      <w:r>
        <w:rPr>
          <w:kern w:val="0"/>
        </w:rPr>
        <w:t>postoperative administration</w:t>
      </w:r>
      <w:r w:rsidR="00427468">
        <w:rPr>
          <w:kern w:val="0"/>
        </w:rPr>
        <w:t xml:space="preserve"> of </w:t>
      </w:r>
      <w:r>
        <w:rPr>
          <w:kern w:val="0"/>
        </w:rPr>
        <w:t>lamivudine with or without adefovir dipivoxil in participants with surgically treated HCC</w:t>
      </w:r>
      <w:r w:rsidR="005853A9">
        <w:rPr>
          <w:kern w:val="0"/>
        </w:rPr>
        <w:t xml:space="preserve"> and </w:t>
      </w:r>
      <w:r>
        <w:rPr>
          <w:kern w:val="0"/>
        </w:rPr>
        <w:t>chronic HBV infection or HBV carrier state. Search methods A systematic search was performed in The Cochrane Hepato-Biliary Group Controlled Trials Register, the Cochrane Central Register</w:t>
      </w:r>
      <w:r w:rsidR="00427468">
        <w:rPr>
          <w:kern w:val="0"/>
        </w:rPr>
        <w:t xml:space="preserve"> of </w:t>
      </w:r>
      <w:r>
        <w:rPr>
          <w:kern w:val="0"/>
        </w:rPr>
        <w:t xml:space="preserve">Controlled Trials (CENTRAL) in T h e Coch ran e Library, </w:t>
      </w:r>
      <w:r w:rsidR="00D5664A">
        <w:rPr>
          <w:kern w:val="0"/>
        </w:rPr>
        <w:t>MEDLINE</w:t>
      </w:r>
      <w:r>
        <w:rPr>
          <w:kern w:val="0"/>
        </w:rPr>
        <w:t>, EMBASE,</w:t>
      </w:r>
      <w:r w:rsidR="005853A9">
        <w:rPr>
          <w:kern w:val="0"/>
        </w:rPr>
        <w:t xml:space="preserve"> and </w:t>
      </w:r>
      <w:r>
        <w:rPr>
          <w:kern w:val="0"/>
        </w:rPr>
        <w:t>Science Citation Index Expanded (SCI Exp) in October 2011. Further trials have been sought through scanning reference lists</w:t>
      </w:r>
      <w:r w:rsidR="00427468">
        <w:rPr>
          <w:kern w:val="0"/>
        </w:rPr>
        <w:t xml:space="preserve"> of </w:t>
      </w:r>
      <w:r>
        <w:rPr>
          <w:kern w:val="0"/>
        </w:rPr>
        <w:t>relevant articles. Selection criteria Randomised clinical trials comparing the administration</w:t>
      </w:r>
      <w:r w:rsidR="00427468">
        <w:rPr>
          <w:kern w:val="0"/>
        </w:rPr>
        <w:t xml:space="preserve"> of </w:t>
      </w:r>
      <w:r>
        <w:rPr>
          <w:kern w:val="0"/>
        </w:rPr>
        <w:t>lamivudine with</w:t>
      </w:r>
      <w:r w:rsidR="005853A9">
        <w:rPr>
          <w:kern w:val="0"/>
        </w:rPr>
        <w:t xml:space="preserve"> and </w:t>
      </w:r>
      <w:r>
        <w:rPr>
          <w:kern w:val="0"/>
        </w:rPr>
        <w:t>without adefovir dipivoxil for participants with ablation treated HCC (surgical or through other techniques)</w:t>
      </w:r>
      <w:r w:rsidR="005853A9">
        <w:rPr>
          <w:kern w:val="0"/>
        </w:rPr>
        <w:t xml:space="preserve"> and </w:t>
      </w:r>
      <w:r>
        <w:rPr>
          <w:kern w:val="0"/>
        </w:rPr>
        <w:t>chronic HBV infection or HBV carrier state, regardless</w:t>
      </w:r>
      <w:r w:rsidR="00427468">
        <w:rPr>
          <w:kern w:val="0"/>
        </w:rPr>
        <w:t xml:space="preserve"> of </w:t>
      </w:r>
      <w:r>
        <w:rPr>
          <w:kern w:val="0"/>
        </w:rPr>
        <w:t>publication status, language, blinding,</w:t>
      </w:r>
      <w:r w:rsidR="005853A9">
        <w:rPr>
          <w:kern w:val="0"/>
        </w:rPr>
        <w:t xml:space="preserve"> and </w:t>
      </w:r>
      <w:r>
        <w:rPr>
          <w:kern w:val="0"/>
        </w:rPr>
        <w:t>publication status, were to be included in this review. We planned to extract data on harms from quasi-randomised studies or cohort studies when retrieved with the search results. Data collection</w:t>
      </w:r>
      <w:r w:rsidR="005853A9">
        <w:rPr>
          <w:kern w:val="0"/>
        </w:rPr>
        <w:t xml:space="preserve"> and </w:t>
      </w:r>
      <w:r>
        <w:rPr>
          <w:kern w:val="0"/>
        </w:rPr>
        <w:t>analysis Two authors independently selected studies for inclusion,</w:t>
      </w:r>
      <w:r w:rsidR="005853A9">
        <w:rPr>
          <w:kern w:val="0"/>
        </w:rPr>
        <w:t xml:space="preserve"> and </w:t>
      </w:r>
      <w:r>
        <w:rPr>
          <w:kern w:val="0"/>
        </w:rPr>
        <w:t>extracted</w:t>
      </w:r>
      <w:r w:rsidR="005853A9">
        <w:rPr>
          <w:kern w:val="0"/>
        </w:rPr>
        <w:t xml:space="preserve"> and </w:t>
      </w:r>
      <w:r>
        <w:rPr>
          <w:kern w:val="0"/>
        </w:rPr>
        <w:t>analysed the data</w:t>
      </w:r>
      <w:r w:rsidR="00A37C1D">
        <w:rPr>
          <w:kern w:val="0"/>
        </w:rPr>
        <w:t>. The</w:t>
      </w:r>
      <w:r>
        <w:rPr>
          <w:kern w:val="0"/>
        </w:rPr>
        <w:t xml:space="preserve"> type</w:t>
      </w:r>
      <w:r w:rsidR="005853A9">
        <w:rPr>
          <w:kern w:val="0"/>
        </w:rPr>
        <w:t xml:space="preserve"> and </w:t>
      </w:r>
      <w:r>
        <w:rPr>
          <w:kern w:val="0"/>
        </w:rPr>
        <w:t>number</w:t>
      </w:r>
      <w:r w:rsidR="00427468">
        <w:rPr>
          <w:kern w:val="0"/>
        </w:rPr>
        <w:t xml:space="preserve"> of </w:t>
      </w:r>
      <w:r>
        <w:rPr>
          <w:kern w:val="0"/>
        </w:rPr>
        <w:t>adverse events were reported descriptively. Main results No randomised trials could be included into this systematic review. Thus, we were unable to follow our pre-published protocol</w:t>
      </w:r>
      <w:r w:rsidR="005853A9">
        <w:rPr>
          <w:kern w:val="0"/>
        </w:rPr>
        <w:t xml:space="preserve"> and </w:t>
      </w:r>
      <w:r>
        <w:rPr>
          <w:kern w:val="0"/>
        </w:rPr>
        <w:t>perform meta-analyses. Through our searches for randomised clinical trials, four cohort trials with 230 participants were retrieved. We read them in order to find data on harm, ie, adverse events. Breakthrough hepatitis was a serious adverse event attributable to lamivudine. No other adverse events seemed to be caused by the administration</w:t>
      </w:r>
      <w:r w:rsidR="00427468">
        <w:rPr>
          <w:kern w:val="0"/>
        </w:rPr>
        <w:t xml:space="preserve"> of </w:t>
      </w:r>
      <w:r>
        <w:rPr>
          <w:kern w:val="0"/>
        </w:rPr>
        <w:t>lamivudine or adefovir dipivoxil were reported in the four cohort studies. Authors</w:t>
      </w:r>
      <w:r w:rsidR="0071223E">
        <w:rPr>
          <w:kern w:val="0"/>
        </w:rPr>
        <w:t>’</w:t>
      </w:r>
      <w:r>
        <w:rPr>
          <w:kern w:val="0"/>
        </w:rPr>
        <w:t xml:space="preserve"> conclusions No evidence from randomised trials on the beneficial or harmful effects</w:t>
      </w:r>
      <w:r w:rsidR="00427468">
        <w:rPr>
          <w:kern w:val="0"/>
        </w:rPr>
        <w:t xml:space="preserve"> of </w:t>
      </w:r>
      <w:r>
        <w:rPr>
          <w:kern w:val="0"/>
        </w:rPr>
        <w:t>lamivudine with or without adefovir dipivoxil for postoperative HCC was found. Randomised clinical trials with large number</w:t>
      </w:r>
      <w:r w:rsidR="00427468">
        <w:rPr>
          <w:kern w:val="0"/>
        </w:rPr>
        <w:t xml:space="preserve"> of </w:t>
      </w:r>
      <w:r>
        <w:rPr>
          <w:kern w:val="0"/>
        </w:rPr>
        <w:t>participants</w:t>
      </w:r>
      <w:r w:rsidR="005853A9">
        <w:rPr>
          <w:kern w:val="0"/>
        </w:rPr>
        <w:t xml:space="preserve"> and </w:t>
      </w:r>
      <w:r>
        <w:rPr>
          <w:kern w:val="0"/>
        </w:rPr>
        <w:t>long follow-up period should be carried out to direct clinical practice.</w:t>
      </w:r>
    </w:p>
    <w:p w:rsidR="00365DE4" w:rsidRDefault="00365DE4" w:rsidP="00365DE4">
      <w:pPr>
        <w:pStyle w:val="a3"/>
        <w:rPr>
          <w:kern w:val="0"/>
        </w:rPr>
      </w:pPr>
      <w:r>
        <w:rPr>
          <w:kern w:val="0"/>
        </w:rPr>
        <w:t>Keywords: Administration, Africa, Analysis, Antiviral Therapy, Articles, Asia, Authors, Cancer, Carrier State, Cause</w:t>
      </w:r>
      <w:r w:rsidR="00427468">
        <w:rPr>
          <w:kern w:val="0"/>
        </w:rPr>
        <w:t xml:space="preserve"> of </w:t>
      </w:r>
      <w:r>
        <w:rPr>
          <w:kern w:val="0"/>
        </w:rPr>
        <w:t xml:space="preserve">Death, Chronic, Chronic Hepatitis, Citation, Clinical, Clinical Practice, Clinical Trials, Cohort, Collection, Controlled-Trials, Criteria, Data, Data Collection, Death, Dna Level, Effects, Empirical-Evidence, Events, Evidence, Fibrosis, Follow-Up, HBV, Hepatitis, Hepatitis B, Hepatitis B Virus, </w:t>
      </w:r>
      <w:r>
        <w:rPr>
          <w:kern w:val="0"/>
        </w:rPr>
        <w:lastRenderedPageBreak/>
        <w:t xml:space="preserve">Hepatitis-B-Virus, Infection, Lamivudine, Liver, Liver Resection, Load, </w:t>
      </w:r>
      <w:r w:rsidR="00D5664A">
        <w:rPr>
          <w:kern w:val="0"/>
        </w:rPr>
        <w:t>MEDLINE</w:t>
      </w:r>
      <w:r>
        <w:rPr>
          <w:kern w:val="0"/>
        </w:rPr>
        <w:t>, Methods, Nucleotide Analogs, Postoperative, Practice, Preemptive Lamivudine, Publication, Randomised, Randomized-Trials, Reference, Reference Lists, Relapse, Removal, Review, Risk, Risk Factor, Risk-Factors</w:t>
      </w:r>
      <w:r w:rsidR="00D5664A">
        <w:rPr>
          <w:kern w:val="0"/>
        </w:rPr>
        <w:t>, SCI,</w:t>
      </w:r>
      <w:r>
        <w:rPr>
          <w:kern w:val="0"/>
        </w:rPr>
        <w:t xml:space="preserve"> Science, Science Citation Index, Science Citation Index Expanded, Search, State, Sub-Saharan Africa, Surgery, Systematic Review, Techniques, Therapy, Viral, Viral Load</w:t>
      </w:r>
    </w:p>
    <w:p w:rsidR="00365DE4" w:rsidRDefault="00365DE4" w:rsidP="00365DE4">
      <w:pPr>
        <w:pStyle w:val="a3"/>
        <w:rPr>
          <w:kern w:val="0"/>
        </w:rPr>
      </w:pPr>
      <w:r>
        <w:rPr>
          <w:kern w:val="0"/>
        </w:rPr>
        <w:t>? Gur</w:t>
      </w:r>
      <w:r w:rsidR="00D5664A">
        <w:rPr>
          <w:kern w:val="0"/>
        </w:rPr>
        <w:t>USA</w:t>
      </w:r>
      <w:r>
        <w:rPr>
          <w:kern w:val="0"/>
        </w:rPr>
        <w:t>my, K.S., Pissanou, T., Pikhart, H., Vaughan, J., Burroughs, A.K.</w:t>
      </w:r>
      <w:r w:rsidR="005853A9">
        <w:rPr>
          <w:kern w:val="0"/>
        </w:rPr>
        <w:t xml:space="preserve"> and </w:t>
      </w:r>
      <w:r>
        <w:rPr>
          <w:kern w:val="0"/>
        </w:rPr>
        <w:t>Davidson, B.R. (2011), Methods to decrease blood loss</w:t>
      </w:r>
      <w:r w:rsidR="005853A9">
        <w:rPr>
          <w:kern w:val="0"/>
        </w:rPr>
        <w:t xml:space="preserve"> and </w:t>
      </w:r>
      <w:r>
        <w:rPr>
          <w:kern w:val="0"/>
        </w:rPr>
        <w:t xml:space="preserve">transfusion requirements for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CD009052.</w:t>
      </w:r>
    </w:p>
    <w:p w:rsidR="00365DE4" w:rsidRDefault="00365DE4" w:rsidP="00365DE4">
      <w:pPr>
        <w:pStyle w:val="a3"/>
        <w:rPr>
          <w:kern w:val="2"/>
        </w:rPr>
      </w:pPr>
      <w:r>
        <w:t xml:space="preserve">Full Text: </w:t>
      </w:r>
      <w:hyperlink r:id="rId725" w:history="1">
        <w:r>
          <w:rPr>
            <w:rStyle w:val="a5"/>
          </w:rPr>
          <w:t>2011\Coc Dat Sys Rev2011, CD009052.pdf</w:t>
        </w:r>
      </w:hyperlink>
    </w:p>
    <w:p w:rsidR="00365DE4" w:rsidRDefault="00365DE4" w:rsidP="00365DE4">
      <w:pPr>
        <w:pStyle w:val="a3"/>
        <w:rPr>
          <w:kern w:val="0"/>
        </w:rPr>
      </w:pPr>
      <w:r>
        <w:rPr>
          <w:kern w:val="0"/>
        </w:rPr>
        <w:t>Abstract: Background Excessive blood loss</w:t>
      </w:r>
      <w:r w:rsidR="005853A9">
        <w:rPr>
          <w:kern w:val="0"/>
        </w:rPr>
        <w:t xml:space="preserve"> and </w:t>
      </w:r>
      <w:r>
        <w:rPr>
          <w:kern w:val="0"/>
        </w:rPr>
        <w:t>increased blood transfusion requirements may have significant impact on the short-term</w:t>
      </w:r>
      <w:r w:rsidR="005853A9">
        <w:rPr>
          <w:kern w:val="0"/>
        </w:rPr>
        <w:t xml:space="preserve"> and </w:t>
      </w:r>
      <w:r>
        <w:rPr>
          <w:kern w:val="0"/>
        </w:rPr>
        <w:t>long-term outcomes after liver transplantation. Objectives To compare the potential benefits</w:t>
      </w:r>
      <w:r w:rsidR="005853A9">
        <w:rPr>
          <w:kern w:val="0"/>
        </w:rPr>
        <w:t xml:space="preserve"> and </w:t>
      </w:r>
      <w:r>
        <w:rPr>
          <w:kern w:val="0"/>
        </w:rPr>
        <w:t>harms</w:t>
      </w:r>
      <w:r w:rsidR="00427468">
        <w:rPr>
          <w:kern w:val="0"/>
        </w:rPr>
        <w:t xml:space="preserve"> of </w:t>
      </w:r>
      <w:r>
        <w:rPr>
          <w:kern w:val="0"/>
        </w:rPr>
        <w:t>different methods</w:t>
      </w:r>
      <w:r w:rsidR="00427468">
        <w:rPr>
          <w:kern w:val="0"/>
        </w:rPr>
        <w:t xml:space="preserve"> of </w:t>
      </w:r>
      <w:r>
        <w:rPr>
          <w:kern w:val="0"/>
        </w:rPr>
        <w:t>decreasing blood loss</w:t>
      </w:r>
      <w:r w:rsidR="005853A9">
        <w:rPr>
          <w:kern w:val="0"/>
        </w:rPr>
        <w:t xml:space="preserve"> and </w:t>
      </w:r>
      <w:r>
        <w:rPr>
          <w:kern w:val="0"/>
        </w:rPr>
        <w:t>blood transfusion requirements during liver transplantation. Search methods We searched The Cochrane Central Register</w:t>
      </w:r>
      <w:r w:rsidR="00427468">
        <w:rPr>
          <w:kern w:val="0"/>
        </w:rPr>
        <w:t xml:space="preserve"> of </w:t>
      </w:r>
      <w:r>
        <w:rPr>
          <w:kern w:val="0"/>
        </w:rPr>
        <w:t xml:space="preserve">Controlled Trials in The Cochrane Library, </w:t>
      </w:r>
      <w:r w:rsidR="00D5664A">
        <w:rPr>
          <w:kern w:val="0"/>
        </w:rPr>
        <w:t>MEDLINE</w:t>
      </w:r>
      <w:r>
        <w:rPr>
          <w:kern w:val="0"/>
        </w:rPr>
        <w:t>, EMBASE, Science Citation Index Expanded,</w:t>
      </w:r>
      <w:r w:rsidR="005853A9">
        <w:rPr>
          <w:kern w:val="0"/>
        </w:rPr>
        <w:t xml:space="preserve"> and </w:t>
      </w:r>
      <w:r>
        <w:rPr>
          <w:kern w:val="0"/>
        </w:rPr>
        <w:t>metaRegister</w:t>
      </w:r>
      <w:r w:rsidR="00427468">
        <w:rPr>
          <w:kern w:val="0"/>
        </w:rPr>
        <w:t xml:space="preserve"> of </w:t>
      </w:r>
      <w:r>
        <w:rPr>
          <w:kern w:val="0"/>
        </w:rPr>
        <w:t>Controlled Trials until September 2011. Selection criteria We included all randomised clinical trials that were performed to compare various methods</w:t>
      </w:r>
      <w:r w:rsidR="00427468">
        <w:rPr>
          <w:kern w:val="0"/>
        </w:rPr>
        <w:t xml:space="preserve"> of </w:t>
      </w:r>
      <w:r>
        <w:rPr>
          <w:kern w:val="0"/>
        </w:rPr>
        <w:t>decreasing blood loss</w:t>
      </w:r>
      <w:r w:rsidR="005853A9">
        <w:rPr>
          <w:kern w:val="0"/>
        </w:rPr>
        <w:t xml:space="preserve"> and </w:t>
      </w:r>
      <w:r>
        <w:rPr>
          <w:kern w:val="0"/>
        </w:rPr>
        <w:t>blood transfusion requirements during liver transplantation. Data collection</w:t>
      </w:r>
      <w:r w:rsidR="005853A9">
        <w:rPr>
          <w:kern w:val="0"/>
        </w:rPr>
        <w:t xml:space="preserve"> and </w:t>
      </w:r>
      <w:r>
        <w:rPr>
          <w:kern w:val="0"/>
        </w:rPr>
        <w:t>analysis Two authors independently identified the trials</w:t>
      </w:r>
      <w:r w:rsidR="005853A9">
        <w:rPr>
          <w:kern w:val="0"/>
        </w:rPr>
        <w:t xml:space="preserve"> and </w:t>
      </w:r>
      <w:r>
        <w:rPr>
          <w:kern w:val="0"/>
        </w:rPr>
        <w:t>extracted the data. We analysed the data with both the fixed-effect</w:t>
      </w:r>
      <w:r w:rsidR="005853A9">
        <w:rPr>
          <w:kern w:val="0"/>
        </w:rPr>
        <w:t xml:space="preserve"> and </w:t>
      </w:r>
      <w:r>
        <w:rPr>
          <w:kern w:val="0"/>
        </w:rPr>
        <w:t>the random-effects model using RevMan Analysis. For each outcome we calculated the risk ratio (RR), mean difference (MD), or standardised mean difference (SMD) with 95% confidence intervals (CI) based on available data analysis. We also conducted network meta-analysis. Main results We included 33 trials involving 1913 patients</w:t>
      </w:r>
      <w:r w:rsidR="00A37C1D">
        <w:rPr>
          <w:kern w:val="0"/>
        </w:rPr>
        <w:t>. The</w:t>
      </w:r>
      <w:r>
        <w:rPr>
          <w:kern w:val="0"/>
        </w:rPr>
        <w:t xml:space="preserve"> sample size in the trials varied from 8 to 209 participants</w:t>
      </w:r>
      <w:r w:rsidR="00A37C1D">
        <w:rPr>
          <w:kern w:val="0"/>
        </w:rPr>
        <w:t>. The</w:t>
      </w:r>
      <w:r>
        <w:rPr>
          <w:kern w:val="0"/>
        </w:rPr>
        <w:t xml:space="preserve"> interventions included pharmacological interventions (aprotinin, tranexamic acid, epsilon amino caproic acid, antithrombin 3, recombinant factor (rFvIIa), oestrogen, prostaglandin, epinephrine), blood substitutes (blood components rather than whole blood, hydroxy-ethyl starch, thromboelastography),</w:t>
      </w:r>
      <w:r w:rsidR="005853A9">
        <w:rPr>
          <w:kern w:val="0"/>
        </w:rPr>
        <w:t xml:space="preserve"> and </w:t>
      </w:r>
      <w:r>
        <w:rPr>
          <w:kern w:val="0"/>
        </w:rPr>
        <w:t>cardiovascular interventions (low central venous pressure). All the trials were</w:t>
      </w:r>
      <w:r w:rsidR="00427468">
        <w:rPr>
          <w:kern w:val="0"/>
        </w:rPr>
        <w:t xml:space="preserve"> of </w:t>
      </w:r>
      <w:r>
        <w:rPr>
          <w:kern w:val="0"/>
        </w:rPr>
        <w:t>high risk</w:t>
      </w:r>
      <w:r w:rsidR="00427468">
        <w:rPr>
          <w:kern w:val="0"/>
        </w:rPr>
        <w:t xml:space="preserve"> of </w:t>
      </w:r>
      <w:r>
        <w:rPr>
          <w:kern w:val="0"/>
        </w:rPr>
        <w:t>bias. Primary outcomes were reported in at least two trials for the following comparisons: aprotinin versus control, tranexamic acid versus control, recombinant factor VIIa (rFVIIa) versus control,</w:t>
      </w:r>
      <w:r w:rsidR="005853A9">
        <w:rPr>
          <w:kern w:val="0"/>
        </w:rPr>
        <w:t xml:space="preserve"> and </w:t>
      </w:r>
      <w:r>
        <w:rPr>
          <w:kern w:val="0"/>
        </w:rPr>
        <w:t>tranexamic acid versus aprotinin</w:t>
      </w:r>
      <w:r w:rsidR="00A37C1D">
        <w:rPr>
          <w:kern w:val="0"/>
        </w:rPr>
        <w:t>. The</w:t>
      </w:r>
      <w:r>
        <w:rPr>
          <w:kern w:val="0"/>
        </w:rPr>
        <w:t xml:space="preserve">re were no significant differences in the 60-day mortality (3 trials; 6/161 (3.7%) in the aprotinin group versus 8/119 (6.7%) in the control group; RR 0.52; 95% CI 0.18 to 1.45), primary graft non-function (2 trials; 0/128 (0.0%) in the aprotinin group versus 4/89 (4.5%) in the control group; RR 0.15; 95% CI 0.02 to </w:t>
      </w:r>
      <w:r>
        <w:rPr>
          <w:kern w:val="0"/>
        </w:rPr>
        <w:lastRenderedPageBreak/>
        <w:t>1.25), retransplantation (3 trials; 2/256 (0.8%) in the aprotinin group versus 12/178 (6.7%) in the control group; RR 0.21; 95% CI 0.02 to 1.79), or thromboembolic episodes (3 trials; 4/161 (2.5%) in the aprotinin group versus 5/119 (4.2%) in the control group; RR 0.59; 95% CI 0.19 to 1.84) between the aprotinin</w:t>
      </w:r>
      <w:r w:rsidR="005853A9">
        <w:rPr>
          <w:kern w:val="0"/>
        </w:rPr>
        <w:t xml:space="preserve"> and </w:t>
      </w:r>
      <w:r>
        <w:rPr>
          <w:kern w:val="0"/>
        </w:rPr>
        <w:t>control groups</w:t>
      </w:r>
      <w:r w:rsidR="00A37C1D">
        <w:rPr>
          <w:kern w:val="0"/>
        </w:rPr>
        <w:t>. The</w:t>
      </w:r>
      <w:r>
        <w:rPr>
          <w:kern w:val="0"/>
        </w:rPr>
        <w:t>re were no significant differences in the 60-day mortality (3 trials; 4/83 (4.8%) in the tranexamic acid group versus 5/56 (8.9%) in the control group; RR 0.55; 95% CI 0.17 to 1.76), retransplantation (2 trials; 3/41 (7.3%) in the tranexamic acid group versus 3/36 (8.3%) in the control group; RR 0.79; 95% CI 0.18 to 3.48), or thromboembolic episodes (5 trials; 5/103 (4.9%) in the tranexamic acid group versus 1/76 (1.3%) in the control group; RR 2.20; 95% CI 0.38 to 12.64) between the tranexamic acid</w:t>
      </w:r>
      <w:r w:rsidR="005853A9">
        <w:rPr>
          <w:kern w:val="0"/>
        </w:rPr>
        <w:t xml:space="preserve"> and </w:t>
      </w:r>
      <w:r>
        <w:rPr>
          <w:kern w:val="0"/>
        </w:rPr>
        <w:t>control groups</w:t>
      </w:r>
      <w:r w:rsidR="00A37C1D">
        <w:rPr>
          <w:kern w:val="0"/>
        </w:rPr>
        <w:t>. The</w:t>
      </w:r>
      <w:r>
        <w:rPr>
          <w:kern w:val="0"/>
        </w:rPr>
        <w:t>re were no significant differences in the 60-day mortality (3 trials; 8/195 (4.1%) in the recombinant factor VIIa (rFVIIa) group versus 2/91 (2.2%) in the control group; RR 1.51; 95% CI 0.33 to 6.95), thromboembolic episodes (2 trials; 24/185 (13.0%) in the rFVIIa group versus 8/81 (9.9%) in the control group; RR 1.38; 95% CI 0.65 to 2.91), or serious adverse events (2 trials; 90/185 (48.6%) in the rFVIIa group versus 30/81 (37.0%) in the control group; RR 1.30; 95% CI 0.94 to 1.78) between the rFVIIa</w:t>
      </w:r>
      <w:r w:rsidR="005853A9">
        <w:rPr>
          <w:kern w:val="0"/>
        </w:rPr>
        <w:t xml:space="preserve"> and </w:t>
      </w:r>
      <w:r>
        <w:rPr>
          <w:kern w:val="0"/>
        </w:rPr>
        <w:t>control groups</w:t>
      </w:r>
      <w:r w:rsidR="00A37C1D">
        <w:rPr>
          <w:kern w:val="0"/>
        </w:rPr>
        <w:t>. The</w:t>
      </w:r>
      <w:r>
        <w:rPr>
          <w:kern w:val="0"/>
        </w:rPr>
        <w:t>re were no significant differences in the 60-day mortality (2 trials; 6/91 (6.6%) in the tranexamic acid group versus 1/87 (1.1%) in the aprotinin group; RR 4.12; 95% CI 0.71 to 23.76) or thromboembolic episodes (2 trials; 4/91 (4.4%) in the tranexamic acid group versus 2/87 (2.3%) in the aprotinin group; RR 1.97; 95% CI 0.37 to 10.37) between the tranexamic acid</w:t>
      </w:r>
      <w:r w:rsidR="005853A9">
        <w:rPr>
          <w:kern w:val="0"/>
        </w:rPr>
        <w:t xml:space="preserve"> and </w:t>
      </w:r>
      <w:r>
        <w:rPr>
          <w:kern w:val="0"/>
        </w:rPr>
        <w:t>aprotinin groups</w:t>
      </w:r>
      <w:r w:rsidR="00A37C1D">
        <w:rPr>
          <w:kern w:val="0"/>
        </w:rPr>
        <w:t>. The</w:t>
      </w:r>
      <w:r>
        <w:rPr>
          <w:kern w:val="0"/>
        </w:rPr>
        <w:t xml:space="preserve"> remaining outcomes in the above comparisons</w:t>
      </w:r>
      <w:r w:rsidR="005853A9">
        <w:rPr>
          <w:kern w:val="0"/>
        </w:rPr>
        <w:t xml:space="preserve"> and </w:t>
      </w:r>
      <w:r>
        <w:rPr>
          <w:kern w:val="0"/>
        </w:rPr>
        <w:t>the remaining comparisons included only only trial under the primary outcome or the outcome was not reported at all in the trials</w:t>
      </w:r>
      <w:r w:rsidR="00A37C1D">
        <w:rPr>
          <w:kern w:val="0"/>
        </w:rPr>
        <w:t>. The</w:t>
      </w:r>
      <w:r>
        <w:rPr>
          <w:kern w:val="0"/>
        </w:rPr>
        <w:t>re were no significant differences in the mortality, primary graft non-function, graft failure, retransplantation, thromboembolic episodes, or serious adverse events in any</w:t>
      </w:r>
      <w:r w:rsidR="00427468">
        <w:rPr>
          <w:kern w:val="0"/>
        </w:rPr>
        <w:t xml:space="preserve"> of </w:t>
      </w:r>
      <w:r>
        <w:rPr>
          <w:kern w:val="0"/>
        </w:rPr>
        <w:t>these comparisons. However, the confidence intervals were wide,</w:t>
      </w:r>
      <w:r w:rsidR="005853A9">
        <w:rPr>
          <w:kern w:val="0"/>
        </w:rPr>
        <w:t xml:space="preserve"> and </w:t>
      </w:r>
      <w:r>
        <w:rPr>
          <w:kern w:val="0"/>
        </w:rPr>
        <w:t>it is not possible to reach any conclusion on the safety</w:t>
      </w:r>
      <w:r w:rsidR="00427468">
        <w:rPr>
          <w:kern w:val="0"/>
        </w:rPr>
        <w:t xml:space="preserve"> of </w:t>
      </w:r>
      <w:r>
        <w:rPr>
          <w:kern w:val="0"/>
        </w:rPr>
        <w:t>the interventions. None</w:t>
      </w:r>
      <w:r w:rsidR="00427468">
        <w:rPr>
          <w:kern w:val="0"/>
        </w:rPr>
        <w:t xml:space="preserve"> of </w:t>
      </w:r>
      <w:r>
        <w:rPr>
          <w:kern w:val="0"/>
        </w:rPr>
        <w:t>the trials reported the quality</w:t>
      </w:r>
      <w:r w:rsidR="00427468">
        <w:rPr>
          <w:kern w:val="0"/>
        </w:rPr>
        <w:t xml:space="preserve"> of </w:t>
      </w:r>
      <w:r>
        <w:rPr>
          <w:kern w:val="0"/>
        </w:rPr>
        <w:t>life in patients. Secondary outcomes were reported in at least two trials for the following comparisons -aprotinin versus control, tranexamic acid versus control, rFVIIa versus control, thromboelastography versus control,</w:t>
      </w:r>
      <w:r w:rsidR="005853A9">
        <w:rPr>
          <w:kern w:val="0"/>
        </w:rPr>
        <w:t xml:space="preserve"> and </w:t>
      </w:r>
      <w:r>
        <w:rPr>
          <w:kern w:val="0"/>
        </w:rPr>
        <w:t>tranexamic acid versus aprotinin</w:t>
      </w:r>
      <w:r w:rsidR="00A37C1D">
        <w:rPr>
          <w:kern w:val="0"/>
        </w:rPr>
        <w:t>. The</w:t>
      </w:r>
      <w:r>
        <w:rPr>
          <w:kern w:val="0"/>
        </w:rPr>
        <w:t>re was significantly lower allogeneic blood transfusion requirements in the aprotinin group than the control group (8 trials; 185 patients in aprotinin group</w:t>
      </w:r>
      <w:r w:rsidR="005853A9">
        <w:rPr>
          <w:kern w:val="0"/>
        </w:rPr>
        <w:t xml:space="preserve"> and </w:t>
      </w:r>
      <w:r>
        <w:rPr>
          <w:kern w:val="0"/>
        </w:rPr>
        <w:t>190 patients in control group; SMD -0.61; 95% CI -0.82 to -0.40)</w:t>
      </w:r>
      <w:r w:rsidR="00A37C1D">
        <w:rPr>
          <w:kern w:val="0"/>
        </w:rPr>
        <w:t>. The</w:t>
      </w:r>
      <w:r>
        <w:rPr>
          <w:kern w:val="0"/>
        </w:rPr>
        <w:t>re were no significant differences in the allogeneic blood transfusion requirements between the tranexamic acid</w:t>
      </w:r>
      <w:r w:rsidR="005853A9">
        <w:rPr>
          <w:kern w:val="0"/>
        </w:rPr>
        <w:t xml:space="preserve"> and </w:t>
      </w:r>
      <w:r>
        <w:rPr>
          <w:kern w:val="0"/>
        </w:rPr>
        <w:t>control groups (4 trials; 93 patients in tranexamic acid group</w:t>
      </w:r>
      <w:r w:rsidR="005853A9">
        <w:rPr>
          <w:kern w:val="0"/>
        </w:rPr>
        <w:t xml:space="preserve"> and </w:t>
      </w:r>
      <w:r>
        <w:rPr>
          <w:kern w:val="0"/>
        </w:rPr>
        <w:t>66 patients in control group; SMD -0.27; 95% CI -0.59 to 0.06); rFVIIa</w:t>
      </w:r>
      <w:r w:rsidR="005853A9">
        <w:rPr>
          <w:kern w:val="0"/>
        </w:rPr>
        <w:t xml:space="preserve"> and </w:t>
      </w:r>
      <w:r>
        <w:rPr>
          <w:kern w:val="0"/>
        </w:rPr>
        <w:t>control groups (2 trials; 141 patients in rFVIIa group</w:t>
      </w:r>
      <w:r w:rsidR="005853A9">
        <w:rPr>
          <w:kern w:val="0"/>
        </w:rPr>
        <w:t xml:space="preserve"> and </w:t>
      </w:r>
      <w:r>
        <w:rPr>
          <w:kern w:val="0"/>
        </w:rPr>
        <w:t xml:space="preserve">80 patients in control group; SMD -0.05; 95% CI -0.32 to 0.23); </w:t>
      </w:r>
      <w:r>
        <w:rPr>
          <w:kern w:val="0"/>
        </w:rPr>
        <w:lastRenderedPageBreak/>
        <w:t>thromboelastography</w:t>
      </w:r>
      <w:r w:rsidR="005853A9">
        <w:rPr>
          <w:kern w:val="0"/>
        </w:rPr>
        <w:t xml:space="preserve"> and </w:t>
      </w:r>
      <w:r>
        <w:rPr>
          <w:kern w:val="0"/>
        </w:rPr>
        <w:t>control groups (2 trials; 31 patients in thromboelastography group</w:t>
      </w:r>
      <w:r w:rsidR="005853A9">
        <w:rPr>
          <w:kern w:val="0"/>
        </w:rPr>
        <w:t xml:space="preserve"> and </w:t>
      </w:r>
      <w:r>
        <w:rPr>
          <w:kern w:val="0"/>
        </w:rPr>
        <w:t>31 patients in control group; SMD -0.73; 95% CI -1.69 to 0.24); or between the tranexamic acid</w:t>
      </w:r>
      <w:r w:rsidR="005853A9">
        <w:rPr>
          <w:kern w:val="0"/>
        </w:rPr>
        <w:t xml:space="preserve"> and </w:t>
      </w:r>
      <w:r>
        <w:rPr>
          <w:kern w:val="0"/>
        </w:rPr>
        <w:t>aprotinin groups (3 trials; 101 patients in tranexamic acid group</w:t>
      </w:r>
      <w:r w:rsidR="005853A9">
        <w:rPr>
          <w:kern w:val="0"/>
        </w:rPr>
        <w:t xml:space="preserve"> and </w:t>
      </w:r>
      <w:r>
        <w:rPr>
          <w:kern w:val="0"/>
        </w:rPr>
        <w:t>97 patients in aprotinin group; SMD -0.09; 95% CI 0.36 to 0.19)</w:t>
      </w:r>
      <w:r w:rsidR="00A37C1D">
        <w:rPr>
          <w:kern w:val="0"/>
        </w:rPr>
        <w:t>. The</w:t>
      </w:r>
      <w:r>
        <w:rPr>
          <w:kern w:val="0"/>
        </w:rPr>
        <w:t xml:space="preserve"> remaining outcomes in the above comparisons</w:t>
      </w:r>
      <w:r w:rsidR="005853A9">
        <w:rPr>
          <w:kern w:val="0"/>
        </w:rPr>
        <w:t xml:space="preserve"> and </w:t>
      </w:r>
      <w:r>
        <w:rPr>
          <w:kern w:val="0"/>
        </w:rPr>
        <w:t>the remaining comparisons included only only trial under the primary outcome or the outcome was not reported at all in the trials</w:t>
      </w:r>
      <w:r w:rsidR="00A37C1D">
        <w:rPr>
          <w:kern w:val="0"/>
        </w:rPr>
        <w:t>. The</w:t>
      </w:r>
      <w:r>
        <w:rPr>
          <w:kern w:val="0"/>
        </w:rPr>
        <w:t>re were no significant differences in the blood loss, transfusion requirements, hospital stay, or intensive care unit stay in most</w:t>
      </w:r>
      <w:r w:rsidR="00427468">
        <w:rPr>
          <w:kern w:val="0"/>
        </w:rPr>
        <w:t xml:space="preserve"> of </w:t>
      </w:r>
      <w:r>
        <w:rPr>
          <w:kern w:val="0"/>
        </w:rPr>
        <w:t>the comparisons. Authors</w:t>
      </w:r>
      <w:r w:rsidR="0071223E">
        <w:rPr>
          <w:kern w:val="0"/>
        </w:rPr>
        <w:t>’</w:t>
      </w:r>
      <w:r>
        <w:rPr>
          <w:kern w:val="0"/>
        </w:rPr>
        <w:t xml:space="preserve"> conclusions Aprotinin, recombinant factor VIIa,</w:t>
      </w:r>
      <w:r w:rsidR="005853A9">
        <w:rPr>
          <w:kern w:val="0"/>
        </w:rPr>
        <w:t xml:space="preserve"> and </w:t>
      </w:r>
      <w:r>
        <w:rPr>
          <w:kern w:val="0"/>
        </w:rPr>
        <w:t>thromboelastography groups may potentially reduce blood loss</w:t>
      </w:r>
      <w:r w:rsidR="005853A9">
        <w:rPr>
          <w:kern w:val="0"/>
        </w:rPr>
        <w:t xml:space="preserve"> and </w:t>
      </w:r>
      <w:r>
        <w:rPr>
          <w:kern w:val="0"/>
        </w:rPr>
        <w:t>transfusion requirements. However, risks</w:t>
      </w:r>
      <w:r w:rsidR="00427468">
        <w:rPr>
          <w:kern w:val="0"/>
        </w:rPr>
        <w:t xml:space="preserve"> of </w:t>
      </w:r>
      <w:r>
        <w:rPr>
          <w:kern w:val="0"/>
        </w:rPr>
        <w:t>systematic errors (bias)</w:t>
      </w:r>
      <w:r w:rsidR="005853A9">
        <w:rPr>
          <w:kern w:val="0"/>
        </w:rPr>
        <w:t xml:space="preserve"> and </w:t>
      </w:r>
      <w:r>
        <w:rPr>
          <w:kern w:val="0"/>
        </w:rPr>
        <w:t>risks</w:t>
      </w:r>
      <w:r w:rsidR="00427468">
        <w:rPr>
          <w:kern w:val="0"/>
        </w:rPr>
        <w:t xml:space="preserve"> of </w:t>
      </w:r>
      <w:r>
        <w:rPr>
          <w:kern w:val="0"/>
        </w:rPr>
        <w:t>random errors (play</w:t>
      </w:r>
      <w:r w:rsidR="00427468">
        <w:rPr>
          <w:kern w:val="0"/>
        </w:rPr>
        <w:t xml:space="preserve"> of </w:t>
      </w:r>
      <w:r>
        <w:rPr>
          <w:kern w:val="0"/>
        </w:rPr>
        <w:t>chance) hamper the confidence in this conclusion. We need further well-designed randomised trials with low risk</w:t>
      </w:r>
      <w:r w:rsidR="00427468">
        <w:rPr>
          <w:kern w:val="0"/>
        </w:rPr>
        <w:t xml:space="preserve"> of </w:t>
      </w:r>
      <w:r>
        <w:rPr>
          <w:kern w:val="0"/>
        </w:rPr>
        <w:t>systematic error</w:t>
      </w:r>
      <w:r w:rsidR="005853A9">
        <w:rPr>
          <w:kern w:val="0"/>
        </w:rPr>
        <w:t xml:space="preserve"> and </w:t>
      </w:r>
      <w:r>
        <w:rPr>
          <w:kern w:val="0"/>
        </w:rPr>
        <w:t>low risk</w:t>
      </w:r>
      <w:r w:rsidR="00427468">
        <w:rPr>
          <w:kern w:val="0"/>
        </w:rPr>
        <w:t xml:space="preserve"> of </w:t>
      </w:r>
      <w:r>
        <w:rPr>
          <w:kern w:val="0"/>
        </w:rPr>
        <w:t>random errors before these interventions can be supported or refuted.</w:t>
      </w:r>
    </w:p>
    <w:p w:rsidR="00365DE4" w:rsidRDefault="00365DE4" w:rsidP="00365DE4">
      <w:pPr>
        <w:pStyle w:val="a3"/>
        <w:rPr>
          <w:kern w:val="0"/>
        </w:rPr>
      </w:pPr>
      <w:r>
        <w:rPr>
          <w:kern w:val="0"/>
        </w:rPr>
        <w:t xml:space="preserve">Keywords: Allogeneic, Analysis, Antithrombin, Authors, Bias, Blood, Blood Components, Blood Loss, Blood Transfusion, Cardiovascular, Care, Cell Transfusion, Central Venous-Pressure, Citation, Clinical, Clinical Trials, Collection, Confidence, Confidence Intervals, Control, Control Groups, Criteria, Data, Data Analysis, Data Collection, Double-Blind, Epinephrine, Error, Errors, Events, Failure, Fresh-Frozen Plasma, Graft, High-Dose Aprotinin, Hospital, Hospital Stay, Impact, Intensive Care, Intensive Care Unit, Intervals, Interventions, Life, Liver, Liver Transplantation, Long Term, Long-Term, Long-Term Outcomes, Low, Low Risk, </w:t>
      </w:r>
      <w:r w:rsidR="00D5664A">
        <w:rPr>
          <w:kern w:val="0"/>
        </w:rPr>
        <w:t>MEDLINE</w:t>
      </w:r>
      <w:r>
        <w:rPr>
          <w:kern w:val="0"/>
        </w:rPr>
        <w:t>, Meta-Analysis, Metaanalysis, Methods, Model, Mortality, Network, Oestrogen, Outcome, Outcomes, Patients, Placebo-Controlled Trial, Potential, Pressure, Primary, Prostaglandin, Prostaglandin-E1 Infusion, Quality, Quality Of, Quality</w:t>
      </w:r>
      <w:r w:rsidR="00427468">
        <w:rPr>
          <w:kern w:val="0"/>
        </w:rPr>
        <w:t xml:space="preserve"> of </w:t>
      </w:r>
      <w:r>
        <w:rPr>
          <w:kern w:val="0"/>
        </w:rPr>
        <w:t>Life, Random Effects Model, Randomised, Randomized Clinical-Trials, Recombinant Factor Viia, Risk, Risks, Safety, Sample Size, Science, Science Citation Index, Science Citation Index Expanded, Search, Size, Starch, Tranexamic Acid, Transfusion, Transplantation, Trial</w:t>
      </w:r>
    </w:p>
    <w:p w:rsidR="00365DE4" w:rsidRDefault="00365DE4" w:rsidP="00365DE4">
      <w:pPr>
        <w:pStyle w:val="a3"/>
        <w:rPr>
          <w:kern w:val="0"/>
        </w:rPr>
      </w:pPr>
      <w:r>
        <w:rPr>
          <w:kern w:val="0"/>
        </w:rPr>
        <w:t>? Rudic, J.S., Giljaca, V., Krstic, M.N., Bjelakovic, G.</w:t>
      </w:r>
      <w:r w:rsidR="005853A9">
        <w:rPr>
          <w:kern w:val="0"/>
        </w:rPr>
        <w:t xml:space="preserve"> and </w:t>
      </w:r>
      <w:r>
        <w:rPr>
          <w:kern w:val="0"/>
        </w:rPr>
        <w:t xml:space="preserve">Gluud, C. (2011), Bisphosphonates for osteoporosis in primary biliary cirrhosis.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CD009144.</w:t>
      </w:r>
    </w:p>
    <w:p w:rsidR="00365DE4" w:rsidRDefault="00365DE4" w:rsidP="00365DE4">
      <w:pPr>
        <w:pStyle w:val="a3"/>
        <w:rPr>
          <w:kern w:val="2"/>
        </w:rPr>
      </w:pPr>
      <w:r>
        <w:t xml:space="preserve">Full Text: </w:t>
      </w:r>
      <w:hyperlink r:id="rId726" w:history="1">
        <w:r>
          <w:rPr>
            <w:rStyle w:val="a5"/>
          </w:rPr>
          <w:t>2011\Coc Dat Sys Rev2011, CD009144.pdf</w:t>
        </w:r>
      </w:hyperlink>
    </w:p>
    <w:p w:rsidR="00365DE4" w:rsidRDefault="00365DE4" w:rsidP="00365DE4">
      <w:pPr>
        <w:pStyle w:val="a3"/>
        <w:rPr>
          <w:kern w:val="0"/>
        </w:rPr>
      </w:pPr>
      <w:r>
        <w:rPr>
          <w:kern w:val="0"/>
        </w:rPr>
        <w:t>Abstract: Background Bisphosphonates are widely used for treatment</w:t>
      </w:r>
      <w:r w:rsidR="00427468">
        <w:rPr>
          <w:kern w:val="0"/>
        </w:rPr>
        <w:t xml:space="preserve"> of </w:t>
      </w:r>
      <w:r>
        <w:rPr>
          <w:kern w:val="0"/>
        </w:rPr>
        <w:t>postmenopa</w:t>
      </w:r>
      <w:r w:rsidR="00D5664A">
        <w:rPr>
          <w:kern w:val="0"/>
        </w:rPr>
        <w:t>USA</w:t>
      </w:r>
      <w:r>
        <w:rPr>
          <w:kern w:val="0"/>
        </w:rPr>
        <w:t>l osteoporosis. Patients with primary biliary cirrhosis often have osteoporosis - either postmenopa</w:t>
      </w:r>
      <w:r w:rsidR="00D5664A">
        <w:rPr>
          <w:kern w:val="0"/>
        </w:rPr>
        <w:t>USA</w:t>
      </w:r>
      <w:r>
        <w:rPr>
          <w:kern w:val="0"/>
        </w:rPr>
        <w:t>l or secondary to the liver disease. No systematic review or meta-analysis has assessed the effects</w:t>
      </w:r>
      <w:r w:rsidR="00427468">
        <w:rPr>
          <w:kern w:val="0"/>
        </w:rPr>
        <w:t xml:space="preserve"> of </w:t>
      </w:r>
      <w:r>
        <w:rPr>
          <w:kern w:val="0"/>
        </w:rPr>
        <w:t>bisphosphonates for osteoporosis in patients with primary biliary cirrhosis. Objectives To assess the beneficial</w:t>
      </w:r>
      <w:r w:rsidR="005853A9">
        <w:rPr>
          <w:kern w:val="0"/>
        </w:rPr>
        <w:t xml:space="preserve"> and </w:t>
      </w:r>
      <w:r>
        <w:rPr>
          <w:kern w:val="0"/>
        </w:rPr>
        <w:t>harmful effects</w:t>
      </w:r>
      <w:r w:rsidR="00427468">
        <w:rPr>
          <w:kern w:val="0"/>
        </w:rPr>
        <w:t xml:space="preserve"> of </w:t>
      </w:r>
      <w:r>
        <w:rPr>
          <w:kern w:val="0"/>
        </w:rPr>
        <w:t xml:space="preserve">bisphosphonates for osteoporosis in primary biliary </w:t>
      </w:r>
      <w:r>
        <w:rPr>
          <w:kern w:val="0"/>
        </w:rPr>
        <w:lastRenderedPageBreak/>
        <w:t>cirrhosis. Search methods The Cochrane Hepato-Biliary Group Controlled Trials Register, The Cochrane Central Register</w:t>
      </w:r>
      <w:r w:rsidR="00427468">
        <w:rPr>
          <w:kern w:val="0"/>
        </w:rPr>
        <w:t xml:space="preserve"> of </w:t>
      </w:r>
      <w:r>
        <w:rPr>
          <w:kern w:val="0"/>
        </w:rPr>
        <w:t xml:space="preserve">Controlled Trials (CENTRAL) in T h e Cochrane Library, </w:t>
      </w:r>
      <w:r w:rsidR="00D5664A">
        <w:rPr>
          <w:kern w:val="0"/>
        </w:rPr>
        <w:t>MEDLINE</w:t>
      </w:r>
      <w:r>
        <w:rPr>
          <w:kern w:val="0"/>
        </w:rPr>
        <w:t>, EMBASE, Science Citation Index Expanded, LILACS, clinicaltrials.gov, the WHO International Clinical Trials Registry Platform,</w:t>
      </w:r>
      <w:r w:rsidR="005853A9">
        <w:rPr>
          <w:kern w:val="0"/>
        </w:rPr>
        <w:t xml:space="preserve"> and </w:t>
      </w:r>
      <w:r>
        <w:rPr>
          <w:kern w:val="0"/>
        </w:rPr>
        <w:t>full text searches were conducted until November 2011. Manufacturers</w:t>
      </w:r>
      <w:r w:rsidR="005853A9">
        <w:rPr>
          <w:kern w:val="0"/>
        </w:rPr>
        <w:t xml:space="preserve"> and </w:t>
      </w:r>
      <w:r>
        <w:rPr>
          <w:kern w:val="0"/>
        </w:rPr>
        <w:t>authors were contacted for additional studies during the conductance</w:t>
      </w:r>
      <w:r w:rsidR="00427468">
        <w:rPr>
          <w:kern w:val="0"/>
        </w:rPr>
        <w:t xml:space="preserve"> of </w:t>
      </w:r>
      <w:r>
        <w:rPr>
          <w:kern w:val="0"/>
        </w:rPr>
        <w:t>the review. Selection criteria All randomised clinical trials</w:t>
      </w:r>
      <w:r w:rsidR="00427468">
        <w:rPr>
          <w:kern w:val="0"/>
        </w:rPr>
        <w:t xml:space="preserve"> of </w:t>
      </w:r>
      <w:r>
        <w:rPr>
          <w:kern w:val="0"/>
        </w:rPr>
        <w:t>bisphosphonates in primary biliary cirrhosis compared with placebo or no intervention, or another bisphosphonate, or any other drug. Data collection</w:t>
      </w:r>
      <w:r w:rsidR="005853A9">
        <w:rPr>
          <w:kern w:val="0"/>
        </w:rPr>
        <w:t xml:space="preserve"> and </w:t>
      </w:r>
      <w:r>
        <w:rPr>
          <w:kern w:val="0"/>
        </w:rPr>
        <w:t>analysis Two authors extracted data. RevMan Analysis was used for statistical analysis</w:t>
      </w:r>
      <w:r w:rsidR="00427468">
        <w:rPr>
          <w:kern w:val="0"/>
        </w:rPr>
        <w:t xml:space="preserve"> of </w:t>
      </w:r>
      <w:r>
        <w:rPr>
          <w:kern w:val="0"/>
        </w:rPr>
        <w:t>dichotomous data with risk ratio (RR) or risk difference (RD)</w:t>
      </w:r>
      <w:r w:rsidR="005853A9">
        <w:rPr>
          <w:kern w:val="0"/>
        </w:rPr>
        <w:t xml:space="preserve"> and</w:t>
      </w:r>
      <w:r w:rsidR="00427468">
        <w:rPr>
          <w:kern w:val="0"/>
        </w:rPr>
        <w:t xml:space="preserve"> of </w:t>
      </w:r>
      <w:r>
        <w:rPr>
          <w:kern w:val="0"/>
        </w:rPr>
        <w:t>continuous data with mean difference (MD) or standardised mean difference (SMD), all with 95% confidence intervals (CI). Methodological components were used to assess risk</w:t>
      </w:r>
      <w:r w:rsidR="00427468">
        <w:rPr>
          <w:kern w:val="0"/>
        </w:rPr>
        <w:t xml:space="preserve"> of </w:t>
      </w:r>
      <w:r>
        <w:rPr>
          <w:kern w:val="0"/>
        </w:rPr>
        <w:t>systematic errors (bias). Trial sequential analysis was also used to control for random errors (play</w:t>
      </w:r>
      <w:r w:rsidR="00427468">
        <w:rPr>
          <w:kern w:val="0"/>
        </w:rPr>
        <w:t xml:space="preserve"> of </w:t>
      </w:r>
      <w:r>
        <w:rPr>
          <w:kern w:val="0"/>
        </w:rPr>
        <w:t>chance). Main results Six trials were included. Three trials with 106 participants,</w:t>
      </w:r>
      <w:r w:rsidR="00427468">
        <w:rPr>
          <w:kern w:val="0"/>
        </w:rPr>
        <w:t xml:space="preserve"> of </w:t>
      </w:r>
      <w:r>
        <w:rPr>
          <w:kern w:val="0"/>
        </w:rPr>
        <w:t>which two trials with high risk</w:t>
      </w:r>
      <w:r w:rsidR="00427468">
        <w:rPr>
          <w:kern w:val="0"/>
        </w:rPr>
        <w:t xml:space="preserve"> of </w:t>
      </w:r>
      <w:r>
        <w:rPr>
          <w:kern w:val="0"/>
        </w:rPr>
        <w:t>bias, did not demonstrate significant effects</w:t>
      </w:r>
      <w:r w:rsidR="00427468">
        <w:rPr>
          <w:kern w:val="0"/>
        </w:rPr>
        <w:t xml:space="preserve"> of </w:t>
      </w:r>
      <w:r>
        <w:rPr>
          <w:kern w:val="0"/>
        </w:rPr>
        <w:t>bisphosphonates (etidronate or alendronate) versus placebo or no intervention regarding mortality (RD 0.00; 95% CI -0.12 to 0.12, I-2 = 0%), fractures (RR 0.87; 95% CI 0.29 to 2.66, I-2 = 0%), or adverse events (RR 1.00; 95% CI 0.49 to 2.04). Two trials with 62 participants with high risk</w:t>
      </w:r>
      <w:r w:rsidR="00427468">
        <w:rPr>
          <w:kern w:val="0"/>
        </w:rPr>
        <w:t xml:space="preserve"> of </w:t>
      </w:r>
      <w:r>
        <w:rPr>
          <w:kern w:val="0"/>
        </w:rPr>
        <w:t>bias compared one bisphosphonate (etidronate or alendronate) versus another (alendronate or ibandronate)</w:t>
      </w:r>
      <w:r w:rsidR="005853A9">
        <w:rPr>
          <w:kern w:val="0"/>
        </w:rPr>
        <w:t xml:space="preserve"> and </w:t>
      </w:r>
      <w:r>
        <w:rPr>
          <w:kern w:val="0"/>
        </w:rPr>
        <w:t>found no significant difference regarding mortality (RD -0.03; 95% CI -0.14 to 0.07, I-2 = 0%), fractures (RR 0.95; 95% CI 0.18 to 5.06, I-2 = 0%), or adverse events (RR 1.00; 95% CI 0.49 to 2.04, I-2 = 0%). Bisphosphonates had no significant effect on liver-related mortality, liver transplantation, or liver-related morbidity compared with placebo or no intervention, or another bisphosphonate. Bisphosphonates had no significant effect on bone mineral density compared with placebo or no intervention, or another bisphosphonate. Bisphosphonates compared with placebo or no intervention seem to decrease the urinary amino telopeptides</w:t>
      </w:r>
      <w:r w:rsidR="00427468">
        <w:rPr>
          <w:kern w:val="0"/>
        </w:rPr>
        <w:t xml:space="preserve"> of </w:t>
      </w:r>
      <w:r>
        <w:rPr>
          <w:kern w:val="0"/>
        </w:rPr>
        <w:t>collagen I (NTx) concentration (MD-16.93 nmol bone collagen equivalents/mmol creatinine; 95% CI -23.77 to -10.10; 2 trials with 88 patients; I-2 = 0%)</w:t>
      </w:r>
      <w:r w:rsidR="005853A9">
        <w:rPr>
          <w:kern w:val="0"/>
        </w:rPr>
        <w:t xml:space="preserve"> and </w:t>
      </w:r>
      <w:r>
        <w:rPr>
          <w:kern w:val="0"/>
        </w:rPr>
        <w:t>serum osteocalcin (SMD -0.81; 95% CI -1.22 to -0.39; 3 trials with 100 patients; I-2 = 34 %) concentration</w:t>
      </w:r>
      <w:r w:rsidR="00A37C1D">
        <w:rPr>
          <w:kern w:val="0"/>
        </w:rPr>
        <w:t>. The</w:t>
      </w:r>
      <w:r>
        <w:rPr>
          <w:kern w:val="0"/>
        </w:rPr>
        <w:t xml:space="preserve"> former result was supported by trial sequential analysis, but not the latter. Alendronate compared with another bisphosphonate (ibandronate) had no significant effect on serum osteocalcin concentration (MD -3.61 ng/ml, 95% CI -9.41 to 2.18; 2 trials with 47 patients; I-2 = 82%) in a random-effects meta-analysis, but it significantly decreased serum osteocalcin (MD -4.40 ng/ml, 95% CI 6.75 to -2.05; 2 trials with 47 patients; I-2 = 82%), the procollagen type I N-terminal propeptide (MD -8.79 ng/ml, 95% CI -15.96 to -1.63; 2 trials with 47 patients; I-2 = 38%),</w:t>
      </w:r>
      <w:r w:rsidR="005853A9">
        <w:rPr>
          <w:kern w:val="0"/>
        </w:rPr>
        <w:t xml:space="preserve"> and </w:t>
      </w:r>
      <w:r>
        <w:rPr>
          <w:kern w:val="0"/>
        </w:rPr>
        <w:t xml:space="preserve">NTx concentration </w:t>
      </w:r>
      <w:r>
        <w:rPr>
          <w:kern w:val="0"/>
        </w:rPr>
        <w:lastRenderedPageBreak/>
        <w:t>(MD -14.07 nmol bone collagen equivalents/mmol creatinine, 95% CI -24.23 to -3.90; 2 trials with 46 patients; I-2 = 0%) in a fixed-effect model</w:t>
      </w:r>
      <w:r w:rsidR="00A37C1D">
        <w:rPr>
          <w:kern w:val="0"/>
        </w:rPr>
        <w:t>. The</w:t>
      </w:r>
      <w:r>
        <w:rPr>
          <w:kern w:val="0"/>
        </w:rPr>
        <w:t xml:space="preserve"> latter two results were not supported by trial sequential analyses</w:t>
      </w:r>
      <w:r w:rsidR="00A37C1D">
        <w:rPr>
          <w:kern w:val="0"/>
        </w:rPr>
        <w:t>. The</w:t>
      </w:r>
      <w:r>
        <w:rPr>
          <w:kern w:val="0"/>
        </w:rPr>
        <w:t>re was no statistically significant difference in the number</w:t>
      </w:r>
      <w:r w:rsidR="00427468">
        <w:rPr>
          <w:kern w:val="0"/>
        </w:rPr>
        <w:t xml:space="preserve"> of </w:t>
      </w:r>
      <w:r>
        <w:rPr>
          <w:kern w:val="0"/>
        </w:rPr>
        <w:t>patients having bisphosphonates withdrawn due to adverse events compared with placebo or no intervention (RD -0.04; 95% CI -0.21 to 0.12; 2 trials with 46 patients; I-2 = 0%), or another bisphosphonate (RR 0.56; 95% CI 0.14 to 2.17; 2 trials with 62 patients; I-2 = 0%). One trial with 32 participants</w:t>
      </w:r>
      <w:r w:rsidR="005853A9">
        <w:rPr>
          <w:kern w:val="0"/>
        </w:rPr>
        <w:t xml:space="preserve"> and </w:t>
      </w:r>
      <w:r>
        <w:rPr>
          <w:kern w:val="0"/>
        </w:rPr>
        <w:t>with high risk</w:t>
      </w:r>
      <w:r w:rsidR="00427468">
        <w:rPr>
          <w:kern w:val="0"/>
        </w:rPr>
        <w:t xml:space="preserve"> of </w:t>
      </w:r>
      <w:r>
        <w:rPr>
          <w:kern w:val="0"/>
        </w:rPr>
        <w:t>bias compared etidronate versus sodium fluoride without finding significant difference regarding mortality, fractures, adverse events, or bone mineral density. Etidronate compared with sodium fluoride significantly decreased serum osteocalcin, urinary hydroxyproline,</w:t>
      </w:r>
      <w:r w:rsidR="005853A9">
        <w:rPr>
          <w:kern w:val="0"/>
        </w:rPr>
        <w:t xml:space="preserve"> and </w:t>
      </w:r>
      <w:r>
        <w:rPr>
          <w:kern w:val="0"/>
        </w:rPr>
        <w:t>parathyroid hormone concentration. Authors</w:t>
      </w:r>
      <w:r w:rsidR="0071223E">
        <w:rPr>
          <w:kern w:val="0"/>
        </w:rPr>
        <w:t>’</w:t>
      </w:r>
      <w:r>
        <w:rPr>
          <w:kern w:val="0"/>
        </w:rPr>
        <w:t xml:space="preserve"> conclusions We did not find evidence to support or refute the use</w:t>
      </w:r>
      <w:r w:rsidR="00427468">
        <w:rPr>
          <w:kern w:val="0"/>
        </w:rPr>
        <w:t xml:space="preserve"> of </w:t>
      </w:r>
      <w:r>
        <w:rPr>
          <w:kern w:val="0"/>
        </w:rPr>
        <w:t>bisphosphonates for patients with primary biliary cirrhosis</w:t>
      </w:r>
      <w:r w:rsidR="00A37C1D">
        <w:rPr>
          <w:kern w:val="0"/>
        </w:rPr>
        <w:t>. The</w:t>
      </w:r>
      <w:r>
        <w:rPr>
          <w:kern w:val="0"/>
        </w:rPr>
        <w:t xml:space="preserve"> data seem to indicate a possible positive intervention effect</w:t>
      </w:r>
      <w:r w:rsidR="00427468">
        <w:rPr>
          <w:kern w:val="0"/>
        </w:rPr>
        <w:t xml:space="preserve"> of </w:t>
      </w:r>
      <w:r>
        <w:rPr>
          <w:kern w:val="0"/>
        </w:rPr>
        <w:t>bisphosphonates on decreasing urinary amino telopeptides</w:t>
      </w:r>
      <w:r w:rsidR="00427468">
        <w:rPr>
          <w:kern w:val="0"/>
        </w:rPr>
        <w:t xml:space="preserve"> of </w:t>
      </w:r>
      <w:r>
        <w:rPr>
          <w:kern w:val="0"/>
        </w:rPr>
        <w:t>collagen I concentration compared with placebo or no intervention with no risk</w:t>
      </w:r>
      <w:r w:rsidR="00427468">
        <w:rPr>
          <w:kern w:val="0"/>
        </w:rPr>
        <w:t xml:space="preserve"> of </w:t>
      </w:r>
      <w:r>
        <w:rPr>
          <w:kern w:val="0"/>
        </w:rPr>
        <w:t>random error</w:t>
      </w:r>
      <w:r w:rsidR="00A37C1D">
        <w:rPr>
          <w:kern w:val="0"/>
        </w:rPr>
        <w:t>. The</w:t>
      </w:r>
      <w:r>
        <w:rPr>
          <w:kern w:val="0"/>
        </w:rPr>
        <w:t>re is need for more randomised clinical trials assessing the effects</w:t>
      </w:r>
      <w:r w:rsidR="00427468">
        <w:rPr>
          <w:kern w:val="0"/>
        </w:rPr>
        <w:t xml:space="preserve"> of </w:t>
      </w:r>
      <w:r>
        <w:rPr>
          <w:kern w:val="0"/>
        </w:rPr>
        <w:t>bisphosphonates for osteoporosis on patient-relevant outcomes in primary biliary cirrhosis.</w:t>
      </w:r>
    </w:p>
    <w:p w:rsidR="00365DE4" w:rsidRDefault="00365DE4" w:rsidP="00365DE4">
      <w:pPr>
        <w:pStyle w:val="a3"/>
        <w:rPr>
          <w:kern w:val="0"/>
        </w:rPr>
      </w:pPr>
      <w:r>
        <w:rPr>
          <w:kern w:val="0"/>
        </w:rPr>
        <w:t xml:space="preserve">Keywords: Analyses, Analysis, Antiresorptive Agents, Assessing, Authors, Bias, Bone, Bone-Mineral Density, Chronic Liver-Disease, Cirrhosis, Citation, Clinical, Clinical Trials, Clinical-Trials, Collagen, Collection, Concentration, Confidence, Confidence Intervals, Control, Creatinine, Criteria, Data, Data Collection, Disease, Drug, Effects, Error, Errors, Events, Evidence, Fluoride, Fracture Risk, Hepatic Osteodystrophy, Intervals, Intervention, Liver, Liver Transplantation, </w:t>
      </w:r>
      <w:r w:rsidR="00D5664A">
        <w:rPr>
          <w:kern w:val="0"/>
        </w:rPr>
        <w:t>MEDLINE</w:t>
      </w:r>
      <w:r>
        <w:rPr>
          <w:kern w:val="0"/>
        </w:rPr>
        <w:t>, Meta-Analysis, Metaanalysis, Methods, Model, Morbidity, Mortality, Osteopenic Patients, Osteoporosis, Outcomes, Patients, Placebo, Placebo-Controlled Trial, Postmenopa</w:t>
      </w:r>
      <w:r w:rsidR="00D5664A">
        <w:rPr>
          <w:kern w:val="0"/>
        </w:rPr>
        <w:t>USA</w:t>
      </w:r>
      <w:r>
        <w:rPr>
          <w:kern w:val="0"/>
        </w:rPr>
        <w:t>l, Primary, Randomised, Randomized Controlled-Trials, Review, Risk, Science, Science Citation Index, Science Citation Index Expanded, Search, Sequential-Analysis, Serum, Sodium, Statistical Analysis, Support, Systematic Review, Transplantation, Treatment, Trial, Urinary</w:t>
      </w:r>
    </w:p>
    <w:p w:rsidR="00365DE4" w:rsidRDefault="00365DE4" w:rsidP="00365DE4">
      <w:pPr>
        <w:pStyle w:val="a3"/>
        <w:rPr>
          <w:kern w:val="0"/>
        </w:rPr>
      </w:pPr>
      <w:r>
        <w:rPr>
          <w:kern w:val="0"/>
        </w:rPr>
        <w:t>? Rudic, J.S., Poropat, G., Krstic, M.N., Bjelakovic, G.</w:t>
      </w:r>
      <w:r w:rsidR="005853A9">
        <w:rPr>
          <w:kern w:val="0"/>
        </w:rPr>
        <w:t xml:space="preserve"> and </w:t>
      </w:r>
      <w:r>
        <w:rPr>
          <w:kern w:val="0"/>
        </w:rPr>
        <w:t xml:space="preserve">Gluud, C. (2011), Hormone replacement for osteoporosis in women with primary biliary cirrhosis.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CD009146.</w:t>
      </w:r>
    </w:p>
    <w:p w:rsidR="00365DE4" w:rsidRDefault="00365DE4" w:rsidP="00365DE4">
      <w:pPr>
        <w:pStyle w:val="a3"/>
        <w:rPr>
          <w:kern w:val="2"/>
        </w:rPr>
      </w:pPr>
      <w:r>
        <w:t xml:space="preserve">Full Text: </w:t>
      </w:r>
      <w:hyperlink r:id="rId727" w:history="1">
        <w:r>
          <w:rPr>
            <w:rStyle w:val="a5"/>
          </w:rPr>
          <w:t>2011\Coc Dat Sys Rev2011, CD009146.pdf</w:t>
        </w:r>
      </w:hyperlink>
    </w:p>
    <w:p w:rsidR="00365DE4" w:rsidRDefault="00365DE4" w:rsidP="00365DE4">
      <w:pPr>
        <w:pStyle w:val="a3"/>
        <w:rPr>
          <w:kern w:val="0"/>
        </w:rPr>
      </w:pPr>
      <w:r>
        <w:rPr>
          <w:kern w:val="0"/>
        </w:rPr>
        <w:t>Abstract: Background Women with primary biliary cirrhosis often suffer from postmenopa</w:t>
      </w:r>
      <w:r w:rsidR="00D5664A">
        <w:rPr>
          <w:kern w:val="0"/>
        </w:rPr>
        <w:t>USA</w:t>
      </w:r>
      <w:r>
        <w:rPr>
          <w:kern w:val="0"/>
        </w:rPr>
        <w:t>l osteoporosis due to their age, or osteoporosis secondary to their liver disease, or treatments provided for their liver disease. Hormone replacement increases bone mineral density</w:t>
      </w:r>
      <w:r w:rsidR="005853A9">
        <w:rPr>
          <w:kern w:val="0"/>
        </w:rPr>
        <w:t xml:space="preserve"> and </w:t>
      </w:r>
      <w:r>
        <w:rPr>
          <w:kern w:val="0"/>
        </w:rPr>
        <w:t>reduces fractures in postmenopa</w:t>
      </w:r>
      <w:r w:rsidR="00D5664A">
        <w:rPr>
          <w:kern w:val="0"/>
        </w:rPr>
        <w:t>USA</w:t>
      </w:r>
      <w:r>
        <w:rPr>
          <w:kern w:val="0"/>
        </w:rPr>
        <w:t>l women. On the other hand, hormone replacement increases the risk</w:t>
      </w:r>
      <w:r w:rsidR="00427468">
        <w:rPr>
          <w:kern w:val="0"/>
        </w:rPr>
        <w:t xml:space="preserve"> of </w:t>
      </w:r>
      <w:r>
        <w:rPr>
          <w:kern w:val="0"/>
        </w:rPr>
        <w:t xml:space="preserve">various adverse events. </w:t>
      </w:r>
      <w:r>
        <w:rPr>
          <w:kern w:val="0"/>
        </w:rPr>
        <w:lastRenderedPageBreak/>
        <w:t>We could not identify any meta-analyses or systematic reviews on hormone replacement in women with primary biliary cirrhosis. Objectives To assess the beneficial</w:t>
      </w:r>
      <w:r w:rsidR="005853A9">
        <w:rPr>
          <w:kern w:val="0"/>
        </w:rPr>
        <w:t xml:space="preserve"> and </w:t>
      </w:r>
      <w:r>
        <w:rPr>
          <w:kern w:val="0"/>
        </w:rPr>
        <w:t>harmful effects</w:t>
      </w:r>
      <w:r w:rsidR="00427468">
        <w:rPr>
          <w:kern w:val="0"/>
        </w:rPr>
        <w:t xml:space="preserve"> of </w:t>
      </w:r>
      <w:r>
        <w:rPr>
          <w:kern w:val="0"/>
        </w:rPr>
        <w:t>hormone replacement for osteoporosis in women with primary biliary cirrhosis. Search methods The Cochrane Hepato-Biliary Group Controlled Trials Register, The Cochrane Central Register</w:t>
      </w:r>
      <w:r w:rsidR="00427468">
        <w:rPr>
          <w:kern w:val="0"/>
        </w:rPr>
        <w:t xml:space="preserve"> of </w:t>
      </w:r>
      <w:r>
        <w:rPr>
          <w:kern w:val="0"/>
        </w:rPr>
        <w:t xml:space="preserve">Controlled Trials (CENTRAL) in T h e Coch ran e Library, </w:t>
      </w:r>
      <w:r w:rsidR="00D5664A">
        <w:rPr>
          <w:kern w:val="0"/>
        </w:rPr>
        <w:t>MEDLINE</w:t>
      </w:r>
      <w:r>
        <w:rPr>
          <w:kern w:val="0"/>
        </w:rPr>
        <w:t>, EMBASE, Science Citation Index Expanded, LILACS, clinicaltrials.gov, the WHO International Clinical Trials Registry Platform,</w:t>
      </w:r>
      <w:r w:rsidR="005853A9">
        <w:rPr>
          <w:kern w:val="0"/>
        </w:rPr>
        <w:t xml:space="preserve"> and </w:t>
      </w:r>
      <w:r>
        <w:rPr>
          <w:kern w:val="0"/>
        </w:rPr>
        <w:t>full text searches were conducted until November 2011. Manufacturers</w:t>
      </w:r>
      <w:r w:rsidR="005853A9">
        <w:rPr>
          <w:kern w:val="0"/>
        </w:rPr>
        <w:t xml:space="preserve"> and </w:t>
      </w:r>
      <w:r>
        <w:rPr>
          <w:kern w:val="0"/>
        </w:rPr>
        <w:t>authors were contacted during the review conductance. Selection criteria All randomised clinical trials</w:t>
      </w:r>
      <w:r w:rsidR="00427468">
        <w:rPr>
          <w:kern w:val="0"/>
        </w:rPr>
        <w:t xml:space="preserve"> of </w:t>
      </w:r>
      <w:r>
        <w:rPr>
          <w:kern w:val="0"/>
        </w:rPr>
        <w:t>hormone replacement in primary biliary cirrhosis administered by any route, or regimen, or dose compared with placebo or no intervention. Data collection</w:t>
      </w:r>
      <w:r w:rsidR="005853A9">
        <w:rPr>
          <w:kern w:val="0"/>
        </w:rPr>
        <w:t xml:space="preserve"> and </w:t>
      </w:r>
      <w:r>
        <w:rPr>
          <w:kern w:val="0"/>
        </w:rPr>
        <w:t>analysis Two authors extracted data. RevMan Analysis was used for statistical analysis</w:t>
      </w:r>
      <w:r w:rsidR="00427468">
        <w:rPr>
          <w:kern w:val="0"/>
        </w:rPr>
        <w:t xml:space="preserve"> of </w:t>
      </w:r>
      <w:r>
        <w:rPr>
          <w:kern w:val="0"/>
        </w:rPr>
        <w:t>dichotomous data with risk ratio (RR) or risk difference (RD)</w:t>
      </w:r>
      <w:r w:rsidR="005853A9">
        <w:rPr>
          <w:kern w:val="0"/>
        </w:rPr>
        <w:t xml:space="preserve"> and</w:t>
      </w:r>
      <w:r w:rsidR="00427468">
        <w:rPr>
          <w:kern w:val="0"/>
        </w:rPr>
        <w:t xml:space="preserve"> of </w:t>
      </w:r>
      <w:r>
        <w:rPr>
          <w:kern w:val="0"/>
        </w:rPr>
        <w:t>continuous data with mean difference (MD), all with 95% confidence intervals (CI). Methodological domains were used to assess risk</w:t>
      </w:r>
      <w:r w:rsidR="00427468">
        <w:rPr>
          <w:kern w:val="0"/>
        </w:rPr>
        <w:t xml:space="preserve"> of </w:t>
      </w:r>
      <w:r>
        <w:rPr>
          <w:kern w:val="0"/>
        </w:rPr>
        <w:t>systematic errors (bias). Trial sequential analysis was used to control for random errors (play</w:t>
      </w:r>
      <w:r w:rsidR="00427468">
        <w:rPr>
          <w:kern w:val="0"/>
        </w:rPr>
        <w:t xml:space="preserve"> of </w:t>
      </w:r>
      <w:r>
        <w:rPr>
          <w:kern w:val="0"/>
        </w:rPr>
        <w:t>chance). Main results Two trials with 49 participants were included. One trial had low risk</w:t>
      </w:r>
      <w:r w:rsidR="00427468">
        <w:rPr>
          <w:kern w:val="0"/>
        </w:rPr>
        <w:t xml:space="preserve"> of </w:t>
      </w:r>
      <w:r>
        <w:rPr>
          <w:kern w:val="0"/>
        </w:rPr>
        <w:t>bias</w:t>
      </w:r>
      <w:r w:rsidR="00A37C1D">
        <w:rPr>
          <w:kern w:val="0"/>
        </w:rPr>
        <w:t>. The</w:t>
      </w:r>
      <w:r>
        <w:rPr>
          <w:kern w:val="0"/>
        </w:rPr>
        <w:t xml:space="preserve"> other trial had high risk</w:t>
      </w:r>
      <w:r w:rsidR="00427468">
        <w:rPr>
          <w:kern w:val="0"/>
        </w:rPr>
        <w:t xml:space="preserve"> of </w:t>
      </w:r>
      <w:r>
        <w:rPr>
          <w:kern w:val="0"/>
        </w:rPr>
        <w:t>bias. Hormone replacement had no effect on all-cause mortality (RD 0.00; 95% CI -0.11 to 0.11, I-2 = 0%)</w:t>
      </w:r>
      <w:r w:rsidR="005853A9">
        <w:rPr>
          <w:kern w:val="0"/>
        </w:rPr>
        <w:t xml:space="preserve"> and </w:t>
      </w:r>
      <w:r>
        <w:rPr>
          <w:kern w:val="0"/>
        </w:rPr>
        <w:t>fractures (RD -0.08; 95% CI -0.24 to 0.07, I-2 = 0%). Hormone replacement significantly increased adverse events</w:t>
      </w:r>
      <w:r w:rsidR="005853A9">
        <w:rPr>
          <w:kern w:val="0"/>
        </w:rPr>
        <w:t xml:space="preserve"> and </w:t>
      </w:r>
      <w:r>
        <w:rPr>
          <w:kern w:val="0"/>
        </w:rPr>
        <w:t>number</w:t>
      </w:r>
      <w:r w:rsidR="00427468">
        <w:rPr>
          <w:kern w:val="0"/>
        </w:rPr>
        <w:t xml:space="preserve"> of </w:t>
      </w:r>
      <w:r>
        <w:rPr>
          <w:kern w:val="0"/>
        </w:rPr>
        <w:t>patients having hormone replacement withdrawn due to adverse events (RR 5.26; 95% CI 1.26 to 22.04, I-2 = 0%). Hormone replacement had no significant effect on lumbar spine bone mineral density (MD 1.25 g/cm(2) year (1); 95% CI -0.91 to 3.42, I-2 = 0%). On the other hand, a significant increase in proximal femur bone mineral density was observed in the control group (MD 2.24 g/cm(2) year (1); 95% CI 0.74 to 3.74, I-2 = 0%). Hormone replacement had no significant effect on liver-related mortality, liver transplantation, or liver-related morbidity. Hormone replacement had no significant effect on serum bilirubin concentration (MD 4.60 mu mol/L; 95% CI -3.42 to 12.62, I-2 = 0%). Authors</w:t>
      </w:r>
      <w:r w:rsidR="0071223E">
        <w:rPr>
          <w:kern w:val="0"/>
        </w:rPr>
        <w:t>’</w:t>
      </w:r>
      <w:r>
        <w:rPr>
          <w:kern w:val="0"/>
        </w:rPr>
        <w:t xml:space="preserve"> conclusions We did not find evidence to support the use</w:t>
      </w:r>
      <w:r w:rsidR="00427468">
        <w:rPr>
          <w:kern w:val="0"/>
        </w:rPr>
        <w:t xml:space="preserve"> of </w:t>
      </w:r>
      <w:r>
        <w:rPr>
          <w:kern w:val="0"/>
        </w:rPr>
        <w:t>hormone replacement for women with primary biliary cirrhosis. It seems that hormone replacement is connected with a significant increase in the occurrence</w:t>
      </w:r>
      <w:r w:rsidR="00427468">
        <w:rPr>
          <w:kern w:val="0"/>
        </w:rPr>
        <w:t xml:space="preserve"> of </w:t>
      </w:r>
      <w:r>
        <w:rPr>
          <w:kern w:val="0"/>
        </w:rPr>
        <w:t>adverse events.</w:t>
      </w:r>
    </w:p>
    <w:p w:rsidR="00365DE4" w:rsidRDefault="00365DE4" w:rsidP="00365DE4">
      <w:pPr>
        <w:pStyle w:val="a3"/>
        <w:rPr>
          <w:kern w:val="0"/>
        </w:rPr>
      </w:pPr>
      <w:r>
        <w:rPr>
          <w:kern w:val="0"/>
        </w:rPr>
        <w:t xml:space="preserve">Keywords: Age, Analysis, Authors, Bias, Bilirubin, Bone, Bone Loss, Cirrhosis, Citation, Clinical, Clinical Trials, Clinical-Trials, Collection, Concentration, Confidence, Confidence Intervals, Control, Criteria, Data, Data Collection, Disease, Effects, Empirical-Evidence, Errors, Events, Evidence, Femur, Information Size, Intervals, Intervention, Liver, Liver Transplantation, Low, Low Risk, </w:t>
      </w:r>
      <w:r w:rsidR="00D5664A">
        <w:rPr>
          <w:kern w:val="0"/>
        </w:rPr>
        <w:t>MEDLINE</w:t>
      </w:r>
      <w:r>
        <w:rPr>
          <w:kern w:val="0"/>
        </w:rPr>
        <w:t xml:space="preserve">, Metaanalysis, Methods, Morbidity, Mortality, Osteoporosis, Ovarian-Cancer, </w:t>
      </w:r>
      <w:r>
        <w:rPr>
          <w:kern w:val="0"/>
        </w:rPr>
        <w:lastRenderedPageBreak/>
        <w:t>Patients, Placebo, Postmenopa</w:t>
      </w:r>
      <w:r w:rsidR="00D5664A">
        <w:rPr>
          <w:kern w:val="0"/>
        </w:rPr>
        <w:t>USA</w:t>
      </w:r>
      <w:r>
        <w:rPr>
          <w:kern w:val="0"/>
        </w:rPr>
        <w:t>l, Postmenopa</w:t>
      </w:r>
      <w:r w:rsidR="00D5664A">
        <w:rPr>
          <w:kern w:val="0"/>
        </w:rPr>
        <w:t>USA</w:t>
      </w:r>
      <w:r>
        <w:rPr>
          <w:kern w:val="0"/>
        </w:rPr>
        <w:t>l Women, Primary, Randomised, Randomized Controlled-Trials, Review, Reviews, Risk, Route, Science, Science Citation Index, Science Citation Index Expanded, Search, Sequential-Analysis, Serum, Spine, Statistical Analysis, Support, Systematic Reviews, Therapy, Transplantation, Trial, Women</w:t>
      </w:r>
    </w:p>
    <w:p w:rsidR="00365DE4" w:rsidRDefault="00365DE4" w:rsidP="00365DE4">
      <w:pPr>
        <w:pStyle w:val="a3"/>
        <w:rPr>
          <w:kern w:val="0"/>
        </w:rPr>
      </w:pPr>
      <w:r>
        <w:rPr>
          <w:kern w:val="0"/>
        </w:rPr>
        <w:t>? Fernandez-Gaxiola, A.C.</w:t>
      </w:r>
      <w:r w:rsidR="005853A9">
        <w:rPr>
          <w:kern w:val="0"/>
        </w:rPr>
        <w:t xml:space="preserve"> and </w:t>
      </w:r>
      <w:r>
        <w:rPr>
          <w:kern w:val="0"/>
        </w:rPr>
        <w:t>De-Regil, L.M. (2011), Intermittent iron supplementation for reducing anaemia</w:t>
      </w:r>
      <w:r w:rsidR="005853A9">
        <w:rPr>
          <w:kern w:val="0"/>
        </w:rPr>
        <w:t xml:space="preserve"> and </w:t>
      </w:r>
      <w:r>
        <w:rPr>
          <w:kern w:val="0"/>
        </w:rPr>
        <w:t xml:space="preserve">its associated impairments in menstruating women.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CD009218.</w:t>
      </w:r>
    </w:p>
    <w:p w:rsidR="00365DE4" w:rsidRDefault="00365DE4" w:rsidP="00365DE4">
      <w:pPr>
        <w:pStyle w:val="a3"/>
        <w:rPr>
          <w:kern w:val="2"/>
        </w:rPr>
      </w:pPr>
      <w:r>
        <w:t xml:space="preserve">Full Text: </w:t>
      </w:r>
      <w:hyperlink r:id="rId728" w:history="1">
        <w:r>
          <w:rPr>
            <w:rStyle w:val="a5"/>
          </w:rPr>
          <w:t>2011\Coc Dat Sys Rev2011, CD009218.pdf</w:t>
        </w:r>
      </w:hyperlink>
    </w:p>
    <w:p w:rsidR="00365DE4" w:rsidRDefault="00365DE4" w:rsidP="00365DE4">
      <w:pPr>
        <w:pStyle w:val="a3"/>
        <w:rPr>
          <w:kern w:val="0"/>
        </w:rPr>
      </w:pPr>
      <w:r>
        <w:rPr>
          <w:kern w:val="0"/>
        </w:rPr>
        <w:t>Abstract: Background Daily iron supplementation has been traditionally a standard practice for preventing</w:t>
      </w:r>
      <w:r w:rsidR="005853A9">
        <w:rPr>
          <w:kern w:val="0"/>
        </w:rPr>
        <w:t xml:space="preserve"> and </w:t>
      </w:r>
      <w:r>
        <w:rPr>
          <w:kern w:val="0"/>
        </w:rPr>
        <w:t>treating anaemia but its long term use has been limited as it has been associated with adverse side effects such as nausea, constipation</w:t>
      </w:r>
      <w:r w:rsidR="005853A9">
        <w:rPr>
          <w:kern w:val="0"/>
        </w:rPr>
        <w:t xml:space="preserve"> and </w:t>
      </w:r>
      <w:r>
        <w:rPr>
          <w:kern w:val="0"/>
        </w:rPr>
        <w:t>teeth staining. Intermittent iron supplementation has been suggested as an effective</w:t>
      </w:r>
      <w:r w:rsidR="005853A9">
        <w:rPr>
          <w:kern w:val="0"/>
        </w:rPr>
        <w:t xml:space="preserve"> and </w:t>
      </w:r>
      <w:r>
        <w:rPr>
          <w:kern w:val="0"/>
        </w:rPr>
        <w:t>safer alternative to daily iron supplementation for preventing</w:t>
      </w:r>
      <w:r w:rsidR="005853A9">
        <w:rPr>
          <w:kern w:val="0"/>
        </w:rPr>
        <w:t xml:space="preserve"> and </w:t>
      </w:r>
      <w:r>
        <w:rPr>
          <w:kern w:val="0"/>
        </w:rPr>
        <w:t>reducing anaemia at population level, especially in areas where this condition is highly prevalent. Objectives To assess the effects</w:t>
      </w:r>
      <w:r w:rsidR="00427468">
        <w:rPr>
          <w:kern w:val="0"/>
        </w:rPr>
        <w:t xml:space="preserve"> of </w:t>
      </w:r>
      <w:r>
        <w:rPr>
          <w:kern w:val="0"/>
        </w:rPr>
        <w:t>intermittent oral iron supplementation, alone or in combination with other nutrients, on anaemia</w:t>
      </w:r>
      <w:r w:rsidR="005853A9">
        <w:rPr>
          <w:kern w:val="0"/>
        </w:rPr>
        <w:t xml:space="preserve"> and </w:t>
      </w:r>
      <w:r>
        <w:rPr>
          <w:kern w:val="0"/>
        </w:rPr>
        <w:t xml:space="preserve">its associated impairments in menstruating women, compared with no intervention, a placebo or daily supplementation. Search methods We searched the following databases in May 2011: CENTRAL (The Cochrane Library 2011, Issue 2), </w:t>
      </w:r>
      <w:r w:rsidR="00D5664A">
        <w:rPr>
          <w:kern w:val="0"/>
        </w:rPr>
        <w:t>MEDLINE</w:t>
      </w:r>
      <w:r>
        <w:rPr>
          <w:kern w:val="0"/>
        </w:rPr>
        <w:t xml:space="preserve"> (1948 to May Week 3, 2011), EMBASE (1980 to 2011 Week 20), CINAHL (1937 to current), POPLINE (all available years), Science Citation Index (1970 to 27 May 2011), BIOSIS Previews (1969 to current),</w:t>
      </w:r>
      <w:r w:rsidR="005853A9">
        <w:rPr>
          <w:kern w:val="0"/>
        </w:rPr>
        <w:t xml:space="preserve"> and </w:t>
      </w:r>
      <w:r>
        <w:rPr>
          <w:kern w:val="0"/>
        </w:rPr>
        <w:t>CPCI-S (1990 to 27 May 2011). On 7 July 2011 we searched all available years in the following databases: SCIELO, LILACS, IBECS</w:t>
      </w:r>
      <w:r w:rsidR="005853A9">
        <w:rPr>
          <w:kern w:val="0"/>
        </w:rPr>
        <w:t xml:space="preserve"> and </w:t>
      </w:r>
      <w:r>
        <w:rPr>
          <w:kern w:val="0"/>
        </w:rPr>
        <w:t>IMBIOMED, the Networked Digital Library</w:t>
      </w:r>
      <w:r w:rsidR="00427468">
        <w:rPr>
          <w:kern w:val="0"/>
        </w:rPr>
        <w:t xml:space="preserve"> of </w:t>
      </w:r>
      <w:r>
        <w:rPr>
          <w:kern w:val="0"/>
        </w:rPr>
        <w:t>Theses</w:t>
      </w:r>
      <w:r w:rsidR="005853A9">
        <w:rPr>
          <w:kern w:val="0"/>
        </w:rPr>
        <w:t xml:space="preserve"> and </w:t>
      </w:r>
      <w:r>
        <w:rPr>
          <w:kern w:val="0"/>
        </w:rPr>
        <w:t>Dissertations, metaRegister</w:t>
      </w:r>
      <w:r w:rsidR="005853A9">
        <w:rPr>
          <w:kern w:val="0"/>
        </w:rPr>
        <w:t xml:space="preserve"> and </w:t>
      </w:r>
      <w:r>
        <w:rPr>
          <w:kern w:val="0"/>
        </w:rPr>
        <w:t>the WHO International Clinical Trials Registry Platform (ICTRP). We also contacted relevant organisations (on 11 October 2011) to identify ongoing</w:t>
      </w:r>
      <w:r w:rsidR="005853A9">
        <w:rPr>
          <w:kern w:val="0"/>
        </w:rPr>
        <w:t xml:space="preserve"> and </w:t>
      </w:r>
      <w:r>
        <w:rPr>
          <w:kern w:val="0"/>
        </w:rPr>
        <w:t>unpublished studies. Selection criteria Randomised</w:t>
      </w:r>
      <w:r w:rsidR="005853A9">
        <w:rPr>
          <w:kern w:val="0"/>
        </w:rPr>
        <w:t xml:space="preserve"> and </w:t>
      </w:r>
      <w:r>
        <w:rPr>
          <w:kern w:val="0"/>
        </w:rPr>
        <w:t>quasi-randomised trials with either individual or cluster randomisation. Participants were menstruating women, that is women beyond menarche</w:t>
      </w:r>
      <w:r w:rsidR="005853A9">
        <w:rPr>
          <w:kern w:val="0"/>
        </w:rPr>
        <w:t xml:space="preserve"> and </w:t>
      </w:r>
      <w:r>
        <w:rPr>
          <w:kern w:val="0"/>
        </w:rPr>
        <w:t>prior to menopause who were not pregnant or lactating</w:t>
      </w:r>
      <w:r w:rsidR="005853A9">
        <w:rPr>
          <w:kern w:val="0"/>
        </w:rPr>
        <w:t xml:space="preserve"> and </w:t>
      </w:r>
      <w:r>
        <w:rPr>
          <w:kern w:val="0"/>
        </w:rPr>
        <w:t>did not have a known condition that impeded the presence</w:t>
      </w:r>
      <w:r w:rsidR="00427468">
        <w:rPr>
          <w:kern w:val="0"/>
        </w:rPr>
        <w:t xml:space="preserve"> of </w:t>
      </w:r>
      <w:r>
        <w:rPr>
          <w:kern w:val="0"/>
        </w:rPr>
        <w:t>menstrual periods</w:t>
      </w:r>
      <w:r w:rsidR="00A37C1D">
        <w:rPr>
          <w:kern w:val="0"/>
        </w:rPr>
        <w:t>. The</w:t>
      </w:r>
      <w:r>
        <w:rPr>
          <w:kern w:val="0"/>
        </w:rPr>
        <w:t xml:space="preserve"> intervention was the use</w:t>
      </w:r>
      <w:r w:rsidR="00427468">
        <w:rPr>
          <w:kern w:val="0"/>
        </w:rPr>
        <w:t xml:space="preserve"> of </w:t>
      </w:r>
      <w:r>
        <w:rPr>
          <w:kern w:val="0"/>
        </w:rPr>
        <w:t>iron supplements intermittently (one, two or three times a week on non-consecutive days) compared with no intervention, a placebo, or the use</w:t>
      </w:r>
      <w:r w:rsidR="00427468">
        <w:rPr>
          <w:kern w:val="0"/>
        </w:rPr>
        <w:t xml:space="preserve"> of </w:t>
      </w:r>
      <w:r>
        <w:rPr>
          <w:kern w:val="0"/>
        </w:rPr>
        <w:t>same supplements on a daily basis. Data collection</w:t>
      </w:r>
      <w:r w:rsidR="005853A9">
        <w:rPr>
          <w:kern w:val="0"/>
        </w:rPr>
        <w:t xml:space="preserve"> and </w:t>
      </w:r>
      <w:r>
        <w:rPr>
          <w:kern w:val="0"/>
        </w:rPr>
        <w:t>analysis Two review authors independently assessed the eligibility</w:t>
      </w:r>
      <w:r w:rsidR="00427468">
        <w:rPr>
          <w:kern w:val="0"/>
        </w:rPr>
        <w:t xml:space="preserve"> of </w:t>
      </w:r>
      <w:r>
        <w:rPr>
          <w:kern w:val="0"/>
        </w:rPr>
        <w:t>studies against the inclusion criteria, extracted data from included studies, checked data entry for accuracy</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 xml:space="preserve">the included studies. Main results We included 21 trials involving 10,258 women. Although the quality across </w:t>
      </w:r>
      <w:r>
        <w:rPr>
          <w:kern w:val="0"/>
        </w:rPr>
        <w:lastRenderedPageBreak/>
        <w:t>trials was variable, the results consistently show that in comparison with no intervention or a placebo, intermittent iron supplementation (alone or with any other vitamins</w:t>
      </w:r>
      <w:r w:rsidR="005853A9">
        <w:rPr>
          <w:kern w:val="0"/>
        </w:rPr>
        <w:t xml:space="preserve"> and </w:t>
      </w:r>
      <w:r>
        <w:rPr>
          <w:kern w:val="0"/>
        </w:rPr>
        <w:t>minerals) reduces the risk</w:t>
      </w:r>
      <w:r w:rsidR="00427468">
        <w:rPr>
          <w:kern w:val="0"/>
        </w:rPr>
        <w:t xml:space="preserve"> of </w:t>
      </w:r>
      <w:r>
        <w:rPr>
          <w:kern w:val="0"/>
        </w:rPr>
        <w:t>having anaemia (RR 0.73; 95% CI 0.56 to 0.95, 10 trials)</w:t>
      </w:r>
      <w:r w:rsidR="005853A9">
        <w:rPr>
          <w:kern w:val="0"/>
        </w:rPr>
        <w:t xml:space="preserve"> and </w:t>
      </w:r>
      <w:r>
        <w:rPr>
          <w:kern w:val="0"/>
        </w:rPr>
        <w:t>improves the concentration</w:t>
      </w:r>
      <w:r w:rsidR="00427468">
        <w:rPr>
          <w:kern w:val="0"/>
        </w:rPr>
        <w:t xml:space="preserve"> of </w:t>
      </w:r>
      <w:r>
        <w:rPr>
          <w:kern w:val="0"/>
        </w:rPr>
        <w:t>haemoglobin (MD 4.58 g/L; 95% CI 2.56 to 6.59, 13 trials)</w:t>
      </w:r>
      <w:r w:rsidR="005853A9">
        <w:rPr>
          <w:kern w:val="0"/>
        </w:rPr>
        <w:t xml:space="preserve"> and </w:t>
      </w:r>
      <w:r>
        <w:rPr>
          <w:kern w:val="0"/>
        </w:rPr>
        <w:t>ferritin (MD 8.32 mu g/L; 95% CI 4.97 to 11.66, six trials). However, in comparison with daily supplementation, women receiving supplements intermittently presented anaemia more frequently (RR 1.26; 95% CI 1.04 to 1.51, six trials), despite achieving similar haemoglobin concentrations on average (MD -0.15 g/L; 95% CI -2.20 to 1.91, eight trials). Information on disease outcomes, adherence, side effects, economic productivity</w:t>
      </w:r>
      <w:r w:rsidR="005853A9">
        <w:rPr>
          <w:kern w:val="0"/>
        </w:rPr>
        <w:t xml:space="preserve"> and </w:t>
      </w:r>
      <w:r>
        <w:rPr>
          <w:kern w:val="0"/>
        </w:rPr>
        <w:t>work performance is scarce</w:t>
      </w:r>
      <w:r w:rsidR="005853A9">
        <w:rPr>
          <w:kern w:val="0"/>
        </w:rPr>
        <w:t xml:space="preserve"> and </w:t>
      </w:r>
      <w:r>
        <w:rPr>
          <w:kern w:val="0"/>
        </w:rPr>
        <w:t>the evidence about the effects</w:t>
      </w:r>
      <w:r w:rsidR="00427468">
        <w:rPr>
          <w:kern w:val="0"/>
        </w:rPr>
        <w:t xml:space="preserve"> of </w:t>
      </w:r>
      <w:r>
        <w:rPr>
          <w:kern w:val="0"/>
        </w:rPr>
        <w:t>intermittent supplementation on them is unclear. Overall, whether the supplements were given once or twice weekly, for less or more than three months, contained less or more than 60 mg</w:t>
      </w:r>
      <w:r w:rsidR="00427468">
        <w:rPr>
          <w:kern w:val="0"/>
        </w:rPr>
        <w:t xml:space="preserve"> of </w:t>
      </w:r>
      <w:r>
        <w:rPr>
          <w:kern w:val="0"/>
        </w:rPr>
        <w:t>elemental iron per week, or to populations with different degrees</w:t>
      </w:r>
      <w:r w:rsidR="00427468">
        <w:rPr>
          <w:kern w:val="0"/>
        </w:rPr>
        <w:t xml:space="preserve"> of </w:t>
      </w:r>
      <w:r>
        <w:rPr>
          <w:kern w:val="0"/>
        </w:rPr>
        <w:t>anaemia at baseline did not seem to affect the findings. Furthermore, the response did not differ in areas where malaria is frequent, although very few trials were conducted in these settings. Authors</w:t>
      </w:r>
      <w:r w:rsidR="0071223E">
        <w:rPr>
          <w:kern w:val="0"/>
        </w:rPr>
        <w:t>’</w:t>
      </w:r>
      <w:r>
        <w:rPr>
          <w:kern w:val="0"/>
        </w:rPr>
        <w:t xml:space="preserve"> conclusions Intermittent iron supplementation in menstruating women is a feasible intervention in settings where daily supplementation is likely to be unsuccessful or not possible. In comparison with daily supplementation, the provision</w:t>
      </w:r>
      <w:r w:rsidR="00427468">
        <w:rPr>
          <w:kern w:val="0"/>
        </w:rPr>
        <w:t xml:space="preserve"> of </w:t>
      </w:r>
      <w:r>
        <w:rPr>
          <w:kern w:val="0"/>
        </w:rPr>
        <w:t>iron supplements intermittently is less effective in preventing or controlling anaemia. More information is needed on morbidity (including malaria outcomes), side effects, work performance, economic productivity, depression</w:t>
      </w:r>
      <w:r w:rsidR="005853A9">
        <w:rPr>
          <w:kern w:val="0"/>
        </w:rPr>
        <w:t xml:space="preserve"> and </w:t>
      </w:r>
      <w:r>
        <w:rPr>
          <w:kern w:val="0"/>
        </w:rPr>
        <w:t>adherence to the intervention.</w:t>
      </w:r>
    </w:p>
    <w:p w:rsidR="00365DE4" w:rsidRDefault="00365DE4" w:rsidP="00365DE4">
      <w:pPr>
        <w:pStyle w:val="a3"/>
        <w:rPr>
          <w:kern w:val="0"/>
        </w:rPr>
      </w:pPr>
      <w:r>
        <w:rPr>
          <w:kern w:val="0"/>
        </w:rPr>
        <w:t xml:space="preserve">Keywords: Accuracy, Adherence, Adolescent Girls, Alternative, Anaemia, Analysis, Anthelmintic Treatment, Authors, Bias, Citation, Clinical Trials, Cluster, Collection, Comparison, Concentration, Constipation, Criteria, Data, Data Collection, Databases, Deficiency Anemia, Depression, Disease, Economic, Effects, Evidence, Female Tea Pluckers, Ferritin, Ferritin Concentrations, Folic-Acid Supplementation, Information, Intervention, Iron, Lactating, Long Term, Long-Term, Malaria, </w:t>
      </w:r>
      <w:r w:rsidR="00D5664A">
        <w:rPr>
          <w:kern w:val="0"/>
        </w:rPr>
        <w:t>MEDLINE</w:t>
      </w:r>
      <w:r>
        <w:rPr>
          <w:kern w:val="0"/>
        </w:rPr>
        <w:t>, Menopause, Methods, Minerals, Morbidity, Multiple Micronutrient Supplementation, Nausea, Not Pregnant, Nutrients, Oral, Outcomes, Performance, Placebo, Population, Populations, Practice, Pregnant, Preschool-Children, Productivity, Quality, Randomisation, Randomized Controlled-Trial, Review, Risk, Scielo, Science, Science Citation Index, Search, Side Effects, Standard, Term, Vietnamese Women, Women, Work</w:t>
      </w:r>
    </w:p>
    <w:p w:rsidR="00365DE4" w:rsidRDefault="00365DE4" w:rsidP="00365DE4">
      <w:pPr>
        <w:pStyle w:val="a3"/>
        <w:rPr>
          <w:kern w:val="0"/>
        </w:rPr>
      </w:pPr>
      <w:r>
        <w:rPr>
          <w:kern w:val="0"/>
        </w:rPr>
        <w:t>? Valentin-Gudiol, M., Mattern-Baxter, K., Girabent-Farres, M., Bagur-Calafat, C., Hadders-Algra, M.</w:t>
      </w:r>
      <w:r w:rsidR="005853A9">
        <w:rPr>
          <w:kern w:val="0"/>
        </w:rPr>
        <w:t xml:space="preserve"> and </w:t>
      </w:r>
      <w:r>
        <w:rPr>
          <w:kern w:val="0"/>
        </w:rPr>
        <w:t>Angulo-Barroso, R.M. (2011), Treadmill interventions with partial body weight support in children under six years</w:t>
      </w:r>
      <w:r w:rsidR="00427468">
        <w:rPr>
          <w:kern w:val="0"/>
        </w:rPr>
        <w:t xml:space="preserve"> of </w:t>
      </w:r>
      <w:r>
        <w:rPr>
          <w:kern w:val="0"/>
        </w:rPr>
        <w:t>age at risk</w:t>
      </w:r>
      <w:r w:rsidR="00427468">
        <w:rPr>
          <w:kern w:val="0"/>
        </w:rPr>
        <w:t xml:space="preserve"> of </w:t>
      </w:r>
      <w:r>
        <w:rPr>
          <w:kern w:val="0"/>
        </w:rPr>
        <w:t xml:space="preserve">neuromotor delay.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CD009242.</w:t>
      </w:r>
    </w:p>
    <w:p w:rsidR="00365DE4" w:rsidRDefault="00365DE4" w:rsidP="00365DE4">
      <w:pPr>
        <w:pStyle w:val="a3"/>
        <w:rPr>
          <w:kern w:val="2"/>
        </w:rPr>
      </w:pPr>
      <w:r>
        <w:lastRenderedPageBreak/>
        <w:t xml:space="preserve">Full Text: </w:t>
      </w:r>
      <w:hyperlink r:id="rId729" w:history="1">
        <w:r>
          <w:rPr>
            <w:rStyle w:val="a5"/>
          </w:rPr>
          <w:t>2011\Coc Dat Sys Rev2011, CD009242.pdf</w:t>
        </w:r>
      </w:hyperlink>
    </w:p>
    <w:p w:rsidR="00365DE4" w:rsidRDefault="00365DE4" w:rsidP="00365DE4">
      <w:pPr>
        <w:pStyle w:val="a3"/>
        <w:rPr>
          <w:kern w:val="0"/>
        </w:rPr>
      </w:pPr>
      <w:r>
        <w:rPr>
          <w:kern w:val="0"/>
        </w:rPr>
        <w:t>Abstract: Background Delayed motor development may occur in children with Down syndrome, cerebral palsy or children born preterm, which in turn may limit the child</w:t>
      </w:r>
      <w:r w:rsidR="0071223E">
        <w:rPr>
          <w:kern w:val="0"/>
        </w:rPr>
        <w:t>’</w:t>
      </w:r>
      <w:r>
        <w:rPr>
          <w:kern w:val="0"/>
        </w:rPr>
        <w:t>s opportunities to explore the environment. Neurophysiologic</w:t>
      </w:r>
      <w:r w:rsidR="005853A9">
        <w:rPr>
          <w:kern w:val="0"/>
        </w:rPr>
        <w:t xml:space="preserve"> and </w:t>
      </w:r>
      <w:r>
        <w:rPr>
          <w:kern w:val="0"/>
        </w:rPr>
        <w:t>early intervention literature suggests that task-specific training facilitates motor development. Treadmill intervention is a good example</w:t>
      </w:r>
      <w:r w:rsidR="00427468">
        <w:rPr>
          <w:kern w:val="0"/>
        </w:rPr>
        <w:t xml:space="preserve"> of </w:t>
      </w:r>
      <w:r>
        <w:rPr>
          <w:kern w:val="0"/>
        </w:rPr>
        <w:t>locomotor task-specific training. Objectives To assess the effectiveness</w:t>
      </w:r>
      <w:r w:rsidR="00427468">
        <w:rPr>
          <w:kern w:val="0"/>
        </w:rPr>
        <w:t xml:space="preserve"> of </w:t>
      </w:r>
      <w:r>
        <w:rPr>
          <w:kern w:val="0"/>
        </w:rPr>
        <w:t>treadmill intervention on locomotor motor development in pre-ambulatory infants</w:t>
      </w:r>
      <w:r w:rsidR="005853A9">
        <w:rPr>
          <w:kern w:val="0"/>
        </w:rPr>
        <w:t xml:space="preserve"> and </w:t>
      </w:r>
      <w:r>
        <w:rPr>
          <w:kern w:val="0"/>
        </w:rPr>
        <w:t>children under six years</w:t>
      </w:r>
      <w:r w:rsidR="00427468">
        <w:rPr>
          <w:kern w:val="0"/>
        </w:rPr>
        <w:t xml:space="preserve"> of </w:t>
      </w:r>
      <w:r>
        <w:rPr>
          <w:kern w:val="0"/>
        </w:rPr>
        <w:t xml:space="preserve">age who are at risk for neuromotor delay. Search methods In March 2011 we searched CENTRAL (T h e Coch ran e Library 2011, Issue 1), </w:t>
      </w:r>
      <w:r w:rsidR="00D5664A">
        <w:rPr>
          <w:kern w:val="0"/>
        </w:rPr>
        <w:t>MEDLINE</w:t>
      </w:r>
      <w:r>
        <w:rPr>
          <w:kern w:val="0"/>
        </w:rPr>
        <w:t xml:space="preserve"> (1948 to March Week 2, 2011), EMBASE (1980 to Week 11, 2011), PsycINFO (1887 to current), CINAHL (1937 to current), Science Citation Index (1970 to 19 March 2011), PEDro (until 7 March 2011), CPCI-S (1990 to 19 March 2011)</w:t>
      </w:r>
      <w:r w:rsidR="005853A9">
        <w:rPr>
          <w:kern w:val="0"/>
        </w:rPr>
        <w:t xml:space="preserve"> and </w:t>
      </w:r>
      <w:r>
        <w:rPr>
          <w:kern w:val="0"/>
        </w:rPr>
        <w:t>LILACS (until March 2011). We also searched ICTRP, ClinicalTrials.gov, mRCT</w:t>
      </w:r>
      <w:r w:rsidR="005853A9">
        <w:rPr>
          <w:kern w:val="0"/>
        </w:rPr>
        <w:t xml:space="preserve"> and </w:t>
      </w:r>
      <w:r>
        <w:rPr>
          <w:kern w:val="0"/>
        </w:rPr>
        <w:t>CenterWatch. Selection criteria We included randomised controlled trials, quasi-randomised controlled trials</w:t>
      </w:r>
      <w:r w:rsidR="005853A9">
        <w:rPr>
          <w:kern w:val="0"/>
        </w:rPr>
        <w:t xml:space="preserve"> and </w:t>
      </w:r>
      <w:r>
        <w:rPr>
          <w:kern w:val="0"/>
        </w:rPr>
        <w:t>controlled clinical trials that evaluated the effect</w:t>
      </w:r>
      <w:r w:rsidR="00427468">
        <w:rPr>
          <w:kern w:val="0"/>
        </w:rPr>
        <w:t xml:space="preserve"> of </w:t>
      </w:r>
      <w:r>
        <w:rPr>
          <w:kern w:val="0"/>
        </w:rPr>
        <w:t>treadmill intervention in children up to six years</w:t>
      </w:r>
      <w:r w:rsidR="00427468">
        <w:rPr>
          <w:kern w:val="0"/>
        </w:rPr>
        <w:t xml:space="preserve"> of </w:t>
      </w:r>
      <w:r>
        <w:rPr>
          <w:kern w:val="0"/>
        </w:rPr>
        <w:t>age with delays in gait development or the attainment</w:t>
      </w:r>
      <w:r w:rsidR="00427468">
        <w:rPr>
          <w:kern w:val="0"/>
        </w:rPr>
        <w:t xml:space="preserve"> of </w:t>
      </w:r>
      <w:r>
        <w:rPr>
          <w:kern w:val="0"/>
        </w:rPr>
        <w:t>independent walking or who were at risk</w:t>
      </w:r>
      <w:r w:rsidR="00427468">
        <w:rPr>
          <w:kern w:val="0"/>
        </w:rPr>
        <w:t xml:space="preserve"> of </w:t>
      </w:r>
      <w:r>
        <w:rPr>
          <w:kern w:val="0"/>
        </w:rPr>
        <w:t>neuromotor delay. Data collection</w:t>
      </w:r>
      <w:r w:rsidR="005853A9">
        <w:rPr>
          <w:kern w:val="0"/>
        </w:rPr>
        <w:t xml:space="preserve"> and </w:t>
      </w:r>
      <w:r>
        <w:rPr>
          <w:kern w:val="0"/>
        </w:rPr>
        <w:t>analysis Four authors independently extracted the data using standardised forms. Outcome parameters were structured according to the “Body functions”</w:t>
      </w:r>
      <w:r w:rsidR="005853A9">
        <w:rPr>
          <w:kern w:val="0"/>
        </w:rPr>
        <w:t xml:space="preserve"> and </w:t>
      </w:r>
      <w:r>
        <w:rPr>
          <w:kern w:val="0"/>
        </w:rPr>
        <w:t>“Activity</w:t>
      </w:r>
      <w:r w:rsidR="005853A9">
        <w:rPr>
          <w:kern w:val="0"/>
        </w:rPr>
        <w:t xml:space="preserve"> and </w:t>
      </w:r>
      <w:r>
        <w:rPr>
          <w:kern w:val="0"/>
        </w:rPr>
        <w:t>Participation” components</w:t>
      </w:r>
      <w:r w:rsidR="00427468">
        <w:rPr>
          <w:kern w:val="0"/>
        </w:rPr>
        <w:t xml:space="preserve"> of </w:t>
      </w:r>
      <w:r>
        <w:rPr>
          <w:kern w:val="0"/>
        </w:rPr>
        <w:t>the International Classification</w:t>
      </w:r>
      <w:r w:rsidR="00427468">
        <w:rPr>
          <w:kern w:val="0"/>
        </w:rPr>
        <w:t xml:space="preserve"> of </w:t>
      </w:r>
      <w:r>
        <w:rPr>
          <w:kern w:val="0"/>
        </w:rPr>
        <w:t>Functioning, Disability</w:t>
      </w:r>
      <w:r w:rsidR="005853A9">
        <w:rPr>
          <w:kern w:val="0"/>
        </w:rPr>
        <w:t xml:space="preserve"> and </w:t>
      </w:r>
      <w:r>
        <w:rPr>
          <w:kern w:val="0"/>
        </w:rPr>
        <w:t>Health, Children &amp; Youth version (ICFCY), which was developed by the World Health Organization. Main results We included five studies, which reported on treadmill intervention in 139 children.</w:t>
      </w:r>
      <w:r w:rsidR="00427468">
        <w:rPr>
          <w:kern w:val="0"/>
        </w:rPr>
        <w:t xml:space="preserve"> of </w:t>
      </w:r>
      <w:r>
        <w:rPr>
          <w:kern w:val="0"/>
        </w:rPr>
        <w:t>the 139 children, 73 were allocated to treadmill intervention groups, with the other children serving as controls</w:t>
      </w:r>
      <w:r w:rsidR="00A37C1D">
        <w:rPr>
          <w:kern w:val="0"/>
        </w:rPr>
        <w:t>. The</w:t>
      </w:r>
      <w:r>
        <w:rPr>
          <w:kern w:val="0"/>
        </w:rPr>
        <w:t xml:space="preserve"> studies varied in the type</w:t>
      </w:r>
      <w:r w:rsidR="00427468">
        <w:rPr>
          <w:kern w:val="0"/>
        </w:rPr>
        <w:t xml:space="preserve"> of </w:t>
      </w:r>
      <w:r>
        <w:rPr>
          <w:kern w:val="0"/>
        </w:rPr>
        <w:t>population studied (children with Down syndrome, cerebral palsy or who were at risk for neuromotor delay); the type</w:t>
      </w:r>
      <w:r w:rsidR="00427468">
        <w:rPr>
          <w:kern w:val="0"/>
        </w:rPr>
        <w:t xml:space="preserve"> of </w:t>
      </w:r>
      <w:r>
        <w:rPr>
          <w:kern w:val="0"/>
        </w:rPr>
        <w:t>comparison (for example, treadmill versus no intervention, high intensity treadmill versus low intensity); the time</w:t>
      </w:r>
      <w:r w:rsidR="00427468">
        <w:rPr>
          <w:kern w:val="0"/>
        </w:rPr>
        <w:t xml:space="preserve"> of </w:t>
      </w:r>
      <w:r>
        <w:rPr>
          <w:kern w:val="0"/>
        </w:rPr>
        <w:t>evaluation (during the intervention or at various intervals after intervention),</w:t>
      </w:r>
      <w:r w:rsidR="005853A9">
        <w:rPr>
          <w:kern w:val="0"/>
        </w:rPr>
        <w:t xml:space="preserve"> and </w:t>
      </w:r>
      <w:r>
        <w:rPr>
          <w:kern w:val="0"/>
        </w:rPr>
        <w:t>the parameters assessed. Due to the diversity</w:t>
      </w:r>
      <w:r w:rsidR="00427468">
        <w:rPr>
          <w:kern w:val="0"/>
        </w:rPr>
        <w:t xml:space="preserve"> of </w:t>
      </w:r>
      <w:r>
        <w:rPr>
          <w:kern w:val="0"/>
        </w:rPr>
        <w:t>the studies, we were only able to use data from three studies in meta-analyses</w:t>
      </w:r>
      <w:r w:rsidR="005853A9">
        <w:rPr>
          <w:kern w:val="0"/>
        </w:rPr>
        <w:t xml:space="preserve"> and </w:t>
      </w:r>
      <w:r>
        <w:rPr>
          <w:kern w:val="0"/>
        </w:rPr>
        <w:t>these were limited to two outcomes: age</w:t>
      </w:r>
      <w:r w:rsidR="00427468">
        <w:rPr>
          <w:kern w:val="0"/>
        </w:rPr>
        <w:t xml:space="preserve"> of </w:t>
      </w:r>
      <w:r>
        <w:rPr>
          <w:kern w:val="0"/>
        </w:rPr>
        <w:t>onset</w:t>
      </w:r>
      <w:r w:rsidR="00427468">
        <w:rPr>
          <w:kern w:val="0"/>
        </w:rPr>
        <w:t xml:space="preserve"> of </w:t>
      </w:r>
      <w:r>
        <w:rPr>
          <w:kern w:val="0"/>
        </w:rPr>
        <w:t>independent walking</w:t>
      </w:r>
      <w:r w:rsidR="005853A9">
        <w:rPr>
          <w:kern w:val="0"/>
        </w:rPr>
        <w:t xml:space="preserve"> and </w:t>
      </w:r>
      <w:r>
        <w:rPr>
          <w:kern w:val="0"/>
        </w:rPr>
        <w:t>gross motor function. Evidence suggested that treadmill intervention could lead to earlier onset</w:t>
      </w:r>
      <w:r w:rsidR="00427468">
        <w:rPr>
          <w:kern w:val="0"/>
        </w:rPr>
        <w:t xml:space="preserve"> of </w:t>
      </w:r>
      <w:r>
        <w:rPr>
          <w:kern w:val="0"/>
        </w:rPr>
        <w:t>independent walking when compared to no treadmill intervention (two studies; effect estimate -1.47; 95% confidence interval (CI): -2.97, 0.03), though these trials studied two different populations</w:t>
      </w:r>
      <w:r w:rsidR="005853A9">
        <w:rPr>
          <w:kern w:val="0"/>
        </w:rPr>
        <w:t xml:space="preserve"> and </w:t>
      </w:r>
      <w:r>
        <w:rPr>
          <w:kern w:val="0"/>
        </w:rPr>
        <w:t>children with Down syndrome seemed to benefit while it was not clear if this was the case for children at high risk</w:t>
      </w:r>
      <w:r w:rsidR="00427468">
        <w:rPr>
          <w:kern w:val="0"/>
        </w:rPr>
        <w:t xml:space="preserve"> of </w:t>
      </w:r>
      <w:r>
        <w:rPr>
          <w:kern w:val="0"/>
        </w:rPr>
        <w:t>neuromotor disabilities. Another two studies, both in children with Down syndrome, compared different types</w:t>
      </w:r>
      <w:r w:rsidR="00427468">
        <w:rPr>
          <w:kern w:val="0"/>
        </w:rPr>
        <w:t xml:space="preserve"> of </w:t>
      </w:r>
      <w:r>
        <w:rPr>
          <w:kern w:val="0"/>
        </w:rPr>
        <w:t xml:space="preserve">treadmill intervention: one </w:t>
      </w:r>
      <w:r>
        <w:rPr>
          <w:kern w:val="0"/>
        </w:rPr>
        <w:lastRenderedPageBreak/>
        <w:t>compared treadmill intervention with</w:t>
      </w:r>
      <w:r w:rsidR="005853A9">
        <w:rPr>
          <w:kern w:val="0"/>
        </w:rPr>
        <w:t xml:space="preserve"> and </w:t>
      </w:r>
      <w:r>
        <w:rPr>
          <w:kern w:val="0"/>
        </w:rPr>
        <w:t>without orthotics, while the other compared high versus low intensity treadmill intervention. Both were inconclusive regarding the impact</w:t>
      </w:r>
      <w:r w:rsidR="00427468">
        <w:rPr>
          <w:kern w:val="0"/>
        </w:rPr>
        <w:t xml:space="preserve"> of </w:t>
      </w:r>
      <w:r>
        <w:rPr>
          <w:kern w:val="0"/>
        </w:rPr>
        <w:t>these different protocols on the age at which children started to walk</w:t>
      </w:r>
      <w:r w:rsidR="00A37C1D">
        <w:rPr>
          <w:kern w:val="0"/>
        </w:rPr>
        <w:t>. The</w:t>
      </w:r>
      <w:r>
        <w:rPr>
          <w:kern w:val="0"/>
        </w:rPr>
        <w:t>re is insufficient evidence to determine whether treadmill intervention improves gross motor function (two studies; effect estimate 0.88; 95% CI: -4.54, 6.30). In the one study evaluating treadmill with</w:t>
      </w:r>
      <w:r w:rsidR="005853A9">
        <w:rPr>
          <w:kern w:val="0"/>
        </w:rPr>
        <w:t xml:space="preserve"> and </w:t>
      </w:r>
      <w:r>
        <w:rPr>
          <w:kern w:val="0"/>
        </w:rPr>
        <w:t>without orthotics, results suggested that adding orthotics might hinder gross motor progress (effect estimate -8.40; 95% CI: -14.55, -2.25). One study</w:t>
      </w:r>
      <w:r w:rsidR="00427468">
        <w:rPr>
          <w:kern w:val="0"/>
        </w:rPr>
        <w:t xml:space="preserve"> of </w:t>
      </w:r>
      <w:r>
        <w:rPr>
          <w:kern w:val="0"/>
        </w:rPr>
        <w:t>children with Down syndrome measured the age</w:t>
      </w:r>
      <w:r w:rsidR="00427468">
        <w:rPr>
          <w:kern w:val="0"/>
        </w:rPr>
        <w:t xml:space="preserve"> of </w:t>
      </w:r>
      <w:r>
        <w:rPr>
          <w:kern w:val="0"/>
        </w:rPr>
        <w:t>onset</w:t>
      </w:r>
      <w:r w:rsidR="00427468">
        <w:rPr>
          <w:kern w:val="0"/>
        </w:rPr>
        <w:t xml:space="preserve"> of </w:t>
      </w:r>
      <w:r>
        <w:rPr>
          <w:kern w:val="0"/>
        </w:rPr>
        <w:t>assisted walking</w:t>
      </w:r>
      <w:r w:rsidR="005853A9">
        <w:rPr>
          <w:kern w:val="0"/>
        </w:rPr>
        <w:t xml:space="preserve"> and </w:t>
      </w:r>
      <w:r>
        <w:rPr>
          <w:kern w:val="0"/>
        </w:rPr>
        <w:t>reported those receiving the treadmill intervention were able to walk with assistance earlier than those who did not receive the intervention (effect estimate -74.00; 95% CI: -135.40, -12.60). Another study comparing high</w:t>
      </w:r>
      <w:r w:rsidR="005853A9">
        <w:rPr>
          <w:kern w:val="0"/>
        </w:rPr>
        <w:t xml:space="preserve"> and </w:t>
      </w:r>
      <w:r>
        <w:rPr>
          <w:kern w:val="0"/>
        </w:rPr>
        <w:t>low intensity treadmill was unable to conclude whether one was more effective than the other in helping children achieve supported walking at an earlier age (effect estimate -1.86; 95% CI: -4.09, 0.37). One study</w:t>
      </w:r>
      <w:r w:rsidR="00427468">
        <w:rPr>
          <w:kern w:val="0"/>
        </w:rPr>
        <w:t xml:space="preserve"> of </w:t>
      </w:r>
      <w:r>
        <w:rPr>
          <w:kern w:val="0"/>
        </w:rPr>
        <w:t>children at high risk</w:t>
      </w:r>
      <w:r w:rsidR="00427468">
        <w:rPr>
          <w:kern w:val="0"/>
        </w:rPr>
        <w:t xml:space="preserve"> of </w:t>
      </w:r>
      <w:r>
        <w:rPr>
          <w:kern w:val="0"/>
        </w:rPr>
        <w:t>neuromotor disabilities evaluated step quality</w:t>
      </w:r>
      <w:r w:rsidR="005853A9">
        <w:rPr>
          <w:kern w:val="0"/>
        </w:rPr>
        <w:t xml:space="preserve"> and </w:t>
      </w:r>
      <w:r>
        <w:rPr>
          <w:kern w:val="0"/>
        </w:rPr>
        <w:t>found a statistically significant benefit from treadmill intervention compared to no treadmill intervention (effect estimate at 16 months</w:t>
      </w:r>
      <w:r w:rsidR="00427468">
        <w:rPr>
          <w:kern w:val="0"/>
        </w:rPr>
        <w:t xml:space="preserve"> of </w:t>
      </w:r>
      <w:r>
        <w:rPr>
          <w:kern w:val="0"/>
        </w:rPr>
        <w:t>age: -15.61; 95% CI: -23.96, -7.27), but was not able to conclude whether there was a beneficial effect from treadmill training on step frequency at the same age (effect estimate at 16 months</w:t>
      </w:r>
      <w:r w:rsidR="00427468">
        <w:rPr>
          <w:kern w:val="0"/>
        </w:rPr>
        <w:t xml:space="preserve"> of </w:t>
      </w:r>
      <w:r>
        <w:rPr>
          <w:kern w:val="0"/>
        </w:rPr>
        <w:t>age: 4.36; 95% CI: -2.63, 11.35). Step frequency was also evaluated in children with Down syndrome in another study</w:t>
      </w:r>
      <w:r w:rsidR="005853A9">
        <w:rPr>
          <w:kern w:val="0"/>
        </w:rPr>
        <w:t xml:space="preserve"> and </w:t>
      </w:r>
      <w:r>
        <w:rPr>
          <w:kern w:val="0"/>
        </w:rPr>
        <w:t>those who received high intensity rather than low intensity treadmill training showed an increased number</w:t>
      </w:r>
      <w:r w:rsidR="00427468">
        <w:rPr>
          <w:kern w:val="0"/>
        </w:rPr>
        <w:t xml:space="preserve"> of </w:t>
      </w:r>
      <w:r>
        <w:rPr>
          <w:kern w:val="0"/>
        </w:rPr>
        <w:t>alternating steps (effect estimate 11.00; 95% CI: 6.03, 15.97). Our other primary outcome, falls</w:t>
      </w:r>
      <w:r w:rsidR="005853A9">
        <w:rPr>
          <w:kern w:val="0"/>
        </w:rPr>
        <w:t xml:space="preserve"> and </w:t>
      </w:r>
      <w:r>
        <w:rPr>
          <w:kern w:val="0"/>
        </w:rPr>
        <w:t>injuries due to falls, was not measured in any</w:t>
      </w:r>
      <w:r w:rsidR="00427468">
        <w:rPr>
          <w:kern w:val="0"/>
        </w:rPr>
        <w:t xml:space="preserve"> of </w:t>
      </w:r>
      <w:r>
        <w:rPr>
          <w:kern w:val="0"/>
        </w:rPr>
        <w:t>the included studies. Authors</w:t>
      </w:r>
      <w:r w:rsidR="0071223E">
        <w:rPr>
          <w:kern w:val="0"/>
        </w:rPr>
        <w:t>’</w:t>
      </w:r>
      <w:r>
        <w:rPr>
          <w:kern w:val="0"/>
        </w:rPr>
        <w:t xml:space="preserve"> conclusions The current review provided only limited evidence</w:t>
      </w:r>
      <w:r w:rsidR="00427468">
        <w:rPr>
          <w:kern w:val="0"/>
        </w:rPr>
        <w:t xml:space="preserve"> of </w:t>
      </w:r>
      <w:r>
        <w:rPr>
          <w:kern w:val="0"/>
        </w:rPr>
        <w:t>the efficacy</w:t>
      </w:r>
      <w:r w:rsidR="00427468">
        <w:rPr>
          <w:kern w:val="0"/>
        </w:rPr>
        <w:t xml:space="preserve"> of </w:t>
      </w:r>
      <w:r>
        <w:rPr>
          <w:kern w:val="0"/>
        </w:rPr>
        <w:t>treadmill intervention in children up to six years</w:t>
      </w:r>
      <w:r w:rsidR="00427468">
        <w:rPr>
          <w:kern w:val="0"/>
        </w:rPr>
        <w:t xml:space="preserve"> of </w:t>
      </w:r>
      <w:r>
        <w:rPr>
          <w:kern w:val="0"/>
        </w:rPr>
        <w:t>age. Few studies have assessed treadmill interventions in young children using an appropriate control group (which would be usual treatment or no treatment)</w:t>
      </w:r>
      <w:r w:rsidR="00A37C1D">
        <w:rPr>
          <w:kern w:val="0"/>
        </w:rPr>
        <w:t>. The</w:t>
      </w:r>
      <w:r>
        <w:rPr>
          <w:kern w:val="0"/>
        </w:rPr>
        <w:t xml:space="preserve"> available evidence indicates that treadmill intervention may accelerate the development</w:t>
      </w:r>
      <w:r w:rsidR="00427468">
        <w:rPr>
          <w:kern w:val="0"/>
        </w:rPr>
        <w:t xml:space="preserve"> of </w:t>
      </w:r>
      <w:r>
        <w:rPr>
          <w:kern w:val="0"/>
        </w:rPr>
        <w:t>independent walking in children with Down syndrome. Further research is needed to confirm this</w:t>
      </w:r>
      <w:r w:rsidR="005853A9">
        <w:rPr>
          <w:kern w:val="0"/>
        </w:rPr>
        <w:t xml:space="preserve"> and </w:t>
      </w:r>
      <w:r>
        <w:rPr>
          <w:kern w:val="0"/>
        </w:rPr>
        <w:t>should also address whether intensive treadmill intervention can accelerate walking onset in young children with cerebral palsy</w:t>
      </w:r>
      <w:r w:rsidR="005853A9">
        <w:rPr>
          <w:kern w:val="0"/>
        </w:rPr>
        <w:t xml:space="preserve"> and </w:t>
      </w:r>
      <w:r>
        <w:rPr>
          <w:kern w:val="0"/>
        </w:rPr>
        <w:t>high risk infants,</w:t>
      </w:r>
      <w:r w:rsidR="005853A9">
        <w:rPr>
          <w:kern w:val="0"/>
        </w:rPr>
        <w:t xml:space="preserve"> and </w:t>
      </w:r>
      <w:r>
        <w:rPr>
          <w:kern w:val="0"/>
        </w:rPr>
        <w:t>whether treadmill intervention has a general effect on gross motor development in the various subgroups</w:t>
      </w:r>
      <w:r w:rsidR="00427468">
        <w:rPr>
          <w:kern w:val="0"/>
        </w:rPr>
        <w:t xml:space="preserve"> of </w:t>
      </w:r>
      <w:r>
        <w:rPr>
          <w:kern w:val="0"/>
        </w:rPr>
        <w:t>young children at risk for developmental delay.</w:t>
      </w:r>
    </w:p>
    <w:p w:rsidR="00365DE4" w:rsidRDefault="00365DE4" w:rsidP="00365DE4">
      <w:pPr>
        <w:pStyle w:val="a3"/>
        <w:rPr>
          <w:kern w:val="0"/>
        </w:rPr>
      </w:pPr>
      <w:r>
        <w:rPr>
          <w:kern w:val="0"/>
        </w:rPr>
        <w:t xml:space="preserve">Keywords: Age, Analysis, Authors, Body Weight, Brain-Injury, Central Gait Impairment, Cerebral, Cerebral Palsy, Cerebral-Palsy, Children, Citation, Classification, Clinical, Clinical Trials, Cognitive-Development, Collection, Comparison, Confidence, Control, Criteria, Data, Data Collection, Development, Developmental Delay, Developmental Outcomes, Diversity, Down-Syndrome, Early </w:t>
      </w:r>
      <w:r>
        <w:rPr>
          <w:kern w:val="0"/>
        </w:rPr>
        <w:lastRenderedPageBreak/>
        <w:t xml:space="preserve">Intervention, Effectiveness, Efficacy, Environment, Evaluation, Evidence, Forms, Function, General, Impact, Infants, Interval, Intervals, Intervention, Interventions, Lead, Literature, Low, </w:t>
      </w:r>
      <w:r w:rsidR="00D5664A">
        <w:rPr>
          <w:kern w:val="0"/>
        </w:rPr>
        <w:t>MEDLINE</w:t>
      </w:r>
      <w:r>
        <w:rPr>
          <w:kern w:val="0"/>
        </w:rPr>
        <w:t>, Methods, Neural Plasticity, Onset, Outcome, Outcomes, Physical-Therapy, Population, Populations, Postural Control, Preterm, Primary, Progress, Protocols, Psycinfo, Quality, Randomised, Randomised Controlled Trials, Research, Review, Risk, Science, Science Citation Index, Search, Support, Syndrome, Training, Treatment, Version, World Health Organization</w:t>
      </w:r>
    </w:p>
    <w:p w:rsidR="00365DE4" w:rsidRDefault="00365DE4" w:rsidP="00365DE4">
      <w:pPr>
        <w:pStyle w:val="a3"/>
        <w:rPr>
          <w:kern w:val="0"/>
        </w:rPr>
      </w:pPr>
      <w:r>
        <w:rPr>
          <w:kern w:val="0"/>
        </w:rPr>
        <w:t>? Flodgren, G., Rojas-Reyes, M.X., Cole, N.</w:t>
      </w:r>
      <w:r w:rsidR="005853A9">
        <w:rPr>
          <w:kern w:val="0"/>
        </w:rPr>
        <w:t xml:space="preserve"> and </w:t>
      </w:r>
      <w:r>
        <w:rPr>
          <w:kern w:val="0"/>
        </w:rPr>
        <w:t>Foxcroft, D.R. (2012), Effectiveness</w:t>
      </w:r>
      <w:r w:rsidR="00427468">
        <w:rPr>
          <w:kern w:val="0"/>
        </w:rPr>
        <w:t xml:space="preserve"> of </w:t>
      </w:r>
      <w:r>
        <w:rPr>
          <w:kern w:val="0"/>
        </w:rPr>
        <w:t xml:space="preserve">organisational infrastructures to promote evidence-based nursing practice.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CD002212.</w:t>
      </w:r>
    </w:p>
    <w:p w:rsidR="00365DE4" w:rsidRDefault="00365DE4" w:rsidP="00365DE4">
      <w:pPr>
        <w:pStyle w:val="a3"/>
        <w:rPr>
          <w:kern w:val="2"/>
        </w:rPr>
      </w:pPr>
      <w:r>
        <w:t xml:space="preserve">Full Text: </w:t>
      </w:r>
      <w:hyperlink r:id="rId730" w:history="1">
        <w:r>
          <w:rPr>
            <w:rStyle w:val="a5"/>
          </w:rPr>
          <w:t>2012\Coc Dat Sys Rev2012, CD002212.pdf</w:t>
        </w:r>
      </w:hyperlink>
    </w:p>
    <w:p w:rsidR="00365DE4" w:rsidRDefault="00365DE4" w:rsidP="00365DE4">
      <w:pPr>
        <w:pStyle w:val="a3"/>
        <w:rPr>
          <w:kern w:val="0"/>
        </w:rPr>
      </w:pPr>
      <w:r>
        <w:rPr>
          <w:kern w:val="0"/>
        </w:rPr>
        <w:t>Abstract: Background Nurses</w:t>
      </w:r>
      <w:r w:rsidR="005853A9">
        <w:rPr>
          <w:kern w:val="0"/>
        </w:rPr>
        <w:t xml:space="preserve"> and </w:t>
      </w:r>
      <w:r>
        <w:rPr>
          <w:kern w:val="0"/>
        </w:rPr>
        <w:t>midwives form the bulk</w:t>
      </w:r>
      <w:r w:rsidR="00427468">
        <w:rPr>
          <w:kern w:val="0"/>
        </w:rPr>
        <w:t xml:space="preserve"> of </w:t>
      </w:r>
      <w:r>
        <w:rPr>
          <w:kern w:val="0"/>
        </w:rPr>
        <w:t>the clinical health workforce</w:t>
      </w:r>
      <w:r w:rsidR="005853A9">
        <w:rPr>
          <w:kern w:val="0"/>
        </w:rPr>
        <w:t xml:space="preserve"> and </w:t>
      </w:r>
      <w:r>
        <w:rPr>
          <w:kern w:val="0"/>
        </w:rPr>
        <w:t>play a central role in all health service delivery</w:t>
      </w:r>
      <w:r w:rsidR="00A37C1D">
        <w:rPr>
          <w:kern w:val="0"/>
        </w:rPr>
        <w:t>. The</w:t>
      </w:r>
      <w:r>
        <w:rPr>
          <w:kern w:val="0"/>
        </w:rPr>
        <w:t>re is potential to improve health care quality if nurses routinely use the best available evidence in their clinical practice. Since many</w:t>
      </w:r>
      <w:r w:rsidR="00427468">
        <w:rPr>
          <w:kern w:val="0"/>
        </w:rPr>
        <w:t xml:space="preserve"> of </w:t>
      </w:r>
      <w:r>
        <w:rPr>
          <w:kern w:val="0"/>
        </w:rPr>
        <w:t>the factors perceived by nurses as barriers to the implementation</w:t>
      </w:r>
      <w:r w:rsidR="00427468">
        <w:rPr>
          <w:kern w:val="0"/>
        </w:rPr>
        <w:t xml:space="preserve"> of </w:t>
      </w:r>
      <w:r>
        <w:rPr>
          <w:kern w:val="0"/>
        </w:rPr>
        <w:t>evidence-based practice (EBP) lie at the organisational level, it is</w:t>
      </w:r>
      <w:r w:rsidR="00427468">
        <w:rPr>
          <w:kern w:val="0"/>
        </w:rPr>
        <w:t xml:space="preserve"> of </w:t>
      </w:r>
      <w:r>
        <w:rPr>
          <w:kern w:val="0"/>
        </w:rPr>
        <w:t>interest to devise</w:t>
      </w:r>
      <w:r w:rsidR="005853A9">
        <w:rPr>
          <w:kern w:val="0"/>
        </w:rPr>
        <w:t xml:space="preserve"> and </w:t>
      </w:r>
      <w:r>
        <w:rPr>
          <w:kern w:val="0"/>
        </w:rPr>
        <w:t>assess the effectiveness</w:t>
      </w:r>
      <w:r w:rsidR="00427468">
        <w:rPr>
          <w:kern w:val="0"/>
        </w:rPr>
        <w:t xml:space="preserve"> of </w:t>
      </w:r>
      <w:r>
        <w:rPr>
          <w:kern w:val="0"/>
        </w:rPr>
        <w:t>organisational infrastructures designed to promote EBP among nurses. Objectives To assess the effectiveness</w:t>
      </w:r>
      <w:r w:rsidR="00427468">
        <w:rPr>
          <w:kern w:val="0"/>
        </w:rPr>
        <w:t xml:space="preserve"> of </w:t>
      </w:r>
      <w:r>
        <w:rPr>
          <w:kern w:val="0"/>
        </w:rPr>
        <w:t>organisational infrastructures in promoting evidence-based nursing. Search methods We searched the Cochrane Effective Practice</w:t>
      </w:r>
      <w:r w:rsidR="005853A9">
        <w:rPr>
          <w:kern w:val="0"/>
        </w:rPr>
        <w:t xml:space="preserve"> and </w:t>
      </w:r>
      <w:r>
        <w:rPr>
          <w:kern w:val="0"/>
        </w:rPr>
        <w:t>Organisation</w:t>
      </w:r>
      <w:r w:rsidR="00427468">
        <w:rPr>
          <w:kern w:val="0"/>
        </w:rPr>
        <w:t xml:space="preserve"> of </w:t>
      </w:r>
      <w:r>
        <w:rPr>
          <w:kern w:val="0"/>
        </w:rPr>
        <w:t>Care (EPOC) Group Specialised Register, the Cochrane Central Register</w:t>
      </w:r>
      <w:r w:rsidR="00427468">
        <w:rPr>
          <w:kern w:val="0"/>
        </w:rPr>
        <w:t xml:space="preserve"> of </w:t>
      </w:r>
      <w:r>
        <w:rPr>
          <w:kern w:val="0"/>
        </w:rPr>
        <w:t xml:space="preserve">Controlled Trials (CENTRAL), </w:t>
      </w:r>
      <w:r w:rsidR="00D5664A">
        <w:rPr>
          <w:kern w:val="0"/>
        </w:rPr>
        <w:t>MEDLINE</w:t>
      </w:r>
      <w:r>
        <w:rPr>
          <w:kern w:val="0"/>
        </w:rPr>
        <w:t>, EMBASE, CINAHL, LILACS, BIREME, IBECS, NHS Economic Evaluations Database, Social Science Citation Index, Science Citation Index</w:t>
      </w:r>
      <w:r w:rsidR="005853A9">
        <w:rPr>
          <w:kern w:val="0"/>
        </w:rPr>
        <w:t xml:space="preserve"> and </w:t>
      </w:r>
      <w:r>
        <w:rPr>
          <w:kern w:val="0"/>
        </w:rPr>
        <w:t>Conference Proceedings Citation Indexes up to 9 March 2011. We developed a new search strategy for this update as the strategy published in 2003 omitted key terms. Additional search methods included: screening reference lists</w:t>
      </w:r>
      <w:r w:rsidR="00427468">
        <w:rPr>
          <w:kern w:val="0"/>
        </w:rPr>
        <w:t xml:space="preserve"> of </w:t>
      </w:r>
      <w:r>
        <w:rPr>
          <w:kern w:val="0"/>
        </w:rPr>
        <w:t>relevant studies, contacting authors</w:t>
      </w:r>
      <w:r w:rsidR="00427468">
        <w:rPr>
          <w:kern w:val="0"/>
        </w:rPr>
        <w:t xml:space="preserve"> of </w:t>
      </w:r>
      <w:r>
        <w:rPr>
          <w:kern w:val="0"/>
        </w:rPr>
        <w:t>relevant papers regarding any further published or unpublished work,</w:t>
      </w:r>
      <w:r w:rsidR="005853A9">
        <w:rPr>
          <w:kern w:val="0"/>
        </w:rPr>
        <w:t xml:space="preserve"> and </w:t>
      </w:r>
      <w:r>
        <w:rPr>
          <w:kern w:val="0"/>
        </w:rPr>
        <w:t>searching websites</w:t>
      </w:r>
      <w:r w:rsidR="00427468">
        <w:rPr>
          <w:kern w:val="0"/>
        </w:rPr>
        <w:t xml:space="preserve"> of </w:t>
      </w:r>
      <w:r>
        <w:rPr>
          <w:kern w:val="0"/>
        </w:rPr>
        <w:t>selected research groups</w:t>
      </w:r>
      <w:r w:rsidR="005853A9">
        <w:rPr>
          <w:kern w:val="0"/>
        </w:rPr>
        <w:t xml:space="preserve"> and </w:t>
      </w:r>
      <w:r>
        <w:rPr>
          <w:kern w:val="0"/>
        </w:rPr>
        <w:t>organisations. Selection criteria We considered randomised controlled trials, controlled clinical trials, interrupted times series (ITSs)</w:t>
      </w:r>
      <w:r w:rsidR="005853A9">
        <w:rPr>
          <w:kern w:val="0"/>
        </w:rPr>
        <w:t xml:space="preserve"> and </w:t>
      </w:r>
      <w:r>
        <w:rPr>
          <w:kern w:val="0"/>
        </w:rPr>
        <w:t>controlled before</w:t>
      </w:r>
      <w:r w:rsidR="005853A9">
        <w:rPr>
          <w:kern w:val="0"/>
        </w:rPr>
        <w:t xml:space="preserve"> and </w:t>
      </w:r>
      <w:r>
        <w:rPr>
          <w:kern w:val="0"/>
        </w:rPr>
        <w:t>after studies</w:t>
      </w:r>
      <w:r w:rsidR="00427468">
        <w:rPr>
          <w:kern w:val="0"/>
        </w:rPr>
        <w:t xml:space="preserve"> of </w:t>
      </w:r>
      <w:r>
        <w:rPr>
          <w:kern w:val="0"/>
        </w:rPr>
        <w:t>an entire or identified component</w:t>
      </w:r>
      <w:r w:rsidR="00427468">
        <w:rPr>
          <w:kern w:val="0"/>
        </w:rPr>
        <w:t xml:space="preserve"> of </w:t>
      </w:r>
      <w:r>
        <w:rPr>
          <w:kern w:val="0"/>
        </w:rPr>
        <w:t>an organisational infrastructure intervention aimed at promoting EBP in nursing</w:t>
      </w:r>
      <w:r w:rsidR="00A37C1D">
        <w:rPr>
          <w:kern w:val="0"/>
        </w:rPr>
        <w:t>. The</w:t>
      </w:r>
      <w:r>
        <w:rPr>
          <w:kern w:val="0"/>
        </w:rPr>
        <w:t xml:space="preserve"> participants were all healthcare organisations comprising nurses, midwives</w:t>
      </w:r>
      <w:r w:rsidR="005853A9">
        <w:rPr>
          <w:kern w:val="0"/>
        </w:rPr>
        <w:t xml:space="preserve"> and </w:t>
      </w:r>
      <w:r>
        <w:rPr>
          <w:kern w:val="0"/>
        </w:rPr>
        <w:t>health visitors.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risk</w:t>
      </w:r>
      <w:r w:rsidR="00427468">
        <w:rPr>
          <w:kern w:val="0"/>
        </w:rPr>
        <w:t xml:space="preserve"> of </w:t>
      </w:r>
      <w:r>
        <w:rPr>
          <w:kern w:val="0"/>
        </w:rPr>
        <w:t>bias. For the ITS analysis, we reported the change in the slopes</w:t>
      </w:r>
      <w:r w:rsidR="00427468">
        <w:rPr>
          <w:kern w:val="0"/>
        </w:rPr>
        <w:t xml:space="preserve"> of </w:t>
      </w:r>
      <w:r>
        <w:rPr>
          <w:kern w:val="0"/>
        </w:rPr>
        <w:t>the regression lines,</w:t>
      </w:r>
      <w:r w:rsidR="005853A9">
        <w:rPr>
          <w:kern w:val="0"/>
        </w:rPr>
        <w:t xml:space="preserve"> and </w:t>
      </w:r>
      <w:r>
        <w:rPr>
          <w:kern w:val="0"/>
        </w:rPr>
        <w:t>the change in the level effect</w:t>
      </w:r>
      <w:r w:rsidR="00427468">
        <w:rPr>
          <w:kern w:val="0"/>
        </w:rPr>
        <w:t xml:space="preserve"> of </w:t>
      </w:r>
      <w:r>
        <w:rPr>
          <w:kern w:val="0"/>
        </w:rPr>
        <w:t>the outcome at 3, 6, 12</w:t>
      </w:r>
      <w:r w:rsidR="005853A9">
        <w:rPr>
          <w:kern w:val="0"/>
        </w:rPr>
        <w:t xml:space="preserve"> and </w:t>
      </w:r>
      <w:r>
        <w:rPr>
          <w:kern w:val="0"/>
        </w:rPr>
        <w:t xml:space="preserve">24 months follow-up. Main results We included one study from the </w:t>
      </w:r>
      <w:r w:rsidR="00D5664A">
        <w:rPr>
          <w:kern w:val="0"/>
        </w:rPr>
        <w:t>USA</w:t>
      </w:r>
      <w:r>
        <w:rPr>
          <w:kern w:val="0"/>
        </w:rPr>
        <w:t xml:space="preserve"> (re-analysed as an ITS) involving one hospital</w:t>
      </w:r>
      <w:r w:rsidR="005853A9">
        <w:rPr>
          <w:kern w:val="0"/>
        </w:rPr>
        <w:t xml:space="preserve"> and </w:t>
      </w:r>
      <w:r>
        <w:rPr>
          <w:kern w:val="0"/>
        </w:rPr>
        <w:t>an unknown number</w:t>
      </w:r>
      <w:r w:rsidR="00427468">
        <w:rPr>
          <w:kern w:val="0"/>
        </w:rPr>
        <w:t xml:space="preserve"> of </w:t>
      </w:r>
      <w:r>
        <w:rPr>
          <w:kern w:val="0"/>
        </w:rPr>
        <w:t>nurses</w:t>
      </w:r>
      <w:r w:rsidR="005853A9">
        <w:rPr>
          <w:kern w:val="0"/>
        </w:rPr>
        <w:t xml:space="preserve"> and </w:t>
      </w:r>
      <w:r>
        <w:rPr>
          <w:kern w:val="0"/>
        </w:rPr>
        <w:t>patients</w:t>
      </w:r>
      <w:r w:rsidR="00A37C1D">
        <w:rPr>
          <w:kern w:val="0"/>
        </w:rPr>
        <w:t>. The</w:t>
      </w:r>
      <w:r>
        <w:rPr>
          <w:kern w:val="0"/>
        </w:rPr>
        <w:t xml:space="preserve"> study evaluated the effects</w:t>
      </w:r>
      <w:r w:rsidR="00427468">
        <w:rPr>
          <w:kern w:val="0"/>
        </w:rPr>
        <w:t xml:space="preserve"> of </w:t>
      </w:r>
      <w:r>
        <w:rPr>
          <w:kern w:val="0"/>
        </w:rPr>
        <w:t xml:space="preserve">a standardised evidence-based nursing procedure on nursing care for </w:t>
      </w:r>
      <w:r>
        <w:rPr>
          <w:kern w:val="0"/>
        </w:rPr>
        <w:lastRenderedPageBreak/>
        <w:t>patients at risk</w:t>
      </w:r>
      <w:r w:rsidR="00427468">
        <w:rPr>
          <w:kern w:val="0"/>
        </w:rPr>
        <w:t xml:space="preserve"> of </w:t>
      </w:r>
      <w:r>
        <w:rPr>
          <w:kern w:val="0"/>
        </w:rPr>
        <w:t>developing healthcare-acquired pressure ulcers (HAPUs). If a patient</w:t>
      </w:r>
      <w:r w:rsidR="0071223E">
        <w:rPr>
          <w:kern w:val="0"/>
        </w:rPr>
        <w:t>’</w:t>
      </w:r>
      <w:r>
        <w:rPr>
          <w:kern w:val="0"/>
        </w:rPr>
        <w:t>s admission Braden score was below or equal to 18 (i.e. indicating a high risk</w:t>
      </w:r>
      <w:r w:rsidR="00427468">
        <w:rPr>
          <w:kern w:val="0"/>
        </w:rPr>
        <w:t xml:space="preserve"> of </w:t>
      </w:r>
      <w:r>
        <w:rPr>
          <w:kern w:val="0"/>
        </w:rPr>
        <w:t>developing pressure ulcers), nurses were authorised to initiate a pressure ulcer prevention bundle (i.e. a set</w:t>
      </w:r>
      <w:r w:rsidR="00427468">
        <w:rPr>
          <w:kern w:val="0"/>
        </w:rPr>
        <w:t xml:space="preserve"> of </w:t>
      </w:r>
      <w:r>
        <w:rPr>
          <w:kern w:val="0"/>
        </w:rPr>
        <w:t>evidence-based clinical interventions) without waiting for a physician order. Re-analysis</w:t>
      </w:r>
      <w:r w:rsidR="00427468">
        <w:rPr>
          <w:kern w:val="0"/>
        </w:rPr>
        <w:t xml:space="preserve"> of </w:t>
      </w:r>
      <w:r>
        <w:rPr>
          <w:kern w:val="0"/>
        </w:rPr>
        <w:t>data as a time series showed that against a background trend</w:t>
      </w:r>
      <w:r w:rsidR="00427468">
        <w:rPr>
          <w:kern w:val="0"/>
        </w:rPr>
        <w:t xml:space="preserve"> of </w:t>
      </w:r>
      <w:r>
        <w:rPr>
          <w:kern w:val="0"/>
        </w:rPr>
        <w:t>decreasing HAPU rates, if that trend was assumed to be real, there was no evidence</w:t>
      </w:r>
      <w:r w:rsidR="00427468">
        <w:rPr>
          <w:kern w:val="0"/>
        </w:rPr>
        <w:t xml:space="preserve"> of </w:t>
      </w:r>
      <w:r>
        <w:rPr>
          <w:kern w:val="0"/>
        </w:rPr>
        <w:t>an intervention effect at three months (mean rate per quarter 0.7%; 95% confidence interval (CI) 1.7 to 3.3; P = 0.457). Given the small percentages post intervention it was not statistically possible to extrapolate effects beyond three months. Authors</w:t>
      </w:r>
      <w:r w:rsidR="0071223E">
        <w:rPr>
          <w:kern w:val="0"/>
        </w:rPr>
        <w:t>’</w:t>
      </w:r>
      <w:r>
        <w:rPr>
          <w:kern w:val="0"/>
        </w:rPr>
        <w:t xml:space="preserve"> conclusions Despite extensive searching</w:t>
      </w:r>
      <w:r w:rsidR="00427468">
        <w:rPr>
          <w:kern w:val="0"/>
        </w:rPr>
        <w:t xml:space="preserve"> of </w:t>
      </w:r>
      <w:r>
        <w:rPr>
          <w:kern w:val="0"/>
        </w:rPr>
        <w:t>published</w:t>
      </w:r>
      <w:r w:rsidR="005853A9">
        <w:rPr>
          <w:kern w:val="0"/>
        </w:rPr>
        <w:t xml:space="preserve"> and </w:t>
      </w:r>
      <w:r>
        <w:rPr>
          <w:kern w:val="0"/>
        </w:rPr>
        <w:t>unpublished research we identified only one low-quality study; we excluded many studies due to non-eligible study design. If policy-makers</w:t>
      </w:r>
      <w:r w:rsidR="005853A9">
        <w:rPr>
          <w:kern w:val="0"/>
        </w:rPr>
        <w:t xml:space="preserve"> and </w:t>
      </w:r>
      <w:r>
        <w:rPr>
          <w:kern w:val="0"/>
        </w:rPr>
        <w:t>healthcare organisations wish to promote evidence-based nursing successfully at an organisational level, they must ensure the funding</w:t>
      </w:r>
      <w:r w:rsidR="005853A9">
        <w:rPr>
          <w:kern w:val="0"/>
        </w:rPr>
        <w:t xml:space="preserve"> and </w:t>
      </w:r>
      <w:r>
        <w:rPr>
          <w:kern w:val="0"/>
        </w:rPr>
        <w:t>conduct</w:t>
      </w:r>
      <w:r w:rsidR="00427468">
        <w:rPr>
          <w:kern w:val="0"/>
        </w:rPr>
        <w:t xml:space="preserve"> of </w:t>
      </w:r>
      <w:r>
        <w:rPr>
          <w:kern w:val="0"/>
        </w:rPr>
        <w:t>well-designed studies to generate evidence to guide policy.</w:t>
      </w:r>
    </w:p>
    <w:p w:rsidR="00365DE4" w:rsidRDefault="00365DE4" w:rsidP="00365DE4">
      <w:pPr>
        <w:pStyle w:val="a3"/>
        <w:rPr>
          <w:kern w:val="0"/>
        </w:rPr>
      </w:pPr>
      <w:r>
        <w:rPr>
          <w:kern w:val="0"/>
        </w:rPr>
        <w:t xml:space="preserve">Keywords: Analysis, Australia, Authors, Barriers, Bias, Care, Citation, Clinical, Clinical Practice, Clinical Trials, Collection, Conference, Confidence, Criteria, Data, Data Collection, Delivery, Design, Developing, Effectiveness, Effects, Efficiency, Organizational, Evidence, Evidence Based, Evidence-Based, Evidence-Based Medicine, Evidence-Based Nursing, Evidence-Based Practice, Follow-Up, Funding, Health, Health Care, Health-Care, Hospital, Implementation, Infrastructure, Interval, Intervention, Interventions, </w:t>
      </w:r>
      <w:r w:rsidR="00D5664A">
        <w:rPr>
          <w:kern w:val="0"/>
        </w:rPr>
        <w:t>MEDLINE</w:t>
      </w:r>
      <w:r>
        <w:rPr>
          <w:kern w:val="0"/>
        </w:rPr>
        <w:t>, Methods, Midwives, Model, Nurses, Nurses</w:t>
      </w:r>
      <w:r w:rsidR="005853A9">
        <w:rPr>
          <w:kern w:val="0"/>
        </w:rPr>
        <w:t xml:space="preserve"> and </w:t>
      </w:r>
      <w:r>
        <w:rPr>
          <w:kern w:val="0"/>
        </w:rPr>
        <w:t>Midwives, Nursing, Nursing Care [Standards], Nursing Research [Standards], Outcome, Outcome</w:t>
      </w:r>
      <w:r w:rsidR="005853A9">
        <w:rPr>
          <w:kern w:val="0"/>
        </w:rPr>
        <w:t xml:space="preserve"> and </w:t>
      </w:r>
      <w:r>
        <w:rPr>
          <w:kern w:val="0"/>
        </w:rPr>
        <w:t xml:space="preserve">Process Assessment (Health Care) [Standards], P, Papers, Patient Outcomes, Patients, Physician, Policy, Potential, Practice, Pressure, Pressure Ulcer, Pressure Ulcers, Prevention, Procedure, Program, Quality, Randomised, Randomised Controlled Trials, Randomized Controlled Trials As Topic, Rates, Reference, Reference Lists, Regression, Research, Risk, Role, Science, Science Citation Index, Screening, Search, Search Strategy, Service, Small, Social Science Citation Index, Strategy, Study Design, Time Series, Trend, United-States, </w:t>
      </w:r>
      <w:r w:rsidR="00D5664A">
        <w:rPr>
          <w:kern w:val="0"/>
        </w:rPr>
        <w:t>USA</w:t>
      </w:r>
      <w:r>
        <w:rPr>
          <w:kern w:val="0"/>
        </w:rPr>
        <w:t>, Work</w:t>
      </w:r>
    </w:p>
    <w:p w:rsidR="00365DE4" w:rsidRDefault="00365DE4" w:rsidP="00365DE4">
      <w:pPr>
        <w:pStyle w:val="a3"/>
        <w:rPr>
          <w:kern w:val="0"/>
        </w:rPr>
      </w:pPr>
      <w:r>
        <w:rPr>
          <w:kern w:val="0"/>
        </w:rPr>
        <w:t>? Rabiu, M., Alhassan, M.B., Ejere, H.O.D.</w:t>
      </w:r>
      <w:r w:rsidR="005853A9">
        <w:rPr>
          <w:kern w:val="0"/>
        </w:rPr>
        <w:t xml:space="preserve"> and </w:t>
      </w:r>
      <w:r>
        <w:rPr>
          <w:kern w:val="0"/>
        </w:rPr>
        <w:t xml:space="preserve">Evans, J.R. (2012), Environmental sanitary interventions for preventing active trachoma.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CD004003.</w:t>
      </w:r>
    </w:p>
    <w:p w:rsidR="00365DE4" w:rsidRDefault="00365DE4" w:rsidP="00365DE4">
      <w:pPr>
        <w:pStyle w:val="a3"/>
        <w:rPr>
          <w:kern w:val="2"/>
        </w:rPr>
      </w:pPr>
      <w:r>
        <w:t xml:space="preserve">Full Text: </w:t>
      </w:r>
      <w:hyperlink r:id="rId731" w:history="1">
        <w:r>
          <w:rPr>
            <w:rStyle w:val="a5"/>
          </w:rPr>
          <w:t>2012\Coc Dat Sys Rev2012, CD004003.pdf</w:t>
        </w:r>
      </w:hyperlink>
    </w:p>
    <w:p w:rsidR="00365DE4" w:rsidRDefault="00365DE4" w:rsidP="00365DE4">
      <w:pPr>
        <w:pStyle w:val="a3"/>
        <w:rPr>
          <w:kern w:val="0"/>
        </w:rPr>
      </w:pPr>
      <w:r>
        <w:rPr>
          <w:kern w:val="0"/>
        </w:rPr>
        <w:t>Abstract: Background Trachoma is a major cause</w:t>
      </w:r>
      <w:r w:rsidR="00427468">
        <w:rPr>
          <w:kern w:val="0"/>
        </w:rPr>
        <w:t xml:space="preserve"> of </w:t>
      </w:r>
      <w:r>
        <w:rPr>
          <w:kern w:val="0"/>
        </w:rPr>
        <w:t>avoidable blindness. It is responsible for about six million blind people worldwide, mostly in the poor communities</w:t>
      </w:r>
      <w:r w:rsidR="00427468">
        <w:rPr>
          <w:kern w:val="0"/>
        </w:rPr>
        <w:t xml:space="preserve"> of </w:t>
      </w:r>
      <w:r>
        <w:rPr>
          <w:kern w:val="0"/>
        </w:rPr>
        <w:t>developing countries. One</w:t>
      </w:r>
      <w:r w:rsidR="00427468">
        <w:rPr>
          <w:kern w:val="0"/>
        </w:rPr>
        <w:t xml:space="preserve"> of </w:t>
      </w:r>
      <w:r>
        <w:rPr>
          <w:kern w:val="0"/>
        </w:rPr>
        <w:t>the major strategies advocated for the control</w:t>
      </w:r>
      <w:r w:rsidR="00427468">
        <w:rPr>
          <w:kern w:val="0"/>
        </w:rPr>
        <w:t xml:space="preserve"> of </w:t>
      </w:r>
      <w:r>
        <w:rPr>
          <w:kern w:val="0"/>
        </w:rPr>
        <w:t>the disease is the application</w:t>
      </w:r>
      <w:r w:rsidR="00427468">
        <w:rPr>
          <w:kern w:val="0"/>
        </w:rPr>
        <w:t xml:space="preserve"> of </w:t>
      </w:r>
      <w:r>
        <w:rPr>
          <w:kern w:val="0"/>
        </w:rPr>
        <w:t xml:space="preserve">various environmental sanitary measures </w:t>
      </w:r>
      <w:r>
        <w:rPr>
          <w:kern w:val="0"/>
        </w:rPr>
        <w:lastRenderedPageBreak/>
        <w:t>to such communities. Objectives To assess the evidence for the effectiveness</w:t>
      </w:r>
      <w:r w:rsidR="00427468">
        <w:rPr>
          <w:kern w:val="0"/>
        </w:rPr>
        <w:t xml:space="preserve"> of </w:t>
      </w:r>
      <w:r>
        <w:rPr>
          <w:kern w:val="0"/>
        </w:rPr>
        <w:t>environmental sanitary measures on the prevalence</w:t>
      </w:r>
      <w:r w:rsidR="00427468">
        <w:rPr>
          <w:kern w:val="0"/>
        </w:rPr>
        <w:t xml:space="preserve"> of </w:t>
      </w:r>
      <w:r>
        <w:rPr>
          <w:kern w:val="0"/>
        </w:rPr>
        <w:t>active trachoma in endemic areas. Search methods We searched CENTRAL (which contains the Cochrane Eyes</w:t>
      </w:r>
      <w:r w:rsidR="005853A9">
        <w:rPr>
          <w:kern w:val="0"/>
        </w:rPr>
        <w:t xml:space="preserve"> and </w:t>
      </w:r>
      <w:r>
        <w:rPr>
          <w:kern w:val="0"/>
        </w:rPr>
        <w:t xml:space="preserve">Vision Group Trials Register) (The Cochrane Library 2011, Issue 9), </w:t>
      </w:r>
      <w:r w:rsidR="00D5664A">
        <w:rPr>
          <w:kern w:val="0"/>
        </w:rPr>
        <w:t>MEDLINE</w:t>
      </w:r>
      <w:r>
        <w:rPr>
          <w:kern w:val="0"/>
        </w:rPr>
        <w:t xml:space="preserve"> (January 1950 to September 2011), EMBASE (January 1980 to September 2011), Latin American</w:t>
      </w:r>
      <w:r w:rsidR="005853A9">
        <w:rPr>
          <w:kern w:val="0"/>
        </w:rPr>
        <w:t xml:space="preserve"> and </w:t>
      </w:r>
      <w:r>
        <w:rPr>
          <w:kern w:val="0"/>
        </w:rPr>
        <w:t>Caribbean Literature on Health Sciences (LILACS) (January 1982 to September 2011), the metaRegister</w:t>
      </w:r>
      <w:r w:rsidR="00427468">
        <w:rPr>
          <w:kern w:val="0"/>
        </w:rPr>
        <w:t xml:space="preserve"> of </w:t>
      </w:r>
      <w:r>
        <w:rPr>
          <w:kern w:val="0"/>
        </w:rPr>
        <w:t>Controlled Trials (mRCT) (www.controlledtrials.com)</w:t>
      </w:r>
      <w:r w:rsidR="005853A9">
        <w:rPr>
          <w:kern w:val="0"/>
        </w:rPr>
        <w:t xml:space="preserve"> and </w:t>
      </w:r>
      <w:r>
        <w:rPr>
          <w:kern w:val="0"/>
        </w:rPr>
        <w:t>ClinicalTrials.gov (www.clinicaltrials.gov)</w:t>
      </w:r>
      <w:r w:rsidR="00A37C1D">
        <w:rPr>
          <w:kern w:val="0"/>
        </w:rPr>
        <w:t>. The</w:t>
      </w:r>
      <w:r>
        <w:rPr>
          <w:kern w:val="0"/>
        </w:rPr>
        <w:t>re were no date or language restrictions in the electronic searches for trials</w:t>
      </w:r>
      <w:r w:rsidR="00A37C1D">
        <w:rPr>
          <w:kern w:val="0"/>
        </w:rPr>
        <w:t>. The</w:t>
      </w:r>
      <w:r>
        <w:rPr>
          <w:kern w:val="0"/>
        </w:rPr>
        <w:t xml:space="preserve"> electronic databases were last searched on 23 September 2011. We checked the reference list</w:t>
      </w:r>
      <w:r w:rsidR="00427468">
        <w:rPr>
          <w:kern w:val="0"/>
        </w:rPr>
        <w:t xml:space="preserve"> of </w:t>
      </w:r>
      <w:r>
        <w:rPr>
          <w:kern w:val="0"/>
        </w:rPr>
        <w:t>included trials</w:t>
      </w:r>
      <w:r w:rsidR="005853A9">
        <w:rPr>
          <w:kern w:val="0"/>
        </w:rPr>
        <w:t xml:space="preserve"> and </w:t>
      </w:r>
      <w:r>
        <w:rPr>
          <w:kern w:val="0"/>
        </w:rPr>
        <w:t>the Science Citation Index. We also contacted agencies, experts</w:t>
      </w:r>
      <w:r w:rsidR="005853A9">
        <w:rPr>
          <w:kern w:val="0"/>
        </w:rPr>
        <w:t xml:space="preserve"> and </w:t>
      </w:r>
      <w:r>
        <w:rPr>
          <w:kern w:val="0"/>
        </w:rPr>
        <w:t>researchers in trachoma control. Selection criteria We included randomised</w:t>
      </w:r>
      <w:r w:rsidR="005853A9">
        <w:rPr>
          <w:kern w:val="0"/>
        </w:rPr>
        <w:t xml:space="preserve"> and </w:t>
      </w:r>
      <w:r>
        <w:rPr>
          <w:kern w:val="0"/>
        </w:rPr>
        <w:t>quasi-randomised controlled trials comparing any form</w:t>
      </w:r>
      <w:r w:rsidR="00427468">
        <w:rPr>
          <w:kern w:val="0"/>
        </w:rPr>
        <w:t xml:space="preserve"> of </w:t>
      </w:r>
      <w:r>
        <w:rPr>
          <w:kern w:val="0"/>
        </w:rPr>
        <w:t>environmental hygiene measures with no measure</w:t>
      </w:r>
      <w:r w:rsidR="00A37C1D">
        <w:rPr>
          <w:kern w:val="0"/>
        </w:rPr>
        <w:t>. The</w:t>
      </w:r>
      <w:r>
        <w:rPr>
          <w:kern w:val="0"/>
        </w:rPr>
        <w:t>se hygiene measures included fly control, provision</w:t>
      </w:r>
      <w:r w:rsidR="00427468">
        <w:rPr>
          <w:kern w:val="0"/>
        </w:rPr>
        <w:t xml:space="preserve"> of </w:t>
      </w:r>
      <w:r>
        <w:rPr>
          <w:kern w:val="0"/>
        </w:rPr>
        <w:t>water</w:t>
      </w:r>
      <w:r w:rsidR="005853A9">
        <w:rPr>
          <w:kern w:val="0"/>
        </w:rPr>
        <w:t xml:space="preserve"> and </w:t>
      </w:r>
      <w:r>
        <w:rPr>
          <w:kern w:val="0"/>
        </w:rPr>
        <w:t>health education. Participants in the trials were people normally resident in the trachoma endemic areas.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the quality</w:t>
      </w:r>
      <w:r w:rsidR="00427468">
        <w:rPr>
          <w:kern w:val="0"/>
        </w:rPr>
        <w:t xml:space="preserve"> of </w:t>
      </w:r>
      <w:r>
        <w:rPr>
          <w:kern w:val="0"/>
        </w:rPr>
        <w:t>the included trials. Study authors were contacted for additional information. Six trials met the inclusion criteria but we did not conduct meta-analysis due to heterogeneity</w:t>
      </w:r>
      <w:r w:rsidR="00427468">
        <w:rPr>
          <w:kern w:val="0"/>
        </w:rPr>
        <w:t xml:space="preserve"> of </w:t>
      </w:r>
      <w:r>
        <w:rPr>
          <w:kern w:val="0"/>
        </w:rPr>
        <w:t>the studies. Main results We included six studies with a total</w:t>
      </w:r>
      <w:r w:rsidR="00427468">
        <w:rPr>
          <w:kern w:val="0"/>
        </w:rPr>
        <w:t xml:space="preserve"> of </w:t>
      </w:r>
      <w:r>
        <w:rPr>
          <w:kern w:val="0"/>
        </w:rPr>
        <w:t>12,294 participants from 79 communities. Two studies that assessed insecticide spray as a fly control measure found that trachoma is reduced by at least 55% to 61% with this measure compared to no intervention. However, another study did not find insecticide spray to be effective in reducing trachoma. One study found that another fly control measure, latrine provision, reduced trachoma by 29.5% compared to no intervention; this was, however, not statistically significantly different</w:t>
      </w:r>
      <w:r w:rsidR="005853A9">
        <w:rPr>
          <w:kern w:val="0"/>
        </w:rPr>
        <w:t xml:space="preserve"> and </w:t>
      </w:r>
      <w:r>
        <w:rPr>
          <w:kern w:val="0"/>
        </w:rPr>
        <w:t>findings have not been confirmed by a more recent study. Another study revealed that health education reduced the incidence</w:t>
      </w:r>
      <w:r w:rsidR="00427468">
        <w:rPr>
          <w:kern w:val="0"/>
        </w:rPr>
        <w:t xml:space="preserve"> of </w:t>
      </w:r>
      <w:r>
        <w:rPr>
          <w:kern w:val="0"/>
        </w:rPr>
        <w:t>trachoma</w:t>
      </w:r>
      <w:r w:rsidR="00A37C1D">
        <w:rPr>
          <w:kern w:val="0"/>
        </w:rPr>
        <w:t>. The</w:t>
      </w:r>
      <w:r>
        <w:rPr>
          <w:kern w:val="0"/>
        </w:rPr>
        <w:t>se findings were not confirmed by a second study, however, which found that a modest health education programme with modest water supply did not reduce trachoma. However, all the studies have some methodological concerns. Authors</w:t>
      </w:r>
      <w:r w:rsidR="0071223E">
        <w:rPr>
          <w:kern w:val="0"/>
        </w:rPr>
        <w:t>’</w:t>
      </w:r>
      <w:r>
        <w:rPr>
          <w:kern w:val="0"/>
        </w:rPr>
        <w:t xml:space="preserve"> conclusions There is some evidence from two trials that insecticides are effective in reducing trachoma, however, this effect was not demonstrated in another trial that used insecticides. Two trials on latrine provision as a fly control measure have not demonstrated significant trachoma reduction. Health education had shown significant reduction</w:t>
      </w:r>
      <w:r w:rsidR="00427468">
        <w:rPr>
          <w:kern w:val="0"/>
        </w:rPr>
        <w:t xml:space="preserve"> of </w:t>
      </w:r>
      <w:r>
        <w:rPr>
          <w:kern w:val="0"/>
        </w:rPr>
        <w:t>trachoma in one study but another study did not demonstrate similar findings. Generally there is a dearth</w:t>
      </w:r>
      <w:r w:rsidR="00427468">
        <w:rPr>
          <w:kern w:val="0"/>
        </w:rPr>
        <w:t xml:space="preserve"> of </w:t>
      </w:r>
      <w:r>
        <w:rPr>
          <w:kern w:val="0"/>
        </w:rPr>
        <w:t>data to determine the effectiveness</w:t>
      </w:r>
      <w:r w:rsidR="00427468">
        <w:rPr>
          <w:kern w:val="0"/>
        </w:rPr>
        <w:t xml:space="preserve"> of </w:t>
      </w:r>
      <w:r>
        <w:rPr>
          <w:kern w:val="0"/>
        </w:rPr>
        <w:t>all aspects</w:t>
      </w:r>
      <w:r w:rsidR="00427468">
        <w:rPr>
          <w:kern w:val="0"/>
        </w:rPr>
        <w:t xml:space="preserve"> of </w:t>
      </w:r>
      <w:r>
        <w:rPr>
          <w:kern w:val="0"/>
        </w:rPr>
        <w:t>environmental sanitation in the control</w:t>
      </w:r>
      <w:r w:rsidR="00427468">
        <w:rPr>
          <w:kern w:val="0"/>
        </w:rPr>
        <w:t xml:space="preserve"> of </w:t>
      </w:r>
      <w:r>
        <w:rPr>
          <w:kern w:val="0"/>
        </w:rPr>
        <w:t>trachoma.</w:t>
      </w:r>
    </w:p>
    <w:p w:rsidR="00365DE4" w:rsidRDefault="00365DE4" w:rsidP="00365DE4">
      <w:pPr>
        <w:pStyle w:val="a3"/>
        <w:rPr>
          <w:kern w:val="0"/>
        </w:rPr>
      </w:pPr>
      <w:r>
        <w:rPr>
          <w:kern w:val="0"/>
        </w:rPr>
        <w:t xml:space="preserve">Keywords: Analysis, Animals, Application, Authors, Citation, Collection, Control, </w:t>
      </w:r>
      <w:r>
        <w:rPr>
          <w:kern w:val="0"/>
        </w:rPr>
        <w:lastRenderedPageBreak/>
        <w:t xml:space="preserve">Countries, Criteria, Data, Data Collection, Databases, Developing, Developing Countries, Diarrhea, Diptera, Disease, Education, Effectiveness, Environmental, Evidence, Evidence Base, Experts, Flies, Fly Control, Health, Health Education, Health Education [Methods], Heterogeneity, Humans, Hygiene, Incidence, Infection, Information, Insect Control, Insecticide, Insecticides, Intervention, Interventions, Literature, Measure, </w:t>
      </w:r>
      <w:r w:rsidR="00D5664A">
        <w:rPr>
          <w:kern w:val="0"/>
        </w:rPr>
        <w:t>MEDLINE</w:t>
      </w:r>
      <w:r>
        <w:rPr>
          <w:kern w:val="0"/>
        </w:rPr>
        <w:t>, Meta-Analysis, Metaanalysis, Methods, Prevalence, Quality, Quality Of, Randomised, Randomized Controlled Trials As Topic, Randomized-Trial, Recent, Reduction, Reference, Resident, Restrictions, Safe Strategy, Sanitation, Sanitation [Methods], Science, Science Citation Index, Search, Toilet Facilities, Trachoma [Prevention &amp; Control, Transmission], Trial, Water, Water Supply</w:t>
      </w:r>
    </w:p>
    <w:p w:rsidR="00365DE4" w:rsidRDefault="00365DE4" w:rsidP="00365DE4">
      <w:pPr>
        <w:pStyle w:val="a3"/>
        <w:rPr>
          <w:kern w:val="0"/>
        </w:rPr>
      </w:pPr>
      <w:r>
        <w:rPr>
          <w:kern w:val="0"/>
        </w:rPr>
        <w:t>? Brett-Major, D.M.</w:t>
      </w:r>
      <w:r w:rsidR="005853A9">
        <w:rPr>
          <w:kern w:val="0"/>
        </w:rPr>
        <w:t xml:space="preserve"> and </w:t>
      </w:r>
      <w:r>
        <w:rPr>
          <w:kern w:val="0"/>
        </w:rPr>
        <w:t xml:space="preserve">Coldren, R. (2012), Antibiotics for leptospirosis.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CD008264.</w:t>
      </w:r>
    </w:p>
    <w:p w:rsidR="00365DE4" w:rsidRDefault="00365DE4" w:rsidP="00365DE4">
      <w:pPr>
        <w:pStyle w:val="a3"/>
        <w:rPr>
          <w:kern w:val="2"/>
        </w:rPr>
      </w:pPr>
      <w:r>
        <w:t xml:space="preserve">Full Text: </w:t>
      </w:r>
      <w:hyperlink r:id="rId732" w:history="1">
        <w:r>
          <w:rPr>
            <w:rStyle w:val="a5"/>
          </w:rPr>
          <w:t>2012\Coc Dat Sys Rev2012, CD008264.pdf</w:t>
        </w:r>
      </w:hyperlink>
    </w:p>
    <w:p w:rsidR="00365DE4" w:rsidRDefault="00365DE4" w:rsidP="00365DE4">
      <w:pPr>
        <w:pStyle w:val="a3"/>
        <w:rPr>
          <w:kern w:val="0"/>
        </w:rPr>
      </w:pPr>
      <w:r>
        <w:rPr>
          <w:kern w:val="0"/>
        </w:rPr>
        <w:t>Abstract: Background Leptospirosis has a wide-ranging clinical</w:t>
      </w:r>
      <w:r w:rsidR="005853A9">
        <w:rPr>
          <w:kern w:val="0"/>
        </w:rPr>
        <w:t xml:space="preserve"> and </w:t>
      </w:r>
      <w:r>
        <w:rPr>
          <w:kern w:val="0"/>
        </w:rPr>
        <w:t>public health impact. Leptospira are globally distributed. Case attack rates are as high as 1: 4 to 2: 5 persons in exposed populations. In some settings mortality has exceeded 10%</w:t>
      </w:r>
      <w:r w:rsidR="00427468">
        <w:rPr>
          <w:kern w:val="0"/>
        </w:rPr>
        <w:t xml:space="preserve"> of </w:t>
      </w:r>
      <w:r>
        <w:rPr>
          <w:kern w:val="0"/>
        </w:rPr>
        <w:t>infected people</w:t>
      </w:r>
      <w:r w:rsidR="00A37C1D">
        <w:rPr>
          <w:kern w:val="0"/>
        </w:rPr>
        <w:t>. The</w:t>
      </w:r>
      <w:r>
        <w:rPr>
          <w:kern w:val="0"/>
        </w:rPr>
        <w:t xml:space="preserve"> benefit</w:t>
      </w:r>
      <w:r w:rsidR="00427468">
        <w:rPr>
          <w:kern w:val="0"/>
        </w:rPr>
        <w:t xml:space="preserve"> of </w:t>
      </w:r>
      <w:r>
        <w:rPr>
          <w:kern w:val="0"/>
        </w:rPr>
        <w:t>antibiotic therapy in the disease has been unclear. Objectives We sought to characterise the risks</w:t>
      </w:r>
      <w:r w:rsidR="005853A9">
        <w:rPr>
          <w:kern w:val="0"/>
        </w:rPr>
        <w:t xml:space="preserve"> and </w:t>
      </w:r>
      <w:r>
        <w:rPr>
          <w:kern w:val="0"/>
        </w:rPr>
        <w:t>benefits associated with use</w:t>
      </w:r>
      <w:r w:rsidR="00427468">
        <w:rPr>
          <w:kern w:val="0"/>
        </w:rPr>
        <w:t xml:space="preserve"> of </w:t>
      </w:r>
      <w:r>
        <w:rPr>
          <w:kern w:val="0"/>
        </w:rPr>
        <w:t>antibiotic therapy in the management</w:t>
      </w:r>
      <w:r w:rsidR="00427468">
        <w:rPr>
          <w:kern w:val="0"/>
        </w:rPr>
        <w:t xml:space="preserve"> of </w:t>
      </w:r>
      <w:r>
        <w:rPr>
          <w:kern w:val="0"/>
        </w:rPr>
        <w:t>leptospirosis. Search methods We searched the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regardless</w:t>
      </w:r>
      <w:r w:rsidR="00427468">
        <w:rPr>
          <w:kern w:val="0"/>
        </w:rPr>
        <w:t xml:space="preserve"> of </w:t>
      </w:r>
      <w:r>
        <w:rPr>
          <w:kern w:val="0"/>
        </w:rPr>
        <w:t>study language. This was augmented by a manual search</w:t>
      </w:r>
      <w:r w:rsidR="00A37C1D">
        <w:rPr>
          <w:kern w:val="0"/>
        </w:rPr>
        <w:t>. The</w:t>
      </w:r>
      <w:r>
        <w:rPr>
          <w:kern w:val="0"/>
        </w:rPr>
        <w:t xml:space="preserve"> last date</w:t>
      </w:r>
      <w:r w:rsidR="00427468">
        <w:rPr>
          <w:kern w:val="0"/>
        </w:rPr>
        <w:t xml:space="preserve"> of </w:t>
      </w:r>
      <w:r>
        <w:rPr>
          <w:kern w:val="0"/>
        </w:rPr>
        <w:t>search was November, 2011. Selection criteria To be included in assessment</w:t>
      </w:r>
      <w:r w:rsidR="00427468">
        <w:rPr>
          <w:kern w:val="0"/>
        </w:rPr>
        <w:t xml:space="preserve"> of </w:t>
      </w:r>
      <w:r>
        <w:rPr>
          <w:kern w:val="0"/>
        </w:rPr>
        <w:t>benefits, trials had to specifically assess the use</w:t>
      </w:r>
      <w:r w:rsidR="00427468">
        <w:rPr>
          <w:kern w:val="0"/>
        </w:rPr>
        <w:t xml:space="preserve"> of </w:t>
      </w:r>
      <w:r>
        <w:rPr>
          <w:kern w:val="0"/>
        </w:rPr>
        <w:t>antibiotics in a randomised clinical trial. A broad range</w:t>
      </w:r>
      <w:r w:rsidR="00427468">
        <w:rPr>
          <w:kern w:val="0"/>
        </w:rPr>
        <w:t xml:space="preserve"> of </w:t>
      </w:r>
      <w:r>
        <w:rPr>
          <w:kern w:val="0"/>
        </w:rPr>
        <w:t>study types were incorporated to seek potential harms. Data collection</w:t>
      </w:r>
      <w:r w:rsidR="005853A9">
        <w:rPr>
          <w:kern w:val="0"/>
        </w:rPr>
        <w:t xml:space="preserve"> and </w:t>
      </w:r>
      <w:r>
        <w:rPr>
          <w:kern w:val="0"/>
        </w:rPr>
        <w:t>analysis Included trials were systematically abstracted, as were excluded studies for the purposes</w:t>
      </w:r>
      <w:r w:rsidR="00427468">
        <w:rPr>
          <w:kern w:val="0"/>
        </w:rPr>
        <w:t xml:space="preserve"> of </w:t>
      </w:r>
      <w:r>
        <w:rPr>
          <w:kern w:val="0"/>
        </w:rPr>
        <w:t>assessing harms. Analyses were conducted in accordance with The Cochrane Handbook</w:t>
      </w:r>
      <w:r w:rsidR="005853A9">
        <w:rPr>
          <w:kern w:val="0"/>
        </w:rPr>
        <w:t xml:space="preserve"> and </w:t>
      </w:r>
      <w:r>
        <w:rPr>
          <w:kern w:val="0"/>
        </w:rPr>
        <w:t>practices</w:t>
      </w:r>
      <w:r w:rsidR="00427468">
        <w:rPr>
          <w:kern w:val="0"/>
        </w:rPr>
        <w:t xml:space="preserve"> of </w:t>
      </w:r>
      <w:r>
        <w:rPr>
          <w:kern w:val="0"/>
        </w:rPr>
        <w:t>The Cochrane Hepato-Biliary Group. Main results Seven randomised trials were included. Four trials with 403 patients compared an antibiotic with placebo or no intervention. Three trials compared at least one antibiotic regimen with another antibiotic regimen</w:t>
      </w:r>
      <w:r w:rsidR="00A37C1D">
        <w:rPr>
          <w:kern w:val="0"/>
        </w:rPr>
        <w:t>. The</w:t>
      </w:r>
      <w:r>
        <w:rPr>
          <w:kern w:val="0"/>
        </w:rPr>
        <w:t xml:space="preserve"> trials all had high risk</w:t>
      </w:r>
      <w:r w:rsidR="00427468">
        <w:rPr>
          <w:kern w:val="0"/>
        </w:rPr>
        <w:t xml:space="preserve"> of </w:t>
      </w:r>
      <w:r>
        <w:rPr>
          <w:kern w:val="0"/>
        </w:rPr>
        <w:t>bias</w:t>
      </w:r>
      <w:r w:rsidR="00A37C1D">
        <w:rPr>
          <w:kern w:val="0"/>
        </w:rPr>
        <w:t>. The</w:t>
      </w:r>
      <w:r>
        <w:rPr>
          <w:kern w:val="0"/>
        </w:rPr>
        <w:t xml:space="preserve"> trials varied in the severity</w:t>
      </w:r>
      <w:r w:rsidR="00427468">
        <w:rPr>
          <w:kern w:val="0"/>
        </w:rPr>
        <w:t xml:space="preserve"> of </w:t>
      </w:r>
      <w:r>
        <w:rPr>
          <w:kern w:val="0"/>
        </w:rPr>
        <w:t>leptospirosis among trial patients</w:t>
      </w:r>
      <w:r w:rsidR="00A37C1D">
        <w:rPr>
          <w:kern w:val="0"/>
        </w:rPr>
        <w:t>. The</w:t>
      </w:r>
      <w:r>
        <w:rPr>
          <w:kern w:val="0"/>
        </w:rPr>
        <w:t xml:space="preserve"> ability to group data for meta-analysis was limited. While all four trials that compared antibiotics with placebo reported mortality</w:t>
      </w:r>
      <w:r w:rsidR="005853A9">
        <w:rPr>
          <w:kern w:val="0"/>
        </w:rPr>
        <w:t xml:space="preserve"> and </w:t>
      </w:r>
      <w:r>
        <w:rPr>
          <w:kern w:val="0"/>
        </w:rPr>
        <w:t>used parenteral penicillin, there were no deaths in two</w:t>
      </w:r>
      <w:r w:rsidR="00427468">
        <w:rPr>
          <w:kern w:val="0"/>
        </w:rPr>
        <w:t xml:space="preserve"> of </w:t>
      </w:r>
      <w:r>
        <w:rPr>
          <w:kern w:val="0"/>
        </w:rPr>
        <w:t>them. Since odds ratio calculations cannot employ zero-event trials, only two trials contributed to this estimate</w:t>
      </w:r>
      <w:r w:rsidR="00A37C1D">
        <w:rPr>
          <w:kern w:val="0"/>
        </w:rPr>
        <w:t>. The</w:t>
      </w:r>
      <w:r>
        <w:rPr>
          <w:kern w:val="0"/>
        </w:rPr>
        <w:t xml:space="preserve"> number</w:t>
      </w:r>
      <w:r w:rsidR="00427468">
        <w:rPr>
          <w:kern w:val="0"/>
        </w:rPr>
        <w:t xml:space="preserve"> of </w:t>
      </w:r>
      <w:r>
        <w:rPr>
          <w:kern w:val="0"/>
        </w:rPr>
        <w:t xml:space="preserve">deaths were 16/200 (8.0%) in the antibiotic arm versus 11/203 (5.4%) in the placebo arm </w:t>
      </w:r>
      <w:r>
        <w:rPr>
          <w:kern w:val="0"/>
        </w:rPr>
        <w:lastRenderedPageBreak/>
        <w:t>giving a fixed-effect OR 1.56 (95% CI 0.70 to 3.46)</w:t>
      </w:r>
      <w:r w:rsidR="00A37C1D">
        <w:rPr>
          <w:kern w:val="0"/>
        </w:rPr>
        <w:t>. The</w:t>
      </w:r>
      <w:r>
        <w:rPr>
          <w:kern w:val="0"/>
        </w:rPr>
        <w:t xml:space="preserve"> random-effects OR is 1.16 (95% CI 0.23 to 5.95)</w:t>
      </w:r>
      <w:r w:rsidR="00A37C1D">
        <w:rPr>
          <w:kern w:val="0"/>
        </w:rPr>
        <w:t>. The</w:t>
      </w:r>
      <w:r>
        <w:rPr>
          <w:kern w:val="0"/>
        </w:rPr>
        <w:t xml:space="preserve"> heterogeneity among these four trials for the mortality outcome was moderate (I-2 = 50%). Only one trial (253 patients) reported days</w:t>
      </w:r>
      <w:r w:rsidR="00427468">
        <w:rPr>
          <w:kern w:val="0"/>
        </w:rPr>
        <w:t xml:space="preserve"> of </w:t>
      </w:r>
      <w:r>
        <w:rPr>
          <w:kern w:val="0"/>
        </w:rPr>
        <w:t>hospitalisation. It compared parenteral penicillin to placebo without significant effect</w:t>
      </w:r>
      <w:r w:rsidR="00427468">
        <w:rPr>
          <w:kern w:val="0"/>
        </w:rPr>
        <w:t xml:space="preserve"> of </w:t>
      </w:r>
      <w:r>
        <w:rPr>
          <w:kern w:val="0"/>
        </w:rPr>
        <w:t>therapy (8.9 versus 8.8 days; mean difference (MD) 0.10 days, 95% CI -0.83 to 1.03)</w:t>
      </w:r>
      <w:r w:rsidR="00A37C1D">
        <w:rPr>
          <w:kern w:val="0"/>
        </w:rPr>
        <w:t>. The</w:t>
      </w:r>
      <w:r>
        <w:rPr>
          <w:kern w:val="0"/>
        </w:rPr>
        <w:t xml:space="preserve"> difference in days</w:t>
      </w:r>
      <w:r w:rsidR="00427468">
        <w:rPr>
          <w:kern w:val="0"/>
        </w:rPr>
        <w:t xml:space="preserve"> of </w:t>
      </w:r>
      <w:r>
        <w:rPr>
          <w:kern w:val="0"/>
        </w:rPr>
        <w:t>clinical illness was reported in two</w:t>
      </w:r>
      <w:r w:rsidR="00427468">
        <w:rPr>
          <w:kern w:val="0"/>
        </w:rPr>
        <w:t xml:space="preserve"> of </w:t>
      </w:r>
      <w:r>
        <w:rPr>
          <w:kern w:val="0"/>
        </w:rPr>
        <w:t>these trials (71 patients). While parenteral penicillin therapy conferred 4.7 to 5.6 days</w:t>
      </w:r>
      <w:r w:rsidR="00427468">
        <w:rPr>
          <w:kern w:val="0"/>
        </w:rPr>
        <w:t xml:space="preserve"> of </w:t>
      </w:r>
      <w:r>
        <w:rPr>
          <w:kern w:val="0"/>
        </w:rPr>
        <w:t>clinical illness in contrast to 7.7 to 11.6 days in the placebo arm, the size</w:t>
      </w:r>
      <w:r w:rsidR="00427468">
        <w:rPr>
          <w:kern w:val="0"/>
        </w:rPr>
        <w:t xml:space="preserve"> of </w:t>
      </w:r>
      <w:r>
        <w:rPr>
          <w:kern w:val="0"/>
        </w:rPr>
        <w:t>the estimate</w:t>
      </w:r>
      <w:r w:rsidR="00427468">
        <w:rPr>
          <w:kern w:val="0"/>
        </w:rPr>
        <w:t xml:space="preserve"> of </w:t>
      </w:r>
      <w:r>
        <w:rPr>
          <w:kern w:val="0"/>
        </w:rPr>
        <w:t>effect increased but statistical significance was lost under the random-effect model (fixed-effect: MD -2.13 days, 95% CI -2.46 to -1.80; random-effects: MD -4.04, 95% CI -8.66 to 0.58). I2 for this outcome was high (81%). When duration</w:t>
      </w:r>
      <w:r w:rsidR="00427468">
        <w:rPr>
          <w:kern w:val="0"/>
        </w:rPr>
        <w:t xml:space="preserve"> of </w:t>
      </w:r>
      <w:r>
        <w:rPr>
          <w:kern w:val="0"/>
        </w:rPr>
        <w:t>fever alone was assessed between antibiotics</w:t>
      </w:r>
      <w:r w:rsidR="005853A9">
        <w:rPr>
          <w:kern w:val="0"/>
        </w:rPr>
        <w:t xml:space="preserve"> and </w:t>
      </w:r>
      <w:r>
        <w:rPr>
          <w:kern w:val="0"/>
        </w:rPr>
        <w:t>placebo in a single trial (79 patients), no significant difference existed (6.9 versus 6.6 days; MD 0.30, 95% CI -1.26 to 1.86). Two trials with 332 patients in relatively severe</w:t>
      </w:r>
      <w:r w:rsidR="005853A9">
        <w:rPr>
          <w:kern w:val="0"/>
        </w:rPr>
        <w:t xml:space="preserve"> and </w:t>
      </w:r>
      <w:r>
        <w:rPr>
          <w:kern w:val="0"/>
        </w:rPr>
        <w:t>possibly late leptospirosis, resulted in trends towards increased dialysis when penicillin was used rather than placebo, but the estimate</w:t>
      </w:r>
      <w:r w:rsidR="00427468">
        <w:rPr>
          <w:kern w:val="0"/>
        </w:rPr>
        <w:t xml:space="preserve"> of </w:t>
      </w:r>
      <w:r>
        <w:rPr>
          <w:kern w:val="0"/>
        </w:rPr>
        <w:t>effect was small</w:t>
      </w:r>
      <w:r w:rsidR="005853A9">
        <w:rPr>
          <w:kern w:val="0"/>
        </w:rPr>
        <w:t xml:space="preserve"> and </w:t>
      </w:r>
      <w:r>
        <w:rPr>
          <w:kern w:val="0"/>
        </w:rPr>
        <w:t>did not reach statistical significance (42/163 (25.8%) versus 31/169 (18.4%); OR 1.54, 95% CI 0.91 to 2.60). When one antibiotic was assessed against another antibiotic, there were no statistically significant results. For mortality in particular, these comparisons included cephalosporin versus penicillin (2 trials, 6/176 (3.4%) versus 9/175 (5.2%); fixed-effect: OR 0.65, 95% CI 0.23 to 1.87, I-2 = 16%), doxycycline versus penicillin (1 trial, 2/81 (2.5%) versus 4/89 (4.5); OR 0.54, 95% CI 0.10 to 3.02), cephalosporin versus doxycycline (1 trial, 1/88 (1.1%) versus 2/81 (2.5%); OR 0.45, 95% CI 0.04 to 5.10)</w:t>
      </w:r>
      <w:r w:rsidR="00A37C1D">
        <w:rPr>
          <w:kern w:val="0"/>
        </w:rPr>
        <w:t>. The</w:t>
      </w:r>
      <w:r>
        <w:rPr>
          <w:kern w:val="0"/>
        </w:rPr>
        <w:t>re were no adverse events</w:t>
      </w:r>
      <w:r w:rsidR="00427468">
        <w:rPr>
          <w:kern w:val="0"/>
        </w:rPr>
        <w:t xml:space="preserve"> of </w:t>
      </w:r>
      <w:r>
        <w:rPr>
          <w:kern w:val="0"/>
        </w:rPr>
        <w:t>therapy which reached statistical significance. Authors</w:t>
      </w:r>
      <w:r w:rsidR="0071223E">
        <w:rPr>
          <w:kern w:val="0"/>
        </w:rPr>
        <w:t>’</w:t>
      </w:r>
      <w:r>
        <w:rPr>
          <w:kern w:val="0"/>
        </w:rPr>
        <w:t xml:space="preserve"> conclusions Insufficient evidence is available to advocate for or against the use</w:t>
      </w:r>
      <w:r w:rsidR="00427468">
        <w:rPr>
          <w:kern w:val="0"/>
        </w:rPr>
        <w:t xml:space="preserve"> of </w:t>
      </w:r>
      <w:r>
        <w:rPr>
          <w:kern w:val="0"/>
        </w:rPr>
        <w:t>antibiotics in the therapy for leptospirosis. Among survivors who were hospitalised for leptospirosis, use</w:t>
      </w:r>
      <w:r w:rsidR="00427468">
        <w:rPr>
          <w:kern w:val="0"/>
        </w:rPr>
        <w:t xml:space="preserve"> of </w:t>
      </w:r>
      <w:r>
        <w:rPr>
          <w:kern w:val="0"/>
        </w:rPr>
        <w:t>antibiotics for leptospirosis may have decreased the duration</w:t>
      </w:r>
      <w:r w:rsidR="00427468">
        <w:rPr>
          <w:kern w:val="0"/>
        </w:rPr>
        <w:t xml:space="preserve"> of </w:t>
      </w:r>
      <w:r>
        <w:rPr>
          <w:kern w:val="0"/>
        </w:rPr>
        <w:t>clinical illness by two to four days, though this result was not statistically significant. When electing to treat with an antibiotic, selection</w:t>
      </w:r>
      <w:r w:rsidR="00427468">
        <w:rPr>
          <w:kern w:val="0"/>
        </w:rPr>
        <w:t xml:space="preserve"> of </w:t>
      </w:r>
      <w:r>
        <w:rPr>
          <w:kern w:val="0"/>
        </w:rPr>
        <w:t>penicillin, doxycycline, or cephalosporin does not seem to impact mortality nor duration</w:t>
      </w:r>
      <w:r w:rsidR="00427468">
        <w:rPr>
          <w:kern w:val="0"/>
        </w:rPr>
        <w:t xml:space="preserve"> of </w:t>
      </w:r>
      <w:r>
        <w:rPr>
          <w:kern w:val="0"/>
        </w:rPr>
        <w:t>fever</w:t>
      </w:r>
      <w:r w:rsidR="00A37C1D">
        <w:rPr>
          <w:kern w:val="0"/>
        </w:rPr>
        <w:t>. The</w:t>
      </w:r>
      <w:r>
        <w:rPr>
          <w:kern w:val="0"/>
        </w:rPr>
        <w:t xml:space="preserve"> benefit</w:t>
      </w:r>
      <w:r w:rsidR="00427468">
        <w:rPr>
          <w:kern w:val="0"/>
        </w:rPr>
        <w:t xml:space="preserve"> of </w:t>
      </w:r>
      <w:r>
        <w:rPr>
          <w:kern w:val="0"/>
        </w:rPr>
        <w:t>antibiotic therapy in the treatment</w:t>
      </w:r>
      <w:r w:rsidR="00427468">
        <w:rPr>
          <w:kern w:val="0"/>
        </w:rPr>
        <w:t xml:space="preserve"> of </w:t>
      </w:r>
      <w:r>
        <w:rPr>
          <w:kern w:val="0"/>
        </w:rPr>
        <w:t>leptospirosis remains unclear, particularly for severe disease. Further clinical research is needed to include broader panels</w:t>
      </w:r>
      <w:r w:rsidR="00427468">
        <w:rPr>
          <w:kern w:val="0"/>
        </w:rPr>
        <w:t xml:space="preserve"> of </w:t>
      </w:r>
      <w:r>
        <w:rPr>
          <w:kern w:val="0"/>
        </w:rPr>
        <w:t>therapy tested against placebo.</w:t>
      </w:r>
    </w:p>
    <w:p w:rsidR="00365DE4" w:rsidRDefault="00365DE4" w:rsidP="00365DE4">
      <w:pPr>
        <w:pStyle w:val="a3"/>
        <w:rPr>
          <w:kern w:val="0"/>
        </w:rPr>
      </w:pPr>
      <w:r>
        <w:rPr>
          <w:kern w:val="0"/>
        </w:rPr>
        <w:t xml:space="preserve">Keywords: Analysis, Antibiotic Therapy, Antibiotics, Assessing, Assessment, Bias, Citation, Clinical, Clinical Research, Clinical Trial, Collection, Criteria, Data, Data Collection, Dialysis, Disease, Distributed, Duration, Empirical-Evidence, Events, Evidence, Fever, Health, Heterogeneity, Impact, Infected, Intervention, Management, </w:t>
      </w:r>
      <w:r w:rsidR="00D5664A">
        <w:rPr>
          <w:kern w:val="0"/>
        </w:rPr>
        <w:t>MEDLINE</w:t>
      </w:r>
      <w:r>
        <w:rPr>
          <w:kern w:val="0"/>
        </w:rPr>
        <w:t xml:space="preserve">, Meta-Analysis, Metaanalysis, Methods, Model, Mortality, Odds Ratio, Outbreak, Outcome, Patients, Penicillin, Placebo, Populations, Potential, Practices, </w:t>
      </w:r>
      <w:r>
        <w:rPr>
          <w:kern w:val="0"/>
        </w:rPr>
        <w:lastRenderedPageBreak/>
        <w:t>Public, Public Health, Quality, Randomised, Randomized Controlled-Trials, Rates, Research, Risk, Risks, Science, Science Citation Index, Science Citation Index Expanded, Search, Significance, Size, Small, Therapy, Treatment, Trends, Trial, Troops</w:t>
      </w:r>
    </w:p>
    <w:p w:rsidR="00365DE4" w:rsidRDefault="00365DE4" w:rsidP="00365DE4">
      <w:pPr>
        <w:pStyle w:val="a3"/>
        <w:rPr>
          <w:kern w:val="0"/>
        </w:rPr>
      </w:pPr>
      <w:r>
        <w:rPr>
          <w:kern w:val="0"/>
        </w:rPr>
        <w:t>? Furlong, M., McGilloway, S., Bywater, T., Hutchings, J., Smith, S.M.</w:t>
      </w:r>
      <w:r w:rsidR="005853A9">
        <w:rPr>
          <w:kern w:val="0"/>
        </w:rPr>
        <w:t xml:space="preserve"> and </w:t>
      </w:r>
      <w:r>
        <w:rPr>
          <w:kern w:val="0"/>
        </w:rPr>
        <w:t>Donnelly, M. (2012), Behavioural</w:t>
      </w:r>
      <w:r w:rsidR="005853A9">
        <w:rPr>
          <w:kern w:val="0"/>
        </w:rPr>
        <w:t xml:space="preserve"> and </w:t>
      </w:r>
      <w:r>
        <w:rPr>
          <w:kern w:val="0"/>
        </w:rPr>
        <w:t xml:space="preserve">cognitive-behavioural group-based parenting programmes for early-onset conduct problems in children aged 3 to 12 years.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CD008225.</w:t>
      </w:r>
    </w:p>
    <w:p w:rsidR="00365DE4" w:rsidRDefault="00365DE4" w:rsidP="00365DE4">
      <w:pPr>
        <w:pStyle w:val="a3"/>
        <w:rPr>
          <w:kern w:val="2"/>
        </w:rPr>
      </w:pPr>
      <w:r>
        <w:t xml:space="preserve">Full Text: </w:t>
      </w:r>
      <w:hyperlink r:id="rId733" w:history="1">
        <w:r>
          <w:rPr>
            <w:rStyle w:val="a5"/>
          </w:rPr>
          <w:t>2012\Coc Dat Sys Rev2012, CD008225.pdf</w:t>
        </w:r>
      </w:hyperlink>
    </w:p>
    <w:p w:rsidR="00365DE4" w:rsidRDefault="00365DE4" w:rsidP="00365DE4">
      <w:pPr>
        <w:pStyle w:val="a3"/>
        <w:rPr>
          <w:kern w:val="0"/>
        </w:rPr>
      </w:pPr>
      <w:r>
        <w:rPr>
          <w:kern w:val="0"/>
        </w:rPr>
        <w:t>Abstract: Background Early-onset child conduct problems are common</w:t>
      </w:r>
      <w:r w:rsidR="005853A9">
        <w:rPr>
          <w:kern w:val="0"/>
        </w:rPr>
        <w:t xml:space="preserve"> and </w:t>
      </w:r>
      <w:r>
        <w:rPr>
          <w:kern w:val="0"/>
        </w:rPr>
        <w:t>costly. A large number</w:t>
      </w:r>
      <w:r w:rsidR="00427468">
        <w:rPr>
          <w:kern w:val="0"/>
        </w:rPr>
        <w:t xml:space="preserve"> of </w:t>
      </w:r>
      <w:r>
        <w:rPr>
          <w:kern w:val="0"/>
        </w:rPr>
        <w:t>studies</w:t>
      </w:r>
      <w:r w:rsidR="005853A9">
        <w:rPr>
          <w:kern w:val="0"/>
        </w:rPr>
        <w:t xml:space="preserve"> and </w:t>
      </w:r>
      <w:r>
        <w:rPr>
          <w:kern w:val="0"/>
        </w:rPr>
        <w:t>some previous reviews have focused on behavioural</w:t>
      </w:r>
      <w:r w:rsidR="005853A9">
        <w:rPr>
          <w:kern w:val="0"/>
        </w:rPr>
        <w:t xml:space="preserve"> and </w:t>
      </w:r>
      <w:r>
        <w:rPr>
          <w:kern w:val="0"/>
        </w:rPr>
        <w:t>cognitive-behavioural group-based parenting interventions, but methodological limitations are commonplace</w:t>
      </w:r>
      <w:r w:rsidR="005853A9">
        <w:rPr>
          <w:kern w:val="0"/>
        </w:rPr>
        <w:t xml:space="preserve"> and </w:t>
      </w:r>
      <w:r>
        <w:rPr>
          <w:kern w:val="0"/>
        </w:rPr>
        <w:t>evidence for the effectiveness</w:t>
      </w:r>
      <w:r w:rsidR="005853A9">
        <w:rPr>
          <w:kern w:val="0"/>
        </w:rPr>
        <w:t xml:space="preserve"> and </w:t>
      </w:r>
      <w:r>
        <w:rPr>
          <w:kern w:val="0"/>
        </w:rPr>
        <w:t>cost-effectiveness</w:t>
      </w:r>
      <w:r w:rsidR="00427468">
        <w:rPr>
          <w:kern w:val="0"/>
        </w:rPr>
        <w:t xml:space="preserve"> of </w:t>
      </w:r>
      <w:r>
        <w:rPr>
          <w:kern w:val="0"/>
        </w:rPr>
        <w:t>these programmes has been unclear. Objectives To assess the effectiveness</w:t>
      </w:r>
      <w:r w:rsidR="005853A9">
        <w:rPr>
          <w:kern w:val="0"/>
        </w:rPr>
        <w:t xml:space="preserve"> and </w:t>
      </w:r>
      <w:r>
        <w:rPr>
          <w:kern w:val="0"/>
        </w:rPr>
        <w:t>cost-effectiveness</w:t>
      </w:r>
      <w:r w:rsidR="00427468">
        <w:rPr>
          <w:kern w:val="0"/>
        </w:rPr>
        <w:t xml:space="preserve"> of </w:t>
      </w:r>
      <w:r>
        <w:rPr>
          <w:kern w:val="0"/>
        </w:rPr>
        <w:t>behavioural</w:t>
      </w:r>
      <w:r w:rsidR="005853A9">
        <w:rPr>
          <w:kern w:val="0"/>
        </w:rPr>
        <w:t xml:space="preserve"> and </w:t>
      </w:r>
      <w:r>
        <w:rPr>
          <w:kern w:val="0"/>
        </w:rPr>
        <w:t>cognitive-behavioural group-based parenting programmes for improving child conduct problems, parental mental health</w:t>
      </w:r>
      <w:r w:rsidR="005853A9">
        <w:rPr>
          <w:kern w:val="0"/>
        </w:rPr>
        <w:t xml:space="preserve"> and </w:t>
      </w:r>
      <w:r>
        <w:rPr>
          <w:kern w:val="0"/>
        </w:rPr>
        <w:t>parenting skills. Search methods We searched the following databases between 23</w:t>
      </w:r>
      <w:r w:rsidR="005853A9">
        <w:rPr>
          <w:kern w:val="0"/>
        </w:rPr>
        <w:t xml:space="preserve"> and </w:t>
      </w:r>
      <w:r>
        <w:rPr>
          <w:kern w:val="0"/>
        </w:rPr>
        <w:t xml:space="preserve">31 January 2011: CENTRAL (2011, Issue 1), </w:t>
      </w:r>
      <w:r w:rsidR="00D5664A">
        <w:rPr>
          <w:kern w:val="0"/>
        </w:rPr>
        <w:t>MEDLINE</w:t>
      </w:r>
      <w:r>
        <w:rPr>
          <w:kern w:val="0"/>
        </w:rPr>
        <w:t xml:space="preserve"> (1950 to current), EMBASE (1980 to current), CINAHL (1982 to current), PsycINFO (1872 to current), Social Science Citation Index (1956 to current), ASSIA (1987 to current), ERIC (1966 to current), Sociological Abstracts (1963 to current), Academic Search Premier (1970 to current), Econlit (1969 to current), PEDE (1980 to current), Dissertations</w:t>
      </w:r>
      <w:r w:rsidR="005853A9">
        <w:rPr>
          <w:kern w:val="0"/>
        </w:rPr>
        <w:t xml:space="preserve"> and </w:t>
      </w:r>
      <w:r>
        <w:rPr>
          <w:kern w:val="0"/>
        </w:rPr>
        <w:t>Theses Abstracts (1980 to present), NHS EED (searched 31 January 2011), HEED (searched 31 January 2011), DARE (searched 31 January 2011), HTA (searched 31 January 2011), mRCT (searched 29 January 2011). We searched the following parent training websites on 31 January 2011: Triple P Library, Incredible Years Library</w:t>
      </w:r>
      <w:r w:rsidR="005853A9">
        <w:rPr>
          <w:kern w:val="0"/>
        </w:rPr>
        <w:t xml:space="preserve"> and </w:t>
      </w:r>
      <w:r>
        <w:rPr>
          <w:kern w:val="0"/>
        </w:rPr>
        <w:t>Parent Management Training. We also searched the reference lists</w:t>
      </w:r>
      <w:r w:rsidR="00427468">
        <w:rPr>
          <w:kern w:val="0"/>
        </w:rPr>
        <w:t xml:space="preserve"> of </w:t>
      </w:r>
      <w:r>
        <w:rPr>
          <w:kern w:val="0"/>
        </w:rPr>
        <w:t>studies</w:t>
      </w:r>
      <w:r w:rsidR="005853A9">
        <w:rPr>
          <w:kern w:val="0"/>
        </w:rPr>
        <w:t xml:space="preserve"> and </w:t>
      </w:r>
      <w:r>
        <w:rPr>
          <w:kern w:val="0"/>
        </w:rPr>
        <w:t>reviews. Selection criteria We included studies if: (1) they involved randomised controlled trials (RCTs) or quasi-randomised controlled trials</w:t>
      </w:r>
      <w:r w:rsidR="00427468">
        <w:rPr>
          <w:kern w:val="0"/>
        </w:rPr>
        <w:t xml:space="preserve"> of </w:t>
      </w:r>
      <w:r>
        <w:rPr>
          <w:kern w:val="0"/>
        </w:rPr>
        <w:t>behavioural</w:t>
      </w:r>
      <w:r w:rsidR="005853A9">
        <w:rPr>
          <w:kern w:val="0"/>
        </w:rPr>
        <w:t xml:space="preserve"> and </w:t>
      </w:r>
      <w:r>
        <w:rPr>
          <w:kern w:val="0"/>
        </w:rPr>
        <w:t>cognitive-behavioural group-based parenting interventions for parents</w:t>
      </w:r>
      <w:r w:rsidR="00427468">
        <w:rPr>
          <w:kern w:val="0"/>
        </w:rPr>
        <w:t xml:space="preserve"> of </w:t>
      </w:r>
      <w:r>
        <w:rPr>
          <w:kern w:val="0"/>
        </w:rPr>
        <w:t>children aged 3 to 12 years with conduct problems,</w:t>
      </w:r>
      <w:r w:rsidR="005853A9">
        <w:rPr>
          <w:kern w:val="0"/>
        </w:rPr>
        <w:t xml:space="preserve"> and </w:t>
      </w:r>
      <w:r>
        <w:rPr>
          <w:kern w:val="0"/>
        </w:rPr>
        <w:t>(2) incorporated an intervention group versus a waiting list, no treatment or standard treatment control group. We only included studies that used at least one standardised instrument to measure child conduct problems. Data collection</w:t>
      </w:r>
      <w:r w:rsidR="005853A9">
        <w:rPr>
          <w:kern w:val="0"/>
        </w:rPr>
        <w:t xml:space="preserve"> and </w:t>
      </w:r>
      <w:r>
        <w:rPr>
          <w:kern w:val="0"/>
        </w:rPr>
        <w:t>analysis Two authors independently assessed the risk</w:t>
      </w:r>
      <w:r w:rsidR="00427468">
        <w:rPr>
          <w:kern w:val="0"/>
        </w:rPr>
        <w:t xml:space="preserve"> of </w:t>
      </w:r>
      <w:r>
        <w:rPr>
          <w:kern w:val="0"/>
        </w:rPr>
        <w:t>bias in the trials</w:t>
      </w:r>
      <w:r w:rsidR="005853A9">
        <w:rPr>
          <w:kern w:val="0"/>
        </w:rPr>
        <w:t xml:space="preserve"> and </w:t>
      </w:r>
      <w:r>
        <w:rPr>
          <w:kern w:val="0"/>
        </w:rPr>
        <w:t>the methodological quality</w:t>
      </w:r>
      <w:r w:rsidR="00427468">
        <w:rPr>
          <w:kern w:val="0"/>
        </w:rPr>
        <w:t xml:space="preserve"> of </w:t>
      </w:r>
      <w:r>
        <w:rPr>
          <w:kern w:val="0"/>
        </w:rPr>
        <w:t>health economic studies. Two authors also independently extracted data. We contacted study authors for additional information. Main results This review includes 13 trials (10 RCTs</w:t>
      </w:r>
      <w:r w:rsidR="005853A9">
        <w:rPr>
          <w:kern w:val="0"/>
        </w:rPr>
        <w:t xml:space="preserve"> and </w:t>
      </w:r>
      <w:r>
        <w:rPr>
          <w:kern w:val="0"/>
        </w:rPr>
        <w:t>three quasi-randomised trials), as well as two economic evaluations based on two</w:t>
      </w:r>
      <w:r w:rsidR="00427468">
        <w:rPr>
          <w:kern w:val="0"/>
        </w:rPr>
        <w:t xml:space="preserve"> of </w:t>
      </w:r>
      <w:r>
        <w:rPr>
          <w:kern w:val="0"/>
        </w:rPr>
        <w:t xml:space="preserve">the trials. Overall, there were 1078 </w:t>
      </w:r>
      <w:r>
        <w:rPr>
          <w:kern w:val="0"/>
        </w:rPr>
        <w:lastRenderedPageBreak/>
        <w:t>participants (646 in the intervention group; 432 in the control group)</w:t>
      </w:r>
      <w:r w:rsidR="00A37C1D">
        <w:rPr>
          <w:kern w:val="0"/>
        </w:rPr>
        <w:t>. The</w:t>
      </w:r>
      <w:r>
        <w:rPr>
          <w:kern w:val="0"/>
        </w:rPr>
        <w:t xml:space="preserve"> results indicate that parent training produced a statistically significant reduction in child conduct problems, whether assessed by parents (standardised mean difference (SMD) -0.53; 95% confidence interval (CI) -0.72 to -0.34) or independently assessed (SMD -0.44; 95% CI -0.77 to 0.11)</w:t>
      </w:r>
      <w:r w:rsidR="00A37C1D">
        <w:rPr>
          <w:kern w:val="0"/>
        </w:rPr>
        <w:t>. The</w:t>
      </w:r>
      <w:r>
        <w:rPr>
          <w:kern w:val="0"/>
        </w:rPr>
        <w:t xml:space="preserve"> intervention led to statistically significant improvements in parental mental health (SMD -0.36; 95% CI -0.52 to -0.20)</w:t>
      </w:r>
      <w:r w:rsidR="005853A9">
        <w:rPr>
          <w:kern w:val="0"/>
        </w:rPr>
        <w:t xml:space="preserve"> and </w:t>
      </w:r>
      <w:r>
        <w:rPr>
          <w:kern w:val="0"/>
        </w:rPr>
        <w:t>positive parenting skills, based on both parent reports (SMD -0.53; 95% CI -0.90 to -0.16)</w:t>
      </w:r>
      <w:r w:rsidR="005853A9">
        <w:rPr>
          <w:kern w:val="0"/>
        </w:rPr>
        <w:t xml:space="preserve"> and </w:t>
      </w:r>
      <w:r>
        <w:rPr>
          <w:kern w:val="0"/>
        </w:rPr>
        <w:t>independent reports (SMD 0.47; 95% CI -0.65 to -0.29). Parent training also produced a statistically significant reduction in negative or harsh parenting practices according to both parent reports (SMD -0.77; 95% CI -0.96 to -0.59)</w:t>
      </w:r>
      <w:r w:rsidR="005853A9">
        <w:rPr>
          <w:kern w:val="0"/>
        </w:rPr>
        <w:t xml:space="preserve"> and </w:t>
      </w:r>
      <w:r>
        <w:rPr>
          <w:kern w:val="0"/>
        </w:rPr>
        <w:t>independent assessments (SMD -0.42; 95% CI -0.67 to -0.16). Moreover, the intervention demonstrated evidence</w:t>
      </w:r>
      <w:r w:rsidR="00427468">
        <w:rPr>
          <w:kern w:val="0"/>
        </w:rPr>
        <w:t xml:space="preserve"> of </w:t>
      </w:r>
      <w:r>
        <w:rPr>
          <w:kern w:val="0"/>
        </w:rPr>
        <w:t>cost-effectiveness. When compared to a waiting list control group, there was a cost</w:t>
      </w:r>
      <w:r w:rsidR="00427468">
        <w:rPr>
          <w:kern w:val="0"/>
        </w:rPr>
        <w:t xml:space="preserve"> of </w:t>
      </w:r>
      <w:r>
        <w:rPr>
          <w:kern w:val="0"/>
        </w:rPr>
        <w:t>approximately $2500 (GBP 1712; EUR 2217) per family to bring the average child with clinical levels</w:t>
      </w:r>
      <w:r w:rsidR="00427468">
        <w:rPr>
          <w:kern w:val="0"/>
        </w:rPr>
        <w:t xml:space="preserve"> of </w:t>
      </w:r>
      <w:r>
        <w:rPr>
          <w:kern w:val="0"/>
        </w:rPr>
        <w:t>conduct problems into the non-clinical range</w:t>
      </w:r>
      <w:r w:rsidR="00A37C1D">
        <w:rPr>
          <w:kern w:val="0"/>
        </w:rPr>
        <w:t>. The</w:t>
      </w:r>
      <w:r>
        <w:rPr>
          <w:kern w:val="0"/>
        </w:rPr>
        <w:t>se costs</w:t>
      </w:r>
      <w:r w:rsidR="00427468">
        <w:rPr>
          <w:kern w:val="0"/>
        </w:rPr>
        <w:t xml:space="preserve"> of </w:t>
      </w:r>
      <w:r>
        <w:rPr>
          <w:kern w:val="0"/>
        </w:rPr>
        <w:t>programme delivery are modest when compared with the long-term health, social, educational</w:t>
      </w:r>
      <w:r w:rsidR="005853A9">
        <w:rPr>
          <w:kern w:val="0"/>
        </w:rPr>
        <w:t xml:space="preserve"> and </w:t>
      </w:r>
      <w:r>
        <w:rPr>
          <w:kern w:val="0"/>
        </w:rPr>
        <w:t>legal costs associated with childhood conduct problems. Authors</w:t>
      </w:r>
      <w:r w:rsidR="0071223E">
        <w:rPr>
          <w:kern w:val="0"/>
        </w:rPr>
        <w:t>’</w:t>
      </w:r>
      <w:r>
        <w:rPr>
          <w:kern w:val="0"/>
        </w:rPr>
        <w:t xml:space="preserve"> conclusions Behavioural</w:t>
      </w:r>
      <w:r w:rsidR="005853A9">
        <w:rPr>
          <w:kern w:val="0"/>
        </w:rPr>
        <w:t xml:space="preserve"> and </w:t>
      </w:r>
      <w:r>
        <w:rPr>
          <w:kern w:val="0"/>
        </w:rPr>
        <w:t>cognitive-behavioural group-based parenting interventions are effective</w:t>
      </w:r>
      <w:r w:rsidR="005853A9">
        <w:rPr>
          <w:kern w:val="0"/>
        </w:rPr>
        <w:t xml:space="preserve"> and </w:t>
      </w:r>
      <w:r>
        <w:rPr>
          <w:kern w:val="0"/>
        </w:rPr>
        <w:t>cost-effective for improving child conduct problems, parental mental health</w:t>
      </w:r>
      <w:r w:rsidR="005853A9">
        <w:rPr>
          <w:kern w:val="0"/>
        </w:rPr>
        <w:t xml:space="preserve"> and </w:t>
      </w:r>
      <w:r>
        <w:rPr>
          <w:kern w:val="0"/>
        </w:rPr>
        <w:t>parenting skills in the short term</w:t>
      </w:r>
      <w:r w:rsidR="00A37C1D">
        <w:rPr>
          <w:kern w:val="0"/>
        </w:rPr>
        <w:t>. The</w:t>
      </w:r>
      <w:r>
        <w:rPr>
          <w:kern w:val="0"/>
        </w:rPr>
        <w:t xml:space="preserve"> cost</w:t>
      </w:r>
      <w:r w:rsidR="00427468">
        <w:rPr>
          <w:kern w:val="0"/>
        </w:rPr>
        <w:t xml:space="preserve"> of </w:t>
      </w:r>
      <w:r>
        <w:rPr>
          <w:kern w:val="0"/>
        </w:rPr>
        <w:t>programme delivery was modest when compared with the long-term health, social, educational</w:t>
      </w:r>
      <w:r w:rsidR="005853A9">
        <w:rPr>
          <w:kern w:val="0"/>
        </w:rPr>
        <w:t xml:space="preserve"> and </w:t>
      </w:r>
      <w:r>
        <w:rPr>
          <w:kern w:val="0"/>
        </w:rPr>
        <w:t>legal costs associated with childhood conduct problems. Further research is needed on the long-term assessment</w:t>
      </w:r>
      <w:r w:rsidR="00427468">
        <w:rPr>
          <w:kern w:val="0"/>
        </w:rPr>
        <w:t xml:space="preserve"> of </w:t>
      </w:r>
      <w:r>
        <w:rPr>
          <w:kern w:val="0"/>
        </w:rPr>
        <w:t>outcomes.</w:t>
      </w:r>
    </w:p>
    <w:p w:rsidR="00365DE4" w:rsidRDefault="00365DE4" w:rsidP="00365DE4">
      <w:pPr>
        <w:pStyle w:val="a3"/>
        <w:rPr>
          <w:kern w:val="0"/>
        </w:rPr>
      </w:pPr>
      <w:r>
        <w:rPr>
          <w:kern w:val="0"/>
        </w:rPr>
        <w:t xml:space="preserve">Keywords: Aged, Analysis, Assessment, Assessments, Authors, Bias, Child, Childhood, Childhood Antisocial-Behavior, Children, Citation, Clinical, Collection, Confidence, Control, Cost, Cost Effectiveness, Cost-Effective, Cost-Effectiveness, Costs, Criteria, Data, Data Collection, Databases, Delivery, Economic, Effectiveness, Evidence, Family, Follow-Up, Group Triple-P, Health, Information, Interval, Intervention, Interventions, Legal, Long Term, Long-Term, Long-Term Effectiveness, Management, Measure, </w:t>
      </w:r>
      <w:r w:rsidR="00D5664A">
        <w:rPr>
          <w:kern w:val="0"/>
        </w:rPr>
        <w:t>MEDLINE</w:t>
      </w:r>
      <w:r>
        <w:rPr>
          <w:kern w:val="0"/>
        </w:rPr>
        <w:t>, Mental Health, Mental-Health, Methods, Multicenter Controlled-Trial, Oppositional Defiant Disorder, Outcomes, P, Parents, Past 10 Years, Practices, Programmes, Psycinfo, Quality, Quality Of, Randomised, Randomised Controlled Trials, Randomized Controlled-Trial, Reduction, Reference, Reference Lists, Research, Review, Reviews, Risk, Science, Science Citation Index, Search, Social, Social Science Citation Index, Standard, Term, Training, Training-Programs, Treatment</w:t>
      </w:r>
    </w:p>
    <w:p w:rsidR="00365DE4" w:rsidRDefault="00365DE4" w:rsidP="00365DE4">
      <w:pPr>
        <w:pStyle w:val="a3"/>
        <w:rPr>
          <w:kern w:val="0"/>
        </w:rPr>
      </w:pPr>
      <w:r>
        <w:rPr>
          <w:kern w:val="0"/>
        </w:rPr>
        <w:t>? Li, L.Y.R., You, C.</w:t>
      </w:r>
      <w:r w:rsidR="005853A9">
        <w:rPr>
          <w:kern w:val="0"/>
        </w:rPr>
        <w:t xml:space="preserve"> and </w:t>
      </w:r>
      <w:r>
        <w:rPr>
          <w:kern w:val="0"/>
        </w:rPr>
        <w:t xml:space="preserve">Chaudhary, B. (2012), Intraoperative mild hypothermia for postoperative neurological deficits in intracranial aneurysm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CD008445.</w:t>
      </w:r>
    </w:p>
    <w:p w:rsidR="00365DE4" w:rsidRDefault="00365DE4" w:rsidP="00365DE4">
      <w:pPr>
        <w:pStyle w:val="a3"/>
        <w:rPr>
          <w:kern w:val="2"/>
        </w:rPr>
      </w:pPr>
      <w:r>
        <w:lastRenderedPageBreak/>
        <w:t xml:space="preserve">Full Text: </w:t>
      </w:r>
      <w:hyperlink r:id="rId734" w:history="1">
        <w:r>
          <w:rPr>
            <w:rStyle w:val="a5"/>
          </w:rPr>
          <w:t>2012\Coc Dat Sys Rev2012, CD008445.pdf</w:t>
        </w:r>
      </w:hyperlink>
    </w:p>
    <w:p w:rsidR="00365DE4" w:rsidRDefault="00365DE4" w:rsidP="00365DE4">
      <w:pPr>
        <w:pStyle w:val="a3"/>
        <w:rPr>
          <w:kern w:val="0"/>
        </w:rPr>
      </w:pPr>
      <w:r>
        <w:rPr>
          <w:kern w:val="0"/>
        </w:rPr>
        <w:t>Abstract: Background Rupture</w:t>
      </w:r>
      <w:r w:rsidR="00427468">
        <w:rPr>
          <w:kern w:val="0"/>
        </w:rPr>
        <w:t xml:space="preserve"> of </w:t>
      </w:r>
      <w:r>
        <w:rPr>
          <w:kern w:val="0"/>
        </w:rPr>
        <w:t>an intracranial aneurysm causes aneurysmal subarachnoid haemorrhage, which is one</w:t>
      </w:r>
      <w:r w:rsidR="00427468">
        <w:rPr>
          <w:kern w:val="0"/>
        </w:rPr>
        <w:t xml:space="preserve"> of </w:t>
      </w:r>
      <w:r>
        <w:rPr>
          <w:kern w:val="0"/>
        </w:rPr>
        <w:t>the most devastating clinical conditions. Clinically, it can be classified into five grades using the Hunt-Hess or World Federation</w:t>
      </w:r>
      <w:r w:rsidR="00427468">
        <w:rPr>
          <w:kern w:val="0"/>
        </w:rPr>
        <w:t xml:space="preserve"> of </w:t>
      </w:r>
      <w:r>
        <w:rPr>
          <w:kern w:val="0"/>
        </w:rPr>
        <w:t>Neurological Surgeons (WFNS) scale. Grades 4</w:t>
      </w:r>
      <w:r w:rsidR="005853A9">
        <w:rPr>
          <w:kern w:val="0"/>
        </w:rPr>
        <w:t xml:space="preserve"> and </w:t>
      </w:r>
      <w:r>
        <w:rPr>
          <w:kern w:val="0"/>
        </w:rPr>
        <w:t>5 predict poor prognosis</w:t>
      </w:r>
      <w:r w:rsidR="005853A9">
        <w:rPr>
          <w:kern w:val="0"/>
        </w:rPr>
        <w:t xml:space="preserve"> and </w:t>
      </w:r>
      <w:r>
        <w:rPr>
          <w:kern w:val="0"/>
        </w:rPr>
        <w:t xml:space="preserve">are called </w:t>
      </w:r>
      <w:r w:rsidR="0071223E">
        <w:rPr>
          <w:kern w:val="0"/>
        </w:rPr>
        <w:t>‘</w:t>
      </w:r>
      <w:r>
        <w:rPr>
          <w:kern w:val="0"/>
        </w:rPr>
        <w:t>poor grade</w:t>
      </w:r>
      <w:r w:rsidR="0071223E">
        <w:rPr>
          <w:kern w:val="0"/>
        </w:rPr>
        <w:t>’</w:t>
      </w:r>
      <w:r>
        <w:rPr>
          <w:kern w:val="0"/>
        </w:rPr>
        <w:t>, while grade 1, 2,</w:t>
      </w:r>
      <w:r w:rsidR="005853A9">
        <w:rPr>
          <w:kern w:val="0"/>
        </w:rPr>
        <w:t xml:space="preserve"> and </w:t>
      </w:r>
      <w:r>
        <w:rPr>
          <w:kern w:val="0"/>
        </w:rPr>
        <w:t xml:space="preserve">3 are known as </w:t>
      </w:r>
      <w:r w:rsidR="0071223E">
        <w:rPr>
          <w:kern w:val="0"/>
        </w:rPr>
        <w:t>‘</w:t>
      </w:r>
      <w:r>
        <w:rPr>
          <w:kern w:val="0"/>
        </w:rPr>
        <w:t>good grade</w:t>
      </w:r>
      <w:r w:rsidR="0071223E">
        <w:rPr>
          <w:kern w:val="0"/>
        </w:rPr>
        <w:t>’</w:t>
      </w:r>
      <w:r>
        <w:rPr>
          <w:kern w:val="0"/>
        </w:rPr>
        <w:t>. Disturbances</w:t>
      </w:r>
      <w:r w:rsidR="00427468">
        <w:rPr>
          <w:kern w:val="0"/>
        </w:rPr>
        <w:t xml:space="preserve"> of </w:t>
      </w:r>
      <w:r>
        <w:rPr>
          <w:kern w:val="0"/>
        </w:rPr>
        <w:t>intracranial homeostasis</w:t>
      </w:r>
      <w:r w:rsidR="005853A9">
        <w:rPr>
          <w:kern w:val="0"/>
        </w:rPr>
        <w:t xml:space="preserve"> and </w:t>
      </w:r>
      <w:r>
        <w:rPr>
          <w:kern w:val="0"/>
        </w:rPr>
        <w:t>brain metabolism are known to play certain roles in the sequelae. Hypothermia has a long history</w:t>
      </w:r>
      <w:r w:rsidR="00427468">
        <w:rPr>
          <w:kern w:val="0"/>
        </w:rPr>
        <w:t xml:space="preserve"> of </w:t>
      </w:r>
      <w:r>
        <w:rPr>
          <w:kern w:val="0"/>
        </w:rPr>
        <w:t>being used to reduce metabolism rate, thereby protecting organs in cases where metabolism is disturbed</w:t>
      </w:r>
      <w:r w:rsidR="005853A9">
        <w:rPr>
          <w:kern w:val="0"/>
        </w:rPr>
        <w:t xml:space="preserve"> and </w:t>
      </w:r>
      <w:r>
        <w:rPr>
          <w:kern w:val="0"/>
        </w:rPr>
        <w:t>potentially harmful. Objectives To assess the effect</w:t>
      </w:r>
      <w:r w:rsidR="00427468">
        <w:rPr>
          <w:kern w:val="0"/>
        </w:rPr>
        <w:t xml:space="preserve"> of </w:t>
      </w:r>
      <w:r>
        <w:rPr>
          <w:kern w:val="0"/>
        </w:rPr>
        <w:t>intraoperative mild hypothermia on postoperative death</w:t>
      </w:r>
      <w:r w:rsidR="005853A9">
        <w:rPr>
          <w:kern w:val="0"/>
        </w:rPr>
        <w:t xml:space="preserve"> and </w:t>
      </w:r>
      <w:r>
        <w:rPr>
          <w:kern w:val="0"/>
        </w:rPr>
        <w:t>neurological deficits in patients with intracranial aneurysms (ruptured or unruptured). Search methods We searched the Cochrane Stroke Group Trials Register (September 2011), the Cochrane Central Register</w:t>
      </w:r>
      <w:r w:rsidR="00427468">
        <w:rPr>
          <w:kern w:val="0"/>
        </w:rPr>
        <w:t xml:space="preserve"> of </w:t>
      </w:r>
      <w:r>
        <w:rPr>
          <w:kern w:val="0"/>
        </w:rPr>
        <w:t xml:space="preserve">Controlled Trials (CENTRAL 2011, Issue 3), </w:t>
      </w:r>
      <w:r w:rsidR="00D5664A">
        <w:rPr>
          <w:kern w:val="0"/>
        </w:rPr>
        <w:t>MEDLINE</w:t>
      </w:r>
      <w:r>
        <w:rPr>
          <w:kern w:val="0"/>
        </w:rPr>
        <w:t xml:space="preserve"> (1950 to September 2011), EMBASE (1980 to September 2011), Science Citation Index (1900 to September 2011)</w:t>
      </w:r>
      <w:r w:rsidR="005853A9">
        <w:rPr>
          <w:kern w:val="0"/>
        </w:rPr>
        <w:t xml:space="preserve"> and </w:t>
      </w:r>
      <w:r>
        <w:rPr>
          <w:kern w:val="0"/>
        </w:rPr>
        <w:t>11 Chinese databases (September 2011). We also searched ongoing trials registers (September 2011)</w:t>
      </w:r>
      <w:r w:rsidR="005853A9">
        <w:rPr>
          <w:kern w:val="0"/>
        </w:rPr>
        <w:t xml:space="preserve"> and </w:t>
      </w:r>
      <w:r>
        <w:rPr>
          <w:kern w:val="0"/>
        </w:rPr>
        <w:t>scanned reference lists</w:t>
      </w:r>
      <w:r w:rsidR="00427468">
        <w:rPr>
          <w:kern w:val="0"/>
        </w:rPr>
        <w:t xml:space="preserve"> of </w:t>
      </w:r>
      <w:r>
        <w:rPr>
          <w:kern w:val="0"/>
        </w:rPr>
        <w:t>retrieved records. Selection criteria We included only randomised controlled trials comparing intraoperative mild hypothermia (32 degrees C to 35 degrees C) with control (no hypothermia) in patients with intracranial aneurysms (ruptured or unruptured). Data collection</w:t>
      </w:r>
      <w:r w:rsidR="005853A9">
        <w:rPr>
          <w:kern w:val="0"/>
        </w:rPr>
        <w:t xml:space="preserve"> and </w:t>
      </w:r>
      <w:r>
        <w:rPr>
          <w:kern w:val="0"/>
        </w:rPr>
        <w:t>analysis Two review authors independently selected trials</w:t>
      </w:r>
      <w:r w:rsidR="005853A9">
        <w:rPr>
          <w:kern w:val="0"/>
        </w:rPr>
        <w:t xml:space="preserve"> and </w:t>
      </w:r>
      <w:r>
        <w:rPr>
          <w:kern w:val="0"/>
        </w:rPr>
        <w:t>assessed the risk</w:t>
      </w:r>
      <w:r w:rsidR="00427468">
        <w:rPr>
          <w:kern w:val="0"/>
        </w:rPr>
        <w:t xml:space="preserve"> of </w:t>
      </w:r>
      <w:r>
        <w:rPr>
          <w:kern w:val="0"/>
        </w:rPr>
        <w:t>bias for each included study. We presented data as risk ratio (RR) with 95% confidence intervals (CI). Main results We included three studies enrolling 1158 patients. Each study observed an increased rate</w:t>
      </w:r>
      <w:r w:rsidR="00427468">
        <w:rPr>
          <w:kern w:val="0"/>
        </w:rPr>
        <w:t xml:space="preserve"> of </w:t>
      </w:r>
      <w:r>
        <w:rPr>
          <w:kern w:val="0"/>
        </w:rPr>
        <w:t>good recovery with intraoperative mild hypothermia, but the effect sizes were not sufficient for statistical significance. A total</w:t>
      </w:r>
      <w:r w:rsidR="00427468">
        <w:rPr>
          <w:kern w:val="0"/>
        </w:rPr>
        <w:t xml:space="preserve"> of </w:t>
      </w:r>
      <w:r>
        <w:rPr>
          <w:kern w:val="0"/>
        </w:rPr>
        <w:t>76</w:t>
      </w:r>
      <w:r w:rsidR="00427468">
        <w:rPr>
          <w:kern w:val="0"/>
        </w:rPr>
        <w:t xml:space="preserve"> of </w:t>
      </w:r>
      <w:r>
        <w:rPr>
          <w:kern w:val="0"/>
        </w:rPr>
        <w:t>577 patients (13.1%) who received hypothermia</w:t>
      </w:r>
      <w:r w:rsidR="005853A9">
        <w:rPr>
          <w:kern w:val="0"/>
        </w:rPr>
        <w:t xml:space="preserve"> and </w:t>
      </w:r>
      <w:r>
        <w:rPr>
          <w:kern w:val="0"/>
        </w:rPr>
        <w:t>93</w:t>
      </w:r>
      <w:r w:rsidR="00427468">
        <w:rPr>
          <w:kern w:val="0"/>
        </w:rPr>
        <w:t xml:space="preserve"> of </w:t>
      </w:r>
      <w:r>
        <w:rPr>
          <w:kern w:val="0"/>
        </w:rPr>
        <w:t>581 patients (16.0%) who did not receive hypothermia were dead or dependent. A total</w:t>
      </w:r>
      <w:r w:rsidR="00427468">
        <w:rPr>
          <w:kern w:val="0"/>
        </w:rPr>
        <w:t xml:space="preserve"> of </w:t>
      </w:r>
      <w:r>
        <w:rPr>
          <w:kern w:val="0"/>
        </w:rPr>
        <w:t>1086</w:t>
      </w:r>
      <w:r w:rsidR="00427468">
        <w:rPr>
          <w:kern w:val="0"/>
        </w:rPr>
        <w:t xml:space="preserve"> of </w:t>
      </w:r>
      <w:r>
        <w:rPr>
          <w:kern w:val="0"/>
        </w:rPr>
        <w:t>the 1158 patients (93.8%) had good-grade aneurysmal subarachnoid haemorrhage. A random-effects meta-analysis resulted in a summarised RR</w:t>
      </w:r>
      <w:r w:rsidR="00427468">
        <w:rPr>
          <w:kern w:val="0"/>
        </w:rPr>
        <w:t xml:space="preserve"> of </w:t>
      </w:r>
      <w:r>
        <w:rPr>
          <w:kern w:val="0"/>
        </w:rPr>
        <w:t>0.82 (95% CI 0.62 to 1.09, P value 0.17). In patients with poor-grade aneurysmal subarachnoid haemorrhage, one</w:t>
      </w:r>
      <w:r w:rsidR="00427468">
        <w:rPr>
          <w:kern w:val="0"/>
        </w:rPr>
        <w:t xml:space="preserve"> of </w:t>
      </w:r>
      <w:r>
        <w:rPr>
          <w:kern w:val="0"/>
        </w:rPr>
        <w:t>seven in the hypothermia group</w:t>
      </w:r>
      <w:r w:rsidR="005853A9">
        <w:rPr>
          <w:kern w:val="0"/>
        </w:rPr>
        <w:t xml:space="preserve"> and </w:t>
      </w:r>
      <w:r>
        <w:rPr>
          <w:kern w:val="0"/>
        </w:rPr>
        <w:t>one</w:t>
      </w:r>
      <w:r w:rsidR="00427468">
        <w:rPr>
          <w:kern w:val="0"/>
        </w:rPr>
        <w:t xml:space="preserve"> of </w:t>
      </w:r>
      <w:r>
        <w:rPr>
          <w:kern w:val="0"/>
        </w:rPr>
        <w:t>six in the control group were dead or dependent (RR 0.86, 95% CI 0.07 to 10.96, P value 0.91). In patients without subarachnoid haemorrhage, three</w:t>
      </w:r>
      <w:r w:rsidR="00427468">
        <w:rPr>
          <w:kern w:val="0"/>
        </w:rPr>
        <w:t xml:space="preserve"> of </w:t>
      </w:r>
      <w:r>
        <w:rPr>
          <w:kern w:val="0"/>
        </w:rPr>
        <w:t>30 patients (10%) in the hypothermia group,</w:t>
      </w:r>
      <w:r w:rsidR="005853A9">
        <w:rPr>
          <w:kern w:val="0"/>
        </w:rPr>
        <w:t xml:space="preserve"> and </w:t>
      </w:r>
      <w:r>
        <w:rPr>
          <w:kern w:val="0"/>
        </w:rPr>
        <w:t>four</w:t>
      </w:r>
      <w:r w:rsidR="00427468">
        <w:rPr>
          <w:kern w:val="0"/>
        </w:rPr>
        <w:t xml:space="preserve"> of </w:t>
      </w:r>
      <w:r>
        <w:rPr>
          <w:kern w:val="0"/>
        </w:rPr>
        <w:t>29 patients (13.8%) in the control group were dead or dependent (RR 0.72, 95% CI 0.18 to 2.96, P value 0.65). Authors</w:t>
      </w:r>
      <w:r w:rsidR="0071223E">
        <w:rPr>
          <w:kern w:val="0"/>
        </w:rPr>
        <w:t>’</w:t>
      </w:r>
      <w:r>
        <w:rPr>
          <w:kern w:val="0"/>
        </w:rPr>
        <w:t xml:space="preserve"> conclusions In patients with good-grade aneurysmal subarachnoid haemorrhage, intraoperative mild hypothermia might prevent death or dependency in activities</w:t>
      </w:r>
      <w:r w:rsidR="00427468">
        <w:rPr>
          <w:kern w:val="0"/>
        </w:rPr>
        <w:t xml:space="preserve"> of </w:t>
      </w:r>
      <w:r>
        <w:rPr>
          <w:kern w:val="0"/>
        </w:rPr>
        <w:t>daily living for a few</w:t>
      </w:r>
      <w:r w:rsidR="00427468">
        <w:rPr>
          <w:kern w:val="0"/>
        </w:rPr>
        <w:t xml:space="preserve"> of </w:t>
      </w:r>
      <w:r>
        <w:rPr>
          <w:kern w:val="0"/>
        </w:rPr>
        <w:t>them. However, the confidence intervals include the possibility</w:t>
      </w:r>
      <w:r w:rsidR="00427468">
        <w:rPr>
          <w:kern w:val="0"/>
        </w:rPr>
        <w:t xml:space="preserve"> of </w:t>
      </w:r>
      <w:r>
        <w:rPr>
          <w:kern w:val="0"/>
        </w:rPr>
        <w:t>both benefit</w:t>
      </w:r>
      <w:r w:rsidR="005853A9">
        <w:rPr>
          <w:kern w:val="0"/>
        </w:rPr>
        <w:t xml:space="preserve"> and </w:t>
      </w:r>
      <w:r>
        <w:rPr>
          <w:kern w:val="0"/>
        </w:rPr>
        <w:t>harm</w:t>
      </w:r>
      <w:r w:rsidR="00A37C1D">
        <w:rPr>
          <w:kern w:val="0"/>
        </w:rPr>
        <w:t>. The</w:t>
      </w:r>
      <w:r>
        <w:rPr>
          <w:kern w:val="0"/>
        </w:rPr>
        <w:t xml:space="preserve">re is no </w:t>
      </w:r>
      <w:r>
        <w:rPr>
          <w:kern w:val="0"/>
        </w:rPr>
        <w:lastRenderedPageBreak/>
        <w:t>evidence that intraoperative mild hypothermia is harmful. This treatment should not be routinely applied. In patients with poor-grade aneurysmal subarachnoid haemorrhage or without subarachnoid haemorrhage, there are insufficient data to draw any conclusions. A high-quality randomised clinical trial</w:t>
      </w:r>
      <w:r w:rsidR="00427468">
        <w:rPr>
          <w:kern w:val="0"/>
        </w:rPr>
        <w:t xml:space="preserve"> of </w:t>
      </w:r>
      <w:r>
        <w:rPr>
          <w:kern w:val="0"/>
        </w:rPr>
        <w:t>intraoperative mild hypothermia for postoperative neurological deficits in patients with poor-grade aneurysmal subarachnoid haemorrhage might be feasible.</w:t>
      </w:r>
    </w:p>
    <w:p w:rsidR="00365DE4" w:rsidRDefault="00365DE4" w:rsidP="00365DE4">
      <w:pPr>
        <w:pStyle w:val="a3"/>
        <w:rPr>
          <w:kern w:val="0"/>
        </w:rPr>
      </w:pPr>
      <w:r>
        <w:rPr>
          <w:kern w:val="0"/>
        </w:rPr>
        <w:t xml:space="preserve">Keywords: Acute-Phase, Analysis, Aneurysm, Authors, Bias, Brain, Brain-Damage, Case-Fatality, Cerebral-Blood-Flow, Chinese, Citation, Clinical, Clinical Trial, Collection, Confidence, Confidence Intervals, Control, Criteria, Data, Data Collection, Databases, Death, Dependency, Endovascular Treatment, Evidence, Haemorrhage, History, Hypothermia, Intervals, Ischemic Neuronal Injury, Living, </w:t>
      </w:r>
      <w:r w:rsidR="00D5664A">
        <w:rPr>
          <w:kern w:val="0"/>
        </w:rPr>
        <w:t>MEDLINE</w:t>
      </w:r>
      <w:r>
        <w:rPr>
          <w:kern w:val="0"/>
        </w:rPr>
        <w:t>, Meta-Analysis, Metaanalysis, Metabolism, Methods, Moderate Hypothermia, Modified Rankin Scale, Neurological, Neurosurgical Patients, P, Patients, Postoperative, Prognosis, Randomised, Randomised Controlled Trials, Records, Recovery, Reference, Reference Lists, Review, Risk, Scale, Science, Science Citation Index, Search, Significance, Subarachnoid, Subarachnoid Hemorrhage, Treatment, Trial, Value</w:t>
      </w:r>
    </w:p>
    <w:p w:rsidR="00365DE4" w:rsidRDefault="00365DE4" w:rsidP="00365DE4">
      <w:pPr>
        <w:pStyle w:val="a3"/>
        <w:rPr>
          <w:kern w:val="0"/>
        </w:rPr>
      </w:pPr>
      <w:r>
        <w:rPr>
          <w:kern w:val="0"/>
        </w:rPr>
        <w:t>? Witter, S., Fretheim, A., Kessy, F.L.</w:t>
      </w:r>
      <w:r w:rsidR="005853A9">
        <w:rPr>
          <w:kern w:val="0"/>
        </w:rPr>
        <w:t xml:space="preserve"> and </w:t>
      </w:r>
      <w:r>
        <w:rPr>
          <w:kern w:val="0"/>
        </w:rPr>
        <w:t>Lindahl, A.K. (2012), Paying for performance to improve the delivery</w:t>
      </w:r>
      <w:r w:rsidR="00427468">
        <w:rPr>
          <w:kern w:val="0"/>
        </w:rPr>
        <w:t xml:space="preserve"> of </w:t>
      </w:r>
      <w:r>
        <w:rPr>
          <w:kern w:val="0"/>
        </w:rPr>
        <w:t>health interventions in low-</w:t>
      </w:r>
      <w:r w:rsidR="005853A9">
        <w:rPr>
          <w:kern w:val="0"/>
        </w:rPr>
        <w:t xml:space="preserve"> and </w:t>
      </w:r>
      <w:r>
        <w:rPr>
          <w:kern w:val="0"/>
        </w:rPr>
        <w:t xml:space="preserve">middle-income countries.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CD007899.</w:t>
      </w:r>
    </w:p>
    <w:p w:rsidR="00365DE4" w:rsidRDefault="00365DE4" w:rsidP="00365DE4">
      <w:pPr>
        <w:pStyle w:val="a3"/>
        <w:rPr>
          <w:kern w:val="2"/>
        </w:rPr>
      </w:pPr>
      <w:r>
        <w:t xml:space="preserve">Full Text: </w:t>
      </w:r>
      <w:hyperlink r:id="rId735" w:history="1">
        <w:r>
          <w:rPr>
            <w:rStyle w:val="a5"/>
          </w:rPr>
          <w:t>2012\Coc Dat Sys Rev2012, CD007899.pdf</w:t>
        </w:r>
      </w:hyperlink>
    </w:p>
    <w:p w:rsidR="00365DE4" w:rsidRDefault="00365DE4" w:rsidP="00365DE4">
      <w:pPr>
        <w:pStyle w:val="a3"/>
        <w:rPr>
          <w:kern w:val="0"/>
        </w:rPr>
      </w:pPr>
      <w:r>
        <w:rPr>
          <w:kern w:val="0"/>
        </w:rPr>
        <w:t>Abstract: Background There is a growing interest in paying for performance as a means to align the incentives</w:t>
      </w:r>
      <w:r w:rsidR="00427468">
        <w:rPr>
          <w:kern w:val="0"/>
        </w:rPr>
        <w:t xml:space="preserve"> of </w:t>
      </w:r>
      <w:r>
        <w:rPr>
          <w:kern w:val="0"/>
        </w:rPr>
        <w:t>health workers</w:t>
      </w:r>
      <w:r w:rsidR="005853A9">
        <w:rPr>
          <w:kern w:val="0"/>
        </w:rPr>
        <w:t xml:space="preserve"> and </w:t>
      </w:r>
      <w:r>
        <w:rPr>
          <w:kern w:val="0"/>
        </w:rPr>
        <w:t>health providers with public health goals. However, there is currently a lack</w:t>
      </w:r>
      <w:r w:rsidR="00427468">
        <w:rPr>
          <w:kern w:val="0"/>
        </w:rPr>
        <w:t xml:space="preserve"> of </w:t>
      </w:r>
      <w:r>
        <w:rPr>
          <w:kern w:val="0"/>
        </w:rPr>
        <w:t>rigorous evidence on the effectiveness</w:t>
      </w:r>
      <w:r w:rsidR="00427468">
        <w:rPr>
          <w:kern w:val="0"/>
        </w:rPr>
        <w:t xml:space="preserve"> of </w:t>
      </w:r>
      <w:r>
        <w:rPr>
          <w:kern w:val="0"/>
        </w:rPr>
        <w:t>these strategies in improving health care</w:t>
      </w:r>
      <w:r w:rsidR="005853A9">
        <w:rPr>
          <w:kern w:val="0"/>
        </w:rPr>
        <w:t xml:space="preserve"> and </w:t>
      </w:r>
      <w:r>
        <w:rPr>
          <w:kern w:val="0"/>
        </w:rPr>
        <w:t>health, particularly in low-and middle-income countries. Moreover, paying for performance is a complex intervention with uncertain benefits</w:t>
      </w:r>
      <w:r w:rsidR="005853A9">
        <w:rPr>
          <w:kern w:val="0"/>
        </w:rPr>
        <w:t xml:space="preserve"> and </w:t>
      </w:r>
      <w:r>
        <w:rPr>
          <w:kern w:val="0"/>
        </w:rPr>
        <w:t>potential harms. A review</w:t>
      </w:r>
      <w:r w:rsidR="00427468">
        <w:rPr>
          <w:kern w:val="0"/>
        </w:rPr>
        <w:t xml:space="preserve"> of </w:t>
      </w:r>
      <w:r>
        <w:rPr>
          <w:kern w:val="0"/>
        </w:rPr>
        <w:t>evidence on effectiveness is therefore timely, especially as this is an area</w:t>
      </w:r>
      <w:r w:rsidR="00427468">
        <w:rPr>
          <w:kern w:val="0"/>
        </w:rPr>
        <w:t xml:space="preserve"> of </w:t>
      </w:r>
      <w:r>
        <w:rPr>
          <w:kern w:val="0"/>
        </w:rPr>
        <w:t>growing interest for funders</w:t>
      </w:r>
      <w:r w:rsidR="005853A9">
        <w:rPr>
          <w:kern w:val="0"/>
        </w:rPr>
        <w:t xml:space="preserve"> and </w:t>
      </w:r>
      <w:r>
        <w:rPr>
          <w:kern w:val="0"/>
        </w:rPr>
        <w:t>governments. Objectives To assess the current evidence for the effects</w:t>
      </w:r>
      <w:r w:rsidR="00427468">
        <w:rPr>
          <w:kern w:val="0"/>
        </w:rPr>
        <w:t xml:space="preserve"> of </w:t>
      </w:r>
      <w:r>
        <w:rPr>
          <w:kern w:val="0"/>
        </w:rPr>
        <w:t>paying for performance on the provision</w:t>
      </w:r>
      <w:r w:rsidR="00427468">
        <w:rPr>
          <w:kern w:val="0"/>
        </w:rPr>
        <w:t xml:space="preserve"> of </w:t>
      </w:r>
      <w:r>
        <w:rPr>
          <w:kern w:val="0"/>
        </w:rPr>
        <w:t>health care</w:t>
      </w:r>
      <w:r w:rsidR="005853A9">
        <w:rPr>
          <w:kern w:val="0"/>
        </w:rPr>
        <w:t xml:space="preserve"> and </w:t>
      </w:r>
      <w:r>
        <w:rPr>
          <w:kern w:val="0"/>
        </w:rPr>
        <w:t>health outcomes in low-</w:t>
      </w:r>
      <w:r w:rsidR="005853A9">
        <w:rPr>
          <w:kern w:val="0"/>
        </w:rPr>
        <w:t xml:space="preserve"> and </w:t>
      </w:r>
      <w:r>
        <w:rPr>
          <w:kern w:val="0"/>
        </w:rPr>
        <w:t>middle-income countries. Search methods We searched more than 15 databases in 2009, including the Cochrane Effective Practice</w:t>
      </w:r>
      <w:r w:rsidR="005853A9">
        <w:rPr>
          <w:kern w:val="0"/>
        </w:rPr>
        <w:t xml:space="preserve"> and </w:t>
      </w:r>
      <w:r>
        <w:rPr>
          <w:kern w:val="0"/>
        </w:rPr>
        <w:t>Organisation</w:t>
      </w:r>
      <w:r w:rsidR="00427468">
        <w:rPr>
          <w:kern w:val="0"/>
        </w:rPr>
        <w:t xml:space="preserve"> of </w:t>
      </w:r>
      <w:r>
        <w:rPr>
          <w:kern w:val="0"/>
        </w:rPr>
        <w:t xml:space="preserve">Care Group Specialised Register (searched 3 March 2009), CENTRAL (2009, Issue 1) (searched 3 March 2009), </w:t>
      </w:r>
      <w:r w:rsidR="00D5664A">
        <w:rPr>
          <w:kern w:val="0"/>
        </w:rPr>
        <w:t>MEDLINE</w:t>
      </w:r>
      <w:r>
        <w:rPr>
          <w:kern w:val="0"/>
        </w:rPr>
        <w:t xml:space="preserve">, Ovid (1948 to present) (searched 24 June 2011), EMBASE, Ovid (1980 to 2009 Week 09) (searched 2 March 2009), EconLit, Ovid (1969 to February 2009) (searched 5 March 2009), as well as the Social Sciences Citation Index, ISI </w:t>
      </w:r>
      <w:r w:rsidR="00D5664A">
        <w:rPr>
          <w:kern w:val="0"/>
        </w:rPr>
        <w:t>Web</w:t>
      </w:r>
      <w:r w:rsidR="00427468">
        <w:rPr>
          <w:kern w:val="0"/>
        </w:rPr>
        <w:t xml:space="preserve"> of </w:t>
      </w:r>
      <w:r w:rsidR="00D5664A">
        <w:rPr>
          <w:kern w:val="0"/>
        </w:rPr>
        <w:t>Science</w:t>
      </w:r>
      <w:r>
        <w:rPr>
          <w:kern w:val="0"/>
        </w:rPr>
        <w:t xml:space="preserve"> (1975 to present) (searched 8 September 2010). We also searched the websites</w:t>
      </w:r>
      <w:r w:rsidR="005853A9">
        <w:rPr>
          <w:kern w:val="0"/>
        </w:rPr>
        <w:t xml:space="preserve"> and </w:t>
      </w:r>
      <w:r>
        <w:rPr>
          <w:kern w:val="0"/>
        </w:rPr>
        <w:t>online resources</w:t>
      </w:r>
      <w:r w:rsidR="00427468">
        <w:rPr>
          <w:kern w:val="0"/>
        </w:rPr>
        <w:t xml:space="preserve"> of </w:t>
      </w:r>
      <w:r>
        <w:rPr>
          <w:kern w:val="0"/>
        </w:rPr>
        <w:t xml:space="preserve">numerous international </w:t>
      </w:r>
      <w:r>
        <w:rPr>
          <w:kern w:val="0"/>
        </w:rPr>
        <w:lastRenderedPageBreak/>
        <w:t>agencies, organisations</w:t>
      </w:r>
      <w:r w:rsidR="005853A9">
        <w:rPr>
          <w:kern w:val="0"/>
        </w:rPr>
        <w:t xml:space="preserve"> and </w:t>
      </w:r>
      <w:r>
        <w:rPr>
          <w:kern w:val="0"/>
        </w:rPr>
        <w:t>universities to find relevant grey literature</w:t>
      </w:r>
      <w:r w:rsidR="005853A9">
        <w:rPr>
          <w:kern w:val="0"/>
        </w:rPr>
        <w:t xml:space="preserve"> and </w:t>
      </w:r>
      <w:r>
        <w:rPr>
          <w:kern w:val="0"/>
        </w:rPr>
        <w:t>contacted experts in the field. We carried out an updated search on the Results-Based Financing website in April 2011,</w:t>
      </w:r>
      <w:r w:rsidR="005853A9">
        <w:rPr>
          <w:kern w:val="0"/>
        </w:rPr>
        <w:t xml:space="preserve"> and </w:t>
      </w:r>
      <w:r>
        <w:rPr>
          <w:kern w:val="0"/>
        </w:rPr>
        <w:t xml:space="preserve">re-ran the </w:t>
      </w:r>
      <w:r w:rsidR="00D5664A">
        <w:rPr>
          <w:kern w:val="0"/>
        </w:rPr>
        <w:t>MEDLINE</w:t>
      </w:r>
      <w:r>
        <w:rPr>
          <w:kern w:val="0"/>
        </w:rPr>
        <w:t xml:space="preserve"> search in June 2011. Selection criteria Pay for performance refers to the transfer</w:t>
      </w:r>
      <w:r w:rsidR="00427468">
        <w:rPr>
          <w:kern w:val="0"/>
        </w:rPr>
        <w:t xml:space="preserve"> of </w:t>
      </w:r>
      <w:r>
        <w:rPr>
          <w:kern w:val="0"/>
        </w:rPr>
        <w:t>money or material goods conditional on taking a measurable action or achieving a predetermined performance target. To be included, a study had to report at least one</w:t>
      </w:r>
      <w:r w:rsidR="00427468">
        <w:rPr>
          <w:kern w:val="0"/>
        </w:rPr>
        <w:t xml:space="preserve"> of </w:t>
      </w:r>
      <w:r>
        <w:rPr>
          <w:kern w:val="0"/>
        </w:rPr>
        <w:t>the following outcomes: changes in targeted measures</w:t>
      </w:r>
      <w:r w:rsidR="00427468">
        <w:rPr>
          <w:kern w:val="0"/>
        </w:rPr>
        <w:t xml:space="preserve"> of </w:t>
      </w:r>
      <w:r>
        <w:rPr>
          <w:kern w:val="0"/>
        </w:rPr>
        <w:t>provider performance, such as the delivery or utilisation</w:t>
      </w:r>
      <w:r w:rsidR="00427468">
        <w:rPr>
          <w:kern w:val="0"/>
        </w:rPr>
        <w:t xml:space="preserve"> of </w:t>
      </w:r>
      <w:r>
        <w:rPr>
          <w:kern w:val="0"/>
        </w:rPr>
        <w:t>healthcare services, or patient outcomes, unintended effects and/or changes in resource use. Studies also needed to use one</w:t>
      </w:r>
      <w:r w:rsidR="00427468">
        <w:rPr>
          <w:kern w:val="0"/>
        </w:rPr>
        <w:t xml:space="preserve"> of </w:t>
      </w:r>
      <w:r>
        <w:rPr>
          <w:kern w:val="0"/>
        </w:rPr>
        <w:t>the following study designs: randomised trial, non-randomised trial, controlled before-after study or interrupted time series study,</w:t>
      </w:r>
      <w:r w:rsidR="005853A9">
        <w:rPr>
          <w:kern w:val="0"/>
        </w:rPr>
        <w:t xml:space="preserve"> and </w:t>
      </w:r>
      <w:r>
        <w:rPr>
          <w:kern w:val="0"/>
        </w:rPr>
        <w:t>had to have been conducted in low-or middle-income countries (as defined by the World Bank). Data collection</w:t>
      </w:r>
      <w:r w:rsidR="005853A9">
        <w:rPr>
          <w:kern w:val="0"/>
        </w:rPr>
        <w:t xml:space="preserve"> and </w:t>
      </w:r>
      <w:r>
        <w:rPr>
          <w:kern w:val="0"/>
        </w:rPr>
        <w:t>analysis We aimed to present a meta-analysis</w:t>
      </w:r>
      <w:r w:rsidR="00427468">
        <w:rPr>
          <w:kern w:val="0"/>
        </w:rPr>
        <w:t xml:space="preserve"> of </w:t>
      </w:r>
      <w:r>
        <w:rPr>
          <w:kern w:val="0"/>
        </w:rPr>
        <w:t>results. However, due to the limited number</w:t>
      </w:r>
      <w:r w:rsidR="00427468">
        <w:rPr>
          <w:kern w:val="0"/>
        </w:rPr>
        <w:t xml:space="preserve"> of </w:t>
      </w:r>
      <w:r>
        <w:rPr>
          <w:kern w:val="0"/>
        </w:rPr>
        <w:t>studies in each category, the diversity</w:t>
      </w:r>
      <w:r w:rsidR="00427468">
        <w:rPr>
          <w:kern w:val="0"/>
        </w:rPr>
        <w:t xml:space="preserve"> of </w:t>
      </w:r>
      <w:r>
        <w:rPr>
          <w:kern w:val="0"/>
        </w:rPr>
        <w:t>intervention designs</w:t>
      </w:r>
      <w:r w:rsidR="005853A9">
        <w:rPr>
          <w:kern w:val="0"/>
        </w:rPr>
        <w:t xml:space="preserve"> and </w:t>
      </w:r>
      <w:r>
        <w:rPr>
          <w:kern w:val="0"/>
        </w:rPr>
        <w:t>study methods, as well as important contextual differences, we present a narrative synthesis with separate results from each study. Main results Nine studies were included in the review: one randomised trial, six controlled before-after studies</w:t>
      </w:r>
      <w:r w:rsidR="005853A9">
        <w:rPr>
          <w:kern w:val="0"/>
        </w:rPr>
        <w:t xml:space="preserve"> and </w:t>
      </w:r>
      <w:r>
        <w:rPr>
          <w:kern w:val="0"/>
        </w:rPr>
        <w:t>two interrupted time series studies (or studies which could be re-analysed as such)</w:t>
      </w:r>
      <w:r w:rsidR="00A37C1D">
        <w:rPr>
          <w:kern w:val="0"/>
        </w:rPr>
        <w:t>. The</w:t>
      </w:r>
      <w:r>
        <w:rPr>
          <w:kern w:val="0"/>
        </w:rPr>
        <w:t xml:space="preserve"> interventions were varied: one used target payments linked to quality</w:t>
      </w:r>
      <w:r w:rsidR="00427468">
        <w:rPr>
          <w:kern w:val="0"/>
        </w:rPr>
        <w:t xml:space="preserve"> of </w:t>
      </w:r>
      <w:r>
        <w:rPr>
          <w:kern w:val="0"/>
        </w:rPr>
        <w:t>care (in the Philippines). Two used target payments linked to coverage indicators (in Tanzania</w:t>
      </w:r>
      <w:r w:rsidR="005853A9">
        <w:rPr>
          <w:kern w:val="0"/>
        </w:rPr>
        <w:t xml:space="preserve"> and </w:t>
      </w:r>
      <w:r>
        <w:rPr>
          <w:kern w:val="0"/>
        </w:rPr>
        <w:t>Zambia). Three used conditional cash transfers, modified by quality measurements (in Rwanda, Burundi</w:t>
      </w:r>
      <w:r w:rsidR="005853A9">
        <w:rPr>
          <w:kern w:val="0"/>
        </w:rPr>
        <w:t xml:space="preserve"> and </w:t>
      </w:r>
      <w:r>
        <w:rPr>
          <w:kern w:val="0"/>
        </w:rPr>
        <w:t>the Democratic Republic</w:t>
      </w:r>
      <w:r w:rsidR="00427468">
        <w:rPr>
          <w:kern w:val="0"/>
        </w:rPr>
        <w:t xml:space="preserve"> of </w:t>
      </w:r>
      <w:r>
        <w:rPr>
          <w:kern w:val="0"/>
        </w:rPr>
        <w:t>Congo). Two used conditional cash transfers without quality measures (in Rwanda</w:t>
      </w:r>
      <w:r w:rsidR="005853A9">
        <w:rPr>
          <w:kern w:val="0"/>
        </w:rPr>
        <w:t xml:space="preserve"> and </w:t>
      </w:r>
      <w:r>
        <w:rPr>
          <w:kern w:val="0"/>
        </w:rPr>
        <w:t>Vietnam). One used a mix</w:t>
      </w:r>
      <w:r w:rsidR="00427468">
        <w:rPr>
          <w:kern w:val="0"/>
        </w:rPr>
        <w:t xml:space="preserve"> of </w:t>
      </w:r>
      <w:r>
        <w:rPr>
          <w:kern w:val="0"/>
        </w:rPr>
        <w:t>conditional cash transfers</w:t>
      </w:r>
      <w:r w:rsidR="005853A9">
        <w:rPr>
          <w:kern w:val="0"/>
        </w:rPr>
        <w:t xml:space="preserve"> and </w:t>
      </w:r>
      <w:r>
        <w:rPr>
          <w:kern w:val="0"/>
        </w:rPr>
        <w:t>target payments (China). Targeted services also varied. Most</w:t>
      </w:r>
      <w:r w:rsidR="00427468">
        <w:rPr>
          <w:kern w:val="0"/>
        </w:rPr>
        <w:t xml:space="preserve"> of </w:t>
      </w:r>
      <w:r>
        <w:rPr>
          <w:kern w:val="0"/>
        </w:rPr>
        <w:t>the interventions used a wide range</w:t>
      </w:r>
      <w:r w:rsidR="00427468">
        <w:rPr>
          <w:kern w:val="0"/>
        </w:rPr>
        <w:t xml:space="preserve"> of </w:t>
      </w:r>
      <w:r>
        <w:rPr>
          <w:kern w:val="0"/>
        </w:rPr>
        <w:t>targets covering inpatient, outpatient</w:t>
      </w:r>
      <w:r w:rsidR="005853A9">
        <w:rPr>
          <w:kern w:val="0"/>
        </w:rPr>
        <w:t xml:space="preserve"> and </w:t>
      </w:r>
      <w:r>
        <w:rPr>
          <w:kern w:val="0"/>
        </w:rPr>
        <w:t>preventive care, including a strong emphasis on services for women</w:t>
      </w:r>
      <w:r w:rsidR="005853A9">
        <w:rPr>
          <w:kern w:val="0"/>
        </w:rPr>
        <w:t xml:space="preserve"> and </w:t>
      </w:r>
      <w:r>
        <w:rPr>
          <w:kern w:val="0"/>
        </w:rPr>
        <w:t>children. However, one focused specifically on tuberculosis (the main outcome measure was cases detected); one on hospital revenues;</w:t>
      </w:r>
      <w:r w:rsidR="005853A9">
        <w:rPr>
          <w:kern w:val="0"/>
        </w:rPr>
        <w:t xml:space="preserve"> and </w:t>
      </w:r>
      <w:r>
        <w:rPr>
          <w:kern w:val="0"/>
        </w:rPr>
        <w:t>one on improved treatment</w:t>
      </w:r>
      <w:r w:rsidR="00427468">
        <w:rPr>
          <w:kern w:val="0"/>
        </w:rPr>
        <w:t xml:space="preserve"> of </w:t>
      </w:r>
      <w:r>
        <w:rPr>
          <w:kern w:val="0"/>
        </w:rPr>
        <w:t>common illnesses in under-sixes. Participants were in most cases in a mix</w:t>
      </w:r>
      <w:r w:rsidR="00427468">
        <w:rPr>
          <w:kern w:val="0"/>
        </w:rPr>
        <w:t xml:space="preserve"> of </w:t>
      </w:r>
      <w:r>
        <w:rPr>
          <w:kern w:val="0"/>
        </w:rPr>
        <w:t>public</w:t>
      </w:r>
      <w:r w:rsidR="005853A9">
        <w:rPr>
          <w:kern w:val="0"/>
        </w:rPr>
        <w:t xml:space="preserve"> and </w:t>
      </w:r>
      <w:r>
        <w:rPr>
          <w:kern w:val="0"/>
        </w:rPr>
        <w:t>faith-based facilities (dispensaries, health posts, health centres</w:t>
      </w:r>
      <w:r w:rsidR="005853A9">
        <w:rPr>
          <w:kern w:val="0"/>
        </w:rPr>
        <w:t xml:space="preserve"> and </w:t>
      </w:r>
      <w:r>
        <w:rPr>
          <w:kern w:val="0"/>
        </w:rPr>
        <w:t>hospitals), though districts were also involved</w:t>
      </w:r>
      <w:r w:rsidR="005853A9">
        <w:rPr>
          <w:kern w:val="0"/>
        </w:rPr>
        <w:t xml:space="preserve"> and </w:t>
      </w:r>
      <w:r>
        <w:rPr>
          <w:kern w:val="0"/>
        </w:rPr>
        <w:t>in one case payments were made direct to individual private practitioners. One study was considered to have low risk</w:t>
      </w:r>
      <w:r w:rsidR="00427468">
        <w:rPr>
          <w:kern w:val="0"/>
        </w:rPr>
        <w:t xml:space="preserve"> of </w:t>
      </w:r>
      <w:r>
        <w:rPr>
          <w:kern w:val="0"/>
        </w:rPr>
        <w:t>bias</w:t>
      </w:r>
      <w:r w:rsidR="005853A9">
        <w:rPr>
          <w:kern w:val="0"/>
        </w:rPr>
        <w:t xml:space="preserve"> and </w:t>
      </w:r>
      <w:r>
        <w:rPr>
          <w:kern w:val="0"/>
        </w:rPr>
        <w:t>one a moderate risk</w:t>
      </w:r>
      <w:r w:rsidR="00427468">
        <w:rPr>
          <w:kern w:val="0"/>
        </w:rPr>
        <w:t xml:space="preserve"> of </w:t>
      </w:r>
      <w:r>
        <w:rPr>
          <w:kern w:val="0"/>
        </w:rPr>
        <w:t>bias</w:t>
      </w:r>
      <w:r w:rsidR="00A37C1D">
        <w:rPr>
          <w:kern w:val="0"/>
        </w:rPr>
        <w:t>. The</w:t>
      </w:r>
      <w:r>
        <w:rPr>
          <w:kern w:val="0"/>
        </w:rPr>
        <w:t xml:space="preserve"> other seven studies had a high risk</w:t>
      </w:r>
      <w:r w:rsidR="00427468">
        <w:rPr>
          <w:kern w:val="0"/>
        </w:rPr>
        <w:t xml:space="preserve"> of </w:t>
      </w:r>
      <w:r>
        <w:rPr>
          <w:kern w:val="0"/>
        </w:rPr>
        <w:t>bias. Only one study included any patient health indicators.</w:t>
      </w:r>
      <w:r w:rsidR="00427468">
        <w:rPr>
          <w:kern w:val="0"/>
        </w:rPr>
        <w:t xml:space="preserve"> of </w:t>
      </w:r>
      <w:r>
        <w:rPr>
          <w:kern w:val="0"/>
        </w:rPr>
        <w:t>the four outcome measures, two showed significant improvement for the intervention group (wasting</w:t>
      </w:r>
      <w:r w:rsidR="005853A9">
        <w:rPr>
          <w:kern w:val="0"/>
        </w:rPr>
        <w:t xml:space="preserve"> and </w:t>
      </w:r>
      <w:r>
        <w:rPr>
          <w:kern w:val="0"/>
        </w:rPr>
        <w:t>self reported health by parents</w:t>
      </w:r>
      <w:r w:rsidR="00427468">
        <w:rPr>
          <w:kern w:val="0"/>
        </w:rPr>
        <w:t xml:space="preserve"> of </w:t>
      </w:r>
      <w:r>
        <w:rPr>
          <w:kern w:val="0"/>
        </w:rPr>
        <w:t>the under-fives), while two showed no significant difference (being C-reactive protein (CRP)-negative</w:t>
      </w:r>
      <w:r w:rsidR="005853A9">
        <w:rPr>
          <w:kern w:val="0"/>
        </w:rPr>
        <w:t xml:space="preserve"> and </w:t>
      </w:r>
      <w:r>
        <w:rPr>
          <w:kern w:val="0"/>
        </w:rPr>
        <w:t>not anaemic)</w:t>
      </w:r>
      <w:r w:rsidR="00A37C1D">
        <w:rPr>
          <w:kern w:val="0"/>
        </w:rPr>
        <w:t>. The</w:t>
      </w:r>
      <w:r>
        <w:rPr>
          <w:kern w:val="0"/>
        </w:rPr>
        <w:t xml:space="preserve"> two more robust studies both found mixed results - gains for some indicators but no improvement for others. Almost all dimensions</w:t>
      </w:r>
      <w:r w:rsidR="00427468">
        <w:rPr>
          <w:kern w:val="0"/>
        </w:rPr>
        <w:t xml:space="preserve"> of </w:t>
      </w:r>
      <w:r>
        <w:rPr>
          <w:kern w:val="0"/>
        </w:rPr>
        <w:t xml:space="preserve">potential impact remain </w:t>
      </w:r>
      <w:r>
        <w:rPr>
          <w:kern w:val="0"/>
        </w:rPr>
        <w:lastRenderedPageBreak/>
        <w:t>under-studied, including intended</w:t>
      </w:r>
      <w:r w:rsidR="005853A9">
        <w:rPr>
          <w:kern w:val="0"/>
        </w:rPr>
        <w:t xml:space="preserve"> and </w:t>
      </w:r>
      <w:r>
        <w:rPr>
          <w:kern w:val="0"/>
        </w:rPr>
        <w:t>unintended impact on health outcomes, equity, organisational change, user payments</w:t>
      </w:r>
      <w:r w:rsidR="005853A9">
        <w:rPr>
          <w:kern w:val="0"/>
        </w:rPr>
        <w:t xml:space="preserve"> and </w:t>
      </w:r>
      <w:r>
        <w:rPr>
          <w:kern w:val="0"/>
        </w:rPr>
        <w:t>satisfaction, resource use</w:t>
      </w:r>
      <w:r w:rsidR="005853A9">
        <w:rPr>
          <w:kern w:val="0"/>
        </w:rPr>
        <w:t xml:space="preserve"> and </w:t>
      </w:r>
      <w:r>
        <w:rPr>
          <w:kern w:val="0"/>
        </w:rPr>
        <w:t>staff satisfaction. Authors</w:t>
      </w:r>
      <w:r w:rsidR="0071223E">
        <w:rPr>
          <w:kern w:val="0"/>
        </w:rPr>
        <w:t>’</w:t>
      </w:r>
      <w:r>
        <w:rPr>
          <w:kern w:val="0"/>
        </w:rPr>
        <w:t xml:space="preserve"> conclusions The current evidence base is too weak to draw general conclusions; more robust</w:t>
      </w:r>
      <w:r w:rsidR="005853A9">
        <w:rPr>
          <w:kern w:val="0"/>
        </w:rPr>
        <w:t xml:space="preserve"> and </w:t>
      </w:r>
      <w:r>
        <w:rPr>
          <w:kern w:val="0"/>
        </w:rPr>
        <w:t>also comprehensive studies are needed. Performance based funding is not a uniform intervention, but rather a range</w:t>
      </w:r>
      <w:r w:rsidR="00427468">
        <w:rPr>
          <w:kern w:val="0"/>
        </w:rPr>
        <w:t xml:space="preserve"> of </w:t>
      </w:r>
      <w:r>
        <w:rPr>
          <w:kern w:val="0"/>
        </w:rPr>
        <w:t>approaches. Its effects depend on the interaction</w:t>
      </w:r>
      <w:r w:rsidR="00427468">
        <w:rPr>
          <w:kern w:val="0"/>
        </w:rPr>
        <w:t xml:space="preserve"> of </w:t>
      </w:r>
      <w:r>
        <w:rPr>
          <w:kern w:val="0"/>
        </w:rPr>
        <w:t>several variables, including the design</w:t>
      </w:r>
      <w:r w:rsidR="00427468">
        <w:rPr>
          <w:kern w:val="0"/>
        </w:rPr>
        <w:t xml:space="preserve"> of </w:t>
      </w:r>
      <w:r>
        <w:rPr>
          <w:kern w:val="0"/>
        </w:rPr>
        <w:t>the intervention (e. g. who receives payments, the magnitude</w:t>
      </w:r>
      <w:r w:rsidR="00427468">
        <w:rPr>
          <w:kern w:val="0"/>
        </w:rPr>
        <w:t xml:space="preserve"> of </w:t>
      </w:r>
      <w:r>
        <w:rPr>
          <w:kern w:val="0"/>
        </w:rPr>
        <w:t>the incentives, the targets</w:t>
      </w:r>
      <w:r w:rsidR="005853A9">
        <w:rPr>
          <w:kern w:val="0"/>
        </w:rPr>
        <w:t xml:space="preserve"> and </w:t>
      </w:r>
      <w:r>
        <w:rPr>
          <w:kern w:val="0"/>
        </w:rPr>
        <w:t>how they are measured), the amount</w:t>
      </w:r>
      <w:r w:rsidR="00427468">
        <w:rPr>
          <w:kern w:val="0"/>
        </w:rPr>
        <w:t xml:space="preserve"> of </w:t>
      </w:r>
      <w:r>
        <w:rPr>
          <w:kern w:val="0"/>
        </w:rPr>
        <w:t>additional funding, other ancillary components such as technical support,</w:t>
      </w:r>
      <w:r w:rsidR="005853A9">
        <w:rPr>
          <w:kern w:val="0"/>
        </w:rPr>
        <w:t xml:space="preserve"> and </w:t>
      </w:r>
      <w:r>
        <w:rPr>
          <w:kern w:val="0"/>
        </w:rPr>
        <w:t>contextual factors, including the organisational context in which it is implemented.</w:t>
      </w:r>
    </w:p>
    <w:p w:rsidR="00365DE4" w:rsidRDefault="00365DE4" w:rsidP="00365DE4">
      <w:pPr>
        <w:pStyle w:val="a3"/>
        <w:rPr>
          <w:kern w:val="0"/>
        </w:rPr>
      </w:pPr>
      <w:r>
        <w:rPr>
          <w:kern w:val="0"/>
        </w:rPr>
        <w:t>Keywords: Analysis,</w:t>
      </w:r>
      <w:r w:rsidR="005853A9">
        <w:rPr>
          <w:kern w:val="0"/>
        </w:rPr>
        <w:t xml:space="preserve"> and </w:t>
      </w:r>
      <w:r>
        <w:rPr>
          <w:kern w:val="0"/>
        </w:rPr>
        <w:t>Middle-Income Countries, Bias, Burundi, C-Reactive Protein, Cambodia, Care, Changes, Children, China, Citation, Collection, Context, Countries, Coverage, Criteria, Data Collection, Databases, Delivery, Design, Diversity, Effectiveness, Effects, Equity, Evidence, Experts, Facilities, Field, Financing, Funding, General, Health, Health Care, Health Indicators, Health Outcomes, Hospital, Hospitals, Immunization, Impact, Improvement, Incentives, Indicators, Interaction, International, Interrupted Time Series, Intervention,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Literature, Low, Low Risk, Management, Measure, </w:t>
      </w:r>
      <w:r w:rsidR="00D5664A">
        <w:rPr>
          <w:kern w:val="0"/>
        </w:rPr>
        <w:t>MEDLINE</w:t>
      </w:r>
      <w:r>
        <w:rPr>
          <w:kern w:val="0"/>
        </w:rPr>
        <w:t>, Meta-Analysis, Metaanalysis, Methods, Modified, Outcome, Outcome Measures, Outcomes, Outpatient, Parents, Partnership, Payment, Performance, Philippines, Potential, Preventive Care, Protein, Providers, Public, Public Health, Quality, Quality Measures, Quality Of, Quality</w:t>
      </w:r>
      <w:r w:rsidR="00427468">
        <w:rPr>
          <w:kern w:val="0"/>
        </w:rPr>
        <w:t xml:space="preserve"> of </w:t>
      </w:r>
      <w:r>
        <w:rPr>
          <w:kern w:val="0"/>
        </w:rPr>
        <w:t xml:space="preserve">Care, Randomised, Randomised Trial, Resource Use, Resources, Review, Risk, Rwanda, Satisfaction, Science, Search, Self, Services, Social Sciences, Social Sciences Citation Index, Support, Synthesis, Tanzania, Time Series, Treatment, Trial, Tuberculosis, Universities, Utilisation, Vietnam, </w:t>
      </w:r>
      <w:r w:rsidR="00D5664A">
        <w:rPr>
          <w:kern w:val="0"/>
        </w:rPr>
        <w:t>Web</w:t>
      </w:r>
      <w:r w:rsidR="00427468">
        <w:rPr>
          <w:kern w:val="0"/>
        </w:rPr>
        <w:t xml:space="preserve"> of </w:t>
      </w:r>
      <w:r w:rsidR="00D5664A">
        <w:rPr>
          <w:kern w:val="0"/>
        </w:rPr>
        <w:t>Science</w:t>
      </w:r>
      <w:r>
        <w:rPr>
          <w:kern w:val="0"/>
        </w:rPr>
        <w:t>, Women, World Bank, Zambia</w:t>
      </w:r>
    </w:p>
    <w:p w:rsidR="00365DE4" w:rsidRDefault="00365DE4" w:rsidP="00365DE4">
      <w:pPr>
        <w:pStyle w:val="a3"/>
        <w:rPr>
          <w:kern w:val="0"/>
        </w:rPr>
      </w:pPr>
      <w:r>
        <w:rPr>
          <w:kern w:val="0"/>
        </w:rPr>
        <w:t>? Marti-Carvajal, A.J., Karakitsiou, D.E.</w:t>
      </w:r>
      <w:r w:rsidR="005853A9">
        <w:rPr>
          <w:kern w:val="0"/>
        </w:rPr>
        <w:t xml:space="preserve"> and </w:t>
      </w:r>
      <w:r>
        <w:rPr>
          <w:kern w:val="0"/>
        </w:rPr>
        <w:t xml:space="preserve">Salanti, G. (2012), Human recombinant activated factor VII for upper gastrointestinal bleeding in patients with liver diseases.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CD004887.</w:t>
      </w:r>
    </w:p>
    <w:p w:rsidR="00365DE4" w:rsidRDefault="00365DE4" w:rsidP="00365DE4">
      <w:pPr>
        <w:pStyle w:val="a3"/>
        <w:rPr>
          <w:kern w:val="2"/>
        </w:rPr>
      </w:pPr>
      <w:r>
        <w:t xml:space="preserve">Full Text: </w:t>
      </w:r>
      <w:hyperlink r:id="rId736" w:history="1">
        <w:r>
          <w:rPr>
            <w:rStyle w:val="a5"/>
          </w:rPr>
          <w:t>2012\Coc Dat Sys Rev2012, CD004887.pdf</w:t>
        </w:r>
      </w:hyperlink>
    </w:p>
    <w:p w:rsidR="00365DE4" w:rsidRDefault="00365DE4" w:rsidP="00365DE4">
      <w:pPr>
        <w:pStyle w:val="a3"/>
        <w:rPr>
          <w:kern w:val="0"/>
        </w:rPr>
      </w:pPr>
      <w:r>
        <w:rPr>
          <w:kern w:val="0"/>
        </w:rPr>
        <w:t>Abstract: Background Mortality from upper gastrointestinal bleeding in patients with liver disease is high. Recombinant human activated factor VII (rHuFVIIa) has been suggested for patients with liver disease</w:t>
      </w:r>
      <w:r w:rsidR="005853A9">
        <w:rPr>
          <w:kern w:val="0"/>
        </w:rPr>
        <w:t xml:space="preserve"> and </w:t>
      </w:r>
      <w:r>
        <w:rPr>
          <w:kern w:val="0"/>
        </w:rPr>
        <w:t>upper gastrointestinal bleeding. Objectives To assess the beneficial</w:t>
      </w:r>
      <w:r w:rsidR="005853A9">
        <w:rPr>
          <w:kern w:val="0"/>
        </w:rPr>
        <w:t xml:space="preserve"> and </w:t>
      </w:r>
      <w:r>
        <w:rPr>
          <w:kern w:val="0"/>
        </w:rPr>
        <w:t>harmful effects</w:t>
      </w:r>
      <w:r w:rsidR="00427468">
        <w:rPr>
          <w:kern w:val="0"/>
        </w:rPr>
        <w:t xml:space="preserve"> of </w:t>
      </w:r>
      <w:r>
        <w:rPr>
          <w:kern w:val="0"/>
        </w:rPr>
        <w:t>rHuFVIIa in patients with liver disease</w:t>
      </w:r>
      <w:r w:rsidR="005853A9">
        <w:rPr>
          <w:kern w:val="0"/>
        </w:rPr>
        <w:t xml:space="preserve"> and </w:t>
      </w:r>
      <w:r>
        <w:rPr>
          <w:kern w:val="0"/>
        </w:rPr>
        <w:t>upper gastrointestinal bleeding. Search methods We searched the Cochrane Hepato-Biliary Group Controlled Trials Register (December 2011), the Cochrane Central Register</w:t>
      </w:r>
      <w:r w:rsidR="00427468">
        <w:rPr>
          <w:kern w:val="0"/>
        </w:rPr>
        <w:t xml:space="preserve"> of </w:t>
      </w:r>
      <w:r>
        <w:rPr>
          <w:kern w:val="0"/>
        </w:rPr>
        <w:t xml:space="preserve">Controlled Trials (CENTRAL) in The Cochrane Library (Issue 4, 2011), </w:t>
      </w:r>
      <w:r w:rsidR="00D5664A">
        <w:rPr>
          <w:kern w:val="0"/>
        </w:rPr>
        <w:t>MEDLINE</w:t>
      </w:r>
      <w:r>
        <w:rPr>
          <w:kern w:val="0"/>
        </w:rPr>
        <w:t xml:space="preserve"> (1948 to December 2011), EMBASE (1980 to December 2011), Science Citation Index Expanded (1900 to December 2011),</w:t>
      </w:r>
      <w:r w:rsidR="005853A9">
        <w:rPr>
          <w:kern w:val="0"/>
        </w:rPr>
        <w:t xml:space="preserve"> and </w:t>
      </w:r>
      <w:r>
        <w:rPr>
          <w:kern w:val="0"/>
        </w:rPr>
        <w:lastRenderedPageBreak/>
        <w:t>LILACS (December 2011). We sought additional randomised trials from the reference lists</w:t>
      </w:r>
      <w:r w:rsidR="00427468">
        <w:rPr>
          <w:kern w:val="0"/>
        </w:rPr>
        <w:t xml:space="preserve"> of </w:t>
      </w:r>
      <w:r>
        <w:rPr>
          <w:kern w:val="0"/>
        </w:rPr>
        <w:t>the trials</w:t>
      </w:r>
      <w:r w:rsidR="005853A9">
        <w:rPr>
          <w:kern w:val="0"/>
        </w:rPr>
        <w:t xml:space="preserve"> and </w:t>
      </w:r>
      <w:r>
        <w:rPr>
          <w:kern w:val="0"/>
        </w:rPr>
        <w:t>reviews identified through the electronic searches. Selection criteria Randomised clinical trials. Data collection</w:t>
      </w:r>
      <w:r w:rsidR="005853A9">
        <w:rPr>
          <w:kern w:val="0"/>
        </w:rPr>
        <w:t xml:space="preserve"> and </w:t>
      </w:r>
      <w:r>
        <w:rPr>
          <w:kern w:val="0"/>
        </w:rPr>
        <w:t>analysis Outcome data from randomised clinical trials were extracted</w:t>
      </w:r>
      <w:r w:rsidR="005853A9">
        <w:rPr>
          <w:kern w:val="0"/>
        </w:rPr>
        <w:t xml:space="preserve"> and </w:t>
      </w:r>
      <w:r>
        <w:rPr>
          <w:kern w:val="0"/>
        </w:rPr>
        <w:t>were presented using random-effects model meta-analyses. Data on the risk</w:t>
      </w:r>
      <w:r w:rsidR="00427468">
        <w:rPr>
          <w:kern w:val="0"/>
        </w:rPr>
        <w:t xml:space="preserve"> of </w:t>
      </w:r>
      <w:r>
        <w:rPr>
          <w:kern w:val="0"/>
        </w:rPr>
        <w:t>bias in the included trials were also extracted. Main results We included two trials with 493 randomised participants with various Child-Pugh scores</w:t>
      </w:r>
      <w:r w:rsidR="00A37C1D">
        <w:rPr>
          <w:kern w:val="0"/>
        </w:rPr>
        <w:t>. The</w:t>
      </w:r>
      <w:r>
        <w:rPr>
          <w:kern w:val="0"/>
        </w:rPr>
        <w:t xml:space="preserve"> trials had a low risk</w:t>
      </w:r>
      <w:r w:rsidR="00427468">
        <w:rPr>
          <w:kern w:val="0"/>
        </w:rPr>
        <w:t xml:space="preserve"> of </w:t>
      </w:r>
      <w:r>
        <w:rPr>
          <w:kern w:val="0"/>
        </w:rPr>
        <w:t>bias</w:t>
      </w:r>
      <w:r w:rsidR="00A37C1D">
        <w:rPr>
          <w:kern w:val="0"/>
        </w:rPr>
        <w:t>. The</w:t>
      </w:r>
      <w:r>
        <w:rPr>
          <w:kern w:val="0"/>
        </w:rPr>
        <w:t xml:space="preserve"> rHuFVIIa administration did not reduce the risk</w:t>
      </w:r>
      <w:r w:rsidR="00427468">
        <w:rPr>
          <w:kern w:val="0"/>
        </w:rPr>
        <w:t xml:space="preserve"> of </w:t>
      </w:r>
      <w:r>
        <w:rPr>
          <w:kern w:val="0"/>
        </w:rPr>
        <w:t>mortality within five days (21/288 (7.3%) versus 15/205 (7.3%); risk ratio (RR) 0.88, 95% confidence interval (CI) 0.48 to 1.64, I-2 = 49%)</w:t>
      </w:r>
      <w:r w:rsidR="005853A9">
        <w:rPr>
          <w:kern w:val="0"/>
        </w:rPr>
        <w:t xml:space="preserve"> and </w:t>
      </w:r>
      <w:r>
        <w:rPr>
          <w:kern w:val="0"/>
        </w:rPr>
        <w:t>within 42 days (5/286 (1.7%) versus 36/205 (17.6%); RR 1.01, 95% CI 0.55 to 1.87, I-2 = 55%) when compared with placebo. Trial sequential analysis demonstrated that there is sufficient evidence to exclude that rHuFVIIa decreases mortality by 80%, but there is insufficient evidence to exclude smaller effects</w:t>
      </w:r>
      <w:r w:rsidR="00A37C1D">
        <w:rPr>
          <w:kern w:val="0"/>
        </w:rPr>
        <w:t>. The</w:t>
      </w:r>
      <w:r>
        <w:rPr>
          <w:kern w:val="0"/>
        </w:rPr>
        <w:t xml:space="preserve"> rHuFVIIa did not increase the risk</w:t>
      </w:r>
      <w:r w:rsidR="00427468">
        <w:rPr>
          <w:kern w:val="0"/>
        </w:rPr>
        <w:t xml:space="preserve"> of </w:t>
      </w:r>
      <w:r>
        <w:rPr>
          <w:kern w:val="0"/>
        </w:rPr>
        <w:t>adverse events by number</w:t>
      </w:r>
      <w:r w:rsidR="00427468">
        <w:rPr>
          <w:kern w:val="0"/>
        </w:rPr>
        <w:t xml:space="preserve"> of </w:t>
      </w:r>
      <w:r>
        <w:rPr>
          <w:kern w:val="0"/>
        </w:rPr>
        <w:t>patients (218/297 (74%)</w:t>
      </w:r>
      <w:r w:rsidR="005853A9">
        <w:rPr>
          <w:kern w:val="0"/>
        </w:rPr>
        <w:t xml:space="preserve"> and </w:t>
      </w:r>
      <w:r>
        <w:rPr>
          <w:kern w:val="0"/>
        </w:rPr>
        <w:t>164/210 (78%); RR 0.94, 95% CI 0.84 to 1.04, I-2 = 1%), serious adverse events by adverse events reported (164/590 (28%) versus 123/443 (28%); RR 0.91, 95% CI 0.75 to 1.11, I-2 = 0%),</w:t>
      </w:r>
      <w:r w:rsidR="005853A9">
        <w:rPr>
          <w:kern w:val="0"/>
        </w:rPr>
        <w:t xml:space="preserve"> and </w:t>
      </w:r>
      <w:r>
        <w:rPr>
          <w:kern w:val="0"/>
        </w:rPr>
        <w:t>thromboembolic adverse events (16/297 (5.4%) versus 14/210 (6.7%); RR 0.80, 95% CI 0.40 to 1.60, I-2 = 0%) when compared with placebo. Authors</w:t>
      </w:r>
      <w:r w:rsidR="0071223E">
        <w:rPr>
          <w:kern w:val="0"/>
        </w:rPr>
        <w:t>’</w:t>
      </w:r>
      <w:r>
        <w:rPr>
          <w:kern w:val="0"/>
        </w:rPr>
        <w:t xml:space="preserve"> conclusions We found no evidence to support or reject the administration</w:t>
      </w:r>
      <w:r w:rsidR="00427468">
        <w:rPr>
          <w:kern w:val="0"/>
        </w:rPr>
        <w:t xml:space="preserve"> of </w:t>
      </w:r>
      <w:r>
        <w:rPr>
          <w:kern w:val="0"/>
        </w:rPr>
        <w:t>rHuFVIIa for patients with liver disease</w:t>
      </w:r>
      <w:r w:rsidR="005853A9">
        <w:rPr>
          <w:kern w:val="0"/>
        </w:rPr>
        <w:t xml:space="preserve"> and </w:t>
      </w:r>
      <w:r>
        <w:rPr>
          <w:kern w:val="0"/>
        </w:rPr>
        <w:t>upper gastrointestinal bleeding. Further adequately powered randomised clinical trials are needed in order to evaluate the proper role</w:t>
      </w:r>
      <w:r w:rsidR="00427468">
        <w:rPr>
          <w:kern w:val="0"/>
        </w:rPr>
        <w:t xml:space="preserve"> of </w:t>
      </w:r>
      <w:r>
        <w:rPr>
          <w:kern w:val="0"/>
        </w:rPr>
        <w:t>rHuFVIIa for treating upper gastrointestinal bleeding in patients with liver disease. Although the results are based on trials with low risk</w:t>
      </w:r>
      <w:r w:rsidR="00427468">
        <w:rPr>
          <w:kern w:val="0"/>
        </w:rPr>
        <w:t xml:space="preserve"> of </w:t>
      </w:r>
      <w:r>
        <w:rPr>
          <w:kern w:val="0"/>
        </w:rPr>
        <w:t>bias, the heterogeneity</w:t>
      </w:r>
      <w:r w:rsidR="005853A9">
        <w:rPr>
          <w:kern w:val="0"/>
        </w:rPr>
        <w:t xml:space="preserve"> and </w:t>
      </w:r>
      <w:r>
        <w:rPr>
          <w:kern w:val="0"/>
        </w:rPr>
        <w:t>the small sample size result in rather large confidence intervals that cannot exclude the possibility that the intervention has some beneficial or harmful effect. Further trials with alow risk</w:t>
      </w:r>
      <w:r w:rsidR="00427468">
        <w:rPr>
          <w:kern w:val="0"/>
        </w:rPr>
        <w:t xml:space="preserve"> of </w:t>
      </w:r>
      <w:r>
        <w:rPr>
          <w:kern w:val="0"/>
        </w:rPr>
        <w:t>bias are required to make more confident conclusions about the effects</w:t>
      </w:r>
      <w:r w:rsidR="00427468">
        <w:rPr>
          <w:kern w:val="0"/>
        </w:rPr>
        <w:t xml:space="preserve"> of </w:t>
      </w:r>
      <w:r>
        <w:rPr>
          <w:kern w:val="0"/>
        </w:rPr>
        <w:t>the intervention.</w:t>
      </w:r>
    </w:p>
    <w:p w:rsidR="00365DE4" w:rsidRDefault="00365DE4" w:rsidP="00365DE4">
      <w:pPr>
        <w:pStyle w:val="a3"/>
        <w:rPr>
          <w:kern w:val="0"/>
        </w:rPr>
      </w:pPr>
      <w:r>
        <w:rPr>
          <w:kern w:val="0"/>
        </w:rPr>
        <w:t xml:space="preserve">Keywords: Administration, Analysis, Bias, Bleeding, Cirrhotic-Patients, Citation, Clinical, Clinical Trials, Coagulants [Therapeutic Use], Collection, Confidence, Confidence Intervals, Criteria, Data, Data Collection, Disease, Diseases, Effects, Electronic, Empirical-Evidence, Esophageal-Varices, Events, Evidence, Factor Viia [Therapeutic Use], Gastrointestinal Hemorrhage [Mortality, Hemorrhage, Heterogeneity, Human, Humans, Interval, Intervals, Intervention, Liver, Liver Diseases [Complications, Low, Low Risk, </w:t>
      </w:r>
      <w:r w:rsidR="00D5664A">
        <w:rPr>
          <w:kern w:val="0"/>
        </w:rPr>
        <w:t>MEDLINE</w:t>
      </w:r>
      <w:r>
        <w:rPr>
          <w:kern w:val="0"/>
        </w:rPr>
        <w:t xml:space="preserve">, Metaanalyses, Methods, Model, Mortality, Mortality], Patients, Placebo, Prothrombin Time, Quality, Random Effects Model, Randomised, Randomized-Trials, Recombinant Proteins [Therapeutic Use], Reference, Reference Lists, Reviews, Rfviia, Risk, Role, Sample Size, Sample-Size, Science, Science Citation Index, Science Citation Index Expanded, </w:t>
      </w:r>
      <w:r>
        <w:rPr>
          <w:kern w:val="0"/>
        </w:rPr>
        <w:lastRenderedPageBreak/>
        <w:t>Search, Size, Small, Support, Therapy]</w:t>
      </w:r>
    </w:p>
    <w:p w:rsidR="00365DE4" w:rsidRDefault="00365DE4" w:rsidP="00365DE4">
      <w:pPr>
        <w:pStyle w:val="a3"/>
        <w:rPr>
          <w:kern w:val="0"/>
        </w:rPr>
      </w:pPr>
      <w:r>
        <w:rPr>
          <w:kern w:val="0"/>
        </w:rPr>
        <w:t>? Bjelakovic, G., Nikolova, D., Gluud, L.L., Simonetti, R.G.</w:t>
      </w:r>
      <w:r w:rsidR="005853A9">
        <w:rPr>
          <w:kern w:val="0"/>
        </w:rPr>
        <w:t xml:space="preserve"> and </w:t>
      </w:r>
      <w:r>
        <w:rPr>
          <w:kern w:val="0"/>
        </w:rPr>
        <w:t>Gluud, C. (2012), Antioxidant supplements for prevention</w:t>
      </w:r>
      <w:r w:rsidR="00427468">
        <w:rPr>
          <w:kern w:val="0"/>
        </w:rPr>
        <w:t xml:space="preserve"> of </w:t>
      </w:r>
      <w:r>
        <w:rPr>
          <w:kern w:val="0"/>
        </w:rPr>
        <w:t>mortality in healthy participants</w:t>
      </w:r>
      <w:r w:rsidR="005853A9">
        <w:rPr>
          <w:kern w:val="0"/>
        </w:rPr>
        <w:t xml:space="preserve"> and </w:t>
      </w:r>
      <w:r>
        <w:rPr>
          <w:kern w:val="0"/>
        </w:rPr>
        <w:t xml:space="preserve">patients with various diseases.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CD007176.</w:t>
      </w:r>
    </w:p>
    <w:p w:rsidR="00365DE4" w:rsidRDefault="00365DE4" w:rsidP="00365DE4">
      <w:pPr>
        <w:pStyle w:val="a3"/>
        <w:rPr>
          <w:kern w:val="2"/>
        </w:rPr>
      </w:pPr>
      <w:r>
        <w:t xml:space="preserve">Full Text: </w:t>
      </w:r>
      <w:hyperlink r:id="rId737" w:history="1">
        <w:r>
          <w:rPr>
            <w:rStyle w:val="a5"/>
          </w:rPr>
          <w:t>2012\Coc Dat Sys Rev2012, CD007176.pdf</w:t>
        </w:r>
      </w:hyperlink>
    </w:p>
    <w:p w:rsidR="00365DE4" w:rsidRDefault="00365DE4" w:rsidP="00365DE4">
      <w:pPr>
        <w:pStyle w:val="a3"/>
        <w:rPr>
          <w:kern w:val="0"/>
        </w:rPr>
      </w:pPr>
      <w:r>
        <w:rPr>
          <w:kern w:val="0"/>
        </w:rPr>
        <w:t>Abstract: Background Our systematic review has demonstrated that antioxidant supplements may increase mortality. We have now updated this review. Objectives To assess the beneficial</w:t>
      </w:r>
      <w:r w:rsidR="005853A9">
        <w:rPr>
          <w:kern w:val="0"/>
        </w:rPr>
        <w:t xml:space="preserve"> and </w:t>
      </w:r>
      <w:r>
        <w:rPr>
          <w:kern w:val="0"/>
        </w:rPr>
        <w:t>harmful effects</w:t>
      </w:r>
      <w:r w:rsidR="00427468">
        <w:rPr>
          <w:kern w:val="0"/>
        </w:rPr>
        <w:t xml:space="preserve"> of </w:t>
      </w:r>
      <w:r>
        <w:rPr>
          <w:kern w:val="0"/>
        </w:rPr>
        <w:t>antioxidant supplements for prevention</w:t>
      </w:r>
      <w:r w:rsidR="00427468">
        <w:rPr>
          <w:kern w:val="0"/>
        </w:rPr>
        <w:t xml:space="preserve"> of </w:t>
      </w:r>
      <w:r>
        <w:rPr>
          <w:kern w:val="0"/>
        </w:rPr>
        <w:t xml:space="preserve">mortality in adults. Search methods We searched The Cochrane Library, </w:t>
      </w:r>
      <w:r w:rsidR="00D5664A">
        <w:rPr>
          <w:kern w:val="0"/>
        </w:rPr>
        <w:t>MEDLINE</w:t>
      </w:r>
      <w:r>
        <w:rPr>
          <w:kern w:val="0"/>
        </w:rPr>
        <w:t>, EMBASE, LILACS, the Science Citation Index Expanded,</w:t>
      </w:r>
      <w:r w:rsidR="005853A9">
        <w:rPr>
          <w:kern w:val="0"/>
        </w:rPr>
        <w:t xml:space="preserve"> and </w:t>
      </w:r>
      <w:r>
        <w:rPr>
          <w:kern w:val="0"/>
        </w:rPr>
        <w:t>Conference Proceedings Citation Index-Science to February 2011. We scanned bibliographies</w:t>
      </w:r>
      <w:r w:rsidR="00427468">
        <w:rPr>
          <w:kern w:val="0"/>
        </w:rPr>
        <w:t xml:space="preserve"> of </w:t>
      </w:r>
      <w:r>
        <w:rPr>
          <w:kern w:val="0"/>
        </w:rPr>
        <w:t>relevant publications</w:t>
      </w:r>
      <w:r w:rsidR="005853A9">
        <w:rPr>
          <w:kern w:val="0"/>
        </w:rPr>
        <w:t xml:space="preserve"> and </w:t>
      </w:r>
      <w:r>
        <w:rPr>
          <w:kern w:val="0"/>
        </w:rPr>
        <w:t>asked pharmaceutical companies for additional trials. Selection criteria We included all primary</w:t>
      </w:r>
      <w:r w:rsidR="005853A9">
        <w:rPr>
          <w:kern w:val="0"/>
        </w:rPr>
        <w:t xml:space="preserve"> and </w:t>
      </w:r>
      <w:r>
        <w:rPr>
          <w:kern w:val="0"/>
        </w:rPr>
        <w:t>secondary prevention randomised clinical trials on antioxidant supplements (beta-carotene, vitamin A, vitamin C, vitamin E,</w:t>
      </w:r>
      <w:r w:rsidR="005853A9">
        <w:rPr>
          <w:kern w:val="0"/>
        </w:rPr>
        <w:t xml:space="preserve"> and </w:t>
      </w:r>
      <w:r>
        <w:rPr>
          <w:kern w:val="0"/>
        </w:rPr>
        <w:t>selenium) versus placebo or no intervention. Data collection</w:t>
      </w:r>
      <w:r w:rsidR="005853A9">
        <w:rPr>
          <w:kern w:val="0"/>
        </w:rPr>
        <w:t xml:space="preserve"> and </w:t>
      </w:r>
      <w:r>
        <w:rPr>
          <w:kern w:val="0"/>
        </w:rPr>
        <w:t>analysis Three authors extracted data. Random-effects</w:t>
      </w:r>
      <w:r w:rsidR="005853A9">
        <w:rPr>
          <w:kern w:val="0"/>
        </w:rPr>
        <w:t xml:space="preserve"> and </w:t>
      </w:r>
      <w:r>
        <w:rPr>
          <w:kern w:val="0"/>
        </w:rPr>
        <w:t>fixed-effect model meta-analyses were conducted. Risk</w:t>
      </w:r>
      <w:r w:rsidR="00427468">
        <w:rPr>
          <w:kern w:val="0"/>
        </w:rPr>
        <w:t xml:space="preserve"> of </w:t>
      </w:r>
      <w:r>
        <w:rPr>
          <w:kern w:val="0"/>
        </w:rPr>
        <w:t>bias was considered in order to minimise the risk</w:t>
      </w:r>
      <w:r w:rsidR="00427468">
        <w:rPr>
          <w:kern w:val="0"/>
        </w:rPr>
        <w:t xml:space="preserve"> of </w:t>
      </w:r>
      <w:r>
        <w:rPr>
          <w:kern w:val="0"/>
        </w:rPr>
        <w:t>systematic errors. Trial sequential analyses were conducted to minimise the risk</w:t>
      </w:r>
      <w:r w:rsidR="00427468">
        <w:rPr>
          <w:kern w:val="0"/>
        </w:rPr>
        <w:t xml:space="preserve"> of </w:t>
      </w:r>
      <w:r>
        <w:rPr>
          <w:kern w:val="0"/>
        </w:rPr>
        <w:t>random errors. Random-effects model meta-regression analyses were performed to assess sources</w:t>
      </w:r>
      <w:r w:rsidR="00427468">
        <w:rPr>
          <w:kern w:val="0"/>
        </w:rPr>
        <w:t xml:space="preserve"> of </w:t>
      </w:r>
      <w:r>
        <w:rPr>
          <w:kern w:val="0"/>
        </w:rPr>
        <w:t>intertrial heterogeneity. Main results Seventy-eight randomised trials with 296,707 participants were included. Fifty-six trials including 244,056 participants had low risk</w:t>
      </w:r>
      <w:r w:rsidR="00427468">
        <w:rPr>
          <w:kern w:val="0"/>
        </w:rPr>
        <w:t xml:space="preserve"> of </w:t>
      </w:r>
      <w:r>
        <w:rPr>
          <w:kern w:val="0"/>
        </w:rPr>
        <w:t>bias. Twenty-six trials included 215,900 healthy participants. Fifty-two trials included 80,807 participants with various diseases in a stable phase</w:t>
      </w:r>
      <w:r w:rsidR="00A37C1D">
        <w:rPr>
          <w:kern w:val="0"/>
        </w:rPr>
        <w:t>. The</w:t>
      </w:r>
      <w:r>
        <w:rPr>
          <w:kern w:val="0"/>
        </w:rPr>
        <w:t xml:space="preserve"> mean age was 63 years (range 18 to 103 years)</w:t>
      </w:r>
      <w:r w:rsidR="00A37C1D">
        <w:rPr>
          <w:kern w:val="0"/>
        </w:rPr>
        <w:t>. The</w:t>
      </w:r>
      <w:r>
        <w:rPr>
          <w:kern w:val="0"/>
        </w:rPr>
        <w:t xml:space="preserve"> mean proportion</w:t>
      </w:r>
      <w:r w:rsidR="00427468">
        <w:rPr>
          <w:kern w:val="0"/>
        </w:rPr>
        <w:t xml:space="preserve"> of </w:t>
      </w:r>
      <w:r>
        <w:rPr>
          <w:kern w:val="0"/>
        </w:rPr>
        <w:t>women was 46%.</w:t>
      </w:r>
      <w:r w:rsidR="00427468">
        <w:rPr>
          <w:kern w:val="0"/>
        </w:rPr>
        <w:t xml:space="preserve"> of </w:t>
      </w:r>
      <w:r>
        <w:rPr>
          <w:kern w:val="0"/>
        </w:rPr>
        <w:t>the 78 trials, 46 used the parallel-group design, 30 the factorial design,</w:t>
      </w:r>
      <w:r w:rsidR="005853A9">
        <w:rPr>
          <w:kern w:val="0"/>
        </w:rPr>
        <w:t xml:space="preserve"> and </w:t>
      </w:r>
      <w:r>
        <w:rPr>
          <w:kern w:val="0"/>
        </w:rPr>
        <w:t>2 the cross-over design. All antioxidants were administered orally, either alone or in combination with vitamins, minerals, or other interventions</w:t>
      </w:r>
      <w:r w:rsidR="00A37C1D">
        <w:rPr>
          <w:kern w:val="0"/>
        </w:rPr>
        <w:t>. The</w:t>
      </w:r>
      <w:r>
        <w:rPr>
          <w:kern w:val="0"/>
        </w:rPr>
        <w:t xml:space="preserve"> duration</w:t>
      </w:r>
      <w:r w:rsidR="00427468">
        <w:rPr>
          <w:kern w:val="0"/>
        </w:rPr>
        <w:t xml:space="preserve"> of </w:t>
      </w:r>
      <w:r>
        <w:rPr>
          <w:kern w:val="0"/>
        </w:rPr>
        <w:t>supplementation varied from 28 days to 12 years (mean duration 3 years; median duration 2 years). Overall, the antioxidant supplements had no significant effect on mortality in a random-effects model meta-analysis (21,484 dead/183,749 (11.7%) versus 11,479 dead/112,958 (10.2%); 78 trials, relative risk (RR) 1.02, 95% confidence interval (CI) 0.98 to 1.05) but significantly increased mortality in a fixed-effect model (RR 1.03, 95% CI 1.01 to 1.05). Heterogeneity was low with an I-2-</w:t>
      </w:r>
      <w:r w:rsidR="00427468">
        <w:rPr>
          <w:kern w:val="0"/>
        </w:rPr>
        <w:t xml:space="preserve"> of </w:t>
      </w:r>
      <w:r>
        <w:rPr>
          <w:kern w:val="0"/>
        </w:rPr>
        <w:t>12%. In meta-regression analysis, the risk</w:t>
      </w:r>
      <w:r w:rsidR="00427468">
        <w:rPr>
          <w:kern w:val="0"/>
        </w:rPr>
        <w:t xml:space="preserve"> of </w:t>
      </w:r>
      <w:r>
        <w:rPr>
          <w:kern w:val="0"/>
        </w:rPr>
        <w:t>bias</w:t>
      </w:r>
      <w:r w:rsidR="005853A9">
        <w:rPr>
          <w:kern w:val="0"/>
        </w:rPr>
        <w:t xml:space="preserve"> and </w:t>
      </w:r>
      <w:r>
        <w:rPr>
          <w:kern w:val="0"/>
        </w:rPr>
        <w:t>type</w:t>
      </w:r>
      <w:r w:rsidR="00427468">
        <w:rPr>
          <w:kern w:val="0"/>
        </w:rPr>
        <w:t xml:space="preserve"> of </w:t>
      </w:r>
      <w:r>
        <w:rPr>
          <w:kern w:val="0"/>
        </w:rPr>
        <w:t>antioxidant supplement were the only significant predictors</w:t>
      </w:r>
      <w:r w:rsidR="00427468">
        <w:rPr>
          <w:kern w:val="0"/>
        </w:rPr>
        <w:t xml:space="preserve"> of </w:t>
      </w:r>
      <w:r>
        <w:rPr>
          <w:kern w:val="0"/>
        </w:rPr>
        <w:t>intertrial heterogeneity. Meta-regression analysis did not find a significant difference in the estimated intervention effect in the primary prevention</w:t>
      </w:r>
      <w:r w:rsidR="005853A9">
        <w:rPr>
          <w:kern w:val="0"/>
        </w:rPr>
        <w:t xml:space="preserve"> and </w:t>
      </w:r>
      <w:r>
        <w:rPr>
          <w:kern w:val="0"/>
        </w:rPr>
        <w:t>the secondary prevention trials. In the 56 trials with a low risk</w:t>
      </w:r>
      <w:r w:rsidR="00427468">
        <w:rPr>
          <w:kern w:val="0"/>
        </w:rPr>
        <w:t xml:space="preserve"> of </w:t>
      </w:r>
      <w:r>
        <w:rPr>
          <w:kern w:val="0"/>
        </w:rPr>
        <w:t xml:space="preserve">bias, the antioxidant </w:t>
      </w:r>
      <w:r>
        <w:rPr>
          <w:kern w:val="0"/>
        </w:rPr>
        <w:lastRenderedPageBreak/>
        <w:t>supplements significantly increased mortality (18,833 dead/146,320 (12.9%) versus 10,320 dead/97,736 (10.6%); RR 1.04, 95% CI 1.01 to 1.07). This effect was confirmed by trial sequential analysis. Excluding factorial trials with potential confounding showed that 38 trials with low risk</w:t>
      </w:r>
      <w:r w:rsidR="00427468">
        <w:rPr>
          <w:kern w:val="0"/>
        </w:rPr>
        <w:t xml:space="preserve"> of </w:t>
      </w:r>
      <w:r>
        <w:rPr>
          <w:kern w:val="0"/>
        </w:rPr>
        <w:t>bias demonstrated a significant increase in mortality (2822 dead/26,903 (10.5%) versus 2473 dead/26,052 (9.5%); RR 1.10, 95% CI 1.05 to 1.15). In trials with low risk</w:t>
      </w:r>
      <w:r w:rsidR="00427468">
        <w:rPr>
          <w:kern w:val="0"/>
        </w:rPr>
        <w:t xml:space="preserve"> of </w:t>
      </w:r>
      <w:r>
        <w:rPr>
          <w:kern w:val="0"/>
        </w:rPr>
        <w:t>bias, beta-carotene (13,202 dead/96,003 (13.8%) versus 8556 dead/77,003 (11.1%); 26 trials, RR 1.05, 95% CI 1.01 to 1.09)</w:t>
      </w:r>
      <w:r w:rsidR="005853A9">
        <w:rPr>
          <w:kern w:val="0"/>
        </w:rPr>
        <w:t xml:space="preserve"> and </w:t>
      </w:r>
      <w:r>
        <w:rPr>
          <w:kern w:val="0"/>
        </w:rPr>
        <w:t>vitamin E (11,689 dead/97,523 (12.0%) versus 7561 dead/73,721 (10.3%); 46 trials, RR 1.03, 95% CI 1.00 to 1.05) significantly increased mortality, whereas vitamin A (3444 dead/24,596 (14.0%) versus 2249 dead/16,548 (13.6%); 12 trials, RR 1.07, 95% CI 0.97 to 1.18), vitamin C (3637 dead/36,659 (9.9%) versus 2717 dead/29,283 (9.3%); 29 trials, RR 1.02, 95% CI 0.98 to 1.07),</w:t>
      </w:r>
      <w:r w:rsidR="005853A9">
        <w:rPr>
          <w:kern w:val="0"/>
        </w:rPr>
        <w:t xml:space="preserve"> and </w:t>
      </w:r>
      <w:r>
        <w:rPr>
          <w:kern w:val="0"/>
        </w:rPr>
        <w:t>selenium (2670 dead/39,779 (6.7%) versus 1468 dead/22,961 (6.4%); 17 trials, RR 0.97, 95% CI 0.91 to 1.03) did not significantly affect mortality. In univariate meta-regression analysis, the dose</w:t>
      </w:r>
      <w:r w:rsidR="00427468">
        <w:rPr>
          <w:kern w:val="0"/>
        </w:rPr>
        <w:t xml:space="preserve"> of </w:t>
      </w:r>
      <w:r>
        <w:rPr>
          <w:kern w:val="0"/>
        </w:rPr>
        <w:t>vitamin A was significantly associated with increased mortality (RR 1.0006, 95% CI 1.0002 to 1.001, P = 0.002). Authors</w:t>
      </w:r>
      <w:r w:rsidR="0071223E">
        <w:rPr>
          <w:kern w:val="0"/>
        </w:rPr>
        <w:t>’</w:t>
      </w:r>
      <w:r>
        <w:rPr>
          <w:kern w:val="0"/>
        </w:rPr>
        <w:t xml:space="preserve"> conclusions We found no evidence to support antioxidant supplements for primary or secondary prevention. Beta-carotene</w:t>
      </w:r>
      <w:r w:rsidR="005853A9">
        <w:rPr>
          <w:kern w:val="0"/>
        </w:rPr>
        <w:t xml:space="preserve"> and </w:t>
      </w:r>
      <w:r>
        <w:rPr>
          <w:kern w:val="0"/>
        </w:rPr>
        <w:t>vitamin E seem to increase mortality,</w:t>
      </w:r>
      <w:r w:rsidR="005853A9">
        <w:rPr>
          <w:kern w:val="0"/>
        </w:rPr>
        <w:t xml:space="preserve"> and </w:t>
      </w:r>
      <w:r>
        <w:rPr>
          <w:kern w:val="0"/>
        </w:rPr>
        <w:t>so may higher doses</w:t>
      </w:r>
      <w:r w:rsidR="00427468">
        <w:rPr>
          <w:kern w:val="0"/>
        </w:rPr>
        <w:t xml:space="preserve"> of </w:t>
      </w:r>
      <w:r>
        <w:rPr>
          <w:kern w:val="0"/>
        </w:rPr>
        <w:t>vitamin A. Antioxidant supplements need to be considered as medicinal products</w:t>
      </w:r>
      <w:r w:rsidR="005853A9">
        <w:rPr>
          <w:kern w:val="0"/>
        </w:rPr>
        <w:t xml:space="preserve"> and </w:t>
      </w:r>
      <w:r>
        <w:rPr>
          <w:kern w:val="0"/>
        </w:rPr>
        <w:t>should undergo sufficient evaluation before marketing.</w:t>
      </w:r>
    </w:p>
    <w:p w:rsidR="00365DE4" w:rsidRDefault="00365DE4" w:rsidP="00365DE4">
      <w:pPr>
        <w:pStyle w:val="a3"/>
        <w:rPr>
          <w:kern w:val="0"/>
        </w:rPr>
      </w:pPr>
      <w:r>
        <w:rPr>
          <w:kern w:val="0"/>
        </w:rPr>
        <w:t xml:space="preserve">Keywords: Adverse Effects], Age, Alpha-Tocopherol Supplementation, Analyses, Analysis, Antioxidant, Antioxidants, Antioxidants [Administration &amp; Dosage, Ascorbic Acid [Administration &amp; Dosage, Authors, Base-Line Characteristics, Beta Carotene, Beta Carotene [Administration &amp; Dosage, Beta-Carotene Supplementation, Bias, Bibliographies, Citation, Clinical, Clinical Trials, Collection, Conference, Confidence, Confounding, Criteria, Data, Data Collection, Design, Diseases, Duration, E Cancer Prevention, Effects, Errors, Evaluation, Evidence, Factorial Design, Health Status, Heterogeneity, Humans, Induced Oxidative Stress, Interval, Intervention, Interventions, Low, Low Risk, Low-Density-Lipoprotein, Marketing, </w:t>
      </w:r>
      <w:r w:rsidR="00D5664A">
        <w:rPr>
          <w:kern w:val="0"/>
        </w:rPr>
        <w:t>MEDLINE</w:t>
      </w:r>
      <w:r>
        <w:rPr>
          <w:kern w:val="0"/>
        </w:rPr>
        <w:t>, Meta-Analysis, Metaanalysis, Methods, Minerals, Model, Mortality, P, Patients, Placebo, Placebo-Controlled Trial, Potential, Predictors, Prevention, Primary, Primary Prevention, Primary Prevention [Methods], Publications, Random Effects Model, Randomised, Randomized Controlled Trials As Topic, Randomized-Controlled-Trial, Relative Risk, Retinol Efficacy Trial, Review, Risk, Science, Science Citation Index, Science Citation Index Expanded, Search, Selenium, Selenium [Administration &amp; Dosage, Sources, Support, Systematic Review, Trial, Vitamin A, Vitamin A [Administration &amp; Dosage, Vitamin C, Vitamin E, Vitamin E [Administration &amp; Dosage, Vitamin-E Supplementation, Women</w:t>
      </w:r>
    </w:p>
    <w:p w:rsidR="00365DE4" w:rsidRDefault="00365DE4" w:rsidP="00365DE4">
      <w:pPr>
        <w:pStyle w:val="a3"/>
        <w:rPr>
          <w:kern w:val="0"/>
        </w:rPr>
      </w:pPr>
      <w:r>
        <w:rPr>
          <w:kern w:val="0"/>
        </w:rPr>
        <w:t>? Moller, C.H., Penninga, L., Wetterslev, J., Steinbruchel, D.A.</w:t>
      </w:r>
      <w:r w:rsidR="005853A9">
        <w:rPr>
          <w:kern w:val="0"/>
        </w:rPr>
        <w:t xml:space="preserve"> and </w:t>
      </w:r>
      <w:r>
        <w:rPr>
          <w:kern w:val="0"/>
        </w:rPr>
        <w:t xml:space="preserve">Gluud, C. (2012), </w:t>
      </w:r>
      <w:r>
        <w:rPr>
          <w:kern w:val="0"/>
        </w:rPr>
        <w:lastRenderedPageBreak/>
        <w:t xml:space="preserve">Off-pump versus on-pump coronary artery bypass grafting for ischaemic heart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CD007224.</w:t>
      </w:r>
    </w:p>
    <w:p w:rsidR="00365DE4" w:rsidRDefault="00365DE4" w:rsidP="00365DE4">
      <w:pPr>
        <w:pStyle w:val="a3"/>
        <w:rPr>
          <w:kern w:val="2"/>
        </w:rPr>
      </w:pPr>
      <w:r>
        <w:t xml:space="preserve">Full Text: </w:t>
      </w:r>
      <w:hyperlink r:id="rId738" w:history="1">
        <w:r>
          <w:rPr>
            <w:rStyle w:val="a5"/>
          </w:rPr>
          <w:t>2012\Coc Dat Sys Rev2012, CD007224.pdf</w:t>
        </w:r>
      </w:hyperlink>
    </w:p>
    <w:p w:rsidR="00365DE4" w:rsidRDefault="00365DE4" w:rsidP="00365DE4">
      <w:pPr>
        <w:pStyle w:val="a3"/>
        <w:rPr>
          <w:kern w:val="0"/>
        </w:rPr>
      </w:pPr>
      <w:r>
        <w:rPr>
          <w:kern w:val="0"/>
        </w:rPr>
        <w:t>Abstract: Background Coronary artery bypass grafting (CABG) is performed both without</w:t>
      </w:r>
      <w:r w:rsidR="005853A9">
        <w:rPr>
          <w:kern w:val="0"/>
        </w:rPr>
        <w:t xml:space="preserve"> and </w:t>
      </w:r>
      <w:r>
        <w:rPr>
          <w:kern w:val="0"/>
        </w:rPr>
        <w:t>with cardiopulmonary bypass, referred to as off-pump</w:t>
      </w:r>
      <w:r w:rsidR="005853A9">
        <w:rPr>
          <w:kern w:val="0"/>
        </w:rPr>
        <w:t xml:space="preserve"> and </w:t>
      </w:r>
      <w:r>
        <w:rPr>
          <w:kern w:val="0"/>
        </w:rPr>
        <w:t>on-pump CABG respectively. However, the preferable technique is unclear. Objectives To assess the benefits</w:t>
      </w:r>
      <w:r w:rsidR="005853A9">
        <w:rPr>
          <w:kern w:val="0"/>
        </w:rPr>
        <w:t xml:space="preserve"> and </w:t>
      </w:r>
      <w:r>
        <w:rPr>
          <w:kern w:val="0"/>
        </w:rPr>
        <w:t>harms</w:t>
      </w:r>
      <w:r w:rsidR="00427468">
        <w:rPr>
          <w:kern w:val="0"/>
        </w:rPr>
        <w:t xml:space="preserve"> of </w:t>
      </w:r>
      <w:r>
        <w:rPr>
          <w:kern w:val="0"/>
        </w:rPr>
        <w:t>off-pump versus on-pump CABG in patients with ischaemic heart disease. Search methods We searched the Cochrane Central Register</w:t>
      </w:r>
      <w:r w:rsidR="00427468">
        <w:rPr>
          <w:kern w:val="0"/>
        </w:rPr>
        <w:t xml:space="preserve"> of </w:t>
      </w:r>
      <w:r>
        <w:rPr>
          <w:kern w:val="0"/>
        </w:rPr>
        <w:t xml:space="preserve">Controlled Trials (CENTRAL) on The Cochrane Library (Issue 1, 2011), </w:t>
      </w:r>
      <w:r w:rsidR="00D5664A">
        <w:rPr>
          <w:kern w:val="0"/>
        </w:rPr>
        <w:t>MEDLINE</w:t>
      </w:r>
      <w:r>
        <w:rPr>
          <w:kern w:val="0"/>
        </w:rPr>
        <w:t xml:space="preserve"> (OVID, 1950 to February 2011), EMBASE (OVID, 1980 to February 2011), Science Citation Index Expanded on ISI </w:t>
      </w:r>
      <w:r w:rsidR="00D5664A">
        <w:rPr>
          <w:kern w:val="0"/>
        </w:rPr>
        <w:t>Web</w:t>
      </w:r>
      <w:r w:rsidR="00427468">
        <w:rPr>
          <w:kern w:val="0"/>
        </w:rPr>
        <w:t xml:space="preserve"> of </w:t>
      </w:r>
      <w:r w:rsidR="00D5664A">
        <w:rPr>
          <w:kern w:val="0"/>
        </w:rPr>
        <w:t>Science</w:t>
      </w:r>
      <w:r>
        <w:rPr>
          <w:kern w:val="0"/>
        </w:rPr>
        <w:t xml:space="preserve"> (1970 to February 2011)</w:t>
      </w:r>
      <w:r w:rsidR="005853A9">
        <w:rPr>
          <w:kern w:val="0"/>
        </w:rPr>
        <w:t xml:space="preserve"> and </w:t>
      </w:r>
      <w:r>
        <w:rPr>
          <w:kern w:val="0"/>
        </w:rPr>
        <w:t>CINAHL (EBSCOhost, 1981 to February 2011) on 2 February 2011. No language restrictions were applied. Selection criteria Randomised clinical trials</w:t>
      </w:r>
      <w:r w:rsidR="00427468">
        <w:rPr>
          <w:kern w:val="0"/>
        </w:rPr>
        <w:t xml:space="preserve"> of </w:t>
      </w:r>
      <w:r>
        <w:rPr>
          <w:kern w:val="0"/>
        </w:rPr>
        <w:t>off-pump versus on-pump CABG irrespective</w:t>
      </w:r>
      <w:r w:rsidR="00427468">
        <w:rPr>
          <w:kern w:val="0"/>
        </w:rPr>
        <w:t xml:space="preserve"> of </w:t>
      </w:r>
      <w:r>
        <w:rPr>
          <w:kern w:val="0"/>
        </w:rPr>
        <w:t>language, publication status</w:t>
      </w:r>
      <w:r w:rsidR="005853A9">
        <w:rPr>
          <w:kern w:val="0"/>
        </w:rPr>
        <w:t xml:space="preserve"> and </w:t>
      </w:r>
      <w:r>
        <w:rPr>
          <w:kern w:val="0"/>
        </w:rPr>
        <w:t>blinding were selected for inclusion. Data collection</w:t>
      </w:r>
      <w:r w:rsidR="005853A9">
        <w:rPr>
          <w:kern w:val="0"/>
        </w:rPr>
        <w:t xml:space="preserve"> and </w:t>
      </w:r>
      <w:r>
        <w:rPr>
          <w:kern w:val="0"/>
        </w:rPr>
        <w:t>analysis For statistical analysis</w:t>
      </w:r>
      <w:r w:rsidR="00427468">
        <w:rPr>
          <w:kern w:val="0"/>
        </w:rPr>
        <w:t xml:space="preserve"> of </w:t>
      </w:r>
      <w:r>
        <w:rPr>
          <w:kern w:val="0"/>
        </w:rPr>
        <w:t>dichotomous data risk ratio (RR)</w:t>
      </w:r>
      <w:r w:rsidR="005853A9">
        <w:rPr>
          <w:kern w:val="0"/>
        </w:rPr>
        <w:t xml:space="preserve"> and </w:t>
      </w:r>
      <w:r>
        <w:rPr>
          <w:kern w:val="0"/>
        </w:rPr>
        <w:t>for continuous data mean difference (MD) with 95% confidence intervals (CI) were used. Trial sequential analysis (TSA) was used for analysis to assess the risk</w:t>
      </w:r>
      <w:r w:rsidR="00427468">
        <w:rPr>
          <w:kern w:val="0"/>
        </w:rPr>
        <w:t xml:space="preserve"> of </w:t>
      </w:r>
      <w:r>
        <w:rPr>
          <w:kern w:val="0"/>
        </w:rPr>
        <w:t>random error due to sparse data</w:t>
      </w:r>
      <w:r w:rsidR="005853A9">
        <w:rPr>
          <w:kern w:val="0"/>
        </w:rPr>
        <w:t xml:space="preserve"> and </w:t>
      </w:r>
      <w:r>
        <w:rPr>
          <w:kern w:val="0"/>
        </w:rPr>
        <w:t>to multiple updating</w:t>
      </w:r>
      <w:r w:rsidR="00427468">
        <w:rPr>
          <w:kern w:val="0"/>
        </w:rPr>
        <w:t xml:space="preserve"> of </w:t>
      </w:r>
      <w:r>
        <w:rPr>
          <w:kern w:val="0"/>
        </w:rPr>
        <w:t>accumulating data. Main results Eighty-six trials (10,716 participants) were included. Ten trials (4,950 participants) were considered to be low risk</w:t>
      </w:r>
      <w:r w:rsidR="00427468">
        <w:rPr>
          <w:kern w:val="0"/>
        </w:rPr>
        <w:t xml:space="preserve"> of </w:t>
      </w:r>
      <w:r>
        <w:rPr>
          <w:kern w:val="0"/>
        </w:rPr>
        <w:t>bias. Pooled analysis</w:t>
      </w:r>
      <w:r w:rsidR="00427468">
        <w:rPr>
          <w:kern w:val="0"/>
        </w:rPr>
        <w:t xml:space="preserve"> of </w:t>
      </w:r>
      <w:r>
        <w:rPr>
          <w:kern w:val="0"/>
        </w:rPr>
        <w:t>all trials showed that off-pump CABG increased all-cause mortality compared with on-pump CABG (189/5,180 (3.7%) versus 160/5144 (3.1%); RR 1.24, 95% CI 1.01 to 1.53; P=.04). In the trials at low risk</w:t>
      </w:r>
      <w:r w:rsidR="00427468">
        <w:rPr>
          <w:kern w:val="0"/>
        </w:rPr>
        <w:t xml:space="preserve"> of </w:t>
      </w:r>
      <w:r>
        <w:rPr>
          <w:kern w:val="0"/>
        </w:rPr>
        <w:t>bias the effect was more pronounced (154/2,485 (6.2%) versus 113/2,465 (4.6%), RR 1.35,95% CI 1.07 to 1.70; P=.01). TSA showed that the risk</w:t>
      </w:r>
      <w:r w:rsidR="00427468">
        <w:rPr>
          <w:kern w:val="0"/>
        </w:rPr>
        <w:t xml:space="preserve"> of </w:t>
      </w:r>
      <w:r>
        <w:rPr>
          <w:kern w:val="0"/>
        </w:rPr>
        <w:t>random error on the result was unlikely. Off-pump CABG resulted in fewer distal anastomoses (MD -0.28; 95% CI -0.40 to -0.16, P&lt;.00001). No significant differences in myocardial infarction, stroke, renal insufficiency, or coronary re-intervention were observed. Off-pump CABG reduced post-operative atrial fibrillation compared with on-pump CABG, however, in trials at low risk</w:t>
      </w:r>
      <w:r w:rsidR="00427468">
        <w:rPr>
          <w:kern w:val="0"/>
        </w:rPr>
        <w:t xml:space="preserve"> of </w:t>
      </w:r>
      <w:r>
        <w:rPr>
          <w:kern w:val="0"/>
        </w:rPr>
        <w:t>bias, the estimated effect was not significantly different. Authors</w:t>
      </w:r>
      <w:r w:rsidR="0071223E">
        <w:rPr>
          <w:kern w:val="0"/>
        </w:rPr>
        <w:t>’</w:t>
      </w:r>
      <w:r>
        <w:rPr>
          <w:kern w:val="0"/>
        </w:rPr>
        <w:t xml:space="preserve"> conclusions Our systematic review did not demonstrate any significant benefit</w:t>
      </w:r>
      <w:r w:rsidR="00427468">
        <w:rPr>
          <w:kern w:val="0"/>
        </w:rPr>
        <w:t xml:space="preserve"> of </w:t>
      </w:r>
      <w:r>
        <w:rPr>
          <w:kern w:val="0"/>
        </w:rPr>
        <w:t>off-pump compared with on-pump CABG regarding mortality, stroke, or myocardial infarction. In contrast, we observed better long-term survival in the group</w:t>
      </w:r>
      <w:r w:rsidR="00427468">
        <w:rPr>
          <w:kern w:val="0"/>
        </w:rPr>
        <w:t xml:space="preserve"> of </w:t>
      </w:r>
      <w:r>
        <w:rPr>
          <w:kern w:val="0"/>
        </w:rPr>
        <w:t>patients undergoing on-pump CABG with the use</w:t>
      </w:r>
      <w:r w:rsidR="00427468">
        <w:rPr>
          <w:kern w:val="0"/>
        </w:rPr>
        <w:t xml:space="preserve"> of </w:t>
      </w:r>
      <w:r>
        <w:rPr>
          <w:kern w:val="0"/>
        </w:rPr>
        <w:t>cardiopulmonary bypass</w:t>
      </w:r>
      <w:r w:rsidR="005853A9">
        <w:rPr>
          <w:kern w:val="0"/>
        </w:rPr>
        <w:t xml:space="preserve"> and </w:t>
      </w:r>
      <w:r>
        <w:rPr>
          <w:kern w:val="0"/>
        </w:rPr>
        <w:t>cardioplegic arrest. Based on the current evidence, on-pump CABG should continue to be the standard surgical treatment. However, off-pump CABG may be acceptable when there are contraindications for cannulation</w:t>
      </w:r>
      <w:r w:rsidR="00427468">
        <w:rPr>
          <w:kern w:val="0"/>
        </w:rPr>
        <w:t xml:space="preserve"> of </w:t>
      </w:r>
      <w:r>
        <w:rPr>
          <w:kern w:val="0"/>
        </w:rPr>
        <w:t>the aorta</w:t>
      </w:r>
      <w:r w:rsidR="005853A9">
        <w:rPr>
          <w:kern w:val="0"/>
        </w:rPr>
        <w:t xml:space="preserve"> and </w:t>
      </w:r>
      <w:r>
        <w:rPr>
          <w:kern w:val="0"/>
        </w:rPr>
        <w:t>cardiopulmonary bypass. Further randomised clinical trials should address the optimal treatment in such patients.</w:t>
      </w:r>
    </w:p>
    <w:p w:rsidR="00365DE4" w:rsidRDefault="00365DE4" w:rsidP="00365DE4">
      <w:pPr>
        <w:pStyle w:val="a3"/>
        <w:rPr>
          <w:kern w:val="0"/>
        </w:rPr>
      </w:pPr>
      <w:r>
        <w:rPr>
          <w:kern w:val="0"/>
        </w:rPr>
        <w:lastRenderedPageBreak/>
        <w:t>Keywords: Acid-Binding Protein, Analysis, Artery, Atrial Fibrillation, Beating-Heart, Bias, Cardiac Troponin-I, Cardiopulmonary, Cardiopulmonary Bypass, Citation, Clinical, Clinical Trials, Collection, Confidence, Confidence Intervals, Contraindications, Coronary Artery, Coronary Artery Bypass Grafting, Criteria, Data, Data Collection, Disease, Error, Evidence, Grafting, Heart, High-Risk Patients, Inclusion, Infarction, Inflammatory Response, Intervals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Long Term, Long-Term, Low, Low Risk, </w:t>
      </w:r>
      <w:r w:rsidR="00D5664A">
        <w:rPr>
          <w:kern w:val="0"/>
        </w:rPr>
        <w:t>MEDLINE</w:t>
      </w:r>
      <w:r>
        <w:rPr>
          <w:kern w:val="0"/>
        </w:rPr>
        <w:t xml:space="preserve">, Methods, Mortality, Myocardial Infarction, Myocardial Revascularization, Off Pump, Patients, Peripheral Tissue Metabolism, Postoperative, Publication, Randomised, Randomized Controlled-Trial, Renal, Renal Insufficiency, Restrictions, Review, Right-Ventricular Function, Risk, Science, Science Citation Index, Science Citation Index Expanded, Search, Standard, Statistical Analysis, Stroke, Surgical Treatment, Survival, Systematic Review,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Keay, L., Lindsley, K., Tielsch, J., Katz, J.</w:t>
      </w:r>
      <w:r w:rsidR="005853A9">
        <w:rPr>
          <w:kern w:val="0"/>
        </w:rPr>
        <w:t xml:space="preserve"> and </w:t>
      </w:r>
      <w:r>
        <w:rPr>
          <w:kern w:val="0"/>
        </w:rPr>
        <w:t xml:space="preserve">Schein, O. (2012), Routine preoperative medical testing for cataract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CD007293.</w:t>
      </w:r>
    </w:p>
    <w:p w:rsidR="00365DE4" w:rsidRDefault="00365DE4" w:rsidP="00365DE4">
      <w:pPr>
        <w:pStyle w:val="a3"/>
        <w:rPr>
          <w:kern w:val="2"/>
        </w:rPr>
      </w:pPr>
      <w:r>
        <w:t xml:space="preserve">Full Text: </w:t>
      </w:r>
      <w:hyperlink r:id="rId739" w:history="1">
        <w:r>
          <w:rPr>
            <w:rStyle w:val="a5"/>
          </w:rPr>
          <w:t>2012\Coc Dat Sys Rev2012, CD007293.pdf</w:t>
        </w:r>
      </w:hyperlink>
    </w:p>
    <w:p w:rsidR="00365DE4" w:rsidRDefault="00365DE4" w:rsidP="00365DE4">
      <w:pPr>
        <w:pStyle w:val="a3"/>
        <w:rPr>
          <w:kern w:val="0"/>
        </w:rPr>
      </w:pPr>
      <w:r>
        <w:rPr>
          <w:kern w:val="0"/>
        </w:rPr>
        <w:t>Abstract: Background Cataract surgery is practiced widely</w:t>
      </w:r>
      <w:r w:rsidR="005853A9">
        <w:rPr>
          <w:kern w:val="0"/>
        </w:rPr>
        <w:t xml:space="preserve"> and </w:t>
      </w:r>
      <w:r>
        <w:rPr>
          <w:kern w:val="0"/>
        </w:rPr>
        <w:t>substantial resources are committed to an increasing cataract surgical rate in developing countries. With the current volume</w:t>
      </w:r>
      <w:r w:rsidR="00427468">
        <w:rPr>
          <w:kern w:val="0"/>
        </w:rPr>
        <w:t xml:space="preserve"> of </w:t>
      </w:r>
      <w:r>
        <w:rPr>
          <w:kern w:val="0"/>
        </w:rPr>
        <w:t>cataract surgery</w:t>
      </w:r>
      <w:r w:rsidR="005853A9">
        <w:rPr>
          <w:kern w:val="0"/>
        </w:rPr>
        <w:t xml:space="preserve"> and </w:t>
      </w:r>
      <w:r>
        <w:rPr>
          <w:kern w:val="0"/>
        </w:rPr>
        <w:t>the increases in the future, it is critical to optimize the safety</w:t>
      </w:r>
      <w:r w:rsidR="005853A9">
        <w:rPr>
          <w:kern w:val="0"/>
        </w:rPr>
        <w:t xml:space="preserve"> and </w:t>
      </w:r>
      <w:r>
        <w:rPr>
          <w:kern w:val="0"/>
        </w:rPr>
        <w:t>cost-effectiveness</w:t>
      </w:r>
      <w:r w:rsidR="00427468">
        <w:rPr>
          <w:kern w:val="0"/>
        </w:rPr>
        <w:t xml:space="preserve"> of </w:t>
      </w:r>
      <w:r>
        <w:rPr>
          <w:kern w:val="0"/>
        </w:rPr>
        <w:t>this procedure. Most cataracts are performed on older individuals with correspondingly high systemic</w:t>
      </w:r>
      <w:r w:rsidR="005853A9">
        <w:rPr>
          <w:kern w:val="0"/>
        </w:rPr>
        <w:t xml:space="preserve"> and </w:t>
      </w:r>
      <w:r>
        <w:rPr>
          <w:kern w:val="0"/>
        </w:rPr>
        <w:t>ocular comorbidities. It is likely that routine preoperative medical testing will detect medical conditions, but it is questionable whether these conditions should preclude individuals from cataract surgery or change their perioperative management. Objectives (1) To investigate the evidence for reductions in adverse events through preoperative medical testing,</w:t>
      </w:r>
      <w:r w:rsidR="005853A9">
        <w:rPr>
          <w:kern w:val="0"/>
        </w:rPr>
        <w:t xml:space="preserve"> and </w:t>
      </w:r>
      <w:r>
        <w:rPr>
          <w:kern w:val="0"/>
        </w:rPr>
        <w:t>(2) to estimate the average cost</w:t>
      </w:r>
      <w:r w:rsidR="00427468">
        <w:rPr>
          <w:kern w:val="0"/>
        </w:rPr>
        <w:t xml:space="preserve"> of </w:t>
      </w:r>
      <w:r>
        <w:rPr>
          <w:kern w:val="0"/>
        </w:rPr>
        <w:t>performing routine medical testing. Search methods We searched CENTRAL (which contains the Cochrane Eyes</w:t>
      </w:r>
      <w:r w:rsidR="005853A9">
        <w:rPr>
          <w:kern w:val="0"/>
        </w:rPr>
        <w:t xml:space="preserve"> and </w:t>
      </w:r>
      <w:r>
        <w:rPr>
          <w:kern w:val="0"/>
        </w:rPr>
        <w:t xml:space="preserve">Vision Group Trials Register) (The Cochrane Library 2011, Issue 12), </w:t>
      </w:r>
      <w:r w:rsidR="00D5664A">
        <w:rPr>
          <w:kern w:val="0"/>
        </w:rPr>
        <w:t>MEDLINE</w:t>
      </w:r>
      <w:r>
        <w:rPr>
          <w:kern w:val="0"/>
        </w:rPr>
        <w:t xml:space="preserve"> (January 1950 to December 2011), EMBASE (January 1980 to December 2011), Latin American</w:t>
      </w:r>
      <w:r w:rsidR="005853A9">
        <w:rPr>
          <w:kern w:val="0"/>
        </w:rPr>
        <w:t xml:space="preserve"> and </w:t>
      </w:r>
      <w:r>
        <w:rPr>
          <w:kern w:val="0"/>
        </w:rPr>
        <w:t>Caribbean Literature on Health Sciences (LILACS) (January 1982 to December 2011),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w:t>
      </w:r>
      <w:r w:rsidR="00A37C1D">
        <w:rPr>
          <w:kern w:val="0"/>
        </w:rPr>
        <w:t>. The</w:t>
      </w:r>
      <w:r>
        <w:rPr>
          <w:kern w:val="0"/>
        </w:rPr>
        <w:t>re were no date or language restrictions in the electronic searches for trials</w:t>
      </w:r>
      <w:r w:rsidR="00A37C1D">
        <w:rPr>
          <w:kern w:val="0"/>
        </w:rPr>
        <w:t>. The</w:t>
      </w:r>
      <w:r>
        <w:rPr>
          <w:kern w:val="0"/>
        </w:rPr>
        <w:t xml:space="preserve"> electronic databases were last searched on 9 December 2011. We used reference lists</w:t>
      </w:r>
      <w:r w:rsidR="005853A9">
        <w:rPr>
          <w:kern w:val="0"/>
        </w:rPr>
        <w:t xml:space="preserve"> and </w:t>
      </w:r>
      <w:r>
        <w:rPr>
          <w:kern w:val="0"/>
        </w:rPr>
        <w:t xml:space="preserve">the Science Citation Index to search for additional studies. Selection criteria We included randomized clinical trials in which routine preoperative medical testing was compared to no preoperative or selective </w:t>
      </w:r>
      <w:r>
        <w:rPr>
          <w:kern w:val="0"/>
        </w:rPr>
        <w:lastRenderedPageBreak/>
        <w:t>preoperative testing prior to age-related cataract surgery. Data collection</w:t>
      </w:r>
      <w:r w:rsidR="005853A9">
        <w:rPr>
          <w:kern w:val="0"/>
        </w:rPr>
        <w:t xml:space="preserve"> and </w:t>
      </w:r>
      <w:r>
        <w:rPr>
          <w:kern w:val="0"/>
        </w:rPr>
        <w:t>analysis Two review authors independently assessed abstracts to identify possible trials for inclusion. For each included study, two review authors independently documented study characteristics, extracted data,</w:t>
      </w:r>
      <w:r w:rsidR="005853A9">
        <w:rPr>
          <w:kern w:val="0"/>
        </w:rPr>
        <w:t xml:space="preserve"> and </w:t>
      </w:r>
      <w:r>
        <w:rPr>
          <w:kern w:val="0"/>
        </w:rPr>
        <w:t>assessed methodological quality. Main results The three randomized clinical trials included in this review reported results for 21,531 total cataract surgeries with 707 total surgery-associated medical adverse events, including 61 hospitalizations</w:t>
      </w:r>
      <w:r w:rsidR="005853A9">
        <w:rPr>
          <w:kern w:val="0"/>
        </w:rPr>
        <w:t xml:space="preserve"> and </w:t>
      </w:r>
      <w:r>
        <w:rPr>
          <w:kern w:val="0"/>
        </w:rPr>
        <w:t>three deaths.</w:t>
      </w:r>
      <w:r w:rsidR="00427468">
        <w:rPr>
          <w:kern w:val="0"/>
        </w:rPr>
        <w:t xml:space="preserve"> of </w:t>
      </w:r>
      <w:r>
        <w:rPr>
          <w:kern w:val="0"/>
        </w:rPr>
        <w:t>the 707 medical adverse events reported, 353 occurred in the pretesting group</w:t>
      </w:r>
      <w:r w:rsidR="005853A9">
        <w:rPr>
          <w:kern w:val="0"/>
        </w:rPr>
        <w:t xml:space="preserve"> and </w:t>
      </w:r>
      <w:r>
        <w:rPr>
          <w:kern w:val="0"/>
        </w:rPr>
        <w:t>354 occurred in the no testing group. Most events were cardiovascular</w:t>
      </w:r>
      <w:r w:rsidR="005853A9">
        <w:rPr>
          <w:kern w:val="0"/>
        </w:rPr>
        <w:t xml:space="preserve"> and </w:t>
      </w:r>
      <w:r>
        <w:rPr>
          <w:kern w:val="0"/>
        </w:rPr>
        <w:t>occurred during the intraoperative period. Routine preoperative medical testing did not reduce the risk</w:t>
      </w:r>
      <w:r w:rsidR="00427468">
        <w:rPr>
          <w:kern w:val="0"/>
        </w:rPr>
        <w:t xml:space="preserve"> of </w:t>
      </w:r>
      <w:r>
        <w:rPr>
          <w:kern w:val="0"/>
        </w:rPr>
        <w:t>intraoperative (OR 1.02, 95% CI 0.85 to 1.22) or postoperative medical adverse events (OR 0.96, 95% CI 0.74 to 1.24) when compared to selective or no testing. Cost savings were evaluated in one study which estimated the costs to be 2.55 times higher in those with preoperative medical testing compared to those without preoperative medical testing</w:t>
      </w:r>
      <w:r w:rsidR="00A37C1D">
        <w:rPr>
          <w:kern w:val="0"/>
        </w:rPr>
        <w:t>. The</w:t>
      </w:r>
      <w:r>
        <w:rPr>
          <w:kern w:val="0"/>
        </w:rPr>
        <w:t>re was no difference in cancellation</w:t>
      </w:r>
      <w:r w:rsidR="00427468">
        <w:rPr>
          <w:kern w:val="0"/>
        </w:rPr>
        <w:t xml:space="preserve"> of </w:t>
      </w:r>
      <w:r>
        <w:rPr>
          <w:kern w:val="0"/>
        </w:rPr>
        <w:t>surgery between those with preoperative medical testing</w:t>
      </w:r>
      <w:r w:rsidR="005853A9">
        <w:rPr>
          <w:kern w:val="0"/>
        </w:rPr>
        <w:t xml:space="preserve"> and </w:t>
      </w:r>
      <w:r>
        <w:rPr>
          <w:kern w:val="0"/>
        </w:rPr>
        <w:t>those with no or limited preoperative testing, reported by two studies. Authors</w:t>
      </w:r>
      <w:r w:rsidR="0071223E">
        <w:rPr>
          <w:kern w:val="0"/>
        </w:rPr>
        <w:t>’</w:t>
      </w:r>
      <w:r>
        <w:rPr>
          <w:kern w:val="0"/>
        </w:rPr>
        <w:t xml:space="preserve"> conclusions This review has shown that routine pre-operative testing does not increase the safety</w:t>
      </w:r>
      <w:r w:rsidR="00427468">
        <w:rPr>
          <w:kern w:val="0"/>
        </w:rPr>
        <w:t xml:space="preserve"> of </w:t>
      </w:r>
      <w:r>
        <w:rPr>
          <w:kern w:val="0"/>
        </w:rPr>
        <w:t>cataract surgery. Alternatives to routine preoperative medical testing have been proposed, including self-administered health questionnaires, which could substitute for health provider histories</w:t>
      </w:r>
      <w:r w:rsidR="005853A9">
        <w:rPr>
          <w:kern w:val="0"/>
        </w:rPr>
        <w:t xml:space="preserve"> and </w:t>
      </w:r>
      <w:r>
        <w:rPr>
          <w:kern w:val="0"/>
        </w:rPr>
        <w:t>physical examinations. Such avenues may lead to cost-effective means</w:t>
      </w:r>
      <w:r w:rsidR="00427468">
        <w:rPr>
          <w:kern w:val="0"/>
        </w:rPr>
        <w:t xml:space="preserve"> of </w:t>
      </w:r>
      <w:r>
        <w:rPr>
          <w:kern w:val="0"/>
        </w:rPr>
        <w:t>identifying those at increased risk</w:t>
      </w:r>
      <w:r w:rsidR="00427468">
        <w:rPr>
          <w:kern w:val="0"/>
        </w:rPr>
        <w:t xml:space="preserve"> of </w:t>
      </w:r>
      <w:r>
        <w:rPr>
          <w:kern w:val="0"/>
        </w:rPr>
        <w:t>medical adverse events due to cataract surgery. However, despite the rare occurrence, adverse medical events precipitated by cataract surgery remain a concern because</w:t>
      </w:r>
      <w:r w:rsidR="00427468">
        <w:rPr>
          <w:kern w:val="0"/>
        </w:rPr>
        <w:t xml:space="preserve"> of </w:t>
      </w:r>
      <w:r>
        <w:rPr>
          <w:kern w:val="0"/>
        </w:rPr>
        <w:t>the large number</w:t>
      </w:r>
      <w:r w:rsidR="00427468">
        <w:rPr>
          <w:kern w:val="0"/>
        </w:rPr>
        <w:t xml:space="preserve"> of </w:t>
      </w:r>
      <w:r>
        <w:rPr>
          <w:kern w:val="0"/>
        </w:rPr>
        <w:t>elderly patients with multiple medical comorbidities who have cataract surgery in various settings</w:t>
      </w:r>
      <w:r w:rsidR="00A37C1D">
        <w:rPr>
          <w:kern w:val="0"/>
        </w:rPr>
        <w:t>. The</w:t>
      </w:r>
      <w:r>
        <w:rPr>
          <w:kern w:val="0"/>
        </w:rPr>
        <w:t xml:space="preserve"> studies summarized in this review should assist recommendations for the standard</w:t>
      </w:r>
      <w:r w:rsidR="00427468">
        <w:rPr>
          <w:kern w:val="0"/>
        </w:rPr>
        <w:t xml:space="preserve"> of </w:t>
      </w:r>
      <w:r>
        <w:rPr>
          <w:kern w:val="0"/>
        </w:rPr>
        <w:t>care</w:t>
      </w:r>
      <w:r w:rsidR="00427468">
        <w:rPr>
          <w:kern w:val="0"/>
        </w:rPr>
        <w:t xml:space="preserve"> of </w:t>
      </w:r>
      <w:r>
        <w:rPr>
          <w:kern w:val="0"/>
        </w:rPr>
        <w:t>cataract surgery, at least in developed settings. Unfortunately, in developing country settings, medical history questionnaires would be useless to screen for risk since few people have ever been to a physician, let alone been diagnosed with any chronic disease.</w:t>
      </w:r>
    </w:p>
    <w:p w:rsidR="00365DE4" w:rsidRDefault="00365DE4" w:rsidP="00365DE4">
      <w:pPr>
        <w:pStyle w:val="a3"/>
        <w:rPr>
          <w:kern w:val="0"/>
        </w:rPr>
      </w:pPr>
      <w:r>
        <w:rPr>
          <w:kern w:val="0"/>
        </w:rPr>
        <w:t xml:space="preserve">Keywords: Aged, Analysis, Anesthesiologists, Authors, Cardiovascular, Care, Cataract Extraction [Adverse Effects, Cataract Surgery, Characteristics, Chronic, Chronic Disease, Citation, Clinical, Clinical Trials, Collection, Cost, Cost Effectiveness, Cost Savings, Cost-Effective, Cost-Effectiveness, Costs, Countries, Country, Criteria, Data, Data Collection, Databases, Developing, Developing Countries, Developing Country, Diagnostic Tests,Routine [Economics], Disease, Economics], Elderly, Electronic, Events, Evidence, Health, Health Questionnaires, History, Hospitalization [Statistics &amp; Numerical Data], Humans, Impact, Inclusion, Intraoperative Complications [Prevention &amp; Control], Lead, Literature, Management, Medical, </w:t>
      </w:r>
      <w:r>
        <w:rPr>
          <w:kern w:val="0"/>
        </w:rPr>
        <w:lastRenderedPageBreak/>
        <w:t xml:space="preserve">Medical History, </w:t>
      </w:r>
      <w:r w:rsidR="00D5664A">
        <w:rPr>
          <w:kern w:val="0"/>
        </w:rPr>
        <w:t>MEDLINE</w:t>
      </w:r>
      <w:r>
        <w:rPr>
          <w:kern w:val="0"/>
        </w:rPr>
        <w:t>, Methods, Morbidity, Outcomes, Patients, Perioperative Management, Physical, Physical Examinations, Physician, Postoperative, Postoperative Complications [Prevention &amp; Control], Preoperative, Procedure, Quality, Questionnaires, Randomized, Randomized Clinical Trials, Randomized Controlled Trials As Topic, Recommendations, Reference, Reference Lists, Resources, Restrictions, Review, Risk, Safety, Science, Science Citation Index, Search, Standard, Standard</w:t>
      </w:r>
      <w:r w:rsidR="00427468">
        <w:rPr>
          <w:kern w:val="0"/>
        </w:rPr>
        <w:t xml:space="preserve"> of </w:t>
      </w:r>
      <w:r>
        <w:rPr>
          <w:kern w:val="0"/>
        </w:rPr>
        <w:t>Care, Surgery, Testing, Volume</w:t>
      </w:r>
    </w:p>
    <w:p w:rsidR="00365DE4" w:rsidRDefault="00365DE4" w:rsidP="00365DE4">
      <w:pPr>
        <w:pStyle w:val="a3"/>
        <w:rPr>
          <w:kern w:val="0"/>
        </w:rPr>
      </w:pPr>
      <w:r>
        <w:rPr>
          <w:kern w:val="0"/>
        </w:rPr>
        <w:t>? Gur</w:t>
      </w:r>
      <w:r w:rsidR="00D5664A">
        <w:rPr>
          <w:kern w:val="0"/>
        </w:rPr>
        <w:t>USA</w:t>
      </w:r>
      <w:r>
        <w:rPr>
          <w:kern w:val="0"/>
        </w:rPr>
        <w:t>my, K.S., Naik, P., Abu-Amara, M., Fuller, B.</w:t>
      </w:r>
      <w:r w:rsidR="005853A9">
        <w:rPr>
          <w:kern w:val="0"/>
        </w:rPr>
        <w:t xml:space="preserve"> and </w:t>
      </w:r>
      <w:r>
        <w:rPr>
          <w:kern w:val="0"/>
        </w:rPr>
        <w:t>Davidson, B.R. (2012), Techniques</w:t>
      </w:r>
      <w:r w:rsidR="00427468">
        <w:rPr>
          <w:kern w:val="0"/>
        </w:rPr>
        <w:t xml:space="preserve"> of </w:t>
      </w:r>
      <w:r>
        <w:rPr>
          <w:kern w:val="0"/>
        </w:rPr>
        <w:t>flushing</w:t>
      </w:r>
      <w:r w:rsidR="005853A9">
        <w:rPr>
          <w:kern w:val="0"/>
        </w:rPr>
        <w:t xml:space="preserve"> and </w:t>
      </w:r>
      <w:r>
        <w:rPr>
          <w:kern w:val="0"/>
        </w:rPr>
        <w:t xml:space="preserve">reperfusion for liver transplantation.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CD007512.</w:t>
      </w:r>
    </w:p>
    <w:p w:rsidR="00365DE4" w:rsidRDefault="00365DE4" w:rsidP="00365DE4">
      <w:pPr>
        <w:pStyle w:val="a3"/>
        <w:rPr>
          <w:kern w:val="2"/>
        </w:rPr>
      </w:pPr>
      <w:r>
        <w:t xml:space="preserve">Full Text: </w:t>
      </w:r>
      <w:hyperlink r:id="rId740" w:history="1">
        <w:r>
          <w:rPr>
            <w:rStyle w:val="a5"/>
          </w:rPr>
          <w:t>2012\Coc Dat Sys Rev2012, CD007512.pdf</w:t>
        </w:r>
      </w:hyperlink>
    </w:p>
    <w:p w:rsidR="00365DE4" w:rsidRDefault="00365DE4" w:rsidP="00365DE4">
      <w:pPr>
        <w:pStyle w:val="a3"/>
        <w:rPr>
          <w:kern w:val="0"/>
        </w:rPr>
      </w:pPr>
      <w:r>
        <w:rPr>
          <w:kern w:val="0"/>
        </w:rPr>
        <w:t>Abstract: Background Various techniques</w:t>
      </w:r>
      <w:r w:rsidR="00427468">
        <w:rPr>
          <w:kern w:val="0"/>
        </w:rPr>
        <w:t xml:space="preserve"> of </w:t>
      </w:r>
      <w:r>
        <w:rPr>
          <w:kern w:val="0"/>
        </w:rPr>
        <w:t>flushing</w:t>
      </w:r>
      <w:r w:rsidR="005853A9">
        <w:rPr>
          <w:kern w:val="0"/>
        </w:rPr>
        <w:t xml:space="preserve"> and </w:t>
      </w:r>
      <w:r>
        <w:rPr>
          <w:kern w:val="0"/>
        </w:rPr>
        <w:t>reperfusion have been advocated to improve outcomes after liver transplantation</w:t>
      </w:r>
      <w:r w:rsidR="00A37C1D">
        <w:rPr>
          <w:kern w:val="0"/>
        </w:rPr>
        <w:t>. The</w:t>
      </w:r>
      <w:r>
        <w:rPr>
          <w:kern w:val="0"/>
        </w:rPr>
        <w:t>re is considerable uncertainty as to which method is superior. Objectives To compare the benefits</w:t>
      </w:r>
      <w:r w:rsidR="005853A9">
        <w:rPr>
          <w:kern w:val="0"/>
        </w:rPr>
        <w:t xml:space="preserve"> and </w:t>
      </w:r>
      <w:r>
        <w:rPr>
          <w:kern w:val="0"/>
        </w:rPr>
        <w:t>harms</w:t>
      </w:r>
      <w:r w:rsidR="00427468">
        <w:rPr>
          <w:kern w:val="0"/>
        </w:rPr>
        <w:t xml:space="preserve"> of </w:t>
      </w:r>
      <w:r>
        <w:rPr>
          <w:kern w:val="0"/>
        </w:rPr>
        <w:t>different methods</w:t>
      </w:r>
      <w:r w:rsidR="00427468">
        <w:rPr>
          <w:kern w:val="0"/>
        </w:rPr>
        <w:t xml:space="preserve"> of </w:t>
      </w:r>
      <w:r>
        <w:rPr>
          <w:kern w:val="0"/>
        </w:rPr>
        <w:t>flushing</w:t>
      </w:r>
      <w:r w:rsidR="005853A9">
        <w:rPr>
          <w:kern w:val="0"/>
        </w:rPr>
        <w:t xml:space="preserve"> and </w:t>
      </w:r>
      <w:r>
        <w:rPr>
          <w:kern w:val="0"/>
        </w:rPr>
        <w:t>reperfusion during liver implantation in the transplant recipients.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March 2011. Selection criteria We included all randomised clinical trials that were performed to compare different techniques</w:t>
      </w:r>
      <w:r w:rsidR="00427468">
        <w:rPr>
          <w:kern w:val="0"/>
        </w:rPr>
        <w:t xml:space="preserve"> of </w:t>
      </w:r>
      <w:r>
        <w:rPr>
          <w:kern w:val="0"/>
        </w:rPr>
        <w:t>flushing</w:t>
      </w:r>
      <w:r w:rsidR="005853A9">
        <w:rPr>
          <w:kern w:val="0"/>
        </w:rPr>
        <w:t xml:space="preserve"> and </w:t>
      </w:r>
      <w:r>
        <w:rPr>
          <w:kern w:val="0"/>
        </w:rPr>
        <w:t>reperfusion during liver transplantation. Data collection</w:t>
      </w:r>
      <w:r w:rsidR="005853A9">
        <w:rPr>
          <w:kern w:val="0"/>
        </w:rPr>
        <w:t xml:space="preserve"> and </w:t>
      </w:r>
      <w:r>
        <w:rPr>
          <w:kern w:val="0"/>
        </w:rPr>
        <w:t>analysis Two authors independently identified the trials</w:t>
      </w:r>
      <w:r w:rsidR="005853A9">
        <w:rPr>
          <w:kern w:val="0"/>
        </w:rPr>
        <w:t xml:space="preserve"> and </w:t>
      </w:r>
      <w:r>
        <w:rPr>
          <w:kern w:val="0"/>
        </w:rPr>
        <w:t>extracted the data. We analysed the data with both the fixed-effect model</w:t>
      </w:r>
      <w:r w:rsidR="005853A9">
        <w:rPr>
          <w:kern w:val="0"/>
        </w:rPr>
        <w:t xml:space="preserve"> and </w:t>
      </w:r>
      <w:r>
        <w:rPr>
          <w:kern w:val="0"/>
        </w:rPr>
        <w:t>the random-effects model using RevMan analysis. For each outcome we calculated the hazard ratio (HR), risk ratio (RR), rate ratio, mean difference (MD), or standardised mean difference (SMD) with 95% confidence intervals (CI) based on available case analysis. Main results We included six trials involving 418 patients for this review</w:t>
      </w:r>
      <w:r w:rsidR="00A37C1D">
        <w:rPr>
          <w:kern w:val="0"/>
        </w:rPr>
        <w:t>. The</w:t>
      </w:r>
      <w:r>
        <w:rPr>
          <w:kern w:val="0"/>
        </w:rPr>
        <w:t xml:space="preserve"> sample size in the trials varied from 30 to 131 patients. Only one trial involving 131 patients was</w:t>
      </w:r>
      <w:r w:rsidR="00427468">
        <w:rPr>
          <w:kern w:val="0"/>
        </w:rPr>
        <w:t xml:space="preserve"> of </w:t>
      </w:r>
      <w:r>
        <w:rPr>
          <w:kern w:val="0"/>
        </w:rPr>
        <w:t>low risk</w:t>
      </w:r>
      <w:r w:rsidR="00427468">
        <w:rPr>
          <w:kern w:val="0"/>
        </w:rPr>
        <w:t xml:space="preserve"> of </w:t>
      </w:r>
      <w:r>
        <w:rPr>
          <w:kern w:val="0"/>
        </w:rPr>
        <w:t>bias for mortality. This trial was at high risk</w:t>
      </w:r>
      <w:r w:rsidR="00427468">
        <w:rPr>
          <w:kern w:val="0"/>
        </w:rPr>
        <w:t xml:space="preserve"> of </w:t>
      </w:r>
      <w:r>
        <w:rPr>
          <w:kern w:val="0"/>
        </w:rPr>
        <w:t>bias for other outcomes. Four trials excluded patients who underwent liver transplantation for acute liver failure. All the trials included livers obtained from cadaveric donors</w:t>
      </w:r>
      <w:r w:rsidR="00A37C1D">
        <w:rPr>
          <w:kern w:val="0"/>
        </w:rPr>
        <w:t>. The</w:t>
      </w:r>
      <w:r>
        <w:rPr>
          <w:kern w:val="0"/>
        </w:rPr>
        <w:t xml:space="preserve"> remaining five trials were</w:t>
      </w:r>
      <w:r w:rsidR="00427468">
        <w:rPr>
          <w:kern w:val="0"/>
        </w:rPr>
        <w:t xml:space="preserve"> of </w:t>
      </w:r>
      <w:r>
        <w:rPr>
          <w:kern w:val="0"/>
        </w:rPr>
        <w:t>high risk</w:t>
      </w:r>
      <w:r w:rsidR="00427468">
        <w:rPr>
          <w:kern w:val="0"/>
        </w:rPr>
        <w:t xml:space="preserve"> of </w:t>
      </w:r>
      <w:r>
        <w:rPr>
          <w:kern w:val="0"/>
        </w:rPr>
        <w:t>bias for all outcomes. Liver transplantation was performed by the conventional method (caval replacement) in two trials</w:t>
      </w:r>
      <w:r w:rsidR="005853A9">
        <w:rPr>
          <w:kern w:val="0"/>
        </w:rPr>
        <w:t xml:space="preserve"> and </w:t>
      </w:r>
      <w:r>
        <w:rPr>
          <w:kern w:val="0"/>
        </w:rPr>
        <w:t>piggy-back method (caval preservation) in one trial</w:t>
      </w:r>
      <w:r w:rsidR="00A37C1D">
        <w:rPr>
          <w:kern w:val="0"/>
        </w:rPr>
        <w:t>. The</w:t>
      </w:r>
      <w:r>
        <w:rPr>
          <w:kern w:val="0"/>
        </w:rPr>
        <w:t xml:space="preserve"> method</w:t>
      </w:r>
      <w:r w:rsidR="00427468">
        <w:rPr>
          <w:kern w:val="0"/>
        </w:rPr>
        <w:t xml:space="preserve"> of </w:t>
      </w:r>
      <w:r>
        <w:rPr>
          <w:kern w:val="0"/>
        </w:rPr>
        <w:t>liver transplantation was not available in the remaining three trials</w:t>
      </w:r>
      <w:r w:rsidR="00A37C1D">
        <w:rPr>
          <w:kern w:val="0"/>
        </w:rPr>
        <w:t>. The</w:t>
      </w:r>
      <w:r>
        <w:rPr>
          <w:kern w:val="0"/>
        </w:rPr>
        <w:t xml:space="preserve"> comparisons performed included an initial hepatic artery flush versus initial portal vein flush; blood venting via inferior vena cava in addition to venting</w:t>
      </w:r>
      <w:r w:rsidR="00427468">
        <w:rPr>
          <w:kern w:val="0"/>
        </w:rPr>
        <w:t xml:space="preserve"> of </w:t>
      </w:r>
      <w:r>
        <w:rPr>
          <w:kern w:val="0"/>
        </w:rPr>
        <w:t>storage fluid versus no blood venting; initial hepatic artery reperfusion versus initial portal vein reperfusion; simultaneous hepatic artery</w:t>
      </w:r>
      <w:r w:rsidR="005853A9">
        <w:rPr>
          <w:kern w:val="0"/>
        </w:rPr>
        <w:t xml:space="preserve"> and </w:t>
      </w:r>
      <w:r>
        <w:rPr>
          <w:kern w:val="0"/>
        </w:rPr>
        <w:t>portal vein reperfusion versus initial portal vein reperfusion;</w:t>
      </w:r>
      <w:r w:rsidR="005853A9">
        <w:rPr>
          <w:kern w:val="0"/>
        </w:rPr>
        <w:t xml:space="preserve"> and </w:t>
      </w:r>
      <w:r>
        <w:rPr>
          <w:kern w:val="0"/>
        </w:rPr>
        <w:t>retrograde inferior vena cava reperfusion versus simultaneous hepatic artery</w:t>
      </w:r>
      <w:r w:rsidR="005853A9">
        <w:rPr>
          <w:kern w:val="0"/>
        </w:rPr>
        <w:t xml:space="preserve"> and </w:t>
      </w:r>
      <w:r>
        <w:rPr>
          <w:kern w:val="0"/>
        </w:rPr>
        <w:t xml:space="preserve">portal vein </w:t>
      </w:r>
      <w:r>
        <w:rPr>
          <w:kern w:val="0"/>
        </w:rPr>
        <w:lastRenderedPageBreak/>
        <w:t>reperfusion. Only one or two trials could be included under each comparison</w:t>
      </w:r>
      <w:r w:rsidR="00A37C1D">
        <w:rPr>
          <w:kern w:val="0"/>
        </w:rPr>
        <w:t>. The</w:t>
      </w:r>
      <w:r>
        <w:rPr>
          <w:kern w:val="0"/>
        </w:rPr>
        <w:t>re was no significant difference in mortality, graft survival, or severe morbidity rates in any</w:t>
      </w:r>
      <w:r w:rsidR="00427468">
        <w:rPr>
          <w:kern w:val="0"/>
        </w:rPr>
        <w:t xml:space="preserve"> of </w:t>
      </w:r>
      <w:r>
        <w:rPr>
          <w:kern w:val="0"/>
        </w:rPr>
        <w:t>the comparisons. Quality</w:t>
      </w:r>
      <w:r w:rsidR="00427468">
        <w:rPr>
          <w:kern w:val="0"/>
        </w:rPr>
        <w:t xml:space="preserve"> of </w:t>
      </w:r>
      <w:r>
        <w:rPr>
          <w:kern w:val="0"/>
        </w:rPr>
        <w:t>life was not reported in any</w:t>
      </w:r>
      <w:r w:rsidR="00427468">
        <w:rPr>
          <w:kern w:val="0"/>
        </w:rPr>
        <w:t xml:space="preserve"> of </w:t>
      </w:r>
      <w:r>
        <w:rPr>
          <w:kern w:val="0"/>
        </w:rPr>
        <w:t>the trials. Authors</w:t>
      </w:r>
      <w:r w:rsidR="0071223E">
        <w:rPr>
          <w:kern w:val="0"/>
        </w:rPr>
        <w:t>’</w:t>
      </w:r>
      <w:r>
        <w:rPr>
          <w:kern w:val="0"/>
        </w:rPr>
        <w:t xml:space="preserve"> conclusions There is currently no evidence to support or refute the use</w:t>
      </w:r>
      <w:r w:rsidR="00427468">
        <w:rPr>
          <w:kern w:val="0"/>
        </w:rPr>
        <w:t xml:space="preserve"> of </w:t>
      </w:r>
      <w:r>
        <w:rPr>
          <w:kern w:val="0"/>
        </w:rPr>
        <w:t>any specific technique</w:t>
      </w:r>
      <w:r w:rsidR="00427468">
        <w:rPr>
          <w:kern w:val="0"/>
        </w:rPr>
        <w:t xml:space="preserve"> of </w:t>
      </w:r>
      <w:r>
        <w:rPr>
          <w:kern w:val="0"/>
        </w:rPr>
        <w:t>flushing or reperfusion during liver transplantation. Due to the paucity</w:t>
      </w:r>
      <w:r w:rsidR="00427468">
        <w:rPr>
          <w:kern w:val="0"/>
        </w:rPr>
        <w:t xml:space="preserve"> of </w:t>
      </w:r>
      <w:r>
        <w:rPr>
          <w:kern w:val="0"/>
        </w:rPr>
        <w:t>data, absence</w:t>
      </w:r>
      <w:r w:rsidR="00427468">
        <w:rPr>
          <w:kern w:val="0"/>
        </w:rPr>
        <w:t xml:space="preserve"> of </w:t>
      </w:r>
      <w:r>
        <w:rPr>
          <w:kern w:val="0"/>
        </w:rPr>
        <w:t>evidence should not be confused with evidence</w:t>
      </w:r>
      <w:r w:rsidR="00427468">
        <w:rPr>
          <w:kern w:val="0"/>
        </w:rPr>
        <w:t xml:space="preserve"> of </w:t>
      </w:r>
      <w:r>
        <w:rPr>
          <w:kern w:val="0"/>
        </w:rPr>
        <w:t>absence</w:t>
      </w:r>
      <w:r w:rsidR="00427468">
        <w:rPr>
          <w:kern w:val="0"/>
        </w:rPr>
        <w:t xml:space="preserve"> of </w:t>
      </w:r>
      <w:r>
        <w:rPr>
          <w:kern w:val="0"/>
        </w:rPr>
        <w:t>any differences. Further well designed trials with low risk</w:t>
      </w:r>
      <w:r w:rsidR="00427468">
        <w:rPr>
          <w:kern w:val="0"/>
        </w:rPr>
        <w:t xml:space="preserve"> of </w:t>
      </w:r>
      <w:r>
        <w:rPr>
          <w:kern w:val="0"/>
        </w:rPr>
        <w:t>systematic error</w:t>
      </w:r>
      <w:r w:rsidR="005853A9">
        <w:rPr>
          <w:kern w:val="0"/>
        </w:rPr>
        <w:t xml:space="preserve"> and </w:t>
      </w:r>
      <w:r>
        <w:rPr>
          <w:kern w:val="0"/>
        </w:rPr>
        <w:t>low risk</w:t>
      </w:r>
      <w:r w:rsidR="00427468">
        <w:rPr>
          <w:kern w:val="0"/>
        </w:rPr>
        <w:t xml:space="preserve"> of </w:t>
      </w:r>
      <w:r>
        <w:rPr>
          <w:kern w:val="0"/>
        </w:rPr>
        <w:t>random errors are necessary.</w:t>
      </w:r>
    </w:p>
    <w:p w:rsidR="00365DE4" w:rsidRDefault="00365DE4" w:rsidP="00365DE4">
      <w:pPr>
        <w:pStyle w:val="a3"/>
        <w:rPr>
          <w:kern w:val="0"/>
        </w:rPr>
      </w:pPr>
      <w:r>
        <w:rPr>
          <w:kern w:val="0"/>
        </w:rPr>
        <w:t xml:space="preserve">Keywords: Analysis, Arterial Reperfusion, Artery, Authors, Bias, Biliary Lesions, Blood, Case Analysis, Citation, Clinical, Clinical Trials, Collection, Comparison, Confidence, Confidence Intervals, Conventional, Criteria, Data, Data Collection, Empirical-Evidence, Error, Errors, Evaluate Flush, Evidence, Failure, Graft, Hazard, Hemodynamic Profile, Implantation, Intervals, Life, Liver, Liver Failure, Liver Transplantation, Low, Low Risk, </w:t>
      </w:r>
      <w:r w:rsidR="00D5664A">
        <w:rPr>
          <w:kern w:val="0"/>
        </w:rPr>
        <w:t>MEDLINE</w:t>
      </w:r>
      <w:r>
        <w:rPr>
          <w:kern w:val="0"/>
        </w:rPr>
        <w:t>, Method, Methods, Model, Morbidity, Mortality, Outcome, Outcomes, Patients, Portal Reperfusion, Preservation, Quality, Random Effects Model, Randomised, Randomized Clinical-Trials, Rates, Reperfusion, Retrograde Reperfusion, Review, Risk, Sample Size, Science, Science Citation Index, Science Citation Index Expanded, Search, Size, Storage, Support, Survival, Techniques, Tissular Oxygenation, Transplantation, Trial, Uncertainty, Vascular Clamp Release</w:t>
      </w:r>
    </w:p>
    <w:p w:rsidR="00365DE4" w:rsidRDefault="00365DE4" w:rsidP="00365DE4">
      <w:pPr>
        <w:pStyle w:val="a3"/>
        <w:rPr>
          <w:kern w:val="0"/>
        </w:rPr>
      </w:pPr>
      <w:r>
        <w:rPr>
          <w:kern w:val="0"/>
        </w:rPr>
        <w:t>? Penninga, L., Wettergren, A., Chan, A.W., Steinbuchel, D.A.</w:t>
      </w:r>
      <w:r w:rsidR="005853A9">
        <w:rPr>
          <w:kern w:val="0"/>
        </w:rPr>
        <w:t xml:space="preserve"> and </w:t>
      </w:r>
      <w:r>
        <w:rPr>
          <w:kern w:val="0"/>
        </w:rPr>
        <w:t>Gluud, C. (2012), Calcineurin inhibitor minimisation versus continuation</w:t>
      </w:r>
      <w:r w:rsidR="00427468">
        <w:rPr>
          <w:kern w:val="0"/>
        </w:rPr>
        <w:t xml:space="preserve"> of </w:t>
      </w:r>
      <w:r>
        <w:rPr>
          <w:kern w:val="0"/>
        </w:rPr>
        <w:t xml:space="preserve">calcineurin inhibitor treatment for liver transplant recipients.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CD008852.</w:t>
      </w:r>
    </w:p>
    <w:p w:rsidR="00365DE4" w:rsidRDefault="00365DE4" w:rsidP="00365DE4">
      <w:pPr>
        <w:pStyle w:val="a3"/>
        <w:rPr>
          <w:kern w:val="2"/>
        </w:rPr>
      </w:pPr>
      <w:r>
        <w:t xml:space="preserve">Full Text: </w:t>
      </w:r>
      <w:hyperlink r:id="rId741" w:history="1">
        <w:r>
          <w:rPr>
            <w:rStyle w:val="a5"/>
          </w:rPr>
          <w:t>2012\Coc Dat Sys Rev2012, CD008852.pdf</w:t>
        </w:r>
      </w:hyperlink>
    </w:p>
    <w:p w:rsidR="00365DE4" w:rsidRDefault="00365DE4" w:rsidP="00365DE4">
      <w:pPr>
        <w:pStyle w:val="a3"/>
        <w:rPr>
          <w:kern w:val="0"/>
        </w:rPr>
      </w:pPr>
      <w:r>
        <w:rPr>
          <w:kern w:val="0"/>
        </w:rPr>
        <w:t>Abstract: Background The therapeutic success</w:t>
      </w:r>
      <w:r w:rsidR="00427468">
        <w:rPr>
          <w:kern w:val="0"/>
        </w:rPr>
        <w:t xml:space="preserve"> of </w:t>
      </w:r>
      <w:r>
        <w:rPr>
          <w:kern w:val="0"/>
        </w:rPr>
        <w:t>liver transplantation has been largely attributable to the development</w:t>
      </w:r>
      <w:r w:rsidR="00427468">
        <w:rPr>
          <w:kern w:val="0"/>
        </w:rPr>
        <w:t xml:space="preserve"> of </w:t>
      </w:r>
      <w:r>
        <w:rPr>
          <w:kern w:val="0"/>
        </w:rPr>
        <w:t>effective immunosuppressive treatment regimens. In particular, calcineurin inhibitors were essential in reducing acute rejection</w:t>
      </w:r>
      <w:r w:rsidR="005853A9">
        <w:rPr>
          <w:kern w:val="0"/>
        </w:rPr>
        <w:t xml:space="preserve"> and </w:t>
      </w:r>
      <w:r>
        <w:rPr>
          <w:kern w:val="0"/>
        </w:rPr>
        <w:t>improving early survival. Currently, more than 90%</w:t>
      </w:r>
      <w:r w:rsidR="00427468">
        <w:rPr>
          <w:kern w:val="0"/>
        </w:rPr>
        <w:t xml:space="preserve"> of </w:t>
      </w:r>
      <w:r>
        <w:rPr>
          <w:kern w:val="0"/>
        </w:rPr>
        <w:t>all liver transplant recipients are treated with the calcineurin inhibitor cyclosporine or tacrolimus. Unfortunately, calcineurin inhibitors cause adverse events, such as nephrotoxicity,</w:t>
      </w:r>
      <w:r w:rsidR="005853A9">
        <w:rPr>
          <w:kern w:val="0"/>
        </w:rPr>
        <w:t xml:space="preserve"> and </w:t>
      </w:r>
      <w:r>
        <w:rPr>
          <w:kern w:val="0"/>
        </w:rPr>
        <w:t>because</w:t>
      </w:r>
      <w:r w:rsidR="00427468">
        <w:rPr>
          <w:kern w:val="0"/>
        </w:rPr>
        <w:t xml:space="preserve"> of </w:t>
      </w:r>
      <w:r>
        <w:rPr>
          <w:kern w:val="0"/>
        </w:rPr>
        <w:t>this, minimisation (reduction</w:t>
      </w:r>
      <w:r w:rsidR="005853A9">
        <w:rPr>
          <w:kern w:val="0"/>
        </w:rPr>
        <w:t xml:space="preserve"> and </w:t>
      </w:r>
      <w:r>
        <w:rPr>
          <w:kern w:val="0"/>
        </w:rPr>
        <w:t>withdrawal) regimens</w:t>
      </w:r>
      <w:r w:rsidR="00427468">
        <w:rPr>
          <w:kern w:val="0"/>
        </w:rPr>
        <w:t xml:space="preserve"> of </w:t>
      </w:r>
      <w:r>
        <w:rPr>
          <w:kern w:val="0"/>
        </w:rPr>
        <w:t>calcineurin inhibitor have been developed</w:t>
      </w:r>
      <w:r w:rsidR="005853A9">
        <w:rPr>
          <w:kern w:val="0"/>
        </w:rPr>
        <w:t xml:space="preserve"> and </w:t>
      </w:r>
      <w:r>
        <w:rPr>
          <w:kern w:val="0"/>
        </w:rPr>
        <w:t>studied. However, the benefits</w:t>
      </w:r>
      <w:r w:rsidR="005853A9">
        <w:rPr>
          <w:kern w:val="0"/>
        </w:rPr>
        <w:t xml:space="preserve"> and </w:t>
      </w:r>
      <w:r>
        <w:rPr>
          <w:kern w:val="0"/>
        </w:rPr>
        <w:t>harms</w:t>
      </w:r>
      <w:r w:rsidR="00427468">
        <w:rPr>
          <w:kern w:val="0"/>
        </w:rPr>
        <w:t xml:space="preserve"> of </w:t>
      </w:r>
      <w:r>
        <w:rPr>
          <w:kern w:val="0"/>
        </w:rPr>
        <w:t>these minimisation regimens are unclear. Objectives To assess the benefits</w:t>
      </w:r>
      <w:r w:rsidR="005853A9">
        <w:rPr>
          <w:kern w:val="0"/>
        </w:rPr>
        <w:t xml:space="preserve"> and </w:t>
      </w:r>
      <w:r>
        <w:rPr>
          <w:kern w:val="0"/>
        </w:rPr>
        <w:t>harms</w:t>
      </w:r>
      <w:r w:rsidR="00427468">
        <w:rPr>
          <w:kern w:val="0"/>
        </w:rPr>
        <w:t xml:space="preserve"> of </w:t>
      </w:r>
      <w:r>
        <w:rPr>
          <w:kern w:val="0"/>
        </w:rPr>
        <w:t>calcineurin inhibitor minimisation for liver transplant recipients without substitution by another immunosuppressive agent. Search methods We searched The Cochrane Hepato-Biliary Group Controlled Trials Register (Gluud 2010), Cochrane Central Register</w:t>
      </w:r>
      <w:r w:rsidR="00427468">
        <w:rPr>
          <w:kern w:val="0"/>
        </w:rPr>
        <w:t xml:space="preserve"> of </w:t>
      </w:r>
      <w:r>
        <w:rPr>
          <w:kern w:val="0"/>
        </w:rPr>
        <w:t xml:space="preserve">Controlled Clinical Trials (CENTRAL) in The Cochrane Library, </w:t>
      </w:r>
      <w:r w:rsidR="00D5664A">
        <w:rPr>
          <w:kern w:val="0"/>
        </w:rPr>
        <w:t>MEDLINE</w:t>
      </w:r>
      <w:r>
        <w:rPr>
          <w:kern w:val="0"/>
        </w:rPr>
        <w:t xml:space="preserve"> (OvidSP), EMBASE (OvidSP), Science Citation Index Expanded (Royle </w:t>
      </w:r>
      <w:r>
        <w:rPr>
          <w:kern w:val="0"/>
        </w:rPr>
        <w:lastRenderedPageBreak/>
        <w:t>2003),</w:t>
      </w:r>
      <w:r w:rsidR="005853A9">
        <w:rPr>
          <w:kern w:val="0"/>
        </w:rPr>
        <w:t xml:space="preserve"> and </w:t>
      </w:r>
      <w:r>
        <w:rPr>
          <w:kern w:val="0"/>
        </w:rPr>
        <w:t>the World Health Organization (WHO) international clinical trials registry platform (www.who.int/ictrp) until August 2011. In addition, we searched bibliographies</w:t>
      </w:r>
      <w:r w:rsidR="00427468">
        <w:rPr>
          <w:kern w:val="0"/>
        </w:rPr>
        <w:t xml:space="preserve"> of </w:t>
      </w:r>
      <w:r>
        <w:rPr>
          <w:kern w:val="0"/>
        </w:rPr>
        <w:t>relevant articles as well as US Food</w:t>
      </w:r>
      <w:r w:rsidR="005853A9">
        <w:rPr>
          <w:kern w:val="0"/>
        </w:rPr>
        <w:t xml:space="preserve"> and </w:t>
      </w:r>
      <w:r>
        <w:rPr>
          <w:kern w:val="0"/>
        </w:rPr>
        <w:t>Drug Administration (FDA)</w:t>
      </w:r>
      <w:r w:rsidR="005853A9">
        <w:rPr>
          <w:kern w:val="0"/>
        </w:rPr>
        <w:t xml:space="preserve"> and </w:t>
      </w:r>
      <w:r>
        <w:rPr>
          <w:kern w:val="0"/>
        </w:rPr>
        <w:t>European Medicines Agency (EMA) drug approval reviews for additional trials. Selection criteria We planned to select all randomised clinical trials investigating calcineurin inhibitor reduction or withdrawal in liver transplant recipients, irrespective</w:t>
      </w:r>
      <w:r w:rsidR="00427468">
        <w:rPr>
          <w:kern w:val="0"/>
        </w:rPr>
        <w:t xml:space="preserve"> of </w:t>
      </w:r>
      <w:r>
        <w:rPr>
          <w:kern w:val="0"/>
        </w:rPr>
        <w:t>blinding, publication status, or language. Quasi-randomised clinical studies</w:t>
      </w:r>
      <w:r w:rsidR="005853A9">
        <w:rPr>
          <w:kern w:val="0"/>
        </w:rPr>
        <w:t xml:space="preserve"> and </w:t>
      </w:r>
      <w:r>
        <w:rPr>
          <w:kern w:val="0"/>
        </w:rPr>
        <w:t>cohort studies that were obtained through the searches were considered only for the reporting</w:t>
      </w:r>
      <w:r w:rsidR="00427468">
        <w:rPr>
          <w:kern w:val="0"/>
        </w:rPr>
        <w:t xml:space="preserve"> of </w:t>
      </w:r>
      <w:r>
        <w:rPr>
          <w:kern w:val="0"/>
        </w:rPr>
        <w:t>harms. Trials investigating substitution</w:t>
      </w:r>
      <w:r w:rsidR="00427468">
        <w:rPr>
          <w:kern w:val="0"/>
        </w:rPr>
        <w:t xml:space="preserve"> of </w:t>
      </w:r>
      <w:r>
        <w:rPr>
          <w:kern w:val="0"/>
        </w:rPr>
        <w:t>one calcineurin inhibitor by another calcineurin inhibitor were excluded. Trials investigating calcineurin inhibitor withdrawal concurrently with switching over to a mammalian target</w:t>
      </w:r>
      <w:r w:rsidR="00427468">
        <w:rPr>
          <w:kern w:val="0"/>
        </w:rPr>
        <w:t xml:space="preserve"> of </w:t>
      </w:r>
      <w:r>
        <w:rPr>
          <w:kern w:val="0"/>
        </w:rPr>
        <w:t>rapamycin (mTOR) inhibitor-based regimen (everolimus or sirolimus) or mycophenolate mofetil-based regimen are the subject</w:t>
      </w:r>
      <w:r w:rsidR="00427468">
        <w:rPr>
          <w:kern w:val="0"/>
        </w:rPr>
        <w:t xml:space="preserve"> of </w:t>
      </w:r>
      <w:r>
        <w:rPr>
          <w:kern w:val="0"/>
        </w:rPr>
        <w:t>a separate review. Data collection</w:t>
      </w:r>
      <w:r w:rsidR="005853A9">
        <w:rPr>
          <w:kern w:val="0"/>
        </w:rPr>
        <w:t xml:space="preserve"> and </w:t>
      </w:r>
      <w:r>
        <w:rPr>
          <w:kern w:val="0"/>
        </w:rPr>
        <w:t>analysis Search strategies were used to obtain titles</w:t>
      </w:r>
      <w:r w:rsidR="005853A9">
        <w:rPr>
          <w:kern w:val="0"/>
        </w:rPr>
        <w:t xml:space="preserve"> and </w:t>
      </w:r>
      <w:r>
        <w:rPr>
          <w:kern w:val="0"/>
        </w:rPr>
        <w:t>abstracts</w:t>
      </w:r>
      <w:r w:rsidR="00427468">
        <w:rPr>
          <w:kern w:val="0"/>
        </w:rPr>
        <w:t xml:space="preserve"> of </w:t>
      </w:r>
      <w:r>
        <w:rPr>
          <w:kern w:val="0"/>
        </w:rPr>
        <w:t>studies that were relevant for the review. Two authors independently scanned the references</w:t>
      </w:r>
      <w:r w:rsidR="005853A9">
        <w:rPr>
          <w:kern w:val="0"/>
        </w:rPr>
        <w:t xml:space="preserve"> and </w:t>
      </w:r>
      <w:r>
        <w:rPr>
          <w:kern w:val="0"/>
        </w:rPr>
        <w:t>assessed trial eligibility. Main results A total</w:t>
      </w:r>
      <w:r w:rsidR="00427468">
        <w:rPr>
          <w:kern w:val="0"/>
        </w:rPr>
        <w:t xml:space="preserve"> of </w:t>
      </w:r>
      <w:r>
        <w:rPr>
          <w:kern w:val="0"/>
        </w:rPr>
        <w:t>1299 references were identified by the searches. After removal</w:t>
      </w:r>
      <w:r w:rsidR="00427468">
        <w:rPr>
          <w:kern w:val="0"/>
        </w:rPr>
        <w:t xml:space="preserve"> of </w:t>
      </w:r>
      <w:r>
        <w:rPr>
          <w:kern w:val="0"/>
        </w:rPr>
        <w:t>duplicates, 794 references were left. Out</w:t>
      </w:r>
      <w:r w:rsidR="00427468">
        <w:rPr>
          <w:kern w:val="0"/>
        </w:rPr>
        <w:t xml:space="preserve"> of </w:t>
      </w:r>
      <w:r>
        <w:rPr>
          <w:kern w:val="0"/>
        </w:rPr>
        <w:t>these, two abstract reports</w:t>
      </w:r>
      <w:r w:rsidR="00427468">
        <w:rPr>
          <w:kern w:val="0"/>
        </w:rPr>
        <w:t xml:space="preserve"> of </w:t>
      </w:r>
      <w:r>
        <w:rPr>
          <w:kern w:val="0"/>
        </w:rPr>
        <w:t>one ongoing randomised trial fulfilled the inclusion criteria</w:t>
      </w:r>
      <w:r w:rsidR="00427468">
        <w:rPr>
          <w:kern w:val="0"/>
        </w:rPr>
        <w:t xml:space="preserve"> of </w:t>
      </w:r>
      <w:r>
        <w:rPr>
          <w:kern w:val="0"/>
        </w:rPr>
        <w:t>the review. This ongoing trial studies total withdrawal</w:t>
      </w:r>
      <w:r w:rsidR="00427468">
        <w:rPr>
          <w:kern w:val="0"/>
        </w:rPr>
        <w:t xml:space="preserve"> of </w:t>
      </w:r>
      <w:r>
        <w:rPr>
          <w:kern w:val="0"/>
        </w:rPr>
        <w:t>immunosuppression in patients who receive a calcineurin inhibitor (cyclosporine or tacrolimus) or mycophenolate mofetil as the only immunosuppressive agent</w:t>
      </w:r>
      <w:r w:rsidR="00A37C1D">
        <w:rPr>
          <w:kern w:val="0"/>
        </w:rPr>
        <w:t>. The</w:t>
      </w:r>
      <w:r>
        <w:rPr>
          <w:kern w:val="0"/>
        </w:rPr>
        <w:t xml:space="preserve"> trial compares withdrawal</w:t>
      </w:r>
      <w:r w:rsidR="00427468">
        <w:rPr>
          <w:kern w:val="0"/>
        </w:rPr>
        <w:t xml:space="preserve"> of </w:t>
      </w:r>
      <w:r>
        <w:rPr>
          <w:kern w:val="0"/>
        </w:rPr>
        <w:t>calcineurin inhibitor or mycophenolate mofetil with continuation</w:t>
      </w:r>
      <w:r w:rsidR="00427468">
        <w:rPr>
          <w:kern w:val="0"/>
        </w:rPr>
        <w:t xml:space="preserve"> of </w:t>
      </w:r>
      <w:r>
        <w:rPr>
          <w:kern w:val="0"/>
        </w:rPr>
        <w:t>calcineurin inhibitor or mycophenolate mofetil. However, no trial results on the outcomes</w:t>
      </w:r>
      <w:r w:rsidR="00427468">
        <w:rPr>
          <w:kern w:val="0"/>
        </w:rPr>
        <w:t xml:space="preserve"> of </w:t>
      </w:r>
      <w:r>
        <w:rPr>
          <w:kern w:val="0"/>
        </w:rPr>
        <w:t>interest to this review were available. Authors</w:t>
      </w:r>
      <w:r w:rsidR="0071223E">
        <w:rPr>
          <w:kern w:val="0"/>
        </w:rPr>
        <w:t>’</w:t>
      </w:r>
      <w:r>
        <w:rPr>
          <w:kern w:val="0"/>
        </w:rPr>
        <w:t xml:space="preserve"> conclusions This review shows that strategies regarding calcineurin inhibitor minimisation, that is, reduction or withdrawal, without substitution versus continuation</w:t>
      </w:r>
      <w:r w:rsidR="00427468">
        <w:rPr>
          <w:kern w:val="0"/>
        </w:rPr>
        <w:t xml:space="preserve"> of </w:t>
      </w:r>
      <w:r>
        <w:rPr>
          <w:kern w:val="0"/>
        </w:rPr>
        <w:t>calcineurin inhibitor treatment lack evidence from randomised trials. More research with calcineurin inhibitor reduction</w:t>
      </w:r>
      <w:r w:rsidR="005853A9">
        <w:rPr>
          <w:kern w:val="0"/>
        </w:rPr>
        <w:t xml:space="preserve"> and </w:t>
      </w:r>
      <w:r>
        <w:rPr>
          <w:kern w:val="0"/>
        </w:rPr>
        <w:t>withdrawal regimens is needed to optimise dosing</w:t>
      </w:r>
      <w:r w:rsidR="005853A9">
        <w:rPr>
          <w:kern w:val="0"/>
        </w:rPr>
        <w:t xml:space="preserve"> and </w:t>
      </w:r>
      <w:r>
        <w:rPr>
          <w:kern w:val="0"/>
        </w:rPr>
        <w:t>timing</w:t>
      </w:r>
      <w:r w:rsidR="00427468">
        <w:rPr>
          <w:kern w:val="0"/>
        </w:rPr>
        <w:t xml:space="preserve"> of </w:t>
      </w:r>
      <w:r>
        <w:rPr>
          <w:kern w:val="0"/>
        </w:rPr>
        <w:t>calcineurin inhibitor treatment in order to achieve optimal patient</w:t>
      </w:r>
      <w:r w:rsidR="005853A9">
        <w:rPr>
          <w:kern w:val="0"/>
        </w:rPr>
        <w:t xml:space="preserve"> and </w:t>
      </w:r>
      <w:r>
        <w:rPr>
          <w:kern w:val="0"/>
        </w:rPr>
        <w:t>graft survival with a minimum</w:t>
      </w:r>
      <w:r w:rsidR="00427468">
        <w:rPr>
          <w:kern w:val="0"/>
        </w:rPr>
        <w:t xml:space="preserve"> of </w:t>
      </w:r>
      <w:r>
        <w:rPr>
          <w:kern w:val="0"/>
        </w:rPr>
        <w:t>adverse events. Specifically regarding calcineurin inhibitor reduction versus no reduction, we recommend that randomised trials evaluating calcineurin inhibitor reduction versus continuation</w:t>
      </w:r>
      <w:r w:rsidR="00427468">
        <w:rPr>
          <w:kern w:val="0"/>
        </w:rPr>
        <w:t xml:space="preserve"> of </w:t>
      </w:r>
      <w:r>
        <w:rPr>
          <w:kern w:val="0"/>
        </w:rPr>
        <w:t>calcineurin inhibitor treatment are conducted. Regarding calcineurin inhibitor withdrawal, we recommend that mechanisms for tolerance</w:t>
      </w:r>
      <w:r w:rsidR="005853A9">
        <w:rPr>
          <w:kern w:val="0"/>
        </w:rPr>
        <w:t xml:space="preserve"> and </w:t>
      </w:r>
      <w:r w:rsidR="0071223E">
        <w:rPr>
          <w:kern w:val="0"/>
        </w:rPr>
        <w:t>‘</w:t>
      </w:r>
      <w:r>
        <w:rPr>
          <w:kern w:val="0"/>
        </w:rPr>
        <w:t xml:space="preserve"> graft acceptance</w:t>
      </w:r>
      <w:r w:rsidR="0071223E">
        <w:rPr>
          <w:kern w:val="0"/>
        </w:rPr>
        <w:t>’</w:t>
      </w:r>
      <w:r>
        <w:rPr>
          <w:kern w:val="0"/>
        </w:rPr>
        <w:t xml:space="preserve"> are clarified,</w:t>
      </w:r>
      <w:r w:rsidR="005853A9">
        <w:rPr>
          <w:kern w:val="0"/>
        </w:rPr>
        <w:t xml:space="preserve"> and </w:t>
      </w:r>
      <w:r>
        <w:rPr>
          <w:kern w:val="0"/>
        </w:rPr>
        <w:t>patient groups likely to tolerate calcineurin inhibitor withdrawal are identified in order to select the right patients for total withdrawal</w:t>
      </w:r>
      <w:r w:rsidR="00427468">
        <w:rPr>
          <w:kern w:val="0"/>
        </w:rPr>
        <w:t xml:space="preserve"> of </w:t>
      </w:r>
      <w:r>
        <w:rPr>
          <w:kern w:val="0"/>
        </w:rPr>
        <w:t>calcineurin inhibitors without substitution with another immunosuppressive drug</w:t>
      </w:r>
      <w:r w:rsidR="00A37C1D">
        <w:rPr>
          <w:kern w:val="0"/>
        </w:rPr>
        <w:t>. The</w:t>
      </w:r>
      <w:r>
        <w:rPr>
          <w:kern w:val="0"/>
        </w:rPr>
        <w:t xml:space="preserve"> randomised trials should only be performed in highly selected patients.</w:t>
      </w:r>
    </w:p>
    <w:p w:rsidR="00365DE4" w:rsidRDefault="00365DE4" w:rsidP="00365DE4">
      <w:pPr>
        <w:pStyle w:val="a3"/>
        <w:rPr>
          <w:kern w:val="0"/>
        </w:rPr>
      </w:pPr>
      <w:r>
        <w:rPr>
          <w:kern w:val="0"/>
        </w:rPr>
        <w:t xml:space="preserve">Keywords: Acceptance, Analysis, Articles, Authors, Bias, Bibliographies, Calcineurin </w:t>
      </w:r>
      <w:r>
        <w:rPr>
          <w:kern w:val="0"/>
        </w:rPr>
        <w:lastRenderedPageBreak/>
        <w:t>Inhibitor, Citation, Clinical, Clinical Studies, Clinical Trials, Cohort, Collection, Criteria, Cyclosporine, Data Collection, Development, Drug, Empirical-Evidence, Events, Evidence, FDA, Food</w:t>
      </w:r>
      <w:r w:rsidR="005853A9">
        <w:rPr>
          <w:kern w:val="0"/>
        </w:rPr>
        <w:t xml:space="preserve"> and </w:t>
      </w:r>
      <w:r>
        <w:rPr>
          <w:kern w:val="0"/>
        </w:rPr>
        <w:t xml:space="preserve">Drug Administration, Graft, Immunosuppression, Inclusion, Inhibitor, International, Liver, Liver Transplantation, Long, Mechanisms, </w:t>
      </w:r>
      <w:r w:rsidR="00D5664A">
        <w:rPr>
          <w:kern w:val="0"/>
        </w:rPr>
        <w:t>MEDLINE</w:t>
      </w:r>
      <w:r>
        <w:rPr>
          <w:kern w:val="0"/>
        </w:rPr>
        <w:t>, Metaanalysis, Methods, Minimum, Nephrotoxicity, Outcomes, Patients, Publication, Randomised, Randomised Trial, Randomized Controlled-Trial, Reduction, References, Registry, Rejection, Removal, Renal-Function, Reporting, Research, Review, Reviews, Right, Science, Science Citation Index, Science Citation Index Expanded, Search, Sirolimus, Solid-Organ Transplantation, Substitution, Survival, Tacrolimus, Term-Follow-Up, Therapeutic, Timing, Tolerance, Total Immunosuppression Withdrawal, Transplantation, Treatment, Trial, US, World Health Organization</w:t>
      </w:r>
    </w:p>
    <w:p w:rsidR="00365DE4" w:rsidRDefault="00365DE4" w:rsidP="00365DE4">
      <w:pPr>
        <w:pStyle w:val="a3"/>
        <w:rPr>
          <w:kern w:val="0"/>
        </w:rPr>
      </w:pPr>
      <w:r>
        <w:rPr>
          <w:kern w:val="0"/>
        </w:rPr>
        <w:t>? Carson, J.L., Carless, P.A.</w:t>
      </w:r>
      <w:r w:rsidR="005853A9">
        <w:rPr>
          <w:kern w:val="0"/>
        </w:rPr>
        <w:t xml:space="preserve"> and </w:t>
      </w:r>
      <w:r>
        <w:rPr>
          <w:kern w:val="0"/>
        </w:rPr>
        <w:t>Hebert, P.C. (2012), Transfusion thresholds</w:t>
      </w:r>
      <w:r w:rsidR="005853A9">
        <w:rPr>
          <w:kern w:val="0"/>
        </w:rPr>
        <w:t xml:space="preserve"> and </w:t>
      </w:r>
      <w:r>
        <w:rPr>
          <w:kern w:val="0"/>
        </w:rPr>
        <w:t xml:space="preserve">other strategies for guiding allogeneic red blood cell transfusion.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CD002042.</w:t>
      </w:r>
    </w:p>
    <w:p w:rsidR="00365DE4" w:rsidRDefault="00365DE4" w:rsidP="00365DE4">
      <w:pPr>
        <w:pStyle w:val="a3"/>
        <w:rPr>
          <w:kern w:val="2"/>
        </w:rPr>
      </w:pPr>
      <w:r>
        <w:t xml:space="preserve">Full Text: </w:t>
      </w:r>
      <w:hyperlink r:id="rId742" w:history="1">
        <w:r>
          <w:rPr>
            <w:rStyle w:val="a5"/>
          </w:rPr>
          <w:t>2012\Coc Dat Sys Rev2012, CD002042.pdf</w:t>
        </w:r>
      </w:hyperlink>
    </w:p>
    <w:p w:rsidR="00365DE4" w:rsidRDefault="00365DE4" w:rsidP="00365DE4">
      <w:pPr>
        <w:pStyle w:val="a3"/>
        <w:rPr>
          <w:kern w:val="0"/>
        </w:rPr>
      </w:pPr>
      <w:r>
        <w:rPr>
          <w:kern w:val="0"/>
        </w:rPr>
        <w:t>Abstract: Background Most clinical practice guidelines recommend restrictive red cell transfusion practices, with the goal</w:t>
      </w:r>
      <w:r w:rsidR="00427468">
        <w:rPr>
          <w:kern w:val="0"/>
        </w:rPr>
        <w:t xml:space="preserve"> of </w:t>
      </w:r>
      <w:r>
        <w:rPr>
          <w:kern w:val="0"/>
        </w:rPr>
        <w:t>minimising exposure to allogeneic blood</w:t>
      </w:r>
      <w:r w:rsidR="00A37C1D">
        <w:rPr>
          <w:kern w:val="0"/>
        </w:rPr>
        <w:t>. The</w:t>
      </w:r>
      <w:r>
        <w:rPr>
          <w:kern w:val="0"/>
        </w:rPr>
        <w:t xml:space="preserve"> purpose</w:t>
      </w:r>
      <w:r w:rsidR="00427468">
        <w:rPr>
          <w:kern w:val="0"/>
        </w:rPr>
        <w:t xml:space="preserve"> of </w:t>
      </w:r>
      <w:r>
        <w:rPr>
          <w:kern w:val="0"/>
        </w:rPr>
        <w:t>this review is to compare clinical outcomes in patients randomised to restrictive versus liberal transfusion thresholds (triggers). Objectives To examine the evidence for the effect</w:t>
      </w:r>
      <w:r w:rsidR="00427468">
        <w:rPr>
          <w:kern w:val="0"/>
        </w:rPr>
        <w:t xml:space="preserve"> of </w:t>
      </w:r>
      <w:r>
        <w:rPr>
          <w:kern w:val="0"/>
        </w:rPr>
        <w:t>transfusion thresholds on the use</w:t>
      </w:r>
      <w:r w:rsidR="00427468">
        <w:rPr>
          <w:kern w:val="0"/>
        </w:rPr>
        <w:t xml:space="preserve"> of </w:t>
      </w:r>
      <w:r>
        <w:rPr>
          <w:kern w:val="0"/>
        </w:rPr>
        <w:t>allogeneic and/or autologous red cell transfusion,</w:t>
      </w:r>
      <w:r w:rsidR="005853A9">
        <w:rPr>
          <w:kern w:val="0"/>
        </w:rPr>
        <w:t xml:space="preserve"> and </w:t>
      </w:r>
      <w:r>
        <w:rPr>
          <w:kern w:val="0"/>
        </w:rPr>
        <w:t>the evidence for any effect on clinical outcomes. Search methods We identified trials by searching; The Cochrane Injuries Group Specialised Register (searched 01 Feb 2011), Cochrane Central Register</w:t>
      </w:r>
      <w:r w:rsidR="00427468">
        <w:rPr>
          <w:kern w:val="0"/>
        </w:rPr>
        <w:t xml:space="preserve"> of </w:t>
      </w:r>
      <w:r>
        <w:rPr>
          <w:kern w:val="0"/>
        </w:rPr>
        <w:t xml:space="preserve">Controlled Trials 2011, issue 1 (The Cochrane Library), </w:t>
      </w:r>
      <w:r w:rsidR="00D5664A">
        <w:rPr>
          <w:kern w:val="0"/>
        </w:rPr>
        <w:t>MEDLINE</w:t>
      </w:r>
      <w:r>
        <w:rPr>
          <w:kern w:val="0"/>
        </w:rPr>
        <w:t xml:space="preserve"> (Ovid) 1948 to January Week 3 2011, EMBASE (Ovid) 1980 to 2011 (Week 04), ISI </w:t>
      </w:r>
      <w:r w:rsidR="00D5664A">
        <w:rPr>
          <w:kern w:val="0"/>
        </w:rPr>
        <w:t>Web</w:t>
      </w:r>
      <w:r w:rsidR="00427468">
        <w:rPr>
          <w:kern w:val="0"/>
        </w:rPr>
        <w:t xml:space="preserve"> of </w:t>
      </w:r>
      <w:r w:rsidR="00D5664A">
        <w:rPr>
          <w:kern w:val="0"/>
        </w:rPr>
        <w:t>Science</w:t>
      </w:r>
      <w:r>
        <w:rPr>
          <w:kern w:val="0"/>
        </w:rPr>
        <w:t xml:space="preserve">: Science Citation Index Expanded (1970 to Feb 2011), ISI </w:t>
      </w:r>
      <w:r w:rsidR="00D5664A">
        <w:rPr>
          <w:kern w:val="0"/>
        </w:rPr>
        <w:t>Web</w:t>
      </w:r>
      <w:r w:rsidR="00427468">
        <w:rPr>
          <w:kern w:val="0"/>
        </w:rPr>
        <w:t xml:space="preserve"> of </w:t>
      </w:r>
      <w:r w:rsidR="00D5664A">
        <w:rPr>
          <w:kern w:val="0"/>
        </w:rPr>
        <w:t>Science</w:t>
      </w:r>
      <w:r>
        <w:rPr>
          <w:kern w:val="0"/>
        </w:rPr>
        <w:t>: Conference Proceedings Citation Index-Science (1990 to Feb 2011). We checked reference lists</w:t>
      </w:r>
      <w:r w:rsidR="00427468">
        <w:rPr>
          <w:kern w:val="0"/>
        </w:rPr>
        <w:t xml:space="preserve"> of </w:t>
      </w:r>
      <w:r>
        <w:rPr>
          <w:kern w:val="0"/>
        </w:rPr>
        <w:t>other published reviews</w:t>
      </w:r>
      <w:r w:rsidR="005853A9">
        <w:rPr>
          <w:kern w:val="0"/>
        </w:rPr>
        <w:t xml:space="preserve"> and </w:t>
      </w:r>
      <w:r>
        <w:rPr>
          <w:kern w:val="0"/>
        </w:rPr>
        <w:t>relevant papers to identify any additional trials. Selection criteria Controlled trials in which patients were randomised to an intervention group or to a control group. Trials were included where intervention groups were assigned on the basis</w:t>
      </w:r>
      <w:r w:rsidR="00427468">
        <w:rPr>
          <w:kern w:val="0"/>
        </w:rPr>
        <w:t xml:space="preserve"> of </w:t>
      </w:r>
      <w:r>
        <w:rPr>
          <w:kern w:val="0"/>
        </w:rPr>
        <w:t xml:space="preserve">a clear transfusion </w:t>
      </w:r>
      <w:r w:rsidR="0071223E">
        <w:rPr>
          <w:kern w:val="0"/>
        </w:rPr>
        <w:t>‘</w:t>
      </w:r>
      <w:r>
        <w:rPr>
          <w:kern w:val="0"/>
        </w:rPr>
        <w:t>trigger</w:t>
      </w:r>
      <w:r w:rsidR="0071223E">
        <w:rPr>
          <w:kern w:val="0"/>
        </w:rPr>
        <w:t>’</w:t>
      </w:r>
      <w:r>
        <w:rPr>
          <w:kern w:val="0"/>
        </w:rPr>
        <w:t>, described as a haemoglobin (Hb) or haematocrit (Hct) level below which a red blood cell (RBC) transfusion was to be administered. Data collection</w:t>
      </w:r>
      <w:r w:rsidR="005853A9">
        <w:rPr>
          <w:kern w:val="0"/>
        </w:rPr>
        <w:t xml:space="preserve"> and </w:t>
      </w:r>
      <w:r>
        <w:rPr>
          <w:kern w:val="0"/>
        </w:rPr>
        <w:t>analysis Risk ratios</w:t>
      </w:r>
      <w:r w:rsidR="00427468">
        <w:rPr>
          <w:kern w:val="0"/>
        </w:rPr>
        <w:t xml:space="preserve"> of </w:t>
      </w:r>
      <w:r>
        <w:rPr>
          <w:kern w:val="0"/>
        </w:rPr>
        <w:t>requiring allogeneic blood transfusion, transfused blood volumes</w:t>
      </w:r>
      <w:r w:rsidR="005853A9">
        <w:rPr>
          <w:kern w:val="0"/>
        </w:rPr>
        <w:t xml:space="preserve"> and </w:t>
      </w:r>
      <w:r>
        <w:rPr>
          <w:kern w:val="0"/>
        </w:rPr>
        <w:t>other clinical outcomes were pooled across trials, using a random effects model. Data extraction</w:t>
      </w:r>
      <w:r w:rsidR="005853A9">
        <w:rPr>
          <w:kern w:val="0"/>
        </w:rPr>
        <w:t xml:space="preserve"> and </w:t>
      </w:r>
      <w:r>
        <w:rPr>
          <w:kern w:val="0"/>
        </w:rPr>
        <w:t>assessment</w:t>
      </w:r>
      <w:r w:rsidR="00427468">
        <w:rPr>
          <w:kern w:val="0"/>
        </w:rPr>
        <w:t xml:space="preserve"> of </w:t>
      </w:r>
      <w:r>
        <w:rPr>
          <w:kern w:val="0"/>
        </w:rPr>
        <w:t>the risk</w:t>
      </w:r>
      <w:r w:rsidR="00427468">
        <w:rPr>
          <w:kern w:val="0"/>
        </w:rPr>
        <w:t xml:space="preserve"> of </w:t>
      </w:r>
      <w:r>
        <w:rPr>
          <w:kern w:val="0"/>
        </w:rPr>
        <w:t>bias was performed by two people. Main results Nineteen trials involving a total</w:t>
      </w:r>
      <w:r w:rsidR="00427468">
        <w:rPr>
          <w:kern w:val="0"/>
        </w:rPr>
        <w:t xml:space="preserve"> of </w:t>
      </w:r>
      <w:r>
        <w:rPr>
          <w:kern w:val="0"/>
        </w:rPr>
        <w:t>6264 patients were identified,</w:t>
      </w:r>
      <w:r w:rsidR="005853A9">
        <w:rPr>
          <w:kern w:val="0"/>
        </w:rPr>
        <w:t xml:space="preserve"> and </w:t>
      </w:r>
      <w:r>
        <w:rPr>
          <w:kern w:val="0"/>
        </w:rPr>
        <w:t xml:space="preserve">were similar enough that the results could be combined. Restrictive transfusion strategies </w:t>
      </w:r>
      <w:r>
        <w:rPr>
          <w:kern w:val="0"/>
        </w:rPr>
        <w:lastRenderedPageBreak/>
        <w:t>reduced the risk</w:t>
      </w:r>
      <w:r w:rsidR="00427468">
        <w:rPr>
          <w:kern w:val="0"/>
        </w:rPr>
        <w:t xml:space="preserve"> of </w:t>
      </w:r>
      <w:r>
        <w:rPr>
          <w:kern w:val="0"/>
        </w:rPr>
        <w:t>receiving a RBC transfusion by 39% (RR 0.61, 95% CI 0.52 to 0.72). This equates to an average absolute risk reduction (ARR)</w:t>
      </w:r>
      <w:r w:rsidR="00427468">
        <w:rPr>
          <w:kern w:val="0"/>
        </w:rPr>
        <w:t xml:space="preserve"> of </w:t>
      </w:r>
      <w:r>
        <w:rPr>
          <w:kern w:val="0"/>
        </w:rPr>
        <w:t>34% (95% CI 24% to 45%)</w:t>
      </w:r>
      <w:r w:rsidR="00A37C1D">
        <w:rPr>
          <w:kern w:val="0"/>
        </w:rPr>
        <w:t>. The</w:t>
      </w:r>
      <w:r>
        <w:rPr>
          <w:kern w:val="0"/>
        </w:rPr>
        <w:t xml:space="preserve"> volume</w:t>
      </w:r>
      <w:r w:rsidR="00427468">
        <w:rPr>
          <w:kern w:val="0"/>
        </w:rPr>
        <w:t xml:space="preserve"> of </w:t>
      </w:r>
      <w:r>
        <w:rPr>
          <w:kern w:val="0"/>
        </w:rPr>
        <w:t>RBCs transfused was reduced on average by 1.19 units (95% CI 0.53 to 1.85 units). However, heterogeneity between trials was statistically significant (P&lt;0.00001; I-2 &gt;= 93%) for these outcomes. Restrictive transfusion strategies did not appear to impact the rate</w:t>
      </w:r>
      <w:r w:rsidR="00427468">
        <w:rPr>
          <w:kern w:val="0"/>
        </w:rPr>
        <w:t xml:space="preserve"> of </w:t>
      </w:r>
      <w:r>
        <w:rPr>
          <w:kern w:val="0"/>
        </w:rPr>
        <w:t>adverse events compared to liberal transfusion strategies (i.e. mortality, cardiac events, myocardial infarction, stroke, pneumonia</w:t>
      </w:r>
      <w:r w:rsidR="005853A9">
        <w:rPr>
          <w:kern w:val="0"/>
        </w:rPr>
        <w:t xml:space="preserve"> and </w:t>
      </w:r>
      <w:r>
        <w:rPr>
          <w:kern w:val="0"/>
        </w:rPr>
        <w:t>thromboembolism). Restrictive transfusion strategies were associated with a statistically significant reduction in hospital mortality (RR 0.77, 95% CI 0.62-0.95) but not 30 day mortality (RR 0.85, 95% CI 0.70 to 1.03)</w:t>
      </w:r>
      <w:r w:rsidR="00A37C1D">
        <w:rPr>
          <w:kern w:val="0"/>
        </w:rPr>
        <w:t>. The</w:t>
      </w:r>
      <w:r>
        <w:rPr>
          <w:kern w:val="0"/>
        </w:rPr>
        <w:t xml:space="preserve"> use</w:t>
      </w:r>
      <w:r w:rsidR="00427468">
        <w:rPr>
          <w:kern w:val="0"/>
        </w:rPr>
        <w:t xml:space="preserve"> of </w:t>
      </w:r>
      <w:r>
        <w:rPr>
          <w:kern w:val="0"/>
        </w:rPr>
        <w:t>restrictive transfusion strategies did not reduce functional recovery, hospital or intensive care length</w:t>
      </w:r>
      <w:r w:rsidR="00427468">
        <w:rPr>
          <w:kern w:val="0"/>
        </w:rPr>
        <w:t xml:space="preserve"> of </w:t>
      </w:r>
      <w:r>
        <w:rPr>
          <w:kern w:val="0"/>
        </w:rPr>
        <w:t>stay</w:t>
      </w:r>
      <w:r w:rsidR="00A37C1D">
        <w:rPr>
          <w:kern w:val="0"/>
        </w:rPr>
        <w:t>. The</w:t>
      </w:r>
      <w:r>
        <w:rPr>
          <w:kern w:val="0"/>
        </w:rPr>
        <w:t xml:space="preserve"> majority</w:t>
      </w:r>
      <w:r w:rsidR="00427468">
        <w:rPr>
          <w:kern w:val="0"/>
        </w:rPr>
        <w:t xml:space="preserve"> of </w:t>
      </w:r>
      <w:r>
        <w:rPr>
          <w:kern w:val="0"/>
        </w:rPr>
        <w:t>patients randomised were included in good quality trials, but some items</w:t>
      </w:r>
      <w:r w:rsidR="00427468">
        <w:rPr>
          <w:kern w:val="0"/>
        </w:rPr>
        <w:t xml:space="preserve"> of </w:t>
      </w:r>
      <w:r>
        <w:rPr>
          <w:kern w:val="0"/>
        </w:rPr>
        <w:t>methodological quality were unclear</w:t>
      </w:r>
      <w:r w:rsidR="00A37C1D">
        <w:rPr>
          <w:kern w:val="0"/>
        </w:rPr>
        <w:t>. The</w:t>
      </w:r>
      <w:r>
        <w:rPr>
          <w:kern w:val="0"/>
        </w:rPr>
        <w:t>re are no trials in patients with acute coronary syndrome. Authors</w:t>
      </w:r>
      <w:r w:rsidR="0071223E">
        <w:rPr>
          <w:kern w:val="0"/>
        </w:rPr>
        <w:t>’</w:t>
      </w:r>
      <w:r>
        <w:rPr>
          <w:kern w:val="0"/>
        </w:rPr>
        <w:t xml:space="preserve"> conclusions The existing evidence supports the use</w:t>
      </w:r>
      <w:r w:rsidR="00427468">
        <w:rPr>
          <w:kern w:val="0"/>
        </w:rPr>
        <w:t xml:space="preserve"> of </w:t>
      </w:r>
      <w:r>
        <w:rPr>
          <w:kern w:val="0"/>
        </w:rPr>
        <w:t>restrictive transfusion triggers inmost patients including those with pre-existing cardiovascular disease. As there are no trials, the effects</w:t>
      </w:r>
      <w:r w:rsidR="00427468">
        <w:rPr>
          <w:kern w:val="0"/>
        </w:rPr>
        <w:t xml:space="preserve"> of </w:t>
      </w:r>
      <w:r>
        <w:rPr>
          <w:kern w:val="0"/>
        </w:rPr>
        <w:t>restrictive transfusion triggers in high risk groups such as acute coronary syndrome need to be tested in further large clinical trials. In countries with inadequate screening</w:t>
      </w:r>
      <w:r w:rsidR="00427468">
        <w:rPr>
          <w:kern w:val="0"/>
        </w:rPr>
        <w:t xml:space="preserve"> of </w:t>
      </w:r>
      <w:r>
        <w:rPr>
          <w:kern w:val="0"/>
        </w:rPr>
        <w:t>donor blood, the data may constitute a stronger basis for avoiding transfusion with allogeneic red cells.</w:t>
      </w:r>
    </w:p>
    <w:p w:rsidR="00365DE4" w:rsidRDefault="00365DE4" w:rsidP="00365DE4">
      <w:pPr>
        <w:pStyle w:val="a3"/>
        <w:rPr>
          <w:kern w:val="0"/>
        </w:rPr>
      </w:pPr>
      <w:r>
        <w:rPr>
          <w:kern w:val="0"/>
        </w:rPr>
        <w:t>Keywords: Acute Coronary Syndrome, Allogeneic, Analysis, Assessment, Bias, Blood, Blood Transfusion, Cardiovascular, Cardiovascular Disease, Care, Citation, Clinical, Clinical Outcomes, Clinical Practice, Clinical Practice Guidelines, Clinical Trials, Clinical-Practice, Collection, Conference, Control, Countries, Criteria, Critical-Care, Data, Data Collection, Disease, Effects, Erythrocyte Transfusion [Adverse Effects, Events, Evidence, Exposure, Extraction, Guidelines, Guidelines As Topic, Haematocrit, Hemoglobin A [Analysis], Heterogeneity, Hip Fracture, Hospital, Humans, Impact, Infarction, Intensive Care, Intervention</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Length, Length</w:t>
      </w:r>
      <w:r w:rsidR="00427468">
        <w:rPr>
          <w:kern w:val="0"/>
        </w:rPr>
        <w:t xml:space="preserve"> of </w:t>
      </w:r>
      <w:r>
        <w:rPr>
          <w:kern w:val="0"/>
        </w:rPr>
        <w:t xml:space="preserve">Stay, </w:t>
      </w:r>
      <w:r w:rsidR="00D5664A">
        <w:rPr>
          <w:kern w:val="0"/>
        </w:rPr>
        <w:t>MEDLINE</w:t>
      </w:r>
      <w:r>
        <w:rPr>
          <w:kern w:val="0"/>
        </w:rPr>
        <w:t xml:space="preserve">, Methods, Model, Mortality, Myocardial Infarction, Myocardial-Infarction, Noncardiac Surgery, Older Patients, Outcomes, Papers, Patients, Pneumonia, Practice, Practice Guidelines, Practices, Purpose, Quality, Random Effects Model, Randomised, Randomized Controlled Trials as Topic, Randomized Controlled-Trial, Recovery, Reduction, Reference, Reference Lists, Reference Values, Requirements, Residual Risk, Review, Reviews, Risk, Science, Science Citation Index, Science Citation Index Expanded, Screening, Search, Standards], Stroke, Syndrome, Thresholds, Thromboembolism, Transfusion, Transplantation,Autologous, Transplantation, Homologous, United-States, Volume,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Ejere, H.O.D., Alhassan, M.B.</w:t>
      </w:r>
      <w:r w:rsidR="005853A9">
        <w:rPr>
          <w:kern w:val="0"/>
        </w:rPr>
        <w:t xml:space="preserve"> and </w:t>
      </w:r>
      <w:r>
        <w:rPr>
          <w:kern w:val="0"/>
        </w:rPr>
        <w:t xml:space="preserve">Rabiu, M. (2012), Face washing promotion for </w:t>
      </w:r>
      <w:r>
        <w:rPr>
          <w:kern w:val="0"/>
        </w:rPr>
        <w:lastRenderedPageBreak/>
        <w:t xml:space="preserve">preventing active trachoma.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CD003659.</w:t>
      </w:r>
    </w:p>
    <w:p w:rsidR="00365DE4" w:rsidRDefault="00365DE4" w:rsidP="00365DE4">
      <w:pPr>
        <w:pStyle w:val="a3"/>
        <w:rPr>
          <w:kern w:val="2"/>
        </w:rPr>
      </w:pPr>
      <w:r>
        <w:t xml:space="preserve">Full Text: </w:t>
      </w:r>
      <w:hyperlink r:id="rId743" w:history="1">
        <w:r>
          <w:rPr>
            <w:rStyle w:val="a5"/>
          </w:rPr>
          <w:t>2012\Coc Dat Sys Rev2012, CD003659.pdf</w:t>
        </w:r>
      </w:hyperlink>
    </w:p>
    <w:p w:rsidR="00365DE4" w:rsidRDefault="00365DE4" w:rsidP="00365DE4">
      <w:pPr>
        <w:pStyle w:val="a3"/>
        <w:rPr>
          <w:kern w:val="0"/>
        </w:rPr>
      </w:pPr>
      <w:r>
        <w:rPr>
          <w:kern w:val="0"/>
        </w:rPr>
        <w:t>Abstract: Background Trachoma remains a major cause</w:t>
      </w:r>
      <w:r w:rsidR="00427468">
        <w:rPr>
          <w:kern w:val="0"/>
        </w:rPr>
        <w:t xml:space="preserve"> of </w:t>
      </w:r>
      <w:r>
        <w:rPr>
          <w:kern w:val="0"/>
        </w:rPr>
        <w:t>avoidable blindness among underprivileged populations in many developing countries. It is estimated that about 146 million people have active trachoma</w:t>
      </w:r>
      <w:r w:rsidR="005853A9">
        <w:rPr>
          <w:kern w:val="0"/>
        </w:rPr>
        <w:t xml:space="preserve"> and </w:t>
      </w:r>
      <w:r>
        <w:rPr>
          <w:kern w:val="0"/>
        </w:rPr>
        <w:t>nearly six million people are blind due to complications associated with repeat infections. Objectives The objective</w:t>
      </w:r>
      <w:r w:rsidR="00427468">
        <w:rPr>
          <w:kern w:val="0"/>
        </w:rPr>
        <w:t xml:space="preserve"> of </w:t>
      </w:r>
      <w:r>
        <w:rPr>
          <w:kern w:val="0"/>
        </w:rPr>
        <w:t>this review was to assess the effects</w:t>
      </w:r>
      <w:r w:rsidR="00427468">
        <w:rPr>
          <w:kern w:val="0"/>
        </w:rPr>
        <w:t xml:space="preserve"> of </w:t>
      </w:r>
      <w:r>
        <w:rPr>
          <w:kern w:val="0"/>
        </w:rPr>
        <w:t>face washing on the prevalence</w:t>
      </w:r>
      <w:r w:rsidR="00427468">
        <w:rPr>
          <w:kern w:val="0"/>
        </w:rPr>
        <w:t xml:space="preserve"> of </w:t>
      </w:r>
      <w:r>
        <w:rPr>
          <w:kern w:val="0"/>
        </w:rPr>
        <w:t>active trachoma in endemic communities. Search methods We searched CENTRAL (which contains the Cochrane Eyes</w:t>
      </w:r>
      <w:r w:rsidR="005853A9">
        <w:rPr>
          <w:kern w:val="0"/>
        </w:rPr>
        <w:t xml:space="preserve"> and </w:t>
      </w:r>
      <w:r>
        <w:rPr>
          <w:kern w:val="0"/>
        </w:rPr>
        <w:t xml:space="preserve">Vision Group Trials Register) (The Cochrane Library 2011, Issue 8), </w:t>
      </w:r>
      <w:r w:rsidR="00D5664A">
        <w:rPr>
          <w:kern w:val="0"/>
        </w:rPr>
        <w:t>MEDLINE</w:t>
      </w:r>
      <w:r>
        <w:rPr>
          <w:kern w:val="0"/>
        </w:rPr>
        <w:t xml:space="preserve"> (January 1950 to September 2011), EMBASE (January 1980 to September 2011), Latin American</w:t>
      </w:r>
      <w:r w:rsidR="005853A9">
        <w:rPr>
          <w:kern w:val="0"/>
        </w:rPr>
        <w:t xml:space="preserve"> and </w:t>
      </w:r>
      <w:r>
        <w:rPr>
          <w:kern w:val="0"/>
        </w:rPr>
        <w:t>Caribbean Health Sciences Literature Database (LILACS) (January 1982 to September 2011), the metaRegister</w:t>
      </w:r>
      <w:r w:rsidR="00427468">
        <w:rPr>
          <w:kern w:val="0"/>
        </w:rPr>
        <w:t xml:space="preserve"> of </w:t>
      </w:r>
      <w:r>
        <w:rPr>
          <w:kern w:val="0"/>
        </w:rPr>
        <w:t>Controlled Trials (mRCT) (www.controlled-trials.com)</w:t>
      </w:r>
      <w:r w:rsidR="005853A9">
        <w:rPr>
          <w:kern w:val="0"/>
        </w:rPr>
        <w:t xml:space="preserve"> and </w:t>
      </w:r>
      <w:r>
        <w:rPr>
          <w:kern w:val="0"/>
        </w:rPr>
        <w:t>ClinicalTrials. gov (www.clinicaltrials.gov)</w:t>
      </w:r>
      <w:r w:rsidR="00A37C1D">
        <w:rPr>
          <w:kern w:val="0"/>
        </w:rPr>
        <w:t>. The</w:t>
      </w:r>
      <w:r>
        <w:rPr>
          <w:kern w:val="0"/>
        </w:rPr>
        <w:t>re were no date or language restrictions in the electronic searches for trials</w:t>
      </w:r>
      <w:r w:rsidR="00A37C1D">
        <w:rPr>
          <w:kern w:val="0"/>
        </w:rPr>
        <w:t>. The</w:t>
      </w:r>
      <w:r>
        <w:rPr>
          <w:kern w:val="0"/>
        </w:rPr>
        <w:t xml:space="preserve"> electronic databases were last searched on 2 September 2011. We checked the reference list</w:t>
      </w:r>
      <w:r w:rsidR="00427468">
        <w:rPr>
          <w:kern w:val="0"/>
        </w:rPr>
        <w:t xml:space="preserve"> of </w:t>
      </w:r>
      <w:r>
        <w:rPr>
          <w:kern w:val="0"/>
        </w:rPr>
        <w:t>the included trials to identify further relevant trials. We used the Science Citation Index to search for references that cite the studies that are included in the review. We also contacted investigators</w:t>
      </w:r>
      <w:r w:rsidR="005853A9">
        <w:rPr>
          <w:kern w:val="0"/>
        </w:rPr>
        <w:t xml:space="preserve"> and </w:t>
      </w:r>
      <w:r>
        <w:rPr>
          <w:kern w:val="0"/>
        </w:rPr>
        <w:t>experts in the field to identify additional trials. Selection criteria We included randomized or quasi-randomized controlled trials, comparing face washing with no treatment or face washing combined with antibiotics against antibiotics alone. Participants in the trials were people normally resident in endemic trachoma communities. Data collection</w:t>
      </w:r>
      <w:r w:rsidR="005853A9">
        <w:rPr>
          <w:kern w:val="0"/>
        </w:rPr>
        <w:t xml:space="preserve"> and </w:t>
      </w:r>
      <w:r>
        <w:rPr>
          <w:kern w:val="0"/>
        </w:rPr>
        <w:t>analysis Two review authors independently extracted data</w:t>
      </w:r>
      <w:r w:rsidR="005853A9">
        <w:rPr>
          <w:kern w:val="0"/>
        </w:rPr>
        <w:t xml:space="preserve"> and </w:t>
      </w:r>
      <w:r>
        <w:rPr>
          <w:kern w:val="0"/>
        </w:rPr>
        <w:t>assessed trial quality. Study authors were contacted for additional information. Two clinically heterogeneous trials are included, therefore a meta-analysis was considered inappropriate. Main results This review included two trials with data from a total</w:t>
      </w:r>
      <w:r w:rsidR="00427468">
        <w:rPr>
          <w:kern w:val="0"/>
        </w:rPr>
        <w:t xml:space="preserve"> of </w:t>
      </w:r>
      <w:r>
        <w:rPr>
          <w:kern w:val="0"/>
        </w:rPr>
        <w:t>2560 participants. Face washing combined with topical tetracycline was compared to topical tetracycline alone in three pairs</w:t>
      </w:r>
      <w:r w:rsidR="00427468">
        <w:rPr>
          <w:kern w:val="0"/>
        </w:rPr>
        <w:t xml:space="preserve"> of </w:t>
      </w:r>
      <w:r>
        <w:rPr>
          <w:kern w:val="0"/>
        </w:rPr>
        <w:t>villages in one trial</w:t>
      </w:r>
      <w:r w:rsidR="00A37C1D">
        <w:rPr>
          <w:kern w:val="0"/>
        </w:rPr>
        <w:t>. The</w:t>
      </w:r>
      <w:r>
        <w:rPr>
          <w:kern w:val="0"/>
        </w:rPr>
        <w:t xml:space="preserve"> trial found a statistically significant effect for face washing combined with topical tetracycline in reducing </w:t>
      </w:r>
      <w:r w:rsidR="0071223E">
        <w:rPr>
          <w:kern w:val="0"/>
        </w:rPr>
        <w:t>‘</w:t>
      </w:r>
      <w:r>
        <w:rPr>
          <w:kern w:val="0"/>
        </w:rPr>
        <w:t>severe</w:t>
      </w:r>
      <w:r w:rsidR="0071223E">
        <w:rPr>
          <w:kern w:val="0"/>
        </w:rPr>
        <w:t>’</w:t>
      </w:r>
      <w:r>
        <w:rPr>
          <w:kern w:val="0"/>
        </w:rPr>
        <w:t xml:space="preserve"> active trachoma compared to topical tetracycline alone. No statistically significant difference was observed between the intervention</w:t>
      </w:r>
      <w:r w:rsidR="005853A9">
        <w:rPr>
          <w:kern w:val="0"/>
        </w:rPr>
        <w:t xml:space="preserve"> and </w:t>
      </w:r>
      <w:r>
        <w:rPr>
          <w:kern w:val="0"/>
        </w:rPr>
        <w:t>control villages in reducing (</w:t>
      </w:r>
      <w:r w:rsidR="0071223E">
        <w:rPr>
          <w:kern w:val="0"/>
        </w:rPr>
        <w:t>‘</w:t>
      </w:r>
      <w:r>
        <w:rPr>
          <w:kern w:val="0"/>
        </w:rPr>
        <w:t>non-severe</w:t>
      </w:r>
      <w:r w:rsidR="0071223E">
        <w:rPr>
          <w:kern w:val="0"/>
        </w:rPr>
        <w:t>’</w:t>
      </w:r>
      <w:r>
        <w:rPr>
          <w:kern w:val="0"/>
        </w:rPr>
        <w:t>) active trachoma</w:t>
      </w:r>
      <w:r w:rsidR="00A37C1D">
        <w:rPr>
          <w:kern w:val="0"/>
        </w:rPr>
        <w:t>. The</w:t>
      </w:r>
      <w:r>
        <w:rPr>
          <w:kern w:val="0"/>
        </w:rPr>
        <w:t xml:space="preserve"> prevalence</w:t>
      </w:r>
      <w:r w:rsidR="00427468">
        <w:rPr>
          <w:kern w:val="0"/>
        </w:rPr>
        <w:t xml:space="preserve"> of </w:t>
      </w:r>
      <w:r>
        <w:rPr>
          <w:kern w:val="0"/>
        </w:rPr>
        <w:t>clean faces was higher in the intervention villages than the control villages</w:t>
      </w:r>
      <w:r w:rsidR="005853A9">
        <w:rPr>
          <w:kern w:val="0"/>
        </w:rPr>
        <w:t xml:space="preserve"> and </w:t>
      </w:r>
      <w:r>
        <w:rPr>
          <w:kern w:val="0"/>
        </w:rPr>
        <w:t>this was statistically significant. Another trial compared eye washing to no treatment or to topical tetracycline alone or to a combination</w:t>
      </w:r>
      <w:r w:rsidR="00427468">
        <w:rPr>
          <w:kern w:val="0"/>
        </w:rPr>
        <w:t xml:space="preserve"> of </w:t>
      </w:r>
      <w:r>
        <w:rPr>
          <w:kern w:val="0"/>
        </w:rPr>
        <w:t>eye washing</w:t>
      </w:r>
      <w:r w:rsidR="005853A9">
        <w:rPr>
          <w:kern w:val="0"/>
        </w:rPr>
        <w:t xml:space="preserve"> and </w:t>
      </w:r>
      <w:r>
        <w:rPr>
          <w:kern w:val="0"/>
        </w:rPr>
        <w:t>tetracycline drops in children with follicular trachoma</w:t>
      </w:r>
      <w:r w:rsidR="00A37C1D">
        <w:rPr>
          <w:kern w:val="0"/>
        </w:rPr>
        <w:t>. The</w:t>
      </w:r>
      <w:r>
        <w:rPr>
          <w:kern w:val="0"/>
        </w:rPr>
        <w:t xml:space="preserve"> trial found no statistically significant benefit</w:t>
      </w:r>
      <w:r w:rsidR="00427468">
        <w:rPr>
          <w:kern w:val="0"/>
        </w:rPr>
        <w:t xml:space="preserve"> of </w:t>
      </w:r>
      <w:r>
        <w:rPr>
          <w:kern w:val="0"/>
        </w:rPr>
        <w:t xml:space="preserve">eye washing alone or in combination with tetracycline eye drops in reducing follicular trachoma amongst children with </w:t>
      </w:r>
      <w:r>
        <w:rPr>
          <w:kern w:val="0"/>
        </w:rPr>
        <w:lastRenderedPageBreak/>
        <w:t>follicular trachoma. Authors</w:t>
      </w:r>
      <w:r w:rsidR="0071223E">
        <w:rPr>
          <w:kern w:val="0"/>
        </w:rPr>
        <w:t>’</w:t>
      </w:r>
      <w:r>
        <w:rPr>
          <w:kern w:val="0"/>
        </w:rPr>
        <w:t xml:space="preserve"> conclusions There is some evidence that face washing combined with topical tetracycline can be effective in reducing severe trachoma</w:t>
      </w:r>
      <w:r w:rsidR="005853A9">
        <w:rPr>
          <w:kern w:val="0"/>
        </w:rPr>
        <w:t xml:space="preserve"> and </w:t>
      </w:r>
      <w:r>
        <w:rPr>
          <w:kern w:val="0"/>
        </w:rPr>
        <w:t>in increasing the prevalence</w:t>
      </w:r>
      <w:r w:rsidR="00427468">
        <w:rPr>
          <w:kern w:val="0"/>
        </w:rPr>
        <w:t xml:space="preserve"> of </w:t>
      </w:r>
      <w:r>
        <w:rPr>
          <w:kern w:val="0"/>
        </w:rPr>
        <w:t>clean faces. Current evidence does not however support a beneficial effect</w:t>
      </w:r>
      <w:r w:rsidR="00427468">
        <w:rPr>
          <w:kern w:val="0"/>
        </w:rPr>
        <w:t xml:space="preserve"> of </w:t>
      </w:r>
      <w:r>
        <w:rPr>
          <w:kern w:val="0"/>
        </w:rPr>
        <w:t>face washing alone or in combination with topical tetracycline in reducing active trachoma.</w:t>
      </w:r>
    </w:p>
    <w:p w:rsidR="00365DE4" w:rsidRDefault="00365DE4" w:rsidP="00365DE4">
      <w:pPr>
        <w:pStyle w:val="a3"/>
        <w:rPr>
          <w:kern w:val="0"/>
        </w:rPr>
      </w:pPr>
      <w:r>
        <w:rPr>
          <w:kern w:val="0"/>
        </w:rPr>
        <w:t xml:space="preserve">Keywords: Analysis, Anti-Bacterial Agents [Administration &amp; Dosage], Antibiotics, Authors, Children, Chlamydia Trachomatis, Citation, Collection, Complications, Control, Countries, Criteria, Data, Data Collection, Databases, Developing, Developing Countries, Effects, Electronic, Evidence, Evidence Base, Experts, Face, Field, Humans, Impact, Infections, Information, Intervention, Literature, </w:t>
      </w:r>
      <w:r w:rsidR="00D5664A">
        <w:rPr>
          <w:kern w:val="0"/>
        </w:rPr>
        <w:t>MEDLINE</w:t>
      </w:r>
      <w:r>
        <w:rPr>
          <w:kern w:val="0"/>
        </w:rPr>
        <w:t>, Meta-Analysis, Metaanalysis, Methods, Populations, Prevalence, Promotion, Quality, Randomized, Randomized Controlled Trials As Topic, Reference, References, Resident, Restrictions, Review, Safe Strategy, Science, Science Citation Index, Search, Skin Care [Methods], Support, Tanzania, Tetracycline, Tetracycline [Administration &amp; Dosage], Topical, Trachoma [Prevention &amp; Control], Treatment, Trial</w:t>
      </w:r>
    </w:p>
    <w:p w:rsidR="00365DE4" w:rsidRDefault="00365DE4" w:rsidP="00365DE4">
      <w:pPr>
        <w:pStyle w:val="a3"/>
        <w:rPr>
          <w:kern w:val="0"/>
        </w:rPr>
      </w:pPr>
      <w:r>
        <w:rPr>
          <w:kern w:val="0"/>
        </w:rPr>
        <w:t>? Kylat, R.I.</w:t>
      </w:r>
      <w:r w:rsidR="005853A9">
        <w:rPr>
          <w:kern w:val="0"/>
        </w:rPr>
        <w:t xml:space="preserve"> and </w:t>
      </w:r>
      <w:r>
        <w:rPr>
          <w:kern w:val="0"/>
        </w:rPr>
        <w:t xml:space="preserve">Ohlsson, A. (2012), Recombinant human activated protein C for severe sepsis in neonates.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CD005385.</w:t>
      </w:r>
    </w:p>
    <w:p w:rsidR="00365DE4" w:rsidRDefault="00365DE4" w:rsidP="00365DE4">
      <w:pPr>
        <w:pStyle w:val="a3"/>
        <w:rPr>
          <w:kern w:val="2"/>
        </w:rPr>
      </w:pPr>
      <w:r>
        <w:t xml:space="preserve">Full Text: </w:t>
      </w:r>
      <w:hyperlink r:id="rId744" w:history="1">
        <w:r>
          <w:rPr>
            <w:rStyle w:val="a5"/>
          </w:rPr>
          <w:t>2012\Coc Dat Sys Rev2012, CD005385.pdf</w:t>
        </w:r>
      </w:hyperlink>
    </w:p>
    <w:p w:rsidR="00365DE4" w:rsidRDefault="00365DE4" w:rsidP="00365DE4">
      <w:pPr>
        <w:pStyle w:val="a3"/>
        <w:rPr>
          <w:kern w:val="0"/>
        </w:rPr>
      </w:pPr>
      <w:r>
        <w:rPr>
          <w:kern w:val="0"/>
        </w:rPr>
        <w:t>Abstract: Background Sepsis is a common problem in preterm</w:t>
      </w:r>
      <w:r w:rsidR="005853A9">
        <w:rPr>
          <w:kern w:val="0"/>
        </w:rPr>
        <w:t xml:space="preserve"> and </w:t>
      </w:r>
      <w:r>
        <w:rPr>
          <w:kern w:val="0"/>
        </w:rPr>
        <w:t>term infants</w:t>
      </w:r>
      <w:r w:rsidR="00A37C1D">
        <w:rPr>
          <w:kern w:val="0"/>
        </w:rPr>
        <w:t>. The</w:t>
      </w:r>
      <w:r>
        <w:rPr>
          <w:kern w:val="0"/>
        </w:rPr>
        <w:t xml:space="preserve"> incidence</w:t>
      </w:r>
      <w:r w:rsidR="00427468">
        <w:rPr>
          <w:kern w:val="0"/>
        </w:rPr>
        <w:t xml:space="preserve"> of </w:t>
      </w:r>
      <w:r>
        <w:rPr>
          <w:kern w:val="0"/>
        </w:rPr>
        <w:t>neonatal sepsis has declined, but mortality remains high. Recombinant human activated protein C (rhAPC) possess a broad spectrum</w:t>
      </w:r>
      <w:r w:rsidR="00427468">
        <w:rPr>
          <w:kern w:val="0"/>
        </w:rPr>
        <w:t xml:space="preserve"> of </w:t>
      </w:r>
      <w:r>
        <w:rPr>
          <w:kern w:val="0"/>
        </w:rPr>
        <w:t>activity modulating coagulation</w:t>
      </w:r>
      <w:r w:rsidR="005853A9">
        <w:rPr>
          <w:kern w:val="0"/>
        </w:rPr>
        <w:t xml:space="preserve"> and </w:t>
      </w:r>
      <w:r>
        <w:rPr>
          <w:kern w:val="0"/>
        </w:rPr>
        <w:t>inflammation. In septic adults it may reduce mortality, but no significant benefit has been reported in children with severe sepsis. Objectives To determine whether treatment with rhAPC reduces mortality and/or morbidity in neonatal sepsis. Search methods For this update searches were carried out in May 2011</w:t>
      </w:r>
      <w:r w:rsidR="00427468">
        <w:rPr>
          <w:kern w:val="0"/>
        </w:rPr>
        <w:t xml:space="preserve"> of </w:t>
      </w:r>
      <w:r>
        <w:rPr>
          <w:kern w:val="0"/>
        </w:rPr>
        <w:t>the Cochrane Central Register</w:t>
      </w:r>
      <w:r w:rsidR="00427468">
        <w:rPr>
          <w:kern w:val="0"/>
        </w:rPr>
        <w:t xml:space="preserve"> of </w:t>
      </w:r>
      <w:r>
        <w:rPr>
          <w:kern w:val="0"/>
        </w:rPr>
        <w:t xml:space="preserve">Controlled Trials (The Cochrane Library), </w:t>
      </w:r>
      <w:r w:rsidR="00D5664A">
        <w:rPr>
          <w:kern w:val="0"/>
        </w:rPr>
        <w:t>MEDLINE</w:t>
      </w:r>
      <w:r>
        <w:rPr>
          <w:kern w:val="0"/>
        </w:rPr>
        <w:t>, EMBASE, CINAHL,</w:t>
      </w:r>
      <w:r w:rsidR="005853A9">
        <w:rPr>
          <w:kern w:val="0"/>
        </w:rPr>
        <w:t xml:space="preserve"> and </w:t>
      </w:r>
      <w:r>
        <w:rPr>
          <w:kern w:val="0"/>
        </w:rPr>
        <w:t>abstracts</w:t>
      </w:r>
      <w:r w:rsidR="00427468">
        <w:rPr>
          <w:kern w:val="0"/>
        </w:rPr>
        <w:t xml:space="preserve"> of </w:t>
      </w:r>
      <w:r>
        <w:rPr>
          <w:kern w:val="0"/>
        </w:rPr>
        <w:t>annual meetings</w:t>
      </w:r>
      <w:r w:rsidR="00427468">
        <w:rPr>
          <w:kern w:val="0"/>
        </w:rPr>
        <w:t xml:space="preserve"> of </w:t>
      </w:r>
      <w:r>
        <w:rPr>
          <w:kern w:val="0"/>
        </w:rPr>
        <w:t>the Pediatric Academic Societies. Doctoral dissertations, theses</w:t>
      </w:r>
      <w:r w:rsidR="005853A9">
        <w:rPr>
          <w:kern w:val="0"/>
        </w:rPr>
        <w:t xml:space="preserve"> and </w:t>
      </w:r>
      <w:r>
        <w:rPr>
          <w:kern w:val="0"/>
        </w:rPr>
        <w:t>the Science Citation Index for articles on activated protein C were searched. No language restriction was applied. Selection criteria Randomized or quasi-randomized trials, assessing the efficacy</w:t>
      </w:r>
      <w:r w:rsidR="00427468">
        <w:rPr>
          <w:kern w:val="0"/>
        </w:rPr>
        <w:t xml:space="preserve"> of </w:t>
      </w:r>
      <w:r>
        <w:rPr>
          <w:kern w:val="0"/>
        </w:rPr>
        <w:t>rhAPC compared to placebo or no intervention as an adjunct to antibiotic therapy</w:t>
      </w:r>
      <w:r w:rsidR="00427468">
        <w:rPr>
          <w:kern w:val="0"/>
        </w:rPr>
        <w:t xml:space="preserve"> of </w:t>
      </w:r>
      <w:r>
        <w:rPr>
          <w:kern w:val="0"/>
        </w:rPr>
        <w:t>suspected or confirmed severe sepsis in term</w:t>
      </w:r>
      <w:r w:rsidR="005853A9">
        <w:rPr>
          <w:kern w:val="0"/>
        </w:rPr>
        <w:t xml:space="preserve"> and </w:t>
      </w:r>
      <w:r>
        <w:rPr>
          <w:kern w:val="0"/>
        </w:rPr>
        <w:t>preterm infants less than 28 days old. Eligible trials should report at least one</w:t>
      </w:r>
      <w:r w:rsidR="00427468">
        <w:rPr>
          <w:kern w:val="0"/>
        </w:rPr>
        <w:t xml:space="preserve"> of </w:t>
      </w:r>
      <w:r>
        <w:rPr>
          <w:kern w:val="0"/>
        </w:rPr>
        <w:t>the following outcomes: mortality during initial hospital stay, neurodevelopmental assessment at two years</w:t>
      </w:r>
      <w:r w:rsidR="00427468">
        <w:rPr>
          <w:kern w:val="0"/>
        </w:rPr>
        <w:t xml:space="preserve"> of </w:t>
      </w:r>
      <w:r>
        <w:rPr>
          <w:kern w:val="0"/>
        </w:rPr>
        <w:t>age or later, length</w:t>
      </w:r>
      <w:r w:rsidR="00427468">
        <w:rPr>
          <w:kern w:val="0"/>
        </w:rPr>
        <w:t xml:space="preserve"> of </w:t>
      </w:r>
      <w:r>
        <w:rPr>
          <w:kern w:val="0"/>
        </w:rPr>
        <w:t>hospital stay, duration</w:t>
      </w:r>
      <w:r w:rsidR="00427468">
        <w:rPr>
          <w:kern w:val="0"/>
        </w:rPr>
        <w:t xml:space="preserve"> of </w:t>
      </w:r>
      <w:r>
        <w:rPr>
          <w:kern w:val="0"/>
        </w:rPr>
        <w:t>ventilation, chronic lung disease, periventricular leukomalacia, intraventricular haemorrhage, necrotizing enterocolitis, bleeding,</w:t>
      </w:r>
      <w:r w:rsidR="005853A9">
        <w:rPr>
          <w:kern w:val="0"/>
        </w:rPr>
        <w:t xml:space="preserve"> and </w:t>
      </w:r>
      <w:r>
        <w:rPr>
          <w:kern w:val="0"/>
        </w:rPr>
        <w:t>any other adverse events. Data collection</w:t>
      </w:r>
      <w:r w:rsidR="005853A9">
        <w:rPr>
          <w:kern w:val="0"/>
        </w:rPr>
        <w:t xml:space="preserve"> and </w:t>
      </w:r>
      <w:r>
        <w:rPr>
          <w:kern w:val="0"/>
        </w:rPr>
        <w:t xml:space="preserve">analysis Review authors </w:t>
      </w:r>
      <w:r>
        <w:rPr>
          <w:kern w:val="0"/>
        </w:rPr>
        <w:lastRenderedPageBreak/>
        <w:t>were to independently evaluate the articles for inclusion criteria</w:t>
      </w:r>
      <w:r w:rsidR="005853A9">
        <w:rPr>
          <w:kern w:val="0"/>
        </w:rPr>
        <w:t xml:space="preserve"> and </w:t>
      </w:r>
      <w:r>
        <w:rPr>
          <w:kern w:val="0"/>
        </w:rPr>
        <w:t>quality,</w:t>
      </w:r>
      <w:r w:rsidR="005853A9">
        <w:rPr>
          <w:kern w:val="0"/>
        </w:rPr>
        <w:t xml:space="preserve"> and </w:t>
      </w:r>
      <w:r>
        <w:rPr>
          <w:kern w:val="0"/>
        </w:rPr>
        <w:t>abstract information for the outcomes</w:t>
      </w:r>
      <w:r w:rsidR="00427468">
        <w:rPr>
          <w:kern w:val="0"/>
        </w:rPr>
        <w:t xml:space="preserve"> of </w:t>
      </w:r>
      <w:r>
        <w:rPr>
          <w:kern w:val="0"/>
        </w:rPr>
        <w:t>interest. Differences were to be resolved by consensus</w:t>
      </w:r>
      <w:r w:rsidR="00A37C1D">
        <w:rPr>
          <w:kern w:val="0"/>
        </w:rPr>
        <w:t>. The</w:t>
      </w:r>
      <w:r>
        <w:rPr>
          <w:kern w:val="0"/>
        </w:rPr>
        <w:t xml:space="preserve"> statistical methods were to include relative risk, risk difference, number needed to treat to benefit or number needed to treat to harm for dichotomous</w:t>
      </w:r>
      <w:r w:rsidR="005853A9">
        <w:rPr>
          <w:kern w:val="0"/>
        </w:rPr>
        <w:t xml:space="preserve"> and </w:t>
      </w:r>
      <w:r>
        <w:rPr>
          <w:kern w:val="0"/>
        </w:rPr>
        <w:t>weighed mean difference for continuous outcomes reported with 95% confidence intervals. A fixed effect model was to be used for meta-analysis. Heterogeneity tests, including the I-2 statistic, were to be performed to assess the appropriateness</w:t>
      </w:r>
      <w:r w:rsidR="00427468">
        <w:rPr>
          <w:kern w:val="0"/>
        </w:rPr>
        <w:t xml:space="preserve"> of </w:t>
      </w:r>
      <w:r>
        <w:rPr>
          <w:kern w:val="0"/>
        </w:rPr>
        <w:t>pooling the data. Main results No eligible trials were identified. In October 2011 rhAPC (Xigris (R)) was withdrawn from the market by Eli Lilly due to a higher mortality in a trial among adults. Xigris (R) (DrotAA)(rhAPC) should no longer be used in any age category</w:t>
      </w:r>
      <w:r w:rsidR="005853A9">
        <w:rPr>
          <w:kern w:val="0"/>
        </w:rPr>
        <w:t xml:space="preserve"> and </w:t>
      </w:r>
      <w:r>
        <w:rPr>
          <w:kern w:val="0"/>
        </w:rPr>
        <w:t>the product should be returned to the distributor. Authors</w:t>
      </w:r>
      <w:r w:rsidR="0071223E">
        <w:rPr>
          <w:kern w:val="0"/>
        </w:rPr>
        <w:t>’</w:t>
      </w:r>
      <w:r>
        <w:rPr>
          <w:kern w:val="0"/>
        </w:rPr>
        <w:t xml:space="preserve"> conclusions Despite the scientific rationale for its use, there is insufficient data to use rhAPC for the management</w:t>
      </w:r>
      <w:r w:rsidR="00427468">
        <w:rPr>
          <w:kern w:val="0"/>
        </w:rPr>
        <w:t xml:space="preserve"> of </w:t>
      </w:r>
      <w:r>
        <w:rPr>
          <w:kern w:val="0"/>
        </w:rPr>
        <w:t>severe sepsis in newborn infants. Due to the results among adults with lack</w:t>
      </w:r>
      <w:r w:rsidR="00427468">
        <w:rPr>
          <w:kern w:val="0"/>
        </w:rPr>
        <w:t xml:space="preserve"> of </w:t>
      </w:r>
      <w:r>
        <w:rPr>
          <w:kern w:val="0"/>
        </w:rPr>
        <w:t>efficacy, an increase in bleeding</w:t>
      </w:r>
      <w:r w:rsidR="005853A9">
        <w:rPr>
          <w:kern w:val="0"/>
        </w:rPr>
        <w:t xml:space="preserve"> and </w:t>
      </w:r>
      <w:r>
        <w:rPr>
          <w:kern w:val="0"/>
        </w:rPr>
        <w:t>resulting withdrawal</w:t>
      </w:r>
      <w:r w:rsidR="00427468">
        <w:rPr>
          <w:kern w:val="0"/>
        </w:rPr>
        <w:t xml:space="preserve"> of </w:t>
      </w:r>
      <w:r>
        <w:rPr>
          <w:kern w:val="0"/>
        </w:rPr>
        <w:t>rhAPC from the market, neonates should not be treated with rhAPC</w:t>
      </w:r>
      <w:r w:rsidR="005853A9">
        <w:rPr>
          <w:kern w:val="0"/>
        </w:rPr>
        <w:t xml:space="preserve"> and </w:t>
      </w:r>
      <w:r>
        <w:rPr>
          <w:kern w:val="0"/>
        </w:rPr>
        <w:t>further trials should not be conducted.</w:t>
      </w:r>
    </w:p>
    <w:p w:rsidR="00365DE4" w:rsidRDefault="00365DE4" w:rsidP="00365DE4">
      <w:pPr>
        <w:pStyle w:val="a3"/>
        <w:rPr>
          <w:kern w:val="0"/>
        </w:rPr>
      </w:pPr>
      <w:r>
        <w:rPr>
          <w:kern w:val="0"/>
        </w:rPr>
        <w:t xml:space="preserve">Keywords: Age, Analysis, Antibiotic Therapy, Articles, Assessing, Assessment, Authors, Birth-Weight Infants, Bleeding, Children, Chronic, Chronic Lung Disease, Citation, Coagulation, Collection, Confidence, Confidence Intervals, Consensus, Cost-Effectiveness, Criteria, Data, Data Collection, Disease, Duration, Economic-Evaluation, Efficacy, Events, Haemorrhage, Hospital, Hospital Stay, Human, Humans, Incidence, Inclusion, Infant,Newborn, Infants, Inflammation, Information, Intensive-Care, Intervals, Intervention, Length, Lung, Management, Market, </w:t>
      </w:r>
      <w:r w:rsidR="00D5664A">
        <w:rPr>
          <w:kern w:val="0"/>
        </w:rPr>
        <w:t>MEDLINE</w:t>
      </w:r>
      <w:r>
        <w:rPr>
          <w:kern w:val="0"/>
        </w:rPr>
        <w:t>, Meta-Analysis, Metaanalysis, Methods, Model, Morbidity, Mortality, Mortality], Necrotizing Enterocolitis, Neonatal, Neonatal Sepsis, Neonates, Newborn, Newborn Infants, Number Needed To Treat, Open-Label Trial, Organ Failure, Outcomes, Periventricular Leukomalacia, Placebo, Preterm, Preterm Infants, Protein, Protein C [Therapeutic Use], Prowess-Shock, Purpura Fulminans, Quality, Recombinant Proteins [Therapeutic Use], Relative Risk, Review, Risk, Science, Science Citation Index, Search, Sepsis, Sepsis [Drug Therapy, Septic Shock, Term, Therapy, Treatment, Trial, United-States, Ventilation</w:t>
      </w:r>
    </w:p>
    <w:p w:rsidR="00365DE4" w:rsidRDefault="00365DE4" w:rsidP="00365DE4">
      <w:pPr>
        <w:pStyle w:val="a3"/>
        <w:rPr>
          <w:kern w:val="0"/>
        </w:rPr>
      </w:pPr>
      <w:r>
        <w:rPr>
          <w:kern w:val="0"/>
        </w:rPr>
        <w:t>? Yeoh, B., Woolfenden, S., Lanphear, B., Ridley, G.F.</w:t>
      </w:r>
      <w:r w:rsidR="005853A9">
        <w:rPr>
          <w:kern w:val="0"/>
        </w:rPr>
        <w:t xml:space="preserve"> and </w:t>
      </w:r>
      <w:r>
        <w:rPr>
          <w:kern w:val="0"/>
        </w:rPr>
        <w:t xml:space="preserve">Livingstone, N. (2012), Household interventions for preventing domestic lead exposure in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CD006047.</w:t>
      </w:r>
    </w:p>
    <w:p w:rsidR="00365DE4" w:rsidRDefault="00365DE4" w:rsidP="00365DE4">
      <w:pPr>
        <w:pStyle w:val="a3"/>
        <w:rPr>
          <w:kern w:val="2"/>
        </w:rPr>
      </w:pPr>
      <w:r>
        <w:t xml:space="preserve">Full Text: </w:t>
      </w:r>
      <w:hyperlink r:id="rId745" w:history="1">
        <w:r>
          <w:rPr>
            <w:rStyle w:val="a5"/>
          </w:rPr>
          <w:t>2012\Coc Dat Sys Rev2012, CD006047.pdf</w:t>
        </w:r>
      </w:hyperlink>
    </w:p>
    <w:p w:rsidR="00365DE4" w:rsidRDefault="00365DE4" w:rsidP="00365DE4">
      <w:pPr>
        <w:pStyle w:val="a3"/>
        <w:rPr>
          <w:kern w:val="0"/>
        </w:rPr>
      </w:pPr>
      <w:r>
        <w:rPr>
          <w:kern w:val="0"/>
        </w:rPr>
        <w:t>Abstract: Background Lead poisoning is associated with physical, cognitive</w:t>
      </w:r>
      <w:r w:rsidR="005853A9">
        <w:rPr>
          <w:kern w:val="0"/>
        </w:rPr>
        <w:t xml:space="preserve"> and </w:t>
      </w:r>
      <w:r>
        <w:rPr>
          <w:kern w:val="0"/>
        </w:rPr>
        <w:t>neurobehavioural impairment in children</w:t>
      </w:r>
      <w:r w:rsidR="005853A9">
        <w:rPr>
          <w:kern w:val="0"/>
        </w:rPr>
        <w:t xml:space="preserve"> and </w:t>
      </w:r>
      <w:r>
        <w:rPr>
          <w:kern w:val="0"/>
        </w:rPr>
        <w:t>trials have tested many household interventions to prevent lead exposure. This is an update</w:t>
      </w:r>
      <w:r w:rsidR="00427468">
        <w:rPr>
          <w:kern w:val="0"/>
        </w:rPr>
        <w:t xml:space="preserve"> of </w:t>
      </w:r>
      <w:r>
        <w:rPr>
          <w:kern w:val="0"/>
        </w:rPr>
        <w:t>the original review by the same authors first published in 2008. Objectives To determine the effectiveness</w:t>
      </w:r>
      <w:r w:rsidR="00427468">
        <w:rPr>
          <w:kern w:val="0"/>
        </w:rPr>
        <w:t xml:space="preserve"> of </w:t>
      </w:r>
      <w:r>
        <w:rPr>
          <w:kern w:val="0"/>
        </w:rPr>
        <w:lastRenderedPageBreak/>
        <w:t>household interventions in preventing or reducing lead exposure in children as measured by reductions in blood lead levels and/or improvements in cognitive development. Search methods We identified trials through electronic searches</w:t>
      </w:r>
      <w:r w:rsidR="00427468">
        <w:rPr>
          <w:kern w:val="0"/>
        </w:rPr>
        <w:t xml:space="preserve"> of </w:t>
      </w:r>
      <w:r>
        <w:rPr>
          <w:kern w:val="0"/>
        </w:rPr>
        <w:t xml:space="preserve">CENTRAL (The Cochrane Library, 2010, Issue 2), </w:t>
      </w:r>
      <w:r w:rsidR="00D5664A">
        <w:rPr>
          <w:kern w:val="0"/>
        </w:rPr>
        <w:t>MEDLINE</w:t>
      </w:r>
      <w:r>
        <w:rPr>
          <w:kern w:val="0"/>
        </w:rPr>
        <w:t xml:space="preserve"> (1948 to April Week 1 2012), EMBASE (1980 to 2012 Week 2), CINAHL (1937 to 20 Jan 2012), PsycINFO (1887 to Dec week 2 2011), ERIC (1966 to 17 Jan 2012), Sociological Abstracts (1952 to 20 January 2012), Science Citation Index (1970 to 20 Jan 2012), ZETOC (20 Jan 2012), LILACS (20 Jan 2012), Dissertation Abstracts (late 1960s to Jan 2012), ClinicalTrials.gov (20 Jan 2012), Current Controlled Trials (Jan 2012), Australian New Zealand Clinical Trials Registry (Jan 2012)</w:t>
      </w:r>
      <w:r w:rsidR="005853A9">
        <w:rPr>
          <w:kern w:val="0"/>
        </w:rPr>
        <w:t xml:space="preserve"> and </w:t>
      </w:r>
      <w:r>
        <w:rPr>
          <w:kern w:val="0"/>
        </w:rPr>
        <w:t>the National Research Register Archive. We also contacted experts to find unpublished studies. Selection criteria Randomised</w:t>
      </w:r>
      <w:r w:rsidR="005853A9">
        <w:rPr>
          <w:kern w:val="0"/>
        </w:rPr>
        <w:t xml:space="preserve"> and </w:t>
      </w:r>
      <w:r>
        <w:rPr>
          <w:kern w:val="0"/>
        </w:rPr>
        <w:t>quasi-randomised controlled trials</w:t>
      </w:r>
      <w:r w:rsidR="00427468">
        <w:rPr>
          <w:kern w:val="0"/>
        </w:rPr>
        <w:t xml:space="preserve"> of </w:t>
      </w:r>
      <w:r>
        <w:rPr>
          <w:kern w:val="0"/>
        </w:rPr>
        <w:t>household educational or environmental interventions to prevent lead exposure in children where at least one standardised outcome measure was reported. Data collection</w:t>
      </w:r>
      <w:r w:rsidR="005853A9">
        <w:rPr>
          <w:kern w:val="0"/>
        </w:rPr>
        <w:t xml:space="preserve"> and </w:t>
      </w:r>
      <w:r>
        <w:rPr>
          <w:kern w:val="0"/>
        </w:rPr>
        <w:t>analysis Two authors independently reviewed all eligible studies for inclusion, assessed risk</w:t>
      </w:r>
      <w:r w:rsidR="00427468">
        <w:rPr>
          <w:kern w:val="0"/>
        </w:rPr>
        <w:t xml:space="preserve"> of </w:t>
      </w:r>
      <w:r>
        <w:rPr>
          <w:kern w:val="0"/>
        </w:rPr>
        <w:t>bias</w:t>
      </w:r>
      <w:r w:rsidR="005853A9">
        <w:rPr>
          <w:kern w:val="0"/>
        </w:rPr>
        <w:t xml:space="preserve"> and </w:t>
      </w:r>
      <w:r>
        <w:rPr>
          <w:kern w:val="0"/>
        </w:rPr>
        <w:t>extracted data. We contacted trialists to obtain missing information. Main results We included 14 studies (involving 2656 children). All studies reported blood lead level outcomes</w:t>
      </w:r>
      <w:r w:rsidR="005853A9">
        <w:rPr>
          <w:kern w:val="0"/>
        </w:rPr>
        <w:t xml:space="preserve"> and </w:t>
      </w:r>
      <w:r>
        <w:rPr>
          <w:kern w:val="0"/>
        </w:rPr>
        <w:t>none reported on cognitive or neurobehavioural outcomes. We put studies into subgroups according to their intervention type. We performed meta-analysis</w:t>
      </w:r>
      <w:r w:rsidR="00427468">
        <w:rPr>
          <w:kern w:val="0"/>
        </w:rPr>
        <w:t xml:space="preserve"> of </w:t>
      </w:r>
      <w:r>
        <w:rPr>
          <w:kern w:val="0"/>
        </w:rPr>
        <w:t>both continuous</w:t>
      </w:r>
      <w:r w:rsidR="005853A9">
        <w:rPr>
          <w:kern w:val="0"/>
        </w:rPr>
        <w:t xml:space="preserve"> and </w:t>
      </w:r>
      <w:r>
        <w:rPr>
          <w:kern w:val="0"/>
        </w:rPr>
        <w:t>dichotomous data for subgroups where appropriate. Educational interventions were not effective in reducing blood lead levels (continuous: mean difference (MD) 0.02, 95% confidence interval (CI) -0.09 to 0.12, I-2 = 0 (log transformed); dichotomous &gt;= 10 mu g/dL (&gt;= 0.48 mu mol/L): relative risk (RR) 1.02, 95% CI 0.79 to 1.30, I-2 = 0; dichotomous &gt;= 15 mu g/dL (&gt;= 0.72 mu mol/L): RR 0.60, 95% CI 0.33 to 1.09, I-2 = 0). Meta-analysis for the dust control subgroup also found no evidence</w:t>
      </w:r>
      <w:r w:rsidR="00427468">
        <w:rPr>
          <w:kern w:val="0"/>
        </w:rPr>
        <w:t xml:space="preserve"> of </w:t>
      </w:r>
      <w:r>
        <w:rPr>
          <w:kern w:val="0"/>
        </w:rPr>
        <w:t>effectiveness (continuous: MD -0.15, 95% CI -0.42 to 0.11, I-2 = 0.9 (log transformed); dichotomous &gt;= 10 mu g/dL (&gt;= 0.48 mu mol/L): RR 0.93, 95% CI 0.73 to 1.18, I-2 = 0; dichotomous &gt;= 15 mu g/dL (&gt;= 0.72 mu mol/L): RR 0.86, 95% CI 0.35 to 2.07, I-2 = 0.56). When meta-analysis for the dust control subgroup was adjusted for clustering, no statistical significant benefit was incurred</w:t>
      </w:r>
      <w:r w:rsidR="00A37C1D">
        <w:rPr>
          <w:kern w:val="0"/>
        </w:rPr>
        <w:t>. The</w:t>
      </w:r>
      <w:r>
        <w:rPr>
          <w:kern w:val="0"/>
        </w:rPr>
        <w:t xml:space="preserve"> studies using soil abatement (removal</w:t>
      </w:r>
      <w:r w:rsidR="005853A9">
        <w:rPr>
          <w:kern w:val="0"/>
        </w:rPr>
        <w:t xml:space="preserve"> and </w:t>
      </w:r>
      <w:r>
        <w:rPr>
          <w:kern w:val="0"/>
        </w:rPr>
        <w:t>replacement)</w:t>
      </w:r>
      <w:r w:rsidR="005853A9">
        <w:rPr>
          <w:kern w:val="0"/>
        </w:rPr>
        <w:t xml:space="preserve"> and </w:t>
      </w:r>
      <w:r>
        <w:rPr>
          <w:kern w:val="0"/>
        </w:rPr>
        <w:t>combination intervention groups were not able to be meta-analysed due to substantial differences between studies. Authors</w:t>
      </w:r>
      <w:r w:rsidR="0071223E">
        <w:rPr>
          <w:kern w:val="0"/>
        </w:rPr>
        <w:t>’</w:t>
      </w:r>
      <w:r>
        <w:rPr>
          <w:kern w:val="0"/>
        </w:rPr>
        <w:t xml:space="preserve"> conclusions Based on current knowledge, household educational or dust control interventions are ineffective in reducing blood lead levels in children as a population health measure</w:t>
      </w:r>
      <w:r w:rsidR="00A37C1D">
        <w:rPr>
          <w:kern w:val="0"/>
        </w:rPr>
        <w:t>. The</w:t>
      </w:r>
      <w:r>
        <w:rPr>
          <w:kern w:val="0"/>
        </w:rPr>
        <w:t>re is currently insufficient evidence to draw conclusions about the effectiveness</w:t>
      </w:r>
      <w:r w:rsidR="00427468">
        <w:rPr>
          <w:kern w:val="0"/>
        </w:rPr>
        <w:t xml:space="preserve"> of </w:t>
      </w:r>
      <w:r>
        <w:rPr>
          <w:kern w:val="0"/>
        </w:rPr>
        <w:t>soil abatement or combination interventions. Further trials are required to establish the most effective intervention for prevention</w:t>
      </w:r>
      <w:r w:rsidR="00427468">
        <w:rPr>
          <w:kern w:val="0"/>
        </w:rPr>
        <w:t xml:space="preserve"> of </w:t>
      </w:r>
      <w:r>
        <w:rPr>
          <w:kern w:val="0"/>
        </w:rPr>
        <w:t>lead exposure. Key elements</w:t>
      </w:r>
      <w:r w:rsidR="00427468">
        <w:rPr>
          <w:kern w:val="0"/>
        </w:rPr>
        <w:t xml:space="preserve"> of </w:t>
      </w:r>
      <w:r>
        <w:rPr>
          <w:kern w:val="0"/>
        </w:rPr>
        <w:t xml:space="preserve">these trials should include strategies to reduce </w:t>
      </w:r>
      <w:r>
        <w:rPr>
          <w:kern w:val="0"/>
        </w:rPr>
        <w:lastRenderedPageBreak/>
        <w:t>multiple sources</w:t>
      </w:r>
      <w:r w:rsidR="00427468">
        <w:rPr>
          <w:kern w:val="0"/>
        </w:rPr>
        <w:t xml:space="preserve"> of </w:t>
      </w:r>
      <w:r>
        <w:rPr>
          <w:kern w:val="0"/>
        </w:rPr>
        <w:t>lead exposure simultaneously using empirical dust clearance levels. It is also necessary for trials to be carried out in developing countries</w:t>
      </w:r>
      <w:r w:rsidR="005853A9">
        <w:rPr>
          <w:kern w:val="0"/>
        </w:rPr>
        <w:t xml:space="preserve"> and </w:t>
      </w:r>
      <w:r>
        <w:rPr>
          <w:kern w:val="0"/>
        </w:rPr>
        <w:t>in differing socioeconomic groups in developed countries.</w:t>
      </w:r>
    </w:p>
    <w:p w:rsidR="00365DE4" w:rsidRDefault="00365DE4" w:rsidP="00365DE4">
      <w:pPr>
        <w:pStyle w:val="a3"/>
        <w:rPr>
          <w:kern w:val="0"/>
        </w:rPr>
      </w:pPr>
      <w:r>
        <w:rPr>
          <w:kern w:val="0"/>
        </w:rPr>
        <w:t xml:space="preserve">Keywords: Abatement, Analysis, Australian, Authors, Bias, Blood, Blood Lead, Chelation-Therapy, Child, Children, Citation, Clinical Trials, Clustering, Collection, Confidence, Control, Countries, Criteria, Data, Data Collection, Developing, Developing Countries, Development, Dust, Dust [Prevention &amp; Control], Dust-Control, Education, Effectiveness, Electronic, Environmental, Environmental Exposure [Prevention &amp; Control], Environmental Remediation [Methods], Evidence, Experts, Exposure, First, Health, Humans, Impact, Inclusion, Information, Interval, Intervention, Interventions, Knowledge, Lead, Lead Poisoning [Prevention &amp; Control], Measure, </w:t>
      </w:r>
      <w:r w:rsidR="00D5664A">
        <w:rPr>
          <w:kern w:val="0"/>
        </w:rPr>
        <w:t>MEDLINE</w:t>
      </w:r>
      <w:r>
        <w:rPr>
          <w:kern w:val="0"/>
        </w:rPr>
        <w:t>, Meta-Analysis, Metaanalysis, Methods, New Zealand, Outcome, Outcomes, Paint [Toxicity], Physical, Poisoning, Population, Prevention, Psycinfo, Randomized-Trial, Relative Risk, Remediation, Removal, Research, Review, Risk, Science, Science Citation Index, Search, Soil, Soil, Sources</w:t>
      </w:r>
    </w:p>
    <w:p w:rsidR="00365DE4" w:rsidRDefault="00365DE4" w:rsidP="00365DE4">
      <w:pPr>
        <w:pStyle w:val="a3"/>
        <w:rPr>
          <w:kern w:val="0"/>
        </w:rPr>
      </w:pPr>
      <w:r>
        <w:rPr>
          <w:kern w:val="0"/>
        </w:rPr>
        <w:t>? Gur</w:t>
      </w:r>
      <w:r w:rsidR="00D5664A">
        <w:rPr>
          <w:kern w:val="0"/>
        </w:rPr>
        <w:t>USA</w:t>
      </w:r>
      <w:r>
        <w:rPr>
          <w:kern w:val="0"/>
        </w:rPr>
        <w:t>my, K.S., Koti, R., Samraj, K.</w:t>
      </w:r>
      <w:r w:rsidR="005853A9">
        <w:rPr>
          <w:kern w:val="0"/>
        </w:rPr>
        <w:t xml:space="preserve"> and </w:t>
      </w:r>
      <w:r>
        <w:rPr>
          <w:kern w:val="0"/>
        </w:rPr>
        <w:t xml:space="preserve">Davidson, B.R. (2012), Abdominal lift for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CD006574.</w:t>
      </w:r>
    </w:p>
    <w:p w:rsidR="00365DE4" w:rsidRDefault="00365DE4" w:rsidP="00365DE4">
      <w:pPr>
        <w:pStyle w:val="a3"/>
        <w:rPr>
          <w:kern w:val="2"/>
        </w:rPr>
      </w:pPr>
      <w:r>
        <w:t xml:space="preserve">Full Text: </w:t>
      </w:r>
      <w:hyperlink r:id="rId746" w:history="1">
        <w:r>
          <w:rPr>
            <w:rStyle w:val="a5"/>
          </w:rPr>
          <w:t>2012\Coc Dat Sys Rev2012, CD006574.pdf</w:t>
        </w:r>
      </w:hyperlink>
    </w:p>
    <w:p w:rsidR="00365DE4" w:rsidRDefault="00365DE4" w:rsidP="00365DE4">
      <w:pPr>
        <w:pStyle w:val="a3"/>
        <w:rPr>
          <w:kern w:val="0"/>
        </w:rPr>
      </w:pPr>
      <w:r>
        <w:rPr>
          <w:kern w:val="0"/>
        </w:rPr>
        <w:t>Abstract: Background Laparoscopic cholecystectomy (key-hole removal</w:t>
      </w:r>
      <w:r w:rsidR="00427468">
        <w:rPr>
          <w:kern w:val="0"/>
        </w:rPr>
        <w:t xml:space="preserve"> of </w:t>
      </w:r>
      <w:r>
        <w:rPr>
          <w:kern w:val="0"/>
        </w:rPr>
        <w:t>the gallbladder) is now the most often used method for treatment</w:t>
      </w:r>
      <w:r w:rsidR="00427468">
        <w:rPr>
          <w:kern w:val="0"/>
        </w:rPr>
        <w:t xml:space="preserve"> of </w:t>
      </w:r>
      <w:r>
        <w:rPr>
          <w:kern w:val="0"/>
        </w:rPr>
        <w:t>symptomatic gallstones. Several cardiopulmonary changes (decreased cardiac output, pulmonary compliance,</w:t>
      </w:r>
      <w:r w:rsidR="005853A9">
        <w:rPr>
          <w:kern w:val="0"/>
        </w:rPr>
        <w:t xml:space="preserve"> and </w:t>
      </w:r>
      <w:r>
        <w:rPr>
          <w:kern w:val="0"/>
        </w:rPr>
        <w:t>increased peak airway pressure) occur during pneumoperitoneum, which is now introduced to allow laparoscopic cholecystectomy</w:t>
      </w:r>
      <w:r w:rsidR="00A37C1D">
        <w:rPr>
          <w:kern w:val="0"/>
        </w:rPr>
        <w:t>. The</w:t>
      </w:r>
      <w:r>
        <w:rPr>
          <w:kern w:val="0"/>
        </w:rPr>
        <w:t>se cardiopulmonary changes may not be tolerated in individuals with poor cardiopulmonary reserve. Objectives To assess the benefits</w:t>
      </w:r>
      <w:r w:rsidR="005853A9">
        <w:rPr>
          <w:kern w:val="0"/>
        </w:rPr>
        <w:t xml:space="preserve"> and </w:t>
      </w:r>
      <w:r>
        <w:rPr>
          <w:kern w:val="0"/>
        </w:rPr>
        <w:t>harms</w:t>
      </w:r>
      <w:r w:rsidR="00427468">
        <w:rPr>
          <w:kern w:val="0"/>
        </w:rPr>
        <w:t xml:space="preserve"> of </w:t>
      </w:r>
      <w:r>
        <w:rPr>
          <w:kern w:val="0"/>
        </w:rPr>
        <w:t>abdominal wall lift compared with pneumoperitoneum in patients undergoing laparoscopic cholecystectomy.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January 2012. Selection criteria We included all randomised clinical trials comparing abdominal wall lift (with or without pneumoperitoneum) versus pneumoperitoneum. Data collection</w:t>
      </w:r>
      <w:r w:rsidR="005853A9">
        <w:rPr>
          <w:kern w:val="0"/>
        </w:rPr>
        <w:t xml:space="preserve"> and </w:t>
      </w:r>
      <w:r>
        <w:rPr>
          <w:kern w:val="0"/>
        </w:rPr>
        <w:t>analysis We calculated the risk ratio (RR), rate ratio (RaR), or mean difference (MD) with 95% confidence intervals (CI) based on intention-to-treat analysis with both the fixed-effect</w:t>
      </w:r>
      <w:r w:rsidR="005853A9">
        <w:rPr>
          <w:kern w:val="0"/>
        </w:rPr>
        <w:t xml:space="preserve"> and </w:t>
      </w:r>
      <w:r>
        <w:rPr>
          <w:kern w:val="0"/>
        </w:rPr>
        <w:t>the random-effects models using RevMan software. Main results For abdominal wall lift with pneumoperitoneum versus pneumoperitoneum, a total</w:t>
      </w:r>
      <w:r w:rsidR="00427468">
        <w:rPr>
          <w:kern w:val="0"/>
        </w:rPr>
        <w:t xml:space="preserve"> of </w:t>
      </w:r>
      <w:r>
        <w:rPr>
          <w:kern w:val="0"/>
        </w:rPr>
        <w:t xml:space="preserve">156 participants (all with low anaesthetic risk) who underwent elective laparoscopic cholecystectomy were randomised in six trials to abdominal wall lift with pneumoperitoneum (n = 65) </w:t>
      </w:r>
      <w:r>
        <w:rPr>
          <w:kern w:val="0"/>
        </w:rPr>
        <w:lastRenderedPageBreak/>
        <w:t>versus pneumoperitoneum only (n = 66). One trial which included 25 patients did not state the number</w:t>
      </w:r>
      <w:r w:rsidR="00427468">
        <w:rPr>
          <w:kern w:val="0"/>
        </w:rPr>
        <w:t xml:space="preserve"> of </w:t>
      </w:r>
      <w:r>
        <w:rPr>
          <w:kern w:val="0"/>
        </w:rPr>
        <w:t>patients in each group. All six trials had a high risk</w:t>
      </w:r>
      <w:r w:rsidR="00427468">
        <w:rPr>
          <w:kern w:val="0"/>
        </w:rPr>
        <w:t xml:space="preserve"> of </w:t>
      </w:r>
      <w:r>
        <w:rPr>
          <w:kern w:val="0"/>
        </w:rPr>
        <w:t>bias</w:t>
      </w:r>
      <w:r w:rsidR="00A37C1D">
        <w:rPr>
          <w:kern w:val="0"/>
        </w:rPr>
        <w:t>. The</w:t>
      </w:r>
      <w:r>
        <w:rPr>
          <w:kern w:val="0"/>
        </w:rPr>
        <w:t>re was no mortality or conversion to open cholecystectomy in any</w:t>
      </w:r>
      <w:r w:rsidR="00427468">
        <w:rPr>
          <w:kern w:val="0"/>
        </w:rPr>
        <w:t xml:space="preserve"> of </w:t>
      </w:r>
      <w:r>
        <w:rPr>
          <w:kern w:val="0"/>
        </w:rPr>
        <w:t>the patients in the trials that reported these outcomes</w:t>
      </w:r>
      <w:r w:rsidR="00A37C1D">
        <w:rPr>
          <w:kern w:val="0"/>
        </w:rPr>
        <w:t>. The</w:t>
      </w:r>
      <w:r>
        <w:rPr>
          <w:kern w:val="0"/>
        </w:rPr>
        <w:t>re was no significant difference in the rate</w:t>
      </w:r>
      <w:r w:rsidR="00427468">
        <w:rPr>
          <w:kern w:val="0"/>
        </w:rPr>
        <w:t xml:space="preserve"> of </w:t>
      </w:r>
      <w:r>
        <w:rPr>
          <w:kern w:val="0"/>
        </w:rPr>
        <w:t>serious adverse events between the two groups (2 trials; 2/29 events (0.069 events per patient) versus 2/29 events (0.069 events per patient); rate ratio 1.00; 95% CI 0.17 to 5.77). None</w:t>
      </w:r>
      <w:r w:rsidR="00427468">
        <w:rPr>
          <w:kern w:val="0"/>
        </w:rPr>
        <w:t xml:space="preserve"> of </w:t>
      </w:r>
      <w:r>
        <w:rPr>
          <w:kern w:val="0"/>
        </w:rPr>
        <w:t>the trials reported quality</w:t>
      </w:r>
      <w:r w:rsidR="00427468">
        <w:rPr>
          <w:kern w:val="0"/>
        </w:rPr>
        <w:t xml:space="preserve"> of </w:t>
      </w:r>
      <w:r>
        <w:rPr>
          <w:kern w:val="0"/>
        </w:rPr>
        <w:t>life, the proportion</w:t>
      </w:r>
      <w:r w:rsidR="00427468">
        <w:rPr>
          <w:kern w:val="0"/>
        </w:rPr>
        <w:t xml:space="preserve"> of </w:t>
      </w:r>
      <w:r>
        <w:rPr>
          <w:kern w:val="0"/>
        </w:rPr>
        <w:t>patients discharged as day-patient laparoscopic cholecystectomies, or pain between four</w:t>
      </w:r>
      <w:r w:rsidR="005853A9">
        <w:rPr>
          <w:kern w:val="0"/>
        </w:rPr>
        <w:t xml:space="preserve"> and </w:t>
      </w:r>
      <w:r>
        <w:rPr>
          <w:kern w:val="0"/>
        </w:rPr>
        <w:t>eight hours after the operation</w:t>
      </w:r>
      <w:r w:rsidR="00A37C1D">
        <w:rPr>
          <w:kern w:val="0"/>
        </w:rPr>
        <w:t>. The</w:t>
      </w:r>
      <w:r>
        <w:rPr>
          <w:kern w:val="0"/>
        </w:rPr>
        <w:t>re was no significant difference in the operating time between the two groups (4 trials; 53 patients versus 54 patients; 13.39 minutes longer (2.73 less to 29.51 longer) in the abdominal wall lift with pneumoperitoneum group</w:t>
      </w:r>
      <w:r w:rsidR="005853A9">
        <w:rPr>
          <w:kern w:val="0"/>
        </w:rPr>
        <w:t xml:space="preserve"> and </w:t>
      </w:r>
      <w:r>
        <w:rPr>
          <w:kern w:val="0"/>
        </w:rPr>
        <w:t>100 minutes in the pneumoperitoneum group). For abdominal wall lift versus pneumoperitoneum, a total</w:t>
      </w:r>
      <w:r w:rsidR="00427468">
        <w:rPr>
          <w:kern w:val="0"/>
        </w:rPr>
        <w:t xml:space="preserve"> of </w:t>
      </w:r>
      <w:r>
        <w:rPr>
          <w:kern w:val="0"/>
        </w:rPr>
        <w:t>774 participants (the majority with low anaesthetic risk) who underwent elective laparoscopic cholecystectomy were randomised in 18 trials to abdominal wall lift without pneumoperitoneum (n = 332) versus pneumoperitoneum (n = 358). One trial which included 84 patients did not state the number</w:t>
      </w:r>
      <w:r w:rsidR="00427468">
        <w:rPr>
          <w:kern w:val="0"/>
        </w:rPr>
        <w:t xml:space="preserve"> of </w:t>
      </w:r>
      <w:r>
        <w:rPr>
          <w:kern w:val="0"/>
        </w:rPr>
        <w:t>patients in each group. All the trials had a high risk</w:t>
      </w:r>
      <w:r w:rsidR="00427468">
        <w:rPr>
          <w:kern w:val="0"/>
        </w:rPr>
        <w:t xml:space="preserve"> of </w:t>
      </w:r>
      <w:r>
        <w:rPr>
          <w:kern w:val="0"/>
        </w:rPr>
        <w:t>bias</w:t>
      </w:r>
      <w:r w:rsidR="00A37C1D">
        <w:rPr>
          <w:kern w:val="0"/>
        </w:rPr>
        <w:t>. The</w:t>
      </w:r>
      <w:r>
        <w:rPr>
          <w:kern w:val="0"/>
        </w:rPr>
        <w:t>re was no mortality in any</w:t>
      </w:r>
      <w:r w:rsidR="00427468">
        <w:rPr>
          <w:kern w:val="0"/>
        </w:rPr>
        <w:t xml:space="preserve"> of </w:t>
      </w:r>
      <w:r>
        <w:rPr>
          <w:kern w:val="0"/>
        </w:rPr>
        <w:t>the trials that reported this outcome</w:t>
      </w:r>
      <w:r w:rsidR="00A37C1D">
        <w:rPr>
          <w:kern w:val="0"/>
        </w:rPr>
        <w:t>. The</w:t>
      </w:r>
      <w:r>
        <w:rPr>
          <w:kern w:val="0"/>
        </w:rPr>
        <w:t>re was no significant difference in the rate</w:t>
      </w:r>
      <w:r w:rsidR="00427468">
        <w:rPr>
          <w:kern w:val="0"/>
        </w:rPr>
        <w:t xml:space="preserve"> of </w:t>
      </w:r>
      <w:r>
        <w:rPr>
          <w:kern w:val="0"/>
        </w:rPr>
        <w:t>serious adverse events between the two groups (6 trials; 5/172 events (weighted number</w:t>
      </w:r>
      <w:r w:rsidR="00427468">
        <w:rPr>
          <w:kern w:val="0"/>
        </w:rPr>
        <w:t xml:space="preserve"> of </w:t>
      </w:r>
      <w:r>
        <w:rPr>
          <w:kern w:val="0"/>
        </w:rPr>
        <w:t>events per patient = 0.020 events) versus 2/171 events (0.012 events per patient); rate ratio 1.73; 95% CI 0.35 to 8.61). None</w:t>
      </w:r>
      <w:r w:rsidR="00427468">
        <w:rPr>
          <w:kern w:val="0"/>
        </w:rPr>
        <w:t xml:space="preserve"> of </w:t>
      </w:r>
      <w:r>
        <w:rPr>
          <w:kern w:val="0"/>
        </w:rPr>
        <w:t>the trials reported quality</w:t>
      </w:r>
      <w:r w:rsidR="00427468">
        <w:rPr>
          <w:kern w:val="0"/>
        </w:rPr>
        <w:t xml:space="preserve"> of </w:t>
      </w:r>
      <w:r>
        <w:rPr>
          <w:kern w:val="0"/>
        </w:rPr>
        <w:t>life or pain between four</w:t>
      </w:r>
      <w:r w:rsidR="005853A9">
        <w:rPr>
          <w:kern w:val="0"/>
        </w:rPr>
        <w:t xml:space="preserve"> and </w:t>
      </w:r>
      <w:r>
        <w:rPr>
          <w:kern w:val="0"/>
        </w:rPr>
        <w:t>eight hours after the operation</w:t>
      </w:r>
      <w:r w:rsidR="00A37C1D">
        <w:rPr>
          <w:kern w:val="0"/>
        </w:rPr>
        <w:t>. The</w:t>
      </w:r>
      <w:r>
        <w:rPr>
          <w:kern w:val="0"/>
        </w:rPr>
        <w:t>re was no significant difference in the proportion</w:t>
      </w:r>
      <w:r w:rsidR="00427468">
        <w:rPr>
          <w:kern w:val="0"/>
        </w:rPr>
        <w:t xml:space="preserve"> of </w:t>
      </w:r>
      <w:r>
        <w:rPr>
          <w:kern w:val="0"/>
        </w:rPr>
        <w:t>patients who underwent conversion to open cholecystectomy (11 trials; 5/225 (weighted proportion 2.3%) versus 7/235 (3.0%); RR 0.76; 95% CI 0.26 to 2.21)</w:t>
      </w:r>
      <w:r w:rsidR="00A37C1D">
        <w:rPr>
          <w:kern w:val="0"/>
        </w:rPr>
        <w:t>. The</w:t>
      </w:r>
      <w:r>
        <w:rPr>
          <w:kern w:val="0"/>
        </w:rPr>
        <w:t xml:space="preserve"> operating time was significantly longer in the abdominal wall lift group than the pneumoperitoneum group (16 trials; 6.87 minutes longer (4.74 to 9.00 longer) in the abdominal wall lift group; 75 minutes in the pneumoperitoneum group)</w:t>
      </w:r>
      <w:r w:rsidR="00A37C1D">
        <w:rPr>
          <w:kern w:val="0"/>
        </w:rPr>
        <w:t>. The</w:t>
      </w:r>
      <w:r>
        <w:rPr>
          <w:kern w:val="0"/>
        </w:rPr>
        <w:t>re was no significant difference in the proportion</w:t>
      </w:r>
      <w:r w:rsidR="00427468">
        <w:rPr>
          <w:kern w:val="0"/>
        </w:rPr>
        <w:t xml:space="preserve"> of </w:t>
      </w:r>
      <w:r>
        <w:rPr>
          <w:kern w:val="0"/>
        </w:rPr>
        <w:t>patients who were discharged as day-patient laparoscopic cholecystectomy patients (2 trials; 15/31 (weighted proportion 48.5%) versus 9/31 (29%); RR 1.67; 95% CI 0.85 to 3.26). Authors</w:t>
      </w:r>
      <w:r w:rsidR="0071223E">
        <w:rPr>
          <w:kern w:val="0"/>
        </w:rPr>
        <w:t>’</w:t>
      </w:r>
      <w:r>
        <w:rPr>
          <w:kern w:val="0"/>
        </w:rPr>
        <w:t xml:space="preserve"> conclusions Abdominal wall lift does not seem to offer an advantage over pneumoperitoneum in any</w:t>
      </w:r>
      <w:r w:rsidR="00427468">
        <w:rPr>
          <w:kern w:val="0"/>
        </w:rPr>
        <w:t xml:space="preserve"> of </w:t>
      </w:r>
      <w:r>
        <w:rPr>
          <w:kern w:val="0"/>
        </w:rPr>
        <w:t>the patient-oriented outcomes for laparoscopic cholecystectomy in patients with low anaesthetic risk. It may increase costs by increasing the operating time. Hence it cannot be recommended routinely</w:t>
      </w:r>
      <w:r w:rsidR="00A37C1D">
        <w:rPr>
          <w:kern w:val="0"/>
        </w:rPr>
        <w:t>. The</w:t>
      </w:r>
      <w:r>
        <w:rPr>
          <w:kern w:val="0"/>
        </w:rPr>
        <w:t xml:space="preserve"> safety</w:t>
      </w:r>
      <w:r w:rsidR="00427468">
        <w:rPr>
          <w:kern w:val="0"/>
        </w:rPr>
        <w:t xml:space="preserve"> of </w:t>
      </w:r>
      <w:r>
        <w:rPr>
          <w:kern w:val="0"/>
        </w:rPr>
        <w:t>abdominal wall lift is yet to be established. More research on the topic is needed because</w:t>
      </w:r>
      <w:r w:rsidR="00427468">
        <w:rPr>
          <w:kern w:val="0"/>
        </w:rPr>
        <w:t xml:space="preserve"> of </w:t>
      </w:r>
      <w:r>
        <w:rPr>
          <w:kern w:val="0"/>
        </w:rPr>
        <w:t>the risk</w:t>
      </w:r>
      <w:r w:rsidR="00427468">
        <w:rPr>
          <w:kern w:val="0"/>
        </w:rPr>
        <w:t xml:space="preserve"> of </w:t>
      </w:r>
      <w:r>
        <w:rPr>
          <w:kern w:val="0"/>
        </w:rPr>
        <w:t>bias in the included trials</w:t>
      </w:r>
      <w:r w:rsidR="005853A9">
        <w:rPr>
          <w:kern w:val="0"/>
        </w:rPr>
        <w:t xml:space="preserve"> and </w:t>
      </w:r>
      <w:r>
        <w:rPr>
          <w:kern w:val="0"/>
        </w:rPr>
        <w:t>because</w:t>
      </w:r>
      <w:r w:rsidR="00427468">
        <w:rPr>
          <w:kern w:val="0"/>
        </w:rPr>
        <w:t xml:space="preserve"> of </w:t>
      </w:r>
      <w:r>
        <w:rPr>
          <w:kern w:val="0"/>
        </w:rPr>
        <w:t>the risk</w:t>
      </w:r>
      <w:r w:rsidR="00427468">
        <w:rPr>
          <w:kern w:val="0"/>
        </w:rPr>
        <w:t xml:space="preserve"> of </w:t>
      </w:r>
      <w:r>
        <w:rPr>
          <w:kern w:val="0"/>
        </w:rPr>
        <w:t>type I</w:t>
      </w:r>
      <w:r w:rsidR="005853A9">
        <w:rPr>
          <w:kern w:val="0"/>
        </w:rPr>
        <w:t xml:space="preserve"> and </w:t>
      </w:r>
      <w:r>
        <w:rPr>
          <w:kern w:val="0"/>
        </w:rPr>
        <w:t>type II random errors because</w:t>
      </w:r>
      <w:r w:rsidR="00427468">
        <w:rPr>
          <w:kern w:val="0"/>
        </w:rPr>
        <w:t xml:space="preserve"> of </w:t>
      </w:r>
      <w:r>
        <w:rPr>
          <w:kern w:val="0"/>
        </w:rPr>
        <w:t xml:space="preserve">the few patients included in the trials. Such trials ought to include patients at higher anaesthetic risk. Furthermore, such trials ought to </w:t>
      </w:r>
      <w:r>
        <w:rPr>
          <w:kern w:val="0"/>
        </w:rPr>
        <w:lastRenderedPageBreak/>
        <w:t>include blinded assessment</w:t>
      </w:r>
      <w:r w:rsidR="00427468">
        <w:rPr>
          <w:kern w:val="0"/>
        </w:rPr>
        <w:t xml:space="preserve"> of </w:t>
      </w:r>
      <w:r>
        <w:rPr>
          <w:kern w:val="0"/>
        </w:rPr>
        <w:t>outcome measures.</w:t>
      </w:r>
    </w:p>
    <w:p w:rsidR="00365DE4" w:rsidRDefault="00365DE4" w:rsidP="00365DE4">
      <w:pPr>
        <w:pStyle w:val="a3"/>
        <w:rPr>
          <w:kern w:val="0"/>
        </w:rPr>
      </w:pPr>
      <w:r>
        <w:rPr>
          <w:kern w:val="0"/>
        </w:rPr>
        <w:t xml:space="preserve">Keywords: Abdominal, Abdominal Wall, Analysis, Assessment, Bias, Blood Pressure, Carbon-Dioxide Pneumoperitoneum, Cardiac Output, Cardiac-Function, Cardiopulmonary, Changes, Cholecystectomy, Cholecystectomy,Laparoscopic [Methods], Citation, Clinical, Clinical Trials, Co2 Pneumoperitoneum, Collection, Compliance, Confidence, Confidence Intervals, Conventional Pneumoperitoneum, Costs, Criteria, Data Collection, Elective, Errors, Events, Heart Rate, Humans, Intervals, J-Surg 2004, Laparoscopic, Life, Low, Lung Compliance, </w:t>
      </w:r>
      <w:r w:rsidR="00D5664A">
        <w:rPr>
          <w:kern w:val="0"/>
        </w:rPr>
        <w:t>MEDLINE</w:t>
      </w:r>
      <w:r>
        <w:rPr>
          <w:kern w:val="0"/>
        </w:rPr>
        <w:t>, Method, Methods, Models, Mortality, Neuroendocrine Response, Open, Operation, Outcome, Outcome Measures, Outcomes, Pain, Patients, Pneumoperitoneum,Artificial [Adverse Effects], Postoperative Course, Pressure, Quality, Quality Of, Quality</w:t>
      </w:r>
      <w:r w:rsidR="00427468">
        <w:rPr>
          <w:kern w:val="0"/>
        </w:rPr>
        <w:t xml:space="preserve"> of </w:t>
      </w:r>
      <w:r>
        <w:rPr>
          <w:kern w:val="0"/>
        </w:rPr>
        <w:t>Life, Randomised, Randomized Clinical-Trial, Randomized Controlled Trials As Topic, Removal, Research, Risk, Safety, Science, Science Citation Index, Science Citation Index Expanded, Search, Sequential-Analysis, Software, State, Treatment, Trial, Wall Lift</w:t>
      </w:r>
    </w:p>
    <w:p w:rsidR="00365DE4" w:rsidRDefault="00365DE4" w:rsidP="00365DE4">
      <w:pPr>
        <w:pStyle w:val="a3"/>
        <w:rPr>
          <w:kern w:val="0"/>
        </w:rPr>
      </w:pPr>
      <w:r>
        <w:rPr>
          <w:kern w:val="0"/>
        </w:rPr>
        <w:t>? Gur</w:t>
      </w:r>
      <w:r w:rsidR="00D5664A">
        <w:rPr>
          <w:kern w:val="0"/>
        </w:rPr>
        <w:t>USA</w:t>
      </w:r>
      <w:r>
        <w:rPr>
          <w:kern w:val="0"/>
        </w:rPr>
        <w:t>my, K.S., Li, J., Vaughan, J., Sharma, D.</w:t>
      </w:r>
      <w:r w:rsidR="005853A9">
        <w:rPr>
          <w:kern w:val="0"/>
        </w:rPr>
        <w:t xml:space="preserve"> and </w:t>
      </w:r>
      <w:r>
        <w:rPr>
          <w:kern w:val="0"/>
        </w:rPr>
        <w:t>Davidson, B.R. (2012), Cardiopulmonary interventions to decrease blood loss</w:t>
      </w:r>
      <w:r w:rsidR="005853A9">
        <w:rPr>
          <w:kern w:val="0"/>
        </w:rPr>
        <w:t xml:space="preserve"> and </w:t>
      </w:r>
      <w:r>
        <w:rPr>
          <w:kern w:val="0"/>
        </w:rPr>
        <w:t xml:space="preserve">blood transfusion requirements for liver resection.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CD007338.</w:t>
      </w:r>
    </w:p>
    <w:p w:rsidR="00365DE4" w:rsidRDefault="00365DE4" w:rsidP="00365DE4">
      <w:pPr>
        <w:pStyle w:val="a3"/>
        <w:rPr>
          <w:kern w:val="2"/>
        </w:rPr>
      </w:pPr>
      <w:r>
        <w:t xml:space="preserve">Full Text: </w:t>
      </w:r>
      <w:hyperlink r:id="rId747" w:history="1">
        <w:r>
          <w:rPr>
            <w:rStyle w:val="a5"/>
          </w:rPr>
          <w:t>2012\Coc Dat Sys Rev2012, CD007338.pdf</w:t>
        </w:r>
      </w:hyperlink>
    </w:p>
    <w:p w:rsidR="00365DE4" w:rsidRDefault="00365DE4" w:rsidP="00365DE4">
      <w:pPr>
        <w:pStyle w:val="a3"/>
        <w:rPr>
          <w:kern w:val="0"/>
        </w:rPr>
      </w:pPr>
      <w:r>
        <w:rPr>
          <w:kern w:val="0"/>
        </w:rPr>
        <w:t>Abstract: Background Blood loss during liver resection is considered one</w:t>
      </w:r>
      <w:r w:rsidR="00427468">
        <w:rPr>
          <w:kern w:val="0"/>
        </w:rPr>
        <w:t xml:space="preserve"> of </w:t>
      </w:r>
      <w:r>
        <w:rPr>
          <w:kern w:val="0"/>
        </w:rPr>
        <w:t>the most important factors affecting the peri-operative outcomes</w:t>
      </w:r>
      <w:r w:rsidR="00427468">
        <w:rPr>
          <w:kern w:val="0"/>
        </w:rPr>
        <w:t xml:space="preserve"> of </w:t>
      </w:r>
      <w:r>
        <w:rPr>
          <w:kern w:val="0"/>
        </w:rPr>
        <w:t>patients undergoing liver resection. Objectives To determine the benefits</w:t>
      </w:r>
      <w:r w:rsidR="005853A9">
        <w:rPr>
          <w:kern w:val="0"/>
        </w:rPr>
        <w:t xml:space="preserve"> and </w:t>
      </w:r>
      <w:r>
        <w:rPr>
          <w:kern w:val="0"/>
        </w:rPr>
        <w:t>harms</w:t>
      </w:r>
      <w:r w:rsidR="00427468">
        <w:rPr>
          <w:kern w:val="0"/>
        </w:rPr>
        <w:t xml:space="preserve"> of </w:t>
      </w:r>
      <w:r>
        <w:rPr>
          <w:kern w:val="0"/>
        </w:rPr>
        <w:t>cardiopulmonary interventions to decrease blood loss</w:t>
      </w:r>
      <w:r w:rsidR="005853A9">
        <w:rPr>
          <w:kern w:val="0"/>
        </w:rPr>
        <w:t xml:space="preserve"> and </w:t>
      </w:r>
      <w:r>
        <w:rPr>
          <w:kern w:val="0"/>
        </w:rPr>
        <w:t>to decrease allogeneic blood transfusion requirements in patients undergoing liver resections.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January 2012 to identify randomised trials. Selection criteria We included all randomised clinical trials comparing various cardiopulmonary interventions aimed at decreasing blood loss</w:t>
      </w:r>
      <w:r w:rsidR="005853A9">
        <w:rPr>
          <w:kern w:val="0"/>
        </w:rPr>
        <w:t xml:space="preserve"> and </w:t>
      </w:r>
      <w:r>
        <w:rPr>
          <w:kern w:val="0"/>
        </w:rPr>
        <w:t>allogeneic blood transfusion requirements in patients undergoing liver resection. Trials were included irrespective</w:t>
      </w:r>
      <w:r w:rsidR="00427468">
        <w:rPr>
          <w:kern w:val="0"/>
        </w:rPr>
        <w:t xml:space="preserve"> of </w:t>
      </w:r>
      <w:r>
        <w:rPr>
          <w:kern w:val="0"/>
        </w:rPr>
        <w:t>whether they included major or minor liver resections</w:t>
      </w:r>
      <w:r w:rsidR="00427468">
        <w:rPr>
          <w:kern w:val="0"/>
        </w:rPr>
        <w:t xml:space="preserve"> of </w:t>
      </w:r>
      <w:r>
        <w:rPr>
          <w:kern w:val="0"/>
        </w:rPr>
        <w:t>normal or cirrhotic livers, vascular occlusion was used or not,</w:t>
      </w:r>
      <w:r w:rsidR="005853A9">
        <w:rPr>
          <w:kern w:val="0"/>
        </w:rPr>
        <w:t xml:space="preserve"> and </w:t>
      </w:r>
      <w:r>
        <w:rPr>
          <w:kern w:val="0"/>
        </w:rPr>
        <w:t>irrespective</w:t>
      </w:r>
      <w:r w:rsidR="00427468">
        <w:rPr>
          <w:kern w:val="0"/>
        </w:rPr>
        <w:t xml:space="preserve"> of </w:t>
      </w:r>
      <w:r>
        <w:rPr>
          <w:kern w:val="0"/>
        </w:rPr>
        <w:t>the reason for liver resection. Data collection</w:t>
      </w:r>
      <w:r w:rsidR="005853A9">
        <w:rPr>
          <w:kern w:val="0"/>
        </w:rPr>
        <w:t xml:space="preserve"> and </w:t>
      </w:r>
      <w:r>
        <w:rPr>
          <w:kern w:val="0"/>
        </w:rPr>
        <w:t>analysis Two authors independently identified trials for inclusion</w:t>
      </w:r>
      <w:r w:rsidR="005853A9">
        <w:rPr>
          <w:kern w:val="0"/>
        </w:rPr>
        <w:t xml:space="preserve"> and </w:t>
      </w:r>
      <w:r>
        <w:rPr>
          <w:kern w:val="0"/>
        </w:rPr>
        <w:t>independently extracted data. We analysed the data with both the fixed-effect</w:t>
      </w:r>
      <w:r w:rsidR="005853A9">
        <w:rPr>
          <w:kern w:val="0"/>
        </w:rPr>
        <w:t xml:space="preserve"> and </w:t>
      </w:r>
      <w:r>
        <w:rPr>
          <w:kern w:val="0"/>
        </w:rPr>
        <w:t xml:space="preserve">the random-effects models using RevMan Analysis. For each outcome we calculated the risk ratio (RR), mean difference (MD), or standardised mean difference (SMD) with 95% confidence intervals (CI) based on intention-to-treat analysis or available case analysis. For </w:t>
      </w:r>
      <w:r>
        <w:rPr>
          <w:kern w:val="0"/>
        </w:rPr>
        <w:lastRenderedPageBreak/>
        <w:t>dichotomous outcomes with only one trial included under the outcome, we performed the Fisher</w:t>
      </w:r>
      <w:r w:rsidR="0071223E">
        <w:rPr>
          <w:kern w:val="0"/>
        </w:rPr>
        <w:t>’</w:t>
      </w:r>
      <w:r>
        <w:rPr>
          <w:kern w:val="0"/>
        </w:rPr>
        <w:t>s exact test. Main results Ten trials involving 617 patients satisfied the inclusion criteria</w:t>
      </w:r>
      <w:r w:rsidR="00A37C1D">
        <w:rPr>
          <w:kern w:val="0"/>
        </w:rPr>
        <w:t>. The</w:t>
      </w:r>
      <w:r>
        <w:rPr>
          <w:kern w:val="0"/>
        </w:rPr>
        <w:t xml:space="preserve"> interventions included low central venous pressure (CVP), autologous blood donation, haemodilution, haemodilution with controlled hypotension,</w:t>
      </w:r>
      <w:r w:rsidR="005853A9">
        <w:rPr>
          <w:kern w:val="0"/>
        </w:rPr>
        <w:t xml:space="preserve"> and </w:t>
      </w:r>
      <w:r>
        <w:rPr>
          <w:kern w:val="0"/>
        </w:rPr>
        <w:t>hypoventilation. Only one or two trials were included under most comparisons. All trials had a high risk</w:t>
      </w:r>
      <w:r w:rsidR="00427468">
        <w:rPr>
          <w:kern w:val="0"/>
        </w:rPr>
        <w:t xml:space="preserve"> of </w:t>
      </w:r>
      <w:r>
        <w:rPr>
          <w:kern w:val="0"/>
        </w:rPr>
        <w:t>bias</w:t>
      </w:r>
      <w:r w:rsidR="00A37C1D">
        <w:rPr>
          <w:kern w:val="0"/>
        </w:rPr>
        <w:t>. The</w:t>
      </w:r>
      <w:r>
        <w:rPr>
          <w:kern w:val="0"/>
        </w:rPr>
        <w:t>re was no significant difference in the peri-operative mortality in any</w:t>
      </w:r>
      <w:r w:rsidR="00427468">
        <w:rPr>
          <w:kern w:val="0"/>
        </w:rPr>
        <w:t xml:space="preserve"> of </w:t>
      </w:r>
      <w:r>
        <w:rPr>
          <w:kern w:val="0"/>
        </w:rPr>
        <w:t>the comparisons: low CVP versus no intervention (3 trials, 0/88 (0%) patients in the low CVP group versus 1/89 (1.1%) patients in the no intervention group); autologous blood donation versus no intervention (1 trial, 0/40 (0%) versus 0/39 (0%)); haemodilution versus no intervention (2 trials, 1/73 (1.4%) versus 3/77 (3.9%) in one</w:t>
      </w:r>
      <w:r w:rsidR="00427468">
        <w:rPr>
          <w:kern w:val="0"/>
        </w:rPr>
        <w:t xml:space="preserve"> of </w:t>
      </w:r>
      <w:r>
        <w:rPr>
          <w:kern w:val="0"/>
        </w:rPr>
        <w:t>these trials); haemodilution with controlled hypotension versus no intervention (1 trial, 0/10 (0%) versus 0/10 (0%)); haemodilution with bovine haemoglobin (HBOC-201) versus haemodilution with hydroxy ethyl starch (HES) (1 trial, 1/6 (16.7%) versus 0/6 (0%)); hypoventilation versus no intervention (1 trial, 0/40 (0%) versus 0/39 (0%)). None</w:t>
      </w:r>
      <w:r w:rsidR="00427468">
        <w:rPr>
          <w:kern w:val="0"/>
        </w:rPr>
        <w:t xml:space="preserve"> of </w:t>
      </w:r>
      <w:r>
        <w:rPr>
          <w:kern w:val="0"/>
        </w:rPr>
        <w:t>the trials reported long-term survival or quality</w:t>
      </w:r>
      <w:r w:rsidR="00427468">
        <w:rPr>
          <w:kern w:val="0"/>
        </w:rPr>
        <w:t xml:space="preserve"> of </w:t>
      </w:r>
      <w:r>
        <w:rPr>
          <w:kern w:val="0"/>
        </w:rPr>
        <w:t>life</w:t>
      </w:r>
      <w:r w:rsidR="00A37C1D">
        <w:rPr>
          <w:kern w:val="0"/>
        </w:rPr>
        <w:t>. The</w:t>
      </w:r>
      <w:r>
        <w:rPr>
          <w:kern w:val="0"/>
        </w:rPr>
        <w:t xml:space="preserve"> risk ratio</w:t>
      </w:r>
      <w:r w:rsidR="00427468">
        <w:rPr>
          <w:kern w:val="0"/>
        </w:rPr>
        <w:t xml:space="preserve"> of </w:t>
      </w:r>
      <w:r>
        <w:rPr>
          <w:kern w:val="0"/>
        </w:rPr>
        <w:t>requiring allogeneic blood transfusion was significantly lower in the haemodilution versus no intervention groups (3 trials, 16/115 (weighted proportion = 14.2%) versus 41/118 (34.7%), RR 0.41 (95% CI 0.25 to 0.66), P = 0.0003);</w:t>
      </w:r>
      <w:r w:rsidR="005853A9">
        <w:rPr>
          <w:kern w:val="0"/>
        </w:rPr>
        <w:t xml:space="preserve"> and </w:t>
      </w:r>
      <w:r>
        <w:rPr>
          <w:kern w:val="0"/>
        </w:rPr>
        <w:t>for haemodilution with controlled hypotension versus no intervention (1 trial, 0/10 (0%) versus 10/10 (100%), P &lt; 0.0001)</w:t>
      </w:r>
      <w:r w:rsidR="00A37C1D">
        <w:rPr>
          <w:kern w:val="0"/>
        </w:rPr>
        <w:t>. The</w:t>
      </w:r>
      <w:r>
        <w:rPr>
          <w:kern w:val="0"/>
        </w:rPr>
        <w:t>re were no significant differences in the allogeneic transfusion requirements in the other comparisons which reported this outcome, such as low CVP versus no intervention, autologous blood donation versus control,</w:t>
      </w:r>
      <w:r w:rsidR="005853A9">
        <w:rPr>
          <w:kern w:val="0"/>
        </w:rPr>
        <w:t xml:space="preserve"> and </w:t>
      </w:r>
      <w:r>
        <w:rPr>
          <w:kern w:val="0"/>
        </w:rPr>
        <w:t>hypoventilation versus no intervention. Authors</w:t>
      </w:r>
      <w:r w:rsidR="0071223E">
        <w:rPr>
          <w:kern w:val="0"/>
        </w:rPr>
        <w:t>’</w:t>
      </w:r>
      <w:r>
        <w:rPr>
          <w:kern w:val="0"/>
        </w:rPr>
        <w:t xml:space="preserve"> conclusions None</w:t>
      </w:r>
      <w:r w:rsidR="00427468">
        <w:rPr>
          <w:kern w:val="0"/>
        </w:rPr>
        <w:t xml:space="preserve"> of </w:t>
      </w:r>
      <w:r>
        <w:rPr>
          <w:kern w:val="0"/>
        </w:rPr>
        <w:t>the interventions seemed to decrease peri-operative morbidity or offer any long-term survival benefit. Haemodilution shows promise in the reduction</w:t>
      </w:r>
      <w:r w:rsidR="00427468">
        <w:rPr>
          <w:kern w:val="0"/>
        </w:rPr>
        <w:t xml:space="preserve"> of </w:t>
      </w:r>
      <w:r>
        <w:rPr>
          <w:kern w:val="0"/>
        </w:rPr>
        <w:t>blood transfusion requirements in liver resection surgery. However, there is a high risk</w:t>
      </w:r>
      <w:r w:rsidR="00427468">
        <w:rPr>
          <w:kern w:val="0"/>
        </w:rPr>
        <w:t xml:space="preserve"> of </w:t>
      </w:r>
      <w:r>
        <w:rPr>
          <w:kern w:val="0"/>
        </w:rPr>
        <w:t>type I (erroneously concluding that an intervention is beneficial when it is actually not beneficial)</w:t>
      </w:r>
      <w:r w:rsidR="005853A9">
        <w:rPr>
          <w:kern w:val="0"/>
        </w:rPr>
        <w:t xml:space="preserve"> and </w:t>
      </w:r>
      <w:r>
        <w:rPr>
          <w:kern w:val="0"/>
        </w:rPr>
        <w:t>type II errors (erroneously concluding that an intervention is not beneficial when it is actually beneficial) because</w:t>
      </w:r>
      <w:r w:rsidR="00427468">
        <w:rPr>
          <w:kern w:val="0"/>
        </w:rPr>
        <w:t xml:space="preserve"> of </w:t>
      </w:r>
      <w:r>
        <w:rPr>
          <w:kern w:val="0"/>
        </w:rPr>
        <w:t>the few trials included, the small sample size in each trial,</w:t>
      </w:r>
      <w:r w:rsidR="005853A9">
        <w:rPr>
          <w:kern w:val="0"/>
        </w:rPr>
        <w:t xml:space="preserve"> and </w:t>
      </w:r>
      <w:r>
        <w:rPr>
          <w:kern w:val="0"/>
        </w:rPr>
        <w:t>the high risk</w:t>
      </w:r>
      <w:r w:rsidR="00427468">
        <w:rPr>
          <w:kern w:val="0"/>
        </w:rPr>
        <w:t xml:space="preserve"> of </w:t>
      </w:r>
      <w:r>
        <w:rPr>
          <w:kern w:val="0"/>
        </w:rPr>
        <w:t>bias in the trials. Further randomised clinical trials with low risk</w:t>
      </w:r>
      <w:r w:rsidR="00427468">
        <w:rPr>
          <w:kern w:val="0"/>
        </w:rPr>
        <w:t xml:space="preserve"> of </w:t>
      </w:r>
      <w:r>
        <w:rPr>
          <w:kern w:val="0"/>
        </w:rPr>
        <w:t>bias</w:t>
      </w:r>
      <w:r w:rsidR="005853A9">
        <w:rPr>
          <w:kern w:val="0"/>
        </w:rPr>
        <w:t xml:space="preserve"> and </w:t>
      </w:r>
      <w:r>
        <w:rPr>
          <w:kern w:val="0"/>
        </w:rPr>
        <w:t>random errors that assess clinically important outcomes such as peri-operative mortality are necessary to assess any cardiopulmonary interventions aimed at decreasing blood loss</w:t>
      </w:r>
      <w:r w:rsidR="005853A9">
        <w:rPr>
          <w:kern w:val="0"/>
        </w:rPr>
        <w:t xml:space="preserve"> and </w:t>
      </w:r>
      <w:r>
        <w:rPr>
          <w:kern w:val="0"/>
        </w:rPr>
        <w:t>blood transfusion requirements in patients undergoing liver resections. Trials need to be designed to assess the effect</w:t>
      </w:r>
      <w:r w:rsidR="00427468">
        <w:rPr>
          <w:kern w:val="0"/>
        </w:rPr>
        <w:t xml:space="preserve"> of </w:t>
      </w:r>
      <w:r>
        <w:rPr>
          <w:kern w:val="0"/>
        </w:rPr>
        <w:t>a combination</w:t>
      </w:r>
      <w:r w:rsidR="00427468">
        <w:rPr>
          <w:kern w:val="0"/>
        </w:rPr>
        <w:t xml:space="preserve"> of </w:t>
      </w:r>
      <w:r>
        <w:rPr>
          <w:kern w:val="0"/>
        </w:rPr>
        <w:t>different interventions in liver resections.</w:t>
      </w:r>
    </w:p>
    <w:p w:rsidR="00365DE4" w:rsidRDefault="00365DE4" w:rsidP="00365DE4">
      <w:pPr>
        <w:pStyle w:val="a3"/>
        <w:rPr>
          <w:kern w:val="0"/>
        </w:rPr>
      </w:pPr>
      <w:r>
        <w:rPr>
          <w:kern w:val="0"/>
        </w:rPr>
        <w:t xml:space="preserve">Keywords: Acute Normovolemic Hemodilution, Allogeneic, Analysis, Authors, Bias, Bias (Epidemiology), Blood, Blood Loss, Blood Loss,Surgical [Prevention &amp; Control], Blood Transfusion, Blood Transfusion [Utilization], Blood </w:t>
      </w:r>
      <w:r>
        <w:rPr>
          <w:kern w:val="0"/>
        </w:rPr>
        <w:lastRenderedPageBreak/>
        <w:t xml:space="preserve">Transfusion,Autologous [Methods], Bovine, Bovine Hemoglobin, Cardiopulmonary, Case Analysis, Central Venous Pressure [Physiology], Citation, Clinical, Clinical Trials, Clinical-Trials, Collection, Confidence, Confidence Intervals, Control, Criteria, Data, Data Collection, Empirical-Evidence, Errors, Hemodilution [Methods], Hepatectomy, Hepatectomy [Methods], Hepatic Resection, Hepatocellular-Carcinoma, Humans, Hypotension, Hypotension,Controlled, Inclusion, Intervals, Intervention, Interventions, Life, Liver, Long Term, Long-Term, Low, Low Risk, </w:t>
      </w:r>
      <w:r w:rsidR="00D5664A">
        <w:rPr>
          <w:kern w:val="0"/>
        </w:rPr>
        <w:t>MEDLINE</w:t>
      </w:r>
      <w:r>
        <w:rPr>
          <w:kern w:val="0"/>
        </w:rPr>
        <w:t>, Metaanalysis, Methods, Minor, Models, Morbidity, Mortality, Normal, Outcome, Outcomes, P, Patients, Pressure, Prospective Randomized-Trial, Quality, Quality of, Quality</w:t>
      </w:r>
      <w:r w:rsidR="00427468">
        <w:rPr>
          <w:kern w:val="0"/>
        </w:rPr>
        <w:t xml:space="preserve"> of </w:t>
      </w:r>
      <w:r>
        <w:rPr>
          <w:kern w:val="0"/>
        </w:rPr>
        <w:t>Life, Randomised, Randomized Controlled Trials As Topic, Reduction, Respiration, Risk, Risk-Factors, Sample Size, Science, Science Citation Index, Science Citation Index Expanded, Search, Size, Small, Starch, Surgery, Survival, Transfusion, Trial</w:t>
      </w:r>
    </w:p>
    <w:p w:rsidR="00365DE4" w:rsidRDefault="00365DE4" w:rsidP="00365DE4">
      <w:pPr>
        <w:pStyle w:val="a3"/>
        <w:rPr>
          <w:kern w:val="0"/>
        </w:rPr>
      </w:pPr>
      <w:r>
        <w:rPr>
          <w:kern w:val="0"/>
        </w:rPr>
        <w:t>? Koretz, R.L., Avenell, A.</w:t>
      </w:r>
      <w:r w:rsidR="005853A9">
        <w:rPr>
          <w:kern w:val="0"/>
        </w:rPr>
        <w:t xml:space="preserve"> and </w:t>
      </w:r>
      <w:r>
        <w:rPr>
          <w:kern w:val="0"/>
        </w:rPr>
        <w:t xml:space="preserve">Lipman, T.O. (2012), Nutritional support for liver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CD008344.</w:t>
      </w:r>
    </w:p>
    <w:p w:rsidR="00365DE4" w:rsidRDefault="00365DE4" w:rsidP="00365DE4">
      <w:pPr>
        <w:pStyle w:val="a3"/>
        <w:rPr>
          <w:kern w:val="2"/>
        </w:rPr>
      </w:pPr>
      <w:r>
        <w:t xml:space="preserve">Full Text: </w:t>
      </w:r>
      <w:hyperlink r:id="rId748" w:history="1">
        <w:r>
          <w:rPr>
            <w:rStyle w:val="a5"/>
          </w:rPr>
          <w:t>2012\Coc Dat Sys Rev2012, CD008344.pdf</w:t>
        </w:r>
      </w:hyperlink>
    </w:p>
    <w:p w:rsidR="00365DE4" w:rsidRDefault="00365DE4" w:rsidP="00365DE4">
      <w:pPr>
        <w:pStyle w:val="a3"/>
        <w:rPr>
          <w:kern w:val="0"/>
        </w:rPr>
      </w:pPr>
      <w:r>
        <w:rPr>
          <w:kern w:val="0"/>
        </w:rPr>
        <w:t>Abstract: Background Weight loss</w:t>
      </w:r>
      <w:r w:rsidR="005853A9">
        <w:rPr>
          <w:kern w:val="0"/>
        </w:rPr>
        <w:t xml:space="preserve"> and </w:t>
      </w:r>
      <w:r>
        <w:rPr>
          <w:kern w:val="0"/>
        </w:rPr>
        <w:t>muscle wasting are commonly found in patients with end-stage liver disease. Since there is an association between malnutrition</w:t>
      </w:r>
      <w:r w:rsidR="005853A9">
        <w:rPr>
          <w:kern w:val="0"/>
        </w:rPr>
        <w:t xml:space="preserve"> and </w:t>
      </w:r>
      <w:r>
        <w:rPr>
          <w:kern w:val="0"/>
        </w:rPr>
        <w:t>poor clinical outcome, such patients (or those at risk</w:t>
      </w:r>
      <w:r w:rsidR="00427468">
        <w:rPr>
          <w:kern w:val="0"/>
        </w:rPr>
        <w:t xml:space="preserve"> of </w:t>
      </w:r>
      <w:r>
        <w:rPr>
          <w:kern w:val="0"/>
        </w:rPr>
        <w:t>becoming malnourished) are often given parenteral nutrition, enteral nutrition, or oral nutritional supplements</w:t>
      </w:r>
      <w:r w:rsidR="00A37C1D">
        <w:rPr>
          <w:kern w:val="0"/>
        </w:rPr>
        <w:t>. The</w:t>
      </w:r>
      <w:r>
        <w:rPr>
          <w:kern w:val="0"/>
        </w:rPr>
        <w:t>se interventions have costs</w:t>
      </w:r>
      <w:r w:rsidR="005853A9">
        <w:rPr>
          <w:kern w:val="0"/>
        </w:rPr>
        <w:t xml:space="preserve"> and </w:t>
      </w:r>
      <w:r>
        <w:rPr>
          <w:kern w:val="0"/>
        </w:rPr>
        <w:t>adverse effects, so it is important to prove that their use results in improved morbidity or mortality, or both. Objectives To assess the beneficial</w:t>
      </w:r>
      <w:r w:rsidR="005853A9">
        <w:rPr>
          <w:kern w:val="0"/>
        </w:rPr>
        <w:t xml:space="preserve"> and </w:t>
      </w:r>
      <w:r>
        <w:rPr>
          <w:kern w:val="0"/>
        </w:rPr>
        <w:t>harmful effects</w:t>
      </w:r>
      <w:r w:rsidR="00427468">
        <w:rPr>
          <w:kern w:val="0"/>
        </w:rPr>
        <w:t xml:space="preserve"> of </w:t>
      </w:r>
      <w:r>
        <w:rPr>
          <w:kern w:val="0"/>
        </w:rPr>
        <w:t>parenteral nutrition, enteral nutrition,</w:t>
      </w:r>
      <w:r w:rsidR="005853A9">
        <w:rPr>
          <w:kern w:val="0"/>
        </w:rPr>
        <w:t xml:space="preserve"> and </w:t>
      </w:r>
      <w:r>
        <w:rPr>
          <w:kern w:val="0"/>
        </w:rPr>
        <w:t>oral nutritional supplements on the mortality</w:t>
      </w:r>
      <w:r w:rsidR="005853A9">
        <w:rPr>
          <w:kern w:val="0"/>
        </w:rPr>
        <w:t xml:space="preserve"> and </w:t>
      </w:r>
      <w:r>
        <w:rPr>
          <w:kern w:val="0"/>
        </w:rPr>
        <w:t>morbidity</w:t>
      </w:r>
      <w:r w:rsidR="00427468">
        <w:rPr>
          <w:kern w:val="0"/>
        </w:rPr>
        <w:t xml:space="preserve"> of </w:t>
      </w:r>
      <w:r>
        <w:rPr>
          <w:kern w:val="0"/>
        </w:rPr>
        <w:t>patients with underlying liver disease. Search methods The following computerised databases were searched: the Cochrane Hepato-Biliary Group Controlled Trials Register, the Cochrane Central Register</w:t>
      </w:r>
      <w:r w:rsidR="00427468">
        <w:rPr>
          <w:kern w:val="0"/>
        </w:rPr>
        <w:t xml:space="preserve"> of </w:t>
      </w:r>
      <w:r>
        <w:rPr>
          <w:kern w:val="0"/>
        </w:rPr>
        <w:t xml:space="preserve">Controlled Trials (CENTRAL) (The Cochrane Library), </w:t>
      </w:r>
      <w:r w:rsidR="00D5664A">
        <w:rPr>
          <w:kern w:val="0"/>
        </w:rPr>
        <w:t>MEDLINE</w:t>
      </w:r>
      <w:r>
        <w:rPr>
          <w:kern w:val="0"/>
        </w:rPr>
        <w:t>, EMBASE,</w:t>
      </w:r>
      <w:r w:rsidR="005853A9">
        <w:rPr>
          <w:kern w:val="0"/>
        </w:rPr>
        <w:t xml:space="preserve"> and </w:t>
      </w:r>
      <w:r>
        <w:rPr>
          <w:kern w:val="0"/>
        </w:rPr>
        <w:t>Science Citation Index Expanded (January 2012). In addition, reference lists</w:t>
      </w:r>
      <w:r w:rsidR="00427468">
        <w:rPr>
          <w:kern w:val="0"/>
        </w:rPr>
        <w:t xml:space="preserve"> of </w:t>
      </w:r>
      <w:r>
        <w:rPr>
          <w:kern w:val="0"/>
        </w:rPr>
        <w:t>identified trials</w:t>
      </w:r>
      <w:r w:rsidR="005853A9">
        <w:rPr>
          <w:kern w:val="0"/>
        </w:rPr>
        <w:t xml:space="preserve"> and </w:t>
      </w:r>
      <w:r>
        <w:rPr>
          <w:kern w:val="0"/>
        </w:rPr>
        <w:t>review articles</w:t>
      </w:r>
      <w:r w:rsidR="005853A9">
        <w:rPr>
          <w:kern w:val="0"/>
        </w:rPr>
        <w:t xml:space="preserve"> and </w:t>
      </w:r>
      <w:r>
        <w:rPr>
          <w:kern w:val="0"/>
        </w:rPr>
        <w:t>Clinicaltrials.gov were searched. Trials identified in a previous systematic handsearch</w:t>
      </w:r>
      <w:r w:rsidR="00427468">
        <w:rPr>
          <w:kern w:val="0"/>
        </w:rPr>
        <w:t xml:space="preserve"> of </w:t>
      </w:r>
      <w:r>
        <w:rPr>
          <w:kern w:val="0"/>
        </w:rPr>
        <w:t>Index Medicus were also considered. Handsearches</w:t>
      </w:r>
      <w:r w:rsidR="00427468">
        <w:rPr>
          <w:kern w:val="0"/>
        </w:rPr>
        <w:t xml:space="preserve"> of </w:t>
      </w:r>
      <w:r>
        <w:rPr>
          <w:kern w:val="0"/>
        </w:rPr>
        <w:t>a number</w:t>
      </w:r>
      <w:r w:rsidR="00427468">
        <w:rPr>
          <w:kern w:val="0"/>
        </w:rPr>
        <w:t xml:space="preserve"> of </w:t>
      </w:r>
      <w:r>
        <w:rPr>
          <w:kern w:val="0"/>
        </w:rPr>
        <w:t>medical journals, including abstracts from annual meetings, were done. Experts in the field</w:t>
      </w:r>
      <w:r w:rsidR="005853A9">
        <w:rPr>
          <w:kern w:val="0"/>
        </w:rPr>
        <w:t xml:space="preserve"> and </w:t>
      </w:r>
      <w:r>
        <w:rPr>
          <w:kern w:val="0"/>
        </w:rPr>
        <w:t>manufacturers</w:t>
      </w:r>
      <w:r w:rsidR="00427468">
        <w:rPr>
          <w:kern w:val="0"/>
        </w:rPr>
        <w:t xml:space="preserve"> of </w:t>
      </w:r>
      <w:r>
        <w:rPr>
          <w:kern w:val="0"/>
        </w:rPr>
        <w:t>nutrient formulations were contacted for potential references. Selection criteria Randomised clinical trials (parallel or cross-over design) comparing groups</w:t>
      </w:r>
      <w:r w:rsidR="00427468">
        <w:rPr>
          <w:kern w:val="0"/>
        </w:rPr>
        <w:t xml:space="preserve"> of </w:t>
      </w:r>
      <w:r>
        <w:rPr>
          <w:kern w:val="0"/>
        </w:rPr>
        <w:t>patients with any underlying liver disease who received, or did not receive, enteral or parenteral nutrition or oral nutritional supplements were identified without restriction on date, language, or publication status. Six categories</w:t>
      </w:r>
      <w:r w:rsidR="00427468">
        <w:rPr>
          <w:kern w:val="0"/>
        </w:rPr>
        <w:t xml:space="preserve"> of </w:t>
      </w:r>
      <w:r>
        <w:rPr>
          <w:kern w:val="0"/>
        </w:rPr>
        <w:t>trials were separately considered: medical or surgical patients receiving parenteral nutrition, enteral nutrition, or supplements. Data collection</w:t>
      </w:r>
      <w:r w:rsidR="005853A9">
        <w:rPr>
          <w:kern w:val="0"/>
        </w:rPr>
        <w:t xml:space="preserve"> and </w:t>
      </w:r>
      <w:r>
        <w:rPr>
          <w:kern w:val="0"/>
        </w:rPr>
        <w:t xml:space="preserve">analysis The following data were </w:t>
      </w:r>
      <w:r>
        <w:rPr>
          <w:kern w:val="0"/>
        </w:rPr>
        <w:lastRenderedPageBreak/>
        <w:t>sought in each report: date</w:t>
      </w:r>
      <w:r w:rsidR="00427468">
        <w:rPr>
          <w:kern w:val="0"/>
        </w:rPr>
        <w:t xml:space="preserve"> of </w:t>
      </w:r>
      <w:r>
        <w:rPr>
          <w:kern w:val="0"/>
        </w:rPr>
        <w:t>publication; geographical location; inclusion</w:t>
      </w:r>
      <w:r w:rsidR="005853A9">
        <w:rPr>
          <w:kern w:val="0"/>
        </w:rPr>
        <w:t xml:space="preserve"> and </w:t>
      </w:r>
      <w:r>
        <w:rPr>
          <w:kern w:val="0"/>
        </w:rPr>
        <w:t>exclusion criteria; the type</w:t>
      </w:r>
      <w:r w:rsidR="00427468">
        <w:rPr>
          <w:kern w:val="0"/>
        </w:rPr>
        <w:t xml:space="preserve"> of </w:t>
      </w:r>
      <w:r>
        <w:rPr>
          <w:kern w:val="0"/>
        </w:rPr>
        <w:t>nutritional support</w:t>
      </w:r>
      <w:r w:rsidR="005853A9">
        <w:rPr>
          <w:kern w:val="0"/>
        </w:rPr>
        <w:t xml:space="preserve"> and </w:t>
      </w:r>
      <w:r>
        <w:rPr>
          <w:kern w:val="0"/>
        </w:rPr>
        <w:t>constitution</w:t>
      </w:r>
      <w:r w:rsidR="00427468">
        <w:rPr>
          <w:kern w:val="0"/>
        </w:rPr>
        <w:t xml:space="preserve"> of </w:t>
      </w:r>
      <w:r>
        <w:rPr>
          <w:kern w:val="0"/>
        </w:rPr>
        <w:t>the nutrient formulation; duration</w:t>
      </w:r>
      <w:r w:rsidR="00427468">
        <w:rPr>
          <w:kern w:val="0"/>
        </w:rPr>
        <w:t xml:space="preserve"> of </w:t>
      </w:r>
      <w:r>
        <w:rPr>
          <w:kern w:val="0"/>
        </w:rPr>
        <w:t>treatment; any nutrition provided to the controls; other interventions provided to the patients; number, sex, age</w:t>
      </w:r>
      <w:r w:rsidR="00427468">
        <w:rPr>
          <w:kern w:val="0"/>
        </w:rPr>
        <w:t xml:space="preserve"> of </w:t>
      </w:r>
      <w:r>
        <w:rPr>
          <w:kern w:val="0"/>
        </w:rPr>
        <w:t>the study participants; hospital or outpatient status; underlying liver disease; risks</w:t>
      </w:r>
      <w:r w:rsidR="00427468">
        <w:rPr>
          <w:kern w:val="0"/>
        </w:rPr>
        <w:t xml:space="preserve"> of </w:t>
      </w:r>
      <w:r>
        <w:rPr>
          <w:kern w:val="0"/>
        </w:rPr>
        <w:t>bias (sequence generation, allocation concealment, blinding, incomplete outcome reporting, intention-to-treat analysis, selective outcome reporting, others (vested interests, baseline imbalance, early stopping)); mortality; hepaticmorbidity (development or resolution</w:t>
      </w:r>
      <w:r w:rsidR="00427468">
        <w:rPr>
          <w:kern w:val="0"/>
        </w:rPr>
        <w:t xml:space="preserve"> of </w:t>
      </w:r>
      <w:r>
        <w:rPr>
          <w:kern w:val="0"/>
        </w:rPr>
        <w:t>ascites or hepatic encephalopathy, occurrence</w:t>
      </w:r>
      <w:r w:rsidR="00427468">
        <w:rPr>
          <w:kern w:val="0"/>
        </w:rPr>
        <w:t xml:space="preserve"> of </w:t>
      </w:r>
      <w:r>
        <w:rPr>
          <w:kern w:val="0"/>
        </w:rPr>
        <w:t>gastrointestinal bleeding); quality</w:t>
      </w:r>
      <w:r w:rsidR="00427468">
        <w:rPr>
          <w:kern w:val="0"/>
        </w:rPr>
        <w:t xml:space="preserve"> of </w:t>
      </w:r>
      <w:r>
        <w:rPr>
          <w:kern w:val="0"/>
        </w:rPr>
        <w:t>life scores; adverse events; infections; lengths</w:t>
      </w:r>
      <w:r w:rsidR="00427468">
        <w:rPr>
          <w:kern w:val="0"/>
        </w:rPr>
        <w:t xml:space="preserve"> of </w:t>
      </w:r>
      <w:r>
        <w:rPr>
          <w:kern w:val="0"/>
        </w:rPr>
        <w:t>stay in the hospital or intensive care unit; costs; serum bilirubin; postoperative complications (surgical trials only);</w:t>
      </w:r>
      <w:r w:rsidR="005853A9">
        <w:rPr>
          <w:kern w:val="0"/>
        </w:rPr>
        <w:t xml:space="preserve"> and </w:t>
      </w:r>
      <w:r>
        <w:rPr>
          <w:kern w:val="0"/>
        </w:rPr>
        <w:t>nutritional outcomes (nitrogen balance, anthropometric measurements, body weight)</w:t>
      </w:r>
      <w:r w:rsidR="00A37C1D">
        <w:rPr>
          <w:kern w:val="0"/>
        </w:rPr>
        <w:t>. The</w:t>
      </w:r>
      <w:r>
        <w:rPr>
          <w:kern w:val="0"/>
        </w:rPr>
        <w:t xml:space="preserve"> primary outcomes</w:t>
      </w:r>
      <w:r w:rsidR="00427468">
        <w:rPr>
          <w:kern w:val="0"/>
        </w:rPr>
        <w:t xml:space="preserve"> of </w:t>
      </w:r>
      <w:r>
        <w:rPr>
          <w:kern w:val="0"/>
        </w:rPr>
        <w:t>this review were mortality, hepaticmorbidity, quality</w:t>
      </w:r>
      <w:r w:rsidR="00427468">
        <w:rPr>
          <w:kern w:val="0"/>
        </w:rPr>
        <w:t xml:space="preserve"> of </w:t>
      </w:r>
      <w:r>
        <w:rPr>
          <w:kern w:val="0"/>
        </w:rPr>
        <w:t>life,</w:t>
      </w:r>
      <w:r w:rsidR="005853A9">
        <w:rPr>
          <w:kern w:val="0"/>
        </w:rPr>
        <w:t xml:space="preserve"> and </w:t>
      </w:r>
      <w:r>
        <w:rPr>
          <w:kern w:val="0"/>
        </w:rPr>
        <w:t>adverse events. Data were extracted in duplicate; differences were resolved by consensus. Data for each outcome were combined in a meta-analysis (RevMan 5.1). Estimates were reported using risk ratios or mean differences, along with the 95% confidence intervals (CI). Both fixed-effect</w:t>
      </w:r>
      <w:r w:rsidR="005853A9">
        <w:rPr>
          <w:kern w:val="0"/>
        </w:rPr>
        <w:t xml:space="preserve"> and </w:t>
      </w:r>
      <w:r>
        <w:rPr>
          <w:kern w:val="0"/>
        </w:rPr>
        <w:t>random-effects models were employed; fixed-effect models were reported unless one model, but not the other, found a significant difference (in which case both were reported). Heterogeneity was assessed by the Chi(2) test</w:t>
      </w:r>
      <w:r w:rsidR="005853A9">
        <w:rPr>
          <w:kern w:val="0"/>
        </w:rPr>
        <w:t xml:space="preserve"> and </w:t>
      </w:r>
      <w:r>
        <w:rPr>
          <w:kern w:val="0"/>
        </w:rPr>
        <w:t>I-2 statistic. Subgroup analyses were planned to assess specific liver diseases (alcoholic hepatitis, cirrhosis, hepatocellular carcinoma), acute or chronic liver diseases,</w:t>
      </w:r>
      <w:r w:rsidR="005853A9">
        <w:rPr>
          <w:kern w:val="0"/>
        </w:rPr>
        <w:t xml:space="preserve"> and </w:t>
      </w:r>
      <w:r>
        <w:rPr>
          <w:kern w:val="0"/>
        </w:rPr>
        <w:t>trials employing standard or branched-chain amino acid formulations (for the hepatic encephalopathy outcomes). Sensitivity analyses were planned to compare trials at low</w:t>
      </w:r>
      <w:r w:rsidR="005853A9">
        <w:rPr>
          <w:kern w:val="0"/>
        </w:rPr>
        <w:t xml:space="preserve"> and </w:t>
      </w:r>
      <w:r>
        <w:rPr>
          <w:kern w:val="0"/>
        </w:rPr>
        <w:t>high risk</w:t>
      </w:r>
      <w:r w:rsidR="00427468">
        <w:rPr>
          <w:kern w:val="0"/>
        </w:rPr>
        <w:t xml:space="preserve"> of </w:t>
      </w:r>
      <w:r>
        <w:rPr>
          <w:kern w:val="0"/>
        </w:rPr>
        <w:t>bias</w:t>
      </w:r>
      <w:r w:rsidR="005853A9">
        <w:rPr>
          <w:kern w:val="0"/>
        </w:rPr>
        <w:t xml:space="preserve"> and </w:t>
      </w:r>
      <w:r>
        <w:rPr>
          <w:kern w:val="0"/>
        </w:rPr>
        <w:t>trials reported as full papers</w:t>
      </w:r>
      <w:r w:rsidR="00A37C1D">
        <w:rPr>
          <w:kern w:val="0"/>
        </w:rPr>
        <w:t>. The</w:t>
      </w:r>
      <w:r>
        <w:rPr>
          <w:kern w:val="0"/>
        </w:rPr>
        <w:t xml:space="preserve"> following exploratory analyses were undertaken: 1) medical</w:t>
      </w:r>
      <w:r w:rsidR="005853A9">
        <w:rPr>
          <w:kern w:val="0"/>
        </w:rPr>
        <w:t xml:space="preserve"> and </w:t>
      </w:r>
      <w:r>
        <w:rPr>
          <w:kern w:val="0"/>
        </w:rPr>
        <w:t>surgical trials were combined for each nutritional intervention; 2) intention-to-treat analyses in which missing dichotomous data were imputed as best-and worst-case scenarios; 3) all trials were combined to assess mortality; 4) effects were estimated by absolute risk reductions. Main results Thirty-seven trials were identified; only one was at low risk</w:t>
      </w:r>
      <w:r w:rsidR="00427468">
        <w:rPr>
          <w:kern w:val="0"/>
        </w:rPr>
        <w:t xml:space="preserve"> of </w:t>
      </w:r>
      <w:r>
        <w:rPr>
          <w:kern w:val="0"/>
        </w:rPr>
        <w:t>bias. Most</w:t>
      </w:r>
      <w:r w:rsidR="00427468">
        <w:rPr>
          <w:kern w:val="0"/>
        </w:rPr>
        <w:t xml:space="preserve"> of </w:t>
      </w:r>
      <w:r>
        <w:rPr>
          <w:kern w:val="0"/>
        </w:rPr>
        <w:t>the analyses failed to find any significant differences</w:t>
      </w:r>
      <w:r w:rsidR="00A37C1D">
        <w:rPr>
          <w:kern w:val="0"/>
        </w:rPr>
        <w:t>. The</w:t>
      </w:r>
      <w:r>
        <w:rPr>
          <w:kern w:val="0"/>
        </w:rPr>
        <w:t xml:space="preserve"> significant findings that were found were the following: 1) icteric medical patients receiving parenteral nutrition had a reduced serum bilirubin (mean difference (MD) -2.86 mg%, 95% CI -3.82 mg% to -1.89 mg%, 3 trials)</w:t>
      </w:r>
      <w:r w:rsidR="005853A9">
        <w:rPr>
          <w:kern w:val="0"/>
        </w:rPr>
        <w:t xml:space="preserve"> and </w:t>
      </w:r>
      <w:r>
        <w:rPr>
          <w:kern w:val="0"/>
        </w:rPr>
        <w:t>better nitrogen balance (MD 3.60 g/day, 95% CI 0.86 g/day to 6.34 g/day, 1 trial); 2) surgical patients receiving parenteral nutrition had a reduced incidence</w:t>
      </w:r>
      <w:r w:rsidR="00427468">
        <w:rPr>
          <w:kern w:val="0"/>
        </w:rPr>
        <w:t xml:space="preserve"> of </w:t>
      </w:r>
      <w:r>
        <w:rPr>
          <w:kern w:val="0"/>
        </w:rPr>
        <w:t>postoperative ascites only in the fixed-effect model (RR 0.65, 95% CI 0.48 to 0.87, 2 trials, I-2 = 70%)</w:t>
      </w:r>
      <w:r w:rsidR="005853A9">
        <w:rPr>
          <w:kern w:val="0"/>
        </w:rPr>
        <w:t xml:space="preserve"> and </w:t>
      </w:r>
      <w:r>
        <w:rPr>
          <w:kern w:val="0"/>
        </w:rPr>
        <w:t xml:space="preserve">one trial demonstrated a reduction in postoperative complications, especially infections (pneumonia in particular); 3) enteral nutrition may have improved nitrogen balance inmedical patients (although a </w:t>
      </w:r>
      <w:r>
        <w:rPr>
          <w:kern w:val="0"/>
        </w:rPr>
        <w:lastRenderedPageBreak/>
        <w:t>combination</w:t>
      </w:r>
      <w:r w:rsidR="00427468">
        <w:rPr>
          <w:kern w:val="0"/>
        </w:rPr>
        <w:t xml:space="preserve"> of </w:t>
      </w:r>
      <w:r>
        <w:rPr>
          <w:kern w:val="0"/>
        </w:rPr>
        <w:t>the three trials was not possible); 4) one surgical trial</w:t>
      </w:r>
      <w:r w:rsidR="00427468">
        <w:rPr>
          <w:kern w:val="0"/>
        </w:rPr>
        <w:t xml:space="preserve"> of </w:t>
      </w:r>
      <w:r>
        <w:rPr>
          <w:kern w:val="0"/>
        </w:rPr>
        <w:t>enteral nutrition found a reduction in postoperative complications;</w:t>
      </w:r>
      <w:r w:rsidR="005853A9">
        <w:rPr>
          <w:kern w:val="0"/>
        </w:rPr>
        <w:t xml:space="preserve"> and </w:t>
      </w:r>
      <w:r>
        <w:rPr>
          <w:kern w:val="0"/>
        </w:rPr>
        <w:t>5) oral nutritional supplements had several effects in medical patients (reduced occurrence</w:t>
      </w:r>
      <w:r w:rsidR="00427468">
        <w:rPr>
          <w:kern w:val="0"/>
        </w:rPr>
        <w:t xml:space="preserve"> of </w:t>
      </w:r>
      <w:r>
        <w:rPr>
          <w:kern w:val="0"/>
        </w:rPr>
        <w:t>ascites (RR 0.57, 95% CI 0.37 to 0.88, 3 trials), possibly (significant differences only seen in the fixed-effect model) reduced rates</w:t>
      </w:r>
      <w:r w:rsidR="00427468">
        <w:rPr>
          <w:kern w:val="0"/>
        </w:rPr>
        <w:t xml:space="preserve"> of </w:t>
      </w:r>
      <w:r>
        <w:rPr>
          <w:kern w:val="0"/>
        </w:rPr>
        <w:t>infection (RR 0.49, 95% CI 0.24 to 0.99, 3 trials, I-2 = 14%),</w:t>
      </w:r>
      <w:r w:rsidR="005853A9">
        <w:rPr>
          <w:kern w:val="0"/>
        </w:rPr>
        <w:t xml:space="preserve"> and </w:t>
      </w:r>
      <w:r>
        <w:rPr>
          <w:kern w:val="0"/>
        </w:rPr>
        <w:t>improved resolution</w:t>
      </w:r>
      <w:r w:rsidR="00427468">
        <w:rPr>
          <w:kern w:val="0"/>
        </w:rPr>
        <w:t xml:space="preserve"> of </w:t>
      </w:r>
      <w:r>
        <w:rPr>
          <w:kern w:val="0"/>
        </w:rPr>
        <w:t>hepatic encephalopathy (RR 3.75, 95% CI 1.15 to 12.18, 2 trials, I-2 = 79%). While there was no overall effect</w:t>
      </w:r>
      <w:r w:rsidR="00427468">
        <w:rPr>
          <w:kern w:val="0"/>
        </w:rPr>
        <w:t xml:space="preserve"> of </w:t>
      </w:r>
      <w:r>
        <w:rPr>
          <w:kern w:val="0"/>
        </w:rPr>
        <w:t>the supplements on mortality in medical patients, the one low risk</w:t>
      </w:r>
      <w:r w:rsidR="00427468">
        <w:rPr>
          <w:kern w:val="0"/>
        </w:rPr>
        <w:t xml:space="preserve"> of </w:t>
      </w:r>
      <w:r>
        <w:rPr>
          <w:kern w:val="0"/>
        </w:rPr>
        <w:t>bias trial found an increased risk</w:t>
      </w:r>
      <w:r w:rsidR="00427468">
        <w:rPr>
          <w:kern w:val="0"/>
        </w:rPr>
        <w:t xml:space="preserve"> of </w:t>
      </w:r>
      <w:r>
        <w:rPr>
          <w:kern w:val="0"/>
        </w:rPr>
        <w:t>death in the recipients</w:t>
      </w:r>
      <w:r w:rsidR="00427468">
        <w:rPr>
          <w:kern w:val="0"/>
        </w:rPr>
        <w:t xml:space="preserve"> of </w:t>
      </w:r>
      <w:r>
        <w:rPr>
          <w:kern w:val="0"/>
        </w:rPr>
        <w:t>the supplements. Three trials</w:t>
      </w:r>
      <w:r w:rsidR="00427468">
        <w:rPr>
          <w:kern w:val="0"/>
        </w:rPr>
        <w:t xml:space="preserve"> of </w:t>
      </w:r>
      <w:r>
        <w:rPr>
          <w:kern w:val="0"/>
        </w:rPr>
        <w:t>supplements in surgical patients failed to show any significant differences. No new information was derived from the various subgroup or sensitivity analyses</w:t>
      </w:r>
      <w:r w:rsidR="00A37C1D">
        <w:rPr>
          <w:kern w:val="0"/>
        </w:rPr>
        <w:t>. The</w:t>
      </w:r>
      <w:r>
        <w:rPr>
          <w:kern w:val="0"/>
        </w:rPr>
        <w:t xml:space="preserve"> exploratory analyses were also unrevealing except for a logical conundrum</w:t>
      </w:r>
      <w:r w:rsidR="00A37C1D">
        <w:rPr>
          <w:kern w:val="0"/>
        </w:rPr>
        <w:t>. The</w:t>
      </w:r>
      <w:r>
        <w:rPr>
          <w:kern w:val="0"/>
        </w:rPr>
        <w:t>re was no difference in mortality when all</w:t>
      </w:r>
      <w:r w:rsidR="00427468">
        <w:rPr>
          <w:kern w:val="0"/>
        </w:rPr>
        <w:t xml:space="preserve"> of </w:t>
      </w:r>
      <w:r>
        <w:rPr>
          <w:kern w:val="0"/>
        </w:rPr>
        <w:t>the trials were combined, but the trials</w:t>
      </w:r>
      <w:r w:rsidR="00427468">
        <w:rPr>
          <w:kern w:val="0"/>
        </w:rPr>
        <w:t xml:space="preserve"> of </w:t>
      </w:r>
      <w:r>
        <w:rPr>
          <w:kern w:val="0"/>
        </w:rPr>
        <w:t>parenteral nutrition found that those recipients had better survival (RR 0.53, 95% CI 0.29 to 0.98, 10 trials). Either the former observation represents a type II error or the latter one a type I error. Authors</w:t>
      </w:r>
      <w:r w:rsidR="0071223E">
        <w:rPr>
          <w:kern w:val="0"/>
        </w:rPr>
        <w:t>’</w:t>
      </w:r>
      <w:r>
        <w:rPr>
          <w:kern w:val="0"/>
        </w:rPr>
        <w:t xml:space="preserve"> conclusions The data do not compellingly justify the routine use</w:t>
      </w:r>
      <w:r w:rsidR="00427468">
        <w:rPr>
          <w:kern w:val="0"/>
        </w:rPr>
        <w:t xml:space="preserve"> of </w:t>
      </w:r>
      <w:r>
        <w:rPr>
          <w:kern w:val="0"/>
        </w:rPr>
        <w:t>parenteral nutrition, enteral nutrition, or oral nutritional supplements in patients with liver disease</w:t>
      </w:r>
      <w:r w:rsidR="00A37C1D">
        <w:rPr>
          <w:kern w:val="0"/>
        </w:rPr>
        <w:t>. The</w:t>
      </w:r>
      <w:r>
        <w:rPr>
          <w:kern w:val="0"/>
        </w:rPr>
        <w:t xml:space="preserve"> fact that all but one</w:t>
      </w:r>
      <w:r w:rsidR="00427468">
        <w:rPr>
          <w:kern w:val="0"/>
        </w:rPr>
        <w:t xml:space="preserve"> of </w:t>
      </w:r>
      <w:r>
        <w:rPr>
          <w:kern w:val="0"/>
        </w:rPr>
        <w:t>these trials were at high risks</w:t>
      </w:r>
      <w:r w:rsidR="00427468">
        <w:rPr>
          <w:kern w:val="0"/>
        </w:rPr>
        <w:t xml:space="preserve"> of </w:t>
      </w:r>
      <w:r>
        <w:rPr>
          <w:kern w:val="0"/>
        </w:rPr>
        <w:t>bias even casts doubt on the few benefits that were demonstrated. Data from well-designed</w:t>
      </w:r>
      <w:r w:rsidR="005853A9">
        <w:rPr>
          <w:kern w:val="0"/>
        </w:rPr>
        <w:t xml:space="preserve"> and </w:t>
      </w:r>
      <w:r>
        <w:rPr>
          <w:kern w:val="0"/>
        </w:rPr>
        <w:t>executed randomised trials that include an untreated control group are needed before any such recommendation can be made. Future trials have to be powered adequately to see small, but clinically important, differences.</w:t>
      </w:r>
    </w:p>
    <w:p w:rsidR="00365DE4" w:rsidRDefault="00365DE4" w:rsidP="00365DE4">
      <w:pPr>
        <w:pStyle w:val="a3"/>
        <w:rPr>
          <w:kern w:val="0"/>
        </w:rPr>
      </w:pPr>
      <w:r>
        <w:rPr>
          <w:kern w:val="0"/>
        </w:rPr>
        <w:t xml:space="preserve">Keywords: Adverse Effects, Age, Allocation, Amino Acid, Analyses, Analysis, Articles, Association, Bias, Bilirubin, Bleeding, Body Weight, Care, Chain Amino-Acid, Chronic, Cirrhosis, Citation, Clinical, Clinical Trials, Collection, Complications, Confidence, Confidence Intervals, Consensus, Control, Costs, Criteria, Data, Data Collection, Databases, Death, Design, Development, Disease, Diseases, Duration, Early Enteral Nutrition, Effects, Encephalopathy, Enteral, Enteral Nutrition, Error, Event-Free Survival, Events, Field, Formulation, Generation, Hepatic Encephalopathy, Hepatitis, Hospital, Incidence, Inclusion, Infection, Infections, Information, Intensive Care, Intensive Care Unit, Intervals, Intervention, Interventions, Journals, Latent Portosystemic Encephalopathy, Life, Liver, Location, Low, Low Risk, Malnutrition, Medical, Medical Journals, </w:t>
      </w:r>
      <w:r w:rsidR="00D5664A">
        <w:rPr>
          <w:kern w:val="0"/>
        </w:rPr>
        <w:t>MEDLINE</w:t>
      </w:r>
      <w:r>
        <w:rPr>
          <w:kern w:val="0"/>
        </w:rPr>
        <w:t xml:space="preserve">, Meta-Analysis, Metaanalysis, Methods, Model, Models, Morbidity, Mortality, Muscle, Nitrogen, Nitrogen Balance, Nutrient, Nutrition, Observation, Oral, Outcome, Outcomes, Outpatient, Papers, Parenteral Nutrition, Patients, Peripheral Hyperalimentation Ppn, Pneumonia, Portal-Systemic Encephalopathy, Possible Therapeutic Approach, Postoperative, Postoperative Complications, Potential, </w:t>
      </w:r>
      <w:r>
        <w:rPr>
          <w:kern w:val="0"/>
        </w:rPr>
        <w:lastRenderedPageBreak/>
        <w:t>Primary, Publication, Quality, Quality of, Quality</w:t>
      </w:r>
      <w:r w:rsidR="00427468">
        <w:rPr>
          <w:kern w:val="0"/>
        </w:rPr>
        <w:t xml:space="preserve"> of </w:t>
      </w:r>
      <w:r>
        <w:rPr>
          <w:kern w:val="0"/>
        </w:rPr>
        <w:t>Life, Quality-of-Life, Randomised, Randomized Controlled-Trial, Rates, Reduction, Reference, Reference Lists, References, Reporting, Review, Risk, Risks, Scenarios, Science, Science Citation Index, Science Citation Index Expanded, Search, Sensitivity, Serum, Severe Alcoholic Hepatitis, Sex, Small, Standard, Support, Surgical Patients, Survival, Treatment, Trial, Type II Error</w:t>
      </w:r>
    </w:p>
    <w:p w:rsidR="00365DE4" w:rsidRDefault="00365DE4" w:rsidP="00365DE4">
      <w:pPr>
        <w:pStyle w:val="a3"/>
        <w:rPr>
          <w:kern w:val="0"/>
        </w:rPr>
      </w:pPr>
      <w:r>
        <w:rPr>
          <w:kern w:val="0"/>
        </w:rPr>
        <w:t>? Ivers, N., Jamtvedt, G., Flottorp, S., Young, J.M., Odgaard-Jensen, J., French, S.D., O</w:t>
      </w:r>
      <w:r w:rsidR="0071223E">
        <w:rPr>
          <w:kern w:val="0"/>
        </w:rPr>
        <w:t>’</w:t>
      </w:r>
      <w:r>
        <w:rPr>
          <w:kern w:val="0"/>
        </w:rPr>
        <w:t>Brien, M.A., Johansen, M., Grimshaw, J.</w:t>
      </w:r>
      <w:r w:rsidR="005853A9">
        <w:rPr>
          <w:kern w:val="0"/>
        </w:rPr>
        <w:t xml:space="preserve"> and </w:t>
      </w:r>
      <w:r>
        <w:rPr>
          <w:kern w:val="0"/>
        </w:rPr>
        <w:t>Oxman, A.D. (2012), Audit</w:t>
      </w:r>
      <w:r w:rsidR="005853A9">
        <w:rPr>
          <w:kern w:val="0"/>
        </w:rPr>
        <w:t xml:space="preserve"> and </w:t>
      </w:r>
      <w:r>
        <w:rPr>
          <w:kern w:val="0"/>
        </w:rPr>
        <w:t>feedback: effects on professional practice</w:t>
      </w:r>
      <w:r w:rsidR="005853A9">
        <w:rPr>
          <w:kern w:val="0"/>
        </w:rPr>
        <w:t xml:space="preserve"> and </w:t>
      </w:r>
      <w:r>
        <w:rPr>
          <w:kern w:val="0"/>
        </w:rPr>
        <w:t xml:space="preserve">healthcare outcomes.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CD000259.</w:t>
      </w:r>
    </w:p>
    <w:p w:rsidR="00365DE4" w:rsidRDefault="00365DE4" w:rsidP="00365DE4">
      <w:pPr>
        <w:pStyle w:val="a3"/>
        <w:rPr>
          <w:kern w:val="2"/>
        </w:rPr>
      </w:pPr>
      <w:r>
        <w:t xml:space="preserve">Full Text: </w:t>
      </w:r>
      <w:hyperlink r:id="rId749" w:history="1">
        <w:r>
          <w:rPr>
            <w:rStyle w:val="a5"/>
          </w:rPr>
          <w:t>2012\Coc Dat Sys Rev2012, CD000259.pdf</w:t>
        </w:r>
      </w:hyperlink>
    </w:p>
    <w:p w:rsidR="00365DE4" w:rsidRDefault="00365DE4" w:rsidP="00365DE4">
      <w:pPr>
        <w:pStyle w:val="a3"/>
        <w:rPr>
          <w:kern w:val="0"/>
        </w:rPr>
      </w:pPr>
      <w:r>
        <w:rPr>
          <w:kern w:val="0"/>
        </w:rPr>
        <w:t>Abstract: Background Audit</w:t>
      </w:r>
      <w:r w:rsidR="005853A9">
        <w:rPr>
          <w:kern w:val="0"/>
        </w:rPr>
        <w:t xml:space="preserve"> and </w:t>
      </w:r>
      <w:r>
        <w:rPr>
          <w:kern w:val="0"/>
        </w:rPr>
        <w:t>feedback is widely used as a strategy to improve professional practice either on its own or as a component</w:t>
      </w:r>
      <w:r w:rsidR="00427468">
        <w:rPr>
          <w:kern w:val="0"/>
        </w:rPr>
        <w:t xml:space="preserve"> of </w:t>
      </w:r>
      <w:r>
        <w:rPr>
          <w:kern w:val="0"/>
        </w:rPr>
        <w:t>multifaceted quality improvement interventions. This is based on the belief that healthcare professionals are prompted to modify their practice when given performance feedback showing that their clinical practice is inconsistent with a desirable target. Despite its prevalence as a quality improvement strategy, there remains uncertainty regarding both the effectiveness</w:t>
      </w:r>
      <w:r w:rsidR="00427468">
        <w:rPr>
          <w:kern w:val="0"/>
        </w:rPr>
        <w:t xml:space="preserve"> of </w:t>
      </w:r>
      <w:r>
        <w:rPr>
          <w:kern w:val="0"/>
        </w:rPr>
        <w:t>audit</w:t>
      </w:r>
      <w:r w:rsidR="005853A9">
        <w:rPr>
          <w:kern w:val="0"/>
        </w:rPr>
        <w:t xml:space="preserve"> and </w:t>
      </w:r>
      <w:r>
        <w:rPr>
          <w:kern w:val="0"/>
        </w:rPr>
        <w:t>feedback in improving healthcare practice</w:t>
      </w:r>
      <w:r w:rsidR="005853A9">
        <w:rPr>
          <w:kern w:val="0"/>
        </w:rPr>
        <w:t xml:space="preserve"> and </w:t>
      </w:r>
      <w:r>
        <w:rPr>
          <w:kern w:val="0"/>
        </w:rPr>
        <w:t>the characteristics</w:t>
      </w:r>
      <w:r w:rsidR="00427468">
        <w:rPr>
          <w:kern w:val="0"/>
        </w:rPr>
        <w:t xml:space="preserve"> of </w:t>
      </w:r>
      <w:r>
        <w:rPr>
          <w:kern w:val="0"/>
        </w:rPr>
        <w:t>audit</w:t>
      </w:r>
      <w:r w:rsidR="005853A9">
        <w:rPr>
          <w:kern w:val="0"/>
        </w:rPr>
        <w:t xml:space="preserve"> and </w:t>
      </w:r>
      <w:r>
        <w:rPr>
          <w:kern w:val="0"/>
        </w:rPr>
        <w:t>feedback that lead to greater impact. Objectives To assess the effects</w:t>
      </w:r>
      <w:r w:rsidR="00427468">
        <w:rPr>
          <w:kern w:val="0"/>
        </w:rPr>
        <w:t xml:space="preserve"> of </w:t>
      </w:r>
      <w:r>
        <w:rPr>
          <w:kern w:val="0"/>
        </w:rPr>
        <w:t>audit</w:t>
      </w:r>
      <w:r w:rsidR="005853A9">
        <w:rPr>
          <w:kern w:val="0"/>
        </w:rPr>
        <w:t xml:space="preserve"> and </w:t>
      </w:r>
      <w:r>
        <w:rPr>
          <w:kern w:val="0"/>
        </w:rPr>
        <w:t>feedback on the practice</w:t>
      </w:r>
      <w:r w:rsidR="00427468">
        <w:rPr>
          <w:kern w:val="0"/>
        </w:rPr>
        <w:t xml:space="preserve"> of </w:t>
      </w:r>
      <w:r>
        <w:rPr>
          <w:kern w:val="0"/>
        </w:rPr>
        <w:t>healthcare professionals</w:t>
      </w:r>
      <w:r w:rsidR="005853A9">
        <w:rPr>
          <w:kern w:val="0"/>
        </w:rPr>
        <w:t xml:space="preserve"> and </w:t>
      </w:r>
      <w:r>
        <w:rPr>
          <w:kern w:val="0"/>
        </w:rPr>
        <w:t>patient outcomes</w:t>
      </w:r>
      <w:r w:rsidR="005853A9">
        <w:rPr>
          <w:kern w:val="0"/>
        </w:rPr>
        <w:t xml:space="preserve"> and </w:t>
      </w:r>
      <w:r>
        <w:rPr>
          <w:kern w:val="0"/>
        </w:rPr>
        <w:t>to examine factors that may explain variation in the effectiveness</w:t>
      </w:r>
      <w:r w:rsidR="00427468">
        <w:rPr>
          <w:kern w:val="0"/>
        </w:rPr>
        <w:t xml:space="preserve"> of </w:t>
      </w:r>
      <w:r>
        <w:rPr>
          <w:kern w:val="0"/>
        </w:rPr>
        <w:t>audit</w:t>
      </w:r>
      <w:r w:rsidR="005853A9">
        <w:rPr>
          <w:kern w:val="0"/>
        </w:rPr>
        <w:t xml:space="preserve"> and </w:t>
      </w:r>
      <w:r>
        <w:rPr>
          <w:kern w:val="0"/>
        </w:rPr>
        <w:t>feedback. Search methods We searched the Cochrane Central Register</w:t>
      </w:r>
      <w:r w:rsidR="00427468">
        <w:rPr>
          <w:kern w:val="0"/>
        </w:rPr>
        <w:t xml:space="preserve"> of </w:t>
      </w:r>
      <w:r>
        <w:rPr>
          <w:kern w:val="0"/>
        </w:rPr>
        <w:t>Controlled Trials (CENTRAL) 2010, Issue 4, part</w:t>
      </w:r>
      <w:r w:rsidR="00427468">
        <w:rPr>
          <w:kern w:val="0"/>
        </w:rPr>
        <w:t xml:space="preserve"> of </w:t>
      </w:r>
      <w:r>
        <w:rPr>
          <w:kern w:val="0"/>
        </w:rPr>
        <w:t>The Cochrane Library. www.thecochranelibrary.com, including the Cochrane Effective Practice</w:t>
      </w:r>
      <w:r w:rsidR="005853A9">
        <w:rPr>
          <w:kern w:val="0"/>
        </w:rPr>
        <w:t xml:space="preserve"> and </w:t>
      </w:r>
      <w:r>
        <w:rPr>
          <w:kern w:val="0"/>
        </w:rPr>
        <w:t>Organisation</w:t>
      </w:r>
      <w:r w:rsidR="00427468">
        <w:rPr>
          <w:kern w:val="0"/>
        </w:rPr>
        <w:t xml:space="preserve"> of </w:t>
      </w:r>
      <w:r>
        <w:rPr>
          <w:kern w:val="0"/>
        </w:rPr>
        <w:t xml:space="preserve">Care (EPOC) Group Specialised Register (searched 10 December 2010); </w:t>
      </w:r>
      <w:r w:rsidR="00D5664A">
        <w:rPr>
          <w:kern w:val="0"/>
        </w:rPr>
        <w:t>MEDLINE</w:t>
      </w:r>
      <w:r>
        <w:rPr>
          <w:kern w:val="0"/>
        </w:rPr>
        <w:t>, Ovid (1950 to November Week 3 2010) (searched 09 December 2010); EMBASE, Ovid (1980 to 2010 Week 48) (searched 09 December 2010); CINAHL, Ebsco (1981 to present) (searched 10 December 2010); Science Citation Index</w:t>
      </w:r>
      <w:r w:rsidR="005853A9">
        <w:rPr>
          <w:kern w:val="0"/>
        </w:rPr>
        <w:t xml:space="preserve"> and </w:t>
      </w:r>
      <w:r>
        <w:rPr>
          <w:kern w:val="0"/>
        </w:rPr>
        <w:t xml:space="preserve">Social Sciences Citation Index, ISI </w:t>
      </w:r>
      <w:r w:rsidR="00D5664A">
        <w:rPr>
          <w:kern w:val="0"/>
        </w:rPr>
        <w:t>Web</w:t>
      </w:r>
      <w:r w:rsidR="00427468">
        <w:rPr>
          <w:kern w:val="0"/>
        </w:rPr>
        <w:t xml:space="preserve"> of </w:t>
      </w:r>
      <w:r w:rsidR="00D5664A">
        <w:rPr>
          <w:kern w:val="0"/>
        </w:rPr>
        <w:t>Science</w:t>
      </w:r>
      <w:r>
        <w:rPr>
          <w:kern w:val="0"/>
        </w:rPr>
        <w:t xml:space="preserve"> (1975 to present) (searched 12-15 September 2011). Selection criteria Randomised trials</w:t>
      </w:r>
      <w:r w:rsidR="00427468">
        <w:rPr>
          <w:kern w:val="0"/>
        </w:rPr>
        <w:t xml:space="preserve"> of </w:t>
      </w:r>
      <w:r>
        <w:rPr>
          <w:kern w:val="0"/>
        </w:rPr>
        <w:t>audit</w:t>
      </w:r>
      <w:r w:rsidR="005853A9">
        <w:rPr>
          <w:kern w:val="0"/>
        </w:rPr>
        <w:t xml:space="preserve"> and </w:t>
      </w:r>
      <w:r>
        <w:rPr>
          <w:kern w:val="0"/>
        </w:rPr>
        <w:t>feedback (defined as a summary</w:t>
      </w:r>
      <w:r w:rsidR="00427468">
        <w:rPr>
          <w:kern w:val="0"/>
        </w:rPr>
        <w:t xml:space="preserve"> of </w:t>
      </w:r>
      <w:r>
        <w:rPr>
          <w:kern w:val="0"/>
        </w:rPr>
        <w:t>clinical performance over a specified period</w:t>
      </w:r>
      <w:r w:rsidR="00427468">
        <w:rPr>
          <w:kern w:val="0"/>
        </w:rPr>
        <w:t xml:space="preserve"> of </w:t>
      </w:r>
      <w:r>
        <w:rPr>
          <w:kern w:val="0"/>
        </w:rPr>
        <w:t>time) that reported objectively measured health professional practice or patient outcomes. In the case</w:t>
      </w:r>
      <w:r w:rsidR="00427468">
        <w:rPr>
          <w:kern w:val="0"/>
        </w:rPr>
        <w:t xml:space="preserve"> of </w:t>
      </w:r>
      <w:r>
        <w:rPr>
          <w:kern w:val="0"/>
        </w:rPr>
        <w:t>multifaceted interventions, only trials in which audit</w:t>
      </w:r>
      <w:r w:rsidR="005853A9">
        <w:rPr>
          <w:kern w:val="0"/>
        </w:rPr>
        <w:t xml:space="preserve"> and </w:t>
      </w:r>
      <w:r>
        <w:rPr>
          <w:kern w:val="0"/>
        </w:rPr>
        <w:t>feedback was considered the core, essential aspect</w:t>
      </w:r>
      <w:r w:rsidR="00427468">
        <w:rPr>
          <w:kern w:val="0"/>
        </w:rPr>
        <w:t xml:space="preserve"> of </w:t>
      </w:r>
      <w:r>
        <w:rPr>
          <w:kern w:val="0"/>
        </w:rPr>
        <w:t>at least one intervention arm were included. Data collection</w:t>
      </w:r>
      <w:r w:rsidR="005853A9">
        <w:rPr>
          <w:kern w:val="0"/>
        </w:rPr>
        <w:t xml:space="preserve"> and </w:t>
      </w:r>
      <w:r>
        <w:rPr>
          <w:kern w:val="0"/>
        </w:rPr>
        <w:t>analysis All data were abstracted by two independent review authors. For the primary outcome(s) in each study, we calculated the median absolute risk difference (RD) (adjusted for baseline performance)</w:t>
      </w:r>
      <w:r w:rsidR="00427468">
        <w:rPr>
          <w:kern w:val="0"/>
        </w:rPr>
        <w:t xml:space="preserve"> of </w:t>
      </w:r>
      <w:r>
        <w:rPr>
          <w:kern w:val="0"/>
        </w:rPr>
        <w:t>compliance with desired practice compliance for dichotomous outcomes</w:t>
      </w:r>
      <w:r w:rsidR="005853A9">
        <w:rPr>
          <w:kern w:val="0"/>
        </w:rPr>
        <w:t xml:space="preserve"> and </w:t>
      </w:r>
      <w:r>
        <w:rPr>
          <w:kern w:val="0"/>
        </w:rPr>
        <w:t xml:space="preserve">the median percent change relative to the control group for continuous outcomes. Across </w:t>
      </w:r>
      <w:r>
        <w:rPr>
          <w:kern w:val="0"/>
        </w:rPr>
        <w:lastRenderedPageBreak/>
        <w:t>studies the median effect size was weighted by number</w:t>
      </w:r>
      <w:r w:rsidR="00427468">
        <w:rPr>
          <w:kern w:val="0"/>
        </w:rPr>
        <w:t xml:space="preserve"> of </w:t>
      </w:r>
      <w:r>
        <w:rPr>
          <w:kern w:val="0"/>
        </w:rPr>
        <w:t>health professionals involved in each study. We investigated the following factors as possible explanations for the variation in the effectiveness</w:t>
      </w:r>
      <w:r w:rsidR="00427468">
        <w:rPr>
          <w:kern w:val="0"/>
        </w:rPr>
        <w:t xml:space="preserve"> of </w:t>
      </w:r>
      <w:r>
        <w:rPr>
          <w:kern w:val="0"/>
        </w:rPr>
        <w:t>interventions across comparisons: format</w:t>
      </w:r>
      <w:r w:rsidR="00427468">
        <w:rPr>
          <w:kern w:val="0"/>
        </w:rPr>
        <w:t xml:space="preserve"> of </w:t>
      </w:r>
      <w:r>
        <w:rPr>
          <w:kern w:val="0"/>
        </w:rPr>
        <w:t>feedback, source</w:t>
      </w:r>
      <w:r w:rsidR="00427468">
        <w:rPr>
          <w:kern w:val="0"/>
        </w:rPr>
        <w:t xml:space="preserve"> of </w:t>
      </w:r>
      <w:r>
        <w:rPr>
          <w:kern w:val="0"/>
        </w:rPr>
        <w:t>feedback, frequency</w:t>
      </w:r>
      <w:r w:rsidR="00427468">
        <w:rPr>
          <w:kern w:val="0"/>
        </w:rPr>
        <w:t xml:space="preserve"> of </w:t>
      </w:r>
      <w:r>
        <w:rPr>
          <w:kern w:val="0"/>
        </w:rPr>
        <w:t>feedback, instructions for improvement, direction</w:t>
      </w:r>
      <w:r w:rsidR="00427468">
        <w:rPr>
          <w:kern w:val="0"/>
        </w:rPr>
        <w:t xml:space="preserve"> of </w:t>
      </w:r>
      <w:r>
        <w:rPr>
          <w:kern w:val="0"/>
        </w:rPr>
        <w:t>change required, baseline performance, profession</w:t>
      </w:r>
      <w:r w:rsidR="00427468">
        <w:rPr>
          <w:kern w:val="0"/>
        </w:rPr>
        <w:t xml:space="preserve"> of </w:t>
      </w:r>
      <w:r>
        <w:rPr>
          <w:kern w:val="0"/>
        </w:rPr>
        <w:t>recipient,</w:t>
      </w:r>
      <w:r w:rsidR="005853A9">
        <w:rPr>
          <w:kern w:val="0"/>
        </w:rPr>
        <w:t xml:space="preserve"> and </w:t>
      </w:r>
      <w:r>
        <w:rPr>
          <w:kern w:val="0"/>
        </w:rPr>
        <w:t>risk</w:t>
      </w:r>
      <w:r w:rsidR="00427468">
        <w:rPr>
          <w:kern w:val="0"/>
        </w:rPr>
        <w:t xml:space="preserve"> of </w:t>
      </w:r>
      <w:r>
        <w:rPr>
          <w:kern w:val="0"/>
        </w:rPr>
        <w:t>bias within the trial itself. We also conducted exploratory analyses to assess the role</w:t>
      </w:r>
      <w:r w:rsidR="00427468">
        <w:rPr>
          <w:kern w:val="0"/>
        </w:rPr>
        <w:t xml:space="preserve"> of </w:t>
      </w:r>
      <w:r>
        <w:rPr>
          <w:kern w:val="0"/>
        </w:rPr>
        <w:t>context</w:t>
      </w:r>
      <w:r w:rsidR="005853A9">
        <w:rPr>
          <w:kern w:val="0"/>
        </w:rPr>
        <w:t xml:space="preserve"> and </w:t>
      </w:r>
      <w:r>
        <w:rPr>
          <w:kern w:val="0"/>
        </w:rPr>
        <w:t>the targeted clinical behaviour. Quantitative (metaregression), visual,</w:t>
      </w:r>
      <w:r w:rsidR="005853A9">
        <w:rPr>
          <w:kern w:val="0"/>
        </w:rPr>
        <w:t xml:space="preserve"> and </w:t>
      </w:r>
      <w:r>
        <w:rPr>
          <w:kern w:val="0"/>
        </w:rPr>
        <w:t>qualitative analyses were undertaken to examine variation in effect size related to these factors. Main results We included</w:t>
      </w:r>
      <w:r w:rsidR="005853A9">
        <w:rPr>
          <w:kern w:val="0"/>
        </w:rPr>
        <w:t xml:space="preserve"> and </w:t>
      </w:r>
      <w:r>
        <w:rPr>
          <w:kern w:val="0"/>
        </w:rPr>
        <w:t>analysed 140 studies for this review. In the main analyses, a total</w:t>
      </w:r>
      <w:r w:rsidR="00427468">
        <w:rPr>
          <w:kern w:val="0"/>
        </w:rPr>
        <w:t xml:space="preserve"> of </w:t>
      </w:r>
      <w:r>
        <w:rPr>
          <w:kern w:val="0"/>
        </w:rPr>
        <w:t>108 comparisons from 70 studies compared any intervention in which audit</w:t>
      </w:r>
      <w:r w:rsidR="005853A9">
        <w:rPr>
          <w:kern w:val="0"/>
        </w:rPr>
        <w:t xml:space="preserve"> and </w:t>
      </w:r>
      <w:r>
        <w:rPr>
          <w:kern w:val="0"/>
        </w:rPr>
        <w:t>feedback was a core, essential component to usual care</w:t>
      </w:r>
      <w:r w:rsidR="005853A9">
        <w:rPr>
          <w:kern w:val="0"/>
        </w:rPr>
        <w:t xml:space="preserve"> and </w:t>
      </w:r>
      <w:r>
        <w:rPr>
          <w:kern w:val="0"/>
        </w:rPr>
        <w:t>evaluated effects on professional practice. After excluding studies at high risk</w:t>
      </w:r>
      <w:r w:rsidR="00427468">
        <w:rPr>
          <w:kern w:val="0"/>
        </w:rPr>
        <w:t xml:space="preserve"> of </w:t>
      </w:r>
      <w:r>
        <w:rPr>
          <w:kern w:val="0"/>
        </w:rPr>
        <w:t>bias, there were 82 comparisons from 49 studies featuring dichotomous outcomes,</w:t>
      </w:r>
      <w:r w:rsidR="005853A9">
        <w:rPr>
          <w:kern w:val="0"/>
        </w:rPr>
        <w:t xml:space="preserve"> and </w:t>
      </w:r>
      <w:r>
        <w:rPr>
          <w:kern w:val="0"/>
        </w:rPr>
        <w:t>the weighted median adjusted RD was a 4.3% (interquartile range (IQR) 0.5% to 16%) absolute increase in healthcare professionals</w:t>
      </w:r>
      <w:r w:rsidR="0071223E">
        <w:rPr>
          <w:kern w:val="0"/>
        </w:rPr>
        <w:t>’</w:t>
      </w:r>
      <w:r>
        <w:rPr>
          <w:kern w:val="0"/>
        </w:rPr>
        <w:t xml:space="preserve"> compliance with desired practice. Across 26 comparisons from 21 studies with continuous outcomes, the weighted median adjusted percent change relative to control was 1.3% (IQR = 1.3% to 28.9%). For patient outcomes, the weighted median RD was -0.4% (IQR -1.3% to 1.6%) for 12 comparisons from six studies reporting dichotomous outcomes</w:t>
      </w:r>
      <w:r w:rsidR="005853A9">
        <w:rPr>
          <w:kern w:val="0"/>
        </w:rPr>
        <w:t xml:space="preserve"> and </w:t>
      </w:r>
      <w:r>
        <w:rPr>
          <w:kern w:val="0"/>
        </w:rPr>
        <w:t>the weighted median percentage change was 17% (IQR 1.5% to 17%) for eight comparisons from five studies reporting continuous outcomes. Multivariable meta-regression indicated that feedback may be more effective when baseline performance is low, the source is a supervisor or colleague, it is provided more than once, it is delivered in both verbal</w:t>
      </w:r>
      <w:r w:rsidR="005853A9">
        <w:rPr>
          <w:kern w:val="0"/>
        </w:rPr>
        <w:t xml:space="preserve"> and </w:t>
      </w:r>
      <w:r>
        <w:rPr>
          <w:kern w:val="0"/>
        </w:rPr>
        <w:t>written formats,</w:t>
      </w:r>
      <w:r w:rsidR="005853A9">
        <w:rPr>
          <w:kern w:val="0"/>
        </w:rPr>
        <w:t xml:space="preserve"> and </w:t>
      </w:r>
      <w:r>
        <w:rPr>
          <w:kern w:val="0"/>
        </w:rPr>
        <w:t>when it includes both explicit targets</w:t>
      </w:r>
      <w:r w:rsidR="005853A9">
        <w:rPr>
          <w:kern w:val="0"/>
        </w:rPr>
        <w:t xml:space="preserve"> and </w:t>
      </w:r>
      <w:r>
        <w:rPr>
          <w:kern w:val="0"/>
        </w:rPr>
        <w:t>an action plan. In addition, the effect size varied based on the clinical behaviour targeted by the intervention. Authors</w:t>
      </w:r>
      <w:r w:rsidR="0071223E">
        <w:rPr>
          <w:kern w:val="0"/>
        </w:rPr>
        <w:t>’</w:t>
      </w:r>
      <w:r>
        <w:rPr>
          <w:kern w:val="0"/>
        </w:rPr>
        <w:t xml:space="preserve"> conclusions Audit</w:t>
      </w:r>
      <w:r w:rsidR="005853A9">
        <w:rPr>
          <w:kern w:val="0"/>
        </w:rPr>
        <w:t xml:space="preserve"> and </w:t>
      </w:r>
      <w:r>
        <w:rPr>
          <w:kern w:val="0"/>
        </w:rPr>
        <w:t>feedback generally leads to small but potentially important improvements in professional practice</w:t>
      </w:r>
      <w:r w:rsidR="00A37C1D">
        <w:rPr>
          <w:kern w:val="0"/>
        </w:rPr>
        <w:t>. The</w:t>
      </w:r>
      <w:r>
        <w:rPr>
          <w:kern w:val="0"/>
        </w:rPr>
        <w:t xml:space="preserve"> effectiveness</w:t>
      </w:r>
      <w:r w:rsidR="00427468">
        <w:rPr>
          <w:kern w:val="0"/>
        </w:rPr>
        <w:t xml:space="preserve"> of </w:t>
      </w:r>
      <w:r>
        <w:rPr>
          <w:kern w:val="0"/>
        </w:rPr>
        <w:t>audit</w:t>
      </w:r>
      <w:r w:rsidR="005853A9">
        <w:rPr>
          <w:kern w:val="0"/>
        </w:rPr>
        <w:t xml:space="preserve"> and </w:t>
      </w:r>
      <w:r>
        <w:rPr>
          <w:kern w:val="0"/>
        </w:rPr>
        <w:t>feedback seems to depend on baseline performance</w:t>
      </w:r>
      <w:r w:rsidR="005853A9">
        <w:rPr>
          <w:kern w:val="0"/>
        </w:rPr>
        <w:t xml:space="preserve"> and </w:t>
      </w:r>
      <w:r>
        <w:rPr>
          <w:kern w:val="0"/>
        </w:rPr>
        <w:t>how the feedback is provided. Future studies</w:t>
      </w:r>
      <w:r w:rsidR="00427468">
        <w:rPr>
          <w:kern w:val="0"/>
        </w:rPr>
        <w:t xml:space="preserve"> of </w:t>
      </w:r>
      <w:r>
        <w:rPr>
          <w:kern w:val="0"/>
        </w:rPr>
        <w:t>audit</w:t>
      </w:r>
      <w:r w:rsidR="005853A9">
        <w:rPr>
          <w:kern w:val="0"/>
        </w:rPr>
        <w:t xml:space="preserve"> and </w:t>
      </w:r>
      <w:r>
        <w:rPr>
          <w:kern w:val="0"/>
        </w:rPr>
        <w:t>feedback should directly compare different ways</w:t>
      </w:r>
      <w:r w:rsidR="00427468">
        <w:rPr>
          <w:kern w:val="0"/>
        </w:rPr>
        <w:t xml:space="preserve"> of </w:t>
      </w:r>
      <w:r>
        <w:rPr>
          <w:kern w:val="0"/>
        </w:rPr>
        <w:t>providing feedback.</w:t>
      </w:r>
    </w:p>
    <w:p w:rsidR="00365DE4" w:rsidRDefault="00365DE4" w:rsidP="00365DE4">
      <w:pPr>
        <w:pStyle w:val="a3"/>
        <w:rPr>
          <w:kern w:val="0"/>
        </w:rPr>
      </w:pPr>
      <w:r>
        <w:rPr>
          <w:kern w:val="0"/>
        </w:rPr>
        <w:t xml:space="preserve">Keywords: *Feedback,Psychological, *Outcome Assessment (Healthcare), Acute Myocardial-Infarction, Analyses, Analysis, Audit, Authors, Behaviour, Bias, Bypass Graft-Surgery, Care, Characteristics, Citation, Clinical, Clinical Practice, Clinical-Practice Guideline, Cochrane, Collection, Common Childhood Conditions, Compliance, Computerized Decision-Support, Context, Continuing Medical-Education, Control, Criteria, Data, Data Collection, Education,Medical,Continuing, Effect Size, Effectiveness, Effects, Feedback, Health, Health Personnel [Standards], Health Professionals, Health Services Research, </w:t>
      </w:r>
      <w:r>
        <w:rPr>
          <w:kern w:val="0"/>
        </w:rPr>
        <w:lastRenderedPageBreak/>
        <w:t>Humans, Impact, Improvement, Intervention,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Lead, Low, Medical Audit, </w:t>
      </w:r>
      <w:r w:rsidR="00D5664A">
        <w:rPr>
          <w:kern w:val="0"/>
        </w:rPr>
        <w:t>MEDLINE</w:t>
      </w:r>
      <w:r>
        <w:rPr>
          <w:kern w:val="0"/>
        </w:rPr>
        <w:t>, Methods, Outcomes, Performance, Physician</w:t>
      </w:r>
      <w:r w:rsidR="0071223E">
        <w:rPr>
          <w:kern w:val="0"/>
        </w:rPr>
        <w:t>’</w:t>
      </w:r>
      <w:r>
        <w:rPr>
          <w:kern w:val="0"/>
        </w:rPr>
        <w:t xml:space="preserve">S Practice Patterns [*Standards], Practice, Prevalence, Primary, Profession, Professional Practice, Professional Practice [*Standards], Qualitative, Quality, Quality Improvement, Quality Improvement Intervention, Randomized-Controlled-Trial, Reporting, Resource, Research Network Okprn, Review, Risk, Role, Science, Science Citation Index, Search, Size, Small, Social Sciences, Social Sciences Citation Index, Source, Strategy, Test-Ordering Behavior, Trial, Uncertainty,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Perel, P.</w:t>
      </w:r>
      <w:r w:rsidR="005853A9">
        <w:rPr>
          <w:kern w:val="0"/>
        </w:rPr>
        <w:t xml:space="preserve"> and </w:t>
      </w:r>
      <w:r>
        <w:rPr>
          <w:kern w:val="0"/>
        </w:rPr>
        <w:t xml:space="preserve">Roberts, I. (2012), Colloids versus crystalloids for fluid resuscitation in critically ill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CD000567.</w:t>
      </w:r>
    </w:p>
    <w:p w:rsidR="00365DE4" w:rsidRDefault="00365DE4" w:rsidP="00365DE4">
      <w:pPr>
        <w:pStyle w:val="a3"/>
        <w:rPr>
          <w:kern w:val="2"/>
        </w:rPr>
      </w:pPr>
      <w:r>
        <w:t xml:space="preserve">Full Text: </w:t>
      </w:r>
      <w:hyperlink r:id="rId750" w:history="1">
        <w:r>
          <w:rPr>
            <w:rStyle w:val="a5"/>
          </w:rPr>
          <w:t>2012\Coc Dat Sys Rev2012, CD000567.pdf</w:t>
        </w:r>
      </w:hyperlink>
    </w:p>
    <w:p w:rsidR="00365DE4" w:rsidRDefault="00365DE4" w:rsidP="00365DE4">
      <w:pPr>
        <w:pStyle w:val="a3"/>
        <w:rPr>
          <w:kern w:val="0"/>
        </w:rPr>
      </w:pPr>
      <w:r>
        <w:rPr>
          <w:kern w:val="0"/>
        </w:rPr>
        <w:t>Abstract: Background Colloid solutions are widely used in fluid resuscitation</w:t>
      </w:r>
      <w:r w:rsidR="00427468">
        <w:rPr>
          <w:kern w:val="0"/>
        </w:rPr>
        <w:t xml:space="preserve"> of </w:t>
      </w:r>
      <w:r>
        <w:rPr>
          <w:kern w:val="0"/>
        </w:rPr>
        <w:t>critically ill patients</w:t>
      </w:r>
      <w:r w:rsidR="00A37C1D">
        <w:rPr>
          <w:kern w:val="0"/>
        </w:rPr>
        <w:t>. The</w:t>
      </w:r>
      <w:r>
        <w:rPr>
          <w:kern w:val="0"/>
        </w:rPr>
        <w:t>re are several choices</w:t>
      </w:r>
      <w:r w:rsidR="00427468">
        <w:rPr>
          <w:kern w:val="0"/>
        </w:rPr>
        <w:t xml:space="preserve"> of </w:t>
      </w:r>
      <w:r>
        <w:rPr>
          <w:kern w:val="0"/>
        </w:rPr>
        <w:t>colloid</w:t>
      </w:r>
      <w:r w:rsidR="005853A9">
        <w:rPr>
          <w:kern w:val="0"/>
        </w:rPr>
        <w:t xml:space="preserve"> and </w:t>
      </w:r>
      <w:r>
        <w:rPr>
          <w:kern w:val="0"/>
        </w:rPr>
        <w:t>there is ongoing debate about the relative effectiveness</w:t>
      </w:r>
      <w:r w:rsidR="00427468">
        <w:rPr>
          <w:kern w:val="0"/>
        </w:rPr>
        <w:t xml:space="preserve"> of </w:t>
      </w:r>
      <w:r>
        <w:rPr>
          <w:kern w:val="0"/>
        </w:rPr>
        <w:t>colloids compared to crystalloid fluids. Objectives To assess the effects</w:t>
      </w:r>
      <w:r w:rsidR="00427468">
        <w:rPr>
          <w:kern w:val="0"/>
        </w:rPr>
        <w:t xml:space="preserve"> of </w:t>
      </w:r>
      <w:r>
        <w:rPr>
          <w:kern w:val="0"/>
        </w:rPr>
        <w:t>colloids compared to crystalloids for fluid resuscitation in critically ill patients. Search methods We searched the Cochrane Injuries Group Specialised Register (searched 16 March 2012), Cochrane Central Register</w:t>
      </w:r>
      <w:r w:rsidR="00427468">
        <w:rPr>
          <w:kern w:val="0"/>
        </w:rPr>
        <w:t xml:space="preserve"> of </w:t>
      </w:r>
      <w:r>
        <w:rPr>
          <w:kern w:val="0"/>
        </w:rPr>
        <w:t xml:space="preserve">Controlled Trials 2011, issue 3 (The Cochrane Library), </w:t>
      </w:r>
      <w:r w:rsidR="00D5664A">
        <w:rPr>
          <w:kern w:val="0"/>
        </w:rPr>
        <w:t>MEDLINE</w:t>
      </w:r>
      <w:r>
        <w:rPr>
          <w:kern w:val="0"/>
        </w:rPr>
        <w:t xml:space="preserve"> (Ovid) 1946 to March 2012, Embase (Ovid) 1980 to March 2012, ISI </w:t>
      </w:r>
      <w:r w:rsidR="00D5664A">
        <w:rPr>
          <w:kern w:val="0"/>
        </w:rPr>
        <w:t>Web</w:t>
      </w:r>
      <w:r w:rsidR="00427468">
        <w:rPr>
          <w:kern w:val="0"/>
        </w:rPr>
        <w:t xml:space="preserve"> of </w:t>
      </w:r>
      <w:r w:rsidR="00D5664A">
        <w:rPr>
          <w:kern w:val="0"/>
        </w:rPr>
        <w:t>Science</w:t>
      </w:r>
      <w:r>
        <w:rPr>
          <w:kern w:val="0"/>
        </w:rPr>
        <w:t xml:space="preserve">: Science Citation Index Expanded (1970 to March 2012), ISI </w:t>
      </w:r>
      <w:r w:rsidR="00D5664A">
        <w:rPr>
          <w:kern w:val="0"/>
        </w:rPr>
        <w:t>Web</w:t>
      </w:r>
      <w:r w:rsidR="00427468">
        <w:rPr>
          <w:kern w:val="0"/>
        </w:rPr>
        <w:t xml:space="preserve"> of </w:t>
      </w:r>
      <w:r w:rsidR="00D5664A">
        <w:rPr>
          <w:kern w:val="0"/>
        </w:rPr>
        <w:t>Science</w:t>
      </w:r>
      <w:r>
        <w:rPr>
          <w:kern w:val="0"/>
        </w:rPr>
        <w:t>: Conference Proceedings Citation Index-Science (1990 to March 2012), PubMed (searched 16 March 2012), www.clinicaltrials.gov</w:t>
      </w:r>
      <w:r w:rsidR="005853A9">
        <w:rPr>
          <w:kern w:val="0"/>
        </w:rPr>
        <w:t xml:space="preserve"> and </w:t>
      </w:r>
      <w:r>
        <w:rPr>
          <w:kern w:val="0"/>
        </w:rPr>
        <w:t>www.controlled-trials.com. We also searched the bibliographies</w:t>
      </w:r>
      <w:r w:rsidR="00427468">
        <w:rPr>
          <w:kern w:val="0"/>
        </w:rPr>
        <w:t xml:space="preserve"> of </w:t>
      </w:r>
      <w:r>
        <w:rPr>
          <w:kern w:val="0"/>
        </w:rPr>
        <w:t>relevant studies</w:t>
      </w:r>
      <w:r w:rsidR="005853A9">
        <w:rPr>
          <w:kern w:val="0"/>
        </w:rPr>
        <w:t xml:space="preserve"> and </w:t>
      </w:r>
      <w:r>
        <w:rPr>
          <w:kern w:val="0"/>
        </w:rPr>
        <w:t>review articles. Selection criteria Randomised controlled trials (RCTs)</w:t>
      </w:r>
      <w:r w:rsidR="00427468">
        <w:rPr>
          <w:kern w:val="0"/>
        </w:rPr>
        <w:t xml:space="preserve"> of </w:t>
      </w:r>
      <w:r>
        <w:rPr>
          <w:kern w:val="0"/>
        </w:rPr>
        <w:t>colloids compared to crystalloids, in patients requiring volume replacement. We excluded crossover trials</w:t>
      </w:r>
      <w:r w:rsidR="005853A9">
        <w:rPr>
          <w:kern w:val="0"/>
        </w:rPr>
        <w:t xml:space="preserve"> and </w:t>
      </w:r>
      <w:r>
        <w:rPr>
          <w:kern w:val="0"/>
        </w:rPr>
        <w:t>trials in pregnant women</w:t>
      </w:r>
      <w:r w:rsidR="005853A9">
        <w:rPr>
          <w:kern w:val="0"/>
        </w:rPr>
        <w:t xml:space="preserve"> and </w:t>
      </w:r>
      <w:r>
        <w:rPr>
          <w:kern w:val="0"/>
        </w:rPr>
        <w:t>neonates. Data collection</w:t>
      </w:r>
      <w:r w:rsidR="005853A9">
        <w:rPr>
          <w:kern w:val="0"/>
        </w:rPr>
        <w:t xml:space="preserve"> and </w:t>
      </w:r>
      <w:r>
        <w:rPr>
          <w:kern w:val="0"/>
        </w:rPr>
        <w:t>analysis Two authors independently extracted data</w:t>
      </w:r>
      <w:r w:rsidR="005853A9">
        <w:rPr>
          <w:kern w:val="0"/>
        </w:rPr>
        <w:t xml:space="preserve"> and </w:t>
      </w:r>
      <w:r>
        <w:rPr>
          <w:kern w:val="0"/>
        </w:rPr>
        <w:t>rated quality</w:t>
      </w:r>
      <w:r w:rsidR="00427468">
        <w:rPr>
          <w:kern w:val="0"/>
        </w:rPr>
        <w:t xml:space="preserve"> of </w:t>
      </w:r>
      <w:r>
        <w:rPr>
          <w:kern w:val="0"/>
        </w:rPr>
        <w:t xml:space="preserve">allocation concealment. We analysed trials with a </w:t>
      </w:r>
      <w:r w:rsidR="0071223E">
        <w:rPr>
          <w:kern w:val="0"/>
        </w:rPr>
        <w:t>‘</w:t>
      </w:r>
      <w:r>
        <w:rPr>
          <w:kern w:val="0"/>
        </w:rPr>
        <w:t>double-intervention</w:t>
      </w:r>
      <w:r w:rsidR="0071223E">
        <w:rPr>
          <w:kern w:val="0"/>
        </w:rPr>
        <w:t>’</w:t>
      </w:r>
      <w:r>
        <w:rPr>
          <w:kern w:val="0"/>
        </w:rPr>
        <w:t>, such as those comparing colloid in hypertonic crystalloid to isotonic crystalloid, separately. We stratified the analysis according to colloid type</w:t>
      </w:r>
      <w:r w:rsidR="005853A9">
        <w:rPr>
          <w:kern w:val="0"/>
        </w:rPr>
        <w:t xml:space="preserve"> and </w:t>
      </w:r>
      <w:r>
        <w:rPr>
          <w:kern w:val="0"/>
        </w:rPr>
        <w:t>quality</w:t>
      </w:r>
      <w:r w:rsidR="00427468">
        <w:rPr>
          <w:kern w:val="0"/>
        </w:rPr>
        <w:t xml:space="preserve"> of </w:t>
      </w:r>
      <w:r>
        <w:rPr>
          <w:kern w:val="0"/>
        </w:rPr>
        <w:t>allocation concealment. Main results We identified 74 eligible trials; 66</w:t>
      </w:r>
      <w:r w:rsidR="00427468">
        <w:rPr>
          <w:kern w:val="0"/>
        </w:rPr>
        <w:t xml:space="preserve"> of </w:t>
      </w:r>
      <w:r>
        <w:rPr>
          <w:kern w:val="0"/>
        </w:rPr>
        <w:t>these presented mortality data. Colloids compared to crystalloids Albumin or plasma protein fraction - 24 trials reported data on mortality, including a total</w:t>
      </w:r>
      <w:r w:rsidR="00427468">
        <w:rPr>
          <w:kern w:val="0"/>
        </w:rPr>
        <w:t xml:space="preserve"> of </w:t>
      </w:r>
      <w:r>
        <w:rPr>
          <w:kern w:val="0"/>
        </w:rPr>
        <w:t>9920 patients</w:t>
      </w:r>
      <w:r w:rsidR="00A37C1D">
        <w:rPr>
          <w:kern w:val="0"/>
        </w:rPr>
        <w:t>. The</w:t>
      </w:r>
      <w:r>
        <w:rPr>
          <w:kern w:val="0"/>
        </w:rPr>
        <w:t xml:space="preserve"> pooled relative risk (RR) from these trials was 1.01 (95% confidence interval (CI) 0.93 to 1.10). When we excluded the trial with poor quality allocation concealment, pooled RR was 1.00 (95% CI 0.92 to 1.09). Hydroxyethyl starch - 21 trials compared hydroxyethyl starch with crystalloids, n = 1385 patients</w:t>
      </w:r>
      <w:r w:rsidR="00A37C1D">
        <w:rPr>
          <w:kern w:val="0"/>
        </w:rPr>
        <w:t>. The</w:t>
      </w:r>
      <w:r>
        <w:rPr>
          <w:kern w:val="0"/>
        </w:rPr>
        <w:t xml:space="preserve"> pooled RR was 1.10 (95% CI 0.91 to 1.32). Modified gelatin - 11 trials </w:t>
      </w:r>
      <w:r>
        <w:rPr>
          <w:kern w:val="0"/>
        </w:rPr>
        <w:lastRenderedPageBreak/>
        <w:t>compared modified gelatin with crystalloid, n = 506 patients</w:t>
      </w:r>
      <w:r w:rsidR="00A37C1D">
        <w:rPr>
          <w:kern w:val="0"/>
        </w:rPr>
        <w:t>. The</w:t>
      </w:r>
      <w:r>
        <w:rPr>
          <w:kern w:val="0"/>
        </w:rPr>
        <w:t xml:space="preserve"> pooled RR was 0.91 (95% CI 0.49 to 1.72). (When the trials by Boldt et al were removed from the three preceding analyses, the results were unchanged.) Dextran - nine trials compared dextran with a crystalloid, n = 834 patients</w:t>
      </w:r>
      <w:r w:rsidR="00A37C1D">
        <w:rPr>
          <w:kern w:val="0"/>
        </w:rPr>
        <w:t>. The</w:t>
      </w:r>
      <w:r>
        <w:rPr>
          <w:kern w:val="0"/>
        </w:rPr>
        <w:t xml:space="preserve"> pooled RR was 1.24 (95% CI 0.94 to 1.65). Colloids in hypertonic crystalloid compared to isotonic crystalloid Nine trials compared dextran in hypertonic crystalloid with isotonic crystalloid, including 1985 randomised participants. Pooled RR was 0.91 (95% CI 0.71 to 1.06). Authors</w:t>
      </w:r>
      <w:r w:rsidR="0071223E">
        <w:rPr>
          <w:kern w:val="0"/>
        </w:rPr>
        <w:t>’</w:t>
      </w:r>
      <w:r>
        <w:rPr>
          <w:kern w:val="0"/>
        </w:rPr>
        <w:t xml:space="preserve"> conclusions There is no evidence from RCTs that resuscitation with colloids reduces the risk</w:t>
      </w:r>
      <w:r w:rsidR="00427468">
        <w:rPr>
          <w:kern w:val="0"/>
        </w:rPr>
        <w:t xml:space="preserve"> of </w:t>
      </w:r>
      <w:r>
        <w:rPr>
          <w:kern w:val="0"/>
        </w:rPr>
        <w:t>death, compared to resuscitation with crystalloids, in patients with trauma, burns or following surgery. As colloids are not associated with an improvement in survival,</w:t>
      </w:r>
      <w:r w:rsidR="005853A9">
        <w:rPr>
          <w:kern w:val="0"/>
        </w:rPr>
        <w:t xml:space="preserve"> and </w:t>
      </w:r>
      <w:r>
        <w:rPr>
          <w:kern w:val="0"/>
        </w:rPr>
        <w:t>as they are more expensive than crystalloids, it is hard to see how their continued use in these patients can be justified outside the context</w:t>
      </w:r>
      <w:r w:rsidR="00427468">
        <w:rPr>
          <w:kern w:val="0"/>
        </w:rPr>
        <w:t xml:space="preserve"> of </w:t>
      </w:r>
      <w:r>
        <w:rPr>
          <w:kern w:val="0"/>
        </w:rPr>
        <w:t>RCTs.</w:t>
      </w:r>
    </w:p>
    <w:p w:rsidR="00365DE4" w:rsidRDefault="00365DE4" w:rsidP="00365DE4">
      <w:pPr>
        <w:pStyle w:val="a3"/>
        <w:rPr>
          <w:kern w:val="0"/>
        </w:rPr>
      </w:pPr>
      <w:r>
        <w:rPr>
          <w:kern w:val="0"/>
        </w:rPr>
        <w:t>Keywords: *Therapy], 7.5-Percent Sodium-Chloride, Albumin, Albumins [Therapeutic Use], Allocation, Analyses, Analysis, Articles, Authors, Bibliographies, Blood Proteins [Therapeutic Use], Citation, Cochrane, Collection, Colloid, Colloids, Colloids [*Therapeutic Use], Conference, Confidence, Context, Controlled Clinical-Trial, Coronary-Artery-Bypass, Criteria, Critical Illness [Mortality, Crystalloid, Data, Data Collection, Death, Dextran, Dextrans [Therapeutic Use], Effectiveness, Effects, Evidence, Fluid Therapy [*Methods], Gelatin, Gelatin [Therapeutic Use], Hetastarch [Therapeutic Use], Humans, Improvement, Intensive-Care-Unit, Interval</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Lactated Ringers Solution, Major Abdominal-Surgery, </w:t>
      </w:r>
      <w:r w:rsidR="00D5664A">
        <w:rPr>
          <w:kern w:val="0"/>
        </w:rPr>
        <w:t>MEDLINE</w:t>
      </w:r>
      <w:r>
        <w:rPr>
          <w:kern w:val="0"/>
        </w:rPr>
        <w:t xml:space="preserve">, Methods, Modified, Mortality, Neonates, Patients, Plasma, Plasma Substitutes [*Therapeutic Use], Pregnant, Pregnant Women, Protein, Pubmed, Quality, Quality Of, Randomised, Randomized Controlled Trials As Topic, Randomized-Trial, Rehydration Solutions [*Therapeutic Use], Relative Risk, Respiratory-Distress-Syndrome, Resuscitation, Resuscitation [Methods], Review, Risk, Saline-Dextran Solution, Science, Science Citation Index, Science Citation Index Expanded, Search, Solutions, Starch, Surgery, Survival, Trauma, Trial, Volume, Volume Replacement Strategy, </w:t>
      </w:r>
      <w:r w:rsidR="00D5664A">
        <w:rPr>
          <w:kern w:val="0"/>
        </w:rPr>
        <w:t>Web</w:t>
      </w:r>
      <w:r w:rsidR="00427468">
        <w:rPr>
          <w:kern w:val="0"/>
        </w:rPr>
        <w:t xml:space="preserve"> of </w:t>
      </w:r>
      <w:r w:rsidR="00D5664A">
        <w:rPr>
          <w:kern w:val="0"/>
        </w:rPr>
        <w:t>Science</w:t>
      </w:r>
      <w:r>
        <w:rPr>
          <w:kern w:val="0"/>
        </w:rPr>
        <w:t>, Women</w:t>
      </w:r>
    </w:p>
    <w:p w:rsidR="00365DE4" w:rsidRDefault="00365DE4" w:rsidP="00365DE4">
      <w:pPr>
        <w:pStyle w:val="a3"/>
        <w:rPr>
          <w:kern w:val="0"/>
        </w:rPr>
      </w:pPr>
      <w:r>
        <w:rPr>
          <w:kern w:val="0"/>
        </w:rPr>
        <w:t>? Bunn, F.</w:t>
      </w:r>
      <w:r w:rsidR="005853A9">
        <w:rPr>
          <w:kern w:val="0"/>
        </w:rPr>
        <w:t xml:space="preserve"> and </w:t>
      </w:r>
      <w:r>
        <w:rPr>
          <w:kern w:val="0"/>
        </w:rPr>
        <w:t xml:space="preserve">Trivedi, D. (2012), Colloid solutions for fluid resuscitation.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CD001319.</w:t>
      </w:r>
    </w:p>
    <w:p w:rsidR="00365DE4" w:rsidRDefault="00365DE4" w:rsidP="00365DE4">
      <w:pPr>
        <w:pStyle w:val="a3"/>
        <w:rPr>
          <w:kern w:val="2"/>
        </w:rPr>
      </w:pPr>
      <w:r>
        <w:t xml:space="preserve">Full Text: </w:t>
      </w:r>
      <w:hyperlink r:id="rId751" w:history="1">
        <w:r>
          <w:rPr>
            <w:rStyle w:val="a5"/>
          </w:rPr>
          <w:t>2012\Coc Dat Sys Rev2012, CD001319.pdf</w:t>
        </w:r>
      </w:hyperlink>
    </w:p>
    <w:p w:rsidR="00365DE4" w:rsidRDefault="00365DE4" w:rsidP="00365DE4">
      <w:pPr>
        <w:pStyle w:val="a3"/>
        <w:rPr>
          <w:kern w:val="0"/>
        </w:rPr>
      </w:pPr>
      <w:r>
        <w:rPr>
          <w:kern w:val="0"/>
        </w:rPr>
        <w:t>Abstract: Background Colloids are widely used in the replacement</w:t>
      </w:r>
      <w:r w:rsidR="00427468">
        <w:rPr>
          <w:kern w:val="0"/>
        </w:rPr>
        <w:t xml:space="preserve"> of </w:t>
      </w:r>
      <w:r>
        <w:rPr>
          <w:kern w:val="0"/>
        </w:rPr>
        <w:t>fluid volume. However doubts remain as to which colloid is best. Different colloids vary in their molecular weight</w:t>
      </w:r>
      <w:r w:rsidR="005853A9">
        <w:rPr>
          <w:kern w:val="0"/>
        </w:rPr>
        <w:t xml:space="preserve"> and </w:t>
      </w:r>
      <w:r>
        <w:rPr>
          <w:kern w:val="0"/>
        </w:rPr>
        <w:t>therefore in the length</w:t>
      </w:r>
      <w:r w:rsidR="00427468">
        <w:rPr>
          <w:kern w:val="0"/>
        </w:rPr>
        <w:t xml:space="preserve"> of </w:t>
      </w:r>
      <w:r>
        <w:rPr>
          <w:kern w:val="0"/>
        </w:rPr>
        <w:t>time they remain in the circulatory system. Because</w:t>
      </w:r>
      <w:r w:rsidR="00427468">
        <w:rPr>
          <w:kern w:val="0"/>
        </w:rPr>
        <w:t xml:space="preserve"> of </w:t>
      </w:r>
      <w:r>
        <w:rPr>
          <w:kern w:val="0"/>
        </w:rPr>
        <w:t>this</w:t>
      </w:r>
      <w:r w:rsidR="005853A9">
        <w:rPr>
          <w:kern w:val="0"/>
        </w:rPr>
        <w:t xml:space="preserve"> and </w:t>
      </w:r>
      <w:r>
        <w:rPr>
          <w:kern w:val="0"/>
        </w:rPr>
        <w:t>their other characteristics, they may differ in their safety</w:t>
      </w:r>
      <w:r w:rsidR="005853A9">
        <w:rPr>
          <w:kern w:val="0"/>
        </w:rPr>
        <w:t xml:space="preserve"> and </w:t>
      </w:r>
      <w:r>
        <w:rPr>
          <w:kern w:val="0"/>
        </w:rPr>
        <w:t>efficacy. Objectives To compare the effects</w:t>
      </w:r>
      <w:r w:rsidR="00427468">
        <w:rPr>
          <w:kern w:val="0"/>
        </w:rPr>
        <w:t xml:space="preserve"> of </w:t>
      </w:r>
      <w:r>
        <w:rPr>
          <w:kern w:val="0"/>
        </w:rPr>
        <w:t xml:space="preserve">different colloid solutions in patients thought to need volume replacement. Search methods We searched the Cochrane Injuries Specialised Register (searched 1 Dec 2011), Cochrane Central </w:t>
      </w:r>
      <w:r>
        <w:rPr>
          <w:kern w:val="0"/>
        </w:rPr>
        <w:lastRenderedPageBreak/>
        <w:t>Register</w:t>
      </w:r>
      <w:r w:rsidR="00427468">
        <w:rPr>
          <w:kern w:val="0"/>
        </w:rPr>
        <w:t xml:space="preserve"> of </w:t>
      </w:r>
      <w:r>
        <w:rPr>
          <w:kern w:val="0"/>
        </w:rPr>
        <w:t xml:space="preserve">Controlled Trials 2011, issue 4 (The Cochrane Library); </w:t>
      </w:r>
      <w:r w:rsidR="00D5664A">
        <w:rPr>
          <w:kern w:val="0"/>
        </w:rPr>
        <w:t>MEDLINE</w:t>
      </w:r>
      <w:r>
        <w:rPr>
          <w:kern w:val="0"/>
        </w:rPr>
        <w:t xml:space="preserve"> (Ovid) (1948 to November Week 3 2011); EMBASE (Ovid) (1974 to 2011 Week 47); ISI </w:t>
      </w:r>
      <w:r w:rsidR="00D5664A">
        <w:rPr>
          <w:kern w:val="0"/>
        </w:rPr>
        <w:t>Web</w:t>
      </w:r>
      <w:r w:rsidR="00427468">
        <w:rPr>
          <w:kern w:val="0"/>
        </w:rPr>
        <w:t xml:space="preserve"> of </w:t>
      </w:r>
      <w:r w:rsidR="00D5664A">
        <w:rPr>
          <w:kern w:val="0"/>
        </w:rPr>
        <w:t>Science</w:t>
      </w:r>
      <w:r>
        <w:rPr>
          <w:kern w:val="0"/>
        </w:rPr>
        <w:t xml:space="preserve">: Science Citation Index Expanded (1970 to 1 Dec 2011); ISI </w:t>
      </w:r>
      <w:r w:rsidR="00D5664A">
        <w:rPr>
          <w:kern w:val="0"/>
        </w:rPr>
        <w:t>Web</w:t>
      </w:r>
      <w:r w:rsidR="00427468">
        <w:rPr>
          <w:kern w:val="0"/>
        </w:rPr>
        <w:t xml:space="preserve"> of </w:t>
      </w:r>
      <w:r w:rsidR="00D5664A">
        <w:rPr>
          <w:kern w:val="0"/>
        </w:rPr>
        <w:t>Science</w:t>
      </w:r>
      <w:r>
        <w:rPr>
          <w:kern w:val="0"/>
        </w:rPr>
        <w:t>: Conference Proceedings Citation Index-Science (1990 to 1 Dec 2011); CINAHL (EBSCO) (1982 to 1 Dec 2011); National Research Register (2007, Issue 1)</w:t>
      </w:r>
      <w:r w:rsidR="005853A9">
        <w:rPr>
          <w:kern w:val="0"/>
        </w:rPr>
        <w:t xml:space="preserve"> and </w:t>
      </w:r>
      <w:r>
        <w:rPr>
          <w:kern w:val="0"/>
        </w:rPr>
        <w:t>PubMed (searched 1 Dec 2011). Bibliographies</w:t>
      </w:r>
      <w:r w:rsidR="00427468">
        <w:rPr>
          <w:kern w:val="0"/>
        </w:rPr>
        <w:t xml:space="preserve"> of </w:t>
      </w:r>
      <w:r>
        <w:rPr>
          <w:kern w:val="0"/>
        </w:rPr>
        <w:t>trials retrieved were searched,</w:t>
      </w:r>
      <w:r w:rsidR="005853A9">
        <w:rPr>
          <w:kern w:val="0"/>
        </w:rPr>
        <w:t xml:space="preserve"> and </w:t>
      </w:r>
      <w:r>
        <w:rPr>
          <w:kern w:val="0"/>
        </w:rPr>
        <w:t>for the initial version</w:t>
      </w:r>
      <w:r w:rsidR="00427468">
        <w:rPr>
          <w:kern w:val="0"/>
        </w:rPr>
        <w:t xml:space="preserve"> of </w:t>
      </w:r>
      <w:r>
        <w:rPr>
          <w:kern w:val="0"/>
        </w:rPr>
        <w:t>the review drug companies manufacturing colloids were contacted for information (1999). Selection criteria Randomised controlled trials comparing colloid solutions in critically ill</w:t>
      </w:r>
      <w:r w:rsidR="005853A9">
        <w:rPr>
          <w:kern w:val="0"/>
        </w:rPr>
        <w:t xml:space="preserve"> and </w:t>
      </w:r>
      <w:r>
        <w:rPr>
          <w:kern w:val="0"/>
        </w:rPr>
        <w:t>surgical patients thought to need volume replacement. Data collection</w:t>
      </w:r>
      <w:r w:rsidR="005853A9">
        <w:rPr>
          <w:kern w:val="0"/>
        </w:rPr>
        <w:t xml:space="preserve"> and </w:t>
      </w:r>
      <w:r>
        <w:rPr>
          <w:kern w:val="0"/>
        </w:rPr>
        <w:t>analysis Two authors independently extracted the data</w:t>
      </w:r>
      <w:r w:rsidR="005853A9">
        <w:rPr>
          <w:kern w:val="0"/>
        </w:rPr>
        <w:t xml:space="preserve"> and </w:t>
      </w:r>
      <w:r>
        <w:rPr>
          <w:kern w:val="0"/>
        </w:rPr>
        <w:t>assessed the quality</w:t>
      </w:r>
      <w:r w:rsidR="00427468">
        <w:rPr>
          <w:kern w:val="0"/>
        </w:rPr>
        <w:t xml:space="preserve"> of </w:t>
      </w:r>
      <w:r>
        <w:rPr>
          <w:kern w:val="0"/>
        </w:rPr>
        <w:t>the trials</w:t>
      </w:r>
      <w:r w:rsidR="00A37C1D">
        <w:rPr>
          <w:kern w:val="0"/>
        </w:rPr>
        <w:t>. The</w:t>
      </w:r>
      <w:r>
        <w:rPr>
          <w:kern w:val="0"/>
        </w:rPr>
        <w:t xml:space="preserve"> outcomes sought were death, amount</w:t>
      </w:r>
      <w:r w:rsidR="00427468">
        <w:rPr>
          <w:kern w:val="0"/>
        </w:rPr>
        <w:t xml:space="preserve"> of </w:t>
      </w:r>
      <w:r>
        <w:rPr>
          <w:kern w:val="0"/>
        </w:rPr>
        <w:t>whole blood transfused,</w:t>
      </w:r>
      <w:r w:rsidR="005853A9">
        <w:rPr>
          <w:kern w:val="0"/>
        </w:rPr>
        <w:t xml:space="preserve"> and </w:t>
      </w:r>
      <w:r>
        <w:rPr>
          <w:kern w:val="0"/>
        </w:rPr>
        <w:t>incidence</w:t>
      </w:r>
      <w:r w:rsidR="00427468">
        <w:rPr>
          <w:kern w:val="0"/>
        </w:rPr>
        <w:t xml:space="preserve"> of </w:t>
      </w:r>
      <w:r>
        <w:rPr>
          <w:kern w:val="0"/>
        </w:rPr>
        <w:t>adverse reactions. Main results Ninety trials, with a total</w:t>
      </w:r>
      <w:r w:rsidR="00427468">
        <w:rPr>
          <w:kern w:val="0"/>
        </w:rPr>
        <w:t xml:space="preserve"> of </w:t>
      </w:r>
      <w:r>
        <w:rPr>
          <w:kern w:val="0"/>
        </w:rPr>
        <w:t>5678 participants, met the inclusion criteria. Quality</w:t>
      </w:r>
      <w:r w:rsidR="00427468">
        <w:rPr>
          <w:kern w:val="0"/>
        </w:rPr>
        <w:t xml:space="preserve"> of </w:t>
      </w:r>
      <w:r>
        <w:rPr>
          <w:kern w:val="0"/>
        </w:rPr>
        <w:t>allocation concealment was judged to be adequate in 35 trials</w:t>
      </w:r>
      <w:r w:rsidR="005853A9">
        <w:rPr>
          <w:kern w:val="0"/>
        </w:rPr>
        <w:t xml:space="preserve"> and </w:t>
      </w:r>
      <w:r>
        <w:rPr>
          <w:kern w:val="0"/>
        </w:rPr>
        <w:t>poor or uncertain in the rest. Deaths were obtained in 61 trials. For albumin or PPF versus hydroxyethyl starch (HES) 32 trials (n = 1769) reported mortality</w:t>
      </w:r>
      <w:r w:rsidR="00A37C1D">
        <w:rPr>
          <w:kern w:val="0"/>
        </w:rPr>
        <w:t>. The</w:t>
      </w:r>
      <w:r>
        <w:rPr>
          <w:kern w:val="0"/>
        </w:rPr>
        <w:t xml:space="preserve"> pooled relative risk (RR) was 1.07 (95% CI 0.87 to 1.32). When the trials by Boldt were removed from the analysis the pooled RR was 0.90 (95% CI 0.68 to 1.20). For albumin or PPF versus gelatin, nine trials (n = 824) reported mortality</w:t>
      </w:r>
      <w:r w:rsidR="00A37C1D">
        <w:rPr>
          <w:kern w:val="0"/>
        </w:rPr>
        <w:t>. The</w:t>
      </w:r>
      <w:r>
        <w:rPr>
          <w:kern w:val="0"/>
        </w:rPr>
        <w:t xml:space="preserve"> RR was 0.89 (95% CI 0.65 to 1.21). Removing the study by Boldt from the analysis did not change the RR or confidence intervals. For albumin or PPF versus Dextran four trials (n = 360) reported mortality</w:t>
      </w:r>
      <w:r w:rsidR="00A37C1D">
        <w:rPr>
          <w:kern w:val="0"/>
        </w:rPr>
        <w:t>. The</w:t>
      </w:r>
      <w:r>
        <w:rPr>
          <w:kern w:val="0"/>
        </w:rPr>
        <w:t xml:space="preserve"> RR was 3.75 (95% CI 0.42 to 33.09). For gelatin versus HES 25 trials (n = 1756) reported mortality</w:t>
      </w:r>
      <w:r w:rsidR="005853A9">
        <w:rPr>
          <w:kern w:val="0"/>
        </w:rPr>
        <w:t xml:space="preserve"> and </w:t>
      </w:r>
      <w:r>
        <w:rPr>
          <w:kern w:val="0"/>
        </w:rPr>
        <w:t>the RR was 1.03 (95% CI 0.84 to 1.26). When the trials by Boldt were removed from the analysis the pooled RR was 1.04 (95% CI 0.85 to 1.27). RR was not estimable in the gelatin versus dextran</w:t>
      </w:r>
      <w:r w:rsidR="005853A9">
        <w:rPr>
          <w:kern w:val="0"/>
        </w:rPr>
        <w:t xml:space="preserve"> and </w:t>
      </w:r>
      <w:r>
        <w:rPr>
          <w:kern w:val="0"/>
        </w:rPr>
        <w:t>HES versus dextran groups. Forty five trials recorded the amount</w:t>
      </w:r>
      <w:r w:rsidR="00427468">
        <w:rPr>
          <w:kern w:val="0"/>
        </w:rPr>
        <w:t xml:space="preserve"> of </w:t>
      </w:r>
      <w:r>
        <w:rPr>
          <w:kern w:val="0"/>
        </w:rPr>
        <w:t>blood transfused, however quantitative analysis was not possible due to skewness</w:t>
      </w:r>
      <w:r w:rsidR="005853A9">
        <w:rPr>
          <w:kern w:val="0"/>
        </w:rPr>
        <w:t xml:space="preserve"> and </w:t>
      </w:r>
      <w:r>
        <w:rPr>
          <w:kern w:val="0"/>
        </w:rPr>
        <w:t>variable reporting. Twenty-four trials recorded adverse reactions, with two studies reporting possible adverse reactions to Gel</w:t>
      </w:r>
      <w:r w:rsidR="005853A9">
        <w:rPr>
          <w:kern w:val="0"/>
        </w:rPr>
        <w:t xml:space="preserve"> and </w:t>
      </w:r>
      <w:r>
        <w:rPr>
          <w:kern w:val="0"/>
        </w:rPr>
        <w:t>one to HES. Authors</w:t>
      </w:r>
      <w:r w:rsidR="0071223E">
        <w:rPr>
          <w:kern w:val="0"/>
        </w:rPr>
        <w:t>’</w:t>
      </w:r>
      <w:r>
        <w:rPr>
          <w:kern w:val="0"/>
        </w:rPr>
        <w:t xml:space="preserve"> conclusions From this review, there is no evidence that one colloid solution is more effective or safe than any other, although the confidence intervals are wide</w:t>
      </w:r>
      <w:r w:rsidR="005853A9">
        <w:rPr>
          <w:kern w:val="0"/>
        </w:rPr>
        <w:t xml:space="preserve"> and </w:t>
      </w:r>
      <w:r>
        <w:rPr>
          <w:kern w:val="0"/>
        </w:rPr>
        <w:t>do not exclude clinically significant differences between colloids. Larger trials</w:t>
      </w:r>
      <w:r w:rsidR="00427468">
        <w:rPr>
          <w:kern w:val="0"/>
        </w:rPr>
        <w:t xml:space="preserve"> of </w:t>
      </w:r>
      <w:r>
        <w:rPr>
          <w:kern w:val="0"/>
        </w:rPr>
        <w:t>fluid therapy are needed if clinically significant differences in mortality are to be detected or excluded.</w:t>
      </w:r>
    </w:p>
    <w:p w:rsidR="00365DE4" w:rsidRDefault="00365DE4" w:rsidP="00365DE4">
      <w:pPr>
        <w:pStyle w:val="a3"/>
        <w:rPr>
          <w:kern w:val="0"/>
        </w:rPr>
      </w:pPr>
      <w:r>
        <w:rPr>
          <w:kern w:val="0"/>
        </w:rPr>
        <w:t xml:space="preserve">Keywords: 5-Percent Human Albumin, Acute Normovolemic Hemodilution, Albumin, Albumins [Therapeutic Use], Allocation, Analysis, Aortic-Aneurysm Surgery, Authors, Bibliographies, Blood, Blood Proteins [Therapeutic Use], Cardiac-Surgery Patients, Characteristics, Citation, Cochrane, Collection, Colloid, Colloids, Colloids [Adverse Effects, Conference, Confidence, Confidence Intervals, Criteria, Critical </w:t>
      </w:r>
      <w:r>
        <w:rPr>
          <w:kern w:val="0"/>
        </w:rPr>
        <w:lastRenderedPageBreak/>
        <w:t>Illness [Therapy], Critically-Ill Patients, Data, Data Collection, Death, Dextran, Dextrans [Adverse Effects, Drug, Effects, Efficacy, Evidence, Fluid Therapy, Gel, Gelatin, Hetastarch [Therapeutic Use], Humans, Hydroxyethyl Starch Solution, Incidence, Inclusion, Information, Intervals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Length, Major Orthopedic-Surgery, Manufacturing, </w:t>
      </w:r>
      <w:r w:rsidR="00D5664A">
        <w:rPr>
          <w:kern w:val="0"/>
        </w:rPr>
        <w:t>MEDLINE</w:t>
      </w:r>
      <w:r>
        <w:rPr>
          <w:kern w:val="0"/>
        </w:rPr>
        <w:t xml:space="preserve">, Methods, Mortality, Outcomes, Patients, Plasma Substitutes [Adverse Effects, Postoperative Volume Expansion, Pubmed, Quality, Quality Of, Quantitative Analysis, Randomized Controlled Trials As Topic, Randomized Controlled-Trial, Rehydration Solutions [Adverse Effects, Relative Risk, Reporting, Research, Resuscitation, Retracted Article. See, Review, Risk, Safety, Science, Science Citation Index, Science Citation Index Expanded, Search, Solution, Solutions, Starch, Surgical Patients, Therapeutic Use], Therapy, Version, Volume,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Barlow, J., Smailagic, N., Huband, N., Roloff, V.</w:t>
      </w:r>
      <w:r w:rsidR="005853A9">
        <w:rPr>
          <w:kern w:val="0"/>
        </w:rPr>
        <w:t xml:space="preserve"> and </w:t>
      </w:r>
      <w:r>
        <w:rPr>
          <w:kern w:val="0"/>
        </w:rPr>
        <w:t xml:space="preserve">Bennett, C. (2012), Group-based parent training programmes for improving parental psychosocial health.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CD002020.</w:t>
      </w:r>
    </w:p>
    <w:p w:rsidR="00365DE4" w:rsidRDefault="00365DE4" w:rsidP="00365DE4">
      <w:pPr>
        <w:pStyle w:val="a3"/>
        <w:rPr>
          <w:kern w:val="2"/>
        </w:rPr>
      </w:pPr>
      <w:r>
        <w:t xml:space="preserve">Full Text: </w:t>
      </w:r>
      <w:hyperlink r:id="rId752" w:history="1">
        <w:r>
          <w:rPr>
            <w:rStyle w:val="a5"/>
          </w:rPr>
          <w:t>2012\Coc Dat Sys Rev2012, CD002020.pdf</w:t>
        </w:r>
      </w:hyperlink>
    </w:p>
    <w:p w:rsidR="00365DE4" w:rsidRDefault="00365DE4" w:rsidP="00365DE4">
      <w:pPr>
        <w:pStyle w:val="a3"/>
        <w:rPr>
          <w:kern w:val="0"/>
        </w:rPr>
      </w:pPr>
      <w:r>
        <w:rPr>
          <w:kern w:val="0"/>
        </w:rPr>
        <w:t>Abstract: Background Parental psychosocial health can have a significant effect on the parent-child relationship, with consequences for the later psychological health</w:t>
      </w:r>
      <w:r w:rsidR="00427468">
        <w:rPr>
          <w:kern w:val="0"/>
        </w:rPr>
        <w:t xml:space="preserve"> of </w:t>
      </w:r>
      <w:r>
        <w:rPr>
          <w:kern w:val="0"/>
        </w:rPr>
        <w:t>the child. Parenting programmes have been shown to have an impact on the emotional</w:t>
      </w:r>
      <w:r w:rsidR="005853A9">
        <w:rPr>
          <w:kern w:val="0"/>
        </w:rPr>
        <w:t xml:space="preserve"> and </w:t>
      </w:r>
      <w:r>
        <w:rPr>
          <w:kern w:val="0"/>
        </w:rPr>
        <w:t>behavioural adjustment</w:t>
      </w:r>
      <w:r w:rsidR="00427468">
        <w:rPr>
          <w:kern w:val="0"/>
        </w:rPr>
        <w:t xml:space="preserve"> of </w:t>
      </w:r>
      <w:r>
        <w:rPr>
          <w:kern w:val="0"/>
        </w:rPr>
        <w:t>children, but there have been no reviews to date</w:t>
      </w:r>
      <w:r w:rsidR="00427468">
        <w:rPr>
          <w:kern w:val="0"/>
        </w:rPr>
        <w:t xml:space="preserve"> of </w:t>
      </w:r>
      <w:r>
        <w:rPr>
          <w:kern w:val="0"/>
        </w:rPr>
        <w:t xml:space="preserve">their impact on parental psychosocial wellbeing. Objectives To address whether group-based parenting programmes are effective in improving parental psychosocial wellbeing (for example, anxiety, depression, guilt, confidence). Search methods We searched the following databases on 5 December 2012: CENTRAL (2011, Issue 4), </w:t>
      </w:r>
      <w:r w:rsidR="00D5664A">
        <w:rPr>
          <w:kern w:val="0"/>
        </w:rPr>
        <w:t>MEDLINE</w:t>
      </w:r>
      <w:r>
        <w:rPr>
          <w:kern w:val="0"/>
        </w:rPr>
        <w:t xml:space="preserve"> (1950 to November 2011), EMBASE (1980 to week 48, 2011), BIOSIS (1970 to 2 December 2011), CINAHL (1982 to November 2011), PsycINFO (1970 to November week 5, 2011), ERIC (1966 to November 2011), Sociological Abstracts (1952 to November 2011), Social Science Citation Index (1970 to 2 December 2011), metaRegister</w:t>
      </w:r>
      <w:r w:rsidR="00427468">
        <w:rPr>
          <w:kern w:val="0"/>
        </w:rPr>
        <w:t xml:space="preserve"> of </w:t>
      </w:r>
      <w:r>
        <w:rPr>
          <w:kern w:val="0"/>
        </w:rPr>
        <w:t>Controlled Trials (5 December 2011), NSPCC Library (5 December 2011). We searched ASSIA (1980 to current) on 10 November 2012</w:t>
      </w:r>
      <w:r w:rsidR="005853A9">
        <w:rPr>
          <w:kern w:val="0"/>
        </w:rPr>
        <w:t xml:space="preserve"> and </w:t>
      </w:r>
      <w:r>
        <w:rPr>
          <w:kern w:val="0"/>
        </w:rPr>
        <w:t>the National Research Register was last searched in 2005. Selection criteria We included randomised controlled trials that compared a group-based parenting programme with a control condition</w:t>
      </w:r>
      <w:r w:rsidR="005853A9">
        <w:rPr>
          <w:kern w:val="0"/>
        </w:rPr>
        <w:t xml:space="preserve"> and </w:t>
      </w:r>
      <w:r>
        <w:rPr>
          <w:kern w:val="0"/>
        </w:rPr>
        <w:t>used at least one standardised measure</w:t>
      </w:r>
      <w:r w:rsidR="00427468">
        <w:rPr>
          <w:kern w:val="0"/>
        </w:rPr>
        <w:t xml:space="preserve"> of </w:t>
      </w:r>
      <w:r>
        <w:rPr>
          <w:kern w:val="0"/>
        </w:rPr>
        <w:t>parental psychosocial health. Control conditions could be waiting-list, no treatment, treatment as usual or a placebo. Data collection</w:t>
      </w:r>
      <w:r w:rsidR="005853A9">
        <w:rPr>
          <w:kern w:val="0"/>
        </w:rPr>
        <w:t xml:space="preserve"> and </w:t>
      </w:r>
      <w:r>
        <w:rPr>
          <w:kern w:val="0"/>
        </w:rPr>
        <w:t>analysis At least two review authors extracted data independently</w:t>
      </w:r>
      <w:r w:rsidR="005853A9">
        <w:rPr>
          <w:kern w:val="0"/>
        </w:rPr>
        <w:t xml:space="preserve"> and </w:t>
      </w:r>
      <w:r>
        <w:rPr>
          <w:kern w:val="0"/>
        </w:rPr>
        <w:t>assessed the risk</w:t>
      </w:r>
      <w:r w:rsidR="00427468">
        <w:rPr>
          <w:kern w:val="0"/>
        </w:rPr>
        <w:t xml:space="preserve"> of </w:t>
      </w:r>
      <w:r>
        <w:rPr>
          <w:kern w:val="0"/>
        </w:rPr>
        <w:t xml:space="preserve">bias in each study. We examined the studies for any information on adverse effects. We contacted authors where information was missing from trial reports. We standardised the treatment effect for each outcome in each study by dividing the mean difference in </w:t>
      </w:r>
      <w:r>
        <w:rPr>
          <w:kern w:val="0"/>
        </w:rPr>
        <w:lastRenderedPageBreak/>
        <w:t>post-intervention scores between the intervention</w:t>
      </w:r>
      <w:r w:rsidR="005853A9">
        <w:rPr>
          <w:kern w:val="0"/>
        </w:rPr>
        <w:t xml:space="preserve"> and </w:t>
      </w:r>
      <w:r>
        <w:rPr>
          <w:kern w:val="0"/>
        </w:rPr>
        <w:t>control groups by the pooled standard deviation. Main results We included 48 studies that involved 4937 participants</w:t>
      </w:r>
      <w:r w:rsidR="005853A9">
        <w:rPr>
          <w:kern w:val="0"/>
        </w:rPr>
        <w:t xml:space="preserve"> and </w:t>
      </w:r>
      <w:r>
        <w:rPr>
          <w:kern w:val="0"/>
        </w:rPr>
        <w:t>covered three types</w:t>
      </w:r>
      <w:r w:rsidR="00427468">
        <w:rPr>
          <w:kern w:val="0"/>
        </w:rPr>
        <w:t xml:space="preserve"> of </w:t>
      </w:r>
      <w:r>
        <w:rPr>
          <w:kern w:val="0"/>
        </w:rPr>
        <w:t>programme: behavioural, cognitive-behavioural</w:t>
      </w:r>
      <w:r w:rsidR="005853A9">
        <w:rPr>
          <w:kern w:val="0"/>
        </w:rPr>
        <w:t xml:space="preserve"> and </w:t>
      </w:r>
      <w:r>
        <w:rPr>
          <w:kern w:val="0"/>
        </w:rPr>
        <w:t>multimodal. Overall, we found that group-based parenting programmes led to statistically significant short-term improvements in depression (standardised mean difference (SMD) -0.17, 95% confidence interval (CI) -0.28 to -0.07), anxiety (SMD -0.22, 95% CI 0.43 to -0.01), stress (SMD -0.29, 95% CI -0.42 to -0.15), anger (SMD -0.60, 95% CI -1.00 to -0.20), guilt (SMD -0.79, 95% CI -1.18 to -0.41), confidence (SMD -0.34, 95% CI -0.51 to -0.17)</w:t>
      </w:r>
      <w:r w:rsidR="005853A9">
        <w:rPr>
          <w:kern w:val="0"/>
        </w:rPr>
        <w:t xml:space="preserve"> and </w:t>
      </w:r>
      <w:r>
        <w:rPr>
          <w:kern w:val="0"/>
        </w:rPr>
        <w:t>satisfaction with the partner relationship (SMD -0.28, 95% CI -0.47 to -0.09). However, only stress</w:t>
      </w:r>
      <w:r w:rsidR="005853A9">
        <w:rPr>
          <w:kern w:val="0"/>
        </w:rPr>
        <w:t xml:space="preserve"> and </w:t>
      </w:r>
      <w:r>
        <w:rPr>
          <w:kern w:val="0"/>
        </w:rPr>
        <w:t>confidence continued to be statistically significant at six month follow-up,</w:t>
      </w:r>
      <w:r w:rsidR="005853A9">
        <w:rPr>
          <w:kern w:val="0"/>
        </w:rPr>
        <w:t xml:space="preserve"> and </w:t>
      </w:r>
      <w:r>
        <w:rPr>
          <w:kern w:val="0"/>
        </w:rPr>
        <w:t>none were significant at one year</w:t>
      </w:r>
      <w:r w:rsidR="00A37C1D">
        <w:rPr>
          <w:kern w:val="0"/>
        </w:rPr>
        <w:t>. The</w:t>
      </w:r>
      <w:r>
        <w:rPr>
          <w:kern w:val="0"/>
        </w:rPr>
        <w:t>re was no evidence</w:t>
      </w:r>
      <w:r w:rsidR="00427468">
        <w:rPr>
          <w:kern w:val="0"/>
        </w:rPr>
        <w:t xml:space="preserve"> of </w:t>
      </w:r>
      <w:r>
        <w:rPr>
          <w:kern w:val="0"/>
        </w:rPr>
        <w:t>any effect on self-esteem (SMD -0.01, 95% CI -0.45 to 0.42). None</w:t>
      </w:r>
      <w:r w:rsidR="00427468">
        <w:rPr>
          <w:kern w:val="0"/>
        </w:rPr>
        <w:t xml:space="preserve"> of </w:t>
      </w:r>
      <w:r>
        <w:rPr>
          <w:kern w:val="0"/>
        </w:rPr>
        <w:t>the trials reported on aggression or adverse effects</w:t>
      </w:r>
      <w:r w:rsidR="00A37C1D">
        <w:rPr>
          <w:kern w:val="0"/>
        </w:rPr>
        <w:t>. The</w:t>
      </w:r>
      <w:r>
        <w:rPr>
          <w:kern w:val="0"/>
        </w:rPr>
        <w:t xml:space="preserve"> limited data that explicitly focused on outcomes for fathers showed a statistically significant short-term improvement in paternal stress (SMD -0.43, 95% CI -0.79 to -0.06). We were unable to combine data for other outcomes</w:t>
      </w:r>
      <w:r w:rsidR="005853A9">
        <w:rPr>
          <w:kern w:val="0"/>
        </w:rPr>
        <w:t xml:space="preserve"> and </w:t>
      </w:r>
      <w:r>
        <w:rPr>
          <w:kern w:val="0"/>
        </w:rPr>
        <w:t>individual study results were inconclusive in terms</w:t>
      </w:r>
      <w:r w:rsidR="00427468">
        <w:rPr>
          <w:kern w:val="0"/>
        </w:rPr>
        <w:t xml:space="preserve"> of </w:t>
      </w:r>
      <w:r>
        <w:rPr>
          <w:kern w:val="0"/>
        </w:rPr>
        <w:t>any effect on depressive symptoms, confidence or partner satisfaction. Authors</w:t>
      </w:r>
      <w:r w:rsidR="0071223E">
        <w:rPr>
          <w:kern w:val="0"/>
        </w:rPr>
        <w:t>’</w:t>
      </w:r>
      <w:r>
        <w:rPr>
          <w:kern w:val="0"/>
        </w:rPr>
        <w:t xml:space="preserve"> conclusions The findings</w:t>
      </w:r>
      <w:r w:rsidR="00427468">
        <w:rPr>
          <w:kern w:val="0"/>
        </w:rPr>
        <w:t xml:space="preserve"> of </w:t>
      </w:r>
      <w:r>
        <w:rPr>
          <w:kern w:val="0"/>
        </w:rPr>
        <w:t>this review support the use</w:t>
      </w:r>
      <w:r w:rsidR="00427468">
        <w:rPr>
          <w:kern w:val="0"/>
        </w:rPr>
        <w:t xml:space="preserve"> of </w:t>
      </w:r>
      <w:r>
        <w:rPr>
          <w:kern w:val="0"/>
        </w:rPr>
        <w:t>parenting programmes to improve the short-term psychosocial wellbeing</w:t>
      </w:r>
      <w:r w:rsidR="00427468">
        <w:rPr>
          <w:kern w:val="0"/>
        </w:rPr>
        <w:t xml:space="preserve"> of </w:t>
      </w:r>
      <w:r>
        <w:rPr>
          <w:kern w:val="0"/>
        </w:rPr>
        <w:t>parents. Further input may be required to ensure that these results are maintained. More research is needed that explicitly addresses the benefits for fathers,</w:t>
      </w:r>
      <w:r w:rsidR="005853A9">
        <w:rPr>
          <w:kern w:val="0"/>
        </w:rPr>
        <w:t xml:space="preserve"> and </w:t>
      </w:r>
      <w:r>
        <w:rPr>
          <w:kern w:val="0"/>
        </w:rPr>
        <w:t>that examines the comparative effectiveness</w:t>
      </w:r>
      <w:r w:rsidR="00427468">
        <w:rPr>
          <w:kern w:val="0"/>
        </w:rPr>
        <w:t xml:space="preserve"> of </w:t>
      </w:r>
      <w:r>
        <w:rPr>
          <w:kern w:val="0"/>
        </w:rPr>
        <w:t>different types</w:t>
      </w:r>
      <w:r w:rsidR="00427468">
        <w:rPr>
          <w:kern w:val="0"/>
        </w:rPr>
        <w:t xml:space="preserve"> of </w:t>
      </w:r>
      <w:r>
        <w:rPr>
          <w:kern w:val="0"/>
        </w:rPr>
        <w:t>programme along with the mechanisms by which such programmes bring about improvements in parental psychosocial functioning.</w:t>
      </w:r>
    </w:p>
    <w:p w:rsidR="00365DE4" w:rsidRDefault="00365DE4" w:rsidP="00365DE4">
      <w:pPr>
        <w:pStyle w:val="a3"/>
        <w:rPr>
          <w:kern w:val="0"/>
        </w:rPr>
      </w:pPr>
      <w:r>
        <w:rPr>
          <w:kern w:val="0"/>
        </w:rPr>
        <w:t xml:space="preserve">Keywords: *Mother-Child Relations, *Parenting, *Program Evaluation, Adjustment, Adverse Effects, Aggression, Analysis, Anxiety, Anxiety [Therapy], Attention-Deficit, Hyperactivity Disorder, Authors, Bias, Child, Child-Behavior Problems, Children, Citation, Collection, Confidence, Control, Control Groups, Criteria, Data, Data Collection, Databases, Depression, Depression [Therapy], Depressive Symptoms, Developing Conduct Disorder, Effectiveness, Effects, Evidence, Female, Follow-Up, Health, Humans, Impact, Improvement, Information, Interval, Intervention, Maternal Behavior [*Psychology], Maternal Welfare, Measure, Mechanisms, </w:t>
      </w:r>
      <w:r w:rsidR="00D5664A">
        <w:rPr>
          <w:kern w:val="0"/>
        </w:rPr>
        <w:t>MEDLINE</w:t>
      </w:r>
      <w:r>
        <w:rPr>
          <w:kern w:val="0"/>
        </w:rPr>
        <w:t xml:space="preserve">, Mental-Health, Methods, Mother-Infant Interactions, Outcome, Outcomes, Parenting, Parents, Placebo, Postnatal Depression, Prevention Program, Programmes, Psychosocial, Psycinfo, Randomised, Randomised Controlled Trials, Randomized Controlled Trials As Topic, Randomized Controlled-Trial, Research, Review, Reviews, Risk, Satisfaction, Science, Science Citation Index, Search, Self Concept, Self-Esteem, Social Science Citation Index, Standard, Stones Triple P, Stress, Support, Symptoms, Training, Training Programmes, Treatment, </w:t>
      </w:r>
      <w:r>
        <w:rPr>
          <w:kern w:val="0"/>
        </w:rPr>
        <w:lastRenderedPageBreak/>
        <w:t>Trial, Young Norwegian Children</w:t>
      </w:r>
    </w:p>
    <w:p w:rsidR="00365DE4" w:rsidRDefault="00365DE4" w:rsidP="00365DE4">
      <w:pPr>
        <w:pStyle w:val="a3"/>
        <w:rPr>
          <w:kern w:val="0"/>
        </w:rPr>
      </w:pPr>
      <w:r>
        <w:rPr>
          <w:kern w:val="0"/>
        </w:rPr>
        <w:t>? Settas, G., Settas, C., Minos, E.</w:t>
      </w:r>
      <w:r w:rsidR="005853A9">
        <w:rPr>
          <w:kern w:val="0"/>
        </w:rPr>
        <w:t xml:space="preserve"> and </w:t>
      </w:r>
      <w:r>
        <w:rPr>
          <w:kern w:val="0"/>
        </w:rPr>
        <w:t xml:space="preserve">Yeung, I.Y.L. (2012), Photorefractive keratectomy (PRK) versus laser assisted in situ keratomileusis (LASIK) for hyperopia correction.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CD007112.</w:t>
      </w:r>
    </w:p>
    <w:p w:rsidR="00365DE4" w:rsidRDefault="00365DE4" w:rsidP="00365DE4">
      <w:pPr>
        <w:pStyle w:val="a3"/>
        <w:rPr>
          <w:kern w:val="2"/>
        </w:rPr>
      </w:pPr>
      <w:r>
        <w:t xml:space="preserve">Full Text: </w:t>
      </w:r>
      <w:hyperlink r:id="rId753" w:history="1">
        <w:r>
          <w:rPr>
            <w:rStyle w:val="a5"/>
          </w:rPr>
          <w:t>2012\Coc Dat Sys Rev2012, CD007112.pdf</w:t>
        </w:r>
      </w:hyperlink>
    </w:p>
    <w:p w:rsidR="00365DE4" w:rsidRDefault="00365DE4" w:rsidP="00365DE4">
      <w:pPr>
        <w:pStyle w:val="a3"/>
        <w:rPr>
          <w:kern w:val="0"/>
        </w:rPr>
      </w:pPr>
      <w:r>
        <w:rPr>
          <w:kern w:val="0"/>
        </w:rPr>
        <w:t>Abstract: Background Hyperopia, or hypermetropia (also known as long-sightedness or far-sightedness), is the condition where the unaccommodating eye brings parallel light to a focus behind the retina instead</w:t>
      </w:r>
      <w:r w:rsidR="00427468">
        <w:rPr>
          <w:kern w:val="0"/>
        </w:rPr>
        <w:t xml:space="preserve"> of </w:t>
      </w:r>
      <w:r>
        <w:rPr>
          <w:kern w:val="0"/>
        </w:rPr>
        <w:t>on it. Hyperopia can be corrected with both non-surgical</w:t>
      </w:r>
      <w:r w:rsidR="005853A9">
        <w:rPr>
          <w:kern w:val="0"/>
        </w:rPr>
        <w:t xml:space="preserve"> and </w:t>
      </w:r>
      <w:r>
        <w:rPr>
          <w:kern w:val="0"/>
        </w:rPr>
        <w:t>surgical methods, among them photorefractive keratectomy (PRK)</w:t>
      </w:r>
      <w:r w:rsidR="005853A9">
        <w:rPr>
          <w:kern w:val="0"/>
        </w:rPr>
        <w:t xml:space="preserve"> and </w:t>
      </w:r>
      <w:r>
        <w:rPr>
          <w:kern w:val="0"/>
        </w:rPr>
        <w:t>laser assisted In situ keratomileusis (LASIK)</w:t>
      </w:r>
      <w:r w:rsidR="00A37C1D">
        <w:rPr>
          <w:kern w:val="0"/>
        </w:rPr>
        <w:t>. The</w:t>
      </w:r>
      <w:r>
        <w:rPr>
          <w:kern w:val="0"/>
        </w:rPr>
        <w:t>re is uncertainty as to whether hyperopic-PRK or hyperopic-LASIK is the better method. Objectives The objectives</w:t>
      </w:r>
      <w:r w:rsidR="00427468">
        <w:rPr>
          <w:kern w:val="0"/>
        </w:rPr>
        <w:t xml:space="preserve"> of </w:t>
      </w:r>
      <w:r>
        <w:rPr>
          <w:kern w:val="0"/>
        </w:rPr>
        <w:t>this review were to determine whether PRK or LASIK leads to more reliable, stable</w:t>
      </w:r>
      <w:r w:rsidR="005853A9">
        <w:rPr>
          <w:kern w:val="0"/>
        </w:rPr>
        <w:t xml:space="preserve"> and </w:t>
      </w:r>
      <w:r>
        <w:rPr>
          <w:kern w:val="0"/>
        </w:rPr>
        <w:t>safe results when correcting a hyperopic refractive error. Search methods We searched CENTRAL (which contains the Cochrane Eyes</w:t>
      </w:r>
      <w:r w:rsidR="005853A9">
        <w:rPr>
          <w:kern w:val="0"/>
        </w:rPr>
        <w:t xml:space="preserve"> and </w:t>
      </w:r>
      <w:r>
        <w:rPr>
          <w:kern w:val="0"/>
        </w:rPr>
        <w:t xml:space="preserve">Vision Group Trials Register) (The Cochrane Library 2012, Issue 2), </w:t>
      </w:r>
      <w:r w:rsidR="00D5664A">
        <w:rPr>
          <w:kern w:val="0"/>
        </w:rPr>
        <w:t>MEDLINE</w:t>
      </w:r>
      <w:r>
        <w:rPr>
          <w:kern w:val="0"/>
        </w:rPr>
        <w:t xml:space="preserve"> (January 1950 to February 2012), EMBASE (January 1980 to February 2012), Latin American</w:t>
      </w:r>
      <w:r w:rsidR="005853A9">
        <w:rPr>
          <w:kern w:val="0"/>
        </w:rPr>
        <w:t xml:space="preserve"> and </w:t>
      </w:r>
      <w:r>
        <w:rPr>
          <w:kern w:val="0"/>
        </w:rPr>
        <w:t>Caribbean Literature on Health Sciences (LILACS) (January 1982 to February 2012),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w:t>
      </w:r>
      <w:r w:rsidR="00A37C1D">
        <w:rPr>
          <w:kern w:val="0"/>
        </w:rPr>
        <w:t>. The</w:t>
      </w:r>
      <w:r>
        <w:rPr>
          <w:kern w:val="0"/>
        </w:rPr>
        <w:t>re were no date or language restrictions in the electronic searches for trials</w:t>
      </w:r>
      <w:r w:rsidR="00A37C1D">
        <w:rPr>
          <w:kern w:val="0"/>
        </w:rPr>
        <w:t>. The</w:t>
      </w:r>
      <w:r>
        <w:rPr>
          <w:kern w:val="0"/>
        </w:rPr>
        <w:t xml:space="preserve"> electronic databases were last searched on 17 February 2012. When trials are included in the review we will search the reference lists</w:t>
      </w:r>
      <w:r w:rsidR="00427468">
        <w:rPr>
          <w:kern w:val="0"/>
        </w:rPr>
        <w:t xml:space="preserve"> of </w:t>
      </w:r>
      <w:r>
        <w:rPr>
          <w:kern w:val="0"/>
        </w:rPr>
        <w:t>the studies included in the review for information about further trials. We will use the Science Citation Index to search for papers that cite any studies included in this review. We did not handsearch journals or conference proceedings specifically for this review. Selection criteria We planned to include only randomised controlled trials (RCTs) comparing PRK against LASIK for correction</w:t>
      </w:r>
      <w:r w:rsidR="00427468">
        <w:rPr>
          <w:kern w:val="0"/>
        </w:rPr>
        <w:t xml:space="preserve"> of </w:t>
      </w:r>
      <w:r>
        <w:rPr>
          <w:kern w:val="0"/>
        </w:rPr>
        <w:t>hyperopia</w:t>
      </w:r>
      <w:r w:rsidR="005853A9">
        <w:rPr>
          <w:kern w:val="0"/>
        </w:rPr>
        <w:t xml:space="preserve"> and </w:t>
      </w:r>
      <w:r>
        <w:rPr>
          <w:kern w:val="0"/>
        </w:rPr>
        <w:t>then perform a sensitivity analysis</w:t>
      </w:r>
      <w:r w:rsidR="00427468">
        <w:rPr>
          <w:kern w:val="0"/>
        </w:rPr>
        <w:t xml:space="preserve"> of </w:t>
      </w:r>
      <w:r>
        <w:rPr>
          <w:kern w:val="0"/>
        </w:rPr>
        <w:t>pre-</w:t>
      </w:r>
      <w:r w:rsidR="005853A9">
        <w:rPr>
          <w:kern w:val="0"/>
        </w:rPr>
        <w:t xml:space="preserve"> and </w:t>
      </w:r>
      <w:r>
        <w:rPr>
          <w:kern w:val="0"/>
        </w:rPr>
        <w:t>post-millennial trials since this is the mid-point in the history</w:t>
      </w:r>
      <w:r w:rsidR="00427468">
        <w:rPr>
          <w:kern w:val="0"/>
        </w:rPr>
        <w:t xml:space="preserve"> of </w:t>
      </w:r>
      <w:r>
        <w:rPr>
          <w:kern w:val="0"/>
        </w:rPr>
        <w:t>both PRK</w:t>
      </w:r>
      <w:r w:rsidR="005853A9">
        <w:rPr>
          <w:kern w:val="0"/>
        </w:rPr>
        <w:t xml:space="preserve"> and </w:t>
      </w:r>
      <w:r>
        <w:rPr>
          <w:kern w:val="0"/>
        </w:rPr>
        <w:t>LASIK. Data collection</w:t>
      </w:r>
      <w:r w:rsidR="005853A9">
        <w:rPr>
          <w:kern w:val="0"/>
        </w:rPr>
        <w:t xml:space="preserve"> and </w:t>
      </w:r>
      <w:r>
        <w:rPr>
          <w:kern w:val="0"/>
        </w:rPr>
        <w:t>analysis We did not identify any studies that met the inclusion criteria for this review. Main results As no studies met the inclusion criteria for this review, we discussed the results</w:t>
      </w:r>
      <w:r w:rsidR="00427468">
        <w:rPr>
          <w:kern w:val="0"/>
        </w:rPr>
        <w:t xml:space="preserve"> of </w:t>
      </w:r>
      <w:r>
        <w:rPr>
          <w:kern w:val="0"/>
        </w:rPr>
        <w:t>non-randomised trials comparing hyperopic-PRK with hyperopic-LASIK. Authors</w:t>
      </w:r>
      <w:r w:rsidR="0071223E">
        <w:rPr>
          <w:kern w:val="0"/>
        </w:rPr>
        <w:t>’</w:t>
      </w:r>
      <w:r>
        <w:rPr>
          <w:kern w:val="0"/>
        </w:rPr>
        <w:t xml:space="preserve"> conclusions No robust, reliable conclusions could be reached, but the non-randomised trials reviewed appear to be in agreement that hyperopic-PRK</w:t>
      </w:r>
      <w:r w:rsidR="005853A9">
        <w:rPr>
          <w:kern w:val="0"/>
        </w:rPr>
        <w:t xml:space="preserve"> and </w:t>
      </w:r>
      <w:r>
        <w:rPr>
          <w:kern w:val="0"/>
        </w:rPr>
        <w:t>hyperopic-LASIK are</w:t>
      </w:r>
      <w:r w:rsidR="00427468">
        <w:rPr>
          <w:kern w:val="0"/>
        </w:rPr>
        <w:t xml:space="preserve"> of </w:t>
      </w:r>
      <w:r>
        <w:rPr>
          <w:kern w:val="0"/>
        </w:rPr>
        <w:t>comparable efficacy. High quality, well-planned open RCTs are needed in order to obtain a robust clinical evidence base.</w:t>
      </w:r>
    </w:p>
    <w:p w:rsidR="00365DE4" w:rsidRDefault="00365DE4" w:rsidP="00365DE4">
      <w:pPr>
        <w:pStyle w:val="a3"/>
        <w:rPr>
          <w:kern w:val="0"/>
        </w:rPr>
      </w:pPr>
      <w:r>
        <w:rPr>
          <w:kern w:val="0"/>
        </w:rPr>
        <w:t xml:space="preserve">Keywords: *Keratomileusis,Laser In Situ, *Photorefractive Keratectomy, Analysis, </w:t>
      </w:r>
      <w:r>
        <w:rPr>
          <w:kern w:val="0"/>
        </w:rPr>
        <w:lastRenderedPageBreak/>
        <w:t xml:space="preserve">Astigmatism, Children, Citation, Clinical, Clinical Trials, Cochrane, Collection, Criteria, Data Collection, Databases, Efficacy, Electronic, Error, Evidence, History, Humans, Hyperopia [*Surgery], In Situ, Inclusion, Information, Journals, Laser, Lasik, Literature, </w:t>
      </w:r>
      <w:r w:rsidR="00D5664A">
        <w:rPr>
          <w:kern w:val="0"/>
        </w:rPr>
        <w:t>MEDLINE</w:t>
      </w:r>
      <w:r>
        <w:rPr>
          <w:kern w:val="0"/>
        </w:rPr>
        <w:t>, Method, Methods, Midpoint, Open, Papers, Quality, Randomised, Randomised Controlled Trials, Reference, Reference Lists, Restrictions, Review, Science, Science Citation Index, Search, Sensitivity, Sensitivity Analysis, Uncertainty</w:t>
      </w:r>
    </w:p>
    <w:p w:rsidR="00365DE4" w:rsidRDefault="00365DE4" w:rsidP="00365DE4">
      <w:pPr>
        <w:pStyle w:val="a3"/>
        <w:rPr>
          <w:kern w:val="0"/>
        </w:rPr>
      </w:pPr>
      <w:r>
        <w:rPr>
          <w:kern w:val="0"/>
        </w:rPr>
        <w:t>? Gur</w:t>
      </w:r>
      <w:r w:rsidR="00D5664A">
        <w:rPr>
          <w:kern w:val="0"/>
        </w:rPr>
        <w:t>USA</w:t>
      </w:r>
      <w:r>
        <w:rPr>
          <w:kern w:val="0"/>
        </w:rPr>
        <w:t>my, K.S., Koti, R., F</w:t>
      </w:r>
      <w:r w:rsidR="00D5664A">
        <w:rPr>
          <w:kern w:val="0"/>
        </w:rPr>
        <w:t>USA</w:t>
      </w:r>
      <w:r>
        <w:rPr>
          <w:kern w:val="0"/>
        </w:rPr>
        <w:t>i, G.</w:t>
      </w:r>
      <w:r w:rsidR="005853A9">
        <w:rPr>
          <w:kern w:val="0"/>
        </w:rPr>
        <w:t xml:space="preserve"> and </w:t>
      </w:r>
      <w:r>
        <w:rPr>
          <w:kern w:val="0"/>
        </w:rPr>
        <w:t xml:space="preserve">Davidson, B.R. (2012), Somatostatin analogues for pancreatic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CD008370.</w:t>
      </w:r>
    </w:p>
    <w:p w:rsidR="00365DE4" w:rsidRDefault="00365DE4" w:rsidP="00365DE4">
      <w:pPr>
        <w:pStyle w:val="a3"/>
        <w:rPr>
          <w:kern w:val="2"/>
        </w:rPr>
      </w:pPr>
      <w:r>
        <w:t xml:space="preserve">Full Text: </w:t>
      </w:r>
      <w:hyperlink r:id="rId754" w:history="1">
        <w:r>
          <w:rPr>
            <w:rStyle w:val="a5"/>
          </w:rPr>
          <w:t>2012\Coc Dat Sys Rev2012, CD008370.pdf</w:t>
        </w:r>
      </w:hyperlink>
    </w:p>
    <w:p w:rsidR="00365DE4" w:rsidRDefault="00365DE4" w:rsidP="00365DE4">
      <w:pPr>
        <w:pStyle w:val="a3"/>
        <w:rPr>
          <w:kern w:val="0"/>
        </w:rPr>
      </w:pPr>
      <w:r>
        <w:rPr>
          <w:kern w:val="0"/>
        </w:rPr>
        <w:t>Abstract: Background Pancreatic resections are associated with high morbidity (30% to 60%)</w:t>
      </w:r>
      <w:r w:rsidR="005853A9">
        <w:rPr>
          <w:kern w:val="0"/>
        </w:rPr>
        <w:t xml:space="preserve"> and </w:t>
      </w:r>
      <w:r>
        <w:rPr>
          <w:kern w:val="0"/>
        </w:rPr>
        <w:t>mortality (5%). Synthetic analogues</w:t>
      </w:r>
      <w:r w:rsidR="00427468">
        <w:rPr>
          <w:kern w:val="0"/>
        </w:rPr>
        <w:t xml:space="preserve"> of </w:t>
      </w:r>
      <w:r>
        <w:rPr>
          <w:kern w:val="0"/>
        </w:rPr>
        <w:t>somatostatin are advocated by some surgeons to reduce complications following pancreatic surgery, however their use is controversial. Objectives To determine whether prophylactic somatostatin analogues should be used routinely in pancreatic surgery. Search methods We searched the Cochrane Upper Gastrointestinal</w:t>
      </w:r>
      <w:r w:rsidR="005853A9">
        <w:rPr>
          <w:kern w:val="0"/>
        </w:rPr>
        <w:t xml:space="preserve"> and </w:t>
      </w:r>
      <w:r>
        <w:rPr>
          <w:kern w:val="0"/>
        </w:rPr>
        <w:t>Pancreatic Diseases Group Trials Register, the Cochrane Central Register</w:t>
      </w:r>
      <w:r w:rsidR="00427468">
        <w:rPr>
          <w:kern w:val="0"/>
        </w:rPr>
        <w:t xml:space="preserve"> of </w:t>
      </w:r>
      <w:r>
        <w:rPr>
          <w:kern w:val="0"/>
        </w:rPr>
        <w:t xml:space="preserve">Controlled Trials (CENTRAL) (The Cochrane Library 2011, Issue 12), </w:t>
      </w:r>
      <w:r w:rsidR="00D5664A">
        <w:rPr>
          <w:kern w:val="0"/>
        </w:rPr>
        <w:t>MEDLINE</w:t>
      </w:r>
      <w:r>
        <w:rPr>
          <w:kern w:val="0"/>
        </w:rPr>
        <w:t>, EMBASE</w:t>
      </w:r>
      <w:r w:rsidR="005853A9">
        <w:rPr>
          <w:kern w:val="0"/>
        </w:rPr>
        <w:t xml:space="preserve"> and </w:t>
      </w:r>
      <w:r>
        <w:rPr>
          <w:kern w:val="0"/>
        </w:rPr>
        <w:t>Science Citation Index Expanded to December 2011. Selection criteria We included randomised controlled trials comparing prophylactic somatostatin or one</w:t>
      </w:r>
      <w:r w:rsidR="00427468">
        <w:rPr>
          <w:kern w:val="0"/>
        </w:rPr>
        <w:t xml:space="preserve"> of </w:t>
      </w:r>
      <w:r>
        <w:rPr>
          <w:kern w:val="0"/>
        </w:rPr>
        <w:t>its analogues versus no drug or placebo during pancreatic surgery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data. We analysed data with both the fixed-effect</w:t>
      </w:r>
      <w:r w:rsidR="005853A9">
        <w:rPr>
          <w:kern w:val="0"/>
        </w:rPr>
        <w:t xml:space="preserve"> and </w:t>
      </w:r>
      <w:r>
        <w:rPr>
          <w:kern w:val="0"/>
        </w:rPr>
        <w:t>random-effects models using Review Manager (RevMan). We calculated the risk ratio (RR), mean difference (MD) or standardised mean difference (SMD) with 95% confidence intervals (CI) based on an intention-to-treat or available case analysis. When it was not possible to perform either</w:t>
      </w:r>
      <w:r w:rsidR="00427468">
        <w:rPr>
          <w:kern w:val="0"/>
        </w:rPr>
        <w:t xml:space="preserve"> of </w:t>
      </w:r>
      <w:r>
        <w:rPr>
          <w:kern w:val="0"/>
        </w:rPr>
        <w:t>the above, we performed per protocol analysis. Main results We identified 19 trials (17 trials</w:t>
      </w:r>
      <w:r w:rsidR="00427468">
        <w:rPr>
          <w:kern w:val="0"/>
        </w:rPr>
        <w:t xml:space="preserve"> of </w:t>
      </w:r>
      <w:r>
        <w:rPr>
          <w:kern w:val="0"/>
        </w:rPr>
        <w:t>high risk</w:t>
      </w:r>
      <w:r w:rsidR="00427468">
        <w:rPr>
          <w:kern w:val="0"/>
        </w:rPr>
        <w:t xml:space="preserve"> of </w:t>
      </w:r>
      <w:r>
        <w:rPr>
          <w:kern w:val="0"/>
        </w:rPr>
        <w:t>bias) involving 2245 patients</w:t>
      </w:r>
      <w:r w:rsidR="00A37C1D">
        <w:rPr>
          <w:kern w:val="0"/>
        </w:rPr>
        <w:t>. The</w:t>
      </w:r>
      <w:r>
        <w:rPr>
          <w:kern w:val="0"/>
        </w:rPr>
        <w:t>re was no significant difference in the perioperative mortality (RR 0.80; 95% CI 0.56 to 1.16; N = 2210) or the number</w:t>
      </w:r>
      <w:r w:rsidR="00427468">
        <w:rPr>
          <w:kern w:val="0"/>
        </w:rPr>
        <w:t xml:space="preserve"> of </w:t>
      </w:r>
      <w:r>
        <w:rPr>
          <w:kern w:val="0"/>
        </w:rPr>
        <w:t>patients with drug-related adverse effects between the two groups (RR 2.09; 95% CI 0.83 to 5.24; N = 1199). Quality</w:t>
      </w:r>
      <w:r w:rsidR="00427468">
        <w:rPr>
          <w:kern w:val="0"/>
        </w:rPr>
        <w:t xml:space="preserve"> of </w:t>
      </w:r>
      <w:r>
        <w:rPr>
          <w:kern w:val="0"/>
        </w:rPr>
        <w:t>life was not reported in any</w:t>
      </w:r>
      <w:r w:rsidR="00427468">
        <w:rPr>
          <w:kern w:val="0"/>
        </w:rPr>
        <w:t xml:space="preserve"> of </w:t>
      </w:r>
      <w:r>
        <w:rPr>
          <w:kern w:val="0"/>
        </w:rPr>
        <w:t>the trials</w:t>
      </w:r>
      <w:r w:rsidR="00A37C1D">
        <w:rPr>
          <w:kern w:val="0"/>
        </w:rPr>
        <w:t>. The</w:t>
      </w:r>
      <w:r>
        <w:rPr>
          <w:kern w:val="0"/>
        </w:rPr>
        <w:t xml:space="preserve"> overall number</w:t>
      </w:r>
      <w:r w:rsidR="00427468">
        <w:rPr>
          <w:kern w:val="0"/>
        </w:rPr>
        <w:t xml:space="preserve"> of </w:t>
      </w:r>
      <w:r>
        <w:rPr>
          <w:kern w:val="0"/>
        </w:rPr>
        <w:t>patients with postoperative complications was significantly lower in the somatostatin analogue group (RR 0.69; 95% CI 0.60 to 0.79; N = 1858) but there was no significant difference in the re-operation rate (RR 1.26; 95% CI 0.58 to 2.70; N = 687) or hospital stay (MD -1.04 days; 95% CI -2.54 to 0.46; N = 1269) between the groups</w:t>
      </w:r>
      <w:r w:rsidR="00A37C1D">
        <w:rPr>
          <w:kern w:val="0"/>
        </w:rPr>
        <w:t>. The</w:t>
      </w:r>
      <w:r>
        <w:rPr>
          <w:kern w:val="0"/>
        </w:rPr>
        <w:t xml:space="preserve"> incidence</w:t>
      </w:r>
      <w:r w:rsidR="00427468">
        <w:rPr>
          <w:kern w:val="0"/>
        </w:rPr>
        <w:t xml:space="preserve"> of </w:t>
      </w:r>
      <w:r>
        <w:rPr>
          <w:kern w:val="0"/>
        </w:rPr>
        <w:t>pancreatic fistula was lower in the somatostatin analogue group (RR 0.63; 95% CI 0.52 to 0.77; N = 2161)</w:t>
      </w:r>
      <w:r w:rsidR="00A37C1D">
        <w:rPr>
          <w:kern w:val="0"/>
        </w:rPr>
        <w:t>. The</w:t>
      </w:r>
      <w:r>
        <w:rPr>
          <w:kern w:val="0"/>
        </w:rPr>
        <w:t xml:space="preserve"> proportion</w:t>
      </w:r>
      <w:r w:rsidR="00427468">
        <w:rPr>
          <w:kern w:val="0"/>
        </w:rPr>
        <w:t xml:space="preserve"> of </w:t>
      </w:r>
      <w:r>
        <w:rPr>
          <w:kern w:val="0"/>
        </w:rPr>
        <w:t xml:space="preserve">these fistulas </w:t>
      </w:r>
      <w:r>
        <w:rPr>
          <w:kern w:val="0"/>
        </w:rPr>
        <w:lastRenderedPageBreak/>
        <w:t>that were clinically significant was not mentioned in most trials. On inclusion</w:t>
      </w:r>
      <w:r w:rsidR="00427468">
        <w:rPr>
          <w:kern w:val="0"/>
        </w:rPr>
        <w:t xml:space="preserve"> of </w:t>
      </w:r>
      <w:r>
        <w:rPr>
          <w:kern w:val="0"/>
        </w:rPr>
        <w:t>trials that clearly distinguished clinically significant fistulas, there was no significant difference between the two groups (RR 0.69; 95% CI 0.34 to 1.41; N = 247). Authors</w:t>
      </w:r>
      <w:r w:rsidR="0071223E">
        <w:rPr>
          <w:kern w:val="0"/>
        </w:rPr>
        <w:t>’</w:t>
      </w:r>
      <w:r>
        <w:rPr>
          <w:kern w:val="0"/>
        </w:rPr>
        <w:t xml:space="preserve"> conclusions Somatostatin analogues may reduce perioperative complications but do not reduce perioperative mortality. Further adequately powered trials with low risk</w:t>
      </w:r>
      <w:r w:rsidR="00427468">
        <w:rPr>
          <w:kern w:val="0"/>
        </w:rPr>
        <w:t xml:space="preserve"> of </w:t>
      </w:r>
      <w:r>
        <w:rPr>
          <w:kern w:val="0"/>
        </w:rPr>
        <w:t>bias are necessary. Based on the current available evidence, somatostatin</w:t>
      </w:r>
      <w:r w:rsidR="005853A9">
        <w:rPr>
          <w:kern w:val="0"/>
        </w:rPr>
        <w:t xml:space="preserve"> and </w:t>
      </w:r>
      <w:r>
        <w:rPr>
          <w:kern w:val="0"/>
        </w:rPr>
        <w:t>its analogues are recommended for routine use in patients undergoing pancreatic resection.</w:t>
      </w:r>
    </w:p>
    <w:p w:rsidR="00365DE4" w:rsidRDefault="00365DE4" w:rsidP="00365DE4">
      <w:pPr>
        <w:pStyle w:val="a3"/>
        <w:rPr>
          <w:kern w:val="0"/>
        </w:rPr>
      </w:pPr>
      <w:r>
        <w:rPr>
          <w:kern w:val="0"/>
        </w:rPr>
        <w:t xml:space="preserve">Keywords: Adverse Effects, Analysis, Authors, Bias, Case Analysis, Citation, Clinical-Trials, Cochrane, Collection, Complications, Confidence, Confidence Intervals, Criteria, Data, Data Collection, Drug, Effects, Elective Pancreatectomy, Empirical-Evidence, Evidence, Fistula, General Complications, Hospital, Hospital Stay, Humans, Incidence, Inclusion, Intervals, Intraabdominal Complications, Life, Low, Low Risk, Low-Dose Octreotide, </w:t>
      </w:r>
      <w:r w:rsidR="00D5664A">
        <w:rPr>
          <w:kern w:val="0"/>
        </w:rPr>
        <w:t>MEDLINE</w:t>
      </w:r>
      <w:r>
        <w:rPr>
          <w:kern w:val="0"/>
        </w:rPr>
        <w:t>, Methods, Models, Morbidity, Mortality, N, Octreotide [Therapeutic Use], Pancreas [Surgery], Pancreatic Diseases [Surgery], Pancreatic Fistula, Pancreatic Neoplasms [Surgery], Pancreatic Resection, Patients, Perioperative Complications, Placebo, Placebo-Controlled Trial, Postoperative, Postoperative Complications, Postoperative Complications [Mortality, Prevention &amp; Control], Prophylactic, Prophylactic Octreotide Decrease, Publication, Quality, Randomised, Randomised Controlled Trials, Randomized Controlled Multicenter, Reoperation, Review, Risk, Science, Science Citation Index, Science Citation Index Expanded, Search, Somatostatin, Somatostatin [Analogs &amp; Derivatives, Surgery, Surgical Complications, Therapeutic Use]</w:t>
      </w:r>
    </w:p>
    <w:p w:rsidR="00365DE4" w:rsidRDefault="00365DE4" w:rsidP="00365DE4">
      <w:pPr>
        <w:pStyle w:val="a3"/>
        <w:rPr>
          <w:kern w:val="0"/>
        </w:rPr>
      </w:pPr>
      <w:r>
        <w:rPr>
          <w:kern w:val="0"/>
        </w:rPr>
        <w:t>? Borschmann, R., Henderson, C., Hogg, J., Phillips, R.</w:t>
      </w:r>
      <w:r w:rsidR="005853A9">
        <w:rPr>
          <w:kern w:val="0"/>
        </w:rPr>
        <w:t xml:space="preserve"> and </w:t>
      </w:r>
      <w:r>
        <w:rPr>
          <w:kern w:val="0"/>
        </w:rPr>
        <w:t xml:space="preserve">Moran, P. (2012), Crisis interventions for people with borderline personality disorder.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CD009353.</w:t>
      </w:r>
    </w:p>
    <w:p w:rsidR="00365DE4" w:rsidRDefault="00365DE4" w:rsidP="00365DE4">
      <w:pPr>
        <w:pStyle w:val="a3"/>
        <w:rPr>
          <w:kern w:val="2"/>
        </w:rPr>
      </w:pPr>
      <w:r>
        <w:t xml:space="preserve">Full Text: </w:t>
      </w:r>
      <w:hyperlink r:id="rId755" w:history="1">
        <w:r>
          <w:rPr>
            <w:rStyle w:val="a5"/>
          </w:rPr>
          <w:t>2012\Coc Dat Sys Rev2012, CD009353.pdf</w:t>
        </w:r>
      </w:hyperlink>
    </w:p>
    <w:p w:rsidR="00365DE4" w:rsidRDefault="00365DE4" w:rsidP="00365DE4">
      <w:pPr>
        <w:pStyle w:val="a3"/>
        <w:rPr>
          <w:kern w:val="0"/>
        </w:rPr>
      </w:pPr>
      <w:r>
        <w:rPr>
          <w:kern w:val="0"/>
        </w:rPr>
        <w:t>Abstract: Background People with borderline personality disorder (BPD) frequently present to health services in crisis, often involving suicidal thoughts or actions. Despite this, little is known about what constitutes effective management</w:t>
      </w:r>
      <w:r w:rsidR="00427468">
        <w:rPr>
          <w:kern w:val="0"/>
        </w:rPr>
        <w:t xml:space="preserve"> of </w:t>
      </w:r>
      <w:r>
        <w:rPr>
          <w:kern w:val="0"/>
        </w:rPr>
        <w:t>acute crises in this population. Objectives To review the evidence for the effectiveness</w:t>
      </w:r>
      <w:r w:rsidR="00427468">
        <w:rPr>
          <w:kern w:val="0"/>
        </w:rPr>
        <w:t xml:space="preserve"> of </w:t>
      </w:r>
      <w:r>
        <w:rPr>
          <w:kern w:val="0"/>
        </w:rPr>
        <w:t>crisis interventions for adults with BPD in any setting. For the purposes</w:t>
      </w:r>
      <w:r w:rsidR="00427468">
        <w:rPr>
          <w:kern w:val="0"/>
        </w:rPr>
        <w:t xml:space="preserve"> of </w:t>
      </w:r>
      <w:r>
        <w:rPr>
          <w:kern w:val="0"/>
        </w:rPr>
        <w:t>the review, we defined crisis intervention as</w:t>
      </w:r>
      <w:r w:rsidR="0071223E">
        <w:rPr>
          <w:kern w:val="0"/>
        </w:rPr>
        <w:t>’</w:t>
      </w:r>
      <w:r>
        <w:rPr>
          <w:kern w:val="0"/>
        </w:rPr>
        <w:t xml:space="preserve"> an immediate response by one or more individuals to the acute distress experienced by another individual, which is designed to ensure safety</w:t>
      </w:r>
      <w:r w:rsidR="005853A9">
        <w:rPr>
          <w:kern w:val="0"/>
        </w:rPr>
        <w:t xml:space="preserve"> and </w:t>
      </w:r>
      <w:r>
        <w:rPr>
          <w:kern w:val="0"/>
        </w:rPr>
        <w:t>recovery</w:t>
      </w:r>
      <w:r w:rsidR="005853A9">
        <w:rPr>
          <w:kern w:val="0"/>
        </w:rPr>
        <w:t xml:space="preserve"> and </w:t>
      </w:r>
      <w:r>
        <w:rPr>
          <w:kern w:val="0"/>
        </w:rPr>
        <w:t>lasts no longer than one month.</w:t>
      </w:r>
      <w:r w:rsidR="0071223E">
        <w:rPr>
          <w:kern w:val="0"/>
        </w:rPr>
        <w:t>’</w:t>
      </w:r>
      <w:r>
        <w:rPr>
          <w:kern w:val="0"/>
        </w:rPr>
        <w:t xml:space="preserve"> Search methods We searched the following databases in September 2011: CENTRAL (The Cochrane Library 2011, Issue 3), </w:t>
      </w:r>
      <w:r w:rsidR="00D5664A">
        <w:rPr>
          <w:kern w:val="0"/>
        </w:rPr>
        <w:t>MEDLINE</w:t>
      </w:r>
      <w:r>
        <w:rPr>
          <w:kern w:val="0"/>
        </w:rPr>
        <w:t xml:space="preserve"> (1948 to August Week 5 2011), </w:t>
      </w:r>
      <w:r w:rsidR="00D5664A">
        <w:rPr>
          <w:kern w:val="0"/>
        </w:rPr>
        <w:t>MEDLINE</w:t>
      </w:r>
      <w:r>
        <w:rPr>
          <w:kern w:val="0"/>
        </w:rPr>
        <w:t xml:space="preserve"> In Process &amp; Other Non-indexed Citations (8 September 2011), EMBASE (1980 to Week 36 2011), PsycINFO (1806 to September Week 1 2011), CINAHL (1937 to </w:t>
      </w:r>
      <w:r>
        <w:rPr>
          <w:kern w:val="0"/>
        </w:rPr>
        <w:lastRenderedPageBreak/>
        <w:t>current), Social Services Abstracts (1979 to current), Social Care Online (12 September 2011), Science Citation Index (1970 to current), Social Science Citation Index (1970 to current), Conference Proceedings Citation Index - Science (1990 to current), Conference Proceedings Citation Index - Social Science</w:t>
      </w:r>
      <w:r w:rsidR="005853A9">
        <w:rPr>
          <w:kern w:val="0"/>
        </w:rPr>
        <w:t xml:space="preserve"> and </w:t>
      </w:r>
      <w:r>
        <w:rPr>
          <w:kern w:val="0"/>
        </w:rPr>
        <w:t>Humanities (1990 to current)</w:t>
      </w:r>
      <w:r w:rsidR="005853A9">
        <w:rPr>
          <w:kern w:val="0"/>
        </w:rPr>
        <w:t xml:space="preserve"> and </w:t>
      </w:r>
      <w:r>
        <w:rPr>
          <w:kern w:val="0"/>
        </w:rPr>
        <w:t>ZETOC Conference proceedings (12 September 2011). We searched for dissertations in WorldCat (12 September 2011), Australasian Digital Theses Program (ADTP; 12 September 2011), Networked Digital Library</w:t>
      </w:r>
      <w:r w:rsidR="00427468">
        <w:rPr>
          <w:kern w:val="0"/>
        </w:rPr>
        <w:t xml:space="preserve"> of </w:t>
      </w:r>
      <w:r>
        <w:rPr>
          <w:kern w:val="0"/>
        </w:rPr>
        <w:t>Theses</w:t>
      </w:r>
      <w:r w:rsidR="005853A9">
        <w:rPr>
          <w:kern w:val="0"/>
        </w:rPr>
        <w:t xml:space="preserve"> and </w:t>
      </w:r>
      <w:r>
        <w:rPr>
          <w:kern w:val="0"/>
        </w:rPr>
        <w:t>Dissertations (NDLTD), 12 September 2011</w:t>
      </w:r>
      <w:r w:rsidR="005853A9">
        <w:rPr>
          <w:kern w:val="0"/>
        </w:rPr>
        <w:t xml:space="preserve"> and </w:t>
      </w:r>
      <w:r>
        <w:rPr>
          <w:kern w:val="0"/>
        </w:rPr>
        <w:t>Theses Canada Portal (12 September 2011). We searched for trials in the International Clinical Trials Registry Platform (ICTRP)</w:t>
      </w:r>
      <w:r w:rsidR="005853A9">
        <w:rPr>
          <w:kern w:val="0"/>
        </w:rPr>
        <w:t xml:space="preserve"> and </w:t>
      </w:r>
      <w:r>
        <w:rPr>
          <w:kern w:val="0"/>
        </w:rPr>
        <w:t>searched reference lists from relevant literature. We contacted the 10 most published researchers in the field</w:t>
      </w:r>
      <w:r w:rsidR="00427468">
        <w:rPr>
          <w:kern w:val="0"/>
        </w:rPr>
        <w:t xml:space="preserve"> of </w:t>
      </w:r>
      <w:r>
        <w:rPr>
          <w:kern w:val="0"/>
        </w:rPr>
        <w:t>BPD (as indexed by BioMed Experts), in addition to contacting topic experts, Marsha Linehan, Arnoud Arntz</w:t>
      </w:r>
      <w:r w:rsidR="005853A9">
        <w:rPr>
          <w:kern w:val="0"/>
        </w:rPr>
        <w:t xml:space="preserve"> and </w:t>
      </w:r>
      <w:r>
        <w:rPr>
          <w:kern w:val="0"/>
        </w:rPr>
        <w:t>Paul Links, about ongoing trials</w:t>
      </w:r>
      <w:r w:rsidR="005853A9">
        <w:rPr>
          <w:kern w:val="0"/>
        </w:rPr>
        <w:t xml:space="preserve"> and </w:t>
      </w:r>
      <w:r>
        <w:rPr>
          <w:kern w:val="0"/>
        </w:rPr>
        <w:t>unpublished data. Selection criteria Randomised controlled trials (RCTs) comparing crisis interventions with usual care or no intervention or a waiting list control for adults</w:t>
      </w:r>
      <w:r w:rsidR="00427468">
        <w:rPr>
          <w:kern w:val="0"/>
        </w:rPr>
        <w:t xml:space="preserve"> of </w:t>
      </w:r>
      <w:r>
        <w:rPr>
          <w:kern w:val="0"/>
        </w:rPr>
        <w:t>any age with BPD. Data collection</w:t>
      </w:r>
      <w:r w:rsidR="005853A9">
        <w:rPr>
          <w:kern w:val="0"/>
        </w:rPr>
        <w:t xml:space="preserve"> and </w:t>
      </w:r>
      <w:r>
        <w:rPr>
          <w:kern w:val="0"/>
        </w:rPr>
        <w:t>analysis Two authors independently screened titles, abstracts</w:t>
      </w:r>
      <w:r w:rsidR="005853A9">
        <w:rPr>
          <w:kern w:val="0"/>
        </w:rPr>
        <w:t xml:space="preserve"> and </w:t>
      </w:r>
      <w:r>
        <w:rPr>
          <w:kern w:val="0"/>
        </w:rPr>
        <w:t>full-text articles</w:t>
      </w:r>
      <w:r w:rsidR="005853A9">
        <w:rPr>
          <w:kern w:val="0"/>
        </w:rPr>
        <w:t xml:space="preserve"> and </w:t>
      </w:r>
      <w:r>
        <w:rPr>
          <w:kern w:val="0"/>
        </w:rPr>
        <w:t>assessed these against the inclusion criteria. Main results The search identified 15 studies, 13</w:t>
      </w:r>
      <w:r w:rsidR="00427468">
        <w:rPr>
          <w:kern w:val="0"/>
        </w:rPr>
        <w:t xml:space="preserve"> of </w:t>
      </w:r>
      <w:r>
        <w:rPr>
          <w:kern w:val="0"/>
        </w:rPr>
        <w:t>which we excluded. Reasons for exclusion were: lack</w:t>
      </w:r>
      <w:r w:rsidR="00427468">
        <w:rPr>
          <w:kern w:val="0"/>
        </w:rPr>
        <w:t xml:space="preserve"> of </w:t>
      </w:r>
      <w:r>
        <w:rPr>
          <w:kern w:val="0"/>
        </w:rPr>
        <w:t>randomisation (N = 8); retrospective design (N = 2); or the intervention was a complex psychological therapy lasting longer than one month (N = 3). We identified two ongoing RCTs that met the inclusion criteria, with a combined predicted sample size</w:t>
      </w:r>
      <w:r w:rsidR="00427468">
        <w:rPr>
          <w:kern w:val="0"/>
        </w:rPr>
        <w:t xml:space="preserve"> of </w:t>
      </w:r>
      <w:r>
        <w:rPr>
          <w:kern w:val="0"/>
        </w:rPr>
        <w:t>688</w:t>
      </w:r>
      <w:r w:rsidR="00A37C1D">
        <w:rPr>
          <w:kern w:val="0"/>
        </w:rPr>
        <w:t>. The</w:t>
      </w:r>
      <w:r>
        <w:rPr>
          <w:kern w:val="0"/>
        </w:rPr>
        <w:t>se trials are ongoing</w:t>
      </w:r>
      <w:r w:rsidR="005853A9">
        <w:rPr>
          <w:kern w:val="0"/>
        </w:rPr>
        <w:t xml:space="preserve"> and </w:t>
      </w:r>
      <w:r>
        <w:rPr>
          <w:kern w:val="0"/>
        </w:rPr>
        <w:t>the results are therefore not included in the review, although they will be incorporated into future updates. Authors</w:t>
      </w:r>
      <w:r w:rsidR="0071223E">
        <w:rPr>
          <w:kern w:val="0"/>
        </w:rPr>
        <w:t>’</w:t>
      </w:r>
      <w:r>
        <w:rPr>
          <w:kern w:val="0"/>
        </w:rPr>
        <w:t xml:space="preserve"> conclusions A comprehensive search</w:t>
      </w:r>
      <w:r w:rsidR="00427468">
        <w:rPr>
          <w:kern w:val="0"/>
        </w:rPr>
        <w:t xml:space="preserve"> of </w:t>
      </w:r>
      <w:r>
        <w:rPr>
          <w:kern w:val="0"/>
        </w:rPr>
        <w:t>the literature showed that currently there is no RCT-based evidence for the management</w:t>
      </w:r>
      <w:r w:rsidR="00427468">
        <w:rPr>
          <w:kern w:val="0"/>
        </w:rPr>
        <w:t xml:space="preserve"> of </w:t>
      </w:r>
      <w:r>
        <w:rPr>
          <w:kern w:val="0"/>
        </w:rPr>
        <w:t>acute crises in people with BPD</w:t>
      </w:r>
      <w:r w:rsidR="005853A9">
        <w:rPr>
          <w:kern w:val="0"/>
        </w:rPr>
        <w:t xml:space="preserve"> and </w:t>
      </w:r>
      <w:r>
        <w:rPr>
          <w:kern w:val="0"/>
        </w:rPr>
        <w:t>therefore we could not reach any conclusions about the effectiveness</w:t>
      </w:r>
      <w:r w:rsidR="00427468">
        <w:rPr>
          <w:kern w:val="0"/>
        </w:rPr>
        <w:t xml:space="preserve"> of </w:t>
      </w:r>
      <w:r>
        <w:rPr>
          <w:kern w:val="0"/>
        </w:rPr>
        <w:t>any single crisis intervention. High-quality, large-scale, adequately powered RCTs in this area are urgently needed.</w:t>
      </w:r>
    </w:p>
    <w:p w:rsidR="00365DE4" w:rsidRDefault="00365DE4" w:rsidP="00365DE4">
      <w:pPr>
        <w:pStyle w:val="a3"/>
        <w:rPr>
          <w:kern w:val="0"/>
        </w:rPr>
      </w:pPr>
      <w:r>
        <w:rPr>
          <w:kern w:val="0"/>
        </w:rPr>
        <w:t xml:space="preserve">Keywords: Age, Analysis, Articles, Authors, Borderline, Canada, Care, Citation, Citations, Clinical Trials, Cochrane, Collection, Compulsory Treatment, Conference, Conference Proceedings, Control, Crisis, Criteria, Data, Data Collection, Databases, Design, Dialectical Behavior-Therapy, Distress, Effectiveness, Evidence, Experts, Field, Health, Health Services, Humanities, Impact, Inclusion, Intervention, Interventions, Literature, Management, </w:t>
      </w:r>
      <w:r w:rsidR="00D5664A">
        <w:rPr>
          <w:kern w:val="0"/>
        </w:rPr>
        <w:t>MEDLINE</w:t>
      </w:r>
      <w:r>
        <w:rPr>
          <w:kern w:val="0"/>
        </w:rPr>
        <w:t>, Methods, N, Personality, Plans, Population, Program, Protocol, Psycinfo, Randomisation, Randomized Controlled-Trial, Recovery, Reference, Reference Lists, Review, Safety, Sample Size, Science, Science Citation Index, Search, Services, Size, Social Science Citation Index, Suicide, Therapy</w:t>
      </w:r>
    </w:p>
    <w:p w:rsidR="00365DE4" w:rsidRDefault="00365DE4" w:rsidP="00365DE4">
      <w:pPr>
        <w:pStyle w:val="a3"/>
        <w:rPr>
          <w:kern w:val="0"/>
        </w:rPr>
      </w:pPr>
      <w:r>
        <w:rPr>
          <w:kern w:val="0"/>
          <w:szCs w:val="24"/>
        </w:rPr>
        <w:t>? Shah, S.S., Ohlsson, A.</w:t>
      </w:r>
      <w:r w:rsidR="005853A9">
        <w:rPr>
          <w:kern w:val="0"/>
          <w:szCs w:val="24"/>
        </w:rPr>
        <w:t xml:space="preserve"> and </w:t>
      </w:r>
      <w:r>
        <w:rPr>
          <w:kern w:val="0"/>
          <w:szCs w:val="24"/>
        </w:rPr>
        <w:t xml:space="preserve">Shah, V.S. (2012), Intraventricular antibiotics for </w:t>
      </w:r>
      <w:r>
        <w:rPr>
          <w:kern w:val="0"/>
          <w:szCs w:val="24"/>
        </w:rPr>
        <w:lastRenderedPageBreak/>
        <w:t xml:space="preserve">bacterial meningitis in neonates.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7</w:t>
      </w:r>
      <w:r>
        <w:rPr>
          <w:kern w:val="0"/>
        </w:rPr>
        <w:t>, Article Number: CD004496.</w:t>
      </w:r>
    </w:p>
    <w:p w:rsidR="00365DE4" w:rsidRDefault="00365DE4" w:rsidP="00365DE4">
      <w:pPr>
        <w:pStyle w:val="a3"/>
        <w:rPr>
          <w:kern w:val="2"/>
        </w:rPr>
      </w:pPr>
      <w:r>
        <w:t xml:space="preserve">Full Text: </w:t>
      </w:r>
      <w:hyperlink r:id="rId756" w:history="1">
        <w:r>
          <w:rPr>
            <w:rStyle w:val="a5"/>
          </w:rPr>
          <w:t>2012\Coc Dat Sys Rev2012, CD004496.pdf</w:t>
        </w:r>
      </w:hyperlink>
    </w:p>
    <w:p w:rsidR="00365DE4" w:rsidRDefault="00365DE4" w:rsidP="00365DE4">
      <w:pPr>
        <w:pStyle w:val="a3"/>
        <w:rPr>
          <w:kern w:val="0"/>
          <w:szCs w:val="24"/>
        </w:rPr>
      </w:pPr>
      <w:r>
        <w:rPr>
          <w:kern w:val="0"/>
          <w:szCs w:val="24"/>
        </w:rPr>
        <w:t>Abstract: Background Neonatal meningitis may be caused by bacteria, especially gram-negative bacteria, which are difficult to eradicate from the cerebrospinal fluid (CSF) using safe doses</w:t>
      </w:r>
      <w:r w:rsidR="00427468">
        <w:rPr>
          <w:kern w:val="0"/>
          <w:szCs w:val="24"/>
        </w:rPr>
        <w:t xml:space="preserve"> of </w:t>
      </w:r>
      <w:r>
        <w:rPr>
          <w:kern w:val="0"/>
          <w:szCs w:val="24"/>
        </w:rPr>
        <w:t>antibiotics. In theory, intraventricular administration</w:t>
      </w:r>
      <w:r w:rsidR="00427468">
        <w:rPr>
          <w:kern w:val="0"/>
          <w:szCs w:val="24"/>
        </w:rPr>
        <w:t xml:space="preserve"> of </w:t>
      </w:r>
      <w:r>
        <w:rPr>
          <w:kern w:val="0"/>
          <w:szCs w:val="24"/>
        </w:rPr>
        <w:t>antibiotics would produce higher antibiotic concentrations in the CSF than intravenous administration alone,</w:t>
      </w:r>
      <w:r w:rsidR="005853A9">
        <w:rPr>
          <w:kern w:val="0"/>
          <w:szCs w:val="24"/>
        </w:rPr>
        <w:t xml:space="preserve"> and </w:t>
      </w:r>
      <w:r>
        <w:rPr>
          <w:kern w:val="0"/>
          <w:szCs w:val="24"/>
        </w:rPr>
        <w:t>eliminate the bacteria more quickly. However, ventricular taps may cause harm. Objectives To assess the effectiveness</w:t>
      </w:r>
      <w:r w:rsidR="005853A9">
        <w:rPr>
          <w:kern w:val="0"/>
          <w:szCs w:val="24"/>
        </w:rPr>
        <w:t xml:space="preserve"> and </w:t>
      </w:r>
      <w:r>
        <w:rPr>
          <w:kern w:val="0"/>
          <w:szCs w:val="24"/>
        </w:rPr>
        <w:t>safety</w:t>
      </w:r>
      <w:r w:rsidR="00427468">
        <w:rPr>
          <w:kern w:val="0"/>
          <w:szCs w:val="24"/>
        </w:rPr>
        <w:t xml:space="preserve"> of </w:t>
      </w:r>
      <w:r>
        <w:rPr>
          <w:kern w:val="0"/>
          <w:szCs w:val="24"/>
        </w:rPr>
        <w:t xml:space="preserve">intraventricular antibiotics (with or without intravenous antibiotics) in neonates with meningitis (with or without ventriculitis) as compared to treatment with intravenous antibiotics alone. Search methods The Cochrane Library, Issue 2, 2007; </w:t>
      </w:r>
      <w:r w:rsidR="00D5664A">
        <w:rPr>
          <w:kern w:val="0"/>
          <w:szCs w:val="24"/>
        </w:rPr>
        <w:t>MEDLINE</w:t>
      </w:r>
      <w:r>
        <w:rPr>
          <w:kern w:val="0"/>
          <w:szCs w:val="24"/>
        </w:rPr>
        <w:t>; EMBASE; CINAHL</w:t>
      </w:r>
      <w:r w:rsidR="005853A9">
        <w:rPr>
          <w:kern w:val="0"/>
          <w:szCs w:val="24"/>
        </w:rPr>
        <w:t xml:space="preserve"> and </w:t>
      </w:r>
      <w:r>
        <w:rPr>
          <w:kern w:val="0"/>
          <w:szCs w:val="24"/>
        </w:rPr>
        <w:t>Science Citation Index were searched in June 2007</w:t>
      </w:r>
      <w:r w:rsidR="00A37C1D">
        <w:rPr>
          <w:kern w:val="0"/>
          <w:szCs w:val="24"/>
        </w:rPr>
        <w:t>. The</w:t>
      </w:r>
      <w:r>
        <w:rPr>
          <w:kern w:val="0"/>
          <w:szCs w:val="24"/>
        </w:rPr>
        <w:t xml:space="preserve"> Oxford Database</w:t>
      </w:r>
      <w:r w:rsidR="00427468">
        <w:rPr>
          <w:kern w:val="0"/>
          <w:szCs w:val="24"/>
        </w:rPr>
        <w:t xml:space="preserve"> of </w:t>
      </w:r>
      <w:r>
        <w:rPr>
          <w:kern w:val="0"/>
          <w:szCs w:val="24"/>
        </w:rPr>
        <w:t>Perinatal Trials was searched in June 2004. Pediatric Research (abstracts</w:t>
      </w:r>
      <w:r w:rsidR="00427468">
        <w:rPr>
          <w:kern w:val="0"/>
          <w:szCs w:val="24"/>
        </w:rPr>
        <w:t xml:space="preserve"> of </w:t>
      </w:r>
      <w:r>
        <w:rPr>
          <w:kern w:val="0"/>
          <w:szCs w:val="24"/>
        </w:rPr>
        <w:t>proceedings) were searched (1990 to April 2007) as were reference lists</w:t>
      </w:r>
      <w:r w:rsidR="00427468">
        <w:rPr>
          <w:kern w:val="0"/>
          <w:szCs w:val="24"/>
        </w:rPr>
        <w:t xml:space="preserve"> of </w:t>
      </w:r>
      <w:r>
        <w:rPr>
          <w:kern w:val="0"/>
          <w:szCs w:val="24"/>
        </w:rPr>
        <w:t>identified trials</w:t>
      </w:r>
      <w:r w:rsidR="005853A9">
        <w:rPr>
          <w:kern w:val="0"/>
          <w:szCs w:val="24"/>
        </w:rPr>
        <w:t xml:space="preserve"> and </w:t>
      </w:r>
      <w:r>
        <w:rPr>
          <w:kern w:val="0"/>
          <w:szCs w:val="24"/>
        </w:rPr>
        <w:t>personal files. No language restrictions were applied. This search was updated in May 2011. Selection criteria Selection criteria for study inclusion were: randomised or quasi-randomised controlled trials in which intraventricular antibiotics with or without intravenous antibiotics were compared with intravenous antibiotics alone in neonates (&lt;28 days old) with meningitis. One</w:t>
      </w:r>
      <w:r w:rsidR="00427468">
        <w:rPr>
          <w:kern w:val="0"/>
          <w:szCs w:val="24"/>
        </w:rPr>
        <w:t xml:space="preserve"> of </w:t>
      </w:r>
      <w:r>
        <w:rPr>
          <w:kern w:val="0"/>
          <w:szCs w:val="24"/>
        </w:rPr>
        <w:t>the following outcomes was required to be reported: mortality during initial hospitalisation; neonatal or infant mortality, or both; neurodevelopmental outcome; duration</w:t>
      </w:r>
      <w:r w:rsidR="00427468">
        <w:rPr>
          <w:kern w:val="0"/>
          <w:szCs w:val="24"/>
        </w:rPr>
        <w:t xml:space="preserve"> of </w:t>
      </w:r>
      <w:r>
        <w:rPr>
          <w:kern w:val="0"/>
          <w:szCs w:val="24"/>
        </w:rPr>
        <w:t>hospitalisation; duration</w:t>
      </w:r>
      <w:r w:rsidR="00427468">
        <w:rPr>
          <w:kern w:val="0"/>
          <w:szCs w:val="24"/>
        </w:rPr>
        <w:t xml:space="preserve"> of </w:t>
      </w:r>
      <w:r>
        <w:rPr>
          <w:kern w:val="0"/>
          <w:szCs w:val="24"/>
        </w:rPr>
        <w:t>culture positivity</w:t>
      </w:r>
      <w:r w:rsidR="00427468">
        <w:rPr>
          <w:kern w:val="0"/>
          <w:szCs w:val="24"/>
        </w:rPr>
        <w:t xml:space="preserve"> of </w:t>
      </w:r>
      <w:r>
        <w:rPr>
          <w:kern w:val="0"/>
          <w:szCs w:val="24"/>
        </w:rPr>
        <w:t>CSF</w:t>
      </w:r>
      <w:r w:rsidR="005853A9">
        <w:rPr>
          <w:kern w:val="0"/>
          <w:szCs w:val="24"/>
        </w:rPr>
        <w:t xml:space="preserve"> and </w:t>
      </w:r>
      <w:r>
        <w:rPr>
          <w:kern w:val="0"/>
          <w:szCs w:val="24"/>
        </w:rPr>
        <w:t>side effects. Data collection</w:t>
      </w:r>
      <w:r w:rsidR="005853A9">
        <w:rPr>
          <w:kern w:val="0"/>
          <w:szCs w:val="24"/>
        </w:rPr>
        <w:t xml:space="preserve"> and </w:t>
      </w:r>
      <w:r>
        <w:rPr>
          <w:kern w:val="0"/>
          <w:szCs w:val="24"/>
        </w:rPr>
        <w:t>analysis All review authors abstracted information for outcomes reported</w:t>
      </w:r>
      <w:r w:rsidR="005853A9">
        <w:rPr>
          <w:kern w:val="0"/>
          <w:szCs w:val="24"/>
        </w:rPr>
        <w:t xml:space="preserve"> and </w:t>
      </w:r>
      <w:r>
        <w:rPr>
          <w:kern w:val="0"/>
          <w:szCs w:val="24"/>
        </w:rPr>
        <w:t>one review author checked for discrepancies</w:t>
      </w:r>
      <w:r w:rsidR="005853A9">
        <w:rPr>
          <w:kern w:val="0"/>
          <w:szCs w:val="24"/>
        </w:rPr>
        <w:t xml:space="preserve"> and </w:t>
      </w:r>
      <w:r>
        <w:rPr>
          <w:kern w:val="0"/>
          <w:szCs w:val="24"/>
        </w:rPr>
        <w:t>entered data into RevMan 5.1. Risk ratio (RR), risk difference (RD), number needed to treat for an additional beneficial outcome (NNTB) or number needed to treat for an additional harmful outcome (NNTH),</w:t>
      </w:r>
      <w:r w:rsidR="005853A9">
        <w:rPr>
          <w:kern w:val="0"/>
          <w:szCs w:val="24"/>
        </w:rPr>
        <w:t xml:space="preserve"> and </w:t>
      </w:r>
      <w:r>
        <w:rPr>
          <w:kern w:val="0"/>
          <w:szCs w:val="24"/>
        </w:rPr>
        <w:t>mean difference (MD), using the fixed-effect model are reported with 95% confidence intervals (CI). Main results The updated search in June 2011 did not identify any new trials. One study is included in the review. This study assessed the effect</w:t>
      </w:r>
      <w:r w:rsidR="00427468">
        <w:rPr>
          <w:kern w:val="0"/>
          <w:szCs w:val="24"/>
        </w:rPr>
        <w:t xml:space="preserve"> of </w:t>
      </w:r>
      <w:r>
        <w:rPr>
          <w:kern w:val="0"/>
          <w:szCs w:val="24"/>
        </w:rPr>
        <w:t>intraventricular gentamicin in a mixed population</w:t>
      </w:r>
      <w:r w:rsidR="00427468">
        <w:rPr>
          <w:kern w:val="0"/>
          <w:szCs w:val="24"/>
        </w:rPr>
        <w:t xml:space="preserve"> of </w:t>
      </w:r>
      <w:r>
        <w:rPr>
          <w:kern w:val="0"/>
          <w:szCs w:val="24"/>
        </w:rPr>
        <w:t>neonates (69%)</w:t>
      </w:r>
      <w:r w:rsidR="005853A9">
        <w:rPr>
          <w:kern w:val="0"/>
          <w:szCs w:val="24"/>
        </w:rPr>
        <w:t xml:space="preserve"> and </w:t>
      </w:r>
      <w:r>
        <w:rPr>
          <w:kern w:val="0"/>
          <w:szCs w:val="24"/>
        </w:rPr>
        <w:t>older infants (31%) with gram-negative meningitis</w:t>
      </w:r>
      <w:r w:rsidR="005853A9">
        <w:rPr>
          <w:kern w:val="0"/>
          <w:szCs w:val="24"/>
        </w:rPr>
        <w:t xml:space="preserve"> and </w:t>
      </w:r>
      <w:r>
        <w:rPr>
          <w:kern w:val="0"/>
          <w:szCs w:val="24"/>
        </w:rPr>
        <w:t>ventriculitis. Mortality was statistically significantly higher in the group that received intraventricular gentamicin in addition to intravenous antibiotics compared to the group receiving intravenous antibiotics alone (RR 3.43; 95% CI 1.09 to 10.74; RD 0.30; 95% CI 0.08 to 0.53); NNTH 3; 95% CI 2 to 13). Duration</w:t>
      </w:r>
      <w:r w:rsidR="00427468">
        <w:rPr>
          <w:kern w:val="0"/>
          <w:szCs w:val="24"/>
        </w:rPr>
        <w:t xml:space="preserve"> of </w:t>
      </w:r>
      <w:r>
        <w:rPr>
          <w:kern w:val="0"/>
          <w:szCs w:val="24"/>
        </w:rPr>
        <w:t>CSF culture positivity did not differ significantly (MD -1.20 days; 95% CI -2.67 to 0.27). Authors</w:t>
      </w:r>
      <w:r w:rsidR="0071223E">
        <w:rPr>
          <w:kern w:val="0"/>
          <w:szCs w:val="24"/>
        </w:rPr>
        <w:t>’</w:t>
      </w:r>
      <w:r>
        <w:rPr>
          <w:kern w:val="0"/>
          <w:szCs w:val="24"/>
        </w:rPr>
        <w:t xml:space="preserve"> conclusions In one trial that enrolled infants with gram-negative meningitis</w:t>
      </w:r>
      <w:r w:rsidR="005853A9">
        <w:rPr>
          <w:kern w:val="0"/>
          <w:szCs w:val="24"/>
        </w:rPr>
        <w:t xml:space="preserve"> and </w:t>
      </w:r>
      <w:r>
        <w:rPr>
          <w:kern w:val="0"/>
          <w:szCs w:val="24"/>
        </w:rPr>
        <w:t>ventriculitis, the use</w:t>
      </w:r>
      <w:r w:rsidR="00427468">
        <w:rPr>
          <w:kern w:val="0"/>
          <w:szCs w:val="24"/>
        </w:rPr>
        <w:t xml:space="preserve"> of </w:t>
      </w:r>
      <w:r>
        <w:rPr>
          <w:kern w:val="0"/>
          <w:szCs w:val="24"/>
        </w:rPr>
        <w:t xml:space="preserve">intraventricular antibiotics in addition to intravenous </w:t>
      </w:r>
      <w:r>
        <w:rPr>
          <w:kern w:val="0"/>
          <w:szCs w:val="24"/>
        </w:rPr>
        <w:lastRenderedPageBreak/>
        <w:t>antibiotics resulted in a three-fold increased RR for mortality compared to standard treatment with intravenous antibiotics alone. Based on this result, intraventricular antibiotics as tested in this trial should be avoided. Further trials comparing these interventions are not justified in this population.</w:t>
      </w:r>
    </w:p>
    <w:p w:rsidR="00365DE4" w:rsidRDefault="00365DE4" w:rsidP="00365DE4">
      <w:pPr>
        <w:pStyle w:val="a3"/>
        <w:rPr>
          <w:kern w:val="0"/>
          <w:szCs w:val="24"/>
        </w:rPr>
      </w:pPr>
      <w:r>
        <w:rPr>
          <w:kern w:val="0"/>
          <w:szCs w:val="24"/>
        </w:rPr>
        <w:t xml:space="preserve">Keywords: Administration, Analysis, Anti-Bacterial Agents [Administration &amp; Dosage], Antibiotics, Authors, Bacillary Meningitis, Bacteria, Cerebrospinal Fluid, Cerebrospinal-Fluid, Children, Citation, Collection, Confidence, Confidence Intervals, Criteria, CSF, Culture, Data, Duration, Effectiveness, Effects, Efficacy, Experience, Fluid Shunt Infections, Gentamicin, Gentamicin Therapy, Gentamicins [Administration &amp; Dosage], Gram-Negative Bacterial Infections [Drug Therapy], Humans, Infant, Infant Mortality, Infant,Newborn, Infants, Information, Injections,Intravenous, Injections,Intraventricular, Intervals, Interventions, Intravenous, </w:t>
      </w:r>
      <w:r w:rsidR="00D5664A">
        <w:rPr>
          <w:kern w:val="0"/>
          <w:szCs w:val="24"/>
        </w:rPr>
        <w:t>MEDLINE</w:t>
      </w:r>
      <w:r>
        <w:rPr>
          <w:kern w:val="0"/>
          <w:szCs w:val="24"/>
        </w:rPr>
        <w:t>, Meningitis, Meningitis,Bacterial [Drug Therapy, Methods, Microbiology], Model, Mortality, Neonatal, Neonates, Neurodevelopmental Outcome, Newborn, Number Needed To Treat, Outcome, Outcomes, Pharmacokinetics, Population, Randomised, Randomized Controlled Trials As Topic, Reference, Reference Lists, Research, Restrictions, Review, Risk, Safety, Science, Science Citation Index, Search, Side Effects, Standard, Theory, Treatment, Trial</w:t>
      </w:r>
    </w:p>
    <w:p w:rsidR="00365DE4" w:rsidRDefault="00365DE4" w:rsidP="00365DE4">
      <w:pPr>
        <w:pStyle w:val="a3"/>
        <w:rPr>
          <w:kern w:val="0"/>
        </w:rPr>
      </w:pPr>
      <w:r>
        <w:rPr>
          <w:kern w:val="0"/>
        </w:rPr>
        <w:t>? Gillies, D., Sinn, J.K.H., Lad, S.S., Leach, M.J.</w:t>
      </w:r>
      <w:r w:rsidR="005853A9">
        <w:rPr>
          <w:kern w:val="0"/>
        </w:rPr>
        <w:t xml:space="preserve"> and </w:t>
      </w:r>
      <w:r>
        <w:rPr>
          <w:kern w:val="0"/>
        </w:rPr>
        <w:t>Ross, M.J. (2012), Polyunsaturated fatty acids (PUFA) for attention deficit hyperactivity disorder (ADHD) in children</w:t>
      </w:r>
      <w:r w:rsidR="005853A9">
        <w:rPr>
          <w:kern w:val="0"/>
        </w:rPr>
        <w:t xml:space="preserve"> and </w:t>
      </w:r>
      <w:r>
        <w:rPr>
          <w:kern w:val="0"/>
        </w:rPr>
        <w:t xml:space="preserve">adolescents.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CD007986.</w:t>
      </w:r>
    </w:p>
    <w:p w:rsidR="00365DE4" w:rsidRDefault="00365DE4" w:rsidP="00365DE4">
      <w:pPr>
        <w:pStyle w:val="a3"/>
        <w:rPr>
          <w:kern w:val="2"/>
        </w:rPr>
      </w:pPr>
      <w:r>
        <w:t xml:space="preserve">Full Text: </w:t>
      </w:r>
      <w:hyperlink r:id="rId757" w:history="1">
        <w:r>
          <w:rPr>
            <w:rStyle w:val="a5"/>
          </w:rPr>
          <w:t>2012\Coc Dat Sys Rev2012, CD007986.pdf</w:t>
        </w:r>
      </w:hyperlink>
    </w:p>
    <w:p w:rsidR="00365DE4" w:rsidRDefault="00365DE4" w:rsidP="00365DE4">
      <w:pPr>
        <w:pStyle w:val="a3"/>
        <w:rPr>
          <w:kern w:val="0"/>
        </w:rPr>
      </w:pPr>
      <w:r>
        <w:rPr>
          <w:kern w:val="0"/>
        </w:rPr>
        <w:t>Abstract: Background Attention deficit hyperactivity disorder (ADHD) is a major problem in children</w:t>
      </w:r>
      <w:r w:rsidR="005853A9">
        <w:rPr>
          <w:kern w:val="0"/>
        </w:rPr>
        <w:t xml:space="preserve"> and </w:t>
      </w:r>
      <w:r>
        <w:rPr>
          <w:kern w:val="0"/>
        </w:rPr>
        <w:t>adolescents, characterised by age-inappropriate levels</w:t>
      </w:r>
      <w:r w:rsidR="00427468">
        <w:rPr>
          <w:kern w:val="0"/>
        </w:rPr>
        <w:t xml:space="preserve"> of </w:t>
      </w:r>
      <w:r>
        <w:rPr>
          <w:kern w:val="0"/>
        </w:rPr>
        <w:t>inattention, hyperactivity</w:t>
      </w:r>
      <w:r w:rsidR="005853A9">
        <w:rPr>
          <w:kern w:val="0"/>
        </w:rPr>
        <w:t xml:space="preserve"> and </w:t>
      </w:r>
      <w:r>
        <w:rPr>
          <w:kern w:val="0"/>
        </w:rPr>
        <w:t>impulsivity,</w:t>
      </w:r>
      <w:r w:rsidR="005853A9">
        <w:rPr>
          <w:kern w:val="0"/>
        </w:rPr>
        <w:t xml:space="preserve"> and </w:t>
      </w:r>
      <w:r>
        <w:rPr>
          <w:kern w:val="0"/>
        </w:rPr>
        <w:t>is associated with long-term social, academic</w:t>
      </w:r>
      <w:r w:rsidR="005853A9">
        <w:rPr>
          <w:kern w:val="0"/>
        </w:rPr>
        <w:t xml:space="preserve"> and </w:t>
      </w:r>
      <w:r>
        <w:rPr>
          <w:kern w:val="0"/>
        </w:rPr>
        <w:t>mental health problems</w:t>
      </w:r>
      <w:r w:rsidR="00A37C1D">
        <w:rPr>
          <w:kern w:val="0"/>
        </w:rPr>
        <w:t>. The</w:t>
      </w:r>
      <w:r>
        <w:rPr>
          <w:kern w:val="0"/>
        </w:rPr>
        <w:t xml:space="preserve"> stimulant medications methylphenidate</w:t>
      </w:r>
      <w:r w:rsidR="005853A9">
        <w:rPr>
          <w:kern w:val="0"/>
        </w:rPr>
        <w:t xml:space="preserve"> and </w:t>
      </w:r>
      <w:r>
        <w:rPr>
          <w:kern w:val="0"/>
        </w:rPr>
        <w:t>amphetamine are the most frequently used treatments for ADHD, but these are not always effective</w:t>
      </w:r>
      <w:r w:rsidR="005853A9">
        <w:rPr>
          <w:kern w:val="0"/>
        </w:rPr>
        <w:t xml:space="preserve"> and </w:t>
      </w:r>
      <w:r>
        <w:rPr>
          <w:kern w:val="0"/>
        </w:rPr>
        <w:t>can be associated with side effects. Clinical</w:t>
      </w:r>
      <w:r w:rsidR="005853A9">
        <w:rPr>
          <w:kern w:val="0"/>
        </w:rPr>
        <w:t xml:space="preserve"> and </w:t>
      </w:r>
      <w:r>
        <w:rPr>
          <w:kern w:val="0"/>
        </w:rPr>
        <w:t>biochemical evidence suggests that deficiencies</w:t>
      </w:r>
      <w:r w:rsidR="00427468">
        <w:rPr>
          <w:kern w:val="0"/>
        </w:rPr>
        <w:t xml:space="preserve"> of </w:t>
      </w:r>
      <w:r>
        <w:rPr>
          <w:kern w:val="0"/>
        </w:rPr>
        <w:t>polyunsaturated fatty acids (PUFA) could be related to ADHD. Children</w:t>
      </w:r>
      <w:r w:rsidR="005853A9">
        <w:rPr>
          <w:kern w:val="0"/>
        </w:rPr>
        <w:t xml:space="preserve"> and </w:t>
      </w:r>
      <w:r>
        <w:rPr>
          <w:kern w:val="0"/>
        </w:rPr>
        <w:t>adolescents with ADHD have been shown to have significantly lower plasma</w:t>
      </w:r>
      <w:r w:rsidR="005853A9">
        <w:rPr>
          <w:kern w:val="0"/>
        </w:rPr>
        <w:t xml:space="preserve"> and </w:t>
      </w:r>
      <w:r>
        <w:rPr>
          <w:kern w:val="0"/>
        </w:rPr>
        <w:t>blood concentrations</w:t>
      </w:r>
      <w:r w:rsidR="00427468">
        <w:rPr>
          <w:kern w:val="0"/>
        </w:rPr>
        <w:t xml:space="preserve"> of </w:t>
      </w:r>
      <w:r>
        <w:rPr>
          <w:kern w:val="0"/>
        </w:rPr>
        <w:t>PUFA and, in particular, lower levels</w:t>
      </w:r>
      <w:r w:rsidR="00427468">
        <w:rPr>
          <w:kern w:val="0"/>
        </w:rPr>
        <w:t xml:space="preserve"> of </w:t>
      </w:r>
      <w:r>
        <w:rPr>
          <w:kern w:val="0"/>
        </w:rPr>
        <w:t>omega-3 PUFA</w:t>
      </w:r>
      <w:r w:rsidR="00A37C1D">
        <w:rPr>
          <w:kern w:val="0"/>
        </w:rPr>
        <w:t>. The</w:t>
      </w:r>
      <w:r>
        <w:rPr>
          <w:kern w:val="0"/>
        </w:rPr>
        <w:t>se findings suggest that PUFA supplementation may reduce the attention</w:t>
      </w:r>
      <w:r w:rsidR="005853A9">
        <w:rPr>
          <w:kern w:val="0"/>
        </w:rPr>
        <w:t xml:space="preserve"> and </w:t>
      </w:r>
      <w:r>
        <w:rPr>
          <w:kern w:val="0"/>
        </w:rPr>
        <w:t>behaviour problems associated with ADHD. Objectives To compare the efficacy</w:t>
      </w:r>
      <w:r w:rsidR="00427468">
        <w:rPr>
          <w:kern w:val="0"/>
        </w:rPr>
        <w:t xml:space="preserve"> of </w:t>
      </w:r>
      <w:r>
        <w:rPr>
          <w:kern w:val="0"/>
        </w:rPr>
        <w:t>PUFA to other forms</w:t>
      </w:r>
      <w:r w:rsidR="00427468">
        <w:rPr>
          <w:kern w:val="0"/>
        </w:rPr>
        <w:t xml:space="preserve"> of </w:t>
      </w:r>
      <w:r>
        <w:rPr>
          <w:kern w:val="0"/>
        </w:rPr>
        <w:t>treatment or placebo in treating the symptoms</w:t>
      </w:r>
      <w:r w:rsidR="00427468">
        <w:rPr>
          <w:kern w:val="0"/>
        </w:rPr>
        <w:t xml:space="preserve"> of </w:t>
      </w:r>
      <w:r>
        <w:rPr>
          <w:kern w:val="0"/>
        </w:rPr>
        <w:t>ADHD in children</w:t>
      </w:r>
      <w:r w:rsidR="005853A9">
        <w:rPr>
          <w:kern w:val="0"/>
        </w:rPr>
        <w:t xml:space="preserve"> and </w:t>
      </w:r>
      <w:r>
        <w:rPr>
          <w:kern w:val="0"/>
        </w:rPr>
        <w:t xml:space="preserve">adolescents. Search methods We searched the following databases in August 2011: CENTRAL (The Cochrane Library 2011, Issue 2), </w:t>
      </w:r>
      <w:r w:rsidR="00D5664A">
        <w:rPr>
          <w:kern w:val="0"/>
        </w:rPr>
        <w:t>MEDLINE</w:t>
      </w:r>
      <w:r>
        <w:rPr>
          <w:kern w:val="0"/>
        </w:rPr>
        <w:t xml:space="preserve"> (1948 to July Week 3, 2011), EMBASE (1980 to 2011 Week 29), PsycINFO (1806 to current), CINAHL (1937 to current), BIOSIS (1969 to 30 </w:t>
      </w:r>
      <w:r>
        <w:rPr>
          <w:kern w:val="0"/>
        </w:rPr>
        <w:lastRenderedPageBreak/>
        <w:t>July 2011), Science Citation Index (1970 to 30 July 2011), Social Science Citation Index (1970 to 30 July 2011), Conference Proceedings Citation Index - Science (1990 to 30 July 2011), Conference Proceedings Citation Index - Social Science</w:t>
      </w:r>
      <w:r w:rsidR="005853A9">
        <w:rPr>
          <w:kern w:val="0"/>
        </w:rPr>
        <w:t xml:space="preserve"> and </w:t>
      </w:r>
      <w:r>
        <w:rPr>
          <w:kern w:val="0"/>
        </w:rPr>
        <w:t>Humanities (1990 to 30 July 2011), Cochrane Database</w:t>
      </w:r>
      <w:r w:rsidR="00427468">
        <w:rPr>
          <w:kern w:val="0"/>
        </w:rPr>
        <w:t xml:space="preserve"> of </w:t>
      </w:r>
      <w:r>
        <w:rPr>
          <w:kern w:val="0"/>
        </w:rPr>
        <w:t>Systematic Reviews (2011, Issue 7), DARE (2011 Issue 2), Dissertation Abstracts (via Dissertation Express)</w:t>
      </w:r>
      <w:r w:rsidR="005853A9">
        <w:rPr>
          <w:kern w:val="0"/>
        </w:rPr>
        <w:t xml:space="preserve"> and </w:t>
      </w:r>
      <w:r>
        <w:rPr>
          <w:kern w:val="0"/>
        </w:rPr>
        <w:t>the meta Register</w:t>
      </w:r>
      <w:r w:rsidR="00427468">
        <w:rPr>
          <w:kern w:val="0"/>
        </w:rPr>
        <w:t xml:space="preserve"> of </w:t>
      </w:r>
      <w:r>
        <w:rPr>
          <w:kern w:val="0"/>
        </w:rPr>
        <w:t>Controlled Trials (mRCT). In addition, we searched the following repositories for theses on 2 August 2011: DART, NTLTD</w:t>
      </w:r>
      <w:r w:rsidR="005853A9">
        <w:rPr>
          <w:kern w:val="0"/>
        </w:rPr>
        <w:t xml:space="preserve"> and </w:t>
      </w:r>
      <w:r>
        <w:rPr>
          <w:kern w:val="0"/>
        </w:rPr>
        <w:t>TROVE. We also checked reference lists</w:t>
      </w:r>
      <w:r w:rsidR="00427468">
        <w:rPr>
          <w:kern w:val="0"/>
        </w:rPr>
        <w:t xml:space="preserve"> of </w:t>
      </w:r>
      <w:r>
        <w:rPr>
          <w:kern w:val="0"/>
        </w:rPr>
        <w:t>relevant studies</w:t>
      </w:r>
      <w:r w:rsidR="005853A9">
        <w:rPr>
          <w:kern w:val="0"/>
        </w:rPr>
        <w:t xml:space="preserve"> and </w:t>
      </w:r>
      <w:r>
        <w:rPr>
          <w:kern w:val="0"/>
        </w:rPr>
        <w:t>reviews for additional references. Selection criteria Two review authors independently assessed the results</w:t>
      </w:r>
      <w:r w:rsidR="00427468">
        <w:rPr>
          <w:kern w:val="0"/>
        </w:rPr>
        <w:t xml:space="preserve"> of </w:t>
      </w:r>
      <w:r>
        <w:rPr>
          <w:kern w:val="0"/>
        </w:rPr>
        <w:t>the database searches. We resolved any disagreements regarding the selection</w:t>
      </w:r>
      <w:r w:rsidR="00427468">
        <w:rPr>
          <w:kern w:val="0"/>
        </w:rPr>
        <w:t xml:space="preserve"> of </w:t>
      </w:r>
      <w:r>
        <w:rPr>
          <w:kern w:val="0"/>
        </w:rPr>
        <w:t>studies through consensus or, if necessary, by consultation with a third member</w:t>
      </w:r>
      <w:r w:rsidR="00427468">
        <w:rPr>
          <w:kern w:val="0"/>
        </w:rPr>
        <w:t xml:space="preserve"> of </w:t>
      </w:r>
      <w:r>
        <w:rPr>
          <w:kern w:val="0"/>
        </w:rPr>
        <w:t>the review team. Data collection</w:t>
      </w:r>
      <w:r w:rsidR="005853A9">
        <w:rPr>
          <w:kern w:val="0"/>
        </w:rPr>
        <w:t xml:space="preserve"> and </w:t>
      </w:r>
      <w:r>
        <w:rPr>
          <w:kern w:val="0"/>
        </w:rPr>
        <w:t>analysis Two members</w:t>
      </w:r>
      <w:r w:rsidR="00427468">
        <w:rPr>
          <w:kern w:val="0"/>
        </w:rPr>
        <w:t xml:space="preserve"> of </w:t>
      </w:r>
      <w:r>
        <w:rPr>
          <w:kern w:val="0"/>
        </w:rPr>
        <w:t>the review team independently extracted details</w:t>
      </w:r>
      <w:r w:rsidR="00427468">
        <w:rPr>
          <w:kern w:val="0"/>
        </w:rPr>
        <w:t xml:space="preserve"> of </w:t>
      </w:r>
      <w:r>
        <w:rPr>
          <w:kern w:val="0"/>
        </w:rPr>
        <w:t>participants</w:t>
      </w:r>
      <w:r w:rsidR="005853A9">
        <w:rPr>
          <w:kern w:val="0"/>
        </w:rPr>
        <w:t xml:space="preserve"> and </w:t>
      </w:r>
      <w:r>
        <w:rPr>
          <w:kern w:val="0"/>
        </w:rPr>
        <w:t>setting, interventions, methodology</w:t>
      </w:r>
      <w:r w:rsidR="005853A9">
        <w:rPr>
          <w:kern w:val="0"/>
        </w:rPr>
        <w:t xml:space="preserve"> and </w:t>
      </w:r>
      <w:r>
        <w:rPr>
          <w:kern w:val="0"/>
        </w:rPr>
        <w:t>outcome data. If differences were identified, we resolved them by consensus or referral to a third member</w:t>
      </w:r>
      <w:r w:rsidR="00427468">
        <w:rPr>
          <w:kern w:val="0"/>
        </w:rPr>
        <w:t xml:space="preserve"> of </w:t>
      </w:r>
      <w:r>
        <w:rPr>
          <w:kern w:val="0"/>
        </w:rPr>
        <w:t>the team. We made all reasonable attempts to contact the authors where further clarification or missing data were needed. Main results We included 13 trials with 1011 participants in the review. After screening 366 references, we considered 23 relevant</w:t>
      </w:r>
      <w:r w:rsidR="005853A9">
        <w:rPr>
          <w:kern w:val="0"/>
        </w:rPr>
        <w:t xml:space="preserve"> and </w:t>
      </w:r>
      <w:r>
        <w:rPr>
          <w:kern w:val="0"/>
        </w:rPr>
        <w:t>obtained the full text for consideration. We excluded five papers</w:t>
      </w:r>
      <w:r w:rsidR="005853A9">
        <w:rPr>
          <w:kern w:val="0"/>
        </w:rPr>
        <w:t xml:space="preserve"> and </w:t>
      </w:r>
      <w:r>
        <w:rPr>
          <w:kern w:val="0"/>
        </w:rPr>
        <w:t>included 18 papers describing the 13 trials. Eight</w:t>
      </w:r>
      <w:r w:rsidR="00427468">
        <w:rPr>
          <w:kern w:val="0"/>
        </w:rPr>
        <w:t xml:space="preserve"> of </w:t>
      </w:r>
      <w:r>
        <w:rPr>
          <w:kern w:val="0"/>
        </w:rPr>
        <w:t>the included trials had a parallel design: five compared an omega-3 PUFA supplement to placebo; two compared a combined omega-3</w:t>
      </w:r>
      <w:r w:rsidR="005853A9">
        <w:rPr>
          <w:kern w:val="0"/>
        </w:rPr>
        <w:t xml:space="preserve"> and </w:t>
      </w:r>
      <w:r>
        <w:rPr>
          <w:kern w:val="0"/>
        </w:rPr>
        <w:t>omega-6 supplement to placebo,</w:t>
      </w:r>
      <w:r w:rsidR="005853A9">
        <w:rPr>
          <w:kern w:val="0"/>
        </w:rPr>
        <w:t xml:space="preserve"> and </w:t>
      </w:r>
      <w:r>
        <w:rPr>
          <w:kern w:val="0"/>
        </w:rPr>
        <w:t>one compared an omega-3 PUFA to a dietary supplement. Five</w:t>
      </w:r>
      <w:r w:rsidR="00427468">
        <w:rPr>
          <w:kern w:val="0"/>
        </w:rPr>
        <w:t xml:space="preserve"> of </w:t>
      </w:r>
      <w:r>
        <w:rPr>
          <w:kern w:val="0"/>
        </w:rPr>
        <w:t>the included trials had a cross-over design: two compared combined omega-3/6 PUFA to placebo; two compared omega-6 PUFA with placebo; one compared omega-3 to omega-6 PUFA,</w:t>
      </w:r>
      <w:r w:rsidR="005853A9">
        <w:rPr>
          <w:kern w:val="0"/>
        </w:rPr>
        <w:t xml:space="preserve"> and </w:t>
      </w:r>
      <w:r>
        <w:rPr>
          <w:kern w:val="0"/>
        </w:rPr>
        <w:t>one compared omega-6 PUFA to dexamphetamine. Supplements were given for a period</w:t>
      </w:r>
      <w:r w:rsidR="00427468">
        <w:rPr>
          <w:kern w:val="0"/>
        </w:rPr>
        <w:t xml:space="preserve"> of </w:t>
      </w:r>
      <w:r>
        <w:rPr>
          <w:kern w:val="0"/>
        </w:rPr>
        <w:t>between four</w:t>
      </w:r>
      <w:r w:rsidR="005853A9">
        <w:rPr>
          <w:kern w:val="0"/>
        </w:rPr>
        <w:t xml:space="preserve"> and </w:t>
      </w:r>
      <w:r>
        <w:rPr>
          <w:kern w:val="0"/>
        </w:rPr>
        <w:t>16 weeks</w:t>
      </w:r>
      <w:r w:rsidR="00A37C1D">
        <w:rPr>
          <w:kern w:val="0"/>
        </w:rPr>
        <w:t>. The</w:t>
      </w:r>
      <w:r>
        <w:rPr>
          <w:kern w:val="0"/>
        </w:rPr>
        <w:t>re was a significantly higher likelihood</w:t>
      </w:r>
      <w:r w:rsidR="00427468">
        <w:rPr>
          <w:kern w:val="0"/>
        </w:rPr>
        <w:t xml:space="preserve"> of </w:t>
      </w:r>
      <w:r>
        <w:rPr>
          <w:kern w:val="0"/>
        </w:rPr>
        <w:t>improvement in the group receiving omega-3/6 PUFA compared to placebo (two trials, 97 participants; risk ratio (RR) 2.19, 95% confidence interval (CI) 1.04 to 4.62). However, there were no statistically significant differences in parent-rated ADHD symptoms (five trials, 413 participants; standardised mean difference (SMD) -0.17, 95% CI -0.38 to 0.03); inattention (six trials, 469 participants; SMD -0.04, 95% CI -0.29 to 0.21) or hyperactivity/impulsivity (five trials, 416 participants; SMD -0.04, 95% CI -0.25 to 0.16) when all participants receiving PUFA supplements were compared to those receiving placebo</w:t>
      </w:r>
      <w:r w:rsidR="00A37C1D">
        <w:rPr>
          <w:kern w:val="0"/>
        </w:rPr>
        <w:t>. The</w:t>
      </w:r>
      <w:r>
        <w:rPr>
          <w:kern w:val="0"/>
        </w:rPr>
        <w:t>re were no statistically significant differences in teacher ratings</w:t>
      </w:r>
      <w:r w:rsidR="00427468">
        <w:rPr>
          <w:kern w:val="0"/>
        </w:rPr>
        <w:t xml:space="preserve"> of </w:t>
      </w:r>
      <w:r>
        <w:rPr>
          <w:kern w:val="0"/>
        </w:rPr>
        <w:t>overall ADHD symptoms (four trials, 324 participants; SMD 0.05, 95% CI -0.18 to 0.27); inattention (three trials, 260 participants; SMD 0.26, 95% CI -0.22 to 0.74) or hyperactivity/impulsivity (three trials, 259 participants; SMD 0.10, 95% CI -0.16 to 0.35)</w:t>
      </w:r>
      <w:r w:rsidR="00A37C1D">
        <w:rPr>
          <w:kern w:val="0"/>
        </w:rPr>
        <w:t>. The</w:t>
      </w:r>
      <w:r>
        <w:rPr>
          <w:kern w:val="0"/>
        </w:rPr>
        <w:t xml:space="preserve">re were also no differences between groups in behaviour, side effects or </w:t>
      </w:r>
      <w:r>
        <w:rPr>
          <w:kern w:val="0"/>
        </w:rPr>
        <w:lastRenderedPageBreak/>
        <w:t>loss to follow-up. Overall, there were no other differences between groups for any other comparison. Authors</w:t>
      </w:r>
      <w:r w:rsidR="0071223E">
        <w:rPr>
          <w:kern w:val="0"/>
        </w:rPr>
        <w:t>’</w:t>
      </w:r>
      <w:r>
        <w:rPr>
          <w:kern w:val="0"/>
        </w:rPr>
        <w:t xml:space="preserve"> conclusions Overall, there is little evidence that PUFA supplementation provides any benefit for the symptoms</w:t>
      </w:r>
      <w:r w:rsidR="00427468">
        <w:rPr>
          <w:kern w:val="0"/>
        </w:rPr>
        <w:t xml:space="preserve"> of </w:t>
      </w:r>
      <w:r>
        <w:rPr>
          <w:kern w:val="0"/>
        </w:rPr>
        <w:t>ADHD in children</w:t>
      </w:r>
      <w:r w:rsidR="005853A9">
        <w:rPr>
          <w:kern w:val="0"/>
        </w:rPr>
        <w:t xml:space="preserve"> and </w:t>
      </w:r>
      <w:r>
        <w:rPr>
          <w:kern w:val="0"/>
        </w:rPr>
        <w:t>adolescents</w:t>
      </w:r>
      <w:r w:rsidR="00A37C1D">
        <w:rPr>
          <w:kern w:val="0"/>
        </w:rPr>
        <w:t>. The</w:t>
      </w:r>
      <w:r>
        <w:rPr>
          <w:kern w:val="0"/>
        </w:rPr>
        <w:t xml:space="preserve"> majority</w:t>
      </w:r>
      <w:r w:rsidR="00427468">
        <w:rPr>
          <w:kern w:val="0"/>
        </w:rPr>
        <w:t xml:space="preserve"> of </w:t>
      </w:r>
      <w:r>
        <w:rPr>
          <w:kern w:val="0"/>
        </w:rPr>
        <w:t>data showed no benefit</w:t>
      </w:r>
      <w:r w:rsidR="00427468">
        <w:rPr>
          <w:kern w:val="0"/>
        </w:rPr>
        <w:t xml:space="preserve"> of </w:t>
      </w:r>
      <w:r>
        <w:rPr>
          <w:kern w:val="0"/>
        </w:rPr>
        <w:t>PUFA supplementation, although there were some limited data that did show an improvement with combined omega-3</w:t>
      </w:r>
      <w:r w:rsidR="005853A9">
        <w:rPr>
          <w:kern w:val="0"/>
        </w:rPr>
        <w:t xml:space="preserve"> and </w:t>
      </w:r>
      <w:r>
        <w:rPr>
          <w:kern w:val="0"/>
        </w:rPr>
        <w:t>omega-6 supplementation. It is important that future research addresses current weaknesses in this area, which include small sample sizes, variability</w:t>
      </w:r>
      <w:r w:rsidR="00427468">
        <w:rPr>
          <w:kern w:val="0"/>
        </w:rPr>
        <w:t xml:space="preserve"> of </w:t>
      </w:r>
      <w:r>
        <w:rPr>
          <w:kern w:val="0"/>
        </w:rPr>
        <w:t>selection criteria, variability</w:t>
      </w:r>
      <w:r w:rsidR="00427468">
        <w:rPr>
          <w:kern w:val="0"/>
        </w:rPr>
        <w:t xml:space="preserve"> of </w:t>
      </w:r>
      <w:r>
        <w:rPr>
          <w:kern w:val="0"/>
        </w:rPr>
        <w:t>the type</w:t>
      </w:r>
      <w:r w:rsidR="005853A9">
        <w:rPr>
          <w:kern w:val="0"/>
        </w:rPr>
        <w:t xml:space="preserve"> and </w:t>
      </w:r>
      <w:r>
        <w:rPr>
          <w:kern w:val="0"/>
        </w:rPr>
        <w:t>dosage</w:t>
      </w:r>
      <w:r w:rsidR="00427468">
        <w:rPr>
          <w:kern w:val="0"/>
        </w:rPr>
        <w:t xml:space="preserve"> of </w:t>
      </w:r>
      <w:r>
        <w:rPr>
          <w:kern w:val="0"/>
        </w:rPr>
        <w:t>supplementation, short follow-up times</w:t>
      </w:r>
      <w:r w:rsidR="005853A9">
        <w:rPr>
          <w:kern w:val="0"/>
        </w:rPr>
        <w:t xml:space="preserve"> and </w:t>
      </w:r>
      <w:r>
        <w:rPr>
          <w:kern w:val="0"/>
        </w:rPr>
        <w:t>other methodological weaknesses.</w:t>
      </w:r>
    </w:p>
    <w:p w:rsidR="00365DE4" w:rsidRDefault="00365DE4" w:rsidP="00365DE4">
      <w:pPr>
        <w:pStyle w:val="a3"/>
        <w:rPr>
          <w:kern w:val="0"/>
        </w:rPr>
      </w:pPr>
      <w:r>
        <w:rPr>
          <w:kern w:val="0"/>
        </w:rPr>
        <w:t xml:space="preserve">Keywords: Adhd, Adolescents, Analysis, Authors, Behavior, Behaviour, Blood, Brain, Children, Citation, Collection, Comparison, Conference, Confidence, Consensus, Consultation, Criteria, Data, Database, Databases, Deficit, Hyperactivity Disorder, Design, Dopamine Transporter, Double-Blind, Effects, Efficacy, Evidence, Follow-Up, Forms, Health, Humanities, Improvement, Interval, Interventions, Life, Long Term, Long-Term, </w:t>
      </w:r>
      <w:r w:rsidR="00D5664A">
        <w:rPr>
          <w:kern w:val="0"/>
        </w:rPr>
        <w:t>MEDLINE</w:t>
      </w:r>
      <w:r>
        <w:rPr>
          <w:kern w:val="0"/>
        </w:rPr>
        <w:t>, Mental Health, Methodology, Methods, Omega-3-Fatty-Acids, Outcome, Papers, Placebo, Placebo-Controlled Trial, Plasma, Psycinfo, Reference, Reference Lists, References, Research, Review, Reviews, Risk, Science, Science Citation Index, Screening, Search, Selection Criteria, Side Effects, Small, Social, Social Science Citation Index, Supplementation, Symptoms, Treatment, Variability</w:t>
      </w:r>
    </w:p>
    <w:p w:rsidR="00365DE4" w:rsidRDefault="00365DE4" w:rsidP="00365DE4">
      <w:pPr>
        <w:pStyle w:val="a3"/>
        <w:rPr>
          <w:kern w:val="0"/>
        </w:rPr>
      </w:pPr>
      <w:r>
        <w:rPr>
          <w:kern w:val="0"/>
          <w:szCs w:val="24"/>
        </w:rPr>
        <w:t>? Li, L.R., Sydenham, E., Chaudhary, B.</w:t>
      </w:r>
      <w:r w:rsidR="005853A9">
        <w:rPr>
          <w:kern w:val="0"/>
          <w:szCs w:val="24"/>
        </w:rPr>
        <w:t xml:space="preserve"> and </w:t>
      </w:r>
      <w:r>
        <w:rPr>
          <w:kern w:val="0"/>
          <w:szCs w:val="24"/>
        </w:rPr>
        <w:t xml:space="preserve">You, C. (2012), Glucocorticoid with cyclophosphamide for paraquat-induced lung fibrosis.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7</w:t>
      </w:r>
      <w:r>
        <w:rPr>
          <w:kern w:val="0"/>
        </w:rPr>
        <w:t>, Article Number: CD008084.</w:t>
      </w:r>
    </w:p>
    <w:p w:rsidR="00365DE4" w:rsidRDefault="00365DE4" w:rsidP="00365DE4">
      <w:pPr>
        <w:pStyle w:val="a3"/>
        <w:rPr>
          <w:kern w:val="2"/>
        </w:rPr>
      </w:pPr>
      <w:r>
        <w:t xml:space="preserve">Full Text: </w:t>
      </w:r>
      <w:hyperlink r:id="rId758" w:history="1">
        <w:r>
          <w:rPr>
            <w:rStyle w:val="a5"/>
          </w:rPr>
          <w:t>2012\Coc Dat Sys Rev2012, CD008084.pdf</w:t>
        </w:r>
      </w:hyperlink>
    </w:p>
    <w:p w:rsidR="00365DE4" w:rsidRDefault="00365DE4" w:rsidP="00365DE4">
      <w:pPr>
        <w:pStyle w:val="a3"/>
        <w:rPr>
          <w:kern w:val="0"/>
          <w:szCs w:val="24"/>
        </w:rPr>
      </w:pPr>
      <w:r>
        <w:rPr>
          <w:kern w:val="0"/>
          <w:szCs w:val="24"/>
        </w:rPr>
        <w:t>Abstract: Background Paraquat is an effective</w:t>
      </w:r>
      <w:r w:rsidR="005853A9">
        <w:rPr>
          <w:kern w:val="0"/>
          <w:szCs w:val="24"/>
        </w:rPr>
        <w:t xml:space="preserve"> and </w:t>
      </w:r>
      <w:r>
        <w:rPr>
          <w:kern w:val="0"/>
          <w:szCs w:val="24"/>
        </w:rPr>
        <w:t>widely used herbicide but is also a lethal poison. In many developing countries paraquat is widely available</w:t>
      </w:r>
      <w:r w:rsidR="005853A9">
        <w:rPr>
          <w:kern w:val="0"/>
          <w:szCs w:val="24"/>
        </w:rPr>
        <w:t xml:space="preserve"> and </w:t>
      </w:r>
      <w:r>
        <w:rPr>
          <w:kern w:val="0"/>
          <w:szCs w:val="24"/>
        </w:rPr>
        <w:t>inexpensive, making poisoning prevention difficult. However most</w:t>
      </w:r>
      <w:r w:rsidR="00427468">
        <w:rPr>
          <w:kern w:val="0"/>
          <w:szCs w:val="24"/>
        </w:rPr>
        <w:t xml:space="preserve"> of </w:t>
      </w:r>
      <w:r>
        <w:rPr>
          <w:kern w:val="0"/>
          <w:szCs w:val="24"/>
        </w:rPr>
        <w:t>the people who become poisoned from paraquat have taken it as a means</w:t>
      </w:r>
      <w:r w:rsidR="00427468">
        <w:rPr>
          <w:kern w:val="0"/>
          <w:szCs w:val="24"/>
        </w:rPr>
        <w:t xml:space="preserve"> of </w:t>
      </w:r>
      <w:r>
        <w:rPr>
          <w:kern w:val="0"/>
          <w:szCs w:val="24"/>
        </w:rPr>
        <w:t>suicide. Standard treatment for paraquat poisoning both prevents further absorption</w:t>
      </w:r>
      <w:r w:rsidR="005853A9">
        <w:rPr>
          <w:kern w:val="0"/>
          <w:szCs w:val="24"/>
        </w:rPr>
        <w:t xml:space="preserve"> and </w:t>
      </w:r>
      <w:r>
        <w:rPr>
          <w:kern w:val="0"/>
          <w:szCs w:val="24"/>
        </w:rPr>
        <w:t>reduces the load</w:t>
      </w:r>
      <w:r w:rsidR="00427468">
        <w:rPr>
          <w:kern w:val="0"/>
          <w:szCs w:val="24"/>
        </w:rPr>
        <w:t xml:space="preserve"> of </w:t>
      </w:r>
      <w:r>
        <w:rPr>
          <w:kern w:val="0"/>
          <w:szCs w:val="24"/>
        </w:rPr>
        <w:t>paraquat in the blood through haemoperfusion or haemodialysis</w:t>
      </w:r>
      <w:r w:rsidR="00A37C1D">
        <w:rPr>
          <w:kern w:val="0"/>
          <w:szCs w:val="24"/>
        </w:rPr>
        <w:t>. The</w:t>
      </w:r>
      <w:r>
        <w:rPr>
          <w:kern w:val="0"/>
          <w:szCs w:val="24"/>
        </w:rPr>
        <w:t xml:space="preserve"> effectiveness</w:t>
      </w:r>
      <w:r w:rsidR="00427468">
        <w:rPr>
          <w:kern w:val="0"/>
          <w:szCs w:val="24"/>
        </w:rPr>
        <w:t xml:space="preserve"> of </w:t>
      </w:r>
      <w:r>
        <w:rPr>
          <w:kern w:val="0"/>
          <w:szCs w:val="24"/>
        </w:rPr>
        <w:t>standard treatments is extremely limited</w:t>
      </w:r>
      <w:r w:rsidR="00A37C1D">
        <w:rPr>
          <w:kern w:val="0"/>
          <w:szCs w:val="24"/>
        </w:rPr>
        <w:t>. The</w:t>
      </w:r>
      <w:r>
        <w:rPr>
          <w:kern w:val="0"/>
          <w:szCs w:val="24"/>
        </w:rPr>
        <w:t xml:space="preserve"> immune system plays an important role in exacerbating paraquat-induced lung fibrosis. Immunosuppressive treatment using glucocorticoid</w:t>
      </w:r>
      <w:r w:rsidR="005853A9">
        <w:rPr>
          <w:kern w:val="0"/>
          <w:szCs w:val="24"/>
        </w:rPr>
        <w:t xml:space="preserve"> and </w:t>
      </w:r>
      <w:r>
        <w:rPr>
          <w:kern w:val="0"/>
          <w:szCs w:val="24"/>
        </w:rPr>
        <w:t>cyclophosphamide in combination is being developed</w:t>
      </w:r>
      <w:r w:rsidR="005853A9">
        <w:rPr>
          <w:kern w:val="0"/>
          <w:szCs w:val="24"/>
        </w:rPr>
        <w:t xml:space="preserve"> and </w:t>
      </w:r>
      <w:r>
        <w:rPr>
          <w:kern w:val="0"/>
          <w:szCs w:val="24"/>
        </w:rPr>
        <w:t>studied. Objectives To assess the effects</w:t>
      </w:r>
      <w:r w:rsidR="00427468">
        <w:rPr>
          <w:kern w:val="0"/>
          <w:szCs w:val="24"/>
        </w:rPr>
        <w:t xml:space="preserve"> of </w:t>
      </w:r>
      <w:r>
        <w:rPr>
          <w:kern w:val="0"/>
          <w:szCs w:val="24"/>
        </w:rPr>
        <w:t>glucocorticoid with cyclophosphamide on mortality in patients with paraquat-induced lung fibrosis. Search methods To identify randomised controlled trials (RCTs) on this topic, we searched the Cochrane Injuries Group</w:t>
      </w:r>
      <w:r w:rsidR="0071223E">
        <w:rPr>
          <w:kern w:val="0"/>
          <w:szCs w:val="24"/>
        </w:rPr>
        <w:t>’</w:t>
      </w:r>
      <w:r>
        <w:rPr>
          <w:kern w:val="0"/>
          <w:szCs w:val="24"/>
        </w:rPr>
        <w:t>s Specialised Register (searched 1 February 2012), the Cochrane Central Register</w:t>
      </w:r>
      <w:r w:rsidR="00427468">
        <w:rPr>
          <w:kern w:val="0"/>
          <w:szCs w:val="24"/>
        </w:rPr>
        <w:t xml:space="preserve"> of </w:t>
      </w:r>
      <w:r>
        <w:rPr>
          <w:kern w:val="0"/>
          <w:szCs w:val="24"/>
        </w:rPr>
        <w:t xml:space="preserve">Controlled Trials (CENTRAL) (The Cochrane Library 2012, Issue 1), </w:t>
      </w:r>
      <w:r w:rsidR="00D5664A">
        <w:rPr>
          <w:kern w:val="0"/>
          <w:szCs w:val="24"/>
        </w:rPr>
        <w:t>MEDLINE</w:t>
      </w:r>
      <w:r>
        <w:rPr>
          <w:kern w:val="0"/>
          <w:szCs w:val="24"/>
        </w:rPr>
        <w:t xml:space="preserve"> (Ovid SP) </w:t>
      </w:r>
      <w:r>
        <w:rPr>
          <w:kern w:val="0"/>
          <w:szCs w:val="24"/>
        </w:rPr>
        <w:lastRenderedPageBreak/>
        <w:t xml:space="preserve">(1946 January Week 3 2012), EMBASE (Ovid SP) (1947 to Week 4 2012), 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Science Citation Index Expanded (SCI-EXPANDED) (1970 to January 2012), ISI </w:t>
      </w:r>
      <w:r w:rsidR="00D5664A">
        <w:rPr>
          <w:kern w:val="0"/>
          <w:szCs w:val="24"/>
        </w:rPr>
        <w:t>Web</w:t>
      </w:r>
      <w:r w:rsidR="00427468">
        <w:rPr>
          <w:kern w:val="0"/>
          <w:szCs w:val="24"/>
        </w:rPr>
        <w:t xml:space="preserve"> of </w:t>
      </w:r>
      <w:r w:rsidR="00D5664A">
        <w:rPr>
          <w:kern w:val="0"/>
          <w:szCs w:val="24"/>
        </w:rPr>
        <w:t>Science</w:t>
      </w:r>
      <w:r>
        <w:rPr>
          <w:kern w:val="0"/>
          <w:szCs w:val="24"/>
        </w:rPr>
        <w:t>: Conference Proceedings Citation Index - Science (CPCI-S) (1990 to January 2012), Chinese Biomedical Literature</w:t>
      </w:r>
      <w:r w:rsidR="005853A9">
        <w:rPr>
          <w:kern w:val="0"/>
          <w:szCs w:val="24"/>
        </w:rPr>
        <w:t xml:space="preserve"> and </w:t>
      </w:r>
      <w:r>
        <w:rPr>
          <w:kern w:val="0"/>
          <w:szCs w:val="24"/>
        </w:rPr>
        <w:t>Retrieval System(CBM) (1978 to April 2012), Chinese Medical Current Contents (CMCC) (1995 to April 2012),</w:t>
      </w:r>
      <w:r w:rsidR="005853A9">
        <w:rPr>
          <w:kern w:val="0"/>
          <w:szCs w:val="24"/>
        </w:rPr>
        <w:t xml:space="preserve"> and </w:t>
      </w:r>
      <w:r>
        <w:rPr>
          <w:kern w:val="0"/>
          <w:szCs w:val="24"/>
        </w:rPr>
        <w:t>Chinese Medical Academic Conference (CMAC) (1994 to April 2012). Searches were completed on English language databases on 1 February 2012</w:t>
      </w:r>
      <w:r w:rsidR="005853A9">
        <w:rPr>
          <w:kern w:val="0"/>
          <w:szCs w:val="24"/>
        </w:rPr>
        <w:t xml:space="preserve"> and </w:t>
      </w:r>
      <w:r>
        <w:rPr>
          <w:kern w:val="0"/>
          <w:szCs w:val="24"/>
        </w:rPr>
        <w:t>on Chinese language databases on 12 April 2012. Selection criteria RCTs were included in this review. All patients were to receive standard care, plus the intervention or control</w:t>
      </w:r>
      <w:r w:rsidR="00A37C1D">
        <w:rPr>
          <w:kern w:val="0"/>
          <w:szCs w:val="24"/>
        </w:rPr>
        <w:t>. The</w:t>
      </w:r>
      <w:r>
        <w:rPr>
          <w:kern w:val="0"/>
          <w:szCs w:val="24"/>
        </w:rPr>
        <w:t xml:space="preserve"> intervention was glucocorticoid with cyclophosphamide in combination versus a control</w:t>
      </w:r>
      <w:r w:rsidR="00427468">
        <w:rPr>
          <w:kern w:val="0"/>
          <w:szCs w:val="24"/>
        </w:rPr>
        <w:t xml:space="preserve"> of </w:t>
      </w:r>
      <w:r>
        <w:rPr>
          <w:kern w:val="0"/>
          <w:szCs w:val="24"/>
        </w:rPr>
        <w:t>a placebo, standard care alone or any other therapy in addition to standard care. Data collection</w:t>
      </w:r>
      <w:r w:rsidR="005853A9">
        <w:rPr>
          <w:kern w:val="0"/>
          <w:szCs w:val="24"/>
        </w:rPr>
        <w:t xml:space="preserve"> and </w:t>
      </w:r>
      <w:r>
        <w:rPr>
          <w:kern w:val="0"/>
          <w:szCs w:val="24"/>
        </w:rPr>
        <w:t>analysis The mortality risk ratio (RR)</w:t>
      </w:r>
      <w:r w:rsidR="005853A9">
        <w:rPr>
          <w:kern w:val="0"/>
          <w:szCs w:val="24"/>
        </w:rPr>
        <w:t xml:space="preserve"> and </w:t>
      </w:r>
      <w:r>
        <w:rPr>
          <w:kern w:val="0"/>
          <w:szCs w:val="24"/>
        </w:rPr>
        <w:t>95% confidence interval (CI) was calculated for each study on an intention-to-treat basis. Data for all-cause mortality at final follow-up were summarised in a meta-analysis using a fixed-effect model. Main results This systematic review includes three trials with a combined total</w:t>
      </w:r>
      <w:r w:rsidR="00427468">
        <w:rPr>
          <w:kern w:val="0"/>
          <w:szCs w:val="24"/>
        </w:rPr>
        <w:t xml:space="preserve"> of </w:t>
      </w:r>
      <w:r>
        <w:rPr>
          <w:kern w:val="0"/>
          <w:szCs w:val="24"/>
        </w:rPr>
        <w:t>164 participants who had moderate to severe paraquat poisoning. Patients who received glucocorticoid with cyclophosphamide in addition to standard care had a lower risk</w:t>
      </w:r>
      <w:r w:rsidR="00427468">
        <w:rPr>
          <w:kern w:val="0"/>
          <w:szCs w:val="24"/>
        </w:rPr>
        <w:t xml:space="preserve"> of </w:t>
      </w:r>
      <w:r>
        <w:rPr>
          <w:kern w:val="0"/>
          <w:szCs w:val="24"/>
        </w:rPr>
        <w:t>death at final follow-up than those receiving standard care only (RR 0.72; 95% CI 0.59 to 0.89). Authors</w:t>
      </w:r>
      <w:r w:rsidR="0071223E">
        <w:rPr>
          <w:kern w:val="0"/>
          <w:szCs w:val="24"/>
        </w:rPr>
        <w:t>’</w:t>
      </w:r>
      <w:r>
        <w:rPr>
          <w:kern w:val="0"/>
          <w:szCs w:val="24"/>
        </w:rPr>
        <w:t xml:space="preserve"> conclusions Based on the findings</w:t>
      </w:r>
      <w:r w:rsidR="00427468">
        <w:rPr>
          <w:kern w:val="0"/>
          <w:szCs w:val="24"/>
        </w:rPr>
        <w:t xml:space="preserve"> of </w:t>
      </w:r>
      <w:r>
        <w:rPr>
          <w:kern w:val="0"/>
          <w:szCs w:val="24"/>
        </w:rPr>
        <w:t>three small RCTs</w:t>
      </w:r>
      <w:r w:rsidR="00427468">
        <w:rPr>
          <w:kern w:val="0"/>
          <w:szCs w:val="24"/>
        </w:rPr>
        <w:t xml:space="preserve"> of </w:t>
      </w:r>
      <w:r>
        <w:rPr>
          <w:kern w:val="0"/>
          <w:szCs w:val="24"/>
        </w:rPr>
        <w:t>moderate to severely poisoned patients, glucocorticoid with cyclophosphamide in addition to standard care may be a beneficial treatment for patients with paraquat-induced lung fibrosis. To enable further study</w:t>
      </w:r>
      <w:r w:rsidR="00427468">
        <w:rPr>
          <w:kern w:val="0"/>
          <w:szCs w:val="24"/>
        </w:rPr>
        <w:t xml:space="preserve"> of </w:t>
      </w:r>
      <w:r>
        <w:rPr>
          <w:kern w:val="0"/>
          <w:szCs w:val="24"/>
        </w:rPr>
        <w:t>the effects</w:t>
      </w:r>
      <w:r w:rsidR="00427468">
        <w:rPr>
          <w:kern w:val="0"/>
          <w:szCs w:val="24"/>
        </w:rPr>
        <w:t xml:space="preserve"> of </w:t>
      </w:r>
      <w:r>
        <w:rPr>
          <w:kern w:val="0"/>
          <w:szCs w:val="24"/>
        </w:rPr>
        <w:t>glucocorticoid with cyclophosphamide for patients with moderate to severe paraquat poisoning, hospitals may provide this treatment as part</w:t>
      </w:r>
      <w:r w:rsidR="00427468">
        <w:rPr>
          <w:kern w:val="0"/>
          <w:szCs w:val="24"/>
        </w:rPr>
        <w:t xml:space="preserve"> of </w:t>
      </w:r>
      <w:r>
        <w:rPr>
          <w:kern w:val="0"/>
          <w:szCs w:val="24"/>
        </w:rPr>
        <w:t>an RCT with allocation concealment.</w:t>
      </w:r>
    </w:p>
    <w:p w:rsidR="00365DE4" w:rsidRDefault="00365DE4" w:rsidP="00365DE4">
      <w:pPr>
        <w:pStyle w:val="a3"/>
        <w:rPr>
          <w:kern w:val="0"/>
          <w:szCs w:val="24"/>
        </w:rPr>
      </w:pPr>
      <w:r>
        <w:rPr>
          <w:kern w:val="0"/>
          <w:szCs w:val="24"/>
        </w:rPr>
        <w:t>Keywords: Absorption, Allocation, Analysis, Blood, Care, Chinese, Citation, Collection, Conference, Confidence, Control, Criteria, Cyclophosphamide, Cyclophosphamide [Therapeutic Use], Databases, Death, Developing, Developing Countries, Dexamethasone, Drug Therapy, Drug Therapy,Combination [Methods], Effectiveness, Effects, Fibrosis, Follow-Up, Glucocorticoid, Glucocorticoids [Therapeutic Use], Herbicide, Hospitals, Humans, Immune, Immune System, Immunology], Injury, Interval, Intervention</w:t>
      </w:r>
      <w:r w:rsidR="00D5664A">
        <w:rPr>
          <w:kern w:val="0"/>
          <w:szCs w:val="24"/>
        </w:rPr>
        <w:t>, ISI,</w:t>
      </w:r>
      <w:r>
        <w:rPr>
          <w:kern w:val="0"/>
          <w:szCs w:val="24"/>
        </w:rPr>
        <w:t xml:space="preserve"> 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Literature, Load, Lung, </w:t>
      </w:r>
      <w:r w:rsidR="00D5664A">
        <w:rPr>
          <w:kern w:val="0"/>
          <w:szCs w:val="24"/>
        </w:rPr>
        <w:t>MEDLINE</w:t>
      </w:r>
      <w:r>
        <w:rPr>
          <w:kern w:val="0"/>
          <w:szCs w:val="24"/>
        </w:rPr>
        <w:t xml:space="preserve">, Meta-Analysis, Metaanalysis, Methods, Methylprednisolone, Model, Mortality, Paraquat, Paraquat [Poisoning], Patients, Placebo, Poisoning, Prevention, Pulmonary Fibrosis [Chemically Induced, Pulse, Randomised, Randomised Controlled Trials, Randomized Controlled Trials As Topic, RCT, Review, Risk, Role, Science, Science Citation Index, Science Citation Index Expanded, Search, Small, Standard, Suicide, Systematic Review, Therapy, Treatment, </w:t>
      </w:r>
      <w:r w:rsidR="00D5664A">
        <w:rPr>
          <w:kern w:val="0"/>
          <w:szCs w:val="24"/>
        </w:rPr>
        <w:t>Web</w:t>
      </w:r>
      <w:r w:rsidR="00427468">
        <w:rPr>
          <w:kern w:val="0"/>
          <w:szCs w:val="24"/>
        </w:rPr>
        <w:t xml:space="preserve"> of </w:t>
      </w:r>
      <w:r w:rsidR="00D5664A">
        <w:rPr>
          <w:kern w:val="0"/>
          <w:szCs w:val="24"/>
        </w:rPr>
        <w:t>Science</w:t>
      </w:r>
    </w:p>
    <w:p w:rsidR="00365DE4" w:rsidRDefault="00365DE4" w:rsidP="00365DE4">
      <w:pPr>
        <w:pStyle w:val="a3"/>
        <w:rPr>
          <w:kern w:val="0"/>
        </w:rPr>
      </w:pPr>
      <w:r>
        <w:rPr>
          <w:kern w:val="0"/>
        </w:rPr>
        <w:lastRenderedPageBreak/>
        <w:t>? Reichow, B., Steiner, A.M.</w:t>
      </w:r>
      <w:r w:rsidR="005853A9">
        <w:rPr>
          <w:kern w:val="0"/>
        </w:rPr>
        <w:t xml:space="preserve"> and </w:t>
      </w:r>
      <w:r>
        <w:rPr>
          <w:kern w:val="0"/>
        </w:rPr>
        <w:t>Volkmar, F. (2012), Social skills groups for people aged 6 to 21 with autism spectrum disorders (ASD).</w:t>
      </w:r>
      <w:r>
        <w:rPr>
          <w:i/>
          <w:iCs/>
          <w:kern w:val="0"/>
        </w:rPr>
        <w:t xml:space="preserve"> 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CD008511.</w:t>
      </w:r>
    </w:p>
    <w:p w:rsidR="00365DE4" w:rsidRDefault="00365DE4" w:rsidP="00365DE4">
      <w:pPr>
        <w:pStyle w:val="a3"/>
        <w:rPr>
          <w:kern w:val="2"/>
        </w:rPr>
      </w:pPr>
      <w:r>
        <w:t xml:space="preserve">Full Text: </w:t>
      </w:r>
      <w:hyperlink r:id="rId759" w:history="1">
        <w:r>
          <w:rPr>
            <w:rStyle w:val="a5"/>
          </w:rPr>
          <w:t>2012\Coc Dat Sys Rev2012, CD008511.pdf</w:t>
        </w:r>
      </w:hyperlink>
    </w:p>
    <w:p w:rsidR="00365DE4" w:rsidRDefault="00365DE4" w:rsidP="00365DE4">
      <w:pPr>
        <w:pStyle w:val="a3"/>
        <w:rPr>
          <w:kern w:val="0"/>
        </w:rPr>
      </w:pPr>
      <w:r>
        <w:rPr>
          <w:kern w:val="0"/>
        </w:rPr>
        <w:t>Abstract: Background Since autism was first described, major difficulties in social interaction have been a defining feature</w:t>
      </w:r>
      <w:r w:rsidR="00427468">
        <w:rPr>
          <w:kern w:val="0"/>
        </w:rPr>
        <w:t xml:space="preserve"> of </w:t>
      </w:r>
      <w:r>
        <w:rPr>
          <w:kern w:val="0"/>
        </w:rPr>
        <w:t>individuals with autism spectrum disorders (ASD). Social skills groups are a common intervention for individuals with ASD. Although a frequently recommended practice, the few studies that have addressed the efficacy</w:t>
      </w:r>
      <w:r w:rsidR="00427468">
        <w:rPr>
          <w:kern w:val="0"/>
        </w:rPr>
        <w:t xml:space="preserve"> of </w:t>
      </w:r>
      <w:r>
        <w:rPr>
          <w:kern w:val="0"/>
        </w:rPr>
        <w:t>social skills groups have shown mixed results. Objectives To determine the effectiveness</w:t>
      </w:r>
      <w:r w:rsidR="00427468">
        <w:rPr>
          <w:kern w:val="0"/>
        </w:rPr>
        <w:t xml:space="preserve"> of </w:t>
      </w:r>
      <w:r>
        <w:rPr>
          <w:kern w:val="0"/>
        </w:rPr>
        <w:t>social skills groups for improving social competence, social communication,</w:t>
      </w:r>
      <w:r w:rsidR="005853A9">
        <w:rPr>
          <w:kern w:val="0"/>
        </w:rPr>
        <w:t xml:space="preserve"> and </w:t>
      </w:r>
      <w:r>
        <w:rPr>
          <w:kern w:val="0"/>
        </w:rPr>
        <w:t>quality</w:t>
      </w:r>
      <w:r w:rsidR="00427468">
        <w:rPr>
          <w:kern w:val="0"/>
        </w:rPr>
        <w:t xml:space="preserve"> of </w:t>
      </w:r>
      <w:r>
        <w:rPr>
          <w:kern w:val="0"/>
        </w:rPr>
        <w:t>life for people with ASD who are six to 21 years</w:t>
      </w:r>
      <w:r w:rsidR="00427468">
        <w:rPr>
          <w:kern w:val="0"/>
        </w:rPr>
        <w:t xml:space="preserve"> of </w:t>
      </w:r>
      <w:r>
        <w:rPr>
          <w:kern w:val="0"/>
        </w:rPr>
        <w:t xml:space="preserve">age. Search methods We searched the following databases in December 2011: CENTRAL (2011 Issue 4), </w:t>
      </w:r>
      <w:r w:rsidR="00D5664A">
        <w:rPr>
          <w:kern w:val="0"/>
        </w:rPr>
        <w:t>MEDLINE</w:t>
      </w:r>
      <w:r>
        <w:rPr>
          <w:kern w:val="0"/>
        </w:rPr>
        <w:t xml:space="preserve"> (1948 to November Week 3, 2011), EMBASE (1980 to Week 50, 2011), PsycINFO (1887 to December Week 2, 2011), CINAHL (1937 to current), ERIC (1966 to current), Sociological Abstracts (1952 to current), OCLC WorldCat (12 December 2011), Social Science Citation Index (1970 to 16 December 2011),</w:t>
      </w:r>
      <w:r w:rsidR="005853A9">
        <w:rPr>
          <w:kern w:val="0"/>
        </w:rPr>
        <w:t xml:space="preserve"> and </w:t>
      </w:r>
      <w:r>
        <w:rPr>
          <w:kern w:val="0"/>
        </w:rPr>
        <w:t>the metaRegister</w:t>
      </w:r>
      <w:r w:rsidR="00427468">
        <w:rPr>
          <w:kern w:val="0"/>
        </w:rPr>
        <w:t xml:space="preserve"> of </w:t>
      </w:r>
      <w:r>
        <w:rPr>
          <w:kern w:val="0"/>
        </w:rPr>
        <w:t>Controlled Trials (20 December 2011). We also searched the reference lists</w:t>
      </w:r>
      <w:r w:rsidR="00427468">
        <w:rPr>
          <w:kern w:val="0"/>
        </w:rPr>
        <w:t xml:space="preserve"> of </w:t>
      </w:r>
      <w:r>
        <w:rPr>
          <w:kern w:val="0"/>
        </w:rPr>
        <w:t>published papers. Selection criteria Randomized control trials (RCTs) comparing treatment (social skills groups) with a control group who were not receiving the treatment for participants aged six to 21 years with ASD</w:t>
      </w:r>
      <w:r w:rsidR="00A37C1D">
        <w:rPr>
          <w:kern w:val="0"/>
        </w:rPr>
        <w:t>. The</w:t>
      </w:r>
      <w:r>
        <w:rPr>
          <w:kern w:val="0"/>
        </w:rPr>
        <w:t xml:space="preserve"> control group could be no intervention, wait list, or treatment as usual. Outcomes sought were standardized measures</w:t>
      </w:r>
      <w:r w:rsidR="00427468">
        <w:rPr>
          <w:kern w:val="0"/>
        </w:rPr>
        <w:t xml:space="preserve"> of </w:t>
      </w:r>
      <w:r>
        <w:rPr>
          <w:kern w:val="0"/>
        </w:rPr>
        <w:t>social competence, social communication, quality</w:t>
      </w:r>
      <w:r w:rsidR="00427468">
        <w:rPr>
          <w:kern w:val="0"/>
        </w:rPr>
        <w:t xml:space="preserve"> of </w:t>
      </w:r>
      <w:r>
        <w:rPr>
          <w:kern w:val="0"/>
        </w:rPr>
        <w:t>life, emotion recognition,</w:t>
      </w:r>
      <w:r w:rsidR="005853A9">
        <w:rPr>
          <w:kern w:val="0"/>
        </w:rPr>
        <w:t xml:space="preserve"> and </w:t>
      </w:r>
      <w:r>
        <w:rPr>
          <w:kern w:val="0"/>
        </w:rPr>
        <w:t>any other specific behaviors. Data collection</w:t>
      </w:r>
      <w:r w:rsidR="005853A9">
        <w:rPr>
          <w:kern w:val="0"/>
        </w:rPr>
        <w:t xml:space="preserve"> and </w:t>
      </w:r>
      <w:r>
        <w:rPr>
          <w:kern w:val="0"/>
        </w:rPr>
        <w:t>analysis Two review authors independently selected</w:t>
      </w:r>
      <w:r w:rsidR="005853A9">
        <w:rPr>
          <w:kern w:val="0"/>
        </w:rPr>
        <w:t xml:space="preserve"> and </w:t>
      </w:r>
      <w:r>
        <w:rPr>
          <w:kern w:val="0"/>
        </w:rPr>
        <w:t>appraised studies for inclusion</w:t>
      </w:r>
      <w:r w:rsidR="005853A9">
        <w:rPr>
          <w:kern w:val="0"/>
        </w:rPr>
        <w:t xml:space="preserve"> and </w:t>
      </w:r>
      <w:r>
        <w:rPr>
          <w:kern w:val="0"/>
        </w:rPr>
        <w:t>assessed the risk</w:t>
      </w:r>
      <w:r w:rsidR="00427468">
        <w:rPr>
          <w:kern w:val="0"/>
        </w:rPr>
        <w:t xml:space="preserve"> of </w:t>
      </w:r>
      <w:r>
        <w:rPr>
          <w:kern w:val="0"/>
        </w:rPr>
        <w:t>bias in each included study. All outcome data were continuous</w:t>
      </w:r>
      <w:r w:rsidR="005853A9">
        <w:rPr>
          <w:kern w:val="0"/>
        </w:rPr>
        <w:t xml:space="preserve"> and </w:t>
      </w:r>
      <w:r>
        <w:rPr>
          <w:kern w:val="0"/>
        </w:rPr>
        <w:t>standardized mean difference effect sizes (ES) with small sample correction were calculated. We conducted random-effects meta-analysis where possible. Main results We included five RCTs evaluating the effects</w:t>
      </w:r>
      <w:r w:rsidR="00427468">
        <w:rPr>
          <w:kern w:val="0"/>
        </w:rPr>
        <w:t xml:space="preserve"> of </w:t>
      </w:r>
      <w:r>
        <w:rPr>
          <w:kern w:val="0"/>
        </w:rPr>
        <w:t>social skills groups in 196 participants with ASD aged 6 to 21 years old</w:t>
      </w:r>
      <w:r w:rsidR="00A37C1D">
        <w:rPr>
          <w:kern w:val="0"/>
        </w:rPr>
        <w:t>. The</w:t>
      </w:r>
      <w:r>
        <w:rPr>
          <w:kern w:val="0"/>
        </w:rPr>
        <w:t xml:space="preserve"> results show there is some evidence that social skills groups improve overall social competence (ES = 0.47, 95% confidence interval (CI) 0.16 to 0.78, P = 0.003)</w:t>
      </w:r>
      <w:r w:rsidR="005853A9">
        <w:rPr>
          <w:kern w:val="0"/>
        </w:rPr>
        <w:t xml:space="preserve"> and </w:t>
      </w:r>
      <w:r>
        <w:rPr>
          <w:kern w:val="0"/>
        </w:rPr>
        <w:t>friendship quality (ES = 0.41, 95% CI 0.02 to 0.81, P = 0.04) for this population. No differences were found between treatment</w:t>
      </w:r>
      <w:r w:rsidR="005853A9">
        <w:rPr>
          <w:kern w:val="0"/>
        </w:rPr>
        <w:t xml:space="preserve"> and </w:t>
      </w:r>
      <w:r>
        <w:rPr>
          <w:kern w:val="0"/>
        </w:rPr>
        <w:t>control groups in relation to emotional recognition (ES = 0.34, 95% CI -0.20 to 0.88, P = 0.21) assessed in two studies or social communication as related to the understanding</w:t>
      </w:r>
      <w:r w:rsidR="00427468">
        <w:rPr>
          <w:kern w:val="0"/>
        </w:rPr>
        <w:t xml:space="preserve"> of </w:t>
      </w:r>
      <w:r>
        <w:rPr>
          <w:kern w:val="0"/>
        </w:rPr>
        <w:t>idioms (ES = 0.05, 95% CI -0.63 to 0.72, P = 0.89), which was assessed in only one study. Two additional quality</w:t>
      </w:r>
      <w:r w:rsidR="00427468">
        <w:rPr>
          <w:kern w:val="0"/>
        </w:rPr>
        <w:t xml:space="preserve"> of </w:t>
      </w:r>
      <w:r>
        <w:rPr>
          <w:kern w:val="0"/>
        </w:rPr>
        <w:t>life outcomes were evaluated, with results</w:t>
      </w:r>
      <w:r w:rsidR="00427468">
        <w:rPr>
          <w:kern w:val="0"/>
        </w:rPr>
        <w:t xml:space="preserve"> of </w:t>
      </w:r>
      <w:r>
        <w:rPr>
          <w:kern w:val="0"/>
        </w:rPr>
        <w:t xml:space="preserve">single studies suggesting decreases in loneliness (ES = -0.66, 95% CI -1.15 to -0.17) but no effect on child or parental depression. No adverse events were reported. Given </w:t>
      </w:r>
      <w:r>
        <w:rPr>
          <w:kern w:val="0"/>
        </w:rPr>
        <w:lastRenderedPageBreak/>
        <w:t>the nature</w:t>
      </w:r>
      <w:r w:rsidR="00427468">
        <w:rPr>
          <w:kern w:val="0"/>
        </w:rPr>
        <w:t xml:space="preserve"> of </w:t>
      </w:r>
      <w:r>
        <w:rPr>
          <w:kern w:val="0"/>
        </w:rPr>
        <w:t>the intervention</w:t>
      </w:r>
      <w:r w:rsidR="005853A9">
        <w:rPr>
          <w:kern w:val="0"/>
        </w:rPr>
        <w:t xml:space="preserve"> and </w:t>
      </w:r>
      <w:r>
        <w:rPr>
          <w:kern w:val="0"/>
        </w:rPr>
        <w:t>the selected outcome measures, the risk</w:t>
      </w:r>
      <w:r w:rsidR="00427468">
        <w:rPr>
          <w:kern w:val="0"/>
        </w:rPr>
        <w:t xml:space="preserve"> of </w:t>
      </w:r>
      <w:r>
        <w:rPr>
          <w:kern w:val="0"/>
        </w:rPr>
        <w:t>performance</w:t>
      </w:r>
      <w:r w:rsidR="005853A9">
        <w:rPr>
          <w:kern w:val="0"/>
        </w:rPr>
        <w:t xml:space="preserve"> and </w:t>
      </w:r>
      <w:r>
        <w:rPr>
          <w:kern w:val="0"/>
        </w:rPr>
        <w:t>detection bias are high</w:t>
      </w:r>
      <w:r w:rsidR="00A37C1D">
        <w:rPr>
          <w:kern w:val="0"/>
        </w:rPr>
        <w:t>. The</w:t>
      </w:r>
      <w:r>
        <w:rPr>
          <w:kern w:val="0"/>
        </w:rPr>
        <w:t>re is limited generalizability from the studies as they were all conducted in the US; they focused mainly on children aged 7 to 12,</w:t>
      </w:r>
      <w:r w:rsidR="005853A9">
        <w:rPr>
          <w:kern w:val="0"/>
        </w:rPr>
        <w:t xml:space="preserve"> and </w:t>
      </w:r>
      <w:r>
        <w:rPr>
          <w:kern w:val="0"/>
        </w:rPr>
        <w:t>the participants were all</w:t>
      </w:r>
      <w:r w:rsidR="00427468">
        <w:rPr>
          <w:kern w:val="0"/>
        </w:rPr>
        <w:t xml:space="preserve"> of </w:t>
      </w:r>
      <w:r>
        <w:rPr>
          <w:kern w:val="0"/>
        </w:rPr>
        <w:t>average or above average intelligence. Authors</w:t>
      </w:r>
      <w:r w:rsidR="0071223E">
        <w:rPr>
          <w:kern w:val="0"/>
        </w:rPr>
        <w:t>’</w:t>
      </w:r>
      <w:r>
        <w:rPr>
          <w:kern w:val="0"/>
        </w:rPr>
        <w:t xml:space="preserve"> conclusions There is some evidence that social skills groups can improve social competence for some children</w:t>
      </w:r>
      <w:r w:rsidR="005853A9">
        <w:rPr>
          <w:kern w:val="0"/>
        </w:rPr>
        <w:t xml:space="preserve"> and </w:t>
      </w:r>
      <w:r>
        <w:rPr>
          <w:kern w:val="0"/>
        </w:rPr>
        <w:t>adolescents with ASD. More research is needed to draw more robust conclusions, especially with respect to improvements in quality</w:t>
      </w:r>
      <w:r w:rsidR="00427468">
        <w:rPr>
          <w:kern w:val="0"/>
        </w:rPr>
        <w:t xml:space="preserve"> of </w:t>
      </w:r>
      <w:r>
        <w:rPr>
          <w:kern w:val="0"/>
        </w:rPr>
        <w:t>life.</w:t>
      </w:r>
    </w:p>
    <w:p w:rsidR="00365DE4" w:rsidRDefault="00365DE4" w:rsidP="00365DE4">
      <w:pPr>
        <w:pStyle w:val="a3"/>
        <w:rPr>
          <w:kern w:val="0"/>
        </w:rPr>
      </w:pPr>
      <w:r>
        <w:rPr>
          <w:kern w:val="0"/>
        </w:rPr>
        <w:t xml:space="preserve">Keywords: Adolescents, Adults, Age, Aged, Analysis, Asperger-Syndrome, Authors, Bias, Child, Children, Citation, Collection, Communication, Competence, Confidence, Control, Control Groups, Criteria, Data, Databases, Depression, Effectiveness, Effects, Efficacy, Events, Evidence, Feature, First, High-Functioning Autism, Individuals, Interaction, Interval, Intervention, Interventions, Life, </w:t>
      </w:r>
      <w:r w:rsidR="00D5664A">
        <w:rPr>
          <w:kern w:val="0"/>
        </w:rPr>
        <w:t>MEDLINE</w:t>
      </w:r>
      <w:r>
        <w:rPr>
          <w:kern w:val="0"/>
        </w:rPr>
        <w:t>, Meta-Analysis, Metaanalysis, Methods, Outcome, Outcome Measures, Outcomes, P, Papers, Performance, Population, Practice, Program, Psycinfo, Quality, Quality Of, Quality</w:t>
      </w:r>
      <w:r w:rsidR="00427468">
        <w:rPr>
          <w:kern w:val="0"/>
        </w:rPr>
        <w:t xml:space="preserve"> of </w:t>
      </w:r>
      <w:r>
        <w:rPr>
          <w:kern w:val="0"/>
        </w:rPr>
        <w:t>Life, Reference, Reference Lists, Research, Review, Risk, Science, Science Citation Index, Search, Small, Social, Social Science Citation Index, Treatment, Understanding, US</w:t>
      </w:r>
    </w:p>
    <w:p w:rsidR="00365DE4" w:rsidRDefault="00365DE4" w:rsidP="00365DE4">
      <w:pPr>
        <w:pStyle w:val="a3"/>
        <w:rPr>
          <w:kern w:val="0"/>
        </w:rPr>
      </w:pPr>
      <w:r>
        <w:rPr>
          <w:kern w:val="0"/>
        </w:rPr>
        <w:t>? Irving, G.J., Holden, J., Yang, R.R.</w:t>
      </w:r>
      <w:r w:rsidR="005853A9">
        <w:rPr>
          <w:kern w:val="0"/>
        </w:rPr>
        <w:t xml:space="preserve"> and </w:t>
      </w:r>
      <w:r>
        <w:rPr>
          <w:kern w:val="0"/>
        </w:rPr>
        <w:t xml:space="preserve">Pope, D. (2012), Hepatitis A immunisation in persons not previously exposed to hepatitis 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CD009051.</w:t>
      </w:r>
    </w:p>
    <w:p w:rsidR="00365DE4" w:rsidRDefault="00365DE4" w:rsidP="00365DE4">
      <w:pPr>
        <w:pStyle w:val="a3"/>
        <w:rPr>
          <w:kern w:val="2"/>
        </w:rPr>
      </w:pPr>
      <w:r>
        <w:t xml:space="preserve">Full Text: </w:t>
      </w:r>
      <w:hyperlink r:id="rId760" w:history="1">
        <w:r>
          <w:rPr>
            <w:rStyle w:val="a5"/>
          </w:rPr>
          <w:t>2012\Coc Dat Sys Rev2012, CD009051.pdf</w:t>
        </w:r>
      </w:hyperlink>
    </w:p>
    <w:p w:rsidR="00365DE4" w:rsidRDefault="00365DE4" w:rsidP="00365DE4">
      <w:pPr>
        <w:pStyle w:val="a3"/>
        <w:rPr>
          <w:kern w:val="0"/>
        </w:rPr>
      </w:pPr>
      <w:r>
        <w:rPr>
          <w:kern w:val="0"/>
        </w:rPr>
        <w:t>Abstract: Background In many parts</w:t>
      </w:r>
      <w:r w:rsidR="00427468">
        <w:rPr>
          <w:kern w:val="0"/>
        </w:rPr>
        <w:t xml:space="preserve"> of </w:t>
      </w:r>
      <w:r>
        <w:rPr>
          <w:kern w:val="0"/>
        </w:rPr>
        <w:t>the world, hepatitis A infection represents a significant cause</w:t>
      </w:r>
      <w:r w:rsidR="00427468">
        <w:rPr>
          <w:kern w:val="0"/>
        </w:rPr>
        <w:t xml:space="preserve"> of </w:t>
      </w:r>
      <w:r>
        <w:rPr>
          <w:kern w:val="0"/>
        </w:rPr>
        <w:t>morbidity</w:t>
      </w:r>
      <w:r w:rsidR="005853A9">
        <w:rPr>
          <w:kern w:val="0"/>
        </w:rPr>
        <w:t xml:space="preserve"> and </w:t>
      </w:r>
      <w:r>
        <w:rPr>
          <w:kern w:val="0"/>
        </w:rPr>
        <w:t>socio-economic loss. Whilst hepatitis A vaccines have the potential to prevent disease, the degree</w:t>
      </w:r>
      <w:r w:rsidR="00427468">
        <w:rPr>
          <w:kern w:val="0"/>
        </w:rPr>
        <w:t xml:space="preserve"> of </w:t>
      </w:r>
      <w:r>
        <w:rPr>
          <w:kern w:val="0"/>
        </w:rPr>
        <w:t>protection afforded against clinical outcomes</w:t>
      </w:r>
      <w:r w:rsidR="005853A9">
        <w:rPr>
          <w:kern w:val="0"/>
        </w:rPr>
        <w:t xml:space="preserve"> and </w:t>
      </w:r>
      <w:r>
        <w:rPr>
          <w:kern w:val="0"/>
        </w:rPr>
        <w:t>within different populations remains uncertain</w:t>
      </w:r>
      <w:r w:rsidR="00A37C1D">
        <w:rPr>
          <w:kern w:val="0"/>
        </w:rPr>
        <w:t>. The</w:t>
      </w:r>
      <w:r>
        <w:rPr>
          <w:kern w:val="0"/>
        </w:rPr>
        <w:t>re are two types</w:t>
      </w:r>
      <w:r w:rsidR="00427468">
        <w:rPr>
          <w:kern w:val="0"/>
        </w:rPr>
        <w:t xml:space="preserve"> of </w:t>
      </w:r>
      <w:r>
        <w:rPr>
          <w:kern w:val="0"/>
        </w:rPr>
        <w:t>hepatitis A virus (HAV) vaccine, inactivated</w:t>
      </w:r>
      <w:r w:rsidR="005853A9">
        <w:rPr>
          <w:kern w:val="0"/>
        </w:rPr>
        <w:t xml:space="preserve"> and </w:t>
      </w:r>
      <w:r>
        <w:rPr>
          <w:kern w:val="0"/>
        </w:rPr>
        <w:t>live attenuated. It is important to determine the efficacy</w:t>
      </w:r>
      <w:r w:rsidR="005853A9">
        <w:rPr>
          <w:kern w:val="0"/>
        </w:rPr>
        <w:t xml:space="preserve"> and </w:t>
      </w:r>
      <w:r>
        <w:rPr>
          <w:kern w:val="0"/>
        </w:rPr>
        <w:t>safety for both vaccine types. Objectives To determine the clinical protective efficacy, sero-protective efficacy,</w:t>
      </w:r>
      <w:r w:rsidR="005853A9">
        <w:rPr>
          <w:kern w:val="0"/>
        </w:rPr>
        <w:t xml:space="preserve"> and </w:t>
      </w:r>
      <w:r>
        <w:rPr>
          <w:kern w:val="0"/>
        </w:rPr>
        <w:t>safety</w:t>
      </w:r>
      <w:r w:rsidR="005853A9">
        <w:rPr>
          <w:kern w:val="0"/>
        </w:rPr>
        <w:t xml:space="preserve"> and </w:t>
      </w:r>
      <w:r>
        <w:rPr>
          <w:kern w:val="0"/>
        </w:rPr>
        <w:t>harms</w:t>
      </w:r>
      <w:r w:rsidR="00427468">
        <w:rPr>
          <w:kern w:val="0"/>
        </w:rPr>
        <w:t xml:space="preserve"> of </w:t>
      </w:r>
      <w:r>
        <w:rPr>
          <w:kern w:val="0"/>
        </w:rPr>
        <w:t>hepatitis A vaccination in persons not previously exposed to hepatitis A.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China National Knowledge Infrastructure (CNKI) up to November 2011. Selection criteria Randomised clinical trials comparing HAV vaccine with placebo, no intervention, or appropriate control vaccines in participants</w:t>
      </w:r>
      <w:r w:rsidR="00427468">
        <w:rPr>
          <w:kern w:val="0"/>
        </w:rPr>
        <w:t xml:space="preserve"> of </w:t>
      </w:r>
      <w:r>
        <w:rPr>
          <w:kern w:val="0"/>
        </w:rPr>
        <w:t>all ages. Data collection</w:t>
      </w:r>
      <w:r w:rsidR="005853A9">
        <w:rPr>
          <w:kern w:val="0"/>
        </w:rPr>
        <w:t xml:space="preserve"> and </w:t>
      </w:r>
      <w:r>
        <w:rPr>
          <w:kern w:val="0"/>
        </w:rPr>
        <w:t>analysis Data extraction</w:t>
      </w:r>
      <w:r w:rsidR="005853A9">
        <w:rPr>
          <w:kern w:val="0"/>
        </w:rPr>
        <w:t xml:space="preserve"> and </w:t>
      </w:r>
      <w:r>
        <w:rPr>
          <w:kern w:val="0"/>
        </w:rPr>
        <w:t>risk</w:t>
      </w:r>
      <w:r w:rsidR="00427468">
        <w:rPr>
          <w:kern w:val="0"/>
        </w:rPr>
        <w:t xml:space="preserve"> of </w:t>
      </w:r>
      <w:r>
        <w:rPr>
          <w:kern w:val="0"/>
        </w:rPr>
        <w:t>bias assessment were undertaken by two authors</w:t>
      </w:r>
      <w:r w:rsidR="005853A9">
        <w:rPr>
          <w:kern w:val="0"/>
        </w:rPr>
        <w:t xml:space="preserve"> and </w:t>
      </w:r>
      <w:r>
        <w:rPr>
          <w:kern w:val="0"/>
        </w:rPr>
        <w:t>verified by a third author. Where required, authors contacted investigators to obtain missing data</w:t>
      </w:r>
      <w:r w:rsidR="00A37C1D">
        <w:rPr>
          <w:kern w:val="0"/>
        </w:rPr>
        <w:t>. The</w:t>
      </w:r>
      <w:r>
        <w:rPr>
          <w:kern w:val="0"/>
        </w:rPr>
        <w:t xml:space="preserve"> primary outcome was the occurrence</w:t>
      </w:r>
      <w:r w:rsidR="00427468">
        <w:rPr>
          <w:kern w:val="0"/>
        </w:rPr>
        <w:t xml:space="preserve"> of </w:t>
      </w:r>
      <w:r>
        <w:rPr>
          <w:kern w:val="0"/>
        </w:rPr>
        <w:lastRenderedPageBreak/>
        <w:t>clinically apparent hepatitis A (infectious hepatitis)</w:t>
      </w:r>
      <w:r w:rsidR="00A37C1D">
        <w:rPr>
          <w:kern w:val="0"/>
        </w:rPr>
        <w:t>. The</w:t>
      </w:r>
      <w:r>
        <w:rPr>
          <w:kern w:val="0"/>
        </w:rPr>
        <w:t xml:space="preserve"> secondary outcomes were lack</w:t>
      </w:r>
      <w:r w:rsidR="00427468">
        <w:rPr>
          <w:kern w:val="0"/>
        </w:rPr>
        <w:t xml:space="preserve"> of </w:t>
      </w:r>
      <w:r>
        <w:rPr>
          <w:kern w:val="0"/>
        </w:rPr>
        <w:t>sero-protective anti-HAV immunoglobulin G (IgG),</w:t>
      </w:r>
      <w:r w:rsidR="005853A9">
        <w:rPr>
          <w:kern w:val="0"/>
        </w:rPr>
        <w:t xml:space="preserve"> and </w:t>
      </w:r>
      <w:r>
        <w:rPr>
          <w:kern w:val="0"/>
        </w:rPr>
        <w:t>number</w:t>
      </w:r>
      <w:r w:rsidR="005853A9">
        <w:rPr>
          <w:kern w:val="0"/>
        </w:rPr>
        <w:t xml:space="preserve"> and </w:t>
      </w:r>
      <w:r>
        <w:rPr>
          <w:kern w:val="0"/>
        </w:rPr>
        <w:t>types</w:t>
      </w:r>
      <w:r w:rsidR="00427468">
        <w:rPr>
          <w:kern w:val="0"/>
        </w:rPr>
        <w:t xml:space="preserve"> of </w:t>
      </w:r>
      <w:r>
        <w:rPr>
          <w:kern w:val="0"/>
        </w:rPr>
        <w:t>adverse events. Results were presented as relative risks (RR) with 95% confidence intervals (CI). Dichotomous outcomes were reported as risk ratio (RR) with 95% confidence interval (CI), using intention-to-treat analysis. We conducted assessment</w:t>
      </w:r>
      <w:r w:rsidR="00427468">
        <w:rPr>
          <w:kern w:val="0"/>
        </w:rPr>
        <w:t xml:space="preserve"> of </w:t>
      </w:r>
      <w:r>
        <w:rPr>
          <w:kern w:val="0"/>
        </w:rPr>
        <w:t>risk</w:t>
      </w:r>
      <w:r w:rsidR="00427468">
        <w:rPr>
          <w:kern w:val="0"/>
        </w:rPr>
        <w:t xml:space="preserve"> of </w:t>
      </w:r>
      <w:r>
        <w:rPr>
          <w:kern w:val="0"/>
        </w:rPr>
        <w:t>bias to evaluate the risk</w:t>
      </w:r>
      <w:r w:rsidR="00427468">
        <w:rPr>
          <w:kern w:val="0"/>
        </w:rPr>
        <w:t xml:space="preserve"> of </w:t>
      </w:r>
      <w:r>
        <w:rPr>
          <w:kern w:val="0"/>
        </w:rPr>
        <w:t>systematic errors (bias)</w:t>
      </w:r>
      <w:r w:rsidR="005853A9">
        <w:rPr>
          <w:kern w:val="0"/>
        </w:rPr>
        <w:t xml:space="preserve"> and </w:t>
      </w:r>
      <w:r>
        <w:rPr>
          <w:kern w:val="0"/>
        </w:rPr>
        <w:t>trial sequential analyses to estimate the risk</w:t>
      </w:r>
      <w:r w:rsidR="00427468">
        <w:rPr>
          <w:kern w:val="0"/>
        </w:rPr>
        <w:t xml:space="preserve"> of </w:t>
      </w:r>
      <w:r>
        <w:rPr>
          <w:kern w:val="0"/>
        </w:rPr>
        <w:t>random errors (the play</w:t>
      </w:r>
      <w:r w:rsidR="00427468">
        <w:rPr>
          <w:kern w:val="0"/>
        </w:rPr>
        <w:t xml:space="preserve"> of </w:t>
      </w:r>
      <w:r>
        <w:rPr>
          <w:kern w:val="0"/>
        </w:rPr>
        <w:t>chance). Main results We included a total</w:t>
      </w:r>
      <w:r w:rsidR="00427468">
        <w:rPr>
          <w:kern w:val="0"/>
        </w:rPr>
        <w:t xml:space="preserve"> of </w:t>
      </w:r>
      <w:r>
        <w:rPr>
          <w:kern w:val="0"/>
        </w:rPr>
        <w:t>11 clinical studies,</w:t>
      </w:r>
      <w:r w:rsidR="00427468">
        <w:rPr>
          <w:kern w:val="0"/>
        </w:rPr>
        <w:t xml:space="preserve"> of </w:t>
      </w:r>
      <w:r>
        <w:rPr>
          <w:kern w:val="0"/>
        </w:rPr>
        <w:t>which only three were considered to have low risk</w:t>
      </w:r>
      <w:r w:rsidR="00427468">
        <w:rPr>
          <w:kern w:val="0"/>
        </w:rPr>
        <w:t xml:space="preserve"> of </w:t>
      </w:r>
      <w:r>
        <w:rPr>
          <w:kern w:val="0"/>
        </w:rPr>
        <w:t>bias; two were quasi-randomised studies in which we only addressed harms. Nine randomised trials with 732,380 participants addressed the primary outcome</w:t>
      </w:r>
      <w:r w:rsidR="00427468">
        <w:rPr>
          <w:kern w:val="0"/>
        </w:rPr>
        <w:t xml:space="preserve"> of </w:t>
      </w:r>
      <w:r>
        <w:rPr>
          <w:kern w:val="0"/>
        </w:rPr>
        <w:t>clinically confirmed hepatitis A.</w:t>
      </w:r>
      <w:r w:rsidR="00427468">
        <w:rPr>
          <w:kern w:val="0"/>
        </w:rPr>
        <w:t xml:space="preserve"> of </w:t>
      </w:r>
      <w:r>
        <w:rPr>
          <w:kern w:val="0"/>
        </w:rPr>
        <w:t>these, four trials assessed the inactivated hepatitis A vaccine (41,690 participants)</w:t>
      </w:r>
      <w:r w:rsidR="005853A9">
        <w:rPr>
          <w:kern w:val="0"/>
        </w:rPr>
        <w:t xml:space="preserve"> and </w:t>
      </w:r>
      <w:r>
        <w:rPr>
          <w:kern w:val="0"/>
        </w:rPr>
        <w:t>five trials assessed the live attenuated hepatitis A vaccine (690,690 participants). In the three randomised trials with low risk</w:t>
      </w:r>
      <w:r w:rsidR="00427468">
        <w:rPr>
          <w:kern w:val="0"/>
        </w:rPr>
        <w:t xml:space="preserve"> of </w:t>
      </w:r>
      <w:r>
        <w:rPr>
          <w:kern w:val="0"/>
        </w:rPr>
        <w:t>bias (all assessing inactivated vaccine), clinically apparent hepatitis A occurred in 9/20,684 (0.04%) versus 92/20,746 (0.44%) participants in the HAV vaccine</w:t>
      </w:r>
      <w:r w:rsidR="005853A9">
        <w:rPr>
          <w:kern w:val="0"/>
        </w:rPr>
        <w:t xml:space="preserve"> and </w:t>
      </w:r>
      <w:r>
        <w:rPr>
          <w:kern w:val="0"/>
        </w:rPr>
        <w:t>control groups respectively (RR 0.09, 95% CI 0.03 to 0.30). In all nine randomised trials, clinically apparent hepatitis A occurred in 31/375,726 (0.01%) versus 505/356,654 (0.18%) participants in the HAV vaccine</w:t>
      </w:r>
      <w:r w:rsidR="005853A9">
        <w:rPr>
          <w:kern w:val="0"/>
        </w:rPr>
        <w:t xml:space="preserve"> and </w:t>
      </w:r>
      <w:r>
        <w:rPr>
          <w:kern w:val="0"/>
        </w:rPr>
        <w:t>control groups respectively (RR 0.09, 95% CI 0.05 to 0.17)</w:t>
      </w:r>
      <w:r w:rsidR="00A37C1D">
        <w:rPr>
          <w:kern w:val="0"/>
        </w:rPr>
        <w:t>. The</w:t>
      </w:r>
      <w:r>
        <w:rPr>
          <w:kern w:val="0"/>
        </w:rPr>
        <w:t>se results were supported by trial sequential analyses. Subgroup analyses confirmed the clinical effectiveness</w:t>
      </w:r>
      <w:r w:rsidR="00427468">
        <w:rPr>
          <w:kern w:val="0"/>
        </w:rPr>
        <w:t xml:space="preserve"> of </w:t>
      </w:r>
      <w:r>
        <w:rPr>
          <w:kern w:val="0"/>
        </w:rPr>
        <w:t>both inactivated hepatitis A vaccines (RR 0.09, 95% CI 0.03 to 0.30)</w:t>
      </w:r>
      <w:r w:rsidR="005853A9">
        <w:rPr>
          <w:kern w:val="0"/>
        </w:rPr>
        <w:t xml:space="preserve"> and </w:t>
      </w:r>
      <w:r>
        <w:rPr>
          <w:kern w:val="0"/>
        </w:rPr>
        <w:t>live attenuated hepatitis A vaccines (RR 0.07, 95% CI 0.03 to 0.17) on clinically confirmed hepatitis A. Inactivated hepatitis A vaccines had a significant effect on reducing the lack</w:t>
      </w:r>
      <w:r w:rsidR="00427468">
        <w:rPr>
          <w:kern w:val="0"/>
        </w:rPr>
        <w:t xml:space="preserve"> of </w:t>
      </w:r>
      <w:r>
        <w:rPr>
          <w:kern w:val="0"/>
        </w:rPr>
        <w:t>sero-protection (less than 20 mIU/L) (RR 0.01, 95% CI 0.00 to 0.03). No trial reported on a sero-protective threshold less than 10 mIU/L</w:t>
      </w:r>
      <w:r w:rsidR="00A37C1D">
        <w:rPr>
          <w:kern w:val="0"/>
        </w:rPr>
        <w:t>. The</w:t>
      </w:r>
      <w:r>
        <w:rPr>
          <w:kern w:val="0"/>
        </w:rPr>
        <w:t xml:space="preserve"> risk</w:t>
      </w:r>
      <w:r w:rsidR="00427468">
        <w:rPr>
          <w:kern w:val="0"/>
        </w:rPr>
        <w:t xml:space="preserve"> of </w:t>
      </w:r>
      <w:r>
        <w:rPr>
          <w:kern w:val="0"/>
        </w:rPr>
        <w:t>both non-serious local</w:t>
      </w:r>
      <w:r w:rsidR="005853A9">
        <w:rPr>
          <w:kern w:val="0"/>
        </w:rPr>
        <w:t xml:space="preserve"> and </w:t>
      </w:r>
      <w:r>
        <w:rPr>
          <w:kern w:val="0"/>
        </w:rPr>
        <w:t>systemic adverse events was comparable to placebo for the inactivated HAV vaccines</w:t>
      </w:r>
      <w:r w:rsidR="00A37C1D">
        <w:rPr>
          <w:kern w:val="0"/>
        </w:rPr>
        <w:t>. The</w:t>
      </w:r>
      <w:r>
        <w:rPr>
          <w:kern w:val="0"/>
        </w:rPr>
        <w:t>re were insufficient data to draw conclusions on adverse events for the live attenuated HAV vaccine. Authors</w:t>
      </w:r>
      <w:r w:rsidR="0071223E">
        <w:rPr>
          <w:kern w:val="0"/>
        </w:rPr>
        <w:t>’</w:t>
      </w:r>
      <w:r>
        <w:rPr>
          <w:kern w:val="0"/>
        </w:rPr>
        <w:t xml:space="preserve"> conclusions Hepatitis A vaccines are effective for pre-exposure prophylaxis</w:t>
      </w:r>
      <w:r w:rsidR="00427468">
        <w:rPr>
          <w:kern w:val="0"/>
        </w:rPr>
        <w:t xml:space="preserve"> of </w:t>
      </w:r>
      <w:r>
        <w:rPr>
          <w:kern w:val="0"/>
        </w:rPr>
        <w:t>hepatitis A in susceptible individuals. This review demonstrated significant protection for at least two years with the inactivated HAV vaccine</w:t>
      </w:r>
      <w:r w:rsidR="005853A9">
        <w:rPr>
          <w:kern w:val="0"/>
        </w:rPr>
        <w:t xml:space="preserve"> and </w:t>
      </w:r>
      <w:r>
        <w:rPr>
          <w:kern w:val="0"/>
        </w:rPr>
        <w:t>at least five years with the live attenuated HAV vaccine</w:t>
      </w:r>
      <w:r w:rsidR="00A37C1D">
        <w:rPr>
          <w:kern w:val="0"/>
        </w:rPr>
        <w:t>. The</w:t>
      </w:r>
      <w:r>
        <w:rPr>
          <w:kern w:val="0"/>
        </w:rPr>
        <w:t>re was evidence to support the safety</w:t>
      </w:r>
      <w:r w:rsidR="00427468">
        <w:rPr>
          <w:kern w:val="0"/>
        </w:rPr>
        <w:t xml:space="preserve"> of </w:t>
      </w:r>
      <w:r>
        <w:rPr>
          <w:kern w:val="0"/>
        </w:rPr>
        <w:t>the inactivated hepatitis A vaccine. More high quality evidence is required to determine the safety</w:t>
      </w:r>
      <w:r w:rsidR="00427468">
        <w:rPr>
          <w:kern w:val="0"/>
        </w:rPr>
        <w:t xml:space="preserve"> of </w:t>
      </w:r>
      <w:r>
        <w:rPr>
          <w:kern w:val="0"/>
        </w:rPr>
        <w:t>live attenuated vaccines.</w:t>
      </w:r>
    </w:p>
    <w:p w:rsidR="00365DE4" w:rsidRDefault="00365DE4" w:rsidP="00365DE4">
      <w:pPr>
        <w:pStyle w:val="a3"/>
        <w:rPr>
          <w:kern w:val="0"/>
        </w:rPr>
      </w:pPr>
      <w:r>
        <w:rPr>
          <w:kern w:val="0"/>
        </w:rPr>
        <w:t xml:space="preserve">Keywords: Analyses, Analysis, Assessing, Assessment, Authors, B-Vaccine, Bias, China, Chronic Liver-Disease, Citation, Clinical, Clinical Outcomes, Clinical Studies, Clinical Trials, Collection, Confidence, Confidence Intervals, Control, Control Groups, Corresponding Monovalent Vaccines, Criteria, Data, Different Dose Levels, Disease, Effectiveness, Efficacy, Errors, Events, Evidence, Extraction, Hav, </w:t>
      </w:r>
      <w:r>
        <w:rPr>
          <w:kern w:val="0"/>
        </w:rPr>
        <w:lastRenderedPageBreak/>
        <w:t xml:space="preserve">Hepatitis, Igg, Immune-Response, Immunoglobulin, Inactivated Hepatitis, Infection, Interval, Intervals, Intervention, Local, Low Risk, </w:t>
      </w:r>
      <w:r w:rsidR="00D5664A">
        <w:rPr>
          <w:kern w:val="0"/>
        </w:rPr>
        <w:t>MEDLINE</w:t>
      </w:r>
      <w:r>
        <w:rPr>
          <w:kern w:val="0"/>
        </w:rPr>
        <w:t>, Methods, Morbidity, Outcome, Outcomes, Placebo, Populations, Potential, Primary, Prophylaxis, Protection, Quality, Randomised, Randomized Controlled-Trial, Review, Risk, Risks, Safety, Science, Science Citation Index, Science Citation Index Expanded, Search, Support, Term Antibody Persistence, Threshold, Trial, Trial Sequential-Analysis, Vaccination, Vaccine, Vaccines, World, Young-Adults</w:t>
      </w:r>
    </w:p>
    <w:p w:rsidR="00365DE4" w:rsidRDefault="00365DE4" w:rsidP="00365DE4">
      <w:pPr>
        <w:pStyle w:val="a3"/>
        <w:rPr>
          <w:kern w:val="0"/>
        </w:rPr>
      </w:pPr>
      <w:r>
        <w:rPr>
          <w:kern w:val="0"/>
        </w:rPr>
        <w:t>? Bunn, F.</w:t>
      </w:r>
      <w:r w:rsidR="005853A9">
        <w:rPr>
          <w:kern w:val="0"/>
        </w:rPr>
        <w:t xml:space="preserve"> and </w:t>
      </w:r>
      <w:r>
        <w:rPr>
          <w:kern w:val="0"/>
        </w:rPr>
        <w:t xml:space="preserve">Trivedi, D. (2012), Colloid solutions for fluid resuscitation.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CD001319.</w:t>
      </w:r>
    </w:p>
    <w:p w:rsidR="00365DE4" w:rsidRDefault="00365DE4" w:rsidP="00365DE4">
      <w:pPr>
        <w:pStyle w:val="a3"/>
        <w:rPr>
          <w:kern w:val="2"/>
        </w:rPr>
      </w:pPr>
      <w:r>
        <w:t xml:space="preserve">Full Text: </w:t>
      </w:r>
      <w:hyperlink r:id="rId761" w:history="1">
        <w:r>
          <w:rPr>
            <w:rStyle w:val="a5"/>
          </w:rPr>
          <w:t>2012\Coc Dat Sys Rev2012, CD001319.pdf</w:t>
        </w:r>
      </w:hyperlink>
    </w:p>
    <w:p w:rsidR="00365DE4" w:rsidRDefault="00365DE4" w:rsidP="00365DE4">
      <w:pPr>
        <w:pStyle w:val="a3"/>
        <w:rPr>
          <w:kern w:val="0"/>
        </w:rPr>
      </w:pPr>
      <w:r>
        <w:rPr>
          <w:kern w:val="0"/>
        </w:rPr>
        <w:t>Abstract: Background Colloids are widely used in the replacement</w:t>
      </w:r>
      <w:r w:rsidR="00427468">
        <w:rPr>
          <w:kern w:val="0"/>
        </w:rPr>
        <w:t xml:space="preserve"> of </w:t>
      </w:r>
      <w:r>
        <w:rPr>
          <w:kern w:val="0"/>
        </w:rPr>
        <w:t>fluid volume. However, doubts remain as to which colloid is best. Different colloids vary in their molecular weight</w:t>
      </w:r>
      <w:r w:rsidR="005853A9">
        <w:rPr>
          <w:kern w:val="0"/>
        </w:rPr>
        <w:t xml:space="preserve"> and </w:t>
      </w:r>
      <w:r>
        <w:rPr>
          <w:kern w:val="0"/>
        </w:rPr>
        <w:t>therefore in the length</w:t>
      </w:r>
      <w:r w:rsidR="00427468">
        <w:rPr>
          <w:kern w:val="0"/>
        </w:rPr>
        <w:t xml:space="preserve"> of </w:t>
      </w:r>
      <w:r>
        <w:rPr>
          <w:kern w:val="0"/>
        </w:rPr>
        <w:t>time they remain in the circulatory system. Because</w:t>
      </w:r>
      <w:r w:rsidR="00427468">
        <w:rPr>
          <w:kern w:val="0"/>
        </w:rPr>
        <w:t xml:space="preserve"> of </w:t>
      </w:r>
      <w:r>
        <w:rPr>
          <w:kern w:val="0"/>
        </w:rPr>
        <w:t>this,</w:t>
      </w:r>
      <w:r w:rsidR="005853A9">
        <w:rPr>
          <w:kern w:val="0"/>
        </w:rPr>
        <w:t xml:space="preserve"> and </w:t>
      </w:r>
      <w:r>
        <w:rPr>
          <w:kern w:val="0"/>
        </w:rPr>
        <w:t>their other characteristics, they may differ in their safety</w:t>
      </w:r>
      <w:r w:rsidR="005853A9">
        <w:rPr>
          <w:kern w:val="0"/>
        </w:rPr>
        <w:t xml:space="preserve"> and </w:t>
      </w:r>
      <w:r>
        <w:rPr>
          <w:kern w:val="0"/>
        </w:rPr>
        <w:t>efficacy. Objectives To compare the effects</w:t>
      </w:r>
      <w:r w:rsidR="00427468">
        <w:rPr>
          <w:kern w:val="0"/>
        </w:rPr>
        <w:t xml:space="preserve"> of </w:t>
      </w:r>
      <w:r>
        <w:rPr>
          <w:kern w:val="0"/>
        </w:rPr>
        <w:t>different colloid solutions in patients thought to need volume replacement. Search methods We searched the Cochrane Injuries Specialised Register (searched 1 December 2011), the Cochrane Central Register</w:t>
      </w:r>
      <w:r w:rsidR="00427468">
        <w:rPr>
          <w:kern w:val="0"/>
        </w:rPr>
        <w:t xml:space="preserve"> of </w:t>
      </w:r>
      <w:r>
        <w:rPr>
          <w:kern w:val="0"/>
        </w:rPr>
        <w:t xml:space="preserve">Controlled Trials 2011, issue 4 (The Cochrane Library); </w:t>
      </w:r>
      <w:r w:rsidR="00D5664A">
        <w:rPr>
          <w:kern w:val="0"/>
        </w:rPr>
        <w:t>MEDLINE</w:t>
      </w:r>
      <w:r>
        <w:rPr>
          <w:kern w:val="0"/>
        </w:rPr>
        <w:t xml:space="preserve"> (Ovid) (1948 to November Week 3 2011); EMBASE (Ovid) (1974 to 2011 Week 47); ISI </w:t>
      </w:r>
      <w:r w:rsidR="00D5664A">
        <w:rPr>
          <w:kern w:val="0"/>
        </w:rPr>
        <w:t>Web</w:t>
      </w:r>
      <w:r w:rsidR="00427468">
        <w:rPr>
          <w:kern w:val="0"/>
        </w:rPr>
        <w:t xml:space="preserve"> of </w:t>
      </w:r>
      <w:r w:rsidR="00D5664A">
        <w:rPr>
          <w:kern w:val="0"/>
        </w:rPr>
        <w:t>Science</w:t>
      </w:r>
      <w:r>
        <w:rPr>
          <w:kern w:val="0"/>
        </w:rPr>
        <w:t xml:space="preserve">: Science Citation Index Expanded (1970 to 1 December 2011); ISI </w:t>
      </w:r>
      <w:r w:rsidR="00D5664A">
        <w:rPr>
          <w:kern w:val="0"/>
        </w:rPr>
        <w:t>Web</w:t>
      </w:r>
      <w:r w:rsidR="00427468">
        <w:rPr>
          <w:kern w:val="0"/>
        </w:rPr>
        <w:t xml:space="preserve"> of </w:t>
      </w:r>
      <w:r w:rsidR="00D5664A">
        <w:rPr>
          <w:kern w:val="0"/>
        </w:rPr>
        <w:t>Science</w:t>
      </w:r>
      <w:r>
        <w:rPr>
          <w:kern w:val="0"/>
        </w:rPr>
        <w:t>: Conference Proceedings Citation Index-Science (1990 to 1 December 2011); CINAHL (EBSCO) (1982 to 1 December 2011); National Research Register (2007, Issue 1)</w:t>
      </w:r>
      <w:r w:rsidR="005853A9">
        <w:rPr>
          <w:kern w:val="0"/>
        </w:rPr>
        <w:t xml:space="preserve"> and </w:t>
      </w:r>
      <w:r>
        <w:rPr>
          <w:kern w:val="0"/>
        </w:rPr>
        <w:t>PubMed (searched 1 December 2011). Bibliographies</w:t>
      </w:r>
      <w:r w:rsidR="00427468">
        <w:rPr>
          <w:kern w:val="0"/>
        </w:rPr>
        <w:t xml:space="preserve"> of </w:t>
      </w:r>
      <w:r>
        <w:rPr>
          <w:kern w:val="0"/>
        </w:rPr>
        <w:t>trials retrieved were searched,</w:t>
      </w:r>
      <w:r w:rsidR="005853A9">
        <w:rPr>
          <w:kern w:val="0"/>
        </w:rPr>
        <w:t xml:space="preserve"> and </w:t>
      </w:r>
      <w:r>
        <w:rPr>
          <w:kern w:val="0"/>
        </w:rPr>
        <w:t>for the initial version</w:t>
      </w:r>
      <w:r w:rsidR="00427468">
        <w:rPr>
          <w:kern w:val="0"/>
        </w:rPr>
        <w:t xml:space="preserve"> of </w:t>
      </w:r>
      <w:r>
        <w:rPr>
          <w:kern w:val="0"/>
        </w:rPr>
        <w:t>the review drug companies manufacturing colloids were contacted for information (1999). Selection criteria Randomised controlled trials comparing colloid solutions in critically ill</w:t>
      </w:r>
      <w:r w:rsidR="005853A9">
        <w:rPr>
          <w:kern w:val="0"/>
        </w:rPr>
        <w:t xml:space="preserve"> and </w:t>
      </w:r>
      <w:r>
        <w:rPr>
          <w:kern w:val="0"/>
        </w:rPr>
        <w:t>surgical patients thought to need volume replacement. Data collection</w:t>
      </w:r>
      <w:r w:rsidR="005853A9">
        <w:rPr>
          <w:kern w:val="0"/>
        </w:rPr>
        <w:t xml:space="preserve"> and </w:t>
      </w:r>
      <w:r>
        <w:rPr>
          <w:kern w:val="0"/>
        </w:rPr>
        <w:t>analysis Two review authors independently extracted the data</w:t>
      </w:r>
      <w:r w:rsidR="005853A9">
        <w:rPr>
          <w:kern w:val="0"/>
        </w:rPr>
        <w:t xml:space="preserve"> and </w:t>
      </w:r>
      <w:r>
        <w:rPr>
          <w:kern w:val="0"/>
        </w:rPr>
        <w:t>assessed the quality</w:t>
      </w:r>
      <w:r w:rsidR="00427468">
        <w:rPr>
          <w:kern w:val="0"/>
        </w:rPr>
        <w:t xml:space="preserve"> of </w:t>
      </w:r>
      <w:r>
        <w:rPr>
          <w:kern w:val="0"/>
        </w:rPr>
        <w:t>the trials</w:t>
      </w:r>
      <w:r w:rsidR="00A37C1D">
        <w:rPr>
          <w:kern w:val="0"/>
        </w:rPr>
        <w:t>. The</w:t>
      </w:r>
      <w:r>
        <w:rPr>
          <w:kern w:val="0"/>
        </w:rPr>
        <w:t xml:space="preserve"> outcomes sought were death, amount</w:t>
      </w:r>
      <w:r w:rsidR="00427468">
        <w:rPr>
          <w:kern w:val="0"/>
        </w:rPr>
        <w:t xml:space="preserve"> of </w:t>
      </w:r>
      <w:r>
        <w:rPr>
          <w:kern w:val="0"/>
        </w:rPr>
        <w:t>whole blood transfused,</w:t>
      </w:r>
      <w:r w:rsidR="005853A9">
        <w:rPr>
          <w:kern w:val="0"/>
        </w:rPr>
        <w:t xml:space="preserve"> and </w:t>
      </w:r>
      <w:r>
        <w:rPr>
          <w:kern w:val="0"/>
        </w:rPr>
        <w:t>incidence</w:t>
      </w:r>
      <w:r w:rsidR="00427468">
        <w:rPr>
          <w:kern w:val="0"/>
        </w:rPr>
        <w:t xml:space="preserve"> of </w:t>
      </w:r>
      <w:r>
        <w:rPr>
          <w:kern w:val="0"/>
        </w:rPr>
        <w:t>adverse reactions. Main results Eighty-six trials, with a total</w:t>
      </w:r>
      <w:r w:rsidR="00427468">
        <w:rPr>
          <w:kern w:val="0"/>
        </w:rPr>
        <w:t xml:space="preserve"> of </w:t>
      </w:r>
      <w:r>
        <w:rPr>
          <w:kern w:val="0"/>
        </w:rPr>
        <w:t>5,484 participants, met the inclusion criteria. Quality</w:t>
      </w:r>
      <w:r w:rsidR="00427468">
        <w:rPr>
          <w:kern w:val="0"/>
        </w:rPr>
        <w:t xml:space="preserve"> of </w:t>
      </w:r>
      <w:r>
        <w:rPr>
          <w:kern w:val="0"/>
        </w:rPr>
        <w:t>allocation concealment was judged to be adequate in 33 trials</w:t>
      </w:r>
      <w:r w:rsidR="005853A9">
        <w:rPr>
          <w:kern w:val="0"/>
        </w:rPr>
        <w:t xml:space="preserve"> and </w:t>
      </w:r>
      <w:r>
        <w:rPr>
          <w:kern w:val="0"/>
        </w:rPr>
        <w:t>poor or uncertain in the rest. Deaths were reported in 57 trials. For albumin or plasma protein fraction (PPF) versus hydroxyethyl starch (HES) 31 trials (n = 1719) reported mortality</w:t>
      </w:r>
      <w:r w:rsidR="00A37C1D">
        <w:rPr>
          <w:kern w:val="0"/>
        </w:rPr>
        <w:t>. The</w:t>
      </w:r>
      <w:r>
        <w:rPr>
          <w:kern w:val="0"/>
        </w:rPr>
        <w:t xml:space="preserve"> pooled relative risk (RR) was 1.06 (95% confidence interval (CI) 0.86 to 1.31). When the trials by Boldt were removed from the analysis the pooled RR was 0.90 (95% CI 0.68 to 1.20). For albumin or PPF versus gelatin, nine trials (n = 824) reported mortality</w:t>
      </w:r>
      <w:r w:rsidR="00A37C1D">
        <w:rPr>
          <w:kern w:val="0"/>
        </w:rPr>
        <w:t>. The</w:t>
      </w:r>
      <w:r>
        <w:rPr>
          <w:kern w:val="0"/>
        </w:rPr>
        <w:t xml:space="preserve"> RR was 0.89 (95% CI 0.65 to 1.21). Removing the study by Boldt from the analysis did not change the RR or CIs. For albumin or PPF </w:t>
      </w:r>
      <w:r>
        <w:rPr>
          <w:kern w:val="0"/>
        </w:rPr>
        <w:lastRenderedPageBreak/>
        <w:t>versus dextran four trials (n = 360) reported mortality</w:t>
      </w:r>
      <w:r w:rsidR="00A37C1D">
        <w:rPr>
          <w:kern w:val="0"/>
        </w:rPr>
        <w:t>. The</w:t>
      </w:r>
      <w:r>
        <w:rPr>
          <w:kern w:val="0"/>
        </w:rPr>
        <w:t xml:space="preserve"> RR was 3.75 (95% CI 0.42 to 33.09). For gelatin versus HES 22 trials (n = 1612) reported mortality</w:t>
      </w:r>
      <w:r w:rsidR="005853A9">
        <w:rPr>
          <w:kern w:val="0"/>
        </w:rPr>
        <w:t xml:space="preserve"> and </w:t>
      </w:r>
      <w:r>
        <w:rPr>
          <w:kern w:val="0"/>
        </w:rPr>
        <w:t>the RR was 1.02 (95% CI 0.84 to 1.26). When the trials by Boldt were removed from the analysis the pooled RR was 1.03 (95% CI 0.84 to 1.27). RR was not estimable in the gelatin versus dextran</w:t>
      </w:r>
      <w:r w:rsidR="005853A9">
        <w:rPr>
          <w:kern w:val="0"/>
        </w:rPr>
        <w:t xml:space="preserve"> and </w:t>
      </w:r>
      <w:r>
        <w:rPr>
          <w:kern w:val="0"/>
        </w:rPr>
        <w:t>HES versus dextran groups. Forty-one trials recorded the amount</w:t>
      </w:r>
      <w:r w:rsidR="00427468">
        <w:rPr>
          <w:kern w:val="0"/>
        </w:rPr>
        <w:t xml:space="preserve"> of </w:t>
      </w:r>
      <w:r>
        <w:rPr>
          <w:kern w:val="0"/>
        </w:rPr>
        <w:t>blood transfused; however, quantitative analysis was not possible due to skewness</w:t>
      </w:r>
      <w:r w:rsidR="005853A9">
        <w:rPr>
          <w:kern w:val="0"/>
        </w:rPr>
        <w:t xml:space="preserve"> and </w:t>
      </w:r>
      <w:r>
        <w:rPr>
          <w:kern w:val="0"/>
        </w:rPr>
        <w:t>variable reporting. Twenty-four trials recorded adverse reactions, with two studies reporting possible adverse reactions to gel</w:t>
      </w:r>
      <w:r w:rsidR="005853A9">
        <w:rPr>
          <w:kern w:val="0"/>
        </w:rPr>
        <w:t xml:space="preserve"> and </w:t>
      </w:r>
      <w:r>
        <w:rPr>
          <w:kern w:val="0"/>
        </w:rPr>
        <w:t>one to HES. Authors</w:t>
      </w:r>
      <w:r w:rsidR="0071223E">
        <w:rPr>
          <w:kern w:val="0"/>
        </w:rPr>
        <w:t>’</w:t>
      </w:r>
      <w:r>
        <w:rPr>
          <w:kern w:val="0"/>
        </w:rPr>
        <w:t xml:space="preserve"> conclusions From this review, there is no evidence that one colloid solution is more effective or safe than any other, although the CIs were wide</w:t>
      </w:r>
      <w:r w:rsidR="005853A9">
        <w:rPr>
          <w:kern w:val="0"/>
        </w:rPr>
        <w:t xml:space="preserve"> and </w:t>
      </w:r>
      <w:r>
        <w:rPr>
          <w:kern w:val="0"/>
        </w:rPr>
        <w:t>do not exclude clinically significant differences between colloids. Larger trials</w:t>
      </w:r>
      <w:r w:rsidR="00427468">
        <w:rPr>
          <w:kern w:val="0"/>
        </w:rPr>
        <w:t xml:space="preserve"> of </w:t>
      </w:r>
      <w:r>
        <w:rPr>
          <w:kern w:val="0"/>
        </w:rPr>
        <w:t>fluid therapy are needed if clinically significant differences in mortality are to be detected or excluded.</w:t>
      </w:r>
    </w:p>
    <w:p w:rsidR="00365DE4" w:rsidRDefault="00365DE4" w:rsidP="00365DE4">
      <w:pPr>
        <w:pStyle w:val="a3"/>
        <w:rPr>
          <w:kern w:val="0"/>
        </w:rPr>
      </w:pPr>
      <w:r>
        <w:rPr>
          <w:kern w:val="0"/>
        </w:rPr>
        <w:t>Keywords: 5-Percent Human Albumin, Acute Normovolemic Hemodilution, Albumin, Albumins [Therapeutic Use], Allocation, Analysis, Aortic-Aneurysm Surgery, Authors, Blood, Blood Proteins [Therapeutic Use], Cardiac-Surgery Patients, Characteristics, Citation, Collection, Colloid, Colloids, Colloids [Adverse Effects, Conference, Confidence, Criteria, Critical Illness [Therapy], Critically-Ill Patients, Data, Death, Dextran, Dextrans [Adverse Effects, Drug, Effects, Efficacy, Evidence, Fluid Therapy, Gel, Gelatin, Hetastarch [Therapeutic Use], Humans, Hydroxyethyl Starch Solution, Incidence, Information, Interval</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Length, Major Orthopedic-Surgery, Manufacturing, </w:t>
      </w:r>
      <w:r w:rsidR="00D5664A">
        <w:rPr>
          <w:kern w:val="0"/>
        </w:rPr>
        <w:t>MEDLINE</w:t>
      </w:r>
      <w:r>
        <w:rPr>
          <w:kern w:val="0"/>
        </w:rPr>
        <w:t xml:space="preserve">, Methods, Mortality, Outcomes, Patients, Plasma, Plasma Substitutes [Adverse Effects, Postoperative Volume Expansion, Protein, Pubmed, Quality, Quality Of, Quantitative Analysis, Randomized Controlled Trials As Topic, Randomized Controlled-Trial, Rehydration Solutions [Adverse Effects, Relative Risk, Reporting, Research, Resuscitation, Retracted Article.See, Review, Risk, Safety, Science, Science Citation Index, Science Citation Index Expanded, Search, Solution, Solutions, Starch, Therapeutic Use], Therapy, Version, Volume,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Jefferson, T., Rivetti, A., Di Pietrantonj, C., Demicheli, V.</w:t>
      </w:r>
      <w:r w:rsidR="005853A9">
        <w:rPr>
          <w:kern w:val="0"/>
        </w:rPr>
        <w:t xml:space="preserve"> and </w:t>
      </w:r>
      <w:r>
        <w:rPr>
          <w:kern w:val="0"/>
        </w:rPr>
        <w:t xml:space="preserve">Ferroni, E. (2012), Vaccines for preventing influenza in healthy children.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CD004879.</w:t>
      </w:r>
    </w:p>
    <w:p w:rsidR="00365DE4" w:rsidRDefault="00365DE4" w:rsidP="00365DE4">
      <w:pPr>
        <w:pStyle w:val="a3"/>
        <w:rPr>
          <w:kern w:val="2"/>
        </w:rPr>
      </w:pPr>
      <w:r>
        <w:t xml:space="preserve">Full Text: </w:t>
      </w:r>
      <w:hyperlink r:id="rId762" w:history="1">
        <w:r>
          <w:rPr>
            <w:rStyle w:val="a5"/>
          </w:rPr>
          <w:t>2012\Coc Dat Sys Rev2012, CD004879.pdf</w:t>
        </w:r>
      </w:hyperlink>
    </w:p>
    <w:p w:rsidR="00365DE4" w:rsidRDefault="00365DE4" w:rsidP="00365DE4">
      <w:pPr>
        <w:pStyle w:val="a3"/>
        <w:rPr>
          <w:kern w:val="0"/>
        </w:rPr>
      </w:pPr>
      <w:r>
        <w:rPr>
          <w:kern w:val="0"/>
        </w:rPr>
        <w:t>Abstract: Background The consequences</w:t>
      </w:r>
      <w:r w:rsidR="00427468">
        <w:rPr>
          <w:kern w:val="0"/>
        </w:rPr>
        <w:t xml:space="preserve"> of </w:t>
      </w:r>
      <w:r>
        <w:rPr>
          <w:kern w:val="0"/>
        </w:rPr>
        <w:t>influenza in children</w:t>
      </w:r>
      <w:r w:rsidR="005853A9">
        <w:rPr>
          <w:kern w:val="0"/>
        </w:rPr>
        <w:t xml:space="preserve"> and </w:t>
      </w:r>
      <w:r>
        <w:rPr>
          <w:kern w:val="0"/>
        </w:rPr>
        <w:t>adults are mainly absenteeism from school</w:t>
      </w:r>
      <w:r w:rsidR="005853A9">
        <w:rPr>
          <w:kern w:val="0"/>
        </w:rPr>
        <w:t xml:space="preserve"> and </w:t>
      </w:r>
      <w:r>
        <w:rPr>
          <w:kern w:val="0"/>
        </w:rPr>
        <w:t>work. However, the risk</w:t>
      </w:r>
      <w:r w:rsidR="00427468">
        <w:rPr>
          <w:kern w:val="0"/>
        </w:rPr>
        <w:t xml:space="preserve"> of </w:t>
      </w:r>
      <w:r>
        <w:rPr>
          <w:kern w:val="0"/>
        </w:rPr>
        <w:t>complications is greatest in children</w:t>
      </w:r>
      <w:r w:rsidR="005853A9">
        <w:rPr>
          <w:kern w:val="0"/>
        </w:rPr>
        <w:t xml:space="preserve"> and </w:t>
      </w:r>
      <w:r>
        <w:rPr>
          <w:kern w:val="0"/>
        </w:rPr>
        <w:t>people over 65 years</w:t>
      </w:r>
      <w:r w:rsidR="00427468">
        <w:rPr>
          <w:kern w:val="0"/>
        </w:rPr>
        <w:t xml:space="preserve"> of </w:t>
      </w:r>
      <w:r>
        <w:rPr>
          <w:kern w:val="0"/>
        </w:rPr>
        <w:t>age. Objectives To appraise all comparative studies evaluating the effects</w:t>
      </w:r>
      <w:r w:rsidR="00427468">
        <w:rPr>
          <w:kern w:val="0"/>
        </w:rPr>
        <w:t xml:space="preserve"> of </w:t>
      </w:r>
      <w:r>
        <w:rPr>
          <w:kern w:val="0"/>
        </w:rPr>
        <w:t>influenza vaccines in healthy children, assess vaccine efficacy (prevention</w:t>
      </w:r>
      <w:r w:rsidR="00427468">
        <w:rPr>
          <w:kern w:val="0"/>
        </w:rPr>
        <w:t xml:space="preserve"> of </w:t>
      </w:r>
      <w:r>
        <w:rPr>
          <w:kern w:val="0"/>
        </w:rPr>
        <w:t>confirmed influenza)</w:t>
      </w:r>
      <w:r w:rsidR="005853A9">
        <w:rPr>
          <w:kern w:val="0"/>
        </w:rPr>
        <w:t xml:space="preserve"> and </w:t>
      </w:r>
      <w:r>
        <w:rPr>
          <w:kern w:val="0"/>
        </w:rPr>
        <w:t>effectiveness (prevention</w:t>
      </w:r>
      <w:r w:rsidR="00427468">
        <w:rPr>
          <w:kern w:val="0"/>
        </w:rPr>
        <w:t xml:space="preserve"> of </w:t>
      </w:r>
      <w:r>
        <w:rPr>
          <w:kern w:val="0"/>
        </w:rPr>
        <w:t>influenza-like illness (ILI))</w:t>
      </w:r>
      <w:r w:rsidR="005853A9">
        <w:rPr>
          <w:kern w:val="0"/>
        </w:rPr>
        <w:t xml:space="preserve"> and </w:t>
      </w:r>
      <w:r>
        <w:rPr>
          <w:kern w:val="0"/>
        </w:rPr>
        <w:t>document adverse events associated with influenza vaccines. Search methods We searched the Cochrane Central Register</w:t>
      </w:r>
      <w:r w:rsidR="00427468">
        <w:rPr>
          <w:kern w:val="0"/>
        </w:rPr>
        <w:t xml:space="preserve"> of </w:t>
      </w:r>
      <w:r>
        <w:rPr>
          <w:kern w:val="0"/>
        </w:rPr>
        <w:t xml:space="preserve">Controlled </w:t>
      </w:r>
      <w:r>
        <w:rPr>
          <w:kern w:val="0"/>
        </w:rPr>
        <w:lastRenderedPageBreak/>
        <w:t>Trials (CENTRAL) (The Cochrane Library 2011, Issue 3) which includes the Acute Respiratory Infections Group</w:t>
      </w:r>
      <w:r w:rsidR="0071223E">
        <w:rPr>
          <w:kern w:val="0"/>
        </w:rPr>
        <w:t>’</w:t>
      </w:r>
      <w:r>
        <w:rPr>
          <w:kern w:val="0"/>
        </w:rPr>
        <w:t xml:space="preserve">s Specialised Register, OLD </w:t>
      </w:r>
      <w:r w:rsidR="00D5664A">
        <w:rPr>
          <w:kern w:val="0"/>
        </w:rPr>
        <w:t>MEDLINE</w:t>
      </w:r>
      <w:r>
        <w:rPr>
          <w:kern w:val="0"/>
        </w:rPr>
        <w:t xml:space="preserve"> (1950 to 1965), </w:t>
      </w:r>
      <w:r w:rsidR="00D5664A">
        <w:rPr>
          <w:kern w:val="0"/>
        </w:rPr>
        <w:t>MEDLINE</w:t>
      </w:r>
      <w:r>
        <w:rPr>
          <w:kern w:val="0"/>
        </w:rPr>
        <w:t xml:space="preserve"> (1966 to November 2011), EMBASE (1974 to November 2011), Biological Abstracts (1969 to September 2007),</w:t>
      </w:r>
      <w:r w:rsidR="005853A9">
        <w:rPr>
          <w:kern w:val="0"/>
        </w:rPr>
        <w:t xml:space="preserve"> and </w:t>
      </w:r>
      <w:r>
        <w:rPr>
          <w:kern w:val="0"/>
        </w:rPr>
        <w:t>Science Citation Index (1974 to September 2007). Selection criteria Randomised controlled trials (RCTs), cohort</w:t>
      </w:r>
      <w:r w:rsidR="005853A9">
        <w:rPr>
          <w:kern w:val="0"/>
        </w:rPr>
        <w:t xml:space="preserve"> and </w:t>
      </w:r>
      <w:r>
        <w:rPr>
          <w:kern w:val="0"/>
        </w:rPr>
        <w:t>case-control studies</w:t>
      </w:r>
      <w:r w:rsidR="00427468">
        <w:rPr>
          <w:kern w:val="0"/>
        </w:rPr>
        <w:t xml:space="preserve"> of </w:t>
      </w:r>
      <w:r>
        <w:rPr>
          <w:kern w:val="0"/>
        </w:rPr>
        <w:t>any influenza vaccine in healthy children under 16 years</w:t>
      </w:r>
      <w:r w:rsidR="00427468">
        <w:rPr>
          <w:kern w:val="0"/>
        </w:rPr>
        <w:t xml:space="preserve"> of </w:t>
      </w:r>
      <w:r>
        <w:rPr>
          <w:kern w:val="0"/>
        </w:rPr>
        <w:t>age. Data collection</w:t>
      </w:r>
      <w:r w:rsidR="005853A9">
        <w:rPr>
          <w:kern w:val="0"/>
        </w:rPr>
        <w:t xml:space="preserve"> and </w:t>
      </w:r>
      <w:r>
        <w:rPr>
          <w:kern w:val="0"/>
        </w:rPr>
        <w:t>analysis Four review authors independently assessed trial quality</w:t>
      </w:r>
      <w:r w:rsidR="005853A9">
        <w:rPr>
          <w:kern w:val="0"/>
        </w:rPr>
        <w:t xml:space="preserve"> and </w:t>
      </w:r>
      <w:r>
        <w:rPr>
          <w:kern w:val="0"/>
        </w:rPr>
        <w:t>extracted data. Main results We included 75 studies with about 300,000 observations. We included 17 RCTs, 19 cohort studies</w:t>
      </w:r>
      <w:r w:rsidR="005853A9">
        <w:rPr>
          <w:kern w:val="0"/>
        </w:rPr>
        <w:t xml:space="preserve"> and </w:t>
      </w:r>
      <w:r>
        <w:rPr>
          <w:kern w:val="0"/>
        </w:rPr>
        <w:t>11 case-control studies in the analysis</w:t>
      </w:r>
      <w:r w:rsidR="00427468">
        <w:rPr>
          <w:kern w:val="0"/>
        </w:rPr>
        <w:t xml:space="preserve"> of </w:t>
      </w:r>
      <w:r>
        <w:rPr>
          <w:kern w:val="0"/>
        </w:rPr>
        <w:t>vaccine efficacy</w:t>
      </w:r>
      <w:r w:rsidR="005853A9">
        <w:rPr>
          <w:kern w:val="0"/>
        </w:rPr>
        <w:t xml:space="preserve"> and </w:t>
      </w:r>
      <w:r>
        <w:rPr>
          <w:kern w:val="0"/>
        </w:rPr>
        <w:t>effectiveness. Evidence from RCTs shows that six children under the age</w:t>
      </w:r>
      <w:r w:rsidR="00427468">
        <w:rPr>
          <w:kern w:val="0"/>
        </w:rPr>
        <w:t xml:space="preserve"> of </w:t>
      </w:r>
      <w:r>
        <w:rPr>
          <w:kern w:val="0"/>
        </w:rPr>
        <w:t>six need to be vaccinated with live attenuated vaccine to prevent one case</w:t>
      </w:r>
      <w:r w:rsidR="00427468">
        <w:rPr>
          <w:kern w:val="0"/>
        </w:rPr>
        <w:t xml:space="preserve"> of </w:t>
      </w:r>
      <w:r>
        <w:rPr>
          <w:kern w:val="0"/>
        </w:rPr>
        <w:t>influenza (infection</w:t>
      </w:r>
      <w:r w:rsidR="005853A9">
        <w:rPr>
          <w:kern w:val="0"/>
        </w:rPr>
        <w:t xml:space="preserve"> and </w:t>
      </w:r>
      <w:r>
        <w:rPr>
          <w:kern w:val="0"/>
        </w:rPr>
        <w:t xml:space="preserve">symptoms). We could find no </w:t>
      </w:r>
      <w:r w:rsidR="00D5664A">
        <w:rPr>
          <w:kern w:val="0"/>
        </w:rPr>
        <w:t>USA</w:t>
      </w:r>
      <w:r>
        <w:rPr>
          <w:kern w:val="0"/>
        </w:rPr>
        <w:t>ble data for those aged two years or younger Inactivated vaccines in children aged two years or younger are not significantly more efficacious than placebo. Twenty-eight children over the age</w:t>
      </w:r>
      <w:r w:rsidR="00427468">
        <w:rPr>
          <w:kern w:val="0"/>
        </w:rPr>
        <w:t xml:space="preserve"> of </w:t>
      </w:r>
      <w:r>
        <w:rPr>
          <w:kern w:val="0"/>
        </w:rPr>
        <w:t>six need to be vaccinated to prevent one case</w:t>
      </w:r>
      <w:r w:rsidR="00427468">
        <w:rPr>
          <w:kern w:val="0"/>
        </w:rPr>
        <w:t xml:space="preserve"> of </w:t>
      </w:r>
      <w:r>
        <w:rPr>
          <w:kern w:val="0"/>
        </w:rPr>
        <w:t>influenza (infection</w:t>
      </w:r>
      <w:r w:rsidR="005853A9">
        <w:rPr>
          <w:kern w:val="0"/>
        </w:rPr>
        <w:t xml:space="preserve"> and </w:t>
      </w:r>
      <w:r>
        <w:rPr>
          <w:kern w:val="0"/>
        </w:rPr>
        <w:t>symptoms). Eight need to be vaccinated to prevent one case</w:t>
      </w:r>
      <w:r w:rsidR="00427468">
        <w:rPr>
          <w:kern w:val="0"/>
        </w:rPr>
        <w:t xml:space="preserve"> of </w:t>
      </w:r>
      <w:r>
        <w:rPr>
          <w:kern w:val="0"/>
        </w:rPr>
        <w:t>influenza-like-illness (ILI). We could find no evidence</w:t>
      </w:r>
      <w:r w:rsidR="00427468">
        <w:rPr>
          <w:kern w:val="0"/>
        </w:rPr>
        <w:t xml:space="preserve"> of </w:t>
      </w:r>
      <w:r>
        <w:rPr>
          <w:kern w:val="0"/>
        </w:rPr>
        <w:t>effect on secondary cases, lower respiratory tract disease, drug prescriptions, otitis media</w:t>
      </w:r>
      <w:r w:rsidR="005853A9">
        <w:rPr>
          <w:kern w:val="0"/>
        </w:rPr>
        <w:t xml:space="preserve"> and </w:t>
      </w:r>
      <w:r>
        <w:rPr>
          <w:kern w:val="0"/>
        </w:rPr>
        <w:t>its consequences</w:t>
      </w:r>
      <w:r w:rsidR="005853A9">
        <w:rPr>
          <w:kern w:val="0"/>
        </w:rPr>
        <w:t xml:space="preserve"> and </w:t>
      </w:r>
      <w:r>
        <w:rPr>
          <w:kern w:val="0"/>
        </w:rPr>
        <w:t>socioeconomic impact. We found weak single-study evidence</w:t>
      </w:r>
      <w:r w:rsidR="00427468">
        <w:rPr>
          <w:kern w:val="0"/>
        </w:rPr>
        <w:t xml:space="preserve"> of </w:t>
      </w:r>
      <w:r>
        <w:rPr>
          <w:kern w:val="0"/>
        </w:rPr>
        <w:t>effect on school absenteeism by children</w:t>
      </w:r>
      <w:r w:rsidR="005853A9">
        <w:rPr>
          <w:kern w:val="0"/>
        </w:rPr>
        <w:t xml:space="preserve"> and </w:t>
      </w:r>
      <w:r>
        <w:rPr>
          <w:kern w:val="0"/>
        </w:rPr>
        <w:t>caring parents from work. Variability in study design</w:t>
      </w:r>
      <w:r w:rsidR="005853A9">
        <w:rPr>
          <w:kern w:val="0"/>
        </w:rPr>
        <w:t xml:space="preserve"> and </w:t>
      </w:r>
      <w:r>
        <w:rPr>
          <w:kern w:val="0"/>
        </w:rPr>
        <w:t>presentation</w:t>
      </w:r>
      <w:r w:rsidR="00427468">
        <w:rPr>
          <w:kern w:val="0"/>
        </w:rPr>
        <w:t xml:space="preserve"> of </w:t>
      </w:r>
      <w:r>
        <w:rPr>
          <w:kern w:val="0"/>
        </w:rPr>
        <w:t>data was such that a meta-analysis</w:t>
      </w:r>
      <w:r w:rsidR="00427468">
        <w:rPr>
          <w:kern w:val="0"/>
        </w:rPr>
        <w:t xml:space="preserve"> of </w:t>
      </w:r>
      <w:r>
        <w:rPr>
          <w:kern w:val="0"/>
        </w:rPr>
        <w:t>safety outcome data was not feasible. Extensive evidence</w:t>
      </w:r>
      <w:r w:rsidR="00427468">
        <w:rPr>
          <w:kern w:val="0"/>
        </w:rPr>
        <w:t xml:space="preserve"> of </w:t>
      </w:r>
      <w:r>
        <w:rPr>
          <w:kern w:val="0"/>
        </w:rPr>
        <w:t>reporting bias</w:t>
      </w:r>
      <w:r w:rsidR="00427468">
        <w:rPr>
          <w:kern w:val="0"/>
        </w:rPr>
        <w:t xml:space="preserve"> of </w:t>
      </w:r>
      <w:r>
        <w:rPr>
          <w:kern w:val="0"/>
        </w:rPr>
        <w:t>safety outcomes from trials</w:t>
      </w:r>
      <w:r w:rsidR="00427468">
        <w:rPr>
          <w:kern w:val="0"/>
        </w:rPr>
        <w:t xml:space="preserve"> of </w:t>
      </w:r>
      <w:r>
        <w:rPr>
          <w:kern w:val="0"/>
        </w:rPr>
        <w:t>live attenuated influenza vaccines (LAIVs) impeded meaningful analysis. One specific brand</w:t>
      </w:r>
      <w:r w:rsidR="00427468">
        <w:rPr>
          <w:kern w:val="0"/>
        </w:rPr>
        <w:t xml:space="preserve"> of </w:t>
      </w:r>
      <w:r>
        <w:rPr>
          <w:kern w:val="0"/>
        </w:rPr>
        <w:t>monovalent pandemic vaccine is associated with cataplexy</w:t>
      </w:r>
      <w:r w:rsidR="005853A9">
        <w:rPr>
          <w:kern w:val="0"/>
        </w:rPr>
        <w:t xml:space="preserve"> and </w:t>
      </w:r>
      <w:r>
        <w:rPr>
          <w:kern w:val="0"/>
        </w:rPr>
        <w:t>narcolepsy in children</w:t>
      </w:r>
      <w:r w:rsidR="005853A9">
        <w:rPr>
          <w:kern w:val="0"/>
        </w:rPr>
        <w:t xml:space="preserve"> and </w:t>
      </w:r>
      <w:r>
        <w:rPr>
          <w:kern w:val="0"/>
        </w:rPr>
        <w:t>there is sparse evidence</w:t>
      </w:r>
      <w:r w:rsidR="00427468">
        <w:rPr>
          <w:kern w:val="0"/>
        </w:rPr>
        <w:t xml:space="preserve"> of </w:t>
      </w:r>
      <w:r>
        <w:rPr>
          <w:kern w:val="0"/>
        </w:rPr>
        <w:t>serious harms (such as febrile convulsions) in specific situations. Authors</w:t>
      </w:r>
      <w:r w:rsidR="0071223E">
        <w:rPr>
          <w:kern w:val="0"/>
        </w:rPr>
        <w:t>’</w:t>
      </w:r>
      <w:r>
        <w:rPr>
          <w:kern w:val="0"/>
        </w:rPr>
        <w:t xml:space="preserve"> conclusions Influenza vaccines are efficacious in preventing cases</w:t>
      </w:r>
      <w:r w:rsidR="00427468">
        <w:rPr>
          <w:kern w:val="0"/>
        </w:rPr>
        <w:t xml:space="preserve"> of </w:t>
      </w:r>
      <w:r>
        <w:rPr>
          <w:kern w:val="0"/>
        </w:rPr>
        <w:t>influenza in children older than two years</w:t>
      </w:r>
      <w:r w:rsidR="00427468">
        <w:rPr>
          <w:kern w:val="0"/>
        </w:rPr>
        <w:t xml:space="preserve"> of </w:t>
      </w:r>
      <w:r>
        <w:rPr>
          <w:kern w:val="0"/>
        </w:rPr>
        <w:t>age, but little evidence is available for children younger than two years</w:t>
      </w:r>
      <w:r w:rsidR="00427468">
        <w:rPr>
          <w:kern w:val="0"/>
        </w:rPr>
        <w:t xml:space="preserve"> of </w:t>
      </w:r>
      <w:r>
        <w:rPr>
          <w:kern w:val="0"/>
        </w:rPr>
        <w:t>age</w:t>
      </w:r>
      <w:r w:rsidR="00A37C1D">
        <w:rPr>
          <w:kern w:val="0"/>
        </w:rPr>
        <w:t>. The</w:t>
      </w:r>
      <w:r>
        <w:rPr>
          <w:kern w:val="0"/>
        </w:rPr>
        <w:t>re was a difference between vaccine efficacy</w:t>
      </w:r>
      <w:r w:rsidR="005853A9">
        <w:rPr>
          <w:kern w:val="0"/>
        </w:rPr>
        <w:t xml:space="preserve"> and </w:t>
      </w:r>
      <w:r>
        <w:rPr>
          <w:kern w:val="0"/>
        </w:rPr>
        <w:t>effectiveness, partly due to differing datasets, settings</w:t>
      </w:r>
      <w:r w:rsidR="005853A9">
        <w:rPr>
          <w:kern w:val="0"/>
        </w:rPr>
        <w:t xml:space="preserve"> and </w:t>
      </w:r>
      <w:r>
        <w:rPr>
          <w:kern w:val="0"/>
        </w:rPr>
        <w:t>viral circulation patterns. No safety comparisons could be carried out, emphasising the need for standardisation</w:t>
      </w:r>
      <w:r w:rsidR="00427468">
        <w:rPr>
          <w:kern w:val="0"/>
        </w:rPr>
        <w:t xml:space="preserve"> of </w:t>
      </w:r>
      <w:r>
        <w:rPr>
          <w:kern w:val="0"/>
        </w:rPr>
        <w:t>methods</w:t>
      </w:r>
      <w:r w:rsidR="005853A9">
        <w:rPr>
          <w:kern w:val="0"/>
        </w:rPr>
        <w:t xml:space="preserve"> and </w:t>
      </w:r>
      <w:r>
        <w:rPr>
          <w:kern w:val="0"/>
        </w:rPr>
        <w:t>presentation</w:t>
      </w:r>
      <w:r w:rsidR="00427468">
        <w:rPr>
          <w:kern w:val="0"/>
        </w:rPr>
        <w:t xml:space="preserve"> of </w:t>
      </w:r>
      <w:r>
        <w:rPr>
          <w:kern w:val="0"/>
        </w:rPr>
        <w:t>vaccine safety data in future studies. In specific cases, influenza vaccines were associated with serious harms such as narcolepsy</w:t>
      </w:r>
      <w:r w:rsidR="005853A9">
        <w:rPr>
          <w:kern w:val="0"/>
        </w:rPr>
        <w:t xml:space="preserve"> and </w:t>
      </w:r>
      <w:r>
        <w:rPr>
          <w:kern w:val="0"/>
        </w:rPr>
        <w:t>febrile convulsions. It was surprising to find only one study</w:t>
      </w:r>
      <w:r w:rsidR="00427468">
        <w:rPr>
          <w:kern w:val="0"/>
        </w:rPr>
        <w:t xml:space="preserve"> of </w:t>
      </w:r>
      <w:r>
        <w:rPr>
          <w:kern w:val="0"/>
        </w:rPr>
        <w:t>inactivated vaccine in children under two years, given current recommendations to vaccinate healthy children from six months</w:t>
      </w:r>
      <w:r w:rsidR="00427468">
        <w:rPr>
          <w:kern w:val="0"/>
        </w:rPr>
        <w:t xml:space="preserve"> of </w:t>
      </w:r>
      <w:r>
        <w:rPr>
          <w:kern w:val="0"/>
        </w:rPr>
        <w:t xml:space="preserve">age in the </w:t>
      </w:r>
      <w:r w:rsidR="00D5664A">
        <w:rPr>
          <w:kern w:val="0"/>
        </w:rPr>
        <w:t>USA</w:t>
      </w:r>
      <w:r>
        <w:rPr>
          <w:kern w:val="0"/>
        </w:rPr>
        <w:t>, Canada, parts</w:t>
      </w:r>
      <w:r w:rsidR="00427468">
        <w:rPr>
          <w:kern w:val="0"/>
        </w:rPr>
        <w:t xml:space="preserve"> of </w:t>
      </w:r>
      <w:r>
        <w:rPr>
          <w:kern w:val="0"/>
        </w:rPr>
        <w:t>Europe</w:t>
      </w:r>
      <w:r w:rsidR="005853A9">
        <w:rPr>
          <w:kern w:val="0"/>
        </w:rPr>
        <w:t xml:space="preserve"> and </w:t>
      </w:r>
      <w:r>
        <w:rPr>
          <w:kern w:val="0"/>
        </w:rPr>
        <w:t>Australia. If immunisation in children is to be recommended as a public health policy, large-scale studies assessing important outcomes,</w:t>
      </w:r>
      <w:r w:rsidR="005853A9">
        <w:rPr>
          <w:kern w:val="0"/>
        </w:rPr>
        <w:t xml:space="preserve"> and </w:t>
      </w:r>
      <w:r>
        <w:rPr>
          <w:kern w:val="0"/>
        </w:rPr>
        <w:t>directly comparing vaccine types are urgently required</w:t>
      </w:r>
      <w:r w:rsidR="00A37C1D">
        <w:rPr>
          <w:kern w:val="0"/>
        </w:rPr>
        <w:t>. The</w:t>
      </w:r>
      <w:r>
        <w:rPr>
          <w:kern w:val="0"/>
        </w:rPr>
        <w:t xml:space="preserve"> degree</w:t>
      </w:r>
      <w:r w:rsidR="00427468">
        <w:rPr>
          <w:kern w:val="0"/>
        </w:rPr>
        <w:t xml:space="preserve"> of </w:t>
      </w:r>
      <w:r>
        <w:rPr>
          <w:kern w:val="0"/>
        </w:rPr>
        <w:t>scrutiny needed to identify all global cases</w:t>
      </w:r>
      <w:r w:rsidR="00427468">
        <w:rPr>
          <w:kern w:val="0"/>
        </w:rPr>
        <w:t xml:space="preserve"> of </w:t>
      </w:r>
      <w:r>
        <w:rPr>
          <w:kern w:val="0"/>
        </w:rPr>
        <w:t>potential harms is beyond the resources</w:t>
      </w:r>
      <w:r w:rsidR="00427468">
        <w:rPr>
          <w:kern w:val="0"/>
        </w:rPr>
        <w:t xml:space="preserve"> </w:t>
      </w:r>
      <w:r w:rsidR="00427468">
        <w:rPr>
          <w:kern w:val="0"/>
        </w:rPr>
        <w:lastRenderedPageBreak/>
        <w:t xml:space="preserve">of </w:t>
      </w:r>
      <w:r>
        <w:rPr>
          <w:kern w:val="0"/>
        </w:rPr>
        <w:t>this review. This review includes trials funded by industry. An earlier systematic review</w:t>
      </w:r>
      <w:r w:rsidR="00427468">
        <w:rPr>
          <w:kern w:val="0"/>
        </w:rPr>
        <w:t xml:space="preserve"> of </w:t>
      </w:r>
      <w:r>
        <w:rPr>
          <w:kern w:val="0"/>
        </w:rPr>
        <w:t>274 influenza vaccine studies published up to 2007 found industry-funded studies were published in more prestigious journals</w:t>
      </w:r>
      <w:r w:rsidR="005853A9">
        <w:rPr>
          <w:kern w:val="0"/>
        </w:rPr>
        <w:t xml:space="preserve"> and </w:t>
      </w:r>
      <w:r>
        <w:rPr>
          <w:kern w:val="0"/>
        </w:rPr>
        <w:t>cited more than other studies independently from methodological quality</w:t>
      </w:r>
      <w:r w:rsidR="005853A9">
        <w:rPr>
          <w:kern w:val="0"/>
        </w:rPr>
        <w:t xml:space="preserve"> and </w:t>
      </w:r>
      <w:r>
        <w:rPr>
          <w:kern w:val="0"/>
        </w:rPr>
        <w:t>size. Studies funded from public sources were significantly less likely to report conclusions favourable to the vaccines</w:t>
      </w:r>
      <w:r w:rsidR="00A37C1D">
        <w:rPr>
          <w:kern w:val="0"/>
        </w:rPr>
        <w:t>. The</w:t>
      </w:r>
      <w:r>
        <w:rPr>
          <w:kern w:val="0"/>
        </w:rPr>
        <w:t xml:space="preserve"> review showed that reliable evidence on influenza vaccines is thin but there is evidence</w:t>
      </w:r>
      <w:r w:rsidR="00427468">
        <w:rPr>
          <w:kern w:val="0"/>
        </w:rPr>
        <w:t xml:space="preserve"> of </w:t>
      </w:r>
      <w:r>
        <w:rPr>
          <w:kern w:val="0"/>
        </w:rPr>
        <w:t>widespread manipulation</w:t>
      </w:r>
      <w:r w:rsidR="00427468">
        <w:rPr>
          <w:kern w:val="0"/>
        </w:rPr>
        <w:t xml:space="preserve"> of </w:t>
      </w:r>
      <w:r>
        <w:rPr>
          <w:kern w:val="0"/>
        </w:rPr>
        <w:t>conclusions</w:t>
      </w:r>
      <w:r w:rsidR="005853A9">
        <w:rPr>
          <w:kern w:val="0"/>
        </w:rPr>
        <w:t xml:space="preserve"> and </w:t>
      </w:r>
      <w:r>
        <w:rPr>
          <w:kern w:val="0"/>
        </w:rPr>
        <w:t>spurious notoriety</w:t>
      </w:r>
      <w:r w:rsidR="00427468">
        <w:rPr>
          <w:kern w:val="0"/>
        </w:rPr>
        <w:t xml:space="preserve"> of </w:t>
      </w:r>
      <w:r>
        <w:rPr>
          <w:kern w:val="0"/>
        </w:rPr>
        <w:t>the studies</w:t>
      </w:r>
      <w:r w:rsidR="00A37C1D">
        <w:rPr>
          <w:kern w:val="0"/>
        </w:rPr>
        <w:t>. The</w:t>
      </w:r>
      <w:r>
        <w:rPr>
          <w:kern w:val="0"/>
        </w:rPr>
        <w:t xml:space="preserve"> content</w:t>
      </w:r>
      <w:r w:rsidR="005853A9">
        <w:rPr>
          <w:kern w:val="0"/>
        </w:rPr>
        <w:t xml:space="preserve"> and </w:t>
      </w:r>
      <w:r>
        <w:rPr>
          <w:kern w:val="0"/>
        </w:rPr>
        <w:t>conclusions</w:t>
      </w:r>
      <w:r w:rsidR="00427468">
        <w:rPr>
          <w:kern w:val="0"/>
        </w:rPr>
        <w:t xml:space="preserve"> of </w:t>
      </w:r>
      <w:r>
        <w:rPr>
          <w:kern w:val="0"/>
        </w:rPr>
        <w:t>this review should be interpreted in the light</w:t>
      </w:r>
      <w:r w:rsidR="00427468">
        <w:rPr>
          <w:kern w:val="0"/>
        </w:rPr>
        <w:t xml:space="preserve"> of </w:t>
      </w:r>
      <w:r>
        <w:rPr>
          <w:kern w:val="0"/>
        </w:rPr>
        <w:t>this finding.</w:t>
      </w:r>
    </w:p>
    <w:p w:rsidR="00365DE4" w:rsidRDefault="00365DE4" w:rsidP="00365DE4">
      <w:pPr>
        <w:pStyle w:val="a3"/>
        <w:rPr>
          <w:kern w:val="0"/>
        </w:rPr>
      </w:pPr>
      <w:r>
        <w:rPr>
          <w:kern w:val="0"/>
        </w:rPr>
        <w:t xml:space="preserve">Keywords: Acute Otitis-Media, Adolescent, Age, Aged, Analysis, Assessing, Attending Day-Care, Australia, Authors, Bias, Canada, Caring, Case-Control, Case-Control Studies, Child, Children, Citation, Cohort, Collection, Complications, Criteria, Data, Design, Disease, Drug, Effectiveness, Effects, Efficacy, Europe, Event-Reporting-System, Events, Evidence, Global, Health, Health Policy, High-Risk Children, Humans, Immunization Practices Acip, Impact, Inactivated Influenza, Infant, Infection, Influenza, Influenza Vaccines [Therapeutic Use], Influenza,Human [Prevention &amp; Control], Journals, Laboratory-Confirmed Influenza, Live Attenuated Vaccine, Media, </w:t>
      </w:r>
      <w:r w:rsidR="00D5664A">
        <w:rPr>
          <w:kern w:val="0"/>
        </w:rPr>
        <w:t>MEDLINE</w:t>
      </w:r>
      <w:r>
        <w:rPr>
          <w:kern w:val="0"/>
        </w:rPr>
        <w:t xml:space="preserve">, Meta-Analysis, Metaanalysis, Methods, Neuraminidase-Specific Influenza, Outcome, Outcomes, Parents, Placebo, Policy, Potential, Preschool, Prescriptions, Presentation, Prevention, Public, Public Health, Public Health Policy, Quality, Randomized Controlled Trials As Topic, Randomized Controlled-Trial, Recommendations, Reporting, Resources, Review, Risk, Safety, Science, Science Citation Index, Search, Size, Sources, Study Design, Symptoms, Systematic Review, Trial, </w:t>
      </w:r>
      <w:r w:rsidR="00D5664A">
        <w:rPr>
          <w:kern w:val="0"/>
        </w:rPr>
        <w:t>USA</w:t>
      </w:r>
      <w:r>
        <w:rPr>
          <w:kern w:val="0"/>
        </w:rPr>
        <w:t>, Vaccine, Vaccines, Vaccines,Attenuated [Therapeutic Use], Vaccines,Inactivated [Therapeutic Use], Viral, Work, Young-Children</w:t>
      </w:r>
    </w:p>
    <w:p w:rsidR="00365DE4" w:rsidRDefault="00365DE4" w:rsidP="00365DE4">
      <w:pPr>
        <w:pStyle w:val="a3"/>
        <w:rPr>
          <w:kern w:val="0"/>
        </w:rPr>
      </w:pPr>
      <w:r>
        <w:rPr>
          <w:kern w:val="0"/>
        </w:rPr>
        <w:t>? Parmelli, E., Flodgren, G., Fraser, S.G., Williams, N., Rubin, G.</w:t>
      </w:r>
      <w:r w:rsidR="005853A9">
        <w:rPr>
          <w:kern w:val="0"/>
        </w:rPr>
        <w:t xml:space="preserve"> and </w:t>
      </w:r>
      <w:r>
        <w:rPr>
          <w:kern w:val="0"/>
        </w:rPr>
        <w:t xml:space="preserve">Eccles, M.P. (2012), Interventions to increase clinical incident reporting in health care.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CD005609.</w:t>
      </w:r>
    </w:p>
    <w:p w:rsidR="00365DE4" w:rsidRDefault="00365DE4" w:rsidP="00365DE4">
      <w:pPr>
        <w:pStyle w:val="a3"/>
        <w:rPr>
          <w:kern w:val="2"/>
        </w:rPr>
      </w:pPr>
      <w:r>
        <w:t xml:space="preserve">Full Text: </w:t>
      </w:r>
      <w:hyperlink r:id="rId763" w:history="1">
        <w:r>
          <w:rPr>
            <w:rStyle w:val="a5"/>
          </w:rPr>
          <w:t>2012\Coc Dat Sys Rev2012, CD005609.pdf</w:t>
        </w:r>
      </w:hyperlink>
    </w:p>
    <w:p w:rsidR="00365DE4" w:rsidRDefault="00365DE4" w:rsidP="00365DE4">
      <w:pPr>
        <w:pStyle w:val="a3"/>
        <w:rPr>
          <w:kern w:val="0"/>
        </w:rPr>
      </w:pPr>
      <w:r>
        <w:rPr>
          <w:kern w:val="0"/>
        </w:rPr>
        <w:t>Abstract: Background Reporting</w:t>
      </w:r>
      <w:r w:rsidR="00427468">
        <w:rPr>
          <w:kern w:val="0"/>
        </w:rPr>
        <w:t xml:space="preserve"> of </w:t>
      </w:r>
      <w:r>
        <w:rPr>
          <w:kern w:val="0"/>
        </w:rPr>
        <w:t>adverse clinical events is thought to be an effective method</w:t>
      </w:r>
      <w:r w:rsidR="00427468">
        <w:rPr>
          <w:kern w:val="0"/>
        </w:rPr>
        <w:t xml:space="preserve"> of </w:t>
      </w:r>
      <w:r>
        <w:rPr>
          <w:kern w:val="0"/>
        </w:rPr>
        <w:t>improving the safety</w:t>
      </w:r>
      <w:r w:rsidR="00427468">
        <w:rPr>
          <w:kern w:val="0"/>
        </w:rPr>
        <w:t xml:space="preserve"> of </w:t>
      </w:r>
      <w:r>
        <w:rPr>
          <w:kern w:val="0"/>
        </w:rPr>
        <w:t>healthcare. Underreporting</w:t>
      </w:r>
      <w:r w:rsidR="00427468">
        <w:rPr>
          <w:kern w:val="0"/>
        </w:rPr>
        <w:t xml:space="preserve"> of </w:t>
      </w:r>
      <w:r>
        <w:rPr>
          <w:kern w:val="0"/>
        </w:rPr>
        <w:t>these adverse events is often said to occur with consequence</w:t>
      </w:r>
      <w:r w:rsidR="00427468">
        <w:rPr>
          <w:kern w:val="0"/>
        </w:rPr>
        <w:t xml:space="preserve"> of </w:t>
      </w:r>
      <w:r>
        <w:rPr>
          <w:kern w:val="0"/>
        </w:rPr>
        <w:t>missing</w:t>
      </w:r>
      <w:r w:rsidR="00427468">
        <w:rPr>
          <w:kern w:val="0"/>
        </w:rPr>
        <w:t xml:space="preserve"> of </w:t>
      </w:r>
      <w:r>
        <w:rPr>
          <w:kern w:val="0"/>
        </w:rPr>
        <w:t>opportunities to learn from these incidents. A clinical incident can be defined as any occurrence which is not consistent with the routine care</w:t>
      </w:r>
      <w:r w:rsidR="00427468">
        <w:rPr>
          <w:kern w:val="0"/>
        </w:rPr>
        <w:t xml:space="preserve"> of </w:t>
      </w:r>
      <w:r>
        <w:rPr>
          <w:kern w:val="0"/>
        </w:rPr>
        <w:t>the patient or the routine operation</w:t>
      </w:r>
      <w:r w:rsidR="00427468">
        <w:rPr>
          <w:kern w:val="0"/>
        </w:rPr>
        <w:t xml:space="preserve"> of </w:t>
      </w:r>
      <w:r>
        <w:rPr>
          <w:kern w:val="0"/>
        </w:rPr>
        <w:t>the institution. Objectives To assess the effects</w:t>
      </w:r>
      <w:r w:rsidR="00427468">
        <w:rPr>
          <w:kern w:val="0"/>
        </w:rPr>
        <w:t xml:space="preserve"> of </w:t>
      </w:r>
      <w:r>
        <w:rPr>
          <w:kern w:val="0"/>
        </w:rPr>
        <w:t>interventions designed to increase clinical incident reporting in healthcare settings. Search methods We searched the the following databases: Cochrane Effective Practice</w:t>
      </w:r>
      <w:r w:rsidR="005853A9">
        <w:rPr>
          <w:kern w:val="0"/>
        </w:rPr>
        <w:t xml:space="preserve"> and </w:t>
      </w:r>
      <w:r>
        <w:rPr>
          <w:kern w:val="0"/>
        </w:rPr>
        <w:t>Organisation</w:t>
      </w:r>
      <w:r w:rsidR="00427468">
        <w:rPr>
          <w:kern w:val="0"/>
        </w:rPr>
        <w:t xml:space="preserve"> of </w:t>
      </w:r>
      <w:r>
        <w:rPr>
          <w:kern w:val="0"/>
        </w:rPr>
        <w:t>Care Group Specialised Register, the Cochrane Database</w:t>
      </w:r>
      <w:r w:rsidR="00427468">
        <w:rPr>
          <w:kern w:val="0"/>
        </w:rPr>
        <w:t xml:space="preserve"> of </w:t>
      </w:r>
      <w:r>
        <w:rPr>
          <w:kern w:val="0"/>
        </w:rPr>
        <w:t xml:space="preserve">Systematic Reviews, Cochrane </w:t>
      </w:r>
      <w:r>
        <w:rPr>
          <w:kern w:val="0"/>
        </w:rPr>
        <w:lastRenderedPageBreak/>
        <w:t>Central Register</w:t>
      </w:r>
      <w:r w:rsidR="00427468">
        <w:rPr>
          <w:kern w:val="0"/>
        </w:rPr>
        <w:t xml:space="preserve"> of </w:t>
      </w:r>
      <w:r>
        <w:rPr>
          <w:kern w:val="0"/>
        </w:rPr>
        <w:t xml:space="preserve">Controlled Trials (CENTRAL), </w:t>
      </w:r>
      <w:r w:rsidR="00D5664A">
        <w:rPr>
          <w:kern w:val="0"/>
        </w:rPr>
        <w:t>MEDLINE</w:t>
      </w:r>
      <w:r>
        <w:rPr>
          <w:kern w:val="0"/>
        </w:rPr>
        <w:t xml:space="preserve"> (OVID), EMBASE (OVID), CINAHL (EBSCO), Social Science Citation Index</w:t>
      </w:r>
      <w:r w:rsidR="005853A9">
        <w:rPr>
          <w:kern w:val="0"/>
        </w:rPr>
        <w:t xml:space="preserve"> and </w:t>
      </w:r>
      <w:r>
        <w:rPr>
          <w:kern w:val="0"/>
        </w:rPr>
        <w:t>Science Citation Index (Web</w:t>
      </w:r>
      <w:r w:rsidR="00427468">
        <w:rPr>
          <w:kern w:val="0"/>
        </w:rPr>
        <w:t xml:space="preserve"> of </w:t>
      </w:r>
      <w:r>
        <w:rPr>
          <w:kern w:val="0"/>
        </w:rPr>
        <w:t xml:space="preserve">Knowledge), Healthstar (OVID), INSPEC, DHSS-DATA, SIGLE, ISI Conference Proceedings, </w:t>
      </w:r>
      <w:r w:rsidR="00D5664A">
        <w:rPr>
          <w:kern w:val="0"/>
        </w:rPr>
        <w:t>Web</w:t>
      </w:r>
      <w:r w:rsidR="00427468">
        <w:rPr>
          <w:kern w:val="0"/>
        </w:rPr>
        <w:t xml:space="preserve"> of </w:t>
      </w:r>
      <w:r w:rsidR="00D5664A">
        <w:rPr>
          <w:kern w:val="0"/>
        </w:rPr>
        <w:t>Science</w:t>
      </w:r>
      <w:r>
        <w:rPr>
          <w:kern w:val="0"/>
        </w:rPr>
        <w:t xml:space="preserve"> Conference Proceedings Citation Index (Science),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Effectiveness (DARE). Selection criteria Randomised controlled trials (RCT), controlled before-after studies (CBA)</w:t>
      </w:r>
      <w:r w:rsidR="005853A9">
        <w:rPr>
          <w:kern w:val="0"/>
        </w:rPr>
        <w:t xml:space="preserve"> and </w:t>
      </w:r>
      <w:r>
        <w:rPr>
          <w:kern w:val="0"/>
        </w:rPr>
        <w:t>interrupted time series (ITS)</w:t>
      </w:r>
      <w:r w:rsidR="00427468">
        <w:rPr>
          <w:kern w:val="0"/>
        </w:rPr>
        <w:t xml:space="preserve"> of </w:t>
      </w:r>
      <w:r>
        <w:rPr>
          <w:kern w:val="0"/>
        </w:rPr>
        <w:t>interventions designed to increase clinical incident reporting in healthcare. Data collection</w:t>
      </w:r>
      <w:r w:rsidR="005853A9">
        <w:rPr>
          <w:kern w:val="0"/>
        </w:rPr>
        <w:t xml:space="preserve"> and </w:t>
      </w:r>
      <w:r>
        <w:rPr>
          <w:kern w:val="0"/>
        </w:rPr>
        <w:t>analysis At least two review authors assessed the eligibility</w:t>
      </w:r>
      <w:r w:rsidR="00427468">
        <w:rPr>
          <w:kern w:val="0"/>
        </w:rPr>
        <w:t xml:space="preserve"> of </w:t>
      </w:r>
      <w:r>
        <w:rPr>
          <w:kern w:val="0"/>
        </w:rPr>
        <w:t>potentially relevant studies, extracted the data</w:t>
      </w:r>
      <w:r w:rsidR="005853A9">
        <w:rPr>
          <w:kern w:val="0"/>
        </w:rPr>
        <w:t xml:space="preserve"> and </w:t>
      </w:r>
      <w:r>
        <w:rPr>
          <w:kern w:val="0"/>
        </w:rPr>
        <w:t>assessed the quality</w:t>
      </w:r>
      <w:r w:rsidR="00427468">
        <w:rPr>
          <w:kern w:val="0"/>
        </w:rPr>
        <w:t xml:space="preserve"> of </w:t>
      </w:r>
      <w:r>
        <w:rPr>
          <w:kern w:val="0"/>
        </w:rPr>
        <w:t>included studies. Main results Four studies (one CBA</w:t>
      </w:r>
      <w:r w:rsidR="005853A9">
        <w:rPr>
          <w:kern w:val="0"/>
        </w:rPr>
        <w:t xml:space="preserve"> and </w:t>
      </w:r>
      <w:r>
        <w:rPr>
          <w:kern w:val="0"/>
        </w:rPr>
        <w:t>three ITS studies) met our inclusion criteria</w:t>
      </w:r>
      <w:r w:rsidR="005853A9">
        <w:rPr>
          <w:kern w:val="0"/>
        </w:rPr>
        <w:t xml:space="preserve"> and </w:t>
      </w:r>
      <w:r>
        <w:rPr>
          <w:kern w:val="0"/>
        </w:rPr>
        <w:t>were included in the review</w:t>
      </w:r>
      <w:r w:rsidR="00A37C1D">
        <w:rPr>
          <w:kern w:val="0"/>
        </w:rPr>
        <w:t>. The</w:t>
      </w:r>
      <w:r>
        <w:rPr>
          <w:kern w:val="0"/>
        </w:rPr>
        <w:t xml:space="preserve"> CBA study showed a significant improvement in incident reporting rates after the introduction</w:t>
      </w:r>
      <w:r w:rsidR="00427468">
        <w:rPr>
          <w:kern w:val="0"/>
        </w:rPr>
        <w:t xml:space="preserve"> of </w:t>
      </w:r>
      <w:r>
        <w:rPr>
          <w:kern w:val="0"/>
        </w:rPr>
        <w:t>the new reporting system. Just one</w:t>
      </w:r>
      <w:r w:rsidR="00427468">
        <w:rPr>
          <w:kern w:val="0"/>
        </w:rPr>
        <w:t xml:space="preserve"> of </w:t>
      </w:r>
      <w:r>
        <w:rPr>
          <w:kern w:val="0"/>
        </w:rPr>
        <w:t>the ITS studies showed a statistically significant improved effectiveness</w:t>
      </w:r>
      <w:r w:rsidR="00427468">
        <w:rPr>
          <w:kern w:val="0"/>
        </w:rPr>
        <w:t xml:space="preserve"> of </w:t>
      </w:r>
      <w:r>
        <w:rPr>
          <w:kern w:val="0"/>
        </w:rPr>
        <w:t>the new reporting system from nine months</w:t>
      </w:r>
      <w:r w:rsidR="00A37C1D">
        <w:rPr>
          <w:kern w:val="0"/>
        </w:rPr>
        <w:t>. The</w:t>
      </w:r>
      <w:r>
        <w:rPr>
          <w:kern w:val="0"/>
        </w:rPr>
        <w:t xml:space="preserve"> other two studies reported no statistically significant improvements. Authors</w:t>
      </w:r>
      <w:r w:rsidR="0071223E">
        <w:rPr>
          <w:kern w:val="0"/>
        </w:rPr>
        <w:t>’</w:t>
      </w:r>
      <w:r>
        <w:rPr>
          <w:kern w:val="0"/>
        </w:rPr>
        <w:t xml:space="preserve"> conclusions Because</w:t>
      </w:r>
      <w:r w:rsidR="00427468">
        <w:rPr>
          <w:kern w:val="0"/>
        </w:rPr>
        <w:t xml:space="preserve"> of </w:t>
      </w:r>
      <w:r>
        <w:rPr>
          <w:kern w:val="0"/>
        </w:rPr>
        <w:t>the limitations</w:t>
      </w:r>
      <w:r w:rsidR="00427468">
        <w:rPr>
          <w:kern w:val="0"/>
        </w:rPr>
        <w:t xml:space="preserve"> of </w:t>
      </w:r>
      <w:r>
        <w:rPr>
          <w:kern w:val="0"/>
        </w:rPr>
        <w:t>the studies it is not possible to draw conclusions for clinical practice. Anyone introducing a system into practice should give careful consideration to conducting an evaluation using a robust design.</w:t>
      </w:r>
    </w:p>
    <w:p w:rsidR="00365DE4" w:rsidRDefault="00365DE4" w:rsidP="00365DE4">
      <w:pPr>
        <w:pStyle w:val="a3"/>
        <w:rPr>
          <w:kern w:val="0"/>
        </w:rPr>
      </w:pPr>
      <w:r>
        <w:rPr>
          <w:kern w:val="0"/>
        </w:rPr>
        <w:t>Keywords: Adverse Events, Analysis, Authors, Care, Citation, Clinical, Clinical Practice, Collection, Conference, Criteria, Data, Databases, Design, Effectiveness, Effects, Evaluation, Events, Health, Health Care, Hospitals, Implementation, Improve, Improvement, Interrupted Time Series, Interventions</w:t>
      </w:r>
      <w:r w:rsidR="00D5664A">
        <w:rPr>
          <w:kern w:val="0"/>
        </w:rPr>
        <w:t>, ISI,</w:t>
      </w:r>
      <w:r>
        <w:rPr>
          <w:kern w:val="0"/>
        </w:rPr>
        <w:t xml:space="preserve"> Medication Errors, </w:t>
      </w:r>
      <w:r w:rsidR="00D5664A">
        <w:rPr>
          <w:kern w:val="0"/>
        </w:rPr>
        <w:t>MEDLINE</w:t>
      </w:r>
      <w:r>
        <w:rPr>
          <w:kern w:val="0"/>
        </w:rPr>
        <w:t xml:space="preserve">, Methods, Near-Miss, Operation, Patient Safety, Practice, Program, Quality, Quality Of, Rates, Rct, Record System, Reporting, Review, Safety, Science, Science Citation Index, Search, Social Science Citation Index, Time, Time Series,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Stoffers, J.M., Vollm, B.A., Rucker, G., Timmer, A., Huband, N.</w:t>
      </w:r>
      <w:r w:rsidR="005853A9">
        <w:rPr>
          <w:kern w:val="0"/>
        </w:rPr>
        <w:t xml:space="preserve"> and </w:t>
      </w:r>
      <w:r>
        <w:rPr>
          <w:kern w:val="0"/>
        </w:rPr>
        <w:t xml:space="preserve">Lieb, K. (2012), Psychological therapies for people with borderline personality disorder.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CD005652.</w:t>
      </w:r>
    </w:p>
    <w:p w:rsidR="00365DE4" w:rsidRDefault="00365DE4" w:rsidP="00365DE4">
      <w:pPr>
        <w:pStyle w:val="a3"/>
        <w:rPr>
          <w:kern w:val="2"/>
        </w:rPr>
      </w:pPr>
      <w:r>
        <w:t xml:space="preserve">Full Text: </w:t>
      </w:r>
      <w:hyperlink r:id="rId764" w:history="1">
        <w:r>
          <w:rPr>
            <w:rStyle w:val="a5"/>
          </w:rPr>
          <w:t>2012\Coc Dat Sys Rev2012, CD005652.pdf</w:t>
        </w:r>
      </w:hyperlink>
    </w:p>
    <w:p w:rsidR="00365DE4" w:rsidRDefault="00365DE4" w:rsidP="00365DE4">
      <w:pPr>
        <w:pStyle w:val="a3"/>
        <w:rPr>
          <w:kern w:val="0"/>
        </w:rPr>
      </w:pPr>
      <w:r>
        <w:rPr>
          <w:kern w:val="0"/>
        </w:rPr>
        <w:t>Abstract: Background Psychotherapy is regarded as the first-line treatment for people with borderline personality disorder. In recent years, several disorder-specific interventions have been developed. This is an update</w:t>
      </w:r>
      <w:r w:rsidR="00427468">
        <w:rPr>
          <w:kern w:val="0"/>
        </w:rPr>
        <w:t xml:space="preserve"> of </w:t>
      </w:r>
      <w:r>
        <w:rPr>
          <w:kern w:val="0"/>
        </w:rPr>
        <w:t>a review published in the Cochrane Database</w:t>
      </w:r>
      <w:r w:rsidR="00427468">
        <w:rPr>
          <w:kern w:val="0"/>
        </w:rPr>
        <w:t xml:space="preserve"> of </w:t>
      </w:r>
      <w:r>
        <w:rPr>
          <w:kern w:val="0"/>
        </w:rPr>
        <w:t>Systematic Reviews in 2006. Objectives To assess the effects</w:t>
      </w:r>
      <w:r w:rsidR="00427468">
        <w:rPr>
          <w:kern w:val="0"/>
        </w:rPr>
        <w:t xml:space="preserve"> of </w:t>
      </w:r>
      <w:r>
        <w:rPr>
          <w:kern w:val="0"/>
        </w:rPr>
        <w:t xml:space="preserve">psychological interventions for borderline personality disorder (BPD). Search methods We searched the following databases: CENTRAL 2010(3), </w:t>
      </w:r>
      <w:r w:rsidR="00D5664A">
        <w:rPr>
          <w:kern w:val="0"/>
        </w:rPr>
        <w:t>MEDLINE</w:t>
      </w:r>
      <w:r>
        <w:rPr>
          <w:kern w:val="0"/>
        </w:rPr>
        <w:t xml:space="preserve"> (1950 to October 2010), EMBASE (1980 to 2010, week 39), ASSIA (1987 to November 2010), BIOSIS (1985 to October 2010), CINAHL (1982 to October 2010), Dissertation Abstracts International (31 January 2011), National Criminal Justice </w:t>
      </w:r>
      <w:r>
        <w:rPr>
          <w:kern w:val="0"/>
        </w:rPr>
        <w:lastRenderedPageBreak/>
        <w:t>Reference Service Abstracts (15 October 2010), PsycINFO (1872 to October Week 1 2010), Science Citation Index (1970 to 10 October 2010), Social Science Citation Index (1970 to 10 October 2010), Sociological Abstracts (1963 to October 2010), ZETOC (15 October 2010)</w:t>
      </w:r>
      <w:r w:rsidR="005853A9">
        <w:rPr>
          <w:kern w:val="0"/>
        </w:rPr>
        <w:t xml:space="preserve"> and </w:t>
      </w:r>
      <w:r>
        <w:rPr>
          <w:kern w:val="0"/>
        </w:rPr>
        <w:t>the metaRegister</w:t>
      </w:r>
      <w:r w:rsidR="00427468">
        <w:rPr>
          <w:kern w:val="0"/>
        </w:rPr>
        <w:t xml:space="preserve"> of </w:t>
      </w:r>
      <w:r>
        <w:rPr>
          <w:kern w:val="0"/>
        </w:rPr>
        <w:t>Controlled Trials (15 October 2010). In addition, we searched Dissertation Abstracts International in January 2011</w:t>
      </w:r>
      <w:r w:rsidR="005853A9">
        <w:rPr>
          <w:kern w:val="0"/>
        </w:rPr>
        <w:t xml:space="preserve"> and </w:t>
      </w:r>
      <w:r>
        <w:rPr>
          <w:kern w:val="0"/>
        </w:rPr>
        <w:t>ICTRP in August 2011. Selection criteria Randomised studies with samples</w:t>
      </w:r>
      <w:r w:rsidR="00427468">
        <w:rPr>
          <w:kern w:val="0"/>
        </w:rPr>
        <w:t xml:space="preserve"> of </w:t>
      </w:r>
      <w:r>
        <w:rPr>
          <w:kern w:val="0"/>
        </w:rPr>
        <w:t>patients with BPD comparing a specific psychotherapeutic intervention against a control intervention without any specific mode</w:t>
      </w:r>
      <w:r w:rsidR="00427468">
        <w:rPr>
          <w:kern w:val="0"/>
        </w:rPr>
        <w:t xml:space="preserve"> of </w:t>
      </w:r>
      <w:r>
        <w:rPr>
          <w:kern w:val="0"/>
        </w:rPr>
        <w:t>action or against a comparative specific psychotherapeutic intervention. Outcomes included overall BPD severity, BPD symptoms (DSM-IV criteria), psychopathology associated with but not specific to BPD, attrition</w:t>
      </w:r>
      <w:r w:rsidR="005853A9">
        <w:rPr>
          <w:kern w:val="0"/>
        </w:rPr>
        <w:t xml:space="preserve"> and </w:t>
      </w:r>
      <w:r>
        <w:rPr>
          <w:kern w:val="0"/>
        </w:rPr>
        <w:t>adverse effects. Data collection</w:t>
      </w:r>
      <w:r w:rsidR="005853A9">
        <w:rPr>
          <w:kern w:val="0"/>
        </w:rPr>
        <w:t xml:space="preserve"> and </w:t>
      </w:r>
      <w:r>
        <w:rPr>
          <w:kern w:val="0"/>
        </w:rPr>
        <w:t>analysis Two review authors independently selected studies, assessed the risk</w:t>
      </w:r>
      <w:r w:rsidR="00427468">
        <w:rPr>
          <w:kern w:val="0"/>
        </w:rPr>
        <w:t xml:space="preserve"> of </w:t>
      </w:r>
      <w:r>
        <w:rPr>
          <w:kern w:val="0"/>
        </w:rPr>
        <w:t>bias in the studies</w:t>
      </w:r>
      <w:r w:rsidR="005853A9">
        <w:rPr>
          <w:kern w:val="0"/>
        </w:rPr>
        <w:t xml:space="preserve"> and </w:t>
      </w:r>
      <w:r>
        <w:rPr>
          <w:kern w:val="0"/>
        </w:rPr>
        <w:t>extracted data. Main results Twenty-eight studies involving a total</w:t>
      </w:r>
      <w:r w:rsidR="00427468">
        <w:rPr>
          <w:kern w:val="0"/>
        </w:rPr>
        <w:t xml:space="preserve"> of </w:t>
      </w:r>
      <w:r>
        <w:rPr>
          <w:kern w:val="0"/>
        </w:rPr>
        <w:t>1804 participants with BPD were included. Interventions were classified as comprehensive psychotherapies if they included individual psychotherapy as a substantial part</w:t>
      </w:r>
      <w:r w:rsidR="00427468">
        <w:rPr>
          <w:kern w:val="0"/>
        </w:rPr>
        <w:t xml:space="preserve"> of </w:t>
      </w:r>
      <w:r>
        <w:rPr>
          <w:kern w:val="0"/>
        </w:rPr>
        <w:t>the treatment programme, or as non-comprehensive if they did not. Among comprehensive psychotherapies, dialectical behaviour therapy (DBT), mentalisation-based treatment in a partial hospitalisation setting (MBT-PH), outpatient MBT (MBT-out), transference-focused therapy (TFP), cognitive behavioural therapy (CBT), dynamic deconstructive psychotherapy (DDP), interpersonal psychotherapy (IPT)</w:t>
      </w:r>
      <w:r w:rsidR="005853A9">
        <w:rPr>
          <w:kern w:val="0"/>
        </w:rPr>
        <w:t xml:space="preserve"> and </w:t>
      </w:r>
      <w:r>
        <w:rPr>
          <w:kern w:val="0"/>
        </w:rPr>
        <w:t>interpersonal therapy for BPD (IPT-BPD) were tested against a control condition. Direct comparisons</w:t>
      </w:r>
      <w:r w:rsidR="00427468">
        <w:rPr>
          <w:kern w:val="0"/>
        </w:rPr>
        <w:t xml:space="preserve"> of </w:t>
      </w:r>
      <w:r>
        <w:rPr>
          <w:kern w:val="0"/>
        </w:rPr>
        <w:t>comprehensive psychotherapies included DBT versus client-centered therapy (CCT); schema-focused therapy (SFT) versus TFP; SFT versus SFT plus telephone availability</w:t>
      </w:r>
      <w:r w:rsidR="00427468">
        <w:rPr>
          <w:kern w:val="0"/>
        </w:rPr>
        <w:t xml:space="preserve"> of </w:t>
      </w:r>
      <w:r>
        <w:rPr>
          <w:kern w:val="0"/>
        </w:rPr>
        <w:t>therapist in case</w:t>
      </w:r>
      <w:r w:rsidR="00427468">
        <w:rPr>
          <w:kern w:val="0"/>
        </w:rPr>
        <w:t xml:space="preserve"> of </w:t>
      </w:r>
      <w:r>
        <w:rPr>
          <w:kern w:val="0"/>
        </w:rPr>
        <w:t>crisis (SFT+TA); cognitive therapy (CT) versus CCT,</w:t>
      </w:r>
      <w:r w:rsidR="005853A9">
        <w:rPr>
          <w:kern w:val="0"/>
        </w:rPr>
        <w:t xml:space="preserve"> and </w:t>
      </w:r>
      <w:r>
        <w:rPr>
          <w:kern w:val="0"/>
        </w:rPr>
        <w:t>CT versus IPT. Non-comprehensive psychotherapeutic interventions comprised DBT-group skills training only (DBT-ST), emotion regulation group therapy (ERG), schema-focused group therapy (SFT-G), systems training for emotional predictability</w:t>
      </w:r>
      <w:r w:rsidR="005853A9">
        <w:rPr>
          <w:kern w:val="0"/>
        </w:rPr>
        <w:t xml:space="preserve"> and </w:t>
      </w:r>
      <w:r>
        <w:rPr>
          <w:kern w:val="0"/>
        </w:rPr>
        <w:t>problemsolving for borderline personality disorder (STEPPS), STEPPS plus individual therapy (STEPPS+IT), manual-assisted cognitive treatment (MACT)</w:t>
      </w:r>
      <w:r w:rsidR="005853A9">
        <w:rPr>
          <w:kern w:val="0"/>
        </w:rPr>
        <w:t xml:space="preserve"> and </w:t>
      </w:r>
      <w:r>
        <w:rPr>
          <w:kern w:val="0"/>
        </w:rPr>
        <w:t>psychoeducation (PE)</w:t>
      </w:r>
      <w:r w:rsidR="00A37C1D">
        <w:rPr>
          <w:kern w:val="0"/>
        </w:rPr>
        <w:t>. The</w:t>
      </w:r>
      <w:r>
        <w:rPr>
          <w:kern w:val="0"/>
        </w:rPr>
        <w:t xml:space="preserve"> only direct comparison</w:t>
      </w:r>
      <w:r w:rsidR="00427468">
        <w:rPr>
          <w:kern w:val="0"/>
        </w:rPr>
        <w:t xml:space="preserve"> of </w:t>
      </w:r>
      <w:r>
        <w:rPr>
          <w:kern w:val="0"/>
        </w:rPr>
        <w:t>an non-comprehensive psychotherapeutic intervention against another was MACT versus MACT plus therapeutic assessment (MACT+). Inpatient treatment was examined in one study where DBT for PTSD (DBT-PTSD) was compared with a waiting list control. No trials were identified for cognitive analytical therapy (CAT). Data were sparse for individual interventions,</w:t>
      </w:r>
      <w:r w:rsidR="005853A9">
        <w:rPr>
          <w:kern w:val="0"/>
        </w:rPr>
        <w:t xml:space="preserve"> and </w:t>
      </w:r>
      <w:r>
        <w:rPr>
          <w:kern w:val="0"/>
        </w:rPr>
        <w:t>allowed for meta-analytic pooling only for DBT compared with treatment as usual (TAU) for four outcomes</w:t>
      </w:r>
      <w:r w:rsidR="00A37C1D">
        <w:rPr>
          <w:kern w:val="0"/>
        </w:rPr>
        <w:t>. The</w:t>
      </w:r>
      <w:r>
        <w:rPr>
          <w:kern w:val="0"/>
        </w:rPr>
        <w:t>re were moderate to large statistically significant effects indicating a beneficial effect</w:t>
      </w:r>
      <w:r w:rsidR="00427468">
        <w:rPr>
          <w:kern w:val="0"/>
        </w:rPr>
        <w:t xml:space="preserve"> of </w:t>
      </w:r>
      <w:r>
        <w:rPr>
          <w:kern w:val="0"/>
        </w:rPr>
        <w:t xml:space="preserve">DBT over TAU for anger (n = 46, two RCTs; standardised mean difference (SMD) </w:t>
      </w:r>
      <w:r>
        <w:rPr>
          <w:kern w:val="0"/>
        </w:rPr>
        <w:lastRenderedPageBreak/>
        <w:t>-0.83, 95% confidence interval (CI) -1.43 to -0.22; I-2 = 0%), parasuicidality (n = 110, three RCTs; SMD -0.54, 95% CI -0.92 to -0.16; I-2 = 0%)</w:t>
      </w:r>
      <w:r w:rsidR="005853A9">
        <w:rPr>
          <w:kern w:val="0"/>
        </w:rPr>
        <w:t xml:space="preserve"> and </w:t>
      </w:r>
      <w:r>
        <w:rPr>
          <w:kern w:val="0"/>
        </w:rPr>
        <w:t>mental health (n = 74, two RCTs; SMD 0.65, 95% CI 0.07 to 1.24 I-2 = 30%)</w:t>
      </w:r>
      <w:r w:rsidR="00A37C1D">
        <w:rPr>
          <w:kern w:val="0"/>
        </w:rPr>
        <w:t>. The</w:t>
      </w:r>
      <w:r>
        <w:rPr>
          <w:kern w:val="0"/>
        </w:rPr>
        <w:t>re was no indication</w:t>
      </w:r>
      <w:r w:rsidR="00427468">
        <w:rPr>
          <w:kern w:val="0"/>
        </w:rPr>
        <w:t xml:space="preserve"> of </w:t>
      </w:r>
      <w:r>
        <w:rPr>
          <w:kern w:val="0"/>
        </w:rPr>
        <w:t>statistical superiority</w:t>
      </w:r>
      <w:r w:rsidR="00427468">
        <w:rPr>
          <w:kern w:val="0"/>
        </w:rPr>
        <w:t xml:space="preserve"> of </w:t>
      </w:r>
      <w:r>
        <w:rPr>
          <w:kern w:val="0"/>
        </w:rPr>
        <w:t>DBT over TAU in terms</w:t>
      </w:r>
      <w:r w:rsidR="00427468">
        <w:rPr>
          <w:kern w:val="0"/>
        </w:rPr>
        <w:t xml:space="preserve"> of </w:t>
      </w:r>
      <w:r>
        <w:rPr>
          <w:kern w:val="0"/>
        </w:rPr>
        <w:t>keeping participants in treatment (n = 252, five RCTs; risk ratio 1.25, 95% CI 0.54 to 2.92). All remaining findings were based on single study estimates</w:t>
      </w:r>
      <w:r w:rsidR="00427468">
        <w:rPr>
          <w:kern w:val="0"/>
        </w:rPr>
        <w:t xml:space="preserve"> of </w:t>
      </w:r>
      <w:r>
        <w:rPr>
          <w:kern w:val="0"/>
        </w:rPr>
        <w:t>effect. Statistically significant between-group differences for comparisons</w:t>
      </w:r>
      <w:r w:rsidR="00427468">
        <w:rPr>
          <w:kern w:val="0"/>
        </w:rPr>
        <w:t xml:space="preserve"> of </w:t>
      </w:r>
      <w:r>
        <w:rPr>
          <w:kern w:val="0"/>
        </w:rPr>
        <w:t>psychotherapies against controls were observed for BPD core pathology</w:t>
      </w:r>
      <w:r w:rsidR="005853A9">
        <w:rPr>
          <w:kern w:val="0"/>
        </w:rPr>
        <w:t xml:space="preserve"> and </w:t>
      </w:r>
      <w:r>
        <w:rPr>
          <w:kern w:val="0"/>
        </w:rPr>
        <w:t>associated psychopathology for the following interventions: DBT, DBT-PTSD, MBT-PH, MBT-out, TFP</w:t>
      </w:r>
      <w:r w:rsidR="005853A9">
        <w:rPr>
          <w:kern w:val="0"/>
        </w:rPr>
        <w:t xml:space="preserve"> and </w:t>
      </w:r>
      <w:r>
        <w:rPr>
          <w:kern w:val="0"/>
        </w:rPr>
        <w:t>IPT-BPD. IPT was only indicated as being effective in the treatment</w:t>
      </w:r>
      <w:r w:rsidR="00427468">
        <w:rPr>
          <w:kern w:val="0"/>
        </w:rPr>
        <w:t xml:space="preserve"> of </w:t>
      </w:r>
      <w:r>
        <w:rPr>
          <w:kern w:val="0"/>
        </w:rPr>
        <w:t>associated depression. No statistically significant effects were found for CBT</w:t>
      </w:r>
      <w:r w:rsidR="005853A9">
        <w:rPr>
          <w:kern w:val="0"/>
        </w:rPr>
        <w:t xml:space="preserve"> and </w:t>
      </w:r>
      <w:r>
        <w:rPr>
          <w:kern w:val="0"/>
        </w:rPr>
        <w:t>DDP interventions on either outcome, with the effect sizes moderate for DDP</w:t>
      </w:r>
      <w:r w:rsidR="005853A9">
        <w:rPr>
          <w:kern w:val="0"/>
        </w:rPr>
        <w:t xml:space="preserve"> and </w:t>
      </w:r>
      <w:r>
        <w:rPr>
          <w:kern w:val="0"/>
        </w:rPr>
        <w:t>small for CBT. For comparisons between different comprehensive psychotherapies, statistically significant superiority was demonstrated for DBT over CCT (core</w:t>
      </w:r>
      <w:r w:rsidR="005853A9">
        <w:rPr>
          <w:kern w:val="0"/>
        </w:rPr>
        <w:t xml:space="preserve"> and </w:t>
      </w:r>
      <w:r>
        <w:rPr>
          <w:kern w:val="0"/>
        </w:rPr>
        <w:t>associated pathology)</w:t>
      </w:r>
      <w:r w:rsidR="005853A9">
        <w:rPr>
          <w:kern w:val="0"/>
        </w:rPr>
        <w:t xml:space="preserve"> and </w:t>
      </w:r>
      <w:r>
        <w:rPr>
          <w:kern w:val="0"/>
        </w:rPr>
        <w:t>SFT over TFP (BPD severity</w:t>
      </w:r>
      <w:r w:rsidR="005853A9">
        <w:rPr>
          <w:kern w:val="0"/>
        </w:rPr>
        <w:t xml:space="preserve"> and </w:t>
      </w:r>
      <w:r>
        <w:rPr>
          <w:kern w:val="0"/>
        </w:rPr>
        <w:t>treatment retention)</w:t>
      </w:r>
      <w:r w:rsidR="00A37C1D">
        <w:rPr>
          <w:kern w:val="0"/>
        </w:rPr>
        <w:t>. The</w:t>
      </w:r>
      <w:r>
        <w:rPr>
          <w:kern w:val="0"/>
        </w:rPr>
        <w:t>re were also encouraging results for each</w:t>
      </w:r>
      <w:r w:rsidR="00427468">
        <w:rPr>
          <w:kern w:val="0"/>
        </w:rPr>
        <w:t xml:space="preserve"> of </w:t>
      </w:r>
      <w:r>
        <w:rPr>
          <w:kern w:val="0"/>
        </w:rPr>
        <w:t>the non-comprehensive psychotherapeutic interventions investigated in terms</w:t>
      </w:r>
      <w:r w:rsidR="00427468">
        <w:rPr>
          <w:kern w:val="0"/>
        </w:rPr>
        <w:t xml:space="preserve"> of </w:t>
      </w:r>
      <w:r>
        <w:rPr>
          <w:kern w:val="0"/>
        </w:rPr>
        <w:t>both core</w:t>
      </w:r>
      <w:r w:rsidR="005853A9">
        <w:rPr>
          <w:kern w:val="0"/>
        </w:rPr>
        <w:t xml:space="preserve"> and </w:t>
      </w:r>
      <w:r>
        <w:rPr>
          <w:kern w:val="0"/>
        </w:rPr>
        <w:t>associated pathology. No data were available for adverse effects</w:t>
      </w:r>
      <w:r w:rsidR="00427468">
        <w:rPr>
          <w:kern w:val="0"/>
        </w:rPr>
        <w:t xml:space="preserve"> of </w:t>
      </w:r>
      <w:r>
        <w:rPr>
          <w:kern w:val="0"/>
        </w:rPr>
        <w:t>any psychotherapy. Authors</w:t>
      </w:r>
      <w:r w:rsidR="0071223E">
        <w:rPr>
          <w:kern w:val="0"/>
        </w:rPr>
        <w:t>’</w:t>
      </w:r>
      <w:r>
        <w:rPr>
          <w:kern w:val="0"/>
        </w:rPr>
        <w:t xml:space="preserve"> conclusions There are indications</w:t>
      </w:r>
      <w:r w:rsidR="00427468">
        <w:rPr>
          <w:kern w:val="0"/>
        </w:rPr>
        <w:t xml:space="preserve"> of </w:t>
      </w:r>
      <w:r>
        <w:rPr>
          <w:kern w:val="0"/>
        </w:rPr>
        <w:t>beneficial effects for both comprehensive psychotherapies as well as non-comprehensive psychotherapeutic interventions for BPD core pathology</w:t>
      </w:r>
      <w:r w:rsidR="005853A9">
        <w:rPr>
          <w:kern w:val="0"/>
        </w:rPr>
        <w:t xml:space="preserve"> and </w:t>
      </w:r>
      <w:r>
        <w:rPr>
          <w:kern w:val="0"/>
        </w:rPr>
        <w:t>associated general psychopathology. DBT has been studied most intensely, followed by MBT, TFP, SFT</w:t>
      </w:r>
      <w:r w:rsidR="005853A9">
        <w:rPr>
          <w:kern w:val="0"/>
        </w:rPr>
        <w:t xml:space="preserve"> and </w:t>
      </w:r>
      <w:r>
        <w:rPr>
          <w:kern w:val="0"/>
        </w:rPr>
        <w:t>STEPPS. However, none</w:t>
      </w:r>
      <w:r w:rsidR="00427468">
        <w:rPr>
          <w:kern w:val="0"/>
        </w:rPr>
        <w:t xml:space="preserve"> of </w:t>
      </w:r>
      <w:r>
        <w:rPr>
          <w:kern w:val="0"/>
        </w:rPr>
        <w:t>the treatments has a very robust evidence base,</w:t>
      </w:r>
      <w:r w:rsidR="005853A9">
        <w:rPr>
          <w:kern w:val="0"/>
        </w:rPr>
        <w:t xml:space="preserve"> and </w:t>
      </w:r>
      <w:r>
        <w:rPr>
          <w:kern w:val="0"/>
        </w:rPr>
        <w:t>there are some concerns regarding the quality</w:t>
      </w:r>
      <w:r w:rsidR="00427468">
        <w:rPr>
          <w:kern w:val="0"/>
        </w:rPr>
        <w:t xml:space="preserve"> of </w:t>
      </w:r>
      <w:r>
        <w:rPr>
          <w:kern w:val="0"/>
        </w:rPr>
        <w:t>individual studies. Overall, the findings support a substantial role for psychotherapy in the treatment</w:t>
      </w:r>
      <w:r w:rsidR="00427468">
        <w:rPr>
          <w:kern w:val="0"/>
        </w:rPr>
        <w:t xml:space="preserve"> of </w:t>
      </w:r>
      <w:r>
        <w:rPr>
          <w:kern w:val="0"/>
        </w:rPr>
        <w:t>people with BPD but clearly indicate a need for replicatory studies.</w:t>
      </w:r>
    </w:p>
    <w:p w:rsidR="00365DE4" w:rsidRDefault="00365DE4" w:rsidP="00365DE4">
      <w:pPr>
        <w:pStyle w:val="a3"/>
        <w:rPr>
          <w:kern w:val="0"/>
        </w:rPr>
      </w:pPr>
      <w:r>
        <w:rPr>
          <w:kern w:val="0"/>
        </w:rPr>
        <w:t xml:space="preserve">Keywords: *Therapy], Adverse Effects, Alcohol-Use Disorders, Analysis, Assessment, Authors, Availability, Behavior Therapy, Behaviour, Bias, Borderline, Borderline Personality Disorder [Psychology, Cbt, Citation, Cognitive Analytic Therapy, Collection, Comparison, Confidence, Control, Crisis, Criteria, Ct, Data, Databases, Deficit Hyperactivity Disorder, Deliberate Self-Harm, Depression, Dialectical Behavior-Therapy, Dsm-Iv, Dynamic, Effects, Estimates, Evidence, General, Group Therapy, Health, Health-Service Utilization, Humans, Indication, Indications, Interval, Intervention, Interventions, </w:t>
      </w:r>
      <w:r w:rsidR="00D5664A">
        <w:rPr>
          <w:kern w:val="0"/>
        </w:rPr>
        <w:t>MEDLINE</w:t>
      </w:r>
      <w:r>
        <w:rPr>
          <w:kern w:val="0"/>
        </w:rPr>
        <w:t xml:space="preserve">, Mental Health, Methods, Mode, Oriented Partial Hospitalization, Outcome, Outcomes, Outpatient, Pathology, Patients, Personality, Problem-Solving Stepps, Psychoanalysis, Psychoeducation, Psychological, Psychotherapy, Psychotherapy [*Methods], Psychotherapy,Group, Psycinfo, Ptsd, Quality, Quality Of, Randomized Controlled Trials As Topic, Randomized Controlled-Trial, Recent, Regulation, Retention, Review, Risk, Role, </w:t>
      </w:r>
      <w:r>
        <w:rPr>
          <w:kern w:val="0"/>
        </w:rPr>
        <w:lastRenderedPageBreak/>
        <w:t>Science, Science Citation Index, Search, Small, Social Science Citation Index, Support, Symptoms, Systems, Therapeutic, Therapy, Training, Transference-Focused Psychotherapy, Treatment</w:t>
      </w:r>
    </w:p>
    <w:p w:rsidR="00365DE4" w:rsidRDefault="00365DE4" w:rsidP="00365DE4">
      <w:pPr>
        <w:pStyle w:val="a3"/>
        <w:rPr>
          <w:kern w:val="0"/>
        </w:rPr>
      </w:pPr>
      <w:r>
        <w:rPr>
          <w:kern w:val="0"/>
        </w:rPr>
        <w:t>? Gluud, L.L.</w:t>
      </w:r>
      <w:r w:rsidR="005853A9">
        <w:rPr>
          <w:kern w:val="0"/>
        </w:rPr>
        <w:t xml:space="preserve"> and </w:t>
      </w:r>
      <w:r>
        <w:rPr>
          <w:kern w:val="0"/>
        </w:rPr>
        <w:t xml:space="preserve">Krag, A. (2012), Banding ligation versus beta-blockers for primary prevention in oesophageal varices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CD004544.</w:t>
      </w:r>
    </w:p>
    <w:p w:rsidR="00365DE4" w:rsidRDefault="00365DE4" w:rsidP="00365DE4">
      <w:pPr>
        <w:pStyle w:val="a3"/>
        <w:rPr>
          <w:kern w:val="2"/>
        </w:rPr>
      </w:pPr>
      <w:r>
        <w:t xml:space="preserve">Full Text: </w:t>
      </w:r>
      <w:hyperlink r:id="rId765" w:history="1">
        <w:r>
          <w:rPr>
            <w:rStyle w:val="a5"/>
          </w:rPr>
          <w:t>2012\Coc Dat Sys Rev2012, CD004544.pdf</w:t>
        </w:r>
      </w:hyperlink>
    </w:p>
    <w:p w:rsidR="00365DE4" w:rsidRDefault="00365DE4" w:rsidP="00365DE4">
      <w:pPr>
        <w:pStyle w:val="a3"/>
        <w:rPr>
          <w:kern w:val="0"/>
        </w:rPr>
      </w:pPr>
      <w:r>
        <w:rPr>
          <w:kern w:val="0"/>
        </w:rPr>
        <w:t>Abstract: Background Non-selective beta-blockers are used as a first-line treatment for primary prevention in patients with medium- to high-risk oesophageal varices</w:t>
      </w:r>
      <w:r w:rsidR="00A37C1D">
        <w:rPr>
          <w:kern w:val="0"/>
        </w:rPr>
        <w:t>. The</w:t>
      </w:r>
      <w:r>
        <w:rPr>
          <w:kern w:val="0"/>
        </w:rPr>
        <w:t xml:space="preserve"> effect</w:t>
      </w:r>
      <w:r w:rsidR="00427468">
        <w:rPr>
          <w:kern w:val="0"/>
        </w:rPr>
        <w:t xml:space="preserve"> of </w:t>
      </w:r>
      <w:r>
        <w:rPr>
          <w:kern w:val="0"/>
        </w:rPr>
        <w:t>non-selective beta-blockers on mortality is debated</w:t>
      </w:r>
      <w:r w:rsidR="005853A9">
        <w:rPr>
          <w:kern w:val="0"/>
        </w:rPr>
        <w:t xml:space="preserve"> and </w:t>
      </w:r>
      <w:r>
        <w:rPr>
          <w:kern w:val="0"/>
        </w:rPr>
        <w:t>many patients experience adverse events. Trials on banding ligation versus non-selective beta-blockers for patients with oesophageal varices</w:t>
      </w:r>
      <w:r w:rsidR="005853A9">
        <w:rPr>
          <w:kern w:val="0"/>
        </w:rPr>
        <w:t xml:space="preserve"> and </w:t>
      </w:r>
      <w:r>
        <w:rPr>
          <w:kern w:val="0"/>
        </w:rPr>
        <w:t>no history</w:t>
      </w:r>
      <w:r w:rsidR="00427468">
        <w:rPr>
          <w:kern w:val="0"/>
        </w:rPr>
        <w:t xml:space="preserve"> of </w:t>
      </w:r>
      <w:r>
        <w:rPr>
          <w:kern w:val="0"/>
        </w:rPr>
        <w:t>bleeding have reached equivocal results. Objectives To compare the benefits</w:t>
      </w:r>
      <w:r w:rsidR="005853A9">
        <w:rPr>
          <w:kern w:val="0"/>
        </w:rPr>
        <w:t xml:space="preserve"> and </w:t>
      </w:r>
      <w:r>
        <w:rPr>
          <w:kern w:val="0"/>
        </w:rPr>
        <w:t>harms</w:t>
      </w:r>
      <w:r w:rsidR="00427468">
        <w:rPr>
          <w:kern w:val="0"/>
        </w:rPr>
        <w:t xml:space="preserve"> of </w:t>
      </w:r>
      <w:r>
        <w:rPr>
          <w:kern w:val="0"/>
        </w:rPr>
        <w:t>banding ligation versus non-selective beta-blockers as primary prevention in adult patients with endoscopically verified oesophageal varices that have never bled, irrespective</w:t>
      </w:r>
      <w:r w:rsidR="00427468">
        <w:rPr>
          <w:kern w:val="0"/>
        </w:rPr>
        <w:t xml:space="preserve"> of </w:t>
      </w:r>
      <w:r>
        <w:rPr>
          <w:kern w:val="0"/>
        </w:rPr>
        <w:t xml:space="preserve">the underlying liver disease (cirrhosis or other cause). Search methods In Febuary 2012, electronic searches (the Cochrane Hepato-Biliary Group Controlled Trials Register, The Cochrane Library, </w:t>
      </w:r>
      <w:r w:rsidR="00D5664A">
        <w:rPr>
          <w:kern w:val="0"/>
        </w:rPr>
        <w:t>MEDLINE</w:t>
      </w:r>
      <w:r>
        <w:rPr>
          <w:kern w:val="0"/>
        </w:rPr>
        <w:t>, EMBASE,</w:t>
      </w:r>
      <w:r w:rsidR="005853A9">
        <w:rPr>
          <w:kern w:val="0"/>
        </w:rPr>
        <w:t xml:space="preserve"> and </w:t>
      </w:r>
      <w:r>
        <w:rPr>
          <w:kern w:val="0"/>
        </w:rPr>
        <w:t>Science Citation Index Expanded)</w:t>
      </w:r>
      <w:r w:rsidR="005853A9">
        <w:rPr>
          <w:kern w:val="0"/>
        </w:rPr>
        <w:t xml:space="preserve"> and </w:t>
      </w:r>
      <w:r>
        <w:rPr>
          <w:kern w:val="0"/>
        </w:rPr>
        <w:t>manual searches (including scanning</w:t>
      </w:r>
      <w:r w:rsidR="00427468">
        <w:rPr>
          <w:kern w:val="0"/>
        </w:rPr>
        <w:t xml:space="preserve"> of </w:t>
      </w:r>
      <w:r>
        <w:rPr>
          <w:kern w:val="0"/>
        </w:rPr>
        <w:t>reference lists in relevant articles</w:t>
      </w:r>
      <w:r w:rsidR="005853A9">
        <w:rPr>
          <w:kern w:val="0"/>
        </w:rPr>
        <w:t xml:space="preserve"> and </w:t>
      </w:r>
      <w:r>
        <w:rPr>
          <w:kern w:val="0"/>
        </w:rPr>
        <w:t>conference proceedings) were performed. Selection criteria Randomised trials were included irrespective</w:t>
      </w:r>
      <w:r w:rsidR="00427468">
        <w:rPr>
          <w:kern w:val="0"/>
        </w:rPr>
        <w:t xml:space="preserve"> of </w:t>
      </w:r>
      <w:r>
        <w:rPr>
          <w:kern w:val="0"/>
        </w:rPr>
        <w:t>publication status, blinding,</w:t>
      </w:r>
      <w:r w:rsidR="005853A9">
        <w:rPr>
          <w:kern w:val="0"/>
        </w:rPr>
        <w:t xml:space="preserve"> and </w:t>
      </w:r>
      <w:r>
        <w:rPr>
          <w:kern w:val="0"/>
        </w:rPr>
        <w:t>language. Data collection</w:t>
      </w:r>
      <w:r w:rsidR="005853A9">
        <w:rPr>
          <w:kern w:val="0"/>
        </w:rPr>
        <w:t xml:space="preserve"> and </w:t>
      </w:r>
      <w:r>
        <w:rPr>
          <w:kern w:val="0"/>
        </w:rPr>
        <w:t>analysis Review authors independently extracted data. All-cause mortality was the primary outcome. Intention-to-treat random-effects</w:t>
      </w:r>
      <w:r w:rsidR="005853A9">
        <w:rPr>
          <w:kern w:val="0"/>
        </w:rPr>
        <w:t xml:space="preserve"> and </w:t>
      </w:r>
      <w:r>
        <w:rPr>
          <w:kern w:val="0"/>
        </w:rPr>
        <w:t>fixed-effect model meta-analyses were performed. Results were presented as risk ratios (RR)</w:t>
      </w:r>
      <w:r w:rsidR="005853A9">
        <w:rPr>
          <w:kern w:val="0"/>
        </w:rPr>
        <w:t xml:space="preserve"> and </w:t>
      </w:r>
      <w:r>
        <w:rPr>
          <w:kern w:val="0"/>
        </w:rPr>
        <w:t>95% confidence intervals (CI) with I 2 statistic values as a measure</w:t>
      </w:r>
      <w:r w:rsidR="00427468">
        <w:rPr>
          <w:kern w:val="0"/>
        </w:rPr>
        <w:t xml:space="preserve"> of </w:t>
      </w:r>
      <w:r>
        <w:rPr>
          <w:kern w:val="0"/>
        </w:rPr>
        <w:t>intertrial heterogeneity. Subgroup, sensitivity, regression,</w:t>
      </w:r>
      <w:r w:rsidR="005853A9">
        <w:rPr>
          <w:kern w:val="0"/>
        </w:rPr>
        <w:t xml:space="preserve"> and </w:t>
      </w:r>
      <w:r>
        <w:rPr>
          <w:kern w:val="0"/>
        </w:rPr>
        <w:t>trial sequential analyses were performed to evaluate the robustness</w:t>
      </w:r>
      <w:r w:rsidR="00427468">
        <w:rPr>
          <w:kern w:val="0"/>
        </w:rPr>
        <w:t xml:space="preserve"> of </w:t>
      </w:r>
      <w:r>
        <w:rPr>
          <w:kern w:val="0"/>
        </w:rPr>
        <w:t>the overall results, risks</w:t>
      </w:r>
      <w:r w:rsidR="00427468">
        <w:rPr>
          <w:kern w:val="0"/>
        </w:rPr>
        <w:t xml:space="preserve"> of </w:t>
      </w:r>
      <w:r>
        <w:rPr>
          <w:kern w:val="0"/>
        </w:rPr>
        <w:t>bias, sources</w:t>
      </w:r>
      <w:r w:rsidR="00427468">
        <w:rPr>
          <w:kern w:val="0"/>
        </w:rPr>
        <w:t xml:space="preserve"> of </w:t>
      </w:r>
      <w:r>
        <w:rPr>
          <w:kern w:val="0"/>
        </w:rPr>
        <w:t>intertrial heterogeneity,</w:t>
      </w:r>
      <w:r w:rsidR="005853A9">
        <w:rPr>
          <w:kern w:val="0"/>
        </w:rPr>
        <w:t xml:space="preserve"> and </w:t>
      </w:r>
      <w:r>
        <w:rPr>
          <w:kern w:val="0"/>
        </w:rPr>
        <w:t>risks</w:t>
      </w:r>
      <w:r w:rsidR="00427468">
        <w:rPr>
          <w:kern w:val="0"/>
        </w:rPr>
        <w:t xml:space="preserve"> of </w:t>
      </w:r>
      <w:r>
        <w:rPr>
          <w:kern w:val="0"/>
        </w:rPr>
        <w:t>random errors. Main results Nineteen randomised trials on banding ligation versus non-selective beta-blockers for primary prevention in oesophageal varices were included. Most trials specified that only patients with large or high-risk oesophageal varices were included. Bias control was unclear in most trials. In total, 176</w:t>
      </w:r>
      <w:r w:rsidR="00427468">
        <w:rPr>
          <w:kern w:val="0"/>
        </w:rPr>
        <w:t xml:space="preserve"> of </w:t>
      </w:r>
      <w:r>
        <w:rPr>
          <w:kern w:val="0"/>
        </w:rPr>
        <w:t>731 (24%)</w:t>
      </w:r>
      <w:r w:rsidR="00427468">
        <w:rPr>
          <w:kern w:val="0"/>
        </w:rPr>
        <w:t xml:space="preserve"> of </w:t>
      </w:r>
      <w:r>
        <w:rPr>
          <w:kern w:val="0"/>
        </w:rPr>
        <w:t>the patients randomised to banding ligation</w:t>
      </w:r>
      <w:r w:rsidR="005853A9">
        <w:rPr>
          <w:kern w:val="0"/>
        </w:rPr>
        <w:t xml:space="preserve"> and </w:t>
      </w:r>
      <w:r>
        <w:rPr>
          <w:kern w:val="0"/>
        </w:rPr>
        <w:t>177</w:t>
      </w:r>
      <w:r w:rsidR="00427468">
        <w:rPr>
          <w:kern w:val="0"/>
        </w:rPr>
        <w:t xml:space="preserve"> of </w:t>
      </w:r>
      <w:r>
        <w:rPr>
          <w:kern w:val="0"/>
        </w:rPr>
        <w:t>773 (23%)</w:t>
      </w:r>
      <w:r w:rsidR="00427468">
        <w:rPr>
          <w:kern w:val="0"/>
        </w:rPr>
        <w:t xml:space="preserve"> of </w:t>
      </w:r>
      <w:r>
        <w:rPr>
          <w:kern w:val="0"/>
        </w:rPr>
        <w:t>patients randomised to non-selective beta-blockers died</w:t>
      </w:r>
      <w:r w:rsidR="00A37C1D">
        <w:rPr>
          <w:kern w:val="0"/>
        </w:rPr>
        <w:t>. The</w:t>
      </w:r>
      <w:r>
        <w:rPr>
          <w:kern w:val="0"/>
        </w:rPr>
        <w:t xml:space="preserve"> difference was not statistically significant in a random-effects meta-analysis (RR 1.09; 95% CI 0.92 to 1.30; I-2 = 0%)</w:t>
      </w:r>
      <w:r w:rsidR="00A37C1D">
        <w:rPr>
          <w:kern w:val="0"/>
        </w:rPr>
        <w:t>. The</w:t>
      </w:r>
      <w:r>
        <w:rPr>
          <w:kern w:val="0"/>
        </w:rPr>
        <w:t>re was no evidence</w:t>
      </w:r>
      <w:r w:rsidR="00427468">
        <w:rPr>
          <w:kern w:val="0"/>
        </w:rPr>
        <w:t xml:space="preserve"> of </w:t>
      </w:r>
      <w:r>
        <w:rPr>
          <w:kern w:val="0"/>
        </w:rPr>
        <w:t>bias or small study effects in regression analysis (Egger</w:t>
      </w:r>
      <w:r w:rsidR="0071223E">
        <w:rPr>
          <w:kern w:val="0"/>
        </w:rPr>
        <w:t>’</w:t>
      </w:r>
      <w:r>
        <w:rPr>
          <w:kern w:val="0"/>
        </w:rPr>
        <w:t>s test P = 0.997). Trial sequential analysis showed that the heterogeneity-adjusted low-bias trial relative risk estimate required an information size</w:t>
      </w:r>
      <w:r w:rsidR="00427468">
        <w:rPr>
          <w:kern w:val="0"/>
        </w:rPr>
        <w:t xml:space="preserve"> of </w:t>
      </w:r>
      <w:r>
        <w:rPr>
          <w:kern w:val="0"/>
        </w:rPr>
        <w:t>3211 patients, that none</w:t>
      </w:r>
      <w:r w:rsidR="00427468">
        <w:rPr>
          <w:kern w:val="0"/>
        </w:rPr>
        <w:t xml:space="preserve"> of </w:t>
      </w:r>
      <w:r>
        <w:rPr>
          <w:kern w:val="0"/>
        </w:rPr>
        <w:t>the interventions showed superiority,</w:t>
      </w:r>
      <w:r w:rsidR="005853A9">
        <w:rPr>
          <w:kern w:val="0"/>
        </w:rPr>
        <w:t xml:space="preserve"> and </w:t>
      </w:r>
      <w:r>
        <w:rPr>
          <w:kern w:val="0"/>
        </w:rPr>
        <w:t>that the limits</w:t>
      </w:r>
      <w:r w:rsidR="00427468">
        <w:rPr>
          <w:kern w:val="0"/>
        </w:rPr>
        <w:t xml:space="preserve"> of </w:t>
      </w:r>
      <w:r>
        <w:rPr>
          <w:kern w:val="0"/>
        </w:rPr>
        <w:t xml:space="preserve">futility have not been reached. </w:t>
      </w:r>
      <w:r>
        <w:rPr>
          <w:kern w:val="0"/>
        </w:rPr>
        <w:lastRenderedPageBreak/>
        <w:t>When all trials were included, banding ligation reduced upper gastrointestinal bleeding</w:t>
      </w:r>
      <w:r w:rsidR="005853A9">
        <w:rPr>
          <w:kern w:val="0"/>
        </w:rPr>
        <w:t xml:space="preserve"> and </w:t>
      </w:r>
      <w:r>
        <w:rPr>
          <w:kern w:val="0"/>
        </w:rPr>
        <w:t>variceal bleeding compared with non-selective beta-blockers (RR 0.69; 95% CI 0.52 to 0.91; I-2 = 19%</w:t>
      </w:r>
      <w:r w:rsidR="005853A9">
        <w:rPr>
          <w:kern w:val="0"/>
        </w:rPr>
        <w:t xml:space="preserve"> and </w:t>
      </w:r>
      <w:r>
        <w:rPr>
          <w:kern w:val="0"/>
        </w:rPr>
        <w:t>RR 0.67; 95% CI 0.46 to 0.98; I-2 = 31% respectively)</w:t>
      </w:r>
      <w:r w:rsidR="00A37C1D">
        <w:rPr>
          <w:kern w:val="0"/>
        </w:rPr>
        <w:t>. The</w:t>
      </w:r>
      <w:r>
        <w:rPr>
          <w:kern w:val="0"/>
        </w:rPr>
        <w:t xml:space="preserve"> beneficial effect</w:t>
      </w:r>
      <w:r w:rsidR="00427468">
        <w:rPr>
          <w:kern w:val="0"/>
        </w:rPr>
        <w:t xml:space="preserve"> of </w:t>
      </w:r>
      <w:r>
        <w:rPr>
          <w:kern w:val="0"/>
        </w:rPr>
        <w:t>banding ligation on bleeding was not confirmed in subgroup analyses</w:t>
      </w:r>
      <w:r w:rsidR="00427468">
        <w:rPr>
          <w:kern w:val="0"/>
        </w:rPr>
        <w:t xml:space="preserve"> of </w:t>
      </w:r>
      <w:r>
        <w:rPr>
          <w:kern w:val="0"/>
        </w:rPr>
        <w:t>trials with adequate randomisation or full paper articles. Bleeding-related mortality was not different in the two intervention arms (29/567 (5.1%) versus 37/585 (6.3%); RR 0.85; 95% CI 0.53 to 1.39; I-2 = 0%). Both interventions were associated with adverse events. Authors</w:t>
      </w:r>
      <w:r w:rsidR="0071223E">
        <w:rPr>
          <w:kern w:val="0"/>
        </w:rPr>
        <w:t>’</w:t>
      </w:r>
      <w:r>
        <w:rPr>
          <w:kern w:val="0"/>
        </w:rPr>
        <w:t xml:space="preserve"> conclusions This review found a beneficial effect</w:t>
      </w:r>
      <w:r w:rsidR="00427468">
        <w:rPr>
          <w:kern w:val="0"/>
        </w:rPr>
        <w:t xml:space="preserve"> of </w:t>
      </w:r>
      <w:r>
        <w:rPr>
          <w:kern w:val="0"/>
        </w:rPr>
        <w:t>banding ligation on primary prevention</w:t>
      </w:r>
      <w:r w:rsidR="00427468">
        <w:rPr>
          <w:kern w:val="0"/>
        </w:rPr>
        <w:t xml:space="preserve"> of </w:t>
      </w:r>
      <w:r>
        <w:rPr>
          <w:kern w:val="0"/>
        </w:rPr>
        <w:t>upper gastrointestinal bleeding in patient with oesophageal varices</w:t>
      </w:r>
      <w:r w:rsidR="00A37C1D">
        <w:rPr>
          <w:kern w:val="0"/>
        </w:rPr>
        <w:t>. The</w:t>
      </w:r>
      <w:r>
        <w:rPr>
          <w:kern w:val="0"/>
        </w:rPr>
        <w:t xml:space="preserve"> effect on bleeding did not reduce mortality. Additional evidence is needed to determine whether our results reflect that non-selective beta-blockers have other beneficial effects than on bleeding.</w:t>
      </w:r>
    </w:p>
    <w:p w:rsidR="00365DE4" w:rsidRDefault="00365DE4" w:rsidP="00365DE4">
      <w:pPr>
        <w:pStyle w:val="a3"/>
        <w:rPr>
          <w:kern w:val="0"/>
        </w:rPr>
      </w:pPr>
      <w:r>
        <w:rPr>
          <w:kern w:val="0"/>
        </w:rPr>
        <w:t xml:space="preserve">Keywords: Adult, Analyses, Analysis, Authors, Betablockers, Bias, Bleeding, Cirrhosis, Cirrhotic-Patients, Citation, Collection, Confidence, Confidence Intervals, Control, Criteria, Data, Disease, Effects, Empirical-Evidence, Endoscopic Ligation, Errors, Events, Evidence, Experience, Futility, Heterogeneity, History, Information, Intervals, Intervention, Interventions, Isosorbide Mononitrate, Language, Liver, Measure, </w:t>
      </w:r>
      <w:r w:rsidR="00D5664A">
        <w:rPr>
          <w:kern w:val="0"/>
        </w:rPr>
        <w:t>MEDLINE</w:t>
      </w:r>
      <w:r>
        <w:rPr>
          <w:kern w:val="0"/>
        </w:rPr>
        <w:t>, Meta-Analysis, Metaanalysis, Methods, Model, Mortality, Oesophageal Varices, Outcome, P, Patients, Portal-Hypertension, Prevention, Primary, Primary Prevention, Primary Prophylaxis, Propranolol Plus Isosorbide-5-Mononitrate, Prospective Multicenter, Publication, Randomisation, Randomised, Randomized Controlled-Trial, Reference, Reference Lists, Regression, Regression Analysis, Relative Risk, Review, Risk, Risks, Robustness, Science, Science Citation Index, Science Citation Index Expanded, Search, Sensitivity, Sequential-Analysis, Size, Small, Sources, Treatment, Trial, Varices</w:t>
      </w:r>
    </w:p>
    <w:p w:rsidR="00365DE4" w:rsidRDefault="00365DE4" w:rsidP="00365DE4">
      <w:pPr>
        <w:pStyle w:val="a3"/>
        <w:rPr>
          <w:kern w:val="0"/>
        </w:rPr>
      </w:pPr>
      <w:r>
        <w:rPr>
          <w:kern w:val="0"/>
        </w:rPr>
        <w:t>? Langer, G., Grossmann, K., Fleischer, S., Berg, A., Grothues, D., Wienke, A., Behrens, J.</w:t>
      </w:r>
      <w:r w:rsidR="005853A9">
        <w:rPr>
          <w:kern w:val="0"/>
        </w:rPr>
        <w:t xml:space="preserve"> and </w:t>
      </w:r>
      <w:r>
        <w:rPr>
          <w:kern w:val="0"/>
        </w:rPr>
        <w:t xml:space="preserve">Fink, A. (2012), Nutritional interventions for liver-transplanted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CD007605.</w:t>
      </w:r>
    </w:p>
    <w:p w:rsidR="00365DE4" w:rsidRDefault="00365DE4" w:rsidP="00365DE4">
      <w:pPr>
        <w:pStyle w:val="a3"/>
        <w:rPr>
          <w:kern w:val="2"/>
        </w:rPr>
      </w:pPr>
      <w:r>
        <w:t xml:space="preserve">Full Text: </w:t>
      </w:r>
      <w:hyperlink r:id="rId766" w:history="1">
        <w:r>
          <w:rPr>
            <w:rStyle w:val="a5"/>
          </w:rPr>
          <w:t>2012\Coc Dat Sys Rev2012, CD007605.pdf</w:t>
        </w:r>
      </w:hyperlink>
    </w:p>
    <w:p w:rsidR="00365DE4" w:rsidRDefault="00365DE4" w:rsidP="00365DE4">
      <w:pPr>
        <w:pStyle w:val="a3"/>
        <w:rPr>
          <w:kern w:val="0"/>
        </w:rPr>
      </w:pPr>
      <w:r>
        <w:rPr>
          <w:kern w:val="0"/>
        </w:rPr>
        <w:t>Abstract: Background Malnutrition is a common problem for patients waiting for orthotopic liver transplantation</w:t>
      </w:r>
      <w:r w:rsidR="005853A9">
        <w:rPr>
          <w:kern w:val="0"/>
        </w:rPr>
        <w:t xml:space="preserve"> and </w:t>
      </w:r>
      <w:r>
        <w:rPr>
          <w:kern w:val="0"/>
        </w:rPr>
        <w:t>a risk factor for post-transplant morbidity</w:t>
      </w:r>
      <w:r w:rsidR="00A37C1D">
        <w:rPr>
          <w:kern w:val="0"/>
        </w:rPr>
        <w:t>. The</w:t>
      </w:r>
      <w:r>
        <w:rPr>
          <w:kern w:val="0"/>
        </w:rPr>
        <w:t xml:space="preserve"> decision to initiate enteral or parenteral nutrition, to which patients</w:t>
      </w:r>
      <w:r w:rsidR="005853A9">
        <w:rPr>
          <w:kern w:val="0"/>
        </w:rPr>
        <w:t xml:space="preserve"> and </w:t>
      </w:r>
      <w:r>
        <w:rPr>
          <w:kern w:val="0"/>
        </w:rPr>
        <w:t>at which time, is still debated</w:t>
      </w:r>
      <w:r w:rsidR="00A37C1D">
        <w:rPr>
          <w:kern w:val="0"/>
        </w:rPr>
        <w:t>. The</w:t>
      </w:r>
      <w:r>
        <w:rPr>
          <w:kern w:val="0"/>
        </w:rPr>
        <w:t xml:space="preserve"> effects</w:t>
      </w:r>
      <w:r w:rsidR="00427468">
        <w:rPr>
          <w:kern w:val="0"/>
        </w:rPr>
        <w:t xml:space="preserve"> of </w:t>
      </w:r>
      <w:r>
        <w:rPr>
          <w:kern w:val="0"/>
        </w:rPr>
        <w:t>nutritional supplements given before or after liver transplantation, or both, still remains unclear. Objectives The aim</w:t>
      </w:r>
      <w:r w:rsidR="00427468">
        <w:rPr>
          <w:kern w:val="0"/>
        </w:rPr>
        <w:t xml:space="preserve"> of </w:t>
      </w:r>
      <w:r>
        <w:rPr>
          <w:kern w:val="0"/>
        </w:rPr>
        <w:t>this review was to assess the beneficial</w:t>
      </w:r>
      <w:r w:rsidR="005853A9">
        <w:rPr>
          <w:kern w:val="0"/>
        </w:rPr>
        <w:t xml:space="preserve"> and </w:t>
      </w:r>
      <w:r>
        <w:rPr>
          <w:kern w:val="0"/>
        </w:rPr>
        <w:t>harmful effects</w:t>
      </w:r>
      <w:r w:rsidR="00427468">
        <w:rPr>
          <w:kern w:val="0"/>
        </w:rPr>
        <w:t xml:space="preserve"> of </w:t>
      </w:r>
      <w:r>
        <w:rPr>
          <w:kern w:val="0"/>
        </w:rPr>
        <w:t>enteral</w:t>
      </w:r>
      <w:r w:rsidR="005853A9">
        <w:rPr>
          <w:kern w:val="0"/>
        </w:rPr>
        <w:t xml:space="preserve"> and </w:t>
      </w:r>
      <w:r>
        <w:rPr>
          <w:kern w:val="0"/>
        </w:rPr>
        <w:t>parenteral nutrition as well as oral nutritional supplements administered to patients before</w:t>
      </w:r>
      <w:r w:rsidR="005853A9">
        <w:rPr>
          <w:kern w:val="0"/>
        </w:rPr>
        <w:t xml:space="preserve"> and </w:t>
      </w:r>
      <w:r>
        <w:rPr>
          <w:kern w:val="0"/>
        </w:rPr>
        <w:t>after liver transplantation. Search methods We searched the Cochrane Hepato-Biliary Group Controlled Trials Register (March 2012), the Cochrane Central Register</w:t>
      </w:r>
      <w:r w:rsidR="00427468">
        <w:rPr>
          <w:kern w:val="0"/>
        </w:rPr>
        <w:t xml:space="preserve"> of </w:t>
      </w:r>
      <w:r>
        <w:rPr>
          <w:kern w:val="0"/>
        </w:rPr>
        <w:lastRenderedPageBreak/>
        <w:t>Controlled Trials (Issue 2</w:t>
      </w:r>
      <w:r w:rsidR="00427468">
        <w:rPr>
          <w:kern w:val="0"/>
        </w:rPr>
        <w:t xml:space="preserve"> of </w:t>
      </w:r>
      <w:r>
        <w:rPr>
          <w:kern w:val="0"/>
        </w:rPr>
        <w:t xml:space="preserve">12, 2012) in The Cochrane Library, </w:t>
      </w:r>
      <w:r w:rsidR="00D5664A">
        <w:rPr>
          <w:kern w:val="0"/>
        </w:rPr>
        <w:t>MEDLINE</w:t>
      </w:r>
      <w:r>
        <w:rPr>
          <w:kern w:val="0"/>
        </w:rPr>
        <w:t xml:space="preserve"> (January 1946 to March 2012), EMBASE (January 1974 to March 2012), Science Citation Index Expanded (January 1900 to March 2012), Social Science Citation Index (January 1961 to October 2010),</w:t>
      </w:r>
      <w:r w:rsidR="005853A9">
        <w:rPr>
          <w:kern w:val="0"/>
        </w:rPr>
        <w:t xml:space="preserve"> and </w:t>
      </w:r>
      <w:r>
        <w:rPr>
          <w:kern w:val="0"/>
        </w:rPr>
        <w:t>reference lists</w:t>
      </w:r>
      <w:r w:rsidR="00427468">
        <w:rPr>
          <w:kern w:val="0"/>
        </w:rPr>
        <w:t xml:space="preserve"> of </w:t>
      </w:r>
      <w:r>
        <w:rPr>
          <w:kern w:val="0"/>
        </w:rPr>
        <w:t>articles. Manufacturers</w:t>
      </w:r>
      <w:r w:rsidR="005853A9">
        <w:rPr>
          <w:kern w:val="0"/>
        </w:rPr>
        <w:t xml:space="preserve"> and </w:t>
      </w:r>
      <w:r>
        <w:rPr>
          <w:kern w:val="0"/>
        </w:rPr>
        <w:t>experts in the field have also been contacted</w:t>
      </w:r>
      <w:r w:rsidR="005853A9">
        <w:rPr>
          <w:kern w:val="0"/>
        </w:rPr>
        <w:t xml:space="preserve"> and </w:t>
      </w:r>
      <w:r>
        <w:rPr>
          <w:kern w:val="0"/>
        </w:rPr>
        <w:t>relevant journals</w:t>
      </w:r>
      <w:r w:rsidR="005853A9">
        <w:rPr>
          <w:kern w:val="0"/>
        </w:rPr>
        <w:t xml:space="preserve"> and </w:t>
      </w:r>
      <w:r>
        <w:rPr>
          <w:kern w:val="0"/>
        </w:rPr>
        <w:t>conference proceedings were handsearched (from 1997 to October 2010). Selection criteria Randomised clinical trials</w:t>
      </w:r>
      <w:r w:rsidR="00427468">
        <w:rPr>
          <w:kern w:val="0"/>
        </w:rPr>
        <w:t xml:space="preserve"> of </w:t>
      </w:r>
      <w:r>
        <w:rPr>
          <w:kern w:val="0"/>
        </w:rPr>
        <w:t>parallel or cross-over design evaluating the beneficial or harmful effects</w:t>
      </w:r>
      <w:r w:rsidR="00427468">
        <w:rPr>
          <w:kern w:val="0"/>
        </w:rPr>
        <w:t xml:space="preserve"> of </w:t>
      </w:r>
      <w:r>
        <w:rPr>
          <w:kern w:val="0"/>
        </w:rPr>
        <w:t>enteral or parenteral nutrition or oral nutritional supplements for patients before</w:t>
      </w:r>
      <w:r w:rsidR="005853A9">
        <w:rPr>
          <w:kern w:val="0"/>
        </w:rPr>
        <w:t xml:space="preserve"> and </w:t>
      </w:r>
      <w:r>
        <w:rPr>
          <w:kern w:val="0"/>
        </w:rPr>
        <w:t>after liver transplantation were eligible for inclusion. Data collection</w:t>
      </w:r>
      <w:r w:rsidR="005853A9">
        <w:rPr>
          <w:kern w:val="0"/>
        </w:rPr>
        <w:t xml:space="preserve"> and </w:t>
      </w:r>
      <w:r>
        <w:rPr>
          <w:kern w:val="0"/>
        </w:rPr>
        <w:t>analysis Two authors independently assessed the risk</w:t>
      </w:r>
      <w:r w:rsidR="00427468">
        <w:rPr>
          <w:kern w:val="0"/>
        </w:rPr>
        <w:t xml:space="preserve"> of </w:t>
      </w:r>
      <w:r>
        <w:rPr>
          <w:kern w:val="0"/>
        </w:rPr>
        <w:t>bias</w:t>
      </w:r>
      <w:r w:rsidR="00427468">
        <w:rPr>
          <w:kern w:val="0"/>
        </w:rPr>
        <w:t xml:space="preserve"> of </w:t>
      </w:r>
      <w:r>
        <w:rPr>
          <w:kern w:val="0"/>
        </w:rPr>
        <w:t>the trials</w:t>
      </w:r>
      <w:r w:rsidR="005853A9">
        <w:rPr>
          <w:kern w:val="0"/>
        </w:rPr>
        <w:t xml:space="preserve"> and </w:t>
      </w:r>
      <w:r>
        <w:rPr>
          <w:kern w:val="0"/>
        </w:rPr>
        <w:t>extracted data. Dichotomous data were reported as odds ratios (OR)</w:t>
      </w:r>
      <w:r w:rsidR="005853A9">
        <w:rPr>
          <w:kern w:val="0"/>
        </w:rPr>
        <w:t xml:space="preserve"> and </w:t>
      </w:r>
      <w:r>
        <w:rPr>
          <w:kern w:val="0"/>
        </w:rPr>
        <w:t>continuous data as mean differences (MD) along with their corresponding 95% confidence intervals (CI). Meta-analysis was not possible due to clinical heterogeneity</w:t>
      </w:r>
      <w:r w:rsidR="00427468">
        <w:rPr>
          <w:kern w:val="0"/>
        </w:rPr>
        <w:t xml:space="preserve"> of </w:t>
      </w:r>
      <w:r>
        <w:rPr>
          <w:kern w:val="0"/>
        </w:rPr>
        <w:t>included interventions. Main results Thirteen trials met the inclusion criteria. Four publications did not report outcomes pre-defined in the review protocol, or other clinically relevant outcomes</w:t>
      </w:r>
      <w:r w:rsidR="005853A9">
        <w:rPr>
          <w:kern w:val="0"/>
        </w:rPr>
        <w:t xml:space="preserve"> and </w:t>
      </w:r>
      <w:r>
        <w:rPr>
          <w:kern w:val="0"/>
        </w:rPr>
        <w:t>additional data could not be obtained. Nine trials could provide data for the review. Most</w:t>
      </w:r>
      <w:r w:rsidR="00427468">
        <w:rPr>
          <w:kern w:val="0"/>
        </w:rPr>
        <w:t xml:space="preserve"> of </w:t>
      </w:r>
      <w:r>
        <w:rPr>
          <w:kern w:val="0"/>
        </w:rPr>
        <w:t>the 13 included trials were small</w:t>
      </w:r>
      <w:r w:rsidR="005853A9">
        <w:rPr>
          <w:kern w:val="0"/>
        </w:rPr>
        <w:t xml:space="preserve"> and </w:t>
      </w:r>
      <w:r>
        <w:rPr>
          <w:kern w:val="0"/>
        </w:rPr>
        <w:t>at high risk</w:t>
      </w:r>
      <w:r w:rsidR="00427468">
        <w:rPr>
          <w:kern w:val="0"/>
        </w:rPr>
        <w:t xml:space="preserve"> of </w:t>
      </w:r>
      <w:r>
        <w:rPr>
          <w:kern w:val="0"/>
        </w:rPr>
        <w:t>bias. Meta-analyses were not possible due to clinical heterogeneity</w:t>
      </w:r>
      <w:r w:rsidR="00427468">
        <w:rPr>
          <w:kern w:val="0"/>
        </w:rPr>
        <w:t xml:space="preserve"> of </w:t>
      </w:r>
      <w:r>
        <w:rPr>
          <w:kern w:val="0"/>
        </w:rPr>
        <w:t>the interventions. No interventions that were likely to be beneficial were identified. For interventions</w:t>
      </w:r>
      <w:r w:rsidR="00427468">
        <w:rPr>
          <w:kern w:val="0"/>
        </w:rPr>
        <w:t xml:space="preserve"> of </w:t>
      </w:r>
      <w:r>
        <w:rPr>
          <w:kern w:val="0"/>
        </w:rPr>
        <w:t>unknown effectiveness, postoperative enteral nutrition compared with postoperative parenteral nutrition seemed to have no beneficial or harmful effects on clinical outcomes. Parenteral nutrition containing protein, fat, carbohydrates,</w:t>
      </w:r>
      <w:r w:rsidR="005853A9">
        <w:rPr>
          <w:kern w:val="0"/>
        </w:rPr>
        <w:t xml:space="preserve"> and </w:t>
      </w:r>
      <w:r>
        <w:rPr>
          <w:kern w:val="0"/>
        </w:rPr>
        <w:t>branched-chain amino acids with or without alanylglutamine seemed to have no beneficial effect on the outcomes</w:t>
      </w:r>
      <w:r w:rsidR="00427468">
        <w:rPr>
          <w:kern w:val="0"/>
        </w:rPr>
        <w:t xml:space="preserve"> of </w:t>
      </w:r>
      <w:r>
        <w:rPr>
          <w:kern w:val="0"/>
        </w:rPr>
        <w:t>one</w:t>
      </w:r>
      <w:r w:rsidR="005853A9">
        <w:rPr>
          <w:kern w:val="0"/>
        </w:rPr>
        <w:t xml:space="preserve"> and </w:t>
      </w:r>
      <w:r>
        <w:rPr>
          <w:kern w:val="0"/>
        </w:rPr>
        <w:t>three years survival when compared with a solution</w:t>
      </w:r>
      <w:r w:rsidR="00427468">
        <w:rPr>
          <w:kern w:val="0"/>
        </w:rPr>
        <w:t xml:space="preserve"> of </w:t>
      </w:r>
      <w:r>
        <w:rPr>
          <w:kern w:val="0"/>
        </w:rPr>
        <w:t>5% dextrose</w:t>
      </w:r>
      <w:r w:rsidR="005853A9">
        <w:rPr>
          <w:kern w:val="0"/>
        </w:rPr>
        <w:t xml:space="preserve"> and </w:t>
      </w:r>
      <w:r>
        <w:rPr>
          <w:kern w:val="0"/>
        </w:rPr>
        <w:t>normal saline. Enteral immunonutrition with Supportan (R) seemed to have no effect on occurrence</w:t>
      </w:r>
      <w:r w:rsidR="00427468">
        <w:rPr>
          <w:kern w:val="0"/>
        </w:rPr>
        <w:t xml:space="preserve"> of </w:t>
      </w:r>
      <w:r>
        <w:rPr>
          <w:kern w:val="0"/>
        </w:rPr>
        <w:t>immunological rejection when compared with enteral nutrition with Fresubin (R)</w:t>
      </w:r>
      <w:r w:rsidR="00A37C1D">
        <w:rPr>
          <w:kern w:val="0"/>
        </w:rPr>
        <w:t>. The</w:t>
      </w:r>
      <w:r>
        <w:rPr>
          <w:kern w:val="0"/>
        </w:rPr>
        <w:t>re is weak evidence that, compared with standard dietary advice, adding a nutritional supplement to usual diet for patients during the waiting time for liver transplantation had an effect on clinical outcomes after liver transplantation</w:t>
      </w:r>
      <w:r w:rsidR="00A37C1D">
        <w:rPr>
          <w:kern w:val="0"/>
        </w:rPr>
        <w:t>. The</w:t>
      </w:r>
      <w:r>
        <w:rPr>
          <w:kern w:val="0"/>
        </w:rPr>
        <w:t xml:space="preserve"> combination</w:t>
      </w:r>
      <w:r w:rsidR="00427468">
        <w:rPr>
          <w:kern w:val="0"/>
        </w:rPr>
        <w:t xml:space="preserve"> of </w:t>
      </w:r>
      <w:r>
        <w:rPr>
          <w:kern w:val="0"/>
        </w:rPr>
        <w:t>enteral nutrition plus parenteral nutrition plus glutamine-dipeptide seemed to be beneficial in reducing length</w:t>
      </w:r>
      <w:r w:rsidR="00427468">
        <w:rPr>
          <w:kern w:val="0"/>
        </w:rPr>
        <w:t xml:space="preserve"> of </w:t>
      </w:r>
      <w:r>
        <w:rPr>
          <w:kern w:val="0"/>
        </w:rPr>
        <w:t>hospital stay after liver transplantation compared with standard parenteral nutrition (mean difference (MD) -12.20 days; 95% CI -20.20 to -4.00)</w:t>
      </w:r>
      <w:r w:rsidR="00A37C1D">
        <w:rPr>
          <w:kern w:val="0"/>
        </w:rPr>
        <w:t>. The</w:t>
      </w:r>
      <w:r>
        <w:rPr>
          <w:kern w:val="0"/>
        </w:rPr>
        <w:t>re is weak evidence that the use</w:t>
      </w:r>
      <w:r w:rsidR="00427468">
        <w:rPr>
          <w:kern w:val="0"/>
        </w:rPr>
        <w:t xml:space="preserve"> of </w:t>
      </w:r>
      <w:r>
        <w:rPr>
          <w:kern w:val="0"/>
        </w:rPr>
        <w:t>parenteral nutrition plus branched-chain amino acids had an effect on clinical outcomes compared with standard parenteral nutrition, but each was beneficial in reducing length</w:t>
      </w:r>
      <w:r w:rsidR="00427468">
        <w:rPr>
          <w:kern w:val="0"/>
        </w:rPr>
        <w:t xml:space="preserve"> of </w:t>
      </w:r>
      <w:r>
        <w:rPr>
          <w:kern w:val="0"/>
        </w:rPr>
        <w:t>stay in intensive care unit compared to a standard glucose solution (MD -2.40; 95% CI -4.29 to -0.51</w:t>
      </w:r>
      <w:r w:rsidR="005853A9">
        <w:rPr>
          <w:kern w:val="0"/>
        </w:rPr>
        <w:t xml:space="preserve"> and </w:t>
      </w:r>
      <w:r>
        <w:rPr>
          <w:kern w:val="0"/>
        </w:rPr>
        <w:t>MD -2.20 days; 95% CI -3.79 to -0.61)</w:t>
      </w:r>
      <w:r w:rsidR="00A37C1D">
        <w:rPr>
          <w:kern w:val="0"/>
        </w:rPr>
        <w:t>. The</w:t>
      </w:r>
      <w:r>
        <w:rPr>
          <w:kern w:val="0"/>
        </w:rPr>
        <w:t xml:space="preserve">re is weak evidence that adding omega-3 fish oil to parenteral nutrition reduced the </w:t>
      </w:r>
      <w:r>
        <w:rPr>
          <w:kern w:val="0"/>
        </w:rPr>
        <w:lastRenderedPageBreak/>
        <w:t>length</w:t>
      </w:r>
      <w:r w:rsidR="00427468">
        <w:rPr>
          <w:kern w:val="0"/>
        </w:rPr>
        <w:t xml:space="preserve"> of </w:t>
      </w:r>
      <w:r>
        <w:rPr>
          <w:kern w:val="0"/>
        </w:rPr>
        <w:t>hospital stay after liver transplantation (mean difference -7.1 days; 95% CI 13.02 to -1.18)</w:t>
      </w:r>
      <w:r w:rsidR="005853A9">
        <w:rPr>
          <w:kern w:val="0"/>
        </w:rPr>
        <w:t xml:space="preserve"> and </w:t>
      </w:r>
      <w:r>
        <w:rPr>
          <w:kern w:val="0"/>
        </w:rPr>
        <w:t>the length</w:t>
      </w:r>
      <w:r w:rsidR="00427468">
        <w:rPr>
          <w:kern w:val="0"/>
        </w:rPr>
        <w:t xml:space="preserve"> of </w:t>
      </w:r>
      <w:r>
        <w:rPr>
          <w:kern w:val="0"/>
        </w:rPr>
        <w:t>stay in intensive care unit after liver transplantation (MD -1.9 days; 95% CI -1.9 to -0.22). For interventions unlikely to be beneficial, there is a significant increased risk in acute rejections in malnourished patients with a history</w:t>
      </w:r>
      <w:r w:rsidR="00427468">
        <w:rPr>
          <w:kern w:val="0"/>
        </w:rPr>
        <w:t xml:space="preserve"> of </w:t>
      </w:r>
      <w:r>
        <w:rPr>
          <w:kern w:val="0"/>
        </w:rPr>
        <w:t>encephalopathy</w:t>
      </w:r>
      <w:r w:rsidR="005853A9">
        <w:rPr>
          <w:kern w:val="0"/>
        </w:rPr>
        <w:t xml:space="preserve"> and </w:t>
      </w:r>
      <w:r>
        <w:rPr>
          <w:kern w:val="0"/>
        </w:rPr>
        <w:t>treated with the nutritional supplement Ensure (R) compared with usual diet only (MD 0.70 events per patient; 95% CI 0.08 to 1.32). Authors</w:t>
      </w:r>
      <w:r w:rsidR="0071223E">
        <w:rPr>
          <w:kern w:val="0"/>
        </w:rPr>
        <w:t>’</w:t>
      </w:r>
      <w:r>
        <w:rPr>
          <w:kern w:val="0"/>
        </w:rPr>
        <w:t xml:space="preserve"> conclusions We were unable to identify nutritional interventions for liver transplanted patients that seemed to offer convincing benefits. Further randomised clinical trials with low risk</w:t>
      </w:r>
      <w:r w:rsidR="00427468">
        <w:rPr>
          <w:kern w:val="0"/>
        </w:rPr>
        <w:t xml:space="preserve"> of </w:t>
      </w:r>
      <w:r>
        <w:rPr>
          <w:kern w:val="0"/>
        </w:rPr>
        <w:t>bias</w:t>
      </w:r>
      <w:r w:rsidR="005853A9">
        <w:rPr>
          <w:kern w:val="0"/>
        </w:rPr>
        <w:t xml:space="preserve"> and </w:t>
      </w:r>
      <w:r>
        <w:rPr>
          <w:kern w:val="0"/>
        </w:rPr>
        <w:t>powerful sample sizes are needed.</w:t>
      </w:r>
    </w:p>
    <w:p w:rsidR="00365DE4" w:rsidRDefault="00365DE4" w:rsidP="00365DE4">
      <w:pPr>
        <w:pStyle w:val="a3"/>
        <w:rPr>
          <w:kern w:val="0"/>
        </w:rPr>
      </w:pPr>
      <w:r>
        <w:rPr>
          <w:kern w:val="0"/>
        </w:rPr>
        <w:t>Keywords: Amino Acids, Analysis, Authors, Bias, Bisphosphonate Treatment, Carbohydrates, Care, Chain Amino-Acids, Cirrhotic-Patients, Citation, Clinical, Clinical Outcomes, Clinical Trials, Collection, Confidence, Confidence Intervals, Criteria, Data, Decision, Design, Diet, Dietary Advice, Double-Blind, Effectiveness, Effects, Empirical-Evidence, Encephalopathy, Enteral, Enteral Nutrition, Events, Evidence, Experts, Field, Fish, Glucose, Heterogeneity, History, Hospital, Hospital Stay, Intensive Care, Intensive Care Unit, Intervals, Interventions, Journals, Length, Length</w:t>
      </w:r>
      <w:r w:rsidR="00427468">
        <w:rPr>
          <w:kern w:val="0"/>
        </w:rPr>
        <w:t xml:space="preserve"> of </w:t>
      </w:r>
      <w:r>
        <w:rPr>
          <w:kern w:val="0"/>
        </w:rPr>
        <w:t xml:space="preserve">Stay, Liver, Liver Transplantation, Low Risk, </w:t>
      </w:r>
      <w:r w:rsidR="00D5664A">
        <w:rPr>
          <w:kern w:val="0"/>
        </w:rPr>
        <w:t>MEDLINE</w:t>
      </w:r>
      <w:r>
        <w:rPr>
          <w:kern w:val="0"/>
        </w:rPr>
        <w:t>, Meta-Analysis, Methods, Morbidity, Normal, Nutrition, Oral, Orthotopic Liver Transplantation, Outcomes, Parenteral Nutrition, Parenteral-Nutrition, Patients, Placebo-Controlled Trial, Postoperative, Prevents Bone Loss, Protein, Publications, R, Randomised, Randomized-Trials, Reference, Reference Lists, Rejection, Review, Risk, Risk Factor, Science, Science Citation Index, Science Citation Index Expanded, Search, Small, Social Science Citation Index, Solution, Standard, Survival, Transplantation</w:t>
      </w:r>
    </w:p>
    <w:p w:rsidR="00365DE4" w:rsidRDefault="00365DE4" w:rsidP="00365DE4">
      <w:pPr>
        <w:pStyle w:val="a3"/>
        <w:rPr>
          <w:kern w:val="0"/>
        </w:rPr>
      </w:pPr>
      <w:r>
        <w:rPr>
          <w:kern w:val="0"/>
        </w:rPr>
        <w:t>? Hoe, V.C.W., Urquhart, D.M., Kelsall, H.L.</w:t>
      </w:r>
      <w:r w:rsidR="005853A9">
        <w:rPr>
          <w:kern w:val="0"/>
        </w:rPr>
        <w:t xml:space="preserve"> and </w:t>
      </w:r>
      <w:r>
        <w:rPr>
          <w:kern w:val="0"/>
        </w:rPr>
        <w:t>Sim, M.R. (2012), Ergonomic design</w:t>
      </w:r>
      <w:r w:rsidR="005853A9">
        <w:rPr>
          <w:kern w:val="0"/>
        </w:rPr>
        <w:t xml:space="preserve"> and </w:t>
      </w:r>
      <w:r>
        <w:rPr>
          <w:kern w:val="0"/>
        </w:rPr>
        <w:t>training for preventing work-related musculoskeletal disorders</w:t>
      </w:r>
      <w:r w:rsidR="00427468">
        <w:rPr>
          <w:kern w:val="0"/>
        </w:rPr>
        <w:t xml:space="preserve"> of </w:t>
      </w:r>
      <w:r>
        <w:rPr>
          <w:kern w:val="0"/>
        </w:rPr>
        <w:t>the upper limb</w:t>
      </w:r>
      <w:r w:rsidR="005853A9">
        <w:rPr>
          <w:kern w:val="0"/>
        </w:rPr>
        <w:t xml:space="preserve"> and </w:t>
      </w:r>
      <w:r>
        <w:rPr>
          <w:kern w:val="0"/>
        </w:rPr>
        <w:t xml:space="preserve">neck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CD008570.</w:t>
      </w:r>
    </w:p>
    <w:p w:rsidR="00365DE4" w:rsidRDefault="00365DE4" w:rsidP="00365DE4">
      <w:pPr>
        <w:pStyle w:val="a3"/>
        <w:rPr>
          <w:kern w:val="2"/>
        </w:rPr>
      </w:pPr>
      <w:r>
        <w:t xml:space="preserve">Full Text: </w:t>
      </w:r>
      <w:hyperlink r:id="rId767" w:history="1">
        <w:r>
          <w:rPr>
            <w:rStyle w:val="a5"/>
          </w:rPr>
          <w:t>2012\Coc Dat Sys Rev2012, CD008570.pdf</w:t>
        </w:r>
      </w:hyperlink>
    </w:p>
    <w:p w:rsidR="00365DE4" w:rsidRDefault="00365DE4" w:rsidP="00365DE4">
      <w:pPr>
        <w:pStyle w:val="a3"/>
        <w:rPr>
          <w:kern w:val="0"/>
        </w:rPr>
      </w:pPr>
      <w:r>
        <w:rPr>
          <w:kern w:val="0"/>
        </w:rPr>
        <w:t>Abstract: Background Work-related upper limb</w:t>
      </w:r>
      <w:r w:rsidR="005853A9">
        <w:rPr>
          <w:kern w:val="0"/>
        </w:rPr>
        <w:t xml:space="preserve"> and </w:t>
      </w:r>
      <w:r>
        <w:rPr>
          <w:kern w:val="0"/>
        </w:rPr>
        <w:t>neck musculoskeletal disorders (MSDs) are one</w:t>
      </w:r>
      <w:r w:rsidR="00427468">
        <w:rPr>
          <w:kern w:val="0"/>
        </w:rPr>
        <w:t xml:space="preserve"> of </w:t>
      </w:r>
      <w:r>
        <w:rPr>
          <w:kern w:val="0"/>
        </w:rPr>
        <w:t>the most common occupational disorders around the world. Although ergonomic design</w:t>
      </w:r>
      <w:r w:rsidR="005853A9">
        <w:rPr>
          <w:kern w:val="0"/>
        </w:rPr>
        <w:t xml:space="preserve"> and </w:t>
      </w:r>
      <w:r>
        <w:rPr>
          <w:kern w:val="0"/>
        </w:rPr>
        <w:t>training are likely to reduce the risk</w:t>
      </w:r>
      <w:r w:rsidR="00427468">
        <w:rPr>
          <w:kern w:val="0"/>
        </w:rPr>
        <w:t xml:space="preserve"> of </w:t>
      </w:r>
      <w:r>
        <w:rPr>
          <w:kern w:val="0"/>
        </w:rPr>
        <w:t>workers developing work-related upper limb</w:t>
      </w:r>
      <w:r w:rsidR="005853A9">
        <w:rPr>
          <w:kern w:val="0"/>
        </w:rPr>
        <w:t xml:space="preserve"> and </w:t>
      </w:r>
      <w:r>
        <w:rPr>
          <w:kern w:val="0"/>
        </w:rPr>
        <w:t>neck MSDs, the evidence is unclear. Objectives To assess the effects</w:t>
      </w:r>
      <w:r w:rsidR="00427468">
        <w:rPr>
          <w:kern w:val="0"/>
        </w:rPr>
        <w:t xml:space="preserve"> of </w:t>
      </w:r>
      <w:r>
        <w:rPr>
          <w:kern w:val="0"/>
        </w:rPr>
        <w:t>workplace ergonomic design or training interventions, or both, for the prevention</w:t>
      </w:r>
      <w:r w:rsidR="00427468">
        <w:rPr>
          <w:kern w:val="0"/>
        </w:rPr>
        <w:t xml:space="preserve"> of </w:t>
      </w:r>
      <w:r>
        <w:rPr>
          <w:kern w:val="0"/>
        </w:rPr>
        <w:t>work-related upper limb</w:t>
      </w:r>
      <w:r w:rsidR="005853A9">
        <w:rPr>
          <w:kern w:val="0"/>
        </w:rPr>
        <w:t xml:space="preserve"> and </w:t>
      </w:r>
      <w:r>
        <w:rPr>
          <w:kern w:val="0"/>
        </w:rPr>
        <w:t xml:space="preserve">neck MSDs in adults. Search methods We searched </w:t>
      </w:r>
      <w:r w:rsidR="00D5664A">
        <w:rPr>
          <w:kern w:val="0"/>
        </w:rPr>
        <w:t>MEDLINE</w:t>
      </w:r>
      <w:r>
        <w:rPr>
          <w:kern w:val="0"/>
        </w:rPr>
        <w:t>, EMBASE, the Cochrane Central Register</w:t>
      </w:r>
      <w:r w:rsidR="00427468">
        <w:rPr>
          <w:kern w:val="0"/>
        </w:rPr>
        <w:t xml:space="preserve"> of </w:t>
      </w:r>
      <w:r>
        <w:rPr>
          <w:kern w:val="0"/>
        </w:rPr>
        <w:t xml:space="preserve">Controlled Trials (CENTRAL), CINAHL, AMED, </w:t>
      </w:r>
      <w:r w:rsidR="00D5664A">
        <w:rPr>
          <w:kern w:val="0"/>
        </w:rPr>
        <w:t>Web</w:t>
      </w:r>
      <w:r w:rsidR="00427468">
        <w:rPr>
          <w:kern w:val="0"/>
        </w:rPr>
        <w:t xml:space="preserve"> of </w:t>
      </w:r>
      <w:r w:rsidR="00D5664A">
        <w:rPr>
          <w:kern w:val="0"/>
        </w:rPr>
        <w:t>Science</w:t>
      </w:r>
      <w:r>
        <w:rPr>
          <w:kern w:val="0"/>
        </w:rPr>
        <w:t xml:space="preserve"> (Science Citation Index), SPORTDiscus, Cochrane Occupational Safety</w:t>
      </w:r>
      <w:r w:rsidR="005853A9">
        <w:rPr>
          <w:kern w:val="0"/>
        </w:rPr>
        <w:t xml:space="preserve"> and </w:t>
      </w:r>
      <w:r>
        <w:rPr>
          <w:kern w:val="0"/>
        </w:rPr>
        <w:t>Health Review Group Database</w:t>
      </w:r>
      <w:r w:rsidR="005853A9">
        <w:rPr>
          <w:kern w:val="0"/>
        </w:rPr>
        <w:t xml:space="preserve"> and </w:t>
      </w:r>
      <w:r>
        <w:rPr>
          <w:kern w:val="0"/>
        </w:rPr>
        <w:t>Cochrane Bone, Joint</w:t>
      </w:r>
      <w:r w:rsidR="005853A9">
        <w:rPr>
          <w:kern w:val="0"/>
        </w:rPr>
        <w:t xml:space="preserve"> and </w:t>
      </w:r>
      <w:r>
        <w:rPr>
          <w:kern w:val="0"/>
        </w:rPr>
        <w:t>Muscle Trauma Group Specialised Register to July 2010,</w:t>
      </w:r>
      <w:r w:rsidR="005853A9">
        <w:rPr>
          <w:kern w:val="0"/>
        </w:rPr>
        <w:t xml:space="preserve"> and </w:t>
      </w:r>
      <w:r>
        <w:rPr>
          <w:kern w:val="0"/>
        </w:rPr>
        <w:t xml:space="preserve">Physiotherapy Evidence Database, US Centers </w:t>
      </w:r>
      <w:r>
        <w:rPr>
          <w:kern w:val="0"/>
        </w:rPr>
        <w:lastRenderedPageBreak/>
        <w:t>for Disease Control</w:t>
      </w:r>
      <w:r w:rsidR="005853A9">
        <w:rPr>
          <w:kern w:val="0"/>
        </w:rPr>
        <w:t xml:space="preserve"> and </w:t>
      </w:r>
      <w:r>
        <w:rPr>
          <w:kern w:val="0"/>
        </w:rPr>
        <w:t>Prevention, the National Institute for Occupational Safety</w:t>
      </w:r>
      <w:r w:rsidR="005853A9">
        <w:rPr>
          <w:kern w:val="0"/>
        </w:rPr>
        <w:t xml:space="preserve"> and </w:t>
      </w:r>
      <w:r>
        <w:rPr>
          <w:kern w:val="0"/>
        </w:rPr>
        <w:t>Health database,</w:t>
      </w:r>
      <w:r w:rsidR="005853A9">
        <w:rPr>
          <w:kern w:val="0"/>
        </w:rPr>
        <w:t xml:space="preserve"> and </w:t>
      </w:r>
      <w:r>
        <w:rPr>
          <w:kern w:val="0"/>
        </w:rPr>
        <w:t>International Occupational Safety</w:t>
      </w:r>
      <w:r w:rsidR="005853A9">
        <w:rPr>
          <w:kern w:val="0"/>
        </w:rPr>
        <w:t xml:space="preserve"> and </w:t>
      </w:r>
      <w:r>
        <w:rPr>
          <w:kern w:val="0"/>
        </w:rPr>
        <w:t>Health Information Centre database to November 2010. Selection criteria We included randomised controlled trials (RCTs)</w:t>
      </w:r>
      <w:r w:rsidR="00427468">
        <w:rPr>
          <w:kern w:val="0"/>
        </w:rPr>
        <w:t xml:space="preserve"> of </w:t>
      </w:r>
      <w:r>
        <w:rPr>
          <w:kern w:val="0"/>
        </w:rPr>
        <w:t>ergonomic workplace interventions for preventing work-related upper limb</w:t>
      </w:r>
      <w:r w:rsidR="005853A9">
        <w:rPr>
          <w:kern w:val="0"/>
        </w:rPr>
        <w:t xml:space="preserve"> and </w:t>
      </w:r>
      <w:r>
        <w:rPr>
          <w:kern w:val="0"/>
        </w:rPr>
        <w:t>neck MSDs. We included only studies with a baseline prevalence</w:t>
      </w:r>
      <w:r w:rsidR="00427468">
        <w:rPr>
          <w:kern w:val="0"/>
        </w:rPr>
        <w:t xml:space="preserve"> of </w:t>
      </w:r>
      <w:r>
        <w:rPr>
          <w:kern w:val="0"/>
        </w:rPr>
        <w:t>MSDs</w:t>
      </w:r>
      <w:r w:rsidR="00427468">
        <w:rPr>
          <w:kern w:val="0"/>
        </w:rPr>
        <w:t xml:space="preserve"> of </w:t>
      </w:r>
      <w:r>
        <w:rPr>
          <w:kern w:val="0"/>
        </w:rPr>
        <w:t>the upper limb or neck, or both,</w:t>
      </w:r>
      <w:r w:rsidR="00427468">
        <w:rPr>
          <w:kern w:val="0"/>
        </w:rPr>
        <w:t xml:space="preserve"> of </w:t>
      </w:r>
      <w:r>
        <w:rPr>
          <w:kern w:val="0"/>
        </w:rPr>
        <w:t>less than 25%. Data collection</w:t>
      </w:r>
      <w:r w:rsidR="005853A9">
        <w:rPr>
          <w:kern w:val="0"/>
        </w:rPr>
        <w:t xml:space="preserve"> and </w:t>
      </w:r>
      <w:r>
        <w:rPr>
          <w:kern w:val="0"/>
        </w:rPr>
        <w:t>analysis Two review authors independently extracted data</w:t>
      </w:r>
      <w:r w:rsidR="005853A9">
        <w:rPr>
          <w:kern w:val="0"/>
        </w:rPr>
        <w:t xml:space="preserve"> and </w:t>
      </w:r>
      <w:r>
        <w:rPr>
          <w:kern w:val="0"/>
        </w:rPr>
        <w:t>assessed risk</w:t>
      </w:r>
      <w:r w:rsidR="00427468">
        <w:rPr>
          <w:kern w:val="0"/>
        </w:rPr>
        <w:t xml:space="preserve"> of </w:t>
      </w:r>
      <w:r>
        <w:rPr>
          <w:kern w:val="0"/>
        </w:rPr>
        <w:t>bias. We included studies with relevant data that we judged to be sufficiently homogeneous regarding the intervention</w:t>
      </w:r>
      <w:r w:rsidR="005853A9">
        <w:rPr>
          <w:kern w:val="0"/>
        </w:rPr>
        <w:t xml:space="preserve"> and </w:t>
      </w:r>
      <w:r>
        <w:rPr>
          <w:kern w:val="0"/>
        </w:rPr>
        <w:t>outcome in the meta-analysis. We assessed the overall quality</w:t>
      </w:r>
      <w:r w:rsidR="00427468">
        <w:rPr>
          <w:kern w:val="0"/>
        </w:rPr>
        <w:t xml:space="preserve"> of </w:t>
      </w:r>
      <w:r>
        <w:rPr>
          <w:kern w:val="0"/>
        </w:rPr>
        <w:t>the evidence for each comparison using the GRADE approach. Main results We included 13 RCTS (2397 workers). Eleven studies were conducted in an office environemtn</w:t>
      </w:r>
      <w:r w:rsidR="005853A9">
        <w:rPr>
          <w:kern w:val="0"/>
        </w:rPr>
        <w:t xml:space="preserve"> and </w:t>
      </w:r>
      <w:r>
        <w:rPr>
          <w:kern w:val="0"/>
        </w:rPr>
        <w:t>two in a healthcare setting. judged one study to have a low risk</w:t>
      </w:r>
      <w:r w:rsidR="00427468">
        <w:rPr>
          <w:kern w:val="0"/>
        </w:rPr>
        <w:t xml:space="preserve"> of </w:t>
      </w:r>
      <w:r>
        <w:rPr>
          <w:kern w:val="0"/>
        </w:rPr>
        <w:t>bias</w:t>
      </w:r>
      <w:r w:rsidR="00A37C1D">
        <w:rPr>
          <w:kern w:val="0"/>
        </w:rPr>
        <w:t>. The</w:t>
      </w:r>
      <w:r>
        <w:rPr>
          <w:kern w:val="0"/>
        </w:rPr>
        <w:t xml:space="preserve"> 13 studies evaluated effectiveness</w:t>
      </w:r>
      <w:r w:rsidR="00427468">
        <w:rPr>
          <w:kern w:val="0"/>
        </w:rPr>
        <w:t xml:space="preserve"> of </w:t>
      </w:r>
      <w:r>
        <w:rPr>
          <w:kern w:val="0"/>
        </w:rPr>
        <w:t>ergonomic equipment, supplementary breaks reduced work hours, erogonomic training a combination</w:t>
      </w:r>
      <w:r w:rsidR="00427468">
        <w:rPr>
          <w:kern w:val="0"/>
        </w:rPr>
        <w:t xml:space="preserve"> of </w:t>
      </w:r>
      <w:r>
        <w:rPr>
          <w:kern w:val="0"/>
        </w:rPr>
        <w:t>ergonomic training</w:t>
      </w:r>
      <w:r w:rsidR="005853A9">
        <w:rPr>
          <w:kern w:val="0"/>
        </w:rPr>
        <w:t xml:space="preserve"> and </w:t>
      </w:r>
      <w:r>
        <w:rPr>
          <w:kern w:val="0"/>
        </w:rPr>
        <w:t>equipment,</w:t>
      </w:r>
      <w:r w:rsidR="005853A9">
        <w:rPr>
          <w:kern w:val="0"/>
        </w:rPr>
        <w:t xml:space="preserve"> and </w:t>
      </w:r>
      <w:r>
        <w:rPr>
          <w:kern w:val="0"/>
        </w:rPr>
        <w:t>patient lifting interventions preventing work-related MSDs</w:t>
      </w:r>
      <w:r w:rsidR="00427468">
        <w:rPr>
          <w:kern w:val="0"/>
        </w:rPr>
        <w:t xml:space="preserve"> of </w:t>
      </w:r>
      <w:r>
        <w:rPr>
          <w:kern w:val="0"/>
        </w:rPr>
        <w:t>the upper limb</w:t>
      </w:r>
      <w:r w:rsidR="005853A9">
        <w:rPr>
          <w:kern w:val="0"/>
        </w:rPr>
        <w:t xml:space="preserve"> and </w:t>
      </w:r>
      <w:r>
        <w:rPr>
          <w:kern w:val="0"/>
        </w:rPr>
        <w:t>neck in adults. Overall, there was moderate-quality evidence that arm support with alternative mouse reduced the incidence</w:t>
      </w:r>
      <w:r w:rsidR="00427468">
        <w:rPr>
          <w:kern w:val="0"/>
        </w:rPr>
        <w:t xml:space="preserve"> of </w:t>
      </w:r>
      <w:r>
        <w:rPr>
          <w:kern w:val="0"/>
        </w:rPr>
        <w:t>neck/shoulder disorder (risk ration (RR) 0.52; 95% confidence interval (CI) 0.27 to 0.99) but not the incidence</w:t>
      </w:r>
      <w:r w:rsidR="00427468">
        <w:rPr>
          <w:kern w:val="0"/>
        </w:rPr>
        <w:t xml:space="preserve"> of </w:t>
      </w:r>
      <w:r>
        <w:rPr>
          <w:kern w:val="0"/>
        </w:rPr>
        <w:t>right upper limb MSDs (RR 0.73 95% CI 0.33 to 1.66);</w:t>
      </w:r>
      <w:r w:rsidR="005853A9">
        <w:rPr>
          <w:kern w:val="0"/>
        </w:rPr>
        <w:t xml:space="preserve"> and </w:t>
      </w:r>
      <w:r>
        <w:rPr>
          <w:kern w:val="0"/>
        </w:rPr>
        <w:t>low-quality evidence that this intervention reduced neck/shoulder discomfort (standardised mean difference (SMD -0.41; 95% CI -0.69 to -0.12)</w:t>
      </w:r>
      <w:r w:rsidR="005853A9">
        <w:rPr>
          <w:kern w:val="0"/>
        </w:rPr>
        <w:t xml:space="preserve"> and </w:t>
      </w:r>
      <w:r>
        <w:rPr>
          <w:kern w:val="0"/>
        </w:rPr>
        <w:t>right upper limb discomfort (SMD -0.34; 95% CI -0.63 to -0.06)</w:t>
      </w:r>
      <w:r w:rsidR="00A37C1D">
        <w:rPr>
          <w:kern w:val="0"/>
        </w:rPr>
        <w:t>. The</w:t>
      </w:r>
      <w:r>
        <w:rPr>
          <w:kern w:val="0"/>
        </w:rPr>
        <w:t>re was also moderate-quality evidence that the incidence</w:t>
      </w:r>
      <w:r w:rsidR="00427468">
        <w:rPr>
          <w:kern w:val="0"/>
        </w:rPr>
        <w:t xml:space="preserve"> of </w:t>
      </w:r>
      <w:r>
        <w:rPr>
          <w:kern w:val="0"/>
        </w:rPr>
        <w:t>neck\shoulder</w:t>
      </w:r>
      <w:r w:rsidR="005853A9">
        <w:rPr>
          <w:kern w:val="0"/>
        </w:rPr>
        <w:t xml:space="preserve"> and </w:t>
      </w:r>
      <w:r>
        <w:rPr>
          <w:kern w:val="0"/>
        </w:rPr>
        <w:t>right upper limb disorders were not reduced when comparing alternative mouse</w:t>
      </w:r>
      <w:r w:rsidR="005853A9">
        <w:rPr>
          <w:kern w:val="0"/>
        </w:rPr>
        <w:t xml:space="preserve"> and </w:t>
      </w:r>
      <w:r>
        <w:rPr>
          <w:kern w:val="0"/>
        </w:rPr>
        <w:t>conventional mouse (neck/shoulder RR 0.62; 95% CI 0.19 to 200 right upper limb RR 0.91; 95% CI 0.48 to 1.72) arm support</w:t>
      </w:r>
      <w:r w:rsidR="005853A9">
        <w:rPr>
          <w:kern w:val="0"/>
        </w:rPr>
        <w:t xml:space="preserve"> and </w:t>
      </w:r>
      <w:r>
        <w:rPr>
          <w:kern w:val="0"/>
        </w:rPr>
        <w:t>no arm suport with conventional mouse (necl/shoulder Rr 0.67; 95% CI 0.36 to 1.24). Authors</w:t>
      </w:r>
      <w:r w:rsidR="0071223E">
        <w:rPr>
          <w:kern w:val="0"/>
        </w:rPr>
        <w:t>’</w:t>
      </w:r>
      <w:r>
        <w:rPr>
          <w:kern w:val="0"/>
        </w:rPr>
        <w:t xml:space="preserve"> conclusion We found moderate-quality evidence to suggest that the use</w:t>
      </w:r>
      <w:r w:rsidR="00427468">
        <w:rPr>
          <w:kern w:val="0"/>
        </w:rPr>
        <w:t xml:space="preserve"> of </w:t>
      </w:r>
      <w:r>
        <w:rPr>
          <w:kern w:val="0"/>
        </w:rPr>
        <w:t>arm support with alternative mouse may reduce the incidence</w:t>
      </w:r>
      <w:r w:rsidR="00427468">
        <w:rPr>
          <w:kern w:val="0"/>
        </w:rPr>
        <w:t xml:space="preserve"> of </w:t>
      </w:r>
      <w:r>
        <w:rPr>
          <w:kern w:val="0"/>
        </w:rPr>
        <w:t>neck/shoulder MSDs, but not right upper limb MSDs. Morever, we found moderate-qualithy evidence to suggest that the incidence . This review highlights the need for high-quality RCTs examining the prevention MSDs</w:t>
      </w:r>
      <w:r w:rsidR="00427468">
        <w:rPr>
          <w:kern w:val="0"/>
        </w:rPr>
        <w:t xml:space="preserve"> of </w:t>
      </w:r>
      <w:r>
        <w:rPr>
          <w:kern w:val="0"/>
        </w:rPr>
        <w:t>the upper limb</w:t>
      </w:r>
      <w:r w:rsidR="005853A9">
        <w:rPr>
          <w:kern w:val="0"/>
        </w:rPr>
        <w:t xml:space="preserve"> and </w:t>
      </w:r>
      <w:r>
        <w:rPr>
          <w:kern w:val="0"/>
        </w:rPr>
        <w:t>neck.</w:t>
      </w:r>
    </w:p>
    <w:p w:rsidR="00365DE4" w:rsidRDefault="00365DE4" w:rsidP="00365DE4">
      <w:pPr>
        <w:pStyle w:val="a3"/>
        <w:rPr>
          <w:kern w:val="0"/>
        </w:rPr>
      </w:pPr>
      <w:r>
        <w:rPr>
          <w:kern w:val="0"/>
        </w:rPr>
        <w:t xml:space="preserve">Keywords: Alternative, Analysis, Approach, Authors, Bias, Citation, Collection, Comparison, Computer Users, Confidence, Control, Conventional, Criteria, Data, Data-Entry Operators, Database, Design, Developing, Disease, Effectiveness, Effects, Equipment, Evidence, Follow-Up, Forearm Support, Incidence, Interval, Intervention, Interventions, Low Risk, </w:t>
      </w:r>
      <w:r w:rsidR="00D5664A">
        <w:rPr>
          <w:kern w:val="0"/>
        </w:rPr>
        <w:t>MEDLINE</w:t>
      </w:r>
      <w:r>
        <w:rPr>
          <w:kern w:val="0"/>
        </w:rPr>
        <w:t xml:space="preserve">, Meta-Analysis, Metaanalysis, Methods, Mouse, Neck, Occupational, Outcome, Participatory Ergonomics, Prevalence, Prevention, Quality, Quality Of, Randomised, Randomised Controlled Trials, Randomized </w:t>
      </w:r>
      <w:r>
        <w:rPr>
          <w:kern w:val="0"/>
        </w:rPr>
        <w:lastRenderedPageBreak/>
        <w:t xml:space="preserve">Controlled-Trial, Rct, Review, Right, Risk, Risk-Factors, Safety, Science, Science Citation Index, Search, Support, Training, Upper-Extremity, US, Video-Display Units, </w:t>
      </w:r>
      <w:r w:rsidR="00D5664A">
        <w:rPr>
          <w:kern w:val="0"/>
        </w:rPr>
        <w:t>Web</w:t>
      </w:r>
      <w:r w:rsidR="00427468">
        <w:rPr>
          <w:kern w:val="0"/>
        </w:rPr>
        <w:t xml:space="preserve"> of </w:t>
      </w:r>
      <w:r w:rsidR="00D5664A">
        <w:rPr>
          <w:kern w:val="0"/>
        </w:rPr>
        <w:t>Science</w:t>
      </w:r>
      <w:r>
        <w:rPr>
          <w:kern w:val="0"/>
        </w:rPr>
        <w:t>, Work, Work Hours, World</w:t>
      </w:r>
    </w:p>
    <w:p w:rsidR="00365DE4" w:rsidRDefault="00365DE4" w:rsidP="00365DE4">
      <w:pPr>
        <w:pStyle w:val="a3"/>
        <w:rPr>
          <w:kern w:val="0"/>
        </w:rPr>
      </w:pPr>
      <w:r>
        <w:rPr>
          <w:kern w:val="0"/>
        </w:rPr>
        <w:t>? Cirocchi, R., Trastulli, S., Abraha, I., Vettoretto, N., Boselli, C., Montedori, A., Parisi, A., Noya, G.</w:t>
      </w:r>
      <w:r w:rsidR="005853A9">
        <w:rPr>
          <w:kern w:val="0"/>
        </w:rPr>
        <w:t xml:space="preserve"> and </w:t>
      </w:r>
      <w:r>
        <w:rPr>
          <w:kern w:val="0"/>
        </w:rPr>
        <w:t xml:space="preserve">Platell, C. (2012), Non-resection versus resection for an asymptomatic primary tumour in patients with unresectable Stage IV colorectal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CD008997.</w:t>
      </w:r>
    </w:p>
    <w:p w:rsidR="00365DE4" w:rsidRDefault="00365DE4" w:rsidP="00365DE4">
      <w:pPr>
        <w:pStyle w:val="a3"/>
        <w:rPr>
          <w:kern w:val="2"/>
        </w:rPr>
      </w:pPr>
      <w:r>
        <w:t xml:space="preserve">Full Text: </w:t>
      </w:r>
      <w:hyperlink r:id="rId768" w:history="1">
        <w:r>
          <w:rPr>
            <w:rStyle w:val="a5"/>
          </w:rPr>
          <w:t>2012\Coc Dat Sys Rev2012, CD008997.pdf</w:t>
        </w:r>
      </w:hyperlink>
    </w:p>
    <w:p w:rsidR="00365DE4" w:rsidRDefault="00365DE4" w:rsidP="00365DE4">
      <w:pPr>
        <w:pStyle w:val="a3"/>
        <w:rPr>
          <w:kern w:val="0"/>
        </w:rPr>
      </w:pPr>
      <w:r>
        <w:rPr>
          <w:kern w:val="0"/>
        </w:rPr>
        <w:t>Abstract: Background In a majority</w:t>
      </w:r>
      <w:r w:rsidR="00427468">
        <w:rPr>
          <w:kern w:val="0"/>
        </w:rPr>
        <w:t xml:space="preserve"> of </w:t>
      </w:r>
      <w:r>
        <w:rPr>
          <w:kern w:val="0"/>
        </w:rPr>
        <w:t>patients with stage IV colorectal cancer, the metastatic disease is not resectable</w:t>
      </w:r>
      <w:r w:rsidR="005853A9">
        <w:rPr>
          <w:kern w:val="0"/>
        </w:rPr>
        <w:t xml:space="preserve"> and </w:t>
      </w:r>
      <w:r>
        <w:rPr>
          <w:kern w:val="0"/>
        </w:rPr>
        <w:t>the focus</w:t>
      </w:r>
      <w:r w:rsidR="00427468">
        <w:rPr>
          <w:kern w:val="0"/>
        </w:rPr>
        <w:t xml:space="preserve"> of </w:t>
      </w:r>
      <w:r>
        <w:rPr>
          <w:kern w:val="0"/>
        </w:rPr>
        <w:t>management is on how best to palliate the patient. How to manage the primary tumour is an important part</w:t>
      </w:r>
      <w:r w:rsidR="00427468">
        <w:rPr>
          <w:kern w:val="0"/>
        </w:rPr>
        <w:t xml:space="preserve"> of </w:t>
      </w:r>
      <w:r>
        <w:rPr>
          <w:kern w:val="0"/>
        </w:rPr>
        <w:t>palliation. A small proportion</w:t>
      </w:r>
      <w:r w:rsidR="00427468">
        <w:rPr>
          <w:kern w:val="0"/>
        </w:rPr>
        <w:t xml:space="preserve"> of </w:t>
      </w:r>
      <w:r>
        <w:rPr>
          <w:kern w:val="0"/>
        </w:rPr>
        <w:t>these patients present with either obstructing or perforating cancers</w:t>
      </w:r>
      <w:r w:rsidR="005853A9">
        <w:rPr>
          <w:kern w:val="0"/>
        </w:rPr>
        <w:t xml:space="preserve"> and </w:t>
      </w:r>
      <w:r>
        <w:rPr>
          <w:kern w:val="0"/>
        </w:rPr>
        <w:t>require urgent surgical care. However, a majority are relatively asymptomatic from their primary cancer. Chemotherapy has been shown to prolong survival in this group</w:t>
      </w:r>
      <w:r w:rsidR="00427468">
        <w:rPr>
          <w:kern w:val="0"/>
        </w:rPr>
        <w:t xml:space="preserve"> of </w:t>
      </w:r>
      <w:r>
        <w:rPr>
          <w:kern w:val="0"/>
        </w:rPr>
        <w:t>patients,</w:t>
      </w:r>
      <w:r w:rsidR="005853A9">
        <w:rPr>
          <w:kern w:val="0"/>
        </w:rPr>
        <w:t xml:space="preserve"> and </w:t>
      </w:r>
      <w:r>
        <w:rPr>
          <w:kern w:val="0"/>
        </w:rPr>
        <w:t>a majority</w:t>
      </w:r>
      <w:r w:rsidR="00427468">
        <w:rPr>
          <w:kern w:val="0"/>
        </w:rPr>
        <w:t xml:space="preserve"> of </w:t>
      </w:r>
      <w:r>
        <w:rPr>
          <w:kern w:val="0"/>
        </w:rPr>
        <w:t>patients would be treated this way. Nonetheless, A recent meta-analysis (Stillwell 2010) suggests an improved overall survival</w:t>
      </w:r>
      <w:r w:rsidR="005853A9">
        <w:rPr>
          <w:kern w:val="0"/>
        </w:rPr>
        <w:t xml:space="preserve"> and </w:t>
      </w:r>
      <w:r>
        <w:rPr>
          <w:kern w:val="0"/>
        </w:rPr>
        <w:t>reduced requirement for emergency surgery in those patients who undergo primary tumour resection. This review was also able to quantify the mortality</w:t>
      </w:r>
      <w:r w:rsidR="005853A9">
        <w:rPr>
          <w:kern w:val="0"/>
        </w:rPr>
        <w:t xml:space="preserve"> and </w:t>
      </w:r>
      <w:r>
        <w:rPr>
          <w:kern w:val="0"/>
        </w:rPr>
        <w:t>morbidity associated with surgery to remove the primary. Objectives To determine if there is an improvement in overall survival following resection</w:t>
      </w:r>
      <w:r w:rsidR="00427468">
        <w:rPr>
          <w:kern w:val="0"/>
        </w:rPr>
        <w:t xml:space="preserve"> of </w:t>
      </w:r>
      <w:r>
        <w:rPr>
          <w:kern w:val="0"/>
        </w:rPr>
        <w:t>the primary cancer in patients with unresectable stage IV colorectal cancer</w:t>
      </w:r>
      <w:r w:rsidR="005853A9">
        <w:rPr>
          <w:kern w:val="0"/>
        </w:rPr>
        <w:t xml:space="preserve"> and </w:t>
      </w:r>
      <w:r>
        <w:rPr>
          <w:kern w:val="0"/>
        </w:rPr>
        <w:t>an asymptomatic primary who are treated with chemo/radiotherapy. Search methods In January 2012 we searched for published randomised</w:t>
      </w:r>
      <w:r w:rsidR="005853A9">
        <w:rPr>
          <w:kern w:val="0"/>
        </w:rPr>
        <w:t xml:space="preserve"> and </w:t>
      </w:r>
      <w:r>
        <w:rPr>
          <w:kern w:val="0"/>
        </w:rPr>
        <w:t xml:space="preserve">non-randomised controlled clinical trials without language restrictions using the following electronic databases: CENTRAL (the Cochrane Library (latest issue)), </w:t>
      </w:r>
      <w:r w:rsidR="00D5664A">
        <w:rPr>
          <w:kern w:val="0"/>
        </w:rPr>
        <w:t>MEDLINE</w:t>
      </w:r>
      <w:r>
        <w:rPr>
          <w:kern w:val="0"/>
        </w:rPr>
        <w:t xml:space="preserve"> (1966 to date), EMBASE (1980 to date), Science Citation Index (1981 to date), ISI Proceedings (1990 to date), Current Controlled Trials MetaRegister (latest issue), Zetoc (latest issue)</w:t>
      </w:r>
      <w:r w:rsidR="005853A9">
        <w:rPr>
          <w:kern w:val="0"/>
        </w:rPr>
        <w:t xml:space="preserve"> and </w:t>
      </w:r>
      <w:r>
        <w:rPr>
          <w:kern w:val="0"/>
        </w:rPr>
        <w:t>CINAHL (1982 to date). Selection criteria Randomised controlled trials</w:t>
      </w:r>
      <w:r w:rsidR="005853A9">
        <w:rPr>
          <w:kern w:val="0"/>
        </w:rPr>
        <w:t xml:space="preserve"> and </w:t>
      </w:r>
      <w:r>
        <w:rPr>
          <w:kern w:val="0"/>
        </w:rPr>
        <w:t>non-randomised controlled studies evaluating the influence on overall survival</w:t>
      </w:r>
      <w:r w:rsidR="00427468">
        <w:rPr>
          <w:kern w:val="0"/>
        </w:rPr>
        <w:t xml:space="preserve"> of </w:t>
      </w:r>
      <w:r>
        <w:rPr>
          <w:kern w:val="0"/>
        </w:rPr>
        <w:t>primary tumour resection versus no resection in asymptomatic patients with unresectable stage IV colorectal cancer who are treated with palliative chemo/radiotherapy. Data collection</w:t>
      </w:r>
      <w:r w:rsidR="005853A9">
        <w:rPr>
          <w:kern w:val="0"/>
        </w:rPr>
        <w:t xml:space="preserve"> and </w:t>
      </w:r>
      <w:r>
        <w:rPr>
          <w:kern w:val="0"/>
        </w:rPr>
        <w:t>analysis We conducted the review according to the recommendations</w:t>
      </w:r>
      <w:r w:rsidR="00427468">
        <w:rPr>
          <w:kern w:val="0"/>
        </w:rPr>
        <w:t xml:space="preserve"> of </w:t>
      </w:r>
      <w:r>
        <w:rPr>
          <w:kern w:val="0"/>
        </w:rPr>
        <w:t>The Cochrane Collaboration</w:t>
      </w:r>
      <w:r w:rsidR="005853A9">
        <w:rPr>
          <w:kern w:val="0"/>
        </w:rPr>
        <w:t xml:space="preserve"> and </w:t>
      </w:r>
      <w:r>
        <w:rPr>
          <w:kern w:val="0"/>
        </w:rPr>
        <w:t>the Cochrane Colorectal Group. “Review Manager 5” software was used. Main results A total</w:t>
      </w:r>
      <w:r w:rsidR="00427468">
        <w:rPr>
          <w:kern w:val="0"/>
        </w:rPr>
        <w:t xml:space="preserve"> of </w:t>
      </w:r>
      <w:r>
        <w:rPr>
          <w:kern w:val="0"/>
        </w:rPr>
        <w:t>798 studies were identified following the initial search. No published or unpublished randomised controlled trials comparing primary tumour resection versus no resection in asymptomatic patients with unresectable stage IV colorectal cancer who were treated with chemo/radiotherapy were identified. Seven non-randomised studies, potentially eligible for inclusion, were identified: 2 case-matched studies, 2 CCTs</w:t>
      </w:r>
      <w:r w:rsidR="005853A9">
        <w:rPr>
          <w:kern w:val="0"/>
        </w:rPr>
        <w:t xml:space="preserve"> </w:t>
      </w:r>
      <w:r w:rsidR="005853A9">
        <w:rPr>
          <w:kern w:val="0"/>
        </w:rPr>
        <w:lastRenderedPageBreak/>
        <w:t xml:space="preserve">and </w:t>
      </w:r>
      <w:r>
        <w:rPr>
          <w:kern w:val="0"/>
        </w:rPr>
        <w:t>3 retrospective cohort studies. Overall, these trials included 1.086 patients (722 patients treated with primary tumour resection,</w:t>
      </w:r>
      <w:r w:rsidR="005853A9">
        <w:rPr>
          <w:kern w:val="0"/>
        </w:rPr>
        <w:t xml:space="preserve"> and </w:t>
      </w:r>
      <w:r>
        <w:rPr>
          <w:kern w:val="0"/>
        </w:rPr>
        <w:t>364 patients managed first with chemotherapy and/or radiotherapy). Authors</w:t>
      </w:r>
      <w:r w:rsidR="0071223E">
        <w:rPr>
          <w:kern w:val="0"/>
        </w:rPr>
        <w:t>’</w:t>
      </w:r>
      <w:r>
        <w:rPr>
          <w:kern w:val="0"/>
        </w:rPr>
        <w:t xml:space="preserve"> conclusions Resection</w:t>
      </w:r>
      <w:r w:rsidR="00427468">
        <w:rPr>
          <w:kern w:val="0"/>
        </w:rPr>
        <w:t xml:space="preserve"> of </w:t>
      </w:r>
      <w:r>
        <w:rPr>
          <w:kern w:val="0"/>
        </w:rPr>
        <w:t>the primary tumour in asymptomatic patients with unresectable stage IV colorectal cancer who are managed with chemo/radiotherapy is not associated with a consistent improvement in overall survival. In addition, resection does not significantly reduce the risk</w:t>
      </w:r>
      <w:r w:rsidR="00427468">
        <w:rPr>
          <w:kern w:val="0"/>
        </w:rPr>
        <w:t xml:space="preserve"> of </w:t>
      </w:r>
      <w:r>
        <w:rPr>
          <w:kern w:val="0"/>
        </w:rPr>
        <w:t>complications from the primary tumour (i.e. obstruction, perforation or bleeding). Yet there is enough doubt with regard to the published literature to justify further clinical trials in this area</w:t>
      </w:r>
      <w:r w:rsidR="00A37C1D">
        <w:rPr>
          <w:kern w:val="0"/>
        </w:rPr>
        <w:t>. The</w:t>
      </w:r>
      <w:r>
        <w:rPr>
          <w:kern w:val="0"/>
        </w:rPr>
        <w:t xml:space="preserve"> results from an ongoing high quality randomised controlled trial will help to answer this question.</w:t>
      </w:r>
    </w:p>
    <w:p w:rsidR="00365DE4" w:rsidRDefault="00365DE4" w:rsidP="00365DE4">
      <w:pPr>
        <w:pStyle w:val="a3"/>
        <w:rPr>
          <w:kern w:val="0"/>
        </w:rPr>
      </w:pPr>
      <w:r>
        <w:rPr>
          <w:kern w:val="0"/>
        </w:rPr>
        <w:t>Keywords: Analysis, Bleeding, Cancer, Care, Chemotherapy, Citation, Clinical, Clinical Trials, Cochrane Collaboration, Cohort, Collaboration, Collection, Colon-Cancer, Colorectal Cancer, Combination Chemotherapy, Complications, Controlled Trial, Criteria, Databases, Disease, Emergency, First, Improvement</w:t>
      </w:r>
      <w:r w:rsidR="00D5664A">
        <w:rPr>
          <w:kern w:val="0"/>
        </w:rPr>
        <w:t>, ISI,</w:t>
      </w:r>
      <w:r>
        <w:rPr>
          <w:kern w:val="0"/>
        </w:rPr>
        <w:t xml:space="preserve"> IV, Language, Laparoscopic Resection, Literature, Liver Metastases, Management, </w:t>
      </w:r>
      <w:r w:rsidR="00D5664A">
        <w:rPr>
          <w:kern w:val="0"/>
        </w:rPr>
        <w:t>MEDLINE</w:t>
      </w:r>
      <w:r>
        <w:rPr>
          <w:kern w:val="0"/>
        </w:rPr>
        <w:t>, Meta-Analysis, Metaanalysis, Methods, Morbidity, Mortality, Palliation, Patients, Peritoneal Carcinomatosis, Primary, Quality, Radical Resection, Radiotherapy, Randomised, Randomised Controlled Trial, Randomised Controlled Trials, Randomized Phase-III, Recent, Recommendations, Rectal-Cancer, Requirement, Restrictions, Review, Risk, Science, Science Citation Index, Search, Small, Software, Surgery, Survival, Trial</w:t>
      </w:r>
    </w:p>
    <w:p w:rsidR="00365DE4" w:rsidRDefault="00365DE4" w:rsidP="00365DE4">
      <w:pPr>
        <w:pStyle w:val="a3"/>
        <w:rPr>
          <w:kern w:val="0"/>
        </w:rPr>
      </w:pPr>
      <w:r>
        <w:rPr>
          <w:kern w:val="0"/>
          <w:szCs w:val="24"/>
        </w:rPr>
        <w:t>? Ricci, S., Celani, M.G., Cantisani, T.A.</w:t>
      </w:r>
      <w:r w:rsidR="005853A9">
        <w:rPr>
          <w:kern w:val="0"/>
          <w:szCs w:val="24"/>
        </w:rPr>
        <w:t xml:space="preserve"> and </w:t>
      </w:r>
      <w:r>
        <w:rPr>
          <w:kern w:val="0"/>
          <w:szCs w:val="24"/>
        </w:rPr>
        <w:t xml:space="preserve">Righetti, E. (2012), Piracetam for acute ischaemic stroke.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rPr>
        <w:t>, Article Number: CD000419.</w:t>
      </w:r>
    </w:p>
    <w:p w:rsidR="00365DE4" w:rsidRDefault="00365DE4" w:rsidP="00365DE4">
      <w:pPr>
        <w:pStyle w:val="a3"/>
        <w:rPr>
          <w:kern w:val="2"/>
        </w:rPr>
      </w:pPr>
      <w:r>
        <w:t xml:space="preserve">Full Text: </w:t>
      </w:r>
      <w:hyperlink r:id="rId769" w:history="1">
        <w:r>
          <w:rPr>
            <w:rStyle w:val="a5"/>
          </w:rPr>
          <w:t>2012\Coc Dat Sys Rev2012, CD000419.pdf</w:t>
        </w:r>
      </w:hyperlink>
    </w:p>
    <w:p w:rsidR="00365DE4" w:rsidRDefault="00365DE4" w:rsidP="00365DE4">
      <w:pPr>
        <w:pStyle w:val="a3"/>
        <w:rPr>
          <w:kern w:val="0"/>
          <w:szCs w:val="24"/>
        </w:rPr>
      </w:pPr>
      <w:r>
        <w:rPr>
          <w:kern w:val="0"/>
          <w:szCs w:val="24"/>
        </w:rPr>
        <w:t>Abstract: Background Piracetam has neuroprotective</w:t>
      </w:r>
      <w:r w:rsidR="005853A9">
        <w:rPr>
          <w:kern w:val="0"/>
          <w:szCs w:val="24"/>
        </w:rPr>
        <w:t xml:space="preserve"> and </w:t>
      </w:r>
      <w:r>
        <w:rPr>
          <w:kern w:val="0"/>
          <w:szCs w:val="24"/>
        </w:rPr>
        <w:t>antithrombotic effects that may help to reduce death</w:t>
      </w:r>
      <w:r w:rsidR="005853A9">
        <w:rPr>
          <w:kern w:val="0"/>
          <w:szCs w:val="24"/>
        </w:rPr>
        <w:t xml:space="preserve"> and </w:t>
      </w:r>
      <w:r>
        <w:rPr>
          <w:kern w:val="0"/>
          <w:szCs w:val="24"/>
        </w:rPr>
        <w:t>disability in people with acute stroke. This is an update</w:t>
      </w:r>
      <w:r w:rsidR="00427468">
        <w:rPr>
          <w:kern w:val="0"/>
          <w:szCs w:val="24"/>
        </w:rPr>
        <w:t xml:space="preserve"> of </w:t>
      </w:r>
      <w:r>
        <w:rPr>
          <w:kern w:val="0"/>
          <w:szCs w:val="24"/>
        </w:rPr>
        <w:t>a Cochrane Review first published in 1999,</w:t>
      </w:r>
      <w:r w:rsidR="005853A9">
        <w:rPr>
          <w:kern w:val="0"/>
          <w:szCs w:val="24"/>
        </w:rPr>
        <w:t xml:space="preserve"> and </w:t>
      </w:r>
      <w:r>
        <w:rPr>
          <w:kern w:val="0"/>
          <w:szCs w:val="24"/>
        </w:rPr>
        <w:t>previously updated in 2006</w:t>
      </w:r>
      <w:r w:rsidR="005853A9">
        <w:rPr>
          <w:kern w:val="0"/>
          <w:szCs w:val="24"/>
        </w:rPr>
        <w:t xml:space="preserve"> and </w:t>
      </w:r>
      <w:r>
        <w:rPr>
          <w:kern w:val="0"/>
          <w:szCs w:val="24"/>
        </w:rPr>
        <w:t>2009. Objectives To assess the effects</w:t>
      </w:r>
      <w:r w:rsidR="00427468">
        <w:rPr>
          <w:kern w:val="0"/>
          <w:szCs w:val="24"/>
        </w:rPr>
        <w:t xml:space="preserve"> of </w:t>
      </w:r>
      <w:r>
        <w:rPr>
          <w:kern w:val="0"/>
          <w:szCs w:val="24"/>
        </w:rPr>
        <w:t>piracetam in acute, presumed ischaemic stroke. Search methods We searched the Cochrane Stroke Group Trials Register (last searched 15 May 2011), the Cochrane Central Register</w:t>
      </w:r>
      <w:r w:rsidR="00427468">
        <w:rPr>
          <w:kern w:val="0"/>
          <w:szCs w:val="24"/>
        </w:rPr>
        <w:t xml:space="preserve"> of </w:t>
      </w:r>
      <w:r>
        <w:rPr>
          <w:kern w:val="0"/>
          <w:szCs w:val="24"/>
        </w:rPr>
        <w:t xml:space="preserve">Controlled Trials (CENTRAL) (The Cochrane Library 2011, Issue 2), </w:t>
      </w:r>
      <w:r w:rsidR="00D5664A">
        <w:rPr>
          <w:kern w:val="0"/>
          <w:szCs w:val="24"/>
        </w:rPr>
        <w:t>MEDLINE</w:t>
      </w:r>
      <w:r>
        <w:rPr>
          <w:kern w:val="0"/>
          <w:szCs w:val="24"/>
        </w:rPr>
        <w:t xml:space="preserve"> (1966 to May 2011), EMBASE (1980 to May 2011),</w:t>
      </w:r>
      <w:r w:rsidR="005853A9">
        <w:rPr>
          <w:kern w:val="0"/>
          <w:szCs w:val="24"/>
        </w:rPr>
        <w:t xml:space="preserve"> and </w:t>
      </w:r>
      <w:r>
        <w:rPr>
          <w:kern w:val="0"/>
          <w:szCs w:val="24"/>
        </w:rPr>
        <w:t>ISI Science Citation Index (1981 to May 2011). We also contacted the manufacturer</w:t>
      </w:r>
      <w:r w:rsidR="00427468">
        <w:rPr>
          <w:kern w:val="0"/>
          <w:szCs w:val="24"/>
        </w:rPr>
        <w:t xml:space="preserve"> of </w:t>
      </w:r>
      <w:r>
        <w:rPr>
          <w:kern w:val="0"/>
          <w:szCs w:val="24"/>
        </w:rPr>
        <w:t>piracetam to identify further published</w:t>
      </w:r>
      <w:r w:rsidR="005853A9">
        <w:rPr>
          <w:kern w:val="0"/>
          <w:szCs w:val="24"/>
        </w:rPr>
        <w:t xml:space="preserve"> and </w:t>
      </w:r>
      <w:r>
        <w:rPr>
          <w:kern w:val="0"/>
          <w:szCs w:val="24"/>
        </w:rPr>
        <w:t>unpublished studies. Selection criteria Randomised trials comparing piracetam with control, with at least mortality reported</w:t>
      </w:r>
      <w:r w:rsidR="005853A9">
        <w:rPr>
          <w:kern w:val="0"/>
          <w:szCs w:val="24"/>
        </w:rPr>
        <w:t xml:space="preserve"> and </w:t>
      </w:r>
      <w:r>
        <w:rPr>
          <w:kern w:val="0"/>
          <w:szCs w:val="24"/>
        </w:rPr>
        <w:t>entry to the trial within three days</w:t>
      </w:r>
      <w:r w:rsidR="00427468">
        <w:rPr>
          <w:kern w:val="0"/>
          <w:szCs w:val="24"/>
        </w:rPr>
        <w:t xml:space="preserve"> of </w:t>
      </w:r>
      <w:r>
        <w:rPr>
          <w:kern w:val="0"/>
          <w:szCs w:val="24"/>
        </w:rPr>
        <w:t>stroke onset. Data collection</w:t>
      </w:r>
      <w:r w:rsidR="005853A9">
        <w:rPr>
          <w:kern w:val="0"/>
          <w:szCs w:val="24"/>
        </w:rPr>
        <w:t xml:space="preserve"> and </w:t>
      </w:r>
      <w:r>
        <w:rPr>
          <w:kern w:val="0"/>
          <w:szCs w:val="24"/>
        </w:rPr>
        <w:t>analysis Two review authors extracted data</w:t>
      </w:r>
      <w:r w:rsidR="005853A9">
        <w:rPr>
          <w:kern w:val="0"/>
          <w:szCs w:val="24"/>
        </w:rPr>
        <w:t xml:space="preserve"> and </w:t>
      </w:r>
      <w:r>
        <w:rPr>
          <w:kern w:val="0"/>
          <w:szCs w:val="24"/>
        </w:rPr>
        <w:t>assessed trial quality</w:t>
      </w:r>
      <w:r w:rsidR="005853A9">
        <w:rPr>
          <w:kern w:val="0"/>
          <w:szCs w:val="24"/>
        </w:rPr>
        <w:t xml:space="preserve"> and </w:t>
      </w:r>
      <w:r>
        <w:rPr>
          <w:kern w:val="0"/>
          <w:szCs w:val="24"/>
        </w:rPr>
        <w:t xml:space="preserve">this was checked by the other two review authors. We contacted study authors for missing information. Main results We included three </w:t>
      </w:r>
      <w:r>
        <w:rPr>
          <w:kern w:val="0"/>
          <w:szCs w:val="24"/>
        </w:rPr>
        <w:lastRenderedPageBreak/>
        <w:t>trials involving 1002 patients, with one trial contributing 93%</w:t>
      </w:r>
      <w:r w:rsidR="00427468">
        <w:rPr>
          <w:kern w:val="0"/>
          <w:szCs w:val="24"/>
        </w:rPr>
        <w:t xml:space="preserve"> of </w:t>
      </w:r>
      <w:r>
        <w:rPr>
          <w:kern w:val="0"/>
          <w:szCs w:val="24"/>
        </w:rPr>
        <w:t>the data. Participants</w:t>
      </w:r>
      <w:r w:rsidR="0071223E">
        <w:rPr>
          <w:kern w:val="0"/>
          <w:szCs w:val="24"/>
        </w:rPr>
        <w:t>’</w:t>
      </w:r>
      <w:r>
        <w:rPr>
          <w:kern w:val="0"/>
          <w:szCs w:val="24"/>
        </w:rPr>
        <w:t xml:space="preserve"> ages ranged from 40 to 85 years,</w:t>
      </w:r>
      <w:r w:rsidR="005853A9">
        <w:rPr>
          <w:kern w:val="0"/>
          <w:szCs w:val="24"/>
        </w:rPr>
        <w:t xml:space="preserve"> and </w:t>
      </w:r>
      <w:r>
        <w:rPr>
          <w:kern w:val="0"/>
          <w:szCs w:val="24"/>
        </w:rPr>
        <w:t>both sexes were equally represented. Piracetam was associated with a statistically non-significant increase in death at one month (approximately 31% increase, 95% confidence interval 81% increase to 5% reduction). This trend was no longer apparent in the large trial after correction for imbalance in stroke severity. Limited data showed no difference between the treatment</w:t>
      </w:r>
      <w:r w:rsidR="005853A9">
        <w:rPr>
          <w:kern w:val="0"/>
          <w:szCs w:val="24"/>
        </w:rPr>
        <w:t xml:space="preserve"> and </w:t>
      </w:r>
      <w:r>
        <w:rPr>
          <w:kern w:val="0"/>
          <w:szCs w:val="24"/>
        </w:rPr>
        <w:t>control groups for functional outcome, dependence or proportion</w:t>
      </w:r>
      <w:r w:rsidR="00427468">
        <w:rPr>
          <w:kern w:val="0"/>
          <w:szCs w:val="24"/>
        </w:rPr>
        <w:t xml:space="preserve"> of </w:t>
      </w:r>
      <w:r>
        <w:rPr>
          <w:kern w:val="0"/>
          <w:szCs w:val="24"/>
        </w:rPr>
        <w:t>patients dead or dependent. Adverse effects were not reported. Authors</w:t>
      </w:r>
      <w:r w:rsidR="0071223E">
        <w:rPr>
          <w:kern w:val="0"/>
          <w:szCs w:val="24"/>
        </w:rPr>
        <w:t>’</w:t>
      </w:r>
      <w:r>
        <w:rPr>
          <w:kern w:val="0"/>
          <w:szCs w:val="24"/>
        </w:rPr>
        <w:t xml:space="preserve"> conclusions There is some suggestion (but no statistically significant result)</w:t>
      </w:r>
      <w:r w:rsidR="00427468">
        <w:rPr>
          <w:kern w:val="0"/>
          <w:szCs w:val="24"/>
        </w:rPr>
        <w:t xml:space="preserve"> of </w:t>
      </w:r>
      <w:r>
        <w:rPr>
          <w:kern w:val="0"/>
          <w:szCs w:val="24"/>
        </w:rPr>
        <w:t>an unfavourable effect</w:t>
      </w:r>
      <w:r w:rsidR="00427468">
        <w:rPr>
          <w:kern w:val="0"/>
          <w:szCs w:val="24"/>
        </w:rPr>
        <w:t xml:space="preserve"> of </w:t>
      </w:r>
      <w:r>
        <w:rPr>
          <w:kern w:val="0"/>
          <w:szCs w:val="24"/>
        </w:rPr>
        <w:t>piracetam on early death, but this may have been caused by baseline differences in stroke severity in the trials</w:t>
      </w:r>
      <w:r w:rsidR="00A37C1D">
        <w:rPr>
          <w:kern w:val="0"/>
          <w:szCs w:val="24"/>
        </w:rPr>
        <w:t>. The</w:t>
      </w:r>
      <w:r>
        <w:rPr>
          <w:kern w:val="0"/>
          <w:szCs w:val="24"/>
        </w:rPr>
        <w:t>re is not enough evidence to assess the effect</w:t>
      </w:r>
      <w:r w:rsidR="00427468">
        <w:rPr>
          <w:kern w:val="0"/>
          <w:szCs w:val="24"/>
        </w:rPr>
        <w:t xml:space="preserve"> of </w:t>
      </w:r>
      <w:r>
        <w:rPr>
          <w:kern w:val="0"/>
          <w:szCs w:val="24"/>
        </w:rPr>
        <w:t>piracetam on dependence.</w:t>
      </w:r>
    </w:p>
    <w:p w:rsidR="00365DE4" w:rsidRDefault="00365DE4" w:rsidP="00365DE4">
      <w:pPr>
        <w:pStyle w:val="a3"/>
        <w:rPr>
          <w:kern w:val="0"/>
          <w:szCs w:val="24"/>
        </w:rPr>
      </w:pPr>
      <w:r>
        <w:rPr>
          <w:kern w:val="0"/>
          <w:szCs w:val="24"/>
        </w:rPr>
        <w:t>Keywords: Acute Cerebral-Ischemia, Acute Disease, Analysis, Authors, Brain Ischemia [Drug Therapy, Citation, Collection, Confidence, Control, Control Groups, Criteria, Data, Death, Disability, Effects, Efficacy, Evidence, First, Humans, Information, Interval</w:t>
      </w:r>
      <w:r w:rsidR="00D5664A">
        <w:rPr>
          <w:kern w:val="0"/>
          <w:szCs w:val="24"/>
        </w:rPr>
        <w:t>, ISI,</w:t>
      </w:r>
      <w:r>
        <w:rPr>
          <w:kern w:val="0"/>
          <w:szCs w:val="24"/>
        </w:rPr>
        <w:t xml:space="preserve"> </w:t>
      </w:r>
      <w:r w:rsidR="00D5664A">
        <w:rPr>
          <w:kern w:val="0"/>
          <w:szCs w:val="24"/>
        </w:rPr>
        <w:t>MEDLINE</w:t>
      </w:r>
      <w:r>
        <w:rPr>
          <w:kern w:val="0"/>
          <w:szCs w:val="24"/>
        </w:rPr>
        <w:t>, Methods, Mortality, Mortality], Neuroprotective Agents [Adverse Effects, Onset, Outcome, Patients, Piracetam [Adverse Effects, Placebo, Quality, Reduction, Review, Science, Science Citation Index, Search, Stroke, Stroke [Drug Therapy, Suggestion, Therapeutic Use], Treatment, Trend, Trial</w:t>
      </w:r>
    </w:p>
    <w:p w:rsidR="00365DE4" w:rsidRDefault="00365DE4" w:rsidP="00365DE4">
      <w:pPr>
        <w:pStyle w:val="a3"/>
        <w:rPr>
          <w:kern w:val="0"/>
        </w:rPr>
      </w:pPr>
      <w:r>
        <w:rPr>
          <w:kern w:val="0"/>
          <w:szCs w:val="24"/>
        </w:rPr>
        <w:t>? Bonati, L.H., Lyrer, P., Ederle, J., Featherstone, R.</w:t>
      </w:r>
      <w:r w:rsidR="005853A9">
        <w:rPr>
          <w:kern w:val="0"/>
          <w:szCs w:val="24"/>
        </w:rPr>
        <w:t xml:space="preserve"> and </w:t>
      </w:r>
      <w:r>
        <w:rPr>
          <w:kern w:val="0"/>
          <w:szCs w:val="24"/>
        </w:rPr>
        <w:t>Brown, M.M. (2012), Percutaneous transluminal balloon angioplasty</w:t>
      </w:r>
      <w:r w:rsidR="005853A9">
        <w:rPr>
          <w:kern w:val="0"/>
          <w:szCs w:val="24"/>
        </w:rPr>
        <w:t xml:space="preserve"> and </w:t>
      </w:r>
      <w:r>
        <w:rPr>
          <w:kern w:val="0"/>
          <w:szCs w:val="24"/>
        </w:rPr>
        <w:t xml:space="preserve">stenting for carotid artery stenosis.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rPr>
        <w:t>, Article Number: CD000515.</w:t>
      </w:r>
    </w:p>
    <w:p w:rsidR="00365DE4" w:rsidRDefault="00365DE4" w:rsidP="00365DE4">
      <w:pPr>
        <w:pStyle w:val="a3"/>
        <w:rPr>
          <w:kern w:val="2"/>
        </w:rPr>
      </w:pPr>
      <w:r>
        <w:t xml:space="preserve">Full Text: </w:t>
      </w:r>
      <w:hyperlink r:id="rId770" w:history="1">
        <w:r>
          <w:rPr>
            <w:rStyle w:val="a5"/>
          </w:rPr>
          <w:t>2012\Coc Dat Sys Rev2012, CD000515.pdf</w:t>
        </w:r>
      </w:hyperlink>
    </w:p>
    <w:p w:rsidR="00365DE4" w:rsidRDefault="00365DE4" w:rsidP="00365DE4">
      <w:pPr>
        <w:pStyle w:val="a3"/>
        <w:rPr>
          <w:kern w:val="0"/>
          <w:szCs w:val="24"/>
        </w:rPr>
      </w:pPr>
      <w:r>
        <w:rPr>
          <w:kern w:val="0"/>
          <w:szCs w:val="24"/>
        </w:rPr>
        <w:t>Abstract: Background Endovascular treatment by transluminal balloon angioplasty or stent insertion may be a useful alternative to carotid endarterectomy for the treatment</w:t>
      </w:r>
      <w:r w:rsidR="00427468">
        <w:rPr>
          <w:kern w:val="0"/>
          <w:szCs w:val="24"/>
        </w:rPr>
        <w:t xml:space="preserve"> of </w:t>
      </w:r>
      <w:r>
        <w:rPr>
          <w:kern w:val="0"/>
          <w:szCs w:val="24"/>
        </w:rPr>
        <w:t>atherosclerotic carotid artery stenosis. This review updates a previous version first published in 1997</w:t>
      </w:r>
      <w:r w:rsidR="005853A9">
        <w:rPr>
          <w:kern w:val="0"/>
          <w:szCs w:val="24"/>
        </w:rPr>
        <w:t xml:space="preserve"> and </w:t>
      </w:r>
      <w:r>
        <w:rPr>
          <w:kern w:val="0"/>
          <w:szCs w:val="24"/>
        </w:rPr>
        <w:t>subsequently updated in 2004</w:t>
      </w:r>
      <w:r w:rsidR="005853A9">
        <w:rPr>
          <w:kern w:val="0"/>
          <w:szCs w:val="24"/>
        </w:rPr>
        <w:t xml:space="preserve"> and </w:t>
      </w:r>
      <w:r>
        <w:rPr>
          <w:kern w:val="0"/>
          <w:szCs w:val="24"/>
        </w:rPr>
        <w:t>2007. Objectives To assess the benefits</w:t>
      </w:r>
      <w:r w:rsidR="005853A9">
        <w:rPr>
          <w:kern w:val="0"/>
          <w:szCs w:val="24"/>
        </w:rPr>
        <w:t xml:space="preserve"> and </w:t>
      </w:r>
      <w:r>
        <w:rPr>
          <w:kern w:val="0"/>
          <w:szCs w:val="24"/>
        </w:rPr>
        <w:t>risks</w:t>
      </w:r>
      <w:r w:rsidR="00427468">
        <w:rPr>
          <w:kern w:val="0"/>
          <w:szCs w:val="24"/>
        </w:rPr>
        <w:t xml:space="preserve"> of </w:t>
      </w:r>
      <w:r>
        <w:rPr>
          <w:kern w:val="0"/>
          <w:szCs w:val="24"/>
        </w:rPr>
        <w:t>endovascular treatment compared with carotid endarterectomy or medical therapy in patients with symptomatic or asymptomatic carotid stenosis. Search methods We searched the Cochrane Stroke Group Trials Register (last searched January 2012)</w:t>
      </w:r>
      <w:r w:rsidR="005853A9">
        <w:rPr>
          <w:kern w:val="0"/>
          <w:szCs w:val="24"/>
        </w:rPr>
        <w:t xml:space="preserve"> and </w:t>
      </w:r>
      <w:r>
        <w:rPr>
          <w:kern w:val="0"/>
          <w:szCs w:val="24"/>
        </w:rPr>
        <w:t>the following databases: the Cochrane Central Register</w:t>
      </w:r>
      <w:r w:rsidR="00427468">
        <w:rPr>
          <w:kern w:val="0"/>
          <w:szCs w:val="24"/>
        </w:rPr>
        <w:t xml:space="preserve"> of </w:t>
      </w:r>
      <w:r>
        <w:rPr>
          <w:kern w:val="0"/>
          <w:szCs w:val="24"/>
        </w:rPr>
        <w:t xml:space="preserve">Controlled Trials (CENTRAL) (The Cochrane Library 2010, Issue 4), </w:t>
      </w:r>
      <w:r w:rsidR="00D5664A">
        <w:rPr>
          <w:kern w:val="0"/>
          <w:szCs w:val="24"/>
        </w:rPr>
        <w:t>MEDLINE</w:t>
      </w:r>
      <w:r>
        <w:rPr>
          <w:kern w:val="0"/>
          <w:szCs w:val="24"/>
        </w:rPr>
        <w:t xml:space="preserve"> (1950 to January 2011), EMBASE (1980 to January 2011)</w:t>
      </w:r>
      <w:r w:rsidR="005853A9">
        <w:rPr>
          <w:kern w:val="0"/>
          <w:szCs w:val="24"/>
        </w:rPr>
        <w:t xml:space="preserve"> and </w:t>
      </w:r>
      <w:r>
        <w:rPr>
          <w:kern w:val="0"/>
          <w:szCs w:val="24"/>
        </w:rPr>
        <w:t>Science Citation Index (1945 to January 2011). We also searched ongoing trials registers (January 2011)</w:t>
      </w:r>
      <w:r w:rsidR="005853A9">
        <w:rPr>
          <w:kern w:val="0"/>
          <w:szCs w:val="24"/>
        </w:rPr>
        <w:t xml:space="preserve"> and </w:t>
      </w:r>
      <w:r>
        <w:rPr>
          <w:kern w:val="0"/>
          <w:szCs w:val="24"/>
        </w:rPr>
        <w:t>reference lists</w:t>
      </w:r>
      <w:r w:rsidR="005853A9">
        <w:rPr>
          <w:kern w:val="0"/>
          <w:szCs w:val="24"/>
        </w:rPr>
        <w:t xml:space="preserve"> and </w:t>
      </w:r>
      <w:r>
        <w:rPr>
          <w:kern w:val="0"/>
          <w:szCs w:val="24"/>
        </w:rPr>
        <w:t>contacted researchers in the field. Selection criteria Randomised trials comparing endovascular treatment (including balloon angioplasty or stenting) with endarterectomy or medical therapy for symptomatic or asymptomatic atherosclerotic carotid stenosis. Data collection</w:t>
      </w:r>
      <w:r w:rsidR="005853A9">
        <w:rPr>
          <w:kern w:val="0"/>
          <w:szCs w:val="24"/>
        </w:rPr>
        <w:t xml:space="preserve"> and </w:t>
      </w:r>
      <w:r>
        <w:rPr>
          <w:kern w:val="0"/>
          <w:szCs w:val="24"/>
        </w:rPr>
        <w:t>analysis One review author selected trials for inclusion, assessed trial quality</w:t>
      </w:r>
      <w:r w:rsidR="005853A9">
        <w:rPr>
          <w:kern w:val="0"/>
          <w:szCs w:val="24"/>
        </w:rPr>
        <w:t xml:space="preserve"> and </w:t>
      </w:r>
      <w:r>
        <w:rPr>
          <w:kern w:val="0"/>
          <w:szCs w:val="24"/>
        </w:rPr>
        <w:lastRenderedPageBreak/>
        <w:t>extracted data. A second review author independently validated trial selection</w:t>
      </w:r>
      <w:r w:rsidR="005853A9">
        <w:rPr>
          <w:kern w:val="0"/>
          <w:szCs w:val="24"/>
        </w:rPr>
        <w:t xml:space="preserve"> and </w:t>
      </w:r>
      <w:r>
        <w:rPr>
          <w:kern w:val="0"/>
          <w:szCs w:val="24"/>
        </w:rPr>
        <w:t>a third review author independently validated data extraction. We calculated treatment effects as odds ratios (OR)</w:t>
      </w:r>
      <w:r w:rsidR="005853A9">
        <w:rPr>
          <w:kern w:val="0"/>
          <w:szCs w:val="24"/>
        </w:rPr>
        <w:t xml:space="preserve"> and </w:t>
      </w:r>
      <w:r>
        <w:rPr>
          <w:kern w:val="0"/>
          <w:szCs w:val="24"/>
        </w:rPr>
        <w:t>95% confidence intervals (CI), with endovascular treatment as the reference group. We quantified heterogeneity using the I-2 statistic. Main results We included 16 trials involving 7572 patients. In patients with symptomatic carotid stenosis at standard surgical risk, endovascular treatment was associated with a higher risk</w:t>
      </w:r>
      <w:r w:rsidR="00427468">
        <w:rPr>
          <w:kern w:val="0"/>
          <w:szCs w:val="24"/>
        </w:rPr>
        <w:t xml:space="preserve"> of </w:t>
      </w:r>
      <w:r>
        <w:rPr>
          <w:kern w:val="0"/>
          <w:szCs w:val="24"/>
        </w:rPr>
        <w:t>the following outcome measures occurring between randomisation</w:t>
      </w:r>
      <w:r w:rsidR="005853A9">
        <w:rPr>
          <w:kern w:val="0"/>
          <w:szCs w:val="24"/>
        </w:rPr>
        <w:t xml:space="preserve"> and </w:t>
      </w:r>
      <w:r>
        <w:rPr>
          <w:kern w:val="0"/>
          <w:szCs w:val="24"/>
        </w:rPr>
        <w:t>30 days after treatment than endarterectomy: death or any stroke (the primary safety outcome) (OR 1.72, 95% CI 1.29 to 2.31, P = 0.0003; I-2 = 27%), death or any stroke or myocardial infarction (OR 1.44, 95% CI 1.15 to 1.80, P = 0.002; I-2 = 7%),</w:t>
      </w:r>
      <w:r w:rsidR="005853A9">
        <w:rPr>
          <w:kern w:val="0"/>
          <w:szCs w:val="24"/>
        </w:rPr>
        <w:t xml:space="preserve"> and </w:t>
      </w:r>
      <w:r>
        <w:rPr>
          <w:kern w:val="0"/>
          <w:szCs w:val="24"/>
        </w:rPr>
        <w:t>any stroke (OR 1.81, 95% CI 1.40 to 2.34, P &lt; 0.00001; I-2 = 12%)</w:t>
      </w:r>
      <w:r w:rsidR="00A37C1D">
        <w:rPr>
          <w:kern w:val="0"/>
          <w:szCs w:val="24"/>
        </w:rPr>
        <w:t>. The</w:t>
      </w:r>
      <w:r>
        <w:rPr>
          <w:kern w:val="0"/>
          <w:szCs w:val="24"/>
        </w:rPr>
        <w:t xml:space="preserve"> OR for the primary safety outcome was 1.16 (95% CI 0.80 to 1.67) in patients &lt; 70 years old</w:t>
      </w:r>
      <w:r w:rsidR="005853A9">
        <w:rPr>
          <w:kern w:val="0"/>
          <w:szCs w:val="24"/>
        </w:rPr>
        <w:t xml:space="preserve"> and </w:t>
      </w:r>
      <w:r>
        <w:rPr>
          <w:kern w:val="0"/>
          <w:szCs w:val="24"/>
        </w:rPr>
        <w:t>2.20 (95% CI 1.47 to 3.29) in patients &gt;= 70 years old (interaction P = 0.02)</w:t>
      </w:r>
      <w:r w:rsidR="00A37C1D">
        <w:rPr>
          <w:kern w:val="0"/>
          <w:szCs w:val="24"/>
        </w:rPr>
        <w:t>. The</w:t>
      </w:r>
      <w:r>
        <w:rPr>
          <w:kern w:val="0"/>
          <w:szCs w:val="24"/>
        </w:rPr>
        <w:t xml:space="preserve"> rate</w:t>
      </w:r>
      <w:r w:rsidR="00427468">
        <w:rPr>
          <w:kern w:val="0"/>
          <w:szCs w:val="24"/>
        </w:rPr>
        <w:t xml:space="preserve"> of </w:t>
      </w:r>
      <w:r>
        <w:rPr>
          <w:kern w:val="0"/>
          <w:szCs w:val="24"/>
        </w:rPr>
        <w:t>death or major or disabling stroke did not differ significantly between treatments (OR 1.28, 95% CI 0.93 to 1.77, P = 0.13; I-2 = 0%). Endovascular treatment was associated with lower risks</w:t>
      </w:r>
      <w:r w:rsidR="00427468">
        <w:rPr>
          <w:kern w:val="0"/>
          <w:szCs w:val="24"/>
        </w:rPr>
        <w:t xml:space="preserve"> of </w:t>
      </w:r>
      <w:r>
        <w:rPr>
          <w:kern w:val="0"/>
          <w:szCs w:val="24"/>
        </w:rPr>
        <w:t>myocardial infarction (OR 0.44, 95% CI 0.23 to 0.87, P = 0.02; I-2 = 0%), cranial nerve palsy (OR 0.08, 95% CI 0.05 to 0.14, P &lt; 0.00001; I-2 = 0%)</w:t>
      </w:r>
      <w:r w:rsidR="005853A9">
        <w:rPr>
          <w:kern w:val="0"/>
          <w:szCs w:val="24"/>
        </w:rPr>
        <w:t xml:space="preserve"> and </w:t>
      </w:r>
      <w:r>
        <w:rPr>
          <w:kern w:val="0"/>
          <w:szCs w:val="24"/>
        </w:rPr>
        <w:t>access site haematomas (OR 0.37, 95% CI 0.18 to 0.77, P = 0.008; I-2 = 27%)</w:t>
      </w:r>
      <w:r w:rsidR="00A37C1D">
        <w:rPr>
          <w:kern w:val="0"/>
          <w:szCs w:val="24"/>
        </w:rPr>
        <w:t>. The</w:t>
      </w:r>
      <w:r>
        <w:rPr>
          <w:kern w:val="0"/>
          <w:szCs w:val="24"/>
        </w:rPr>
        <w:t xml:space="preserve"> combination</w:t>
      </w:r>
      <w:r w:rsidR="00427468">
        <w:rPr>
          <w:kern w:val="0"/>
          <w:szCs w:val="24"/>
        </w:rPr>
        <w:t xml:space="preserve"> of </w:t>
      </w:r>
      <w:r>
        <w:rPr>
          <w:kern w:val="0"/>
          <w:szCs w:val="24"/>
        </w:rPr>
        <w:t>death or any stroke up to 30 days after treatment or ipsilateral stroke during follow-up (the primary combined safety</w:t>
      </w:r>
      <w:r w:rsidR="005853A9">
        <w:rPr>
          <w:kern w:val="0"/>
          <w:szCs w:val="24"/>
        </w:rPr>
        <w:t xml:space="preserve"> and </w:t>
      </w:r>
      <w:r>
        <w:rPr>
          <w:kern w:val="0"/>
          <w:szCs w:val="24"/>
        </w:rPr>
        <w:t>efficacy outcome) favoured endarterectomy (OR 1.39, 95% CI 1.10 to 1.75, P = 0.005; I-2 = 0%), but the rate</w:t>
      </w:r>
      <w:r w:rsidR="00427468">
        <w:rPr>
          <w:kern w:val="0"/>
          <w:szCs w:val="24"/>
        </w:rPr>
        <w:t xml:space="preserve"> of </w:t>
      </w:r>
      <w:r>
        <w:rPr>
          <w:kern w:val="0"/>
          <w:szCs w:val="24"/>
        </w:rPr>
        <w:t>ipsilateral stroke after the peri-procedural period did not differ between treatments (OR 0.93, 95% CI 0.60 to 1.45, P = 0.76; I-2 = 0%). Restenosis during follow-up was more common in patients receiving endovascular treatment than in patients assigned surgery (OR 2.41, 95% CI 1.28 to 4.53, P = 0.007; I-2 = 55%). In patients with asymptomatic carotid stenosis, treatment effects on the primary safety (OR 1.71, 95% CI 0.78 to 3.76, P = 0.18; I-2 = 0%)</w:t>
      </w:r>
      <w:r w:rsidR="005853A9">
        <w:rPr>
          <w:kern w:val="0"/>
          <w:szCs w:val="24"/>
        </w:rPr>
        <w:t xml:space="preserve"> and </w:t>
      </w:r>
      <w:r>
        <w:rPr>
          <w:kern w:val="0"/>
          <w:szCs w:val="24"/>
        </w:rPr>
        <w:t>combined safety</w:t>
      </w:r>
      <w:r w:rsidR="005853A9">
        <w:rPr>
          <w:kern w:val="0"/>
          <w:szCs w:val="24"/>
        </w:rPr>
        <w:t xml:space="preserve"> and </w:t>
      </w:r>
      <w:r>
        <w:rPr>
          <w:kern w:val="0"/>
          <w:szCs w:val="24"/>
        </w:rPr>
        <w:t>efficacy outcomes (OR 1.75, 95% CI 0.92 to 3.33, P = 0.09; I-2 = 0%) were similar to symptomatic patients, but differences between treatments were not statistically significant. Among patients not suitable for surgery, the rate</w:t>
      </w:r>
      <w:r w:rsidR="00427468">
        <w:rPr>
          <w:kern w:val="0"/>
          <w:szCs w:val="24"/>
        </w:rPr>
        <w:t xml:space="preserve"> of </w:t>
      </w:r>
      <w:r>
        <w:rPr>
          <w:kern w:val="0"/>
          <w:szCs w:val="24"/>
        </w:rPr>
        <w:t>death or any stroke between randomisation</w:t>
      </w:r>
      <w:r w:rsidR="005853A9">
        <w:rPr>
          <w:kern w:val="0"/>
          <w:szCs w:val="24"/>
        </w:rPr>
        <w:t xml:space="preserve"> and </w:t>
      </w:r>
      <w:r>
        <w:rPr>
          <w:kern w:val="0"/>
          <w:szCs w:val="24"/>
        </w:rPr>
        <w:t>end</w:t>
      </w:r>
      <w:r w:rsidR="00427468">
        <w:rPr>
          <w:kern w:val="0"/>
          <w:szCs w:val="24"/>
        </w:rPr>
        <w:t xml:space="preserve"> of </w:t>
      </w:r>
      <w:r>
        <w:rPr>
          <w:kern w:val="0"/>
          <w:szCs w:val="24"/>
        </w:rPr>
        <w:t>follow-up did not differ significantly between endovascular treatment</w:t>
      </w:r>
      <w:r w:rsidR="005853A9">
        <w:rPr>
          <w:kern w:val="0"/>
          <w:szCs w:val="24"/>
        </w:rPr>
        <w:t xml:space="preserve"> and </w:t>
      </w:r>
      <w:r>
        <w:rPr>
          <w:kern w:val="0"/>
          <w:szCs w:val="24"/>
        </w:rPr>
        <w:t>medical care (OR 0.22, 95% CI 0.01 to 7.92, P = 0.41; I-2 = 79%). Authors</w:t>
      </w:r>
      <w:r w:rsidR="0071223E">
        <w:rPr>
          <w:kern w:val="0"/>
          <w:szCs w:val="24"/>
        </w:rPr>
        <w:t>’</w:t>
      </w:r>
      <w:r>
        <w:rPr>
          <w:kern w:val="0"/>
          <w:szCs w:val="24"/>
        </w:rPr>
        <w:t xml:space="preserve"> conclusions Endovascular treatment is associated with an increased risk</w:t>
      </w:r>
      <w:r w:rsidR="00427468">
        <w:rPr>
          <w:kern w:val="0"/>
          <w:szCs w:val="24"/>
        </w:rPr>
        <w:t xml:space="preserve"> of </w:t>
      </w:r>
      <w:r>
        <w:rPr>
          <w:kern w:val="0"/>
          <w:szCs w:val="24"/>
        </w:rPr>
        <w:t>peri-procedural stroke or death compared with endarterectomy. However, this excess risk appears to be limited to older patients</w:t>
      </w:r>
      <w:r w:rsidR="00A37C1D">
        <w:rPr>
          <w:kern w:val="0"/>
          <w:szCs w:val="24"/>
        </w:rPr>
        <w:t>. The</w:t>
      </w:r>
      <w:r>
        <w:rPr>
          <w:kern w:val="0"/>
          <w:szCs w:val="24"/>
        </w:rPr>
        <w:t xml:space="preserve"> longer term efficacy</w:t>
      </w:r>
      <w:r w:rsidR="00427468">
        <w:rPr>
          <w:kern w:val="0"/>
          <w:szCs w:val="24"/>
        </w:rPr>
        <w:t xml:space="preserve"> of </w:t>
      </w:r>
      <w:r>
        <w:rPr>
          <w:kern w:val="0"/>
          <w:szCs w:val="24"/>
        </w:rPr>
        <w:t>endovascular treatment</w:t>
      </w:r>
      <w:r w:rsidR="005853A9">
        <w:rPr>
          <w:kern w:val="0"/>
          <w:szCs w:val="24"/>
        </w:rPr>
        <w:t xml:space="preserve"> and </w:t>
      </w:r>
      <w:r>
        <w:rPr>
          <w:kern w:val="0"/>
          <w:szCs w:val="24"/>
        </w:rPr>
        <w:t>the risk</w:t>
      </w:r>
      <w:r w:rsidR="00427468">
        <w:rPr>
          <w:kern w:val="0"/>
          <w:szCs w:val="24"/>
        </w:rPr>
        <w:t xml:space="preserve"> of </w:t>
      </w:r>
      <w:r>
        <w:rPr>
          <w:kern w:val="0"/>
          <w:szCs w:val="24"/>
        </w:rPr>
        <w:t>restenosis are unclear</w:t>
      </w:r>
      <w:r w:rsidR="005853A9">
        <w:rPr>
          <w:kern w:val="0"/>
          <w:szCs w:val="24"/>
        </w:rPr>
        <w:t xml:space="preserve"> and </w:t>
      </w:r>
      <w:r>
        <w:rPr>
          <w:kern w:val="0"/>
          <w:szCs w:val="24"/>
        </w:rPr>
        <w:t>require further follow-up</w:t>
      </w:r>
      <w:r w:rsidR="00427468">
        <w:rPr>
          <w:kern w:val="0"/>
          <w:szCs w:val="24"/>
        </w:rPr>
        <w:t xml:space="preserve"> of </w:t>
      </w:r>
      <w:r>
        <w:rPr>
          <w:kern w:val="0"/>
          <w:szCs w:val="24"/>
        </w:rPr>
        <w:t>existing trials. Further trials are needed to determine the optimal treatment for asymptomatic carotid stenosis.</w:t>
      </w:r>
    </w:p>
    <w:p w:rsidR="00365DE4" w:rsidRDefault="00365DE4" w:rsidP="00365DE4">
      <w:pPr>
        <w:pStyle w:val="a3"/>
        <w:rPr>
          <w:kern w:val="0"/>
          <w:szCs w:val="24"/>
        </w:rPr>
      </w:pPr>
      <w:r>
        <w:rPr>
          <w:kern w:val="0"/>
          <w:szCs w:val="24"/>
        </w:rPr>
        <w:t xml:space="preserve">Keywords: Access, Alternative, Analysis, Angioplasty, Balloon, Artery, Care, Carotid </w:t>
      </w:r>
      <w:r>
        <w:rPr>
          <w:kern w:val="0"/>
          <w:szCs w:val="24"/>
        </w:rPr>
        <w:lastRenderedPageBreak/>
        <w:t xml:space="preserve">Artery, Internal, Carotid Stenosis [Therapy], Cerebral Protection, Citation, Clinical-Trial, Collection, Confidence, Confidence Intervals, Criteria, Data, Databases, Death, Effects, Efficacy, Eva-3s Trial, Excess Risk, Extraction, Field, First, Follow-Up, Heterogeneity, Humans, Infarction, Interaction, Interobserver Agreement, Intervals, Medical, Medical Care, </w:t>
      </w:r>
      <w:r w:rsidR="00D5664A">
        <w:rPr>
          <w:kern w:val="0"/>
          <w:szCs w:val="24"/>
        </w:rPr>
        <w:t>MEDLINE</w:t>
      </w:r>
      <w:r>
        <w:rPr>
          <w:kern w:val="0"/>
          <w:szCs w:val="24"/>
        </w:rPr>
        <w:t>, Methods, Myocardial Infarction, Odds Ratio, Of-The-Literature, Outcome, Outcome Measures, Outcomes, P, Patients, Primary, Quality, Randomisation, Randomized Controlled Trials As Topic, Randomized-Trial, Reference, Reference Lists, Restenosis, Revascularization Endarterectomy, Review, Risk, Risks, Safety, Science, Science Citation Index, Search, Selection, Site, Standard, Stents, Stroke, Stroke Patients, Subgroup Analysis, Surgery, Surgical-Risk Patients, Term, Therapy, Treatment, Trial, Version</w:t>
      </w:r>
    </w:p>
    <w:p w:rsidR="00365DE4" w:rsidRDefault="00365DE4" w:rsidP="00365DE4">
      <w:pPr>
        <w:pStyle w:val="a3"/>
        <w:rPr>
          <w:kern w:val="0"/>
        </w:rPr>
      </w:pPr>
      <w:r>
        <w:rPr>
          <w:kern w:val="0"/>
        </w:rPr>
        <w:t>? Aghoram, R., Cai, P.</w:t>
      </w:r>
      <w:r w:rsidR="005853A9">
        <w:rPr>
          <w:kern w:val="0"/>
        </w:rPr>
        <w:t xml:space="preserve"> and </w:t>
      </w:r>
      <w:r>
        <w:rPr>
          <w:kern w:val="0"/>
        </w:rPr>
        <w:t>Dickinson, J.A. (2012), Alpha-foetoprotein and/or liver ultrasonography for screening</w:t>
      </w:r>
      <w:r w:rsidR="00427468">
        <w:rPr>
          <w:kern w:val="0"/>
        </w:rPr>
        <w:t xml:space="preserve"> of </w:t>
      </w:r>
      <w:r>
        <w:rPr>
          <w:kern w:val="0"/>
        </w:rPr>
        <w:t xml:space="preserve">hepatocellular carcinoma in patients with chronic hepatitis B.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CD002799.</w:t>
      </w:r>
    </w:p>
    <w:p w:rsidR="00365DE4" w:rsidRDefault="00365DE4" w:rsidP="00365DE4">
      <w:pPr>
        <w:pStyle w:val="a3"/>
        <w:rPr>
          <w:kern w:val="2"/>
        </w:rPr>
      </w:pPr>
      <w:r>
        <w:t xml:space="preserve">Full Text: </w:t>
      </w:r>
      <w:hyperlink r:id="rId771" w:history="1">
        <w:r>
          <w:rPr>
            <w:rStyle w:val="a5"/>
          </w:rPr>
          <w:t>2012\Coc Dat Sys Rev2012, CD002799.pdf</w:t>
        </w:r>
      </w:hyperlink>
    </w:p>
    <w:p w:rsidR="00365DE4" w:rsidRDefault="00365DE4" w:rsidP="00365DE4">
      <w:pPr>
        <w:pStyle w:val="a3"/>
        <w:rPr>
          <w:kern w:val="0"/>
        </w:rPr>
      </w:pPr>
      <w:r>
        <w:rPr>
          <w:kern w:val="0"/>
        </w:rPr>
        <w:t>Abstract: Background Chronic hepatitis B virus infection is a risk factor for development</w:t>
      </w:r>
      <w:r w:rsidR="00427468">
        <w:rPr>
          <w:kern w:val="0"/>
        </w:rPr>
        <w:t xml:space="preserve"> of </w:t>
      </w:r>
      <w:r>
        <w:rPr>
          <w:kern w:val="0"/>
        </w:rPr>
        <w:t>hepatocellular carcinoma. Alpha-foetoprotein</w:t>
      </w:r>
      <w:r w:rsidR="005853A9">
        <w:rPr>
          <w:kern w:val="0"/>
        </w:rPr>
        <w:t xml:space="preserve"> and </w:t>
      </w:r>
      <w:r>
        <w:rPr>
          <w:kern w:val="0"/>
        </w:rPr>
        <w:t>liver ultrasonography are used to screen patients with chronic hepatitis B for hepatocellular carcinoma. It is uncertain whether screening is worthwhile. Objectives To determine the beneficial</w:t>
      </w:r>
      <w:r w:rsidR="005853A9">
        <w:rPr>
          <w:kern w:val="0"/>
        </w:rPr>
        <w:t xml:space="preserve"> and </w:t>
      </w:r>
      <w:r>
        <w:rPr>
          <w:kern w:val="0"/>
        </w:rPr>
        <w:t>harmful effects</w:t>
      </w:r>
      <w:r w:rsidR="00427468">
        <w:rPr>
          <w:kern w:val="0"/>
        </w:rPr>
        <w:t xml:space="preserve"> of </w:t>
      </w:r>
      <w:r>
        <w:rPr>
          <w:kern w:val="0"/>
        </w:rPr>
        <w:t>alpha-foetoprotein or ultrasound, or both, for screening</w:t>
      </w:r>
      <w:r w:rsidR="00427468">
        <w:rPr>
          <w:kern w:val="0"/>
        </w:rPr>
        <w:t xml:space="preserve"> of </w:t>
      </w:r>
      <w:r>
        <w:rPr>
          <w:kern w:val="0"/>
        </w:rPr>
        <w:t>hepatocellular carcinoma in patients with chronic hepatitis B virus infection. Search methods Electronic searches were performed until December 2011 in the Cochrane Hepato-Biliary Group Controlled Trials Register (December 2011), Cochrane Central Register</w:t>
      </w:r>
      <w:r w:rsidR="00427468">
        <w:rPr>
          <w:kern w:val="0"/>
        </w:rPr>
        <w:t xml:space="preserve"> of </w:t>
      </w:r>
      <w:r>
        <w:rPr>
          <w:kern w:val="0"/>
        </w:rPr>
        <w:t xml:space="preserve">Controlled Trials (CENTRAL) (2011, Issue 4) in The Cochrane Library, </w:t>
      </w:r>
      <w:r w:rsidR="00D5664A">
        <w:rPr>
          <w:kern w:val="0"/>
        </w:rPr>
        <w:t>MEDLINE</w:t>
      </w:r>
      <w:r>
        <w:rPr>
          <w:kern w:val="0"/>
        </w:rPr>
        <w:t xml:space="preserve"> (1948 to 2011), EMBASE (1980 to 2011), Science Citation Index Expanded (1900 to 2011), Chinese Medical Literature Electronic Database (WanFang Data 1998 to 2011),</w:t>
      </w:r>
      <w:r w:rsidR="005853A9">
        <w:rPr>
          <w:kern w:val="0"/>
        </w:rPr>
        <w:t xml:space="preserve"> and </w:t>
      </w:r>
      <w:r>
        <w:rPr>
          <w:kern w:val="0"/>
        </w:rPr>
        <w:t>Chinese Knowledge Resource Integrated Database (1994 to 2011). Selection criteria All published reports</w:t>
      </w:r>
      <w:r w:rsidR="00427468">
        <w:rPr>
          <w:kern w:val="0"/>
        </w:rPr>
        <w:t xml:space="preserve"> of </w:t>
      </w:r>
      <w:r>
        <w:rPr>
          <w:kern w:val="0"/>
        </w:rPr>
        <w:t>randomised trials on screening for liver cancer were eligible for inclusion, irrespective</w:t>
      </w:r>
      <w:r w:rsidR="00427468">
        <w:rPr>
          <w:kern w:val="0"/>
        </w:rPr>
        <w:t xml:space="preserve"> of </w:t>
      </w:r>
      <w:r>
        <w:rPr>
          <w:kern w:val="0"/>
        </w:rPr>
        <w:t>language</w:t>
      </w:r>
      <w:r w:rsidR="00427468">
        <w:rPr>
          <w:kern w:val="0"/>
        </w:rPr>
        <w:t xml:space="preserve"> of </w:t>
      </w:r>
      <w:r>
        <w:rPr>
          <w:kern w:val="0"/>
        </w:rPr>
        <w:t>publication. Studies were excluded when the hepatitis B status was uncertain, the screening tests were not sensitive or widely-used, or when the test was used for diagnosis</w:t>
      </w:r>
      <w:r w:rsidR="00427468">
        <w:rPr>
          <w:kern w:val="0"/>
        </w:rPr>
        <w:t xml:space="preserve"> of </w:t>
      </w:r>
      <w:r>
        <w:rPr>
          <w:kern w:val="0"/>
        </w:rPr>
        <w:t>hepatocellular carcinoma rather than screening. Data collection</w:t>
      </w:r>
      <w:r w:rsidR="005853A9">
        <w:rPr>
          <w:kern w:val="0"/>
        </w:rPr>
        <w:t xml:space="preserve"> and </w:t>
      </w:r>
      <w:r>
        <w:rPr>
          <w:kern w:val="0"/>
        </w:rPr>
        <w:t>analysis We independently analysed all the trials considered for inclusion. We wrote to the authors</w:t>
      </w:r>
      <w:r w:rsidR="00427468">
        <w:rPr>
          <w:kern w:val="0"/>
        </w:rPr>
        <w:t xml:space="preserve"> of </w:t>
      </w:r>
      <w:r>
        <w:rPr>
          <w:kern w:val="0"/>
        </w:rPr>
        <w:t>one</w:t>
      </w:r>
      <w:r w:rsidR="00427468">
        <w:rPr>
          <w:kern w:val="0"/>
        </w:rPr>
        <w:t xml:space="preserve"> of </w:t>
      </w:r>
      <w:r>
        <w:rPr>
          <w:kern w:val="0"/>
        </w:rPr>
        <w:t>the trials to obtain further information. Main results Three randomised clinical trials were included in this review. All</w:t>
      </w:r>
      <w:r w:rsidR="00427468">
        <w:rPr>
          <w:kern w:val="0"/>
        </w:rPr>
        <w:t xml:space="preserve"> of </w:t>
      </w:r>
      <w:r>
        <w:rPr>
          <w:kern w:val="0"/>
        </w:rPr>
        <w:t>them had a high risk</w:t>
      </w:r>
      <w:r w:rsidR="00427468">
        <w:rPr>
          <w:kern w:val="0"/>
        </w:rPr>
        <w:t xml:space="preserve"> of </w:t>
      </w:r>
      <w:r>
        <w:rPr>
          <w:kern w:val="0"/>
        </w:rPr>
        <w:t>bias. One trial was conducted in Shanghai, China</w:t>
      </w:r>
      <w:r w:rsidR="00A37C1D">
        <w:rPr>
          <w:kern w:val="0"/>
        </w:rPr>
        <w:t>. The</w:t>
      </w:r>
      <w:r>
        <w:rPr>
          <w:kern w:val="0"/>
        </w:rPr>
        <w:t xml:space="preserve">re are several published reports on this trial, in which data were presented differently. According to the 2004 trial report, participants were randomised to screening every </w:t>
      </w:r>
      <w:r>
        <w:rPr>
          <w:kern w:val="0"/>
        </w:rPr>
        <w:lastRenderedPageBreak/>
        <w:t>six months with alpha-foetoprotein</w:t>
      </w:r>
      <w:r w:rsidR="005853A9">
        <w:rPr>
          <w:kern w:val="0"/>
        </w:rPr>
        <w:t xml:space="preserve"> and </w:t>
      </w:r>
      <w:r>
        <w:rPr>
          <w:kern w:val="0"/>
        </w:rPr>
        <w:t>ultrasonography (n = 9373) versus no screening (n = 9443). We could not draw any definite conclusions from it. A second trial was conducted in Toronto, Canada. In this trial, there were 1069 participants with chronic hepatitis B</w:t>
      </w:r>
      <w:r w:rsidR="00A37C1D">
        <w:rPr>
          <w:kern w:val="0"/>
        </w:rPr>
        <w:t>. The</w:t>
      </w:r>
      <w:r>
        <w:rPr>
          <w:kern w:val="0"/>
        </w:rPr>
        <w:t xml:space="preserve"> trial compared screening every six months with alpha-foetoprotein alone (n = 532) versus alpha-foetoprotein</w:t>
      </w:r>
      <w:r w:rsidR="005853A9">
        <w:rPr>
          <w:kern w:val="0"/>
        </w:rPr>
        <w:t xml:space="preserve"> and </w:t>
      </w:r>
      <w:r>
        <w:rPr>
          <w:kern w:val="0"/>
        </w:rPr>
        <w:t>ultrasound (n = 538) over a period</w:t>
      </w:r>
      <w:r w:rsidR="00427468">
        <w:rPr>
          <w:kern w:val="0"/>
        </w:rPr>
        <w:t xml:space="preserve"> of </w:t>
      </w:r>
      <w:r>
        <w:rPr>
          <w:kern w:val="0"/>
        </w:rPr>
        <w:t>five years. This trial was designed as a pilot trial; the small number</w:t>
      </w:r>
      <w:r w:rsidR="00427468">
        <w:rPr>
          <w:kern w:val="0"/>
        </w:rPr>
        <w:t xml:space="preserve"> of </w:t>
      </w:r>
      <w:r>
        <w:rPr>
          <w:kern w:val="0"/>
        </w:rPr>
        <w:t>participants</w:t>
      </w:r>
      <w:r w:rsidR="005853A9">
        <w:rPr>
          <w:kern w:val="0"/>
        </w:rPr>
        <w:t xml:space="preserve"> and </w:t>
      </w:r>
      <w:r>
        <w:rPr>
          <w:kern w:val="0"/>
        </w:rPr>
        <w:t>the rare events did not allow an effective comparison between the two modes</w:t>
      </w:r>
      <w:r w:rsidR="00427468">
        <w:rPr>
          <w:kern w:val="0"/>
        </w:rPr>
        <w:t xml:space="preserve"> of </w:t>
      </w:r>
      <w:r>
        <w:rPr>
          <w:kern w:val="0"/>
        </w:rPr>
        <w:t>screening that were studied</w:t>
      </w:r>
      <w:r w:rsidR="00A37C1D">
        <w:rPr>
          <w:kern w:val="0"/>
        </w:rPr>
        <w:t>. The</w:t>
      </w:r>
      <w:r>
        <w:rPr>
          <w:kern w:val="0"/>
        </w:rPr>
        <w:t xml:space="preserve"> remaining trial, conducted in Taiwan</w:t>
      </w:r>
      <w:r w:rsidR="005853A9">
        <w:rPr>
          <w:kern w:val="0"/>
        </w:rPr>
        <w:t xml:space="preserve"> and </w:t>
      </w:r>
      <w:r>
        <w:rPr>
          <w:kern w:val="0"/>
        </w:rPr>
        <w:t>published as an abstract, was designed as a cluster randomised trial to determine the optimal interval for screening using alpha foetoprotein</w:t>
      </w:r>
      <w:r w:rsidR="005853A9">
        <w:rPr>
          <w:kern w:val="0"/>
        </w:rPr>
        <w:t xml:space="preserve"> and </w:t>
      </w:r>
      <w:r>
        <w:rPr>
          <w:kern w:val="0"/>
        </w:rPr>
        <w:t>ultrasound. Screening intervals</w:t>
      </w:r>
      <w:r w:rsidR="00427468">
        <w:rPr>
          <w:kern w:val="0"/>
        </w:rPr>
        <w:t xml:space="preserve"> of </w:t>
      </w:r>
      <w:r>
        <w:rPr>
          <w:kern w:val="0"/>
        </w:rPr>
        <w:t>four months</w:t>
      </w:r>
      <w:r w:rsidR="005853A9">
        <w:rPr>
          <w:kern w:val="0"/>
        </w:rPr>
        <w:t xml:space="preserve"> and </w:t>
      </w:r>
      <w:r>
        <w:rPr>
          <w:kern w:val="0"/>
        </w:rPr>
        <w:t>12 months were compared in the two groups. Further details about the screening strategy were not available</w:t>
      </w:r>
      <w:r w:rsidR="00A37C1D">
        <w:rPr>
          <w:kern w:val="0"/>
        </w:rPr>
        <w:t>. The</w:t>
      </w:r>
      <w:r>
        <w:rPr>
          <w:kern w:val="0"/>
        </w:rPr>
        <w:t xml:space="preserve"> trial reported on cumulative four-year survival, cumulative three-year incidence</w:t>
      </w:r>
      <w:r w:rsidR="00427468">
        <w:rPr>
          <w:kern w:val="0"/>
        </w:rPr>
        <w:t xml:space="preserve"> of </w:t>
      </w:r>
      <w:r>
        <w:rPr>
          <w:kern w:val="0"/>
        </w:rPr>
        <w:t>hepatocellular carcinoma,</w:t>
      </w:r>
      <w:r w:rsidR="005853A9">
        <w:rPr>
          <w:kern w:val="0"/>
        </w:rPr>
        <w:t xml:space="preserve"> and </w:t>
      </w:r>
      <w:r>
        <w:rPr>
          <w:kern w:val="0"/>
        </w:rPr>
        <w:t>mean tumour size</w:t>
      </w:r>
      <w:r w:rsidR="00A37C1D">
        <w:rPr>
          <w:kern w:val="0"/>
        </w:rPr>
        <w:t>. The</w:t>
      </w:r>
      <w:r>
        <w:rPr>
          <w:kern w:val="0"/>
        </w:rPr>
        <w:t xml:space="preserve"> cumulative four-year survival was not significantly different between the two screening intervals</w:t>
      </w:r>
      <w:r w:rsidR="00A37C1D">
        <w:rPr>
          <w:kern w:val="0"/>
        </w:rPr>
        <w:t>. The</w:t>
      </w:r>
      <w:r>
        <w:rPr>
          <w:kern w:val="0"/>
        </w:rPr>
        <w:t xml:space="preserve"> incidence</w:t>
      </w:r>
      <w:r w:rsidR="00427468">
        <w:rPr>
          <w:kern w:val="0"/>
        </w:rPr>
        <w:t xml:space="preserve"> of </w:t>
      </w:r>
      <w:r>
        <w:rPr>
          <w:kern w:val="0"/>
        </w:rPr>
        <w:t>hepatocellular cancer was higher in the four-monthly screening group</w:t>
      </w:r>
      <w:r w:rsidR="00A37C1D">
        <w:rPr>
          <w:kern w:val="0"/>
        </w:rPr>
        <w:t>. The</w:t>
      </w:r>
      <w:r>
        <w:rPr>
          <w:kern w:val="0"/>
        </w:rPr>
        <w:t xml:space="preserve"> included trials did not report on adverse events. It appears that the sensitivity</w:t>
      </w:r>
      <w:r w:rsidR="005853A9">
        <w:rPr>
          <w:kern w:val="0"/>
        </w:rPr>
        <w:t xml:space="preserve"> and </w:t>
      </w:r>
      <w:r>
        <w:rPr>
          <w:kern w:val="0"/>
        </w:rPr>
        <w:t>specificity</w:t>
      </w:r>
      <w:r w:rsidR="00427468">
        <w:rPr>
          <w:kern w:val="0"/>
        </w:rPr>
        <w:t xml:space="preserve"> of </w:t>
      </w:r>
      <w:r>
        <w:rPr>
          <w:kern w:val="0"/>
        </w:rPr>
        <w:t>the screening modes were poor, accounting for a substantial number</w:t>
      </w:r>
      <w:r w:rsidR="00427468">
        <w:rPr>
          <w:kern w:val="0"/>
        </w:rPr>
        <w:t xml:space="preserve"> of </w:t>
      </w:r>
      <w:r>
        <w:rPr>
          <w:kern w:val="0"/>
        </w:rPr>
        <w:t>false-positive</w:t>
      </w:r>
      <w:r w:rsidR="005853A9">
        <w:rPr>
          <w:kern w:val="0"/>
        </w:rPr>
        <w:t xml:space="preserve"> and </w:t>
      </w:r>
      <w:r>
        <w:rPr>
          <w:kern w:val="0"/>
        </w:rPr>
        <w:t>false-negative screening results. Authors</w:t>
      </w:r>
      <w:r w:rsidR="0071223E">
        <w:rPr>
          <w:kern w:val="0"/>
        </w:rPr>
        <w:t>’</w:t>
      </w:r>
      <w:r>
        <w:rPr>
          <w:kern w:val="0"/>
        </w:rPr>
        <w:t xml:space="preserve"> conclusions There is not enough evidence to support or refute the value</w:t>
      </w:r>
      <w:r w:rsidR="00427468">
        <w:rPr>
          <w:kern w:val="0"/>
        </w:rPr>
        <w:t xml:space="preserve"> of </w:t>
      </w:r>
      <w:r>
        <w:rPr>
          <w:kern w:val="0"/>
        </w:rPr>
        <w:t>alpha-foetoprotein or ultrasound screening, or both,</w:t>
      </w:r>
      <w:r w:rsidR="00427468">
        <w:rPr>
          <w:kern w:val="0"/>
        </w:rPr>
        <w:t xml:space="preserve"> of </w:t>
      </w:r>
      <w:r>
        <w:rPr>
          <w:kern w:val="0"/>
        </w:rPr>
        <w:t>hepatitis B surface antigen (HBsAg) positive patients for hepatocellular carcinoma. More</w:t>
      </w:r>
      <w:r w:rsidR="005853A9">
        <w:rPr>
          <w:kern w:val="0"/>
        </w:rPr>
        <w:t xml:space="preserve"> and </w:t>
      </w:r>
      <w:r>
        <w:rPr>
          <w:kern w:val="0"/>
        </w:rPr>
        <w:t>better designed randomised trials are required to compare screening against no screening.</w:t>
      </w:r>
    </w:p>
    <w:p w:rsidR="00365DE4" w:rsidRDefault="00365DE4" w:rsidP="00365DE4">
      <w:pPr>
        <w:pStyle w:val="a3"/>
        <w:rPr>
          <w:kern w:val="0"/>
        </w:rPr>
      </w:pPr>
      <w:r>
        <w:rPr>
          <w:kern w:val="0"/>
        </w:rPr>
        <w:t xml:space="preserve">Keywords: Alpha-Fetoproteins [Analysis], Analysis, Authors, Bias, Biological Markers [Blood], Canada, Cancer, Carcinoma,Hepatocellular [Blood, China, Chinese, Chronic, Chronic Hepatitis, Cirrhosis, Citation, Clinical, Clinical Trials, Cluster, Collection, Comparison, Criteria, Cumulative, Data, Development, Diagnosis, Effects, Empirical-Evidence, Events, Evidence, False Positive, Hepatitis, Hepatitis B, Hepatitis B Surface Antigens [Blood], Hepatitis B Virus, Hepatitis B,Chronic [Complications], Humans, Incidence, Infection, Information, Interval, Intervals, Language, Literature, Liver, Liver Neoplasms [Blood, Management, Medical, </w:t>
      </w:r>
      <w:r w:rsidR="00D5664A">
        <w:rPr>
          <w:kern w:val="0"/>
        </w:rPr>
        <w:t>MEDLINE</w:t>
      </w:r>
      <w:r>
        <w:rPr>
          <w:kern w:val="0"/>
        </w:rPr>
        <w:t>, Metaanalyses, Methods, Natural-History, Patients, Pilot, Publication, Quality, Randomised, Randomised Trial, Randomized Controlled Trials As Topic, Randomized Controlled-Trial, Review, Risk, Risk Factor, Science, Science Citation Index, Science Citation Index Expanded, Screening, Screening Strategy, Screening Tests, Search, Sensitivity, Size, Small, Specificity, Strategy, Support, Surface, Surveillance, Survival, Taiwan, Trial, Tumour Size, Ultrasonography, Ultrasonography], Ultrasound, Value, Virus Infection</w:t>
      </w:r>
    </w:p>
    <w:p w:rsidR="00365DE4" w:rsidRDefault="00365DE4" w:rsidP="00365DE4">
      <w:pPr>
        <w:pStyle w:val="a3"/>
        <w:rPr>
          <w:kern w:val="0"/>
        </w:rPr>
      </w:pPr>
      <w:r>
        <w:rPr>
          <w:kern w:val="0"/>
        </w:rPr>
        <w:t>? Marti-Carvajal, A.J.</w:t>
      </w:r>
      <w:r w:rsidR="005853A9">
        <w:rPr>
          <w:kern w:val="0"/>
        </w:rPr>
        <w:t xml:space="preserve"> and </w:t>
      </w:r>
      <w:r>
        <w:rPr>
          <w:kern w:val="0"/>
        </w:rPr>
        <w:t xml:space="preserve">Sola, I. (2012), Vitamin K for upper gastrointestinal bleeding </w:t>
      </w:r>
      <w:r>
        <w:rPr>
          <w:kern w:val="0"/>
        </w:rPr>
        <w:lastRenderedPageBreak/>
        <w:t xml:space="preserve">in patients with acute or chronic liver diseases.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CD004792.</w:t>
      </w:r>
    </w:p>
    <w:p w:rsidR="00365DE4" w:rsidRDefault="00365DE4" w:rsidP="00365DE4">
      <w:pPr>
        <w:pStyle w:val="a3"/>
        <w:rPr>
          <w:kern w:val="2"/>
        </w:rPr>
      </w:pPr>
      <w:r>
        <w:t xml:space="preserve">Full Text: </w:t>
      </w:r>
      <w:hyperlink r:id="rId772" w:history="1">
        <w:r>
          <w:rPr>
            <w:rStyle w:val="a5"/>
          </w:rPr>
          <w:t>2012\Coc Dat Sys Rev2012, CD004792.pdf</w:t>
        </w:r>
      </w:hyperlink>
    </w:p>
    <w:p w:rsidR="00365DE4" w:rsidRDefault="00365DE4" w:rsidP="00365DE4">
      <w:pPr>
        <w:pStyle w:val="a3"/>
        <w:rPr>
          <w:kern w:val="0"/>
        </w:rPr>
      </w:pPr>
      <w:r>
        <w:rPr>
          <w:kern w:val="0"/>
        </w:rPr>
        <w:t>Abstract: Background Upper gastrointestinal bleeding is one</w:t>
      </w:r>
      <w:r w:rsidR="00427468">
        <w:rPr>
          <w:kern w:val="0"/>
        </w:rPr>
        <w:t xml:space="preserve"> of </w:t>
      </w:r>
      <w:r>
        <w:rPr>
          <w:kern w:val="0"/>
        </w:rPr>
        <w:t>the most frequent causes</w:t>
      </w:r>
      <w:r w:rsidR="00427468">
        <w:rPr>
          <w:kern w:val="0"/>
        </w:rPr>
        <w:t xml:space="preserve"> of </w:t>
      </w:r>
      <w:r>
        <w:rPr>
          <w:kern w:val="0"/>
        </w:rPr>
        <w:t>morbidity</w:t>
      </w:r>
      <w:r w:rsidR="005853A9">
        <w:rPr>
          <w:kern w:val="0"/>
        </w:rPr>
        <w:t xml:space="preserve"> and </w:t>
      </w:r>
      <w:r>
        <w:rPr>
          <w:kern w:val="0"/>
        </w:rPr>
        <w:t>mortality in the course</w:t>
      </w:r>
      <w:r w:rsidR="00427468">
        <w:rPr>
          <w:kern w:val="0"/>
        </w:rPr>
        <w:t xml:space="preserve"> of </w:t>
      </w:r>
      <w:r>
        <w:rPr>
          <w:kern w:val="0"/>
        </w:rPr>
        <w:t>liver cirrhosis. Several treatments are used for upper gastrointestinal bleeding in patients with liver diseases. One</w:t>
      </w:r>
      <w:r w:rsidR="00427468">
        <w:rPr>
          <w:kern w:val="0"/>
        </w:rPr>
        <w:t xml:space="preserve"> of </w:t>
      </w:r>
      <w:r>
        <w:rPr>
          <w:kern w:val="0"/>
        </w:rPr>
        <w:t>them is vitamin K administration, but it is not known whether it benefits or harms patients with acute or chronic liver disease</w:t>
      </w:r>
      <w:r w:rsidR="005853A9">
        <w:rPr>
          <w:kern w:val="0"/>
        </w:rPr>
        <w:t xml:space="preserve"> and </w:t>
      </w:r>
      <w:r>
        <w:rPr>
          <w:kern w:val="0"/>
        </w:rPr>
        <w:t>upper gastrointestinal bleeding. Objectives To assess the beneficial</w:t>
      </w:r>
      <w:r w:rsidR="005853A9">
        <w:rPr>
          <w:kern w:val="0"/>
        </w:rPr>
        <w:t xml:space="preserve"> and </w:t>
      </w:r>
      <w:r>
        <w:rPr>
          <w:kern w:val="0"/>
        </w:rPr>
        <w:t>harmful effects</w:t>
      </w:r>
      <w:r w:rsidR="00427468">
        <w:rPr>
          <w:kern w:val="0"/>
        </w:rPr>
        <w:t xml:space="preserve"> of </w:t>
      </w:r>
      <w:r>
        <w:rPr>
          <w:kern w:val="0"/>
        </w:rPr>
        <w:t>vitamin K for patients with acute or chronic liver disease</w:t>
      </w:r>
      <w:r w:rsidR="005853A9">
        <w:rPr>
          <w:kern w:val="0"/>
        </w:rPr>
        <w:t xml:space="preserve"> and </w:t>
      </w:r>
      <w:r>
        <w:rPr>
          <w:kern w:val="0"/>
        </w:rPr>
        <w:t>upper gastrointestinal bleeding. Search methods We searched the Cochrane Hepato-Biliary Group Controlled Trials Register (12 June 2012), the Cochrane Central Register</w:t>
      </w:r>
      <w:r w:rsidR="00427468">
        <w:rPr>
          <w:kern w:val="0"/>
        </w:rPr>
        <w:t xml:space="preserve"> of </w:t>
      </w:r>
      <w:r>
        <w:rPr>
          <w:kern w:val="0"/>
        </w:rPr>
        <w:t>Controlled Trials (CENTRAL) in The Cochrane Library (Issue 5</w:t>
      </w:r>
      <w:r w:rsidR="00427468">
        <w:rPr>
          <w:kern w:val="0"/>
        </w:rPr>
        <w:t xml:space="preserve"> of </w:t>
      </w:r>
      <w:r>
        <w:rPr>
          <w:kern w:val="0"/>
        </w:rPr>
        <w:t xml:space="preserve">12, 2012), </w:t>
      </w:r>
      <w:r w:rsidR="00D5664A">
        <w:rPr>
          <w:kern w:val="0"/>
        </w:rPr>
        <w:t>MEDLINE</w:t>
      </w:r>
      <w:r>
        <w:rPr>
          <w:kern w:val="0"/>
        </w:rPr>
        <w:t xml:space="preserve"> (Ovid SP) (1946 to 12 June 2012), EMBASE (Ovid SP) (1974 to 12 June 2012), Science Citation Index EXPANDED (1900 to 12 June 2012),</w:t>
      </w:r>
      <w:r w:rsidR="005853A9">
        <w:rPr>
          <w:kern w:val="0"/>
        </w:rPr>
        <w:t xml:space="preserve"> and </w:t>
      </w:r>
      <w:r>
        <w:rPr>
          <w:kern w:val="0"/>
        </w:rPr>
        <w:t>LILACS (1982 to 19 June 2012). Additional randomised trials were sought from two registries</w:t>
      </w:r>
      <w:r w:rsidR="00427468">
        <w:rPr>
          <w:kern w:val="0"/>
        </w:rPr>
        <w:t xml:space="preserve"> of </w:t>
      </w:r>
      <w:r>
        <w:rPr>
          <w:kern w:val="0"/>
        </w:rPr>
        <w:t>clinical trials: the Clinical Trials Search Portal</w:t>
      </w:r>
      <w:r w:rsidR="00427468">
        <w:rPr>
          <w:kern w:val="0"/>
        </w:rPr>
        <w:t xml:space="preserve"> of </w:t>
      </w:r>
      <w:r>
        <w:rPr>
          <w:kern w:val="0"/>
        </w:rPr>
        <w:t>the WHO,</w:t>
      </w:r>
      <w:r w:rsidR="005853A9">
        <w:rPr>
          <w:kern w:val="0"/>
        </w:rPr>
        <w:t xml:space="preserve"> and </w:t>
      </w:r>
      <w:r>
        <w:rPr>
          <w:kern w:val="0"/>
        </w:rPr>
        <w:t>the Metaregister</w:t>
      </w:r>
      <w:r w:rsidR="00427468">
        <w:rPr>
          <w:kern w:val="0"/>
        </w:rPr>
        <w:t xml:space="preserve"> of </w:t>
      </w:r>
      <w:r>
        <w:rPr>
          <w:kern w:val="0"/>
        </w:rPr>
        <w:t>Controlled Trials. We looked through the reference lists</w:t>
      </w:r>
      <w:r w:rsidR="00427468">
        <w:rPr>
          <w:kern w:val="0"/>
        </w:rPr>
        <w:t xml:space="preserve"> of </w:t>
      </w:r>
      <w:r>
        <w:rPr>
          <w:kern w:val="0"/>
        </w:rPr>
        <w:t>the retrieved publications</w:t>
      </w:r>
      <w:r w:rsidR="005853A9">
        <w:rPr>
          <w:kern w:val="0"/>
        </w:rPr>
        <w:t xml:space="preserve"> and </w:t>
      </w:r>
      <w:r>
        <w:rPr>
          <w:kern w:val="0"/>
        </w:rPr>
        <w:t>review articles. Selection criteria Randomised clinical trials irrespective</w:t>
      </w:r>
      <w:r w:rsidR="00427468">
        <w:rPr>
          <w:kern w:val="0"/>
        </w:rPr>
        <w:t xml:space="preserve"> of </w:t>
      </w:r>
      <w:r>
        <w:rPr>
          <w:kern w:val="0"/>
        </w:rPr>
        <w:t>blinding, language, or publication status for assessment</w:t>
      </w:r>
      <w:r w:rsidR="00427468">
        <w:rPr>
          <w:kern w:val="0"/>
        </w:rPr>
        <w:t xml:space="preserve"> of </w:t>
      </w:r>
      <w:r>
        <w:rPr>
          <w:kern w:val="0"/>
        </w:rPr>
        <w:t>benefits</w:t>
      </w:r>
      <w:r w:rsidR="005853A9">
        <w:rPr>
          <w:kern w:val="0"/>
        </w:rPr>
        <w:t xml:space="preserve"> and </w:t>
      </w:r>
      <w:r>
        <w:rPr>
          <w:kern w:val="0"/>
        </w:rPr>
        <w:t>harms. Observational studies were considered for assessment</w:t>
      </w:r>
      <w:r w:rsidR="00427468">
        <w:rPr>
          <w:kern w:val="0"/>
        </w:rPr>
        <w:t xml:space="preserve"> of </w:t>
      </w:r>
      <w:r>
        <w:rPr>
          <w:kern w:val="0"/>
        </w:rPr>
        <w:t>harms only. Data collection</w:t>
      </w:r>
      <w:r w:rsidR="005853A9">
        <w:rPr>
          <w:kern w:val="0"/>
        </w:rPr>
        <w:t xml:space="preserve"> and </w:t>
      </w:r>
      <w:r>
        <w:rPr>
          <w:kern w:val="0"/>
        </w:rPr>
        <w:t>analysis Data from randomised clinical trials were to be summarised by standard Cochrane Collaboration methodologies. Main results We could not find any randomised trials on vitamin K for upper gastrointestinal bleeding in patients with liver diseases in which we could assess benefits</w:t>
      </w:r>
      <w:r w:rsidR="005853A9">
        <w:rPr>
          <w:kern w:val="0"/>
        </w:rPr>
        <w:t xml:space="preserve"> and </w:t>
      </w:r>
      <w:r>
        <w:rPr>
          <w:kern w:val="0"/>
        </w:rPr>
        <w:t>harms. We could not identify quasi-randomised studies, historically controlled or observational studies in which we could assess harms. Authors</w:t>
      </w:r>
      <w:r w:rsidR="0071223E">
        <w:rPr>
          <w:kern w:val="0"/>
        </w:rPr>
        <w:t>’</w:t>
      </w:r>
      <w:r>
        <w:rPr>
          <w:kern w:val="0"/>
        </w:rPr>
        <w:t xml:space="preserve"> conclusions This updated review found no randomised clinical trials on the benefits</w:t>
      </w:r>
      <w:r w:rsidR="005853A9">
        <w:rPr>
          <w:kern w:val="0"/>
        </w:rPr>
        <w:t xml:space="preserve"> and </w:t>
      </w:r>
      <w:r>
        <w:rPr>
          <w:kern w:val="0"/>
        </w:rPr>
        <w:t>harms</w:t>
      </w:r>
      <w:r w:rsidR="00427468">
        <w:rPr>
          <w:kern w:val="0"/>
        </w:rPr>
        <w:t xml:space="preserve"> of </w:t>
      </w:r>
      <w:r>
        <w:rPr>
          <w:kern w:val="0"/>
        </w:rPr>
        <w:t>vitamin K for upper gastrointestinal bleeding in patients with liver diseases</w:t>
      </w:r>
      <w:r w:rsidR="00A37C1D">
        <w:rPr>
          <w:kern w:val="0"/>
        </w:rPr>
        <w:t>. The</w:t>
      </w:r>
      <w:r>
        <w:rPr>
          <w:kern w:val="0"/>
        </w:rPr>
        <w:t xml:space="preserve"> effects</w:t>
      </w:r>
      <w:r w:rsidR="00427468">
        <w:rPr>
          <w:kern w:val="0"/>
        </w:rPr>
        <w:t xml:space="preserve"> of </w:t>
      </w:r>
      <w:r>
        <w:rPr>
          <w:kern w:val="0"/>
        </w:rPr>
        <w:t>vitamin K need to be tested in randomised clinical trials. Until randomised clinical trials are conducted to assess the trade off between benefits</w:t>
      </w:r>
      <w:r w:rsidR="005853A9">
        <w:rPr>
          <w:kern w:val="0"/>
        </w:rPr>
        <w:t xml:space="preserve"> and </w:t>
      </w:r>
      <w:r>
        <w:rPr>
          <w:kern w:val="0"/>
        </w:rPr>
        <w:t>harms, we cannot recommend nor refute vitamin K for upper gastrointestinal bleeding in patients with liver diseases.</w:t>
      </w:r>
    </w:p>
    <w:p w:rsidR="00365DE4" w:rsidRDefault="00365DE4" w:rsidP="00365DE4">
      <w:pPr>
        <w:pStyle w:val="a3"/>
        <w:rPr>
          <w:kern w:val="0"/>
        </w:rPr>
      </w:pPr>
      <w:r>
        <w:rPr>
          <w:kern w:val="0"/>
        </w:rPr>
        <w:t xml:space="preserve">Keywords: Administration, Analysis, Antifibrinolytic Agents [Therapeutic Use], Assessment, Bleeding, Chronic, Cirrhosis, Citation, Clinical, Clinical Trials, Cochrane Collaboration, Collaboration, Collection, Course, Criteria, Disease, Diseases, Effects, Empirical-Evidence, Etiology], Gastrointestinal Hemorrhage [Drug Therapy, Guidelines, Humans, Information Size, Language, Liver, Liver Diseases [Complications], </w:t>
      </w:r>
      <w:r w:rsidR="00D5664A">
        <w:rPr>
          <w:kern w:val="0"/>
        </w:rPr>
        <w:t>MEDLINE</w:t>
      </w:r>
      <w:r>
        <w:rPr>
          <w:kern w:val="0"/>
        </w:rPr>
        <w:t xml:space="preserve">, Metaanalyses, Methodologies, Methods, Morbidity, Mortality, No Evidence, Observational, Observational Studies, Patients, </w:t>
      </w:r>
      <w:r>
        <w:rPr>
          <w:kern w:val="0"/>
        </w:rPr>
        <w:lastRenderedPageBreak/>
        <w:t>Publication, Publication Bias, Publications, Quality, Randomised, Randomized Controlled-Trials, Reference, Reference Lists, Registries, Review, Science, Science Citation Index, Search, Standard, Trade Off, Trial Sequential-Analysis, Vitamin K [Therapeutic Use]</w:t>
      </w:r>
    </w:p>
    <w:p w:rsidR="00365DE4" w:rsidRDefault="00365DE4" w:rsidP="00365DE4">
      <w:pPr>
        <w:pStyle w:val="a3"/>
        <w:rPr>
          <w:kern w:val="0"/>
        </w:rPr>
      </w:pPr>
      <w:r>
        <w:rPr>
          <w:kern w:val="0"/>
          <w:szCs w:val="24"/>
        </w:rPr>
        <w:t>? Kendrick, D., Young, B., Mason-Jones, A.J., Ilyas, N., Achana, F.A., Cooper, N.J., Hubbard, S.J., Sutton, A.J., Smith, S., Wynn, P., Mulvaney, C., Watson, M.C.</w:t>
      </w:r>
      <w:r w:rsidR="005853A9">
        <w:rPr>
          <w:kern w:val="0"/>
          <w:szCs w:val="24"/>
        </w:rPr>
        <w:t xml:space="preserve"> and </w:t>
      </w:r>
      <w:r>
        <w:rPr>
          <w:kern w:val="0"/>
          <w:szCs w:val="24"/>
        </w:rPr>
        <w:t>Coupland, C. (2012), Home safety education</w:t>
      </w:r>
      <w:r w:rsidR="005853A9">
        <w:rPr>
          <w:kern w:val="0"/>
          <w:szCs w:val="24"/>
        </w:rPr>
        <w:t xml:space="preserve"> and </w:t>
      </w:r>
      <w:r>
        <w:rPr>
          <w:kern w:val="0"/>
          <w:szCs w:val="24"/>
        </w:rPr>
        <w:t>provision</w:t>
      </w:r>
      <w:r w:rsidR="00427468">
        <w:rPr>
          <w:kern w:val="0"/>
          <w:szCs w:val="24"/>
        </w:rPr>
        <w:t xml:space="preserve"> of </w:t>
      </w:r>
      <w:r>
        <w:rPr>
          <w:kern w:val="0"/>
          <w:szCs w:val="24"/>
        </w:rPr>
        <w:t xml:space="preserve">safety equipment for injury prevention.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rPr>
        <w:t>, Article Number: CD005014.</w:t>
      </w:r>
    </w:p>
    <w:p w:rsidR="00365DE4" w:rsidRDefault="00365DE4" w:rsidP="00365DE4">
      <w:pPr>
        <w:pStyle w:val="a3"/>
        <w:rPr>
          <w:kern w:val="2"/>
        </w:rPr>
      </w:pPr>
      <w:r>
        <w:t xml:space="preserve">Full Text: </w:t>
      </w:r>
      <w:hyperlink r:id="rId773" w:history="1">
        <w:r>
          <w:rPr>
            <w:rStyle w:val="a5"/>
          </w:rPr>
          <w:t>2012\Coc Dat Sys Rev2012, CD005014.pdf</w:t>
        </w:r>
      </w:hyperlink>
    </w:p>
    <w:p w:rsidR="00365DE4" w:rsidRDefault="00365DE4" w:rsidP="00365DE4">
      <w:pPr>
        <w:pStyle w:val="a3"/>
        <w:rPr>
          <w:kern w:val="0"/>
          <w:szCs w:val="24"/>
        </w:rPr>
      </w:pPr>
      <w:r>
        <w:rPr>
          <w:kern w:val="0"/>
          <w:szCs w:val="24"/>
        </w:rPr>
        <w:t>Abstract: Background In industrialised countries injuries (including burns, poisoning or drowning) are the leading cause</w:t>
      </w:r>
      <w:r w:rsidR="00427468">
        <w:rPr>
          <w:kern w:val="0"/>
          <w:szCs w:val="24"/>
        </w:rPr>
        <w:t xml:space="preserve"> of </w:t>
      </w:r>
      <w:r>
        <w:rPr>
          <w:kern w:val="0"/>
          <w:szCs w:val="24"/>
        </w:rPr>
        <w:t>childhood death</w:t>
      </w:r>
      <w:r w:rsidR="005853A9">
        <w:rPr>
          <w:kern w:val="0"/>
          <w:szCs w:val="24"/>
        </w:rPr>
        <w:t xml:space="preserve"> and </w:t>
      </w:r>
      <w:r>
        <w:rPr>
          <w:kern w:val="0"/>
          <w:szCs w:val="24"/>
        </w:rPr>
        <w:t>steep social gradients exist in child injury mortality</w:t>
      </w:r>
      <w:r w:rsidR="005853A9">
        <w:rPr>
          <w:kern w:val="0"/>
          <w:szCs w:val="24"/>
        </w:rPr>
        <w:t xml:space="preserve"> and </w:t>
      </w:r>
      <w:r>
        <w:rPr>
          <w:kern w:val="0"/>
          <w:szCs w:val="24"/>
        </w:rPr>
        <w:t>morbidity</w:t>
      </w:r>
      <w:r w:rsidR="00A37C1D">
        <w:rPr>
          <w:kern w:val="0"/>
          <w:szCs w:val="24"/>
        </w:rPr>
        <w:t>. The</w:t>
      </w:r>
      <w:r>
        <w:rPr>
          <w:kern w:val="0"/>
          <w:szCs w:val="24"/>
        </w:rPr>
        <w:t xml:space="preserve"> majority</w:t>
      </w:r>
      <w:r w:rsidR="00427468">
        <w:rPr>
          <w:kern w:val="0"/>
          <w:szCs w:val="24"/>
        </w:rPr>
        <w:t xml:space="preserve"> of </w:t>
      </w:r>
      <w:r>
        <w:rPr>
          <w:kern w:val="0"/>
          <w:szCs w:val="24"/>
        </w:rPr>
        <w:t>injuries in pre-school children occur at home but there is little meta-analytic evidence that child home safety interventions reduce injury rates or improve a range</w:t>
      </w:r>
      <w:r w:rsidR="00427468">
        <w:rPr>
          <w:kern w:val="0"/>
          <w:szCs w:val="24"/>
        </w:rPr>
        <w:t xml:space="preserve"> of </w:t>
      </w:r>
      <w:r>
        <w:rPr>
          <w:kern w:val="0"/>
          <w:szCs w:val="24"/>
        </w:rPr>
        <w:t>safety practices,</w:t>
      </w:r>
      <w:r w:rsidR="005853A9">
        <w:rPr>
          <w:kern w:val="0"/>
          <w:szCs w:val="24"/>
        </w:rPr>
        <w:t xml:space="preserve"> and </w:t>
      </w:r>
      <w:r>
        <w:rPr>
          <w:kern w:val="0"/>
          <w:szCs w:val="24"/>
        </w:rPr>
        <w:t>little evidence on their effect by social group. Objectives We evaluated the effectiveness</w:t>
      </w:r>
      <w:r w:rsidR="00427468">
        <w:rPr>
          <w:kern w:val="0"/>
          <w:szCs w:val="24"/>
        </w:rPr>
        <w:t xml:space="preserve"> of </w:t>
      </w:r>
      <w:r>
        <w:rPr>
          <w:kern w:val="0"/>
          <w:szCs w:val="24"/>
        </w:rPr>
        <w:t>home safety education, with or without the provision</w:t>
      </w:r>
      <w:r w:rsidR="00427468">
        <w:rPr>
          <w:kern w:val="0"/>
          <w:szCs w:val="24"/>
        </w:rPr>
        <w:t xml:space="preserve"> of </w:t>
      </w:r>
      <w:r>
        <w:rPr>
          <w:kern w:val="0"/>
          <w:szCs w:val="24"/>
        </w:rPr>
        <w:t>low cost, discounted or free equipment (hereafter referred to as home safety interventions), in reducing child injury rates or increasing home safety practices</w:t>
      </w:r>
      <w:r w:rsidR="005853A9">
        <w:rPr>
          <w:kern w:val="0"/>
          <w:szCs w:val="24"/>
        </w:rPr>
        <w:t xml:space="preserve"> and </w:t>
      </w:r>
      <w:r>
        <w:rPr>
          <w:kern w:val="0"/>
          <w:szCs w:val="24"/>
        </w:rPr>
        <w:t>whether the effect varied by social group. Search methods We searched the Cochrane Central Register</w:t>
      </w:r>
      <w:r w:rsidR="00427468">
        <w:rPr>
          <w:kern w:val="0"/>
          <w:szCs w:val="24"/>
        </w:rPr>
        <w:t xml:space="preserve"> of </w:t>
      </w:r>
      <w:r>
        <w:rPr>
          <w:kern w:val="0"/>
          <w:szCs w:val="24"/>
        </w:rPr>
        <w:t xml:space="preserve">Controlled Trials (CENTRAL) (2009, Issue 2) in The Cochrane Library, </w:t>
      </w:r>
      <w:r w:rsidR="00D5664A">
        <w:rPr>
          <w:kern w:val="0"/>
          <w:szCs w:val="24"/>
        </w:rPr>
        <w:t>MEDLINE</w:t>
      </w:r>
      <w:r>
        <w:rPr>
          <w:kern w:val="0"/>
          <w:szCs w:val="24"/>
        </w:rPr>
        <w:t xml:space="preserve"> (Ovid), EMBASE (Ovid), PsycINFO (Ovid), 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Science Citation Index Expanded (SCI-EXPANDED), ISI </w:t>
      </w:r>
      <w:r w:rsidR="00D5664A">
        <w:rPr>
          <w:kern w:val="0"/>
          <w:szCs w:val="24"/>
        </w:rPr>
        <w:t>Web</w:t>
      </w:r>
      <w:r w:rsidR="00427468">
        <w:rPr>
          <w:kern w:val="0"/>
          <w:szCs w:val="24"/>
        </w:rPr>
        <w:t xml:space="preserve"> of </w:t>
      </w:r>
      <w:r w:rsidR="00D5664A">
        <w:rPr>
          <w:kern w:val="0"/>
          <w:szCs w:val="24"/>
        </w:rPr>
        <w:t>Science</w:t>
      </w:r>
      <w:r>
        <w:rPr>
          <w:kern w:val="0"/>
          <w:szCs w:val="24"/>
        </w:rPr>
        <w:t>: Social Sciences Citation Index (</w:t>
      </w:r>
      <w:r w:rsidR="00D5664A">
        <w:rPr>
          <w:kern w:val="0"/>
          <w:szCs w:val="24"/>
        </w:rPr>
        <w:t>SSCI</w:t>
      </w:r>
      <w:r>
        <w:rPr>
          <w:kern w:val="0"/>
          <w:szCs w:val="24"/>
        </w:rPr>
        <w:t xml:space="preserve">), ISI </w:t>
      </w:r>
      <w:r w:rsidR="00D5664A">
        <w:rPr>
          <w:kern w:val="0"/>
          <w:szCs w:val="24"/>
        </w:rPr>
        <w:t>Web</w:t>
      </w:r>
      <w:r w:rsidR="00427468">
        <w:rPr>
          <w:kern w:val="0"/>
          <w:szCs w:val="24"/>
        </w:rPr>
        <w:t xml:space="preserve"> of </w:t>
      </w:r>
      <w:r w:rsidR="00D5664A">
        <w:rPr>
          <w:kern w:val="0"/>
          <w:szCs w:val="24"/>
        </w:rPr>
        <w:t>Science</w:t>
      </w:r>
      <w:r>
        <w:rPr>
          <w:kern w:val="0"/>
          <w:szCs w:val="24"/>
        </w:rPr>
        <w:t>: Conference Proceedings Citation Index-Science (CPCI-S), CINAHL (EBSCO)</w:t>
      </w:r>
      <w:r w:rsidR="005853A9">
        <w:rPr>
          <w:kern w:val="0"/>
          <w:szCs w:val="24"/>
        </w:rPr>
        <w:t xml:space="preserve"> and </w:t>
      </w:r>
      <w:r>
        <w:rPr>
          <w:kern w:val="0"/>
          <w:szCs w:val="24"/>
        </w:rPr>
        <w:t>DARE (2009, Issue 2) in The Cochrane Library. We also searched websites</w:t>
      </w:r>
      <w:r w:rsidR="005853A9">
        <w:rPr>
          <w:kern w:val="0"/>
          <w:szCs w:val="24"/>
        </w:rPr>
        <w:t xml:space="preserve"> and </w:t>
      </w:r>
      <w:r>
        <w:rPr>
          <w:kern w:val="0"/>
          <w:szCs w:val="24"/>
        </w:rPr>
        <w:t>conference proceedings</w:t>
      </w:r>
      <w:r w:rsidR="005853A9">
        <w:rPr>
          <w:kern w:val="0"/>
          <w:szCs w:val="24"/>
        </w:rPr>
        <w:t xml:space="preserve"> and </w:t>
      </w:r>
      <w:r>
        <w:rPr>
          <w:kern w:val="0"/>
          <w:szCs w:val="24"/>
        </w:rPr>
        <w:t>searched the bibliographies</w:t>
      </w:r>
      <w:r w:rsidR="00427468">
        <w:rPr>
          <w:kern w:val="0"/>
          <w:szCs w:val="24"/>
        </w:rPr>
        <w:t xml:space="preserve"> of </w:t>
      </w:r>
      <w:r>
        <w:rPr>
          <w:kern w:val="0"/>
          <w:szCs w:val="24"/>
        </w:rPr>
        <w:t>relevant studies</w:t>
      </w:r>
      <w:r w:rsidR="005853A9">
        <w:rPr>
          <w:kern w:val="0"/>
          <w:szCs w:val="24"/>
        </w:rPr>
        <w:t xml:space="preserve"> and </w:t>
      </w:r>
      <w:r>
        <w:rPr>
          <w:kern w:val="0"/>
          <w:szCs w:val="24"/>
        </w:rPr>
        <w:t>previously published reviews. We contacted authors</w:t>
      </w:r>
      <w:r w:rsidR="00427468">
        <w:rPr>
          <w:kern w:val="0"/>
          <w:szCs w:val="24"/>
        </w:rPr>
        <w:t xml:space="preserve"> of </w:t>
      </w:r>
      <w:r>
        <w:rPr>
          <w:kern w:val="0"/>
          <w:szCs w:val="24"/>
        </w:rPr>
        <w:t>included studies as well as relevant organisations</w:t>
      </w:r>
      <w:r w:rsidR="00A37C1D">
        <w:rPr>
          <w:kern w:val="0"/>
          <w:szCs w:val="24"/>
        </w:rPr>
        <w:t>. The</w:t>
      </w:r>
      <w:r>
        <w:rPr>
          <w:kern w:val="0"/>
          <w:szCs w:val="24"/>
        </w:rPr>
        <w:t xml:space="preserve"> most recent search for trials was May 2009. Selection criteria Randomised controlled trials (RCTs), non-randomised controlled trials</w:t>
      </w:r>
      <w:r w:rsidR="005853A9">
        <w:rPr>
          <w:kern w:val="0"/>
          <w:szCs w:val="24"/>
        </w:rPr>
        <w:t xml:space="preserve"> and </w:t>
      </w:r>
      <w:r>
        <w:rPr>
          <w:kern w:val="0"/>
          <w:szCs w:val="24"/>
        </w:rPr>
        <w:t>controlled before</w:t>
      </w:r>
      <w:r w:rsidR="005853A9">
        <w:rPr>
          <w:kern w:val="0"/>
          <w:szCs w:val="24"/>
        </w:rPr>
        <w:t xml:space="preserve"> and </w:t>
      </w:r>
      <w:r>
        <w:rPr>
          <w:kern w:val="0"/>
          <w:szCs w:val="24"/>
        </w:rPr>
        <w:t>after (CBA) studies where home safety education with or without the provision</w:t>
      </w:r>
      <w:r w:rsidR="00427468">
        <w:rPr>
          <w:kern w:val="0"/>
          <w:szCs w:val="24"/>
        </w:rPr>
        <w:t xml:space="preserve"> of </w:t>
      </w:r>
      <w:r>
        <w:rPr>
          <w:kern w:val="0"/>
          <w:szCs w:val="24"/>
        </w:rPr>
        <w:t>safety equipment was provided to those aged 19 years</w:t>
      </w:r>
      <w:r w:rsidR="005853A9">
        <w:rPr>
          <w:kern w:val="0"/>
          <w:szCs w:val="24"/>
        </w:rPr>
        <w:t xml:space="preserve"> and </w:t>
      </w:r>
      <w:r>
        <w:rPr>
          <w:kern w:val="0"/>
          <w:szCs w:val="24"/>
        </w:rPr>
        <w:t>under,</w:t>
      </w:r>
      <w:r w:rsidR="005853A9">
        <w:rPr>
          <w:kern w:val="0"/>
          <w:szCs w:val="24"/>
        </w:rPr>
        <w:t xml:space="preserve"> and </w:t>
      </w:r>
      <w:r>
        <w:rPr>
          <w:kern w:val="0"/>
          <w:szCs w:val="24"/>
        </w:rPr>
        <w:t>which reported injury, safety practices or possession</w:t>
      </w:r>
      <w:r w:rsidR="00427468">
        <w:rPr>
          <w:kern w:val="0"/>
          <w:szCs w:val="24"/>
        </w:rPr>
        <w:t xml:space="preserve"> of </w:t>
      </w:r>
      <w:r>
        <w:rPr>
          <w:kern w:val="0"/>
          <w:szCs w:val="24"/>
        </w:rPr>
        <w:t>safety equipment. Data collection</w:t>
      </w:r>
      <w:r w:rsidR="005853A9">
        <w:rPr>
          <w:kern w:val="0"/>
          <w:szCs w:val="24"/>
        </w:rPr>
        <w:t xml:space="preserve"> and </w:t>
      </w:r>
      <w:r>
        <w:rPr>
          <w:kern w:val="0"/>
          <w:szCs w:val="24"/>
        </w:rPr>
        <w:t>analysis Two authors independently assessed study quality</w:t>
      </w:r>
      <w:r w:rsidR="005853A9">
        <w:rPr>
          <w:kern w:val="0"/>
          <w:szCs w:val="24"/>
        </w:rPr>
        <w:t xml:space="preserve"> and </w:t>
      </w:r>
      <w:r>
        <w:rPr>
          <w:kern w:val="0"/>
          <w:szCs w:val="24"/>
        </w:rPr>
        <w:t>extracted data. We attempted to obtain individual participant level data (IPD) for all included studies</w:t>
      </w:r>
      <w:r w:rsidR="005853A9">
        <w:rPr>
          <w:kern w:val="0"/>
          <w:szCs w:val="24"/>
        </w:rPr>
        <w:t xml:space="preserve"> and </w:t>
      </w:r>
      <w:r>
        <w:rPr>
          <w:kern w:val="0"/>
          <w:szCs w:val="24"/>
        </w:rPr>
        <w:t>summary data</w:t>
      </w:r>
      <w:r w:rsidR="005853A9">
        <w:rPr>
          <w:kern w:val="0"/>
          <w:szCs w:val="24"/>
        </w:rPr>
        <w:t xml:space="preserve"> and </w:t>
      </w:r>
      <w:r>
        <w:rPr>
          <w:kern w:val="0"/>
          <w:szCs w:val="24"/>
        </w:rPr>
        <w:t>IPD were simultaneously combined in meta-regressions by social</w:t>
      </w:r>
      <w:r w:rsidR="005853A9">
        <w:rPr>
          <w:kern w:val="0"/>
          <w:szCs w:val="24"/>
        </w:rPr>
        <w:t xml:space="preserve"> and </w:t>
      </w:r>
      <w:r>
        <w:rPr>
          <w:kern w:val="0"/>
          <w:szCs w:val="24"/>
        </w:rPr>
        <w:t>demographic variables. Pooled incidence rate ratios (IRR) were calculated for injuries which occurred during the studies,</w:t>
      </w:r>
      <w:r w:rsidR="005853A9">
        <w:rPr>
          <w:kern w:val="0"/>
          <w:szCs w:val="24"/>
        </w:rPr>
        <w:t xml:space="preserve"> and </w:t>
      </w:r>
      <w:r>
        <w:rPr>
          <w:kern w:val="0"/>
          <w:szCs w:val="24"/>
        </w:rPr>
        <w:t>pooled odds ratios were calculated for the uptake</w:t>
      </w:r>
      <w:r w:rsidR="00427468">
        <w:rPr>
          <w:kern w:val="0"/>
          <w:szCs w:val="24"/>
        </w:rPr>
        <w:t xml:space="preserve"> of </w:t>
      </w:r>
      <w:r>
        <w:rPr>
          <w:kern w:val="0"/>
          <w:szCs w:val="24"/>
        </w:rPr>
        <w:t xml:space="preserve">safety equipment or safety practices, with 95% confidence intervals. </w:t>
      </w:r>
      <w:r>
        <w:rPr>
          <w:kern w:val="0"/>
          <w:szCs w:val="24"/>
        </w:rPr>
        <w:lastRenderedPageBreak/>
        <w:t>Main results Ninety-eight studies, involving 2,605,044 people, are included in this review. Fifty-four studies involving 812,705 people were comparable enough to be included in at least one meta-analysis. Thirty-five (65%) studies were RCTs. Nineteen (35%)</w:t>
      </w:r>
      <w:r w:rsidR="00427468">
        <w:rPr>
          <w:kern w:val="0"/>
          <w:szCs w:val="24"/>
        </w:rPr>
        <w:t xml:space="preserve"> of </w:t>
      </w:r>
      <w:r>
        <w:rPr>
          <w:kern w:val="0"/>
          <w:szCs w:val="24"/>
        </w:rPr>
        <w:t>the studies included in the meta-analysis provided IPD</w:t>
      </w:r>
      <w:r w:rsidR="00A37C1D">
        <w:rPr>
          <w:kern w:val="0"/>
          <w:szCs w:val="24"/>
        </w:rPr>
        <w:t>. The</w:t>
      </w:r>
      <w:r>
        <w:rPr>
          <w:kern w:val="0"/>
          <w:szCs w:val="24"/>
        </w:rPr>
        <w:t>re was a lack</w:t>
      </w:r>
      <w:r w:rsidR="00427468">
        <w:rPr>
          <w:kern w:val="0"/>
          <w:szCs w:val="24"/>
        </w:rPr>
        <w:t xml:space="preserve"> of </w:t>
      </w:r>
      <w:r>
        <w:rPr>
          <w:kern w:val="0"/>
          <w:szCs w:val="24"/>
        </w:rPr>
        <w:t>evidence that home safety interventions reduced rates</w:t>
      </w:r>
      <w:r w:rsidR="00427468">
        <w:rPr>
          <w:kern w:val="0"/>
          <w:szCs w:val="24"/>
        </w:rPr>
        <w:t xml:space="preserve"> of </w:t>
      </w:r>
      <w:r>
        <w:rPr>
          <w:kern w:val="0"/>
          <w:szCs w:val="24"/>
        </w:rPr>
        <w:t>thermal injuries or poisoning</w:t>
      </w:r>
      <w:r w:rsidR="00A37C1D">
        <w:rPr>
          <w:kern w:val="0"/>
          <w:szCs w:val="24"/>
        </w:rPr>
        <w:t>. The</w:t>
      </w:r>
      <w:r>
        <w:rPr>
          <w:kern w:val="0"/>
          <w:szCs w:val="24"/>
        </w:rPr>
        <w:t>re was some evidence that interventions may reduce injury rates after adjusting CBA studies for baseline injury rates (IRR 0.89, 95% CI 0.78 to 1.01). Greater reductions in injury rates were found for interventions delivered in the home (IRR 0.75, 95% CI 0.62 to 0.91),</w:t>
      </w:r>
      <w:r w:rsidR="005853A9">
        <w:rPr>
          <w:kern w:val="0"/>
          <w:szCs w:val="24"/>
        </w:rPr>
        <w:t xml:space="preserve"> and </w:t>
      </w:r>
      <w:r>
        <w:rPr>
          <w:kern w:val="0"/>
          <w:szCs w:val="24"/>
        </w:rPr>
        <w:t>for those interventions not providing safety equipment (IRR 0.78, 95% CI 0.66 to 0.92). Home safety interventions were effective in increasing the proportion</w:t>
      </w:r>
      <w:r w:rsidR="00427468">
        <w:rPr>
          <w:kern w:val="0"/>
          <w:szCs w:val="24"/>
        </w:rPr>
        <w:t xml:space="preserve"> of </w:t>
      </w:r>
      <w:r>
        <w:rPr>
          <w:kern w:val="0"/>
          <w:szCs w:val="24"/>
        </w:rPr>
        <w:t>families with safe hot tap water temperatures (OR 1.41, 95% CI 1.07 to 1.86), functional smoke alarms (OR 1.81, 95% CI 1.30 to 2.52), a fire escape plan (OR 2.01, 95% CI 1.45 to 2.77), storing medicines (OR 1.53, 95% CI 1.27 to 1.84)</w:t>
      </w:r>
      <w:r w:rsidR="005853A9">
        <w:rPr>
          <w:kern w:val="0"/>
          <w:szCs w:val="24"/>
        </w:rPr>
        <w:t xml:space="preserve"> and </w:t>
      </w:r>
      <w:r>
        <w:rPr>
          <w:kern w:val="0"/>
          <w:szCs w:val="24"/>
        </w:rPr>
        <w:t>cleaning products (OR 1.55, 95% CI 1.22 to 1.96) out</w:t>
      </w:r>
      <w:r w:rsidR="00427468">
        <w:rPr>
          <w:kern w:val="0"/>
          <w:szCs w:val="24"/>
        </w:rPr>
        <w:t xml:space="preserve"> of </w:t>
      </w:r>
      <w:r>
        <w:rPr>
          <w:kern w:val="0"/>
          <w:szCs w:val="24"/>
        </w:rPr>
        <w:t>reach, having syrup</w:t>
      </w:r>
      <w:r w:rsidR="00427468">
        <w:rPr>
          <w:kern w:val="0"/>
          <w:szCs w:val="24"/>
        </w:rPr>
        <w:t xml:space="preserve"> of </w:t>
      </w:r>
      <w:r>
        <w:rPr>
          <w:kern w:val="0"/>
          <w:szCs w:val="24"/>
        </w:rPr>
        <w:t>ipecac (OR 3.34, 95% CI 1.50 to 7.44) or poison control centre numbers accessible (OR 3.30, 95% CI 1.70 to 6.39), having fitted stair gates (OR 1.61, 95% CI 1.19 to 2.17),</w:t>
      </w:r>
      <w:r w:rsidR="005853A9">
        <w:rPr>
          <w:kern w:val="0"/>
          <w:szCs w:val="24"/>
        </w:rPr>
        <w:t xml:space="preserve"> and </w:t>
      </w:r>
      <w:r>
        <w:rPr>
          <w:kern w:val="0"/>
          <w:szCs w:val="24"/>
        </w:rPr>
        <w:t>having socket covers on unused sockets (OR 2.69, 95% CI 1.46 to 4.96). Interventions providing free, low cost or discounted safety equipment appeared to be more effective in improving some safety practices than those interventions not doing so</w:t>
      </w:r>
      <w:r w:rsidR="00A37C1D">
        <w:rPr>
          <w:kern w:val="0"/>
          <w:szCs w:val="24"/>
        </w:rPr>
        <w:t>. The</w:t>
      </w:r>
      <w:r>
        <w:rPr>
          <w:kern w:val="0"/>
          <w:szCs w:val="24"/>
        </w:rPr>
        <w:t>re was no consistent evidence that interventions were less effective in families whose children were at greater risk</w:t>
      </w:r>
      <w:r w:rsidR="00427468">
        <w:rPr>
          <w:kern w:val="0"/>
          <w:szCs w:val="24"/>
        </w:rPr>
        <w:t xml:space="preserve"> of </w:t>
      </w:r>
      <w:r>
        <w:rPr>
          <w:kern w:val="0"/>
          <w:szCs w:val="24"/>
        </w:rPr>
        <w:t>injury. Authors</w:t>
      </w:r>
      <w:r w:rsidR="0071223E">
        <w:rPr>
          <w:kern w:val="0"/>
          <w:szCs w:val="24"/>
        </w:rPr>
        <w:t>’</w:t>
      </w:r>
      <w:r>
        <w:rPr>
          <w:kern w:val="0"/>
          <w:szCs w:val="24"/>
        </w:rPr>
        <w:t xml:space="preserve"> conclusions Home safety interventions most commonly provided as one-to-one, face-to-face education, especially with the provision</w:t>
      </w:r>
      <w:r w:rsidR="00427468">
        <w:rPr>
          <w:kern w:val="0"/>
          <w:szCs w:val="24"/>
        </w:rPr>
        <w:t xml:space="preserve"> of </w:t>
      </w:r>
      <w:r>
        <w:rPr>
          <w:kern w:val="0"/>
          <w:szCs w:val="24"/>
        </w:rPr>
        <w:t>safety equipment, are effective in increasing a range</w:t>
      </w:r>
      <w:r w:rsidR="00427468">
        <w:rPr>
          <w:kern w:val="0"/>
          <w:szCs w:val="24"/>
        </w:rPr>
        <w:t xml:space="preserve"> of </w:t>
      </w:r>
      <w:r>
        <w:rPr>
          <w:kern w:val="0"/>
          <w:szCs w:val="24"/>
        </w:rPr>
        <w:t>safety practices</w:t>
      </w:r>
      <w:r w:rsidR="00A37C1D">
        <w:rPr>
          <w:kern w:val="0"/>
          <w:szCs w:val="24"/>
        </w:rPr>
        <w:t>. The</w:t>
      </w:r>
      <w:r>
        <w:rPr>
          <w:kern w:val="0"/>
          <w:szCs w:val="24"/>
        </w:rPr>
        <w:t>re is some evidence that such interventions may reduce injury rates, particularly where interventions are provided at home. Conflicting findings regarding interventions providing safety equipment on safety practices</w:t>
      </w:r>
      <w:r w:rsidR="005853A9">
        <w:rPr>
          <w:kern w:val="0"/>
          <w:szCs w:val="24"/>
        </w:rPr>
        <w:t xml:space="preserve"> and </w:t>
      </w:r>
      <w:r>
        <w:rPr>
          <w:kern w:val="0"/>
          <w:szCs w:val="24"/>
        </w:rPr>
        <w:t>injury outcomes are likely to be explained by two large studies; one clinic-based study provided equipment but did not reduce injury rates</w:t>
      </w:r>
      <w:r w:rsidR="005853A9">
        <w:rPr>
          <w:kern w:val="0"/>
          <w:szCs w:val="24"/>
        </w:rPr>
        <w:t xml:space="preserve"> and </w:t>
      </w:r>
      <w:r>
        <w:rPr>
          <w:kern w:val="0"/>
          <w:szCs w:val="24"/>
        </w:rPr>
        <w:t>one school-based study did not provide equipment but did demonstrate a significant reduction in injury rates</w:t>
      </w:r>
      <w:r w:rsidR="00A37C1D">
        <w:rPr>
          <w:kern w:val="0"/>
          <w:szCs w:val="24"/>
        </w:rPr>
        <w:t>. The</w:t>
      </w:r>
      <w:r>
        <w:rPr>
          <w:kern w:val="0"/>
          <w:szCs w:val="24"/>
        </w:rPr>
        <w:t>re was no consistent evidence that home safety education, with or without the provision</w:t>
      </w:r>
      <w:r w:rsidR="00427468">
        <w:rPr>
          <w:kern w:val="0"/>
          <w:szCs w:val="24"/>
        </w:rPr>
        <w:t xml:space="preserve"> of </w:t>
      </w:r>
      <w:r>
        <w:rPr>
          <w:kern w:val="0"/>
          <w:szCs w:val="24"/>
        </w:rPr>
        <w:t>safety equipment, was less effective in those participants at greater risk</w:t>
      </w:r>
      <w:r w:rsidR="00427468">
        <w:rPr>
          <w:kern w:val="0"/>
          <w:szCs w:val="24"/>
        </w:rPr>
        <w:t xml:space="preserve"> of </w:t>
      </w:r>
      <w:r>
        <w:rPr>
          <w:kern w:val="0"/>
          <w:szCs w:val="24"/>
        </w:rPr>
        <w:t>injury. Further studies are still required to confirm these findings with respect to injury rates.</w:t>
      </w:r>
    </w:p>
    <w:p w:rsidR="00365DE4" w:rsidRDefault="00365DE4" w:rsidP="00365DE4">
      <w:pPr>
        <w:pStyle w:val="a3"/>
        <w:rPr>
          <w:kern w:val="0"/>
          <w:szCs w:val="24"/>
        </w:rPr>
      </w:pPr>
      <w:r>
        <w:rPr>
          <w:kern w:val="0"/>
          <w:szCs w:val="24"/>
        </w:rPr>
        <w:t xml:space="preserve">Keywords: *Protective Devices, *Safety, Accident Prevention [Instrumentation, Accidental Falls [Prevention &amp; Control], Accidents, Home [*Prevention &amp; Control], Aged, Analysis, Attempted, Authors, Bibliographies, Blood Lead Levels, Burns, Burns [Prevention &amp; Control], Burns, Electric [Prevention &amp; Control], Child, Child,Preschool, Childhood, Childhood Injury, Children, Citation, Collection, Community Mothers Program, Conference, Confidence, Confidence Intervals, </w:t>
      </w:r>
      <w:r>
        <w:rPr>
          <w:kern w:val="0"/>
          <w:szCs w:val="24"/>
        </w:rPr>
        <w:lastRenderedPageBreak/>
        <w:t>Control, Cost, Criteria, Data, Death, Drowning [Prevention &amp; Control], Education, Effectiveness, Elementary-School-Children, Equipment, Evidence, Families, Fatal Residential Fires, Hot Tap Water, Humans, Incidence, Individual Patient Data, Injury, Injury Prevention, Intervals, Interventions</w:t>
      </w:r>
      <w:r w:rsidR="00D5664A">
        <w:rPr>
          <w:kern w:val="0"/>
          <w:szCs w:val="24"/>
        </w:rPr>
        <w:t>, ISI,</w:t>
      </w:r>
      <w:r>
        <w:rPr>
          <w:kern w:val="0"/>
          <w:szCs w:val="24"/>
        </w:rPr>
        <w:t xml:space="preserve"> 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Low Cost, </w:t>
      </w:r>
      <w:r w:rsidR="00D5664A">
        <w:rPr>
          <w:kern w:val="0"/>
          <w:szCs w:val="24"/>
        </w:rPr>
        <w:t>MEDLINE</w:t>
      </w:r>
      <w:r>
        <w:rPr>
          <w:kern w:val="0"/>
          <w:szCs w:val="24"/>
        </w:rPr>
        <w:t xml:space="preserve">, Meta-Analysis, Metaanalysis, Methods, Methods], Morbidity, Mortality, Outcomes, Poisoning, Poisoning [Prevention &amp; Control], Practices, Preschool Children, Prevention, Project Burn Prevention, Psycinfo, Quality, Randomized Controlled Trials As Topic, Randomized Controlled-Trial, Rates, Recent, Reduction, Review, Reviews, Risk, Safety, Science, Science Citation Index, Science Citation Index Expanded, Search, Smoke Alarm Ownership, Social, Social Sciences, Social Sciences Citation Index, </w:t>
      </w:r>
      <w:r w:rsidR="00D5664A">
        <w:rPr>
          <w:kern w:val="0"/>
          <w:szCs w:val="24"/>
        </w:rPr>
        <w:t>SSCI</w:t>
      </w:r>
      <w:r>
        <w:rPr>
          <w:kern w:val="0"/>
          <w:szCs w:val="24"/>
        </w:rPr>
        <w:t xml:space="preserve">, Uptake, Water, </w:t>
      </w:r>
      <w:r w:rsidR="00D5664A">
        <w:rPr>
          <w:kern w:val="0"/>
          <w:szCs w:val="24"/>
        </w:rPr>
        <w:t>Web</w:t>
      </w:r>
      <w:r w:rsidR="00427468">
        <w:rPr>
          <w:kern w:val="0"/>
          <w:szCs w:val="24"/>
        </w:rPr>
        <w:t xml:space="preserve"> of </w:t>
      </w:r>
      <w:r w:rsidR="00D5664A">
        <w:rPr>
          <w:kern w:val="0"/>
          <w:szCs w:val="24"/>
        </w:rPr>
        <w:t>Science</w:t>
      </w:r>
    </w:p>
    <w:p w:rsidR="00365DE4" w:rsidRDefault="00365DE4" w:rsidP="00365DE4">
      <w:pPr>
        <w:pStyle w:val="a3"/>
        <w:rPr>
          <w:kern w:val="0"/>
        </w:rPr>
      </w:pPr>
      <w:r>
        <w:rPr>
          <w:kern w:val="0"/>
        </w:rPr>
        <w:t>? Gluud, L.L., Christensen, K., Christensen, E.</w:t>
      </w:r>
      <w:r w:rsidR="005853A9">
        <w:rPr>
          <w:kern w:val="0"/>
        </w:rPr>
        <w:t xml:space="preserve"> and </w:t>
      </w:r>
      <w:r>
        <w:rPr>
          <w:kern w:val="0"/>
        </w:rPr>
        <w:t xml:space="preserve">Krag, A. (2012), Terlipressin for hepatorenal syndrome.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CD005162.</w:t>
      </w:r>
    </w:p>
    <w:p w:rsidR="00365DE4" w:rsidRDefault="00365DE4" w:rsidP="00365DE4">
      <w:pPr>
        <w:pStyle w:val="a3"/>
        <w:rPr>
          <w:kern w:val="2"/>
        </w:rPr>
      </w:pPr>
      <w:r>
        <w:t xml:space="preserve">Full Text: </w:t>
      </w:r>
      <w:hyperlink r:id="rId774" w:history="1">
        <w:r>
          <w:rPr>
            <w:rStyle w:val="a5"/>
          </w:rPr>
          <w:t>2012\Coc Dat Sys Rev2012, CD005162.pdf</w:t>
        </w:r>
      </w:hyperlink>
    </w:p>
    <w:p w:rsidR="00365DE4" w:rsidRDefault="00365DE4" w:rsidP="00365DE4">
      <w:pPr>
        <w:pStyle w:val="a3"/>
        <w:rPr>
          <w:kern w:val="0"/>
        </w:rPr>
      </w:pPr>
      <w:r>
        <w:rPr>
          <w:kern w:val="0"/>
        </w:rPr>
        <w:t>Abstract: Background Clinical trials suggest that terlipressin improves renal function in hepatorenal syndrome, but the evidence concerning mortality is equivocal. Objectives To assess the beneficial</w:t>
      </w:r>
      <w:r w:rsidR="005853A9">
        <w:rPr>
          <w:kern w:val="0"/>
        </w:rPr>
        <w:t xml:space="preserve"> and </w:t>
      </w:r>
      <w:r>
        <w:rPr>
          <w:kern w:val="0"/>
        </w:rPr>
        <w:t>harmful effects</w:t>
      </w:r>
      <w:r w:rsidR="00427468">
        <w:rPr>
          <w:kern w:val="0"/>
        </w:rPr>
        <w:t xml:space="preserve"> of </w:t>
      </w:r>
      <w:r>
        <w:rPr>
          <w:kern w:val="0"/>
        </w:rPr>
        <w:t xml:space="preserve">terlipressin alone or with albumin versus placebo, no intervention or albumin for hepatorenal syndrome. Search methods Eligible trials were identified through electronic (The Cochrane Library, </w:t>
      </w:r>
      <w:r w:rsidR="00D5664A">
        <w:rPr>
          <w:kern w:val="0"/>
        </w:rPr>
        <w:t>MEDLINE</w:t>
      </w:r>
      <w:r>
        <w:rPr>
          <w:kern w:val="0"/>
        </w:rPr>
        <w:t>, EMBASE</w:t>
      </w:r>
      <w:r w:rsidR="005853A9">
        <w:rPr>
          <w:kern w:val="0"/>
        </w:rPr>
        <w:t xml:space="preserve"> and </w:t>
      </w:r>
      <w:r>
        <w:rPr>
          <w:kern w:val="0"/>
        </w:rPr>
        <w:t>Science Citation Index databases)</w:t>
      </w:r>
      <w:r w:rsidR="005853A9">
        <w:rPr>
          <w:kern w:val="0"/>
        </w:rPr>
        <w:t xml:space="preserve"> and </w:t>
      </w:r>
      <w:r>
        <w:rPr>
          <w:kern w:val="0"/>
        </w:rPr>
        <w:t>manual searches until January 2012. Selection criteria Randomised clinical trials involving patients with type 1 or type 2 hepatorenal syndrome were included irrespective</w:t>
      </w:r>
      <w:r w:rsidR="00427468">
        <w:rPr>
          <w:kern w:val="0"/>
        </w:rPr>
        <w:t xml:space="preserve"> of </w:t>
      </w:r>
      <w:r>
        <w:rPr>
          <w:kern w:val="0"/>
        </w:rPr>
        <w:t>publication status or language. Data collection</w:t>
      </w:r>
      <w:r w:rsidR="005853A9">
        <w:rPr>
          <w:kern w:val="0"/>
        </w:rPr>
        <w:t xml:space="preserve"> and </w:t>
      </w:r>
      <w:r>
        <w:rPr>
          <w:kern w:val="0"/>
        </w:rPr>
        <w:t>analysis The review authors independently extracted data from trial reports</w:t>
      </w:r>
      <w:r w:rsidR="005853A9">
        <w:rPr>
          <w:kern w:val="0"/>
        </w:rPr>
        <w:t xml:space="preserve"> and </w:t>
      </w:r>
      <w:r>
        <w:rPr>
          <w:kern w:val="0"/>
        </w:rPr>
        <w:t>undertook correspondence with the authors. Primary outcome measures included mortality, reversal</w:t>
      </w:r>
      <w:r w:rsidR="00427468">
        <w:rPr>
          <w:kern w:val="0"/>
        </w:rPr>
        <w:t xml:space="preserve"> of </w:t>
      </w:r>
      <w:r>
        <w:rPr>
          <w:kern w:val="0"/>
        </w:rPr>
        <w:t>hepatorenal syndrome</w:t>
      </w:r>
      <w:r w:rsidR="005853A9">
        <w:rPr>
          <w:kern w:val="0"/>
        </w:rPr>
        <w:t xml:space="preserve"> and </w:t>
      </w:r>
      <w:r>
        <w:rPr>
          <w:kern w:val="0"/>
        </w:rPr>
        <w:t>adverse events. Intention-to-treat, random-effects model meta-analyses were performed</w:t>
      </w:r>
      <w:r w:rsidR="005853A9">
        <w:rPr>
          <w:kern w:val="0"/>
        </w:rPr>
        <w:t xml:space="preserve"> and </w:t>
      </w:r>
      <w:r>
        <w:rPr>
          <w:kern w:val="0"/>
        </w:rPr>
        <w:t>results were expressed as risk ratios (RR) with 95% confidence intervals (CI),</w:t>
      </w:r>
      <w:r w:rsidR="005853A9">
        <w:rPr>
          <w:kern w:val="0"/>
        </w:rPr>
        <w:t xml:space="preserve"> and </w:t>
      </w:r>
      <w:r>
        <w:rPr>
          <w:kern w:val="0"/>
        </w:rPr>
        <w:t>the I-2 statistic provided a measure</w:t>
      </w:r>
      <w:r w:rsidR="00427468">
        <w:rPr>
          <w:kern w:val="0"/>
        </w:rPr>
        <w:t xml:space="preserve"> of </w:t>
      </w:r>
      <w:r>
        <w:rPr>
          <w:kern w:val="0"/>
        </w:rPr>
        <w:t>intertrial heterogeneity. Subgroup, sensitivity, regression</w:t>
      </w:r>
      <w:r w:rsidR="005853A9">
        <w:rPr>
          <w:kern w:val="0"/>
        </w:rPr>
        <w:t xml:space="preserve"> and </w:t>
      </w:r>
      <w:r>
        <w:rPr>
          <w:kern w:val="0"/>
        </w:rPr>
        <w:t>sequential analyses were performed. Main results We identified six randomised clinical trials. All had high risk</w:t>
      </w:r>
      <w:r w:rsidR="00427468">
        <w:rPr>
          <w:kern w:val="0"/>
        </w:rPr>
        <w:t xml:space="preserve"> of </w:t>
      </w:r>
      <w:r>
        <w:rPr>
          <w:kern w:val="0"/>
        </w:rPr>
        <w:t>bias. Five trials assessed terlipressin (with albumin in three trials) versus no intervention (with albumin in three trials)</w:t>
      </w:r>
      <w:r w:rsidR="005853A9">
        <w:rPr>
          <w:kern w:val="0"/>
        </w:rPr>
        <w:t xml:space="preserve"> and </w:t>
      </w:r>
      <w:r>
        <w:rPr>
          <w:kern w:val="0"/>
        </w:rPr>
        <w:t>one trial assessed terlipressin versus albumin. Data from five randomised trials on terlipressin alone (one trial) or terlipressin</w:t>
      </w:r>
      <w:r w:rsidR="005853A9">
        <w:rPr>
          <w:kern w:val="0"/>
        </w:rPr>
        <w:t xml:space="preserve"> and </w:t>
      </w:r>
      <w:r>
        <w:rPr>
          <w:kern w:val="0"/>
        </w:rPr>
        <w:t>albumin (four trials) were included in the review. In total, 74</w:t>
      </w:r>
      <w:r w:rsidR="00427468">
        <w:rPr>
          <w:kern w:val="0"/>
        </w:rPr>
        <w:t xml:space="preserve"> of </w:t>
      </w:r>
      <w:r>
        <w:rPr>
          <w:kern w:val="0"/>
        </w:rPr>
        <w:t>155 (47.7%) patients randomised to terlipressin alone or terlipressin with albumin versus 98</w:t>
      </w:r>
      <w:r w:rsidR="00427468">
        <w:rPr>
          <w:kern w:val="0"/>
        </w:rPr>
        <w:t xml:space="preserve"> of </w:t>
      </w:r>
      <w:r>
        <w:rPr>
          <w:kern w:val="0"/>
        </w:rPr>
        <w:t>154 (63.6%) patients randomised to no intervention, placebo or albumin died. Random-effects model meta-analysis found that terlipressin reduced mortality (RR 0.76, 95% CI 0.61 to 0.95)</w:t>
      </w:r>
      <w:r w:rsidR="00A37C1D">
        <w:rPr>
          <w:kern w:val="0"/>
        </w:rPr>
        <w:t>. The</w:t>
      </w:r>
      <w:r>
        <w:rPr>
          <w:kern w:val="0"/>
        </w:rPr>
        <w:t xml:space="preserve"> results were stable when repeated with trials on </w:t>
      </w:r>
      <w:r>
        <w:rPr>
          <w:kern w:val="0"/>
        </w:rPr>
        <w:lastRenderedPageBreak/>
        <w:t>terlipressin plus albumin, trials on patients with type 2 hepatorenal syndrome,</w:t>
      </w:r>
      <w:r w:rsidR="005853A9">
        <w:rPr>
          <w:kern w:val="0"/>
        </w:rPr>
        <w:t xml:space="preserve"> and </w:t>
      </w:r>
      <w:r>
        <w:rPr>
          <w:kern w:val="0"/>
        </w:rPr>
        <w:t>trials with a low risk</w:t>
      </w:r>
      <w:r w:rsidR="00427468">
        <w:rPr>
          <w:kern w:val="0"/>
        </w:rPr>
        <w:t xml:space="preserve"> of </w:t>
      </w:r>
      <w:r>
        <w:rPr>
          <w:kern w:val="0"/>
        </w:rPr>
        <w:t>selection bias. No evidence</w:t>
      </w:r>
      <w:r w:rsidR="00427468">
        <w:rPr>
          <w:kern w:val="0"/>
        </w:rPr>
        <w:t xml:space="preserve"> of </w:t>
      </w:r>
      <w:r>
        <w:rPr>
          <w:kern w:val="0"/>
        </w:rPr>
        <w:t>bias or small study effects were identified in regression analyses. In a trial sequential analysis on mortality, the cumulative Z curve approached but did not cross the monitoring boundary suggesting that the results were not stable to adjustment for sparse data</w:t>
      </w:r>
      <w:r w:rsidR="005853A9">
        <w:rPr>
          <w:kern w:val="0"/>
        </w:rPr>
        <w:t xml:space="preserve"> and </w:t>
      </w:r>
      <w:r>
        <w:rPr>
          <w:kern w:val="0"/>
        </w:rPr>
        <w:t>multiple comparisons. Analyses</w:t>
      </w:r>
      <w:r w:rsidR="00427468">
        <w:rPr>
          <w:kern w:val="0"/>
        </w:rPr>
        <w:t xml:space="preserve"> of </w:t>
      </w:r>
      <w:r>
        <w:rPr>
          <w:kern w:val="0"/>
        </w:rPr>
        <w:t>the remaining outcome measures found that terlipressin</w:t>
      </w:r>
      <w:r w:rsidR="005853A9">
        <w:rPr>
          <w:kern w:val="0"/>
        </w:rPr>
        <w:t xml:space="preserve"> and </w:t>
      </w:r>
      <w:r>
        <w:rPr>
          <w:kern w:val="0"/>
        </w:rPr>
        <w:t>albumin increased the number</w:t>
      </w:r>
      <w:r w:rsidR="00427468">
        <w:rPr>
          <w:kern w:val="0"/>
        </w:rPr>
        <w:t xml:space="preserve"> of </w:t>
      </w:r>
      <w:r>
        <w:rPr>
          <w:kern w:val="0"/>
        </w:rPr>
        <w:t>patients with reversal</w:t>
      </w:r>
      <w:r w:rsidR="00427468">
        <w:rPr>
          <w:kern w:val="0"/>
        </w:rPr>
        <w:t xml:space="preserve"> of </w:t>
      </w:r>
      <w:r>
        <w:rPr>
          <w:kern w:val="0"/>
        </w:rPr>
        <w:t>hepatorenal syndrome as well as adverse events, including cardiovascular</w:t>
      </w:r>
      <w:r w:rsidR="005853A9">
        <w:rPr>
          <w:kern w:val="0"/>
        </w:rPr>
        <w:t xml:space="preserve"> and </w:t>
      </w:r>
      <w:r>
        <w:rPr>
          <w:kern w:val="0"/>
        </w:rPr>
        <w:t>gastrointestinal symptoms. Authors</w:t>
      </w:r>
      <w:r w:rsidR="0071223E">
        <w:rPr>
          <w:kern w:val="0"/>
        </w:rPr>
        <w:t>’</w:t>
      </w:r>
      <w:r>
        <w:rPr>
          <w:kern w:val="0"/>
        </w:rPr>
        <w:t xml:space="preserve"> conclusions Terlipressin may reduce mortality</w:t>
      </w:r>
      <w:r w:rsidR="005853A9">
        <w:rPr>
          <w:kern w:val="0"/>
        </w:rPr>
        <w:t xml:space="preserve"> and </w:t>
      </w:r>
      <w:r>
        <w:rPr>
          <w:kern w:val="0"/>
        </w:rPr>
        <w:t>improve renal function in patients with type 1 hepatorenal syndrome. Whether the evidence is strong enough to support the intervention for clinical practice could be debated due to the results</w:t>
      </w:r>
      <w:r w:rsidR="00427468">
        <w:rPr>
          <w:kern w:val="0"/>
        </w:rPr>
        <w:t xml:space="preserve"> of </w:t>
      </w:r>
      <w:r>
        <w:rPr>
          <w:kern w:val="0"/>
        </w:rPr>
        <w:t>the trial sequential analyses. However, the outcome measures assessed are objective, which reduces the risk</w:t>
      </w:r>
      <w:r w:rsidR="00427468">
        <w:rPr>
          <w:kern w:val="0"/>
        </w:rPr>
        <w:t xml:space="preserve"> of </w:t>
      </w:r>
      <w:r>
        <w:rPr>
          <w:kern w:val="0"/>
        </w:rPr>
        <w:t>bias.</w:t>
      </w:r>
    </w:p>
    <w:p w:rsidR="00365DE4" w:rsidRDefault="00365DE4" w:rsidP="00365DE4">
      <w:pPr>
        <w:pStyle w:val="a3"/>
        <w:rPr>
          <w:kern w:val="0"/>
        </w:rPr>
      </w:pPr>
      <w:r>
        <w:rPr>
          <w:kern w:val="0"/>
        </w:rPr>
        <w:t xml:space="preserve">Keywords: Albumin, Analyses, Analysis, Authors, Bias, Cardiovascular, Cirrhosis, Citation, Clinical, Clinical Practice, Clinical Trials, Collection, Confidence, Confidence Intervals, Criteria, Cumulative, Data, Databases, Double-Blind, Effects, Events, Evidence, Function, Hepatorenal Syndrome [Drug Therapy], Heterogeneity, Humans, Intervals, Intervention, Language, Low Risk, Lypressin [Analogs &amp; Derivatives, Measure, </w:t>
      </w:r>
      <w:r w:rsidR="00D5664A">
        <w:rPr>
          <w:kern w:val="0"/>
        </w:rPr>
        <w:t>MEDLINE</w:t>
      </w:r>
      <w:r>
        <w:rPr>
          <w:kern w:val="0"/>
        </w:rPr>
        <w:t>, Meta-Analysis, Metaanalysis, Methods, Model, Monitoring, Mortality, Noradrenaline, Outcome, Outcome Measures, Patients, Placebo, Placebo-Controlled Trial, Practice, Prevention, Publication, Random Effects Model, Randomised, Randomized Controlled Trials As Topic, Randomized Controlled-Trial, Regression, Renal, Renal Function, Review, Risk, Science, Science Citation Index, Search, Sensitivity, Small, Support, Symptoms, Syndrome, Syndrome Hrs, Therapeutic Use], Trial, Vasoconstrictor Agents [Therapeutic Use], Vasopressin</w:t>
      </w:r>
    </w:p>
    <w:p w:rsidR="00365DE4" w:rsidRDefault="00365DE4" w:rsidP="00365DE4">
      <w:pPr>
        <w:pStyle w:val="a3"/>
        <w:rPr>
          <w:kern w:val="0"/>
        </w:rPr>
      </w:pPr>
      <w:r>
        <w:rPr>
          <w:kern w:val="0"/>
          <w:szCs w:val="24"/>
        </w:rPr>
        <w:t>? Fang, Y., Gur</w:t>
      </w:r>
      <w:r w:rsidR="00D5664A">
        <w:rPr>
          <w:kern w:val="0"/>
          <w:szCs w:val="24"/>
        </w:rPr>
        <w:t>USA</w:t>
      </w:r>
      <w:r>
        <w:rPr>
          <w:kern w:val="0"/>
          <w:szCs w:val="24"/>
        </w:rPr>
        <w:t>my, K.S., Wang, Q., Davidson, B.R., Lin, H., Xie, X.D.</w:t>
      </w:r>
      <w:r w:rsidR="005853A9">
        <w:rPr>
          <w:kern w:val="0"/>
          <w:szCs w:val="24"/>
        </w:rPr>
        <w:t xml:space="preserve"> and </w:t>
      </w:r>
      <w:r>
        <w:rPr>
          <w:kern w:val="0"/>
          <w:szCs w:val="24"/>
        </w:rPr>
        <w:t xml:space="preserve">Wang, C.H. (2012), Pre-operative biliary drainage for obstructive jaundice.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rPr>
        <w:t>, Article Number: CD005444.</w:t>
      </w:r>
    </w:p>
    <w:p w:rsidR="00365DE4" w:rsidRDefault="00365DE4" w:rsidP="00365DE4">
      <w:pPr>
        <w:pStyle w:val="a3"/>
        <w:rPr>
          <w:kern w:val="2"/>
        </w:rPr>
      </w:pPr>
      <w:r>
        <w:t xml:space="preserve">Full Text: </w:t>
      </w:r>
      <w:hyperlink r:id="rId775" w:history="1">
        <w:r>
          <w:rPr>
            <w:rStyle w:val="a5"/>
          </w:rPr>
          <w:t>2012\Coc Dat Sys Rev2012, CD005444.pdf</w:t>
        </w:r>
      </w:hyperlink>
    </w:p>
    <w:p w:rsidR="00365DE4" w:rsidRDefault="00365DE4" w:rsidP="00365DE4">
      <w:pPr>
        <w:pStyle w:val="a3"/>
        <w:rPr>
          <w:kern w:val="0"/>
          <w:szCs w:val="24"/>
        </w:rPr>
      </w:pPr>
      <w:r>
        <w:rPr>
          <w:kern w:val="0"/>
          <w:szCs w:val="24"/>
        </w:rPr>
        <w:t>Abstract: Background Patients with obstructive jaundice have various pathophysiological changes that affect the liver, kidney, heart,</w:t>
      </w:r>
      <w:r w:rsidR="005853A9">
        <w:rPr>
          <w:kern w:val="0"/>
          <w:szCs w:val="24"/>
        </w:rPr>
        <w:t xml:space="preserve"> and </w:t>
      </w:r>
      <w:r>
        <w:rPr>
          <w:kern w:val="0"/>
          <w:szCs w:val="24"/>
        </w:rPr>
        <w:t>the immune system</w:t>
      </w:r>
      <w:r w:rsidR="00A37C1D">
        <w:rPr>
          <w:kern w:val="0"/>
          <w:szCs w:val="24"/>
        </w:rPr>
        <w:t>. The</w:t>
      </w:r>
      <w:r>
        <w:rPr>
          <w:kern w:val="0"/>
          <w:szCs w:val="24"/>
        </w:rPr>
        <w:t>re is considerable controversy as to whether temporary relief</w:t>
      </w:r>
      <w:r w:rsidR="00427468">
        <w:rPr>
          <w:kern w:val="0"/>
          <w:szCs w:val="24"/>
        </w:rPr>
        <w:t xml:space="preserve"> of </w:t>
      </w:r>
      <w:r>
        <w:rPr>
          <w:kern w:val="0"/>
          <w:szCs w:val="24"/>
        </w:rPr>
        <w:t>biliary obstruction prior to major definitive surgery (pre-operative biliary drainage) is</w:t>
      </w:r>
      <w:r w:rsidR="00427468">
        <w:rPr>
          <w:kern w:val="0"/>
          <w:szCs w:val="24"/>
        </w:rPr>
        <w:t xml:space="preserve"> of </w:t>
      </w:r>
      <w:r>
        <w:rPr>
          <w:kern w:val="0"/>
          <w:szCs w:val="24"/>
        </w:rPr>
        <w:t>any benefit to the patient. Objectives To assess the benefits</w:t>
      </w:r>
      <w:r w:rsidR="005853A9">
        <w:rPr>
          <w:kern w:val="0"/>
          <w:szCs w:val="24"/>
        </w:rPr>
        <w:t xml:space="preserve"> and </w:t>
      </w:r>
      <w:r>
        <w:rPr>
          <w:kern w:val="0"/>
          <w:szCs w:val="24"/>
        </w:rPr>
        <w:t>harms</w:t>
      </w:r>
      <w:r w:rsidR="00427468">
        <w:rPr>
          <w:kern w:val="0"/>
          <w:szCs w:val="24"/>
        </w:rPr>
        <w:t xml:space="preserve"> of </w:t>
      </w:r>
      <w:r>
        <w:rPr>
          <w:kern w:val="0"/>
          <w:szCs w:val="24"/>
        </w:rPr>
        <w:t>pre-operative biliary drainage versus no pre-operative biliary drainage (direct surgery) in patients with obstructive jaundice (irrespective</w:t>
      </w:r>
      <w:r w:rsidR="00427468">
        <w:rPr>
          <w:kern w:val="0"/>
          <w:szCs w:val="24"/>
        </w:rPr>
        <w:t xml:space="preserve"> of </w:t>
      </w:r>
      <w:r>
        <w:rPr>
          <w:kern w:val="0"/>
          <w:szCs w:val="24"/>
        </w:rPr>
        <w:t>a benign or malignant cause). Search methods We searched the Cochrane Hepato-Biliary Group Controlled Trials Register, Cochrane Central Register</w:t>
      </w:r>
      <w:r w:rsidR="00427468">
        <w:rPr>
          <w:kern w:val="0"/>
          <w:szCs w:val="24"/>
        </w:rPr>
        <w:t xml:space="preserve"> of </w:t>
      </w:r>
      <w:r>
        <w:rPr>
          <w:kern w:val="0"/>
          <w:szCs w:val="24"/>
        </w:rPr>
        <w:t xml:space="preserve">Controlled Clinical Trials (CENTRAL) in The Cochrane Library, </w:t>
      </w:r>
      <w:r w:rsidR="00D5664A">
        <w:rPr>
          <w:kern w:val="0"/>
          <w:szCs w:val="24"/>
        </w:rPr>
        <w:t>MEDLINE</w:t>
      </w:r>
      <w:r>
        <w:rPr>
          <w:kern w:val="0"/>
          <w:szCs w:val="24"/>
        </w:rPr>
        <w:t>, EMBASE,</w:t>
      </w:r>
      <w:r w:rsidR="005853A9">
        <w:rPr>
          <w:kern w:val="0"/>
          <w:szCs w:val="24"/>
        </w:rPr>
        <w:t xml:space="preserve"> and </w:t>
      </w:r>
      <w:r>
        <w:rPr>
          <w:kern w:val="0"/>
          <w:szCs w:val="24"/>
        </w:rPr>
        <w:t xml:space="preserve">Science Citation Index Expanded </w:t>
      </w:r>
      <w:r>
        <w:rPr>
          <w:kern w:val="0"/>
          <w:szCs w:val="24"/>
        </w:rPr>
        <w:lastRenderedPageBreak/>
        <w:t>until February 2012. Selection criteria We included all randomised clinical trials comparing biliary drainage followed by surgery versus direct surgery, performed for obstructive jaundice, irrespective</w:t>
      </w:r>
      <w:r w:rsidR="00427468">
        <w:rPr>
          <w:kern w:val="0"/>
          <w:szCs w:val="24"/>
        </w:rPr>
        <w:t xml:space="preserve"> of </w:t>
      </w:r>
      <w:r>
        <w:rPr>
          <w:kern w:val="0"/>
          <w:szCs w:val="24"/>
        </w:rPr>
        <w:t>the sample size, language,</w:t>
      </w:r>
      <w:r w:rsidR="005853A9">
        <w:rPr>
          <w:kern w:val="0"/>
          <w:szCs w:val="24"/>
        </w:rPr>
        <w:t xml:space="preserve"> and </w:t>
      </w:r>
      <w:r>
        <w:rPr>
          <w:kern w:val="0"/>
          <w:szCs w:val="24"/>
        </w:rPr>
        <w:t>publication status. Data collection</w:t>
      </w:r>
      <w:r w:rsidR="005853A9">
        <w:rPr>
          <w:kern w:val="0"/>
          <w:szCs w:val="24"/>
        </w:rPr>
        <w:t xml:space="preserve"> and </w:t>
      </w:r>
      <w:r>
        <w:rPr>
          <w:kern w:val="0"/>
          <w:szCs w:val="24"/>
        </w:rPr>
        <w:t>analysis Two authors independently assessed trials for inclusion</w:t>
      </w:r>
      <w:r w:rsidR="005853A9">
        <w:rPr>
          <w:kern w:val="0"/>
          <w:szCs w:val="24"/>
        </w:rPr>
        <w:t xml:space="preserve"> and </w:t>
      </w:r>
      <w:r>
        <w:rPr>
          <w:kern w:val="0"/>
          <w:szCs w:val="24"/>
        </w:rPr>
        <w:t>extracted data. We calculated the risk ratio (RR), rate ratio (RaR), or mean difference (MD) with 95% confidence intervals (CI) based on the available patient analyses. We assessed the risk</w:t>
      </w:r>
      <w:r w:rsidR="00427468">
        <w:rPr>
          <w:kern w:val="0"/>
          <w:szCs w:val="24"/>
        </w:rPr>
        <w:t xml:space="preserve"> of </w:t>
      </w:r>
      <w:r>
        <w:rPr>
          <w:kern w:val="0"/>
          <w:szCs w:val="24"/>
        </w:rPr>
        <w:t>bias (systematic overestimation</w:t>
      </w:r>
      <w:r w:rsidR="00427468">
        <w:rPr>
          <w:kern w:val="0"/>
          <w:szCs w:val="24"/>
        </w:rPr>
        <w:t xml:space="preserve"> of </w:t>
      </w:r>
      <w:r>
        <w:rPr>
          <w:kern w:val="0"/>
          <w:szCs w:val="24"/>
        </w:rPr>
        <w:t>benefit or systematic underestimation</w:t>
      </w:r>
      <w:r w:rsidR="00427468">
        <w:rPr>
          <w:kern w:val="0"/>
          <w:szCs w:val="24"/>
        </w:rPr>
        <w:t xml:space="preserve"> of </w:t>
      </w:r>
      <w:r>
        <w:rPr>
          <w:kern w:val="0"/>
          <w:szCs w:val="24"/>
        </w:rPr>
        <w:t>harm) with components</w:t>
      </w:r>
      <w:r w:rsidR="00427468">
        <w:rPr>
          <w:kern w:val="0"/>
          <w:szCs w:val="24"/>
        </w:rPr>
        <w:t xml:space="preserve"> of </w:t>
      </w:r>
      <w:r>
        <w:rPr>
          <w:kern w:val="0"/>
          <w:szCs w:val="24"/>
        </w:rPr>
        <w:t>the Cochrane risk</w:t>
      </w:r>
      <w:r w:rsidR="00427468">
        <w:rPr>
          <w:kern w:val="0"/>
          <w:szCs w:val="24"/>
        </w:rPr>
        <w:t xml:space="preserve"> of </w:t>
      </w:r>
      <w:r>
        <w:rPr>
          <w:kern w:val="0"/>
          <w:szCs w:val="24"/>
        </w:rPr>
        <w:t>bias tool. We assessed the risk</w:t>
      </w:r>
      <w:r w:rsidR="00427468">
        <w:rPr>
          <w:kern w:val="0"/>
          <w:szCs w:val="24"/>
        </w:rPr>
        <w:t xml:space="preserve"> of </w:t>
      </w:r>
      <w:r>
        <w:rPr>
          <w:kern w:val="0"/>
          <w:szCs w:val="24"/>
        </w:rPr>
        <w:t>play</w:t>
      </w:r>
      <w:r w:rsidR="00427468">
        <w:rPr>
          <w:kern w:val="0"/>
          <w:szCs w:val="24"/>
        </w:rPr>
        <w:t xml:space="preserve"> of </w:t>
      </w:r>
      <w:r>
        <w:rPr>
          <w:kern w:val="0"/>
          <w:szCs w:val="24"/>
        </w:rPr>
        <w:t>chance (random errors) with trial sequential analysis. Main results We included six trials with 520 patients comparing pre-operative biliary drainage (265 patients) versus no pre-operative biliary drainage (255 patients). Four trials used percutaneous transhepatic biliary drainage</w:t>
      </w:r>
      <w:r w:rsidR="005853A9">
        <w:rPr>
          <w:kern w:val="0"/>
          <w:szCs w:val="24"/>
        </w:rPr>
        <w:t xml:space="preserve"> and </w:t>
      </w:r>
      <w:r>
        <w:rPr>
          <w:kern w:val="0"/>
          <w:szCs w:val="24"/>
        </w:rPr>
        <w:t>two trials used endoscopic sphincterotomy</w:t>
      </w:r>
      <w:r w:rsidR="005853A9">
        <w:rPr>
          <w:kern w:val="0"/>
          <w:szCs w:val="24"/>
        </w:rPr>
        <w:t xml:space="preserve"> and </w:t>
      </w:r>
      <w:r>
        <w:rPr>
          <w:kern w:val="0"/>
          <w:szCs w:val="24"/>
        </w:rPr>
        <w:t>stenting as the method</w:t>
      </w:r>
      <w:r w:rsidR="00427468">
        <w:rPr>
          <w:kern w:val="0"/>
          <w:szCs w:val="24"/>
        </w:rPr>
        <w:t xml:space="preserve"> of </w:t>
      </w:r>
      <w:r>
        <w:rPr>
          <w:kern w:val="0"/>
          <w:szCs w:val="24"/>
        </w:rPr>
        <w:t>pre-operative biliary drainage</w:t>
      </w:r>
      <w:r w:rsidR="00A37C1D">
        <w:rPr>
          <w:kern w:val="0"/>
          <w:szCs w:val="24"/>
        </w:rPr>
        <w:t>. The</w:t>
      </w:r>
      <w:r>
        <w:rPr>
          <w:kern w:val="0"/>
          <w:szCs w:val="24"/>
        </w:rPr>
        <w:t xml:space="preserve"> risk</w:t>
      </w:r>
      <w:r w:rsidR="00427468">
        <w:rPr>
          <w:kern w:val="0"/>
          <w:szCs w:val="24"/>
        </w:rPr>
        <w:t xml:space="preserve"> of </w:t>
      </w:r>
      <w:r>
        <w:rPr>
          <w:kern w:val="0"/>
          <w:szCs w:val="24"/>
        </w:rPr>
        <w:t>bias was high in all trials</w:t>
      </w:r>
      <w:r w:rsidR="00A37C1D">
        <w:rPr>
          <w:kern w:val="0"/>
          <w:szCs w:val="24"/>
        </w:rPr>
        <w:t>. The</w:t>
      </w:r>
      <w:r>
        <w:rPr>
          <w:kern w:val="0"/>
          <w:szCs w:val="24"/>
        </w:rPr>
        <w:t xml:space="preserve"> proportion</w:t>
      </w:r>
      <w:r w:rsidR="00427468">
        <w:rPr>
          <w:kern w:val="0"/>
          <w:szCs w:val="24"/>
        </w:rPr>
        <w:t xml:space="preserve"> of </w:t>
      </w:r>
      <w:r>
        <w:rPr>
          <w:kern w:val="0"/>
          <w:szCs w:val="24"/>
        </w:rPr>
        <w:t>patients with malignant obstruction varied between 60%</w:t>
      </w:r>
      <w:r w:rsidR="005853A9">
        <w:rPr>
          <w:kern w:val="0"/>
          <w:szCs w:val="24"/>
        </w:rPr>
        <w:t xml:space="preserve"> and </w:t>
      </w:r>
      <w:r>
        <w:rPr>
          <w:kern w:val="0"/>
          <w:szCs w:val="24"/>
        </w:rPr>
        <w:t>100%</w:t>
      </w:r>
      <w:r w:rsidR="00A37C1D">
        <w:rPr>
          <w:kern w:val="0"/>
          <w:szCs w:val="24"/>
        </w:rPr>
        <w:t>. The</w:t>
      </w:r>
      <w:r>
        <w:rPr>
          <w:kern w:val="0"/>
          <w:szCs w:val="24"/>
        </w:rPr>
        <w:t>re was no significant difference in mortality (40/265, weighted proportion 14.9%) in the pre-operative biliary drainage group versus the direct surgery group (34/255, 13.3%) (RR 1.12; 95% CI 0.73 to 1.71; P = 0.60)</w:t>
      </w:r>
      <w:r w:rsidR="00A37C1D">
        <w:rPr>
          <w:kern w:val="0"/>
          <w:szCs w:val="24"/>
        </w:rPr>
        <w:t>. The</w:t>
      </w:r>
      <w:r>
        <w:rPr>
          <w:kern w:val="0"/>
          <w:szCs w:val="24"/>
        </w:rPr>
        <w:t xml:space="preserve"> overall serious morbidity was higher in the pre-operative biliary drainage group (60 per 100 patients in the pre-operative biliary drainage group versus 26 per 100 patients in the direct surgery group) (RaR 1.66; 95% CI 1.28 to 2.16; P = 0.0002)</w:t>
      </w:r>
      <w:r w:rsidR="00A37C1D">
        <w:rPr>
          <w:kern w:val="0"/>
          <w:szCs w:val="24"/>
        </w:rPr>
        <w:t>. The</w:t>
      </w:r>
      <w:r>
        <w:rPr>
          <w:kern w:val="0"/>
          <w:szCs w:val="24"/>
        </w:rPr>
        <w:t xml:space="preserve"> proportion</w:t>
      </w:r>
      <w:r w:rsidR="00427468">
        <w:rPr>
          <w:kern w:val="0"/>
          <w:szCs w:val="24"/>
        </w:rPr>
        <w:t xml:space="preserve"> of </w:t>
      </w:r>
      <w:r>
        <w:rPr>
          <w:kern w:val="0"/>
          <w:szCs w:val="24"/>
        </w:rPr>
        <w:t>patients who developed serious morbidity was significantly higher in the pre-operative biliary drainage group (75/102, 73.5%) in the pre-operative biliary drainage group versus the direct surgery group (37/94, 37.4%) (P &lt; 0.001). Quality</w:t>
      </w:r>
      <w:r w:rsidR="00427468">
        <w:rPr>
          <w:kern w:val="0"/>
          <w:szCs w:val="24"/>
        </w:rPr>
        <w:t xml:space="preserve"> of </w:t>
      </w:r>
      <w:r>
        <w:rPr>
          <w:kern w:val="0"/>
          <w:szCs w:val="24"/>
        </w:rPr>
        <w:t>life was not reported in any</w:t>
      </w:r>
      <w:r w:rsidR="00427468">
        <w:rPr>
          <w:kern w:val="0"/>
          <w:szCs w:val="24"/>
        </w:rPr>
        <w:t xml:space="preserve"> of </w:t>
      </w:r>
      <w:r>
        <w:rPr>
          <w:kern w:val="0"/>
          <w:szCs w:val="24"/>
        </w:rPr>
        <w:t>the trials</w:t>
      </w:r>
      <w:r w:rsidR="00A37C1D">
        <w:rPr>
          <w:kern w:val="0"/>
          <w:szCs w:val="24"/>
        </w:rPr>
        <w:t>. The</w:t>
      </w:r>
      <w:r>
        <w:rPr>
          <w:kern w:val="0"/>
          <w:szCs w:val="24"/>
        </w:rPr>
        <w:t>re was no significant difference in the length</w:t>
      </w:r>
      <w:r w:rsidR="00427468">
        <w:rPr>
          <w:kern w:val="0"/>
          <w:szCs w:val="24"/>
        </w:rPr>
        <w:t xml:space="preserve"> of </w:t>
      </w:r>
      <w:r>
        <w:rPr>
          <w:kern w:val="0"/>
          <w:szCs w:val="24"/>
        </w:rPr>
        <w:t>hospital stay (2 trials, 271 patients; MD 4.87 days; 95% CI -1.28 to 11.02; P = 0.12) between the two groups. Trial sequential analysis showed that for mortality only a small proportion</w:t>
      </w:r>
      <w:r w:rsidR="00427468">
        <w:rPr>
          <w:kern w:val="0"/>
          <w:szCs w:val="24"/>
        </w:rPr>
        <w:t xml:space="preserve"> of </w:t>
      </w:r>
      <w:r>
        <w:rPr>
          <w:kern w:val="0"/>
          <w:szCs w:val="24"/>
        </w:rPr>
        <w:t>the required information size had been obtained</w:t>
      </w:r>
      <w:r w:rsidR="00A37C1D">
        <w:rPr>
          <w:kern w:val="0"/>
          <w:szCs w:val="24"/>
        </w:rPr>
        <w:t>. The</w:t>
      </w:r>
      <w:r>
        <w:rPr>
          <w:kern w:val="0"/>
          <w:szCs w:val="24"/>
        </w:rPr>
        <w:t>re seemed to be no significant differences in the subgroup</w:t>
      </w:r>
      <w:r w:rsidR="00427468">
        <w:rPr>
          <w:kern w:val="0"/>
          <w:szCs w:val="24"/>
        </w:rPr>
        <w:t xml:space="preserve"> of </w:t>
      </w:r>
      <w:r>
        <w:rPr>
          <w:kern w:val="0"/>
          <w:szCs w:val="24"/>
        </w:rPr>
        <w:t>trials assessing percutaneous compared to endoscopic drainage. Authors</w:t>
      </w:r>
      <w:r w:rsidR="0071223E">
        <w:rPr>
          <w:kern w:val="0"/>
          <w:szCs w:val="24"/>
        </w:rPr>
        <w:t>’</w:t>
      </w:r>
      <w:r>
        <w:rPr>
          <w:kern w:val="0"/>
          <w:szCs w:val="24"/>
        </w:rPr>
        <w:t xml:space="preserve"> conclusions There is currently not sufficient evidence to support or refute routine pre-operative biliary drainage for patients with obstructive jaundice. Pre-operative biliary drainage may increase the rate</w:t>
      </w:r>
      <w:r w:rsidR="00427468">
        <w:rPr>
          <w:kern w:val="0"/>
          <w:szCs w:val="24"/>
        </w:rPr>
        <w:t xml:space="preserve"> of </w:t>
      </w:r>
      <w:r>
        <w:rPr>
          <w:kern w:val="0"/>
          <w:szCs w:val="24"/>
        </w:rPr>
        <w:t>serious adverse events. So, the safety</w:t>
      </w:r>
      <w:r w:rsidR="00427468">
        <w:rPr>
          <w:kern w:val="0"/>
          <w:szCs w:val="24"/>
        </w:rPr>
        <w:t xml:space="preserve"> of </w:t>
      </w:r>
      <w:r>
        <w:rPr>
          <w:kern w:val="0"/>
          <w:szCs w:val="24"/>
        </w:rPr>
        <w:t>routine pre-operative biliary drainage has not been established. Pre-operative biliary drainage should not be used in patients undergoing surgery for obstructive jaundice outside randomised clinical trials.</w:t>
      </w:r>
    </w:p>
    <w:p w:rsidR="00365DE4" w:rsidRDefault="00365DE4" w:rsidP="00365DE4">
      <w:pPr>
        <w:pStyle w:val="a3"/>
        <w:rPr>
          <w:kern w:val="0"/>
          <w:szCs w:val="24"/>
        </w:rPr>
      </w:pPr>
      <w:r>
        <w:rPr>
          <w:kern w:val="0"/>
          <w:szCs w:val="24"/>
        </w:rPr>
        <w:t xml:space="preserve">Keywords: *Drainage, *Therapy], Analyses, Analysis, Assessing, Authors, Bias, Bile-Duct, Changes, Citation, Clinical, Clinical Trials, Collection, Confidence, Confidence Intervals, Criteria, Data, Drainage, Empirical-Evidence, Errors, Events, Evidence, Heart, Hospital, Hospital Stay, Humans, Immune, Immune System, </w:t>
      </w:r>
      <w:r>
        <w:rPr>
          <w:kern w:val="0"/>
          <w:szCs w:val="24"/>
        </w:rPr>
        <w:lastRenderedPageBreak/>
        <w:t xml:space="preserve">Information, Information Size, Intervals, Jaundice, Obstructive [Mortality, Kidney, Language, Length, Life, Liver, </w:t>
      </w:r>
      <w:r w:rsidR="00D5664A">
        <w:rPr>
          <w:kern w:val="0"/>
          <w:szCs w:val="24"/>
        </w:rPr>
        <w:t>MEDLINE</w:t>
      </w:r>
      <w:r>
        <w:rPr>
          <w:kern w:val="0"/>
          <w:szCs w:val="24"/>
        </w:rPr>
        <w:t>, Metaanalysis, Methods, Morbidity, Mortality, P, Pancreatic-Cancer, Patients, Percutaneous, Preoperative, Publication, Quality, Randomised, Randomized Clinical-Trials, Randomized Controlled Trials As Topic, Renal-Function, Risk, Safety, Sample Size, Science, Science Citation Index, Science Citation Index Expanded, Search, Size, Small, Support, Surgery, Surgical Complications, Temporary, Trial, Trial Sequential-Analysis</w:t>
      </w:r>
    </w:p>
    <w:p w:rsidR="00365DE4" w:rsidRDefault="00365DE4" w:rsidP="00365DE4">
      <w:pPr>
        <w:pStyle w:val="a3"/>
        <w:rPr>
          <w:kern w:val="0"/>
        </w:rPr>
      </w:pPr>
      <w:r>
        <w:rPr>
          <w:kern w:val="0"/>
        </w:rPr>
        <w:t>? Marti-Carvajal, A.J., Sola, I.</w:t>
      </w:r>
      <w:r w:rsidR="005853A9">
        <w:rPr>
          <w:kern w:val="0"/>
        </w:rPr>
        <w:t xml:space="preserve"> and </w:t>
      </w:r>
      <w:r>
        <w:rPr>
          <w:kern w:val="0"/>
        </w:rPr>
        <w:t xml:space="preserve">Marti-Carvajal, P.I. (2012), Antifibrinolytic amino acids for upper gastrointestinal bleeding in patients with acute or chronic liver disease.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CD006007.</w:t>
      </w:r>
    </w:p>
    <w:p w:rsidR="00365DE4" w:rsidRDefault="00365DE4" w:rsidP="00365DE4">
      <w:pPr>
        <w:pStyle w:val="a3"/>
        <w:rPr>
          <w:kern w:val="2"/>
        </w:rPr>
      </w:pPr>
      <w:r>
        <w:t xml:space="preserve">Full Text: </w:t>
      </w:r>
      <w:hyperlink r:id="rId776" w:history="1">
        <w:r>
          <w:rPr>
            <w:rStyle w:val="a5"/>
          </w:rPr>
          <w:t>2012\Coc Dat Sys Rev2012, CD006007.pdf</w:t>
        </w:r>
      </w:hyperlink>
    </w:p>
    <w:p w:rsidR="00365DE4" w:rsidRDefault="00365DE4" w:rsidP="00365DE4">
      <w:pPr>
        <w:pStyle w:val="a3"/>
        <w:rPr>
          <w:kern w:val="0"/>
        </w:rPr>
      </w:pPr>
      <w:r>
        <w:rPr>
          <w:kern w:val="0"/>
        </w:rPr>
        <w:t>Abstract: Background Upper gastrointestinal bleeding is one</w:t>
      </w:r>
      <w:r w:rsidR="00427468">
        <w:rPr>
          <w:kern w:val="0"/>
        </w:rPr>
        <w:t xml:space="preserve"> of </w:t>
      </w:r>
      <w:r>
        <w:rPr>
          <w:kern w:val="0"/>
        </w:rPr>
        <w:t>the most frequent causes</w:t>
      </w:r>
      <w:r w:rsidR="00427468">
        <w:rPr>
          <w:kern w:val="0"/>
        </w:rPr>
        <w:t xml:space="preserve"> of </w:t>
      </w:r>
      <w:r>
        <w:rPr>
          <w:kern w:val="0"/>
        </w:rPr>
        <w:t>morbidity</w:t>
      </w:r>
      <w:r w:rsidR="005853A9">
        <w:rPr>
          <w:kern w:val="0"/>
        </w:rPr>
        <w:t xml:space="preserve"> and </w:t>
      </w:r>
      <w:r>
        <w:rPr>
          <w:kern w:val="0"/>
        </w:rPr>
        <w:t>mortality in the course</w:t>
      </w:r>
      <w:r w:rsidR="00427468">
        <w:rPr>
          <w:kern w:val="0"/>
        </w:rPr>
        <w:t xml:space="preserve"> of </w:t>
      </w:r>
      <w:r>
        <w:rPr>
          <w:kern w:val="0"/>
        </w:rPr>
        <w:t>liver cirrhosis. Patients with liver disease frequently have haemostatic abnormalities like hyperfibrinolysis</w:t>
      </w:r>
      <w:r w:rsidR="00A37C1D">
        <w:rPr>
          <w:kern w:val="0"/>
        </w:rPr>
        <w:t>. The</w:t>
      </w:r>
      <w:r>
        <w:rPr>
          <w:kern w:val="0"/>
        </w:rPr>
        <w:t>refore, antifibrinolytic amino acids have been proposed to be used as supplementary interventions alongside any</w:t>
      </w:r>
      <w:r w:rsidR="00427468">
        <w:rPr>
          <w:kern w:val="0"/>
        </w:rPr>
        <w:t xml:space="preserve"> of </w:t>
      </w:r>
      <w:r>
        <w:rPr>
          <w:kern w:val="0"/>
        </w:rPr>
        <w:t>the primary treatments for upper gastrointestinal bleeding in patients with liver diseases. Objectives To assess the beneficial</w:t>
      </w:r>
      <w:r w:rsidR="005853A9">
        <w:rPr>
          <w:kern w:val="0"/>
        </w:rPr>
        <w:t xml:space="preserve"> and </w:t>
      </w:r>
      <w:r>
        <w:rPr>
          <w:kern w:val="0"/>
        </w:rPr>
        <w:t>harmful effects</w:t>
      </w:r>
      <w:r w:rsidR="00427468">
        <w:rPr>
          <w:kern w:val="0"/>
        </w:rPr>
        <w:t xml:space="preserve"> of </w:t>
      </w:r>
      <w:r>
        <w:rPr>
          <w:kern w:val="0"/>
        </w:rPr>
        <w:t>antifibrinolytic amino acids for upper gastrointestinal bleeding in patients with acute or chronic liver disease. Search methods We searched the Cochrane Hepato-Biliary Group Controlled Trials Register (11 June 2012), Cochrane Central Register</w:t>
      </w:r>
      <w:r w:rsidR="00427468">
        <w:rPr>
          <w:kern w:val="0"/>
        </w:rPr>
        <w:t xml:space="preserve"> of </w:t>
      </w:r>
      <w:r>
        <w:rPr>
          <w:kern w:val="0"/>
        </w:rPr>
        <w:t>Controlled Trials (CENTRAL) in The Cochrane Library (2012, Issue 5</w:t>
      </w:r>
      <w:r w:rsidR="00427468">
        <w:rPr>
          <w:kern w:val="0"/>
        </w:rPr>
        <w:t xml:space="preserve"> of </w:t>
      </w:r>
      <w:r>
        <w:rPr>
          <w:kern w:val="0"/>
        </w:rPr>
        <w:t xml:space="preserve">12), </w:t>
      </w:r>
      <w:r w:rsidR="00D5664A">
        <w:rPr>
          <w:kern w:val="0"/>
        </w:rPr>
        <w:t>MEDLINE</w:t>
      </w:r>
      <w:r>
        <w:rPr>
          <w:kern w:val="0"/>
        </w:rPr>
        <w:t xml:space="preserve"> (Ovid SP) (1946 to June 2012), EMBASE (Ovid SP) (1974 to June 2012), Science Citation Index EXPANDED (1900 to June 2012), LILACS (1982 to June 2012), Clinical Trials Search Portal</w:t>
      </w:r>
      <w:r w:rsidR="00427468">
        <w:rPr>
          <w:kern w:val="0"/>
        </w:rPr>
        <w:t xml:space="preserve"> of </w:t>
      </w:r>
      <w:r>
        <w:rPr>
          <w:kern w:val="0"/>
        </w:rPr>
        <w:t>the WHO (accessed June 18, 2012),</w:t>
      </w:r>
      <w:r w:rsidR="005853A9">
        <w:rPr>
          <w:kern w:val="0"/>
        </w:rPr>
        <w:t xml:space="preserve"> and </w:t>
      </w:r>
      <w:r>
        <w:rPr>
          <w:kern w:val="0"/>
        </w:rPr>
        <w:t>the Metaregister</w:t>
      </w:r>
      <w:r w:rsidR="00427468">
        <w:rPr>
          <w:kern w:val="0"/>
        </w:rPr>
        <w:t xml:space="preserve"> of </w:t>
      </w:r>
      <w:r>
        <w:rPr>
          <w:kern w:val="0"/>
        </w:rPr>
        <w:t>Controlled Trials (accessed June 18, 2012). We scrutinised the reference lists</w:t>
      </w:r>
      <w:r w:rsidR="00427468">
        <w:rPr>
          <w:kern w:val="0"/>
        </w:rPr>
        <w:t xml:space="preserve"> of </w:t>
      </w:r>
      <w:r>
        <w:rPr>
          <w:kern w:val="0"/>
        </w:rPr>
        <w:t>the retrieved publications. Selection criteria Randomised clinical trials irrespective</w:t>
      </w:r>
      <w:r w:rsidR="00427468">
        <w:rPr>
          <w:kern w:val="0"/>
        </w:rPr>
        <w:t xml:space="preserve"> of </w:t>
      </w:r>
      <w:r>
        <w:rPr>
          <w:kern w:val="0"/>
        </w:rPr>
        <w:t>blinding, language, or publication status for assessment</w:t>
      </w:r>
      <w:r w:rsidR="00427468">
        <w:rPr>
          <w:kern w:val="0"/>
        </w:rPr>
        <w:t xml:space="preserve"> of </w:t>
      </w:r>
      <w:r>
        <w:rPr>
          <w:kern w:val="0"/>
        </w:rPr>
        <w:t>benefits</w:t>
      </w:r>
      <w:r w:rsidR="005853A9">
        <w:rPr>
          <w:kern w:val="0"/>
        </w:rPr>
        <w:t xml:space="preserve"> and </w:t>
      </w:r>
      <w:r>
        <w:rPr>
          <w:kern w:val="0"/>
        </w:rPr>
        <w:t>harms. Observational studies for assessment</w:t>
      </w:r>
      <w:r w:rsidR="00427468">
        <w:rPr>
          <w:kern w:val="0"/>
        </w:rPr>
        <w:t xml:space="preserve"> of </w:t>
      </w:r>
      <w:r>
        <w:rPr>
          <w:kern w:val="0"/>
        </w:rPr>
        <w:t>harms. Data collection</w:t>
      </w:r>
      <w:r w:rsidR="005853A9">
        <w:rPr>
          <w:kern w:val="0"/>
        </w:rPr>
        <w:t xml:space="preserve"> and </w:t>
      </w:r>
      <w:r>
        <w:rPr>
          <w:kern w:val="0"/>
        </w:rPr>
        <w:t>analysis Data from randomised clinical trials were to be summarised by standard Cochrane Collaboration methodologies. Main results We could not find any randomised clinical trials assessing antifibrinolytic amino acids for treating upper gastrointestinal bleeding in patients with acute or chronic liver disease. We could not identify quasi-randomised, historically controlled, or observational studies in which we could assess harms. Authors</w:t>
      </w:r>
      <w:r w:rsidR="0071223E">
        <w:rPr>
          <w:kern w:val="0"/>
        </w:rPr>
        <w:t>’</w:t>
      </w:r>
      <w:r>
        <w:rPr>
          <w:kern w:val="0"/>
        </w:rPr>
        <w:t xml:space="preserve"> conclusions No randomised clinical trials assessing the benefits</w:t>
      </w:r>
      <w:r w:rsidR="005853A9">
        <w:rPr>
          <w:kern w:val="0"/>
        </w:rPr>
        <w:t xml:space="preserve"> and </w:t>
      </w:r>
      <w:r>
        <w:rPr>
          <w:kern w:val="0"/>
        </w:rPr>
        <w:t>harms</w:t>
      </w:r>
      <w:r w:rsidR="00427468">
        <w:rPr>
          <w:kern w:val="0"/>
        </w:rPr>
        <w:t xml:space="preserve"> of </w:t>
      </w:r>
      <w:r>
        <w:rPr>
          <w:kern w:val="0"/>
        </w:rPr>
        <w:t>antifibrinolytic amino acids for upper gastrointestinal bleeding in patients with acute or chronic liver disease were identified</w:t>
      </w:r>
      <w:r w:rsidR="00A37C1D">
        <w:rPr>
          <w:kern w:val="0"/>
        </w:rPr>
        <w:t>. The</w:t>
      </w:r>
      <w:r>
        <w:rPr>
          <w:kern w:val="0"/>
        </w:rPr>
        <w:t xml:space="preserve"> benefits</w:t>
      </w:r>
      <w:r w:rsidR="005853A9">
        <w:rPr>
          <w:kern w:val="0"/>
        </w:rPr>
        <w:t xml:space="preserve"> and </w:t>
      </w:r>
      <w:r>
        <w:rPr>
          <w:kern w:val="0"/>
        </w:rPr>
        <w:t>harms</w:t>
      </w:r>
      <w:r w:rsidR="00427468">
        <w:rPr>
          <w:kern w:val="0"/>
        </w:rPr>
        <w:t xml:space="preserve"> of </w:t>
      </w:r>
      <w:r>
        <w:rPr>
          <w:kern w:val="0"/>
        </w:rPr>
        <w:t>antifibrinolytic amino acids need to be tested in randomised clinical trials. Unless randomised clinical trials are conducted to assess the trade off between benefits</w:t>
      </w:r>
      <w:r w:rsidR="005853A9">
        <w:rPr>
          <w:kern w:val="0"/>
        </w:rPr>
        <w:t xml:space="preserve"> and </w:t>
      </w:r>
      <w:r>
        <w:rPr>
          <w:kern w:val="0"/>
        </w:rPr>
        <w:t xml:space="preserve">harms, we cannot recommend </w:t>
      </w:r>
      <w:r>
        <w:rPr>
          <w:kern w:val="0"/>
        </w:rPr>
        <w:lastRenderedPageBreak/>
        <w:t>nor refute antifibrinolytic amino acids for upper gastrointestinal bleeding in patients with acute or chronic liver diseases.</w:t>
      </w:r>
    </w:p>
    <w:p w:rsidR="00365DE4" w:rsidRDefault="00365DE4" w:rsidP="00365DE4">
      <w:pPr>
        <w:pStyle w:val="a3"/>
        <w:rPr>
          <w:kern w:val="0"/>
        </w:rPr>
      </w:pPr>
      <w:r>
        <w:rPr>
          <w:kern w:val="0"/>
        </w:rPr>
        <w:t xml:space="preserve">Keywords: Amino Acids, Amino Acids [Therapeutic Use], Analysis, Antifibrinolytic Agents [Therapeutic Use], Assessing, Assessment, Bleeding, Blood Coagulation Disorders [Etiology, Chronic, Cirrhosis, Citation, Clinical, Clinical Trials, Coagulation Disorders, Cochrane Collaboration, Collaboration, Collection, Course, Criteria, Disease, Diseases, Effects, Empirical-Evidence, Guidelines, Hemostatic Agents, Humans, Hyperfibrinolysis, Information Size, Interventions, Language, Liver, Liver Diseases [Complications], </w:t>
      </w:r>
      <w:r w:rsidR="00D5664A">
        <w:rPr>
          <w:kern w:val="0"/>
        </w:rPr>
        <w:t>MEDLINE</w:t>
      </w:r>
      <w:r>
        <w:rPr>
          <w:kern w:val="0"/>
        </w:rPr>
        <w:t>, Methodologies, Methods, Morbidity, Mortality, Observational, Observational Studies, Patients, Primary, Publication, Publications, Quality, Randomised, Randomized-Trials, Reference, Reference Lists, Science, Science Citation Index, Search, Standard, Therapy], Trade Off, Trial Sequential-Analysis</w:t>
      </w:r>
    </w:p>
    <w:p w:rsidR="00365DE4" w:rsidRDefault="00365DE4" w:rsidP="00365DE4">
      <w:pPr>
        <w:pStyle w:val="a3"/>
        <w:rPr>
          <w:kern w:val="0"/>
        </w:rPr>
      </w:pPr>
      <w:r>
        <w:rPr>
          <w:kern w:val="0"/>
        </w:rPr>
        <w:t>? Gur</w:t>
      </w:r>
      <w:r w:rsidR="00D5664A">
        <w:rPr>
          <w:kern w:val="0"/>
        </w:rPr>
        <w:t>USA</w:t>
      </w:r>
      <w:r>
        <w:rPr>
          <w:kern w:val="0"/>
        </w:rPr>
        <w:t>my, K.S., Samraj, K., F</w:t>
      </w:r>
      <w:r w:rsidR="00D5664A">
        <w:rPr>
          <w:kern w:val="0"/>
        </w:rPr>
        <w:t>USA</w:t>
      </w:r>
      <w:r>
        <w:rPr>
          <w:kern w:val="0"/>
        </w:rPr>
        <w:t>i, G.</w:t>
      </w:r>
      <w:r w:rsidR="005853A9">
        <w:rPr>
          <w:kern w:val="0"/>
        </w:rPr>
        <w:t xml:space="preserve"> and </w:t>
      </w:r>
      <w:r>
        <w:rPr>
          <w:kern w:val="0"/>
        </w:rPr>
        <w:t xml:space="preserve">Davidson, B.R. (2012), Robot assistant versus human or another robot assistant in patients undergoing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CD006578.</w:t>
      </w:r>
    </w:p>
    <w:p w:rsidR="00365DE4" w:rsidRDefault="00365DE4" w:rsidP="00365DE4">
      <w:pPr>
        <w:pStyle w:val="a3"/>
        <w:rPr>
          <w:kern w:val="2"/>
        </w:rPr>
      </w:pPr>
      <w:r>
        <w:t xml:space="preserve">Full Text: </w:t>
      </w:r>
      <w:hyperlink r:id="rId777" w:history="1">
        <w:r>
          <w:rPr>
            <w:rStyle w:val="a5"/>
          </w:rPr>
          <w:t>2012\Coc Dat Sys Rev2012, CD006578.pdf</w:t>
        </w:r>
      </w:hyperlink>
    </w:p>
    <w:p w:rsidR="00365DE4" w:rsidRDefault="00365DE4" w:rsidP="00365DE4">
      <w:pPr>
        <w:pStyle w:val="a3"/>
        <w:rPr>
          <w:kern w:val="0"/>
        </w:rPr>
      </w:pPr>
      <w:r>
        <w:rPr>
          <w:kern w:val="0"/>
        </w:rPr>
        <w:t>Abstract: Background The role</w:t>
      </w:r>
      <w:r w:rsidR="00427468">
        <w:rPr>
          <w:kern w:val="0"/>
        </w:rPr>
        <w:t xml:space="preserve"> of </w:t>
      </w:r>
      <w:r>
        <w:rPr>
          <w:kern w:val="0"/>
        </w:rPr>
        <w:t>a robotic assistant in laparoscopic cholecystectomy is controversial. While some trials have shown distinct advantages</w:t>
      </w:r>
      <w:r w:rsidR="00427468">
        <w:rPr>
          <w:kern w:val="0"/>
        </w:rPr>
        <w:t xml:space="preserve"> of </w:t>
      </w:r>
      <w:r>
        <w:rPr>
          <w:kern w:val="0"/>
        </w:rPr>
        <w:t>a robotic assistant over a human assistant others have not,</w:t>
      </w:r>
      <w:r w:rsidR="005853A9">
        <w:rPr>
          <w:kern w:val="0"/>
        </w:rPr>
        <w:t xml:space="preserve"> and </w:t>
      </w:r>
      <w:r>
        <w:rPr>
          <w:kern w:val="0"/>
        </w:rPr>
        <w:t>it is unclear which robotic assistant is best. Objectives The aims</w:t>
      </w:r>
      <w:r w:rsidR="00427468">
        <w:rPr>
          <w:kern w:val="0"/>
        </w:rPr>
        <w:t xml:space="preserve"> of </w:t>
      </w:r>
      <w:r>
        <w:rPr>
          <w:kern w:val="0"/>
        </w:rPr>
        <w:t>this review are to assess the benefits</w:t>
      </w:r>
      <w:r w:rsidR="005853A9">
        <w:rPr>
          <w:kern w:val="0"/>
        </w:rPr>
        <w:t xml:space="preserve"> and </w:t>
      </w:r>
      <w:r>
        <w:rPr>
          <w:kern w:val="0"/>
        </w:rPr>
        <w:t>harms</w:t>
      </w:r>
      <w:r w:rsidR="00427468">
        <w:rPr>
          <w:kern w:val="0"/>
        </w:rPr>
        <w:t xml:space="preserve"> of </w:t>
      </w:r>
      <w:r>
        <w:rPr>
          <w:kern w:val="0"/>
        </w:rPr>
        <w:t>a robot assistant versus human assistant or versus another robot assistant in laparoscopic cholecystectomy,</w:t>
      </w:r>
      <w:r w:rsidR="005853A9">
        <w:rPr>
          <w:kern w:val="0"/>
        </w:rPr>
        <w:t xml:space="preserve"> and </w:t>
      </w:r>
      <w:r>
        <w:rPr>
          <w:kern w:val="0"/>
        </w:rPr>
        <w:t>to assess whether the robot can substitute the human assistant.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February 2012) for identifying the randomised clinical trials. Selection criteria Only randomised clinical trials (irrespective</w:t>
      </w:r>
      <w:r w:rsidR="00427468">
        <w:rPr>
          <w:kern w:val="0"/>
        </w:rPr>
        <w:t xml:space="preserve"> of </w:t>
      </w:r>
      <w:r>
        <w:rPr>
          <w:kern w:val="0"/>
        </w:rPr>
        <w:t>language, blinding, or publication status) comparing robot assistants versus human assistants in laparoscopic cholecystectomy were considered for the review. Randomised clinical trials comparing different types</w:t>
      </w:r>
      <w:r w:rsidR="00427468">
        <w:rPr>
          <w:kern w:val="0"/>
        </w:rPr>
        <w:t xml:space="preserve"> of </w:t>
      </w:r>
      <w:r>
        <w:rPr>
          <w:kern w:val="0"/>
        </w:rPr>
        <w:t>robot assistants were also considered for the review. Data collection</w:t>
      </w:r>
      <w:r w:rsidR="005853A9">
        <w:rPr>
          <w:kern w:val="0"/>
        </w:rPr>
        <w:t xml:space="preserve"> and </w:t>
      </w:r>
      <w:r>
        <w:rPr>
          <w:kern w:val="0"/>
        </w:rPr>
        <w:t>analysis Two authors independently identified the trials for inclusion</w:t>
      </w:r>
      <w:r w:rsidR="005853A9">
        <w:rPr>
          <w:kern w:val="0"/>
        </w:rPr>
        <w:t xml:space="preserve"> and </w:t>
      </w:r>
      <w:r>
        <w:rPr>
          <w:kern w:val="0"/>
        </w:rPr>
        <w:t>independently extracted the data. We calculated the risk ratio (RR) or mean difference (MD) with 95% confidence interval (CI) using the fixed-effect</w:t>
      </w:r>
      <w:r w:rsidR="005853A9">
        <w:rPr>
          <w:kern w:val="0"/>
        </w:rPr>
        <w:t xml:space="preserve"> and </w:t>
      </w:r>
      <w:r>
        <w:rPr>
          <w:kern w:val="0"/>
        </w:rPr>
        <w:t>the random-effects models based on intention-to-treat analysis, when possible, using Review Manager 5. Main results We included six trials with 560 patients. One trial involving 129 patients did not state the number</w:t>
      </w:r>
      <w:r w:rsidR="00427468">
        <w:rPr>
          <w:kern w:val="0"/>
        </w:rPr>
        <w:t xml:space="preserve"> of </w:t>
      </w:r>
      <w:r>
        <w:rPr>
          <w:kern w:val="0"/>
        </w:rPr>
        <w:t>patients randomised to the two groups. In the remaining five trials 431 patients were randomised, 212 to the robot assistant group</w:t>
      </w:r>
      <w:r w:rsidR="005853A9">
        <w:rPr>
          <w:kern w:val="0"/>
        </w:rPr>
        <w:t xml:space="preserve"> and </w:t>
      </w:r>
      <w:r>
        <w:rPr>
          <w:kern w:val="0"/>
        </w:rPr>
        <w:t xml:space="preserve">219 to the human </w:t>
      </w:r>
      <w:r>
        <w:rPr>
          <w:kern w:val="0"/>
        </w:rPr>
        <w:lastRenderedPageBreak/>
        <w:t>assistant group. All the trials were at high risk</w:t>
      </w:r>
      <w:r w:rsidR="00427468">
        <w:rPr>
          <w:kern w:val="0"/>
        </w:rPr>
        <w:t xml:space="preserve"> of </w:t>
      </w:r>
      <w:r>
        <w:rPr>
          <w:kern w:val="0"/>
        </w:rPr>
        <w:t>bias. Mortality</w:t>
      </w:r>
      <w:r w:rsidR="005853A9">
        <w:rPr>
          <w:kern w:val="0"/>
        </w:rPr>
        <w:t xml:space="preserve"> and </w:t>
      </w:r>
      <w:r>
        <w:rPr>
          <w:kern w:val="0"/>
        </w:rPr>
        <w:t>morbidity were reported in only one trial with 40 patients</w:t>
      </w:r>
      <w:r w:rsidR="00A37C1D">
        <w:rPr>
          <w:kern w:val="0"/>
        </w:rPr>
        <w:t>. The</w:t>
      </w:r>
      <w:r>
        <w:rPr>
          <w:kern w:val="0"/>
        </w:rPr>
        <w:t>re was no mortality or morbidity in either group. Mortality</w:t>
      </w:r>
      <w:r w:rsidR="005853A9">
        <w:rPr>
          <w:kern w:val="0"/>
        </w:rPr>
        <w:t xml:space="preserve"> and </w:t>
      </w:r>
      <w:r>
        <w:rPr>
          <w:kern w:val="0"/>
        </w:rPr>
        <w:t>morbidity were not reported in the remaining trials. Quality</w:t>
      </w:r>
      <w:r w:rsidR="00427468">
        <w:rPr>
          <w:kern w:val="0"/>
        </w:rPr>
        <w:t xml:space="preserve"> of </w:t>
      </w:r>
      <w:r>
        <w:rPr>
          <w:kern w:val="0"/>
        </w:rPr>
        <w:t>life or the proportion</w:t>
      </w:r>
      <w:r w:rsidR="00427468">
        <w:rPr>
          <w:kern w:val="0"/>
        </w:rPr>
        <w:t xml:space="preserve"> of </w:t>
      </w:r>
      <w:r>
        <w:rPr>
          <w:kern w:val="0"/>
        </w:rPr>
        <w:t>patients who were discharged as day-patient laparoscopic cholecystectomy patients were not reported in any trial</w:t>
      </w:r>
      <w:r w:rsidR="00A37C1D">
        <w:rPr>
          <w:kern w:val="0"/>
        </w:rPr>
        <w:t>. The</w:t>
      </w:r>
      <w:r>
        <w:rPr>
          <w:kern w:val="0"/>
        </w:rPr>
        <w:t>re was no significant difference in the proportion</w:t>
      </w:r>
      <w:r w:rsidR="00427468">
        <w:rPr>
          <w:kern w:val="0"/>
        </w:rPr>
        <w:t xml:space="preserve"> of </w:t>
      </w:r>
      <w:r>
        <w:rPr>
          <w:kern w:val="0"/>
        </w:rPr>
        <w:t>patients who required conversion to open cholecystectomy (2 trials; 4/63 (weighted proportion 6.4%) in the robot assistant group versus 5/70 (7.1%) in the human assistant group; RR 0.90; 95% CI 0.25 to 3.20)</w:t>
      </w:r>
      <w:r w:rsidR="00A37C1D">
        <w:rPr>
          <w:kern w:val="0"/>
        </w:rPr>
        <w:t>. The</w:t>
      </w:r>
      <w:r>
        <w:rPr>
          <w:kern w:val="0"/>
        </w:rPr>
        <w:t>re was no significant difference in the operating time between the two groups (4 trials; 324 patients; MD 5.00 minutes; 95% CI -0.55 to 10.54). In one trial, about one sixth</w:t>
      </w:r>
      <w:r w:rsidR="00427468">
        <w:rPr>
          <w:kern w:val="0"/>
        </w:rPr>
        <w:t xml:space="preserve"> of </w:t>
      </w:r>
      <w:r>
        <w:rPr>
          <w:kern w:val="0"/>
        </w:rPr>
        <w:t>the laparoscopic cholecystectomies in which a robot assistant was used required temporary use</w:t>
      </w:r>
      <w:r w:rsidR="00427468">
        <w:rPr>
          <w:kern w:val="0"/>
        </w:rPr>
        <w:t xml:space="preserve"> of </w:t>
      </w:r>
      <w:r>
        <w:rPr>
          <w:kern w:val="0"/>
        </w:rPr>
        <w:t>a human assistant. In another trial, there was no requirement for human assistants. One trial did not report this information. It appears that there was little or no requirement for human assistants in the other three trials</w:t>
      </w:r>
      <w:r w:rsidR="00A37C1D">
        <w:rPr>
          <w:kern w:val="0"/>
        </w:rPr>
        <w:t>. The</w:t>
      </w:r>
      <w:r>
        <w:rPr>
          <w:kern w:val="0"/>
        </w:rPr>
        <w:t>re were no randomised trials comparing one type</w:t>
      </w:r>
      <w:r w:rsidR="00427468">
        <w:rPr>
          <w:kern w:val="0"/>
        </w:rPr>
        <w:t xml:space="preserve"> of </w:t>
      </w:r>
      <w:r>
        <w:rPr>
          <w:kern w:val="0"/>
        </w:rPr>
        <w:t>robot versus another type</w:t>
      </w:r>
      <w:r w:rsidR="00427468">
        <w:rPr>
          <w:kern w:val="0"/>
        </w:rPr>
        <w:t xml:space="preserve"> of </w:t>
      </w:r>
      <w:r>
        <w:rPr>
          <w:kern w:val="0"/>
        </w:rPr>
        <w:t>robot. Authors</w:t>
      </w:r>
      <w:r w:rsidR="0071223E">
        <w:rPr>
          <w:kern w:val="0"/>
        </w:rPr>
        <w:t>’</w:t>
      </w:r>
      <w:r>
        <w:rPr>
          <w:kern w:val="0"/>
        </w:rPr>
        <w:t xml:space="preserve"> conclusions Robot assisted laparoscopic cholecystectomy does not seem to offer any significant advantages over human assisted laparoscopic cholecystectomy. However, all trials had a high risk</w:t>
      </w:r>
      <w:r w:rsidR="00427468">
        <w:rPr>
          <w:kern w:val="0"/>
        </w:rPr>
        <w:t xml:space="preserve"> of </w:t>
      </w:r>
      <w:r>
        <w:rPr>
          <w:kern w:val="0"/>
        </w:rPr>
        <w:t>systematic errors or bias (that is, risk</w:t>
      </w:r>
      <w:r w:rsidR="00427468">
        <w:rPr>
          <w:kern w:val="0"/>
        </w:rPr>
        <w:t xml:space="preserve"> of </w:t>
      </w:r>
      <w:r>
        <w:rPr>
          <w:kern w:val="0"/>
        </w:rPr>
        <w:t>overestimation</w:t>
      </w:r>
      <w:r w:rsidR="00427468">
        <w:rPr>
          <w:kern w:val="0"/>
        </w:rPr>
        <w:t xml:space="preserve"> of </w:t>
      </w:r>
      <w:r>
        <w:rPr>
          <w:kern w:val="0"/>
        </w:rPr>
        <w:t>benefit</w:t>
      </w:r>
      <w:r w:rsidR="005853A9">
        <w:rPr>
          <w:kern w:val="0"/>
        </w:rPr>
        <w:t xml:space="preserve"> and </w:t>
      </w:r>
      <w:r>
        <w:rPr>
          <w:kern w:val="0"/>
        </w:rPr>
        <w:t>underestimation</w:t>
      </w:r>
      <w:r w:rsidR="00427468">
        <w:rPr>
          <w:kern w:val="0"/>
        </w:rPr>
        <w:t xml:space="preserve"> of </w:t>
      </w:r>
      <w:r>
        <w:rPr>
          <w:kern w:val="0"/>
        </w:rPr>
        <w:t>harm). All trials were small, with few or no outcomes. Hence, the risk</w:t>
      </w:r>
      <w:r w:rsidR="00427468">
        <w:rPr>
          <w:kern w:val="0"/>
        </w:rPr>
        <w:t xml:space="preserve"> of </w:t>
      </w:r>
      <w:r>
        <w:rPr>
          <w:kern w:val="0"/>
        </w:rPr>
        <w:t>random errors (that is, play</w:t>
      </w:r>
      <w:r w:rsidR="00427468">
        <w:rPr>
          <w:kern w:val="0"/>
        </w:rPr>
        <w:t xml:space="preserve"> of </w:t>
      </w:r>
      <w:r>
        <w:rPr>
          <w:kern w:val="0"/>
        </w:rPr>
        <w:t>chance) is high. Further randomised trials with low risk</w:t>
      </w:r>
      <w:r w:rsidR="00427468">
        <w:rPr>
          <w:kern w:val="0"/>
        </w:rPr>
        <w:t xml:space="preserve"> of </w:t>
      </w:r>
      <w:r>
        <w:rPr>
          <w:kern w:val="0"/>
        </w:rPr>
        <w:t>bias or random errors are needed.</w:t>
      </w:r>
    </w:p>
    <w:p w:rsidR="00365DE4" w:rsidRDefault="00365DE4" w:rsidP="00365DE4">
      <w:pPr>
        <w:pStyle w:val="a3"/>
        <w:rPr>
          <w:kern w:val="0"/>
        </w:rPr>
      </w:pPr>
      <w:r>
        <w:rPr>
          <w:kern w:val="0"/>
        </w:rPr>
        <w:t xml:space="preserve">Keywords: Analysis, Authors, Bias, Cholecystectomy, Citation, Clinical, Clinical Trials, Collection, Confidence, Criteria, Data, Empirical-Evidence, Errors, Gallstones, Human, Humans, Information, Interval, Language, Laparoscopic, Laparoscopic [Methods], Life, Low Risk, </w:t>
      </w:r>
      <w:r w:rsidR="00D5664A">
        <w:rPr>
          <w:kern w:val="0"/>
        </w:rPr>
        <w:t>MEDLINE</w:t>
      </w:r>
      <w:r>
        <w:rPr>
          <w:kern w:val="0"/>
        </w:rPr>
        <w:t>, Metaanalysis, Methods, Models, Morbidity, Mortality, Open, Outcomes, Patients, Population, Prevalence, Publication, Quality, Randomised, Randomized Clinical-Trials, Requirement, Review, Risk, Robotics [Methods], Role, Safety, Science, Science Citation Index, Science Citation Index Expanded, Search, Small, State, Surgery, Temporary, Trial</w:t>
      </w:r>
    </w:p>
    <w:p w:rsidR="003C483A" w:rsidRDefault="003C483A" w:rsidP="003C483A">
      <w:pPr>
        <w:pStyle w:val="a3"/>
        <w:rPr>
          <w:kern w:val="0"/>
        </w:rPr>
      </w:pPr>
      <w:r>
        <w:rPr>
          <w:rFonts w:hint="eastAsia"/>
          <w:kern w:val="0"/>
        </w:rPr>
        <w:t xml:space="preserve">? </w:t>
      </w:r>
      <w:r>
        <w:rPr>
          <w:kern w:val="0"/>
        </w:rPr>
        <w:t>Boonmak, P., Boonmak, S.</w:t>
      </w:r>
      <w:r w:rsidR="005853A9">
        <w:rPr>
          <w:kern w:val="0"/>
        </w:rPr>
        <w:t xml:space="preserve"> and </w:t>
      </w:r>
      <w:r>
        <w:rPr>
          <w:kern w:val="0"/>
        </w:rPr>
        <w:t>Pattanittum, P. (2012), High initial concentration versus low initial concentration sevoflurane for inhalational induction</w:t>
      </w:r>
      <w:r w:rsidR="00427468">
        <w:rPr>
          <w:kern w:val="0"/>
        </w:rPr>
        <w:t xml:space="preserve"> of </w:t>
      </w:r>
      <w:r>
        <w:rPr>
          <w:kern w:val="0"/>
        </w:rPr>
        <w:t xml:space="preserve">anaesthesia. </w:t>
      </w:r>
      <w:r>
        <w:rPr>
          <w:i/>
          <w:iCs/>
          <w:kern w:val="0"/>
        </w:rPr>
        <w:t>Cochrane Database</w:t>
      </w:r>
      <w:r w:rsidR="00427468">
        <w:rPr>
          <w:i/>
          <w:iCs/>
          <w:kern w:val="0"/>
        </w:rPr>
        <w:t xml:space="preserve"> of </w:t>
      </w:r>
      <w:r>
        <w:rPr>
          <w:i/>
          <w:iCs/>
          <w:kern w:val="0"/>
        </w:rPr>
        <w:t>Systematic Reviews</w:t>
      </w:r>
      <w:r>
        <w:rPr>
          <w:kern w:val="0"/>
        </w:rPr>
        <w:t xml:space="preserve">, </w:t>
      </w:r>
      <w:r w:rsidRPr="00E14B7C">
        <w:rPr>
          <w:b/>
          <w:kern w:val="0"/>
          <w:szCs w:val="24"/>
        </w:rPr>
        <w:t>9</w:t>
      </w:r>
      <w:r>
        <w:rPr>
          <w:rFonts w:hint="eastAsia"/>
          <w:kern w:val="0"/>
        </w:rPr>
        <w:t>,</w:t>
      </w:r>
      <w:r w:rsidRPr="00155CF3">
        <w:t xml:space="preserve"> </w:t>
      </w:r>
      <w:r>
        <w:t xml:space="preserve">Article Number: </w:t>
      </w:r>
      <w:r w:rsidRPr="00221AF9">
        <w:rPr>
          <w:kern w:val="0"/>
        </w:rPr>
        <w:t>CD006837</w:t>
      </w:r>
      <w:r>
        <w:rPr>
          <w:rFonts w:hint="eastAsia"/>
          <w:kern w:val="0"/>
        </w:rPr>
        <w:t>.</w:t>
      </w:r>
    </w:p>
    <w:p w:rsidR="003C483A" w:rsidRPr="00180D13" w:rsidRDefault="003C483A" w:rsidP="003C483A">
      <w:pPr>
        <w:pStyle w:val="a3"/>
      </w:pPr>
      <w:r w:rsidRPr="00180D13">
        <w:t xml:space="preserve">Full Text: </w:t>
      </w:r>
      <w:r w:rsidRPr="00FB4946">
        <w:t xml:space="preserve">2012\Coc Dat Sys Rev2012, </w:t>
      </w:r>
      <w:r w:rsidRPr="00221AF9">
        <w:t>CD006837</w:t>
      </w:r>
      <w:r w:rsidRPr="00FB4946">
        <w:t>.pdf</w:t>
      </w:r>
    </w:p>
    <w:p w:rsidR="003C483A" w:rsidRDefault="003C483A" w:rsidP="003C483A">
      <w:pPr>
        <w:pStyle w:val="a3"/>
        <w:rPr>
          <w:kern w:val="0"/>
        </w:rPr>
      </w:pPr>
      <w:r>
        <w:rPr>
          <w:kern w:val="0"/>
        </w:rPr>
        <w:t>Abstract: Background Sevoflurane induction for general anaesthesia has been reported to be safe, reliable</w:t>
      </w:r>
      <w:r w:rsidR="005853A9">
        <w:rPr>
          <w:kern w:val="0"/>
        </w:rPr>
        <w:t xml:space="preserve"> and </w:t>
      </w:r>
      <w:r>
        <w:rPr>
          <w:kern w:val="0"/>
        </w:rPr>
        <w:t>well accepted by patients. Sevoflurane induction uses either low or high initial concentrations</w:t>
      </w:r>
      <w:r w:rsidR="00A37C1D">
        <w:rPr>
          <w:kern w:val="0"/>
        </w:rPr>
        <w:t>. The</w:t>
      </w:r>
      <w:r>
        <w:rPr>
          <w:kern w:val="0"/>
        </w:rPr>
        <w:t xml:space="preserve"> low initial concentration technique involves initially administering a low concentration then gradually increasing the dose until the patient is anaesthetized</w:t>
      </w:r>
      <w:r w:rsidR="00A37C1D">
        <w:rPr>
          <w:kern w:val="0"/>
        </w:rPr>
        <w:t>. The</w:t>
      </w:r>
      <w:r>
        <w:rPr>
          <w:kern w:val="0"/>
        </w:rPr>
        <w:t xml:space="preserve"> high initial concentration technique involves </w:t>
      </w:r>
      <w:r>
        <w:rPr>
          <w:kern w:val="0"/>
        </w:rPr>
        <w:lastRenderedPageBreak/>
        <w:t>administering high concentrations from the beginning, continuing until the patient is anaesthetized. Objectives We aimed to compare the induction times</w:t>
      </w:r>
      <w:r w:rsidR="005853A9">
        <w:rPr>
          <w:kern w:val="0"/>
        </w:rPr>
        <w:t xml:space="preserve"> and </w:t>
      </w:r>
      <w:r>
        <w:rPr>
          <w:kern w:val="0"/>
        </w:rPr>
        <w:t>complications between high</w:t>
      </w:r>
      <w:r w:rsidR="005853A9">
        <w:rPr>
          <w:kern w:val="0"/>
        </w:rPr>
        <w:t xml:space="preserve"> and </w:t>
      </w:r>
      <w:r>
        <w:rPr>
          <w:kern w:val="0"/>
        </w:rPr>
        <w:t xml:space="preserve">low initial concentration sevoflurane induction in patients who received inhalational induction for general anaesthesia. We defined </w:t>
      </w:r>
      <w:r w:rsidR="0071223E">
        <w:rPr>
          <w:kern w:val="0"/>
        </w:rPr>
        <w:t>‘</w:t>
      </w:r>
      <w:r>
        <w:rPr>
          <w:kern w:val="0"/>
        </w:rPr>
        <w:t>high</w:t>
      </w:r>
      <w:r w:rsidR="0071223E">
        <w:rPr>
          <w:kern w:val="0"/>
        </w:rPr>
        <w:t>’</w:t>
      </w:r>
      <w:r>
        <w:rPr>
          <w:kern w:val="0"/>
        </w:rPr>
        <w:t xml:space="preserve"> as greater</w:t>
      </w:r>
      <w:r w:rsidR="005853A9">
        <w:rPr>
          <w:kern w:val="0"/>
        </w:rPr>
        <w:t xml:space="preserve"> and </w:t>
      </w:r>
      <w:r w:rsidR="0071223E">
        <w:rPr>
          <w:kern w:val="0"/>
        </w:rPr>
        <w:t>‘</w:t>
      </w:r>
      <w:r>
        <w:rPr>
          <w:kern w:val="0"/>
        </w:rPr>
        <w:t>low</w:t>
      </w:r>
      <w:r w:rsidR="0071223E">
        <w:rPr>
          <w:kern w:val="0"/>
        </w:rPr>
        <w:t>’</w:t>
      </w:r>
      <w:r>
        <w:rPr>
          <w:kern w:val="0"/>
        </w:rPr>
        <w:t xml:space="preserve"> as less than a 4% initial concentration. Search methods We searched the Cochrane Central Register</w:t>
      </w:r>
      <w:r w:rsidR="00427468">
        <w:rPr>
          <w:kern w:val="0"/>
        </w:rPr>
        <w:t xml:space="preserve"> of </w:t>
      </w:r>
      <w:r>
        <w:rPr>
          <w:kern w:val="0"/>
        </w:rPr>
        <w:t>Controlled Trials (CENTRAL) (The Cochrane Library 2011, Issue 9); MEDLINE (1950 to September 2011); EMBASE (1980 to September 2011); LILACS (1982 to September 2011)</w:t>
      </w:r>
      <w:r w:rsidR="005853A9">
        <w:rPr>
          <w:kern w:val="0"/>
        </w:rPr>
        <w:t xml:space="preserve"> and </w:t>
      </w:r>
      <w:r>
        <w:rPr>
          <w:kern w:val="0"/>
        </w:rPr>
        <w:t>ISI Web</w:t>
      </w:r>
      <w:r w:rsidR="00427468">
        <w:rPr>
          <w:kern w:val="0"/>
        </w:rPr>
        <w:t xml:space="preserve"> of </w:t>
      </w:r>
      <w:r>
        <w:rPr>
          <w:kern w:val="0"/>
        </w:rPr>
        <w:t>Science (1946 to September 2011). We also searched the reference lists</w:t>
      </w:r>
      <w:r w:rsidR="00427468">
        <w:rPr>
          <w:kern w:val="0"/>
        </w:rPr>
        <w:t xml:space="preserve"> of </w:t>
      </w:r>
      <w:r>
        <w:rPr>
          <w:kern w:val="0"/>
        </w:rPr>
        <w:t>relevant articles, conference proceedings;</w:t>
      </w:r>
      <w:r w:rsidR="005853A9">
        <w:rPr>
          <w:kern w:val="0"/>
        </w:rPr>
        <w:t xml:space="preserve"> and </w:t>
      </w:r>
      <w:r>
        <w:rPr>
          <w:kern w:val="0"/>
        </w:rPr>
        <w:t>contacted the authors</w:t>
      </w:r>
      <w:r w:rsidR="00427468">
        <w:rPr>
          <w:kern w:val="0"/>
        </w:rPr>
        <w:t xml:space="preserve"> of </w:t>
      </w:r>
      <w:r>
        <w:rPr>
          <w:kern w:val="0"/>
        </w:rPr>
        <w:t>included trials. Selection criteria We sought all published</w:t>
      </w:r>
      <w:r w:rsidR="005853A9">
        <w:rPr>
          <w:kern w:val="0"/>
        </w:rPr>
        <w:t xml:space="preserve"> and </w:t>
      </w:r>
      <w:r>
        <w:rPr>
          <w:kern w:val="0"/>
        </w:rPr>
        <w:t>unpublished, randomized controlled trials comparing high versus low initial sevoflurane concentration inhalational induction. Our primary outcomes were two measures</w:t>
      </w:r>
      <w:r w:rsidR="00427468">
        <w:rPr>
          <w:kern w:val="0"/>
        </w:rPr>
        <w:t xml:space="preserve"> of </w:t>
      </w:r>
      <w:r>
        <w:rPr>
          <w:kern w:val="0"/>
        </w:rPr>
        <w:t>anaesthesia (time to loss</w:t>
      </w:r>
      <w:r w:rsidR="00427468">
        <w:rPr>
          <w:kern w:val="0"/>
        </w:rPr>
        <w:t xml:space="preserve"> of </w:t>
      </w:r>
      <w:r>
        <w:rPr>
          <w:kern w:val="0"/>
        </w:rPr>
        <w:t>the eyelash reflex (LOER)</w:t>
      </w:r>
      <w:r w:rsidR="005853A9">
        <w:rPr>
          <w:kern w:val="0"/>
        </w:rPr>
        <w:t xml:space="preserve"> and </w:t>
      </w:r>
      <w:r>
        <w:rPr>
          <w:kern w:val="0"/>
        </w:rPr>
        <w:t>time until a weighted object held in the patient</w:t>
      </w:r>
      <w:r w:rsidR="0071223E">
        <w:rPr>
          <w:kern w:val="0"/>
        </w:rPr>
        <w:t>’</w:t>
      </w:r>
      <w:r>
        <w:rPr>
          <w:kern w:val="0"/>
        </w:rPr>
        <w:t>s hand was dropped), time to successful insertion</w:t>
      </w:r>
      <w:r w:rsidR="00427468">
        <w:rPr>
          <w:kern w:val="0"/>
        </w:rPr>
        <w:t xml:space="preserve"> of </w:t>
      </w:r>
      <w:r>
        <w:rPr>
          <w:kern w:val="0"/>
        </w:rPr>
        <w:t>a laryngeal mask airway (LMA),</w:t>
      </w:r>
      <w:r w:rsidR="005853A9">
        <w:rPr>
          <w:kern w:val="0"/>
        </w:rPr>
        <w:t xml:space="preserve"> and </w:t>
      </w:r>
      <w:r>
        <w:rPr>
          <w:kern w:val="0"/>
        </w:rPr>
        <w:t>time to endotracheal intubation. Other outcomes were complications</w:t>
      </w:r>
      <w:r w:rsidR="00427468">
        <w:rPr>
          <w:kern w:val="0"/>
        </w:rPr>
        <w:t xml:space="preserve"> of </w:t>
      </w:r>
      <w:r>
        <w:rPr>
          <w:kern w:val="0"/>
        </w:rPr>
        <w:t>the technique. Data collection</w:t>
      </w:r>
      <w:r w:rsidR="005853A9">
        <w:rPr>
          <w:kern w:val="0"/>
        </w:rPr>
        <w:t xml:space="preserve"> and </w:t>
      </w:r>
      <w:r>
        <w:rPr>
          <w:kern w:val="0"/>
        </w:rPr>
        <w:t>analysis We used the standardized methods for conducting a systematic review as described by the Cochrane Handbook for Systematic Reviews</w:t>
      </w:r>
      <w:r w:rsidR="00427468">
        <w:rPr>
          <w:kern w:val="0"/>
        </w:rPr>
        <w:t xml:space="preserve"> of </w:t>
      </w:r>
      <w:r>
        <w:rPr>
          <w:kern w:val="0"/>
        </w:rPr>
        <w:t>Interventions. Two authors independently extracted details</w:t>
      </w:r>
      <w:r w:rsidR="00427468">
        <w:rPr>
          <w:kern w:val="0"/>
        </w:rPr>
        <w:t xml:space="preserve"> of </w:t>
      </w:r>
      <w:r>
        <w:rPr>
          <w:kern w:val="0"/>
        </w:rPr>
        <w:t>trial methodology</w:t>
      </w:r>
      <w:r w:rsidR="005853A9">
        <w:rPr>
          <w:kern w:val="0"/>
        </w:rPr>
        <w:t xml:space="preserve"> and </w:t>
      </w:r>
      <w:r>
        <w:rPr>
          <w:kern w:val="0"/>
        </w:rPr>
        <w:t>outcome data from reports</w:t>
      </w:r>
      <w:r w:rsidR="00427468">
        <w:rPr>
          <w:kern w:val="0"/>
        </w:rPr>
        <w:t xml:space="preserve"> of </w:t>
      </w:r>
      <w:r>
        <w:rPr>
          <w:kern w:val="0"/>
        </w:rPr>
        <w:t>all trials considered eligible for inclusion. All analyses were made on an intention-to-treat basis, where possible</w:t>
      </w:r>
      <w:r w:rsidR="00A37C1D">
        <w:rPr>
          <w:kern w:val="0"/>
        </w:rPr>
        <w:t>. The</w:t>
      </w:r>
      <w:r>
        <w:rPr>
          <w:kern w:val="0"/>
        </w:rPr>
        <w:t xml:space="preserve"> overall treatment effects were estimated by using a fixed-effect model when there was no substantial heterogeneity, whereas the random-effects model was applied in the presence</w:t>
      </w:r>
      <w:r w:rsidR="00427468">
        <w:rPr>
          <w:kern w:val="0"/>
        </w:rPr>
        <w:t xml:space="preserve"> of </w:t>
      </w:r>
      <w:r>
        <w:rPr>
          <w:kern w:val="0"/>
        </w:rPr>
        <w:t>considerable heterogeneity. Main results We used data from 10 studies with 729 participants in the review, though most analyses were based on data from fewer participants</w:t>
      </w:r>
      <w:r w:rsidR="00A37C1D">
        <w:rPr>
          <w:kern w:val="0"/>
        </w:rPr>
        <w:t>. The</w:t>
      </w:r>
      <w:r>
        <w:rPr>
          <w:kern w:val="0"/>
        </w:rPr>
        <w:t>re was substantial heterogeneity in the trials. Thus, our results should be read with caution. It was not possible to combine the trials for the primary outcome (LOER) but individual trials found faster induction times (typically 24 to 82 seconds faster) with high initial concentration sevoflurane. Apnoea appeared to be more common in the high initial concentration sevoflurane group (two trials, 160 participants)</w:t>
      </w:r>
      <w:r w:rsidR="00A37C1D">
        <w:rPr>
          <w:kern w:val="0"/>
        </w:rPr>
        <w:t>. The</w:t>
      </w:r>
      <w:r>
        <w:rPr>
          <w:kern w:val="0"/>
        </w:rPr>
        <w:t>re was no evidence</w:t>
      </w:r>
      <w:r w:rsidR="00427468">
        <w:rPr>
          <w:kern w:val="0"/>
        </w:rPr>
        <w:t xml:space="preserve"> of </w:t>
      </w:r>
      <w:r>
        <w:rPr>
          <w:kern w:val="0"/>
        </w:rPr>
        <w:t>a difference in the incidence</w:t>
      </w:r>
      <w:r w:rsidR="00427468">
        <w:rPr>
          <w:kern w:val="0"/>
        </w:rPr>
        <w:t xml:space="preserve"> of </w:t>
      </w:r>
      <w:r>
        <w:rPr>
          <w:kern w:val="0"/>
        </w:rPr>
        <w:t>cough, laryngospasm, breath holding, bradycardia, salivation</w:t>
      </w:r>
      <w:r w:rsidR="005853A9">
        <w:rPr>
          <w:kern w:val="0"/>
        </w:rPr>
        <w:t xml:space="preserve"> and </w:t>
      </w:r>
      <w:r>
        <w:rPr>
          <w:kern w:val="0"/>
        </w:rPr>
        <w:t>hypotension between the two groups, with the overall incidence</w:t>
      </w:r>
      <w:r w:rsidR="00427468">
        <w:rPr>
          <w:kern w:val="0"/>
        </w:rPr>
        <w:t xml:space="preserve"> of </w:t>
      </w:r>
      <w:r>
        <w:rPr>
          <w:kern w:val="0"/>
        </w:rPr>
        <w:t>complications being low. Authors</w:t>
      </w:r>
      <w:r w:rsidR="0071223E">
        <w:rPr>
          <w:kern w:val="0"/>
        </w:rPr>
        <w:t>’</w:t>
      </w:r>
      <w:r>
        <w:rPr>
          <w:kern w:val="0"/>
        </w:rPr>
        <w:t xml:space="preserve"> conclusions A high initial concentration sevoflurane technique probably offers more rapid induction</w:t>
      </w:r>
      <w:r w:rsidR="00427468">
        <w:rPr>
          <w:kern w:val="0"/>
        </w:rPr>
        <w:t xml:space="preserve"> of </w:t>
      </w:r>
      <w:r>
        <w:rPr>
          <w:kern w:val="0"/>
        </w:rPr>
        <w:t>anaesthesia</w:t>
      </w:r>
      <w:r w:rsidR="005853A9">
        <w:rPr>
          <w:kern w:val="0"/>
        </w:rPr>
        <w:t xml:space="preserve"> and </w:t>
      </w:r>
      <w:r>
        <w:rPr>
          <w:kern w:val="0"/>
        </w:rPr>
        <w:t>a similar rate</w:t>
      </w:r>
      <w:r w:rsidR="00427468">
        <w:rPr>
          <w:kern w:val="0"/>
        </w:rPr>
        <w:t xml:space="preserve"> of </w:t>
      </w:r>
      <w:r>
        <w:rPr>
          <w:kern w:val="0"/>
        </w:rPr>
        <w:t>complications except for apnoea, which may be more common with a high initial concentration. However, this conclusion is not definitive.</w:t>
      </w:r>
    </w:p>
    <w:p w:rsidR="003C483A" w:rsidRDefault="003C483A" w:rsidP="003C483A">
      <w:pPr>
        <w:pStyle w:val="a3"/>
        <w:rPr>
          <w:kern w:val="0"/>
        </w:rPr>
      </w:pPr>
      <w:r>
        <w:rPr>
          <w:kern w:val="0"/>
        </w:rPr>
        <w:t xml:space="preserve">Keywords: Anaesthesia, Analyses, Analysis, Authors, Collection, Complications, Concentration, Conference Proceedings, Cough, Criteria, Data, Data Collection, </w:t>
      </w:r>
      <w:r>
        <w:rPr>
          <w:kern w:val="0"/>
        </w:rPr>
        <w:lastRenderedPageBreak/>
        <w:t>Effects, Embase, Evidence, General, General Anaesthesia, Groups, Heterogeneity, Hypotension, Incidence, Induction, ISI, ISI Web</w:t>
      </w:r>
      <w:r w:rsidR="00427468">
        <w:rPr>
          <w:kern w:val="0"/>
        </w:rPr>
        <w:t xml:space="preserve"> of </w:t>
      </w:r>
      <w:r>
        <w:rPr>
          <w:kern w:val="0"/>
        </w:rPr>
        <w:t>Science, Laryngeal Mask, Laryngeal Mask Airway, Measures, Medline, Methodology, Methods, Model, Outcome, Outcomes, Patients, Primary, Random Effects Model, Randomized, Randomized Controlled Trials, Reference, Reference Lists, Review, Science, Search, Sevoflurane, Systematic Review, Systematic Reviews, Treatment, Trial, Web</w:t>
      </w:r>
      <w:r w:rsidR="00427468">
        <w:rPr>
          <w:kern w:val="0"/>
        </w:rPr>
        <w:t xml:space="preserve"> of </w:t>
      </w:r>
      <w:r>
        <w:rPr>
          <w:kern w:val="0"/>
        </w:rPr>
        <w:t>Science</w:t>
      </w:r>
    </w:p>
    <w:p w:rsidR="00365DE4" w:rsidRDefault="00365DE4" w:rsidP="00365DE4">
      <w:pPr>
        <w:pStyle w:val="a3"/>
        <w:rPr>
          <w:kern w:val="0"/>
        </w:rPr>
      </w:pPr>
      <w:r>
        <w:rPr>
          <w:kern w:val="0"/>
          <w:szCs w:val="24"/>
        </w:rPr>
        <w:t>? Ma, J.P., You, C.</w:t>
      </w:r>
      <w:r w:rsidR="005853A9">
        <w:rPr>
          <w:kern w:val="0"/>
          <w:szCs w:val="24"/>
        </w:rPr>
        <w:t xml:space="preserve"> and </w:t>
      </w:r>
      <w:r>
        <w:rPr>
          <w:kern w:val="0"/>
          <w:szCs w:val="24"/>
        </w:rPr>
        <w:t xml:space="preserve">Hao, L. (2012), Iron chelators for acute stroke.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rPr>
        <w:t>, Article Number: CD009280.</w:t>
      </w:r>
    </w:p>
    <w:p w:rsidR="00365DE4" w:rsidRDefault="00365DE4" w:rsidP="00365DE4">
      <w:pPr>
        <w:pStyle w:val="a3"/>
        <w:rPr>
          <w:kern w:val="2"/>
        </w:rPr>
      </w:pPr>
      <w:r>
        <w:t xml:space="preserve">Full Text: </w:t>
      </w:r>
      <w:hyperlink r:id="rId778" w:history="1">
        <w:r>
          <w:rPr>
            <w:rStyle w:val="a5"/>
          </w:rPr>
          <w:t>2012\Coc Dat Sys Rev2012, CD009280.pdf</w:t>
        </w:r>
      </w:hyperlink>
    </w:p>
    <w:p w:rsidR="00365DE4" w:rsidRDefault="00365DE4" w:rsidP="00365DE4">
      <w:pPr>
        <w:pStyle w:val="a3"/>
        <w:rPr>
          <w:kern w:val="0"/>
          <w:szCs w:val="24"/>
        </w:rPr>
      </w:pPr>
      <w:r>
        <w:rPr>
          <w:kern w:val="0"/>
          <w:szCs w:val="24"/>
        </w:rPr>
        <w:t>Abstract: Background Stroke is a serious public health problem that causes morbidity</w:t>
      </w:r>
      <w:r w:rsidR="005853A9">
        <w:rPr>
          <w:kern w:val="0"/>
          <w:szCs w:val="24"/>
        </w:rPr>
        <w:t xml:space="preserve"> and </w:t>
      </w:r>
      <w:r>
        <w:rPr>
          <w:kern w:val="0"/>
          <w:szCs w:val="24"/>
        </w:rPr>
        <w:t>mortality throughout the world. Iron chelators are potential neuroprotective drugs to treat patients with both hemorrhagic</w:t>
      </w:r>
      <w:r w:rsidR="005853A9">
        <w:rPr>
          <w:kern w:val="0"/>
          <w:szCs w:val="24"/>
        </w:rPr>
        <w:t xml:space="preserve"> and </w:t>
      </w:r>
      <w:r>
        <w:rPr>
          <w:kern w:val="0"/>
          <w:szCs w:val="24"/>
        </w:rPr>
        <w:t>ischemic stroke. Objectives To evaluate the effectiveness</w:t>
      </w:r>
      <w:r w:rsidR="005853A9">
        <w:rPr>
          <w:kern w:val="0"/>
          <w:szCs w:val="24"/>
        </w:rPr>
        <w:t xml:space="preserve"> and </w:t>
      </w:r>
      <w:r>
        <w:rPr>
          <w:kern w:val="0"/>
          <w:szCs w:val="24"/>
        </w:rPr>
        <w:t>safety</w:t>
      </w:r>
      <w:r w:rsidR="00427468">
        <w:rPr>
          <w:kern w:val="0"/>
          <w:szCs w:val="24"/>
        </w:rPr>
        <w:t xml:space="preserve"> of </w:t>
      </w:r>
      <w:r>
        <w:rPr>
          <w:kern w:val="0"/>
          <w:szCs w:val="24"/>
        </w:rPr>
        <w:t>the administration</w:t>
      </w:r>
      <w:r w:rsidR="00427468">
        <w:rPr>
          <w:kern w:val="0"/>
          <w:szCs w:val="24"/>
        </w:rPr>
        <w:t xml:space="preserve"> of </w:t>
      </w:r>
      <w:r>
        <w:rPr>
          <w:kern w:val="0"/>
          <w:szCs w:val="24"/>
        </w:rPr>
        <w:t>iron chelators in patients with acute stroke. Search methods We searched the Cochrane Stroke Group Trials Register (May 2012), the Chinese Stroke Trials Register (May 2012), the Cochrane Central Register</w:t>
      </w:r>
      <w:r w:rsidR="00427468">
        <w:rPr>
          <w:kern w:val="0"/>
          <w:szCs w:val="24"/>
        </w:rPr>
        <w:t xml:space="preserve"> of </w:t>
      </w:r>
      <w:r>
        <w:rPr>
          <w:kern w:val="0"/>
          <w:szCs w:val="24"/>
        </w:rPr>
        <w:t xml:space="preserve">Controlled Trials (CENTRAL) (The Cochrane Library 2012, Issue 1), </w:t>
      </w:r>
      <w:r w:rsidR="00D5664A">
        <w:rPr>
          <w:kern w:val="0"/>
          <w:szCs w:val="24"/>
        </w:rPr>
        <w:t>MEDLINE</w:t>
      </w:r>
      <w:r>
        <w:rPr>
          <w:kern w:val="0"/>
          <w:szCs w:val="24"/>
        </w:rPr>
        <w:t xml:space="preserve"> (1950 to May 2012), EMBASE (1980 to May 2012), Science Citation Index (1980 to May 2012)</w:t>
      </w:r>
      <w:r w:rsidR="005853A9">
        <w:rPr>
          <w:kern w:val="0"/>
          <w:szCs w:val="24"/>
        </w:rPr>
        <w:t xml:space="preserve"> and </w:t>
      </w:r>
      <w:r>
        <w:rPr>
          <w:kern w:val="0"/>
          <w:szCs w:val="24"/>
        </w:rPr>
        <w:t>three Chinese databases. In an effort to identify further published, unpublished</w:t>
      </w:r>
      <w:r w:rsidR="005853A9">
        <w:rPr>
          <w:kern w:val="0"/>
          <w:szCs w:val="24"/>
        </w:rPr>
        <w:t xml:space="preserve"> and </w:t>
      </w:r>
      <w:r>
        <w:rPr>
          <w:kern w:val="0"/>
          <w:szCs w:val="24"/>
        </w:rPr>
        <w:t>ongoing trials we searched ongoing trials registers, checked reference lists,</w:t>
      </w:r>
      <w:r w:rsidR="005853A9">
        <w:rPr>
          <w:kern w:val="0"/>
          <w:szCs w:val="24"/>
        </w:rPr>
        <w:t xml:space="preserve"> and </w:t>
      </w:r>
      <w:r>
        <w:rPr>
          <w:kern w:val="0"/>
          <w:szCs w:val="24"/>
        </w:rPr>
        <w:t>contacted authors</w:t>
      </w:r>
      <w:r w:rsidR="005853A9">
        <w:rPr>
          <w:kern w:val="0"/>
          <w:szCs w:val="24"/>
        </w:rPr>
        <w:t xml:space="preserve"> and </w:t>
      </w:r>
      <w:r>
        <w:rPr>
          <w:kern w:val="0"/>
          <w:szCs w:val="24"/>
        </w:rPr>
        <w:t>pharmaceutical companies. Selection criteria We included published</w:t>
      </w:r>
      <w:r w:rsidR="005853A9">
        <w:rPr>
          <w:kern w:val="0"/>
          <w:szCs w:val="24"/>
        </w:rPr>
        <w:t xml:space="preserve"> and </w:t>
      </w:r>
      <w:r>
        <w:rPr>
          <w:kern w:val="0"/>
          <w:szCs w:val="24"/>
        </w:rPr>
        <w:t>unpublished randomized controlled trials (RCTs)</w:t>
      </w:r>
      <w:r w:rsidR="00427468">
        <w:rPr>
          <w:kern w:val="0"/>
          <w:szCs w:val="24"/>
        </w:rPr>
        <w:t xml:space="preserve"> of </w:t>
      </w:r>
      <w:r>
        <w:rPr>
          <w:kern w:val="0"/>
          <w:szCs w:val="24"/>
        </w:rPr>
        <w:t>iron chelator versus no iron chelator or placebo for the treatment</w:t>
      </w:r>
      <w:r w:rsidR="00427468">
        <w:rPr>
          <w:kern w:val="0"/>
          <w:szCs w:val="24"/>
        </w:rPr>
        <w:t xml:space="preserve"> of </w:t>
      </w:r>
      <w:r>
        <w:rPr>
          <w:kern w:val="0"/>
          <w:szCs w:val="24"/>
        </w:rPr>
        <w:t>acute stroke. Data collection</w:t>
      </w:r>
      <w:r w:rsidR="005853A9">
        <w:rPr>
          <w:kern w:val="0"/>
          <w:szCs w:val="24"/>
        </w:rPr>
        <w:t xml:space="preserve"> and </w:t>
      </w:r>
      <w:r>
        <w:rPr>
          <w:kern w:val="0"/>
          <w:szCs w:val="24"/>
        </w:rPr>
        <w:t>analysis Two review authors independently screened search results to identify the full texts</w:t>
      </w:r>
      <w:r w:rsidR="00427468">
        <w:rPr>
          <w:kern w:val="0"/>
          <w:szCs w:val="24"/>
        </w:rPr>
        <w:t xml:space="preserve"> of </w:t>
      </w:r>
      <w:r>
        <w:rPr>
          <w:kern w:val="0"/>
          <w:szCs w:val="24"/>
        </w:rPr>
        <w:t>potentially relevant studies for inclusion. From the results</w:t>
      </w:r>
      <w:r w:rsidR="00427468">
        <w:rPr>
          <w:kern w:val="0"/>
          <w:szCs w:val="24"/>
        </w:rPr>
        <w:t xml:space="preserve"> of </w:t>
      </w:r>
      <w:r>
        <w:rPr>
          <w:kern w:val="0"/>
          <w:szCs w:val="24"/>
        </w:rPr>
        <w:t>the screened searches two review authors independently selected trials meeting the inclusion criteria, with no disagreement. Main results We found no completed RCTs eligible for inclusion in the review. We identified one ongoing RCT but no data were available. Authors</w:t>
      </w:r>
      <w:r w:rsidR="0071223E">
        <w:rPr>
          <w:kern w:val="0"/>
          <w:szCs w:val="24"/>
        </w:rPr>
        <w:t>’</w:t>
      </w:r>
      <w:r>
        <w:rPr>
          <w:kern w:val="0"/>
          <w:szCs w:val="24"/>
        </w:rPr>
        <w:t xml:space="preserve"> conclusions There is insufficient evidence to support or refute the use</w:t>
      </w:r>
      <w:r w:rsidR="00427468">
        <w:rPr>
          <w:kern w:val="0"/>
          <w:szCs w:val="24"/>
        </w:rPr>
        <w:t xml:space="preserve"> of </w:t>
      </w:r>
      <w:r>
        <w:rPr>
          <w:kern w:val="0"/>
          <w:szCs w:val="24"/>
        </w:rPr>
        <w:t>iron chelators for the treatment</w:t>
      </w:r>
      <w:r w:rsidR="00427468">
        <w:rPr>
          <w:kern w:val="0"/>
          <w:szCs w:val="24"/>
        </w:rPr>
        <w:t xml:space="preserve"> of </w:t>
      </w:r>
      <w:r>
        <w:rPr>
          <w:kern w:val="0"/>
          <w:szCs w:val="24"/>
        </w:rPr>
        <w:t>acute stroke. Further RCTs are required to assess the effect</w:t>
      </w:r>
      <w:r w:rsidR="00427468">
        <w:rPr>
          <w:kern w:val="0"/>
          <w:szCs w:val="24"/>
        </w:rPr>
        <w:t xml:space="preserve"> of </w:t>
      </w:r>
      <w:r>
        <w:rPr>
          <w:kern w:val="0"/>
          <w:szCs w:val="24"/>
        </w:rPr>
        <w:t>iron chelators in people with acute stroke.</w:t>
      </w:r>
    </w:p>
    <w:p w:rsidR="00365DE4" w:rsidRDefault="00365DE4" w:rsidP="00365DE4">
      <w:pPr>
        <w:pStyle w:val="a3"/>
        <w:rPr>
          <w:kern w:val="0"/>
          <w:szCs w:val="24"/>
        </w:rPr>
      </w:pPr>
      <w:r>
        <w:rPr>
          <w:kern w:val="0"/>
          <w:szCs w:val="24"/>
        </w:rPr>
        <w:t xml:space="preserve">Keywords: Administration, Analysis, Authors, Brain Edema, Cerebral-Ischemia, Chinese, Citation, Collection, Criteria, Data, Databases, Deferoxamine, Drugs, Effectiveness, Evidence, Health, Health Problem, Injury, Intracerebral Hemorrhage, Iron, </w:t>
      </w:r>
      <w:r w:rsidR="00D5664A">
        <w:rPr>
          <w:kern w:val="0"/>
          <w:szCs w:val="24"/>
        </w:rPr>
        <w:t>MEDLINE</w:t>
      </w:r>
      <w:r>
        <w:rPr>
          <w:kern w:val="0"/>
          <w:szCs w:val="24"/>
        </w:rPr>
        <w:t>, Methods, Morbidity, Mortality, Patients, Placebo, Potential, Protection, Public, Public Health, Public Health Problem, Randomized, Randomized Controlled Trials, Rats, Rct, Reference, Reference Lists, Review, Safety, Science, Science Citation Index, Search, Stores, Stroke, Support, Treatment, World</w:t>
      </w:r>
    </w:p>
    <w:p w:rsidR="00365DE4" w:rsidRDefault="00365DE4" w:rsidP="00365DE4">
      <w:pPr>
        <w:pStyle w:val="a3"/>
        <w:rPr>
          <w:kern w:val="0"/>
        </w:rPr>
      </w:pPr>
      <w:r>
        <w:rPr>
          <w:kern w:val="0"/>
          <w:szCs w:val="24"/>
        </w:rPr>
        <w:lastRenderedPageBreak/>
        <w:t>? Riemsma, R.P., Bala, M.M., Wolff, R.</w:t>
      </w:r>
      <w:r w:rsidR="005853A9">
        <w:rPr>
          <w:kern w:val="0"/>
          <w:szCs w:val="24"/>
        </w:rPr>
        <w:t xml:space="preserve"> and </w:t>
      </w:r>
      <w:r>
        <w:rPr>
          <w:kern w:val="0"/>
          <w:szCs w:val="24"/>
        </w:rPr>
        <w:t xml:space="preserve">Kleijnen, J. (2012), Transarterial (chemo)embolisation versus no intervention or placebo intervention for liver metastases.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9</w:t>
      </w:r>
      <w:r>
        <w:rPr>
          <w:kern w:val="0"/>
        </w:rPr>
        <w:t>, Article Number: CD009498.</w:t>
      </w:r>
    </w:p>
    <w:p w:rsidR="00365DE4" w:rsidRDefault="00365DE4" w:rsidP="00365DE4">
      <w:pPr>
        <w:pStyle w:val="a3"/>
        <w:rPr>
          <w:kern w:val="2"/>
        </w:rPr>
      </w:pPr>
      <w:r>
        <w:t xml:space="preserve">Full Text: </w:t>
      </w:r>
      <w:hyperlink r:id="rId779" w:history="1">
        <w:r>
          <w:rPr>
            <w:rStyle w:val="a5"/>
          </w:rPr>
          <w:t>2012\Coc Dat Sys Rev2012, CD009498.pdf</w:t>
        </w:r>
      </w:hyperlink>
    </w:p>
    <w:p w:rsidR="00365DE4" w:rsidRDefault="00365DE4" w:rsidP="00365DE4">
      <w:pPr>
        <w:pStyle w:val="a3"/>
        <w:rPr>
          <w:kern w:val="0"/>
          <w:szCs w:val="24"/>
        </w:rPr>
      </w:pPr>
      <w:r>
        <w:rPr>
          <w:kern w:val="0"/>
          <w:szCs w:val="24"/>
        </w:rPr>
        <w:t>Abstract: Background Primary liver tumours</w:t>
      </w:r>
      <w:r w:rsidR="005853A9">
        <w:rPr>
          <w:kern w:val="0"/>
          <w:szCs w:val="24"/>
        </w:rPr>
        <w:t xml:space="preserve"> and </w:t>
      </w:r>
      <w:r>
        <w:rPr>
          <w:kern w:val="0"/>
          <w:szCs w:val="24"/>
        </w:rPr>
        <w:t>liver metastases from colorectal carcinoma are the two most common malignant tumours to affect the liver</w:t>
      </w:r>
      <w:r w:rsidR="00A37C1D">
        <w:rPr>
          <w:kern w:val="0"/>
          <w:szCs w:val="24"/>
        </w:rPr>
        <w:t>. The</w:t>
      </w:r>
      <w:r>
        <w:rPr>
          <w:kern w:val="0"/>
          <w:szCs w:val="24"/>
        </w:rPr>
        <w:t xml:space="preserve"> liver is second only to the lymph nodes as the most common site for metastatic disease. More than half</w:t>
      </w:r>
      <w:r w:rsidR="00427468">
        <w:rPr>
          <w:kern w:val="0"/>
          <w:szCs w:val="24"/>
        </w:rPr>
        <w:t xml:space="preserve"> of </w:t>
      </w:r>
      <w:r>
        <w:rPr>
          <w:kern w:val="0"/>
          <w:szCs w:val="24"/>
        </w:rPr>
        <w:t>the patients with metastatic liver disease will die from metastatic complications. Chemoembolisation is based on the concept that the blood supply to hepatic tumours originates predominantly from the hepatic artery</w:t>
      </w:r>
      <w:r w:rsidR="00A37C1D">
        <w:rPr>
          <w:kern w:val="0"/>
          <w:szCs w:val="24"/>
        </w:rPr>
        <w:t>. The</w:t>
      </w:r>
      <w:r>
        <w:rPr>
          <w:kern w:val="0"/>
          <w:szCs w:val="24"/>
        </w:rPr>
        <w:t>refore, embolisation</w:t>
      </w:r>
      <w:r w:rsidR="00427468">
        <w:rPr>
          <w:kern w:val="0"/>
          <w:szCs w:val="24"/>
        </w:rPr>
        <w:t xml:space="preserve"> of </w:t>
      </w:r>
      <w:r>
        <w:rPr>
          <w:kern w:val="0"/>
          <w:szCs w:val="24"/>
        </w:rPr>
        <w:t>the hepatic artery can lead to selective necrosis</w:t>
      </w:r>
      <w:r w:rsidR="00427468">
        <w:rPr>
          <w:kern w:val="0"/>
          <w:szCs w:val="24"/>
        </w:rPr>
        <w:t xml:space="preserve"> of </w:t>
      </w:r>
      <w:r>
        <w:rPr>
          <w:kern w:val="0"/>
          <w:szCs w:val="24"/>
        </w:rPr>
        <w:t>the liver tumour while it may leave normal parenchyma virtually unaffected. Objectives To study the beneficial</w:t>
      </w:r>
      <w:r w:rsidR="005853A9">
        <w:rPr>
          <w:kern w:val="0"/>
          <w:szCs w:val="24"/>
        </w:rPr>
        <w:t xml:space="preserve"> and </w:t>
      </w:r>
      <w:r>
        <w:rPr>
          <w:kern w:val="0"/>
          <w:szCs w:val="24"/>
        </w:rPr>
        <w:t>harmful effects</w:t>
      </w:r>
      <w:r w:rsidR="00427468">
        <w:rPr>
          <w:kern w:val="0"/>
          <w:szCs w:val="24"/>
        </w:rPr>
        <w:t xml:space="preserve"> of </w:t>
      </w:r>
      <w:r>
        <w:rPr>
          <w:kern w:val="0"/>
          <w:szCs w:val="24"/>
        </w:rPr>
        <w:t>transarterial (chemo)embolisation compared with no intervention or placebo intervention in patients with liver metastases. Search methods We searched the Cochrane Hepato-Biliary Group Controlled Trials Register, Cochrane Central Register</w:t>
      </w:r>
      <w:r w:rsidR="00427468">
        <w:rPr>
          <w:kern w:val="0"/>
          <w:szCs w:val="24"/>
        </w:rPr>
        <w:t xml:space="preserve"> of </w:t>
      </w:r>
      <w:r>
        <w:rPr>
          <w:kern w:val="0"/>
          <w:szCs w:val="24"/>
        </w:rPr>
        <w:t xml:space="preserve">Controlled Trials (CENTRAL) in The Cochrane Library, </w:t>
      </w:r>
      <w:r w:rsidR="00D5664A">
        <w:rPr>
          <w:kern w:val="0"/>
          <w:szCs w:val="24"/>
        </w:rPr>
        <w:t>MEDLINE</w:t>
      </w:r>
      <w:r>
        <w:rPr>
          <w:kern w:val="0"/>
          <w:szCs w:val="24"/>
        </w:rPr>
        <w:t>, EMBASE, Science Citation Index Expanded, LILACS,</w:t>
      </w:r>
      <w:r w:rsidR="005853A9">
        <w:rPr>
          <w:kern w:val="0"/>
          <w:szCs w:val="24"/>
        </w:rPr>
        <w:t xml:space="preserve"> and </w:t>
      </w:r>
      <w:r>
        <w:rPr>
          <w:kern w:val="0"/>
          <w:szCs w:val="24"/>
        </w:rPr>
        <w:t>CINAHL up to November 2011. Selection criteria We included all randomised clinical trials assessing beneficial</w:t>
      </w:r>
      <w:r w:rsidR="005853A9">
        <w:rPr>
          <w:kern w:val="0"/>
          <w:szCs w:val="24"/>
        </w:rPr>
        <w:t xml:space="preserve"> and </w:t>
      </w:r>
      <w:r>
        <w:rPr>
          <w:kern w:val="0"/>
          <w:szCs w:val="24"/>
        </w:rPr>
        <w:t>harmful effects</w:t>
      </w:r>
      <w:r w:rsidR="00427468">
        <w:rPr>
          <w:kern w:val="0"/>
          <w:szCs w:val="24"/>
        </w:rPr>
        <w:t xml:space="preserve"> of </w:t>
      </w:r>
      <w:r>
        <w:rPr>
          <w:kern w:val="0"/>
          <w:szCs w:val="24"/>
        </w:rPr>
        <w:t>transarterial (chemo) embolisation compared with no intervention or placebo intervention in patients with liver metastases, no matter the location</w:t>
      </w:r>
      <w:r w:rsidR="00427468">
        <w:rPr>
          <w:kern w:val="0"/>
          <w:szCs w:val="24"/>
        </w:rPr>
        <w:t xml:space="preserve"> of </w:t>
      </w:r>
      <w:r>
        <w:rPr>
          <w:kern w:val="0"/>
          <w:szCs w:val="24"/>
        </w:rPr>
        <w:t>the primary tumour. Data collection</w:t>
      </w:r>
      <w:r w:rsidR="005853A9">
        <w:rPr>
          <w:kern w:val="0"/>
          <w:szCs w:val="24"/>
        </w:rPr>
        <w:t xml:space="preserve"> and </w:t>
      </w:r>
      <w:r>
        <w:rPr>
          <w:kern w:val="0"/>
          <w:szCs w:val="24"/>
        </w:rPr>
        <w:t>analysis We extracted relevant information on participant characteristics, interventions, study outcome measures,</w:t>
      </w:r>
      <w:r w:rsidR="005853A9">
        <w:rPr>
          <w:kern w:val="0"/>
          <w:szCs w:val="24"/>
        </w:rPr>
        <w:t xml:space="preserve"> and </w:t>
      </w:r>
      <w:r>
        <w:rPr>
          <w:kern w:val="0"/>
          <w:szCs w:val="24"/>
        </w:rPr>
        <w:t>data on the outcome measures for our review as well as information on the design</w:t>
      </w:r>
      <w:r w:rsidR="005853A9">
        <w:rPr>
          <w:kern w:val="0"/>
          <w:szCs w:val="24"/>
        </w:rPr>
        <w:t xml:space="preserve"> and </w:t>
      </w:r>
      <w:r>
        <w:rPr>
          <w:kern w:val="0"/>
          <w:szCs w:val="24"/>
        </w:rPr>
        <w:t>methodology</w:t>
      </w:r>
      <w:r w:rsidR="00427468">
        <w:rPr>
          <w:kern w:val="0"/>
          <w:szCs w:val="24"/>
        </w:rPr>
        <w:t xml:space="preserve"> of </w:t>
      </w:r>
      <w:r>
        <w:rPr>
          <w:kern w:val="0"/>
          <w:szCs w:val="24"/>
        </w:rPr>
        <w:t>the studies. Bias risk assessment</w:t>
      </w:r>
      <w:r w:rsidR="00427468">
        <w:rPr>
          <w:kern w:val="0"/>
          <w:szCs w:val="24"/>
        </w:rPr>
        <w:t xml:space="preserve"> of </w:t>
      </w:r>
      <w:r>
        <w:rPr>
          <w:kern w:val="0"/>
          <w:szCs w:val="24"/>
        </w:rPr>
        <w:t>the trials, fulfilling the inclusion criteria,</w:t>
      </w:r>
      <w:r w:rsidR="005853A9">
        <w:rPr>
          <w:kern w:val="0"/>
          <w:szCs w:val="24"/>
        </w:rPr>
        <w:t xml:space="preserve"> and </w:t>
      </w:r>
      <w:r>
        <w:rPr>
          <w:kern w:val="0"/>
          <w:szCs w:val="24"/>
        </w:rPr>
        <w:t>data extraction from the retrieved final evaluation trials were done by one author</w:t>
      </w:r>
      <w:r w:rsidR="005853A9">
        <w:rPr>
          <w:kern w:val="0"/>
          <w:szCs w:val="24"/>
        </w:rPr>
        <w:t xml:space="preserve"> and </w:t>
      </w:r>
      <w:r>
        <w:rPr>
          <w:kern w:val="0"/>
          <w:szCs w:val="24"/>
        </w:rPr>
        <w:t>checked by a second author. Main results One randomised clinical trial fulfilled the inclusion criteria</w:t>
      </w:r>
      <w:r w:rsidR="00427468">
        <w:rPr>
          <w:kern w:val="0"/>
          <w:szCs w:val="24"/>
        </w:rPr>
        <w:t xml:space="preserve"> of </w:t>
      </w:r>
      <w:r>
        <w:rPr>
          <w:kern w:val="0"/>
          <w:szCs w:val="24"/>
        </w:rPr>
        <w:t>the review. Sixty-one patients with colorectal liver metastases were randomised into three intervention groups: 22 received hepatic artery embolisation, 19 received hepatic artery infusion chemotherapy,</w:t>
      </w:r>
      <w:r w:rsidR="005853A9">
        <w:rPr>
          <w:kern w:val="0"/>
          <w:szCs w:val="24"/>
        </w:rPr>
        <w:t xml:space="preserve"> and </w:t>
      </w:r>
      <w:r>
        <w:rPr>
          <w:kern w:val="0"/>
          <w:szCs w:val="24"/>
        </w:rPr>
        <w:t>20 were randomised to control, described as “no active therapeutic intervention, although symptomatic treatment was provided whenever necessary”. As hepatic artery infusion chemotherapy is not in the scope</w:t>
      </w:r>
      <w:r w:rsidR="00427468">
        <w:rPr>
          <w:kern w:val="0"/>
          <w:szCs w:val="24"/>
        </w:rPr>
        <w:t xml:space="preserve"> of </w:t>
      </w:r>
      <w:r>
        <w:rPr>
          <w:kern w:val="0"/>
          <w:szCs w:val="24"/>
        </w:rPr>
        <w:t>this review, we have not included the data from this intervention group. In the remaining two groups that were</w:t>
      </w:r>
      <w:r w:rsidR="00427468">
        <w:rPr>
          <w:kern w:val="0"/>
          <w:szCs w:val="24"/>
        </w:rPr>
        <w:t xml:space="preserve"> of </w:t>
      </w:r>
      <w:r>
        <w:rPr>
          <w:kern w:val="0"/>
          <w:szCs w:val="24"/>
        </w:rPr>
        <w:t>interest to the review, 43</w:t>
      </w:r>
      <w:r w:rsidR="00427468">
        <w:rPr>
          <w:kern w:val="0"/>
          <w:szCs w:val="24"/>
        </w:rPr>
        <w:t xml:space="preserve"> of </w:t>
      </w:r>
      <w:r>
        <w:rPr>
          <w:kern w:val="0"/>
          <w:szCs w:val="24"/>
        </w:rPr>
        <w:t>the participants were men</w:t>
      </w:r>
      <w:r w:rsidR="005853A9">
        <w:rPr>
          <w:kern w:val="0"/>
          <w:szCs w:val="24"/>
        </w:rPr>
        <w:t xml:space="preserve"> and </w:t>
      </w:r>
      <w:r>
        <w:rPr>
          <w:kern w:val="0"/>
          <w:szCs w:val="24"/>
        </w:rPr>
        <w:t>18 women. Most tumours were synchronous metastases involving up to 75%</w:t>
      </w:r>
      <w:r w:rsidR="00427468">
        <w:rPr>
          <w:kern w:val="0"/>
          <w:szCs w:val="24"/>
        </w:rPr>
        <w:t xml:space="preserve"> of </w:t>
      </w:r>
      <w:r>
        <w:rPr>
          <w:kern w:val="0"/>
          <w:szCs w:val="24"/>
        </w:rPr>
        <w:t>the liver</w:t>
      </w:r>
      <w:r w:rsidR="005853A9">
        <w:rPr>
          <w:kern w:val="0"/>
          <w:szCs w:val="24"/>
        </w:rPr>
        <w:t xml:space="preserve"> and </w:t>
      </w:r>
      <w:r>
        <w:rPr>
          <w:kern w:val="0"/>
          <w:szCs w:val="24"/>
        </w:rPr>
        <w:t>non-resectable</w:t>
      </w:r>
      <w:r w:rsidR="00A37C1D">
        <w:rPr>
          <w:kern w:val="0"/>
          <w:szCs w:val="24"/>
        </w:rPr>
        <w:t>. The</w:t>
      </w:r>
      <w:r>
        <w:rPr>
          <w:kern w:val="0"/>
          <w:szCs w:val="24"/>
        </w:rPr>
        <w:t xml:space="preserve"> risk</w:t>
      </w:r>
      <w:r w:rsidR="00427468">
        <w:rPr>
          <w:kern w:val="0"/>
          <w:szCs w:val="24"/>
        </w:rPr>
        <w:t xml:space="preserve"> of </w:t>
      </w:r>
      <w:r>
        <w:rPr>
          <w:kern w:val="0"/>
          <w:szCs w:val="24"/>
        </w:rPr>
        <w:t>bias in the trial was judged to be high. Patients were followed-up for a minimum</w:t>
      </w:r>
      <w:r w:rsidR="00427468">
        <w:rPr>
          <w:kern w:val="0"/>
          <w:szCs w:val="24"/>
        </w:rPr>
        <w:t xml:space="preserve"> of </w:t>
      </w:r>
      <w:r>
        <w:rPr>
          <w:kern w:val="0"/>
          <w:szCs w:val="24"/>
        </w:rPr>
        <w:t xml:space="preserve">seven months. Mortality at last follow-up was 86%(19/22) in the hepatic artery embolisation group versus 95% </w:t>
      </w:r>
      <w:r>
        <w:rPr>
          <w:kern w:val="0"/>
          <w:szCs w:val="24"/>
        </w:rPr>
        <w:lastRenderedPageBreak/>
        <w:t>(19/20) in the control group (RR 0.91; 95% CI 0.75 to 1.1), that is, no statistically significant difference was observed. Median survival after trial entry was 7.0 months (range 2 to 44) in the hepatic artery embolisation group</w:t>
      </w:r>
      <w:r w:rsidR="005853A9">
        <w:rPr>
          <w:kern w:val="0"/>
          <w:szCs w:val="24"/>
        </w:rPr>
        <w:t xml:space="preserve"> and </w:t>
      </w:r>
      <w:r>
        <w:rPr>
          <w:kern w:val="0"/>
          <w:szCs w:val="24"/>
        </w:rPr>
        <w:t>7.9 months (range 1 to 26) in the control group. Nine out</w:t>
      </w:r>
      <w:r w:rsidR="00427468">
        <w:rPr>
          <w:kern w:val="0"/>
          <w:szCs w:val="24"/>
        </w:rPr>
        <w:t xml:space="preserve"> of </w:t>
      </w:r>
      <w:r>
        <w:rPr>
          <w:kern w:val="0"/>
          <w:szCs w:val="24"/>
        </w:rPr>
        <w:t>22 (41%) in the hepatic artery embolisation group</w:t>
      </w:r>
      <w:r w:rsidR="005853A9">
        <w:rPr>
          <w:kern w:val="0"/>
          <w:szCs w:val="24"/>
        </w:rPr>
        <w:t xml:space="preserve"> and </w:t>
      </w:r>
      <w:r>
        <w:rPr>
          <w:kern w:val="0"/>
          <w:szCs w:val="24"/>
        </w:rPr>
        <w:t>five out</w:t>
      </w:r>
      <w:r w:rsidR="00427468">
        <w:rPr>
          <w:kern w:val="0"/>
          <w:szCs w:val="24"/>
        </w:rPr>
        <w:t xml:space="preserve"> of </w:t>
      </w:r>
      <w:r>
        <w:rPr>
          <w:kern w:val="0"/>
          <w:szCs w:val="24"/>
        </w:rPr>
        <w:t>20 (25%) in the control group developed evidence</w:t>
      </w:r>
      <w:r w:rsidR="00427468">
        <w:rPr>
          <w:kern w:val="0"/>
          <w:szCs w:val="24"/>
        </w:rPr>
        <w:t xml:space="preserve"> of </w:t>
      </w:r>
      <w:r>
        <w:rPr>
          <w:kern w:val="0"/>
          <w:szCs w:val="24"/>
        </w:rPr>
        <w:t>extrahepatic disease (RR 1.64; 95% CI 0.60 to 4.07). Local recurrence was reported for 10 patients in the trial without details about the trial group. Most patients in the embolisation group experienced post-embolic syndrome (82%),</w:t>
      </w:r>
      <w:r w:rsidR="005853A9">
        <w:rPr>
          <w:kern w:val="0"/>
          <w:szCs w:val="24"/>
        </w:rPr>
        <w:t xml:space="preserve"> and </w:t>
      </w:r>
      <w:r>
        <w:rPr>
          <w:kern w:val="0"/>
          <w:szCs w:val="24"/>
        </w:rPr>
        <w:t>one patient had local haematoma. No other adverse events were reported</w:t>
      </w:r>
      <w:r w:rsidR="00A37C1D">
        <w:rPr>
          <w:kern w:val="0"/>
          <w:szCs w:val="24"/>
        </w:rPr>
        <w:t>. The</w:t>
      </w:r>
      <w:r>
        <w:rPr>
          <w:kern w:val="0"/>
          <w:szCs w:val="24"/>
        </w:rPr>
        <w:t xml:space="preserve"> authors did not report if there were any adverse events in the control group. Authors</w:t>
      </w:r>
      <w:r w:rsidR="0071223E">
        <w:rPr>
          <w:kern w:val="0"/>
          <w:szCs w:val="24"/>
        </w:rPr>
        <w:t>’</w:t>
      </w:r>
      <w:r>
        <w:rPr>
          <w:kern w:val="0"/>
          <w:szCs w:val="24"/>
        </w:rPr>
        <w:t xml:space="preserve"> conclusions On the basis</w:t>
      </w:r>
      <w:r w:rsidR="00427468">
        <w:rPr>
          <w:kern w:val="0"/>
          <w:szCs w:val="24"/>
        </w:rPr>
        <w:t xml:space="preserve"> of </w:t>
      </w:r>
      <w:r>
        <w:rPr>
          <w:kern w:val="0"/>
          <w:szCs w:val="24"/>
        </w:rPr>
        <w:t>one small randomised trial that did not describe sequence generation, allocation concealment or blinding, it can be concluded that in patients with liver metastases no significant survival benefit or benefit on extrahepatic recurrence was found in the embolisation group in comparison with the palliation group</w:t>
      </w:r>
      <w:r w:rsidR="00A37C1D">
        <w:rPr>
          <w:kern w:val="0"/>
          <w:szCs w:val="24"/>
        </w:rPr>
        <w:t>. The</w:t>
      </w:r>
      <w:r>
        <w:rPr>
          <w:kern w:val="0"/>
          <w:szCs w:val="24"/>
        </w:rPr>
        <w:t xml:space="preserve"> probability for selective outcome reporting bias in the trial is high. At present, transarterial (chemo)embolisation cannot be recommended outside randomised clinical trials.</w:t>
      </w:r>
    </w:p>
    <w:p w:rsidR="00365DE4" w:rsidRDefault="00365DE4" w:rsidP="00365DE4">
      <w:pPr>
        <w:pStyle w:val="a3"/>
        <w:rPr>
          <w:kern w:val="0"/>
          <w:szCs w:val="24"/>
        </w:rPr>
      </w:pPr>
      <w:r>
        <w:rPr>
          <w:kern w:val="0"/>
          <w:szCs w:val="24"/>
        </w:rPr>
        <w:t xml:space="preserve">Keywords: Allocation, Analysis, Artery, Assessing, Assessment, Authors, Bias, Blood, Cancer Statistics, Characteristics, Chemoembolization, Chemotherapy, Citation, Clinical, Clinical Trial, Clinical Trials, Clinical-Trials, Collection, Comparison, Complications, Control, Criteria, Data, Design, Disease, Effects, Empirical-Evidence, Evaluation, Events, Evidence, Extraction, Follow-Up, Generation, Information, Information Size, Infusion, Intervention, Interventions, Lead, Liver, Local, Location, Median, </w:t>
      </w:r>
      <w:r w:rsidR="00D5664A">
        <w:rPr>
          <w:kern w:val="0"/>
          <w:szCs w:val="24"/>
        </w:rPr>
        <w:t>MEDLINE</w:t>
      </w:r>
      <w:r>
        <w:rPr>
          <w:kern w:val="0"/>
          <w:szCs w:val="24"/>
        </w:rPr>
        <w:t>, Men, Metaanalyses, Metastases, Methodology, Methods, Minimum, Mortality, Necrosis, Normal, Outcome, Outcome Measures, Palliation, Patients, Placebo, Primary, Radiofrequency Ablation, Randomised, Randomised Trial, Randomized Controlled-Trials, Recurrence, Reporting, Review, Risk, Risk Assessment, Science, Science Citation Index, Science Citation Index Expanded, Scope, Search, Site, Small, Survival, Syndrome, Therapeutic, Treatment, Trial, Trial Sequential-Analysis, Unresectable Hepatocellular-Carcinoma, Women</w:t>
      </w:r>
    </w:p>
    <w:p w:rsidR="00365DE4" w:rsidRDefault="00365DE4" w:rsidP="00365DE4">
      <w:pPr>
        <w:pStyle w:val="a3"/>
        <w:rPr>
          <w:kern w:val="0"/>
        </w:rPr>
      </w:pPr>
      <w:r>
        <w:rPr>
          <w:kern w:val="0"/>
          <w:szCs w:val="24"/>
        </w:rPr>
        <w:t>? Reichow, B., Barton, E.E., Boyd, B.A.</w:t>
      </w:r>
      <w:r w:rsidR="005853A9">
        <w:rPr>
          <w:kern w:val="0"/>
          <w:szCs w:val="24"/>
        </w:rPr>
        <w:t xml:space="preserve"> and </w:t>
      </w:r>
      <w:r>
        <w:rPr>
          <w:kern w:val="0"/>
          <w:szCs w:val="24"/>
        </w:rPr>
        <w:t xml:space="preserve">Hume, K. (2012), Early intensive behavioral intervention (EIBI) for young children with autism spectrum disorders (ASD).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10</w:t>
      </w:r>
      <w:r>
        <w:rPr>
          <w:kern w:val="0"/>
        </w:rPr>
        <w:t>, Article Number: CD009260.</w:t>
      </w:r>
    </w:p>
    <w:p w:rsidR="00365DE4" w:rsidRDefault="00365DE4" w:rsidP="00365DE4">
      <w:pPr>
        <w:pStyle w:val="a3"/>
        <w:rPr>
          <w:kern w:val="2"/>
        </w:rPr>
      </w:pPr>
      <w:r>
        <w:t xml:space="preserve">Full Text: </w:t>
      </w:r>
      <w:hyperlink r:id="rId780" w:history="1">
        <w:r>
          <w:rPr>
            <w:rStyle w:val="a5"/>
          </w:rPr>
          <w:t>2012\Coc Dat Sys Rev2012, CD009260.pdf</w:t>
        </w:r>
      </w:hyperlink>
    </w:p>
    <w:p w:rsidR="00365DE4" w:rsidRDefault="00365DE4" w:rsidP="00365DE4">
      <w:pPr>
        <w:pStyle w:val="a3"/>
        <w:rPr>
          <w:kern w:val="0"/>
          <w:szCs w:val="24"/>
        </w:rPr>
      </w:pPr>
      <w:r>
        <w:rPr>
          <w:kern w:val="0"/>
          <w:szCs w:val="24"/>
        </w:rPr>
        <w:t>Abstract: Background The rising prevalence</w:t>
      </w:r>
      <w:r w:rsidR="00427468">
        <w:rPr>
          <w:kern w:val="0"/>
          <w:szCs w:val="24"/>
        </w:rPr>
        <w:t xml:space="preserve"> of </w:t>
      </w:r>
      <w:r>
        <w:rPr>
          <w:kern w:val="0"/>
          <w:szCs w:val="24"/>
        </w:rPr>
        <w:t>autism spectrum disorders (ASD) increases the need for evidence-based behavioral treatments to lessen the impact</w:t>
      </w:r>
      <w:r w:rsidR="00427468">
        <w:rPr>
          <w:kern w:val="0"/>
          <w:szCs w:val="24"/>
        </w:rPr>
        <w:t xml:space="preserve"> of </w:t>
      </w:r>
      <w:r>
        <w:rPr>
          <w:kern w:val="0"/>
          <w:szCs w:val="24"/>
        </w:rPr>
        <w:t>symptoms on children</w:t>
      </w:r>
      <w:r w:rsidR="0071223E">
        <w:rPr>
          <w:kern w:val="0"/>
          <w:szCs w:val="24"/>
        </w:rPr>
        <w:t>’</w:t>
      </w:r>
      <w:r>
        <w:rPr>
          <w:kern w:val="0"/>
          <w:szCs w:val="24"/>
        </w:rPr>
        <w:t>s functioning. At present, there are no curative or psychopharmacological therapies to effectively treat all symptoms</w:t>
      </w:r>
      <w:r w:rsidR="00427468">
        <w:rPr>
          <w:kern w:val="0"/>
          <w:szCs w:val="24"/>
        </w:rPr>
        <w:t xml:space="preserve"> of </w:t>
      </w:r>
      <w:r>
        <w:rPr>
          <w:kern w:val="0"/>
          <w:szCs w:val="24"/>
        </w:rPr>
        <w:t>the disorder. Early intensive behavioral intervention (EIBI), a treatment based on the principles</w:t>
      </w:r>
      <w:r w:rsidR="00427468">
        <w:rPr>
          <w:kern w:val="0"/>
          <w:szCs w:val="24"/>
        </w:rPr>
        <w:t xml:space="preserve"> of </w:t>
      </w:r>
      <w:r>
        <w:rPr>
          <w:kern w:val="0"/>
          <w:szCs w:val="24"/>
        </w:rPr>
        <w:lastRenderedPageBreak/>
        <w:t>applied behavior analysis delivered for multiple years at an intensity</w:t>
      </w:r>
      <w:r w:rsidR="00427468">
        <w:rPr>
          <w:kern w:val="0"/>
          <w:szCs w:val="24"/>
        </w:rPr>
        <w:t xml:space="preserve"> of </w:t>
      </w:r>
      <w:r>
        <w:rPr>
          <w:kern w:val="0"/>
          <w:szCs w:val="24"/>
        </w:rPr>
        <w:t>20 to 40 hours per week, is one</w:t>
      </w:r>
      <w:r w:rsidR="00427468">
        <w:rPr>
          <w:kern w:val="0"/>
          <w:szCs w:val="24"/>
        </w:rPr>
        <w:t xml:space="preserve"> of </w:t>
      </w:r>
      <w:r>
        <w:rPr>
          <w:kern w:val="0"/>
          <w:szCs w:val="24"/>
        </w:rPr>
        <w:t>the more well-established treatments for ASD. Objectives To systematically review the evidence for the effectiveness</w:t>
      </w:r>
      <w:r w:rsidR="00427468">
        <w:rPr>
          <w:kern w:val="0"/>
          <w:szCs w:val="24"/>
        </w:rPr>
        <w:t xml:space="preserve"> of </w:t>
      </w:r>
      <w:r>
        <w:rPr>
          <w:kern w:val="0"/>
          <w:szCs w:val="24"/>
        </w:rPr>
        <w:t>EIBI in increasing the functional behaviors</w:t>
      </w:r>
      <w:r w:rsidR="005853A9">
        <w:rPr>
          <w:kern w:val="0"/>
          <w:szCs w:val="24"/>
        </w:rPr>
        <w:t xml:space="preserve"> and </w:t>
      </w:r>
      <w:r>
        <w:rPr>
          <w:kern w:val="0"/>
          <w:szCs w:val="24"/>
        </w:rPr>
        <w:t>skills</w:t>
      </w:r>
      <w:r w:rsidR="00427468">
        <w:rPr>
          <w:kern w:val="0"/>
          <w:szCs w:val="24"/>
        </w:rPr>
        <w:t xml:space="preserve"> of </w:t>
      </w:r>
      <w:r>
        <w:rPr>
          <w:kern w:val="0"/>
          <w:szCs w:val="24"/>
        </w:rPr>
        <w:t xml:space="preserve">young children with ASD. Search methods We searched the following databases on 22 November 2011: CENTRAL (2011 Issue 4), </w:t>
      </w:r>
      <w:r w:rsidR="00D5664A">
        <w:rPr>
          <w:kern w:val="0"/>
          <w:szCs w:val="24"/>
        </w:rPr>
        <w:t>MEDLINE</w:t>
      </w:r>
      <w:r>
        <w:rPr>
          <w:kern w:val="0"/>
          <w:szCs w:val="24"/>
        </w:rPr>
        <w:t xml:space="preserve"> (1948 to November Week 2, 2011), EMBASE (1980 to Week 46, 2011), PsycINFO (1806 to November Week 3, 2011), CINAHL (1937 to current), ERIC (1966 to current), Sociological Abstracts (1952 to current), Social Science Citation Index (1970 to current), WorldCat, metaRegister</w:t>
      </w:r>
      <w:r w:rsidR="00427468">
        <w:rPr>
          <w:kern w:val="0"/>
          <w:szCs w:val="24"/>
        </w:rPr>
        <w:t xml:space="preserve"> of </w:t>
      </w:r>
      <w:r>
        <w:rPr>
          <w:kern w:val="0"/>
          <w:szCs w:val="24"/>
        </w:rPr>
        <w:t>Controlled Trials,</w:t>
      </w:r>
      <w:r w:rsidR="005853A9">
        <w:rPr>
          <w:kern w:val="0"/>
          <w:szCs w:val="24"/>
        </w:rPr>
        <w:t xml:space="preserve"> and </w:t>
      </w:r>
      <w:r>
        <w:rPr>
          <w:kern w:val="0"/>
          <w:szCs w:val="24"/>
        </w:rPr>
        <w:t>Networked Digital Library</w:t>
      </w:r>
      <w:r w:rsidR="00427468">
        <w:rPr>
          <w:kern w:val="0"/>
          <w:szCs w:val="24"/>
        </w:rPr>
        <w:t xml:space="preserve"> of </w:t>
      </w:r>
      <w:r>
        <w:rPr>
          <w:kern w:val="0"/>
          <w:szCs w:val="24"/>
        </w:rPr>
        <w:t>Theses</w:t>
      </w:r>
      <w:r w:rsidR="005853A9">
        <w:rPr>
          <w:kern w:val="0"/>
          <w:szCs w:val="24"/>
        </w:rPr>
        <w:t xml:space="preserve"> and </w:t>
      </w:r>
      <w:r>
        <w:rPr>
          <w:kern w:val="0"/>
          <w:szCs w:val="24"/>
        </w:rPr>
        <w:t>Dissertations. We also searched the reference lists</w:t>
      </w:r>
      <w:r w:rsidR="00427468">
        <w:rPr>
          <w:kern w:val="0"/>
          <w:szCs w:val="24"/>
        </w:rPr>
        <w:t xml:space="preserve"> of </w:t>
      </w:r>
      <w:r>
        <w:rPr>
          <w:kern w:val="0"/>
          <w:szCs w:val="24"/>
        </w:rPr>
        <w:t>published papers. Selection criteria Randomized control trials (RCTs), quasi-randomized control trials, or clinical control trials (CCTs) in which EIBI was compared to a no-treatment or treatment-as-usual control condition. Participants must have been less than six years</w:t>
      </w:r>
      <w:r w:rsidR="00427468">
        <w:rPr>
          <w:kern w:val="0"/>
          <w:szCs w:val="24"/>
        </w:rPr>
        <w:t xml:space="preserve"> of </w:t>
      </w:r>
      <w:r>
        <w:rPr>
          <w:kern w:val="0"/>
          <w:szCs w:val="24"/>
        </w:rPr>
        <w:t>age at treatment onset</w:t>
      </w:r>
      <w:r w:rsidR="005853A9">
        <w:rPr>
          <w:kern w:val="0"/>
          <w:szCs w:val="24"/>
        </w:rPr>
        <w:t xml:space="preserve"> and </w:t>
      </w:r>
      <w:r>
        <w:rPr>
          <w:kern w:val="0"/>
          <w:szCs w:val="24"/>
        </w:rPr>
        <w:t>assigned to their study condition prior to commencing treatment. Data collection</w:t>
      </w:r>
      <w:r w:rsidR="005853A9">
        <w:rPr>
          <w:kern w:val="0"/>
          <w:szCs w:val="24"/>
        </w:rPr>
        <w:t xml:space="preserve"> and </w:t>
      </w:r>
      <w:r>
        <w:rPr>
          <w:kern w:val="0"/>
          <w:szCs w:val="24"/>
        </w:rPr>
        <w:t>analysis Two authors independently selected</w:t>
      </w:r>
      <w:r w:rsidR="005853A9">
        <w:rPr>
          <w:kern w:val="0"/>
          <w:szCs w:val="24"/>
        </w:rPr>
        <w:t xml:space="preserve"> and </w:t>
      </w:r>
      <w:r>
        <w:rPr>
          <w:kern w:val="0"/>
          <w:szCs w:val="24"/>
        </w:rPr>
        <w:t>appraised studies for inclusion</w:t>
      </w:r>
      <w:r w:rsidR="005853A9">
        <w:rPr>
          <w:kern w:val="0"/>
          <w:szCs w:val="24"/>
        </w:rPr>
        <w:t xml:space="preserve"> and </w:t>
      </w:r>
      <w:r>
        <w:rPr>
          <w:kern w:val="0"/>
          <w:szCs w:val="24"/>
        </w:rPr>
        <w:t>assessed the risk</w:t>
      </w:r>
      <w:r w:rsidR="00427468">
        <w:rPr>
          <w:kern w:val="0"/>
          <w:szCs w:val="24"/>
        </w:rPr>
        <w:t xml:space="preserve"> of </w:t>
      </w:r>
      <w:r>
        <w:rPr>
          <w:kern w:val="0"/>
          <w:szCs w:val="24"/>
        </w:rPr>
        <w:t>bias in each included study. All outcome data were continuous, from which standardized mean difference effect sizes with small sample correction were calculated. We conducted random-effects meta-analysis where possible, which means we assumed individual studies would provide different estimates</w:t>
      </w:r>
      <w:r w:rsidR="00427468">
        <w:rPr>
          <w:kern w:val="0"/>
          <w:szCs w:val="24"/>
        </w:rPr>
        <w:t xml:space="preserve"> of </w:t>
      </w:r>
      <w:r>
        <w:rPr>
          <w:kern w:val="0"/>
          <w:szCs w:val="24"/>
        </w:rPr>
        <w:t>treatment effects. Main results One RCT</w:t>
      </w:r>
      <w:r w:rsidR="005853A9">
        <w:rPr>
          <w:kern w:val="0"/>
          <w:szCs w:val="24"/>
        </w:rPr>
        <w:t xml:space="preserve"> and </w:t>
      </w:r>
      <w:r>
        <w:rPr>
          <w:kern w:val="0"/>
          <w:szCs w:val="24"/>
        </w:rPr>
        <w:t>four CCTs with a total</w:t>
      </w:r>
      <w:r w:rsidR="00427468">
        <w:rPr>
          <w:kern w:val="0"/>
          <w:szCs w:val="24"/>
        </w:rPr>
        <w:t xml:space="preserve"> of </w:t>
      </w:r>
      <w:r>
        <w:rPr>
          <w:kern w:val="0"/>
          <w:szCs w:val="24"/>
        </w:rPr>
        <w:t>203 participants were included. Reliance on synthesis from four CCTs limits the evidential base</w:t>
      </w:r>
      <w:r w:rsidR="005853A9">
        <w:rPr>
          <w:kern w:val="0"/>
          <w:szCs w:val="24"/>
        </w:rPr>
        <w:t xml:space="preserve"> and </w:t>
      </w:r>
      <w:r>
        <w:rPr>
          <w:kern w:val="0"/>
          <w:szCs w:val="24"/>
        </w:rPr>
        <w:t>this should be borne in mind when interpreting the results. All studies used a treatment-as-usual comparison group. We synthesized the results</w:t>
      </w:r>
      <w:r w:rsidR="00427468">
        <w:rPr>
          <w:kern w:val="0"/>
          <w:szCs w:val="24"/>
        </w:rPr>
        <w:t xml:space="preserve"> of </w:t>
      </w:r>
      <w:r>
        <w:rPr>
          <w:kern w:val="0"/>
          <w:szCs w:val="24"/>
        </w:rPr>
        <w:t>the four CCTs using a random-effects model</w:t>
      </w:r>
      <w:r w:rsidR="00427468">
        <w:rPr>
          <w:kern w:val="0"/>
          <w:szCs w:val="24"/>
        </w:rPr>
        <w:t xml:space="preserve"> of </w:t>
      </w:r>
      <w:r>
        <w:rPr>
          <w:kern w:val="0"/>
          <w:szCs w:val="24"/>
        </w:rPr>
        <w:t>meta-analysis</w:t>
      </w:r>
      <w:r w:rsidR="00427468">
        <w:rPr>
          <w:kern w:val="0"/>
          <w:szCs w:val="24"/>
        </w:rPr>
        <w:t xml:space="preserve"> of </w:t>
      </w:r>
      <w:r>
        <w:rPr>
          <w:kern w:val="0"/>
          <w:szCs w:val="24"/>
        </w:rPr>
        <w:t>the standardized mean differences. Positive effects in favor</w:t>
      </w:r>
      <w:r w:rsidR="00427468">
        <w:rPr>
          <w:kern w:val="0"/>
          <w:szCs w:val="24"/>
        </w:rPr>
        <w:t xml:space="preserve"> of </w:t>
      </w:r>
      <w:r>
        <w:rPr>
          <w:kern w:val="0"/>
          <w:szCs w:val="24"/>
        </w:rPr>
        <w:t>the EIBI treatment group were found for all outcomes</w:t>
      </w:r>
      <w:r w:rsidR="00A37C1D">
        <w:rPr>
          <w:kern w:val="0"/>
          <w:szCs w:val="24"/>
        </w:rPr>
        <w:t>. The</w:t>
      </w:r>
      <w:r>
        <w:rPr>
          <w:kern w:val="0"/>
          <w:szCs w:val="24"/>
        </w:rPr>
        <w:t xml:space="preserve"> mean effect size for adaptive behavior was g = 0.69 (95% CI 0.38 to 1.01; P &lt; 0.0001)</w:t>
      </w:r>
      <w:r w:rsidR="00A37C1D">
        <w:rPr>
          <w:kern w:val="0"/>
          <w:szCs w:val="24"/>
        </w:rPr>
        <w:t>. The</w:t>
      </w:r>
      <w:r>
        <w:rPr>
          <w:kern w:val="0"/>
          <w:szCs w:val="24"/>
        </w:rPr>
        <w:t xml:space="preserve"> mean effect size for IQ was g = 0.76 (95% CI 0.40 to 1.11; P &lt; 0.0001). Three measures</w:t>
      </w:r>
      <w:r w:rsidR="00427468">
        <w:rPr>
          <w:kern w:val="0"/>
          <w:szCs w:val="24"/>
        </w:rPr>
        <w:t xml:space="preserve"> of </w:t>
      </w:r>
      <w:r>
        <w:rPr>
          <w:kern w:val="0"/>
          <w:szCs w:val="24"/>
        </w:rPr>
        <w:t>communication</w:t>
      </w:r>
      <w:r w:rsidR="005853A9">
        <w:rPr>
          <w:kern w:val="0"/>
          <w:szCs w:val="24"/>
        </w:rPr>
        <w:t xml:space="preserve"> and </w:t>
      </w:r>
      <w:r>
        <w:rPr>
          <w:kern w:val="0"/>
          <w:szCs w:val="24"/>
        </w:rPr>
        <w:t>language skills all showed results in favor</w:t>
      </w:r>
      <w:r w:rsidR="00427468">
        <w:rPr>
          <w:kern w:val="0"/>
          <w:szCs w:val="24"/>
        </w:rPr>
        <w:t xml:space="preserve"> of </w:t>
      </w:r>
      <w:r>
        <w:rPr>
          <w:kern w:val="0"/>
          <w:szCs w:val="24"/>
        </w:rPr>
        <w:t>EIBI: expressive language g = 0.50 (95% CI 0.05 to 0.95; P = 0.03), receptive language g = 0.57 (95% CI 0.20 to 0.94; P = .03),</w:t>
      </w:r>
      <w:r w:rsidR="005853A9">
        <w:rPr>
          <w:kern w:val="0"/>
          <w:szCs w:val="24"/>
        </w:rPr>
        <w:t xml:space="preserve"> and </w:t>
      </w:r>
      <w:r>
        <w:rPr>
          <w:kern w:val="0"/>
          <w:szCs w:val="24"/>
        </w:rPr>
        <w:t>daily communication skills g = 0.74 (95% CI 0.30 to 1.18; P = 0.0009)</w:t>
      </w:r>
      <w:r w:rsidR="00A37C1D">
        <w:rPr>
          <w:kern w:val="0"/>
          <w:szCs w:val="24"/>
        </w:rPr>
        <w:t>. The</w:t>
      </w:r>
      <w:r>
        <w:rPr>
          <w:kern w:val="0"/>
          <w:szCs w:val="24"/>
        </w:rPr>
        <w:t xml:space="preserve"> mean effect size for socialization was g = 0.42 (95% CI 0.11 to 0.73; P = 0.0008),</w:t>
      </w:r>
      <w:r w:rsidR="005853A9">
        <w:rPr>
          <w:kern w:val="0"/>
          <w:szCs w:val="24"/>
        </w:rPr>
        <w:t xml:space="preserve"> and </w:t>
      </w:r>
      <w:r>
        <w:rPr>
          <w:kern w:val="0"/>
          <w:szCs w:val="24"/>
        </w:rPr>
        <w:t>for daily living skills was g = 0.55 (95% CI 0.24 to 0.87; P = 0.0005). Additional descriptive analyses</w:t>
      </w:r>
      <w:r w:rsidR="00427468">
        <w:rPr>
          <w:kern w:val="0"/>
          <w:szCs w:val="24"/>
        </w:rPr>
        <w:t xml:space="preserve"> of </w:t>
      </w:r>
      <w:r>
        <w:rPr>
          <w:kern w:val="0"/>
          <w:szCs w:val="24"/>
        </w:rPr>
        <w:t>other aspects related to quality</w:t>
      </w:r>
      <w:r w:rsidR="00427468">
        <w:rPr>
          <w:kern w:val="0"/>
          <w:szCs w:val="24"/>
        </w:rPr>
        <w:t xml:space="preserve"> of </w:t>
      </w:r>
      <w:r>
        <w:rPr>
          <w:kern w:val="0"/>
          <w:szCs w:val="24"/>
        </w:rPr>
        <w:t>life</w:t>
      </w:r>
      <w:r w:rsidR="005853A9">
        <w:rPr>
          <w:kern w:val="0"/>
          <w:szCs w:val="24"/>
        </w:rPr>
        <w:t xml:space="preserve"> and </w:t>
      </w:r>
      <w:r>
        <w:rPr>
          <w:kern w:val="0"/>
          <w:szCs w:val="24"/>
        </w:rPr>
        <w:t>psychopathology are presented. However, due to the inclusion</w:t>
      </w:r>
      <w:r w:rsidR="00427468">
        <w:rPr>
          <w:kern w:val="0"/>
          <w:szCs w:val="24"/>
        </w:rPr>
        <w:t xml:space="preserve"> of </w:t>
      </w:r>
      <w:r>
        <w:rPr>
          <w:kern w:val="0"/>
          <w:szCs w:val="24"/>
        </w:rPr>
        <w:t>non-randomized studies, there is a high risk</w:t>
      </w:r>
      <w:r w:rsidR="00427468">
        <w:rPr>
          <w:kern w:val="0"/>
          <w:szCs w:val="24"/>
        </w:rPr>
        <w:t xml:space="preserve"> of </w:t>
      </w:r>
      <w:r>
        <w:rPr>
          <w:kern w:val="0"/>
          <w:szCs w:val="24"/>
        </w:rPr>
        <w:t>bias</w:t>
      </w:r>
      <w:r w:rsidR="005853A9">
        <w:rPr>
          <w:kern w:val="0"/>
          <w:szCs w:val="24"/>
        </w:rPr>
        <w:t xml:space="preserve"> and </w:t>
      </w:r>
      <w:r>
        <w:rPr>
          <w:kern w:val="0"/>
          <w:szCs w:val="24"/>
        </w:rPr>
        <w:t>the overall quality</w:t>
      </w:r>
      <w:r w:rsidR="00427468">
        <w:rPr>
          <w:kern w:val="0"/>
          <w:szCs w:val="24"/>
        </w:rPr>
        <w:t xml:space="preserve"> of </w:t>
      </w:r>
      <w:r>
        <w:rPr>
          <w:kern w:val="0"/>
          <w:szCs w:val="24"/>
        </w:rPr>
        <w:t xml:space="preserve">evidence was rated as </w:t>
      </w:r>
      <w:r w:rsidR="0071223E">
        <w:rPr>
          <w:kern w:val="0"/>
          <w:szCs w:val="24"/>
        </w:rPr>
        <w:t>‘</w:t>
      </w:r>
      <w:r>
        <w:rPr>
          <w:kern w:val="0"/>
          <w:szCs w:val="24"/>
        </w:rPr>
        <w:t>low</w:t>
      </w:r>
      <w:r w:rsidR="0071223E">
        <w:rPr>
          <w:kern w:val="0"/>
          <w:szCs w:val="24"/>
        </w:rPr>
        <w:t>’</w:t>
      </w:r>
      <w:r>
        <w:rPr>
          <w:kern w:val="0"/>
          <w:szCs w:val="24"/>
        </w:rPr>
        <w:t xml:space="preserve"> using the GRADE system, which rates the quality</w:t>
      </w:r>
      <w:r w:rsidR="00427468">
        <w:rPr>
          <w:kern w:val="0"/>
          <w:szCs w:val="24"/>
        </w:rPr>
        <w:t xml:space="preserve"> of </w:t>
      </w:r>
      <w:r>
        <w:rPr>
          <w:kern w:val="0"/>
          <w:szCs w:val="24"/>
        </w:rPr>
        <w:t>evidence from meta-analyses to determine recommendations for practice. Authors</w:t>
      </w:r>
      <w:r w:rsidR="0071223E">
        <w:rPr>
          <w:kern w:val="0"/>
          <w:szCs w:val="24"/>
        </w:rPr>
        <w:t>’</w:t>
      </w:r>
      <w:r>
        <w:rPr>
          <w:kern w:val="0"/>
          <w:szCs w:val="24"/>
        </w:rPr>
        <w:t xml:space="preserve"> conclusions There is some evidence that EIBI is an effective behavioral </w:t>
      </w:r>
      <w:r>
        <w:rPr>
          <w:kern w:val="0"/>
          <w:szCs w:val="24"/>
        </w:rPr>
        <w:lastRenderedPageBreak/>
        <w:t>treatment for some children with ASD. However, the current state</w:t>
      </w:r>
      <w:r w:rsidR="00427468">
        <w:rPr>
          <w:kern w:val="0"/>
          <w:szCs w:val="24"/>
        </w:rPr>
        <w:t xml:space="preserve"> of </w:t>
      </w:r>
      <w:r>
        <w:rPr>
          <w:kern w:val="0"/>
          <w:szCs w:val="24"/>
        </w:rPr>
        <w:t>the evidence is limited because</w:t>
      </w:r>
      <w:r w:rsidR="00427468">
        <w:rPr>
          <w:kern w:val="0"/>
          <w:szCs w:val="24"/>
        </w:rPr>
        <w:t xml:space="preserve"> of </w:t>
      </w:r>
      <w:r>
        <w:rPr>
          <w:kern w:val="0"/>
          <w:szCs w:val="24"/>
        </w:rPr>
        <w:t>the reliance on data from non-randomized studies (CCTs) due to the lack</w:t>
      </w:r>
      <w:r w:rsidR="00427468">
        <w:rPr>
          <w:kern w:val="0"/>
          <w:szCs w:val="24"/>
        </w:rPr>
        <w:t xml:space="preserve"> of </w:t>
      </w:r>
      <w:r>
        <w:rPr>
          <w:kern w:val="0"/>
          <w:szCs w:val="24"/>
        </w:rPr>
        <w:t>RCTs. Additional studies using RCT research designs are needed to make stronger conclusions about the effects</w:t>
      </w:r>
      <w:r w:rsidR="00427468">
        <w:rPr>
          <w:kern w:val="0"/>
          <w:szCs w:val="24"/>
        </w:rPr>
        <w:t xml:space="preserve"> of </w:t>
      </w:r>
      <w:r>
        <w:rPr>
          <w:kern w:val="0"/>
          <w:szCs w:val="24"/>
        </w:rPr>
        <w:t>EIBI for children with ASD.</w:t>
      </w:r>
    </w:p>
    <w:p w:rsidR="00365DE4" w:rsidRDefault="00365DE4" w:rsidP="00365DE4">
      <w:pPr>
        <w:pStyle w:val="a3"/>
        <w:rPr>
          <w:kern w:val="0"/>
          <w:szCs w:val="24"/>
        </w:rPr>
      </w:pPr>
      <w:r>
        <w:rPr>
          <w:kern w:val="0"/>
          <w:szCs w:val="24"/>
        </w:rPr>
        <w:t xml:space="preserve">Keywords: Age, Analyses, Analysis, Authors, Behavior, Bias, Children, Citation, Clinical, Collection, Communication, Comparison, Control, Criteria, Data, Databases, Effect Size, Effectiveness, Effects, Estimates, Evidence, Evidence Based, Evidence-Based, Form, Impact, Individuals, Intervention, Language, Life, Living, </w:t>
      </w:r>
      <w:r w:rsidR="00D5664A">
        <w:rPr>
          <w:kern w:val="0"/>
          <w:szCs w:val="24"/>
        </w:rPr>
        <w:t>MEDLINE</w:t>
      </w:r>
      <w:r>
        <w:rPr>
          <w:kern w:val="0"/>
          <w:szCs w:val="24"/>
        </w:rPr>
        <w:t>, Meta-Analysis, Metaanalysis, Methods, Model, Onset, Outcome, Outcomes, P, Papers, Practice, Prevalence, Principles, Project, Psycinfo, Quality, Quality Of, Quality</w:t>
      </w:r>
      <w:r w:rsidR="00427468">
        <w:rPr>
          <w:kern w:val="0"/>
          <w:szCs w:val="24"/>
        </w:rPr>
        <w:t xml:space="preserve"> of </w:t>
      </w:r>
      <w:r>
        <w:rPr>
          <w:kern w:val="0"/>
          <w:szCs w:val="24"/>
        </w:rPr>
        <w:t>Life, Questionnaire, Random Effects Model, Rates, Rct, Recommendations, Reference, Reference Lists, Research, Review, Risk, Science, Science Citation Index, Search, Size, Small, Social Science Citation Index, State, Symptoms, Synthesis, Treatment</w:t>
      </w:r>
    </w:p>
    <w:p w:rsidR="00365DE4" w:rsidRDefault="00365DE4" w:rsidP="00365DE4">
      <w:pPr>
        <w:pStyle w:val="a3"/>
        <w:rPr>
          <w:kern w:val="0"/>
        </w:rPr>
      </w:pPr>
      <w:r>
        <w:rPr>
          <w:kern w:val="0"/>
          <w:szCs w:val="24"/>
        </w:rPr>
        <w:t>? Morgan, A.T., Dodrill, P.</w:t>
      </w:r>
      <w:r w:rsidR="005853A9">
        <w:rPr>
          <w:kern w:val="0"/>
          <w:szCs w:val="24"/>
        </w:rPr>
        <w:t xml:space="preserve"> and </w:t>
      </w:r>
      <w:r>
        <w:rPr>
          <w:kern w:val="0"/>
          <w:szCs w:val="24"/>
        </w:rPr>
        <w:t xml:space="preserve">Ward, E.C. (2012), Interventions for oropharyngeal dysphagia in children with neurological impairment.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10</w:t>
      </w:r>
      <w:r>
        <w:rPr>
          <w:kern w:val="0"/>
        </w:rPr>
        <w:t>, Article Number: CD009456.</w:t>
      </w:r>
    </w:p>
    <w:p w:rsidR="00365DE4" w:rsidRDefault="00365DE4" w:rsidP="00365DE4">
      <w:pPr>
        <w:pStyle w:val="a3"/>
        <w:rPr>
          <w:kern w:val="2"/>
        </w:rPr>
      </w:pPr>
      <w:r>
        <w:t xml:space="preserve">Full Text: </w:t>
      </w:r>
      <w:hyperlink r:id="rId781" w:history="1">
        <w:r>
          <w:rPr>
            <w:rStyle w:val="a5"/>
          </w:rPr>
          <w:t>2012\Coc Dat Sys Rev2012, CD009456.pdf</w:t>
        </w:r>
      </w:hyperlink>
    </w:p>
    <w:p w:rsidR="00365DE4" w:rsidRDefault="00365DE4" w:rsidP="00365DE4">
      <w:pPr>
        <w:pStyle w:val="a3"/>
        <w:rPr>
          <w:kern w:val="0"/>
          <w:szCs w:val="24"/>
        </w:rPr>
      </w:pPr>
      <w:r>
        <w:rPr>
          <w:kern w:val="0"/>
          <w:szCs w:val="24"/>
        </w:rPr>
        <w:t>Abstract: Background Oropharyngeal dysphagia encompasses problems with the oral preparatory phase</w:t>
      </w:r>
      <w:r w:rsidR="00427468">
        <w:rPr>
          <w:kern w:val="0"/>
          <w:szCs w:val="24"/>
        </w:rPr>
        <w:t xml:space="preserve"> of </w:t>
      </w:r>
      <w:r>
        <w:rPr>
          <w:kern w:val="0"/>
          <w:szCs w:val="24"/>
        </w:rPr>
        <w:t>swallowing (chewing</w:t>
      </w:r>
      <w:r w:rsidR="005853A9">
        <w:rPr>
          <w:kern w:val="0"/>
          <w:szCs w:val="24"/>
        </w:rPr>
        <w:t xml:space="preserve"> and </w:t>
      </w:r>
      <w:r>
        <w:rPr>
          <w:kern w:val="0"/>
          <w:szCs w:val="24"/>
        </w:rPr>
        <w:t>preparing the food), oral phase (moving the food or fluid posteriorly through the oral cavity with the tongue into the back</w:t>
      </w:r>
      <w:r w:rsidR="00427468">
        <w:rPr>
          <w:kern w:val="0"/>
          <w:szCs w:val="24"/>
        </w:rPr>
        <w:t xml:space="preserve"> of </w:t>
      </w:r>
      <w:r>
        <w:rPr>
          <w:kern w:val="0"/>
          <w:szCs w:val="24"/>
        </w:rPr>
        <w:t>the throat)</w:t>
      </w:r>
      <w:r w:rsidR="005853A9">
        <w:rPr>
          <w:kern w:val="0"/>
          <w:szCs w:val="24"/>
        </w:rPr>
        <w:t xml:space="preserve"> and </w:t>
      </w:r>
      <w:r>
        <w:rPr>
          <w:kern w:val="0"/>
          <w:szCs w:val="24"/>
        </w:rPr>
        <w:t>pharyngeal phase (swallowing the food or fluid</w:t>
      </w:r>
      <w:r w:rsidR="005853A9">
        <w:rPr>
          <w:kern w:val="0"/>
          <w:szCs w:val="24"/>
        </w:rPr>
        <w:t xml:space="preserve"> and </w:t>
      </w:r>
      <w:r>
        <w:rPr>
          <w:kern w:val="0"/>
          <w:szCs w:val="24"/>
        </w:rPr>
        <w:t>moving it through the pharynx to the oesophagus). Populations</w:t>
      </w:r>
      <w:r w:rsidR="00427468">
        <w:rPr>
          <w:kern w:val="0"/>
          <w:szCs w:val="24"/>
        </w:rPr>
        <w:t xml:space="preserve"> of </w:t>
      </w:r>
      <w:r>
        <w:rPr>
          <w:kern w:val="0"/>
          <w:szCs w:val="24"/>
        </w:rPr>
        <w:t>children with neurological impairment who commonly experience dysphagia include, but are not limited to, those with acquired brain impairment (for example, cerebral palsy, traumatic brain injury, stroke), genetic syndromes (for example, Down syndrome, Rett syndrome)</w:t>
      </w:r>
      <w:r w:rsidR="005853A9">
        <w:rPr>
          <w:kern w:val="0"/>
          <w:szCs w:val="24"/>
        </w:rPr>
        <w:t xml:space="preserve"> and </w:t>
      </w:r>
      <w:r>
        <w:rPr>
          <w:kern w:val="0"/>
          <w:szCs w:val="24"/>
        </w:rPr>
        <w:t>degenerative conditions (for example, myotonic dystrophy). Objectives To examine the effectiveness</w:t>
      </w:r>
      <w:r w:rsidR="00427468">
        <w:rPr>
          <w:kern w:val="0"/>
          <w:szCs w:val="24"/>
        </w:rPr>
        <w:t xml:space="preserve"> of </w:t>
      </w:r>
      <w:r>
        <w:rPr>
          <w:kern w:val="0"/>
          <w:szCs w:val="24"/>
        </w:rPr>
        <w:t xml:space="preserve">interventions for oropharyngeal dysphagia in children with neurological impairment. Search methods We searched the following electronic databases in October 2011: CENTRAL 2011(3), </w:t>
      </w:r>
      <w:r w:rsidR="00D5664A">
        <w:rPr>
          <w:kern w:val="0"/>
          <w:szCs w:val="24"/>
        </w:rPr>
        <w:t>MEDLINE</w:t>
      </w:r>
      <w:r>
        <w:rPr>
          <w:kern w:val="0"/>
          <w:szCs w:val="24"/>
        </w:rPr>
        <w:t xml:space="preserve"> (1948 to September Week 4 2011), EMBASE (1980 to 2011 Week 40), CINAHL (1937 to current), ERIC (1966 to current), PsycINFO (1806 to October Week 1 2011), Science Citation Index (1970 to 7 October 2011), Social Science Citation Index (1970 to 7 October 2011), Cochrane Database</w:t>
      </w:r>
      <w:r w:rsidR="00427468">
        <w:rPr>
          <w:kern w:val="0"/>
          <w:szCs w:val="24"/>
        </w:rPr>
        <w:t xml:space="preserve"> of </w:t>
      </w:r>
      <w:r>
        <w:rPr>
          <w:kern w:val="0"/>
          <w:szCs w:val="24"/>
        </w:rPr>
        <w:t>Systematic Reviews, 2011(3), DARE 2011(3), Current Controlled Trials (ISRCTN Register) (15 October 2011), ClinicalTrials.gov (15 October 2011)</w:t>
      </w:r>
      <w:r w:rsidR="005853A9">
        <w:rPr>
          <w:kern w:val="0"/>
          <w:szCs w:val="24"/>
        </w:rPr>
        <w:t xml:space="preserve"> and </w:t>
      </w:r>
      <w:r>
        <w:rPr>
          <w:kern w:val="0"/>
          <w:szCs w:val="24"/>
        </w:rPr>
        <w:t>WHO ICTRP (15 October 2011). We searched for dissertations</w:t>
      </w:r>
      <w:r w:rsidR="005853A9">
        <w:rPr>
          <w:kern w:val="0"/>
          <w:szCs w:val="24"/>
        </w:rPr>
        <w:t xml:space="preserve"> and </w:t>
      </w:r>
      <w:r>
        <w:rPr>
          <w:kern w:val="0"/>
          <w:szCs w:val="24"/>
        </w:rPr>
        <w:t>theses using Networked Digital Library</w:t>
      </w:r>
      <w:r w:rsidR="00427468">
        <w:rPr>
          <w:kern w:val="0"/>
          <w:szCs w:val="24"/>
        </w:rPr>
        <w:t xml:space="preserve"> of </w:t>
      </w:r>
      <w:r>
        <w:rPr>
          <w:kern w:val="0"/>
          <w:szCs w:val="24"/>
        </w:rPr>
        <w:t>Theses</w:t>
      </w:r>
      <w:r w:rsidR="005853A9">
        <w:rPr>
          <w:kern w:val="0"/>
          <w:szCs w:val="24"/>
        </w:rPr>
        <w:t xml:space="preserve"> and </w:t>
      </w:r>
      <w:r>
        <w:rPr>
          <w:kern w:val="0"/>
          <w:szCs w:val="24"/>
        </w:rPr>
        <w:t>Dissertations, Australasian Digital Theses Program</w:t>
      </w:r>
      <w:r w:rsidR="005853A9">
        <w:rPr>
          <w:kern w:val="0"/>
          <w:szCs w:val="24"/>
        </w:rPr>
        <w:t xml:space="preserve"> and </w:t>
      </w:r>
      <w:r>
        <w:rPr>
          <w:kern w:val="0"/>
          <w:szCs w:val="24"/>
        </w:rPr>
        <w:t xml:space="preserve">DART-Europe E-theses Portal (11 October 2011). Finally, additional references were also obtained from reference lists from </w:t>
      </w:r>
      <w:r>
        <w:rPr>
          <w:kern w:val="0"/>
          <w:szCs w:val="24"/>
        </w:rPr>
        <w:lastRenderedPageBreak/>
        <w:t>articles. Selection criteria The review included randomised controlled trials</w:t>
      </w:r>
      <w:r w:rsidR="005853A9">
        <w:rPr>
          <w:kern w:val="0"/>
          <w:szCs w:val="24"/>
        </w:rPr>
        <w:t xml:space="preserve"> and </w:t>
      </w:r>
      <w:r>
        <w:rPr>
          <w:kern w:val="0"/>
          <w:szCs w:val="24"/>
        </w:rPr>
        <w:t>quasi-randomised controlled trials for children with oropharyngeal dysphagia</w:t>
      </w:r>
      <w:r w:rsidR="005853A9">
        <w:rPr>
          <w:kern w:val="0"/>
          <w:szCs w:val="24"/>
        </w:rPr>
        <w:t xml:space="preserve"> and </w:t>
      </w:r>
      <w:r>
        <w:rPr>
          <w:kern w:val="0"/>
          <w:szCs w:val="24"/>
        </w:rPr>
        <w:t>neurological impairment. Data collection</w:t>
      </w:r>
      <w:r w:rsidR="005853A9">
        <w:rPr>
          <w:kern w:val="0"/>
          <w:szCs w:val="24"/>
        </w:rPr>
        <w:t xml:space="preserve"> and </w:t>
      </w:r>
      <w:r>
        <w:rPr>
          <w:kern w:val="0"/>
          <w:szCs w:val="24"/>
        </w:rPr>
        <w:t>analysis All three review authors (AM, PD</w:t>
      </w:r>
      <w:r w:rsidR="005853A9">
        <w:rPr>
          <w:kern w:val="0"/>
          <w:szCs w:val="24"/>
        </w:rPr>
        <w:t xml:space="preserve"> and </w:t>
      </w:r>
      <w:r>
        <w:rPr>
          <w:kern w:val="0"/>
          <w:szCs w:val="24"/>
        </w:rPr>
        <w:t>EW) independently screened titles</w:t>
      </w:r>
      <w:r w:rsidR="005853A9">
        <w:rPr>
          <w:kern w:val="0"/>
          <w:szCs w:val="24"/>
        </w:rPr>
        <w:t xml:space="preserve"> and </w:t>
      </w:r>
      <w:r>
        <w:rPr>
          <w:kern w:val="0"/>
          <w:szCs w:val="24"/>
        </w:rPr>
        <w:t>abstracts for inclusion</w:t>
      </w:r>
      <w:r w:rsidR="005853A9">
        <w:rPr>
          <w:kern w:val="0"/>
          <w:szCs w:val="24"/>
        </w:rPr>
        <w:t xml:space="preserve"> and </w:t>
      </w:r>
      <w:r>
        <w:rPr>
          <w:kern w:val="0"/>
          <w:szCs w:val="24"/>
        </w:rPr>
        <w:t>discussed results. In cases</w:t>
      </w:r>
      <w:r w:rsidR="00427468">
        <w:rPr>
          <w:kern w:val="0"/>
          <w:szCs w:val="24"/>
        </w:rPr>
        <w:t xml:space="preserve"> of </w:t>
      </w:r>
      <w:r>
        <w:rPr>
          <w:kern w:val="0"/>
          <w:szCs w:val="24"/>
        </w:rPr>
        <w:t>uncertainty over whether an abstract met inclusion criterion, review authors obtained the full-text article</w:t>
      </w:r>
      <w:r w:rsidR="005853A9">
        <w:rPr>
          <w:kern w:val="0"/>
          <w:szCs w:val="24"/>
        </w:rPr>
        <w:t xml:space="preserve"> and </w:t>
      </w:r>
      <w:r>
        <w:rPr>
          <w:kern w:val="0"/>
          <w:szCs w:val="24"/>
        </w:rPr>
        <w:t>independently evaluated each paper for inclusion</w:t>
      </w:r>
      <w:r w:rsidR="00A37C1D">
        <w:rPr>
          <w:kern w:val="0"/>
          <w:szCs w:val="24"/>
        </w:rPr>
        <w:t>. The</w:t>
      </w:r>
      <w:r>
        <w:rPr>
          <w:kern w:val="0"/>
          <w:szCs w:val="24"/>
        </w:rPr>
        <w:t xml:space="preserve"> data were categorised for comparisons depending on the nature</w:t>
      </w:r>
      <w:r w:rsidR="00427468">
        <w:rPr>
          <w:kern w:val="0"/>
          <w:szCs w:val="24"/>
        </w:rPr>
        <w:t xml:space="preserve"> of </w:t>
      </w:r>
      <w:r>
        <w:rPr>
          <w:kern w:val="0"/>
          <w:szCs w:val="24"/>
        </w:rPr>
        <w:t>the control group (for example, oral sensorimotor treatment versus no treatment). Effectiveness</w:t>
      </w:r>
      <w:r w:rsidR="00427468">
        <w:rPr>
          <w:kern w:val="0"/>
          <w:szCs w:val="24"/>
        </w:rPr>
        <w:t xml:space="preserve"> of </w:t>
      </w:r>
      <w:r>
        <w:rPr>
          <w:kern w:val="0"/>
          <w:szCs w:val="24"/>
        </w:rPr>
        <w:t>the oropharyngeal dysphagia intervention was assessed by considering primary outcomes</w:t>
      </w:r>
      <w:r w:rsidR="00427468">
        <w:rPr>
          <w:kern w:val="0"/>
          <w:szCs w:val="24"/>
        </w:rPr>
        <w:t xml:space="preserve"> of </w:t>
      </w:r>
      <w:r>
        <w:rPr>
          <w:kern w:val="0"/>
          <w:szCs w:val="24"/>
        </w:rPr>
        <w:t>physiological functions</w:t>
      </w:r>
      <w:r w:rsidR="00427468">
        <w:rPr>
          <w:kern w:val="0"/>
          <w:szCs w:val="24"/>
        </w:rPr>
        <w:t xml:space="preserve"> of </w:t>
      </w:r>
      <w:r>
        <w:rPr>
          <w:kern w:val="0"/>
          <w:szCs w:val="24"/>
        </w:rPr>
        <w:t>the oropharyngeal mechanism for swallowing (for example, lip seal maintenance), the presence</w:t>
      </w:r>
      <w:r w:rsidR="00427468">
        <w:rPr>
          <w:kern w:val="0"/>
          <w:szCs w:val="24"/>
        </w:rPr>
        <w:t xml:space="preserve"> of </w:t>
      </w:r>
      <w:r>
        <w:rPr>
          <w:kern w:val="0"/>
          <w:szCs w:val="24"/>
        </w:rPr>
        <w:t>chest infection</w:t>
      </w:r>
      <w:r w:rsidR="005853A9">
        <w:rPr>
          <w:kern w:val="0"/>
          <w:szCs w:val="24"/>
        </w:rPr>
        <w:t xml:space="preserve"> and </w:t>
      </w:r>
      <w:r>
        <w:rPr>
          <w:kern w:val="0"/>
          <w:szCs w:val="24"/>
        </w:rPr>
        <w:t>pneumonia,</w:t>
      </w:r>
      <w:r w:rsidR="005853A9">
        <w:rPr>
          <w:kern w:val="0"/>
          <w:szCs w:val="24"/>
        </w:rPr>
        <w:t xml:space="preserve"> and </w:t>
      </w:r>
      <w:r>
        <w:rPr>
          <w:kern w:val="0"/>
          <w:szCs w:val="24"/>
        </w:rPr>
        <w:t>diet consistency a child is able to consume. Secondary outcomes were changes in growth, child</w:t>
      </w:r>
      <w:r w:rsidR="0071223E">
        <w:rPr>
          <w:kern w:val="0"/>
          <w:szCs w:val="24"/>
        </w:rPr>
        <w:t>’</w:t>
      </w:r>
      <w:r>
        <w:rPr>
          <w:kern w:val="0"/>
          <w:szCs w:val="24"/>
        </w:rPr>
        <w:t>s level</w:t>
      </w:r>
      <w:r w:rsidR="00427468">
        <w:rPr>
          <w:kern w:val="0"/>
          <w:szCs w:val="24"/>
        </w:rPr>
        <w:t xml:space="preserve"> of </w:t>
      </w:r>
      <w:r>
        <w:rPr>
          <w:kern w:val="0"/>
          <w:szCs w:val="24"/>
        </w:rPr>
        <w:t>participation in the mealtime routine</w:t>
      </w:r>
      <w:r w:rsidR="005853A9">
        <w:rPr>
          <w:kern w:val="0"/>
          <w:szCs w:val="24"/>
        </w:rPr>
        <w:t xml:space="preserve"> and </w:t>
      </w:r>
      <w:r>
        <w:rPr>
          <w:kern w:val="0"/>
          <w:szCs w:val="24"/>
        </w:rPr>
        <w:t>the level</w:t>
      </w:r>
      <w:r w:rsidR="00427468">
        <w:rPr>
          <w:kern w:val="0"/>
          <w:szCs w:val="24"/>
        </w:rPr>
        <w:t xml:space="preserve"> of </w:t>
      </w:r>
      <w:r>
        <w:rPr>
          <w:kern w:val="0"/>
          <w:szCs w:val="24"/>
        </w:rPr>
        <w:t>parent or carer stress associated with feeding. Main results Three studies met the inclusion criteria for the review. Two studies were based on oral sensorimotor interventions for participants with cerebral palsy compared to standard care</w:t>
      </w:r>
      <w:r w:rsidR="005853A9">
        <w:rPr>
          <w:kern w:val="0"/>
          <w:szCs w:val="24"/>
        </w:rPr>
        <w:t xml:space="preserve"> and </w:t>
      </w:r>
      <w:r>
        <w:rPr>
          <w:kern w:val="0"/>
          <w:szCs w:val="24"/>
        </w:rPr>
        <w:t>a third study trialled lip strengthening exercises for children with myotonic dystrophy type 1 compared to no treatment (Sjogreen 2010). A meta-analysis combining results across the three studies was not possible because one</w:t>
      </w:r>
      <w:r w:rsidR="00427468">
        <w:rPr>
          <w:kern w:val="0"/>
          <w:szCs w:val="24"/>
        </w:rPr>
        <w:t xml:space="preserve"> of </w:t>
      </w:r>
      <w:r>
        <w:rPr>
          <w:kern w:val="0"/>
          <w:szCs w:val="24"/>
        </w:rPr>
        <w:t>the studies had participants with a different condition,</w:t>
      </w:r>
      <w:r w:rsidR="005853A9">
        <w:rPr>
          <w:kern w:val="0"/>
          <w:szCs w:val="24"/>
        </w:rPr>
        <w:t xml:space="preserve"> and </w:t>
      </w:r>
      <w:r>
        <w:rPr>
          <w:kern w:val="0"/>
          <w:szCs w:val="24"/>
        </w:rPr>
        <w:t>the remaining two, although using oral sensorimotor treatments, used vastly different approaches with different intensities</w:t>
      </w:r>
      <w:r w:rsidR="005853A9">
        <w:rPr>
          <w:kern w:val="0"/>
          <w:szCs w:val="24"/>
        </w:rPr>
        <w:t xml:space="preserve"> and </w:t>
      </w:r>
      <w:r>
        <w:rPr>
          <w:kern w:val="0"/>
          <w:szCs w:val="24"/>
        </w:rPr>
        <w:t>durations</w:t>
      </w:r>
      <w:r w:rsidR="00A37C1D">
        <w:rPr>
          <w:kern w:val="0"/>
          <w:szCs w:val="24"/>
        </w:rPr>
        <w:t>. The</w:t>
      </w:r>
      <w:r>
        <w:rPr>
          <w:kern w:val="0"/>
          <w:szCs w:val="24"/>
        </w:rPr>
        <w:t xml:space="preserve"> decision not to combine these was in line with our protocol. In this review, we present the results from individual studies for four outcomes: physiological functions</w:t>
      </w:r>
      <w:r w:rsidR="00427468">
        <w:rPr>
          <w:kern w:val="0"/>
          <w:szCs w:val="24"/>
        </w:rPr>
        <w:t xml:space="preserve"> of </w:t>
      </w:r>
      <w:r>
        <w:rPr>
          <w:kern w:val="0"/>
          <w:szCs w:val="24"/>
        </w:rPr>
        <w:t>the oropharyngeal mechanism for swallowing, the presence</w:t>
      </w:r>
      <w:r w:rsidR="00427468">
        <w:rPr>
          <w:kern w:val="0"/>
          <w:szCs w:val="24"/>
        </w:rPr>
        <w:t xml:space="preserve"> of </w:t>
      </w:r>
      <w:r>
        <w:rPr>
          <w:kern w:val="0"/>
          <w:szCs w:val="24"/>
        </w:rPr>
        <w:t>chest infection</w:t>
      </w:r>
      <w:r w:rsidR="005853A9">
        <w:rPr>
          <w:kern w:val="0"/>
          <w:szCs w:val="24"/>
        </w:rPr>
        <w:t xml:space="preserve"> and </w:t>
      </w:r>
      <w:r>
        <w:rPr>
          <w:kern w:val="0"/>
          <w:szCs w:val="24"/>
        </w:rPr>
        <w:t>pneumonia, diet consistency,</w:t>
      </w:r>
      <w:r w:rsidR="005853A9">
        <w:rPr>
          <w:kern w:val="0"/>
          <w:szCs w:val="24"/>
        </w:rPr>
        <w:t xml:space="preserve"> and </w:t>
      </w:r>
      <w:r>
        <w:rPr>
          <w:kern w:val="0"/>
          <w:szCs w:val="24"/>
        </w:rPr>
        <w:t>changes in growth. However, it is not possible to reach definitive conclusions on the effectiveness</w:t>
      </w:r>
      <w:r w:rsidR="00427468">
        <w:rPr>
          <w:kern w:val="0"/>
          <w:szCs w:val="24"/>
        </w:rPr>
        <w:t xml:space="preserve"> of </w:t>
      </w:r>
      <w:r>
        <w:rPr>
          <w:kern w:val="0"/>
          <w:szCs w:val="24"/>
        </w:rPr>
        <w:t>particular interventions for oropharyngeal dysphagia based on these studies. One study had a high risk</w:t>
      </w:r>
      <w:r w:rsidR="00427468">
        <w:rPr>
          <w:kern w:val="0"/>
          <w:szCs w:val="24"/>
        </w:rPr>
        <w:t xml:space="preserve"> of </w:t>
      </w:r>
      <w:r>
        <w:rPr>
          <w:kern w:val="0"/>
          <w:szCs w:val="24"/>
        </w:rPr>
        <w:t>attrition bias owing to missing data, had statistically significant differences (in weight) across experimental</w:t>
      </w:r>
      <w:r w:rsidR="005853A9">
        <w:rPr>
          <w:kern w:val="0"/>
          <w:szCs w:val="24"/>
        </w:rPr>
        <w:t xml:space="preserve"> and </w:t>
      </w:r>
      <w:r>
        <w:rPr>
          <w:kern w:val="0"/>
          <w:szCs w:val="24"/>
        </w:rPr>
        <w:t>control groups at baseline,</w:t>
      </w:r>
      <w:r w:rsidR="005853A9">
        <w:rPr>
          <w:kern w:val="0"/>
          <w:szCs w:val="24"/>
        </w:rPr>
        <w:t xml:space="preserve"> and </w:t>
      </w:r>
      <w:r>
        <w:rPr>
          <w:kern w:val="0"/>
          <w:szCs w:val="24"/>
        </w:rPr>
        <w:t>did not describe other aspects</w:t>
      </w:r>
      <w:r w:rsidR="00427468">
        <w:rPr>
          <w:kern w:val="0"/>
          <w:szCs w:val="24"/>
        </w:rPr>
        <w:t xml:space="preserve"> of </w:t>
      </w:r>
      <w:r>
        <w:rPr>
          <w:kern w:val="0"/>
          <w:szCs w:val="24"/>
        </w:rPr>
        <w:t>the trial sufficiently to enable assessment</w:t>
      </w:r>
      <w:r w:rsidR="00427468">
        <w:rPr>
          <w:kern w:val="0"/>
          <w:szCs w:val="24"/>
        </w:rPr>
        <w:t xml:space="preserve"> of </w:t>
      </w:r>
      <w:r>
        <w:rPr>
          <w:kern w:val="0"/>
          <w:szCs w:val="24"/>
        </w:rPr>
        <w:t>other potential risks</w:t>
      </w:r>
      <w:r w:rsidR="00427468">
        <w:rPr>
          <w:kern w:val="0"/>
          <w:szCs w:val="24"/>
        </w:rPr>
        <w:t xml:space="preserve"> of </w:t>
      </w:r>
      <w:r>
        <w:rPr>
          <w:kern w:val="0"/>
          <w:szCs w:val="24"/>
        </w:rPr>
        <w:t>bias. Another study was at high risk</w:t>
      </w:r>
      <w:r w:rsidR="00427468">
        <w:rPr>
          <w:kern w:val="0"/>
          <w:szCs w:val="24"/>
        </w:rPr>
        <w:t xml:space="preserve"> of </w:t>
      </w:r>
      <w:r>
        <w:rPr>
          <w:kern w:val="0"/>
          <w:szCs w:val="24"/>
        </w:rPr>
        <w:t>detection bias as some outcomes were assessed by parents who knew whether their child was in the intervention or control group</w:t>
      </w:r>
      <w:r w:rsidR="00A37C1D">
        <w:rPr>
          <w:kern w:val="0"/>
          <w:szCs w:val="24"/>
        </w:rPr>
        <w:t>. The</w:t>
      </w:r>
      <w:r>
        <w:rPr>
          <w:kern w:val="0"/>
          <w:szCs w:val="24"/>
        </w:rPr>
        <w:t xml:space="preserve"> third study overall seemed to be at low risk</w:t>
      </w:r>
      <w:r w:rsidR="00427468">
        <w:rPr>
          <w:kern w:val="0"/>
          <w:szCs w:val="24"/>
        </w:rPr>
        <w:t xml:space="preserve"> of </w:t>
      </w:r>
      <w:r>
        <w:rPr>
          <w:kern w:val="0"/>
          <w:szCs w:val="24"/>
        </w:rPr>
        <w:t>bias, but like the other two studies, suffered from a small sample size. Authors</w:t>
      </w:r>
      <w:r w:rsidR="0071223E">
        <w:rPr>
          <w:kern w:val="0"/>
          <w:szCs w:val="24"/>
        </w:rPr>
        <w:t>’</w:t>
      </w:r>
      <w:r>
        <w:rPr>
          <w:kern w:val="0"/>
          <w:szCs w:val="24"/>
        </w:rPr>
        <w:t xml:space="preserve"> conclusions The review demonstrates that there is currently insufficient high-quality evidence from randomised controlled trials or quasi-randomised controlled trials to provide conclusive results about the effectiveness</w:t>
      </w:r>
      <w:r w:rsidR="00427468">
        <w:rPr>
          <w:kern w:val="0"/>
          <w:szCs w:val="24"/>
        </w:rPr>
        <w:t xml:space="preserve"> of </w:t>
      </w:r>
      <w:r>
        <w:rPr>
          <w:kern w:val="0"/>
          <w:szCs w:val="24"/>
        </w:rPr>
        <w:t>any particular type</w:t>
      </w:r>
      <w:r w:rsidR="00427468">
        <w:rPr>
          <w:kern w:val="0"/>
          <w:szCs w:val="24"/>
        </w:rPr>
        <w:t xml:space="preserve"> of </w:t>
      </w:r>
      <w:r>
        <w:rPr>
          <w:kern w:val="0"/>
          <w:szCs w:val="24"/>
        </w:rPr>
        <w:t>oral-motor therapy for children with neurological impairment</w:t>
      </w:r>
      <w:r w:rsidR="00A37C1D">
        <w:rPr>
          <w:kern w:val="0"/>
          <w:szCs w:val="24"/>
        </w:rPr>
        <w:t>. The</w:t>
      </w:r>
      <w:r>
        <w:rPr>
          <w:kern w:val="0"/>
          <w:szCs w:val="24"/>
        </w:rPr>
        <w:t xml:space="preserve">re is an urgent need for larger-scale (appropriately statistically powered), </w:t>
      </w:r>
      <w:r>
        <w:rPr>
          <w:kern w:val="0"/>
          <w:szCs w:val="24"/>
        </w:rPr>
        <w:lastRenderedPageBreak/>
        <w:t>randomised trials to evaluate the efficacy</w:t>
      </w:r>
      <w:r w:rsidR="00427468">
        <w:rPr>
          <w:kern w:val="0"/>
          <w:szCs w:val="24"/>
        </w:rPr>
        <w:t xml:space="preserve"> of </w:t>
      </w:r>
      <w:r>
        <w:rPr>
          <w:kern w:val="0"/>
          <w:szCs w:val="24"/>
        </w:rPr>
        <w:t>interventions for oropharyngeal dysphagia.</w:t>
      </w:r>
    </w:p>
    <w:p w:rsidR="00365DE4" w:rsidRDefault="00365DE4" w:rsidP="00365DE4">
      <w:pPr>
        <w:pStyle w:val="a3"/>
        <w:rPr>
          <w:kern w:val="0"/>
          <w:szCs w:val="24"/>
        </w:rPr>
      </w:pPr>
      <w:r>
        <w:rPr>
          <w:kern w:val="0"/>
          <w:szCs w:val="24"/>
        </w:rPr>
        <w:t xml:space="preserve">Keywords: Am, Analysis, Appliance Therapy, Assessment, Authors, Bias, Brain, Brain Injury, Care, Cerebral, Cerebral Palsy, Changes, Child, Children, Citation, Collection, Combining, Consistency, Consistent Food Presentation, Control, Control Groups, Criteria, Data, Databases, Decision, Diet, Disabled-Children, Effectiveness, Efficacy, Evidence, Exercises, Experience, Experimental, Feeding, Feeding Problems, Food, Functions, Genetic, Growth, Infection, Injury, Intervention, Interventions, Low Risk, Mechanism, </w:t>
      </w:r>
      <w:r w:rsidR="00D5664A">
        <w:rPr>
          <w:kern w:val="0"/>
          <w:szCs w:val="24"/>
        </w:rPr>
        <w:t>MEDLINE</w:t>
      </w:r>
      <w:r>
        <w:rPr>
          <w:kern w:val="0"/>
          <w:szCs w:val="24"/>
        </w:rPr>
        <w:t>, Meta-Analysis, Metaanalysis, Methods, Neurological, Oral, Outcomes, Parents, Participation, Pd, Pediatric Dysphagia, Pneumonia, Potential, Primary, Psycinfo, Quadriplegic Cerebral-Palsy, Randomised, Randomised Controlled Trials, Reference, Reference Lists, References, Review, Risk, Risks, Sample Size, Science, Science Citation Index, Search, Sensorimotor Therapy, Size, Small, Social Science Citation Index, Standard, Stress, Stroke, Stroke Patients, Syndrome, Therapy, Traumatic, Traumatic Brain Injury, Traumatic Brain-Injury, Treatment, Trial, Uncertainty</w:t>
      </w:r>
    </w:p>
    <w:p w:rsidR="00365DE4" w:rsidRDefault="00365DE4" w:rsidP="00365DE4">
      <w:pPr>
        <w:pStyle w:val="a3"/>
        <w:rPr>
          <w:kern w:val="0"/>
        </w:rPr>
      </w:pPr>
      <w:r>
        <w:rPr>
          <w:kern w:val="0"/>
        </w:rPr>
        <w:t>? Evans, J.R.</w:t>
      </w:r>
      <w:r w:rsidR="005853A9">
        <w:rPr>
          <w:kern w:val="0"/>
        </w:rPr>
        <w:t xml:space="preserve"> and </w:t>
      </w:r>
      <w:r>
        <w:rPr>
          <w:kern w:val="0"/>
        </w:rPr>
        <w:t>Lawrenson, J.G. (2012), Antioxidant vitamin</w:t>
      </w:r>
      <w:r w:rsidR="005853A9">
        <w:rPr>
          <w:kern w:val="0"/>
        </w:rPr>
        <w:t xml:space="preserve"> and </w:t>
      </w:r>
      <w:r>
        <w:rPr>
          <w:kern w:val="0"/>
        </w:rPr>
        <w:t>mineral supplements for slowing the progression</w:t>
      </w:r>
      <w:r w:rsidR="00427468">
        <w:rPr>
          <w:kern w:val="0"/>
        </w:rPr>
        <w:t xml:space="preserve"> of </w:t>
      </w:r>
      <w:r>
        <w:rPr>
          <w:kern w:val="0"/>
        </w:rPr>
        <w:t xml:space="preserve">age-related macular degeneration.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CD000254.</w:t>
      </w:r>
    </w:p>
    <w:p w:rsidR="00365DE4" w:rsidRDefault="00365DE4" w:rsidP="00365DE4">
      <w:pPr>
        <w:pStyle w:val="a3"/>
        <w:rPr>
          <w:kern w:val="2"/>
        </w:rPr>
      </w:pPr>
      <w:r>
        <w:t xml:space="preserve">Full Text: 2012\Coc Dat Sys Rev2012, </w:t>
      </w:r>
      <w:r>
        <w:rPr>
          <w:kern w:val="0"/>
        </w:rPr>
        <w:t>CD000254.pdf</w:t>
      </w:r>
    </w:p>
    <w:p w:rsidR="00365DE4" w:rsidRDefault="00365DE4" w:rsidP="00365DE4">
      <w:pPr>
        <w:pStyle w:val="a3"/>
        <w:rPr>
          <w:kern w:val="0"/>
        </w:rPr>
      </w:pPr>
      <w:r>
        <w:rPr>
          <w:kern w:val="0"/>
        </w:rPr>
        <w:t>Abstract: Background It has been proposed that antioxidants may prevent cellular damage in the retina by reacting with free radicals that are produced in the process</w:t>
      </w:r>
      <w:r w:rsidR="00427468">
        <w:rPr>
          <w:kern w:val="0"/>
        </w:rPr>
        <w:t xml:space="preserve"> of </w:t>
      </w:r>
      <w:r>
        <w:rPr>
          <w:kern w:val="0"/>
        </w:rPr>
        <w:t>light absorption. Higher dietary levels</w:t>
      </w:r>
      <w:r w:rsidR="00427468">
        <w:rPr>
          <w:kern w:val="0"/>
        </w:rPr>
        <w:t xml:space="preserve"> of </w:t>
      </w:r>
      <w:r>
        <w:rPr>
          <w:kern w:val="0"/>
        </w:rPr>
        <w:t>antioxidant vitamins</w:t>
      </w:r>
      <w:r w:rsidR="005853A9">
        <w:rPr>
          <w:kern w:val="0"/>
        </w:rPr>
        <w:t xml:space="preserve"> and </w:t>
      </w:r>
      <w:r>
        <w:rPr>
          <w:kern w:val="0"/>
        </w:rPr>
        <w:t>minerals may reduce the risk</w:t>
      </w:r>
      <w:r w:rsidR="00427468">
        <w:rPr>
          <w:kern w:val="0"/>
        </w:rPr>
        <w:t xml:space="preserve"> of </w:t>
      </w:r>
      <w:r>
        <w:rPr>
          <w:kern w:val="0"/>
        </w:rPr>
        <w:t>progression</w:t>
      </w:r>
      <w:r w:rsidR="00427468">
        <w:rPr>
          <w:kern w:val="0"/>
        </w:rPr>
        <w:t xml:space="preserve"> of </w:t>
      </w:r>
      <w:r>
        <w:rPr>
          <w:kern w:val="0"/>
        </w:rPr>
        <w:t>age-related macular degeneration (AMD). Objectives The objective</w:t>
      </w:r>
      <w:r w:rsidR="00427468">
        <w:rPr>
          <w:kern w:val="0"/>
        </w:rPr>
        <w:t xml:space="preserve"> of </w:t>
      </w:r>
      <w:r>
        <w:rPr>
          <w:kern w:val="0"/>
        </w:rPr>
        <w:t>this review was to assess the effects</w:t>
      </w:r>
      <w:r w:rsidR="00427468">
        <w:rPr>
          <w:kern w:val="0"/>
        </w:rPr>
        <w:t xml:space="preserve"> of </w:t>
      </w:r>
      <w:r>
        <w:rPr>
          <w:kern w:val="0"/>
        </w:rPr>
        <w:t>antioxidant vitamin or mineral supplementation on the progression</w:t>
      </w:r>
      <w:r w:rsidR="00427468">
        <w:rPr>
          <w:kern w:val="0"/>
        </w:rPr>
        <w:t xml:space="preserve"> of </w:t>
      </w:r>
      <w:r>
        <w:rPr>
          <w:kern w:val="0"/>
        </w:rPr>
        <w:t>AMD in people with AMD. Search methods We searched CENTRAL (which contains the Cochrane Eyes</w:t>
      </w:r>
      <w:r w:rsidR="005853A9">
        <w:rPr>
          <w:kern w:val="0"/>
        </w:rPr>
        <w:t xml:space="preserve"> and </w:t>
      </w:r>
      <w:r>
        <w:rPr>
          <w:kern w:val="0"/>
        </w:rPr>
        <w:t xml:space="preserve">Vision Group Trials Register) (The Cochrane Library 2012, Issue 8),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OLD</w:t>
      </w:r>
      <w:r w:rsidR="00D5664A">
        <w:rPr>
          <w:kern w:val="0"/>
        </w:rPr>
        <w:t>MEDLINE</w:t>
      </w:r>
      <w:r>
        <w:rPr>
          <w:kern w:val="0"/>
        </w:rPr>
        <w:t xml:space="preserve"> (January 1946 to August 2012), EMBASE (January 1980 to August 2012), Allied</w:t>
      </w:r>
      <w:r w:rsidR="005853A9">
        <w:rPr>
          <w:kern w:val="0"/>
        </w:rPr>
        <w:t xml:space="preserve"> and </w:t>
      </w:r>
      <w:r>
        <w:rPr>
          <w:kern w:val="0"/>
        </w:rPr>
        <w:t>Complementary Medicine Database (AMED) (January 1985 to August 2012), OpenGrey (System for Information on Grey Literature in Europe) (www.opengrey.eu/),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 We did not use any date or language restrictions in the electronic searches for trials. We last searched the electronic databases on 20 August 2012. We searched the reference lists</w:t>
      </w:r>
      <w:r w:rsidR="00427468">
        <w:rPr>
          <w:kern w:val="0"/>
        </w:rPr>
        <w:t xml:space="preserve"> of </w:t>
      </w:r>
      <w:r>
        <w:rPr>
          <w:kern w:val="0"/>
        </w:rPr>
        <w:t>identified reports</w:t>
      </w:r>
      <w:r w:rsidR="005853A9">
        <w:rPr>
          <w:kern w:val="0"/>
        </w:rPr>
        <w:t xml:space="preserve"> and </w:t>
      </w:r>
      <w:r>
        <w:rPr>
          <w:kern w:val="0"/>
        </w:rPr>
        <w:t>the Science Citation Index. We contacted investigators</w:t>
      </w:r>
      <w:r w:rsidR="005853A9">
        <w:rPr>
          <w:kern w:val="0"/>
        </w:rPr>
        <w:t xml:space="preserve"> and </w:t>
      </w:r>
      <w:r>
        <w:rPr>
          <w:kern w:val="0"/>
        </w:rPr>
        <w:t xml:space="preserve">experts in the </w:t>
      </w:r>
      <w:r>
        <w:rPr>
          <w:kern w:val="0"/>
        </w:rPr>
        <w:lastRenderedPageBreak/>
        <w:t>field for details</w:t>
      </w:r>
      <w:r w:rsidR="00427468">
        <w:rPr>
          <w:kern w:val="0"/>
        </w:rPr>
        <w:t xml:space="preserve"> of </w:t>
      </w:r>
      <w:r>
        <w:rPr>
          <w:kern w:val="0"/>
        </w:rPr>
        <w:t>unpublished studies. We also searched for systematic reviews</w:t>
      </w:r>
      <w:r w:rsidR="00427468">
        <w:rPr>
          <w:kern w:val="0"/>
        </w:rPr>
        <w:t xml:space="preserve"> of </w:t>
      </w:r>
      <w:r>
        <w:rPr>
          <w:kern w:val="0"/>
        </w:rPr>
        <w:t>harms</w:t>
      </w:r>
      <w:r w:rsidR="00427468">
        <w:rPr>
          <w:kern w:val="0"/>
        </w:rPr>
        <w:t xml:space="preserve"> of </w:t>
      </w:r>
      <w:r>
        <w:rPr>
          <w:kern w:val="0"/>
        </w:rPr>
        <w:t>vitamin supplements. Selection criteria We included randomised trials comparing antioxidant vitamin or mineral supplementation (alone or in combination) to placebo or no intervention in people with AMD. Data collection</w:t>
      </w:r>
      <w:r w:rsidR="005853A9">
        <w:rPr>
          <w:kern w:val="0"/>
        </w:rPr>
        <w:t xml:space="preserve"> and </w:t>
      </w:r>
      <w:r>
        <w:rPr>
          <w:kern w:val="0"/>
        </w:rPr>
        <w:t>analysis Two authors assessed risk</w:t>
      </w:r>
      <w:r w:rsidR="00427468">
        <w:rPr>
          <w:kern w:val="0"/>
        </w:rPr>
        <w:t xml:space="preserve"> of </w:t>
      </w:r>
      <w:r>
        <w:rPr>
          <w:kern w:val="0"/>
        </w:rPr>
        <w:t>bias</w:t>
      </w:r>
      <w:r w:rsidR="005853A9">
        <w:rPr>
          <w:kern w:val="0"/>
        </w:rPr>
        <w:t xml:space="preserve"> and </w:t>
      </w:r>
      <w:r>
        <w:rPr>
          <w:kern w:val="0"/>
        </w:rPr>
        <w:t xml:space="preserve">extracted data from the included trials. Where appropriate, we pooled data using a random-effects model unless three or fewer trials were available in which case we used a fixed-effect model. Main results Thirteen trials (6150 participants) were included in this review. Over half the participants (3640) were randomised in one trial (AREDS in the </w:t>
      </w:r>
      <w:r w:rsidR="00D5664A">
        <w:rPr>
          <w:kern w:val="0"/>
        </w:rPr>
        <w:t>USA</w:t>
      </w:r>
      <w:r>
        <w:rPr>
          <w:kern w:val="0"/>
        </w:rPr>
        <w:t>), which found a beneficial effect</w:t>
      </w:r>
      <w:r w:rsidR="00427468">
        <w:rPr>
          <w:kern w:val="0"/>
        </w:rPr>
        <w:t xml:space="preserve"> of </w:t>
      </w:r>
      <w:r>
        <w:rPr>
          <w:kern w:val="0"/>
        </w:rPr>
        <w:t>antioxidant (beta-carotene, vitamin C</w:t>
      </w:r>
      <w:r w:rsidR="005853A9">
        <w:rPr>
          <w:kern w:val="0"/>
        </w:rPr>
        <w:t xml:space="preserve"> and </w:t>
      </w:r>
      <w:r>
        <w:rPr>
          <w:kern w:val="0"/>
        </w:rPr>
        <w:t>vitamin E)</w:t>
      </w:r>
      <w:r w:rsidR="005853A9">
        <w:rPr>
          <w:kern w:val="0"/>
        </w:rPr>
        <w:t xml:space="preserve"> and </w:t>
      </w:r>
      <w:r>
        <w:rPr>
          <w:kern w:val="0"/>
        </w:rPr>
        <w:t>zinc supplementation on progression to advanced AMD (adjusted odds ratio (OR) 0.68, 95% confidence interval (CI) 0.53 to 0.87) over an average</w:t>
      </w:r>
      <w:r w:rsidR="00427468">
        <w:rPr>
          <w:kern w:val="0"/>
        </w:rPr>
        <w:t xml:space="preserve"> of </w:t>
      </w:r>
      <w:r>
        <w:rPr>
          <w:kern w:val="0"/>
        </w:rPr>
        <w:t>6.3 years. People taking supplements were less likely to lose 15 or more letters</w:t>
      </w:r>
      <w:r w:rsidR="00427468">
        <w:rPr>
          <w:kern w:val="0"/>
        </w:rPr>
        <w:t xml:space="preserve"> of </w:t>
      </w:r>
      <w:r>
        <w:rPr>
          <w:kern w:val="0"/>
        </w:rPr>
        <w:t>visual acuity (adjusted OR 0.77, 95% CI 0.62 to 0.96)</w:t>
      </w:r>
      <w:r w:rsidR="00A37C1D">
        <w:rPr>
          <w:kern w:val="0"/>
        </w:rPr>
        <w:t>. The</w:t>
      </w:r>
      <w:r>
        <w:rPr>
          <w:kern w:val="0"/>
        </w:rPr>
        <w:t xml:space="preserve"> other trials, in general, had shorter follow-up (less than two years). No evidence for an effect</w:t>
      </w:r>
      <w:r w:rsidR="00427468">
        <w:rPr>
          <w:kern w:val="0"/>
        </w:rPr>
        <w:t xml:space="preserve"> of </w:t>
      </w:r>
      <w:r>
        <w:rPr>
          <w:kern w:val="0"/>
        </w:rPr>
        <w:t>supplementation was seen in these smaller trials</w:t>
      </w:r>
      <w:r w:rsidR="00427468">
        <w:rPr>
          <w:kern w:val="0"/>
        </w:rPr>
        <w:t xml:space="preserve"> of </w:t>
      </w:r>
      <w:r>
        <w:rPr>
          <w:kern w:val="0"/>
        </w:rPr>
        <w:t>shorter duration. Overall we considered the strength</w:t>
      </w:r>
      <w:r w:rsidR="00427468">
        <w:rPr>
          <w:kern w:val="0"/>
        </w:rPr>
        <w:t xml:space="preserve"> of </w:t>
      </w:r>
      <w:r>
        <w:rPr>
          <w:kern w:val="0"/>
        </w:rPr>
        <w:t>the evidence to be moderate. We did not consider included trials, in general, to be at risk</w:t>
      </w:r>
      <w:r w:rsidR="00427468">
        <w:rPr>
          <w:kern w:val="0"/>
        </w:rPr>
        <w:t xml:space="preserve"> of </w:t>
      </w:r>
      <w:r>
        <w:rPr>
          <w:kern w:val="0"/>
        </w:rPr>
        <w:t>bias, although we found it difficult to assess reporting biases</w:t>
      </w:r>
      <w:r w:rsidR="00A37C1D">
        <w:rPr>
          <w:kern w:val="0"/>
        </w:rPr>
        <w:t>. The</w:t>
      </w:r>
      <w:r>
        <w:rPr>
          <w:kern w:val="0"/>
        </w:rPr>
        <w:t xml:space="preserve"> main reason for downgrading the strength</w:t>
      </w:r>
      <w:r w:rsidR="00427468">
        <w:rPr>
          <w:kern w:val="0"/>
        </w:rPr>
        <w:t xml:space="preserve"> of </w:t>
      </w:r>
      <w:r>
        <w:rPr>
          <w:kern w:val="0"/>
        </w:rPr>
        <w:t>the evidence was because, for several analyses, only one trial was included</w:t>
      </w:r>
      <w:r w:rsidR="005853A9">
        <w:rPr>
          <w:kern w:val="0"/>
        </w:rPr>
        <w:t xml:space="preserve"> and </w:t>
      </w:r>
      <w:r>
        <w:rPr>
          <w:kern w:val="0"/>
        </w:rPr>
        <w:t>therefore consistency</w:t>
      </w:r>
      <w:r w:rsidR="00427468">
        <w:rPr>
          <w:kern w:val="0"/>
        </w:rPr>
        <w:t xml:space="preserve"> of </w:t>
      </w:r>
      <w:r>
        <w:rPr>
          <w:kern w:val="0"/>
        </w:rPr>
        <w:t>the findings could not be assessed</w:t>
      </w:r>
      <w:r w:rsidR="00A37C1D">
        <w:rPr>
          <w:kern w:val="0"/>
        </w:rPr>
        <w:t>. The</w:t>
      </w:r>
      <w:r>
        <w:rPr>
          <w:kern w:val="0"/>
        </w:rPr>
        <w:t xml:space="preserve"> included trials reported the following adverse effects: hospitalisation for genito-urinary problems was more common in people taking zinc</w:t>
      </w:r>
      <w:r w:rsidR="005853A9">
        <w:rPr>
          <w:kern w:val="0"/>
        </w:rPr>
        <w:t xml:space="preserve"> and </w:t>
      </w:r>
      <w:r>
        <w:rPr>
          <w:kern w:val="0"/>
        </w:rPr>
        <w:t>yellowing</w:t>
      </w:r>
      <w:r w:rsidR="00427468">
        <w:rPr>
          <w:kern w:val="0"/>
        </w:rPr>
        <w:t xml:space="preserve"> of </w:t>
      </w:r>
      <w:r>
        <w:rPr>
          <w:kern w:val="0"/>
        </w:rPr>
        <w:t>skin was more common in people taking antioxidants. Systematic searching</w:t>
      </w:r>
      <w:r w:rsidR="00427468">
        <w:rPr>
          <w:kern w:val="0"/>
        </w:rPr>
        <w:t xml:space="preserve"> of </w:t>
      </w:r>
      <w:r>
        <w:rPr>
          <w:kern w:val="0"/>
        </w:rPr>
        <w:t>the literature identified other potential harms</w:t>
      </w:r>
      <w:r w:rsidR="00427468">
        <w:rPr>
          <w:kern w:val="0"/>
        </w:rPr>
        <w:t xml:space="preserve"> of </w:t>
      </w:r>
      <w:r>
        <w:rPr>
          <w:kern w:val="0"/>
        </w:rPr>
        <w:t>vitamin supplementation, in particular an increased risk</w:t>
      </w:r>
      <w:r w:rsidR="00427468">
        <w:rPr>
          <w:kern w:val="0"/>
        </w:rPr>
        <w:t xml:space="preserve"> of </w:t>
      </w:r>
      <w:r>
        <w:rPr>
          <w:kern w:val="0"/>
        </w:rPr>
        <w:t>lung cancer in smokers associated with beta-carotene supplements, but we were unable to identify a good systematic review</w:t>
      </w:r>
      <w:r w:rsidR="00427468">
        <w:rPr>
          <w:kern w:val="0"/>
        </w:rPr>
        <w:t xml:space="preserve"> of </w:t>
      </w:r>
      <w:r>
        <w:rPr>
          <w:kern w:val="0"/>
        </w:rPr>
        <w:t>the evidence for harms</w:t>
      </w:r>
      <w:r w:rsidR="00427468">
        <w:rPr>
          <w:kern w:val="0"/>
        </w:rPr>
        <w:t xml:space="preserve"> of </w:t>
      </w:r>
      <w:r>
        <w:rPr>
          <w:kern w:val="0"/>
        </w:rPr>
        <w:t>nutritional supplementation. Authors</w:t>
      </w:r>
      <w:r w:rsidR="0071223E">
        <w:rPr>
          <w:kern w:val="0"/>
        </w:rPr>
        <w:t>’</w:t>
      </w:r>
      <w:r>
        <w:rPr>
          <w:kern w:val="0"/>
        </w:rPr>
        <w:t xml:space="preserve"> conclusions People with AMD may experience delay in progression</w:t>
      </w:r>
      <w:r w:rsidR="00427468">
        <w:rPr>
          <w:kern w:val="0"/>
        </w:rPr>
        <w:t xml:space="preserve"> of </w:t>
      </w:r>
      <w:r>
        <w:rPr>
          <w:kern w:val="0"/>
        </w:rPr>
        <w:t>the disease with antioxidant vitamin</w:t>
      </w:r>
      <w:r w:rsidR="005853A9">
        <w:rPr>
          <w:kern w:val="0"/>
        </w:rPr>
        <w:t xml:space="preserve"> and </w:t>
      </w:r>
      <w:r>
        <w:rPr>
          <w:kern w:val="0"/>
        </w:rPr>
        <w:t>mineral supplementation. This finding is drawn from one large trial conducted in a relatively well-nourished American population</w:t>
      </w:r>
      <w:r w:rsidR="00A37C1D">
        <w:rPr>
          <w:kern w:val="0"/>
        </w:rPr>
        <w:t>. The</w:t>
      </w:r>
      <w:r>
        <w:rPr>
          <w:kern w:val="0"/>
        </w:rPr>
        <w:t xml:space="preserve"> generalisability</w:t>
      </w:r>
      <w:r w:rsidR="00427468">
        <w:rPr>
          <w:kern w:val="0"/>
        </w:rPr>
        <w:t xml:space="preserve"> of </w:t>
      </w:r>
      <w:r>
        <w:rPr>
          <w:kern w:val="0"/>
        </w:rPr>
        <w:t>these findings to other populations is not known. Although generally regarded as safe, vitamin supplements may have harmful effects. A systematic review</w:t>
      </w:r>
      <w:r w:rsidR="00427468">
        <w:rPr>
          <w:kern w:val="0"/>
        </w:rPr>
        <w:t xml:space="preserve"> of </w:t>
      </w:r>
      <w:r>
        <w:rPr>
          <w:kern w:val="0"/>
        </w:rPr>
        <w:t>the evidence on harms</w:t>
      </w:r>
      <w:r w:rsidR="00427468">
        <w:rPr>
          <w:kern w:val="0"/>
        </w:rPr>
        <w:t xml:space="preserve"> of </w:t>
      </w:r>
      <w:r>
        <w:rPr>
          <w:kern w:val="0"/>
        </w:rPr>
        <w:t>vitamin supplements is needed.</w:t>
      </w:r>
    </w:p>
    <w:p w:rsidR="00365DE4" w:rsidRDefault="00365DE4" w:rsidP="00365DE4">
      <w:pPr>
        <w:pStyle w:val="a3"/>
        <w:rPr>
          <w:kern w:val="0"/>
        </w:rPr>
      </w:pPr>
      <w:r>
        <w:rPr>
          <w:kern w:val="0"/>
        </w:rPr>
        <w:t xml:space="preserve">Keywords: Absorption, Adverse Effects, Aged, Analyses, Analysis, Antioxidant, Antioxidants, Antioxidants [Therapeutic Use], Authors, Beta Carotene, Beta-Carotene, Bias, Cancer, Citation, Citations, Clinical Trials, Clinical-Trial, Collection, Confidence, Consistency, Criteria, Damage, Data, Data Collection, Databases, Dietary Supplementation, Dietary Supplements, Disease, Duration, Effects, Europe, Evidence, Experience, Experts, Eye Disease, Field, Follow-Up, Free </w:t>
      </w:r>
      <w:r>
        <w:rPr>
          <w:kern w:val="0"/>
        </w:rPr>
        <w:lastRenderedPageBreak/>
        <w:t xml:space="preserve">Radicals, General, Grey Literature, Humans, Interval, Intervention, Language, Literature, Lung, Lung Cancer, Lutein Supplementation, Macular Degeneration [Prevention &amp; Control], Medicine, </w:t>
      </w:r>
      <w:r w:rsidR="00D5664A">
        <w:rPr>
          <w:kern w:val="0"/>
        </w:rPr>
        <w:t>MEDLINE</w:t>
      </w:r>
      <w:r>
        <w:rPr>
          <w:kern w:val="0"/>
        </w:rPr>
        <w:t xml:space="preserve">, Methods, Minerals, Minerals [Therapeutic Use], Model, Odds Ratio, Oral Zinc, Pigment Optical-Density, Placebo, Population, Populations, Potential, Random Effects Model, Randomised, Randomized Controlled Trials As Topic, Randomized Controlled-Trials, Reference, Reference Lists, Reporting, Restrictions, Review, Reviews, Risk, Science, Science Citation Index, Search, Serum Concentrations, Skin, Strength, Systematic Review, Systematic Reviews, Trial, </w:t>
      </w:r>
      <w:r w:rsidR="00D5664A">
        <w:rPr>
          <w:kern w:val="0"/>
        </w:rPr>
        <w:t>USA</w:t>
      </w:r>
      <w:r>
        <w:rPr>
          <w:kern w:val="0"/>
        </w:rPr>
        <w:t>, Vitamin C, Vitamin E, Vitamins [Therapeutic Use], Zeaxanthin, Zinc</w:t>
      </w:r>
    </w:p>
    <w:p w:rsidR="00365DE4" w:rsidRDefault="00365DE4" w:rsidP="00365DE4">
      <w:pPr>
        <w:pStyle w:val="a3"/>
        <w:rPr>
          <w:kern w:val="0"/>
        </w:rPr>
      </w:pPr>
      <w:r>
        <w:rPr>
          <w:kern w:val="0"/>
        </w:rPr>
        <w:t>? Onwuezobe, I.A., Oshun, P.O.</w:t>
      </w:r>
      <w:r w:rsidR="005853A9">
        <w:rPr>
          <w:kern w:val="0"/>
        </w:rPr>
        <w:t xml:space="preserve"> and </w:t>
      </w:r>
      <w:r>
        <w:rPr>
          <w:kern w:val="0"/>
        </w:rPr>
        <w:t xml:space="preserve">Odigwe, C.C. (2012), Antimicrobials for treating symptomatic non-typhoidal Salmonella infection.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11</w:t>
      </w:r>
      <w:r>
        <w:rPr>
          <w:kern w:val="0"/>
        </w:rPr>
        <w:t>, Article Number: CD001167.</w:t>
      </w:r>
    </w:p>
    <w:p w:rsidR="00365DE4" w:rsidRDefault="00365DE4" w:rsidP="00365DE4">
      <w:pPr>
        <w:pStyle w:val="a3"/>
        <w:rPr>
          <w:kern w:val="2"/>
        </w:rPr>
      </w:pPr>
      <w:r>
        <w:t xml:space="preserve">Full Text: 2012\Coc Dat Sys Rev2012, </w:t>
      </w:r>
      <w:r>
        <w:rPr>
          <w:kern w:val="0"/>
        </w:rPr>
        <w:t>CD001167.pdf</w:t>
      </w:r>
    </w:p>
    <w:p w:rsidR="00365DE4" w:rsidRDefault="00365DE4" w:rsidP="00365DE4">
      <w:pPr>
        <w:pStyle w:val="a3"/>
        <w:rPr>
          <w:kern w:val="0"/>
        </w:rPr>
      </w:pPr>
      <w:r>
        <w:rPr>
          <w:kern w:val="0"/>
        </w:rPr>
        <w:t>Abstract: Background Non-typhoidal Salmonella (NTS) commonly causes diarrhoea,</w:t>
      </w:r>
      <w:r w:rsidR="005853A9">
        <w:rPr>
          <w:kern w:val="0"/>
        </w:rPr>
        <w:t xml:space="preserve"> and </w:t>
      </w:r>
      <w:r>
        <w:rPr>
          <w:kern w:val="0"/>
        </w:rPr>
        <w:t>is usually self-limiting, although sometimes people become ill with sepsis</w:t>
      </w:r>
      <w:r w:rsidR="005853A9">
        <w:rPr>
          <w:kern w:val="0"/>
        </w:rPr>
        <w:t xml:space="preserve"> and </w:t>
      </w:r>
      <w:r>
        <w:rPr>
          <w:kern w:val="0"/>
        </w:rPr>
        <w:t>dehydration. Routine antibiotic use for this infection could result in persistent colonization</w:t>
      </w:r>
      <w:r w:rsidR="005853A9">
        <w:rPr>
          <w:kern w:val="0"/>
        </w:rPr>
        <w:t xml:space="preserve"> and </w:t>
      </w:r>
      <w:r>
        <w:rPr>
          <w:kern w:val="0"/>
        </w:rPr>
        <w:t>the spread</w:t>
      </w:r>
      <w:r w:rsidR="00427468">
        <w:rPr>
          <w:kern w:val="0"/>
        </w:rPr>
        <w:t xml:space="preserve"> of </w:t>
      </w:r>
      <w:r>
        <w:rPr>
          <w:kern w:val="0"/>
        </w:rPr>
        <w:t>resistant bacterial strains. Objectives To assess the efficacy</w:t>
      </w:r>
      <w:r w:rsidR="005853A9">
        <w:rPr>
          <w:kern w:val="0"/>
        </w:rPr>
        <w:t xml:space="preserve"> and </w:t>
      </w:r>
      <w:r>
        <w:rPr>
          <w:kern w:val="0"/>
        </w:rPr>
        <w:t>safety</w:t>
      </w:r>
      <w:r w:rsidR="00427468">
        <w:rPr>
          <w:kern w:val="0"/>
        </w:rPr>
        <w:t xml:space="preserve"> of </w:t>
      </w:r>
      <w:r>
        <w:rPr>
          <w:kern w:val="0"/>
        </w:rPr>
        <w:t>giving antibiotics to people with NTS diarrhoea. Search methods We searched the Cochrane Infectious Diseases Group trials register (up to August 2012), the Cochrane Controlled Trials Register (CENTRAL) published in The Cochrane Library (up to Issue 8 2012);</w:t>
      </w:r>
      <w:r w:rsidR="005853A9">
        <w:rPr>
          <w:kern w:val="0"/>
        </w:rPr>
        <w:t xml:space="preserve"> and </w:t>
      </w:r>
      <w:r w:rsidR="00D5664A">
        <w:rPr>
          <w:kern w:val="0"/>
        </w:rPr>
        <w:t>MEDLINE</w:t>
      </w:r>
      <w:r>
        <w:rPr>
          <w:kern w:val="0"/>
        </w:rPr>
        <w:t>, African Index Medicus, CINAHL, EMBASE, LILACS,</w:t>
      </w:r>
      <w:r w:rsidR="005853A9">
        <w:rPr>
          <w:kern w:val="0"/>
        </w:rPr>
        <w:t xml:space="preserve"> and </w:t>
      </w:r>
      <w:r>
        <w:rPr>
          <w:kern w:val="0"/>
        </w:rPr>
        <w:t>the Science Citation Index, all up to 6 August 2012. We also searched the metaRegister</w:t>
      </w:r>
      <w:r w:rsidR="00427468">
        <w:rPr>
          <w:kern w:val="0"/>
        </w:rPr>
        <w:t xml:space="preserve"> of </w:t>
      </w:r>
      <w:r>
        <w:rPr>
          <w:kern w:val="0"/>
        </w:rPr>
        <w:t>Controlled Trials (mRCT) for both completed</w:t>
      </w:r>
      <w:r w:rsidR="005853A9">
        <w:rPr>
          <w:kern w:val="0"/>
        </w:rPr>
        <w:t xml:space="preserve"> and </w:t>
      </w:r>
      <w:r>
        <w:rPr>
          <w:kern w:val="0"/>
        </w:rPr>
        <w:t>on going trials</w:t>
      </w:r>
      <w:r w:rsidR="005853A9">
        <w:rPr>
          <w:kern w:val="0"/>
        </w:rPr>
        <w:t xml:space="preserve"> and </w:t>
      </w:r>
      <w:r>
        <w:rPr>
          <w:kern w:val="0"/>
        </w:rPr>
        <w:t>reference lists</w:t>
      </w:r>
      <w:r w:rsidR="00427468">
        <w:rPr>
          <w:kern w:val="0"/>
        </w:rPr>
        <w:t xml:space="preserve"> of </w:t>
      </w:r>
      <w:r>
        <w:rPr>
          <w:kern w:val="0"/>
        </w:rPr>
        <w:t>relevant articles. Selection criteria Randomized controlled trials (RCTs) comparing any antibiotic treatment for diarrhoea caused by NTS species with placebo or no antibiotic treatment. We selected trials that included people</w:t>
      </w:r>
      <w:r w:rsidR="00427468">
        <w:rPr>
          <w:kern w:val="0"/>
        </w:rPr>
        <w:t xml:space="preserve"> of </w:t>
      </w:r>
      <w:r>
        <w:rPr>
          <w:kern w:val="0"/>
        </w:rPr>
        <w:t>all ages who were symptomatic for NTS infection. Examples</w:t>
      </w:r>
      <w:r w:rsidR="00427468">
        <w:rPr>
          <w:kern w:val="0"/>
        </w:rPr>
        <w:t xml:space="preserve"> of </w:t>
      </w:r>
      <w:r>
        <w:rPr>
          <w:kern w:val="0"/>
        </w:rPr>
        <w:t>symptoms included fever, abdominal pain, vomiting</w:t>
      </w:r>
      <w:r w:rsidR="005853A9">
        <w:rPr>
          <w:kern w:val="0"/>
        </w:rPr>
        <w:t xml:space="preserve"> and </w:t>
      </w:r>
      <w:r>
        <w:rPr>
          <w:kern w:val="0"/>
        </w:rPr>
        <w:t>diarrhoea. We excluded trials where the outcomes were not reported separately for the NTS subgroup</w:t>
      </w:r>
      <w:r w:rsidR="00427468">
        <w:rPr>
          <w:kern w:val="0"/>
        </w:rPr>
        <w:t xml:space="preserve"> of </w:t>
      </w:r>
      <w:r>
        <w:rPr>
          <w:kern w:val="0"/>
        </w:rPr>
        <w:t>patients. Two review authors independently applied eligibility criteria prior to study inclusion. Data collection</w:t>
      </w:r>
      <w:r w:rsidR="005853A9">
        <w:rPr>
          <w:kern w:val="0"/>
        </w:rPr>
        <w:t xml:space="preserve"> and </w:t>
      </w:r>
      <w:r>
        <w:rPr>
          <w:kern w:val="0"/>
        </w:rPr>
        <w:t>analysis Two review authors independently extracted data on pre-specified outcomes</w:t>
      </w:r>
      <w:r w:rsidR="005853A9">
        <w:rPr>
          <w:kern w:val="0"/>
        </w:rPr>
        <w:t xml:space="preserve"> and </w:t>
      </w:r>
      <w:r>
        <w:rPr>
          <w:kern w:val="0"/>
        </w:rPr>
        <w:t>independently assessed the risk</w:t>
      </w:r>
      <w:r w:rsidR="00427468">
        <w:rPr>
          <w:kern w:val="0"/>
        </w:rPr>
        <w:t xml:space="preserve"> of </w:t>
      </w:r>
      <w:r>
        <w:rPr>
          <w:kern w:val="0"/>
        </w:rPr>
        <w:t>bias</w:t>
      </w:r>
      <w:r w:rsidR="00427468">
        <w:rPr>
          <w:kern w:val="0"/>
        </w:rPr>
        <w:t xml:space="preserve"> of </w:t>
      </w:r>
      <w:r>
        <w:rPr>
          <w:kern w:val="0"/>
        </w:rPr>
        <w:t>included studies</w:t>
      </w:r>
      <w:r w:rsidR="00A37C1D">
        <w:rPr>
          <w:kern w:val="0"/>
        </w:rPr>
        <w:t>. The</w:t>
      </w:r>
      <w:r>
        <w:rPr>
          <w:kern w:val="0"/>
        </w:rPr>
        <w:t xml:space="preserve"> primary outcome was the presence</w:t>
      </w:r>
      <w:r w:rsidR="00427468">
        <w:rPr>
          <w:kern w:val="0"/>
        </w:rPr>
        <w:t xml:space="preserve"> of </w:t>
      </w:r>
      <w:r>
        <w:rPr>
          <w:kern w:val="0"/>
        </w:rPr>
        <w:t>diarrhoea between two to four days after treatment</w:t>
      </w:r>
      <w:r w:rsidR="00A37C1D">
        <w:rPr>
          <w:kern w:val="0"/>
        </w:rPr>
        <w:t>. The</w:t>
      </w:r>
      <w:r>
        <w:rPr>
          <w:kern w:val="0"/>
        </w:rPr>
        <w:t xml:space="preserve"> quality</w:t>
      </w:r>
      <w:r w:rsidR="00427468">
        <w:rPr>
          <w:kern w:val="0"/>
        </w:rPr>
        <w:t xml:space="preserve"> of </w:t>
      </w:r>
      <w:r>
        <w:rPr>
          <w:kern w:val="0"/>
        </w:rPr>
        <w:t>evidence was assessed using the GRADE methods. Main results Twelve trials involving 767 participants were included. No differences were detected between the antibiotic</w:t>
      </w:r>
      <w:r w:rsidR="005853A9">
        <w:rPr>
          <w:kern w:val="0"/>
        </w:rPr>
        <w:t xml:space="preserve"> and </w:t>
      </w:r>
      <w:r>
        <w:rPr>
          <w:kern w:val="0"/>
        </w:rPr>
        <w:t xml:space="preserve">placebo/no treatment arms for people with diarrhoea at two to four days after treatment (risk ratio (RR) 1.75, 95% confidence interval (CI) 0.42 to 7.21; one trial, </w:t>
      </w:r>
      <w:r>
        <w:rPr>
          <w:kern w:val="0"/>
        </w:rPr>
        <w:lastRenderedPageBreak/>
        <w:t>46 participants; very low quality evidence). No difference was detected for the presence</w:t>
      </w:r>
      <w:r w:rsidR="00427468">
        <w:rPr>
          <w:kern w:val="0"/>
        </w:rPr>
        <w:t xml:space="preserve"> of </w:t>
      </w:r>
      <w:r>
        <w:rPr>
          <w:kern w:val="0"/>
        </w:rPr>
        <w:t>diarrhoea at five to seven days after treatment (RR 0.83, 95% CI 0.62 to 1.12; two trials, 192 participants; very low quality evidence), clinical failure (RR 0.88, 95% CI 0.62 to 1.25; seven trials, 440 participants; very low quality evidence)</w:t>
      </w:r>
      <w:r w:rsidR="00A37C1D">
        <w:rPr>
          <w:kern w:val="0"/>
        </w:rPr>
        <w:t>. The</w:t>
      </w:r>
      <w:r>
        <w:rPr>
          <w:kern w:val="0"/>
        </w:rPr>
        <w:t xml:space="preserve"> mean difference for diarrhoea was 0 days (95% CI similar to 0.54 to 0.54; 202 participants, four studies; low quality evidence); for fever was 0.27 days (95% CI similar to 0.11 to 0.65; 107 participants, two studies; very low quality evidence);</w:t>
      </w:r>
      <w:r w:rsidR="005853A9">
        <w:rPr>
          <w:kern w:val="0"/>
        </w:rPr>
        <w:t xml:space="preserve"> and </w:t>
      </w:r>
      <w:r>
        <w:rPr>
          <w:kern w:val="0"/>
        </w:rPr>
        <w:t>for duration</w:t>
      </w:r>
      <w:r w:rsidR="00427468">
        <w:rPr>
          <w:kern w:val="0"/>
        </w:rPr>
        <w:t xml:space="preserve"> of </w:t>
      </w:r>
      <w:r>
        <w:rPr>
          <w:kern w:val="0"/>
        </w:rPr>
        <w:t>illness was 0 days (95% CI similar to 0.68 to 0.68; 116 participants, two studies; very low quality evidence). Quinolone antibiotic treatment resulted in a significantly higher number</w:t>
      </w:r>
      <w:r w:rsidR="00427468">
        <w:rPr>
          <w:kern w:val="0"/>
        </w:rPr>
        <w:t xml:space="preserve"> of </w:t>
      </w:r>
      <w:r>
        <w:rPr>
          <w:kern w:val="0"/>
        </w:rPr>
        <w:t>negative stool cultures for NTS during the first week</w:t>
      </w:r>
      <w:r w:rsidR="00427468">
        <w:rPr>
          <w:kern w:val="0"/>
        </w:rPr>
        <w:t xml:space="preserve"> of </w:t>
      </w:r>
      <w:r>
        <w:rPr>
          <w:kern w:val="0"/>
        </w:rPr>
        <w:t>treatment (microbiological failure: RR 0.33, 95% CI 0.20 to 0.56; 166 participants, four trials). Antibiotic treatment meant passage</w:t>
      </w:r>
      <w:r w:rsidR="00427468">
        <w:rPr>
          <w:kern w:val="0"/>
        </w:rPr>
        <w:t xml:space="preserve"> of </w:t>
      </w:r>
      <w:r>
        <w:rPr>
          <w:kern w:val="0"/>
        </w:rPr>
        <w:t>the same Salmonella serovar one month after treatment was almost twice as likely (RR 1.96, 95% CI 1.29 to 2.98; 112 participants, three trials), which was statistically significant. Non-severe adverse drug reactions were more common among the patients who received antibiotic treatment. Authors</w:t>
      </w:r>
      <w:r w:rsidR="0071223E">
        <w:rPr>
          <w:kern w:val="0"/>
        </w:rPr>
        <w:t>’</w:t>
      </w:r>
      <w:r>
        <w:rPr>
          <w:kern w:val="0"/>
        </w:rPr>
        <w:t xml:space="preserve"> conclusions There is no evidence</w:t>
      </w:r>
      <w:r w:rsidR="00427468">
        <w:rPr>
          <w:kern w:val="0"/>
        </w:rPr>
        <w:t xml:space="preserve"> of </w:t>
      </w:r>
      <w:r>
        <w:rPr>
          <w:kern w:val="0"/>
        </w:rPr>
        <w:t>benefit for antibiotics in NTS diarrhoea in otherwise healthy people. We are uncertain</w:t>
      </w:r>
      <w:r w:rsidR="00427468">
        <w:rPr>
          <w:kern w:val="0"/>
        </w:rPr>
        <w:t xml:space="preserve"> of </w:t>
      </w:r>
      <w:r>
        <w:rPr>
          <w:kern w:val="0"/>
        </w:rPr>
        <w:t>the effects in very young people, very old people,</w:t>
      </w:r>
      <w:r w:rsidR="005853A9">
        <w:rPr>
          <w:kern w:val="0"/>
        </w:rPr>
        <w:t xml:space="preserve"> and </w:t>
      </w:r>
      <w:r>
        <w:rPr>
          <w:kern w:val="0"/>
        </w:rPr>
        <w:t>in people with severe</w:t>
      </w:r>
      <w:r w:rsidR="005853A9">
        <w:rPr>
          <w:kern w:val="0"/>
        </w:rPr>
        <w:t xml:space="preserve"> and </w:t>
      </w:r>
      <w:r>
        <w:rPr>
          <w:kern w:val="0"/>
        </w:rPr>
        <w:t>extraintestinal disease. A slightly higher number</w:t>
      </w:r>
      <w:r w:rsidR="00427468">
        <w:rPr>
          <w:kern w:val="0"/>
        </w:rPr>
        <w:t xml:space="preserve"> of </w:t>
      </w:r>
      <w:r>
        <w:rPr>
          <w:kern w:val="0"/>
        </w:rPr>
        <w:t>adverse events were noted in people who received antibiotic treatment for NTS.</w:t>
      </w:r>
    </w:p>
    <w:p w:rsidR="00365DE4" w:rsidRDefault="00365DE4" w:rsidP="00365DE4">
      <w:pPr>
        <w:pStyle w:val="a3"/>
        <w:rPr>
          <w:kern w:val="0"/>
        </w:rPr>
      </w:pPr>
      <w:r>
        <w:rPr>
          <w:kern w:val="0"/>
        </w:rPr>
        <w:t xml:space="preserve">Keywords: Abdominal, Acute Bacterial Diarrhea, Acute Gastroenteritis, Adult, Adverse Drug Reactions, Analysis, Anti-Bacterial Agents [Therapeutic Use], Antibiotics, Authors, Bias, Child, Children, Ciprofloxacin Resistance, Citation, Clinical, Clinical-Trial, Collection, Colonization, Confidence, Criteria, Data, Data Collection, Dehydration, Diarrhea [Drug Therapy], Diarrhoea, Disease, Double-Blind, Drug, Duration, Effects, Efficacy, Empirical-Treatment, Events, Evidence, Failure, Fever, First, Gastroenteritis [Drug Therapy], Gastrointestinal Diseases [Drug Therapy], Humans, Infant, Infection, Interval, </w:t>
      </w:r>
      <w:r w:rsidR="00D5664A">
        <w:rPr>
          <w:kern w:val="0"/>
        </w:rPr>
        <w:t>MEDLINE</w:t>
      </w:r>
      <w:r>
        <w:rPr>
          <w:kern w:val="0"/>
        </w:rPr>
        <w:t>, Methods, Nontyphi Salmonella, Outcome, Outcomes, Pain, Patients, Placebo, Preschool, Primary, Quality, Quality Of, Randomized Controlled Trials, Reference, Reference Lists, Review, Risk, Safety, Salmonella, Salmonella Infections [Drug Therapy], Salmonella Paratyphi A, Salmonella Typhi, Science, Science Citation Index, Search, Sepsis, Species, Symptoms, Travelers Diarrhea, Treatment, Trial, Vomiting</w:t>
      </w:r>
    </w:p>
    <w:p w:rsidR="00365DE4" w:rsidRDefault="00365DE4" w:rsidP="00365DE4">
      <w:pPr>
        <w:pStyle w:val="a3"/>
        <w:rPr>
          <w:kern w:val="0"/>
        </w:rPr>
      </w:pPr>
      <w:r>
        <w:rPr>
          <w:kern w:val="0"/>
        </w:rPr>
        <w:t>? Dobson, D., Lucassen, P.L.B.J., Miller, J.J., Vlieger, A.M., Prescott, P.</w:t>
      </w:r>
      <w:r w:rsidR="005853A9">
        <w:rPr>
          <w:kern w:val="0"/>
        </w:rPr>
        <w:t xml:space="preserve"> and </w:t>
      </w:r>
      <w:r>
        <w:rPr>
          <w:kern w:val="0"/>
        </w:rPr>
        <w:t xml:space="preserve">Lewith, G. (2012), Manipulative therapies for infantile colic.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CD004796.</w:t>
      </w:r>
    </w:p>
    <w:p w:rsidR="00365DE4" w:rsidRDefault="00365DE4" w:rsidP="00365DE4">
      <w:pPr>
        <w:pStyle w:val="a3"/>
        <w:rPr>
          <w:kern w:val="2"/>
        </w:rPr>
      </w:pPr>
      <w:r>
        <w:t>Full Text: 2012\Coc Dat Sys Rev2012, CD004796.pdf</w:t>
      </w:r>
    </w:p>
    <w:p w:rsidR="00365DE4" w:rsidRDefault="00365DE4" w:rsidP="00365DE4">
      <w:pPr>
        <w:pStyle w:val="a3"/>
        <w:rPr>
          <w:kern w:val="0"/>
        </w:rPr>
      </w:pPr>
      <w:r>
        <w:rPr>
          <w:kern w:val="0"/>
        </w:rPr>
        <w:t>Abstract: Background Infantile colic is a common disorder, affecting around one in six families,</w:t>
      </w:r>
      <w:r w:rsidR="005853A9">
        <w:rPr>
          <w:kern w:val="0"/>
        </w:rPr>
        <w:t xml:space="preserve"> and </w:t>
      </w:r>
      <w:r>
        <w:rPr>
          <w:kern w:val="0"/>
        </w:rPr>
        <w:t>in 2001 was reported to cost the UK National Health Service in excess</w:t>
      </w:r>
      <w:r w:rsidR="00427468">
        <w:rPr>
          <w:kern w:val="0"/>
        </w:rPr>
        <w:t xml:space="preserve"> </w:t>
      </w:r>
      <w:r w:rsidR="00427468">
        <w:rPr>
          <w:kern w:val="0"/>
        </w:rPr>
        <w:lastRenderedPageBreak/>
        <w:t xml:space="preserve">of </w:t>
      </w:r>
      <w:r>
        <w:rPr>
          <w:kern w:val="0"/>
        </w:rPr>
        <w:t>65 pound million per year (Morris 2001). Although it usually remits by six months</w:t>
      </w:r>
      <w:r w:rsidR="00427468">
        <w:rPr>
          <w:kern w:val="0"/>
        </w:rPr>
        <w:t xml:space="preserve"> of </w:t>
      </w:r>
      <w:r>
        <w:rPr>
          <w:kern w:val="0"/>
        </w:rPr>
        <w:t>age, there is some evidence</w:t>
      </w:r>
      <w:r w:rsidR="00427468">
        <w:rPr>
          <w:kern w:val="0"/>
        </w:rPr>
        <w:t xml:space="preserve"> of </w:t>
      </w:r>
      <w:r>
        <w:rPr>
          <w:kern w:val="0"/>
        </w:rPr>
        <w:t>longer-term sequelae for both children</w:t>
      </w:r>
      <w:r w:rsidR="005853A9">
        <w:rPr>
          <w:kern w:val="0"/>
        </w:rPr>
        <w:t xml:space="preserve"> and </w:t>
      </w:r>
      <w:r>
        <w:rPr>
          <w:kern w:val="0"/>
        </w:rPr>
        <w:t>parents. Manipulative therapies, such as chiropractic</w:t>
      </w:r>
      <w:r w:rsidR="005853A9">
        <w:rPr>
          <w:kern w:val="0"/>
        </w:rPr>
        <w:t xml:space="preserve"> and </w:t>
      </w:r>
      <w:r>
        <w:rPr>
          <w:kern w:val="0"/>
        </w:rPr>
        <w:t>osteopathy, have been suggested as interventions to reduce the severity</w:t>
      </w:r>
      <w:r w:rsidR="00427468">
        <w:rPr>
          <w:kern w:val="0"/>
        </w:rPr>
        <w:t xml:space="preserve"> of </w:t>
      </w:r>
      <w:r>
        <w:rPr>
          <w:kern w:val="0"/>
        </w:rPr>
        <w:t>symptoms. Objectives To evaluate the results</w:t>
      </w:r>
      <w:r w:rsidR="00427468">
        <w:rPr>
          <w:kern w:val="0"/>
        </w:rPr>
        <w:t xml:space="preserve"> of </w:t>
      </w:r>
      <w:r>
        <w:rPr>
          <w:kern w:val="0"/>
        </w:rPr>
        <w:t>studies designed to address efficacy or effectiveness</w:t>
      </w:r>
      <w:r w:rsidR="00427468">
        <w:rPr>
          <w:kern w:val="0"/>
        </w:rPr>
        <w:t xml:space="preserve"> of </w:t>
      </w:r>
      <w:r>
        <w:rPr>
          <w:kern w:val="0"/>
        </w:rPr>
        <w:t>manipulative therapies (specifically, chiropractic, osteopathy</w:t>
      </w:r>
      <w:r w:rsidR="005853A9">
        <w:rPr>
          <w:kern w:val="0"/>
        </w:rPr>
        <w:t xml:space="preserve"> and </w:t>
      </w:r>
      <w:r>
        <w:rPr>
          <w:kern w:val="0"/>
        </w:rPr>
        <w:t>cranial manipulation) for infantile colic in infants less than six months</w:t>
      </w:r>
      <w:r w:rsidR="00427468">
        <w:rPr>
          <w:kern w:val="0"/>
        </w:rPr>
        <w:t xml:space="preserve"> of </w:t>
      </w:r>
      <w:r>
        <w:rPr>
          <w:kern w:val="0"/>
        </w:rPr>
        <w:t xml:space="preserve">age. Search methods We searched following databases: CENTRAL (2012, Issue 4), </w:t>
      </w:r>
      <w:r w:rsidR="00D5664A">
        <w:rPr>
          <w:kern w:val="0"/>
        </w:rPr>
        <w:t>MEDLINE</w:t>
      </w:r>
      <w:r>
        <w:rPr>
          <w:kern w:val="0"/>
        </w:rPr>
        <w:t xml:space="preserve"> (1948 to April Week 3 2012), EMBASE (1980 to 2012 Week 17), CINAHL (1938 to April 2012), PsycINFO (1806 to April 2012), Science Citation Index (1970 to April 2012), Social Science Citation Index (1970 to April 2012), Conference Proceedings Citation Index - Science (1990 to April 2012)</w:t>
      </w:r>
      <w:r w:rsidR="005853A9">
        <w:rPr>
          <w:kern w:val="0"/>
        </w:rPr>
        <w:t xml:space="preserve"> and </w:t>
      </w:r>
      <w:r>
        <w:rPr>
          <w:kern w:val="0"/>
        </w:rPr>
        <w:t>Conference Proceedings Citation Index - Social Science &amp; Humanities (1970 to April 2012). We also searched all available years</w:t>
      </w:r>
      <w:r w:rsidR="00427468">
        <w:rPr>
          <w:kern w:val="0"/>
        </w:rPr>
        <w:t xml:space="preserve"> of </w:t>
      </w:r>
      <w:r>
        <w:rPr>
          <w:kern w:val="0"/>
        </w:rPr>
        <w:t>LILACS, PEDro, ZETOC, WorldCat, TROVE, DART-Europe, ClinicalTrials.gov</w:t>
      </w:r>
      <w:r w:rsidR="005853A9">
        <w:rPr>
          <w:kern w:val="0"/>
        </w:rPr>
        <w:t xml:space="preserve"> and </w:t>
      </w:r>
      <w:r>
        <w:rPr>
          <w:kern w:val="0"/>
        </w:rPr>
        <w:t>ICTRP (May 2012),</w:t>
      </w:r>
      <w:r w:rsidR="005853A9">
        <w:rPr>
          <w:kern w:val="0"/>
        </w:rPr>
        <w:t xml:space="preserve"> and </w:t>
      </w:r>
      <w:r>
        <w:rPr>
          <w:kern w:val="0"/>
        </w:rPr>
        <w:t>contacted over 90 chiropractic</w:t>
      </w:r>
      <w:r w:rsidR="005853A9">
        <w:rPr>
          <w:kern w:val="0"/>
        </w:rPr>
        <w:t xml:space="preserve"> and </w:t>
      </w:r>
      <w:r>
        <w:rPr>
          <w:kern w:val="0"/>
        </w:rPr>
        <w:t>osteopathic institutions around the world. In addition, we searched CentreWatch, NRR Archive</w:t>
      </w:r>
      <w:r w:rsidR="005853A9">
        <w:rPr>
          <w:kern w:val="0"/>
        </w:rPr>
        <w:t xml:space="preserve"> and </w:t>
      </w:r>
      <w:r>
        <w:rPr>
          <w:kern w:val="0"/>
        </w:rPr>
        <w:t>UKCRN in December 2010. Selection criteria Randomised trials evaluating the effect</w:t>
      </w:r>
      <w:r w:rsidR="00427468">
        <w:rPr>
          <w:kern w:val="0"/>
        </w:rPr>
        <w:t xml:space="preserve"> of </w:t>
      </w:r>
      <w:r>
        <w:rPr>
          <w:kern w:val="0"/>
        </w:rPr>
        <w:t>chiropractic, osteopathy or cranial osteopathy alone or in conjunction with other interventions for the treatment</w:t>
      </w:r>
      <w:r w:rsidR="00427468">
        <w:rPr>
          <w:kern w:val="0"/>
        </w:rPr>
        <w:t xml:space="preserve"> of </w:t>
      </w:r>
      <w:r>
        <w:rPr>
          <w:kern w:val="0"/>
        </w:rPr>
        <w:t>infantile colic. Data collection</w:t>
      </w:r>
      <w:r w:rsidR="005853A9">
        <w:rPr>
          <w:kern w:val="0"/>
        </w:rPr>
        <w:t xml:space="preserve"> and </w:t>
      </w:r>
      <w:r>
        <w:rPr>
          <w:kern w:val="0"/>
        </w:rPr>
        <w:t>analysis In pairs, five</w:t>
      </w:r>
      <w:r w:rsidR="00427468">
        <w:rPr>
          <w:kern w:val="0"/>
        </w:rPr>
        <w:t xml:space="preserve"> of </w:t>
      </w:r>
      <w:r>
        <w:rPr>
          <w:kern w:val="0"/>
        </w:rPr>
        <w:t>the review authors (a) assessed the eligibility</w:t>
      </w:r>
      <w:r w:rsidR="00427468">
        <w:rPr>
          <w:kern w:val="0"/>
        </w:rPr>
        <w:t xml:space="preserve"> of </w:t>
      </w:r>
      <w:r>
        <w:rPr>
          <w:kern w:val="0"/>
        </w:rPr>
        <w:t>studies against the inclusion criteria, (b) extracted data from the included studies</w:t>
      </w:r>
      <w:r w:rsidR="005853A9">
        <w:rPr>
          <w:kern w:val="0"/>
        </w:rPr>
        <w:t xml:space="preserve"> and </w:t>
      </w:r>
      <w:r>
        <w:rPr>
          <w:kern w:val="0"/>
        </w:rPr>
        <w:t>(c) assessed the risk</w:t>
      </w:r>
      <w:r w:rsidR="00427468">
        <w:rPr>
          <w:kern w:val="0"/>
        </w:rPr>
        <w:t xml:space="preserve"> of </w:t>
      </w:r>
      <w:r>
        <w:rPr>
          <w:kern w:val="0"/>
        </w:rPr>
        <w:t>bias for all included studies. Each article or study was assessed independently by two review authors. One review author entered the data into Review Manager software</w:t>
      </w:r>
      <w:r w:rsidR="005853A9">
        <w:rPr>
          <w:kern w:val="0"/>
        </w:rPr>
        <w:t xml:space="preserve"> and </w:t>
      </w:r>
      <w:r>
        <w:rPr>
          <w:kern w:val="0"/>
        </w:rPr>
        <w:t>the team</w:t>
      </w:r>
      <w:r w:rsidR="0071223E">
        <w:rPr>
          <w:kern w:val="0"/>
        </w:rPr>
        <w:t>’</w:t>
      </w:r>
      <w:r>
        <w:rPr>
          <w:kern w:val="0"/>
        </w:rPr>
        <w:t>s statistician (PP) reviewed the chosen analytical settings. Main results We identified six studies for inclusion in our review, representing a total</w:t>
      </w:r>
      <w:r w:rsidR="00427468">
        <w:rPr>
          <w:kern w:val="0"/>
        </w:rPr>
        <w:t xml:space="preserve"> of </w:t>
      </w:r>
      <w:r>
        <w:rPr>
          <w:kern w:val="0"/>
        </w:rPr>
        <w:t>325 infants</w:t>
      </w:r>
      <w:r w:rsidR="00A37C1D">
        <w:rPr>
          <w:kern w:val="0"/>
        </w:rPr>
        <w:t>. The</w:t>
      </w:r>
      <w:r>
        <w:rPr>
          <w:kern w:val="0"/>
        </w:rPr>
        <w:t>re were three further studies that we could not find information about</w:t>
      </w:r>
      <w:r w:rsidR="005853A9">
        <w:rPr>
          <w:kern w:val="0"/>
        </w:rPr>
        <w:t xml:space="preserve"> and </w:t>
      </w:r>
      <w:r>
        <w:rPr>
          <w:kern w:val="0"/>
        </w:rPr>
        <w:t>we identified three other ongoing studies.</w:t>
      </w:r>
      <w:r w:rsidR="00427468">
        <w:rPr>
          <w:kern w:val="0"/>
        </w:rPr>
        <w:t xml:space="preserve"> of </w:t>
      </w:r>
      <w:r>
        <w:rPr>
          <w:kern w:val="0"/>
        </w:rPr>
        <w:t>the six included studies, five were suggestive</w:t>
      </w:r>
      <w:r w:rsidR="00427468">
        <w:rPr>
          <w:kern w:val="0"/>
        </w:rPr>
        <w:t xml:space="preserve"> of </w:t>
      </w:r>
      <w:r>
        <w:rPr>
          <w:kern w:val="0"/>
        </w:rPr>
        <w:t>a beneficial effect</w:t>
      </w:r>
      <w:r w:rsidR="005853A9">
        <w:rPr>
          <w:kern w:val="0"/>
        </w:rPr>
        <w:t xml:space="preserve"> and </w:t>
      </w:r>
      <w:r>
        <w:rPr>
          <w:kern w:val="0"/>
        </w:rPr>
        <w:t>one found no evidence that manipulative therapies had any beneficial effect on the natural course</w:t>
      </w:r>
      <w:r w:rsidR="00427468">
        <w:rPr>
          <w:kern w:val="0"/>
        </w:rPr>
        <w:t xml:space="preserve"> of </w:t>
      </w:r>
      <w:r>
        <w:rPr>
          <w:kern w:val="0"/>
        </w:rPr>
        <w:t>infantile colic. Tests for heterogeneity imply that there may be some underlying difference between this study</w:t>
      </w:r>
      <w:r w:rsidR="005853A9">
        <w:rPr>
          <w:kern w:val="0"/>
        </w:rPr>
        <w:t xml:space="preserve"> and </w:t>
      </w:r>
      <w:r>
        <w:rPr>
          <w:kern w:val="0"/>
        </w:rPr>
        <w:t>the other five. Five studies measured daily hours</w:t>
      </w:r>
      <w:r w:rsidR="00427468">
        <w:rPr>
          <w:kern w:val="0"/>
        </w:rPr>
        <w:t xml:space="preserve"> of </w:t>
      </w:r>
      <w:r>
        <w:rPr>
          <w:kern w:val="0"/>
        </w:rPr>
        <w:t>crying</w:t>
      </w:r>
      <w:r w:rsidR="005853A9">
        <w:rPr>
          <w:kern w:val="0"/>
        </w:rPr>
        <w:t xml:space="preserve"> and </w:t>
      </w:r>
      <w:r>
        <w:rPr>
          <w:kern w:val="0"/>
        </w:rPr>
        <w:t>these data were combined, suggesting that manipulative therapies had a significant effect on infant colic - reducing average crying time by one hour</w:t>
      </w:r>
      <w:r w:rsidR="005853A9">
        <w:rPr>
          <w:kern w:val="0"/>
        </w:rPr>
        <w:t xml:space="preserve"> and </w:t>
      </w:r>
      <w:r>
        <w:rPr>
          <w:kern w:val="0"/>
        </w:rPr>
        <w:t>12 minutes per day (mean difference (MD) -1.20; 95% confidence interval (CI) -1.89 to -0.51). This conclusion is sustained even when considering only studies with a low risk</w:t>
      </w:r>
      <w:r w:rsidR="00427468">
        <w:rPr>
          <w:kern w:val="0"/>
        </w:rPr>
        <w:t xml:space="preserve"> of </w:t>
      </w:r>
      <w:r>
        <w:rPr>
          <w:kern w:val="0"/>
        </w:rPr>
        <w:t>selection bias (sequence generation</w:t>
      </w:r>
      <w:r w:rsidR="005853A9">
        <w:rPr>
          <w:kern w:val="0"/>
        </w:rPr>
        <w:t xml:space="preserve"> and </w:t>
      </w:r>
      <w:r>
        <w:rPr>
          <w:kern w:val="0"/>
        </w:rPr>
        <w:t>allocation concealment) (MD -1.24; 95% CI -2.16 to -0.33); those with a low risk</w:t>
      </w:r>
      <w:r w:rsidR="00427468">
        <w:rPr>
          <w:kern w:val="0"/>
        </w:rPr>
        <w:t xml:space="preserve"> of </w:t>
      </w:r>
      <w:r>
        <w:rPr>
          <w:kern w:val="0"/>
        </w:rPr>
        <w:t>attrition bias (MD -1.95; 95% CI -2.96 to -0.94), or only those studies that have been published in the peer-reviewed literature (MD -1.01; 95% CI -1.78 to -0.24). However, when combining only those studies with a low risk</w:t>
      </w:r>
      <w:r w:rsidR="00427468">
        <w:rPr>
          <w:kern w:val="0"/>
        </w:rPr>
        <w:t xml:space="preserve"> </w:t>
      </w:r>
      <w:r w:rsidR="00427468">
        <w:rPr>
          <w:kern w:val="0"/>
        </w:rPr>
        <w:lastRenderedPageBreak/>
        <w:t xml:space="preserve">of </w:t>
      </w:r>
      <w:r>
        <w:rPr>
          <w:kern w:val="0"/>
        </w:rPr>
        <w:t xml:space="preserve">performance bias (parental </w:t>
      </w:r>
      <w:r w:rsidR="0071223E">
        <w:rPr>
          <w:kern w:val="0"/>
        </w:rPr>
        <w:t>‘</w:t>
      </w:r>
      <w:r>
        <w:rPr>
          <w:kern w:val="0"/>
        </w:rPr>
        <w:t>blinding</w:t>
      </w:r>
      <w:r w:rsidR="0071223E">
        <w:rPr>
          <w:kern w:val="0"/>
        </w:rPr>
        <w:t>’</w:t>
      </w:r>
      <w:r>
        <w:rPr>
          <w:kern w:val="0"/>
        </w:rPr>
        <w:t>), the improvement in daily crying hours was not statistically significant (MD -0.57; 95% CI -2.24 to 1.09). One study considered whether the reduction in crying time was clinically significant. This found that a greater proportion</w:t>
      </w:r>
      <w:r w:rsidR="00427468">
        <w:rPr>
          <w:kern w:val="0"/>
        </w:rPr>
        <w:t xml:space="preserve"> of </w:t>
      </w:r>
      <w:r>
        <w:rPr>
          <w:kern w:val="0"/>
        </w:rPr>
        <w:t>parents</w:t>
      </w:r>
      <w:r w:rsidR="00427468">
        <w:rPr>
          <w:kern w:val="0"/>
        </w:rPr>
        <w:t xml:space="preserve"> of </w:t>
      </w:r>
      <w:r>
        <w:rPr>
          <w:kern w:val="0"/>
        </w:rPr>
        <w:t>infants receiving a manipulative therapy reported clinically significant improvements than did parents</w:t>
      </w:r>
      <w:r w:rsidR="00427468">
        <w:rPr>
          <w:kern w:val="0"/>
        </w:rPr>
        <w:t xml:space="preserve"> of </w:t>
      </w:r>
      <w:r>
        <w:rPr>
          <w:kern w:val="0"/>
        </w:rPr>
        <w:t>those receiving no treatment (reduction in crying to less than two hours: odds ratio (OR) 6.33; 95% CI 1.54 to 26.00; more than 30% reduction in crying: OR 3.70; 95% CI 1.15 to 11.86). Analysis</w:t>
      </w:r>
      <w:r w:rsidR="00427468">
        <w:rPr>
          <w:kern w:val="0"/>
        </w:rPr>
        <w:t xml:space="preserve"> of </w:t>
      </w:r>
      <w:r>
        <w:rPr>
          <w:kern w:val="0"/>
        </w:rPr>
        <w:t xml:space="preserve">data from three studies that measured </w:t>
      </w:r>
      <w:r w:rsidR="0071223E">
        <w:rPr>
          <w:kern w:val="0"/>
        </w:rPr>
        <w:t>‘</w:t>
      </w:r>
      <w:r>
        <w:rPr>
          <w:kern w:val="0"/>
        </w:rPr>
        <w:t>full recovery</w:t>
      </w:r>
      <w:r w:rsidR="0071223E">
        <w:rPr>
          <w:kern w:val="0"/>
        </w:rPr>
        <w:t>’</w:t>
      </w:r>
      <w:r>
        <w:rPr>
          <w:kern w:val="0"/>
        </w:rPr>
        <w:t xml:space="preserve"> from colic as reported by parents found that manipulative therapies did not result in significantly higher proportions</w:t>
      </w:r>
      <w:r w:rsidR="00427468">
        <w:rPr>
          <w:kern w:val="0"/>
        </w:rPr>
        <w:t xml:space="preserve"> of </w:t>
      </w:r>
      <w:r>
        <w:rPr>
          <w:kern w:val="0"/>
        </w:rPr>
        <w:t>parents reporting recovery (OR 11.12; 95% CI 0.46 to 267.52). One study measured infant sleeping time</w:t>
      </w:r>
      <w:r w:rsidR="005853A9">
        <w:rPr>
          <w:kern w:val="0"/>
        </w:rPr>
        <w:t xml:space="preserve"> and </w:t>
      </w:r>
      <w:r>
        <w:rPr>
          <w:kern w:val="0"/>
        </w:rPr>
        <w:t>found manipulative therapy resulted in statistically significant improvement (MD 1.17; 95% CI 0.22 to 2.12)</w:t>
      </w:r>
      <w:r w:rsidR="00A37C1D">
        <w:rPr>
          <w:kern w:val="0"/>
        </w:rPr>
        <w:t>. The</w:t>
      </w:r>
      <w:r>
        <w:rPr>
          <w:kern w:val="0"/>
        </w:rPr>
        <w:t xml:space="preserve"> quality</w:t>
      </w:r>
      <w:r w:rsidR="00427468">
        <w:rPr>
          <w:kern w:val="0"/>
        </w:rPr>
        <w:t xml:space="preserve"> of </w:t>
      </w:r>
      <w:r>
        <w:rPr>
          <w:kern w:val="0"/>
        </w:rPr>
        <w:t>the studies was variable</w:t>
      </w:r>
      <w:r w:rsidR="00A37C1D">
        <w:rPr>
          <w:kern w:val="0"/>
        </w:rPr>
        <w:t>. The</w:t>
      </w:r>
      <w:r>
        <w:rPr>
          <w:kern w:val="0"/>
        </w:rPr>
        <w:t>re was a generally low risk</w:t>
      </w:r>
      <w:r w:rsidR="00427468">
        <w:rPr>
          <w:kern w:val="0"/>
        </w:rPr>
        <w:t xml:space="preserve"> of </w:t>
      </w:r>
      <w:r>
        <w:rPr>
          <w:kern w:val="0"/>
        </w:rPr>
        <w:t>selection bias but only two</w:t>
      </w:r>
      <w:r w:rsidR="00427468">
        <w:rPr>
          <w:kern w:val="0"/>
        </w:rPr>
        <w:t xml:space="preserve"> of </w:t>
      </w:r>
      <w:r>
        <w:rPr>
          <w:kern w:val="0"/>
        </w:rPr>
        <w:t>the six studies were evaluated as being at low risk</w:t>
      </w:r>
      <w:r w:rsidR="00427468">
        <w:rPr>
          <w:kern w:val="0"/>
        </w:rPr>
        <w:t xml:space="preserve"> of </w:t>
      </w:r>
      <w:r>
        <w:rPr>
          <w:kern w:val="0"/>
        </w:rPr>
        <w:t>performance bias, three at low risk</w:t>
      </w:r>
      <w:r w:rsidR="00427468">
        <w:rPr>
          <w:kern w:val="0"/>
        </w:rPr>
        <w:t xml:space="preserve"> of </w:t>
      </w:r>
      <w:r>
        <w:rPr>
          <w:kern w:val="0"/>
        </w:rPr>
        <w:t>detection bias</w:t>
      </w:r>
      <w:r w:rsidR="005853A9">
        <w:rPr>
          <w:kern w:val="0"/>
        </w:rPr>
        <w:t xml:space="preserve"> and </w:t>
      </w:r>
      <w:r>
        <w:rPr>
          <w:kern w:val="0"/>
        </w:rPr>
        <w:t>one at low risk</w:t>
      </w:r>
      <w:r w:rsidR="00427468">
        <w:rPr>
          <w:kern w:val="0"/>
        </w:rPr>
        <w:t xml:space="preserve"> of </w:t>
      </w:r>
      <w:r>
        <w:rPr>
          <w:kern w:val="0"/>
        </w:rPr>
        <w:t>attrition bias. One</w:t>
      </w:r>
      <w:r w:rsidR="00427468">
        <w:rPr>
          <w:kern w:val="0"/>
        </w:rPr>
        <w:t xml:space="preserve"> of </w:t>
      </w:r>
      <w:r>
        <w:rPr>
          <w:kern w:val="0"/>
        </w:rPr>
        <w:t>the studies recorded adverse events</w:t>
      </w:r>
      <w:r w:rsidR="005853A9">
        <w:rPr>
          <w:kern w:val="0"/>
        </w:rPr>
        <w:t xml:space="preserve"> and </w:t>
      </w:r>
      <w:r>
        <w:rPr>
          <w:kern w:val="0"/>
        </w:rPr>
        <w:t>none were encountered. However, with only a sample</w:t>
      </w:r>
      <w:r w:rsidR="00427468">
        <w:rPr>
          <w:kern w:val="0"/>
        </w:rPr>
        <w:t xml:space="preserve"> of </w:t>
      </w:r>
      <w:r>
        <w:rPr>
          <w:kern w:val="0"/>
        </w:rPr>
        <w:t>325 infants, we have too few data to reach any definitive conclusions about safety. Authors</w:t>
      </w:r>
      <w:r w:rsidR="0071223E">
        <w:rPr>
          <w:kern w:val="0"/>
        </w:rPr>
        <w:t>’</w:t>
      </w:r>
      <w:r>
        <w:rPr>
          <w:kern w:val="0"/>
        </w:rPr>
        <w:t xml:space="preserve"> conclusions The studies included in this meta-analysis were generally small</w:t>
      </w:r>
      <w:r w:rsidR="005853A9">
        <w:rPr>
          <w:kern w:val="0"/>
        </w:rPr>
        <w:t xml:space="preserve"> and </w:t>
      </w:r>
      <w:r>
        <w:rPr>
          <w:kern w:val="0"/>
        </w:rPr>
        <w:t>methodologically prone to bias, which makes it impossible to arrive at a definitive conclusion about the effectiveness</w:t>
      </w:r>
      <w:r w:rsidR="00427468">
        <w:rPr>
          <w:kern w:val="0"/>
        </w:rPr>
        <w:t xml:space="preserve"> of </w:t>
      </w:r>
      <w:r>
        <w:rPr>
          <w:kern w:val="0"/>
        </w:rPr>
        <w:t>manipulative therapies for infantile colic</w:t>
      </w:r>
      <w:r w:rsidR="00A37C1D">
        <w:rPr>
          <w:kern w:val="0"/>
        </w:rPr>
        <w:t>. The</w:t>
      </w:r>
      <w:r>
        <w:rPr>
          <w:kern w:val="0"/>
        </w:rPr>
        <w:t xml:space="preserve"> majority</w:t>
      </w:r>
      <w:r w:rsidR="00427468">
        <w:rPr>
          <w:kern w:val="0"/>
        </w:rPr>
        <w:t xml:space="preserve"> of </w:t>
      </w:r>
      <w:r>
        <w:rPr>
          <w:kern w:val="0"/>
        </w:rPr>
        <w:t>the included trials appeared to indicate that the parents</w:t>
      </w:r>
      <w:r w:rsidR="00427468">
        <w:rPr>
          <w:kern w:val="0"/>
        </w:rPr>
        <w:t xml:space="preserve"> of </w:t>
      </w:r>
      <w:r>
        <w:rPr>
          <w:kern w:val="0"/>
        </w:rPr>
        <w:t>infants receiving manipulative therapies reported fewer hours crying per day than parents whose infants did not, based on contemporaneous crying diaries,</w:t>
      </w:r>
      <w:r w:rsidR="005853A9">
        <w:rPr>
          <w:kern w:val="0"/>
        </w:rPr>
        <w:t xml:space="preserve"> and </w:t>
      </w:r>
      <w:r>
        <w:rPr>
          <w:kern w:val="0"/>
        </w:rPr>
        <w:t>this difference was statistically significant</w:t>
      </w:r>
      <w:r w:rsidR="00A37C1D">
        <w:rPr>
          <w:kern w:val="0"/>
        </w:rPr>
        <w:t>. The</w:t>
      </w:r>
      <w:r>
        <w:rPr>
          <w:kern w:val="0"/>
        </w:rPr>
        <w:t xml:space="preserve"> trials also indicate that a greater proportion</w:t>
      </w:r>
      <w:r w:rsidR="00427468">
        <w:rPr>
          <w:kern w:val="0"/>
        </w:rPr>
        <w:t xml:space="preserve"> of </w:t>
      </w:r>
      <w:r>
        <w:rPr>
          <w:kern w:val="0"/>
        </w:rPr>
        <w:t>those parents reported improvements that were clinically significant. However, most studies had a high risk</w:t>
      </w:r>
      <w:r w:rsidR="00427468">
        <w:rPr>
          <w:kern w:val="0"/>
        </w:rPr>
        <w:t xml:space="preserve"> of </w:t>
      </w:r>
      <w:r>
        <w:rPr>
          <w:kern w:val="0"/>
        </w:rPr>
        <w:t>performance bias due to the fact that the assessors (parents) were not blind to who had received the intervention. When combining only those trials with a low risk</w:t>
      </w:r>
      <w:r w:rsidR="00427468">
        <w:rPr>
          <w:kern w:val="0"/>
        </w:rPr>
        <w:t xml:space="preserve"> of </w:t>
      </w:r>
      <w:r>
        <w:rPr>
          <w:kern w:val="0"/>
        </w:rPr>
        <w:t>such performance bias, the results did not reach statistical significance. Further research is required where those assessing the treatment outcomes do not know whether or not the infant has received a manipulative therapy</w:t>
      </w:r>
      <w:r w:rsidR="00A37C1D">
        <w:rPr>
          <w:kern w:val="0"/>
        </w:rPr>
        <w:t>. The</w:t>
      </w:r>
      <w:r>
        <w:rPr>
          <w:kern w:val="0"/>
        </w:rPr>
        <w:t>re are inadequate data to reach any definitive conclusions about the safety</w:t>
      </w:r>
      <w:r w:rsidR="00427468">
        <w:rPr>
          <w:kern w:val="0"/>
        </w:rPr>
        <w:t xml:space="preserve"> of </w:t>
      </w:r>
      <w:r>
        <w:rPr>
          <w:kern w:val="0"/>
        </w:rPr>
        <w:t>these interventions.</w:t>
      </w:r>
    </w:p>
    <w:p w:rsidR="00365DE4" w:rsidRDefault="00365DE4" w:rsidP="00365DE4">
      <w:pPr>
        <w:pStyle w:val="a3"/>
        <w:rPr>
          <w:kern w:val="0"/>
        </w:rPr>
      </w:pPr>
      <w:r>
        <w:rPr>
          <w:kern w:val="0"/>
        </w:rPr>
        <w:t xml:space="preserve">Keywords: Age, Allocation, Analysis, Assessing, Authors, Bias, Care, Cervical-Spine, Children, Chiropractic, Chiropractic Spinal Manipulation, Citation, Colic, Collection, Combining, Community, Conference, Confidence, Cost, Course, Criteria, Data, Data Collection, Databases, Effectiveness, Efficacy, Events, Evidence, Families, Generation, Heterogeneity, Humanities, Improvement, Infancy, Infant, Infants, Information, Institutions, Interval, Intervention, Interventions, Intestinal Microflora, Literature, Low Risk, Manipulative Therapy, </w:t>
      </w:r>
      <w:r w:rsidR="00D5664A">
        <w:rPr>
          <w:kern w:val="0"/>
        </w:rPr>
        <w:t>MEDLINE</w:t>
      </w:r>
      <w:r>
        <w:rPr>
          <w:kern w:val="0"/>
        </w:rPr>
        <w:t xml:space="preserve">, Meta Analysis, </w:t>
      </w:r>
      <w:r>
        <w:rPr>
          <w:kern w:val="0"/>
        </w:rPr>
        <w:lastRenderedPageBreak/>
        <w:t>Meta-Analysis, Metaanalysis, Methods, Natural, Neck, Odds Ratio, Outcomes, Parents, Peer-Reviewed, Performance, Psycinfo, Quality, Quality Of, Randomized Controlled-Trial, Recovery, Reduction, Reporting, Research, Review, Risk, Risk-Factors, Safety, Science, Science Citation Index, Search, Selection, Significance, Small, Social Science Citation Index, Software, Symptoms, Therapy, Treatment</w:t>
      </w:r>
      <w:r w:rsidR="00D5664A">
        <w:rPr>
          <w:kern w:val="0"/>
        </w:rPr>
        <w:t>, UK,</w:t>
      </w:r>
      <w:r>
        <w:rPr>
          <w:kern w:val="0"/>
        </w:rPr>
        <w:t xml:space="preserve"> World</w:t>
      </w:r>
    </w:p>
    <w:p w:rsidR="00365DE4" w:rsidRDefault="00365DE4" w:rsidP="00365DE4">
      <w:pPr>
        <w:pStyle w:val="a3"/>
        <w:rPr>
          <w:kern w:val="0"/>
        </w:rPr>
      </w:pPr>
      <w:r>
        <w:rPr>
          <w:kern w:val="0"/>
        </w:rPr>
        <w:t>? Dennis, J.A., Khan, O., Ferriter, M., Huband, N., Powney, M.J.</w:t>
      </w:r>
      <w:r w:rsidR="005853A9">
        <w:rPr>
          <w:kern w:val="0"/>
        </w:rPr>
        <w:t xml:space="preserve"> and </w:t>
      </w:r>
      <w:r>
        <w:rPr>
          <w:kern w:val="0"/>
        </w:rPr>
        <w:t>Duggan, C. (2012), Psychological interventions for adults who have sexually offended or are at risk</w:t>
      </w:r>
      <w:r w:rsidR="00427468">
        <w:rPr>
          <w:kern w:val="0"/>
        </w:rPr>
        <w:t xml:space="preserve"> of </w:t>
      </w:r>
      <w:r>
        <w:rPr>
          <w:kern w:val="0"/>
        </w:rPr>
        <w:t xml:space="preserve">offending.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CD007507.</w:t>
      </w:r>
    </w:p>
    <w:p w:rsidR="00365DE4" w:rsidRDefault="00365DE4" w:rsidP="00365DE4">
      <w:pPr>
        <w:pStyle w:val="a3"/>
        <w:rPr>
          <w:kern w:val="2"/>
        </w:rPr>
      </w:pPr>
      <w:r>
        <w:t>Full Text: 2012\Coc Dat Sys Rev2012, CD007507.pdf</w:t>
      </w:r>
    </w:p>
    <w:p w:rsidR="00365DE4" w:rsidRDefault="00365DE4" w:rsidP="00365DE4">
      <w:pPr>
        <w:pStyle w:val="a3"/>
        <w:rPr>
          <w:kern w:val="0"/>
        </w:rPr>
      </w:pPr>
      <w:r>
        <w:rPr>
          <w:kern w:val="0"/>
        </w:rPr>
        <w:t>Abstract: Background Sexual offending is a legal construct that overlaps, but is not entirely congruent with, clinical constructs</w:t>
      </w:r>
      <w:r w:rsidR="00427468">
        <w:rPr>
          <w:kern w:val="0"/>
        </w:rPr>
        <w:t xml:space="preserve"> of </w:t>
      </w:r>
      <w:r>
        <w:rPr>
          <w:kern w:val="0"/>
        </w:rPr>
        <w:t>disorders</w:t>
      </w:r>
      <w:r w:rsidR="00427468">
        <w:rPr>
          <w:kern w:val="0"/>
        </w:rPr>
        <w:t xml:space="preserve"> of </w:t>
      </w:r>
      <w:r>
        <w:rPr>
          <w:kern w:val="0"/>
        </w:rPr>
        <w:t>sexual preference. Sexual offending is both a social</w:t>
      </w:r>
      <w:r w:rsidR="005853A9">
        <w:rPr>
          <w:kern w:val="0"/>
        </w:rPr>
        <w:t xml:space="preserve"> and </w:t>
      </w:r>
      <w:r>
        <w:rPr>
          <w:kern w:val="0"/>
        </w:rPr>
        <w:t>a public health issue. Victim surveys illustrate high incidence</w:t>
      </w:r>
      <w:r w:rsidR="005853A9">
        <w:rPr>
          <w:kern w:val="0"/>
        </w:rPr>
        <w:t xml:space="preserve"> and </w:t>
      </w:r>
      <w:r>
        <w:rPr>
          <w:kern w:val="0"/>
        </w:rPr>
        <w:t>prevalence levels,</w:t>
      </w:r>
      <w:r w:rsidR="005853A9">
        <w:rPr>
          <w:kern w:val="0"/>
        </w:rPr>
        <w:t xml:space="preserve"> and </w:t>
      </w:r>
      <w:r>
        <w:rPr>
          <w:kern w:val="0"/>
        </w:rPr>
        <w:t>it is commonly accepted that there is considerable hidden sexual victimisation</w:t>
      </w:r>
      <w:r w:rsidR="00A37C1D">
        <w:rPr>
          <w:kern w:val="0"/>
        </w:rPr>
        <w:t>. The</w:t>
      </w:r>
      <w:r>
        <w:rPr>
          <w:kern w:val="0"/>
        </w:rPr>
        <w:t>re are significant levels</w:t>
      </w:r>
      <w:r w:rsidR="00427468">
        <w:rPr>
          <w:kern w:val="0"/>
        </w:rPr>
        <w:t xml:space="preserve"> of </w:t>
      </w:r>
      <w:r>
        <w:rPr>
          <w:kern w:val="0"/>
        </w:rPr>
        <w:t>psychiatric morbidity in survivors</w:t>
      </w:r>
      <w:r w:rsidR="00427468">
        <w:rPr>
          <w:kern w:val="0"/>
        </w:rPr>
        <w:t xml:space="preserve"> of </w:t>
      </w:r>
      <w:r>
        <w:rPr>
          <w:kern w:val="0"/>
        </w:rPr>
        <w:t>sexual offences. Psychological interventions are generally based on behavioural or psychodynamic theories. Behavioural interventions fall into two main groups: those based on traditional classical conditioning and/or operant learning theory</w:t>
      </w:r>
      <w:r w:rsidR="005853A9">
        <w:rPr>
          <w:kern w:val="0"/>
        </w:rPr>
        <w:t xml:space="preserve"> and </w:t>
      </w:r>
      <w:r>
        <w:rPr>
          <w:kern w:val="0"/>
        </w:rPr>
        <w:t>those based on cognitive behavioural approaches. Approaches may overlap. Interventions associated with traditional classical</w:t>
      </w:r>
      <w:r w:rsidR="005853A9">
        <w:rPr>
          <w:kern w:val="0"/>
        </w:rPr>
        <w:t xml:space="preserve"> and </w:t>
      </w:r>
      <w:r>
        <w:rPr>
          <w:kern w:val="0"/>
        </w:rPr>
        <w:t>operant learning theory are referred to as behaviour modification or behaviour therapy,</w:t>
      </w:r>
      <w:r w:rsidR="005853A9">
        <w:rPr>
          <w:kern w:val="0"/>
        </w:rPr>
        <w:t xml:space="preserve"> and </w:t>
      </w:r>
      <w:r>
        <w:rPr>
          <w:kern w:val="0"/>
        </w:rPr>
        <w:t>focus explicitly on changing behaviour by administering a stimulus</w:t>
      </w:r>
      <w:r w:rsidR="005853A9">
        <w:rPr>
          <w:kern w:val="0"/>
        </w:rPr>
        <w:t xml:space="preserve"> and </w:t>
      </w:r>
      <w:r>
        <w:rPr>
          <w:kern w:val="0"/>
        </w:rPr>
        <w:t>measuring its effect on overt behaviour. Within sex offender treatment, examples include aversion therapy, covert sensitisation or olfactory conditioning. Cognitive behavioural therapies are intended to change internal processes thoughts, beliefs, emotions, physiological aro</w:t>
      </w:r>
      <w:r w:rsidR="00D5664A">
        <w:rPr>
          <w:kern w:val="0"/>
        </w:rPr>
        <w:t>USA</w:t>
      </w:r>
      <w:r>
        <w:rPr>
          <w:kern w:val="0"/>
        </w:rPr>
        <w:t>l - alongside changing overt behaviour, such as social skills or coping behaviours</w:t>
      </w:r>
      <w:r w:rsidR="00A37C1D">
        <w:rPr>
          <w:kern w:val="0"/>
        </w:rPr>
        <w:t>. The</w:t>
      </w:r>
      <w:r>
        <w:rPr>
          <w:kern w:val="0"/>
        </w:rPr>
        <w:t>y may involve establishing links between offenders</w:t>
      </w:r>
      <w:r w:rsidR="0071223E">
        <w:rPr>
          <w:kern w:val="0"/>
        </w:rPr>
        <w:t>’</w:t>
      </w:r>
      <w:r>
        <w:rPr>
          <w:kern w:val="0"/>
        </w:rPr>
        <w:t xml:space="preserve"> thoughts, feelings</w:t>
      </w:r>
      <w:r w:rsidR="005853A9">
        <w:rPr>
          <w:kern w:val="0"/>
        </w:rPr>
        <w:t xml:space="preserve"> and </w:t>
      </w:r>
      <w:r>
        <w:rPr>
          <w:kern w:val="0"/>
        </w:rPr>
        <w:t>actions about offending behaviour; correction</w:t>
      </w:r>
      <w:r w:rsidR="00427468">
        <w:rPr>
          <w:kern w:val="0"/>
        </w:rPr>
        <w:t xml:space="preserve"> of </w:t>
      </w:r>
      <w:r>
        <w:rPr>
          <w:kern w:val="0"/>
        </w:rPr>
        <w:t>offenders</w:t>
      </w:r>
      <w:r w:rsidR="0071223E">
        <w:rPr>
          <w:kern w:val="0"/>
        </w:rPr>
        <w:t>’</w:t>
      </w:r>
      <w:r>
        <w:rPr>
          <w:kern w:val="0"/>
        </w:rPr>
        <w:t xml:space="preserve"> misperceptions, irrational beliefs</w:t>
      </w:r>
      <w:r w:rsidR="005853A9">
        <w:rPr>
          <w:kern w:val="0"/>
        </w:rPr>
        <w:t xml:space="preserve"> and </w:t>
      </w:r>
      <w:r>
        <w:rPr>
          <w:kern w:val="0"/>
        </w:rPr>
        <w:t>reasoning biases associated with their offending; teaching offenders to monitor their own thoughts, feelings</w:t>
      </w:r>
      <w:r w:rsidR="005853A9">
        <w:rPr>
          <w:kern w:val="0"/>
        </w:rPr>
        <w:t xml:space="preserve"> and </w:t>
      </w:r>
      <w:r>
        <w:rPr>
          <w:kern w:val="0"/>
        </w:rPr>
        <w:t>behaviours associated with offending;</w:t>
      </w:r>
      <w:r w:rsidR="005853A9">
        <w:rPr>
          <w:kern w:val="0"/>
        </w:rPr>
        <w:t xml:space="preserve"> and </w:t>
      </w:r>
      <w:r>
        <w:rPr>
          <w:kern w:val="0"/>
        </w:rPr>
        <w:t>promoting alternative ways</w:t>
      </w:r>
      <w:r w:rsidR="00427468">
        <w:rPr>
          <w:kern w:val="0"/>
        </w:rPr>
        <w:t xml:space="preserve"> of </w:t>
      </w:r>
      <w:r>
        <w:rPr>
          <w:kern w:val="0"/>
        </w:rPr>
        <w:t>coping with deviant sexual thoughts</w:t>
      </w:r>
      <w:r w:rsidR="005853A9">
        <w:rPr>
          <w:kern w:val="0"/>
        </w:rPr>
        <w:t xml:space="preserve"> and </w:t>
      </w:r>
      <w:r>
        <w:rPr>
          <w:kern w:val="0"/>
        </w:rPr>
        <w:t>desires. Psychodynamic interventions share a common root in psychoanalytic theory. This posits that sexual offending arises through an imbalance</w:t>
      </w:r>
      <w:r w:rsidR="00427468">
        <w:rPr>
          <w:kern w:val="0"/>
        </w:rPr>
        <w:t xml:space="preserve"> of </w:t>
      </w:r>
      <w:r>
        <w:rPr>
          <w:kern w:val="0"/>
        </w:rPr>
        <w:t>the three components</w:t>
      </w:r>
      <w:r w:rsidR="00427468">
        <w:rPr>
          <w:kern w:val="0"/>
        </w:rPr>
        <w:t xml:space="preserve"> of </w:t>
      </w:r>
      <w:r>
        <w:rPr>
          <w:kern w:val="0"/>
        </w:rPr>
        <w:t>mind: the id, the ego</w:t>
      </w:r>
      <w:r w:rsidR="005853A9">
        <w:rPr>
          <w:kern w:val="0"/>
        </w:rPr>
        <w:t xml:space="preserve"> and </w:t>
      </w:r>
      <w:r>
        <w:rPr>
          <w:kern w:val="0"/>
        </w:rPr>
        <w:t>the superego, with sexual offenders having temperamental imbalance</w:t>
      </w:r>
      <w:r w:rsidR="00427468">
        <w:rPr>
          <w:kern w:val="0"/>
        </w:rPr>
        <w:t xml:space="preserve"> of </w:t>
      </w:r>
      <w:r>
        <w:rPr>
          <w:kern w:val="0"/>
        </w:rPr>
        <w:t>a powerful id (increased sexual impulses</w:t>
      </w:r>
      <w:r w:rsidR="005853A9">
        <w:rPr>
          <w:kern w:val="0"/>
        </w:rPr>
        <w:t xml:space="preserve"> and </w:t>
      </w:r>
      <w:r>
        <w:rPr>
          <w:kern w:val="0"/>
        </w:rPr>
        <w:t>libido)</w:t>
      </w:r>
      <w:r w:rsidR="005853A9">
        <w:rPr>
          <w:kern w:val="0"/>
        </w:rPr>
        <w:t xml:space="preserve"> and </w:t>
      </w:r>
      <w:r>
        <w:rPr>
          <w:kern w:val="0"/>
        </w:rPr>
        <w:t>a weak superego (a low level</w:t>
      </w:r>
      <w:r w:rsidR="00427468">
        <w:rPr>
          <w:kern w:val="0"/>
        </w:rPr>
        <w:t xml:space="preserve"> of </w:t>
      </w:r>
      <w:r>
        <w:rPr>
          <w:kern w:val="0"/>
        </w:rPr>
        <w:t>moral probation), which are also impacted by early environment. This updates a previous Cochrane review but is based on a new protocol. Objectives To assess the effects</w:t>
      </w:r>
      <w:r w:rsidR="00427468">
        <w:rPr>
          <w:kern w:val="0"/>
        </w:rPr>
        <w:t xml:space="preserve"> of </w:t>
      </w:r>
      <w:r>
        <w:rPr>
          <w:kern w:val="0"/>
        </w:rPr>
        <w:t xml:space="preserve">psychological </w:t>
      </w:r>
      <w:r>
        <w:rPr>
          <w:kern w:val="0"/>
        </w:rPr>
        <w:lastRenderedPageBreak/>
        <w:t>interventions on those who have sexually offended or are at risk</w:t>
      </w:r>
      <w:r w:rsidR="00427468">
        <w:rPr>
          <w:kern w:val="0"/>
        </w:rPr>
        <w:t xml:space="preserve"> of </w:t>
      </w:r>
      <w:r>
        <w:rPr>
          <w:kern w:val="0"/>
        </w:rPr>
        <w:t xml:space="preserve">offending. Search methods In September 2010 we searched: CENTRAL, </w:t>
      </w:r>
      <w:r w:rsidR="00D5664A">
        <w:rPr>
          <w:kern w:val="0"/>
        </w:rPr>
        <w:t>MEDLINE</w:t>
      </w:r>
      <w:r>
        <w:rPr>
          <w:kern w:val="0"/>
        </w:rPr>
        <w:t>, Allied</w:t>
      </w:r>
      <w:r w:rsidR="005853A9">
        <w:rPr>
          <w:kern w:val="0"/>
        </w:rPr>
        <w:t xml:space="preserve"> and </w:t>
      </w:r>
      <w:r>
        <w:rPr>
          <w:kern w:val="0"/>
        </w:rPr>
        <w:t>Complementary Medicine (AMED), Applied Social Sciences Index</w:t>
      </w:r>
      <w:r w:rsidR="005853A9">
        <w:rPr>
          <w:kern w:val="0"/>
        </w:rPr>
        <w:t xml:space="preserve"> and </w:t>
      </w:r>
      <w:r>
        <w:rPr>
          <w:kern w:val="0"/>
        </w:rPr>
        <w:t>Abstracts (ASSIA), Biosis Previews, CINAHL, COPAC, Dissertation Abstracts, EMBASE, International Bibliography</w:t>
      </w:r>
      <w:r w:rsidR="00427468">
        <w:rPr>
          <w:kern w:val="0"/>
        </w:rPr>
        <w:t xml:space="preserve"> of </w:t>
      </w:r>
      <w:r>
        <w:rPr>
          <w:kern w:val="0"/>
        </w:rPr>
        <w:t>the Social Sciences (IBSS), ISI Proceedings, Science Citation Index Expanded (SCI), Social Sciences Citation Index (</w:t>
      </w:r>
      <w:r w:rsidR="00D5664A">
        <w:rPr>
          <w:kern w:val="0"/>
        </w:rPr>
        <w:t>SSCI</w:t>
      </w:r>
      <w:r>
        <w:rPr>
          <w:kern w:val="0"/>
        </w:rPr>
        <w:t>), National Criminal Justice Reference Service Abstracts Database, PsycINFO, OpenSIGLE, Social Care Online, Sociological Abstracts, UK Clinical Research Network Portfolio Database</w:t>
      </w:r>
      <w:r w:rsidR="005853A9">
        <w:rPr>
          <w:kern w:val="0"/>
        </w:rPr>
        <w:t xml:space="preserve"> and </w:t>
      </w:r>
      <w:r>
        <w:rPr>
          <w:kern w:val="0"/>
        </w:rPr>
        <w:t>ZETOC. We contacted numerous experts in the field. Selection criteria Randomised trials comparing psychological intervention with standard care or another psychological therapy given to adults treated in institutional or community settings for sexual behaviours that have resulted in conviction or caution for sexual offences, or who are seeking treatment voluntarily for behaviours classified as illegal. Data collection</w:t>
      </w:r>
      <w:r w:rsidR="005853A9">
        <w:rPr>
          <w:kern w:val="0"/>
        </w:rPr>
        <w:t xml:space="preserve"> and </w:t>
      </w:r>
      <w:r>
        <w:rPr>
          <w:kern w:val="0"/>
        </w:rPr>
        <w:t>analysis At least two authors, working independently, selected studies, extracted data</w:t>
      </w:r>
      <w:r w:rsidR="005853A9">
        <w:rPr>
          <w:kern w:val="0"/>
        </w:rPr>
        <w:t xml:space="preserve"> and </w:t>
      </w:r>
      <w:r>
        <w:rPr>
          <w:kern w:val="0"/>
        </w:rPr>
        <w:t>assessed the studies</w:t>
      </w:r>
      <w:r w:rsidR="0071223E">
        <w:rPr>
          <w:kern w:val="0"/>
        </w:rPr>
        <w:t>’</w:t>
      </w:r>
      <w:r>
        <w:rPr>
          <w:kern w:val="0"/>
        </w:rPr>
        <w:t xml:space="preserve"> risk</w:t>
      </w:r>
      <w:r w:rsidR="00427468">
        <w:rPr>
          <w:kern w:val="0"/>
        </w:rPr>
        <w:t xml:space="preserve"> of </w:t>
      </w:r>
      <w:r>
        <w:rPr>
          <w:kern w:val="0"/>
        </w:rPr>
        <w:t>bias. We contacted study authors for additional information including details</w:t>
      </w:r>
      <w:r w:rsidR="00427468">
        <w:rPr>
          <w:kern w:val="0"/>
        </w:rPr>
        <w:t xml:space="preserve"> of </w:t>
      </w:r>
      <w:r>
        <w:rPr>
          <w:kern w:val="0"/>
        </w:rPr>
        <w:t>methods</w:t>
      </w:r>
      <w:r w:rsidR="005853A9">
        <w:rPr>
          <w:kern w:val="0"/>
        </w:rPr>
        <w:t xml:space="preserve"> and </w:t>
      </w:r>
      <w:r>
        <w:rPr>
          <w:kern w:val="0"/>
        </w:rPr>
        <w:t>outcome data. Main results We included ten studies involving data from 944 adults, all male. Five trials involved primarily cognitive behavioural interventions (CBT) (n = 664).</w:t>
      </w:r>
      <w:r w:rsidR="00427468">
        <w:rPr>
          <w:kern w:val="0"/>
        </w:rPr>
        <w:t xml:space="preserve"> of </w:t>
      </w:r>
      <w:r>
        <w:rPr>
          <w:kern w:val="0"/>
        </w:rPr>
        <w:t>these, four compared CBT with no treatment or wait list control,</w:t>
      </w:r>
      <w:r w:rsidR="005853A9">
        <w:rPr>
          <w:kern w:val="0"/>
        </w:rPr>
        <w:t xml:space="preserve"> and </w:t>
      </w:r>
      <w:r>
        <w:rPr>
          <w:kern w:val="0"/>
        </w:rPr>
        <w:t>one compared CBT with standard care. Only one study collected data on the primary outcome</w:t>
      </w:r>
      <w:r w:rsidR="00A37C1D">
        <w:rPr>
          <w:kern w:val="0"/>
        </w:rPr>
        <w:t>. The</w:t>
      </w:r>
      <w:r>
        <w:rPr>
          <w:kern w:val="0"/>
        </w:rPr>
        <w:t xml:space="preserve"> largest study (n = 484) involved the most complex intervention versus no treatment. Long-term outcome data are reported for groups in which the mean years </w:t>
      </w:r>
      <w:r w:rsidR="0071223E">
        <w:rPr>
          <w:kern w:val="0"/>
        </w:rPr>
        <w:t>‘</w:t>
      </w:r>
      <w:r>
        <w:rPr>
          <w:kern w:val="0"/>
        </w:rPr>
        <w:t>at risk</w:t>
      </w:r>
      <w:r w:rsidR="0071223E">
        <w:rPr>
          <w:kern w:val="0"/>
        </w:rPr>
        <w:t>’</w:t>
      </w:r>
      <w:r>
        <w:rPr>
          <w:kern w:val="0"/>
        </w:rPr>
        <w:t xml:space="preserve"> in the community are similar (8.3 years for treatment (n = 259) compared to 8.4 in the control group (n = 225))</w:t>
      </w:r>
      <w:r w:rsidR="00A37C1D">
        <w:rPr>
          <w:kern w:val="0"/>
        </w:rPr>
        <w:t>. The</w:t>
      </w:r>
      <w:r>
        <w:rPr>
          <w:kern w:val="0"/>
        </w:rPr>
        <w:t>re was no difference between these groups in terms</w:t>
      </w:r>
      <w:r w:rsidR="00427468">
        <w:rPr>
          <w:kern w:val="0"/>
        </w:rPr>
        <w:t xml:space="preserve"> of </w:t>
      </w:r>
      <w:r>
        <w:rPr>
          <w:kern w:val="0"/>
        </w:rPr>
        <w:t>the risk</w:t>
      </w:r>
      <w:r w:rsidR="00427468">
        <w:rPr>
          <w:kern w:val="0"/>
        </w:rPr>
        <w:t xml:space="preserve"> of </w:t>
      </w:r>
      <w:r>
        <w:rPr>
          <w:kern w:val="0"/>
        </w:rPr>
        <w:t>reoffending as measured by reconviction for sexual offences (risk ratio (RR) 1.10; 95% CI 0.78 to 1.56). Four trials (n = 70) compared one behavioural programme with an alternative behavioural programme or with wait list control. No meta-analysis was possible for this comparison. For two studies (both cross-over, n = 29) no disaggregated data were available</w:t>
      </w:r>
      <w:r w:rsidR="00A37C1D">
        <w:rPr>
          <w:kern w:val="0"/>
        </w:rPr>
        <w:t>. The</w:t>
      </w:r>
      <w:r>
        <w:rPr>
          <w:kern w:val="0"/>
        </w:rPr>
        <w:t xml:space="preserve"> remaining two behavioural studies compared imaginal desensitisation with either covert sensitisation or as part</w:t>
      </w:r>
      <w:r w:rsidR="00427468">
        <w:rPr>
          <w:kern w:val="0"/>
        </w:rPr>
        <w:t xml:space="preserve"> of </w:t>
      </w:r>
      <w:r>
        <w:rPr>
          <w:kern w:val="0"/>
        </w:rPr>
        <w:t>adjunctive drug therapy (n = 20</w:t>
      </w:r>
      <w:r w:rsidR="005853A9">
        <w:rPr>
          <w:kern w:val="0"/>
        </w:rPr>
        <w:t xml:space="preserve"> and </w:t>
      </w:r>
      <w:r>
        <w:rPr>
          <w:kern w:val="0"/>
        </w:rPr>
        <w:t xml:space="preserve">21, respectively). In these two studies, results for the primary outcome (being </w:t>
      </w:r>
      <w:r w:rsidR="0071223E">
        <w:rPr>
          <w:kern w:val="0"/>
        </w:rPr>
        <w:t>‘</w:t>
      </w:r>
      <w:r>
        <w:rPr>
          <w:kern w:val="0"/>
        </w:rPr>
        <w:t>charged with anomalous behaviour</w:t>
      </w:r>
      <w:r w:rsidR="0071223E">
        <w:rPr>
          <w:kern w:val="0"/>
        </w:rPr>
        <w:t>’</w:t>
      </w:r>
      <w:r>
        <w:rPr>
          <w:kern w:val="0"/>
        </w:rPr>
        <w:t>) were encouraging, with only one new charge for the treated groups over one year in the former study,</w:t>
      </w:r>
      <w:r w:rsidR="005853A9">
        <w:rPr>
          <w:kern w:val="0"/>
        </w:rPr>
        <w:t xml:space="preserve"> and </w:t>
      </w:r>
      <w:r>
        <w:rPr>
          <w:kern w:val="0"/>
        </w:rPr>
        <w:t>in the latter study, only one new charge (in the drug-only group) over two years. One study compared psychodynamic intervention with probation. Results for this study (n = 231) indicate a slight trend in favour</w:t>
      </w:r>
      <w:r w:rsidR="00427468">
        <w:rPr>
          <w:kern w:val="0"/>
        </w:rPr>
        <w:t xml:space="preserve"> of </w:t>
      </w:r>
      <w:r>
        <w:rPr>
          <w:kern w:val="0"/>
        </w:rPr>
        <w:t>the control group (probation) over the intervention (group therapy) in terms</w:t>
      </w:r>
      <w:r w:rsidR="00427468">
        <w:rPr>
          <w:kern w:val="0"/>
        </w:rPr>
        <w:t xml:space="preserve"> of </w:t>
      </w:r>
      <w:r>
        <w:rPr>
          <w:kern w:val="0"/>
        </w:rPr>
        <w:t xml:space="preserve">sexual offending as measured by rearrest (RR 1.87; 95% CI 0.78 to 4.47) at 10-year follow-up. Data for adverse events, </w:t>
      </w:r>
      <w:r w:rsidR="0071223E">
        <w:rPr>
          <w:kern w:val="0"/>
        </w:rPr>
        <w:t>‘</w:t>
      </w:r>
      <w:r>
        <w:rPr>
          <w:kern w:val="0"/>
        </w:rPr>
        <w:t>sexually anomalous urges</w:t>
      </w:r>
      <w:r w:rsidR="0071223E">
        <w:rPr>
          <w:kern w:val="0"/>
        </w:rPr>
        <w:t>’</w:t>
      </w:r>
      <w:r w:rsidR="005853A9">
        <w:rPr>
          <w:kern w:val="0"/>
        </w:rPr>
        <w:t xml:space="preserve"> and </w:t>
      </w:r>
      <w:r>
        <w:rPr>
          <w:kern w:val="0"/>
        </w:rPr>
        <w:t xml:space="preserve">for secondary outcomes thought to be </w:t>
      </w:r>
      <w:r w:rsidR="0071223E">
        <w:rPr>
          <w:kern w:val="0"/>
        </w:rPr>
        <w:t>‘</w:t>
      </w:r>
      <w:r>
        <w:rPr>
          <w:kern w:val="0"/>
        </w:rPr>
        <w:t>dynamic</w:t>
      </w:r>
      <w:r w:rsidR="0071223E">
        <w:rPr>
          <w:kern w:val="0"/>
        </w:rPr>
        <w:t>’</w:t>
      </w:r>
      <w:r>
        <w:rPr>
          <w:kern w:val="0"/>
        </w:rPr>
        <w:t xml:space="preserve"> risk </w:t>
      </w:r>
      <w:r>
        <w:rPr>
          <w:kern w:val="0"/>
        </w:rPr>
        <w:lastRenderedPageBreak/>
        <w:t>factors for reoffending, including anger</w:t>
      </w:r>
      <w:r w:rsidR="005853A9">
        <w:rPr>
          <w:kern w:val="0"/>
        </w:rPr>
        <w:t xml:space="preserve"> and </w:t>
      </w:r>
      <w:r>
        <w:rPr>
          <w:kern w:val="0"/>
        </w:rPr>
        <w:t>cognitive distortions, were limited. Authors</w:t>
      </w:r>
      <w:r w:rsidR="0071223E">
        <w:rPr>
          <w:kern w:val="0"/>
        </w:rPr>
        <w:t>’</w:t>
      </w:r>
      <w:r>
        <w:rPr>
          <w:kern w:val="0"/>
        </w:rPr>
        <w:t xml:space="preserve"> conclusions The inescapable conclusion</w:t>
      </w:r>
      <w:r w:rsidR="00427468">
        <w:rPr>
          <w:kern w:val="0"/>
        </w:rPr>
        <w:t xml:space="preserve"> of </w:t>
      </w:r>
      <w:r>
        <w:rPr>
          <w:kern w:val="0"/>
        </w:rPr>
        <w:t>this review is the need for further randomised controlled trials. While we recognise that randomisation is considered by some to be unethical or politically unacceptable (both</w:t>
      </w:r>
      <w:r w:rsidR="00427468">
        <w:rPr>
          <w:kern w:val="0"/>
        </w:rPr>
        <w:t xml:space="preserve"> of </w:t>
      </w:r>
      <w:r>
        <w:rPr>
          <w:kern w:val="0"/>
        </w:rPr>
        <w:t>which are based on the faulty premise that the experimental treatment is superior to the control - this being the point</w:t>
      </w:r>
      <w:r w:rsidR="00427468">
        <w:rPr>
          <w:kern w:val="0"/>
        </w:rPr>
        <w:t xml:space="preserve"> of </w:t>
      </w:r>
      <w:r>
        <w:rPr>
          <w:kern w:val="0"/>
        </w:rPr>
        <w:t>the trial to begin with), without such evidence, the area will fail to progress. Not only could this result in the continued use</w:t>
      </w:r>
      <w:r w:rsidR="00427468">
        <w:rPr>
          <w:kern w:val="0"/>
        </w:rPr>
        <w:t xml:space="preserve"> of </w:t>
      </w:r>
      <w:r>
        <w:rPr>
          <w:kern w:val="0"/>
        </w:rPr>
        <w:t>ineffective (and potentially harmful) interventions, but it also means that society is lured into a false sense</w:t>
      </w:r>
      <w:r w:rsidR="00427468">
        <w:rPr>
          <w:kern w:val="0"/>
        </w:rPr>
        <w:t xml:space="preserve"> of </w:t>
      </w:r>
      <w:r>
        <w:rPr>
          <w:kern w:val="0"/>
        </w:rPr>
        <w:t>security in the belief that once the individual has been treated, their risk</w:t>
      </w:r>
      <w:r w:rsidR="00427468">
        <w:rPr>
          <w:kern w:val="0"/>
        </w:rPr>
        <w:t xml:space="preserve"> of </w:t>
      </w:r>
      <w:r>
        <w:rPr>
          <w:kern w:val="0"/>
        </w:rPr>
        <w:t>reoffending is reduced. Current available evidence does not support this belief. Future trials should concentrate on minimising risk</w:t>
      </w:r>
      <w:r w:rsidR="00427468">
        <w:rPr>
          <w:kern w:val="0"/>
        </w:rPr>
        <w:t xml:space="preserve"> of </w:t>
      </w:r>
      <w:r>
        <w:rPr>
          <w:kern w:val="0"/>
        </w:rPr>
        <w:t>bias, maximising quality</w:t>
      </w:r>
      <w:r w:rsidR="00427468">
        <w:rPr>
          <w:kern w:val="0"/>
        </w:rPr>
        <w:t xml:space="preserve"> of </w:t>
      </w:r>
      <w:r>
        <w:rPr>
          <w:kern w:val="0"/>
        </w:rPr>
        <w:t>reporting</w:t>
      </w:r>
      <w:r w:rsidR="005853A9">
        <w:rPr>
          <w:kern w:val="0"/>
        </w:rPr>
        <w:t xml:space="preserve"> and </w:t>
      </w:r>
      <w:r>
        <w:rPr>
          <w:kern w:val="0"/>
        </w:rPr>
        <w:t>including follow-up for a minimum</w:t>
      </w:r>
      <w:r w:rsidR="00427468">
        <w:rPr>
          <w:kern w:val="0"/>
        </w:rPr>
        <w:t xml:space="preserve"> of </w:t>
      </w:r>
      <w:r>
        <w:rPr>
          <w:kern w:val="0"/>
        </w:rPr>
        <w:t xml:space="preserve">five years </w:t>
      </w:r>
      <w:r w:rsidR="0071223E">
        <w:rPr>
          <w:kern w:val="0"/>
        </w:rPr>
        <w:t>‘</w:t>
      </w:r>
      <w:r>
        <w:rPr>
          <w:kern w:val="0"/>
        </w:rPr>
        <w:t>at risk</w:t>
      </w:r>
      <w:r w:rsidR="0071223E">
        <w:rPr>
          <w:kern w:val="0"/>
        </w:rPr>
        <w:t>’</w:t>
      </w:r>
      <w:r>
        <w:rPr>
          <w:kern w:val="0"/>
        </w:rPr>
        <w:t xml:space="preserve"> in the community.</w:t>
      </w:r>
    </w:p>
    <w:p w:rsidR="00365DE4" w:rsidRDefault="00365DE4" w:rsidP="00365DE4">
      <w:pPr>
        <w:pStyle w:val="a3"/>
        <w:rPr>
          <w:kern w:val="0"/>
        </w:rPr>
      </w:pPr>
      <w:r>
        <w:rPr>
          <w:kern w:val="0"/>
        </w:rPr>
        <w:t>Keywords: Adverse Childhood Experiences, Alternative, Analysis, Anti-Androgens, Authors, Aversion Therapy, Behaviour, Belief, Bias, Bibliography, Care, Cbt, Charge, Citation, Clinical, Collection, Community, Comparison, Concentrate, Conditioning, Control, Coping, Criteria, Cyproterone-Acetate, Data, Data Collection, Deviant Hypersexuality, Drug, Drug Therapy, Dynamic, Effects, Environment, Events, Evidence, Experimental, Experimental Treatment, Experts, Field, Follow-Up, Group Therapy, Health, Imaginal Desensitization, Incidence, Information, Intervention, Interventions</w:t>
      </w:r>
      <w:r w:rsidR="00D5664A">
        <w:rPr>
          <w:kern w:val="0"/>
        </w:rPr>
        <w:t>, ISI,</w:t>
      </w:r>
      <w:r>
        <w:rPr>
          <w:kern w:val="0"/>
        </w:rPr>
        <w:t xml:space="preserve"> Learning, Legal, Libido, Male, Male Sex Offenders, Medicine, </w:t>
      </w:r>
      <w:r w:rsidR="00D5664A">
        <w:rPr>
          <w:kern w:val="0"/>
        </w:rPr>
        <w:t>MEDLINE</w:t>
      </w:r>
      <w:r>
        <w:rPr>
          <w:kern w:val="0"/>
        </w:rPr>
        <w:t>, Medroxyprogesterone Acetate, Meta Analysis, Meta-Analysis, Metaanalysis, Methods, Minimum, Modification, Morbidity, Network, Outcome, Outcomes, Placebo-Controlled Trial, Preference, Prevalence, Primary, Progress, Psychological, Psychological Intervention, Psycinfo, Public, Public Health, Quality, Quality Of, Randomisation, Randomised, Randomised Controlled Trials, Reasoning, Reporting, Research, Review, Risk, Risk Factors</w:t>
      </w:r>
      <w:r w:rsidR="00D5664A">
        <w:rPr>
          <w:kern w:val="0"/>
        </w:rPr>
        <w:t>, SCI,</w:t>
      </w:r>
      <w:r>
        <w:rPr>
          <w:kern w:val="0"/>
        </w:rPr>
        <w:t xml:space="preserve"> Science, Science Citation Index, Science Citation Index Expanded, Search, Security, Sex, Social, Social Sciences, Social Sciences Citation Index, Society, </w:t>
      </w:r>
      <w:r w:rsidR="00D5664A">
        <w:rPr>
          <w:kern w:val="0"/>
        </w:rPr>
        <w:t>SSCI</w:t>
      </w:r>
      <w:r>
        <w:rPr>
          <w:kern w:val="0"/>
        </w:rPr>
        <w:t>, Standard, Support, Surveys, Teaching, Theory, Therapy, Treatment, Treatment Program, Trend, Trial, UK</w:t>
      </w:r>
    </w:p>
    <w:p w:rsidR="003C483A" w:rsidRDefault="003C483A" w:rsidP="003C483A">
      <w:pPr>
        <w:pStyle w:val="a3"/>
        <w:rPr>
          <w:kern w:val="0"/>
        </w:rPr>
      </w:pPr>
      <w:r>
        <w:rPr>
          <w:rFonts w:hint="eastAsia"/>
          <w:kern w:val="0"/>
        </w:rPr>
        <w:t xml:space="preserve">? </w:t>
      </w:r>
      <w:r>
        <w:rPr>
          <w:kern w:val="0"/>
        </w:rPr>
        <w:t>Adams, S.P., Tsang, M.</w:t>
      </w:r>
      <w:r w:rsidR="005853A9">
        <w:rPr>
          <w:kern w:val="0"/>
        </w:rPr>
        <w:t xml:space="preserve"> and </w:t>
      </w:r>
      <w:r>
        <w:rPr>
          <w:kern w:val="0"/>
        </w:rPr>
        <w:t>Wright, J.M. (2012), Lipid lowering efficacy</w:t>
      </w:r>
      <w:r w:rsidR="00427468">
        <w:rPr>
          <w:kern w:val="0"/>
        </w:rPr>
        <w:t xml:space="preserve"> of </w:t>
      </w:r>
      <w:r>
        <w:rPr>
          <w:kern w:val="0"/>
        </w:rPr>
        <w:t xml:space="preserve">atorvastatin.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FB4946">
        <w:rPr>
          <w:kern w:val="0"/>
        </w:rPr>
        <w:t>CD008226</w:t>
      </w:r>
      <w:r>
        <w:rPr>
          <w:kern w:val="0"/>
        </w:rPr>
        <w:t>.</w:t>
      </w:r>
    </w:p>
    <w:p w:rsidR="003C483A" w:rsidRDefault="003C483A" w:rsidP="003C483A">
      <w:pPr>
        <w:pStyle w:val="a3"/>
        <w:rPr>
          <w:kern w:val="2"/>
        </w:rPr>
      </w:pPr>
      <w:r>
        <w:t>Full Text: 201</w:t>
      </w:r>
      <w:r>
        <w:rPr>
          <w:rFonts w:hint="eastAsia"/>
        </w:rPr>
        <w:t>2</w:t>
      </w:r>
      <w:r>
        <w:t>\Coc Dat Sys Rev201</w:t>
      </w:r>
      <w:r>
        <w:rPr>
          <w:rFonts w:hint="eastAsia"/>
        </w:rPr>
        <w:t>2</w:t>
      </w:r>
      <w:r>
        <w:t xml:space="preserve">, </w:t>
      </w:r>
      <w:r w:rsidRPr="00FB4946">
        <w:rPr>
          <w:kern w:val="0"/>
        </w:rPr>
        <w:t>CD008226</w:t>
      </w:r>
      <w:r>
        <w:t>.pdf</w:t>
      </w:r>
    </w:p>
    <w:p w:rsidR="003C483A" w:rsidRDefault="003C483A" w:rsidP="003C483A">
      <w:pPr>
        <w:pStyle w:val="a3"/>
        <w:rPr>
          <w:kern w:val="0"/>
        </w:rPr>
      </w:pPr>
      <w:r>
        <w:rPr>
          <w:kern w:val="0"/>
        </w:rPr>
        <w:t>Abstract: Background Atorvastatin is one</w:t>
      </w:r>
      <w:r w:rsidR="00427468">
        <w:rPr>
          <w:kern w:val="0"/>
        </w:rPr>
        <w:t xml:space="preserve"> of </w:t>
      </w:r>
      <w:r>
        <w:rPr>
          <w:kern w:val="0"/>
        </w:rPr>
        <w:t>the most widely prescribed drugs</w:t>
      </w:r>
      <w:r w:rsidR="005853A9">
        <w:rPr>
          <w:kern w:val="0"/>
        </w:rPr>
        <w:t xml:space="preserve"> and </w:t>
      </w:r>
      <w:r>
        <w:rPr>
          <w:kern w:val="0"/>
        </w:rPr>
        <w:t>the most widely prescribed statin in the world. It is therefore important to know the dose-related magnitude</w:t>
      </w:r>
      <w:r w:rsidR="00427468">
        <w:rPr>
          <w:kern w:val="0"/>
        </w:rPr>
        <w:t xml:space="preserve"> of </w:t>
      </w:r>
      <w:r>
        <w:rPr>
          <w:kern w:val="0"/>
        </w:rPr>
        <w:t>effect</w:t>
      </w:r>
      <w:r w:rsidR="00427468">
        <w:rPr>
          <w:kern w:val="0"/>
        </w:rPr>
        <w:t xml:space="preserve"> of </w:t>
      </w:r>
      <w:r>
        <w:rPr>
          <w:kern w:val="0"/>
        </w:rPr>
        <w:t>atorvastatin on blood lipids. Objectives To quantify the dose-related effects</w:t>
      </w:r>
      <w:r w:rsidR="00427468">
        <w:rPr>
          <w:kern w:val="0"/>
        </w:rPr>
        <w:t xml:space="preserve"> of </w:t>
      </w:r>
      <w:r>
        <w:rPr>
          <w:kern w:val="0"/>
        </w:rPr>
        <w:t>atorvastatin on blood lipids</w:t>
      </w:r>
      <w:r w:rsidR="005853A9">
        <w:rPr>
          <w:kern w:val="0"/>
        </w:rPr>
        <w:t xml:space="preserve"> and </w:t>
      </w:r>
      <w:r>
        <w:rPr>
          <w:kern w:val="0"/>
        </w:rPr>
        <w:t xml:space="preserve">withdrawals due to adverse effects (WDAE). Search methods We searched the Cochrane Central </w:t>
      </w:r>
      <w:r>
        <w:rPr>
          <w:kern w:val="0"/>
        </w:rPr>
        <w:lastRenderedPageBreak/>
        <w:t>Register</w:t>
      </w:r>
      <w:r w:rsidR="00427468">
        <w:rPr>
          <w:kern w:val="0"/>
        </w:rPr>
        <w:t xml:space="preserve"> of </w:t>
      </w:r>
      <w:r>
        <w:rPr>
          <w:kern w:val="0"/>
        </w:rPr>
        <w:t>Controlled Trials (CENTRAL) on The Cochrane Library Issue 4, 2011, MEDLINE (1966 to November 2011), EMBASE (1980 to November 2011), ISI Web</w:t>
      </w:r>
      <w:r w:rsidR="00427468">
        <w:rPr>
          <w:kern w:val="0"/>
        </w:rPr>
        <w:t xml:space="preserve"> of </w:t>
      </w:r>
      <w:r>
        <w:rPr>
          <w:kern w:val="0"/>
        </w:rPr>
        <w:t>Science (1899 to November 2011)</w:t>
      </w:r>
      <w:r w:rsidR="005853A9">
        <w:rPr>
          <w:kern w:val="0"/>
        </w:rPr>
        <w:t xml:space="preserve"> and </w:t>
      </w:r>
      <w:r>
        <w:rPr>
          <w:kern w:val="0"/>
        </w:rPr>
        <w:t>BIOSIS Previews (1969 to November 2011). No language restrictions were applied. Selection criteria Randomised controlled</w:t>
      </w:r>
      <w:r w:rsidR="005853A9">
        <w:rPr>
          <w:kern w:val="0"/>
        </w:rPr>
        <w:t xml:space="preserve"> and </w:t>
      </w:r>
      <w:r>
        <w:rPr>
          <w:kern w:val="0"/>
        </w:rPr>
        <w:t>uncontrolled before-and-after trials evaluating the dose response</w:t>
      </w:r>
      <w:r w:rsidR="00427468">
        <w:rPr>
          <w:kern w:val="0"/>
        </w:rPr>
        <w:t xml:space="preserve"> of </w:t>
      </w:r>
      <w:r>
        <w:rPr>
          <w:kern w:val="0"/>
        </w:rPr>
        <w:t>different fixed doses</w:t>
      </w:r>
      <w:r w:rsidR="00427468">
        <w:rPr>
          <w:kern w:val="0"/>
        </w:rPr>
        <w:t xml:space="preserve"> of </w:t>
      </w:r>
      <w:r>
        <w:rPr>
          <w:kern w:val="0"/>
        </w:rPr>
        <w:t>atorvastatin on blood lipids over a duration</w:t>
      </w:r>
      <w:r w:rsidR="00427468">
        <w:rPr>
          <w:kern w:val="0"/>
        </w:rPr>
        <w:t xml:space="preserve"> of </w:t>
      </w:r>
      <w:r>
        <w:rPr>
          <w:kern w:val="0"/>
        </w:rPr>
        <w:t>3 to 12 weeks. Data collection</w:t>
      </w:r>
      <w:r w:rsidR="005853A9">
        <w:rPr>
          <w:kern w:val="0"/>
        </w:rPr>
        <w:t xml:space="preserve"> and </w:t>
      </w:r>
      <w:r>
        <w:rPr>
          <w:kern w:val="0"/>
        </w:rPr>
        <w:t>analysis Two review authors independently assessed trial quality</w:t>
      </w:r>
      <w:r w:rsidR="005853A9">
        <w:rPr>
          <w:kern w:val="0"/>
        </w:rPr>
        <w:t xml:space="preserve"> and </w:t>
      </w:r>
      <w:r>
        <w:rPr>
          <w:kern w:val="0"/>
        </w:rPr>
        <w:t>extracted data. WDAE information was collected from the placebo-controlled trials. Main results Two hundred fifty-four trials evaluated the dose-related efficacy</w:t>
      </w:r>
      <w:r w:rsidR="00427468">
        <w:rPr>
          <w:kern w:val="0"/>
        </w:rPr>
        <w:t xml:space="preserve"> of </w:t>
      </w:r>
      <w:r>
        <w:rPr>
          <w:kern w:val="0"/>
        </w:rPr>
        <w:t>atorvastatin in 33,505 participants. Log dose-response data revealed linear dose-related effects on blood total cholesterol, low-density lipoprotein (LDL)-cholesterol</w:t>
      </w:r>
      <w:r w:rsidR="005853A9">
        <w:rPr>
          <w:kern w:val="0"/>
        </w:rPr>
        <w:t xml:space="preserve"> and </w:t>
      </w:r>
      <w:r>
        <w:rPr>
          <w:kern w:val="0"/>
        </w:rPr>
        <w:t>triglycerides. Combining all the trials using the generic inverse variance fixed-effect model for doses</w:t>
      </w:r>
      <w:r w:rsidR="00427468">
        <w:rPr>
          <w:kern w:val="0"/>
        </w:rPr>
        <w:t xml:space="preserve"> of </w:t>
      </w:r>
      <w:r>
        <w:rPr>
          <w:kern w:val="0"/>
        </w:rPr>
        <w:t>10 to 80 mg/day resulted in decreases</w:t>
      </w:r>
      <w:r w:rsidR="00427468">
        <w:rPr>
          <w:kern w:val="0"/>
        </w:rPr>
        <w:t xml:space="preserve"> of </w:t>
      </w:r>
      <w:r>
        <w:rPr>
          <w:kern w:val="0"/>
        </w:rPr>
        <w:t>36% to 53% for LDL-cholesterol</w:t>
      </w:r>
      <w:r w:rsidR="00A37C1D">
        <w:rPr>
          <w:kern w:val="0"/>
        </w:rPr>
        <w:t>. The</w:t>
      </w:r>
      <w:r>
        <w:rPr>
          <w:kern w:val="0"/>
        </w:rPr>
        <w:t>re was no significant dose-related effects</w:t>
      </w:r>
      <w:r w:rsidR="00427468">
        <w:rPr>
          <w:kern w:val="0"/>
        </w:rPr>
        <w:t xml:space="preserve"> of </w:t>
      </w:r>
      <w:r>
        <w:rPr>
          <w:kern w:val="0"/>
        </w:rPr>
        <w:t>atorvastatin on blood high-density lipoprotein (HDL)-cholesterol. WDAE were not statistically different between atorvastatin</w:t>
      </w:r>
      <w:r w:rsidR="005853A9">
        <w:rPr>
          <w:kern w:val="0"/>
        </w:rPr>
        <w:t xml:space="preserve"> and </w:t>
      </w:r>
      <w:r>
        <w:rPr>
          <w:kern w:val="0"/>
        </w:rPr>
        <w:t>placebo for these short-term trials (risk ratio 0.99; 95% confidence interval 0.68 to 1.45). Authors</w:t>
      </w:r>
      <w:r w:rsidR="0071223E">
        <w:rPr>
          <w:kern w:val="0"/>
        </w:rPr>
        <w:t>’</w:t>
      </w:r>
      <w:r>
        <w:rPr>
          <w:kern w:val="0"/>
        </w:rPr>
        <w:t xml:space="preserve"> conclusions Blood total cholesterol, LDL-cholesterol</w:t>
      </w:r>
      <w:r w:rsidR="005853A9">
        <w:rPr>
          <w:kern w:val="0"/>
        </w:rPr>
        <w:t xml:space="preserve"> and </w:t>
      </w:r>
      <w:r>
        <w:rPr>
          <w:kern w:val="0"/>
        </w:rPr>
        <w:t>triglyceride lowering effect</w:t>
      </w:r>
      <w:r w:rsidR="00427468">
        <w:rPr>
          <w:kern w:val="0"/>
        </w:rPr>
        <w:t xml:space="preserve"> of </w:t>
      </w:r>
      <w:r>
        <w:rPr>
          <w:kern w:val="0"/>
        </w:rPr>
        <w:t>atorvastatin was dependent on dose. Log dose-response data was linear over the commonly prescribed dose range. Manufacturer-recommended atorvastatin doses</w:t>
      </w:r>
      <w:r w:rsidR="00427468">
        <w:rPr>
          <w:kern w:val="0"/>
        </w:rPr>
        <w:t xml:space="preserve"> of </w:t>
      </w:r>
      <w:r>
        <w:rPr>
          <w:kern w:val="0"/>
        </w:rPr>
        <w:t>10 to 80 mg/day resulted in 36% to 53% decreases</w:t>
      </w:r>
      <w:r w:rsidR="00427468">
        <w:rPr>
          <w:kern w:val="0"/>
        </w:rPr>
        <w:t xml:space="preserve"> of </w:t>
      </w:r>
      <w:r>
        <w:rPr>
          <w:kern w:val="0"/>
        </w:rPr>
        <w:t>LDL-cholesterol</w:t>
      </w:r>
      <w:r w:rsidR="00A37C1D">
        <w:rPr>
          <w:kern w:val="0"/>
        </w:rPr>
        <w:t>. The</w:t>
      </w:r>
      <w:r>
        <w:rPr>
          <w:kern w:val="0"/>
        </w:rPr>
        <w:t xml:space="preserve"> review did not provide a good estimate</w:t>
      </w:r>
      <w:r w:rsidR="00427468">
        <w:rPr>
          <w:kern w:val="0"/>
        </w:rPr>
        <w:t xml:space="preserve"> of </w:t>
      </w:r>
      <w:r>
        <w:rPr>
          <w:kern w:val="0"/>
        </w:rPr>
        <w:t>the incidence</w:t>
      </w:r>
      <w:r w:rsidR="00427468">
        <w:rPr>
          <w:kern w:val="0"/>
        </w:rPr>
        <w:t xml:space="preserve"> of </w:t>
      </w:r>
      <w:r>
        <w:rPr>
          <w:kern w:val="0"/>
        </w:rPr>
        <w:t>harms associated with atorvastatin because</w:t>
      </w:r>
      <w:r w:rsidR="00427468">
        <w:rPr>
          <w:kern w:val="0"/>
        </w:rPr>
        <w:t xml:space="preserve"> of </w:t>
      </w:r>
      <w:r>
        <w:rPr>
          <w:kern w:val="0"/>
        </w:rPr>
        <w:t>the short duration</w:t>
      </w:r>
      <w:r w:rsidR="00427468">
        <w:rPr>
          <w:kern w:val="0"/>
        </w:rPr>
        <w:t xml:space="preserve"> of </w:t>
      </w:r>
      <w:r>
        <w:rPr>
          <w:kern w:val="0"/>
        </w:rPr>
        <w:t>the trials</w:t>
      </w:r>
      <w:r w:rsidR="005853A9">
        <w:rPr>
          <w:kern w:val="0"/>
        </w:rPr>
        <w:t xml:space="preserve"> and </w:t>
      </w:r>
      <w:r>
        <w:rPr>
          <w:kern w:val="0"/>
        </w:rPr>
        <w:t>the lack</w:t>
      </w:r>
      <w:r w:rsidR="00427468">
        <w:rPr>
          <w:kern w:val="0"/>
        </w:rPr>
        <w:t xml:space="preserve"> of </w:t>
      </w:r>
      <w:r>
        <w:rPr>
          <w:kern w:val="0"/>
        </w:rPr>
        <w:t>reporting</w:t>
      </w:r>
      <w:r w:rsidR="00427468">
        <w:rPr>
          <w:kern w:val="0"/>
        </w:rPr>
        <w:t xml:space="preserve"> of </w:t>
      </w:r>
      <w:r>
        <w:rPr>
          <w:kern w:val="0"/>
        </w:rPr>
        <w:t>adverse effects in 37%</w:t>
      </w:r>
      <w:r w:rsidR="00427468">
        <w:rPr>
          <w:kern w:val="0"/>
        </w:rPr>
        <w:t xml:space="preserve"> of </w:t>
      </w:r>
      <w:r>
        <w:rPr>
          <w:kern w:val="0"/>
        </w:rPr>
        <w:t>the placebo-controlled trials.</w:t>
      </w:r>
    </w:p>
    <w:p w:rsidR="003C483A" w:rsidRDefault="003C483A" w:rsidP="003C483A">
      <w:pPr>
        <w:pStyle w:val="a3"/>
        <w:rPr>
          <w:kern w:val="0"/>
        </w:rPr>
      </w:pPr>
      <w:r>
        <w:rPr>
          <w:kern w:val="0"/>
        </w:rPr>
        <w:t>Keywords: Adverse Effects, Analysis, Authors, Blood, Cholesterol, Collection, Confidence, Criteria, Data, Data Collection, Drugs, Duration, Effects, Efficacy, Embase, Incidence, Information, Interval, Isi, Isi Web</w:t>
      </w:r>
      <w:r w:rsidR="00427468">
        <w:rPr>
          <w:kern w:val="0"/>
        </w:rPr>
        <w:t xml:space="preserve"> of </w:t>
      </w:r>
      <w:r>
        <w:rPr>
          <w:kern w:val="0"/>
        </w:rPr>
        <w:t>Science, Language, Lipids, Magnitude, Medline, Methods, Model, Placebo, Quality, Reporting, Response, Restrictions, Review, Risk, Science, Search, Statin, Trial, Triglyceride, Triglycerides, Web</w:t>
      </w:r>
      <w:r w:rsidR="00427468">
        <w:rPr>
          <w:kern w:val="0"/>
        </w:rPr>
        <w:t xml:space="preserve"> of </w:t>
      </w:r>
      <w:r>
        <w:rPr>
          <w:kern w:val="0"/>
        </w:rPr>
        <w:t>Science, World</w:t>
      </w:r>
    </w:p>
    <w:p w:rsidR="00365DE4" w:rsidRDefault="00365DE4" w:rsidP="00365DE4">
      <w:pPr>
        <w:pStyle w:val="a3"/>
        <w:rPr>
          <w:kern w:val="0"/>
        </w:rPr>
      </w:pPr>
      <w:r>
        <w:rPr>
          <w:kern w:val="0"/>
        </w:rPr>
        <w:t>? McArthur, G., Eve, P.M., Jones, K., Banales, E., Kohnen, S., Anandakumar, T., Larsen, L., Marinus, E., Wang, H.C.</w:t>
      </w:r>
      <w:r w:rsidR="005853A9">
        <w:rPr>
          <w:kern w:val="0"/>
        </w:rPr>
        <w:t xml:space="preserve"> and </w:t>
      </w:r>
      <w:r>
        <w:rPr>
          <w:kern w:val="0"/>
        </w:rPr>
        <w:t xml:space="preserve">Castles, A. (2012), Phonics training for English-speaking poor readers.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CD009115.</w:t>
      </w:r>
    </w:p>
    <w:p w:rsidR="00365DE4" w:rsidRDefault="00365DE4" w:rsidP="00365DE4">
      <w:pPr>
        <w:pStyle w:val="a3"/>
        <w:rPr>
          <w:kern w:val="2"/>
        </w:rPr>
      </w:pPr>
      <w:r>
        <w:t>Full Text: 2012\Coc Dat Sys Rev2012, CD009115.pdf</w:t>
      </w:r>
    </w:p>
    <w:p w:rsidR="00365DE4" w:rsidRDefault="00365DE4" w:rsidP="00365DE4">
      <w:pPr>
        <w:pStyle w:val="a3"/>
        <w:rPr>
          <w:kern w:val="0"/>
        </w:rPr>
      </w:pPr>
      <w:r>
        <w:rPr>
          <w:kern w:val="0"/>
        </w:rPr>
        <w:t>Abstract: Background Around 5%</w:t>
      </w:r>
      <w:r w:rsidR="00427468">
        <w:rPr>
          <w:kern w:val="0"/>
        </w:rPr>
        <w:t xml:space="preserve"> of </w:t>
      </w:r>
      <w:r>
        <w:rPr>
          <w:kern w:val="0"/>
        </w:rPr>
        <w:t>English speakers have a significant problem with learning to read words. Poor word readers are often trained to use letter-sound rules to improve their reading skills. This training is commonly called phonics. Well over 100 studies have administered some form</w:t>
      </w:r>
      <w:r w:rsidR="00427468">
        <w:rPr>
          <w:kern w:val="0"/>
        </w:rPr>
        <w:t xml:space="preserve"> of </w:t>
      </w:r>
      <w:r>
        <w:rPr>
          <w:kern w:val="0"/>
        </w:rPr>
        <w:t xml:space="preserve">phonics training to poor word readers. </w:t>
      </w:r>
      <w:r>
        <w:rPr>
          <w:kern w:val="0"/>
        </w:rPr>
        <w:lastRenderedPageBreak/>
        <w:t>However, there are surprisingly few systematic reviews or meta-analyses</w:t>
      </w:r>
      <w:r w:rsidR="00427468">
        <w:rPr>
          <w:kern w:val="0"/>
        </w:rPr>
        <w:t xml:space="preserve"> of </w:t>
      </w:r>
      <w:r>
        <w:rPr>
          <w:kern w:val="0"/>
        </w:rPr>
        <w:t>these studies</w:t>
      </w:r>
      <w:r w:rsidR="00A37C1D">
        <w:rPr>
          <w:kern w:val="0"/>
        </w:rPr>
        <w:t>. The</w:t>
      </w:r>
      <w:r>
        <w:rPr>
          <w:kern w:val="0"/>
        </w:rPr>
        <w:t xml:space="preserve"> most well-known review was done by the National Reading Panel (Ehri 2001) 12 years ago</w:t>
      </w:r>
      <w:r w:rsidR="005853A9">
        <w:rPr>
          <w:kern w:val="0"/>
        </w:rPr>
        <w:t xml:space="preserve"> and </w:t>
      </w:r>
      <w:r>
        <w:rPr>
          <w:kern w:val="0"/>
        </w:rPr>
        <w:t>needs updating</w:t>
      </w:r>
      <w:r w:rsidR="00A37C1D">
        <w:rPr>
          <w:kern w:val="0"/>
        </w:rPr>
        <w:t>. The</w:t>
      </w:r>
      <w:r>
        <w:rPr>
          <w:kern w:val="0"/>
        </w:rPr>
        <w:t xml:space="preserve"> most recent review (Suggate 2010) focused solely on children</w:t>
      </w:r>
      <w:r w:rsidR="005853A9">
        <w:rPr>
          <w:kern w:val="0"/>
        </w:rPr>
        <w:t xml:space="preserve"> and </w:t>
      </w:r>
      <w:r>
        <w:rPr>
          <w:kern w:val="0"/>
        </w:rPr>
        <w:t>did not include unpublished studies. Objectives The primary aim</w:t>
      </w:r>
      <w:r w:rsidR="00427468">
        <w:rPr>
          <w:kern w:val="0"/>
        </w:rPr>
        <w:t xml:space="preserve"> of </w:t>
      </w:r>
      <w:r>
        <w:rPr>
          <w:kern w:val="0"/>
        </w:rPr>
        <w:t>this review was to measure the effect that phonics training has on the literacy skills</w:t>
      </w:r>
      <w:r w:rsidR="00427468">
        <w:rPr>
          <w:kern w:val="0"/>
        </w:rPr>
        <w:t xml:space="preserve"> of </w:t>
      </w:r>
      <w:r>
        <w:rPr>
          <w:kern w:val="0"/>
        </w:rPr>
        <w:t>English-speaking children, adolescents,</w:t>
      </w:r>
      <w:r w:rsidR="005853A9">
        <w:rPr>
          <w:kern w:val="0"/>
        </w:rPr>
        <w:t xml:space="preserve"> and </w:t>
      </w:r>
      <w:r>
        <w:rPr>
          <w:kern w:val="0"/>
        </w:rPr>
        <w:t>adults whose reading was at least one standard deviation (SD), one year, or one grade below the expected level, despite no reported problems that could explain their impaired ability to learn to read. A secondary objective was to explore the impact</w:t>
      </w:r>
      <w:r w:rsidR="00427468">
        <w:rPr>
          <w:kern w:val="0"/>
        </w:rPr>
        <w:t xml:space="preserve"> of </w:t>
      </w:r>
      <w:r>
        <w:rPr>
          <w:kern w:val="0"/>
        </w:rPr>
        <w:t>various factors, such as length</w:t>
      </w:r>
      <w:r w:rsidR="00427468">
        <w:rPr>
          <w:kern w:val="0"/>
        </w:rPr>
        <w:t xml:space="preserve"> of </w:t>
      </w:r>
      <w:r>
        <w:rPr>
          <w:kern w:val="0"/>
        </w:rPr>
        <w:t>training or training group size, that might moderate the effect</w:t>
      </w:r>
      <w:r w:rsidR="00427468">
        <w:rPr>
          <w:kern w:val="0"/>
        </w:rPr>
        <w:t xml:space="preserve"> of </w:t>
      </w:r>
      <w:r>
        <w:rPr>
          <w:kern w:val="0"/>
        </w:rPr>
        <w:t xml:space="preserve">phonics training on poor word reading skills. Search methods We searched the following databases in July 2012: CENTRAL 2012 (Issue 6), </w:t>
      </w:r>
      <w:r w:rsidR="00D5664A">
        <w:rPr>
          <w:kern w:val="0"/>
        </w:rPr>
        <w:t>MEDLINE</w:t>
      </w:r>
      <w:r>
        <w:rPr>
          <w:kern w:val="0"/>
        </w:rPr>
        <w:t xml:space="preserve"> 1948 to June week 3 2012, EMBASE 1980 to 2012 week 26, DARE 2013 (Issue 6), ERIC (1966 to current), PsycINFO (1806 to current), CINAHL (1938 to current), Science Citation Index (1970 to 29 June 2012), Social Science Citation Index (1970 to 29 June 2012), Conference Proceedings Citation Index - Science (1990 to 29 June 2012), Conference Proceedings Citation Index - Social Science &amp; Humanities (1990 to 29 June 2012), ZETOC, Index to Theses-UK</w:t>
      </w:r>
      <w:r w:rsidR="005853A9">
        <w:rPr>
          <w:kern w:val="0"/>
        </w:rPr>
        <w:t xml:space="preserve"> and </w:t>
      </w:r>
      <w:r>
        <w:rPr>
          <w:kern w:val="0"/>
        </w:rPr>
        <w:t>Ireland, ClinicalTrials.gov, ICTRP, the metaRegister</w:t>
      </w:r>
      <w:r w:rsidR="00427468">
        <w:rPr>
          <w:kern w:val="0"/>
        </w:rPr>
        <w:t xml:space="preserve"> of </w:t>
      </w:r>
      <w:r>
        <w:rPr>
          <w:kern w:val="0"/>
        </w:rPr>
        <w:t>Controlled Trials, ProQuest Dissertations</w:t>
      </w:r>
      <w:r w:rsidR="005853A9">
        <w:rPr>
          <w:kern w:val="0"/>
        </w:rPr>
        <w:t xml:space="preserve"> and </w:t>
      </w:r>
      <w:r>
        <w:rPr>
          <w:kern w:val="0"/>
        </w:rPr>
        <w:t>Theses, DART Europe E-theses Portal, Australasian Digital Theses Program, Education Research Theses, Electronic Theses Online System, Networked Digital Library</w:t>
      </w:r>
      <w:r w:rsidR="00427468">
        <w:rPr>
          <w:kern w:val="0"/>
        </w:rPr>
        <w:t xml:space="preserve"> of </w:t>
      </w:r>
      <w:r>
        <w:rPr>
          <w:kern w:val="0"/>
        </w:rPr>
        <w:t>Theses</w:t>
      </w:r>
      <w:r w:rsidR="005853A9">
        <w:rPr>
          <w:kern w:val="0"/>
        </w:rPr>
        <w:t xml:space="preserve"> and </w:t>
      </w:r>
      <w:r>
        <w:rPr>
          <w:kern w:val="0"/>
        </w:rPr>
        <w:t>Dissertations</w:t>
      </w:r>
      <w:r w:rsidR="00A37C1D">
        <w:rPr>
          <w:kern w:val="0"/>
        </w:rPr>
        <w:t>. The</w:t>
      </w:r>
      <w:r>
        <w:rPr>
          <w:kern w:val="0"/>
        </w:rPr>
        <w:t>ses Canada portal, www.dissertation.com,</w:t>
      </w:r>
      <w:r w:rsidR="005853A9">
        <w:rPr>
          <w:kern w:val="0"/>
        </w:rPr>
        <w:t xml:space="preserve"> and </w:t>
      </w:r>
      <w:r>
        <w:rPr>
          <w:kern w:val="0"/>
        </w:rPr>
        <w:t>www.thesisabstracts.com. We also contacted experts</w:t>
      </w:r>
      <w:r w:rsidR="005853A9">
        <w:rPr>
          <w:kern w:val="0"/>
        </w:rPr>
        <w:t xml:space="preserve"> and </w:t>
      </w:r>
      <w:r>
        <w:rPr>
          <w:kern w:val="0"/>
        </w:rPr>
        <w:t>examined the reference lists</w:t>
      </w:r>
      <w:r w:rsidR="00427468">
        <w:rPr>
          <w:kern w:val="0"/>
        </w:rPr>
        <w:t xml:space="preserve"> of </w:t>
      </w:r>
      <w:r>
        <w:rPr>
          <w:kern w:val="0"/>
        </w:rPr>
        <w:t>published studies. Selection criteria We included studies that use randomisation, quasi-randomisation, or minimisation to allocate participants to either a phonics intervention group (phonics alone, phonics</w:t>
      </w:r>
      <w:r w:rsidR="005853A9">
        <w:rPr>
          <w:kern w:val="0"/>
        </w:rPr>
        <w:t xml:space="preserve"> and </w:t>
      </w:r>
      <w:r>
        <w:rPr>
          <w:kern w:val="0"/>
        </w:rPr>
        <w:t>phoneme awareness training, or phonics</w:t>
      </w:r>
      <w:r w:rsidR="005853A9">
        <w:rPr>
          <w:kern w:val="0"/>
        </w:rPr>
        <w:t xml:space="preserve"> and </w:t>
      </w:r>
      <w:r>
        <w:rPr>
          <w:kern w:val="0"/>
        </w:rPr>
        <w:t>irregular word reading training) or a control group (no training or alternative training, such as maths). Participants were English-speaking children, adolescents, or adults whose word reading was below the level expected for their age for no known reason (that is, they had adequate attention</w:t>
      </w:r>
      <w:r w:rsidR="005853A9">
        <w:rPr>
          <w:kern w:val="0"/>
        </w:rPr>
        <w:t xml:space="preserve"> and </w:t>
      </w:r>
      <w:r>
        <w:rPr>
          <w:kern w:val="0"/>
        </w:rPr>
        <w:t>no known physical, neurological, or psychological problems). Data collection</w:t>
      </w:r>
      <w:r w:rsidR="005853A9">
        <w:rPr>
          <w:kern w:val="0"/>
        </w:rPr>
        <w:t xml:space="preserve"> and </w:t>
      </w:r>
      <w:r>
        <w:rPr>
          <w:kern w:val="0"/>
        </w:rPr>
        <w:t>analysis Two review authors independently selected studies, assessed risk</w:t>
      </w:r>
      <w:r w:rsidR="00427468">
        <w:rPr>
          <w:kern w:val="0"/>
        </w:rPr>
        <w:t xml:space="preserve"> of </w:t>
      </w:r>
      <w:r>
        <w:rPr>
          <w:kern w:val="0"/>
        </w:rPr>
        <w:t>bias,</w:t>
      </w:r>
      <w:r w:rsidR="005853A9">
        <w:rPr>
          <w:kern w:val="0"/>
        </w:rPr>
        <w:t xml:space="preserve"> and </w:t>
      </w:r>
      <w:r>
        <w:rPr>
          <w:kern w:val="0"/>
        </w:rPr>
        <w:t>extracted data. Main results We found 11 studies that met the criteria for this review</w:t>
      </w:r>
      <w:r w:rsidR="00A37C1D">
        <w:rPr>
          <w:kern w:val="0"/>
        </w:rPr>
        <w:t>. The</w:t>
      </w:r>
      <w:r>
        <w:rPr>
          <w:kern w:val="0"/>
        </w:rPr>
        <w:t>y involved 736 participants. We measured the effect</w:t>
      </w:r>
      <w:r w:rsidR="00427468">
        <w:rPr>
          <w:kern w:val="0"/>
        </w:rPr>
        <w:t xml:space="preserve"> of </w:t>
      </w:r>
      <w:r>
        <w:rPr>
          <w:kern w:val="0"/>
        </w:rPr>
        <w:t>phonics training on eight outcomes</w:t>
      </w:r>
      <w:r w:rsidR="00A37C1D">
        <w:rPr>
          <w:kern w:val="0"/>
        </w:rPr>
        <w:t>. The</w:t>
      </w:r>
      <w:r>
        <w:rPr>
          <w:kern w:val="0"/>
        </w:rPr>
        <w:t xml:space="preserve"> amount</w:t>
      </w:r>
      <w:r w:rsidR="00427468">
        <w:rPr>
          <w:kern w:val="0"/>
        </w:rPr>
        <w:t xml:space="preserve"> of </w:t>
      </w:r>
      <w:r>
        <w:rPr>
          <w:kern w:val="0"/>
        </w:rPr>
        <w:t>evidence for each outcome varied considerably, ranging from 10 studies for word reading accuracy to one study for nonword reading fluency</w:t>
      </w:r>
      <w:r w:rsidR="00A37C1D">
        <w:rPr>
          <w:kern w:val="0"/>
        </w:rPr>
        <w:t>. The</w:t>
      </w:r>
      <w:r>
        <w:rPr>
          <w:kern w:val="0"/>
        </w:rPr>
        <w:t xml:space="preserve"> effect sizes for the outcomes were: word reading accuracy standardised mean difference (SMD) 0.47 (95% confidence interval (CI) 0.06 to 0.88; 10 studies), nonword reading accuracy SMD 0.76 (95% CI 0.25 to 1.27; eight studies), word </w:t>
      </w:r>
      <w:r>
        <w:rPr>
          <w:kern w:val="0"/>
        </w:rPr>
        <w:lastRenderedPageBreak/>
        <w:t>reading fluency SMD -0.51 (95% CI -1.14 to 0.13; two studies), reading comprehension SMD 0.14 (95% CI -0.46 to 0.74; three studies), spelling SMD 0.36 (95% CI -0.27 to 1.00; two studies), letter-sound knowledge SMD 0.35 (95% CI 0.04 to 0.65; three studies),</w:t>
      </w:r>
      <w:r w:rsidR="005853A9">
        <w:rPr>
          <w:kern w:val="0"/>
        </w:rPr>
        <w:t xml:space="preserve"> and </w:t>
      </w:r>
      <w:r>
        <w:rPr>
          <w:kern w:val="0"/>
        </w:rPr>
        <w:t>phonological output SMD 0.38 (95% -0.04 to 0.80; four studies)</w:t>
      </w:r>
      <w:r w:rsidR="00A37C1D">
        <w:rPr>
          <w:kern w:val="0"/>
        </w:rPr>
        <w:t>. The</w:t>
      </w:r>
      <w:r>
        <w:rPr>
          <w:kern w:val="0"/>
        </w:rPr>
        <w:t>re was one result in a negative direction for nonword reading fluency SMD 0.38 (95% CI -0.55 to 1.32; one study), though this was not statistically significant. We did five subgroup analyses on two outcomes that had sufficient data (word reading accuracy</w:t>
      </w:r>
      <w:r w:rsidR="005853A9">
        <w:rPr>
          <w:kern w:val="0"/>
        </w:rPr>
        <w:t xml:space="preserve"> and </w:t>
      </w:r>
      <w:r>
        <w:rPr>
          <w:kern w:val="0"/>
        </w:rPr>
        <w:t>nonword reading accuracy)</w:t>
      </w:r>
      <w:r w:rsidR="00A37C1D">
        <w:rPr>
          <w:kern w:val="0"/>
        </w:rPr>
        <w:t>. The</w:t>
      </w:r>
      <w:r>
        <w:rPr>
          <w:kern w:val="0"/>
        </w:rPr>
        <w:t xml:space="preserve"> efficacy</w:t>
      </w:r>
      <w:r w:rsidR="00427468">
        <w:rPr>
          <w:kern w:val="0"/>
        </w:rPr>
        <w:t xml:space="preserve"> of </w:t>
      </w:r>
      <w:r>
        <w:rPr>
          <w:kern w:val="0"/>
        </w:rPr>
        <w:t>phonics training was not moderated significantly by training type (phonics alone versus phonics</w:t>
      </w:r>
      <w:r w:rsidR="005853A9">
        <w:rPr>
          <w:kern w:val="0"/>
        </w:rPr>
        <w:t xml:space="preserve"> and </w:t>
      </w:r>
      <w:r>
        <w:rPr>
          <w:kern w:val="0"/>
        </w:rPr>
        <w:t>phoneme awareness versus phonics</w:t>
      </w:r>
      <w:r w:rsidR="005853A9">
        <w:rPr>
          <w:kern w:val="0"/>
        </w:rPr>
        <w:t xml:space="preserve"> and </w:t>
      </w:r>
      <w:r>
        <w:rPr>
          <w:kern w:val="0"/>
        </w:rPr>
        <w:t>irregular word training), training intensity (less than two hours per week versus at least two hours per week), training duration (less than three months versus at least three months), training group size (one-on-one versus small group training), or training administrator (human administration versus computer administration). Authors</w:t>
      </w:r>
      <w:r w:rsidR="0071223E">
        <w:rPr>
          <w:kern w:val="0"/>
        </w:rPr>
        <w:t>’</w:t>
      </w:r>
      <w:r>
        <w:rPr>
          <w:kern w:val="0"/>
        </w:rPr>
        <w:t xml:space="preserve"> conclusions Phonics training appears to be effective for improving some reading skills. Specifically, statistically significant effects were found for nonword reading accuracy (large effect), word reading accuracy (moderate effect),</w:t>
      </w:r>
      <w:r w:rsidR="005853A9">
        <w:rPr>
          <w:kern w:val="0"/>
        </w:rPr>
        <w:t xml:space="preserve"> and </w:t>
      </w:r>
      <w:r>
        <w:rPr>
          <w:kern w:val="0"/>
        </w:rPr>
        <w:t>letter-sound knowledge (small-to-moderate effect). For several other outcomes, there were small or moderate effect sizes that did not reach statistical significance but may be meaningful: word reading fluency, spelling, phonological output,</w:t>
      </w:r>
      <w:r w:rsidR="005853A9">
        <w:rPr>
          <w:kern w:val="0"/>
        </w:rPr>
        <w:t xml:space="preserve"> and </w:t>
      </w:r>
      <w:r>
        <w:rPr>
          <w:kern w:val="0"/>
        </w:rPr>
        <w:t>reading comprehension</w:t>
      </w:r>
      <w:r w:rsidR="00A37C1D">
        <w:rPr>
          <w:kern w:val="0"/>
        </w:rPr>
        <w:t>. The</w:t>
      </w:r>
      <w:r>
        <w:rPr>
          <w:kern w:val="0"/>
        </w:rPr>
        <w:t xml:space="preserve"> effect for nonword reading fluency, which was measured in only one study, was in a negative direction, but this was not statistically significant. Future studies</w:t>
      </w:r>
      <w:r w:rsidR="00427468">
        <w:rPr>
          <w:kern w:val="0"/>
        </w:rPr>
        <w:t xml:space="preserve"> of </w:t>
      </w:r>
      <w:r>
        <w:rPr>
          <w:kern w:val="0"/>
        </w:rPr>
        <w:t>phonics training need to improve the reporting</w:t>
      </w:r>
      <w:r w:rsidR="00427468">
        <w:rPr>
          <w:kern w:val="0"/>
        </w:rPr>
        <w:t xml:space="preserve"> of </w:t>
      </w:r>
      <w:r>
        <w:rPr>
          <w:kern w:val="0"/>
        </w:rPr>
        <w:t>procedures used for random sequence generation, allocation concealment,</w:t>
      </w:r>
      <w:r w:rsidR="005853A9">
        <w:rPr>
          <w:kern w:val="0"/>
        </w:rPr>
        <w:t xml:space="preserve"> and </w:t>
      </w:r>
      <w:r>
        <w:rPr>
          <w:kern w:val="0"/>
        </w:rPr>
        <w:t>blinding</w:t>
      </w:r>
      <w:r w:rsidR="00427468">
        <w:rPr>
          <w:kern w:val="0"/>
        </w:rPr>
        <w:t xml:space="preserve"> of </w:t>
      </w:r>
      <w:r>
        <w:rPr>
          <w:kern w:val="0"/>
        </w:rPr>
        <w:t>participants, personnel,</w:t>
      </w:r>
      <w:r w:rsidR="005853A9">
        <w:rPr>
          <w:kern w:val="0"/>
        </w:rPr>
        <w:t xml:space="preserve"> and </w:t>
      </w:r>
      <w:r>
        <w:rPr>
          <w:kern w:val="0"/>
        </w:rPr>
        <w:t>outcome assessment.</w:t>
      </w:r>
    </w:p>
    <w:p w:rsidR="00365DE4" w:rsidRDefault="00365DE4" w:rsidP="00365DE4">
      <w:pPr>
        <w:pStyle w:val="a3"/>
        <w:rPr>
          <w:kern w:val="0"/>
        </w:rPr>
      </w:pPr>
      <w:r>
        <w:rPr>
          <w:kern w:val="0"/>
        </w:rPr>
        <w:t xml:space="preserve">Keywords: Accuracy, Administration, Adolescents, Age, Allocation, Alternative, Analyses, Analysis, Assessment, At-Risk Children, Authors, Bias, Canada, Children, Citation, Collection, Computer-Assisted-Instruction, Conference, Confidence, Control, Criteria, Data, Data Collection, Databases, Developmental Dyslexia, Disabled-Children, Duration, Dyslexic Childrens Response, Effects, Efficacy, Embase, Europe, Evidence, Experts, Generation, Human, Humanities, Impact, Interval, Intervention, Ireland, Knowledge, Learning, Learning Support Assistants, Length, Long-Term Outcomes, Measure, </w:t>
      </w:r>
      <w:r w:rsidR="00D5664A">
        <w:rPr>
          <w:kern w:val="0"/>
        </w:rPr>
        <w:t>MEDLINE</w:t>
      </w:r>
      <w:r>
        <w:rPr>
          <w:kern w:val="0"/>
        </w:rPr>
        <w:t>, Methods, Needs, Neurological, Outcome, Outcome Assessment, Outcomes, Personnel, Phonological Awareness Intervention, Physical, Preventing Reading Failure, Primary, Procedures, Psycinfo, Randomisation, Reading, Recent, Reference, Reference Lists, Reporting, Research, Review, Reviews, Risk, Science, Science Citation Index, Search, Significance, Size, Small, Social Science Citation Index, Spoken Language Impairment, Standard, Systematic Reviews, Theses, Training, Well</w:t>
      </w:r>
    </w:p>
    <w:p w:rsidR="00365DE4" w:rsidRDefault="00365DE4" w:rsidP="00365DE4">
      <w:pPr>
        <w:pStyle w:val="a3"/>
        <w:rPr>
          <w:kern w:val="0"/>
        </w:rPr>
      </w:pPr>
      <w:r>
        <w:rPr>
          <w:kern w:val="0"/>
        </w:rPr>
        <w:lastRenderedPageBreak/>
        <w:t>? Tan, M.L., Ho, J.J.</w:t>
      </w:r>
      <w:r w:rsidR="005853A9">
        <w:rPr>
          <w:kern w:val="0"/>
        </w:rPr>
        <w:t xml:space="preserve"> and </w:t>
      </w:r>
      <w:r>
        <w:rPr>
          <w:kern w:val="0"/>
        </w:rPr>
        <w:t xml:space="preserve">Teh, K.H. (2012), Polyunsaturated fatty acids (PUFAs) for children with specific learning disorders.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12</w:t>
      </w:r>
      <w:r>
        <w:rPr>
          <w:kern w:val="0"/>
        </w:rPr>
        <w:t>, Article Number: CD009398.</w:t>
      </w:r>
    </w:p>
    <w:p w:rsidR="00365DE4" w:rsidRDefault="00365DE4" w:rsidP="00365DE4">
      <w:pPr>
        <w:pStyle w:val="a3"/>
        <w:rPr>
          <w:kern w:val="2"/>
        </w:rPr>
      </w:pPr>
      <w:r>
        <w:t>Full Text: 2012\Coc Dat Sys Rev2012, CD009398.pdf</w:t>
      </w:r>
    </w:p>
    <w:p w:rsidR="00365DE4" w:rsidRDefault="00365DE4" w:rsidP="00365DE4">
      <w:pPr>
        <w:pStyle w:val="a3"/>
        <w:rPr>
          <w:kern w:val="0"/>
        </w:rPr>
      </w:pPr>
      <w:r>
        <w:rPr>
          <w:kern w:val="0"/>
        </w:rPr>
        <w:t>Abstract: Background About 5%</w:t>
      </w:r>
      <w:r w:rsidR="00427468">
        <w:rPr>
          <w:kern w:val="0"/>
        </w:rPr>
        <w:t xml:space="preserve"> of </w:t>
      </w:r>
      <w:r>
        <w:rPr>
          <w:kern w:val="0"/>
        </w:rPr>
        <w:t>schoolchildren have a specific learning disorder, defined as an unexpected failure to acquire adequate abilities in reading, writing or mathematic skills not as a result</w:t>
      </w:r>
      <w:r w:rsidR="00427468">
        <w:rPr>
          <w:kern w:val="0"/>
        </w:rPr>
        <w:t xml:space="preserve"> of </w:t>
      </w:r>
      <w:r>
        <w:rPr>
          <w:kern w:val="0"/>
        </w:rPr>
        <w:t>reduced intellectual ability, inadequate teaching or social deprivation.</w:t>
      </w:r>
      <w:r w:rsidR="00427468">
        <w:rPr>
          <w:kern w:val="0"/>
        </w:rPr>
        <w:t xml:space="preserve"> of </w:t>
      </w:r>
      <w:r>
        <w:rPr>
          <w:kern w:val="0"/>
        </w:rPr>
        <w:t>these, 80% are reading disorders. Polyunsaturated fatty acids (PUFAs), in particular omega-3</w:t>
      </w:r>
      <w:r w:rsidR="005853A9">
        <w:rPr>
          <w:kern w:val="0"/>
        </w:rPr>
        <w:t xml:space="preserve"> and </w:t>
      </w:r>
      <w:r>
        <w:rPr>
          <w:kern w:val="0"/>
        </w:rPr>
        <w:t>omega-6 fatty acids, which are found abundantly in the brain</w:t>
      </w:r>
      <w:r w:rsidR="005853A9">
        <w:rPr>
          <w:kern w:val="0"/>
        </w:rPr>
        <w:t xml:space="preserve"> and </w:t>
      </w:r>
      <w:r>
        <w:rPr>
          <w:kern w:val="0"/>
        </w:rPr>
        <w:t>retina are important for learning. Some children with specific learning disorders have been found to be deficient in these PUFAs,</w:t>
      </w:r>
      <w:r w:rsidR="005853A9">
        <w:rPr>
          <w:kern w:val="0"/>
        </w:rPr>
        <w:t xml:space="preserve"> and </w:t>
      </w:r>
      <w:r>
        <w:rPr>
          <w:kern w:val="0"/>
        </w:rPr>
        <w:t>it is argued that supplementation</w:t>
      </w:r>
      <w:r w:rsidR="00427468">
        <w:rPr>
          <w:kern w:val="0"/>
        </w:rPr>
        <w:t xml:space="preserve"> of </w:t>
      </w:r>
      <w:r>
        <w:rPr>
          <w:kern w:val="0"/>
        </w:rPr>
        <w:t>PUFAs may help these children improve their learning abilities. Objectives To assess the effects</w:t>
      </w:r>
      <w:r w:rsidR="00427468">
        <w:rPr>
          <w:kern w:val="0"/>
        </w:rPr>
        <w:t xml:space="preserve"> of </w:t>
      </w:r>
      <w:r>
        <w:rPr>
          <w:kern w:val="0"/>
        </w:rPr>
        <w:t xml:space="preserve">polyunsaturated fatty acids (PUFAs) supplementation for children with specific learning disorders, on learning outcomes. Search methods We searched the following databases in April 2012: CENTRAL (2012, Issue 4), </w:t>
      </w:r>
      <w:r w:rsidR="00D5664A">
        <w:rPr>
          <w:kern w:val="0"/>
        </w:rPr>
        <w:t>MEDLINE</w:t>
      </w:r>
      <w:r>
        <w:rPr>
          <w:kern w:val="0"/>
        </w:rPr>
        <w:t xml:space="preserve"> (1948 to April Week 2 2012), EMBASE (1980 to 2012 Week 16), PsycINFO (1806 to April 2012), ERIC (1966 to April 2012), Science Citation Index (1970 to 20 April 2012), Social Science Citation Index (1970 to 20 April 2012), Conference Proceedings Citation Index-Science (1970 to 20 April 2012), Conference Proceedings Citation Index-Social Sciences</w:t>
      </w:r>
      <w:r w:rsidR="005853A9">
        <w:rPr>
          <w:kern w:val="0"/>
        </w:rPr>
        <w:t xml:space="preserve"> and </w:t>
      </w:r>
      <w:r>
        <w:rPr>
          <w:kern w:val="0"/>
        </w:rPr>
        <w:t>Humanites (1970 to 20 April 2012), Cochrane Database</w:t>
      </w:r>
      <w:r w:rsidR="00427468">
        <w:rPr>
          <w:kern w:val="0"/>
        </w:rPr>
        <w:t xml:space="preserve"> of </w:t>
      </w:r>
      <w:r>
        <w:rPr>
          <w:kern w:val="0"/>
        </w:rPr>
        <w:t>Systematic Reviews (2012, Issue 4), DARE (2012, Issue 2), ZETOC (24 April 2012)</w:t>
      </w:r>
      <w:r w:rsidR="005853A9">
        <w:rPr>
          <w:kern w:val="0"/>
        </w:rPr>
        <w:t xml:space="preserve"> and </w:t>
      </w:r>
      <w:r>
        <w:rPr>
          <w:kern w:val="0"/>
        </w:rPr>
        <w:t>WorldCat (24 April 2012). We searched the WHO International Clinical Trials Registry Platform</w:t>
      </w:r>
      <w:r w:rsidR="005853A9">
        <w:rPr>
          <w:kern w:val="0"/>
        </w:rPr>
        <w:t xml:space="preserve"> and </w:t>
      </w:r>
      <w:r>
        <w:rPr>
          <w:kern w:val="0"/>
        </w:rPr>
        <w:t>ClinicalTrials.gov on 24 April 2012. We also searched the reference lists</w:t>
      </w:r>
      <w:r w:rsidR="00427468">
        <w:rPr>
          <w:kern w:val="0"/>
        </w:rPr>
        <w:t xml:space="preserve"> of </w:t>
      </w:r>
      <w:r>
        <w:rPr>
          <w:kern w:val="0"/>
        </w:rPr>
        <w:t>relevant articles identified by the searches. Selection criteria Randomised or quasi-randomised controlled trials comparing polyunsaturated fatty acids (PUFAs) with placebo or no treatment in children aged below 18 years with specific learning disabilities diagnosed using DSM-IV, ICD-10 or equivalent criteria. We intended to include participants with co-existing developmental disorders such as attention deficit hyperactivity disorder (ADHD) or autism. Data collection</w:t>
      </w:r>
      <w:r w:rsidR="005853A9">
        <w:rPr>
          <w:kern w:val="0"/>
        </w:rPr>
        <w:t xml:space="preserve"> and </w:t>
      </w:r>
      <w:r>
        <w:rPr>
          <w:kern w:val="0"/>
        </w:rPr>
        <w:t>analysis Two authors (ML</w:t>
      </w:r>
      <w:r w:rsidR="005853A9">
        <w:rPr>
          <w:kern w:val="0"/>
        </w:rPr>
        <w:t xml:space="preserve"> and </w:t>
      </w:r>
      <w:r>
        <w:rPr>
          <w:kern w:val="0"/>
        </w:rPr>
        <w:t>KH) independently screened the titles</w:t>
      </w:r>
      <w:r w:rsidR="005853A9">
        <w:rPr>
          <w:kern w:val="0"/>
        </w:rPr>
        <w:t xml:space="preserve"> and </w:t>
      </w:r>
      <w:r>
        <w:rPr>
          <w:kern w:val="0"/>
        </w:rPr>
        <w:t>abstracts</w:t>
      </w:r>
      <w:r w:rsidR="00427468">
        <w:rPr>
          <w:kern w:val="0"/>
        </w:rPr>
        <w:t xml:space="preserve"> of </w:t>
      </w:r>
      <w:r>
        <w:rPr>
          <w:kern w:val="0"/>
        </w:rPr>
        <w:t>the search results</w:t>
      </w:r>
      <w:r w:rsidR="005853A9">
        <w:rPr>
          <w:kern w:val="0"/>
        </w:rPr>
        <w:t xml:space="preserve"> and </w:t>
      </w:r>
      <w:r>
        <w:rPr>
          <w:kern w:val="0"/>
        </w:rPr>
        <w:t>eliminated all studies that did not meet the inclusion criteria. Authors were contacted for missing information</w:t>
      </w:r>
      <w:r w:rsidR="005853A9">
        <w:rPr>
          <w:kern w:val="0"/>
        </w:rPr>
        <w:t xml:space="preserve"> and </w:t>
      </w:r>
      <w:r>
        <w:rPr>
          <w:kern w:val="0"/>
        </w:rPr>
        <w:t>clarifications when needed. Main results We did not find any studies suitable for inclusion in the review. One study is awaiting classification as we were unable to get any information from the study author. Authors</w:t>
      </w:r>
      <w:r w:rsidR="0071223E">
        <w:rPr>
          <w:kern w:val="0"/>
        </w:rPr>
        <w:t>’</w:t>
      </w:r>
      <w:r>
        <w:rPr>
          <w:kern w:val="0"/>
        </w:rPr>
        <w:t xml:space="preserve"> conclusions There is insufficient evidence to draw any conclusion about the use</w:t>
      </w:r>
      <w:r w:rsidR="00427468">
        <w:rPr>
          <w:kern w:val="0"/>
        </w:rPr>
        <w:t xml:space="preserve"> of </w:t>
      </w:r>
      <w:r>
        <w:rPr>
          <w:kern w:val="0"/>
        </w:rPr>
        <w:t>PUFAs for children with specific learning disorders</w:t>
      </w:r>
      <w:r w:rsidR="00A37C1D">
        <w:rPr>
          <w:kern w:val="0"/>
        </w:rPr>
        <w:t>. The</w:t>
      </w:r>
      <w:r>
        <w:rPr>
          <w:kern w:val="0"/>
        </w:rPr>
        <w:t>re is a need for well designed randomised studies to support or refute the use</w:t>
      </w:r>
      <w:r w:rsidR="00427468">
        <w:rPr>
          <w:kern w:val="0"/>
        </w:rPr>
        <w:t xml:space="preserve"> of </w:t>
      </w:r>
      <w:r>
        <w:rPr>
          <w:kern w:val="0"/>
        </w:rPr>
        <w:t>PUFAs in this group</w:t>
      </w:r>
      <w:r w:rsidR="00427468">
        <w:rPr>
          <w:kern w:val="0"/>
        </w:rPr>
        <w:t xml:space="preserve"> of </w:t>
      </w:r>
      <w:r>
        <w:rPr>
          <w:kern w:val="0"/>
        </w:rPr>
        <w:t>children.</w:t>
      </w:r>
    </w:p>
    <w:p w:rsidR="00365DE4" w:rsidRDefault="00365DE4" w:rsidP="00365DE4">
      <w:pPr>
        <w:pStyle w:val="a3"/>
        <w:rPr>
          <w:kern w:val="0"/>
        </w:rPr>
      </w:pPr>
      <w:r>
        <w:rPr>
          <w:kern w:val="0"/>
        </w:rPr>
        <w:lastRenderedPageBreak/>
        <w:t xml:space="preserve">Keywords: Adhd, Aged, Analysis, Authors, Autistic Spectrum, Brain, Children, Citation, Classification, Clinical Trials, Collection, Conference, Criteria, Data Collection, Databases, Deprivation, Disabilities, Docosahexaenoic Acid, Dsm-Iv, Dyslexia, Effects, Embase, Evidence, Failure, Icd-10, Information, Learning, </w:t>
      </w:r>
      <w:r w:rsidR="00D5664A">
        <w:rPr>
          <w:kern w:val="0"/>
        </w:rPr>
        <w:t>MEDLINE</w:t>
      </w:r>
      <w:r>
        <w:rPr>
          <w:kern w:val="0"/>
        </w:rPr>
        <w:t>, Methods, Outcomes, Placebo, Placebo-Controlled Trial, Psycinfo, Randomised, Randomized Double-Blind, Reading, Reading Difficulties, Reference, Reference Lists, Review, Science, Science Citation Index, Search, Social, Social Science Citation Index, Supplementation, Support, Systematic Analysis, Teaching, Treatment, WHO</w:t>
      </w:r>
    </w:p>
    <w:p w:rsidR="00365DE4" w:rsidRDefault="00365DE4" w:rsidP="00365DE4">
      <w:pPr>
        <w:pStyle w:val="a3"/>
        <w:rPr>
          <w:kern w:val="0"/>
        </w:rPr>
      </w:pPr>
      <w:r>
        <w:rPr>
          <w:kern w:val="0"/>
          <w:szCs w:val="24"/>
        </w:rPr>
        <w:t>? Shepperd, S., Lannin, N.A., Clemson, L.M., McCluskey, A., Cameron, I.D.</w:t>
      </w:r>
      <w:r w:rsidR="005853A9">
        <w:rPr>
          <w:kern w:val="0"/>
          <w:szCs w:val="24"/>
        </w:rPr>
        <w:t xml:space="preserve"> and </w:t>
      </w:r>
      <w:r>
        <w:rPr>
          <w:kern w:val="0"/>
          <w:szCs w:val="24"/>
        </w:rPr>
        <w:t xml:space="preserve">Barras, S.L. (2013), Discharge planning from hospital to home.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w:t>
      </w:r>
      <w:r>
        <w:rPr>
          <w:kern w:val="0"/>
        </w:rPr>
        <w:t>, Article Number: CD000313.</w:t>
      </w:r>
    </w:p>
    <w:p w:rsidR="00365DE4" w:rsidRDefault="00365DE4" w:rsidP="00365DE4">
      <w:pPr>
        <w:pStyle w:val="a3"/>
        <w:rPr>
          <w:kern w:val="2"/>
        </w:rPr>
      </w:pPr>
      <w:r>
        <w:t xml:space="preserve">Full Text: 2013\Coc Dat Sys Rev2013, </w:t>
      </w:r>
      <w:r>
        <w:rPr>
          <w:kern w:val="0"/>
        </w:rPr>
        <w:t>CD000313.pdf</w:t>
      </w:r>
    </w:p>
    <w:p w:rsidR="00365DE4" w:rsidRDefault="00365DE4" w:rsidP="00365DE4">
      <w:pPr>
        <w:pStyle w:val="a3"/>
        <w:rPr>
          <w:kern w:val="0"/>
          <w:szCs w:val="24"/>
        </w:rPr>
      </w:pPr>
      <w:r>
        <w:rPr>
          <w:kern w:val="0"/>
          <w:szCs w:val="24"/>
        </w:rPr>
        <w:t>Abstract: Background Discharge planning is a routine feature</w:t>
      </w:r>
      <w:r w:rsidR="00427468">
        <w:rPr>
          <w:kern w:val="0"/>
          <w:szCs w:val="24"/>
        </w:rPr>
        <w:t xml:space="preserve"> of </w:t>
      </w:r>
      <w:r>
        <w:rPr>
          <w:kern w:val="0"/>
          <w:szCs w:val="24"/>
        </w:rPr>
        <w:t>health systems in many countries</w:t>
      </w:r>
      <w:r w:rsidR="00A37C1D">
        <w:rPr>
          <w:kern w:val="0"/>
          <w:szCs w:val="24"/>
        </w:rPr>
        <w:t>. The</w:t>
      </w:r>
      <w:r>
        <w:rPr>
          <w:kern w:val="0"/>
          <w:szCs w:val="24"/>
        </w:rPr>
        <w:t xml:space="preserve"> aim</w:t>
      </w:r>
      <w:r w:rsidR="00427468">
        <w:rPr>
          <w:kern w:val="0"/>
          <w:szCs w:val="24"/>
        </w:rPr>
        <w:t xml:space="preserve"> of </w:t>
      </w:r>
      <w:r>
        <w:rPr>
          <w:kern w:val="0"/>
          <w:szCs w:val="24"/>
        </w:rPr>
        <w:t>discharge planning is to reduce hospital length</w:t>
      </w:r>
      <w:r w:rsidR="00427468">
        <w:rPr>
          <w:kern w:val="0"/>
          <w:szCs w:val="24"/>
        </w:rPr>
        <w:t xml:space="preserve"> of </w:t>
      </w:r>
      <w:r>
        <w:rPr>
          <w:kern w:val="0"/>
          <w:szCs w:val="24"/>
        </w:rPr>
        <w:t>stay</w:t>
      </w:r>
      <w:r w:rsidR="005853A9">
        <w:rPr>
          <w:kern w:val="0"/>
          <w:szCs w:val="24"/>
        </w:rPr>
        <w:t xml:space="preserve"> and </w:t>
      </w:r>
      <w:r>
        <w:rPr>
          <w:kern w:val="0"/>
          <w:szCs w:val="24"/>
        </w:rPr>
        <w:t>unplanned readmission to hospital,</w:t>
      </w:r>
      <w:r w:rsidR="005853A9">
        <w:rPr>
          <w:kern w:val="0"/>
          <w:szCs w:val="24"/>
        </w:rPr>
        <w:t xml:space="preserve"> and </w:t>
      </w:r>
      <w:r>
        <w:rPr>
          <w:kern w:val="0"/>
          <w:szCs w:val="24"/>
        </w:rPr>
        <w:t>improve the co-ordination</w:t>
      </w:r>
      <w:r w:rsidR="00427468">
        <w:rPr>
          <w:kern w:val="0"/>
          <w:szCs w:val="24"/>
        </w:rPr>
        <w:t xml:space="preserve"> of </w:t>
      </w:r>
      <w:r>
        <w:rPr>
          <w:kern w:val="0"/>
          <w:szCs w:val="24"/>
        </w:rPr>
        <w:t>services following discharge from hospital. Objectives To determine the effectiveness</w:t>
      </w:r>
      <w:r w:rsidR="00427468">
        <w:rPr>
          <w:kern w:val="0"/>
          <w:szCs w:val="24"/>
        </w:rPr>
        <w:t xml:space="preserve"> of </w:t>
      </w:r>
      <w:r>
        <w:rPr>
          <w:kern w:val="0"/>
          <w:szCs w:val="24"/>
        </w:rPr>
        <w:t>planning the discharge</w:t>
      </w:r>
      <w:r w:rsidR="00427468">
        <w:rPr>
          <w:kern w:val="0"/>
          <w:szCs w:val="24"/>
        </w:rPr>
        <w:t xml:space="preserve"> of </w:t>
      </w:r>
      <w:r>
        <w:rPr>
          <w:kern w:val="0"/>
          <w:szCs w:val="24"/>
        </w:rPr>
        <w:t xml:space="preserve">individual patients moving from hospital. Search methods We updated the review using the Cochrane EPOC Group Trials Register, </w:t>
      </w:r>
      <w:r w:rsidR="00D5664A">
        <w:rPr>
          <w:kern w:val="0"/>
          <w:szCs w:val="24"/>
        </w:rPr>
        <w:t>MEDLINE</w:t>
      </w:r>
      <w:r>
        <w:rPr>
          <w:kern w:val="0"/>
          <w:szCs w:val="24"/>
        </w:rPr>
        <w:t>, EMBASE</w:t>
      </w:r>
      <w:r w:rsidR="005853A9">
        <w:rPr>
          <w:kern w:val="0"/>
          <w:szCs w:val="24"/>
        </w:rPr>
        <w:t xml:space="preserve"> and </w:t>
      </w:r>
      <w:r>
        <w:rPr>
          <w:kern w:val="0"/>
          <w:szCs w:val="24"/>
        </w:rPr>
        <w:t>the Social Science Citation Index (last searched in March 2012). Selection criteria Randomised controlled trials (RCTs) that compared an individualised discharge plan with routine discharge care that was not tailored to the individual patient. Participants were hospital inpatients. Data collection</w:t>
      </w:r>
      <w:r w:rsidR="005853A9">
        <w:rPr>
          <w:kern w:val="0"/>
          <w:szCs w:val="24"/>
        </w:rPr>
        <w:t xml:space="preserve"> and </w:t>
      </w:r>
      <w:r>
        <w:rPr>
          <w:kern w:val="0"/>
          <w:szCs w:val="24"/>
        </w:rPr>
        <w:t>analysis Two authors independently undertook data analysis</w:t>
      </w:r>
      <w:r w:rsidR="005853A9">
        <w:rPr>
          <w:kern w:val="0"/>
          <w:szCs w:val="24"/>
        </w:rPr>
        <w:t xml:space="preserve"> and </w:t>
      </w:r>
      <w:r>
        <w:rPr>
          <w:kern w:val="0"/>
          <w:szCs w:val="24"/>
        </w:rPr>
        <w:t>quality assessment using a pre designed data extraction sheet. Studies are grouped according to patient group (elderly medical patients, patients recovering from surgery</w:t>
      </w:r>
      <w:r w:rsidR="005853A9">
        <w:rPr>
          <w:kern w:val="0"/>
          <w:szCs w:val="24"/>
        </w:rPr>
        <w:t xml:space="preserve"> and </w:t>
      </w:r>
      <w:r>
        <w:rPr>
          <w:kern w:val="0"/>
          <w:szCs w:val="24"/>
        </w:rPr>
        <w:t>those with a mix</w:t>
      </w:r>
      <w:r w:rsidR="00427468">
        <w:rPr>
          <w:kern w:val="0"/>
          <w:szCs w:val="24"/>
        </w:rPr>
        <w:t xml:space="preserve"> of </w:t>
      </w:r>
      <w:r>
        <w:rPr>
          <w:kern w:val="0"/>
          <w:szCs w:val="24"/>
        </w:rPr>
        <w:t>conditions)</w:t>
      </w:r>
      <w:r w:rsidR="005853A9">
        <w:rPr>
          <w:kern w:val="0"/>
          <w:szCs w:val="24"/>
        </w:rPr>
        <w:t xml:space="preserve"> and </w:t>
      </w:r>
      <w:r>
        <w:rPr>
          <w:kern w:val="0"/>
          <w:szCs w:val="24"/>
        </w:rPr>
        <w:t>by outcome. Our statistical analysis was done on an intention to treat basis, we calculated risk ratios for dichotomous outcomes</w:t>
      </w:r>
      <w:r w:rsidR="005853A9">
        <w:rPr>
          <w:kern w:val="0"/>
          <w:szCs w:val="24"/>
        </w:rPr>
        <w:t xml:space="preserve"> and </w:t>
      </w:r>
      <w:r>
        <w:rPr>
          <w:kern w:val="0"/>
          <w:szCs w:val="24"/>
        </w:rPr>
        <w:t>mean differences for continuous data using fixed-effect meta-analysis. When combining outcome data was not possible, because</w:t>
      </w:r>
      <w:r w:rsidR="00427468">
        <w:rPr>
          <w:kern w:val="0"/>
          <w:szCs w:val="24"/>
        </w:rPr>
        <w:t xml:space="preserve"> of </w:t>
      </w:r>
      <w:r>
        <w:rPr>
          <w:kern w:val="0"/>
          <w:szCs w:val="24"/>
        </w:rPr>
        <w:t>differences in the reporting</w:t>
      </w:r>
      <w:r w:rsidR="00427468">
        <w:rPr>
          <w:kern w:val="0"/>
          <w:szCs w:val="24"/>
        </w:rPr>
        <w:t xml:space="preserve"> of </w:t>
      </w:r>
      <w:r>
        <w:rPr>
          <w:kern w:val="0"/>
          <w:szCs w:val="24"/>
        </w:rPr>
        <w:t>outcomes, we have presented the data in narrative summary tables. Main results We included twenty-four RCTs (8098 patients); three RCTS were identified in this update. Sixteen studies recruited older patients with a medical condition, four recruited patients with a mix</w:t>
      </w:r>
      <w:r w:rsidR="00427468">
        <w:rPr>
          <w:kern w:val="0"/>
          <w:szCs w:val="24"/>
        </w:rPr>
        <w:t xml:space="preserve"> of </w:t>
      </w:r>
      <w:r>
        <w:rPr>
          <w:kern w:val="0"/>
          <w:szCs w:val="24"/>
        </w:rPr>
        <w:t>medical</w:t>
      </w:r>
      <w:r w:rsidR="005853A9">
        <w:rPr>
          <w:kern w:val="0"/>
          <w:szCs w:val="24"/>
        </w:rPr>
        <w:t xml:space="preserve"> and </w:t>
      </w:r>
      <w:r>
        <w:rPr>
          <w:kern w:val="0"/>
          <w:szCs w:val="24"/>
        </w:rPr>
        <w:t>surgical conditions, one recruited patients from a psychiatric hospital, one from both a psychiatric hospital</w:t>
      </w:r>
      <w:r w:rsidR="005853A9">
        <w:rPr>
          <w:kern w:val="0"/>
          <w:szCs w:val="24"/>
        </w:rPr>
        <w:t xml:space="preserve"> and </w:t>
      </w:r>
      <w:r>
        <w:rPr>
          <w:kern w:val="0"/>
          <w:szCs w:val="24"/>
        </w:rPr>
        <w:t>from a general hospital,</w:t>
      </w:r>
      <w:r w:rsidR="005853A9">
        <w:rPr>
          <w:kern w:val="0"/>
          <w:szCs w:val="24"/>
        </w:rPr>
        <w:t xml:space="preserve"> and </w:t>
      </w:r>
      <w:r>
        <w:rPr>
          <w:kern w:val="0"/>
          <w:szCs w:val="24"/>
        </w:rPr>
        <w:t>two trials patients admitted to hospital following a fall (110 patients). Hospital length</w:t>
      </w:r>
      <w:r w:rsidR="00427468">
        <w:rPr>
          <w:kern w:val="0"/>
          <w:szCs w:val="24"/>
        </w:rPr>
        <w:t xml:space="preserve"> of </w:t>
      </w:r>
      <w:r>
        <w:rPr>
          <w:kern w:val="0"/>
          <w:szCs w:val="24"/>
        </w:rPr>
        <w:t>stay</w:t>
      </w:r>
      <w:r w:rsidR="005853A9">
        <w:rPr>
          <w:kern w:val="0"/>
          <w:szCs w:val="24"/>
        </w:rPr>
        <w:t xml:space="preserve"> and </w:t>
      </w:r>
      <w:r>
        <w:rPr>
          <w:kern w:val="0"/>
          <w:szCs w:val="24"/>
        </w:rPr>
        <w:t>readmissions to hospital were statistically significantly reduced for patients admitted to hospital with a medical diagnosis</w:t>
      </w:r>
      <w:r w:rsidR="005853A9">
        <w:rPr>
          <w:kern w:val="0"/>
          <w:szCs w:val="24"/>
        </w:rPr>
        <w:t xml:space="preserve"> and </w:t>
      </w:r>
      <w:r>
        <w:rPr>
          <w:kern w:val="0"/>
          <w:szCs w:val="24"/>
        </w:rPr>
        <w:t>who were allocated to discharge planning (mean difference length</w:t>
      </w:r>
      <w:r w:rsidR="00427468">
        <w:rPr>
          <w:kern w:val="0"/>
          <w:szCs w:val="24"/>
        </w:rPr>
        <w:t xml:space="preserve"> of </w:t>
      </w:r>
      <w:r>
        <w:rPr>
          <w:kern w:val="0"/>
          <w:szCs w:val="24"/>
        </w:rPr>
        <w:t xml:space="preserve">stay -0.91, 95% CI -1.55 to -0.27, 10 trials; readmission </w:t>
      </w:r>
      <w:r>
        <w:rPr>
          <w:kern w:val="0"/>
          <w:szCs w:val="24"/>
        </w:rPr>
        <w:lastRenderedPageBreak/>
        <w:t>rates RR 0.82, 95% CI 0.73 to 0.92, 12 trials). For elderly patients with a medical condition there was no statistically significant difference between groups for mortality (RR 0.99, 95% CI 0.78 to 1.25, five trials) or being discharged from hospital to home (RR 1.03, 95% CI 0.93 to 1.14, two trials). This was also the case for trials recruiting patients recovering from surgery</w:t>
      </w:r>
      <w:r w:rsidR="005853A9">
        <w:rPr>
          <w:kern w:val="0"/>
          <w:szCs w:val="24"/>
        </w:rPr>
        <w:t xml:space="preserve"> and </w:t>
      </w:r>
      <w:r>
        <w:rPr>
          <w:kern w:val="0"/>
          <w:szCs w:val="24"/>
        </w:rPr>
        <w:t>a mix</w:t>
      </w:r>
      <w:r w:rsidR="00427468">
        <w:rPr>
          <w:kern w:val="0"/>
          <w:szCs w:val="24"/>
        </w:rPr>
        <w:t xml:space="preserve"> of </w:t>
      </w:r>
      <w:r>
        <w:rPr>
          <w:kern w:val="0"/>
          <w:szCs w:val="24"/>
        </w:rPr>
        <w:t>medical</w:t>
      </w:r>
      <w:r w:rsidR="005853A9">
        <w:rPr>
          <w:kern w:val="0"/>
          <w:szCs w:val="24"/>
        </w:rPr>
        <w:t xml:space="preserve"> and </w:t>
      </w:r>
      <w:r>
        <w:rPr>
          <w:kern w:val="0"/>
          <w:szCs w:val="24"/>
        </w:rPr>
        <w:t>surgical conditions. In three trials, patients allocated to discharge planning reported increased satisfaction</w:t>
      </w:r>
      <w:r w:rsidR="00A37C1D">
        <w:rPr>
          <w:kern w:val="0"/>
          <w:szCs w:val="24"/>
        </w:rPr>
        <w:t>. The</w:t>
      </w:r>
      <w:r>
        <w:rPr>
          <w:kern w:val="0"/>
          <w:szCs w:val="24"/>
        </w:rPr>
        <w:t>re was little evidence on overall healthcare costs. Authors</w:t>
      </w:r>
      <w:r w:rsidR="0071223E">
        <w:rPr>
          <w:kern w:val="0"/>
          <w:szCs w:val="24"/>
        </w:rPr>
        <w:t>’</w:t>
      </w:r>
      <w:r>
        <w:rPr>
          <w:kern w:val="0"/>
          <w:szCs w:val="24"/>
        </w:rPr>
        <w:t xml:space="preserve"> conclusions The evidence suggests that a discharge plan tailored to the individual patient probably brings about reductions in hospital length</w:t>
      </w:r>
      <w:r w:rsidR="00427468">
        <w:rPr>
          <w:kern w:val="0"/>
          <w:szCs w:val="24"/>
        </w:rPr>
        <w:t xml:space="preserve"> of </w:t>
      </w:r>
      <w:r>
        <w:rPr>
          <w:kern w:val="0"/>
          <w:szCs w:val="24"/>
        </w:rPr>
        <w:t>stay</w:t>
      </w:r>
      <w:r w:rsidR="005853A9">
        <w:rPr>
          <w:kern w:val="0"/>
          <w:szCs w:val="24"/>
        </w:rPr>
        <w:t xml:space="preserve"> and </w:t>
      </w:r>
      <w:r>
        <w:rPr>
          <w:kern w:val="0"/>
          <w:szCs w:val="24"/>
        </w:rPr>
        <w:t>readmission rates for older people admitted to hospital with a medical condition</w:t>
      </w:r>
      <w:r w:rsidR="00A37C1D">
        <w:rPr>
          <w:kern w:val="0"/>
          <w:szCs w:val="24"/>
        </w:rPr>
        <w:t>. The</w:t>
      </w:r>
      <w:r>
        <w:rPr>
          <w:kern w:val="0"/>
          <w:szCs w:val="24"/>
        </w:rPr>
        <w:t xml:space="preserve"> impact</w:t>
      </w:r>
      <w:r w:rsidR="00427468">
        <w:rPr>
          <w:kern w:val="0"/>
          <w:szCs w:val="24"/>
        </w:rPr>
        <w:t xml:space="preserve"> of </w:t>
      </w:r>
      <w:r>
        <w:rPr>
          <w:kern w:val="0"/>
          <w:szCs w:val="24"/>
        </w:rPr>
        <w:t>discharge planning on mortality, health outcomes</w:t>
      </w:r>
      <w:r w:rsidR="005853A9">
        <w:rPr>
          <w:kern w:val="0"/>
          <w:szCs w:val="24"/>
        </w:rPr>
        <w:t xml:space="preserve"> and </w:t>
      </w:r>
      <w:r>
        <w:rPr>
          <w:kern w:val="0"/>
          <w:szCs w:val="24"/>
        </w:rPr>
        <w:t>cost remains uncertain.</w:t>
      </w:r>
    </w:p>
    <w:p w:rsidR="00365DE4" w:rsidRDefault="00365DE4" w:rsidP="00365DE4">
      <w:pPr>
        <w:pStyle w:val="a3"/>
        <w:rPr>
          <w:kern w:val="0"/>
          <w:szCs w:val="24"/>
        </w:rPr>
      </w:pPr>
      <w:r>
        <w:rPr>
          <w:kern w:val="0"/>
          <w:szCs w:val="24"/>
        </w:rPr>
        <w:t>Keywords: Acute-Care, Analysis, Assessment, Authors, Care, Citation, Clinical-Trial, Collection, Combining, Congestive-Heart-Failure, Controlled Clinical Trials As Topic, Coordination, Cost, Costs, Criteria, Data, Data Analysis, Data Collection, Diagnosis, Discharge, Effectiveness, Elderly, Embase, Evidence, Extraction, Feature, Follow-Up, Frail Elderly-Patients, General, Geriatric Consultation Team, Groups, Health, Health Care Costs, Health Outcomes, Health Systems, Healthcare Costs, Hospital, Humans, Impact, Inpatients, Intervention Team, Length, Length</w:t>
      </w:r>
      <w:r w:rsidR="00427468">
        <w:rPr>
          <w:kern w:val="0"/>
          <w:szCs w:val="24"/>
        </w:rPr>
        <w:t xml:space="preserve"> of </w:t>
      </w:r>
      <w:r>
        <w:rPr>
          <w:kern w:val="0"/>
          <w:szCs w:val="24"/>
        </w:rPr>
        <w:t xml:space="preserve">Stay, Medical, Medicare Population, </w:t>
      </w:r>
      <w:r w:rsidR="00D5664A">
        <w:rPr>
          <w:kern w:val="0"/>
          <w:szCs w:val="24"/>
        </w:rPr>
        <w:t>MEDLINE</w:t>
      </w:r>
      <w:r>
        <w:rPr>
          <w:kern w:val="0"/>
          <w:szCs w:val="24"/>
        </w:rPr>
        <w:t>, Meta Analysis, Meta-Analysis, Metaanalysis, Methods, Mortality, Older People, Outcome, Outcome Assessment (Health Care), Outcomes, Patient Discharge, Patient Readmission, Patients, Planning, Quality, Quality-Of-Life, Randomised Controlled Trials, Randomized Controlled Trials As Topic, Randomized Controlled-Trial, Rates, Rct, Readmission, Readmissions, Reporting, Review, Risk, Satisfaction, Science, Science Citation Index, Search, Services, Social Science Citation Index, Statistical Analysis, Surgery, Systems</w:t>
      </w:r>
    </w:p>
    <w:p w:rsidR="00365DE4" w:rsidRDefault="00365DE4" w:rsidP="00365DE4">
      <w:pPr>
        <w:pStyle w:val="a3"/>
        <w:rPr>
          <w:kern w:val="0"/>
        </w:rPr>
      </w:pPr>
      <w:r>
        <w:rPr>
          <w:kern w:val="0"/>
        </w:rPr>
        <w:t xml:space="preserve">? Evans, J.R. (2013), Ginkgo biloba extract for age-related macular degeneration.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CD001775.</w:t>
      </w:r>
    </w:p>
    <w:p w:rsidR="00365DE4" w:rsidRDefault="00365DE4" w:rsidP="00365DE4">
      <w:pPr>
        <w:pStyle w:val="a3"/>
        <w:rPr>
          <w:kern w:val="2"/>
        </w:rPr>
      </w:pPr>
      <w:r>
        <w:t>Full Text: 2013\Coc Dat Sys Rev2013, CD001775.pdf</w:t>
      </w:r>
    </w:p>
    <w:p w:rsidR="00365DE4" w:rsidRDefault="00365DE4" w:rsidP="00365DE4">
      <w:pPr>
        <w:pStyle w:val="a3"/>
        <w:rPr>
          <w:kern w:val="0"/>
        </w:rPr>
      </w:pPr>
      <w:r>
        <w:rPr>
          <w:kern w:val="0"/>
        </w:rPr>
        <w:t>Abstract: Background Ginkgo is used in the treatment</w:t>
      </w:r>
      <w:r w:rsidR="00427468">
        <w:rPr>
          <w:kern w:val="0"/>
        </w:rPr>
        <w:t xml:space="preserve"> of </w:t>
      </w:r>
      <w:r>
        <w:rPr>
          <w:kern w:val="0"/>
        </w:rPr>
        <w:t>peripheral vascular disease</w:t>
      </w:r>
      <w:r w:rsidR="005853A9">
        <w:rPr>
          <w:kern w:val="0"/>
        </w:rPr>
        <w:t xml:space="preserve"> and </w:t>
      </w:r>
      <w:r w:rsidR="0071223E">
        <w:rPr>
          <w:kern w:val="0"/>
        </w:rPr>
        <w:t>‘</w:t>
      </w:r>
      <w:r>
        <w:rPr>
          <w:kern w:val="0"/>
        </w:rPr>
        <w:t>cerebral insufficiency</w:t>
      </w:r>
      <w:r w:rsidR="0071223E">
        <w:rPr>
          <w:kern w:val="0"/>
        </w:rPr>
        <w:t>’</w:t>
      </w:r>
      <w:r>
        <w:rPr>
          <w:kern w:val="0"/>
        </w:rPr>
        <w:t>. It is thought to have several potential mechanisms</w:t>
      </w:r>
      <w:r w:rsidR="00427468">
        <w:rPr>
          <w:kern w:val="0"/>
        </w:rPr>
        <w:t xml:space="preserve"> of </w:t>
      </w:r>
      <w:r>
        <w:rPr>
          <w:kern w:val="0"/>
        </w:rPr>
        <w:t>action including increased blood flow, platelet activating factor antagonism,</w:t>
      </w:r>
      <w:r w:rsidR="005853A9">
        <w:rPr>
          <w:kern w:val="0"/>
        </w:rPr>
        <w:t xml:space="preserve"> and </w:t>
      </w:r>
      <w:r>
        <w:rPr>
          <w:kern w:val="0"/>
        </w:rPr>
        <w:t>prevention</w:t>
      </w:r>
      <w:r w:rsidR="00427468">
        <w:rPr>
          <w:kern w:val="0"/>
        </w:rPr>
        <w:t xml:space="preserve"> of </w:t>
      </w:r>
      <w:r>
        <w:rPr>
          <w:kern w:val="0"/>
        </w:rPr>
        <w:t>membrane damage caused by free radicals. Vascular factors</w:t>
      </w:r>
      <w:r w:rsidR="005853A9">
        <w:rPr>
          <w:kern w:val="0"/>
        </w:rPr>
        <w:t xml:space="preserve"> and </w:t>
      </w:r>
      <w:r>
        <w:rPr>
          <w:kern w:val="0"/>
        </w:rPr>
        <w:t>oxidative damage are thought to be two potential mechanisms in the pathology</w:t>
      </w:r>
      <w:r w:rsidR="00427468">
        <w:rPr>
          <w:kern w:val="0"/>
        </w:rPr>
        <w:t xml:space="preserve"> of </w:t>
      </w:r>
      <w:r>
        <w:rPr>
          <w:kern w:val="0"/>
        </w:rPr>
        <w:t>age-related macular degeneration (AMD). Objectives The objective</w:t>
      </w:r>
      <w:r w:rsidR="00427468">
        <w:rPr>
          <w:kern w:val="0"/>
        </w:rPr>
        <w:t xml:space="preserve"> of </w:t>
      </w:r>
      <w:r>
        <w:rPr>
          <w:kern w:val="0"/>
        </w:rPr>
        <w:t>this review was to determine the effect</w:t>
      </w:r>
      <w:r w:rsidR="00427468">
        <w:rPr>
          <w:kern w:val="0"/>
        </w:rPr>
        <w:t xml:space="preserve"> of </w:t>
      </w:r>
      <w:r>
        <w:rPr>
          <w:kern w:val="0"/>
        </w:rPr>
        <w:t>Ginkgo biloba extract on the progression</w:t>
      </w:r>
      <w:r w:rsidR="00427468">
        <w:rPr>
          <w:kern w:val="0"/>
        </w:rPr>
        <w:t xml:space="preserve"> of </w:t>
      </w:r>
      <w:r>
        <w:rPr>
          <w:kern w:val="0"/>
        </w:rPr>
        <w:t>AMD. Search methods We searched CENTRAL (which contains the Cochrane Eyes</w:t>
      </w:r>
      <w:r w:rsidR="005853A9">
        <w:rPr>
          <w:kern w:val="0"/>
        </w:rPr>
        <w:t xml:space="preserve"> and </w:t>
      </w:r>
      <w:r>
        <w:rPr>
          <w:kern w:val="0"/>
        </w:rPr>
        <w:t xml:space="preserve">Vision Group Trials Register) (The Cochrane Library 2012, Issue 10),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w:t>
      </w:r>
      <w:r>
        <w:rPr>
          <w:kern w:val="0"/>
        </w:rPr>
        <w:lastRenderedPageBreak/>
        <w:t>OLD</w:t>
      </w:r>
      <w:r w:rsidR="00D5664A">
        <w:rPr>
          <w:kern w:val="0"/>
        </w:rPr>
        <w:t>MEDLINE</w:t>
      </w:r>
      <w:r>
        <w:rPr>
          <w:kern w:val="0"/>
        </w:rPr>
        <w:t xml:space="preserve"> (January 1946 to October 2012), EMBASE (January 1980 to October 2012), Allied</w:t>
      </w:r>
      <w:r w:rsidR="005853A9">
        <w:rPr>
          <w:kern w:val="0"/>
        </w:rPr>
        <w:t xml:space="preserve"> and </w:t>
      </w:r>
      <w:r>
        <w:rPr>
          <w:kern w:val="0"/>
        </w:rPr>
        <w:t>Complementary Medicine Database (AMED) (January 1985 to October 2012), OpenGrey (System for Information on Grey Literature in Europe) (www.opengrey.eu/),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 We did not use any date or language restrictions in the electronic searches for trials. We last searched the electronic databases on 5 October 2012. We searched the reference lists</w:t>
      </w:r>
      <w:r w:rsidR="00427468">
        <w:rPr>
          <w:kern w:val="0"/>
        </w:rPr>
        <w:t xml:space="preserve"> of </w:t>
      </w:r>
      <w:r>
        <w:rPr>
          <w:kern w:val="0"/>
        </w:rPr>
        <w:t>identified reports</w:t>
      </w:r>
      <w:r w:rsidR="005853A9">
        <w:rPr>
          <w:kern w:val="0"/>
        </w:rPr>
        <w:t xml:space="preserve"> and </w:t>
      </w:r>
      <w:r>
        <w:rPr>
          <w:kern w:val="0"/>
        </w:rPr>
        <w:t>the Science Citation Index. We also contacted investigators</w:t>
      </w:r>
      <w:r w:rsidR="00427468">
        <w:rPr>
          <w:kern w:val="0"/>
        </w:rPr>
        <w:t xml:space="preserve"> of </w:t>
      </w:r>
      <w:r>
        <w:rPr>
          <w:kern w:val="0"/>
        </w:rPr>
        <w:t>included studies for additional information. Selection criteria All randomised trials in people with AMD where Ginkgo biloba extract had been compared to control were included. Data collection</w:t>
      </w:r>
      <w:r w:rsidR="005853A9">
        <w:rPr>
          <w:kern w:val="0"/>
        </w:rPr>
        <w:t xml:space="preserve"> and </w:t>
      </w:r>
      <w:r>
        <w:rPr>
          <w:kern w:val="0"/>
        </w:rPr>
        <w:t>analysis The review author extracted data using a standardised form</w:t>
      </w:r>
      <w:r w:rsidR="00A37C1D">
        <w:rPr>
          <w:kern w:val="0"/>
        </w:rPr>
        <w:t>. The</w:t>
      </w:r>
      <w:r>
        <w:rPr>
          <w:kern w:val="0"/>
        </w:rPr>
        <w:t xml:space="preserve"> data were verified with the trial investigators. Trial quality was assessed. Main results Two published trials were identified that randomised a total</w:t>
      </w:r>
      <w:r w:rsidR="00427468">
        <w:rPr>
          <w:kern w:val="0"/>
        </w:rPr>
        <w:t xml:space="preserve"> of </w:t>
      </w:r>
      <w:r>
        <w:rPr>
          <w:kern w:val="0"/>
        </w:rPr>
        <w:t>119 people. In one study conducted in France, 20 people were randomly allocated to Gingko biloba extract EGb 761 80 mg twice daily or placebo. In the other study conducted in Germany, 99 people were randomly allocated to two different doses</w:t>
      </w:r>
      <w:r w:rsidR="00427468">
        <w:rPr>
          <w:kern w:val="0"/>
        </w:rPr>
        <w:t xml:space="preserve"> of </w:t>
      </w:r>
      <w:r>
        <w:rPr>
          <w:kern w:val="0"/>
        </w:rPr>
        <w:t>Ginkgo biloba extract EGb 761 (240 mg per day</w:t>
      </w:r>
      <w:r w:rsidR="005853A9">
        <w:rPr>
          <w:kern w:val="0"/>
        </w:rPr>
        <w:t xml:space="preserve"> and </w:t>
      </w:r>
      <w:r>
        <w:rPr>
          <w:kern w:val="0"/>
        </w:rPr>
        <w:t>60 mg per day). Treatment duration in both studies was six months. Both trials reported some positive effects</w:t>
      </w:r>
      <w:r w:rsidR="00427468">
        <w:rPr>
          <w:kern w:val="0"/>
        </w:rPr>
        <w:t xml:space="preserve"> of </w:t>
      </w:r>
      <w:r>
        <w:rPr>
          <w:kern w:val="0"/>
        </w:rPr>
        <w:t>Ginkgo biloba on vision however their results could not be pooled. Adverse effects</w:t>
      </w:r>
      <w:r w:rsidR="005853A9">
        <w:rPr>
          <w:kern w:val="0"/>
        </w:rPr>
        <w:t xml:space="preserve"> and </w:t>
      </w:r>
      <w:r>
        <w:rPr>
          <w:kern w:val="0"/>
        </w:rPr>
        <w:t>quality</w:t>
      </w:r>
      <w:r w:rsidR="00427468">
        <w:rPr>
          <w:kern w:val="0"/>
        </w:rPr>
        <w:t xml:space="preserve"> of </w:t>
      </w:r>
      <w:r>
        <w:rPr>
          <w:kern w:val="0"/>
        </w:rPr>
        <w:t>life for people with AMD were not reported. Authors</w:t>
      </w:r>
      <w:r w:rsidR="0071223E">
        <w:rPr>
          <w:kern w:val="0"/>
        </w:rPr>
        <w:t>’</w:t>
      </w:r>
      <w:r>
        <w:rPr>
          <w:kern w:val="0"/>
        </w:rPr>
        <w:t xml:space="preserve"> conclusions The question as to whether people with AMD should take Ginkgo biloba extract to prevent progression</w:t>
      </w:r>
      <w:r w:rsidR="00427468">
        <w:rPr>
          <w:kern w:val="0"/>
        </w:rPr>
        <w:t xml:space="preserve"> of </w:t>
      </w:r>
      <w:r>
        <w:rPr>
          <w:kern w:val="0"/>
        </w:rPr>
        <w:t>the disease has not been answered by research to date. Two small trials have suggested possible benefit</w:t>
      </w:r>
      <w:r w:rsidR="00427468">
        <w:rPr>
          <w:kern w:val="0"/>
        </w:rPr>
        <w:t xml:space="preserve"> of </w:t>
      </w:r>
      <w:r>
        <w:rPr>
          <w:kern w:val="0"/>
        </w:rPr>
        <w:t>Gingko biloba on vision</w:t>
      </w:r>
      <w:r w:rsidR="005853A9">
        <w:rPr>
          <w:kern w:val="0"/>
        </w:rPr>
        <w:t xml:space="preserve"> and </w:t>
      </w:r>
      <w:r>
        <w:rPr>
          <w:kern w:val="0"/>
        </w:rPr>
        <w:t>further trials are warranted. Ginkgo biloba is widely used in China, Germany,</w:t>
      </w:r>
      <w:r w:rsidR="005853A9">
        <w:rPr>
          <w:kern w:val="0"/>
        </w:rPr>
        <w:t xml:space="preserve"> and </w:t>
      </w:r>
      <w:r>
        <w:rPr>
          <w:kern w:val="0"/>
        </w:rPr>
        <w:t>France. Future trials should be larger,</w:t>
      </w:r>
      <w:r w:rsidR="005853A9">
        <w:rPr>
          <w:kern w:val="0"/>
        </w:rPr>
        <w:t xml:space="preserve"> and </w:t>
      </w:r>
      <w:r>
        <w:rPr>
          <w:kern w:val="0"/>
        </w:rPr>
        <w:t>last longer, in order to provide a more robust measure</w:t>
      </w:r>
      <w:r w:rsidR="00427468">
        <w:rPr>
          <w:kern w:val="0"/>
        </w:rPr>
        <w:t xml:space="preserve"> of </w:t>
      </w:r>
      <w:r>
        <w:rPr>
          <w:kern w:val="0"/>
        </w:rPr>
        <w:t>the effect</w:t>
      </w:r>
      <w:r w:rsidR="00427468">
        <w:rPr>
          <w:kern w:val="0"/>
        </w:rPr>
        <w:t xml:space="preserve"> of </w:t>
      </w:r>
      <w:r>
        <w:rPr>
          <w:kern w:val="0"/>
        </w:rPr>
        <w:t>Gingko biloba extract on AMD.</w:t>
      </w:r>
    </w:p>
    <w:p w:rsidR="00365DE4" w:rsidRDefault="00365DE4" w:rsidP="00365DE4">
      <w:pPr>
        <w:pStyle w:val="a3"/>
        <w:rPr>
          <w:kern w:val="0"/>
        </w:rPr>
      </w:pPr>
      <w:r>
        <w:rPr>
          <w:kern w:val="0"/>
        </w:rPr>
        <w:t xml:space="preserve">Keywords: Analysis, Blood, Blood Flow, Cerebral, China, Citation, Citations, Clinical Trials, Collection, Control, Criteria, Damage, Data, Data Collection, Database, Databases, Disease, Double-Blind, Duration, Effects, Egb-761, Embase, England, Europe, Flow, France, Free Radicals, Germany, Ginkgo Biloba, Ginkgo Biloba [Therapeutic Use], Grey Literature, Humans, Information, Ingestion, Language, Life, Literature, Macular Degeneration [Therapy], Measure, Mechanisms, Medicine, </w:t>
      </w:r>
      <w:r w:rsidR="00D5664A">
        <w:rPr>
          <w:kern w:val="0"/>
        </w:rPr>
        <w:t>MEDLINE</w:t>
      </w:r>
      <w:r>
        <w:rPr>
          <w:kern w:val="0"/>
        </w:rPr>
        <w:t>, Membrane, Methods, Pathology, Phytotherapy, Placebo, Plants,Medicinal, Potential, Prevent, Prevention, Progression, Quality, Quality Of, Quality</w:t>
      </w:r>
      <w:r w:rsidR="00427468">
        <w:rPr>
          <w:kern w:val="0"/>
        </w:rPr>
        <w:t xml:space="preserve"> of </w:t>
      </w:r>
      <w:r>
        <w:rPr>
          <w:kern w:val="0"/>
        </w:rPr>
        <w:t xml:space="preserve">Life, Randomised, Reference, Reference Lists, Research, Restrictions, Retina, Review, River, Science, Science Citation Index, Search, Small, Treatment, Trial, Trials, </w:t>
      </w:r>
      <w:r w:rsidR="00D5664A">
        <w:rPr>
          <w:kern w:val="0"/>
        </w:rPr>
        <w:t>USA</w:t>
      </w:r>
      <w:r>
        <w:rPr>
          <w:kern w:val="0"/>
        </w:rPr>
        <w:t>, Vascular Disease, WHO</w:t>
      </w:r>
    </w:p>
    <w:p w:rsidR="00365DE4" w:rsidRDefault="00365DE4" w:rsidP="00365DE4">
      <w:pPr>
        <w:pStyle w:val="a3"/>
        <w:rPr>
          <w:kern w:val="0"/>
        </w:rPr>
      </w:pPr>
      <w:r>
        <w:rPr>
          <w:kern w:val="0"/>
          <w:szCs w:val="24"/>
        </w:rPr>
        <w:lastRenderedPageBreak/>
        <w:t>? Koretz, R.L., Pleguezuelo, M., Arvaniti, V., Baena, P.B., Ciria, R., Gur</w:t>
      </w:r>
      <w:r w:rsidR="00D5664A">
        <w:rPr>
          <w:kern w:val="0"/>
          <w:szCs w:val="24"/>
        </w:rPr>
        <w:t>USA</w:t>
      </w:r>
      <w:r>
        <w:rPr>
          <w:kern w:val="0"/>
          <w:szCs w:val="24"/>
        </w:rPr>
        <w:t>my, K.S., Davidson, B.R.</w:t>
      </w:r>
      <w:r w:rsidR="005853A9">
        <w:rPr>
          <w:kern w:val="0"/>
          <w:szCs w:val="24"/>
        </w:rPr>
        <w:t xml:space="preserve"> and </w:t>
      </w:r>
      <w:r>
        <w:rPr>
          <w:kern w:val="0"/>
          <w:szCs w:val="24"/>
        </w:rPr>
        <w:t>Burroughs, A.K. (2013), Interferon for interferon nonresponding</w:t>
      </w:r>
      <w:r w:rsidR="005853A9">
        <w:rPr>
          <w:kern w:val="0"/>
          <w:szCs w:val="24"/>
        </w:rPr>
        <w:t xml:space="preserve"> and </w:t>
      </w:r>
      <w:r>
        <w:rPr>
          <w:kern w:val="0"/>
          <w:szCs w:val="24"/>
        </w:rPr>
        <w:t xml:space="preserve">relapsing patients with chronic hepatitis C.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w:t>
      </w:r>
      <w:r>
        <w:rPr>
          <w:kern w:val="0"/>
        </w:rPr>
        <w:t>, Article Number: CD003617.</w:t>
      </w:r>
    </w:p>
    <w:p w:rsidR="00365DE4" w:rsidRDefault="00365DE4" w:rsidP="00365DE4">
      <w:pPr>
        <w:pStyle w:val="a3"/>
        <w:rPr>
          <w:kern w:val="2"/>
        </w:rPr>
      </w:pPr>
      <w:r>
        <w:t xml:space="preserve">Full Text: 2013\Coc Dat Sys Rev2013, </w:t>
      </w:r>
      <w:r>
        <w:rPr>
          <w:kern w:val="0"/>
        </w:rPr>
        <w:t>CD003617.pdf</w:t>
      </w:r>
    </w:p>
    <w:p w:rsidR="00365DE4" w:rsidRDefault="00365DE4" w:rsidP="00365DE4">
      <w:pPr>
        <w:pStyle w:val="a3"/>
        <w:rPr>
          <w:kern w:val="0"/>
          <w:szCs w:val="24"/>
        </w:rPr>
      </w:pPr>
      <w:r>
        <w:rPr>
          <w:kern w:val="0"/>
          <w:szCs w:val="24"/>
        </w:rPr>
        <w:t>Abstract: Background The widely-accepted treatment outcome for chronic hepatitis C is the sustained viral response (that is, no measurable viral RNA in blood six months after treatment). However, this surrogate outcome (as well as the previously employed biochemical</w:t>
      </w:r>
      <w:r w:rsidR="005853A9">
        <w:rPr>
          <w:kern w:val="0"/>
          <w:szCs w:val="24"/>
        </w:rPr>
        <w:t xml:space="preserve"> and </w:t>
      </w:r>
      <w:r>
        <w:rPr>
          <w:kern w:val="0"/>
          <w:szCs w:val="24"/>
        </w:rPr>
        <w:t>histologic ones) has never been validated. This situation exists because there are very few randomized clinical trials that have used clinical events (mortality or manifestations</w:t>
      </w:r>
      <w:r w:rsidR="00427468">
        <w:rPr>
          <w:kern w:val="0"/>
          <w:szCs w:val="24"/>
        </w:rPr>
        <w:t xml:space="preserve"> of </w:t>
      </w:r>
      <w:r>
        <w:rPr>
          <w:kern w:val="0"/>
          <w:szCs w:val="24"/>
        </w:rPr>
        <w:t>decompensated cirrhosis) as outcomes, because those clinical events only occur after many years</w:t>
      </w:r>
      <w:r w:rsidR="00427468">
        <w:rPr>
          <w:kern w:val="0"/>
          <w:szCs w:val="24"/>
        </w:rPr>
        <w:t xml:space="preserve"> of </w:t>
      </w:r>
      <w:r>
        <w:rPr>
          <w:kern w:val="0"/>
          <w:szCs w:val="24"/>
        </w:rPr>
        <w:t>infection. Patients in whom initial therapy fails to produce sustained viral responses do become potential candidates for retreatment; some</w:t>
      </w:r>
      <w:r w:rsidR="00427468">
        <w:rPr>
          <w:kern w:val="0"/>
          <w:szCs w:val="24"/>
        </w:rPr>
        <w:t xml:space="preserve"> of </w:t>
      </w:r>
      <w:r>
        <w:rPr>
          <w:kern w:val="0"/>
          <w:szCs w:val="24"/>
        </w:rPr>
        <w:t>these individuals are not candidates for ribavirin or protease inhibitors</w:t>
      </w:r>
      <w:r w:rsidR="005853A9">
        <w:rPr>
          <w:kern w:val="0"/>
          <w:szCs w:val="24"/>
        </w:rPr>
        <w:t xml:space="preserve"> and </w:t>
      </w:r>
      <w:r>
        <w:rPr>
          <w:kern w:val="0"/>
          <w:szCs w:val="24"/>
        </w:rPr>
        <w:t>consideration could be given to retreatment with interferon alone. Objectives To assess the benefits</w:t>
      </w:r>
      <w:r w:rsidR="005853A9">
        <w:rPr>
          <w:kern w:val="0"/>
          <w:szCs w:val="24"/>
        </w:rPr>
        <w:t xml:space="preserve"> and </w:t>
      </w:r>
      <w:r>
        <w:rPr>
          <w:kern w:val="0"/>
          <w:szCs w:val="24"/>
        </w:rPr>
        <w:t>harms</w:t>
      </w:r>
      <w:r w:rsidR="00427468">
        <w:rPr>
          <w:kern w:val="0"/>
          <w:szCs w:val="24"/>
        </w:rPr>
        <w:t xml:space="preserve"> of </w:t>
      </w:r>
      <w:r>
        <w:rPr>
          <w:kern w:val="0"/>
          <w:szCs w:val="24"/>
        </w:rPr>
        <w:t>interferon monotherapy retreatment in chronic hepatitis C patients</w:t>
      </w:r>
      <w:r w:rsidR="005853A9">
        <w:rPr>
          <w:kern w:val="0"/>
          <w:szCs w:val="24"/>
        </w:rPr>
        <w:t xml:space="preserve"> and </w:t>
      </w:r>
      <w:r>
        <w:rPr>
          <w:kern w:val="0"/>
          <w:szCs w:val="24"/>
        </w:rPr>
        <w:t>to validate the currently employed surrogate outcomes in this group</w:t>
      </w:r>
      <w:r w:rsidR="00427468">
        <w:rPr>
          <w:kern w:val="0"/>
          <w:szCs w:val="24"/>
        </w:rPr>
        <w:t xml:space="preserve"> of </w:t>
      </w:r>
      <w:r>
        <w:rPr>
          <w:kern w:val="0"/>
          <w:szCs w:val="24"/>
        </w:rPr>
        <w:t>patients. Search methods We searched The Cochrane Hepato-Biliary Group Controlled Trials Register, the Cochrane Central Register</w:t>
      </w:r>
      <w:r w:rsidR="00427468">
        <w:rPr>
          <w:kern w:val="0"/>
          <w:szCs w:val="24"/>
        </w:rPr>
        <w:t xml:space="preserve"> of </w:t>
      </w:r>
      <w:r>
        <w:rPr>
          <w:kern w:val="0"/>
          <w:szCs w:val="24"/>
        </w:rPr>
        <w:t xml:space="preserve">Controlled Trials (CENTRAL) in The Cochrane Library, </w:t>
      </w:r>
      <w:r w:rsidR="00D5664A">
        <w:rPr>
          <w:kern w:val="0"/>
          <w:szCs w:val="24"/>
        </w:rPr>
        <w:t>MEDLINE</w:t>
      </w:r>
      <w:r>
        <w:rPr>
          <w:kern w:val="0"/>
          <w:szCs w:val="24"/>
        </w:rPr>
        <w:t>, EMBASE,</w:t>
      </w:r>
      <w:r w:rsidR="005853A9">
        <w:rPr>
          <w:kern w:val="0"/>
          <w:szCs w:val="24"/>
        </w:rPr>
        <w:t xml:space="preserve"> and </w:t>
      </w:r>
      <w:r>
        <w:rPr>
          <w:kern w:val="0"/>
          <w:szCs w:val="24"/>
        </w:rPr>
        <w:t>Science Citation Index Expanded until 16 August 2012. Selection criteria Randomized trials comparing interferon versus placebo or no treatment in chronic hepatitis C nonresponders</w:t>
      </w:r>
      <w:r w:rsidR="005853A9">
        <w:rPr>
          <w:kern w:val="0"/>
          <w:szCs w:val="24"/>
        </w:rPr>
        <w:t xml:space="preserve"> and </w:t>
      </w:r>
      <w:r>
        <w:rPr>
          <w:kern w:val="0"/>
          <w:szCs w:val="24"/>
        </w:rPr>
        <w:t>relapsers to previous interferon. Data collection</w:t>
      </w:r>
      <w:r w:rsidR="005853A9">
        <w:rPr>
          <w:kern w:val="0"/>
          <w:szCs w:val="24"/>
        </w:rPr>
        <w:t xml:space="preserve"> and </w:t>
      </w:r>
      <w:r>
        <w:rPr>
          <w:kern w:val="0"/>
          <w:szCs w:val="24"/>
        </w:rPr>
        <w:t>analysis The primary outcomes were mortality (all-cause</w:t>
      </w:r>
      <w:r w:rsidR="005853A9">
        <w:rPr>
          <w:kern w:val="0"/>
          <w:szCs w:val="24"/>
        </w:rPr>
        <w:t xml:space="preserve"> and </w:t>
      </w:r>
      <w:r>
        <w:rPr>
          <w:kern w:val="0"/>
          <w:szCs w:val="24"/>
        </w:rPr>
        <w:t>hepatic), quality</w:t>
      </w:r>
      <w:r w:rsidR="00427468">
        <w:rPr>
          <w:kern w:val="0"/>
          <w:szCs w:val="24"/>
        </w:rPr>
        <w:t xml:space="preserve"> of </w:t>
      </w:r>
      <w:r>
        <w:rPr>
          <w:kern w:val="0"/>
          <w:szCs w:val="24"/>
        </w:rPr>
        <w:t>life,</w:t>
      </w:r>
      <w:r w:rsidR="005853A9">
        <w:rPr>
          <w:kern w:val="0"/>
          <w:szCs w:val="24"/>
        </w:rPr>
        <w:t xml:space="preserve"> and </w:t>
      </w:r>
      <w:r>
        <w:rPr>
          <w:kern w:val="0"/>
          <w:szCs w:val="24"/>
        </w:rPr>
        <w:t>adverse events. Secondary outcomes were liver-related morbidity, sustained viral responses, biochemical responses, histologic improvements,</w:t>
      </w:r>
      <w:r w:rsidR="005853A9">
        <w:rPr>
          <w:kern w:val="0"/>
          <w:szCs w:val="24"/>
        </w:rPr>
        <w:t xml:space="preserve"> and </w:t>
      </w:r>
      <w:r>
        <w:rPr>
          <w:kern w:val="0"/>
          <w:szCs w:val="24"/>
        </w:rPr>
        <w:t>costs. We used both fixed-effect</w:t>
      </w:r>
      <w:r w:rsidR="005853A9">
        <w:rPr>
          <w:kern w:val="0"/>
          <w:szCs w:val="24"/>
        </w:rPr>
        <w:t xml:space="preserve"> and </w:t>
      </w:r>
      <w:r>
        <w:rPr>
          <w:kern w:val="0"/>
          <w:szCs w:val="24"/>
        </w:rPr>
        <w:t>random-effects model meta-analyses, reporting only the former if no difference existed. Main results Seven trials were identified. Two</w:t>
      </w:r>
      <w:r w:rsidR="00427468">
        <w:rPr>
          <w:kern w:val="0"/>
          <w:szCs w:val="24"/>
        </w:rPr>
        <w:t xml:space="preserve"> of </w:t>
      </w:r>
      <w:r>
        <w:rPr>
          <w:kern w:val="0"/>
          <w:szCs w:val="24"/>
        </w:rPr>
        <w:t>them were at low risk</w:t>
      </w:r>
      <w:r w:rsidR="00427468">
        <w:rPr>
          <w:kern w:val="0"/>
          <w:szCs w:val="24"/>
        </w:rPr>
        <w:t xml:space="preserve"> of </w:t>
      </w:r>
      <w:r>
        <w:rPr>
          <w:kern w:val="0"/>
          <w:szCs w:val="24"/>
        </w:rPr>
        <w:t>bias (the HALT-C</w:t>
      </w:r>
      <w:r w:rsidR="005853A9">
        <w:rPr>
          <w:kern w:val="0"/>
          <w:szCs w:val="24"/>
        </w:rPr>
        <w:t xml:space="preserve"> and </w:t>
      </w:r>
      <w:r>
        <w:rPr>
          <w:kern w:val="0"/>
          <w:szCs w:val="24"/>
        </w:rPr>
        <w:t>EPIC3 trials)</w:t>
      </w:r>
      <w:r w:rsidR="005853A9">
        <w:rPr>
          <w:kern w:val="0"/>
          <w:szCs w:val="24"/>
        </w:rPr>
        <w:t xml:space="preserve"> and </w:t>
      </w:r>
      <w:r>
        <w:rPr>
          <w:kern w:val="0"/>
          <w:szCs w:val="24"/>
        </w:rPr>
        <w:t>included 1676 patients. Both</w:t>
      </w:r>
      <w:r w:rsidR="00427468">
        <w:rPr>
          <w:kern w:val="0"/>
          <w:szCs w:val="24"/>
        </w:rPr>
        <w:t xml:space="preserve"> of </w:t>
      </w:r>
      <w:r>
        <w:rPr>
          <w:kern w:val="0"/>
          <w:szCs w:val="24"/>
        </w:rPr>
        <w:t>these trials addressed the role</w:t>
      </w:r>
      <w:r w:rsidR="00427468">
        <w:rPr>
          <w:kern w:val="0"/>
          <w:szCs w:val="24"/>
        </w:rPr>
        <w:t xml:space="preserve"> of </w:t>
      </w:r>
      <w:r>
        <w:rPr>
          <w:kern w:val="0"/>
          <w:szCs w:val="24"/>
        </w:rPr>
        <w:t>long-term low-dose pegylated interferon therapy in patients with severe fibrosis (demonstrated on liver biopsy)</w:t>
      </w:r>
      <w:r w:rsidR="005853A9">
        <w:rPr>
          <w:kern w:val="0"/>
          <w:szCs w:val="24"/>
        </w:rPr>
        <w:t xml:space="preserve"> and </w:t>
      </w:r>
      <w:r>
        <w:rPr>
          <w:kern w:val="0"/>
          <w:szCs w:val="24"/>
        </w:rPr>
        <w:t>were designed to assess the clinical outcomes</w:t>
      </w:r>
      <w:r w:rsidR="00A37C1D">
        <w:rPr>
          <w:kern w:val="0"/>
          <w:szCs w:val="24"/>
        </w:rPr>
        <w:t>. The</w:t>
      </w:r>
      <w:r>
        <w:rPr>
          <w:kern w:val="0"/>
          <w:szCs w:val="24"/>
        </w:rPr>
        <w:t xml:space="preserve"> remaining five trials included 300 patients</w:t>
      </w:r>
      <w:r w:rsidR="005853A9">
        <w:rPr>
          <w:kern w:val="0"/>
          <w:szCs w:val="24"/>
        </w:rPr>
        <w:t xml:space="preserve"> and </w:t>
      </w:r>
      <w:r>
        <w:rPr>
          <w:kern w:val="0"/>
          <w:szCs w:val="24"/>
        </w:rPr>
        <w:t>were at high risk</w:t>
      </w:r>
      <w:r w:rsidR="00427468">
        <w:rPr>
          <w:kern w:val="0"/>
          <w:szCs w:val="24"/>
        </w:rPr>
        <w:t xml:space="preserve"> of </w:t>
      </w:r>
      <w:r>
        <w:rPr>
          <w:kern w:val="0"/>
          <w:szCs w:val="24"/>
        </w:rPr>
        <w:t>bias. Based on all trials reporting the outcomes, no significant difference was observed in either all-cause mortality (78/843 (9.3%) versus 62/867 (7.2%); risk ratio (RR) 1.30, 95% confidence interval (CI) 0.95 to 1.79; 3 trials) or hepatic mortality (41/532 (7.7%) versus 40/552 (7.2%); RR 1.07, 95% CI 0.70 to 1.63; 2 trials); however, when only the two trials at low risk</w:t>
      </w:r>
      <w:r w:rsidR="00427468">
        <w:rPr>
          <w:kern w:val="0"/>
          <w:szCs w:val="24"/>
        </w:rPr>
        <w:t xml:space="preserve"> of </w:t>
      </w:r>
      <w:r>
        <w:rPr>
          <w:kern w:val="0"/>
          <w:szCs w:val="24"/>
        </w:rPr>
        <w:t>bias were combined, all-cause mortality was significantly higher in the recipients</w:t>
      </w:r>
      <w:r w:rsidR="00427468">
        <w:rPr>
          <w:kern w:val="0"/>
          <w:szCs w:val="24"/>
        </w:rPr>
        <w:t xml:space="preserve"> of </w:t>
      </w:r>
      <w:r>
        <w:rPr>
          <w:kern w:val="0"/>
          <w:szCs w:val="24"/>
        </w:rPr>
        <w:t xml:space="preserve">the pegylated interferon (78/828 (9.4%) versus 57/848 (6.7%); RR 1.41, 95% CI 1.02 to </w:t>
      </w:r>
      <w:r>
        <w:rPr>
          <w:kern w:val="0"/>
          <w:szCs w:val="24"/>
        </w:rPr>
        <w:lastRenderedPageBreak/>
        <w:t>1.96) although trial sequential analysis could not exclude the possibility</w:t>
      </w:r>
      <w:r w:rsidR="00427468">
        <w:rPr>
          <w:kern w:val="0"/>
          <w:szCs w:val="24"/>
        </w:rPr>
        <w:t xml:space="preserve"> of </w:t>
      </w:r>
      <w:r>
        <w:rPr>
          <w:kern w:val="0"/>
          <w:szCs w:val="24"/>
        </w:rPr>
        <w:t>random error</w:t>
      </w:r>
      <w:r w:rsidR="00A37C1D">
        <w:rPr>
          <w:kern w:val="0"/>
          <w:szCs w:val="24"/>
        </w:rPr>
        <w:t>. The</w:t>
      </w:r>
      <w:r>
        <w:rPr>
          <w:kern w:val="0"/>
          <w:szCs w:val="24"/>
        </w:rPr>
        <w:t>re was less variceal bleeding in the recipients</w:t>
      </w:r>
      <w:r w:rsidR="00427468">
        <w:rPr>
          <w:kern w:val="0"/>
          <w:szCs w:val="24"/>
        </w:rPr>
        <w:t xml:space="preserve"> of </w:t>
      </w:r>
      <w:r>
        <w:rPr>
          <w:kern w:val="0"/>
          <w:szCs w:val="24"/>
        </w:rPr>
        <w:t>the interferon (4/843 (0.5%) versus 18/867 (2.1%); RR 0.24, 95% CI 0.09 to 0.67; 3 trials), although again trial sequential analysis could not exclude the presence</w:t>
      </w:r>
      <w:r w:rsidR="00427468">
        <w:rPr>
          <w:kern w:val="0"/>
          <w:szCs w:val="24"/>
        </w:rPr>
        <w:t xml:space="preserve"> of </w:t>
      </w:r>
      <w:r>
        <w:rPr>
          <w:kern w:val="0"/>
          <w:szCs w:val="24"/>
        </w:rPr>
        <w:t>a type I error</w:t>
      </w:r>
      <w:r w:rsidR="005853A9">
        <w:rPr>
          <w:kern w:val="0"/>
          <w:szCs w:val="24"/>
        </w:rPr>
        <w:t xml:space="preserve"> and </w:t>
      </w:r>
      <w:r>
        <w:rPr>
          <w:kern w:val="0"/>
          <w:szCs w:val="24"/>
        </w:rPr>
        <w:t>the effect could not be confirmed in a random-effects model meta-analysis. No significant differences were seen with regard to the development</w:t>
      </w:r>
      <w:r w:rsidR="00427468">
        <w:rPr>
          <w:kern w:val="0"/>
          <w:szCs w:val="24"/>
        </w:rPr>
        <w:t xml:space="preserve"> of </w:t>
      </w:r>
      <w:r>
        <w:rPr>
          <w:kern w:val="0"/>
          <w:szCs w:val="24"/>
        </w:rPr>
        <w:t>ascites, encephalopathy, hepatocellular carcinoma, or the need for liver transplantation. One trial reported quality</w:t>
      </w:r>
      <w:r w:rsidR="00427468">
        <w:rPr>
          <w:kern w:val="0"/>
          <w:szCs w:val="24"/>
        </w:rPr>
        <w:t xml:space="preserve"> of </w:t>
      </w:r>
      <w:r>
        <w:rPr>
          <w:kern w:val="0"/>
          <w:szCs w:val="24"/>
        </w:rPr>
        <w:t>life data; the pain score was significantly worse in the recipients</w:t>
      </w:r>
      <w:r w:rsidR="00427468">
        <w:rPr>
          <w:kern w:val="0"/>
          <w:szCs w:val="24"/>
        </w:rPr>
        <w:t xml:space="preserve"> of </w:t>
      </w:r>
      <w:r>
        <w:rPr>
          <w:kern w:val="0"/>
          <w:szCs w:val="24"/>
        </w:rPr>
        <w:t>the pegylated interferon. Adverse effects tended to be more common in the interferon recipients; the ones that were significantly more common included hematologic complications, infections, flu-like symptoms,</w:t>
      </w:r>
      <w:r w:rsidR="005853A9">
        <w:rPr>
          <w:kern w:val="0"/>
          <w:szCs w:val="24"/>
        </w:rPr>
        <w:t xml:space="preserve"> and </w:t>
      </w:r>
      <w:r>
        <w:rPr>
          <w:kern w:val="0"/>
          <w:szCs w:val="24"/>
        </w:rPr>
        <w:t>rash</w:t>
      </w:r>
      <w:r w:rsidR="00A37C1D">
        <w:rPr>
          <w:kern w:val="0"/>
          <w:szCs w:val="24"/>
        </w:rPr>
        <w:t>. The</w:t>
      </w:r>
      <w:r>
        <w:rPr>
          <w:kern w:val="0"/>
          <w:szCs w:val="24"/>
        </w:rPr>
        <w:t xml:space="preserve"> recipients</w:t>
      </w:r>
      <w:r w:rsidR="00427468">
        <w:rPr>
          <w:kern w:val="0"/>
          <w:szCs w:val="24"/>
        </w:rPr>
        <w:t xml:space="preserve"> of </w:t>
      </w:r>
      <w:r>
        <w:rPr>
          <w:kern w:val="0"/>
          <w:szCs w:val="24"/>
        </w:rPr>
        <w:t>interferon had significantly more sustained viral responses (20/557 (3.6%) versus 1/579 (0.2%); RR 15.38, 95% CI 2.93 to 80.71; 4 trials)</w:t>
      </w:r>
      <w:r w:rsidR="005853A9">
        <w:rPr>
          <w:kern w:val="0"/>
          <w:szCs w:val="24"/>
        </w:rPr>
        <w:t xml:space="preserve"> and </w:t>
      </w:r>
      <w:r>
        <w:rPr>
          <w:kern w:val="0"/>
          <w:szCs w:val="24"/>
        </w:rPr>
        <w:t>a type I error was excluded by trial sequential analysis</w:t>
      </w:r>
      <w:r w:rsidR="00A37C1D">
        <w:rPr>
          <w:kern w:val="0"/>
          <w:szCs w:val="24"/>
        </w:rPr>
        <w:t>. The</w:t>
      </w:r>
      <w:r>
        <w:rPr>
          <w:kern w:val="0"/>
          <w:szCs w:val="24"/>
        </w:rPr>
        <w:t xml:space="preserve"> METAVIR activity score also improved (36/55 (65%) versus 20/46 (43.5%); RR 1.49, 95% CI 1.02 to 2.18; 2 trials). No significant differences were seen with regard to histologic fibrosis assessments. Authors</w:t>
      </w:r>
      <w:r w:rsidR="0071223E">
        <w:rPr>
          <w:kern w:val="0"/>
          <w:szCs w:val="24"/>
        </w:rPr>
        <w:t>’</w:t>
      </w:r>
      <w:r>
        <w:rPr>
          <w:kern w:val="0"/>
          <w:szCs w:val="24"/>
        </w:rPr>
        <w:t xml:space="preserve"> conclusions The clinical data were limited to patients with histologic evidence</w:t>
      </w:r>
      <w:r w:rsidR="00427468">
        <w:rPr>
          <w:kern w:val="0"/>
          <w:szCs w:val="24"/>
        </w:rPr>
        <w:t xml:space="preserve"> of </w:t>
      </w:r>
      <w:r>
        <w:rPr>
          <w:kern w:val="0"/>
          <w:szCs w:val="24"/>
        </w:rPr>
        <w:t>severe fibrosis who were retreated with pegylated interferon. In this scenario, retreatment with interferon did not appear to provide significant clinical benefit and, when only the trials at low risk</w:t>
      </w:r>
      <w:r w:rsidR="00427468">
        <w:rPr>
          <w:kern w:val="0"/>
          <w:szCs w:val="24"/>
        </w:rPr>
        <w:t xml:space="preserve"> of </w:t>
      </w:r>
      <w:r>
        <w:rPr>
          <w:kern w:val="0"/>
          <w:szCs w:val="24"/>
        </w:rPr>
        <w:t>bias were considered, retreatment for several years may even have increased all-cause mortality. Such treatment also produced adverse events. On the other hand, the treatment did result in improvement in some surrogate outcomes, namely sustained viral responses</w:t>
      </w:r>
      <w:r w:rsidR="005853A9">
        <w:rPr>
          <w:kern w:val="0"/>
          <w:szCs w:val="24"/>
        </w:rPr>
        <w:t xml:space="preserve"> and </w:t>
      </w:r>
      <w:r>
        <w:rPr>
          <w:kern w:val="0"/>
          <w:szCs w:val="24"/>
        </w:rPr>
        <w:t>histologic evidence</w:t>
      </w:r>
      <w:r w:rsidR="00427468">
        <w:rPr>
          <w:kern w:val="0"/>
          <w:szCs w:val="24"/>
        </w:rPr>
        <w:t xml:space="preserve"> of </w:t>
      </w:r>
      <w:r>
        <w:rPr>
          <w:kern w:val="0"/>
          <w:szCs w:val="24"/>
        </w:rPr>
        <w:t>inflammation. Interferon monotherapy retreatment cannot be recommended for these patients. No clinical data are available for patients with less severe fibrosis</w:t>
      </w:r>
      <w:r w:rsidR="00A37C1D">
        <w:rPr>
          <w:kern w:val="0"/>
          <w:szCs w:val="24"/>
        </w:rPr>
        <w:t>. The</w:t>
      </w:r>
      <w:r>
        <w:rPr>
          <w:kern w:val="0"/>
          <w:szCs w:val="24"/>
        </w:rPr>
        <w:t xml:space="preserve"> sustained viral response cannot be used as a surrogate marker for hepatitis C treatment in this clinical setting with low sustained viral response rates</w:t>
      </w:r>
      <w:r w:rsidR="005853A9">
        <w:rPr>
          <w:kern w:val="0"/>
          <w:szCs w:val="24"/>
        </w:rPr>
        <w:t xml:space="preserve"> and </w:t>
      </w:r>
      <w:r>
        <w:rPr>
          <w:kern w:val="0"/>
          <w:szCs w:val="24"/>
        </w:rPr>
        <w:t>needs to be validated in others in which higher sustained viral response rates are reported.</w:t>
      </w:r>
    </w:p>
    <w:p w:rsidR="00365DE4" w:rsidRDefault="00365DE4" w:rsidP="00365DE4">
      <w:pPr>
        <w:pStyle w:val="a3"/>
        <w:rPr>
          <w:kern w:val="0"/>
          <w:szCs w:val="24"/>
        </w:rPr>
      </w:pPr>
      <w:r>
        <w:rPr>
          <w:kern w:val="0"/>
          <w:szCs w:val="24"/>
        </w:rPr>
        <w:t xml:space="preserve">Keywords: Analysis, Antiviral Agents [Therapeutic Use], Assessments, Bias, Biopsy, Bleeding, Blood, Chronic, Chronic Hepatitis, Cirrhosis, Citation, Clinical, Clinical Outcomes, Clinical Trials, Collection, Complications, Confidence, Costs, Criteria, Daily Consensus Interferon, Data, Data Collection, Development, Effects, Embase, Encephalopathy, Error, Events, Evidence, Fibrosis, Hcv-Genotype 1b, Hematologic, Hepatitis, Hepatitis C, Hepatitis C,Chronic [Drug Therapy], Hepatocellular Carcinoma, High-Dose Interferon, Humans, Improvement, Infection, Infections, Inflammation, Interferon, Interferons [Therapeutic Use], Interval, Life, Liver, Liver Transplantation, Long Term, Long-Term, Low Risk, Low-Dose, </w:t>
      </w:r>
      <w:r w:rsidR="00D5664A">
        <w:rPr>
          <w:kern w:val="0"/>
          <w:szCs w:val="24"/>
        </w:rPr>
        <w:t>MEDLINE</w:t>
      </w:r>
      <w:r>
        <w:rPr>
          <w:kern w:val="0"/>
          <w:szCs w:val="24"/>
        </w:rPr>
        <w:t xml:space="preserve">, Meta Analysis, Meta-Analysis, Metaanalysis, Methods, Model, Morbidity, Mortality, Needs, Outcome, Outcomes, Pain, Pain Score, Patients, Pegintron Maintenance </w:t>
      </w:r>
      <w:r>
        <w:rPr>
          <w:kern w:val="0"/>
          <w:szCs w:val="24"/>
        </w:rPr>
        <w:lastRenderedPageBreak/>
        <w:t>Therapy, Placebo, Potential, Prevent Hepatocellular-Carcinoma, Primary, Quality, Quality Of, Quality</w:t>
      </w:r>
      <w:r w:rsidR="00427468">
        <w:rPr>
          <w:kern w:val="0"/>
          <w:szCs w:val="24"/>
        </w:rPr>
        <w:t xml:space="preserve"> of </w:t>
      </w:r>
      <w:r>
        <w:rPr>
          <w:kern w:val="0"/>
          <w:szCs w:val="24"/>
        </w:rPr>
        <w:t>Life, Random Effects Model, Randomized, Randomized Controlled Trials As Topic, Randomized Controlled-Trial, Rates, Recombinant Alpha-Interferon, Reporting, Ribavirin Combination Therapy, Risk, Rna, Role, Scenario, Science, Science Citation Index, Science Citation Index Expanded, Search, Surrogate, Sustained Virological Response, Symptoms, Therapy, Transplantation, Treatment, Treatment Outcome, Trial, Viral, Virus-Related Cirrhosis</w:t>
      </w:r>
    </w:p>
    <w:p w:rsidR="00365DE4" w:rsidRDefault="00365DE4" w:rsidP="00365DE4">
      <w:pPr>
        <w:pStyle w:val="a3"/>
        <w:rPr>
          <w:kern w:val="0"/>
        </w:rPr>
      </w:pPr>
      <w:r>
        <w:rPr>
          <w:kern w:val="0"/>
          <w:szCs w:val="24"/>
        </w:rPr>
        <w:t>? Shortt, A.J., Allan, B.D.S.</w:t>
      </w:r>
      <w:r w:rsidR="005853A9">
        <w:rPr>
          <w:kern w:val="0"/>
          <w:szCs w:val="24"/>
        </w:rPr>
        <w:t xml:space="preserve"> and </w:t>
      </w:r>
      <w:r>
        <w:rPr>
          <w:kern w:val="0"/>
          <w:szCs w:val="24"/>
        </w:rPr>
        <w:t xml:space="preserve">Evans, J.R. (2013), Laser-assisted in-situ keratomileusis (LASIK) versus photorefractive keratectomy (PRK) for myopia.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Pr>
          <w:b/>
          <w:kern w:val="0"/>
          <w:szCs w:val="24"/>
        </w:rPr>
        <w:t>1</w:t>
      </w:r>
      <w:r>
        <w:rPr>
          <w:kern w:val="0"/>
        </w:rPr>
        <w:t>, Article Number: CD005135.</w:t>
      </w:r>
    </w:p>
    <w:p w:rsidR="00365DE4" w:rsidRDefault="00365DE4" w:rsidP="00365DE4">
      <w:pPr>
        <w:pStyle w:val="a3"/>
        <w:rPr>
          <w:kern w:val="2"/>
        </w:rPr>
      </w:pPr>
      <w:r>
        <w:t xml:space="preserve">Full Text: 2013\Coc Dat Sys Rev2013, </w:t>
      </w:r>
      <w:r>
        <w:rPr>
          <w:kern w:val="0"/>
        </w:rPr>
        <w:t>CD005135.pdf</w:t>
      </w:r>
    </w:p>
    <w:p w:rsidR="00365DE4" w:rsidRDefault="00365DE4" w:rsidP="00365DE4">
      <w:pPr>
        <w:pStyle w:val="a3"/>
        <w:rPr>
          <w:kern w:val="0"/>
          <w:szCs w:val="24"/>
        </w:rPr>
      </w:pPr>
      <w:r>
        <w:rPr>
          <w:kern w:val="0"/>
          <w:szCs w:val="24"/>
        </w:rPr>
        <w:t>Abstract: Background Myopia (also known as short-sightedness or near-sightedness) is an ocular condition in which the refractive power</w:t>
      </w:r>
      <w:r w:rsidR="00427468">
        <w:rPr>
          <w:kern w:val="0"/>
          <w:szCs w:val="24"/>
        </w:rPr>
        <w:t xml:space="preserve"> of </w:t>
      </w:r>
      <w:r>
        <w:rPr>
          <w:kern w:val="0"/>
          <w:szCs w:val="24"/>
        </w:rPr>
        <w:t>the eye is greater than is required, resulting in light from distant objects being focused in front</w:t>
      </w:r>
      <w:r w:rsidR="00427468">
        <w:rPr>
          <w:kern w:val="0"/>
          <w:szCs w:val="24"/>
        </w:rPr>
        <w:t xml:space="preserve"> of </w:t>
      </w:r>
      <w:r>
        <w:rPr>
          <w:kern w:val="0"/>
          <w:szCs w:val="24"/>
        </w:rPr>
        <w:t>the retina instead</w:t>
      </w:r>
      <w:r w:rsidR="00427468">
        <w:rPr>
          <w:kern w:val="0"/>
          <w:szCs w:val="24"/>
        </w:rPr>
        <w:t xml:space="preserve"> of </w:t>
      </w:r>
      <w:r>
        <w:rPr>
          <w:kern w:val="0"/>
          <w:szCs w:val="24"/>
        </w:rPr>
        <w:t>directly on it</w:t>
      </w:r>
      <w:r w:rsidR="00A37C1D">
        <w:rPr>
          <w:kern w:val="0"/>
          <w:szCs w:val="24"/>
        </w:rPr>
        <w:t>. The</w:t>
      </w:r>
      <w:r>
        <w:rPr>
          <w:kern w:val="0"/>
          <w:szCs w:val="24"/>
        </w:rPr>
        <w:t xml:space="preserve"> two most commonly used surgical techniques to permanently correct myopia are photorefractive keratectomy (PRK)</w:t>
      </w:r>
      <w:r w:rsidR="005853A9">
        <w:rPr>
          <w:kern w:val="0"/>
          <w:szCs w:val="24"/>
        </w:rPr>
        <w:t xml:space="preserve"> and </w:t>
      </w:r>
      <w:r>
        <w:rPr>
          <w:kern w:val="0"/>
          <w:szCs w:val="24"/>
        </w:rPr>
        <w:t>laser-assisted in-situ keratomileusis (LASIK). Objectives To compare the effectiveness</w:t>
      </w:r>
      <w:r w:rsidR="005853A9">
        <w:rPr>
          <w:kern w:val="0"/>
          <w:szCs w:val="24"/>
        </w:rPr>
        <w:t xml:space="preserve"> and </w:t>
      </w:r>
      <w:r>
        <w:rPr>
          <w:kern w:val="0"/>
          <w:szCs w:val="24"/>
        </w:rPr>
        <w:t>safety</w:t>
      </w:r>
      <w:r w:rsidR="00427468">
        <w:rPr>
          <w:kern w:val="0"/>
          <w:szCs w:val="24"/>
        </w:rPr>
        <w:t xml:space="preserve"> of </w:t>
      </w:r>
      <w:r>
        <w:rPr>
          <w:kern w:val="0"/>
          <w:szCs w:val="24"/>
        </w:rPr>
        <w:t>LASIK</w:t>
      </w:r>
      <w:r w:rsidR="005853A9">
        <w:rPr>
          <w:kern w:val="0"/>
          <w:szCs w:val="24"/>
        </w:rPr>
        <w:t xml:space="preserve"> and </w:t>
      </w:r>
      <w:r>
        <w:rPr>
          <w:kern w:val="0"/>
          <w:szCs w:val="24"/>
        </w:rPr>
        <w:t>PRK for correction</w:t>
      </w:r>
      <w:r w:rsidR="00427468">
        <w:rPr>
          <w:kern w:val="0"/>
          <w:szCs w:val="24"/>
        </w:rPr>
        <w:t xml:space="preserve"> of </w:t>
      </w:r>
      <w:r>
        <w:rPr>
          <w:kern w:val="0"/>
          <w:szCs w:val="24"/>
        </w:rPr>
        <w:t>myopia by examining post-treatment uncorrected visual acuity, refractive outcome, loss</w:t>
      </w:r>
      <w:r w:rsidR="00427468">
        <w:rPr>
          <w:kern w:val="0"/>
          <w:szCs w:val="24"/>
        </w:rPr>
        <w:t xml:space="preserve"> of </w:t>
      </w:r>
      <w:r>
        <w:rPr>
          <w:kern w:val="0"/>
          <w:szCs w:val="24"/>
        </w:rPr>
        <w:t>best spectacle-corrected visual acuity, pain scores, flap complications in LASIK, subepithelial haze, adverse events, quality</w:t>
      </w:r>
      <w:r w:rsidR="00427468">
        <w:rPr>
          <w:kern w:val="0"/>
          <w:szCs w:val="24"/>
        </w:rPr>
        <w:t xml:space="preserve"> of </w:t>
      </w:r>
      <w:r>
        <w:rPr>
          <w:kern w:val="0"/>
          <w:szCs w:val="24"/>
        </w:rPr>
        <w:t>life indices</w:t>
      </w:r>
      <w:r w:rsidR="005853A9">
        <w:rPr>
          <w:kern w:val="0"/>
          <w:szCs w:val="24"/>
        </w:rPr>
        <w:t xml:space="preserve"> and </w:t>
      </w:r>
      <w:r>
        <w:rPr>
          <w:kern w:val="0"/>
          <w:szCs w:val="24"/>
        </w:rPr>
        <w:t>higher order aberrations. Search methods We searched CENTRAL (which contains the Cochrane Eyes</w:t>
      </w:r>
      <w:r w:rsidR="005853A9">
        <w:rPr>
          <w:kern w:val="0"/>
          <w:szCs w:val="24"/>
        </w:rPr>
        <w:t xml:space="preserve"> and </w:t>
      </w:r>
      <w:r>
        <w:rPr>
          <w:kern w:val="0"/>
          <w:szCs w:val="24"/>
        </w:rPr>
        <w:t xml:space="preserve">Vision Group Trials Register) (The Cochrane Library 2012, Issue 11), Ovid </w:t>
      </w:r>
      <w:r w:rsidR="00D5664A">
        <w:rPr>
          <w:kern w:val="0"/>
          <w:szCs w:val="24"/>
        </w:rPr>
        <w:t>MEDLINE</w:t>
      </w:r>
      <w:r>
        <w:rPr>
          <w:kern w:val="0"/>
          <w:szCs w:val="24"/>
        </w:rPr>
        <w:t xml:space="preserve">, Ovid </w:t>
      </w:r>
      <w:r w:rsidR="00D5664A">
        <w:rPr>
          <w:kern w:val="0"/>
          <w:szCs w:val="24"/>
        </w:rPr>
        <w:t>MEDLINE</w:t>
      </w:r>
      <w:r>
        <w:rPr>
          <w:kern w:val="0"/>
          <w:szCs w:val="24"/>
        </w:rPr>
        <w:t xml:space="preserve"> In-Process</w:t>
      </w:r>
      <w:r w:rsidR="005853A9">
        <w:rPr>
          <w:kern w:val="0"/>
          <w:szCs w:val="24"/>
        </w:rPr>
        <w:t xml:space="preserve"> and </w:t>
      </w:r>
      <w:r>
        <w:rPr>
          <w:kern w:val="0"/>
          <w:szCs w:val="24"/>
        </w:rPr>
        <w:t xml:space="preserve">Other Non-Indexed Citations, Ovid </w:t>
      </w:r>
      <w:r w:rsidR="00D5664A">
        <w:rPr>
          <w:kern w:val="0"/>
          <w:szCs w:val="24"/>
        </w:rPr>
        <w:t>MEDLINE</w:t>
      </w:r>
      <w:r>
        <w:rPr>
          <w:kern w:val="0"/>
          <w:szCs w:val="24"/>
        </w:rPr>
        <w:t xml:space="preserve"> Daily, Ovid OLD</w:t>
      </w:r>
      <w:r w:rsidR="00D5664A">
        <w:rPr>
          <w:kern w:val="0"/>
          <w:szCs w:val="24"/>
        </w:rPr>
        <w:t>MEDLINE</w:t>
      </w:r>
      <w:r>
        <w:rPr>
          <w:kern w:val="0"/>
          <w:szCs w:val="24"/>
        </w:rPr>
        <w:t xml:space="preserve"> (January 1946 to November 2012), EMBASE (January 1980 to November 2012), Latin American</w:t>
      </w:r>
      <w:r w:rsidR="005853A9">
        <w:rPr>
          <w:kern w:val="0"/>
          <w:szCs w:val="24"/>
        </w:rPr>
        <w:t xml:space="preserve"> and </w:t>
      </w:r>
      <w:r>
        <w:rPr>
          <w:kern w:val="0"/>
          <w:szCs w:val="24"/>
        </w:rPr>
        <w:t>Caribbean Literature on Health Sciences (LILACS) (January 1982 to November 2012), the metaRegister</w:t>
      </w:r>
      <w:r w:rsidR="00427468">
        <w:rPr>
          <w:kern w:val="0"/>
          <w:szCs w:val="24"/>
        </w:rPr>
        <w:t xml:space="preserve"> of </w:t>
      </w:r>
      <w:r>
        <w:rPr>
          <w:kern w:val="0"/>
          <w:szCs w:val="24"/>
        </w:rPr>
        <w:t>Controlled Trials (mRCT) (www.controlled-trials.com), ClinicalTrials.gov (www.clinicaltrials.gov)</w:t>
      </w:r>
      <w:r w:rsidR="005853A9">
        <w:rPr>
          <w:kern w:val="0"/>
          <w:szCs w:val="24"/>
        </w:rPr>
        <w:t xml:space="preserve"> and </w:t>
      </w:r>
      <w:r>
        <w:rPr>
          <w:kern w:val="0"/>
          <w:szCs w:val="24"/>
        </w:rPr>
        <w:t>the WHO International Clinical Trials Registry Platform (ICTRP) (www.who.int/ictrp/search/en). We did not use any date or language restrictions in the electronic searches for trials. We last searched the electronic databases on 15 November 2012. We also searched the reference lists</w:t>
      </w:r>
      <w:r w:rsidR="00427468">
        <w:rPr>
          <w:kern w:val="0"/>
          <w:szCs w:val="24"/>
        </w:rPr>
        <w:t xml:space="preserve"> of </w:t>
      </w:r>
      <w:r>
        <w:rPr>
          <w:kern w:val="0"/>
          <w:szCs w:val="24"/>
        </w:rPr>
        <w:t>the studies</w:t>
      </w:r>
      <w:r w:rsidR="005853A9">
        <w:rPr>
          <w:kern w:val="0"/>
          <w:szCs w:val="24"/>
        </w:rPr>
        <w:t xml:space="preserve"> and </w:t>
      </w:r>
      <w:r>
        <w:rPr>
          <w:kern w:val="0"/>
          <w:szCs w:val="24"/>
        </w:rPr>
        <w:t>the Science Citation Index. Selection criteria We included randomised controlled trials comparing LASIK</w:t>
      </w:r>
      <w:r w:rsidR="005853A9">
        <w:rPr>
          <w:kern w:val="0"/>
          <w:szCs w:val="24"/>
        </w:rPr>
        <w:t xml:space="preserve"> and </w:t>
      </w:r>
      <w:r>
        <w:rPr>
          <w:kern w:val="0"/>
          <w:szCs w:val="24"/>
        </w:rPr>
        <w:t>PRK for the correction</w:t>
      </w:r>
      <w:r w:rsidR="00427468">
        <w:rPr>
          <w:kern w:val="0"/>
          <w:szCs w:val="24"/>
        </w:rPr>
        <w:t xml:space="preserve"> of </w:t>
      </w:r>
      <w:r>
        <w:rPr>
          <w:kern w:val="0"/>
          <w:szCs w:val="24"/>
        </w:rPr>
        <w:t>any degree</w:t>
      </w:r>
      <w:r w:rsidR="00427468">
        <w:rPr>
          <w:kern w:val="0"/>
          <w:szCs w:val="24"/>
        </w:rPr>
        <w:t xml:space="preserve"> of </w:t>
      </w:r>
      <w:r>
        <w:rPr>
          <w:kern w:val="0"/>
          <w:szCs w:val="24"/>
        </w:rPr>
        <w:t>myopia. Data collection</w:t>
      </w:r>
      <w:r w:rsidR="005853A9">
        <w:rPr>
          <w:kern w:val="0"/>
          <w:szCs w:val="24"/>
        </w:rPr>
        <w:t xml:space="preserve"> and </w:t>
      </w:r>
      <w:r>
        <w:rPr>
          <w:kern w:val="0"/>
          <w:szCs w:val="24"/>
        </w:rPr>
        <w:t>analysis Two authors independently assessed trial quality</w:t>
      </w:r>
      <w:r w:rsidR="005853A9">
        <w:rPr>
          <w:kern w:val="0"/>
          <w:szCs w:val="24"/>
        </w:rPr>
        <w:t xml:space="preserve"> and </w:t>
      </w:r>
      <w:r>
        <w:rPr>
          <w:kern w:val="0"/>
          <w:szCs w:val="24"/>
        </w:rPr>
        <w:t>extracted data. We summarised data using the odds ratio</w:t>
      </w:r>
      <w:r w:rsidR="005853A9">
        <w:rPr>
          <w:kern w:val="0"/>
          <w:szCs w:val="24"/>
        </w:rPr>
        <w:t xml:space="preserve"> and </w:t>
      </w:r>
      <w:r>
        <w:rPr>
          <w:kern w:val="0"/>
          <w:szCs w:val="24"/>
        </w:rPr>
        <w:t>mean difference. We combined odds ratios using a random-effects model after testing for heterogeneity. Main results We included 13 trials (1135 participants, 1923 eyes) in this review. Nine</w:t>
      </w:r>
      <w:r w:rsidR="00427468">
        <w:rPr>
          <w:kern w:val="0"/>
          <w:szCs w:val="24"/>
        </w:rPr>
        <w:t xml:space="preserve"> of </w:t>
      </w:r>
      <w:r>
        <w:rPr>
          <w:kern w:val="0"/>
          <w:szCs w:val="24"/>
        </w:rPr>
        <w:t xml:space="preserve">these trials randomised eyes to treatment, two trials randomised </w:t>
      </w:r>
      <w:r>
        <w:rPr>
          <w:kern w:val="0"/>
          <w:szCs w:val="24"/>
        </w:rPr>
        <w:lastRenderedPageBreak/>
        <w:t>people to treatment</w:t>
      </w:r>
      <w:r w:rsidR="005853A9">
        <w:rPr>
          <w:kern w:val="0"/>
          <w:szCs w:val="24"/>
        </w:rPr>
        <w:t xml:space="preserve"> and </w:t>
      </w:r>
      <w:r>
        <w:rPr>
          <w:kern w:val="0"/>
          <w:szCs w:val="24"/>
        </w:rPr>
        <w:t>treated both eyes,</w:t>
      </w:r>
      <w:r w:rsidR="005853A9">
        <w:rPr>
          <w:kern w:val="0"/>
          <w:szCs w:val="24"/>
        </w:rPr>
        <w:t xml:space="preserve"> and </w:t>
      </w:r>
      <w:r>
        <w:rPr>
          <w:kern w:val="0"/>
          <w:szCs w:val="24"/>
        </w:rPr>
        <w:t>two trials randomised people to treatment</w:t>
      </w:r>
      <w:r w:rsidR="005853A9">
        <w:rPr>
          <w:kern w:val="0"/>
          <w:szCs w:val="24"/>
        </w:rPr>
        <w:t xml:space="preserve"> and </w:t>
      </w:r>
      <w:r>
        <w:rPr>
          <w:kern w:val="0"/>
          <w:szCs w:val="24"/>
        </w:rPr>
        <w:t>treated one eye. None</w:t>
      </w:r>
      <w:r w:rsidR="00427468">
        <w:rPr>
          <w:kern w:val="0"/>
          <w:szCs w:val="24"/>
        </w:rPr>
        <w:t xml:space="preserve"> of </w:t>
      </w:r>
      <w:r>
        <w:rPr>
          <w:kern w:val="0"/>
          <w:szCs w:val="24"/>
        </w:rPr>
        <w:t>the paired trials reported an appropriate paired analysis. We considered the overall quality</w:t>
      </w:r>
      <w:r w:rsidR="00427468">
        <w:rPr>
          <w:kern w:val="0"/>
          <w:szCs w:val="24"/>
        </w:rPr>
        <w:t xml:space="preserve"> of </w:t>
      </w:r>
      <w:r>
        <w:rPr>
          <w:kern w:val="0"/>
          <w:szCs w:val="24"/>
        </w:rPr>
        <w:t>evidence to be low for most outcomes because</w:t>
      </w:r>
      <w:r w:rsidR="00427468">
        <w:rPr>
          <w:kern w:val="0"/>
          <w:szCs w:val="24"/>
        </w:rPr>
        <w:t xml:space="preserve"> of </w:t>
      </w:r>
      <w:r>
        <w:rPr>
          <w:kern w:val="0"/>
          <w:szCs w:val="24"/>
        </w:rPr>
        <w:t>the risk</w:t>
      </w:r>
      <w:r w:rsidR="00427468">
        <w:rPr>
          <w:kern w:val="0"/>
          <w:szCs w:val="24"/>
        </w:rPr>
        <w:t xml:space="preserve"> of </w:t>
      </w:r>
      <w:r>
        <w:rPr>
          <w:kern w:val="0"/>
          <w:szCs w:val="24"/>
        </w:rPr>
        <w:t>bias in the included trials</w:t>
      </w:r>
      <w:r w:rsidR="00A37C1D">
        <w:rPr>
          <w:kern w:val="0"/>
          <w:szCs w:val="24"/>
        </w:rPr>
        <w:t>. The</w:t>
      </w:r>
      <w:r>
        <w:rPr>
          <w:kern w:val="0"/>
          <w:szCs w:val="24"/>
        </w:rPr>
        <w:t>re was evidence that LASIK gives a faster visual recovery than PRK</w:t>
      </w:r>
      <w:r w:rsidR="005853A9">
        <w:rPr>
          <w:kern w:val="0"/>
          <w:szCs w:val="24"/>
        </w:rPr>
        <w:t xml:space="preserve"> and </w:t>
      </w:r>
      <w:r>
        <w:rPr>
          <w:kern w:val="0"/>
          <w:szCs w:val="24"/>
        </w:rPr>
        <w:t>is a less painful technique. Results at one year after surgery were comparable: most analyses favoured LASIK but they were not statistically significant. Authors</w:t>
      </w:r>
      <w:r w:rsidR="0071223E">
        <w:rPr>
          <w:kern w:val="0"/>
          <w:szCs w:val="24"/>
        </w:rPr>
        <w:t>’</w:t>
      </w:r>
      <w:r>
        <w:rPr>
          <w:kern w:val="0"/>
          <w:szCs w:val="24"/>
        </w:rPr>
        <w:t xml:space="preserve"> conclusions LASIK gives a faster visual recovery</w:t>
      </w:r>
      <w:r w:rsidR="005853A9">
        <w:rPr>
          <w:kern w:val="0"/>
          <w:szCs w:val="24"/>
        </w:rPr>
        <w:t xml:space="preserve"> and </w:t>
      </w:r>
      <w:r>
        <w:rPr>
          <w:kern w:val="0"/>
          <w:szCs w:val="24"/>
        </w:rPr>
        <w:t>is a less painful technique than PRK</w:t>
      </w:r>
      <w:r w:rsidR="00A37C1D">
        <w:rPr>
          <w:kern w:val="0"/>
          <w:szCs w:val="24"/>
        </w:rPr>
        <w:t>. The</w:t>
      </w:r>
      <w:r>
        <w:rPr>
          <w:kern w:val="0"/>
          <w:szCs w:val="24"/>
        </w:rPr>
        <w:t xml:space="preserve"> two techniques appear to give similar outcomes one year after surgery. Further trials using contemporary techniques are required to determine whether LASIK</w:t>
      </w:r>
      <w:r w:rsidR="005853A9">
        <w:rPr>
          <w:kern w:val="0"/>
          <w:szCs w:val="24"/>
        </w:rPr>
        <w:t xml:space="preserve"> and </w:t>
      </w:r>
      <w:r>
        <w:rPr>
          <w:kern w:val="0"/>
          <w:szCs w:val="24"/>
        </w:rPr>
        <w:t>PRK as currently practised are equally safe. Randomising eyes to treatment is an efficient design, but only if analysed properly. In future trials, more efforts could be made to mask the assessment</w:t>
      </w:r>
      <w:r w:rsidR="00427468">
        <w:rPr>
          <w:kern w:val="0"/>
          <w:szCs w:val="24"/>
        </w:rPr>
        <w:t xml:space="preserve"> of </w:t>
      </w:r>
      <w:r>
        <w:rPr>
          <w:kern w:val="0"/>
          <w:szCs w:val="24"/>
        </w:rPr>
        <w:t>outcome.</w:t>
      </w:r>
    </w:p>
    <w:p w:rsidR="00365DE4" w:rsidRDefault="00365DE4" w:rsidP="00365DE4">
      <w:pPr>
        <w:pStyle w:val="a3"/>
        <w:rPr>
          <w:kern w:val="0"/>
          <w:szCs w:val="24"/>
        </w:rPr>
      </w:pPr>
      <w:r>
        <w:rPr>
          <w:kern w:val="0"/>
          <w:szCs w:val="24"/>
        </w:rPr>
        <w:t xml:space="preserve">Keywords: Analyses, Analysis, Assessment, Authors, Bias, Citation, Citations, Clinical Trials, Collection, Complications, Contralateral Eye, Criteria, Data, Data Collection, Databases, Design, Effectiveness, Embase, Events, Evidence, Excimer-Laser, Femtosecond Laser, Flap Complications, Follow-Up, Heterogeneity, Humans, In Situ, Indices, Insitu Keratomileusis, Keratomileusis,Laser In Situ, Language, Lasers,Excimer, Lasik, Life, Literature, Mechanical Microkeratome, </w:t>
      </w:r>
      <w:r w:rsidR="00D5664A">
        <w:rPr>
          <w:kern w:val="0"/>
          <w:szCs w:val="24"/>
        </w:rPr>
        <w:t>MEDLINE</w:t>
      </w:r>
      <w:r>
        <w:rPr>
          <w:kern w:val="0"/>
          <w:szCs w:val="24"/>
        </w:rPr>
        <w:t>, Methods, Model, Myopia [Surgery], Odds Ratio, Outcome, Outcomes, Pain, Photorefractive Keratectomy, Power, Quality, Quality Of, Quality</w:t>
      </w:r>
      <w:r w:rsidR="00427468">
        <w:rPr>
          <w:kern w:val="0"/>
          <w:szCs w:val="24"/>
        </w:rPr>
        <w:t xml:space="preserve"> of </w:t>
      </w:r>
      <w:r>
        <w:rPr>
          <w:kern w:val="0"/>
          <w:szCs w:val="24"/>
        </w:rPr>
        <w:t>Life, Random Effects Model, Randomised, Randomised Controlled Trials, Randomized Controlled Trials As Topic, Randomized Controlled-Trials, Recovery, Reference, Reference Lists, Refractive Surgery, Restrictions, Results, Review, Risk, Risk-Factors, Safety, Science, Science Citation Index, Search, Surgery, Surgical Techniques, Techniques, Testing, Treatment, Trial, WHO</w:t>
      </w:r>
    </w:p>
    <w:p w:rsidR="00D83AB6" w:rsidRDefault="00D83AB6" w:rsidP="00D83AB6">
      <w:pPr>
        <w:pStyle w:val="a3"/>
        <w:rPr>
          <w:kern w:val="0"/>
        </w:rPr>
      </w:pPr>
      <w:r>
        <w:rPr>
          <w:rFonts w:hint="eastAsia"/>
          <w:kern w:val="0"/>
        </w:rPr>
        <w:t xml:space="preserve">? </w:t>
      </w:r>
      <w:r>
        <w:rPr>
          <w:kern w:val="0"/>
        </w:rPr>
        <w:t>Marti-Carvajal, A.J., Sola, I., Lathyris, D., Karakitsiou, D.E.</w:t>
      </w:r>
      <w:r w:rsidR="005853A9">
        <w:rPr>
          <w:kern w:val="0"/>
        </w:rPr>
        <w:t xml:space="preserve"> and </w:t>
      </w:r>
      <w:r>
        <w:rPr>
          <w:kern w:val="0"/>
        </w:rPr>
        <w:t xml:space="preserve">Simancas-Racines, D. (2013), Homocysteine-lowering interventions for preventing cardiovascular events.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1</w:t>
      </w:r>
      <w:r>
        <w:rPr>
          <w:rFonts w:hint="eastAsia"/>
          <w:kern w:val="0"/>
        </w:rPr>
        <w:t xml:space="preserve">, </w:t>
      </w:r>
      <w:r w:rsidRPr="006939E5">
        <w:rPr>
          <w:kern w:val="0"/>
        </w:rPr>
        <w:t xml:space="preserve">Article Number: </w:t>
      </w:r>
      <w:r w:rsidRPr="00D83AB6">
        <w:t>CD006612</w:t>
      </w:r>
      <w:r>
        <w:rPr>
          <w:kern w:val="0"/>
        </w:rPr>
        <w:t>.</w:t>
      </w:r>
    </w:p>
    <w:p w:rsidR="00D83AB6" w:rsidRDefault="00D83AB6" w:rsidP="00D83AB6">
      <w:pPr>
        <w:pStyle w:val="a3"/>
      </w:pPr>
      <w:r>
        <w:t>Full Text: 201</w:t>
      </w:r>
      <w:r>
        <w:rPr>
          <w:rFonts w:hint="eastAsia"/>
        </w:rPr>
        <w:t>3</w:t>
      </w:r>
      <w:r>
        <w:t>\Coc Dat Sys Rev201</w:t>
      </w:r>
      <w:r>
        <w:rPr>
          <w:rFonts w:hint="eastAsia"/>
        </w:rPr>
        <w:t>3</w:t>
      </w:r>
      <w:r>
        <w:t xml:space="preserve">, </w:t>
      </w:r>
      <w:r w:rsidRPr="00D83AB6">
        <w:t>CD006612</w:t>
      </w:r>
      <w:r>
        <w:t>.pdf</w:t>
      </w:r>
    </w:p>
    <w:p w:rsidR="00D83AB6" w:rsidRDefault="00D83AB6" w:rsidP="00D83AB6">
      <w:pPr>
        <w:pStyle w:val="a3"/>
        <w:rPr>
          <w:kern w:val="0"/>
        </w:rPr>
      </w:pPr>
      <w:r>
        <w:rPr>
          <w:kern w:val="0"/>
        </w:rPr>
        <w:t>Abstract: Background Cardiovascular disease (including coronary artery disease, stroke</w:t>
      </w:r>
      <w:r w:rsidR="005853A9">
        <w:rPr>
          <w:kern w:val="0"/>
        </w:rPr>
        <w:t xml:space="preserve"> and </w:t>
      </w:r>
      <w:r>
        <w:rPr>
          <w:kern w:val="0"/>
        </w:rPr>
        <w:t>congestive heart failure), is a leading cause</w:t>
      </w:r>
      <w:r w:rsidR="00427468">
        <w:rPr>
          <w:kern w:val="0"/>
        </w:rPr>
        <w:t xml:space="preserve"> of </w:t>
      </w:r>
      <w:r>
        <w:rPr>
          <w:kern w:val="0"/>
        </w:rPr>
        <w:t>death worldwide. Homocysteine is an amino acid with biological functions in methionine metabolism. A postulated risk factor is elevated circulating total homocysteine levels, which are associated with cardiovascular events. This is an update</w:t>
      </w:r>
      <w:r w:rsidR="00427468">
        <w:rPr>
          <w:kern w:val="0"/>
        </w:rPr>
        <w:t xml:space="preserve"> of </w:t>
      </w:r>
      <w:r>
        <w:rPr>
          <w:kern w:val="0"/>
        </w:rPr>
        <w:t>a review previously published in 2009. Objectives To assess the clinical effectiveness</w:t>
      </w:r>
      <w:r w:rsidR="00427468">
        <w:rPr>
          <w:kern w:val="0"/>
        </w:rPr>
        <w:t xml:space="preserve"> of </w:t>
      </w:r>
      <w:r>
        <w:rPr>
          <w:kern w:val="0"/>
        </w:rPr>
        <w:t>homocysteine-lowering interventions in people with or without pre-existing cardiovascular disease. Search methods We searched The Cochrane Central Register</w:t>
      </w:r>
      <w:r w:rsidR="00427468">
        <w:rPr>
          <w:kern w:val="0"/>
        </w:rPr>
        <w:t xml:space="preserve"> of </w:t>
      </w:r>
      <w:r>
        <w:rPr>
          <w:kern w:val="0"/>
        </w:rPr>
        <w:t xml:space="preserve">Controlled Trials (CENTRAL) on The Cochrane Library (2012, Issue 2), </w:t>
      </w:r>
      <w:r w:rsidR="00D5664A">
        <w:rPr>
          <w:kern w:val="0"/>
        </w:rPr>
        <w:t>MEDLINE</w:t>
      </w:r>
      <w:r>
        <w:rPr>
          <w:kern w:val="0"/>
        </w:rPr>
        <w:t xml:space="preserve"> (1950 to Feb </w:t>
      </w:r>
      <w:r>
        <w:rPr>
          <w:kern w:val="0"/>
        </w:rPr>
        <w:lastRenderedPageBreak/>
        <w:t>week 2 2012), EMBASE (1980 to 2012 week 07),</w:t>
      </w:r>
      <w:r w:rsidR="005853A9">
        <w:rPr>
          <w:kern w:val="0"/>
        </w:rPr>
        <w:t xml:space="preserve"> and </w:t>
      </w:r>
      <w:r>
        <w:rPr>
          <w:kern w:val="0"/>
        </w:rPr>
        <w:t xml:space="preserve">LILACS (1986 to February 2012). We also searched ISI </w:t>
      </w:r>
      <w:r w:rsidR="00D5664A">
        <w:rPr>
          <w:kern w:val="0"/>
        </w:rPr>
        <w:t>Web</w:t>
      </w:r>
      <w:r w:rsidR="00427468">
        <w:rPr>
          <w:kern w:val="0"/>
        </w:rPr>
        <w:t xml:space="preserve"> of </w:t>
      </w:r>
      <w:r w:rsidR="00D5664A">
        <w:rPr>
          <w:kern w:val="0"/>
        </w:rPr>
        <w:t>Science</w:t>
      </w:r>
      <w:r>
        <w:rPr>
          <w:kern w:val="0"/>
        </w:rPr>
        <w:t xml:space="preserve"> (1970 to February 2012). We handsearched the reference lists</w:t>
      </w:r>
      <w:r w:rsidR="00427468">
        <w:rPr>
          <w:kern w:val="0"/>
        </w:rPr>
        <w:t xml:space="preserve"> of </w:t>
      </w:r>
      <w:r>
        <w:rPr>
          <w:kern w:val="0"/>
        </w:rPr>
        <w:t>included papers. We also contacted researchers in the field</w:t>
      </w:r>
      <w:r w:rsidR="00A37C1D">
        <w:rPr>
          <w:kern w:val="0"/>
        </w:rPr>
        <w:t>. The</w:t>
      </w:r>
      <w:r>
        <w:rPr>
          <w:kern w:val="0"/>
        </w:rPr>
        <w:t>re was no language restriction in the search. Selection criteria We included randomised controlled trials assessing the effects</w:t>
      </w:r>
      <w:r w:rsidR="00427468">
        <w:rPr>
          <w:kern w:val="0"/>
        </w:rPr>
        <w:t xml:space="preserve"> of </w:t>
      </w:r>
      <w:r>
        <w:rPr>
          <w:kern w:val="0"/>
        </w:rPr>
        <w:t>homocysteine-lowering interventions for preventing cardiovascular events with a follow-up period</w:t>
      </w:r>
      <w:r w:rsidR="00427468">
        <w:rPr>
          <w:kern w:val="0"/>
        </w:rPr>
        <w:t xml:space="preserve"> of </w:t>
      </w:r>
      <w:r>
        <w:rPr>
          <w:kern w:val="0"/>
        </w:rPr>
        <w:t>one year or longer. We considered myocardial infarction</w:t>
      </w:r>
      <w:r w:rsidR="005853A9">
        <w:rPr>
          <w:kern w:val="0"/>
        </w:rPr>
        <w:t xml:space="preserve"> and </w:t>
      </w:r>
      <w:r>
        <w:rPr>
          <w:kern w:val="0"/>
        </w:rPr>
        <w:t>stroke as the primary outcomes. We excluded studies in patients with end-stage renal disease. Data collection</w:t>
      </w:r>
      <w:r w:rsidR="005853A9">
        <w:rPr>
          <w:kern w:val="0"/>
        </w:rPr>
        <w:t xml:space="preserve"> and </w:t>
      </w:r>
      <w:r>
        <w:rPr>
          <w:kern w:val="0"/>
        </w:rPr>
        <w:t xml:space="preserve">analysis We performed study selection, </w:t>
      </w:r>
      <w:r w:rsidR="0071223E">
        <w:rPr>
          <w:kern w:val="0"/>
        </w:rPr>
        <w:t>‘</w:t>
      </w:r>
      <w:r>
        <w:rPr>
          <w:kern w:val="0"/>
        </w:rPr>
        <w:t>Risk</w:t>
      </w:r>
      <w:r w:rsidR="00427468">
        <w:rPr>
          <w:kern w:val="0"/>
        </w:rPr>
        <w:t xml:space="preserve"> of </w:t>
      </w:r>
      <w:r>
        <w:rPr>
          <w:kern w:val="0"/>
        </w:rPr>
        <w:t>bias</w:t>
      </w:r>
      <w:r w:rsidR="0071223E">
        <w:rPr>
          <w:kern w:val="0"/>
        </w:rPr>
        <w:t>’</w:t>
      </w:r>
      <w:r>
        <w:rPr>
          <w:kern w:val="0"/>
        </w:rPr>
        <w:t xml:space="preserve"> assessment</w:t>
      </w:r>
      <w:r w:rsidR="005853A9">
        <w:rPr>
          <w:kern w:val="0"/>
        </w:rPr>
        <w:t xml:space="preserve"> and </w:t>
      </w:r>
      <w:r>
        <w:rPr>
          <w:kern w:val="0"/>
        </w:rPr>
        <w:t>data extraction in duplicate. We estimated risk ratios (RR) for dichotomous outcomes. We measured statistical heterogeneity using I-2. We used a random-effects model. Main results In this updated systematic review, we identified four new randomised trials, resulting in a total</w:t>
      </w:r>
      <w:r w:rsidR="00427468">
        <w:rPr>
          <w:kern w:val="0"/>
        </w:rPr>
        <w:t xml:space="preserve"> of </w:t>
      </w:r>
      <w:r>
        <w:rPr>
          <w:kern w:val="0"/>
        </w:rPr>
        <w:t>12 randomised controlled trials involving 47,429 participants. In general terms, the trials had a low risk</w:t>
      </w:r>
      <w:r w:rsidR="00427468">
        <w:rPr>
          <w:kern w:val="0"/>
        </w:rPr>
        <w:t xml:space="preserve"> of </w:t>
      </w:r>
      <w:r>
        <w:rPr>
          <w:kern w:val="0"/>
        </w:rPr>
        <w:t>bias. Homocysteine-lowering interventions compared with placebo did not significantly affect non-fatal or fatal myocardial infarction (pooled RR 1.02, 95% CI 0.95 to 1.10, I-2 = 0%), stroke (pooled RR 0.91, 95% CI 0.82 to 1.0, I-2 = 11%) or death by any cause (pooled RR 1.01 (95% CI 0.96 to 1.07, I-2: 6%)). Homocysteine-lowering interventions compared with placebo did not significantly affect serious adverse events (cancer) (1 RR 1.06, 95% CI 0.98 to 1.13; I-2 = 0%). Authors</w:t>
      </w:r>
      <w:r w:rsidR="0071223E">
        <w:rPr>
          <w:kern w:val="0"/>
        </w:rPr>
        <w:t>’</w:t>
      </w:r>
      <w:r>
        <w:rPr>
          <w:kern w:val="0"/>
        </w:rPr>
        <w:t xml:space="preserve"> conclusions This updated Cochrane review found no evidence to suggest that homocysteine-lowering interventions in the form</w:t>
      </w:r>
      <w:r w:rsidR="00427468">
        <w:rPr>
          <w:kern w:val="0"/>
        </w:rPr>
        <w:t xml:space="preserve"> of </w:t>
      </w:r>
      <w:r>
        <w:rPr>
          <w:kern w:val="0"/>
        </w:rPr>
        <w:t>supplements</w:t>
      </w:r>
      <w:r w:rsidR="00427468">
        <w:rPr>
          <w:kern w:val="0"/>
        </w:rPr>
        <w:t xml:space="preserve"> of </w:t>
      </w:r>
      <w:r>
        <w:rPr>
          <w:kern w:val="0"/>
        </w:rPr>
        <w:t>vitamins B6, B9 or B12 given alone or in combination should be used for preventing cardiovascular events. Furthermore, there is no evidence suggesting that homocysteine-lowering interventions are associated with an increased risk</w:t>
      </w:r>
      <w:r w:rsidR="00427468">
        <w:rPr>
          <w:kern w:val="0"/>
        </w:rPr>
        <w:t xml:space="preserve"> of </w:t>
      </w:r>
      <w:r>
        <w:rPr>
          <w:kern w:val="0"/>
        </w:rPr>
        <w:t>cancer.</w:t>
      </w:r>
    </w:p>
    <w:p w:rsidR="00D83AB6" w:rsidRDefault="00D83AB6" w:rsidP="00D83AB6">
      <w:pPr>
        <w:pStyle w:val="a3"/>
        <w:rPr>
          <w:kern w:val="0"/>
        </w:rPr>
      </w:pPr>
      <w:r>
        <w:rPr>
          <w:kern w:val="0"/>
        </w:rPr>
        <w:t>Keywords: Amino Acid, Analysis, Artery, Assessing, Assessment, Bias, Biological, Cancer, Cardiovascular, Cardiovascular Disease, Cause</w:t>
      </w:r>
      <w:r w:rsidR="00427468">
        <w:rPr>
          <w:kern w:val="0"/>
        </w:rPr>
        <w:t xml:space="preserve"> of </w:t>
      </w:r>
      <w:r>
        <w:rPr>
          <w:kern w:val="0"/>
        </w:rPr>
        <w:t>Death, Clinical, Collection, Congestive Heart Failure, Coronary Artery, Coronary Artery Disease, Criteria, Data, Data Collection, Death, Disease, Effectiveness, Effects, Embase, Events, Evidence, Extraction, Failure, Field, Follow-Up, Functions, General, Heart, Heart Failure, Heterogeneity, Homocysteine, Infarction,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Language, Low Risk, </w:t>
      </w:r>
      <w:r w:rsidR="00D5664A">
        <w:rPr>
          <w:kern w:val="0"/>
        </w:rPr>
        <w:t>MEDLINE</w:t>
      </w:r>
      <w:r>
        <w:rPr>
          <w:kern w:val="0"/>
        </w:rPr>
        <w:t>, Metabolism, Methods, Model, Myocardial Infarction, Outcomes, Papers, Patients, Placebo, Primary, Random Effects Model, Randomised, Randomised Controlled Trials, Reference, Reference Lists, Renal, Review, Risk, Risk Factor, Risk</w:t>
      </w:r>
      <w:r w:rsidR="00427468">
        <w:rPr>
          <w:kern w:val="0"/>
        </w:rPr>
        <w:t xml:space="preserve"> of </w:t>
      </w:r>
      <w:r>
        <w:rPr>
          <w:kern w:val="0"/>
        </w:rPr>
        <w:t xml:space="preserve">Bias, Science, Search, Selection, Stroke, Systematic Review, </w:t>
      </w:r>
      <w:r w:rsidR="00D5664A">
        <w:rPr>
          <w:kern w:val="0"/>
        </w:rPr>
        <w:t>Web</w:t>
      </w:r>
      <w:r w:rsidR="00427468">
        <w:rPr>
          <w:kern w:val="0"/>
        </w:rPr>
        <w:t xml:space="preserve"> of </w:t>
      </w:r>
      <w:r w:rsidR="00D5664A">
        <w:rPr>
          <w:kern w:val="0"/>
        </w:rPr>
        <w:t>Science</w:t>
      </w:r>
    </w:p>
    <w:p w:rsidR="00BE2F5F" w:rsidRDefault="00BE2F5F" w:rsidP="00BE2F5F">
      <w:pPr>
        <w:pStyle w:val="a3"/>
        <w:rPr>
          <w:kern w:val="0"/>
          <w:szCs w:val="24"/>
        </w:rPr>
      </w:pPr>
      <w:r>
        <w:rPr>
          <w:rFonts w:hint="eastAsia"/>
          <w:kern w:val="0"/>
        </w:rPr>
        <w:t xml:space="preserve">? </w:t>
      </w:r>
      <w:r>
        <w:rPr>
          <w:kern w:val="0"/>
        </w:rPr>
        <w:t xml:space="preserve">Borthwick, E.M.J., Hill, C.J., Rabindranath, K.S., Maxwell, A.P., McAuley, D.F. and Blackwood, B. (2013), High-volume haemofiltration for sepsis.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szCs w:val="24"/>
        </w:rPr>
        <w:t>1</w:t>
      </w:r>
      <w:r>
        <w:rPr>
          <w:rFonts w:hint="eastAsia"/>
          <w:kern w:val="0"/>
          <w:szCs w:val="24"/>
        </w:rPr>
        <w:t>,</w:t>
      </w:r>
      <w:r w:rsidRPr="008E1364">
        <w:t xml:space="preserve"> </w:t>
      </w:r>
      <w:r w:rsidRPr="008E1364">
        <w:rPr>
          <w:kern w:val="0"/>
          <w:szCs w:val="24"/>
        </w:rPr>
        <w:t xml:space="preserve">Article Number: </w:t>
      </w:r>
      <w:r w:rsidRPr="000873FA">
        <w:rPr>
          <w:kern w:val="0"/>
          <w:szCs w:val="24"/>
        </w:rPr>
        <w:t>CD008075</w:t>
      </w:r>
      <w:r>
        <w:rPr>
          <w:rFonts w:hint="eastAsia"/>
          <w:kern w:val="0"/>
          <w:szCs w:val="24"/>
        </w:rPr>
        <w:t>.</w:t>
      </w:r>
    </w:p>
    <w:p w:rsidR="00BE2F5F" w:rsidRDefault="00BE2F5F" w:rsidP="00BE2F5F">
      <w:pPr>
        <w:pStyle w:val="a3"/>
        <w:rPr>
          <w:kern w:val="2"/>
        </w:rPr>
      </w:pPr>
      <w:r>
        <w:lastRenderedPageBreak/>
        <w:t>Full Text: 201</w:t>
      </w:r>
      <w:r>
        <w:rPr>
          <w:rFonts w:hint="eastAsia"/>
        </w:rPr>
        <w:t>3</w:t>
      </w:r>
      <w:r>
        <w:t>\Coc Dat Sys Rev201</w:t>
      </w:r>
      <w:r>
        <w:rPr>
          <w:rFonts w:hint="eastAsia"/>
        </w:rPr>
        <w:t>3</w:t>
      </w:r>
      <w:r>
        <w:t xml:space="preserve">, </w:t>
      </w:r>
      <w:r w:rsidRPr="000873FA">
        <w:t>CD008075</w:t>
      </w:r>
      <w:r>
        <w:t>.pdf</w:t>
      </w:r>
    </w:p>
    <w:p w:rsidR="00BE2F5F" w:rsidRDefault="00BE2F5F" w:rsidP="00BE2F5F">
      <w:pPr>
        <w:pStyle w:val="a3"/>
        <w:rPr>
          <w:kern w:val="0"/>
        </w:rPr>
      </w:pPr>
      <w:r>
        <w:rPr>
          <w:kern w:val="0"/>
        </w:rPr>
        <w:t>Abstract: Background Severe sepsis and septic shock are leading causes</w:t>
      </w:r>
      <w:r w:rsidR="00427468">
        <w:rPr>
          <w:kern w:val="0"/>
        </w:rPr>
        <w:t xml:space="preserve"> of </w:t>
      </w:r>
      <w:r>
        <w:rPr>
          <w:kern w:val="0"/>
        </w:rPr>
        <w:t>death in the intensive care unit (ICU). This is despite advances in the management</w:t>
      </w:r>
      <w:r w:rsidR="00427468">
        <w:rPr>
          <w:kern w:val="0"/>
        </w:rPr>
        <w:t xml:space="preserve"> of </w:t>
      </w:r>
      <w:r>
        <w:rPr>
          <w:kern w:val="0"/>
        </w:rPr>
        <w:t>patients with severe sepsis and septic shock including early recognition, source control, timely and appropriate administration</w:t>
      </w:r>
      <w:r w:rsidR="00427468">
        <w:rPr>
          <w:kern w:val="0"/>
        </w:rPr>
        <w:t xml:space="preserve"> of </w:t>
      </w:r>
      <w:r>
        <w:rPr>
          <w:kern w:val="0"/>
        </w:rPr>
        <w:t>antimicrobial agents, and goal directed haemodynamic, ventilatory and metabolic therapies. High-volume haemofiltration (HVHF) is a blood purification technique which may improve outcomes in critically ill patients with severe sepsis or septic shock</w:t>
      </w:r>
      <w:r w:rsidR="00A37C1D">
        <w:rPr>
          <w:kern w:val="0"/>
        </w:rPr>
        <w:t>. The</w:t>
      </w:r>
      <w:r>
        <w:rPr>
          <w:kern w:val="0"/>
        </w:rPr>
        <w:t xml:space="preserve"> technique</w:t>
      </w:r>
      <w:r w:rsidR="00427468">
        <w:rPr>
          <w:kern w:val="0"/>
        </w:rPr>
        <w:t xml:space="preserve"> of </w:t>
      </w:r>
      <w:r>
        <w:rPr>
          <w:kern w:val="0"/>
        </w:rPr>
        <w:t>HVHF has evolved from renal replacement therapies used to treat acute kidney injury (AKI) in critically ill patients in the ICU. Objectives This review assessed whether HVHF improves clinical outcome in adult critically ill patients with sepsis in an ICU setting. Search methods We searched the Cochrane Central Register</w:t>
      </w:r>
      <w:r w:rsidR="00427468">
        <w:rPr>
          <w:kern w:val="0"/>
        </w:rPr>
        <w:t xml:space="preserve"> of </w:t>
      </w:r>
      <w:r>
        <w:rPr>
          <w:kern w:val="0"/>
        </w:rPr>
        <w:t>Controlled Trials (CENTRAL) (The Cochrane Library, 2011, Issue 7); MEDLINE (1990 to August 2011), EMBASE (1990 to August 2011); LILACS (1982 to August 2011), Web</w:t>
      </w:r>
      <w:r w:rsidR="00427468">
        <w:rPr>
          <w:kern w:val="0"/>
        </w:rPr>
        <w:t xml:space="preserve"> of </w:t>
      </w:r>
      <w:r>
        <w:rPr>
          <w:kern w:val="0"/>
        </w:rPr>
        <w:t>Science (1990 to August 2011), CINAHL (1982 to August 2011) and specific websites. Selection criteria We included randomized controlled trials (RCTs) and quasi-randomized trials comparing HVHF or high-volume haemodiafiltration to standard or usual dialysis therapy; and RCTs and quasi-randomized trials comparing HVHF or high-volume haemodiafiltration to no similar dialysis therapy</w:t>
      </w:r>
      <w:r w:rsidR="00A37C1D">
        <w:rPr>
          <w:kern w:val="0"/>
        </w:rPr>
        <w:t>. The</w:t>
      </w:r>
      <w:r>
        <w:rPr>
          <w:kern w:val="0"/>
        </w:rPr>
        <w:t xml:space="preserve"> studies involved adults in critical care units. Data collection and analysis Three review authors independently extracted data and assessed trial quality. We sought additional information as required from trialists. Main results We included three randomized trials involving 64 participants. Due to the small number</w:t>
      </w:r>
      <w:r w:rsidR="00427468">
        <w:rPr>
          <w:kern w:val="0"/>
        </w:rPr>
        <w:t xml:space="preserve"> of </w:t>
      </w:r>
      <w:r>
        <w:rPr>
          <w:kern w:val="0"/>
        </w:rPr>
        <w:t>studies and participants, it was not possible to combine data or perform sub-group analyses. One trial reported ICU and 28-day mortality, one trial reported hospital mortality and in the third, the number</w:t>
      </w:r>
      <w:r w:rsidR="00427468">
        <w:rPr>
          <w:kern w:val="0"/>
        </w:rPr>
        <w:t xml:space="preserve"> of </w:t>
      </w:r>
      <w:r>
        <w:rPr>
          <w:kern w:val="0"/>
        </w:rPr>
        <w:t>deaths stated did not match the quoted mortality rates. No trials reported length</w:t>
      </w:r>
      <w:r w:rsidR="00427468">
        <w:rPr>
          <w:kern w:val="0"/>
        </w:rPr>
        <w:t xml:space="preserve"> of </w:t>
      </w:r>
      <w:r>
        <w:rPr>
          <w:kern w:val="0"/>
        </w:rPr>
        <w:t>stay in ICU or hospital and one reported organ dysfunction. No adverse events were reported. Overall, the included studies had a low risk</w:t>
      </w:r>
      <w:r w:rsidR="00427468">
        <w:rPr>
          <w:kern w:val="0"/>
        </w:rPr>
        <w:t xml:space="preserve"> of </w:t>
      </w:r>
      <w:r>
        <w:rPr>
          <w:kern w:val="0"/>
        </w:rPr>
        <w:t>bias. Authors</w:t>
      </w:r>
      <w:r w:rsidR="0071223E">
        <w:rPr>
          <w:kern w:val="0"/>
        </w:rPr>
        <w:t>’</w:t>
      </w:r>
      <w:r>
        <w:rPr>
          <w:kern w:val="0"/>
        </w:rPr>
        <w:t xml:space="preserve"> conclusions There were no adverse effects</w:t>
      </w:r>
      <w:r w:rsidR="00427468">
        <w:rPr>
          <w:kern w:val="0"/>
        </w:rPr>
        <w:t xml:space="preserve"> of </w:t>
      </w:r>
      <w:r>
        <w:rPr>
          <w:kern w:val="0"/>
        </w:rPr>
        <w:t>HVHF reported</w:t>
      </w:r>
      <w:r w:rsidR="00A37C1D">
        <w:rPr>
          <w:kern w:val="0"/>
        </w:rPr>
        <w:t>. The</w:t>
      </w:r>
      <w:r>
        <w:rPr>
          <w:kern w:val="0"/>
        </w:rPr>
        <w:t>re is insufficient evidence to recommend the use</w:t>
      </w:r>
      <w:r w:rsidR="00427468">
        <w:rPr>
          <w:kern w:val="0"/>
        </w:rPr>
        <w:t xml:space="preserve"> of </w:t>
      </w:r>
      <w:r>
        <w:rPr>
          <w:kern w:val="0"/>
        </w:rPr>
        <w:t>HVHF in critically ill patients with severe sepsis and or septic shock except as interventions being investigated in the setting</w:t>
      </w:r>
      <w:r w:rsidR="00427468">
        <w:rPr>
          <w:kern w:val="0"/>
        </w:rPr>
        <w:t xml:space="preserve"> of </w:t>
      </w:r>
      <w:r>
        <w:rPr>
          <w:kern w:val="0"/>
        </w:rPr>
        <w:t>a randomized clinical trial</w:t>
      </w:r>
      <w:r w:rsidR="00A37C1D">
        <w:rPr>
          <w:kern w:val="0"/>
        </w:rPr>
        <w:t>. The</w:t>
      </w:r>
      <w:r>
        <w:rPr>
          <w:kern w:val="0"/>
        </w:rPr>
        <w:t>se trials should be large, multi-centred and have clinically relevant outcome measures. Financial implications should also be assessed.</w:t>
      </w:r>
    </w:p>
    <w:p w:rsidR="00BE2F5F" w:rsidRDefault="00BE2F5F" w:rsidP="00BE2F5F">
      <w:pPr>
        <w:pStyle w:val="a3"/>
        <w:rPr>
          <w:kern w:val="0"/>
        </w:rPr>
      </w:pPr>
      <w:r>
        <w:rPr>
          <w:kern w:val="0"/>
        </w:rPr>
        <w:t xml:space="preserve">Keywords: Acute Kidney Injury, Acute-Renal-Failure, Administration, Adsorption, Adult, Advances, Adverse Effects, Aki, Analyses, Analysis, Antimicrobial, Antimicrobial Agents, Authors, Bias, Blood, Care, Clinical, Clinical Trial, Collection, Continuous Venovenous Hemofiltration, Control, Criteria, Critical Care, Critically-Ill Patients, Data, Data Collection, Death, Dialysis, Effects, Embase, Events, Evidence, Hospital, Human Septic Shock, Icu, Impact, Information, Injury, </w:t>
      </w:r>
      <w:r>
        <w:rPr>
          <w:kern w:val="0"/>
        </w:rPr>
        <w:lastRenderedPageBreak/>
        <w:t>Intensive Care, Intensive Care Unit, Interventions, Kidney, Length, Length</w:t>
      </w:r>
      <w:r w:rsidR="00427468">
        <w:rPr>
          <w:kern w:val="0"/>
        </w:rPr>
        <w:t xml:space="preserve"> of </w:t>
      </w:r>
      <w:r>
        <w:rPr>
          <w:kern w:val="0"/>
        </w:rPr>
        <w:t>Stay, Low Risk, Management, Measures, Medline, Methods, Mortality, Organ Failure, Outcome, Outcome Measures, Outcomes, Patients, Purification, Quality, Randomized, Randomized Clinical Trial, Randomized Controlled Trials, Randomized-Trial, Rates, Renal, Replacement Therapy, Review, Risk, Science, Search, Sepsis, Septic Shock, Shock, Small, Source, Source Control, Standard, Therapy, Trial, Web</w:t>
      </w:r>
      <w:r w:rsidR="00427468">
        <w:rPr>
          <w:kern w:val="0"/>
        </w:rPr>
        <w:t xml:space="preserve"> of </w:t>
      </w:r>
      <w:r>
        <w:rPr>
          <w:kern w:val="0"/>
        </w:rPr>
        <w:t>Science, Websites</w:t>
      </w:r>
    </w:p>
    <w:p w:rsidR="00365DE4" w:rsidRDefault="00365DE4" w:rsidP="00365DE4">
      <w:pPr>
        <w:pStyle w:val="a3"/>
        <w:rPr>
          <w:kern w:val="0"/>
        </w:rPr>
      </w:pPr>
      <w:r>
        <w:rPr>
          <w:kern w:val="0"/>
        </w:rPr>
        <w:t>? Cheng, Y., Lu, J., Xiong, X.Z., Wu, S.J., Lin, Y.X., Wu, T.X.</w:t>
      </w:r>
      <w:r w:rsidR="005853A9">
        <w:rPr>
          <w:kern w:val="0"/>
        </w:rPr>
        <w:t xml:space="preserve"> and </w:t>
      </w:r>
      <w:r>
        <w:rPr>
          <w:kern w:val="0"/>
        </w:rPr>
        <w:t xml:space="preserve">Cheng, N.S. (2013), Gases for establishing pneumoperitoneum during laparoscopic abdominal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CD009569.</w:t>
      </w:r>
    </w:p>
    <w:p w:rsidR="00365DE4" w:rsidRDefault="00365DE4" w:rsidP="00365DE4">
      <w:pPr>
        <w:pStyle w:val="a3"/>
        <w:rPr>
          <w:kern w:val="2"/>
        </w:rPr>
      </w:pPr>
      <w:r>
        <w:t>Full Text: 2013\Coc Dat Sys Rev2013, CD009569.pdf</w:t>
      </w:r>
    </w:p>
    <w:p w:rsidR="00365DE4" w:rsidRDefault="00365DE4" w:rsidP="00365DE4">
      <w:pPr>
        <w:pStyle w:val="a3"/>
        <w:rPr>
          <w:kern w:val="0"/>
        </w:rPr>
      </w:pPr>
      <w:r>
        <w:rPr>
          <w:kern w:val="0"/>
        </w:rPr>
        <w:t>Abstract: Background Laparoscopic surgery is now widely performed to treat various abdominal diseases. Currently, carbon dioxide is the most frequently used gas for insufflation</w:t>
      </w:r>
      <w:r w:rsidR="00427468">
        <w:rPr>
          <w:kern w:val="0"/>
        </w:rPr>
        <w:t xml:space="preserve"> of </w:t>
      </w:r>
      <w:r>
        <w:rPr>
          <w:kern w:val="0"/>
        </w:rPr>
        <w:t>the abdominal cavity (pneumoperitoneum). Many other gases have been introduced as alternatives to carbon dioxide for establishing pneumoperitoneum. Objectives To assess the safety, benefits,</w:t>
      </w:r>
      <w:r w:rsidR="005853A9">
        <w:rPr>
          <w:kern w:val="0"/>
        </w:rPr>
        <w:t xml:space="preserve"> and </w:t>
      </w:r>
      <w:r>
        <w:rPr>
          <w:kern w:val="0"/>
        </w:rPr>
        <w:t>harms</w:t>
      </w:r>
      <w:r w:rsidR="00427468">
        <w:rPr>
          <w:kern w:val="0"/>
        </w:rPr>
        <w:t xml:space="preserve"> of </w:t>
      </w:r>
      <w:r>
        <w:rPr>
          <w:kern w:val="0"/>
        </w:rPr>
        <w:t xml:space="preserve">different gases for establishing pneumoperitoneum in patients undergoing laparoscopic abdominal surgery. Search methods We searched The Cochrane Library, </w:t>
      </w:r>
      <w:r w:rsidR="00D5664A">
        <w:rPr>
          <w:kern w:val="0"/>
        </w:rPr>
        <w:t>MEDLINE</w:t>
      </w:r>
      <w:r>
        <w:rPr>
          <w:kern w:val="0"/>
        </w:rPr>
        <w:t>, EMBASE, Science Citation Index Expanded,</w:t>
      </w:r>
      <w:r w:rsidR="005853A9">
        <w:rPr>
          <w:kern w:val="0"/>
        </w:rPr>
        <w:t xml:space="preserve"> and </w:t>
      </w:r>
      <w:r>
        <w:rPr>
          <w:kern w:val="0"/>
        </w:rPr>
        <w:t>Chinese Biomedical Literature Database (CBM) until September 2012. Selection criteria We only included randomized controlled trials comparing different gases for establishing pneumoperitoneum in patients undergoing laparoscopic abdominal surgery under general anaesthesia. Data collection</w:t>
      </w:r>
      <w:r w:rsidR="005853A9">
        <w:rPr>
          <w:kern w:val="0"/>
        </w:rPr>
        <w:t xml:space="preserve"> and </w:t>
      </w:r>
      <w:r>
        <w:rPr>
          <w:kern w:val="0"/>
        </w:rPr>
        <w:t>analysis Two review authors identified the trials for inclusion, collected the data,</w:t>
      </w:r>
      <w:r w:rsidR="005853A9">
        <w:rPr>
          <w:kern w:val="0"/>
        </w:rPr>
        <w:t xml:space="preserve"> and </w:t>
      </w:r>
      <w:r>
        <w:rPr>
          <w:kern w:val="0"/>
        </w:rPr>
        <w:t>assessed the risk</w:t>
      </w:r>
      <w:r w:rsidR="00427468">
        <w:rPr>
          <w:kern w:val="0"/>
        </w:rPr>
        <w:t xml:space="preserve"> of </w:t>
      </w:r>
      <w:r>
        <w:rPr>
          <w:kern w:val="0"/>
        </w:rPr>
        <w:t>bias independently. We performed the meta-analyses using Review Manager 5. We calculated the risk ratio (RR) for dichotomous outcomes</w:t>
      </w:r>
      <w:r w:rsidR="005853A9">
        <w:rPr>
          <w:kern w:val="0"/>
        </w:rPr>
        <w:t xml:space="preserve"> and </w:t>
      </w:r>
      <w:r>
        <w:rPr>
          <w:kern w:val="0"/>
        </w:rPr>
        <w:t>the mean difference (MD) or standardized mean difference (SMD) for continuous outcomes with 95% confidence intervals (CI). Main results Carbon dioxide pneumoperitoneum versus nitrous oxide pneumoperitoneum Three trials randomized 196 participants (the majority with low anaesthetic risk) to carbon dioxide pneumoperitoneum (n=96) or nitrous oxide pneumoperitoneum (n=100). All</w:t>
      </w:r>
      <w:r w:rsidR="00427468">
        <w:rPr>
          <w:kern w:val="0"/>
        </w:rPr>
        <w:t xml:space="preserve"> of </w:t>
      </w:r>
      <w:r>
        <w:rPr>
          <w:kern w:val="0"/>
        </w:rPr>
        <w:t>the trials were</w:t>
      </w:r>
      <w:r w:rsidR="00427468">
        <w:rPr>
          <w:kern w:val="0"/>
        </w:rPr>
        <w:t xml:space="preserve"> of </w:t>
      </w:r>
      <w:r>
        <w:rPr>
          <w:kern w:val="0"/>
        </w:rPr>
        <w:t>high risk</w:t>
      </w:r>
      <w:r w:rsidR="00427468">
        <w:rPr>
          <w:kern w:val="0"/>
        </w:rPr>
        <w:t xml:space="preserve"> of </w:t>
      </w:r>
      <w:r>
        <w:rPr>
          <w:kern w:val="0"/>
        </w:rPr>
        <w:t>bias. Two trials (n=143) showed lower pain scores in nitrous oxide pneumoperitoneum at various time points on the first post-operative day. One trial (n=53) showed no difference in the pain scores between the groups</w:t>
      </w:r>
      <w:r w:rsidR="00A37C1D">
        <w:rPr>
          <w:kern w:val="0"/>
        </w:rPr>
        <w:t>. The</w:t>
      </w:r>
      <w:r>
        <w:rPr>
          <w:kern w:val="0"/>
        </w:rPr>
        <w:t>re were no significant differences in cardiopulmonary complications, surgical morbidity, or cardiopulmonary changes between the groups</w:t>
      </w:r>
      <w:r w:rsidR="00A37C1D">
        <w:rPr>
          <w:kern w:val="0"/>
        </w:rPr>
        <w:t>. The</w:t>
      </w:r>
      <w:r>
        <w:rPr>
          <w:kern w:val="0"/>
        </w:rPr>
        <w:t xml:space="preserve">re were no serious adverse events related to either carbon dioxide or nitrous oxide pneumoperitoneum. Carbon dioxide pneumoperitoneum versus helium pneumoperitoneum Four trials randomized 144 participants (the majority with low anaesthetic risk) to carbon dioxide pneumoperitoneum (n=75) or helium </w:t>
      </w:r>
      <w:r>
        <w:rPr>
          <w:kern w:val="0"/>
        </w:rPr>
        <w:lastRenderedPageBreak/>
        <w:t>pneumoperitoneum (n=69). All</w:t>
      </w:r>
      <w:r w:rsidR="00427468">
        <w:rPr>
          <w:kern w:val="0"/>
        </w:rPr>
        <w:t xml:space="preserve"> of </w:t>
      </w:r>
      <w:r>
        <w:rPr>
          <w:kern w:val="0"/>
        </w:rPr>
        <w:t>the trials were</w:t>
      </w:r>
      <w:r w:rsidR="00427468">
        <w:rPr>
          <w:kern w:val="0"/>
        </w:rPr>
        <w:t xml:space="preserve"> of </w:t>
      </w:r>
      <w:r>
        <w:rPr>
          <w:kern w:val="0"/>
        </w:rPr>
        <w:t>high risk</w:t>
      </w:r>
      <w:r w:rsidR="00427468">
        <w:rPr>
          <w:kern w:val="0"/>
        </w:rPr>
        <w:t xml:space="preserve"> of </w:t>
      </w:r>
      <w:r>
        <w:rPr>
          <w:kern w:val="0"/>
        </w:rPr>
        <w:t>bias. Fewer cardiopulmonary changes were observed with helium pneumoperitoneum than carbon dioxide pneumoperitoneum</w:t>
      </w:r>
      <w:r w:rsidR="00A37C1D">
        <w:rPr>
          <w:kern w:val="0"/>
        </w:rPr>
        <w:t>. The</w:t>
      </w:r>
      <w:r>
        <w:rPr>
          <w:kern w:val="0"/>
        </w:rPr>
        <w:t>re were no significant differences in cardiopulmonary complications, surgical morbidity, or pain scores</w:t>
      </w:r>
      <w:r w:rsidR="00A37C1D">
        <w:rPr>
          <w:kern w:val="0"/>
        </w:rPr>
        <w:t>. The</w:t>
      </w:r>
      <w:r>
        <w:rPr>
          <w:kern w:val="0"/>
        </w:rPr>
        <w:t>re were three serious adverse events (subcutaneous emphysema) related to helium pneumoperitoneum. Carbon dioxide pneumoperitoneum versus any other gas pneumoperitoneum There were no randomized controlled trials comparing carbon dioxide pneumoperitoneum to any other gas pneumoperitoneum. Authors</w:t>
      </w:r>
      <w:r w:rsidR="0071223E">
        <w:rPr>
          <w:kern w:val="0"/>
        </w:rPr>
        <w:t>’</w:t>
      </w:r>
      <w:r>
        <w:rPr>
          <w:kern w:val="0"/>
        </w:rPr>
        <w:t xml:space="preserve"> conclusions 1. Nitrous oxide pneumoperitoneum during laparoscopic abdominal surgery appears to decrease post-operative pain in patients with low anaesthetic risk. 2. Helium pneumoperitoneum decreases the cardiopulmonary changes associated with laparoscopic abdominal surgery. However, this did not translate into any clinical benefit over carbon dioxide pneumoperitoneum in patients with low anaesthetic risk. 3</w:t>
      </w:r>
      <w:r w:rsidR="00A37C1D">
        <w:rPr>
          <w:kern w:val="0"/>
        </w:rPr>
        <w:t>. The</w:t>
      </w:r>
      <w:r>
        <w:rPr>
          <w:kern w:val="0"/>
        </w:rPr>
        <w:t xml:space="preserve"> safety</w:t>
      </w:r>
      <w:r w:rsidR="00427468">
        <w:rPr>
          <w:kern w:val="0"/>
        </w:rPr>
        <w:t xml:space="preserve"> of </w:t>
      </w:r>
      <w:r>
        <w:rPr>
          <w:kern w:val="0"/>
        </w:rPr>
        <w:t>nitrous oxide</w:t>
      </w:r>
      <w:r w:rsidR="005853A9">
        <w:rPr>
          <w:kern w:val="0"/>
        </w:rPr>
        <w:t xml:space="preserve"> and </w:t>
      </w:r>
      <w:r>
        <w:rPr>
          <w:kern w:val="0"/>
        </w:rPr>
        <w:t>helium pneumoperitoneum has yet to be established. More randomized controlled trials on this topic are needed. Future trials should include more patients with high anaesthetic risk. Furthermore, such trials need to use adequate methods to reduce the risk</w:t>
      </w:r>
      <w:r w:rsidR="00427468">
        <w:rPr>
          <w:kern w:val="0"/>
        </w:rPr>
        <w:t xml:space="preserve"> of </w:t>
      </w:r>
      <w:r>
        <w:rPr>
          <w:kern w:val="0"/>
        </w:rPr>
        <w:t>bias.</w:t>
      </w:r>
    </w:p>
    <w:p w:rsidR="00365DE4" w:rsidRDefault="00365DE4" w:rsidP="00365DE4">
      <w:pPr>
        <w:pStyle w:val="a3"/>
        <w:rPr>
          <w:kern w:val="0"/>
        </w:rPr>
      </w:pPr>
      <w:r>
        <w:rPr>
          <w:kern w:val="0"/>
        </w:rPr>
        <w:t xml:space="preserve">Keywords: Abdominal, Abdominal Surgery, Alternatives, Anaesthesia, Analysis, Authors, Bias, Carbon, Carbon Dioxide, Carbon-Dioxide Pneumoperitoneum, Cardiopulmonary, Changes, Chinese, Cholecystectomy, Citation, Clinical, Collection, Complications, Confidence, Confidence Intervals, Criteria, Data, Data Collection, Diseases, Embase, Emphysema, Events, First, General, General Anaesthesia, Groups, Helium Insufflation, Intervals, Laparoscopic, Literature, Local-Anesthesia, </w:t>
      </w:r>
      <w:r w:rsidR="00D5664A">
        <w:rPr>
          <w:kern w:val="0"/>
        </w:rPr>
        <w:t>MEDLINE</w:t>
      </w:r>
      <w:r>
        <w:rPr>
          <w:kern w:val="0"/>
        </w:rPr>
        <w:t>, Metaanalysis, Methods, Morbidity, Nitrous Oxide, Nitrous-Oxide Pneumoperitoneum, Outcomes, Oxide, Pain, Patients, Postoperative, Postoperative Pain, Randomized, Randomized Controlled Trials, Review, Risk, Safety, Science, Science Citation Index, Science Citation Index Expanded, Search, Surgery, Topic, Trial, Trials</w:t>
      </w:r>
    </w:p>
    <w:p w:rsidR="00171A00" w:rsidRDefault="00171A00" w:rsidP="00171A00">
      <w:pPr>
        <w:pStyle w:val="a3"/>
        <w:rPr>
          <w:kern w:val="0"/>
        </w:rPr>
      </w:pPr>
      <w:r>
        <w:rPr>
          <w:rFonts w:hint="eastAsia"/>
          <w:kern w:val="0"/>
        </w:rPr>
        <w:t xml:space="preserve">? </w:t>
      </w:r>
      <w:r>
        <w:rPr>
          <w:kern w:val="0"/>
        </w:rPr>
        <w:t>Rees, K., Hartley, L., Day, C., Flowers, N., Clarke, A.</w:t>
      </w:r>
      <w:r w:rsidR="005853A9">
        <w:rPr>
          <w:kern w:val="0"/>
        </w:rPr>
        <w:t xml:space="preserve"> and </w:t>
      </w:r>
      <w:r>
        <w:rPr>
          <w:kern w:val="0"/>
        </w:rPr>
        <w:t>Stranges, S. (2013), Selenium supplementation for the primary prevention</w:t>
      </w:r>
      <w:r w:rsidR="00427468">
        <w:rPr>
          <w:kern w:val="0"/>
        </w:rPr>
        <w:t xml:space="preserve"> of </w:t>
      </w:r>
      <w:r>
        <w:rPr>
          <w:kern w:val="0"/>
        </w:rPr>
        <w:t xml:space="preserve">cardiovascular disease (Review). </w:t>
      </w:r>
      <w:r>
        <w:rPr>
          <w:i/>
          <w:iCs/>
          <w:kern w:val="0"/>
        </w:rPr>
        <w:t>Cochrane Database</w:t>
      </w:r>
      <w:r w:rsidR="00427468">
        <w:rPr>
          <w:i/>
          <w:iCs/>
          <w:kern w:val="0"/>
        </w:rPr>
        <w:t xml:space="preserve"> of </w:t>
      </w:r>
      <w:r>
        <w:rPr>
          <w:i/>
          <w:iCs/>
          <w:kern w:val="0"/>
        </w:rPr>
        <w:t>Systematic Reviews</w:t>
      </w:r>
      <w:r>
        <w:rPr>
          <w:kern w:val="0"/>
        </w:rPr>
        <w:t xml:space="preserve">, </w:t>
      </w:r>
      <w:r w:rsidRPr="00C43060">
        <w:rPr>
          <w:b/>
          <w:kern w:val="0"/>
        </w:rPr>
        <w:t>1</w:t>
      </w:r>
      <w:r>
        <w:rPr>
          <w:kern w:val="0"/>
        </w:rPr>
        <w:t>, Article Number: CD009671.</w:t>
      </w:r>
    </w:p>
    <w:p w:rsidR="00171A00" w:rsidRDefault="00171A00" w:rsidP="00171A00">
      <w:pPr>
        <w:pStyle w:val="a3"/>
        <w:rPr>
          <w:kern w:val="2"/>
        </w:rPr>
      </w:pPr>
      <w:r>
        <w:t xml:space="preserve">Full Text: 2013\Coc Dat Sys Rev2013, </w:t>
      </w:r>
      <w:r>
        <w:rPr>
          <w:kern w:val="0"/>
        </w:rPr>
        <w:t>CD009671</w:t>
      </w:r>
      <w:r>
        <w:t>.pdf</w:t>
      </w:r>
    </w:p>
    <w:p w:rsidR="00171A00" w:rsidRDefault="00171A00" w:rsidP="00171A00">
      <w:pPr>
        <w:pStyle w:val="a3"/>
        <w:rPr>
          <w:kern w:val="0"/>
        </w:rPr>
      </w:pPr>
      <w:r>
        <w:rPr>
          <w:kern w:val="0"/>
        </w:rPr>
        <w:t>Abstract: Background Selenium is a key component</w:t>
      </w:r>
      <w:r w:rsidR="00427468">
        <w:rPr>
          <w:kern w:val="0"/>
        </w:rPr>
        <w:t xml:space="preserve"> of </w:t>
      </w:r>
      <w:r>
        <w:rPr>
          <w:kern w:val="0"/>
        </w:rPr>
        <w:t>a number</w:t>
      </w:r>
      <w:r w:rsidR="00427468">
        <w:rPr>
          <w:kern w:val="0"/>
        </w:rPr>
        <w:t xml:space="preserve"> of </w:t>
      </w:r>
      <w:r>
        <w:rPr>
          <w:kern w:val="0"/>
        </w:rPr>
        <w:t>selenoproteins which protect against oxidative stress</w:t>
      </w:r>
      <w:r w:rsidR="005853A9">
        <w:rPr>
          <w:kern w:val="0"/>
        </w:rPr>
        <w:t xml:space="preserve"> and </w:t>
      </w:r>
      <w:r>
        <w:rPr>
          <w:kern w:val="0"/>
        </w:rPr>
        <w:t>have the potential to prevent chronic diseases including cardiovascular disease (CVD). However, observational studies have shown inconsistent associations between selenium intake</w:t>
      </w:r>
      <w:r w:rsidR="005853A9">
        <w:rPr>
          <w:kern w:val="0"/>
        </w:rPr>
        <w:t xml:space="preserve"> and </w:t>
      </w:r>
      <w:r>
        <w:rPr>
          <w:kern w:val="0"/>
        </w:rPr>
        <w:t>CVD risk; in addition, there is concern around a possible increased risk</w:t>
      </w:r>
      <w:r w:rsidR="00427468">
        <w:rPr>
          <w:kern w:val="0"/>
        </w:rPr>
        <w:t xml:space="preserve"> of </w:t>
      </w:r>
      <w:r>
        <w:rPr>
          <w:kern w:val="0"/>
        </w:rPr>
        <w:t>type 2 diabetes with high selenium exposure. Objectives To determine the effectiveness</w:t>
      </w:r>
      <w:r w:rsidR="00427468">
        <w:rPr>
          <w:kern w:val="0"/>
        </w:rPr>
        <w:t xml:space="preserve"> of </w:t>
      </w:r>
      <w:r>
        <w:rPr>
          <w:kern w:val="0"/>
        </w:rPr>
        <w:t xml:space="preserve">selenium only </w:t>
      </w:r>
      <w:r>
        <w:rPr>
          <w:kern w:val="0"/>
        </w:rPr>
        <w:lastRenderedPageBreak/>
        <w:t>supplementation for the primary prevention</w:t>
      </w:r>
      <w:r w:rsidR="00427468">
        <w:rPr>
          <w:kern w:val="0"/>
        </w:rPr>
        <w:t xml:space="preserve"> of </w:t>
      </w:r>
      <w:r>
        <w:rPr>
          <w:kern w:val="0"/>
        </w:rPr>
        <w:t>CVD</w:t>
      </w:r>
      <w:r w:rsidR="005853A9">
        <w:rPr>
          <w:kern w:val="0"/>
        </w:rPr>
        <w:t xml:space="preserve"> and </w:t>
      </w:r>
      <w:r>
        <w:rPr>
          <w:kern w:val="0"/>
        </w:rPr>
        <w:t>examine the potential adverse effect</w:t>
      </w:r>
      <w:r w:rsidR="00427468">
        <w:rPr>
          <w:kern w:val="0"/>
        </w:rPr>
        <w:t xml:space="preserve"> of </w:t>
      </w:r>
      <w:r>
        <w:rPr>
          <w:kern w:val="0"/>
        </w:rPr>
        <w:t>type 2 diabetes. Search methods The following electronic databases were searched: the Cochrane Central Register</w:t>
      </w:r>
      <w:r w:rsidR="00427468">
        <w:rPr>
          <w:kern w:val="0"/>
        </w:rPr>
        <w:t xml:space="preserve"> of </w:t>
      </w:r>
      <w:r>
        <w:rPr>
          <w:kern w:val="0"/>
        </w:rPr>
        <w:t>Controlled Trials (CENTRAL) (Issue 10</w:t>
      </w:r>
      <w:r w:rsidR="00427468">
        <w:rPr>
          <w:kern w:val="0"/>
        </w:rPr>
        <w:t xml:space="preserve"> of </w:t>
      </w:r>
      <w:r>
        <w:rPr>
          <w:kern w:val="0"/>
        </w:rPr>
        <w:t>12, October 2012) on The Cochrane Library; MEDLINE (Ovid) (1946 to week 2 October 2012); EMBASE Classic + EMBASE (Ovid) (1947 to 2012 Week 42); CINAHL (EBSCO) (to 24 October 2012); ISI Web</w:t>
      </w:r>
      <w:r w:rsidR="00427468">
        <w:rPr>
          <w:kern w:val="0"/>
        </w:rPr>
        <w:t xml:space="preserve"> of </w:t>
      </w:r>
      <w:r>
        <w:rPr>
          <w:kern w:val="0"/>
        </w:rPr>
        <w:t>Science (1970 to 24 October 2012); PsycINFO (Ovid) (1806 to week 3 October 2012);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Effects (DARE), Health Technology Assessment Database</w:t>
      </w:r>
      <w:r w:rsidR="005853A9">
        <w:rPr>
          <w:kern w:val="0"/>
        </w:rPr>
        <w:t xml:space="preserve"> and </w:t>
      </w:r>
      <w:r>
        <w:rPr>
          <w:kern w:val="0"/>
        </w:rPr>
        <w:t>Health Economics Evaluations Database (Issue 4</w:t>
      </w:r>
      <w:r w:rsidR="00427468">
        <w:rPr>
          <w:kern w:val="0"/>
        </w:rPr>
        <w:t xml:space="preserve"> of </w:t>
      </w:r>
      <w:r>
        <w:rPr>
          <w:kern w:val="0"/>
        </w:rPr>
        <w:t>4, October 2012) on The Cochrane Library. Trial registers</w:t>
      </w:r>
      <w:r w:rsidR="005853A9">
        <w:rPr>
          <w:kern w:val="0"/>
        </w:rPr>
        <w:t xml:space="preserve"> and </w:t>
      </w:r>
      <w:r>
        <w:rPr>
          <w:kern w:val="0"/>
        </w:rPr>
        <w:t>reference lists</w:t>
      </w:r>
      <w:r w:rsidR="00427468">
        <w:rPr>
          <w:kern w:val="0"/>
        </w:rPr>
        <w:t xml:space="preserve"> of </w:t>
      </w:r>
      <w:r>
        <w:rPr>
          <w:kern w:val="0"/>
        </w:rPr>
        <w:t>reviews</w:t>
      </w:r>
      <w:r w:rsidR="005853A9">
        <w:rPr>
          <w:kern w:val="0"/>
        </w:rPr>
        <w:t xml:space="preserve"> and </w:t>
      </w:r>
      <w:r>
        <w:rPr>
          <w:kern w:val="0"/>
        </w:rPr>
        <w:t>articles were searched</w:t>
      </w:r>
      <w:r w:rsidR="005853A9">
        <w:rPr>
          <w:kern w:val="0"/>
        </w:rPr>
        <w:t xml:space="preserve"> and </w:t>
      </w:r>
      <w:r>
        <w:rPr>
          <w:kern w:val="0"/>
        </w:rPr>
        <w:t>experts in the field were approached. No language restrictions were applied. Selection criteria Randomised controlled trials on the effects</w:t>
      </w:r>
      <w:r w:rsidR="00427468">
        <w:rPr>
          <w:kern w:val="0"/>
        </w:rPr>
        <w:t xml:space="preserve"> of </w:t>
      </w:r>
      <w:r>
        <w:rPr>
          <w:kern w:val="0"/>
        </w:rPr>
        <w:t>selenium only supplementation on major CVD end-points, mortality, changes in CVD risk factors,</w:t>
      </w:r>
      <w:r w:rsidR="005853A9">
        <w:rPr>
          <w:kern w:val="0"/>
        </w:rPr>
        <w:t xml:space="preserve"> and </w:t>
      </w:r>
      <w:r>
        <w:rPr>
          <w:kern w:val="0"/>
        </w:rPr>
        <w:t>type 2 diabetes were included both in adults</w:t>
      </w:r>
      <w:r w:rsidR="00427468">
        <w:rPr>
          <w:kern w:val="0"/>
        </w:rPr>
        <w:t xml:space="preserve"> of </w:t>
      </w:r>
      <w:r>
        <w:rPr>
          <w:kern w:val="0"/>
        </w:rPr>
        <w:t>all ages from the general population</w:t>
      </w:r>
      <w:r w:rsidR="005853A9">
        <w:rPr>
          <w:kern w:val="0"/>
        </w:rPr>
        <w:t xml:space="preserve"> and </w:t>
      </w:r>
      <w:r>
        <w:rPr>
          <w:kern w:val="0"/>
        </w:rPr>
        <w:t>in those at high risk</w:t>
      </w:r>
      <w:r w:rsidR="00427468">
        <w:rPr>
          <w:kern w:val="0"/>
        </w:rPr>
        <w:t xml:space="preserve"> of </w:t>
      </w:r>
      <w:r>
        <w:rPr>
          <w:kern w:val="0"/>
        </w:rPr>
        <w:t>CVD. Trials were only considered where the comparison group was placebo or no intervention. Only studies with at least three months follow-up were included in the meta-analyses, shorter term studies were dealt with descriptively. Data collection</w:t>
      </w:r>
      <w:r w:rsidR="005853A9">
        <w:rPr>
          <w:kern w:val="0"/>
        </w:rPr>
        <w:t xml:space="preserve"> and </w:t>
      </w:r>
      <w:r>
        <w:rPr>
          <w:kern w:val="0"/>
        </w:rPr>
        <w:t>analysis Two review authors independently assessed trial quality</w:t>
      </w:r>
      <w:r w:rsidR="005853A9">
        <w:rPr>
          <w:kern w:val="0"/>
        </w:rPr>
        <w:t xml:space="preserve"> and </w:t>
      </w:r>
      <w:r>
        <w:rPr>
          <w:kern w:val="0"/>
        </w:rPr>
        <w:t>extracted data. Study authors were contacted for additional information. Main results Twelve trials (seven with duration</w:t>
      </w:r>
      <w:r w:rsidR="00427468">
        <w:rPr>
          <w:kern w:val="0"/>
        </w:rPr>
        <w:t xml:space="preserve"> of </w:t>
      </w:r>
      <w:r>
        <w:rPr>
          <w:kern w:val="0"/>
        </w:rPr>
        <w:t>at least three months) met the inclusion criteria, with 19,715 participants randomised</w:t>
      </w:r>
      <w:r w:rsidR="00A37C1D">
        <w:rPr>
          <w:kern w:val="0"/>
        </w:rPr>
        <w:t>. The</w:t>
      </w:r>
      <w:r>
        <w:rPr>
          <w:kern w:val="0"/>
        </w:rPr>
        <w:t xml:space="preserve"> two largest trials that were conducted in the USA (SELECT</w:t>
      </w:r>
      <w:r w:rsidR="005853A9">
        <w:rPr>
          <w:kern w:val="0"/>
        </w:rPr>
        <w:t xml:space="preserve"> and </w:t>
      </w:r>
      <w:r>
        <w:rPr>
          <w:kern w:val="0"/>
        </w:rPr>
        <w:t>NPC) reported clinical events</w:t>
      </w:r>
      <w:r w:rsidR="00A37C1D">
        <w:rPr>
          <w:kern w:val="0"/>
        </w:rPr>
        <w:t>. The</w:t>
      </w:r>
      <w:r>
        <w:rPr>
          <w:kern w:val="0"/>
        </w:rPr>
        <w:t>re were no statistically significant effects</w:t>
      </w:r>
      <w:r w:rsidR="00427468">
        <w:rPr>
          <w:kern w:val="0"/>
        </w:rPr>
        <w:t xml:space="preserve"> of </w:t>
      </w:r>
      <w:r>
        <w:rPr>
          <w:kern w:val="0"/>
        </w:rPr>
        <w:t>selenium supplementation on all cause mortality (RR 0.97, 95% CI 0.88 to 1.08), CVD mortality (RR 0.97, 95% CI 0.79 to 1.2), non-fatal CVD events (RR 0.96, 95% CI 0.89 to 1.04) or all CVD events (fatal</w:t>
      </w:r>
      <w:r w:rsidR="005853A9">
        <w:rPr>
          <w:kern w:val="0"/>
        </w:rPr>
        <w:t xml:space="preserve"> and </w:t>
      </w:r>
      <w:r>
        <w:rPr>
          <w:kern w:val="0"/>
        </w:rPr>
        <w:t>non-fatal) (RR 1.03, 95% CI 0.95 to 1.11)</w:t>
      </w:r>
      <w:r w:rsidR="00A37C1D">
        <w:rPr>
          <w:kern w:val="0"/>
        </w:rPr>
        <w:t>. The</w:t>
      </w:r>
      <w:r>
        <w:rPr>
          <w:kern w:val="0"/>
        </w:rPr>
        <w:t>re was a small increased risk</w:t>
      </w:r>
      <w:r w:rsidR="00427468">
        <w:rPr>
          <w:kern w:val="0"/>
        </w:rPr>
        <w:t xml:space="preserve"> of </w:t>
      </w:r>
      <w:r>
        <w:rPr>
          <w:kern w:val="0"/>
        </w:rPr>
        <w:t>type 2 diabetes with selenium supplementation but this did not reach statistical significance (RR 1.06, 95% CI 0.97 to 1.15). Other adverse effects that increased with selenium supplementation, as reported in the SELECT trial, included alopecia (RR 1.28, 95% CI 1.01 to 1.62)</w:t>
      </w:r>
      <w:r w:rsidR="005853A9">
        <w:rPr>
          <w:kern w:val="0"/>
        </w:rPr>
        <w:t xml:space="preserve"> and </w:t>
      </w:r>
      <w:r>
        <w:rPr>
          <w:kern w:val="0"/>
        </w:rPr>
        <w:t>dermatitis grade 1 to 2 (RR 1.17, 95% CI 1.0 to 1.35). Selenium supplementation reduced total cholesterol but this did not reach statistical significance (WMD - 0.11 mmol/L, 95% CI - 0.3 to 0.07). Mean high density lipoprotein (HDL) levels were unchanged</w:t>
      </w:r>
      <w:r w:rsidR="00A37C1D">
        <w:rPr>
          <w:kern w:val="0"/>
        </w:rPr>
        <w:t>. The</w:t>
      </w:r>
      <w:r>
        <w:rPr>
          <w:kern w:val="0"/>
        </w:rPr>
        <w:t>re was a statistically significant reduction in non-HDL cholesterol (WMD - 0.2 mmol/L, 95% CI - 0.41 to 0.00) in one trial</w:t>
      </w:r>
      <w:r w:rsidR="00427468">
        <w:rPr>
          <w:kern w:val="0"/>
        </w:rPr>
        <w:t xml:space="preserve"> of </w:t>
      </w:r>
      <w:r>
        <w:rPr>
          <w:kern w:val="0"/>
        </w:rPr>
        <w:t>varying selenium dosage. None</w:t>
      </w:r>
      <w:r w:rsidR="00427468">
        <w:rPr>
          <w:kern w:val="0"/>
        </w:rPr>
        <w:t xml:space="preserve"> of </w:t>
      </w:r>
      <w:r>
        <w:rPr>
          <w:kern w:val="0"/>
        </w:rPr>
        <w:t>the longer term trials examined effects on blood pressure. Overall, the included studies were regarded as at low risk</w:t>
      </w:r>
      <w:r w:rsidR="00427468">
        <w:rPr>
          <w:kern w:val="0"/>
        </w:rPr>
        <w:t xml:space="preserve"> of </w:t>
      </w:r>
      <w:r>
        <w:rPr>
          <w:kern w:val="0"/>
        </w:rPr>
        <w:t>bias. Authors</w:t>
      </w:r>
      <w:r w:rsidR="0071223E">
        <w:rPr>
          <w:kern w:val="0"/>
        </w:rPr>
        <w:t>’</w:t>
      </w:r>
      <w:r>
        <w:rPr>
          <w:kern w:val="0"/>
        </w:rPr>
        <w:t xml:space="preserve"> conclusions The limited trial evidence that is available to date does not support the use</w:t>
      </w:r>
      <w:r w:rsidR="00427468">
        <w:rPr>
          <w:kern w:val="0"/>
        </w:rPr>
        <w:t xml:space="preserve"> of </w:t>
      </w:r>
      <w:r>
        <w:rPr>
          <w:kern w:val="0"/>
        </w:rPr>
        <w:t>selenium supplements in the primary prevention</w:t>
      </w:r>
      <w:r w:rsidR="00427468">
        <w:rPr>
          <w:kern w:val="0"/>
        </w:rPr>
        <w:t xml:space="preserve"> of </w:t>
      </w:r>
      <w:r>
        <w:rPr>
          <w:kern w:val="0"/>
        </w:rPr>
        <w:t>CVD.</w:t>
      </w:r>
    </w:p>
    <w:p w:rsidR="00171A00" w:rsidRDefault="00171A00" w:rsidP="00171A00">
      <w:pPr>
        <w:pStyle w:val="a3"/>
        <w:rPr>
          <w:kern w:val="0"/>
        </w:rPr>
      </w:pPr>
      <w:r>
        <w:rPr>
          <w:kern w:val="0"/>
        </w:rPr>
        <w:lastRenderedPageBreak/>
        <w:t>Keywords: Adverse Effects, Alopecia, Analysis, Antioxidant Vitamins, Assessment, Authors, Bias, Blood, Blood Pressure, Cardiovascular, Cardiovascular Disease, Changes, Cholesterol, Chronic, Clinical, Collection, Comparison, Coronary-Heart-Disease, Criteria, Data, Data Collection, Database, Databases, Density-Lipoprotein, Diabetes, Disease, Diseases, Double-Blind, Duration, Economics, Effectiveness, Effects, Embase, Events, Evidence, Experts, Exposure, Field, Follow-Up, General, Glutathione-Peroxidase Activity, Hdl, Health, Human Health, Information, Intervention, Isi, Isi Web</w:t>
      </w:r>
      <w:r w:rsidR="00427468">
        <w:rPr>
          <w:kern w:val="0"/>
        </w:rPr>
        <w:t xml:space="preserve"> of </w:t>
      </w:r>
      <w:r>
        <w:rPr>
          <w:kern w:val="0"/>
        </w:rPr>
        <w:t>Science, Language, Low Risk, Medline, Methods, Mortality, Myocardial-Infarction, Nutrition Intervention Trials, Observational, Observational Studies, Oxidative Stress, Placebo, Population, Potential, Pressure, Prevent, Prevention, Primary, Primary Prevention, Prostate-Cancer, Psycinfo, Quality, Randomised, Randomised Controlled Trials, Reduction, Reference, Reference Lists, Restrictions, Review, Reviews, Risk, Risk Factors, Science, Search, Selenium, Serum Selenium, Significance, Small, Stress, Support, Technology, Technology Assessment, Term, Trial, Type 2 Diabetes, Usa, Web</w:t>
      </w:r>
      <w:r w:rsidR="00427468">
        <w:rPr>
          <w:kern w:val="0"/>
        </w:rPr>
        <w:t xml:space="preserve"> of </w:t>
      </w:r>
      <w:r>
        <w:rPr>
          <w:kern w:val="0"/>
        </w:rPr>
        <w:t>Science</w:t>
      </w:r>
    </w:p>
    <w:p w:rsidR="00365DE4" w:rsidRDefault="00365DE4" w:rsidP="00365DE4">
      <w:pPr>
        <w:pStyle w:val="a3"/>
        <w:rPr>
          <w:kern w:val="0"/>
        </w:rPr>
      </w:pPr>
      <w:r>
        <w:rPr>
          <w:kern w:val="0"/>
        </w:rPr>
        <w:t>? Perel, P., Ker, K., Uribe, C.H.M.</w:t>
      </w:r>
      <w:r w:rsidR="005853A9">
        <w:rPr>
          <w:kern w:val="0"/>
        </w:rPr>
        <w:t xml:space="preserve"> and </w:t>
      </w:r>
      <w:r>
        <w:rPr>
          <w:kern w:val="0"/>
        </w:rPr>
        <w:t>Roberts, I. (2013), Tranexamic acid for reducing mortality in emergency</w:t>
      </w:r>
      <w:r w:rsidR="005853A9">
        <w:rPr>
          <w:kern w:val="0"/>
        </w:rPr>
        <w:t xml:space="preserve"> and </w:t>
      </w:r>
      <w:r>
        <w:rPr>
          <w:kern w:val="0"/>
        </w:rPr>
        <w:t xml:space="preserve">urgent surgery (Review).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1</w:t>
      </w:r>
      <w:r>
        <w:rPr>
          <w:kern w:val="0"/>
        </w:rPr>
        <w:t>, Article Number: CD010245.</w:t>
      </w:r>
    </w:p>
    <w:p w:rsidR="00365DE4" w:rsidRDefault="00365DE4" w:rsidP="00365DE4">
      <w:pPr>
        <w:pStyle w:val="a3"/>
        <w:rPr>
          <w:kern w:val="2"/>
        </w:rPr>
      </w:pPr>
      <w:r>
        <w:t xml:space="preserve">Full Text: 2013\Coc Dat Sys Rev2013, </w:t>
      </w:r>
      <w:r>
        <w:rPr>
          <w:kern w:val="0"/>
        </w:rPr>
        <w:t>CD010245.pdf</w:t>
      </w:r>
    </w:p>
    <w:p w:rsidR="00365DE4" w:rsidRDefault="00365DE4" w:rsidP="00365DE4">
      <w:pPr>
        <w:pStyle w:val="a3"/>
        <w:rPr>
          <w:kern w:val="0"/>
        </w:rPr>
      </w:pPr>
      <w:r>
        <w:rPr>
          <w:kern w:val="0"/>
        </w:rPr>
        <w:t>Abstract: Background Emergency or urgent surgery, which can be defined as surgery which must be done promptly to save life, limb, or functional capacity, is associated with a high risk</w:t>
      </w:r>
      <w:r w:rsidR="00427468">
        <w:rPr>
          <w:kern w:val="0"/>
        </w:rPr>
        <w:t xml:space="preserve"> of </w:t>
      </w:r>
      <w:r>
        <w:rPr>
          <w:kern w:val="0"/>
        </w:rPr>
        <w:t>bleeding</w:t>
      </w:r>
      <w:r w:rsidR="005853A9">
        <w:rPr>
          <w:kern w:val="0"/>
        </w:rPr>
        <w:t xml:space="preserve"> and </w:t>
      </w:r>
      <w:r>
        <w:rPr>
          <w:kern w:val="0"/>
        </w:rPr>
        <w:t>death. Antifibrinolytic agents, such as tranexamic acid, inhibit blood clot breakdown (fibrinolysis)</w:t>
      </w:r>
      <w:r w:rsidR="005853A9">
        <w:rPr>
          <w:kern w:val="0"/>
        </w:rPr>
        <w:t xml:space="preserve"> and </w:t>
      </w:r>
      <w:r>
        <w:rPr>
          <w:kern w:val="0"/>
        </w:rPr>
        <w:t>can reduce perioperative bleeding. Tranexamic acid has been shown to reduce the need for a blood transfusion in adult patients undergoing elective surgery but its effects in patients undergoing emergency or urgent surgery is unclear. Objectives To assess the effects</w:t>
      </w:r>
      <w:r w:rsidR="00427468">
        <w:rPr>
          <w:kern w:val="0"/>
        </w:rPr>
        <w:t xml:space="preserve"> of </w:t>
      </w:r>
      <w:r>
        <w:rPr>
          <w:kern w:val="0"/>
        </w:rPr>
        <w:t>tranexamic acid on mortality, blood transfusion</w:t>
      </w:r>
      <w:r w:rsidR="005853A9">
        <w:rPr>
          <w:kern w:val="0"/>
        </w:rPr>
        <w:t xml:space="preserve"> and </w:t>
      </w:r>
      <w:r>
        <w:rPr>
          <w:kern w:val="0"/>
        </w:rPr>
        <w:t>thromboembolic events in adults undergoing emergency or urgent surgery. Search methods We searched the following electronic databases: the Cochrane Injuries Group</w:t>
      </w:r>
      <w:r w:rsidR="0071223E">
        <w:rPr>
          <w:kern w:val="0"/>
        </w:rPr>
        <w:t>’</w:t>
      </w:r>
      <w:r>
        <w:rPr>
          <w:kern w:val="0"/>
        </w:rPr>
        <w:t>s Specialised Register (22 August 2012); Cochrane Central Register</w:t>
      </w:r>
      <w:r w:rsidR="00427468">
        <w:rPr>
          <w:kern w:val="0"/>
        </w:rPr>
        <w:t xml:space="preserve"> of </w:t>
      </w:r>
      <w:r>
        <w:rPr>
          <w:kern w:val="0"/>
        </w:rPr>
        <w:t>Controlled Trials (2012, issue 8</w:t>
      </w:r>
      <w:r w:rsidR="00427468">
        <w:rPr>
          <w:kern w:val="0"/>
        </w:rPr>
        <w:t xml:space="preserve"> of </w:t>
      </w:r>
      <w:r>
        <w:rPr>
          <w:kern w:val="0"/>
        </w:rPr>
        <w:t xml:space="preserve">12); </w:t>
      </w:r>
      <w:r w:rsidR="00D5664A">
        <w:rPr>
          <w:kern w:val="0"/>
        </w:rPr>
        <w:t>MEDLINE</w:t>
      </w:r>
      <w:r>
        <w:rPr>
          <w:kern w:val="0"/>
        </w:rPr>
        <w:t xml:space="preserve"> (Ovid SP) 1950 to August Week 2, 2012; PubMed 1 June 2012 to 22 August 2012; EMBASE (Ovid SP) 1980 to 2012 Week 33; ISI </w:t>
      </w:r>
      <w:r w:rsidR="00D5664A">
        <w:rPr>
          <w:kern w:val="0"/>
        </w:rPr>
        <w:t>Web</w:t>
      </w:r>
      <w:r w:rsidR="00427468">
        <w:rPr>
          <w:kern w:val="0"/>
        </w:rPr>
        <w:t xml:space="preserve"> of </w:t>
      </w:r>
      <w:r w:rsidR="00D5664A">
        <w:rPr>
          <w:kern w:val="0"/>
        </w:rPr>
        <w:t>Science</w:t>
      </w:r>
      <w:r>
        <w:rPr>
          <w:kern w:val="0"/>
        </w:rPr>
        <w:t xml:space="preserve">: Conference Proceedings Citation Index-Science (CPCI-S) 1990 to 22 August 2012; ISI </w:t>
      </w:r>
      <w:r w:rsidR="00D5664A">
        <w:rPr>
          <w:kern w:val="0"/>
        </w:rPr>
        <w:t>Web</w:t>
      </w:r>
      <w:r w:rsidR="00427468">
        <w:rPr>
          <w:kern w:val="0"/>
        </w:rPr>
        <w:t xml:space="preserve"> of </w:t>
      </w:r>
      <w:r w:rsidR="00D5664A">
        <w:rPr>
          <w:kern w:val="0"/>
        </w:rPr>
        <w:t>Science</w:t>
      </w:r>
      <w:r>
        <w:rPr>
          <w:kern w:val="0"/>
        </w:rPr>
        <w:t>: Science Citation Index Expanded (SCI-EXPANDED) 1970 to 22 August 2012. We also searched online trial registers on 22 August 2012 to identify unpublished studies. Selection criteria Randomised controlled trials comparing tranexamic acid with no tranexamic acid or placebo in adults undergoing emergency or urgent surgery. Data collection</w:t>
      </w:r>
      <w:r w:rsidR="005853A9">
        <w:rPr>
          <w:kern w:val="0"/>
        </w:rPr>
        <w:t xml:space="preserve"> and </w:t>
      </w:r>
      <w:r>
        <w:rPr>
          <w:kern w:val="0"/>
        </w:rPr>
        <w:t xml:space="preserve">analysis Two authors examined </w:t>
      </w:r>
      <w:r>
        <w:rPr>
          <w:kern w:val="0"/>
        </w:rPr>
        <w:lastRenderedPageBreak/>
        <w:t>titles, abstracts</w:t>
      </w:r>
      <w:r w:rsidR="005853A9">
        <w:rPr>
          <w:kern w:val="0"/>
        </w:rPr>
        <w:t xml:space="preserve"> and </w:t>
      </w:r>
      <w:r>
        <w:rPr>
          <w:kern w:val="0"/>
        </w:rPr>
        <w:t>keywords</w:t>
      </w:r>
      <w:r w:rsidR="00427468">
        <w:rPr>
          <w:kern w:val="0"/>
        </w:rPr>
        <w:t xml:space="preserve"> of </w:t>
      </w:r>
      <w:r>
        <w:rPr>
          <w:kern w:val="0"/>
        </w:rPr>
        <w:t>citations from the electronic databases for eligibility</w:t>
      </w:r>
      <w:r w:rsidR="005853A9">
        <w:rPr>
          <w:kern w:val="0"/>
        </w:rPr>
        <w:t xml:space="preserve"> and </w:t>
      </w:r>
      <w:r>
        <w:rPr>
          <w:kern w:val="0"/>
        </w:rPr>
        <w:t>extracted data for analysis</w:t>
      </w:r>
      <w:r w:rsidR="005853A9">
        <w:rPr>
          <w:kern w:val="0"/>
        </w:rPr>
        <w:t xml:space="preserve"> and </w:t>
      </w:r>
      <w:r>
        <w:rPr>
          <w:kern w:val="0"/>
        </w:rPr>
        <w:t>risk</w:t>
      </w:r>
      <w:r w:rsidR="00427468">
        <w:rPr>
          <w:kern w:val="0"/>
        </w:rPr>
        <w:t xml:space="preserve"> of </w:t>
      </w:r>
      <w:r>
        <w:rPr>
          <w:kern w:val="0"/>
        </w:rPr>
        <w:t>bias assessment. Outcome measures</w:t>
      </w:r>
      <w:r w:rsidR="00427468">
        <w:rPr>
          <w:kern w:val="0"/>
        </w:rPr>
        <w:t xml:space="preserve"> of </w:t>
      </w:r>
      <w:r>
        <w:rPr>
          <w:kern w:val="0"/>
        </w:rPr>
        <w:t>interest were mortality, receipt</w:t>
      </w:r>
      <w:r w:rsidR="00427468">
        <w:rPr>
          <w:kern w:val="0"/>
        </w:rPr>
        <w:t xml:space="preserve"> of </w:t>
      </w:r>
      <w:r>
        <w:rPr>
          <w:kern w:val="0"/>
        </w:rPr>
        <w:t>a blood transfusion, units</w:t>
      </w:r>
      <w:r w:rsidR="00427468">
        <w:rPr>
          <w:kern w:val="0"/>
        </w:rPr>
        <w:t xml:space="preserve"> of </w:t>
      </w:r>
      <w:r>
        <w:rPr>
          <w:kern w:val="0"/>
        </w:rPr>
        <w:t>blood transfused, reoperation, seizures</w:t>
      </w:r>
      <w:r w:rsidR="005853A9">
        <w:rPr>
          <w:kern w:val="0"/>
        </w:rPr>
        <w:t xml:space="preserve"> and </w:t>
      </w:r>
      <w:r>
        <w:rPr>
          <w:kern w:val="0"/>
        </w:rPr>
        <w:t>thromboembolic events (myocardial infarction, stroke, deep vein thrombosis</w:t>
      </w:r>
      <w:r w:rsidR="005853A9">
        <w:rPr>
          <w:kern w:val="0"/>
        </w:rPr>
        <w:t xml:space="preserve"> and </w:t>
      </w:r>
      <w:r>
        <w:rPr>
          <w:kern w:val="0"/>
        </w:rPr>
        <w:t>pulmonary embolism). Main results We identified five trials involving 372 people that met the inclusion criteria. Three trials (260 patients) contributed data to the analyses</w:t>
      </w:r>
      <w:r w:rsidR="00A37C1D">
        <w:rPr>
          <w:kern w:val="0"/>
        </w:rPr>
        <w:t>. The</w:t>
      </w:r>
      <w:r>
        <w:rPr>
          <w:kern w:val="0"/>
        </w:rPr>
        <w:t xml:space="preserve"> effect</w:t>
      </w:r>
      <w:r w:rsidR="00427468">
        <w:rPr>
          <w:kern w:val="0"/>
        </w:rPr>
        <w:t xml:space="preserve"> of </w:t>
      </w:r>
      <w:r>
        <w:rPr>
          <w:kern w:val="0"/>
        </w:rPr>
        <w:t>tranexamic acid on mortality (RR 1.01; 95% CI 0.14 to 7.3) is uncertain. However, tranexamic acid reduces the probability</w:t>
      </w:r>
      <w:r w:rsidR="00427468">
        <w:rPr>
          <w:kern w:val="0"/>
        </w:rPr>
        <w:t xml:space="preserve"> of </w:t>
      </w:r>
      <w:r>
        <w:rPr>
          <w:kern w:val="0"/>
        </w:rPr>
        <w:t>receiving a blood transfusion by 30% although the estimate is imprecise (RR 0.70; 95% CI 0.52 to 0.94)</w:t>
      </w:r>
      <w:r w:rsidR="00A37C1D">
        <w:rPr>
          <w:kern w:val="0"/>
        </w:rPr>
        <w:t>. The</w:t>
      </w:r>
      <w:r>
        <w:rPr>
          <w:kern w:val="0"/>
        </w:rPr>
        <w:t xml:space="preserve"> effect on deep venous thrombosis (RR 2.29; 95% CI 0.68 to 7.66),</w:t>
      </w:r>
      <w:r w:rsidR="005853A9">
        <w:rPr>
          <w:kern w:val="0"/>
        </w:rPr>
        <w:t xml:space="preserve"> and </w:t>
      </w:r>
      <w:r>
        <w:rPr>
          <w:kern w:val="0"/>
        </w:rPr>
        <w:t>stroke (RR 2.79; 95% CI 0.12 to 67.10) is uncertain</w:t>
      </w:r>
      <w:r w:rsidR="00A37C1D">
        <w:rPr>
          <w:kern w:val="0"/>
        </w:rPr>
        <w:t>. The</w:t>
      </w:r>
      <w:r>
        <w:rPr>
          <w:kern w:val="0"/>
        </w:rPr>
        <w:t>re were no events</w:t>
      </w:r>
      <w:r w:rsidR="00427468">
        <w:rPr>
          <w:kern w:val="0"/>
        </w:rPr>
        <w:t xml:space="preserve"> of </w:t>
      </w:r>
      <w:r>
        <w:rPr>
          <w:kern w:val="0"/>
        </w:rPr>
        <w:t>pulmonary embolism or myocardial infarction. None</w:t>
      </w:r>
      <w:r w:rsidR="00427468">
        <w:rPr>
          <w:kern w:val="0"/>
        </w:rPr>
        <w:t xml:space="preserve"> of </w:t>
      </w:r>
      <w:r>
        <w:rPr>
          <w:kern w:val="0"/>
        </w:rPr>
        <w:t>the trials reported units</w:t>
      </w:r>
      <w:r w:rsidR="00427468">
        <w:rPr>
          <w:kern w:val="0"/>
        </w:rPr>
        <w:t xml:space="preserve"> of </w:t>
      </w:r>
      <w:r>
        <w:rPr>
          <w:kern w:val="0"/>
        </w:rPr>
        <w:t>blood transfused, reoperation, or seizure outcomes. Authors</w:t>
      </w:r>
      <w:r w:rsidR="0071223E">
        <w:rPr>
          <w:kern w:val="0"/>
        </w:rPr>
        <w:t>’</w:t>
      </w:r>
      <w:r>
        <w:rPr>
          <w:kern w:val="0"/>
        </w:rPr>
        <w:t xml:space="preserve"> conclusions There is evidence that tranexamic acid reduces blood transfusion in patients undergoing emergency or urgent surgery</w:t>
      </w:r>
      <w:r w:rsidR="00A37C1D">
        <w:rPr>
          <w:kern w:val="0"/>
        </w:rPr>
        <w:t>. The</w:t>
      </w:r>
      <w:r>
        <w:rPr>
          <w:kern w:val="0"/>
        </w:rPr>
        <w:t>re is a need for a large pragmatic clinical trial to assess the effects</w:t>
      </w:r>
      <w:r w:rsidR="00427468">
        <w:rPr>
          <w:kern w:val="0"/>
        </w:rPr>
        <w:t xml:space="preserve"> of </w:t>
      </w:r>
      <w:r>
        <w:rPr>
          <w:kern w:val="0"/>
        </w:rPr>
        <w:t>routine use</w:t>
      </w:r>
      <w:r w:rsidR="00427468">
        <w:rPr>
          <w:kern w:val="0"/>
        </w:rPr>
        <w:t xml:space="preserve"> of </w:t>
      </w:r>
      <w:r>
        <w:rPr>
          <w:kern w:val="0"/>
        </w:rPr>
        <w:t>tranexamic acid on mortality in a heterogeneous group</w:t>
      </w:r>
      <w:r w:rsidR="00427468">
        <w:rPr>
          <w:kern w:val="0"/>
        </w:rPr>
        <w:t xml:space="preserve"> of </w:t>
      </w:r>
      <w:r>
        <w:rPr>
          <w:kern w:val="0"/>
        </w:rPr>
        <w:t>urgent</w:t>
      </w:r>
      <w:r w:rsidR="005853A9">
        <w:rPr>
          <w:kern w:val="0"/>
        </w:rPr>
        <w:t xml:space="preserve"> and </w:t>
      </w:r>
      <w:r>
        <w:rPr>
          <w:kern w:val="0"/>
        </w:rPr>
        <w:t>emergency surgical patients.</w:t>
      </w:r>
    </w:p>
    <w:p w:rsidR="00365DE4" w:rsidRDefault="00365DE4" w:rsidP="00365DE4">
      <w:pPr>
        <w:pStyle w:val="a3"/>
        <w:rPr>
          <w:kern w:val="0"/>
        </w:rPr>
      </w:pPr>
      <w:r>
        <w:rPr>
          <w:kern w:val="0"/>
        </w:rPr>
        <w:t>Keywords: Adult, Analyses, Analysis, Assessment, Authors, Bias, Bleeding, Blood, Blood Transfusion, Blood-Loss, Capacity, Citation, Citations, Clinical, Clinical Trial, Collection, Conference, Controlled-Trial, Criteria, Data, Data Collection, Databases, Death, Deep Vein Thrombosis, Deep Venous Thrombosis, Effects, Elective, Embase, Embolism, Emergency, Events, Evidence, Fibrinolysis, Infarction</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Life, </w:t>
      </w:r>
      <w:r w:rsidR="00D5664A">
        <w:rPr>
          <w:kern w:val="0"/>
        </w:rPr>
        <w:t>MEDLINE</w:t>
      </w:r>
      <w:r>
        <w:rPr>
          <w:kern w:val="0"/>
        </w:rPr>
        <w:t xml:space="preserve">, Methods, Mortality, Myocardial Infarction, Outcomes, Patients, Placebo, Pubmed, Pulmonary Embolism, Randomised Controlled Trials, Reoperation, Review, Risk, Science, Science Citation Index, Science Citation Index Expanded, Search, Seizure, Seizures, Stroke, Surgery, Thrombosis, Transfusion, Trial, Vein Thrombosis, Venous Thrombosis,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Perel, P., Roberts, I.</w:t>
      </w:r>
      <w:r w:rsidR="005853A9">
        <w:rPr>
          <w:kern w:val="0"/>
        </w:rPr>
        <w:t xml:space="preserve"> and </w:t>
      </w:r>
      <w:r>
        <w:rPr>
          <w:kern w:val="0"/>
        </w:rPr>
        <w:t xml:space="preserve">Ker, K. (2013), Colloids versus crystalloids for fluid resuscitation in critically ill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CD000567.</w:t>
      </w:r>
    </w:p>
    <w:p w:rsidR="00365DE4" w:rsidRDefault="00365DE4" w:rsidP="00365DE4">
      <w:pPr>
        <w:pStyle w:val="a3"/>
        <w:rPr>
          <w:kern w:val="2"/>
        </w:rPr>
      </w:pPr>
      <w:r>
        <w:t xml:space="preserve">Full Text: 2013\Coc Dat Sys Rev2013, </w:t>
      </w:r>
      <w:r>
        <w:rPr>
          <w:kern w:val="0"/>
        </w:rPr>
        <w:t>CD000567.pdf</w:t>
      </w:r>
    </w:p>
    <w:p w:rsidR="00365DE4" w:rsidRDefault="00365DE4" w:rsidP="00365DE4">
      <w:pPr>
        <w:pStyle w:val="a3"/>
        <w:rPr>
          <w:kern w:val="0"/>
        </w:rPr>
      </w:pPr>
      <w:r>
        <w:rPr>
          <w:kern w:val="0"/>
        </w:rPr>
        <w:t>Abstract: Background Colloid solutions are widely used in fluid resuscitation</w:t>
      </w:r>
      <w:r w:rsidR="00427468">
        <w:rPr>
          <w:kern w:val="0"/>
        </w:rPr>
        <w:t xml:space="preserve"> of </w:t>
      </w:r>
      <w:r>
        <w:rPr>
          <w:kern w:val="0"/>
        </w:rPr>
        <w:t>critically ill patients</w:t>
      </w:r>
      <w:r w:rsidR="00A37C1D">
        <w:rPr>
          <w:kern w:val="0"/>
        </w:rPr>
        <w:t>. The</w:t>
      </w:r>
      <w:r>
        <w:rPr>
          <w:kern w:val="0"/>
        </w:rPr>
        <w:t>re are several choices</w:t>
      </w:r>
      <w:r w:rsidR="00427468">
        <w:rPr>
          <w:kern w:val="0"/>
        </w:rPr>
        <w:t xml:space="preserve"> of </w:t>
      </w:r>
      <w:r>
        <w:rPr>
          <w:kern w:val="0"/>
        </w:rPr>
        <w:t>colloid,</w:t>
      </w:r>
      <w:r w:rsidR="005853A9">
        <w:rPr>
          <w:kern w:val="0"/>
        </w:rPr>
        <w:t xml:space="preserve"> and </w:t>
      </w:r>
      <w:r>
        <w:rPr>
          <w:kern w:val="0"/>
        </w:rPr>
        <w:t>there is ongoing debate about the relative effectiveness</w:t>
      </w:r>
      <w:r w:rsidR="00427468">
        <w:rPr>
          <w:kern w:val="0"/>
        </w:rPr>
        <w:t xml:space="preserve"> of </w:t>
      </w:r>
      <w:r>
        <w:rPr>
          <w:kern w:val="0"/>
        </w:rPr>
        <w:t>colloids compared to crystalloid fluids. Objectives To assess the effects</w:t>
      </w:r>
      <w:r w:rsidR="00427468">
        <w:rPr>
          <w:kern w:val="0"/>
        </w:rPr>
        <w:t xml:space="preserve"> of </w:t>
      </w:r>
      <w:r>
        <w:rPr>
          <w:kern w:val="0"/>
        </w:rPr>
        <w:t>colloids compared to crystalloids for fluid resuscitation in critically ill patients. Search methods We searched the Cochrane Injuries Group Specialised Register (17 October 2012), the Cochrane Central Register</w:t>
      </w:r>
      <w:r w:rsidR="00427468">
        <w:rPr>
          <w:kern w:val="0"/>
        </w:rPr>
        <w:t xml:space="preserve"> of </w:t>
      </w:r>
      <w:r>
        <w:rPr>
          <w:kern w:val="0"/>
        </w:rPr>
        <w:t xml:space="preserve">Controlled Trials (The Cochrane Library) (Issue 10, 2012), </w:t>
      </w:r>
      <w:r w:rsidR="00D5664A">
        <w:rPr>
          <w:kern w:val="0"/>
        </w:rPr>
        <w:t>MEDLINE</w:t>
      </w:r>
      <w:r>
        <w:rPr>
          <w:kern w:val="0"/>
        </w:rPr>
        <w:t xml:space="preserve"> (Ovid) 1946 to October 2012, EMBASE (Ovid) 1980 to October 2012, ISI </w:t>
      </w:r>
      <w:r w:rsidR="00D5664A">
        <w:rPr>
          <w:kern w:val="0"/>
        </w:rPr>
        <w:t>Web</w:t>
      </w:r>
      <w:r w:rsidR="00427468">
        <w:rPr>
          <w:kern w:val="0"/>
        </w:rPr>
        <w:t xml:space="preserve"> of </w:t>
      </w:r>
      <w:r w:rsidR="00D5664A">
        <w:rPr>
          <w:kern w:val="0"/>
        </w:rPr>
        <w:t>Science</w:t>
      </w:r>
      <w:r>
        <w:rPr>
          <w:kern w:val="0"/>
        </w:rPr>
        <w:t xml:space="preserve">: Science Citation </w:t>
      </w:r>
      <w:r>
        <w:rPr>
          <w:kern w:val="0"/>
        </w:rPr>
        <w:lastRenderedPageBreak/>
        <w:t xml:space="preserve">Index Expanded (1970 to October 2012), ISI </w:t>
      </w:r>
      <w:r w:rsidR="00D5664A">
        <w:rPr>
          <w:kern w:val="0"/>
        </w:rPr>
        <w:t>Web</w:t>
      </w:r>
      <w:r w:rsidR="00427468">
        <w:rPr>
          <w:kern w:val="0"/>
        </w:rPr>
        <w:t xml:space="preserve"> of </w:t>
      </w:r>
      <w:r w:rsidR="00D5664A">
        <w:rPr>
          <w:kern w:val="0"/>
        </w:rPr>
        <w:t>Science</w:t>
      </w:r>
      <w:r>
        <w:rPr>
          <w:kern w:val="0"/>
        </w:rPr>
        <w:t>: Conference Proceedings Citation Index-Science (1990 to October 2012), PubMed (October 2012), www.clinicaltrials.gov</w:t>
      </w:r>
      <w:r w:rsidR="005853A9">
        <w:rPr>
          <w:kern w:val="0"/>
        </w:rPr>
        <w:t xml:space="preserve"> and </w:t>
      </w:r>
      <w:r>
        <w:rPr>
          <w:kern w:val="0"/>
        </w:rPr>
        <w:t>www.controlled-trials.com. We also searched the bibliographies</w:t>
      </w:r>
      <w:r w:rsidR="00427468">
        <w:rPr>
          <w:kern w:val="0"/>
        </w:rPr>
        <w:t xml:space="preserve"> of </w:t>
      </w:r>
      <w:r>
        <w:rPr>
          <w:kern w:val="0"/>
        </w:rPr>
        <w:t>relevant studies</w:t>
      </w:r>
      <w:r w:rsidR="005853A9">
        <w:rPr>
          <w:kern w:val="0"/>
        </w:rPr>
        <w:t xml:space="preserve"> and </w:t>
      </w:r>
      <w:r>
        <w:rPr>
          <w:kern w:val="0"/>
        </w:rPr>
        <w:t>review articles. Selection criteria Randomised controlled trials (RCTs)</w:t>
      </w:r>
      <w:r w:rsidR="00427468">
        <w:rPr>
          <w:kern w:val="0"/>
        </w:rPr>
        <w:t xml:space="preserve"> of </w:t>
      </w:r>
      <w:r>
        <w:rPr>
          <w:kern w:val="0"/>
        </w:rPr>
        <w:t>colloids compared to crystalloids, in patients requiring volume replacement. We excluded crossover trials</w:t>
      </w:r>
      <w:r w:rsidR="005853A9">
        <w:rPr>
          <w:kern w:val="0"/>
        </w:rPr>
        <w:t xml:space="preserve"> and </w:t>
      </w:r>
      <w:r>
        <w:rPr>
          <w:kern w:val="0"/>
        </w:rPr>
        <w:t>trials involving pregnant women</w:t>
      </w:r>
      <w:r w:rsidR="005853A9">
        <w:rPr>
          <w:kern w:val="0"/>
        </w:rPr>
        <w:t xml:space="preserve"> and </w:t>
      </w:r>
      <w:r>
        <w:rPr>
          <w:kern w:val="0"/>
        </w:rPr>
        <w:t>neonates. Data collection</w:t>
      </w:r>
      <w:r w:rsidR="005853A9">
        <w:rPr>
          <w:kern w:val="0"/>
        </w:rPr>
        <w:t xml:space="preserve"> and </w:t>
      </w:r>
      <w:r>
        <w:rPr>
          <w:kern w:val="0"/>
        </w:rPr>
        <w:t>analysis Two review authors independently extracted data</w:t>
      </w:r>
      <w:r w:rsidR="005853A9">
        <w:rPr>
          <w:kern w:val="0"/>
        </w:rPr>
        <w:t xml:space="preserve"> and </w:t>
      </w:r>
      <w:r>
        <w:rPr>
          <w:kern w:val="0"/>
        </w:rPr>
        <w:t>rated quality</w:t>
      </w:r>
      <w:r w:rsidR="00427468">
        <w:rPr>
          <w:kern w:val="0"/>
        </w:rPr>
        <w:t xml:space="preserve"> of </w:t>
      </w:r>
      <w:r>
        <w:rPr>
          <w:kern w:val="0"/>
        </w:rPr>
        <w:t xml:space="preserve">allocation concealment. We analysed trials with a </w:t>
      </w:r>
      <w:r w:rsidR="0071223E">
        <w:rPr>
          <w:kern w:val="0"/>
        </w:rPr>
        <w:t>‘</w:t>
      </w:r>
      <w:r>
        <w:rPr>
          <w:kern w:val="0"/>
        </w:rPr>
        <w:t>double-intervention</w:t>
      </w:r>
      <w:r w:rsidR="0071223E">
        <w:rPr>
          <w:kern w:val="0"/>
        </w:rPr>
        <w:t>’</w:t>
      </w:r>
      <w:r>
        <w:rPr>
          <w:kern w:val="0"/>
        </w:rPr>
        <w:t>, such as those comparing colloid in hypertonic crystalloid to isotonic crystalloid, separately. We stratified the analysis according to colloid type</w:t>
      </w:r>
      <w:r w:rsidR="005853A9">
        <w:rPr>
          <w:kern w:val="0"/>
        </w:rPr>
        <w:t xml:space="preserve"> and </w:t>
      </w:r>
      <w:r>
        <w:rPr>
          <w:kern w:val="0"/>
        </w:rPr>
        <w:t>quality</w:t>
      </w:r>
      <w:r w:rsidR="00427468">
        <w:rPr>
          <w:kern w:val="0"/>
        </w:rPr>
        <w:t xml:space="preserve"> of </w:t>
      </w:r>
      <w:r>
        <w:rPr>
          <w:kern w:val="0"/>
        </w:rPr>
        <w:t>allocation concealment. Main results We identified 78 eligible trials; 70</w:t>
      </w:r>
      <w:r w:rsidR="00427468">
        <w:rPr>
          <w:kern w:val="0"/>
        </w:rPr>
        <w:t xml:space="preserve"> of </w:t>
      </w:r>
      <w:r>
        <w:rPr>
          <w:kern w:val="0"/>
        </w:rPr>
        <w:t>these presented mortality data. Colloids compared to crystalloids Albumin or plasma protein fraction - 24 trials reported data on mortality, including a total</w:t>
      </w:r>
      <w:r w:rsidR="00427468">
        <w:rPr>
          <w:kern w:val="0"/>
        </w:rPr>
        <w:t xml:space="preserve"> of </w:t>
      </w:r>
      <w:r>
        <w:rPr>
          <w:kern w:val="0"/>
        </w:rPr>
        <w:t>9920 patients</w:t>
      </w:r>
      <w:r w:rsidR="00A37C1D">
        <w:rPr>
          <w:kern w:val="0"/>
        </w:rPr>
        <w:t>. The</w:t>
      </w:r>
      <w:r>
        <w:rPr>
          <w:kern w:val="0"/>
        </w:rPr>
        <w:t xml:space="preserve"> pooled risk ratio (RR) from these trials was 1.01 (95% confidence interval (CI) 0.93 to 1.10). When we excluded the trial with poor-quality allocation concealment, pooled RR was 1.00 (95% CI 0.92 to 1.09). Hydroxyethyl starch - 25 trials compared hydroxyethyl starch with crystalloids</w:t>
      </w:r>
      <w:r w:rsidR="005853A9">
        <w:rPr>
          <w:kern w:val="0"/>
        </w:rPr>
        <w:t xml:space="preserve"> and </w:t>
      </w:r>
      <w:r>
        <w:rPr>
          <w:kern w:val="0"/>
        </w:rPr>
        <w:t>included 9147 patients</w:t>
      </w:r>
      <w:r w:rsidR="00A37C1D">
        <w:rPr>
          <w:kern w:val="0"/>
        </w:rPr>
        <w:t>. The</w:t>
      </w:r>
      <w:r>
        <w:rPr>
          <w:kern w:val="0"/>
        </w:rPr>
        <w:t xml:space="preserve"> pooled RR was 1.10 (95% CI 1.02 to 1.19). Modified gelatin - 11 trials compared modified gelatin with crystalloid</w:t>
      </w:r>
      <w:r w:rsidR="005853A9">
        <w:rPr>
          <w:kern w:val="0"/>
        </w:rPr>
        <w:t xml:space="preserve"> and </w:t>
      </w:r>
      <w:r>
        <w:rPr>
          <w:kern w:val="0"/>
        </w:rPr>
        <w:t>included 506 patients</w:t>
      </w:r>
      <w:r w:rsidR="00A37C1D">
        <w:rPr>
          <w:kern w:val="0"/>
        </w:rPr>
        <w:t>. The</w:t>
      </w:r>
      <w:r>
        <w:rPr>
          <w:kern w:val="0"/>
        </w:rPr>
        <w:t xml:space="preserve"> pooled RR was 0.91 (95% CI 0.49 to 1.72). (When the trials by Boldt et al were removed from the three preceding analyses, the results were unchanged.) Dextran - nine trials compared dextran with a crystalloid</w:t>
      </w:r>
      <w:r w:rsidR="005853A9">
        <w:rPr>
          <w:kern w:val="0"/>
        </w:rPr>
        <w:t xml:space="preserve"> and </w:t>
      </w:r>
      <w:r>
        <w:rPr>
          <w:kern w:val="0"/>
        </w:rPr>
        <w:t>included 834 patients</w:t>
      </w:r>
      <w:r w:rsidR="00A37C1D">
        <w:rPr>
          <w:kern w:val="0"/>
        </w:rPr>
        <w:t>. The</w:t>
      </w:r>
      <w:r>
        <w:rPr>
          <w:kern w:val="0"/>
        </w:rPr>
        <w:t xml:space="preserve"> pooled RR was 1.24 (95% CI 0.94 to 1.65). Colloids in hypertonic crystalloid compared to isotonic crystalloid Nine trials compared dextran in hypertonic crystalloid with isotonic crystalloid, including 1985 randomised participants. Pooled RR for mortality was 0.91 (95% CI 0.71 to 1.06). Authors</w:t>
      </w:r>
      <w:r w:rsidR="0071223E">
        <w:rPr>
          <w:kern w:val="0"/>
        </w:rPr>
        <w:t>’</w:t>
      </w:r>
      <w:r>
        <w:rPr>
          <w:kern w:val="0"/>
        </w:rPr>
        <w:t xml:space="preserve"> conclusions There is no evidence from randomised controlled trials that resuscitation with colloids reduces the risk</w:t>
      </w:r>
      <w:r w:rsidR="00427468">
        <w:rPr>
          <w:kern w:val="0"/>
        </w:rPr>
        <w:t xml:space="preserve"> of </w:t>
      </w:r>
      <w:r>
        <w:rPr>
          <w:kern w:val="0"/>
        </w:rPr>
        <w:t>death, compared to resuscitation with crystalloids, in patients with trauma, burns or following surgery. Furthermore, the use</w:t>
      </w:r>
      <w:r w:rsidR="00427468">
        <w:rPr>
          <w:kern w:val="0"/>
        </w:rPr>
        <w:t xml:space="preserve"> of </w:t>
      </w:r>
      <w:r>
        <w:rPr>
          <w:kern w:val="0"/>
        </w:rPr>
        <w:t>hydroxyethyl starch might increase mortality. As colloids are not associated with an improvement in survival</w:t>
      </w:r>
      <w:r w:rsidR="005853A9">
        <w:rPr>
          <w:kern w:val="0"/>
        </w:rPr>
        <w:t xml:space="preserve"> and </w:t>
      </w:r>
      <w:r>
        <w:rPr>
          <w:kern w:val="0"/>
        </w:rPr>
        <w:t>are considerably more expensive than crystalloids, it is hard to see how their continued use in clinical practice can be justified.</w:t>
      </w:r>
    </w:p>
    <w:p w:rsidR="00365DE4" w:rsidRDefault="00365DE4" w:rsidP="00365DE4">
      <w:pPr>
        <w:pStyle w:val="a3"/>
        <w:rPr>
          <w:kern w:val="0"/>
        </w:rPr>
      </w:pPr>
      <w:r>
        <w:rPr>
          <w:kern w:val="0"/>
        </w:rPr>
        <w:t xml:space="preserve">Keywords: 7.5-Percent Sodium-Chloride, Albumin, Albumins [Therapeutic Use], Allocation, Analyses, Analysis, Authors, Bibliographies, Blood Proteins [Therapeutic Use], Burns, Citation, Clinical, Clinical Practice, Collection, Colloid, Colloids, Colloids [Therapeutic Use], Conference, Confidence, Controlled Clinical-Trial, Coronary-Artery-Bypass, Criteria, Critical Illness [Mortality, Crystalloid, Data, Data Collection, Death, Dextran, Dextrans [Therapeutic Use], Effectiveness, Effects, Embase, Evidence, Fluid Therapy [Methods], Gelatin, Gelatin </w:t>
      </w:r>
      <w:r>
        <w:rPr>
          <w:kern w:val="0"/>
        </w:rPr>
        <w:lastRenderedPageBreak/>
        <w:t>[Therapeutic Use], Hetastarch [Therapeutic Use], Humans, Hydroxyethyl Starch 130, 0.4, Improvement, Intensive-Care-Unit, Interval</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Isotonic Solutions [Therapeutic Use], Lactated Ringers Solution, Major Abdominal-Surgery, </w:t>
      </w:r>
      <w:r w:rsidR="00D5664A">
        <w:rPr>
          <w:kern w:val="0"/>
        </w:rPr>
        <w:t>MEDLINE</w:t>
      </w:r>
      <w:r>
        <w:rPr>
          <w:kern w:val="0"/>
        </w:rPr>
        <w:t xml:space="preserve">, Methods, Modified, Mortality, Neonates, Patients, Plasma, Plasma Substitutes [Therapeutic Use], Practice, Pregnant, Pregnant Women, Protein, Pubmed, Quality, Quality Of, Randomised, Randomised Controlled Trials, Randomized Controlled Trials As Topic, Rehydration Solutions [Therapeutic Use], Respiratory-Distress-Syndrome, Resuscitation, Resuscitation [Methods], Review, Risk, Saline-Dextran Solution, Science, Science Citation Index, Science Citation Index Expanded, Search, Solutions, Starch, Surgery, Survival, Therapy], Trauma, Trial, Volume, Volume Replacement Strategy, </w:t>
      </w:r>
      <w:r w:rsidR="00D5664A">
        <w:rPr>
          <w:kern w:val="0"/>
        </w:rPr>
        <w:t>Web</w:t>
      </w:r>
      <w:r w:rsidR="00427468">
        <w:rPr>
          <w:kern w:val="0"/>
        </w:rPr>
        <w:t xml:space="preserve"> of </w:t>
      </w:r>
      <w:r w:rsidR="00D5664A">
        <w:rPr>
          <w:kern w:val="0"/>
        </w:rPr>
        <w:t>Science</w:t>
      </w:r>
      <w:r>
        <w:rPr>
          <w:kern w:val="0"/>
        </w:rPr>
        <w:t>, Women</w:t>
      </w:r>
    </w:p>
    <w:p w:rsidR="00365DE4" w:rsidRDefault="00365DE4" w:rsidP="00365DE4">
      <w:pPr>
        <w:pStyle w:val="a3"/>
        <w:rPr>
          <w:kern w:val="0"/>
        </w:rPr>
      </w:pPr>
      <w:r>
        <w:rPr>
          <w:kern w:val="0"/>
        </w:rPr>
        <w:t>? Edwards, A.G.K., Naik, G., Ahmed, H., Elwyn, G.J., Pickles, T., Hood, K.</w:t>
      </w:r>
      <w:r w:rsidR="005853A9">
        <w:rPr>
          <w:kern w:val="0"/>
        </w:rPr>
        <w:t xml:space="preserve"> and </w:t>
      </w:r>
      <w:r>
        <w:rPr>
          <w:kern w:val="0"/>
        </w:rPr>
        <w:t xml:space="preserve">Playle, R. (2013), Personalised risk communication for informed decision making about taking screening tests.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CD001865.</w:t>
      </w:r>
    </w:p>
    <w:p w:rsidR="00365DE4" w:rsidRDefault="00365DE4" w:rsidP="00365DE4">
      <w:pPr>
        <w:pStyle w:val="a3"/>
        <w:rPr>
          <w:kern w:val="2"/>
        </w:rPr>
      </w:pPr>
      <w:r>
        <w:t xml:space="preserve">Full Text: 2013\Coc Dat Sys Rev2013, </w:t>
      </w:r>
      <w:r>
        <w:rPr>
          <w:kern w:val="0"/>
        </w:rPr>
        <w:t>CD001865.pdf</w:t>
      </w:r>
    </w:p>
    <w:p w:rsidR="00365DE4" w:rsidRDefault="00365DE4" w:rsidP="00365DE4">
      <w:pPr>
        <w:pStyle w:val="a3"/>
        <w:rPr>
          <w:kern w:val="0"/>
        </w:rPr>
      </w:pPr>
      <w:r>
        <w:rPr>
          <w:kern w:val="0"/>
        </w:rPr>
        <w:t>Abstract: Background There is a trend towards greater patient involvement in healthcare decisions. Although screening is usually perceived as good for the health</w:t>
      </w:r>
      <w:r w:rsidR="00427468">
        <w:rPr>
          <w:kern w:val="0"/>
        </w:rPr>
        <w:t xml:space="preserve"> of </w:t>
      </w:r>
      <w:r>
        <w:rPr>
          <w:kern w:val="0"/>
        </w:rPr>
        <w:t>the population, there are risks associated with the tests involved. Achieving both adequate involvement</w:t>
      </w:r>
      <w:r w:rsidR="00427468">
        <w:rPr>
          <w:kern w:val="0"/>
        </w:rPr>
        <w:t xml:space="preserve"> of </w:t>
      </w:r>
      <w:r>
        <w:rPr>
          <w:kern w:val="0"/>
        </w:rPr>
        <w:t>consumers</w:t>
      </w:r>
      <w:r w:rsidR="005853A9">
        <w:rPr>
          <w:kern w:val="0"/>
        </w:rPr>
        <w:t xml:space="preserve"> and </w:t>
      </w:r>
      <w:r>
        <w:rPr>
          <w:kern w:val="0"/>
        </w:rPr>
        <w:t>informed decision making are now seen as important goals for screening programmes. Personalised risk estimates have been shown to be effective methods</w:t>
      </w:r>
      <w:r w:rsidR="00427468">
        <w:rPr>
          <w:kern w:val="0"/>
        </w:rPr>
        <w:t xml:space="preserve"> of </w:t>
      </w:r>
      <w:r>
        <w:rPr>
          <w:kern w:val="0"/>
        </w:rPr>
        <w:t>risk communication. Objectives To assess the effects</w:t>
      </w:r>
      <w:r w:rsidR="00427468">
        <w:rPr>
          <w:kern w:val="0"/>
        </w:rPr>
        <w:t xml:space="preserve"> of </w:t>
      </w:r>
      <w:r>
        <w:rPr>
          <w:kern w:val="0"/>
        </w:rPr>
        <w:t>personalised risk communication on informed decision making by individuals taking screening tests. We also assess individual components that constitute informed decisions. Search methods Two authors searched the Cochrane Central Register</w:t>
      </w:r>
      <w:r w:rsidR="00427468">
        <w:rPr>
          <w:kern w:val="0"/>
        </w:rPr>
        <w:t xml:space="preserve"> of </w:t>
      </w:r>
      <w:r>
        <w:rPr>
          <w:kern w:val="0"/>
        </w:rPr>
        <w:t xml:space="preserve">Controlled Trials (CENTRAL, The Cochrane Library, Issue 3, 2012), </w:t>
      </w:r>
      <w:r w:rsidR="00D5664A">
        <w:rPr>
          <w:kern w:val="0"/>
        </w:rPr>
        <w:t>MEDLINE</w:t>
      </w:r>
      <w:r>
        <w:rPr>
          <w:kern w:val="0"/>
        </w:rPr>
        <w:t xml:space="preserve"> (OvidSP), EMBASE (OvidSP), CINAHL (EbscoHOST)</w:t>
      </w:r>
      <w:r w:rsidR="005853A9">
        <w:rPr>
          <w:kern w:val="0"/>
        </w:rPr>
        <w:t xml:space="preserve"> and </w:t>
      </w:r>
      <w:r>
        <w:rPr>
          <w:kern w:val="0"/>
        </w:rPr>
        <w:t>PsycINFO (OvidSP) without language restrictions. We searched from 2006 to March 2012</w:t>
      </w:r>
      <w:r w:rsidR="00A37C1D">
        <w:rPr>
          <w:kern w:val="0"/>
        </w:rPr>
        <w:t>. The</w:t>
      </w:r>
      <w:r>
        <w:rPr>
          <w:kern w:val="0"/>
        </w:rPr>
        <w:t xml:space="preserve"> date ranges for the previous searches were from 1989 to December 2005 for PsycINFO</w:t>
      </w:r>
      <w:r w:rsidR="005853A9">
        <w:rPr>
          <w:kern w:val="0"/>
        </w:rPr>
        <w:t xml:space="preserve"> and </w:t>
      </w:r>
      <w:r>
        <w:rPr>
          <w:kern w:val="0"/>
        </w:rPr>
        <w:t>from 1985 to December 2005 for other databases. For the original version</w:t>
      </w:r>
      <w:r w:rsidR="00427468">
        <w:rPr>
          <w:kern w:val="0"/>
        </w:rPr>
        <w:t xml:space="preserve"> of </w:t>
      </w:r>
      <w:r>
        <w:rPr>
          <w:kern w:val="0"/>
        </w:rPr>
        <w:t>this review, we also searched CancerLit</w:t>
      </w:r>
      <w:r w:rsidR="005853A9">
        <w:rPr>
          <w:kern w:val="0"/>
        </w:rPr>
        <w:t xml:space="preserve"> and </w:t>
      </w:r>
      <w:r>
        <w:rPr>
          <w:kern w:val="0"/>
        </w:rPr>
        <w:t>Science Citation Index (March 2001). We also reviewed the reference lists</w:t>
      </w:r>
      <w:r w:rsidR="005853A9">
        <w:rPr>
          <w:kern w:val="0"/>
        </w:rPr>
        <w:t xml:space="preserve"> and </w:t>
      </w:r>
      <w:r>
        <w:rPr>
          <w:kern w:val="0"/>
        </w:rPr>
        <w:t>conducted citation searches</w:t>
      </w:r>
      <w:r w:rsidR="00427468">
        <w:rPr>
          <w:kern w:val="0"/>
        </w:rPr>
        <w:t xml:space="preserve"> of </w:t>
      </w:r>
      <w:r>
        <w:rPr>
          <w:kern w:val="0"/>
        </w:rPr>
        <w:t>included studies</w:t>
      </w:r>
      <w:r w:rsidR="005853A9">
        <w:rPr>
          <w:kern w:val="0"/>
        </w:rPr>
        <w:t xml:space="preserve"> and </w:t>
      </w:r>
      <w:r>
        <w:rPr>
          <w:kern w:val="0"/>
        </w:rPr>
        <w:t xml:space="preserve">other systematic reviews in the field, to identify any studies missed during the initial search. Selection criteria Randomised controlled trials incorporating an intervention with a </w:t>
      </w:r>
      <w:r w:rsidR="0071223E">
        <w:rPr>
          <w:kern w:val="0"/>
        </w:rPr>
        <w:t>‘</w:t>
      </w:r>
      <w:r>
        <w:rPr>
          <w:kern w:val="0"/>
        </w:rPr>
        <w:t>personalised risk communication element</w:t>
      </w:r>
      <w:r w:rsidR="0071223E">
        <w:rPr>
          <w:kern w:val="0"/>
        </w:rPr>
        <w:t>’</w:t>
      </w:r>
      <w:r>
        <w:rPr>
          <w:kern w:val="0"/>
        </w:rPr>
        <w:t xml:space="preserve"> for individuals undergoing screening procedures,</w:t>
      </w:r>
      <w:r w:rsidR="005853A9">
        <w:rPr>
          <w:kern w:val="0"/>
        </w:rPr>
        <w:t xml:space="preserve"> and </w:t>
      </w:r>
      <w:r>
        <w:rPr>
          <w:kern w:val="0"/>
        </w:rPr>
        <w:t>reporting measures</w:t>
      </w:r>
      <w:r w:rsidR="00427468">
        <w:rPr>
          <w:kern w:val="0"/>
        </w:rPr>
        <w:t xml:space="preserve"> of </w:t>
      </w:r>
      <w:r>
        <w:rPr>
          <w:kern w:val="0"/>
        </w:rPr>
        <w:t>informed decisions</w:t>
      </w:r>
      <w:r w:rsidR="005853A9">
        <w:rPr>
          <w:kern w:val="0"/>
        </w:rPr>
        <w:t xml:space="preserve"> and </w:t>
      </w:r>
      <w:r>
        <w:rPr>
          <w:kern w:val="0"/>
        </w:rPr>
        <w:t>also cognitive, affective, or behavioural outcomes addressing the decision by such individuals,</w:t>
      </w:r>
      <w:r w:rsidR="00427468">
        <w:rPr>
          <w:kern w:val="0"/>
        </w:rPr>
        <w:t xml:space="preserve"> of </w:t>
      </w:r>
      <w:r>
        <w:rPr>
          <w:kern w:val="0"/>
        </w:rPr>
        <w:t>whether or not to undergo screening. Data collection</w:t>
      </w:r>
      <w:r w:rsidR="005853A9">
        <w:rPr>
          <w:kern w:val="0"/>
        </w:rPr>
        <w:t xml:space="preserve"> and </w:t>
      </w:r>
      <w:r>
        <w:rPr>
          <w:kern w:val="0"/>
        </w:rPr>
        <w:t>analysis Two authors independently assessed each included trial for risk</w:t>
      </w:r>
      <w:r w:rsidR="00427468">
        <w:rPr>
          <w:kern w:val="0"/>
        </w:rPr>
        <w:t xml:space="preserve"> of </w:t>
      </w:r>
      <w:r>
        <w:rPr>
          <w:kern w:val="0"/>
        </w:rPr>
        <w:t>bias,</w:t>
      </w:r>
      <w:r w:rsidR="005853A9">
        <w:rPr>
          <w:kern w:val="0"/>
        </w:rPr>
        <w:t xml:space="preserve"> </w:t>
      </w:r>
      <w:r w:rsidR="005853A9">
        <w:rPr>
          <w:kern w:val="0"/>
        </w:rPr>
        <w:lastRenderedPageBreak/>
        <w:t xml:space="preserve">and </w:t>
      </w:r>
      <w:r>
        <w:rPr>
          <w:kern w:val="0"/>
        </w:rPr>
        <w:t>extracted data. We extracted data about the nature</w:t>
      </w:r>
      <w:r w:rsidR="005853A9">
        <w:rPr>
          <w:kern w:val="0"/>
        </w:rPr>
        <w:t xml:space="preserve"> and </w:t>
      </w:r>
      <w:r>
        <w:rPr>
          <w:kern w:val="0"/>
        </w:rPr>
        <w:t>setting</w:t>
      </w:r>
      <w:r w:rsidR="00427468">
        <w:rPr>
          <w:kern w:val="0"/>
        </w:rPr>
        <w:t xml:space="preserve"> of </w:t>
      </w:r>
      <w:r>
        <w:rPr>
          <w:kern w:val="0"/>
        </w:rPr>
        <w:t>interventions,</w:t>
      </w:r>
      <w:r w:rsidR="005853A9">
        <w:rPr>
          <w:kern w:val="0"/>
        </w:rPr>
        <w:t xml:space="preserve"> and </w:t>
      </w:r>
      <w:r>
        <w:rPr>
          <w:kern w:val="0"/>
        </w:rPr>
        <w:t>relevant outcome data. We used standard statistical methods to combine data using RevMan version 5, including analysis according to different levels</w:t>
      </w:r>
      <w:r w:rsidR="00427468">
        <w:rPr>
          <w:kern w:val="0"/>
        </w:rPr>
        <w:t xml:space="preserve"> of </w:t>
      </w:r>
      <w:r>
        <w:rPr>
          <w:kern w:val="0"/>
        </w:rPr>
        <w:t>detail</w:t>
      </w:r>
      <w:r w:rsidR="00427468">
        <w:rPr>
          <w:kern w:val="0"/>
        </w:rPr>
        <w:t xml:space="preserve"> of </w:t>
      </w:r>
      <w:r>
        <w:rPr>
          <w:kern w:val="0"/>
        </w:rPr>
        <w:t>personalised risk communication, different conditions for screening,</w:t>
      </w:r>
      <w:r w:rsidR="005853A9">
        <w:rPr>
          <w:kern w:val="0"/>
        </w:rPr>
        <w:t xml:space="preserve"> and </w:t>
      </w:r>
      <w:r>
        <w:rPr>
          <w:kern w:val="0"/>
        </w:rPr>
        <w:t xml:space="preserve">studies based only on high-risk participants rather than people at </w:t>
      </w:r>
      <w:r w:rsidR="0071223E">
        <w:rPr>
          <w:kern w:val="0"/>
        </w:rPr>
        <w:t>‘</w:t>
      </w:r>
      <w:r>
        <w:rPr>
          <w:kern w:val="0"/>
        </w:rPr>
        <w:t>average</w:t>
      </w:r>
      <w:r w:rsidR="0071223E">
        <w:rPr>
          <w:kern w:val="0"/>
        </w:rPr>
        <w:t>’</w:t>
      </w:r>
      <w:r>
        <w:rPr>
          <w:kern w:val="0"/>
        </w:rPr>
        <w:t xml:space="preserve"> risk. Main results We included 41 studies involving 28,700 people. Nineteen new studies were identified in this update, adding to the 22 studies included in the previous two iterations</w:t>
      </w:r>
      <w:r w:rsidR="00427468">
        <w:rPr>
          <w:kern w:val="0"/>
        </w:rPr>
        <w:t xml:space="preserve"> of </w:t>
      </w:r>
      <w:r>
        <w:rPr>
          <w:kern w:val="0"/>
        </w:rPr>
        <w:t>the review. Three studies measured informed decision with regard to the uptake</w:t>
      </w:r>
      <w:r w:rsidR="00427468">
        <w:rPr>
          <w:kern w:val="0"/>
        </w:rPr>
        <w:t xml:space="preserve"> of </w:t>
      </w:r>
      <w:r>
        <w:rPr>
          <w:kern w:val="0"/>
        </w:rPr>
        <w:t>screening following personalised risk communication as a part</w:t>
      </w:r>
      <w:r w:rsidR="00427468">
        <w:rPr>
          <w:kern w:val="0"/>
        </w:rPr>
        <w:t xml:space="preserve"> of </w:t>
      </w:r>
      <w:r>
        <w:rPr>
          <w:kern w:val="0"/>
        </w:rPr>
        <w:t>their intervention. All</w:t>
      </w:r>
      <w:r w:rsidR="00427468">
        <w:rPr>
          <w:kern w:val="0"/>
        </w:rPr>
        <w:t xml:space="preserve"> of </w:t>
      </w:r>
      <w:r>
        <w:rPr>
          <w:kern w:val="0"/>
        </w:rPr>
        <w:t>these three studies were at low risk</w:t>
      </w:r>
      <w:r w:rsidR="00427468">
        <w:rPr>
          <w:kern w:val="0"/>
        </w:rPr>
        <w:t xml:space="preserve"> of </w:t>
      </w:r>
      <w:r>
        <w:rPr>
          <w:kern w:val="0"/>
        </w:rPr>
        <w:t>bias</w:t>
      </w:r>
      <w:r w:rsidR="005853A9">
        <w:rPr>
          <w:kern w:val="0"/>
        </w:rPr>
        <w:t xml:space="preserve"> and </w:t>
      </w:r>
      <w:r>
        <w:rPr>
          <w:kern w:val="0"/>
        </w:rPr>
        <w:t>there was strong evidence that the interventions enhanced informed decision making, although with heterogeneous results. Overall 45.2% (592/1309)</w:t>
      </w:r>
      <w:r w:rsidR="00427468">
        <w:rPr>
          <w:kern w:val="0"/>
        </w:rPr>
        <w:t xml:space="preserve"> of </w:t>
      </w:r>
      <w:r>
        <w:rPr>
          <w:kern w:val="0"/>
        </w:rPr>
        <w:t>participants who received personalised risk information made informed choices, compared to 20.2% (229/1135)</w:t>
      </w:r>
      <w:r w:rsidR="00427468">
        <w:rPr>
          <w:kern w:val="0"/>
        </w:rPr>
        <w:t xml:space="preserve"> of </w:t>
      </w:r>
      <w:r>
        <w:rPr>
          <w:kern w:val="0"/>
        </w:rPr>
        <w:t>participants who received generic risk information</w:t>
      </w:r>
      <w:r w:rsidR="00A37C1D">
        <w:rPr>
          <w:kern w:val="0"/>
        </w:rPr>
        <w:t>. The</w:t>
      </w:r>
      <w:r>
        <w:rPr>
          <w:kern w:val="0"/>
        </w:rPr>
        <w:t xml:space="preserve"> overall odds ratio (ORs) for informed decision were 4.48 (95% confidence interval (CI) 3.62 to 5.53 for fixed effect)</w:t>
      </w:r>
      <w:r w:rsidR="005853A9">
        <w:rPr>
          <w:kern w:val="0"/>
        </w:rPr>
        <w:t xml:space="preserve"> and </w:t>
      </w:r>
      <w:r>
        <w:rPr>
          <w:kern w:val="0"/>
        </w:rPr>
        <w:t>3.65 (95% CI 2.13 to 6.23 for random effects). Nine studies measured increase in knowledge, using different scales. All</w:t>
      </w:r>
      <w:r w:rsidR="00427468">
        <w:rPr>
          <w:kern w:val="0"/>
        </w:rPr>
        <w:t xml:space="preserve"> of </w:t>
      </w:r>
      <w:r>
        <w:rPr>
          <w:kern w:val="0"/>
        </w:rPr>
        <w:t>these studies showed an increase in knowledge with personalised risk communication. In three studies the intervention showed a trend towards more accurate risk perception, but the evidence was</w:t>
      </w:r>
      <w:r w:rsidR="00427468">
        <w:rPr>
          <w:kern w:val="0"/>
        </w:rPr>
        <w:t xml:space="preserve"> of </w:t>
      </w:r>
      <w:r>
        <w:rPr>
          <w:kern w:val="0"/>
        </w:rPr>
        <w:t>poor quality. Four out</w:t>
      </w:r>
      <w:r w:rsidR="00427468">
        <w:rPr>
          <w:kern w:val="0"/>
        </w:rPr>
        <w:t xml:space="preserve"> of </w:t>
      </w:r>
      <w:r>
        <w:rPr>
          <w:kern w:val="0"/>
        </w:rPr>
        <w:t>six studies reported non-significant changes in anxiety following personalised risk communication to the participants. Overall there was a small non-significant decrease in the anxiety scores. Most studies (32/41) measured the uptake</w:t>
      </w:r>
      <w:r w:rsidR="00427468">
        <w:rPr>
          <w:kern w:val="0"/>
        </w:rPr>
        <w:t xml:space="preserve"> of </w:t>
      </w:r>
      <w:r>
        <w:rPr>
          <w:kern w:val="0"/>
        </w:rPr>
        <w:t>screening tests following interventions. Our results (OR 1.15 (95% CI 1.02 to 1.29)) constitute low quality evidence, consistent with a small effect, that personalised risk communication in which a risk score was provided (6 studies) or the participants were given their categorised risk (6 studies), increases uptake</w:t>
      </w:r>
      <w:r w:rsidR="00427468">
        <w:rPr>
          <w:kern w:val="0"/>
        </w:rPr>
        <w:t xml:space="preserve"> of </w:t>
      </w:r>
      <w:r>
        <w:rPr>
          <w:kern w:val="0"/>
        </w:rPr>
        <w:t>screening tests. Authors</w:t>
      </w:r>
      <w:r w:rsidR="0071223E">
        <w:rPr>
          <w:kern w:val="0"/>
        </w:rPr>
        <w:t>’</w:t>
      </w:r>
      <w:r>
        <w:rPr>
          <w:kern w:val="0"/>
        </w:rPr>
        <w:t xml:space="preserve"> conclusions There is strong evidence from three trials that personalised risk estimates incorporated within communication interventions for screening programmes enhance informed choices. However the evidence for increasing the uptake</w:t>
      </w:r>
      <w:r w:rsidR="00427468">
        <w:rPr>
          <w:kern w:val="0"/>
        </w:rPr>
        <w:t xml:space="preserve"> of </w:t>
      </w:r>
      <w:r>
        <w:rPr>
          <w:kern w:val="0"/>
        </w:rPr>
        <w:t>such screening tests with similar interventions is weak,</w:t>
      </w:r>
      <w:r w:rsidR="005853A9">
        <w:rPr>
          <w:kern w:val="0"/>
        </w:rPr>
        <w:t xml:space="preserve"> and </w:t>
      </w:r>
      <w:r>
        <w:rPr>
          <w:kern w:val="0"/>
        </w:rPr>
        <w:t>it is not clear if this increase is associated with informed choices. Studies included a diverse range</w:t>
      </w:r>
      <w:r w:rsidR="00427468">
        <w:rPr>
          <w:kern w:val="0"/>
        </w:rPr>
        <w:t xml:space="preserve"> of </w:t>
      </w:r>
      <w:r>
        <w:rPr>
          <w:kern w:val="0"/>
        </w:rPr>
        <w:t>screening programmes</w:t>
      </w:r>
      <w:r w:rsidR="00A37C1D">
        <w:rPr>
          <w:kern w:val="0"/>
        </w:rPr>
        <w:t>. The</w:t>
      </w:r>
      <w:r>
        <w:rPr>
          <w:kern w:val="0"/>
        </w:rPr>
        <w:t>refore, data from this review do not allow us to draw conclusions about the best interventions to deliver personalised risk communication for enhancing informed decisions</w:t>
      </w:r>
      <w:r w:rsidR="00A37C1D">
        <w:rPr>
          <w:kern w:val="0"/>
        </w:rPr>
        <w:t>. The</w:t>
      </w:r>
      <w:r>
        <w:rPr>
          <w:kern w:val="0"/>
        </w:rPr>
        <w:t xml:space="preserve"> results are dominated by findings from the topic area</w:t>
      </w:r>
      <w:r w:rsidR="00427468">
        <w:rPr>
          <w:kern w:val="0"/>
        </w:rPr>
        <w:t xml:space="preserve"> of </w:t>
      </w:r>
      <w:r>
        <w:rPr>
          <w:kern w:val="0"/>
        </w:rPr>
        <w:t>mammography</w:t>
      </w:r>
      <w:r w:rsidR="005853A9">
        <w:rPr>
          <w:kern w:val="0"/>
        </w:rPr>
        <w:t xml:space="preserve"> and </w:t>
      </w:r>
      <w:r>
        <w:rPr>
          <w:kern w:val="0"/>
        </w:rPr>
        <w:t>colorectal cancer. Caution is therefore required in generalising form these results,</w:t>
      </w:r>
      <w:r w:rsidR="005853A9">
        <w:rPr>
          <w:kern w:val="0"/>
        </w:rPr>
        <w:t xml:space="preserve"> and </w:t>
      </w:r>
      <w:r>
        <w:rPr>
          <w:kern w:val="0"/>
        </w:rPr>
        <w:t>particularly for clinical topics other than mammography</w:t>
      </w:r>
      <w:r w:rsidR="005853A9">
        <w:rPr>
          <w:kern w:val="0"/>
        </w:rPr>
        <w:t xml:space="preserve"> and </w:t>
      </w:r>
      <w:r>
        <w:rPr>
          <w:kern w:val="0"/>
        </w:rPr>
        <w:t>colorectal cancer screening.</w:t>
      </w:r>
    </w:p>
    <w:p w:rsidR="00365DE4" w:rsidRDefault="00365DE4" w:rsidP="00365DE4">
      <w:pPr>
        <w:pStyle w:val="a3"/>
        <w:rPr>
          <w:kern w:val="0"/>
        </w:rPr>
      </w:pPr>
      <w:r>
        <w:rPr>
          <w:kern w:val="0"/>
        </w:rPr>
        <w:t xml:space="preserve">Keywords: 1st-Degree Relatives, African-American Women, Analysis, Anxiety, Authors, Bias, Breast-Cancer Risk, Cancer, Cancer Screening, Cervical-Cancer, </w:t>
      </w:r>
      <w:r>
        <w:rPr>
          <w:kern w:val="0"/>
        </w:rPr>
        <w:lastRenderedPageBreak/>
        <w:t xml:space="preserve">Changes, Citation, Clinical, Collection, Colorectal Cancer, Colorectal-Cancer, Communication, Confidence, Consumer Participation [Methods], Criteria, Data, Data Collection, Databases, Decision, Decision Making, Decision-Making, Effects, Embase, Estimates, Evidence, Field, Health, Health Behavior-Change, Humans, Information, Interval, Intervention, Interventions, Knowledge, Language, Low Risk, Mammography, Mammography Use, Mass Screening, </w:t>
      </w:r>
      <w:r w:rsidR="00D5664A">
        <w:rPr>
          <w:kern w:val="0"/>
        </w:rPr>
        <w:t>MEDLINE</w:t>
      </w:r>
      <w:r>
        <w:rPr>
          <w:kern w:val="0"/>
        </w:rPr>
        <w:t>, Methods, Odds Ratio, Outcome, Outcomes, Patient Education As Topic, Perception, Population, Procedures, Programmes, Psycinfo, Public-Health, Quality, Randomised Controlled Trials, Randomized Controlled Trials As Topic, Randomized Controlled-Trial, Reference, Reference Lists, Reporting, Restrictions, Review, Reviews, Risk, Risk Information, Risks, Scales, Science, Science Citation Index, Screening, Screening Tests, Search, Small, Standard, Systematic Reviews, Tailored Interventions, Topic, Trend, Trial, Uptake, Version</w:t>
      </w:r>
    </w:p>
    <w:p w:rsidR="00365DE4" w:rsidRDefault="00365DE4" w:rsidP="00365DE4">
      <w:pPr>
        <w:pStyle w:val="a3"/>
        <w:rPr>
          <w:kern w:val="0"/>
        </w:rPr>
      </w:pPr>
      <w:r>
        <w:rPr>
          <w:kern w:val="0"/>
        </w:rPr>
        <w:t>? Gur</w:t>
      </w:r>
      <w:r w:rsidR="00D5664A">
        <w:rPr>
          <w:kern w:val="0"/>
        </w:rPr>
        <w:t>USA</w:t>
      </w:r>
      <w:r>
        <w:rPr>
          <w:kern w:val="0"/>
        </w:rPr>
        <w:t>my, K.S., Kumar, S.</w:t>
      </w:r>
      <w:r w:rsidR="005853A9">
        <w:rPr>
          <w:kern w:val="0"/>
        </w:rPr>
        <w:t xml:space="preserve"> and </w:t>
      </w:r>
      <w:r>
        <w:rPr>
          <w:kern w:val="0"/>
        </w:rPr>
        <w:t xml:space="preserve">Davidson, B.R. (2013), Prophylactic gastrojejunostomy for unresectable periampullary carcinoma.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CD008533.</w:t>
      </w:r>
    </w:p>
    <w:p w:rsidR="00365DE4" w:rsidRDefault="00365DE4" w:rsidP="00365DE4">
      <w:pPr>
        <w:pStyle w:val="a3"/>
        <w:rPr>
          <w:kern w:val="2"/>
        </w:rPr>
      </w:pPr>
      <w:r>
        <w:t xml:space="preserve">Full Text: 2013\Coc Dat Sys Rev2013, </w:t>
      </w:r>
      <w:r>
        <w:rPr>
          <w:kern w:val="0"/>
        </w:rPr>
        <w:t>CD008533.pdf</w:t>
      </w:r>
    </w:p>
    <w:p w:rsidR="00365DE4" w:rsidRDefault="00365DE4" w:rsidP="00365DE4">
      <w:pPr>
        <w:pStyle w:val="a3"/>
        <w:rPr>
          <w:kern w:val="0"/>
        </w:rPr>
      </w:pPr>
      <w:r>
        <w:rPr>
          <w:kern w:val="0"/>
        </w:rPr>
        <w:t>Abstract: Background The role</w:t>
      </w:r>
      <w:r w:rsidR="00427468">
        <w:rPr>
          <w:kern w:val="0"/>
        </w:rPr>
        <w:t xml:space="preserve"> of </w:t>
      </w:r>
      <w:r>
        <w:rPr>
          <w:kern w:val="0"/>
        </w:rPr>
        <w:t>prophylactic gastrojejunostomy in patients with unresectable periampullary cancer is controversial. Objectives To determine whether prophylactic gastrojejunostomy should be performed routinely in patients with unresectable periampullary cancer. Search methods For the initial version</w:t>
      </w:r>
      <w:r w:rsidR="00427468">
        <w:rPr>
          <w:kern w:val="0"/>
        </w:rPr>
        <w:t xml:space="preserve"> of </w:t>
      </w:r>
      <w:r>
        <w:rPr>
          <w:kern w:val="0"/>
        </w:rPr>
        <w:t>this review, we searched the Cochrane Upper Gastrointestinal</w:t>
      </w:r>
      <w:r w:rsidR="005853A9">
        <w:rPr>
          <w:kern w:val="0"/>
        </w:rPr>
        <w:t xml:space="preserve"> and </w:t>
      </w:r>
      <w:r>
        <w:rPr>
          <w:kern w:val="0"/>
        </w:rPr>
        <w:t>Pancreatic Diseases Group Trials Register, the Cochrane Central Register</w:t>
      </w:r>
      <w:r w:rsidR="00427468">
        <w:rPr>
          <w:kern w:val="0"/>
        </w:rPr>
        <w:t xml:space="preserve"> of </w:t>
      </w:r>
      <w:r>
        <w:rPr>
          <w:kern w:val="0"/>
        </w:rPr>
        <w:t xml:space="preserve">Controlled Trials (CENTRAL) (The Cochrane Library 2010, issue 3), </w:t>
      </w:r>
      <w:r w:rsidR="00D5664A">
        <w:rPr>
          <w:kern w:val="0"/>
        </w:rPr>
        <w:t>MEDLINE</w:t>
      </w:r>
      <w:r>
        <w:rPr>
          <w:kern w:val="0"/>
        </w:rPr>
        <w:t>, EMBASE</w:t>
      </w:r>
      <w:r w:rsidR="005853A9">
        <w:rPr>
          <w:kern w:val="0"/>
        </w:rPr>
        <w:t xml:space="preserve"> and </w:t>
      </w:r>
      <w:r>
        <w:rPr>
          <w:kern w:val="0"/>
        </w:rPr>
        <w:t>Science Citation Index Expanded until April 2010. Literature searches were re-run in August 2012. Selection criteria We included randomised controlled trials comparing prophylactic gastrojejunostomy versus no gastrojejunostomy in patients with unresectable periampullary cancer (irrespective</w:t>
      </w:r>
      <w:r w:rsidR="00427468">
        <w:rPr>
          <w:kern w:val="0"/>
        </w:rPr>
        <w:t xml:space="preserve"> of </w:t>
      </w:r>
      <w:r>
        <w:rPr>
          <w:kern w:val="0"/>
        </w:rPr>
        <w:t>language or publication status). Data collection</w:t>
      </w:r>
      <w:r w:rsidR="005853A9">
        <w:rPr>
          <w:kern w:val="0"/>
        </w:rPr>
        <w:t xml:space="preserve"> and </w:t>
      </w:r>
      <w:r>
        <w:rPr>
          <w:kern w:val="0"/>
        </w:rPr>
        <w:t>analysis Two review authors independently assessed trials for inclusion</w:t>
      </w:r>
      <w:r w:rsidR="005853A9">
        <w:rPr>
          <w:kern w:val="0"/>
        </w:rPr>
        <w:t xml:space="preserve"> and </w:t>
      </w:r>
      <w:r>
        <w:rPr>
          <w:kern w:val="0"/>
        </w:rPr>
        <w:t>independently extracted data. We analysed data with both the fixed-effect</w:t>
      </w:r>
      <w:r w:rsidR="005853A9">
        <w:rPr>
          <w:kern w:val="0"/>
        </w:rPr>
        <w:t xml:space="preserve"> and </w:t>
      </w:r>
      <w:r>
        <w:rPr>
          <w:kern w:val="0"/>
        </w:rPr>
        <w:t>the random-effects models using Review Manager (RevMan). We calculated the hazard ratio (HR), risk ratio (RR),</w:t>
      </w:r>
      <w:r w:rsidR="005853A9">
        <w:rPr>
          <w:kern w:val="0"/>
        </w:rPr>
        <w:t xml:space="preserve"> and </w:t>
      </w:r>
      <w:r>
        <w:rPr>
          <w:kern w:val="0"/>
        </w:rPr>
        <w:t>mean difference (MD) with 95% confidence intervals (CI) based on an intention-to-treat or available case analysis. Main results We identified two trials (of high risk</w:t>
      </w:r>
      <w:r w:rsidR="00427468">
        <w:rPr>
          <w:kern w:val="0"/>
        </w:rPr>
        <w:t xml:space="preserve"> of </w:t>
      </w:r>
      <w:r>
        <w:rPr>
          <w:kern w:val="0"/>
        </w:rPr>
        <w:t>bias) involving 152 patients randomised to gastrojejunostomy (80 patients)</w:t>
      </w:r>
      <w:r w:rsidR="005853A9">
        <w:rPr>
          <w:kern w:val="0"/>
        </w:rPr>
        <w:t xml:space="preserve"> and </w:t>
      </w:r>
      <w:r>
        <w:rPr>
          <w:kern w:val="0"/>
        </w:rPr>
        <w:t>no gastrojejunostomy (72 patients). In both trials, patients were found to be unresectable during exploratory laparotomy. Most</w:t>
      </w:r>
      <w:r w:rsidR="00427468">
        <w:rPr>
          <w:kern w:val="0"/>
        </w:rPr>
        <w:t xml:space="preserve"> of </w:t>
      </w:r>
      <w:r>
        <w:rPr>
          <w:kern w:val="0"/>
        </w:rPr>
        <w:t>the patients also underwent biliary-enteric drainage</w:t>
      </w:r>
      <w:r w:rsidR="00A37C1D">
        <w:rPr>
          <w:kern w:val="0"/>
        </w:rPr>
        <w:t>. The</w:t>
      </w:r>
      <w:r>
        <w:rPr>
          <w:kern w:val="0"/>
        </w:rPr>
        <w:t>re was no evidence</w:t>
      </w:r>
      <w:r w:rsidR="00427468">
        <w:rPr>
          <w:kern w:val="0"/>
        </w:rPr>
        <w:t xml:space="preserve"> of </w:t>
      </w:r>
      <w:r>
        <w:rPr>
          <w:kern w:val="0"/>
        </w:rPr>
        <w:t>difference in the overall survival (HR 1.02; 95% CI 0.84 to 1.25), peri-operative mortality or morbidity, quality</w:t>
      </w:r>
      <w:r w:rsidR="00427468">
        <w:rPr>
          <w:kern w:val="0"/>
        </w:rPr>
        <w:t xml:space="preserve"> of </w:t>
      </w:r>
      <w:r>
        <w:rPr>
          <w:kern w:val="0"/>
        </w:rPr>
        <w:t xml:space="preserve">life, or hospital stay (MD 0.97 days; </w:t>
      </w:r>
      <w:r>
        <w:rPr>
          <w:kern w:val="0"/>
        </w:rPr>
        <w:lastRenderedPageBreak/>
        <w:t>95% CI -0.18 to 2.12) between the two groups</w:t>
      </w:r>
      <w:r w:rsidR="00A37C1D">
        <w:rPr>
          <w:kern w:val="0"/>
        </w:rPr>
        <w:t>. The</w:t>
      </w:r>
      <w:r>
        <w:rPr>
          <w:kern w:val="0"/>
        </w:rPr>
        <w:t xml:space="preserve"> proportion</w:t>
      </w:r>
      <w:r w:rsidR="00427468">
        <w:rPr>
          <w:kern w:val="0"/>
        </w:rPr>
        <w:t xml:space="preserve"> of </w:t>
      </w:r>
      <w:r>
        <w:rPr>
          <w:kern w:val="0"/>
        </w:rPr>
        <w:t>patients who developed long-term gastric outlet obstruction was significantly lower in the prophylactic gastrojejunostomy group (2/80; 2.5%) compared with no gastrojejunostomy group (20/72; 27.8%) (RR 0.10; 95% CI 0.03 to 0.37)</w:t>
      </w:r>
      <w:r w:rsidR="00A37C1D">
        <w:rPr>
          <w:kern w:val="0"/>
        </w:rPr>
        <w:t>. The</w:t>
      </w:r>
      <w:r>
        <w:rPr>
          <w:kern w:val="0"/>
        </w:rPr>
        <w:t xml:space="preserve"> operating time was significantly longer in the gastrojejunostomy group compared with no gastrojejunostomy group (MD 45.00 minutes; 95% CI 21.39 to 68.61). Authors</w:t>
      </w:r>
      <w:r w:rsidR="0071223E">
        <w:rPr>
          <w:kern w:val="0"/>
        </w:rPr>
        <w:t>’</w:t>
      </w:r>
      <w:r>
        <w:rPr>
          <w:kern w:val="0"/>
        </w:rPr>
        <w:t xml:space="preserve"> conclusions Routine prophylactic gastrojejunostomy is indicated in patients with unresectable periampullary cancer undergoing exploratory laparotomy (with or without hepaticojejunostomy).</w:t>
      </w:r>
    </w:p>
    <w:p w:rsidR="00365DE4" w:rsidRDefault="00365DE4" w:rsidP="00365DE4">
      <w:pPr>
        <w:pStyle w:val="a3"/>
        <w:rPr>
          <w:kern w:val="0"/>
        </w:rPr>
      </w:pPr>
      <w:r>
        <w:rPr>
          <w:kern w:val="0"/>
        </w:rPr>
        <w:t>Keywords: Ampulla</w:t>
      </w:r>
      <w:r w:rsidR="00427468">
        <w:rPr>
          <w:kern w:val="0"/>
        </w:rPr>
        <w:t xml:space="preserve"> of </w:t>
      </w:r>
      <w:r>
        <w:rPr>
          <w:kern w:val="0"/>
        </w:rPr>
        <w:t xml:space="preserve">Vater [Surgery], Analysis, Authors, Bias, Cancer, Case Analysis, Citation, Clinical-Trials, Collection, Common Bile Duct Neoplasms [Surgery], Confidence, Confidence Intervals, Criteria, Data, Data Collection, Drainage, Embase, Empirical-Evidence, Evidence, Gastric Bypass [Methods], Gastric Outlet Obstruction, Gastric Outlet Obstruction [Prevention &amp; Control], Gastrointestinal, Groups, Hazard, Hospital, Hospital Stay, Humans, Intervals, Jaundice [Prevention &amp; Control, Language, Laparotomy, Life, Literature, Long Term, Long-Term, </w:t>
      </w:r>
      <w:r w:rsidR="00D5664A">
        <w:rPr>
          <w:kern w:val="0"/>
        </w:rPr>
        <w:t>MEDLINE</w:t>
      </w:r>
      <w:r>
        <w:rPr>
          <w:kern w:val="0"/>
        </w:rPr>
        <w:t>, Metaanalysis, Methods, Models, Morbidity, Mortality, Palliation, Pancreatic-Cancer, Patients, Prophylactic, Prospective Randomized-Trial, Publication, Quality, Quality Of, Quality</w:t>
      </w:r>
      <w:r w:rsidR="00427468">
        <w:rPr>
          <w:kern w:val="0"/>
        </w:rPr>
        <w:t xml:space="preserve"> of </w:t>
      </w:r>
      <w:r>
        <w:rPr>
          <w:kern w:val="0"/>
        </w:rPr>
        <w:t>Life, Quality-Of-Life, Randomised, Randomised Controlled Trials, Randomized Controlled Trials As Topic, Review, Risk, Role, Science, Science Citation Index, Science Citation Index Expanded, Search, Surgery], Surgical Complications, Survival, Version</w:t>
      </w:r>
    </w:p>
    <w:p w:rsidR="00365DE4" w:rsidRDefault="00365DE4" w:rsidP="00365DE4">
      <w:pPr>
        <w:pStyle w:val="a3"/>
        <w:rPr>
          <w:kern w:val="0"/>
        </w:rPr>
      </w:pPr>
      <w:r>
        <w:rPr>
          <w:kern w:val="0"/>
        </w:rPr>
        <w:t>? Livingstone, N., Macdonald, G.</w:t>
      </w:r>
      <w:r w:rsidR="005853A9">
        <w:rPr>
          <w:kern w:val="0"/>
        </w:rPr>
        <w:t xml:space="preserve"> and </w:t>
      </w:r>
      <w:r>
        <w:rPr>
          <w:kern w:val="0"/>
        </w:rPr>
        <w:t xml:space="preserve">Carr, N. (2013), Restorative justice conferencing for reducing recidivism in young offenders (aged 7 to 21).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2</w:t>
      </w:r>
      <w:r>
        <w:rPr>
          <w:kern w:val="0"/>
        </w:rPr>
        <w:t>, Article Number: CD008898.</w:t>
      </w:r>
    </w:p>
    <w:p w:rsidR="00365DE4" w:rsidRDefault="00365DE4" w:rsidP="00365DE4">
      <w:pPr>
        <w:pStyle w:val="a3"/>
        <w:rPr>
          <w:kern w:val="2"/>
        </w:rPr>
      </w:pPr>
      <w:r>
        <w:t xml:space="preserve">Full Text: 2013\Coc Dat Sys Rev2013, </w:t>
      </w:r>
      <w:r>
        <w:rPr>
          <w:kern w:val="0"/>
        </w:rPr>
        <w:t>CD008898.pdf</w:t>
      </w:r>
    </w:p>
    <w:p w:rsidR="00365DE4" w:rsidRDefault="00365DE4" w:rsidP="00365DE4">
      <w:pPr>
        <w:pStyle w:val="a3"/>
        <w:rPr>
          <w:kern w:val="0"/>
        </w:rPr>
      </w:pPr>
      <w:r>
        <w:rPr>
          <w:kern w:val="0"/>
        </w:rPr>
        <w:t>Abstract: Background Restorative justice is “a process whereby parties with a stake in a specific offence resolve collectively how to deal with the aftermath</w:t>
      </w:r>
      <w:r w:rsidR="00427468">
        <w:rPr>
          <w:kern w:val="0"/>
        </w:rPr>
        <w:t xml:space="preserve"> of </w:t>
      </w:r>
      <w:r>
        <w:rPr>
          <w:kern w:val="0"/>
        </w:rPr>
        <w:t>the offence</w:t>
      </w:r>
      <w:r w:rsidR="005853A9">
        <w:rPr>
          <w:kern w:val="0"/>
        </w:rPr>
        <w:t xml:space="preserve"> and </w:t>
      </w:r>
      <w:r>
        <w:rPr>
          <w:kern w:val="0"/>
        </w:rPr>
        <w:t>its implications for the future” (Marshall 2003). Despite the increasing use</w:t>
      </w:r>
      <w:r w:rsidR="00427468">
        <w:rPr>
          <w:kern w:val="0"/>
        </w:rPr>
        <w:t xml:space="preserve"> of </w:t>
      </w:r>
      <w:r>
        <w:rPr>
          <w:kern w:val="0"/>
        </w:rPr>
        <w:t>restorative justice programmes as an alternative to court proceedings, no systematic review has been undertaken</w:t>
      </w:r>
      <w:r w:rsidR="00427468">
        <w:rPr>
          <w:kern w:val="0"/>
        </w:rPr>
        <w:t xml:space="preserve"> of </w:t>
      </w:r>
      <w:r>
        <w:rPr>
          <w:kern w:val="0"/>
        </w:rPr>
        <w:t>the available evidence on the effectiveness</w:t>
      </w:r>
      <w:r w:rsidR="00427468">
        <w:rPr>
          <w:kern w:val="0"/>
        </w:rPr>
        <w:t xml:space="preserve"> of </w:t>
      </w:r>
      <w:r>
        <w:rPr>
          <w:kern w:val="0"/>
        </w:rPr>
        <w:t>these programmes with young offenders. Recidivism in young offenders is a particularly worrying problem, as recent surveys have indicated the frequency</w:t>
      </w:r>
      <w:r w:rsidR="00427468">
        <w:rPr>
          <w:kern w:val="0"/>
        </w:rPr>
        <w:t xml:space="preserve"> of </w:t>
      </w:r>
      <w:r>
        <w:rPr>
          <w:kern w:val="0"/>
        </w:rPr>
        <w:t>re-offences for young offenders has ranged from 40.2% in 2000 to 37.8% in 2007 (Ministry</w:t>
      </w:r>
      <w:r w:rsidR="00427468">
        <w:rPr>
          <w:kern w:val="0"/>
        </w:rPr>
        <w:t xml:space="preserve"> of </w:t>
      </w:r>
      <w:r>
        <w:rPr>
          <w:kern w:val="0"/>
        </w:rPr>
        <w:t>Justice 2009) Objectives To evaluate the effects</w:t>
      </w:r>
      <w:r w:rsidR="00427468">
        <w:rPr>
          <w:kern w:val="0"/>
        </w:rPr>
        <w:t xml:space="preserve"> of </w:t>
      </w:r>
      <w:r>
        <w:rPr>
          <w:kern w:val="0"/>
        </w:rPr>
        <w:t xml:space="preserve">restorative justice conferencing programmes for reducing recidivism in young offenders. Search methods We searched the following databases up to May 2012: CENTRAL, 2012 Issue 5, </w:t>
      </w:r>
      <w:r w:rsidR="00D5664A">
        <w:rPr>
          <w:kern w:val="0"/>
        </w:rPr>
        <w:t>MEDLINE</w:t>
      </w:r>
      <w:r>
        <w:rPr>
          <w:kern w:val="0"/>
        </w:rPr>
        <w:t xml:space="preserve"> (1978 to current), Bibliography</w:t>
      </w:r>
      <w:r w:rsidR="00427468">
        <w:rPr>
          <w:kern w:val="0"/>
        </w:rPr>
        <w:t xml:space="preserve"> of </w:t>
      </w:r>
      <w:r>
        <w:rPr>
          <w:kern w:val="0"/>
        </w:rPr>
        <w:t xml:space="preserve">Nordic Criminology (1999 to current), Index to Theses (1716 to current), PsycINFO (1887 to current), Social Sciences </w:t>
      </w:r>
      <w:r>
        <w:rPr>
          <w:kern w:val="0"/>
        </w:rPr>
        <w:lastRenderedPageBreak/>
        <w:t>Citation Index (1970 to current), Sociological Abstracts (1952 to current), Social Care Online (1985 to current), Restorative Justice Online (1975 to current), Scopus (1823 to current), Science Direct (1823 to current), LILACS (1982 to current), ERIC (1966 to current), Restorative Justice Online (4 May 2012), WorldCat (9 May 2012), ClinicalTrials.gov (19 May 2012)</w:t>
      </w:r>
      <w:r w:rsidR="005853A9">
        <w:rPr>
          <w:kern w:val="0"/>
        </w:rPr>
        <w:t xml:space="preserve"> and </w:t>
      </w:r>
      <w:r>
        <w:rPr>
          <w:kern w:val="0"/>
        </w:rPr>
        <w:t>ICTRP (19 May 2012). ASSIA, National Criminal Justice Reference Service</w:t>
      </w:r>
      <w:r w:rsidR="005853A9">
        <w:rPr>
          <w:kern w:val="0"/>
        </w:rPr>
        <w:t xml:space="preserve"> and </w:t>
      </w:r>
      <w:r>
        <w:rPr>
          <w:kern w:val="0"/>
        </w:rPr>
        <w:t>Social Services Abstracts were searched up to May 2011. Relevant bibliographies, conference programmes</w:t>
      </w:r>
      <w:r w:rsidR="005853A9">
        <w:rPr>
          <w:kern w:val="0"/>
        </w:rPr>
        <w:t xml:space="preserve"> and </w:t>
      </w:r>
      <w:r>
        <w:rPr>
          <w:kern w:val="0"/>
        </w:rPr>
        <w:t>journals were also searched. Selection criteria Randomised controlled trials (RCTs) or quasi-RCTs</w:t>
      </w:r>
      <w:r w:rsidR="00427468">
        <w:rPr>
          <w:kern w:val="0"/>
        </w:rPr>
        <w:t xml:space="preserve"> of </w:t>
      </w:r>
      <w:r>
        <w:rPr>
          <w:kern w:val="0"/>
        </w:rPr>
        <w:t>restorative justice conferencing versus management as usual, in young offenders. Data collection</w:t>
      </w:r>
      <w:r w:rsidR="005853A9">
        <w:rPr>
          <w:kern w:val="0"/>
        </w:rPr>
        <w:t xml:space="preserve"> and </w:t>
      </w:r>
      <w:r>
        <w:rPr>
          <w:kern w:val="0"/>
        </w:rPr>
        <w:t>analysis Two authors independently assessed the risk</w:t>
      </w:r>
      <w:r w:rsidR="00427468">
        <w:rPr>
          <w:kern w:val="0"/>
        </w:rPr>
        <w:t xml:space="preserve"> of </w:t>
      </w:r>
      <w:r>
        <w:rPr>
          <w:kern w:val="0"/>
        </w:rPr>
        <w:t>bias</w:t>
      </w:r>
      <w:r w:rsidR="00427468">
        <w:rPr>
          <w:kern w:val="0"/>
        </w:rPr>
        <w:t xml:space="preserve"> of </w:t>
      </w:r>
      <w:r>
        <w:rPr>
          <w:kern w:val="0"/>
        </w:rPr>
        <w:t>included trials</w:t>
      </w:r>
      <w:r w:rsidR="005853A9">
        <w:rPr>
          <w:kern w:val="0"/>
        </w:rPr>
        <w:t xml:space="preserve"> and </w:t>
      </w:r>
      <w:r>
        <w:rPr>
          <w:kern w:val="0"/>
        </w:rPr>
        <w:t>extracted the data. Where necessary, original investigators were contacted to obtain missing information. Main results Four trials including a total</w:t>
      </w:r>
      <w:r w:rsidR="00427468">
        <w:rPr>
          <w:kern w:val="0"/>
        </w:rPr>
        <w:t xml:space="preserve"> of </w:t>
      </w:r>
      <w:r>
        <w:rPr>
          <w:kern w:val="0"/>
        </w:rPr>
        <w:t>1447 young offenders were included in the review. Results failed to find a significant effect for restorative justice conferencing over normal court procedures for any</w:t>
      </w:r>
      <w:r w:rsidR="00427468">
        <w:rPr>
          <w:kern w:val="0"/>
        </w:rPr>
        <w:t xml:space="preserve"> of </w:t>
      </w:r>
      <w:r>
        <w:rPr>
          <w:kern w:val="0"/>
        </w:rPr>
        <w:t>the main analyses, including number re-arrested (odds ratio (OR) 1.00, 95% confidence interval (CI) 0.59 to 1.71; P = 0.99), monthly rate</w:t>
      </w:r>
      <w:r w:rsidR="00427468">
        <w:rPr>
          <w:kern w:val="0"/>
        </w:rPr>
        <w:t xml:space="preserve"> of </w:t>
      </w:r>
      <w:r>
        <w:rPr>
          <w:kern w:val="0"/>
        </w:rPr>
        <w:t>reoffending (standardised mean difference (SMD) -0.06, 95% CI -0.28 to 0.16; P = 0.61), young person</w:t>
      </w:r>
      <w:r w:rsidR="0071223E">
        <w:rPr>
          <w:kern w:val="0"/>
        </w:rPr>
        <w:t>’</w:t>
      </w:r>
      <w:r>
        <w:rPr>
          <w:kern w:val="0"/>
        </w:rPr>
        <w:t>s remorse following conference (OR 1.73, 95% CI 0.97 to 3.10; P = 0.06), young person</w:t>
      </w:r>
      <w:r w:rsidR="0071223E">
        <w:rPr>
          <w:kern w:val="0"/>
        </w:rPr>
        <w:t>’</w:t>
      </w:r>
      <w:r>
        <w:rPr>
          <w:kern w:val="0"/>
        </w:rPr>
        <w:t>s recognition</w:t>
      </w:r>
      <w:r w:rsidR="00427468">
        <w:rPr>
          <w:kern w:val="0"/>
        </w:rPr>
        <w:t xml:space="preserve"> of </w:t>
      </w:r>
      <w:r>
        <w:rPr>
          <w:kern w:val="0"/>
        </w:rPr>
        <w:t>wrongdoing following conference (OR 1.97, 95% CI 0.81 to 4.80; P = 0.14), young person</w:t>
      </w:r>
      <w:r w:rsidR="0071223E">
        <w:rPr>
          <w:kern w:val="0"/>
        </w:rPr>
        <w:t>’</w:t>
      </w:r>
      <w:r>
        <w:rPr>
          <w:kern w:val="0"/>
        </w:rPr>
        <w:t>s self-perception following conference (OR 0.95, 95% CI 0.55 to 1.63; P = 0.85), young person</w:t>
      </w:r>
      <w:r w:rsidR="0071223E">
        <w:rPr>
          <w:kern w:val="0"/>
        </w:rPr>
        <w:t>’</w:t>
      </w:r>
      <w:r>
        <w:rPr>
          <w:kern w:val="0"/>
        </w:rPr>
        <w:t>s satisfaction following conference (OR 0.42, 95% CI 0.04 to 4.07; P = 0.45)</w:t>
      </w:r>
      <w:r w:rsidR="005853A9">
        <w:rPr>
          <w:kern w:val="0"/>
        </w:rPr>
        <w:t xml:space="preserve"> and </w:t>
      </w:r>
      <w:r>
        <w:rPr>
          <w:kern w:val="0"/>
        </w:rPr>
        <w:t>victim</w:t>
      </w:r>
      <w:r w:rsidR="0071223E">
        <w:rPr>
          <w:kern w:val="0"/>
        </w:rPr>
        <w:t>’</w:t>
      </w:r>
      <w:r>
        <w:rPr>
          <w:kern w:val="0"/>
        </w:rPr>
        <w:t>s satisfaction following conference (OR 4.05, 95% CI 0.56 to 29.04; P = 0.16). A small number</w:t>
      </w:r>
      <w:r w:rsidR="00427468">
        <w:rPr>
          <w:kern w:val="0"/>
        </w:rPr>
        <w:t xml:space="preserve"> of </w:t>
      </w:r>
      <w:r>
        <w:rPr>
          <w:kern w:val="0"/>
        </w:rPr>
        <w:t>sensitivity analyses did indicate significant effects, although all are to be interpreted with caution. Authors</w:t>
      </w:r>
      <w:r w:rsidR="0071223E">
        <w:rPr>
          <w:kern w:val="0"/>
        </w:rPr>
        <w:t>’</w:t>
      </w:r>
      <w:r>
        <w:rPr>
          <w:kern w:val="0"/>
        </w:rPr>
        <w:t xml:space="preserve"> conclusions There is currently a lack</w:t>
      </w:r>
      <w:r w:rsidR="00427468">
        <w:rPr>
          <w:kern w:val="0"/>
        </w:rPr>
        <w:t xml:space="preserve"> of </w:t>
      </w:r>
      <w:r>
        <w:rPr>
          <w:kern w:val="0"/>
        </w:rPr>
        <w:t>high quality evidence regarding the effectiveness</w:t>
      </w:r>
      <w:r w:rsidR="00427468">
        <w:rPr>
          <w:kern w:val="0"/>
        </w:rPr>
        <w:t xml:space="preserve"> of </w:t>
      </w:r>
      <w:r>
        <w:rPr>
          <w:kern w:val="0"/>
        </w:rPr>
        <w:t>restorative justice conferencing for young offenders. Caution is urged in interpreting the results</w:t>
      </w:r>
      <w:r w:rsidR="00427468">
        <w:rPr>
          <w:kern w:val="0"/>
        </w:rPr>
        <w:t xml:space="preserve"> of </w:t>
      </w:r>
      <w:r>
        <w:rPr>
          <w:kern w:val="0"/>
        </w:rPr>
        <w:t>this review considering the small number</w:t>
      </w:r>
      <w:r w:rsidR="00427468">
        <w:rPr>
          <w:kern w:val="0"/>
        </w:rPr>
        <w:t xml:space="preserve"> of </w:t>
      </w:r>
      <w:r>
        <w:rPr>
          <w:kern w:val="0"/>
        </w:rPr>
        <w:t>included studies, subsequent low power</w:t>
      </w:r>
      <w:r w:rsidR="005853A9">
        <w:rPr>
          <w:kern w:val="0"/>
        </w:rPr>
        <w:t xml:space="preserve"> and </w:t>
      </w:r>
      <w:r>
        <w:rPr>
          <w:kern w:val="0"/>
        </w:rPr>
        <w:t>high risk</w:t>
      </w:r>
      <w:r w:rsidR="00427468">
        <w:rPr>
          <w:kern w:val="0"/>
        </w:rPr>
        <w:t xml:space="preserve"> of </w:t>
      </w:r>
      <w:r>
        <w:rPr>
          <w:kern w:val="0"/>
        </w:rPr>
        <w:t>bias</w:t>
      </w:r>
      <w:r w:rsidR="00A37C1D">
        <w:rPr>
          <w:kern w:val="0"/>
        </w:rPr>
        <w:t>. The</w:t>
      </w:r>
      <w:r>
        <w:rPr>
          <w:kern w:val="0"/>
        </w:rPr>
        <w:t xml:space="preserve"> effects may potentially be more evident for victims than offenders</w:t>
      </w:r>
      <w:r w:rsidR="00A37C1D">
        <w:rPr>
          <w:kern w:val="0"/>
        </w:rPr>
        <w:t>. The</w:t>
      </w:r>
      <w:r>
        <w:rPr>
          <w:kern w:val="0"/>
        </w:rPr>
        <w:t xml:space="preserve"> need for further research in this area is highlighted.</w:t>
      </w:r>
    </w:p>
    <w:p w:rsidR="00365DE4" w:rsidRDefault="00365DE4" w:rsidP="00365DE4">
      <w:pPr>
        <w:pStyle w:val="a3"/>
        <w:rPr>
          <w:kern w:val="0"/>
        </w:rPr>
      </w:pPr>
      <w:r>
        <w:rPr>
          <w:kern w:val="0"/>
        </w:rPr>
        <w:t xml:space="preserve">Keywords: Aged, Alternative, Analyses, Analysis, Authors, Bias, Bibliographies, Bibliography, Citation, Collection, Confidence, Criteria, Data, Data Collection, Databases, Effectiveness, Effects, Evidence, Impact, Information, Interval, Journals, Justice, Juvenile Probation Program, Management, </w:t>
      </w:r>
      <w:r w:rsidR="00D5664A">
        <w:rPr>
          <w:kern w:val="0"/>
        </w:rPr>
        <w:t>MEDLINE</w:t>
      </w:r>
      <w:r>
        <w:rPr>
          <w:kern w:val="0"/>
        </w:rPr>
        <w:t>, Methods, Normal, Odds Ratio, Outcomes, P, Police, Power, Procedures, Programmes, Psycinfo, Quality, Randomised Controlled Trials, Recent, Recidivism, Research, Results, Review, Risk, Satisfaction, Science, Scopus, Search, Sensitivity, Small, Social Sciences, Social Sciences Citation Index, Surveys, Systematic Review, Theses</w:t>
      </w:r>
    </w:p>
    <w:p w:rsidR="00D8726F" w:rsidRDefault="00D8726F" w:rsidP="00D8726F">
      <w:pPr>
        <w:pStyle w:val="a3"/>
        <w:rPr>
          <w:kern w:val="0"/>
        </w:rPr>
      </w:pPr>
      <w:r>
        <w:rPr>
          <w:rFonts w:hint="eastAsia"/>
          <w:kern w:val="0"/>
        </w:rPr>
        <w:t xml:space="preserve">? </w:t>
      </w:r>
      <w:r>
        <w:rPr>
          <w:kern w:val="0"/>
        </w:rPr>
        <w:t xml:space="preserve">Malviya, M.N., Ohlsson, A. and Shah, S.S. (2013), Surgical versus medical treatment </w:t>
      </w:r>
      <w:r>
        <w:rPr>
          <w:kern w:val="0"/>
        </w:rPr>
        <w:lastRenderedPageBreak/>
        <w:t xml:space="preserve">with cyclooxygenase inhibitors for symptomatic patent ductus arteriosus in preterm infants.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xml:space="preserve">, Article Number: </w:t>
      </w:r>
      <w:r w:rsidRPr="000873FA">
        <w:rPr>
          <w:kern w:val="0"/>
        </w:rPr>
        <w:t>CD003951</w:t>
      </w:r>
      <w:r>
        <w:rPr>
          <w:kern w:val="0"/>
        </w:rPr>
        <w:t>.</w:t>
      </w:r>
    </w:p>
    <w:p w:rsidR="00D8726F" w:rsidRDefault="00D8726F" w:rsidP="00D8726F">
      <w:pPr>
        <w:pStyle w:val="a3"/>
        <w:rPr>
          <w:kern w:val="2"/>
        </w:rPr>
      </w:pPr>
      <w:r>
        <w:t xml:space="preserve">Full Text: 2013\Coc Dat Sys Rev2013, </w:t>
      </w:r>
      <w:r w:rsidRPr="000873FA">
        <w:rPr>
          <w:kern w:val="0"/>
        </w:rPr>
        <w:t>CD003951</w:t>
      </w:r>
      <w:r>
        <w:rPr>
          <w:kern w:val="0"/>
        </w:rPr>
        <w:t>.pdf</w:t>
      </w:r>
    </w:p>
    <w:p w:rsidR="00D8726F" w:rsidRDefault="00D8726F" w:rsidP="00D8726F">
      <w:pPr>
        <w:pStyle w:val="a3"/>
        <w:rPr>
          <w:kern w:val="0"/>
        </w:rPr>
      </w:pPr>
      <w:r>
        <w:rPr>
          <w:kern w:val="0"/>
        </w:rPr>
        <w:t>Abstract: Background A patent ductus arteriosus (PDA) with significant left to right shunt increases morbidity and mortality in preterm infants. Early closure</w:t>
      </w:r>
      <w:r w:rsidR="00427468">
        <w:rPr>
          <w:kern w:val="0"/>
        </w:rPr>
        <w:t xml:space="preserve"> of </w:t>
      </w:r>
      <w:r>
        <w:rPr>
          <w:kern w:val="0"/>
        </w:rPr>
        <w:t>the ductus arteriosus may be achieved pharmacologically or by surgery</w:t>
      </w:r>
      <w:r w:rsidR="00A37C1D">
        <w:rPr>
          <w:kern w:val="0"/>
        </w:rPr>
        <w:t>. The</w:t>
      </w:r>
      <w:r>
        <w:rPr>
          <w:kern w:val="0"/>
        </w:rPr>
        <w:t xml:space="preserve"> preferred initial treatment</w:t>
      </w:r>
      <w:r w:rsidR="00427468">
        <w:rPr>
          <w:kern w:val="0"/>
        </w:rPr>
        <w:t xml:space="preserve"> of </w:t>
      </w:r>
      <w:r>
        <w:rPr>
          <w:kern w:val="0"/>
        </w:rPr>
        <w:t>a symptomatic PDA, surgical ligation or treatment with indomethacin, is not clear. Objectives To compare the effect</w:t>
      </w:r>
      <w:r w:rsidR="00427468">
        <w:rPr>
          <w:kern w:val="0"/>
        </w:rPr>
        <w:t xml:space="preserve"> of </w:t>
      </w:r>
      <w:r>
        <w:rPr>
          <w:kern w:val="0"/>
        </w:rPr>
        <w:t>surgical ligation</w:t>
      </w:r>
      <w:r w:rsidR="00427468">
        <w:rPr>
          <w:kern w:val="0"/>
        </w:rPr>
        <w:t xml:space="preserve"> of </w:t>
      </w:r>
      <w:r>
        <w:rPr>
          <w:kern w:val="0"/>
        </w:rPr>
        <w:t>PDA versus medical treatment with cyclooxygenase inhibitors (indomethacin, ibuprofen or mefenamic acid), each used as the initial treatment, on neonatal mortality in preterm infants with a symptomatic PDA. Search methods For this update we searched The Cochrane Library 2012, Issue 2, MEDLINE, EMBASE, CINAHL, Clinicaltrials.gov, Controlled-trials.com, Proceedings</w:t>
      </w:r>
      <w:r w:rsidR="00427468">
        <w:rPr>
          <w:kern w:val="0"/>
        </w:rPr>
        <w:t xml:space="preserve"> of </w:t>
      </w:r>
      <w:r>
        <w:rPr>
          <w:kern w:val="0"/>
        </w:rPr>
        <w:t>the Annual Meetings</w:t>
      </w:r>
      <w:r w:rsidR="00427468">
        <w:rPr>
          <w:kern w:val="0"/>
        </w:rPr>
        <w:t xml:space="preserve"> of </w:t>
      </w:r>
      <w:r>
        <w:rPr>
          <w:kern w:val="0"/>
        </w:rPr>
        <w:t>the Pediatric Academic Societies (2000 to 2011) (Abstracts2View (TM)) and Web</w:t>
      </w:r>
      <w:r w:rsidR="00427468">
        <w:rPr>
          <w:kern w:val="0"/>
        </w:rPr>
        <w:t xml:space="preserve"> of </w:t>
      </w:r>
      <w:r>
        <w:rPr>
          <w:kern w:val="0"/>
        </w:rPr>
        <w:t>Science on 8 February 2012. Selection criteria Randomised or quasi-randomised trials in preterm or low birth weight neonates with symptomatic PDA and comparing surgical ligation with medical treatment with cyclooxygenase inhibitors, each used as the initial treatment for closure</w:t>
      </w:r>
      <w:r w:rsidR="00427468">
        <w:rPr>
          <w:kern w:val="0"/>
        </w:rPr>
        <w:t xml:space="preserve"> of </w:t>
      </w:r>
      <w:r>
        <w:rPr>
          <w:kern w:val="0"/>
        </w:rPr>
        <w:t>PDA. Data collection and analysis The authors independently assessed methodological quality and extracted data for the included trial. We used RevMan 5.1 for analyses</w:t>
      </w:r>
      <w:r w:rsidR="00427468">
        <w:rPr>
          <w:kern w:val="0"/>
        </w:rPr>
        <w:t xml:space="preserve"> of </w:t>
      </w:r>
      <w:r>
        <w:rPr>
          <w:kern w:val="0"/>
        </w:rPr>
        <w:t>the data. Main results One study reporting on 154 neonates was found eligible. No significant difference between surgical closure and indomethacin treatment was found for in-hospital mortality, chronic lung disease, necrotising enterocolitis, sepsis, creatinine level or intraventricular haemorrhage</w:t>
      </w:r>
      <w:r w:rsidR="00A37C1D">
        <w:rPr>
          <w:kern w:val="0"/>
        </w:rPr>
        <w:t>. The</w:t>
      </w:r>
      <w:r>
        <w:rPr>
          <w:kern w:val="0"/>
        </w:rPr>
        <w:t>re was a significant increase in the surgical group in the incidence</w:t>
      </w:r>
      <w:r w:rsidR="00427468">
        <w:rPr>
          <w:kern w:val="0"/>
        </w:rPr>
        <w:t xml:space="preserve"> of </w:t>
      </w:r>
      <w:r>
        <w:rPr>
          <w:kern w:val="0"/>
        </w:rPr>
        <w:t>pneumothorax (risk ratio (RR) 2.68; 95% confidence interval (CI) 1.45 to 4.93; risk difference (RD) 0.25; 95% CI 0.11 to 0.38; number needed to treat to harm (NNTH) 4 (95% CI 3 to 9)) and retinopathy</w:t>
      </w:r>
      <w:r w:rsidR="00427468">
        <w:rPr>
          <w:kern w:val="0"/>
        </w:rPr>
        <w:t xml:space="preserve"> of </w:t>
      </w:r>
      <w:r>
        <w:rPr>
          <w:kern w:val="0"/>
        </w:rPr>
        <w:t>prematurity stage III and IV (RR 3.80; 95% CI 1.12 to 12.93; RD 0.11; 95% CI 0.02 to 0.20; NNTH 9 (95% CI 5 to 50)) compared to the indomethacin group</w:t>
      </w:r>
      <w:r w:rsidR="00A37C1D">
        <w:rPr>
          <w:kern w:val="0"/>
        </w:rPr>
        <w:t>. The</w:t>
      </w:r>
      <w:r>
        <w:rPr>
          <w:kern w:val="0"/>
        </w:rPr>
        <w:t>re was a statistically significant decrease in failure</w:t>
      </w:r>
      <w:r w:rsidR="00427468">
        <w:rPr>
          <w:kern w:val="0"/>
        </w:rPr>
        <w:t xml:space="preserve"> of </w:t>
      </w:r>
      <w:r>
        <w:rPr>
          <w:kern w:val="0"/>
        </w:rPr>
        <w:t>ductal closure rate in the surgical group as compared to the indomethacin group (RR 0.04; 95% CI 0.01 to 0.27; RD -0.32; 95% CI -0.43 to -0.21, number needed to treat to benefit (NNTB) 3 (95% CI 2 to 4)). No new trials were identified for inclusion in the 2012 update. Authors</w:t>
      </w:r>
      <w:r w:rsidR="0071223E">
        <w:rPr>
          <w:kern w:val="0"/>
        </w:rPr>
        <w:t>’</w:t>
      </w:r>
      <w:r>
        <w:rPr>
          <w:kern w:val="0"/>
        </w:rPr>
        <w:t xml:space="preserve"> conclusions There are insufficient data to conclude whether surgical ligation or medical treatment with indomethacin is preferred as the initial treatment for symptomatic PDA in preterm infants.</w:t>
      </w:r>
    </w:p>
    <w:p w:rsidR="00D8726F" w:rsidRDefault="00D8726F" w:rsidP="00D8726F">
      <w:pPr>
        <w:pStyle w:val="a3"/>
        <w:rPr>
          <w:kern w:val="0"/>
        </w:rPr>
      </w:pPr>
      <w:r>
        <w:rPr>
          <w:kern w:val="0"/>
        </w:rPr>
        <w:t xml:space="preserve">Keywords: Academic, Analyses, Analysis, Authors, Birth, Birth Weight, Birth-Weight Infants, Blood-Flow-Velocity, Cerebral Hemodynamics, Chronic, Chronic Lung Disease, Closure, Collection, Confidence, Controlled-Trial, Creatinine, Criteria, </w:t>
      </w:r>
      <w:r>
        <w:rPr>
          <w:kern w:val="0"/>
        </w:rPr>
        <w:lastRenderedPageBreak/>
        <w:t>Cyclooxygenase, Cyclooxygenase Inhibitors, Cyclooxygenase Inhibitors [Therapeutic Use], Data, Data Collection, Disease, Ductus Arteriosus, Ductus Arteriosus,Patent [Drug Therapy, Embase, Failure, Haemorrhage, Humans, Incidence, Increased Risk, Indomethacin, Indomethacin [Therapeutic Use], Infant,Newborn, Infant,Premature, Infant,Very Low Birth Weight, Infants, Inhibitors, Interval, Iv, Ligation, Low Birth Weight, Low-Dose Indomethacin, Lung, Medical, Medical Treatment, Medline, Meetings, Methods, Morbidity, Mortality, Necrotizing Enterocolitis, Neonatal, Neonatal Mortality, Neonates, Number Needed To Treat, Patent, Patent Ductus Arteriosus, Premature-Infants, Prematurity, Preterm, Preterm Infants, Prophylactic Indomethacin, Quality, Randomized Controlled Trials As Topic, Reporting, Respiratory-Distress-Syndrome, Retinopathy</w:t>
      </w:r>
      <w:r w:rsidR="00427468">
        <w:rPr>
          <w:kern w:val="0"/>
        </w:rPr>
        <w:t xml:space="preserve"> of </w:t>
      </w:r>
      <w:r>
        <w:rPr>
          <w:kern w:val="0"/>
        </w:rPr>
        <w:t>Prematurity, Right, Risk, Science, Search, Sepsis, Surgery, Surgery], Surgical, Treatment, Trial, Web</w:t>
      </w:r>
      <w:r w:rsidR="00427468">
        <w:rPr>
          <w:kern w:val="0"/>
        </w:rPr>
        <w:t xml:space="preserve"> of </w:t>
      </w:r>
      <w:r>
        <w:rPr>
          <w:kern w:val="0"/>
        </w:rPr>
        <w:t>Science</w:t>
      </w:r>
    </w:p>
    <w:p w:rsidR="00365DE4" w:rsidRDefault="00365DE4" w:rsidP="00365DE4">
      <w:pPr>
        <w:pStyle w:val="a3"/>
        <w:rPr>
          <w:kern w:val="0"/>
        </w:rPr>
      </w:pPr>
      <w:r>
        <w:rPr>
          <w:kern w:val="0"/>
        </w:rPr>
        <w:t>? Visser, J., Snel, M.</w:t>
      </w:r>
      <w:r w:rsidR="005853A9">
        <w:rPr>
          <w:kern w:val="0"/>
        </w:rPr>
        <w:t xml:space="preserve"> and </w:t>
      </w:r>
      <w:r>
        <w:rPr>
          <w:kern w:val="0"/>
        </w:rPr>
        <w:t>Van Vliet, H.A.A.M. (2013), Hormonal versus non-hormonal contraceptives in women with diabetes mellitus type 1</w:t>
      </w:r>
      <w:r w:rsidR="005853A9">
        <w:rPr>
          <w:kern w:val="0"/>
        </w:rPr>
        <w:t xml:space="preserve"> and </w:t>
      </w:r>
      <w:r>
        <w:rPr>
          <w:kern w:val="0"/>
        </w:rPr>
        <w:t xml:space="preserve">2.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CD003990.</w:t>
      </w:r>
    </w:p>
    <w:p w:rsidR="00365DE4" w:rsidRDefault="00365DE4" w:rsidP="00365DE4">
      <w:pPr>
        <w:pStyle w:val="a3"/>
        <w:rPr>
          <w:kern w:val="2"/>
        </w:rPr>
      </w:pPr>
      <w:r>
        <w:t xml:space="preserve">Full Text: 2013\Coc Dat Sys Rev2013, </w:t>
      </w:r>
      <w:r>
        <w:rPr>
          <w:kern w:val="0"/>
        </w:rPr>
        <w:t>CD003990.pdf</w:t>
      </w:r>
    </w:p>
    <w:p w:rsidR="00365DE4" w:rsidRDefault="00365DE4" w:rsidP="00365DE4">
      <w:pPr>
        <w:pStyle w:val="a3"/>
        <w:rPr>
          <w:kern w:val="0"/>
        </w:rPr>
      </w:pPr>
      <w:r>
        <w:rPr>
          <w:kern w:val="0"/>
        </w:rPr>
        <w:t>Abstract: Background Adequate contraceptive advice is important in both women with diabetes mellitus type 1</w:t>
      </w:r>
      <w:r w:rsidR="005853A9">
        <w:rPr>
          <w:kern w:val="0"/>
        </w:rPr>
        <w:t xml:space="preserve"> and </w:t>
      </w:r>
      <w:r>
        <w:rPr>
          <w:kern w:val="0"/>
        </w:rPr>
        <w:t>type 2 to reduce the risk</w:t>
      </w:r>
      <w:r w:rsidR="00427468">
        <w:rPr>
          <w:kern w:val="0"/>
        </w:rPr>
        <w:t xml:space="preserve"> of </w:t>
      </w:r>
      <w:r>
        <w:rPr>
          <w:kern w:val="0"/>
        </w:rPr>
        <w:t>maternal</w:t>
      </w:r>
      <w:r w:rsidR="005853A9">
        <w:rPr>
          <w:kern w:val="0"/>
        </w:rPr>
        <w:t xml:space="preserve"> and </w:t>
      </w:r>
      <w:r>
        <w:rPr>
          <w:kern w:val="0"/>
        </w:rPr>
        <w:t>infant morbidity</w:t>
      </w:r>
      <w:r w:rsidR="005853A9">
        <w:rPr>
          <w:kern w:val="0"/>
        </w:rPr>
        <w:t xml:space="preserve"> and </w:t>
      </w:r>
      <w:r>
        <w:rPr>
          <w:kern w:val="0"/>
        </w:rPr>
        <w:t>mortality in unplanned pregnancies. A wide variety</w:t>
      </w:r>
      <w:r w:rsidR="00427468">
        <w:rPr>
          <w:kern w:val="0"/>
        </w:rPr>
        <w:t xml:space="preserve"> of </w:t>
      </w:r>
      <w:r>
        <w:rPr>
          <w:kern w:val="0"/>
        </w:rPr>
        <w:t>contraceptives are available for these women. However, hormonal contraceptives might influence carbohydrate</w:t>
      </w:r>
      <w:r w:rsidR="005853A9">
        <w:rPr>
          <w:kern w:val="0"/>
        </w:rPr>
        <w:t xml:space="preserve"> and </w:t>
      </w:r>
      <w:r>
        <w:rPr>
          <w:kern w:val="0"/>
        </w:rPr>
        <w:t>lipid metabolism</w:t>
      </w:r>
      <w:r w:rsidR="005853A9">
        <w:rPr>
          <w:kern w:val="0"/>
        </w:rPr>
        <w:t xml:space="preserve"> and </w:t>
      </w:r>
      <w:r>
        <w:rPr>
          <w:kern w:val="0"/>
        </w:rPr>
        <w:t>increase micro-and macrovascular complications, so caution in selecting a contraceptive method is required. Objectives To investigate whether progestogen-only, combined estrogen</w:t>
      </w:r>
      <w:r w:rsidR="005853A9">
        <w:rPr>
          <w:kern w:val="0"/>
        </w:rPr>
        <w:t xml:space="preserve"> and </w:t>
      </w:r>
      <w:r>
        <w:rPr>
          <w:kern w:val="0"/>
        </w:rPr>
        <w:t>progestogen or non-hormonal contraceptives differ in terms</w:t>
      </w:r>
      <w:r w:rsidR="00427468">
        <w:rPr>
          <w:kern w:val="0"/>
        </w:rPr>
        <w:t xml:space="preserve"> of </w:t>
      </w:r>
      <w:r>
        <w:rPr>
          <w:kern w:val="0"/>
        </w:rPr>
        <w:t>effectiveness in preventing pregnancy, in their side effects on carbohydrate</w:t>
      </w:r>
      <w:r w:rsidR="005853A9">
        <w:rPr>
          <w:kern w:val="0"/>
        </w:rPr>
        <w:t xml:space="preserve"> and </w:t>
      </w:r>
      <w:r>
        <w:rPr>
          <w:kern w:val="0"/>
        </w:rPr>
        <w:t>lipid metabolism,</w:t>
      </w:r>
      <w:r w:rsidR="005853A9">
        <w:rPr>
          <w:kern w:val="0"/>
        </w:rPr>
        <w:t xml:space="preserve"> and </w:t>
      </w:r>
      <w:r>
        <w:rPr>
          <w:kern w:val="0"/>
        </w:rPr>
        <w:t>in long-term complications such as micro-</w:t>
      </w:r>
      <w:r w:rsidR="005853A9">
        <w:rPr>
          <w:kern w:val="0"/>
        </w:rPr>
        <w:t xml:space="preserve"> and </w:t>
      </w:r>
      <w:r>
        <w:rPr>
          <w:kern w:val="0"/>
        </w:rPr>
        <w:t xml:space="preserve">macrovascular disease when used in women with diabetes mellitus. Search methods The search was performed in CENTRAL, </w:t>
      </w:r>
      <w:r w:rsidR="00D5664A">
        <w:rPr>
          <w:kern w:val="0"/>
        </w:rPr>
        <w:t>MEDLINE</w:t>
      </w:r>
      <w:r>
        <w:rPr>
          <w:kern w:val="0"/>
        </w:rPr>
        <w:t>, EMBASE, POPLINE, CINAHL, WorldCat, ECO, ArticleFirst, the Science Citation Index, the British Library Inside,</w:t>
      </w:r>
      <w:r w:rsidR="005853A9">
        <w:rPr>
          <w:kern w:val="0"/>
        </w:rPr>
        <w:t xml:space="preserve"> and </w:t>
      </w:r>
      <w:r>
        <w:rPr>
          <w:kern w:val="0"/>
        </w:rPr>
        <w:t>reference lists</w:t>
      </w:r>
      <w:r w:rsidR="00427468">
        <w:rPr>
          <w:kern w:val="0"/>
        </w:rPr>
        <w:t xml:space="preserve"> of </w:t>
      </w:r>
      <w:r>
        <w:rPr>
          <w:kern w:val="0"/>
        </w:rPr>
        <w:t>relevant articles</w:t>
      </w:r>
      <w:r w:rsidR="00A37C1D">
        <w:rPr>
          <w:kern w:val="0"/>
        </w:rPr>
        <w:t>. The</w:t>
      </w:r>
      <w:r>
        <w:rPr>
          <w:kern w:val="0"/>
        </w:rPr>
        <w:t xml:space="preserve"> last search was performed in January 2013. In addition, experts in the field</w:t>
      </w:r>
      <w:r w:rsidR="005853A9">
        <w:rPr>
          <w:kern w:val="0"/>
        </w:rPr>
        <w:t xml:space="preserve"> and </w:t>
      </w:r>
      <w:r>
        <w:rPr>
          <w:kern w:val="0"/>
        </w:rPr>
        <w:t>pharmaceutical companies marketing contraceptives were contacted to identify published, unpublished or ongoing studies. Selection criteria Randomised</w:t>
      </w:r>
      <w:r w:rsidR="005853A9">
        <w:rPr>
          <w:kern w:val="0"/>
        </w:rPr>
        <w:t xml:space="preserve"> and </w:t>
      </w:r>
      <w:r>
        <w:rPr>
          <w:kern w:val="0"/>
        </w:rPr>
        <w:t>quasi-randomised controlled trials that studied women with diabetes mellitus comparing: 1. hormonal versus non-hormonal contraceptives; 2. progestogen-only versus estrogen</w:t>
      </w:r>
      <w:r w:rsidR="005853A9">
        <w:rPr>
          <w:kern w:val="0"/>
        </w:rPr>
        <w:t xml:space="preserve"> and </w:t>
      </w:r>
      <w:r>
        <w:rPr>
          <w:kern w:val="0"/>
        </w:rPr>
        <w:t>progestogen contraceptives; 3. contraceptives containing &lt; 50 mu g estrogen versus contraceptives containing &gt;= 50 mu g estrogen;</w:t>
      </w:r>
      <w:r w:rsidR="005853A9">
        <w:rPr>
          <w:kern w:val="0"/>
        </w:rPr>
        <w:t xml:space="preserve"> and </w:t>
      </w:r>
      <w:r>
        <w:rPr>
          <w:kern w:val="0"/>
        </w:rPr>
        <w:t>4. contraceptives containing first-, second-and third-generation progestogens, drospirenone</w:t>
      </w:r>
      <w:r w:rsidR="005853A9">
        <w:rPr>
          <w:kern w:val="0"/>
        </w:rPr>
        <w:t xml:space="preserve"> and </w:t>
      </w:r>
      <w:r>
        <w:rPr>
          <w:kern w:val="0"/>
        </w:rPr>
        <w:t>cyproterone acetate</w:t>
      </w:r>
      <w:r w:rsidR="00A37C1D">
        <w:rPr>
          <w:kern w:val="0"/>
        </w:rPr>
        <w:t>. The</w:t>
      </w:r>
      <w:r>
        <w:rPr>
          <w:kern w:val="0"/>
        </w:rPr>
        <w:t xml:space="preserve"> principal outcomes were contraceptive </w:t>
      </w:r>
      <w:r>
        <w:rPr>
          <w:kern w:val="0"/>
        </w:rPr>
        <w:lastRenderedPageBreak/>
        <w:t>effectiveness, diabetes control, lipid metabolism</w:t>
      </w:r>
      <w:r w:rsidR="005853A9">
        <w:rPr>
          <w:kern w:val="0"/>
        </w:rPr>
        <w:t xml:space="preserve"> and </w:t>
      </w:r>
      <w:r>
        <w:rPr>
          <w:kern w:val="0"/>
        </w:rPr>
        <w:t>micro-and macrovascular complications. Data collection</w:t>
      </w:r>
      <w:r w:rsidR="005853A9">
        <w:rPr>
          <w:kern w:val="0"/>
        </w:rPr>
        <w:t xml:space="preserve"> and </w:t>
      </w:r>
      <w:r>
        <w:rPr>
          <w:kern w:val="0"/>
        </w:rPr>
        <w:t>analysis Two investigators evaluated the titles</w:t>
      </w:r>
      <w:r w:rsidR="005853A9">
        <w:rPr>
          <w:kern w:val="0"/>
        </w:rPr>
        <w:t xml:space="preserve"> and </w:t>
      </w:r>
      <w:r>
        <w:rPr>
          <w:kern w:val="0"/>
        </w:rPr>
        <w:t>abstracts identified from the literature search. Quality assessment was performed independently with discrepancies resolved by discussion or consulting a third review author. Because the trials differed in studied contraceptives, participant characteristics</w:t>
      </w:r>
      <w:r w:rsidR="005853A9">
        <w:rPr>
          <w:kern w:val="0"/>
        </w:rPr>
        <w:t xml:space="preserve"> and </w:t>
      </w:r>
      <w:r>
        <w:rPr>
          <w:kern w:val="0"/>
        </w:rPr>
        <w:t>methodological quality, we could not combine the data in a meta-analysis</w:t>
      </w:r>
      <w:r w:rsidR="00A37C1D">
        <w:rPr>
          <w:kern w:val="0"/>
        </w:rPr>
        <w:t>. The</w:t>
      </w:r>
      <w:r>
        <w:rPr>
          <w:kern w:val="0"/>
        </w:rPr>
        <w:t xml:space="preserve"> trials were therefore examined on an individual basis</w:t>
      </w:r>
      <w:r w:rsidR="005853A9">
        <w:rPr>
          <w:kern w:val="0"/>
        </w:rPr>
        <w:t xml:space="preserve"> and </w:t>
      </w:r>
      <w:r>
        <w:rPr>
          <w:kern w:val="0"/>
        </w:rPr>
        <w:t>narrative summaries were provided. Main results Four randomised controlled trials were included. No unintended pregnancies were reported during the study periods. Only one trial was</w:t>
      </w:r>
      <w:r w:rsidR="00427468">
        <w:rPr>
          <w:kern w:val="0"/>
        </w:rPr>
        <w:t xml:space="preserve"> of </w:t>
      </w:r>
      <w:r>
        <w:rPr>
          <w:kern w:val="0"/>
        </w:rPr>
        <w:t>good methodological quality. It compared the influence</w:t>
      </w:r>
      <w:r w:rsidR="00427468">
        <w:rPr>
          <w:kern w:val="0"/>
        </w:rPr>
        <w:t xml:space="preserve"> of </w:t>
      </w:r>
      <w:r>
        <w:rPr>
          <w:kern w:val="0"/>
        </w:rPr>
        <w:t>a levonorgestrel-releasing intrauterine device (IUD) versus a copper IUD on carbohydrate metabolism in women with type 1 diabetes mellitus. No significant difference was found between the two groups</w:t>
      </w:r>
      <w:r w:rsidR="00A37C1D">
        <w:rPr>
          <w:kern w:val="0"/>
        </w:rPr>
        <w:t>. The</w:t>
      </w:r>
      <w:r>
        <w:rPr>
          <w:kern w:val="0"/>
        </w:rPr>
        <w:t xml:space="preserve"> other three trials were</w:t>
      </w:r>
      <w:r w:rsidR="00427468">
        <w:rPr>
          <w:kern w:val="0"/>
        </w:rPr>
        <w:t xml:space="preserve"> of </w:t>
      </w:r>
      <w:r>
        <w:rPr>
          <w:kern w:val="0"/>
        </w:rPr>
        <w:t>limited methodological quality. Two compared progestogen-only pills with different estrogen</w:t>
      </w:r>
      <w:r w:rsidR="005853A9">
        <w:rPr>
          <w:kern w:val="0"/>
        </w:rPr>
        <w:t xml:space="preserve"> and </w:t>
      </w:r>
      <w:r>
        <w:rPr>
          <w:kern w:val="0"/>
        </w:rPr>
        <w:t>progestogen combinations,</w:t>
      </w:r>
      <w:r w:rsidR="005853A9">
        <w:rPr>
          <w:kern w:val="0"/>
        </w:rPr>
        <w:t xml:space="preserve"> and </w:t>
      </w:r>
      <w:r>
        <w:rPr>
          <w:kern w:val="0"/>
        </w:rPr>
        <w:t>one also included the levonorgestrel-releasing IUD</w:t>
      </w:r>
      <w:r w:rsidR="005853A9">
        <w:rPr>
          <w:kern w:val="0"/>
        </w:rPr>
        <w:t xml:space="preserve"> and </w:t>
      </w:r>
      <w:r>
        <w:rPr>
          <w:kern w:val="0"/>
        </w:rPr>
        <w:t>copper IUD</w:t>
      </w:r>
      <w:r w:rsidR="00A37C1D">
        <w:rPr>
          <w:kern w:val="0"/>
        </w:rPr>
        <w:t>. The</w:t>
      </w:r>
      <w:r>
        <w:rPr>
          <w:kern w:val="0"/>
        </w:rPr>
        <w:t xml:space="preserve"> trials reported that blood glucose levels remained stable during treatment with most regimens. Only high-dose combined oral contraceptives</w:t>
      </w:r>
      <w:r w:rsidR="005853A9">
        <w:rPr>
          <w:kern w:val="0"/>
        </w:rPr>
        <w:t xml:space="preserve"> and </w:t>
      </w:r>
      <w:r>
        <w:rPr>
          <w:kern w:val="0"/>
        </w:rPr>
        <w:t>30 mu g ethinylestradiol + 75 mu g gestodene were identified as slightly impairing glucose homeostasis</w:t>
      </w:r>
      <w:r w:rsidR="00A37C1D">
        <w:rPr>
          <w:kern w:val="0"/>
        </w:rPr>
        <w:t>. The</w:t>
      </w:r>
      <w:r>
        <w:rPr>
          <w:kern w:val="0"/>
        </w:rPr>
        <w:t xml:space="preserve"> three studies found conflicting results regarding lipid metabolism. Some combined oral contraceptives appeared to have a minor adverse effect while others appeared to slightly improve lipid metabolism</w:t>
      </w:r>
      <w:r w:rsidR="00A37C1D">
        <w:rPr>
          <w:kern w:val="0"/>
        </w:rPr>
        <w:t>. The</w:t>
      </w:r>
      <w:r>
        <w:rPr>
          <w:kern w:val="0"/>
        </w:rPr>
        <w:t xml:space="preserve"> copper IUD</w:t>
      </w:r>
      <w:r w:rsidR="005853A9">
        <w:rPr>
          <w:kern w:val="0"/>
        </w:rPr>
        <w:t xml:space="preserve"> and </w:t>
      </w:r>
      <w:r>
        <w:rPr>
          <w:kern w:val="0"/>
        </w:rPr>
        <w:t>progestogen-only oral contraceptives also slightly improved lipid metabolism</w:t>
      </w:r>
      <w:r w:rsidR="005853A9">
        <w:rPr>
          <w:kern w:val="0"/>
        </w:rPr>
        <w:t xml:space="preserve"> and </w:t>
      </w:r>
      <w:r>
        <w:rPr>
          <w:kern w:val="0"/>
        </w:rPr>
        <w:t>no influence was seen while using the levonorgestel-releasing IUD. Only one study reported on micro-and macrovascular complications. It observed no signs or symptoms</w:t>
      </w:r>
      <w:r w:rsidR="00427468">
        <w:rPr>
          <w:kern w:val="0"/>
        </w:rPr>
        <w:t xml:space="preserve"> of </w:t>
      </w:r>
      <w:r>
        <w:rPr>
          <w:kern w:val="0"/>
        </w:rPr>
        <w:t>thromboembolic incidents or visual disturbances, however study duration was short. Only minor adverse effects were reported in two studies. Authors</w:t>
      </w:r>
      <w:r w:rsidR="0071223E">
        <w:rPr>
          <w:kern w:val="0"/>
        </w:rPr>
        <w:t>’</w:t>
      </w:r>
      <w:r>
        <w:rPr>
          <w:kern w:val="0"/>
        </w:rPr>
        <w:t xml:space="preserve"> conclusions The four included randomised controlled trials in this systematic review provided insufficient evidence to assess whether progestogen-only</w:t>
      </w:r>
      <w:r w:rsidR="005853A9">
        <w:rPr>
          <w:kern w:val="0"/>
        </w:rPr>
        <w:t xml:space="preserve"> and </w:t>
      </w:r>
      <w:r>
        <w:rPr>
          <w:kern w:val="0"/>
        </w:rPr>
        <w:t>combined contraceptives differ from non-hormonal contraceptives in diabetes control, lipid metabolism</w:t>
      </w:r>
      <w:r w:rsidR="005853A9">
        <w:rPr>
          <w:kern w:val="0"/>
        </w:rPr>
        <w:t xml:space="preserve"> and </w:t>
      </w:r>
      <w:r>
        <w:rPr>
          <w:kern w:val="0"/>
        </w:rPr>
        <w:t>complications. Three</w:t>
      </w:r>
      <w:r w:rsidR="00427468">
        <w:rPr>
          <w:kern w:val="0"/>
        </w:rPr>
        <w:t xml:space="preserve"> of </w:t>
      </w:r>
      <w:r>
        <w:rPr>
          <w:kern w:val="0"/>
        </w:rPr>
        <w:t>the four studies were</w:t>
      </w:r>
      <w:r w:rsidR="00427468">
        <w:rPr>
          <w:kern w:val="0"/>
        </w:rPr>
        <w:t xml:space="preserve"> of </w:t>
      </w:r>
      <w:r>
        <w:rPr>
          <w:kern w:val="0"/>
        </w:rPr>
        <w:t>limited methodological quality, sponsored by pharmaceutical companies</w:t>
      </w:r>
      <w:r w:rsidR="005853A9">
        <w:rPr>
          <w:kern w:val="0"/>
        </w:rPr>
        <w:t xml:space="preserve"> and </w:t>
      </w:r>
      <w:r>
        <w:rPr>
          <w:kern w:val="0"/>
        </w:rPr>
        <w:t>described surrogate outcomes. Ideally, an adequately reported, high-quality randomised controlled trial analysing both intermediate outcomes (that is glucose</w:t>
      </w:r>
      <w:r w:rsidR="005853A9">
        <w:rPr>
          <w:kern w:val="0"/>
        </w:rPr>
        <w:t xml:space="preserve"> and </w:t>
      </w:r>
      <w:r>
        <w:rPr>
          <w:kern w:val="0"/>
        </w:rPr>
        <w:t>lipid metabolism)</w:t>
      </w:r>
      <w:r w:rsidR="005853A9">
        <w:rPr>
          <w:kern w:val="0"/>
        </w:rPr>
        <w:t xml:space="preserve"> and </w:t>
      </w:r>
      <w:r>
        <w:rPr>
          <w:kern w:val="0"/>
        </w:rPr>
        <w:t>true clinical endpoints (micro-and macrovascular disease) in users</w:t>
      </w:r>
      <w:r w:rsidR="00427468">
        <w:rPr>
          <w:kern w:val="0"/>
        </w:rPr>
        <w:t xml:space="preserve"> of </w:t>
      </w:r>
      <w:r>
        <w:rPr>
          <w:kern w:val="0"/>
        </w:rPr>
        <w:t>combined, progestogen-only</w:t>
      </w:r>
      <w:r w:rsidR="005853A9">
        <w:rPr>
          <w:kern w:val="0"/>
        </w:rPr>
        <w:t xml:space="preserve"> and </w:t>
      </w:r>
      <w:r>
        <w:rPr>
          <w:kern w:val="0"/>
        </w:rPr>
        <w:t>non-hormonal contraceptives should be conducted. However, due to the low incidence</w:t>
      </w:r>
      <w:r w:rsidR="00427468">
        <w:rPr>
          <w:kern w:val="0"/>
        </w:rPr>
        <w:t xml:space="preserve"> of </w:t>
      </w:r>
      <w:r>
        <w:rPr>
          <w:kern w:val="0"/>
        </w:rPr>
        <w:t>micro-and macrovascular disease</w:t>
      </w:r>
      <w:r w:rsidR="005853A9">
        <w:rPr>
          <w:kern w:val="0"/>
        </w:rPr>
        <w:t xml:space="preserve"> and </w:t>
      </w:r>
      <w:r>
        <w:rPr>
          <w:kern w:val="0"/>
        </w:rPr>
        <w:t>accordingly the large sample size</w:t>
      </w:r>
      <w:r w:rsidR="005853A9">
        <w:rPr>
          <w:kern w:val="0"/>
        </w:rPr>
        <w:t xml:space="preserve"> and </w:t>
      </w:r>
      <w:r>
        <w:rPr>
          <w:kern w:val="0"/>
        </w:rPr>
        <w:t>long follow-up period needed to observe differences in risk, a randomised controlled trial might not be the ideal design.</w:t>
      </w:r>
    </w:p>
    <w:p w:rsidR="00365DE4" w:rsidRDefault="00365DE4" w:rsidP="00365DE4">
      <w:pPr>
        <w:pStyle w:val="a3"/>
        <w:rPr>
          <w:kern w:val="0"/>
        </w:rPr>
      </w:pPr>
      <w:r>
        <w:rPr>
          <w:kern w:val="0"/>
        </w:rPr>
        <w:lastRenderedPageBreak/>
        <w:t xml:space="preserve">Keywords: Acetate, Adverse Effects, Analysis, Assessment, Blood, Blood Glucose, Blood Glucose [Metabolism], Carbohydrate-Metabolism, Characteristics, Citation, Clinical, Collection, Complications, Contraceptive Agents,Female [Administration &amp; Dosage], Contraceptives, Contraceptives,Oral,Hormonal [Administration &amp; Dosage], Control, Controlled Trial, Copper, Criteria, Data, Data Collection, Design, Diabetes, Diabetes Mellitus, Diabetes Mellitus,Type 1 [Blood], Diabetes Mellitus,Type 2 [Blood], Disease, Disturbances, Duration, Effectiveness, Effects, Embase, Estrogen, Ethinylestradiol, Evidence, Experts, Female, Field, First, Follow-Up, Formulations, Glucose, Glucose-Tolerance, Groups, Healthy Population, Heart-Disease Mortality, High Dose, Humans, Incidence, Infant, Infant Morbidity, Intrauterine, Intrauterine Device, Lipid, Lipid Metabolism, Lipid Metabolism [Drug Effects], Literature, Long Term, Long-Term, Marketing, Maternal, </w:t>
      </w:r>
      <w:r w:rsidR="00D5664A">
        <w:rPr>
          <w:kern w:val="0"/>
        </w:rPr>
        <w:t>MEDLINE</w:t>
      </w:r>
      <w:r>
        <w:rPr>
          <w:kern w:val="0"/>
        </w:rPr>
        <w:t>, Meta Analysis, Meta-Analysis, Metaanalysis, Metabolism, Methods, Minor, Morbidity, Mortality, Oral, Oral-Contraceptives, Outcomes, Pregnancy, Progestins [Administration &amp; Dosage], Progestogen, Quality, Quality Assessment, Randomised, Randomised Controlled Trial, Randomised Controlled Trials, Randomized Controlled Trials As Topic, Randomized-Trials, Reference, Reference Lists, Reproductive-Age Women, Review, Risk, Sample Size, Science, Science Citation Index, Search, Side Effects, Size, Surrogate, Symptoms, System, Systematic Review, Treatment, Trial, Type 1 Diabetes Mellitus, Women</w:t>
      </w:r>
    </w:p>
    <w:p w:rsidR="00365DE4" w:rsidRDefault="00365DE4" w:rsidP="00365DE4">
      <w:pPr>
        <w:pStyle w:val="a3"/>
        <w:rPr>
          <w:kern w:val="0"/>
        </w:rPr>
      </w:pPr>
      <w:r>
        <w:rPr>
          <w:kern w:val="0"/>
        </w:rPr>
        <w:t>? Mason, A.R., Mason, J., Cork, M., Dooley, G.</w:t>
      </w:r>
      <w:r w:rsidR="005853A9">
        <w:rPr>
          <w:kern w:val="0"/>
        </w:rPr>
        <w:t xml:space="preserve"> and </w:t>
      </w:r>
      <w:r>
        <w:rPr>
          <w:kern w:val="0"/>
        </w:rPr>
        <w:t xml:space="preserve">Hancock, H. (2013), Topical treatments for chronic plaque psoriasis.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CD005028.</w:t>
      </w:r>
    </w:p>
    <w:p w:rsidR="00365DE4" w:rsidRDefault="00365DE4" w:rsidP="00365DE4">
      <w:pPr>
        <w:pStyle w:val="a3"/>
        <w:rPr>
          <w:kern w:val="2"/>
        </w:rPr>
      </w:pPr>
      <w:r>
        <w:t xml:space="preserve">Full Text: 2013\Coc Dat Sys Rev2013, </w:t>
      </w:r>
      <w:r>
        <w:rPr>
          <w:kern w:val="0"/>
        </w:rPr>
        <w:t>CD005028.pdf</w:t>
      </w:r>
    </w:p>
    <w:p w:rsidR="00365DE4" w:rsidRDefault="00365DE4" w:rsidP="00365DE4">
      <w:pPr>
        <w:pStyle w:val="a3"/>
        <w:rPr>
          <w:kern w:val="0"/>
        </w:rPr>
      </w:pPr>
      <w:r>
        <w:rPr>
          <w:kern w:val="0"/>
        </w:rPr>
        <w:t>Abstract: Background Chronic plaque psoriasis is the most common type</w:t>
      </w:r>
      <w:r w:rsidR="00427468">
        <w:rPr>
          <w:kern w:val="0"/>
        </w:rPr>
        <w:t xml:space="preserve"> of </w:t>
      </w:r>
      <w:r>
        <w:rPr>
          <w:kern w:val="0"/>
        </w:rPr>
        <w:t>psoriasis,</w:t>
      </w:r>
      <w:r w:rsidR="005853A9">
        <w:rPr>
          <w:kern w:val="0"/>
        </w:rPr>
        <w:t xml:space="preserve"> and </w:t>
      </w:r>
      <w:r>
        <w:rPr>
          <w:kern w:val="0"/>
        </w:rPr>
        <w:t>it is characterised by redness, thickness,</w:t>
      </w:r>
      <w:r w:rsidR="005853A9">
        <w:rPr>
          <w:kern w:val="0"/>
        </w:rPr>
        <w:t xml:space="preserve"> and </w:t>
      </w:r>
      <w:r>
        <w:rPr>
          <w:kern w:val="0"/>
        </w:rPr>
        <w:t>scaling. First-line management</w:t>
      </w:r>
      <w:r w:rsidR="00427468">
        <w:rPr>
          <w:kern w:val="0"/>
        </w:rPr>
        <w:t xml:space="preserve"> of </w:t>
      </w:r>
      <w:r>
        <w:rPr>
          <w:kern w:val="0"/>
        </w:rPr>
        <w:t>chronic plaque psoriasis is with topical treatments, including vitamin D analogues, topical corticosteroids, tar-based preparations, dithranol, salicylic acid,</w:t>
      </w:r>
      <w:r w:rsidR="005853A9">
        <w:rPr>
          <w:kern w:val="0"/>
        </w:rPr>
        <w:t xml:space="preserve"> and </w:t>
      </w:r>
      <w:r>
        <w:rPr>
          <w:kern w:val="0"/>
        </w:rPr>
        <w:t>topical retinoids. Objectives To compare the effectiveness, tolerability,</w:t>
      </w:r>
      <w:r w:rsidR="005853A9">
        <w:rPr>
          <w:kern w:val="0"/>
        </w:rPr>
        <w:t xml:space="preserve"> and </w:t>
      </w:r>
      <w:r>
        <w:rPr>
          <w:kern w:val="0"/>
        </w:rPr>
        <w:t>safety</w:t>
      </w:r>
      <w:r w:rsidR="00427468">
        <w:rPr>
          <w:kern w:val="0"/>
        </w:rPr>
        <w:t xml:space="preserve"> of </w:t>
      </w:r>
      <w:r>
        <w:rPr>
          <w:kern w:val="0"/>
        </w:rPr>
        <w:t>topical treatments for chronic plaque psoriasis, relative to placebo,</w:t>
      </w:r>
      <w:r w:rsidR="005853A9">
        <w:rPr>
          <w:kern w:val="0"/>
        </w:rPr>
        <w:t xml:space="preserve"> and </w:t>
      </w:r>
      <w:r>
        <w:rPr>
          <w:kern w:val="0"/>
        </w:rPr>
        <w:t>to similarly compare vitamin D analogues (used alone or in combination) with other topical treatments. Search methods We updated our searches</w:t>
      </w:r>
      <w:r w:rsidR="00427468">
        <w:rPr>
          <w:kern w:val="0"/>
        </w:rPr>
        <w:t xml:space="preserve"> of </w:t>
      </w:r>
      <w:r>
        <w:rPr>
          <w:kern w:val="0"/>
        </w:rPr>
        <w:t xml:space="preserve">the following databases to February 2011: the Cochrane Skin Group Specialised Register, CENTRAL in The Cochrane Library (2011, Issue 2), </w:t>
      </w:r>
      <w:r w:rsidR="00D5664A">
        <w:rPr>
          <w:kern w:val="0"/>
        </w:rPr>
        <w:t>MEDLINE</w:t>
      </w:r>
      <w:r>
        <w:rPr>
          <w:kern w:val="0"/>
        </w:rPr>
        <w:t xml:space="preserve"> (from 1948), EMBASE (from 1980), Science Citation Index (from 2008), Conference Proceedings Citation Index - Science (from 2008), BIOSIS (from 1993), Dissertation Abstracts via DialogClassic (all publication years),</w:t>
      </w:r>
      <w:r w:rsidR="005853A9">
        <w:rPr>
          <w:kern w:val="0"/>
        </w:rPr>
        <w:t xml:space="preserve"> and </w:t>
      </w:r>
      <w:r>
        <w:rPr>
          <w:kern w:val="0"/>
        </w:rPr>
        <w:t>Inside Conferences (all publication years). We identified ongoing</w:t>
      </w:r>
      <w:r w:rsidR="005853A9">
        <w:rPr>
          <w:kern w:val="0"/>
        </w:rPr>
        <w:t xml:space="preserve"> and </w:t>
      </w:r>
      <w:r>
        <w:rPr>
          <w:kern w:val="0"/>
        </w:rPr>
        <w:t>unpublished studies from the UK Clinical Research Network Study Portfolio</w:t>
      </w:r>
      <w:r w:rsidR="005853A9">
        <w:rPr>
          <w:kern w:val="0"/>
        </w:rPr>
        <w:t xml:space="preserve"> and </w:t>
      </w:r>
      <w:r>
        <w:rPr>
          <w:kern w:val="0"/>
        </w:rPr>
        <w:t>the metaRegister</w:t>
      </w:r>
      <w:r w:rsidR="00427468">
        <w:rPr>
          <w:kern w:val="0"/>
        </w:rPr>
        <w:t xml:space="preserve"> of </w:t>
      </w:r>
      <w:r>
        <w:rPr>
          <w:kern w:val="0"/>
        </w:rPr>
        <w:t>Controlled Trials. We checked the bibliographies</w:t>
      </w:r>
      <w:r w:rsidR="00427468">
        <w:rPr>
          <w:kern w:val="0"/>
        </w:rPr>
        <w:t xml:space="preserve"> of </w:t>
      </w:r>
      <w:r>
        <w:rPr>
          <w:kern w:val="0"/>
        </w:rPr>
        <w:t xml:space="preserve">published </w:t>
      </w:r>
      <w:r>
        <w:rPr>
          <w:kern w:val="0"/>
        </w:rPr>
        <w:lastRenderedPageBreak/>
        <w:t>studies</w:t>
      </w:r>
      <w:r w:rsidR="005853A9">
        <w:rPr>
          <w:kern w:val="0"/>
        </w:rPr>
        <w:t xml:space="preserve"> and </w:t>
      </w:r>
      <w:r>
        <w:rPr>
          <w:kern w:val="0"/>
        </w:rPr>
        <w:t>reviews for further references to relevant trials,</w:t>
      </w:r>
      <w:r w:rsidR="005853A9">
        <w:rPr>
          <w:kern w:val="0"/>
        </w:rPr>
        <w:t xml:space="preserve"> and </w:t>
      </w:r>
      <w:r>
        <w:rPr>
          <w:kern w:val="0"/>
        </w:rPr>
        <w:t>we contacted trialists</w:t>
      </w:r>
      <w:r w:rsidR="005853A9">
        <w:rPr>
          <w:kern w:val="0"/>
        </w:rPr>
        <w:t xml:space="preserve"> and </w:t>
      </w:r>
      <w:r>
        <w:rPr>
          <w:kern w:val="0"/>
        </w:rPr>
        <w:t xml:space="preserve">companies for information about newly published studies. A separate search for adverse effects was undertaken in February 2011 using </w:t>
      </w:r>
      <w:r w:rsidR="00D5664A">
        <w:rPr>
          <w:kern w:val="0"/>
        </w:rPr>
        <w:t>MEDLINE</w:t>
      </w:r>
      <w:r w:rsidR="005853A9">
        <w:rPr>
          <w:kern w:val="0"/>
        </w:rPr>
        <w:t xml:space="preserve"> and </w:t>
      </w:r>
      <w:r>
        <w:rPr>
          <w:kern w:val="0"/>
        </w:rPr>
        <w:t>EMBASE (from 2005). Final update searches for both RCTs</w:t>
      </w:r>
      <w:r w:rsidR="005853A9">
        <w:rPr>
          <w:kern w:val="0"/>
        </w:rPr>
        <w:t xml:space="preserve"> and </w:t>
      </w:r>
      <w:r>
        <w:rPr>
          <w:kern w:val="0"/>
        </w:rPr>
        <w:t>adverse effects were undertaken in August 2012. Although it has not been possible to incorporate RCTs</w:t>
      </w:r>
      <w:r w:rsidR="005853A9">
        <w:rPr>
          <w:kern w:val="0"/>
        </w:rPr>
        <w:t xml:space="preserve"> and </w:t>
      </w:r>
      <w:r>
        <w:rPr>
          <w:kern w:val="0"/>
        </w:rPr>
        <w:t>adverse effects studies identified through these final searches within this review, we will incorporate these into the next update. Selection criteria Randomised trials comparing active topical treatments against placebo or against vitamin D analogues (used alone or in combination) in people with chronic plaque psoriasis. Data collection</w:t>
      </w:r>
      <w:r w:rsidR="005853A9">
        <w:rPr>
          <w:kern w:val="0"/>
        </w:rPr>
        <w:t xml:space="preserve"> and </w:t>
      </w:r>
      <w:r>
        <w:rPr>
          <w:kern w:val="0"/>
        </w:rPr>
        <w:t>analysis One author extracted study data</w:t>
      </w:r>
      <w:r w:rsidR="005853A9">
        <w:rPr>
          <w:kern w:val="0"/>
        </w:rPr>
        <w:t xml:space="preserve"> and </w:t>
      </w:r>
      <w:r>
        <w:rPr>
          <w:kern w:val="0"/>
        </w:rPr>
        <w:t>assessed study quality. A second author checked these data. We routinely contacted trialists</w:t>
      </w:r>
      <w:r w:rsidR="005853A9">
        <w:rPr>
          <w:kern w:val="0"/>
        </w:rPr>
        <w:t xml:space="preserve"> and </w:t>
      </w:r>
      <w:r>
        <w:rPr>
          <w:kern w:val="0"/>
        </w:rPr>
        <w:t>companies for missing data. We also extracted data on withdrawals</w:t>
      </w:r>
      <w:r w:rsidR="005853A9">
        <w:rPr>
          <w:kern w:val="0"/>
        </w:rPr>
        <w:t xml:space="preserve"> and </w:t>
      </w:r>
      <w:r>
        <w:rPr>
          <w:kern w:val="0"/>
        </w:rPr>
        <w:t>on local</w:t>
      </w:r>
      <w:r w:rsidR="005853A9">
        <w:rPr>
          <w:kern w:val="0"/>
        </w:rPr>
        <w:t xml:space="preserve"> and </w:t>
      </w:r>
      <w:r>
        <w:rPr>
          <w:kern w:val="0"/>
        </w:rPr>
        <w:t>systemic adverse events. We defined long-term trials as those with a duration</w:t>
      </w:r>
      <w:r w:rsidR="00427468">
        <w:rPr>
          <w:kern w:val="0"/>
        </w:rPr>
        <w:t xml:space="preserve"> of </w:t>
      </w:r>
      <w:r>
        <w:rPr>
          <w:kern w:val="0"/>
        </w:rPr>
        <w:t>at least 24 weeks. Main results This update added 48 trials</w:t>
      </w:r>
      <w:r w:rsidR="005853A9">
        <w:rPr>
          <w:kern w:val="0"/>
        </w:rPr>
        <w:t xml:space="preserve"> and </w:t>
      </w:r>
      <w:r>
        <w:rPr>
          <w:kern w:val="0"/>
        </w:rPr>
        <w:t>provided evidence on 7 new active treatments. In total, the review included 177 randomised controlled trials, with 34,808 participants, including 26 trials</w:t>
      </w:r>
      <w:r w:rsidR="00427468">
        <w:rPr>
          <w:kern w:val="0"/>
        </w:rPr>
        <w:t xml:space="preserve"> of </w:t>
      </w:r>
      <w:r>
        <w:rPr>
          <w:kern w:val="0"/>
        </w:rPr>
        <w:t>scalp psoriasis</w:t>
      </w:r>
      <w:r w:rsidR="005853A9">
        <w:rPr>
          <w:kern w:val="0"/>
        </w:rPr>
        <w:t xml:space="preserve"> and </w:t>
      </w:r>
      <w:r>
        <w:rPr>
          <w:kern w:val="0"/>
        </w:rPr>
        <w:t>6 trials</w:t>
      </w:r>
      <w:r w:rsidR="00427468">
        <w:rPr>
          <w:kern w:val="0"/>
        </w:rPr>
        <w:t xml:space="preserve"> of </w:t>
      </w:r>
      <w:r>
        <w:rPr>
          <w:kern w:val="0"/>
        </w:rPr>
        <w:t>inverse psoriasis, facial psoriasis, or both</w:t>
      </w:r>
      <w:r w:rsidR="00A37C1D">
        <w:rPr>
          <w:kern w:val="0"/>
        </w:rPr>
        <w:t>. The</w:t>
      </w:r>
      <w:r>
        <w:rPr>
          <w:kern w:val="0"/>
        </w:rPr>
        <w:t xml:space="preserve"> number</w:t>
      </w:r>
      <w:r w:rsidR="00427468">
        <w:rPr>
          <w:kern w:val="0"/>
        </w:rPr>
        <w:t xml:space="preserve"> of </w:t>
      </w:r>
      <w:r>
        <w:rPr>
          <w:kern w:val="0"/>
        </w:rPr>
        <w:t>included studies counted by Review Manager (RevMan) is higher than these figures (190) because we entered each study reporting a placebo</w:t>
      </w:r>
      <w:r w:rsidR="005853A9">
        <w:rPr>
          <w:kern w:val="0"/>
        </w:rPr>
        <w:t xml:space="preserve"> and </w:t>
      </w:r>
      <w:r>
        <w:rPr>
          <w:kern w:val="0"/>
        </w:rPr>
        <w:t xml:space="preserve">an active comparison into the </w:t>
      </w:r>
      <w:r w:rsidR="0071223E">
        <w:rPr>
          <w:kern w:val="0"/>
        </w:rPr>
        <w:t>‘</w:t>
      </w:r>
      <w:r>
        <w:rPr>
          <w:kern w:val="0"/>
        </w:rPr>
        <w:t>Characteristics</w:t>
      </w:r>
      <w:r w:rsidR="00427468">
        <w:rPr>
          <w:kern w:val="0"/>
        </w:rPr>
        <w:t xml:space="preserve"> of </w:t>
      </w:r>
      <w:r>
        <w:rPr>
          <w:kern w:val="0"/>
        </w:rPr>
        <w:t>included studies</w:t>
      </w:r>
      <w:r w:rsidR="0071223E">
        <w:rPr>
          <w:kern w:val="0"/>
        </w:rPr>
        <w:t>’</w:t>
      </w:r>
      <w:r>
        <w:rPr>
          <w:kern w:val="0"/>
        </w:rPr>
        <w:t xml:space="preserve"> table as 2 studies. When used on the body, most vitamin Danalogues were significantly more effective than placebo, with the standardised mean difference (SMD) ranging from -0.67 (95% CI -1.04 to -0.30; 1 study, 119 participants) for twice-daily becocalcidiol to SMD -1.66 (95% CI -2.66 to -0.67; 1 study, 11 participants) for once-daily paricalcitol. On a 6-point global improvement scale, these effects translate into 0.8</w:t>
      </w:r>
      <w:r w:rsidR="005853A9">
        <w:rPr>
          <w:kern w:val="0"/>
        </w:rPr>
        <w:t xml:space="preserve"> and </w:t>
      </w:r>
      <w:r>
        <w:rPr>
          <w:kern w:val="0"/>
        </w:rPr>
        <w:t>1.9 points, respectively. Most corticosteroids also performed better than placebo; potent corticosteroids (SMD -0.89; 95% CI -1.06 to -0.72; I-2 statistic = 65.1%; 14 studies, 2011 participants) had smaller benefits than very potent corticosteroids (SMD - 1.56; 95% CI -1.87 to -1.26); I-2 statistic = 81.7%; 10 studies, 1264 participants). On a 6-point improvement scale, these benefits equate to 1.0</w:t>
      </w:r>
      <w:r w:rsidR="005853A9">
        <w:rPr>
          <w:kern w:val="0"/>
        </w:rPr>
        <w:t xml:space="preserve"> and </w:t>
      </w:r>
      <w:r>
        <w:rPr>
          <w:kern w:val="0"/>
        </w:rPr>
        <w:t>1.8 points, respectively. Dithranol, combined treatment with vitamin D/corticosteroid,</w:t>
      </w:r>
      <w:r w:rsidR="005853A9">
        <w:rPr>
          <w:kern w:val="0"/>
        </w:rPr>
        <w:t xml:space="preserve"> and </w:t>
      </w:r>
      <w:r>
        <w:rPr>
          <w:kern w:val="0"/>
        </w:rPr>
        <w:t>tazarotene all performed significantly better than placebo. Head-to-head comparisons</w:t>
      </w:r>
      <w:r w:rsidR="00427468">
        <w:rPr>
          <w:kern w:val="0"/>
        </w:rPr>
        <w:t xml:space="preserve"> of </w:t>
      </w:r>
      <w:r>
        <w:rPr>
          <w:kern w:val="0"/>
        </w:rPr>
        <w:t>vitamin D for psoriasis</w:t>
      </w:r>
      <w:r w:rsidR="00427468">
        <w:rPr>
          <w:kern w:val="0"/>
        </w:rPr>
        <w:t xml:space="preserve"> of </w:t>
      </w:r>
      <w:r>
        <w:rPr>
          <w:kern w:val="0"/>
        </w:rPr>
        <w:t>the body against potent or very potent corticosteroids had mixed findings. For both body</w:t>
      </w:r>
      <w:r w:rsidR="005853A9">
        <w:rPr>
          <w:kern w:val="0"/>
        </w:rPr>
        <w:t xml:space="preserve"> and </w:t>
      </w:r>
      <w:r>
        <w:rPr>
          <w:kern w:val="0"/>
        </w:rPr>
        <w:t>scalp psoriasis, combined treatment with vitamin D</w:t>
      </w:r>
      <w:r w:rsidR="005853A9">
        <w:rPr>
          <w:kern w:val="0"/>
        </w:rPr>
        <w:t xml:space="preserve"> and </w:t>
      </w:r>
      <w:r>
        <w:rPr>
          <w:kern w:val="0"/>
        </w:rPr>
        <w:t>corticosteroid performed significantly better than vitamin D alone or corticosteroid alone. Vitamin D generally performed better than coal tar, but findings relative to dithranol were mixed. When applied to psoriasis</w:t>
      </w:r>
      <w:r w:rsidR="00427468">
        <w:rPr>
          <w:kern w:val="0"/>
        </w:rPr>
        <w:t xml:space="preserve"> of </w:t>
      </w:r>
      <w:r>
        <w:rPr>
          <w:kern w:val="0"/>
        </w:rPr>
        <w:t>the scalp, vitamin D was significantly less effective than both potent corticosteroids</w:t>
      </w:r>
      <w:r w:rsidR="005853A9">
        <w:rPr>
          <w:kern w:val="0"/>
        </w:rPr>
        <w:t xml:space="preserve"> and </w:t>
      </w:r>
      <w:r>
        <w:rPr>
          <w:kern w:val="0"/>
        </w:rPr>
        <w:t>very potent corticosteroids. Indirect evidence from placebo-controlled trials supported these findings. For both body</w:t>
      </w:r>
      <w:r w:rsidR="005853A9">
        <w:rPr>
          <w:kern w:val="0"/>
        </w:rPr>
        <w:t xml:space="preserve"> and </w:t>
      </w:r>
      <w:r>
        <w:rPr>
          <w:kern w:val="0"/>
        </w:rPr>
        <w:t xml:space="preserve">scalp psoriasis, </w:t>
      </w:r>
      <w:r>
        <w:rPr>
          <w:kern w:val="0"/>
        </w:rPr>
        <w:lastRenderedPageBreak/>
        <w:t>potent corticosteroids were less likely than vitamin D to cause local adverse events, such as burning or irritation. Combined treatment with vitamin D/corticosteroid on either the body or the scalp was tolerated as well as potent corticosteroids,</w:t>
      </w:r>
      <w:r w:rsidR="005853A9">
        <w:rPr>
          <w:kern w:val="0"/>
        </w:rPr>
        <w:t xml:space="preserve"> and </w:t>
      </w:r>
      <w:r>
        <w:rPr>
          <w:kern w:val="0"/>
        </w:rPr>
        <w:t>significantly better than vitamin D alone. Only 25 trials assessed clinical cutaneous dermal atrophy; few cases were detected, but trials reported insufficient information to determine whether assessment methods were robust. Clinical measurements</w:t>
      </w:r>
      <w:r w:rsidR="00427468">
        <w:rPr>
          <w:kern w:val="0"/>
        </w:rPr>
        <w:t xml:space="preserve"> of </w:t>
      </w:r>
      <w:r>
        <w:rPr>
          <w:kern w:val="0"/>
        </w:rPr>
        <w:t>dermal atrophy are insensitive</w:t>
      </w:r>
      <w:r w:rsidR="005853A9">
        <w:rPr>
          <w:kern w:val="0"/>
        </w:rPr>
        <w:t xml:space="preserve"> and </w:t>
      </w:r>
      <w:r>
        <w:rPr>
          <w:kern w:val="0"/>
        </w:rPr>
        <w:t>detect only the most severe cases. No comparison</w:t>
      </w:r>
      <w:r w:rsidR="00427468">
        <w:rPr>
          <w:kern w:val="0"/>
        </w:rPr>
        <w:t xml:space="preserve"> of </w:t>
      </w:r>
      <w:r>
        <w:rPr>
          <w:kern w:val="0"/>
        </w:rPr>
        <w:t>topical agents found a significant difference in systemic adverse effects. Authors</w:t>
      </w:r>
      <w:r w:rsidR="0071223E">
        <w:rPr>
          <w:kern w:val="0"/>
        </w:rPr>
        <w:t>’</w:t>
      </w:r>
      <w:r>
        <w:rPr>
          <w:kern w:val="0"/>
        </w:rPr>
        <w:t xml:space="preserve"> conclusions Corticosteroids perform at least as well as vitamin D analogues,</w:t>
      </w:r>
      <w:r w:rsidR="005853A9">
        <w:rPr>
          <w:kern w:val="0"/>
        </w:rPr>
        <w:t xml:space="preserve"> and </w:t>
      </w:r>
      <w:r>
        <w:rPr>
          <w:kern w:val="0"/>
        </w:rPr>
        <w:t>they are associated with a lower incidence</w:t>
      </w:r>
      <w:r w:rsidR="00427468">
        <w:rPr>
          <w:kern w:val="0"/>
        </w:rPr>
        <w:t xml:space="preserve"> of </w:t>
      </w:r>
      <w:r>
        <w:rPr>
          <w:kern w:val="0"/>
        </w:rPr>
        <w:t>local adverse events. However, for people with chronic plaque psoriasis receiving long-term treatment with corticosteroids, there remains a lack</w:t>
      </w:r>
      <w:r w:rsidR="00427468">
        <w:rPr>
          <w:kern w:val="0"/>
        </w:rPr>
        <w:t xml:space="preserve"> of </w:t>
      </w:r>
      <w:r>
        <w:rPr>
          <w:kern w:val="0"/>
        </w:rPr>
        <w:t>evidence about the risk</w:t>
      </w:r>
      <w:r w:rsidR="00427468">
        <w:rPr>
          <w:kern w:val="0"/>
        </w:rPr>
        <w:t xml:space="preserve"> of </w:t>
      </w:r>
      <w:r>
        <w:rPr>
          <w:kern w:val="0"/>
        </w:rPr>
        <w:t>skin dermal atrophy. Further research is required to inform long-term maintenance treatment</w:t>
      </w:r>
      <w:r w:rsidR="005853A9">
        <w:rPr>
          <w:kern w:val="0"/>
        </w:rPr>
        <w:t xml:space="preserve"> and </w:t>
      </w:r>
      <w:r>
        <w:rPr>
          <w:kern w:val="0"/>
        </w:rPr>
        <w:t>provide appropriate safety data.</w:t>
      </w:r>
    </w:p>
    <w:p w:rsidR="00365DE4" w:rsidRDefault="00365DE4" w:rsidP="00365DE4">
      <w:pPr>
        <w:pStyle w:val="a3"/>
        <w:rPr>
          <w:kern w:val="0"/>
        </w:rPr>
      </w:pPr>
      <w:r>
        <w:rPr>
          <w:kern w:val="0"/>
        </w:rPr>
        <w:t xml:space="preserve">Keywords: 3 Mu-G, G, Administration,Topical, Adrenal Cortex Hormones [Adverse Effects, Adverse Effects, Analogs &amp; Derivatives, Analysis, Assessment, Atrophy, Bibliographies, Bone Density Conservation Agents [Adverse Effects, Chronic, Chronic Disease, Citation, Clinical, Clobetasol Propionate Spray, Coal, Collection, Combined Treatment, Comparison, Conference, Corticosteroids, Criteria, Data, Data Collection, Databases, Duration, Effectiveness, Effects, Embase, Events, Evidence, Global, Humans, Improvement, Incidence, Information, Local, Long Term, Long-Term, Long-Term Efficacy, Management, </w:t>
      </w:r>
      <w:r w:rsidR="00D5664A">
        <w:rPr>
          <w:kern w:val="0"/>
        </w:rPr>
        <w:t>MEDLINE</w:t>
      </w:r>
      <w:r>
        <w:rPr>
          <w:kern w:val="0"/>
        </w:rPr>
        <w:t>, Methods, Network, Once-Daily Treatment, Placebo, Plus Betamethasone Dipropionate, Psoriasis, Psoriasis [Drug Therapy], Publication, Quality, Quality-Of-Life, Randomised, Randomised Controlled Trials, Randomized Controlled Trials As Topic, Randomized Controlled-Trial, References, Reporting, Research, Retinoids, Review, Reviews, Risk, Safety, Salicylic Acid, Scale, Scaling, Scalp, Science, Science Citation Index, Search, Short-Contact Dithranol, Skin, Tazarotene 0.1-Percent Gel, Therapeutic Use], To-Moderate Psoriasis, Topical, Treatment</w:t>
      </w:r>
      <w:r w:rsidR="00D5664A">
        <w:rPr>
          <w:kern w:val="0"/>
        </w:rPr>
        <w:t>, UK,</w:t>
      </w:r>
      <w:r>
        <w:rPr>
          <w:kern w:val="0"/>
        </w:rPr>
        <w:t xml:space="preserve"> Vitamin D, Vitamin D [Adverse Effects</w:t>
      </w:r>
    </w:p>
    <w:p w:rsidR="00365DE4" w:rsidRDefault="00365DE4" w:rsidP="00365DE4">
      <w:pPr>
        <w:pStyle w:val="a3"/>
        <w:rPr>
          <w:kern w:val="0"/>
        </w:rPr>
      </w:pPr>
      <w:r>
        <w:rPr>
          <w:kern w:val="0"/>
        </w:rPr>
        <w:t>? Kendrick, D., Mulvaney, C.A., Ye, L., Stevens, T., Mytton, J.A.</w:t>
      </w:r>
      <w:r w:rsidR="005853A9">
        <w:rPr>
          <w:kern w:val="0"/>
        </w:rPr>
        <w:t xml:space="preserve"> and </w:t>
      </w:r>
      <w:r>
        <w:rPr>
          <w:kern w:val="0"/>
        </w:rPr>
        <w:t>Stewart-Brown, S. (2013), Parenting interventions for the prevention</w:t>
      </w:r>
      <w:r w:rsidR="00427468">
        <w:rPr>
          <w:kern w:val="0"/>
        </w:rPr>
        <w:t xml:space="preserve"> of </w:t>
      </w:r>
      <w:r>
        <w:rPr>
          <w:kern w:val="0"/>
        </w:rPr>
        <w:t xml:space="preserve">unintentional injuries in childhood.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CD006020.</w:t>
      </w:r>
    </w:p>
    <w:p w:rsidR="00365DE4" w:rsidRDefault="00365DE4" w:rsidP="00365DE4">
      <w:pPr>
        <w:pStyle w:val="a3"/>
        <w:rPr>
          <w:kern w:val="2"/>
        </w:rPr>
      </w:pPr>
      <w:r>
        <w:t xml:space="preserve">Full Text: 2013\Coc Dat Sys Rev2013, </w:t>
      </w:r>
      <w:r>
        <w:rPr>
          <w:kern w:val="0"/>
        </w:rPr>
        <w:t>CD006020.pdf</w:t>
      </w:r>
    </w:p>
    <w:p w:rsidR="00365DE4" w:rsidRDefault="00365DE4" w:rsidP="00365DE4">
      <w:pPr>
        <w:pStyle w:val="a3"/>
        <w:rPr>
          <w:kern w:val="0"/>
        </w:rPr>
      </w:pPr>
      <w:r>
        <w:rPr>
          <w:kern w:val="0"/>
        </w:rPr>
        <w:t>Abstract: Background Parent education</w:t>
      </w:r>
      <w:r w:rsidR="005853A9">
        <w:rPr>
          <w:kern w:val="0"/>
        </w:rPr>
        <w:t xml:space="preserve"> and </w:t>
      </w:r>
      <w:r>
        <w:rPr>
          <w:kern w:val="0"/>
        </w:rPr>
        <w:t>training programmes can improve maternal psychosocial health, child behavioural problems</w:t>
      </w:r>
      <w:r w:rsidR="005853A9">
        <w:rPr>
          <w:kern w:val="0"/>
        </w:rPr>
        <w:t xml:space="preserve"> and </w:t>
      </w:r>
      <w:r>
        <w:rPr>
          <w:kern w:val="0"/>
        </w:rPr>
        <w:t>parenting practices. This review assesses the effects</w:t>
      </w:r>
      <w:r w:rsidR="00427468">
        <w:rPr>
          <w:kern w:val="0"/>
        </w:rPr>
        <w:t xml:space="preserve"> of </w:t>
      </w:r>
      <w:r>
        <w:rPr>
          <w:kern w:val="0"/>
        </w:rPr>
        <w:t>parenting interventions for reducing child injury. Objectives To assess the effects</w:t>
      </w:r>
      <w:r w:rsidR="00427468">
        <w:rPr>
          <w:kern w:val="0"/>
        </w:rPr>
        <w:t xml:space="preserve"> of </w:t>
      </w:r>
      <w:r>
        <w:rPr>
          <w:kern w:val="0"/>
        </w:rPr>
        <w:t xml:space="preserve">parenting interventions for preventing unintentional injury in </w:t>
      </w:r>
      <w:r>
        <w:rPr>
          <w:kern w:val="0"/>
        </w:rPr>
        <w:lastRenderedPageBreak/>
        <w:t>children aged under 18 years</w:t>
      </w:r>
      <w:r w:rsidR="005853A9">
        <w:rPr>
          <w:kern w:val="0"/>
        </w:rPr>
        <w:t xml:space="preserve"> and </w:t>
      </w:r>
      <w:r>
        <w:rPr>
          <w:kern w:val="0"/>
        </w:rPr>
        <w:t>for increasing possession</w:t>
      </w:r>
      <w:r w:rsidR="005853A9">
        <w:rPr>
          <w:kern w:val="0"/>
        </w:rPr>
        <w:t xml:space="preserve"> and </w:t>
      </w:r>
      <w:r>
        <w:rPr>
          <w:kern w:val="0"/>
        </w:rPr>
        <w:t>use</w:t>
      </w:r>
      <w:r w:rsidR="00427468">
        <w:rPr>
          <w:kern w:val="0"/>
        </w:rPr>
        <w:t xml:space="preserve"> of </w:t>
      </w:r>
      <w:r>
        <w:rPr>
          <w:kern w:val="0"/>
        </w:rPr>
        <w:t>safety equipment</w:t>
      </w:r>
      <w:r w:rsidR="005853A9">
        <w:rPr>
          <w:kern w:val="0"/>
        </w:rPr>
        <w:t xml:space="preserve"> and </w:t>
      </w:r>
      <w:r>
        <w:rPr>
          <w:kern w:val="0"/>
        </w:rPr>
        <w:t xml:space="preserve">safety practices by parents. Search methods We searched CENTRAL, </w:t>
      </w:r>
      <w:r w:rsidR="00D5664A">
        <w:rPr>
          <w:kern w:val="0"/>
        </w:rPr>
        <w:t>MEDLINE</w:t>
      </w:r>
      <w:r>
        <w:rPr>
          <w:kern w:val="0"/>
        </w:rPr>
        <w:t>, EMBASE, BIOSIS Preview, PsycINFO, Sociological Abstracts, Social Science Citation Index, CINAHL, ProQuest Dissertations</w:t>
      </w:r>
      <w:r w:rsidR="005853A9">
        <w:rPr>
          <w:kern w:val="0"/>
        </w:rPr>
        <w:t xml:space="preserve"> and </w:t>
      </w:r>
      <w:r>
        <w:rPr>
          <w:kern w:val="0"/>
        </w:rPr>
        <w:t xml:space="preserve">Theses, ERIC, DARE, ASSIA, </w:t>
      </w:r>
      <w:r w:rsidR="00D5664A">
        <w:rPr>
          <w:kern w:val="0"/>
        </w:rPr>
        <w:t>Web</w:t>
      </w:r>
      <w:r w:rsidR="00427468">
        <w:rPr>
          <w:kern w:val="0"/>
        </w:rPr>
        <w:t xml:space="preserve"> of </w:t>
      </w:r>
      <w:r w:rsidR="00D5664A">
        <w:rPr>
          <w:kern w:val="0"/>
        </w:rPr>
        <w:t>Science</w:t>
      </w:r>
      <w:r>
        <w:rPr>
          <w:kern w:val="0"/>
        </w:rPr>
        <w:t>, SIGLE</w:t>
      </w:r>
      <w:r w:rsidR="005853A9">
        <w:rPr>
          <w:kern w:val="0"/>
        </w:rPr>
        <w:t xml:space="preserve"> and </w:t>
      </w:r>
      <w:r>
        <w:rPr>
          <w:kern w:val="0"/>
        </w:rPr>
        <w:t>ZETOC. We also handsearched abstracts from the World Conferences on Injury Prevention &amp; Control</w:t>
      </w:r>
      <w:r w:rsidR="005853A9">
        <w:rPr>
          <w:kern w:val="0"/>
        </w:rPr>
        <w:t xml:space="preserve"> and </w:t>
      </w:r>
      <w:r>
        <w:rPr>
          <w:kern w:val="0"/>
        </w:rPr>
        <w:t>the journal Injury Prevention</w:t>
      </w:r>
      <w:r w:rsidR="00A37C1D">
        <w:rPr>
          <w:kern w:val="0"/>
        </w:rPr>
        <w:t>. The</w:t>
      </w:r>
      <w:r>
        <w:rPr>
          <w:kern w:val="0"/>
        </w:rPr>
        <w:t xml:space="preserve"> searches were conducted in January 2011. Selection criteria We included randomised controlled trials (RCTs), non-randomised controlled trials (non-RCTs)</w:t>
      </w:r>
      <w:r w:rsidR="005853A9">
        <w:rPr>
          <w:kern w:val="0"/>
        </w:rPr>
        <w:t xml:space="preserve"> and </w:t>
      </w:r>
      <w:r>
        <w:rPr>
          <w:kern w:val="0"/>
        </w:rPr>
        <w:t>controlled before</w:t>
      </w:r>
      <w:r w:rsidR="005853A9">
        <w:rPr>
          <w:kern w:val="0"/>
        </w:rPr>
        <w:t xml:space="preserve"> and </w:t>
      </w:r>
      <w:r>
        <w:rPr>
          <w:kern w:val="0"/>
        </w:rPr>
        <w:t>after studies (CBAs), which evaluated parenting interventions administered to parents</w:t>
      </w:r>
      <w:r w:rsidR="00427468">
        <w:rPr>
          <w:kern w:val="0"/>
        </w:rPr>
        <w:t xml:space="preserve"> of </w:t>
      </w:r>
      <w:r>
        <w:rPr>
          <w:kern w:val="0"/>
        </w:rPr>
        <w:t>children aged 18 years</w:t>
      </w:r>
      <w:r w:rsidR="005853A9">
        <w:rPr>
          <w:kern w:val="0"/>
        </w:rPr>
        <w:t xml:space="preserve"> and </w:t>
      </w:r>
      <w:r>
        <w:rPr>
          <w:kern w:val="0"/>
        </w:rPr>
        <w:t>under,</w:t>
      </w:r>
      <w:r w:rsidR="005853A9">
        <w:rPr>
          <w:kern w:val="0"/>
        </w:rPr>
        <w:t xml:space="preserve"> and </w:t>
      </w:r>
      <w:r>
        <w:rPr>
          <w:kern w:val="0"/>
        </w:rPr>
        <w:t>reported outcome data on injuries for children (unintentional or unspecified intent), possession</w:t>
      </w:r>
      <w:r w:rsidR="005853A9">
        <w:rPr>
          <w:kern w:val="0"/>
        </w:rPr>
        <w:t xml:space="preserve"> and </w:t>
      </w:r>
      <w:r>
        <w:rPr>
          <w:kern w:val="0"/>
        </w:rPr>
        <w:t>use</w:t>
      </w:r>
      <w:r w:rsidR="00427468">
        <w:rPr>
          <w:kern w:val="0"/>
        </w:rPr>
        <w:t xml:space="preserve"> of </w:t>
      </w:r>
      <w:r>
        <w:rPr>
          <w:kern w:val="0"/>
        </w:rPr>
        <w:t>safety equipment or safety practices (including the Home Observation for Measurement</w:t>
      </w:r>
      <w:r w:rsidR="00427468">
        <w:rPr>
          <w:kern w:val="0"/>
        </w:rPr>
        <w:t xml:space="preserve"> of </w:t>
      </w:r>
      <w:r>
        <w:rPr>
          <w:kern w:val="0"/>
        </w:rPr>
        <w:t>the Environment (HOME) scale which contained an assessment</w:t>
      </w:r>
      <w:r w:rsidR="00427468">
        <w:rPr>
          <w:kern w:val="0"/>
        </w:rPr>
        <w:t xml:space="preserve"> of </w:t>
      </w:r>
      <w:r>
        <w:rPr>
          <w:kern w:val="0"/>
        </w:rPr>
        <w:t>home safety) by parents. Parenting interventions were defined as those with a specified protocol, manual or curriculum aimed at changing knowledge, attitudes or skills covering a range</w:t>
      </w:r>
      <w:r w:rsidR="00427468">
        <w:rPr>
          <w:kern w:val="0"/>
        </w:rPr>
        <w:t xml:space="preserve"> of </w:t>
      </w:r>
      <w:r>
        <w:rPr>
          <w:kern w:val="0"/>
        </w:rPr>
        <w:t>parenting topics. Data collection</w:t>
      </w:r>
      <w:r w:rsidR="005853A9">
        <w:rPr>
          <w:kern w:val="0"/>
        </w:rPr>
        <w:t xml:space="preserve"> and </w:t>
      </w:r>
      <w:r>
        <w:rPr>
          <w:kern w:val="0"/>
        </w:rPr>
        <w:t>analysis Studies were selected, data were extracted</w:t>
      </w:r>
      <w:r w:rsidR="005853A9">
        <w:rPr>
          <w:kern w:val="0"/>
        </w:rPr>
        <w:t xml:space="preserve"> and </w:t>
      </w:r>
      <w:r>
        <w:rPr>
          <w:kern w:val="0"/>
        </w:rPr>
        <w:t>quality appraised independently by two authors. Pooled relative risks (RR) were estimated using random effect models. Main results Twenty two studies were included in the review: 16 RCTs, two non-RCTs, one partially randomised trial which contained two randomised intervention arms</w:t>
      </w:r>
      <w:r w:rsidR="005853A9">
        <w:rPr>
          <w:kern w:val="0"/>
        </w:rPr>
        <w:t xml:space="preserve"> and </w:t>
      </w:r>
      <w:r>
        <w:rPr>
          <w:kern w:val="0"/>
        </w:rPr>
        <w:t>one non-randomised control arm, two CBA studies</w:t>
      </w:r>
      <w:r w:rsidR="005853A9">
        <w:rPr>
          <w:kern w:val="0"/>
        </w:rPr>
        <w:t xml:space="preserve"> and </w:t>
      </w:r>
      <w:r>
        <w:rPr>
          <w:kern w:val="0"/>
        </w:rPr>
        <w:t>one quasi randomised controlled trial. Seventeen studies provided interventions comprising parenting education</w:t>
      </w:r>
      <w:r w:rsidR="005853A9">
        <w:rPr>
          <w:kern w:val="0"/>
        </w:rPr>
        <w:t xml:space="preserve"> and </w:t>
      </w:r>
      <w:r>
        <w:rPr>
          <w:kern w:val="0"/>
        </w:rPr>
        <w:t>other support services; 15</w:t>
      </w:r>
      <w:r w:rsidR="00427468">
        <w:rPr>
          <w:kern w:val="0"/>
        </w:rPr>
        <w:t xml:space="preserve"> of </w:t>
      </w:r>
      <w:r>
        <w:rPr>
          <w:kern w:val="0"/>
        </w:rPr>
        <w:t>which were home visiting programmes</w:t>
      </w:r>
      <w:r w:rsidR="005853A9">
        <w:rPr>
          <w:kern w:val="0"/>
        </w:rPr>
        <w:t xml:space="preserve"> and </w:t>
      </w:r>
      <w:r>
        <w:rPr>
          <w:kern w:val="0"/>
        </w:rPr>
        <w:t>two</w:t>
      </w:r>
      <w:r w:rsidR="00427468">
        <w:rPr>
          <w:kern w:val="0"/>
        </w:rPr>
        <w:t xml:space="preserve"> of </w:t>
      </w:r>
      <w:r>
        <w:rPr>
          <w:kern w:val="0"/>
        </w:rPr>
        <w:t>which were paediatric practice-based interventions. Two provided solely educational interventions. Nineteen studies recruited families who were from socio-economically disadvantaged populations, were at risk</w:t>
      </w:r>
      <w:r w:rsidR="00427468">
        <w:rPr>
          <w:kern w:val="0"/>
        </w:rPr>
        <w:t xml:space="preserve"> of </w:t>
      </w:r>
      <w:r>
        <w:rPr>
          <w:kern w:val="0"/>
        </w:rPr>
        <w:t>adverse child outcomes or people who may benefit from extra support, such as single mothers, teenage mothers, first time mothers</w:t>
      </w:r>
      <w:r w:rsidR="005853A9">
        <w:rPr>
          <w:kern w:val="0"/>
        </w:rPr>
        <w:t xml:space="preserve"> and </w:t>
      </w:r>
      <w:r>
        <w:rPr>
          <w:kern w:val="0"/>
        </w:rPr>
        <w:t>mothers with learning difficulties. Ten RCTs involving 5074 participants were included in the meta-analysis, which indicated that intervention families had a statistically significant lower risk</w:t>
      </w:r>
      <w:r w:rsidR="00427468">
        <w:rPr>
          <w:kern w:val="0"/>
        </w:rPr>
        <w:t xml:space="preserve"> of </w:t>
      </w:r>
      <w:r>
        <w:rPr>
          <w:kern w:val="0"/>
        </w:rPr>
        <w:t>injury than control families (RR 0.83, 95% CI 0.73 to 0.94). Sensitivity analyses undertaken including only RCTs at low risk</w:t>
      </w:r>
      <w:r w:rsidR="00427468">
        <w:rPr>
          <w:kern w:val="0"/>
        </w:rPr>
        <w:t xml:space="preserve"> of </w:t>
      </w:r>
      <w:r>
        <w:rPr>
          <w:kern w:val="0"/>
        </w:rPr>
        <w:t>various sources</w:t>
      </w:r>
      <w:r w:rsidR="00427468">
        <w:rPr>
          <w:kern w:val="0"/>
        </w:rPr>
        <w:t xml:space="preserve"> of </w:t>
      </w:r>
      <w:r>
        <w:rPr>
          <w:kern w:val="0"/>
        </w:rPr>
        <w:t>bias found the findings to be robust to including only those studies at low risk</w:t>
      </w:r>
      <w:r w:rsidR="00427468">
        <w:rPr>
          <w:kern w:val="0"/>
        </w:rPr>
        <w:t xml:space="preserve"> of </w:t>
      </w:r>
      <w:r>
        <w:rPr>
          <w:kern w:val="0"/>
        </w:rPr>
        <w:t>detection bias in terms</w:t>
      </w:r>
      <w:r w:rsidR="00427468">
        <w:rPr>
          <w:kern w:val="0"/>
        </w:rPr>
        <w:t xml:space="preserve"> of </w:t>
      </w:r>
      <w:r>
        <w:rPr>
          <w:kern w:val="0"/>
        </w:rPr>
        <w:t>blinded outcome assessment</w:t>
      </w:r>
      <w:r w:rsidR="005853A9">
        <w:rPr>
          <w:kern w:val="0"/>
        </w:rPr>
        <w:t xml:space="preserve"> and </w:t>
      </w:r>
      <w:r>
        <w:rPr>
          <w:kern w:val="0"/>
        </w:rPr>
        <w:t>attrition bias in terms</w:t>
      </w:r>
      <w:r w:rsidR="00427468">
        <w:rPr>
          <w:kern w:val="0"/>
        </w:rPr>
        <w:t xml:space="preserve"> of </w:t>
      </w:r>
      <w:r>
        <w:rPr>
          <w:kern w:val="0"/>
        </w:rPr>
        <w:t>follow up</w:t>
      </w:r>
      <w:r w:rsidR="00427468">
        <w:rPr>
          <w:kern w:val="0"/>
        </w:rPr>
        <w:t xml:space="preserve"> of </w:t>
      </w:r>
      <w:r>
        <w:rPr>
          <w:kern w:val="0"/>
        </w:rPr>
        <w:t>fewer than 80%</w:t>
      </w:r>
      <w:r w:rsidR="00427468">
        <w:rPr>
          <w:kern w:val="0"/>
        </w:rPr>
        <w:t xml:space="preserve"> of </w:t>
      </w:r>
      <w:r>
        <w:rPr>
          <w:kern w:val="0"/>
        </w:rPr>
        <w:t>participants in each arm. When analyses were restricted to studies at low risk</w:t>
      </w:r>
      <w:r w:rsidR="00427468">
        <w:rPr>
          <w:kern w:val="0"/>
        </w:rPr>
        <w:t xml:space="preserve"> of </w:t>
      </w:r>
      <w:r>
        <w:rPr>
          <w:kern w:val="0"/>
        </w:rPr>
        <w:t>selection bias in terms</w:t>
      </w:r>
      <w:r w:rsidR="00427468">
        <w:rPr>
          <w:kern w:val="0"/>
        </w:rPr>
        <w:t xml:space="preserve"> of </w:t>
      </w:r>
      <w:r>
        <w:rPr>
          <w:kern w:val="0"/>
        </w:rPr>
        <w:t>inadequate allocation concealment the effect size was no longer statistically significant. Several studies found statistically significant fewer home hazards or a greater number</w:t>
      </w:r>
      <w:r w:rsidR="00427468">
        <w:rPr>
          <w:kern w:val="0"/>
        </w:rPr>
        <w:t xml:space="preserve"> of </w:t>
      </w:r>
      <w:r>
        <w:rPr>
          <w:kern w:val="0"/>
        </w:rPr>
        <w:t>safety practices in intervention families.</w:t>
      </w:r>
      <w:r w:rsidR="00427468">
        <w:rPr>
          <w:kern w:val="0"/>
        </w:rPr>
        <w:t xml:space="preserve"> of </w:t>
      </w:r>
      <w:r>
        <w:rPr>
          <w:kern w:val="0"/>
        </w:rPr>
        <w:t xml:space="preserve">ten studies reporting scores on the HOME scale, </w:t>
      </w:r>
      <w:r>
        <w:rPr>
          <w:kern w:val="0"/>
        </w:rPr>
        <w:lastRenderedPageBreak/>
        <w:t>data from three RCTs were included in a meta-analysis which found no evidence</w:t>
      </w:r>
      <w:r w:rsidR="00427468">
        <w:rPr>
          <w:kern w:val="0"/>
        </w:rPr>
        <w:t xml:space="preserve"> of </w:t>
      </w:r>
      <w:r>
        <w:rPr>
          <w:kern w:val="0"/>
        </w:rPr>
        <w:t>a difference in quality</w:t>
      </w:r>
      <w:r w:rsidR="00427468">
        <w:rPr>
          <w:kern w:val="0"/>
        </w:rPr>
        <w:t xml:space="preserve"> of </w:t>
      </w:r>
      <w:r>
        <w:rPr>
          <w:kern w:val="0"/>
        </w:rPr>
        <w:t>the home environment between treatment arms (mean difference 0.57, 95% CI -0.59 to 1.72). Most</w:t>
      </w:r>
      <w:r w:rsidR="00427468">
        <w:rPr>
          <w:kern w:val="0"/>
        </w:rPr>
        <w:t xml:space="preserve"> of </w:t>
      </w:r>
      <w:r>
        <w:rPr>
          <w:kern w:val="0"/>
        </w:rPr>
        <w:t>the studies reporting home safety practices, home hazards or composite home safety scores found statistically significant effects favouring intervention arm families. Overall, using GRADE, the quality</w:t>
      </w:r>
      <w:r w:rsidR="00427468">
        <w:rPr>
          <w:kern w:val="0"/>
        </w:rPr>
        <w:t xml:space="preserve"> of </w:t>
      </w:r>
      <w:r>
        <w:rPr>
          <w:kern w:val="0"/>
        </w:rPr>
        <w:t>the evidence was rated as moderate. Authors</w:t>
      </w:r>
      <w:r w:rsidR="0071223E">
        <w:rPr>
          <w:kern w:val="0"/>
        </w:rPr>
        <w:t>’</w:t>
      </w:r>
      <w:r>
        <w:rPr>
          <w:kern w:val="0"/>
        </w:rPr>
        <w:t xml:space="preserve"> conclusions Parenting interventions, most commonly provided within the home using multi-faceted interventions are effective in reducing child injury</w:t>
      </w:r>
      <w:r w:rsidR="00A37C1D">
        <w:rPr>
          <w:kern w:val="0"/>
        </w:rPr>
        <w:t>. The</w:t>
      </w:r>
      <w:r>
        <w:rPr>
          <w:kern w:val="0"/>
        </w:rPr>
        <w:t>re is fairly consistent evidence that they also improve home safety</w:t>
      </w:r>
      <w:r w:rsidR="00A37C1D">
        <w:rPr>
          <w:kern w:val="0"/>
        </w:rPr>
        <w:t>. The</w:t>
      </w:r>
      <w:r>
        <w:rPr>
          <w:kern w:val="0"/>
        </w:rPr>
        <w:t xml:space="preserve"> evidence relates mainly to interventions provided to families from disadvantaged populations, who are at risk</w:t>
      </w:r>
      <w:r w:rsidR="00427468">
        <w:rPr>
          <w:kern w:val="0"/>
        </w:rPr>
        <w:t xml:space="preserve"> of </w:t>
      </w:r>
      <w:r>
        <w:rPr>
          <w:kern w:val="0"/>
        </w:rPr>
        <w:t>adverse child health outcomes or whose families may benefit from extra support. Further research is required to explore mechanisms by which these interventions may reduce injury, the features</w:t>
      </w:r>
      <w:r w:rsidR="00427468">
        <w:rPr>
          <w:kern w:val="0"/>
        </w:rPr>
        <w:t xml:space="preserve"> of </w:t>
      </w:r>
      <w:r>
        <w:rPr>
          <w:kern w:val="0"/>
        </w:rPr>
        <w:t>parenting interventions that are necessary or sufficient to reduce injury</w:t>
      </w:r>
      <w:r w:rsidR="005853A9">
        <w:rPr>
          <w:kern w:val="0"/>
        </w:rPr>
        <w:t xml:space="preserve"> and </w:t>
      </w:r>
      <w:r>
        <w:rPr>
          <w:kern w:val="0"/>
        </w:rPr>
        <w:t>the generalisability to different population groups.</w:t>
      </w:r>
    </w:p>
    <w:p w:rsidR="00365DE4" w:rsidRDefault="00365DE4" w:rsidP="00365DE4">
      <w:pPr>
        <w:pStyle w:val="a3"/>
        <w:rPr>
          <w:kern w:val="0"/>
        </w:rPr>
      </w:pPr>
      <w:r>
        <w:rPr>
          <w:kern w:val="0"/>
        </w:rPr>
        <w:t>Keywords: 1st 3 Years, Accident Prevention, Accidents,Home [Prevention &amp; Control], Adolescent, Aged, Allocation, Analyses, Analysis, Assessment, Attitudes, Authors, Bias, Child, Child Health, Child,Preschool, Childhood, Children, Citation, Collection, Community Mothers Program, Composite, Control, Controlled Trial, Criteria, Curriculum, Data, Data Collection, Dissertations, Education, Education</w:t>
      </w:r>
      <w:r w:rsidR="005853A9">
        <w:rPr>
          <w:kern w:val="0"/>
        </w:rPr>
        <w:t xml:space="preserve"> and </w:t>
      </w:r>
      <w:r>
        <w:rPr>
          <w:kern w:val="0"/>
        </w:rPr>
        <w:t xml:space="preserve">Training, Effect Size, Effects, Embase, Environment, Equipment, Evidence, Families, First, Follow-Up, Groups, Health, Health Outcomes, Healthy Steps, Home, Home Visitation Program, Humans, Infant, Injury, Intervention, Interventions, Journal, Knowledge, Learning, Low Risk, Maternal, Mechanisms, </w:t>
      </w:r>
      <w:r w:rsidR="00D5664A">
        <w:rPr>
          <w:kern w:val="0"/>
        </w:rPr>
        <w:t>MEDLINE</w:t>
      </w:r>
      <w:r>
        <w:rPr>
          <w:kern w:val="0"/>
        </w:rPr>
        <w:t xml:space="preserve">, Meta Analysis, Meta-Analysis, Metaanalysis, Methods, Models, Mothers, Nonprofessional Intervention, Outcome, Outcome Assessment, Outcomes, Parenting, Parents, Population, Populations, Practices, Prevention, Primary-Care, Programmes, Protective Devices, Psychosocial, Psycinfo, Quality, Quality Of, Randomised, Randomised Controlled Trial, Randomised Controlled Trials, Randomised Trial, Randomized Controlled Trials As Topic, Randomized Controlled-Trial, Reporting, Research, Review, Risk, Risks, Safety, Scale, School-Age-Children, Science, Science Citation Index, Search, Selection, Services, Size, Social Science Citation Index, Social-Class, Sources, Support, Teenage, Teenage Mothers, Theses, Training, Training Programmes, Treatment, Trial, Visiting Program, </w:t>
      </w:r>
      <w:r w:rsidR="00D5664A">
        <w:rPr>
          <w:kern w:val="0"/>
        </w:rPr>
        <w:t>Web</w:t>
      </w:r>
      <w:r w:rsidR="00427468">
        <w:rPr>
          <w:kern w:val="0"/>
        </w:rPr>
        <w:t xml:space="preserve"> of </w:t>
      </w:r>
      <w:r w:rsidR="00D5664A">
        <w:rPr>
          <w:kern w:val="0"/>
        </w:rPr>
        <w:t>Science</w:t>
      </w:r>
      <w:r>
        <w:rPr>
          <w:kern w:val="0"/>
        </w:rPr>
        <w:t>, Wounds</w:t>
      </w:r>
      <w:r w:rsidR="005853A9">
        <w:rPr>
          <w:kern w:val="0"/>
        </w:rPr>
        <w:t xml:space="preserve"> and </w:t>
      </w:r>
      <w:r>
        <w:rPr>
          <w:kern w:val="0"/>
        </w:rPr>
        <w:t>Injuries [Prevention &amp; Control]</w:t>
      </w:r>
    </w:p>
    <w:p w:rsidR="00365DE4" w:rsidRDefault="00365DE4" w:rsidP="00365DE4">
      <w:pPr>
        <w:pStyle w:val="a3"/>
        <w:rPr>
          <w:kern w:val="0"/>
        </w:rPr>
      </w:pPr>
      <w:r>
        <w:rPr>
          <w:kern w:val="0"/>
        </w:rPr>
        <w:t>? Cirocchi, R., Montedori, A., Farinella, E., Bonacini, I., Tagliabue, L.</w:t>
      </w:r>
      <w:r w:rsidR="005853A9">
        <w:rPr>
          <w:kern w:val="0"/>
        </w:rPr>
        <w:t xml:space="preserve"> and </w:t>
      </w:r>
      <w:r>
        <w:rPr>
          <w:kern w:val="0"/>
        </w:rPr>
        <w:t xml:space="preserve">Abraha, I. (2013), Damage control surgery for abdominal trauma.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CD007438.</w:t>
      </w:r>
    </w:p>
    <w:p w:rsidR="00365DE4" w:rsidRDefault="00365DE4" w:rsidP="00365DE4">
      <w:pPr>
        <w:pStyle w:val="a3"/>
        <w:rPr>
          <w:kern w:val="2"/>
        </w:rPr>
      </w:pPr>
      <w:r>
        <w:t xml:space="preserve">Full Text: 2013\Coc Dat Sys Rev2013, </w:t>
      </w:r>
      <w:r>
        <w:rPr>
          <w:kern w:val="0"/>
        </w:rPr>
        <w:t>CD007438.pdf</w:t>
      </w:r>
    </w:p>
    <w:p w:rsidR="00365DE4" w:rsidRDefault="00365DE4" w:rsidP="00365DE4">
      <w:pPr>
        <w:pStyle w:val="a3"/>
        <w:rPr>
          <w:kern w:val="0"/>
        </w:rPr>
      </w:pPr>
      <w:r>
        <w:rPr>
          <w:kern w:val="0"/>
        </w:rPr>
        <w:t>Abstract: Background Trauma is one</w:t>
      </w:r>
      <w:r w:rsidR="00427468">
        <w:rPr>
          <w:kern w:val="0"/>
        </w:rPr>
        <w:t xml:space="preserve"> of </w:t>
      </w:r>
      <w:r>
        <w:rPr>
          <w:kern w:val="0"/>
        </w:rPr>
        <w:t>the leading causes</w:t>
      </w:r>
      <w:r w:rsidR="00427468">
        <w:rPr>
          <w:kern w:val="0"/>
        </w:rPr>
        <w:t xml:space="preserve"> of </w:t>
      </w:r>
      <w:r>
        <w:rPr>
          <w:kern w:val="0"/>
        </w:rPr>
        <w:t>death in any age group</w:t>
      </w:r>
      <w:r w:rsidR="00A37C1D">
        <w:rPr>
          <w:kern w:val="0"/>
        </w:rPr>
        <w:t xml:space="preserve">. </w:t>
      </w:r>
      <w:r w:rsidR="00A37C1D">
        <w:rPr>
          <w:kern w:val="0"/>
        </w:rPr>
        <w:lastRenderedPageBreak/>
        <w:t>The</w:t>
      </w:r>
      <w:r>
        <w:rPr>
          <w:kern w:val="0"/>
        </w:rPr>
        <w:t xml:space="preserve"> </w:t>
      </w:r>
      <w:r w:rsidR="0071223E">
        <w:rPr>
          <w:kern w:val="0"/>
        </w:rPr>
        <w:t>‘</w:t>
      </w:r>
      <w:r>
        <w:rPr>
          <w:kern w:val="0"/>
        </w:rPr>
        <w:t>lethal triad</w:t>
      </w:r>
      <w:r w:rsidR="0071223E">
        <w:rPr>
          <w:kern w:val="0"/>
        </w:rPr>
        <w:t>’</w:t>
      </w:r>
      <w:r w:rsidR="00427468">
        <w:rPr>
          <w:kern w:val="0"/>
        </w:rPr>
        <w:t xml:space="preserve"> of </w:t>
      </w:r>
      <w:r>
        <w:rPr>
          <w:kern w:val="0"/>
        </w:rPr>
        <w:t>acidosis, hypothermia,</w:t>
      </w:r>
      <w:r w:rsidR="005853A9">
        <w:rPr>
          <w:kern w:val="0"/>
        </w:rPr>
        <w:t xml:space="preserve"> and </w:t>
      </w:r>
      <w:r>
        <w:rPr>
          <w:kern w:val="0"/>
        </w:rPr>
        <w:t>coagulopathy has been recognized as a significant cause</w:t>
      </w:r>
      <w:r w:rsidR="00427468">
        <w:rPr>
          <w:kern w:val="0"/>
        </w:rPr>
        <w:t xml:space="preserve"> of </w:t>
      </w:r>
      <w:r>
        <w:rPr>
          <w:kern w:val="0"/>
        </w:rPr>
        <w:t>death in patients with traumatic injuries. In order to prevent the lethal triad two factors are essential, early control</w:t>
      </w:r>
      <w:r w:rsidR="00427468">
        <w:rPr>
          <w:kern w:val="0"/>
        </w:rPr>
        <w:t xml:space="preserve"> of </w:t>
      </w:r>
      <w:r>
        <w:rPr>
          <w:kern w:val="0"/>
        </w:rPr>
        <w:t>bleeding</w:t>
      </w:r>
      <w:r w:rsidR="005853A9">
        <w:rPr>
          <w:kern w:val="0"/>
        </w:rPr>
        <w:t xml:space="preserve"> and </w:t>
      </w:r>
      <w:r>
        <w:rPr>
          <w:kern w:val="0"/>
        </w:rPr>
        <w:t>prevention</w:t>
      </w:r>
      <w:r w:rsidR="00427468">
        <w:rPr>
          <w:kern w:val="0"/>
        </w:rPr>
        <w:t xml:space="preserve"> of </w:t>
      </w:r>
      <w:r>
        <w:rPr>
          <w:kern w:val="0"/>
        </w:rPr>
        <w:t>further heat loss. In patients with major abdominal trauma, damage control surgery (DCS) avoids extensive procedures on unstable patients, stabilizes potentially fatal problems at initial operation,</w:t>
      </w:r>
      <w:r w:rsidR="005853A9">
        <w:rPr>
          <w:kern w:val="0"/>
        </w:rPr>
        <w:t xml:space="preserve"> and </w:t>
      </w:r>
      <w:r>
        <w:rPr>
          <w:kern w:val="0"/>
        </w:rPr>
        <w:t>applies staged surgery after successful initial resuscitation. It is not currently known whether DCS is superior to immediate surgery for patients with major abdominal trauma. Objectives To assess the effects</w:t>
      </w:r>
      <w:r w:rsidR="00427468">
        <w:rPr>
          <w:kern w:val="0"/>
        </w:rPr>
        <w:t xml:space="preserve"> of </w:t>
      </w:r>
      <w:r>
        <w:rPr>
          <w:kern w:val="0"/>
        </w:rPr>
        <w:t>damage control surgery compared to traditional immediate definitive surgical treatment for patients with major abdominal trauma. Search methods We searched the Cochrane Injuries Group Specialised Register, CENTRAL (The Cochrane Library 2012, Issue 12</w:t>
      </w:r>
      <w:r w:rsidR="00427468">
        <w:rPr>
          <w:kern w:val="0"/>
        </w:rPr>
        <w:t xml:space="preserve"> of </w:t>
      </w:r>
      <w:r>
        <w:rPr>
          <w:kern w:val="0"/>
        </w:rPr>
        <w:t xml:space="preserve">12),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Science Citation Index &amp; ISI Proceedings, Current Controlled Trials MetaRegister, Clinicaltrials.gov, Zetoc,</w:t>
      </w:r>
      <w:r w:rsidR="005853A9">
        <w:rPr>
          <w:kern w:val="0"/>
        </w:rPr>
        <w:t xml:space="preserve"> and </w:t>
      </w:r>
      <w:r>
        <w:rPr>
          <w:kern w:val="0"/>
        </w:rPr>
        <w:t>CINAHL for all published</w:t>
      </w:r>
      <w:r w:rsidR="005853A9">
        <w:rPr>
          <w:kern w:val="0"/>
        </w:rPr>
        <w:t xml:space="preserve"> and </w:t>
      </w:r>
      <w:r>
        <w:rPr>
          <w:kern w:val="0"/>
        </w:rPr>
        <w:t>unpublished randomised controlled trials. We did not restrict the searches by language, date, or publication status</w:t>
      </w:r>
      <w:r w:rsidR="00A37C1D">
        <w:rPr>
          <w:kern w:val="0"/>
        </w:rPr>
        <w:t>. The</w:t>
      </w:r>
      <w:r>
        <w:rPr>
          <w:kern w:val="0"/>
        </w:rPr>
        <w:t xml:space="preserve"> search was through December 2012. Selection criteria Randomised controlled trials</w:t>
      </w:r>
      <w:r w:rsidR="00427468">
        <w:rPr>
          <w:kern w:val="0"/>
        </w:rPr>
        <w:t xml:space="preserve"> of </w:t>
      </w:r>
      <w:r>
        <w:rPr>
          <w:kern w:val="0"/>
        </w:rPr>
        <w:t>damage control surgery versus immediate traditional surgical repair were included in this review. We included patients with major abdominal trauma (Abbreviated Injury Scale &gt; 3) who were undergoing surgery. Patient selection was crucial as patients with relatively simple abdominal injuries should not undergo unnecessary procedures. Data collection</w:t>
      </w:r>
      <w:r w:rsidR="005853A9">
        <w:rPr>
          <w:kern w:val="0"/>
        </w:rPr>
        <w:t xml:space="preserve"> and </w:t>
      </w:r>
      <w:r>
        <w:rPr>
          <w:kern w:val="0"/>
        </w:rPr>
        <w:t>analysis Two authors independently evaluated the search results. Main results A total</w:t>
      </w:r>
      <w:r w:rsidR="00427468">
        <w:rPr>
          <w:kern w:val="0"/>
        </w:rPr>
        <w:t xml:space="preserve"> of </w:t>
      </w:r>
      <w:r>
        <w:rPr>
          <w:kern w:val="0"/>
        </w:rPr>
        <w:t>2551 studies were identified by our search. No randomised controlled trials comparing DCS with immediate</w:t>
      </w:r>
      <w:r w:rsidR="005853A9">
        <w:rPr>
          <w:kern w:val="0"/>
        </w:rPr>
        <w:t xml:space="preserve"> and </w:t>
      </w:r>
      <w:r>
        <w:rPr>
          <w:kern w:val="0"/>
        </w:rPr>
        <w:t>definitive repair in patients with major abdominal trauma were found. A total</w:t>
      </w:r>
      <w:r w:rsidR="00427468">
        <w:rPr>
          <w:kern w:val="0"/>
        </w:rPr>
        <w:t xml:space="preserve"> of </w:t>
      </w:r>
      <w:r>
        <w:rPr>
          <w:kern w:val="0"/>
        </w:rPr>
        <w:t>2551 studies were excluded because they were not relevant to the review topic</w:t>
      </w:r>
      <w:r w:rsidR="005853A9">
        <w:rPr>
          <w:kern w:val="0"/>
        </w:rPr>
        <w:t xml:space="preserve"> and </w:t>
      </w:r>
      <w:r>
        <w:rPr>
          <w:kern w:val="0"/>
        </w:rPr>
        <w:t>two studies were excluded with reasons after examining the full-text. Authors</w:t>
      </w:r>
      <w:r w:rsidR="0071223E">
        <w:rPr>
          <w:kern w:val="0"/>
        </w:rPr>
        <w:t>’</w:t>
      </w:r>
      <w:r>
        <w:rPr>
          <w:kern w:val="0"/>
        </w:rPr>
        <w:t xml:space="preserve"> conclusions Evidence that supports the efficacy</w:t>
      </w:r>
      <w:r w:rsidR="00427468">
        <w:rPr>
          <w:kern w:val="0"/>
        </w:rPr>
        <w:t xml:space="preserve"> of </w:t>
      </w:r>
      <w:r>
        <w:rPr>
          <w:kern w:val="0"/>
        </w:rPr>
        <w:t>damage control surgery with respect to traditional laparotomy in patients with major abdominal trauma is limited.</w:t>
      </w:r>
    </w:p>
    <w:p w:rsidR="00365DE4" w:rsidRDefault="00365DE4" w:rsidP="00365DE4">
      <w:pPr>
        <w:pStyle w:val="a3"/>
        <w:rPr>
          <w:kern w:val="0"/>
        </w:rPr>
      </w:pPr>
      <w:r>
        <w:rPr>
          <w:kern w:val="0"/>
        </w:rPr>
        <w:t>Keywords: Abdominal, Abdominal Injuries [Surgery], Acidosis, Acidosis [Prevention &amp; Control], Age, Analysis, Authors, Bleeding, Blood Coagulation Disorders [Prevention &amp; Control], Cause</w:t>
      </w:r>
      <w:r w:rsidR="00427468">
        <w:rPr>
          <w:kern w:val="0"/>
        </w:rPr>
        <w:t xml:space="preserve"> of </w:t>
      </w:r>
      <w:r>
        <w:rPr>
          <w:kern w:val="0"/>
        </w:rPr>
        <w:t>Death, Citation, Coagulopathy, Collection, Consecutive Patients, Control, Criteria, Damage, Data Collection, Dc, Death, Effects, Efficacy, Embase, Experience, Hemorrhage, Humans, Hypothermia, Hypothermia [Prevention &amp; Control], Injury, Intensive Care [Methods]</w:t>
      </w:r>
      <w:r w:rsidR="00D5664A">
        <w:rPr>
          <w:kern w:val="0"/>
        </w:rPr>
        <w:t>, ISI,</w:t>
      </w:r>
      <w:r>
        <w:rPr>
          <w:kern w:val="0"/>
        </w:rPr>
        <w:t xml:space="preserve"> Language, Laparotomy, Management, </w:t>
      </w:r>
      <w:r w:rsidR="00D5664A">
        <w:rPr>
          <w:kern w:val="0"/>
        </w:rPr>
        <w:t>MEDLINE</w:t>
      </w:r>
      <w:r>
        <w:rPr>
          <w:kern w:val="0"/>
        </w:rPr>
        <w:t xml:space="preserve">, Methods, Operation, Packing, Patients, Prevent, Prevention, Procedures, Publication, Randomised, Randomised Controlled Trials, Resuscitation, Review, Scale, Science, Science Citation Index, Search, Selection, Surgery, Surgical Treatment, Survival, Topic, Trauma, Traumatic, </w:t>
      </w:r>
      <w:r>
        <w:rPr>
          <w:kern w:val="0"/>
        </w:rPr>
        <w:lastRenderedPageBreak/>
        <w:t xml:space="preserve">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Barrera, L.M., Perel, P., Ker, K., Cirocchi, R., Farinella, E.</w:t>
      </w:r>
      <w:r w:rsidR="005853A9">
        <w:rPr>
          <w:kern w:val="0"/>
        </w:rPr>
        <w:t xml:space="preserve"> and </w:t>
      </w:r>
      <w:r>
        <w:rPr>
          <w:kern w:val="0"/>
        </w:rPr>
        <w:t xml:space="preserve">Uribe, C.H.M. (2013), Thromboprophylaxis for trauma patients.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CD008303.</w:t>
      </w:r>
    </w:p>
    <w:p w:rsidR="00365DE4" w:rsidRDefault="00365DE4" w:rsidP="00365DE4">
      <w:pPr>
        <w:pStyle w:val="a3"/>
        <w:rPr>
          <w:kern w:val="2"/>
        </w:rPr>
      </w:pPr>
      <w:r>
        <w:t xml:space="preserve">Full Text: 2013\Coc Dat Sys Rev2013, </w:t>
      </w:r>
      <w:r>
        <w:rPr>
          <w:kern w:val="0"/>
        </w:rPr>
        <w:t>CD008303.pdf</w:t>
      </w:r>
    </w:p>
    <w:p w:rsidR="00365DE4" w:rsidRDefault="00365DE4" w:rsidP="00365DE4">
      <w:pPr>
        <w:pStyle w:val="a3"/>
        <w:rPr>
          <w:kern w:val="0"/>
        </w:rPr>
      </w:pPr>
      <w:r>
        <w:rPr>
          <w:kern w:val="0"/>
        </w:rPr>
        <w:t>Abstract: Background Trauma is a leading causes</w:t>
      </w:r>
      <w:r w:rsidR="00427468">
        <w:rPr>
          <w:kern w:val="0"/>
        </w:rPr>
        <w:t xml:space="preserve"> of </w:t>
      </w:r>
      <w:r>
        <w:rPr>
          <w:kern w:val="0"/>
        </w:rPr>
        <w:t>death</w:t>
      </w:r>
      <w:r w:rsidR="005853A9">
        <w:rPr>
          <w:kern w:val="0"/>
        </w:rPr>
        <w:t xml:space="preserve"> and </w:t>
      </w:r>
      <w:r>
        <w:rPr>
          <w:kern w:val="0"/>
        </w:rPr>
        <w:t>disability in young people. Venous thromboembolism (VTE) is a principal cause</w:t>
      </w:r>
      <w:r w:rsidR="00427468">
        <w:rPr>
          <w:kern w:val="0"/>
        </w:rPr>
        <w:t xml:space="preserve"> of </w:t>
      </w:r>
      <w:r>
        <w:rPr>
          <w:kern w:val="0"/>
        </w:rPr>
        <w:t>death. Trauma patients are at high risk</w:t>
      </w:r>
      <w:r w:rsidR="00427468">
        <w:rPr>
          <w:kern w:val="0"/>
        </w:rPr>
        <w:t xml:space="preserve"> of </w:t>
      </w:r>
      <w:r>
        <w:rPr>
          <w:kern w:val="0"/>
        </w:rPr>
        <w:t>deep vein thrombosis (DVT)</w:t>
      </w:r>
      <w:r w:rsidR="00A37C1D">
        <w:rPr>
          <w:kern w:val="0"/>
        </w:rPr>
        <w:t>. The</w:t>
      </w:r>
      <w:r>
        <w:rPr>
          <w:kern w:val="0"/>
        </w:rPr>
        <w:t xml:space="preserve"> incidence varies according to the method used to measure the DVT</w:t>
      </w:r>
      <w:r w:rsidR="005853A9">
        <w:rPr>
          <w:kern w:val="0"/>
        </w:rPr>
        <w:t xml:space="preserve"> and </w:t>
      </w:r>
      <w:r>
        <w:rPr>
          <w:kern w:val="0"/>
        </w:rPr>
        <w:t>the location</w:t>
      </w:r>
      <w:r w:rsidR="00427468">
        <w:rPr>
          <w:kern w:val="0"/>
        </w:rPr>
        <w:t xml:space="preserve"> of </w:t>
      </w:r>
      <w:r>
        <w:rPr>
          <w:kern w:val="0"/>
        </w:rPr>
        <w:t>the thrombosis. Due to prolonged rest</w:t>
      </w:r>
      <w:r w:rsidR="005853A9">
        <w:rPr>
          <w:kern w:val="0"/>
        </w:rPr>
        <w:t xml:space="preserve"> and </w:t>
      </w:r>
      <w:r>
        <w:rPr>
          <w:kern w:val="0"/>
        </w:rPr>
        <w:t>coagulation abnormalities, trauma patients are at increased risk</w:t>
      </w:r>
      <w:r w:rsidR="00427468">
        <w:rPr>
          <w:kern w:val="0"/>
        </w:rPr>
        <w:t xml:space="preserve"> of </w:t>
      </w:r>
      <w:r>
        <w:rPr>
          <w:kern w:val="0"/>
        </w:rPr>
        <w:t>thrombus formation. Thromboprohylaxis, either mechanical or pharmacological, may decrease mortality</w:t>
      </w:r>
      <w:r w:rsidR="005853A9">
        <w:rPr>
          <w:kern w:val="0"/>
        </w:rPr>
        <w:t xml:space="preserve"> and </w:t>
      </w:r>
      <w:r>
        <w:rPr>
          <w:kern w:val="0"/>
        </w:rPr>
        <w:t>morbidity in trauma patients who survive beyond the first day in hospital, by decreasing the risk</w:t>
      </w:r>
      <w:r w:rsidR="00427468">
        <w:rPr>
          <w:kern w:val="0"/>
        </w:rPr>
        <w:t xml:space="preserve"> of </w:t>
      </w:r>
      <w:r>
        <w:rPr>
          <w:kern w:val="0"/>
        </w:rPr>
        <w:t>VTE in this population. A previous systematic review did not find evidence</w:t>
      </w:r>
      <w:r w:rsidR="00427468">
        <w:rPr>
          <w:kern w:val="0"/>
        </w:rPr>
        <w:t xml:space="preserve"> of </w:t>
      </w:r>
      <w:r>
        <w:rPr>
          <w:kern w:val="0"/>
        </w:rPr>
        <w:t>effectiveness for either pharmacological or mechanical interventions. However, this systematic review was conducted 10 years ago</w:t>
      </w:r>
      <w:r w:rsidR="005853A9">
        <w:rPr>
          <w:kern w:val="0"/>
        </w:rPr>
        <w:t xml:space="preserve"> and </w:t>
      </w:r>
      <w:r>
        <w:rPr>
          <w:kern w:val="0"/>
        </w:rPr>
        <w:t>most</w:t>
      </w:r>
      <w:r w:rsidR="00427468">
        <w:rPr>
          <w:kern w:val="0"/>
        </w:rPr>
        <w:t xml:space="preserve"> of </w:t>
      </w:r>
      <w:r>
        <w:rPr>
          <w:kern w:val="0"/>
        </w:rPr>
        <w:t>the included studies were</w:t>
      </w:r>
      <w:r w:rsidR="00427468">
        <w:rPr>
          <w:kern w:val="0"/>
        </w:rPr>
        <w:t xml:space="preserve"> of </w:t>
      </w:r>
      <w:r>
        <w:rPr>
          <w:kern w:val="0"/>
        </w:rPr>
        <w:t>poor quality. Since then new trials have been conducted. Although current guidelines recommend the use</w:t>
      </w:r>
      <w:r w:rsidR="00427468">
        <w:rPr>
          <w:kern w:val="0"/>
        </w:rPr>
        <w:t xml:space="preserve"> of </w:t>
      </w:r>
      <w:r>
        <w:rPr>
          <w:kern w:val="0"/>
        </w:rPr>
        <w:t>thromboprophylaxis in trauma patients, there has not been a comprehensive</w:t>
      </w:r>
      <w:r w:rsidR="005853A9">
        <w:rPr>
          <w:kern w:val="0"/>
        </w:rPr>
        <w:t xml:space="preserve"> and </w:t>
      </w:r>
      <w:r>
        <w:rPr>
          <w:kern w:val="0"/>
        </w:rPr>
        <w:t>updated systematic review since the one published. Objectives To assess the effects</w:t>
      </w:r>
      <w:r w:rsidR="00427468">
        <w:rPr>
          <w:kern w:val="0"/>
        </w:rPr>
        <w:t xml:space="preserve"> of </w:t>
      </w:r>
      <w:r>
        <w:rPr>
          <w:kern w:val="0"/>
        </w:rPr>
        <w:t>thromboprophylaxis in trauma patients on mortality</w:t>
      </w:r>
      <w:r w:rsidR="005853A9">
        <w:rPr>
          <w:kern w:val="0"/>
        </w:rPr>
        <w:t xml:space="preserve"> and </w:t>
      </w:r>
      <w:r>
        <w:rPr>
          <w:kern w:val="0"/>
        </w:rPr>
        <w:t>incidence</w:t>
      </w:r>
      <w:r w:rsidR="00427468">
        <w:rPr>
          <w:kern w:val="0"/>
        </w:rPr>
        <w:t xml:space="preserve"> of </w:t>
      </w:r>
      <w:r>
        <w:rPr>
          <w:kern w:val="0"/>
        </w:rPr>
        <w:t>deep vein thrombosis</w:t>
      </w:r>
      <w:r w:rsidR="005853A9">
        <w:rPr>
          <w:kern w:val="0"/>
        </w:rPr>
        <w:t xml:space="preserve"> and </w:t>
      </w:r>
      <w:r>
        <w:rPr>
          <w:kern w:val="0"/>
        </w:rPr>
        <w:t>pulmonary embolism. To compare the effects</w:t>
      </w:r>
      <w:r w:rsidR="00427468">
        <w:rPr>
          <w:kern w:val="0"/>
        </w:rPr>
        <w:t xml:space="preserve"> of </w:t>
      </w:r>
      <w:r>
        <w:rPr>
          <w:kern w:val="0"/>
        </w:rPr>
        <w:t>different thromboprophylaxis interventions</w:t>
      </w:r>
      <w:r w:rsidR="005853A9">
        <w:rPr>
          <w:kern w:val="0"/>
        </w:rPr>
        <w:t xml:space="preserve"> and </w:t>
      </w:r>
      <w:r>
        <w:rPr>
          <w:kern w:val="0"/>
        </w:rPr>
        <w:t>their effects according to the type</w:t>
      </w:r>
      <w:r w:rsidR="00427468">
        <w:rPr>
          <w:kern w:val="0"/>
        </w:rPr>
        <w:t xml:space="preserve"> of </w:t>
      </w:r>
      <w:r>
        <w:rPr>
          <w:kern w:val="0"/>
        </w:rPr>
        <w:t>trauma. Search methods We searched The Cochrane Injuries Group Specialised Register (searched April 30 2009), Cochrane Central Register</w:t>
      </w:r>
      <w:r w:rsidR="00427468">
        <w:rPr>
          <w:kern w:val="0"/>
        </w:rPr>
        <w:t xml:space="preserve"> of </w:t>
      </w:r>
      <w:r>
        <w:rPr>
          <w:kern w:val="0"/>
        </w:rPr>
        <w:t xml:space="preserve">Controlled Trials 2009, issue 2 (The Cochrane Library), </w:t>
      </w:r>
      <w:r w:rsidR="00D5664A">
        <w:rPr>
          <w:kern w:val="0"/>
        </w:rPr>
        <w:t>MEDLINE</w:t>
      </w:r>
      <w:r>
        <w:rPr>
          <w:kern w:val="0"/>
        </w:rPr>
        <w:t xml:space="preserve"> (Ovid) 1950 to April (week 3) 2009, EMBASE (Ovid) 1980 to (week 17) April 2009, PubMed (searched 29 April 2009), ISI </w:t>
      </w:r>
      <w:r w:rsidR="00D5664A">
        <w:rPr>
          <w:kern w:val="0"/>
        </w:rPr>
        <w:t>Web</w:t>
      </w:r>
      <w:r w:rsidR="00427468">
        <w:rPr>
          <w:kern w:val="0"/>
        </w:rPr>
        <w:t xml:space="preserve"> of </w:t>
      </w:r>
      <w:r w:rsidR="00D5664A">
        <w:rPr>
          <w:kern w:val="0"/>
        </w:rPr>
        <w:t>Science</w:t>
      </w:r>
      <w:r>
        <w:rPr>
          <w:kern w:val="0"/>
        </w:rPr>
        <w:t xml:space="preserve">: Science Citation Index Expanded (SCI-EXPANDED) (1970 to April 2009), ISI </w:t>
      </w:r>
      <w:r w:rsidR="00D5664A">
        <w:rPr>
          <w:kern w:val="0"/>
        </w:rPr>
        <w:t>Web</w:t>
      </w:r>
      <w:r w:rsidR="00427468">
        <w:rPr>
          <w:kern w:val="0"/>
        </w:rPr>
        <w:t xml:space="preserve"> of </w:t>
      </w:r>
      <w:r w:rsidR="00D5664A">
        <w:rPr>
          <w:kern w:val="0"/>
        </w:rPr>
        <w:t>Science</w:t>
      </w:r>
      <w:r>
        <w:rPr>
          <w:kern w:val="0"/>
        </w:rPr>
        <w:t>: Conference Proceedings Citation Index-Science (CPCI-S) (1990 to April 2009). Selection criteria Randomized controlled clinical trials involving people</w:t>
      </w:r>
      <w:r w:rsidR="00427468">
        <w:rPr>
          <w:kern w:val="0"/>
        </w:rPr>
        <w:t xml:space="preserve"> of </w:t>
      </w:r>
      <w:r>
        <w:rPr>
          <w:kern w:val="0"/>
        </w:rPr>
        <w:t>any age with major trauma defined by one or more</w:t>
      </w:r>
      <w:r w:rsidR="00427468">
        <w:rPr>
          <w:kern w:val="0"/>
        </w:rPr>
        <w:t xml:space="preserve"> of </w:t>
      </w:r>
      <w:r>
        <w:rPr>
          <w:kern w:val="0"/>
        </w:rPr>
        <w:t>the following criteria: physiological: penetrating or blunt trauma with more than two organs</w:t>
      </w:r>
      <w:r w:rsidR="005853A9">
        <w:rPr>
          <w:kern w:val="0"/>
        </w:rPr>
        <w:t xml:space="preserve"> and </w:t>
      </w:r>
      <w:r>
        <w:rPr>
          <w:kern w:val="0"/>
        </w:rPr>
        <w:t xml:space="preserve">unstable vital signs, anatomical: people with an Injury Severity Score (ISS) higher than 9, mechanism: people who are involved in a </w:t>
      </w:r>
      <w:r w:rsidR="0071223E">
        <w:rPr>
          <w:kern w:val="0"/>
        </w:rPr>
        <w:t>‘</w:t>
      </w:r>
      <w:r>
        <w:rPr>
          <w:kern w:val="0"/>
        </w:rPr>
        <w:t>high energy</w:t>
      </w:r>
      <w:r w:rsidR="0071223E">
        <w:rPr>
          <w:kern w:val="0"/>
        </w:rPr>
        <w:t>’</w:t>
      </w:r>
      <w:r>
        <w:rPr>
          <w:kern w:val="0"/>
        </w:rPr>
        <w:t xml:space="preserve"> event with a risk for severe injury despite stable or normal vital signs. We excluded trials that only recruited outpatients, trials that recruited people with hip fractures only, or people with acute spinal injuries. Data collection</w:t>
      </w:r>
      <w:r w:rsidR="005853A9">
        <w:rPr>
          <w:kern w:val="0"/>
        </w:rPr>
        <w:t xml:space="preserve"> and </w:t>
      </w:r>
      <w:r>
        <w:rPr>
          <w:kern w:val="0"/>
        </w:rPr>
        <w:t>analysis Four authors, in pairs (LB</w:t>
      </w:r>
      <w:r w:rsidR="005853A9">
        <w:rPr>
          <w:kern w:val="0"/>
        </w:rPr>
        <w:t xml:space="preserve"> and </w:t>
      </w:r>
      <w:r>
        <w:rPr>
          <w:kern w:val="0"/>
        </w:rPr>
        <w:t>CM, EF</w:t>
      </w:r>
      <w:r w:rsidR="005853A9">
        <w:rPr>
          <w:kern w:val="0"/>
        </w:rPr>
        <w:t xml:space="preserve"> and </w:t>
      </w:r>
      <w:r>
        <w:rPr>
          <w:kern w:val="0"/>
        </w:rPr>
        <w:t>RC), independently examined the titles</w:t>
      </w:r>
      <w:r w:rsidR="005853A9">
        <w:rPr>
          <w:kern w:val="0"/>
        </w:rPr>
        <w:t xml:space="preserve"> and </w:t>
      </w:r>
      <w:r>
        <w:rPr>
          <w:kern w:val="0"/>
        </w:rPr>
        <w:t>the abstracts, extracted data, assessed the risk</w:t>
      </w:r>
      <w:r w:rsidR="00427468">
        <w:rPr>
          <w:kern w:val="0"/>
        </w:rPr>
        <w:t xml:space="preserve"> of </w:t>
      </w:r>
      <w:r>
        <w:rPr>
          <w:kern w:val="0"/>
        </w:rPr>
        <w:t>bias</w:t>
      </w:r>
      <w:r w:rsidR="00427468">
        <w:rPr>
          <w:kern w:val="0"/>
        </w:rPr>
        <w:t xml:space="preserve"> of </w:t>
      </w:r>
      <w:r>
        <w:rPr>
          <w:kern w:val="0"/>
        </w:rPr>
        <w:t>the trials</w:t>
      </w:r>
      <w:r w:rsidR="005853A9">
        <w:rPr>
          <w:kern w:val="0"/>
        </w:rPr>
        <w:t xml:space="preserve"> and </w:t>
      </w:r>
      <w:r>
        <w:rPr>
          <w:kern w:val="0"/>
        </w:rPr>
        <w:t xml:space="preserve">analysed the data. PP resolved any disagreement between the authors. Main results Sixteen studies were </w:t>
      </w:r>
      <w:r>
        <w:rPr>
          <w:kern w:val="0"/>
        </w:rPr>
        <w:lastRenderedPageBreak/>
        <w:t>included (n=3005). Four trials compared the effect</w:t>
      </w:r>
      <w:r w:rsidR="00427468">
        <w:rPr>
          <w:kern w:val="0"/>
        </w:rPr>
        <w:t xml:space="preserve"> of </w:t>
      </w:r>
      <w:r>
        <w:rPr>
          <w:kern w:val="0"/>
        </w:rPr>
        <w:t>any type (mechanical and/or pharmacological)</w:t>
      </w:r>
      <w:r w:rsidR="00427468">
        <w:rPr>
          <w:kern w:val="0"/>
        </w:rPr>
        <w:t xml:space="preserve"> of </w:t>
      </w:r>
      <w:r>
        <w:rPr>
          <w:kern w:val="0"/>
        </w:rPr>
        <w:t>prophylaxis versus no prophylaxis. Prophylaxis reduced the risk</w:t>
      </w:r>
      <w:r w:rsidR="00427468">
        <w:rPr>
          <w:kern w:val="0"/>
        </w:rPr>
        <w:t xml:space="preserve"> of </w:t>
      </w:r>
      <w:r>
        <w:rPr>
          <w:kern w:val="0"/>
        </w:rPr>
        <w:t>DVT in people with trauma (RR 0.52; 95% CI 0.32 to 0.84). Mechanical prophylaxis reduced the risk</w:t>
      </w:r>
      <w:r w:rsidR="00427468">
        <w:rPr>
          <w:kern w:val="0"/>
        </w:rPr>
        <w:t xml:space="preserve"> of </w:t>
      </w:r>
      <w:r>
        <w:rPr>
          <w:kern w:val="0"/>
        </w:rPr>
        <w:t>DVT (RR=0.43; 95% CI 0.25 to 0.73). Pharmacological prophylaxis was more effective than mechanical methods at reducing the risk</w:t>
      </w:r>
      <w:r w:rsidR="00427468">
        <w:rPr>
          <w:kern w:val="0"/>
        </w:rPr>
        <w:t xml:space="preserve"> of </w:t>
      </w:r>
      <w:r>
        <w:rPr>
          <w:kern w:val="0"/>
        </w:rPr>
        <w:t>DVT (RR 0.48; 95% CI 0.25 to 0.95). LMWH appeared to reduce the risk</w:t>
      </w:r>
      <w:r w:rsidR="00427468">
        <w:rPr>
          <w:kern w:val="0"/>
        </w:rPr>
        <w:t xml:space="preserve"> of </w:t>
      </w:r>
      <w:r>
        <w:rPr>
          <w:kern w:val="0"/>
        </w:rPr>
        <w:t>DVT compared to UH (RR 0.68; 95% CI 0.50 to 0.94). People who received both mechanical</w:t>
      </w:r>
      <w:r w:rsidR="005853A9">
        <w:rPr>
          <w:kern w:val="0"/>
        </w:rPr>
        <w:t xml:space="preserve"> and </w:t>
      </w:r>
      <w:r>
        <w:rPr>
          <w:kern w:val="0"/>
        </w:rPr>
        <w:t>pharmacological prophylaxis had a lower risk</w:t>
      </w:r>
      <w:r w:rsidR="00427468">
        <w:rPr>
          <w:kern w:val="0"/>
        </w:rPr>
        <w:t xml:space="preserve"> of </w:t>
      </w:r>
      <w:r>
        <w:rPr>
          <w:kern w:val="0"/>
        </w:rPr>
        <w:t>DVT (RR 0.34; 95% CI 0.19 to 0.60) Authors</w:t>
      </w:r>
      <w:r w:rsidR="0071223E">
        <w:rPr>
          <w:kern w:val="0"/>
        </w:rPr>
        <w:t>’</w:t>
      </w:r>
      <w:r>
        <w:rPr>
          <w:kern w:val="0"/>
        </w:rPr>
        <w:t xml:space="preserve"> conclusions We did not find evidence that thromboprophylaxis reduces mortality or PE in any</w:t>
      </w:r>
      <w:r w:rsidR="00427468">
        <w:rPr>
          <w:kern w:val="0"/>
        </w:rPr>
        <w:t xml:space="preserve"> of </w:t>
      </w:r>
      <w:r>
        <w:rPr>
          <w:kern w:val="0"/>
        </w:rPr>
        <w:t>the comparisons assessed. However, we found some evidence that thromboprophylaxis prevents DVT. Although the strength</w:t>
      </w:r>
      <w:r w:rsidR="00427468">
        <w:rPr>
          <w:kern w:val="0"/>
        </w:rPr>
        <w:t xml:space="preserve"> of </w:t>
      </w:r>
      <w:r>
        <w:rPr>
          <w:kern w:val="0"/>
        </w:rPr>
        <w:t>the evidence was not high, taking into account existing information from other related conditions such as surgery, we recommend the use</w:t>
      </w:r>
      <w:r w:rsidR="00427468">
        <w:rPr>
          <w:kern w:val="0"/>
        </w:rPr>
        <w:t xml:space="preserve"> of </w:t>
      </w:r>
      <w:r>
        <w:rPr>
          <w:kern w:val="0"/>
        </w:rPr>
        <w:t>any DVT prophylactic method for people with severe trauma.</w:t>
      </w:r>
    </w:p>
    <w:p w:rsidR="00365DE4" w:rsidRDefault="00365DE4" w:rsidP="00365DE4">
      <w:pPr>
        <w:pStyle w:val="a3"/>
        <w:rPr>
          <w:kern w:val="0"/>
        </w:rPr>
      </w:pPr>
      <w:r>
        <w:rPr>
          <w:kern w:val="0"/>
        </w:rPr>
        <w:t>Keywords: Age, Analysis, Authors, Bias, Cause</w:t>
      </w:r>
      <w:r w:rsidR="00427468">
        <w:rPr>
          <w:kern w:val="0"/>
        </w:rPr>
        <w:t xml:space="preserve"> of </w:t>
      </w:r>
      <w:r>
        <w:rPr>
          <w:kern w:val="0"/>
        </w:rPr>
        <w:t>Death, Citation, Clinical, Clinical Trials, Coagulation, Collection, Conference, Criteria, Data, Data Collection, Death, Deep Vein Thrombosis, Deep Venous Thrombosis, Disability, Effectiveness, Effects, Embase, Embolism, Energy, Evidence, First, Guidelines, Hip Fractures, Hospital, Incidence, Information, Injury, Intermittent Pneumatic Compression, Interventions, Is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Location, Low-Dose Heparin, Major Trauma, Measure, Mechanism, </w:t>
      </w:r>
      <w:r w:rsidR="00D5664A">
        <w:rPr>
          <w:kern w:val="0"/>
        </w:rPr>
        <w:t>MEDLINE</w:t>
      </w:r>
      <w:r>
        <w:rPr>
          <w:kern w:val="0"/>
        </w:rPr>
        <w:t xml:space="preserve">, Methods, Molecular-Weight Heparin, Morbidity, Mortality, Normal, Outpatients, Patients, Population, Prevention, Prolonged, Prophylactic, Prophylaxis, Pubmed, Pulmonary Embolism, Pulmonary-Embolism, Quality, Review, Risk, Science, Science Citation Index, Science Citation Index Expanded, Search, Spinal, Strength, Surgery, Systematic Review, Thromboembolism, Thromboembolism Prophylaxis, Thromboprophylaxis, Thrombosis, Trauma, Vein Thrombosis, Vena-Caval Filters,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Shiu, J., Wang, E., Tejani, A.M.</w:t>
      </w:r>
      <w:r w:rsidR="005853A9">
        <w:rPr>
          <w:kern w:val="0"/>
        </w:rPr>
        <w:t xml:space="preserve"> and </w:t>
      </w:r>
      <w:r>
        <w:rPr>
          <w:kern w:val="0"/>
        </w:rPr>
        <w:t>Wasdell, M. (2013), Continuous versus intermittent infusions</w:t>
      </w:r>
      <w:r w:rsidR="00427468">
        <w:rPr>
          <w:kern w:val="0"/>
        </w:rPr>
        <w:t xml:space="preserve"> of </w:t>
      </w:r>
      <w:r>
        <w:rPr>
          <w:kern w:val="0"/>
        </w:rPr>
        <w:t>antibiotics for the treatment</w:t>
      </w:r>
      <w:r w:rsidR="00427468">
        <w:rPr>
          <w:kern w:val="0"/>
        </w:rPr>
        <w:t xml:space="preserve"> of </w:t>
      </w:r>
      <w:r>
        <w:rPr>
          <w:kern w:val="0"/>
        </w:rPr>
        <w:t xml:space="preserve">severe acute infections.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3</w:t>
      </w:r>
      <w:r>
        <w:rPr>
          <w:kern w:val="0"/>
        </w:rPr>
        <w:t>, Article Number: CD008481.</w:t>
      </w:r>
    </w:p>
    <w:p w:rsidR="00365DE4" w:rsidRDefault="00365DE4" w:rsidP="00365DE4">
      <w:pPr>
        <w:pStyle w:val="a3"/>
        <w:rPr>
          <w:kern w:val="2"/>
        </w:rPr>
      </w:pPr>
      <w:r>
        <w:t xml:space="preserve">Full Text: 2013\Coc Dat Sys Rev2013, </w:t>
      </w:r>
      <w:r>
        <w:rPr>
          <w:kern w:val="0"/>
        </w:rPr>
        <w:t>CD008481.pdf</w:t>
      </w:r>
    </w:p>
    <w:p w:rsidR="00365DE4" w:rsidRDefault="00365DE4" w:rsidP="00365DE4">
      <w:pPr>
        <w:pStyle w:val="a3"/>
        <w:rPr>
          <w:kern w:val="0"/>
        </w:rPr>
      </w:pPr>
      <w:r>
        <w:rPr>
          <w:kern w:val="0"/>
        </w:rPr>
        <w:t>Abstract: Background Intravenous broad-spectrum antibiotics are indicated for the treatment</w:t>
      </w:r>
      <w:r w:rsidR="00427468">
        <w:rPr>
          <w:kern w:val="0"/>
        </w:rPr>
        <w:t xml:space="preserve"> of </w:t>
      </w:r>
      <w:r>
        <w:rPr>
          <w:kern w:val="0"/>
        </w:rPr>
        <w:t>severe infections. However, the emergence</w:t>
      </w:r>
      <w:r w:rsidR="00427468">
        <w:rPr>
          <w:kern w:val="0"/>
        </w:rPr>
        <w:t xml:space="preserve"> of </w:t>
      </w:r>
      <w:r>
        <w:rPr>
          <w:kern w:val="0"/>
        </w:rPr>
        <w:t>infections caused by multi-drug resistant organisms in conjunction with a lack</w:t>
      </w:r>
      <w:r w:rsidR="00427468">
        <w:rPr>
          <w:kern w:val="0"/>
        </w:rPr>
        <w:t xml:space="preserve"> of </w:t>
      </w:r>
      <w:r>
        <w:rPr>
          <w:kern w:val="0"/>
        </w:rPr>
        <w:t>novel antibiotics has prompted the investigation</w:t>
      </w:r>
      <w:r w:rsidR="00427468">
        <w:rPr>
          <w:kern w:val="0"/>
        </w:rPr>
        <w:t xml:space="preserve"> of </w:t>
      </w:r>
      <w:r>
        <w:rPr>
          <w:kern w:val="0"/>
        </w:rPr>
        <w:t>alternative dosing strategies to improve clinical efficacy</w:t>
      </w:r>
      <w:r w:rsidR="005853A9">
        <w:rPr>
          <w:kern w:val="0"/>
        </w:rPr>
        <w:t xml:space="preserve"> and </w:t>
      </w:r>
      <w:r>
        <w:rPr>
          <w:kern w:val="0"/>
        </w:rPr>
        <w:t>tolerability. To optimise pharmacokinetic</w:t>
      </w:r>
      <w:r w:rsidR="005853A9">
        <w:rPr>
          <w:kern w:val="0"/>
        </w:rPr>
        <w:t xml:space="preserve"> and </w:t>
      </w:r>
      <w:r>
        <w:rPr>
          <w:kern w:val="0"/>
        </w:rPr>
        <w:t>pharmacodynamic antibiotic parameters, continuous antibiotic infusions have been compared to traditional intermittent antibiotic infusions. Objectives To compare the clinical efficacy</w:t>
      </w:r>
      <w:r w:rsidR="005853A9">
        <w:rPr>
          <w:kern w:val="0"/>
        </w:rPr>
        <w:t xml:space="preserve"> and </w:t>
      </w:r>
      <w:r>
        <w:rPr>
          <w:kern w:val="0"/>
        </w:rPr>
        <w:t>safety</w:t>
      </w:r>
      <w:r w:rsidR="00427468">
        <w:rPr>
          <w:kern w:val="0"/>
        </w:rPr>
        <w:t xml:space="preserve"> of </w:t>
      </w:r>
      <w:r>
        <w:rPr>
          <w:kern w:val="0"/>
        </w:rPr>
        <w:t>continuous intravenous administration</w:t>
      </w:r>
      <w:r w:rsidR="00427468">
        <w:rPr>
          <w:kern w:val="0"/>
        </w:rPr>
        <w:t xml:space="preserve"> of </w:t>
      </w:r>
      <w:r>
        <w:rPr>
          <w:kern w:val="0"/>
        </w:rPr>
        <w:lastRenderedPageBreak/>
        <w:t>concentration-dependent</w:t>
      </w:r>
      <w:r w:rsidR="005853A9">
        <w:rPr>
          <w:kern w:val="0"/>
        </w:rPr>
        <w:t xml:space="preserve"> and </w:t>
      </w:r>
      <w:r>
        <w:rPr>
          <w:kern w:val="0"/>
        </w:rPr>
        <w:t>time-dependent antibiotics to traditional intermittent intravenous administration in adults with severe acute bacterial infections. Search methods The following electronic databases were searched in September 2012: The Cochrane Injuries Group Specialised Register, Cochrane Central Register</w:t>
      </w:r>
      <w:r w:rsidR="00427468">
        <w:rPr>
          <w:kern w:val="0"/>
        </w:rPr>
        <w:t xml:space="preserve"> of </w:t>
      </w:r>
      <w:r>
        <w:rPr>
          <w:kern w:val="0"/>
        </w:rPr>
        <w:t xml:space="preserve">Controlled Trials (The Cochrane Library), </w:t>
      </w:r>
      <w:r w:rsidR="00D5664A">
        <w:rPr>
          <w:kern w:val="0"/>
        </w:rPr>
        <w:t>MEDLINE</w:t>
      </w:r>
      <w:r>
        <w:rPr>
          <w:kern w:val="0"/>
        </w:rPr>
        <w:t xml:space="preserve"> (OvidSP), EMBASE (OvidSP), CINAHL, ISI </w:t>
      </w:r>
      <w:r w:rsidR="00D5664A">
        <w:rPr>
          <w:kern w:val="0"/>
        </w:rPr>
        <w:t>Web</w:t>
      </w:r>
      <w:r w:rsidR="00427468">
        <w:rPr>
          <w:kern w:val="0"/>
        </w:rPr>
        <w:t xml:space="preserve"> of </w:t>
      </w:r>
      <w:r w:rsidR="00D5664A">
        <w:rPr>
          <w:kern w:val="0"/>
        </w:rPr>
        <w:t>Science</w:t>
      </w:r>
      <w:r>
        <w:rPr>
          <w:kern w:val="0"/>
        </w:rPr>
        <w:t xml:space="preserve">: Science Citation Index Expanded (SCI-EXPANDED), ISI </w:t>
      </w:r>
      <w:r w:rsidR="00D5664A">
        <w:rPr>
          <w:kern w:val="0"/>
        </w:rPr>
        <w:t>Web</w:t>
      </w:r>
      <w:r w:rsidR="00427468">
        <w:rPr>
          <w:kern w:val="0"/>
        </w:rPr>
        <w:t xml:space="preserve"> of </w:t>
      </w:r>
      <w:r w:rsidR="00D5664A">
        <w:rPr>
          <w:kern w:val="0"/>
        </w:rPr>
        <w:t>Science</w:t>
      </w:r>
      <w:r>
        <w:rPr>
          <w:kern w:val="0"/>
        </w:rPr>
        <w:t>: Conference Proceedings Citation Index-Science (CPCIS)</w:t>
      </w:r>
      <w:r w:rsidR="00A37C1D">
        <w:rPr>
          <w:kern w:val="0"/>
        </w:rPr>
        <w:t>. The</w:t>
      </w:r>
      <w:r>
        <w:rPr>
          <w:kern w:val="0"/>
        </w:rPr>
        <w:t xml:space="preserve"> reference lists</w:t>
      </w:r>
      <w:r w:rsidR="00427468">
        <w:rPr>
          <w:kern w:val="0"/>
        </w:rPr>
        <w:t xml:space="preserve"> of </w:t>
      </w:r>
      <w:r>
        <w:rPr>
          <w:kern w:val="0"/>
        </w:rPr>
        <w:t>all relevant material, the Internet</w:t>
      </w:r>
      <w:r w:rsidR="005853A9">
        <w:rPr>
          <w:kern w:val="0"/>
        </w:rPr>
        <w:t xml:space="preserve"> and </w:t>
      </w:r>
      <w:r>
        <w:rPr>
          <w:kern w:val="0"/>
        </w:rPr>
        <w:t>the trials registry www.clinicaltrials.gov for completed</w:t>
      </w:r>
      <w:r w:rsidR="005853A9">
        <w:rPr>
          <w:kern w:val="0"/>
        </w:rPr>
        <w:t xml:space="preserve"> and </w:t>
      </w:r>
      <w:r>
        <w:rPr>
          <w:kern w:val="0"/>
        </w:rPr>
        <w:t>ongoing trials were also searched. Selection criteria Randomized controlled trials in adults with a bacterial infection requiring intravenous antibiotic therapy comparing continuous versus intermittent infusions</w:t>
      </w:r>
      <w:r w:rsidR="00427468">
        <w:rPr>
          <w:kern w:val="0"/>
        </w:rPr>
        <w:t xml:space="preserve"> of </w:t>
      </w:r>
      <w:r>
        <w:rPr>
          <w:kern w:val="0"/>
        </w:rPr>
        <w:t>antibiotics were included. Both time-dependent</w:t>
      </w:r>
      <w:r w:rsidR="005853A9">
        <w:rPr>
          <w:kern w:val="0"/>
        </w:rPr>
        <w:t xml:space="preserve"> and </w:t>
      </w:r>
      <w:r>
        <w:rPr>
          <w:kern w:val="0"/>
        </w:rPr>
        <w:t>concentration-dependent antibiotics were considered. Data collection</w:t>
      </w:r>
      <w:r w:rsidR="005853A9">
        <w:rPr>
          <w:kern w:val="0"/>
        </w:rPr>
        <w:t xml:space="preserve"> and </w:t>
      </w:r>
      <w:r>
        <w:rPr>
          <w:kern w:val="0"/>
        </w:rPr>
        <w:t>analysis Three independent authors performed data extraction for the included studies. All data was cross-checked</w:t>
      </w:r>
      <w:r w:rsidR="005853A9">
        <w:rPr>
          <w:kern w:val="0"/>
        </w:rPr>
        <w:t xml:space="preserve"> and </w:t>
      </w:r>
      <w:r>
        <w:rPr>
          <w:kern w:val="0"/>
        </w:rPr>
        <w:t>disagreements resolved by consensus. An intention to treat analysis was conducted using a random-effects model. Main results Twenty-nine studies met inclusion criteria with a combined total</w:t>
      </w:r>
      <w:r w:rsidR="00427468">
        <w:rPr>
          <w:kern w:val="0"/>
        </w:rPr>
        <w:t xml:space="preserve"> of </w:t>
      </w:r>
      <w:r>
        <w:rPr>
          <w:kern w:val="0"/>
        </w:rPr>
        <w:t>over 1,600 patients</w:t>
      </w:r>
      <w:r w:rsidR="00A37C1D">
        <w:rPr>
          <w:kern w:val="0"/>
        </w:rPr>
        <w:t>. The</w:t>
      </w:r>
      <w:r>
        <w:rPr>
          <w:kern w:val="0"/>
        </w:rPr>
        <w:t xml:space="preserve"> majority</w:t>
      </w:r>
      <w:r w:rsidR="00427468">
        <w:rPr>
          <w:kern w:val="0"/>
        </w:rPr>
        <w:t xml:space="preserve"> of </w:t>
      </w:r>
      <w:r>
        <w:rPr>
          <w:kern w:val="0"/>
        </w:rPr>
        <w:t>included studies were judged to be at unclear or high risk</w:t>
      </w:r>
      <w:r w:rsidR="00427468">
        <w:rPr>
          <w:kern w:val="0"/>
        </w:rPr>
        <w:t xml:space="preserve"> of </w:t>
      </w:r>
      <w:r>
        <w:rPr>
          <w:kern w:val="0"/>
        </w:rPr>
        <w:t>bias with regard to randomisation sequence generation, allocation concealment, blinding, management</w:t>
      </w:r>
      <w:r w:rsidR="00427468">
        <w:rPr>
          <w:kern w:val="0"/>
        </w:rPr>
        <w:t xml:space="preserve"> of </w:t>
      </w:r>
      <w:r>
        <w:rPr>
          <w:kern w:val="0"/>
        </w:rPr>
        <w:t>incomplete outcome data, selective outcome reporting,</w:t>
      </w:r>
      <w:r w:rsidR="005853A9">
        <w:rPr>
          <w:kern w:val="0"/>
        </w:rPr>
        <w:t xml:space="preserve"> and </w:t>
      </w:r>
      <w:r>
        <w:rPr>
          <w:kern w:val="0"/>
        </w:rPr>
        <w:t>other potential threats to validity. No studies were judged to be at low risk</w:t>
      </w:r>
      <w:r w:rsidR="00427468">
        <w:rPr>
          <w:kern w:val="0"/>
        </w:rPr>
        <w:t xml:space="preserve"> of </w:t>
      </w:r>
      <w:r>
        <w:rPr>
          <w:kern w:val="0"/>
        </w:rPr>
        <w:t>bias for all methodological quality items assessed</w:t>
      </w:r>
      <w:r w:rsidR="00A37C1D">
        <w:rPr>
          <w:kern w:val="0"/>
        </w:rPr>
        <w:t>. The</w:t>
      </w:r>
      <w:r>
        <w:rPr>
          <w:kern w:val="0"/>
        </w:rPr>
        <w:t>re were no differences in all-cause mortality (n=1241, RR 0.89, 95% CI 0.67 - 1.20, p=0.45), infection recurrence (n=398, RR 1.22, 95% CI 0.35 - 4.19, p=0.76), clinical cure (n=975, RR 1.00, 95% CI 0.93 - 1.08, p=0.98),</w:t>
      </w:r>
      <w:r w:rsidR="005853A9">
        <w:rPr>
          <w:kern w:val="0"/>
        </w:rPr>
        <w:t xml:space="preserve"> and </w:t>
      </w:r>
      <w:r>
        <w:rPr>
          <w:kern w:val="0"/>
        </w:rPr>
        <w:t>superinfection post-therapy (n=813, RR 1.08, 95% CI 0.60 - 1.94, p=0.79)</w:t>
      </w:r>
      <w:r w:rsidR="00A37C1D">
        <w:rPr>
          <w:kern w:val="0"/>
        </w:rPr>
        <w:t>. The</w:t>
      </w:r>
      <w:r>
        <w:rPr>
          <w:kern w:val="0"/>
        </w:rPr>
        <w:t>re were no differences in safety outcomes including adverse events (n=575, RR 1.02, 95% CI 0.94 - 1.12, p=0.63), serious adverse events (n=871, RR 1.36, 95% CI 0.80 - 2.30, p=0.26),</w:t>
      </w:r>
      <w:r w:rsidR="005853A9">
        <w:rPr>
          <w:kern w:val="0"/>
        </w:rPr>
        <w:t xml:space="preserve"> and </w:t>
      </w:r>
      <w:r>
        <w:rPr>
          <w:kern w:val="0"/>
        </w:rPr>
        <w:t>withdrawal due to adverse events (n=871, RR 2.03, 95% CI 0.52 - 7.95, p=0.31). A difference was observed in the subgroup analyses</w:t>
      </w:r>
      <w:r w:rsidR="00427468">
        <w:rPr>
          <w:kern w:val="0"/>
        </w:rPr>
        <w:t xml:space="preserve"> of </w:t>
      </w:r>
      <w:r>
        <w:rPr>
          <w:kern w:val="0"/>
        </w:rPr>
        <w:t>clinical cure in septic versus non-septic patients, where intermittent antibiotic infusions were favoured for clinical cure in septic patients. However, this effect was not consistent between random-effects</w:t>
      </w:r>
      <w:r w:rsidR="005853A9">
        <w:rPr>
          <w:kern w:val="0"/>
        </w:rPr>
        <w:t xml:space="preserve"> and </w:t>
      </w:r>
      <w:r>
        <w:rPr>
          <w:kern w:val="0"/>
        </w:rPr>
        <w:t>fixed-effects analyses. No differences were found in sensitivity analyses conducted. Authors</w:t>
      </w:r>
      <w:r w:rsidR="0071223E">
        <w:rPr>
          <w:kern w:val="0"/>
        </w:rPr>
        <w:t>’</w:t>
      </w:r>
      <w:r>
        <w:rPr>
          <w:kern w:val="0"/>
        </w:rPr>
        <w:t xml:space="preserve"> conclusions There were no differences in mortality, infection recurrence, clinical cure, superinfection post-therapy,</w:t>
      </w:r>
      <w:r w:rsidR="005853A9">
        <w:rPr>
          <w:kern w:val="0"/>
        </w:rPr>
        <w:t xml:space="preserve"> and </w:t>
      </w:r>
      <w:r>
        <w:rPr>
          <w:kern w:val="0"/>
        </w:rPr>
        <w:t>safety outcomes when comparing continuous infusions</w:t>
      </w:r>
      <w:r w:rsidR="00427468">
        <w:rPr>
          <w:kern w:val="0"/>
        </w:rPr>
        <w:t xml:space="preserve"> of </w:t>
      </w:r>
      <w:r>
        <w:rPr>
          <w:kern w:val="0"/>
        </w:rPr>
        <w:t>intravenous antibiotics to traditional intermittent infusions</w:t>
      </w:r>
      <w:r w:rsidR="00427468">
        <w:rPr>
          <w:kern w:val="0"/>
        </w:rPr>
        <w:t xml:space="preserve"> of </w:t>
      </w:r>
      <w:r>
        <w:rPr>
          <w:kern w:val="0"/>
        </w:rPr>
        <w:t>antibiotics. However, the wide confidence intervals suggest that beneficial or harmful effects cannot be ruled out for all outcomes</w:t>
      </w:r>
      <w:r w:rsidR="00A37C1D">
        <w:rPr>
          <w:kern w:val="0"/>
        </w:rPr>
        <w:t>. The</w:t>
      </w:r>
      <w:r>
        <w:rPr>
          <w:kern w:val="0"/>
        </w:rPr>
        <w:t>refore, the current evidence is insufficient to recommend the widespread adoption</w:t>
      </w:r>
      <w:r w:rsidR="00427468">
        <w:rPr>
          <w:kern w:val="0"/>
        </w:rPr>
        <w:t xml:space="preserve"> of </w:t>
      </w:r>
      <w:r>
        <w:rPr>
          <w:kern w:val="0"/>
        </w:rPr>
        <w:t>continuous infusion antibiotics in the place</w:t>
      </w:r>
      <w:r w:rsidR="00427468">
        <w:rPr>
          <w:kern w:val="0"/>
        </w:rPr>
        <w:t xml:space="preserve"> </w:t>
      </w:r>
      <w:r w:rsidR="00427468">
        <w:rPr>
          <w:kern w:val="0"/>
        </w:rPr>
        <w:lastRenderedPageBreak/>
        <w:t xml:space="preserve">of </w:t>
      </w:r>
      <w:r>
        <w:rPr>
          <w:kern w:val="0"/>
        </w:rPr>
        <w:t>intermittent infusions</w:t>
      </w:r>
      <w:r w:rsidR="00427468">
        <w:rPr>
          <w:kern w:val="0"/>
        </w:rPr>
        <w:t xml:space="preserve"> of </w:t>
      </w:r>
      <w:r>
        <w:rPr>
          <w:kern w:val="0"/>
        </w:rPr>
        <w:t>antibiotics. Further large prospective randomised trials, with consistent</w:t>
      </w:r>
      <w:r w:rsidR="005853A9">
        <w:rPr>
          <w:kern w:val="0"/>
        </w:rPr>
        <w:t xml:space="preserve"> and </w:t>
      </w:r>
      <w:r>
        <w:rPr>
          <w:kern w:val="0"/>
        </w:rPr>
        <w:t>complete reporting</w:t>
      </w:r>
      <w:r w:rsidR="00427468">
        <w:rPr>
          <w:kern w:val="0"/>
        </w:rPr>
        <w:t xml:space="preserve"> of </w:t>
      </w:r>
      <w:r>
        <w:rPr>
          <w:kern w:val="0"/>
        </w:rPr>
        <w:t>clinical outcome measures, conducted with concurrent pharmacokinetic</w:t>
      </w:r>
      <w:r w:rsidR="005853A9">
        <w:rPr>
          <w:kern w:val="0"/>
        </w:rPr>
        <w:t xml:space="preserve"> and </w:t>
      </w:r>
      <w:r>
        <w:rPr>
          <w:kern w:val="0"/>
        </w:rPr>
        <w:t>pharmacodynamic studies in special populations are required to determine whether adoption</w:t>
      </w:r>
      <w:r w:rsidR="00427468">
        <w:rPr>
          <w:kern w:val="0"/>
        </w:rPr>
        <w:t xml:space="preserve"> of </w:t>
      </w:r>
      <w:r>
        <w:rPr>
          <w:kern w:val="0"/>
        </w:rPr>
        <w:t>continuous antibiotic infusions is warranted in specific circumstances.</w:t>
      </w:r>
    </w:p>
    <w:p w:rsidR="00365DE4" w:rsidRDefault="00365DE4" w:rsidP="00365DE4">
      <w:pPr>
        <w:pStyle w:val="a3"/>
        <w:rPr>
          <w:kern w:val="0"/>
        </w:rPr>
      </w:pPr>
      <w:r>
        <w:rPr>
          <w:kern w:val="0"/>
        </w:rPr>
        <w:t>Keywords: Administration, Adoption, Allocation, Alternative, Analyses, Analysis, Antibiotic Therapy, Antibiotics, Authors, Bacterial Infection, Beta-Lactam Antibiotics, Bias, Ceftazidime Continuous-Infusion, Citation, Clinical, Collection, Complete, Complicated Intraabdominal Infection, Conference, Confidence, Confidence Intervals, Consensus, Criteria, Critically-Ill Patients, Data, Data Collection, Databases, Effects, Efficacy, Embase, Events, Evidence, Extraction, Generation, Gram-Negative Bacilli, Infection, Infections, Infusion, Intensive-Care Patients, Internet, Intervals, Intravenous, Investigation</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Low Risk, Management, </w:t>
      </w:r>
      <w:r w:rsidR="00D5664A">
        <w:rPr>
          <w:kern w:val="0"/>
        </w:rPr>
        <w:t>MEDLINE</w:t>
      </w:r>
      <w:r>
        <w:rPr>
          <w:kern w:val="0"/>
        </w:rPr>
        <w:t xml:space="preserve">, Methods, Model, Mortality, Nosocomial Pneumonia, Outcome, Outcome Measures, Outcomes, Patients, Piperacillin-Tazobactam, Populations, Potential, Prospective, Quality, Random Effects Model, Randomisation, Randomised, Randomized Controlled Trials, Recurrence, Reference, Reference Lists, Registry, Reporting, Resistant Staphylococcus-Aureus, Risk, Safety, Science, Science Citation Index, Science Citation Index Expanded, Search, Sensitivity, Therapy, Time-Dependent, Treatment, Validity, Ventilator-Associated Pneumonia, </w:t>
      </w:r>
      <w:r w:rsidR="00D5664A">
        <w:rPr>
          <w:kern w:val="0"/>
        </w:rPr>
        <w:t>Web</w:t>
      </w:r>
      <w:r w:rsidR="00427468">
        <w:rPr>
          <w:kern w:val="0"/>
        </w:rPr>
        <w:t xml:space="preserve"> of </w:t>
      </w:r>
      <w:r w:rsidR="00D5664A">
        <w:rPr>
          <w:kern w:val="0"/>
        </w:rPr>
        <w:t>Science</w:t>
      </w:r>
    </w:p>
    <w:p w:rsidR="00D8726F" w:rsidRDefault="00D8726F" w:rsidP="00D8726F">
      <w:pPr>
        <w:pStyle w:val="a3"/>
        <w:rPr>
          <w:kern w:val="0"/>
        </w:rPr>
      </w:pPr>
      <w:r>
        <w:rPr>
          <w:rFonts w:hint="eastAsia"/>
          <w:kern w:val="0"/>
        </w:rPr>
        <w:t xml:space="preserve">? </w:t>
      </w:r>
      <w:r>
        <w:rPr>
          <w:kern w:val="0"/>
        </w:rPr>
        <w:t xml:space="preserve">Waterman, H., Evans, J.R., Gray, T.A., Henson, D. and Harper, R. (2013), Interventions for improving adherence to ocular hypotensive therapy. </w:t>
      </w:r>
      <w:r>
        <w:rPr>
          <w:i/>
          <w:iCs/>
          <w:kern w:val="0"/>
        </w:rPr>
        <w:t>Cochrane Database</w:t>
      </w:r>
      <w:r w:rsidR="00427468">
        <w:rPr>
          <w:i/>
          <w:iCs/>
          <w:kern w:val="0"/>
        </w:rPr>
        <w:t xml:space="preserve"> of </w:t>
      </w:r>
      <w:r>
        <w:rPr>
          <w:i/>
          <w:iCs/>
          <w:kern w:val="0"/>
        </w:rPr>
        <w:t>Systematic Reviews</w:t>
      </w:r>
      <w:r>
        <w:rPr>
          <w:kern w:val="0"/>
        </w:rPr>
        <w:t>,</w:t>
      </w:r>
      <w:r w:rsidRPr="000873FA">
        <w:rPr>
          <w:rFonts w:hint="eastAsia"/>
          <w:kern w:val="0"/>
        </w:rPr>
        <w:t xml:space="preserve"> </w:t>
      </w:r>
      <w:r>
        <w:rPr>
          <w:rFonts w:hint="eastAsia"/>
          <w:b/>
          <w:kern w:val="0"/>
        </w:rPr>
        <w:t>4</w:t>
      </w:r>
      <w:r>
        <w:rPr>
          <w:kern w:val="0"/>
        </w:rPr>
        <w:t xml:space="preserve">, Article Number: </w:t>
      </w:r>
      <w:r w:rsidRPr="000873FA">
        <w:rPr>
          <w:kern w:val="0"/>
        </w:rPr>
        <w:t>CD006132</w:t>
      </w:r>
      <w:r>
        <w:rPr>
          <w:kern w:val="0"/>
        </w:rPr>
        <w:t>.</w:t>
      </w:r>
    </w:p>
    <w:p w:rsidR="00D8726F" w:rsidRDefault="00D8726F" w:rsidP="00D8726F">
      <w:pPr>
        <w:pStyle w:val="a3"/>
        <w:rPr>
          <w:kern w:val="2"/>
        </w:rPr>
      </w:pPr>
      <w:r>
        <w:t xml:space="preserve">Full Text: 2013\Coc Dat Sys Rev2013, </w:t>
      </w:r>
      <w:r w:rsidRPr="000873FA">
        <w:rPr>
          <w:kern w:val="0"/>
        </w:rPr>
        <w:t>CD006132</w:t>
      </w:r>
      <w:r>
        <w:rPr>
          <w:kern w:val="0"/>
        </w:rPr>
        <w:t>.pdf</w:t>
      </w:r>
    </w:p>
    <w:p w:rsidR="00D8726F" w:rsidRDefault="00D8726F" w:rsidP="00D8726F">
      <w:pPr>
        <w:pStyle w:val="a3"/>
        <w:rPr>
          <w:kern w:val="0"/>
        </w:rPr>
      </w:pPr>
      <w:r>
        <w:rPr>
          <w:kern w:val="0"/>
        </w:rPr>
        <w:t>Abstract: Background Poor adherence to therapy is a significant healthcare issue, particularly in patients with chronic disease such as open-angle glaucoma. Treatment failure may necessitate unwarranted changes</w:t>
      </w:r>
      <w:r w:rsidR="00427468">
        <w:rPr>
          <w:kern w:val="0"/>
        </w:rPr>
        <w:t xml:space="preserve"> of </w:t>
      </w:r>
      <w:r>
        <w:rPr>
          <w:kern w:val="0"/>
        </w:rPr>
        <w:t>medications, increased healthcare expenditure and risk to the patient if surgical intervention is required. Simplifying eye drop regimes, providing adequate information, teaching drop instillation technique and ongoing support according to the patient need may have a positive effect on improving adherence. Objectives To summarise the effects</w:t>
      </w:r>
      <w:r w:rsidR="00427468">
        <w:rPr>
          <w:kern w:val="0"/>
        </w:rPr>
        <w:t xml:space="preserve"> of </w:t>
      </w:r>
      <w:r>
        <w:rPr>
          <w:kern w:val="0"/>
        </w:rPr>
        <w:t>interventions for improving adherence to ocular hypotensive therapy in people with ocular hypertension (OHT) or glaucoma. Search methods We searched CENTRAL (which contains the Cochrane Eyes and Vision Group Trials Register) (The Cochrane Library 2012, Issue 6), MEDLINE (June 1946 to June 2012), EMBASE (June 1980 to June 2012), Cumulative Index to Nursing and Allied Health Literature (CINAHL) (June 1937 to June 2012), PsycINFO (1806 to June 2012), PsycEXTRA (1908 to June 2012), Web</w:t>
      </w:r>
      <w:r w:rsidR="00427468">
        <w:rPr>
          <w:kern w:val="0"/>
        </w:rPr>
        <w:t xml:space="preserve"> of </w:t>
      </w:r>
      <w:r>
        <w:rPr>
          <w:kern w:val="0"/>
        </w:rPr>
        <w:t xml:space="preserve">Science (1970 to June 2012), ZETOC (1993 to June 2012), </w:t>
      </w:r>
      <w:r>
        <w:rPr>
          <w:kern w:val="0"/>
        </w:rPr>
        <w:lastRenderedPageBreak/>
        <w:t>OpenGrey (System for Information on Grey Literature in Europe) (www.opengrey.eu/), the metaRegister</w:t>
      </w:r>
      <w:r w:rsidR="00427468">
        <w:rPr>
          <w:kern w:val="0"/>
        </w:rPr>
        <w:t xml:space="preserve"> of </w:t>
      </w:r>
      <w:r>
        <w:rPr>
          <w:kern w:val="0"/>
        </w:rPr>
        <w:t>Controlled Trials (mRCT) (www.controlled-trials.com), ClinicalTrials.gov (www.clinicaltrials.gov) and the WHO International Clinical Trials Registry Platform(ICTRP) (www.who.int/ictrp/search/en). We did not use any date or language restrictions in the electronic searches for trials</w:t>
      </w:r>
      <w:r w:rsidR="00A37C1D">
        <w:rPr>
          <w:kern w:val="0"/>
        </w:rPr>
        <w:t>. The</w:t>
      </w:r>
      <w:r>
        <w:rPr>
          <w:kern w:val="0"/>
        </w:rPr>
        <w:t xml:space="preserve"> electronic databases were last searched on 26 June 2012. We did not search the National Research Register (NNR) as this resource has now been now archived. We contacted pharmaceutical manufacturers to request unpublished data and searched conference proceedings for the Association for Research in Vision and Ophthalmology (ARVO), and the Annual Congress for the Royal College</w:t>
      </w:r>
      <w:r w:rsidR="00427468">
        <w:rPr>
          <w:kern w:val="0"/>
        </w:rPr>
        <w:t xml:space="preserve"> of </w:t>
      </w:r>
      <w:r>
        <w:rPr>
          <w:kern w:val="0"/>
        </w:rPr>
        <w:t>Ophthalmologists (RCO). Selection criteria We included randomised controlled trials (RCTs) and quasi-RCTs that compared interventions to improve adherence to ocular hypotensive therapy for patients with OHT or glaucoma. Data collection and analysis At least two authors independently assessed the search results for eligibility and extracted data for included trials onto specifically designed forms. We did not pool data due to clinical and methodological heterogeneity. Main results Sixteen trials (1565 participants) met the inclusion criteria. Seven studies investigated some form</w:t>
      </w:r>
      <w:r w:rsidR="00427468">
        <w:rPr>
          <w:kern w:val="0"/>
        </w:rPr>
        <w:t xml:space="preserve"> of </w:t>
      </w:r>
      <w:r>
        <w:rPr>
          <w:kern w:val="0"/>
        </w:rPr>
        <w:t>patient education. In six</w:t>
      </w:r>
      <w:r w:rsidR="00427468">
        <w:rPr>
          <w:kern w:val="0"/>
        </w:rPr>
        <w:t xml:space="preserve"> of </w:t>
      </w:r>
      <w:r>
        <w:rPr>
          <w:kern w:val="0"/>
        </w:rPr>
        <w:t>these studies this education was combined with other behavioural change interventions including tailoring daily routines to promote adherence to eye drops. Eight studies compared different drug regimens (one</w:t>
      </w:r>
      <w:r w:rsidR="00427468">
        <w:rPr>
          <w:kern w:val="0"/>
        </w:rPr>
        <w:t xml:space="preserve"> of </w:t>
      </w:r>
      <w:r>
        <w:rPr>
          <w:kern w:val="0"/>
        </w:rPr>
        <w:t>these trials also compared open and masked monitoring) and one study investigated a reminder device</w:t>
      </w:r>
      <w:r w:rsidR="00A37C1D">
        <w:rPr>
          <w:kern w:val="0"/>
        </w:rPr>
        <w:t>. The</w:t>
      </w:r>
      <w:r>
        <w:rPr>
          <w:kern w:val="0"/>
        </w:rPr>
        <w:t xml:space="preserve"> studies were</w:t>
      </w:r>
      <w:r w:rsidR="00427468">
        <w:rPr>
          <w:kern w:val="0"/>
        </w:rPr>
        <w:t xml:space="preserve"> of </w:t>
      </w:r>
      <w:r>
        <w:rPr>
          <w:kern w:val="0"/>
        </w:rPr>
        <w:t>variable quality and some were at considerable risk</w:t>
      </w:r>
      <w:r w:rsidR="00427468">
        <w:rPr>
          <w:kern w:val="0"/>
        </w:rPr>
        <w:t xml:space="preserve"> of </w:t>
      </w:r>
      <w:r>
        <w:rPr>
          <w:kern w:val="0"/>
        </w:rPr>
        <w:t>bias; in general, the length</w:t>
      </w:r>
      <w:r w:rsidR="00427468">
        <w:rPr>
          <w:kern w:val="0"/>
        </w:rPr>
        <w:t xml:space="preserve"> of </w:t>
      </w:r>
      <w:r>
        <w:rPr>
          <w:kern w:val="0"/>
        </w:rPr>
        <w:t>follow-up was short at less than six months with only two studies following up to 12 months. Different interventions and outcomes were reported and so it was not possible to produce an overall estimate</w:t>
      </w:r>
      <w:r w:rsidR="00427468">
        <w:rPr>
          <w:kern w:val="0"/>
        </w:rPr>
        <w:t xml:space="preserve"> of </w:t>
      </w:r>
      <w:r>
        <w:rPr>
          <w:kern w:val="0"/>
        </w:rPr>
        <w:t>effect</w:t>
      </w:r>
      <w:r w:rsidR="00A37C1D">
        <w:rPr>
          <w:kern w:val="0"/>
        </w:rPr>
        <w:t>. The</w:t>
      </w:r>
      <w:r>
        <w:rPr>
          <w:kern w:val="0"/>
        </w:rPr>
        <w:t>re was some evidence from three studies that education combined with personalised interventions, that is, more complex interventions, improved adherence to ocular hypotensive therapy</w:t>
      </w:r>
      <w:r w:rsidR="00A37C1D">
        <w:rPr>
          <w:kern w:val="0"/>
        </w:rPr>
        <w:t>. The</w:t>
      </w:r>
      <w:r>
        <w:rPr>
          <w:kern w:val="0"/>
        </w:rPr>
        <w:t>re was less information on other outcomes such as persistence and intraocular pressure, and no information on visual field defects, quality</w:t>
      </w:r>
      <w:r w:rsidR="00427468">
        <w:rPr>
          <w:kern w:val="0"/>
        </w:rPr>
        <w:t xml:space="preserve"> of </w:t>
      </w:r>
      <w:r>
        <w:rPr>
          <w:kern w:val="0"/>
        </w:rPr>
        <w:t>life and cost</w:t>
      </w:r>
      <w:r w:rsidR="00A37C1D">
        <w:rPr>
          <w:kern w:val="0"/>
        </w:rPr>
        <w:t>. The</w:t>
      </w:r>
      <w:r>
        <w:rPr>
          <w:kern w:val="0"/>
        </w:rPr>
        <w:t>re was weak evidence as to whether people on simpler drug regimens were more likely to adhere and persist with their ocular hypotensive therapy. A particular problem was the interpretation</w:t>
      </w:r>
      <w:r w:rsidR="00427468">
        <w:rPr>
          <w:kern w:val="0"/>
        </w:rPr>
        <w:t xml:space="preserve"> of </w:t>
      </w:r>
      <w:r>
        <w:rPr>
          <w:kern w:val="0"/>
        </w:rPr>
        <w:t>cross-over studies, which in general were not reported correctly. One study investigated a reminder device and monitoring but the study was small and inconclusive. Authors</w:t>
      </w:r>
      <w:r w:rsidR="0071223E">
        <w:rPr>
          <w:kern w:val="0"/>
        </w:rPr>
        <w:t>’</w:t>
      </w:r>
      <w:r>
        <w:rPr>
          <w:kern w:val="0"/>
        </w:rPr>
        <w:t xml:space="preserve"> conclusions Although complex interventions consisting</w:t>
      </w:r>
      <w:r w:rsidR="00427468">
        <w:rPr>
          <w:kern w:val="0"/>
        </w:rPr>
        <w:t xml:space="preserve"> of </w:t>
      </w:r>
      <w:r>
        <w:rPr>
          <w:kern w:val="0"/>
        </w:rPr>
        <w:t>patient education combined with personalised behavioural change interventions, including tailoring daily routines to promote adherence to eye drops, may improve adherence to glaucoma medication, overall there is insufficient evidence to recommend a particular intervention</w:t>
      </w:r>
      <w:r w:rsidR="00A37C1D">
        <w:rPr>
          <w:kern w:val="0"/>
        </w:rPr>
        <w:t>. The</w:t>
      </w:r>
      <w:r>
        <w:rPr>
          <w:kern w:val="0"/>
        </w:rPr>
        <w:t xml:space="preserve"> interventions varied between studies and none</w:t>
      </w:r>
      <w:r w:rsidR="00427468">
        <w:rPr>
          <w:kern w:val="0"/>
        </w:rPr>
        <w:t xml:space="preserve"> of </w:t>
      </w:r>
      <w:r>
        <w:rPr>
          <w:kern w:val="0"/>
        </w:rPr>
        <w:t xml:space="preserve">the </w:t>
      </w:r>
      <w:r>
        <w:rPr>
          <w:kern w:val="0"/>
        </w:rPr>
        <w:lastRenderedPageBreak/>
        <w:t>included studies reported on the cost</w:t>
      </w:r>
      <w:r w:rsidR="00427468">
        <w:rPr>
          <w:kern w:val="0"/>
        </w:rPr>
        <w:t xml:space="preserve"> of </w:t>
      </w:r>
      <w:r>
        <w:rPr>
          <w:kern w:val="0"/>
        </w:rPr>
        <w:t>the intervention. Simplified drug regimens also could be</w:t>
      </w:r>
      <w:r w:rsidR="00427468">
        <w:rPr>
          <w:kern w:val="0"/>
        </w:rPr>
        <w:t xml:space="preserve"> of </w:t>
      </w:r>
      <w:r>
        <w:rPr>
          <w:kern w:val="0"/>
        </w:rPr>
        <w:t>benefit but again the current published studies do not provide conclusive evidence. Future studies should follow up for at least one year, and could benefit from standardised outcomes.</w:t>
      </w:r>
    </w:p>
    <w:p w:rsidR="00D8726F" w:rsidRDefault="00D8726F" w:rsidP="00D8726F">
      <w:pPr>
        <w:pStyle w:val="a3"/>
        <w:rPr>
          <w:kern w:val="0"/>
        </w:rPr>
      </w:pPr>
      <w:r>
        <w:rPr>
          <w:kern w:val="0"/>
        </w:rPr>
        <w:t>Keywords: 0.5-Percent Fixed Combination, Adherence, Analysis, Association, Authors, Bias, Changes, Chronic, Chronic Disease, Clinical, Clinical Trials, Collection, Conference Proceedings, Cost, Criteria, Data, Data Collection, Databases, Disease, Dosing Aid, Drug, Education, Effects, Embase, Europe, Evidence, Failure, Field, Follow-Up, Forms, Gel-Forming Solution, General, Glaucoma [Drug Therapy], Grey Literature, Health, Heterogeneity, Humans, Hypertension, Information, Intervention, Interventions, Intraocular-Pressure, Language, Length, Life, Literature, Medication Adherence, Medline, Methods, Monitoring, Nursing, Ocular Hypertension [Drug Therapy], Open, Open-Angle Glaucoma, Ophthalmic Solution, Ophthalmic Solutions [Administration &amp; Dosage], Ophthalmology, Outcomes, Patient Compliance, Patient Education, Patients, Persistence, Pressure, Psycinfo, Quality, Quality Of, Quality</w:t>
      </w:r>
      <w:r w:rsidR="00427468">
        <w:rPr>
          <w:kern w:val="0"/>
        </w:rPr>
        <w:t xml:space="preserve"> of </w:t>
      </w:r>
      <w:r>
        <w:rPr>
          <w:kern w:val="0"/>
        </w:rPr>
        <w:t>Life, Quality-Of-Life, Randomised, Randomised Controlled Trials, Randomized Controlled Trials As Topic, Randomized Controlled-Trials, Research, Restrictions, Risk, Science, Search, Self-Reported Adherence, Small, Support, Teaching, Therapy, Treatment, Web</w:t>
      </w:r>
      <w:r w:rsidR="00427468">
        <w:rPr>
          <w:kern w:val="0"/>
        </w:rPr>
        <w:t xml:space="preserve"> of </w:t>
      </w:r>
      <w:r>
        <w:rPr>
          <w:kern w:val="0"/>
        </w:rPr>
        <w:t>Science, Who</w:t>
      </w:r>
    </w:p>
    <w:p w:rsidR="00365DE4" w:rsidRDefault="00365DE4" w:rsidP="00365DE4">
      <w:pPr>
        <w:pStyle w:val="a3"/>
        <w:rPr>
          <w:kern w:val="0"/>
        </w:rPr>
      </w:pPr>
      <w:r>
        <w:rPr>
          <w:kern w:val="0"/>
        </w:rPr>
        <w:t>? Gur</w:t>
      </w:r>
      <w:r w:rsidR="00D5664A">
        <w:rPr>
          <w:kern w:val="0"/>
        </w:rPr>
        <w:t>USA</w:t>
      </w:r>
      <w:r>
        <w:rPr>
          <w:kern w:val="0"/>
        </w:rPr>
        <w:t>my, K.S., Koti, R., F</w:t>
      </w:r>
      <w:r w:rsidR="00D5664A">
        <w:rPr>
          <w:kern w:val="0"/>
        </w:rPr>
        <w:t>USA</w:t>
      </w:r>
      <w:r>
        <w:rPr>
          <w:kern w:val="0"/>
        </w:rPr>
        <w:t>i, G.</w:t>
      </w:r>
      <w:r w:rsidR="005853A9">
        <w:rPr>
          <w:kern w:val="0"/>
        </w:rPr>
        <w:t xml:space="preserve"> and </w:t>
      </w:r>
      <w:r>
        <w:rPr>
          <w:kern w:val="0"/>
        </w:rPr>
        <w:t xml:space="preserve">Davidson, B.R. (2013), Somatostatin analogues for pancreatic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CD008370.</w:t>
      </w:r>
    </w:p>
    <w:p w:rsidR="00365DE4" w:rsidRDefault="00365DE4" w:rsidP="00365DE4">
      <w:pPr>
        <w:pStyle w:val="a3"/>
        <w:rPr>
          <w:kern w:val="2"/>
        </w:rPr>
      </w:pPr>
      <w:r>
        <w:t>Full Text: 2013\Coc Dat Sys Rev2013, CD008370.pdf</w:t>
      </w:r>
    </w:p>
    <w:p w:rsidR="00365DE4" w:rsidRDefault="00365DE4" w:rsidP="00365DE4">
      <w:pPr>
        <w:pStyle w:val="a3"/>
        <w:rPr>
          <w:kern w:val="0"/>
        </w:rPr>
      </w:pPr>
      <w:r>
        <w:rPr>
          <w:kern w:val="0"/>
        </w:rPr>
        <w:t>Abstract: Background Pancreatic resections are associated with high morbidity (30% to 60%)</w:t>
      </w:r>
      <w:r w:rsidR="005853A9">
        <w:rPr>
          <w:kern w:val="0"/>
        </w:rPr>
        <w:t xml:space="preserve"> and </w:t>
      </w:r>
      <w:r>
        <w:rPr>
          <w:kern w:val="0"/>
        </w:rPr>
        <w:t>mortality (5%). Synthetic analogues</w:t>
      </w:r>
      <w:r w:rsidR="00427468">
        <w:rPr>
          <w:kern w:val="0"/>
        </w:rPr>
        <w:t xml:space="preserve"> of </w:t>
      </w:r>
      <w:r>
        <w:rPr>
          <w:kern w:val="0"/>
        </w:rPr>
        <w:t>somatostatin are advocated by some surgeons to reduce complications following pancreatic surgery; however, their use is controversial. Objectives To determine whether prophylactic somatostatin analogues should be used routinely in pancreatic surgery. Search methods We searched the Cochrane Upper Gastrointestinal</w:t>
      </w:r>
      <w:r w:rsidR="005853A9">
        <w:rPr>
          <w:kern w:val="0"/>
        </w:rPr>
        <w:t xml:space="preserve"> and </w:t>
      </w:r>
      <w:r>
        <w:rPr>
          <w:kern w:val="0"/>
        </w:rPr>
        <w:t>Pancreatic Diseases Group Trials Register, the Cochrane Central Register</w:t>
      </w:r>
      <w:r w:rsidR="00427468">
        <w:rPr>
          <w:kern w:val="0"/>
        </w:rPr>
        <w:t xml:space="preserve"> of </w:t>
      </w:r>
      <w:r>
        <w:rPr>
          <w:kern w:val="0"/>
        </w:rPr>
        <w:t xml:space="preserve">Controlled Trials (CENTRAL) (The Cochrane Library 2013, Issue 1), </w:t>
      </w:r>
      <w:r w:rsidR="00D5664A">
        <w:rPr>
          <w:kern w:val="0"/>
        </w:rPr>
        <w:t>MEDLINE</w:t>
      </w:r>
      <w:r>
        <w:rPr>
          <w:kern w:val="0"/>
        </w:rPr>
        <w:t>, EMBASE</w:t>
      </w:r>
      <w:r w:rsidR="005853A9">
        <w:rPr>
          <w:kern w:val="0"/>
        </w:rPr>
        <w:t xml:space="preserve"> and </w:t>
      </w:r>
      <w:r>
        <w:rPr>
          <w:kern w:val="0"/>
        </w:rPr>
        <w:t>Science Citation Index Expanded to February 2013. Selection criteria We included randomised controlled trials comparing prophylactic somatostatin or one</w:t>
      </w:r>
      <w:r w:rsidR="00427468">
        <w:rPr>
          <w:kern w:val="0"/>
        </w:rPr>
        <w:t xml:space="preserve"> of </w:t>
      </w:r>
      <w:r>
        <w:rPr>
          <w:kern w:val="0"/>
        </w:rPr>
        <w:t>its analogues versus no drug or placebo during pancreatic surgery (irrespective</w:t>
      </w:r>
      <w:r w:rsidR="00427468">
        <w:rPr>
          <w:kern w:val="0"/>
        </w:rPr>
        <w:t xml:space="preserve"> of </w:t>
      </w:r>
      <w:r>
        <w:rPr>
          <w:kern w:val="0"/>
        </w:rPr>
        <w:t>language or publication status). Data collection</w:t>
      </w:r>
      <w:r w:rsidR="005853A9">
        <w:rPr>
          <w:kern w:val="0"/>
        </w:rPr>
        <w:t xml:space="preserve"> and </w:t>
      </w:r>
      <w:r>
        <w:rPr>
          <w:kern w:val="0"/>
        </w:rPr>
        <w:t>analysis Two review authors independently assessed trials for inclusion</w:t>
      </w:r>
      <w:r w:rsidR="005853A9">
        <w:rPr>
          <w:kern w:val="0"/>
        </w:rPr>
        <w:t xml:space="preserve"> and </w:t>
      </w:r>
      <w:r>
        <w:rPr>
          <w:kern w:val="0"/>
        </w:rPr>
        <w:t>independently extracted data. We analysed data with both the fixed-effect</w:t>
      </w:r>
      <w:r w:rsidR="005853A9">
        <w:rPr>
          <w:kern w:val="0"/>
        </w:rPr>
        <w:t xml:space="preserve"> and </w:t>
      </w:r>
      <w:r>
        <w:rPr>
          <w:kern w:val="0"/>
        </w:rPr>
        <w:t xml:space="preserve">random-effects models using Review Manager (RevMan). We calculated the risk ratio (RR), mean difference (MD) or standardised mean difference (SMD) with 95% confidence intervals (CI) based on an intention-to-treat or available </w:t>
      </w:r>
      <w:r>
        <w:rPr>
          <w:kern w:val="0"/>
        </w:rPr>
        <w:lastRenderedPageBreak/>
        <w:t>case analysis. When it was not possible to perform either</w:t>
      </w:r>
      <w:r w:rsidR="00427468">
        <w:rPr>
          <w:kern w:val="0"/>
        </w:rPr>
        <w:t xml:space="preserve"> of </w:t>
      </w:r>
      <w:r>
        <w:rPr>
          <w:kern w:val="0"/>
        </w:rPr>
        <w:t>the above, we performed a per protocol analysis. Main results We identified 21 trials (19 trials</w:t>
      </w:r>
      <w:r w:rsidR="00427468">
        <w:rPr>
          <w:kern w:val="0"/>
        </w:rPr>
        <w:t xml:space="preserve"> of </w:t>
      </w:r>
      <w:r>
        <w:rPr>
          <w:kern w:val="0"/>
        </w:rPr>
        <w:t>high risk</w:t>
      </w:r>
      <w:r w:rsidR="00427468">
        <w:rPr>
          <w:kern w:val="0"/>
        </w:rPr>
        <w:t xml:space="preserve"> of </w:t>
      </w:r>
      <w:r>
        <w:rPr>
          <w:kern w:val="0"/>
        </w:rPr>
        <w:t>bias) involving 2348 people</w:t>
      </w:r>
      <w:r w:rsidR="00A37C1D">
        <w:rPr>
          <w:kern w:val="0"/>
        </w:rPr>
        <w:t>. The</w:t>
      </w:r>
      <w:r>
        <w:rPr>
          <w:kern w:val="0"/>
        </w:rPr>
        <w:t>re was no significant difference in the perioperative mortality (RR 0.80; 95% CI 0.56 to 1.16; n = 2210) or the number</w:t>
      </w:r>
      <w:r w:rsidR="00427468">
        <w:rPr>
          <w:kern w:val="0"/>
        </w:rPr>
        <w:t xml:space="preserve"> of </w:t>
      </w:r>
      <w:r>
        <w:rPr>
          <w:kern w:val="0"/>
        </w:rPr>
        <w:t>people with drug-related adverse effects between the two groups (RR 2.09; 95% CI 0.83 to 5.24; n = 1199). Quality</w:t>
      </w:r>
      <w:r w:rsidR="00427468">
        <w:rPr>
          <w:kern w:val="0"/>
        </w:rPr>
        <w:t xml:space="preserve"> of </w:t>
      </w:r>
      <w:r>
        <w:rPr>
          <w:kern w:val="0"/>
        </w:rPr>
        <w:t>life was not reported in any</w:t>
      </w:r>
      <w:r w:rsidR="00427468">
        <w:rPr>
          <w:kern w:val="0"/>
        </w:rPr>
        <w:t xml:space="preserve"> of </w:t>
      </w:r>
      <w:r>
        <w:rPr>
          <w:kern w:val="0"/>
        </w:rPr>
        <w:t>the trials</w:t>
      </w:r>
      <w:r w:rsidR="00A37C1D">
        <w:rPr>
          <w:kern w:val="0"/>
        </w:rPr>
        <w:t>. The</w:t>
      </w:r>
      <w:r>
        <w:rPr>
          <w:kern w:val="0"/>
        </w:rPr>
        <w:t xml:space="preserve"> overall number</w:t>
      </w:r>
      <w:r w:rsidR="00427468">
        <w:rPr>
          <w:kern w:val="0"/>
        </w:rPr>
        <w:t xml:space="preserve"> of </w:t>
      </w:r>
      <w:r>
        <w:rPr>
          <w:kern w:val="0"/>
        </w:rPr>
        <w:t>participants with postoperative complications was significantly lower in the somatostatin analogue group (RR 0.70; 95% CI 0.61 to 0.80; n = 1903) but there was no significant difference in the re-operation rate (RR 1.26; 95% CI 0.58 to 2.70; n = 687) or hospital stay (MD -1.29 days; 95% CI -2.60 to 0.03; n = 1314) between the groups</w:t>
      </w:r>
      <w:r w:rsidR="00A37C1D">
        <w:rPr>
          <w:kern w:val="0"/>
        </w:rPr>
        <w:t>. The</w:t>
      </w:r>
      <w:r>
        <w:rPr>
          <w:kern w:val="0"/>
        </w:rPr>
        <w:t xml:space="preserve"> incidence</w:t>
      </w:r>
      <w:r w:rsidR="00427468">
        <w:rPr>
          <w:kern w:val="0"/>
        </w:rPr>
        <w:t xml:space="preserve"> of </w:t>
      </w:r>
      <w:r>
        <w:rPr>
          <w:kern w:val="0"/>
        </w:rPr>
        <w:t>pancreatic fistula was lower in the somatostatin analogue group (RR 0.66; 95% CI 0.55 to 0.79; n = 2206)</w:t>
      </w:r>
      <w:r w:rsidR="00A37C1D">
        <w:rPr>
          <w:kern w:val="0"/>
        </w:rPr>
        <w:t>. The</w:t>
      </w:r>
      <w:r>
        <w:rPr>
          <w:kern w:val="0"/>
        </w:rPr>
        <w:t xml:space="preserve"> proportion</w:t>
      </w:r>
      <w:r w:rsidR="00427468">
        <w:rPr>
          <w:kern w:val="0"/>
        </w:rPr>
        <w:t xml:space="preserve"> of </w:t>
      </w:r>
      <w:r>
        <w:rPr>
          <w:kern w:val="0"/>
        </w:rPr>
        <w:t>these fistulas that were clinically significant was not mentioned in most trials. On inclusion</w:t>
      </w:r>
      <w:r w:rsidR="00427468">
        <w:rPr>
          <w:kern w:val="0"/>
        </w:rPr>
        <w:t xml:space="preserve"> of </w:t>
      </w:r>
      <w:r>
        <w:rPr>
          <w:kern w:val="0"/>
        </w:rPr>
        <w:t>trials that clearly distinguished clinically significant fistulas, there was no significant difference between the two groups (RR 0.69; 95% CI 0.38 to 1.28; n = 292). Authors</w:t>
      </w:r>
      <w:r w:rsidR="0071223E">
        <w:rPr>
          <w:kern w:val="0"/>
        </w:rPr>
        <w:t>’</w:t>
      </w:r>
      <w:r>
        <w:rPr>
          <w:kern w:val="0"/>
        </w:rPr>
        <w:t xml:space="preserve"> conclusions Somatostatin analogues may reduce perioperative complications but do not reduce perioperative mortality. Further adequately powered trials with low risk</w:t>
      </w:r>
      <w:r w:rsidR="00427468">
        <w:rPr>
          <w:kern w:val="0"/>
        </w:rPr>
        <w:t xml:space="preserve"> of </w:t>
      </w:r>
      <w:r>
        <w:rPr>
          <w:kern w:val="0"/>
        </w:rPr>
        <w:t>bias are necessary. Based on the current available evidence, somatostatin</w:t>
      </w:r>
      <w:r w:rsidR="005853A9">
        <w:rPr>
          <w:kern w:val="0"/>
        </w:rPr>
        <w:t xml:space="preserve"> and </w:t>
      </w:r>
      <w:r>
        <w:rPr>
          <w:kern w:val="0"/>
        </w:rPr>
        <w:t>its analogues are recommended for routine use in people undergoing pancreatic resection.</w:t>
      </w:r>
    </w:p>
    <w:p w:rsidR="00365DE4" w:rsidRDefault="00365DE4" w:rsidP="00365DE4">
      <w:pPr>
        <w:pStyle w:val="a3"/>
        <w:rPr>
          <w:kern w:val="0"/>
        </w:rPr>
      </w:pPr>
      <w:r>
        <w:rPr>
          <w:kern w:val="0"/>
        </w:rPr>
        <w:t xml:space="preserve">Keywords: Adverse Effects, Analysis, Authors, Bias, Case Analysis, Citation, Collection, Complications, Confidence, Confidence Intervals, Criteria, Data, Data Collection, Drug, Effects, Embase, Evidence, Fistula, Gastrointestinal, Groups, Hospital, Hospital Stay, Incidence, Intervals, Language, Life, Low Risk, </w:t>
      </w:r>
      <w:r w:rsidR="00D5664A">
        <w:rPr>
          <w:kern w:val="0"/>
        </w:rPr>
        <w:t>MEDLINE</w:t>
      </w:r>
      <w:r>
        <w:rPr>
          <w:kern w:val="0"/>
        </w:rPr>
        <w:t>, Methods, Models, Morbidity, Mortality, Pancreatic Fistula, Pancreatic Resection, Perioperative Complications, Placebo, Postoperative, Postoperative Complications, Prophylactic, Protocol, Publication, Quality, Quality</w:t>
      </w:r>
      <w:r w:rsidR="00427468">
        <w:rPr>
          <w:kern w:val="0"/>
        </w:rPr>
        <w:t xml:space="preserve"> of </w:t>
      </w:r>
      <w:r>
        <w:rPr>
          <w:kern w:val="0"/>
        </w:rPr>
        <w:t>Life, Randomised, Randomised Controlled Trials, Reoperation, Review, Risk, Science, Science Citation Index, Science Citation Index Expanded, Search, Somatostatin, Surgery</w:t>
      </w:r>
    </w:p>
    <w:p w:rsidR="00365DE4" w:rsidRDefault="00365DE4" w:rsidP="00365DE4">
      <w:pPr>
        <w:pStyle w:val="a3"/>
        <w:rPr>
          <w:kern w:val="0"/>
        </w:rPr>
      </w:pPr>
      <w:r>
        <w:rPr>
          <w:kern w:val="0"/>
        </w:rPr>
        <w:t>? Xia, Y., Luo, H., Liu, J.P.</w:t>
      </w:r>
      <w:r w:rsidR="005853A9">
        <w:rPr>
          <w:kern w:val="0"/>
        </w:rPr>
        <w:t xml:space="preserve"> and </w:t>
      </w:r>
      <w:r>
        <w:rPr>
          <w:kern w:val="0"/>
        </w:rPr>
        <w:t xml:space="preserve">Gluud, C. (2013), Phyllanthus species versus antiviral drugs for chronic hepatitis B virus infection.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CD009004.</w:t>
      </w:r>
    </w:p>
    <w:p w:rsidR="00365DE4" w:rsidRDefault="00365DE4" w:rsidP="00365DE4">
      <w:pPr>
        <w:pStyle w:val="a3"/>
        <w:rPr>
          <w:kern w:val="2"/>
        </w:rPr>
      </w:pPr>
      <w:r>
        <w:t>Full Text: 2013\Coc Dat Sys Rev2013, CD009004.pdf</w:t>
      </w:r>
    </w:p>
    <w:p w:rsidR="00365DE4" w:rsidRDefault="00365DE4" w:rsidP="00365DE4">
      <w:pPr>
        <w:pStyle w:val="a3"/>
        <w:rPr>
          <w:kern w:val="0"/>
        </w:rPr>
      </w:pPr>
      <w:r>
        <w:rPr>
          <w:kern w:val="0"/>
        </w:rPr>
        <w:t>Abstract: Background Phyllanthus species for patients with chronic hepatitis B virus (HBV) infection have been assessed in clinical trials, but no consensus regarding their usefulness exists. When compared with placebo or no intervention, we were unable to identify convincing evidence that phyllanthus species are beneficial in patients with chronic hepatitis B. Some randomised clinical trials have compared phyllanthus species versus antiviral drugs. Objectives To evaluate the benefits</w:t>
      </w:r>
      <w:r w:rsidR="005853A9">
        <w:rPr>
          <w:kern w:val="0"/>
        </w:rPr>
        <w:t xml:space="preserve"> and </w:t>
      </w:r>
      <w:r>
        <w:rPr>
          <w:kern w:val="0"/>
        </w:rPr>
        <w:lastRenderedPageBreak/>
        <w:t>harms</w:t>
      </w:r>
      <w:r w:rsidR="00427468">
        <w:rPr>
          <w:kern w:val="0"/>
        </w:rPr>
        <w:t xml:space="preserve"> of </w:t>
      </w:r>
      <w:r>
        <w:rPr>
          <w:kern w:val="0"/>
        </w:rPr>
        <w:t>phyllanthus species compared with antiviral drugs for patients with chronic HBV infection. Search methods Searches were performed in The Cochrane Hepato-Biliary Gorup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Expended,</w:t>
      </w:r>
      <w:r w:rsidR="005853A9">
        <w:rPr>
          <w:kern w:val="0"/>
        </w:rPr>
        <w:t xml:space="preserve"> and </w:t>
      </w:r>
      <w:r>
        <w:rPr>
          <w:kern w:val="0"/>
        </w:rPr>
        <w:t>the Chinese Biomedical CD Database, China Network Knowledge Information, Chinese Science Journal Database, TCM Online,</w:t>
      </w:r>
      <w:r w:rsidR="005853A9">
        <w:rPr>
          <w:kern w:val="0"/>
        </w:rPr>
        <w:t xml:space="preserve"> and </w:t>
      </w:r>
      <w:r>
        <w:rPr>
          <w:kern w:val="0"/>
        </w:rPr>
        <w:t>Wanfang Database. Conference proceedings in Chinese were handsearched. All searches were conducted until 31st October 2012. Selection criteria Randomised clinical trials comparing phyllanthus species with antiviral drugs for patients with chronic HBV infection. We included trials irrespective</w:t>
      </w:r>
      <w:r w:rsidR="00427468">
        <w:rPr>
          <w:kern w:val="0"/>
        </w:rPr>
        <w:t xml:space="preserve"> of </w:t>
      </w:r>
      <w:r>
        <w:rPr>
          <w:kern w:val="0"/>
        </w:rPr>
        <w:t>blinding, publication status, or language. Data collection</w:t>
      </w:r>
      <w:r w:rsidR="005853A9">
        <w:rPr>
          <w:kern w:val="0"/>
        </w:rPr>
        <w:t xml:space="preserve"> and </w:t>
      </w:r>
      <w:r>
        <w:rPr>
          <w:kern w:val="0"/>
        </w:rPr>
        <w:t>analysis Two authors selected the trials</w:t>
      </w:r>
      <w:r w:rsidR="005853A9">
        <w:rPr>
          <w:kern w:val="0"/>
        </w:rPr>
        <w:t xml:space="preserve"> and </w:t>
      </w:r>
      <w:r>
        <w:rPr>
          <w:kern w:val="0"/>
        </w:rPr>
        <w:t>extracted the data independently</w:t>
      </w:r>
      <w:r w:rsidR="00A37C1D">
        <w:rPr>
          <w:kern w:val="0"/>
        </w:rPr>
        <w:t>. The</w:t>
      </w:r>
      <w:r>
        <w:rPr>
          <w:kern w:val="0"/>
        </w:rPr>
        <w:t xml:space="preserve"> RevMan software was used for statistical analysis</w:t>
      </w:r>
      <w:r w:rsidR="00427468">
        <w:rPr>
          <w:kern w:val="0"/>
        </w:rPr>
        <w:t xml:space="preserve"> of </w:t>
      </w:r>
      <w:r>
        <w:rPr>
          <w:kern w:val="0"/>
        </w:rPr>
        <w:t>dichotomous data with risk ratio (RR) with 95% confidence intervals (CI). We assessed the risk</w:t>
      </w:r>
      <w:r w:rsidR="00427468">
        <w:rPr>
          <w:kern w:val="0"/>
        </w:rPr>
        <w:t xml:space="preserve"> of </w:t>
      </w:r>
      <w:r>
        <w:rPr>
          <w:kern w:val="0"/>
        </w:rPr>
        <w:t>bias to control for systematic errors. We calculated the number</w:t>
      </w:r>
      <w:r w:rsidR="00427468">
        <w:rPr>
          <w:kern w:val="0"/>
        </w:rPr>
        <w:t xml:space="preserve"> of </w:t>
      </w:r>
      <w:r>
        <w:rPr>
          <w:kern w:val="0"/>
        </w:rPr>
        <w:t>patients needed (required information size) to be randomised in order to make reliable conclusions. We assessed the cumulative findings with trial sequential analysis to control for random errors. Main results We identified five randomised clinical trials with 290 patients. All trials were considered to have high risk</w:t>
      </w:r>
      <w:r w:rsidR="00427468">
        <w:rPr>
          <w:kern w:val="0"/>
        </w:rPr>
        <w:t xml:space="preserve"> of </w:t>
      </w:r>
      <w:r>
        <w:rPr>
          <w:kern w:val="0"/>
        </w:rPr>
        <w:t>bias. Patients in the experimental group received compound phyllanthus for three months to 12 months. Patients in the antiviral drug group received lamivudine, interferon alpha, thymosin, or thymosin alpha 1. None</w:t>
      </w:r>
      <w:r w:rsidR="00427468">
        <w:rPr>
          <w:kern w:val="0"/>
        </w:rPr>
        <w:t xml:space="preserve"> of </w:t>
      </w:r>
      <w:r>
        <w:rPr>
          <w:kern w:val="0"/>
        </w:rPr>
        <w:t>the trials reported mortality, hepatitis B-related morbidity, quality</w:t>
      </w:r>
      <w:r w:rsidR="00427468">
        <w:rPr>
          <w:kern w:val="0"/>
        </w:rPr>
        <w:t xml:space="preserve"> of </w:t>
      </w:r>
      <w:r>
        <w:rPr>
          <w:kern w:val="0"/>
        </w:rPr>
        <w:t>life, or liver histology. Phyllanthus seemed to have a superior effect on clearance</w:t>
      </w:r>
      <w:r w:rsidR="00427468">
        <w:rPr>
          <w:kern w:val="0"/>
        </w:rPr>
        <w:t xml:space="preserve"> of </w:t>
      </w:r>
      <w:r>
        <w:rPr>
          <w:kern w:val="0"/>
        </w:rPr>
        <w:t>serum HBeAg at the end</w:t>
      </w:r>
      <w:r w:rsidR="00427468">
        <w:rPr>
          <w:kern w:val="0"/>
        </w:rPr>
        <w:t xml:space="preserve"> of </w:t>
      </w:r>
      <w:r>
        <w:rPr>
          <w:kern w:val="0"/>
        </w:rPr>
        <w:t>treatment in conventional meta-analysis (RR 0.76; 95% CI 0.64 to 0.91, P = 0.002; I-2 = 0%), but not when trial sequential analysis was applied. Phyllanthus had no significant effect on clearance</w:t>
      </w:r>
      <w:r w:rsidR="00427468">
        <w:rPr>
          <w:kern w:val="0"/>
        </w:rPr>
        <w:t xml:space="preserve"> of </w:t>
      </w:r>
      <w:r>
        <w:rPr>
          <w:kern w:val="0"/>
        </w:rPr>
        <w:t>serum HBsAg (RR 1.00; 95% CI 0.93 to 1.08, P = 0.92; I-2 = 0%) or HBV DNA (RR 0.83; 95% CI 0.53 to 1.31, P = 0.43; I-2 = 70%) when compared with antiviral drugs. Data on HBeAg seroconversion was reported in one trial</w:t>
      </w:r>
      <w:r w:rsidR="005853A9">
        <w:rPr>
          <w:kern w:val="0"/>
        </w:rPr>
        <w:t xml:space="preserve"> and </w:t>
      </w:r>
      <w:r>
        <w:rPr>
          <w:kern w:val="0"/>
        </w:rPr>
        <w:t>no significant difference was found comparing phyllanthus versus lamivudine (RR 0.89; 95% CI 0.71 to 1.11). No data were reported on adverse events in the five trials. Authors</w:t>
      </w:r>
      <w:r w:rsidR="0071223E">
        <w:rPr>
          <w:kern w:val="0"/>
        </w:rPr>
        <w:t>’</w:t>
      </w:r>
      <w:r>
        <w:rPr>
          <w:kern w:val="0"/>
        </w:rPr>
        <w:t xml:space="preserve"> conclusions There is currently insufficient evidence to support or refute the use</w:t>
      </w:r>
      <w:r w:rsidR="00427468">
        <w:rPr>
          <w:kern w:val="0"/>
        </w:rPr>
        <w:t xml:space="preserve"> of </w:t>
      </w:r>
      <w:r>
        <w:rPr>
          <w:kern w:val="0"/>
        </w:rPr>
        <w:t>phyllanthus for patients with chronic hepatitis B virus infection. Researchers who are interested in conducting further randomised clinical trials on phyllanthus ought to monitor both beneficial</w:t>
      </w:r>
      <w:r w:rsidR="005853A9">
        <w:rPr>
          <w:kern w:val="0"/>
        </w:rPr>
        <w:t xml:space="preserve"> and </w:t>
      </w:r>
      <w:r>
        <w:rPr>
          <w:kern w:val="0"/>
        </w:rPr>
        <w:t>harmful effects</w:t>
      </w:r>
      <w:r w:rsidR="005853A9">
        <w:rPr>
          <w:kern w:val="0"/>
        </w:rPr>
        <w:t xml:space="preserve"> and </w:t>
      </w:r>
      <w:r>
        <w:rPr>
          <w:kern w:val="0"/>
        </w:rPr>
        <w:t>should primarily test the herb against placebo in addition to antiviral drugs that are known to offer more benefit than harm. Only in this way new interventions can be assessed without compromising personal ethical considerations.</w:t>
      </w:r>
    </w:p>
    <w:p w:rsidR="00365DE4" w:rsidRDefault="00365DE4" w:rsidP="00365DE4">
      <w:pPr>
        <w:pStyle w:val="a3"/>
        <w:rPr>
          <w:kern w:val="0"/>
        </w:rPr>
      </w:pPr>
      <w:r>
        <w:rPr>
          <w:kern w:val="0"/>
        </w:rPr>
        <w:t xml:space="preserve">Keywords: Analysis, Antiviral, Authors, Benefits, Bias, Cd, China, Chinese, Chronic, Chronic Hepatitis, Citation, Clinical, Clinical Trials, Collection, Conference, </w:t>
      </w:r>
      <w:r>
        <w:rPr>
          <w:kern w:val="0"/>
        </w:rPr>
        <w:lastRenderedPageBreak/>
        <w:t xml:space="preserve">Confidence, Confidence Intervals, Consensus, Control, Conventional, Criteria, Cumulative, Data, Data Collection, Database, Dna, Drug, Drugs, Effects, Embase, Errors, Ethical, Events, Evidence, Experimental, Hbv, Hepatitis, Hepatitis B, Hepatitis B Virus, Histology, Infection, Information, Interferon, Interferon-Alpha, Intervals, Intervention, Interventions, Journal, Knowledge, Lamivudine, Language, Life, Liver, </w:t>
      </w:r>
      <w:r w:rsidR="00D5664A">
        <w:rPr>
          <w:kern w:val="0"/>
        </w:rPr>
        <w:t>MEDLINE</w:t>
      </w:r>
      <w:r>
        <w:rPr>
          <w:kern w:val="0"/>
        </w:rPr>
        <w:t>, Meta Analysis, Meta-Analysis, Metaanalysis, Methods, Morbidity, Mortality, Network, P, Patients, Placebo, Publication, Quality, Quality Of, Quality</w:t>
      </w:r>
      <w:r w:rsidR="00427468">
        <w:rPr>
          <w:kern w:val="0"/>
        </w:rPr>
        <w:t xml:space="preserve"> of </w:t>
      </w:r>
      <w:r>
        <w:rPr>
          <w:kern w:val="0"/>
        </w:rPr>
        <w:t>Life, Randomised, Researchers, Risk, Science, Science Citation Index, Search, Serum, Size, Software, Species, Statistical Analysis, Support, Treatment, Trial</w:t>
      </w:r>
    </w:p>
    <w:p w:rsidR="00365DE4" w:rsidRDefault="00365DE4" w:rsidP="00365DE4">
      <w:pPr>
        <w:pStyle w:val="a3"/>
        <w:rPr>
          <w:kern w:val="0"/>
        </w:rPr>
      </w:pPr>
      <w:r>
        <w:rPr>
          <w:kern w:val="0"/>
        </w:rPr>
        <w:t>? Hemmingsen, B., Schroll, J.B., Lund, S.S., Wetterslev, J., Gluud, C., Vaag, A., Sonne, D.P., Lundstrom, L.H.</w:t>
      </w:r>
      <w:r w:rsidR="005853A9">
        <w:rPr>
          <w:kern w:val="0"/>
        </w:rPr>
        <w:t xml:space="preserve"> and </w:t>
      </w:r>
      <w:r>
        <w:rPr>
          <w:kern w:val="0"/>
        </w:rPr>
        <w:t xml:space="preserve">Almdal, T. (2013), Sulphonylurea monotherapy for patients with type 2 diabetes mellitus.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CD009008.</w:t>
      </w:r>
    </w:p>
    <w:p w:rsidR="00365DE4" w:rsidRDefault="00365DE4" w:rsidP="00365DE4">
      <w:pPr>
        <w:pStyle w:val="a3"/>
        <w:rPr>
          <w:kern w:val="2"/>
        </w:rPr>
      </w:pPr>
      <w:r>
        <w:t>Full Text: 2013\Coc Dat Sys Rev2013, CD009008.pdf</w:t>
      </w:r>
    </w:p>
    <w:p w:rsidR="00365DE4" w:rsidRDefault="00365DE4" w:rsidP="00365DE4">
      <w:pPr>
        <w:pStyle w:val="a3"/>
        <w:rPr>
          <w:kern w:val="0"/>
        </w:rPr>
      </w:pPr>
      <w:r>
        <w:rPr>
          <w:kern w:val="0"/>
        </w:rPr>
        <w:t>Abstract: Background Type 2 diabetes mellitus (T2DM) is a growing health problem worldwide. Whether sulphonylureas show better, equal or worse therapeutic effects in comparison with other antidiabetic interventions for patients with T2DM remains controversial. Objectives To assess the effects</w:t>
      </w:r>
      <w:r w:rsidR="00427468">
        <w:rPr>
          <w:kern w:val="0"/>
        </w:rPr>
        <w:t xml:space="preserve"> of </w:t>
      </w:r>
      <w:r>
        <w:rPr>
          <w:kern w:val="0"/>
        </w:rPr>
        <w:t xml:space="preserve">sulphonylurea monotherapy versus placebo, no intervention or other antidiabetic interventions for patients with T2DM. Search methods We searched publications in The Cochrane Library, </w:t>
      </w:r>
      <w:r w:rsidR="00D5664A">
        <w:rPr>
          <w:kern w:val="0"/>
        </w:rPr>
        <w:t>MEDLINE</w:t>
      </w:r>
      <w:r>
        <w:rPr>
          <w:kern w:val="0"/>
        </w:rPr>
        <w:t>, EMBASE, Science Citation Index Expanded, LILACS</w:t>
      </w:r>
      <w:r w:rsidR="005853A9">
        <w:rPr>
          <w:kern w:val="0"/>
        </w:rPr>
        <w:t xml:space="preserve"> and </w:t>
      </w:r>
      <w:r>
        <w:rPr>
          <w:kern w:val="0"/>
        </w:rPr>
        <w:t>CINAHL (all until August 2011) to obtain trials fulfilling the inclusion criteria for our review. Selection criteria We included clinical trials that randomised patients 18 years old or more with T2DM to sulphonylurea monotherapy with a duration</w:t>
      </w:r>
      <w:r w:rsidR="00427468">
        <w:rPr>
          <w:kern w:val="0"/>
        </w:rPr>
        <w:t xml:space="preserve"> of </w:t>
      </w:r>
      <w:r>
        <w:rPr>
          <w:kern w:val="0"/>
        </w:rPr>
        <w:t>24 weeks or more. Data collection</w:t>
      </w:r>
      <w:r w:rsidR="005853A9">
        <w:rPr>
          <w:kern w:val="0"/>
        </w:rPr>
        <w:t xml:space="preserve"> and </w:t>
      </w:r>
      <w:r>
        <w:rPr>
          <w:kern w:val="0"/>
        </w:rPr>
        <w:t>analysis Two authors independently assessed the risk</w:t>
      </w:r>
      <w:r w:rsidR="00427468">
        <w:rPr>
          <w:kern w:val="0"/>
        </w:rPr>
        <w:t xml:space="preserve"> of </w:t>
      </w:r>
      <w:r>
        <w:rPr>
          <w:kern w:val="0"/>
        </w:rPr>
        <w:t>bias</w:t>
      </w:r>
      <w:r w:rsidR="00A37C1D">
        <w:rPr>
          <w:kern w:val="0"/>
        </w:rPr>
        <w:t>. The</w:t>
      </w:r>
      <w:r>
        <w:rPr>
          <w:kern w:val="0"/>
        </w:rPr>
        <w:t xml:space="preserve"> primary outcomes were all-cause</w:t>
      </w:r>
      <w:r w:rsidR="005853A9">
        <w:rPr>
          <w:kern w:val="0"/>
        </w:rPr>
        <w:t xml:space="preserve"> and </w:t>
      </w:r>
      <w:r>
        <w:rPr>
          <w:kern w:val="0"/>
        </w:rPr>
        <w:t>cardiovascular mortality. Secondary outcomes were other patient-important outcomes</w:t>
      </w:r>
      <w:r w:rsidR="005853A9">
        <w:rPr>
          <w:kern w:val="0"/>
        </w:rPr>
        <w:t xml:space="preserve"> and </w:t>
      </w:r>
      <w:r>
        <w:rPr>
          <w:kern w:val="0"/>
        </w:rPr>
        <w:t>metabolic variables. Where possible, we used risk ratios (RR) with 95% confidence intervals (95% CI) to analyse the treatment effect</w:t>
      </w:r>
      <w:r w:rsidR="00427468">
        <w:rPr>
          <w:kern w:val="0"/>
        </w:rPr>
        <w:t xml:space="preserve"> of </w:t>
      </w:r>
      <w:r>
        <w:rPr>
          <w:kern w:val="0"/>
        </w:rPr>
        <w:t>dichotomous outcomes. We used mean differences with 95% CI to analyse the treatment effect</w:t>
      </w:r>
      <w:r w:rsidR="00427468">
        <w:rPr>
          <w:kern w:val="0"/>
        </w:rPr>
        <w:t xml:space="preserve"> of </w:t>
      </w:r>
      <w:r>
        <w:rPr>
          <w:kern w:val="0"/>
        </w:rPr>
        <w:t>continuous outcomes. We evaluated the risk</w:t>
      </w:r>
      <w:r w:rsidR="00427468">
        <w:rPr>
          <w:kern w:val="0"/>
        </w:rPr>
        <w:t xml:space="preserve"> of </w:t>
      </w:r>
      <w:r>
        <w:rPr>
          <w:kern w:val="0"/>
        </w:rPr>
        <w:t>bias. We conducted trial sequential analyses to assess whether firm evidence could be established for a 10% relative risk reduction (RRR) between intervention groups. Main results We included 72 randomised controlled trials (RCTs) with 22,589 participants; 9707 participants randomised to sulphonylureas versus 12,805 participants randomised to control interventions</w:t>
      </w:r>
      <w:r w:rsidR="00A37C1D">
        <w:rPr>
          <w:kern w:val="0"/>
        </w:rPr>
        <w:t>. The</w:t>
      </w:r>
      <w:r>
        <w:rPr>
          <w:kern w:val="0"/>
        </w:rPr>
        <w:t xml:space="preserve"> duration</w:t>
      </w:r>
      <w:r w:rsidR="00427468">
        <w:rPr>
          <w:kern w:val="0"/>
        </w:rPr>
        <w:t xml:space="preserve"> of </w:t>
      </w:r>
      <w:r>
        <w:rPr>
          <w:kern w:val="0"/>
        </w:rPr>
        <w:t>the interventions varied from 24 weeks to 10.7 years. We judged none</w:t>
      </w:r>
      <w:r w:rsidR="00427468">
        <w:rPr>
          <w:kern w:val="0"/>
        </w:rPr>
        <w:t xml:space="preserve"> of </w:t>
      </w:r>
      <w:r>
        <w:rPr>
          <w:kern w:val="0"/>
        </w:rPr>
        <w:t>the included trials as low risk</w:t>
      </w:r>
      <w:r w:rsidR="00427468">
        <w:rPr>
          <w:kern w:val="0"/>
        </w:rPr>
        <w:t xml:space="preserve"> of </w:t>
      </w:r>
      <w:r>
        <w:rPr>
          <w:kern w:val="0"/>
        </w:rPr>
        <w:t xml:space="preserve">bias for all bias domains. Patient-important outcomes were seldom reported. First-generation sulphonylureas (FGS) versus placebo or insulin did not show </w:t>
      </w:r>
      <w:r>
        <w:rPr>
          <w:kern w:val="0"/>
        </w:rPr>
        <w:lastRenderedPageBreak/>
        <w:t>statistical significance for all-cause mortality (versus placebo: RR 1.46, 95% CI 0.87 to 2.45; P = 0.15; 2 trials; 553 participants; high risk</w:t>
      </w:r>
      <w:r w:rsidR="00427468">
        <w:rPr>
          <w:kern w:val="0"/>
        </w:rPr>
        <w:t xml:space="preserve"> of </w:t>
      </w:r>
      <w:r>
        <w:rPr>
          <w:kern w:val="0"/>
        </w:rPr>
        <w:t>bias (HRB); versus insulin: RR 1.18, 95% CI 0.88 to 1.59; P = 0.26; 2 trials; 1944 participants; HRB). FGS versus placebo showed statistical significance for cardiovascular mortality in favour</w:t>
      </w:r>
      <w:r w:rsidR="00427468">
        <w:rPr>
          <w:kern w:val="0"/>
        </w:rPr>
        <w:t xml:space="preserve"> of </w:t>
      </w:r>
      <w:r>
        <w:rPr>
          <w:kern w:val="0"/>
        </w:rPr>
        <w:t>placebo (RR 2.63, 95% CI 1.32 to 5.22; P = 0.006; 2 trials; 553 participants; HRB). FGS versus insulin did not show statistical significance for cardiovascular mortality (RR 1.36, 95% CI 0.68 to 2.71; P = 0.39; 2 trials; 1944 participants; HRB). FGS versus alpha-glucosidase inhibitors showed statistical significance in favour</w:t>
      </w:r>
      <w:r w:rsidR="00427468">
        <w:rPr>
          <w:kern w:val="0"/>
        </w:rPr>
        <w:t xml:space="preserve"> of </w:t>
      </w:r>
      <w:r>
        <w:rPr>
          <w:kern w:val="0"/>
        </w:rPr>
        <w:t>FGS for adverse events (RR 0.63, 95% CI 0.52 to 0.76; P = 0.01; 2 trials; 246 participants; HRB)</w:t>
      </w:r>
      <w:r w:rsidR="005853A9">
        <w:rPr>
          <w:kern w:val="0"/>
        </w:rPr>
        <w:t xml:space="preserve"> and </w:t>
      </w:r>
      <w:r>
        <w:rPr>
          <w:kern w:val="0"/>
        </w:rPr>
        <w:t>for drop-outs due to adverse events (RR 0.28, 95% CI 0.12 to 0.67; P = 0.004; 2 trials; 246 participants; HRB). Second-generation sulphonylureas (SGS) versus metformin (RR 0.98, 95% CI 0.61 to 1.58; P = 0.68; 6 trials; 3528 participants; HRB), thiazolidinediones (RR 0.92, 95% CI 0.60 to 1.41; P = 0.70; 7 trials; 4955 participants; HRB), insulin (RR 0.96, 95% CI 0.79 to 1.18; P = 0.72; 4 trials; 1642 participants; HRB), meglitinides (RR 1.44, 95% CI 0.47 to 4.42; P = 0.52; 7 trials; 2038 participants; HRB), or incretin-based interventions (RR 1.39, 95% CI 0.52 to 3.68; P = 0.51; 2 trials; 1503 participants; HRB) showed no statistically significant effects regarding all-cause mortality in a random-effects model. SGS versus metformin (RR 1.47; 95% CI 0.54 to 4.01; P = 0.45; 6 trials; 3528 participants; HRB), thiazolidinediones (RR 1.30, 95% CI 0.55 to 3.07; P = 0.55; 7 trials; 4955 participants; HRB), insulin (RR 0.96, 95% CI 0.73 to 1.28; P = 0.80; 4 trials; 1642 participants; HRB) or meglitinide (RR 0.97, 95% CI 0.27 to 3.53; P = 0.97; 7 trials, 2038 participants, HRB) showed no statistically significant effects regarding cardiovascular mortality. Mortality data for the SGS versus placebo were sparse. SGS versus thiazolidinediones</w:t>
      </w:r>
      <w:r w:rsidR="005853A9">
        <w:rPr>
          <w:kern w:val="0"/>
        </w:rPr>
        <w:t xml:space="preserve"> and </w:t>
      </w:r>
      <w:r>
        <w:rPr>
          <w:kern w:val="0"/>
        </w:rPr>
        <w:t>meglitinides did not show statistically significant differences for a composite</w:t>
      </w:r>
      <w:r w:rsidR="00427468">
        <w:rPr>
          <w:kern w:val="0"/>
        </w:rPr>
        <w:t xml:space="preserve"> of </w:t>
      </w:r>
      <w:r>
        <w:rPr>
          <w:kern w:val="0"/>
        </w:rPr>
        <w:t>non-fatal macrovascular outcomes. SGS versus metformin showed statistical significance in favour</w:t>
      </w:r>
      <w:r w:rsidR="00427468">
        <w:rPr>
          <w:kern w:val="0"/>
        </w:rPr>
        <w:t xml:space="preserve"> of </w:t>
      </w:r>
      <w:r>
        <w:rPr>
          <w:kern w:val="0"/>
        </w:rPr>
        <w:t>SGS for a composite</w:t>
      </w:r>
      <w:r w:rsidR="00427468">
        <w:rPr>
          <w:kern w:val="0"/>
        </w:rPr>
        <w:t xml:space="preserve"> of </w:t>
      </w:r>
      <w:r>
        <w:rPr>
          <w:kern w:val="0"/>
        </w:rPr>
        <w:t>non-fatal macrovascular outcomes (RR 0.67, 95% CI 0.48 to 0.93; P = 0.02; 3018 participants; 3 trials; HRB)</w:t>
      </w:r>
      <w:r w:rsidR="00A37C1D">
        <w:rPr>
          <w:kern w:val="0"/>
        </w:rPr>
        <w:t>. The</w:t>
      </w:r>
      <w:r>
        <w:rPr>
          <w:kern w:val="0"/>
        </w:rPr>
        <w:t xml:space="preserve"> definition</w:t>
      </w:r>
      <w:r w:rsidR="00427468">
        <w:rPr>
          <w:kern w:val="0"/>
        </w:rPr>
        <w:t xml:space="preserve"> of </w:t>
      </w:r>
      <w:r>
        <w:rPr>
          <w:kern w:val="0"/>
        </w:rPr>
        <w:t>non-fatal macrovascular outcomes varied among the trials. SGS versus metformin, thiazolidinediones</w:t>
      </w:r>
      <w:r w:rsidR="005853A9">
        <w:rPr>
          <w:kern w:val="0"/>
        </w:rPr>
        <w:t xml:space="preserve"> and </w:t>
      </w:r>
      <w:r>
        <w:rPr>
          <w:kern w:val="0"/>
        </w:rPr>
        <w:t>meglitinides showed no statistical significance for non-fatal myocardial infarction. No meta-analyses could be performed for microvascular outcomes. SGS versus placebo, metformin, thiazolidinediones, alpha-glucosidase inhibitors or meglitinides showed no statistical significance for adverse events. SGS versus alpha-glucosidase inhibitors showed statistical significance in favour</w:t>
      </w:r>
      <w:r w:rsidR="00427468">
        <w:rPr>
          <w:kern w:val="0"/>
        </w:rPr>
        <w:t xml:space="preserve"> of </w:t>
      </w:r>
      <w:r>
        <w:rPr>
          <w:kern w:val="0"/>
        </w:rPr>
        <w:t>SGS for drop-outs due to adverse events (RR 0.48, 95% CI 0.24 to 0.96; P = 0.04; 9 trials; 870 participants; HRB). SGS versus meglitinides showed no statistical significance for the risk</w:t>
      </w:r>
      <w:r w:rsidR="00427468">
        <w:rPr>
          <w:kern w:val="0"/>
        </w:rPr>
        <w:t xml:space="preserve"> of </w:t>
      </w:r>
      <w:r>
        <w:rPr>
          <w:kern w:val="0"/>
        </w:rPr>
        <w:t>severe hypoglycaemia. SGS versus metformin</w:t>
      </w:r>
      <w:r w:rsidR="005853A9">
        <w:rPr>
          <w:kern w:val="0"/>
        </w:rPr>
        <w:t xml:space="preserve"> and </w:t>
      </w:r>
      <w:r>
        <w:rPr>
          <w:kern w:val="0"/>
        </w:rPr>
        <w:t>thiazolidinediones showed statistical significance in favour</w:t>
      </w:r>
      <w:r w:rsidR="00427468">
        <w:rPr>
          <w:kern w:val="0"/>
        </w:rPr>
        <w:t xml:space="preserve"> of </w:t>
      </w:r>
      <w:r>
        <w:rPr>
          <w:kern w:val="0"/>
        </w:rPr>
        <w:t xml:space="preserve">metformin (RR 5.64, 95% CI 1.22 to 26.00; P = </w:t>
      </w:r>
      <w:r>
        <w:rPr>
          <w:kern w:val="0"/>
        </w:rPr>
        <w:lastRenderedPageBreak/>
        <w:t>0.03; 4 trials; 3637 participants; HRB)</w:t>
      </w:r>
      <w:r w:rsidR="005853A9">
        <w:rPr>
          <w:kern w:val="0"/>
        </w:rPr>
        <w:t xml:space="preserve"> and </w:t>
      </w:r>
      <w:r>
        <w:rPr>
          <w:kern w:val="0"/>
        </w:rPr>
        <w:t>thiazolidinediones (RR 6.11, 95% CI 1.57 to 23.79; P = 0.009; 6 trials; 5660 participants; HRB) for severe hypoglycaemia. Third-generation sulphonylureas (TGS) could not be included in any meta-analysis</w:t>
      </w:r>
      <w:r w:rsidR="00427468">
        <w:rPr>
          <w:kern w:val="0"/>
        </w:rPr>
        <w:t xml:space="preserve"> of </w:t>
      </w:r>
      <w:r>
        <w:rPr>
          <w:kern w:val="0"/>
        </w:rPr>
        <w:t>all-cause mortality, cardiovascular mortality or non-fatal macro- or microvascular outcomes. TGS versus thiazolidinediones showed statistical significance regarding adverse events in favour</w:t>
      </w:r>
      <w:r w:rsidR="00427468">
        <w:rPr>
          <w:kern w:val="0"/>
        </w:rPr>
        <w:t xml:space="preserve"> of </w:t>
      </w:r>
      <w:r>
        <w:rPr>
          <w:kern w:val="0"/>
        </w:rPr>
        <w:t>TGS (RR 0.88, 95% CI 0.78 to 0.99; P = 0.03; 3 trials; 510 participants; HRB). TGS versus thiazolidinediones did not show any statistical significance for drop-outs due to adverse events. TGS versus other comparators could not be performed due to lack</w:t>
      </w:r>
      <w:r w:rsidR="00427468">
        <w:rPr>
          <w:kern w:val="0"/>
        </w:rPr>
        <w:t xml:space="preserve"> of </w:t>
      </w:r>
      <w:r>
        <w:rPr>
          <w:kern w:val="0"/>
        </w:rPr>
        <w:t>data. For the comparison</w:t>
      </w:r>
      <w:r w:rsidR="00427468">
        <w:rPr>
          <w:kern w:val="0"/>
        </w:rPr>
        <w:t xml:space="preserve"> of </w:t>
      </w:r>
      <w:r>
        <w:rPr>
          <w:kern w:val="0"/>
        </w:rPr>
        <w:t>SGS versus FGS no meta-analyses</w:t>
      </w:r>
      <w:r w:rsidR="00427468">
        <w:rPr>
          <w:kern w:val="0"/>
        </w:rPr>
        <w:t xml:space="preserve"> of </w:t>
      </w:r>
      <w:r>
        <w:rPr>
          <w:kern w:val="0"/>
        </w:rPr>
        <w:t>all-cause mortality, cardiovascular mortality, non-fatal macro- or microvascular outcomes, or adverse events could be performed. Health-related quality</w:t>
      </w:r>
      <w:r w:rsidR="00427468">
        <w:rPr>
          <w:kern w:val="0"/>
        </w:rPr>
        <w:t xml:space="preserve"> of </w:t>
      </w:r>
      <w:r>
        <w:rPr>
          <w:kern w:val="0"/>
        </w:rPr>
        <w:t>life</w:t>
      </w:r>
      <w:r w:rsidR="005853A9">
        <w:rPr>
          <w:kern w:val="0"/>
        </w:rPr>
        <w:t xml:space="preserve"> and </w:t>
      </w:r>
      <w:r>
        <w:rPr>
          <w:kern w:val="0"/>
        </w:rPr>
        <w:t>costs</w:t>
      </w:r>
      <w:r w:rsidR="00427468">
        <w:rPr>
          <w:kern w:val="0"/>
        </w:rPr>
        <w:t xml:space="preserve"> of </w:t>
      </w:r>
      <w:r>
        <w:rPr>
          <w:kern w:val="0"/>
        </w:rPr>
        <w:t>intervention could not be meta-analysed due to lack</w:t>
      </w:r>
      <w:r w:rsidR="00427468">
        <w:rPr>
          <w:kern w:val="0"/>
        </w:rPr>
        <w:t xml:space="preserve"> of </w:t>
      </w:r>
      <w:r>
        <w:rPr>
          <w:kern w:val="0"/>
        </w:rPr>
        <w:t>data. In trial sequential analysis, none</w:t>
      </w:r>
      <w:r w:rsidR="00427468">
        <w:rPr>
          <w:kern w:val="0"/>
        </w:rPr>
        <w:t xml:space="preserve"> of </w:t>
      </w:r>
      <w:r>
        <w:rPr>
          <w:kern w:val="0"/>
        </w:rPr>
        <w:t>the analyses</w:t>
      </w:r>
      <w:r w:rsidR="00427468">
        <w:rPr>
          <w:kern w:val="0"/>
        </w:rPr>
        <w:t xml:space="preserve"> of </w:t>
      </w:r>
      <w:r>
        <w:rPr>
          <w:kern w:val="0"/>
        </w:rPr>
        <w:t>mortality outcomes, vascular outcomes or severe hypoglycaemia met the criteria for firm evidence</w:t>
      </w:r>
      <w:r w:rsidR="00427468">
        <w:rPr>
          <w:kern w:val="0"/>
        </w:rPr>
        <w:t xml:space="preserve"> of </w:t>
      </w:r>
      <w:r>
        <w:rPr>
          <w:kern w:val="0"/>
        </w:rPr>
        <w:t>a RRR</w:t>
      </w:r>
      <w:r w:rsidR="00427468">
        <w:rPr>
          <w:kern w:val="0"/>
        </w:rPr>
        <w:t xml:space="preserve"> of </w:t>
      </w:r>
      <w:r>
        <w:rPr>
          <w:kern w:val="0"/>
        </w:rPr>
        <w:t>10% between interventions. Authors</w:t>
      </w:r>
      <w:r w:rsidR="0071223E">
        <w:rPr>
          <w:kern w:val="0"/>
        </w:rPr>
        <w:t>’</w:t>
      </w:r>
      <w:r>
        <w:rPr>
          <w:kern w:val="0"/>
        </w:rPr>
        <w:t xml:space="preserve"> conclusions There is insufficient evidence from RCTs to support the decision as to whether to initiate sulphonylurea monotherapy. Data on patient-important outcomes are lacking</w:t>
      </w:r>
      <w:r w:rsidR="00A37C1D">
        <w:rPr>
          <w:kern w:val="0"/>
        </w:rPr>
        <w:t>. The</w:t>
      </w:r>
      <w:r>
        <w:rPr>
          <w:kern w:val="0"/>
        </w:rPr>
        <w:t>refore, large-scale</w:t>
      </w:r>
      <w:r w:rsidR="005853A9">
        <w:rPr>
          <w:kern w:val="0"/>
        </w:rPr>
        <w:t xml:space="preserve"> and </w:t>
      </w:r>
      <w:r>
        <w:rPr>
          <w:kern w:val="0"/>
        </w:rPr>
        <w:t>long-term randomised clinical trials with low risk</w:t>
      </w:r>
      <w:r w:rsidR="00427468">
        <w:rPr>
          <w:kern w:val="0"/>
        </w:rPr>
        <w:t xml:space="preserve"> of </w:t>
      </w:r>
      <w:r>
        <w:rPr>
          <w:kern w:val="0"/>
        </w:rPr>
        <w:t>bias, focusing on patient-important outcomes are required.</w:t>
      </w:r>
    </w:p>
    <w:p w:rsidR="00365DE4" w:rsidRDefault="00365DE4" w:rsidP="00365DE4">
      <w:pPr>
        <w:pStyle w:val="a3"/>
        <w:rPr>
          <w:kern w:val="0"/>
        </w:rPr>
      </w:pPr>
      <w:r>
        <w:rPr>
          <w:kern w:val="0"/>
        </w:rPr>
        <w:t xml:space="preserve">Keywords: Analyses, Analysis, Authors, Bias, Cardiovascular, Citation, Clinical, Clinical Trials, Collection, Comparison, Composite, Confidence, Confidence Intervals, Control, Costs, Criteria, Data, Data Collection, Decision, Diabetes, Diabetes Mellitus, Duration, Effects, Embase, Events, Evidence, Groups, Health, Health Problem, Hypoglycaemia, Infarction, Inhibitors, Insulin, Intervals, Intervention, Interventions, Life, Long Term, Long-Term, Low Risk, </w:t>
      </w:r>
      <w:r w:rsidR="00D5664A">
        <w:rPr>
          <w:kern w:val="0"/>
        </w:rPr>
        <w:t>MEDLINE</w:t>
      </w:r>
      <w:r>
        <w:rPr>
          <w:kern w:val="0"/>
        </w:rPr>
        <w:t>, Meta Analysis, Meta-Analysis, Metaanalysis, Metformin, Methods, Model, Mortality, Myocardial Infarction, Outcomes, P, Patients, Placebo, Primary, Publications, Quality, Quality Of, Quality</w:t>
      </w:r>
      <w:r w:rsidR="00427468">
        <w:rPr>
          <w:kern w:val="0"/>
        </w:rPr>
        <w:t xml:space="preserve"> of </w:t>
      </w:r>
      <w:r>
        <w:rPr>
          <w:kern w:val="0"/>
        </w:rPr>
        <w:t>Life, Random Effects Model, Randomised, Randomised Controlled Trials, Reduction, Relative Risk, Review, Risk, Science, Science Citation Index, Science Citation Index Expanded, Search, Significance, Support, Therapeutic, Treatment, Trial, Type 2 Diabetes, Type 2 Diabetes Mellitus</w:t>
      </w:r>
    </w:p>
    <w:p w:rsidR="00365DE4" w:rsidRDefault="00365DE4" w:rsidP="00365DE4">
      <w:pPr>
        <w:pStyle w:val="a3"/>
        <w:rPr>
          <w:kern w:val="0"/>
        </w:rPr>
      </w:pPr>
      <w:r>
        <w:rPr>
          <w:kern w:val="0"/>
        </w:rPr>
        <w:t>? Rana, F., Gormez, A.</w:t>
      </w:r>
      <w:r w:rsidR="005853A9">
        <w:rPr>
          <w:kern w:val="0"/>
        </w:rPr>
        <w:t xml:space="preserve"> and </w:t>
      </w:r>
      <w:r>
        <w:rPr>
          <w:kern w:val="0"/>
        </w:rPr>
        <w:t xml:space="preserve">Varghese, S. (2013), Pharmacological interventions for self-injurious behaviour in adults with intellectual disabilities.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CD009084.</w:t>
      </w:r>
    </w:p>
    <w:p w:rsidR="00365DE4" w:rsidRDefault="00365DE4" w:rsidP="00365DE4">
      <w:pPr>
        <w:pStyle w:val="a3"/>
        <w:rPr>
          <w:kern w:val="2"/>
        </w:rPr>
      </w:pPr>
      <w:r>
        <w:t>Full Text: 2013\Coc Dat Sys Rev2013, CD009084.pdf</w:t>
      </w:r>
    </w:p>
    <w:p w:rsidR="00365DE4" w:rsidRDefault="00365DE4" w:rsidP="00365DE4">
      <w:pPr>
        <w:pStyle w:val="a3"/>
        <w:rPr>
          <w:kern w:val="0"/>
        </w:rPr>
      </w:pPr>
      <w:r>
        <w:rPr>
          <w:kern w:val="0"/>
        </w:rPr>
        <w:t>Abstract: Background Self-injurious behaviour among people with intellectual disability is relatively common</w:t>
      </w:r>
      <w:r w:rsidR="005853A9">
        <w:rPr>
          <w:kern w:val="0"/>
        </w:rPr>
        <w:t xml:space="preserve"> and </w:t>
      </w:r>
      <w:r>
        <w:rPr>
          <w:kern w:val="0"/>
        </w:rPr>
        <w:t>often persistent. Self-injurious behaviour continues to present a challenge to clinicians. It remains poorly understood</w:t>
      </w:r>
      <w:r w:rsidR="005853A9">
        <w:rPr>
          <w:kern w:val="0"/>
        </w:rPr>
        <w:t xml:space="preserve"> and </w:t>
      </w:r>
      <w:r>
        <w:rPr>
          <w:kern w:val="0"/>
        </w:rPr>
        <w:t>difficult to ameliorate despite advances in neurobiology</w:t>
      </w:r>
      <w:r w:rsidR="005853A9">
        <w:rPr>
          <w:kern w:val="0"/>
        </w:rPr>
        <w:t xml:space="preserve"> and </w:t>
      </w:r>
      <w:r>
        <w:rPr>
          <w:kern w:val="0"/>
        </w:rPr>
        <w:t>psychological therapies</w:t>
      </w:r>
      <w:r w:rsidR="00A37C1D">
        <w:rPr>
          <w:kern w:val="0"/>
        </w:rPr>
        <w:t>. The</w:t>
      </w:r>
      <w:r>
        <w:rPr>
          <w:kern w:val="0"/>
        </w:rPr>
        <w:t xml:space="preserve">re is a </w:t>
      </w:r>
      <w:r>
        <w:rPr>
          <w:kern w:val="0"/>
        </w:rPr>
        <w:lastRenderedPageBreak/>
        <w:t>strong need for a better evidence base in prescribing</w:t>
      </w:r>
      <w:r w:rsidR="005853A9">
        <w:rPr>
          <w:kern w:val="0"/>
        </w:rPr>
        <w:t xml:space="preserve"> and </w:t>
      </w:r>
      <w:r>
        <w:rPr>
          <w:kern w:val="0"/>
        </w:rPr>
        <w:t>monitoring</w:t>
      </w:r>
      <w:r w:rsidR="00427468">
        <w:rPr>
          <w:kern w:val="0"/>
        </w:rPr>
        <w:t xml:space="preserve"> of </w:t>
      </w:r>
      <w:r>
        <w:rPr>
          <w:kern w:val="0"/>
        </w:rPr>
        <w:t>drugs in this population, especially since none</w:t>
      </w:r>
      <w:r w:rsidR="00427468">
        <w:rPr>
          <w:kern w:val="0"/>
        </w:rPr>
        <w:t xml:space="preserve"> of </w:t>
      </w:r>
      <w:r>
        <w:rPr>
          <w:kern w:val="0"/>
        </w:rPr>
        <w:t>the drugs are actually licensed for self-injurious behaviour. Objectives To determine clinical effectiveness</w:t>
      </w:r>
      <w:r w:rsidR="00427468">
        <w:rPr>
          <w:kern w:val="0"/>
        </w:rPr>
        <w:t xml:space="preserve"> of </w:t>
      </w:r>
      <w:r>
        <w:rPr>
          <w:kern w:val="0"/>
        </w:rPr>
        <w:t>pharmacological interventions inmanagement</w:t>
      </w:r>
      <w:r w:rsidR="00427468">
        <w:rPr>
          <w:kern w:val="0"/>
        </w:rPr>
        <w:t xml:space="preserve"> of </w:t>
      </w:r>
      <w:r>
        <w:rPr>
          <w:kern w:val="0"/>
        </w:rPr>
        <w:t xml:space="preserve">self-injurious behaviour in adults with intellectual disability. Search methods We searched the following databases on 19 February 2012: CENTRAL, </w:t>
      </w:r>
      <w:r w:rsidR="00D5664A">
        <w:rPr>
          <w:kern w:val="0"/>
        </w:rPr>
        <w:t>MEDLINE</w:t>
      </w:r>
      <w:r>
        <w:rPr>
          <w:kern w:val="0"/>
        </w:rPr>
        <w:t>, EMBASE, PsycINFO, CINAHL, Science Citation Index, Social Science Citation Index, Conference Proceedings Citation Index - Science, Conference Proceedings Citation Index - Social Science</w:t>
      </w:r>
      <w:r w:rsidR="005853A9">
        <w:rPr>
          <w:kern w:val="0"/>
        </w:rPr>
        <w:t xml:space="preserve"> and </w:t>
      </w:r>
      <w:r>
        <w:rPr>
          <w:kern w:val="0"/>
        </w:rPr>
        <w:t>Humanities, ZETOC</w:t>
      </w:r>
      <w:r w:rsidR="005853A9">
        <w:rPr>
          <w:kern w:val="0"/>
        </w:rPr>
        <w:t xml:space="preserve"> and </w:t>
      </w:r>
      <w:r>
        <w:rPr>
          <w:kern w:val="0"/>
        </w:rPr>
        <w:t>WorldCat. We also searched ClinicalTrials.gov, ICTRP</w:t>
      </w:r>
      <w:r w:rsidR="005853A9">
        <w:rPr>
          <w:kern w:val="0"/>
        </w:rPr>
        <w:t xml:space="preserve"> and </w:t>
      </w:r>
      <w:r>
        <w:rPr>
          <w:kern w:val="0"/>
        </w:rPr>
        <w:t>the reference lists</w:t>
      </w:r>
      <w:r w:rsidR="00427468">
        <w:rPr>
          <w:kern w:val="0"/>
        </w:rPr>
        <w:t xml:space="preserve"> of </w:t>
      </w:r>
      <w:r>
        <w:rPr>
          <w:kern w:val="0"/>
        </w:rPr>
        <w:t>included trials. Selection criteria We included randomised controlled trials that examined drug interventions versus placebo for self-injurious behaviour (SIB) in adults with intellectual disability. Data collection</w:t>
      </w:r>
      <w:r w:rsidR="005853A9">
        <w:rPr>
          <w:kern w:val="0"/>
        </w:rPr>
        <w:t xml:space="preserve"> and </w:t>
      </w:r>
      <w:r>
        <w:rPr>
          <w:kern w:val="0"/>
        </w:rPr>
        <w:t>analysis Two review authors independently extracted data</w:t>
      </w:r>
      <w:r w:rsidR="005853A9">
        <w:rPr>
          <w:kern w:val="0"/>
        </w:rPr>
        <w:t xml:space="preserve"> and </w:t>
      </w:r>
      <w:r>
        <w:rPr>
          <w:kern w:val="0"/>
        </w:rPr>
        <w:t>assessed risk</w:t>
      </w:r>
      <w:r w:rsidR="00427468">
        <w:rPr>
          <w:kern w:val="0"/>
        </w:rPr>
        <w:t xml:space="preserve"> of </w:t>
      </w:r>
      <w:r>
        <w:rPr>
          <w:kern w:val="0"/>
        </w:rPr>
        <w:t>bias for each trial using a data extraction form. We present a narrative summary</w:t>
      </w:r>
      <w:r w:rsidR="00427468">
        <w:rPr>
          <w:kern w:val="0"/>
        </w:rPr>
        <w:t xml:space="preserve"> of </w:t>
      </w:r>
      <w:r>
        <w:rPr>
          <w:kern w:val="0"/>
        </w:rPr>
        <w:t>the results is presented. We did not consider meta-analysis was appropriate due to differences in study designs, differences between interventions</w:t>
      </w:r>
      <w:r w:rsidR="005853A9">
        <w:rPr>
          <w:kern w:val="0"/>
        </w:rPr>
        <w:t xml:space="preserve"> and </w:t>
      </w:r>
      <w:r>
        <w:rPr>
          <w:kern w:val="0"/>
        </w:rPr>
        <w:t>heterogeneous outcome measures. Main results We found five double-blind placebo-controlled trials that met our inclusion criteria</w:t>
      </w:r>
      <w:r w:rsidR="00A37C1D">
        <w:rPr>
          <w:kern w:val="0"/>
        </w:rPr>
        <w:t>. The</w:t>
      </w:r>
      <w:r>
        <w:rPr>
          <w:kern w:val="0"/>
        </w:rPr>
        <w:t>se trials assessed effectiveness</w:t>
      </w:r>
      <w:r w:rsidR="005853A9">
        <w:rPr>
          <w:kern w:val="0"/>
        </w:rPr>
        <w:t xml:space="preserve"> and </w:t>
      </w:r>
      <w:r>
        <w:rPr>
          <w:kern w:val="0"/>
        </w:rPr>
        <w:t>safety</w:t>
      </w:r>
      <w:r w:rsidR="00427468">
        <w:rPr>
          <w:kern w:val="0"/>
        </w:rPr>
        <w:t xml:space="preserve"> of </w:t>
      </w:r>
      <w:r>
        <w:rPr>
          <w:kern w:val="0"/>
        </w:rPr>
        <w:t>drugs in a total</w:t>
      </w:r>
      <w:r w:rsidR="00427468">
        <w:rPr>
          <w:kern w:val="0"/>
        </w:rPr>
        <w:t xml:space="preserve"> of </w:t>
      </w:r>
      <w:r>
        <w:rPr>
          <w:kern w:val="0"/>
        </w:rPr>
        <w:t>50 people with intellectual disability demonstrating SIB. Four trials compared the effects</w:t>
      </w:r>
      <w:r w:rsidR="00427468">
        <w:rPr>
          <w:kern w:val="0"/>
        </w:rPr>
        <w:t xml:space="preserve"> of </w:t>
      </w:r>
      <w:r>
        <w:rPr>
          <w:kern w:val="0"/>
        </w:rPr>
        <w:t>naltrexone versus placebo</w:t>
      </w:r>
      <w:r w:rsidR="005853A9">
        <w:rPr>
          <w:kern w:val="0"/>
        </w:rPr>
        <w:t xml:space="preserve"> and </w:t>
      </w:r>
      <w:r>
        <w:rPr>
          <w:kern w:val="0"/>
        </w:rPr>
        <w:t>one trial compared clomipramine versus placebo. One</w:t>
      </w:r>
      <w:r w:rsidR="00427468">
        <w:rPr>
          <w:kern w:val="0"/>
        </w:rPr>
        <w:t xml:space="preserve"> of </w:t>
      </w:r>
      <w:r>
        <w:rPr>
          <w:kern w:val="0"/>
        </w:rPr>
        <w:t>the naltrexone versus placebo trials reported that naltrexone had clinically significant effects (&gt;= 33% reduction) on the daily rates</w:t>
      </w:r>
      <w:r w:rsidR="00427468">
        <w:rPr>
          <w:kern w:val="0"/>
        </w:rPr>
        <w:t xml:space="preserve"> of </w:t>
      </w:r>
      <w:r>
        <w:rPr>
          <w:kern w:val="0"/>
        </w:rPr>
        <w:t>three</w:t>
      </w:r>
      <w:r w:rsidR="00427468">
        <w:rPr>
          <w:kern w:val="0"/>
        </w:rPr>
        <w:t xml:space="preserve"> of </w:t>
      </w:r>
      <w:r>
        <w:rPr>
          <w:kern w:val="0"/>
        </w:rPr>
        <w:t>the four participants</w:t>
      </w:r>
      <w:r w:rsidR="0071223E">
        <w:rPr>
          <w:kern w:val="0"/>
        </w:rPr>
        <w:t>’</w:t>
      </w:r>
      <w:r>
        <w:rPr>
          <w:kern w:val="0"/>
        </w:rPr>
        <w:t xml:space="preserve"> most severe form</w:t>
      </w:r>
      <w:r w:rsidR="00427468">
        <w:rPr>
          <w:kern w:val="0"/>
        </w:rPr>
        <w:t xml:space="preserve"> of </w:t>
      </w:r>
      <w:r>
        <w:rPr>
          <w:kern w:val="0"/>
        </w:rPr>
        <w:t>SIB</w:t>
      </w:r>
      <w:r w:rsidR="005853A9">
        <w:rPr>
          <w:kern w:val="0"/>
        </w:rPr>
        <w:t xml:space="preserve"> and </w:t>
      </w:r>
      <w:r>
        <w:rPr>
          <w:kern w:val="0"/>
        </w:rPr>
        <w:t>modest to substantial reductions in SIB for all participants; however, this study did not report on statistical significance. Another trial reported that naltrexone attenuated SIB in all four participants, with 25 mg</w:t>
      </w:r>
      <w:r w:rsidR="005853A9">
        <w:rPr>
          <w:kern w:val="0"/>
        </w:rPr>
        <w:t xml:space="preserve"> and </w:t>
      </w:r>
      <w:r>
        <w:rPr>
          <w:kern w:val="0"/>
        </w:rPr>
        <w:t>50 mg doses producing a statistically significant decrease in SIB (P value &lt; 0.05). Another trial (eight people) indicated that naltrexone administration was associated with significantly fewer days</w:t>
      </w:r>
      <w:r w:rsidR="00427468">
        <w:rPr>
          <w:kern w:val="0"/>
        </w:rPr>
        <w:t xml:space="preserve"> of </w:t>
      </w:r>
      <w:r>
        <w:rPr>
          <w:kern w:val="0"/>
        </w:rPr>
        <w:t>high frequency self injury</w:t>
      </w:r>
      <w:r w:rsidR="005853A9">
        <w:rPr>
          <w:kern w:val="0"/>
        </w:rPr>
        <w:t xml:space="preserve"> and </w:t>
      </w:r>
      <w:r>
        <w:rPr>
          <w:kern w:val="0"/>
        </w:rPr>
        <w:t>significantly more days with low frequency self injury. Naltrexone had different effects depending on the form</w:t>
      </w:r>
      <w:r w:rsidR="005853A9">
        <w:rPr>
          <w:kern w:val="0"/>
        </w:rPr>
        <w:t xml:space="preserve"> and </w:t>
      </w:r>
      <w:r>
        <w:rPr>
          <w:kern w:val="0"/>
        </w:rPr>
        <w:t>location</w:t>
      </w:r>
      <w:r w:rsidR="00427468">
        <w:rPr>
          <w:kern w:val="0"/>
        </w:rPr>
        <w:t xml:space="preserve"> of </w:t>
      </w:r>
      <w:r>
        <w:rPr>
          <w:kern w:val="0"/>
        </w:rPr>
        <w:t>self injury. Another trial with only 26 participants found that neither single-dose (100 mg) nor long-term (50</w:t>
      </w:r>
      <w:r w:rsidR="005853A9">
        <w:rPr>
          <w:kern w:val="0"/>
        </w:rPr>
        <w:t xml:space="preserve"> and </w:t>
      </w:r>
      <w:r>
        <w:rPr>
          <w:kern w:val="0"/>
        </w:rPr>
        <w:t>150 mg) naltrexone treatment had any therapeutic effect on SIB. Comparison</w:t>
      </w:r>
      <w:r w:rsidR="00427468">
        <w:rPr>
          <w:kern w:val="0"/>
        </w:rPr>
        <w:t xml:space="preserve"> of </w:t>
      </w:r>
      <w:r>
        <w:rPr>
          <w:kern w:val="0"/>
        </w:rPr>
        <w:t>clomipramine versus placebo found no statistically significant benefit for any outcome measure, which included SIB rate</w:t>
      </w:r>
      <w:r w:rsidR="005853A9">
        <w:rPr>
          <w:kern w:val="0"/>
        </w:rPr>
        <w:t xml:space="preserve"> and </w:t>
      </w:r>
      <w:r>
        <w:rPr>
          <w:kern w:val="0"/>
        </w:rPr>
        <w:t>intensity, stereotypy</w:t>
      </w:r>
      <w:r w:rsidR="005853A9">
        <w:rPr>
          <w:kern w:val="0"/>
        </w:rPr>
        <w:t xml:space="preserve"> and </w:t>
      </w:r>
      <w:r>
        <w:rPr>
          <w:kern w:val="0"/>
        </w:rPr>
        <w:t>adverse events. However, it showed clinically significant improvement in the rate</w:t>
      </w:r>
      <w:r w:rsidR="005853A9">
        <w:rPr>
          <w:kern w:val="0"/>
        </w:rPr>
        <w:t xml:space="preserve"> and </w:t>
      </w:r>
      <w:r>
        <w:rPr>
          <w:kern w:val="0"/>
        </w:rPr>
        <w:t>intensity</w:t>
      </w:r>
      <w:r w:rsidR="00427468">
        <w:rPr>
          <w:kern w:val="0"/>
        </w:rPr>
        <w:t xml:space="preserve"> of </w:t>
      </w:r>
      <w:r>
        <w:rPr>
          <w:kern w:val="0"/>
        </w:rPr>
        <w:t>SIB</w:t>
      </w:r>
      <w:r w:rsidR="005853A9">
        <w:rPr>
          <w:kern w:val="0"/>
        </w:rPr>
        <w:t xml:space="preserve"> and </w:t>
      </w:r>
      <w:r>
        <w:rPr>
          <w:kern w:val="0"/>
        </w:rPr>
        <w:t>stereotypy</w:t>
      </w:r>
      <w:r w:rsidR="00A37C1D">
        <w:rPr>
          <w:kern w:val="0"/>
        </w:rPr>
        <w:t>. The</w:t>
      </w:r>
      <w:r>
        <w:rPr>
          <w:kern w:val="0"/>
        </w:rPr>
        <w:t>re were very few noteworthy adverse events to report in any</w:t>
      </w:r>
      <w:r w:rsidR="00427468">
        <w:rPr>
          <w:kern w:val="0"/>
        </w:rPr>
        <w:t xml:space="preserve"> of </w:t>
      </w:r>
      <w:r>
        <w:rPr>
          <w:kern w:val="0"/>
        </w:rPr>
        <w:t>the four trials in which these were reported. All trials were at high risk</w:t>
      </w:r>
      <w:r w:rsidR="00427468">
        <w:rPr>
          <w:kern w:val="0"/>
        </w:rPr>
        <w:t xml:space="preserve"> of </w:t>
      </w:r>
      <w:r>
        <w:rPr>
          <w:kern w:val="0"/>
        </w:rPr>
        <w:t>bias, apart from one trial (Lewis 1996), which was probably at low risk</w:t>
      </w:r>
      <w:r w:rsidR="00427468">
        <w:rPr>
          <w:kern w:val="0"/>
        </w:rPr>
        <w:t xml:space="preserve"> of </w:t>
      </w:r>
      <w:r>
        <w:rPr>
          <w:kern w:val="0"/>
        </w:rPr>
        <w:t>bias</w:t>
      </w:r>
      <w:r w:rsidR="00A37C1D">
        <w:rPr>
          <w:kern w:val="0"/>
        </w:rPr>
        <w:t>. The</w:t>
      </w:r>
      <w:r>
        <w:rPr>
          <w:kern w:val="0"/>
        </w:rPr>
        <w:t xml:space="preserve"> short period</w:t>
      </w:r>
      <w:r w:rsidR="00427468">
        <w:rPr>
          <w:kern w:val="0"/>
        </w:rPr>
        <w:t xml:space="preserve"> of </w:t>
      </w:r>
      <w:r>
        <w:rPr>
          <w:kern w:val="0"/>
        </w:rPr>
        <w:t>follow-up was a significant drawback in the design</w:t>
      </w:r>
      <w:r w:rsidR="00427468">
        <w:rPr>
          <w:kern w:val="0"/>
        </w:rPr>
        <w:t xml:space="preserve"> of </w:t>
      </w:r>
      <w:r>
        <w:rPr>
          <w:kern w:val="0"/>
        </w:rPr>
        <w:t xml:space="preserve">all five trials, as it did not allow long-term </w:t>
      </w:r>
      <w:r>
        <w:rPr>
          <w:kern w:val="0"/>
        </w:rPr>
        <w:lastRenderedPageBreak/>
        <w:t>assessment</w:t>
      </w:r>
      <w:r w:rsidR="00427468">
        <w:rPr>
          <w:kern w:val="0"/>
        </w:rPr>
        <w:t xml:space="preserve"> of </w:t>
      </w:r>
      <w:r>
        <w:rPr>
          <w:kern w:val="0"/>
        </w:rPr>
        <w:t>behaviour over time. We were unable to examine the efficacy</w:t>
      </w:r>
      <w:r w:rsidR="00427468">
        <w:rPr>
          <w:kern w:val="0"/>
        </w:rPr>
        <w:t xml:space="preserve"> of </w:t>
      </w:r>
      <w:r>
        <w:rPr>
          <w:kern w:val="0"/>
        </w:rPr>
        <w:t>antidepressants other than clomipramine, antipsychotics, mood stabilisers or beta-blockers as we did not identify any relevant placebo-controlled trials. Authors</w:t>
      </w:r>
      <w:r w:rsidR="0071223E">
        <w:rPr>
          <w:kern w:val="0"/>
        </w:rPr>
        <w:t>’</w:t>
      </w:r>
      <w:r>
        <w:rPr>
          <w:kern w:val="0"/>
        </w:rPr>
        <w:t xml:space="preserve"> conclusions There was weak evidence in included trials that any active drug was more effective than placebo for people with intellectual disability demonstrating SIB. Due to sparse data, an absence</w:t>
      </w:r>
      <w:r w:rsidR="00427468">
        <w:rPr>
          <w:kern w:val="0"/>
        </w:rPr>
        <w:t xml:space="preserve"> of </w:t>
      </w:r>
      <w:r>
        <w:rPr>
          <w:kern w:val="0"/>
        </w:rPr>
        <w:t>power</w:t>
      </w:r>
      <w:r w:rsidR="005853A9">
        <w:rPr>
          <w:kern w:val="0"/>
        </w:rPr>
        <w:t xml:space="preserve"> and </w:t>
      </w:r>
      <w:r>
        <w:rPr>
          <w:kern w:val="0"/>
        </w:rPr>
        <w:t>statistical significance,</w:t>
      </w:r>
      <w:r w:rsidR="005853A9">
        <w:rPr>
          <w:kern w:val="0"/>
        </w:rPr>
        <w:t xml:space="preserve"> and </w:t>
      </w:r>
      <w:r>
        <w:rPr>
          <w:kern w:val="0"/>
        </w:rPr>
        <w:t>high risk</w:t>
      </w:r>
      <w:r w:rsidR="00427468">
        <w:rPr>
          <w:kern w:val="0"/>
        </w:rPr>
        <w:t xml:space="preserve"> of </w:t>
      </w:r>
      <w:r>
        <w:rPr>
          <w:kern w:val="0"/>
        </w:rPr>
        <w:t>bias for four</w:t>
      </w:r>
      <w:r w:rsidR="00427468">
        <w:rPr>
          <w:kern w:val="0"/>
        </w:rPr>
        <w:t xml:space="preserve"> of </w:t>
      </w:r>
      <w:r>
        <w:rPr>
          <w:kern w:val="0"/>
        </w:rPr>
        <w:t>the included trials, we are unable to reach any definite conclusions about the relative benefits</w:t>
      </w:r>
      <w:r w:rsidR="00427468">
        <w:rPr>
          <w:kern w:val="0"/>
        </w:rPr>
        <w:t xml:space="preserve"> of </w:t>
      </w:r>
      <w:r>
        <w:rPr>
          <w:kern w:val="0"/>
        </w:rPr>
        <w:t>naltrexone or clomipramine compared to placebo.</w:t>
      </w:r>
    </w:p>
    <w:p w:rsidR="00365DE4" w:rsidRDefault="00365DE4" w:rsidP="00365DE4">
      <w:pPr>
        <w:pStyle w:val="a3"/>
        <w:rPr>
          <w:kern w:val="0"/>
        </w:rPr>
      </w:pPr>
      <w:r>
        <w:rPr>
          <w:kern w:val="0"/>
        </w:rPr>
        <w:t xml:space="preserve">Keywords: Administration, Advances, Analysis, Antipsychotics, Assessment, Authors, Behaviour, Benefits, Betablockers, Bias, Challenge, Citation, Clinical, Collection, Comparison, Conference, Criteria, Data, Data Collection, Databases, Design, Disability, Double-Blind, Drug, Drugs, Effectiveness, Effects, Efficacy, Embase, Events, Evidence, Extraction, Follow-Up, Humanities, Improvement, Injury, Interventions, Location, Long Term, Long-Term, Low Risk, Measure, </w:t>
      </w:r>
      <w:r w:rsidR="00D5664A">
        <w:rPr>
          <w:kern w:val="0"/>
        </w:rPr>
        <w:t>MEDLINE</w:t>
      </w:r>
      <w:r>
        <w:rPr>
          <w:kern w:val="0"/>
        </w:rPr>
        <w:t>, Meta Analysis, Meta-Analysis, Metaanalysis, Methods, Monitoring, Outcome, Outcome Measure, Outcome Measures, P, Placebo, Population, Power, Prescribing, Psycinfo, Randomised, Randomised Controlled Trials, Rates, Reduction, Reference, Reference Lists, Review, Risk, Safety, Science, Science Citation Index, Search, Self, Significance, Social Science Citation Index, Therapeutic, Treatment, Trial, Value</w:t>
      </w:r>
    </w:p>
    <w:p w:rsidR="00365DE4" w:rsidRDefault="00365DE4" w:rsidP="00365DE4">
      <w:pPr>
        <w:pStyle w:val="a3"/>
        <w:rPr>
          <w:kern w:val="0"/>
        </w:rPr>
      </w:pPr>
      <w:r>
        <w:rPr>
          <w:kern w:val="0"/>
        </w:rPr>
        <w:t>? Riemsma, R.P., Bala, M.M., Wolff, R.</w:t>
      </w:r>
      <w:r w:rsidR="005853A9">
        <w:rPr>
          <w:kern w:val="0"/>
        </w:rPr>
        <w:t xml:space="preserve"> and </w:t>
      </w:r>
      <w:r>
        <w:rPr>
          <w:kern w:val="0"/>
        </w:rPr>
        <w:t xml:space="preserve">Kleijnen, J. (2013), Transarterial (chemo)embolisation versus no intervention or placebo intervention for liver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4</w:t>
      </w:r>
      <w:r>
        <w:rPr>
          <w:kern w:val="0"/>
        </w:rPr>
        <w:t>, Article Number: CD009498.</w:t>
      </w:r>
    </w:p>
    <w:p w:rsidR="00365DE4" w:rsidRDefault="00365DE4" w:rsidP="00365DE4">
      <w:pPr>
        <w:pStyle w:val="a3"/>
        <w:rPr>
          <w:kern w:val="2"/>
        </w:rPr>
      </w:pPr>
      <w:r>
        <w:t>Full Text: 2013\Coc Dat Sys Rev2013, CD009498.pdf</w:t>
      </w:r>
    </w:p>
    <w:p w:rsidR="00365DE4" w:rsidRDefault="00365DE4" w:rsidP="00365DE4">
      <w:pPr>
        <w:pStyle w:val="a3"/>
        <w:rPr>
          <w:kern w:val="0"/>
        </w:rPr>
      </w:pPr>
      <w:r>
        <w:rPr>
          <w:kern w:val="0"/>
        </w:rPr>
        <w:t>Abstract: Background Primary liver tumours</w:t>
      </w:r>
      <w:r w:rsidR="005853A9">
        <w:rPr>
          <w:kern w:val="0"/>
        </w:rPr>
        <w:t xml:space="preserve"> and </w:t>
      </w:r>
      <w:r>
        <w:rPr>
          <w:kern w:val="0"/>
        </w:rPr>
        <w:t>liver metastases from colorectal carcinoma are the two most common malignant tumours to affect the liver</w:t>
      </w:r>
      <w:r w:rsidR="00A37C1D">
        <w:rPr>
          <w:kern w:val="0"/>
        </w:rPr>
        <w:t>. The</w:t>
      </w:r>
      <w:r>
        <w:rPr>
          <w:kern w:val="0"/>
        </w:rPr>
        <w:t xml:space="preserve"> liver is second only to the lymph nodes as the most common site for metastatic disease. More than half</w:t>
      </w:r>
      <w:r w:rsidR="00427468">
        <w:rPr>
          <w:kern w:val="0"/>
        </w:rPr>
        <w:t xml:space="preserve"> of </w:t>
      </w:r>
      <w:r>
        <w:rPr>
          <w:kern w:val="0"/>
        </w:rPr>
        <w:t>the patients with metastatic liver disease will die from metastatic complications. Chemoembolisation is based on the concept that the blood supply to hepatic tumours originates predominantly from the hepatic artery</w:t>
      </w:r>
      <w:r w:rsidR="00A37C1D">
        <w:rPr>
          <w:kern w:val="0"/>
        </w:rPr>
        <w:t>. The</w:t>
      </w:r>
      <w:r>
        <w:rPr>
          <w:kern w:val="0"/>
        </w:rPr>
        <w:t>refore, embolisation</w:t>
      </w:r>
      <w:r w:rsidR="00427468">
        <w:rPr>
          <w:kern w:val="0"/>
        </w:rPr>
        <w:t xml:space="preserve"> of </w:t>
      </w:r>
      <w:r>
        <w:rPr>
          <w:kern w:val="0"/>
        </w:rPr>
        <w:t>the hepatic artery can lead to selective necrosis</w:t>
      </w:r>
      <w:r w:rsidR="00427468">
        <w:rPr>
          <w:kern w:val="0"/>
        </w:rPr>
        <w:t xml:space="preserve"> of </w:t>
      </w:r>
      <w:r>
        <w:rPr>
          <w:kern w:val="0"/>
        </w:rPr>
        <w:t>the liver tumour while it may leave normal parenchyma virtually unaffected. Objectives To study the beneficial</w:t>
      </w:r>
      <w:r w:rsidR="005853A9">
        <w:rPr>
          <w:kern w:val="0"/>
        </w:rPr>
        <w:t xml:space="preserve"> and </w:t>
      </w:r>
      <w:r>
        <w:rPr>
          <w:kern w:val="0"/>
        </w:rPr>
        <w:t>harmful effects</w:t>
      </w:r>
      <w:r w:rsidR="00427468">
        <w:rPr>
          <w:kern w:val="0"/>
        </w:rPr>
        <w:t xml:space="preserve"> of </w:t>
      </w:r>
      <w:r>
        <w:rPr>
          <w:kern w:val="0"/>
        </w:rPr>
        <w:t>transarterial (chemo) embolisation compared with no intervention or placebo intervention in patients with liver metastases. Search methods We searched the Cochrane Hepato-Biliary Group Controlled Trials Register,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LILACS,</w:t>
      </w:r>
      <w:r w:rsidR="005853A9">
        <w:rPr>
          <w:kern w:val="0"/>
        </w:rPr>
        <w:t xml:space="preserve"> and </w:t>
      </w:r>
      <w:r>
        <w:rPr>
          <w:kern w:val="0"/>
        </w:rPr>
        <w:t>CINAHL up to December 2012. Selection criteria We included all randomised clinical trials assessing beneficial</w:t>
      </w:r>
      <w:r w:rsidR="005853A9">
        <w:rPr>
          <w:kern w:val="0"/>
        </w:rPr>
        <w:t xml:space="preserve"> and </w:t>
      </w:r>
      <w:r>
        <w:rPr>
          <w:kern w:val="0"/>
        </w:rPr>
        <w:t>harmful effects</w:t>
      </w:r>
      <w:r w:rsidR="00427468">
        <w:rPr>
          <w:kern w:val="0"/>
        </w:rPr>
        <w:t xml:space="preserve"> of </w:t>
      </w:r>
      <w:r>
        <w:rPr>
          <w:kern w:val="0"/>
        </w:rPr>
        <w:t xml:space="preserve">transarterial (chemo) </w:t>
      </w:r>
      <w:r>
        <w:rPr>
          <w:kern w:val="0"/>
        </w:rPr>
        <w:lastRenderedPageBreak/>
        <w:t>embolisation compared with no intervention or placebo intervention in patients with liver metastases, no matter the location</w:t>
      </w:r>
      <w:r w:rsidR="00427468">
        <w:rPr>
          <w:kern w:val="0"/>
        </w:rPr>
        <w:t xml:space="preserve"> of </w:t>
      </w:r>
      <w:r>
        <w:rPr>
          <w:kern w:val="0"/>
        </w:rPr>
        <w:t>the primary tumour. Data collection</w:t>
      </w:r>
      <w:r w:rsidR="005853A9">
        <w:rPr>
          <w:kern w:val="0"/>
        </w:rPr>
        <w:t xml:space="preserve"> and </w:t>
      </w:r>
      <w:r>
        <w:rPr>
          <w:kern w:val="0"/>
        </w:rPr>
        <w:t>analysis We extracted relevant information on participant characteristics, interventions, study outcome measures,</w:t>
      </w:r>
      <w:r w:rsidR="005853A9">
        <w:rPr>
          <w:kern w:val="0"/>
        </w:rPr>
        <w:t xml:space="preserve"> and </w:t>
      </w:r>
      <w:r>
        <w:rPr>
          <w:kern w:val="0"/>
        </w:rPr>
        <w:t>data on the outcome measures for our review as well as information on the design</w:t>
      </w:r>
      <w:r w:rsidR="005853A9">
        <w:rPr>
          <w:kern w:val="0"/>
        </w:rPr>
        <w:t xml:space="preserve"> and </w:t>
      </w:r>
      <w:r>
        <w:rPr>
          <w:kern w:val="0"/>
        </w:rPr>
        <w:t>methodology</w:t>
      </w:r>
      <w:r w:rsidR="00427468">
        <w:rPr>
          <w:kern w:val="0"/>
        </w:rPr>
        <w:t xml:space="preserve"> of </w:t>
      </w:r>
      <w:r>
        <w:rPr>
          <w:kern w:val="0"/>
        </w:rPr>
        <w:t>the studies. Bias risk assessment</w:t>
      </w:r>
      <w:r w:rsidR="00427468">
        <w:rPr>
          <w:kern w:val="0"/>
        </w:rPr>
        <w:t xml:space="preserve"> of </w:t>
      </w:r>
      <w:r>
        <w:rPr>
          <w:kern w:val="0"/>
        </w:rPr>
        <w:t>the trials, fulfilling the inclusion criteria,</w:t>
      </w:r>
      <w:r w:rsidR="005853A9">
        <w:rPr>
          <w:kern w:val="0"/>
        </w:rPr>
        <w:t xml:space="preserve"> and </w:t>
      </w:r>
      <w:r>
        <w:rPr>
          <w:kern w:val="0"/>
        </w:rPr>
        <w:t>data extraction from the retrieved final evaluation trials were done by one author</w:t>
      </w:r>
      <w:r w:rsidR="005853A9">
        <w:rPr>
          <w:kern w:val="0"/>
        </w:rPr>
        <w:t xml:space="preserve"> and </w:t>
      </w:r>
      <w:r>
        <w:rPr>
          <w:kern w:val="0"/>
        </w:rPr>
        <w:t>checked by a second author. Main results One randomised clinical trial fulfilled the inclusion criteria</w:t>
      </w:r>
      <w:r w:rsidR="00427468">
        <w:rPr>
          <w:kern w:val="0"/>
        </w:rPr>
        <w:t xml:space="preserve"> of </w:t>
      </w:r>
      <w:r>
        <w:rPr>
          <w:kern w:val="0"/>
        </w:rPr>
        <w:t>the review. Sixty-one patients with colorectal liver metastases were randomised into three intervention groups: 22 received hepatic artery embolisation, 19 received hepatic artery infusion chemotherapy,</w:t>
      </w:r>
      <w:r w:rsidR="005853A9">
        <w:rPr>
          <w:kern w:val="0"/>
        </w:rPr>
        <w:t xml:space="preserve"> and </w:t>
      </w:r>
      <w:r>
        <w:rPr>
          <w:kern w:val="0"/>
        </w:rPr>
        <w:t>20 were randomised to control, described as “no active therapeutic intervention, although symptomatic treatment was provided whenever necessary”. As hepatic artery infusion chemotherapy is not in the scope</w:t>
      </w:r>
      <w:r w:rsidR="00427468">
        <w:rPr>
          <w:kern w:val="0"/>
        </w:rPr>
        <w:t xml:space="preserve"> of </w:t>
      </w:r>
      <w:r>
        <w:rPr>
          <w:kern w:val="0"/>
        </w:rPr>
        <w:t>this review, we have not included the data from this intervention group. In the remaining two groups that were</w:t>
      </w:r>
      <w:r w:rsidR="00427468">
        <w:rPr>
          <w:kern w:val="0"/>
        </w:rPr>
        <w:t xml:space="preserve"> of </w:t>
      </w:r>
      <w:r>
        <w:rPr>
          <w:kern w:val="0"/>
        </w:rPr>
        <w:t>interest to the review, 43</w:t>
      </w:r>
      <w:r w:rsidR="00427468">
        <w:rPr>
          <w:kern w:val="0"/>
        </w:rPr>
        <w:t xml:space="preserve"> of </w:t>
      </w:r>
      <w:r>
        <w:rPr>
          <w:kern w:val="0"/>
        </w:rPr>
        <w:t>the participants were men</w:t>
      </w:r>
      <w:r w:rsidR="005853A9">
        <w:rPr>
          <w:kern w:val="0"/>
        </w:rPr>
        <w:t xml:space="preserve"> and </w:t>
      </w:r>
      <w:r>
        <w:rPr>
          <w:kern w:val="0"/>
        </w:rPr>
        <w:t>18 women. Most tumours were synchronous metastases involving up to 75%</w:t>
      </w:r>
      <w:r w:rsidR="00427468">
        <w:rPr>
          <w:kern w:val="0"/>
        </w:rPr>
        <w:t xml:space="preserve"> of </w:t>
      </w:r>
      <w:r>
        <w:rPr>
          <w:kern w:val="0"/>
        </w:rPr>
        <w:t>the liver</w:t>
      </w:r>
      <w:r w:rsidR="005853A9">
        <w:rPr>
          <w:kern w:val="0"/>
        </w:rPr>
        <w:t xml:space="preserve"> and </w:t>
      </w:r>
      <w:r>
        <w:rPr>
          <w:kern w:val="0"/>
        </w:rPr>
        <w:t>non-resectable</w:t>
      </w:r>
      <w:r w:rsidR="00A37C1D">
        <w:rPr>
          <w:kern w:val="0"/>
        </w:rPr>
        <w:t>. The</w:t>
      </w:r>
      <w:r>
        <w:rPr>
          <w:kern w:val="0"/>
        </w:rPr>
        <w:t xml:space="preserve"> risk</w:t>
      </w:r>
      <w:r w:rsidR="00427468">
        <w:rPr>
          <w:kern w:val="0"/>
        </w:rPr>
        <w:t xml:space="preserve"> of </w:t>
      </w:r>
      <w:r>
        <w:rPr>
          <w:kern w:val="0"/>
        </w:rPr>
        <w:t>bias in the trial was judged to be high. Patients were followed-up for a minimum</w:t>
      </w:r>
      <w:r w:rsidR="00427468">
        <w:rPr>
          <w:kern w:val="0"/>
        </w:rPr>
        <w:t xml:space="preserve"> of </w:t>
      </w:r>
      <w:r>
        <w:rPr>
          <w:kern w:val="0"/>
        </w:rPr>
        <w:t>seven months. Mortality at last follow-up was 86%(19/22) in the hepatic artery embolisation group versus 95% (19/20) in the control group (RR 0.91; 95% CI 0.75 to 1.1), that is, no statistically significant difference was observed. Median survival after trial entry was 7.0 months (range 2 to 44) in the hepatic artery embolisation group</w:t>
      </w:r>
      <w:r w:rsidR="005853A9">
        <w:rPr>
          <w:kern w:val="0"/>
        </w:rPr>
        <w:t xml:space="preserve"> and </w:t>
      </w:r>
      <w:r>
        <w:rPr>
          <w:kern w:val="0"/>
        </w:rPr>
        <w:t>7.9 months (range 1 to 26) in the control group. Nine out</w:t>
      </w:r>
      <w:r w:rsidR="00427468">
        <w:rPr>
          <w:kern w:val="0"/>
        </w:rPr>
        <w:t xml:space="preserve"> of </w:t>
      </w:r>
      <w:r>
        <w:rPr>
          <w:kern w:val="0"/>
        </w:rPr>
        <w:t>22 (41%) in the hepatic artery embolisation group</w:t>
      </w:r>
      <w:r w:rsidR="005853A9">
        <w:rPr>
          <w:kern w:val="0"/>
        </w:rPr>
        <w:t xml:space="preserve"> and </w:t>
      </w:r>
      <w:r>
        <w:rPr>
          <w:kern w:val="0"/>
        </w:rPr>
        <w:t>five out</w:t>
      </w:r>
      <w:r w:rsidR="00427468">
        <w:rPr>
          <w:kern w:val="0"/>
        </w:rPr>
        <w:t xml:space="preserve"> of </w:t>
      </w:r>
      <w:r>
        <w:rPr>
          <w:kern w:val="0"/>
        </w:rPr>
        <w:t>20 (25%) in the control group developed evidence</w:t>
      </w:r>
      <w:r w:rsidR="00427468">
        <w:rPr>
          <w:kern w:val="0"/>
        </w:rPr>
        <w:t xml:space="preserve"> of </w:t>
      </w:r>
      <w:r>
        <w:rPr>
          <w:kern w:val="0"/>
        </w:rPr>
        <w:t>extrahepatic disease (RR 1.64; 95% CI 0.60 to 4.07). Local recurrence was reported for 10 patients in the trial without details about the trial group. Most patients in the embolisation group experienced post-embolic syndrome (82%),</w:t>
      </w:r>
      <w:r w:rsidR="005853A9">
        <w:rPr>
          <w:kern w:val="0"/>
        </w:rPr>
        <w:t xml:space="preserve"> and </w:t>
      </w:r>
      <w:r>
        <w:rPr>
          <w:kern w:val="0"/>
        </w:rPr>
        <w:t>one patient had local haematoma. No other adverse events were reported</w:t>
      </w:r>
      <w:r w:rsidR="00A37C1D">
        <w:rPr>
          <w:kern w:val="0"/>
        </w:rPr>
        <w:t>. The</w:t>
      </w:r>
      <w:r>
        <w:rPr>
          <w:kern w:val="0"/>
        </w:rPr>
        <w:t xml:space="preserve"> authors did not report if there were any adverse events in the control group. Authors</w:t>
      </w:r>
      <w:r w:rsidR="0071223E">
        <w:rPr>
          <w:kern w:val="0"/>
        </w:rPr>
        <w:t>’</w:t>
      </w:r>
      <w:r>
        <w:rPr>
          <w:kern w:val="0"/>
        </w:rPr>
        <w:t xml:space="preserve"> conclusions On the basis</w:t>
      </w:r>
      <w:r w:rsidR="00427468">
        <w:rPr>
          <w:kern w:val="0"/>
        </w:rPr>
        <w:t xml:space="preserve"> of </w:t>
      </w:r>
      <w:r>
        <w:rPr>
          <w:kern w:val="0"/>
        </w:rPr>
        <w:t>one small randomised trial that did not describe sequence generation, allocation concealment or blinding, it can be concluded that in patients with liver metastases no significant survival benefit or benefit on extrahepatic recurrence was found in the embolisation group in comparison with the palliation group</w:t>
      </w:r>
      <w:r w:rsidR="00A37C1D">
        <w:rPr>
          <w:kern w:val="0"/>
        </w:rPr>
        <w:t>. The</w:t>
      </w:r>
      <w:r>
        <w:rPr>
          <w:kern w:val="0"/>
        </w:rPr>
        <w:t xml:space="preserve"> probability for selective outcome reporting bias in the trial is high. At present, transarterial (chemo) embolisation cannot be recommended outside randomised clinical trials.</w:t>
      </w:r>
    </w:p>
    <w:p w:rsidR="00365DE4" w:rsidRDefault="00365DE4" w:rsidP="00365DE4">
      <w:pPr>
        <w:pStyle w:val="a3"/>
        <w:rPr>
          <w:kern w:val="0"/>
        </w:rPr>
      </w:pPr>
      <w:r>
        <w:rPr>
          <w:kern w:val="0"/>
        </w:rPr>
        <w:t xml:space="preserve">Keywords: Allocation, Analysis, Artery, Assessing, Assessment, Authors, Bias, Blood, Characteristics, Chemotherapy, Citation, Clinical, Clinical Trial, Clinical Trials, Collection, Comparison, Complications, Control, Criteria, Data, Data Collection, </w:t>
      </w:r>
      <w:r>
        <w:rPr>
          <w:kern w:val="0"/>
        </w:rPr>
        <w:lastRenderedPageBreak/>
        <w:t xml:space="preserve">Design, Disease, Effects, Embase, Evaluation, Events, Evidence, Extraction, Follow-Up, Generation, Groups, Information, Infusion, Intervention, Interventions, Lead, Liver, Local, Location, Median, </w:t>
      </w:r>
      <w:r w:rsidR="00D5664A">
        <w:rPr>
          <w:kern w:val="0"/>
        </w:rPr>
        <w:t>MEDLINE</w:t>
      </w:r>
      <w:r>
        <w:rPr>
          <w:kern w:val="0"/>
        </w:rPr>
        <w:t>, Men, Metastases, Metastatic Disease, Methodology, Methods, Minimum, Mortality, Necrosis, Normal, Outcome, Outcome Measures, Palliation, Patients, Placebo, Primary, Randomised, Randomised Trial, Recurrence, Reporting, Review, Risk, Risk Assessment, Science, Science Citation Index, Science Citation Index Expanded, Scope, Search, Site, Small, Survival, Syndrome, Therapeutic, Treatment, Trial, Women</w:t>
      </w:r>
    </w:p>
    <w:p w:rsidR="00D8726F" w:rsidRDefault="00D8726F" w:rsidP="00D8726F">
      <w:pPr>
        <w:pStyle w:val="a3"/>
        <w:rPr>
          <w:kern w:val="0"/>
        </w:rPr>
      </w:pPr>
      <w:r>
        <w:rPr>
          <w:rFonts w:hint="eastAsia"/>
          <w:kern w:val="0"/>
        </w:rPr>
        <w:t xml:space="preserve">? </w:t>
      </w:r>
      <w:r>
        <w:rPr>
          <w:kern w:val="0"/>
        </w:rPr>
        <w:t>Rooney, A. and Grant, R. (2013), Pharmacological treatment</w:t>
      </w:r>
      <w:r w:rsidR="00427468">
        <w:rPr>
          <w:kern w:val="0"/>
        </w:rPr>
        <w:t xml:space="preserve"> of </w:t>
      </w:r>
      <w:r>
        <w:rPr>
          <w:kern w:val="0"/>
        </w:rPr>
        <w:t xml:space="preserve">depression in patients with a primary brain tumour.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5</w:t>
      </w:r>
      <w:r>
        <w:rPr>
          <w:kern w:val="0"/>
        </w:rPr>
        <w:t xml:space="preserve">, Article Number: </w:t>
      </w:r>
      <w:r w:rsidRPr="000873FA">
        <w:rPr>
          <w:kern w:val="0"/>
        </w:rPr>
        <w:t>CD006932</w:t>
      </w:r>
      <w:r>
        <w:rPr>
          <w:kern w:val="0"/>
        </w:rPr>
        <w:t>.</w:t>
      </w:r>
    </w:p>
    <w:p w:rsidR="00D8726F" w:rsidRDefault="00D8726F" w:rsidP="00D8726F">
      <w:pPr>
        <w:pStyle w:val="a3"/>
        <w:rPr>
          <w:kern w:val="2"/>
        </w:rPr>
      </w:pPr>
      <w:r>
        <w:t xml:space="preserve">Full Text: 2013\Coc Dat Sys Rev2013, </w:t>
      </w:r>
      <w:r w:rsidRPr="000873FA">
        <w:rPr>
          <w:kern w:val="0"/>
        </w:rPr>
        <w:t>CD006932</w:t>
      </w:r>
      <w:r>
        <w:rPr>
          <w:kern w:val="0"/>
        </w:rPr>
        <w:t>.pdf</w:t>
      </w:r>
    </w:p>
    <w:p w:rsidR="00D8726F" w:rsidRDefault="00D8726F" w:rsidP="00D8726F">
      <w:pPr>
        <w:pStyle w:val="a3"/>
        <w:rPr>
          <w:kern w:val="0"/>
        </w:rPr>
      </w:pPr>
      <w:r>
        <w:rPr>
          <w:kern w:val="0"/>
        </w:rPr>
        <w:t>Abstract: Background This is an updated version</w:t>
      </w:r>
      <w:r w:rsidR="00427468">
        <w:rPr>
          <w:kern w:val="0"/>
        </w:rPr>
        <w:t xml:space="preserve"> of </w:t>
      </w:r>
      <w:r>
        <w:rPr>
          <w:kern w:val="0"/>
        </w:rPr>
        <w:t>the original Cochrane review published in Issue 3, 2010. Patients with a primary brain tumour often experience depression, for which drug treatment may be prescribed. However, these patients are also at high risk</w:t>
      </w:r>
      <w:r w:rsidR="00427468">
        <w:rPr>
          <w:kern w:val="0"/>
        </w:rPr>
        <w:t xml:space="preserve"> of </w:t>
      </w:r>
      <w:r>
        <w:rPr>
          <w:kern w:val="0"/>
        </w:rPr>
        <w:t>epileptic seizures, cognitive impairment and fatigue, all</w:t>
      </w:r>
      <w:r w:rsidR="00427468">
        <w:rPr>
          <w:kern w:val="0"/>
        </w:rPr>
        <w:t xml:space="preserve"> of </w:t>
      </w:r>
      <w:r>
        <w:rPr>
          <w:kern w:val="0"/>
        </w:rPr>
        <w:t>which are potential side effects</w:t>
      </w:r>
      <w:r w:rsidR="00427468">
        <w:rPr>
          <w:kern w:val="0"/>
        </w:rPr>
        <w:t xml:space="preserve"> of </w:t>
      </w:r>
      <w:r>
        <w:rPr>
          <w:kern w:val="0"/>
        </w:rPr>
        <w:t>antidepressants</w:t>
      </w:r>
      <w:r w:rsidR="00A37C1D">
        <w:rPr>
          <w:kern w:val="0"/>
        </w:rPr>
        <w:t>. The</w:t>
      </w:r>
      <w:r>
        <w:rPr>
          <w:kern w:val="0"/>
        </w:rPr>
        <w:t xml:space="preserve"> benefit, or harm,</w:t>
      </w:r>
      <w:r w:rsidR="00427468">
        <w:rPr>
          <w:kern w:val="0"/>
        </w:rPr>
        <w:t xml:space="preserve"> of </w:t>
      </w:r>
      <w:r>
        <w:rPr>
          <w:kern w:val="0"/>
        </w:rPr>
        <w:t>pharmacological treatment</w:t>
      </w:r>
      <w:r w:rsidR="00427468">
        <w:rPr>
          <w:kern w:val="0"/>
        </w:rPr>
        <w:t xml:space="preserve"> of </w:t>
      </w:r>
      <w:r>
        <w:rPr>
          <w:kern w:val="0"/>
        </w:rPr>
        <w:t>depression in brain tumour patients is unclear. Objectives To assess the benefits and harms</w:t>
      </w:r>
      <w:r w:rsidR="00427468">
        <w:rPr>
          <w:kern w:val="0"/>
        </w:rPr>
        <w:t xml:space="preserve"> of </w:t>
      </w:r>
      <w:r>
        <w:rPr>
          <w:kern w:val="0"/>
        </w:rPr>
        <w:t>pharmacological treatment</w:t>
      </w:r>
      <w:r w:rsidR="00427468">
        <w:rPr>
          <w:kern w:val="0"/>
        </w:rPr>
        <w:t xml:space="preserve"> of </w:t>
      </w:r>
      <w:r>
        <w:rPr>
          <w:kern w:val="0"/>
        </w:rPr>
        <w:t>depression in patients with a primary brain tumour. Search methods We updated the search to include the Cochrane Central Register</w:t>
      </w:r>
      <w:r w:rsidR="00427468">
        <w:rPr>
          <w:kern w:val="0"/>
        </w:rPr>
        <w:t xml:space="preserve"> of </w:t>
      </w:r>
      <w:r>
        <w:rPr>
          <w:kern w:val="0"/>
        </w:rPr>
        <w:t>Controlled Trials (CENTRAL) (The Cochrane Library 2012, Issue 10), MEDLINE to October 2012, EMBASE to October 2012 and PsycINFO to October 2012. We searched the British Nursing Index, LILACS, PSYNDEX, the NHS National Research Register, the NHS Centre for Reviews and Dissemination</w:t>
      </w:r>
      <w:r w:rsidR="0071223E">
        <w:rPr>
          <w:kern w:val="0"/>
        </w:rPr>
        <w:t>’</w:t>
      </w:r>
      <w:r>
        <w:rPr>
          <w:kern w:val="0"/>
        </w:rPr>
        <w:t>s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Effectiveness (DARE) and Web</w:t>
      </w:r>
      <w:r w:rsidR="00427468">
        <w:rPr>
          <w:kern w:val="0"/>
        </w:rPr>
        <w:t xml:space="preserve"> of </w:t>
      </w:r>
      <w:r>
        <w:rPr>
          <w:kern w:val="0"/>
        </w:rPr>
        <w:t>Knowledge (covering Science Scisearch, Social Sciences Citation Index and Biological Abstracts) for the original review (to July 2009). In the original review we also handsearched Neuro-oncology, the Journal</w:t>
      </w:r>
      <w:r w:rsidR="00427468">
        <w:rPr>
          <w:kern w:val="0"/>
        </w:rPr>
        <w:t xml:space="preserve"> of </w:t>
      </w:r>
      <w:r>
        <w:rPr>
          <w:kern w:val="0"/>
        </w:rPr>
        <w:t>Neuro-oncology, the Journal</w:t>
      </w:r>
      <w:r w:rsidR="00427468">
        <w:rPr>
          <w:kern w:val="0"/>
        </w:rPr>
        <w:t xml:space="preserve"> of </w:t>
      </w:r>
      <w:r>
        <w:rPr>
          <w:kern w:val="0"/>
        </w:rPr>
        <w:t>Neurology, Neurosurgery and Psychiatry and the Journal</w:t>
      </w:r>
      <w:r w:rsidR="00427468">
        <w:rPr>
          <w:kern w:val="0"/>
        </w:rPr>
        <w:t xml:space="preserve"> of </w:t>
      </w:r>
      <w:r>
        <w:rPr>
          <w:kern w:val="0"/>
        </w:rPr>
        <w:t>Clinical Oncology (July 1999 to June 2009) and wrote to all the pharmaceutical companies manufacturing antidepressants for use in the UK. Selection criteria We searched for all randomised controlled trials (RCTs), controlled clinical trials, cohort studies and case-control studies</w:t>
      </w:r>
      <w:r w:rsidR="00427468">
        <w:rPr>
          <w:kern w:val="0"/>
        </w:rPr>
        <w:t xml:space="preserve"> of </w:t>
      </w:r>
      <w:r>
        <w:rPr>
          <w:kern w:val="0"/>
        </w:rPr>
        <w:t>any pharmacological treatment</w:t>
      </w:r>
      <w:r w:rsidR="00427468">
        <w:rPr>
          <w:kern w:val="0"/>
        </w:rPr>
        <w:t xml:space="preserve"> of </w:t>
      </w:r>
      <w:r>
        <w:rPr>
          <w:kern w:val="0"/>
        </w:rPr>
        <w:t>depression in patients with a histologically diagnosed primary brain tumour. Data collection and analysis No studies met the inclusion criteria. Main results We found no eligible studies evaluating the benefits</w:t>
      </w:r>
      <w:r w:rsidR="00427468">
        <w:rPr>
          <w:kern w:val="0"/>
        </w:rPr>
        <w:t xml:space="preserve"> of </w:t>
      </w:r>
      <w:r>
        <w:rPr>
          <w:kern w:val="0"/>
        </w:rPr>
        <w:t>any pharmacological treatment</w:t>
      </w:r>
      <w:r w:rsidR="00427468">
        <w:rPr>
          <w:kern w:val="0"/>
        </w:rPr>
        <w:t xml:space="preserve"> of </w:t>
      </w:r>
      <w:r>
        <w:rPr>
          <w:kern w:val="0"/>
        </w:rPr>
        <w:t>depression in brain tumour patients. Authors</w:t>
      </w:r>
      <w:r w:rsidR="0071223E">
        <w:rPr>
          <w:kern w:val="0"/>
        </w:rPr>
        <w:t>’</w:t>
      </w:r>
      <w:r>
        <w:rPr>
          <w:kern w:val="0"/>
        </w:rPr>
        <w:t xml:space="preserve"> conclusions No high-quality studies have examined the value</w:t>
      </w:r>
      <w:r w:rsidR="00427468">
        <w:rPr>
          <w:kern w:val="0"/>
        </w:rPr>
        <w:t xml:space="preserve"> of </w:t>
      </w:r>
      <w:r>
        <w:rPr>
          <w:kern w:val="0"/>
        </w:rPr>
        <w:t>pharmacological treatment</w:t>
      </w:r>
      <w:r w:rsidR="00427468">
        <w:rPr>
          <w:kern w:val="0"/>
        </w:rPr>
        <w:t xml:space="preserve"> of </w:t>
      </w:r>
      <w:r>
        <w:rPr>
          <w:kern w:val="0"/>
        </w:rPr>
        <w:t xml:space="preserve">depression in patients with a primary brain tumour. RCTs and detailed prospective studies are required to inform the effective </w:t>
      </w:r>
      <w:r>
        <w:rPr>
          <w:kern w:val="0"/>
        </w:rPr>
        <w:lastRenderedPageBreak/>
        <w:t>pharmacological treatment</w:t>
      </w:r>
      <w:r w:rsidR="00427468">
        <w:rPr>
          <w:kern w:val="0"/>
        </w:rPr>
        <w:t xml:space="preserve"> of </w:t>
      </w:r>
      <w:r>
        <w:rPr>
          <w:kern w:val="0"/>
        </w:rPr>
        <w:t>this common and important complication</w:t>
      </w:r>
      <w:r w:rsidR="00427468">
        <w:rPr>
          <w:kern w:val="0"/>
        </w:rPr>
        <w:t xml:space="preserve"> of </w:t>
      </w:r>
      <w:r>
        <w:rPr>
          <w:kern w:val="0"/>
        </w:rPr>
        <w:t>brain tumours. Since the last version</w:t>
      </w:r>
      <w:r w:rsidR="00427468">
        <w:rPr>
          <w:kern w:val="0"/>
        </w:rPr>
        <w:t xml:space="preserve"> of </w:t>
      </w:r>
      <w:r>
        <w:rPr>
          <w:kern w:val="0"/>
        </w:rPr>
        <w:t>this review none</w:t>
      </w:r>
      <w:r w:rsidR="00427468">
        <w:rPr>
          <w:kern w:val="0"/>
        </w:rPr>
        <w:t xml:space="preserve"> of </w:t>
      </w:r>
      <w:r>
        <w:rPr>
          <w:kern w:val="0"/>
        </w:rPr>
        <w:t>the new relevant studies have provided additional information to change these conclusions.</w:t>
      </w:r>
    </w:p>
    <w:p w:rsidR="00D8726F" w:rsidRDefault="00D8726F" w:rsidP="00D8726F">
      <w:pPr>
        <w:pStyle w:val="a3"/>
        <w:rPr>
          <w:kern w:val="0"/>
        </w:rPr>
      </w:pPr>
      <w:r>
        <w:rPr>
          <w:kern w:val="0"/>
        </w:rPr>
        <w:t>Keywords: Adults, Analysis, Benefits, Brain, Brain Neoplasms [Psychology], Cancer-Patients, Case-Control, Case-Control Studies, Citation, Clinical, Clinical Trials, Cohort, Collection, Complication, Criteria, Data, Data Collection, Database, Depression, Depression [Drug Therapy, Drug, Effects, Embase, Etiology], Experience, Fatigue, Follow-Up, Grade Glioma, Humans, Information, Journal, Knowledge, Major Depression, Manufacturing, Medline, Methods, Mood, Neuro-Oncology, Nhs, Nursing, Oncology, Patients, Potential, Primary, Prospective, Prospective Studies, Psychiatry, Psycinfo, Quality-Of-Life, Radiotherapy, Randomised, Randomised Controlled Trials, Research, Review, Risk, Science, Sciences, Search, Seizures, Side Effects, Social Sciences, Social Sciences Citation Index, Survival, Treatment, Uk, Value, Version, Web</w:t>
      </w:r>
      <w:r w:rsidR="00427468">
        <w:rPr>
          <w:kern w:val="0"/>
        </w:rPr>
        <w:t xml:space="preserve"> of </w:t>
      </w:r>
      <w:r>
        <w:rPr>
          <w:kern w:val="0"/>
        </w:rPr>
        <w:t>Knowledge</w:t>
      </w:r>
    </w:p>
    <w:p w:rsidR="00365DE4" w:rsidRDefault="00365DE4" w:rsidP="00365DE4">
      <w:pPr>
        <w:pStyle w:val="a3"/>
        <w:rPr>
          <w:kern w:val="0"/>
        </w:rPr>
      </w:pPr>
      <w:r>
        <w:rPr>
          <w:kern w:val="0"/>
        </w:rPr>
        <w:t>? Riemsma, R.P., Bala, M.M., Wolff, R.</w:t>
      </w:r>
      <w:r w:rsidR="005853A9">
        <w:rPr>
          <w:kern w:val="0"/>
        </w:rPr>
        <w:t xml:space="preserve"> and </w:t>
      </w:r>
      <w:r>
        <w:rPr>
          <w:kern w:val="0"/>
        </w:rPr>
        <w:t xml:space="preserve">Kleijnen, J. (2013), Percutaneous ethanol injection for liver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CD008717.</w:t>
      </w:r>
    </w:p>
    <w:p w:rsidR="00365DE4" w:rsidRDefault="00365DE4" w:rsidP="00365DE4">
      <w:pPr>
        <w:pStyle w:val="a3"/>
        <w:rPr>
          <w:kern w:val="2"/>
        </w:rPr>
      </w:pPr>
      <w:r>
        <w:t>Full Text: 2013\Coc Dat Sys Rev2013, CD008717.pdf</w:t>
      </w:r>
    </w:p>
    <w:p w:rsidR="00365DE4" w:rsidRDefault="00365DE4" w:rsidP="00365DE4">
      <w:pPr>
        <w:pStyle w:val="a3"/>
        <w:rPr>
          <w:kern w:val="0"/>
        </w:rPr>
      </w:pPr>
      <w:r>
        <w:rPr>
          <w:kern w:val="0"/>
        </w:rPr>
        <w:t>Abstract: Background Primary liver tumours</w:t>
      </w:r>
      <w:r w:rsidR="005853A9">
        <w:rPr>
          <w:kern w:val="0"/>
        </w:rPr>
        <w:t xml:space="preserve"> and </w:t>
      </w:r>
      <w:r>
        <w:rPr>
          <w:kern w:val="0"/>
        </w:rPr>
        <w:t>liver metastases from colorectal carcinoma are the two most common malignant tumours to affect the liver</w:t>
      </w:r>
      <w:r w:rsidR="00A37C1D">
        <w:rPr>
          <w:kern w:val="0"/>
        </w:rPr>
        <w:t>. The</w:t>
      </w:r>
      <w:r>
        <w:rPr>
          <w:kern w:val="0"/>
        </w:rPr>
        <w:t xml:space="preserve"> liver is second only to the lymph nodes as the most common site for metastatic disease. More than half</w:t>
      </w:r>
      <w:r w:rsidR="00427468">
        <w:rPr>
          <w:kern w:val="0"/>
        </w:rPr>
        <w:t xml:space="preserve"> of </w:t>
      </w:r>
      <w:r>
        <w:rPr>
          <w:kern w:val="0"/>
        </w:rPr>
        <w:t>the patients with metastatic liver disease will die from metastatic complications. Percutaneous ethanol injection (PEI) causes dehydration</w:t>
      </w:r>
      <w:r w:rsidR="005853A9">
        <w:rPr>
          <w:kern w:val="0"/>
        </w:rPr>
        <w:t xml:space="preserve"> and </w:t>
      </w:r>
      <w:r>
        <w:rPr>
          <w:kern w:val="0"/>
        </w:rPr>
        <w:t>necrosis</w:t>
      </w:r>
      <w:r w:rsidR="00427468">
        <w:rPr>
          <w:kern w:val="0"/>
        </w:rPr>
        <w:t xml:space="preserve"> of </w:t>
      </w:r>
      <w:r>
        <w:rPr>
          <w:kern w:val="0"/>
        </w:rPr>
        <w:t>tumour cells accompanied by small vessel thrombosis, leading to tumour ischaemia</w:t>
      </w:r>
      <w:r w:rsidR="005853A9">
        <w:rPr>
          <w:kern w:val="0"/>
        </w:rPr>
        <w:t xml:space="preserve"> and </w:t>
      </w:r>
      <w:r>
        <w:rPr>
          <w:kern w:val="0"/>
        </w:rPr>
        <w:t>destruction. Objectives To study the beneficial</w:t>
      </w:r>
      <w:r w:rsidR="005853A9">
        <w:rPr>
          <w:kern w:val="0"/>
        </w:rPr>
        <w:t xml:space="preserve"> and </w:t>
      </w:r>
      <w:r>
        <w:rPr>
          <w:kern w:val="0"/>
        </w:rPr>
        <w:t>harmful effects</w:t>
      </w:r>
      <w:r w:rsidR="00427468">
        <w:rPr>
          <w:kern w:val="0"/>
        </w:rPr>
        <w:t xml:space="preserve"> of </w:t>
      </w:r>
      <w:r>
        <w:rPr>
          <w:kern w:val="0"/>
        </w:rPr>
        <w:t>percutaneous ethanol injection compared with no intervention, other ablation methods, or systemic treatments in patients with liver metastases. Search methods We searched the Cochrane Hepato-Biliary Group Controlled Trials Register,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LILACS,</w:t>
      </w:r>
      <w:r w:rsidR="005853A9">
        <w:rPr>
          <w:kern w:val="0"/>
        </w:rPr>
        <w:t xml:space="preserve"> and </w:t>
      </w:r>
      <w:r>
        <w:rPr>
          <w:kern w:val="0"/>
        </w:rPr>
        <w:t>CINAHL up to December 2012. Selection criteria We included all randomised clinical trials assessing the beneficial</w:t>
      </w:r>
      <w:r w:rsidR="005853A9">
        <w:rPr>
          <w:kern w:val="0"/>
        </w:rPr>
        <w:t xml:space="preserve"> and </w:t>
      </w:r>
      <w:r>
        <w:rPr>
          <w:kern w:val="0"/>
        </w:rPr>
        <w:t>harmful effects</w:t>
      </w:r>
      <w:r w:rsidR="00427468">
        <w:rPr>
          <w:kern w:val="0"/>
        </w:rPr>
        <w:t xml:space="preserve"> of </w:t>
      </w:r>
      <w:r>
        <w:rPr>
          <w:kern w:val="0"/>
        </w:rPr>
        <w:t>percutaneous ethanol injection versus no intervention, other ablation methods, or systemic treatments in patients with liver metastases. Data collection</w:t>
      </w:r>
      <w:r w:rsidR="005853A9">
        <w:rPr>
          <w:kern w:val="0"/>
        </w:rPr>
        <w:t xml:space="preserve"> and </w:t>
      </w:r>
      <w:r>
        <w:rPr>
          <w:kern w:val="0"/>
        </w:rPr>
        <w:t>analysis We extracted the relevant information on participant characteristics, interventions, study outcome measures,</w:t>
      </w:r>
      <w:r w:rsidR="005853A9">
        <w:rPr>
          <w:kern w:val="0"/>
        </w:rPr>
        <w:t xml:space="preserve"> and </w:t>
      </w:r>
      <w:r>
        <w:rPr>
          <w:kern w:val="0"/>
        </w:rPr>
        <w:t>data on the outcome measures for our review, as well as information on the design</w:t>
      </w:r>
      <w:r w:rsidR="005853A9">
        <w:rPr>
          <w:kern w:val="0"/>
        </w:rPr>
        <w:t xml:space="preserve"> and </w:t>
      </w:r>
      <w:r>
        <w:rPr>
          <w:kern w:val="0"/>
        </w:rPr>
        <w:t>methodology</w:t>
      </w:r>
      <w:r w:rsidR="00427468">
        <w:rPr>
          <w:kern w:val="0"/>
        </w:rPr>
        <w:t xml:space="preserve"> of </w:t>
      </w:r>
      <w:r>
        <w:rPr>
          <w:kern w:val="0"/>
        </w:rPr>
        <w:t>the studies. Quality assessment</w:t>
      </w:r>
      <w:r w:rsidR="00427468">
        <w:rPr>
          <w:kern w:val="0"/>
        </w:rPr>
        <w:t xml:space="preserve"> of </w:t>
      </w:r>
      <w:r>
        <w:rPr>
          <w:kern w:val="0"/>
        </w:rPr>
        <w:t>the trials fulfilling the inclusion criteria</w:t>
      </w:r>
      <w:r w:rsidR="005853A9">
        <w:rPr>
          <w:kern w:val="0"/>
        </w:rPr>
        <w:t xml:space="preserve"> and </w:t>
      </w:r>
      <w:r>
        <w:rPr>
          <w:kern w:val="0"/>
        </w:rPr>
        <w:t>data extraction from the trials retrieved for final evaluation were done by one author</w:t>
      </w:r>
      <w:r w:rsidR="005853A9">
        <w:rPr>
          <w:kern w:val="0"/>
        </w:rPr>
        <w:t xml:space="preserve"> and </w:t>
      </w:r>
      <w:r>
        <w:rPr>
          <w:kern w:val="0"/>
        </w:rPr>
        <w:t xml:space="preserve">checked by a second author. Main results One </w:t>
      </w:r>
      <w:r>
        <w:rPr>
          <w:kern w:val="0"/>
        </w:rPr>
        <w:lastRenderedPageBreak/>
        <w:t>randomised clinical trial was included, comparing transcatheter arterial chemoembolisation (TACE) + percutaneous intratumour ethanol injection (PEI) versus TACE alone. Forty-eight patients with liver metastases were included; 25 received the intervention with PEI</w:t>
      </w:r>
      <w:r w:rsidR="005853A9">
        <w:rPr>
          <w:kern w:val="0"/>
        </w:rPr>
        <w:t xml:space="preserve"> and </w:t>
      </w:r>
      <w:r>
        <w:rPr>
          <w:kern w:val="0"/>
        </w:rPr>
        <w:t>23 received TACE alone. Mortality data were not reported</w:t>
      </w:r>
      <w:r w:rsidR="00A37C1D">
        <w:rPr>
          <w:kern w:val="0"/>
        </w:rPr>
        <w:t>. The</w:t>
      </w:r>
      <w:r>
        <w:rPr>
          <w:kern w:val="0"/>
        </w:rPr>
        <w:t xml:space="preserve"> trial reported the survival data after one, two,</w:t>
      </w:r>
      <w:r w:rsidR="005853A9">
        <w:rPr>
          <w:kern w:val="0"/>
        </w:rPr>
        <w:t xml:space="preserve"> and </w:t>
      </w:r>
      <w:r>
        <w:rPr>
          <w:kern w:val="0"/>
        </w:rPr>
        <w:t>three years. In the TACE + PEI group, 92%, 80%,</w:t>
      </w:r>
      <w:r w:rsidR="005853A9">
        <w:rPr>
          <w:kern w:val="0"/>
        </w:rPr>
        <w:t xml:space="preserve"> and </w:t>
      </w:r>
      <w:r>
        <w:rPr>
          <w:kern w:val="0"/>
        </w:rPr>
        <w:t>64%</w:t>
      </w:r>
      <w:r w:rsidR="00427468">
        <w:rPr>
          <w:kern w:val="0"/>
        </w:rPr>
        <w:t xml:space="preserve"> of </w:t>
      </w:r>
      <w:r>
        <w:rPr>
          <w:kern w:val="0"/>
        </w:rPr>
        <w:t>the patients survived after 1, 2,</w:t>
      </w:r>
      <w:r w:rsidR="005853A9">
        <w:rPr>
          <w:kern w:val="0"/>
        </w:rPr>
        <w:t xml:space="preserve"> and </w:t>
      </w:r>
      <w:r>
        <w:rPr>
          <w:kern w:val="0"/>
        </w:rPr>
        <w:t>3 years respectively; in the TACE group, 78.3%, 65.2%,</w:t>
      </w:r>
      <w:r w:rsidR="005853A9">
        <w:rPr>
          <w:kern w:val="0"/>
        </w:rPr>
        <w:t xml:space="preserve"> and </w:t>
      </w:r>
      <w:r>
        <w:rPr>
          <w:kern w:val="0"/>
        </w:rPr>
        <w:t>47.8%</w:t>
      </w:r>
      <w:r w:rsidR="00427468">
        <w:rPr>
          <w:kern w:val="0"/>
        </w:rPr>
        <w:t xml:space="preserve"> of </w:t>
      </w:r>
      <w:r>
        <w:rPr>
          <w:kern w:val="0"/>
        </w:rPr>
        <w:t>the patients survived after 1, 2,</w:t>
      </w:r>
      <w:r w:rsidR="005853A9">
        <w:rPr>
          <w:kern w:val="0"/>
        </w:rPr>
        <w:t xml:space="preserve"> and </w:t>
      </w:r>
      <w:r>
        <w:rPr>
          <w:kern w:val="0"/>
        </w:rPr>
        <w:t>3 years respectively</w:t>
      </w:r>
      <w:r w:rsidR="00A37C1D">
        <w:rPr>
          <w:kern w:val="0"/>
        </w:rPr>
        <w:t>. The</w:t>
      </w:r>
      <w:r>
        <w:rPr>
          <w:kern w:val="0"/>
        </w:rPr>
        <w:t xml:space="preserve"> hazard ratio was 0.57 (95% CI 0.19 to 1.67)</w:t>
      </w:r>
      <w:r w:rsidR="00A37C1D">
        <w:rPr>
          <w:kern w:val="0"/>
        </w:rPr>
        <w:t>. The</w:t>
      </w:r>
      <w:r>
        <w:rPr>
          <w:kern w:val="0"/>
        </w:rPr>
        <w:t xml:space="preserve"> local recurrence was 16% in the TACE + PEI group</w:t>
      </w:r>
      <w:r w:rsidR="005853A9">
        <w:rPr>
          <w:kern w:val="0"/>
        </w:rPr>
        <w:t xml:space="preserve"> and </w:t>
      </w:r>
      <w:r>
        <w:rPr>
          <w:kern w:val="0"/>
        </w:rPr>
        <w:t>39.1% in the TACE group, resulting in a relative risk (RR)</w:t>
      </w:r>
      <w:r w:rsidR="00427468">
        <w:rPr>
          <w:kern w:val="0"/>
        </w:rPr>
        <w:t xml:space="preserve"> of </w:t>
      </w:r>
      <w:r>
        <w:rPr>
          <w:kern w:val="0"/>
        </w:rPr>
        <w:t>0.41 (95% CI 0.15 to 1.07). Forty-five tumours (66.2%) out</w:t>
      </w:r>
      <w:r w:rsidR="00427468">
        <w:rPr>
          <w:kern w:val="0"/>
        </w:rPr>
        <w:t xml:space="preserve"> of </w:t>
      </w:r>
      <w:r>
        <w:rPr>
          <w:kern w:val="0"/>
        </w:rPr>
        <w:t>68 tumours in total shrunk by at least 25% in the TACE + PEI group versus 31 tumours (48.4%) out</w:t>
      </w:r>
      <w:r w:rsidR="00427468">
        <w:rPr>
          <w:kern w:val="0"/>
        </w:rPr>
        <w:t xml:space="preserve"> of </w:t>
      </w:r>
      <w:r>
        <w:rPr>
          <w:kern w:val="0"/>
        </w:rPr>
        <w:t>64 tumours in total in the TACE group (RR 2.08; 95% CI 1.03 to 4.2)</w:t>
      </w:r>
      <w:r w:rsidR="00A37C1D">
        <w:rPr>
          <w:kern w:val="0"/>
        </w:rPr>
        <w:t>. The</w:t>
      </w:r>
      <w:r>
        <w:rPr>
          <w:kern w:val="0"/>
        </w:rPr>
        <w:t xml:space="preserve"> authors reported some adverse events, but with very few details. Authors</w:t>
      </w:r>
      <w:r w:rsidR="0071223E">
        <w:rPr>
          <w:kern w:val="0"/>
        </w:rPr>
        <w:t>’</w:t>
      </w:r>
      <w:r>
        <w:rPr>
          <w:kern w:val="0"/>
        </w:rPr>
        <w:t xml:space="preserve"> conclusions On the basis</w:t>
      </w:r>
      <w:r w:rsidR="00427468">
        <w:rPr>
          <w:kern w:val="0"/>
        </w:rPr>
        <w:t xml:space="preserve"> of </w:t>
      </w:r>
      <w:r>
        <w:rPr>
          <w:kern w:val="0"/>
        </w:rPr>
        <w:t>one small randomised trial, it can be concluded that addition</w:t>
      </w:r>
      <w:r w:rsidR="00427468">
        <w:rPr>
          <w:kern w:val="0"/>
        </w:rPr>
        <w:t xml:space="preserve"> of </w:t>
      </w:r>
      <w:r>
        <w:rPr>
          <w:kern w:val="0"/>
        </w:rPr>
        <w:t>PEI to TACE, as compared with TACE alone, in patients with liver metastases seems to bring no clear benefit in terms</w:t>
      </w:r>
      <w:r w:rsidR="00427468">
        <w:rPr>
          <w:kern w:val="0"/>
        </w:rPr>
        <w:t xml:space="preserve"> of </w:t>
      </w:r>
      <w:r>
        <w:rPr>
          <w:kern w:val="0"/>
        </w:rPr>
        <w:t>survival</w:t>
      </w:r>
      <w:r w:rsidR="005853A9">
        <w:rPr>
          <w:kern w:val="0"/>
        </w:rPr>
        <w:t xml:space="preserve"> and </w:t>
      </w:r>
      <w:r>
        <w:rPr>
          <w:kern w:val="0"/>
        </w:rPr>
        <w:t>local recurrence</w:t>
      </w:r>
      <w:r w:rsidR="00A37C1D">
        <w:rPr>
          <w:kern w:val="0"/>
        </w:rPr>
        <w:t>. The</w:t>
      </w:r>
      <w:r>
        <w:rPr>
          <w:kern w:val="0"/>
        </w:rPr>
        <w:t xml:space="preserve"> size</w:t>
      </w:r>
      <w:r w:rsidR="00427468">
        <w:rPr>
          <w:kern w:val="0"/>
        </w:rPr>
        <w:t xml:space="preserve"> of </w:t>
      </w:r>
      <w:r>
        <w:rPr>
          <w:kern w:val="0"/>
        </w:rPr>
        <w:t>the tumour necrosis was larger in the combined treatment group. No intervention-related mortality or major complications were reported. More trials are needed.</w:t>
      </w:r>
    </w:p>
    <w:p w:rsidR="00365DE4" w:rsidRDefault="00365DE4" w:rsidP="00365DE4">
      <w:pPr>
        <w:pStyle w:val="a3"/>
        <w:rPr>
          <w:kern w:val="0"/>
        </w:rPr>
      </w:pPr>
      <w:r>
        <w:rPr>
          <w:kern w:val="0"/>
        </w:rPr>
        <w:t xml:space="preserve">Keywords: Analysis, Assessing, Assessment, Authors, Business, Characteristics, Citation, Clinical, Clinical Trial, Clinical Trials, Clinical-Trials, Collection, Combined Treatment, Complications, Criteria, Data, Data Collection, Dehydration, Design, Design Characteristics, Disease, Effects, Embase, Empirical-Evidence, England, Ethanol, Evaluation, Events, Extraction, Hazard, Information, Information Size, Intervention, Interventions, Ischaemia, Liver, Local, Management, Medicine, </w:t>
      </w:r>
      <w:r w:rsidR="00D5664A">
        <w:rPr>
          <w:kern w:val="0"/>
        </w:rPr>
        <w:t>MEDLINE</w:t>
      </w:r>
      <w:r>
        <w:rPr>
          <w:kern w:val="0"/>
        </w:rPr>
        <w:t xml:space="preserve">, Metaanalyses, Metastases, Metastatic Disease, Methodology, Methods, Mortality, N, Necrosis, Outcome, Outcome Measures, Patients, Pei, Percutaneous, Quality, Quality Assessment, Radiofrequency Ablation, Randomised, Randomised Trial, Randomized Controlled-Trials, Recurrence, Relative Risk, Review, Risk, River, Science, Science Citation Index, Science Citation Index Expanded, Search, Sequential-Analysis, Site, Size, Small, Survival, Thrombosis, Treatment, Trial, Unresectable Hepatocellular-Carcinoma, </w:t>
      </w:r>
      <w:r w:rsidR="00D5664A">
        <w:rPr>
          <w:kern w:val="0"/>
        </w:rPr>
        <w:t>USA</w:t>
      </w:r>
    </w:p>
    <w:p w:rsidR="00365DE4" w:rsidRDefault="00365DE4" w:rsidP="00365DE4">
      <w:pPr>
        <w:pStyle w:val="a3"/>
        <w:rPr>
          <w:kern w:val="0"/>
        </w:rPr>
      </w:pPr>
      <w:r>
        <w:rPr>
          <w:kern w:val="0"/>
        </w:rPr>
        <w:t>? Penninga, L., Penninga, E.I., Moller, C.H., Iversen, M., Steinbruchel, D.A.</w:t>
      </w:r>
      <w:r w:rsidR="005853A9">
        <w:rPr>
          <w:kern w:val="0"/>
        </w:rPr>
        <w:t xml:space="preserve"> and </w:t>
      </w:r>
      <w:r>
        <w:rPr>
          <w:kern w:val="0"/>
        </w:rPr>
        <w:t xml:space="preserve">Gluud, C. (2013), Tacrolimus versus cyclosporin as primary immunosuppression for lung transplant recipients.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CD008817.</w:t>
      </w:r>
    </w:p>
    <w:p w:rsidR="00365DE4" w:rsidRDefault="00365DE4" w:rsidP="00365DE4">
      <w:pPr>
        <w:pStyle w:val="a3"/>
        <w:rPr>
          <w:kern w:val="2"/>
        </w:rPr>
      </w:pPr>
      <w:r>
        <w:t>Full Text: 2013\Coc Dat Sys Rev2013, CD008817.pdf</w:t>
      </w:r>
    </w:p>
    <w:p w:rsidR="00365DE4" w:rsidRDefault="00365DE4" w:rsidP="00365DE4">
      <w:pPr>
        <w:pStyle w:val="a3"/>
        <w:rPr>
          <w:kern w:val="0"/>
        </w:rPr>
      </w:pPr>
      <w:r>
        <w:rPr>
          <w:kern w:val="0"/>
        </w:rPr>
        <w:t>Abstract: Background Lung transplantation is a well-accepted treatment for people with most end-stage lung diseases. Although both tacrolimus</w:t>
      </w:r>
      <w:r w:rsidR="005853A9">
        <w:rPr>
          <w:kern w:val="0"/>
        </w:rPr>
        <w:t xml:space="preserve"> and </w:t>
      </w:r>
      <w:r>
        <w:rPr>
          <w:kern w:val="0"/>
        </w:rPr>
        <w:t xml:space="preserve">cyclosporin are used as </w:t>
      </w:r>
      <w:r>
        <w:rPr>
          <w:kern w:val="0"/>
        </w:rPr>
        <w:lastRenderedPageBreak/>
        <w:t>primary immunosuppressive agents in lung transplant recipients, it is unclear which</w:t>
      </w:r>
      <w:r w:rsidR="00427468">
        <w:rPr>
          <w:kern w:val="0"/>
        </w:rPr>
        <w:t xml:space="preserve"> of </w:t>
      </w:r>
      <w:r>
        <w:rPr>
          <w:kern w:val="0"/>
        </w:rPr>
        <w:t>these drugs is better in reducing rejection</w:t>
      </w:r>
      <w:r w:rsidR="005853A9">
        <w:rPr>
          <w:kern w:val="0"/>
        </w:rPr>
        <w:t xml:space="preserve"> and </w:t>
      </w:r>
      <w:r>
        <w:rPr>
          <w:kern w:val="0"/>
        </w:rPr>
        <w:t>death without causing adverse effects. Objectives To assess the benefits</w:t>
      </w:r>
      <w:r w:rsidR="005853A9">
        <w:rPr>
          <w:kern w:val="0"/>
        </w:rPr>
        <w:t xml:space="preserve"> and </w:t>
      </w:r>
      <w:r>
        <w:rPr>
          <w:kern w:val="0"/>
        </w:rPr>
        <w:t>harms</w:t>
      </w:r>
      <w:r w:rsidR="00427468">
        <w:rPr>
          <w:kern w:val="0"/>
        </w:rPr>
        <w:t xml:space="preserve"> of </w:t>
      </w:r>
      <w:r>
        <w:rPr>
          <w:kern w:val="0"/>
        </w:rPr>
        <w:t>tacrolimus versus cyclosporin for primary immunosuppression in lung transplant recipients. Search methods We searched the Cochrane Renal Group</w:t>
      </w:r>
      <w:r w:rsidR="0071223E">
        <w:rPr>
          <w:kern w:val="0"/>
        </w:rPr>
        <w:t>’</w:t>
      </w:r>
      <w:r>
        <w:rPr>
          <w:kern w:val="0"/>
        </w:rPr>
        <w:t>s Specialised Register to 10 April 2013 through contact with the Trials Search Co-ordinator using search terms relevant to this review. We also searched Science Citation Index Expanded</w:t>
      </w:r>
      <w:r w:rsidR="005853A9">
        <w:rPr>
          <w:kern w:val="0"/>
        </w:rPr>
        <w:t xml:space="preserve"> and </w:t>
      </w:r>
      <w:r>
        <w:rPr>
          <w:kern w:val="0"/>
        </w:rPr>
        <w:t>the Transplant Library to 20 April 2013. Selection criteria We included all randomised controlled trials (RCT) that compared any dose</w:t>
      </w:r>
      <w:r w:rsidR="005853A9">
        <w:rPr>
          <w:kern w:val="0"/>
        </w:rPr>
        <w:t xml:space="preserve"> and </w:t>
      </w:r>
      <w:r>
        <w:rPr>
          <w:kern w:val="0"/>
        </w:rPr>
        <w:t>duration</w:t>
      </w:r>
      <w:r w:rsidR="00427468">
        <w:rPr>
          <w:kern w:val="0"/>
        </w:rPr>
        <w:t xml:space="preserve"> of </w:t>
      </w:r>
      <w:r>
        <w:rPr>
          <w:kern w:val="0"/>
        </w:rPr>
        <w:t>administration</w:t>
      </w:r>
      <w:r w:rsidR="00427468">
        <w:rPr>
          <w:kern w:val="0"/>
        </w:rPr>
        <w:t xml:space="preserve"> of </w:t>
      </w:r>
      <w:r>
        <w:rPr>
          <w:kern w:val="0"/>
        </w:rPr>
        <w:t>tacrolimus versus cyclosporin as primary immunosuppressive treatment in lung transplant recipients. Our selection criteria required that all included patients received the same additional immunosuppressive therapy within each study. Data collection</w:t>
      </w:r>
      <w:r w:rsidR="005853A9">
        <w:rPr>
          <w:kern w:val="0"/>
        </w:rPr>
        <w:t xml:space="preserve"> and </w:t>
      </w:r>
      <w:r>
        <w:rPr>
          <w:kern w:val="0"/>
        </w:rPr>
        <w:t>analysis Three authors extracted data. For dichotomous data we used risk ratio (RR)</w:t>
      </w:r>
      <w:r w:rsidR="005853A9">
        <w:rPr>
          <w:kern w:val="0"/>
        </w:rPr>
        <w:t xml:space="preserve"> and </w:t>
      </w:r>
      <w:r>
        <w:rPr>
          <w:kern w:val="0"/>
        </w:rPr>
        <w:t>used mean difference (MD) for continuous data, each with 95% confidence intervals (CI). Methodological components</w:t>
      </w:r>
      <w:r w:rsidR="00427468">
        <w:rPr>
          <w:kern w:val="0"/>
        </w:rPr>
        <w:t xml:space="preserve"> of </w:t>
      </w:r>
      <w:r>
        <w:rPr>
          <w:kern w:val="0"/>
        </w:rPr>
        <w:t>the included studies were used to assess risk</w:t>
      </w:r>
      <w:r w:rsidR="00427468">
        <w:rPr>
          <w:kern w:val="0"/>
        </w:rPr>
        <w:t xml:space="preserve"> of </w:t>
      </w:r>
      <w:r>
        <w:rPr>
          <w:kern w:val="0"/>
        </w:rPr>
        <w:t>systematic errors (bias). Trial sequential analysis was used to assess risk</w:t>
      </w:r>
      <w:r w:rsidR="00427468">
        <w:rPr>
          <w:kern w:val="0"/>
        </w:rPr>
        <w:t xml:space="preserve"> of </w:t>
      </w:r>
      <w:r>
        <w:rPr>
          <w:kern w:val="0"/>
        </w:rPr>
        <w:t>random errors (play</w:t>
      </w:r>
      <w:r w:rsidR="00427468">
        <w:rPr>
          <w:kern w:val="0"/>
        </w:rPr>
        <w:t xml:space="preserve"> of </w:t>
      </w:r>
      <w:r>
        <w:rPr>
          <w:kern w:val="0"/>
        </w:rPr>
        <w:t>chance). Main results We included three studies that enrolled a total</w:t>
      </w:r>
      <w:r w:rsidR="00427468">
        <w:rPr>
          <w:kern w:val="0"/>
        </w:rPr>
        <w:t xml:space="preserve"> of </w:t>
      </w:r>
      <w:r>
        <w:rPr>
          <w:kern w:val="0"/>
        </w:rPr>
        <w:t>413 adult patients that compared tacrolimus with microemulsion or oral solution cyclosporin. All studies were found to be at high risk</w:t>
      </w:r>
      <w:r w:rsidR="00427468">
        <w:rPr>
          <w:kern w:val="0"/>
        </w:rPr>
        <w:t xml:space="preserve"> of </w:t>
      </w:r>
      <w:r>
        <w:rPr>
          <w:kern w:val="0"/>
        </w:rPr>
        <w:t>bias. Tacrolimus seemed to be significantly superior to cyclosporin regarding the incidence</w:t>
      </w:r>
      <w:r w:rsidR="00427468">
        <w:rPr>
          <w:kern w:val="0"/>
        </w:rPr>
        <w:t xml:space="preserve"> of </w:t>
      </w:r>
      <w:r>
        <w:rPr>
          <w:kern w:val="0"/>
        </w:rPr>
        <w:t>bronchiolitis obliterans syndrome (RR 0.46, 95% CI 0.29 to 0.74), lymphocytic bronchitis score (MD -0.60, 95% CI -1.04 to -0.16), treatment withdrawal (RR 0.27, 95% CI 0.16 to 0.46),</w:t>
      </w:r>
      <w:r w:rsidR="005853A9">
        <w:rPr>
          <w:kern w:val="0"/>
        </w:rPr>
        <w:t xml:space="preserve"> and </w:t>
      </w:r>
      <w:r>
        <w:rPr>
          <w:kern w:val="0"/>
        </w:rPr>
        <w:t>arterial hypertension (RR 0.67, 95% CI 0.50 to 0.89). However, the finding for arterial hypertension was not confirmed when analysed using a random-effects model (RR 0.54, 95% CI 0.17 to 1.73). Furthermore, trial sequential analysis found that none</w:t>
      </w:r>
      <w:r w:rsidR="00427468">
        <w:rPr>
          <w:kern w:val="0"/>
        </w:rPr>
        <w:t xml:space="preserve"> of </w:t>
      </w:r>
      <w:r>
        <w:rPr>
          <w:kern w:val="0"/>
        </w:rPr>
        <w:t>the meta-analyses reached the required information sizes</w:t>
      </w:r>
      <w:r w:rsidR="005853A9">
        <w:rPr>
          <w:kern w:val="0"/>
        </w:rPr>
        <w:t xml:space="preserve"> and </w:t>
      </w:r>
      <w:r>
        <w:rPr>
          <w:kern w:val="0"/>
        </w:rPr>
        <w:t>cumulative Z-curves did not cross trial sequential monitoring boundaries. Diabetes mellitus occurred more frequently among people in the tacrolimus group compared with the cyclosporin group when the fixed-effect model was applied (RR 4.24, 95% CI 1.58 to 11.40), but no difference was found when the random-effects model was used for analysis (RR 4.43, 95% CI 0.75 to 26.05). Again, trial sequential analysis found that the required information threshold was not reached</w:t>
      </w:r>
      <w:r w:rsidR="005853A9">
        <w:rPr>
          <w:kern w:val="0"/>
        </w:rPr>
        <w:t xml:space="preserve"> and </w:t>
      </w:r>
      <w:r>
        <w:rPr>
          <w:kern w:val="0"/>
        </w:rPr>
        <w:t>cumulative Z-curve did not cross the trial sequential monitoring boundary. No significant difference between treatment groups was observed regarding mortality (RR 1.06, 95% CI 0.75 to 1.49), incidence</w:t>
      </w:r>
      <w:r w:rsidR="00427468">
        <w:rPr>
          <w:kern w:val="0"/>
        </w:rPr>
        <w:t xml:space="preserve"> of </w:t>
      </w:r>
      <w:r>
        <w:rPr>
          <w:kern w:val="0"/>
        </w:rPr>
        <w:t>acute rejection (RR 0.89, 95% CI 0.77 to 1.03), numbers</w:t>
      </w:r>
      <w:r w:rsidR="00427468">
        <w:rPr>
          <w:kern w:val="0"/>
        </w:rPr>
        <w:t xml:space="preserve"> of </w:t>
      </w:r>
      <w:r>
        <w:rPr>
          <w:kern w:val="0"/>
        </w:rPr>
        <w:t>infections/100 patient-days (MD -0.15, 95% CI -0.30 to 0.00), cancer (RR 0.21, 95% CI 0.04 to 1.16), kidney dysfunction (RR 1.41, 95% CI 0.93 to 2.14), kidney failure (RR 1.57, 95% CI 0.28 to 8.94), neurotoxicity (RR 7.06, 95% CI 0.37 to 135.19),</w:t>
      </w:r>
      <w:r w:rsidR="005853A9">
        <w:rPr>
          <w:kern w:val="0"/>
        </w:rPr>
        <w:t xml:space="preserve"> and </w:t>
      </w:r>
      <w:r>
        <w:rPr>
          <w:kern w:val="0"/>
        </w:rPr>
        <w:t xml:space="preserve">hyperlipidaemia (RR 0.60, 95% CI 0.30 to 1.20). Trial </w:t>
      </w:r>
      <w:r>
        <w:rPr>
          <w:kern w:val="0"/>
        </w:rPr>
        <w:lastRenderedPageBreak/>
        <w:t>sequential analysis showed the required information thresholds were not reached for any</w:t>
      </w:r>
      <w:r w:rsidR="00427468">
        <w:rPr>
          <w:kern w:val="0"/>
        </w:rPr>
        <w:t xml:space="preserve"> of </w:t>
      </w:r>
      <w:r>
        <w:rPr>
          <w:kern w:val="0"/>
        </w:rPr>
        <w:t>these outcome measures. Authors</w:t>
      </w:r>
      <w:r w:rsidR="0071223E">
        <w:rPr>
          <w:kern w:val="0"/>
        </w:rPr>
        <w:t>’</w:t>
      </w:r>
      <w:r>
        <w:rPr>
          <w:kern w:val="0"/>
        </w:rPr>
        <w:t xml:space="preserve"> conclusions Tacrolimus may be superior to cyclosporin regarding bronchiolitis obliterans syndrome, lymphocytic bronchitis, treatment withdrawal,</w:t>
      </w:r>
      <w:r w:rsidR="005853A9">
        <w:rPr>
          <w:kern w:val="0"/>
        </w:rPr>
        <w:t xml:space="preserve"> and </w:t>
      </w:r>
      <w:r>
        <w:rPr>
          <w:kern w:val="0"/>
        </w:rPr>
        <w:t>arterial hypertension, but may be inferior regarding development</w:t>
      </w:r>
      <w:r w:rsidR="00427468">
        <w:rPr>
          <w:kern w:val="0"/>
        </w:rPr>
        <w:t xml:space="preserve"> of </w:t>
      </w:r>
      <w:r>
        <w:rPr>
          <w:kern w:val="0"/>
        </w:rPr>
        <w:t>diabetes. No difference in mortality</w:t>
      </w:r>
      <w:r w:rsidR="005853A9">
        <w:rPr>
          <w:kern w:val="0"/>
        </w:rPr>
        <w:t xml:space="preserve"> and </w:t>
      </w:r>
      <w:r>
        <w:rPr>
          <w:kern w:val="0"/>
        </w:rPr>
        <w:t>acute rejection was observed between patients treated with tacrolimus</w:t>
      </w:r>
      <w:r w:rsidR="005853A9">
        <w:rPr>
          <w:kern w:val="0"/>
        </w:rPr>
        <w:t xml:space="preserve"> and </w:t>
      </w:r>
      <w:r>
        <w:rPr>
          <w:kern w:val="0"/>
        </w:rPr>
        <w:t>cyclosporin</w:t>
      </w:r>
      <w:r w:rsidR="00A37C1D">
        <w:rPr>
          <w:kern w:val="0"/>
        </w:rPr>
        <w:t>. The</w:t>
      </w:r>
      <w:r>
        <w:rPr>
          <w:kern w:val="0"/>
        </w:rPr>
        <w:t>re were few studies comparing tacrolimus</w:t>
      </w:r>
      <w:r w:rsidR="005853A9">
        <w:rPr>
          <w:kern w:val="0"/>
        </w:rPr>
        <w:t xml:space="preserve"> and </w:t>
      </w:r>
      <w:r>
        <w:rPr>
          <w:kern w:val="0"/>
        </w:rPr>
        <w:t>cyclosporin after lung transplantation,</w:t>
      </w:r>
      <w:r w:rsidR="005853A9">
        <w:rPr>
          <w:kern w:val="0"/>
        </w:rPr>
        <w:t xml:space="preserve"> and </w:t>
      </w:r>
      <w:r>
        <w:rPr>
          <w:kern w:val="0"/>
        </w:rPr>
        <w:t>the numbers</w:t>
      </w:r>
      <w:r w:rsidR="00427468">
        <w:rPr>
          <w:kern w:val="0"/>
        </w:rPr>
        <w:t xml:space="preserve"> of </w:t>
      </w:r>
      <w:r>
        <w:rPr>
          <w:kern w:val="0"/>
        </w:rPr>
        <w:t>patients</w:t>
      </w:r>
      <w:r w:rsidR="005853A9">
        <w:rPr>
          <w:kern w:val="0"/>
        </w:rPr>
        <w:t xml:space="preserve"> and </w:t>
      </w:r>
      <w:r>
        <w:rPr>
          <w:kern w:val="0"/>
        </w:rPr>
        <w:t>events in the included studies were limited. Furthermore, the included studies were deemed to be at high risk</w:t>
      </w:r>
      <w:r w:rsidR="00427468">
        <w:rPr>
          <w:kern w:val="0"/>
        </w:rPr>
        <w:t xml:space="preserve"> of </w:t>
      </w:r>
      <w:r>
        <w:rPr>
          <w:kern w:val="0"/>
        </w:rPr>
        <w:t>bias. Hence, more RCTs are needed to assess the results</w:t>
      </w:r>
      <w:r w:rsidR="00427468">
        <w:rPr>
          <w:kern w:val="0"/>
        </w:rPr>
        <w:t xml:space="preserve"> of </w:t>
      </w:r>
      <w:r>
        <w:rPr>
          <w:kern w:val="0"/>
        </w:rPr>
        <w:t>the present review. Such studies ought to be conducted with low risks</w:t>
      </w:r>
      <w:r w:rsidR="00427468">
        <w:rPr>
          <w:kern w:val="0"/>
        </w:rPr>
        <w:t xml:space="preserve"> of </w:t>
      </w:r>
      <w:r>
        <w:rPr>
          <w:kern w:val="0"/>
        </w:rPr>
        <w:t>systematic errors (bias)</w:t>
      </w:r>
      <w:r w:rsidR="005853A9">
        <w:rPr>
          <w:kern w:val="0"/>
        </w:rPr>
        <w:t xml:space="preserve"> and</w:t>
      </w:r>
      <w:r w:rsidR="00427468">
        <w:rPr>
          <w:kern w:val="0"/>
        </w:rPr>
        <w:t xml:space="preserve"> of </w:t>
      </w:r>
      <w:r>
        <w:rPr>
          <w:kern w:val="0"/>
        </w:rPr>
        <w:t>random errors (play</w:t>
      </w:r>
      <w:r w:rsidR="00427468">
        <w:rPr>
          <w:kern w:val="0"/>
        </w:rPr>
        <w:t xml:space="preserve"> of </w:t>
      </w:r>
      <w:r>
        <w:rPr>
          <w:kern w:val="0"/>
        </w:rPr>
        <w:t>chance).</w:t>
      </w:r>
    </w:p>
    <w:p w:rsidR="00365DE4" w:rsidRDefault="00365DE4" w:rsidP="00365DE4">
      <w:pPr>
        <w:pStyle w:val="a3"/>
        <w:rPr>
          <w:kern w:val="0"/>
        </w:rPr>
      </w:pPr>
      <w:r>
        <w:rPr>
          <w:kern w:val="0"/>
        </w:rPr>
        <w:t xml:space="preserve">Keywords: Administration, Adult, Adult Lung, Adverse Effects, Analysis, Arterial Hypertension, Authors, Benefits, Bias, Boundaries, Bronchiolitis Obliterans Syndrome, Calcineurin Inhibitors, Cancer, Citation, Collection, Confidence, Confidence Intervals, Criteria, Cumulative, Data, Data Collection, Death, Denmark, Development, Diabetes, Diabetes Mellitus, Diseases, Drugs, Duration, Effects, Errors, Events, Failure, Groups, Heart, Hypertension, Immunosuppression, Immunosuppressive Therapy, Incidence, Information, Intervals, Kidney, Kidney Failure, Lung, Lung Diseases, Lung Transplantation, Medicine, Metaanalysis, Methods, Microemulsion, Model, Monitoring, Mortality, Neurotoxicity, Oral, Outcome, Outcome Measures, Patients, Primary, Quality, Random Effects Model, Randomised, Randomised Controlled Trials, Randomized International Trial, Rct, Rejection, Review, Risk, Risks, River, Science, Science Citation Index, Science Citation Index Expanded, Search, Selection, Selection Criteria, Solid-Organ Transplantation, Solution, Syndrome, Tacrolimus, Therapy, Threshold, Thresholds, Transplantation, Treatment, Trial, </w:t>
      </w:r>
      <w:r w:rsidR="00D5664A">
        <w:rPr>
          <w:kern w:val="0"/>
        </w:rPr>
        <w:t>USA</w:t>
      </w:r>
    </w:p>
    <w:p w:rsidR="00365DE4" w:rsidRDefault="00365DE4" w:rsidP="00365DE4">
      <w:pPr>
        <w:pStyle w:val="a3"/>
        <w:rPr>
          <w:kern w:val="0"/>
        </w:rPr>
      </w:pPr>
      <w:r>
        <w:rPr>
          <w:kern w:val="0"/>
        </w:rPr>
        <w:t>? Moazzami, K., Roohi, A.</w:t>
      </w:r>
      <w:r w:rsidR="005853A9">
        <w:rPr>
          <w:kern w:val="0"/>
        </w:rPr>
        <w:t xml:space="preserve"> and </w:t>
      </w:r>
      <w:r>
        <w:rPr>
          <w:kern w:val="0"/>
        </w:rPr>
        <w:t xml:space="preserve">Moazzami, B. (2013), Granulocyte colony stimulating factor therapy for acute myocardial infarction.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CD008844.</w:t>
      </w:r>
    </w:p>
    <w:p w:rsidR="00365DE4" w:rsidRDefault="00365DE4" w:rsidP="00365DE4">
      <w:pPr>
        <w:pStyle w:val="a3"/>
        <w:rPr>
          <w:kern w:val="2"/>
        </w:rPr>
      </w:pPr>
      <w:r>
        <w:t>Full Text: 2013\Coc Dat Sys Rev2013, CD008844.pdf</w:t>
      </w:r>
    </w:p>
    <w:p w:rsidR="00365DE4" w:rsidRDefault="00365DE4" w:rsidP="00365DE4">
      <w:pPr>
        <w:pStyle w:val="a3"/>
        <w:rPr>
          <w:kern w:val="0"/>
        </w:rPr>
      </w:pPr>
      <w:r>
        <w:rPr>
          <w:kern w:val="0"/>
        </w:rPr>
        <w:t>Abstract: Background Acute myocardial infarction (AMI) is the leading cause</w:t>
      </w:r>
      <w:r w:rsidR="00427468">
        <w:rPr>
          <w:kern w:val="0"/>
        </w:rPr>
        <w:t xml:space="preserve"> of </w:t>
      </w:r>
      <w:r>
        <w:rPr>
          <w:kern w:val="0"/>
        </w:rPr>
        <w:t>death in developed countries,</w:t>
      </w:r>
      <w:r w:rsidR="005853A9">
        <w:rPr>
          <w:kern w:val="0"/>
        </w:rPr>
        <w:t xml:space="preserve"> and </w:t>
      </w:r>
      <w:r>
        <w:rPr>
          <w:kern w:val="0"/>
        </w:rPr>
        <w:t>current treatment modalities have failed to regenerate the dead myocardium resulting from the ischemic damage. Stem cells have the potential to regenerate the damaged myocardium</w:t>
      </w:r>
      <w:r w:rsidR="00A37C1D">
        <w:rPr>
          <w:kern w:val="0"/>
        </w:rPr>
        <w:t>. The</w:t>
      </w:r>
      <w:r>
        <w:rPr>
          <w:kern w:val="0"/>
        </w:rPr>
        <w:t>se cells can be mobilized from the bone marrow by factors such as granulocyte colony stimulating factor (G-CSF). Objectives To assess the effects</w:t>
      </w:r>
      <w:r w:rsidR="00427468">
        <w:rPr>
          <w:kern w:val="0"/>
        </w:rPr>
        <w:t xml:space="preserve"> of </w:t>
      </w:r>
      <w:r>
        <w:rPr>
          <w:kern w:val="0"/>
        </w:rPr>
        <w:t xml:space="preserve">stem cell mobilization following granulocyte colony stimulating factor therapy in patients with acute myocardial infarction. Search methods We searched CENTRAL (The Cochrane Library Issue 4, 2010), </w:t>
      </w:r>
      <w:r w:rsidR="00D5664A">
        <w:rPr>
          <w:kern w:val="0"/>
        </w:rPr>
        <w:t>MEDLINE</w:t>
      </w:r>
      <w:r>
        <w:rPr>
          <w:kern w:val="0"/>
        </w:rPr>
        <w:t xml:space="preserve"> (1950 to November week 3, 2010), EMBASE (1980 to 2010 week 48), BIOSIS </w:t>
      </w:r>
      <w:r>
        <w:rPr>
          <w:kern w:val="0"/>
        </w:rPr>
        <w:lastRenderedPageBreak/>
        <w:t>Previews (1969 to 30 November 2010), ISI Science Citation Index Expanded (1970 to 4 December 2010)</w:t>
      </w:r>
      <w:r w:rsidR="005853A9">
        <w:rPr>
          <w:kern w:val="0"/>
        </w:rPr>
        <w:t xml:space="preserve"> and </w:t>
      </w:r>
      <w:r>
        <w:rPr>
          <w:kern w:val="0"/>
        </w:rPr>
        <w:t>ISI Conference Proceedings Citation Index - Science (1990 to 4 December 2010). We also checked reference lists</w:t>
      </w:r>
      <w:r w:rsidR="00427468">
        <w:rPr>
          <w:kern w:val="0"/>
        </w:rPr>
        <w:t xml:space="preserve"> of </w:t>
      </w:r>
      <w:r>
        <w:rPr>
          <w:kern w:val="0"/>
        </w:rPr>
        <w:t>articles. Selection criteria We included randomized controlled trials including participants with a clinical diagnosis</w:t>
      </w:r>
      <w:r w:rsidR="00427468">
        <w:rPr>
          <w:kern w:val="0"/>
        </w:rPr>
        <w:t xml:space="preserve"> of </w:t>
      </w:r>
      <w:r>
        <w:rPr>
          <w:kern w:val="0"/>
        </w:rPr>
        <w:t>AMI who were randomly allocated to the subcutaneous administration</w:t>
      </w:r>
      <w:r w:rsidR="00427468">
        <w:rPr>
          <w:kern w:val="0"/>
        </w:rPr>
        <w:t xml:space="preserve"> of </w:t>
      </w:r>
      <w:r>
        <w:rPr>
          <w:kern w:val="0"/>
        </w:rPr>
        <w:t>G-CSF through a daily dose</w:t>
      </w:r>
      <w:r w:rsidR="00427468">
        <w:rPr>
          <w:kern w:val="0"/>
        </w:rPr>
        <w:t xml:space="preserve"> of </w:t>
      </w:r>
      <w:r>
        <w:rPr>
          <w:kern w:val="0"/>
        </w:rPr>
        <w:t>2.5, 5 or 10 microgram/kg for four to six days or placebo. No age or other restrictions were applied for the selection</w:t>
      </w:r>
      <w:r w:rsidR="00427468">
        <w:rPr>
          <w:kern w:val="0"/>
        </w:rPr>
        <w:t xml:space="preserve"> of </w:t>
      </w:r>
      <w:r>
        <w:rPr>
          <w:kern w:val="0"/>
        </w:rPr>
        <w:t>patients. Data collection</w:t>
      </w:r>
      <w:r w:rsidR="005853A9">
        <w:rPr>
          <w:kern w:val="0"/>
        </w:rPr>
        <w:t xml:space="preserve"> and </w:t>
      </w:r>
      <w:r>
        <w:rPr>
          <w:kern w:val="0"/>
        </w:rPr>
        <w:t>analysis Two authors independently selected trials, assessed trials for eligibility</w:t>
      </w:r>
      <w:r w:rsidR="005853A9">
        <w:rPr>
          <w:kern w:val="0"/>
        </w:rPr>
        <w:t xml:space="preserve"> and </w:t>
      </w:r>
      <w:r>
        <w:rPr>
          <w:kern w:val="0"/>
        </w:rPr>
        <w:t>methodological quality,</w:t>
      </w:r>
      <w:r w:rsidR="005853A9">
        <w:rPr>
          <w:kern w:val="0"/>
        </w:rPr>
        <w:t xml:space="preserve"> and </w:t>
      </w:r>
      <w:r>
        <w:rPr>
          <w:kern w:val="0"/>
        </w:rPr>
        <w:t>extracted data regarding the clinical efficacy</w:t>
      </w:r>
      <w:r w:rsidR="005853A9">
        <w:rPr>
          <w:kern w:val="0"/>
        </w:rPr>
        <w:t xml:space="preserve"> and </w:t>
      </w:r>
      <w:r>
        <w:rPr>
          <w:kern w:val="0"/>
        </w:rPr>
        <w:t>adverse outcomes. Disagreements were resolved by the third author. Main results We included seven trials reported in 30 references in the review (354 participants). In all trials, G-CSF was compared with placebo preparations. Dosage</w:t>
      </w:r>
      <w:r w:rsidR="00427468">
        <w:rPr>
          <w:kern w:val="0"/>
        </w:rPr>
        <w:t xml:space="preserve"> of </w:t>
      </w:r>
      <w:r>
        <w:rPr>
          <w:kern w:val="0"/>
        </w:rPr>
        <w:t>G-CSF varied among studies, ranging from 2.5 to 10 microgram/kg/day. Regarding overall risk</w:t>
      </w:r>
      <w:r w:rsidR="00427468">
        <w:rPr>
          <w:kern w:val="0"/>
        </w:rPr>
        <w:t xml:space="preserve"> of </w:t>
      </w:r>
      <w:r>
        <w:rPr>
          <w:kern w:val="0"/>
        </w:rPr>
        <w:t>bias, data regarding the generation</w:t>
      </w:r>
      <w:r w:rsidR="00427468">
        <w:rPr>
          <w:kern w:val="0"/>
        </w:rPr>
        <w:t xml:space="preserve"> of </w:t>
      </w:r>
      <w:r>
        <w:rPr>
          <w:kern w:val="0"/>
        </w:rPr>
        <w:t>randomization sequence</w:t>
      </w:r>
      <w:r w:rsidR="005853A9">
        <w:rPr>
          <w:kern w:val="0"/>
        </w:rPr>
        <w:t xml:space="preserve"> and </w:t>
      </w:r>
      <w:r>
        <w:rPr>
          <w:kern w:val="0"/>
        </w:rPr>
        <w:t>incomplete outcome data were at a low risk</w:t>
      </w:r>
      <w:r w:rsidR="00427468">
        <w:rPr>
          <w:kern w:val="0"/>
        </w:rPr>
        <w:t xml:space="preserve"> of </w:t>
      </w:r>
      <w:r>
        <w:rPr>
          <w:kern w:val="0"/>
        </w:rPr>
        <w:t>bias; however, data regarding binding</w:t>
      </w:r>
      <w:r w:rsidR="00427468">
        <w:rPr>
          <w:kern w:val="0"/>
        </w:rPr>
        <w:t xml:space="preserve"> of </w:t>
      </w:r>
      <w:r>
        <w:rPr>
          <w:kern w:val="0"/>
        </w:rPr>
        <w:t>personnel were not conclusive</w:t>
      </w:r>
      <w:r w:rsidR="00A37C1D">
        <w:rPr>
          <w:kern w:val="0"/>
        </w:rPr>
        <w:t>. The</w:t>
      </w:r>
      <w:r>
        <w:rPr>
          <w:kern w:val="0"/>
        </w:rPr>
        <w:t xml:space="preserve"> rate</w:t>
      </w:r>
      <w:r w:rsidR="00427468">
        <w:rPr>
          <w:kern w:val="0"/>
        </w:rPr>
        <w:t xml:space="preserve"> of </w:t>
      </w:r>
      <w:r>
        <w:rPr>
          <w:kern w:val="0"/>
        </w:rPr>
        <w:t>mortality was not different between the two groups (RR 0.64, 95% CI 0.15 to 2.80, P = 0.55). Regarding safety, the limited amount</w:t>
      </w:r>
      <w:r w:rsidR="00427468">
        <w:rPr>
          <w:kern w:val="0"/>
        </w:rPr>
        <w:t xml:space="preserve"> of </w:t>
      </w:r>
      <w:r>
        <w:rPr>
          <w:kern w:val="0"/>
        </w:rPr>
        <w:t>evidence is inadequate to reach any conclusions regarding the safety</w:t>
      </w:r>
      <w:r w:rsidR="00427468">
        <w:rPr>
          <w:kern w:val="0"/>
        </w:rPr>
        <w:t xml:space="preserve"> of </w:t>
      </w:r>
      <w:r>
        <w:rPr>
          <w:kern w:val="0"/>
        </w:rPr>
        <w:t>G-CSF therapy. Moreover, the results did not show any beneficial effects</w:t>
      </w:r>
      <w:r w:rsidR="00427468">
        <w:rPr>
          <w:kern w:val="0"/>
        </w:rPr>
        <w:t xml:space="preserve"> of </w:t>
      </w:r>
      <w:r>
        <w:rPr>
          <w:kern w:val="0"/>
        </w:rPr>
        <w:t>G-CSF in patients with AMI regarding left ventricular function parameters, including left ventricular ejection fraction (RR 3.41, 95% CI - 0.61 to 7.44, P = 0.1), end systolic volume (RR - 1.35, 95% CI - 4.68 to 1.99, P = 0.43)</w:t>
      </w:r>
      <w:r w:rsidR="005853A9">
        <w:rPr>
          <w:kern w:val="0"/>
        </w:rPr>
        <w:t xml:space="preserve"> and </w:t>
      </w:r>
      <w:r>
        <w:rPr>
          <w:kern w:val="0"/>
        </w:rPr>
        <w:t>end diastolic volume (RR - 4.08, 95% CI - 8.28 to 0.12, P = 0.06). It should also be noted that the study was limited since the trials included lacked long enough follow up durations. Authors</w:t>
      </w:r>
      <w:r w:rsidR="0071223E">
        <w:rPr>
          <w:kern w:val="0"/>
        </w:rPr>
        <w:t>’</w:t>
      </w:r>
      <w:r>
        <w:rPr>
          <w:kern w:val="0"/>
        </w:rPr>
        <w:t xml:space="preserve"> conclusions Limited evidence from small trials suggested a lack</w:t>
      </w:r>
      <w:r w:rsidR="00427468">
        <w:rPr>
          <w:kern w:val="0"/>
        </w:rPr>
        <w:t xml:space="preserve"> of </w:t>
      </w:r>
      <w:r>
        <w:rPr>
          <w:kern w:val="0"/>
        </w:rPr>
        <w:t>benefit</w:t>
      </w:r>
      <w:r w:rsidR="00427468">
        <w:rPr>
          <w:kern w:val="0"/>
        </w:rPr>
        <w:t xml:space="preserve"> of </w:t>
      </w:r>
      <w:r>
        <w:rPr>
          <w:kern w:val="0"/>
        </w:rPr>
        <w:t>G-CSF therapy in patients with AMI. Since data</w:t>
      </w:r>
      <w:r w:rsidR="00427468">
        <w:rPr>
          <w:kern w:val="0"/>
        </w:rPr>
        <w:t xml:space="preserve"> of </w:t>
      </w:r>
      <w:r>
        <w:rPr>
          <w:kern w:val="0"/>
        </w:rPr>
        <w:t>the risk</w:t>
      </w:r>
      <w:r w:rsidR="00427468">
        <w:rPr>
          <w:kern w:val="0"/>
        </w:rPr>
        <w:t xml:space="preserve"> of </w:t>
      </w:r>
      <w:r>
        <w:rPr>
          <w:kern w:val="0"/>
        </w:rPr>
        <w:t>bias regarding blinding</w:t>
      </w:r>
      <w:r w:rsidR="00427468">
        <w:rPr>
          <w:kern w:val="0"/>
        </w:rPr>
        <w:t xml:space="preserve"> of </w:t>
      </w:r>
      <w:r>
        <w:rPr>
          <w:kern w:val="0"/>
        </w:rPr>
        <w:t>personnel were not conclusive, larger RCTs with appropriate power calculations</w:t>
      </w:r>
      <w:r w:rsidR="005853A9">
        <w:rPr>
          <w:kern w:val="0"/>
        </w:rPr>
        <w:t xml:space="preserve"> and </w:t>
      </w:r>
      <w:r>
        <w:rPr>
          <w:kern w:val="0"/>
        </w:rPr>
        <w:t>longer follow up durations are required in order to address current uncertainties regarding the clinical efficacy</w:t>
      </w:r>
      <w:r w:rsidR="005853A9">
        <w:rPr>
          <w:kern w:val="0"/>
        </w:rPr>
        <w:t xml:space="preserve"> and </w:t>
      </w:r>
      <w:r>
        <w:rPr>
          <w:kern w:val="0"/>
        </w:rPr>
        <w:t>therapy-related adverse events</w:t>
      </w:r>
      <w:r w:rsidR="00427468">
        <w:rPr>
          <w:kern w:val="0"/>
        </w:rPr>
        <w:t xml:space="preserve"> of </w:t>
      </w:r>
      <w:r>
        <w:rPr>
          <w:kern w:val="0"/>
        </w:rPr>
        <w:t>G-CSF treatment.</w:t>
      </w:r>
    </w:p>
    <w:p w:rsidR="00365DE4" w:rsidRDefault="00365DE4" w:rsidP="00365DE4">
      <w:pPr>
        <w:pStyle w:val="a3"/>
        <w:rPr>
          <w:kern w:val="0"/>
        </w:rPr>
      </w:pPr>
      <w:r>
        <w:rPr>
          <w:kern w:val="0"/>
        </w:rPr>
        <w:t>Keywords: Acute Myocardial Infarction, Administration, Adverse Outcomes, Age, Analysis, Authors, Bias, Binding, Bone, Bone Marrow, Bone-Marrow-Cells, Cardiac-Function, Cause</w:t>
      </w:r>
      <w:r w:rsidR="00427468">
        <w:rPr>
          <w:kern w:val="0"/>
        </w:rPr>
        <w:t xml:space="preserve"> of </w:t>
      </w:r>
      <w:r>
        <w:rPr>
          <w:kern w:val="0"/>
        </w:rPr>
        <w:t>Death, Chronic Heart-Failure, Citation, Clinical, Collection, Conference, Coronary-Artery-Disease, Criteria, Damage, Data, Data Collection, Death, Diagnosis, Effects, Efficacy, Embase, Endothelial Progenitor Cells, Events, Evidence, Follow-Up, Function, G-Csf, Generation, Granulocyte, Groups, Infarction, Intracoronary Infusion</w:t>
      </w:r>
      <w:r w:rsidR="00D5664A">
        <w:rPr>
          <w:kern w:val="0"/>
        </w:rPr>
        <w:t>, ISI,</w:t>
      </w:r>
      <w:r>
        <w:rPr>
          <w:kern w:val="0"/>
        </w:rPr>
        <w:t xml:space="preserve"> Left Ventricular Ejection Fraction, Low Risk, Massachusetts, Medicine, </w:t>
      </w:r>
      <w:r w:rsidR="00D5664A">
        <w:rPr>
          <w:kern w:val="0"/>
        </w:rPr>
        <w:t>MEDLINE</w:t>
      </w:r>
      <w:r>
        <w:rPr>
          <w:kern w:val="0"/>
        </w:rPr>
        <w:t xml:space="preserve">, Methods, Mobilization, Modalities, Mortality, Myocardial Infarction, Outcome, Outcomes, P, Patients, Personnel, </w:t>
      </w:r>
      <w:r>
        <w:rPr>
          <w:kern w:val="0"/>
        </w:rPr>
        <w:lastRenderedPageBreak/>
        <w:t xml:space="preserve">Placebo, Potential, Power, Quality, Randomization, Randomized, Randomized Controlled Trials, Randomized Controlled-Trials, Reference, Reference Lists, References, Restrictions, Review, Risk, River, Safety, Science, Science Citation Index, Science Citation Index Expanded, Search, Selection, Small, Stem Cell, Stem Cells, Stem-Cell Mobilization, Therapy, Treatment, Uncertainties, </w:t>
      </w:r>
      <w:r w:rsidR="00D5664A">
        <w:rPr>
          <w:kern w:val="0"/>
        </w:rPr>
        <w:t>USA</w:t>
      </w:r>
      <w:r>
        <w:rPr>
          <w:kern w:val="0"/>
        </w:rPr>
        <w:t>, Ventricular-Function, Volume</w:t>
      </w:r>
    </w:p>
    <w:p w:rsidR="00365DE4" w:rsidRDefault="00365DE4" w:rsidP="00365DE4">
      <w:pPr>
        <w:pStyle w:val="a3"/>
        <w:rPr>
          <w:kern w:val="0"/>
        </w:rPr>
      </w:pPr>
      <w:r>
        <w:rPr>
          <w:kern w:val="0"/>
        </w:rPr>
        <w:t>? Hao, Z.L., Wang, D.R., Zeng, Y.</w:t>
      </w:r>
      <w:r w:rsidR="005853A9">
        <w:rPr>
          <w:kern w:val="0"/>
        </w:rPr>
        <w:t xml:space="preserve"> and </w:t>
      </w:r>
      <w:r>
        <w:rPr>
          <w:kern w:val="0"/>
        </w:rPr>
        <w:t xml:space="preserve">Liu, M. (2013), Repetitive transcranial magnetic stimulation for improving function after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CD008862.</w:t>
      </w:r>
    </w:p>
    <w:p w:rsidR="00365DE4" w:rsidRDefault="00365DE4" w:rsidP="00365DE4">
      <w:pPr>
        <w:pStyle w:val="a3"/>
        <w:rPr>
          <w:kern w:val="2"/>
        </w:rPr>
      </w:pPr>
      <w:r>
        <w:t>Full Text: 2013\Coc Dat Sys Rev2013, CD008862.pdf</w:t>
      </w:r>
    </w:p>
    <w:p w:rsidR="00365DE4" w:rsidRDefault="00365DE4" w:rsidP="00365DE4">
      <w:pPr>
        <w:pStyle w:val="a3"/>
        <w:rPr>
          <w:kern w:val="0"/>
        </w:rPr>
      </w:pPr>
      <w:r>
        <w:rPr>
          <w:kern w:val="0"/>
        </w:rPr>
        <w:t>Abstract: Background It had been assumed that suppressing the undamaged contralesional motor cortex by repetitive low-frequency transcranial magnetic stimulation (rTMS) or increasing the excitability</w:t>
      </w:r>
      <w:r w:rsidR="00427468">
        <w:rPr>
          <w:kern w:val="0"/>
        </w:rPr>
        <w:t xml:space="preserve"> of </w:t>
      </w:r>
      <w:r>
        <w:rPr>
          <w:kern w:val="0"/>
        </w:rPr>
        <w:t>the damaged hemisphere cortex by high-frequency rTMS will promote function recovery after stroke. Objectives To assess the efficacy</w:t>
      </w:r>
      <w:r w:rsidR="005853A9">
        <w:rPr>
          <w:kern w:val="0"/>
        </w:rPr>
        <w:t xml:space="preserve"> and </w:t>
      </w:r>
      <w:r>
        <w:rPr>
          <w:kern w:val="0"/>
        </w:rPr>
        <w:t>safety</w:t>
      </w:r>
      <w:r w:rsidR="00427468">
        <w:rPr>
          <w:kern w:val="0"/>
        </w:rPr>
        <w:t xml:space="preserve"> of </w:t>
      </w:r>
      <w:r>
        <w:rPr>
          <w:kern w:val="0"/>
        </w:rPr>
        <w:t>rTMS for improving function in people with stroke. Search methods We searched the Cochrane Stroke Group Trials Register (April 2012), the Cochrane Central Register</w:t>
      </w:r>
      <w:r w:rsidR="00427468">
        <w:rPr>
          <w:kern w:val="0"/>
        </w:rPr>
        <w:t xml:space="preserve"> of </w:t>
      </w:r>
      <w:r>
        <w:rPr>
          <w:kern w:val="0"/>
        </w:rPr>
        <w:t xml:space="preserve">Controlled Trials (CENTRAL) (The Cochrane Library 2012, Issue 4), the Chinese Stroke Trials Register (April 2012), </w:t>
      </w:r>
      <w:r w:rsidR="00D5664A">
        <w:rPr>
          <w:kern w:val="0"/>
        </w:rPr>
        <w:t>MEDLINE</w:t>
      </w:r>
      <w:r>
        <w:rPr>
          <w:kern w:val="0"/>
        </w:rPr>
        <w:t xml:space="preserve"> (1950 to May 2012), EMBASE (1980 to May 2012), Science Citation Index (1981 to April 2012), Conference Proceedings Citation Index-Science (1990 to April 2012), CINAHL (1982 to May 2012), AMED (1985 to May 2012), PEDro (April 2012), REHABDATA (April 2012)</w:t>
      </w:r>
      <w:r w:rsidR="005853A9">
        <w:rPr>
          <w:kern w:val="0"/>
        </w:rPr>
        <w:t xml:space="preserve"> and </w:t>
      </w:r>
      <w:r>
        <w:rPr>
          <w:kern w:val="0"/>
        </w:rPr>
        <w:t>CIRRIE Database</w:t>
      </w:r>
      <w:r w:rsidR="00427468">
        <w:rPr>
          <w:kern w:val="0"/>
        </w:rPr>
        <w:t xml:space="preserve"> of </w:t>
      </w:r>
      <w:r>
        <w:rPr>
          <w:kern w:val="0"/>
        </w:rPr>
        <w:t>International Rehabilitation Research (April 2012). In addition, we searched five Chinese databases, ongoing trials registers</w:t>
      </w:r>
      <w:r w:rsidR="005853A9">
        <w:rPr>
          <w:kern w:val="0"/>
        </w:rPr>
        <w:t xml:space="preserve"> and </w:t>
      </w:r>
      <w:r>
        <w:rPr>
          <w:kern w:val="0"/>
        </w:rPr>
        <w:t>relevant reference lists. Selection criteria We included randomised controlled trials comparing rTMS therapy with sham therapy or no therapy. We excluded trials that reported only laboratory parameters. Data collection</w:t>
      </w:r>
      <w:r w:rsidR="005853A9">
        <w:rPr>
          <w:kern w:val="0"/>
        </w:rPr>
        <w:t xml:space="preserve"> and </w:t>
      </w:r>
      <w:r>
        <w:rPr>
          <w:kern w:val="0"/>
        </w:rPr>
        <w:t>analysis Two review authors independently selected trials, assessed trial quality</w:t>
      </w:r>
      <w:r w:rsidR="005853A9">
        <w:rPr>
          <w:kern w:val="0"/>
        </w:rPr>
        <w:t xml:space="preserve"> and </w:t>
      </w:r>
      <w:r>
        <w:rPr>
          <w:kern w:val="0"/>
        </w:rPr>
        <w:t>extracted the data. We resolved disagreements by discussion. Main results We included 19 trials involving a total</w:t>
      </w:r>
      <w:r w:rsidR="00427468">
        <w:rPr>
          <w:kern w:val="0"/>
        </w:rPr>
        <w:t xml:space="preserve"> of </w:t>
      </w:r>
      <w:r>
        <w:rPr>
          <w:kern w:val="0"/>
        </w:rPr>
        <w:t>588 participants in this review. Two heterogenous trials with a total</w:t>
      </w:r>
      <w:r w:rsidR="00427468">
        <w:rPr>
          <w:kern w:val="0"/>
        </w:rPr>
        <w:t xml:space="preserve"> of </w:t>
      </w:r>
      <w:r>
        <w:rPr>
          <w:kern w:val="0"/>
        </w:rPr>
        <w:t>183 participants showed that rTMS treatment was not associated with a significant increase in the Barthel Index score (mean difference (MD) 15.92, 95% CI -2.11 to 33.95). Four trials with a total</w:t>
      </w:r>
      <w:r w:rsidR="00427468">
        <w:rPr>
          <w:kern w:val="0"/>
        </w:rPr>
        <w:t xml:space="preserve"> of </w:t>
      </w:r>
      <w:r>
        <w:rPr>
          <w:kern w:val="0"/>
        </w:rPr>
        <w:t>73 participants were not found to have a statistically significant effect on motor function (standardised mean difference (SMD) 0.51, 95% CI -0.99 to 2.01). Subgroup analyses</w:t>
      </w:r>
      <w:r w:rsidR="00427468">
        <w:rPr>
          <w:kern w:val="0"/>
        </w:rPr>
        <w:t xml:space="preserve"> of </w:t>
      </w:r>
      <w:r>
        <w:rPr>
          <w:kern w:val="0"/>
        </w:rPr>
        <w:t>different stimulation frequencies or duration</w:t>
      </w:r>
      <w:r w:rsidR="00427468">
        <w:rPr>
          <w:kern w:val="0"/>
        </w:rPr>
        <w:t xml:space="preserve"> of </w:t>
      </w:r>
      <w:r>
        <w:rPr>
          <w:kern w:val="0"/>
        </w:rPr>
        <w:t>illness also showed no significant difference. Few mild adverse events were observed in the rTMS groups, with the most common events being transient or mild headaches (2.4%, 8/327)</w:t>
      </w:r>
      <w:r w:rsidR="005853A9">
        <w:rPr>
          <w:kern w:val="0"/>
        </w:rPr>
        <w:t xml:space="preserve"> and </w:t>
      </w:r>
      <w:r>
        <w:rPr>
          <w:kern w:val="0"/>
        </w:rPr>
        <w:t>local discomfort at the site</w:t>
      </w:r>
      <w:r w:rsidR="00427468">
        <w:rPr>
          <w:kern w:val="0"/>
        </w:rPr>
        <w:t xml:space="preserve"> of </w:t>
      </w:r>
      <w:r>
        <w:rPr>
          <w:kern w:val="0"/>
        </w:rPr>
        <w:t>the stimulation. Authors</w:t>
      </w:r>
      <w:r w:rsidR="0071223E">
        <w:rPr>
          <w:kern w:val="0"/>
        </w:rPr>
        <w:t>’</w:t>
      </w:r>
      <w:r>
        <w:rPr>
          <w:kern w:val="0"/>
        </w:rPr>
        <w:t xml:space="preserve"> conclusions Current evidence does not support the routine use</w:t>
      </w:r>
      <w:r w:rsidR="00427468">
        <w:rPr>
          <w:kern w:val="0"/>
        </w:rPr>
        <w:t xml:space="preserve"> of </w:t>
      </w:r>
      <w:r>
        <w:rPr>
          <w:kern w:val="0"/>
        </w:rPr>
        <w:t>rTMS for the treatment</w:t>
      </w:r>
      <w:r w:rsidR="00427468">
        <w:rPr>
          <w:kern w:val="0"/>
        </w:rPr>
        <w:t xml:space="preserve"> of </w:t>
      </w:r>
      <w:r>
        <w:rPr>
          <w:kern w:val="0"/>
        </w:rPr>
        <w:t xml:space="preserve">stroke. Further trials with larger sample </w:t>
      </w:r>
      <w:r>
        <w:rPr>
          <w:kern w:val="0"/>
        </w:rPr>
        <w:lastRenderedPageBreak/>
        <w:t>sizes are needed to determine a suitable rTMS protocol</w:t>
      </w:r>
      <w:r w:rsidR="005853A9">
        <w:rPr>
          <w:kern w:val="0"/>
        </w:rPr>
        <w:t xml:space="preserve"> and </w:t>
      </w:r>
      <w:r>
        <w:rPr>
          <w:kern w:val="0"/>
        </w:rPr>
        <w:t>the long-term functional outcome.</w:t>
      </w:r>
    </w:p>
    <w:p w:rsidR="00365DE4" w:rsidRDefault="00365DE4" w:rsidP="00365DE4">
      <w:pPr>
        <w:pStyle w:val="a3"/>
        <w:rPr>
          <w:kern w:val="0"/>
        </w:rPr>
      </w:pPr>
      <w:r>
        <w:rPr>
          <w:kern w:val="0"/>
        </w:rPr>
        <w:t xml:space="preserve">Keywords: Acute Ischemic-Stroke, Analyses, Analysis, Authors, Cerebrovascular-Disease, China, Chinese, Citation, Collection, Conference, Corticomotor Excitability, Criteria, Data, Data Collection, Database, Databases, Duration, Efficacy, Embase, Events, Evidence, Function, Groups, Laboratory Parameters, Local, Long Term, Long-Term, Low-Frequency Rtms, Magnetic, Magnetic Stimulation, Medicine, </w:t>
      </w:r>
      <w:r w:rsidR="00D5664A">
        <w:rPr>
          <w:kern w:val="0"/>
        </w:rPr>
        <w:t>MEDLINE</w:t>
      </w:r>
      <w:r>
        <w:rPr>
          <w:kern w:val="0"/>
        </w:rPr>
        <w:t xml:space="preserve">, Methods, Motor Function, Outcome, Poststroke Aphasia, Primary Motor Cortex, Protocol, Quality, R, Randomised, Randomised Controlled Trials, Randomized-Trial, Recovery, Reference, Reference Lists, Rehabilitation, Research, Review, River, Safety, Science, Science Citation Index, Search, Site, Stroke, Subcortical Stroke, Support, Therapy, Theta-Burst Stimulation, Transient, Treatment, Trial, Unaffected Hemisphere, </w:t>
      </w:r>
      <w:r w:rsidR="00D5664A">
        <w:rPr>
          <w:kern w:val="0"/>
        </w:rPr>
        <w:t>USA</w:t>
      </w:r>
    </w:p>
    <w:p w:rsidR="00365DE4" w:rsidRDefault="00365DE4" w:rsidP="00365DE4">
      <w:pPr>
        <w:pStyle w:val="a3"/>
        <w:rPr>
          <w:kern w:val="0"/>
        </w:rPr>
      </w:pPr>
      <w:r>
        <w:rPr>
          <w:kern w:val="0"/>
        </w:rPr>
        <w:t>? Minakaran, N.</w:t>
      </w:r>
      <w:r w:rsidR="005853A9">
        <w:rPr>
          <w:kern w:val="0"/>
        </w:rPr>
        <w:t xml:space="preserve"> and </w:t>
      </w:r>
      <w:r>
        <w:rPr>
          <w:kern w:val="0"/>
        </w:rPr>
        <w:t xml:space="preserve">Ezra, D.G. (2013), Rituximab for thyroid-associated ophthalmopathy.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CD009226.</w:t>
      </w:r>
    </w:p>
    <w:p w:rsidR="00365DE4" w:rsidRDefault="00365DE4" w:rsidP="00365DE4">
      <w:pPr>
        <w:pStyle w:val="a3"/>
        <w:rPr>
          <w:kern w:val="2"/>
        </w:rPr>
      </w:pPr>
      <w:r>
        <w:t>Full Text: 2013\Coc Dat Sys Rev2013, CD009226.pdf</w:t>
      </w:r>
    </w:p>
    <w:p w:rsidR="00365DE4" w:rsidRDefault="00365DE4" w:rsidP="00365DE4">
      <w:pPr>
        <w:pStyle w:val="a3"/>
        <w:rPr>
          <w:kern w:val="0"/>
        </w:rPr>
      </w:pPr>
      <w:r>
        <w:rPr>
          <w:kern w:val="0"/>
        </w:rPr>
        <w:t>Abstract: Background Thyroid associated ophthalmopathy (TAO) is the most frequent extrathyroidal manifestation</w:t>
      </w:r>
      <w:r w:rsidR="00427468">
        <w:rPr>
          <w:kern w:val="0"/>
        </w:rPr>
        <w:t xml:space="preserve"> of </w:t>
      </w:r>
      <w:r>
        <w:rPr>
          <w:kern w:val="0"/>
        </w:rPr>
        <w:t>Graves</w:t>
      </w:r>
      <w:r w:rsidR="0071223E">
        <w:rPr>
          <w:kern w:val="0"/>
        </w:rPr>
        <w:t>’</w:t>
      </w:r>
      <w:r>
        <w:rPr>
          <w:kern w:val="0"/>
        </w:rPr>
        <w:t xml:space="preserve"> disease, affecting up to 50%</w:t>
      </w:r>
      <w:r w:rsidR="00427468">
        <w:rPr>
          <w:kern w:val="0"/>
        </w:rPr>
        <w:t xml:space="preserve"> of </w:t>
      </w:r>
      <w:r>
        <w:rPr>
          <w:kern w:val="0"/>
        </w:rPr>
        <w:t>patients,</w:t>
      </w:r>
      <w:r w:rsidR="005853A9">
        <w:rPr>
          <w:kern w:val="0"/>
        </w:rPr>
        <w:t xml:space="preserve"> and </w:t>
      </w:r>
      <w:r>
        <w:rPr>
          <w:kern w:val="0"/>
        </w:rPr>
        <w:t>has a great impact on quality</w:t>
      </w:r>
      <w:r w:rsidR="00427468">
        <w:rPr>
          <w:kern w:val="0"/>
        </w:rPr>
        <w:t xml:space="preserve"> of </w:t>
      </w:r>
      <w:r>
        <w:rPr>
          <w:kern w:val="0"/>
        </w:rPr>
        <w:t>life. Rituximab is a human/murine chimeric monoclonal antibody that targets CD20, a transmembrane protein expressed on the surface</w:t>
      </w:r>
      <w:r w:rsidR="00427468">
        <w:rPr>
          <w:kern w:val="0"/>
        </w:rPr>
        <w:t xml:space="preserve"> of </w:t>
      </w:r>
      <w:r>
        <w:rPr>
          <w:kern w:val="0"/>
        </w:rPr>
        <w:t>pre-B</w:t>
      </w:r>
      <w:r w:rsidR="005853A9">
        <w:rPr>
          <w:kern w:val="0"/>
        </w:rPr>
        <w:t xml:space="preserve"> and </w:t>
      </w:r>
      <w:r>
        <w:rPr>
          <w:kern w:val="0"/>
        </w:rPr>
        <w:t>mature B lymphocytes, but not on stem cells, pro-B lymphocytes or plasma cells. Preliminary work has shown that blocking the CD20 receptor on B-lymphocytes with rituximab affects the clinical course</w:t>
      </w:r>
      <w:r w:rsidR="00427468">
        <w:rPr>
          <w:kern w:val="0"/>
        </w:rPr>
        <w:t xml:space="preserve"> of </w:t>
      </w:r>
      <w:r>
        <w:rPr>
          <w:kern w:val="0"/>
        </w:rPr>
        <w:t>TAO, by reducing inflammation</w:t>
      </w:r>
      <w:r w:rsidR="005853A9">
        <w:rPr>
          <w:kern w:val="0"/>
        </w:rPr>
        <w:t xml:space="preserve"> and </w:t>
      </w:r>
      <w:r>
        <w:rPr>
          <w:kern w:val="0"/>
        </w:rPr>
        <w:t>the degree</w:t>
      </w:r>
      <w:r w:rsidR="00427468">
        <w:rPr>
          <w:kern w:val="0"/>
        </w:rPr>
        <w:t xml:space="preserve"> of </w:t>
      </w:r>
      <w:r>
        <w:rPr>
          <w:kern w:val="0"/>
        </w:rPr>
        <w:t>proptosis. Objectives The aim</w:t>
      </w:r>
      <w:r w:rsidR="00427468">
        <w:rPr>
          <w:kern w:val="0"/>
        </w:rPr>
        <w:t xml:space="preserve"> of </w:t>
      </w:r>
      <w:r>
        <w:rPr>
          <w:kern w:val="0"/>
        </w:rPr>
        <w:t>this review was to investigate the effectiveness</w:t>
      </w:r>
      <w:r w:rsidR="005853A9">
        <w:rPr>
          <w:kern w:val="0"/>
        </w:rPr>
        <w:t xml:space="preserve"> and </w:t>
      </w:r>
      <w:r>
        <w:rPr>
          <w:kern w:val="0"/>
        </w:rPr>
        <w:t>safety</w:t>
      </w:r>
      <w:r w:rsidR="00427468">
        <w:rPr>
          <w:kern w:val="0"/>
        </w:rPr>
        <w:t xml:space="preserve"> of </w:t>
      </w:r>
      <w:r>
        <w:rPr>
          <w:kern w:val="0"/>
        </w:rPr>
        <w:t>rituximab for the treatment</w:t>
      </w:r>
      <w:r w:rsidR="00427468">
        <w:rPr>
          <w:kern w:val="0"/>
        </w:rPr>
        <w:t xml:space="preserve"> of </w:t>
      </w:r>
      <w:r>
        <w:rPr>
          <w:kern w:val="0"/>
        </w:rPr>
        <w:t>TAO. Search methods We searched CENTRAL (which contains the Cochrane Eyes</w:t>
      </w:r>
      <w:r w:rsidR="005853A9">
        <w:rPr>
          <w:kern w:val="0"/>
        </w:rPr>
        <w:t xml:space="preserve"> and </w:t>
      </w:r>
      <w:r>
        <w:rPr>
          <w:kern w:val="0"/>
        </w:rPr>
        <w:t xml:space="preserve">Vision Group Trials Register) (The Cochrane Library 2013, Issue 3),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OLD</w:t>
      </w:r>
      <w:r w:rsidR="00D5664A">
        <w:rPr>
          <w:kern w:val="0"/>
        </w:rPr>
        <w:t>MEDLINE</w:t>
      </w:r>
      <w:r>
        <w:rPr>
          <w:kern w:val="0"/>
        </w:rPr>
        <w:t>, (January 1950 to April 2013), EMBASE (January 1980 to April 2013), Latin American</w:t>
      </w:r>
      <w:r w:rsidR="005853A9">
        <w:rPr>
          <w:kern w:val="0"/>
        </w:rPr>
        <w:t xml:space="preserve"> and </w:t>
      </w:r>
      <w:r>
        <w:rPr>
          <w:kern w:val="0"/>
        </w:rPr>
        <w:t>Caribbean Literature on Health Sciences (LILACS) (January 1982 to April 2013), OpenGrey (System for Information on Grey Literature in Europe) (www.opengrey.eu/), the metaRegister</w:t>
      </w:r>
      <w:r w:rsidR="00427468">
        <w:rPr>
          <w:kern w:val="0"/>
        </w:rPr>
        <w:t xml:space="preserve"> of </w:t>
      </w:r>
      <w:r>
        <w:rPr>
          <w:kern w:val="0"/>
        </w:rPr>
        <w:t>Controlled Trials (mRCT) (www.controlled-trials.com), ClinicalTrials.gov (www.clinicaltrials.gov), the WHO International Clinical Trials Registry Platform (ICTRP) (www.who.int/ictrp/search/en)</w:t>
      </w:r>
      <w:r w:rsidR="005853A9">
        <w:rPr>
          <w:kern w:val="0"/>
        </w:rPr>
        <w:t xml:space="preserve"> and </w:t>
      </w:r>
      <w:r>
        <w:rPr>
          <w:kern w:val="0"/>
        </w:rPr>
        <w:t>the EU Clinical Trials Register (www.clinicaltrialsregister.eu). We did not use any date or language restrictions in the electronic searches for trials. We last searched the electronic databases on 15 April 2013. We manually searched references</w:t>
      </w:r>
      <w:r w:rsidR="00427468">
        <w:rPr>
          <w:kern w:val="0"/>
        </w:rPr>
        <w:t xml:space="preserve"> of </w:t>
      </w:r>
      <w:r>
        <w:rPr>
          <w:kern w:val="0"/>
        </w:rPr>
        <w:t>review articles</w:t>
      </w:r>
      <w:r w:rsidR="005853A9">
        <w:rPr>
          <w:kern w:val="0"/>
        </w:rPr>
        <w:t xml:space="preserve"> and </w:t>
      </w:r>
      <w:r>
        <w:rPr>
          <w:kern w:val="0"/>
        </w:rPr>
        <w:t xml:space="preserve">used the Science </w:t>
      </w:r>
      <w:r>
        <w:rPr>
          <w:kern w:val="0"/>
        </w:rPr>
        <w:lastRenderedPageBreak/>
        <w:t>Citation Index to identify additional studies citing trials. We contacted the lead investigators</w:t>
      </w:r>
      <w:r w:rsidR="00427468">
        <w:rPr>
          <w:kern w:val="0"/>
        </w:rPr>
        <w:t xml:space="preserve"> of </w:t>
      </w:r>
      <w:r>
        <w:rPr>
          <w:kern w:val="0"/>
        </w:rPr>
        <w:t>relevant trials on ClinicalTrials.gov</w:t>
      </w:r>
      <w:r w:rsidR="005853A9">
        <w:rPr>
          <w:kern w:val="0"/>
        </w:rPr>
        <w:t xml:space="preserve"> and </w:t>
      </w:r>
      <w:r>
        <w:rPr>
          <w:kern w:val="0"/>
        </w:rPr>
        <w:t>the WHO ICTRP for information</w:t>
      </w:r>
      <w:r w:rsidR="005853A9">
        <w:rPr>
          <w:kern w:val="0"/>
        </w:rPr>
        <w:t xml:space="preserve"> and </w:t>
      </w:r>
      <w:r>
        <w:rPr>
          <w:kern w:val="0"/>
        </w:rPr>
        <w:t>data from as yet unpublished clinical trials. We contacted experts in the field for information about any ongoing trials. We contacted the manufacturers</w:t>
      </w:r>
      <w:r w:rsidR="00427468">
        <w:rPr>
          <w:kern w:val="0"/>
        </w:rPr>
        <w:t xml:space="preserve"> of </w:t>
      </w:r>
      <w:r>
        <w:rPr>
          <w:kern w:val="0"/>
        </w:rPr>
        <w:t>rituximab for details</w:t>
      </w:r>
      <w:r w:rsidR="00427468">
        <w:rPr>
          <w:kern w:val="0"/>
        </w:rPr>
        <w:t xml:space="preserve"> of </w:t>
      </w:r>
      <w:r>
        <w:rPr>
          <w:kern w:val="0"/>
        </w:rPr>
        <w:t>any sponsored trials. Selection criteria We sought to include randomised controlled trials (RCTs)</w:t>
      </w:r>
      <w:r w:rsidR="00427468">
        <w:rPr>
          <w:kern w:val="0"/>
        </w:rPr>
        <w:t xml:space="preserve"> of </w:t>
      </w:r>
      <w:r>
        <w:rPr>
          <w:kern w:val="0"/>
        </w:rPr>
        <w:t>rituximab treatment by intravenous infusion for the treatment</w:t>
      </w:r>
      <w:r w:rsidR="00427468">
        <w:rPr>
          <w:kern w:val="0"/>
        </w:rPr>
        <w:t xml:space="preserve"> of </w:t>
      </w:r>
      <w:r>
        <w:rPr>
          <w:kern w:val="0"/>
        </w:rPr>
        <w:t>patients with TAO, compared with placebo or intravenous glucocorticoid treatment. Data collection</w:t>
      </w:r>
      <w:r w:rsidR="005853A9">
        <w:rPr>
          <w:kern w:val="0"/>
        </w:rPr>
        <w:t xml:space="preserve"> and </w:t>
      </w:r>
      <w:r>
        <w:rPr>
          <w:kern w:val="0"/>
        </w:rPr>
        <w:t>analysis Two review authors independently scanned titles</w:t>
      </w:r>
      <w:r w:rsidR="005853A9">
        <w:rPr>
          <w:kern w:val="0"/>
        </w:rPr>
        <w:t xml:space="preserve"> and </w:t>
      </w:r>
      <w:r>
        <w:rPr>
          <w:kern w:val="0"/>
        </w:rPr>
        <w:t>abstracts, as well as independently screened the full reports</w:t>
      </w:r>
      <w:r w:rsidR="00427468">
        <w:rPr>
          <w:kern w:val="0"/>
        </w:rPr>
        <w:t xml:space="preserve"> of </w:t>
      </w:r>
      <w:r>
        <w:rPr>
          <w:kern w:val="0"/>
        </w:rPr>
        <w:t>the potentially relevant studies. At each stage, the results were compared</w:t>
      </w:r>
      <w:r w:rsidR="005853A9">
        <w:rPr>
          <w:kern w:val="0"/>
        </w:rPr>
        <w:t xml:space="preserve"> and </w:t>
      </w:r>
      <w:r>
        <w:rPr>
          <w:kern w:val="0"/>
        </w:rPr>
        <w:t>disagreements were solved by discussion. Main results No studies were identified that met the inclusion criteria</w:t>
      </w:r>
      <w:r w:rsidR="00A37C1D">
        <w:rPr>
          <w:kern w:val="0"/>
        </w:rPr>
        <w:t>. The</w:t>
      </w:r>
      <w:r>
        <w:rPr>
          <w:kern w:val="0"/>
        </w:rPr>
        <w:t>re are three ongoing studies which are likely to meet inclusion criteria once published,</w:t>
      </w:r>
      <w:r w:rsidR="005853A9">
        <w:rPr>
          <w:kern w:val="0"/>
        </w:rPr>
        <w:t xml:space="preserve"> and </w:t>
      </w:r>
      <w:r>
        <w:rPr>
          <w:kern w:val="0"/>
        </w:rPr>
        <w:t>thus be included in future updates</w:t>
      </w:r>
      <w:r w:rsidR="00427468">
        <w:rPr>
          <w:kern w:val="0"/>
        </w:rPr>
        <w:t xml:space="preserve"> of </w:t>
      </w:r>
      <w:r>
        <w:rPr>
          <w:kern w:val="0"/>
        </w:rPr>
        <w:t>this review. Authors</w:t>
      </w:r>
      <w:r w:rsidR="0071223E">
        <w:rPr>
          <w:kern w:val="0"/>
        </w:rPr>
        <w:t>’</w:t>
      </w:r>
      <w:r>
        <w:rPr>
          <w:kern w:val="0"/>
        </w:rPr>
        <w:t xml:space="preserve"> conclusions There is currently insufficient evidence to support the use</w:t>
      </w:r>
      <w:r w:rsidR="00427468">
        <w:rPr>
          <w:kern w:val="0"/>
        </w:rPr>
        <w:t xml:space="preserve"> of </w:t>
      </w:r>
      <w:r>
        <w:rPr>
          <w:kern w:val="0"/>
        </w:rPr>
        <w:t>rituximab in patients with TAO</w:t>
      </w:r>
      <w:r w:rsidR="00A37C1D">
        <w:rPr>
          <w:kern w:val="0"/>
        </w:rPr>
        <w:t>. The</w:t>
      </w:r>
      <w:r>
        <w:rPr>
          <w:kern w:val="0"/>
        </w:rPr>
        <w:t>re is a need for large RCTs, investigating rituximab versus placebo or corticosteroids in patients with active TAO to make adequate judgement on the efficacy</w:t>
      </w:r>
      <w:r w:rsidR="005853A9">
        <w:rPr>
          <w:kern w:val="0"/>
        </w:rPr>
        <w:t xml:space="preserve"> and </w:t>
      </w:r>
      <w:r>
        <w:rPr>
          <w:kern w:val="0"/>
        </w:rPr>
        <w:t>safety</w:t>
      </w:r>
      <w:r w:rsidR="00427468">
        <w:rPr>
          <w:kern w:val="0"/>
        </w:rPr>
        <w:t xml:space="preserve"> of </w:t>
      </w:r>
      <w:r>
        <w:rPr>
          <w:kern w:val="0"/>
        </w:rPr>
        <w:t>this novel therapy for this condition.</w:t>
      </w:r>
    </w:p>
    <w:p w:rsidR="00365DE4" w:rsidRDefault="00365DE4" w:rsidP="00365DE4">
      <w:pPr>
        <w:pStyle w:val="a3"/>
        <w:rPr>
          <w:kern w:val="0"/>
        </w:rPr>
      </w:pPr>
      <w:r>
        <w:rPr>
          <w:kern w:val="0"/>
        </w:rPr>
        <w:t xml:space="preserve">Keywords: Analysis, Antibody, Authors, B-Lymphocyte Depletion, Cell Depletion, Citation, Citations, Clinical, Clinical Trials, Collection, Consensus Statement, Corticosteroids, Course, Criteria, Data, Data Collection, Databases, Disease, Effectiveness, Efficacy, Embase, England, Eu, Europe, Evidence, Experts, Eye Disease, Field, Glucocorticoid, Graves-Disease, Grey Literature, Impact, Inflammation, Information, Infusion, Intravenous, Language, Lead, Life, Literature, Medicine, </w:t>
      </w:r>
      <w:r w:rsidR="00D5664A">
        <w:rPr>
          <w:kern w:val="0"/>
        </w:rPr>
        <w:t>MEDLINE</w:t>
      </w:r>
      <w:r>
        <w:rPr>
          <w:kern w:val="0"/>
        </w:rPr>
        <w:t>, Methods, Monoclonal-Antibody Rituximab, N, Orbital Fibroblasts, Patients, Placebo, Plasma, Protein, Quality, Quality Of, Quality</w:t>
      </w:r>
      <w:r w:rsidR="00427468">
        <w:rPr>
          <w:kern w:val="0"/>
        </w:rPr>
        <w:t xml:space="preserve"> of </w:t>
      </w:r>
      <w:r>
        <w:rPr>
          <w:kern w:val="0"/>
        </w:rPr>
        <w:t xml:space="preserve">Life, Randomised, Randomised Controlled Trials, References, Restrictions, Review, Rheumatoid-Arthritis, Rituximab, River, Safety, Science, Science Citation Index, Search, Stem Cells, Support, Surface, T-Cells, Targeted Therapy, Therapy, Treatment, </w:t>
      </w:r>
      <w:r w:rsidR="00D5664A">
        <w:rPr>
          <w:kern w:val="0"/>
        </w:rPr>
        <w:t>USA</w:t>
      </w:r>
      <w:r>
        <w:rPr>
          <w:kern w:val="0"/>
        </w:rPr>
        <w:t>, WHO, Work</w:t>
      </w:r>
    </w:p>
    <w:p w:rsidR="00365DE4" w:rsidRDefault="00365DE4" w:rsidP="00365DE4">
      <w:pPr>
        <w:pStyle w:val="a3"/>
        <w:rPr>
          <w:kern w:val="0"/>
        </w:rPr>
      </w:pPr>
      <w:r>
        <w:rPr>
          <w:kern w:val="0"/>
        </w:rPr>
        <w:t>? Riemsma, R.P., Bala, M.M., Wolff, R.</w:t>
      </w:r>
      <w:r w:rsidR="005853A9">
        <w:rPr>
          <w:kern w:val="0"/>
        </w:rPr>
        <w:t xml:space="preserve"> and </w:t>
      </w:r>
      <w:r>
        <w:rPr>
          <w:kern w:val="0"/>
        </w:rPr>
        <w:t xml:space="preserve">Kleijnen, J. (2013), Electro-coagulation for liver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CD009497.</w:t>
      </w:r>
    </w:p>
    <w:p w:rsidR="00365DE4" w:rsidRDefault="00365DE4" w:rsidP="00365DE4">
      <w:pPr>
        <w:pStyle w:val="a3"/>
        <w:rPr>
          <w:kern w:val="2"/>
        </w:rPr>
      </w:pPr>
      <w:r>
        <w:t>Full Text: 2013\Coc Dat Sys Rev2013, CD009497.pdf</w:t>
      </w:r>
    </w:p>
    <w:p w:rsidR="00365DE4" w:rsidRDefault="00365DE4" w:rsidP="00365DE4">
      <w:pPr>
        <w:pStyle w:val="a3"/>
        <w:rPr>
          <w:kern w:val="0"/>
        </w:rPr>
      </w:pPr>
      <w:r>
        <w:rPr>
          <w:kern w:val="0"/>
        </w:rPr>
        <w:t>Abstract: Background Primary liver tumours</w:t>
      </w:r>
      <w:r w:rsidR="005853A9">
        <w:rPr>
          <w:kern w:val="0"/>
        </w:rPr>
        <w:t xml:space="preserve"> and </w:t>
      </w:r>
      <w:r>
        <w:rPr>
          <w:kern w:val="0"/>
        </w:rPr>
        <w:t>liver metastases from colorectal carcinoma are the two most common malignant tumours to affect the liver</w:t>
      </w:r>
      <w:r w:rsidR="00A37C1D">
        <w:rPr>
          <w:kern w:val="0"/>
        </w:rPr>
        <w:t>. The</w:t>
      </w:r>
      <w:r>
        <w:rPr>
          <w:kern w:val="0"/>
        </w:rPr>
        <w:t xml:space="preserve"> liver is second only to the lymph nodes as the most common site for metastatic disease. More than half</w:t>
      </w:r>
      <w:r w:rsidR="00427468">
        <w:rPr>
          <w:kern w:val="0"/>
        </w:rPr>
        <w:t xml:space="preserve"> of </w:t>
      </w:r>
      <w:r>
        <w:rPr>
          <w:kern w:val="0"/>
        </w:rPr>
        <w:t>the patients with metastatic liver disease will die from metastatic complications. Electro-coagulation is the coagulation (clotting)</w:t>
      </w:r>
      <w:r w:rsidR="00427468">
        <w:rPr>
          <w:kern w:val="0"/>
        </w:rPr>
        <w:t xml:space="preserve"> of </w:t>
      </w:r>
      <w:r>
        <w:rPr>
          <w:kern w:val="0"/>
        </w:rPr>
        <w:t xml:space="preserve">tissue using a </w:t>
      </w:r>
      <w:r>
        <w:rPr>
          <w:kern w:val="0"/>
        </w:rPr>
        <w:lastRenderedPageBreak/>
        <w:t>high-frequency electrical current applied locally with a metal instrument or needle with the aim</w:t>
      </w:r>
      <w:r w:rsidR="00427468">
        <w:rPr>
          <w:kern w:val="0"/>
        </w:rPr>
        <w:t xml:space="preserve"> of </w:t>
      </w:r>
      <w:r>
        <w:rPr>
          <w:kern w:val="0"/>
        </w:rPr>
        <w:t>stopping bleeding</w:t>
      </w:r>
      <w:r w:rsidR="00A37C1D">
        <w:rPr>
          <w:kern w:val="0"/>
        </w:rPr>
        <w:t>. The</w:t>
      </w:r>
      <w:r>
        <w:rPr>
          <w:kern w:val="0"/>
        </w:rPr>
        <w:t xml:space="preserve"> object</w:t>
      </w:r>
      <w:r w:rsidR="00427468">
        <w:rPr>
          <w:kern w:val="0"/>
        </w:rPr>
        <w:t xml:space="preserve"> of </w:t>
      </w:r>
      <w:r>
        <w:rPr>
          <w:kern w:val="0"/>
        </w:rPr>
        <w:t>this technique is to destroy the tumour completely, if possible, in a single surgical session. Objectives To study the beneficial</w:t>
      </w:r>
      <w:r w:rsidR="005853A9">
        <w:rPr>
          <w:kern w:val="0"/>
        </w:rPr>
        <w:t xml:space="preserve"> and </w:t>
      </w:r>
      <w:r>
        <w:rPr>
          <w:kern w:val="0"/>
        </w:rPr>
        <w:t>harmful effects</w:t>
      </w:r>
      <w:r w:rsidR="00427468">
        <w:rPr>
          <w:kern w:val="0"/>
        </w:rPr>
        <w:t xml:space="preserve"> of </w:t>
      </w:r>
      <w:r>
        <w:rPr>
          <w:kern w:val="0"/>
        </w:rPr>
        <w:t>electro-coagulation compared with no intervention, to other ablation methods, or systemic treatments in patients with liver metastases.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LILACS,</w:t>
      </w:r>
      <w:r w:rsidR="005853A9">
        <w:rPr>
          <w:kern w:val="0"/>
        </w:rPr>
        <w:t xml:space="preserve"> and </w:t>
      </w:r>
      <w:r>
        <w:rPr>
          <w:kern w:val="0"/>
        </w:rPr>
        <w:t>CINAHL up to December 2012. Selection criteria We included one randomised clinical trial that assessed beneficial</w:t>
      </w:r>
      <w:r w:rsidR="005853A9">
        <w:rPr>
          <w:kern w:val="0"/>
        </w:rPr>
        <w:t xml:space="preserve"> and </w:t>
      </w:r>
      <w:r>
        <w:rPr>
          <w:kern w:val="0"/>
        </w:rPr>
        <w:t>harmful effects</w:t>
      </w:r>
      <w:r w:rsidR="00427468">
        <w:rPr>
          <w:kern w:val="0"/>
        </w:rPr>
        <w:t xml:space="preserve"> of </w:t>
      </w:r>
      <w:r>
        <w:rPr>
          <w:kern w:val="0"/>
        </w:rPr>
        <w:t>electro-coagulation</w:t>
      </w:r>
      <w:r w:rsidR="005853A9">
        <w:rPr>
          <w:kern w:val="0"/>
        </w:rPr>
        <w:t xml:space="preserve"> and </w:t>
      </w:r>
      <w:r>
        <w:rPr>
          <w:kern w:val="0"/>
        </w:rPr>
        <w:t>its comparators in patients with liver metastases, irrespective</w:t>
      </w:r>
      <w:r w:rsidR="00427468">
        <w:rPr>
          <w:kern w:val="0"/>
        </w:rPr>
        <w:t xml:space="preserve"> of </w:t>
      </w:r>
      <w:r>
        <w:rPr>
          <w:kern w:val="0"/>
        </w:rPr>
        <w:t>the location</w:t>
      </w:r>
      <w:r w:rsidR="00427468">
        <w:rPr>
          <w:kern w:val="0"/>
        </w:rPr>
        <w:t xml:space="preserve"> of </w:t>
      </w:r>
      <w:r>
        <w:rPr>
          <w:kern w:val="0"/>
        </w:rPr>
        <w:t>the primary tumour. Data collection</w:t>
      </w:r>
      <w:r w:rsidR="005853A9">
        <w:rPr>
          <w:kern w:val="0"/>
        </w:rPr>
        <w:t xml:space="preserve"> and </w:t>
      </w:r>
      <w:r>
        <w:rPr>
          <w:kern w:val="0"/>
        </w:rPr>
        <w:t>analysis We extracted relevant information on participant characteristics, interventions, study outcome measures,</w:t>
      </w:r>
      <w:r w:rsidR="005853A9">
        <w:rPr>
          <w:kern w:val="0"/>
        </w:rPr>
        <w:t xml:space="preserve"> and </w:t>
      </w:r>
      <w:r>
        <w:rPr>
          <w:kern w:val="0"/>
        </w:rPr>
        <w:t>data on the outcome measures as well as information on the design</w:t>
      </w:r>
      <w:r w:rsidR="005853A9">
        <w:rPr>
          <w:kern w:val="0"/>
        </w:rPr>
        <w:t xml:space="preserve"> and </w:t>
      </w:r>
      <w:r>
        <w:rPr>
          <w:kern w:val="0"/>
        </w:rPr>
        <w:t>methodology</w:t>
      </w:r>
      <w:r w:rsidR="00427468">
        <w:rPr>
          <w:kern w:val="0"/>
        </w:rPr>
        <w:t xml:space="preserve"> of </w:t>
      </w:r>
      <w:r>
        <w:rPr>
          <w:kern w:val="0"/>
        </w:rPr>
        <w:t>the trials. Risk</w:t>
      </w:r>
      <w:r w:rsidR="00427468">
        <w:rPr>
          <w:kern w:val="0"/>
        </w:rPr>
        <w:t xml:space="preserve"> of </w:t>
      </w:r>
      <w:r>
        <w:rPr>
          <w:kern w:val="0"/>
        </w:rPr>
        <w:t>bias</w:t>
      </w:r>
      <w:r w:rsidR="00427468">
        <w:rPr>
          <w:kern w:val="0"/>
        </w:rPr>
        <w:t xml:space="preserve"> of </w:t>
      </w:r>
      <w:r>
        <w:rPr>
          <w:kern w:val="0"/>
        </w:rPr>
        <w:t>the trials</w:t>
      </w:r>
      <w:r w:rsidR="005853A9">
        <w:rPr>
          <w:kern w:val="0"/>
        </w:rPr>
        <w:t xml:space="preserve"> and </w:t>
      </w:r>
      <w:r>
        <w:rPr>
          <w:kern w:val="0"/>
        </w:rPr>
        <w:t>data extraction was carried out by one author</w:t>
      </w:r>
      <w:r w:rsidR="005853A9">
        <w:rPr>
          <w:kern w:val="0"/>
        </w:rPr>
        <w:t xml:space="preserve"> and </w:t>
      </w:r>
      <w:r>
        <w:rPr>
          <w:kern w:val="0"/>
        </w:rPr>
        <w:t>checked by a second author. Main results We included one randomised clinical trial that compared four groups: electro-coagulation alone, electro-coagulation + dimethyl sulphoxide, electro-coagulation + allopurinol,</w:t>
      </w:r>
      <w:r w:rsidR="005853A9">
        <w:rPr>
          <w:kern w:val="0"/>
        </w:rPr>
        <w:t xml:space="preserve"> and </w:t>
      </w:r>
      <w:r>
        <w:rPr>
          <w:kern w:val="0"/>
        </w:rPr>
        <w:t>control (Salim 1993)</w:t>
      </w:r>
      <w:r w:rsidR="00A37C1D">
        <w:rPr>
          <w:kern w:val="0"/>
        </w:rPr>
        <w:t>. The</w:t>
      </w:r>
      <w:r>
        <w:rPr>
          <w:kern w:val="0"/>
        </w:rPr>
        <w:t xml:space="preserve"> risk</w:t>
      </w:r>
      <w:r w:rsidR="00427468">
        <w:rPr>
          <w:kern w:val="0"/>
        </w:rPr>
        <w:t xml:space="preserve"> of </w:t>
      </w:r>
      <w:r>
        <w:rPr>
          <w:kern w:val="0"/>
        </w:rPr>
        <w:t>bias in the trial is high. In three groups, patients had their metastases destroyed with diathermy electro-coagulation (current set at No 5)</w:t>
      </w:r>
      <w:r w:rsidR="005853A9">
        <w:rPr>
          <w:kern w:val="0"/>
        </w:rPr>
        <w:t xml:space="preserve"> and </w:t>
      </w:r>
      <w:r>
        <w:rPr>
          <w:kern w:val="0"/>
        </w:rPr>
        <w:t>received: 1) solution</w:t>
      </w:r>
      <w:r w:rsidR="00427468">
        <w:rPr>
          <w:kern w:val="0"/>
        </w:rPr>
        <w:t xml:space="preserve"> of </w:t>
      </w:r>
      <w:r>
        <w:rPr>
          <w:kern w:val="0"/>
        </w:rPr>
        <w:t>allopurinol by mouth 5 mL 4 x a day or 2) allopurinol by mouth 5 mL (50 mg) 4 x a day or 3) dimethyl sulphoxide by mouth 5 mL (500 mg) 4 x a day. In the control group patients received a solution</w:t>
      </w:r>
      <w:r w:rsidR="00427468">
        <w:rPr>
          <w:kern w:val="0"/>
        </w:rPr>
        <w:t xml:space="preserve"> of </w:t>
      </w:r>
      <w:r>
        <w:rPr>
          <w:kern w:val="0"/>
        </w:rPr>
        <w:t>allopurinol by mouth 5 mL 4 x a day</w:t>
      </w:r>
      <w:r w:rsidR="00A37C1D">
        <w:rPr>
          <w:kern w:val="0"/>
        </w:rPr>
        <w:t>. The</w:t>
      </w:r>
      <w:r>
        <w:rPr>
          <w:kern w:val="0"/>
        </w:rPr>
        <w:t xml:space="preserve"> treatment was started in the fifth postoperative day</w:t>
      </w:r>
      <w:r w:rsidR="005853A9">
        <w:rPr>
          <w:kern w:val="0"/>
        </w:rPr>
        <w:t xml:space="preserve"> and </w:t>
      </w:r>
      <w:r>
        <w:rPr>
          <w:kern w:val="0"/>
        </w:rPr>
        <w:t>was continued for five years. Three hundred</w:t>
      </w:r>
      <w:r w:rsidR="005853A9">
        <w:rPr>
          <w:kern w:val="0"/>
        </w:rPr>
        <w:t xml:space="preserve"> and </w:t>
      </w:r>
      <w:r>
        <w:rPr>
          <w:kern w:val="0"/>
        </w:rPr>
        <w:t>six patients who had undergone resection</w:t>
      </w:r>
      <w:r w:rsidR="00427468">
        <w:rPr>
          <w:kern w:val="0"/>
        </w:rPr>
        <w:t xml:space="preserve"> of </w:t>
      </w:r>
      <w:r>
        <w:rPr>
          <w:kern w:val="0"/>
        </w:rPr>
        <w:t>the sigmoid colon</w:t>
      </w:r>
      <w:r w:rsidR="005853A9">
        <w:rPr>
          <w:kern w:val="0"/>
        </w:rPr>
        <w:t xml:space="preserve"> and </w:t>
      </w:r>
      <w:r>
        <w:rPr>
          <w:kern w:val="0"/>
        </w:rPr>
        <w:t>who had five or more hepatic metastases were included; 75 received electro-coagulation alone (58 were evaluable), 76 received electro-coagulation plus allopurinol (53 were evaluable), 78 received electro-coagulation plus dimethyl sulphoxide (57 were evaluable),</w:t>
      </w:r>
      <w:r w:rsidR="005853A9">
        <w:rPr>
          <w:kern w:val="0"/>
        </w:rPr>
        <w:t xml:space="preserve"> and </w:t>
      </w:r>
      <w:r>
        <w:rPr>
          <w:kern w:val="0"/>
        </w:rPr>
        <w:t>77 were in the control group (55 evaluable)</w:t>
      </w:r>
      <w:r w:rsidR="00A37C1D">
        <w:rPr>
          <w:kern w:val="0"/>
        </w:rPr>
        <w:t>. The</w:t>
      </w:r>
      <w:r>
        <w:rPr>
          <w:kern w:val="0"/>
        </w:rPr>
        <w:t xml:space="preserve"> authors reported the number</w:t>
      </w:r>
      <w:r w:rsidR="00427468">
        <w:rPr>
          <w:kern w:val="0"/>
        </w:rPr>
        <w:t xml:space="preserve"> of </w:t>
      </w:r>
      <w:r>
        <w:rPr>
          <w:kern w:val="0"/>
        </w:rPr>
        <w:t>deaths due to disease spread (100% in the control, 98% in electro-coagulation, 87% in electrocoagulation + allopurinol,</w:t>
      </w:r>
      <w:r w:rsidR="005853A9">
        <w:rPr>
          <w:kern w:val="0"/>
        </w:rPr>
        <w:t xml:space="preserve"> and </w:t>
      </w:r>
      <w:r>
        <w:rPr>
          <w:kern w:val="0"/>
        </w:rPr>
        <w:t>86% in the electro-coagulation + dimethyl sulphoxide groups)</w:t>
      </w:r>
      <w:r w:rsidR="00A37C1D">
        <w:rPr>
          <w:kern w:val="0"/>
        </w:rPr>
        <w:t>. The</w:t>
      </w:r>
      <w:r>
        <w:rPr>
          <w:kern w:val="0"/>
        </w:rPr>
        <w:t>re was a significant benefit in favour</w:t>
      </w:r>
      <w:r w:rsidR="00427468">
        <w:rPr>
          <w:kern w:val="0"/>
        </w:rPr>
        <w:t xml:space="preserve"> of </w:t>
      </w:r>
      <w:r>
        <w:rPr>
          <w:kern w:val="0"/>
        </w:rPr>
        <w:t>the electro-coagulation + allopurinol (risk ratio (RR) 0.87 (95% confidence interval (CI) 0.78 to 0.96))</w:t>
      </w:r>
      <w:r w:rsidR="005853A9">
        <w:rPr>
          <w:kern w:val="0"/>
        </w:rPr>
        <w:t xml:space="preserve"> and </w:t>
      </w:r>
      <w:r>
        <w:rPr>
          <w:kern w:val="0"/>
        </w:rPr>
        <w:t>electro-coagulation + dimethyl sulphoxide (RR 0.86 (95% CI 0.77 to 0.95)) groups compared to the control group, but no such benefit in the electrocoagulation alone group (RR 0.98 (95% CI 0.95 to 1.02)) compared to the control group</w:t>
      </w:r>
      <w:r w:rsidR="00A37C1D">
        <w:rPr>
          <w:kern w:val="0"/>
        </w:rPr>
        <w:t>. The</w:t>
      </w:r>
      <w:r>
        <w:rPr>
          <w:kern w:val="0"/>
        </w:rPr>
        <w:t>re were no local recurrences, no positive tests for occult blood,</w:t>
      </w:r>
      <w:r w:rsidR="005853A9">
        <w:rPr>
          <w:kern w:val="0"/>
        </w:rPr>
        <w:t xml:space="preserve"> and </w:t>
      </w:r>
      <w:r>
        <w:rPr>
          <w:kern w:val="0"/>
        </w:rPr>
        <w:t>observed pulmonary metastases were always with ultrasonographic evidence</w:t>
      </w:r>
      <w:r w:rsidR="00427468">
        <w:rPr>
          <w:kern w:val="0"/>
        </w:rPr>
        <w:t xml:space="preserve"> of </w:t>
      </w:r>
      <w:r>
        <w:rPr>
          <w:kern w:val="0"/>
        </w:rPr>
        <w:lastRenderedPageBreak/>
        <w:t>hepatic secondaries</w:t>
      </w:r>
      <w:r w:rsidR="005853A9">
        <w:rPr>
          <w:kern w:val="0"/>
        </w:rPr>
        <w:t xml:space="preserve"> and </w:t>
      </w:r>
      <w:r>
        <w:rPr>
          <w:kern w:val="0"/>
        </w:rPr>
        <w:t>were not significantly different for the experimental groups compared to the control group (electro-coagulation: RR 1.11 (95% CI 0.4 to 3.09)), electro-coagulation + allopurinol (RR 0.86 (95% CI 0.28 to 2.66)), electro-coagulation + dimethyl sulphoxide (RR 0.8 (95% CI 0.26 to 2.48)). None</w:t>
      </w:r>
      <w:r w:rsidR="00427468">
        <w:rPr>
          <w:kern w:val="0"/>
        </w:rPr>
        <w:t xml:space="preserve"> of </w:t>
      </w:r>
      <w:r>
        <w:rPr>
          <w:kern w:val="0"/>
        </w:rPr>
        <w:t>the adverse events were significantly associated with treatment. Authors</w:t>
      </w:r>
      <w:r w:rsidR="0071223E">
        <w:rPr>
          <w:kern w:val="0"/>
        </w:rPr>
        <w:t>’</w:t>
      </w:r>
      <w:r>
        <w:rPr>
          <w:kern w:val="0"/>
        </w:rPr>
        <w:t xml:space="preserve"> conclusions On the basis</w:t>
      </w:r>
      <w:r w:rsidR="00427468">
        <w:rPr>
          <w:kern w:val="0"/>
        </w:rPr>
        <w:t xml:space="preserve"> of </w:t>
      </w:r>
      <w:r>
        <w:rPr>
          <w:kern w:val="0"/>
        </w:rPr>
        <w:t>one randomised trial which did not describe its methodology in sufficient detail to assess risk</w:t>
      </w:r>
      <w:r w:rsidR="00427468">
        <w:rPr>
          <w:kern w:val="0"/>
        </w:rPr>
        <w:t xml:space="preserve"> of </w:t>
      </w:r>
      <w:r>
        <w:rPr>
          <w:kern w:val="0"/>
        </w:rPr>
        <w:t>bias</w:t>
      </w:r>
      <w:r w:rsidR="005853A9">
        <w:rPr>
          <w:kern w:val="0"/>
        </w:rPr>
        <w:t xml:space="preserve"> and </w:t>
      </w:r>
      <w:r>
        <w:rPr>
          <w:kern w:val="0"/>
        </w:rPr>
        <w:t>quality, excluded 27%</w:t>
      </w:r>
      <w:r w:rsidR="00427468">
        <w:rPr>
          <w:kern w:val="0"/>
        </w:rPr>
        <w:t xml:space="preserve"> of </w:t>
      </w:r>
      <w:r>
        <w:rPr>
          <w:kern w:val="0"/>
        </w:rPr>
        <w:t>patients after randomisation due to various reasons,</w:t>
      </w:r>
      <w:r w:rsidR="005853A9">
        <w:rPr>
          <w:kern w:val="0"/>
        </w:rPr>
        <w:t xml:space="preserve"> and </w:t>
      </w:r>
      <w:r>
        <w:rPr>
          <w:kern w:val="0"/>
        </w:rPr>
        <w:t>is probably not free from selective outcome reporting bias, there is insufficient evidence to conclude that in patients with colonic cancer liver metastases, electro-coagulation alone brings any significant benefit in terms</w:t>
      </w:r>
      <w:r w:rsidR="00427468">
        <w:rPr>
          <w:kern w:val="0"/>
        </w:rPr>
        <w:t xml:space="preserve"> of </w:t>
      </w:r>
      <w:r>
        <w:rPr>
          <w:kern w:val="0"/>
        </w:rPr>
        <w:t>survival or recurrence compared with the control. In addition, there is insufficient evidence for the effectiveness</w:t>
      </w:r>
      <w:r w:rsidR="00427468">
        <w:rPr>
          <w:kern w:val="0"/>
        </w:rPr>
        <w:t xml:space="preserve"> of </w:t>
      </w:r>
      <w:r>
        <w:rPr>
          <w:kern w:val="0"/>
        </w:rPr>
        <w:t>adding allopurinol or dimethyl sulphoxide to electro-coagulation</w:t>
      </w:r>
      <w:r w:rsidR="00A37C1D">
        <w:rPr>
          <w:kern w:val="0"/>
        </w:rPr>
        <w:t>. The</w:t>
      </w:r>
      <w:r>
        <w:rPr>
          <w:kern w:val="0"/>
        </w:rPr>
        <w:t xml:space="preserve"> probability for selective outcome reporting bias in the trial is high. More randomised trials are needed in order to sufficiently validate electro-coagulation with or without co-interventions.</w:t>
      </w:r>
    </w:p>
    <w:p w:rsidR="00365DE4" w:rsidRDefault="00365DE4" w:rsidP="00365DE4">
      <w:pPr>
        <w:pStyle w:val="a3"/>
        <w:rPr>
          <w:kern w:val="0"/>
        </w:rPr>
      </w:pPr>
      <w:r>
        <w:rPr>
          <w:kern w:val="0"/>
        </w:rPr>
        <w:t xml:space="preserve">Keywords: Analysis, Authors, Bias, Bleeding, Blood, Business, Cancer, Characteristics, Citation, Clinical, Clinical Trial, Clinical-Trials, Coagulation, Collection, Complications, Confidence, Control, Criteria, Data, Data Collection, Design, Design Characteristics, Disease, Effectiveness, Effects, Electro-Coagulation, Electrocoagulation, Embase, Empirical-Evidence, England, Events, Evidence, Experimental, Extraction, Groups, Information, Information Size, Interval, Intervention, Interventions, Liver, Local, Location, Medicine, </w:t>
      </w:r>
      <w:r w:rsidR="00D5664A">
        <w:rPr>
          <w:kern w:val="0"/>
        </w:rPr>
        <w:t>MEDLINE</w:t>
      </w:r>
      <w:r>
        <w:rPr>
          <w:kern w:val="0"/>
        </w:rPr>
        <w:t>, Metaanalyses, Metal, Metastases, Metastatic Disease, Methodology, Methods, N, Outcome, Outcome Measures, Patients, Postoperative, Primary, Quality, Radiofrequency Ablation, Randomisation, Randomised, Randomised Trial, Randomized Controlled-Trials, Recurrence, Recurrences, Reporting, Review, Risk, Risk</w:t>
      </w:r>
      <w:r w:rsidR="00427468">
        <w:rPr>
          <w:kern w:val="0"/>
        </w:rPr>
        <w:t xml:space="preserve"> of </w:t>
      </w:r>
      <w:r>
        <w:rPr>
          <w:kern w:val="0"/>
        </w:rPr>
        <w:t xml:space="preserve">Bias, River, Science, Science Citation Index, Science Citation Index Expanded, Search, Sequential-Analysis, Site, Solution, Survival, Treatment, Trial, Tumors, Unresectable Hepatocellular-Carcinoma, </w:t>
      </w:r>
      <w:r w:rsidR="00D5664A">
        <w:rPr>
          <w:kern w:val="0"/>
        </w:rPr>
        <w:t>USA</w:t>
      </w:r>
    </w:p>
    <w:p w:rsidR="00365DE4" w:rsidRDefault="00365DE4" w:rsidP="00365DE4">
      <w:pPr>
        <w:pStyle w:val="a3"/>
        <w:rPr>
          <w:kern w:val="0"/>
        </w:rPr>
      </w:pPr>
      <w:r>
        <w:rPr>
          <w:kern w:val="0"/>
        </w:rPr>
        <w:t>? Okwundu, C.I., Nagpal, S., Musekiwa, A.</w:t>
      </w:r>
      <w:r w:rsidR="005853A9">
        <w:rPr>
          <w:kern w:val="0"/>
        </w:rPr>
        <w:t xml:space="preserve"> and </w:t>
      </w:r>
      <w:r>
        <w:rPr>
          <w:kern w:val="0"/>
        </w:rPr>
        <w:t xml:space="preserve">Sinclair, D. (2013), Home- or community-based programmes for treating malaria.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CD009527.</w:t>
      </w:r>
    </w:p>
    <w:p w:rsidR="00365DE4" w:rsidRDefault="00365DE4" w:rsidP="00365DE4">
      <w:pPr>
        <w:pStyle w:val="a3"/>
        <w:rPr>
          <w:kern w:val="2"/>
        </w:rPr>
      </w:pPr>
      <w:r>
        <w:t>Full Text: 2013\Coc Dat Sys Rev2013, CD009527.pdf</w:t>
      </w:r>
    </w:p>
    <w:p w:rsidR="00365DE4" w:rsidRDefault="00365DE4" w:rsidP="00365DE4">
      <w:pPr>
        <w:pStyle w:val="a3"/>
        <w:rPr>
          <w:kern w:val="0"/>
        </w:rPr>
      </w:pPr>
      <w:r>
        <w:rPr>
          <w:kern w:val="0"/>
        </w:rPr>
        <w:t>Abstract: Background Malaria is an important cause</w:t>
      </w:r>
      <w:r w:rsidR="00427468">
        <w:rPr>
          <w:kern w:val="0"/>
        </w:rPr>
        <w:t xml:space="preserve"> of </w:t>
      </w:r>
      <w:r>
        <w:rPr>
          <w:kern w:val="0"/>
        </w:rPr>
        <w:t>morbidity</w:t>
      </w:r>
      <w:r w:rsidR="005853A9">
        <w:rPr>
          <w:kern w:val="0"/>
        </w:rPr>
        <w:t xml:space="preserve"> and </w:t>
      </w:r>
      <w:r>
        <w:rPr>
          <w:kern w:val="0"/>
        </w:rPr>
        <w:t>mortality, in particular among children</w:t>
      </w:r>
      <w:r w:rsidR="005853A9">
        <w:rPr>
          <w:kern w:val="0"/>
        </w:rPr>
        <w:t xml:space="preserve"> and </w:t>
      </w:r>
      <w:r>
        <w:rPr>
          <w:kern w:val="0"/>
        </w:rPr>
        <w:t>pregnant women in sub-Saharan Africa. Prompt access to diagnosis</w:t>
      </w:r>
      <w:r w:rsidR="005853A9">
        <w:rPr>
          <w:kern w:val="0"/>
        </w:rPr>
        <w:t xml:space="preserve"> and </w:t>
      </w:r>
      <w:r>
        <w:rPr>
          <w:kern w:val="0"/>
        </w:rPr>
        <w:t>treatment with effective antimalarial drugs is a central component</w:t>
      </w:r>
      <w:r w:rsidR="00427468">
        <w:rPr>
          <w:kern w:val="0"/>
        </w:rPr>
        <w:t xml:space="preserve"> of </w:t>
      </w:r>
      <w:r>
        <w:rPr>
          <w:kern w:val="0"/>
        </w:rPr>
        <w:t>the World Health Organization</w:t>
      </w:r>
      <w:r w:rsidR="0071223E">
        <w:rPr>
          <w:kern w:val="0"/>
        </w:rPr>
        <w:t>’</w:t>
      </w:r>
      <w:r>
        <w:rPr>
          <w:kern w:val="0"/>
        </w:rPr>
        <w:t xml:space="preserve">s (WHO) strategy for malaria control. Home-or community-based programmes for managing malaria are one strategy that has been proposed to overcome the geographical barrier to malaria treatment. Objectives To </w:t>
      </w:r>
      <w:r>
        <w:rPr>
          <w:kern w:val="0"/>
        </w:rPr>
        <w:lastRenderedPageBreak/>
        <w:t>evaluate home-and community-based management strategies for treating malaria. Search methods We searched the Cochrane Central Register</w:t>
      </w:r>
      <w:r w:rsidR="00427468">
        <w:rPr>
          <w:kern w:val="0"/>
        </w:rPr>
        <w:t xml:space="preserve"> of </w:t>
      </w:r>
      <w:r>
        <w:rPr>
          <w:kern w:val="0"/>
        </w:rPr>
        <w:t xml:space="preserve">Controlled Trials published in The Cochrane Library; </w:t>
      </w:r>
      <w:r w:rsidR="00D5664A">
        <w:rPr>
          <w:kern w:val="0"/>
        </w:rPr>
        <w:t>MEDLINE</w:t>
      </w:r>
      <w:r>
        <w:rPr>
          <w:kern w:val="0"/>
        </w:rPr>
        <w:t>; EMBASE; Science Citation Index; PsycINFO/LIT; CINAHL; WHO clinical trial registry platform;</w:t>
      </w:r>
      <w:r w:rsidR="005853A9">
        <w:rPr>
          <w:kern w:val="0"/>
        </w:rPr>
        <w:t xml:space="preserve"> and </w:t>
      </w:r>
      <w:r>
        <w:rPr>
          <w:kern w:val="0"/>
        </w:rPr>
        <w:t>the metaRegister</w:t>
      </w:r>
      <w:r w:rsidR="00427468">
        <w:rPr>
          <w:kern w:val="0"/>
        </w:rPr>
        <w:t xml:space="preserve"> of </w:t>
      </w:r>
      <w:r>
        <w:rPr>
          <w:kern w:val="0"/>
        </w:rPr>
        <w:t>Controlled Trials up to September 2012. Selection criteria Randomized controlled trials (RCTs)</w:t>
      </w:r>
      <w:r w:rsidR="005853A9">
        <w:rPr>
          <w:kern w:val="0"/>
        </w:rPr>
        <w:t xml:space="preserve"> and </w:t>
      </w:r>
      <w:r>
        <w:rPr>
          <w:kern w:val="0"/>
        </w:rPr>
        <w:t>non-RCTs that evaluated the effects</w:t>
      </w:r>
      <w:r w:rsidR="00427468">
        <w:rPr>
          <w:kern w:val="0"/>
        </w:rPr>
        <w:t xml:space="preserve"> of </w:t>
      </w:r>
      <w:r>
        <w:rPr>
          <w:kern w:val="0"/>
        </w:rPr>
        <w:t>a home-or community-based programme for treating malaria in a malaria endemic setting. Data collection</w:t>
      </w:r>
      <w:r w:rsidR="005853A9">
        <w:rPr>
          <w:kern w:val="0"/>
        </w:rPr>
        <w:t xml:space="preserve"> and </w:t>
      </w:r>
      <w:r>
        <w:rPr>
          <w:kern w:val="0"/>
        </w:rPr>
        <w:t>analysis Two authors independently screened</w:t>
      </w:r>
      <w:r w:rsidR="005853A9">
        <w:rPr>
          <w:kern w:val="0"/>
        </w:rPr>
        <w:t xml:space="preserve"> and </w:t>
      </w:r>
      <w:r>
        <w:rPr>
          <w:kern w:val="0"/>
        </w:rPr>
        <w:t>selected studies, extracted data,</w:t>
      </w:r>
      <w:r w:rsidR="005853A9">
        <w:rPr>
          <w:kern w:val="0"/>
        </w:rPr>
        <w:t xml:space="preserve"> and </w:t>
      </w:r>
      <w:r>
        <w:rPr>
          <w:kern w:val="0"/>
        </w:rPr>
        <w:t>assessed the risk</w:t>
      </w:r>
      <w:r w:rsidR="00427468">
        <w:rPr>
          <w:kern w:val="0"/>
        </w:rPr>
        <w:t xml:space="preserve"> of </w:t>
      </w:r>
      <w:r>
        <w:rPr>
          <w:kern w:val="0"/>
        </w:rPr>
        <w:t>bias. Where possible the effects</w:t>
      </w:r>
      <w:r w:rsidR="00427468">
        <w:rPr>
          <w:kern w:val="0"/>
        </w:rPr>
        <w:t xml:space="preserve"> of </w:t>
      </w:r>
      <w:r>
        <w:rPr>
          <w:kern w:val="0"/>
        </w:rPr>
        <w:t>interventions are compared using risk ratios (RR),</w:t>
      </w:r>
      <w:r w:rsidR="005853A9">
        <w:rPr>
          <w:kern w:val="0"/>
        </w:rPr>
        <w:t xml:space="preserve"> and </w:t>
      </w:r>
      <w:r>
        <w:rPr>
          <w:kern w:val="0"/>
        </w:rPr>
        <w:t>presented with 95% confidence intervals (CI)</w:t>
      </w:r>
      <w:r w:rsidR="00A37C1D">
        <w:rPr>
          <w:kern w:val="0"/>
        </w:rPr>
        <w:t>. The</w:t>
      </w:r>
      <w:r>
        <w:rPr>
          <w:kern w:val="0"/>
        </w:rPr>
        <w:t xml:space="preserve"> quality</w:t>
      </w:r>
      <w:r w:rsidR="00427468">
        <w:rPr>
          <w:kern w:val="0"/>
        </w:rPr>
        <w:t xml:space="preserve"> of </w:t>
      </w:r>
      <w:r>
        <w:rPr>
          <w:kern w:val="0"/>
        </w:rPr>
        <w:t>the evidence was assessed using the GRADE approach. Main results We identified 10 trials that met the inclusion criteria</w:t>
      </w:r>
      <w:r w:rsidR="00A37C1D">
        <w:rPr>
          <w:kern w:val="0"/>
        </w:rPr>
        <w:t>. The</w:t>
      </w:r>
      <w:r>
        <w:rPr>
          <w:kern w:val="0"/>
        </w:rPr>
        <w:t xml:space="preserve"> interventions involved brief training</w:t>
      </w:r>
      <w:r w:rsidR="00427468">
        <w:rPr>
          <w:kern w:val="0"/>
        </w:rPr>
        <w:t xml:space="preserve"> of </w:t>
      </w:r>
      <w:r>
        <w:rPr>
          <w:kern w:val="0"/>
        </w:rPr>
        <w:t>basic-level health workers or mothers,</w:t>
      </w:r>
      <w:r w:rsidR="005853A9">
        <w:rPr>
          <w:kern w:val="0"/>
        </w:rPr>
        <w:t xml:space="preserve"> and </w:t>
      </w:r>
      <w:r>
        <w:rPr>
          <w:kern w:val="0"/>
        </w:rPr>
        <w:t>most provided the antimalarial for free or at a highly subsidized cost. In eight</w:t>
      </w:r>
      <w:r w:rsidR="00427468">
        <w:rPr>
          <w:kern w:val="0"/>
        </w:rPr>
        <w:t xml:space="preserve"> of </w:t>
      </w:r>
      <w:r>
        <w:rPr>
          <w:kern w:val="0"/>
        </w:rPr>
        <w:t>the studies, fevers were treated presumptively without parasitological confirmation with microscopy or a rapid diagnostic test (RDT). Two studies trained community health workers to use RDTs as a component</w:t>
      </w:r>
      <w:r w:rsidR="00427468">
        <w:rPr>
          <w:kern w:val="0"/>
        </w:rPr>
        <w:t xml:space="preserve"> of </w:t>
      </w:r>
      <w:r>
        <w:rPr>
          <w:kern w:val="0"/>
        </w:rPr>
        <w:t>community management</w:t>
      </w:r>
      <w:r w:rsidR="00427468">
        <w:rPr>
          <w:kern w:val="0"/>
        </w:rPr>
        <w:t xml:space="preserve"> of </w:t>
      </w:r>
      <w:r>
        <w:rPr>
          <w:kern w:val="0"/>
        </w:rPr>
        <w:t>fever. Home-or community-based strategies probably increase the number</w:t>
      </w:r>
      <w:r w:rsidR="00427468">
        <w:rPr>
          <w:kern w:val="0"/>
        </w:rPr>
        <w:t xml:space="preserve"> of </w:t>
      </w:r>
      <w:r>
        <w:rPr>
          <w:kern w:val="0"/>
        </w:rPr>
        <w:t>people with fever who receive an appropriate antimalarial within 24 hours (RR 2.27, 95% CI 1.79 to 2.88 in one trial; RR 9.79, 95% CI 6.87 to 13.95 in a second trial; 3099 participants, moderate quality evidence)</w:t>
      </w:r>
      <w:r w:rsidR="00A37C1D">
        <w:rPr>
          <w:kern w:val="0"/>
        </w:rPr>
        <w:t>. The</w:t>
      </w:r>
      <w:r>
        <w:rPr>
          <w:kern w:val="0"/>
        </w:rPr>
        <w:t>y may also reduce all-cause mortality, but to date this has only been demonstrated in rural Ethiopia (RR 0.58, 95% CI 0.44 to 0.77, one trial, 13,677 participants, moderate quality evidence). Hospital admissions in children were reported in one small trial from urban Uganda, with no effect detected (437 participants, very low quality evidence). No studies reported on severe malaria. For parasitaemia prevalence, the study from urban Uganda demonstrated a reduction in community parasite prevalence (RR 0.22, 95% CI 0.08 to 0.64, 365 participants), but a second study in rural Burkina Faso did not (1006 participants). Home-or community-based programmes may have little or no effect on the prevalence</w:t>
      </w:r>
      <w:r w:rsidR="00427468">
        <w:rPr>
          <w:kern w:val="0"/>
        </w:rPr>
        <w:t xml:space="preserve"> of </w:t>
      </w:r>
      <w:r>
        <w:rPr>
          <w:kern w:val="0"/>
        </w:rPr>
        <w:t>anaemia (three trials, 3612 participants, low quality evidence). None</w:t>
      </w:r>
      <w:r w:rsidR="00427468">
        <w:rPr>
          <w:kern w:val="0"/>
        </w:rPr>
        <w:t xml:space="preserve"> of </w:t>
      </w:r>
      <w:r>
        <w:rPr>
          <w:kern w:val="0"/>
        </w:rPr>
        <w:t>the included studies reported on adverse effects</w:t>
      </w:r>
      <w:r w:rsidR="00427468">
        <w:rPr>
          <w:kern w:val="0"/>
        </w:rPr>
        <w:t xml:space="preserve"> of </w:t>
      </w:r>
      <w:r>
        <w:rPr>
          <w:kern w:val="0"/>
        </w:rPr>
        <w:t>using home-or community-based programmes for treating malaria. In two studies which trained community health workers to only prescribe antimalarials after a positive RDT, prescriptions</w:t>
      </w:r>
      <w:r w:rsidR="00427468">
        <w:rPr>
          <w:kern w:val="0"/>
        </w:rPr>
        <w:t xml:space="preserve"> of </w:t>
      </w:r>
      <w:r>
        <w:rPr>
          <w:kern w:val="0"/>
        </w:rPr>
        <w:t>antimalarials were reduced compared to the control group where community health workers used clinical diagnosis (RR 0.39, 95% CI 0.18 to 0.84, two trials, 5944 participants, moderate quality evidence). In these two studies, mortality</w:t>
      </w:r>
      <w:r w:rsidR="005853A9">
        <w:rPr>
          <w:kern w:val="0"/>
        </w:rPr>
        <w:t xml:space="preserve"> and </w:t>
      </w:r>
      <w:r>
        <w:rPr>
          <w:kern w:val="0"/>
        </w:rPr>
        <w:t>hospitalizations remained very low in both groups despite the lower use</w:t>
      </w:r>
      <w:r w:rsidR="00427468">
        <w:rPr>
          <w:kern w:val="0"/>
        </w:rPr>
        <w:t xml:space="preserve"> of </w:t>
      </w:r>
      <w:r>
        <w:rPr>
          <w:kern w:val="0"/>
        </w:rPr>
        <w:t>antimalarials (two trials, 5977 participants, low quality evidence). Authors</w:t>
      </w:r>
      <w:r w:rsidR="0071223E">
        <w:rPr>
          <w:kern w:val="0"/>
        </w:rPr>
        <w:t>’</w:t>
      </w:r>
      <w:r>
        <w:rPr>
          <w:kern w:val="0"/>
        </w:rPr>
        <w:t xml:space="preserve"> conclusions Home-or community-based interventions which provide antimalarial </w:t>
      </w:r>
      <w:r>
        <w:rPr>
          <w:kern w:val="0"/>
        </w:rPr>
        <w:lastRenderedPageBreak/>
        <w:t>drugs free</w:t>
      </w:r>
      <w:r w:rsidR="00427468">
        <w:rPr>
          <w:kern w:val="0"/>
        </w:rPr>
        <w:t xml:space="preserve"> of </w:t>
      </w:r>
      <w:r>
        <w:rPr>
          <w:kern w:val="0"/>
        </w:rPr>
        <w:t>charge probably improve prompt access to antimalarials,</w:t>
      </w:r>
      <w:r w:rsidR="005853A9">
        <w:rPr>
          <w:kern w:val="0"/>
        </w:rPr>
        <w:t xml:space="preserve"> and </w:t>
      </w:r>
      <w:r>
        <w:rPr>
          <w:kern w:val="0"/>
        </w:rPr>
        <w:t>there is moderate quality evidence from rural Ethiopia that they may impact on childhood mortality when implemented in appropriate settings. Programmes which treat all fevers presumptively with antimalarials lead to overuse antimalarials,</w:t>
      </w:r>
      <w:r w:rsidR="005853A9">
        <w:rPr>
          <w:kern w:val="0"/>
        </w:rPr>
        <w:t xml:space="preserve"> and </w:t>
      </w:r>
      <w:r>
        <w:rPr>
          <w:kern w:val="0"/>
        </w:rPr>
        <w:t>potentially undertreat other causes</w:t>
      </w:r>
      <w:r w:rsidR="00427468">
        <w:rPr>
          <w:kern w:val="0"/>
        </w:rPr>
        <w:t xml:space="preserve"> of </w:t>
      </w:r>
      <w:r>
        <w:rPr>
          <w:kern w:val="0"/>
        </w:rPr>
        <w:t>fever such as pneumonia. Incorporating RDT diagnosis into home-or community-based programmes for malaria may help to reduce this overuse</w:t>
      </w:r>
      <w:r w:rsidR="00427468">
        <w:rPr>
          <w:kern w:val="0"/>
        </w:rPr>
        <w:t xml:space="preserve"> of </w:t>
      </w:r>
      <w:r>
        <w:rPr>
          <w:kern w:val="0"/>
        </w:rPr>
        <w:t>antimalarials,</w:t>
      </w:r>
      <w:r w:rsidR="005853A9">
        <w:rPr>
          <w:kern w:val="0"/>
        </w:rPr>
        <w:t xml:space="preserve"> and </w:t>
      </w:r>
      <w:r>
        <w:rPr>
          <w:kern w:val="0"/>
        </w:rPr>
        <w:t>has been shown to be safe under trial conditions.</w:t>
      </w:r>
    </w:p>
    <w:p w:rsidR="00365DE4" w:rsidRDefault="00365DE4" w:rsidP="00365DE4">
      <w:pPr>
        <w:pStyle w:val="a3"/>
        <w:rPr>
          <w:kern w:val="0"/>
        </w:rPr>
      </w:pPr>
      <w:r>
        <w:rPr>
          <w:kern w:val="0"/>
        </w:rPr>
        <w:t xml:space="preserve">Keywords: Access, Adverse Effects, Africa, Anaemia, Analysis, Approach, Artemether-Lumefantrine, Authors, Barrier, Bias, Care, Charge, Childhood, Childhood Fevers, Children, Citation, Clinical, Clinical Trial, Collection, Community, Community Based, Confidence, Confidence Intervals, Control, Cost, Criteria, Data, Data Collection, Diagnosis, Diagnostic Test, Drugs, Effects, Embase, Ethiopia, Evidence, Fever, Ghana, Grade, Groups, Health, Impact, Intervals, Interventions, Kenya, Lead, Malaria, Management, Medicine, </w:t>
      </w:r>
      <w:r w:rsidR="00D5664A">
        <w:rPr>
          <w:kern w:val="0"/>
        </w:rPr>
        <w:t>MEDLINE</w:t>
      </w:r>
      <w:r>
        <w:rPr>
          <w:kern w:val="0"/>
        </w:rPr>
        <w:t xml:space="preserve">, Methods, Morbidity, Mortality, Mothers, Pneumonia, Pregnant, Pregnant Women, Prescriptions, Prevalence, Programmes, Quality, Quality Of, Randomized Controlled Trials, Randomized Controlled-Trial, Reduction, Registry, Review, Risk, River, Rural, Science, Science Citation Index, Search, Small, South Africa, Strategy, Sub-Saharan Africa, Training, Transmission, Treatment, Trial, Uganda, Urban, </w:t>
      </w:r>
      <w:r w:rsidR="00D5664A">
        <w:rPr>
          <w:kern w:val="0"/>
        </w:rPr>
        <w:t>USA</w:t>
      </w:r>
      <w:r>
        <w:rPr>
          <w:kern w:val="0"/>
        </w:rPr>
        <w:t>, WHO, Women</w:t>
      </w:r>
    </w:p>
    <w:p w:rsidR="00365DE4" w:rsidRDefault="00365DE4" w:rsidP="00365DE4">
      <w:pPr>
        <w:pStyle w:val="a3"/>
        <w:rPr>
          <w:kern w:val="0"/>
        </w:rPr>
      </w:pPr>
      <w:r>
        <w:rPr>
          <w:kern w:val="0"/>
        </w:rPr>
        <w:t>? Rao, A.M.</w:t>
      </w:r>
      <w:r w:rsidR="005853A9">
        <w:rPr>
          <w:kern w:val="0"/>
        </w:rPr>
        <w:t xml:space="preserve"> and </w:t>
      </w:r>
      <w:r>
        <w:rPr>
          <w:kern w:val="0"/>
        </w:rPr>
        <w:t>Ahmed, I. (2013), Laparoscopic versus open liver resection for benign</w:t>
      </w:r>
      <w:r w:rsidR="005853A9">
        <w:rPr>
          <w:kern w:val="0"/>
        </w:rPr>
        <w:t xml:space="preserve"> and </w:t>
      </w:r>
      <w:r>
        <w:rPr>
          <w:kern w:val="0"/>
        </w:rPr>
        <w:t xml:space="preserve">malignant hepatic lesions in adults.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5</w:t>
      </w:r>
      <w:r>
        <w:rPr>
          <w:kern w:val="0"/>
        </w:rPr>
        <w:t>, Article Number: CD010162.</w:t>
      </w:r>
    </w:p>
    <w:p w:rsidR="00365DE4" w:rsidRDefault="00365DE4" w:rsidP="00365DE4">
      <w:pPr>
        <w:pStyle w:val="a3"/>
        <w:rPr>
          <w:kern w:val="2"/>
        </w:rPr>
      </w:pPr>
      <w:r>
        <w:t>Full Text: 2013\Coc Dat Sys Rev2013, CD010162.pdf</w:t>
      </w:r>
    </w:p>
    <w:p w:rsidR="00365DE4" w:rsidRDefault="00365DE4" w:rsidP="00365DE4">
      <w:pPr>
        <w:pStyle w:val="a3"/>
        <w:rPr>
          <w:kern w:val="0"/>
        </w:rPr>
      </w:pPr>
      <w:r>
        <w:rPr>
          <w:kern w:val="0"/>
        </w:rPr>
        <w:t>Abstract: Background Liver (hepatic) resection refers to removal</w:t>
      </w:r>
      <w:r w:rsidR="00427468">
        <w:rPr>
          <w:kern w:val="0"/>
        </w:rPr>
        <w:t xml:space="preserve"> of </w:t>
      </w:r>
      <w:r>
        <w:rPr>
          <w:kern w:val="0"/>
        </w:rPr>
        <w:t>the whole liver, or one or more</w:t>
      </w:r>
      <w:r w:rsidR="00427468">
        <w:rPr>
          <w:kern w:val="0"/>
        </w:rPr>
        <w:t xml:space="preserve"> of </w:t>
      </w:r>
      <w:r>
        <w:rPr>
          <w:kern w:val="0"/>
        </w:rPr>
        <w:t>its vascular segments. Elective liver resection is mainly performed for benign</w:t>
      </w:r>
      <w:r w:rsidR="005853A9">
        <w:rPr>
          <w:kern w:val="0"/>
        </w:rPr>
        <w:t xml:space="preserve"> and </w:t>
      </w:r>
      <w:r>
        <w:rPr>
          <w:kern w:val="0"/>
        </w:rPr>
        <w:t>malignant liver tumours</w:t>
      </w:r>
      <w:r w:rsidR="00A37C1D">
        <w:rPr>
          <w:kern w:val="0"/>
        </w:rPr>
        <w:t>. The</w:t>
      </w:r>
      <w:r>
        <w:rPr>
          <w:kern w:val="0"/>
        </w:rPr>
        <w:t xml:space="preserve"> operation can be performed as an open procedure or with a laparoscopic approach. With the advancement</w:t>
      </w:r>
      <w:r w:rsidR="00427468">
        <w:rPr>
          <w:kern w:val="0"/>
        </w:rPr>
        <w:t xml:space="preserve"> of </w:t>
      </w:r>
      <w:r>
        <w:rPr>
          <w:kern w:val="0"/>
        </w:rPr>
        <w:t>laparoscopic skills</w:t>
      </w:r>
      <w:r w:rsidR="005853A9">
        <w:rPr>
          <w:kern w:val="0"/>
        </w:rPr>
        <w:t xml:space="preserve"> and </w:t>
      </w:r>
      <w:r>
        <w:rPr>
          <w:kern w:val="0"/>
        </w:rPr>
        <w:t>equipment, liver resection is selectively being carried out with this approach. A laparoscopic procedure is intended to be less severe, allowing for quicker healing, fewer complications,</w:t>
      </w:r>
      <w:r w:rsidR="005853A9">
        <w:rPr>
          <w:kern w:val="0"/>
        </w:rPr>
        <w:t xml:space="preserve"> and </w:t>
      </w:r>
      <w:r>
        <w:rPr>
          <w:kern w:val="0"/>
        </w:rPr>
        <w:t>a shorter hospital stay as the insult to the body is minimised. However, evidence about the efficacy</w:t>
      </w:r>
      <w:r w:rsidR="00427468">
        <w:rPr>
          <w:kern w:val="0"/>
        </w:rPr>
        <w:t xml:space="preserve"> of </w:t>
      </w:r>
      <w:r>
        <w:rPr>
          <w:kern w:val="0"/>
        </w:rPr>
        <w:t>this approach when compared to an open procedure is still scattered. Current practice at different hepato-pancreato-biliary centres is based on the clinical judgement</w:t>
      </w:r>
      <w:r w:rsidR="00427468">
        <w:rPr>
          <w:kern w:val="0"/>
        </w:rPr>
        <w:t xml:space="preserve"> of </w:t>
      </w:r>
      <w:r>
        <w:rPr>
          <w:kern w:val="0"/>
        </w:rPr>
        <w:t>experts in their field, which is highly insufficient in terms</w:t>
      </w:r>
      <w:r w:rsidR="00427468">
        <w:rPr>
          <w:kern w:val="0"/>
        </w:rPr>
        <w:t xml:space="preserve"> of </w:t>
      </w:r>
      <w:r>
        <w:rPr>
          <w:kern w:val="0"/>
        </w:rPr>
        <w:t>evidence. Objectives To assess the benefits</w:t>
      </w:r>
      <w:r w:rsidR="005853A9">
        <w:rPr>
          <w:kern w:val="0"/>
        </w:rPr>
        <w:t xml:space="preserve"> and </w:t>
      </w:r>
      <w:r>
        <w:rPr>
          <w:kern w:val="0"/>
        </w:rPr>
        <w:t>harms</w:t>
      </w:r>
      <w:r w:rsidR="00427468">
        <w:rPr>
          <w:kern w:val="0"/>
        </w:rPr>
        <w:t xml:space="preserve"> of </w:t>
      </w:r>
      <w:r>
        <w:rPr>
          <w:kern w:val="0"/>
        </w:rPr>
        <w:t>laparoscopic versus open liver resection for benign or malignant lesions on the liver in adult patients. Search methods We searched the Cochrane Hepato-Biliary Group Controlled Trials Register, Cochrane Central Register</w:t>
      </w:r>
      <w:r w:rsidR="00427468">
        <w:rPr>
          <w:kern w:val="0"/>
        </w:rPr>
        <w:t xml:space="preserve"> of </w:t>
      </w:r>
      <w:r>
        <w:rPr>
          <w:kern w:val="0"/>
        </w:rPr>
        <w:t xml:space="preserve">Controlled Trials in The Cochrane Library, </w:t>
      </w:r>
      <w:r w:rsidR="00D5664A">
        <w:rPr>
          <w:kern w:val="0"/>
        </w:rPr>
        <w:t>MEDLINE</w:t>
      </w:r>
      <w:r>
        <w:rPr>
          <w:kern w:val="0"/>
        </w:rPr>
        <w:t>, EMBASE,</w:t>
      </w:r>
      <w:r w:rsidR="005853A9">
        <w:rPr>
          <w:kern w:val="0"/>
        </w:rPr>
        <w:t xml:space="preserve"> and </w:t>
      </w:r>
      <w:r>
        <w:rPr>
          <w:kern w:val="0"/>
        </w:rPr>
        <w:lastRenderedPageBreak/>
        <w:t>Science Citation Index Expanded until February 2013. We also conducted searches</w:t>
      </w:r>
      <w:r w:rsidR="00427468">
        <w:rPr>
          <w:kern w:val="0"/>
        </w:rPr>
        <w:t xml:space="preserve"> of </w:t>
      </w:r>
      <w:r>
        <w:rPr>
          <w:kern w:val="0"/>
        </w:rPr>
        <w:t>reference lists</w:t>
      </w:r>
      <w:r w:rsidR="00427468">
        <w:rPr>
          <w:kern w:val="0"/>
        </w:rPr>
        <w:t xml:space="preserve"> of </w:t>
      </w:r>
      <w:r>
        <w:rPr>
          <w:kern w:val="0"/>
        </w:rPr>
        <w:t>relevant articles</w:t>
      </w:r>
      <w:r w:rsidR="005853A9">
        <w:rPr>
          <w:kern w:val="0"/>
        </w:rPr>
        <w:t xml:space="preserve"> and </w:t>
      </w:r>
      <w:r>
        <w:rPr>
          <w:kern w:val="0"/>
        </w:rPr>
        <w:t>reviews, conference proceedings,</w:t>
      </w:r>
      <w:r w:rsidR="005853A9">
        <w:rPr>
          <w:kern w:val="0"/>
        </w:rPr>
        <w:t xml:space="preserve"> and </w:t>
      </w:r>
      <w:r>
        <w:rPr>
          <w:kern w:val="0"/>
        </w:rPr>
        <w:t>ongoing trial databases. Selection criteria We searched for randomised clinical trials</w:t>
      </w:r>
      <w:r w:rsidR="00427468">
        <w:rPr>
          <w:kern w:val="0"/>
        </w:rPr>
        <w:t xml:space="preserve"> of </w:t>
      </w:r>
      <w:r>
        <w:rPr>
          <w:kern w:val="0"/>
        </w:rPr>
        <w:t>participants undergoing liver resection for benign or malignant lesions which reported on benefits</w:t>
      </w:r>
      <w:r w:rsidR="005853A9">
        <w:rPr>
          <w:kern w:val="0"/>
        </w:rPr>
        <w:t xml:space="preserve"> and </w:t>
      </w:r>
      <w:r>
        <w:rPr>
          <w:kern w:val="0"/>
        </w:rPr>
        <w:t>harms. We searched for quasi-randomised or observational studies for reports</w:t>
      </w:r>
      <w:r w:rsidR="00427468">
        <w:rPr>
          <w:kern w:val="0"/>
        </w:rPr>
        <w:t xml:space="preserve"> of </w:t>
      </w:r>
      <w:r>
        <w:rPr>
          <w:kern w:val="0"/>
        </w:rPr>
        <w:t>harm. Data collection</w:t>
      </w:r>
      <w:r w:rsidR="005853A9">
        <w:rPr>
          <w:kern w:val="0"/>
        </w:rPr>
        <w:t xml:space="preserve"> and </w:t>
      </w:r>
      <w:r>
        <w:rPr>
          <w:kern w:val="0"/>
        </w:rPr>
        <w:t>analysis No data from randomised clinical trials could be collected. Main results Two authors performed study selection independently. We were not able to identify any randomised clinical trials that met the inclusion criteria</w:t>
      </w:r>
      <w:r w:rsidR="00427468">
        <w:rPr>
          <w:kern w:val="0"/>
        </w:rPr>
        <w:t xml:space="preserve"> of </w:t>
      </w:r>
      <w:r>
        <w:rPr>
          <w:kern w:val="0"/>
        </w:rPr>
        <w:t>our review protocol. We identified two ongoing randomised clinical trials performed in Europe with data yet to be published. We retrieved a few observational studies (prospective</w:t>
      </w:r>
      <w:r w:rsidR="005853A9">
        <w:rPr>
          <w:kern w:val="0"/>
        </w:rPr>
        <w:t xml:space="preserve"> and </w:t>
      </w:r>
      <w:r>
        <w:rPr>
          <w:kern w:val="0"/>
        </w:rPr>
        <w:t>retrospective) with the searches for randomised clinical trials</w:t>
      </w:r>
      <w:r w:rsidR="00A37C1D">
        <w:rPr>
          <w:kern w:val="0"/>
        </w:rPr>
        <w:t>. The</w:t>
      </w:r>
      <w:r>
        <w:rPr>
          <w:kern w:val="0"/>
        </w:rPr>
        <w:t>y included a limited number</w:t>
      </w:r>
      <w:r w:rsidR="00427468">
        <w:rPr>
          <w:kern w:val="0"/>
        </w:rPr>
        <w:t xml:space="preserve"> of </w:t>
      </w:r>
      <w:r>
        <w:rPr>
          <w:kern w:val="0"/>
        </w:rPr>
        <w:t>participants in whom laparoscopic</w:t>
      </w:r>
      <w:r w:rsidR="005853A9">
        <w:rPr>
          <w:kern w:val="0"/>
        </w:rPr>
        <w:t xml:space="preserve"> and </w:t>
      </w:r>
      <w:r>
        <w:rPr>
          <w:kern w:val="0"/>
        </w:rPr>
        <w:t>open liver resection was compared. Since these studies were non-randomised observational studies, the results for any adverse events are not included in the review as the risk</w:t>
      </w:r>
      <w:r w:rsidR="00427468">
        <w:rPr>
          <w:kern w:val="0"/>
        </w:rPr>
        <w:t xml:space="preserve"> of </w:t>
      </w:r>
      <w:r>
        <w:rPr>
          <w:kern w:val="0"/>
        </w:rPr>
        <w:t>bias in such studies is high. Authors</w:t>
      </w:r>
      <w:r w:rsidR="0071223E">
        <w:rPr>
          <w:kern w:val="0"/>
        </w:rPr>
        <w:t>’</w:t>
      </w:r>
      <w:r>
        <w:rPr>
          <w:kern w:val="0"/>
        </w:rPr>
        <w:t xml:space="preserve"> conclusions No conclusions can be made at this time as no randomised clinical trials are available. In addition to the two ongoing randomised clinical trials for which results are expected to be published in the near future, well-designed, prospective, randomised clinical trials are needed in order to evaluate the benefits</w:t>
      </w:r>
      <w:r w:rsidR="005853A9">
        <w:rPr>
          <w:kern w:val="0"/>
        </w:rPr>
        <w:t xml:space="preserve"> and </w:t>
      </w:r>
      <w:r>
        <w:rPr>
          <w:kern w:val="0"/>
        </w:rPr>
        <w:t>harms</w:t>
      </w:r>
      <w:r w:rsidR="00427468">
        <w:rPr>
          <w:kern w:val="0"/>
        </w:rPr>
        <w:t xml:space="preserve"> of </w:t>
      </w:r>
      <w:r>
        <w:rPr>
          <w:kern w:val="0"/>
        </w:rPr>
        <w:t>the laparoscopic procedure versus open liver resection.</w:t>
      </w:r>
    </w:p>
    <w:p w:rsidR="00365DE4" w:rsidRDefault="00365DE4" w:rsidP="00365DE4">
      <w:pPr>
        <w:pStyle w:val="a3"/>
        <w:rPr>
          <w:kern w:val="0"/>
        </w:rPr>
      </w:pPr>
      <w:r>
        <w:rPr>
          <w:kern w:val="0"/>
        </w:rPr>
        <w:t xml:space="preserve">Keywords: Aberdeen, Adult, Analysis, Approach, Authors, Benefits, Bias, Citation, Clinical, Clinical Trials, Collection, Complications, Conference Proceedings, Criteria, Data, Data Collection, Databases, Design Characteristics, Efficacy, Embase, Empirical-Evidence, Equipment, Europe, Events, Evidence, Experts, Field, Healing, Hepatocellular-Carcinoma, Hospital, Hospital Stay, Information Size, Laparoscopic, Liver, Medicine, </w:t>
      </w:r>
      <w:r w:rsidR="00D5664A">
        <w:rPr>
          <w:kern w:val="0"/>
        </w:rPr>
        <w:t>MEDLINE</w:t>
      </w:r>
      <w:r>
        <w:rPr>
          <w:kern w:val="0"/>
        </w:rPr>
        <w:t xml:space="preserve">, Metaanalyses, Methods, Nhs, Observational, Observational Studies, Open, Open Hepatectomy, Operation, Patients, Practice, Procedure, Prospective, Protocol, Quality, Randomised, Randomized-Trials, Reference, Reference Lists, Removal, Review, Reviews, Risk, River, Science, Science Citation Index, Science Citation Index Expanded, Search, Selection, Trial, Trial Sequential-Analysis, Tumors, </w:t>
      </w:r>
      <w:r w:rsidR="00D5664A">
        <w:rPr>
          <w:kern w:val="0"/>
        </w:rPr>
        <w:t>USA</w:t>
      </w:r>
    </w:p>
    <w:p w:rsidR="003A7151" w:rsidRDefault="003A7151" w:rsidP="003A7151">
      <w:pPr>
        <w:pStyle w:val="a3"/>
        <w:rPr>
          <w:kern w:val="0"/>
        </w:rPr>
      </w:pPr>
      <w:r>
        <w:rPr>
          <w:rFonts w:hint="eastAsia"/>
          <w:kern w:val="0"/>
        </w:rPr>
        <w:t xml:space="preserve">? </w:t>
      </w:r>
      <w:r>
        <w:rPr>
          <w:kern w:val="0"/>
        </w:rPr>
        <w:t>Lau, H.L.C., Kwong, J.S.W., Yeung, F., Chau, P.H.</w:t>
      </w:r>
      <w:r w:rsidR="005853A9">
        <w:rPr>
          <w:kern w:val="0"/>
        </w:rPr>
        <w:t xml:space="preserve"> and </w:t>
      </w:r>
      <w:r>
        <w:rPr>
          <w:kern w:val="0"/>
        </w:rPr>
        <w:t>Woo, J. (2012), Yoga for secondary prevention</w:t>
      </w:r>
      <w:r w:rsidR="00427468">
        <w:rPr>
          <w:kern w:val="0"/>
        </w:rPr>
        <w:t xml:space="preserve"> of </w:t>
      </w:r>
      <w:r>
        <w:rPr>
          <w:kern w:val="0"/>
        </w:rPr>
        <w:t xml:space="preserve">coronary heart disease.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12</w:t>
      </w:r>
      <w:r>
        <w:rPr>
          <w:rFonts w:hint="eastAsia"/>
          <w:kern w:val="0"/>
        </w:rPr>
        <w:t xml:space="preserve">, </w:t>
      </w:r>
      <w:r w:rsidRPr="006939E5">
        <w:rPr>
          <w:kern w:val="0"/>
        </w:rPr>
        <w:t xml:space="preserve">Article Number: </w:t>
      </w:r>
      <w:r w:rsidRPr="003561F2">
        <w:t>CD009506</w:t>
      </w:r>
      <w:r>
        <w:rPr>
          <w:kern w:val="0"/>
        </w:rPr>
        <w:t>.</w:t>
      </w:r>
    </w:p>
    <w:p w:rsidR="003A7151" w:rsidRDefault="003A7151" w:rsidP="003A7151">
      <w:pPr>
        <w:pStyle w:val="a3"/>
      </w:pPr>
      <w:r>
        <w:t>Full Text: 201</w:t>
      </w:r>
      <w:r>
        <w:rPr>
          <w:rFonts w:hint="eastAsia"/>
        </w:rPr>
        <w:t>2</w:t>
      </w:r>
      <w:r>
        <w:t>\Coc Dat Sys Rev201</w:t>
      </w:r>
      <w:r>
        <w:rPr>
          <w:rFonts w:hint="eastAsia"/>
        </w:rPr>
        <w:t>2</w:t>
      </w:r>
      <w:r>
        <w:t xml:space="preserve">, </w:t>
      </w:r>
      <w:r w:rsidRPr="003561F2">
        <w:t>CD009506</w:t>
      </w:r>
      <w:r>
        <w:t>.pdf</w:t>
      </w:r>
    </w:p>
    <w:p w:rsidR="003A7151" w:rsidRDefault="003A7151" w:rsidP="003A7151">
      <w:pPr>
        <w:pStyle w:val="a3"/>
        <w:rPr>
          <w:kern w:val="0"/>
        </w:rPr>
      </w:pPr>
      <w:r>
        <w:rPr>
          <w:kern w:val="0"/>
        </w:rPr>
        <w:t>Abstract: Background Coronary heart disease (CHD) is the major cause</w:t>
      </w:r>
      <w:r w:rsidR="00427468">
        <w:rPr>
          <w:kern w:val="0"/>
        </w:rPr>
        <w:t xml:space="preserve"> of </w:t>
      </w:r>
      <w:r>
        <w:rPr>
          <w:kern w:val="0"/>
        </w:rPr>
        <w:t>early morbidity</w:t>
      </w:r>
      <w:r w:rsidR="005853A9">
        <w:rPr>
          <w:kern w:val="0"/>
        </w:rPr>
        <w:t xml:space="preserve"> and </w:t>
      </w:r>
      <w:r>
        <w:rPr>
          <w:kern w:val="0"/>
        </w:rPr>
        <w:t>mortality in most developed countries. Secondary prevention aims to prevent repeat cardiac events</w:t>
      </w:r>
      <w:r w:rsidR="005853A9">
        <w:rPr>
          <w:kern w:val="0"/>
        </w:rPr>
        <w:t xml:space="preserve"> and </w:t>
      </w:r>
      <w:r>
        <w:rPr>
          <w:kern w:val="0"/>
        </w:rPr>
        <w:t xml:space="preserve">death in people with established CHD. Lifestyle modifications play an important role in secondary prevention. Yoga has been </w:t>
      </w:r>
      <w:r>
        <w:rPr>
          <w:kern w:val="0"/>
        </w:rPr>
        <w:lastRenderedPageBreak/>
        <w:t>regarded as a kind</w:t>
      </w:r>
      <w:r w:rsidR="00427468">
        <w:rPr>
          <w:kern w:val="0"/>
        </w:rPr>
        <w:t xml:space="preserve"> of </w:t>
      </w:r>
      <w:r>
        <w:rPr>
          <w:kern w:val="0"/>
        </w:rPr>
        <w:t>physical activity as well as stress management strategy. Growing evidence suggests the beneficial effects</w:t>
      </w:r>
      <w:r w:rsidR="00427468">
        <w:rPr>
          <w:kern w:val="0"/>
        </w:rPr>
        <w:t xml:space="preserve"> of </w:t>
      </w:r>
      <w:r>
        <w:rPr>
          <w:kern w:val="0"/>
        </w:rPr>
        <w:t>yoga on various ailments. Objectives To determine the effectiveness</w:t>
      </w:r>
      <w:r w:rsidR="00427468">
        <w:rPr>
          <w:kern w:val="0"/>
        </w:rPr>
        <w:t xml:space="preserve"> of </w:t>
      </w:r>
      <w:r>
        <w:rPr>
          <w:kern w:val="0"/>
        </w:rPr>
        <w:t>yoga for secondary prevention</w:t>
      </w:r>
      <w:r w:rsidR="00427468">
        <w:rPr>
          <w:kern w:val="0"/>
        </w:rPr>
        <w:t xml:space="preserve"> of </w:t>
      </w:r>
      <w:r>
        <w:rPr>
          <w:kern w:val="0"/>
        </w:rPr>
        <w:t>mortality, morbidity,</w:t>
      </w:r>
      <w:r w:rsidR="005853A9">
        <w:rPr>
          <w:kern w:val="0"/>
        </w:rPr>
        <w:t xml:space="preserve"> and </w:t>
      </w:r>
      <w:r>
        <w:rPr>
          <w:kern w:val="0"/>
        </w:rPr>
        <w:t>health related quality</w:t>
      </w:r>
      <w:r w:rsidR="00427468">
        <w:rPr>
          <w:kern w:val="0"/>
        </w:rPr>
        <w:t xml:space="preserve"> of </w:t>
      </w:r>
      <w:r>
        <w:rPr>
          <w:kern w:val="0"/>
        </w:rPr>
        <w:t>life</w:t>
      </w:r>
      <w:r w:rsidR="00427468">
        <w:rPr>
          <w:kern w:val="0"/>
        </w:rPr>
        <w:t xml:space="preserve"> of </w:t>
      </w:r>
      <w:r>
        <w:rPr>
          <w:kern w:val="0"/>
        </w:rPr>
        <w:t>patients with CHD. Search methods We searched the Cochrane Central Register</w:t>
      </w:r>
      <w:r w:rsidR="00427468">
        <w:rPr>
          <w:kern w:val="0"/>
        </w:rPr>
        <w:t xml:space="preserve"> of </w:t>
      </w:r>
      <w:r>
        <w:rPr>
          <w:kern w:val="0"/>
        </w:rPr>
        <w:t xml:space="preserve">Controlled Trials (CENTRAL) on The Cochrane Library (2012, Issue 1), </w:t>
      </w:r>
      <w:r w:rsidR="00D5664A">
        <w:rPr>
          <w:kern w:val="0"/>
        </w:rPr>
        <w:t>MEDLINE</w:t>
      </w:r>
      <w:r>
        <w:rPr>
          <w:kern w:val="0"/>
        </w:rPr>
        <w:t xml:space="preserve"> (1948 to January 2012), EMBASE (1980 to January 2012), ISI </w:t>
      </w:r>
      <w:r w:rsidR="00D5664A">
        <w:rPr>
          <w:kern w:val="0"/>
        </w:rPr>
        <w:t>Web</w:t>
      </w:r>
      <w:r w:rsidR="00427468">
        <w:rPr>
          <w:kern w:val="0"/>
        </w:rPr>
        <w:t xml:space="preserve"> of </w:t>
      </w:r>
      <w:r w:rsidR="00D5664A">
        <w:rPr>
          <w:kern w:val="0"/>
        </w:rPr>
        <w:t>Science</w:t>
      </w:r>
      <w:r>
        <w:rPr>
          <w:kern w:val="0"/>
        </w:rPr>
        <w:t xml:space="preserve"> for conference proceedings (1970 to January 2012), China Journal Net (CJN) (1994 to March 2012), WanFang Data (1990 to March 2012),</w:t>
      </w:r>
      <w:r w:rsidR="005853A9">
        <w:rPr>
          <w:kern w:val="0"/>
        </w:rPr>
        <w:t xml:space="preserve"> and </w:t>
      </w:r>
      <w:r>
        <w:rPr>
          <w:kern w:val="0"/>
        </w:rPr>
        <w:t>HKInChiP (from 1980). Ongoing studies were identified in the metaRegister</w:t>
      </w:r>
      <w:r w:rsidR="00427468">
        <w:rPr>
          <w:kern w:val="0"/>
        </w:rPr>
        <w:t xml:space="preserve"> of </w:t>
      </w:r>
      <w:r>
        <w:rPr>
          <w:kern w:val="0"/>
        </w:rPr>
        <w:t>Controlled Trials (April 2012)</w:t>
      </w:r>
      <w:r w:rsidR="005853A9">
        <w:rPr>
          <w:kern w:val="0"/>
        </w:rPr>
        <w:t xml:space="preserve"> and </w:t>
      </w:r>
      <w:r>
        <w:rPr>
          <w:kern w:val="0"/>
        </w:rPr>
        <w:t>the World Health Organization (WHO) International Clinical Trials Registry Platform (April 2012). No language restrictions were applied. Selection criteria We included randomized controlled trials (RCTs) investigating the influence</w:t>
      </w:r>
      <w:r w:rsidR="00427468">
        <w:rPr>
          <w:kern w:val="0"/>
        </w:rPr>
        <w:t xml:space="preserve"> of </w:t>
      </w:r>
      <w:r>
        <w:rPr>
          <w:kern w:val="0"/>
        </w:rPr>
        <w:t>yoga practice on CHD outcomes. We included studies that had at least a six months follow-up period. Men</w:t>
      </w:r>
      <w:r w:rsidR="005853A9">
        <w:rPr>
          <w:kern w:val="0"/>
        </w:rPr>
        <w:t xml:space="preserve"> and </w:t>
      </w:r>
      <w:r>
        <w:rPr>
          <w:kern w:val="0"/>
        </w:rPr>
        <w:t>women (aged 18 years</w:t>
      </w:r>
      <w:r w:rsidR="005853A9">
        <w:rPr>
          <w:kern w:val="0"/>
        </w:rPr>
        <w:t xml:space="preserve"> and </w:t>
      </w:r>
      <w:r>
        <w:rPr>
          <w:kern w:val="0"/>
        </w:rPr>
        <w:t>above) with a diagnosis</w:t>
      </w:r>
      <w:r w:rsidR="00427468">
        <w:rPr>
          <w:kern w:val="0"/>
        </w:rPr>
        <w:t xml:space="preserve"> of </w:t>
      </w:r>
      <w:r>
        <w:rPr>
          <w:kern w:val="0"/>
        </w:rPr>
        <w:t>acute or chronic CHD were included. We included studies with one group practicing a type</w:t>
      </w:r>
      <w:r w:rsidR="00427468">
        <w:rPr>
          <w:kern w:val="0"/>
        </w:rPr>
        <w:t xml:space="preserve"> of </w:t>
      </w:r>
      <w:r>
        <w:rPr>
          <w:kern w:val="0"/>
        </w:rPr>
        <w:t>yoga compared to the control group receiving either no intervention or interventions other than yoga. Data collection</w:t>
      </w:r>
      <w:r w:rsidR="005853A9">
        <w:rPr>
          <w:kern w:val="0"/>
        </w:rPr>
        <w:t xml:space="preserve"> and </w:t>
      </w:r>
      <w:r>
        <w:rPr>
          <w:kern w:val="0"/>
        </w:rPr>
        <w:t>analysis Two authors independently selected studies according to the pre-specified inclusion criteria. Disagreements were resolved by consensus or discussion with a third author. Main results We found no eligible RCTs that met the inclusion criteria</w:t>
      </w:r>
      <w:r w:rsidR="00427468">
        <w:rPr>
          <w:kern w:val="0"/>
        </w:rPr>
        <w:t xml:space="preserve"> of </w:t>
      </w:r>
      <w:r>
        <w:rPr>
          <w:kern w:val="0"/>
        </w:rPr>
        <w:t>the review</w:t>
      </w:r>
      <w:r w:rsidR="005853A9">
        <w:rPr>
          <w:kern w:val="0"/>
        </w:rPr>
        <w:t xml:space="preserve"> and </w:t>
      </w:r>
      <w:r>
        <w:rPr>
          <w:kern w:val="0"/>
        </w:rPr>
        <w:t>thus we were unable to perform a meta-analysis. Authors</w:t>
      </w:r>
      <w:r w:rsidR="0071223E">
        <w:rPr>
          <w:kern w:val="0"/>
        </w:rPr>
        <w:t>’</w:t>
      </w:r>
      <w:r>
        <w:rPr>
          <w:kern w:val="0"/>
        </w:rPr>
        <w:t xml:space="preserve"> conclusions The effectiveness</w:t>
      </w:r>
      <w:r w:rsidR="00427468">
        <w:rPr>
          <w:kern w:val="0"/>
        </w:rPr>
        <w:t xml:space="preserve"> of </w:t>
      </w:r>
      <w:r>
        <w:rPr>
          <w:kern w:val="0"/>
        </w:rPr>
        <w:t>yoga for secondary prevention in CHD remains uncertain. Large RCTs</w:t>
      </w:r>
      <w:r w:rsidR="00427468">
        <w:rPr>
          <w:kern w:val="0"/>
        </w:rPr>
        <w:t xml:space="preserve"> of </w:t>
      </w:r>
      <w:r>
        <w:rPr>
          <w:kern w:val="0"/>
        </w:rPr>
        <w:t>high quality are needed.</w:t>
      </w:r>
    </w:p>
    <w:p w:rsidR="003A7151" w:rsidRDefault="003A7151" w:rsidP="003A7151">
      <w:pPr>
        <w:pStyle w:val="a3"/>
        <w:rPr>
          <w:kern w:val="0"/>
        </w:rPr>
      </w:pPr>
      <w:r>
        <w:rPr>
          <w:kern w:val="0"/>
        </w:rPr>
        <w:t>Keywords: Activity, Aged, Analysis, Authors, China, Chronic, Clinical Trials, Collection, Conference Proceedings, Consensus, Control, Coronary Heart Disease, Criteria, Data Collection, Death, Diagnosis, Disease, Effectiveness, Effects, Embase, Events, Evidence, Follow-Up, Health, Heart, Influence, Intervention, Interventions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Journal, Language, Life, Management, </w:t>
      </w:r>
      <w:r w:rsidR="00D5664A">
        <w:rPr>
          <w:kern w:val="0"/>
        </w:rPr>
        <w:t>MEDLINE</w:t>
      </w:r>
      <w:r>
        <w:rPr>
          <w:kern w:val="0"/>
        </w:rPr>
        <w:t>, Meta Analysis, Meta-Analysis, Metaanalysis, Methods, Morbidity, Mortality, Outcomes, Patients, Physical, Physical Activity, Practice, Prevent, Prevention, Quality, Quality Of, Quality</w:t>
      </w:r>
      <w:r w:rsidR="00427468">
        <w:rPr>
          <w:kern w:val="0"/>
        </w:rPr>
        <w:t xml:space="preserve"> of </w:t>
      </w:r>
      <w:r>
        <w:rPr>
          <w:kern w:val="0"/>
        </w:rPr>
        <w:t xml:space="preserve">Life, Randomized, Randomized Controlled Trials, Restrictions, Review, Role, Science, Search, Strategy, Stress, </w:t>
      </w:r>
      <w:r w:rsidR="00D5664A">
        <w:rPr>
          <w:kern w:val="0"/>
        </w:rPr>
        <w:t>Web</w:t>
      </w:r>
      <w:r w:rsidR="00427468">
        <w:rPr>
          <w:kern w:val="0"/>
        </w:rPr>
        <w:t xml:space="preserve"> of </w:t>
      </w:r>
      <w:r w:rsidR="00D5664A">
        <w:rPr>
          <w:kern w:val="0"/>
        </w:rPr>
        <w:t>Science</w:t>
      </w:r>
      <w:r>
        <w:rPr>
          <w:kern w:val="0"/>
        </w:rPr>
        <w:t>, WHO, Women, World Health Organization</w:t>
      </w:r>
    </w:p>
    <w:p w:rsidR="00365DE4" w:rsidRDefault="00365DE4" w:rsidP="00365DE4">
      <w:pPr>
        <w:pStyle w:val="a3"/>
        <w:rPr>
          <w:kern w:val="0"/>
        </w:rPr>
      </w:pPr>
      <w:r>
        <w:rPr>
          <w:kern w:val="0"/>
        </w:rPr>
        <w:t>? Shepperd, S., Lannin, N.A., Clemson, L.M., McCluskey, A., Cameron, I.D.</w:t>
      </w:r>
      <w:r w:rsidR="005853A9">
        <w:rPr>
          <w:kern w:val="0"/>
        </w:rPr>
        <w:t xml:space="preserve"> and </w:t>
      </w:r>
      <w:r>
        <w:rPr>
          <w:kern w:val="0"/>
        </w:rPr>
        <w:t xml:space="preserve">Barras, S.L. (2013), Discharge planning from hospital to home.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CD000313.</w:t>
      </w:r>
    </w:p>
    <w:p w:rsidR="00365DE4" w:rsidRDefault="00365DE4" w:rsidP="00365DE4">
      <w:pPr>
        <w:pStyle w:val="a3"/>
        <w:rPr>
          <w:kern w:val="2"/>
        </w:rPr>
      </w:pPr>
      <w:r>
        <w:t>Full Text: 2013\Coc Dat Sys Rev2013, CD000313.pdf</w:t>
      </w:r>
    </w:p>
    <w:p w:rsidR="00365DE4" w:rsidRDefault="00365DE4" w:rsidP="00365DE4">
      <w:pPr>
        <w:pStyle w:val="a3"/>
        <w:rPr>
          <w:kern w:val="0"/>
        </w:rPr>
      </w:pPr>
      <w:r>
        <w:rPr>
          <w:kern w:val="0"/>
        </w:rPr>
        <w:t>Abstract: Background Discharge planning is a routine feature</w:t>
      </w:r>
      <w:r w:rsidR="00427468">
        <w:rPr>
          <w:kern w:val="0"/>
        </w:rPr>
        <w:t xml:space="preserve"> of </w:t>
      </w:r>
      <w:r>
        <w:rPr>
          <w:kern w:val="0"/>
        </w:rPr>
        <w:t>health systems in many countries</w:t>
      </w:r>
      <w:r w:rsidR="00A37C1D">
        <w:rPr>
          <w:kern w:val="0"/>
        </w:rPr>
        <w:t>. The</w:t>
      </w:r>
      <w:r>
        <w:rPr>
          <w:kern w:val="0"/>
        </w:rPr>
        <w:t xml:space="preserve"> aim</w:t>
      </w:r>
      <w:r w:rsidR="00427468">
        <w:rPr>
          <w:kern w:val="0"/>
        </w:rPr>
        <w:t xml:space="preserve"> of </w:t>
      </w:r>
      <w:r>
        <w:rPr>
          <w:kern w:val="0"/>
        </w:rPr>
        <w:t>discharge planning is to reduce hospital length</w:t>
      </w:r>
      <w:r w:rsidR="00427468">
        <w:rPr>
          <w:kern w:val="0"/>
        </w:rPr>
        <w:t xml:space="preserve"> of </w:t>
      </w:r>
      <w:r>
        <w:rPr>
          <w:kern w:val="0"/>
        </w:rPr>
        <w:t>stay</w:t>
      </w:r>
      <w:r w:rsidR="005853A9">
        <w:rPr>
          <w:kern w:val="0"/>
        </w:rPr>
        <w:t xml:space="preserve"> and </w:t>
      </w:r>
      <w:r>
        <w:rPr>
          <w:kern w:val="0"/>
        </w:rPr>
        <w:lastRenderedPageBreak/>
        <w:t>unplanned readmission to hospital,</w:t>
      </w:r>
      <w:r w:rsidR="005853A9">
        <w:rPr>
          <w:kern w:val="0"/>
        </w:rPr>
        <w:t xml:space="preserve"> and </w:t>
      </w:r>
      <w:r>
        <w:rPr>
          <w:kern w:val="0"/>
        </w:rPr>
        <w:t>improve the co-ordination</w:t>
      </w:r>
      <w:r w:rsidR="00427468">
        <w:rPr>
          <w:kern w:val="0"/>
        </w:rPr>
        <w:t xml:space="preserve"> of </w:t>
      </w:r>
      <w:r>
        <w:rPr>
          <w:kern w:val="0"/>
        </w:rPr>
        <w:t>services following discharge from hospital. Objectives To determine the effectiveness</w:t>
      </w:r>
      <w:r w:rsidR="00427468">
        <w:rPr>
          <w:kern w:val="0"/>
        </w:rPr>
        <w:t xml:space="preserve"> of </w:t>
      </w:r>
      <w:r>
        <w:rPr>
          <w:kern w:val="0"/>
        </w:rPr>
        <w:t>planning the discharge</w:t>
      </w:r>
      <w:r w:rsidR="00427468">
        <w:rPr>
          <w:kern w:val="0"/>
        </w:rPr>
        <w:t xml:space="preserve"> of </w:t>
      </w:r>
      <w:r>
        <w:rPr>
          <w:kern w:val="0"/>
        </w:rPr>
        <w:t xml:space="preserve">individual patients moving from hospital. Search methods We updated the review using the Cochrane EPOC Group Trials Register, </w:t>
      </w:r>
      <w:r w:rsidR="00D5664A">
        <w:rPr>
          <w:kern w:val="0"/>
        </w:rPr>
        <w:t>MEDLINE</w:t>
      </w:r>
      <w:r>
        <w:rPr>
          <w:kern w:val="0"/>
        </w:rPr>
        <w:t>, EMBASE</w:t>
      </w:r>
      <w:r w:rsidR="005853A9">
        <w:rPr>
          <w:kern w:val="0"/>
        </w:rPr>
        <w:t xml:space="preserve"> and </w:t>
      </w:r>
      <w:r>
        <w:rPr>
          <w:kern w:val="0"/>
        </w:rPr>
        <w:t>the Social Science Citation Index (last searched in March 2012). Selection criteria Randomised controlled trials (RCTs) that compared an individualised discharge plan with routine discharge care that was not tailored to the individual patient. Participants were hospital inpatients. Data collection</w:t>
      </w:r>
      <w:r w:rsidR="005853A9">
        <w:rPr>
          <w:kern w:val="0"/>
        </w:rPr>
        <w:t xml:space="preserve"> and </w:t>
      </w:r>
      <w:r>
        <w:rPr>
          <w:kern w:val="0"/>
        </w:rPr>
        <w:t>analysis Two authors independently undertook data analysis</w:t>
      </w:r>
      <w:r w:rsidR="005853A9">
        <w:rPr>
          <w:kern w:val="0"/>
        </w:rPr>
        <w:t xml:space="preserve"> and </w:t>
      </w:r>
      <w:r>
        <w:rPr>
          <w:kern w:val="0"/>
        </w:rPr>
        <w:t>quality assessment using a pre designed data extraction sheet. Studies are grouped according to patient group (elderly medical patients, patients recovering from surgery</w:t>
      </w:r>
      <w:r w:rsidR="005853A9">
        <w:rPr>
          <w:kern w:val="0"/>
        </w:rPr>
        <w:t xml:space="preserve"> and </w:t>
      </w:r>
      <w:r>
        <w:rPr>
          <w:kern w:val="0"/>
        </w:rPr>
        <w:t>those with a mix</w:t>
      </w:r>
      <w:r w:rsidR="00427468">
        <w:rPr>
          <w:kern w:val="0"/>
        </w:rPr>
        <w:t xml:space="preserve"> of </w:t>
      </w:r>
      <w:r>
        <w:rPr>
          <w:kern w:val="0"/>
        </w:rPr>
        <w:t>conditions)</w:t>
      </w:r>
      <w:r w:rsidR="005853A9">
        <w:rPr>
          <w:kern w:val="0"/>
        </w:rPr>
        <w:t xml:space="preserve"> and </w:t>
      </w:r>
      <w:r>
        <w:rPr>
          <w:kern w:val="0"/>
        </w:rPr>
        <w:t>by outcome. Our statistical analysis was done on an intention to treat basis, we calculated risk ratios for dichotomous outcomes</w:t>
      </w:r>
      <w:r w:rsidR="005853A9">
        <w:rPr>
          <w:kern w:val="0"/>
        </w:rPr>
        <w:t xml:space="preserve"> and </w:t>
      </w:r>
      <w:r>
        <w:rPr>
          <w:kern w:val="0"/>
        </w:rPr>
        <w:t>mean differences for continuous data using fixed-effect meta-analysis. When combining outcome data was not possible, because</w:t>
      </w:r>
      <w:r w:rsidR="00427468">
        <w:rPr>
          <w:kern w:val="0"/>
        </w:rPr>
        <w:t xml:space="preserve"> of </w:t>
      </w:r>
      <w:r>
        <w:rPr>
          <w:kern w:val="0"/>
        </w:rPr>
        <w:t>differences in the reporting</w:t>
      </w:r>
      <w:r w:rsidR="00427468">
        <w:rPr>
          <w:kern w:val="0"/>
        </w:rPr>
        <w:t xml:space="preserve"> of </w:t>
      </w:r>
      <w:r>
        <w:rPr>
          <w:kern w:val="0"/>
        </w:rPr>
        <w:t>outcomes, we have presented the data in narrative summary tables. Main results We included twenty-four RCTs (8098 patients); three RCTS were identified in this update. Sixteen studies recruited older patients with a medical condition, four recruited patients with a mix</w:t>
      </w:r>
      <w:r w:rsidR="00427468">
        <w:rPr>
          <w:kern w:val="0"/>
        </w:rPr>
        <w:t xml:space="preserve"> of </w:t>
      </w:r>
      <w:r>
        <w:rPr>
          <w:kern w:val="0"/>
        </w:rPr>
        <w:t>medical</w:t>
      </w:r>
      <w:r w:rsidR="005853A9">
        <w:rPr>
          <w:kern w:val="0"/>
        </w:rPr>
        <w:t xml:space="preserve"> and </w:t>
      </w:r>
      <w:r>
        <w:rPr>
          <w:kern w:val="0"/>
        </w:rPr>
        <w:t>surgical conditions, one recruited patients from a psychiatric hospital, one from both a psychiatric hospital</w:t>
      </w:r>
      <w:r w:rsidR="005853A9">
        <w:rPr>
          <w:kern w:val="0"/>
        </w:rPr>
        <w:t xml:space="preserve"> and </w:t>
      </w:r>
      <w:r>
        <w:rPr>
          <w:kern w:val="0"/>
        </w:rPr>
        <w:t>from a general hospital,</w:t>
      </w:r>
      <w:r w:rsidR="005853A9">
        <w:rPr>
          <w:kern w:val="0"/>
        </w:rPr>
        <w:t xml:space="preserve"> and </w:t>
      </w:r>
      <w:r>
        <w:rPr>
          <w:kern w:val="0"/>
        </w:rPr>
        <w:t>two trials patients admitted to hospital following a fall (110 patients). Hospital length</w:t>
      </w:r>
      <w:r w:rsidR="00427468">
        <w:rPr>
          <w:kern w:val="0"/>
        </w:rPr>
        <w:t xml:space="preserve"> of </w:t>
      </w:r>
      <w:r>
        <w:rPr>
          <w:kern w:val="0"/>
        </w:rPr>
        <w:t>stay</w:t>
      </w:r>
      <w:r w:rsidR="005853A9">
        <w:rPr>
          <w:kern w:val="0"/>
        </w:rPr>
        <w:t xml:space="preserve"> and </w:t>
      </w:r>
      <w:r>
        <w:rPr>
          <w:kern w:val="0"/>
        </w:rPr>
        <w:t>readmissions to hospital were statistically significantly reduced for patients admitted to hospital with a medical diagnosis</w:t>
      </w:r>
      <w:r w:rsidR="005853A9">
        <w:rPr>
          <w:kern w:val="0"/>
        </w:rPr>
        <w:t xml:space="preserve"> and </w:t>
      </w:r>
      <w:r>
        <w:rPr>
          <w:kern w:val="0"/>
        </w:rPr>
        <w:t>who were allocated to discharge planning (mean difference length</w:t>
      </w:r>
      <w:r w:rsidR="00427468">
        <w:rPr>
          <w:kern w:val="0"/>
        </w:rPr>
        <w:t xml:space="preserve"> of </w:t>
      </w:r>
      <w:r>
        <w:rPr>
          <w:kern w:val="0"/>
        </w:rPr>
        <w:t>stay -0.91, 95% CI -1.55 to -0.27, 10 trials; readmission rates RR 0.82, 95% CI 0.73 to 0.92, 12 trials). For elderly patients with a medical condition there was no statistically significant difference between groups for mortality (RR 0.99, 95% CI 0.78 to 1.25, five trials) or being discharged from hospital to home (RR 1.03, 95% CI 0.93 to 1.14, two trials). This was also the case for trials recruiting patients recovering from surgery</w:t>
      </w:r>
      <w:r w:rsidR="005853A9">
        <w:rPr>
          <w:kern w:val="0"/>
        </w:rPr>
        <w:t xml:space="preserve"> and </w:t>
      </w:r>
      <w:r>
        <w:rPr>
          <w:kern w:val="0"/>
        </w:rPr>
        <w:t>a mix</w:t>
      </w:r>
      <w:r w:rsidR="00427468">
        <w:rPr>
          <w:kern w:val="0"/>
        </w:rPr>
        <w:t xml:space="preserve"> of </w:t>
      </w:r>
      <w:r>
        <w:rPr>
          <w:kern w:val="0"/>
        </w:rPr>
        <w:t>medical</w:t>
      </w:r>
      <w:r w:rsidR="005853A9">
        <w:rPr>
          <w:kern w:val="0"/>
        </w:rPr>
        <w:t xml:space="preserve"> and </w:t>
      </w:r>
      <w:r>
        <w:rPr>
          <w:kern w:val="0"/>
        </w:rPr>
        <w:t>surgical conditions. In three trials, patients allocated to discharge planning reported increased satisfaction</w:t>
      </w:r>
      <w:r w:rsidR="00A37C1D">
        <w:rPr>
          <w:kern w:val="0"/>
        </w:rPr>
        <w:t>. The</w:t>
      </w:r>
      <w:r>
        <w:rPr>
          <w:kern w:val="0"/>
        </w:rPr>
        <w:t>re was little evidence on overall healthcare costs. Authors</w:t>
      </w:r>
      <w:r w:rsidR="0071223E">
        <w:rPr>
          <w:kern w:val="0"/>
        </w:rPr>
        <w:t>’</w:t>
      </w:r>
      <w:r>
        <w:rPr>
          <w:kern w:val="0"/>
        </w:rPr>
        <w:t xml:space="preserve"> conclusions The evidence suggests that a discharge plan tailored to the individual patient probably brings about reductions in hospital length</w:t>
      </w:r>
      <w:r w:rsidR="00427468">
        <w:rPr>
          <w:kern w:val="0"/>
        </w:rPr>
        <w:t xml:space="preserve"> of </w:t>
      </w:r>
      <w:r>
        <w:rPr>
          <w:kern w:val="0"/>
        </w:rPr>
        <w:t>stay</w:t>
      </w:r>
      <w:r w:rsidR="005853A9">
        <w:rPr>
          <w:kern w:val="0"/>
        </w:rPr>
        <w:t xml:space="preserve"> and </w:t>
      </w:r>
      <w:r>
        <w:rPr>
          <w:kern w:val="0"/>
        </w:rPr>
        <w:t>readmission rates for older people admitted to hospital with a medical condition</w:t>
      </w:r>
      <w:r w:rsidR="00A37C1D">
        <w:rPr>
          <w:kern w:val="0"/>
        </w:rPr>
        <w:t>. The</w:t>
      </w:r>
      <w:r>
        <w:rPr>
          <w:kern w:val="0"/>
        </w:rPr>
        <w:t xml:space="preserve"> impact</w:t>
      </w:r>
      <w:r w:rsidR="00427468">
        <w:rPr>
          <w:kern w:val="0"/>
        </w:rPr>
        <w:t xml:space="preserve"> of </w:t>
      </w:r>
      <w:r>
        <w:rPr>
          <w:kern w:val="0"/>
        </w:rPr>
        <w:t>discharge planning on mortality, health outcomes</w:t>
      </w:r>
      <w:r w:rsidR="005853A9">
        <w:rPr>
          <w:kern w:val="0"/>
        </w:rPr>
        <w:t xml:space="preserve"> and </w:t>
      </w:r>
      <w:r>
        <w:rPr>
          <w:kern w:val="0"/>
        </w:rPr>
        <w:t>cost remains uncertain.</w:t>
      </w:r>
    </w:p>
    <w:p w:rsidR="00365DE4" w:rsidRDefault="00365DE4" w:rsidP="00365DE4">
      <w:pPr>
        <w:pStyle w:val="a3"/>
        <w:rPr>
          <w:kern w:val="0"/>
        </w:rPr>
      </w:pPr>
      <w:r>
        <w:rPr>
          <w:kern w:val="0"/>
        </w:rPr>
        <w:t xml:space="preserve">Keywords: Analysis, Assessment, Authors, Care, Citation, Collection, Combining, Coordination, Cost, Costs, Criteria, Data, Data Analysis, Data Collection, Diagnosis, Discharge, Effectiveness, Elderly, Embase, Evidence, Extraction, Feature, General, Groups, Health, Health Outcomes, Health Systems, Healthcare Costs, Hospital, </w:t>
      </w:r>
      <w:r>
        <w:rPr>
          <w:kern w:val="0"/>
        </w:rPr>
        <w:lastRenderedPageBreak/>
        <w:t>Impact, Inpatients, Length, Length</w:t>
      </w:r>
      <w:r w:rsidR="00427468">
        <w:rPr>
          <w:kern w:val="0"/>
        </w:rPr>
        <w:t xml:space="preserve"> of </w:t>
      </w:r>
      <w:r>
        <w:rPr>
          <w:kern w:val="0"/>
        </w:rPr>
        <w:t xml:space="preserve">Stay, Medical, </w:t>
      </w:r>
      <w:r w:rsidR="00D5664A">
        <w:rPr>
          <w:kern w:val="0"/>
        </w:rPr>
        <w:t>MEDLINE</w:t>
      </w:r>
      <w:r>
        <w:rPr>
          <w:kern w:val="0"/>
        </w:rPr>
        <w:t>, Meta Analysis, Meta-Analysis, Metaanalysis, Methods, Mortality, Older People, Outcome, Outcomes, Patients, Planning, Quality, Randomised Controlled Trials, Rates, RCT, Readmission, Readmissions, Reporting, Review, Risk, Satisfaction, Science, Science Citation Index, Search, Services, Social Science Citation Index, Statistical Analysis, Surgery, Systems</w:t>
      </w:r>
    </w:p>
    <w:p w:rsidR="00365DE4" w:rsidRDefault="00365DE4" w:rsidP="00365DE4">
      <w:pPr>
        <w:pStyle w:val="a3"/>
        <w:rPr>
          <w:kern w:val="0"/>
        </w:rPr>
      </w:pPr>
      <w:r>
        <w:rPr>
          <w:kern w:val="0"/>
        </w:rPr>
        <w:t>? Wang, B., Zhan, S.Y., Gong, T.</w:t>
      </w:r>
      <w:r w:rsidR="005853A9">
        <w:rPr>
          <w:kern w:val="0"/>
        </w:rPr>
        <w:t xml:space="preserve"> and </w:t>
      </w:r>
      <w:r>
        <w:rPr>
          <w:kern w:val="0"/>
        </w:rPr>
        <w:t>Lee, L. (2013), Iron therapy for improving psychomotor development</w:t>
      </w:r>
      <w:r w:rsidR="005853A9">
        <w:rPr>
          <w:kern w:val="0"/>
        </w:rPr>
        <w:t xml:space="preserve"> and </w:t>
      </w:r>
      <w:r>
        <w:rPr>
          <w:kern w:val="0"/>
        </w:rPr>
        <w:t>cognitive function in children under the age</w:t>
      </w:r>
      <w:r w:rsidR="00427468">
        <w:rPr>
          <w:kern w:val="0"/>
        </w:rPr>
        <w:t xml:space="preserve"> of </w:t>
      </w:r>
      <w:r>
        <w:rPr>
          <w:kern w:val="0"/>
        </w:rPr>
        <w:t xml:space="preserve">three with iron deficiency anaemia.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CD001444.</w:t>
      </w:r>
    </w:p>
    <w:p w:rsidR="00365DE4" w:rsidRDefault="00365DE4" w:rsidP="00365DE4">
      <w:pPr>
        <w:pStyle w:val="a3"/>
        <w:rPr>
          <w:kern w:val="2"/>
        </w:rPr>
      </w:pPr>
      <w:r>
        <w:t>Full Text: 2013\Coc Dat Sys Rev2013, CD001444.pdf</w:t>
      </w:r>
    </w:p>
    <w:p w:rsidR="00365DE4" w:rsidRDefault="00365DE4" w:rsidP="00365DE4">
      <w:pPr>
        <w:pStyle w:val="a3"/>
        <w:rPr>
          <w:kern w:val="0"/>
        </w:rPr>
      </w:pPr>
      <w:r>
        <w:rPr>
          <w:kern w:val="0"/>
        </w:rPr>
        <w:t>Abstract: Background Iron deficiency</w:t>
      </w:r>
      <w:r w:rsidR="005853A9">
        <w:rPr>
          <w:kern w:val="0"/>
        </w:rPr>
        <w:t xml:space="preserve"> and </w:t>
      </w:r>
      <w:r>
        <w:rPr>
          <w:kern w:val="0"/>
        </w:rPr>
        <w:t>iron deficiency anaemia (IDA) are common in young children. It has been suggested that the lack</w:t>
      </w:r>
      <w:r w:rsidR="00427468">
        <w:rPr>
          <w:kern w:val="0"/>
        </w:rPr>
        <w:t xml:space="preserve"> of </w:t>
      </w:r>
      <w:r>
        <w:rPr>
          <w:kern w:val="0"/>
        </w:rPr>
        <w:t>iron may have deleterious effects on children</w:t>
      </w:r>
      <w:r w:rsidR="0071223E">
        <w:rPr>
          <w:kern w:val="0"/>
        </w:rPr>
        <w:t>’</w:t>
      </w:r>
      <w:r>
        <w:rPr>
          <w:kern w:val="0"/>
        </w:rPr>
        <w:t>s psychomotor development</w:t>
      </w:r>
      <w:r w:rsidR="005853A9">
        <w:rPr>
          <w:kern w:val="0"/>
        </w:rPr>
        <w:t xml:space="preserve"> and </w:t>
      </w:r>
      <w:r>
        <w:rPr>
          <w:kern w:val="0"/>
        </w:rPr>
        <w:t>cognitive function. To evaluate the benefits</w:t>
      </w:r>
      <w:r w:rsidR="00427468">
        <w:rPr>
          <w:kern w:val="0"/>
        </w:rPr>
        <w:t xml:space="preserve"> of </w:t>
      </w:r>
      <w:r>
        <w:rPr>
          <w:kern w:val="0"/>
        </w:rPr>
        <w:t>iron therapy on psychomotor development</w:t>
      </w:r>
      <w:r w:rsidR="005853A9">
        <w:rPr>
          <w:kern w:val="0"/>
        </w:rPr>
        <w:t xml:space="preserve"> and </w:t>
      </w:r>
      <w:r>
        <w:rPr>
          <w:kern w:val="0"/>
        </w:rPr>
        <w:t>cognitive function in children with IDA, a Cochrane review was carried out in 2001. This is an update</w:t>
      </w:r>
      <w:r w:rsidR="00427468">
        <w:rPr>
          <w:kern w:val="0"/>
        </w:rPr>
        <w:t xml:space="preserve"> of </w:t>
      </w:r>
      <w:r>
        <w:rPr>
          <w:kern w:val="0"/>
        </w:rPr>
        <w:t>that review. Objectives To determine the effects</w:t>
      </w:r>
      <w:r w:rsidR="00427468">
        <w:rPr>
          <w:kern w:val="0"/>
        </w:rPr>
        <w:t xml:space="preserve"> of </w:t>
      </w:r>
      <w:r>
        <w:rPr>
          <w:kern w:val="0"/>
        </w:rPr>
        <w:t>iron therapy on psychomotor development</w:t>
      </w:r>
      <w:r w:rsidR="005853A9">
        <w:rPr>
          <w:kern w:val="0"/>
        </w:rPr>
        <w:t xml:space="preserve"> and </w:t>
      </w:r>
      <w:r>
        <w:rPr>
          <w:kern w:val="0"/>
        </w:rPr>
        <w:t>cognitive function in iron deficient anaemic children less than three years</w:t>
      </w:r>
      <w:r w:rsidR="00427468">
        <w:rPr>
          <w:kern w:val="0"/>
        </w:rPr>
        <w:t xml:space="preserve"> of </w:t>
      </w:r>
      <w:r>
        <w:rPr>
          <w:kern w:val="0"/>
        </w:rPr>
        <w:t>age. Search methods We searched the following databases in April 2013: Cochrane Central Register</w:t>
      </w:r>
      <w:r w:rsidR="00427468">
        <w:rPr>
          <w:kern w:val="0"/>
        </w:rPr>
        <w:t xml:space="preserve"> of </w:t>
      </w:r>
      <w:r>
        <w:rPr>
          <w:kern w:val="0"/>
        </w:rPr>
        <w:t xml:space="preserve">Controlled Trials (CENTRAL), </w:t>
      </w:r>
      <w:r w:rsidR="00D5664A">
        <w:rPr>
          <w:kern w:val="0"/>
        </w:rPr>
        <w:t>MEDLINE</w:t>
      </w:r>
      <w:r>
        <w:rPr>
          <w:kern w:val="0"/>
        </w:rPr>
        <w:t>, EMBASE, CINAHL, PsycINFO, LILACS, ClinicalTrials.gov</w:t>
      </w:r>
      <w:r w:rsidR="005853A9">
        <w:rPr>
          <w:kern w:val="0"/>
        </w:rPr>
        <w:t xml:space="preserve"> and </w:t>
      </w:r>
      <w:r>
        <w:rPr>
          <w:kern w:val="0"/>
        </w:rPr>
        <w:t>World Health Organization International Clinical Trials Registry Platform (ICTRP). We also searched the reference lists</w:t>
      </w:r>
      <w:r w:rsidR="00427468">
        <w:rPr>
          <w:kern w:val="0"/>
        </w:rPr>
        <w:t xml:space="preserve"> of </w:t>
      </w:r>
      <w:r>
        <w:rPr>
          <w:kern w:val="0"/>
        </w:rPr>
        <w:t>review articles</w:t>
      </w:r>
      <w:r w:rsidR="005853A9">
        <w:rPr>
          <w:kern w:val="0"/>
        </w:rPr>
        <w:t xml:space="preserve"> and </w:t>
      </w:r>
      <w:r>
        <w:rPr>
          <w:kern w:val="0"/>
        </w:rPr>
        <w:t>reports,</w:t>
      </w:r>
      <w:r w:rsidR="005853A9">
        <w:rPr>
          <w:kern w:val="0"/>
        </w:rPr>
        <w:t xml:space="preserve"> and </w:t>
      </w:r>
      <w:r>
        <w:rPr>
          <w:kern w:val="0"/>
        </w:rPr>
        <w:t>ran citation searches in the Science Citation Index for relevant studies identified by the primary search. We also contacted key authors. Selection criteria Studies were included if children less than three years</w:t>
      </w:r>
      <w:r w:rsidR="00427468">
        <w:rPr>
          <w:kern w:val="0"/>
        </w:rPr>
        <w:t xml:space="preserve"> of </w:t>
      </w:r>
      <w:r>
        <w:rPr>
          <w:kern w:val="0"/>
        </w:rPr>
        <w:t>age with evidence</w:t>
      </w:r>
      <w:r w:rsidR="00427468">
        <w:rPr>
          <w:kern w:val="0"/>
        </w:rPr>
        <w:t xml:space="preserve"> of </w:t>
      </w:r>
      <w:r>
        <w:rPr>
          <w:kern w:val="0"/>
        </w:rPr>
        <w:t>IDA were randomly allocated to iron or iron plus vitamin C versus a placebo or vitamin C alone,</w:t>
      </w:r>
      <w:r w:rsidR="005853A9">
        <w:rPr>
          <w:kern w:val="0"/>
        </w:rPr>
        <w:t xml:space="preserve"> and </w:t>
      </w:r>
      <w:r>
        <w:rPr>
          <w:kern w:val="0"/>
        </w:rPr>
        <w:t>assessment</w:t>
      </w:r>
      <w:r w:rsidR="00427468">
        <w:rPr>
          <w:kern w:val="0"/>
        </w:rPr>
        <w:t xml:space="preserve"> of </w:t>
      </w:r>
      <w:r>
        <w:rPr>
          <w:kern w:val="0"/>
        </w:rPr>
        <w:t>developmental status or cognitive function was carried out using standardised tests by observers blind to treatment allocation. Data collection</w:t>
      </w:r>
      <w:r w:rsidR="005853A9">
        <w:rPr>
          <w:kern w:val="0"/>
        </w:rPr>
        <w:t xml:space="preserve"> and </w:t>
      </w:r>
      <w:r>
        <w:rPr>
          <w:kern w:val="0"/>
        </w:rPr>
        <w:t>analysis Two review authors independently screened titles</w:t>
      </w:r>
      <w:r w:rsidR="005853A9">
        <w:rPr>
          <w:kern w:val="0"/>
        </w:rPr>
        <w:t xml:space="preserve"> and </w:t>
      </w:r>
      <w:r>
        <w:rPr>
          <w:kern w:val="0"/>
        </w:rPr>
        <w:t>abstracts retrieved from the searches</w:t>
      </w:r>
      <w:r w:rsidR="005853A9">
        <w:rPr>
          <w:kern w:val="0"/>
        </w:rPr>
        <w:t xml:space="preserve"> and </w:t>
      </w:r>
      <w:r>
        <w:rPr>
          <w:kern w:val="0"/>
        </w:rPr>
        <w:t>assessed full-text copies</w:t>
      </w:r>
      <w:r w:rsidR="00427468">
        <w:rPr>
          <w:kern w:val="0"/>
        </w:rPr>
        <w:t xml:space="preserve"> of </w:t>
      </w:r>
      <w:r>
        <w:rPr>
          <w:kern w:val="0"/>
        </w:rPr>
        <w:t>all potentially relevant studies against the inclusion criteria</w:t>
      </w:r>
      <w:r w:rsidR="00A37C1D">
        <w:rPr>
          <w:kern w:val="0"/>
        </w:rPr>
        <w:t>. The</w:t>
      </w:r>
      <w:r>
        <w:rPr>
          <w:kern w:val="0"/>
        </w:rPr>
        <w:t xml:space="preserve"> same review authors independently extracted data</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the eligible studies. Data were analysed separately depending on whether assessments were performed within one month</w:t>
      </w:r>
      <w:r w:rsidR="00427468">
        <w:rPr>
          <w:kern w:val="0"/>
        </w:rPr>
        <w:t xml:space="preserve"> of </w:t>
      </w:r>
      <w:r>
        <w:rPr>
          <w:kern w:val="0"/>
        </w:rPr>
        <w:t>beginning iron therapy or after one month. Main results We identified one eligible study in the update search that had not been included in the original review. In total, we included eight trials. Six trials, including 225 children with IDA, examined the effects</w:t>
      </w:r>
      <w:r w:rsidR="00427468">
        <w:rPr>
          <w:kern w:val="0"/>
        </w:rPr>
        <w:t xml:space="preserve"> of </w:t>
      </w:r>
      <w:r>
        <w:rPr>
          <w:kern w:val="0"/>
        </w:rPr>
        <w:t>iron therapy on measures</w:t>
      </w:r>
      <w:r w:rsidR="00427468">
        <w:rPr>
          <w:kern w:val="0"/>
        </w:rPr>
        <w:t xml:space="preserve"> of </w:t>
      </w:r>
      <w:r>
        <w:rPr>
          <w:kern w:val="0"/>
        </w:rPr>
        <w:t>psychomotor development</w:t>
      </w:r>
      <w:r w:rsidR="005853A9">
        <w:rPr>
          <w:kern w:val="0"/>
        </w:rPr>
        <w:t xml:space="preserve"> and </w:t>
      </w:r>
      <w:r>
        <w:rPr>
          <w:kern w:val="0"/>
        </w:rPr>
        <w:t>cognitive function within 30 days</w:t>
      </w:r>
      <w:r w:rsidR="00427468">
        <w:rPr>
          <w:kern w:val="0"/>
        </w:rPr>
        <w:t xml:space="preserve"> of </w:t>
      </w:r>
      <w:r>
        <w:rPr>
          <w:kern w:val="0"/>
        </w:rPr>
        <w:t>commencement</w:t>
      </w:r>
      <w:r w:rsidR="00427468">
        <w:rPr>
          <w:kern w:val="0"/>
        </w:rPr>
        <w:t xml:space="preserve"> of </w:t>
      </w:r>
      <w:r>
        <w:rPr>
          <w:kern w:val="0"/>
        </w:rPr>
        <w:t>therapy. We could pool data from five trials</w:t>
      </w:r>
      <w:r w:rsidR="00A37C1D">
        <w:rPr>
          <w:kern w:val="0"/>
        </w:rPr>
        <w:t>. The</w:t>
      </w:r>
      <w:r>
        <w:rPr>
          <w:kern w:val="0"/>
        </w:rPr>
        <w:t xml:space="preserve"> pooled difference in pre-to </w:t>
      </w:r>
      <w:r>
        <w:rPr>
          <w:kern w:val="0"/>
        </w:rPr>
        <w:lastRenderedPageBreak/>
        <w:t>post-treatment change in Bayley Scale Psychomotor Development Index (PDI) between iron</w:t>
      </w:r>
      <w:r w:rsidR="005853A9">
        <w:rPr>
          <w:kern w:val="0"/>
        </w:rPr>
        <w:t xml:space="preserve"> and </w:t>
      </w:r>
      <w:r>
        <w:rPr>
          <w:kern w:val="0"/>
        </w:rPr>
        <w:t>placebo groups was -1.25 (95% confidence interval (CI) -4.56 to 2.06, P value = 0.65; I-2 = 33% for heterogeneity, random-effects meta-analysis; low quality evidence)</w:t>
      </w:r>
      <w:r w:rsidR="005853A9">
        <w:rPr>
          <w:kern w:val="0"/>
        </w:rPr>
        <w:t xml:space="preserve"> and </w:t>
      </w:r>
      <w:r>
        <w:rPr>
          <w:kern w:val="0"/>
        </w:rPr>
        <w:t>in Bayley Scale Mental Development Index (MDI) was 1.04 (95% CI -1.30 to 3.39, P value = 0.79; I-2 = 31% for heterogeneity, random-effects meta-analysis; low quality evidence). Two studies, including 160 randomised children with IDA, examined the effects</w:t>
      </w:r>
      <w:r w:rsidR="00427468">
        <w:rPr>
          <w:kern w:val="0"/>
        </w:rPr>
        <w:t xml:space="preserve"> of </w:t>
      </w:r>
      <w:r>
        <w:rPr>
          <w:kern w:val="0"/>
        </w:rPr>
        <w:t>iron therapy on measures</w:t>
      </w:r>
      <w:r w:rsidR="00427468">
        <w:rPr>
          <w:kern w:val="0"/>
        </w:rPr>
        <w:t xml:space="preserve"> of </w:t>
      </w:r>
      <w:r>
        <w:rPr>
          <w:kern w:val="0"/>
        </w:rPr>
        <w:t>psychomotor development</w:t>
      </w:r>
      <w:r w:rsidR="005853A9">
        <w:rPr>
          <w:kern w:val="0"/>
        </w:rPr>
        <w:t xml:space="preserve"> and </w:t>
      </w:r>
      <w:r>
        <w:rPr>
          <w:kern w:val="0"/>
        </w:rPr>
        <w:t>cognitive function more than 30 days after commencement</w:t>
      </w:r>
      <w:r w:rsidR="00427468">
        <w:rPr>
          <w:kern w:val="0"/>
        </w:rPr>
        <w:t xml:space="preserve"> of </w:t>
      </w:r>
      <w:r>
        <w:rPr>
          <w:kern w:val="0"/>
        </w:rPr>
        <w:t>therapy. One</w:t>
      </w:r>
      <w:r w:rsidR="00427468">
        <w:rPr>
          <w:kern w:val="0"/>
        </w:rPr>
        <w:t xml:space="preserve"> of </w:t>
      </w:r>
      <w:r>
        <w:rPr>
          <w:kern w:val="0"/>
        </w:rPr>
        <w:t>the studies reported the mean number</w:t>
      </w:r>
      <w:r w:rsidR="00427468">
        <w:rPr>
          <w:kern w:val="0"/>
        </w:rPr>
        <w:t xml:space="preserve"> of </w:t>
      </w:r>
      <w:r>
        <w:rPr>
          <w:kern w:val="0"/>
        </w:rPr>
        <w:t>skills gained after two months</w:t>
      </w:r>
      <w:r w:rsidR="00427468">
        <w:rPr>
          <w:kern w:val="0"/>
        </w:rPr>
        <w:t xml:space="preserve"> of </w:t>
      </w:r>
      <w:r>
        <w:rPr>
          <w:kern w:val="0"/>
        </w:rPr>
        <w:t>iron therapy using the Denver Developmental Screening Test</w:t>
      </w:r>
      <w:r w:rsidR="00A37C1D">
        <w:rPr>
          <w:kern w:val="0"/>
        </w:rPr>
        <w:t>. The</w:t>
      </w:r>
      <w:r>
        <w:rPr>
          <w:kern w:val="0"/>
        </w:rPr>
        <w:t xml:space="preserve"> intervention group gained 0.8 (95% CI -0.18 to 1.78, P value = 0.11, moderate quality</w:t>
      </w:r>
      <w:r w:rsidR="00427468">
        <w:rPr>
          <w:kern w:val="0"/>
        </w:rPr>
        <w:t xml:space="preserve"> of </w:t>
      </w:r>
      <w:r>
        <w:rPr>
          <w:kern w:val="0"/>
        </w:rPr>
        <w:t>evidence) more skills on average than the control group</w:t>
      </w:r>
      <w:r w:rsidR="00A37C1D">
        <w:rPr>
          <w:kern w:val="0"/>
        </w:rPr>
        <w:t>. The</w:t>
      </w:r>
      <w:r>
        <w:rPr>
          <w:kern w:val="0"/>
        </w:rPr>
        <w:t xml:space="preserve"> other study reported that the difference in pre-to post-treatment change in Bayley Scale PDI between iron-treated</w:t>
      </w:r>
      <w:r w:rsidR="005853A9">
        <w:rPr>
          <w:kern w:val="0"/>
        </w:rPr>
        <w:t xml:space="preserve"> and </w:t>
      </w:r>
      <w:r>
        <w:rPr>
          <w:kern w:val="0"/>
        </w:rPr>
        <w:t>placebo groups after four months was 18.40 (95% CI 10.16 to 26.64, P value &lt; 0.0001; moderate quality evidence)</w:t>
      </w:r>
      <w:r w:rsidR="005853A9">
        <w:rPr>
          <w:kern w:val="0"/>
        </w:rPr>
        <w:t xml:space="preserve"> and </w:t>
      </w:r>
      <w:r>
        <w:rPr>
          <w:kern w:val="0"/>
        </w:rPr>
        <w:t>in Bayley Scale MDI was 18.80 (95% CI 10.17 to 27.43, P value &lt; 0.0001; moderate quality evidence). Authors</w:t>
      </w:r>
      <w:r w:rsidR="0071223E">
        <w:rPr>
          <w:kern w:val="0"/>
        </w:rPr>
        <w:t>’</w:t>
      </w:r>
      <w:r>
        <w:rPr>
          <w:kern w:val="0"/>
        </w:rPr>
        <w:t xml:space="preserve"> conclusions There is no convincing evidence that iron treatment</w:t>
      </w:r>
      <w:r w:rsidR="00427468">
        <w:rPr>
          <w:kern w:val="0"/>
        </w:rPr>
        <w:t xml:space="preserve"> of </w:t>
      </w:r>
      <w:r>
        <w:rPr>
          <w:kern w:val="0"/>
        </w:rPr>
        <w:t>young children with IDA has an effect on psychomotor development or cognitive function within 30 days after commencement</w:t>
      </w:r>
      <w:r w:rsidR="00427468">
        <w:rPr>
          <w:kern w:val="0"/>
        </w:rPr>
        <w:t xml:space="preserve"> of </w:t>
      </w:r>
      <w:r>
        <w:rPr>
          <w:kern w:val="0"/>
        </w:rPr>
        <w:t>therapy</w:t>
      </w:r>
      <w:r w:rsidR="00A37C1D">
        <w:rPr>
          <w:kern w:val="0"/>
        </w:rPr>
        <w:t>. The</w:t>
      </w:r>
      <w:r>
        <w:rPr>
          <w:kern w:val="0"/>
        </w:rPr>
        <w:t xml:space="preserve"> effect</w:t>
      </w:r>
      <w:r w:rsidR="00427468">
        <w:rPr>
          <w:kern w:val="0"/>
        </w:rPr>
        <w:t xml:space="preserve"> of </w:t>
      </w:r>
      <w:r>
        <w:rPr>
          <w:kern w:val="0"/>
        </w:rPr>
        <w:t>longer-term treatment remains unclear</w:t>
      </w:r>
      <w:r w:rsidR="00A37C1D">
        <w:rPr>
          <w:kern w:val="0"/>
        </w:rPr>
        <w:t>. The</w:t>
      </w:r>
      <w:r>
        <w:rPr>
          <w:kern w:val="0"/>
        </w:rPr>
        <w:t>re is an urgent need for further large randomised controlled trials with long-term follow-up.</w:t>
      </w:r>
    </w:p>
    <w:p w:rsidR="00365DE4" w:rsidRDefault="00365DE4" w:rsidP="00365DE4">
      <w:pPr>
        <w:pStyle w:val="a3"/>
        <w:rPr>
          <w:kern w:val="0"/>
        </w:rPr>
      </w:pPr>
      <w:r>
        <w:rPr>
          <w:kern w:val="0"/>
        </w:rPr>
        <w:t xml:space="preserve">Keywords: Age, Allocation, Anaemia, Analysis, Anemia,Iron-Deficiency [Complications, Ascorbic Acid [Therapeutic Use], Assessment, Assessments, Authors, Behavior, Benefits, Bias, Brain Iron, Child, Children, China, Citation, Clinical Trials, Cognition [Drug Effects], Collection, Confidence, Control, Criteria, Data, Data Collection, Databases, Development, Drug Therapy], Effects, Embase, Evidence, Follow-Up, Function, Groups, Heterogeneity, Humans, Infant, Infants, Interval, Intervention, Iron, Iron [Therapeutic Use], Long Term, Long-Term, Long-Term Follow-Up, Medicine, </w:t>
      </w:r>
      <w:r w:rsidR="00D5664A">
        <w:rPr>
          <w:kern w:val="0"/>
        </w:rPr>
        <w:t>MEDLINE</w:t>
      </w:r>
      <w:r>
        <w:rPr>
          <w:kern w:val="0"/>
        </w:rPr>
        <w:t xml:space="preserve">, Meta Analysis, Meta-Analysis, Metaanalysis, Methods, Motor, Observers, P, Performance, Placebo, Preschool, Primary, Psychomotor Performance [Drug Effects], Psycinfo, Quality, Quality Of, R, Randomised, Randomised Controlled Trials, Randomized Controlled Trials As Topic, Reference, Reference Lists, Review, Risk, River, Scale, Science, Science Citation Index, Scores, Screening, Search, Supplementation, Test, Therapy, Time Factors, Treatment, Treatment Outcome, Trials, </w:t>
      </w:r>
      <w:r w:rsidR="00D5664A">
        <w:rPr>
          <w:kern w:val="0"/>
        </w:rPr>
        <w:t>USA</w:t>
      </w:r>
      <w:r>
        <w:rPr>
          <w:kern w:val="0"/>
        </w:rPr>
        <w:t>, Value, Vitamin, Vitamin C, World Health Organization</w:t>
      </w:r>
    </w:p>
    <w:p w:rsidR="00365DE4" w:rsidRDefault="00365DE4" w:rsidP="00365DE4">
      <w:pPr>
        <w:pStyle w:val="a3"/>
        <w:rPr>
          <w:kern w:val="0"/>
        </w:rPr>
      </w:pPr>
      <w:r>
        <w:rPr>
          <w:kern w:val="0"/>
        </w:rPr>
        <w:t>? Gan, T., Chen, J., Jin, S.L.J.</w:t>
      </w:r>
      <w:r w:rsidR="005853A9">
        <w:rPr>
          <w:kern w:val="0"/>
        </w:rPr>
        <w:t xml:space="preserve"> and </w:t>
      </w:r>
      <w:r>
        <w:rPr>
          <w:kern w:val="0"/>
        </w:rPr>
        <w:t xml:space="preserve">Wang, Y.P. (2013), Chinese medicinal herbs for cholelithiasis.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CD004547.</w:t>
      </w:r>
    </w:p>
    <w:p w:rsidR="00365DE4" w:rsidRDefault="00365DE4" w:rsidP="00365DE4">
      <w:pPr>
        <w:pStyle w:val="a3"/>
        <w:rPr>
          <w:kern w:val="2"/>
        </w:rPr>
      </w:pPr>
      <w:r>
        <w:lastRenderedPageBreak/>
        <w:t>Full Text: 2013\Coc Dat Sys Rev2013, CD004547.pdf</w:t>
      </w:r>
    </w:p>
    <w:p w:rsidR="00365DE4" w:rsidRDefault="00365DE4" w:rsidP="00365DE4">
      <w:pPr>
        <w:pStyle w:val="a3"/>
        <w:rPr>
          <w:kern w:val="0"/>
        </w:rPr>
      </w:pPr>
      <w:r>
        <w:rPr>
          <w:kern w:val="0"/>
        </w:rPr>
        <w:t>Abstract: Background Cholelithiasis is a common disease</w:t>
      </w:r>
      <w:r w:rsidR="00427468">
        <w:rPr>
          <w:kern w:val="0"/>
        </w:rPr>
        <w:t xml:space="preserve"> of </w:t>
      </w:r>
      <w:r>
        <w:rPr>
          <w:kern w:val="0"/>
        </w:rPr>
        <w:t>the biliary tract. Chinese medicinal herbs are being used widely as an alternative treatment in people with cholelithiasis, but their beneficial or harmful effects have not been assessed systematically. Objectives To assess the beneficial</w:t>
      </w:r>
      <w:r w:rsidR="005853A9">
        <w:rPr>
          <w:kern w:val="0"/>
        </w:rPr>
        <w:t xml:space="preserve"> and </w:t>
      </w:r>
      <w:r>
        <w:rPr>
          <w:kern w:val="0"/>
        </w:rPr>
        <w:t>harmful effects</w:t>
      </w:r>
      <w:r w:rsidR="00427468">
        <w:rPr>
          <w:kern w:val="0"/>
        </w:rPr>
        <w:t xml:space="preserve"> of </w:t>
      </w:r>
      <w:r>
        <w:rPr>
          <w:kern w:val="0"/>
        </w:rPr>
        <w:t>Chinese medicinal herbs in people with cholelithiasis. Search methods We conducted searches in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Chinese Medicine Conference Disc,</w:t>
      </w:r>
      <w:r w:rsidR="005853A9">
        <w:rPr>
          <w:kern w:val="0"/>
        </w:rPr>
        <w:t xml:space="preserve"> and </w:t>
      </w:r>
      <w:r>
        <w:rPr>
          <w:kern w:val="0"/>
        </w:rPr>
        <w:t>Chinese Bio-Medicine Disc to January 2013. We handsearched four Chinese journals. No language or year</w:t>
      </w:r>
      <w:r w:rsidR="00427468">
        <w:rPr>
          <w:kern w:val="0"/>
        </w:rPr>
        <w:t xml:space="preserve"> of </w:t>
      </w:r>
      <w:r>
        <w:rPr>
          <w:kern w:val="0"/>
        </w:rPr>
        <w:t>publication restrictions were applied. Selection criteria Randomised clinical trials studying Chinese medicinal herbs for treatment</w:t>
      </w:r>
      <w:r w:rsidR="00427468">
        <w:rPr>
          <w:kern w:val="0"/>
        </w:rPr>
        <w:t xml:space="preserve"> of </w:t>
      </w:r>
      <w:r>
        <w:rPr>
          <w:kern w:val="0"/>
        </w:rPr>
        <w:t>cholelithiasis. Data collection</w:t>
      </w:r>
      <w:r w:rsidR="005853A9">
        <w:rPr>
          <w:kern w:val="0"/>
        </w:rPr>
        <w:t xml:space="preserve"> and </w:t>
      </w:r>
      <w:r>
        <w:rPr>
          <w:kern w:val="0"/>
        </w:rPr>
        <w:t>analysis Two review authors (SJ, TG) independently extracted data. For dichotomous data, we estimated the risk ratio (RR),</w:t>
      </w:r>
      <w:r w:rsidR="005853A9">
        <w:rPr>
          <w:kern w:val="0"/>
        </w:rPr>
        <w:t xml:space="preserve"> and </w:t>
      </w:r>
      <w:r>
        <w:rPr>
          <w:kern w:val="0"/>
        </w:rPr>
        <w:t>for continuous data, we calculated the mean difference. We also calculated 95% confidence intervals (CI). Main results Eleven randomised trials with 1205 participants with asymptomatic or mild-to-moderate cholelithiasis were included. None</w:t>
      </w:r>
      <w:r w:rsidR="00427468">
        <w:rPr>
          <w:kern w:val="0"/>
        </w:rPr>
        <w:t xml:space="preserve"> of </w:t>
      </w:r>
      <w:r>
        <w:rPr>
          <w:kern w:val="0"/>
        </w:rPr>
        <w:t>the randomised clinical trials compared a single Chinese medicinal herb with a Western medicine or with surgery. No placebo-controlled trials were identified. In the trials comparing one Chinese herbal medicine (Gandanxiaoshi tablet) versus another (Aihuodantong tablet), there was no significant difference in the improvement</w:t>
      </w:r>
      <w:r w:rsidR="00427468">
        <w:rPr>
          <w:kern w:val="0"/>
        </w:rPr>
        <w:t xml:space="preserve"> of </w:t>
      </w:r>
      <w:r>
        <w:rPr>
          <w:kern w:val="0"/>
        </w:rPr>
        <w:t>upper abdominal pain after the end</w:t>
      </w:r>
      <w:r w:rsidR="00427468">
        <w:rPr>
          <w:kern w:val="0"/>
        </w:rPr>
        <w:t xml:space="preserve"> of </w:t>
      </w:r>
      <w:r>
        <w:rPr>
          <w:kern w:val="0"/>
        </w:rPr>
        <w:t>treatment (RR 1.21; 95% CI 0.71 to 2.05),</w:t>
      </w:r>
      <w:r w:rsidR="005853A9">
        <w:rPr>
          <w:kern w:val="0"/>
        </w:rPr>
        <w:t xml:space="preserve"> and </w:t>
      </w:r>
      <w:r>
        <w:rPr>
          <w:kern w:val="0"/>
        </w:rPr>
        <w:t>the heterogeneity among trials was not substantial. No other outcomes could be assessed</w:t>
      </w:r>
      <w:r w:rsidR="00A37C1D">
        <w:rPr>
          <w:kern w:val="0"/>
        </w:rPr>
        <w:t>. The</w:t>
      </w:r>
      <w:r>
        <w:rPr>
          <w:kern w:val="0"/>
        </w:rPr>
        <w:t xml:space="preserve"> remaining trials</w:t>
      </w:r>
      <w:r w:rsidR="00427468">
        <w:rPr>
          <w:kern w:val="0"/>
        </w:rPr>
        <w:t xml:space="preserve"> of </w:t>
      </w:r>
      <w:r>
        <w:rPr>
          <w:kern w:val="0"/>
        </w:rPr>
        <w:t>Chinese medicinal herbs (Qingdan capsule, Danshu capsule, Paishi capsule, Rongdanpaishi capsule), did not offer specific data on symptoms, signs, or change in gallstones that would permit assessment</w:t>
      </w:r>
      <w:r w:rsidR="00427468">
        <w:rPr>
          <w:kern w:val="0"/>
        </w:rPr>
        <w:t xml:space="preserve"> of </w:t>
      </w:r>
      <w:r>
        <w:rPr>
          <w:kern w:val="0"/>
        </w:rPr>
        <w:t>significant differences in curative effects between the treatment</w:t>
      </w:r>
      <w:r w:rsidR="005853A9">
        <w:rPr>
          <w:kern w:val="0"/>
        </w:rPr>
        <w:t xml:space="preserve"> and </w:t>
      </w:r>
      <w:r>
        <w:rPr>
          <w:kern w:val="0"/>
        </w:rPr>
        <w:t>control groups. No serious adverse events were reported. Authors</w:t>
      </w:r>
      <w:r w:rsidR="0071223E">
        <w:rPr>
          <w:kern w:val="0"/>
        </w:rPr>
        <w:t>’</w:t>
      </w:r>
      <w:r>
        <w:rPr>
          <w:kern w:val="0"/>
        </w:rPr>
        <w:t xml:space="preserve"> conclusions This review reveals no strong evidence that the analysed Chinese medicinal herbs have any beneficial effects on asymptomatic or mild-to-moderate cholelithiasis. Definitive conclusions will require much better designed randomised trials to reduce risk</w:t>
      </w:r>
      <w:r w:rsidR="00427468">
        <w:rPr>
          <w:kern w:val="0"/>
        </w:rPr>
        <w:t xml:space="preserve"> of </w:t>
      </w:r>
      <w:r>
        <w:rPr>
          <w:kern w:val="0"/>
        </w:rPr>
        <w:t>bias</w:t>
      </w:r>
      <w:r w:rsidR="005853A9">
        <w:rPr>
          <w:kern w:val="0"/>
        </w:rPr>
        <w:t xml:space="preserve"> and </w:t>
      </w:r>
      <w:r>
        <w:rPr>
          <w:kern w:val="0"/>
        </w:rPr>
        <w:t>allow detailed assessment</w:t>
      </w:r>
      <w:r w:rsidR="00427468">
        <w:rPr>
          <w:kern w:val="0"/>
        </w:rPr>
        <w:t xml:space="preserve"> of </w:t>
      </w:r>
      <w:r>
        <w:rPr>
          <w:kern w:val="0"/>
        </w:rPr>
        <w:t>clinical outcomes.</w:t>
      </w:r>
    </w:p>
    <w:p w:rsidR="00365DE4" w:rsidRDefault="00365DE4" w:rsidP="00365DE4">
      <w:pPr>
        <w:pStyle w:val="a3"/>
        <w:rPr>
          <w:kern w:val="0"/>
        </w:rPr>
      </w:pPr>
      <w:r>
        <w:rPr>
          <w:kern w:val="0"/>
        </w:rPr>
        <w:t xml:space="preserve">Keywords: Abdominal, Alternative, Analysis, Assessment, Authors, Bias, Bile, China, Chinese, Citation, Clinical, Clinical Outcomes, Clinical Trials, Collection, Conference, Confidence, Confidence Intervals, Control, Control Groups, Controlled-Trials, Criteria, Data, Data Collection, Design Characteristics, Disease, Effects, Embase, Empirical-Evidence, Events, Evidence, Groups, Herbal Medicine, Heterogeneity, Improvement, Intervals, Journals, Language, Medicinal Herbs, Medicine, </w:t>
      </w:r>
      <w:r w:rsidR="00D5664A">
        <w:rPr>
          <w:kern w:val="0"/>
        </w:rPr>
        <w:t>MEDLINE</w:t>
      </w:r>
      <w:r>
        <w:rPr>
          <w:kern w:val="0"/>
        </w:rPr>
        <w:t xml:space="preserve">, Metaanalysis, Methods, Outcomes, Pain, Publication, Quality, </w:t>
      </w:r>
      <w:r>
        <w:rPr>
          <w:kern w:val="0"/>
        </w:rPr>
        <w:lastRenderedPageBreak/>
        <w:t xml:space="preserve">R, Randomised, Randomized-Trials, Restrictions, Review, Risk, River, Science, Science Citation Index, Science Citation Index Expanded, Search, Surgery, Symptoms, Treatment, </w:t>
      </w:r>
      <w:r w:rsidR="00D5664A">
        <w:rPr>
          <w:kern w:val="0"/>
        </w:rPr>
        <w:t>USA</w:t>
      </w:r>
    </w:p>
    <w:p w:rsidR="00D8726F" w:rsidRDefault="00D8726F" w:rsidP="00D8726F">
      <w:pPr>
        <w:pStyle w:val="a3"/>
        <w:rPr>
          <w:kern w:val="0"/>
        </w:rPr>
      </w:pPr>
      <w:r>
        <w:rPr>
          <w:rFonts w:hint="eastAsia"/>
          <w:kern w:val="0"/>
        </w:rPr>
        <w:t xml:space="preserve">? </w:t>
      </w:r>
      <w:r>
        <w:rPr>
          <w:kern w:val="0"/>
        </w:rPr>
        <w:t xml:space="preserve">Ziganshina, L.E., Titarenko, A.F. and Davies, G.R. (2013), Fluoroquinolones for treating tuberculosis (presumed drug-sensitive).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6</w:t>
      </w:r>
      <w:r>
        <w:rPr>
          <w:kern w:val="0"/>
        </w:rPr>
        <w:t xml:space="preserve">, Article Number: </w:t>
      </w:r>
      <w:r w:rsidRPr="000873FA">
        <w:rPr>
          <w:kern w:val="0"/>
        </w:rPr>
        <w:t>CD004795</w:t>
      </w:r>
      <w:r>
        <w:rPr>
          <w:kern w:val="0"/>
        </w:rPr>
        <w:t>.</w:t>
      </w:r>
    </w:p>
    <w:p w:rsidR="00D8726F" w:rsidRDefault="00D8726F" w:rsidP="00D8726F">
      <w:pPr>
        <w:pStyle w:val="a3"/>
        <w:rPr>
          <w:kern w:val="2"/>
        </w:rPr>
      </w:pPr>
      <w:r>
        <w:t xml:space="preserve">Full Text: 2013\Coc Dat Sys Rev2013, </w:t>
      </w:r>
      <w:r w:rsidRPr="000873FA">
        <w:rPr>
          <w:kern w:val="0"/>
        </w:rPr>
        <w:t>CD004795</w:t>
      </w:r>
      <w:r>
        <w:rPr>
          <w:kern w:val="0"/>
        </w:rPr>
        <w:t>.pdf</w:t>
      </w:r>
    </w:p>
    <w:p w:rsidR="00D8726F" w:rsidRDefault="00D8726F" w:rsidP="00D8726F">
      <w:pPr>
        <w:pStyle w:val="a3"/>
        <w:rPr>
          <w:kern w:val="0"/>
        </w:rPr>
      </w:pPr>
      <w:r>
        <w:rPr>
          <w:kern w:val="0"/>
        </w:rPr>
        <w:t>Abstract: Background Currently the World Health Organization only recommend fluoroquinolones for people with presumed drug-sensitive tuberculosis (TB) who cannot take standard first-line drugs. However, use</w:t>
      </w:r>
      <w:r w:rsidR="00427468">
        <w:rPr>
          <w:kern w:val="0"/>
        </w:rPr>
        <w:t xml:space="preserve"> of </w:t>
      </w:r>
      <w:r>
        <w:rPr>
          <w:kern w:val="0"/>
        </w:rPr>
        <w:t>fluoroquinolones could shorten the length</w:t>
      </w:r>
      <w:r w:rsidR="00427468">
        <w:rPr>
          <w:kern w:val="0"/>
        </w:rPr>
        <w:t xml:space="preserve"> of </w:t>
      </w:r>
      <w:r>
        <w:rPr>
          <w:kern w:val="0"/>
        </w:rPr>
        <w:t>treatment and improve other outcomes in these people. This review summarises the effects</w:t>
      </w:r>
      <w:r w:rsidR="00427468">
        <w:rPr>
          <w:kern w:val="0"/>
        </w:rPr>
        <w:t xml:space="preserve"> of </w:t>
      </w:r>
      <w:r>
        <w:rPr>
          <w:kern w:val="0"/>
        </w:rPr>
        <w:t>fluoroquinolones in first-line regimens in people with presumed drug-sensitive TB. Objectives To assess fluoroquinolones as substitute or additional components in antituberculous drug regimens for drug-sensitive TB. Search methods We searched the Cochrane Infectious Diseases Group Specialized Register; CENTRAL (The Cochrane Library 2013, Issue 1); MEDLINE; EMBASE; LILACS; Science Citation Index; Databases</w:t>
      </w:r>
      <w:r w:rsidR="00427468">
        <w:rPr>
          <w:kern w:val="0"/>
        </w:rPr>
        <w:t xml:space="preserve"> of </w:t>
      </w:r>
      <w:r>
        <w:rPr>
          <w:kern w:val="0"/>
        </w:rPr>
        <w:t>Russian Publications; and metaRegister</w:t>
      </w:r>
      <w:r w:rsidR="00427468">
        <w:rPr>
          <w:kern w:val="0"/>
        </w:rPr>
        <w:t xml:space="preserve"> of </w:t>
      </w:r>
      <w:r>
        <w:rPr>
          <w:kern w:val="0"/>
        </w:rPr>
        <w:t>Controlled Trials up to 6 March 2013. Selection criteria Randomized controlled trials (RCTs)</w:t>
      </w:r>
      <w:r w:rsidR="00427468">
        <w:rPr>
          <w:kern w:val="0"/>
        </w:rPr>
        <w:t xml:space="preserve"> of </w:t>
      </w:r>
      <w:r>
        <w:rPr>
          <w:kern w:val="0"/>
        </w:rPr>
        <w:t>antituberculous regimens based on rifampicin and pyrazinamide and containing fluoroquinolones in people with presumed drug-sensitive pulmonary TB. Data collection and analysis Two authors independently applied inclusion criteria, assessed the risk</w:t>
      </w:r>
      <w:r w:rsidR="00427468">
        <w:rPr>
          <w:kern w:val="0"/>
        </w:rPr>
        <w:t xml:space="preserve"> of </w:t>
      </w:r>
      <w:r>
        <w:rPr>
          <w:kern w:val="0"/>
        </w:rPr>
        <w:t>bias in the trials, and extracted data. We used the risk ratio (RR) for dichotomous data and the fixed-effect model when it was appropriate to combine data and no heterogeneity was present. We assessed the quality</w:t>
      </w:r>
      <w:r w:rsidR="00427468">
        <w:rPr>
          <w:kern w:val="0"/>
        </w:rPr>
        <w:t xml:space="preserve"> of </w:t>
      </w:r>
      <w:r>
        <w:rPr>
          <w:kern w:val="0"/>
        </w:rPr>
        <w:t>evidence using the GRADE approach. Main results We identified five RCTs (1330 participants) that met the inclusion criteria. None</w:t>
      </w:r>
      <w:r w:rsidR="00427468">
        <w:rPr>
          <w:kern w:val="0"/>
        </w:rPr>
        <w:t xml:space="preserve"> of </w:t>
      </w:r>
      <w:r>
        <w:rPr>
          <w:kern w:val="0"/>
        </w:rPr>
        <w:t>the included trials examined regimens</w:t>
      </w:r>
      <w:r w:rsidR="00427468">
        <w:rPr>
          <w:kern w:val="0"/>
        </w:rPr>
        <w:t xml:space="preserve"> of </w:t>
      </w:r>
      <w:r>
        <w:rPr>
          <w:kern w:val="0"/>
        </w:rPr>
        <w:t xml:space="preserve">less than six months duration. Fluoroquinolones added to standard regimens A single trial (174 participants) added levofloxacin to the standard first-line regimen. Relapse and treatment failure were not reported. For death, sputum conversion, and adverse events we are uncertain if there is an effect (one trial, 174 participants, very low quality evidence for all three outcomes). Fluoroquinolones substituted for ethambutol in standard regimens Three trials (723 participants) substituted ethambutol with moxifloxacin, gatifloxacin, and ofloxacin into the standard first-line regimen. For relapse, we are uncertain if there is an effect (one trial, 170 participants, very low quality evidence). No trials reported on treatment failure. For death, sputum culture conversion at eight weeks, or serious adverse events we do not know if there was an effect (three trials, 723 participants, very low quality evidence for all three outcomes). Fluoroquinolones substituted for isoniazid in standard regimens A single trial (433 participants) substituted </w:t>
      </w:r>
      <w:r>
        <w:rPr>
          <w:kern w:val="0"/>
        </w:rPr>
        <w:lastRenderedPageBreak/>
        <w:t>moxifloxacin for isoniazid. Treatment failure and relapse were not reported. For death, sputum culture conversion, or serious adverse events the substitution may have little or no difference (one trial, 433 participants, low quality evidence for all three outcomes). Fluoroquinolines in four month regimens Six trials are currently in progress testing shorter regimens with fluoroquinolones. Authors</w:t>
      </w:r>
      <w:r w:rsidR="0071223E">
        <w:rPr>
          <w:kern w:val="0"/>
        </w:rPr>
        <w:t>’</w:t>
      </w:r>
      <w:r>
        <w:rPr>
          <w:kern w:val="0"/>
        </w:rPr>
        <w:t xml:space="preserve"> conclusions Ofloxacin, levofloxacin, moxifloxacin, and gatifloxacin have been tested in RCTs</w:t>
      </w:r>
      <w:r w:rsidR="00427468">
        <w:rPr>
          <w:kern w:val="0"/>
        </w:rPr>
        <w:t xml:space="preserve"> of </w:t>
      </w:r>
      <w:r>
        <w:rPr>
          <w:kern w:val="0"/>
        </w:rPr>
        <w:t>standard first-line regimens based on rifampicin and pyrazinamide for treating drug-sensitive TB</w:t>
      </w:r>
      <w:r w:rsidR="00A37C1D">
        <w:rPr>
          <w:kern w:val="0"/>
        </w:rPr>
        <w:t>. The</w:t>
      </w:r>
      <w:r>
        <w:rPr>
          <w:kern w:val="0"/>
        </w:rPr>
        <w:t>re is insufficient evidence to be clear whether addition or substitution</w:t>
      </w:r>
      <w:r w:rsidR="00427468">
        <w:rPr>
          <w:kern w:val="0"/>
        </w:rPr>
        <w:t xml:space="preserve"> of </w:t>
      </w:r>
      <w:r>
        <w:rPr>
          <w:kern w:val="0"/>
        </w:rPr>
        <w:t>fluoroquinolones for ethambutol or isoniazid in the first-line regimen reduces death or relapse, or increases culture conversion at eight weeks. Much larger trials with fluoroquinolones in short course regimens</w:t>
      </w:r>
      <w:r w:rsidR="00427468">
        <w:rPr>
          <w:kern w:val="0"/>
        </w:rPr>
        <w:t xml:space="preserve"> of </w:t>
      </w:r>
      <w:r>
        <w:rPr>
          <w:kern w:val="0"/>
        </w:rPr>
        <w:t>four months are currently in progress.</w:t>
      </w:r>
    </w:p>
    <w:p w:rsidR="00D8726F" w:rsidRDefault="00D8726F" w:rsidP="00D8726F">
      <w:pPr>
        <w:pStyle w:val="a3"/>
        <w:rPr>
          <w:kern w:val="0"/>
        </w:rPr>
      </w:pPr>
      <w:r>
        <w:rPr>
          <w:kern w:val="0"/>
        </w:rPr>
        <w:t>Keywords: Analysis, Antitubercular Agents [Therapeutic Use], Approach, Authors, Bias, Ciprofloxacin [Therapeutic Use], Citation, Collection, Conversion, Course, Criteria, Culture, Data, Data Collection, Databases, Death, Diarylquinoline Tmc207, Drug, Drugs, Duration, Early Bactericidal Activity, Effects, Embase, Events, Evidence, Failure, Fluoroquinolones [Therapeutic Use], Grade, Health, Heterogeneity, Human-Immunodeficiency-Virus, Humans, Length, Medline, Methods, Model, Multidrug-Resistant Tuberculosis, Mycobacterium-Tuberculosis, Ofloxacin [Therapeutic Use], Outcomes, Phase-Ii, Population Pharmacokinetics, Progress, Publications, Pulmonary Tuberculosis, Quality, Quality Of, Randomized Controlled Trials, Randomized Controlled Trials As Topic, Randomized Controlled-Trial, Relapse, Review, Rifampicin, Risk, Science, Science Citation Index, Search, Standard, Sterilizing Activities, Substitution, Tb, Testing, Treatment, Trial, Tuberculosis, Tuberculosis,Multidrug-Resistant [Drug Therapy], Tuberculosis,Pulmonary [Drug Therapy], World Health Organization</w:t>
      </w:r>
    </w:p>
    <w:p w:rsidR="00365DE4" w:rsidRDefault="00365DE4" w:rsidP="00365DE4">
      <w:pPr>
        <w:pStyle w:val="a3"/>
        <w:rPr>
          <w:kern w:val="0"/>
        </w:rPr>
      </w:pPr>
      <w:r>
        <w:rPr>
          <w:kern w:val="0"/>
        </w:rPr>
        <w:t>? Bath, P.M.W., Sprigg, N.</w:t>
      </w:r>
      <w:r w:rsidR="005853A9">
        <w:rPr>
          <w:kern w:val="0"/>
        </w:rPr>
        <w:t xml:space="preserve"> and </w:t>
      </w:r>
      <w:r>
        <w:rPr>
          <w:kern w:val="0"/>
        </w:rPr>
        <w:t>England, T. (2013), Colony stimulating factors (including erythropoietin, granulocyte colony stimulating factor</w:t>
      </w:r>
      <w:r w:rsidR="005853A9">
        <w:rPr>
          <w:kern w:val="0"/>
        </w:rPr>
        <w:t xml:space="preserve"> and </w:t>
      </w:r>
      <w:r>
        <w:rPr>
          <w:kern w:val="0"/>
        </w:rPr>
        <w:t xml:space="preserve">analogues) for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CD005207.</w:t>
      </w:r>
    </w:p>
    <w:p w:rsidR="00365DE4" w:rsidRDefault="00365DE4" w:rsidP="00365DE4">
      <w:pPr>
        <w:pStyle w:val="a3"/>
        <w:rPr>
          <w:kern w:val="2"/>
        </w:rPr>
      </w:pPr>
      <w:r>
        <w:t>Full Text: 2013\Coc Dat Sys Rev2013, CD005207.pdf</w:t>
      </w:r>
    </w:p>
    <w:p w:rsidR="00365DE4" w:rsidRDefault="00365DE4" w:rsidP="00365DE4">
      <w:pPr>
        <w:pStyle w:val="a3"/>
        <w:rPr>
          <w:kern w:val="0"/>
        </w:rPr>
      </w:pPr>
      <w:r>
        <w:rPr>
          <w:kern w:val="0"/>
        </w:rPr>
        <w:t>Abstract: Background Colony stimulating factors (CSFs), also called haematopoietic growth factors, regulate bone marrow production</w:t>
      </w:r>
      <w:r w:rsidR="00427468">
        <w:rPr>
          <w:kern w:val="0"/>
        </w:rPr>
        <w:t xml:space="preserve"> of </w:t>
      </w:r>
      <w:r>
        <w:rPr>
          <w:kern w:val="0"/>
        </w:rPr>
        <w:t>circulating red</w:t>
      </w:r>
      <w:r w:rsidR="005853A9">
        <w:rPr>
          <w:kern w:val="0"/>
        </w:rPr>
        <w:t xml:space="preserve"> and </w:t>
      </w:r>
      <w:r>
        <w:rPr>
          <w:kern w:val="0"/>
        </w:rPr>
        <w:t>white cells,</w:t>
      </w:r>
      <w:r w:rsidR="005853A9">
        <w:rPr>
          <w:kern w:val="0"/>
        </w:rPr>
        <w:t xml:space="preserve"> and </w:t>
      </w:r>
      <w:r>
        <w:rPr>
          <w:kern w:val="0"/>
        </w:rPr>
        <w:t>platelets. Some CSFs also mobilise the release</w:t>
      </w:r>
      <w:r w:rsidR="00427468">
        <w:rPr>
          <w:kern w:val="0"/>
        </w:rPr>
        <w:t xml:space="preserve"> of </w:t>
      </w:r>
      <w:r>
        <w:rPr>
          <w:kern w:val="0"/>
        </w:rPr>
        <w:t>bone marrow stem cells into the circulation. CSFs have been shown to be neuroprotective in experimental stroke. Objectives To assess (1) the safety</w:t>
      </w:r>
      <w:r w:rsidR="005853A9">
        <w:rPr>
          <w:kern w:val="0"/>
        </w:rPr>
        <w:t xml:space="preserve"> and </w:t>
      </w:r>
      <w:r>
        <w:rPr>
          <w:kern w:val="0"/>
        </w:rPr>
        <w:t>efficacy</w:t>
      </w:r>
      <w:r w:rsidR="00427468">
        <w:rPr>
          <w:kern w:val="0"/>
        </w:rPr>
        <w:t xml:space="preserve"> of </w:t>
      </w:r>
      <w:r>
        <w:rPr>
          <w:kern w:val="0"/>
        </w:rPr>
        <w:t>CSFs in people with acute or subacute ischaemic or haemorrhagic stroke,</w:t>
      </w:r>
      <w:r w:rsidR="005853A9">
        <w:rPr>
          <w:kern w:val="0"/>
        </w:rPr>
        <w:t xml:space="preserve"> and </w:t>
      </w:r>
      <w:r>
        <w:rPr>
          <w:kern w:val="0"/>
        </w:rPr>
        <w:t>(2) the effect</w:t>
      </w:r>
      <w:r w:rsidR="00427468">
        <w:rPr>
          <w:kern w:val="0"/>
        </w:rPr>
        <w:t xml:space="preserve"> of </w:t>
      </w:r>
      <w:r>
        <w:rPr>
          <w:kern w:val="0"/>
        </w:rPr>
        <w:t>CSFs on circulating stem</w:t>
      </w:r>
      <w:r w:rsidR="005853A9">
        <w:rPr>
          <w:kern w:val="0"/>
        </w:rPr>
        <w:t xml:space="preserve"> and </w:t>
      </w:r>
      <w:r>
        <w:rPr>
          <w:kern w:val="0"/>
        </w:rPr>
        <w:t>blood cell counts. Search methods We searched the Cochrane Stroke Group Trials Register (last searched September 2012), the Cochrane Central Register</w:t>
      </w:r>
      <w:r w:rsidR="00427468">
        <w:rPr>
          <w:kern w:val="0"/>
        </w:rPr>
        <w:t xml:space="preserve"> of </w:t>
      </w:r>
      <w:r>
        <w:rPr>
          <w:kern w:val="0"/>
        </w:rPr>
        <w:t xml:space="preserve">Controlled Trials (CENTRAL) (The Cochrane Library 2012, Issue 4), </w:t>
      </w:r>
      <w:r w:rsidR="00D5664A">
        <w:rPr>
          <w:kern w:val="0"/>
        </w:rPr>
        <w:t>MEDLINE</w:t>
      </w:r>
      <w:r>
        <w:rPr>
          <w:kern w:val="0"/>
        </w:rPr>
        <w:t xml:space="preserve"> </w:t>
      </w:r>
      <w:r>
        <w:rPr>
          <w:kern w:val="0"/>
        </w:rPr>
        <w:lastRenderedPageBreak/>
        <w:t>(1985 to September 2012), EMBASE (1985 to September 2012)</w:t>
      </w:r>
      <w:r w:rsidR="005853A9">
        <w:rPr>
          <w:kern w:val="0"/>
        </w:rPr>
        <w:t xml:space="preserve"> and </w:t>
      </w:r>
      <w:r>
        <w:rPr>
          <w:kern w:val="0"/>
        </w:rPr>
        <w:t>Science Citation Index (1985 to September 2012). In an attempt to identify further published, unpublished</w:t>
      </w:r>
      <w:r w:rsidR="005853A9">
        <w:rPr>
          <w:kern w:val="0"/>
        </w:rPr>
        <w:t xml:space="preserve"> and </w:t>
      </w:r>
      <w:r>
        <w:rPr>
          <w:kern w:val="0"/>
        </w:rPr>
        <w:t>ongoing trials we contacted manufacturers</w:t>
      </w:r>
      <w:r w:rsidR="005853A9">
        <w:rPr>
          <w:kern w:val="0"/>
        </w:rPr>
        <w:t xml:space="preserve"> and </w:t>
      </w:r>
      <w:r>
        <w:rPr>
          <w:kern w:val="0"/>
        </w:rPr>
        <w:t>principal investigators</w:t>
      </w:r>
      <w:r w:rsidR="00427468">
        <w:rPr>
          <w:kern w:val="0"/>
        </w:rPr>
        <w:t xml:space="preserve"> of </w:t>
      </w:r>
      <w:r>
        <w:rPr>
          <w:kern w:val="0"/>
        </w:rPr>
        <w:t>trials (last contacted April 2012). We also searched reference lists</w:t>
      </w:r>
      <w:r w:rsidR="00427468">
        <w:rPr>
          <w:kern w:val="0"/>
        </w:rPr>
        <w:t xml:space="preserve"> of </w:t>
      </w:r>
      <w:r>
        <w:rPr>
          <w:kern w:val="0"/>
        </w:rPr>
        <w:t>relevant articles</w:t>
      </w:r>
      <w:r w:rsidR="005853A9">
        <w:rPr>
          <w:kern w:val="0"/>
        </w:rPr>
        <w:t xml:space="preserve"> and </w:t>
      </w:r>
      <w:r>
        <w:rPr>
          <w:kern w:val="0"/>
        </w:rPr>
        <w:t>reviews. Selection criteria We included randomised controlled trials recruiting people with acute or subacute ischaemic or haemorrhagic stroke. CSFs included stem cell factor (SCF), erythropoietin (EPO), granulocyte colony stimulating factor (G-CSF), granulocyte-macrophage colony stimulating factor (GM-CSF), macrophage-colony stimulating factor (M-CSF, CSF-1), thrombopoietin (TPO), or analogues</w:t>
      </w:r>
      <w:r w:rsidR="00427468">
        <w:rPr>
          <w:kern w:val="0"/>
        </w:rPr>
        <w:t xml:space="preserve"> of </w:t>
      </w:r>
      <w:r>
        <w:rPr>
          <w:kern w:val="0"/>
        </w:rPr>
        <w:t>these</w:t>
      </w:r>
      <w:r w:rsidR="00A37C1D">
        <w:rPr>
          <w:kern w:val="0"/>
        </w:rPr>
        <w:t>. The</w:t>
      </w:r>
      <w:r>
        <w:rPr>
          <w:kern w:val="0"/>
        </w:rPr>
        <w:t xml:space="preserve"> primary outcome was functional outcome at the end</w:t>
      </w:r>
      <w:r w:rsidR="00427468">
        <w:rPr>
          <w:kern w:val="0"/>
        </w:rPr>
        <w:t xml:space="preserve"> of </w:t>
      </w:r>
      <w:r>
        <w:rPr>
          <w:kern w:val="0"/>
        </w:rPr>
        <w:t>the trial. Secondary outcomes included safety at the end</w:t>
      </w:r>
      <w:r w:rsidR="00427468">
        <w:rPr>
          <w:kern w:val="0"/>
        </w:rPr>
        <w:t xml:space="preserve"> of </w:t>
      </w:r>
      <w:r>
        <w:rPr>
          <w:kern w:val="0"/>
        </w:rPr>
        <w:t>treatment, death at the end</w:t>
      </w:r>
      <w:r w:rsidR="00427468">
        <w:rPr>
          <w:kern w:val="0"/>
        </w:rPr>
        <w:t xml:space="preserve"> of </w:t>
      </w:r>
      <w:r>
        <w:rPr>
          <w:kern w:val="0"/>
        </w:rPr>
        <w:t>follow-up, infarct volume</w:t>
      </w:r>
      <w:r w:rsidR="005853A9">
        <w:rPr>
          <w:kern w:val="0"/>
        </w:rPr>
        <w:t xml:space="preserve"> and </w:t>
      </w:r>
      <w:r>
        <w:rPr>
          <w:kern w:val="0"/>
        </w:rPr>
        <w:t>haematology measures. Data collection</w:t>
      </w:r>
      <w:r w:rsidR="005853A9">
        <w:rPr>
          <w:kern w:val="0"/>
        </w:rPr>
        <w:t xml:space="preserve"> and </w:t>
      </w:r>
      <w:r>
        <w:rPr>
          <w:kern w:val="0"/>
        </w:rPr>
        <w:t>analysis Two review authors (TE</w:t>
      </w:r>
      <w:r w:rsidR="005853A9">
        <w:rPr>
          <w:kern w:val="0"/>
        </w:rPr>
        <w:t xml:space="preserve"> and </w:t>
      </w:r>
      <w:r>
        <w:rPr>
          <w:kern w:val="0"/>
        </w:rPr>
        <w:t>NS) independently extracted data</w:t>
      </w:r>
      <w:r w:rsidR="005853A9">
        <w:rPr>
          <w:kern w:val="0"/>
        </w:rPr>
        <w:t xml:space="preserve"> and </w:t>
      </w:r>
      <w:r>
        <w:rPr>
          <w:kern w:val="0"/>
        </w:rPr>
        <w:t>assessed trial quality. We contacted study authors for additional information. Main results We included a total</w:t>
      </w:r>
      <w:r w:rsidR="00427468">
        <w:rPr>
          <w:kern w:val="0"/>
        </w:rPr>
        <w:t xml:space="preserve"> of </w:t>
      </w:r>
      <w:r>
        <w:rPr>
          <w:kern w:val="0"/>
        </w:rPr>
        <w:t>11 studies involving 1275 participants. In three trials (n = 782), EPO therapy was associated with a significant increase in death by the end</w:t>
      </w:r>
      <w:r w:rsidR="00427468">
        <w:rPr>
          <w:kern w:val="0"/>
        </w:rPr>
        <w:t xml:space="preserve"> of </w:t>
      </w:r>
      <w:r>
        <w:rPr>
          <w:kern w:val="0"/>
        </w:rPr>
        <w:t>the trial (odds ratio (OR) 1.98, 95% confidence interval (CI) 1.19 to 3.3, P = 0.009)</w:t>
      </w:r>
      <w:r w:rsidR="005853A9">
        <w:rPr>
          <w:kern w:val="0"/>
        </w:rPr>
        <w:t xml:space="preserve"> and </w:t>
      </w:r>
      <w:r>
        <w:rPr>
          <w:kern w:val="0"/>
        </w:rPr>
        <w:t>a nonsignificant increase in serious adverse events. EPO significantly increased the red cell count with no effect on platelet or white cell count, or infarct volume. Two small trials</w:t>
      </w:r>
      <w:r w:rsidR="00427468">
        <w:rPr>
          <w:kern w:val="0"/>
        </w:rPr>
        <w:t xml:space="preserve"> of </w:t>
      </w:r>
      <w:r>
        <w:rPr>
          <w:kern w:val="0"/>
        </w:rPr>
        <w:t>carbamylated EPO have been completed but have yet to be reported. We included eight small trials (n = 548)</w:t>
      </w:r>
      <w:r w:rsidR="00427468">
        <w:rPr>
          <w:kern w:val="0"/>
        </w:rPr>
        <w:t xml:space="preserve"> of </w:t>
      </w:r>
      <w:r>
        <w:rPr>
          <w:kern w:val="0"/>
        </w:rPr>
        <w:t>G-CSF. G-CSF was associated with a non-significant reduction in early impairment (mean difference (MD) -0.4, 95% CI -1.82 to 1.01, P = 0.58) but had no effect on functional outcome at the end</w:t>
      </w:r>
      <w:r w:rsidR="00427468">
        <w:rPr>
          <w:kern w:val="0"/>
        </w:rPr>
        <w:t xml:space="preserve"> of </w:t>
      </w:r>
      <w:r>
        <w:rPr>
          <w:kern w:val="0"/>
        </w:rPr>
        <w:t>the trial. G-CSF significantly elevated the white cell count</w:t>
      </w:r>
      <w:r w:rsidR="005853A9">
        <w:rPr>
          <w:kern w:val="0"/>
        </w:rPr>
        <w:t xml:space="preserve"> and </w:t>
      </w:r>
      <w:r>
        <w:rPr>
          <w:kern w:val="0"/>
        </w:rPr>
        <w:t>the CD34+ cell count, but had no effect on infarct volume. Further trials</w:t>
      </w:r>
      <w:r w:rsidR="00427468">
        <w:rPr>
          <w:kern w:val="0"/>
        </w:rPr>
        <w:t xml:space="preserve"> of </w:t>
      </w:r>
      <w:r>
        <w:rPr>
          <w:kern w:val="0"/>
        </w:rPr>
        <w:t>G-CSF are ongoing. Authors</w:t>
      </w:r>
      <w:r w:rsidR="0071223E">
        <w:rPr>
          <w:kern w:val="0"/>
        </w:rPr>
        <w:t>’</w:t>
      </w:r>
      <w:r>
        <w:rPr>
          <w:kern w:val="0"/>
        </w:rPr>
        <w:t xml:space="preserve"> conclusions There are significant safety concerns regarding EPO therapy for stroke. It is too early to know whether other CSFs improve functional outcome.</w:t>
      </w:r>
    </w:p>
    <w:p w:rsidR="00365DE4" w:rsidRDefault="00365DE4" w:rsidP="00365DE4">
      <w:pPr>
        <w:pStyle w:val="a3"/>
        <w:rPr>
          <w:kern w:val="0"/>
        </w:rPr>
      </w:pPr>
      <w:r>
        <w:rPr>
          <w:kern w:val="0"/>
        </w:rPr>
        <w:t xml:space="preserve">Keywords: Acute Ischemic-Stroke, Analysis, Authors, Blood, Blood-Brain-Barrier, Bone, Bone Marrow, Bone Marrow Stem Cells, Bone-Marrow, Citation, Collection, Colony-Stimulating Factors [Therapeutic Use], Confidence, Criteria, Data, Data Collection, Death, Efficacy, Embase, England, Erythropoietin, Erythropoietin [Therapeutic Use], Events, Experimental, Focal Cerebral-Ischemia, Follow-Up, G-Csf, Gm-Csf, Granulocyte, Granulocyte Colony-Stimulating Factor [Therapeutic Use], Growth, Growth Factors, Humans, In-Vivo, Information, Interval, Marrow Stem-Cells, Medicine, </w:t>
      </w:r>
      <w:r w:rsidR="00D5664A">
        <w:rPr>
          <w:kern w:val="0"/>
        </w:rPr>
        <w:t>MEDLINE</w:t>
      </w:r>
      <w:r>
        <w:rPr>
          <w:kern w:val="0"/>
        </w:rPr>
        <w:t xml:space="preserve">, Methods, Odds Ratio, Outcome, Outcomes, P, Platelets, Primary, Programmed Cell-Death, Quality, Randomised, Randomised Controlled Trials, Randomized Controlled Trials As Topic, Randomized Controlled-Trial, Recovery Enhancement, Reduction, Reference, Reference Lists, Release, Review, Reviews, River, Safety, Science, Science Citation Index, Search, </w:t>
      </w:r>
      <w:r>
        <w:rPr>
          <w:kern w:val="0"/>
        </w:rPr>
        <w:lastRenderedPageBreak/>
        <w:t xml:space="preserve">Small, Stem Cell, Stem Cell Factor, Stem Cells, Stroke, Stroke [Drug Therapy], Therapy, Treatment, Trial, </w:t>
      </w:r>
      <w:r w:rsidR="00D5664A">
        <w:rPr>
          <w:kern w:val="0"/>
        </w:rPr>
        <w:t>USA</w:t>
      </w:r>
      <w:r>
        <w:rPr>
          <w:kern w:val="0"/>
        </w:rPr>
        <w:t>, Volume</w:t>
      </w:r>
    </w:p>
    <w:p w:rsidR="00365DE4" w:rsidRDefault="00365DE4" w:rsidP="00365DE4">
      <w:pPr>
        <w:pStyle w:val="a3"/>
        <w:rPr>
          <w:kern w:val="0"/>
        </w:rPr>
      </w:pPr>
      <w:r>
        <w:rPr>
          <w:kern w:val="0"/>
        </w:rPr>
        <w:t>? Gur</w:t>
      </w:r>
      <w:r w:rsidR="00D5664A">
        <w:rPr>
          <w:kern w:val="0"/>
        </w:rPr>
        <w:t>USA</w:t>
      </w:r>
      <w:r>
        <w:rPr>
          <w:kern w:val="0"/>
        </w:rPr>
        <w:t>my, K.S., Davidson, C., Gluud, C.</w:t>
      </w:r>
      <w:r w:rsidR="005853A9">
        <w:rPr>
          <w:kern w:val="0"/>
        </w:rPr>
        <w:t xml:space="preserve"> and </w:t>
      </w:r>
      <w:r>
        <w:rPr>
          <w:kern w:val="0"/>
        </w:rPr>
        <w:t xml:space="preserve">Davidson, B.R. (2013), Early versus delayed laparoscopic cholecystectomy for people with acute cholecystitis.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CD005440.</w:t>
      </w:r>
    </w:p>
    <w:p w:rsidR="00365DE4" w:rsidRDefault="00365DE4" w:rsidP="00365DE4">
      <w:pPr>
        <w:pStyle w:val="a3"/>
        <w:rPr>
          <w:kern w:val="2"/>
        </w:rPr>
      </w:pPr>
      <w:r>
        <w:t>Full Text: 2013\Coc Dat Sys Rev2013, CD005440.pdf</w:t>
      </w:r>
    </w:p>
    <w:p w:rsidR="00365DE4" w:rsidRDefault="00365DE4" w:rsidP="00365DE4">
      <w:pPr>
        <w:pStyle w:val="a3"/>
        <w:rPr>
          <w:kern w:val="0"/>
        </w:rPr>
      </w:pPr>
      <w:r>
        <w:rPr>
          <w:kern w:val="0"/>
        </w:rPr>
        <w:t>Abstract: Background Gallstones are present in about 10% to 15%</w:t>
      </w:r>
      <w:r w:rsidR="00427468">
        <w:rPr>
          <w:kern w:val="0"/>
        </w:rPr>
        <w:t xml:space="preserve"> of </w:t>
      </w:r>
      <w:r>
        <w:rPr>
          <w:kern w:val="0"/>
        </w:rPr>
        <w:t>the adult western population. Between 1%</w:t>
      </w:r>
      <w:r w:rsidR="005853A9">
        <w:rPr>
          <w:kern w:val="0"/>
        </w:rPr>
        <w:t xml:space="preserve"> and </w:t>
      </w:r>
      <w:r>
        <w:rPr>
          <w:kern w:val="0"/>
        </w:rPr>
        <w:t>4%</w:t>
      </w:r>
      <w:r w:rsidR="00427468">
        <w:rPr>
          <w:kern w:val="0"/>
        </w:rPr>
        <w:t xml:space="preserve"> of </w:t>
      </w:r>
      <w:r>
        <w:rPr>
          <w:kern w:val="0"/>
        </w:rPr>
        <w:t>these adults become symptomatic in a year (the majority due to biliary colic but a significant proportion due to acute cholecystitis). Laparoscopic cholecystectomy for acute cholecystitis is mainly performed after the acute cholecystitis episode settles because</w:t>
      </w:r>
      <w:r w:rsidR="00427468">
        <w:rPr>
          <w:kern w:val="0"/>
        </w:rPr>
        <w:t xml:space="preserve"> of </w:t>
      </w:r>
      <w:r>
        <w:rPr>
          <w:kern w:val="0"/>
        </w:rPr>
        <w:t>the fear</w:t>
      </w:r>
      <w:r w:rsidR="00427468">
        <w:rPr>
          <w:kern w:val="0"/>
        </w:rPr>
        <w:t xml:space="preserve"> of </w:t>
      </w:r>
      <w:r>
        <w:rPr>
          <w:kern w:val="0"/>
        </w:rPr>
        <w:t>higher morbidity</w:t>
      </w:r>
      <w:r w:rsidR="005853A9">
        <w:rPr>
          <w:kern w:val="0"/>
        </w:rPr>
        <w:t xml:space="preserve"> and</w:t>
      </w:r>
      <w:r w:rsidR="00427468">
        <w:rPr>
          <w:kern w:val="0"/>
        </w:rPr>
        <w:t xml:space="preserve"> of </w:t>
      </w:r>
      <w:r>
        <w:rPr>
          <w:kern w:val="0"/>
        </w:rPr>
        <w:t>need for conversion from laparoscopic to open cholecystectomy. However, delaying surgery exposes the people to gallstone-related complications. Objectives The aim</w:t>
      </w:r>
      <w:r w:rsidR="00427468">
        <w:rPr>
          <w:kern w:val="0"/>
        </w:rPr>
        <w:t xml:space="preserve"> of </w:t>
      </w:r>
      <w:r>
        <w:rPr>
          <w:kern w:val="0"/>
        </w:rPr>
        <w:t>this systematic review was to compare early laparoscopic cholecystectomy (less than seven days</w:t>
      </w:r>
      <w:r w:rsidR="00427468">
        <w:rPr>
          <w:kern w:val="0"/>
        </w:rPr>
        <w:t xml:space="preserve"> of </w:t>
      </w:r>
      <w:r>
        <w:rPr>
          <w:kern w:val="0"/>
        </w:rPr>
        <w:t>clinical presentation with acute cholecystitis) versus delayed laparoscopic cholecystectomy (more than six weeks after index admission with acute cholecystitis) with regards to benefits</w:t>
      </w:r>
      <w:r w:rsidR="005853A9">
        <w:rPr>
          <w:kern w:val="0"/>
        </w:rPr>
        <w:t xml:space="preserve"> and </w:t>
      </w:r>
      <w:r>
        <w:rPr>
          <w:kern w:val="0"/>
        </w:rPr>
        <w:t>harms. Search methods We searched the Cochrane Hepato-Biliary Group Controlled Trials Register</w:t>
      </w:r>
      <w:r w:rsidR="005853A9">
        <w:rPr>
          <w:kern w:val="0"/>
        </w:rPr>
        <w:t xml:space="preserve"> and </w:t>
      </w:r>
      <w:r>
        <w:rPr>
          <w:kern w:val="0"/>
        </w:rPr>
        <w:t>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World Health Organization International Clinical Trials Registry Platform until July 2012. Selection criteria We included all randomised clinical trials comparing early versus delayed laparoscopic cholecystectomy in participants with acute cholecystitis. Data collection</w:t>
      </w:r>
      <w:r w:rsidR="005853A9">
        <w:rPr>
          <w:kern w:val="0"/>
        </w:rPr>
        <w:t xml:space="preserve"> and </w:t>
      </w:r>
      <w:r>
        <w:rPr>
          <w:kern w:val="0"/>
        </w:rPr>
        <w:t>analysis We used standard methodological procedures expected by The Cochrane Collaboration. Main results We identified seven trials that met the inclusion criteria. Out</w:t>
      </w:r>
      <w:r w:rsidR="00427468">
        <w:rPr>
          <w:kern w:val="0"/>
        </w:rPr>
        <w:t xml:space="preserve"> of </w:t>
      </w:r>
      <w:r>
        <w:rPr>
          <w:kern w:val="0"/>
        </w:rPr>
        <w:t>these, six trials provided data for the meta-analyses. A total</w:t>
      </w:r>
      <w:r w:rsidR="00427468">
        <w:rPr>
          <w:kern w:val="0"/>
        </w:rPr>
        <w:t xml:space="preserve"> of </w:t>
      </w:r>
      <w:r>
        <w:rPr>
          <w:kern w:val="0"/>
        </w:rPr>
        <w:t>488 participants with acute cholecystitis</w:t>
      </w:r>
      <w:r w:rsidR="005853A9">
        <w:rPr>
          <w:kern w:val="0"/>
        </w:rPr>
        <w:t xml:space="preserve"> and </w:t>
      </w:r>
      <w:r>
        <w:rPr>
          <w:kern w:val="0"/>
        </w:rPr>
        <w:t>fit to undergo laparoscopic cholecystectomy were randomised to early laparoscopic cholecystectomy (ELC) (244 people)</w:t>
      </w:r>
      <w:r w:rsidR="005853A9">
        <w:rPr>
          <w:kern w:val="0"/>
        </w:rPr>
        <w:t xml:space="preserve"> and </w:t>
      </w:r>
      <w:r>
        <w:rPr>
          <w:kern w:val="0"/>
        </w:rPr>
        <w:t>delayed laparoscopic cholecystectomy (DLC) (244 people) in the six trials. Blinding was not performed in any</w:t>
      </w:r>
      <w:r w:rsidR="00427468">
        <w:rPr>
          <w:kern w:val="0"/>
        </w:rPr>
        <w:t xml:space="preserve"> of </w:t>
      </w:r>
      <w:r>
        <w:rPr>
          <w:kern w:val="0"/>
        </w:rPr>
        <w:t>the trials</w:t>
      </w:r>
      <w:r w:rsidR="005853A9">
        <w:rPr>
          <w:kern w:val="0"/>
        </w:rPr>
        <w:t xml:space="preserve"> and </w:t>
      </w:r>
      <w:r>
        <w:rPr>
          <w:kern w:val="0"/>
        </w:rPr>
        <w:t>so all the trials were at high risk</w:t>
      </w:r>
      <w:r w:rsidR="00427468">
        <w:rPr>
          <w:kern w:val="0"/>
        </w:rPr>
        <w:t xml:space="preserve"> of </w:t>
      </w:r>
      <w:r>
        <w:rPr>
          <w:kern w:val="0"/>
        </w:rPr>
        <w:t>bias. Other than blinding, three</w:t>
      </w:r>
      <w:r w:rsidR="00427468">
        <w:rPr>
          <w:kern w:val="0"/>
        </w:rPr>
        <w:t xml:space="preserve"> of </w:t>
      </w:r>
      <w:r>
        <w:rPr>
          <w:kern w:val="0"/>
        </w:rPr>
        <w:t>the six trials were at low risk</w:t>
      </w:r>
      <w:r w:rsidR="00427468">
        <w:rPr>
          <w:kern w:val="0"/>
        </w:rPr>
        <w:t xml:space="preserve"> of </w:t>
      </w:r>
      <w:r>
        <w:rPr>
          <w:kern w:val="0"/>
        </w:rPr>
        <w:t>bias in the other domains such as sequence generation, allocation concealment, incomplete outcome data,</w:t>
      </w:r>
      <w:r w:rsidR="005853A9">
        <w:rPr>
          <w:kern w:val="0"/>
        </w:rPr>
        <w:t xml:space="preserve"> and </w:t>
      </w:r>
      <w:r>
        <w:rPr>
          <w:kern w:val="0"/>
        </w:rPr>
        <w:t>selective outcome reporting</w:t>
      </w:r>
      <w:r w:rsidR="00A37C1D">
        <w:rPr>
          <w:kern w:val="0"/>
        </w:rPr>
        <w:t>. The</w:t>
      </w:r>
      <w:r>
        <w:rPr>
          <w:kern w:val="0"/>
        </w:rPr>
        <w:t xml:space="preserve"> proportion</w:t>
      </w:r>
      <w:r w:rsidR="00427468">
        <w:rPr>
          <w:kern w:val="0"/>
        </w:rPr>
        <w:t xml:space="preserve"> of </w:t>
      </w:r>
      <w:r>
        <w:rPr>
          <w:kern w:val="0"/>
        </w:rPr>
        <w:t>females ranged between 43.3%</w:t>
      </w:r>
      <w:r w:rsidR="005853A9">
        <w:rPr>
          <w:kern w:val="0"/>
        </w:rPr>
        <w:t xml:space="preserve"> and </w:t>
      </w:r>
      <w:r>
        <w:rPr>
          <w:kern w:val="0"/>
        </w:rPr>
        <w:t>80% in the trials that provided this information</w:t>
      </w:r>
      <w:r w:rsidR="00A37C1D">
        <w:rPr>
          <w:kern w:val="0"/>
        </w:rPr>
        <w:t>. The</w:t>
      </w:r>
      <w:r>
        <w:rPr>
          <w:kern w:val="0"/>
        </w:rPr>
        <w:t xml:space="preserve"> average age</w:t>
      </w:r>
      <w:r w:rsidR="00427468">
        <w:rPr>
          <w:kern w:val="0"/>
        </w:rPr>
        <w:t xml:space="preserve"> of </w:t>
      </w:r>
      <w:r>
        <w:rPr>
          <w:kern w:val="0"/>
        </w:rPr>
        <w:t>participants ranged between 40 years</w:t>
      </w:r>
      <w:r w:rsidR="005853A9">
        <w:rPr>
          <w:kern w:val="0"/>
        </w:rPr>
        <w:t xml:space="preserve"> and </w:t>
      </w:r>
      <w:r>
        <w:rPr>
          <w:kern w:val="0"/>
        </w:rPr>
        <w:t>60 years</w:t>
      </w:r>
      <w:r w:rsidR="00A37C1D">
        <w:rPr>
          <w:kern w:val="0"/>
        </w:rPr>
        <w:t>. The</w:t>
      </w:r>
      <w:r>
        <w:rPr>
          <w:kern w:val="0"/>
        </w:rPr>
        <w:t>re was no mortality in any</w:t>
      </w:r>
      <w:r w:rsidR="00427468">
        <w:rPr>
          <w:kern w:val="0"/>
        </w:rPr>
        <w:t xml:space="preserve"> of </w:t>
      </w:r>
      <w:r>
        <w:rPr>
          <w:kern w:val="0"/>
        </w:rPr>
        <w:t>the participants in five trials that reported mortality</w:t>
      </w:r>
      <w:r w:rsidR="00A37C1D">
        <w:rPr>
          <w:kern w:val="0"/>
        </w:rPr>
        <w:t>. The</w:t>
      </w:r>
      <w:r>
        <w:rPr>
          <w:kern w:val="0"/>
        </w:rPr>
        <w:t>re was no significant difference in the proportion</w:t>
      </w:r>
      <w:r w:rsidR="00427468">
        <w:rPr>
          <w:kern w:val="0"/>
        </w:rPr>
        <w:t xml:space="preserve"> of </w:t>
      </w:r>
      <w:r>
        <w:rPr>
          <w:kern w:val="0"/>
        </w:rPr>
        <w:t>people who developed bile duct injury in the two groups (ELC 1/219 (adjusted proportion 0.4%) versus DLC 2/219 (0.9%); Peto OR 0.49; 95% CI 0.05 to 4.72 (5 trials))</w:t>
      </w:r>
      <w:r w:rsidR="00A37C1D">
        <w:rPr>
          <w:kern w:val="0"/>
        </w:rPr>
        <w:t>. The</w:t>
      </w:r>
      <w:r>
        <w:rPr>
          <w:kern w:val="0"/>
        </w:rPr>
        <w:t xml:space="preserve">re was no significant difference between the </w:t>
      </w:r>
      <w:r>
        <w:rPr>
          <w:kern w:val="0"/>
        </w:rPr>
        <w:lastRenderedPageBreak/>
        <w:t>two groups (ELC 14/219 (adjusted proportion 6.5%) versus DLC 11/219 (5.0%); RR 1.29; 95% CI 0.61 to 2.72 (5 trials)) in terms</w:t>
      </w:r>
      <w:r w:rsidR="00427468">
        <w:rPr>
          <w:kern w:val="0"/>
        </w:rPr>
        <w:t xml:space="preserve"> of </w:t>
      </w:r>
      <w:r>
        <w:rPr>
          <w:kern w:val="0"/>
        </w:rPr>
        <w:t>other serious complications. None</w:t>
      </w:r>
      <w:r w:rsidR="00427468">
        <w:rPr>
          <w:kern w:val="0"/>
        </w:rPr>
        <w:t xml:space="preserve"> of </w:t>
      </w:r>
      <w:r>
        <w:rPr>
          <w:kern w:val="0"/>
        </w:rPr>
        <w:t>the trials reported quality</w:t>
      </w:r>
      <w:r w:rsidR="00427468">
        <w:rPr>
          <w:kern w:val="0"/>
        </w:rPr>
        <w:t xml:space="preserve"> of </w:t>
      </w:r>
      <w:r>
        <w:rPr>
          <w:kern w:val="0"/>
        </w:rPr>
        <w:t>life from the time</w:t>
      </w:r>
      <w:r w:rsidR="00427468">
        <w:rPr>
          <w:kern w:val="0"/>
        </w:rPr>
        <w:t xml:space="preserve"> of </w:t>
      </w:r>
      <w:r>
        <w:rPr>
          <w:kern w:val="0"/>
        </w:rPr>
        <w:t>randomisation</w:t>
      </w:r>
      <w:r w:rsidR="00A37C1D">
        <w:rPr>
          <w:kern w:val="0"/>
        </w:rPr>
        <w:t>. The</w:t>
      </w:r>
      <w:r>
        <w:rPr>
          <w:kern w:val="0"/>
        </w:rPr>
        <w:t>re was no significant difference between the two groups in the proportion</w:t>
      </w:r>
      <w:r w:rsidR="00427468">
        <w:rPr>
          <w:kern w:val="0"/>
        </w:rPr>
        <w:t xml:space="preserve"> of </w:t>
      </w:r>
      <w:r>
        <w:rPr>
          <w:kern w:val="0"/>
        </w:rPr>
        <w:t>people who required conversion to open cholecystectomy (ELC 49/244 (adjusted proportion 19.7%) versus DLC 54/244 (22.1%); RR 0.89; 95% CI 0.63 to 1.25 (6 trials))</w:t>
      </w:r>
      <w:r w:rsidR="00A37C1D">
        <w:rPr>
          <w:kern w:val="0"/>
        </w:rPr>
        <w:t>. The</w:t>
      </w:r>
      <w:r>
        <w:rPr>
          <w:kern w:val="0"/>
        </w:rPr>
        <w:t xml:space="preserve"> total hospital stay was shorter in the early group than the delayed group by four days (MD -4.12 days; 95% CI -5.22 to -3.03 (4 trials; 373 people))</w:t>
      </w:r>
      <w:r w:rsidR="00A37C1D">
        <w:rPr>
          <w:kern w:val="0"/>
        </w:rPr>
        <w:t>. The</w:t>
      </w:r>
      <w:r>
        <w:rPr>
          <w:kern w:val="0"/>
        </w:rPr>
        <w:t>re was no significant difference in the operating time between the two groups (MD -1.22 minutes; 95% CI -3.07 to 0.64 (6 trials; 488 people)). Only one trial reported return to work</w:t>
      </w:r>
      <w:r w:rsidR="00A37C1D">
        <w:rPr>
          <w:kern w:val="0"/>
        </w:rPr>
        <w:t>. The</w:t>
      </w:r>
      <w:r>
        <w:rPr>
          <w:kern w:val="0"/>
        </w:rPr>
        <w:t xml:space="preserve"> people belonging to the ELC group returned to work earlier than the DLC group (MD -11.00 days; 95% CI -19.61 to -2.39 (1 trial; 36 people)). Four trials did not report any gallstone-related morbidity during the waiting period. One trial reported five gallstone-related morbidities (cholangitis: two; biliary colic not requiring urgent operation: one; acute cholecystitis not requiring urgent operation: two)</w:t>
      </w:r>
      <w:r w:rsidR="00A37C1D">
        <w:rPr>
          <w:kern w:val="0"/>
        </w:rPr>
        <w:t>. The</w:t>
      </w:r>
      <w:r>
        <w:rPr>
          <w:kern w:val="0"/>
        </w:rPr>
        <w:t>re were no reports</w:t>
      </w:r>
      <w:r w:rsidR="00427468">
        <w:rPr>
          <w:kern w:val="0"/>
        </w:rPr>
        <w:t xml:space="preserve"> of </w:t>
      </w:r>
      <w:r>
        <w:rPr>
          <w:kern w:val="0"/>
        </w:rPr>
        <w:t>pancreatitis during the waiting time. Gallstone-related morbidity was not reported in the remaining trials. Forty (18.3%)</w:t>
      </w:r>
      <w:r w:rsidR="00427468">
        <w:rPr>
          <w:kern w:val="0"/>
        </w:rPr>
        <w:t xml:space="preserve"> of </w:t>
      </w:r>
      <w:r>
        <w:rPr>
          <w:kern w:val="0"/>
        </w:rPr>
        <w:t>the people belonging to the delayed group had either non-resolution</w:t>
      </w:r>
      <w:r w:rsidR="00427468">
        <w:rPr>
          <w:kern w:val="0"/>
        </w:rPr>
        <w:t xml:space="preserve"> of </w:t>
      </w:r>
      <w:r>
        <w:rPr>
          <w:kern w:val="0"/>
        </w:rPr>
        <w:t>symptoms or recurrence</w:t>
      </w:r>
      <w:r w:rsidR="00427468">
        <w:rPr>
          <w:kern w:val="0"/>
        </w:rPr>
        <w:t xml:space="preserve"> of </w:t>
      </w:r>
      <w:r>
        <w:rPr>
          <w:kern w:val="0"/>
        </w:rPr>
        <w:t>symptoms before their planned operation</w:t>
      </w:r>
      <w:r w:rsidR="005853A9">
        <w:rPr>
          <w:kern w:val="0"/>
        </w:rPr>
        <w:t xml:space="preserve"> and </w:t>
      </w:r>
      <w:r>
        <w:rPr>
          <w:kern w:val="0"/>
        </w:rPr>
        <w:t>had to undergo emergency laparoscopic cholecystectomy in five trials</w:t>
      </w:r>
      <w:r w:rsidR="00A37C1D">
        <w:rPr>
          <w:kern w:val="0"/>
        </w:rPr>
        <w:t>. The</w:t>
      </w:r>
      <w:r>
        <w:rPr>
          <w:kern w:val="0"/>
        </w:rPr>
        <w:t xml:space="preserve"> proportion with conversion to open cholecystectomy was 45% (18/40) in this group</w:t>
      </w:r>
      <w:r w:rsidR="00427468">
        <w:rPr>
          <w:kern w:val="0"/>
        </w:rPr>
        <w:t xml:space="preserve"> of </w:t>
      </w:r>
      <w:r>
        <w:rPr>
          <w:kern w:val="0"/>
        </w:rPr>
        <w:t>people. Authors</w:t>
      </w:r>
      <w:r w:rsidR="0071223E">
        <w:rPr>
          <w:kern w:val="0"/>
        </w:rPr>
        <w:t>’</w:t>
      </w:r>
      <w:r>
        <w:rPr>
          <w:kern w:val="0"/>
        </w:rPr>
        <w:t xml:space="preserve"> conclusions We found no significant difference between early</w:t>
      </w:r>
      <w:r w:rsidR="005853A9">
        <w:rPr>
          <w:kern w:val="0"/>
        </w:rPr>
        <w:t xml:space="preserve"> and </w:t>
      </w:r>
      <w:r>
        <w:rPr>
          <w:kern w:val="0"/>
        </w:rPr>
        <w:t>late laparoscopic cholecystectomy on our primary outcomes. However, trials with high risk</w:t>
      </w:r>
      <w:r w:rsidR="00427468">
        <w:rPr>
          <w:kern w:val="0"/>
        </w:rPr>
        <w:t xml:space="preserve"> of </w:t>
      </w:r>
      <w:r>
        <w:rPr>
          <w:kern w:val="0"/>
        </w:rPr>
        <w:t>bias indicate that early laparoscopic cholecystectomy during acute cholecystitis seems safe</w:t>
      </w:r>
      <w:r w:rsidR="005853A9">
        <w:rPr>
          <w:kern w:val="0"/>
        </w:rPr>
        <w:t xml:space="preserve"> and </w:t>
      </w:r>
      <w:r>
        <w:rPr>
          <w:kern w:val="0"/>
        </w:rPr>
        <w:t>may shorten the total hospital stay</w:t>
      </w:r>
      <w:r w:rsidR="00A37C1D">
        <w:rPr>
          <w:kern w:val="0"/>
        </w:rPr>
        <w:t>. The</w:t>
      </w:r>
      <w:r>
        <w:rPr>
          <w:kern w:val="0"/>
        </w:rPr>
        <w:t xml:space="preserve"> majority</w:t>
      </w:r>
      <w:r w:rsidR="00427468">
        <w:rPr>
          <w:kern w:val="0"/>
        </w:rPr>
        <w:t xml:space="preserve"> of </w:t>
      </w:r>
      <w:r>
        <w:rPr>
          <w:kern w:val="0"/>
        </w:rPr>
        <w:t>the important outcomes occurred rarely,</w:t>
      </w:r>
      <w:r w:rsidR="005853A9">
        <w:rPr>
          <w:kern w:val="0"/>
        </w:rPr>
        <w:t xml:space="preserve"> and </w:t>
      </w:r>
      <w:r>
        <w:rPr>
          <w:kern w:val="0"/>
        </w:rPr>
        <w:t>hence the confidence intervals are wide. It is unlikely that future randomised clinical trials will be powered to measure differences in bile duct injury</w:t>
      </w:r>
      <w:r w:rsidR="005853A9">
        <w:rPr>
          <w:kern w:val="0"/>
        </w:rPr>
        <w:t xml:space="preserve"> and </w:t>
      </w:r>
      <w:r>
        <w:rPr>
          <w:kern w:val="0"/>
        </w:rPr>
        <w:t>other serious complications since this might involve performing a trial</w:t>
      </w:r>
      <w:r w:rsidR="00427468">
        <w:rPr>
          <w:kern w:val="0"/>
        </w:rPr>
        <w:t xml:space="preserve"> of </w:t>
      </w:r>
      <w:r>
        <w:rPr>
          <w:kern w:val="0"/>
        </w:rPr>
        <w:t>more than 50,000 people, but several smaller randomised trials may answer the questions through meta-analyses.</w:t>
      </w:r>
    </w:p>
    <w:p w:rsidR="00365DE4" w:rsidRDefault="00365DE4" w:rsidP="00365DE4">
      <w:pPr>
        <w:pStyle w:val="a3"/>
        <w:rPr>
          <w:kern w:val="0"/>
        </w:rPr>
      </w:pPr>
      <w:r>
        <w:rPr>
          <w:kern w:val="0"/>
        </w:rPr>
        <w:t xml:space="preserve">Keywords: Acute Gallbladder-Disease, Adult, Age, Allocation, Analysis, Benefits, Bias, Bile-Duct Injuries, Cholecystectomy, Cholecystectomy,Laparoscopic [Adverse Effects], Cholecystitis,Acute [Surgery], Citation, Clinical, Clinical Trials, Clinical-Trials, Cochrane Collaboration, Colic, Collaboration, Collection, Complications, Confidence, Confidence Intervals, Conversion, Criteria, Data, Data Collection, Design Characteristics, Embase, Emergency, Empirical-Evidence, England, Fear, Gallstone Disease, Gallstones, Generation, Groups, Hospital, Hospital Stay, Humans, Index, Information, Injury, Intervals, Laparoscopic, Laparoscopic Cholecystectomy, Life, Low Risk, Measure, Medicine, </w:t>
      </w:r>
      <w:r w:rsidR="00D5664A">
        <w:rPr>
          <w:kern w:val="0"/>
        </w:rPr>
        <w:t>MEDLINE</w:t>
      </w:r>
      <w:r>
        <w:rPr>
          <w:kern w:val="0"/>
        </w:rPr>
        <w:t xml:space="preserve">, Methods, </w:t>
      </w:r>
      <w:r>
        <w:rPr>
          <w:kern w:val="0"/>
        </w:rPr>
        <w:lastRenderedPageBreak/>
        <w:t>Morbidity, Mortality, Open, Operation, Outcome, Outcomes, Pancreatitis, Population, Presentation, Primary, Procedures, Quality, Quality Of, Quality</w:t>
      </w:r>
      <w:r w:rsidR="00427468">
        <w:rPr>
          <w:kern w:val="0"/>
        </w:rPr>
        <w:t xml:space="preserve"> of </w:t>
      </w:r>
      <w:r>
        <w:rPr>
          <w:kern w:val="0"/>
        </w:rPr>
        <w:t xml:space="preserve">Life, Quality-Of-Life, Randomisation, Randomised, Randomized Controlled Trials As Topic, Randomized Controlled-Trials, Recurrence, Reporting, Review, Risk, River, Science, Science Citation Index, Science Citation Index Expanded, Search, Sequential-Analysis, Standard, Surgery, Surgical-Management, Symptoms, Systematic Review, Time Factors, Trial, </w:t>
      </w:r>
      <w:r w:rsidR="00D5664A">
        <w:rPr>
          <w:kern w:val="0"/>
        </w:rPr>
        <w:t>USA</w:t>
      </w:r>
      <w:r>
        <w:rPr>
          <w:kern w:val="0"/>
        </w:rPr>
        <w:t>, Work, World Health Organization</w:t>
      </w:r>
    </w:p>
    <w:p w:rsidR="00365DE4" w:rsidRDefault="00365DE4" w:rsidP="00365DE4">
      <w:pPr>
        <w:pStyle w:val="a3"/>
        <w:rPr>
          <w:kern w:val="0"/>
        </w:rPr>
      </w:pPr>
      <w:r>
        <w:rPr>
          <w:kern w:val="0"/>
        </w:rPr>
        <w:t>? Gur</w:t>
      </w:r>
      <w:r w:rsidR="00D5664A">
        <w:rPr>
          <w:kern w:val="0"/>
        </w:rPr>
        <w:t>USA</w:t>
      </w:r>
      <w:r>
        <w:rPr>
          <w:kern w:val="0"/>
        </w:rPr>
        <w:t>my, K.S., Koti, R.</w:t>
      </w:r>
      <w:r w:rsidR="005853A9">
        <w:rPr>
          <w:kern w:val="0"/>
        </w:rPr>
        <w:t xml:space="preserve"> and </w:t>
      </w:r>
      <w:r>
        <w:rPr>
          <w:kern w:val="0"/>
        </w:rPr>
        <w:t xml:space="preserve">Davidson, B.R. (2013), T-tube drainage versus primary closure after open common bile duct exploration.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CD005640.</w:t>
      </w:r>
    </w:p>
    <w:p w:rsidR="00365DE4" w:rsidRDefault="00365DE4" w:rsidP="00365DE4">
      <w:pPr>
        <w:pStyle w:val="a3"/>
        <w:rPr>
          <w:kern w:val="2"/>
        </w:rPr>
      </w:pPr>
      <w:r>
        <w:t>Full Text: 2013\Coc Dat Sys Rev2013, CD005640.pdf</w:t>
      </w:r>
    </w:p>
    <w:p w:rsidR="00365DE4" w:rsidRDefault="00365DE4" w:rsidP="00365DE4">
      <w:pPr>
        <w:pStyle w:val="a3"/>
        <w:rPr>
          <w:kern w:val="0"/>
        </w:rPr>
      </w:pPr>
      <w:r>
        <w:rPr>
          <w:kern w:val="0"/>
        </w:rPr>
        <w:t>Abstract: Background Between 5%</w:t>
      </w:r>
      <w:r w:rsidR="005853A9">
        <w:rPr>
          <w:kern w:val="0"/>
        </w:rPr>
        <w:t xml:space="preserve"> and </w:t>
      </w:r>
      <w:r>
        <w:rPr>
          <w:kern w:val="0"/>
        </w:rPr>
        <w:t>11%</w:t>
      </w:r>
      <w:r w:rsidR="00427468">
        <w:rPr>
          <w:kern w:val="0"/>
        </w:rPr>
        <w:t xml:space="preserve"> of </w:t>
      </w:r>
      <w:r>
        <w:rPr>
          <w:kern w:val="0"/>
        </w:rPr>
        <w:t>people undergoing cholecystectomy have common bile duct stones. Stones may be removed at the time</w:t>
      </w:r>
      <w:r w:rsidR="00427468">
        <w:rPr>
          <w:kern w:val="0"/>
        </w:rPr>
        <w:t xml:space="preserve"> of </w:t>
      </w:r>
      <w:r>
        <w:rPr>
          <w:kern w:val="0"/>
        </w:rPr>
        <w:t>cholecystectomy by opening</w:t>
      </w:r>
      <w:r w:rsidR="005853A9">
        <w:rPr>
          <w:kern w:val="0"/>
        </w:rPr>
        <w:t xml:space="preserve"> and </w:t>
      </w:r>
      <w:r>
        <w:rPr>
          <w:kern w:val="0"/>
        </w:rPr>
        <w:t>clearing the common bile duct</w:t>
      </w:r>
      <w:r w:rsidR="00A37C1D">
        <w:rPr>
          <w:kern w:val="0"/>
        </w:rPr>
        <w:t>. The</w:t>
      </w:r>
      <w:r>
        <w:rPr>
          <w:kern w:val="0"/>
        </w:rPr>
        <w:t xml:space="preserve"> optimal technique is unclear. Objectives The aim is to assess the benefits</w:t>
      </w:r>
      <w:r w:rsidR="005853A9">
        <w:rPr>
          <w:kern w:val="0"/>
        </w:rPr>
        <w:t xml:space="preserve"> and </w:t>
      </w:r>
      <w:r>
        <w:rPr>
          <w:kern w:val="0"/>
        </w:rPr>
        <w:t>harms</w:t>
      </w:r>
      <w:r w:rsidR="00427468">
        <w:rPr>
          <w:kern w:val="0"/>
        </w:rPr>
        <w:t xml:space="preserve"> of </w:t>
      </w:r>
      <w:r>
        <w:rPr>
          <w:kern w:val="0"/>
        </w:rPr>
        <w:t>T-tube drainage versus primary closure without biliary stent after open common bile duct exploration for common bile duct stones. Search methods We searched the Cochrane Hepato-Biliary Group Controlled Trials Register,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April 2013. Selection criteria We included all randomised clinical trials comparing T-tube drainage versus primary closure after open common bile duct exploration. Data collection</w:t>
      </w:r>
      <w:r w:rsidR="005853A9">
        <w:rPr>
          <w:kern w:val="0"/>
        </w:rPr>
        <w:t xml:space="preserve"> and </w:t>
      </w:r>
      <w:r>
        <w:rPr>
          <w:kern w:val="0"/>
        </w:rPr>
        <w:t>analysis Two</w:t>
      </w:r>
      <w:r w:rsidR="00427468">
        <w:rPr>
          <w:kern w:val="0"/>
        </w:rPr>
        <w:t xml:space="preserve"> of </w:t>
      </w:r>
      <w:r>
        <w:rPr>
          <w:kern w:val="0"/>
        </w:rPr>
        <w:t>four authors independently identified the studies for inclusion</w:t>
      </w:r>
      <w:r w:rsidR="005853A9">
        <w:rPr>
          <w:kern w:val="0"/>
        </w:rPr>
        <w:t xml:space="preserve"> and </w:t>
      </w:r>
      <w:r>
        <w:rPr>
          <w:kern w:val="0"/>
        </w:rPr>
        <w:t>extracted data. We analysed the data with both the fixed-effect</w:t>
      </w:r>
      <w:r w:rsidR="005853A9">
        <w:rPr>
          <w:kern w:val="0"/>
        </w:rPr>
        <w:t xml:space="preserve"> and </w:t>
      </w:r>
      <w:r>
        <w:rPr>
          <w:kern w:val="0"/>
        </w:rPr>
        <w:t>the random-effects model using Review Manager (RevMan) analyses. For each outcome we calculated the risk ratio (RR), rate ratio (RaR), or mean difference (MD) with 95% confidence interval (CI) based on intention-to-treat analysis. Main results We included six trials randomising 359 participants, 178 to T-tube drainage</w:t>
      </w:r>
      <w:r w:rsidR="005853A9">
        <w:rPr>
          <w:kern w:val="0"/>
        </w:rPr>
        <w:t xml:space="preserve"> and </w:t>
      </w:r>
      <w:r>
        <w:rPr>
          <w:kern w:val="0"/>
        </w:rPr>
        <w:t>181 to primary closure. All trials were at high risk</w:t>
      </w:r>
      <w:r w:rsidR="00427468">
        <w:rPr>
          <w:kern w:val="0"/>
        </w:rPr>
        <w:t xml:space="preserve"> of </w:t>
      </w:r>
      <w:r>
        <w:rPr>
          <w:kern w:val="0"/>
        </w:rPr>
        <w:t>bias</w:t>
      </w:r>
      <w:r w:rsidR="00A37C1D">
        <w:rPr>
          <w:kern w:val="0"/>
        </w:rPr>
        <w:t>. The</w:t>
      </w:r>
      <w:r>
        <w:rPr>
          <w:kern w:val="0"/>
        </w:rPr>
        <w:t>re was no significant difference in mortality between the two groups (4/178 (weighted percentage 1.2%) in the T-tube group versus 1/181 (0.6%) in the primary closure group; RR 2.25; 95% CI 0.55 to 9.25; six trials)</w:t>
      </w:r>
      <w:r w:rsidR="00A37C1D">
        <w:rPr>
          <w:kern w:val="0"/>
        </w:rPr>
        <w:t>. The</w:t>
      </w:r>
      <w:r>
        <w:rPr>
          <w:kern w:val="0"/>
        </w:rPr>
        <w:t>re was no significant difference in the serious morbidity rate between the two groups (24/136 (weighted serious morbidity rate, 145 events per 1000 patients) in the T-tube group versus 9/136 (weighted serious morbidity rate, 66 events per 1000 patients) in the primary closure group; RaR 2.19; 95% CI 0.98 to 4.91; four trials). Quality</w:t>
      </w:r>
      <w:r w:rsidR="00427468">
        <w:rPr>
          <w:kern w:val="0"/>
        </w:rPr>
        <w:t xml:space="preserve"> of </w:t>
      </w:r>
      <w:r>
        <w:rPr>
          <w:kern w:val="0"/>
        </w:rPr>
        <w:t>life</w:t>
      </w:r>
      <w:r w:rsidR="005853A9">
        <w:rPr>
          <w:kern w:val="0"/>
        </w:rPr>
        <w:t xml:space="preserve"> and </w:t>
      </w:r>
      <w:r>
        <w:rPr>
          <w:kern w:val="0"/>
        </w:rPr>
        <w:t>return to work were not reported in any</w:t>
      </w:r>
      <w:r w:rsidR="00427468">
        <w:rPr>
          <w:kern w:val="0"/>
        </w:rPr>
        <w:t xml:space="preserve"> of </w:t>
      </w:r>
      <w:r>
        <w:rPr>
          <w:kern w:val="0"/>
        </w:rPr>
        <w:t>the trials</w:t>
      </w:r>
      <w:r w:rsidR="00A37C1D">
        <w:rPr>
          <w:kern w:val="0"/>
        </w:rPr>
        <w:t>. The</w:t>
      </w:r>
      <w:r>
        <w:rPr>
          <w:kern w:val="0"/>
        </w:rPr>
        <w:t xml:space="preserve"> operating time was significantly longer in the T-tube drainage group compared with the primary closure group (MD 28.90 minutes; 95% CI 17.18 to 40.62 minutes; one trial)</w:t>
      </w:r>
      <w:r w:rsidR="00A37C1D">
        <w:rPr>
          <w:kern w:val="0"/>
        </w:rPr>
        <w:t>. The</w:t>
      </w:r>
      <w:r>
        <w:rPr>
          <w:kern w:val="0"/>
        </w:rPr>
        <w:t xml:space="preserve"> hospital stay was significantly longer in the T-tube drainage group compared with the </w:t>
      </w:r>
      <w:r>
        <w:rPr>
          <w:kern w:val="0"/>
        </w:rPr>
        <w:lastRenderedPageBreak/>
        <w:t>primary closure group (MD 4.72 days; 95% CI 0.83 days to 8.60 days; five trials). Authors</w:t>
      </w:r>
      <w:r w:rsidR="0071223E">
        <w:rPr>
          <w:kern w:val="0"/>
        </w:rPr>
        <w:t>’</w:t>
      </w:r>
      <w:r>
        <w:rPr>
          <w:kern w:val="0"/>
        </w:rPr>
        <w:t xml:space="preserve"> conclusions T-tube drainage appeared to result in significantly longer operating time</w:t>
      </w:r>
      <w:r w:rsidR="005853A9">
        <w:rPr>
          <w:kern w:val="0"/>
        </w:rPr>
        <w:t xml:space="preserve"> and </w:t>
      </w:r>
      <w:r>
        <w:rPr>
          <w:kern w:val="0"/>
        </w:rPr>
        <w:t>hospital stay compared with primary closure without any apparent evidence</w:t>
      </w:r>
      <w:r w:rsidR="00427468">
        <w:rPr>
          <w:kern w:val="0"/>
        </w:rPr>
        <w:t xml:space="preserve"> of </w:t>
      </w:r>
      <w:r>
        <w:rPr>
          <w:kern w:val="0"/>
        </w:rPr>
        <w:t>benefit on clinically important outcomes after open common bile duct exploration. Based on the currently available evidence, there is no justification for the routine use</w:t>
      </w:r>
      <w:r w:rsidR="00427468">
        <w:rPr>
          <w:kern w:val="0"/>
        </w:rPr>
        <w:t xml:space="preserve"> of </w:t>
      </w:r>
      <w:r>
        <w:rPr>
          <w:kern w:val="0"/>
        </w:rPr>
        <w:t>T-tube drainage after open common bile duct exploration in patients with common bile duct stones. T-tube drainage should not be used outside well designed randomised clinical trials. More randomised trials comparing the effects</w:t>
      </w:r>
      <w:r w:rsidR="00427468">
        <w:rPr>
          <w:kern w:val="0"/>
        </w:rPr>
        <w:t xml:space="preserve"> of </w:t>
      </w:r>
      <w:r>
        <w:rPr>
          <w:kern w:val="0"/>
        </w:rPr>
        <w:t>T-tube drainage versus primary closure after open common bile duct exploration may be needed. Such trials should be conducted with low risk</w:t>
      </w:r>
      <w:r w:rsidR="00427468">
        <w:rPr>
          <w:kern w:val="0"/>
        </w:rPr>
        <w:t xml:space="preserve"> of </w:t>
      </w:r>
      <w:r>
        <w:rPr>
          <w:kern w:val="0"/>
        </w:rPr>
        <w:t>bias</w:t>
      </w:r>
      <w:r w:rsidR="005853A9">
        <w:rPr>
          <w:kern w:val="0"/>
        </w:rPr>
        <w:t xml:space="preserve"> and </w:t>
      </w:r>
      <w:r>
        <w:rPr>
          <w:kern w:val="0"/>
        </w:rPr>
        <w:t>assessing the long-term beneficial</w:t>
      </w:r>
      <w:r w:rsidR="005853A9">
        <w:rPr>
          <w:kern w:val="0"/>
        </w:rPr>
        <w:t xml:space="preserve"> and </w:t>
      </w:r>
      <w:r>
        <w:rPr>
          <w:kern w:val="0"/>
        </w:rPr>
        <w:t>harmful effects</w:t>
      </w:r>
      <w:r w:rsidR="00427468">
        <w:rPr>
          <w:kern w:val="0"/>
        </w:rPr>
        <w:t xml:space="preserve"> of </w:t>
      </w:r>
      <w:r>
        <w:rPr>
          <w:kern w:val="0"/>
        </w:rPr>
        <w:t>T-tube drainage, including long-term complications such as bile stricture</w:t>
      </w:r>
      <w:r w:rsidR="005853A9">
        <w:rPr>
          <w:kern w:val="0"/>
        </w:rPr>
        <w:t xml:space="preserve"> and </w:t>
      </w:r>
      <w:r>
        <w:rPr>
          <w:kern w:val="0"/>
        </w:rPr>
        <w:t>recurrence</w:t>
      </w:r>
      <w:r w:rsidR="00427468">
        <w:rPr>
          <w:kern w:val="0"/>
        </w:rPr>
        <w:t xml:space="preserve"> of </w:t>
      </w:r>
      <w:r>
        <w:rPr>
          <w:kern w:val="0"/>
        </w:rPr>
        <w:t>common bile duct stones.</w:t>
      </w:r>
    </w:p>
    <w:p w:rsidR="00365DE4" w:rsidRDefault="00365DE4" w:rsidP="00365DE4">
      <w:pPr>
        <w:pStyle w:val="a3"/>
        <w:rPr>
          <w:kern w:val="0"/>
        </w:rPr>
      </w:pPr>
      <w:r>
        <w:rPr>
          <w:kern w:val="0"/>
        </w:rPr>
        <w:t xml:space="preserve">Keywords: Analyses, Analysis, Assessing, Authors, Benefits, Bias, Biliary Lithiasis, Cholecystectomy, Choledocholithiasis [Surgery], Citation, Clinical, Clinical Trials, Closure, Collection, Common Bile Duct Stones, Common Bile Duct [Surgery], Complications, Confidence, Criteria, Data, Data Collection, Design Characteristics, Drainage, Drainage [Adverse Effects, Effects, Embase, Empirical-Evidence, England, Events, Evidence, Gallstone Disease, Groups, Hospital, Hospital Stay, Humans, Information Size, Instrumentation], Interval, Laparoscopic Cholecystectomy, Life, Long Term, Long-Term, Low Risk, Medicine, </w:t>
      </w:r>
      <w:r w:rsidR="00D5664A">
        <w:rPr>
          <w:kern w:val="0"/>
        </w:rPr>
        <w:t>MEDLINE</w:t>
      </w:r>
      <w:r>
        <w:rPr>
          <w:kern w:val="0"/>
        </w:rPr>
        <w:t xml:space="preserve">, Methods, Model, Morbidity, Mortality, Open, Outcome, Outcomes, Patients, Postoperative Complications [Etiology], Primary, Primary Closure, Quality, Random Effects Model, Randomised, Randomized Clinical-Trials, Randomized Controlled Trials As Topic, Recurrence, Recurrent Choledocholithiasis, Review, Risk, River, Science, Science Citation Index, Science Citation Index Expanded, Search, Stents, Surgical Complications, T-Tube Drainage, Trial, Trial Sequential-Analysis, </w:t>
      </w:r>
      <w:r w:rsidR="00D5664A">
        <w:rPr>
          <w:kern w:val="0"/>
        </w:rPr>
        <w:t>USA</w:t>
      </w:r>
      <w:r>
        <w:rPr>
          <w:kern w:val="0"/>
        </w:rPr>
        <w:t>, Work</w:t>
      </w:r>
    </w:p>
    <w:p w:rsidR="00D8726F" w:rsidRDefault="00D8726F" w:rsidP="00D8726F">
      <w:pPr>
        <w:pStyle w:val="a3"/>
        <w:rPr>
          <w:kern w:val="0"/>
        </w:rPr>
      </w:pPr>
      <w:r>
        <w:rPr>
          <w:rFonts w:hint="eastAsia"/>
          <w:kern w:val="0"/>
        </w:rPr>
        <w:t xml:space="preserve">? </w:t>
      </w:r>
      <w:r>
        <w:rPr>
          <w:kern w:val="0"/>
        </w:rPr>
        <w:t xml:space="preserve">Yu-Wai-Man, P. and Griffiths, P.G. (2013), Steroids for traumatic optic neuropathy.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6</w:t>
      </w:r>
      <w:r>
        <w:rPr>
          <w:kern w:val="0"/>
        </w:rPr>
        <w:t xml:space="preserve">, Article Number: </w:t>
      </w:r>
      <w:r w:rsidRPr="000873FA">
        <w:rPr>
          <w:kern w:val="0"/>
        </w:rPr>
        <w:t>CD006032</w:t>
      </w:r>
      <w:r>
        <w:rPr>
          <w:kern w:val="0"/>
        </w:rPr>
        <w:t>.</w:t>
      </w:r>
    </w:p>
    <w:p w:rsidR="00D8726F" w:rsidRDefault="00D8726F" w:rsidP="00D8726F">
      <w:pPr>
        <w:pStyle w:val="a3"/>
        <w:rPr>
          <w:kern w:val="2"/>
        </w:rPr>
      </w:pPr>
      <w:r>
        <w:t xml:space="preserve">Full Text: 2013\Coc Dat Sys Rev2013, </w:t>
      </w:r>
      <w:r w:rsidRPr="000873FA">
        <w:rPr>
          <w:kern w:val="0"/>
        </w:rPr>
        <w:t>CD006032</w:t>
      </w:r>
      <w:r>
        <w:rPr>
          <w:kern w:val="0"/>
        </w:rPr>
        <w:t>.pdf</w:t>
      </w:r>
    </w:p>
    <w:p w:rsidR="00D8726F" w:rsidRDefault="00D8726F" w:rsidP="00D8726F">
      <w:pPr>
        <w:pStyle w:val="a3"/>
        <w:rPr>
          <w:kern w:val="0"/>
        </w:rPr>
      </w:pPr>
      <w:r>
        <w:rPr>
          <w:kern w:val="0"/>
        </w:rPr>
        <w:t>Abstract: Background Traumatic optic neuropathy (TON) is an important cause</w:t>
      </w:r>
      <w:r w:rsidR="00427468">
        <w:rPr>
          <w:kern w:val="0"/>
        </w:rPr>
        <w:t xml:space="preserve"> of </w:t>
      </w:r>
      <w:r>
        <w:rPr>
          <w:kern w:val="0"/>
        </w:rPr>
        <w:t>severe visual loss following blunt or penetrating head trauma. Following the initial injury, optic nerve swelling within the optic nerve canal can result in secondary retinal ganglion cell loss. Optic nerve decompression with steroids or surgical interventions or both has therefore been advocated as a means</w:t>
      </w:r>
      <w:r w:rsidR="00427468">
        <w:rPr>
          <w:kern w:val="0"/>
        </w:rPr>
        <w:t xml:space="preserve"> of </w:t>
      </w:r>
      <w:r>
        <w:rPr>
          <w:kern w:val="0"/>
        </w:rPr>
        <w:t>improving visual prognosis in TON. Objectives The aim</w:t>
      </w:r>
      <w:r w:rsidR="00427468">
        <w:rPr>
          <w:kern w:val="0"/>
        </w:rPr>
        <w:t xml:space="preserve"> of </w:t>
      </w:r>
      <w:r>
        <w:rPr>
          <w:kern w:val="0"/>
        </w:rPr>
        <w:t>this review was to examine the effectiveness and safety</w:t>
      </w:r>
      <w:r w:rsidR="00427468">
        <w:rPr>
          <w:kern w:val="0"/>
        </w:rPr>
        <w:t xml:space="preserve"> of </w:t>
      </w:r>
      <w:r>
        <w:rPr>
          <w:kern w:val="0"/>
        </w:rPr>
        <w:t xml:space="preserve">using steroids in TON. Search methods We searched CENTRAL (which contains the Cochrane Eyes and Vision Group Trials Register) (The Cochrane Library 2013, Issue 4), Ovid MEDLINE, Ovid MEDLINE In-Process </w:t>
      </w:r>
      <w:r>
        <w:rPr>
          <w:kern w:val="0"/>
        </w:rPr>
        <w:lastRenderedPageBreak/>
        <w:t>and Other Non-Indexed Citations, Ovid MEDLINE Daily, Ovid OLDMEDLINE, (January 1950 to May 2013), EMBASE (January 1980 to May 2013), Latin American and Caribbean Literature on Health Sciences (LILACS) (January 1982 to May 2013), Web</w:t>
      </w:r>
      <w:r w:rsidR="00427468">
        <w:rPr>
          <w:kern w:val="0"/>
        </w:rPr>
        <w:t xml:space="preserve"> of </w:t>
      </w:r>
      <w:r>
        <w:rPr>
          <w:kern w:val="0"/>
        </w:rPr>
        <w:t>Science Conference Proceedings Citation Index-Science (CPCI-S) (January 1990 to May 2013), the metaRegister</w:t>
      </w:r>
      <w:r w:rsidR="00427468">
        <w:rPr>
          <w:kern w:val="0"/>
        </w:rPr>
        <w:t xml:space="preserve"> of </w:t>
      </w:r>
      <w:r>
        <w:rPr>
          <w:kern w:val="0"/>
        </w:rPr>
        <w:t>Controlled Trials (mRCT) (www.controlled-trials.com), ClinicalTrials.gov (http://clinicaltrials.gov) and the WHO International Clinical Trials Registry Platform (ICTRP) (www.who.int/ictrp/search/en). We did not use any date or language restrictions in the electronic searches for trials. We last searched the electronic databases on 21 May 2013. We also searched the reference lists</w:t>
      </w:r>
      <w:r w:rsidR="00427468">
        <w:rPr>
          <w:kern w:val="0"/>
        </w:rPr>
        <w:t xml:space="preserve"> of </w:t>
      </w:r>
      <w:r>
        <w:rPr>
          <w:kern w:val="0"/>
        </w:rPr>
        <w:t>included studies, other reviews and book chapters on TON to find references to additional trials</w:t>
      </w:r>
      <w:r w:rsidR="00A37C1D">
        <w:rPr>
          <w:kern w:val="0"/>
        </w:rPr>
        <w:t>. The</w:t>
      </w:r>
      <w:r>
        <w:rPr>
          <w:kern w:val="0"/>
        </w:rPr>
        <w:t xml:space="preserve"> Science Citation Index was used to look for papers that cited the studies included in this review. We did not manually search any journals or conference proceedings. We contacted trial investigators and experts in the field to identify additional published and unpublished studies. Selection criteria We planned to include only randomised controlled trials (RCTs)</w:t>
      </w:r>
      <w:r w:rsidR="00427468">
        <w:rPr>
          <w:kern w:val="0"/>
        </w:rPr>
        <w:t xml:space="preserve"> of </w:t>
      </w:r>
      <w:r>
        <w:rPr>
          <w:kern w:val="0"/>
        </w:rPr>
        <w:t>TON in which any steroid regime, either on its own or in combination with surgical optic nerve decompression, was compared to surgery alone or no treatment. Data collection and analysis Two review authors independently assessed the titles and abstracts identified from the electronic searches. Main results We included one study that met our selection criteria; a double-masked, placebo-controlled, randomised trial</w:t>
      </w:r>
      <w:r w:rsidR="00427468">
        <w:rPr>
          <w:kern w:val="0"/>
        </w:rPr>
        <w:t xml:space="preserve"> of </w:t>
      </w:r>
      <w:r>
        <w:rPr>
          <w:kern w:val="0"/>
        </w:rPr>
        <w:t>high dose intravenous steroids in patients with indirect TON diagnosed within seven days</w:t>
      </w:r>
      <w:r w:rsidR="00427468">
        <w:rPr>
          <w:kern w:val="0"/>
        </w:rPr>
        <w:t xml:space="preserve"> of </w:t>
      </w:r>
      <w:r>
        <w:rPr>
          <w:kern w:val="0"/>
        </w:rPr>
        <w:t>the initial injury. A total</w:t>
      </w:r>
      <w:r w:rsidR="00427468">
        <w:rPr>
          <w:kern w:val="0"/>
        </w:rPr>
        <w:t xml:space="preserve"> of </w:t>
      </w:r>
      <w:r>
        <w:rPr>
          <w:kern w:val="0"/>
        </w:rPr>
        <w:t>31 eligible participants were randomised to receive either high dose intravenous steroids (n = 16) or placebo (n = 15), and they were all followed-up for three months. Mean final best corrected visual acuity (BCVA) was 1.78 +/- 1.23 Logarithm</w:t>
      </w:r>
      <w:r w:rsidR="00427468">
        <w:rPr>
          <w:kern w:val="0"/>
        </w:rPr>
        <w:t xml:space="preserve"> of </w:t>
      </w:r>
      <w:r>
        <w:rPr>
          <w:kern w:val="0"/>
        </w:rPr>
        <w:t>the Minimum Angle</w:t>
      </w:r>
      <w:r w:rsidR="00427468">
        <w:rPr>
          <w:kern w:val="0"/>
        </w:rPr>
        <w:t xml:space="preserve"> of </w:t>
      </w:r>
      <w:r>
        <w:rPr>
          <w:kern w:val="0"/>
        </w:rPr>
        <w:t>Resolution (LogMAR) in the placebo group, and 1.11 +/- 1.14 LogMAR in the steroid group</w:t>
      </w:r>
      <w:r w:rsidR="00A37C1D">
        <w:rPr>
          <w:kern w:val="0"/>
        </w:rPr>
        <w:t>. The</w:t>
      </w:r>
      <w:r>
        <w:rPr>
          <w:kern w:val="0"/>
        </w:rPr>
        <w:t xml:space="preserve"> mean difference in BCVA between the placebo and steroid groups was 0.67 LogMAR (95% confidence interval -1.54 to 0.20), and this difference was not statistically significant (P = 0.13). At three months follow-up, an improvement in BCVA</w:t>
      </w:r>
      <w:r w:rsidR="00427468">
        <w:rPr>
          <w:kern w:val="0"/>
        </w:rPr>
        <w:t xml:space="preserve"> of </w:t>
      </w:r>
      <w:r>
        <w:rPr>
          <w:kern w:val="0"/>
        </w:rPr>
        <w:t>0.40 LogMAR occurred in eight eyes (8/15, 53.3%) in the placebo group, and in 11 eyes (11/16, 68.8%) in the treatment group. This difference was not statistically significant (P = 0.38). Authors</w:t>
      </w:r>
      <w:r w:rsidR="0071223E">
        <w:rPr>
          <w:kern w:val="0"/>
        </w:rPr>
        <w:t>’</w:t>
      </w:r>
      <w:r>
        <w:rPr>
          <w:kern w:val="0"/>
        </w:rPr>
        <w:t xml:space="preserve"> conclusions There is a relatively high rate</w:t>
      </w:r>
      <w:r w:rsidR="00427468">
        <w:rPr>
          <w:kern w:val="0"/>
        </w:rPr>
        <w:t xml:space="preserve"> of </w:t>
      </w:r>
      <w:r>
        <w:rPr>
          <w:kern w:val="0"/>
        </w:rPr>
        <w:t>spontaneous visual recovery in TON and there is no convincing data that steroids provide any additional visual benefit over observation alone. Recent evidence also suggests a possible detrimental effect</w:t>
      </w:r>
      <w:r w:rsidR="00427468">
        <w:rPr>
          <w:kern w:val="0"/>
        </w:rPr>
        <w:t xml:space="preserve"> of </w:t>
      </w:r>
      <w:r>
        <w:rPr>
          <w:kern w:val="0"/>
        </w:rPr>
        <w:t>steroids in TON and further studies are urgently needed to clarify this important issue. Each case therefore needs to be assessed on an individual basis and proper informed consent is paramount.</w:t>
      </w:r>
    </w:p>
    <w:p w:rsidR="00D8726F" w:rsidRDefault="00D8726F" w:rsidP="00D8726F">
      <w:pPr>
        <w:pStyle w:val="a3"/>
        <w:rPr>
          <w:kern w:val="0"/>
        </w:rPr>
      </w:pPr>
      <w:r>
        <w:rPr>
          <w:kern w:val="0"/>
        </w:rPr>
        <w:t xml:space="preserve">Keywords: Analysis, Authors, Blindness, Cell, Citation, Citations, Clinical Trials, </w:t>
      </w:r>
      <w:r>
        <w:rPr>
          <w:kern w:val="0"/>
        </w:rPr>
        <w:lastRenderedPageBreak/>
        <w:t>Collection, Conference, Conference Proceedings, Confidence, Consent, Controlled-Trial, Counting Fingers, Criteria, Data, Data Collection, Databases, Effectiveness, Embase, Evidence, Experts, Field, Follow-Up, Groups, Hand Motion, Head Trauma, Head-Injury, Health, High Dose, Humans, Improvement, Informed Consent, Injections,Intravenous, Injury, Interval, Interventions, Intravenous, Journals, Language, Literature, Medline, Methods, Methylprednisolone, Methylprednisolone [Administration &amp; Dosage], Needs, Nerve Trauma, Neuropathy, Nonsurgical Treatment, Observation, Optic Neuropathy, Opticnerve Injuries [Drug Therapy], P, Papers, Patients, Placebo, Prognosis, Randomised, Randomised Controlled Trials, Randomised Trial, Randomized Controlled Trials As Topic, Recent, Recovery, Reference, Reference Lists, References, Restrictions, Review, Reviews, Safety, Science, Science Citation Index, Sciences, Search, Selection, Selection Criteria, Spinal-Cord-Injury, Spontaneous, Steroids, Steroids [Administration &amp; Dosage, Surgery, Swelling, Therapeutic Use], Trauma, Traumatic, Treatment, Trial, Visual Acuity [Physiology], Visual-Acuity Test, Web</w:t>
      </w:r>
      <w:r w:rsidR="00427468">
        <w:rPr>
          <w:kern w:val="0"/>
        </w:rPr>
        <w:t xml:space="preserve"> of </w:t>
      </w:r>
      <w:r>
        <w:rPr>
          <w:kern w:val="0"/>
        </w:rPr>
        <w:t>Science, Who</w:t>
      </w:r>
    </w:p>
    <w:p w:rsidR="00365DE4" w:rsidRDefault="00365DE4" w:rsidP="00365DE4">
      <w:pPr>
        <w:pStyle w:val="a3"/>
        <w:rPr>
          <w:kern w:val="0"/>
        </w:rPr>
      </w:pPr>
      <w:r>
        <w:rPr>
          <w:kern w:val="0"/>
        </w:rPr>
        <w:t>? Svircevic, V., Passier, M.M., Nierich, A.P., van Dijk, D., Kalkman, C.J.</w:t>
      </w:r>
      <w:r w:rsidR="005853A9">
        <w:rPr>
          <w:kern w:val="0"/>
        </w:rPr>
        <w:t xml:space="preserve"> and </w:t>
      </w:r>
      <w:r>
        <w:rPr>
          <w:kern w:val="0"/>
        </w:rPr>
        <w:t xml:space="preserve">van der Heijden, G.J. (2013), Epidural analgesia for cardiac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CD006715.</w:t>
      </w:r>
    </w:p>
    <w:p w:rsidR="00365DE4" w:rsidRDefault="00365DE4" w:rsidP="00365DE4">
      <w:pPr>
        <w:pStyle w:val="a3"/>
        <w:rPr>
          <w:kern w:val="2"/>
        </w:rPr>
      </w:pPr>
      <w:r>
        <w:t>Full Text: 2013\Coc Dat Sys Rev2013, CD006715.pdf</w:t>
      </w:r>
    </w:p>
    <w:p w:rsidR="00365DE4" w:rsidRDefault="00365DE4" w:rsidP="00365DE4">
      <w:pPr>
        <w:pStyle w:val="a3"/>
        <w:rPr>
          <w:kern w:val="0"/>
        </w:rPr>
      </w:pPr>
      <w:r>
        <w:rPr>
          <w:kern w:val="0"/>
        </w:rPr>
        <w:t>Abstract: Background A combination</w:t>
      </w:r>
      <w:r w:rsidR="00427468">
        <w:rPr>
          <w:kern w:val="0"/>
        </w:rPr>
        <w:t xml:space="preserve"> of </w:t>
      </w:r>
      <w:r>
        <w:rPr>
          <w:kern w:val="0"/>
        </w:rPr>
        <w:t>general anaesthesia (GA) with thoracic epidural analgesia (TEA) may have a beneficial effect on clinical outcomes by reducing the risk</w:t>
      </w:r>
      <w:r w:rsidR="00427468">
        <w:rPr>
          <w:kern w:val="0"/>
        </w:rPr>
        <w:t xml:space="preserve"> of </w:t>
      </w:r>
      <w:r>
        <w:rPr>
          <w:kern w:val="0"/>
        </w:rPr>
        <w:t>perioperative complications after cardiac surgery. Objectives The objective</w:t>
      </w:r>
      <w:r w:rsidR="00427468">
        <w:rPr>
          <w:kern w:val="0"/>
        </w:rPr>
        <w:t xml:space="preserve"> of </w:t>
      </w:r>
      <w:r>
        <w:rPr>
          <w:kern w:val="0"/>
        </w:rPr>
        <w:t>this review was to determine the impact</w:t>
      </w:r>
      <w:r w:rsidR="00427468">
        <w:rPr>
          <w:kern w:val="0"/>
        </w:rPr>
        <w:t xml:space="preserve"> of </w:t>
      </w:r>
      <w:r>
        <w:rPr>
          <w:kern w:val="0"/>
        </w:rPr>
        <w:t>perioperative epidural analgesia in cardiac surgery on perioperative mortality</w:t>
      </w:r>
      <w:r w:rsidR="005853A9">
        <w:rPr>
          <w:kern w:val="0"/>
        </w:rPr>
        <w:t xml:space="preserve"> and </w:t>
      </w:r>
      <w:r>
        <w:rPr>
          <w:kern w:val="0"/>
        </w:rPr>
        <w:t>cardiac, pulmonary or neurological morbidity. We performed a meta-analysis to compare the risk</w:t>
      </w:r>
      <w:r w:rsidR="00427468">
        <w:rPr>
          <w:kern w:val="0"/>
        </w:rPr>
        <w:t xml:space="preserve"> of </w:t>
      </w:r>
      <w:r>
        <w:rPr>
          <w:kern w:val="0"/>
        </w:rPr>
        <w:t>adverse events</w:t>
      </w:r>
      <w:r w:rsidR="005853A9">
        <w:rPr>
          <w:kern w:val="0"/>
        </w:rPr>
        <w:t xml:space="preserve"> and </w:t>
      </w:r>
      <w:r>
        <w:rPr>
          <w:kern w:val="0"/>
        </w:rPr>
        <w:t>mortality in patients undergoing cardiac surgery under general anaesthesia with</w:t>
      </w:r>
      <w:r w:rsidR="005853A9">
        <w:rPr>
          <w:kern w:val="0"/>
        </w:rPr>
        <w:t xml:space="preserve"> and </w:t>
      </w:r>
      <w:r>
        <w:rPr>
          <w:kern w:val="0"/>
        </w:rPr>
        <w:t>without epidural analgesia. Search methods We searched the Cochrane Central Register</w:t>
      </w:r>
      <w:r w:rsidR="00427468">
        <w:rPr>
          <w:kern w:val="0"/>
        </w:rPr>
        <w:t xml:space="preserve"> of </w:t>
      </w:r>
      <w:r>
        <w:rPr>
          <w:kern w:val="0"/>
        </w:rPr>
        <w:t xml:space="preserve">Controlled Trials (CENTRAL) (2012, Issue 12) in The Cochrane Library; </w:t>
      </w:r>
      <w:r w:rsidR="00D5664A">
        <w:rPr>
          <w:kern w:val="0"/>
        </w:rPr>
        <w:t>MEDLINE</w:t>
      </w:r>
      <w:r>
        <w:rPr>
          <w:kern w:val="0"/>
        </w:rPr>
        <w:t xml:space="preserve"> (PubMed) (1966 to November 2012); EMBASE (1989 to November 2012); CINHAL (1982 to November 2012)</w:t>
      </w:r>
      <w:r w:rsidR="005853A9">
        <w:rPr>
          <w:kern w:val="0"/>
        </w:rPr>
        <w:t xml:space="preserve"> and </w:t>
      </w:r>
      <w:r>
        <w:rPr>
          <w:kern w:val="0"/>
        </w:rPr>
        <w:t>the Science Citation Index (1988 to November 2012). Selection criteria We included randomized controlled trials comparing outcomes in adult patients undergoing cardiac surgery with either GA alone or GA in combination with TEA. Data collection</w:t>
      </w:r>
      <w:r w:rsidR="005853A9">
        <w:rPr>
          <w:kern w:val="0"/>
        </w:rPr>
        <w:t xml:space="preserve"> and </w:t>
      </w:r>
      <w:r>
        <w:rPr>
          <w:kern w:val="0"/>
        </w:rPr>
        <w:t>analysis All publications found during the search were manually</w:t>
      </w:r>
      <w:r w:rsidR="005853A9">
        <w:rPr>
          <w:kern w:val="0"/>
        </w:rPr>
        <w:t xml:space="preserve"> and </w:t>
      </w:r>
      <w:r>
        <w:rPr>
          <w:kern w:val="0"/>
        </w:rPr>
        <w:t>independently reviewed by the two authors. We identified 5035 titles,</w:t>
      </w:r>
      <w:r w:rsidR="00427468">
        <w:rPr>
          <w:kern w:val="0"/>
        </w:rPr>
        <w:t xml:space="preserve"> of </w:t>
      </w:r>
      <w:r>
        <w:rPr>
          <w:kern w:val="0"/>
        </w:rPr>
        <w:t>which 4990 studies did not satisfy the selection criteria or were duplicate publications, that were retrieved from the five different databases. We performed a full review on 45 studies,</w:t>
      </w:r>
      <w:r w:rsidR="00427468">
        <w:rPr>
          <w:kern w:val="0"/>
        </w:rPr>
        <w:t xml:space="preserve"> of </w:t>
      </w:r>
      <w:r>
        <w:rPr>
          <w:kern w:val="0"/>
        </w:rPr>
        <w:t>which 31 publications met all inclusion criteria</w:t>
      </w:r>
      <w:r w:rsidR="00A37C1D">
        <w:rPr>
          <w:kern w:val="0"/>
        </w:rPr>
        <w:t>. The</w:t>
      </w:r>
      <w:r>
        <w:rPr>
          <w:kern w:val="0"/>
        </w:rPr>
        <w:t>se 31 publications reported on a total</w:t>
      </w:r>
      <w:r w:rsidR="00427468">
        <w:rPr>
          <w:kern w:val="0"/>
        </w:rPr>
        <w:t xml:space="preserve"> of </w:t>
      </w:r>
      <w:r>
        <w:rPr>
          <w:kern w:val="0"/>
        </w:rPr>
        <w:t>3047 patients, 1578 patients with GA</w:t>
      </w:r>
      <w:r w:rsidR="005853A9">
        <w:rPr>
          <w:kern w:val="0"/>
        </w:rPr>
        <w:t xml:space="preserve"> and </w:t>
      </w:r>
      <w:r>
        <w:rPr>
          <w:kern w:val="0"/>
        </w:rPr>
        <w:t xml:space="preserve">1469 patients with GA plus TEA. Main </w:t>
      </w:r>
      <w:r>
        <w:rPr>
          <w:kern w:val="0"/>
        </w:rPr>
        <w:lastRenderedPageBreak/>
        <w:t>results Through our search (November 2012) we have identified 5035 titles,</w:t>
      </w:r>
      <w:r w:rsidR="00427468">
        <w:rPr>
          <w:kern w:val="0"/>
        </w:rPr>
        <w:t xml:space="preserve"> of </w:t>
      </w:r>
      <w:r>
        <w:rPr>
          <w:kern w:val="0"/>
        </w:rPr>
        <w:t>which 31 publications met our inclusion criteria</w:t>
      </w:r>
      <w:r w:rsidR="005853A9">
        <w:rPr>
          <w:kern w:val="0"/>
        </w:rPr>
        <w:t xml:space="preserve"> and </w:t>
      </w:r>
      <w:r>
        <w:rPr>
          <w:kern w:val="0"/>
        </w:rPr>
        <w:t>reported on a total</w:t>
      </w:r>
      <w:r w:rsidR="00427468">
        <w:rPr>
          <w:kern w:val="0"/>
        </w:rPr>
        <w:t xml:space="preserve"> of </w:t>
      </w:r>
      <w:r>
        <w:rPr>
          <w:kern w:val="0"/>
        </w:rPr>
        <w:t>3047 patients. Compared with GA alone, the pooled risk ratio (RR) for patients receiving GA with TEA showed an odds ratio (OR)</w:t>
      </w:r>
      <w:r w:rsidR="00427468">
        <w:rPr>
          <w:kern w:val="0"/>
        </w:rPr>
        <w:t xml:space="preserve"> of </w:t>
      </w:r>
      <w:r>
        <w:rPr>
          <w:kern w:val="0"/>
        </w:rPr>
        <w:t>0.84 (95% CI 0.33 to 2.13, 31 studies) for mortality; 0.76 (95% CI 0.49 to 1.19, 17 studies) for myocardial infarction;</w:t>
      </w:r>
      <w:r w:rsidR="005853A9">
        <w:rPr>
          <w:kern w:val="0"/>
        </w:rPr>
        <w:t xml:space="preserve"> and </w:t>
      </w:r>
      <w:r>
        <w:rPr>
          <w:kern w:val="0"/>
        </w:rPr>
        <w:t>0.50 (95% CI 0.21 to 1.18, 10 studies) for stroke</w:t>
      </w:r>
      <w:r w:rsidR="00A37C1D">
        <w:rPr>
          <w:kern w:val="0"/>
        </w:rPr>
        <w:t>. The</w:t>
      </w:r>
      <w:r>
        <w:rPr>
          <w:kern w:val="0"/>
        </w:rPr>
        <w:t xml:space="preserve"> relative risks (RR) for respiratory complications</w:t>
      </w:r>
      <w:r w:rsidR="005853A9">
        <w:rPr>
          <w:kern w:val="0"/>
        </w:rPr>
        <w:t xml:space="preserve"> and </w:t>
      </w:r>
      <w:r>
        <w:rPr>
          <w:kern w:val="0"/>
        </w:rPr>
        <w:t>supraventricular arrhythmias were 0.68 (95% CI 0.54 to 0.86, 14 studies)</w:t>
      </w:r>
      <w:r w:rsidR="005853A9">
        <w:rPr>
          <w:kern w:val="0"/>
        </w:rPr>
        <w:t xml:space="preserve"> and </w:t>
      </w:r>
      <w:r>
        <w:rPr>
          <w:kern w:val="0"/>
        </w:rPr>
        <w:t>0.65 (95% CI 0.50 to 0.86, 15 studies) respectively. Authors</w:t>
      </w:r>
      <w:r w:rsidR="0071223E">
        <w:rPr>
          <w:kern w:val="0"/>
        </w:rPr>
        <w:t>’</w:t>
      </w:r>
      <w:r>
        <w:rPr>
          <w:kern w:val="0"/>
        </w:rPr>
        <w:t xml:space="preserve"> conclusions This meta-analysis</w:t>
      </w:r>
      <w:r w:rsidR="00427468">
        <w:rPr>
          <w:kern w:val="0"/>
        </w:rPr>
        <w:t xml:space="preserve"> of </w:t>
      </w:r>
      <w:r>
        <w:rPr>
          <w:kern w:val="0"/>
        </w:rPr>
        <w:t>studies, identified to 2010, showed that the use</w:t>
      </w:r>
      <w:r w:rsidR="00427468">
        <w:rPr>
          <w:kern w:val="0"/>
        </w:rPr>
        <w:t xml:space="preserve"> of </w:t>
      </w:r>
      <w:r>
        <w:rPr>
          <w:kern w:val="0"/>
        </w:rPr>
        <w:t>TEA in patients undergoing coronary artery bypass graft surgery may reduce the risk</w:t>
      </w:r>
      <w:r w:rsidR="00427468">
        <w:rPr>
          <w:kern w:val="0"/>
        </w:rPr>
        <w:t xml:space="preserve"> of </w:t>
      </w:r>
      <w:r>
        <w:rPr>
          <w:kern w:val="0"/>
        </w:rPr>
        <w:t>postoperative supraventricular arrhythmias</w:t>
      </w:r>
      <w:r w:rsidR="005853A9">
        <w:rPr>
          <w:kern w:val="0"/>
        </w:rPr>
        <w:t xml:space="preserve"> and </w:t>
      </w:r>
      <w:r>
        <w:rPr>
          <w:kern w:val="0"/>
        </w:rPr>
        <w:t>respiratory complications</w:t>
      </w:r>
      <w:r w:rsidR="00A37C1D">
        <w:rPr>
          <w:kern w:val="0"/>
        </w:rPr>
        <w:t>. The</w:t>
      </w:r>
      <w:r>
        <w:rPr>
          <w:kern w:val="0"/>
        </w:rPr>
        <w:t>re were no effects</w:t>
      </w:r>
      <w:r w:rsidR="00427468">
        <w:rPr>
          <w:kern w:val="0"/>
        </w:rPr>
        <w:t xml:space="preserve"> of </w:t>
      </w:r>
      <w:r>
        <w:rPr>
          <w:kern w:val="0"/>
        </w:rPr>
        <w:t>TEA with GA on the risk</w:t>
      </w:r>
      <w:r w:rsidR="00427468">
        <w:rPr>
          <w:kern w:val="0"/>
        </w:rPr>
        <w:t xml:space="preserve"> of </w:t>
      </w:r>
      <w:r>
        <w:rPr>
          <w:kern w:val="0"/>
        </w:rPr>
        <w:t>mortality, myocardial infarction or neurological complications compared with GA alone.</w:t>
      </w:r>
    </w:p>
    <w:p w:rsidR="00365DE4" w:rsidRDefault="00365DE4" w:rsidP="00365DE4">
      <w:pPr>
        <w:pStyle w:val="a3"/>
        <w:rPr>
          <w:kern w:val="0"/>
        </w:rPr>
      </w:pPr>
      <w:r>
        <w:rPr>
          <w:kern w:val="0"/>
        </w:rPr>
        <w:t xml:space="preserve">Keywords: Adult, Anaesthesia, Analgesia, Analysis, Artery, Artery-Bypass-Surgery, Authors, Cardiac Surgery, Cardiopulmonary Bypass, Citation, Clinical, Clinical Outcomes, Collection, Complications, Coronary Artery, Coronary Artery Bypass Graft, Criteria, Data Collection, Databases, Effects, Embase, Epidural, Epidural Analgesia, Events, Fast-Track, General, General Anaesthesia, General-Anesthesia, Graft, Graft-Surgery, Impact, Infarction, Inflammatory Response, </w:t>
      </w:r>
      <w:r w:rsidR="00D5664A">
        <w:rPr>
          <w:kern w:val="0"/>
        </w:rPr>
        <w:t>MEDLINE</w:t>
      </w:r>
      <w:r>
        <w:rPr>
          <w:kern w:val="0"/>
        </w:rPr>
        <w:t>, Meta Analysis, Meta-Analysis, Metaanalysis, Methods, Morbidity, Mortality, Myocardial Infarction, Neurological, Odds Ratio, Open-Heart-Surgery, Outcomes, Patients, Perioperative Complications, Postoperative, Postoperative Atrial-Fibrillation, Publications, Pubmed, Randomized, Randomized Controlled Trials, Randomized Controlled-Trial, Review, Risk, Risks, Science, Science Citation Index, Search, Selection, Selection Criteria, Stroke, Supraventricular, Surgery, Ventilation-Perfusion Relationships</w:t>
      </w:r>
    </w:p>
    <w:p w:rsidR="00D8726F" w:rsidRDefault="00D8726F" w:rsidP="00D8726F">
      <w:pPr>
        <w:pStyle w:val="a3"/>
        <w:rPr>
          <w:kern w:val="0"/>
        </w:rPr>
      </w:pPr>
      <w:r>
        <w:rPr>
          <w:rFonts w:hint="eastAsia"/>
          <w:kern w:val="0"/>
        </w:rPr>
        <w:t xml:space="preserve">? </w:t>
      </w:r>
      <w:r>
        <w:rPr>
          <w:kern w:val="0"/>
        </w:rPr>
        <w:t xml:space="preserve">Sarai, M., Tejani, A.M., Chan, A.H.W., Kuo, I.F. and Li, J. (2013), Magnesium for alcohol withdrawal.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6</w:t>
      </w:r>
      <w:r>
        <w:rPr>
          <w:kern w:val="0"/>
        </w:rPr>
        <w:t xml:space="preserve">, Article Number: </w:t>
      </w:r>
      <w:r w:rsidRPr="000873FA">
        <w:rPr>
          <w:kern w:val="0"/>
        </w:rPr>
        <w:t>CD008358</w:t>
      </w:r>
      <w:r>
        <w:rPr>
          <w:kern w:val="0"/>
        </w:rPr>
        <w:t>.</w:t>
      </w:r>
    </w:p>
    <w:p w:rsidR="00D8726F" w:rsidRDefault="00D8726F" w:rsidP="00D8726F">
      <w:pPr>
        <w:pStyle w:val="a3"/>
        <w:rPr>
          <w:kern w:val="2"/>
        </w:rPr>
      </w:pPr>
      <w:r>
        <w:t xml:space="preserve">Full Text: 2013\Coc Dat Sys Rev2013, </w:t>
      </w:r>
      <w:r w:rsidRPr="000873FA">
        <w:rPr>
          <w:kern w:val="0"/>
        </w:rPr>
        <w:t>CD008358</w:t>
      </w:r>
      <w:r>
        <w:rPr>
          <w:kern w:val="0"/>
        </w:rPr>
        <w:t>.pdf</w:t>
      </w:r>
    </w:p>
    <w:p w:rsidR="00D8726F" w:rsidRDefault="00D8726F" w:rsidP="00D8726F">
      <w:pPr>
        <w:pStyle w:val="a3"/>
        <w:rPr>
          <w:kern w:val="0"/>
        </w:rPr>
      </w:pPr>
      <w:r>
        <w:rPr>
          <w:kern w:val="0"/>
        </w:rPr>
        <w:t>Abstract: Background Patients have been given magnesium to treat or prevent alcohol withdrawal syndrome (AWS). Evidence to support this practice is limited, and is often based on the controversial link between hypomagnesaemia and AWS. Objectives To assess the effects</w:t>
      </w:r>
      <w:r w:rsidR="00427468">
        <w:rPr>
          <w:kern w:val="0"/>
        </w:rPr>
        <w:t xml:space="preserve"> of </w:t>
      </w:r>
      <w:r>
        <w:rPr>
          <w:kern w:val="0"/>
        </w:rPr>
        <w:t>magnesium for the prevention or treatment</w:t>
      </w:r>
      <w:r w:rsidR="00427468">
        <w:rPr>
          <w:kern w:val="0"/>
        </w:rPr>
        <w:t xml:space="preserve"> of </w:t>
      </w:r>
      <w:r>
        <w:rPr>
          <w:kern w:val="0"/>
        </w:rPr>
        <w:t>AWS in hospitalised adults. Search methods We searched the Cochrane Drugs and Alcohol Group Register</w:t>
      </w:r>
      <w:r w:rsidR="00427468">
        <w:rPr>
          <w:kern w:val="0"/>
        </w:rPr>
        <w:t xml:space="preserve"> of </w:t>
      </w:r>
      <w:r>
        <w:rPr>
          <w:kern w:val="0"/>
        </w:rPr>
        <w:t>Controlled Trials (August 2012), PubMed (from 1966 to August 2012), EMBASE (from 1988 to August 2012), CINAHL (from 1982 to March 2010), Web</w:t>
      </w:r>
      <w:r w:rsidR="00427468">
        <w:rPr>
          <w:kern w:val="0"/>
        </w:rPr>
        <w:t xml:space="preserve"> of </w:t>
      </w:r>
      <w:r>
        <w:rPr>
          <w:kern w:val="0"/>
        </w:rPr>
        <w:t>Science (1965 to August 2012). We also carried out Internet searches. Selection criteria Randomised or quasi-randomised trials</w:t>
      </w:r>
      <w:r w:rsidR="00427468">
        <w:rPr>
          <w:kern w:val="0"/>
        </w:rPr>
        <w:t xml:space="preserve"> of </w:t>
      </w:r>
      <w:r>
        <w:rPr>
          <w:kern w:val="0"/>
        </w:rPr>
        <w:t xml:space="preserve">magnesium for </w:t>
      </w:r>
      <w:r>
        <w:rPr>
          <w:kern w:val="0"/>
        </w:rPr>
        <w:lastRenderedPageBreak/>
        <w:t>hospitalised adults with, or at risk for, acute alcohol withdrawal. Data collection and analysis Two review authors independently extracted data with a standardised data extraction form, contacting the correspondence investigator if the necessary information was not available in the reports. Dichotomous outcomes were analysed by calculating the risk ratio (RR) for each trial, with the uncertainty in each result expressed with a 95% confidence interval (CI). Continuous outcomes were to be analysed by calculating the standardised mean difference (SMD) with 95% CI. For outcomes assessed by scales we compared and pooled the mean score differences from the end</w:t>
      </w:r>
      <w:r w:rsidR="00427468">
        <w:rPr>
          <w:kern w:val="0"/>
        </w:rPr>
        <w:t xml:space="preserve"> of </w:t>
      </w:r>
      <w:r>
        <w:rPr>
          <w:kern w:val="0"/>
        </w:rPr>
        <w:t>treatment to baseline (post minus pre) in the experimental and control groups. Main results Four trials involving 317 people met the inclusion criteria. Three trials studied oral magnesium, with doses ranging from 12.5 mmol/day to 20 mmol/day. One trial studied parenteral magnesium (16.24 mEq q6h for 24 hours). Each trial demonstrated a high risk</w:t>
      </w:r>
      <w:r w:rsidR="00427468">
        <w:rPr>
          <w:kern w:val="0"/>
        </w:rPr>
        <w:t xml:space="preserve"> of </w:t>
      </w:r>
      <w:r>
        <w:rPr>
          <w:kern w:val="0"/>
        </w:rPr>
        <w:t>bias in at least one domain</w:t>
      </w:r>
      <w:r w:rsidR="00A37C1D">
        <w:rPr>
          <w:kern w:val="0"/>
        </w:rPr>
        <w:t>. The</w:t>
      </w:r>
      <w:r>
        <w:rPr>
          <w:kern w:val="0"/>
        </w:rPr>
        <w:t>re was significant clinical and methodological variation between trials. We found no study that measured all</w:t>
      </w:r>
      <w:r w:rsidR="00427468">
        <w:rPr>
          <w:kern w:val="0"/>
        </w:rPr>
        <w:t xml:space="preserve"> of </w:t>
      </w:r>
      <w:r>
        <w:rPr>
          <w:kern w:val="0"/>
        </w:rPr>
        <w:t>the identified primary outcomes and met the objectives</w:t>
      </w:r>
      <w:r w:rsidR="00427468">
        <w:rPr>
          <w:kern w:val="0"/>
        </w:rPr>
        <w:t xml:space="preserve"> of </w:t>
      </w:r>
      <w:r>
        <w:rPr>
          <w:kern w:val="0"/>
        </w:rPr>
        <w:t>this review. Only one trial measured clinical symptoms</w:t>
      </w:r>
      <w:r w:rsidR="00427468">
        <w:rPr>
          <w:kern w:val="0"/>
        </w:rPr>
        <w:t xml:space="preserve"> of </w:t>
      </w:r>
      <w:r>
        <w:rPr>
          <w:kern w:val="0"/>
        </w:rPr>
        <w:t>seizure, delirium tremens or components</w:t>
      </w:r>
      <w:r w:rsidR="00427468">
        <w:rPr>
          <w:kern w:val="0"/>
        </w:rPr>
        <w:t xml:space="preserve"> of </w:t>
      </w:r>
      <w:r>
        <w:rPr>
          <w:kern w:val="0"/>
        </w:rPr>
        <w:t>the Clinical Institute Withdrawal Assessment for Alcohol (CIWA) score. A single outcome (handgrip strength) in three trials (113 people), was amenable to meta-analysis</w:t>
      </w:r>
      <w:r w:rsidR="00A37C1D">
        <w:rPr>
          <w:kern w:val="0"/>
        </w:rPr>
        <w:t>. The</w:t>
      </w:r>
      <w:r>
        <w:rPr>
          <w:kern w:val="0"/>
        </w:rPr>
        <w:t>re was no significant increase in handgrip strength in the magnesium group (SMD 0.04; 95% CI -0.22 to 0.30). No clinically important changes in adverse events were reported. Authors</w:t>
      </w:r>
      <w:r w:rsidR="0071223E">
        <w:rPr>
          <w:kern w:val="0"/>
        </w:rPr>
        <w:t>’</w:t>
      </w:r>
      <w:r>
        <w:rPr>
          <w:kern w:val="0"/>
        </w:rPr>
        <w:t xml:space="preserve"> conclusions There is insufficient evidence to determine whether magnesium is beneficial or harmful for the treatment or prevention</w:t>
      </w:r>
      <w:r w:rsidR="00427468">
        <w:rPr>
          <w:kern w:val="0"/>
        </w:rPr>
        <w:t xml:space="preserve"> of </w:t>
      </w:r>
      <w:r>
        <w:rPr>
          <w:kern w:val="0"/>
        </w:rPr>
        <w:t>alcohol withdrawal syndrome.</w:t>
      </w:r>
    </w:p>
    <w:p w:rsidR="00D8726F" w:rsidRDefault="00D8726F" w:rsidP="00D8726F">
      <w:pPr>
        <w:pStyle w:val="a3"/>
        <w:rPr>
          <w:kern w:val="0"/>
        </w:rPr>
      </w:pPr>
      <w:r>
        <w:rPr>
          <w:kern w:val="0"/>
        </w:rPr>
        <w:t>Keywords: Alcohol, Analysis, Assessment, Authors, Bias, Blood-Pressure, Changes, Clinical, Collection, Confidence, Control, Control Groups, Criteria, Data, Data Collection, Delirium, Delirium-Tremens, Double-Blind, Drugs, Effects, Embase, Events, Evidence, Experimental, Extraction, Groups, Information, Internet, Interval, Ionized Magnesium, Magnesium, Meta Analysis, Meta-Analysis, Metaanalysis, Methods, Muscle Strength, Oral, Outcome, Outcomes, Placebo-Controlled Trial, Population, Practice, Practice Guideline, Prevent, Prevention, Primary, Pubmed, Review, Risk, Scales, Science, Search, Seizure, Serum, Strength, Sulfate, Support, Symptoms, Syndrome, Treatment, Trial, Uncertainty, Web</w:t>
      </w:r>
      <w:r w:rsidR="00427468">
        <w:rPr>
          <w:kern w:val="0"/>
        </w:rPr>
        <w:t xml:space="preserve"> of </w:t>
      </w:r>
      <w:r>
        <w:rPr>
          <w:kern w:val="0"/>
        </w:rPr>
        <w:t>Science</w:t>
      </w:r>
    </w:p>
    <w:p w:rsidR="00D8726F" w:rsidRDefault="00D8726F" w:rsidP="00D8726F">
      <w:pPr>
        <w:pStyle w:val="a3"/>
        <w:rPr>
          <w:kern w:val="0"/>
        </w:rPr>
      </w:pPr>
      <w:r>
        <w:rPr>
          <w:rFonts w:hint="eastAsia"/>
          <w:kern w:val="0"/>
        </w:rPr>
        <w:t xml:space="preserve">? </w:t>
      </w:r>
      <w:r>
        <w:rPr>
          <w:kern w:val="0"/>
        </w:rPr>
        <w:t>Schoonees, A., Lombard, M., Musekiwa, A., Nel, E. and Volmink, J. (2013), Ready-to-use therapeutic food for home-based treatment</w:t>
      </w:r>
      <w:r w:rsidR="00427468">
        <w:rPr>
          <w:kern w:val="0"/>
        </w:rPr>
        <w:t xml:space="preserve"> of </w:t>
      </w:r>
      <w:r>
        <w:rPr>
          <w:kern w:val="0"/>
        </w:rPr>
        <w:t>severe acute malnutrition in children from six months to five years</w:t>
      </w:r>
      <w:r w:rsidR="00427468">
        <w:rPr>
          <w:kern w:val="0"/>
        </w:rPr>
        <w:t xml:space="preserve"> of </w:t>
      </w:r>
      <w:r>
        <w:rPr>
          <w:kern w:val="0"/>
        </w:rPr>
        <w:t xml:space="preserve">age.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6</w:t>
      </w:r>
      <w:r>
        <w:rPr>
          <w:kern w:val="0"/>
        </w:rPr>
        <w:t xml:space="preserve">, Article Number: </w:t>
      </w:r>
      <w:r w:rsidRPr="000873FA">
        <w:rPr>
          <w:kern w:val="0"/>
        </w:rPr>
        <w:t>CD009000</w:t>
      </w:r>
      <w:r>
        <w:rPr>
          <w:kern w:val="0"/>
        </w:rPr>
        <w:t>.</w:t>
      </w:r>
    </w:p>
    <w:p w:rsidR="00D8726F" w:rsidRDefault="00D8726F" w:rsidP="00D8726F">
      <w:pPr>
        <w:pStyle w:val="a3"/>
        <w:rPr>
          <w:kern w:val="2"/>
        </w:rPr>
      </w:pPr>
      <w:r>
        <w:t xml:space="preserve">Full Text: 2013\Coc Dat Sys Rev2013, </w:t>
      </w:r>
      <w:r w:rsidRPr="000873FA">
        <w:rPr>
          <w:kern w:val="0"/>
        </w:rPr>
        <w:t>CD009000</w:t>
      </w:r>
      <w:r>
        <w:rPr>
          <w:kern w:val="0"/>
        </w:rPr>
        <w:t>.pdf</w:t>
      </w:r>
    </w:p>
    <w:p w:rsidR="00D8726F" w:rsidRDefault="00D8726F" w:rsidP="00D8726F">
      <w:pPr>
        <w:pStyle w:val="a3"/>
        <w:rPr>
          <w:kern w:val="0"/>
        </w:rPr>
      </w:pPr>
      <w:r>
        <w:rPr>
          <w:kern w:val="0"/>
        </w:rPr>
        <w:t>Abstract: Background Malnourished children have a higher risk</w:t>
      </w:r>
      <w:r w:rsidR="00427468">
        <w:rPr>
          <w:kern w:val="0"/>
        </w:rPr>
        <w:t xml:space="preserve"> of </w:t>
      </w:r>
      <w:r>
        <w:rPr>
          <w:kern w:val="0"/>
        </w:rPr>
        <w:t xml:space="preserve">death and illness. Treating severe acute malnourished children in hospitals is not always desirable or </w:t>
      </w:r>
      <w:r>
        <w:rPr>
          <w:kern w:val="0"/>
        </w:rPr>
        <w:lastRenderedPageBreak/>
        <w:t>practical in rural settings, and home treatment may be better. Home treatment can be food prepared by the carer, such as flour porridge, or commercially manufactured food such as ready-to-use therapeutic food (RUTF). RUTF is made according to a standard, energy-rich composition defined by the World Health Organization (WHO)</w:t>
      </w:r>
      <w:r w:rsidR="00A37C1D">
        <w:rPr>
          <w:kern w:val="0"/>
        </w:rPr>
        <w:t>. The</w:t>
      </w:r>
      <w:r>
        <w:rPr>
          <w:kern w:val="0"/>
        </w:rPr>
        <w:t xml:space="preserve"> benefits</w:t>
      </w:r>
      <w:r w:rsidR="00427468">
        <w:rPr>
          <w:kern w:val="0"/>
        </w:rPr>
        <w:t xml:space="preserve"> of </w:t>
      </w:r>
      <w:r>
        <w:rPr>
          <w:kern w:val="0"/>
        </w:rPr>
        <w:t>RUTF include a low moisture content, long shelf life without needing refrigeration and that it requires no preparation. Objectives To assess the effects</w:t>
      </w:r>
      <w:r w:rsidR="00427468">
        <w:rPr>
          <w:kern w:val="0"/>
        </w:rPr>
        <w:t xml:space="preserve"> of </w:t>
      </w:r>
      <w:r>
        <w:rPr>
          <w:kern w:val="0"/>
        </w:rPr>
        <w:t>home-based RUTF on recovery, relapse and mortality in children with severe acute malnutrition. Search methods We searched the following electronic databases up to April 2013: Cochrane Central Register</w:t>
      </w:r>
      <w:r w:rsidR="00427468">
        <w:rPr>
          <w:kern w:val="0"/>
        </w:rPr>
        <w:t xml:space="preserve"> of </w:t>
      </w:r>
      <w:r>
        <w:rPr>
          <w:kern w:val="0"/>
        </w:rPr>
        <w:t>Clinical Trials (CENTRAL), MEDLINE, MEDLINE In-process, EMBASE, CINAHL, Science Citation Index, African Index Medicus, LILACS, ZETOC and three trials registers. We also contacted researchers and clinicians in the field and handsearched bibliographies</w:t>
      </w:r>
      <w:r w:rsidR="00427468">
        <w:rPr>
          <w:kern w:val="0"/>
        </w:rPr>
        <w:t xml:space="preserve"> of </w:t>
      </w:r>
      <w:r>
        <w:rPr>
          <w:kern w:val="0"/>
        </w:rPr>
        <w:t>included studies and relevant reviews. Selection criteria We included randomised and quasi-randomised controlled trials where children between six months and five years</w:t>
      </w:r>
      <w:r w:rsidR="00427468">
        <w:rPr>
          <w:kern w:val="0"/>
        </w:rPr>
        <w:t xml:space="preserve"> of </w:t>
      </w:r>
      <w:r>
        <w:rPr>
          <w:kern w:val="0"/>
        </w:rPr>
        <w:t>age with severe acute malnutrition were treated at home with RUTF compared to a standard diet, or different regimens and formulations</w:t>
      </w:r>
      <w:r w:rsidR="00427468">
        <w:rPr>
          <w:kern w:val="0"/>
        </w:rPr>
        <w:t xml:space="preserve"> of </w:t>
      </w:r>
      <w:r>
        <w:rPr>
          <w:kern w:val="0"/>
        </w:rPr>
        <w:t>RUTFs compared to each other. We assessed recovery, relapse and mortality as primary outcomes, and anthropometrical changes, time to recovery and adverse outcomes as secondary outcomes. Data collection and analysis Two review authors independently assessed trial eligibility using prespecified criteria, and three review authors independently extracted data and assessed trial risk</w:t>
      </w:r>
      <w:r w:rsidR="00427468">
        <w:rPr>
          <w:kern w:val="0"/>
        </w:rPr>
        <w:t xml:space="preserve"> of </w:t>
      </w:r>
      <w:r>
        <w:rPr>
          <w:kern w:val="0"/>
        </w:rPr>
        <w:t>bias. Main results We included four trials (three having a high risk</w:t>
      </w:r>
      <w:r w:rsidR="00427468">
        <w:rPr>
          <w:kern w:val="0"/>
        </w:rPr>
        <w:t xml:space="preserve"> of </w:t>
      </w:r>
      <w:r>
        <w:rPr>
          <w:kern w:val="0"/>
        </w:rPr>
        <w:t>bias), all conducted in Malawi with the same contact author. One small trial included children infected with human immunodeficiency virus (HIV). We found the risk</w:t>
      </w:r>
      <w:r w:rsidR="00427468">
        <w:rPr>
          <w:kern w:val="0"/>
        </w:rPr>
        <w:t xml:space="preserve"> of </w:t>
      </w:r>
      <w:r>
        <w:rPr>
          <w:kern w:val="0"/>
        </w:rPr>
        <w:t>bias to be high for the three quasi-randomised trials while the fourth trial had a low to moderate risk</w:t>
      </w:r>
      <w:r w:rsidR="00427468">
        <w:rPr>
          <w:kern w:val="0"/>
        </w:rPr>
        <w:t xml:space="preserve"> of </w:t>
      </w:r>
      <w:r>
        <w:rPr>
          <w:kern w:val="0"/>
        </w:rPr>
        <w:t>bias. Because</w:t>
      </w:r>
      <w:r w:rsidR="00427468">
        <w:rPr>
          <w:kern w:val="0"/>
        </w:rPr>
        <w:t xml:space="preserve"> of </w:t>
      </w:r>
      <w:r>
        <w:rPr>
          <w:kern w:val="0"/>
        </w:rPr>
        <w:t>the sparse data for HIV, we reported below the main results for all children together. RUTF meeting total daily requirements versus standard diet When comparing RUTF with standard diet (flour porridge), we found three quasi-randomised cluster trials (n = 599). RUTF may improve recovery slightly (risk ratio (RR) 1.32; 95% confidence interval (CI) 1.16 to 1.50; low quality evidence), but we do not know whether RUTF improves relapse, mortality or weight gain (very low quality evidence). RUTF supplement versus RUTF meeting total daily requirements When comparing RUTF supplement with RUTF that meets total daily nutritional requirements, we found two quasi-randomised cluster trials (n = 210). For recovery, relapse, mortality and weight gain the quality</w:t>
      </w:r>
      <w:r w:rsidR="00427468">
        <w:rPr>
          <w:kern w:val="0"/>
        </w:rPr>
        <w:t xml:space="preserve"> of </w:t>
      </w:r>
      <w:r>
        <w:rPr>
          <w:kern w:val="0"/>
        </w:rPr>
        <w:t>evidence was very low; therefore, the effects</w:t>
      </w:r>
      <w:r w:rsidR="00427468">
        <w:rPr>
          <w:kern w:val="0"/>
        </w:rPr>
        <w:t xml:space="preserve"> of </w:t>
      </w:r>
      <w:r>
        <w:rPr>
          <w:kern w:val="0"/>
        </w:rPr>
        <w:t xml:space="preserve">RUTF are unknown. RUTF containing less milk powder versus standard RUTF When comparing a cheaper RUTF containing less milk powder (10%) versus standard RUTF (25% milk powder), we found one trial that randomised 1874 children. For recovery, there was probably little or no difference between the groups (RR 0.97; </w:t>
      </w:r>
      <w:r>
        <w:rPr>
          <w:kern w:val="0"/>
        </w:rPr>
        <w:lastRenderedPageBreak/>
        <w:t>95% CI 0.93 to 1.01; moderate quality evidence). RUTF containing less milk powder may lead to slightly more children relapsing (RR 1.33; 95% CI 1.03 to 1.72; low quality evidence) and to less weight gain (mean difference (MD) -0.5 g/kg/day; 95% CI -0.75 to -0.25; low-quality evidence) than standard RUTF. We do not know whether the cheaper RUTF improved mortality (very low quality evidence). Authors</w:t>
      </w:r>
      <w:r w:rsidR="0071223E">
        <w:rPr>
          <w:kern w:val="0"/>
        </w:rPr>
        <w:t>’</w:t>
      </w:r>
      <w:r>
        <w:rPr>
          <w:kern w:val="0"/>
        </w:rPr>
        <w:t xml:space="preserve"> conclusions Given the limited evidence base currently available, it is not possible to reach definitive conclusions regarding differences in clinical outcomes in children with severe acute malnutrition who were given home-based ready-to-use therapeutic food (RUTF) compared to the standard diet, or who were treated with RUTF in different daily amounts or formulations. For this reason, either RUTF or flour porridge can be used to treat children at home depending on availability, affordability and practicality. Well-designed, adequately powered pragmatic randomised controlled trials</w:t>
      </w:r>
      <w:r w:rsidR="00427468">
        <w:rPr>
          <w:kern w:val="0"/>
        </w:rPr>
        <w:t xml:space="preserve"> of </w:t>
      </w:r>
      <w:r>
        <w:rPr>
          <w:kern w:val="0"/>
        </w:rPr>
        <w:t>HIV-uninfected and HIV-infected children with severe acute malnutrition are needed.</w:t>
      </w:r>
    </w:p>
    <w:p w:rsidR="00D8726F" w:rsidRDefault="00D8726F" w:rsidP="00D8726F">
      <w:pPr>
        <w:pStyle w:val="a3"/>
        <w:rPr>
          <w:kern w:val="0"/>
        </w:rPr>
      </w:pPr>
      <w:r>
        <w:rPr>
          <w:kern w:val="0"/>
        </w:rPr>
        <w:t>Keywords: Adverse Outcomes, Affordability, Age, Analysis, Authors, Availability, Benefits, Bias, Bibliographies, Changes, Childhood Malnutrition, Children, Citation, Clinical, Clinical Outcomes, Clinical Trials, Cluster, Collection, Composition, Confidence, Corn, Soy-Blend, Criteria, Data, Data Collection, Databases, Death, Diet, Effects, Efficacy, Embase, Evidence, Field, Food, Fortified Spreads, Groups, Health, Hiv, Hospitals, Human, Human Immunodeficiency Virus, Infected, Interval, Lead, Life, Malawi, Malnourished Malawian Children, Malnutrition, Medline, Methods, Milk, Moderate Acute Malnutrition, Moisture, Mortality, Outcomes, Preparation, Primary, Quality, Quality Of, Randomised, Randomised Controlled Trials, Recovery, Refrigeration, Rehabilitation, Relapse, Review, Reviews, Risk, Rural, Science, Science Citation Index, Search, Small, Standard, Therapeutic, Treatment, Trial, Undernutrition, Weight Gain, Weight-Gain, Who, World Health Organization</w:t>
      </w:r>
    </w:p>
    <w:p w:rsidR="00D8726F" w:rsidRDefault="00D8726F" w:rsidP="00D8726F">
      <w:pPr>
        <w:pStyle w:val="a3"/>
        <w:rPr>
          <w:kern w:val="0"/>
        </w:rPr>
      </w:pPr>
      <w:r>
        <w:rPr>
          <w:rFonts w:hint="eastAsia"/>
          <w:kern w:val="0"/>
        </w:rPr>
        <w:t xml:space="preserve">? </w:t>
      </w:r>
      <w:r>
        <w:rPr>
          <w:kern w:val="0"/>
        </w:rPr>
        <w:t>Rose, L., Schultz, M.J., Cardwell, C.R., Jouvet, P., McAuley, D.F. and Blackwood, B. (2013), Automated versus non-automated weaning for reducing the duration</w:t>
      </w:r>
      <w:r w:rsidR="00427468">
        <w:rPr>
          <w:kern w:val="0"/>
        </w:rPr>
        <w:t xml:space="preserve"> of </w:t>
      </w:r>
      <w:r>
        <w:rPr>
          <w:kern w:val="0"/>
        </w:rPr>
        <w:t xml:space="preserve">mechanical ventilation for critically ill adults and children.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6</w:t>
      </w:r>
      <w:r>
        <w:rPr>
          <w:kern w:val="0"/>
        </w:rPr>
        <w:t xml:space="preserve">, Article Number: </w:t>
      </w:r>
      <w:r w:rsidRPr="000873FA">
        <w:rPr>
          <w:kern w:val="0"/>
        </w:rPr>
        <w:t>CD009235</w:t>
      </w:r>
      <w:r>
        <w:rPr>
          <w:kern w:val="0"/>
        </w:rPr>
        <w:t>.</w:t>
      </w:r>
    </w:p>
    <w:p w:rsidR="00D8726F" w:rsidRDefault="00D8726F" w:rsidP="00D8726F">
      <w:pPr>
        <w:pStyle w:val="a3"/>
        <w:rPr>
          <w:kern w:val="2"/>
        </w:rPr>
      </w:pPr>
      <w:r>
        <w:t xml:space="preserve">Full Text: 2013\Coc Dat Sys Rev2013, </w:t>
      </w:r>
      <w:r w:rsidRPr="000873FA">
        <w:rPr>
          <w:kern w:val="0"/>
        </w:rPr>
        <w:t>CD009235</w:t>
      </w:r>
      <w:r>
        <w:rPr>
          <w:kern w:val="0"/>
        </w:rPr>
        <w:t>.pdf</w:t>
      </w:r>
    </w:p>
    <w:p w:rsidR="00D8726F" w:rsidRDefault="00D8726F" w:rsidP="00D8726F">
      <w:pPr>
        <w:pStyle w:val="a3"/>
        <w:rPr>
          <w:kern w:val="0"/>
        </w:rPr>
      </w:pPr>
      <w:r>
        <w:rPr>
          <w:kern w:val="0"/>
        </w:rPr>
        <w:t>Abstract: Background Automated closed loop systems may improve adaptation</w:t>
      </w:r>
      <w:r w:rsidR="00427468">
        <w:rPr>
          <w:kern w:val="0"/>
        </w:rPr>
        <w:t xml:space="preserve"> of </w:t>
      </w:r>
      <w:r>
        <w:rPr>
          <w:kern w:val="0"/>
        </w:rPr>
        <w:t>the mechanical support to a patient</w:t>
      </w:r>
      <w:r w:rsidR="0071223E">
        <w:rPr>
          <w:kern w:val="0"/>
        </w:rPr>
        <w:t>’</w:t>
      </w:r>
      <w:r>
        <w:rPr>
          <w:kern w:val="0"/>
        </w:rPr>
        <w:t>s ventilatory needs and facilitate systematic and early recognition</w:t>
      </w:r>
      <w:r w:rsidR="00427468">
        <w:rPr>
          <w:kern w:val="0"/>
        </w:rPr>
        <w:t xml:space="preserve"> of </w:t>
      </w:r>
      <w:r>
        <w:rPr>
          <w:kern w:val="0"/>
        </w:rPr>
        <w:t>their ability to breathe spontaneously and the potential for discontinuation</w:t>
      </w:r>
      <w:r w:rsidR="00427468">
        <w:rPr>
          <w:kern w:val="0"/>
        </w:rPr>
        <w:t xml:space="preserve"> of </w:t>
      </w:r>
      <w:r>
        <w:rPr>
          <w:kern w:val="0"/>
        </w:rPr>
        <w:t>ventilation. Objectives To compare the duration</w:t>
      </w:r>
      <w:r w:rsidR="00427468">
        <w:rPr>
          <w:kern w:val="0"/>
        </w:rPr>
        <w:t xml:space="preserve"> of </w:t>
      </w:r>
      <w:r>
        <w:rPr>
          <w:kern w:val="0"/>
        </w:rPr>
        <w:t>weaning from mechanical ventilation for critically ill ventilated adults and children when managed with automated closed loop systems versus non-automated strategies. Secondary objectives were to determine differences in duration</w:t>
      </w:r>
      <w:r w:rsidR="00427468">
        <w:rPr>
          <w:kern w:val="0"/>
        </w:rPr>
        <w:t xml:space="preserve"> of </w:t>
      </w:r>
      <w:r>
        <w:rPr>
          <w:kern w:val="0"/>
        </w:rPr>
        <w:t xml:space="preserve">ventilation, intensive care </w:t>
      </w:r>
      <w:r>
        <w:rPr>
          <w:kern w:val="0"/>
        </w:rPr>
        <w:lastRenderedPageBreak/>
        <w:t>unit (ICU) and hospital length</w:t>
      </w:r>
      <w:r w:rsidR="00427468">
        <w:rPr>
          <w:kern w:val="0"/>
        </w:rPr>
        <w:t xml:space="preserve"> of </w:t>
      </w:r>
      <w:r>
        <w:rPr>
          <w:kern w:val="0"/>
        </w:rPr>
        <w:t>stay (LOS), mortality, and adverse events. Search methods We searched the Cochrane Central Register</w:t>
      </w:r>
      <w:r w:rsidR="00427468">
        <w:rPr>
          <w:kern w:val="0"/>
        </w:rPr>
        <w:t xml:space="preserve"> of </w:t>
      </w:r>
      <w:r>
        <w:rPr>
          <w:kern w:val="0"/>
        </w:rPr>
        <w:t>Controlled Trials (CENTRAL) (The Cochrane Library 2011, Issue 2); MEDLINE (OvidSP) (1948 to August 2011); EMBASE (OvidSP) (1980 to August 2011); CINAHL (EBSCOhost) (1982 to August 2011); and the Latin American and Caribbean Health Sciences Literature (LILACS). In addition we received and reviewed auto-alerts for our search strategy in MEDLINE, EMBASE, and CINAHL up to August 2012. Relevant published reviews were sought using the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Effects (DARE) and the Health Technology Assessment Database (HTA Database). We also searched the Web</w:t>
      </w:r>
      <w:r w:rsidR="00427468">
        <w:rPr>
          <w:kern w:val="0"/>
        </w:rPr>
        <w:t xml:space="preserve"> of </w:t>
      </w:r>
      <w:r>
        <w:rPr>
          <w:kern w:val="0"/>
        </w:rPr>
        <w:t>Science Proceedings; conference proceedings; trial registration websites; and reference lists</w:t>
      </w:r>
      <w:r w:rsidR="00427468">
        <w:rPr>
          <w:kern w:val="0"/>
        </w:rPr>
        <w:t xml:space="preserve"> of </w:t>
      </w:r>
      <w:r>
        <w:rPr>
          <w:kern w:val="0"/>
        </w:rPr>
        <w:t>relevant articles. Selection criteria We included randomized controlled trials comparing automated closed loop ventilator applications to non-automated weaning strategies including non-protocolized usual care and protocolized weaning in patients over four weeks</w:t>
      </w:r>
      <w:r w:rsidR="00427468">
        <w:rPr>
          <w:kern w:val="0"/>
        </w:rPr>
        <w:t xml:space="preserve"> of </w:t>
      </w:r>
      <w:r>
        <w:rPr>
          <w:kern w:val="0"/>
        </w:rPr>
        <w:t>age receiving invasive mechanical ventilation in an intensive care unit (ICU). Data collection and analysis Two authors independently extracted study data and assessed risk</w:t>
      </w:r>
      <w:r w:rsidR="00427468">
        <w:rPr>
          <w:kern w:val="0"/>
        </w:rPr>
        <w:t xml:space="preserve"> of </w:t>
      </w:r>
      <w:r>
        <w:rPr>
          <w:kern w:val="0"/>
        </w:rPr>
        <w:t>bias. We combined data into forest plots using random-effects modelling. Subgroup and sensitivity analyses were conducted according to a priori criteria. Main results Pooled data from 15 eligible trials (14 adult, one paediatric) totalling 1173 participants (1143 adults, 30 children) indicated that automated closed loop systems reduced the geometric mean duration</w:t>
      </w:r>
      <w:r w:rsidR="00427468">
        <w:rPr>
          <w:kern w:val="0"/>
        </w:rPr>
        <w:t xml:space="preserve"> of </w:t>
      </w:r>
      <w:r>
        <w:rPr>
          <w:kern w:val="0"/>
        </w:rPr>
        <w:t>weaning by 32% (95% CI 19% to 46%, P = 0.002), however heterogeneity was substantial (I-2 = 89%, P &lt; 0.00001). Reduced weaning duration was found with mixed or medical ICU populations (43%, 95% CI 8% to 65%, P = 0.02) and Smartcare/PS (TM) (31%, 95% CI 7% to 49%, P = 0.02) but not in surgical populations or using other systems. Automated closed loop systems reduced the duration</w:t>
      </w:r>
      <w:r w:rsidR="00427468">
        <w:rPr>
          <w:kern w:val="0"/>
        </w:rPr>
        <w:t xml:space="preserve"> of </w:t>
      </w:r>
      <w:r>
        <w:rPr>
          <w:kern w:val="0"/>
        </w:rPr>
        <w:t>ventilation (17%, 95% CI 8% to 26%) and ICU length</w:t>
      </w:r>
      <w:r w:rsidR="00427468">
        <w:rPr>
          <w:kern w:val="0"/>
        </w:rPr>
        <w:t xml:space="preserve"> of </w:t>
      </w:r>
      <w:r>
        <w:rPr>
          <w:kern w:val="0"/>
        </w:rPr>
        <w:t>stay (LOS) (11%, 95% CI 0% to 21%)</w:t>
      </w:r>
      <w:r w:rsidR="00A37C1D">
        <w:rPr>
          <w:kern w:val="0"/>
        </w:rPr>
        <w:t>. The</w:t>
      </w:r>
      <w:r>
        <w:rPr>
          <w:kern w:val="0"/>
        </w:rPr>
        <w:t>re was no difference in mortality rates or hospital LOS. Overall the quality</w:t>
      </w:r>
      <w:r w:rsidR="00427468">
        <w:rPr>
          <w:kern w:val="0"/>
        </w:rPr>
        <w:t xml:space="preserve"> of </w:t>
      </w:r>
      <w:r>
        <w:rPr>
          <w:kern w:val="0"/>
        </w:rPr>
        <w:t>evidence was high with the majority</w:t>
      </w:r>
      <w:r w:rsidR="00427468">
        <w:rPr>
          <w:kern w:val="0"/>
        </w:rPr>
        <w:t xml:space="preserve"> of </w:t>
      </w:r>
      <w:r>
        <w:rPr>
          <w:kern w:val="0"/>
        </w:rPr>
        <w:t>trials rated as low risk. Authors</w:t>
      </w:r>
      <w:r w:rsidR="0071223E">
        <w:rPr>
          <w:kern w:val="0"/>
        </w:rPr>
        <w:t>’</w:t>
      </w:r>
      <w:r>
        <w:rPr>
          <w:kern w:val="0"/>
        </w:rPr>
        <w:t xml:space="preserve"> conclusions Automated closed loop systems may result in reduced duration</w:t>
      </w:r>
      <w:r w:rsidR="00427468">
        <w:rPr>
          <w:kern w:val="0"/>
        </w:rPr>
        <w:t xml:space="preserve"> of </w:t>
      </w:r>
      <w:r>
        <w:rPr>
          <w:kern w:val="0"/>
        </w:rPr>
        <w:t xml:space="preserve">weaning, ventilation, and ICU stay. Reductions are more likely to occur in mixed or medical ICU populations. Due to the lack of, or limited, evidence on automated systems other than Smartcare/PS (TM) and Adaptive Support Ventilation no conclusions can be drawn regarding their influence on these outcomes. Due to substantial heterogeneity in trials there is a need for an adequately powered, high quality, multi-centre randomized controlled trial in adults that excludes </w:t>
      </w:r>
      <w:r w:rsidR="0071223E">
        <w:rPr>
          <w:kern w:val="0"/>
        </w:rPr>
        <w:t>‘</w:t>
      </w:r>
      <w:r>
        <w:rPr>
          <w:kern w:val="0"/>
        </w:rPr>
        <w:t>simple to wean</w:t>
      </w:r>
      <w:r w:rsidR="0071223E">
        <w:rPr>
          <w:kern w:val="0"/>
        </w:rPr>
        <w:t>’</w:t>
      </w:r>
      <w:r>
        <w:rPr>
          <w:kern w:val="0"/>
        </w:rPr>
        <w:t xml:space="preserve"> patients</w:t>
      </w:r>
      <w:r w:rsidR="00A37C1D">
        <w:rPr>
          <w:kern w:val="0"/>
        </w:rPr>
        <w:t>. The</w:t>
      </w:r>
      <w:r>
        <w:rPr>
          <w:kern w:val="0"/>
        </w:rPr>
        <w:t>re is a pressing need for further technological development and research in the paediatric population.</w:t>
      </w:r>
    </w:p>
    <w:p w:rsidR="00D8726F" w:rsidRDefault="00D8726F" w:rsidP="00D8726F">
      <w:pPr>
        <w:pStyle w:val="a3"/>
        <w:rPr>
          <w:kern w:val="0"/>
        </w:rPr>
      </w:pPr>
      <w:r>
        <w:rPr>
          <w:kern w:val="0"/>
        </w:rPr>
        <w:t xml:space="preserve">Keywords: Acute Respiratory-Failure, Adaptation, Adaptive Support Ventilation, Adult, Age, Analyses, Analysis, Assessment, Authors, Bias, Care, Children, Closed-Loop </w:t>
      </w:r>
      <w:r>
        <w:rPr>
          <w:kern w:val="0"/>
        </w:rPr>
        <w:lastRenderedPageBreak/>
        <w:t>Control, Collection, Computerized Decision-Support, Conference Proceedings, Controlled Trial, Criteria, Critical Illness, Data, Data Collection, Database, Development, Duration, Embase, Events, Evidence, Forest, Health, Heterogeneity, Hospital, Hta, Icu, Influence, Intensive Care, Intensive Care Unit, Intensive-Care, Invasive, Length, Length</w:t>
      </w:r>
      <w:r w:rsidR="00427468">
        <w:rPr>
          <w:kern w:val="0"/>
        </w:rPr>
        <w:t xml:space="preserve"> of </w:t>
      </w:r>
      <w:r>
        <w:rPr>
          <w:kern w:val="0"/>
        </w:rPr>
        <w:t>Stay, Literature, Low Risk, Mechanical Ventilation, Medical, Medline, Methods, Modelling, Mortality, Needs, Outcomes, P, Patients, Population, Populations, Posttraumatic-Stress-Disorder, Potential, Pressure Support, Quality, Quality Of, Quality-Of-Life, Randomized, Randomized Controlled Trial, Randomized Controlled Trials, Randomized Controlled-Trial, Rates, Reference, Reference Lists, Research, Reviews, Risk, Science, Sciences, Search, Search Strategy, Sensitivity, Strategy, Support, Systems, Technology, Technology Assessment, Trial, Ventilation, Web</w:t>
      </w:r>
      <w:r w:rsidR="00427468">
        <w:rPr>
          <w:kern w:val="0"/>
        </w:rPr>
        <w:t xml:space="preserve"> of </w:t>
      </w:r>
      <w:r>
        <w:rPr>
          <w:kern w:val="0"/>
        </w:rPr>
        <w:t>Science, Websites</w:t>
      </w:r>
    </w:p>
    <w:p w:rsidR="00365DE4" w:rsidRDefault="00365DE4" w:rsidP="00365DE4">
      <w:pPr>
        <w:pStyle w:val="a3"/>
        <w:rPr>
          <w:kern w:val="0"/>
        </w:rPr>
      </w:pPr>
      <w:r>
        <w:rPr>
          <w:kern w:val="0"/>
        </w:rPr>
        <w:t>? Taefi, A., Abrishami, A., Nasseri-Moghaddam, S., Eghtesad, B.</w:t>
      </w:r>
      <w:r w:rsidR="005853A9">
        <w:rPr>
          <w:kern w:val="0"/>
        </w:rPr>
        <w:t xml:space="preserve"> and </w:t>
      </w:r>
      <w:r>
        <w:rPr>
          <w:kern w:val="0"/>
        </w:rPr>
        <w:t xml:space="preserve">Sherman, M. (2013), Surgical resection versus liver transplant for patients with hepatocellular carcinoma.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CD009760.</w:t>
      </w:r>
    </w:p>
    <w:p w:rsidR="00365DE4" w:rsidRDefault="00365DE4" w:rsidP="00365DE4">
      <w:pPr>
        <w:pStyle w:val="a3"/>
        <w:rPr>
          <w:kern w:val="2"/>
        </w:rPr>
      </w:pPr>
      <w:r>
        <w:t>Full Text: 2013\Coc Dat Sys Rev2013, CD006935.pdf</w:t>
      </w:r>
    </w:p>
    <w:p w:rsidR="00365DE4" w:rsidRDefault="00365DE4" w:rsidP="00365DE4">
      <w:pPr>
        <w:pStyle w:val="a3"/>
        <w:rPr>
          <w:kern w:val="0"/>
        </w:rPr>
      </w:pPr>
      <w:r>
        <w:rPr>
          <w:kern w:val="0"/>
        </w:rPr>
        <w:t>Abstract: Background Hepatocellular carcinoma is a major worldwide health problem, involving more than half a million new patients yearly, with a different incidence in different parts</w:t>
      </w:r>
      <w:r w:rsidR="00427468">
        <w:rPr>
          <w:kern w:val="0"/>
        </w:rPr>
        <w:t xml:space="preserve"> of </w:t>
      </w:r>
      <w:r>
        <w:rPr>
          <w:kern w:val="0"/>
        </w:rPr>
        <w:t>the world. Hepatocellular carcinoma develops in about 80%</w:t>
      </w:r>
      <w:r w:rsidR="00427468">
        <w:rPr>
          <w:kern w:val="0"/>
        </w:rPr>
        <w:t xml:space="preserve"> of </w:t>
      </w:r>
      <w:r>
        <w:rPr>
          <w:kern w:val="0"/>
        </w:rPr>
        <w:t>cirrhotic patients,</w:t>
      </w:r>
      <w:r w:rsidR="005853A9">
        <w:rPr>
          <w:kern w:val="0"/>
        </w:rPr>
        <w:t xml:space="preserve"> and </w:t>
      </w:r>
      <w:r>
        <w:rPr>
          <w:kern w:val="0"/>
        </w:rPr>
        <w:t>cirrhosis is considered the strongest predisposing factor for it. Surgical resection</w:t>
      </w:r>
      <w:r w:rsidR="005853A9">
        <w:rPr>
          <w:kern w:val="0"/>
        </w:rPr>
        <w:t xml:space="preserve"> and </w:t>
      </w:r>
      <w:r>
        <w:rPr>
          <w:kern w:val="0"/>
        </w:rPr>
        <w:t>liver transplantation are conventional treatment modalities that can offer long-term survival for patients with hepatocellular carcinoma. Objectives To assess the benefits</w:t>
      </w:r>
      <w:r w:rsidR="005853A9">
        <w:rPr>
          <w:kern w:val="0"/>
        </w:rPr>
        <w:t xml:space="preserve"> and </w:t>
      </w:r>
      <w:r>
        <w:rPr>
          <w:kern w:val="0"/>
        </w:rPr>
        <w:t>harms</w:t>
      </w:r>
      <w:r w:rsidR="00427468">
        <w:rPr>
          <w:kern w:val="0"/>
        </w:rPr>
        <w:t xml:space="preserve"> of </w:t>
      </w:r>
      <w:r>
        <w:rPr>
          <w:kern w:val="0"/>
        </w:rPr>
        <w:t>surgical resection compared with those</w:t>
      </w:r>
      <w:r w:rsidR="00427468">
        <w:rPr>
          <w:kern w:val="0"/>
        </w:rPr>
        <w:t xml:space="preserve"> of </w:t>
      </w:r>
      <w:r>
        <w:rPr>
          <w:kern w:val="0"/>
        </w:rPr>
        <w:t>liver transplantation in patients with hepatocellular carcinoma.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 xml:space="preserve">Science Citation Index Expanded (SCI-EXPANDED) at ISI </w:t>
      </w:r>
      <w:r w:rsidR="00D5664A">
        <w:rPr>
          <w:kern w:val="0"/>
        </w:rPr>
        <w:t>Web</w:t>
      </w:r>
      <w:r w:rsidR="00427468">
        <w:rPr>
          <w:kern w:val="0"/>
        </w:rPr>
        <w:t xml:space="preserve"> of </w:t>
      </w:r>
      <w:r w:rsidR="00D5664A">
        <w:rPr>
          <w:kern w:val="0"/>
        </w:rPr>
        <w:t>Science</w:t>
      </w:r>
      <w:r>
        <w:rPr>
          <w:kern w:val="0"/>
        </w:rPr>
        <w:t xml:space="preserve"> (last search February 2013). We also searched the abstracts from annual meetings</w:t>
      </w:r>
      <w:r w:rsidR="00427468">
        <w:rPr>
          <w:kern w:val="0"/>
        </w:rPr>
        <w:t xml:space="preserve"> of </w:t>
      </w:r>
      <w:r>
        <w:rPr>
          <w:kern w:val="0"/>
        </w:rPr>
        <w:t>the American Society</w:t>
      </w:r>
      <w:r w:rsidR="00427468">
        <w:rPr>
          <w:kern w:val="0"/>
        </w:rPr>
        <w:t xml:space="preserve"> of </w:t>
      </w:r>
      <w:r>
        <w:rPr>
          <w:kern w:val="0"/>
        </w:rPr>
        <w:t>Clinical Oncology, the American Association for the Study</w:t>
      </w:r>
      <w:r w:rsidR="00427468">
        <w:rPr>
          <w:kern w:val="0"/>
        </w:rPr>
        <w:t xml:space="preserve"> of </w:t>
      </w:r>
      <w:r>
        <w:rPr>
          <w:kern w:val="0"/>
        </w:rPr>
        <w:t>Liver Diseases (AASLD),</w:t>
      </w:r>
      <w:r w:rsidR="005853A9">
        <w:rPr>
          <w:kern w:val="0"/>
        </w:rPr>
        <w:t xml:space="preserve"> and </w:t>
      </w:r>
      <w:r>
        <w:rPr>
          <w:kern w:val="0"/>
        </w:rPr>
        <w:t>the European Association for the Study</w:t>
      </w:r>
      <w:r w:rsidR="00427468">
        <w:rPr>
          <w:kern w:val="0"/>
        </w:rPr>
        <w:t xml:space="preserve"> of </w:t>
      </w:r>
      <w:r>
        <w:rPr>
          <w:kern w:val="0"/>
        </w:rPr>
        <w:t>the Liver (EASL), provided through The Cochrane Hepato-Biliary Group until February 2013. Selection criteria Randomised clinical trials comparing surgical resection</w:t>
      </w:r>
      <w:r w:rsidR="005853A9">
        <w:rPr>
          <w:kern w:val="0"/>
        </w:rPr>
        <w:t xml:space="preserve"> and </w:t>
      </w:r>
      <w:r>
        <w:rPr>
          <w:kern w:val="0"/>
        </w:rPr>
        <w:t>hepatic transplantation. Data collection</w:t>
      </w:r>
      <w:r w:rsidR="005853A9">
        <w:rPr>
          <w:kern w:val="0"/>
        </w:rPr>
        <w:t xml:space="preserve"> and </w:t>
      </w:r>
      <w:r>
        <w:rPr>
          <w:kern w:val="0"/>
        </w:rPr>
        <w:t>analysis The search strategies were run</w:t>
      </w:r>
      <w:r w:rsidR="005853A9">
        <w:rPr>
          <w:kern w:val="0"/>
        </w:rPr>
        <w:t xml:space="preserve"> and </w:t>
      </w:r>
      <w:r>
        <w:rPr>
          <w:kern w:val="0"/>
        </w:rPr>
        <w:t>two authors individually evaluated whether the retrieved studies fulfilled the inclusion criteria. Main results No randomised clinical trials comparing surgical resection</w:t>
      </w:r>
      <w:r w:rsidR="005853A9">
        <w:rPr>
          <w:kern w:val="0"/>
        </w:rPr>
        <w:t xml:space="preserve"> and </w:t>
      </w:r>
      <w:r>
        <w:rPr>
          <w:kern w:val="0"/>
        </w:rPr>
        <w:t>liver transplantation as the major methods</w:t>
      </w:r>
      <w:r w:rsidR="00427468">
        <w:rPr>
          <w:kern w:val="0"/>
        </w:rPr>
        <w:t xml:space="preserve"> of </w:t>
      </w:r>
      <w:r>
        <w:rPr>
          <w:kern w:val="0"/>
        </w:rPr>
        <w:t>treating hepatocellular carcinoma were found. Authors</w:t>
      </w:r>
      <w:r w:rsidR="0071223E">
        <w:rPr>
          <w:kern w:val="0"/>
        </w:rPr>
        <w:t>’</w:t>
      </w:r>
      <w:r>
        <w:rPr>
          <w:kern w:val="0"/>
        </w:rPr>
        <w:t xml:space="preserve"> conclusions There are no randomised clinical trials comparing surgical resection</w:t>
      </w:r>
      <w:r w:rsidR="005853A9">
        <w:rPr>
          <w:kern w:val="0"/>
        </w:rPr>
        <w:t xml:space="preserve"> and </w:t>
      </w:r>
      <w:r>
        <w:rPr>
          <w:kern w:val="0"/>
        </w:rPr>
        <w:lastRenderedPageBreak/>
        <w:t>liver transplantation for hepatocellular carcinoma treatment.</w:t>
      </w:r>
    </w:p>
    <w:p w:rsidR="00365DE4" w:rsidRDefault="00365DE4" w:rsidP="00365DE4">
      <w:pPr>
        <w:pStyle w:val="a3"/>
        <w:rPr>
          <w:kern w:val="0"/>
        </w:rPr>
      </w:pPr>
      <w:r>
        <w:rPr>
          <w:kern w:val="0"/>
        </w:rPr>
        <w:t>Keywords: Acetic-Acid Injection, Analysis, Authors, Benefits, Cirrhosis, Cirrhotic-Patients, Citation, Clinical, Clinical Trials, Clinical-Trials, Collection, Conventional, Criteria, Data Collection, DC, Design Characteristics, Embase, Empirical-Evidence, Health, Health Problem, Hepatocellular Carcinoma, Incidence, Intrahepatic Recurrence</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Liver, Liver Transplantation, Long Term, Long-Term, Long-Term-Survival, Medicine, </w:t>
      </w:r>
      <w:r w:rsidR="00D5664A">
        <w:rPr>
          <w:kern w:val="0"/>
        </w:rPr>
        <w:t>MEDLINE</w:t>
      </w:r>
      <w:r>
        <w:rPr>
          <w:kern w:val="0"/>
        </w:rPr>
        <w:t xml:space="preserve">, Methods, Modalities, Patients, Percutaneous Ethanol Injection, Randomised, Randomized-Trials, Review, River, Science, Science Citation Index, Science Citation Index Expanded, Search, Search Strategies, Surgical, Surgical Resection, Survival, Transplantation, Treatment, Trial Sequential-Analysis, </w:t>
      </w:r>
      <w:r w:rsidR="00D5664A">
        <w:rPr>
          <w:kern w:val="0"/>
        </w:rPr>
        <w:t>USA</w:t>
      </w:r>
      <w:r>
        <w:rPr>
          <w:kern w:val="0"/>
        </w:rPr>
        <w:t xml:space="preserve">, Washington, </w:t>
      </w:r>
      <w:r w:rsidR="00D5664A">
        <w:rPr>
          <w:kern w:val="0"/>
        </w:rPr>
        <w:t>Web</w:t>
      </w:r>
      <w:r w:rsidR="00427468">
        <w:rPr>
          <w:kern w:val="0"/>
        </w:rPr>
        <w:t xml:space="preserve"> of </w:t>
      </w:r>
      <w:r w:rsidR="00D5664A">
        <w:rPr>
          <w:kern w:val="0"/>
        </w:rPr>
        <w:t>Science</w:t>
      </w:r>
      <w:r>
        <w:rPr>
          <w:kern w:val="0"/>
        </w:rPr>
        <w:t>, World</w:t>
      </w:r>
    </w:p>
    <w:p w:rsidR="00D8726F" w:rsidRDefault="00D8726F" w:rsidP="00D8726F">
      <w:pPr>
        <w:pStyle w:val="a3"/>
        <w:rPr>
          <w:kern w:val="0"/>
          <w:szCs w:val="24"/>
        </w:rPr>
      </w:pPr>
      <w:r>
        <w:rPr>
          <w:rFonts w:hint="eastAsia"/>
          <w:kern w:val="0"/>
        </w:rPr>
        <w:t xml:space="preserve">? </w:t>
      </w:r>
      <w:r>
        <w:rPr>
          <w:kern w:val="0"/>
        </w:rPr>
        <w:t>Dong, Z.Y., Xu, J., Wang, Z. and Petrov, M.S. (2013), Stents for the prevention</w:t>
      </w:r>
      <w:r w:rsidR="00427468">
        <w:rPr>
          <w:kern w:val="0"/>
        </w:rPr>
        <w:t xml:space="preserve"> of </w:t>
      </w:r>
      <w:r>
        <w:rPr>
          <w:kern w:val="0"/>
        </w:rPr>
        <w:t xml:space="preserve">pancreatic fistula following pancreaticoduodenectomy.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szCs w:val="24"/>
        </w:rPr>
        <w:t>6</w:t>
      </w:r>
      <w:r>
        <w:rPr>
          <w:rFonts w:hint="eastAsia"/>
          <w:kern w:val="0"/>
          <w:szCs w:val="24"/>
        </w:rPr>
        <w:t>,</w:t>
      </w:r>
      <w:r w:rsidRPr="008E1364">
        <w:t xml:space="preserve"> </w:t>
      </w:r>
      <w:r w:rsidRPr="008E1364">
        <w:rPr>
          <w:kern w:val="0"/>
          <w:szCs w:val="24"/>
        </w:rPr>
        <w:t xml:space="preserve">Article Number: </w:t>
      </w:r>
      <w:r w:rsidRPr="000873FA">
        <w:rPr>
          <w:kern w:val="0"/>
          <w:szCs w:val="24"/>
        </w:rPr>
        <w:t>CD008914</w:t>
      </w:r>
      <w:r>
        <w:rPr>
          <w:rFonts w:hint="eastAsia"/>
          <w:kern w:val="0"/>
          <w:szCs w:val="24"/>
        </w:rPr>
        <w:t>.</w:t>
      </w:r>
    </w:p>
    <w:p w:rsidR="00D8726F" w:rsidRDefault="00D8726F" w:rsidP="00D8726F">
      <w:pPr>
        <w:pStyle w:val="a3"/>
        <w:rPr>
          <w:kern w:val="2"/>
        </w:rPr>
      </w:pPr>
      <w:r>
        <w:t>Full Text: 201</w:t>
      </w:r>
      <w:r>
        <w:rPr>
          <w:rFonts w:hint="eastAsia"/>
        </w:rPr>
        <w:t>3</w:t>
      </w:r>
      <w:r>
        <w:t>\Coc Dat Sys Rev201</w:t>
      </w:r>
      <w:r>
        <w:rPr>
          <w:rFonts w:hint="eastAsia"/>
        </w:rPr>
        <w:t>3</w:t>
      </w:r>
      <w:r>
        <w:t xml:space="preserve">, </w:t>
      </w:r>
      <w:r w:rsidRPr="000873FA">
        <w:t>CD008914</w:t>
      </w:r>
      <w:r>
        <w:t>.pdf</w:t>
      </w:r>
    </w:p>
    <w:p w:rsidR="00D8726F" w:rsidRDefault="00D8726F" w:rsidP="00D8726F">
      <w:pPr>
        <w:pStyle w:val="a3"/>
        <w:rPr>
          <w:kern w:val="0"/>
        </w:rPr>
      </w:pPr>
      <w:r>
        <w:rPr>
          <w:kern w:val="0"/>
        </w:rPr>
        <w:t>Abstract: Background Several studies have demonstrated that the use</w:t>
      </w:r>
      <w:r w:rsidR="00427468">
        <w:rPr>
          <w:kern w:val="0"/>
        </w:rPr>
        <w:t xml:space="preserve"> of </w:t>
      </w:r>
      <w:r>
        <w:rPr>
          <w:kern w:val="0"/>
        </w:rPr>
        <w:t>pancreatic duct stents following pancreaticoduodenectomy is associated with a lower risk</w:t>
      </w:r>
      <w:r w:rsidR="00427468">
        <w:rPr>
          <w:kern w:val="0"/>
        </w:rPr>
        <w:t xml:space="preserve"> of </w:t>
      </w:r>
      <w:r>
        <w:rPr>
          <w:kern w:val="0"/>
        </w:rPr>
        <w:t>pancreatic fistula. However, to date, there is a lack</w:t>
      </w:r>
      <w:r w:rsidR="00427468">
        <w:rPr>
          <w:kern w:val="0"/>
        </w:rPr>
        <w:t xml:space="preserve"> of </w:t>
      </w:r>
      <w:r>
        <w:rPr>
          <w:kern w:val="0"/>
        </w:rPr>
        <w:t>accord in the literature on whether the use</w:t>
      </w:r>
      <w:r w:rsidR="00427468">
        <w:rPr>
          <w:kern w:val="0"/>
        </w:rPr>
        <w:t xml:space="preserve"> of </w:t>
      </w:r>
      <w:r>
        <w:rPr>
          <w:kern w:val="0"/>
        </w:rPr>
        <w:t>stents is beneficial and, if so, whether internal or external stenting is preferable. Objectives To determine the efficacy</w:t>
      </w:r>
      <w:r w:rsidR="00427468">
        <w:rPr>
          <w:kern w:val="0"/>
        </w:rPr>
        <w:t xml:space="preserve"> of </w:t>
      </w:r>
      <w:r>
        <w:rPr>
          <w:kern w:val="0"/>
        </w:rPr>
        <w:t>pancreatic stents in preventing pancreatic fistula after pancreaticoduodenectomy. Search methods The Cochrane Central Register</w:t>
      </w:r>
      <w:r w:rsidR="00427468">
        <w:rPr>
          <w:kern w:val="0"/>
        </w:rPr>
        <w:t xml:space="preserve"> of </w:t>
      </w:r>
      <w:r>
        <w:rPr>
          <w:kern w:val="0"/>
        </w:rPr>
        <w:t>Controlled Trials (CENTRAL), MEDLINE, EMBASE, ISI Web</w:t>
      </w:r>
      <w:r w:rsidR="00427468">
        <w:rPr>
          <w:kern w:val="0"/>
        </w:rPr>
        <w:t xml:space="preserve"> of </w:t>
      </w:r>
      <w:r>
        <w:rPr>
          <w:kern w:val="0"/>
        </w:rPr>
        <w:t>Science and four major Chinese biomedical databases were searched up to February 2011. We also searched four major trials registers. Selection criteria Randomized controlled trials (RCTs) comparing the use</w:t>
      </w:r>
      <w:r w:rsidR="00427468">
        <w:rPr>
          <w:kern w:val="0"/>
        </w:rPr>
        <w:t xml:space="preserve"> of </w:t>
      </w:r>
      <w:r>
        <w:rPr>
          <w:kern w:val="0"/>
        </w:rPr>
        <w:t>stents (either internal or external) versus no stents, and comparing internal stents versus external stents following pancreaticoduodenectomy. Data collection and analysis Two authors extracted the data independently</w:t>
      </w:r>
      <w:r w:rsidR="00A37C1D">
        <w:rPr>
          <w:kern w:val="0"/>
        </w:rPr>
        <w:t>. The</w:t>
      </w:r>
      <w:r>
        <w:rPr>
          <w:kern w:val="0"/>
        </w:rPr>
        <w:t xml:space="preserve"> outcomes studied were incidence</w:t>
      </w:r>
      <w:r w:rsidR="00427468">
        <w:rPr>
          <w:kern w:val="0"/>
        </w:rPr>
        <w:t xml:space="preserve"> of </w:t>
      </w:r>
      <w:r>
        <w:rPr>
          <w:kern w:val="0"/>
        </w:rPr>
        <w:t>pancreatic fistula, need for reoperation, length</w:t>
      </w:r>
      <w:r w:rsidR="00427468">
        <w:rPr>
          <w:kern w:val="0"/>
        </w:rPr>
        <w:t xml:space="preserve"> of </w:t>
      </w:r>
      <w:r>
        <w:rPr>
          <w:kern w:val="0"/>
        </w:rPr>
        <w:t>hospital stay, overall complications, and in-hospital mortality</w:t>
      </w:r>
      <w:r w:rsidR="00A37C1D">
        <w:rPr>
          <w:kern w:val="0"/>
        </w:rPr>
        <w:t>. The</w:t>
      </w:r>
      <w:r>
        <w:rPr>
          <w:kern w:val="0"/>
        </w:rPr>
        <w:t xml:space="preserve"> results were shown as relative risk (RR) with 95% confidence interval (CI). Main results A total</w:t>
      </w:r>
      <w:r w:rsidR="00427468">
        <w:rPr>
          <w:kern w:val="0"/>
        </w:rPr>
        <w:t xml:space="preserve"> of </w:t>
      </w:r>
      <w:r>
        <w:rPr>
          <w:kern w:val="0"/>
        </w:rPr>
        <w:t>656 patients were included in the systematic review. Overall, the use</w:t>
      </w:r>
      <w:r w:rsidR="00427468">
        <w:rPr>
          <w:kern w:val="0"/>
        </w:rPr>
        <w:t xml:space="preserve"> of </w:t>
      </w:r>
      <w:r>
        <w:rPr>
          <w:kern w:val="0"/>
        </w:rPr>
        <w:t>stents (both external and internal) was not associated with a statistically significant change in any</w:t>
      </w:r>
      <w:r w:rsidR="00427468">
        <w:rPr>
          <w:kern w:val="0"/>
        </w:rPr>
        <w:t xml:space="preserve"> of </w:t>
      </w:r>
      <w:r>
        <w:rPr>
          <w:kern w:val="0"/>
        </w:rPr>
        <w:t>the studied outcomes. In a subgroup analysis, it was found that the use</w:t>
      </w:r>
      <w:r w:rsidR="00427468">
        <w:rPr>
          <w:kern w:val="0"/>
        </w:rPr>
        <w:t xml:space="preserve"> of </w:t>
      </w:r>
      <w:r>
        <w:rPr>
          <w:kern w:val="0"/>
        </w:rPr>
        <w:t>external, but not internal, stents is associated with a significant reduction in the incidence</w:t>
      </w:r>
      <w:r w:rsidR="00427468">
        <w:rPr>
          <w:kern w:val="0"/>
        </w:rPr>
        <w:t xml:space="preserve"> of </w:t>
      </w:r>
      <w:r>
        <w:rPr>
          <w:kern w:val="0"/>
        </w:rPr>
        <w:t>pancreatic fistulae (RR 0.33; 95% CI 0.11 to 0.98, P = 0.04), the incidence</w:t>
      </w:r>
      <w:r w:rsidR="00427468">
        <w:rPr>
          <w:kern w:val="0"/>
        </w:rPr>
        <w:t xml:space="preserve"> of </w:t>
      </w:r>
      <w:r>
        <w:rPr>
          <w:kern w:val="0"/>
        </w:rPr>
        <w:t>complications (RR 0.48; 95% CI 0.25 to 0.92, P = 0.03) and length</w:t>
      </w:r>
      <w:r w:rsidR="00427468">
        <w:rPr>
          <w:kern w:val="0"/>
        </w:rPr>
        <w:t xml:space="preserve"> of </w:t>
      </w:r>
      <w:r>
        <w:rPr>
          <w:kern w:val="0"/>
        </w:rPr>
        <w:t>hospital stay (RR -0.57; 95% CI -0.94 to -0.21, P = 0.002). In RCTs on the use</w:t>
      </w:r>
      <w:r w:rsidR="00427468">
        <w:rPr>
          <w:kern w:val="0"/>
        </w:rPr>
        <w:t xml:space="preserve"> of </w:t>
      </w:r>
      <w:r>
        <w:rPr>
          <w:kern w:val="0"/>
        </w:rPr>
        <w:t>internal versus external stents, no statistically significant difference was found in terms</w:t>
      </w:r>
      <w:r w:rsidR="00427468">
        <w:rPr>
          <w:kern w:val="0"/>
        </w:rPr>
        <w:t xml:space="preserve"> of </w:t>
      </w:r>
      <w:r>
        <w:rPr>
          <w:kern w:val="0"/>
        </w:rPr>
        <w:t>any</w:t>
      </w:r>
      <w:r w:rsidR="00427468">
        <w:rPr>
          <w:kern w:val="0"/>
        </w:rPr>
        <w:t xml:space="preserve"> of </w:t>
      </w:r>
      <w:r>
        <w:rPr>
          <w:kern w:val="0"/>
        </w:rPr>
        <w:t xml:space="preserve">the studied outcomes. </w:t>
      </w:r>
      <w:r>
        <w:rPr>
          <w:kern w:val="0"/>
        </w:rPr>
        <w:lastRenderedPageBreak/>
        <w:t>Authors</w:t>
      </w:r>
      <w:r w:rsidR="0071223E">
        <w:rPr>
          <w:kern w:val="0"/>
        </w:rPr>
        <w:t>’</w:t>
      </w:r>
      <w:r>
        <w:rPr>
          <w:kern w:val="0"/>
        </w:rPr>
        <w:t xml:space="preserve"> conclusions This systematic review suggests that the use</w:t>
      </w:r>
      <w:r w:rsidR="00427468">
        <w:rPr>
          <w:kern w:val="0"/>
        </w:rPr>
        <w:t xml:space="preserve"> of </w:t>
      </w:r>
      <w:r>
        <w:rPr>
          <w:kern w:val="0"/>
        </w:rPr>
        <w:t>external stents following pancreaticoduodenectomy may be beneficial. However, only a limited number</w:t>
      </w:r>
      <w:r w:rsidR="00427468">
        <w:rPr>
          <w:kern w:val="0"/>
        </w:rPr>
        <w:t xml:space="preserve"> of </w:t>
      </w:r>
      <w:r>
        <w:rPr>
          <w:kern w:val="0"/>
        </w:rPr>
        <w:t>RCTs with rather small sample sizes were available. Further RCTs on the use</w:t>
      </w:r>
      <w:r w:rsidR="00427468">
        <w:rPr>
          <w:kern w:val="0"/>
        </w:rPr>
        <w:t xml:space="preserve"> of </w:t>
      </w:r>
      <w:r>
        <w:rPr>
          <w:kern w:val="0"/>
        </w:rPr>
        <w:t>stents after pancreaticoduodenectomy are warranted.</w:t>
      </w:r>
    </w:p>
    <w:p w:rsidR="00D8726F" w:rsidRDefault="00D8726F" w:rsidP="00D8726F">
      <w:pPr>
        <w:pStyle w:val="a3"/>
        <w:rPr>
          <w:kern w:val="0"/>
        </w:rPr>
      </w:pPr>
      <w:r>
        <w:rPr>
          <w:kern w:val="0"/>
        </w:rPr>
        <w:t>Keywords: Analysis, Authors, Biomedical, Chinese, Collection, Complications, Confidence, Criteria, Data, Data Collection, Databases, Decrease, Drainage, Duct, Efficacy, Embase, Fistula, Head Resection, Hospital, Hospital Stay, Improve Outcomes, Incidence, Interval, Isi, Isi Web</w:t>
      </w:r>
      <w:r w:rsidR="00427468">
        <w:rPr>
          <w:kern w:val="0"/>
        </w:rPr>
        <w:t xml:space="preserve"> of </w:t>
      </w:r>
      <w:r>
        <w:rPr>
          <w:kern w:val="0"/>
        </w:rPr>
        <w:t>Science, Length, Literature, Medline, Metaanalysis, Methods, Morbidity, Mortality, Outcomes, P, Pancreatic Fistula, Pancreaticojejunostomy, Patients, Prevention, Prospective Randomized-Trial, Randomized Controlled Trials, Reduction, Relative Risk, Reoperation, Review, Risk, Science, Search, Small, Stenting, Stents, Systematic Review, Web</w:t>
      </w:r>
      <w:r w:rsidR="00427468">
        <w:rPr>
          <w:kern w:val="0"/>
        </w:rPr>
        <w:t xml:space="preserve"> of </w:t>
      </w:r>
      <w:r>
        <w:rPr>
          <w:kern w:val="0"/>
        </w:rPr>
        <w:t>Science</w:t>
      </w:r>
    </w:p>
    <w:p w:rsidR="00365DE4" w:rsidRDefault="00365DE4" w:rsidP="00365DE4">
      <w:pPr>
        <w:pStyle w:val="a3"/>
        <w:rPr>
          <w:kern w:val="0"/>
        </w:rPr>
      </w:pPr>
      <w:r>
        <w:rPr>
          <w:kern w:val="0"/>
        </w:rPr>
        <w:t>? Schoonees, A., Lombard, M., Musekiwa, A., Nel, E.</w:t>
      </w:r>
      <w:r w:rsidR="005853A9">
        <w:rPr>
          <w:kern w:val="0"/>
        </w:rPr>
        <w:t xml:space="preserve"> and </w:t>
      </w:r>
      <w:r>
        <w:rPr>
          <w:kern w:val="0"/>
        </w:rPr>
        <w:t>Volmink, J. (2013), Ready-to-use therapeutic food for home-based treatment</w:t>
      </w:r>
      <w:r w:rsidR="00427468">
        <w:rPr>
          <w:kern w:val="0"/>
        </w:rPr>
        <w:t xml:space="preserve"> of </w:t>
      </w:r>
      <w:r>
        <w:rPr>
          <w:kern w:val="0"/>
        </w:rPr>
        <w:t>severe acute malnutrition in children from six months to five years</w:t>
      </w:r>
      <w:r w:rsidR="00427468">
        <w:rPr>
          <w:kern w:val="0"/>
        </w:rPr>
        <w:t xml:space="preserve"> of </w:t>
      </w:r>
      <w:r>
        <w:rPr>
          <w:kern w:val="0"/>
        </w:rPr>
        <w:t xml:space="preserve">age.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CD009000.</w:t>
      </w:r>
    </w:p>
    <w:p w:rsidR="00365DE4" w:rsidRDefault="00365DE4" w:rsidP="00365DE4">
      <w:pPr>
        <w:pStyle w:val="a3"/>
        <w:rPr>
          <w:kern w:val="2"/>
        </w:rPr>
      </w:pPr>
      <w:r>
        <w:t>Full Text: 2013\Coc Dat Sys Rev2013, CD009000.pdf</w:t>
      </w:r>
    </w:p>
    <w:p w:rsidR="00365DE4" w:rsidRDefault="00365DE4" w:rsidP="00365DE4">
      <w:pPr>
        <w:pStyle w:val="a3"/>
        <w:rPr>
          <w:kern w:val="0"/>
        </w:rPr>
      </w:pPr>
      <w:r>
        <w:rPr>
          <w:kern w:val="0"/>
        </w:rPr>
        <w:t>Abstract: Background Malnourished children have a higher risk</w:t>
      </w:r>
      <w:r w:rsidR="00427468">
        <w:rPr>
          <w:kern w:val="0"/>
        </w:rPr>
        <w:t xml:space="preserve"> of </w:t>
      </w:r>
      <w:r>
        <w:rPr>
          <w:kern w:val="0"/>
        </w:rPr>
        <w:t>death</w:t>
      </w:r>
      <w:r w:rsidR="005853A9">
        <w:rPr>
          <w:kern w:val="0"/>
        </w:rPr>
        <w:t xml:space="preserve"> and </w:t>
      </w:r>
      <w:r>
        <w:rPr>
          <w:kern w:val="0"/>
        </w:rPr>
        <w:t>illness. Treating severe acute malnourished children in hospitals is not always desirable or practical in rural settings,</w:t>
      </w:r>
      <w:r w:rsidR="005853A9">
        <w:rPr>
          <w:kern w:val="0"/>
        </w:rPr>
        <w:t xml:space="preserve"> and </w:t>
      </w:r>
      <w:r>
        <w:rPr>
          <w:kern w:val="0"/>
        </w:rPr>
        <w:t>home treatment may be better. Home treatment can be food prepared by the carer, such as flour porridge, or commercially manufactured food such as ready-to-use therapeutic food (RUTF). RUTF is made according to a standard, energy-rich composition defined by the World Health Organization (WHO)</w:t>
      </w:r>
      <w:r w:rsidR="00A37C1D">
        <w:rPr>
          <w:kern w:val="0"/>
        </w:rPr>
        <w:t>. The</w:t>
      </w:r>
      <w:r>
        <w:rPr>
          <w:kern w:val="0"/>
        </w:rPr>
        <w:t xml:space="preserve"> benefits</w:t>
      </w:r>
      <w:r w:rsidR="00427468">
        <w:rPr>
          <w:kern w:val="0"/>
        </w:rPr>
        <w:t xml:space="preserve"> of </w:t>
      </w:r>
      <w:r>
        <w:rPr>
          <w:kern w:val="0"/>
        </w:rPr>
        <w:t>RUTF include a low moisture content, long shelf life without needing refrigeration</w:t>
      </w:r>
      <w:r w:rsidR="005853A9">
        <w:rPr>
          <w:kern w:val="0"/>
        </w:rPr>
        <w:t xml:space="preserve"> and </w:t>
      </w:r>
      <w:r>
        <w:rPr>
          <w:kern w:val="0"/>
        </w:rPr>
        <w:t>that it requires no preparation. Objectives To assess the effects</w:t>
      </w:r>
      <w:r w:rsidR="00427468">
        <w:rPr>
          <w:kern w:val="0"/>
        </w:rPr>
        <w:t xml:space="preserve"> of </w:t>
      </w:r>
      <w:r>
        <w:rPr>
          <w:kern w:val="0"/>
        </w:rPr>
        <w:t>home-based RUTF on recovery, relapse</w:t>
      </w:r>
      <w:r w:rsidR="005853A9">
        <w:rPr>
          <w:kern w:val="0"/>
        </w:rPr>
        <w:t xml:space="preserve"> and </w:t>
      </w:r>
      <w:r>
        <w:rPr>
          <w:kern w:val="0"/>
        </w:rPr>
        <w:t>mortality in children with severe acute malnutrition. Search methods We searched the following electronic databases up to April 2013: Cochrane Central Register</w:t>
      </w:r>
      <w:r w:rsidR="00427468">
        <w:rPr>
          <w:kern w:val="0"/>
        </w:rPr>
        <w:t xml:space="preserve"> of </w:t>
      </w:r>
      <w:r>
        <w:rPr>
          <w:kern w:val="0"/>
        </w:rPr>
        <w:t xml:space="preserve">Clinical Trials (CENTRAL), </w:t>
      </w:r>
      <w:r w:rsidR="00D5664A">
        <w:rPr>
          <w:kern w:val="0"/>
        </w:rPr>
        <w:t>MEDLINE</w:t>
      </w:r>
      <w:r>
        <w:rPr>
          <w:kern w:val="0"/>
        </w:rPr>
        <w:t xml:space="preserve">, </w:t>
      </w:r>
      <w:r w:rsidR="00D5664A">
        <w:rPr>
          <w:kern w:val="0"/>
        </w:rPr>
        <w:t>MEDLINE</w:t>
      </w:r>
      <w:r>
        <w:rPr>
          <w:kern w:val="0"/>
        </w:rPr>
        <w:t xml:space="preserve"> In-process, EMBASE, CINAHL, Science Citation Index, African Index Medicus, LILACS, ZETOC</w:t>
      </w:r>
      <w:r w:rsidR="005853A9">
        <w:rPr>
          <w:kern w:val="0"/>
        </w:rPr>
        <w:t xml:space="preserve"> and </w:t>
      </w:r>
      <w:r>
        <w:rPr>
          <w:kern w:val="0"/>
        </w:rPr>
        <w:t>three trials registers. We also contacted researchers</w:t>
      </w:r>
      <w:r w:rsidR="005853A9">
        <w:rPr>
          <w:kern w:val="0"/>
        </w:rPr>
        <w:t xml:space="preserve"> and </w:t>
      </w:r>
      <w:r>
        <w:rPr>
          <w:kern w:val="0"/>
        </w:rPr>
        <w:t>clinicians in the field</w:t>
      </w:r>
      <w:r w:rsidR="005853A9">
        <w:rPr>
          <w:kern w:val="0"/>
        </w:rPr>
        <w:t xml:space="preserve"> and </w:t>
      </w:r>
      <w:r>
        <w:rPr>
          <w:kern w:val="0"/>
        </w:rPr>
        <w:t>handsearched bibliographies</w:t>
      </w:r>
      <w:r w:rsidR="00427468">
        <w:rPr>
          <w:kern w:val="0"/>
        </w:rPr>
        <w:t xml:space="preserve"> of </w:t>
      </w:r>
      <w:r>
        <w:rPr>
          <w:kern w:val="0"/>
        </w:rPr>
        <w:t>included studies</w:t>
      </w:r>
      <w:r w:rsidR="005853A9">
        <w:rPr>
          <w:kern w:val="0"/>
        </w:rPr>
        <w:t xml:space="preserve"> and </w:t>
      </w:r>
      <w:r>
        <w:rPr>
          <w:kern w:val="0"/>
        </w:rPr>
        <w:t>relevant reviews. Selection criteria We included randomised</w:t>
      </w:r>
      <w:r w:rsidR="005853A9">
        <w:rPr>
          <w:kern w:val="0"/>
        </w:rPr>
        <w:t xml:space="preserve"> and </w:t>
      </w:r>
      <w:r>
        <w:rPr>
          <w:kern w:val="0"/>
        </w:rPr>
        <w:t>quasi-randomised controlled trials where children between six months</w:t>
      </w:r>
      <w:r w:rsidR="005853A9">
        <w:rPr>
          <w:kern w:val="0"/>
        </w:rPr>
        <w:t xml:space="preserve"> and </w:t>
      </w:r>
      <w:r>
        <w:rPr>
          <w:kern w:val="0"/>
        </w:rPr>
        <w:t>five years</w:t>
      </w:r>
      <w:r w:rsidR="00427468">
        <w:rPr>
          <w:kern w:val="0"/>
        </w:rPr>
        <w:t xml:space="preserve"> of </w:t>
      </w:r>
      <w:r>
        <w:rPr>
          <w:kern w:val="0"/>
        </w:rPr>
        <w:t>age with severe acute malnutrition were treated at home with RUTF compared to a standard diet, or different regimens</w:t>
      </w:r>
      <w:r w:rsidR="005853A9">
        <w:rPr>
          <w:kern w:val="0"/>
        </w:rPr>
        <w:t xml:space="preserve"> and </w:t>
      </w:r>
      <w:r>
        <w:rPr>
          <w:kern w:val="0"/>
        </w:rPr>
        <w:t>formulations</w:t>
      </w:r>
      <w:r w:rsidR="00427468">
        <w:rPr>
          <w:kern w:val="0"/>
        </w:rPr>
        <w:t xml:space="preserve"> of </w:t>
      </w:r>
      <w:r>
        <w:rPr>
          <w:kern w:val="0"/>
        </w:rPr>
        <w:t>RUTFs compared to each other. We assessed recovery, relapse</w:t>
      </w:r>
      <w:r w:rsidR="005853A9">
        <w:rPr>
          <w:kern w:val="0"/>
        </w:rPr>
        <w:t xml:space="preserve"> and </w:t>
      </w:r>
      <w:r>
        <w:rPr>
          <w:kern w:val="0"/>
        </w:rPr>
        <w:t>mortality as primary outcomes,</w:t>
      </w:r>
      <w:r w:rsidR="005853A9">
        <w:rPr>
          <w:kern w:val="0"/>
        </w:rPr>
        <w:t xml:space="preserve"> and </w:t>
      </w:r>
      <w:r>
        <w:rPr>
          <w:kern w:val="0"/>
        </w:rPr>
        <w:t>anthropometrical changes, time to recovery</w:t>
      </w:r>
      <w:r w:rsidR="005853A9">
        <w:rPr>
          <w:kern w:val="0"/>
        </w:rPr>
        <w:t xml:space="preserve"> and </w:t>
      </w:r>
      <w:r>
        <w:rPr>
          <w:kern w:val="0"/>
        </w:rPr>
        <w:t>adverse outcomes as secondary outcomes. Data collection</w:t>
      </w:r>
      <w:r w:rsidR="005853A9">
        <w:rPr>
          <w:kern w:val="0"/>
        </w:rPr>
        <w:t xml:space="preserve"> and </w:t>
      </w:r>
      <w:r>
        <w:rPr>
          <w:kern w:val="0"/>
        </w:rPr>
        <w:t>analysis Two review authors independently assessed trial eligibility using prespecified criteria,</w:t>
      </w:r>
      <w:r w:rsidR="005853A9">
        <w:rPr>
          <w:kern w:val="0"/>
        </w:rPr>
        <w:t xml:space="preserve"> and </w:t>
      </w:r>
      <w:r>
        <w:rPr>
          <w:kern w:val="0"/>
        </w:rPr>
        <w:t>three review authors independently extracted data</w:t>
      </w:r>
      <w:r w:rsidR="005853A9">
        <w:rPr>
          <w:kern w:val="0"/>
        </w:rPr>
        <w:t xml:space="preserve"> and </w:t>
      </w:r>
      <w:r>
        <w:rPr>
          <w:kern w:val="0"/>
        </w:rPr>
        <w:lastRenderedPageBreak/>
        <w:t>assessed trial risk</w:t>
      </w:r>
      <w:r w:rsidR="00427468">
        <w:rPr>
          <w:kern w:val="0"/>
        </w:rPr>
        <w:t xml:space="preserve"> of </w:t>
      </w:r>
      <w:r>
        <w:rPr>
          <w:kern w:val="0"/>
        </w:rPr>
        <w:t>bias. Main results We included four trials (three having a high risk</w:t>
      </w:r>
      <w:r w:rsidR="00427468">
        <w:rPr>
          <w:kern w:val="0"/>
        </w:rPr>
        <w:t xml:space="preserve"> of </w:t>
      </w:r>
      <w:r>
        <w:rPr>
          <w:kern w:val="0"/>
        </w:rPr>
        <w:t>bias), all conducted in Malawi with the same contact author. One small trial included children infected with human immunodeficiency virus (HIV). We found the risk</w:t>
      </w:r>
      <w:r w:rsidR="00427468">
        <w:rPr>
          <w:kern w:val="0"/>
        </w:rPr>
        <w:t xml:space="preserve"> of </w:t>
      </w:r>
      <w:r>
        <w:rPr>
          <w:kern w:val="0"/>
        </w:rPr>
        <w:t>bias to be high for the three quasi-randomised trials while the fourth trial had a low to moderate risk</w:t>
      </w:r>
      <w:r w:rsidR="00427468">
        <w:rPr>
          <w:kern w:val="0"/>
        </w:rPr>
        <w:t xml:space="preserve"> of </w:t>
      </w:r>
      <w:r>
        <w:rPr>
          <w:kern w:val="0"/>
        </w:rPr>
        <w:t>bias. Because</w:t>
      </w:r>
      <w:r w:rsidR="00427468">
        <w:rPr>
          <w:kern w:val="0"/>
        </w:rPr>
        <w:t xml:space="preserve"> of </w:t>
      </w:r>
      <w:r>
        <w:rPr>
          <w:kern w:val="0"/>
        </w:rPr>
        <w:t>the sparse data for HIV, we reported below the main results for all children together. RUTF meeting total daily requirements versus standard diet When comparing RUTF with standard diet (flour porridge), we found three quasi-randomised cluster trials (n = 599). RUTF may improve recovery slightly (risk ratio (RR) 1.32; 95% confidence interval (CI) 1.16 to 1.50; low quality evidence), but we do not know whether RUTF improves relapse, mortality or weight gain (very low quality evidence). RUTF supplement versus RUTF meeting total daily requirements When comparing RUTF supplement with RUTF that meets total daily nutritional requirements, we found two quasi-randomised cluster trials (n = 210). For recovery, relapse, mortality</w:t>
      </w:r>
      <w:r w:rsidR="005853A9">
        <w:rPr>
          <w:kern w:val="0"/>
        </w:rPr>
        <w:t xml:space="preserve"> and </w:t>
      </w:r>
      <w:r>
        <w:rPr>
          <w:kern w:val="0"/>
        </w:rPr>
        <w:t>weight gain the quality</w:t>
      </w:r>
      <w:r w:rsidR="00427468">
        <w:rPr>
          <w:kern w:val="0"/>
        </w:rPr>
        <w:t xml:space="preserve"> of </w:t>
      </w:r>
      <w:r>
        <w:rPr>
          <w:kern w:val="0"/>
        </w:rPr>
        <w:t>evidence was very low; therefore, the effects</w:t>
      </w:r>
      <w:r w:rsidR="00427468">
        <w:rPr>
          <w:kern w:val="0"/>
        </w:rPr>
        <w:t xml:space="preserve"> of </w:t>
      </w:r>
      <w:r>
        <w:rPr>
          <w:kern w:val="0"/>
        </w:rPr>
        <w:t>RUTF are unknown. RUTF containing less milk powder versus standard RUTF When comparing a cheaper RUTF containing less milk powder (10%) versus standard RUTF (25% milk powder), we found one trial that randomised 1874 children. For recovery, there was probably little or no difference between the groups (RR 0.97; 95% CI 0.93 to 1.01; moderate quality evidence). RUTF containing less milk powder may lead to slightly more children relapsing (RR 1.33; 95% CI 1.03 to 1.72; low quality evidence)</w:t>
      </w:r>
      <w:r w:rsidR="005853A9">
        <w:rPr>
          <w:kern w:val="0"/>
        </w:rPr>
        <w:t xml:space="preserve"> and </w:t>
      </w:r>
      <w:r>
        <w:rPr>
          <w:kern w:val="0"/>
        </w:rPr>
        <w:t>to less weight gain (mean difference (MD) -0.5 g/kg/day; 95% CI -0.75 to -0.25; low-quality evidence) than standard RUTF. We do not know whether the cheaper RUTF improved mortality (very low quality evidence). Authors</w:t>
      </w:r>
      <w:r w:rsidR="0071223E">
        <w:rPr>
          <w:kern w:val="0"/>
        </w:rPr>
        <w:t>’</w:t>
      </w:r>
      <w:r>
        <w:rPr>
          <w:kern w:val="0"/>
        </w:rPr>
        <w:t xml:space="preserve"> conclusions Given the limited evidence base currently available, it is not possible to reach definitive conclusions regarding differences in clinical outcomes in children with severe acute malnutrition who were given home-based ready-to-use therapeutic food (RUTF) compared to the standard diet, or who were treated with RUTF in different daily amounts or formulations. For this reason, either RUTF or flour porridge can be used to treat children at home depending on availability, affordability</w:t>
      </w:r>
      <w:r w:rsidR="005853A9">
        <w:rPr>
          <w:kern w:val="0"/>
        </w:rPr>
        <w:t xml:space="preserve"> and </w:t>
      </w:r>
      <w:r>
        <w:rPr>
          <w:kern w:val="0"/>
        </w:rPr>
        <w:t>practicality. Well-designed, adequately powered pragmatic randomised controlled trials</w:t>
      </w:r>
      <w:r w:rsidR="00427468">
        <w:rPr>
          <w:kern w:val="0"/>
        </w:rPr>
        <w:t xml:space="preserve"> of </w:t>
      </w:r>
      <w:r>
        <w:rPr>
          <w:kern w:val="0"/>
        </w:rPr>
        <w:t>HIV-uninfected</w:t>
      </w:r>
      <w:r w:rsidR="005853A9">
        <w:rPr>
          <w:kern w:val="0"/>
        </w:rPr>
        <w:t xml:space="preserve"> and </w:t>
      </w:r>
      <w:r>
        <w:rPr>
          <w:kern w:val="0"/>
        </w:rPr>
        <w:t>HIV-infected children with severe acute malnutrition are needed.</w:t>
      </w:r>
    </w:p>
    <w:p w:rsidR="00365DE4" w:rsidRDefault="00365DE4" w:rsidP="00365DE4">
      <w:pPr>
        <w:pStyle w:val="a3"/>
        <w:rPr>
          <w:kern w:val="0"/>
        </w:rPr>
      </w:pPr>
      <w:r>
        <w:rPr>
          <w:kern w:val="0"/>
        </w:rPr>
        <w:t xml:space="preserve">Keywords: Adverse Outcomes, Affordability, Age, Analysis, Authors, Availability, Benefits, Bias, Bibliographies, Changes, Children, Citation, Clinical, Clinical Outcomes, Clinical Trials, Cluster, Collection, Composition, Confidence, Criteria, Data, Data Collection, Databases, Death, Diet, Effects, Embase, Evidence, Field, Food, Groups, HIV, Hospitals, Human, Human Immunodeficiency Virus, Infected, Interval, Lead, Life, Malawi, Malnutrition, </w:t>
      </w:r>
      <w:r w:rsidR="00D5664A">
        <w:rPr>
          <w:kern w:val="0"/>
        </w:rPr>
        <w:t>MEDLINE</w:t>
      </w:r>
      <w:r>
        <w:rPr>
          <w:kern w:val="0"/>
        </w:rPr>
        <w:t xml:space="preserve">, Methods, Milk, Moisture, </w:t>
      </w:r>
      <w:r>
        <w:rPr>
          <w:kern w:val="0"/>
        </w:rPr>
        <w:lastRenderedPageBreak/>
        <w:t>Mortality, Outcomes, Preparation, Primary, Quality, Quality Of, Randomised, Randomised Controlled Trials, Recovery, Refrigeration, Relapse, Review, Reviews, Risk, Rural, Science, Science Citation Index, Search, Small, Standard, Therapeutic, Treatment, Trial, Weight Gain, WHO, World Health Organization</w:t>
      </w:r>
    </w:p>
    <w:p w:rsidR="00D8726F" w:rsidRDefault="00D8726F" w:rsidP="00D8726F">
      <w:pPr>
        <w:pStyle w:val="a3"/>
        <w:rPr>
          <w:kern w:val="0"/>
        </w:rPr>
      </w:pPr>
      <w:r>
        <w:rPr>
          <w:rFonts w:hint="eastAsia"/>
          <w:kern w:val="0"/>
        </w:rPr>
        <w:t xml:space="preserve">? </w:t>
      </w:r>
      <w:r>
        <w:rPr>
          <w:kern w:val="0"/>
        </w:rPr>
        <w:t xml:space="preserve">Naing, K.A., Li, L., Su, Q. and Wu, T.X. (2013), Adenosine and verapamil for no-reflow during primary percutaneous coronary intervention in people with acute myocardial infarction. </w:t>
      </w:r>
      <w:r>
        <w:rPr>
          <w:i/>
          <w:iCs/>
          <w:kern w:val="0"/>
        </w:rPr>
        <w:t>Cochrane Database</w:t>
      </w:r>
      <w:r w:rsidR="00427468">
        <w:rPr>
          <w:i/>
          <w:iCs/>
          <w:kern w:val="0"/>
        </w:rPr>
        <w:t xml:space="preserve"> of </w:t>
      </w:r>
      <w:r>
        <w:rPr>
          <w:i/>
          <w:iCs/>
          <w:kern w:val="0"/>
        </w:rPr>
        <w:t>Systematic Reviews</w:t>
      </w:r>
      <w:r>
        <w:rPr>
          <w:kern w:val="0"/>
        </w:rPr>
        <w:t xml:space="preserve">, </w:t>
      </w:r>
      <w:r>
        <w:rPr>
          <w:rFonts w:hint="eastAsia"/>
          <w:b/>
          <w:kern w:val="0"/>
        </w:rPr>
        <w:t>6</w:t>
      </w:r>
      <w:r>
        <w:rPr>
          <w:kern w:val="0"/>
        </w:rPr>
        <w:t xml:space="preserve">, Article Number: </w:t>
      </w:r>
      <w:r w:rsidRPr="000873FA">
        <w:rPr>
          <w:kern w:val="0"/>
        </w:rPr>
        <w:t>CD009503</w:t>
      </w:r>
      <w:r>
        <w:rPr>
          <w:kern w:val="0"/>
        </w:rPr>
        <w:t>.</w:t>
      </w:r>
    </w:p>
    <w:p w:rsidR="00D8726F" w:rsidRDefault="00D8726F" w:rsidP="00D8726F">
      <w:pPr>
        <w:pStyle w:val="a3"/>
        <w:rPr>
          <w:kern w:val="2"/>
        </w:rPr>
      </w:pPr>
      <w:r>
        <w:t xml:space="preserve">Full Text: 2013\Coc Dat Sys Rev2013, </w:t>
      </w:r>
      <w:r w:rsidRPr="000873FA">
        <w:rPr>
          <w:kern w:val="0"/>
        </w:rPr>
        <w:t>CD009503</w:t>
      </w:r>
      <w:r>
        <w:rPr>
          <w:kern w:val="0"/>
        </w:rPr>
        <w:t>.pdf</w:t>
      </w:r>
    </w:p>
    <w:p w:rsidR="00D8726F" w:rsidRDefault="00D8726F" w:rsidP="00D8726F">
      <w:pPr>
        <w:pStyle w:val="a3"/>
        <w:rPr>
          <w:kern w:val="0"/>
        </w:rPr>
      </w:pPr>
      <w:r>
        <w:rPr>
          <w:kern w:val="0"/>
        </w:rPr>
        <w:t>Abstract: Background Primary percutaneous coronary intervention (PPCI) is the preferred treatment for ST segment elevation myocardial infarction. Although there is restoration</w:t>
      </w:r>
      <w:r w:rsidR="00427468">
        <w:rPr>
          <w:kern w:val="0"/>
        </w:rPr>
        <w:t xml:space="preserve"> of </w:t>
      </w:r>
      <w:r>
        <w:rPr>
          <w:kern w:val="0"/>
        </w:rPr>
        <w:t>coronary flow after PPCI, impaired myocardial perfusion (known as no-reflow) is frequently observed, and is related to poor clinical outcomes. In order to overcome this phenomenon, drugs have been tried as adjunctive treatments to PPCI. Among them, verapamil and adenosine are two</w:t>
      </w:r>
      <w:r w:rsidR="00427468">
        <w:rPr>
          <w:kern w:val="0"/>
        </w:rPr>
        <w:t xml:space="preserve"> of </w:t>
      </w:r>
      <w:r>
        <w:rPr>
          <w:kern w:val="0"/>
        </w:rPr>
        <w:t>the most promising drugs</w:t>
      </w:r>
      <w:r w:rsidR="00A37C1D">
        <w:rPr>
          <w:kern w:val="0"/>
        </w:rPr>
        <w:t>. The</w:t>
      </w:r>
      <w:r>
        <w:rPr>
          <w:kern w:val="0"/>
        </w:rPr>
        <w:t>re are no systematic reviews</w:t>
      </w:r>
      <w:r w:rsidR="00427468">
        <w:rPr>
          <w:kern w:val="0"/>
        </w:rPr>
        <w:t xml:space="preserve"> of </w:t>
      </w:r>
      <w:r>
        <w:rPr>
          <w:kern w:val="0"/>
        </w:rPr>
        <w:t>these two drugs in people with acute myocardial infarction (AMI) undergoing PPCI. Objectives To study the impact</w:t>
      </w:r>
      <w:r w:rsidR="00427468">
        <w:rPr>
          <w:kern w:val="0"/>
        </w:rPr>
        <w:t xml:space="preserve"> of </w:t>
      </w:r>
      <w:r>
        <w:rPr>
          <w:kern w:val="0"/>
        </w:rPr>
        <w:t>adenosine and verapamil on people with AMI who are undergoing PPCI. Search methods We searched the following databases in February 2012: the Cochrane Central Register</w:t>
      </w:r>
      <w:r w:rsidR="00427468">
        <w:rPr>
          <w:kern w:val="0"/>
        </w:rPr>
        <w:t xml:space="preserve"> of </w:t>
      </w:r>
      <w:r>
        <w:rPr>
          <w:kern w:val="0"/>
        </w:rPr>
        <w:t>Controlled Trials (CENTRAL) on The Cochrane Library, MEDLINE, EMBASE, Web</w:t>
      </w:r>
      <w:r w:rsidR="00427468">
        <w:rPr>
          <w:kern w:val="0"/>
        </w:rPr>
        <w:t xml:space="preserve"> of </w:t>
      </w:r>
      <w:r>
        <w:rPr>
          <w:kern w:val="0"/>
        </w:rPr>
        <w:t>Science and BIOSIS, China National Knowledge Infrastructure, Clinical Trials registers (Clinical Trials.gov, Current Controlled Trials, Australian &amp; New Zealand Clinical Trials Registry, the WHO International Clinical Trials Registry Platform). We also handsearched the American Journal</w:t>
      </w:r>
      <w:r w:rsidR="00427468">
        <w:rPr>
          <w:kern w:val="0"/>
        </w:rPr>
        <w:t xml:space="preserve"> of </w:t>
      </w:r>
      <w:r>
        <w:rPr>
          <w:kern w:val="0"/>
        </w:rPr>
        <w:t>Cardiology. Selection criteria We selected randomised controlled trials (RCTs) where adenosine or verapamil was the primary intervention. Participants were individuals diagnosed with AMI who were undergoing PPCI. Data collection and analysis Two review authors collected studies and extracted data. Where necessary, we contacted the trial authors to obtain the relevant information. We calculated risk ratios (RRs), P values, and 95% confidence intervals (CIs)</w:t>
      </w:r>
      <w:r w:rsidR="00427468">
        <w:rPr>
          <w:kern w:val="0"/>
        </w:rPr>
        <w:t xml:space="preserve"> of </w:t>
      </w:r>
      <w:r>
        <w:rPr>
          <w:kern w:val="0"/>
        </w:rPr>
        <w:t>dichotomous data. Main results We included 10 RCTs involving 939 participants in our review. Nine RCTs were associated with adenosine and one with verapamil. We considered the overall risk</w:t>
      </w:r>
      <w:r w:rsidR="00427468">
        <w:rPr>
          <w:kern w:val="0"/>
        </w:rPr>
        <w:t xml:space="preserve"> of </w:t>
      </w:r>
      <w:r>
        <w:rPr>
          <w:kern w:val="0"/>
        </w:rPr>
        <w:t>bias</w:t>
      </w:r>
      <w:r w:rsidR="00427468">
        <w:rPr>
          <w:kern w:val="0"/>
        </w:rPr>
        <w:t xml:space="preserve"> of </w:t>
      </w:r>
      <w:r>
        <w:rPr>
          <w:kern w:val="0"/>
        </w:rPr>
        <w:t>included studies to be moderate</w:t>
      </w:r>
      <w:r w:rsidR="00A37C1D">
        <w:rPr>
          <w:kern w:val="0"/>
        </w:rPr>
        <w:t>. The</w:t>
      </w:r>
      <w:r>
        <w:rPr>
          <w:kern w:val="0"/>
        </w:rPr>
        <w:t>re was no evidence that adenosine reduced short-term all-cause mortality (RR 0.61, 95% CI 0.23 to 1.61, P = 0.32), long-term all-cause mortality (RR 1.20, 95% CI 0.27 to 5.22, P = 0.81), short-term non-fatal myocardial infarction (RR 1.38, 95% 0.28 to 6.96, P = 0.69) or the incidence</w:t>
      </w:r>
      <w:r w:rsidR="00427468">
        <w:rPr>
          <w:kern w:val="0"/>
        </w:rPr>
        <w:t xml:space="preserve"> of </w:t>
      </w:r>
      <w:r>
        <w:rPr>
          <w:kern w:val="0"/>
        </w:rPr>
        <w:t>angiographic no-reflow (TIMI flow grade &lt; 3 after PPCI: RR 0.72, 95% CI 0.49 to 1.07, P = 0.11, and myocardial blush grade (MBG) 0 to 1 after PPCI: RR 0.96, 95% CI 0.76 to 1.22, P=0.75). But the incidence</w:t>
      </w:r>
      <w:r w:rsidR="00427468">
        <w:rPr>
          <w:kern w:val="0"/>
        </w:rPr>
        <w:t xml:space="preserve"> of </w:t>
      </w:r>
      <w:r>
        <w:rPr>
          <w:kern w:val="0"/>
        </w:rPr>
        <w:t xml:space="preserve">adverse events with adenosine, such as bradycardia </w:t>
      </w:r>
      <w:r>
        <w:rPr>
          <w:kern w:val="0"/>
        </w:rPr>
        <w:lastRenderedPageBreak/>
        <w:t>(RR 6.57, 95% CI 2.94 to 14.67, P&lt;0.00001), hypotension (RR 11.43, 95% CI 2.75 to 47.57, P=0.0008) and atrioventricular (AV) block (RR 6.67, 95% CI 1.52 to 29.21, P=0.01) was significantly increased. Meta-analysis</w:t>
      </w:r>
      <w:r w:rsidR="00427468">
        <w:rPr>
          <w:kern w:val="0"/>
        </w:rPr>
        <w:t xml:space="preserve"> of </w:t>
      </w:r>
      <w:r>
        <w:rPr>
          <w:kern w:val="0"/>
        </w:rPr>
        <w:t>verapamil as treatment for no-reflow during PPCI was not calculated due to lack</w:t>
      </w:r>
      <w:r w:rsidR="00427468">
        <w:rPr>
          <w:kern w:val="0"/>
        </w:rPr>
        <w:t xml:space="preserve"> of </w:t>
      </w:r>
      <w:r>
        <w:rPr>
          <w:kern w:val="0"/>
        </w:rPr>
        <w:t>data. Authors</w:t>
      </w:r>
      <w:r w:rsidR="0071223E">
        <w:rPr>
          <w:kern w:val="0"/>
        </w:rPr>
        <w:t>’</w:t>
      </w:r>
      <w:r>
        <w:rPr>
          <w:kern w:val="0"/>
        </w:rPr>
        <w:t xml:space="preserve"> conclusions We found no evidence that adenosine and verapamil as treatments for no-reflow during PPCI can reduce all-cause mortality, non-fatal myocardial infarction or the incidence</w:t>
      </w:r>
      <w:r w:rsidR="00427468">
        <w:rPr>
          <w:kern w:val="0"/>
        </w:rPr>
        <w:t xml:space="preserve"> of </w:t>
      </w:r>
      <w:r>
        <w:rPr>
          <w:kern w:val="0"/>
        </w:rPr>
        <w:t>angiographic no-reflow (TIMI flow grade &lt; 3 and MBG 0 to1), but there was some evidence</w:t>
      </w:r>
      <w:r w:rsidR="00427468">
        <w:rPr>
          <w:kern w:val="0"/>
        </w:rPr>
        <w:t xml:space="preserve"> of </w:t>
      </w:r>
      <w:r>
        <w:rPr>
          <w:kern w:val="0"/>
        </w:rPr>
        <w:t>increased adverse events. Further clinical research into adenosine and verapamil is needed because</w:t>
      </w:r>
      <w:r w:rsidR="00427468">
        <w:rPr>
          <w:kern w:val="0"/>
        </w:rPr>
        <w:t xml:space="preserve"> of </w:t>
      </w:r>
      <w:r>
        <w:rPr>
          <w:kern w:val="0"/>
        </w:rPr>
        <w:t>the limited numbers</w:t>
      </w:r>
      <w:r w:rsidR="00427468">
        <w:rPr>
          <w:kern w:val="0"/>
        </w:rPr>
        <w:t xml:space="preserve"> of </w:t>
      </w:r>
      <w:r>
        <w:rPr>
          <w:kern w:val="0"/>
        </w:rPr>
        <w:t>included trials and participants.</w:t>
      </w:r>
    </w:p>
    <w:p w:rsidR="00D8726F" w:rsidRDefault="00D8726F" w:rsidP="00D8726F">
      <w:pPr>
        <w:pStyle w:val="a3"/>
        <w:rPr>
          <w:kern w:val="0"/>
        </w:rPr>
      </w:pPr>
      <w:r>
        <w:rPr>
          <w:kern w:val="0"/>
        </w:rPr>
        <w:t>Keywords: Acute Myocardial Infarction, Analysis, Australian, Authors, Bias, Blood-Flow, Cardiac-Arrhythmias, Cardiology, China, Clinical, Clinical Outcomes, Clinical Research, Clinical Trials, Collection, Confidence, Confidence Intervals, Controlled-Trial, Criteria, Data, Data Collection, Databases, Dose Intracoronary Adenosine, Drugs, Embase, Events, Evidence, Flow, Hypotension, Impact, Incidence, Infarction, Information, Intervals, Intervention, Intravenous Thrombolytic Therapy, Journal, Knowledge, Long Term, Long-Term, Medline, Meta-Analysis, Methods, Microvascular Reflow, Mortality, Myocardial Infarction, New Zealand, Outcomes, P, Percutaneous, Percutaneous Coronary Intervention, Primary, Primary Angioplasty, Randomised, Randomised Controlled Trials, Reperfusion, Research, Restoration, Review, Reviews, Risk, Science, Search, Sodium-Nitroprusside, St-Segment Elevation, Systematic Reviews, Treatment, Trial, Web</w:t>
      </w:r>
      <w:r w:rsidR="00427468">
        <w:rPr>
          <w:kern w:val="0"/>
        </w:rPr>
        <w:t xml:space="preserve"> of </w:t>
      </w:r>
      <w:r>
        <w:rPr>
          <w:kern w:val="0"/>
        </w:rPr>
        <w:t>Science, Who</w:t>
      </w:r>
    </w:p>
    <w:p w:rsidR="00365DE4" w:rsidRDefault="00365DE4" w:rsidP="00365DE4">
      <w:pPr>
        <w:pStyle w:val="a3"/>
        <w:rPr>
          <w:kern w:val="0"/>
        </w:rPr>
      </w:pPr>
      <w:r>
        <w:rPr>
          <w:kern w:val="0"/>
        </w:rPr>
        <w:t>? Bala, M.M., Riemsma, R.P., Wolff, R.</w:t>
      </w:r>
      <w:r w:rsidR="005853A9">
        <w:rPr>
          <w:kern w:val="0"/>
        </w:rPr>
        <w:t xml:space="preserve"> and </w:t>
      </w:r>
      <w:r>
        <w:rPr>
          <w:kern w:val="0"/>
        </w:rPr>
        <w:t xml:space="preserve">Kleijnen, J. (2013), Cryotherapy for liver metastases.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CD009058.</w:t>
      </w:r>
    </w:p>
    <w:p w:rsidR="00365DE4" w:rsidRDefault="00365DE4" w:rsidP="00365DE4">
      <w:pPr>
        <w:pStyle w:val="a3"/>
        <w:rPr>
          <w:kern w:val="2"/>
        </w:rPr>
      </w:pPr>
      <w:r>
        <w:t>Full Text: 2013\Coc Dat Sys Rev2013, CD009058.pdf</w:t>
      </w:r>
    </w:p>
    <w:p w:rsidR="00365DE4" w:rsidRDefault="00365DE4" w:rsidP="00365DE4">
      <w:pPr>
        <w:pStyle w:val="a3"/>
        <w:rPr>
          <w:kern w:val="0"/>
        </w:rPr>
      </w:pPr>
      <w:r>
        <w:rPr>
          <w:kern w:val="0"/>
        </w:rPr>
        <w:t>Abstract: Background Primary liver tumours</w:t>
      </w:r>
      <w:r w:rsidR="005853A9">
        <w:rPr>
          <w:kern w:val="0"/>
        </w:rPr>
        <w:t xml:space="preserve"> and </w:t>
      </w:r>
      <w:r>
        <w:rPr>
          <w:kern w:val="0"/>
        </w:rPr>
        <w:t>liver metastases from colorectal carcinoma are the two most common malignant tumours to affect the liver</w:t>
      </w:r>
      <w:r w:rsidR="00A37C1D">
        <w:rPr>
          <w:kern w:val="0"/>
        </w:rPr>
        <w:t>. The</w:t>
      </w:r>
      <w:r>
        <w:rPr>
          <w:kern w:val="0"/>
        </w:rPr>
        <w:t xml:space="preserve"> liver is second only to the lymph nodes as the most common site for metastatic disease. More than half</w:t>
      </w:r>
      <w:r w:rsidR="00427468">
        <w:rPr>
          <w:kern w:val="0"/>
        </w:rPr>
        <w:t xml:space="preserve"> of </w:t>
      </w:r>
      <w:r>
        <w:rPr>
          <w:kern w:val="0"/>
        </w:rPr>
        <w:t>the patients with metastatic liver disease will die from metastatic complications. In cryoablation, liquid nitrogen or argon gas is delivered to the liver tumour, guided by ultrasound using a specially designed probe. Ice crystal formation during the rapid freezing process causes destruction</w:t>
      </w:r>
      <w:r w:rsidR="00427468">
        <w:rPr>
          <w:kern w:val="0"/>
        </w:rPr>
        <w:t xml:space="preserve"> of </w:t>
      </w:r>
      <w:r>
        <w:rPr>
          <w:kern w:val="0"/>
        </w:rPr>
        <w:t>cellular structure</w:t>
      </w:r>
      <w:r w:rsidR="005853A9">
        <w:rPr>
          <w:kern w:val="0"/>
        </w:rPr>
        <w:t xml:space="preserve"> and </w:t>
      </w:r>
      <w:r>
        <w:rPr>
          <w:kern w:val="0"/>
        </w:rPr>
        <w:t>kills the tumour cells. Objectives To study the beneficial</w:t>
      </w:r>
      <w:r w:rsidR="005853A9">
        <w:rPr>
          <w:kern w:val="0"/>
        </w:rPr>
        <w:t xml:space="preserve"> and </w:t>
      </w:r>
      <w:r>
        <w:rPr>
          <w:kern w:val="0"/>
        </w:rPr>
        <w:t>harmful effects</w:t>
      </w:r>
      <w:r w:rsidR="00427468">
        <w:rPr>
          <w:kern w:val="0"/>
        </w:rPr>
        <w:t xml:space="preserve"> of </w:t>
      </w:r>
      <w:r>
        <w:rPr>
          <w:kern w:val="0"/>
        </w:rPr>
        <w:t>cryotherapy compared with no intervention, other ablation methods, or systemic treatments in patients with liver metastases.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LILACS,</w:t>
      </w:r>
      <w:r w:rsidR="005853A9">
        <w:rPr>
          <w:kern w:val="0"/>
        </w:rPr>
        <w:t xml:space="preserve"> and </w:t>
      </w:r>
      <w:r>
        <w:rPr>
          <w:kern w:val="0"/>
        </w:rPr>
        <w:t xml:space="preserve">CINAHL up to December 2012. </w:t>
      </w:r>
      <w:r>
        <w:rPr>
          <w:kern w:val="0"/>
        </w:rPr>
        <w:lastRenderedPageBreak/>
        <w:t>Selection criteria We included all randomised clinical trials assessing the beneficial</w:t>
      </w:r>
      <w:r w:rsidR="005853A9">
        <w:rPr>
          <w:kern w:val="0"/>
        </w:rPr>
        <w:t xml:space="preserve"> and </w:t>
      </w:r>
      <w:r>
        <w:rPr>
          <w:kern w:val="0"/>
        </w:rPr>
        <w:t>harmful effects</w:t>
      </w:r>
      <w:r w:rsidR="00427468">
        <w:rPr>
          <w:kern w:val="0"/>
        </w:rPr>
        <w:t xml:space="preserve"> of </w:t>
      </w:r>
      <w:r>
        <w:rPr>
          <w:kern w:val="0"/>
        </w:rPr>
        <w:t>cryotherapy</w:t>
      </w:r>
      <w:r w:rsidR="005853A9">
        <w:rPr>
          <w:kern w:val="0"/>
        </w:rPr>
        <w:t xml:space="preserve"> and </w:t>
      </w:r>
      <w:r>
        <w:rPr>
          <w:kern w:val="0"/>
        </w:rPr>
        <w:t>its comparators, irrespective</w:t>
      </w:r>
      <w:r w:rsidR="00427468">
        <w:rPr>
          <w:kern w:val="0"/>
        </w:rPr>
        <w:t xml:space="preserve"> of </w:t>
      </w:r>
      <w:r>
        <w:rPr>
          <w:kern w:val="0"/>
        </w:rPr>
        <w:t>the location</w:t>
      </w:r>
      <w:r w:rsidR="00427468">
        <w:rPr>
          <w:kern w:val="0"/>
        </w:rPr>
        <w:t xml:space="preserve"> of </w:t>
      </w:r>
      <w:r>
        <w:rPr>
          <w:kern w:val="0"/>
        </w:rPr>
        <w:t>the primary tumour. Data collection</w:t>
      </w:r>
      <w:r w:rsidR="005853A9">
        <w:rPr>
          <w:kern w:val="0"/>
        </w:rPr>
        <w:t xml:space="preserve"> and </w:t>
      </w:r>
      <w:r>
        <w:rPr>
          <w:kern w:val="0"/>
        </w:rPr>
        <w:t>analysis We extracted relevant information on participant characteristics, interventions, study outcomes,</w:t>
      </w:r>
      <w:r w:rsidR="005853A9">
        <w:rPr>
          <w:kern w:val="0"/>
        </w:rPr>
        <w:t xml:space="preserve"> and </w:t>
      </w:r>
      <w:r>
        <w:rPr>
          <w:kern w:val="0"/>
        </w:rPr>
        <w:t>data on the outcomes for our review, as well as information on the design</w:t>
      </w:r>
      <w:r w:rsidR="005853A9">
        <w:rPr>
          <w:kern w:val="0"/>
        </w:rPr>
        <w:t xml:space="preserve"> and </w:t>
      </w:r>
      <w:r>
        <w:rPr>
          <w:kern w:val="0"/>
        </w:rPr>
        <w:t>methodology</w:t>
      </w:r>
      <w:r w:rsidR="00427468">
        <w:rPr>
          <w:kern w:val="0"/>
        </w:rPr>
        <w:t xml:space="preserve"> of </w:t>
      </w:r>
      <w:r>
        <w:rPr>
          <w:kern w:val="0"/>
        </w:rPr>
        <w:t>the trials. Bias risk assessment</w:t>
      </w:r>
      <w:r w:rsidR="00427468">
        <w:rPr>
          <w:kern w:val="0"/>
        </w:rPr>
        <w:t xml:space="preserve"> of </w:t>
      </w:r>
      <w:r w:rsidR="005853A9">
        <w:rPr>
          <w:kern w:val="0"/>
        </w:rPr>
        <w:t xml:space="preserve">and </w:t>
      </w:r>
      <w:r>
        <w:rPr>
          <w:kern w:val="0"/>
        </w:rPr>
        <w:t>data extraction from the trials fulfilling the inclusion criteria were done by one author</w:t>
      </w:r>
      <w:r w:rsidR="005853A9">
        <w:rPr>
          <w:kern w:val="0"/>
        </w:rPr>
        <w:t xml:space="preserve"> and </w:t>
      </w:r>
      <w:r>
        <w:rPr>
          <w:kern w:val="0"/>
        </w:rPr>
        <w:t>checked by a second author. Main results One randomised clinical trial fulfilled the inclusion criteria</w:t>
      </w:r>
      <w:r w:rsidR="00427468">
        <w:rPr>
          <w:kern w:val="0"/>
        </w:rPr>
        <w:t xml:space="preserve"> of </w:t>
      </w:r>
      <w:r>
        <w:rPr>
          <w:kern w:val="0"/>
        </w:rPr>
        <w:t>the review</w:t>
      </w:r>
      <w:r w:rsidR="00A37C1D">
        <w:rPr>
          <w:kern w:val="0"/>
        </w:rPr>
        <w:t>. The</w:t>
      </w:r>
      <w:r>
        <w:rPr>
          <w:kern w:val="0"/>
        </w:rPr>
        <w:t xml:space="preserve"> trial was judged as a trial with high risk</w:t>
      </w:r>
      <w:r w:rsidR="00427468">
        <w:rPr>
          <w:kern w:val="0"/>
        </w:rPr>
        <w:t xml:space="preserve"> of </w:t>
      </w:r>
      <w:r>
        <w:rPr>
          <w:kern w:val="0"/>
        </w:rPr>
        <w:t>bias due to the unclear report on the generation</w:t>
      </w:r>
      <w:r w:rsidR="00427468">
        <w:rPr>
          <w:kern w:val="0"/>
        </w:rPr>
        <w:t xml:space="preserve"> of </w:t>
      </w:r>
      <w:r>
        <w:rPr>
          <w:kern w:val="0"/>
        </w:rPr>
        <w:t>the allocation sequence</w:t>
      </w:r>
      <w:r w:rsidR="005853A9">
        <w:rPr>
          <w:kern w:val="0"/>
        </w:rPr>
        <w:t xml:space="preserve"> and </w:t>
      </w:r>
      <w:r>
        <w:rPr>
          <w:kern w:val="0"/>
        </w:rPr>
        <w:t>allocation concealment, blinding, incomplete outcome data</w:t>
      </w:r>
      <w:r w:rsidR="005853A9">
        <w:rPr>
          <w:kern w:val="0"/>
        </w:rPr>
        <w:t xml:space="preserve"> and </w:t>
      </w:r>
      <w:r>
        <w:rPr>
          <w:kern w:val="0"/>
        </w:rPr>
        <w:t>the selective outcome reporting domain</w:t>
      </w:r>
      <w:r w:rsidR="00A37C1D">
        <w:rPr>
          <w:kern w:val="0"/>
        </w:rPr>
        <w:t>. The</w:t>
      </w:r>
      <w:r>
        <w:rPr>
          <w:kern w:val="0"/>
        </w:rPr>
        <w:t xml:space="preserve"> trial included 123 consecutive patients with solitary or multiple unilobar or bilobar liver metastases who were randomised into two groups, 63 received cryotherapy</w:t>
      </w:r>
      <w:r w:rsidR="005853A9">
        <w:rPr>
          <w:kern w:val="0"/>
        </w:rPr>
        <w:t xml:space="preserve"> and </w:t>
      </w:r>
      <w:r>
        <w:rPr>
          <w:kern w:val="0"/>
        </w:rPr>
        <w:t>60 received conventional surgery</w:t>
      </w:r>
      <w:r w:rsidR="00A37C1D">
        <w:rPr>
          <w:kern w:val="0"/>
        </w:rPr>
        <w:t>. The</w:t>
      </w:r>
      <w:r>
        <w:rPr>
          <w:kern w:val="0"/>
        </w:rPr>
        <w:t>re were 36 females</w:t>
      </w:r>
      <w:r w:rsidR="005853A9">
        <w:rPr>
          <w:kern w:val="0"/>
        </w:rPr>
        <w:t xml:space="preserve"> and </w:t>
      </w:r>
      <w:r>
        <w:rPr>
          <w:kern w:val="0"/>
        </w:rPr>
        <w:t>87 males</w:t>
      </w:r>
      <w:r w:rsidR="00A37C1D">
        <w:rPr>
          <w:kern w:val="0"/>
        </w:rPr>
        <w:t>. The</w:t>
      </w:r>
      <w:r>
        <w:rPr>
          <w:kern w:val="0"/>
        </w:rPr>
        <w:t xml:space="preserve"> primary sites for the metastases were colorectal (66.6%), stomach (7.3%), breast (6.5%), melanoma (4.9%), ovarian adenocarcinoma (4.1%), uterus (3.3%), kidney (3.3%), intestinal (1.6%), pancreatic (1.6%),</w:t>
      </w:r>
      <w:r w:rsidR="005853A9">
        <w:rPr>
          <w:kern w:val="0"/>
        </w:rPr>
        <w:t xml:space="preserve"> and </w:t>
      </w:r>
      <w:r>
        <w:rPr>
          <w:kern w:val="0"/>
        </w:rPr>
        <w:t>unknown (0.8%)</w:t>
      </w:r>
      <w:r w:rsidR="00A37C1D">
        <w:rPr>
          <w:kern w:val="0"/>
        </w:rPr>
        <w:t>. The</w:t>
      </w:r>
      <w:r>
        <w:rPr>
          <w:kern w:val="0"/>
        </w:rPr>
        <w:t xml:space="preserve"> tumours were resectable</w:t>
      </w:r>
      <w:r w:rsidR="005853A9">
        <w:rPr>
          <w:kern w:val="0"/>
        </w:rPr>
        <w:t xml:space="preserve"> and </w:t>
      </w:r>
      <w:r>
        <w:rPr>
          <w:kern w:val="0"/>
        </w:rPr>
        <w:t>non-resectable</w:t>
      </w:r>
      <w:r w:rsidR="00A37C1D">
        <w:rPr>
          <w:kern w:val="0"/>
        </w:rPr>
        <w:t>. The</w:t>
      </w:r>
      <w:r>
        <w:rPr>
          <w:kern w:val="0"/>
        </w:rPr>
        <w:t xml:space="preserve"> patients were followed for up to 10 years (minimum five months). Mortality at the last follow-up was 81% (51/63) in the cryotherapy group</w:t>
      </w:r>
      <w:r w:rsidR="005853A9">
        <w:rPr>
          <w:kern w:val="0"/>
        </w:rPr>
        <w:t xml:space="preserve"> and </w:t>
      </w:r>
      <w:r>
        <w:rPr>
          <w:kern w:val="0"/>
        </w:rPr>
        <w:t>92% (55/60) in the conventional surgery group (RR 0.88; 95% CI 0.77 to 1.02); that is, no statistically significant difference was observed. In the cryotherapy group, 60%, 44%,</w:t>
      </w:r>
      <w:r w:rsidR="005853A9">
        <w:rPr>
          <w:kern w:val="0"/>
        </w:rPr>
        <w:t xml:space="preserve"> and </w:t>
      </w:r>
      <w:r>
        <w:rPr>
          <w:kern w:val="0"/>
        </w:rPr>
        <w:t>19%</w:t>
      </w:r>
      <w:r w:rsidR="00427468">
        <w:rPr>
          <w:kern w:val="0"/>
        </w:rPr>
        <w:t xml:space="preserve"> of </w:t>
      </w:r>
      <w:r>
        <w:rPr>
          <w:kern w:val="0"/>
        </w:rPr>
        <w:t>the participants survived 3, 5,</w:t>
      </w:r>
      <w:r w:rsidR="005853A9">
        <w:rPr>
          <w:kern w:val="0"/>
        </w:rPr>
        <w:t xml:space="preserve"> and </w:t>
      </w:r>
      <w:r>
        <w:rPr>
          <w:kern w:val="0"/>
        </w:rPr>
        <w:t>10 years respectively, while in the conventional surgery group the percentages were 51%, 36%,</w:t>
      </w:r>
      <w:r w:rsidR="005853A9">
        <w:rPr>
          <w:kern w:val="0"/>
        </w:rPr>
        <w:t xml:space="preserve"> and </w:t>
      </w:r>
      <w:r>
        <w:rPr>
          <w:kern w:val="0"/>
        </w:rPr>
        <w:t>8%</w:t>
      </w:r>
      <w:r w:rsidR="00A37C1D">
        <w:rPr>
          <w:kern w:val="0"/>
        </w:rPr>
        <w:t>. The</w:t>
      </w:r>
      <w:r>
        <w:rPr>
          <w:kern w:val="0"/>
        </w:rPr>
        <w:t xml:space="preserve"> hazard ratio calculated using the Parmar method was 0.71 (95% confidence interval (CI) 0.47 to 1.09). Recurrence in the liver was observed in 86% (54/63)</w:t>
      </w:r>
      <w:r w:rsidR="00427468">
        <w:rPr>
          <w:kern w:val="0"/>
        </w:rPr>
        <w:t xml:space="preserve"> of </w:t>
      </w:r>
      <w:r>
        <w:rPr>
          <w:kern w:val="0"/>
        </w:rPr>
        <w:t>the patients in the cryotherapy group</w:t>
      </w:r>
      <w:r w:rsidR="005853A9">
        <w:rPr>
          <w:kern w:val="0"/>
        </w:rPr>
        <w:t xml:space="preserve"> and </w:t>
      </w:r>
      <w:r>
        <w:rPr>
          <w:kern w:val="0"/>
        </w:rPr>
        <w:t>95% (57/60)</w:t>
      </w:r>
      <w:r w:rsidR="00427468">
        <w:rPr>
          <w:kern w:val="0"/>
        </w:rPr>
        <w:t xml:space="preserve"> of </w:t>
      </w:r>
      <w:r>
        <w:rPr>
          <w:kern w:val="0"/>
        </w:rPr>
        <w:t>the patients in the conventional surgery group (relative risk (RR) 0.9; 95% CI 0.8 to 1.01); that is, no statistically significant difference was observed. Frequency</w:t>
      </w:r>
      <w:r w:rsidR="00427468">
        <w:rPr>
          <w:kern w:val="0"/>
        </w:rPr>
        <w:t xml:space="preserve"> of </w:t>
      </w:r>
      <w:r>
        <w:rPr>
          <w:kern w:val="0"/>
        </w:rPr>
        <w:t>reported complications was similar between the cryotherapy group</w:t>
      </w:r>
      <w:r w:rsidR="005853A9">
        <w:rPr>
          <w:kern w:val="0"/>
        </w:rPr>
        <w:t xml:space="preserve"> and </w:t>
      </w:r>
      <w:r>
        <w:rPr>
          <w:kern w:val="0"/>
        </w:rPr>
        <w:t>the conventional surgery group except for postoperative pain. Both insignificant</w:t>
      </w:r>
      <w:r w:rsidR="005853A9">
        <w:rPr>
          <w:kern w:val="0"/>
        </w:rPr>
        <w:t xml:space="preserve"> and </w:t>
      </w:r>
      <w:r>
        <w:rPr>
          <w:kern w:val="0"/>
        </w:rPr>
        <w:t>pronounced pain were reported to be more common in the cryotherapy group while intense pain was reported to be more common in the control group. However, it was not reported by the authors whether the differences were significant. No intervention-related mortality</w:t>
      </w:r>
      <w:r w:rsidR="005853A9">
        <w:rPr>
          <w:kern w:val="0"/>
        </w:rPr>
        <w:t xml:space="preserve"> and </w:t>
      </w:r>
      <w:r>
        <w:rPr>
          <w:kern w:val="0"/>
        </w:rPr>
        <w:t>no bile leakage were observed. Authors</w:t>
      </w:r>
      <w:r w:rsidR="0071223E">
        <w:rPr>
          <w:kern w:val="0"/>
        </w:rPr>
        <w:t>’</w:t>
      </w:r>
      <w:r>
        <w:rPr>
          <w:kern w:val="0"/>
        </w:rPr>
        <w:t xml:space="preserve"> conclusions On the basis</w:t>
      </w:r>
      <w:r w:rsidR="00427468">
        <w:rPr>
          <w:kern w:val="0"/>
        </w:rPr>
        <w:t xml:space="preserve"> of </w:t>
      </w:r>
      <w:r>
        <w:rPr>
          <w:kern w:val="0"/>
        </w:rPr>
        <w:t>one randomised clinical trial with high risk</w:t>
      </w:r>
      <w:r w:rsidR="00427468">
        <w:rPr>
          <w:kern w:val="0"/>
        </w:rPr>
        <w:t xml:space="preserve"> of </w:t>
      </w:r>
      <w:r>
        <w:rPr>
          <w:kern w:val="0"/>
        </w:rPr>
        <w:t>bias, there is insufficient evidence to conclude if in patients with liver metastases from various primary sites cryotherapy brings any significant benefit in terms</w:t>
      </w:r>
      <w:r w:rsidR="00427468">
        <w:rPr>
          <w:kern w:val="0"/>
        </w:rPr>
        <w:t xml:space="preserve"> of </w:t>
      </w:r>
      <w:r>
        <w:rPr>
          <w:kern w:val="0"/>
        </w:rPr>
        <w:t>survival or recurrence compared with conventional surgery. In addition, there is no evidence for the effectiveness</w:t>
      </w:r>
      <w:r w:rsidR="00427468">
        <w:rPr>
          <w:kern w:val="0"/>
        </w:rPr>
        <w:t xml:space="preserve"> of </w:t>
      </w:r>
      <w:r>
        <w:rPr>
          <w:kern w:val="0"/>
        </w:rPr>
        <w:t xml:space="preserve">cryotherapy when compared with no intervention. At present, cryotherapy cannot be </w:t>
      </w:r>
      <w:r>
        <w:rPr>
          <w:kern w:val="0"/>
        </w:rPr>
        <w:lastRenderedPageBreak/>
        <w:t>recommended outside randomised clinical trials.</w:t>
      </w:r>
    </w:p>
    <w:p w:rsidR="00365DE4" w:rsidRDefault="00365DE4" w:rsidP="00365DE4">
      <w:pPr>
        <w:pStyle w:val="a3"/>
        <w:rPr>
          <w:kern w:val="0"/>
        </w:rPr>
      </w:pPr>
      <w:r>
        <w:rPr>
          <w:kern w:val="0"/>
        </w:rPr>
        <w:t xml:space="preserve">Keywords: Adenocarcinoma, Allocation, Analysis, Assessing, Assessment, Authors, Bias, Characteristics, Citation, Clinical, Clinical Trial, Clinical Trials, Collection, Complications, Confidence, Control, Conventional, Criteria, Data, Data Collection, Design, Disease, Effectiveness, Effects, Embase, Evidence, Extraction, Follow-Up, Generation, Groups, Hazard, Information, Interval, Intervention, Interventions, Kidney, Liquid, Liver, Location, </w:t>
      </w:r>
      <w:r w:rsidR="00D5664A">
        <w:rPr>
          <w:kern w:val="0"/>
        </w:rPr>
        <w:t>MEDLINE</w:t>
      </w:r>
      <w:r>
        <w:rPr>
          <w:kern w:val="0"/>
        </w:rPr>
        <w:t>, Melanoma, Metastases, Metastatic Disease, Methodology, Methods, Minimum, Mortality, Nitrogen, Outcome, Outcomes, Pain, Patients, Postoperative, Postoperative Pain, Primary, Randomised, Recurrence, Relative Risk, Reporting, Review, Risk, Risk Assessment, Science, Science Citation Index, Science Citation Index Expanded, Search, Site, Structure, Surgery, Survival, Trial, Ultrasound, Uterus</w:t>
      </w:r>
    </w:p>
    <w:p w:rsidR="00365DE4" w:rsidRDefault="00365DE4" w:rsidP="00365DE4">
      <w:pPr>
        <w:pStyle w:val="a3"/>
        <w:rPr>
          <w:kern w:val="0"/>
        </w:rPr>
      </w:pPr>
      <w:r>
        <w:rPr>
          <w:kern w:val="0"/>
        </w:rPr>
        <w:t>? Cruz, R.S., Rojas, J.I., Nervi, R., Heredia, R.</w:t>
      </w:r>
      <w:r w:rsidR="005853A9">
        <w:rPr>
          <w:kern w:val="0"/>
        </w:rPr>
        <w:t xml:space="preserve"> and </w:t>
      </w:r>
      <w:r>
        <w:rPr>
          <w:kern w:val="0"/>
        </w:rPr>
        <w:t>Ciapponi, A. (2013), High versus low positive end-expiratory pressure (PEEP) levels for mechanically ventilated adult patients with acute lung injury</w:t>
      </w:r>
      <w:r w:rsidR="005853A9">
        <w:rPr>
          <w:kern w:val="0"/>
        </w:rPr>
        <w:t xml:space="preserve"> and </w:t>
      </w:r>
      <w:r>
        <w:rPr>
          <w:kern w:val="0"/>
        </w:rPr>
        <w:t xml:space="preserve">acute respiratory distress syndrome.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CD009098.</w:t>
      </w:r>
    </w:p>
    <w:p w:rsidR="00365DE4" w:rsidRDefault="00365DE4" w:rsidP="00365DE4">
      <w:pPr>
        <w:pStyle w:val="a3"/>
        <w:rPr>
          <w:kern w:val="2"/>
        </w:rPr>
      </w:pPr>
      <w:r>
        <w:t>Full Text: 2013\Coc Dat Sys Rev2013, CD009098.pdf</w:t>
      </w:r>
    </w:p>
    <w:p w:rsidR="00365DE4" w:rsidRDefault="00365DE4" w:rsidP="00365DE4">
      <w:pPr>
        <w:pStyle w:val="a3"/>
        <w:rPr>
          <w:kern w:val="0"/>
        </w:rPr>
      </w:pPr>
      <w:r>
        <w:rPr>
          <w:kern w:val="0"/>
        </w:rPr>
        <w:t>Abstract: Background Mortality in patients with acute lung injury (ALI)</w:t>
      </w:r>
      <w:r w:rsidR="005853A9">
        <w:rPr>
          <w:kern w:val="0"/>
        </w:rPr>
        <w:t xml:space="preserve"> and </w:t>
      </w:r>
      <w:r>
        <w:rPr>
          <w:kern w:val="0"/>
        </w:rPr>
        <w:t>acute respiratory distress syndrome (ARDS) remains high</w:t>
      </w:r>
      <w:r w:rsidR="00A37C1D">
        <w:rPr>
          <w:kern w:val="0"/>
        </w:rPr>
        <w:t>. The</w:t>
      </w:r>
      <w:r>
        <w:rPr>
          <w:kern w:val="0"/>
        </w:rPr>
        <w:t>se patients require mechanical ventilation, but this modality has been associated with ventilator-induced lung injury. High levels</w:t>
      </w:r>
      <w:r w:rsidR="00427468">
        <w:rPr>
          <w:kern w:val="0"/>
        </w:rPr>
        <w:t xml:space="preserve"> of </w:t>
      </w:r>
      <w:r>
        <w:rPr>
          <w:kern w:val="0"/>
        </w:rPr>
        <w:t>positive end-expiratory pressure (PEEP) could reduce this condition</w:t>
      </w:r>
      <w:r w:rsidR="005853A9">
        <w:rPr>
          <w:kern w:val="0"/>
        </w:rPr>
        <w:t xml:space="preserve"> and </w:t>
      </w:r>
      <w:r>
        <w:rPr>
          <w:kern w:val="0"/>
        </w:rPr>
        <w:t>improve patient survival. Objectives To assess the benefits</w:t>
      </w:r>
      <w:r w:rsidR="005853A9">
        <w:rPr>
          <w:kern w:val="0"/>
        </w:rPr>
        <w:t xml:space="preserve"> and </w:t>
      </w:r>
      <w:r>
        <w:rPr>
          <w:kern w:val="0"/>
        </w:rPr>
        <w:t>harms</w:t>
      </w:r>
      <w:r w:rsidR="00427468">
        <w:rPr>
          <w:kern w:val="0"/>
        </w:rPr>
        <w:t xml:space="preserve"> of </w:t>
      </w:r>
      <w:r>
        <w:rPr>
          <w:kern w:val="0"/>
        </w:rPr>
        <w:t>high versus low levels</w:t>
      </w:r>
      <w:r w:rsidR="00427468">
        <w:rPr>
          <w:kern w:val="0"/>
        </w:rPr>
        <w:t xml:space="preserve"> of </w:t>
      </w:r>
      <w:r>
        <w:rPr>
          <w:kern w:val="0"/>
        </w:rPr>
        <w:t>PEEP in patients with ALI</w:t>
      </w:r>
      <w:r w:rsidR="005853A9">
        <w:rPr>
          <w:kern w:val="0"/>
        </w:rPr>
        <w:t xml:space="preserve"> and </w:t>
      </w:r>
      <w:r>
        <w:rPr>
          <w:kern w:val="0"/>
        </w:rPr>
        <w:t>ARDS. Search methods We searched the Cochrane Central Register</w:t>
      </w:r>
      <w:r w:rsidR="00427468">
        <w:rPr>
          <w:kern w:val="0"/>
        </w:rPr>
        <w:t xml:space="preserve"> of </w:t>
      </w:r>
      <w:r>
        <w:rPr>
          <w:kern w:val="0"/>
        </w:rPr>
        <w:t xml:space="preserve">Controlled Trials (CENTRAL) (The Cochrane Library, 2013, Issue 4), </w:t>
      </w:r>
      <w:r w:rsidR="00D5664A">
        <w:rPr>
          <w:kern w:val="0"/>
        </w:rPr>
        <w:t>MEDLINE</w:t>
      </w:r>
      <w:r>
        <w:rPr>
          <w:kern w:val="0"/>
        </w:rPr>
        <w:t xml:space="preserve"> (1950 to May 2013), EMBASE (1982 to May 2013), LILACS (1982 to May 2013)</w:t>
      </w:r>
      <w:r w:rsidR="005853A9">
        <w:rPr>
          <w:kern w:val="0"/>
        </w:rPr>
        <w:t xml:space="preserve"> and </w:t>
      </w:r>
      <w:r>
        <w:rPr>
          <w:kern w:val="0"/>
        </w:rPr>
        <w:t>SCI (Science Citation Index). We used the Science Citation Index to find references that have cited the identified trials. We did not specifically conduct manual searches</w:t>
      </w:r>
      <w:r w:rsidR="00427468">
        <w:rPr>
          <w:kern w:val="0"/>
        </w:rPr>
        <w:t xml:space="preserve"> of </w:t>
      </w:r>
      <w:r>
        <w:rPr>
          <w:kern w:val="0"/>
        </w:rPr>
        <w:t>abstracts</w:t>
      </w:r>
      <w:r w:rsidR="00427468">
        <w:rPr>
          <w:kern w:val="0"/>
        </w:rPr>
        <w:t xml:space="preserve"> of </w:t>
      </w:r>
      <w:r>
        <w:rPr>
          <w:kern w:val="0"/>
        </w:rPr>
        <w:t>conference proceedings for this review. We also searched for ongoing trials (www.trialscentral.org;www.clinicaltrial.gov</w:t>
      </w:r>
      <w:r w:rsidR="005853A9">
        <w:rPr>
          <w:kern w:val="0"/>
        </w:rPr>
        <w:t xml:space="preserve"> and </w:t>
      </w:r>
      <w:r>
        <w:rPr>
          <w:kern w:val="0"/>
        </w:rPr>
        <w:t>www.controlled-trials.com). Selection criteria We included randomized controlled trials that compared the effects</w:t>
      </w:r>
      <w:r w:rsidR="00427468">
        <w:rPr>
          <w:kern w:val="0"/>
        </w:rPr>
        <w:t xml:space="preserve"> of </w:t>
      </w:r>
      <w:r>
        <w:rPr>
          <w:kern w:val="0"/>
        </w:rPr>
        <w:t>two levels</w:t>
      </w:r>
      <w:r w:rsidR="00427468">
        <w:rPr>
          <w:kern w:val="0"/>
        </w:rPr>
        <w:t xml:space="preserve"> of </w:t>
      </w:r>
      <w:r>
        <w:rPr>
          <w:kern w:val="0"/>
        </w:rPr>
        <w:t>PEEP in ALI</w:t>
      </w:r>
      <w:r w:rsidR="005853A9">
        <w:rPr>
          <w:kern w:val="0"/>
        </w:rPr>
        <w:t xml:space="preserve"> and </w:t>
      </w:r>
      <w:r>
        <w:rPr>
          <w:kern w:val="0"/>
        </w:rPr>
        <w:t>ARDS participants who were intubated</w:t>
      </w:r>
      <w:r w:rsidR="005853A9">
        <w:rPr>
          <w:kern w:val="0"/>
        </w:rPr>
        <w:t xml:space="preserve"> and </w:t>
      </w:r>
      <w:r>
        <w:rPr>
          <w:kern w:val="0"/>
        </w:rPr>
        <w:t>mechanically ventilated in intensive care for at least 24 hours. Data collection</w:t>
      </w:r>
      <w:r w:rsidR="005853A9">
        <w:rPr>
          <w:kern w:val="0"/>
        </w:rPr>
        <w:t xml:space="preserve"> and </w:t>
      </w:r>
      <w:r>
        <w:rPr>
          <w:kern w:val="0"/>
        </w:rPr>
        <w:t>analysis Two review authors assessed the trial quality</w:t>
      </w:r>
      <w:r w:rsidR="005853A9">
        <w:rPr>
          <w:kern w:val="0"/>
        </w:rPr>
        <w:t xml:space="preserve"> and </w:t>
      </w:r>
      <w:r>
        <w:rPr>
          <w:kern w:val="0"/>
        </w:rPr>
        <w:t>extracted data independently. We contacted investigators to identify additional published</w:t>
      </w:r>
      <w:r w:rsidR="005853A9">
        <w:rPr>
          <w:kern w:val="0"/>
        </w:rPr>
        <w:t xml:space="preserve"> and </w:t>
      </w:r>
      <w:r>
        <w:rPr>
          <w:kern w:val="0"/>
        </w:rPr>
        <w:t>unpublished studies. Main results We included seven studies that compared high versus low levels</w:t>
      </w:r>
      <w:r w:rsidR="00427468">
        <w:rPr>
          <w:kern w:val="0"/>
        </w:rPr>
        <w:t xml:space="preserve"> of </w:t>
      </w:r>
      <w:r>
        <w:rPr>
          <w:kern w:val="0"/>
        </w:rPr>
        <w:t>PEEP (2565 participants). In five</w:t>
      </w:r>
      <w:r w:rsidR="00427468">
        <w:rPr>
          <w:kern w:val="0"/>
        </w:rPr>
        <w:t xml:space="preserve"> of </w:t>
      </w:r>
      <w:r>
        <w:rPr>
          <w:kern w:val="0"/>
        </w:rPr>
        <w:t>the studies (2417 participants), a comparison was made between high</w:t>
      </w:r>
      <w:r w:rsidR="005853A9">
        <w:rPr>
          <w:kern w:val="0"/>
        </w:rPr>
        <w:t xml:space="preserve"> and </w:t>
      </w:r>
      <w:r>
        <w:rPr>
          <w:kern w:val="0"/>
        </w:rPr>
        <w:t>low levels</w:t>
      </w:r>
      <w:r w:rsidR="00427468">
        <w:rPr>
          <w:kern w:val="0"/>
        </w:rPr>
        <w:t xml:space="preserve"> of </w:t>
      </w:r>
      <w:r>
        <w:rPr>
          <w:kern w:val="0"/>
        </w:rPr>
        <w:t xml:space="preserve">PEEP with the same tidal volume in both groups, but in the remaining two studies (148 participants), </w:t>
      </w:r>
      <w:r>
        <w:rPr>
          <w:kern w:val="0"/>
        </w:rPr>
        <w:lastRenderedPageBreak/>
        <w:t>the tidal volume was different between high-and low-level groups. We saw evidence</w:t>
      </w:r>
      <w:r w:rsidR="00427468">
        <w:rPr>
          <w:kern w:val="0"/>
        </w:rPr>
        <w:t xml:space="preserve"> of </w:t>
      </w:r>
      <w:r>
        <w:rPr>
          <w:kern w:val="0"/>
        </w:rPr>
        <w:t>risk</w:t>
      </w:r>
      <w:r w:rsidR="00427468">
        <w:rPr>
          <w:kern w:val="0"/>
        </w:rPr>
        <w:t xml:space="preserve"> of </w:t>
      </w:r>
      <w:r>
        <w:rPr>
          <w:kern w:val="0"/>
        </w:rPr>
        <w:t>bias in three studies,</w:t>
      </w:r>
      <w:r w:rsidR="005853A9">
        <w:rPr>
          <w:kern w:val="0"/>
        </w:rPr>
        <w:t xml:space="preserve"> and </w:t>
      </w:r>
      <w:r>
        <w:rPr>
          <w:kern w:val="0"/>
        </w:rPr>
        <w:t>the remaining studies fulfilled all criteria for adequate trial quality. In the main analysis, we assessed mortality occurring before hospital discharge only in those studies that compared high versus low PEEP with the same tidal volume in both groups. With the three studies that were included, the meta-analysis revealed no statistically significant differences between the two groups (relative risk (RR) 0.90, 95% confidence interval (CI) 0.81 to 1.01), nor was any statistically significant difference seen in the risk</w:t>
      </w:r>
      <w:r w:rsidR="00427468">
        <w:rPr>
          <w:kern w:val="0"/>
        </w:rPr>
        <w:t xml:space="preserve"> of </w:t>
      </w:r>
      <w:r>
        <w:rPr>
          <w:kern w:val="0"/>
        </w:rPr>
        <w:t>barotrauma (RR 0.97, 95% CI 0.66 to 1.42). Oxygenation was improved in the high-PEEP group, although data derived from the studies showed a considerable degree</w:t>
      </w:r>
      <w:r w:rsidR="00427468">
        <w:rPr>
          <w:kern w:val="0"/>
        </w:rPr>
        <w:t xml:space="preserve"> of </w:t>
      </w:r>
      <w:r>
        <w:rPr>
          <w:kern w:val="0"/>
        </w:rPr>
        <w:t>statistical heterogeneity</w:t>
      </w:r>
      <w:r w:rsidR="00A37C1D">
        <w:rPr>
          <w:kern w:val="0"/>
        </w:rPr>
        <w:t>. The</w:t>
      </w:r>
      <w:r>
        <w:rPr>
          <w:kern w:val="0"/>
        </w:rPr>
        <w:t xml:space="preserve"> number</w:t>
      </w:r>
      <w:r w:rsidR="00427468">
        <w:rPr>
          <w:kern w:val="0"/>
        </w:rPr>
        <w:t xml:space="preserve"> of </w:t>
      </w:r>
      <w:r>
        <w:rPr>
          <w:kern w:val="0"/>
        </w:rPr>
        <w:t>ventilator-free days showed no significant difference between the two groups. Available data were insufficient to allow pooling</w:t>
      </w:r>
      <w:r w:rsidR="00427468">
        <w:rPr>
          <w:kern w:val="0"/>
        </w:rPr>
        <w:t xml:space="preserve"> of </w:t>
      </w:r>
      <w:r>
        <w:rPr>
          <w:kern w:val="0"/>
        </w:rPr>
        <w:t>length</w:t>
      </w:r>
      <w:r w:rsidR="00427468">
        <w:rPr>
          <w:kern w:val="0"/>
        </w:rPr>
        <w:t xml:space="preserve"> of </w:t>
      </w:r>
      <w:r>
        <w:rPr>
          <w:kern w:val="0"/>
        </w:rPr>
        <w:t>stay in the intensive care unit (ICU)</w:t>
      </w:r>
      <w:r w:rsidR="00A37C1D">
        <w:rPr>
          <w:kern w:val="0"/>
        </w:rPr>
        <w:t>. The</w:t>
      </w:r>
      <w:r>
        <w:rPr>
          <w:kern w:val="0"/>
        </w:rPr>
        <w:t xml:space="preserve"> subgroup</w:t>
      </w:r>
      <w:r w:rsidR="00427468">
        <w:rPr>
          <w:kern w:val="0"/>
        </w:rPr>
        <w:t xml:space="preserve"> of </w:t>
      </w:r>
      <w:r>
        <w:rPr>
          <w:kern w:val="0"/>
        </w:rPr>
        <w:t>participants with ARDS showed decreased mortality in the ICU, although it must be noted that in two</w:t>
      </w:r>
      <w:r w:rsidR="00427468">
        <w:rPr>
          <w:kern w:val="0"/>
        </w:rPr>
        <w:t xml:space="preserve"> of </w:t>
      </w:r>
      <w:r>
        <w:rPr>
          <w:kern w:val="0"/>
        </w:rPr>
        <w:t>the three included studies, the authors used a protective ventilatory strategy involving a low tidal volume</w:t>
      </w:r>
      <w:r w:rsidR="005853A9">
        <w:rPr>
          <w:kern w:val="0"/>
        </w:rPr>
        <w:t xml:space="preserve"> and </w:t>
      </w:r>
      <w:r>
        <w:rPr>
          <w:kern w:val="0"/>
        </w:rPr>
        <w:t>high levels</w:t>
      </w:r>
      <w:r w:rsidR="00427468">
        <w:rPr>
          <w:kern w:val="0"/>
        </w:rPr>
        <w:t xml:space="preserve"> of </w:t>
      </w:r>
      <w:r>
        <w:rPr>
          <w:kern w:val="0"/>
        </w:rPr>
        <w:t>PEEP. Authors</w:t>
      </w:r>
      <w:r w:rsidR="0071223E">
        <w:rPr>
          <w:kern w:val="0"/>
        </w:rPr>
        <w:t>’</w:t>
      </w:r>
      <w:r>
        <w:rPr>
          <w:kern w:val="0"/>
        </w:rPr>
        <w:t xml:space="preserve"> conclusions Available evidence indicates that high levels</w:t>
      </w:r>
      <w:r w:rsidR="00427468">
        <w:rPr>
          <w:kern w:val="0"/>
        </w:rPr>
        <w:t xml:space="preserve"> of </w:t>
      </w:r>
      <w:r>
        <w:rPr>
          <w:kern w:val="0"/>
        </w:rPr>
        <w:t>PEEP, as compared with low levels, did not reduce mortality before hospital discharge</w:t>
      </w:r>
      <w:r w:rsidR="00A37C1D">
        <w:rPr>
          <w:kern w:val="0"/>
        </w:rPr>
        <w:t>. The</w:t>
      </w:r>
      <w:r>
        <w:rPr>
          <w:kern w:val="0"/>
        </w:rPr>
        <w:t xml:space="preserve"> data also show that high levels</w:t>
      </w:r>
      <w:r w:rsidR="00427468">
        <w:rPr>
          <w:kern w:val="0"/>
        </w:rPr>
        <w:t xml:space="preserve"> of </w:t>
      </w:r>
      <w:r>
        <w:rPr>
          <w:kern w:val="0"/>
        </w:rPr>
        <w:t>PEEP produced no significant difference in the risk</w:t>
      </w:r>
      <w:r w:rsidR="00427468">
        <w:rPr>
          <w:kern w:val="0"/>
        </w:rPr>
        <w:t xml:space="preserve"> of </w:t>
      </w:r>
      <w:r>
        <w:rPr>
          <w:kern w:val="0"/>
        </w:rPr>
        <w:t>barotrauma, but rather improved participants</w:t>
      </w:r>
      <w:r w:rsidR="0071223E">
        <w:rPr>
          <w:kern w:val="0"/>
        </w:rPr>
        <w:t>’</w:t>
      </w:r>
      <w:r>
        <w:rPr>
          <w:kern w:val="0"/>
        </w:rPr>
        <w:t xml:space="preserve"> oxygenation to the first, third,</w:t>
      </w:r>
      <w:r w:rsidR="005853A9">
        <w:rPr>
          <w:kern w:val="0"/>
        </w:rPr>
        <w:t xml:space="preserve"> and </w:t>
      </w:r>
      <w:r>
        <w:rPr>
          <w:kern w:val="0"/>
        </w:rPr>
        <w:t>seventh days. This review indicates that the included studies were characterized by clinical heterogeneity.</w:t>
      </w:r>
    </w:p>
    <w:p w:rsidR="00365DE4" w:rsidRDefault="00365DE4" w:rsidP="00365DE4">
      <w:pPr>
        <w:pStyle w:val="a3"/>
        <w:rPr>
          <w:kern w:val="0"/>
        </w:rPr>
      </w:pPr>
      <w:r>
        <w:rPr>
          <w:kern w:val="0"/>
        </w:rPr>
        <w:t>Keywords: Adult, Analysis, Authors, Barotrauma, Benefits, Bias, Care, Citation, Clinical, Collection, Comparison, Conference Proceedings, Confidence, Criteria, Data, Data Collection, Discharge, Distress, Effects, Embase, Evidence, First, Groups, Heterogeneity, Hospital, ICU, Injury, Intensive Care, Intensive Care Unit, Interval, Length, Length</w:t>
      </w:r>
      <w:r w:rsidR="00427468">
        <w:rPr>
          <w:kern w:val="0"/>
        </w:rPr>
        <w:t xml:space="preserve"> of </w:t>
      </w:r>
      <w:r>
        <w:rPr>
          <w:kern w:val="0"/>
        </w:rPr>
        <w:t xml:space="preserve">Stay, Lung, Mechanical Ventilation, </w:t>
      </w:r>
      <w:r w:rsidR="00D5664A">
        <w:rPr>
          <w:kern w:val="0"/>
        </w:rPr>
        <w:t>MEDLINE</w:t>
      </w:r>
      <w:r>
        <w:rPr>
          <w:kern w:val="0"/>
        </w:rPr>
        <w:t>, Meta Analysis, Meta-Analysis, Metaanalysis, Methods, Mortality, Oxygenation, Patients, Pressure, Quality, Randomized, Randomized Controlled Trials, References, Relative Risk, Respiratory Distress Syndrome, Review, Risk</w:t>
      </w:r>
      <w:r w:rsidR="00D5664A">
        <w:rPr>
          <w:kern w:val="0"/>
        </w:rPr>
        <w:t>, SCI,</w:t>
      </w:r>
      <w:r>
        <w:rPr>
          <w:kern w:val="0"/>
        </w:rPr>
        <w:t xml:space="preserve"> Science, Science Citation Index, Search, Strategy, Survival, Syndrome, Trial, Ventilation, Volume</w:t>
      </w:r>
    </w:p>
    <w:p w:rsidR="00365DE4" w:rsidRDefault="00365DE4" w:rsidP="00365DE4">
      <w:pPr>
        <w:pStyle w:val="a3"/>
        <w:rPr>
          <w:kern w:val="0"/>
        </w:rPr>
      </w:pPr>
      <w:r>
        <w:rPr>
          <w:kern w:val="0"/>
        </w:rPr>
        <w:t>? Elsner, B., Kugler, J., Pohl, M.</w:t>
      </w:r>
      <w:r w:rsidR="005853A9">
        <w:rPr>
          <w:kern w:val="0"/>
        </w:rPr>
        <w:t xml:space="preserve"> and </w:t>
      </w:r>
      <w:r>
        <w:rPr>
          <w:kern w:val="0"/>
        </w:rPr>
        <w:t xml:space="preserve">Mehrholz, J. (2013), Transcranial direct current stimulation (tDCS) for improving aphasia in patients after stroke.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6</w:t>
      </w:r>
      <w:r>
        <w:rPr>
          <w:kern w:val="0"/>
        </w:rPr>
        <w:t>, Article Number: CD009760.</w:t>
      </w:r>
    </w:p>
    <w:p w:rsidR="00365DE4" w:rsidRDefault="00365DE4" w:rsidP="00365DE4">
      <w:pPr>
        <w:pStyle w:val="a3"/>
        <w:rPr>
          <w:kern w:val="2"/>
        </w:rPr>
      </w:pPr>
      <w:r>
        <w:t>Full Text: 2013\Coc Dat Sys Rev2013, CD009760.pdf</w:t>
      </w:r>
    </w:p>
    <w:p w:rsidR="00365DE4" w:rsidRDefault="00365DE4" w:rsidP="00365DE4">
      <w:pPr>
        <w:pStyle w:val="a3"/>
        <w:rPr>
          <w:kern w:val="0"/>
        </w:rPr>
      </w:pPr>
      <w:r>
        <w:rPr>
          <w:kern w:val="0"/>
        </w:rPr>
        <w:t>Abstract: Background Stroke is one</w:t>
      </w:r>
      <w:r w:rsidR="00427468">
        <w:rPr>
          <w:kern w:val="0"/>
        </w:rPr>
        <w:t xml:space="preserve"> of </w:t>
      </w:r>
      <w:r>
        <w:rPr>
          <w:kern w:val="0"/>
        </w:rPr>
        <w:t>the leading causes</w:t>
      </w:r>
      <w:r w:rsidR="00427468">
        <w:rPr>
          <w:kern w:val="0"/>
        </w:rPr>
        <w:t xml:space="preserve"> of </w:t>
      </w:r>
      <w:r>
        <w:rPr>
          <w:kern w:val="0"/>
        </w:rPr>
        <w:t>disability worldwide. Aphasia among stroke survivors is common. Current speech</w:t>
      </w:r>
      <w:r w:rsidR="005853A9">
        <w:rPr>
          <w:kern w:val="0"/>
        </w:rPr>
        <w:t xml:space="preserve"> and </w:t>
      </w:r>
      <w:r>
        <w:rPr>
          <w:kern w:val="0"/>
        </w:rPr>
        <w:t>language therapy (SLT) strategies have only limited effectiveness in improving aphasia. A possible adjunct to SLT for improving SLT outcomes might be non-invasive brain stimulation by transcranial direct current stimulation (tDCS) to modulate cortical excitability</w:t>
      </w:r>
      <w:r w:rsidR="005853A9">
        <w:rPr>
          <w:kern w:val="0"/>
        </w:rPr>
        <w:t xml:space="preserve"> and </w:t>
      </w:r>
      <w:r>
        <w:rPr>
          <w:kern w:val="0"/>
        </w:rPr>
        <w:lastRenderedPageBreak/>
        <w:t>hence to improve aphasia. Objectives To assess the effects</w:t>
      </w:r>
      <w:r w:rsidR="00427468">
        <w:rPr>
          <w:kern w:val="0"/>
        </w:rPr>
        <w:t xml:space="preserve"> of </w:t>
      </w:r>
      <w:r>
        <w:rPr>
          <w:kern w:val="0"/>
        </w:rPr>
        <w:t>tDCS for improving aphasia in patients after stroke. Search methods We searched the Cochrane Stroke Group Trials Register (April 2013), the Cochrane Central Register</w:t>
      </w:r>
      <w:r w:rsidR="00427468">
        <w:rPr>
          <w:kern w:val="0"/>
        </w:rPr>
        <w:t xml:space="preserve"> of </w:t>
      </w:r>
      <w:r>
        <w:rPr>
          <w:kern w:val="0"/>
        </w:rPr>
        <w:t xml:space="preserve">Controlled Trials (CENTRAL) (The Cochrane Library, March 2012), </w:t>
      </w:r>
      <w:r w:rsidR="00D5664A">
        <w:rPr>
          <w:kern w:val="0"/>
        </w:rPr>
        <w:t>MEDLINE</w:t>
      </w:r>
      <w:r>
        <w:rPr>
          <w:kern w:val="0"/>
        </w:rPr>
        <w:t xml:space="preserve"> (1948 to March 2012), EMBASE (1980 to March 2012), CINAHL (1982 to March 2012), AMED (1985 to April 2012), Science Citation Index (1899 to April 2012)</w:t>
      </w:r>
      <w:r w:rsidR="005853A9">
        <w:rPr>
          <w:kern w:val="0"/>
        </w:rPr>
        <w:t xml:space="preserve"> and </w:t>
      </w:r>
      <w:r>
        <w:rPr>
          <w:kern w:val="0"/>
        </w:rPr>
        <w:t>seven additional databases. We also searched trials registers</w:t>
      </w:r>
      <w:r w:rsidR="005853A9">
        <w:rPr>
          <w:kern w:val="0"/>
        </w:rPr>
        <w:t xml:space="preserve"> and </w:t>
      </w:r>
      <w:r>
        <w:rPr>
          <w:kern w:val="0"/>
        </w:rPr>
        <w:t>reference lists, handsearched conference proceedings</w:t>
      </w:r>
      <w:r w:rsidR="005853A9">
        <w:rPr>
          <w:kern w:val="0"/>
        </w:rPr>
        <w:t xml:space="preserve"> and </w:t>
      </w:r>
      <w:r>
        <w:rPr>
          <w:kern w:val="0"/>
        </w:rPr>
        <w:t>contacted authors</w:t>
      </w:r>
      <w:r w:rsidR="005853A9">
        <w:rPr>
          <w:kern w:val="0"/>
        </w:rPr>
        <w:t xml:space="preserve"> and </w:t>
      </w:r>
      <w:r>
        <w:rPr>
          <w:kern w:val="0"/>
        </w:rPr>
        <w:t>equipment manufacturers. Selection criteria We included only randomised controlled trials (RCTs)</w:t>
      </w:r>
      <w:r w:rsidR="005853A9">
        <w:rPr>
          <w:kern w:val="0"/>
        </w:rPr>
        <w:t xml:space="preserve"> and </w:t>
      </w:r>
      <w:r>
        <w:rPr>
          <w:kern w:val="0"/>
        </w:rPr>
        <w:t>randomised controlled cross-over trials (from which we only analysed the first period as a parallel group design) comparing tDCS versus control in adults with aphasia due to stroke. Data collection</w:t>
      </w:r>
      <w:r w:rsidR="005853A9">
        <w:rPr>
          <w:kern w:val="0"/>
        </w:rPr>
        <w:t xml:space="preserve"> and </w:t>
      </w:r>
      <w:r>
        <w:rPr>
          <w:kern w:val="0"/>
        </w:rPr>
        <w:t>analysis Two review authors independently assessed trial quality</w:t>
      </w:r>
      <w:r w:rsidR="005853A9">
        <w:rPr>
          <w:kern w:val="0"/>
        </w:rPr>
        <w:t xml:space="preserve"> and </w:t>
      </w:r>
      <w:r>
        <w:rPr>
          <w:kern w:val="0"/>
        </w:rPr>
        <w:t>extracted the data. If necessary, we contacted study authors for additional information. We collected information on dropouts</w:t>
      </w:r>
      <w:r w:rsidR="005853A9">
        <w:rPr>
          <w:kern w:val="0"/>
        </w:rPr>
        <w:t xml:space="preserve"> and </w:t>
      </w:r>
      <w:r>
        <w:rPr>
          <w:kern w:val="0"/>
        </w:rPr>
        <w:t>adverse events from the trials. Main results We included five trials involving 54 participants. None</w:t>
      </w:r>
      <w:r w:rsidR="00427468">
        <w:rPr>
          <w:kern w:val="0"/>
        </w:rPr>
        <w:t xml:space="preserve"> of </w:t>
      </w:r>
      <w:r>
        <w:rPr>
          <w:kern w:val="0"/>
        </w:rPr>
        <w:t>the included studies used any formal outcome measure for measuring functional communication, that is measuring aphasia in a real-life communicative setting. All five trials measured correct picture naming as a surrogate for aphasia</w:t>
      </w:r>
      <w:r w:rsidR="00A37C1D">
        <w:rPr>
          <w:kern w:val="0"/>
        </w:rPr>
        <w:t>. The</w:t>
      </w:r>
      <w:r>
        <w:rPr>
          <w:kern w:val="0"/>
        </w:rPr>
        <w:t>re was no evidence that tDCS enhanced SLT outcomes. No adverse events were reported</w:t>
      </w:r>
      <w:r w:rsidR="005853A9">
        <w:rPr>
          <w:kern w:val="0"/>
        </w:rPr>
        <w:t xml:space="preserve"> and </w:t>
      </w:r>
      <w:r>
        <w:rPr>
          <w:kern w:val="0"/>
        </w:rPr>
        <w:t>the proportion</w:t>
      </w:r>
      <w:r w:rsidR="00427468">
        <w:rPr>
          <w:kern w:val="0"/>
        </w:rPr>
        <w:t xml:space="preserve"> of </w:t>
      </w:r>
      <w:r>
        <w:rPr>
          <w:kern w:val="0"/>
        </w:rPr>
        <w:t>dropouts was comparable between groups. Authors</w:t>
      </w:r>
      <w:r w:rsidR="0071223E">
        <w:rPr>
          <w:kern w:val="0"/>
        </w:rPr>
        <w:t>’</w:t>
      </w:r>
      <w:r>
        <w:rPr>
          <w:kern w:val="0"/>
        </w:rPr>
        <w:t xml:space="preserve"> conclusions Currently there is no evidence</w:t>
      </w:r>
      <w:r w:rsidR="00427468">
        <w:rPr>
          <w:kern w:val="0"/>
        </w:rPr>
        <w:t xml:space="preserve"> of </w:t>
      </w:r>
      <w:r>
        <w:rPr>
          <w:kern w:val="0"/>
        </w:rPr>
        <w:t>the effectiveness</w:t>
      </w:r>
      <w:r w:rsidR="00427468">
        <w:rPr>
          <w:kern w:val="0"/>
        </w:rPr>
        <w:t xml:space="preserve"> of </w:t>
      </w:r>
      <w:r>
        <w:rPr>
          <w:kern w:val="0"/>
        </w:rPr>
        <w:t>tDCS (anodal tDCS, cathodal tDCS) versus control (sham tDCS). However, it appears that cathodal tDCS over the non-lesioned hemisphere might be the most promising approach.</w:t>
      </w:r>
    </w:p>
    <w:p w:rsidR="00365DE4" w:rsidRDefault="00365DE4" w:rsidP="00365DE4">
      <w:pPr>
        <w:pStyle w:val="a3"/>
        <w:rPr>
          <w:kern w:val="0"/>
        </w:rPr>
      </w:pPr>
      <w:r>
        <w:rPr>
          <w:kern w:val="0"/>
        </w:rPr>
        <w:t xml:space="preserve">Keywords: Analysis, Aphasia, Approach, Authors, Brain, Citation, Collection, Communication, Conference Proceedings, Control, Criteria, Data, Data Collection, Databases, Design, Disability, Effectiveness, Effects, Embase, Equipment, Events, Evidence, First, Groups, Information, Language, Measure, </w:t>
      </w:r>
      <w:r w:rsidR="00D5664A">
        <w:rPr>
          <w:kern w:val="0"/>
        </w:rPr>
        <w:t>MEDLINE</w:t>
      </w:r>
      <w:r>
        <w:rPr>
          <w:kern w:val="0"/>
        </w:rPr>
        <w:t>, Methods, Outcome, Outcomes, Patients, Quality, Randomised, Randomised Controlled Trials, Reference, Reference Lists, Review, Science, Science Citation Index, Search, Stroke, Surrogate, Therapy, Trial</w:t>
      </w:r>
    </w:p>
    <w:p w:rsidR="00365DE4" w:rsidRDefault="00365DE4" w:rsidP="00365DE4">
      <w:pPr>
        <w:pStyle w:val="a3"/>
        <w:rPr>
          <w:kern w:val="0"/>
        </w:rPr>
      </w:pPr>
      <w:r>
        <w:rPr>
          <w:kern w:val="0"/>
        </w:rPr>
        <w:t>? Gantasala, S., Sullivan, P.B.</w:t>
      </w:r>
      <w:r w:rsidR="005853A9">
        <w:rPr>
          <w:kern w:val="0"/>
        </w:rPr>
        <w:t xml:space="preserve"> and </w:t>
      </w:r>
      <w:r>
        <w:rPr>
          <w:kern w:val="0"/>
        </w:rPr>
        <w:t xml:space="preserve">Thomas, A.G. (2013), Gastrostomy feeding versus oral feeding alone for children with cerebral palsy.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CD003943.</w:t>
      </w:r>
    </w:p>
    <w:p w:rsidR="00365DE4" w:rsidRDefault="00365DE4" w:rsidP="00365DE4">
      <w:pPr>
        <w:pStyle w:val="a3"/>
        <w:rPr>
          <w:kern w:val="2"/>
        </w:rPr>
      </w:pPr>
      <w:r>
        <w:t>Full Text: 2013\Coc Dat Sys Rev2013, CD003943.pdf</w:t>
      </w:r>
    </w:p>
    <w:p w:rsidR="00365DE4" w:rsidRDefault="00365DE4" w:rsidP="00365DE4">
      <w:pPr>
        <w:pStyle w:val="a3"/>
        <w:rPr>
          <w:kern w:val="0"/>
        </w:rPr>
      </w:pPr>
      <w:r>
        <w:rPr>
          <w:kern w:val="0"/>
        </w:rPr>
        <w:t>Abstract: Background Children with cerebral palsy can be significantly disabled in terms</w:t>
      </w:r>
      <w:r w:rsidR="00427468">
        <w:rPr>
          <w:kern w:val="0"/>
        </w:rPr>
        <w:t xml:space="preserve"> of </w:t>
      </w:r>
      <w:r>
        <w:rPr>
          <w:kern w:val="0"/>
        </w:rPr>
        <w:t>their ability to suck, chew</w:t>
      </w:r>
      <w:r w:rsidR="005853A9">
        <w:rPr>
          <w:kern w:val="0"/>
        </w:rPr>
        <w:t xml:space="preserve"> and </w:t>
      </w:r>
      <w:r>
        <w:rPr>
          <w:kern w:val="0"/>
        </w:rPr>
        <w:t>swallow. This can lead to significant impairment in feeding and, eventually, to undernutrition. It can also result in aspiration</w:t>
      </w:r>
      <w:r w:rsidR="00427468">
        <w:rPr>
          <w:kern w:val="0"/>
        </w:rPr>
        <w:t xml:space="preserve"> of </w:t>
      </w:r>
      <w:r>
        <w:rPr>
          <w:kern w:val="0"/>
        </w:rPr>
        <w:t>food into the lungs. Length</w:t>
      </w:r>
      <w:r w:rsidR="00427468">
        <w:rPr>
          <w:kern w:val="0"/>
        </w:rPr>
        <w:t xml:space="preserve"> of </w:t>
      </w:r>
      <w:r>
        <w:rPr>
          <w:kern w:val="0"/>
        </w:rPr>
        <w:t xml:space="preserve">feeding time may be considerably </w:t>
      </w:r>
      <w:r>
        <w:rPr>
          <w:kern w:val="0"/>
        </w:rPr>
        <w:lastRenderedPageBreak/>
        <w:t>increased and, instead</w:t>
      </w:r>
      <w:r w:rsidR="00427468">
        <w:rPr>
          <w:kern w:val="0"/>
        </w:rPr>
        <w:t xml:space="preserve"> of </w:t>
      </w:r>
      <w:r>
        <w:rPr>
          <w:kern w:val="0"/>
        </w:rPr>
        <w:t>being an enjoyable experience, mealtimes may be distressing for both child</w:t>
      </w:r>
      <w:r w:rsidR="005853A9">
        <w:rPr>
          <w:kern w:val="0"/>
        </w:rPr>
        <w:t xml:space="preserve"> and </w:t>
      </w:r>
      <w:r>
        <w:rPr>
          <w:kern w:val="0"/>
        </w:rPr>
        <w:t>carer. For children unable to maintain a normal nutritional state feeding by mouth, gastrostomy or jejunostomy tubes are increasingly being used to provide the digestive system with nutrients. A gastrostomy tube is a feeding tube inserted surgically through the abdominal wall directly into the stomach. A jejunostomy feeding tube is inserted into the jejunum, part</w:t>
      </w:r>
      <w:r w:rsidR="00427468">
        <w:rPr>
          <w:kern w:val="0"/>
        </w:rPr>
        <w:t xml:space="preserve"> of </w:t>
      </w:r>
      <w:r>
        <w:rPr>
          <w:kern w:val="0"/>
        </w:rPr>
        <w:t>the small intestine, either directly or via a previous gastrostomy. Although gastrostomy or jejunostomy placement may greatly facilitate the feeding</w:t>
      </w:r>
      <w:r w:rsidR="00427468">
        <w:rPr>
          <w:kern w:val="0"/>
        </w:rPr>
        <w:t xml:space="preserve"> of </w:t>
      </w:r>
      <w:r>
        <w:rPr>
          <w:kern w:val="0"/>
        </w:rPr>
        <w:t>children with cerebral palsy, many carers find it very emotionally difficult to accept this intervention. Moreover, the intervention is costly</w:t>
      </w:r>
      <w:r w:rsidR="005853A9">
        <w:rPr>
          <w:kern w:val="0"/>
        </w:rPr>
        <w:t xml:space="preserve"> and </w:t>
      </w:r>
      <w:r>
        <w:rPr>
          <w:kern w:val="0"/>
        </w:rPr>
        <w:t>there is the possibility</w:t>
      </w:r>
      <w:r w:rsidR="00427468">
        <w:rPr>
          <w:kern w:val="0"/>
        </w:rPr>
        <w:t xml:space="preserve"> of </w:t>
      </w:r>
      <w:r>
        <w:rPr>
          <w:kern w:val="0"/>
        </w:rPr>
        <w:t>complications</w:t>
      </w:r>
      <w:r w:rsidR="00A37C1D">
        <w:rPr>
          <w:kern w:val="0"/>
        </w:rPr>
        <w:t>. The</w:t>
      </w:r>
      <w:r>
        <w:rPr>
          <w:kern w:val="0"/>
        </w:rPr>
        <w:t xml:space="preserve"> effectiveness</w:t>
      </w:r>
      <w:r w:rsidR="005853A9">
        <w:rPr>
          <w:kern w:val="0"/>
        </w:rPr>
        <w:t xml:space="preserve"> and </w:t>
      </w:r>
      <w:r>
        <w:rPr>
          <w:kern w:val="0"/>
        </w:rPr>
        <w:t>safety</w:t>
      </w:r>
      <w:r w:rsidR="00427468">
        <w:rPr>
          <w:kern w:val="0"/>
        </w:rPr>
        <w:t xml:space="preserve"> of </w:t>
      </w:r>
      <w:r>
        <w:rPr>
          <w:kern w:val="0"/>
        </w:rPr>
        <w:t>the treatment requires further assessment. This review is an update</w:t>
      </w:r>
      <w:r w:rsidR="00427468">
        <w:rPr>
          <w:kern w:val="0"/>
        </w:rPr>
        <w:t xml:space="preserve"> of </w:t>
      </w:r>
      <w:r>
        <w:rPr>
          <w:kern w:val="0"/>
        </w:rPr>
        <w:t>one previously published in 2004. Objectives To assess the effects</w:t>
      </w:r>
      <w:r w:rsidR="00427468">
        <w:rPr>
          <w:kern w:val="0"/>
        </w:rPr>
        <w:t xml:space="preserve"> of </w:t>
      </w:r>
      <w:r>
        <w:rPr>
          <w:kern w:val="0"/>
        </w:rPr>
        <w:t xml:space="preserve">nutritional supplementation given via gastrostomy or jejunostomy to children with feeding difficulties due to cerebral palsy. Search methods For this update, we searched the following databases in July 2012: CENTRAL, </w:t>
      </w:r>
      <w:r w:rsidR="00D5664A">
        <w:rPr>
          <w:kern w:val="0"/>
        </w:rPr>
        <w:t>MEDLINE</w:t>
      </w:r>
      <w:r>
        <w:rPr>
          <w:kern w:val="0"/>
        </w:rPr>
        <w:t>, Embase, CINAHL, Science Citation Index, Conference Proceedings Citation Index, LILACS</w:t>
      </w:r>
      <w:r w:rsidR="005853A9">
        <w:rPr>
          <w:kern w:val="0"/>
        </w:rPr>
        <w:t xml:space="preserve"> and </w:t>
      </w:r>
      <w:r>
        <w:rPr>
          <w:kern w:val="0"/>
        </w:rPr>
        <w:t>Zetoc. We searched for trials in ICTRP</w:t>
      </w:r>
      <w:r w:rsidR="005853A9">
        <w:rPr>
          <w:kern w:val="0"/>
        </w:rPr>
        <w:t xml:space="preserve"> and </w:t>
      </w:r>
      <w:r>
        <w:rPr>
          <w:kern w:val="0"/>
        </w:rPr>
        <w:t>Clinicaltrials.gov,</w:t>
      </w:r>
      <w:r w:rsidR="005853A9">
        <w:rPr>
          <w:kern w:val="0"/>
        </w:rPr>
        <w:t xml:space="preserve"> and </w:t>
      </w:r>
      <w:r>
        <w:rPr>
          <w:kern w:val="0"/>
        </w:rPr>
        <w:t>for theses in WorldCat</w:t>
      </w:r>
      <w:r w:rsidR="005853A9">
        <w:rPr>
          <w:kern w:val="0"/>
        </w:rPr>
        <w:t xml:space="preserve"> and </w:t>
      </w:r>
      <w:r>
        <w:rPr>
          <w:kern w:val="0"/>
        </w:rPr>
        <w:t>Proquest Index to Theses. We also contacted other researchers</w:t>
      </w:r>
      <w:r w:rsidR="005853A9">
        <w:rPr>
          <w:kern w:val="0"/>
        </w:rPr>
        <w:t xml:space="preserve"> and </w:t>
      </w:r>
      <w:r>
        <w:rPr>
          <w:kern w:val="0"/>
        </w:rPr>
        <w:t>experts in this field. Selection criteria We looked for randomised controlled trials that compared delivery</w:t>
      </w:r>
      <w:r w:rsidR="00427468">
        <w:rPr>
          <w:kern w:val="0"/>
        </w:rPr>
        <w:t xml:space="preserve"> of </w:t>
      </w:r>
      <w:r>
        <w:rPr>
          <w:kern w:val="0"/>
        </w:rPr>
        <w:t>nutrition via a gastrostomy or jejunostomy tube compared with oral feeding alone for children up to the age</w:t>
      </w:r>
      <w:r w:rsidR="00427468">
        <w:rPr>
          <w:kern w:val="0"/>
        </w:rPr>
        <w:t xml:space="preserve"> of </w:t>
      </w:r>
      <w:r>
        <w:rPr>
          <w:kern w:val="0"/>
        </w:rPr>
        <w:t>16 years. Data collection</w:t>
      </w:r>
      <w:r w:rsidR="005853A9">
        <w:rPr>
          <w:kern w:val="0"/>
        </w:rPr>
        <w:t xml:space="preserve"> and </w:t>
      </w:r>
      <w:r>
        <w:rPr>
          <w:kern w:val="0"/>
        </w:rPr>
        <w:t>analysis Screening</w:t>
      </w:r>
      <w:r w:rsidR="00427468">
        <w:rPr>
          <w:kern w:val="0"/>
        </w:rPr>
        <w:t xml:space="preserve"> of </w:t>
      </w:r>
      <w:r>
        <w:rPr>
          <w:kern w:val="0"/>
        </w:rPr>
        <w:t>search results was undertaken independently by two review authors. No data extraction was possible as there were no included studies. Main results No trials were identified that met the inclusion criteria for this review. Authors</w:t>
      </w:r>
      <w:r w:rsidR="0071223E">
        <w:rPr>
          <w:kern w:val="0"/>
        </w:rPr>
        <w:t>’</w:t>
      </w:r>
      <w:r>
        <w:rPr>
          <w:kern w:val="0"/>
        </w:rPr>
        <w:t xml:space="preserve"> conclusions Considerable uncertainty about the effects</w:t>
      </w:r>
      <w:r w:rsidR="00427468">
        <w:rPr>
          <w:kern w:val="0"/>
        </w:rPr>
        <w:t xml:space="preserve"> of </w:t>
      </w:r>
      <w:r>
        <w:rPr>
          <w:kern w:val="0"/>
        </w:rPr>
        <w:t>gastrostomy for children with cerebral palsy remains. A well designed</w:t>
      </w:r>
      <w:r w:rsidR="005853A9">
        <w:rPr>
          <w:kern w:val="0"/>
        </w:rPr>
        <w:t xml:space="preserve"> and </w:t>
      </w:r>
      <w:r>
        <w:rPr>
          <w:kern w:val="0"/>
        </w:rPr>
        <w:t>conducted randomised controlled trial should be undertaken to resolve the current uncertainties about medical management for children with cerebral palsy</w:t>
      </w:r>
      <w:r w:rsidR="005853A9">
        <w:rPr>
          <w:kern w:val="0"/>
        </w:rPr>
        <w:t xml:space="preserve"> and </w:t>
      </w:r>
      <w:r>
        <w:rPr>
          <w:kern w:val="0"/>
        </w:rPr>
        <w:t>physical difficulties in eating.</w:t>
      </w:r>
    </w:p>
    <w:p w:rsidR="00365DE4" w:rsidRDefault="00365DE4" w:rsidP="00365DE4">
      <w:pPr>
        <w:pStyle w:val="a3"/>
        <w:rPr>
          <w:kern w:val="0"/>
        </w:rPr>
      </w:pPr>
      <w:r>
        <w:rPr>
          <w:kern w:val="0"/>
        </w:rPr>
        <w:t xml:space="preserve">Keywords: Abdominal, Abdominal Wall, Adolescent, Age, Analysis, Aspiration, Assessment, Authors, Cerebral, Cerebral Palsy, Cerebral Palsy [Complications], Child, Children, Citation, Collection, Complications, Conference, Controlled Trial, Criteria, Data, Data Collection, Databases, Delivery, Disabilities, Disabled, Eating, Effectiveness, Effects, England, Experience, Experts, Extraction, Feeding, Field, Food, Gastroesophageal-Reflux, Gastrostomy [Adverse Effects], Growth, Humans, Infant, Intervention, Intestine, Lead, Management, Medical, Medicine, </w:t>
      </w:r>
      <w:r w:rsidR="00D5664A">
        <w:rPr>
          <w:kern w:val="0"/>
        </w:rPr>
        <w:t>MEDLINE</w:t>
      </w:r>
      <w:r>
        <w:rPr>
          <w:kern w:val="0"/>
        </w:rPr>
        <w:t xml:space="preserve">, Metaanalysis, Methods, Normal, Nutrients, Nutrition, Nutrition Disorders [Etiology, Oral, Physical, Placement, Preschool, Prevention &amp; Control], Quality-Of-Life, Randomised, Randomised Controlled Trial, Randomised Controlled Trials, Review, River, Safety, Science, Science Citation Index, Screening, Search, Severe </w:t>
      </w:r>
      <w:r>
        <w:rPr>
          <w:kern w:val="0"/>
        </w:rPr>
        <w:lastRenderedPageBreak/>
        <w:t xml:space="preserve">Neurological Impairment, Small, State, Theses, Treatment, Trial, Tube, Uncertainties, Uncertainty, </w:t>
      </w:r>
      <w:r w:rsidR="00D5664A">
        <w:rPr>
          <w:kern w:val="0"/>
        </w:rPr>
        <w:t>USA</w:t>
      </w:r>
    </w:p>
    <w:p w:rsidR="00365DE4" w:rsidRDefault="00365DE4" w:rsidP="00365DE4">
      <w:pPr>
        <w:pStyle w:val="a3"/>
        <w:rPr>
          <w:kern w:val="0"/>
        </w:rPr>
      </w:pPr>
      <w:r>
        <w:rPr>
          <w:kern w:val="0"/>
        </w:rPr>
        <w:t>? Thomas, R.E., Jefferson, T.</w:t>
      </w:r>
      <w:r w:rsidR="005853A9">
        <w:rPr>
          <w:kern w:val="0"/>
        </w:rPr>
        <w:t xml:space="preserve"> and </w:t>
      </w:r>
      <w:r>
        <w:rPr>
          <w:kern w:val="0"/>
        </w:rPr>
        <w:t xml:space="preserve">Lasserson, T.J. (2013), Influenza vaccination for healthcare workers who care for people aged 60 or older living in long-term care institutions.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CD005187.</w:t>
      </w:r>
    </w:p>
    <w:p w:rsidR="00365DE4" w:rsidRDefault="00365DE4" w:rsidP="00365DE4">
      <w:pPr>
        <w:pStyle w:val="a3"/>
        <w:rPr>
          <w:kern w:val="2"/>
        </w:rPr>
      </w:pPr>
      <w:r>
        <w:t>Full Text: 2013\Coc Dat Sys Rev2013, CD005187.pdf</w:t>
      </w:r>
    </w:p>
    <w:p w:rsidR="00365DE4" w:rsidRDefault="00365DE4" w:rsidP="00365DE4">
      <w:pPr>
        <w:pStyle w:val="a3"/>
        <w:rPr>
          <w:kern w:val="0"/>
        </w:rPr>
      </w:pPr>
      <w:r>
        <w:rPr>
          <w:kern w:val="0"/>
        </w:rPr>
        <w:t>Abstract: Background Healthcare workers</w:t>
      </w:r>
      <w:r w:rsidR="0071223E">
        <w:rPr>
          <w:kern w:val="0"/>
        </w:rPr>
        <w:t>’</w:t>
      </w:r>
      <w:r>
        <w:rPr>
          <w:kern w:val="0"/>
        </w:rPr>
        <w:t xml:space="preserve"> influenza rates are unknown but may be similar to those</w:t>
      </w:r>
      <w:r w:rsidR="00427468">
        <w:rPr>
          <w:kern w:val="0"/>
        </w:rPr>
        <w:t xml:space="preserve"> of </w:t>
      </w:r>
      <w:r>
        <w:rPr>
          <w:kern w:val="0"/>
        </w:rPr>
        <w:t>the general public. Healthcare workers may transmit influenza to patients. Objectives To identify all randomised controlled trials (RCTs)</w:t>
      </w:r>
      <w:r w:rsidR="005853A9">
        <w:rPr>
          <w:kern w:val="0"/>
        </w:rPr>
        <w:t xml:space="preserve"> and </w:t>
      </w:r>
      <w:r>
        <w:rPr>
          <w:kern w:val="0"/>
        </w:rPr>
        <w:t>non-RCTs assessing the effects</w:t>
      </w:r>
      <w:r w:rsidR="00427468">
        <w:rPr>
          <w:kern w:val="0"/>
        </w:rPr>
        <w:t xml:space="preserve"> of </w:t>
      </w:r>
      <w:r>
        <w:rPr>
          <w:kern w:val="0"/>
        </w:rPr>
        <w:t>vaccinating healthcare workers on the incidence</w:t>
      </w:r>
      <w:r w:rsidR="00427468">
        <w:rPr>
          <w:kern w:val="0"/>
        </w:rPr>
        <w:t xml:space="preserve"> of </w:t>
      </w:r>
      <w:r>
        <w:rPr>
          <w:kern w:val="0"/>
        </w:rPr>
        <w:t>laboratory-proven influenza, pneumonia, death from pneumonia</w:t>
      </w:r>
      <w:r w:rsidR="005853A9">
        <w:rPr>
          <w:kern w:val="0"/>
        </w:rPr>
        <w:t xml:space="preserve"> and </w:t>
      </w:r>
      <w:r>
        <w:rPr>
          <w:kern w:val="0"/>
        </w:rPr>
        <w:t xml:space="preserve">admission to hospital for respiratory illness in those aged 60 years or older resident in long-term care institutions (LTCIs). Search methods We searched CENTRAL 2013, Issue 2, </w:t>
      </w:r>
      <w:r w:rsidR="00D5664A">
        <w:rPr>
          <w:kern w:val="0"/>
        </w:rPr>
        <w:t>MEDLINE</w:t>
      </w:r>
      <w:r>
        <w:rPr>
          <w:kern w:val="0"/>
        </w:rPr>
        <w:t xml:space="preserve"> (1966 to March week 3, 2013), EMBASE (1974 to March 2013), Biological Abstracts (1969 to March 2013), Science Citation Index-Expanded (1974 to March 2013)</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(2006 to March 2013). Selection criteria Randomised controlled trials (RCTs)</w:t>
      </w:r>
      <w:r w:rsidR="005853A9">
        <w:rPr>
          <w:kern w:val="0"/>
        </w:rPr>
        <w:t xml:space="preserve"> and </w:t>
      </w:r>
      <w:r>
        <w:rPr>
          <w:kern w:val="0"/>
        </w:rPr>
        <w:t>non-RCTs</w:t>
      </w:r>
      <w:r w:rsidR="00427468">
        <w:rPr>
          <w:kern w:val="0"/>
        </w:rPr>
        <w:t xml:space="preserve"> of </w:t>
      </w:r>
      <w:r>
        <w:rPr>
          <w:kern w:val="0"/>
        </w:rPr>
        <w:t>influenza vaccination</w:t>
      </w:r>
      <w:r w:rsidR="00427468">
        <w:rPr>
          <w:kern w:val="0"/>
        </w:rPr>
        <w:t xml:space="preserve"> of </w:t>
      </w:r>
      <w:r>
        <w:rPr>
          <w:kern w:val="0"/>
        </w:rPr>
        <w:t>healthcare workers caring for individuals aged 60 years or older in LTCIs</w:t>
      </w:r>
      <w:r w:rsidR="005853A9">
        <w:rPr>
          <w:kern w:val="0"/>
        </w:rPr>
        <w:t xml:space="preserve"> and </w:t>
      </w:r>
      <w:r>
        <w:rPr>
          <w:kern w:val="0"/>
        </w:rPr>
        <w:t>the incidence</w:t>
      </w:r>
      <w:r w:rsidR="00427468">
        <w:rPr>
          <w:kern w:val="0"/>
        </w:rPr>
        <w:t xml:space="preserve"> of </w:t>
      </w:r>
      <w:r>
        <w:rPr>
          <w:kern w:val="0"/>
        </w:rPr>
        <w:t>laboratory-proven influenza</w:t>
      </w:r>
      <w:r w:rsidR="005853A9">
        <w:rPr>
          <w:kern w:val="0"/>
        </w:rPr>
        <w:t xml:space="preserve"> and </w:t>
      </w:r>
      <w:r>
        <w:rPr>
          <w:kern w:val="0"/>
        </w:rPr>
        <w:t>its complications (lower respiratory tract infection, or hospitalisation or death due to lower respiratory tract infection) in individuals aged 60 years or older in LTCIs.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risk</w:t>
      </w:r>
      <w:r w:rsidR="00427468">
        <w:rPr>
          <w:kern w:val="0"/>
        </w:rPr>
        <w:t xml:space="preserve"> of </w:t>
      </w:r>
      <w:r>
        <w:rPr>
          <w:kern w:val="0"/>
        </w:rPr>
        <w:t>bias. Main results We identified four cluster-RCTs (C-RCTs) (n = 7558)</w:t>
      </w:r>
      <w:r w:rsidR="005853A9">
        <w:rPr>
          <w:kern w:val="0"/>
        </w:rPr>
        <w:t xml:space="preserve"> and </w:t>
      </w:r>
      <w:r>
        <w:rPr>
          <w:kern w:val="0"/>
        </w:rPr>
        <w:t>one cohort study (n = 12,742)</w:t>
      </w:r>
      <w:r w:rsidR="00427468">
        <w:rPr>
          <w:kern w:val="0"/>
        </w:rPr>
        <w:t xml:space="preserve"> of </w:t>
      </w:r>
      <w:r>
        <w:rPr>
          <w:kern w:val="0"/>
        </w:rPr>
        <w:t>influenza vaccination for HCWs caring for individuals &gt;= 60 years in LTCFs. Three RCTs (5896 participants) provided outcome data that met our criteria</w:t>
      </w:r>
      <w:r w:rsidR="00A37C1D">
        <w:rPr>
          <w:kern w:val="0"/>
        </w:rPr>
        <w:t>. The</w:t>
      </w:r>
      <w:r>
        <w:rPr>
          <w:kern w:val="0"/>
        </w:rPr>
        <w:t>se three studies were comparable in study populations, intervention</w:t>
      </w:r>
      <w:r w:rsidR="005853A9">
        <w:rPr>
          <w:kern w:val="0"/>
        </w:rPr>
        <w:t xml:space="preserve"> and </w:t>
      </w:r>
      <w:r>
        <w:rPr>
          <w:kern w:val="0"/>
        </w:rPr>
        <w:t>outcome measures</w:t>
      </w:r>
      <w:r w:rsidR="00A37C1D">
        <w:rPr>
          <w:kern w:val="0"/>
        </w:rPr>
        <w:t>. The</w:t>
      </w:r>
      <w:r>
        <w:rPr>
          <w:kern w:val="0"/>
        </w:rPr>
        <w:t xml:space="preserve"> studies did not report adverse events</w:t>
      </w:r>
      <w:r w:rsidR="00A37C1D">
        <w:rPr>
          <w:kern w:val="0"/>
        </w:rPr>
        <w:t>. The</w:t>
      </w:r>
      <w:r>
        <w:rPr>
          <w:kern w:val="0"/>
        </w:rPr>
        <w:t xml:space="preserve"> principal sources</w:t>
      </w:r>
      <w:r w:rsidR="00427468">
        <w:rPr>
          <w:kern w:val="0"/>
        </w:rPr>
        <w:t xml:space="preserve"> of </w:t>
      </w:r>
      <w:r>
        <w:rPr>
          <w:kern w:val="0"/>
        </w:rPr>
        <w:t>bias in the studies related to attrition</w:t>
      </w:r>
      <w:r w:rsidR="005853A9">
        <w:rPr>
          <w:kern w:val="0"/>
        </w:rPr>
        <w:t xml:space="preserve"> and </w:t>
      </w:r>
      <w:r>
        <w:rPr>
          <w:kern w:val="0"/>
        </w:rPr>
        <w:t>blinding</w:t>
      </w:r>
      <w:r w:rsidR="00A37C1D">
        <w:rPr>
          <w:kern w:val="0"/>
        </w:rPr>
        <w:t>. The</w:t>
      </w:r>
      <w:r>
        <w:rPr>
          <w:kern w:val="0"/>
        </w:rPr>
        <w:t xml:space="preserve"> pooled risk difference (RD) from the three cluster-RCTs for laboratory-proven influenza was 0 (95% confidence interval (CI) -0.03 to 0.03)</w:t>
      </w:r>
      <w:r w:rsidR="005853A9">
        <w:rPr>
          <w:kern w:val="0"/>
        </w:rPr>
        <w:t xml:space="preserve"> and </w:t>
      </w:r>
      <w:r>
        <w:rPr>
          <w:kern w:val="0"/>
        </w:rPr>
        <w:t>for hospitalisation was RD 0 (95% CI -0.02 to 0.02)</w:t>
      </w:r>
      <w:r w:rsidR="00A37C1D">
        <w:rPr>
          <w:kern w:val="0"/>
        </w:rPr>
        <w:t>. The</w:t>
      </w:r>
      <w:r>
        <w:rPr>
          <w:kern w:val="0"/>
        </w:rPr>
        <w:t xml:space="preserve"> estimated risk</w:t>
      </w:r>
      <w:r w:rsidR="00427468">
        <w:rPr>
          <w:kern w:val="0"/>
        </w:rPr>
        <w:t xml:space="preserve"> of </w:t>
      </w:r>
      <w:r>
        <w:rPr>
          <w:kern w:val="0"/>
        </w:rPr>
        <w:t>death due to lower respiratory tract infection was also imprecise (RD -0.02, 95% CI -0.06 to 0.02) in individuals aged 60 years or older in LTCIs. Adjusted analyses which took into account the cluster design did not differ substantively from the pooled analysis with unadjusted data. Authors</w:t>
      </w:r>
      <w:r w:rsidR="0071223E">
        <w:rPr>
          <w:kern w:val="0"/>
        </w:rPr>
        <w:t>’</w:t>
      </w:r>
      <w:r>
        <w:rPr>
          <w:kern w:val="0"/>
        </w:rPr>
        <w:t xml:space="preserve"> conclusions The results for specific outcomes: laboratory-proven influenza or its complications (lower respiratory tract infection, or hospitalisation or death due to lower respiratory tract illness) did not identify a benefit</w:t>
      </w:r>
      <w:r w:rsidR="00427468">
        <w:rPr>
          <w:kern w:val="0"/>
        </w:rPr>
        <w:t xml:space="preserve"> of </w:t>
      </w:r>
      <w:r>
        <w:rPr>
          <w:kern w:val="0"/>
        </w:rPr>
        <w:t xml:space="preserve">healthcare worker vaccination on these key outcomes. This review did not find information on co-interventions with healthcare </w:t>
      </w:r>
      <w:r>
        <w:rPr>
          <w:kern w:val="0"/>
        </w:rPr>
        <w:lastRenderedPageBreak/>
        <w:t>worker vaccination: hand-washing, face masks, early detection</w:t>
      </w:r>
      <w:r w:rsidR="00427468">
        <w:rPr>
          <w:kern w:val="0"/>
        </w:rPr>
        <w:t xml:space="preserve"> of </w:t>
      </w:r>
      <w:r>
        <w:rPr>
          <w:kern w:val="0"/>
        </w:rPr>
        <w:t>laboratory-proven influenza, quarantine, avoiding admissions, antivirals</w:t>
      </w:r>
      <w:r w:rsidR="005853A9">
        <w:rPr>
          <w:kern w:val="0"/>
        </w:rPr>
        <w:t xml:space="preserve"> and </w:t>
      </w:r>
      <w:r>
        <w:rPr>
          <w:kern w:val="0"/>
        </w:rPr>
        <w:t>asking healthcare workers with influenza or influenza-like-illness (ILI) not to work. This review does not provide reasonable evidence to support the vaccination</w:t>
      </w:r>
      <w:r w:rsidR="00427468">
        <w:rPr>
          <w:kern w:val="0"/>
        </w:rPr>
        <w:t xml:space="preserve"> of </w:t>
      </w:r>
      <w:r>
        <w:rPr>
          <w:kern w:val="0"/>
        </w:rPr>
        <w:t>healthcare workers to prevent influenza in those aged 60 years or older resident in LTCIs. High-quality RCTs are required to avoid the risks</w:t>
      </w:r>
      <w:r w:rsidR="00427468">
        <w:rPr>
          <w:kern w:val="0"/>
        </w:rPr>
        <w:t xml:space="preserve"> of </w:t>
      </w:r>
      <w:r>
        <w:rPr>
          <w:kern w:val="0"/>
        </w:rPr>
        <w:t>bias in methodology</w:t>
      </w:r>
      <w:r w:rsidR="005853A9">
        <w:rPr>
          <w:kern w:val="0"/>
        </w:rPr>
        <w:t xml:space="preserve"> and </w:t>
      </w:r>
      <w:r>
        <w:rPr>
          <w:kern w:val="0"/>
        </w:rPr>
        <w:t>conduct identified by this review</w:t>
      </w:r>
      <w:r w:rsidR="005853A9">
        <w:rPr>
          <w:kern w:val="0"/>
        </w:rPr>
        <w:t xml:space="preserve"> and </w:t>
      </w:r>
      <w:r>
        <w:rPr>
          <w:kern w:val="0"/>
        </w:rPr>
        <w:t>to test further these interventions in combination.</w:t>
      </w:r>
    </w:p>
    <w:p w:rsidR="00365DE4" w:rsidRDefault="00365DE4" w:rsidP="00365DE4">
      <w:pPr>
        <w:pStyle w:val="a3"/>
        <w:rPr>
          <w:kern w:val="0"/>
        </w:rPr>
      </w:pPr>
      <w:r>
        <w:rPr>
          <w:kern w:val="0"/>
        </w:rPr>
        <w:t xml:space="preserve">Keywords: A H3n2, Adult, Aged, Analyses, Analysis, Assessing, Authors, Bias, Canada, Care, Caring, Citation, Cluster, Cohort, Cohort Study, Collection, Complications, Confidence, Criteria, Data, Data Collection, Death, Design, Effects, Elderly-People, Embase, Events, Evidence, Facilities, General, Health Personnel, Homes For The Aged, Hospital, Humans, Illness, Incidence, Infection, Infections, Infectious Disease Transmission,Professional-To-Patient [Prevention &amp; Control], Influenza, Influenza Vaccines [Administration &amp; Dosage], Influenza,Human [Prevention &amp; Control, Information, Institutions, Interval, Intervention, Interventions, Living, Long Term, Long-Term, Medicine, </w:t>
      </w:r>
      <w:r w:rsidR="00D5664A">
        <w:rPr>
          <w:kern w:val="0"/>
        </w:rPr>
        <w:t>MEDLINE</w:t>
      </w:r>
      <w:r>
        <w:rPr>
          <w:kern w:val="0"/>
        </w:rPr>
        <w:t xml:space="preserve">, Methodology, Methods, Middle Aged, Mortality, Nursing-Home Residents, Outcome, Outcome Measures, Outcomes, Patients, Pneumonia, Populations, Prevent, Prevention, Public, Quarantine, Randomised, Randomised Controlled Trials, Randomized Controlled Trials As Topic, Randomized Controlled-Trial, Rates, Re, Resident, Review, Risk, Risks, River, Science, Science Citation Index Expanded, Science Citation Index-Expanded, Search, Sources, Support, Surveillance, Transmission], </w:t>
      </w:r>
      <w:r w:rsidR="00D5664A">
        <w:rPr>
          <w:kern w:val="0"/>
        </w:rPr>
        <w:t>USA</w:t>
      </w:r>
      <w:r>
        <w:rPr>
          <w:kern w:val="0"/>
        </w:rPr>
        <w:t xml:space="preserve">, Vaccination, Vaccines,Inactivated [Administration &amp; Dosage], </w:t>
      </w:r>
      <w:r w:rsidR="00D5664A">
        <w:rPr>
          <w:kern w:val="0"/>
        </w:rPr>
        <w:t>Web</w:t>
      </w:r>
      <w:r w:rsidR="00427468">
        <w:rPr>
          <w:kern w:val="0"/>
        </w:rPr>
        <w:t xml:space="preserve"> of </w:t>
      </w:r>
      <w:r w:rsidR="00D5664A">
        <w:rPr>
          <w:kern w:val="0"/>
        </w:rPr>
        <w:t>Science</w:t>
      </w:r>
      <w:r>
        <w:rPr>
          <w:kern w:val="0"/>
        </w:rPr>
        <w:t>, Work</w:t>
      </w:r>
    </w:p>
    <w:p w:rsidR="00365DE4" w:rsidRDefault="00365DE4" w:rsidP="00365DE4">
      <w:pPr>
        <w:pStyle w:val="a3"/>
        <w:rPr>
          <w:kern w:val="0"/>
        </w:rPr>
      </w:pPr>
      <w:r>
        <w:rPr>
          <w:kern w:val="0"/>
        </w:rPr>
        <w:t>? Gower, E.W., Lindsley, K., Nanji, A.A., Leyngold, I.</w:t>
      </w:r>
      <w:r w:rsidR="005853A9">
        <w:rPr>
          <w:kern w:val="0"/>
        </w:rPr>
        <w:t xml:space="preserve"> and </w:t>
      </w:r>
      <w:r>
        <w:rPr>
          <w:kern w:val="0"/>
        </w:rPr>
        <w:t>McDonnell, P.J. (2013), Perioperative antibiotics for prevention</w:t>
      </w:r>
      <w:r w:rsidR="00427468">
        <w:rPr>
          <w:kern w:val="0"/>
        </w:rPr>
        <w:t xml:space="preserve"> of </w:t>
      </w:r>
      <w:r>
        <w:rPr>
          <w:kern w:val="0"/>
        </w:rPr>
        <w:t xml:space="preserve">acute endophthalmitis after cataract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CD006364.</w:t>
      </w:r>
    </w:p>
    <w:p w:rsidR="00365DE4" w:rsidRDefault="00365DE4" w:rsidP="00365DE4">
      <w:pPr>
        <w:pStyle w:val="a3"/>
        <w:rPr>
          <w:kern w:val="2"/>
        </w:rPr>
      </w:pPr>
      <w:r>
        <w:t>Full Text: 2013\Coc Dat Sys Rev2013, CD006364.pdf</w:t>
      </w:r>
    </w:p>
    <w:p w:rsidR="00365DE4" w:rsidRDefault="00365DE4" w:rsidP="00365DE4">
      <w:pPr>
        <w:pStyle w:val="a3"/>
        <w:rPr>
          <w:kern w:val="0"/>
        </w:rPr>
      </w:pPr>
      <w:r>
        <w:rPr>
          <w:kern w:val="0"/>
        </w:rPr>
        <w:t>Abstract: Background Endophthalmitis is a severe inflammation</w:t>
      </w:r>
      <w:r w:rsidR="00427468">
        <w:rPr>
          <w:kern w:val="0"/>
        </w:rPr>
        <w:t xml:space="preserve"> of </w:t>
      </w:r>
      <w:r>
        <w:rPr>
          <w:kern w:val="0"/>
        </w:rPr>
        <w:t>the anterior and/or posterior chambers</w:t>
      </w:r>
      <w:r w:rsidR="00427468">
        <w:rPr>
          <w:kern w:val="0"/>
        </w:rPr>
        <w:t xml:space="preserve"> of </w:t>
      </w:r>
      <w:r>
        <w:rPr>
          <w:kern w:val="0"/>
        </w:rPr>
        <w:t>the eye that may be sterile or associated with infection. It is a potentially vision-threatening complication</w:t>
      </w:r>
      <w:r w:rsidR="00427468">
        <w:rPr>
          <w:kern w:val="0"/>
        </w:rPr>
        <w:t xml:space="preserve"> of </w:t>
      </w:r>
      <w:r>
        <w:rPr>
          <w:kern w:val="0"/>
        </w:rPr>
        <w:t>cataract surgery. Prophylactic measures for endophthalmitis are targeted against various sources</w:t>
      </w:r>
      <w:r w:rsidR="00427468">
        <w:rPr>
          <w:kern w:val="0"/>
        </w:rPr>
        <w:t xml:space="preserve"> of </w:t>
      </w:r>
      <w:r>
        <w:rPr>
          <w:kern w:val="0"/>
        </w:rPr>
        <w:t>infection. Objectives The objective</w:t>
      </w:r>
      <w:r w:rsidR="00427468">
        <w:rPr>
          <w:kern w:val="0"/>
        </w:rPr>
        <w:t xml:space="preserve"> of </w:t>
      </w:r>
      <w:r>
        <w:rPr>
          <w:kern w:val="0"/>
        </w:rPr>
        <w:t>this review was to evaluate the effects</w:t>
      </w:r>
      <w:r w:rsidR="00427468">
        <w:rPr>
          <w:kern w:val="0"/>
        </w:rPr>
        <w:t xml:space="preserve"> of </w:t>
      </w:r>
      <w:r>
        <w:rPr>
          <w:kern w:val="0"/>
        </w:rPr>
        <w:t>perioperative antibiotic prophylaxis for endophthalmitis following cataract surgery. Search methods We searched CENTRAL (which contains the Cochrane Eyes</w:t>
      </w:r>
      <w:r w:rsidR="005853A9">
        <w:rPr>
          <w:kern w:val="0"/>
        </w:rPr>
        <w:t xml:space="preserve"> and </w:t>
      </w:r>
      <w:r>
        <w:rPr>
          <w:kern w:val="0"/>
        </w:rPr>
        <w:t xml:space="preserve">Vision Group Trials Register) (The Cochrane Library 2012, Issue 10),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OLD</w:t>
      </w:r>
      <w:r w:rsidR="00D5664A">
        <w:rPr>
          <w:kern w:val="0"/>
        </w:rPr>
        <w:t>MEDLINE</w:t>
      </w:r>
      <w:r>
        <w:rPr>
          <w:kern w:val="0"/>
        </w:rPr>
        <w:t>, (January 1950 to October 2012), EMBASE (January 1980 to October 2012), Latin American</w:t>
      </w:r>
      <w:r w:rsidR="005853A9">
        <w:rPr>
          <w:kern w:val="0"/>
        </w:rPr>
        <w:t xml:space="preserve"> and </w:t>
      </w:r>
      <w:r>
        <w:rPr>
          <w:kern w:val="0"/>
        </w:rPr>
        <w:t xml:space="preserve">Caribbean Literature on Health Sciences </w:t>
      </w:r>
      <w:r>
        <w:rPr>
          <w:kern w:val="0"/>
        </w:rPr>
        <w:lastRenderedPageBreak/>
        <w:t>(LILACS) (January 1982 to October 2012),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 We did not use any date or language restrictions in the electronic searches for trials. We last searched the electronic databases on 25 October 2012. We also searched for additional studies that cited any included trials using the Science Citation Index. Selection criteria We included randomized controlled trials that enrolled adults undergoing cataract surgery (any method</w:t>
      </w:r>
      <w:r w:rsidR="005853A9">
        <w:rPr>
          <w:kern w:val="0"/>
        </w:rPr>
        <w:t xml:space="preserve"> and </w:t>
      </w:r>
      <w:r>
        <w:rPr>
          <w:kern w:val="0"/>
        </w:rPr>
        <w:t>incision type) for lens opacities due to any origin. Trials that evaluated preoperative antibiotics, intraoperative (intracameral, subconjunctival or systemic) or postoperative antibiotic prophylaxis for acute endophthalmitis were included. We did not include studies that evaluated antiseptic preoperative preparations using agents such as povidone iodine, nor did we include studies that evaluated antibiotics for treating acute endophthalmitis after cataract surgery. Data collection</w:t>
      </w:r>
      <w:r w:rsidR="005853A9">
        <w:rPr>
          <w:kern w:val="0"/>
        </w:rPr>
        <w:t xml:space="preserve"> and </w:t>
      </w:r>
      <w:r>
        <w:rPr>
          <w:kern w:val="0"/>
        </w:rPr>
        <w:t>analysis Two review authors independently reviewed abstracts</w:t>
      </w:r>
      <w:r w:rsidR="005853A9">
        <w:rPr>
          <w:kern w:val="0"/>
        </w:rPr>
        <w:t xml:space="preserve"> and </w:t>
      </w:r>
      <w:r>
        <w:rPr>
          <w:kern w:val="0"/>
        </w:rPr>
        <w:t>full-text articles for eligibility, assessed the risk</w:t>
      </w:r>
      <w:r w:rsidR="00427468">
        <w:rPr>
          <w:kern w:val="0"/>
        </w:rPr>
        <w:t xml:space="preserve"> of </w:t>
      </w:r>
      <w:r>
        <w:rPr>
          <w:kern w:val="0"/>
        </w:rPr>
        <w:t>bias for each included study,</w:t>
      </w:r>
      <w:r w:rsidR="005853A9">
        <w:rPr>
          <w:kern w:val="0"/>
        </w:rPr>
        <w:t xml:space="preserve"> and </w:t>
      </w:r>
      <w:r>
        <w:rPr>
          <w:kern w:val="0"/>
        </w:rPr>
        <w:t>abstracted data. Main results Four studies met the inclusion criteria for this review, including 100,876 adults</w:t>
      </w:r>
      <w:r w:rsidR="005853A9">
        <w:rPr>
          <w:kern w:val="0"/>
        </w:rPr>
        <w:t xml:space="preserve"> and </w:t>
      </w:r>
      <w:r>
        <w:rPr>
          <w:kern w:val="0"/>
        </w:rPr>
        <w:t>131 endophthalmitis cases. While the sample size is very large, the heterogeneity</w:t>
      </w:r>
      <w:r w:rsidR="00427468">
        <w:rPr>
          <w:kern w:val="0"/>
        </w:rPr>
        <w:t xml:space="preserve"> of </w:t>
      </w:r>
      <w:r>
        <w:rPr>
          <w:kern w:val="0"/>
        </w:rPr>
        <w:t>the study designs</w:t>
      </w:r>
      <w:r w:rsidR="005853A9">
        <w:rPr>
          <w:kern w:val="0"/>
        </w:rPr>
        <w:t xml:space="preserve"> and </w:t>
      </w:r>
      <w:r>
        <w:rPr>
          <w:kern w:val="0"/>
        </w:rPr>
        <w:t>modes</w:t>
      </w:r>
      <w:r w:rsidR="00427468">
        <w:rPr>
          <w:kern w:val="0"/>
        </w:rPr>
        <w:t xml:space="preserve"> of </w:t>
      </w:r>
      <w:r>
        <w:rPr>
          <w:kern w:val="0"/>
        </w:rPr>
        <w:t>antibiotic delivery made it impossible to conduct a formal meta-analysis. Interventions investigated in the studies included the utility</w:t>
      </w:r>
      <w:r w:rsidR="00427468">
        <w:rPr>
          <w:kern w:val="0"/>
        </w:rPr>
        <w:t xml:space="preserve"> of </w:t>
      </w:r>
      <w:r>
        <w:rPr>
          <w:kern w:val="0"/>
        </w:rPr>
        <w:t>adding vancomycin</w:t>
      </w:r>
      <w:r w:rsidR="005853A9">
        <w:rPr>
          <w:kern w:val="0"/>
        </w:rPr>
        <w:t xml:space="preserve"> and </w:t>
      </w:r>
      <w:r>
        <w:rPr>
          <w:kern w:val="0"/>
        </w:rPr>
        <w:t>gentamycin to the irrigating solution compared with standard balanced saline solution irrigation alone, use</w:t>
      </w:r>
      <w:r w:rsidR="00427468">
        <w:rPr>
          <w:kern w:val="0"/>
        </w:rPr>
        <w:t xml:space="preserve"> of </w:t>
      </w:r>
      <w:r>
        <w:rPr>
          <w:kern w:val="0"/>
        </w:rPr>
        <w:t>intracameral cefuroxime and/or topical levofloxacin perioperatively, periocular penicillin injections</w:t>
      </w:r>
      <w:r w:rsidR="005853A9">
        <w:rPr>
          <w:kern w:val="0"/>
        </w:rPr>
        <w:t xml:space="preserve"> and </w:t>
      </w:r>
      <w:r>
        <w:rPr>
          <w:kern w:val="0"/>
        </w:rPr>
        <w:t>topical chloramphenicol-sulphadimidine drops compared with topical antibiotics alone,</w:t>
      </w:r>
      <w:r w:rsidR="005853A9">
        <w:rPr>
          <w:kern w:val="0"/>
        </w:rPr>
        <w:t xml:space="preserve"> and </w:t>
      </w:r>
      <w:r>
        <w:rPr>
          <w:kern w:val="0"/>
        </w:rPr>
        <w:t>mode</w:t>
      </w:r>
      <w:r w:rsidR="00427468">
        <w:rPr>
          <w:kern w:val="0"/>
        </w:rPr>
        <w:t xml:space="preserve"> of </w:t>
      </w:r>
      <w:r>
        <w:rPr>
          <w:kern w:val="0"/>
        </w:rPr>
        <w:t>antibiotic delivery (subconjunctival versus retrobulbar injections). Two studies with adequate sample sizes to evaluate a rare outcome found reduced risk</w:t>
      </w:r>
      <w:r w:rsidR="00427468">
        <w:rPr>
          <w:kern w:val="0"/>
        </w:rPr>
        <w:t xml:space="preserve"> of </w:t>
      </w:r>
      <w:r>
        <w:rPr>
          <w:kern w:val="0"/>
        </w:rPr>
        <w:t>endophthalmitis with antibiotic injections during surgery compared with topical antibiotics alone: risk ratio (RR) 0.33, 95% confidence interval (CI) 0.12 to 0.92 (periocular penicillin versus topical chloramphenicol-sulphadimidine)</w:t>
      </w:r>
      <w:r w:rsidR="005853A9">
        <w:rPr>
          <w:kern w:val="0"/>
        </w:rPr>
        <w:t xml:space="preserve"> and </w:t>
      </w:r>
      <w:r>
        <w:rPr>
          <w:kern w:val="0"/>
        </w:rPr>
        <w:t>RR 0.21, 95% CI 0.06 to 0.74 (intracameral cefuroxime versus topical levofloxacin). Another study found no significant difference in endophthalmitis when comparing subconjunctival versus retrobulbar antibiotic injections (RR 0.85, 95% CI 0.55 to 1.32)</w:t>
      </w:r>
      <w:r w:rsidR="00A37C1D">
        <w:rPr>
          <w:kern w:val="0"/>
        </w:rPr>
        <w:t>. The</w:t>
      </w:r>
      <w:r>
        <w:rPr>
          <w:kern w:val="0"/>
        </w:rPr>
        <w:t xml:space="preserve"> fourth study which compared irrigation with balanced salt solution (BSS) alone versus BSS with antibiotics was not sufficiently powered to detect differences in endophthalmitis between groups</w:t>
      </w:r>
      <w:r w:rsidR="00A37C1D">
        <w:rPr>
          <w:kern w:val="0"/>
        </w:rPr>
        <w:t>. The</w:t>
      </w:r>
      <w:r>
        <w:rPr>
          <w:kern w:val="0"/>
        </w:rPr>
        <w:t xml:space="preserve"> risk</w:t>
      </w:r>
      <w:r w:rsidR="00427468">
        <w:rPr>
          <w:kern w:val="0"/>
        </w:rPr>
        <w:t xml:space="preserve"> of </w:t>
      </w:r>
      <w:r>
        <w:rPr>
          <w:kern w:val="0"/>
        </w:rPr>
        <w:t>bias among studies was low to unclear due to information not being reported. Authors</w:t>
      </w:r>
      <w:r w:rsidR="0071223E">
        <w:rPr>
          <w:kern w:val="0"/>
        </w:rPr>
        <w:t>’</w:t>
      </w:r>
      <w:r>
        <w:rPr>
          <w:kern w:val="0"/>
        </w:rPr>
        <w:t xml:space="preserve"> conclusions Multiple measures for preventing endophthalmitis following cataract surgery have been studied. One</w:t>
      </w:r>
      <w:r w:rsidR="00427468">
        <w:rPr>
          <w:kern w:val="0"/>
        </w:rPr>
        <w:t xml:space="preserve"> of </w:t>
      </w:r>
      <w:r>
        <w:rPr>
          <w:kern w:val="0"/>
        </w:rPr>
        <w:t>the included studies, the ESCRS (European Society</w:t>
      </w:r>
      <w:r w:rsidR="00427468">
        <w:rPr>
          <w:kern w:val="0"/>
        </w:rPr>
        <w:t xml:space="preserve"> of </w:t>
      </w:r>
      <w:r>
        <w:rPr>
          <w:kern w:val="0"/>
        </w:rPr>
        <w:t>Cataract</w:t>
      </w:r>
      <w:r w:rsidR="005853A9">
        <w:rPr>
          <w:kern w:val="0"/>
        </w:rPr>
        <w:t xml:space="preserve"> and </w:t>
      </w:r>
      <w:r>
        <w:rPr>
          <w:kern w:val="0"/>
        </w:rPr>
        <w:t xml:space="preserve">Refractive Surgeons) </w:t>
      </w:r>
      <w:r>
        <w:rPr>
          <w:kern w:val="0"/>
        </w:rPr>
        <w:lastRenderedPageBreak/>
        <w:t>study, was performed using contemporary surgical technique</w:t>
      </w:r>
      <w:r w:rsidR="005853A9">
        <w:rPr>
          <w:kern w:val="0"/>
        </w:rPr>
        <w:t xml:space="preserve"> and </w:t>
      </w:r>
      <w:r>
        <w:rPr>
          <w:kern w:val="0"/>
        </w:rPr>
        <w:t>employed cefuroxime, an antibiotic commonly used in many parts</w:t>
      </w:r>
      <w:r w:rsidR="00427468">
        <w:rPr>
          <w:kern w:val="0"/>
        </w:rPr>
        <w:t xml:space="preserve"> of </w:t>
      </w:r>
      <w:r>
        <w:rPr>
          <w:kern w:val="0"/>
        </w:rPr>
        <w:t>the world. Clinical trials with rare outcomes require very large sample sizes</w:t>
      </w:r>
      <w:r w:rsidR="005853A9">
        <w:rPr>
          <w:kern w:val="0"/>
        </w:rPr>
        <w:t xml:space="preserve"> and </w:t>
      </w:r>
      <w:r>
        <w:rPr>
          <w:kern w:val="0"/>
        </w:rPr>
        <w:t>are quite costly to conduct; thus, it is unlikely that additional clinical trials will be conducted to evaluate currently available prophylaxis. Practitioners should rely on current evidence to make informed decisions regarding prophylaxis choices.</w:t>
      </w:r>
    </w:p>
    <w:p w:rsidR="00365DE4" w:rsidRDefault="00365DE4" w:rsidP="00365DE4">
      <w:pPr>
        <w:pStyle w:val="a3"/>
        <w:rPr>
          <w:kern w:val="0"/>
        </w:rPr>
      </w:pPr>
      <w:r>
        <w:rPr>
          <w:kern w:val="0"/>
        </w:rPr>
        <w:t xml:space="preserve">Keywords: Analysis, Antibiotic Prophylaxis, Antibiotics, Authors, Bias, Cataract Surgery, Cefuroxime, Citation, Citations, Clinical, Clinical Trials, Collection, Complication, Confidence, Criteria, Data, Data Collection, Databases, Delivery, Effects, Embase, Evidence, Gentamycin, Groups, Heterogeneity, Infection, Inflammation, Information, Injections, Interval, Irrigation, Language, Literature, </w:t>
      </w:r>
      <w:r w:rsidR="00D5664A">
        <w:rPr>
          <w:kern w:val="0"/>
        </w:rPr>
        <w:t>MEDLINE</w:t>
      </w:r>
      <w:r>
        <w:rPr>
          <w:kern w:val="0"/>
        </w:rPr>
        <w:t>, Meta Analysis, Meta-Analysis, Metaanalysis, Methods, Mode, Origin, Outcome, Outcomes, Penicillin, Perioperative Antibiotic Prophylaxis, Postoperative, Povidone-Iodine, Preoperative, Prevention, Prophylaxis, Randomized, Randomized Controlled Trials, Restrictions, Review, Risk, Salt, Sample Size, Science, Science Citation Index, Search, Size, Solution, Sources, Standard, Surgery, Surgical Technique, Topical, Utility, Vancomycin, Who, World</w:t>
      </w:r>
    </w:p>
    <w:p w:rsidR="00365DE4" w:rsidRDefault="00365DE4" w:rsidP="00365DE4">
      <w:pPr>
        <w:pStyle w:val="a3"/>
        <w:rPr>
          <w:kern w:val="0"/>
        </w:rPr>
      </w:pPr>
      <w:r>
        <w:rPr>
          <w:kern w:val="0"/>
        </w:rPr>
        <w:t>? Vaughan, J., Gur</w:t>
      </w:r>
      <w:r w:rsidR="00D5664A">
        <w:rPr>
          <w:kern w:val="0"/>
        </w:rPr>
        <w:t>USA</w:t>
      </w:r>
      <w:r>
        <w:rPr>
          <w:kern w:val="0"/>
        </w:rPr>
        <w:t>my, K.S.</w:t>
      </w:r>
      <w:r w:rsidR="005853A9">
        <w:rPr>
          <w:kern w:val="0"/>
        </w:rPr>
        <w:t xml:space="preserve"> and </w:t>
      </w:r>
      <w:r>
        <w:rPr>
          <w:kern w:val="0"/>
        </w:rPr>
        <w:t xml:space="preserve">Davidson, B.R. (2013), Day-surgery versus overnight stay surgery for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CD006798.</w:t>
      </w:r>
    </w:p>
    <w:p w:rsidR="00365DE4" w:rsidRDefault="00365DE4" w:rsidP="00365DE4">
      <w:pPr>
        <w:pStyle w:val="a3"/>
        <w:rPr>
          <w:kern w:val="2"/>
        </w:rPr>
      </w:pPr>
      <w:r>
        <w:t>Full Text: 2013\Coc Dat Sys Rev2013, CD006798.pdf</w:t>
      </w:r>
    </w:p>
    <w:p w:rsidR="00365DE4" w:rsidRDefault="00365DE4" w:rsidP="00365DE4">
      <w:pPr>
        <w:pStyle w:val="a3"/>
        <w:rPr>
          <w:kern w:val="0"/>
        </w:rPr>
      </w:pPr>
      <w:r>
        <w:rPr>
          <w:kern w:val="0"/>
        </w:rPr>
        <w:t>Abstract: Background Laparoscopic cholecystectomy is used to manage symptomatic gallstones</w:t>
      </w:r>
      <w:r w:rsidR="00A37C1D">
        <w:rPr>
          <w:kern w:val="0"/>
        </w:rPr>
        <w:t>. The</w:t>
      </w:r>
      <w:r>
        <w:rPr>
          <w:kern w:val="0"/>
        </w:rPr>
        <w:t>re is considerable controversy regarding whether it should be done as day-surgery or as an overnight stay surgery with regards to patient safety. Objectives To assess the impact</w:t>
      </w:r>
      <w:r w:rsidR="00427468">
        <w:rPr>
          <w:kern w:val="0"/>
        </w:rPr>
        <w:t xml:space="preserve"> of </w:t>
      </w:r>
      <w:r>
        <w:rPr>
          <w:kern w:val="0"/>
        </w:rPr>
        <w:t>day-surgery versus overnight stay laparoscopic cholecystectomy on patient-oriented outcomes such as mortality, severe adverse events,</w:t>
      </w:r>
      <w:r w:rsidR="005853A9">
        <w:rPr>
          <w:kern w:val="0"/>
        </w:rPr>
        <w:t xml:space="preserve"> and </w:t>
      </w:r>
      <w:r>
        <w:rPr>
          <w:kern w:val="0"/>
        </w:rPr>
        <w:t>quality</w:t>
      </w:r>
      <w:r w:rsidR="00427468">
        <w:rPr>
          <w:kern w:val="0"/>
        </w:rPr>
        <w:t xml:space="preserve"> of </w:t>
      </w:r>
      <w:r>
        <w:rPr>
          <w:kern w:val="0"/>
        </w:rPr>
        <w:t>life. Search methods We searched the Cochrane Hepato-Biliary Group Controlled Trials Register</w:t>
      </w:r>
      <w:r w:rsidR="005853A9">
        <w:rPr>
          <w:kern w:val="0"/>
        </w:rPr>
        <w:t xml:space="preserve"> and </w:t>
      </w:r>
      <w:r>
        <w:rPr>
          <w:kern w:val="0"/>
        </w:rPr>
        <w:t>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w:t>
      </w:r>
      <w:r w:rsidR="005853A9">
        <w:rPr>
          <w:kern w:val="0"/>
        </w:rPr>
        <w:t xml:space="preserve"> and </w:t>
      </w:r>
      <w:r>
        <w:rPr>
          <w:kern w:val="0"/>
        </w:rPr>
        <w:t>mRCT until September 2012. Selection criteria We included randomised clinical trials comparing day-surgery versus overnight stay surgery for laparoscopic cholecystectomy, irrespective</w:t>
      </w:r>
      <w:r w:rsidR="00427468">
        <w:rPr>
          <w:kern w:val="0"/>
        </w:rPr>
        <w:t xml:space="preserve"> of </w:t>
      </w:r>
      <w:r>
        <w:rPr>
          <w:kern w:val="0"/>
        </w:rPr>
        <w:t>language or publication status.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the data. We analysed the data with both the fixed-effect</w:t>
      </w:r>
      <w:r w:rsidR="005853A9">
        <w:rPr>
          <w:kern w:val="0"/>
        </w:rPr>
        <w:t xml:space="preserve"> and </w:t>
      </w:r>
      <w:r>
        <w:rPr>
          <w:kern w:val="0"/>
        </w:rPr>
        <w:t>the random-effects models using Review Manager 5 analysis. We calculated the risk ratio (RR), mean difference (MD), or standardised mean difference (SMD) with 95% confidence intervals (CI) based on intention-to-treat or available case analysis. Main results We identified a total</w:t>
      </w:r>
      <w:r w:rsidR="00427468">
        <w:rPr>
          <w:kern w:val="0"/>
        </w:rPr>
        <w:t xml:space="preserve"> of </w:t>
      </w:r>
      <w:r>
        <w:rPr>
          <w:kern w:val="0"/>
        </w:rPr>
        <w:t>six trials at high risk</w:t>
      </w:r>
      <w:r w:rsidR="00427468">
        <w:rPr>
          <w:kern w:val="0"/>
        </w:rPr>
        <w:t xml:space="preserve"> of </w:t>
      </w:r>
      <w:r>
        <w:rPr>
          <w:kern w:val="0"/>
        </w:rPr>
        <w:t xml:space="preserve">bias involving 492 participants undergoing day-case laparoscopic cholecystectomy </w:t>
      </w:r>
      <w:r>
        <w:rPr>
          <w:kern w:val="0"/>
        </w:rPr>
        <w:lastRenderedPageBreak/>
        <w:t>(n = 239) versus overnight stay laparoscopic cholecystectomy (n = 253) for symptomatic gallstones</w:t>
      </w:r>
      <w:r w:rsidR="00A37C1D">
        <w:rPr>
          <w:kern w:val="0"/>
        </w:rPr>
        <w:t>. The</w:t>
      </w:r>
      <w:r>
        <w:rPr>
          <w:kern w:val="0"/>
        </w:rPr>
        <w:t xml:space="preserve"> number</w:t>
      </w:r>
      <w:r w:rsidR="00427468">
        <w:rPr>
          <w:kern w:val="0"/>
        </w:rPr>
        <w:t xml:space="preserve"> of </w:t>
      </w:r>
      <w:r>
        <w:rPr>
          <w:kern w:val="0"/>
        </w:rPr>
        <w:t>participants in each trial ranged from 28 to 150</w:t>
      </w:r>
      <w:r w:rsidR="00A37C1D">
        <w:rPr>
          <w:kern w:val="0"/>
        </w:rPr>
        <w:t>. The</w:t>
      </w:r>
      <w:r>
        <w:rPr>
          <w:kern w:val="0"/>
        </w:rPr>
        <w:t xml:space="preserve"> proportion</w:t>
      </w:r>
      <w:r w:rsidR="00427468">
        <w:rPr>
          <w:kern w:val="0"/>
        </w:rPr>
        <w:t xml:space="preserve"> of </w:t>
      </w:r>
      <w:r>
        <w:rPr>
          <w:kern w:val="0"/>
        </w:rPr>
        <w:t>women in the trials varied between 74%</w:t>
      </w:r>
      <w:r w:rsidR="005853A9">
        <w:rPr>
          <w:kern w:val="0"/>
        </w:rPr>
        <w:t xml:space="preserve"> and </w:t>
      </w:r>
      <w:r>
        <w:rPr>
          <w:kern w:val="0"/>
        </w:rPr>
        <w:t>84%</w:t>
      </w:r>
      <w:r w:rsidR="00A37C1D">
        <w:rPr>
          <w:kern w:val="0"/>
        </w:rPr>
        <w:t>. The</w:t>
      </w:r>
      <w:r>
        <w:rPr>
          <w:kern w:val="0"/>
        </w:rPr>
        <w:t xml:space="preserve"> mean or median age in the trials varied between 40</w:t>
      </w:r>
      <w:r w:rsidR="005853A9">
        <w:rPr>
          <w:kern w:val="0"/>
        </w:rPr>
        <w:t xml:space="preserve"> and </w:t>
      </w:r>
      <w:r>
        <w:rPr>
          <w:kern w:val="0"/>
        </w:rPr>
        <w:t>47 years. With regards to primary outcomes, only one trial reported short-term mortality. However, the trial stated that there were no deaths in either</w:t>
      </w:r>
      <w:r w:rsidR="00427468">
        <w:rPr>
          <w:kern w:val="0"/>
        </w:rPr>
        <w:t xml:space="preserve"> of </w:t>
      </w:r>
      <w:r>
        <w:rPr>
          <w:kern w:val="0"/>
        </w:rPr>
        <w:t>the groups. We inferred from the other outcomes that there was no short-term mortality in the remaining trials. Long-term mortality was not reported in any</w:t>
      </w:r>
      <w:r w:rsidR="00427468">
        <w:rPr>
          <w:kern w:val="0"/>
        </w:rPr>
        <w:t xml:space="preserve"> of </w:t>
      </w:r>
      <w:r>
        <w:rPr>
          <w:kern w:val="0"/>
        </w:rPr>
        <w:t>the trials</w:t>
      </w:r>
      <w:r w:rsidR="00A37C1D">
        <w:rPr>
          <w:kern w:val="0"/>
        </w:rPr>
        <w:t>. The</w:t>
      </w:r>
      <w:r>
        <w:rPr>
          <w:kern w:val="0"/>
        </w:rPr>
        <w:t>re was no significant difference in the rate</w:t>
      </w:r>
      <w:r w:rsidR="00427468">
        <w:rPr>
          <w:kern w:val="0"/>
        </w:rPr>
        <w:t xml:space="preserve"> of </w:t>
      </w:r>
      <w:r>
        <w:rPr>
          <w:kern w:val="0"/>
        </w:rPr>
        <w:t>serious adverse events between the two groups (4 trials; 391 participants; 7/191 (weighted rate 1.6%) in the day-surgery group versus 1/200 (0.5%) in the overnight stay surgery group; rate ratio 3.24; 95% CI 0.74 to 14.09)</w:t>
      </w:r>
      <w:r w:rsidR="00A37C1D">
        <w:rPr>
          <w:kern w:val="0"/>
        </w:rPr>
        <w:t>. The</w:t>
      </w:r>
      <w:r>
        <w:rPr>
          <w:kern w:val="0"/>
        </w:rPr>
        <w:t>re was no significant difference in quality</w:t>
      </w:r>
      <w:r w:rsidR="00427468">
        <w:rPr>
          <w:kern w:val="0"/>
        </w:rPr>
        <w:t xml:space="preserve"> of </w:t>
      </w:r>
      <w:r>
        <w:rPr>
          <w:kern w:val="0"/>
        </w:rPr>
        <w:t>life between the two groups (4 trials; 333 participants; SMD -0.11; 95% CI -0.33 to 0.10)</w:t>
      </w:r>
      <w:r w:rsidR="00A37C1D">
        <w:rPr>
          <w:kern w:val="0"/>
        </w:rPr>
        <w:t>. The</w:t>
      </w:r>
      <w:r>
        <w:rPr>
          <w:kern w:val="0"/>
        </w:rPr>
        <w:t>re was no significant difference between the two groups regarding the secondary outcomes</w:t>
      </w:r>
      <w:r w:rsidR="00427468">
        <w:rPr>
          <w:kern w:val="0"/>
        </w:rPr>
        <w:t xml:space="preserve"> of </w:t>
      </w:r>
      <w:r>
        <w:rPr>
          <w:kern w:val="0"/>
        </w:rPr>
        <w:t>our review: pain (3 trials; 175 participants; MD 0.02 cm visual analogue scale score; 95% CI -0.69 to 0.73); time to return to activity (2 trials, 217 participants; MD -0.55 days; 95% CI -2.18 to 1.08);</w:t>
      </w:r>
      <w:r w:rsidR="005853A9">
        <w:rPr>
          <w:kern w:val="0"/>
        </w:rPr>
        <w:t xml:space="preserve"> and </w:t>
      </w:r>
      <w:r>
        <w:rPr>
          <w:kern w:val="0"/>
        </w:rPr>
        <w:t>return to work (1 trial, 74 participants; MD -2.00 days; 95% CI -10.34 to 6.34). No significant difference was seen in hospital readmission rate (5 trials; 464 participants; 6/225 (weighted rate 0.5%) in the day-surgery group versus 5/239 (2.1%) in the overnight stay surgery group (rate ratio 1.25; 95% CI 0.43 to 3.63) or in the proportion</w:t>
      </w:r>
      <w:r w:rsidR="00427468">
        <w:rPr>
          <w:kern w:val="0"/>
        </w:rPr>
        <w:t xml:space="preserve"> of </w:t>
      </w:r>
      <w:r>
        <w:rPr>
          <w:kern w:val="0"/>
        </w:rPr>
        <w:t>people requiring hospital readmissions (3 trials; 290 participants; 5/136 (weighted proportion 3.5%) in the day-surgery group versus 5/154 (3.2%) in the overnight stay surgery group; RR 1.09; 95% CI 0.33 to 3.60). No significant difference was seen in the proportion</w:t>
      </w:r>
      <w:r w:rsidR="00427468">
        <w:rPr>
          <w:kern w:val="0"/>
        </w:rPr>
        <w:t xml:space="preserve"> of </w:t>
      </w:r>
      <w:r>
        <w:rPr>
          <w:kern w:val="0"/>
        </w:rPr>
        <w:t>failed discharge (failure to be discharged as planned) between the two groups (5 trials; 419 participants; 42/205 (weighted proportion 19.3%) in the day-surgery group versus 43/214 (20.1%) in the overnight stay surgery group; RR 0.96; 95% CI 0.65 to 1.41). For all outcomes except pain, the accrued information was far less than the diversity-adjusted required information size to exclude random errors. Authors</w:t>
      </w:r>
      <w:r w:rsidR="0071223E">
        <w:rPr>
          <w:kern w:val="0"/>
        </w:rPr>
        <w:t>’</w:t>
      </w:r>
      <w:r>
        <w:rPr>
          <w:kern w:val="0"/>
        </w:rPr>
        <w:t xml:space="preserve"> conclusions Day-surgery appears just as safe as overnight stay surgery in laparoscopic cholecystectomy. Day-surgery does not seem to result in improvement in any patient-oriented outcomes such as return to normal activity or earlier return to work</w:t>
      </w:r>
      <w:r w:rsidR="00A37C1D">
        <w:rPr>
          <w:kern w:val="0"/>
        </w:rPr>
        <w:t>. The</w:t>
      </w:r>
      <w:r>
        <w:rPr>
          <w:kern w:val="0"/>
        </w:rPr>
        <w:t xml:space="preserve"> randomised clinical trials backing these statements are weakened by risks</w:t>
      </w:r>
      <w:r w:rsidR="00427468">
        <w:rPr>
          <w:kern w:val="0"/>
        </w:rPr>
        <w:t xml:space="preserve"> of </w:t>
      </w:r>
      <w:r>
        <w:rPr>
          <w:kern w:val="0"/>
        </w:rPr>
        <w:t>systematic errors (bias)</w:t>
      </w:r>
      <w:r w:rsidR="005853A9">
        <w:rPr>
          <w:kern w:val="0"/>
        </w:rPr>
        <w:t xml:space="preserve"> and </w:t>
      </w:r>
      <w:r>
        <w:rPr>
          <w:kern w:val="0"/>
        </w:rPr>
        <w:t>risks</w:t>
      </w:r>
      <w:r w:rsidR="00427468">
        <w:rPr>
          <w:kern w:val="0"/>
        </w:rPr>
        <w:t xml:space="preserve"> of </w:t>
      </w:r>
      <w:r>
        <w:rPr>
          <w:kern w:val="0"/>
        </w:rPr>
        <w:t>random errors (play</w:t>
      </w:r>
      <w:r w:rsidR="00427468">
        <w:rPr>
          <w:kern w:val="0"/>
        </w:rPr>
        <w:t xml:space="preserve"> of </w:t>
      </w:r>
      <w:r>
        <w:rPr>
          <w:kern w:val="0"/>
        </w:rPr>
        <w:t>chance). More randomised clinical trials are needed to assess the impact</w:t>
      </w:r>
      <w:r w:rsidR="00427468">
        <w:rPr>
          <w:kern w:val="0"/>
        </w:rPr>
        <w:t xml:space="preserve"> of </w:t>
      </w:r>
      <w:r>
        <w:rPr>
          <w:kern w:val="0"/>
        </w:rPr>
        <w:t>day-surgery laparoscopic cholecystectomy on the quality</w:t>
      </w:r>
      <w:r w:rsidR="00427468">
        <w:rPr>
          <w:kern w:val="0"/>
        </w:rPr>
        <w:t xml:space="preserve"> of </w:t>
      </w:r>
      <w:r>
        <w:rPr>
          <w:kern w:val="0"/>
        </w:rPr>
        <w:t>life as well as other outcomes</w:t>
      </w:r>
      <w:r w:rsidR="00427468">
        <w:rPr>
          <w:kern w:val="0"/>
        </w:rPr>
        <w:t xml:space="preserve"> of </w:t>
      </w:r>
      <w:r>
        <w:rPr>
          <w:kern w:val="0"/>
        </w:rPr>
        <w:t>patients.</w:t>
      </w:r>
    </w:p>
    <w:p w:rsidR="00365DE4" w:rsidRDefault="00365DE4" w:rsidP="00365DE4">
      <w:pPr>
        <w:pStyle w:val="a3"/>
        <w:rPr>
          <w:kern w:val="0"/>
        </w:rPr>
      </w:pPr>
      <w:r>
        <w:rPr>
          <w:kern w:val="0"/>
        </w:rPr>
        <w:t xml:space="preserve">Keywords: Activity, Age, Analysis, Authors, Bias, Case Analysis, Cholecystectomy, Citation, Clinical, Clinical Trials, Collection, Confidence, Confidence Intervals, Criteria, Data, Data Collection, Discharge, Embase, Errors, Events, Failure, Groups, </w:t>
      </w:r>
      <w:r>
        <w:rPr>
          <w:kern w:val="0"/>
        </w:rPr>
        <w:lastRenderedPageBreak/>
        <w:t xml:space="preserve">Hospital, Impact, Improvement, Information, Intervals, Language, Laparoscopic, Laparoscopic Cholecystectomy, Life, </w:t>
      </w:r>
      <w:r w:rsidR="00D5664A">
        <w:rPr>
          <w:kern w:val="0"/>
        </w:rPr>
        <w:t>MEDLINE</w:t>
      </w:r>
      <w:r>
        <w:rPr>
          <w:kern w:val="0"/>
        </w:rPr>
        <w:t>, Methods, Models, Mortality, Normal, Outcomes, Pain, Patient Safety, Patients, Primary, Publication, Quality, Quality Of, Quality</w:t>
      </w:r>
      <w:r w:rsidR="00427468">
        <w:rPr>
          <w:kern w:val="0"/>
        </w:rPr>
        <w:t xml:space="preserve"> of </w:t>
      </w:r>
      <w:r>
        <w:rPr>
          <w:kern w:val="0"/>
        </w:rPr>
        <w:t>Life, Randomised, Readmission, Readmissions, Review, Risk, Risks, Safety, Scale, Science, Science Citation Index, Science Citation Index Expanded, Search, Size, Surgery, Trial, Women, Work</w:t>
      </w:r>
    </w:p>
    <w:p w:rsidR="00365DE4" w:rsidRDefault="00365DE4" w:rsidP="00365DE4">
      <w:pPr>
        <w:pStyle w:val="a3"/>
        <w:rPr>
          <w:kern w:val="0"/>
        </w:rPr>
      </w:pPr>
      <w:r>
        <w:rPr>
          <w:kern w:val="0"/>
        </w:rPr>
        <w:t>? Parker, B.</w:t>
      </w:r>
      <w:r w:rsidR="005853A9">
        <w:rPr>
          <w:kern w:val="0"/>
        </w:rPr>
        <w:t xml:space="preserve"> and </w:t>
      </w:r>
      <w:r>
        <w:rPr>
          <w:kern w:val="0"/>
        </w:rPr>
        <w:t>Turner, W. (2013), Psychoanalytic/psychodynamic psychotherapy for children</w:t>
      </w:r>
      <w:r w:rsidR="005853A9">
        <w:rPr>
          <w:kern w:val="0"/>
        </w:rPr>
        <w:t xml:space="preserve"> and </w:t>
      </w:r>
      <w:r>
        <w:rPr>
          <w:kern w:val="0"/>
        </w:rPr>
        <w:t xml:space="preserve">adolescents who have been sexually abused.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CD008162.</w:t>
      </w:r>
    </w:p>
    <w:p w:rsidR="00365DE4" w:rsidRDefault="00365DE4" w:rsidP="00365DE4">
      <w:pPr>
        <w:pStyle w:val="a3"/>
        <w:rPr>
          <w:kern w:val="2"/>
        </w:rPr>
      </w:pPr>
      <w:r>
        <w:t>Full Text: 2013\Coc Dat Sys Rev2013, CD008162.pdf</w:t>
      </w:r>
    </w:p>
    <w:p w:rsidR="00365DE4" w:rsidRDefault="00365DE4" w:rsidP="00365DE4">
      <w:pPr>
        <w:pStyle w:val="a3"/>
        <w:rPr>
          <w:kern w:val="0"/>
        </w:rPr>
      </w:pPr>
      <w:r>
        <w:rPr>
          <w:kern w:val="0"/>
        </w:rPr>
        <w:t>Abstract: Background The sexual abuse</w:t>
      </w:r>
      <w:r w:rsidR="00427468">
        <w:rPr>
          <w:kern w:val="0"/>
        </w:rPr>
        <w:t xml:space="preserve"> of </w:t>
      </w:r>
      <w:r>
        <w:rPr>
          <w:kern w:val="0"/>
        </w:rPr>
        <w:t>children</w:t>
      </w:r>
      <w:r w:rsidR="005853A9">
        <w:rPr>
          <w:kern w:val="0"/>
        </w:rPr>
        <w:t xml:space="preserve"> and </w:t>
      </w:r>
      <w:r>
        <w:rPr>
          <w:kern w:val="0"/>
        </w:rPr>
        <w:t>adolescents is a significant worldwide problem. It is associated with a wide variety</w:t>
      </w:r>
      <w:r w:rsidR="00427468">
        <w:rPr>
          <w:kern w:val="0"/>
        </w:rPr>
        <w:t xml:space="preserve"> of </w:t>
      </w:r>
      <w:r>
        <w:rPr>
          <w:kern w:val="0"/>
        </w:rPr>
        <w:t>negative psychological, social</w:t>
      </w:r>
      <w:r w:rsidR="005853A9">
        <w:rPr>
          <w:kern w:val="0"/>
        </w:rPr>
        <w:t xml:space="preserve"> and </w:t>
      </w:r>
      <w:r>
        <w:rPr>
          <w:kern w:val="0"/>
        </w:rPr>
        <w:t>physical consequences for the victims</w:t>
      </w:r>
      <w:r w:rsidR="00A37C1D">
        <w:rPr>
          <w:kern w:val="0"/>
        </w:rPr>
        <w:t>. The</w:t>
      </w:r>
      <w:r>
        <w:rPr>
          <w:kern w:val="0"/>
        </w:rPr>
        <w:t>se effects can often be seen immediately following sexual abuse, but they may manifest later on</w:t>
      </w:r>
      <w:r w:rsidR="005853A9">
        <w:rPr>
          <w:kern w:val="0"/>
        </w:rPr>
        <w:t xml:space="preserve"> and </w:t>
      </w:r>
      <w:r>
        <w:rPr>
          <w:kern w:val="0"/>
        </w:rPr>
        <w:t>sometimes only in adult life</w:t>
      </w:r>
      <w:r w:rsidR="00A37C1D">
        <w:rPr>
          <w:kern w:val="0"/>
        </w:rPr>
        <w:t>. The</w:t>
      </w:r>
      <w:r>
        <w:rPr>
          <w:kern w:val="0"/>
        </w:rPr>
        <w:t>re are a number</w:t>
      </w:r>
      <w:r w:rsidR="00427468">
        <w:rPr>
          <w:kern w:val="0"/>
        </w:rPr>
        <w:t xml:space="preserve"> of </w:t>
      </w:r>
      <w:r>
        <w:rPr>
          <w:kern w:val="0"/>
        </w:rPr>
        <w:t>different interventions aimed at helping children</w:t>
      </w:r>
      <w:r w:rsidR="005853A9">
        <w:rPr>
          <w:kern w:val="0"/>
        </w:rPr>
        <w:t xml:space="preserve"> and </w:t>
      </w:r>
      <w:r>
        <w:rPr>
          <w:kern w:val="0"/>
        </w:rPr>
        <w:t>adolescents who have been sexually abused,</w:t>
      </w:r>
      <w:r w:rsidR="005853A9">
        <w:rPr>
          <w:kern w:val="0"/>
        </w:rPr>
        <w:t xml:space="preserve"> and </w:t>
      </w:r>
      <w:r>
        <w:rPr>
          <w:kern w:val="0"/>
        </w:rPr>
        <w:t>psychoanalytic/psychodynamic psychotherapy has a long-established tradition</w:t>
      </w:r>
      <w:r w:rsidR="00427468">
        <w:rPr>
          <w:kern w:val="0"/>
        </w:rPr>
        <w:t xml:space="preserve"> of </w:t>
      </w:r>
      <w:r>
        <w:rPr>
          <w:kern w:val="0"/>
        </w:rPr>
        <w:t>being used for such victims. In this review, we set out to find the evidence for its effectiveness specifically in children</w:t>
      </w:r>
      <w:r w:rsidR="005853A9">
        <w:rPr>
          <w:kern w:val="0"/>
        </w:rPr>
        <w:t xml:space="preserve"> and </w:t>
      </w:r>
      <w:r>
        <w:rPr>
          <w:kern w:val="0"/>
        </w:rPr>
        <w:t>adolescents who have been sexually abused. Objectives To assess the effectiveness</w:t>
      </w:r>
      <w:r w:rsidR="00427468">
        <w:rPr>
          <w:kern w:val="0"/>
        </w:rPr>
        <w:t xml:space="preserve"> of </w:t>
      </w:r>
      <w:r>
        <w:rPr>
          <w:kern w:val="0"/>
        </w:rPr>
        <w:t>psychoanalytic/psychodynamic psychotherapy for children</w:t>
      </w:r>
      <w:r w:rsidR="005853A9">
        <w:rPr>
          <w:kern w:val="0"/>
        </w:rPr>
        <w:t xml:space="preserve"> and </w:t>
      </w:r>
      <w:r>
        <w:rPr>
          <w:kern w:val="0"/>
        </w:rPr>
        <w:t xml:space="preserve">adolescents who have been sexually abused. Search methods We searched the following databases in May 2013: CENTRAL, Ovid </w:t>
      </w:r>
      <w:r w:rsidR="00D5664A">
        <w:rPr>
          <w:kern w:val="0"/>
        </w:rPr>
        <w:t>MEDLINE</w:t>
      </w:r>
      <w:r>
        <w:rPr>
          <w:kern w:val="0"/>
        </w:rPr>
        <w:t>, Embase, PsycINFO, CINAHL, Sociological Abstracts, Social Science Citation Index, Conference Proceedings Citation Index - Social Science</w:t>
      </w:r>
      <w:r w:rsidR="005853A9">
        <w:rPr>
          <w:kern w:val="0"/>
        </w:rPr>
        <w:t xml:space="preserve"> and </w:t>
      </w:r>
      <w:r>
        <w:rPr>
          <w:kern w:val="0"/>
        </w:rPr>
        <w:t>Humanities, LILACS</w:t>
      </w:r>
      <w:r w:rsidR="005853A9">
        <w:rPr>
          <w:kern w:val="0"/>
        </w:rPr>
        <w:t xml:space="preserve"> and </w:t>
      </w:r>
      <w:r>
        <w:rPr>
          <w:kern w:val="0"/>
        </w:rPr>
        <w:t>World Cat. We also searched three trials registers, checked the reference lists</w:t>
      </w:r>
      <w:r w:rsidR="00427468">
        <w:rPr>
          <w:kern w:val="0"/>
        </w:rPr>
        <w:t xml:space="preserve"> of </w:t>
      </w:r>
      <w:r>
        <w:rPr>
          <w:kern w:val="0"/>
        </w:rPr>
        <w:t>relevant studies</w:t>
      </w:r>
      <w:r w:rsidR="005853A9">
        <w:rPr>
          <w:kern w:val="0"/>
        </w:rPr>
        <w:t xml:space="preserve"> and </w:t>
      </w:r>
      <w:r>
        <w:rPr>
          <w:kern w:val="0"/>
        </w:rPr>
        <w:t>contacted known experts. Selection criteria Randomised</w:t>
      </w:r>
      <w:r w:rsidR="005853A9">
        <w:rPr>
          <w:kern w:val="0"/>
        </w:rPr>
        <w:t xml:space="preserve"> and </w:t>
      </w:r>
      <w:r>
        <w:rPr>
          <w:kern w:val="0"/>
        </w:rPr>
        <w:t>quasi-randomised trials comparing psychoanalytic/psychodynamic psychotherapy with treatment as usual or no treatment/waiting list control for children</w:t>
      </w:r>
      <w:r w:rsidR="005853A9">
        <w:rPr>
          <w:kern w:val="0"/>
        </w:rPr>
        <w:t xml:space="preserve"> and </w:t>
      </w:r>
      <w:r>
        <w:rPr>
          <w:kern w:val="0"/>
        </w:rPr>
        <w:t>adolescents up to age</w:t>
      </w:r>
      <w:r w:rsidR="00427468">
        <w:rPr>
          <w:kern w:val="0"/>
        </w:rPr>
        <w:t xml:space="preserve"> of </w:t>
      </w:r>
      <w:r>
        <w:rPr>
          <w:kern w:val="0"/>
        </w:rPr>
        <w:t>18 who had experienced sexual abuse at any time prior to the intervention. Data collection</w:t>
      </w:r>
      <w:r w:rsidR="005853A9">
        <w:rPr>
          <w:kern w:val="0"/>
        </w:rPr>
        <w:t xml:space="preserve"> and </w:t>
      </w:r>
      <w:r>
        <w:rPr>
          <w:kern w:val="0"/>
        </w:rPr>
        <w:t>analysis The review authors (BP</w:t>
      </w:r>
      <w:r w:rsidR="005853A9">
        <w:rPr>
          <w:kern w:val="0"/>
        </w:rPr>
        <w:t xml:space="preserve"> and </w:t>
      </w:r>
      <w:r>
        <w:rPr>
          <w:kern w:val="0"/>
        </w:rPr>
        <w:t>WT) independently screened search results to identify studies that met eligibility criteria. Main results No studies were identified that met the inclusion criteria for this review. Authors</w:t>
      </w:r>
      <w:r w:rsidR="0071223E">
        <w:rPr>
          <w:kern w:val="0"/>
        </w:rPr>
        <w:t>’</w:t>
      </w:r>
      <w:r>
        <w:rPr>
          <w:kern w:val="0"/>
        </w:rPr>
        <w:t xml:space="preserve"> conclusions There are no randomised</w:t>
      </w:r>
      <w:r w:rsidR="005853A9">
        <w:rPr>
          <w:kern w:val="0"/>
        </w:rPr>
        <w:t xml:space="preserve"> and </w:t>
      </w:r>
      <w:r>
        <w:rPr>
          <w:kern w:val="0"/>
        </w:rPr>
        <w:t>quasi-randomised trials that compare psychoanalytic/psychodynamic therapy with treatment as usual, no treatment or waiting list control for children</w:t>
      </w:r>
      <w:r w:rsidR="005853A9">
        <w:rPr>
          <w:kern w:val="0"/>
        </w:rPr>
        <w:t xml:space="preserve"> and </w:t>
      </w:r>
      <w:r>
        <w:rPr>
          <w:kern w:val="0"/>
        </w:rPr>
        <w:t>adolescents who have been sexually abused. As a result, we cannot draw any conclusions as to the effectiveness</w:t>
      </w:r>
      <w:r w:rsidR="00427468">
        <w:rPr>
          <w:kern w:val="0"/>
        </w:rPr>
        <w:t xml:space="preserve"> of </w:t>
      </w:r>
      <w:r>
        <w:rPr>
          <w:kern w:val="0"/>
        </w:rPr>
        <w:t>psychoanalytic/psychodynamic psychotherapy for this population. This important gap emphasises the need for further research into the effectiveness</w:t>
      </w:r>
      <w:r w:rsidR="00427468">
        <w:rPr>
          <w:kern w:val="0"/>
        </w:rPr>
        <w:t xml:space="preserve"> of </w:t>
      </w:r>
      <w:r>
        <w:rPr>
          <w:kern w:val="0"/>
        </w:rPr>
        <w:t xml:space="preserve">psychoanalytic/psychodynamic psychotherapy in this population. Such research </w:t>
      </w:r>
      <w:r>
        <w:rPr>
          <w:kern w:val="0"/>
        </w:rPr>
        <w:lastRenderedPageBreak/>
        <w:t>should ideally be in the form</w:t>
      </w:r>
      <w:r w:rsidR="00427468">
        <w:rPr>
          <w:kern w:val="0"/>
        </w:rPr>
        <w:t xml:space="preserve"> of </w:t>
      </w:r>
      <w:r>
        <w:rPr>
          <w:kern w:val="0"/>
        </w:rPr>
        <w:t>methodologically high-quality, large-scale randomised controlled trials. If these are not conducted, future systematic reviews on this subject may need to consider including other lower quality evidence in order to avoid overlooking important research.</w:t>
      </w:r>
    </w:p>
    <w:p w:rsidR="00365DE4" w:rsidRDefault="00365DE4" w:rsidP="00365DE4">
      <w:pPr>
        <w:pStyle w:val="a3"/>
        <w:rPr>
          <w:kern w:val="0"/>
        </w:rPr>
      </w:pPr>
      <w:r>
        <w:rPr>
          <w:kern w:val="0"/>
        </w:rPr>
        <w:t xml:space="preserve">Keywords: Abuse, Adolescents, Adult, Age, Analysis, Authors, Children, Citation, Collection, Conference, Control, Criteria, Data Collection, Databases, Effectiveness, Effects, Evidence, Experts, Humanities, Intervention, Interventions, Life, </w:t>
      </w:r>
      <w:r w:rsidR="00D5664A">
        <w:rPr>
          <w:kern w:val="0"/>
        </w:rPr>
        <w:t>MEDLINE</w:t>
      </w:r>
      <w:r>
        <w:rPr>
          <w:kern w:val="0"/>
        </w:rPr>
        <w:t>, Methods, Physical, Population, Psychotherapy, Psycinfo, Quality, Randomised, Randomised Controlled Trials, Reference, Reference Lists, Research, Review, Reviews, Science, Science Citation Index, Search, Sexual Abuse, Social, Social Science Citation Index, Systematic Reviews, Therapy, Treatment</w:t>
      </w:r>
    </w:p>
    <w:p w:rsidR="00365DE4" w:rsidRDefault="00365DE4" w:rsidP="00365DE4">
      <w:pPr>
        <w:pStyle w:val="a3"/>
        <w:rPr>
          <w:kern w:val="0"/>
        </w:rPr>
      </w:pPr>
      <w:r>
        <w:rPr>
          <w:kern w:val="0"/>
        </w:rPr>
        <w:t>? Clement, S., Lassman, F., Barley, E., Evans-Lacko, S., Williams, P., Yamaguchi, S., Slade, M., Rusch, N.</w:t>
      </w:r>
      <w:r w:rsidR="005853A9">
        <w:rPr>
          <w:kern w:val="0"/>
        </w:rPr>
        <w:t xml:space="preserve"> and </w:t>
      </w:r>
      <w:r>
        <w:rPr>
          <w:kern w:val="0"/>
        </w:rPr>
        <w:t xml:space="preserve">Thornicroft, G. (2013), Mass media interventions for reducing mental health-related stigma.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CD009453.</w:t>
      </w:r>
    </w:p>
    <w:p w:rsidR="00365DE4" w:rsidRDefault="00365DE4" w:rsidP="00365DE4">
      <w:pPr>
        <w:pStyle w:val="a3"/>
        <w:rPr>
          <w:kern w:val="2"/>
        </w:rPr>
      </w:pPr>
      <w:r>
        <w:t>Full Text: 2013\Coc Dat Sys Rev2013, CD009453.pdf</w:t>
      </w:r>
    </w:p>
    <w:p w:rsidR="00365DE4" w:rsidRDefault="00365DE4" w:rsidP="00365DE4">
      <w:pPr>
        <w:pStyle w:val="a3"/>
        <w:rPr>
          <w:kern w:val="0"/>
        </w:rPr>
      </w:pPr>
      <w:r>
        <w:rPr>
          <w:kern w:val="0"/>
        </w:rPr>
        <w:t>Abstract: Background Mental health-related stigma is widespread</w:t>
      </w:r>
      <w:r w:rsidR="005853A9">
        <w:rPr>
          <w:kern w:val="0"/>
        </w:rPr>
        <w:t xml:space="preserve"> and </w:t>
      </w:r>
      <w:r>
        <w:rPr>
          <w:kern w:val="0"/>
        </w:rPr>
        <w:t>has major adverse effects on the lives</w:t>
      </w:r>
      <w:r w:rsidR="00427468">
        <w:rPr>
          <w:kern w:val="0"/>
        </w:rPr>
        <w:t xml:space="preserve"> of </w:t>
      </w:r>
      <w:r>
        <w:rPr>
          <w:kern w:val="0"/>
        </w:rPr>
        <w:t>people with mental health problems. Its two major components are discrimination (being treated unfairly)</w:t>
      </w:r>
      <w:r w:rsidR="005853A9">
        <w:rPr>
          <w:kern w:val="0"/>
        </w:rPr>
        <w:t xml:space="preserve"> and </w:t>
      </w:r>
      <w:r>
        <w:rPr>
          <w:kern w:val="0"/>
        </w:rPr>
        <w:t>prejudice (stigmatising attitudes). Anti-stigma initiatives often include mass media interventions,</w:t>
      </w:r>
      <w:r w:rsidR="005853A9">
        <w:rPr>
          <w:kern w:val="0"/>
        </w:rPr>
        <w:t xml:space="preserve"> and </w:t>
      </w:r>
      <w:r>
        <w:rPr>
          <w:kern w:val="0"/>
        </w:rPr>
        <w:t>such interventions can be expensive. It is important to know if mass media interventions are effective. Objectives To assess the effects</w:t>
      </w:r>
      <w:r w:rsidR="00427468">
        <w:rPr>
          <w:kern w:val="0"/>
        </w:rPr>
        <w:t xml:space="preserve"> of </w:t>
      </w:r>
      <w:r>
        <w:rPr>
          <w:kern w:val="0"/>
        </w:rPr>
        <w:t>mass media interventions on reducing stigma (discrimination</w:t>
      </w:r>
      <w:r w:rsidR="005853A9">
        <w:rPr>
          <w:kern w:val="0"/>
        </w:rPr>
        <w:t xml:space="preserve"> and </w:t>
      </w:r>
      <w:r>
        <w:rPr>
          <w:kern w:val="0"/>
        </w:rPr>
        <w:t>prejudice) related to mental ill health compared to inactive controls,</w:t>
      </w:r>
      <w:r w:rsidR="005853A9">
        <w:rPr>
          <w:kern w:val="0"/>
        </w:rPr>
        <w:t xml:space="preserve"> and </w:t>
      </w:r>
      <w:r>
        <w:rPr>
          <w:kern w:val="0"/>
        </w:rPr>
        <w:t>to make comparisons</w:t>
      </w:r>
      <w:r w:rsidR="00427468">
        <w:rPr>
          <w:kern w:val="0"/>
        </w:rPr>
        <w:t xml:space="preserve"> of </w:t>
      </w:r>
      <w:r>
        <w:rPr>
          <w:kern w:val="0"/>
        </w:rPr>
        <w:t>effectiveness based on the nature</w:t>
      </w:r>
      <w:r w:rsidR="00427468">
        <w:rPr>
          <w:kern w:val="0"/>
        </w:rPr>
        <w:t xml:space="preserve"> of </w:t>
      </w:r>
      <w:r>
        <w:rPr>
          <w:kern w:val="0"/>
        </w:rPr>
        <w:t>the intervention (e. g. number</w:t>
      </w:r>
      <w:r w:rsidR="00427468">
        <w:rPr>
          <w:kern w:val="0"/>
        </w:rPr>
        <w:t xml:space="preserve"> of </w:t>
      </w:r>
      <w:r>
        <w:rPr>
          <w:kern w:val="0"/>
        </w:rPr>
        <w:t>mass media components), the content</w:t>
      </w:r>
      <w:r w:rsidR="00427468">
        <w:rPr>
          <w:kern w:val="0"/>
        </w:rPr>
        <w:t xml:space="preserve"> of </w:t>
      </w:r>
      <w:r>
        <w:rPr>
          <w:kern w:val="0"/>
        </w:rPr>
        <w:t>the intervention (e. g. type</w:t>
      </w:r>
      <w:r w:rsidR="00427468">
        <w:rPr>
          <w:kern w:val="0"/>
        </w:rPr>
        <w:t xml:space="preserve"> of </w:t>
      </w:r>
      <w:r>
        <w:rPr>
          <w:kern w:val="0"/>
        </w:rPr>
        <w:t>primary message),</w:t>
      </w:r>
      <w:r w:rsidR="005853A9">
        <w:rPr>
          <w:kern w:val="0"/>
        </w:rPr>
        <w:t xml:space="preserve"> and </w:t>
      </w:r>
      <w:r>
        <w:rPr>
          <w:kern w:val="0"/>
        </w:rPr>
        <w:t>the type</w:t>
      </w:r>
      <w:r w:rsidR="00427468">
        <w:rPr>
          <w:kern w:val="0"/>
        </w:rPr>
        <w:t xml:space="preserve"> of </w:t>
      </w:r>
      <w:r>
        <w:rPr>
          <w:kern w:val="0"/>
        </w:rPr>
        <w:t>media (e. g. print, internet). Search methods We searched eleven databases: the Cochrane Central Register</w:t>
      </w:r>
      <w:r w:rsidR="00427468">
        <w:rPr>
          <w:kern w:val="0"/>
        </w:rPr>
        <w:t xml:space="preserve"> of </w:t>
      </w:r>
      <w:r>
        <w:rPr>
          <w:kern w:val="0"/>
        </w:rPr>
        <w:t xml:space="preserve">Controlled Trials (CENTRAL, The Cochrane Library, Issue 7, 2011); </w:t>
      </w:r>
      <w:r w:rsidR="00D5664A">
        <w:rPr>
          <w:kern w:val="0"/>
        </w:rPr>
        <w:t>MEDLINE</w:t>
      </w:r>
      <w:r>
        <w:rPr>
          <w:kern w:val="0"/>
        </w:rPr>
        <w:t xml:space="preserve"> (OvidSP), 1966 to 15 August 2011; EMBASE (OvidSP), 1947 to 15 August 2011; PsycINFO (OvidSP), 1806 to 15 August 2011; CINAHL (EBSCOhost) 1981 to 16 August 2011; ERIC (CSA), 1966 to 16 August 2011; Social Science Citation Index (ISI), 1956 to 16 August 2011; OpenSIGLE (http://www.opengrey.eu/), 1980 to 18 August 2012; Worldcat Dissertations</w:t>
      </w:r>
      <w:r w:rsidR="005853A9">
        <w:rPr>
          <w:kern w:val="0"/>
        </w:rPr>
        <w:t xml:space="preserve"> and </w:t>
      </w:r>
      <w:r>
        <w:rPr>
          <w:kern w:val="0"/>
        </w:rPr>
        <w:t>Theses (OCLC), 1978 to 18 August 2011; metaRegister</w:t>
      </w:r>
      <w:r w:rsidR="00427468">
        <w:rPr>
          <w:kern w:val="0"/>
        </w:rPr>
        <w:t xml:space="preserve"> of </w:t>
      </w:r>
      <w:r>
        <w:rPr>
          <w:kern w:val="0"/>
        </w:rPr>
        <w:t>Controlled Trials (http://www.controlled-trials.com/mrct/mrct_about.asp), 1973 to 18 August 2011;</w:t>
      </w:r>
      <w:r w:rsidR="005853A9">
        <w:rPr>
          <w:kern w:val="0"/>
        </w:rPr>
        <w:t xml:space="preserve"> and </w:t>
      </w:r>
      <w:r>
        <w:rPr>
          <w:kern w:val="0"/>
        </w:rPr>
        <w:t>Ichushi (OCLC), 1903 to 11 November 2011. We checked references from articles</w:t>
      </w:r>
      <w:r w:rsidR="005853A9">
        <w:rPr>
          <w:kern w:val="0"/>
        </w:rPr>
        <w:t xml:space="preserve"> and </w:t>
      </w:r>
      <w:r>
        <w:rPr>
          <w:kern w:val="0"/>
        </w:rPr>
        <w:t>reviews,</w:t>
      </w:r>
      <w:r w:rsidR="005853A9">
        <w:rPr>
          <w:kern w:val="0"/>
        </w:rPr>
        <w:t xml:space="preserve"> and </w:t>
      </w:r>
      <w:r>
        <w:rPr>
          <w:kern w:val="0"/>
        </w:rPr>
        <w:t>citations from included studies. We also searched conference abstracts</w:t>
      </w:r>
      <w:r w:rsidR="005853A9">
        <w:rPr>
          <w:kern w:val="0"/>
        </w:rPr>
        <w:t xml:space="preserve"> and </w:t>
      </w:r>
      <w:r>
        <w:rPr>
          <w:kern w:val="0"/>
        </w:rPr>
        <w:t>websites,</w:t>
      </w:r>
      <w:r w:rsidR="005853A9">
        <w:rPr>
          <w:kern w:val="0"/>
        </w:rPr>
        <w:t xml:space="preserve"> and </w:t>
      </w:r>
      <w:r>
        <w:rPr>
          <w:kern w:val="0"/>
        </w:rPr>
        <w:t>contacted researchers. Selection criteria Randomised controlled trials (RCTs), cluster RCTs or interrupted time series studies</w:t>
      </w:r>
      <w:r w:rsidR="00427468">
        <w:rPr>
          <w:kern w:val="0"/>
        </w:rPr>
        <w:t xml:space="preserve"> </w:t>
      </w:r>
      <w:r w:rsidR="00427468">
        <w:rPr>
          <w:kern w:val="0"/>
        </w:rPr>
        <w:lastRenderedPageBreak/>
        <w:t xml:space="preserve">of </w:t>
      </w:r>
      <w:r>
        <w:rPr>
          <w:kern w:val="0"/>
        </w:rPr>
        <w:t>mass media interventions compared to inactive controls in members</w:t>
      </w:r>
      <w:r w:rsidR="00427468">
        <w:rPr>
          <w:kern w:val="0"/>
        </w:rPr>
        <w:t xml:space="preserve"> of </w:t>
      </w:r>
      <w:r>
        <w:rPr>
          <w:kern w:val="0"/>
        </w:rPr>
        <w:t>the general public or any</w:t>
      </w:r>
      <w:r w:rsidR="00427468">
        <w:rPr>
          <w:kern w:val="0"/>
        </w:rPr>
        <w:t xml:space="preserve"> of </w:t>
      </w:r>
      <w:r>
        <w:rPr>
          <w:kern w:val="0"/>
        </w:rPr>
        <w:t>its constituent groups (excluding studies in which all participants were people with mental health problems), with mental health as a subject</w:t>
      </w:r>
      <w:r w:rsidR="00427468">
        <w:rPr>
          <w:kern w:val="0"/>
        </w:rPr>
        <w:t xml:space="preserve"> of </w:t>
      </w:r>
      <w:r>
        <w:rPr>
          <w:kern w:val="0"/>
        </w:rPr>
        <w:t>the intervention</w:t>
      </w:r>
      <w:r w:rsidR="005853A9">
        <w:rPr>
          <w:kern w:val="0"/>
        </w:rPr>
        <w:t xml:space="preserve"> and </w:t>
      </w:r>
      <w:r>
        <w:rPr>
          <w:kern w:val="0"/>
        </w:rPr>
        <w:t>discrimination or prejudice outcome measures.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the risk</w:t>
      </w:r>
      <w:r w:rsidR="00427468">
        <w:rPr>
          <w:kern w:val="0"/>
        </w:rPr>
        <w:t xml:space="preserve"> of </w:t>
      </w:r>
      <w:r>
        <w:rPr>
          <w:kern w:val="0"/>
        </w:rPr>
        <w:t>bias</w:t>
      </w:r>
      <w:r w:rsidR="00427468">
        <w:rPr>
          <w:kern w:val="0"/>
        </w:rPr>
        <w:t xml:space="preserve"> of </w:t>
      </w:r>
      <w:r>
        <w:rPr>
          <w:kern w:val="0"/>
        </w:rPr>
        <w:t>included studies. We contacted study authors for missing information. Information about adverse effects was collected from study reports. Primary outcomes were discrimination</w:t>
      </w:r>
      <w:r w:rsidR="005853A9">
        <w:rPr>
          <w:kern w:val="0"/>
        </w:rPr>
        <w:t xml:space="preserve"> and </w:t>
      </w:r>
      <w:r>
        <w:rPr>
          <w:kern w:val="0"/>
        </w:rPr>
        <w:t>prejudice,</w:t>
      </w:r>
      <w:r w:rsidR="005853A9">
        <w:rPr>
          <w:kern w:val="0"/>
        </w:rPr>
        <w:t xml:space="preserve"> and </w:t>
      </w:r>
      <w:r>
        <w:rPr>
          <w:kern w:val="0"/>
        </w:rPr>
        <w:t>secondary outcomes were knowledge, cost, reach, recall,</w:t>
      </w:r>
      <w:r w:rsidR="005853A9">
        <w:rPr>
          <w:kern w:val="0"/>
        </w:rPr>
        <w:t xml:space="preserve"> and </w:t>
      </w:r>
      <w:r>
        <w:rPr>
          <w:kern w:val="0"/>
        </w:rPr>
        <w:t>awareness</w:t>
      </w:r>
      <w:r w:rsidR="00427468">
        <w:rPr>
          <w:kern w:val="0"/>
        </w:rPr>
        <w:t xml:space="preserve"> of </w:t>
      </w:r>
      <w:r>
        <w:rPr>
          <w:kern w:val="0"/>
        </w:rPr>
        <w:t>interventions, duration/sustainability</w:t>
      </w:r>
      <w:r w:rsidR="00427468">
        <w:rPr>
          <w:kern w:val="0"/>
        </w:rPr>
        <w:t xml:space="preserve"> of </w:t>
      </w:r>
      <w:r>
        <w:rPr>
          <w:kern w:val="0"/>
        </w:rPr>
        <w:t>media effects, audience reactions to media content,</w:t>
      </w:r>
      <w:r w:rsidR="005853A9">
        <w:rPr>
          <w:kern w:val="0"/>
        </w:rPr>
        <w:t xml:space="preserve"> and </w:t>
      </w:r>
      <w:r>
        <w:rPr>
          <w:kern w:val="0"/>
        </w:rPr>
        <w:t>unforeseen adverse effects. We calculated standardised mean differences</w:t>
      </w:r>
      <w:r w:rsidR="005853A9">
        <w:rPr>
          <w:kern w:val="0"/>
        </w:rPr>
        <w:t xml:space="preserve"> and </w:t>
      </w:r>
      <w:r>
        <w:rPr>
          <w:kern w:val="0"/>
        </w:rPr>
        <w:t>odds ratios. We conducted a primarily narrative synthesis due to the heterogeneity</w:t>
      </w:r>
      <w:r w:rsidR="00427468">
        <w:rPr>
          <w:kern w:val="0"/>
        </w:rPr>
        <w:t xml:space="preserve"> of </w:t>
      </w:r>
      <w:r>
        <w:rPr>
          <w:kern w:val="0"/>
        </w:rPr>
        <w:t>included studies. Subgroup analyses were undertaken to examine the effects</w:t>
      </w:r>
      <w:r w:rsidR="00427468">
        <w:rPr>
          <w:kern w:val="0"/>
        </w:rPr>
        <w:t xml:space="preserve"> of </w:t>
      </w:r>
      <w:r>
        <w:rPr>
          <w:kern w:val="0"/>
        </w:rPr>
        <w:t>the nature, content</w:t>
      </w:r>
      <w:r w:rsidR="005853A9">
        <w:rPr>
          <w:kern w:val="0"/>
        </w:rPr>
        <w:t xml:space="preserve"> and </w:t>
      </w:r>
      <w:r>
        <w:rPr>
          <w:kern w:val="0"/>
        </w:rPr>
        <w:t>type</w:t>
      </w:r>
      <w:r w:rsidR="00427468">
        <w:rPr>
          <w:kern w:val="0"/>
        </w:rPr>
        <w:t xml:space="preserve"> of </w:t>
      </w:r>
      <w:r>
        <w:rPr>
          <w:kern w:val="0"/>
        </w:rPr>
        <w:t>mass media intervention. Main results We included 22 studies involving 4490 participants. All were randomised trials (3 were cluster RCTs),</w:t>
      </w:r>
      <w:r w:rsidR="005853A9">
        <w:rPr>
          <w:kern w:val="0"/>
        </w:rPr>
        <w:t xml:space="preserve"> and </w:t>
      </w:r>
      <w:r>
        <w:rPr>
          <w:kern w:val="0"/>
        </w:rPr>
        <w:t>19</w:t>
      </w:r>
      <w:r w:rsidR="00427468">
        <w:rPr>
          <w:kern w:val="0"/>
        </w:rPr>
        <w:t xml:space="preserve"> of </w:t>
      </w:r>
      <w:r>
        <w:rPr>
          <w:kern w:val="0"/>
        </w:rPr>
        <w:t>the 22 studies had analysable outcome data. Seventeen</w:t>
      </w:r>
      <w:r w:rsidR="00427468">
        <w:rPr>
          <w:kern w:val="0"/>
        </w:rPr>
        <w:t xml:space="preserve"> of </w:t>
      </w:r>
      <w:r>
        <w:rPr>
          <w:kern w:val="0"/>
        </w:rPr>
        <w:t>the studies had student populations. Most</w:t>
      </w:r>
      <w:r w:rsidR="00427468">
        <w:rPr>
          <w:kern w:val="0"/>
        </w:rPr>
        <w:t xml:space="preserve"> of </w:t>
      </w:r>
      <w:r>
        <w:rPr>
          <w:kern w:val="0"/>
        </w:rPr>
        <w:t>the studies were at unclear or high risk</w:t>
      </w:r>
      <w:r w:rsidR="00427468">
        <w:rPr>
          <w:kern w:val="0"/>
        </w:rPr>
        <w:t xml:space="preserve"> of </w:t>
      </w:r>
      <w:r>
        <w:rPr>
          <w:kern w:val="0"/>
        </w:rPr>
        <w:t>bias for all forms</w:t>
      </w:r>
      <w:r w:rsidR="00427468">
        <w:rPr>
          <w:kern w:val="0"/>
        </w:rPr>
        <w:t xml:space="preserve"> of </w:t>
      </w:r>
      <w:r>
        <w:rPr>
          <w:kern w:val="0"/>
        </w:rPr>
        <w:t>bias except detection bias. Findings from the five trials with discrimination outcomes (n = 1196) were mixed, with effects showing a reduction, increase or consistent with no evidence</w:t>
      </w:r>
      <w:r w:rsidR="00427468">
        <w:rPr>
          <w:kern w:val="0"/>
        </w:rPr>
        <w:t xml:space="preserve"> of </w:t>
      </w:r>
      <w:r>
        <w:rPr>
          <w:kern w:val="0"/>
        </w:rPr>
        <w:t>effect</w:t>
      </w:r>
      <w:r w:rsidR="00A37C1D">
        <w:rPr>
          <w:kern w:val="0"/>
        </w:rPr>
        <w:t>. The</w:t>
      </w:r>
      <w:r>
        <w:rPr>
          <w:kern w:val="0"/>
        </w:rPr>
        <w:t xml:space="preserve"> median standardised mean difference (SMD) for the three trials (n = 394) with continuous outcomes was -0.25, with SMDs ranging from -0.85 (95% confidence interval (CI) -1.39 to -0.31) to -0.17 (95% CI -0.53 to 0.20). Odds ratios (OR) for the two studies (n = 802) with dichotomous discrimination outcomes showed no evidence</w:t>
      </w:r>
      <w:r w:rsidR="00427468">
        <w:rPr>
          <w:kern w:val="0"/>
        </w:rPr>
        <w:t xml:space="preserve"> of </w:t>
      </w:r>
      <w:r>
        <w:rPr>
          <w:kern w:val="0"/>
        </w:rPr>
        <w:t>effect: results were 1.30 (95% CI 0.53 to 3.19)</w:t>
      </w:r>
      <w:r w:rsidR="005853A9">
        <w:rPr>
          <w:kern w:val="0"/>
        </w:rPr>
        <w:t xml:space="preserve"> and </w:t>
      </w:r>
      <w:r>
        <w:rPr>
          <w:kern w:val="0"/>
        </w:rPr>
        <w:t>1.19 (95% CI 0.85 to 1.65)</w:t>
      </w:r>
      <w:r w:rsidR="00A37C1D">
        <w:rPr>
          <w:kern w:val="0"/>
        </w:rPr>
        <w:t>. The</w:t>
      </w:r>
      <w:r>
        <w:rPr>
          <w:kern w:val="0"/>
        </w:rPr>
        <w:t xml:space="preserve"> 19 trials (n = 3176) with prejudice outcomes had median SMDs favouring the intervention, at the three following time periods: -0.38 (immediate), -0.38 (1 week to 2 months)</w:t>
      </w:r>
      <w:r w:rsidR="005853A9">
        <w:rPr>
          <w:kern w:val="0"/>
        </w:rPr>
        <w:t xml:space="preserve"> and </w:t>
      </w:r>
      <w:r>
        <w:rPr>
          <w:kern w:val="0"/>
        </w:rPr>
        <w:t>-0.49 (6 to 9 months). SMDs for prejudice outcomes across all studies ranged from -2.94 (95% CI -3.52 to -2.37) to 2.40 (95% CI 0.62 to 4.18)</w:t>
      </w:r>
      <w:r w:rsidR="00A37C1D">
        <w:rPr>
          <w:kern w:val="0"/>
        </w:rPr>
        <w:t>. The</w:t>
      </w:r>
      <w:r>
        <w:rPr>
          <w:kern w:val="0"/>
        </w:rPr>
        <w:t xml:space="preserve"> median SMDs indicate that mass media interventions may have a small to medium effect in decreasing prejudice,</w:t>
      </w:r>
      <w:r w:rsidR="005853A9">
        <w:rPr>
          <w:kern w:val="0"/>
        </w:rPr>
        <w:t xml:space="preserve"> and </w:t>
      </w:r>
      <w:r>
        <w:rPr>
          <w:kern w:val="0"/>
        </w:rPr>
        <w:t>are equivalent to reducing the level</w:t>
      </w:r>
      <w:r w:rsidR="00427468">
        <w:rPr>
          <w:kern w:val="0"/>
        </w:rPr>
        <w:t xml:space="preserve"> of </w:t>
      </w:r>
      <w:r>
        <w:rPr>
          <w:kern w:val="0"/>
        </w:rPr>
        <w:t>prejudice from that associated with schizophrenia to that associated with major depression</w:t>
      </w:r>
      <w:r w:rsidR="00A37C1D">
        <w:rPr>
          <w:kern w:val="0"/>
        </w:rPr>
        <w:t>. The</w:t>
      </w:r>
      <w:r>
        <w:rPr>
          <w:kern w:val="0"/>
        </w:rPr>
        <w:t xml:space="preserve"> studies were very heterogeneous, statistically, in their populations, interventions</w:t>
      </w:r>
      <w:r w:rsidR="005853A9">
        <w:rPr>
          <w:kern w:val="0"/>
        </w:rPr>
        <w:t xml:space="preserve"> and </w:t>
      </w:r>
      <w:r>
        <w:rPr>
          <w:kern w:val="0"/>
        </w:rPr>
        <w:t>outcomes,</w:t>
      </w:r>
      <w:r w:rsidR="005853A9">
        <w:rPr>
          <w:kern w:val="0"/>
        </w:rPr>
        <w:t xml:space="preserve"> and </w:t>
      </w:r>
      <w:r>
        <w:rPr>
          <w:kern w:val="0"/>
        </w:rPr>
        <w:t>only two meta-analyses within two subgroups were warranted. Data on secondary outcomes were sparse. Cost data were provided on request for three studies (n = 416), were highly variable,</w:t>
      </w:r>
      <w:r w:rsidR="005853A9">
        <w:rPr>
          <w:kern w:val="0"/>
        </w:rPr>
        <w:t xml:space="preserve"> and </w:t>
      </w:r>
      <w:r>
        <w:rPr>
          <w:kern w:val="0"/>
        </w:rPr>
        <w:t>did not address cost-effectiveness. Two studies (n = 455) contained statements about adverse effects</w:t>
      </w:r>
      <w:r w:rsidR="005853A9">
        <w:rPr>
          <w:kern w:val="0"/>
        </w:rPr>
        <w:t xml:space="preserve"> and </w:t>
      </w:r>
      <w:r>
        <w:rPr>
          <w:kern w:val="0"/>
        </w:rPr>
        <w:t>neither reported finding any. Authors</w:t>
      </w:r>
      <w:r w:rsidR="0071223E">
        <w:rPr>
          <w:kern w:val="0"/>
        </w:rPr>
        <w:t>’</w:t>
      </w:r>
      <w:r>
        <w:rPr>
          <w:kern w:val="0"/>
        </w:rPr>
        <w:t xml:space="preserve"> conclusions Mass media interventions may reduce prejudice, but there is insufficient evidence to determine their effects on discrimination. Very little is known about costs, adverse effects or other outcomes. </w:t>
      </w:r>
      <w:r>
        <w:rPr>
          <w:kern w:val="0"/>
        </w:rPr>
        <w:lastRenderedPageBreak/>
        <w:t>Our review found few studies in middle-and low-income countries, or with employers or health professionals as the target group,</w:t>
      </w:r>
      <w:r w:rsidR="005853A9">
        <w:rPr>
          <w:kern w:val="0"/>
        </w:rPr>
        <w:t xml:space="preserve"> and </w:t>
      </w:r>
      <w:r>
        <w:rPr>
          <w:kern w:val="0"/>
        </w:rPr>
        <w:t>none targeted at children or adolescents</w:t>
      </w:r>
      <w:r w:rsidR="00A37C1D">
        <w:rPr>
          <w:kern w:val="0"/>
        </w:rPr>
        <w:t>. The</w:t>
      </w:r>
      <w:r>
        <w:rPr>
          <w:kern w:val="0"/>
        </w:rPr>
        <w:t xml:space="preserve"> findings are limited by the quality</w:t>
      </w:r>
      <w:r w:rsidR="00427468">
        <w:rPr>
          <w:kern w:val="0"/>
        </w:rPr>
        <w:t xml:space="preserve"> of </w:t>
      </w:r>
      <w:r>
        <w:rPr>
          <w:kern w:val="0"/>
        </w:rPr>
        <w:t>the evidence, which was low for the primary outcomes for discrimination</w:t>
      </w:r>
      <w:r w:rsidR="005853A9">
        <w:rPr>
          <w:kern w:val="0"/>
        </w:rPr>
        <w:t xml:space="preserve"> and </w:t>
      </w:r>
      <w:r>
        <w:rPr>
          <w:kern w:val="0"/>
        </w:rPr>
        <w:t>prejudice, low for adverse effects</w:t>
      </w:r>
      <w:r w:rsidR="005853A9">
        <w:rPr>
          <w:kern w:val="0"/>
        </w:rPr>
        <w:t xml:space="preserve"> and </w:t>
      </w:r>
      <w:r>
        <w:rPr>
          <w:kern w:val="0"/>
        </w:rPr>
        <w:t>very low for costs. More research is required to establish the effects</w:t>
      </w:r>
      <w:r w:rsidR="00427468">
        <w:rPr>
          <w:kern w:val="0"/>
        </w:rPr>
        <w:t xml:space="preserve"> of </w:t>
      </w:r>
      <w:r>
        <w:rPr>
          <w:kern w:val="0"/>
        </w:rPr>
        <w:t>mass media interventions on discrimination, to better understand which types</w:t>
      </w:r>
      <w:r w:rsidR="00427468">
        <w:rPr>
          <w:kern w:val="0"/>
        </w:rPr>
        <w:t xml:space="preserve"> of </w:t>
      </w:r>
      <w:r>
        <w:rPr>
          <w:kern w:val="0"/>
        </w:rPr>
        <w:t>mass media intervention work best, to provide evidence about cost-effectiveness,</w:t>
      </w:r>
      <w:r w:rsidR="005853A9">
        <w:rPr>
          <w:kern w:val="0"/>
        </w:rPr>
        <w:t xml:space="preserve"> and </w:t>
      </w:r>
      <w:r>
        <w:rPr>
          <w:kern w:val="0"/>
        </w:rPr>
        <w:t>to fill evidence gaps about types</w:t>
      </w:r>
      <w:r w:rsidR="00427468">
        <w:rPr>
          <w:kern w:val="0"/>
        </w:rPr>
        <w:t xml:space="preserve"> of </w:t>
      </w:r>
      <w:r>
        <w:rPr>
          <w:kern w:val="0"/>
        </w:rPr>
        <w:t>mass media not covered in this review. Such research should use robust methods, report data more consistently with reporting guidelines</w:t>
      </w:r>
      <w:r w:rsidR="005853A9">
        <w:rPr>
          <w:kern w:val="0"/>
        </w:rPr>
        <w:t xml:space="preserve"> and </w:t>
      </w:r>
      <w:r>
        <w:rPr>
          <w:kern w:val="0"/>
        </w:rPr>
        <w:t>be less reliant on student populations.</w:t>
      </w:r>
    </w:p>
    <w:p w:rsidR="00365DE4" w:rsidRDefault="00365DE4" w:rsidP="00365DE4">
      <w:pPr>
        <w:pStyle w:val="a3"/>
        <w:rPr>
          <w:kern w:val="0"/>
        </w:rPr>
      </w:pPr>
      <w:r>
        <w:rPr>
          <w:kern w:val="0"/>
        </w:rPr>
        <w:t>Keywords: Adolescents, Adverse Effects, Analyses, Analysis, Attitudes, Authors, Bias, Children, Citation, Citations, Cluster, Collection, Confidence, Cost, Cost Effectiveness, Cost-Effectiveness, Costs, Criteria, Data, Data Collection, Databases, Depression, Discrimination, Dissertations, Effectiveness, Effects, Embase, Evidence, Forms, General, Groups, Guidelines, Health, Health Professionals, Heterogeneity, Information, Interrupted Time Series, Interval, Intervention, Interventions</w:t>
      </w:r>
      <w:r w:rsidR="00D5664A">
        <w:rPr>
          <w:kern w:val="0"/>
        </w:rPr>
        <w:t>, ISI,</w:t>
      </w:r>
      <w:r>
        <w:rPr>
          <w:kern w:val="0"/>
        </w:rPr>
        <w:t xml:space="preserve"> Knowledge, Mass Media, Media, </w:t>
      </w:r>
      <w:r w:rsidR="00D5664A">
        <w:rPr>
          <w:kern w:val="0"/>
        </w:rPr>
        <w:t>MEDLINE</w:t>
      </w:r>
      <w:r>
        <w:rPr>
          <w:kern w:val="0"/>
        </w:rPr>
        <w:t>, Mental Health, Methods, On Request, Outcome, Outcome Measures, Outcomes, Populations, Prejudice, Primary, Psycinfo, Public, Quality, Quality Of, Randomised, Randomised Controlled Trials, Recall, Reduction, References, Reporting, Research, Review, Reviews, Risk, Schizophrenia, Science, Science Citation Index, Search, Small, Social Science Citation Index, Stigma, Student, Synthesis, Theses, Time Series, Websites, Work</w:t>
      </w:r>
    </w:p>
    <w:p w:rsidR="00365DE4" w:rsidRDefault="00365DE4" w:rsidP="00365DE4">
      <w:pPr>
        <w:pStyle w:val="a3"/>
        <w:rPr>
          <w:kern w:val="0"/>
        </w:rPr>
      </w:pPr>
      <w:r>
        <w:rPr>
          <w:kern w:val="0"/>
        </w:rPr>
        <w:t>? Deng, J., Huo, D.M., Wu, Q.Y., Zhu, L.</w:t>
      </w:r>
      <w:r w:rsidR="005853A9">
        <w:rPr>
          <w:kern w:val="0"/>
        </w:rPr>
        <w:t xml:space="preserve"> and </w:t>
      </w:r>
      <w:r>
        <w:rPr>
          <w:kern w:val="0"/>
        </w:rPr>
        <w:t xml:space="preserve">Liao, Y.H. (2013), Xuebijing for paraquat poisoning.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CD010109.</w:t>
      </w:r>
    </w:p>
    <w:p w:rsidR="00365DE4" w:rsidRDefault="00365DE4" w:rsidP="00365DE4">
      <w:pPr>
        <w:pStyle w:val="a3"/>
        <w:rPr>
          <w:kern w:val="2"/>
        </w:rPr>
      </w:pPr>
      <w:r>
        <w:t>Full Text: 2013\Coc Dat Sys Rev2013, CD010109.pdf</w:t>
      </w:r>
    </w:p>
    <w:p w:rsidR="00365DE4" w:rsidRDefault="00365DE4" w:rsidP="00365DE4">
      <w:pPr>
        <w:pStyle w:val="a3"/>
        <w:rPr>
          <w:kern w:val="0"/>
        </w:rPr>
      </w:pPr>
      <w:r>
        <w:rPr>
          <w:kern w:val="0"/>
        </w:rPr>
        <w:t>Abstract: Background At present, there is a lack</w:t>
      </w:r>
      <w:r w:rsidR="00427468">
        <w:rPr>
          <w:kern w:val="0"/>
        </w:rPr>
        <w:t xml:space="preserve"> of </w:t>
      </w:r>
      <w:r>
        <w:rPr>
          <w:kern w:val="0"/>
        </w:rPr>
        <w:t>effective treatments for paraquat poisoning. Xuebijing injection is a complex traditional Chinese prescription consisting</w:t>
      </w:r>
      <w:r w:rsidR="00427468">
        <w:rPr>
          <w:kern w:val="0"/>
        </w:rPr>
        <w:t xml:space="preserve"> of </w:t>
      </w:r>
      <w:r>
        <w:rPr>
          <w:kern w:val="0"/>
        </w:rPr>
        <w:t>Flos Carthami, Radix Paeoniae Rubra, Rhizoma Chuanxiong, Radix Salviae Miltiorrhizae</w:t>
      </w:r>
      <w:r w:rsidR="005853A9">
        <w:rPr>
          <w:kern w:val="0"/>
        </w:rPr>
        <w:t xml:space="preserve"> and </w:t>
      </w:r>
      <w:r>
        <w:rPr>
          <w:kern w:val="0"/>
        </w:rPr>
        <w:t>Radix Angelicae Sinensis. Although clinical experience suggests that Xuebijing injection might have potential in the management</w:t>
      </w:r>
      <w:r w:rsidR="00427468">
        <w:rPr>
          <w:kern w:val="0"/>
        </w:rPr>
        <w:t xml:space="preserve"> of </w:t>
      </w:r>
      <w:r>
        <w:rPr>
          <w:kern w:val="0"/>
        </w:rPr>
        <w:t>paraquat poisoning, there is no conclusion on the effectiveness</w:t>
      </w:r>
      <w:r w:rsidR="00427468">
        <w:rPr>
          <w:kern w:val="0"/>
        </w:rPr>
        <w:t xml:space="preserve"> of </w:t>
      </w:r>
      <w:r>
        <w:rPr>
          <w:kern w:val="0"/>
        </w:rPr>
        <w:t>this treatment. Objectives To assess the effects</w:t>
      </w:r>
      <w:r w:rsidR="00427468">
        <w:rPr>
          <w:kern w:val="0"/>
        </w:rPr>
        <w:t xml:space="preserve"> of </w:t>
      </w:r>
      <w:r>
        <w:rPr>
          <w:kern w:val="0"/>
        </w:rPr>
        <w:t>Xuebijing injection in patients with paraquat poisoning. Search methods We searched the Cochrane Injuries Group</w:t>
      </w:r>
      <w:r w:rsidR="0071223E">
        <w:rPr>
          <w:kern w:val="0"/>
        </w:rPr>
        <w:t>’</w:t>
      </w:r>
      <w:r>
        <w:rPr>
          <w:kern w:val="0"/>
        </w:rPr>
        <w:t>s Specialised Register, the Cochrane Central Register</w:t>
      </w:r>
      <w:r w:rsidR="00427468">
        <w:rPr>
          <w:kern w:val="0"/>
        </w:rPr>
        <w:t xml:space="preserve"> of </w:t>
      </w:r>
      <w:r>
        <w:rPr>
          <w:kern w:val="0"/>
        </w:rPr>
        <w:t xml:space="preserve">Controlled Trials (CENTRAL, The Cochrane Library), </w:t>
      </w:r>
      <w:r w:rsidR="00D5664A">
        <w:rPr>
          <w:kern w:val="0"/>
        </w:rPr>
        <w:t>MEDLINE</w:t>
      </w:r>
      <w:r>
        <w:rPr>
          <w:kern w:val="0"/>
        </w:rPr>
        <w:t xml:space="preserve"> (OvidSP), EMBASE (OvidSP), CINAHL (EBSCO), ISI </w:t>
      </w:r>
      <w:r w:rsidR="00D5664A">
        <w:rPr>
          <w:kern w:val="0"/>
        </w:rPr>
        <w:t>Web</w:t>
      </w:r>
      <w:r w:rsidR="00427468">
        <w:rPr>
          <w:kern w:val="0"/>
        </w:rPr>
        <w:t xml:space="preserve"> of </w:t>
      </w:r>
      <w:r w:rsidR="00D5664A">
        <w:rPr>
          <w:kern w:val="0"/>
        </w:rPr>
        <w:t>Science</w:t>
      </w:r>
      <w:r>
        <w:rPr>
          <w:kern w:val="0"/>
        </w:rPr>
        <w:t xml:space="preserve">: Science Citation Index Expanded, ISI </w:t>
      </w:r>
      <w:r w:rsidR="00D5664A">
        <w:rPr>
          <w:kern w:val="0"/>
        </w:rPr>
        <w:t>Web</w:t>
      </w:r>
      <w:r w:rsidR="00427468">
        <w:rPr>
          <w:kern w:val="0"/>
        </w:rPr>
        <w:t xml:space="preserve"> of </w:t>
      </w:r>
      <w:r w:rsidR="00D5664A">
        <w:rPr>
          <w:kern w:val="0"/>
        </w:rPr>
        <w:t>Science</w:t>
      </w:r>
      <w:r>
        <w:rPr>
          <w:kern w:val="0"/>
        </w:rPr>
        <w:t>: Conference Proceedings Citation Index-Science, Chinese bio-medical literature</w:t>
      </w:r>
      <w:r w:rsidR="005853A9">
        <w:rPr>
          <w:kern w:val="0"/>
        </w:rPr>
        <w:t xml:space="preserve"> and </w:t>
      </w:r>
      <w:r>
        <w:rPr>
          <w:kern w:val="0"/>
        </w:rPr>
        <w:t>retrieval system (CBM), China National Knowledge Infrastructure Database (CNKI),</w:t>
      </w:r>
      <w:r w:rsidR="005853A9">
        <w:rPr>
          <w:kern w:val="0"/>
        </w:rPr>
        <w:t xml:space="preserve"> and </w:t>
      </w:r>
      <w:r>
        <w:rPr>
          <w:kern w:val="0"/>
        </w:rPr>
        <w:t xml:space="preserve">the Traditional </w:t>
      </w:r>
      <w:r>
        <w:rPr>
          <w:kern w:val="0"/>
        </w:rPr>
        <w:lastRenderedPageBreak/>
        <w:t>Chinese Medicine Database</w:t>
      </w:r>
      <w:r w:rsidR="00A37C1D">
        <w:rPr>
          <w:kern w:val="0"/>
        </w:rPr>
        <w:t>. The</w:t>
      </w:r>
      <w:r>
        <w:rPr>
          <w:kern w:val="0"/>
        </w:rPr>
        <w:t xml:space="preserve"> search was run on the 29th May 2013. Selection criteria We included all randomised controlled trials (RCTs) comparing Xuebijing injection combined with conventional care against conventional care alone. Data collection</w:t>
      </w:r>
      <w:r w:rsidR="005853A9">
        <w:rPr>
          <w:kern w:val="0"/>
        </w:rPr>
        <w:t xml:space="preserve"> and </w:t>
      </w:r>
      <w:r>
        <w:rPr>
          <w:kern w:val="0"/>
        </w:rPr>
        <w:t>analysis Two or three authors independently selected studies, assessed study quality</w:t>
      </w:r>
      <w:r w:rsidR="005853A9">
        <w:rPr>
          <w:kern w:val="0"/>
        </w:rPr>
        <w:t xml:space="preserve"> and </w:t>
      </w:r>
      <w:r>
        <w:rPr>
          <w:kern w:val="0"/>
        </w:rPr>
        <w:t>extracted data. We calculated the mortality risk ratio (RR)</w:t>
      </w:r>
      <w:r w:rsidR="005853A9">
        <w:rPr>
          <w:kern w:val="0"/>
        </w:rPr>
        <w:t xml:space="preserve"> and </w:t>
      </w:r>
      <w:r>
        <w:rPr>
          <w:kern w:val="0"/>
        </w:rPr>
        <w:t>95% confidence interval (CI). Data on all-cause mortality at the end</w:t>
      </w:r>
      <w:r w:rsidR="00427468">
        <w:rPr>
          <w:kern w:val="0"/>
        </w:rPr>
        <w:t xml:space="preserve"> of </w:t>
      </w:r>
      <w:r>
        <w:rPr>
          <w:kern w:val="0"/>
        </w:rPr>
        <w:t>follow-up were summarised in a meta-analysis. Main results We identified two trials including 84 people. Although there were fewer deaths in people treated with Xuebijing injection, meta-analysis showed that it did not provide a statistically significant benefit in reducing all-cause mortality in people with paraquat poisoning as compared to control (RR 0.71; 95% CI 0.48 to 1.04; P = 0.08). Authors</w:t>
      </w:r>
      <w:r w:rsidR="0071223E">
        <w:rPr>
          <w:kern w:val="0"/>
        </w:rPr>
        <w:t>’</w:t>
      </w:r>
      <w:r>
        <w:rPr>
          <w:kern w:val="0"/>
        </w:rPr>
        <w:t xml:space="preserve"> conclusions Based on the findings</w:t>
      </w:r>
      <w:r w:rsidR="00427468">
        <w:rPr>
          <w:kern w:val="0"/>
        </w:rPr>
        <w:t xml:space="preserve"> of </w:t>
      </w:r>
      <w:r>
        <w:rPr>
          <w:kern w:val="0"/>
        </w:rPr>
        <w:t>two small RCTs, Xuebijing injection did not have a statistically significant benefit on reducing all-cause mortality in people with paraquat poisoning. However, both included studies involved small numbers</w:t>
      </w:r>
      <w:r w:rsidR="00427468">
        <w:rPr>
          <w:kern w:val="0"/>
        </w:rPr>
        <w:t xml:space="preserve"> of </w:t>
      </w:r>
      <w:r>
        <w:rPr>
          <w:kern w:val="0"/>
        </w:rPr>
        <w:t>participants</w:t>
      </w:r>
      <w:r w:rsidR="005853A9">
        <w:rPr>
          <w:kern w:val="0"/>
        </w:rPr>
        <w:t xml:space="preserve"> and </w:t>
      </w:r>
      <w:r>
        <w:rPr>
          <w:kern w:val="0"/>
        </w:rPr>
        <w:t>were considered to be</w:t>
      </w:r>
      <w:r w:rsidR="00427468">
        <w:rPr>
          <w:kern w:val="0"/>
        </w:rPr>
        <w:t xml:space="preserve"> of </w:t>
      </w:r>
      <w:r>
        <w:rPr>
          <w:kern w:val="0"/>
        </w:rPr>
        <w:t>poor methodological quality</w:t>
      </w:r>
      <w:r w:rsidR="00A37C1D">
        <w:rPr>
          <w:kern w:val="0"/>
        </w:rPr>
        <w:t>. The</w:t>
      </w:r>
      <w:r>
        <w:rPr>
          <w:kern w:val="0"/>
        </w:rPr>
        <w:t xml:space="preserve"> results are imprecise</w:t>
      </w:r>
      <w:r w:rsidR="005853A9">
        <w:rPr>
          <w:kern w:val="0"/>
        </w:rPr>
        <w:t xml:space="preserve"> and </w:t>
      </w:r>
      <w:r>
        <w:rPr>
          <w:kern w:val="0"/>
        </w:rPr>
        <w:t>easily compatible with the play</w:t>
      </w:r>
      <w:r w:rsidR="00427468">
        <w:rPr>
          <w:kern w:val="0"/>
        </w:rPr>
        <w:t xml:space="preserve"> of </w:t>
      </w:r>
      <w:r>
        <w:rPr>
          <w:kern w:val="0"/>
        </w:rPr>
        <w:t>chance. Xuebijing injection may be effective for people with paraquat poisoning; however, this needs to be proven by further high-quality evidence.</w:t>
      </w:r>
    </w:p>
    <w:p w:rsidR="00365DE4" w:rsidRDefault="00365DE4" w:rsidP="00365DE4">
      <w:pPr>
        <w:pStyle w:val="a3"/>
        <w:rPr>
          <w:kern w:val="0"/>
        </w:rPr>
      </w:pPr>
      <w:r>
        <w:rPr>
          <w:kern w:val="0"/>
        </w:rPr>
        <w:t>Keywords: Analysis, Authors, Biomedical, Care, China, Chinese, Citation, Clinical, Clinical Experience, Collection, Conference, Confidence, Control, Conventional, Criteria, Data, Data Collection, Database, Effectiveness, Effects, Embase, Evidence, Experience, Follow-Up, Interval</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Knowledge, Literature, Management, Medicine, </w:t>
      </w:r>
      <w:r w:rsidR="00D5664A">
        <w:rPr>
          <w:kern w:val="0"/>
        </w:rPr>
        <w:t>MEDLINE</w:t>
      </w:r>
      <w:r>
        <w:rPr>
          <w:kern w:val="0"/>
        </w:rPr>
        <w:t xml:space="preserve">, Meta Analysis, Meta-Analysis, Metaanalysis, Methods, Mortality, Needs, P, Paraquat, Patients, Poisoning, Potential, Prescription, Quality, Randomised, Randomised Controlled Trials, Risk, Science, Science Citation Index, Science Citation Index Expanded, Search, Small, Treatment,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Ker, K., Beecher, D.</w:t>
      </w:r>
      <w:r w:rsidR="005853A9">
        <w:rPr>
          <w:kern w:val="0"/>
        </w:rPr>
        <w:t xml:space="preserve"> and </w:t>
      </w:r>
      <w:r>
        <w:rPr>
          <w:kern w:val="0"/>
        </w:rPr>
        <w:t>Roberts, I. (2013), Topical application</w:t>
      </w:r>
      <w:r w:rsidR="00427468">
        <w:rPr>
          <w:kern w:val="0"/>
        </w:rPr>
        <w:t xml:space="preserve"> of </w:t>
      </w:r>
      <w:r>
        <w:rPr>
          <w:kern w:val="0"/>
        </w:rPr>
        <w:t>tranexamic acid for the reduction</w:t>
      </w:r>
      <w:r w:rsidR="00427468">
        <w:rPr>
          <w:kern w:val="0"/>
        </w:rPr>
        <w:t xml:space="preserve"> of </w:t>
      </w:r>
      <w:r>
        <w:rPr>
          <w:kern w:val="0"/>
        </w:rPr>
        <w:t xml:space="preserve">bleeding.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7</w:t>
      </w:r>
      <w:r>
        <w:rPr>
          <w:kern w:val="0"/>
        </w:rPr>
        <w:t>, Article Number: CD010562.</w:t>
      </w:r>
    </w:p>
    <w:p w:rsidR="00365DE4" w:rsidRDefault="00365DE4" w:rsidP="00365DE4">
      <w:pPr>
        <w:pStyle w:val="a3"/>
        <w:rPr>
          <w:kern w:val="2"/>
        </w:rPr>
      </w:pPr>
      <w:r>
        <w:t>Full Text: 2013\Coc Dat Sys Rev2013, CD010562.pdf</w:t>
      </w:r>
    </w:p>
    <w:p w:rsidR="00365DE4" w:rsidRDefault="00365DE4" w:rsidP="00365DE4">
      <w:pPr>
        <w:pStyle w:val="a3"/>
        <w:rPr>
          <w:kern w:val="0"/>
        </w:rPr>
      </w:pPr>
      <w:r>
        <w:rPr>
          <w:kern w:val="0"/>
        </w:rPr>
        <w:t>Abstract: Background Intravenous tranexamic acid reduces bleeding in surgery, however, its effect on the risk</w:t>
      </w:r>
      <w:r w:rsidR="00427468">
        <w:rPr>
          <w:kern w:val="0"/>
        </w:rPr>
        <w:t xml:space="preserve"> of </w:t>
      </w:r>
      <w:r>
        <w:rPr>
          <w:kern w:val="0"/>
        </w:rPr>
        <w:t>thromboembolic events is uncertain</w:t>
      </w:r>
      <w:r w:rsidR="005853A9">
        <w:rPr>
          <w:kern w:val="0"/>
        </w:rPr>
        <w:t xml:space="preserve"> and </w:t>
      </w:r>
      <w:r>
        <w:rPr>
          <w:kern w:val="0"/>
        </w:rPr>
        <w:t>an increased risk remains a theoretical concern. Because there is less systemic absorption following topical administration, the direct application</w:t>
      </w:r>
      <w:r w:rsidR="00427468">
        <w:rPr>
          <w:kern w:val="0"/>
        </w:rPr>
        <w:t xml:space="preserve"> of </w:t>
      </w:r>
      <w:r>
        <w:rPr>
          <w:kern w:val="0"/>
        </w:rPr>
        <w:t>tranexamic acid to the bleeding surface has the potential to reduce bleeding with minimal systemic effects. Objectives To assess the effects</w:t>
      </w:r>
      <w:r w:rsidR="00427468">
        <w:rPr>
          <w:kern w:val="0"/>
        </w:rPr>
        <w:t xml:space="preserve"> of </w:t>
      </w:r>
      <w:r>
        <w:rPr>
          <w:kern w:val="0"/>
        </w:rPr>
        <w:t>the topical administration</w:t>
      </w:r>
      <w:r w:rsidR="00427468">
        <w:rPr>
          <w:kern w:val="0"/>
        </w:rPr>
        <w:t xml:space="preserve"> of </w:t>
      </w:r>
      <w:r>
        <w:rPr>
          <w:kern w:val="0"/>
        </w:rPr>
        <w:t>tranexamic acid in the control</w:t>
      </w:r>
      <w:r w:rsidR="00427468">
        <w:rPr>
          <w:kern w:val="0"/>
        </w:rPr>
        <w:t xml:space="preserve"> of </w:t>
      </w:r>
      <w:r>
        <w:rPr>
          <w:kern w:val="0"/>
        </w:rPr>
        <w:t>bleeding. Search methods We searched the Cochrane Injuries Group Specialised Register; Cochrane Central Register</w:t>
      </w:r>
      <w:r w:rsidR="00427468">
        <w:rPr>
          <w:kern w:val="0"/>
        </w:rPr>
        <w:t xml:space="preserve"> of </w:t>
      </w:r>
      <w:r>
        <w:rPr>
          <w:kern w:val="0"/>
        </w:rPr>
        <w:t xml:space="preserve">Controlled Trials (CENTRAL) in The Cochrane Library; Ovid </w:t>
      </w:r>
      <w:r w:rsidR="00D5664A">
        <w:rPr>
          <w:kern w:val="0"/>
        </w:rPr>
        <w:t>MEDLINE</w:t>
      </w:r>
      <w:r>
        <w:rPr>
          <w:kern w:val="0"/>
        </w:rPr>
        <w:t xml:space="preserve"> (R), Ovid </w:t>
      </w:r>
      <w:r w:rsidR="00D5664A">
        <w:rPr>
          <w:kern w:val="0"/>
        </w:rPr>
        <w:t>MEDLINE</w:t>
      </w:r>
      <w:r>
        <w:rPr>
          <w:kern w:val="0"/>
        </w:rPr>
        <w:t xml:space="preserve"> (R) </w:t>
      </w:r>
      <w:r>
        <w:rPr>
          <w:kern w:val="0"/>
        </w:rPr>
        <w:lastRenderedPageBreak/>
        <w:t xml:space="preserve">In-Process &amp; Other Non-Indexed Citations, Ovid </w:t>
      </w:r>
      <w:r w:rsidR="00D5664A">
        <w:rPr>
          <w:kern w:val="0"/>
        </w:rPr>
        <w:t>MEDLINE</w:t>
      </w:r>
      <w:r>
        <w:rPr>
          <w:kern w:val="0"/>
        </w:rPr>
        <w:t xml:space="preserve"> (R) Daily</w:t>
      </w:r>
      <w:r w:rsidR="005853A9">
        <w:rPr>
          <w:kern w:val="0"/>
        </w:rPr>
        <w:t xml:space="preserve"> and </w:t>
      </w:r>
      <w:r>
        <w:rPr>
          <w:kern w:val="0"/>
        </w:rPr>
        <w:t>Ovid OLD</w:t>
      </w:r>
      <w:r w:rsidR="00D5664A">
        <w:rPr>
          <w:kern w:val="0"/>
        </w:rPr>
        <w:t>MEDLINE</w:t>
      </w:r>
      <w:r>
        <w:rPr>
          <w:kern w:val="0"/>
        </w:rPr>
        <w:t xml:space="preserve"> (R); Embase Classic + Embase (OvidSP); PubMed</w:t>
      </w:r>
      <w:r w:rsidR="005853A9">
        <w:rPr>
          <w:kern w:val="0"/>
        </w:rPr>
        <w:t xml:space="preserve"> and </w:t>
      </w:r>
      <w:r>
        <w:rPr>
          <w:kern w:val="0"/>
        </w:rPr>
        <w:t xml:space="preserve">ISI </w:t>
      </w:r>
      <w:r w:rsidR="00D5664A">
        <w:rPr>
          <w:kern w:val="0"/>
        </w:rPr>
        <w:t>Web</w:t>
      </w:r>
      <w:r w:rsidR="00427468">
        <w:rPr>
          <w:kern w:val="0"/>
        </w:rPr>
        <w:t xml:space="preserve"> of </w:t>
      </w:r>
      <w:r w:rsidR="00D5664A">
        <w:rPr>
          <w:kern w:val="0"/>
        </w:rPr>
        <w:t>Science</w:t>
      </w:r>
      <w:r>
        <w:rPr>
          <w:kern w:val="0"/>
        </w:rPr>
        <w:t xml:space="preserve"> (including Science Citation Index Expanded</w:t>
      </w:r>
      <w:r w:rsidR="005853A9">
        <w:rPr>
          <w:kern w:val="0"/>
        </w:rPr>
        <w:t xml:space="preserve"> and </w:t>
      </w:r>
      <w:r>
        <w:rPr>
          <w:kern w:val="0"/>
        </w:rPr>
        <w:t>Social Science Citation Index (SCI-EXPANDED &amp; CPCI-S)). We also searched online trials registers to identify ongoing or unpublished trials</w:t>
      </w:r>
      <w:r w:rsidR="00A37C1D">
        <w:rPr>
          <w:kern w:val="0"/>
        </w:rPr>
        <w:t>. The</w:t>
      </w:r>
      <w:r>
        <w:rPr>
          <w:kern w:val="0"/>
        </w:rPr>
        <w:t xml:space="preserve"> search was run on the 31st May 2013. Selection criteria Randomised controlled trials comparing topical tranexamic acid with no topical tranexamic acid or placebo in bleeding patients. Data collection</w:t>
      </w:r>
      <w:r w:rsidR="005853A9">
        <w:rPr>
          <w:kern w:val="0"/>
        </w:rPr>
        <w:t xml:space="preserve"> and </w:t>
      </w:r>
      <w:r>
        <w:rPr>
          <w:kern w:val="0"/>
        </w:rPr>
        <w:t>analysis Two authors examined the titles</w:t>
      </w:r>
      <w:r w:rsidR="005853A9">
        <w:rPr>
          <w:kern w:val="0"/>
        </w:rPr>
        <w:t xml:space="preserve"> and </w:t>
      </w:r>
      <w:r>
        <w:rPr>
          <w:kern w:val="0"/>
        </w:rPr>
        <w:t>abstracts</w:t>
      </w:r>
      <w:r w:rsidR="00427468">
        <w:rPr>
          <w:kern w:val="0"/>
        </w:rPr>
        <w:t xml:space="preserve"> of </w:t>
      </w:r>
      <w:r>
        <w:rPr>
          <w:kern w:val="0"/>
        </w:rPr>
        <w:t>citations from the electronic databases for eligibility. Two authors extracted the data</w:t>
      </w:r>
      <w:r w:rsidR="005853A9">
        <w:rPr>
          <w:kern w:val="0"/>
        </w:rPr>
        <w:t xml:space="preserve"> and </w:t>
      </w:r>
      <w:r>
        <w:rPr>
          <w:kern w:val="0"/>
        </w:rPr>
        <w:t>assessed the risk</w:t>
      </w:r>
      <w:r w:rsidR="00427468">
        <w:rPr>
          <w:kern w:val="0"/>
        </w:rPr>
        <w:t xml:space="preserve"> of </w:t>
      </w:r>
      <w:r>
        <w:rPr>
          <w:kern w:val="0"/>
        </w:rPr>
        <w:t>bias for each trial. Outcome measures</w:t>
      </w:r>
      <w:r w:rsidR="00427468">
        <w:rPr>
          <w:kern w:val="0"/>
        </w:rPr>
        <w:t xml:space="preserve"> of </w:t>
      </w:r>
      <w:r>
        <w:rPr>
          <w:kern w:val="0"/>
        </w:rPr>
        <w:t>interest were blood loss, mortality, thromboembolic events (myocardial infarction, stroke, deep vein thrombosis</w:t>
      </w:r>
      <w:r w:rsidR="005853A9">
        <w:rPr>
          <w:kern w:val="0"/>
        </w:rPr>
        <w:t xml:space="preserve"> and </w:t>
      </w:r>
      <w:r>
        <w:rPr>
          <w:kern w:val="0"/>
        </w:rPr>
        <w:t>pulmonary embolism)</w:t>
      </w:r>
      <w:r w:rsidR="005853A9">
        <w:rPr>
          <w:kern w:val="0"/>
        </w:rPr>
        <w:t xml:space="preserve"> and </w:t>
      </w:r>
      <w:r>
        <w:rPr>
          <w:kern w:val="0"/>
        </w:rPr>
        <w:t>receipt</w:t>
      </w:r>
      <w:r w:rsidR="00427468">
        <w:rPr>
          <w:kern w:val="0"/>
        </w:rPr>
        <w:t xml:space="preserve"> of </w:t>
      </w:r>
      <w:r>
        <w:rPr>
          <w:kern w:val="0"/>
        </w:rPr>
        <w:t>a blood transfusion. Main results We included 29 trials involving 2612 participants. Twenty-eight trials involved patients undergoing surgery</w:t>
      </w:r>
      <w:r w:rsidR="005853A9">
        <w:rPr>
          <w:kern w:val="0"/>
        </w:rPr>
        <w:t xml:space="preserve"> and </w:t>
      </w:r>
      <w:r>
        <w:rPr>
          <w:kern w:val="0"/>
        </w:rPr>
        <w:t>one trial involved patients with epistaxis (nosebleed). Tranexamic acid (TXA) reduced blood loss by 29% (pooled ratio 0.71, 95% confidence interval (CI) 0.69 to 0.72; P &lt; 0.0001)</w:t>
      </w:r>
      <w:r w:rsidR="00A37C1D">
        <w:rPr>
          <w:kern w:val="0"/>
        </w:rPr>
        <w:t>. The</w:t>
      </w:r>
      <w:r>
        <w:rPr>
          <w:kern w:val="0"/>
        </w:rPr>
        <w:t>re was uncertainty regarding the effect on death (risk ratio (RR) 0.28, 95% CI 0.06 to 1.34; P = 0.11), myocardial infarction (RR 0.33, 95% CI 0.04 to 3.08; P = 0.33), stroke (RR 0.33, 95% CI 0.01 to 7.96; P = 0.49), deep vein thrombosis (RR 0.69, 95% CI 0.31 to 1.57; P = 0.38)</w:t>
      </w:r>
      <w:r w:rsidR="005853A9">
        <w:rPr>
          <w:kern w:val="0"/>
        </w:rPr>
        <w:t xml:space="preserve"> and </w:t>
      </w:r>
      <w:r>
        <w:rPr>
          <w:kern w:val="0"/>
        </w:rPr>
        <w:t>pulmonary embolism (RR 0.52, 95% CI 0.09 to 3.15; P = 0.48). TXA reduced the risk</w:t>
      </w:r>
      <w:r w:rsidR="00427468">
        <w:rPr>
          <w:kern w:val="0"/>
        </w:rPr>
        <w:t xml:space="preserve"> of </w:t>
      </w:r>
      <w:r>
        <w:rPr>
          <w:kern w:val="0"/>
        </w:rPr>
        <w:t>receiving a blood transfusion by a relative 45% (RR 0.55, 95% CI 0.55 to 0.46; P &lt; 0.0001)</w:t>
      </w:r>
      <w:r w:rsidR="00A37C1D">
        <w:rPr>
          <w:kern w:val="0"/>
        </w:rPr>
        <w:t>. The</w:t>
      </w:r>
      <w:r>
        <w:rPr>
          <w:kern w:val="0"/>
        </w:rPr>
        <w:t>re was substantial statistical heterogeneity between trials for the blood loss</w:t>
      </w:r>
      <w:r w:rsidR="005853A9">
        <w:rPr>
          <w:kern w:val="0"/>
        </w:rPr>
        <w:t xml:space="preserve"> and </w:t>
      </w:r>
      <w:r>
        <w:rPr>
          <w:kern w:val="0"/>
        </w:rPr>
        <w:t>blood transfusion outcomes. Authors</w:t>
      </w:r>
      <w:r w:rsidR="0071223E">
        <w:rPr>
          <w:kern w:val="0"/>
        </w:rPr>
        <w:t>’</w:t>
      </w:r>
      <w:r>
        <w:rPr>
          <w:kern w:val="0"/>
        </w:rPr>
        <w:t xml:space="preserve"> conclusions There is reliable evidence that topical application</w:t>
      </w:r>
      <w:r w:rsidR="00427468">
        <w:rPr>
          <w:kern w:val="0"/>
        </w:rPr>
        <w:t xml:space="preserve"> of </w:t>
      </w:r>
      <w:r>
        <w:rPr>
          <w:kern w:val="0"/>
        </w:rPr>
        <w:t>tranexamic acid reduces bleeding</w:t>
      </w:r>
      <w:r w:rsidR="005853A9">
        <w:rPr>
          <w:kern w:val="0"/>
        </w:rPr>
        <w:t xml:space="preserve"> and </w:t>
      </w:r>
      <w:r>
        <w:rPr>
          <w:kern w:val="0"/>
        </w:rPr>
        <w:t>blood transfusion in surgical patients, however the effect on the risk</w:t>
      </w:r>
      <w:r w:rsidR="00427468">
        <w:rPr>
          <w:kern w:val="0"/>
        </w:rPr>
        <w:t xml:space="preserve"> of </w:t>
      </w:r>
      <w:r>
        <w:rPr>
          <w:kern w:val="0"/>
        </w:rPr>
        <w:t>thromboembolic events is uncertain</w:t>
      </w:r>
      <w:r w:rsidR="00A37C1D">
        <w:rPr>
          <w:kern w:val="0"/>
        </w:rPr>
        <w:t>. The</w:t>
      </w:r>
      <w:r>
        <w:rPr>
          <w:kern w:val="0"/>
        </w:rPr>
        <w:t xml:space="preserve"> effects</w:t>
      </w:r>
      <w:r w:rsidR="00427468">
        <w:rPr>
          <w:kern w:val="0"/>
        </w:rPr>
        <w:t xml:space="preserve"> of </w:t>
      </w:r>
      <w:r>
        <w:rPr>
          <w:kern w:val="0"/>
        </w:rPr>
        <w:t>topical tranexamic acid in patients with bleeding from non-surgical causes has yet to be reliably assessed. Further high-quality trials are warranted to resolve these uncertainties before topical tranexamic acid can be recommended for routine use.</w:t>
      </w:r>
    </w:p>
    <w:p w:rsidR="00365DE4" w:rsidRDefault="00365DE4" w:rsidP="00365DE4">
      <w:pPr>
        <w:pStyle w:val="a3"/>
        <w:rPr>
          <w:kern w:val="0"/>
        </w:rPr>
      </w:pPr>
      <w:r>
        <w:rPr>
          <w:kern w:val="0"/>
        </w:rPr>
        <w:t>Keywords: Absorption, Administration, Analysis, Application, Authors, Bias, Bleeding, Blood, Blood Loss, Blood Transfusion, Citation, Citations, Collection, Confidence, Control, Criteria, Data, Data Collection, Databases, Death, Deep Vein Thrombosis, Effects, Embolism, Events, Evidence, Heterogeneity, Infarction, Interval</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 xml:space="preserve">, Methods, Mortality, Myocardial Infarction, Online, Outcomes, P, Patients, Placebo, Potential, Pubmed, Pulmonary Embolism, R, Randomised Controlled Trials, Reduction, Risk, Science, Science Citation Index, Science Citation Index Expanded, Search, Social Science Citation Index, Stroke, Surface, Surgery, Theoretical, Thrombosis, Topical, Transfusion, Trial, Uncertainties, Uncertainty, Vein Thrombosis,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lastRenderedPageBreak/>
        <w:t>? Jorge, E.C., Jorge, E.N.</w:t>
      </w:r>
      <w:r w:rsidR="005853A9">
        <w:rPr>
          <w:kern w:val="0"/>
        </w:rPr>
        <w:t xml:space="preserve"> and </w:t>
      </w:r>
      <w:r>
        <w:rPr>
          <w:kern w:val="0"/>
        </w:rPr>
        <w:t>El Dib, R.P. (2013), Early light reduction for preventing retinopathy</w:t>
      </w:r>
      <w:r w:rsidR="00427468">
        <w:rPr>
          <w:kern w:val="0"/>
        </w:rPr>
        <w:t xml:space="preserve"> of </w:t>
      </w:r>
      <w:r>
        <w:rPr>
          <w:kern w:val="0"/>
        </w:rPr>
        <w:t xml:space="preserve">prematurity in very low birth weight infants.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CD000122.</w:t>
      </w:r>
    </w:p>
    <w:p w:rsidR="00365DE4" w:rsidRDefault="00365DE4" w:rsidP="00365DE4">
      <w:pPr>
        <w:pStyle w:val="a3"/>
        <w:rPr>
          <w:kern w:val="2"/>
        </w:rPr>
      </w:pPr>
      <w:r>
        <w:t>Full Text: 2013\Coc Dat Sys Rev2013, CD000122.pdf</w:t>
      </w:r>
    </w:p>
    <w:p w:rsidR="00365DE4" w:rsidRDefault="00365DE4" w:rsidP="00365DE4">
      <w:pPr>
        <w:pStyle w:val="a3"/>
        <w:rPr>
          <w:kern w:val="0"/>
        </w:rPr>
      </w:pPr>
      <w:r>
        <w:rPr>
          <w:kern w:val="0"/>
        </w:rPr>
        <w:t>Abstract: Background Retinopathy</w:t>
      </w:r>
      <w:r w:rsidR="00427468">
        <w:rPr>
          <w:kern w:val="0"/>
        </w:rPr>
        <w:t xml:space="preserve"> of </w:t>
      </w:r>
      <w:r>
        <w:rPr>
          <w:kern w:val="0"/>
        </w:rPr>
        <w:t>prematurity (ROP) is a complex condition</w:t>
      </w:r>
      <w:r w:rsidR="00427468">
        <w:rPr>
          <w:kern w:val="0"/>
        </w:rPr>
        <w:t xml:space="preserve"> of </w:t>
      </w:r>
      <w:r>
        <w:rPr>
          <w:kern w:val="0"/>
        </w:rPr>
        <w:t>the developing retinal blood vessels</w:t>
      </w:r>
      <w:r w:rsidR="005853A9">
        <w:rPr>
          <w:kern w:val="0"/>
        </w:rPr>
        <w:t xml:space="preserve"> and </w:t>
      </w:r>
      <w:r>
        <w:rPr>
          <w:kern w:val="0"/>
        </w:rPr>
        <w:t>is one</w:t>
      </w:r>
      <w:r w:rsidR="00427468">
        <w:rPr>
          <w:kern w:val="0"/>
        </w:rPr>
        <w:t xml:space="preserve"> of </w:t>
      </w:r>
      <w:r>
        <w:rPr>
          <w:kern w:val="0"/>
        </w:rPr>
        <w:t>the leading causes</w:t>
      </w:r>
      <w:r w:rsidR="00427468">
        <w:rPr>
          <w:kern w:val="0"/>
        </w:rPr>
        <w:t xml:space="preserve"> of </w:t>
      </w:r>
      <w:r>
        <w:rPr>
          <w:kern w:val="0"/>
        </w:rPr>
        <w:t>preventable childhood blindness. Several risk factors for ROP have been studied over the past 50 years. Among them, general immaturity (low birth weight</w:t>
      </w:r>
      <w:r w:rsidR="005853A9">
        <w:rPr>
          <w:kern w:val="0"/>
        </w:rPr>
        <w:t xml:space="preserve"> and </w:t>
      </w:r>
      <w:r>
        <w:rPr>
          <w:kern w:val="0"/>
        </w:rPr>
        <w:t>low gestational age)</w:t>
      </w:r>
      <w:r w:rsidR="005853A9">
        <w:rPr>
          <w:kern w:val="0"/>
        </w:rPr>
        <w:t xml:space="preserve"> and </w:t>
      </w:r>
      <w:r>
        <w:rPr>
          <w:kern w:val="0"/>
        </w:rPr>
        <w:t>prolonged oxygen therapy have been consistently related to disease onset. However, it is understood that the progression</w:t>
      </w:r>
      <w:r w:rsidR="00427468">
        <w:rPr>
          <w:kern w:val="0"/>
        </w:rPr>
        <w:t xml:space="preserve"> of </w:t>
      </w:r>
      <w:r>
        <w:rPr>
          <w:kern w:val="0"/>
        </w:rPr>
        <w:t>the disease is multifactorial</w:t>
      </w:r>
      <w:r w:rsidR="005853A9">
        <w:rPr>
          <w:kern w:val="0"/>
        </w:rPr>
        <w:t xml:space="preserve"> and </w:t>
      </w:r>
      <w:r>
        <w:rPr>
          <w:kern w:val="0"/>
        </w:rPr>
        <w:t>may be associated with others risk factors, such as multiple gestation, apnoea, intracranial haemorrhage, anaemia, sepsis, prolonged mechanical ventilation, multiple transfusions</w:t>
      </w:r>
      <w:r w:rsidR="005853A9">
        <w:rPr>
          <w:kern w:val="0"/>
        </w:rPr>
        <w:t xml:space="preserve"> and </w:t>
      </w:r>
      <w:r>
        <w:rPr>
          <w:kern w:val="0"/>
        </w:rPr>
        <w:t>light exposure. Furthermore, the precise role</w:t>
      </w:r>
      <w:r w:rsidR="00427468">
        <w:rPr>
          <w:kern w:val="0"/>
        </w:rPr>
        <w:t xml:space="preserve"> of </w:t>
      </w:r>
      <w:r>
        <w:rPr>
          <w:kern w:val="0"/>
        </w:rPr>
        <w:t>these individual factors in the development</w:t>
      </w:r>
      <w:r w:rsidR="00427468">
        <w:rPr>
          <w:kern w:val="0"/>
        </w:rPr>
        <w:t xml:space="preserve"> of </w:t>
      </w:r>
      <w:r>
        <w:rPr>
          <w:kern w:val="0"/>
        </w:rPr>
        <w:t>the disease has not yet been well established. Objectives To determine whether the reduction</w:t>
      </w:r>
      <w:r w:rsidR="00427468">
        <w:rPr>
          <w:kern w:val="0"/>
        </w:rPr>
        <w:t xml:space="preserve"> of </w:t>
      </w:r>
      <w:r>
        <w:rPr>
          <w:kern w:val="0"/>
        </w:rPr>
        <w:t>early environmental light exposure reduces the incidence</w:t>
      </w:r>
      <w:r w:rsidR="00427468">
        <w:rPr>
          <w:kern w:val="0"/>
        </w:rPr>
        <w:t xml:space="preserve"> of </w:t>
      </w:r>
      <w:r>
        <w:rPr>
          <w:kern w:val="0"/>
        </w:rPr>
        <w:t>retinopathy</w:t>
      </w:r>
      <w:r w:rsidR="00427468">
        <w:rPr>
          <w:kern w:val="0"/>
        </w:rPr>
        <w:t xml:space="preserve"> of </w:t>
      </w:r>
      <w:r>
        <w:rPr>
          <w:kern w:val="0"/>
        </w:rPr>
        <w:t xml:space="preserve">prematurity (ROP) or poor ROP outcomes among very low birth weight infants. Search methods We searched the following databases: the Cochrane Neonatal Group Specialised Register, CENTRAL (The Cochrane Library), </w:t>
      </w:r>
      <w:r w:rsidR="00D5664A">
        <w:rPr>
          <w:kern w:val="0"/>
        </w:rPr>
        <w:t>MEDLINE</w:t>
      </w:r>
      <w:r>
        <w:rPr>
          <w:kern w:val="0"/>
        </w:rPr>
        <w:t>, EMBASE, CINAHL, HealthSTAR, Science Citation Index Database, CANCERLIT, the Oxford Database</w:t>
      </w:r>
      <w:r w:rsidR="00427468">
        <w:rPr>
          <w:kern w:val="0"/>
        </w:rPr>
        <w:t xml:space="preserve"> of </w:t>
      </w:r>
      <w:r>
        <w:rPr>
          <w:kern w:val="0"/>
        </w:rPr>
        <w:t>Perinatal Trials</w:t>
      </w:r>
      <w:r w:rsidR="005853A9">
        <w:rPr>
          <w:kern w:val="0"/>
        </w:rPr>
        <w:t xml:space="preserve"> and </w:t>
      </w:r>
      <w:r>
        <w:rPr>
          <w:kern w:val="0"/>
        </w:rPr>
        <w:t>www.clinicaltrials.gov. We also searched previous reviews including cross-references, abstracts, conference</w:t>
      </w:r>
      <w:r w:rsidR="005853A9">
        <w:rPr>
          <w:kern w:val="0"/>
        </w:rPr>
        <w:t xml:space="preserve"> and </w:t>
      </w:r>
      <w:r>
        <w:rPr>
          <w:kern w:val="0"/>
        </w:rPr>
        <w:t>symposia proceedings,</w:t>
      </w:r>
      <w:r w:rsidR="005853A9">
        <w:rPr>
          <w:kern w:val="0"/>
        </w:rPr>
        <w:t xml:space="preserve"> and </w:t>
      </w:r>
      <w:r>
        <w:rPr>
          <w:kern w:val="0"/>
        </w:rPr>
        <w:t>contacted expert informants. This search was updated in October 2012. Selection criteria Randomised or quasi-randomised controlled trials that reduced light exposure to premature infants within the first seven days following birth were considered for this review. We also considered cluster-randomised controlled trials. Data collection</w:t>
      </w:r>
      <w:r w:rsidR="005853A9">
        <w:rPr>
          <w:kern w:val="0"/>
        </w:rPr>
        <w:t xml:space="preserve"> and </w:t>
      </w:r>
      <w:r>
        <w:rPr>
          <w:kern w:val="0"/>
        </w:rPr>
        <w:t>analysis Data on clinical outcomes including any acute ROP</w:t>
      </w:r>
      <w:r w:rsidR="005853A9">
        <w:rPr>
          <w:kern w:val="0"/>
        </w:rPr>
        <w:t xml:space="preserve"> and </w:t>
      </w:r>
      <w:r>
        <w:rPr>
          <w:kern w:val="0"/>
        </w:rPr>
        <w:t>poor ROP outcome were extracted by both review authors independently</w:t>
      </w:r>
      <w:r w:rsidR="005853A9">
        <w:rPr>
          <w:kern w:val="0"/>
        </w:rPr>
        <w:t xml:space="preserve"> and </w:t>
      </w:r>
      <w:r>
        <w:rPr>
          <w:kern w:val="0"/>
        </w:rPr>
        <w:t>consensus reached. We conducted data analysis according to the standards</w:t>
      </w:r>
      <w:r w:rsidR="00427468">
        <w:rPr>
          <w:kern w:val="0"/>
        </w:rPr>
        <w:t xml:space="preserve"> of </w:t>
      </w:r>
      <w:r>
        <w:rPr>
          <w:kern w:val="0"/>
        </w:rPr>
        <w:t>the Cochrane Neonatal Review Group. Main results Data from four randomised trials with a total</w:t>
      </w:r>
      <w:r w:rsidR="00427468">
        <w:rPr>
          <w:kern w:val="0"/>
        </w:rPr>
        <w:t xml:space="preserve"> of </w:t>
      </w:r>
      <w:r>
        <w:rPr>
          <w:kern w:val="0"/>
        </w:rPr>
        <w:t>897 participants failed to show any reduction in acute ROP or poor ROP outcome with the reduction</w:t>
      </w:r>
      <w:r w:rsidR="00427468">
        <w:rPr>
          <w:kern w:val="0"/>
        </w:rPr>
        <w:t xml:space="preserve"> of </w:t>
      </w:r>
      <w:r>
        <w:rPr>
          <w:kern w:val="0"/>
        </w:rPr>
        <w:t>ambient light to premature infants</w:t>
      </w:r>
      <w:r w:rsidR="0071223E">
        <w:rPr>
          <w:kern w:val="0"/>
        </w:rPr>
        <w:t>’</w:t>
      </w:r>
      <w:r>
        <w:rPr>
          <w:kern w:val="0"/>
        </w:rPr>
        <w:t xml:space="preserve"> retinas</w:t>
      </w:r>
      <w:r w:rsidR="00A37C1D">
        <w:rPr>
          <w:kern w:val="0"/>
        </w:rPr>
        <w:t>. The</w:t>
      </w:r>
      <w:r>
        <w:rPr>
          <w:kern w:val="0"/>
        </w:rPr>
        <w:t xml:space="preserve"> overall methodological quality</w:t>
      </w:r>
      <w:r w:rsidR="00427468">
        <w:rPr>
          <w:kern w:val="0"/>
        </w:rPr>
        <w:t xml:space="preserve"> of </w:t>
      </w:r>
      <w:r>
        <w:rPr>
          <w:kern w:val="0"/>
        </w:rPr>
        <w:t>the included studies was about evenly split between those in which the classification was unclear</w:t>
      </w:r>
      <w:r w:rsidR="005853A9">
        <w:rPr>
          <w:kern w:val="0"/>
        </w:rPr>
        <w:t xml:space="preserve"> and </w:t>
      </w:r>
      <w:r>
        <w:rPr>
          <w:kern w:val="0"/>
        </w:rPr>
        <w:t>those in which the studies were categorised as low risk</w:t>
      </w:r>
      <w:r w:rsidR="00427468">
        <w:rPr>
          <w:kern w:val="0"/>
        </w:rPr>
        <w:t xml:space="preserve"> of </w:t>
      </w:r>
      <w:r>
        <w:rPr>
          <w:kern w:val="0"/>
        </w:rPr>
        <w:t>bias</w:t>
      </w:r>
      <w:r w:rsidR="00A37C1D">
        <w:rPr>
          <w:kern w:val="0"/>
        </w:rPr>
        <w:t>. The</w:t>
      </w:r>
      <w:r>
        <w:rPr>
          <w:kern w:val="0"/>
        </w:rPr>
        <w:t>re was no report on the secondary outcomes considered in this review: quality</w:t>
      </w:r>
      <w:r w:rsidR="00427468">
        <w:rPr>
          <w:kern w:val="0"/>
        </w:rPr>
        <w:t xml:space="preserve"> of </w:t>
      </w:r>
      <w:r>
        <w:rPr>
          <w:kern w:val="0"/>
        </w:rPr>
        <w:t>life measures;</w:t>
      </w:r>
      <w:r w:rsidR="005853A9">
        <w:rPr>
          <w:kern w:val="0"/>
        </w:rPr>
        <w:t xml:space="preserve"> and </w:t>
      </w:r>
      <w:r>
        <w:rPr>
          <w:kern w:val="0"/>
        </w:rPr>
        <w:t>time</w:t>
      </w:r>
      <w:r w:rsidR="00427468">
        <w:rPr>
          <w:kern w:val="0"/>
        </w:rPr>
        <w:t xml:space="preserve"> of </w:t>
      </w:r>
      <w:r>
        <w:rPr>
          <w:kern w:val="0"/>
        </w:rPr>
        <w:t>exposure to oxygen. Authors</w:t>
      </w:r>
      <w:r w:rsidR="0071223E">
        <w:rPr>
          <w:kern w:val="0"/>
        </w:rPr>
        <w:t>’</w:t>
      </w:r>
      <w:r>
        <w:rPr>
          <w:kern w:val="0"/>
        </w:rPr>
        <w:t xml:space="preserve"> conclusions The evidence shows that bright light is not the cause</w:t>
      </w:r>
      <w:r w:rsidR="00427468">
        <w:rPr>
          <w:kern w:val="0"/>
        </w:rPr>
        <w:t xml:space="preserve"> of </w:t>
      </w:r>
      <w:r>
        <w:rPr>
          <w:kern w:val="0"/>
        </w:rPr>
        <w:t>retinopathy</w:t>
      </w:r>
      <w:r w:rsidR="00427468">
        <w:rPr>
          <w:kern w:val="0"/>
        </w:rPr>
        <w:t xml:space="preserve"> of </w:t>
      </w:r>
      <w:r>
        <w:rPr>
          <w:kern w:val="0"/>
        </w:rPr>
        <w:t>prematurity</w:t>
      </w:r>
      <w:r w:rsidR="005853A9">
        <w:rPr>
          <w:kern w:val="0"/>
        </w:rPr>
        <w:t xml:space="preserve"> and </w:t>
      </w:r>
      <w:r>
        <w:rPr>
          <w:kern w:val="0"/>
        </w:rPr>
        <w:t>that the reduction</w:t>
      </w:r>
      <w:r w:rsidR="00427468">
        <w:rPr>
          <w:kern w:val="0"/>
        </w:rPr>
        <w:t xml:space="preserve"> of </w:t>
      </w:r>
      <w:r>
        <w:rPr>
          <w:kern w:val="0"/>
        </w:rPr>
        <w:t>exposure</w:t>
      </w:r>
      <w:r w:rsidR="00427468">
        <w:rPr>
          <w:kern w:val="0"/>
        </w:rPr>
        <w:t xml:space="preserve"> of </w:t>
      </w:r>
      <w:r>
        <w:rPr>
          <w:kern w:val="0"/>
        </w:rPr>
        <w:t>the retinas</w:t>
      </w:r>
      <w:r w:rsidR="00427468">
        <w:rPr>
          <w:kern w:val="0"/>
        </w:rPr>
        <w:t xml:space="preserve"> of </w:t>
      </w:r>
      <w:r>
        <w:rPr>
          <w:kern w:val="0"/>
        </w:rPr>
        <w:t>premature infants to light has no effect on the incidence</w:t>
      </w:r>
      <w:r w:rsidR="00427468">
        <w:rPr>
          <w:kern w:val="0"/>
        </w:rPr>
        <w:t xml:space="preserve"> of </w:t>
      </w:r>
      <w:r>
        <w:rPr>
          <w:kern w:val="0"/>
        </w:rPr>
        <w:t>the disease.</w:t>
      </w:r>
    </w:p>
    <w:p w:rsidR="00365DE4" w:rsidRDefault="00365DE4" w:rsidP="00365DE4">
      <w:pPr>
        <w:pStyle w:val="a3"/>
        <w:rPr>
          <w:kern w:val="0"/>
        </w:rPr>
      </w:pPr>
      <w:r>
        <w:rPr>
          <w:kern w:val="0"/>
        </w:rPr>
        <w:lastRenderedPageBreak/>
        <w:t xml:space="preserve">Keywords: Age, Anaemia, Analysis, Authors, Bias, Birth, Birth Weight, Blood, Childhood, Citation, Classification, Clinical, Clinical Outcomes, Collection, Consensus, Controlled Clinical-Trial, Criteria, Data, Data Analysis, Data Collection, Database, Databases, Developing, Development, Disease, Efficacy, Embase, Environmental, Evidence, Exposure, First, General, Gestation, Gestational, Gestational Age, Haemorrhage, Humans, Incidence, Infant, Premature, Infant, Very Low Birth Weight, Infant, Newborn, Infants, Informants, Intracranial Haemorrhage, Life, Lighting, Low Birth Weight, Low Risk, Mechanical Ventilation, </w:t>
      </w:r>
      <w:r w:rsidR="00D5664A">
        <w:rPr>
          <w:kern w:val="0"/>
        </w:rPr>
        <w:t>MEDLINE</w:t>
      </w:r>
      <w:r>
        <w:rPr>
          <w:kern w:val="0"/>
        </w:rPr>
        <w:t>, Methods, Multiple Gestation, Onset, Outcome, Outcomes, Oxygen, Oxygen-Induced Retinopathy, Premature, Premature Infants, Prematurity, Progression, Prolonged, Quality, Quality Of, Quality</w:t>
      </w:r>
      <w:r w:rsidR="00427468">
        <w:rPr>
          <w:kern w:val="0"/>
        </w:rPr>
        <w:t xml:space="preserve"> of </w:t>
      </w:r>
      <w:r>
        <w:rPr>
          <w:kern w:val="0"/>
        </w:rPr>
        <w:t>Life, Randomised, Randomized Controlled Trials As Topic, Rat, Reduction, Retinopathy</w:t>
      </w:r>
      <w:r w:rsidR="00427468">
        <w:rPr>
          <w:kern w:val="0"/>
        </w:rPr>
        <w:t xml:space="preserve"> of </w:t>
      </w:r>
      <w:r>
        <w:rPr>
          <w:kern w:val="0"/>
        </w:rPr>
        <w:t>Prematurity, Retinopathy</w:t>
      </w:r>
      <w:r w:rsidR="00427468">
        <w:rPr>
          <w:kern w:val="0"/>
        </w:rPr>
        <w:t xml:space="preserve"> of </w:t>
      </w:r>
      <w:r>
        <w:rPr>
          <w:kern w:val="0"/>
        </w:rPr>
        <w:t>Prematurity [Prevention &amp; Control], Review, Reviews, Risk, Risk Factors, Role, Science, Science Citation Index, Search, Sepsis, Standards, Therapy, Ventilation, Very Low Birth Weight</w:t>
      </w:r>
    </w:p>
    <w:p w:rsidR="00365DE4" w:rsidRDefault="00365DE4" w:rsidP="00365DE4">
      <w:pPr>
        <w:pStyle w:val="a3"/>
        <w:rPr>
          <w:kern w:val="0"/>
        </w:rPr>
      </w:pPr>
      <w:r>
        <w:rPr>
          <w:kern w:val="0"/>
        </w:rPr>
        <w:t>? Gur</w:t>
      </w:r>
      <w:r w:rsidR="00D5664A">
        <w:rPr>
          <w:kern w:val="0"/>
        </w:rPr>
        <w:t>USA</w:t>
      </w:r>
      <w:r>
        <w:rPr>
          <w:kern w:val="0"/>
        </w:rPr>
        <w:t>my, K.S., Koti, R.</w:t>
      </w:r>
      <w:r w:rsidR="005853A9">
        <w:rPr>
          <w:kern w:val="0"/>
        </w:rPr>
        <w:t xml:space="preserve"> and </w:t>
      </w:r>
      <w:r>
        <w:rPr>
          <w:kern w:val="0"/>
        </w:rPr>
        <w:t xml:space="preserve">Davidson, B.R. (2013), Abdominal lift for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CD006574.</w:t>
      </w:r>
    </w:p>
    <w:p w:rsidR="00365DE4" w:rsidRDefault="00365DE4" w:rsidP="00365DE4">
      <w:pPr>
        <w:pStyle w:val="a3"/>
        <w:rPr>
          <w:kern w:val="2"/>
        </w:rPr>
      </w:pPr>
      <w:r>
        <w:t>Full Text: 2013\Coc Dat Sys Rev2013, CD006574.pdf</w:t>
      </w:r>
    </w:p>
    <w:p w:rsidR="00365DE4" w:rsidRDefault="00365DE4" w:rsidP="00365DE4">
      <w:pPr>
        <w:pStyle w:val="a3"/>
        <w:rPr>
          <w:kern w:val="0"/>
        </w:rPr>
      </w:pPr>
      <w:r>
        <w:rPr>
          <w:kern w:val="0"/>
        </w:rPr>
        <w:t>Abstract: Background Laparoscopic cholecystectomy (key-hole removal</w:t>
      </w:r>
      <w:r w:rsidR="00427468">
        <w:rPr>
          <w:kern w:val="0"/>
        </w:rPr>
        <w:t xml:space="preserve"> of </w:t>
      </w:r>
      <w:r>
        <w:rPr>
          <w:kern w:val="0"/>
        </w:rPr>
        <w:t>the gallbladder) is now the most often used method for treatment</w:t>
      </w:r>
      <w:r w:rsidR="00427468">
        <w:rPr>
          <w:kern w:val="0"/>
        </w:rPr>
        <w:t xml:space="preserve"> of </w:t>
      </w:r>
      <w:r>
        <w:rPr>
          <w:kern w:val="0"/>
        </w:rPr>
        <w:t>symptomatic gallstones. Several cardiopulmonary changes (decreased cardiac output, pulmonary compliance,</w:t>
      </w:r>
      <w:r w:rsidR="005853A9">
        <w:rPr>
          <w:kern w:val="0"/>
        </w:rPr>
        <w:t xml:space="preserve"> and </w:t>
      </w:r>
      <w:r>
        <w:rPr>
          <w:kern w:val="0"/>
        </w:rPr>
        <w:t>increased peak airway pressure) occur during pneumoperitoneum, which is now introduced to allow laparoscopic cholecystectomy</w:t>
      </w:r>
      <w:r w:rsidR="00A37C1D">
        <w:rPr>
          <w:kern w:val="0"/>
        </w:rPr>
        <w:t>. The</w:t>
      </w:r>
      <w:r>
        <w:rPr>
          <w:kern w:val="0"/>
        </w:rPr>
        <w:t>se cardiopulmonary changes may not be tolerated in individuals with poor cardiopulmonary reserve. Objectives To assess the benefits</w:t>
      </w:r>
      <w:r w:rsidR="005853A9">
        <w:rPr>
          <w:kern w:val="0"/>
        </w:rPr>
        <w:t xml:space="preserve"> and </w:t>
      </w:r>
      <w:r>
        <w:rPr>
          <w:kern w:val="0"/>
        </w:rPr>
        <w:t>harms</w:t>
      </w:r>
      <w:r w:rsidR="00427468">
        <w:rPr>
          <w:kern w:val="0"/>
        </w:rPr>
        <w:t xml:space="preserve"> of </w:t>
      </w:r>
      <w:r>
        <w:rPr>
          <w:kern w:val="0"/>
        </w:rPr>
        <w:t>abdominal wall lift compared to pneumoperitoneum in patients undergoing laparoscopic cholecystectomy.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February 2013. Selection criteria We included all randomised clinical trials comparing abdominal wall lift (with or without pneumoperitoneum) versus pneumoperitoneum. Data collection</w:t>
      </w:r>
      <w:r w:rsidR="005853A9">
        <w:rPr>
          <w:kern w:val="0"/>
        </w:rPr>
        <w:t xml:space="preserve"> and </w:t>
      </w:r>
      <w:r>
        <w:rPr>
          <w:kern w:val="0"/>
        </w:rPr>
        <w:t>analysis We calculated the risk ratio (RR), rate ratio (RaR), or mean difference (MD) with 95% confidence intervals (CI) based on intentionto- treat analysis with both the fixed-effect</w:t>
      </w:r>
      <w:r w:rsidR="005853A9">
        <w:rPr>
          <w:kern w:val="0"/>
        </w:rPr>
        <w:t xml:space="preserve"> and </w:t>
      </w:r>
      <w:r>
        <w:rPr>
          <w:kern w:val="0"/>
        </w:rPr>
        <w:t>the random-effects models using the Review Manager (RevMan) software. Main results For abdominal wall lift with pneumoperitoneum versus pneumoperitoneum, a total</w:t>
      </w:r>
      <w:r w:rsidR="00427468">
        <w:rPr>
          <w:kern w:val="0"/>
        </w:rPr>
        <w:t xml:space="preserve"> of </w:t>
      </w:r>
      <w:r>
        <w:rPr>
          <w:kern w:val="0"/>
        </w:rPr>
        <w:t xml:space="preserve">130 participants (all with low anaesthetic risk) scheduled for elective laparoscopic cholecystectomy were randomised in five trials to abdominal wall lift with </w:t>
      </w:r>
      <w:r>
        <w:rPr>
          <w:kern w:val="0"/>
        </w:rPr>
        <w:lastRenderedPageBreak/>
        <w:t>pneumoperitoneum (n = 53) versus pneumoperitoneum only (n = 52). One trial which included 25 people did not state the number</w:t>
      </w:r>
      <w:r w:rsidR="00427468">
        <w:rPr>
          <w:kern w:val="0"/>
        </w:rPr>
        <w:t xml:space="preserve"> of </w:t>
      </w:r>
      <w:r>
        <w:rPr>
          <w:kern w:val="0"/>
        </w:rPr>
        <w:t>participants in each group. All five trials had a high risk</w:t>
      </w:r>
      <w:r w:rsidR="00427468">
        <w:rPr>
          <w:kern w:val="0"/>
        </w:rPr>
        <w:t xml:space="preserve"> of </w:t>
      </w:r>
      <w:r>
        <w:rPr>
          <w:kern w:val="0"/>
        </w:rPr>
        <w:t>bias</w:t>
      </w:r>
      <w:r w:rsidR="00A37C1D">
        <w:rPr>
          <w:kern w:val="0"/>
        </w:rPr>
        <w:t>. The</w:t>
      </w:r>
      <w:r>
        <w:rPr>
          <w:kern w:val="0"/>
        </w:rPr>
        <w:t>re was no mortality or conversion to open cholecystectomy in any</w:t>
      </w:r>
      <w:r w:rsidR="00427468">
        <w:rPr>
          <w:kern w:val="0"/>
        </w:rPr>
        <w:t xml:space="preserve"> of </w:t>
      </w:r>
      <w:r>
        <w:rPr>
          <w:kern w:val="0"/>
        </w:rPr>
        <w:t>the participants in the trials that reported these outcomes</w:t>
      </w:r>
      <w:r w:rsidR="00A37C1D">
        <w:rPr>
          <w:kern w:val="0"/>
        </w:rPr>
        <w:t>. The</w:t>
      </w:r>
      <w:r>
        <w:rPr>
          <w:kern w:val="0"/>
        </w:rPr>
        <w:t>re was no significant difference in the rate</w:t>
      </w:r>
      <w:r w:rsidR="00427468">
        <w:rPr>
          <w:kern w:val="0"/>
        </w:rPr>
        <w:t xml:space="preserve"> of </w:t>
      </w:r>
      <w:r>
        <w:rPr>
          <w:kern w:val="0"/>
        </w:rPr>
        <w:t>serious adverse events between the two groups (two trials; 2/29 events (0.069 events per person) versus 2/29 events (0.069 events per person); rate ratio 1.00; 95% CI 0.17 to 5.77). None</w:t>
      </w:r>
      <w:r w:rsidR="00427468">
        <w:rPr>
          <w:kern w:val="0"/>
        </w:rPr>
        <w:t xml:space="preserve"> of </w:t>
      </w:r>
      <w:r>
        <w:rPr>
          <w:kern w:val="0"/>
        </w:rPr>
        <w:t>the trials reported quality</w:t>
      </w:r>
      <w:r w:rsidR="00427468">
        <w:rPr>
          <w:kern w:val="0"/>
        </w:rPr>
        <w:t xml:space="preserve"> of </w:t>
      </w:r>
      <w:r>
        <w:rPr>
          <w:kern w:val="0"/>
        </w:rPr>
        <w:t>life, the proportion</w:t>
      </w:r>
      <w:r w:rsidR="00427468">
        <w:rPr>
          <w:kern w:val="0"/>
        </w:rPr>
        <w:t xml:space="preserve"> of </w:t>
      </w:r>
      <w:r>
        <w:rPr>
          <w:kern w:val="0"/>
        </w:rPr>
        <w:t>people discharged as day-patient laparoscopic cholecystectomies, or pain between four</w:t>
      </w:r>
      <w:r w:rsidR="005853A9">
        <w:rPr>
          <w:kern w:val="0"/>
        </w:rPr>
        <w:t xml:space="preserve"> and </w:t>
      </w:r>
      <w:r>
        <w:rPr>
          <w:kern w:val="0"/>
        </w:rPr>
        <w:t>eight hours after the operation</w:t>
      </w:r>
      <w:r w:rsidR="00A37C1D">
        <w:rPr>
          <w:kern w:val="0"/>
        </w:rPr>
        <w:t>. The</w:t>
      </w:r>
      <w:r>
        <w:rPr>
          <w:kern w:val="0"/>
        </w:rPr>
        <w:t>re was no significant difference in the operating time between the two groups (four trials; 53 participants versus 54 participants; 13.39 minutes longer (95% CI 2.73 less to 29.51 minutes longer) in the abdominal wall lift with pneumoperitoneum group</w:t>
      </w:r>
      <w:r w:rsidR="005853A9">
        <w:rPr>
          <w:kern w:val="0"/>
        </w:rPr>
        <w:t xml:space="preserve"> and </w:t>
      </w:r>
      <w:r>
        <w:rPr>
          <w:kern w:val="0"/>
        </w:rPr>
        <w:t>100 minutes in the pneumoperitoneum group). For abdominal wall lift versus pneumoperitoneum, a total</w:t>
      </w:r>
      <w:r w:rsidR="00427468">
        <w:rPr>
          <w:kern w:val="0"/>
        </w:rPr>
        <w:t xml:space="preserve"> of </w:t>
      </w:r>
      <w:r>
        <w:rPr>
          <w:kern w:val="0"/>
        </w:rPr>
        <w:t>774 participants (the majority with low anaesthetic risk) scheduled for elective laparoscopic cholecystectomy were randomised in 18 trials to abdominal wall lift without pneumoperitoneum (n = 332) versus pneumoperitoneum (n = 358). One trial which included 84 people did not state the number in each group. All the trials had a high risk</w:t>
      </w:r>
      <w:r w:rsidR="00427468">
        <w:rPr>
          <w:kern w:val="0"/>
        </w:rPr>
        <w:t xml:space="preserve"> of </w:t>
      </w:r>
      <w:r>
        <w:rPr>
          <w:kern w:val="0"/>
        </w:rPr>
        <w:t>bias</w:t>
      </w:r>
      <w:r w:rsidR="00A37C1D">
        <w:rPr>
          <w:kern w:val="0"/>
        </w:rPr>
        <w:t>. The</w:t>
      </w:r>
      <w:r>
        <w:rPr>
          <w:kern w:val="0"/>
        </w:rPr>
        <w:t>re was no mortality in any</w:t>
      </w:r>
      <w:r w:rsidR="00427468">
        <w:rPr>
          <w:kern w:val="0"/>
        </w:rPr>
        <w:t xml:space="preserve"> of </w:t>
      </w:r>
      <w:r>
        <w:rPr>
          <w:kern w:val="0"/>
        </w:rPr>
        <w:t>the trials that reported this outcome</w:t>
      </w:r>
      <w:r w:rsidR="00A37C1D">
        <w:rPr>
          <w:kern w:val="0"/>
        </w:rPr>
        <w:t>. The</w:t>
      </w:r>
      <w:r>
        <w:rPr>
          <w:kern w:val="0"/>
        </w:rPr>
        <w:t>re was no significant difference in the proportion</w:t>
      </w:r>
      <w:r w:rsidR="00427468">
        <w:rPr>
          <w:kern w:val="0"/>
        </w:rPr>
        <w:t xml:space="preserve"> of </w:t>
      </w:r>
      <w:r>
        <w:rPr>
          <w:kern w:val="0"/>
        </w:rPr>
        <w:t>participants with serious adverse events (six trials; 5/172 (weighted proportion 2.4%) versus 2/171 (1.2%); RR 2.01; 95% CI 0.52 to 7.80)</w:t>
      </w:r>
      <w:r w:rsidR="00A37C1D">
        <w:rPr>
          <w:kern w:val="0"/>
        </w:rPr>
        <w:t>. The</w:t>
      </w:r>
      <w:r>
        <w:rPr>
          <w:kern w:val="0"/>
        </w:rPr>
        <w:t>re was no significant difference in the rate</w:t>
      </w:r>
      <w:r w:rsidR="00427468">
        <w:rPr>
          <w:kern w:val="0"/>
        </w:rPr>
        <w:t xml:space="preserve"> of </w:t>
      </w:r>
      <w:r>
        <w:rPr>
          <w:kern w:val="0"/>
        </w:rPr>
        <w:t>serious adverse events between the two groups (three trials; 5/99 events (weighted number</w:t>
      </w:r>
      <w:r w:rsidR="00427468">
        <w:rPr>
          <w:kern w:val="0"/>
        </w:rPr>
        <w:t xml:space="preserve"> of </w:t>
      </w:r>
      <w:r>
        <w:rPr>
          <w:kern w:val="0"/>
        </w:rPr>
        <w:t>events per person = 0.346 events) versus 2/99 events (0.020 events per person); rate ratio 1.73; 95% CI 0.35 to 8.61). None</w:t>
      </w:r>
      <w:r w:rsidR="00427468">
        <w:rPr>
          <w:kern w:val="0"/>
        </w:rPr>
        <w:t xml:space="preserve"> of </w:t>
      </w:r>
      <w:r>
        <w:rPr>
          <w:kern w:val="0"/>
        </w:rPr>
        <w:t>the trials reported quality</w:t>
      </w:r>
      <w:r w:rsidR="00427468">
        <w:rPr>
          <w:kern w:val="0"/>
        </w:rPr>
        <w:t xml:space="preserve"> of </w:t>
      </w:r>
      <w:r>
        <w:rPr>
          <w:kern w:val="0"/>
        </w:rPr>
        <w:t>life or pain between four</w:t>
      </w:r>
      <w:r w:rsidR="005853A9">
        <w:rPr>
          <w:kern w:val="0"/>
        </w:rPr>
        <w:t xml:space="preserve"> and </w:t>
      </w:r>
      <w:r>
        <w:rPr>
          <w:kern w:val="0"/>
        </w:rPr>
        <w:t>eight hours after the operation</w:t>
      </w:r>
      <w:r w:rsidR="00A37C1D">
        <w:rPr>
          <w:kern w:val="0"/>
        </w:rPr>
        <w:t>. The</w:t>
      </w:r>
      <w:r>
        <w:rPr>
          <w:kern w:val="0"/>
        </w:rPr>
        <w:t>re was no significant difference in the proportion</w:t>
      </w:r>
      <w:r w:rsidR="00427468">
        <w:rPr>
          <w:kern w:val="0"/>
        </w:rPr>
        <w:t xml:space="preserve"> of </w:t>
      </w:r>
      <w:r>
        <w:rPr>
          <w:kern w:val="0"/>
        </w:rPr>
        <w:t>people who underwent conversion to open cholecystectomy (11 trials; 5/225 (weighted proportion 2.3%) versus 7/235 (3.0%); RR 0.76; 95% CI 0.26 to 2.21)</w:t>
      </w:r>
      <w:r w:rsidR="00A37C1D">
        <w:rPr>
          <w:kern w:val="0"/>
        </w:rPr>
        <w:t>. The</w:t>
      </w:r>
      <w:r>
        <w:rPr>
          <w:kern w:val="0"/>
        </w:rPr>
        <w:t xml:space="preserve"> operating time was significantly longer in the abdominal wall lift group than in the pneumoperitoneum group (16 trials; 6.87 minutes longer (95% CI 4.74 minutes to 9.00 minutes longer) in the abdominal wall lift group versus 75 minutes in the pneumoperitoneum group)</w:t>
      </w:r>
      <w:r w:rsidR="00A37C1D">
        <w:rPr>
          <w:kern w:val="0"/>
        </w:rPr>
        <w:t>. The</w:t>
      </w:r>
      <w:r>
        <w:rPr>
          <w:kern w:val="0"/>
        </w:rPr>
        <w:t>re was no significant difference in the proportion</w:t>
      </w:r>
      <w:r w:rsidR="00427468">
        <w:rPr>
          <w:kern w:val="0"/>
        </w:rPr>
        <w:t xml:space="preserve"> of </w:t>
      </w:r>
      <w:r>
        <w:rPr>
          <w:kern w:val="0"/>
        </w:rPr>
        <w:t>people discharged as laparoscopic cholecystectomy day-patients (two trials; 15/31 (weighted proportion 48.5%) versus 9/31 (29%); RR 1.67; 95% CI 0.85 to 3.26). Authors</w:t>
      </w:r>
      <w:r w:rsidR="0071223E">
        <w:rPr>
          <w:kern w:val="0"/>
        </w:rPr>
        <w:t>’</w:t>
      </w:r>
      <w:r>
        <w:rPr>
          <w:kern w:val="0"/>
        </w:rPr>
        <w:t xml:space="preserve"> conclusions Abdominal wall lift with or without pneumoperitoneum does not seem to offer an advantage over pneumoperitoneum in any</w:t>
      </w:r>
      <w:r w:rsidR="00427468">
        <w:rPr>
          <w:kern w:val="0"/>
        </w:rPr>
        <w:t xml:space="preserve"> of </w:t>
      </w:r>
      <w:r>
        <w:rPr>
          <w:kern w:val="0"/>
        </w:rPr>
        <w:t>the patient-oriented outcomes for laparoscopic cholecystectomy in people with low anaesthetic risk. Hence it cannot be recommended routinely</w:t>
      </w:r>
      <w:r w:rsidR="00A37C1D">
        <w:rPr>
          <w:kern w:val="0"/>
        </w:rPr>
        <w:t>. The</w:t>
      </w:r>
      <w:r>
        <w:rPr>
          <w:kern w:val="0"/>
        </w:rPr>
        <w:t xml:space="preserve"> safety</w:t>
      </w:r>
      <w:r w:rsidR="00427468">
        <w:rPr>
          <w:kern w:val="0"/>
        </w:rPr>
        <w:t xml:space="preserve"> of </w:t>
      </w:r>
      <w:r>
        <w:rPr>
          <w:kern w:val="0"/>
        </w:rPr>
        <w:t>abdominal wall lift is yet to be established. More research on the topic is needed because</w:t>
      </w:r>
      <w:r w:rsidR="00427468">
        <w:rPr>
          <w:kern w:val="0"/>
        </w:rPr>
        <w:t xml:space="preserve"> of </w:t>
      </w:r>
      <w:r>
        <w:rPr>
          <w:kern w:val="0"/>
        </w:rPr>
        <w:t>the risk</w:t>
      </w:r>
      <w:r w:rsidR="00427468">
        <w:rPr>
          <w:kern w:val="0"/>
        </w:rPr>
        <w:t xml:space="preserve"> of </w:t>
      </w:r>
      <w:r>
        <w:rPr>
          <w:kern w:val="0"/>
        </w:rPr>
        <w:t xml:space="preserve">bias in </w:t>
      </w:r>
      <w:r>
        <w:rPr>
          <w:kern w:val="0"/>
        </w:rPr>
        <w:lastRenderedPageBreak/>
        <w:t>the included trials</w:t>
      </w:r>
      <w:r w:rsidR="005853A9">
        <w:rPr>
          <w:kern w:val="0"/>
        </w:rPr>
        <w:t xml:space="preserve"> and </w:t>
      </w:r>
      <w:r>
        <w:rPr>
          <w:kern w:val="0"/>
        </w:rPr>
        <w:t>because</w:t>
      </w:r>
      <w:r w:rsidR="00427468">
        <w:rPr>
          <w:kern w:val="0"/>
        </w:rPr>
        <w:t xml:space="preserve"> of </w:t>
      </w:r>
      <w:r>
        <w:rPr>
          <w:kern w:val="0"/>
        </w:rPr>
        <w:t>the risk</w:t>
      </w:r>
      <w:r w:rsidR="00427468">
        <w:rPr>
          <w:kern w:val="0"/>
        </w:rPr>
        <w:t xml:space="preserve"> of </w:t>
      </w:r>
      <w:r>
        <w:rPr>
          <w:kern w:val="0"/>
        </w:rPr>
        <w:t>type I</w:t>
      </w:r>
      <w:r w:rsidR="005853A9">
        <w:rPr>
          <w:kern w:val="0"/>
        </w:rPr>
        <w:t xml:space="preserve"> and </w:t>
      </w:r>
      <w:r>
        <w:rPr>
          <w:kern w:val="0"/>
        </w:rPr>
        <w:t>type II random errors due to the few participants included in the trials. Future trials should include people at higher anaesthetic risk. Furthermore, such trials should include blinded assessment</w:t>
      </w:r>
      <w:r w:rsidR="00427468">
        <w:rPr>
          <w:kern w:val="0"/>
        </w:rPr>
        <w:t xml:space="preserve"> of </w:t>
      </w:r>
      <w:r>
        <w:rPr>
          <w:kern w:val="0"/>
        </w:rPr>
        <w:t>outcomes.</w:t>
      </w:r>
    </w:p>
    <w:p w:rsidR="00365DE4" w:rsidRDefault="00365DE4" w:rsidP="00365DE4">
      <w:pPr>
        <w:pStyle w:val="a3"/>
        <w:rPr>
          <w:kern w:val="0"/>
        </w:rPr>
      </w:pPr>
      <w:r>
        <w:rPr>
          <w:kern w:val="0"/>
        </w:rPr>
        <w:t xml:space="preserve">Keywords: Abdominal, Abdominal Wall, Analysis, Artificial [Adverse Effects], Assessment, Benefits, Bias, Blood Pressure, Carbon-Dioxide Pneumoperitoneum, Cardiac Output, Cardiac-Function, Cardiopulmonary, Changes, Cholecystectomy, Cholecystectomy,Laparoscopic [Methods], Citation, Clinical, Clinical Trials, Clinical-Trial, Collection, Combined Modality Therapy [Methods], Compliance, Confidence, Confidence Intervals, Conventional Pneumoperitoneum, Conversion, Criteria, Data Collection, Design Characteristics, Elective, Embase, Errors, Events, Groups, Heart Rate, Humans, Intervals, J-Surg 2004, Laparoscopic, Laparoscopic Cholecystectomy, Life, Lifting [Adverse Effects], Lung Compliance, </w:t>
      </w:r>
      <w:r w:rsidR="00D5664A">
        <w:rPr>
          <w:kern w:val="0"/>
        </w:rPr>
        <w:t>MEDLINE</w:t>
      </w:r>
      <w:r>
        <w:rPr>
          <w:kern w:val="0"/>
        </w:rPr>
        <w:t>, Methods, Models, Mortality, Neuroendocrine Response, Open, Operation, Outcome, Outcomes, Pain, Patients, Person, Pneumoperitoneum, Pressure, Quality, Quality Of, Quality</w:t>
      </w:r>
      <w:r w:rsidR="00427468">
        <w:rPr>
          <w:kern w:val="0"/>
        </w:rPr>
        <w:t xml:space="preserve"> of </w:t>
      </w:r>
      <w:r>
        <w:rPr>
          <w:kern w:val="0"/>
        </w:rPr>
        <w:t>Life, Randomised, Randomized Controlled Trials As Topic, Randomized Controlled-Trials, Removal, Research, Review, Risk, Safety, Science, Science Citation Index, Science Citation Index Expanded, Search, Sequential-Analysis, Software, State, Topic, Treatment, Trial, Wall Lift</w:t>
      </w:r>
    </w:p>
    <w:p w:rsidR="00365DE4" w:rsidRDefault="00365DE4" w:rsidP="00365DE4">
      <w:pPr>
        <w:pStyle w:val="a3"/>
        <w:rPr>
          <w:kern w:val="0"/>
        </w:rPr>
      </w:pPr>
      <w:r>
        <w:rPr>
          <w:kern w:val="0"/>
        </w:rPr>
        <w:t>? Nagendran, M., Gur</w:t>
      </w:r>
      <w:r w:rsidR="00D5664A">
        <w:rPr>
          <w:kern w:val="0"/>
        </w:rPr>
        <w:t>USA</w:t>
      </w:r>
      <w:r>
        <w:rPr>
          <w:kern w:val="0"/>
        </w:rPr>
        <w:t>my, K.S., Aggarwal, R., Loizidou, M.</w:t>
      </w:r>
      <w:r w:rsidR="005853A9">
        <w:rPr>
          <w:kern w:val="0"/>
        </w:rPr>
        <w:t xml:space="preserve"> and </w:t>
      </w:r>
      <w:r>
        <w:rPr>
          <w:kern w:val="0"/>
        </w:rPr>
        <w:t xml:space="preserve">Davidson, B.R. (2013), Virtual reality training for surgical trainees in laparoscopic surgery.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CD006575.</w:t>
      </w:r>
    </w:p>
    <w:p w:rsidR="00365DE4" w:rsidRDefault="00365DE4" w:rsidP="00365DE4">
      <w:pPr>
        <w:pStyle w:val="a3"/>
        <w:rPr>
          <w:kern w:val="2"/>
        </w:rPr>
      </w:pPr>
      <w:r>
        <w:t>Full Text: 2013\Coc Dat Sys Rev2013, CD006575.pdf</w:t>
      </w:r>
    </w:p>
    <w:p w:rsidR="00365DE4" w:rsidRDefault="00365DE4" w:rsidP="00365DE4">
      <w:pPr>
        <w:pStyle w:val="a3"/>
        <w:rPr>
          <w:kern w:val="0"/>
        </w:rPr>
      </w:pPr>
      <w:r>
        <w:rPr>
          <w:kern w:val="0"/>
        </w:rPr>
        <w:t>Abstract: Background Standard surgical training has traditionally been one</w:t>
      </w:r>
      <w:r w:rsidR="00427468">
        <w:rPr>
          <w:kern w:val="0"/>
        </w:rPr>
        <w:t xml:space="preserve"> of </w:t>
      </w:r>
      <w:r>
        <w:rPr>
          <w:kern w:val="0"/>
        </w:rPr>
        <w:t>apprenticeship, where the surgical trainee learns to perform surgery under the supervision</w:t>
      </w:r>
      <w:r w:rsidR="00427468">
        <w:rPr>
          <w:kern w:val="0"/>
        </w:rPr>
        <w:t xml:space="preserve"> of </w:t>
      </w:r>
      <w:r>
        <w:rPr>
          <w:kern w:val="0"/>
        </w:rPr>
        <w:t>a trained surgeon. This is time-consuming, costly,</w:t>
      </w:r>
      <w:r w:rsidR="005853A9">
        <w:rPr>
          <w:kern w:val="0"/>
        </w:rPr>
        <w:t xml:space="preserve"> and</w:t>
      </w:r>
      <w:r w:rsidR="00427468">
        <w:rPr>
          <w:kern w:val="0"/>
        </w:rPr>
        <w:t xml:space="preserve"> of </w:t>
      </w:r>
      <w:r>
        <w:rPr>
          <w:kern w:val="0"/>
        </w:rPr>
        <w:t>variable effectiveness. Training using a virtual reality simulator is an option to supplement standard training. Virtual reality training improves the technical skills</w:t>
      </w:r>
      <w:r w:rsidR="00427468">
        <w:rPr>
          <w:kern w:val="0"/>
        </w:rPr>
        <w:t xml:space="preserve"> of </w:t>
      </w:r>
      <w:r>
        <w:rPr>
          <w:kern w:val="0"/>
        </w:rPr>
        <w:t>surgical trainees such as decreased time for suturing</w:t>
      </w:r>
      <w:r w:rsidR="005853A9">
        <w:rPr>
          <w:kern w:val="0"/>
        </w:rPr>
        <w:t xml:space="preserve"> and </w:t>
      </w:r>
      <w:r>
        <w:rPr>
          <w:kern w:val="0"/>
        </w:rPr>
        <w:t>improved accuracy</w:t>
      </w:r>
      <w:r w:rsidR="00A37C1D">
        <w:rPr>
          <w:kern w:val="0"/>
        </w:rPr>
        <w:t>. The</w:t>
      </w:r>
      <w:r>
        <w:rPr>
          <w:kern w:val="0"/>
        </w:rPr>
        <w:t xml:space="preserve"> clinical impact</w:t>
      </w:r>
      <w:r w:rsidR="00427468">
        <w:rPr>
          <w:kern w:val="0"/>
        </w:rPr>
        <w:t xml:space="preserve"> of </w:t>
      </w:r>
      <w:r>
        <w:rPr>
          <w:kern w:val="0"/>
        </w:rPr>
        <w:t>virtual reality training is not known. Objectives To assess the benefits (increased surgical proficiency</w:t>
      </w:r>
      <w:r w:rsidR="005853A9">
        <w:rPr>
          <w:kern w:val="0"/>
        </w:rPr>
        <w:t xml:space="preserve"> and </w:t>
      </w:r>
      <w:r>
        <w:rPr>
          <w:kern w:val="0"/>
        </w:rPr>
        <w:t>improved patient outcomes)</w:t>
      </w:r>
      <w:r w:rsidR="005853A9">
        <w:rPr>
          <w:kern w:val="0"/>
        </w:rPr>
        <w:t xml:space="preserve"> and </w:t>
      </w:r>
      <w:r>
        <w:rPr>
          <w:kern w:val="0"/>
        </w:rPr>
        <w:t>harms (potentially worse patient outcomes)</w:t>
      </w:r>
      <w:r w:rsidR="00427468">
        <w:rPr>
          <w:kern w:val="0"/>
        </w:rPr>
        <w:t xml:space="preserve"> of </w:t>
      </w:r>
      <w:r>
        <w:rPr>
          <w:kern w:val="0"/>
        </w:rPr>
        <w:t>supplementary virtual reality training</w:t>
      </w:r>
      <w:r w:rsidR="00427468">
        <w:rPr>
          <w:kern w:val="0"/>
        </w:rPr>
        <w:t xml:space="preserve"> of </w:t>
      </w:r>
      <w:r>
        <w:rPr>
          <w:kern w:val="0"/>
        </w:rPr>
        <w:t>surgical trainees with limited laparoscopic experience.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July 2012. Selection criteria We included all randomised clinical trials comparing virtual reality training versus other forms</w:t>
      </w:r>
      <w:r w:rsidR="00427468">
        <w:rPr>
          <w:kern w:val="0"/>
        </w:rPr>
        <w:t xml:space="preserve"> of </w:t>
      </w:r>
      <w:r>
        <w:rPr>
          <w:kern w:val="0"/>
        </w:rPr>
        <w:t>training including box-trainer training, no training, or standard laparoscopic training in surgical trainees with little laparoscopic experience. We also planned to include trials comparing different methods</w:t>
      </w:r>
      <w:r w:rsidR="00427468">
        <w:rPr>
          <w:kern w:val="0"/>
        </w:rPr>
        <w:t xml:space="preserve"> of </w:t>
      </w:r>
      <w:r>
        <w:rPr>
          <w:kern w:val="0"/>
        </w:rPr>
        <w:t xml:space="preserve">virtual reality </w:t>
      </w:r>
      <w:r>
        <w:rPr>
          <w:kern w:val="0"/>
        </w:rPr>
        <w:lastRenderedPageBreak/>
        <w:t>training. We included only trials that assessed the outcomes in people undergoing laparoscopic surgery. Data collection</w:t>
      </w:r>
      <w:r w:rsidR="005853A9">
        <w:rPr>
          <w:kern w:val="0"/>
        </w:rPr>
        <w:t xml:space="preserve"> and </w:t>
      </w:r>
      <w:r>
        <w:rPr>
          <w:kern w:val="0"/>
        </w:rPr>
        <w:t>analysis Two authors independently identified trials</w:t>
      </w:r>
      <w:r w:rsidR="005853A9">
        <w:rPr>
          <w:kern w:val="0"/>
        </w:rPr>
        <w:t xml:space="preserve"> and </w:t>
      </w:r>
      <w:r>
        <w:rPr>
          <w:kern w:val="0"/>
        </w:rPr>
        <w:t>collected data. We analysed the data with both the fixed-effect</w:t>
      </w:r>
      <w:r w:rsidR="005853A9">
        <w:rPr>
          <w:kern w:val="0"/>
        </w:rPr>
        <w:t xml:space="preserve"> and </w:t>
      </w:r>
      <w:r>
        <w:rPr>
          <w:kern w:val="0"/>
        </w:rPr>
        <w:t>the random-effects models using Review Manager 5 analysis. For each outcome we calculated the mean difference (MD) or standardised mean difference (SMD) with 95% confidence intervals based on intention-to-treat analysis. Main results We included eight trials covering 109 surgical traineeswith limited laparoscopic experience.</w:t>
      </w:r>
      <w:r w:rsidR="00427468">
        <w:rPr>
          <w:kern w:val="0"/>
        </w:rPr>
        <w:t xml:space="preserve"> of </w:t>
      </w:r>
      <w:r>
        <w:rPr>
          <w:kern w:val="0"/>
        </w:rPr>
        <w:t>the eight trials, six compared virtual reality versus no supplementary training. One trial compared virtual reality training versus box-trainer training</w:t>
      </w:r>
      <w:r w:rsidR="005853A9">
        <w:rPr>
          <w:kern w:val="0"/>
        </w:rPr>
        <w:t xml:space="preserve"> and </w:t>
      </w:r>
      <w:r>
        <w:rPr>
          <w:kern w:val="0"/>
        </w:rPr>
        <w:t>versus no supplementary training,</w:t>
      </w:r>
      <w:r w:rsidR="005853A9">
        <w:rPr>
          <w:kern w:val="0"/>
        </w:rPr>
        <w:t xml:space="preserve"> and </w:t>
      </w:r>
      <w:r>
        <w:rPr>
          <w:kern w:val="0"/>
        </w:rPr>
        <w:t>one trial compared virtual reality training versus box-trainer training</w:t>
      </w:r>
      <w:r w:rsidR="00A37C1D">
        <w:rPr>
          <w:kern w:val="0"/>
        </w:rPr>
        <w:t>. The</w:t>
      </w:r>
      <w:r>
        <w:rPr>
          <w:kern w:val="0"/>
        </w:rPr>
        <w:t>re were no trials that compared different forms</w:t>
      </w:r>
      <w:r w:rsidR="00427468">
        <w:rPr>
          <w:kern w:val="0"/>
        </w:rPr>
        <w:t xml:space="preserve"> of </w:t>
      </w:r>
      <w:r>
        <w:rPr>
          <w:kern w:val="0"/>
        </w:rPr>
        <w:t>virtual reality training. All the trials were at high risk</w:t>
      </w:r>
      <w:r w:rsidR="00427468">
        <w:rPr>
          <w:kern w:val="0"/>
        </w:rPr>
        <w:t xml:space="preserve"> of </w:t>
      </w:r>
      <w:r>
        <w:rPr>
          <w:kern w:val="0"/>
        </w:rPr>
        <w:t>bias. Operating time</w:t>
      </w:r>
      <w:r w:rsidR="005853A9">
        <w:rPr>
          <w:kern w:val="0"/>
        </w:rPr>
        <w:t xml:space="preserve"> and </w:t>
      </w:r>
      <w:r>
        <w:rPr>
          <w:kern w:val="0"/>
        </w:rPr>
        <w:t>operative performance were the only outcomes reported in the trials</w:t>
      </w:r>
      <w:r w:rsidR="00A37C1D">
        <w:rPr>
          <w:kern w:val="0"/>
        </w:rPr>
        <w:t>. The</w:t>
      </w:r>
      <w:r>
        <w:rPr>
          <w:kern w:val="0"/>
        </w:rPr>
        <w:t xml:space="preserve"> remaining outcomes such as mortality, morbidity, quality</w:t>
      </w:r>
      <w:r w:rsidR="00427468">
        <w:rPr>
          <w:kern w:val="0"/>
        </w:rPr>
        <w:t xml:space="preserve"> of </w:t>
      </w:r>
      <w:r>
        <w:rPr>
          <w:kern w:val="0"/>
        </w:rPr>
        <w:t>life (the primary outcomes</w:t>
      </w:r>
      <w:r w:rsidR="00427468">
        <w:rPr>
          <w:kern w:val="0"/>
        </w:rPr>
        <w:t xml:space="preserve"> of </w:t>
      </w:r>
      <w:r>
        <w:rPr>
          <w:kern w:val="0"/>
        </w:rPr>
        <w:t>this review)</w:t>
      </w:r>
      <w:r w:rsidR="005853A9">
        <w:rPr>
          <w:kern w:val="0"/>
        </w:rPr>
        <w:t xml:space="preserve"> and </w:t>
      </w:r>
      <w:r>
        <w:rPr>
          <w:kern w:val="0"/>
        </w:rPr>
        <w:t>hospital stay (a secondary outcome) were not reported. Virtual reality training versus no supplementary training: The operating time was significantly shorter in the virtual reality group than in the no supplementary training group (3 trials; 49 participants; MD -11.76 minutes; 95% CI -15.23 to -8.30). Two trials that could not be included in the meta-analysis also showed a reduction in operating time (statistically significant in one trial)</w:t>
      </w:r>
      <w:r w:rsidR="00A37C1D">
        <w:rPr>
          <w:kern w:val="0"/>
        </w:rPr>
        <w:t>. The</w:t>
      </w:r>
      <w:r>
        <w:rPr>
          <w:kern w:val="0"/>
        </w:rPr>
        <w:t xml:space="preserve"> numerical values for operating time were not reported in these two trials</w:t>
      </w:r>
      <w:r w:rsidR="00A37C1D">
        <w:rPr>
          <w:kern w:val="0"/>
        </w:rPr>
        <w:t>. The</w:t>
      </w:r>
      <w:r>
        <w:rPr>
          <w:kern w:val="0"/>
        </w:rPr>
        <w:t xml:space="preserve"> operative performance was significantly better in the virtual reality group than the no supplementary training group using the fixed-effect model (2 trials; 33 participants; SMD 1.65; 95% CI 0.72 to 2.58)</w:t>
      </w:r>
      <w:r w:rsidR="00A37C1D">
        <w:rPr>
          <w:kern w:val="0"/>
        </w:rPr>
        <w:t>. The</w:t>
      </w:r>
      <w:r>
        <w:rPr>
          <w:kern w:val="0"/>
        </w:rPr>
        <w:t xml:space="preserve"> results became non-significant when the random-effects model was used (2 trials; 33 participants; SMD 2.14; 95% CI -1.29 to 5.57). One trial could not be included in the meta-analysis as it did not report the numerical values</w:t>
      </w:r>
      <w:r w:rsidR="00A37C1D">
        <w:rPr>
          <w:kern w:val="0"/>
        </w:rPr>
        <w:t>. The</w:t>
      </w:r>
      <w:r>
        <w:rPr>
          <w:kern w:val="0"/>
        </w:rPr>
        <w:t xml:space="preserve"> authors stated that the operative performance</w:t>
      </w:r>
      <w:r w:rsidR="00427468">
        <w:rPr>
          <w:kern w:val="0"/>
        </w:rPr>
        <w:t xml:space="preserve"> of </w:t>
      </w:r>
      <w:r>
        <w:rPr>
          <w:kern w:val="0"/>
        </w:rPr>
        <w:t>virtual reality group was significantly better than the control group. Virtual reality training versus box-trainer training: The only trial that reported operating time did not report the numerical values. In this trial, the operating time in the virtual reality group was significantly shorter than in the box-trainer group.</w:t>
      </w:r>
      <w:r w:rsidR="00427468">
        <w:rPr>
          <w:kern w:val="0"/>
        </w:rPr>
        <w:t xml:space="preserve"> of </w:t>
      </w:r>
      <w:r>
        <w:rPr>
          <w:kern w:val="0"/>
        </w:rPr>
        <w:t>the two trials that reported operative performance, only one trial reported the numerical values</w:t>
      </w:r>
      <w:r w:rsidR="00A37C1D">
        <w:rPr>
          <w:kern w:val="0"/>
        </w:rPr>
        <w:t>. The</w:t>
      </w:r>
      <w:r>
        <w:rPr>
          <w:kern w:val="0"/>
        </w:rPr>
        <w:t xml:space="preserve"> operative performance was significantly better in the virtual reality group than in the box-trainer group (1 trial; 19 participants; SMD 1.46; 95% CI 0.42 to 2.50). In the other trial that did not report the numerical values, the authors stated that the operative performance in the virtual reality group was significantly better than the box-trainer group. Authors</w:t>
      </w:r>
      <w:r w:rsidR="0071223E">
        <w:rPr>
          <w:kern w:val="0"/>
        </w:rPr>
        <w:t>’</w:t>
      </w:r>
      <w:r>
        <w:rPr>
          <w:kern w:val="0"/>
        </w:rPr>
        <w:t xml:space="preserve"> conclusions Virtual reality training appears to decrease the operating time</w:t>
      </w:r>
      <w:r w:rsidR="005853A9">
        <w:rPr>
          <w:kern w:val="0"/>
        </w:rPr>
        <w:t xml:space="preserve"> and </w:t>
      </w:r>
      <w:r>
        <w:rPr>
          <w:kern w:val="0"/>
        </w:rPr>
        <w:t>improve the operative performance</w:t>
      </w:r>
      <w:r w:rsidR="00427468">
        <w:rPr>
          <w:kern w:val="0"/>
        </w:rPr>
        <w:t xml:space="preserve"> of </w:t>
      </w:r>
      <w:r>
        <w:rPr>
          <w:kern w:val="0"/>
        </w:rPr>
        <w:t>surgical trainees with limited laparoscopic experience when compared with no training or with box-trainer training. However, the impact</w:t>
      </w:r>
      <w:r w:rsidR="00427468">
        <w:rPr>
          <w:kern w:val="0"/>
        </w:rPr>
        <w:t xml:space="preserve"> of </w:t>
      </w:r>
      <w:r>
        <w:rPr>
          <w:kern w:val="0"/>
        </w:rPr>
        <w:t xml:space="preserve">this </w:t>
      </w:r>
      <w:r>
        <w:rPr>
          <w:kern w:val="0"/>
        </w:rPr>
        <w:lastRenderedPageBreak/>
        <w:t>decreased operating time</w:t>
      </w:r>
      <w:r w:rsidR="005853A9">
        <w:rPr>
          <w:kern w:val="0"/>
        </w:rPr>
        <w:t xml:space="preserve"> and </w:t>
      </w:r>
      <w:r>
        <w:rPr>
          <w:kern w:val="0"/>
        </w:rPr>
        <w:t>improvement in operative performance on patients</w:t>
      </w:r>
      <w:r w:rsidR="005853A9">
        <w:rPr>
          <w:kern w:val="0"/>
        </w:rPr>
        <w:t xml:space="preserve"> and </w:t>
      </w:r>
      <w:r>
        <w:rPr>
          <w:kern w:val="0"/>
        </w:rPr>
        <w:t>healthcare funders in terms</w:t>
      </w:r>
      <w:r w:rsidR="00427468">
        <w:rPr>
          <w:kern w:val="0"/>
        </w:rPr>
        <w:t xml:space="preserve"> of </w:t>
      </w:r>
      <w:r>
        <w:rPr>
          <w:kern w:val="0"/>
        </w:rPr>
        <w:t>improved outcomes or decreased costs is not known. Further well-designed trials at low risk</w:t>
      </w:r>
      <w:r w:rsidR="00427468">
        <w:rPr>
          <w:kern w:val="0"/>
        </w:rPr>
        <w:t xml:space="preserve"> of </w:t>
      </w:r>
      <w:r>
        <w:rPr>
          <w:kern w:val="0"/>
        </w:rPr>
        <w:t>bias</w:t>
      </w:r>
      <w:r w:rsidR="005853A9">
        <w:rPr>
          <w:kern w:val="0"/>
        </w:rPr>
        <w:t xml:space="preserve"> and </w:t>
      </w:r>
      <w:r>
        <w:rPr>
          <w:kern w:val="0"/>
        </w:rPr>
        <w:t>random errors are necessary. Such trials should assess the impact</w:t>
      </w:r>
      <w:r w:rsidR="00427468">
        <w:rPr>
          <w:kern w:val="0"/>
        </w:rPr>
        <w:t xml:space="preserve"> of </w:t>
      </w:r>
      <w:r>
        <w:rPr>
          <w:kern w:val="0"/>
        </w:rPr>
        <w:t>virtual reality training on clinical outcomes.</w:t>
      </w:r>
    </w:p>
    <w:p w:rsidR="00365DE4" w:rsidRDefault="00365DE4" w:rsidP="00365DE4">
      <w:pPr>
        <w:pStyle w:val="a3"/>
        <w:rPr>
          <w:kern w:val="0"/>
        </w:rPr>
      </w:pPr>
      <w:r>
        <w:rPr>
          <w:kern w:val="0"/>
        </w:rPr>
        <w:t xml:space="preserve">Keywords: Accuracy, Analysis, Authors, Benefits, Bias, Citation, Clinical, Clinical Impact, Clinical Outcomes, Clinical Trials, Clinical-Trials, Collection, Computer Simulation, Confidence, Confidence Intervals, Control, Costs, Criteria, Data, Data Collection, Design Characteristics, Effectiveness, Embase, Errors, Experience, Forms, General Surgery [Education], Hospital, Hospital Stay, Humans, Impact, Improvement, Improves Performance, Inguinal-Hernia Repair, Intervals, Laparoscopic, Laparoscopic Surgery, Laparoscopy, Learning-Curve, Life, Low Risk, </w:t>
      </w:r>
      <w:r w:rsidR="00D5664A">
        <w:rPr>
          <w:kern w:val="0"/>
        </w:rPr>
        <w:t>MEDLINE</w:t>
      </w:r>
      <w:r>
        <w:rPr>
          <w:kern w:val="0"/>
        </w:rPr>
        <w:t>, Meta Analysis, Meta-Analysis, Metaanalysis, Methods, Model, Models, Morbidity, Mortality, Operating-Room Performance, Operative, Outcome, Outcomes, Patients, Performance, Primary, Quality, Quality Of, Quality</w:t>
      </w:r>
      <w:r w:rsidR="00427468">
        <w:rPr>
          <w:kern w:val="0"/>
        </w:rPr>
        <w:t xml:space="preserve"> of </w:t>
      </w:r>
      <w:r>
        <w:rPr>
          <w:kern w:val="0"/>
        </w:rPr>
        <w:t>Life, Random Effects Model, Randomised, Randomized Controlled Trials As Topic, Randomized-Controlled-Trial, Reduction, Review, Risk, Science, Science Citation Index, Science Citation Index Expanded, Search, Sequential-Analysis, Standard, Structured Assessment, Surgery, Training, Trial, Virtual Reality, Warm-Up Exercises</w:t>
      </w:r>
    </w:p>
    <w:p w:rsidR="00365DE4" w:rsidRDefault="00365DE4" w:rsidP="00365DE4">
      <w:pPr>
        <w:pStyle w:val="a3"/>
        <w:rPr>
          <w:kern w:val="0"/>
        </w:rPr>
      </w:pPr>
      <w:r>
        <w:rPr>
          <w:kern w:val="0"/>
        </w:rPr>
        <w:t>? Gur</w:t>
      </w:r>
      <w:r w:rsidR="00D5664A">
        <w:rPr>
          <w:kern w:val="0"/>
        </w:rPr>
        <w:t>USA</w:t>
      </w:r>
      <w:r>
        <w:rPr>
          <w:kern w:val="0"/>
        </w:rPr>
        <w:t>my, K.S., Vaughan, J., Ramamoorthy, R., F</w:t>
      </w:r>
      <w:r w:rsidR="00D5664A">
        <w:rPr>
          <w:kern w:val="0"/>
        </w:rPr>
        <w:t>USA</w:t>
      </w:r>
      <w:r>
        <w:rPr>
          <w:kern w:val="0"/>
        </w:rPr>
        <w:t>i, G.</w:t>
      </w:r>
      <w:r w:rsidR="005853A9">
        <w:rPr>
          <w:kern w:val="0"/>
        </w:rPr>
        <w:t xml:space="preserve"> and </w:t>
      </w:r>
      <w:r>
        <w:rPr>
          <w:kern w:val="0"/>
        </w:rPr>
        <w:t xml:space="preserve">Davidson, B.R. (2013), Miniports versus standard ports for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CD006804.</w:t>
      </w:r>
    </w:p>
    <w:p w:rsidR="00365DE4" w:rsidRDefault="00365DE4" w:rsidP="00365DE4">
      <w:pPr>
        <w:pStyle w:val="a3"/>
        <w:rPr>
          <w:kern w:val="2"/>
        </w:rPr>
      </w:pPr>
      <w:r>
        <w:t>Full Text: 2013\Coc Dat Sys Rev2013, CD006804.pdf</w:t>
      </w:r>
    </w:p>
    <w:p w:rsidR="00365DE4" w:rsidRDefault="00365DE4" w:rsidP="00365DE4">
      <w:pPr>
        <w:pStyle w:val="a3"/>
        <w:rPr>
          <w:kern w:val="0"/>
        </w:rPr>
      </w:pPr>
      <w:r>
        <w:rPr>
          <w:kern w:val="0"/>
        </w:rPr>
        <w:t>Abstract: Background In conventional (standard) port laparoscopic cholecystectomy, four abdominal ports (two</w:t>
      </w:r>
      <w:r w:rsidR="00427468">
        <w:rPr>
          <w:kern w:val="0"/>
        </w:rPr>
        <w:t xml:space="preserve"> of </w:t>
      </w:r>
      <w:r>
        <w:rPr>
          <w:kern w:val="0"/>
        </w:rPr>
        <w:t>10 mm diameter</w:t>
      </w:r>
      <w:r w:rsidR="005853A9">
        <w:rPr>
          <w:kern w:val="0"/>
        </w:rPr>
        <w:t xml:space="preserve"> and </w:t>
      </w:r>
      <w:r>
        <w:rPr>
          <w:kern w:val="0"/>
        </w:rPr>
        <w:t>two</w:t>
      </w:r>
      <w:r w:rsidR="00427468">
        <w:rPr>
          <w:kern w:val="0"/>
        </w:rPr>
        <w:t xml:space="preserve"> of </w:t>
      </w:r>
      <w:r>
        <w:rPr>
          <w:kern w:val="0"/>
        </w:rPr>
        <w:t>5 mm diameter) are used. Recently, use</w:t>
      </w:r>
      <w:r w:rsidR="00427468">
        <w:rPr>
          <w:kern w:val="0"/>
        </w:rPr>
        <w:t xml:space="preserve"> of </w:t>
      </w:r>
      <w:r>
        <w:rPr>
          <w:kern w:val="0"/>
        </w:rPr>
        <w:t>smaller ports, miniports, have been reported. Objectives To assess the benefits</w:t>
      </w:r>
      <w:r w:rsidR="005853A9">
        <w:rPr>
          <w:kern w:val="0"/>
        </w:rPr>
        <w:t xml:space="preserve"> and </w:t>
      </w:r>
      <w:r>
        <w:rPr>
          <w:kern w:val="0"/>
        </w:rPr>
        <w:t>harms</w:t>
      </w:r>
      <w:r w:rsidR="00427468">
        <w:rPr>
          <w:kern w:val="0"/>
        </w:rPr>
        <w:t xml:space="preserve"> of </w:t>
      </w:r>
      <w:r>
        <w:rPr>
          <w:kern w:val="0"/>
        </w:rPr>
        <w:t>miniport (defined as ports smaller than the standard ports) laparoscopic cholecystectomy versus standard port laparoscopic cholecystectomy.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February 2013 to identify randomised clinical trials</w:t>
      </w:r>
      <w:r w:rsidR="00427468">
        <w:rPr>
          <w:kern w:val="0"/>
        </w:rPr>
        <w:t xml:space="preserve"> of </w:t>
      </w:r>
      <w:r>
        <w:rPr>
          <w:kern w:val="0"/>
        </w:rPr>
        <w:t>relevance to this review. Selection criteria Only randomised clinical trials (irrespective</w:t>
      </w:r>
      <w:r w:rsidR="00427468">
        <w:rPr>
          <w:kern w:val="0"/>
        </w:rPr>
        <w:t xml:space="preserve"> of </w:t>
      </w:r>
      <w:r>
        <w:rPr>
          <w:kern w:val="0"/>
        </w:rPr>
        <w:t>language, blinding, or publication status) comparing miniport versus standard port laparoscopic cholecystectomy were considered for the review. Data collection</w:t>
      </w:r>
      <w:r w:rsidR="005853A9">
        <w:rPr>
          <w:kern w:val="0"/>
        </w:rPr>
        <w:t xml:space="preserve"> and </w:t>
      </w:r>
      <w:r>
        <w:rPr>
          <w:kern w:val="0"/>
        </w:rPr>
        <w:t>analysis Two review authors collected the data independently. We analysed the data with both fixed-effect</w:t>
      </w:r>
      <w:r w:rsidR="005853A9">
        <w:rPr>
          <w:kern w:val="0"/>
        </w:rPr>
        <w:t xml:space="preserve"> and </w:t>
      </w:r>
      <w:r>
        <w:rPr>
          <w:kern w:val="0"/>
        </w:rPr>
        <w:t xml:space="preserve">random-effects models using RevMan analysis. For each outcome we calculated the risk ratio (RR), mean difference (MD), or standardised mean difference (SMD) with 95% confidence intervals (CI). Main results We included 12 trials with 734 patients randomised to miniport laparoscopic </w:t>
      </w:r>
      <w:r>
        <w:rPr>
          <w:kern w:val="0"/>
        </w:rPr>
        <w:lastRenderedPageBreak/>
        <w:t>cholecystectomy (380 patients) versus standard laparoscopic cholecystectomy (351 patients). Only one trial which included 70 patients was</w:t>
      </w:r>
      <w:r w:rsidR="00427468">
        <w:rPr>
          <w:kern w:val="0"/>
        </w:rPr>
        <w:t xml:space="preserve"> of </w:t>
      </w:r>
      <w:r>
        <w:rPr>
          <w:kern w:val="0"/>
        </w:rPr>
        <w:t>low risk</w:t>
      </w:r>
      <w:r w:rsidR="00427468">
        <w:rPr>
          <w:kern w:val="0"/>
        </w:rPr>
        <w:t xml:space="preserve"> of </w:t>
      </w:r>
      <w:r>
        <w:rPr>
          <w:kern w:val="0"/>
        </w:rPr>
        <w:t>bias. Miniport laparoscopic cholecystectomy could be completed successfully in more than 80%</w:t>
      </w:r>
      <w:r w:rsidR="00427468">
        <w:rPr>
          <w:kern w:val="0"/>
        </w:rPr>
        <w:t xml:space="preserve"> of </w:t>
      </w:r>
      <w:r>
        <w:rPr>
          <w:kern w:val="0"/>
        </w:rPr>
        <w:t>patients in most trials</w:t>
      </w:r>
      <w:r w:rsidR="00A37C1D">
        <w:rPr>
          <w:kern w:val="0"/>
        </w:rPr>
        <w:t>. The</w:t>
      </w:r>
      <w:r>
        <w:rPr>
          <w:kern w:val="0"/>
        </w:rPr>
        <w:t xml:space="preserve"> remaining patients were mostly converted to standard port laparoscopic cholecystectomy but some were also converted to open cholecystectomy</w:t>
      </w:r>
      <w:r w:rsidR="00A37C1D">
        <w:rPr>
          <w:kern w:val="0"/>
        </w:rPr>
        <w:t>. The</w:t>
      </w:r>
      <w:r>
        <w:rPr>
          <w:kern w:val="0"/>
        </w:rPr>
        <w:t>se patients were included for the outcome conversion to open cholecystectomy but excluded from other outcomes. Accordingly, the results</w:t>
      </w:r>
      <w:r w:rsidR="00427468">
        <w:rPr>
          <w:kern w:val="0"/>
        </w:rPr>
        <w:t xml:space="preserve"> of </w:t>
      </w:r>
      <w:r>
        <w:rPr>
          <w:kern w:val="0"/>
        </w:rPr>
        <w:t>the other outcomes are on 343 patients in the miniport laparoscopic cholecystectomy group</w:t>
      </w:r>
      <w:r w:rsidR="005853A9">
        <w:rPr>
          <w:kern w:val="0"/>
        </w:rPr>
        <w:t xml:space="preserve"> and </w:t>
      </w:r>
      <w:r>
        <w:rPr>
          <w:kern w:val="0"/>
        </w:rPr>
        <w:t>351 patients in the standard port laparoscopic cholecystectomy group,</w:t>
      </w:r>
      <w:r w:rsidR="005853A9">
        <w:rPr>
          <w:kern w:val="0"/>
        </w:rPr>
        <w:t xml:space="preserve"> and </w:t>
      </w:r>
      <w:r>
        <w:rPr>
          <w:kern w:val="0"/>
        </w:rPr>
        <w:t>therefore the results have to be interpreted with extreme caution</w:t>
      </w:r>
      <w:r w:rsidR="00A37C1D">
        <w:rPr>
          <w:kern w:val="0"/>
        </w:rPr>
        <w:t>. The</w:t>
      </w:r>
      <w:r>
        <w:rPr>
          <w:kern w:val="0"/>
        </w:rPr>
        <w:t>re was no mortality in the seven trials that reported mortality (0/194 patients in miniport laparoscopic cholecystectomy versus 0/203 patients in standard port laparoscopic cholecystectomy)</w:t>
      </w:r>
      <w:r w:rsidR="00A37C1D">
        <w:rPr>
          <w:kern w:val="0"/>
        </w:rPr>
        <w:t>. The</w:t>
      </w:r>
      <w:r>
        <w:rPr>
          <w:kern w:val="0"/>
        </w:rPr>
        <w:t>re were no significant differences between miniport laparoscopic cholecystectomy</w:t>
      </w:r>
      <w:r w:rsidR="005853A9">
        <w:rPr>
          <w:kern w:val="0"/>
        </w:rPr>
        <w:t xml:space="preserve"> and </w:t>
      </w:r>
      <w:r>
        <w:rPr>
          <w:kern w:val="0"/>
        </w:rPr>
        <w:t>standard laparoscopic cholecystectomy in the proportion</w:t>
      </w:r>
      <w:r w:rsidR="00427468">
        <w:rPr>
          <w:kern w:val="0"/>
        </w:rPr>
        <w:t xml:space="preserve"> of </w:t>
      </w:r>
      <w:r>
        <w:rPr>
          <w:kern w:val="0"/>
        </w:rPr>
        <w:t>patients who developed serious adverse events (eight trials; 460 patients; RR 0.33; 95% CI 0.04 to 3.08) (miniport laparoscopic cholecystectomy: 1/226 (adjusted proportion 0.4%) versus standard laparoscopic cholecystectomy: 3/234 (1.3%); quality</w:t>
      </w:r>
      <w:r w:rsidR="00427468">
        <w:rPr>
          <w:kern w:val="0"/>
        </w:rPr>
        <w:t xml:space="preserve"> of </w:t>
      </w:r>
      <w:r>
        <w:rPr>
          <w:kern w:val="0"/>
        </w:rPr>
        <w:t>life at 10 days after surgery (one trial; 70 patients; SMD -0.20; 95% CI -0.68 to 0.27); or in whom the laparoscopic operation had to be converted to open cholecystectomy (11 trials; 670 patients; RR 1.23; 95% CI 0.44 to 3.45) (miniport laparoscopic cholecystectomy: 8/351 (adjusted proportion 2.3%) versus standard laparoscopic cholecystectomy 6/319 (1.9%)). Miniport laparoscopic cholecystectomy took fiveminutes longer to complete than standard laparoscopic cholecystectomy (12 trials; 695 patients; MD 4.91 minutes; 95% CI 2.38 to 7.44)</w:t>
      </w:r>
      <w:r w:rsidR="00A37C1D">
        <w:rPr>
          <w:kern w:val="0"/>
        </w:rPr>
        <w:t>. The</w:t>
      </w:r>
      <w:r>
        <w:rPr>
          <w:kern w:val="0"/>
        </w:rPr>
        <w:t>re were no significant differences between miniport laparoscopic cholecystectomy</w:t>
      </w:r>
      <w:r w:rsidR="005853A9">
        <w:rPr>
          <w:kern w:val="0"/>
        </w:rPr>
        <w:t xml:space="preserve"> and </w:t>
      </w:r>
      <w:r>
        <w:rPr>
          <w:kern w:val="0"/>
        </w:rPr>
        <w:t>standard laparoscopic cholecystectomy in the length</w:t>
      </w:r>
      <w:r w:rsidR="00427468">
        <w:rPr>
          <w:kern w:val="0"/>
        </w:rPr>
        <w:t xml:space="preserve"> of </w:t>
      </w:r>
      <w:r>
        <w:rPr>
          <w:kern w:val="0"/>
        </w:rPr>
        <w:t>hospital stay (six trials; 351 patients; MD -0.00 days; 95% CI -0.12 to 0.11); the time taken to return to activity (one trial; 52 patients; MD 0.00 days; 95% CI -0.31 to 0.31); or in the time taken for the patient to return to work (two trials; 187 patients; MD 0.28 days; 95% CI -0.44 to 0.99) between the groups</w:t>
      </w:r>
      <w:r w:rsidR="00A37C1D">
        <w:rPr>
          <w:kern w:val="0"/>
        </w:rPr>
        <w:t>. The</w:t>
      </w:r>
      <w:r>
        <w:rPr>
          <w:kern w:val="0"/>
        </w:rPr>
        <w:t>re was no significant difference in the cosmesis scores at six months to 12 months after surgery between the two groups (two trials; 152 patients; SMD 0.13; 95% CI -0.19 to 0.46). Authors</w:t>
      </w:r>
      <w:r w:rsidR="0071223E">
        <w:rPr>
          <w:kern w:val="0"/>
        </w:rPr>
        <w:t>’</w:t>
      </w:r>
      <w:r>
        <w:rPr>
          <w:kern w:val="0"/>
        </w:rPr>
        <w:t xml:space="preserve"> conclusions Miniport laparoscopic cholecystectomy can be completed successfully in more than 80%</w:t>
      </w:r>
      <w:r w:rsidR="00427468">
        <w:rPr>
          <w:kern w:val="0"/>
        </w:rPr>
        <w:t xml:space="preserve"> of </w:t>
      </w:r>
      <w:r>
        <w:rPr>
          <w:kern w:val="0"/>
        </w:rPr>
        <w:t>patients</w:t>
      </w:r>
      <w:r w:rsidR="00A37C1D">
        <w:rPr>
          <w:kern w:val="0"/>
        </w:rPr>
        <w:t>. The</w:t>
      </w:r>
      <w:r>
        <w:rPr>
          <w:kern w:val="0"/>
        </w:rPr>
        <w:t>re appears to be no advantage</w:t>
      </w:r>
      <w:r w:rsidR="00427468">
        <w:rPr>
          <w:kern w:val="0"/>
        </w:rPr>
        <w:t xml:space="preserve"> of </w:t>
      </w:r>
      <w:r>
        <w:rPr>
          <w:kern w:val="0"/>
        </w:rPr>
        <w:t>miniport laparoscopic cholecystectomy in terms</w:t>
      </w:r>
      <w:r w:rsidR="00427468">
        <w:rPr>
          <w:kern w:val="0"/>
        </w:rPr>
        <w:t xml:space="preserve"> of </w:t>
      </w:r>
      <w:r>
        <w:rPr>
          <w:kern w:val="0"/>
        </w:rPr>
        <w:t>decreasing mortality, morbidity, hospital stay, return to activity, return to work, or improving cosmesis. On the other hand, there is a modest increase in operating time after miniport laparoscopic cholecystectomy compared with standard port laparoscopic cholecystectomy</w:t>
      </w:r>
      <w:r w:rsidR="005853A9">
        <w:rPr>
          <w:kern w:val="0"/>
        </w:rPr>
        <w:t xml:space="preserve"> and </w:t>
      </w:r>
      <w:r>
        <w:rPr>
          <w:kern w:val="0"/>
        </w:rPr>
        <w:t>the safety</w:t>
      </w:r>
      <w:r w:rsidR="00427468">
        <w:rPr>
          <w:kern w:val="0"/>
        </w:rPr>
        <w:t xml:space="preserve"> of </w:t>
      </w:r>
      <w:r>
        <w:rPr>
          <w:kern w:val="0"/>
        </w:rPr>
        <w:t xml:space="preserve">miniport laparoscopic cholecystectomy is yet to be established. Miniport </w:t>
      </w:r>
      <w:r>
        <w:rPr>
          <w:kern w:val="0"/>
        </w:rPr>
        <w:lastRenderedPageBreak/>
        <w:t>laparoscopic cholecystectomy cannot be recommended routinely outside well-designed randomised clinical trials. Further trials</w:t>
      </w:r>
      <w:r w:rsidR="00427468">
        <w:rPr>
          <w:kern w:val="0"/>
        </w:rPr>
        <w:t xml:space="preserve"> of </w:t>
      </w:r>
      <w:r>
        <w:rPr>
          <w:kern w:val="0"/>
        </w:rPr>
        <w:t>low risks</w:t>
      </w:r>
      <w:r w:rsidR="00427468">
        <w:rPr>
          <w:kern w:val="0"/>
        </w:rPr>
        <w:t xml:space="preserve"> of </w:t>
      </w:r>
      <w:r>
        <w:rPr>
          <w:kern w:val="0"/>
        </w:rPr>
        <w:t>bias</w:t>
      </w:r>
      <w:r w:rsidR="005853A9">
        <w:rPr>
          <w:kern w:val="0"/>
        </w:rPr>
        <w:t xml:space="preserve"> and </w:t>
      </w:r>
      <w:r>
        <w:rPr>
          <w:kern w:val="0"/>
        </w:rPr>
        <w:t>low risks</w:t>
      </w:r>
      <w:r w:rsidR="00427468">
        <w:rPr>
          <w:kern w:val="0"/>
        </w:rPr>
        <w:t xml:space="preserve"> of </w:t>
      </w:r>
      <w:r>
        <w:rPr>
          <w:kern w:val="0"/>
        </w:rPr>
        <w:t>random errors are necessary.</w:t>
      </w:r>
    </w:p>
    <w:p w:rsidR="00365DE4" w:rsidRDefault="00365DE4" w:rsidP="00365DE4">
      <w:pPr>
        <w:pStyle w:val="a3"/>
        <w:rPr>
          <w:kern w:val="0"/>
        </w:rPr>
      </w:pPr>
      <w:r>
        <w:rPr>
          <w:kern w:val="0"/>
        </w:rPr>
        <w:t xml:space="preserve">Keywords: Abdominal, Activity, Analysis, Authors, Benefits, Bias, Cholecystectomy, Cholecystectomy [Utilization], Cholecystectomy,Laparoscopic [Methods, Citation, Clinical, Clinical Trials, Clinical-Trials, Collection, Complete, Confidence, Confidence Intervals, Conventional, Conversion, Criteria, Data, Data Collection, Design Characteristics, Embase, Empirical-Evidence, Errors, Events, Groups, Hospital, Hospital Stay, Humans, Information Size, Intervals, Language, Laparoscopic, Laparoscopic Cholecystectomy, Length, Life, Low Risk, </w:t>
      </w:r>
      <w:r w:rsidR="00D5664A">
        <w:rPr>
          <w:kern w:val="0"/>
        </w:rPr>
        <w:t>MEDLINE</w:t>
      </w:r>
      <w:r>
        <w:rPr>
          <w:kern w:val="0"/>
        </w:rPr>
        <w:t>, Metaanalysis, Methods, Microlaparoscopic Cholecystectomy, Models, Morbidity, Mortality, Open, Operation, Outcome, Outcomes, Patients, Port, Prevalence, Publication, Quality, Quality Of, Quality</w:t>
      </w:r>
      <w:r w:rsidR="00427468">
        <w:rPr>
          <w:kern w:val="0"/>
        </w:rPr>
        <w:t xml:space="preserve"> of </w:t>
      </w:r>
      <w:r>
        <w:rPr>
          <w:kern w:val="0"/>
        </w:rPr>
        <w:t>Life, Randomised, Randomized Controlled Trials As Topic, Randomized Controlled-Trials, Relevance, Review, Risk, Risks, Safety, Science, Science Citation Index, Science Citation Index Expanded, Search, Sequential-Analysis, Standard, Standards], Surgery, Trial, Work</w:t>
      </w:r>
    </w:p>
    <w:p w:rsidR="00365DE4" w:rsidRDefault="00365DE4" w:rsidP="00365DE4">
      <w:pPr>
        <w:pStyle w:val="a3"/>
        <w:rPr>
          <w:kern w:val="0"/>
        </w:rPr>
      </w:pPr>
      <w:r>
        <w:rPr>
          <w:kern w:val="0"/>
        </w:rPr>
        <w:t>? Gur</w:t>
      </w:r>
      <w:r w:rsidR="00D5664A">
        <w:rPr>
          <w:kern w:val="0"/>
        </w:rPr>
        <w:t>USA</w:t>
      </w:r>
      <w:r>
        <w:rPr>
          <w:kern w:val="0"/>
        </w:rPr>
        <w:t>my, K.S., Rossi, M.</w:t>
      </w:r>
      <w:r w:rsidR="005853A9">
        <w:rPr>
          <w:kern w:val="0"/>
        </w:rPr>
        <w:t xml:space="preserve"> and </w:t>
      </w:r>
      <w:r>
        <w:rPr>
          <w:kern w:val="0"/>
        </w:rPr>
        <w:t xml:space="preserve">Davidson, B.R. (2013), Percutaneous cholecystostomy for high-risk surgical patients with acute calculous cholecystitis.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CD007088.</w:t>
      </w:r>
    </w:p>
    <w:p w:rsidR="00365DE4" w:rsidRDefault="00365DE4" w:rsidP="00365DE4">
      <w:pPr>
        <w:pStyle w:val="a3"/>
        <w:rPr>
          <w:kern w:val="2"/>
        </w:rPr>
      </w:pPr>
      <w:r>
        <w:t>Full Text: 2013\Coc Dat Sys Rev2013, CD007088.pdf</w:t>
      </w:r>
    </w:p>
    <w:p w:rsidR="00365DE4" w:rsidRDefault="00365DE4" w:rsidP="00365DE4">
      <w:pPr>
        <w:pStyle w:val="a3"/>
        <w:rPr>
          <w:kern w:val="0"/>
        </w:rPr>
      </w:pPr>
      <w:r>
        <w:rPr>
          <w:kern w:val="0"/>
        </w:rPr>
        <w:t>Abstract: Background The management</w:t>
      </w:r>
      <w:r w:rsidR="00427468">
        <w:rPr>
          <w:kern w:val="0"/>
        </w:rPr>
        <w:t xml:space="preserve"> of </w:t>
      </w:r>
      <w:r>
        <w:rPr>
          <w:kern w:val="0"/>
        </w:rPr>
        <w:t>people at high risk</w:t>
      </w:r>
      <w:r w:rsidR="00427468">
        <w:rPr>
          <w:kern w:val="0"/>
        </w:rPr>
        <w:t xml:space="preserve"> of </w:t>
      </w:r>
      <w:r>
        <w:rPr>
          <w:kern w:val="0"/>
        </w:rPr>
        <w:t>perioperative death due to their general condition (high-risk surgical patients) with acute calculous cholecystitis is controversial, with no clear guidelines. In particular, the role</w:t>
      </w:r>
      <w:r w:rsidR="00427468">
        <w:rPr>
          <w:kern w:val="0"/>
        </w:rPr>
        <w:t xml:space="preserve"> of </w:t>
      </w:r>
      <w:r>
        <w:rPr>
          <w:kern w:val="0"/>
        </w:rPr>
        <w:t>percutaneous cholecystostomy in these patients has not been defined. Objectives To compare the benefits (temporary or permanent relief</w:t>
      </w:r>
      <w:r w:rsidR="00427468">
        <w:rPr>
          <w:kern w:val="0"/>
        </w:rPr>
        <w:t xml:space="preserve"> of </w:t>
      </w:r>
      <w:r>
        <w:rPr>
          <w:kern w:val="0"/>
        </w:rPr>
        <w:t>symptoms)</w:t>
      </w:r>
      <w:r w:rsidR="005853A9">
        <w:rPr>
          <w:kern w:val="0"/>
        </w:rPr>
        <w:t xml:space="preserve"> and </w:t>
      </w:r>
      <w:r>
        <w:rPr>
          <w:kern w:val="0"/>
        </w:rPr>
        <w:t>harms (recurrence</w:t>
      </w:r>
      <w:r w:rsidR="00427468">
        <w:rPr>
          <w:kern w:val="0"/>
        </w:rPr>
        <w:t xml:space="preserve"> of </w:t>
      </w:r>
      <w:r>
        <w:rPr>
          <w:kern w:val="0"/>
        </w:rPr>
        <w:t>symptoms, procedure-related morbidity)</w:t>
      </w:r>
      <w:r w:rsidR="00427468">
        <w:rPr>
          <w:kern w:val="0"/>
        </w:rPr>
        <w:t xml:space="preserve"> of </w:t>
      </w:r>
      <w:r>
        <w:rPr>
          <w:kern w:val="0"/>
        </w:rPr>
        <w:t>percutaneous cholecystostomy in the management</w:t>
      </w:r>
      <w:r w:rsidR="00427468">
        <w:rPr>
          <w:kern w:val="0"/>
        </w:rPr>
        <w:t xml:space="preserve"> of </w:t>
      </w:r>
      <w:r>
        <w:rPr>
          <w:kern w:val="0"/>
        </w:rPr>
        <w:t>high-risk individuals with symptomatic gallstones.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to December 2012 to identify the randomised clinical trials. We also handsearched the references lists</w:t>
      </w:r>
      <w:r w:rsidR="00427468">
        <w:rPr>
          <w:kern w:val="0"/>
        </w:rPr>
        <w:t xml:space="preserve"> of </w:t>
      </w:r>
      <w:r>
        <w:rPr>
          <w:kern w:val="0"/>
        </w:rPr>
        <w:t>identified trials. Selection criteria We included only randomised clinical trials (irrespective</w:t>
      </w:r>
      <w:r w:rsidR="00427468">
        <w:rPr>
          <w:kern w:val="0"/>
        </w:rPr>
        <w:t xml:space="preserve"> of </w:t>
      </w:r>
      <w:r>
        <w:rPr>
          <w:kern w:val="0"/>
        </w:rPr>
        <w:t>language, blinding, or publication status) addressing this issue. Data collection</w:t>
      </w:r>
      <w:r w:rsidR="005853A9">
        <w:rPr>
          <w:kern w:val="0"/>
        </w:rPr>
        <w:t xml:space="preserve"> and </w:t>
      </w:r>
      <w:r>
        <w:rPr>
          <w:kern w:val="0"/>
        </w:rPr>
        <w:t>analysis Two review authors collected data independently. For each outcome, we calculated the P values using Fisher</w:t>
      </w:r>
      <w:r w:rsidR="0071223E">
        <w:rPr>
          <w:kern w:val="0"/>
        </w:rPr>
        <w:t>’</w:t>
      </w:r>
      <w:r>
        <w:rPr>
          <w:kern w:val="0"/>
        </w:rPr>
        <w:t>s exact test or mean difference (MD) with 95% confidence intervals (CI). Main results We included two trials with 156 participants for this review</w:t>
      </w:r>
      <w:r w:rsidR="00A37C1D">
        <w:rPr>
          <w:kern w:val="0"/>
        </w:rPr>
        <w:t>. The</w:t>
      </w:r>
      <w:r>
        <w:rPr>
          <w:kern w:val="0"/>
        </w:rPr>
        <w:t xml:space="preserve"> comparisons included in these two trials were percutaneous cholecystostomy followed by early laparoscopic cholecystectomy versus delayed laparoscopic cholecystectomy (1 trial; 70 participants)</w:t>
      </w:r>
      <w:r w:rsidR="005853A9">
        <w:rPr>
          <w:kern w:val="0"/>
        </w:rPr>
        <w:t xml:space="preserve"> and </w:t>
      </w:r>
      <w:r>
        <w:rPr>
          <w:kern w:val="0"/>
        </w:rPr>
        <w:t xml:space="preserve">percutaneous cholecystostomy versus </w:t>
      </w:r>
      <w:r>
        <w:rPr>
          <w:kern w:val="0"/>
        </w:rPr>
        <w:lastRenderedPageBreak/>
        <w:t>conservative treatment (1 trial; 86 participants). Both trials had high risk</w:t>
      </w:r>
      <w:r w:rsidR="00427468">
        <w:rPr>
          <w:kern w:val="0"/>
        </w:rPr>
        <w:t xml:space="preserve"> of </w:t>
      </w:r>
      <w:r>
        <w:rPr>
          <w:kern w:val="0"/>
        </w:rPr>
        <w:t>bias. Percutaneous cholecystostomy with early laparoscopic cholecystectomy versus delayed laparoscopic cholecystectomy: There was no significant difference in mortality between the two intervention groups (0/37 versus 1/33; Fisher</w:t>
      </w:r>
      <w:r w:rsidR="0071223E">
        <w:rPr>
          <w:kern w:val="0"/>
        </w:rPr>
        <w:t>’</w:t>
      </w:r>
      <w:r>
        <w:rPr>
          <w:kern w:val="0"/>
        </w:rPr>
        <w:t>s exact test: P value = 0.47)</w:t>
      </w:r>
      <w:r w:rsidR="00A37C1D">
        <w:rPr>
          <w:kern w:val="0"/>
        </w:rPr>
        <w:t>. The</w:t>
      </w:r>
      <w:r>
        <w:rPr>
          <w:kern w:val="0"/>
        </w:rPr>
        <w:t>re was nosignificant difference in overall morbidity between the two intervention groups (1/31 versus 2/30; Fisher</w:t>
      </w:r>
      <w:r w:rsidR="0071223E">
        <w:rPr>
          <w:kern w:val="0"/>
        </w:rPr>
        <w:t>’</w:t>
      </w:r>
      <w:r>
        <w:rPr>
          <w:kern w:val="0"/>
        </w:rPr>
        <w:t>s exact test: P value = 0.61). This trial did not report on quality</w:t>
      </w:r>
      <w:r w:rsidR="00427468">
        <w:rPr>
          <w:kern w:val="0"/>
        </w:rPr>
        <w:t xml:space="preserve"> of </w:t>
      </w:r>
      <w:r>
        <w:rPr>
          <w:kern w:val="0"/>
        </w:rPr>
        <w:t>life</w:t>
      </w:r>
      <w:r w:rsidR="00A37C1D">
        <w:rPr>
          <w:kern w:val="0"/>
        </w:rPr>
        <w:t>. The</w:t>
      </w:r>
      <w:r>
        <w:rPr>
          <w:kern w:val="0"/>
        </w:rPr>
        <w:t>re was no significant difference in the proportion</w:t>
      </w:r>
      <w:r w:rsidR="00427468">
        <w:rPr>
          <w:kern w:val="0"/>
        </w:rPr>
        <w:t xml:space="preserve"> of </w:t>
      </w:r>
      <w:r>
        <w:rPr>
          <w:kern w:val="0"/>
        </w:rPr>
        <w:t>participants requiring conversion to open cholecystectomy between the two intervention groups (2/31 percutaneous cholecystostomy followed by early laparoscopic cholecystectomy versus 4/30 delayed laparoscopic cholecystectomy; Fisher</w:t>
      </w:r>
      <w:r w:rsidR="0071223E">
        <w:rPr>
          <w:kern w:val="0"/>
        </w:rPr>
        <w:t>’</w:t>
      </w:r>
      <w:r>
        <w:rPr>
          <w:kern w:val="0"/>
        </w:rPr>
        <w:t>s exact test: P value = 0.43)</w:t>
      </w:r>
      <w:r w:rsidR="00A37C1D">
        <w:rPr>
          <w:kern w:val="0"/>
        </w:rPr>
        <w:t>. The</w:t>
      </w:r>
      <w:r>
        <w:rPr>
          <w:kern w:val="0"/>
        </w:rPr>
        <w:t xml:space="preserve"> mean total hospital stay was significantly lower in the percutaneous cholecystostomy followed by early laparoscopic cholecystectomy group compared with the delayed laparoscopic cholecystectomy group (1 trial; 61 participants; MD -9.90 days; 95% CI -12.31 to -7.49)</w:t>
      </w:r>
      <w:r w:rsidR="00A37C1D">
        <w:rPr>
          <w:kern w:val="0"/>
        </w:rPr>
        <w:t>. The</w:t>
      </w:r>
      <w:r>
        <w:rPr>
          <w:kern w:val="0"/>
        </w:rPr>
        <w:t xml:space="preserve"> mean total costs were significantly lower in the percutaneous cholecystostomy followed by early laparoscopic cholecystectomy group compared with the delayed laparoscopic cholecystectomy group (1 trial; 61 participants; MD -1123.00 USD; 95% CI -1336.60 to -909.40). Percutaneous cholecystostomy versus conservative treatment: Nine</w:t>
      </w:r>
      <w:r w:rsidR="00427468">
        <w:rPr>
          <w:kern w:val="0"/>
        </w:rPr>
        <w:t xml:space="preserve"> of </w:t>
      </w:r>
      <w:r>
        <w:rPr>
          <w:kern w:val="0"/>
        </w:rPr>
        <w:t>the 44 participants underwent delayed cholecystectomy in the percutaneous cholecystostomy group. Seven</w:t>
      </w:r>
      <w:r w:rsidR="00427468">
        <w:rPr>
          <w:kern w:val="0"/>
        </w:rPr>
        <w:t xml:space="preserve"> of </w:t>
      </w:r>
      <w:r>
        <w:rPr>
          <w:kern w:val="0"/>
        </w:rPr>
        <w:t>the 42 participants underwent delayed cholecystectomy in the conservative treatment group</w:t>
      </w:r>
      <w:r w:rsidR="00A37C1D">
        <w:rPr>
          <w:kern w:val="0"/>
        </w:rPr>
        <w:t>. The</w:t>
      </w:r>
      <w:r>
        <w:rPr>
          <w:kern w:val="0"/>
        </w:rPr>
        <w:t>re was no significant difference in mortality between the two intervention groups (6/44 versus 7/42; Fisher</w:t>
      </w:r>
      <w:r w:rsidR="0071223E">
        <w:rPr>
          <w:kern w:val="0"/>
        </w:rPr>
        <w:t>’</w:t>
      </w:r>
      <w:r>
        <w:rPr>
          <w:kern w:val="0"/>
        </w:rPr>
        <w:t>s exact test: P value = 0.77)</w:t>
      </w:r>
      <w:r w:rsidR="00A37C1D">
        <w:rPr>
          <w:kern w:val="0"/>
        </w:rPr>
        <w:t>. The</w:t>
      </w:r>
      <w:r>
        <w:rPr>
          <w:kern w:val="0"/>
        </w:rPr>
        <w:t>re was no significant difference in overall morbidity between the two intervention groups (6/44 versus 3/42; Fisher</w:t>
      </w:r>
      <w:r w:rsidR="0071223E">
        <w:rPr>
          <w:kern w:val="0"/>
        </w:rPr>
        <w:t>’</w:t>
      </w:r>
      <w:r>
        <w:rPr>
          <w:kern w:val="0"/>
        </w:rPr>
        <w:t>s exact test: P value = 0.49)</w:t>
      </w:r>
      <w:r w:rsidR="00A37C1D">
        <w:rPr>
          <w:kern w:val="0"/>
        </w:rPr>
        <w:t>. The</w:t>
      </w:r>
      <w:r>
        <w:rPr>
          <w:kern w:val="0"/>
        </w:rPr>
        <w:t xml:space="preserve"> number</w:t>
      </w:r>
      <w:r w:rsidR="00427468">
        <w:rPr>
          <w:kern w:val="0"/>
        </w:rPr>
        <w:t xml:space="preserve"> of </w:t>
      </w:r>
      <w:r>
        <w:rPr>
          <w:kern w:val="0"/>
        </w:rPr>
        <w:t>participants who underwent laparoscopic cholecystectomy was not reported in this trial</w:t>
      </w:r>
      <w:r w:rsidR="00A37C1D">
        <w:rPr>
          <w:kern w:val="0"/>
        </w:rPr>
        <w:t>. The</w:t>
      </w:r>
      <w:r>
        <w:rPr>
          <w:kern w:val="0"/>
        </w:rPr>
        <w:t>refore, we were unable to calculate the proportion</w:t>
      </w:r>
      <w:r w:rsidR="00427468">
        <w:rPr>
          <w:kern w:val="0"/>
        </w:rPr>
        <w:t xml:space="preserve"> of </w:t>
      </w:r>
      <w:r>
        <w:rPr>
          <w:kern w:val="0"/>
        </w:rPr>
        <w:t>participants who underwent conversion to open cholecystectomy</w:t>
      </w:r>
      <w:r w:rsidR="00A37C1D">
        <w:rPr>
          <w:kern w:val="0"/>
        </w:rPr>
        <w:t>. The</w:t>
      </w:r>
      <w:r>
        <w:rPr>
          <w:kern w:val="0"/>
        </w:rPr>
        <w:t xml:space="preserve"> other outcomes, total hospital stay, quality</w:t>
      </w:r>
      <w:r w:rsidR="00427468">
        <w:rPr>
          <w:kern w:val="0"/>
        </w:rPr>
        <w:t xml:space="preserve"> of </w:t>
      </w:r>
      <w:r>
        <w:rPr>
          <w:kern w:val="0"/>
        </w:rPr>
        <w:t>life,</w:t>
      </w:r>
      <w:r w:rsidR="005853A9">
        <w:rPr>
          <w:kern w:val="0"/>
        </w:rPr>
        <w:t xml:space="preserve"> and </w:t>
      </w:r>
      <w:r>
        <w:rPr>
          <w:kern w:val="0"/>
        </w:rPr>
        <w:t>total costs, were not reported in this trial. Authors</w:t>
      </w:r>
      <w:r w:rsidR="0071223E">
        <w:rPr>
          <w:kern w:val="0"/>
        </w:rPr>
        <w:t>’</w:t>
      </w:r>
      <w:r>
        <w:rPr>
          <w:kern w:val="0"/>
        </w:rPr>
        <w:t xml:space="preserve"> conclusions Based on the current available evidence from randomised clinical trials, we are unable to determine the role</w:t>
      </w:r>
      <w:r w:rsidR="00427468">
        <w:rPr>
          <w:kern w:val="0"/>
        </w:rPr>
        <w:t xml:space="preserve"> of </w:t>
      </w:r>
      <w:r>
        <w:rPr>
          <w:kern w:val="0"/>
        </w:rPr>
        <w:t>percutaneous cholecystostomy in the clinical management</w:t>
      </w:r>
      <w:r w:rsidR="00427468">
        <w:rPr>
          <w:kern w:val="0"/>
        </w:rPr>
        <w:t xml:space="preserve"> of </w:t>
      </w:r>
      <w:r>
        <w:rPr>
          <w:kern w:val="0"/>
        </w:rPr>
        <w:t>high-risk surgical patients with acute cholecystitis</w:t>
      </w:r>
      <w:r w:rsidR="00A37C1D">
        <w:rPr>
          <w:kern w:val="0"/>
        </w:rPr>
        <w:t>. The</w:t>
      </w:r>
      <w:r>
        <w:rPr>
          <w:kern w:val="0"/>
        </w:rPr>
        <w:t>re is a need for adequately powered randomised clinical trials</w:t>
      </w:r>
      <w:r w:rsidR="00427468">
        <w:rPr>
          <w:kern w:val="0"/>
        </w:rPr>
        <w:t xml:space="preserve"> of </w:t>
      </w:r>
      <w:r>
        <w:rPr>
          <w:kern w:val="0"/>
        </w:rPr>
        <w:t>low risk</w:t>
      </w:r>
      <w:r w:rsidR="00427468">
        <w:rPr>
          <w:kern w:val="0"/>
        </w:rPr>
        <w:t xml:space="preserve"> of </w:t>
      </w:r>
      <w:r>
        <w:rPr>
          <w:kern w:val="0"/>
        </w:rPr>
        <w:t>bias on this issue.</w:t>
      </w:r>
    </w:p>
    <w:p w:rsidR="00365DE4" w:rsidRDefault="00365DE4" w:rsidP="00365DE4">
      <w:pPr>
        <w:pStyle w:val="a3"/>
        <w:rPr>
          <w:kern w:val="0"/>
        </w:rPr>
      </w:pPr>
      <w:r>
        <w:rPr>
          <w:kern w:val="0"/>
        </w:rPr>
        <w:t xml:space="preserve">Keywords: Analysis, Authors, Benefits, Bias, Cholecystectomy, Citation, Clinical, Clinical Management, Clinical Trials, Collection, Confidence, Confidence Intervals, Conservative, Conservative Treatment, Conversion, Costs, Criteria, Data, Data Collection, Death, Design Characteristics, Elderly-Patients, Embase, Evidence, General, Groups, Guidelines, Hospital, Hospital Stay, Information Size, Intervals, Intervention, Language, Laparoscopic, Laparoscopic Cholecystectomy, Life, Low </w:t>
      </w:r>
      <w:r>
        <w:rPr>
          <w:kern w:val="0"/>
        </w:rPr>
        <w:lastRenderedPageBreak/>
        <w:t xml:space="preserve">Risk, Management, </w:t>
      </w:r>
      <w:r w:rsidR="00D5664A">
        <w:rPr>
          <w:kern w:val="0"/>
        </w:rPr>
        <w:t>MEDLINE</w:t>
      </w:r>
      <w:r>
        <w:rPr>
          <w:kern w:val="0"/>
        </w:rPr>
        <w:t>, Metaanalyses, Methods, Morbidity, Mortality, Open, Outcome, Outcomes, P, Patients, Percutaneous, Permanent, Publication, Quality, Quality Of, Quality</w:t>
      </w:r>
      <w:r w:rsidR="00427468">
        <w:rPr>
          <w:kern w:val="0"/>
        </w:rPr>
        <w:t xml:space="preserve"> of </w:t>
      </w:r>
      <w:r>
        <w:rPr>
          <w:kern w:val="0"/>
        </w:rPr>
        <w:t>Life, Randomised, Randomized Clinical-Trials, Recurrence, References, Review, Risk, Role, Science, Science Citation Index, Science Citation Index Expanded, Search, Surgery, Symptoms, Temporary, Treatment, Trial, Trial Sequential-Analysis, Value</w:t>
      </w:r>
    </w:p>
    <w:p w:rsidR="00365DE4" w:rsidRDefault="00365DE4" w:rsidP="00365DE4">
      <w:pPr>
        <w:pStyle w:val="a3"/>
        <w:rPr>
          <w:kern w:val="0"/>
        </w:rPr>
      </w:pPr>
      <w:r>
        <w:rPr>
          <w:kern w:val="0"/>
        </w:rPr>
        <w:t>? Cramp, F., Hewlett, S., Almeida, C., Kirwan, J.R., Choy, E.H.S., Chalder, T., Pollock, J.</w:t>
      </w:r>
      <w:r w:rsidR="005853A9">
        <w:rPr>
          <w:kern w:val="0"/>
        </w:rPr>
        <w:t xml:space="preserve"> and </w:t>
      </w:r>
      <w:r>
        <w:rPr>
          <w:kern w:val="0"/>
        </w:rPr>
        <w:t xml:space="preserve">Christensen, R. (2013), Non-pharmacological interventions for fatigue in rheumatoid arthritis.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UNSP CD008322.</w:t>
      </w:r>
    </w:p>
    <w:p w:rsidR="00365DE4" w:rsidRDefault="00365DE4" w:rsidP="00365DE4">
      <w:pPr>
        <w:pStyle w:val="a3"/>
        <w:rPr>
          <w:kern w:val="2"/>
        </w:rPr>
      </w:pPr>
      <w:r>
        <w:t>Full Text: 2013\Coc Dat Sys Rev2013, UNSP CD008322.pdf</w:t>
      </w:r>
    </w:p>
    <w:p w:rsidR="00365DE4" w:rsidRDefault="00365DE4" w:rsidP="00365DE4">
      <w:pPr>
        <w:pStyle w:val="a3"/>
        <w:rPr>
          <w:kern w:val="0"/>
        </w:rPr>
      </w:pPr>
      <w:r>
        <w:rPr>
          <w:kern w:val="0"/>
        </w:rPr>
        <w:t>Abstract: Background Fatigue is a common</w:t>
      </w:r>
      <w:r w:rsidR="005853A9">
        <w:rPr>
          <w:kern w:val="0"/>
        </w:rPr>
        <w:t xml:space="preserve"> and </w:t>
      </w:r>
      <w:r>
        <w:rPr>
          <w:kern w:val="0"/>
        </w:rPr>
        <w:t>potentially distressing symptom for people with rheumatoid arthritis with no accepted evidence based management guidelines. Non-pharmacological interventions, such as physical activity</w:t>
      </w:r>
      <w:r w:rsidR="005853A9">
        <w:rPr>
          <w:kern w:val="0"/>
        </w:rPr>
        <w:t xml:space="preserve"> and </w:t>
      </w:r>
      <w:r>
        <w:rPr>
          <w:kern w:val="0"/>
        </w:rPr>
        <w:t>psychosocial interventions, have been shown to help people with a range</w:t>
      </w:r>
      <w:r w:rsidR="00427468">
        <w:rPr>
          <w:kern w:val="0"/>
        </w:rPr>
        <w:t xml:space="preserve"> of </w:t>
      </w:r>
      <w:r>
        <w:rPr>
          <w:kern w:val="0"/>
        </w:rPr>
        <w:t>other long-term conditions to manage subjective fatigue. Objectives To evaluate the benefit</w:t>
      </w:r>
      <w:r w:rsidR="005853A9">
        <w:rPr>
          <w:kern w:val="0"/>
        </w:rPr>
        <w:t xml:space="preserve"> and </w:t>
      </w:r>
      <w:r>
        <w:rPr>
          <w:kern w:val="0"/>
        </w:rPr>
        <w:t>harm</w:t>
      </w:r>
      <w:r w:rsidR="00427468">
        <w:rPr>
          <w:kern w:val="0"/>
        </w:rPr>
        <w:t xml:space="preserve"> of </w:t>
      </w:r>
      <w:r>
        <w:rPr>
          <w:kern w:val="0"/>
        </w:rPr>
        <w:t>non-pharmacological interventions for the management</w:t>
      </w:r>
      <w:r w:rsidR="00427468">
        <w:rPr>
          <w:kern w:val="0"/>
        </w:rPr>
        <w:t xml:space="preserve"> of </w:t>
      </w:r>
      <w:r>
        <w:rPr>
          <w:kern w:val="0"/>
        </w:rPr>
        <w:t>fatigue in people with rheumatoid arthritis. This included any intervention that was not classified as pharmacological in accordance with European Union (EU) Directive 2001/83/EEC. Search methods The following electronic databases were searched up to October 2012, Cochrane Central Register</w:t>
      </w:r>
      <w:r w:rsidR="00427468">
        <w:rPr>
          <w:kern w:val="0"/>
        </w:rPr>
        <w:t xml:space="preserve"> of </w:t>
      </w:r>
      <w:r>
        <w:rPr>
          <w:kern w:val="0"/>
        </w:rPr>
        <w:t xml:space="preserve">Controlled Trials (CENTRAL); </w:t>
      </w:r>
      <w:r w:rsidR="00D5664A">
        <w:rPr>
          <w:kern w:val="0"/>
        </w:rPr>
        <w:t>MEDLINE</w:t>
      </w:r>
      <w:r>
        <w:rPr>
          <w:kern w:val="0"/>
        </w:rPr>
        <w:t xml:space="preserve">; EMBASE; AMED; CINAHL; PsycINFO; Social Science Citation Index; </w:t>
      </w:r>
      <w:r w:rsidR="00D5664A">
        <w:rPr>
          <w:kern w:val="0"/>
        </w:rPr>
        <w:t>Web</w:t>
      </w:r>
      <w:r w:rsidR="00427468">
        <w:rPr>
          <w:kern w:val="0"/>
        </w:rPr>
        <w:t xml:space="preserve"> of </w:t>
      </w:r>
      <w:r w:rsidR="00D5664A">
        <w:rPr>
          <w:kern w:val="0"/>
        </w:rPr>
        <w:t>Science</w:t>
      </w:r>
      <w:r>
        <w:rPr>
          <w:kern w:val="0"/>
        </w:rPr>
        <w:t>; Dissertation Abstracts International; Current Controlled Trials Register; The National Research Register Archive; The UKCRN Portfolio Database. In addition, reference lists</w:t>
      </w:r>
      <w:r w:rsidR="00427468">
        <w:rPr>
          <w:kern w:val="0"/>
        </w:rPr>
        <w:t xml:space="preserve"> of </w:t>
      </w:r>
      <w:r>
        <w:rPr>
          <w:kern w:val="0"/>
        </w:rPr>
        <w:t>articles identified for inclusion were checked for additional studies</w:t>
      </w:r>
      <w:r w:rsidR="005853A9">
        <w:rPr>
          <w:kern w:val="0"/>
        </w:rPr>
        <w:t xml:space="preserve"> and </w:t>
      </w:r>
      <w:r>
        <w:rPr>
          <w:kern w:val="0"/>
        </w:rPr>
        <w:t>key authors were contacted. Selection criteria Randomised controlled trials were included if they evaluated a non-pharmacological intervention in people with rheumatoid arthritis with self-reported fatigue as an outcome measure. Data collection</w:t>
      </w:r>
      <w:r w:rsidR="005853A9">
        <w:rPr>
          <w:kern w:val="0"/>
        </w:rPr>
        <w:t xml:space="preserve"> and </w:t>
      </w:r>
      <w:r>
        <w:rPr>
          <w:kern w:val="0"/>
        </w:rPr>
        <w:t>analysis Two review authors selected relevant trials, assessed risk</w:t>
      </w:r>
      <w:r w:rsidR="00427468">
        <w:rPr>
          <w:kern w:val="0"/>
        </w:rPr>
        <w:t xml:space="preserve"> of </w:t>
      </w:r>
      <w:r>
        <w:rPr>
          <w:kern w:val="0"/>
        </w:rPr>
        <w:t>bias</w:t>
      </w:r>
      <w:r w:rsidR="005853A9">
        <w:rPr>
          <w:kern w:val="0"/>
        </w:rPr>
        <w:t xml:space="preserve"> and </w:t>
      </w:r>
      <w:r>
        <w:rPr>
          <w:kern w:val="0"/>
        </w:rPr>
        <w:t>extracted data. Where appropriate, data were pooled using meta-analysis with a random-effects model. Main results Twenty-four studies met the inclusion criteria, with a total</w:t>
      </w:r>
      <w:r w:rsidR="00427468">
        <w:rPr>
          <w:kern w:val="0"/>
        </w:rPr>
        <w:t xml:space="preserve"> of </w:t>
      </w:r>
      <w:r>
        <w:rPr>
          <w:kern w:val="0"/>
        </w:rPr>
        <w:t>2882 participants with rheumatoid arthritis. Included studies investigated physical activity interventions (n = 6 studies; 388 participants), psychosocial interventions (n = 13 studies; 1579 participants), herbal medicine (n = 1 study; 58 participants), omega-3 fatty acid supplementation (n = 1 study; 81 participants), Mediterranean diet (n = 1 study; 51 participants), reflexology (n = 1 study; 11 participants)</w:t>
      </w:r>
      <w:r w:rsidR="005853A9">
        <w:rPr>
          <w:kern w:val="0"/>
        </w:rPr>
        <w:t xml:space="preserve"> and </w:t>
      </w:r>
      <w:r>
        <w:rPr>
          <w:kern w:val="0"/>
        </w:rPr>
        <w:t>the provision</w:t>
      </w:r>
      <w:r w:rsidR="00427468">
        <w:rPr>
          <w:kern w:val="0"/>
        </w:rPr>
        <w:t xml:space="preserve"> of </w:t>
      </w:r>
      <w:r>
        <w:rPr>
          <w:kern w:val="0"/>
        </w:rPr>
        <w:t>Health Tracker information (n = 1 study; 714 participants). Physical activity was statistically significantly more effective than the control at the end</w:t>
      </w:r>
      <w:r w:rsidR="00427468">
        <w:rPr>
          <w:kern w:val="0"/>
        </w:rPr>
        <w:t xml:space="preserve"> of </w:t>
      </w:r>
      <w:r>
        <w:rPr>
          <w:kern w:val="0"/>
        </w:rPr>
        <w:t xml:space="preserve">the intervention period (standardized mean </w:t>
      </w:r>
      <w:r>
        <w:rPr>
          <w:kern w:val="0"/>
        </w:rPr>
        <w:lastRenderedPageBreak/>
        <w:t>difference (SMD) -0.36, 95% confidence interval (CI) -0.62 to -0.10; back translated to mean difference</w:t>
      </w:r>
      <w:r w:rsidR="00427468">
        <w:rPr>
          <w:kern w:val="0"/>
        </w:rPr>
        <w:t xml:space="preserve"> of </w:t>
      </w:r>
      <w:r>
        <w:rPr>
          <w:kern w:val="0"/>
        </w:rPr>
        <w:t>14.4 points lower, 95% CI -4.0 to -24.8 on a 100 point scale where a lower score means less fatigue; number needed to treat for an additional beneficial outcome (NNTB) 7, 95% CI 4 to 26) demonstrating a small beneficial effect upon fatigue. Psychosocial intervention was statistically significantly more effective than the control at the end</w:t>
      </w:r>
      <w:r w:rsidR="00427468">
        <w:rPr>
          <w:kern w:val="0"/>
        </w:rPr>
        <w:t xml:space="preserve"> of </w:t>
      </w:r>
      <w:r>
        <w:rPr>
          <w:kern w:val="0"/>
        </w:rPr>
        <w:t>the intervention period (SMD -0.24, 95% CI -0.40 to -0.07; back translated to mean difference</w:t>
      </w:r>
      <w:r w:rsidR="00427468">
        <w:rPr>
          <w:kern w:val="0"/>
        </w:rPr>
        <w:t xml:space="preserve"> of </w:t>
      </w:r>
      <w:r>
        <w:rPr>
          <w:kern w:val="0"/>
        </w:rPr>
        <w:t>9.6 points lower, 95% CI -2.8 to -16.0 on a 100 point scale, lower score means less fatigue; NNTB 10, 95% CI 6 to 33) demonstrating a small beneficial effect upon fatigue. For the remaining interventions meta-analysis was not possible</w:t>
      </w:r>
      <w:r w:rsidR="005853A9">
        <w:rPr>
          <w:kern w:val="0"/>
        </w:rPr>
        <w:t xml:space="preserve"> and </w:t>
      </w:r>
      <w:r>
        <w:rPr>
          <w:kern w:val="0"/>
        </w:rPr>
        <w:t>there was either no statistically significant difference between trial arms or findings were not reported. Only three studies reported any adverse events</w:t>
      </w:r>
      <w:r w:rsidR="005853A9">
        <w:rPr>
          <w:kern w:val="0"/>
        </w:rPr>
        <w:t xml:space="preserve"> and </w:t>
      </w:r>
      <w:r>
        <w:rPr>
          <w:kern w:val="0"/>
        </w:rPr>
        <w:t>none</w:t>
      </w:r>
      <w:r w:rsidR="00427468">
        <w:rPr>
          <w:kern w:val="0"/>
        </w:rPr>
        <w:t xml:space="preserve"> of </w:t>
      </w:r>
      <w:r>
        <w:rPr>
          <w:kern w:val="0"/>
        </w:rPr>
        <w:t>these were serious, however, it is possible that the low incidence was in part due to poor reporting</w:t>
      </w:r>
      <w:r w:rsidR="00A37C1D">
        <w:rPr>
          <w:kern w:val="0"/>
        </w:rPr>
        <w:t>. The</w:t>
      </w:r>
      <w:r>
        <w:rPr>
          <w:kern w:val="0"/>
        </w:rPr>
        <w:t xml:space="preserve"> quality</w:t>
      </w:r>
      <w:r w:rsidR="00427468">
        <w:rPr>
          <w:kern w:val="0"/>
        </w:rPr>
        <w:t xml:space="preserve"> of </w:t>
      </w:r>
      <w:r>
        <w:rPr>
          <w:kern w:val="0"/>
        </w:rPr>
        <w:t>the evidence ranged from moderate quality for physical activity interventions</w:t>
      </w:r>
      <w:r w:rsidR="005853A9">
        <w:rPr>
          <w:kern w:val="0"/>
        </w:rPr>
        <w:t xml:space="preserve"> and </w:t>
      </w:r>
      <w:r>
        <w:rPr>
          <w:kern w:val="0"/>
        </w:rPr>
        <w:t>Mediterranean diet to low quality for psychosocial interventions</w:t>
      </w:r>
      <w:r w:rsidR="005853A9">
        <w:rPr>
          <w:kern w:val="0"/>
        </w:rPr>
        <w:t xml:space="preserve"> and </w:t>
      </w:r>
      <w:r>
        <w:rPr>
          <w:kern w:val="0"/>
        </w:rPr>
        <w:t>all other interventions. Authors</w:t>
      </w:r>
      <w:r w:rsidR="0071223E">
        <w:rPr>
          <w:kern w:val="0"/>
        </w:rPr>
        <w:t>’</w:t>
      </w:r>
      <w:r>
        <w:rPr>
          <w:kern w:val="0"/>
        </w:rPr>
        <w:t xml:space="preserve"> conclusions This review provides some evidence that physical activity</w:t>
      </w:r>
      <w:r w:rsidR="005853A9">
        <w:rPr>
          <w:kern w:val="0"/>
        </w:rPr>
        <w:t xml:space="preserve"> and </w:t>
      </w:r>
      <w:r>
        <w:rPr>
          <w:kern w:val="0"/>
        </w:rPr>
        <w:t>psychosocial interventions provide benefit in relation to self-reported fatigue in adults with rheumatoid arthritis</w:t>
      </w:r>
      <w:r w:rsidR="00A37C1D">
        <w:rPr>
          <w:kern w:val="0"/>
        </w:rPr>
        <w:t>. The</w:t>
      </w:r>
      <w:r>
        <w:rPr>
          <w:kern w:val="0"/>
        </w:rPr>
        <w:t>re is currently insufficient evidence</w:t>
      </w:r>
      <w:r w:rsidR="00427468">
        <w:rPr>
          <w:kern w:val="0"/>
        </w:rPr>
        <w:t xml:space="preserve"> of </w:t>
      </w:r>
      <w:r>
        <w:rPr>
          <w:kern w:val="0"/>
        </w:rPr>
        <w:t>the effectiveness</w:t>
      </w:r>
      <w:r w:rsidR="00427468">
        <w:rPr>
          <w:kern w:val="0"/>
        </w:rPr>
        <w:t xml:space="preserve"> of </w:t>
      </w:r>
      <w:r>
        <w:rPr>
          <w:kern w:val="0"/>
        </w:rPr>
        <w:t>other non-pharmacological interventions.</w:t>
      </w:r>
    </w:p>
    <w:p w:rsidR="00365DE4" w:rsidRDefault="00365DE4" w:rsidP="00365DE4">
      <w:pPr>
        <w:pStyle w:val="a3"/>
        <w:rPr>
          <w:kern w:val="0"/>
        </w:rPr>
      </w:pPr>
      <w:r>
        <w:rPr>
          <w:kern w:val="0"/>
        </w:rPr>
        <w:t xml:space="preserve">Keywords: Activity, Aerobic Fitness, Analysis, Arthritis, Authors, Bias, Chinese Medicine, Citation, Cognitive-Behavioral Therapy, Collection, Confidence, Control, Criteria, Data, Data Collection, Database, Databases, Diet, Disease-Activity, Dissertation, Effectiveness, Embase, EU, European Union, Events, Evidence, Evidence Based, Evidence-Based, Fatigue, Fatty Acid, Guidelines, Health-Status, Herbal Medicine, Home Exercise, Incidence, Information, Interval, Intervention, Interventions, Long Term, Long-Term, Management, Measure, Medicine, Mediterranean, </w:t>
      </w:r>
      <w:r w:rsidR="00D5664A">
        <w:rPr>
          <w:kern w:val="0"/>
        </w:rPr>
        <w:t>MEDLINE</w:t>
      </w:r>
      <w:r>
        <w:rPr>
          <w:kern w:val="0"/>
        </w:rPr>
        <w:t xml:space="preserve">, Meta Analysis, Meta-Analysis, Metaanalysis, Methods, Model, Number Needed To Treat, Omega-3 Fatty Acid, Outcome, Patient Education, Physical, Physical Activity, Psychosocial, Psycinfo, Quality, Quality Of, Quality-Of-Life, Random Effects Model, Randomised Controlled Trials, Randomized Controlled-Trial, Reference, Reference Lists, Reporting, Research, Review, Rheumatoid Arthritis, Risk, Scale, Science, Science Citation Index, Search, Self-Management Program, Small, Social Science Citation Index, Trial,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Liu, Z.L., Xie, L.Z., Zhu, J., Li, G.Q., Grant, S.J.</w:t>
      </w:r>
      <w:r w:rsidR="005853A9">
        <w:rPr>
          <w:kern w:val="0"/>
        </w:rPr>
        <w:t xml:space="preserve"> and </w:t>
      </w:r>
      <w:r>
        <w:rPr>
          <w:kern w:val="0"/>
        </w:rPr>
        <w:t xml:space="preserve">Liu, J.P. (2013), Herbal medicines for fatty liver diseases.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CD009059.</w:t>
      </w:r>
    </w:p>
    <w:p w:rsidR="00365DE4" w:rsidRDefault="00365DE4" w:rsidP="00365DE4">
      <w:pPr>
        <w:pStyle w:val="a3"/>
        <w:rPr>
          <w:kern w:val="2"/>
        </w:rPr>
      </w:pPr>
      <w:r>
        <w:t>Full Text: 2013\Coc Dat Sys Rev2013, CD009059.pdf</w:t>
      </w:r>
    </w:p>
    <w:p w:rsidR="00365DE4" w:rsidRDefault="00365DE4" w:rsidP="00365DE4">
      <w:pPr>
        <w:pStyle w:val="a3"/>
        <w:rPr>
          <w:kern w:val="0"/>
        </w:rPr>
      </w:pPr>
      <w:r>
        <w:rPr>
          <w:kern w:val="0"/>
        </w:rPr>
        <w:t xml:space="preserve">Abstract: Background Fatty liver disease is potentially a reversible condition that may </w:t>
      </w:r>
      <w:r>
        <w:rPr>
          <w:kern w:val="0"/>
        </w:rPr>
        <w:lastRenderedPageBreak/>
        <w:t>lead to end-stage liver disease. Since herbal medicines such as Crataegus pinnatifida</w:t>
      </w:r>
      <w:r w:rsidR="005853A9">
        <w:rPr>
          <w:kern w:val="0"/>
        </w:rPr>
        <w:t xml:space="preserve"> and </w:t>
      </w:r>
      <w:r>
        <w:rPr>
          <w:kern w:val="0"/>
        </w:rPr>
        <w:t>Salvia miltiorrhiza have increasingly been used in the management</w:t>
      </w:r>
      <w:r w:rsidR="00427468">
        <w:rPr>
          <w:kern w:val="0"/>
        </w:rPr>
        <w:t xml:space="preserve"> of </w:t>
      </w:r>
      <w:r>
        <w:rPr>
          <w:kern w:val="0"/>
        </w:rPr>
        <w:t>fatty liver disease, a systematic review on herbal medicine for fatty liver disease is needed. Objectives To assess the beneficial</w:t>
      </w:r>
      <w:r w:rsidR="005853A9">
        <w:rPr>
          <w:kern w:val="0"/>
        </w:rPr>
        <w:t xml:space="preserve"> and </w:t>
      </w:r>
      <w:r>
        <w:rPr>
          <w:kern w:val="0"/>
        </w:rPr>
        <w:t>harmful effects</w:t>
      </w:r>
      <w:r w:rsidR="00427468">
        <w:rPr>
          <w:kern w:val="0"/>
        </w:rPr>
        <w:t xml:space="preserve"> of </w:t>
      </w:r>
      <w:r>
        <w:rPr>
          <w:kern w:val="0"/>
        </w:rPr>
        <w:t>herbal medicines for people with alcoholic or non-alcoholic fatty liver disease. Search methods We searched The Cochrane Hepato-Biliary Group Controlled Trials Register, the Cochrane Central Register</w:t>
      </w:r>
      <w:r w:rsidR="00427468">
        <w:rPr>
          <w:kern w:val="0"/>
        </w:rPr>
        <w:t xml:space="preserve"> of </w:t>
      </w:r>
      <w:r>
        <w:rPr>
          <w:kern w:val="0"/>
        </w:rPr>
        <w:t xml:space="preserve">Controlled Trials (CENTRAL) (Issue 3, 2012), </w:t>
      </w:r>
      <w:r w:rsidR="00D5664A">
        <w:rPr>
          <w:kern w:val="0"/>
        </w:rPr>
        <w:t>MEDLINE</w:t>
      </w:r>
      <w:r>
        <w:rPr>
          <w:kern w:val="0"/>
        </w:rPr>
        <w:t>, EMBASE,</w:t>
      </w:r>
      <w:r w:rsidR="005853A9">
        <w:rPr>
          <w:kern w:val="0"/>
        </w:rPr>
        <w:t xml:space="preserve"> and </w:t>
      </w:r>
      <w:r>
        <w:rPr>
          <w:kern w:val="0"/>
        </w:rPr>
        <w:t>Science Citation Index Expanded to 1 March 2012. We also searched the Chinese BioMedical Database, Traditional Chinese Medical Literature Analysis</w:t>
      </w:r>
      <w:r w:rsidR="005853A9">
        <w:rPr>
          <w:kern w:val="0"/>
        </w:rPr>
        <w:t xml:space="preserve"> and </w:t>
      </w:r>
      <w:r>
        <w:rPr>
          <w:kern w:val="0"/>
        </w:rPr>
        <w:t>Retrieval System, China National Knowledge Infrastructure, Chinese VIP Information, Chinese Academic Conference Papers Database</w:t>
      </w:r>
      <w:r w:rsidR="005853A9">
        <w:rPr>
          <w:kern w:val="0"/>
        </w:rPr>
        <w:t xml:space="preserve"> and </w:t>
      </w:r>
      <w:r>
        <w:rPr>
          <w:kern w:val="0"/>
        </w:rPr>
        <w:t>Chinese Dissertation Database,</w:t>
      </w:r>
      <w:r w:rsidR="005853A9">
        <w:rPr>
          <w:kern w:val="0"/>
        </w:rPr>
        <w:t xml:space="preserve"> and </w:t>
      </w:r>
      <w:r>
        <w:rPr>
          <w:kern w:val="0"/>
        </w:rPr>
        <w:t>the Allied</w:t>
      </w:r>
      <w:r w:rsidR="005853A9">
        <w:rPr>
          <w:kern w:val="0"/>
        </w:rPr>
        <w:t xml:space="preserve"> and </w:t>
      </w:r>
      <w:r>
        <w:rPr>
          <w:kern w:val="0"/>
        </w:rPr>
        <w:t>Complementary Medicine Database to 2 March 2012. Selection criteria We included randomised clinical trials comparing herbal medicines with placebo, no treatment, a pharmacological intervention, or a non-pharmacological intervention such as diet or lifestyle, or Western interventions in participants with fatty liver disease. Data collection</w:t>
      </w:r>
      <w:r w:rsidR="005853A9">
        <w:rPr>
          <w:kern w:val="0"/>
        </w:rPr>
        <w:t xml:space="preserve"> and </w:t>
      </w:r>
      <w:r>
        <w:rPr>
          <w:kern w:val="0"/>
        </w:rPr>
        <w:t xml:space="preserve">analysis Two review authors extracted data independently. We used the </w:t>
      </w:r>
      <w:r w:rsidR="0071223E">
        <w:rPr>
          <w:kern w:val="0"/>
        </w:rPr>
        <w:t>‘</w:t>
      </w:r>
      <w:r>
        <w:rPr>
          <w:kern w:val="0"/>
        </w:rPr>
        <w:t>risk</w:t>
      </w:r>
      <w:r w:rsidR="00427468">
        <w:rPr>
          <w:kern w:val="0"/>
        </w:rPr>
        <w:t xml:space="preserve"> of </w:t>
      </w:r>
      <w:r>
        <w:rPr>
          <w:kern w:val="0"/>
        </w:rPr>
        <w:t>bias</w:t>
      </w:r>
      <w:r w:rsidR="0071223E">
        <w:rPr>
          <w:kern w:val="0"/>
        </w:rPr>
        <w:t>’</w:t>
      </w:r>
      <w:r>
        <w:rPr>
          <w:kern w:val="0"/>
        </w:rPr>
        <w:t xml:space="preserve"> tool to assess the risk</w:t>
      </w:r>
      <w:r w:rsidR="00427468">
        <w:rPr>
          <w:kern w:val="0"/>
        </w:rPr>
        <w:t xml:space="preserve"> of </w:t>
      </w:r>
      <w:r>
        <w:rPr>
          <w:kern w:val="0"/>
        </w:rPr>
        <w:t>bias</w:t>
      </w:r>
      <w:r w:rsidR="00427468">
        <w:rPr>
          <w:kern w:val="0"/>
        </w:rPr>
        <w:t xml:space="preserve"> of </w:t>
      </w:r>
      <w:r>
        <w:rPr>
          <w:kern w:val="0"/>
        </w:rPr>
        <w:t>the included trials. We assessed the following domains: random sequence generation, allocation concealment, blinding, incomplete outcome data, selective outcome reporting,</w:t>
      </w:r>
      <w:r w:rsidR="005853A9">
        <w:rPr>
          <w:kern w:val="0"/>
        </w:rPr>
        <w:t xml:space="preserve"> and </w:t>
      </w:r>
      <w:r>
        <w:rPr>
          <w:kern w:val="0"/>
        </w:rPr>
        <w:t>other sources</w:t>
      </w:r>
      <w:r w:rsidR="00427468">
        <w:rPr>
          <w:kern w:val="0"/>
        </w:rPr>
        <w:t xml:space="preserve"> of </w:t>
      </w:r>
      <w:r>
        <w:rPr>
          <w:kern w:val="0"/>
        </w:rPr>
        <w:t>bias. We presented the effects estimates as risk ratios (RR) with 95% confidence intervals (CI) or as mean differences (MD) with 95% CI, depending on the variables</w:t>
      </w:r>
      <w:r w:rsidR="00427468">
        <w:rPr>
          <w:kern w:val="0"/>
        </w:rPr>
        <w:t xml:space="preserve"> of </w:t>
      </w:r>
      <w:r>
        <w:rPr>
          <w:kern w:val="0"/>
        </w:rPr>
        <w:t>the outcome measures. Main results We included 77 randomised clinical trials, which included 6753 participants with fatty liver disease</w:t>
      </w:r>
      <w:r w:rsidR="00A37C1D">
        <w:rPr>
          <w:kern w:val="0"/>
        </w:rPr>
        <w:t>. The</w:t>
      </w:r>
      <w:r>
        <w:rPr>
          <w:kern w:val="0"/>
        </w:rPr>
        <w:t xml:space="preserve"> risks</w:t>
      </w:r>
      <w:r w:rsidR="00427468">
        <w:rPr>
          <w:kern w:val="0"/>
        </w:rPr>
        <w:t xml:space="preserve"> of </w:t>
      </w:r>
      <w:r>
        <w:rPr>
          <w:kern w:val="0"/>
        </w:rPr>
        <w:t>bias (overestimation</w:t>
      </w:r>
      <w:r w:rsidR="00427468">
        <w:rPr>
          <w:kern w:val="0"/>
        </w:rPr>
        <w:t xml:space="preserve"> of </w:t>
      </w:r>
      <w:r>
        <w:rPr>
          <w:kern w:val="0"/>
        </w:rPr>
        <w:t>benefits</w:t>
      </w:r>
      <w:r w:rsidR="005853A9">
        <w:rPr>
          <w:kern w:val="0"/>
        </w:rPr>
        <w:t xml:space="preserve"> and </w:t>
      </w:r>
      <w:r>
        <w:rPr>
          <w:kern w:val="0"/>
        </w:rPr>
        <w:t>underestimation</w:t>
      </w:r>
      <w:r w:rsidR="00427468">
        <w:rPr>
          <w:kern w:val="0"/>
        </w:rPr>
        <w:t xml:space="preserve"> of </w:t>
      </w:r>
      <w:r>
        <w:rPr>
          <w:kern w:val="0"/>
        </w:rPr>
        <w:t>harms) was high in all trials</w:t>
      </w:r>
      <w:r w:rsidR="00A37C1D">
        <w:rPr>
          <w:kern w:val="0"/>
        </w:rPr>
        <w:t>. The</w:t>
      </w:r>
      <w:r>
        <w:rPr>
          <w:kern w:val="0"/>
        </w:rPr>
        <w:t xml:space="preserve"> mean sample size was 88 participants (ranging from 40 to 200 participants) per trial. Seventy-five different herbal medicine products were tested. Herbal medicines tested in the randomised trials included single-herb products (Gynostemma pentaphyllum, Panax notoginseng,</w:t>
      </w:r>
      <w:r w:rsidR="005853A9">
        <w:rPr>
          <w:kern w:val="0"/>
        </w:rPr>
        <w:t xml:space="preserve"> and </w:t>
      </w:r>
      <w:r>
        <w:rPr>
          <w:kern w:val="0"/>
        </w:rPr>
        <w:t>Prunus armeniaca), proprietary herbal medicines commercially available,</w:t>
      </w:r>
      <w:r w:rsidR="005853A9">
        <w:rPr>
          <w:kern w:val="0"/>
        </w:rPr>
        <w:t xml:space="preserve"> and </w:t>
      </w:r>
      <w:r>
        <w:rPr>
          <w:kern w:val="0"/>
        </w:rPr>
        <w:t>combination formulas prescribed by practitioners</w:t>
      </w:r>
      <w:r w:rsidR="00A37C1D">
        <w:rPr>
          <w:kern w:val="0"/>
        </w:rPr>
        <w:t>. The</w:t>
      </w:r>
      <w:r>
        <w:rPr>
          <w:kern w:val="0"/>
        </w:rPr>
        <w:t xml:space="preserve"> most commonly used herbs were Crataegus pinnatifida, Salvia miltiorrhiza, Alisma orientalis, Bupleurum chinense, Cassia obtusifolia, Astragalus membranaceous,</w:t>
      </w:r>
      <w:r w:rsidR="005853A9">
        <w:rPr>
          <w:kern w:val="0"/>
        </w:rPr>
        <w:t xml:space="preserve"> and </w:t>
      </w:r>
      <w:r>
        <w:rPr>
          <w:kern w:val="0"/>
        </w:rPr>
        <w:t>Rheum palmatum. None</w:t>
      </w:r>
      <w:r w:rsidR="00427468">
        <w:rPr>
          <w:kern w:val="0"/>
        </w:rPr>
        <w:t xml:space="preserve"> of </w:t>
      </w:r>
      <w:r>
        <w:rPr>
          <w:kern w:val="0"/>
        </w:rPr>
        <w:t>the trials reported death, hepatic-related morbidity, quality</w:t>
      </w:r>
      <w:r w:rsidR="00427468">
        <w:rPr>
          <w:kern w:val="0"/>
        </w:rPr>
        <w:t xml:space="preserve"> of </w:t>
      </w:r>
      <w:r>
        <w:rPr>
          <w:kern w:val="0"/>
        </w:rPr>
        <w:t>life, or costs. A large number</w:t>
      </w:r>
      <w:r w:rsidR="00427468">
        <w:rPr>
          <w:kern w:val="0"/>
        </w:rPr>
        <w:t xml:space="preserve"> of </w:t>
      </w:r>
      <w:r>
        <w:rPr>
          <w:kern w:val="0"/>
        </w:rPr>
        <w:t>trials reported positive effects on putative surrogate outcomes such as serum aspartate aminotransferase, alanine aminotransferase, glutamyltransferase, alkaline phosphatases, ultrasound,</w:t>
      </w:r>
      <w:r w:rsidR="005853A9">
        <w:rPr>
          <w:kern w:val="0"/>
        </w:rPr>
        <w:t xml:space="preserve"> and </w:t>
      </w:r>
      <w:r>
        <w:rPr>
          <w:kern w:val="0"/>
        </w:rPr>
        <w:t>computed tomography scan. Twenty-seven trials reported adverse effects</w:t>
      </w:r>
      <w:r w:rsidR="005853A9">
        <w:rPr>
          <w:kern w:val="0"/>
        </w:rPr>
        <w:t xml:space="preserve"> and </w:t>
      </w:r>
      <w:r>
        <w:rPr>
          <w:kern w:val="0"/>
        </w:rPr>
        <w:t>found no significant difference between herbal medicines versus control. However, the risk</w:t>
      </w:r>
      <w:r w:rsidR="00427468">
        <w:rPr>
          <w:kern w:val="0"/>
        </w:rPr>
        <w:t xml:space="preserve"> of </w:t>
      </w:r>
      <w:r>
        <w:rPr>
          <w:kern w:val="0"/>
        </w:rPr>
        <w:t>bias</w:t>
      </w:r>
      <w:r w:rsidR="00427468">
        <w:rPr>
          <w:kern w:val="0"/>
        </w:rPr>
        <w:t xml:space="preserve"> of </w:t>
      </w:r>
      <w:r>
        <w:rPr>
          <w:kern w:val="0"/>
        </w:rPr>
        <w:t>the included trials was high</w:t>
      </w:r>
      <w:r w:rsidR="00A37C1D">
        <w:rPr>
          <w:kern w:val="0"/>
        </w:rPr>
        <w:t>. The</w:t>
      </w:r>
      <w:r>
        <w:rPr>
          <w:kern w:val="0"/>
        </w:rPr>
        <w:t xml:space="preserve"> outcomes were ultrasound findings in 22 </w:t>
      </w:r>
      <w:r>
        <w:rPr>
          <w:kern w:val="0"/>
        </w:rPr>
        <w:lastRenderedPageBreak/>
        <w:t>trials, liver computed tomography findings in eight trials, aspartate aminotransferase levels in 64 trials, alanine aminotransferase activity in 77 trials,</w:t>
      </w:r>
      <w:r w:rsidR="005853A9">
        <w:rPr>
          <w:kern w:val="0"/>
        </w:rPr>
        <w:t xml:space="preserve"> and </w:t>
      </w:r>
      <w:r>
        <w:rPr>
          <w:kern w:val="0"/>
        </w:rPr>
        <w:t>glutamyltransferase activities in 44 trials. Six herbal medicines showed statistically significant beneficial effects on ultrasound, four on liver computed tomography, 42 on aspartate aminotransferase activity, 49 on alanine aminotransferase activity, three on alkaline phosphatases activity,</w:t>
      </w:r>
      <w:r w:rsidR="005853A9">
        <w:rPr>
          <w:kern w:val="0"/>
        </w:rPr>
        <w:t xml:space="preserve"> and </w:t>
      </w:r>
      <w:r>
        <w:rPr>
          <w:kern w:val="0"/>
        </w:rPr>
        <w:t>32 on glutamyltransferase activity compared with control interventions. Authors</w:t>
      </w:r>
      <w:r w:rsidR="0071223E">
        <w:rPr>
          <w:kern w:val="0"/>
        </w:rPr>
        <w:t>’</w:t>
      </w:r>
      <w:r>
        <w:rPr>
          <w:kern w:val="0"/>
        </w:rPr>
        <w:t xml:space="preserve"> conclusions Some herbal medicines seemed to have positive effects on aspartate aminotransferase, alanine aminotransferase, ultrasound,</w:t>
      </w:r>
      <w:r w:rsidR="005853A9">
        <w:rPr>
          <w:kern w:val="0"/>
        </w:rPr>
        <w:t xml:space="preserve"> and </w:t>
      </w:r>
      <w:r>
        <w:rPr>
          <w:kern w:val="0"/>
        </w:rPr>
        <w:t>computed tomography. We found no significant difference on adverse effects between herbal medicine</w:t>
      </w:r>
      <w:r w:rsidR="005853A9">
        <w:rPr>
          <w:kern w:val="0"/>
        </w:rPr>
        <w:t xml:space="preserve"> and </w:t>
      </w:r>
      <w:r>
        <w:rPr>
          <w:kern w:val="0"/>
        </w:rPr>
        <w:t>control groups</w:t>
      </w:r>
      <w:r w:rsidR="00A37C1D">
        <w:rPr>
          <w:kern w:val="0"/>
        </w:rPr>
        <w:t>. The</w:t>
      </w:r>
      <w:r>
        <w:rPr>
          <w:kern w:val="0"/>
        </w:rPr>
        <w:t xml:space="preserve"> findings are not conclusive due to the high risk</w:t>
      </w:r>
      <w:r w:rsidR="00427468">
        <w:rPr>
          <w:kern w:val="0"/>
        </w:rPr>
        <w:t xml:space="preserve"> of </w:t>
      </w:r>
      <w:r>
        <w:rPr>
          <w:kern w:val="0"/>
        </w:rPr>
        <w:t>bias</w:t>
      </w:r>
      <w:r w:rsidR="00427468">
        <w:rPr>
          <w:kern w:val="0"/>
        </w:rPr>
        <w:t xml:space="preserve"> of </w:t>
      </w:r>
      <w:r>
        <w:rPr>
          <w:kern w:val="0"/>
        </w:rPr>
        <w:t>the included trials</w:t>
      </w:r>
      <w:r w:rsidR="005853A9">
        <w:rPr>
          <w:kern w:val="0"/>
        </w:rPr>
        <w:t xml:space="preserve"> and </w:t>
      </w:r>
      <w:r>
        <w:rPr>
          <w:kern w:val="0"/>
        </w:rPr>
        <w:t>the limited number</w:t>
      </w:r>
      <w:r w:rsidR="00427468">
        <w:rPr>
          <w:kern w:val="0"/>
        </w:rPr>
        <w:t xml:space="preserve"> of </w:t>
      </w:r>
      <w:r>
        <w:rPr>
          <w:kern w:val="0"/>
        </w:rPr>
        <w:t>trials testing individual herbal medicines. Accordingly, there is also high risk</w:t>
      </w:r>
      <w:r w:rsidR="00427468">
        <w:rPr>
          <w:kern w:val="0"/>
        </w:rPr>
        <w:t xml:space="preserve"> of </w:t>
      </w:r>
      <w:r>
        <w:rPr>
          <w:kern w:val="0"/>
        </w:rPr>
        <w:t>random errors.</w:t>
      </w:r>
    </w:p>
    <w:p w:rsidR="00365DE4" w:rsidRDefault="00365DE4" w:rsidP="00365DE4">
      <w:pPr>
        <w:pStyle w:val="a3"/>
        <w:rPr>
          <w:kern w:val="0"/>
        </w:rPr>
      </w:pPr>
      <w:r>
        <w:rPr>
          <w:kern w:val="0"/>
        </w:rPr>
        <w:t xml:space="preserve">Keywords: Academic, Activity, Adverse Effects, Alanine Aminotransferase, Allocation, Analysis, Aspartate Aminotransferase, Authors, Benefits, Bias, China, Chinese, Citation, Clinical, Clinical Trials, Collection, Computed Tomography, Conference, Confidence, Confidence Intervals, Control, Control Groups, Costs, Criteria, Data, Data Collection, Database, Death, Design Characteristics, Diet, Disease, Diseases, Dissertation, Effects, Embase, Empirical-Evidence, Errors, Estimates, Generation, Groups, Hepatic Steatosis, Herbal Medicine, Herbal Medicines, Information, Information Size, Intervals, Intervention, Interventions, Knowledge, Lead, Life, Literature, Liver, Management, Medical, Medicine, </w:t>
      </w:r>
      <w:r w:rsidR="00D5664A">
        <w:rPr>
          <w:kern w:val="0"/>
        </w:rPr>
        <w:t>MEDLINE</w:t>
      </w:r>
      <w:r>
        <w:rPr>
          <w:kern w:val="0"/>
        </w:rPr>
        <w:t>, Metaanalyses, Methods, Morbidity, Nonalcoholic Steatohepatitis, Outcome, Outcome Measures, Outcomes, Placebo, Quality, Quality Of, Quality</w:t>
      </w:r>
      <w:r w:rsidR="00427468">
        <w:rPr>
          <w:kern w:val="0"/>
        </w:rPr>
        <w:t xml:space="preserve"> of </w:t>
      </w:r>
      <w:r>
        <w:rPr>
          <w:kern w:val="0"/>
        </w:rPr>
        <w:t>Life, Randomised, Randomized-Trials, Reporting, Review, Risk, Risks, Sample Size, Science, Science Citation Index, Science Citation Index Expanded, Search, Serum, Size, Sources, Surrogate, Systematic Review, Testing, Treatment, Trial, Trial Sequential-Analysis, Ultrasound, United-States, Vitamin-E</w:t>
      </w:r>
    </w:p>
    <w:p w:rsidR="00365DE4" w:rsidRDefault="00365DE4" w:rsidP="00365DE4">
      <w:pPr>
        <w:pStyle w:val="a3"/>
        <w:rPr>
          <w:kern w:val="0"/>
        </w:rPr>
      </w:pPr>
      <w:r>
        <w:rPr>
          <w:kern w:val="0"/>
        </w:rPr>
        <w:t>? Pan, Q., Angelina, A., Zambrano, A., Marrone, M., Stark, W.J., Heflin, T., Tang, L.</w:t>
      </w:r>
      <w:r w:rsidR="005853A9">
        <w:rPr>
          <w:kern w:val="0"/>
        </w:rPr>
        <w:t xml:space="preserve"> and </w:t>
      </w:r>
      <w:r>
        <w:rPr>
          <w:kern w:val="0"/>
        </w:rPr>
        <w:t xml:space="preserve">Akpek, E.K. (2013), Autologous serum eye drops for dry eye.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8</w:t>
      </w:r>
      <w:r>
        <w:rPr>
          <w:kern w:val="0"/>
        </w:rPr>
        <w:t>, Article Number: CD009327.</w:t>
      </w:r>
    </w:p>
    <w:p w:rsidR="00365DE4" w:rsidRDefault="00365DE4" w:rsidP="00365DE4">
      <w:pPr>
        <w:pStyle w:val="a3"/>
        <w:rPr>
          <w:kern w:val="2"/>
        </w:rPr>
      </w:pPr>
      <w:r>
        <w:t>Full Text: 2013\Coc Dat Sys Rev2013, CD009327.pdf</w:t>
      </w:r>
    </w:p>
    <w:p w:rsidR="00365DE4" w:rsidRDefault="00365DE4" w:rsidP="00365DE4">
      <w:pPr>
        <w:pStyle w:val="a3"/>
        <w:rPr>
          <w:kern w:val="0"/>
        </w:rPr>
      </w:pPr>
      <w:r>
        <w:rPr>
          <w:kern w:val="0"/>
        </w:rPr>
        <w:t>Abstract: Background Theoretically, autologous serum tears (AST) have a potential advantage over traditional therapies based on the assumption that AST serve not only as a lacrimal substitute to provide lubrication, but also contain other biochemical components mimicking natural tears more closely</w:t>
      </w:r>
      <w:r w:rsidR="00A37C1D">
        <w:rPr>
          <w:kern w:val="0"/>
        </w:rPr>
        <w:t>. The</w:t>
      </w:r>
      <w:r>
        <w:rPr>
          <w:kern w:val="0"/>
        </w:rPr>
        <w:t xml:space="preserve"> application</w:t>
      </w:r>
      <w:r w:rsidR="00427468">
        <w:rPr>
          <w:kern w:val="0"/>
        </w:rPr>
        <w:t xml:space="preserve"> of </w:t>
      </w:r>
      <w:r>
        <w:rPr>
          <w:kern w:val="0"/>
        </w:rPr>
        <w:t>AST in dry eye treatment has gained popularity as an adjunctive treatment for dry eye. However, thus far there has been no systematic review assessing the effectiveness</w:t>
      </w:r>
      <w:r w:rsidR="00427468">
        <w:rPr>
          <w:kern w:val="0"/>
        </w:rPr>
        <w:t xml:space="preserve"> of </w:t>
      </w:r>
      <w:r>
        <w:rPr>
          <w:kern w:val="0"/>
        </w:rPr>
        <w:t>AST in the treatment for dry eye. Objectives To assess the safety</w:t>
      </w:r>
      <w:r w:rsidR="005853A9">
        <w:rPr>
          <w:kern w:val="0"/>
        </w:rPr>
        <w:t xml:space="preserve"> and </w:t>
      </w:r>
      <w:r>
        <w:rPr>
          <w:kern w:val="0"/>
        </w:rPr>
        <w:t>effectiveness</w:t>
      </w:r>
      <w:r w:rsidR="00427468">
        <w:rPr>
          <w:kern w:val="0"/>
        </w:rPr>
        <w:t xml:space="preserve"> of </w:t>
      </w:r>
      <w:r>
        <w:rPr>
          <w:kern w:val="0"/>
        </w:rPr>
        <w:t xml:space="preserve">AST </w:t>
      </w:r>
      <w:r>
        <w:rPr>
          <w:kern w:val="0"/>
        </w:rPr>
        <w:lastRenderedPageBreak/>
        <w:t>eye drops compared to artificial tears for treating dry eye. Search methods We searched CENTRAL (which contains the Cochrane Eyes</w:t>
      </w:r>
      <w:r w:rsidR="005853A9">
        <w:rPr>
          <w:kern w:val="0"/>
        </w:rPr>
        <w:t xml:space="preserve"> and </w:t>
      </w:r>
      <w:r>
        <w:rPr>
          <w:kern w:val="0"/>
        </w:rPr>
        <w:t xml:space="preserve">Vision Group Trials Register) (The Cochrane Library 2013, Issue 3),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OLD</w:t>
      </w:r>
      <w:r w:rsidR="00D5664A">
        <w:rPr>
          <w:kern w:val="0"/>
        </w:rPr>
        <w:t>MEDLINE</w:t>
      </w:r>
      <w:r>
        <w:rPr>
          <w:kern w:val="0"/>
        </w:rPr>
        <w:t>, (January 1950 to April 2013), EMBASE (January 1980 to April 2013), Latin American</w:t>
      </w:r>
      <w:r w:rsidR="005853A9">
        <w:rPr>
          <w:kern w:val="0"/>
        </w:rPr>
        <w:t xml:space="preserve"> and </w:t>
      </w:r>
      <w:r>
        <w:rPr>
          <w:kern w:val="0"/>
        </w:rPr>
        <w:t>Caribbean Literature on Health Sciences (LILACS) (January 1982 to April 2013),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 We also searched the Science Citation Index Expanded database</w:t>
      </w:r>
      <w:r w:rsidR="005853A9">
        <w:rPr>
          <w:kern w:val="0"/>
        </w:rPr>
        <w:t xml:space="preserve"> and </w:t>
      </w:r>
      <w:r>
        <w:rPr>
          <w:kern w:val="0"/>
        </w:rPr>
        <w:t>reference lists</w:t>
      </w:r>
      <w:r w:rsidR="00427468">
        <w:rPr>
          <w:kern w:val="0"/>
        </w:rPr>
        <w:t xml:space="preserve"> of </w:t>
      </w:r>
      <w:r>
        <w:rPr>
          <w:kern w:val="0"/>
        </w:rPr>
        <w:t>included studies. We did not use any date or language restrictions in the electronic searches for trials. We last searched the electronic databases on 15 April 2013. Selection criteria We included randomized controlled trials (RCTs) in which AST was compared to artificial tears in the treatment</w:t>
      </w:r>
      <w:r w:rsidR="00427468">
        <w:rPr>
          <w:kern w:val="0"/>
        </w:rPr>
        <w:t xml:space="preserve"> of </w:t>
      </w:r>
      <w:r>
        <w:rPr>
          <w:kern w:val="0"/>
        </w:rPr>
        <w:t>dry eye. Data collection</w:t>
      </w:r>
      <w:r w:rsidR="005853A9">
        <w:rPr>
          <w:kern w:val="0"/>
        </w:rPr>
        <w:t xml:space="preserve"> and </w:t>
      </w:r>
      <w:r>
        <w:rPr>
          <w:kern w:val="0"/>
        </w:rPr>
        <w:t>analysis Two review authors independently screened all retrieved articles. Methodological quality</w:t>
      </w:r>
      <w:r w:rsidR="005853A9">
        <w:rPr>
          <w:kern w:val="0"/>
        </w:rPr>
        <w:t xml:space="preserve"> and </w:t>
      </w:r>
      <w:r>
        <w:rPr>
          <w:kern w:val="0"/>
        </w:rPr>
        <w:t>study characteristics</w:t>
      </w:r>
      <w:r w:rsidR="00427468">
        <w:rPr>
          <w:kern w:val="0"/>
        </w:rPr>
        <w:t xml:space="preserve"> of </w:t>
      </w:r>
      <w:r>
        <w:rPr>
          <w:kern w:val="0"/>
        </w:rPr>
        <w:t>the included trials were assessed by two review authors. We contacted investigators for missing data. For both primary</w:t>
      </w:r>
      <w:r w:rsidR="005853A9">
        <w:rPr>
          <w:kern w:val="0"/>
        </w:rPr>
        <w:t xml:space="preserve"> and </w:t>
      </w:r>
      <w:r>
        <w:rPr>
          <w:kern w:val="0"/>
        </w:rPr>
        <w:t>secondary outcomes, we reported mean differences with corresponding 95% confidence intervals (CIs) for continuous outcomes. Main results Four eligible trials randomized individuals (n = 72 participants) with dry eye</w:t>
      </w:r>
      <w:r w:rsidR="00427468">
        <w:rPr>
          <w:kern w:val="0"/>
        </w:rPr>
        <w:t xml:space="preserve"> of </w:t>
      </w:r>
      <w:r>
        <w:rPr>
          <w:kern w:val="0"/>
        </w:rPr>
        <w:t>various etiologies (Sjogren</w:t>
      </w:r>
      <w:r w:rsidR="0071223E">
        <w:rPr>
          <w:kern w:val="0"/>
        </w:rPr>
        <w:t>’</w:t>
      </w:r>
      <w:r>
        <w:rPr>
          <w:kern w:val="0"/>
        </w:rPr>
        <w:t>s syndrome-related dry eye, non-Sjogren</w:t>
      </w:r>
      <w:r w:rsidR="0071223E">
        <w:rPr>
          <w:kern w:val="0"/>
        </w:rPr>
        <w:t>’</w:t>
      </w:r>
      <w:r>
        <w:rPr>
          <w:kern w:val="0"/>
        </w:rPr>
        <w:t>s syndrome dry eye</w:t>
      </w:r>
      <w:r w:rsidR="005853A9">
        <w:rPr>
          <w:kern w:val="0"/>
        </w:rPr>
        <w:t xml:space="preserve"> and </w:t>
      </w:r>
      <w:r>
        <w:rPr>
          <w:kern w:val="0"/>
        </w:rPr>
        <w:t>postoperative dry eye induced by laser-assisted in situ keratomileusis (LASIK)) to either AST or artificial tear treatment</w:t>
      </w:r>
      <w:r w:rsidR="00A37C1D">
        <w:rPr>
          <w:kern w:val="0"/>
        </w:rPr>
        <w:t>. The</w:t>
      </w:r>
      <w:r>
        <w:rPr>
          <w:kern w:val="0"/>
        </w:rPr>
        <w:t xml:space="preserve"> quality</w:t>
      </w:r>
      <w:r w:rsidR="00427468">
        <w:rPr>
          <w:kern w:val="0"/>
        </w:rPr>
        <w:t xml:space="preserve"> of </w:t>
      </w:r>
      <w:r>
        <w:rPr>
          <w:kern w:val="0"/>
        </w:rPr>
        <w:t>the evidence provided by these trials was variable. Incomplete outcome reporting</w:t>
      </w:r>
      <w:r w:rsidR="005853A9">
        <w:rPr>
          <w:kern w:val="0"/>
        </w:rPr>
        <w:t xml:space="preserve"> and </w:t>
      </w:r>
      <w:r>
        <w:rPr>
          <w:kern w:val="0"/>
        </w:rPr>
        <w:t>heterogeneity in the participant populations prevented the inclusion</w:t>
      </w:r>
      <w:r w:rsidR="00427468">
        <w:rPr>
          <w:kern w:val="0"/>
        </w:rPr>
        <w:t xml:space="preserve"> of </w:t>
      </w:r>
      <w:r>
        <w:rPr>
          <w:kern w:val="0"/>
        </w:rPr>
        <w:t>these trials in a summary meta-analysis. Based on the results</w:t>
      </w:r>
      <w:r w:rsidR="00427468">
        <w:rPr>
          <w:kern w:val="0"/>
        </w:rPr>
        <w:t xml:space="preserve"> of </w:t>
      </w:r>
      <w:r>
        <w:rPr>
          <w:kern w:val="0"/>
        </w:rPr>
        <w:t>two trials in 32 participants, 20% AST may provide some improvement in participant-reported symptoms compared to traditional artificial tears after two weeks</w:t>
      </w:r>
      <w:r w:rsidR="00427468">
        <w:rPr>
          <w:kern w:val="0"/>
        </w:rPr>
        <w:t xml:space="preserve"> of </w:t>
      </w:r>
      <w:r>
        <w:rPr>
          <w:kern w:val="0"/>
        </w:rPr>
        <w:t>treatment. One trial also showed promising results with a mean difference in tear break-up time (TBUT)</w:t>
      </w:r>
      <w:r w:rsidR="00427468">
        <w:rPr>
          <w:kern w:val="0"/>
        </w:rPr>
        <w:t xml:space="preserve"> of </w:t>
      </w:r>
      <w:r>
        <w:rPr>
          <w:kern w:val="0"/>
        </w:rPr>
        <w:t>2.00 seconds (95% CI 0.99 to 3.01 seconds) between 20% AST</w:t>
      </w:r>
      <w:r w:rsidR="005853A9">
        <w:rPr>
          <w:kern w:val="0"/>
        </w:rPr>
        <w:t xml:space="preserve"> and </w:t>
      </w:r>
      <w:r>
        <w:rPr>
          <w:kern w:val="0"/>
        </w:rPr>
        <w:t>artificial tears after two weeks</w:t>
      </w:r>
      <w:r w:rsidR="00A37C1D">
        <w:rPr>
          <w:kern w:val="0"/>
        </w:rPr>
        <w:t>. The</w:t>
      </w:r>
      <w:r>
        <w:rPr>
          <w:kern w:val="0"/>
        </w:rPr>
        <w:t>se findings in participant-reported symptom improvement</w:t>
      </w:r>
      <w:r w:rsidR="005853A9">
        <w:rPr>
          <w:kern w:val="0"/>
        </w:rPr>
        <w:t xml:space="preserve"> and </w:t>
      </w:r>
      <w:r>
        <w:rPr>
          <w:kern w:val="0"/>
        </w:rPr>
        <w:t>tear film stability were not consistent in the other trials. Based on additional objective clinical assessments, AST was not associated with improvements in aqueous tear production measured by Schirmer</w:t>
      </w:r>
      <w:r w:rsidR="0071223E">
        <w:rPr>
          <w:kern w:val="0"/>
        </w:rPr>
        <w:t>’</w:t>
      </w:r>
      <w:r>
        <w:rPr>
          <w:kern w:val="0"/>
        </w:rPr>
        <w:t>s test (two trials, 33 participants), ocular surface condition with fluorescein (four trials, 72 participants) or Rose Bengal staining (three trials, 60 participants),</w:t>
      </w:r>
      <w:r w:rsidR="005853A9">
        <w:rPr>
          <w:kern w:val="0"/>
        </w:rPr>
        <w:t xml:space="preserve"> and </w:t>
      </w:r>
      <w:r>
        <w:rPr>
          <w:kern w:val="0"/>
        </w:rPr>
        <w:t>epithelial metaplasia by impression cytology compared to artificial tears (one trial, 13 participants). Data on adverse effects were not reported consistently in the included studies; however, there were no reported serious adverse events associated with the collection</w:t>
      </w:r>
      <w:r w:rsidR="00427468">
        <w:rPr>
          <w:kern w:val="0"/>
        </w:rPr>
        <w:t xml:space="preserve"> of </w:t>
      </w:r>
      <w:r w:rsidR="005853A9">
        <w:rPr>
          <w:kern w:val="0"/>
        </w:rPr>
        <w:t xml:space="preserve">and </w:t>
      </w:r>
      <w:r>
        <w:rPr>
          <w:kern w:val="0"/>
        </w:rPr>
        <w:t xml:space="preserve">treatment with </w:t>
      </w:r>
      <w:r>
        <w:rPr>
          <w:kern w:val="0"/>
        </w:rPr>
        <w:lastRenderedPageBreak/>
        <w:t>AST. Authors</w:t>
      </w:r>
      <w:r w:rsidR="0071223E">
        <w:rPr>
          <w:kern w:val="0"/>
        </w:rPr>
        <w:t>’</w:t>
      </w:r>
      <w:r>
        <w:rPr>
          <w:kern w:val="0"/>
        </w:rPr>
        <w:t xml:space="preserve"> conclusions Although 20% AST may provide some benefit in improving participant-reported symptoms in the short-term (two weeks), there is still a lack</w:t>
      </w:r>
      <w:r w:rsidR="00427468">
        <w:rPr>
          <w:kern w:val="0"/>
        </w:rPr>
        <w:t xml:space="preserve"> of </w:t>
      </w:r>
      <w:r>
        <w:rPr>
          <w:kern w:val="0"/>
        </w:rPr>
        <w:t>sufficient</w:t>
      </w:r>
      <w:r w:rsidR="005853A9">
        <w:rPr>
          <w:kern w:val="0"/>
        </w:rPr>
        <w:t xml:space="preserve"> and </w:t>
      </w:r>
      <w:r>
        <w:rPr>
          <w:kern w:val="0"/>
        </w:rPr>
        <w:t>strong evidence to determine whether the application</w:t>
      </w:r>
      <w:r w:rsidR="00427468">
        <w:rPr>
          <w:kern w:val="0"/>
        </w:rPr>
        <w:t xml:space="preserve"> of </w:t>
      </w:r>
      <w:r>
        <w:rPr>
          <w:kern w:val="0"/>
        </w:rPr>
        <w:t>AST offers a significant advantage over artificial tears on dry eye. Well-planned, large, high-quality RCTs are warranted, comparing different concentrations</w:t>
      </w:r>
      <w:r w:rsidR="00427468">
        <w:rPr>
          <w:kern w:val="0"/>
        </w:rPr>
        <w:t xml:space="preserve"> of </w:t>
      </w:r>
      <w:r>
        <w:rPr>
          <w:kern w:val="0"/>
        </w:rPr>
        <w:t>AST to artificial tears using standardized questionnaires to measure patient-reported outcomes</w:t>
      </w:r>
      <w:r w:rsidR="005853A9">
        <w:rPr>
          <w:kern w:val="0"/>
        </w:rPr>
        <w:t xml:space="preserve"> and </w:t>
      </w:r>
      <w:r>
        <w:rPr>
          <w:kern w:val="0"/>
        </w:rPr>
        <w:t>objective clinical tests as well as objective biomarkers, to provide a robust</w:t>
      </w:r>
      <w:r w:rsidR="005853A9">
        <w:rPr>
          <w:kern w:val="0"/>
        </w:rPr>
        <w:t xml:space="preserve"> and </w:t>
      </w:r>
      <w:r>
        <w:rPr>
          <w:kern w:val="0"/>
        </w:rPr>
        <w:t>reliable clinical evidence base.</w:t>
      </w:r>
    </w:p>
    <w:p w:rsidR="00365DE4" w:rsidRDefault="00365DE4" w:rsidP="00365DE4">
      <w:pPr>
        <w:pStyle w:val="a3"/>
        <w:rPr>
          <w:kern w:val="0"/>
        </w:rPr>
      </w:pPr>
      <w:r>
        <w:rPr>
          <w:kern w:val="0"/>
        </w:rPr>
        <w:t xml:space="preserve">Keywords: Adverse Effects, Analysis, Antiinflammatory Therapy, Application, Assessing, Assessments, Authors, Biomarkers, Characteristics, Citation, Citations, Clinical, Clinical Trials, Collection, Confidence, Confidence Intervals, Criteria, Cytology, Data, Data Collection, Database, Databases, Dry Eye, Effectiveness, Effects, Embase, Epithelial Defects, Events, Evidence, Heterogeneity, Improvement, In Situ, Induced, Intervals, Keratoconjunctivitis Sicca, Language, Lasik, Literature, Measure, </w:t>
      </w:r>
      <w:r w:rsidR="00D5664A">
        <w:rPr>
          <w:kern w:val="0"/>
        </w:rPr>
        <w:t>MEDLINE</w:t>
      </w:r>
      <w:r>
        <w:rPr>
          <w:kern w:val="0"/>
        </w:rPr>
        <w:t>, Meta Analysis, Meta-Analysis, Metaanalysis, Methodological Quality, Methods, Natural, Neurotrophic Keratopathy, Ocular Surface Disorders, Ophthalmic Emulsion, Outcome, Outcomes, Populations, Postoperative, Potential, Primary, Quality, Quality Of, Questionnaires, Randomized, Randomized Controlled Trials, Reference, Reference Lists, Reporting, Restrictions, Review, Safety, Science, Science Citation Index, Science Citation Index Expanded, Search, Serum, Sjogrens-Syndrome, Stability, Stevens-Johnson Syndrome, Surface, Symptoms, Syndrome, Systematic Review, Tear, Tear Film, Topical Fibronectin, Treatment, Trial, Versus-Host-Disease, WHO</w:t>
      </w:r>
    </w:p>
    <w:p w:rsidR="00D83AB6" w:rsidRDefault="00D83AB6" w:rsidP="00D83AB6">
      <w:pPr>
        <w:pStyle w:val="a3"/>
        <w:rPr>
          <w:kern w:val="0"/>
        </w:rPr>
      </w:pPr>
      <w:r>
        <w:rPr>
          <w:rFonts w:hint="eastAsia"/>
          <w:kern w:val="0"/>
        </w:rPr>
        <w:t xml:space="preserve">? </w:t>
      </w:r>
      <w:r>
        <w:rPr>
          <w:kern w:val="0"/>
        </w:rPr>
        <w:t>Dasari, B.V.M., Tan, C.J., Gur</w:t>
      </w:r>
      <w:r w:rsidR="00D5664A">
        <w:rPr>
          <w:kern w:val="0"/>
        </w:rPr>
        <w:t>USA</w:t>
      </w:r>
      <w:r>
        <w:rPr>
          <w:kern w:val="0"/>
        </w:rPr>
        <w:t>my, K.S., Martin, D.J., Kirk, G., Mckie, L., Diamond, T.</w:t>
      </w:r>
      <w:r w:rsidR="005853A9">
        <w:rPr>
          <w:kern w:val="0"/>
        </w:rPr>
        <w:t xml:space="preserve"> and </w:t>
      </w:r>
      <w:r>
        <w:rPr>
          <w:kern w:val="0"/>
        </w:rPr>
        <w:t>Taylor, M.A. (2013), Surgical versus endoscopic treatment</w:t>
      </w:r>
      <w:r w:rsidR="00427468">
        <w:rPr>
          <w:kern w:val="0"/>
        </w:rPr>
        <w:t xml:space="preserve"> of </w:t>
      </w:r>
      <w:r>
        <w:rPr>
          <w:kern w:val="0"/>
        </w:rPr>
        <w:t xml:space="preserve">bile duct stones.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xml:space="preserve">, Article Number: </w:t>
      </w:r>
      <w:r w:rsidRPr="003561F2">
        <w:rPr>
          <w:kern w:val="0"/>
        </w:rPr>
        <w:t>CD003327</w:t>
      </w:r>
      <w:r>
        <w:rPr>
          <w:kern w:val="0"/>
        </w:rPr>
        <w:t>.</w:t>
      </w:r>
    </w:p>
    <w:p w:rsidR="00D83AB6" w:rsidRDefault="00D83AB6" w:rsidP="00D83AB6">
      <w:pPr>
        <w:pStyle w:val="a3"/>
        <w:rPr>
          <w:kern w:val="2"/>
        </w:rPr>
      </w:pPr>
      <w:r>
        <w:t xml:space="preserve">Full Text: 2013\Coc Dat Sys Rev2013, </w:t>
      </w:r>
      <w:r w:rsidRPr="00A4659F">
        <w:t>CD003327</w:t>
      </w:r>
      <w:r>
        <w:t>.pdf</w:t>
      </w:r>
    </w:p>
    <w:p w:rsidR="00D83AB6" w:rsidRDefault="00D83AB6" w:rsidP="00D83AB6">
      <w:pPr>
        <w:pStyle w:val="a3"/>
        <w:rPr>
          <w:kern w:val="0"/>
        </w:rPr>
      </w:pPr>
      <w:r>
        <w:rPr>
          <w:kern w:val="0"/>
        </w:rPr>
        <w:t>Abstract: Background Between 10% to 18%</w:t>
      </w:r>
      <w:r w:rsidR="00427468">
        <w:rPr>
          <w:kern w:val="0"/>
        </w:rPr>
        <w:t xml:space="preserve"> of </w:t>
      </w:r>
      <w:r>
        <w:rPr>
          <w:kern w:val="0"/>
        </w:rPr>
        <w:t>people undergoing cholecystectomy for gallstones have common bile duct stones. Treatment</w:t>
      </w:r>
      <w:r w:rsidR="00427468">
        <w:rPr>
          <w:kern w:val="0"/>
        </w:rPr>
        <w:t xml:space="preserve"> of </w:t>
      </w:r>
      <w:r>
        <w:rPr>
          <w:kern w:val="0"/>
        </w:rPr>
        <w:t>the bile duct stones can be conducted as open cholecystectomy plus open common bile duct exploration or laparoscopic cholecystectomy plus laparoscopic common bile duct exploration (LC + LCBDE) versus pre- or post-cholecystectomy endoscopic retrograde cholangiopancreatography (ERCP) in two stages, usually combined with either sphincterotomy (commonest) or sphincteroplasty (papillary dilatation) for common bile duct clearance</w:t>
      </w:r>
      <w:r w:rsidR="00A37C1D">
        <w:rPr>
          <w:kern w:val="0"/>
        </w:rPr>
        <w:t>. The</w:t>
      </w:r>
      <w:r>
        <w:rPr>
          <w:kern w:val="0"/>
        </w:rPr>
        <w:t xml:space="preserve"> benefits</w:t>
      </w:r>
      <w:r w:rsidR="005853A9">
        <w:rPr>
          <w:kern w:val="0"/>
        </w:rPr>
        <w:t xml:space="preserve"> and </w:t>
      </w:r>
      <w:r>
        <w:rPr>
          <w:kern w:val="0"/>
        </w:rPr>
        <w:t>harms</w:t>
      </w:r>
      <w:r w:rsidR="00427468">
        <w:rPr>
          <w:kern w:val="0"/>
        </w:rPr>
        <w:t xml:space="preserve"> of </w:t>
      </w:r>
      <w:r>
        <w:rPr>
          <w:kern w:val="0"/>
        </w:rPr>
        <w:t>the different approaches are not known. Objectives We aimed to systematically review the benefits</w:t>
      </w:r>
      <w:r w:rsidR="005853A9">
        <w:rPr>
          <w:kern w:val="0"/>
        </w:rPr>
        <w:t xml:space="preserve"> and </w:t>
      </w:r>
      <w:r>
        <w:rPr>
          <w:kern w:val="0"/>
        </w:rPr>
        <w:t>harms</w:t>
      </w:r>
      <w:r w:rsidR="00427468">
        <w:rPr>
          <w:kern w:val="0"/>
        </w:rPr>
        <w:t xml:space="preserve"> of </w:t>
      </w:r>
      <w:r>
        <w:rPr>
          <w:kern w:val="0"/>
        </w:rPr>
        <w:t>different approaches to the management</w:t>
      </w:r>
      <w:r w:rsidR="00427468">
        <w:rPr>
          <w:kern w:val="0"/>
        </w:rPr>
        <w:t xml:space="preserve"> of </w:t>
      </w:r>
      <w:r>
        <w:rPr>
          <w:kern w:val="0"/>
        </w:rPr>
        <w:t xml:space="preserve">common bile duct stones. Search methods We searched the Cochrane Hepato-Biliary Group Controlled Trials Register, </w:t>
      </w:r>
      <w:r>
        <w:rPr>
          <w:kern w:val="0"/>
        </w:rPr>
        <w:lastRenderedPageBreak/>
        <w:t>Cochrane Central Register</w:t>
      </w:r>
      <w:r w:rsidR="00427468">
        <w:rPr>
          <w:kern w:val="0"/>
        </w:rPr>
        <w:t xml:space="preserve"> of </w:t>
      </w:r>
      <w:r>
        <w:rPr>
          <w:kern w:val="0"/>
        </w:rPr>
        <w:t>Controlled Trials (CENTRAL, Issue 7</w:t>
      </w:r>
      <w:r w:rsidR="00427468">
        <w:rPr>
          <w:kern w:val="0"/>
        </w:rPr>
        <w:t xml:space="preserve"> of </w:t>
      </w:r>
      <w:r>
        <w:rPr>
          <w:kern w:val="0"/>
        </w:rPr>
        <w:t xml:space="preserve">12, 2013) in The Cochrane Library, </w:t>
      </w:r>
      <w:r w:rsidR="00D5664A">
        <w:rPr>
          <w:kern w:val="0"/>
        </w:rPr>
        <w:t>MEDLINE</w:t>
      </w:r>
      <w:r>
        <w:rPr>
          <w:kern w:val="0"/>
        </w:rPr>
        <w:t xml:space="preserve"> (1946 to August 2013), EMBASE (1974 to August 2013),</w:t>
      </w:r>
      <w:r w:rsidR="005853A9">
        <w:rPr>
          <w:kern w:val="0"/>
        </w:rPr>
        <w:t xml:space="preserve"> and </w:t>
      </w:r>
      <w:r>
        <w:rPr>
          <w:kern w:val="0"/>
        </w:rPr>
        <w:t>Science Citation Index Expanded (1900 to August 2013). Selection criteria We included all randomised clinical trials which compared the results from open surgery versus endoscopic clearance</w:t>
      </w:r>
      <w:r w:rsidR="005853A9">
        <w:rPr>
          <w:kern w:val="0"/>
        </w:rPr>
        <w:t xml:space="preserve"> and </w:t>
      </w:r>
      <w:r>
        <w:rPr>
          <w:kern w:val="0"/>
        </w:rPr>
        <w:t>laparoscopic surgery versus endoscopic clearance for common bile duct stones. Data collection</w:t>
      </w:r>
      <w:r w:rsidR="005853A9">
        <w:rPr>
          <w:kern w:val="0"/>
        </w:rPr>
        <w:t xml:space="preserve"> and </w:t>
      </w:r>
      <w:r>
        <w:rPr>
          <w:kern w:val="0"/>
        </w:rPr>
        <w:t>analysis Two review authors independently identified the trials for inclusion</w:t>
      </w:r>
      <w:r w:rsidR="005853A9">
        <w:rPr>
          <w:kern w:val="0"/>
        </w:rPr>
        <w:t xml:space="preserve"> and </w:t>
      </w:r>
      <w:r>
        <w:rPr>
          <w:kern w:val="0"/>
        </w:rPr>
        <w:t>independently extracted data. We calculated the odds ratio (OR) or mean difference (MD) with 95% confidence interval (CI) using both fixed-effect</w:t>
      </w:r>
      <w:r w:rsidR="005853A9">
        <w:rPr>
          <w:kern w:val="0"/>
        </w:rPr>
        <w:t xml:space="preserve"> and </w:t>
      </w:r>
      <w:r>
        <w:rPr>
          <w:kern w:val="0"/>
        </w:rPr>
        <w:t>random-effects models meta-analyses, performed with Review Manager 5. Main results Sixteen randomised clinical trials with a total</w:t>
      </w:r>
      <w:r w:rsidR="00427468">
        <w:rPr>
          <w:kern w:val="0"/>
        </w:rPr>
        <w:t xml:space="preserve"> of </w:t>
      </w:r>
      <w:r>
        <w:rPr>
          <w:kern w:val="0"/>
        </w:rPr>
        <w:t>1758 randomised participants fulfilled the inclusion criteria</w:t>
      </w:r>
      <w:r w:rsidR="00427468">
        <w:rPr>
          <w:kern w:val="0"/>
        </w:rPr>
        <w:t xml:space="preserve"> of </w:t>
      </w:r>
      <w:r>
        <w:rPr>
          <w:kern w:val="0"/>
        </w:rPr>
        <w:t>this review. Eight trials with 737 participants compared open surgical clearance with ERCP; five trials with 621 participants compared laparoscopic clearance with pre-operative ERCP;</w:t>
      </w:r>
      <w:r w:rsidR="005853A9">
        <w:rPr>
          <w:kern w:val="0"/>
        </w:rPr>
        <w:t xml:space="preserve"> and </w:t>
      </w:r>
      <w:r>
        <w:rPr>
          <w:kern w:val="0"/>
        </w:rPr>
        <w:t>two trials with 166 participants compared laparoscopic clearance with postoperative ERCP. One trial with 234 participants compared LCBDE with intra-operative ERCP</w:t>
      </w:r>
      <w:r w:rsidR="00A37C1D">
        <w:rPr>
          <w:kern w:val="0"/>
        </w:rPr>
        <w:t>. The</w:t>
      </w:r>
      <w:r>
        <w:rPr>
          <w:kern w:val="0"/>
        </w:rPr>
        <w:t>re were no trials</w:t>
      </w:r>
      <w:r w:rsidR="00427468">
        <w:rPr>
          <w:kern w:val="0"/>
        </w:rPr>
        <w:t xml:space="preserve"> of </w:t>
      </w:r>
      <w:r>
        <w:rPr>
          <w:kern w:val="0"/>
        </w:rPr>
        <w:t>open or LCBDE versus ERCP in people without an intact gallbladder. All trials had a high risk</w:t>
      </w:r>
      <w:r w:rsidR="00427468">
        <w:rPr>
          <w:kern w:val="0"/>
        </w:rPr>
        <w:t xml:space="preserve"> of </w:t>
      </w:r>
      <w:r>
        <w:rPr>
          <w:kern w:val="0"/>
        </w:rPr>
        <w:t>bias</w:t>
      </w:r>
      <w:r w:rsidR="00A37C1D">
        <w:rPr>
          <w:kern w:val="0"/>
        </w:rPr>
        <w:t>. The</w:t>
      </w:r>
      <w:r>
        <w:rPr>
          <w:kern w:val="0"/>
        </w:rPr>
        <w:t>re was no significant difference in the mortality between open surgery versus ERCP clearance (eight trials; 733 participants; 5/371 (1%) versus 10/358 (3%) OR 0.51; 95% CI 0.18 to 1.44). Neither was there a significant difference in the morbidity between open surgery versus ERCP clearance (eight trials; 733 participants; 76/371 (20%) versus 67/358 (19%) OR 1.12; 95% CI 0.77 to 1.62). Participants in the open surgery group had significantly fewer retained stones compared with the ERCP group (seven trials; 609 participants; 20/313 (6%) versus 47/296 (16%) OR 0.36; 95% CI 0.21 to 0.62), P = 0.0002</w:t>
      </w:r>
      <w:r w:rsidR="00A37C1D">
        <w:rPr>
          <w:kern w:val="0"/>
        </w:rPr>
        <w:t>. The</w:t>
      </w:r>
      <w:r>
        <w:rPr>
          <w:kern w:val="0"/>
        </w:rPr>
        <w:t>re was no significant difference in the mortality between LC + LCBDE versus pre-operative ERCP + LC (five trials; 580 participants; 2/285 (0.7%) versus 3/295 (1%) OR 0.72; 95% CI 0.12 to 4.33). Neither was there was a significant difference in the morbidity between the two groups (five trials; 580 participants; 44/285 (15%) versus 37/295 (13%) OR 1.28; 95% CI 0.80 to 2.05)</w:t>
      </w:r>
      <w:r w:rsidR="00A37C1D">
        <w:rPr>
          <w:kern w:val="0"/>
        </w:rPr>
        <w:t>. The</w:t>
      </w:r>
      <w:r>
        <w:rPr>
          <w:kern w:val="0"/>
        </w:rPr>
        <w:t>re was no significant difference between the two groups in the number</w:t>
      </w:r>
      <w:r w:rsidR="00427468">
        <w:rPr>
          <w:kern w:val="0"/>
        </w:rPr>
        <w:t xml:space="preserve"> of </w:t>
      </w:r>
      <w:r>
        <w:rPr>
          <w:kern w:val="0"/>
        </w:rPr>
        <w:t>participants with retained stones (five trials; 580 participants; 24/285 (8%) versus 31/295 (11%) OR 0.79; 95% CI 0.45 to 1.39)</w:t>
      </w:r>
      <w:r w:rsidR="00A37C1D">
        <w:rPr>
          <w:kern w:val="0"/>
        </w:rPr>
        <w:t>. The</w:t>
      </w:r>
      <w:r>
        <w:rPr>
          <w:kern w:val="0"/>
        </w:rPr>
        <w:t>re was only one trial assessing LC + LCBDE versus LC+intra-operative ERCP including 234 participants</w:t>
      </w:r>
      <w:r w:rsidR="00A37C1D">
        <w:rPr>
          <w:kern w:val="0"/>
        </w:rPr>
        <w:t>. The</w:t>
      </w:r>
      <w:r>
        <w:rPr>
          <w:kern w:val="0"/>
        </w:rPr>
        <w:t>re was no reported mortality in either</w:t>
      </w:r>
      <w:r w:rsidR="00427468">
        <w:rPr>
          <w:kern w:val="0"/>
        </w:rPr>
        <w:t xml:space="preserve"> of </w:t>
      </w:r>
      <w:r>
        <w:rPr>
          <w:kern w:val="0"/>
        </w:rPr>
        <w:t>the groups</w:t>
      </w:r>
      <w:r w:rsidR="00A37C1D">
        <w:rPr>
          <w:kern w:val="0"/>
        </w:rPr>
        <w:t>. The</w:t>
      </w:r>
      <w:r>
        <w:rPr>
          <w:kern w:val="0"/>
        </w:rPr>
        <w:t>re was no significant difference in the morbidity, retained stones, procedure failure rates between the two intervention groups. Two trials assessed LC + LCBDE versus LC+post-operative ERCP</w:t>
      </w:r>
      <w:r w:rsidR="00A37C1D">
        <w:rPr>
          <w:kern w:val="0"/>
        </w:rPr>
        <w:t>. The</w:t>
      </w:r>
      <w:r>
        <w:rPr>
          <w:kern w:val="0"/>
        </w:rPr>
        <w:t>re was no reported mortality in either</w:t>
      </w:r>
      <w:r w:rsidR="00427468">
        <w:rPr>
          <w:kern w:val="0"/>
        </w:rPr>
        <w:t xml:space="preserve"> of </w:t>
      </w:r>
      <w:r>
        <w:rPr>
          <w:kern w:val="0"/>
        </w:rPr>
        <w:t>the groups</w:t>
      </w:r>
      <w:r w:rsidR="00A37C1D">
        <w:rPr>
          <w:kern w:val="0"/>
        </w:rPr>
        <w:t>. The</w:t>
      </w:r>
      <w:r>
        <w:rPr>
          <w:kern w:val="0"/>
        </w:rPr>
        <w:t>re was no significant difference in the morbidity between laparoscopic surgery</w:t>
      </w:r>
      <w:r w:rsidR="005853A9">
        <w:rPr>
          <w:kern w:val="0"/>
        </w:rPr>
        <w:t xml:space="preserve"> and </w:t>
      </w:r>
      <w:r>
        <w:rPr>
          <w:kern w:val="0"/>
        </w:rPr>
        <w:t xml:space="preserve">postoperative ERCP groups (two trials; 166 participants; 13/81 (16%) versus 12/85 </w:t>
      </w:r>
      <w:r>
        <w:rPr>
          <w:kern w:val="0"/>
        </w:rPr>
        <w:lastRenderedPageBreak/>
        <w:t>(14%) OR 1.16; 95% CI 0.50 to 2.72)</w:t>
      </w:r>
      <w:r w:rsidR="00A37C1D">
        <w:rPr>
          <w:kern w:val="0"/>
        </w:rPr>
        <w:t>. The</w:t>
      </w:r>
      <w:r>
        <w:rPr>
          <w:kern w:val="0"/>
        </w:rPr>
        <w:t>re was a significant difference in the retained stones between laparoscopic surgery</w:t>
      </w:r>
      <w:r w:rsidR="005853A9">
        <w:rPr>
          <w:kern w:val="0"/>
        </w:rPr>
        <w:t xml:space="preserve"> and </w:t>
      </w:r>
      <w:r>
        <w:rPr>
          <w:kern w:val="0"/>
        </w:rPr>
        <w:t>postoperative ERCP groups (two trials; 166 participants; 7/81 (9%) versus 21/85 (25%) OR 0.28; 95% CI 0.11 to 0.72; P = 0.008. In total, seven trials including 746 participants compared single staged LC + LCBDE versus two-staged pre-operative ERCP + LC or LC + post-operative ERCP</w:t>
      </w:r>
      <w:r w:rsidR="00A37C1D">
        <w:rPr>
          <w:kern w:val="0"/>
        </w:rPr>
        <w:t>. The</w:t>
      </w:r>
      <w:r>
        <w:rPr>
          <w:kern w:val="0"/>
        </w:rPr>
        <w:t>re was no significant difference in the mortality between single</w:t>
      </w:r>
      <w:r w:rsidR="005853A9">
        <w:rPr>
          <w:kern w:val="0"/>
        </w:rPr>
        <w:t xml:space="preserve"> and </w:t>
      </w:r>
      <w:r>
        <w:rPr>
          <w:kern w:val="0"/>
        </w:rPr>
        <w:t>two-stage management (seven trials; 746 participants; 2/366 versus 3/380 OR 0.72; 95% CI 0.12 to 4.33)</w:t>
      </w:r>
      <w:r w:rsidR="00A37C1D">
        <w:rPr>
          <w:kern w:val="0"/>
        </w:rPr>
        <w:t>. The</w:t>
      </w:r>
      <w:r>
        <w:rPr>
          <w:kern w:val="0"/>
        </w:rPr>
        <w:t>re was no a significant difference in the morbidity (seven trials; 746 participants; 57/366 (16%) versus 49/380 (13%) OR 1.25; 95% CI 0.83 to 1.89)</w:t>
      </w:r>
      <w:r w:rsidR="00A37C1D">
        <w:rPr>
          <w:kern w:val="0"/>
        </w:rPr>
        <w:t>. The</w:t>
      </w:r>
      <w:r>
        <w:rPr>
          <w:kern w:val="0"/>
        </w:rPr>
        <w:t>re were significantly fewer retained stones in the single-stage group (31/366 participants; 8%) compared with the two-stage group (52/380 participants; 14%), but the difference was not statistically significantOR 0.59; 95% CI 0.37 to 0.94)</w:t>
      </w:r>
      <w:r w:rsidR="00A37C1D">
        <w:rPr>
          <w:kern w:val="0"/>
        </w:rPr>
        <w:t>. The</w:t>
      </w:r>
      <w:r>
        <w:rPr>
          <w:kern w:val="0"/>
        </w:rPr>
        <w:t>re was no significant difference in the conversion rates</w:t>
      </w:r>
      <w:r w:rsidR="00427468">
        <w:rPr>
          <w:kern w:val="0"/>
        </w:rPr>
        <w:t xml:space="preserve"> of </w:t>
      </w:r>
      <w:r>
        <w:rPr>
          <w:kern w:val="0"/>
        </w:rPr>
        <w:t>LCBDE to open surgery when compared with pre-operative, intra-operative,</w:t>
      </w:r>
      <w:r w:rsidR="005853A9">
        <w:rPr>
          <w:kern w:val="0"/>
        </w:rPr>
        <w:t xml:space="preserve"> and </w:t>
      </w:r>
      <w:r>
        <w:rPr>
          <w:kern w:val="0"/>
        </w:rPr>
        <w:t>postoperative ERCP groups. Meta-analysis</w:t>
      </w:r>
      <w:r w:rsidR="00427468">
        <w:rPr>
          <w:kern w:val="0"/>
        </w:rPr>
        <w:t xml:space="preserve"> of </w:t>
      </w:r>
      <w:r>
        <w:rPr>
          <w:kern w:val="0"/>
        </w:rPr>
        <w:t>the outcomes duration</w:t>
      </w:r>
      <w:r w:rsidR="00427468">
        <w:rPr>
          <w:kern w:val="0"/>
        </w:rPr>
        <w:t xml:space="preserve"> of </w:t>
      </w:r>
      <w:r>
        <w:rPr>
          <w:kern w:val="0"/>
        </w:rPr>
        <w:t>hospital stay, quality</w:t>
      </w:r>
      <w:r w:rsidR="00427468">
        <w:rPr>
          <w:kern w:val="0"/>
        </w:rPr>
        <w:t xml:space="preserve"> of </w:t>
      </w:r>
      <w:r>
        <w:rPr>
          <w:kern w:val="0"/>
        </w:rPr>
        <w:t>life,</w:t>
      </w:r>
      <w:r w:rsidR="005853A9">
        <w:rPr>
          <w:kern w:val="0"/>
        </w:rPr>
        <w:t xml:space="preserve"> and </w:t>
      </w:r>
      <w:r>
        <w:rPr>
          <w:kern w:val="0"/>
        </w:rPr>
        <w:t>cost</w:t>
      </w:r>
      <w:r w:rsidR="00427468">
        <w:rPr>
          <w:kern w:val="0"/>
        </w:rPr>
        <w:t xml:space="preserve"> of </w:t>
      </w:r>
      <w:r>
        <w:rPr>
          <w:kern w:val="0"/>
        </w:rPr>
        <w:t>the procedures could not be performed due to lack</w:t>
      </w:r>
      <w:r w:rsidR="00427468">
        <w:rPr>
          <w:kern w:val="0"/>
        </w:rPr>
        <w:t xml:space="preserve"> of </w:t>
      </w:r>
      <w:r>
        <w:rPr>
          <w:kern w:val="0"/>
        </w:rPr>
        <w:t>data. Authors</w:t>
      </w:r>
      <w:r w:rsidR="0071223E">
        <w:rPr>
          <w:kern w:val="0"/>
        </w:rPr>
        <w:t>’</w:t>
      </w:r>
      <w:r>
        <w:rPr>
          <w:kern w:val="0"/>
        </w:rPr>
        <w:t xml:space="preserve"> conclusions Open bile duct surgery seems superior to ERCP in achieving common bile duct stone clearance based on the evidence available from the early endoscopy era</w:t>
      </w:r>
      <w:r w:rsidR="00A37C1D">
        <w:rPr>
          <w:kern w:val="0"/>
        </w:rPr>
        <w:t>. The</w:t>
      </w:r>
      <w:r>
        <w:rPr>
          <w:kern w:val="0"/>
        </w:rPr>
        <w:t>re is no significant difference in the mortality</w:t>
      </w:r>
      <w:r w:rsidR="005853A9">
        <w:rPr>
          <w:kern w:val="0"/>
        </w:rPr>
        <w:t xml:space="preserve"> and </w:t>
      </w:r>
      <w:r>
        <w:rPr>
          <w:kern w:val="0"/>
        </w:rPr>
        <w:t>morbidity between laparoscopic bile duct clearance</w:t>
      </w:r>
      <w:r w:rsidR="005853A9">
        <w:rPr>
          <w:kern w:val="0"/>
        </w:rPr>
        <w:t xml:space="preserve"> and </w:t>
      </w:r>
      <w:r>
        <w:rPr>
          <w:kern w:val="0"/>
        </w:rPr>
        <w:t>the endoscopic options</w:t>
      </w:r>
      <w:r w:rsidR="00A37C1D">
        <w:rPr>
          <w:kern w:val="0"/>
        </w:rPr>
        <w:t>. The</w:t>
      </w:r>
      <w:r>
        <w:rPr>
          <w:kern w:val="0"/>
        </w:rPr>
        <w:t>re is no significant reduction in the number</w:t>
      </w:r>
      <w:r w:rsidR="00427468">
        <w:rPr>
          <w:kern w:val="0"/>
        </w:rPr>
        <w:t xml:space="preserve"> of </w:t>
      </w:r>
      <w:r>
        <w:rPr>
          <w:kern w:val="0"/>
        </w:rPr>
        <w:t>retained stones</w:t>
      </w:r>
      <w:r w:rsidR="005853A9">
        <w:rPr>
          <w:kern w:val="0"/>
        </w:rPr>
        <w:t xml:space="preserve"> and </w:t>
      </w:r>
      <w:r>
        <w:rPr>
          <w:kern w:val="0"/>
        </w:rPr>
        <w:t>failure rates in the laparoscopy groups compared with the pre-operative</w:t>
      </w:r>
      <w:r w:rsidR="005853A9">
        <w:rPr>
          <w:kern w:val="0"/>
        </w:rPr>
        <w:t xml:space="preserve"> and </w:t>
      </w:r>
      <w:r>
        <w:rPr>
          <w:kern w:val="0"/>
        </w:rPr>
        <w:t>intra-operative ERCP groups</w:t>
      </w:r>
      <w:r w:rsidR="00A37C1D">
        <w:rPr>
          <w:kern w:val="0"/>
        </w:rPr>
        <w:t>. The</w:t>
      </w:r>
      <w:r>
        <w:rPr>
          <w:kern w:val="0"/>
        </w:rPr>
        <w:t>re is no significant difference in themortality, morbidity, retained stones,</w:t>
      </w:r>
      <w:r w:rsidR="005853A9">
        <w:rPr>
          <w:kern w:val="0"/>
        </w:rPr>
        <w:t xml:space="preserve"> and </w:t>
      </w:r>
      <w:r>
        <w:rPr>
          <w:kern w:val="0"/>
        </w:rPr>
        <w:t>failure rates between the single-stage laparoscopic bile duct clearance</w:t>
      </w:r>
      <w:r w:rsidR="005853A9">
        <w:rPr>
          <w:kern w:val="0"/>
        </w:rPr>
        <w:t xml:space="preserve"> and </w:t>
      </w:r>
      <w:r>
        <w:rPr>
          <w:kern w:val="0"/>
        </w:rPr>
        <w:t>two-stage endoscopic management. More randomised clinical trials without risks</w:t>
      </w:r>
      <w:r w:rsidR="00427468">
        <w:rPr>
          <w:kern w:val="0"/>
        </w:rPr>
        <w:t xml:space="preserve"> of </w:t>
      </w:r>
      <w:r>
        <w:rPr>
          <w:kern w:val="0"/>
        </w:rPr>
        <w:t>systematic</w:t>
      </w:r>
      <w:r w:rsidR="005853A9">
        <w:rPr>
          <w:kern w:val="0"/>
        </w:rPr>
        <w:t xml:space="preserve"> and </w:t>
      </w:r>
      <w:r>
        <w:rPr>
          <w:kern w:val="0"/>
        </w:rPr>
        <w:t>random errors are necessary to confirm these findings.</w:t>
      </w:r>
    </w:p>
    <w:p w:rsidR="00D83AB6" w:rsidRDefault="00D83AB6" w:rsidP="00D83AB6">
      <w:pPr>
        <w:pStyle w:val="a3"/>
        <w:rPr>
          <w:kern w:val="0"/>
        </w:rPr>
      </w:pPr>
      <w:r>
        <w:rPr>
          <w:kern w:val="0"/>
        </w:rPr>
        <w:t>Keywords: Analysis, Assessing, Authors, Benefits, Bias, Cholecystectomy, Citation, Clinical, Clinical Trials, Collection, Common Bile Duct Stones, Confidence, Conversion, Cost, Criteria, Data, Data Collection, Duration, Duration</w:t>
      </w:r>
      <w:r w:rsidR="00427468">
        <w:rPr>
          <w:kern w:val="0"/>
        </w:rPr>
        <w:t xml:space="preserve"> of </w:t>
      </w:r>
      <w:r>
        <w:rPr>
          <w:kern w:val="0"/>
        </w:rPr>
        <w:t xml:space="preserve">Hospital Stay, Embase, Endoscopy, ERCP, Errors, Evidence, Failure, Groups, Hospital, Hospital Stay, Interval, Intervention, Laparoscopic, Laparoscopic Cholecystectomy, Laparoscopic Surgery, Laparoscopy, Life, Management, </w:t>
      </w:r>
      <w:r w:rsidR="00D5664A">
        <w:rPr>
          <w:kern w:val="0"/>
        </w:rPr>
        <w:t>MEDLINE</w:t>
      </w:r>
      <w:r>
        <w:rPr>
          <w:kern w:val="0"/>
        </w:rPr>
        <w:t>, Meta-Analysis, Methods, Models, Morbidity, Mortality, Odds Ratio, Open, Options, Outcomes, P, Postoperative, Preoperative, Procedure, Procedures, Quality, Quality Of, Quality</w:t>
      </w:r>
      <w:r w:rsidR="00427468">
        <w:rPr>
          <w:kern w:val="0"/>
        </w:rPr>
        <w:t xml:space="preserve"> of </w:t>
      </w:r>
      <w:r>
        <w:rPr>
          <w:kern w:val="0"/>
        </w:rPr>
        <w:t>Life, Randomised, Rates, Reduction, Review, Risk, Risks, Science, Science Citation Index, Science Citation Index Expanded, Search, Sphincteroplasty, Surgery, Surgical, Treatment, Trial</w:t>
      </w:r>
    </w:p>
    <w:p w:rsidR="00D83AB6" w:rsidRDefault="00D83AB6" w:rsidP="00D83AB6">
      <w:pPr>
        <w:pStyle w:val="a3"/>
        <w:rPr>
          <w:kern w:val="0"/>
        </w:rPr>
      </w:pPr>
      <w:r>
        <w:rPr>
          <w:rFonts w:hint="eastAsia"/>
          <w:kern w:val="0"/>
        </w:rPr>
        <w:t xml:space="preserve">? </w:t>
      </w:r>
      <w:r>
        <w:rPr>
          <w:kern w:val="0"/>
        </w:rPr>
        <w:t>Gur</w:t>
      </w:r>
      <w:r w:rsidR="00D5664A">
        <w:rPr>
          <w:kern w:val="0"/>
        </w:rPr>
        <w:t>USA</w:t>
      </w:r>
      <w:r>
        <w:rPr>
          <w:kern w:val="0"/>
        </w:rPr>
        <w:t>my, K.S., Koti, R.</w:t>
      </w:r>
      <w:r w:rsidR="005853A9">
        <w:rPr>
          <w:kern w:val="0"/>
        </w:rPr>
        <w:t xml:space="preserve"> and </w:t>
      </w:r>
      <w:r>
        <w:rPr>
          <w:kern w:val="0"/>
        </w:rPr>
        <w:t xml:space="preserve">Davidson, B.R. (2013), Routine abdominal drainage versus no abdominal drainage for uncomplicated laparoscopic cholecystectomy. </w:t>
      </w:r>
      <w:r>
        <w:rPr>
          <w:i/>
          <w:iCs/>
          <w:kern w:val="0"/>
        </w:rPr>
        <w:lastRenderedPageBreak/>
        <w:t>Cochrane Database</w:t>
      </w:r>
      <w:r w:rsidR="00427468">
        <w:rPr>
          <w:i/>
          <w:iCs/>
          <w:kern w:val="0"/>
        </w:rPr>
        <w:t xml:space="preserve"> of </w:t>
      </w:r>
      <w:r>
        <w:rPr>
          <w:i/>
          <w:iCs/>
          <w:kern w:val="0"/>
        </w:rPr>
        <w:t>Systematic Reviews</w:t>
      </w:r>
      <w:r>
        <w:rPr>
          <w:kern w:val="0"/>
        </w:rPr>
        <w:t xml:space="preserve">, </w:t>
      </w:r>
      <w:r>
        <w:rPr>
          <w:b/>
          <w:kern w:val="0"/>
        </w:rPr>
        <w:t>9</w:t>
      </w:r>
      <w:r>
        <w:rPr>
          <w:kern w:val="0"/>
        </w:rPr>
        <w:t xml:space="preserve">, Article Number: </w:t>
      </w:r>
      <w:r w:rsidRPr="00B70C76">
        <w:rPr>
          <w:kern w:val="0"/>
        </w:rPr>
        <w:t>CD006004</w:t>
      </w:r>
      <w:r>
        <w:rPr>
          <w:kern w:val="0"/>
        </w:rPr>
        <w:t>.</w:t>
      </w:r>
    </w:p>
    <w:p w:rsidR="00D83AB6" w:rsidRDefault="00D83AB6" w:rsidP="00D83AB6">
      <w:pPr>
        <w:pStyle w:val="a3"/>
        <w:rPr>
          <w:kern w:val="2"/>
        </w:rPr>
      </w:pPr>
      <w:r>
        <w:t xml:space="preserve">Full Text: 2013\Coc Dat Sys Rev2013, </w:t>
      </w:r>
      <w:r w:rsidRPr="00B70C76">
        <w:t>CD006004</w:t>
      </w:r>
      <w:r>
        <w:t>.pdf</w:t>
      </w:r>
    </w:p>
    <w:p w:rsidR="00D83AB6" w:rsidRDefault="00D83AB6" w:rsidP="00D83AB6">
      <w:pPr>
        <w:pStyle w:val="a3"/>
        <w:rPr>
          <w:kern w:val="0"/>
        </w:rPr>
      </w:pPr>
      <w:r>
        <w:rPr>
          <w:kern w:val="0"/>
        </w:rPr>
        <w:t>Abstract: Background Laparoscopic cholecystectomy is the main method</w:t>
      </w:r>
      <w:r w:rsidR="00427468">
        <w:rPr>
          <w:kern w:val="0"/>
        </w:rPr>
        <w:t xml:space="preserve"> of </w:t>
      </w:r>
      <w:r>
        <w:rPr>
          <w:kern w:val="0"/>
        </w:rPr>
        <w:t>treatment</w:t>
      </w:r>
      <w:r w:rsidR="00427468">
        <w:rPr>
          <w:kern w:val="0"/>
        </w:rPr>
        <w:t xml:space="preserve"> of </w:t>
      </w:r>
      <w:r>
        <w:rPr>
          <w:kern w:val="0"/>
        </w:rPr>
        <w:t>symptomatic gallstones. Drains are used after laparoscopic cholecystectomy to prevent abdominal collections. However, drain use may increase infective complications</w:t>
      </w:r>
      <w:r w:rsidR="005853A9">
        <w:rPr>
          <w:kern w:val="0"/>
        </w:rPr>
        <w:t xml:space="preserve"> and </w:t>
      </w:r>
      <w:r>
        <w:rPr>
          <w:kern w:val="0"/>
        </w:rPr>
        <w:t>delay discharge. Objectives The aim is to assess the benefits</w:t>
      </w:r>
      <w:r w:rsidR="005853A9">
        <w:rPr>
          <w:kern w:val="0"/>
        </w:rPr>
        <w:t xml:space="preserve"> and </w:t>
      </w:r>
      <w:r>
        <w:rPr>
          <w:kern w:val="0"/>
        </w:rPr>
        <w:t>harms</w:t>
      </w:r>
      <w:r w:rsidR="00427468">
        <w:rPr>
          <w:kern w:val="0"/>
        </w:rPr>
        <w:t xml:space="preserve"> of </w:t>
      </w:r>
      <w:r>
        <w:rPr>
          <w:kern w:val="0"/>
        </w:rPr>
        <w:t>routine abdominal drainage in uncomplicated laparoscopic cholecystectomy.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until February 2013. Selection criteria We included all randomised clinical trials comparing drainage versus no drainage after uncomplicated laparoscopic cholecystectomy irrespective</w:t>
      </w:r>
      <w:r w:rsidR="00427468">
        <w:rPr>
          <w:kern w:val="0"/>
        </w:rPr>
        <w:t xml:space="preserve"> of </w:t>
      </w:r>
      <w:r>
        <w:rPr>
          <w:kern w:val="0"/>
        </w:rPr>
        <w:t>language</w:t>
      </w:r>
      <w:r w:rsidR="005853A9">
        <w:rPr>
          <w:kern w:val="0"/>
        </w:rPr>
        <w:t xml:space="preserve"> and </w:t>
      </w:r>
      <w:r>
        <w:rPr>
          <w:kern w:val="0"/>
        </w:rPr>
        <w:t>publication status. Data collection</w:t>
      </w:r>
      <w:r w:rsidR="005853A9">
        <w:rPr>
          <w:kern w:val="0"/>
        </w:rPr>
        <w:t xml:space="preserve"> and </w:t>
      </w:r>
      <w:r>
        <w:rPr>
          <w:kern w:val="0"/>
        </w:rPr>
        <w:t>analysis We used standard methodological procedures defined by The Cochrane Collaboration. Main results A total</w:t>
      </w:r>
      <w:r w:rsidR="00427468">
        <w:rPr>
          <w:kern w:val="0"/>
        </w:rPr>
        <w:t xml:space="preserve"> of </w:t>
      </w:r>
      <w:r>
        <w:rPr>
          <w:kern w:val="0"/>
        </w:rPr>
        <w:t xml:space="preserve">1831 participants were randomised to drain (915 participants) versus </w:t>
      </w:r>
      <w:r w:rsidR="0071223E">
        <w:rPr>
          <w:kern w:val="0"/>
        </w:rPr>
        <w:t>‘</w:t>
      </w:r>
      <w:r>
        <w:rPr>
          <w:kern w:val="0"/>
        </w:rPr>
        <w:t>no drain</w:t>
      </w:r>
      <w:r w:rsidR="0071223E">
        <w:rPr>
          <w:kern w:val="0"/>
        </w:rPr>
        <w:t>’</w:t>
      </w:r>
      <w:r>
        <w:rPr>
          <w:kern w:val="0"/>
        </w:rPr>
        <w:t xml:space="preserve"> (916 participants) in 12 trials included in this review. Only two trials including 199 participants were</w:t>
      </w:r>
      <w:r w:rsidR="00427468">
        <w:rPr>
          <w:kern w:val="0"/>
        </w:rPr>
        <w:t xml:space="preserve"> of </w:t>
      </w:r>
      <w:r>
        <w:rPr>
          <w:kern w:val="0"/>
        </w:rPr>
        <w:t>low risk</w:t>
      </w:r>
      <w:r w:rsidR="00427468">
        <w:rPr>
          <w:kern w:val="0"/>
        </w:rPr>
        <w:t xml:space="preserve"> of </w:t>
      </w:r>
      <w:r>
        <w:rPr>
          <w:kern w:val="0"/>
        </w:rPr>
        <w:t>bias. Nine trials included patients undergoing elective laparoscopic cholecystectomy exclusively. One trial included patients undergoing laparoscopic cholecystectomy for acute cholecystitis exclusively. One trial included patients undergoing elective</w:t>
      </w:r>
      <w:r w:rsidR="005853A9">
        <w:rPr>
          <w:kern w:val="0"/>
        </w:rPr>
        <w:t xml:space="preserve"> and </w:t>
      </w:r>
      <w:r>
        <w:rPr>
          <w:kern w:val="0"/>
        </w:rPr>
        <w:t>emergency laparoscopic cholecystectomy,</w:t>
      </w:r>
      <w:r w:rsidR="005853A9">
        <w:rPr>
          <w:kern w:val="0"/>
        </w:rPr>
        <w:t xml:space="preserve"> and </w:t>
      </w:r>
      <w:r>
        <w:rPr>
          <w:kern w:val="0"/>
        </w:rPr>
        <w:t>one trial did not provide this information</w:t>
      </w:r>
      <w:r w:rsidR="00A37C1D">
        <w:rPr>
          <w:kern w:val="0"/>
        </w:rPr>
        <w:t>. The</w:t>
      </w:r>
      <w:r>
        <w:rPr>
          <w:kern w:val="0"/>
        </w:rPr>
        <w:t xml:space="preserve"> average age</w:t>
      </w:r>
      <w:r w:rsidR="00427468">
        <w:rPr>
          <w:kern w:val="0"/>
        </w:rPr>
        <w:t xml:space="preserve"> of </w:t>
      </w:r>
      <w:r>
        <w:rPr>
          <w:kern w:val="0"/>
        </w:rPr>
        <w:t>participants in the trials ranged between 48 years</w:t>
      </w:r>
      <w:r w:rsidR="005853A9">
        <w:rPr>
          <w:kern w:val="0"/>
        </w:rPr>
        <w:t xml:space="preserve"> and </w:t>
      </w:r>
      <w:r>
        <w:rPr>
          <w:kern w:val="0"/>
        </w:rPr>
        <w:t>63 years in the 10 trials that provided this information</w:t>
      </w:r>
      <w:r w:rsidR="00A37C1D">
        <w:rPr>
          <w:kern w:val="0"/>
        </w:rPr>
        <w:t>. The</w:t>
      </w:r>
      <w:r>
        <w:rPr>
          <w:kern w:val="0"/>
        </w:rPr>
        <w:t xml:space="preserve"> proportion</w:t>
      </w:r>
      <w:r w:rsidR="00427468">
        <w:rPr>
          <w:kern w:val="0"/>
        </w:rPr>
        <w:t xml:space="preserve"> of </w:t>
      </w:r>
      <w:r>
        <w:rPr>
          <w:kern w:val="0"/>
        </w:rPr>
        <w:t>females ranged between 55.0%</w:t>
      </w:r>
      <w:r w:rsidR="005853A9">
        <w:rPr>
          <w:kern w:val="0"/>
        </w:rPr>
        <w:t xml:space="preserve"> and </w:t>
      </w:r>
      <w:r>
        <w:rPr>
          <w:kern w:val="0"/>
        </w:rPr>
        <w:t>79.0% in the 11 trials that provided this information</w:t>
      </w:r>
      <w:r w:rsidR="00A37C1D">
        <w:rPr>
          <w:kern w:val="0"/>
        </w:rPr>
        <w:t>. The</w:t>
      </w:r>
      <w:r>
        <w:rPr>
          <w:kern w:val="0"/>
        </w:rPr>
        <w:t>re was no significant difference between the drain group (1/840) (adjusted proportion: 0.1%)</w:t>
      </w:r>
      <w:r w:rsidR="005853A9">
        <w:rPr>
          <w:kern w:val="0"/>
        </w:rPr>
        <w:t xml:space="preserve"> and </w:t>
      </w:r>
      <w:r>
        <w:rPr>
          <w:kern w:val="0"/>
        </w:rPr>
        <w:t xml:space="preserve">the </w:t>
      </w:r>
      <w:r w:rsidR="0071223E">
        <w:rPr>
          <w:kern w:val="0"/>
        </w:rPr>
        <w:t>‘</w:t>
      </w:r>
      <w:r>
        <w:rPr>
          <w:kern w:val="0"/>
        </w:rPr>
        <w:t>no drain</w:t>
      </w:r>
      <w:r w:rsidR="0071223E">
        <w:rPr>
          <w:kern w:val="0"/>
        </w:rPr>
        <w:t>’</w:t>
      </w:r>
      <w:r>
        <w:rPr>
          <w:kern w:val="0"/>
        </w:rPr>
        <w:t xml:space="preserve"> group (2/841) (0.2%) (RR 0.41; 95% CI 0.04 to 4.37) in short-term mortality in the ten trials with 1681 participants reporting on this outcome</w:t>
      </w:r>
      <w:r w:rsidR="00A37C1D">
        <w:rPr>
          <w:kern w:val="0"/>
        </w:rPr>
        <w:t>. The</w:t>
      </w:r>
      <w:r>
        <w:rPr>
          <w:kern w:val="0"/>
        </w:rPr>
        <w:t>re was no significant difference between the drain group (7/567) (adjusted proportion: 1.1%)</w:t>
      </w:r>
      <w:r w:rsidR="005853A9">
        <w:rPr>
          <w:kern w:val="0"/>
        </w:rPr>
        <w:t xml:space="preserve"> and </w:t>
      </w:r>
      <w:r>
        <w:rPr>
          <w:kern w:val="0"/>
        </w:rPr>
        <w:t xml:space="preserve">the </w:t>
      </w:r>
      <w:r w:rsidR="0071223E">
        <w:rPr>
          <w:kern w:val="0"/>
        </w:rPr>
        <w:t>‘</w:t>
      </w:r>
      <w:r>
        <w:rPr>
          <w:kern w:val="0"/>
        </w:rPr>
        <w:t>no drain</w:t>
      </w:r>
      <w:r w:rsidR="0071223E">
        <w:rPr>
          <w:kern w:val="0"/>
        </w:rPr>
        <w:t>’</w:t>
      </w:r>
      <w:r>
        <w:rPr>
          <w:kern w:val="0"/>
        </w:rPr>
        <w:t xml:space="preserve"> group (3/576) (0.5%) in the proportion</w:t>
      </w:r>
      <w:r w:rsidR="00427468">
        <w:rPr>
          <w:kern w:val="0"/>
        </w:rPr>
        <w:t xml:space="preserve"> of </w:t>
      </w:r>
      <w:r>
        <w:rPr>
          <w:kern w:val="0"/>
        </w:rPr>
        <w:t>patients who developed serious adverse events in the seven trials with 1143 participants reporting on this outcome (RR 2.12; 95% CI 0.67 to 7.40) or in the number</w:t>
      </w:r>
      <w:r w:rsidR="00427468">
        <w:rPr>
          <w:kern w:val="0"/>
        </w:rPr>
        <w:t xml:space="preserve"> of </w:t>
      </w:r>
      <w:r>
        <w:rPr>
          <w:kern w:val="0"/>
        </w:rPr>
        <w:t xml:space="preserve">serious adverse events in each group reported by eight trials with 1286 participants; drain group (12/646) (adjusted rate: 1.5 events per 100 participants) versus </w:t>
      </w:r>
      <w:r w:rsidR="0071223E">
        <w:rPr>
          <w:kern w:val="0"/>
        </w:rPr>
        <w:t>‘</w:t>
      </w:r>
      <w:r>
        <w:rPr>
          <w:kern w:val="0"/>
        </w:rPr>
        <w:t>no drain</w:t>
      </w:r>
      <w:r w:rsidR="0071223E">
        <w:rPr>
          <w:kern w:val="0"/>
        </w:rPr>
        <w:t>’</w:t>
      </w:r>
      <w:r>
        <w:rPr>
          <w:kern w:val="0"/>
        </w:rPr>
        <w:t xml:space="preserve"> group (6/640) (0.9 events per 100 participants); rate ratio 1.60; 95% CI 0.66 to 3.87)</w:t>
      </w:r>
      <w:r w:rsidR="00A37C1D">
        <w:rPr>
          <w:kern w:val="0"/>
        </w:rPr>
        <w:t>. The</w:t>
      </w:r>
      <w:r>
        <w:rPr>
          <w:kern w:val="0"/>
        </w:rPr>
        <w:t>re was no significant difference in the quality</w:t>
      </w:r>
      <w:r w:rsidR="00427468">
        <w:rPr>
          <w:kern w:val="0"/>
        </w:rPr>
        <w:t xml:space="preserve"> of </w:t>
      </w:r>
      <w:r>
        <w:rPr>
          <w:kern w:val="0"/>
        </w:rPr>
        <w:t>life between the two groups (one trial; 93 participants; SMD 0.22; 95% CI -0.19 to 0.63)</w:t>
      </w:r>
      <w:r w:rsidR="00A37C1D">
        <w:rPr>
          <w:kern w:val="0"/>
        </w:rPr>
        <w:t>. The</w:t>
      </w:r>
      <w:r>
        <w:rPr>
          <w:kern w:val="0"/>
        </w:rPr>
        <w:t xml:space="preserve"> proportion</w:t>
      </w:r>
      <w:r w:rsidR="00427468">
        <w:rPr>
          <w:kern w:val="0"/>
        </w:rPr>
        <w:t xml:space="preserve"> of </w:t>
      </w:r>
      <w:r>
        <w:rPr>
          <w:kern w:val="0"/>
        </w:rPr>
        <w:t xml:space="preserve">patients who were discharged as day-procedure laparoscopic cholecystectomy seemed significantly lower in the drain group than the </w:t>
      </w:r>
      <w:r w:rsidR="0071223E">
        <w:rPr>
          <w:kern w:val="0"/>
        </w:rPr>
        <w:t>‘</w:t>
      </w:r>
      <w:r>
        <w:rPr>
          <w:kern w:val="0"/>
        </w:rPr>
        <w:t>no drain</w:t>
      </w:r>
      <w:r w:rsidR="0071223E">
        <w:rPr>
          <w:kern w:val="0"/>
        </w:rPr>
        <w:t>’</w:t>
      </w:r>
      <w:r>
        <w:rPr>
          <w:kern w:val="0"/>
        </w:rPr>
        <w:t xml:space="preserve"> group (one trial; 68 participants; drain group (0/33) (adjusted proportion: 0.2%) versus </w:t>
      </w:r>
      <w:r w:rsidR="0071223E">
        <w:rPr>
          <w:kern w:val="0"/>
        </w:rPr>
        <w:t>‘</w:t>
      </w:r>
      <w:r>
        <w:rPr>
          <w:kern w:val="0"/>
        </w:rPr>
        <w:t>no drain</w:t>
      </w:r>
      <w:r w:rsidR="0071223E">
        <w:rPr>
          <w:kern w:val="0"/>
        </w:rPr>
        <w:t>’</w:t>
      </w:r>
      <w:r>
        <w:rPr>
          <w:kern w:val="0"/>
        </w:rPr>
        <w:t xml:space="preserve"> group (11/35) (31.4%); RR 0.05; 95% CI 0.00 to 0.75)</w:t>
      </w:r>
      <w:r w:rsidR="00A37C1D">
        <w:rPr>
          <w:kern w:val="0"/>
        </w:rPr>
        <w:t>. The</w:t>
      </w:r>
      <w:r>
        <w:rPr>
          <w:kern w:val="0"/>
        </w:rPr>
        <w:t xml:space="preserve">re was </w:t>
      </w:r>
      <w:r>
        <w:rPr>
          <w:kern w:val="0"/>
        </w:rPr>
        <w:lastRenderedPageBreak/>
        <w:t>no significant difference in the length</w:t>
      </w:r>
      <w:r w:rsidR="00427468">
        <w:rPr>
          <w:kern w:val="0"/>
        </w:rPr>
        <w:t xml:space="preserve"> of </w:t>
      </w:r>
      <w:r>
        <w:rPr>
          <w:kern w:val="0"/>
        </w:rPr>
        <w:t>hospital stay between the two groups (five trials; 449 participants; MD 0.22 days; 95% CI -0.06 days to 0.51 days)</w:t>
      </w:r>
      <w:r w:rsidR="00A37C1D">
        <w:rPr>
          <w:kern w:val="0"/>
        </w:rPr>
        <w:t>. The</w:t>
      </w:r>
      <w:r>
        <w:rPr>
          <w:kern w:val="0"/>
        </w:rPr>
        <w:t xml:space="preserve"> operating time was significantly longer in the drain group than the </w:t>
      </w:r>
      <w:r w:rsidR="0071223E">
        <w:rPr>
          <w:kern w:val="0"/>
        </w:rPr>
        <w:t>‘</w:t>
      </w:r>
      <w:r>
        <w:rPr>
          <w:kern w:val="0"/>
        </w:rPr>
        <w:t>no drain</w:t>
      </w:r>
      <w:r w:rsidR="0071223E">
        <w:rPr>
          <w:kern w:val="0"/>
        </w:rPr>
        <w:t>’</w:t>
      </w:r>
      <w:r>
        <w:rPr>
          <w:kern w:val="0"/>
        </w:rPr>
        <w:t xml:space="preserve"> group (seven trials; 775 participants; MD 5.00 minutes; 95% CI 2.69 minutes to 7.30 minutes)</w:t>
      </w:r>
      <w:r w:rsidR="00A37C1D">
        <w:rPr>
          <w:kern w:val="0"/>
        </w:rPr>
        <w:t>. The</w:t>
      </w:r>
      <w:r>
        <w:rPr>
          <w:kern w:val="0"/>
        </w:rPr>
        <w:t>re was no significant difference in the return to normal activity</w:t>
      </w:r>
      <w:r w:rsidR="005853A9">
        <w:rPr>
          <w:kern w:val="0"/>
        </w:rPr>
        <w:t xml:space="preserve"> and </w:t>
      </w:r>
      <w:r>
        <w:rPr>
          <w:kern w:val="0"/>
        </w:rPr>
        <w:t>return to work between the groups in one trial involving 100 participants. This trial did not provide any information from which the standard deviation could be imputed</w:t>
      </w:r>
      <w:r w:rsidR="005853A9">
        <w:rPr>
          <w:kern w:val="0"/>
        </w:rPr>
        <w:t xml:space="preserve"> and </w:t>
      </w:r>
      <w:r>
        <w:rPr>
          <w:kern w:val="0"/>
        </w:rPr>
        <w:t>so the confidence intervals could not be calculated for these outcomes. Authors</w:t>
      </w:r>
      <w:r w:rsidR="0071223E">
        <w:rPr>
          <w:kern w:val="0"/>
        </w:rPr>
        <w:t>’</w:t>
      </w:r>
      <w:r>
        <w:rPr>
          <w:kern w:val="0"/>
        </w:rPr>
        <w:t xml:space="preserve"> conclusions There is currently no evidence to support the routine use</w:t>
      </w:r>
      <w:r w:rsidR="00427468">
        <w:rPr>
          <w:kern w:val="0"/>
        </w:rPr>
        <w:t xml:space="preserve"> of </w:t>
      </w:r>
      <w:r>
        <w:rPr>
          <w:kern w:val="0"/>
        </w:rPr>
        <w:t>drain after laparoscopic cholecystectomy. Further well designed randomised clinical trials are necessary.</w:t>
      </w:r>
    </w:p>
    <w:p w:rsidR="00D83AB6" w:rsidRDefault="00D83AB6" w:rsidP="00D83AB6">
      <w:pPr>
        <w:pStyle w:val="a3"/>
        <w:rPr>
          <w:kern w:val="0"/>
        </w:rPr>
      </w:pPr>
      <w:r>
        <w:rPr>
          <w:kern w:val="0"/>
        </w:rPr>
        <w:t xml:space="preserve">Keywords: Abdomen, Abdominal, Abdominal Pain [Etiology], Activity, Age, Analysis, Benefits, Bias, Cholecystectomy, Cholecystectomy,Laparoscopic, Cholecystolithiasis [Surgery], Citation, Clinical, Clinical Trials, Clinical-Trials, Cochrane Collaboration, Collaboration, Collection, Complications, Confidence, Confidence Intervals, Criteria, Data Collection, Design Characteristics, Discharge, Drainage, Drainage [Adverse Effects], Drains, Elective, Embase, Emergency, Empirical-Evidence, England, Events, Evidence, Female, Gallstone Disease, Gas Drain, Groups, Hospital, Hospital Stay, Humans, Information, Information Size, Intervals, Intraperitoneal Normal Saline, Language, Laparoscopic, Laparoscopic Cholecystectomy, Length, Life, Low Risk, Male, Medicine, </w:t>
      </w:r>
      <w:r w:rsidR="00D5664A">
        <w:rPr>
          <w:kern w:val="0"/>
        </w:rPr>
        <w:t>MEDLINE</w:t>
      </w:r>
      <w:r>
        <w:rPr>
          <w:kern w:val="0"/>
        </w:rPr>
        <w:t>, Methods, Mortality, Normal, Outcome, Outcomes, Patients, Postoperative Nausea</w:t>
      </w:r>
      <w:r w:rsidR="005853A9">
        <w:rPr>
          <w:kern w:val="0"/>
        </w:rPr>
        <w:t xml:space="preserve"> and </w:t>
      </w:r>
      <w:r>
        <w:rPr>
          <w:kern w:val="0"/>
        </w:rPr>
        <w:t>Vomiting [Etiology], Postoperative Pain, Prevent, Procedures, Publication, Quality, Quality Of, Quality</w:t>
      </w:r>
      <w:r w:rsidR="00427468">
        <w:rPr>
          <w:kern w:val="0"/>
        </w:rPr>
        <w:t xml:space="preserve"> of </w:t>
      </w:r>
      <w:r>
        <w:rPr>
          <w:kern w:val="0"/>
        </w:rPr>
        <w:t xml:space="preserve">Life, Randomised, Randomized Controlled Trials As Topic, Randomized-Trials, Reporting, Review, Risk, River, Science, Science Citation Index, Science Citation Index Expanded, Search, Shoulder Pain [Etiology], Standard, Support, Surgical Wound Infection [Etiology], Treatment, Trial, Trial Sequential-Analysis, </w:t>
      </w:r>
      <w:r w:rsidR="00D5664A">
        <w:rPr>
          <w:kern w:val="0"/>
        </w:rPr>
        <w:t>USA</w:t>
      </w:r>
      <w:r>
        <w:rPr>
          <w:kern w:val="0"/>
        </w:rPr>
        <w:t>, Work</w:t>
      </w:r>
    </w:p>
    <w:p w:rsidR="00D83AB6" w:rsidRDefault="00D83AB6" w:rsidP="00D83AB6">
      <w:pPr>
        <w:pStyle w:val="a3"/>
        <w:rPr>
          <w:kern w:val="0"/>
        </w:rPr>
      </w:pPr>
      <w:r>
        <w:rPr>
          <w:rFonts w:hint="eastAsia"/>
          <w:kern w:val="0"/>
        </w:rPr>
        <w:t xml:space="preserve">? </w:t>
      </w:r>
      <w:r>
        <w:rPr>
          <w:kern w:val="0"/>
        </w:rPr>
        <w:t>Fedorowicz, Z., van Zuuren, E.J.</w:t>
      </w:r>
      <w:r w:rsidR="005853A9">
        <w:rPr>
          <w:kern w:val="0"/>
        </w:rPr>
        <w:t xml:space="preserve"> and </w:t>
      </w:r>
      <w:r>
        <w:rPr>
          <w:kern w:val="0"/>
        </w:rPr>
        <w:t xml:space="preserve">Schoones, J. (2013), Botulinum toxin for masseter hypertrophy.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xml:space="preserve">, Article Number: </w:t>
      </w:r>
      <w:r w:rsidRPr="003561F2">
        <w:rPr>
          <w:kern w:val="0"/>
        </w:rPr>
        <w:t>CD007510</w:t>
      </w:r>
      <w:r>
        <w:rPr>
          <w:kern w:val="0"/>
        </w:rPr>
        <w:t>.</w:t>
      </w:r>
    </w:p>
    <w:p w:rsidR="00D83AB6" w:rsidRDefault="00D83AB6" w:rsidP="00D83AB6">
      <w:pPr>
        <w:pStyle w:val="a3"/>
        <w:rPr>
          <w:kern w:val="2"/>
        </w:rPr>
      </w:pPr>
      <w:r>
        <w:t xml:space="preserve">Full Text: 2013\Coc Dat Sys Rev2013, </w:t>
      </w:r>
      <w:r w:rsidRPr="003561F2">
        <w:t>CD007510</w:t>
      </w:r>
      <w:r>
        <w:t>.pdf</w:t>
      </w:r>
    </w:p>
    <w:p w:rsidR="00D83AB6" w:rsidRDefault="00D83AB6" w:rsidP="00D83AB6">
      <w:pPr>
        <w:pStyle w:val="a3"/>
        <w:rPr>
          <w:kern w:val="0"/>
        </w:rPr>
      </w:pPr>
      <w:r>
        <w:rPr>
          <w:kern w:val="0"/>
        </w:rPr>
        <w:t>Abstract: Background Benign masseter muscle hypertrophy is an uncommon clinical phenomenon</w:t>
      </w:r>
      <w:r w:rsidR="00427468">
        <w:rPr>
          <w:kern w:val="0"/>
        </w:rPr>
        <w:t xml:space="preserve"> of </w:t>
      </w:r>
      <w:r>
        <w:rPr>
          <w:kern w:val="0"/>
        </w:rPr>
        <w:t>uncertain aetiology which is characterised by a soft swelling near the angle</w:t>
      </w:r>
      <w:r w:rsidR="00427468">
        <w:rPr>
          <w:kern w:val="0"/>
        </w:rPr>
        <w:t xml:space="preserve"> of </w:t>
      </w:r>
      <w:r>
        <w:rPr>
          <w:kern w:val="0"/>
        </w:rPr>
        <w:t>the mandible</w:t>
      </w:r>
      <w:r w:rsidR="00A37C1D">
        <w:rPr>
          <w:kern w:val="0"/>
        </w:rPr>
        <w:t>. The</w:t>
      </w:r>
      <w:r>
        <w:rPr>
          <w:kern w:val="0"/>
        </w:rPr>
        <w:t xml:space="preserve"> swelling may on occasion be associated with facial pain</w:t>
      </w:r>
      <w:r w:rsidR="005853A9">
        <w:rPr>
          <w:kern w:val="0"/>
        </w:rPr>
        <w:t xml:space="preserve"> and </w:t>
      </w:r>
      <w:r>
        <w:rPr>
          <w:kern w:val="0"/>
        </w:rPr>
        <w:t>can be prominent enough to be considered cosmetically disfiguring. Varying degrees</w:t>
      </w:r>
      <w:r w:rsidR="00427468">
        <w:rPr>
          <w:kern w:val="0"/>
        </w:rPr>
        <w:t xml:space="preserve"> of </w:t>
      </w:r>
      <w:r>
        <w:rPr>
          <w:kern w:val="0"/>
        </w:rPr>
        <w:t>success have been reported for some</w:t>
      </w:r>
      <w:r w:rsidR="00427468">
        <w:rPr>
          <w:kern w:val="0"/>
        </w:rPr>
        <w:t xml:space="preserve"> of </w:t>
      </w:r>
      <w:r>
        <w:rPr>
          <w:kern w:val="0"/>
        </w:rPr>
        <w:t>the treatment options for masseter hypertrophy, which range from simple pharmacotherapy to more invasive surgical reduction. Injection</w:t>
      </w:r>
      <w:r w:rsidR="00427468">
        <w:rPr>
          <w:kern w:val="0"/>
        </w:rPr>
        <w:t xml:space="preserve"> of </w:t>
      </w:r>
      <w:r>
        <w:rPr>
          <w:kern w:val="0"/>
        </w:rPr>
        <w:t>botulinum toxin type A into the masseter muscle is generally considered a less invasive modality</w:t>
      </w:r>
      <w:r w:rsidR="005853A9">
        <w:rPr>
          <w:kern w:val="0"/>
        </w:rPr>
        <w:t xml:space="preserve"> and </w:t>
      </w:r>
      <w:r>
        <w:rPr>
          <w:kern w:val="0"/>
        </w:rPr>
        <w:t>has been advocated for cosmetic sculpting</w:t>
      </w:r>
      <w:r w:rsidR="00427468">
        <w:rPr>
          <w:kern w:val="0"/>
        </w:rPr>
        <w:t xml:space="preserve"> of </w:t>
      </w:r>
      <w:r>
        <w:rPr>
          <w:kern w:val="0"/>
        </w:rPr>
        <w:lastRenderedPageBreak/>
        <w:t>the lower face. Botulinum toxin type A is a powerful neurotoxin which is produced by the anaerobic organism Clostridium botulinum</w:t>
      </w:r>
      <w:r w:rsidR="005853A9">
        <w:rPr>
          <w:kern w:val="0"/>
        </w:rPr>
        <w:t xml:space="preserve"> and </w:t>
      </w:r>
      <w:r>
        <w:rPr>
          <w:kern w:val="0"/>
        </w:rPr>
        <w:t>when injected into a muscle causes interference with the neurotransmitter mechanism producing selective paralysis</w:t>
      </w:r>
      <w:r w:rsidR="005853A9">
        <w:rPr>
          <w:kern w:val="0"/>
        </w:rPr>
        <w:t xml:space="preserve"> and </w:t>
      </w:r>
      <w:r>
        <w:rPr>
          <w:kern w:val="0"/>
        </w:rPr>
        <w:t>subsequent atrophy</w:t>
      </w:r>
      <w:r w:rsidR="00427468">
        <w:rPr>
          <w:kern w:val="0"/>
        </w:rPr>
        <w:t xml:space="preserve"> of </w:t>
      </w:r>
      <w:r>
        <w:rPr>
          <w:kern w:val="0"/>
        </w:rPr>
        <w:t>the muscle. This review is an update</w:t>
      </w:r>
      <w:r w:rsidR="00427468">
        <w:rPr>
          <w:kern w:val="0"/>
        </w:rPr>
        <w:t xml:space="preserve"> of </w:t>
      </w:r>
      <w:r>
        <w:rPr>
          <w:kern w:val="0"/>
        </w:rPr>
        <w:t>a previously published Cochrane review. Objectives To assess the efficacy</w:t>
      </w:r>
      <w:r w:rsidR="005853A9">
        <w:rPr>
          <w:kern w:val="0"/>
        </w:rPr>
        <w:t xml:space="preserve"> and </w:t>
      </w:r>
      <w:r>
        <w:rPr>
          <w:kern w:val="0"/>
        </w:rPr>
        <w:t>safety</w:t>
      </w:r>
      <w:r w:rsidR="00427468">
        <w:rPr>
          <w:kern w:val="0"/>
        </w:rPr>
        <w:t xml:space="preserve"> of </w:t>
      </w:r>
      <w:r>
        <w:rPr>
          <w:kern w:val="0"/>
        </w:rPr>
        <w:t>botulinum toxin type A compared to placebo or no treatment, for the management</w:t>
      </w:r>
      <w:r w:rsidR="00427468">
        <w:rPr>
          <w:kern w:val="0"/>
        </w:rPr>
        <w:t xml:space="preserve"> of </w:t>
      </w:r>
      <w:r>
        <w:rPr>
          <w:kern w:val="0"/>
        </w:rPr>
        <w:t>benign bilateral masseter hypertrophy. Search methods We searched the following databases from inception to April 2013: the Cochrane Central Register</w:t>
      </w:r>
      <w:r w:rsidR="00427468">
        <w:rPr>
          <w:kern w:val="0"/>
        </w:rPr>
        <w:t xml:space="preserve"> of </w:t>
      </w:r>
      <w:r>
        <w:rPr>
          <w:kern w:val="0"/>
        </w:rPr>
        <w:t xml:space="preserve">Controlled Trials (CENTRAL); </w:t>
      </w:r>
      <w:r w:rsidR="00D5664A">
        <w:rPr>
          <w:kern w:val="0"/>
        </w:rPr>
        <w:t>MEDLINE</w:t>
      </w:r>
      <w:r>
        <w:rPr>
          <w:kern w:val="0"/>
        </w:rPr>
        <w:t xml:space="preserve"> (via PubMed); EMBASE (via embase.com); </w:t>
      </w:r>
      <w:r w:rsidR="00D5664A">
        <w:rPr>
          <w:kern w:val="0"/>
        </w:rPr>
        <w:t>Web</w:t>
      </w:r>
      <w:r w:rsidR="00427468">
        <w:rPr>
          <w:kern w:val="0"/>
        </w:rPr>
        <w:t xml:space="preserve"> of </w:t>
      </w:r>
      <w:r w:rsidR="00D5664A">
        <w:rPr>
          <w:kern w:val="0"/>
        </w:rPr>
        <w:t>Science</w:t>
      </w:r>
      <w:r>
        <w:rPr>
          <w:kern w:val="0"/>
        </w:rPr>
        <w:t>; CINAHL; Academic Search Premier (via EBSCOhost); ScienceDirect; LILACS (via BIREME); PubMed Central</w:t>
      </w:r>
      <w:r w:rsidR="005853A9">
        <w:rPr>
          <w:kern w:val="0"/>
        </w:rPr>
        <w:t xml:space="preserve"> and </w:t>
      </w:r>
      <w:r>
        <w:rPr>
          <w:kern w:val="0"/>
        </w:rPr>
        <w:t>Google Scholar (from 1700 to 19 April 2013). We searched two bibliographic databases</w:t>
      </w:r>
      <w:r w:rsidR="00427468">
        <w:rPr>
          <w:kern w:val="0"/>
        </w:rPr>
        <w:t xml:space="preserve"> of </w:t>
      </w:r>
      <w:r>
        <w:rPr>
          <w:kern w:val="0"/>
        </w:rPr>
        <w:t>regional journals (IndMED</w:t>
      </w:r>
      <w:r w:rsidR="005853A9">
        <w:rPr>
          <w:kern w:val="0"/>
        </w:rPr>
        <w:t xml:space="preserve"> and </w:t>
      </w:r>
      <w:r>
        <w:rPr>
          <w:kern w:val="0"/>
        </w:rPr>
        <w:t>Iranmedex) which were expected to contain relevant trials. We also searched reference lists</w:t>
      </w:r>
      <w:r w:rsidR="00427468">
        <w:rPr>
          <w:kern w:val="0"/>
        </w:rPr>
        <w:t xml:space="preserve"> of </w:t>
      </w:r>
      <w:r>
        <w:rPr>
          <w:kern w:val="0"/>
        </w:rPr>
        <w:t>relevant articles</w:t>
      </w:r>
      <w:r w:rsidR="005853A9">
        <w:rPr>
          <w:kern w:val="0"/>
        </w:rPr>
        <w:t xml:space="preserve"> and </w:t>
      </w:r>
      <w:r>
        <w:rPr>
          <w:kern w:val="0"/>
        </w:rPr>
        <w:t>contacted investigators to identify additional published</w:t>
      </w:r>
      <w:r w:rsidR="005853A9">
        <w:rPr>
          <w:kern w:val="0"/>
        </w:rPr>
        <w:t xml:space="preserve"> and </w:t>
      </w:r>
      <w:r>
        <w:rPr>
          <w:kern w:val="0"/>
        </w:rPr>
        <w:t>unpublished studies. Selection criteria Randomised controlled trials (RCTs)</w:t>
      </w:r>
      <w:r w:rsidR="005853A9">
        <w:rPr>
          <w:kern w:val="0"/>
        </w:rPr>
        <w:t xml:space="preserve"> and </w:t>
      </w:r>
      <w:r>
        <w:rPr>
          <w:kern w:val="0"/>
        </w:rPr>
        <w:t>controlled clinical trials (CCTs) comparing intra-masseteric injections</w:t>
      </w:r>
      <w:r w:rsidR="00427468">
        <w:rPr>
          <w:kern w:val="0"/>
        </w:rPr>
        <w:t xml:space="preserve"> of </w:t>
      </w:r>
      <w:r>
        <w:rPr>
          <w:kern w:val="0"/>
        </w:rPr>
        <w:t>botulinum toxin versus placebo administered for cosmetic facial sculpting in individuals</w:t>
      </w:r>
      <w:r w:rsidR="00427468">
        <w:rPr>
          <w:kern w:val="0"/>
        </w:rPr>
        <w:t xml:space="preserve"> of </w:t>
      </w:r>
      <w:r>
        <w:rPr>
          <w:kern w:val="0"/>
        </w:rPr>
        <w:t>any age with bilateral benign masseter hypertrophy, which had been self-evaluated</w:t>
      </w:r>
      <w:r w:rsidR="005853A9">
        <w:rPr>
          <w:kern w:val="0"/>
        </w:rPr>
        <w:t xml:space="preserve"> and </w:t>
      </w:r>
      <w:r>
        <w:rPr>
          <w:kern w:val="0"/>
        </w:rPr>
        <w:t>confirmed by clinical</w:t>
      </w:r>
      <w:r w:rsidR="005853A9">
        <w:rPr>
          <w:kern w:val="0"/>
        </w:rPr>
        <w:t xml:space="preserve"> and </w:t>
      </w:r>
      <w:r>
        <w:rPr>
          <w:kern w:val="0"/>
        </w:rPr>
        <w:t>radiological examination were considered for inclusion. We excluded participants with unilateral or compensatory contralateral masseter hypertrophy resulting from head</w:t>
      </w:r>
      <w:r w:rsidR="005853A9">
        <w:rPr>
          <w:kern w:val="0"/>
        </w:rPr>
        <w:t xml:space="preserve"> and </w:t>
      </w:r>
      <w:r>
        <w:rPr>
          <w:kern w:val="0"/>
        </w:rPr>
        <w:t>neck radiotherapy. Data collection</w:t>
      </w:r>
      <w:r w:rsidR="005853A9">
        <w:rPr>
          <w:kern w:val="0"/>
        </w:rPr>
        <w:t xml:space="preserve"> and </w:t>
      </w:r>
      <w:r>
        <w:rPr>
          <w:kern w:val="0"/>
        </w:rPr>
        <w:t>analysis Two review authors independently screened the search results. For future updates, two authors will independently extract data</w:t>
      </w:r>
      <w:r w:rsidR="005853A9">
        <w:rPr>
          <w:kern w:val="0"/>
        </w:rPr>
        <w:t xml:space="preserve"> and </w:t>
      </w:r>
      <w:r>
        <w:rPr>
          <w:kern w:val="0"/>
        </w:rPr>
        <w:t>assess trial quality using the Cochrane risk</w:t>
      </w:r>
      <w:r w:rsidR="00427468">
        <w:rPr>
          <w:kern w:val="0"/>
        </w:rPr>
        <w:t xml:space="preserve"> of </w:t>
      </w:r>
      <w:r>
        <w:rPr>
          <w:kern w:val="0"/>
        </w:rPr>
        <w:t>bias tool. Risk ratios (RR)</w:t>
      </w:r>
      <w:r w:rsidR="005853A9">
        <w:rPr>
          <w:kern w:val="0"/>
        </w:rPr>
        <w:t xml:space="preserve"> and </w:t>
      </w:r>
      <w:r>
        <w:rPr>
          <w:kern w:val="0"/>
        </w:rPr>
        <w:t>corresponding 95% confidence intervals (CI) will be calculated for all dichotomous outcomes</w:t>
      </w:r>
      <w:r w:rsidR="005853A9">
        <w:rPr>
          <w:kern w:val="0"/>
        </w:rPr>
        <w:t xml:space="preserve"> and </w:t>
      </w:r>
      <w:r>
        <w:rPr>
          <w:kern w:val="0"/>
        </w:rPr>
        <w:t>the mean difference (MD)</w:t>
      </w:r>
      <w:r w:rsidR="005853A9">
        <w:rPr>
          <w:kern w:val="0"/>
        </w:rPr>
        <w:t xml:space="preserve"> and </w:t>
      </w:r>
      <w:r>
        <w:rPr>
          <w:kern w:val="0"/>
        </w:rPr>
        <w:t>95% CI will be calculated for continuous outcomes. Main results We retrieved 683 unique references to studies. After screening these references 660 were excluded for being non-applicable. We assessed 23 full text articles for eligibility</w:t>
      </w:r>
      <w:r w:rsidR="005853A9">
        <w:rPr>
          <w:kern w:val="0"/>
        </w:rPr>
        <w:t xml:space="preserve"> and </w:t>
      </w:r>
      <w:r>
        <w:rPr>
          <w:kern w:val="0"/>
        </w:rPr>
        <w:t>all</w:t>
      </w:r>
      <w:r w:rsidR="00427468">
        <w:rPr>
          <w:kern w:val="0"/>
        </w:rPr>
        <w:t xml:space="preserve"> of </w:t>
      </w:r>
      <w:r>
        <w:rPr>
          <w:kern w:val="0"/>
        </w:rPr>
        <w:t>these studies were excluded from the review. Authors</w:t>
      </w:r>
      <w:r w:rsidR="0071223E">
        <w:rPr>
          <w:kern w:val="0"/>
        </w:rPr>
        <w:t>’</w:t>
      </w:r>
      <w:r>
        <w:rPr>
          <w:kern w:val="0"/>
        </w:rPr>
        <w:t xml:space="preserve"> conclusions We were unable to identify any RCTs or CCTs assessing the efficacy</w:t>
      </w:r>
      <w:r w:rsidR="005853A9">
        <w:rPr>
          <w:kern w:val="0"/>
        </w:rPr>
        <w:t xml:space="preserve"> and </w:t>
      </w:r>
      <w:r>
        <w:rPr>
          <w:kern w:val="0"/>
        </w:rPr>
        <w:t>safety</w:t>
      </w:r>
      <w:r w:rsidR="00427468">
        <w:rPr>
          <w:kern w:val="0"/>
        </w:rPr>
        <w:t xml:space="preserve"> of </w:t>
      </w:r>
      <w:r>
        <w:rPr>
          <w:kern w:val="0"/>
        </w:rPr>
        <w:t>intra-masseteric injections</w:t>
      </w:r>
      <w:r w:rsidR="00427468">
        <w:rPr>
          <w:kern w:val="0"/>
        </w:rPr>
        <w:t xml:space="preserve"> of </w:t>
      </w:r>
      <w:r>
        <w:rPr>
          <w:kern w:val="0"/>
        </w:rPr>
        <w:t>botulinum toxin for people with bilateral benign masseter hypertrophy</w:t>
      </w:r>
      <w:r w:rsidR="00A37C1D">
        <w:rPr>
          <w:kern w:val="0"/>
        </w:rPr>
        <w:t>. The</w:t>
      </w:r>
      <w:r>
        <w:rPr>
          <w:kern w:val="0"/>
        </w:rPr>
        <w:t xml:space="preserve"> absence</w:t>
      </w:r>
      <w:r w:rsidR="00427468">
        <w:rPr>
          <w:kern w:val="0"/>
        </w:rPr>
        <w:t xml:space="preserve"> of </w:t>
      </w:r>
      <w:r>
        <w:rPr>
          <w:kern w:val="0"/>
        </w:rPr>
        <w:t>high level evidence for the effectiveness</w:t>
      </w:r>
      <w:r w:rsidR="00427468">
        <w:rPr>
          <w:kern w:val="0"/>
        </w:rPr>
        <w:t xml:space="preserve"> of </w:t>
      </w:r>
      <w:r>
        <w:rPr>
          <w:kern w:val="0"/>
        </w:rPr>
        <w:t>this intervention emphasises the need for well-designed, adequately powered RCTs.</w:t>
      </w:r>
    </w:p>
    <w:p w:rsidR="00D83AB6" w:rsidRDefault="00D83AB6" w:rsidP="00D83AB6">
      <w:pPr>
        <w:pStyle w:val="a3"/>
        <w:rPr>
          <w:kern w:val="0"/>
        </w:rPr>
      </w:pPr>
      <w:r>
        <w:rPr>
          <w:kern w:val="0"/>
        </w:rPr>
        <w:t xml:space="preserve">Keywords: Academic, Aetiology, Age, Analysis, Assessing, Atrophy, Authors, Bias, Bibliographic, Bibliographic Databases, Botulinum Toxin, Clinical, Clinical Trials, Collection, Confidence, Confidence Intervals, Criteria, Data, Data Collection, Databases, Effectiveness, Efficacy, Embase, Evidence, Examination, Google, Google Scholar, Injections, Intervals, Intervention, Invasive, Journals, Management, </w:t>
      </w:r>
      <w:r>
        <w:rPr>
          <w:kern w:val="0"/>
        </w:rPr>
        <w:lastRenderedPageBreak/>
        <w:t xml:space="preserve">Mechanism, </w:t>
      </w:r>
      <w:r w:rsidR="00D5664A">
        <w:rPr>
          <w:kern w:val="0"/>
        </w:rPr>
        <w:t>MEDLINE</w:t>
      </w:r>
      <w:r>
        <w:rPr>
          <w:kern w:val="0"/>
        </w:rPr>
        <w:t xml:space="preserve">, Methods, Muscle, Neck, Options, Outcomes, Pain, Pharmacotherapy, Placebo, Pubmed, Pubmed Central, Quality, Radiotherapy, Randomised Controlled Trials, Reduction, Reference, Reference Lists, References, Regional, Review, Risk, Safety, Science, Screening, Search, Swelling, Toxin, Treatment, Trial, </w:t>
      </w:r>
      <w:r w:rsidR="00D5664A">
        <w:rPr>
          <w:kern w:val="0"/>
        </w:rPr>
        <w:t>Web</w:t>
      </w:r>
      <w:r w:rsidR="00427468">
        <w:rPr>
          <w:kern w:val="0"/>
        </w:rPr>
        <w:t xml:space="preserve"> of </w:t>
      </w:r>
      <w:r w:rsidR="00D5664A">
        <w:rPr>
          <w:kern w:val="0"/>
        </w:rPr>
        <w:t>Science</w:t>
      </w:r>
    </w:p>
    <w:p w:rsidR="00365DE4" w:rsidRDefault="00365DE4" w:rsidP="00365DE4">
      <w:pPr>
        <w:pStyle w:val="a3"/>
        <w:rPr>
          <w:kern w:val="0"/>
        </w:rPr>
      </w:pPr>
      <w:r>
        <w:rPr>
          <w:kern w:val="0"/>
        </w:rPr>
        <w:t>? Diaz-Nieto, R., Orti-Rodriguez, R.</w:t>
      </w:r>
      <w:r w:rsidR="005853A9">
        <w:rPr>
          <w:kern w:val="0"/>
        </w:rPr>
        <w:t xml:space="preserve"> and </w:t>
      </w:r>
      <w:r>
        <w:rPr>
          <w:kern w:val="0"/>
        </w:rPr>
        <w:t xml:space="preserve">Winslet, M. (2013), Post-surgical chemotherapy versus surgery alone for resectable gastric cancer.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CD008415.</w:t>
      </w:r>
    </w:p>
    <w:p w:rsidR="00365DE4" w:rsidRDefault="00365DE4" w:rsidP="00365DE4">
      <w:pPr>
        <w:pStyle w:val="a3"/>
        <w:rPr>
          <w:kern w:val="2"/>
        </w:rPr>
      </w:pPr>
      <w:r>
        <w:t>Full Text: 2013\Coc Dat Sys Rev2013, CD008415.pdf</w:t>
      </w:r>
    </w:p>
    <w:p w:rsidR="00365DE4" w:rsidRDefault="00365DE4" w:rsidP="00365DE4">
      <w:pPr>
        <w:pStyle w:val="a3"/>
        <w:rPr>
          <w:kern w:val="0"/>
        </w:rPr>
      </w:pPr>
      <w:r>
        <w:rPr>
          <w:kern w:val="0"/>
        </w:rPr>
        <w:t>Abstract: Background For gastric cancer surgery is the mainstay treatment. Chemotherapy seems to improve the survival results. But chemotherapy is not a complication-free therapy</w:t>
      </w:r>
      <w:r w:rsidR="005853A9">
        <w:rPr>
          <w:kern w:val="0"/>
        </w:rPr>
        <w:t xml:space="preserve"> and </w:t>
      </w:r>
      <w:r>
        <w:rPr>
          <w:kern w:val="0"/>
        </w:rPr>
        <w:t>its role has been questioned by some trials. Objectives To determine whether post-surgical chemotherapy should be used routinely in resectable gastric cancer. Search methods We searched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w:t>
      </w:r>
      <w:r w:rsidR="005853A9">
        <w:rPr>
          <w:kern w:val="0"/>
        </w:rPr>
        <w:t xml:space="preserve"> and </w:t>
      </w:r>
      <w:r>
        <w:rPr>
          <w:kern w:val="0"/>
        </w:rPr>
        <w:t>Science Citation Index Expanded (July 2013). Selection criteria Randomised controlled trials (RCT) comparing post-surgical chemotherapy versus surgery alone for resectable gastric cancer.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the data. We analysed the data with both the fixed-effect</w:t>
      </w:r>
      <w:r w:rsidR="005853A9">
        <w:rPr>
          <w:kern w:val="0"/>
        </w:rPr>
        <w:t xml:space="preserve"> and </w:t>
      </w:r>
      <w:r>
        <w:rPr>
          <w:kern w:val="0"/>
        </w:rPr>
        <w:t>the random-effects models using the RevMan analysis software. We calculated the hazard ratio (HR) with 95% confidence interval (CI) based on intention-to-treat or available case analysis. Main results The authors identified 34 studies (7824 patients) reporting overall survival (OS)</w:t>
      </w:r>
      <w:r w:rsidR="005853A9">
        <w:rPr>
          <w:kern w:val="0"/>
        </w:rPr>
        <w:t xml:space="preserve"> and </w:t>
      </w:r>
      <w:r>
        <w:rPr>
          <w:kern w:val="0"/>
        </w:rPr>
        <w:t>only 15 reporting disease free survival (DFS) as well. Post-surgical chemotherapy showed an improvement in OS (HR 0.85; 95% CI 0.80 to 0.90)</w:t>
      </w:r>
      <w:r w:rsidR="005853A9">
        <w:rPr>
          <w:kern w:val="0"/>
        </w:rPr>
        <w:t xml:space="preserve"> and </w:t>
      </w:r>
      <w:r>
        <w:rPr>
          <w:kern w:val="0"/>
        </w:rPr>
        <w:t>an improvement in DFS (HR 0.79; 95% CI 0.72 to 0.87), although all the trials had a high risk</w:t>
      </w:r>
      <w:r w:rsidR="00427468">
        <w:rPr>
          <w:kern w:val="0"/>
        </w:rPr>
        <w:t xml:space="preserve"> of </w:t>
      </w:r>
      <w:r>
        <w:rPr>
          <w:kern w:val="0"/>
        </w:rPr>
        <w:t>bias</w:t>
      </w:r>
      <w:r w:rsidR="00A37C1D">
        <w:rPr>
          <w:kern w:val="0"/>
        </w:rPr>
        <w:t>. The</w:t>
      </w:r>
      <w:r>
        <w:rPr>
          <w:kern w:val="0"/>
        </w:rPr>
        <w:t xml:space="preserve"> planned analysis</w:t>
      </w:r>
      <w:r w:rsidR="00427468">
        <w:rPr>
          <w:kern w:val="0"/>
        </w:rPr>
        <w:t xml:space="preserve"> of </w:t>
      </w:r>
      <w:r>
        <w:rPr>
          <w:kern w:val="0"/>
        </w:rPr>
        <w:t>quality</w:t>
      </w:r>
      <w:r w:rsidR="00427468">
        <w:rPr>
          <w:kern w:val="0"/>
        </w:rPr>
        <w:t xml:space="preserve"> of </w:t>
      </w:r>
      <w:r>
        <w:rPr>
          <w:kern w:val="0"/>
        </w:rPr>
        <w:t>life, return to work,</w:t>
      </w:r>
      <w:r w:rsidR="005853A9">
        <w:rPr>
          <w:kern w:val="0"/>
        </w:rPr>
        <w:t xml:space="preserve"> and </w:t>
      </w:r>
      <w:r>
        <w:rPr>
          <w:kern w:val="0"/>
        </w:rPr>
        <w:t>number</w:t>
      </w:r>
      <w:r w:rsidR="00427468">
        <w:rPr>
          <w:kern w:val="0"/>
        </w:rPr>
        <w:t xml:space="preserve"> of </w:t>
      </w:r>
      <w:r>
        <w:rPr>
          <w:kern w:val="0"/>
        </w:rPr>
        <w:t>hospital admissions was impossible to complete as the outcome data for the analysis were not available from any trials. Authors</w:t>
      </w:r>
      <w:r w:rsidR="0071223E">
        <w:rPr>
          <w:kern w:val="0"/>
        </w:rPr>
        <w:t>’</w:t>
      </w:r>
      <w:r>
        <w:rPr>
          <w:kern w:val="0"/>
        </w:rPr>
        <w:t xml:space="preserve"> conclusions Post-surgical chemotherapy should be used routinely for resectable gastric cancer where possible. Further RCTs are needed to determine the role at each stage</w:t>
      </w:r>
      <w:r w:rsidR="00427468">
        <w:rPr>
          <w:kern w:val="0"/>
        </w:rPr>
        <w:t xml:space="preserve"> of </w:t>
      </w:r>
      <w:r>
        <w:rPr>
          <w:kern w:val="0"/>
        </w:rPr>
        <w:t>disease.</w:t>
      </w:r>
    </w:p>
    <w:p w:rsidR="00365DE4" w:rsidRDefault="00365DE4" w:rsidP="00365DE4">
      <w:pPr>
        <w:pStyle w:val="a3"/>
        <w:rPr>
          <w:kern w:val="0"/>
        </w:rPr>
      </w:pPr>
      <w:r>
        <w:rPr>
          <w:kern w:val="0"/>
        </w:rPr>
        <w:t xml:space="preserve">Keywords: 5-Year Follow-Up, Analysis, Authors, Bias, Cancer, Case Analysis, Chemotherapy, Citation, Clinical-Trials, Collection, Complete, Confidence, Criteria, Curative Resection, Data, Data Collection, Disease, Embase, Gastric Cancer, Hazard, Hospital, Improvement, Interval, Life, </w:t>
      </w:r>
      <w:r w:rsidR="00D5664A">
        <w:rPr>
          <w:kern w:val="0"/>
        </w:rPr>
        <w:t>MEDLINE</w:t>
      </w:r>
      <w:r>
        <w:rPr>
          <w:kern w:val="0"/>
        </w:rPr>
        <w:t>, Methods, Mitomycin-C, Models, Oncology-Group, Outcome, Patients, Phase-Iii Trial, Postoperative Adjuvant Immunotherapy, Quality, Quality Of, Quality</w:t>
      </w:r>
      <w:r w:rsidR="00427468">
        <w:rPr>
          <w:kern w:val="0"/>
        </w:rPr>
        <w:t xml:space="preserve"> of </w:t>
      </w:r>
      <w:r>
        <w:rPr>
          <w:kern w:val="0"/>
        </w:rPr>
        <w:t xml:space="preserve">Life, Quality-Of-Life, Randomised Controlled Trials, Randomized Controlled-Trial, Rct, Reporting, Risk, Role, Science, Science Citation Index, Science Citation Index Expanded, Search, Software, </w:t>
      </w:r>
      <w:r>
        <w:rPr>
          <w:kern w:val="0"/>
        </w:rPr>
        <w:lastRenderedPageBreak/>
        <w:t>Stomach-Cancer, Surgery, Survival, Therapy, Treatment, Work</w:t>
      </w:r>
    </w:p>
    <w:p w:rsidR="00365DE4" w:rsidRDefault="00365DE4" w:rsidP="00365DE4">
      <w:pPr>
        <w:pStyle w:val="a3"/>
        <w:rPr>
          <w:kern w:val="0"/>
        </w:rPr>
      </w:pPr>
      <w:r>
        <w:rPr>
          <w:kern w:val="0"/>
        </w:rPr>
        <w:t>? Gur</w:t>
      </w:r>
      <w:r w:rsidR="00D5664A">
        <w:rPr>
          <w:kern w:val="0"/>
        </w:rPr>
        <w:t>USA</w:t>
      </w:r>
      <w:r>
        <w:rPr>
          <w:kern w:val="0"/>
        </w:rPr>
        <w:t>my, K.S., Nagendran, M.</w:t>
      </w:r>
      <w:r w:rsidR="005853A9">
        <w:rPr>
          <w:kern w:val="0"/>
        </w:rPr>
        <w:t xml:space="preserve"> and </w:t>
      </w:r>
      <w:r>
        <w:rPr>
          <w:kern w:val="0"/>
        </w:rPr>
        <w:t xml:space="preserve">Davidson, B.R. (2013), Early versus delayed laparoscopic cholecystectomy for acute gallstone pancreatitis. </w:t>
      </w:r>
      <w:r>
        <w:rPr>
          <w:i/>
          <w:iCs/>
          <w:kern w:val="0"/>
        </w:rPr>
        <w:t>Cochrane Database</w:t>
      </w:r>
      <w:r w:rsidR="00427468">
        <w:rPr>
          <w:i/>
          <w:iCs/>
          <w:kern w:val="0"/>
        </w:rPr>
        <w:t xml:space="preserve"> of </w:t>
      </w:r>
      <w:r>
        <w:rPr>
          <w:i/>
          <w:iCs/>
          <w:kern w:val="0"/>
        </w:rPr>
        <w:t>Systematic Reviews</w:t>
      </w:r>
      <w:r>
        <w:rPr>
          <w:kern w:val="0"/>
        </w:rPr>
        <w:t xml:space="preserve">, </w:t>
      </w:r>
      <w:r>
        <w:rPr>
          <w:b/>
          <w:kern w:val="0"/>
        </w:rPr>
        <w:t>9</w:t>
      </w:r>
      <w:r>
        <w:rPr>
          <w:kern w:val="0"/>
        </w:rPr>
        <w:t>, Article Number: CD010326.</w:t>
      </w:r>
    </w:p>
    <w:p w:rsidR="00365DE4" w:rsidRDefault="00365DE4" w:rsidP="00365DE4">
      <w:pPr>
        <w:pStyle w:val="a3"/>
        <w:rPr>
          <w:kern w:val="2"/>
        </w:rPr>
      </w:pPr>
      <w:r>
        <w:t>Full Text: 2013\Coc Dat Sys Rev2013, CD010326.pdf</w:t>
      </w:r>
    </w:p>
    <w:p w:rsidR="00365DE4" w:rsidRDefault="00365DE4" w:rsidP="00365DE4">
      <w:pPr>
        <w:pStyle w:val="a3"/>
        <w:rPr>
          <w:kern w:val="0"/>
        </w:rPr>
      </w:pPr>
      <w:r>
        <w:rPr>
          <w:kern w:val="0"/>
        </w:rPr>
        <w:t>Abstract: Background Gallstones</w:t>
      </w:r>
      <w:r w:rsidR="005853A9">
        <w:rPr>
          <w:kern w:val="0"/>
        </w:rPr>
        <w:t xml:space="preserve"> and </w:t>
      </w:r>
      <w:r>
        <w:rPr>
          <w:kern w:val="0"/>
        </w:rPr>
        <w:t>alcohol account for more than 80%</w:t>
      </w:r>
      <w:r w:rsidR="00427468">
        <w:rPr>
          <w:kern w:val="0"/>
        </w:rPr>
        <w:t xml:space="preserve"> of </w:t>
      </w:r>
      <w:r>
        <w:rPr>
          <w:kern w:val="0"/>
        </w:rPr>
        <w:t>acute pancreatitis. Cholecystectomy is the definitive treatment for gallstones. Laparoscopic cholecystectomy is the preferred route for performing cholecystectomy</w:t>
      </w:r>
      <w:r w:rsidR="00A37C1D">
        <w:rPr>
          <w:kern w:val="0"/>
        </w:rPr>
        <w:t>. The</w:t>
      </w:r>
      <w:r>
        <w:rPr>
          <w:kern w:val="0"/>
        </w:rPr>
        <w:t xml:space="preserve"> timing</w:t>
      </w:r>
      <w:r w:rsidR="00427468">
        <w:rPr>
          <w:kern w:val="0"/>
        </w:rPr>
        <w:t xml:space="preserve"> of </w:t>
      </w:r>
      <w:r>
        <w:rPr>
          <w:kern w:val="0"/>
        </w:rPr>
        <w:t>laparoscopic cholecystectomy after an attack</w:t>
      </w:r>
      <w:r w:rsidR="00427468">
        <w:rPr>
          <w:kern w:val="0"/>
        </w:rPr>
        <w:t xml:space="preserve"> of </w:t>
      </w:r>
      <w:r>
        <w:rPr>
          <w:kern w:val="0"/>
        </w:rPr>
        <w:t>acute biliary pancreatitis is controversial. Objectives To compare the benefits</w:t>
      </w:r>
      <w:r w:rsidR="005853A9">
        <w:rPr>
          <w:kern w:val="0"/>
        </w:rPr>
        <w:t xml:space="preserve"> and </w:t>
      </w:r>
      <w:r>
        <w:rPr>
          <w:kern w:val="0"/>
        </w:rPr>
        <w:t>harms</w:t>
      </w:r>
      <w:r w:rsidR="00427468">
        <w:rPr>
          <w:kern w:val="0"/>
        </w:rPr>
        <w:t xml:space="preserve"> of </w:t>
      </w:r>
      <w:r>
        <w:rPr>
          <w:kern w:val="0"/>
        </w:rPr>
        <w:t xml:space="preserve">early versus delayed laparoscopic cholecystectomy in people with acute biliary pancreatitis. For mild acute pancreatitis, we considered </w:t>
      </w:r>
      <w:r w:rsidR="0071223E">
        <w:rPr>
          <w:kern w:val="0"/>
        </w:rPr>
        <w:t>‘</w:t>
      </w:r>
      <w:r>
        <w:rPr>
          <w:kern w:val="0"/>
        </w:rPr>
        <w:t>early</w:t>
      </w:r>
      <w:r w:rsidR="0071223E">
        <w:rPr>
          <w:kern w:val="0"/>
        </w:rPr>
        <w:t>’</w:t>
      </w:r>
      <w:r>
        <w:rPr>
          <w:kern w:val="0"/>
        </w:rPr>
        <w:t xml:space="preserve"> laparoscopic cholecystectomy to be laparoscopic cholecystectomy performed within three days</w:t>
      </w:r>
      <w:r w:rsidR="00427468">
        <w:rPr>
          <w:kern w:val="0"/>
        </w:rPr>
        <w:t xml:space="preserve"> of </w:t>
      </w:r>
      <w:r>
        <w:rPr>
          <w:kern w:val="0"/>
        </w:rPr>
        <w:t>onset</w:t>
      </w:r>
      <w:r w:rsidR="00427468">
        <w:rPr>
          <w:kern w:val="0"/>
        </w:rPr>
        <w:t xml:space="preserve"> of </w:t>
      </w:r>
      <w:r>
        <w:rPr>
          <w:kern w:val="0"/>
        </w:rPr>
        <w:t>symptoms. We considered all laparoscopic cholecystectomies performed beyond three days</w:t>
      </w:r>
      <w:r w:rsidR="00427468">
        <w:rPr>
          <w:kern w:val="0"/>
        </w:rPr>
        <w:t xml:space="preserve"> of </w:t>
      </w:r>
      <w:r>
        <w:rPr>
          <w:kern w:val="0"/>
        </w:rPr>
        <w:t>onset</w:t>
      </w:r>
      <w:r w:rsidR="00427468">
        <w:rPr>
          <w:kern w:val="0"/>
        </w:rPr>
        <w:t xml:space="preserve"> of </w:t>
      </w:r>
      <w:r>
        <w:rPr>
          <w:kern w:val="0"/>
        </w:rPr>
        <w:t xml:space="preserve">symptoms as </w:t>
      </w:r>
      <w:r w:rsidR="0071223E">
        <w:rPr>
          <w:kern w:val="0"/>
        </w:rPr>
        <w:t>‘</w:t>
      </w:r>
      <w:r>
        <w:rPr>
          <w:kern w:val="0"/>
        </w:rPr>
        <w:t>delayed</w:t>
      </w:r>
      <w:r w:rsidR="0071223E">
        <w:rPr>
          <w:kern w:val="0"/>
        </w:rPr>
        <w:t>’</w:t>
      </w:r>
      <w:r>
        <w:rPr>
          <w:kern w:val="0"/>
        </w:rPr>
        <w:t xml:space="preserve">. For severe acute pancreatitis, we considered </w:t>
      </w:r>
      <w:r w:rsidR="0071223E">
        <w:rPr>
          <w:kern w:val="0"/>
        </w:rPr>
        <w:t>‘</w:t>
      </w:r>
      <w:r>
        <w:rPr>
          <w:kern w:val="0"/>
        </w:rPr>
        <w:t>early</w:t>
      </w:r>
      <w:r w:rsidR="0071223E">
        <w:rPr>
          <w:kern w:val="0"/>
        </w:rPr>
        <w:t>’</w:t>
      </w:r>
      <w:r>
        <w:rPr>
          <w:kern w:val="0"/>
        </w:rPr>
        <w:t xml:space="preserve"> laparoscopic cholecystectomy as laparoscopic cholecystectomy performed within the index admission. We considered all laparoscopic cholecystectomies performed in a later admission as </w:t>
      </w:r>
      <w:r w:rsidR="0071223E">
        <w:rPr>
          <w:kern w:val="0"/>
        </w:rPr>
        <w:t>‘</w:t>
      </w:r>
      <w:r>
        <w:rPr>
          <w:kern w:val="0"/>
        </w:rPr>
        <w:t>delayed</w:t>
      </w:r>
      <w:r w:rsidR="0071223E">
        <w:rPr>
          <w:kern w:val="0"/>
        </w:rPr>
        <w:t>’</w:t>
      </w:r>
      <w:r>
        <w:rPr>
          <w:kern w:val="0"/>
        </w:rPr>
        <w:t>. Search methods We searched the Cochrane Central Register</w:t>
      </w:r>
      <w:r w:rsidR="00427468">
        <w:rPr>
          <w:kern w:val="0"/>
        </w:rPr>
        <w:t xml:space="preserve"> of </w:t>
      </w:r>
      <w:r>
        <w:rPr>
          <w:kern w:val="0"/>
        </w:rPr>
        <w:t xml:space="preserve">Controlled Trials (CENTRAL) (The Cochrane Library 2012, issue 12), </w:t>
      </w:r>
      <w:r w:rsidR="00D5664A">
        <w:rPr>
          <w:kern w:val="0"/>
        </w:rPr>
        <w:t>MEDLINE</w:t>
      </w:r>
      <w:r>
        <w:rPr>
          <w:kern w:val="0"/>
        </w:rPr>
        <w:t>, EMBASE, Science Citation Index Expanded,</w:t>
      </w:r>
      <w:r w:rsidR="005853A9">
        <w:rPr>
          <w:kern w:val="0"/>
        </w:rPr>
        <w:t xml:space="preserve"> and </w:t>
      </w:r>
      <w:r>
        <w:rPr>
          <w:kern w:val="0"/>
        </w:rPr>
        <w:t>trial registers until January 2013. Selection criteria We included randomised controlled trials, irrespective</w:t>
      </w:r>
      <w:r w:rsidR="00427468">
        <w:rPr>
          <w:kern w:val="0"/>
        </w:rPr>
        <w:t xml:space="preserve"> of </w:t>
      </w:r>
      <w:r>
        <w:rPr>
          <w:kern w:val="0"/>
        </w:rPr>
        <w:t>language or publication status, comparing early versus delayed laparoscopic cholecystectomy for people with acute biliary pancreatitis. Data collection</w:t>
      </w:r>
      <w:r w:rsidR="005853A9">
        <w:rPr>
          <w:kern w:val="0"/>
        </w:rPr>
        <w:t xml:space="preserve"> and </w:t>
      </w:r>
      <w:r>
        <w:rPr>
          <w:kern w:val="0"/>
        </w:rPr>
        <w:t>analysis Two authors independently assessed trials for inclusion</w:t>
      </w:r>
      <w:r w:rsidR="005853A9">
        <w:rPr>
          <w:kern w:val="0"/>
        </w:rPr>
        <w:t xml:space="preserve"> and </w:t>
      </w:r>
      <w:r>
        <w:rPr>
          <w:kern w:val="0"/>
        </w:rPr>
        <w:t>independently extracted data. We planned to analyse data with both the fixed-effect</w:t>
      </w:r>
      <w:r w:rsidR="005853A9">
        <w:rPr>
          <w:kern w:val="0"/>
        </w:rPr>
        <w:t xml:space="preserve"> and </w:t>
      </w:r>
      <w:r>
        <w:rPr>
          <w:kern w:val="0"/>
        </w:rPr>
        <w:t>the random-effects models using Review Manager 5 (RevMan 2011). We calculated the risk ratio (RR), or mean difference (MD) with 95% confidence intervals (CI) based on an intention-to-treat analysis. Main results We identified one trial comparing early versus delayed laparoscopic cholecystectomy for people with mild acute pancreatitis. Fifty participants with mild acute gallstone pancreatitis were randomised either to early laparoscopic cholecystectomy (within 48 hours</w:t>
      </w:r>
      <w:r w:rsidR="00427468">
        <w:rPr>
          <w:kern w:val="0"/>
        </w:rPr>
        <w:t xml:space="preserve"> of </w:t>
      </w:r>
      <w:r>
        <w:rPr>
          <w:kern w:val="0"/>
        </w:rPr>
        <w:t>admission irrespective</w:t>
      </w:r>
      <w:r w:rsidR="00427468">
        <w:rPr>
          <w:kern w:val="0"/>
        </w:rPr>
        <w:t xml:space="preserve"> of </w:t>
      </w:r>
      <w:r>
        <w:rPr>
          <w:kern w:val="0"/>
        </w:rPr>
        <w:t>whether the abdominal symptoms were resolved or the laboratory values had returned to normal) (n = 25), or to delayed laparoscopic cholecystectomy (surgery after resolution</w:t>
      </w:r>
      <w:r w:rsidR="00427468">
        <w:rPr>
          <w:kern w:val="0"/>
        </w:rPr>
        <w:t xml:space="preserve"> of </w:t>
      </w:r>
      <w:r>
        <w:rPr>
          <w:kern w:val="0"/>
        </w:rPr>
        <w:t>abdominal pain</w:t>
      </w:r>
      <w:r w:rsidR="005853A9">
        <w:rPr>
          <w:kern w:val="0"/>
        </w:rPr>
        <w:t xml:space="preserve"> and </w:t>
      </w:r>
      <w:r>
        <w:rPr>
          <w:kern w:val="0"/>
        </w:rPr>
        <w:t>after the laboratory values had returned to normal) (n = 25). This trial is at high risk</w:t>
      </w:r>
      <w:r w:rsidR="00427468">
        <w:rPr>
          <w:kern w:val="0"/>
        </w:rPr>
        <w:t xml:space="preserve"> of </w:t>
      </w:r>
      <w:r>
        <w:rPr>
          <w:kern w:val="0"/>
        </w:rPr>
        <w:t>bias</w:t>
      </w:r>
      <w:r w:rsidR="00A37C1D">
        <w:rPr>
          <w:kern w:val="0"/>
        </w:rPr>
        <w:t>. The</w:t>
      </w:r>
      <w:r>
        <w:rPr>
          <w:kern w:val="0"/>
        </w:rPr>
        <w:t>re was no short-term mortality in either group</w:t>
      </w:r>
      <w:r w:rsidR="00A37C1D">
        <w:rPr>
          <w:kern w:val="0"/>
        </w:rPr>
        <w:t>. The</w:t>
      </w:r>
      <w:r>
        <w:rPr>
          <w:kern w:val="0"/>
        </w:rPr>
        <w:t>re was no significant difference between the groups in the proportion</w:t>
      </w:r>
      <w:r w:rsidR="00427468">
        <w:rPr>
          <w:kern w:val="0"/>
        </w:rPr>
        <w:t xml:space="preserve"> of </w:t>
      </w:r>
      <w:r>
        <w:rPr>
          <w:kern w:val="0"/>
        </w:rPr>
        <w:t>participants who developed serious adverse events (RR 0.33; 95% CI 0.01 to 7.81). Health-related quality</w:t>
      </w:r>
      <w:r w:rsidR="00427468">
        <w:rPr>
          <w:kern w:val="0"/>
        </w:rPr>
        <w:t xml:space="preserve"> of </w:t>
      </w:r>
      <w:r>
        <w:rPr>
          <w:kern w:val="0"/>
        </w:rPr>
        <w:t>life was not reported in this trial</w:t>
      </w:r>
      <w:r w:rsidR="00A37C1D">
        <w:rPr>
          <w:kern w:val="0"/>
        </w:rPr>
        <w:t>. The</w:t>
      </w:r>
      <w:r>
        <w:rPr>
          <w:kern w:val="0"/>
        </w:rPr>
        <w:t>re were no conversions to open cholecystectomy in either group</w:t>
      </w:r>
      <w:r w:rsidR="00A37C1D">
        <w:rPr>
          <w:kern w:val="0"/>
        </w:rPr>
        <w:t>. The</w:t>
      </w:r>
      <w:r>
        <w:rPr>
          <w:kern w:val="0"/>
        </w:rPr>
        <w:t xml:space="preserve"> total </w:t>
      </w:r>
      <w:r>
        <w:rPr>
          <w:kern w:val="0"/>
        </w:rPr>
        <w:lastRenderedPageBreak/>
        <w:t>hospital stay was significantly shorter in the early laparoscopic cholecystectomy group than in the delayed laparoscopic cholecystectomy group (MD -2.30 days; 95% CI -4.40 to -0.20). This trial reported neither the number</w:t>
      </w:r>
      <w:r w:rsidR="00427468">
        <w:rPr>
          <w:kern w:val="0"/>
        </w:rPr>
        <w:t xml:space="preserve"> of </w:t>
      </w:r>
      <w:r>
        <w:rPr>
          <w:kern w:val="0"/>
        </w:rPr>
        <w:t>work-days lost nor the costs. We did not identify any trials comparing early versus delayed laparoscopic cholecystectomy after severe acute pancreatitis. Authors</w:t>
      </w:r>
      <w:r w:rsidR="0071223E">
        <w:rPr>
          <w:kern w:val="0"/>
        </w:rPr>
        <w:t>’</w:t>
      </w:r>
      <w:r>
        <w:rPr>
          <w:kern w:val="0"/>
        </w:rPr>
        <w:t xml:space="preserve"> conclusions There is no evidence</w:t>
      </w:r>
      <w:r w:rsidR="00427468">
        <w:rPr>
          <w:kern w:val="0"/>
        </w:rPr>
        <w:t xml:space="preserve"> of </w:t>
      </w:r>
      <w:r>
        <w:rPr>
          <w:kern w:val="0"/>
        </w:rPr>
        <w:t>increased risk</w:t>
      </w:r>
      <w:r w:rsidR="00427468">
        <w:rPr>
          <w:kern w:val="0"/>
        </w:rPr>
        <w:t xml:space="preserve"> of </w:t>
      </w:r>
      <w:r>
        <w:rPr>
          <w:kern w:val="0"/>
        </w:rPr>
        <w:t>complications after early laparoscopic cholecystectomy. Early laparoscopic cholecystectomy may shorten the total hospital stay in people with mild acute pancreatitis. If appropriate facilities</w:t>
      </w:r>
      <w:r w:rsidR="005853A9">
        <w:rPr>
          <w:kern w:val="0"/>
        </w:rPr>
        <w:t xml:space="preserve"> and </w:t>
      </w:r>
      <w:r>
        <w:rPr>
          <w:kern w:val="0"/>
        </w:rPr>
        <w:t>expertise are available, early laparoscopic cholecystectomy appears preferable to delayed laparoscopic cholecystectomy in those with mild acute pancreatitis</w:t>
      </w:r>
      <w:r w:rsidR="00A37C1D">
        <w:rPr>
          <w:kern w:val="0"/>
        </w:rPr>
        <w:t>. The</w:t>
      </w:r>
      <w:r>
        <w:rPr>
          <w:kern w:val="0"/>
        </w:rPr>
        <w:t>re is currently no evidence to support or refute early laparoscopic cholecystectomy for people with severe acute pancreatitis. Further randomised controlled trials at low risk</w:t>
      </w:r>
      <w:r w:rsidR="00427468">
        <w:rPr>
          <w:kern w:val="0"/>
        </w:rPr>
        <w:t xml:space="preserve"> of </w:t>
      </w:r>
      <w:r>
        <w:rPr>
          <w:kern w:val="0"/>
        </w:rPr>
        <w:t>bias are necessary in people with mild acute pancreatitis</w:t>
      </w:r>
      <w:r w:rsidR="005853A9">
        <w:rPr>
          <w:kern w:val="0"/>
        </w:rPr>
        <w:t xml:space="preserve"> and </w:t>
      </w:r>
      <w:r>
        <w:rPr>
          <w:kern w:val="0"/>
        </w:rPr>
        <w:t>severe acute pancreatitis.</w:t>
      </w:r>
    </w:p>
    <w:p w:rsidR="00365DE4" w:rsidRDefault="00365DE4" w:rsidP="00365DE4">
      <w:pPr>
        <w:pStyle w:val="a3"/>
        <w:rPr>
          <w:kern w:val="0"/>
        </w:rPr>
      </w:pPr>
      <w:r>
        <w:rPr>
          <w:kern w:val="0"/>
        </w:rPr>
        <w:t xml:space="preserve">Keywords: 1st Attack, Abdominal, Acute Pancreatitis, Alcohol, Analysis, Authors, Benefits, Bias, Bile-Duct Stones, Cholecystectomy, Citation, Classification, Clinical-Trials, Collection, Complications, Confidence, Confidence Intervals, Costs, Criteria, Data, Data Collection, Embase, Empirical-Evidence, Events, Evidence, Facilities, Gallstones, Groups, Hospital, Hospital Stay, Index, Intervals, Language, Laparoscopic, Laparoscopic Cholecystectomy, Life, Low Risk, Management, </w:t>
      </w:r>
      <w:r w:rsidR="00D5664A">
        <w:rPr>
          <w:kern w:val="0"/>
        </w:rPr>
        <w:t>MEDLINE</w:t>
      </w:r>
      <w:r>
        <w:rPr>
          <w:kern w:val="0"/>
        </w:rPr>
        <w:t>, Metaanalysis, Methods, Models, Mortality, Normal, Onset, Open, Pain, Pancreatitis, Publication, Quality, Quality Of, Quality</w:t>
      </w:r>
      <w:r w:rsidR="00427468">
        <w:rPr>
          <w:kern w:val="0"/>
        </w:rPr>
        <w:t xml:space="preserve"> of </w:t>
      </w:r>
      <w:r>
        <w:rPr>
          <w:kern w:val="0"/>
        </w:rPr>
        <w:t>Life, Randomised, Randomised Controlled Trials, Randomized Controlled-Trial, Review, Risk, Route, Science, Science Citation Index, Science Citation Index Expanded, Search, Support, Surgery, Symptoms, Timing, Treatment, Trial</w:t>
      </w:r>
    </w:p>
    <w:p w:rsidR="00D72764" w:rsidRDefault="00D72764" w:rsidP="00D72764">
      <w:pPr>
        <w:pStyle w:val="a3"/>
        <w:rPr>
          <w:kern w:val="0"/>
        </w:rPr>
      </w:pPr>
      <w:r>
        <w:rPr>
          <w:kern w:val="0"/>
        </w:rPr>
        <w:t>? Virgili, G., Acosta, R., Grover, L.L., Bentley, S.A.</w:t>
      </w:r>
      <w:r w:rsidR="005853A9">
        <w:rPr>
          <w:kern w:val="0"/>
        </w:rPr>
        <w:t xml:space="preserve"> and </w:t>
      </w:r>
      <w:r>
        <w:rPr>
          <w:kern w:val="0"/>
        </w:rPr>
        <w:t xml:space="preserve">Giacomelli, G. (2013), Reading aids for adults with low vision.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CD003303</w:t>
      </w:r>
      <w:r>
        <w:rPr>
          <w:kern w:val="0"/>
        </w:rPr>
        <w:t>.</w:t>
      </w:r>
    </w:p>
    <w:p w:rsidR="00D72764" w:rsidRDefault="00D72764" w:rsidP="00D72764">
      <w:pPr>
        <w:pStyle w:val="a3"/>
        <w:rPr>
          <w:kern w:val="2"/>
        </w:rPr>
      </w:pPr>
      <w:r>
        <w:t xml:space="preserve">Full Text: 2013\Coc Dat Sys Rev2013, </w:t>
      </w:r>
      <w:r w:rsidRPr="00520A78">
        <w:rPr>
          <w:kern w:val="0"/>
        </w:rPr>
        <w:t>CD003303</w:t>
      </w:r>
      <w:r>
        <w:t>.pdf</w:t>
      </w:r>
    </w:p>
    <w:p w:rsidR="00D72764" w:rsidRDefault="00D72764" w:rsidP="00D72764">
      <w:pPr>
        <w:pStyle w:val="a3"/>
        <w:rPr>
          <w:kern w:val="0"/>
        </w:rPr>
      </w:pPr>
      <w:r>
        <w:rPr>
          <w:kern w:val="0"/>
        </w:rPr>
        <w:t>Abstract: Background The purpose</w:t>
      </w:r>
      <w:r w:rsidR="00427468">
        <w:rPr>
          <w:kern w:val="0"/>
        </w:rPr>
        <w:t xml:space="preserve"> of </w:t>
      </w:r>
      <w:r>
        <w:rPr>
          <w:kern w:val="0"/>
        </w:rPr>
        <w:t>low-vision rehabilitation is to allow people to resume or to continue to perform daily living tasks, with reading being one</w:t>
      </w:r>
      <w:r w:rsidR="00427468">
        <w:rPr>
          <w:kern w:val="0"/>
        </w:rPr>
        <w:t xml:space="preserve"> of </w:t>
      </w:r>
      <w:r>
        <w:rPr>
          <w:kern w:val="0"/>
        </w:rPr>
        <w:t>the most important. This is achieved by providing appropriate optical devices</w:t>
      </w:r>
      <w:r w:rsidR="005853A9">
        <w:rPr>
          <w:kern w:val="0"/>
        </w:rPr>
        <w:t xml:space="preserve"> and </w:t>
      </w:r>
      <w:r>
        <w:rPr>
          <w:kern w:val="0"/>
        </w:rPr>
        <w:t>special training in the use</w:t>
      </w:r>
      <w:r w:rsidR="00427468">
        <w:rPr>
          <w:kern w:val="0"/>
        </w:rPr>
        <w:t xml:space="preserve"> of </w:t>
      </w:r>
      <w:r>
        <w:rPr>
          <w:kern w:val="0"/>
        </w:rPr>
        <w:t>residual-vision</w:t>
      </w:r>
      <w:r w:rsidR="005853A9">
        <w:rPr>
          <w:kern w:val="0"/>
        </w:rPr>
        <w:t xml:space="preserve"> and </w:t>
      </w:r>
      <w:r>
        <w:rPr>
          <w:kern w:val="0"/>
        </w:rPr>
        <w:t>low-vision aids, which range from simple optical magnifiers to high-magnification video magnifiers. Objectives To assess the effects</w:t>
      </w:r>
      <w:r w:rsidR="00427468">
        <w:rPr>
          <w:kern w:val="0"/>
        </w:rPr>
        <w:t xml:space="preserve"> of </w:t>
      </w:r>
      <w:r>
        <w:rPr>
          <w:kern w:val="0"/>
        </w:rPr>
        <w:t>reading aids for adults with low vision. Search methods We searched CENTRAL (which contains the Cochrane Eyes</w:t>
      </w:r>
      <w:r w:rsidR="005853A9">
        <w:rPr>
          <w:kern w:val="0"/>
        </w:rPr>
        <w:t xml:space="preserve"> and </w:t>
      </w:r>
      <w:r>
        <w:rPr>
          <w:kern w:val="0"/>
        </w:rPr>
        <w:t xml:space="preserve">Vision Group Trials Register) (The Cochrane Library 2013, Issue 1),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OLD</w:t>
      </w:r>
      <w:r w:rsidR="00D5664A">
        <w:rPr>
          <w:kern w:val="0"/>
        </w:rPr>
        <w:t>MEDLINE</w:t>
      </w:r>
      <w:r>
        <w:rPr>
          <w:kern w:val="0"/>
        </w:rPr>
        <w:t>, (January 1950 to January 2013), EMBASE (January 1980 to January 2013), Latin American</w:t>
      </w:r>
      <w:r w:rsidR="005853A9">
        <w:rPr>
          <w:kern w:val="0"/>
        </w:rPr>
        <w:t xml:space="preserve"> and </w:t>
      </w:r>
      <w:r>
        <w:rPr>
          <w:kern w:val="0"/>
        </w:rPr>
        <w:t xml:space="preserve">Caribbean Literature on Health Sciences (LILACS) (January 1982 to </w:t>
      </w:r>
      <w:r>
        <w:rPr>
          <w:kern w:val="0"/>
        </w:rPr>
        <w:lastRenderedPageBreak/>
        <w:t>January 2013), OpenGrey (System for Information on Grey Literature in Europe) (www.opengrey.eu/),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 We did not use any date or language restrictions in the electronic searches for trials. We last searched the electronic databases on 31 January 2013. We searched the reference lists</w:t>
      </w:r>
      <w:r w:rsidR="00427468">
        <w:rPr>
          <w:kern w:val="0"/>
        </w:rPr>
        <w:t xml:space="preserve"> of </w:t>
      </w:r>
      <w:r>
        <w:rPr>
          <w:kern w:val="0"/>
        </w:rPr>
        <w:t>relevant articles</w:t>
      </w:r>
      <w:r w:rsidR="005853A9">
        <w:rPr>
          <w:kern w:val="0"/>
        </w:rPr>
        <w:t xml:space="preserve"> and </w:t>
      </w:r>
      <w:r>
        <w:rPr>
          <w:kern w:val="0"/>
        </w:rPr>
        <w:t>used the Science Citation Index to find articles that cited the included studies</w:t>
      </w:r>
      <w:r w:rsidR="005853A9">
        <w:rPr>
          <w:kern w:val="0"/>
        </w:rPr>
        <w:t xml:space="preserve"> and </w:t>
      </w:r>
      <w:r>
        <w:rPr>
          <w:kern w:val="0"/>
        </w:rPr>
        <w:t>contacted investigators</w:t>
      </w:r>
      <w:r w:rsidR="005853A9">
        <w:rPr>
          <w:kern w:val="0"/>
        </w:rPr>
        <w:t xml:space="preserve"> and </w:t>
      </w:r>
      <w:r>
        <w:rPr>
          <w:kern w:val="0"/>
        </w:rPr>
        <w:t>manufacturers</w:t>
      </w:r>
      <w:r w:rsidR="00427468">
        <w:rPr>
          <w:kern w:val="0"/>
        </w:rPr>
        <w:t xml:space="preserve"> of </w:t>
      </w:r>
      <w:r>
        <w:rPr>
          <w:kern w:val="0"/>
        </w:rPr>
        <w:t>low-vision aids. We handsearched the British Journal</w:t>
      </w:r>
      <w:r w:rsidR="00427468">
        <w:rPr>
          <w:kern w:val="0"/>
        </w:rPr>
        <w:t xml:space="preserve"> of </w:t>
      </w:r>
      <w:r>
        <w:rPr>
          <w:kern w:val="0"/>
        </w:rPr>
        <w:t>Visual Impairment from 1983 to 1999</w:t>
      </w:r>
      <w:r w:rsidR="005853A9">
        <w:rPr>
          <w:kern w:val="0"/>
        </w:rPr>
        <w:t xml:space="preserve"> and </w:t>
      </w:r>
      <w:r>
        <w:rPr>
          <w:kern w:val="0"/>
        </w:rPr>
        <w:t>the Journal</w:t>
      </w:r>
      <w:r w:rsidR="00427468">
        <w:rPr>
          <w:kern w:val="0"/>
        </w:rPr>
        <w:t xml:space="preserve"> of </w:t>
      </w:r>
      <w:r>
        <w:rPr>
          <w:kern w:val="0"/>
        </w:rPr>
        <w:t>Visual Impairment</w:t>
      </w:r>
      <w:r w:rsidR="005853A9">
        <w:rPr>
          <w:kern w:val="0"/>
        </w:rPr>
        <w:t xml:space="preserve"> and </w:t>
      </w:r>
      <w:r>
        <w:rPr>
          <w:kern w:val="0"/>
        </w:rPr>
        <w:t>Blindness from 1976 to 1991. Selection criteria This review includes randomised</w:t>
      </w:r>
      <w:r w:rsidR="005853A9">
        <w:rPr>
          <w:kern w:val="0"/>
        </w:rPr>
        <w:t xml:space="preserve"> and </w:t>
      </w:r>
      <w:r>
        <w:rPr>
          <w:kern w:val="0"/>
        </w:rPr>
        <w:t>quasi-randomised trials in which any device or aid used for reading had been compared to another device or aid in people aged 16 or over with low vision as defined by the study investigators. Data collection</w:t>
      </w:r>
      <w:r w:rsidR="005853A9">
        <w:rPr>
          <w:kern w:val="0"/>
        </w:rPr>
        <w:t xml:space="preserve"> and </w:t>
      </w:r>
      <w:r>
        <w:rPr>
          <w:kern w:val="0"/>
        </w:rPr>
        <w:t>analysis At least two authors independently assessed trial quality</w:t>
      </w:r>
      <w:r w:rsidR="005853A9">
        <w:rPr>
          <w:kern w:val="0"/>
        </w:rPr>
        <w:t xml:space="preserve"> and </w:t>
      </w:r>
      <w:r>
        <w:rPr>
          <w:kern w:val="0"/>
        </w:rPr>
        <w:t>extracted data. Main results We included nine small studies with a cross-over-like design (181 people overall)</w:t>
      </w:r>
      <w:r w:rsidR="005853A9">
        <w:rPr>
          <w:kern w:val="0"/>
        </w:rPr>
        <w:t xml:space="preserve"> and </w:t>
      </w:r>
      <w:r>
        <w:rPr>
          <w:kern w:val="0"/>
        </w:rPr>
        <w:t xml:space="preserve">one study with three parallel arms (243 participants) in the review. All studies reported the primary outcome, results for reading speed. Two studies including 92 participants found moderate-or low-quality evidence suggesting that reading speed is higher with stand-mounted electronic devices or electronic devices with the camera mounted in a </w:t>
      </w:r>
      <w:r w:rsidR="0071223E">
        <w:rPr>
          <w:kern w:val="0"/>
        </w:rPr>
        <w:t>‘</w:t>
      </w:r>
      <w:r>
        <w:rPr>
          <w:kern w:val="0"/>
        </w:rPr>
        <w:t>mouse</w:t>
      </w:r>
      <w:r w:rsidR="0071223E">
        <w:rPr>
          <w:kern w:val="0"/>
        </w:rPr>
        <w:t>’</w:t>
      </w:r>
      <w:r>
        <w:rPr>
          <w:kern w:val="0"/>
        </w:rPr>
        <w:t xml:space="preserve"> than with optical magnifiers, which in these trials were generally stand-mounted or, less frequently, hand-held magnifiers or microscopic lenses. In another study</w:t>
      </w:r>
      <w:r w:rsidR="00427468">
        <w:rPr>
          <w:kern w:val="0"/>
        </w:rPr>
        <w:t xml:space="preserve"> of </w:t>
      </w:r>
      <w:r>
        <w:rPr>
          <w:kern w:val="0"/>
        </w:rPr>
        <w:t>20 participants there was moderate-quality evidence that optical devices are better than head-mounted electronic devices (four types)</w:t>
      </w:r>
      <w:r w:rsidR="00A37C1D">
        <w:rPr>
          <w:kern w:val="0"/>
        </w:rPr>
        <w:t>. The</w:t>
      </w:r>
      <w:r>
        <w:rPr>
          <w:kern w:val="0"/>
        </w:rPr>
        <w:t>re was low-quality evidence from three studies (93 participants) that reading using head-mounted electronic devices is slower than with stand-based electronic devices</w:t>
      </w:r>
      <w:r w:rsidR="00A37C1D">
        <w:rPr>
          <w:kern w:val="0"/>
        </w:rPr>
        <w:t>. The</w:t>
      </w:r>
      <w:r>
        <w:rPr>
          <w:kern w:val="0"/>
        </w:rPr>
        <w:t xml:space="preserve"> technology</w:t>
      </w:r>
      <w:r w:rsidR="00427468">
        <w:rPr>
          <w:kern w:val="0"/>
        </w:rPr>
        <w:t xml:space="preserve"> of </w:t>
      </w:r>
      <w:r>
        <w:rPr>
          <w:kern w:val="0"/>
        </w:rPr>
        <w:t>electronic devices may have changed</w:t>
      </w:r>
      <w:r w:rsidR="005853A9">
        <w:rPr>
          <w:kern w:val="0"/>
        </w:rPr>
        <w:t xml:space="preserve"> and </w:t>
      </w:r>
      <w:r>
        <w:rPr>
          <w:kern w:val="0"/>
        </w:rPr>
        <w:t>improved since these studies were conducted. One study suggested no difference between a diffractive spectacle-mounted magnifier</w:t>
      </w:r>
      <w:r w:rsidR="005853A9">
        <w:rPr>
          <w:kern w:val="0"/>
        </w:rPr>
        <w:t xml:space="preserve"> and </w:t>
      </w:r>
      <w:r>
        <w:rPr>
          <w:kern w:val="0"/>
        </w:rPr>
        <w:t>either refractive (15 participants) or aplanatic (15 participants) magnifiers. One study</w:t>
      </w:r>
      <w:r w:rsidR="00427468">
        <w:rPr>
          <w:kern w:val="0"/>
        </w:rPr>
        <w:t xml:space="preserve"> of </w:t>
      </w:r>
      <w:r>
        <w:rPr>
          <w:kern w:val="0"/>
        </w:rPr>
        <w:t>10 people suggested that several overlay coloured filters were no better</w:t>
      </w:r>
      <w:r w:rsidR="005853A9">
        <w:rPr>
          <w:kern w:val="0"/>
        </w:rPr>
        <w:t xml:space="preserve"> and </w:t>
      </w:r>
      <w:r>
        <w:rPr>
          <w:kern w:val="0"/>
        </w:rPr>
        <w:t>possibly worse than a clear filter. A parallel-arm study including 243 participants with age-related macular degeneration found that custom or standard prism spectacles were no different from conventional reading spectacles, although the data did not allow precise estimates</w:t>
      </w:r>
      <w:r w:rsidR="00427468">
        <w:rPr>
          <w:kern w:val="0"/>
        </w:rPr>
        <w:t xml:space="preserve"> of </w:t>
      </w:r>
      <w:r>
        <w:rPr>
          <w:kern w:val="0"/>
        </w:rPr>
        <w:t>performance to be made. Authors</w:t>
      </w:r>
      <w:r w:rsidR="0071223E">
        <w:rPr>
          <w:kern w:val="0"/>
        </w:rPr>
        <w:t>’</w:t>
      </w:r>
      <w:r>
        <w:rPr>
          <w:kern w:val="0"/>
        </w:rPr>
        <w:t xml:space="preserve"> conclusions There is insufficient evidence on the effect</w:t>
      </w:r>
      <w:r w:rsidR="00427468">
        <w:rPr>
          <w:kern w:val="0"/>
        </w:rPr>
        <w:t xml:space="preserve"> of </w:t>
      </w:r>
      <w:r>
        <w:rPr>
          <w:kern w:val="0"/>
        </w:rPr>
        <w:t>different types</w:t>
      </w:r>
      <w:r w:rsidR="00427468">
        <w:rPr>
          <w:kern w:val="0"/>
        </w:rPr>
        <w:t xml:space="preserve"> of </w:t>
      </w:r>
      <w:r>
        <w:rPr>
          <w:kern w:val="0"/>
        </w:rPr>
        <w:t>low-vision aids on reading performance. It would be necessary to investigate which patient characteristics predict performance with different devices, including costly electronic devices. Better-quality research should also focus on assessing sustained long-term use</w:t>
      </w:r>
      <w:r w:rsidR="00427468">
        <w:rPr>
          <w:kern w:val="0"/>
        </w:rPr>
        <w:t xml:space="preserve"> of </w:t>
      </w:r>
      <w:r>
        <w:rPr>
          <w:kern w:val="0"/>
        </w:rPr>
        <w:t>each device. Authors</w:t>
      </w:r>
      <w:r w:rsidR="00427468">
        <w:rPr>
          <w:kern w:val="0"/>
        </w:rPr>
        <w:t xml:space="preserve"> of </w:t>
      </w:r>
      <w:r>
        <w:rPr>
          <w:kern w:val="0"/>
        </w:rPr>
        <w:t xml:space="preserve">studies testing several devices on </w:t>
      </w:r>
      <w:r>
        <w:rPr>
          <w:kern w:val="0"/>
        </w:rPr>
        <w:lastRenderedPageBreak/>
        <w:t>the same person should consider design</w:t>
      </w:r>
      <w:r w:rsidR="005853A9">
        <w:rPr>
          <w:kern w:val="0"/>
        </w:rPr>
        <w:t xml:space="preserve"> and </w:t>
      </w:r>
      <w:r>
        <w:rPr>
          <w:kern w:val="0"/>
        </w:rPr>
        <w:t>reporting issues related to their sequential presentation</w:t>
      </w:r>
      <w:r w:rsidR="005853A9">
        <w:rPr>
          <w:kern w:val="0"/>
        </w:rPr>
        <w:t xml:space="preserve"> and </w:t>
      </w:r>
      <w:r>
        <w:rPr>
          <w:kern w:val="0"/>
        </w:rPr>
        <w:t>to the cross-over-like study design.</w:t>
      </w:r>
    </w:p>
    <w:p w:rsidR="00D72764" w:rsidRDefault="00D72764" w:rsidP="00D72764">
      <w:pPr>
        <w:pStyle w:val="a3"/>
        <w:rPr>
          <w:kern w:val="0"/>
        </w:rPr>
      </w:pPr>
      <w:r>
        <w:rPr>
          <w:kern w:val="0"/>
        </w:rPr>
        <w:t xml:space="preserve">Keywords: Adult, Aged, Aids, Analysis, Assessing, Authors, Characteristics, Citation, Citations, Clinical Trials, Closed-Circuit Television, Collection, Conventional, Criteria, Data, Data Collection, Databases, Design, Effects, Embase, Enhancement Systems, Estimates, Europe, Evidence, Fresnel Prisms, Grey Literature, Humans, Information, Issues, Journal, Language, Lenses, Literature, Living, Long Term, Long-Term, Macular Degeneration, </w:t>
      </w:r>
      <w:r w:rsidR="00D5664A">
        <w:rPr>
          <w:kern w:val="0"/>
        </w:rPr>
        <w:t>MEDLINE</w:t>
      </w:r>
      <w:r>
        <w:rPr>
          <w:kern w:val="0"/>
        </w:rPr>
        <w:t>, Methods, Mouse, Outcome, Performance, Person, Presentation, Primary, Psychophysics, Purpose, Quality, Randomised, Randomized Controlled Trials As Topic, Randomized Controlled-Trial, Reading, Reference, Reference Lists, Rehabilitation, Reporting, Research, Restrictions, Review, Science, Science Citation Index, Sciences, Search, Sensoryaids, Small, Stand Magnifiers, Standard, Study Design, Technology, Testing, Training, Trial, Video, Vision,Low [Rehabilitation], Visual Acuity, Visual Impairment, Visually Impaired Persons [Rehabilitation], Who</w:t>
      </w:r>
    </w:p>
    <w:p w:rsidR="00D72764" w:rsidRDefault="00D72764" w:rsidP="00D72764">
      <w:pPr>
        <w:pStyle w:val="a3"/>
        <w:rPr>
          <w:kern w:val="0"/>
        </w:rPr>
      </w:pPr>
      <w:r>
        <w:rPr>
          <w:kern w:val="0"/>
        </w:rPr>
        <w:t>? Chen, H.S., Wang, W., Wu, S.N.</w:t>
      </w:r>
      <w:r w:rsidR="005853A9">
        <w:rPr>
          <w:kern w:val="0"/>
        </w:rPr>
        <w:t xml:space="preserve"> and </w:t>
      </w:r>
      <w:r>
        <w:rPr>
          <w:kern w:val="0"/>
        </w:rPr>
        <w:t xml:space="preserve">Liu, J.P. (2013), Corticosteroids for viral myocarditis.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CD004471</w:t>
      </w:r>
      <w:r>
        <w:rPr>
          <w:kern w:val="0"/>
        </w:rPr>
        <w:t>.</w:t>
      </w:r>
    </w:p>
    <w:p w:rsidR="00D72764" w:rsidRDefault="00D72764" w:rsidP="00D72764">
      <w:pPr>
        <w:pStyle w:val="a3"/>
        <w:rPr>
          <w:kern w:val="2"/>
        </w:rPr>
      </w:pPr>
      <w:r>
        <w:t xml:space="preserve">Full Text: 2013\Coc Dat Sys Rev2013, </w:t>
      </w:r>
      <w:r w:rsidRPr="00520A78">
        <w:rPr>
          <w:kern w:val="0"/>
        </w:rPr>
        <w:t>CD004471</w:t>
      </w:r>
      <w:r>
        <w:t>.pdf</w:t>
      </w:r>
    </w:p>
    <w:p w:rsidR="00D72764" w:rsidRDefault="00D72764" w:rsidP="00D72764">
      <w:pPr>
        <w:pStyle w:val="a3"/>
        <w:rPr>
          <w:kern w:val="0"/>
        </w:rPr>
      </w:pPr>
      <w:r>
        <w:rPr>
          <w:kern w:val="0"/>
        </w:rPr>
        <w:t>Abstract: Background Myocarditis is defined as inflammation</w:t>
      </w:r>
      <w:r w:rsidR="00427468">
        <w:rPr>
          <w:kern w:val="0"/>
        </w:rPr>
        <w:t xml:space="preserve"> of </w:t>
      </w:r>
      <w:r>
        <w:rPr>
          <w:kern w:val="0"/>
        </w:rPr>
        <w:t>the myocardium accompanied by myocellular necrosis. Experimental evidence suggests that autoimmune mechanisms follow viral infection, resulting in inflammation</w:t>
      </w:r>
      <w:r w:rsidR="005853A9">
        <w:rPr>
          <w:kern w:val="0"/>
        </w:rPr>
        <w:t xml:space="preserve"> and </w:t>
      </w:r>
      <w:r>
        <w:rPr>
          <w:kern w:val="0"/>
        </w:rPr>
        <w:t>necrosis in the myocardium. However, the use</w:t>
      </w:r>
      <w:r w:rsidR="00427468">
        <w:rPr>
          <w:kern w:val="0"/>
        </w:rPr>
        <w:t xml:space="preserve"> of </w:t>
      </w:r>
      <w:r>
        <w:rPr>
          <w:kern w:val="0"/>
        </w:rPr>
        <w:t>corticosteroids as immunosuppressives for this condition remains controversial. Objectives The existing review was updated</w:t>
      </w:r>
      <w:r w:rsidR="00A37C1D">
        <w:rPr>
          <w:kern w:val="0"/>
        </w:rPr>
        <w:t>. The</w:t>
      </w:r>
      <w:r>
        <w:rPr>
          <w:kern w:val="0"/>
        </w:rPr>
        <w:t xml:space="preserve"> primary objective</w:t>
      </w:r>
      <w:r w:rsidR="00427468">
        <w:rPr>
          <w:kern w:val="0"/>
        </w:rPr>
        <w:t xml:space="preserve"> of </w:t>
      </w:r>
      <w:r>
        <w:rPr>
          <w:kern w:val="0"/>
        </w:rPr>
        <w:t>this review is to assess the beneficial</w:t>
      </w:r>
      <w:r w:rsidR="005853A9">
        <w:rPr>
          <w:kern w:val="0"/>
        </w:rPr>
        <w:t xml:space="preserve"> and </w:t>
      </w:r>
      <w:r>
        <w:rPr>
          <w:kern w:val="0"/>
        </w:rPr>
        <w:t>harmful effects</w:t>
      </w:r>
      <w:r w:rsidR="00427468">
        <w:rPr>
          <w:kern w:val="0"/>
        </w:rPr>
        <w:t xml:space="preserve"> of </w:t>
      </w:r>
      <w:r>
        <w:rPr>
          <w:kern w:val="0"/>
        </w:rPr>
        <w:t>treating acute or chronic viral myocarditis with corticosteroids</w:t>
      </w:r>
      <w:r w:rsidR="00A37C1D">
        <w:rPr>
          <w:kern w:val="0"/>
        </w:rPr>
        <w:t>. The</w:t>
      </w:r>
      <w:r>
        <w:rPr>
          <w:kern w:val="0"/>
        </w:rPr>
        <w:t xml:space="preserve"> secondary objective is to determine the best dose regimen. Search methods We searched the Cochrane Central Register</w:t>
      </w:r>
      <w:r w:rsidR="00427468">
        <w:rPr>
          <w:kern w:val="0"/>
        </w:rPr>
        <w:t xml:space="preserve"> of </w:t>
      </w:r>
      <w:r>
        <w:rPr>
          <w:kern w:val="0"/>
        </w:rPr>
        <w:t>Controlled Trials (CENTRAL, Issue 7</w:t>
      </w:r>
      <w:r w:rsidR="00427468">
        <w:rPr>
          <w:kern w:val="0"/>
        </w:rPr>
        <w:t xml:space="preserve"> of </w:t>
      </w:r>
      <w:r>
        <w:rPr>
          <w:kern w:val="0"/>
        </w:rPr>
        <w:t xml:space="preserve">12, 2012) on The Cochrane Library, </w:t>
      </w:r>
      <w:r w:rsidR="00D5664A">
        <w:rPr>
          <w:kern w:val="0"/>
        </w:rPr>
        <w:t>MEDLINE</w:t>
      </w:r>
      <w:r>
        <w:rPr>
          <w:kern w:val="0"/>
        </w:rPr>
        <w:t xml:space="preserve"> OVID (1946 to July Week 2, 2012), EMBASE OVID (1980 to Week 29, 2012), BIOSIS Previews (1969 to 20 July 2012), ISI </w:t>
      </w:r>
      <w:r w:rsidR="00D5664A">
        <w:rPr>
          <w:kern w:val="0"/>
        </w:rPr>
        <w:t>Web</w:t>
      </w:r>
      <w:r w:rsidR="00427468">
        <w:rPr>
          <w:kern w:val="0"/>
        </w:rPr>
        <w:t xml:space="preserve"> of </w:t>
      </w:r>
      <w:r w:rsidR="00D5664A">
        <w:rPr>
          <w:kern w:val="0"/>
        </w:rPr>
        <w:t>Science</w:t>
      </w:r>
      <w:r>
        <w:rPr>
          <w:kern w:val="0"/>
        </w:rPr>
        <w:t xml:space="preserve"> (1970 to 20th July, 2012),</w:t>
      </w:r>
      <w:r w:rsidR="005853A9">
        <w:rPr>
          <w:kern w:val="0"/>
        </w:rPr>
        <w:t xml:space="preserve"> and </w:t>
      </w:r>
      <w:r>
        <w:rPr>
          <w:kern w:val="0"/>
        </w:rPr>
        <w:t>LILACS (from its inception to 25 July, 2012), Chinese Biomed Database, CNKI</w:t>
      </w:r>
      <w:r w:rsidR="005853A9">
        <w:rPr>
          <w:kern w:val="0"/>
        </w:rPr>
        <w:t xml:space="preserve"> and </w:t>
      </w:r>
      <w:r>
        <w:rPr>
          <w:kern w:val="0"/>
        </w:rPr>
        <w:t>WANFANG Databases (from their inception to 31 December 2012). We applied no language restrictions. Selection criteria Randomised controlled trials (RCTs)</w:t>
      </w:r>
      <w:r w:rsidR="00427468">
        <w:rPr>
          <w:kern w:val="0"/>
        </w:rPr>
        <w:t xml:space="preserve"> of </w:t>
      </w:r>
      <w:r>
        <w:rPr>
          <w:kern w:val="0"/>
        </w:rPr>
        <w:t>corticosteroids for viral myocarditis compared with no intervention, placebo, supportive therapy, antiviral agents therapy or conventional therapy, including trials</w:t>
      </w:r>
      <w:r w:rsidR="00427468">
        <w:rPr>
          <w:kern w:val="0"/>
        </w:rPr>
        <w:t xml:space="preserve"> of </w:t>
      </w:r>
      <w:r>
        <w:rPr>
          <w:kern w:val="0"/>
        </w:rPr>
        <w:t>corticosteroids plus other treatment versus other treatment alone, irrespective</w:t>
      </w:r>
      <w:r w:rsidR="00427468">
        <w:rPr>
          <w:kern w:val="0"/>
        </w:rPr>
        <w:t xml:space="preserve"> of </w:t>
      </w:r>
      <w:r>
        <w:rPr>
          <w:kern w:val="0"/>
        </w:rPr>
        <w:t>blinding, publication status, or language. Data collection</w:t>
      </w:r>
      <w:r w:rsidR="005853A9">
        <w:rPr>
          <w:kern w:val="0"/>
        </w:rPr>
        <w:t xml:space="preserve"> and </w:t>
      </w:r>
      <w:r>
        <w:rPr>
          <w:kern w:val="0"/>
        </w:rPr>
        <w:t>analysis Two review authors extracted data independently. Results were presented as risk ratios (RRs)</w:t>
      </w:r>
      <w:r w:rsidR="005853A9">
        <w:rPr>
          <w:kern w:val="0"/>
        </w:rPr>
        <w:t xml:space="preserve"> and </w:t>
      </w:r>
      <w:r>
        <w:rPr>
          <w:kern w:val="0"/>
        </w:rPr>
        <w:lastRenderedPageBreak/>
        <w:t>mean differences (MDs), both with 95% confidence intervals (CIs). Main results Eight RCTs (with 719 participants) were included in this update</w:t>
      </w:r>
      <w:r w:rsidR="00A37C1D">
        <w:rPr>
          <w:kern w:val="0"/>
        </w:rPr>
        <w:t>. The</w:t>
      </w:r>
      <w:r>
        <w:rPr>
          <w:kern w:val="0"/>
        </w:rPr>
        <w:t xml:space="preserve"> trials were small in size</w:t>
      </w:r>
      <w:r w:rsidR="005853A9">
        <w:rPr>
          <w:kern w:val="0"/>
        </w:rPr>
        <w:t xml:space="preserve"> and </w:t>
      </w:r>
      <w:r>
        <w:rPr>
          <w:kern w:val="0"/>
        </w:rPr>
        <w:t>methodological quality was poor. Viral detection was performed in 38%</w:t>
      </w:r>
      <w:r w:rsidR="00427468">
        <w:rPr>
          <w:kern w:val="0"/>
        </w:rPr>
        <w:t xml:space="preserve"> of </w:t>
      </w:r>
      <w:r>
        <w:rPr>
          <w:kern w:val="0"/>
        </w:rPr>
        <w:t>participants, among whom 56% had positive results. Mortality between corticosteroids</w:t>
      </w:r>
      <w:r w:rsidR="005853A9">
        <w:rPr>
          <w:kern w:val="0"/>
        </w:rPr>
        <w:t xml:space="preserve"> and </w:t>
      </w:r>
      <w:r>
        <w:rPr>
          <w:kern w:val="0"/>
        </w:rPr>
        <w:t>control groups was non-significant (RR, 0.93, 95% CI 0.70 to 1.24). At 1 to 3 months follow-up, left ventricular ejection fraction (LVEF) was higher in the corticosteroids group compared to the control group (MD 7.36%, 95% CI 4.94 to 9.79), but there was substantial heterogeneity. Benefits were observed in LVEF in two trials with 200 children given corticosteroids (MD 9.00%, 95% CI 7.48 to 10.52). New York Heart Association (NYHA) class</w:t>
      </w:r>
      <w:r w:rsidR="005853A9">
        <w:rPr>
          <w:kern w:val="0"/>
        </w:rPr>
        <w:t xml:space="preserve"> and </w:t>
      </w:r>
      <w:r>
        <w:rPr>
          <w:kern w:val="0"/>
        </w:rPr>
        <w:t>left ventricular end-stage systole diameter (LVESD) were not affected. Creatine phosphokinase (CPK) (MD -104.00 U/L, 95% CI -115.18 to -92.82), Isoenzyme</w:t>
      </w:r>
      <w:r w:rsidR="00427468">
        <w:rPr>
          <w:kern w:val="0"/>
        </w:rPr>
        <w:t xml:space="preserve"> of </w:t>
      </w:r>
      <w:r>
        <w:rPr>
          <w:kern w:val="0"/>
        </w:rPr>
        <w:t>creatine phosphate MB (CKMB) (MD 10.35 U/L, 95% CI 8.92 to 11.78), were reduced in the corticosteroids group compared to the control group, although the evidence is limited to small participant numbers</w:t>
      </w:r>
      <w:r w:rsidR="00A37C1D">
        <w:rPr>
          <w:kern w:val="0"/>
        </w:rPr>
        <w:t>. The</w:t>
      </w:r>
      <w:r>
        <w:rPr>
          <w:kern w:val="0"/>
        </w:rPr>
        <w:t>re were insufficient data on adverse events. Authors</w:t>
      </w:r>
      <w:r w:rsidR="0071223E">
        <w:rPr>
          <w:kern w:val="0"/>
        </w:rPr>
        <w:t>’</w:t>
      </w:r>
      <w:r>
        <w:rPr>
          <w:kern w:val="0"/>
        </w:rPr>
        <w:t xml:space="preserve"> conclusions For people diagnosed with viral myocarditis</w:t>
      </w:r>
      <w:r w:rsidR="005853A9">
        <w:rPr>
          <w:kern w:val="0"/>
        </w:rPr>
        <w:t xml:space="preserve"> and </w:t>
      </w:r>
      <w:r>
        <w:rPr>
          <w:kern w:val="0"/>
        </w:rPr>
        <w:t>low LVEF, corticosteroids do not reduce mortality</w:t>
      </w:r>
      <w:r w:rsidR="00A37C1D">
        <w:rPr>
          <w:kern w:val="0"/>
        </w:rPr>
        <w:t>. The</w:t>
      </w:r>
      <w:r>
        <w:rPr>
          <w:kern w:val="0"/>
        </w:rPr>
        <w:t>y may improve cardiac function but the trials were</w:t>
      </w:r>
      <w:r w:rsidR="00427468">
        <w:rPr>
          <w:kern w:val="0"/>
        </w:rPr>
        <w:t xml:space="preserve"> of </w:t>
      </w:r>
      <w:r>
        <w:rPr>
          <w:kern w:val="0"/>
        </w:rPr>
        <w:t>low quality</w:t>
      </w:r>
      <w:r w:rsidR="005853A9">
        <w:rPr>
          <w:kern w:val="0"/>
        </w:rPr>
        <w:t xml:space="preserve"> and </w:t>
      </w:r>
      <w:r>
        <w:rPr>
          <w:kern w:val="0"/>
        </w:rPr>
        <w:t>small size so this finding must be regarded as uncertain. High-quality, large-scale RCTs should be careful designed to determine the role</w:t>
      </w:r>
      <w:r w:rsidR="00427468">
        <w:rPr>
          <w:kern w:val="0"/>
        </w:rPr>
        <w:t xml:space="preserve"> of </w:t>
      </w:r>
      <w:r>
        <w:rPr>
          <w:kern w:val="0"/>
        </w:rPr>
        <w:t>corticosteroid treatment for viral myocarditis. Adverse events should also be carefully evaluated.</w:t>
      </w:r>
    </w:p>
    <w:p w:rsidR="00D72764" w:rsidRDefault="00D72764" w:rsidP="00D72764">
      <w:pPr>
        <w:pStyle w:val="a3"/>
        <w:rPr>
          <w:kern w:val="0"/>
        </w:rPr>
      </w:pPr>
      <w:r>
        <w:rPr>
          <w:kern w:val="0"/>
        </w:rPr>
        <w:t>Keywords: Adrenal Cortex Hormones [Therapeutic Use], Analysis, Antiviral, Authors, Benefits, Cardiac Function, Children, Chinese, Chronic, Clinical-Trial, Collection, Confidence, Confidence Intervals, Control, Control Groups, Conventional, Corticosteroids, Creatine, Criteria, Cytomegalovirus Reactivation, Data, Data Collection, Database, Databases, Diagnosis, Dilated Cardiomyopathy, Effects, Embase, Events, Evidence, Follow-Up, Fulminant Myocarditis, Function, Groups, Heterogeneity, Humans, Immunosuppressive Therapy, Infection, Inflammation, Influenza-A Virus, Intervals, Intervention</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Language, Left Ventricular Ejection Fraction, Mb, Mechanisms, </w:t>
      </w:r>
      <w:r w:rsidR="00D5664A">
        <w:rPr>
          <w:kern w:val="0"/>
        </w:rPr>
        <w:t>MEDLINE</w:t>
      </w:r>
      <w:r>
        <w:rPr>
          <w:kern w:val="0"/>
        </w:rPr>
        <w:t xml:space="preserve">, Methods, Mortality, Myocarditis [Drug Therapy, Necrosis, New York, Phosphate, Placebo, Primary, Publication, Quality, Randomised Controlled Trials, Restrictions, Results, Review, Risk, Role, Science, Search, Severe Sepsis, Size, Small, Supportive Therapy, Therapy, Treatment, Viral, Virology], Virus Diseases [Drug Therapy], </w:t>
      </w:r>
      <w:r w:rsidR="00D5664A">
        <w:rPr>
          <w:kern w:val="0"/>
        </w:rPr>
        <w:t>Web</w:t>
      </w:r>
      <w:r w:rsidR="00427468">
        <w:rPr>
          <w:kern w:val="0"/>
        </w:rPr>
        <w:t xml:space="preserve"> of </w:t>
      </w:r>
      <w:r w:rsidR="00D5664A">
        <w:rPr>
          <w:kern w:val="0"/>
        </w:rPr>
        <w:t>Science</w:t>
      </w:r>
    </w:p>
    <w:p w:rsidR="00D72764" w:rsidRDefault="00D72764" w:rsidP="00D72764">
      <w:pPr>
        <w:pStyle w:val="a3"/>
        <w:rPr>
          <w:kern w:val="0"/>
        </w:rPr>
      </w:pPr>
      <w:r>
        <w:rPr>
          <w:kern w:val="0"/>
        </w:rPr>
        <w:t>? Verra, W.C., van den Boom, L.G.H., Jacobs, W., Clement, D.J., Wymenga, A.A.B.</w:t>
      </w:r>
      <w:r w:rsidR="005853A9">
        <w:rPr>
          <w:kern w:val="0"/>
        </w:rPr>
        <w:t xml:space="preserve"> and </w:t>
      </w:r>
      <w:r>
        <w:rPr>
          <w:kern w:val="0"/>
        </w:rPr>
        <w:t>Nelissen, R.G.H.H. (2013), Retention versus sacrifice</w:t>
      </w:r>
      <w:r w:rsidR="00427468">
        <w:rPr>
          <w:kern w:val="0"/>
        </w:rPr>
        <w:t xml:space="preserve"> of </w:t>
      </w:r>
      <w:r>
        <w:rPr>
          <w:kern w:val="0"/>
        </w:rPr>
        <w:t xml:space="preserve">the posterior cruciate ligament in total knee arthroplasty for treating osteoarthritis.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CD004803</w:t>
      </w:r>
      <w:r>
        <w:rPr>
          <w:kern w:val="0"/>
        </w:rPr>
        <w:t>.</w:t>
      </w:r>
    </w:p>
    <w:p w:rsidR="00D72764" w:rsidRDefault="00D72764" w:rsidP="00D72764">
      <w:pPr>
        <w:pStyle w:val="a3"/>
        <w:rPr>
          <w:kern w:val="2"/>
        </w:rPr>
      </w:pPr>
      <w:r>
        <w:lastRenderedPageBreak/>
        <w:t xml:space="preserve">Full Text: 2013\Coc Dat Sys Rev2013, </w:t>
      </w:r>
      <w:r w:rsidRPr="00520A78">
        <w:rPr>
          <w:kern w:val="0"/>
        </w:rPr>
        <w:t>CD004803</w:t>
      </w:r>
      <w:r>
        <w:t>.pdf</w:t>
      </w:r>
    </w:p>
    <w:p w:rsidR="00D72764" w:rsidRDefault="00D72764" w:rsidP="00D72764">
      <w:pPr>
        <w:pStyle w:val="a3"/>
        <w:rPr>
          <w:kern w:val="0"/>
        </w:rPr>
      </w:pPr>
      <w:r>
        <w:rPr>
          <w:kern w:val="0"/>
        </w:rPr>
        <w:t>Abstract: Background The functional</w:t>
      </w:r>
      <w:r w:rsidR="005853A9">
        <w:rPr>
          <w:kern w:val="0"/>
        </w:rPr>
        <w:t xml:space="preserve"> and </w:t>
      </w:r>
      <w:r>
        <w:rPr>
          <w:kern w:val="0"/>
        </w:rPr>
        <w:t>clinical basis on which to choose whether or not to retain the posterior cruciate ligament during total knee arthroplasty surgery remained unclear after a Cochrane systematic review</w:t>
      </w:r>
      <w:r w:rsidR="005853A9">
        <w:rPr>
          <w:kern w:val="0"/>
        </w:rPr>
        <w:t xml:space="preserve"> and </w:t>
      </w:r>
      <w:r>
        <w:rPr>
          <w:kern w:val="0"/>
        </w:rPr>
        <w:t>meta-analysis in 2005, which contained eight clinical trials. Several new trials have been conducted since then. Hence, an update</w:t>
      </w:r>
      <w:r w:rsidR="00427468">
        <w:rPr>
          <w:kern w:val="0"/>
        </w:rPr>
        <w:t xml:space="preserve"> of </w:t>
      </w:r>
      <w:r>
        <w:rPr>
          <w:kern w:val="0"/>
        </w:rPr>
        <w:t>the review was performed. Objectives Our aim was to assess the benefits</w:t>
      </w:r>
      <w:r w:rsidR="005853A9">
        <w:rPr>
          <w:kern w:val="0"/>
        </w:rPr>
        <w:t xml:space="preserve"> and </w:t>
      </w:r>
      <w:r>
        <w:rPr>
          <w:kern w:val="0"/>
        </w:rPr>
        <w:t>harms</w:t>
      </w:r>
      <w:r w:rsidR="00427468">
        <w:rPr>
          <w:kern w:val="0"/>
        </w:rPr>
        <w:t xml:space="preserve"> of </w:t>
      </w:r>
      <w:r>
        <w:rPr>
          <w:kern w:val="0"/>
        </w:rPr>
        <w:t>retention compared to sacrifice</w:t>
      </w:r>
      <w:r w:rsidR="00427468">
        <w:rPr>
          <w:kern w:val="0"/>
        </w:rPr>
        <w:t xml:space="preserve"> of </w:t>
      </w:r>
      <w:r>
        <w:rPr>
          <w:kern w:val="0"/>
        </w:rPr>
        <w:t>the posterior cruciate ligament in total knee arthroplasty in patients with osteoarthritis</w:t>
      </w:r>
      <w:r w:rsidR="00427468">
        <w:rPr>
          <w:kern w:val="0"/>
        </w:rPr>
        <w:t xml:space="preserve"> of </w:t>
      </w:r>
      <w:r>
        <w:rPr>
          <w:kern w:val="0"/>
        </w:rPr>
        <w:t xml:space="preserve">the knee. Search methods An extensive search was conducted in CENTRAL, </w:t>
      </w:r>
      <w:r w:rsidR="00D5664A">
        <w:rPr>
          <w:kern w:val="0"/>
        </w:rPr>
        <w:t>MEDLINE</w:t>
      </w:r>
      <w:r>
        <w:rPr>
          <w:kern w:val="0"/>
        </w:rPr>
        <w:t xml:space="preserve"> (PubMed), EMBASE, </w:t>
      </w:r>
      <w:r w:rsidR="00D5664A">
        <w:rPr>
          <w:kern w:val="0"/>
        </w:rPr>
        <w:t>Web</w:t>
      </w:r>
      <w:r w:rsidR="00427468">
        <w:rPr>
          <w:kern w:val="0"/>
        </w:rPr>
        <w:t xml:space="preserve"> of </w:t>
      </w:r>
      <w:r w:rsidR="00D5664A">
        <w:rPr>
          <w:kern w:val="0"/>
        </w:rPr>
        <w:t>Science</w:t>
      </w:r>
      <w:r>
        <w:rPr>
          <w:kern w:val="0"/>
        </w:rPr>
        <w:t>, CINAHL, Academic Search Premier, Current Contents Connect</w:t>
      </w:r>
      <w:r w:rsidR="005853A9">
        <w:rPr>
          <w:kern w:val="0"/>
        </w:rPr>
        <w:t xml:space="preserve"> and </w:t>
      </w:r>
      <w:r>
        <w:rPr>
          <w:kern w:val="0"/>
        </w:rPr>
        <w:t>Science Direct. All databases were searched, without any limitations, up to 6 December 2012. References</w:t>
      </w:r>
      <w:r w:rsidR="00427468">
        <w:rPr>
          <w:kern w:val="0"/>
        </w:rPr>
        <w:t xml:space="preserve"> of </w:t>
      </w:r>
      <w:r>
        <w:rPr>
          <w:kern w:val="0"/>
        </w:rPr>
        <w:t>the articles were checked</w:t>
      </w:r>
      <w:r w:rsidR="005853A9">
        <w:rPr>
          <w:kern w:val="0"/>
        </w:rPr>
        <w:t xml:space="preserve"> and </w:t>
      </w:r>
      <w:r>
        <w:rPr>
          <w:kern w:val="0"/>
        </w:rPr>
        <w:t>citation tracking was performed. Selection criteria Randomised</w:t>
      </w:r>
      <w:r w:rsidR="005853A9">
        <w:rPr>
          <w:kern w:val="0"/>
        </w:rPr>
        <w:t xml:space="preserve"> and </w:t>
      </w:r>
      <w:r>
        <w:rPr>
          <w:kern w:val="0"/>
        </w:rPr>
        <w:t>quasi-randomised controlled trials comparing retention with sacrifice</w:t>
      </w:r>
      <w:r w:rsidR="00427468">
        <w:rPr>
          <w:kern w:val="0"/>
        </w:rPr>
        <w:t xml:space="preserve"> of </w:t>
      </w:r>
      <w:r>
        <w:rPr>
          <w:kern w:val="0"/>
        </w:rPr>
        <w:t>the posterior cruciate ligament in primary total knee arthroplasty in patients with osteoarthritis</w:t>
      </w:r>
      <w:r w:rsidR="00427468">
        <w:rPr>
          <w:kern w:val="0"/>
        </w:rPr>
        <w:t xml:space="preserve"> of </w:t>
      </w:r>
      <w:r>
        <w:rPr>
          <w:kern w:val="0"/>
        </w:rPr>
        <w:t>the knee. Data collection</w:t>
      </w:r>
      <w:r w:rsidR="005853A9">
        <w:rPr>
          <w:kern w:val="0"/>
        </w:rPr>
        <w:t xml:space="preserve"> and </w:t>
      </w:r>
      <w:r>
        <w:rPr>
          <w:kern w:val="0"/>
        </w:rPr>
        <w:t>analysis Data were collected with a pre-developed form. Risk</w:t>
      </w:r>
      <w:r w:rsidR="00427468">
        <w:rPr>
          <w:kern w:val="0"/>
        </w:rPr>
        <w:t xml:space="preserve"> of </w:t>
      </w:r>
      <w:r>
        <w:rPr>
          <w:kern w:val="0"/>
        </w:rPr>
        <w:t>bias was assessed independently by two authors (WV, LB)</w:t>
      </w:r>
      <w:r w:rsidR="00A37C1D">
        <w:rPr>
          <w:kern w:val="0"/>
        </w:rPr>
        <w:t>. The</w:t>
      </w:r>
      <w:r>
        <w:rPr>
          <w:kern w:val="0"/>
        </w:rPr>
        <w:t xml:space="preserve"> level</w:t>
      </w:r>
      <w:r w:rsidR="00427468">
        <w:rPr>
          <w:kern w:val="0"/>
        </w:rPr>
        <w:t xml:space="preserve"> of </w:t>
      </w:r>
      <w:r>
        <w:rPr>
          <w:kern w:val="0"/>
        </w:rPr>
        <w:t>evidence was graded using the GRADE approach. Meta-analysis was performed by pooling the results</w:t>
      </w:r>
      <w:r w:rsidR="00427468">
        <w:rPr>
          <w:kern w:val="0"/>
        </w:rPr>
        <w:t xml:space="preserve"> of </w:t>
      </w:r>
      <w:r>
        <w:rPr>
          <w:kern w:val="0"/>
        </w:rPr>
        <w:t>the selected studies, when possible. Subgroup analyses were performed for posterior cruciate ligament retention versus sacrifice using the same total knee arthroplasty design,</w:t>
      </w:r>
      <w:r w:rsidR="005853A9">
        <w:rPr>
          <w:kern w:val="0"/>
        </w:rPr>
        <w:t xml:space="preserve"> and </w:t>
      </w:r>
      <w:r>
        <w:rPr>
          <w:kern w:val="0"/>
        </w:rPr>
        <w:t>for studies using a posterior cruciate ligament retaining or posterior stabilised design,</w:t>
      </w:r>
      <w:r w:rsidR="005853A9">
        <w:rPr>
          <w:kern w:val="0"/>
        </w:rPr>
        <w:t xml:space="preserve"> and </w:t>
      </w:r>
      <w:r>
        <w:rPr>
          <w:kern w:val="0"/>
        </w:rPr>
        <w:t>when sufficient studies were available subgroup analyses were performed for the same brand. Main results Seventeen randomised controlled trials (with 1810 patients</w:t>
      </w:r>
      <w:r w:rsidR="005853A9">
        <w:rPr>
          <w:kern w:val="0"/>
        </w:rPr>
        <w:t xml:space="preserve"> and </w:t>
      </w:r>
      <w:r>
        <w:rPr>
          <w:kern w:val="0"/>
        </w:rPr>
        <w:t>2206 knees) were found, described in 18 articles. Ten</w:t>
      </w:r>
      <w:r w:rsidR="00427468">
        <w:rPr>
          <w:kern w:val="0"/>
        </w:rPr>
        <w:t xml:space="preserve"> of </w:t>
      </w:r>
      <w:r>
        <w:rPr>
          <w:kern w:val="0"/>
        </w:rPr>
        <w:t>these were new studies compared to the previous Cochrane Review. One study from the original Cochrane review was excluded. Most new studies compared a posterior cruciate ligament retaining design with a posterior stabilised design, in which the posterior cruciate ligament is sacrificed (a posterior stabilised design has an insert with a central post which can engage on a femoral cam during flexion)</w:t>
      </w:r>
      <w:r w:rsidR="00A37C1D">
        <w:rPr>
          <w:kern w:val="0"/>
        </w:rPr>
        <w:t>. The</w:t>
      </w:r>
      <w:r>
        <w:rPr>
          <w:kern w:val="0"/>
        </w:rPr>
        <w:t xml:space="preserve"> quality</w:t>
      </w:r>
      <w:r w:rsidR="00427468">
        <w:rPr>
          <w:kern w:val="0"/>
        </w:rPr>
        <w:t xml:space="preserve"> of </w:t>
      </w:r>
      <w:r>
        <w:rPr>
          <w:kern w:val="0"/>
        </w:rPr>
        <w:t>evidence (graded with the GRADE approach)</w:t>
      </w:r>
      <w:r w:rsidR="005853A9">
        <w:rPr>
          <w:kern w:val="0"/>
        </w:rPr>
        <w:t xml:space="preserve"> and </w:t>
      </w:r>
      <w:r>
        <w:rPr>
          <w:kern w:val="0"/>
        </w:rPr>
        <w:t>the risk</w:t>
      </w:r>
      <w:r w:rsidR="00427468">
        <w:rPr>
          <w:kern w:val="0"/>
        </w:rPr>
        <w:t xml:space="preserve"> of </w:t>
      </w:r>
      <w:r>
        <w:rPr>
          <w:kern w:val="0"/>
        </w:rPr>
        <w:t>bias were highly variable, ranging from moderate to low quality evidence</w:t>
      </w:r>
      <w:r w:rsidR="005853A9">
        <w:rPr>
          <w:kern w:val="0"/>
        </w:rPr>
        <w:t xml:space="preserve"> and </w:t>
      </w:r>
      <w:r>
        <w:rPr>
          <w:kern w:val="0"/>
        </w:rPr>
        <w:t>with unclear or low risk</w:t>
      </w:r>
      <w:r w:rsidR="00427468">
        <w:rPr>
          <w:kern w:val="0"/>
        </w:rPr>
        <w:t xml:space="preserve"> of </w:t>
      </w:r>
      <w:r>
        <w:rPr>
          <w:kern w:val="0"/>
        </w:rPr>
        <w:t>bias for most domains, respectively</w:t>
      </w:r>
      <w:r w:rsidR="00A37C1D">
        <w:rPr>
          <w:kern w:val="0"/>
        </w:rPr>
        <w:t>. The</w:t>
      </w:r>
      <w:r>
        <w:rPr>
          <w:kern w:val="0"/>
        </w:rPr>
        <w:t xml:space="preserve"> performance outcome </w:t>
      </w:r>
      <w:r w:rsidR="0071223E">
        <w:rPr>
          <w:kern w:val="0"/>
        </w:rPr>
        <w:t>‘</w:t>
      </w:r>
      <w:r>
        <w:rPr>
          <w:kern w:val="0"/>
        </w:rPr>
        <w:t>range</w:t>
      </w:r>
      <w:r w:rsidR="00427468">
        <w:rPr>
          <w:kern w:val="0"/>
        </w:rPr>
        <w:t xml:space="preserve"> of </w:t>
      </w:r>
      <w:r>
        <w:rPr>
          <w:kern w:val="0"/>
        </w:rPr>
        <w:t>motion</w:t>
      </w:r>
      <w:r w:rsidR="0071223E">
        <w:rPr>
          <w:kern w:val="0"/>
        </w:rPr>
        <w:t>’</w:t>
      </w:r>
      <w:r>
        <w:rPr>
          <w:kern w:val="0"/>
        </w:rPr>
        <w:t xml:space="preserve"> was 2.4 degrees higher in favour</w:t>
      </w:r>
      <w:r w:rsidR="00427468">
        <w:rPr>
          <w:kern w:val="0"/>
        </w:rPr>
        <w:t xml:space="preserve"> of </w:t>
      </w:r>
      <w:r>
        <w:rPr>
          <w:kern w:val="0"/>
        </w:rPr>
        <w:t>posterior cruciate ligament sacrifice (118.3 degrees versus 115.9 degrees; 95% confidence interval (CI)</w:t>
      </w:r>
      <w:r w:rsidR="00427468">
        <w:rPr>
          <w:kern w:val="0"/>
        </w:rPr>
        <w:t xml:space="preserve"> of </w:t>
      </w:r>
      <w:r>
        <w:rPr>
          <w:kern w:val="0"/>
        </w:rPr>
        <w:t xml:space="preserve">the difference 0.13 to 4.67; P = 0.04), however the results were heterogeneous. On the item </w:t>
      </w:r>
      <w:r w:rsidR="0071223E">
        <w:rPr>
          <w:kern w:val="0"/>
        </w:rPr>
        <w:t>‘</w:t>
      </w:r>
      <w:r>
        <w:rPr>
          <w:kern w:val="0"/>
        </w:rPr>
        <w:t>knee pain</w:t>
      </w:r>
      <w:r w:rsidR="0071223E">
        <w:rPr>
          <w:kern w:val="0"/>
        </w:rPr>
        <w:t>’</w:t>
      </w:r>
      <w:r>
        <w:rPr>
          <w:kern w:val="0"/>
        </w:rPr>
        <w:t xml:space="preserve"> as experienced by patients, meta-analysis could be performed on the Knee Society knee pain score; this score was 48.3 in both groups, yielding no difference between the groups. Implant survival rate could not be meta-analysed adequately since randomised controlled trials lack the longer term follow-up in order </w:t>
      </w:r>
      <w:r>
        <w:rPr>
          <w:kern w:val="0"/>
        </w:rPr>
        <w:lastRenderedPageBreak/>
        <w:t>to evaluate implant survival. A total</w:t>
      </w:r>
      <w:r w:rsidR="00427468">
        <w:rPr>
          <w:kern w:val="0"/>
        </w:rPr>
        <w:t xml:space="preserve"> of </w:t>
      </w:r>
      <w:r>
        <w:rPr>
          <w:kern w:val="0"/>
        </w:rPr>
        <w:t>four revisions in the cruciate-retention</w:t>
      </w:r>
      <w:r w:rsidR="005853A9">
        <w:rPr>
          <w:kern w:val="0"/>
        </w:rPr>
        <w:t xml:space="preserve"> and </w:t>
      </w:r>
      <w:r>
        <w:rPr>
          <w:kern w:val="0"/>
        </w:rPr>
        <w:t>four revisions in the cruciate-sacrifice group were found</w:t>
      </w:r>
      <w:r w:rsidR="00A37C1D">
        <w:rPr>
          <w:kern w:val="0"/>
        </w:rPr>
        <w:t>. The</w:t>
      </w:r>
      <w:r>
        <w:rPr>
          <w:kern w:val="0"/>
        </w:rPr>
        <w:t xml:space="preserve"> well-validated Western Ontario</w:t>
      </w:r>
      <w:r w:rsidR="005853A9">
        <w:rPr>
          <w:kern w:val="0"/>
        </w:rPr>
        <w:t xml:space="preserve"> and </w:t>
      </w:r>
      <w:r>
        <w:rPr>
          <w:kern w:val="0"/>
        </w:rPr>
        <w:t>McMaster Universities osteoarthritis index (WOMAC) total score was not statistically significantly different between the groups (16.6 points for cruciate-retention versus 15.0 points for cruciate-sacrifice). One study reported a patient satisfaction grade (7.7 points for cruciate-retention versus 7.9 points for cruciate-sacrifice on a scale from 0 to 10, 10 being completely satisfied) which did not differ statistically significantly. Complications were distributed equally between both groups. Only one study reported several re-operations other than revision surgery; that is patella luxations, surgical manipulation because</w:t>
      </w:r>
      <w:r w:rsidR="00427468">
        <w:rPr>
          <w:kern w:val="0"/>
        </w:rPr>
        <w:t xml:space="preserve"> of </w:t>
      </w:r>
      <w:r>
        <w:rPr>
          <w:kern w:val="0"/>
        </w:rPr>
        <w:t>impaired flexion</w:t>
      </w:r>
      <w:r w:rsidR="00A37C1D">
        <w:rPr>
          <w:kern w:val="0"/>
        </w:rPr>
        <w:t>. The</w:t>
      </w:r>
      <w:r>
        <w:rPr>
          <w:kern w:val="0"/>
        </w:rPr>
        <w:t xml:space="preserve"> mean functional Knee Society Score was 2.3 points higher (81.2 versus 79.0 points; 95% CI</w:t>
      </w:r>
      <w:r w:rsidR="00427468">
        <w:rPr>
          <w:kern w:val="0"/>
        </w:rPr>
        <w:t xml:space="preserve"> of </w:t>
      </w:r>
      <w:r>
        <w:rPr>
          <w:kern w:val="0"/>
        </w:rPr>
        <w:t>the difference 0.37 to 4.26; P = 0.02) in the posterior cruciate ligament sacrificing group. Results from the outcome Knee Society functional score were homogeneous. All other outcome measures (extension angle, knee pain, adverse effects, clinical questionnaire scores, Knee Society clinical scores, radiological rollback, radiolucencies, femorotibial angle</w:t>
      </w:r>
      <w:r w:rsidR="005853A9">
        <w:rPr>
          <w:kern w:val="0"/>
        </w:rPr>
        <w:t xml:space="preserve"> and </w:t>
      </w:r>
      <w:r>
        <w:rPr>
          <w:kern w:val="0"/>
        </w:rPr>
        <w:t>tibial slope) showed no statistically significant differences between the groups. In the subgroup analyses that allowed pooling</w:t>
      </w:r>
      <w:r w:rsidR="00427468">
        <w:rPr>
          <w:kern w:val="0"/>
        </w:rPr>
        <w:t xml:space="preserve"> of </w:t>
      </w:r>
      <w:r>
        <w:rPr>
          <w:kern w:val="0"/>
        </w:rPr>
        <w:t>the results</w:t>
      </w:r>
      <w:r w:rsidR="00427468">
        <w:rPr>
          <w:kern w:val="0"/>
        </w:rPr>
        <w:t xml:space="preserve"> of </w:t>
      </w:r>
      <w:r>
        <w:rPr>
          <w:kern w:val="0"/>
        </w:rPr>
        <w:t>the different studies, no homogeneous statistically significant differences were identified. Authors</w:t>
      </w:r>
      <w:r w:rsidR="0071223E">
        <w:rPr>
          <w:kern w:val="0"/>
        </w:rPr>
        <w:t>’</w:t>
      </w:r>
      <w:r>
        <w:rPr>
          <w:kern w:val="0"/>
        </w:rPr>
        <w:t xml:space="preserve"> conclusions The methodological quality</w:t>
      </w:r>
      <w:r w:rsidR="005853A9">
        <w:rPr>
          <w:kern w:val="0"/>
        </w:rPr>
        <w:t xml:space="preserve"> and </w:t>
      </w:r>
      <w:r>
        <w:rPr>
          <w:kern w:val="0"/>
        </w:rPr>
        <w:t>the quality</w:t>
      </w:r>
      <w:r w:rsidR="00427468">
        <w:rPr>
          <w:kern w:val="0"/>
        </w:rPr>
        <w:t xml:space="preserve"> of </w:t>
      </w:r>
      <w:r>
        <w:rPr>
          <w:kern w:val="0"/>
        </w:rPr>
        <w:t>reporting</w:t>
      </w:r>
      <w:r w:rsidR="00427468">
        <w:rPr>
          <w:kern w:val="0"/>
        </w:rPr>
        <w:t xml:space="preserve"> of </w:t>
      </w:r>
      <w:r>
        <w:rPr>
          <w:kern w:val="0"/>
        </w:rPr>
        <w:t>the studies were highly variable. With respect to range</w:t>
      </w:r>
      <w:r w:rsidR="00427468">
        <w:rPr>
          <w:kern w:val="0"/>
        </w:rPr>
        <w:t xml:space="preserve"> of </w:t>
      </w:r>
      <w:r>
        <w:rPr>
          <w:kern w:val="0"/>
        </w:rPr>
        <w:t>motion, pain, clinical,</w:t>
      </w:r>
      <w:r w:rsidR="005853A9">
        <w:rPr>
          <w:kern w:val="0"/>
        </w:rPr>
        <w:t xml:space="preserve"> and </w:t>
      </w:r>
      <w:r>
        <w:rPr>
          <w:kern w:val="0"/>
        </w:rPr>
        <w:t>radiological outcomes, no clinically relevant differences were found between total knee arthroplasty with retention or sacrifice</w:t>
      </w:r>
      <w:r w:rsidR="00427468">
        <w:rPr>
          <w:kern w:val="0"/>
        </w:rPr>
        <w:t xml:space="preserve"> of </w:t>
      </w:r>
      <w:r>
        <w:rPr>
          <w:kern w:val="0"/>
        </w:rPr>
        <w:t>the posterior cruciate ligament. Two statistically significant differences were found; range</w:t>
      </w:r>
      <w:r w:rsidR="00427468">
        <w:rPr>
          <w:kern w:val="0"/>
        </w:rPr>
        <w:t xml:space="preserve"> of </w:t>
      </w:r>
      <w:r>
        <w:rPr>
          <w:kern w:val="0"/>
        </w:rPr>
        <w:t>motion was 2.4 degrees higher in the posterior cruciate ligament sacrificing group, however results were heterogeneous;</w:t>
      </w:r>
      <w:r w:rsidR="005853A9">
        <w:rPr>
          <w:kern w:val="0"/>
        </w:rPr>
        <w:t xml:space="preserve"> and </w:t>
      </w:r>
      <w:r>
        <w:rPr>
          <w:kern w:val="0"/>
        </w:rPr>
        <w:t>the mean functional Knee Society Score was 2.3 points higher in the posterior cruciate ligament sacrificing group</w:t>
      </w:r>
      <w:r w:rsidR="00A37C1D">
        <w:rPr>
          <w:kern w:val="0"/>
        </w:rPr>
        <w:t>. The</w:t>
      </w:r>
      <w:r>
        <w:rPr>
          <w:kern w:val="0"/>
        </w:rPr>
        <w:t>se differences are clinically not relevant.</w:t>
      </w:r>
    </w:p>
    <w:p w:rsidR="00D72764" w:rsidRDefault="00D72764" w:rsidP="00D72764">
      <w:pPr>
        <w:pStyle w:val="a3"/>
        <w:rPr>
          <w:kern w:val="0"/>
        </w:rPr>
      </w:pPr>
      <w:r>
        <w:rPr>
          <w:kern w:val="0"/>
        </w:rPr>
        <w:t xml:space="preserve">Keywords: Academic, Adverse Effects, Analyses, Analysis, Approach, Arthritis,Rheumatoid [Surgery], Arthroplasty, Arthroplasty,Replacement,Knee [Methods], Authors, Benefits, Bias, Citation, Clinical, Clinical Trials, Collection, Complications, Confidence, Criteria, Data Collection, Databases, Design, Distributed, Effects, Embase, Evidence, Femoral Rollback, Follow-Up, Gait Analysis, Grade, Groups, Humans, Index, Interval, Low Risk, Measures, </w:t>
      </w:r>
      <w:r w:rsidR="00D5664A">
        <w:rPr>
          <w:kern w:val="0"/>
        </w:rPr>
        <w:t>MEDLINE</w:t>
      </w:r>
      <w:r>
        <w:rPr>
          <w:kern w:val="0"/>
        </w:rPr>
        <w:t>, Meta Analysis, Meta-Analysis, Metaanalysis, Methods, Mobile-Bearing, Motion, Multicenter Analysis, Ontario, Osteoarthritis,Knee [Surgery], Outcome, Outcome Measures, Outcomes, P, Pain, Pain Score, Patient Satisfaction, Patients, Performance, Posterior Cruciate Ligament [Surgery], Primary, Proprioception, Prostheses, Pubmed, Quality, Quality Of, Questionnaire, Randomised, Randomised Controlled Trials, Randomized Clinical-Trial, Randomized Controlled Trials As Topic, Range, Range</w:t>
      </w:r>
      <w:r w:rsidR="00427468">
        <w:rPr>
          <w:kern w:val="0"/>
        </w:rPr>
        <w:t xml:space="preserve"> of </w:t>
      </w:r>
      <w:r>
        <w:rPr>
          <w:kern w:val="0"/>
        </w:rPr>
        <w:lastRenderedPageBreak/>
        <w:t>Motion,Articular, References, Replacement, Reporting, Results, Retention, Review, Risk, Risk</w:t>
      </w:r>
      <w:r w:rsidR="00427468">
        <w:rPr>
          <w:kern w:val="0"/>
        </w:rPr>
        <w:t xml:space="preserve"> of </w:t>
      </w:r>
      <w:r>
        <w:rPr>
          <w:kern w:val="0"/>
        </w:rPr>
        <w:t xml:space="preserve">Bias, Satisfaction, Scale, Science, Search, Surgery, Survival, Survival Rate, Systematic Review, Term, Universities, </w:t>
      </w:r>
      <w:r w:rsidR="00D5664A">
        <w:rPr>
          <w:kern w:val="0"/>
        </w:rPr>
        <w:t>Web</w:t>
      </w:r>
      <w:r w:rsidR="00427468">
        <w:rPr>
          <w:kern w:val="0"/>
        </w:rPr>
        <w:t xml:space="preserve"> of </w:t>
      </w:r>
      <w:r w:rsidR="00D5664A">
        <w:rPr>
          <w:kern w:val="0"/>
        </w:rPr>
        <w:t>Science</w:t>
      </w:r>
      <w:r>
        <w:rPr>
          <w:kern w:val="0"/>
        </w:rPr>
        <w:t>, Womac</w:t>
      </w:r>
    </w:p>
    <w:p w:rsidR="00D72764" w:rsidRDefault="00D72764" w:rsidP="00D72764">
      <w:pPr>
        <w:pStyle w:val="a3"/>
        <w:rPr>
          <w:kern w:val="0"/>
        </w:rPr>
      </w:pPr>
      <w:r>
        <w:rPr>
          <w:kern w:val="0"/>
        </w:rPr>
        <w:t>? Uman, L.S., Birnie, K.A., Noel, M., Parker, J.A., Chambers, C.T., McGrath, P.J.</w:t>
      </w:r>
      <w:r w:rsidR="005853A9">
        <w:rPr>
          <w:kern w:val="0"/>
        </w:rPr>
        <w:t xml:space="preserve"> and </w:t>
      </w:r>
      <w:r>
        <w:rPr>
          <w:kern w:val="0"/>
        </w:rPr>
        <w:t>Kisely, S.R. (2013), Psychological interventions for needle-related procedural pain</w:t>
      </w:r>
      <w:r w:rsidR="005853A9">
        <w:rPr>
          <w:kern w:val="0"/>
        </w:rPr>
        <w:t xml:space="preserve"> and </w:t>
      </w:r>
      <w:r>
        <w:rPr>
          <w:kern w:val="0"/>
        </w:rPr>
        <w:t>distress in children</w:t>
      </w:r>
      <w:r w:rsidR="005853A9">
        <w:rPr>
          <w:kern w:val="0"/>
        </w:rPr>
        <w:t xml:space="preserve"> and </w:t>
      </w:r>
      <w:r>
        <w:rPr>
          <w:kern w:val="0"/>
        </w:rPr>
        <w:t xml:space="preserve">adolescents.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CD005179</w:t>
      </w:r>
      <w:r>
        <w:rPr>
          <w:kern w:val="0"/>
        </w:rPr>
        <w:t>.</w:t>
      </w:r>
    </w:p>
    <w:p w:rsidR="00D72764" w:rsidRDefault="00D72764" w:rsidP="00D72764">
      <w:pPr>
        <w:pStyle w:val="a3"/>
        <w:rPr>
          <w:kern w:val="2"/>
        </w:rPr>
      </w:pPr>
      <w:r>
        <w:t xml:space="preserve">Full Text: 2013\Coc Dat Sys Rev2013, </w:t>
      </w:r>
      <w:r w:rsidRPr="00520A78">
        <w:rPr>
          <w:kern w:val="0"/>
        </w:rPr>
        <w:t>CD005179</w:t>
      </w:r>
      <w:r>
        <w:t>.pdf</w:t>
      </w:r>
    </w:p>
    <w:p w:rsidR="00D72764" w:rsidRDefault="00D72764" w:rsidP="00D72764">
      <w:pPr>
        <w:pStyle w:val="a3"/>
        <w:rPr>
          <w:kern w:val="0"/>
        </w:rPr>
      </w:pPr>
      <w:r>
        <w:rPr>
          <w:kern w:val="0"/>
        </w:rPr>
        <w:t>Abstract: Background This review is an updated version</w:t>
      </w:r>
      <w:r w:rsidR="00427468">
        <w:rPr>
          <w:kern w:val="0"/>
        </w:rPr>
        <w:t xml:space="preserve"> of </w:t>
      </w:r>
      <w:r>
        <w:rPr>
          <w:kern w:val="0"/>
        </w:rPr>
        <w:t>the original Cochrane review published in Issue 4, 2006. Needle-related procedures are a common source</w:t>
      </w:r>
      <w:r w:rsidR="00427468">
        <w:rPr>
          <w:kern w:val="0"/>
        </w:rPr>
        <w:t xml:space="preserve"> of </w:t>
      </w:r>
      <w:r>
        <w:rPr>
          <w:kern w:val="0"/>
        </w:rPr>
        <w:t>pain</w:t>
      </w:r>
      <w:r w:rsidR="005853A9">
        <w:rPr>
          <w:kern w:val="0"/>
        </w:rPr>
        <w:t xml:space="preserve"> and </w:t>
      </w:r>
      <w:r>
        <w:rPr>
          <w:kern w:val="0"/>
        </w:rPr>
        <w:t>distress for children. Our previous review on this topic indicated that a number</w:t>
      </w:r>
      <w:r w:rsidR="00427468">
        <w:rPr>
          <w:kern w:val="0"/>
        </w:rPr>
        <w:t xml:space="preserve"> of </w:t>
      </w:r>
      <w:r>
        <w:rPr>
          <w:kern w:val="0"/>
        </w:rPr>
        <w:t>psychological interventions were efficacious in managing pediatric needle pain, including distraction, hypnosis,</w:t>
      </w:r>
      <w:r w:rsidR="005853A9">
        <w:rPr>
          <w:kern w:val="0"/>
        </w:rPr>
        <w:t xml:space="preserve"> and </w:t>
      </w:r>
      <w:r>
        <w:rPr>
          <w:kern w:val="0"/>
        </w:rPr>
        <w:t>combined cognitive behavioural interventions. Considerable additional research in the area has been published since that time. Objectives To provide an update to our 2006 review assessing the efficacy</w:t>
      </w:r>
      <w:r w:rsidR="00427468">
        <w:rPr>
          <w:kern w:val="0"/>
        </w:rPr>
        <w:t xml:space="preserve"> of </w:t>
      </w:r>
      <w:r>
        <w:rPr>
          <w:kern w:val="0"/>
        </w:rPr>
        <w:t>psychological interventions for needle-related procedural pain</w:t>
      </w:r>
      <w:r w:rsidR="005853A9">
        <w:rPr>
          <w:kern w:val="0"/>
        </w:rPr>
        <w:t xml:space="preserve"> and </w:t>
      </w:r>
      <w:r>
        <w:rPr>
          <w:kern w:val="0"/>
        </w:rPr>
        <w:t>distress in children</w:t>
      </w:r>
      <w:r w:rsidR="005853A9">
        <w:rPr>
          <w:kern w:val="0"/>
        </w:rPr>
        <w:t xml:space="preserve"> and </w:t>
      </w:r>
      <w:r>
        <w:rPr>
          <w:kern w:val="0"/>
        </w:rPr>
        <w:t>adolescents. Search methods Searches</w:t>
      </w:r>
      <w:r w:rsidR="00427468">
        <w:rPr>
          <w:kern w:val="0"/>
        </w:rPr>
        <w:t xml:space="preserve"> of </w:t>
      </w:r>
      <w:r>
        <w:rPr>
          <w:kern w:val="0"/>
        </w:rPr>
        <w:t>the following databases were conducted for relevant randomized controlled trials (RCTs): Cochrane Central Register</w:t>
      </w:r>
      <w:r w:rsidR="00427468">
        <w:rPr>
          <w:kern w:val="0"/>
        </w:rPr>
        <w:t xml:space="preserve"> of </w:t>
      </w:r>
      <w:r>
        <w:rPr>
          <w:kern w:val="0"/>
        </w:rPr>
        <w:t xml:space="preserve">Controlled Trials (CENTRAL); </w:t>
      </w:r>
      <w:r w:rsidR="00D5664A">
        <w:rPr>
          <w:kern w:val="0"/>
        </w:rPr>
        <w:t>MEDLINE</w:t>
      </w:r>
      <w:r>
        <w:rPr>
          <w:kern w:val="0"/>
        </w:rPr>
        <w:t>; EMBASE; PsycINFO; the Cumulative Index to Nursing</w:t>
      </w:r>
      <w:r w:rsidR="005853A9">
        <w:rPr>
          <w:kern w:val="0"/>
        </w:rPr>
        <w:t xml:space="preserve"> and </w:t>
      </w:r>
      <w:r>
        <w:rPr>
          <w:kern w:val="0"/>
        </w:rPr>
        <w:t>Allied Health Literature (CINAHL);</w:t>
      </w:r>
      <w:r w:rsidR="005853A9">
        <w:rPr>
          <w:kern w:val="0"/>
        </w:rPr>
        <w:t xml:space="preserve"> and </w:t>
      </w:r>
      <w:r w:rsidR="00D5664A">
        <w:rPr>
          <w:kern w:val="0"/>
        </w:rPr>
        <w:t>Web</w:t>
      </w:r>
      <w:r w:rsidR="00427468">
        <w:rPr>
          <w:kern w:val="0"/>
        </w:rPr>
        <w:t xml:space="preserve"> of </w:t>
      </w:r>
      <w:r w:rsidR="00D5664A">
        <w:rPr>
          <w:kern w:val="0"/>
        </w:rPr>
        <w:t>Science</w:t>
      </w:r>
      <w:r>
        <w:rPr>
          <w:kern w:val="0"/>
        </w:rPr>
        <w:t>. Requests for relevant studies were also posted on various electronic list servers. We ran an updated search in March 2012,</w:t>
      </w:r>
      <w:r w:rsidR="005853A9">
        <w:rPr>
          <w:kern w:val="0"/>
        </w:rPr>
        <w:t xml:space="preserve"> and </w:t>
      </w:r>
      <w:r>
        <w:rPr>
          <w:kern w:val="0"/>
        </w:rPr>
        <w:t>again in March 2013. Selection criteria Participants included children</w:t>
      </w:r>
      <w:r w:rsidR="005853A9">
        <w:rPr>
          <w:kern w:val="0"/>
        </w:rPr>
        <w:t xml:space="preserve"> and </w:t>
      </w:r>
      <w:r>
        <w:rPr>
          <w:kern w:val="0"/>
        </w:rPr>
        <w:t>adolescents aged two to 19 years undergoing needle-related procedures. Only RCTs with at least five participants in each study arm comparing a psychological intervention group with a control or comparison group were eligible for inclusion. Data collection</w:t>
      </w:r>
      <w:r w:rsidR="005853A9">
        <w:rPr>
          <w:kern w:val="0"/>
        </w:rPr>
        <w:t xml:space="preserve"> and </w:t>
      </w:r>
      <w:r>
        <w:rPr>
          <w:kern w:val="0"/>
        </w:rPr>
        <w:t>analysis Two review authors extracted data</w:t>
      </w:r>
      <w:r w:rsidR="005853A9">
        <w:rPr>
          <w:kern w:val="0"/>
        </w:rPr>
        <w:t xml:space="preserve"> and </w:t>
      </w:r>
      <w:r>
        <w:rPr>
          <w:kern w:val="0"/>
        </w:rPr>
        <w:t>assessed trial quality</w:t>
      </w:r>
      <w:r w:rsidR="005853A9">
        <w:rPr>
          <w:kern w:val="0"/>
        </w:rPr>
        <w:t xml:space="preserve"> and </w:t>
      </w:r>
      <w:r>
        <w:rPr>
          <w:kern w:val="0"/>
        </w:rPr>
        <w:t>a third author helped with data extraction</w:t>
      </w:r>
      <w:r w:rsidR="005853A9">
        <w:rPr>
          <w:kern w:val="0"/>
        </w:rPr>
        <w:t xml:space="preserve"> and </w:t>
      </w:r>
      <w:r>
        <w:rPr>
          <w:kern w:val="0"/>
        </w:rPr>
        <w:t>coding for one non-English study. Included studies were coded for quality using the Cochrane Risk</w:t>
      </w:r>
      <w:r w:rsidR="00427468">
        <w:rPr>
          <w:kern w:val="0"/>
        </w:rPr>
        <w:t xml:space="preserve"> of </w:t>
      </w:r>
      <w:r>
        <w:rPr>
          <w:kern w:val="0"/>
        </w:rPr>
        <w:t>bias tool. Standardized mean differences with 95% confidence intervals were computed for all analyses using Review Manager 5.2 software. Main results Thirty-nine trials with 3394 participants were included</w:t>
      </w:r>
      <w:r w:rsidR="00A37C1D">
        <w:rPr>
          <w:kern w:val="0"/>
        </w:rPr>
        <w:t>. The</w:t>
      </w:r>
      <w:r>
        <w:rPr>
          <w:kern w:val="0"/>
        </w:rPr>
        <w:t xml:space="preserve"> most commonly studied needle procedures were venipuncture, intravenous (IV) line insertion,</w:t>
      </w:r>
      <w:r w:rsidR="005853A9">
        <w:rPr>
          <w:kern w:val="0"/>
        </w:rPr>
        <w:t xml:space="preserve"> and </w:t>
      </w:r>
      <w:r>
        <w:rPr>
          <w:kern w:val="0"/>
        </w:rPr>
        <w:t>immunization. Studies included children aged two to 19 years, with the most evidence available for children under 12 years</w:t>
      </w:r>
      <w:r w:rsidR="00427468">
        <w:rPr>
          <w:kern w:val="0"/>
        </w:rPr>
        <w:t xml:space="preserve"> of </w:t>
      </w:r>
      <w:r>
        <w:rPr>
          <w:kern w:val="0"/>
        </w:rPr>
        <w:t>age. Consistent with the original review, the most commonly studied psychological interventions for needle procedures were distraction, hypnosis,</w:t>
      </w:r>
      <w:r w:rsidR="005853A9">
        <w:rPr>
          <w:kern w:val="0"/>
        </w:rPr>
        <w:t xml:space="preserve"> and </w:t>
      </w:r>
      <w:r>
        <w:rPr>
          <w:kern w:val="0"/>
        </w:rPr>
        <w:t>cognitive behavioural therapy (CBT)</w:t>
      </w:r>
      <w:r w:rsidR="00A37C1D">
        <w:rPr>
          <w:kern w:val="0"/>
        </w:rPr>
        <w:t>. The</w:t>
      </w:r>
      <w:r>
        <w:rPr>
          <w:kern w:val="0"/>
        </w:rPr>
        <w:t xml:space="preserve"> majority</w:t>
      </w:r>
      <w:r w:rsidR="00427468">
        <w:rPr>
          <w:kern w:val="0"/>
        </w:rPr>
        <w:t xml:space="preserve"> of </w:t>
      </w:r>
      <w:r>
        <w:rPr>
          <w:kern w:val="0"/>
        </w:rPr>
        <w:t>included studies (19</w:t>
      </w:r>
      <w:r w:rsidR="00427468">
        <w:rPr>
          <w:kern w:val="0"/>
        </w:rPr>
        <w:t xml:space="preserve"> of </w:t>
      </w:r>
      <w:r>
        <w:rPr>
          <w:kern w:val="0"/>
        </w:rPr>
        <w:t>39) examined distraction only</w:t>
      </w:r>
      <w:r w:rsidR="00A37C1D">
        <w:rPr>
          <w:kern w:val="0"/>
        </w:rPr>
        <w:t>. The</w:t>
      </w:r>
      <w:r>
        <w:rPr>
          <w:kern w:val="0"/>
        </w:rPr>
        <w:t xml:space="preserve"> additional studies from this review update continued to provide strong evidence for the efficacy</w:t>
      </w:r>
      <w:r w:rsidR="00427468">
        <w:rPr>
          <w:kern w:val="0"/>
        </w:rPr>
        <w:t xml:space="preserve"> of </w:t>
      </w:r>
      <w:r>
        <w:rPr>
          <w:kern w:val="0"/>
        </w:rPr>
        <w:t>distraction</w:t>
      </w:r>
      <w:r w:rsidR="005853A9">
        <w:rPr>
          <w:kern w:val="0"/>
        </w:rPr>
        <w:t xml:space="preserve"> and </w:t>
      </w:r>
      <w:r>
        <w:rPr>
          <w:kern w:val="0"/>
        </w:rPr>
        <w:t>hypnosis. No evidence was available to support the efficacy</w:t>
      </w:r>
      <w:r w:rsidR="00427468">
        <w:rPr>
          <w:kern w:val="0"/>
        </w:rPr>
        <w:t xml:space="preserve"> of </w:t>
      </w:r>
      <w:r>
        <w:rPr>
          <w:kern w:val="0"/>
        </w:rPr>
        <w:lastRenderedPageBreak/>
        <w:t>preparation</w:t>
      </w:r>
      <w:r w:rsidR="005853A9">
        <w:rPr>
          <w:kern w:val="0"/>
        </w:rPr>
        <w:t xml:space="preserve"> and </w:t>
      </w:r>
      <w:r>
        <w:rPr>
          <w:kern w:val="0"/>
        </w:rPr>
        <w:t>information, combined CBT (at least two or more cognitive or behavioural strategies combined), parent coaching plus distraction, suggestion, or virtual reality for reducing children</w:t>
      </w:r>
      <w:r w:rsidR="0071223E">
        <w:rPr>
          <w:kern w:val="0"/>
        </w:rPr>
        <w:t>’</w:t>
      </w:r>
      <w:r>
        <w:rPr>
          <w:kern w:val="0"/>
        </w:rPr>
        <w:t>s pain</w:t>
      </w:r>
      <w:r w:rsidR="005853A9">
        <w:rPr>
          <w:kern w:val="0"/>
        </w:rPr>
        <w:t xml:space="preserve"> and </w:t>
      </w:r>
      <w:r>
        <w:rPr>
          <w:kern w:val="0"/>
        </w:rPr>
        <w:t>distress. No conclusions could be drawn about interventions</w:t>
      </w:r>
      <w:r w:rsidR="00427468">
        <w:rPr>
          <w:kern w:val="0"/>
        </w:rPr>
        <w:t xml:space="preserve"> of </w:t>
      </w:r>
      <w:r>
        <w:rPr>
          <w:kern w:val="0"/>
        </w:rPr>
        <w:t>memory alteration, parent positioning plus distraction, blowing out air, or distraction plus suggestion, as evidence was available from single studies only. In addition, the Risk</w:t>
      </w:r>
      <w:r w:rsidR="00427468">
        <w:rPr>
          <w:kern w:val="0"/>
        </w:rPr>
        <w:t xml:space="preserve"> of </w:t>
      </w:r>
      <w:r>
        <w:rPr>
          <w:kern w:val="0"/>
        </w:rPr>
        <w:t>bias scores indicated several domains with high or unclear bias scores (for example, selection, detection,</w:t>
      </w:r>
      <w:r w:rsidR="005853A9">
        <w:rPr>
          <w:kern w:val="0"/>
        </w:rPr>
        <w:t xml:space="preserve"> and </w:t>
      </w:r>
      <w:r>
        <w:rPr>
          <w:kern w:val="0"/>
        </w:rPr>
        <w:t>performance bias) suggesting that the methodological rigour</w:t>
      </w:r>
      <w:r w:rsidR="005853A9">
        <w:rPr>
          <w:kern w:val="0"/>
        </w:rPr>
        <w:t xml:space="preserve"> and </w:t>
      </w:r>
      <w:r>
        <w:rPr>
          <w:kern w:val="0"/>
        </w:rPr>
        <w:t>reporting</w:t>
      </w:r>
      <w:r w:rsidR="00427468">
        <w:rPr>
          <w:kern w:val="0"/>
        </w:rPr>
        <w:t xml:space="preserve"> of </w:t>
      </w:r>
      <w:r>
        <w:rPr>
          <w:kern w:val="0"/>
        </w:rPr>
        <w:t>RCTs</w:t>
      </w:r>
      <w:r w:rsidR="00427468">
        <w:rPr>
          <w:kern w:val="0"/>
        </w:rPr>
        <w:t xml:space="preserve"> of </w:t>
      </w:r>
      <w:r>
        <w:rPr>
          <w:kern w:val="0"/>
        </w:rPr>
        <w:t>psychological interventions continue to have considerable room for improvement. Authors</w:t>
      </w:r>
      <w:r w:rsidR="0071223E">
        <w:rPr>
          <w:kern w:val="0"/>
        </w:rPr>
        <w:t>’</w:t>
      </w:r>
      <w:r>
        <w:rPr>
          <w:kern w:val="0"/>
        </w:rPr>
        <w:t xml:space="preserve"> conclusions Overall, there is strong evidence supporting the efficacy</w:t>
      </w:r>
      <w:r w:rsidR="00427468">
        <w:rPr>
          <w:kern w:val="0"/>
        </w:rPr>
        <w:t xml:space="preserve"> of </w:t>
      </w:r>
      <w:r>
        <w:rPr>
          <w:kern w:val="0"/>
        </w:rPr>
        <w:t>distraction</w:t>
      </w:r>
      <w:r w:rsidR="005853A9">
        <w:rPr>
          <w:kern w:val="0"/>
        </w:rPr>
        <w:t xml:space="preserve"> and </w:t>
      </w:r>
      <w:r>
        <w:rPr>
          <w:kern w:val="0"/>
        </w:rPr>
        <w:t>hypnosis for needle-related pain</w:t>
      </w:r>
      <w:r w:rsidR="005853A9">
        <w:rPr>
          <w:kern w:val="0"/>
        </w:rPr>
        <w:t xml:space="preserve"> and </w:t>
      </w:r>
      <w:r>
        <w:rPr>
          <w:kern w:val="0"/>
        </w:rPr>
        <w:t>distress in children</w:t>
      </w:r>
      <w:r w:rsidR="005853A9">
        <w:rPr>
          <w:kern w:val="0"/>
        </w:rPr>
        <w:t xml:space="preserve"> and </w:t>
      </w:r>
      <w:r>
        <w:rPr>
          <w:kern w:val="0"/>
        </w:rPr>
        <w:t>adolescents, with no evidence currently available for preparation</w:t>
      </w:r>
      <w:r w:rsidR="005853A9">
        <w:rPr>
          <w:kern w:val="0"/>
        </w:rPr>
        <w:t xml:space="preserve"> and </w:t>
      </w:r>
      <w:r>
        <w:rPr>
          <w:kern w:val="0"/>
        </w:rPr>
        <w:t>information or both, combined CBT, parent coaching plus distraction, suggestion, or virtual reality. Additional research is needed to further assess interventions that have only been investigated in one RCT to date (that is, memory alteration, parent positioning plus distraction, blowing out air,</w:t>
      </w:r>
      <w:r w:rsidR="005853A9">
        <w:rPr>
          <w:kern w:val="0"/>
        </w:rPr>
        <w:t xml:space="preserve"> and </w:t>
      </w:r>
      <w:r>
        <w:rPr>
          <w:kern w:val="0"/>
        </w:rPr>
        <w:t>distraction plus suggestion)</w:t>
      </w:r>
      <w:r w:rsidR="00A37C1D">
        <w:rPr>
          <w:kern w:val="0"/>
        </w:rPr>
        <w:t>. The</w:t>
      </w:r>
      <w:r>
        <w:rPr>
          <w:kern w:val="0"/>
        </w:rPr>
        <w:t>re are continuing issues with the quality</w:t>
      </w:r>
      <w:r w:rsidR="00427468">
        <w:rPr>
          <w:kern w:val="0"/>
        </w:rPr>
        <w:t xml:space="preserve"> of </w:t>
      </w:r>
      <w:r>
        <w:rPr>
          <w:kern w:val="0"/>
        </w:rPr>
        <w:t>trials examining psychological interventions for needle-related pain</w:t>
      </w:r>
      <w:r w:rsidR="005853A9">
        <w:rPr>
          <w:kern w:val="0"/>
        </w:rPr>
        <w:t xml:space="preserve"> and </w:t>
      </w:r>
      <w:r>
        <w:rPr>
          <w:kern w:val="0"/>
        </w:rPr>
        <w:t>distress.</w:t>
      </w:r>
    </w:p>
    <w:p w:rsidR="00D72764" w:rsidRDefault="00D72764" w:rsidP="00D72764">
      <w:pPr>
        <w:pStyle w:val="a3"/>
        <w:rPr>
          <w:kern w:val="0"/>
        </w:rPr>
      </w:pPr>
      <w:r>
        <w:rPr>
          <w:kern w:val="0"/>
        </w:rPr>
        <w:t xml:space="preserve">Keywords: Adolescent, Adolescents, Adult, Age, Aged, Air, Analyses, Analysis, Anxiety [Prevention &amp; Control, Assessing, Authors, Bias, Cbt, Child, Child,Preschool, Children, Clinical-Trial, Coding, Cognitive Therapy [Methods], Cognitive-Behavior Therapy, Collection, Comparison, Confidence, Confidence Intervals, Control, Criteria, Data, Data Collection, Databases, Distress, Efficacy, Embase, Evidence, Extraction, Humans, Hypnosis, Immunization, Improvement, Information, Intervals, Intervention, Interventions, Intravenous, Issues, Iv, Iv Insertion, Literature, Medical Procedures, </w:t>
      </w:r>
      <w:r w:rsidR="00D5664A">
        <w:rPr>
          <w:kern w:val="0"/>
        </w:rPr>
        <w:t>MEDLINE</w:t>
      </w:r>
      <w:r>
        <w:rPr>
          <w:kern w:val="0"/>
        </w:rPr>
        <w:t>, Memory, Methods, Needles, Nursing, Oncology Patients, Pain, Pain [Prevention &amp; Control, Pediatric, Pediatric Emergency-Department, Performance, Preparation, Procedures, Psychological, Psychological Intervention, Psychology], Psycinfo, Punctures [Psychology], Quality, Quality Of, Randomized, Randomized Controlled Trials, Randomized Controlled Trials As Topic, Randomized Controlled-Trials, Rct, Reporting, Research, Review, Risk, Risk</w:t>
      </w:r>
      <w:r w:rsidR="00427468">
        <w:rPr>
          <w:kern w:val="0"/>
        </w:rPr>
        <w:t xml:space="preserve"> of </w:t>
      </w:r>
      <w:r>
        <w:rPr>
          <w:kern w:val="0"/>
        </w:rPr>
        <w:t xml:space="preserve">Bias, Routine Childhood Immunizations, Science, Search, Selection, Self-Report, Software, Source, Suggestion, Support, Therapy, Topic, Trial, Venous Cannulation Pain, Version, Virtual Reality, </w:t>
      </w:r>
      <w:r w:rsidR="00D5664A">
        <w:rPr>
          <w:kern w:val="0"/>
        </w:rPr>
        <w:t>Web</w:t>
      </w:r>
      <w:r w:rsidR="00427468">
        <w:rPr>
          <w:kern w:val="0"/>
        </w:rPr>
        <w:t xml:space="preserve"> of </w:t>
      </w:r>
      <w:r w:rsidR="00D5664A">
        <w:rPr>
          <w:kern w:val="0"/>
        </w:rPr>
        <w:t>Science</w:t>
      </w:r>
    </w:p>
    <w:p w:rsidR="00D72764" w:rsidRDefault="00D72764" w:rsidP="00D72764">
      <w:pPr>
        <w:pStyle w:val="a3"/>
        <w:rPr>
          <w:kern w:val="0"/>
        </w:rPr>
      </w:pPr>
      <w:r>
        <w:rPr>
          <w:kern w:val="0"/>
        </w:rPr>
        <w:t>? Timmer, A., Gunther, J., Motschall, E., Rucker, G., Antes, G.</w:t>
      </w:r>
      <w:r w:rsidR="005853A9">
        <w:rPr>
          <w:kern w:val="0"/>
        </w:rPr>
        <w:t xml:space="preserve"> and </w:t>
      </w:r>
      <w:r>
        <w:rPr>
          <w:kern w:val="0"/>
        </w:rPr>
        <w:t xml:space="preserve">Kern, W.V. (2013), Pelargonium sidoides extract for treating acute respiratory tract infections.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CD006323</w:t>
      </w:r>
      <w:r>
        <w:rPr>
          <w:kern w:val="0"/>
        </w:rPr>
        <w:t>.</w:t>
      </w:r>
    </w:p>
    <w:p w:rsidR="00D72764" w:rsidRDefault="00D72764" w:rsidP="00D72764">
      <w:pPr>
        <w:pStyle w:val="a3"/>
        <w:rPr>
          <w:kern w:val="2"/>
        </w:rPr>
      </w:pPr>
      <w:r>
        <w:t xml:space="preserve">Full Text: 2013\Coc Dat Sys Rev2013, </w:t>
      </w:r>
      <w:r w:rsidRPr="00520A78">
        <w:rPr>
          <w:kern w:val="0"/>
        </w:rPr>
        <w:t>CD006323</w:t>
      </w:r>
      <w:r>
        <w:t>.pdf</w:t>
      </w:r>
    </w:p>
    <w:p w:rsidR="00D72764" w:rsidRDefault="00D72764" w:rsidP="00D72764">
      <w:pPr>
        <w:pStyle w:val="a3"/>
        <w:rPr>
          <w:kern w:val="0"/>
        </w:rPr>
      </w:pPr>
      <w:r>
        <w:rPr>
          <w:kern w:val="0"/>
        </w:rPr>
        <w:t>Abstract: Background Pelargonium sidoides (P. sidoides), also known as Umckaloabo, is a herbal remedy thought to be effective in the treatment</w:t>
      </w:r>
      <w:r w:rsidR="00427468">
        <w:rPr>
          <w:kern w:val="0"/>
        </w:rPr>
        <w:t xml:space="preserve"> of </w:t>
      </w:r>
      <w:r>
        <w:rPr>
          <w:kern w:val="0"/>
        </w:rPr>
        <w:t xml:space="preserve">acute respiratory </w:t>
      </w:r>
      <w:r>
        <w:rPr>
          <w:kern w:val="0"/>
        </w:rPr>
        <w:lastRenderedPageBreak/>
        <w:t>infections (ARIs). Objectives To assess the efficacy</w:t>
      </w:r>
      <w:r w:rsidR="005853A9">
        <w:rPr>
          <w:kern w:val="0"/>
        </w:rPr>
        <w:t xml:space="preserve"> and </w:t>
      </w:r>
      <w:r>
        <w:rPr>
          <w:kern w:val="0"/>
        </w:rPr>
        <w:t>safety</w:t>
      </w:r>
      <w:r w:rsidR="00427468">
        <w:rPr>
          <w:kern w:val="0"/>
        </w:rPr>
        <w:t xml:space="preserve"> of </w:t>
      </w:r>
      <w:r>
        <w:rPr>
          <w:kern w:val="0"/>
        </w:rPr>
        <w:t>P. sidoides for the treatment</w:t>
      </w:r>
      <w:r w:rsidR="00427468">
        <w:rPr>
          <w:kern w:val="0"/>
        </w:rPr>
        <w:t xml:space="preserve"> of </w:t>
      </w:r>
      <w:r>
        <w:rPr>
          <w:kern w:val="0"/>
        </w:rPr>
        <w:t>ARIs in children</w:t>
      </w:r>
      <w:r w:rsidR="005853A9">
        <w:rPr>
          <w:kern w:val="0"/>
        </w:rPr>
        <w:t xml:space="preserve"> and </w:t>
      </w:r>
      <w:r>
        <w:rPr>
          <w:kern w:val="0"/>
        </w:rPr>
        <w:t xml:space="preserve">adults. Search methods In April 2013 we searched </w:t>
      </w:r>
      <w:r w:rsidR="00D5664A">
        <w:rPr>
          <w:kern w:val="0"/>
        </w:rPr>
        <w:t>MEDLINE</w:t>
      </w:r>
      <w:r>
        <w:rPr>
          <w:kern w:val="0"/>
        </w:rPr>
        <w:t xml:space="preserve">, Journals@Ovid, The Cochrane Library, Biosis Previews, </w:t>
      </w:r>
      <w:r w:rsidR="00D5664A">
        <w:rPr>
          <w:kern w:val="0"/>
        </w:rPr>
        <w:t>Web</w:t>
      </w:r>
      <w:r w:rsidR="00427468">
        <w:rPr>
          <w:kern w:val="0"/>
        </w:rPr>
        <w:t xml:space="preserve"> of </w:t>
      </w:r>
      <w:r w:rsidR="00D5664A">
        <w:rPr>
          <w:kern w:val="0"/>
        </w:rPr>
        <w:t>Science</w:t>
      </w:r>
      <w:r>
        <w:rPr>
          <w:kern w:val="0"/>
        </w:rPr>
        <w:t>, CINAHL, CCMed, XToxline, Global Health, AMED, Derwent Drug File</w:t>
      </w:r>
      <w:r w:rsidR="005853A9">
        <w:rPr>
          <w:kern w:val="0"/>
        </w:rPr>
        <w:t xml:space="preserve"> and </w:t>
      </w:r>
      <w:r>
        <w:rPr>
          <w:kern w:val="0"/>
        </w:rPr>
        <w:t xml:space="preserve">Backfile, IPA, ISTPB + ISTP/ISSHP, EMBASE, Cambase, LILACS, PubMed component “Supplied by Publisher”, TRIPdatabase, the publisher databases: Deutsches Arzteblatt, Thieme, Springer, ScienceDirect from Elsevier. We conducted a cited reference search (forward) in </w:t>
      </w:r>
      <w:r w:rsidR="00D5664A">
        <w:rPr>
          <w:kern w:val="0"/>
        </w:rPr>
        <w:t>Web</w:t>
      </w:r>
      <w:r w:rsidR="00427468">
        <w:rPr>
          <w:kern w:val="0"/>
        </w:rPr>
        <w:t xml:space="preserve"> of </w:t>
      </w:r>
      <w:r w:rsidR="00D5664A">
        <w:rPr>
          <w:kern w:val="0"/>
        </w:rPr>
        <w:t>Science</w:t>
      </w:r>
      <w:r w:rsidR="00427468">
        <w:rPr>
          <w:kern w:val="0"/>
        </w:rPr>
        <w:t xml:space="preserve"> of </w:t>
      </w:r>
      <w:r>
        <w:rPr>
          <w:kern w:val="0"/>
        </w:rPr>
        <w:t>relevant papers for inclusion. In addition we searched the study registries ClinicalTrials.gov, Deutsches Register klinischer Studien DRKS (German Clinical Trials Register), International Clinical Trials Registry Platform (ICTRP) - WHO ICTRP, Current Controlled Trials</w:t>
      </w:r>
      <w:r w:rsidR="005853A9">
        <w:rPr>
          <w:kern w:val="0"/>
        </w:rPr>
        <w:t xml:space="preserve"> and </w:t>
      </w:r>
      <w:r>
        <w:rPr>
          <w:kern w:val="0"/>
        </w:rPr>
        <w:t>EU Clinical Trials Register. Selection criteria Double-blind, randomized controlled trials (RCTs) examining the efficacy</w:t>
      </w:r>
      <w:r w:rsidR="00427468">
        <w:rPr>
          <w:kern w:val="0"/>
        </w:rPr>
        <w:t xml:space="preserve"> of </w:t>
      </w:r>
      <w:r>
        <w:rPr>
          <w:kern w:val="0"/>
        </w:rPr>
        <w:t>P. sidoides preparations in ARIs compared to placebo or any other treatment. Complete resolution</w:t>
      </w:r>
      <w:r w:rsidR="00427468">
        <w:rPr>
          <w:kern w:val="0"/>
        </w:rPr>
        <w:t xml:space="preserve"> of </w:t>
      </w:r>
      <w:r>
        <w:rPr>
          <w:kern w:val="0"/>
        </w:rPr>
        <w:t>all symptoms was defined as the primary outcome; in addition, we examined resolution</w:t>
      </w:r>
      <w:r w:rsidR="00427468">
        <w:rPr>
          <w:kern w:val="0"/>
        </w:rPr>
        <w:t xml:space="preserve"> of </w:t>
      </w:r>
      <w:r>
        <w:rPr>
          <w:kern w:val="0"/>
        </w:rPr>
        <w:t>predefined key symptoms. Data collection</w:t>
      </w:r>
      <w:r w:rsidR="005853A9">
        <w:rPr>
          <w:kern w:val="0"/>
        </w:rPr>
        <w:t xml:space="preserve"> and </w:t>
      </w:r>
      <w:r>
        <w:rPr>
          <w:kern w:val="0"/>
        </w:rPr>
        <w:t>analysis At least two review authors (AT, JG, WK) independently extracted</w:t>
      </w:r>
      <w:r w:rsidR="005853A9">
        <w:rPr>
          <w:kern w:val="0"/>
        </w:rPr>
        <w:t xml:space="preserve"> and </w:t>
      </w:r>
      <w:r>
        <w:rPr>
          <w:kern w:val="0"/>
        </w:rPr>
        <w:t>quality scored the data. We performed separate analyses by age group</w:t>
      </w:r>
      <w:r w:rsidR="005853A9">
        <w:rPr>
          <w:kern w:val="0"/>
        </w:rPr>
        <w:t xml:space="preserve"> and </w:t>
      </w:r>
      <w:r>
        <w:rPr>
          <w:kern w:val="0"/>
        </w:rPr>
        <w:t>disease entity. Subanalysis considered type</w:t>
      </w:r>
      <w:r w:rsidR="00427468">
        <w:rPr>
          <w:kern w:val="0"/>
        </w:rPr>
        <w:t xml:space="preserve"> of </w:t>
      </w:r>
      <w:r>
        <w:rPr>
          <w:kern w:val="0"/>
        </w:rPr>
        <w:t>preparation (liquid, tablets). We examined heterogeneity using the I-2 statistic. We calculated pooled risk ratios (RR) using a fixed-effect model if heterogeneity was absent (I-2 &lt; 5%; P &gt; 0.1), or a random-effects model in the presence</w:t>
      </w:r>
      <w:r w:rsidR="00427468">
        <w:rPr>
          <w:kern w:val="0"/>
        </w:rPr>
        <w:t xml:space="preserve"> of </w:t>
      </w:r>
      <w:r>
        <w:rPr>
          <w:kern w:val="0"/>
        </w:rPr>
        <w:t>heterogeneity. If heterogeneity was substantial (I-2 &gt; 50%; P &lt; 0.10), a pooled effect was not calculated. Main results</w:t>
      </w:r>
      <w:r w:rsidR="00427468">
        <w:rPr>
          <w:kern w:val="0"/>
        </w:rPr>
        <w:t xml:space="preserve"> of </w:t>
      </w:r>
      <w:r>
        <w:rPr>
          <w:kern w:val="0"/>
        </w:rPr>
        <w:t>10 eligible studies eight were included in the analyses; two were</w:t>
      </w:r>
      <w:r w:rsidR="00427468">
        <w:rPr>
          <w:kern w:val="0"/>
        </w:rPr>
        <w:t xml:space="preserve"> of </w:t>
      </w:r>
      <w:r>
        <w:rPr>
          <w:kern w:val="0"/>
        </w:rPr>
        <w:t>insufficient quality. Three trials (746 patients, low quality</w:t>
      </w:r>
      <w:r w:rsidR="00427468">
        <w:rPr>
          <w:kern w:val="0"/>
        </w:rPr>
        <w:t xml:space="preserve"> of </w:t>
      </w:r>
      <w:r>
        <w:rPr>
          <w:kern w:val="0"/>
        </w:rPr>
        <w:t>evidence)</w:t>
      </w:r>
      <w:r w:rsidR="00427468">
        <w:rPr>
          <w:kern w:val="0"/>
        </w:rPr>
        <w:t xml:space="preserve"> of </w:t>
      </w:r>
      <w:r>
        <w:rPr>
          <w:kern w:val="0"/>
        </w:rPr>
        <w:t>efficacy in acute bronchitis in adults showed effectiveness for most outcomes in the liquid preparation but not for tablets. Three other trials (819 children, low quality</w:t>
      </w:r>
      <w:r w:rsidR="00427468">
        <w:rPr>
          <w:kern w:val="0"/>
        </w:rPr>
        <w:t xml:space="preserve"> of </w:t>
      </w:r>
      <w:r>
        <w:rPr>
          <w:kern w:val="0"/>
        </w:rPr>
        <w:t>evidence) showed similar results for acute bronchitis in children. For both meta-analyses, we did not pool subtotals due to relevant heterogeneity induced by type</w:t>
      </w:r>
      <w:r w:rsidR="00427468">
        <w:rPr>
          <w:kern w:val="0"/>
        </w:rPr>
        <w:t xml:space="preserve"> of </w:t>
      </w:r>
      <w:r>
        <w:rPr>
          <w:kern w:val="0"/>
        </w:rPr>
        <w:t>preparation. One study in patients with sinusitis (n = 103 adults, very low quality</w:t>
      </w:r>
      <w:r w:rsidR="00427468">
        <w:rPr>
          <w:kern w:val="0"/>
        </w:rPr>
        <w:t xml:space="preserve"> of </w:t>
      </w:r>
      <w:r>
        <w:rPr>
          <w:kern w:val="0"/>
        </w:rPr>
        <w:t>evidence) showed significant treatment effects (complete resolution at day 21; RR 0.43, 95% confidence interval (CI) 0.30 to 0.62). One study in the common cold demonstrated efficacy after 10 days, but not five days (very low quality</w:t>
      </w:r>
      <w:r w:rsidR="00427468">
        <w:rPr>
          <w:kern w:val="0"/>
        </w:rPr>
        <w:t xml:space="preserve"> of </w:t>
      </w:r>
      <w:r>
        <w:rPr>
          <w:kern w:val="0"/>
        </w:rPr>
        <w:t>evidence). We rated the study quality as moderate for all studies (unvalidated outcome assessment, minor attrition problems, investigator-initiated trials only). Based on the funnel plot there was suspicion</w:t>
      </w:r>
      <w:r w:rsidR="00427468">
        <w:rPr>
          <w:kern w:val="0"/>
        </w:rPr>
        <w:t xml:space="preserve"> of </w:t>
      </w:r>
      <w:r>
        <w:rPr>
          <w:kern w:val="0"/>
        </w:rPr>
        <w:t>publication bias</w:t>
      </w:r>
      <w:r w:rsidR="00A37C1D">
        <w:rPr>
          <w:kern w:val="0"/>
        </w:rPr>
        <w:t>. The</w:t>
      </w:r>
      <w:r>
        <w:rPr>
          <w:kern w:val="0"/>
        </w:rPr>
        <w:t>re were no valid data for the treatment</w:t>
      </w:r>
      <w:r w:rsidR="00427468">
        <w:rPr>
          <w:kern w:val="0"/>
        </w:rPr>
        <w:t xml:space="preserve"> of </w:t>
      </w:r>
      <w:r>
        <w:rPr>
          <w:kern w:val="0"/>
        </w:rPr>
        <w:t>other acute respiratory tract infections. Adverse events were more common with P. sidoides, but none were serious. Authors</w:t>
      </w:r>
      <w:r w:rsidR="0071223E">
        <w:rPr>
          <w:kern w:val="0"/>
        </w:rPr>
        <w:t>’</w:t>
      </w:r>
      <w:r>
        <w:rPr>
          <w:kern w:val="0"/>
        </w:rPr>
        <w:t xml:space="preserve"> conclusions P. sidoides may be effective in alleviating symptoms</w:t>
      </w:r>
      <w:r w:rsidR="00427468">
        <w:rPr>
          <w:kern w:val="0"/>
        </w:rPr>
        <w:t xml:space="preserve"> of </w:t>
      </w:r>
      <w:r>
        <w:rPr>
          <w:kern w:val="0"/>
        </w:rPr>
        <w:t>acute rhinosinusitis</w:t>
      </w:r>
      <w:r w:rsidR="005853A9">
        <w:rPr>
          <w:kern w:val="0"/>
        </w:rPr>
        <w:t xml:space="preserve"> and </w:t>
      </w:r>
      <w:r>
        <w:rPr>
          <w:kern w:val="0"/>
        </w:rPr>
        <w:t xml:space="preserve">the common cold in adults, but doubt exists. It may be effective in relieving symptoms in </w:t>
      </w:r>
      <w:r>
        <w:rPr>
          <w:kern w:val="0"/>
        </w:rPr>
        <w:lastRenderedPageBreak/>
        <w:t>acute bronchitis in adults</w:t>
      </w:r>
      <w:r w:rsidR="005853A9">
        <w:rPr>
          <w:kern w:val="0"/>
        </w:rPr>
        <w:t xml:space="preserve"> and </w:t>
      </w:r>
      <w:r>
        <w:rPr>
          <w:kern w:val="0"/>
        </w:rPr>
        <w:t>children,</w:t>
      </w:r>
      <w:r w:rsidR="005853A9">
        <w:rPr>
          <w:kern w:val="0"/>
        </w:rPr>
        <w:t xml:space="preserve"> and </w:t>
      </w:r>
      <w:r>
        <w:rPr>
          <w:kern w:val="0"/>
        </w:rPr>
        <w:t>sinusitis in adults</w:t>
      </w:r>
      <w:r w:rsidR="00A37C1D">
        <w:rPr>
          <w:kern w:val="0"/>
        </w:rPr>
        <w:t>. The</w:t>
      </w:r>
      <w:r>
        <w:rPr>
          <w:kern w:val="0"/>
        </w:rPr>
        <w:t xml:space="preserve"> overall quality</w:t>
      </w:r>
      <w:r w:rsidR="00427468">
        <w:rPr>
          <w:kern w:val="0"/>
        </w:rPr>
        <w:t xml:space="preserve"> of </w:t>
      </w:r>
      <w:r>
        <w:rPr>
          <w:kern w:val="0"/>
        </w:rPr>
        <w:t>the evidence was considered low for main outcomes in acute bronchitis in children</w:t>
      </w:r>
      <w:r w:rsidR="005853A9">
        <w:rPr>
          <w:kern w:val="0"/>
        </w:rPr>
        <w:t xml:space="preserve"> and </w:t>
      </w:r>
      <w:r>
        <w:rPr>
          <w:kern w:val="0"/>
        </w:rPr>
        <w:t>adults,</w:t>
      </w:r>
      <w:r w:rsidR="005853A9">
        <w:rPr>
          <w:kern w:val="0"/>
        </w:rPr>
        <w:t xml:space="preserve"> and </w:t>
      </w:r>
      <w:r>
        <w:rPr>
          <w:kern w:val="0"/>
        </w:rPr>
        <w:t>very low for acute sinusitis</w:t>
      </w:r>
      <w:r w:rsidR="005853A9">
        <w:rPr>
          <w:kern w:val="0"/>
        </w:rPr>
        <w:t xml:space="preserve"> and </w:t>
      </w:r>
      <w:r>
        <w:rPr>
          <w:kern w:val="0"/>
        </w:rPr>
        <w:t>the common cold. Reliable data on treatment for other ARIs were not identified.</w:t>
      </w:r>
    </w:p>
    <w:p w:rsidR="00D72764" w:rsidRDefault="00D72764" w:rsidP="00D72764">
      <w:pPr>
        <w:pStyle w:val="a3"/>
        <w:rPr>
          <w:kern w:val="0"/>
        </w:rPr>
      </w:pPr>
      <w:r>
        <w:rPr>
          <w:kern w:val="0"/>
        </w:rPr>
        <w:t xml:space="preserve">Keywords: Acute Bronchitis, Acute Disease, Acute Maxillary Sinusitis, Adult, Age, Analyses, Analysis, Assessment, At, Authors, Bias, Biosis, Bronchitis [Drug Therapy], Child, Children, Clinical Trials, Collection, Complete, Confidence, Controlled Clinical-Trial, Criteria, Data, Data Collection, Databases, Diagnosed Acute Rhinosinusitis, Disease, Double-Blind, Drug, Effectiveness, Effects, Efficacy, Embase, Eps 7630, Eu, Events, Evidence, Fixed Combination, Herbal Drug Preparation, Heterogeneity, Humans, Induced, Infections, Interval, Liquid, </w:t>
      </w:r>
      <w:r w:rsidR="00D5664A">
        <w:rPr>
          <w:kern w:val="0"/>
        </w:rPr>
        <w:t>MEDLINE</w:t>
      </w:r>
      <w:r>
        <w:rPr>
          <w:kern w:val="0"/>
        </w:rPr>
        <w:t xml:space="preserve">, Methods, Minor, Model, Outcome, Outcome Assessment, Outcomes, P, Papers, Patients, Pelargonium [Chemistry], Phytotherapy [Methods], Placebo, Placebo-Controlled Trial, Plant Extracts [Therapeutic Use], Preparation, Primary, Publication, Publication Bias, Publisher, Pubmed, Quality, Quality Of, Random Effects Model, Randomized, Randomized Controlled Trials, Randomized Controlled Trials As Topic, Randomized Controlled-Trial, Reference, Registries, Respiratory Tract Infections [Drug Therapy], Review, Risk, Safety, Science, Search, Springer, Symptoms, Tablets, Treatment, </w:t>
      </w:r>
      <w:r w:rsidR="00D5664A">
        <w:rPr>
          <w:kern w:val="0"/>
        </w:rPr>
        <w:t>Web</w:t>
      </w:r>
      <w:r w:rsidR="00427468">
        <w:rPr>
          <w:kern w:val="0"/>
        </w:rPr>
        <w:t xml:space="preserve"> of </w:t>
      </w:r>
      <w:r w:rsidR="00D5664A">
        <w:rPr>
          <w:kern w:val="0"/>
        </w:rPr>
        <w:t>Science</w:t>
      </w:r>
      <w:r>
        <w:rPr>
          <w:kern w:val="0"/>
        </w:rPr>
        <w:t>, Who</w:t>
      </w:r>
    </w:p>
    <w:p w:rsidR="00D72764" w:rsidRDefault="00D72764" w:rsidP="00D72764">
      <w:pPr>
        <w:pStyle w:val="a3"/>
        <w:rPr>
          <w:kern w:val="0"/>
        </w:rPr>
      </w:pPr>
      <w:r>
        <w:rPr>
          <w:kern w:val="0"/>
        </w:rPr>
        <w:t>? Bjornson, C., Russell, K., Vandermeer, B., Klassen, T.P.</w:t>
      </w:r>
      <w:r w:rsidR="005853A9">
        <w:rPr>
          <w:kern w:val="0"/>
        </w:rPr>
        <w:t xml:space="preserve"> and </w:t>
      </w:r>
      <w:r>
        <w:rPr>
          <w:kern w:val="0"/>
        </w:rPr>
        <w:t xml:space="preserve">Johnson, D.W. (2013), Nebulized epinephrine for croup in children.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CD006619</w:t>
      </w:r>
      <w:r>
        <w:rPr>
          <w:kern w:val="0"/>
        </w:rPr>
        <w:t>.</w:t>
      </w:r>
    </w:p>
    <w:p w:rsidR="00D72764" w:rsidRDefault="00D72764" w:rsidP="00D72764">
      <w:pPr>
        <w:pStyle w:val="a3"/>
        <w:rPr>
          <w:kern w:val="2"/>
        </w:rPr>
      </w:pPr>
      <w:r>
        <w:t xml:space="preserve">Full Text: 2013\Coc Dat Sys Rev2013, </w:t>
      </w:r>
      <w:r w:rsidRPr="00520A78">
        <w:rPr>
          <w:kern w:val="0"/>
        </w:rPr>
        <w:t>CD006619</w:t>
      </w:r>
      <w:r>
        <w:t>.pdf</w:t>
      </w:r>
    </w:p>
    <w:p w:rsidR="00D72764" w:rsidRDefault="00D72764" w:rsidP="00D72764">
      <w:pPr>
        <w:pStyle w:val="a3"/>
        <w:rPr>
          <w:kern w:val="0"/>
        </w:rPr>
      </w:pPr>
      <w:r>
        <w:rPr>
          <w:kern w:val="0"/>
        </w:rPr>
        <w:t>Abstract: Background Croup is a common childhood illness characterized by barky cough, stridor, hoarseness</w:t>
      </w:r>
      <w:r w:rsidR="005853A9">
        <w:rPr>
          <w:kern w:val="0"/>
        </w:rPr>
        <w:t xml:space="preserve"> and </w:t>
      </w:r>
      <w:r>
        <w:rPr>
          <w:kern w:val="0"/>
        </w:rPr>
        <w:t>respiratory distress. Children with severe croup are at risk for intubation. Nebulized epinephrine may prevent intubation. Objectives To assess the efficacy (measured by croup scores, rate</w:t>
      </w:r>
      <w:r w:rsidR="00427468">
        <w:rPr>
          <w:kern w:val="0"/>
        </w:rPr>
        <w:t xml:space="preserve"> of </w:t>
      </w:r>
      <w:r>
        <w:rPr>
          <w:kern w:val="0"/>
        </w:rPr>
        <w:t>intubation</w:t>
      </w:r>
      <w:r w:rsidR="005853A9">
        <w:rPr>
          <w:kern w:val="0"/>
        </w:rPr>
        <w:t xml:space="preserve"> and </w:t>
      </w:r>
      <w:r>
        <w:rPr>
          <w:kern w:val="0"/>
        </w:rPr>
        <w:t>health care utilization such as rate</w:t>
      </w:r>
      <w:r w:rsidR="00427468">
        <w:rPr>
          <w:kern w:val="0"/>
        </w:rPr>
        <w:t xml:space="preserve"> of </w:t>
      </w:r>
      <w:r>
        <w:rPr>
          <w:kern w:val="0"/>
        </w:rPr>
        <w:t>hospitalization)</w:t>
      </w:r>
      <w:r w:rsidR="005853A9">
        <w:rPr>
          <w:kern w:val="0"/>
        </w:rPr>
        <w:t xml:space="preserve"> and </w:t>
      </w:r>
      <w:r>
        <w:rPr>
          <w:kern w:val="0"/>
        </w:rPr>
        <w:t>safety (frequency</w:t>
      </w:r>
      <w:r w:rsidR="005853A9">
        <w:rPr>
          <w:kern w:val="0"/>
        </w:rPr>
        <w:t xml:space="preserve"> and </w:t>
      </w:r>
      <w:r>
        <w:rPr>
          <w:kern w:val="0"/>
        </w:rPr>
        <w:t>severity</w:t>
      </w:r>
      <w:r w:rsidR="00427468">
        <w:rPr>
          <w:kern w:val="0"/>
        </w:rPr>
        <w:t xml:space="preserve"> of </w:t>
      </w:r>
      <w:r>
        <w:rPr>
          <w:kern w:val="0"/>
        </w:rPr>
        <w:t>side effects)</w:t>
      </w:r>
      <w:r w:rsidR="00427468">
        <w:rPr>
          <w:kern w:val="0"/>
        </w:rPr>
        <w:t xml:space="preserve"> of </w:t>
      </w:r>
      <w:r>
        <w:rPr>
          <w:kern w:val="0"/>
        </w:rPr>
        <w:t xml:space="preserve">nebulized epinephrine versus placebo in children with croup, evaluated in an emergency department (ED) or hospital setting. Search methods We searched CENTRAL 2013, Issue 6, </w:t>
      </w:r>
      <w:r w:rsidR="00D5664A">
        <w:rPr>
          <w:kern w:val="0"/>
        </w:rPr>
        <w:t>MEDLINE</w:t>
      </w:r>
      <w:r>
        <w:rPr>
          <w:kern w:val="0"/>
        </w:rPr>
        <w:t xml:space="preserve"> (1966 to June week 3, 2013), EMBASE (1980 to July 2013), </w:t>
      </w:r>
      <w:r w:rsidR="00D5664A">
        <w:rPr>
          <w:kern w:val="0"/>
        </w:rPr>
        <w:t>Web</w:t>
      </w:r>
      <w:r w:rsidR="00427468">
        <w:rPr>
          <w:kern w:val="0"/>
        </w:rPr>
        <w:t xml:space="preserve"> of </w:t>
      </w:r>
      <w:r w:rsidR="00D5664A">
        <w:rPr>
          <w:kern w:val="0"/>
        </w:rPr>
        <w:t>Science</w:t>
      </w:r>
      <w:r>
        <w:rPr>
          <w:kern w:val="0"/>
        </w:rPr>
        <w:t xml:space="preserve"> (1974 to July 2013), CINAHL (1982 to July 2013)</w:t>
      </w:r>
      <w:r w:rsidR="005853A9">
        <w:rPr>
          <w:kern w:val="0"/>
        </w:rPr>
        <w:t xml:space="preserve"> and </w:t>
      </w:r>
      <w:r>
        <w:rPr>
          <w:kern w:val="0"/>
        </w:rPr>
        <w:t>Scopus (1996 to July 2013). Selection criteria Randomized controlled trials (RCTs) or quasi-RCTs</w:t>
      </w:r>
      <w:r w:rsidR="00427468">
        <w:rPr>
          <w:kern w:val="0"/>
        </w:rPr>
        <w:t xml:space="preserve"> of </w:t>
      </w:r>
      <w:r>
        <w:rPr>
          <w:kern w:val="0"/>
        </w:rPr>
        <w:t>children with croup evaluated in an ED or admitted to hospital. Comparisons were: nebulized epinephrine versus placebo, racemic nebulized epinephrine versus L-epinephrine (an isomer)</w:t>
      </w:r>
      <w:r w:rsidR="005853A9">
        <w:rPr>
          <w:kern w:val="0"/>
        </w:rPr>
        <w:t xml:space="preserve"> and </w:t>
      </w:r>
      <w:r>
        <w:rPr>
          <w:kern w:val="0"/>
        </w:rPr>
        <w:t>nebulized epinephrine delivered by intermittent positive pressure breathing (IPPB) versus nebulized epinephrine without IPPB. Primary outcome was change in croup score post-treatment. Secondary outcomes were rate</w:t>
      </w:r>
      <w:r w:rsidR="005853A9">
        <w:rPr>
          <w:kern w:val="0"/>
        </w:rPr>
        <w:t xml:space="preserve"> and </w:t>
      </w:r>
      <w:r>
        <w:rPr>
          <w:kern w:val="0"/>
        </w:rPr>
        <w:t>duration</w:t>
      </w:r>
      <w:r w:rsidR="00427468">
        <w:rPr>
          <w:kern w:val="0"/>
        </w:rPr>
        <w:t xml:space="preserve"> of </w:t>
      </w:r>
      <w:r>
        <w:rPr>
          <w:kern w:val="0"/>
        </w:rPr>
        <w:t>intubation</w:t>
      </w:r>
      <w:r w:rsidR="005853A9">
        <w:rPr>
          <w:kern w:val="0"/>
        </w:rPr>
        <w:t xml:space="preserve"> and </w:t>
      </w:r>
      <w:r>
        <w:rPr>
          <w:kern w:val="0"/>
        </w:rPr>
        <w:lastRenderedPageBreak/>
        <w:t>hospitalization, croup return visit, parental anxiety</w:t>
      </w:r>
      <w:r w:rsidR="005853A9">
        <w:rPr>
          <w:kern w:val="0"/>
        </w:rPr>
        <w:t xml:space="preserve"> and </w:t>
      </w:r>
      <w:r>
        <w:rPr>
          <w:kern w:val="0"/>
        </w:rPr>
        <w:t>side effects. Data collection</w:t>
      </w:r>
      <w:r w:rsidR="005853A9">
        <w:rPr>
          <w:kern w:val="0"/>
        </w:rPr>
        <w:t xml:space="preserve"> and </w:t>
      </w:r>
      <w:r>
        <w:rPr>
          <w:kern w:val="0"/>
        </w:rPr>
        <w:t>analysis Two authors independently identified potentially relevant studies by title</w:t>
      </w:r>
      <w:r w:rsidR="005853A9">
        <w:rPr>
          <w:kern w:val="0"/>
        </w:rPr>
        <w:t xml:space="preserve"> and </w:t>
      </w:r>
      <w:r>
        <w:rPr>
          <w:kern w:val="0"/>
        </w:rPr>
        <w:t>abstract (when available)</w:t>
      </w:r>
      <w:r w:rsidR="005853A9">
        <w:rPr>
          <w:kern w:val="0"/>
        </w:rPr>
        <w:t xml:space="preserve"> and </w:t>
      </w:r>
      <w:r>
        <w:rPr>
          <w:kern w:val="0"/>
        </w:rPr>
        <w:t>examined relevant studies using a priori inclusion criteria, followed by methodological quality assessment. One author extracted data while the second checked accuracy. We use the standard methodological procedures expected by the Cochrane Collaboration. Main results Eight studies (225 participants) were included. In general, children included in the studies were young (average age less than two years in the majority</w:t>
      </w:r>
      <w:r w:rsidR="00427468">
        <w:rPr>
          <w:kern w:val="0"/>
        </w:rPr>
        <w:t xml:space="preserve"> of </w:t>
      </w:r>
      <w:r>
        <w:rPr>
          <w:kern w:val="0"/>
        </w:rPr>
        <w:t>included studies). Severity</w:t>
      </w:r>
      <w:r w:rsidR="00427468">
        <w:rPr>
          <w:kern w:val="0"/>
        </w:rPr>
        <w:t xml:space="preserve"> of </w:t>
      </w:r>
      <w:r>
        <w:rPr>
          <w:kern w:val="0"/>
        </w:rPr>
        <w:t>croup was described as moderate to severe in all included studies. Six studies took place in the inpatient setting, one in the ED</w:t>
      </w:r>
      <w:r w:rsidR="005853A9">
        <w:rPr>
          <w:kern w:val="0"/>
        </w:rPr>
        <w:t xml:space="preserve"> and </w:t>
      </w:r>
      <w:r>
        <w:rPr>
          <w:kern w:val="0"/>
        </w:rPr>
        <w:t>one setting was not specified. Six</w:t>
      </w:r>
      <w:r w:rsidR="00427468">
        <w:rPr>
          <w:kern w:val="0"/>
        </w:rPr>
        <w:t xml:space="preserve"> of </w:t>
      </w:r>
      <w:r>
        <w:rPr>
          <w:kern w:val="0"/>
        </w:rPr>
        <w:t>the eight studies were deemed to have a low risk</w:t>
      </w:r>
      <w:r w:rsidR="00427468">
        <w:rPr>
          <w:kern w:val="0"/>
        </w:rPr>
        <w:t xml:space="preserve"> of </w:t>
      </w:r>
      <w:r>
        <w:rPr>
          <w:kern w:val="0"/>
        </w:rPr>
        <w:t>bias</w:t>
      </w:r>
      <w:r w:rsidR="005853A9">
        <w:rPr>
          <w:kern w:val="0"/>
        </w:rPr>
        <w:t xml:space="preserve"> and </w:t>
      </w:r>
      <w:r>
        <w:rPr>
          <w:kern w:val="0"/>
        </w:rPr>
        <w:t>the risk</w:t>
      </w:r>
      <w:r w:rsidR="00427468">
        <w:rPr>
          <w:kern w:val="0"/>
        </w:rPr>
        <w:t xml:space="preserve"> of </w:t>
      </w:r>
      <w:r>
        <w:rPr>
          <w:kern w:val="0"/>
        </w:rPr>
        <w:t>bias was unclear in the remaining two studies. Nebulized epinephrine was associated with croup score improvement 30 minutes post-treatment (three RCTs, standardized mean difference (SMD) -0.94; 95% confidence interval (CI) -1.37 to -0.51; I-2 statistic = 0%). This effect was not significant two</w:t>
      </w:r>
      <w:r w:rsidR="005853A9">
        <w:rPr>
          <w:kern w:val="0"/>
        </w:rPr>
        <w:t xml:space="preserve"> and </w:t>
      </w:r>
      <w:r>
        <w:rPr>
          <w:kern w:val="0"/>
        </w:rPr>
        <w:t>six hours post-treatment. Nebulized epinephrine was associated with significantly shorter hospital stay than placebo (one RCT, MD - 32.0 hours; 95% CI -59.1 to -4.9). Comparing racemic</w:t>
      </w:r>
      <w:r w:rsidR="005853A9">
        <w:rPr>
          <w:kern w:val="0"/>
        </w:rPr>
        <w:t xml:space="preserve"> and </w:t>
      </w:r>
      <w:r>
        <w:rPr>
          <w:kern w:val="0"/>
        </w:rPr>
        <w:t>L-epinephrine, no difference in croup score was found after 30 minutes (SMD 0.33; 95% CI -0.42 to 1.08). After two hours, L-epinephrine showed significant reduction compared with racemic epinephrine (one RCT, SMD 0.87; 95% CI 0.09 to 1.65)</w:t>
      </w:r>
      <w:r w:rsidR="00A37C1D">
        <w:rPr>
          <w:kern w:val="0"/>
        </w:rPr>
        <w:t>. The</w:t>
      </w:r>
      <w:r>
        <w:rPr>
          <w:kern w:val="0"/>
        </w:rPr>
        <w:t>re was no significant difference in croup score between administration</w:t>
      </w:r>
      <w:r w:rsidR="00427468">
        <w:rPr>
          <w:kern w:val="0"/>
        </w:rPr>
        <w:t xml:space="preserve"> of </w:t>
      </w:r>
      <w:r>
        <w:rPr>
          <w:kern w:val="0"/>
        </w:rPr>
        <w:t>nebulized epinephrine via IPPB versus nebulization alone at 30 minutes (one RCT, SMD -0.14; 95% CI -1.24 to 0.95) or two hours (SMD - 0.72; 95% CI -1.86 to 0.42). None</w:t>
      </w:r>
      <w:r w:rsidR="00427468">
        <w:rPr>
          <w:kern w:val="0"/>
        </w:rPr>
        <w:t xml:space="preserve"> of </w:t>
      </w:r>
      <w:r>
        <w:rPr>
          <w:kern w:val="0"/>
        </w:rPr>
        <w:t>the studies sought or reported data on adverse effects. Authors</w:t>
      </w:r>
      <w:r w:rsidR="0071223E">
        <w:rPr>
          <w:kern w:val="0"/>
        </w:rPr>
        <w:t>’</w:t>
      </w:r>
      <w:r>
        <w:rPr>
          <w:kern w:val="0"/>
        </w:rPr>
        <w:t xml:space="preserve"> conclusions Nebulized epinephrine is associated with clinically</w:t>
      </w:r>
      <w:r w:rsidR="005853A9">
        <w:rPr>
          <w:kern w:val="0"/>
        </w:rPr>
        <w:t xml:space="preserve"> and </w:t>
      </w:r>
      <w:r>
        <w:rPr>
          <w:kern w:val="0"/>
        </w:rPr>
        <w:t>statistically significant transient reduction</w:t>
      </w:r>
      <w:r w:rsidR="00427468">
        <w:rPr>
          <w:kern w:val="0"/>
        </w:rPr>
        <w:t xml:space="preserve"> of </w:t>
      </w:r>
      <w:r>
        <w:rPr>
          <w:kern w:val="0"/>
        </w:rPr>
        <w:t>symptoms</w:t>
      </w:r>
      <w:r w:rsidR="00427468">
        <w:rPr>
          <w:kern w:val="0"/>
        </w:rPr>
        <w:t xml:space="preserve"> of </w:t>
      </w:r>
      <w:r>
        <w:rPr>
          <w:kern w:val="0"/>
        </w:rPr>
        <w:t>croup 30 minutes post-treatment. Evidence does not favor racemic epinephrine or L-epinephrine, or IPPB over simple nebulization</w:t>
      </w:r>
      <w:r w:rsidR="00A37C1D">
        <w:rPr>
          <w:kern w:val="0"/>
        </w:rPr>
        <w:t>. The</w:t>
      </w:r>
      <w:r>
        <w:rPr>
          <w:kern w:val="0"/>
        </w:rPr>
        <w:t xml:space="preserve"> authors note that data</w:t>
      </w:r>
      <w:r w:rsidR="005853A9">
        <w:rPr>
          <w:kern w:val="0"/>
        </w:rPr>
        <w:t xml:space="preserve"> and </w:t>
      </w:r>
      <w:r>
        <w:rPr>
          <w:kern w:val="0"/>
        </w:rPr>
        <w:t>analyses were limited by the small number</w:t>
      </w:r>
      <w:r w:rsidR="00427468">
        <w:rPr>
          <w:kern w:val="0"/>
        </w:rPr>
        <w:t xml:space="preserve"> of </w:t>
      </w:r>
      <w:r>
        <w:rPr>
          <w:kern w:val="0"/>
        </w:rPr>
        <w:t>relevant studies</w:t>
      </w:r>
      <w:r w:rsidR="005853A9">
        <w:rPr>
          <w:kern w:val="0"/>
        </w:rPr>
        <w:t xml:space="preserve"> and </w:t>
      </w:r>
      <w:r>
        <w:rPr>
          <w:kern w:val="0"/>
        </w:rPr>
        <w:t>total number</w:t>
      </w:r>
      <w:r w:rsidR="00427468">
        <w:rPr>
          <w:kern w:val="0"/>
        </w:rPr>
        <w:t xml:space="preserve"> of </w:t>
      </w:r>
      <w:r>
        <w:rPr>
          <w:kern w:val="0"/>
        </w:rPr>
        <w:t>participants</w:t>
      </w:r>
      <w:r w:rsidR="005853A9">
        <w:rPr>
          <w:kern w:val="0"/>
        </w:rPr>
        <w:t xml:space="preserve"> and </w:t>
      </w:r>
      <w:r>
        <w:rPr>
          <w:kern w:val="0"/>
        </w:rPr>
        <w:t>thus most outcomes contained data from very few or even single studies.</w:t>
      </w:r>
    </w:p>
    <w:p w:rsidR="00D72764" w:rsidRDefault="00D72764" w:rsidP="00D72764">
      <w:pPr>
        <w:pStyle w:val="a3"/>
        <w:rPr>
          <w:kern w:val="0"/>
        </w:rPr>
      </w:pPr>
      <w:r>
        <w:rPr>
          <w:kern w:val="0"/>
        </w:rPr>
        <w:t xml:space="preserve">Keywords: Accuracy, Acute Laryngitis, Administration, Adrenergic Alpha-Agonists [Therapeutic Use], Adrenergic Beta-Agonists [Therapeutic Use], Adverse Effects, Age, Analyses, Analysis, Anxiety, Assessment, Authors, Bias, Care, Child, Childhood, Children, Cochrane Collaboration, Collaboration, Collection, Confidence, Cough, Criteria, Croup [Drug Therapy], Data, Data Collection, Distress, Double-Blind, Duration, Effects, Efficacy, Embase, Emergency, Emergency Department, Epinephrine, Epinephrine [Administration &amp; Dosage], Evidence, General, Health, Health Care, Hospital, Hospital Stay, Hospitalization, Humans, Improvement, Infectious Croup, Interval, Low Risk, </w:t>
      </w:r>
      <w:r w:rsidR="00D5664A">
        <w:rPr>
          <w:kern w:val="0"/>
        </w:rPr>
        <w:t>MEDLINE</w:t>
      </w:r>
      <w:r>
        <w:rPr>
          <w:kern w:val="0"/>
        </w:rPr>
        <w:t xml:space="preserve">, Methods, </w:t>
      </w:r>
      <w:r>
        <w:rPr>
          <w:kern w:val="0"/>
        </w:rPr>
        <w:lastRenderedPageBreak/>
        <w:t>Moderately Severe Croup, Nebulizers</w:t>
      </w:r>
      <w:r w:rsidR="005853A9">
        <w:rPr>
          <w:kern w:val="0"/>
        </w:rPr>
        <w:t xml:space="preserve"> and </w:t>
      </w:r>
      <w:r>
        <w:rPr>
          <w:kern w:val="0"/>
        </w:rPr>
        <w:t xml:space="preserve">Vaporizers, Oral Dexamethasone, Outcome, Outcomes, Placebo, Placebo-Controlled Trial, Pressure, Prevent, Procedures, Quality, Racemic Epinephrine, Randomized Controlled Trials, Randomized Controlled Trials As Topic, Randomized Controlled-Trial, Rct, Reduction, Risk, Safety, Science, Scopus, Search, Side Effects, Small, Standard, Steroid Treatment, Symptoms, Transient, Utilization, Viral Croup, </w:t>
      </w:r>
      <w:r w:rsidR="00D5664A">
        <w:rPr>
          <w:kern w:val="0"/>
        </w:rPr>
        <w:t>Web</w:t>
      </w:r>
      <w:r w:rsidR="00427468">
        <w:rPr>
          <w:kern w:val="0"/>
        </w:rPr>
        <w:t xml:space="preserve"> of </w:t>
      </w:r>
      <w:r w:rsidR="00D5664A">
        <w:rPr>
          <w:kern w:val="0"/>
        </w:rPr>
        <w:t>Science</w:t>
      </w:r>
    </w:p>
    <w:p w:rsidR="00D72764" w:rsidRDefault="00D72764" w:rsidP="00D72764">
      <w:pPr>
        <w:pStyle w:val="a3"/>
        <w:rPr>
          <w:kern w:val="0"/>
        </w:rPr>
      </w:pPr>
      <w:r>
        <w:rPr>
          <w:kern w:val="0"/>
        </w:rPr>
        <w:t>? Riaz, Y., de Silva, S.R.</w:t>
      </w:r>
      <w:r w:rsidR="005853A9">
        <w:rPr>
          <w:kern w:val="0"/>
        </w:rPr>
        <w:t xml:space="preserve"> and </w:t>
      </w:r>
      <w:r>
        <w:rPr>
          <w:kern w:val="0"/>
        </w:rPr>
        <w:t xml:space="preserve">Evans, J.R. (2013), Manual small incision cataract surgery (MSICS) with posterior chamber intraocular lens versus phacoemulsification with posterior chamber intraocular lens for age-related cataract.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CD008813</w:t>
      </w:r>
      <w:r>
        <w:rPr>
          <w:kern w:val="0"/>
        </w:rPr>
        <w:t>.</w:t>
      </w:r>
    </w:p>
    <w:p w:rsidR="00D72764" w:rsidRDefault="00D72764" w:rsidP="00D72764">
      <w:pPr>
        <w:pStyle w:val="a3"/>
        <w:rPr>
          <w:kern w:val="2"/>
        </w:rPr>
      </w:pPr>
      <w:r>
        <w:t xml:space="preserve">Full Text: 2013\Coc Dat Sys Rev2013, </w:t>
      </w:r>
      <w:r w:rsidRPr="00520A78">
        <w:rPr>
          <w:kern w:val="0"/>
        </w:rPr>
        <w:t>CD008813</w:t>
      </w:r>
      <w:r>
        <w:t>.pdf</w:t>
      </w:r>
    </w:p>
    <w:p w:rsidR="00D72764" w:rsidRDefault="00D72764" w:rsidP="00D72764">
      <w:pPr>
        <w:pStyle w:val="a3"/>
        <w:rPr>
          <w:kern w:val="0"/>
        </w:rPr>
      </w:pPr>
      <w:r>
        <w:rPr>
          <w:kern w:val="0"/>
        </w:rPr>
        <w:t>Abstract: Background Age-related cataract is a major cause</w:t>
      </w:r>
      <w:r w:rsidR="00427468">
        <w:rPr>
          <w:kern w:val="0"/>
        </w:rPr>
        <w:t xml:space="preserve"> of </w:t>
      </w:r>
      <w:r>
        <w:rPr>
          <w:kern w:val="0"/>
        </w:rPr>
        <w:t>blindness</w:t>
      </w:r>
      <w:r w:rsidR="005853A9">
        <w:rPr>
          <w:kern w:val="0"/>
        </w:rPr>
        <w:t xml:space="preserve"> and </w:t>
      </w:r>
      <w:r>
        <w:rPr>
          <w:kern w:val="0"/>
        </w:rPr>
        <w:t>visual morbidity worldwide. It is therefore important to establish the optimal technique</w:t>
      </w:r>
      <w:r w:rsidR="00427468">
        <w:rPr>
          <w:kern w:val="0"/>
        </w:rPr>
        <w:t xml:space="preserve"> of </w:t>
      </w:r>
      <w:r>
        <w:rPr>
          <w:kern w:val="0"/>
        </w:rPr>
        <w:t>lens removal in cataract surgery. Objectives To compare manual small incision cataract surgery (MSICS)</w:t>
      </w:r>
      <w:r w:rsidR="005853A9">
        <w:rPr>
          <w:kern w:val="0"/>
        </w:rPr>
        <w:t xml:space="preserve"> and </w:t>
      </w:r>
      <w:r>
        <w:rPr>
          <w:kern w:val="0"/>
        </w:rPr>
        <w:t>phacoemulsification techniques. Search methods We searched CENTRAL (which contains the Cochrane Eyes</w:t>
      </w:r>
      <w:r w:rsidR="005853A9">
        <w:rPr>
          <w:kern w:val="0"/>
        </w:rPr>
        <w:t xml:space="preserve"> and </w:t>
      </w:r>
      <w:r>
        <w:rPr>
          <w:kern w:val="0"/>
        </w:rPr>
        <w:t xml:space="preserve">Vision Group Trials Register) (The Cochrane Library 2013, Issue 6),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w:t>
      </w:r>
      <w:r w:rsidR="00D5664A">
        <w:rPr>
          <w:kern w:val="0"/>
        </w:rPr>
        <w:t>MEDLINE</w:t>
      </w:r>
      <w:r>
        <w:rPr>
          <w:kern w:val="0"/>
        </w:rPr>
        <w:t xml:space="preserve"> Daily, Ovid OLD</w:t>
      </w:r>
      <w:r w:rsidR="00D5664A">
        <w:rPr>
          <w:kern w:val="0"/>
        </w:rPr>
        <w:t>MEDLINE</w:t>
      </w:r>
      <w:r>
        <w:rPr>
          <w:kern w:val="0"/>
        </w:rPr>
        <w:t xml:space="preserve"> (January 1946 to July 2013), EMBASE (January 1980 to July 2013), Latin American</w:t>
      </w:r>
      <w:r w:rsidR="005853A9">
        <w:rPr>
          <w:kern w:val="0"/>
        </w:rPr>
        <w:t xml:space="preserve"> and </w:t>
      </w:r>
      <w:r>
        <w:rPr>
          <w:kern w:val="0"/>
        </w:rPr>
        <w:t xml:space="preserve">Caribbean Literature on Health Sciences (LILACS) (January 1982 to July 2013), </w:t>
      </w:r>
      <w:r w:rsidR="00D5664A">
        <w:rPr>
          <w:kern w:val="0"/>
        </w:rPr>
        <w:t>Web</w:t>
      </w:r>
      <w:r w:rsidR="00427468">
        <w:rPr>
          <w:kern w:val="0"/>
        </w:rPr>
        <w:t xml:space="preserve"> of </w:t>
      </w:r>
      <w:r w:rsidR="00D5664A">
        <w:rPr>
          <w:kern w:val="0"/>
        </w:rPr>
        <w:t>Science</w:t>
      </w:r>
      <w:r>
        <w:rPr>
          <w:kern w:val="0"/>
        </w:rPr>
        <w:t xml:space="preserve"> Conference Proceedings Citation Index - Science (CPCI-S) (January 1970 to July 2013), the metaRegister</w:t>
      </w:r>
      <w:r w:rsidR="00427468">
        <w:rPr>
          <w:kern w:val="0"/>
        </w:rPr>
        <w:t xml:space="preserve"> of </w:t>
      </w:r>
      <w:r>
        <w:rPr>
          <w:kern w:val="0"/>
        </w:rPr>
        <w:t>Controlled Trials (mRCT) (www.controlled-trials.com), ClinicalTrials.gov (www.clinicaltrials.gov)</w:t>
      </w:r>
      <w:r w:rsidR="005853A9">
        <w:rPr>
          <w:kern w:val="0"/>
        </w:rPr>
        <w:t xml:space="preserve"> and </w:t>
      </w:r>
      <w:r>
        <w:rPr>
          <w:kern w:val="0"/>
        </w:rPr>
        <w:t>the WHO International Clinical Trials Registry Platform (ICTRP) (www.who.int/ictrp/search/en). We did not use any date or language restrictions in the electronic searches for trials. We last searched the electronic databases on 23 July 2013. Selection criteria We included randomised controlled trials (RCTs) for age-related cataract that compared MSICS</w:t>
      </w:r>
      <w:r w:rsidR="005853A9">
        <w:rPr>
          <w:kern w:val="0"/>
        </w:rPr>
        <w:t xml:space="preserve"> and </w:t>
      </w:r>
      <w:r>
        <w:rPr>
          <w:kern w:val="0"/>
        </w:rPr>
        <w:t>phacoemulsification. Data collection</w:t>
      </w:r>
      <w:r w:rsidR="005853A9">
        <w:rPr>
          <w:kern w:val="0"/>
        </w:rPr>
        <w:t xml:space="preserve"> and </w:t>
      </w:r>
      <w:r>
        <w:rPr>
          <w:kern w:val="0"/>
        </w:rPr>
        <w:t xml:space="preserve">analysis Two authors independently assessed all studies. We defined two primary outcomes: </w:t>
      </w:r>
      <w:r w:rsidR="0071223E">
        <w:rPr>
          <w:kern w:val="0"/>
        </w:rPr>
        <w:t>‘</w:t>
      </w:r>
      <w:r>
        <w:rPr>
          <w:kern w:val="0"/>
        </w:rPr>
        <w:t>good functional vision</w:t>
      </w:r>
      <w:r w:rsidR="0071223E">
        <w:rPr>
          <w:kern w:val="0"/>
        </w:rPr>
        <w:t>’</w:t>
      </w:r>
      <w:r>
        <w:rPr>
          <w:kern w:val="0"/>
        </w:rPr>
        <w:t xml:space="preserve"> (presenting visual acuity</w:t>
      </w:r>
      <w:r w:rsidR="00427468">
        <w:rPr>
          <w:kern w:val="0"/>
        </w:rPr>
        <w:t xml:space="preserve"> of </w:t>
      </w:r>
      <w:r>
        <w:rPr>
          <w:kern w:val="0"/>
        </w:rPr>
        <w:t>6/12 or better)</w:t>
      </w:r>
      <w:r w:rsidR="005853A9">
        <w:rPr>
          <w:kern w:val="0"/>
        </w:rPr>
        <w:t xml:space="preserve"> and </w:t>
      </w:r>
      <w:r w:rsidR="0071223E">
        <w:rPr>
          <w:kern w:val="0"/>
        </w:rPr>
        <w:t>‘</w:t>
      </w:r>
      <w:r>
        <w:rPr>
          <w:kern w:val="0"/>
        </w:rPr>
        <w:t>poor visual outcome</w:t>
      </w:r>
      <w:r w:rsidR="0071223E">
        <w:rPr>
          <w:kern w:val="0"/>
        </w:rPr>
        <w:t>’</w:t>
      </w:r>
      <w:r>
        <w:rPr>
          <w:kern w:val="0"/>
        </w:rPr>
        <w:t xml:space="preserve"> (best corrected visual acuity</w:t>
      </w:r>
      <w:r w:rsidR="00427468">
        <w:rPr>
          <w:kern w:val="0"/>
        </w:rPr>
        <w:t xml:space="preserve"> of </w:t>
      </w:r>
      <w:r>
        <w:rPr>
          <w:kern w:val="0"/>
        </w:rPr>
        <w:t>less than 6/60). We collected data on these outcomes at three</w:t>
      </w:r>
      <w:r w:rsidR="005853A9">
        <w:rPr>
          <w:kern w:val="0"/>
        </w:rPr>
        <w:t xml:space="preserve"> and </w:t>
      </w:r>
      <w:r>
        <w:rPr>
          <w:kern w:val="0"/>
        </w:rPr>
        <w:t>12 months after surgery. Complications such as posterior capsule rupture rates</w:t>
      </w:r>
      <w:r w:rsidR="005853A9">
        <w:rPr>
          <w:kern w:val="0"/>
        </w:rPr>
        <w:t xml:space="preserve"> and </w:t>
      </w:r>
      <w:r>
        <w:rPr>
          <w:kern w:val="0"/>
        </w:rPr>
        <w:t>other intra-and postoperative complications were also assessed. In addition, we examined cost effectiveness</w:t>
      </w:r>
      <w:r w:rsidR="00427468">
        <w:rPr>
          <w:kern w:val="0"/>
        </w:rPr>
        <w:t xml:space="preserve"> of </w:t>
      </w:r>
      <w:r>
        <w:rPr>
          <w:kern w:val="0"/>
        </w:rPr>
        <w:t>the two techniques. Where appropriate, we pooled data using a random-effects model. Main results We included eight trials in this review with a total</w:t>
      </w:r>
      <w:r w:rsidR="00427468">
        <w:rPr>
          <w:kern w:val="0"/>
        </w:rPr>
        <w:t xml:space="preserve"> of </w:t>
      </w:r>
      <w:r>
        <w:rPr>
          <w:kern w:val="0"/>
        </w:rPr>
        <w:t>1708 participants. Trials were conducted in India, Nepal</w:t>
      </w:r>
      <w:r w:rsidR="005853A9">
        <w:rPr>
          <w:kern w:val="0"/>
        </w:rPr>
        <w:t xml:space="preserve"> and </w:t>
      </w:r>
      <w:r>
        <w:rPr>
          <w:kern w:val="0"/>
        </w:rPr>
        <w:t>South Africa. Followup ranged from one day to six months, but most trials reported at six to eight weeks after surgery. Overall the trials were judged to be at risk</w:t>
      </w:r>
      <w:r w:rsidR="00427468">
        <w:rPr>
          <w:kern w:val="0"/>
        </w:rPr>
        <w:t xml:space="preserve"> of </w:t>
      </w:r>
      <w:r>
        <w:rPr>
          <w:kern w:val="0"/>
        </w:rPr>
        <w:t>bias due to unclear reporting</w:t>
      </w:r>
      <w:r w:rsidR="00427468">
        <w:rPr>
          <w:kern w:val="0"/>
        </w:rPr>
        <w:t xml:space="preserve"> of </w:t>
      </w:r>
      <w:r>
        <w:rPr>
          <w:kern w:val="0"/>
        </w:rPr>
        <w:t>masking</w:t>
      </w:r>
      <w:r w:rsidR="005853A9">
        <w:rPr>
          <w:kern w:val="0"/>
        </w:rPr>
        <w:t xml:space="preserve"> and </w:t>
      </w:r>
      <w:r>
        <w:rPr>
          <w:kern w:val="0"/>
        </w:rPr>
        <w:lastRenderedPageBreak/>
        <w:t>follow-up. No studies reported presenting visual acuity so data were collected on both best-corrected (BCVA)</w:t>
      </w:r>
      <w:r w:rsidR="005853A9">
        <w:rPr>
          <w:kern w:val="0"/>
        </w:rPr>
        <w:t xml:space="preserve"> and </w:t>
      </w:r>
      <w:r>
        <w:rPr>
          <w:kern w:val="0"/>
        </w:rPr>
        <w:t>uncorrected (UCVA) visual acuity. Most studies reported visual acuity</w:t>
      </w:r>
      <w:r w:rsidR="00427468">
        <w:rPr>
          <w:kern w:val="0"/>
        </w:rPr>
        <w:t xml:space="preserve"> of </w:t>
      </w:r>
      <w:r>
        <w:rPr>
          <w:kern w:val="0"/>
        </w:rPr>
        <w:t>6/18 or better (rather than 6/12 or better) so this was used as an indicator</w:t>
      </w:r>
      <w:r w:rsidR="00427468">
        <w:rPr>
          <w:kern w:val="0"/>
        </w:rPr>
        <w:t xml:space="preserve"> of </w:t>
      </w:r>
      <w:r>
        <w:rPr>
          <w:kern w:val="0"/>
        </w:rPr>
        <w:t>good functional vision. Seven studies (1223 participants) reported BCVA</w:t>
      </w:r>
      <w:r w:rsidR="00427468">
        <w:rPr>
          <w:kern w:val="0"/>
        </w:rPr>
        <w:t xml:space="preserve"> of </w:t>
      </w:r>
      <w:r>
        <w:rPr>
          <w:kern w:val="0"/>
        </w:rPr>
        <w:t>6/18 or better at six to eight weeks (pooled risk ratio (RR) 0.99 95% confidence interval (CI) 0.98 to 1.01) indicating no difference between the MSICS</w:t>
      </w:r>
      <w:r w:rsidR="005853A9">
        <w:rPr>
          <w:kern w:val="0"/>
        </w:rPr>
        <w:t xml:space="preserve"> and </w:t>
      </w:r>
      <w:r>
        <w:rPr>
          <w:kern w:val="0"/>
        </w:rPr>
        <w:t>phacoemulsification groups. Three studies (767 participants) reported UCVA</w:t>
      </w:r>
      <w:r w:rsidR="00427468">
        <w:rPr>
          <w:kern w:val="0"/>
        </w:rPr>
        <w:t xml:space="preserve"> of </w:t>
      </w:r>
      <w:r>
        <w:rPr>
          <w:kern w:val="0"/>
        </w:rPr>
        <w:t>6/18 or better at six to eight weeks, with a pooled RR indicating a more favourable outcome with phacoemulsification (0.90, 95% CI 0.84 to 0.96). One trial (96 participants) reported UCVA at six months with a RR</w:t>
      </w:r>
      <w:r w:rsidR="00427468">
        <w:rPr>
          <w:kern w:val="0"/>
        </w:rPr>
        <w:t xml:space="preserve"> of </w:t>
      </w:r>
      <w:r>
        <w:rPr>
          <w:kern w:val="0"/>
        </w:rPr>
        <w:t>1.07 (95% CI 0.91 to 1.26). Regarding BCVA</w:t>
      </w:r>
      <w:r w:rsidR="00427468">
        <w:rPr>
          <w:kern w:val="0"/>
        </w:rPr>
        <w:t xml:space="preserve"> of </w:t>
      </w:r>
      <w:r>
        <w:rPr>
          <w:kern w:val="0"/>
        </w:rPr>
        <w:t>less than 6/60: there were only 11/1223 events reported</w:t>
      </w:r>
      <w:r w:rsidR="00A37C1D">
        <w:rPr>
          <w:kern w:val="0"/>
        </w:rPr>
        <w:t>. The</w:t>
      </w:r>
      <w:r>
        <w:rPr>
          <w:kern w:val="0"/>
        </w:rPr>
        <w:t xml:space="preserve"> pooled Peto odds ratio was 2.48 indicating a more favourable outcome using phacoemulsification but with wide confidence intervals (0.74 to 8.28) which means that we are uncertain as to the true effect</w:t>
      </w:r>
      <w:r w:rsidR="00A37C1D">
        <w:rPr>
          <w:kern w:val="0"/>
        </w:rPr>
        <w:t>. The</w:t>
      </w:r>
      <w:r>
        <w:rPr>
          <w:kern w:val="0"/>
        </w:rPr>
        <w:t xml:space="preserve"> number</w:t>
      </w:r>
      <w:r w:rsidR="00427468">
        <w:rPr>
          <w:kern w:val="0"/>
        </w:rPr>
        <w:t xml:space="preserve"> of </w:t>
      </w:r>
      <w:r>
        <w:rPr>
          <w:kern w:val="0"/>
        </w:rPr>
        <w:t>complications reported were also low for both techniques. Again this means the review is underpowered to detect a difference between the two techniques with respect to these complications. One study reported on cost which was more than four times higher using phacoemulsification than MSICS. Authors</w:t>
      </w:r>
      <w:r w:rsidR="0071223E">
        <w:rPr>
          <w:kern w:val="0"/>
        </w:rPr>
        <w:t>’</w:t>
      </w:r>
      <w:r>
        <w:rPr>
          <w:kern w:val="0"/>
        </w:rPr>
        <w:t xml:space="preserve"> conclusions On the basis</w:t>
      </w:r>
      <w:r w:rsidR="00427468">
        <w:rPr>
          <w:kern w:val="0"/>
        </w:rPr>
        <w:t xml:space="preserve"> of </w:t>
      </w:r>
      <w:r>
        <w:rPr>
          <w:kern w:val="0"/>
        </w:rPr>
        <w:t>this review, removing cataract by phacoemulsification may result in better UCVA in the short term (up to three months after surgery) compared to MSICS, but similar BCVA</w:t>
      </w:r>
      <w:r w:rsidR="00A37C1D">
        <w:rPr>
          <w:kern w:val="0"/>
        </w:rPr>
        <w:t>. The</w:t>
      </w:r>
      <w:r>
        <w:rPr>
          <w:kern w:val="0"/>
        </w:rPr>
        <w:t>re is a lack</w:t>
      </w:r>
      <w:r w:rsidR="00427468">
        <w:rPr>
          <w:kern w:val="0"/>
        </w:rPr>
        <w:t xml:space="preserve"> of </w:t>
      </w:r>
      <w:r>
        <w:rPr>
          <w:kern w:val="0"/>
        </w:rPr>
        <w:t>data on long-term visual outcome</w:t>
      </w:r>
      <w:r w:rsidR="00A37C1D">
        <w:rPr>
          <w:kern w:val="0"/>
        </w:rPr>
        <w:t>. The</w:t>
      </w:r>
      <w:r>
        <w:rPr>
          <w:kern w:val="0"/>
        </w:rPr>
        <w:t xml:space="preserve"> review is currently underpowered to detect differences for rarer outcomes, including poor visual outcome. In view</w:t>
      </w:r>
      <w:r w:rsidR="00427468">
        <w:rPr>
          <w:kern w:val="0"/>
        </w:rPr>
        <w:t xml:space="preserve"> of </w:t>
      </w:r>
      <w:r>
        <w:rPr>
          <w:kern w:val="0"/>
        </w:rPr>
        <w:t>the lower cost</w:t>
      </w:r>
      <w:r w:rsidR="00427468">
        <w:rPr>
          <w:kern w:val="0"/>
        </w:rPr>
        <w:t xml:space="preserve"> of </w:t>
      </w:r>
      <w:r>
        <w:rPr>
          <w:kern w:val="0"/>
        </w:rPr>
        <w:t>MSICS, this may be a favourable technique in the patient populations examined in these studies, where high volume surgery is a priority. Further studies are required with longer-term follow-up to better assess visual outcomes</w:t>
      </w:r>
      <w:r w:rsidR="005853A9">
        <w:rPr>
          <w:kern w:val="0"/>
        </w:rPr>
        <w:t xml:space="preserve"> and </w:t>
      </w:r>
      <w:r>
        <w:rPr>
          <w:kern w:val="0"/>
        </w:rPr>
        <w:t>complications which may develop over time such as posterior capsule opacification.</w:t>
      </w:r>
    </w:p>
    <w:p w:rsidR="00D72764" w:rsidRDefault="00D72764" w:rsidP="00D72764">
      <w:pPr>
        <w:pStyle w:val="a3"/>
        <w:rPr>
          <w:kern w:val="0"/>
        </w:rPr>
      </w:pPr>
      <w:r>
        <w:rPr>
          <w:kern w:val="0"/>
        </w:rPr>
        <w:t xml:space="preserve">Keywords: Africa, Analysis, Astigmatism, Authors, Bias, Cataract Surgery, Citation, Citations, Clinical Trials, Clinical-Trial, Collection, Complications, Conference, Confidence, Confidence Intervals, Cost, Cost Effectiveness, Cost-Effectiveness, Criteria, Data, Data Collection, Databases, Effectiveness, Embase, Endothelial-Cell Loss, Events, Extraction, Follow-Up, Groups, India, Indicator, Interval, Intervals, Language, Literature, Long Term, Long-Term, </w:t>
      </w:r>
      <w:r w:rsidR="00D5664A">
        <w:rPr>
          <w:kern w:val="0"/>
        </w:rPr>
        <w:t>MEDLINE</w:t>
      </w:r>
      <w:r>
        <w:rPr>
          <w:kern w:val="0"/>
        </w:rPr>
        <w:t xml:space="preserve">, Metaanalysis, Methods, Model, Morbidity, Nepal, Odds Ratio, Outcome, Outcomes, Phacoemulsification, Populations, Postoperative, Postoperative Complications, Primary, Random Effects Model, Randomised, Randomised Controlled Trials, Randomized Controlled-Trials, Rates, Removal, Reporting, Restrictions, Review, Risk, Rupture, Science, Sciences, Search, Small, South Africa, Surgery, Systematic Reviews, Techniques, Term, Trial, Volume, </w:t>
      </w:r>
      <w:r w:rsidR="00D5664A">
        <w:rPr>
          <w:kern w:val="0"/>
        </w:rPr>
        <w:t>Web</w:t>
      </w:r>
      <w:r w:rsidR="00427468">
        <w:rPr>
          <w:kern w:val="0"/>
        </w:rPr>
        <w:t xml:space="preserve"> of </w:t>
      </w:r>
      <w:r w:rsidR="00D5664A">
        <w:rPr>
          <w:kern w:val="0"/>
        </w:rPr>
        <w:t>Science</w:t>
      </w:r>
      <w:r>
        <w:rPr>
          <w:kern w:val="0"/>
        </w:rPr>
        <w:t>, WHO</w:t>
      </w:r>
    </w:p>
    <w:p w:rsidR="00D72764" w:rsidRDefault="00D72764" w:rsidP="00D72764">
      <w:pPr>
        <w:pStyle w:val="a3"/>
        <w:rPr>
          <w:kern w:val="0"/>
        </w:rPr>
      </w:pPr>
      <w:r>
        <w:rPr>
          <w:rFonts w:hint="eastAsia"/>
          <w:kern w:val="0"/>
        </w:rPr>
        <w:lastRenderedPageBreak/>
        <w:t xml:space="preserve">? </w:t>
      </w:r>
      <w:r>
        <w:rPr>
          <w:kern w:val="0"/>
        </w:rPr>
        <w:t>Morgan, A.T., Dodrill, P.</w:t>
      </w:r>
      <w:r w:rsidR="005853A9">
        <w:rPr>
          <w:kern w:val="0"/>
        </w:rPr>
        <w:t xml:space="preserve"> and </w:t>
      </w:r>
      <w:r>
        <w:rPr>
          <w:kern w:val="0"/>
        </w:rPr>
        <w:t xml:space="preserve">Ward, E.C. (2012), Interventions for oropharyngeal dysphagia in children with neurological impairment. </w:t>
      </w:r>
      <w:r>
        <w:rPr>
          <w:i/>
          <w:iCs/>
          <w:kern w:val="0"/>
        </w:rPr>
        <w:t>Cochrane Database</w:t>
      </w:r>
      <w:r w:rsidR="00427468">
        <w:rPr>
          <w:i/>
          <w:iCs/>
          <w:kern w:val="0"/>
        </w:rPr>
        <w:t xml:space="preserve"> of </w:t>
      </w:r>
      <w:r>
        <w:rPr>
          <w:i/>
          <w:iCs/>
          <w:kern w:val="0"/>
        </w:rPr>
        <w:t>Systematic Reviews</w:t>
      </w:r>
      <w:r>
        <w:rPr>
          <w:kern w:val="0"/>
        </w:rPr>
        <w:t xml:space="preserve">, </w:t>
      </w:r>
      <w:r w:rsidRPr="00F522A8">
        <w:rPr>
          <w:rFonts w:hint="eastAsia"/>
          <w:b/>
          <w:kern w:val="0"/>
        </w:rPr>
        <w:t>10</w:t>
      </w:r>
      <w:r>
        <w:rPr>
          <w:kern w:val="0"/>
        </w:rPr>
        <w:t xml:space="preserve">, Article Number: </w:t>
      </w:r>
      <w:r w:rsidRPr="00B70C76">
        <w:rPr>
          <w:kern w:val="0"/>
        </w:rPr>
        <w:t>CD009456</w:t>
      </w:r>
      <w:r>
        <w:rPr>
          <w:kern w:val="0"/>
        </w:rPr>
        <w:t>.</w:t>
      </w:r>
    </w:p>
    <w:p w:rsidR="00D72764" w:rsidRDefault="00D72764" w:rsidP="00D72764">
      <w:pPr>
        <w:pStyle w:val="a3"/>
        <w:rPr>
          <w:kern w:val="2"/>
        </w:rPr>
      </w:pPr>
      <w:r>
        <w:t xml:space="preserve">Full Text: 2013\Coc Dat Sys Rev2013, </w:t>
      </w:r>
      <w:r w:rsidRPr="00B70C76">
        <w:rPr>
          <w:kern w:val="0"/>
        </w:rPr>
        <w:t>CD009456</w:t>
      </w:r>
      <w:r>
        <w:t>.pdf</w:t>
      </w:r>
    </w:p>
    <w:p w:rsidR="00D72764" w:rsidRDefault="00D72764" w:rsidP="00D72764">
      <w:pPr>
        <w:pStyle w:val="a3"/>
        <w:rPr>
          <w:kern w:val="0"/>
        </w:rPr>
      </w:pPr>
      <w:r>
        <w:rPr>
          <w:kern w:val="0"/>
        </w:rPr>
        <w:t>Abstract: Background Oropharyngeal dysphagia encompasses problems with the oral preparatory phase</w:t>
      </w:r>
      <w:r w:rsidR="00427468">
        <w:rPr>
          <w:kern w:val="0"/>
        </w:rPr>
        <w:t xml:space="preserve"> of </w:t>
      </w:r>
      <w:r>
        <w:rPr>
          <w:kern w:val="0"/>
        </w:rPr>
        <w:t>swallowing (chewing</w:t>
      </w:r>
      <w:r w:rsidR="005853A9">
        <w:rPr>
          <w:kern w:val="0"/>
        </w:rPr>
        <w:t xml:space="preserve"> and </w:t>
      </w:r>
      <w:r>
        <w:rPr>
          <w:kern w:val="0"/>
        </w:rPr>
        <w:t>preparing the food), oral phase (moving the food or fluid posteriorly through the oral cavity with the tongue into the back</w:t>
      </w:r>
      <w:r w:rsidR="00427468">
        <w:rPr>
          <w:kern w:val="0"/>
        </w:rPr>
        <w:t xml:space="preserve"> of </w:t>
      </w:r>
      <w:r>
        <w:rPr>
          <w:kern w:val="0"/>
        </w:rPr>
        <w:t>the throat)</w:t>
      </w:r>
      <w:r w:rsidR="005853A9">
        <w:rPr>
          <w:kern w:val="0"/>
        </w:rPr>
        <w:t xml:space="preserve"> and </w:t>
      </w:r>
      <w:r>
        <w:rPr>
          <w:kern w:val="0"/>
        </w:rPr>
        <w:t>pharyngeal phase (swallowing the food or fluid</w:t>
      </w:r>
      <w:r w:rsidR="005853A9">
        <w:rPr>
          <w:kern w:val="0"/>
        </w:rPr>
        <w:t xml:space="preserve"> and </w:t>
      </w:r>
      <w:r>
        <w:rPr>
          <w:kern w:val="0"/>
        </w:rPr>
        <w:t>moving it through the pharynx to the oesophagus). Populations</w:t>
      </w:r>
      <w:r w:rsidR="00427468">
        <w:rPr>
          <w:kern w:val="0"/>
        </w:rPr>
        <w:t xml:space="preserve"> of </w:t>
      </w:r>
      <w:r>
        <w:rPr>
          <w:kern w:val="0"/>
        </w:rPr>
        <w:t>children with neurological impairment who commonly experience dysphagia include, but are not limited to, those with acquired brain impairment (for example, cerebral palsy, traumatic brain injury, stroke), genetic syndromes (for example, Down syndrome, Rett syndrome)</w:t>
      </w:r>
      <w:r w:rsidR="005853A9">
        <w:rPr>
          <w:kern w:val="0"/>
        </w:rPr>
        <w:t xml:space="preserve"> and </w:t>
      </w:r>
      <w:r>
        <w:rPr>
          <w:kern w:val="0"/>
        </w:rPr>
        <w:t>degenerative conditions (for example, myotonic dystrophy). Objectives To examine the effectiveness</w:t>
      </w:r>
      <w:r w:rsidR="00427468">
        <w:rPr>
          <w:kern w:val="0"/>
        </w:rPr>
        <w:t xml:space="preserve"> of </w:t>
      </w:r>
      <w:r>
        <w:rPr>
          <w:kern w:val="0"/>
        </w:rPr>
        <w:t xml:space="preserve">interventions for oropharyngeal dysphagia in children with neurological impairment. Search methods We searched the following electronic databases in October 2011: CENTRAL 2011(3), </w:t>
      </w:r>
      <w:r w:rsidR="00D5664A">
        <w:rPr>
          <w:kern w:val="0"/>
        </w:rPr>
        <w:t>MEDLINE</w:t>
      </w:r>
      <w:r>
        <w:rPr>
          <w:kern w:val="0"/>
        </w:rPr>
        <w:t xml:space="preserve"> (1948 to September Week 4 2011), EMBASE (1980 to 2011 Week 40), CINAHL (1937 to current), ERIC (1966 to current), PsycINFO (1806 to October Week 1 2011), Science Citation Index (1970 to 7 October 2011), Social Science Citation Index (1970 to 7 October 2011), Cochrane Database</w:t>
      </w:r>
      <w:r w:rsidR="00427468">
        <w:rPr>
          <w:kern w:val="0"/>
        </w:rPr>
        <w:t xml:space="preserve"> of </w:t>
      </w:r>
      <w:r>
        <w:rPr>
          <w:kern w:val="0"/>
        </w:rPr>
        <w:t>Systematic Reviews, 2011(3), DARE 2011(3), Current Controlled Trials (ISRCTN Register) (15 October 2011), ClinicalTrials.gov (15 October 2011)</w:t>
      </w:r>
      <w:r w:rsidR="005853A9">
        <w:rPr>
          <w:kern w:val="0"/>
        </w:rPr>
        <w:t xml:space="preserve"> and </w:t>
      </w:r>
      <w:r>
        <w:rPr>
          <w:kern w:val="0"/>
        </w:rPr>
        <w:t>WHO ICTRP (15 October 2011). We searched for dissertations</w:t>
      </w:r>
      <w:r w:rsidR="005853A9">
        <w:rPr>
          <w:kern w:val="0"/>
        </w:rPr>
        <w:t xml:space="preserve"> and </w:t>
      </w:r>
      <w:r>
        <w:rPr>
          <w:kern w:val="0"/>
        </w:rPr>
        <w:t>theses using Networked Digital Library</w:t>
      </w:r>
      <w:r w:rsidR="00427468">
        <w:rPr>
          <w:kern w:val="0"/>
        </w:rPr>
        <w:t xml:space="preserve"> of </w:t>
      </w:r>
      <w:r>
        <w:rPr>
          <w:kern w:val="0"/>
        </w:rPr>
        <w:t>Theses</w:t>
      </w:r>
      <w:r w:rsidR="005853A9">
        <w:rPr>
          <w:kern w:val="0"/>
        </w:rPr>
        <w:t xml:space="preserve"> and </w:t>
      </w:r>
      <w:r>
        <w:rPr>
          <w:kern w:val="0"/>
        </w:rPr>
        <w:t>Dissertations, Australasian Digital Theses Program</w:t>
      </w:r>
      <w:r w:rsidR="005853A9">
        <w:rPr>
          <w:kern w:val="0"/>
        </w:rPr>
        <w:t xml:space="preserve"> and </w:t>
      </w:r>
      <w:r>
        <w:rPr>
          <w:kern w:val="0"/>
        </w:rPr>
        <w:t>DART-Europe E-theses Portal (11 October 2011). Finally, additional references were also obtained from reference lists from articles. Selection criteria The review included randomised controlled trials</w:t>
      </w:r>
      <w:r w:rsidR="005853A9">
        <w:rPr>
          <w:kern w:val="0"/>
        </w:rPr>
        <w:t xml:space="preserve"> and </w:t>
      </w:r>
      <w:r>
        <w:rPr>
          <w:kern w:val="0"/>
        </w:rPr>
        <w:t>quasi-randomised controlled trials for children with oropharyngeal dysphagia</w:t>
      </w:r>
      <w:r w:rsidR="005853A9">
        <w:rPr>
          <w:kern w:val="0"/>
        </w:rPr>
        <w:t xml:space="preserve"> and </w:t>
      </w:r>
      <w:r>
        <w:rPr>
          <w:kern w:val="0"/>
        </w:rPr>
        <w:t>neurological impairment. Data collection</w:t>
      </w:r>
      <w:r w:rsidR="005853A9">
        <w:rPr>
          <w:kern w:val="0"/>
        </w:rPr>
        <w:t xml:space="preserve"> and </w:t>
      </w:r>
      <w:r>
        <w:rPr>
          <w:kern w:val="0"/>
        </w:rPr>
        <w:t>analysis All three review authors (AM, PD</w:t>
      </w:r>
      <w:r w:rsidR="005853A9">
        <w:rPr>
          <w:kern w:val="0"/>
        </w:rPr>
        <w:t xml:space="preserve"> and </w:t>
      </w:r>
      <w:r>
        <w:rPr>
          <w:kern w:val="0"/>
        </w:rPr>
        <w:t>EW) independently screened titles</w:t>
      </w:r>
      <w:r w:rsidR="005853A9">
        <w:rPr>
          <w:kern w:val="0"/>
        </w:rPr>
        <w:t xml:space="preserve"> and </w:t>
      </w:r>
      <w:r>
        <w:rPr>
          <w:kern w:val="0"/>
        </w:rPr>
        <w:t>abstracts for inclusion</w:t>
      </w:r>
      <w:r w:rsidR="005853A9">
        <w:rPr>
          <w:kern w:val="0"/>
        </w:rPr>
        <w:t xml:space="preserve"> and </w:t>
      </w:r>
      <w:r>
        <w:rPr>
          <w:kern w:val="0"/>
        </w:rPr>
        <w:t>discussed results. In cases</w:t>
      </w:r>
      <w:r w:rsidR="00427468">
        <w:rPr>
          <w:kern w:val="0"/>
        </w:rPr>
        <w:t xml:space="preserve"> of </w:t>
      </w:r>
      <w:r>
        <w:rPr>
          <w:kern w:val="0"/>
        </w:rPr>
        <w:t>uncertainty over whether an abstract met inclusion criterion, review authors obtained the full-text article</w:t>
      </w:r>
      <w:r w:rsidR="005853A9">
        <w:rPr>
          <w:kern w:val="0"/>
        </w:rPr>
        <w:t xml:space="preserve"> and </w:t>
      </w:r>
      <w:r>
        <w:rPr>
          <w:kern w:val="0"/>
        </w:rPr>
        <w:t>independently evaluated each paper for inclusion</w:t>
      </w:r>
      <w:r w:rsidR="00A37C1D">
        <w:rPr>
          <w:kern w:val="0"/>
        </w:rPr>
        <w:t>. The</w:t>
      </w:r>
      <w:r>
        <w:rPr>
          <w:kern w:val="0"/>
        </w:rPr>
        <w:t xml:space="preserve"> data were categorised for comparisons depending on the nature</w:t>
      </w:r>
      <w:r w:rsidR="00427468">
        <w:rPr>
          <w:kern w:val="0"/>
        </w:rPr>
        <w:t xml:space="preserve"> of </w:t>
      </w:r>
      <w:r>
        <w:rPr>
          <w:kern w:val="0"/>
        </w:rPr>
        <w:t>the control group (for example, oral sensorimotor treatment versus no treatment). Effectiveness</w:t>
      </w:r>
      <w:r w:rsidR="00427468">
        <w:rPr>
          <w:kern w:val="0"/>
        </w:rPr>
        <w:t xml:space="preserve"> of </w:t>
      </w:r>
      <w:r>
        <w:rPr>
          <w:kern w:val="0"/>
        </w:rPr>
        <w:t>the oropharyngeal dysphagia intervention was assessed by considering primary outcomes</w:t>
      </w:r>
      <w:r w:rsidR="00427468">
        <w:rPr>
          <w:kern w:val="0"/>
        </w:rPr>
        <w:t xml:space="preserve"> of </w:t>
      </w:r>
      <w:r>
        <w:rPr>
          <w:kern w:val="0"/>
        </w:rPr>
        <w:t>physiological functions</w:t>
      </w:r>
      <w:r w:rsidR="00427468">
        <w:rPr>
          <w:kern w:val="0"/>
        </w:rPr>
        <w:t xml:space="preserve"> of </w:t>
      </w:r>
      <w:r>
        <w:rPr>
          <w:kern w:val="0"/>
        </w:rPr>
        <w:t>the oropharyngeal mechanism for swallowing (for example, lip seal maintenance), the presence</w:t>
      </w:r>
      <w:r w:rsidR="00427468">
        <w:rPr>
          <w:kern w:val="0"/>
        </w:rPr>
        <w:t xml:space="preserve"> of </w:t>
      </w:r>
      <w:r>
        <w:rPr>
          <w:kern w:val="0"/>
        </w:rPr>
        <w:t>chest infection</w:t>
      </w:r>
      <w:r w:rsidR="005853A9">
        <w:rPr>
          <w:kern w:val="0"/>
        </w:rPr>
        <w:t xml:space="preserve"> and </w:t>
      </w:r>
      <w:r>
        <w:rPr>
          <w:kern w:val="0"/>
        </w:rPr>
        <w:t>pneumonia,</w:t>
      </w:r>
      <w:r w:rsidR="005853A9">
        <w:rPr>
          <w:kern w:val="0"/>
        </w:rPr>
        <w:t xml:space="preserve"> and </w:t>
      </w:r>
      <w:r>
        <w:rPr>
          <w:kern w:val="0"/>
        </w:rPr>
        <w:t>diet consistency a child is able to consume. Secondary outcomes were changes in growth, child</w:t>
      </w:r>
      <w:r w:rsidR="0071223E">
        <w:rPr>
          <w:kern w:val="0"/>
        </w:rPr>
        <w:t>’</w:t>
      </w:r>
      <w:r>
        <w:rPr>
          <w:kern w:val="0"/>
        </w:rPr>
        <w:t>s level</w:t>
      </w:r>
      <w:r w:rsidR="00427468">
        <w:rPr>
          <w:kern w:val="0"/>
        </w:rPr>
        <w:t xml:space="preserve"> of </w:t>
      </w:r>
      <w:r>
        <w:rPr>
          <w:kern w:val="0"/>
        </w:rPr>
        <w:t>participation in the mealtime routine</w:t>
      </w:r>
      <w:r w:rsidR="005853A9">
        <w:rPr>
          <w:kern w:val="0"/>
        </w:rPr>
        <w:t xml:space="preserve"> and </w:t>
      </w:r>
      <w:r>
        <w:rPr>
          <w:kern w:val="0"/>
        </w:rPr>
        <w:t>the level</w:t>
      </w:r>
      <w:r w:rsidR="00427468">
        <w:rPr>
          <w:kern w:val="0"/>
        </w:rPr>
        <w:t xml:space="preserve"> of </w:t>
      </w:r>
      <w:r>
        <w:rPr>
          <w:kern w:val="0"/>
        </w:rPr>
        <w:t xml:space="preserve">parent or carer stress associated with feeding. Main results </w:t>
      </w:r>
      <w:r>
        <w:rPr>
          <w:kern w:val="0"/>
        </w:rPr>
        <w:lastRenderedPageBreak/>
        <w:t>Three studies met the inclusion criteria for the review. Two studies were based on oral sensorimotor interventions for participants with cerebral palsy compared to standard care</w:t>
      </w:r>
      <w:r w:rsidR="005853A9">
        <w:rPr>
          <w:kern w:val="0"/>
        </w:rPr>
        <w:t xml:space="preserve"> and </w:t>
      </w:r>
      <w:r>
        <w:rPr>
          <w:kern w:val="0"/>
        </w:rPr>
        <w:t>a third study trialled lip strengthening exercises for children with myotonic dystrophy type 1 compared to no treatment (Sjogreen 2010). A meta-analysis combining results across the three studies was not possible because one</w:t>
      </w:r>
      <w:r w:rsidR="00427468">
        <w:rPr>
          <w:kern w:val="0"/>
        </w:rPr>
        <w:t xml:space="preserve"> of </w:t>
      </w:r>
      <w:r>
        <w:rPr>
          <w:kern w:val="0"/>
        </w:rPr>
        <w:t>the studies had participants with a different condition,</w:t>
      </w:r>
      <w:r w:rsidR="005853A9">
        <w:rPr>
          <w:kern w:val="0"/>
        </w:rPr>
        <w:t xml:space="preserve"> and </w:t>
      </w:r>
      <w:r>
        <w:rPr>
          <w:kern w:val="0"/>
        </w:rPr>
        <w:t>the remaining two, although using oral sensorimotor treatments, used vastly different approaches with different intensities</w:t>
      </w:r>
      <w:r w:rsidR="005853A9">
        <w:rPr>
          <w:kern w:val="0"/>
        </w:rPr>
        <w:t xml:space="preserve"> and </w:t>
      </w:r>
      <w:r>
        <w:rPr>
          <w:kern w:val="0"/>
        </w:rPr>
        <w:t>durations</w:t>
      </w:r>
      <w:r w:rsidR="00A37C1D">
        <w:rPr>
          <w:kern w:val="0"/>
        </w:rPr>
        <w:t>. The</w:t>
      </w:r>
      <w:r>
        <w:rPr>
          <w:kern w:val="0"/>
        </w:rPr>
        <w:t xml:space="preserve"> decision not to combine these was in line with our protocol. In this review, we present the results from individual studies for four outcomes: physiological functions</w:t>
      </w:r>
      <w:r w:rsidR="00427468">
        <w:rPr>
          <w:kern w:val="0"/>
        </w:rPr>
        <w:t xml:space="preserve"> of </w:t>
      </w:r>
      <w:r>
        <w:rPr>
          <w:kern w:val="0"/>
        </w:rPr>
        <w:t>the oropharyngeal mechanism for swallowing, the presence</w:t>
      </w:r>
      <w:r w:rsidR="00427468">
        <w:rPr>
          <w:kern w:val="0"/>
        </w:rPr>
        <w:t xml:space="preserve"> of </w:t>
      </w:r>
      <w:r>
        <w:rPr>
          <w:kern w:val="0"/>
        </w:rPr>
        <w:t>chest infection</w:t>
      </w:r>
      <w:r w:rsidR="005853A9">
        <w:rPr>
          <w:kern w:val="0"/>
        </w:rPr>
        <w:t xml:space="preserve"> and </w:t>
      </w:r>
      <w:r>
        <w:rPr>
          <w:kern w:val="0"/>
        </w:rPr>
        <w:t>pneumonia, diet consistency,</w:t>
      </w:r>
      <w:r w:rsidR="005853A9">
        <w:rPr>
          <w:kern w:val="0"/>
        </w:rPr>
        <w:t xml:space="preserve"> and </w:t>
      </w:r>
      <w:r>
        <w:rPr>
          <w:kern w:val="0"/>
        </w:rPr>
        <w:t>changes in growth. However, it is not possible to reach definitive conclusions on the effectiveness</w:t>
      </w:r>
      <w:r w:rsidR="00427468">
        <w:rPr>
          <w:kern w:val="0"/>
        </w:rPr>
        <w:t xml:space="preserve"> of </w:t>
      </w:r>
      <w:r>
        <w:rPr>
          <w:kern w:val="0"/>
        </w:rPr>
        <w:t>particular interventions for oropharyngeal dysphagia based on these studies. One study had a high risk</w:t>
      </w:r>
      <w:r w:rsidR="00427468">
        <w:rPr>
          <w:kern w:val="0"/>
        </w:rPr>
        <w:t xml:space="preserve"> of </w:t>
      </w:r>
      <w:r>
        <w:rPr>
          <w:kern w:val="0"/>
        </w:rPr>
        <w:t>attrition bias owing to missing data, had statistically significant differences (in weight) across experimental</w:t>
      </w:r>
      <w:r w:rsidR="005853A9">
        <w:rPr>
          <w:kern w:val="0"/>
        </w:rPr>
        <w:t xml:space="preserve"> and </w:t>
      </w:r>
      <w:r>
        <w:rPr>
          <w:kern w:val="0"/>
        </w:rPr>
        <w:t>control groups at baseline,</w:t>
      </w:r>
      <w:r w:rsidR="005853A9">
        <w:rPr>
          <w:kern w:val="0"/>
        </w:rPr>
        <w:t xml:space="preserve"> and </w:t>
      </w:r>
      <w:r>
        <w:rPr>
          <w:kern w:val="0"/>
        </w:rPr>
        <w:t>did not describe other aspects</w:t>
      </w:r>
      <w:r w:rsidR="00427468">
        <w:rPr>
          <w:kern w:val="0"/>
        </w:rPr>
        <w:t xml:space="preserve"> of </w:t>
      </w:r>
      <w:r>
        <w:rPr>
          <w:kern w:val="0"/>
        </w:rPr>
        <w:t>the trial sufficiently to enable assessment</w:t>
      </w:r>
      <w:r w:rsidR="00427468">
        <w:rPr>
          <w:kern w:val="0"/>
        </w:rPr>
        <w:t xml:space="preserve"> of </w:t>
      </w:r>
      <w:r>
        <w:rPr>
          <w:kern w:val="0"/>
        </w:rPr>
        <w:t>other potential risks</w:t>
      </w:r>
      <w:r w:rsidR="00427468">
        <w:rPr>
          <w:kern w:val="0"/>
        </w:rPr>
        <w:t xml:space="preserve"> of </w:t>
      </w:r>
      <w:r>
        <w:rPr>
          <w:kern w:val="0"/>
        </w:rPr>
        <w:t>bias. Another study was at high risk</w:t>
      </w:r>
      <w:r w:rsidR="00427468">
        <w:rPr>
          <w:kern w:val="0"/>
        </w:rPr>
        <w:t xml:space="preserve"> of </w:t>
      </w:r>
      <w:r>
        <w:rPr>
          <w:kern w:val="0"/>
        </w:rPr>
        <w:t>detection bias as some outcomes were assessed by parents who knew whether their child was in the intervention or control group</w:t>
      </w:r>
      <w:r w:rsidR="00A37C1D">
        <w:rPr>
          <w:kern w:val="0"/>
        </w:rPr>
        <w:t>. The</w:t>
      </w:r>
      <w:r>
        <w:rPr>
          <w:kern w:val="0"/>
        </w:rPr>
        <w:t xml:space="preserve"> third study overall seemed to be at low risk</w:t>
      </w:r>
      <w:r w:rsidR="00427468">
        <w:rPr>
          <w:kern w:val="0"/>
        </w:rPr>
        <w:t xml:space="preserve"> of </w:t>
      </w:r>
      <w:r>
        <w:rPr>
          <w:kern w:val="0"/>
        </w:rPr>
        <w:t>bias, but like the other two studies, suffered from a small sample size. Authors</w:t>
      </w:r>
      <w:r w:rsidR="0071223E">
        <w:rPr>
          <w:kern w:val="0"/>
        </w:rPr>
        <w:t>’</w:t>
      </w:r>
      <w:r>
        <w:rPr>
          <w:kern w:val="0"/>
        </w:rPr>
        <w:t xml:space="preserve"> conclusions The review demonstrates that there is currently insufficient high-quality evidence from randomised controlled trials or quasi-randomised controlled trials to provide conclusive results about the effectiveness</w:t>
      </w:r>
      <w:r w:rsidR="00427468">
        <w:rPr>
          <w:kern w:val="0"/>
        </w:rPr>
        <w:t xml:space="preserve"> of </w:t>
      </w:r>
      <w:r>
        <w:rPr>
          <w:kern w:val="0"/>
        </w:rPr>
        <w:t>any particular type</w:t>
      </w:r>
      <w:r w:rsidR="00427468">
        <w:rPr>
          <w:kern w:val="0"/>
        </w:rPr>
        <w:t xml:space="preserve"> of </w:t>
      </w:r>
      <w:r>
        <w:rPr>
          <w:kern w:val="0"/>
        </w:rPr>
        <w:t>oral-motor therapy for children with neurological impairment</w:t>
      </w:r>
      <w:r w:rsidR="00A37C1D">
        <w:rPr>
          <w:kern w:val="0"/>
        </w:rPr>
        <w:t>. The</w:t>
      </w:r>
      <w:r>
        <w:rPr>
          <w:kern w:val="0"/>
        </w:rPr>
        <w:t>re is an urgent need for larger-scale (appropriately statistically powered), randomised trials to evaluate the efficacy</w:t>
      </w:r>
      <w:r w:rsidR="00427468">
        <w:rPr>
          <w:kern w:val="0"/>
        </w:rPr>
        <w:t xml:space="preserve"> of </w:t>
      </w:r>
      <w:r>
        <w:rPr>
          <w:kern w:val="0"/>
        </w:rPr>
        <w:t>interventions for oropharyngeal dysphagia.</w:t>
      </w:r>
    </w:p>
    <w:p w:rsidR="00D72764" w:rsidRDefault="00D72764" w:rsidP="00D72764">
      <w:pPr>
        <w:pStyle w:val="a3"/>
        <w:rPr>
          <w:kern w:val="0"/>
        </w:rPr>
      </w:pPr>
      <w:r>
        <w:rPr>
          <w:kern w:val="0"/>
        </w:rPr>
        <w:t xml:space="preserve">Keywords: Am, Analysis, Appliance Therapy, Assessment, At, Australia, Authors, Bias, Brain, Brain Injury, Care, Cerebral, Cerebral Palsy, Changes, Child, Children, Citation, Collection, Combining, Consistency, Consistent Food Presentation, Control, Control Groups, Criteria, Data, Data Collection, Database, Databases, Decision, Diet, Disabled-Children, Dissertations, Effectiveness, Efficacy, Embase, Evidence, Exercises, Experience, Experimental, Feeding, Feeding Problems, Food, Functions, Genetic, Groups, Growth, Infection, Injury, Intervention, Interventions, Low Risk, Mechanism, Medicine, </w:t>
      </w:r>
      <w:r w:rsidR="00D5664A">
        <w:rPr>
          <w:kern w:val="0"/>
        </w:rPr>
        <w:t>MEDLINE</w:t>
      </w:r>
      <w:r>
        <w:rPr>
          <w:kern w:val="0"/>
        </w:rPr>
        <w:t xml:space="preserve">, Meta Analysis, Meta-Analysis, Metaanalysis, Methods, Neurological, Oral, Outcomes, Parents, Participation, Pd, Pediatric Dysphagia, Pneumonia, Potential, Primary, Protocol, Psycinfo, Quadriplegic Cerebral-Palsy, Randomised, Randomised Controlled Trials, Reference, Reference Lists, References, Review, Risk, Risks, River, Sample Size, Science, Science </w:t>
      </w:r>
      <w:r>
        <w:rPr>
          <w:kern w:val="0"/>
        </w:rPr>
        <w:lastRenderedPageBreak/>
        <w:t xml:space="preserve">Citation Index, Search, Sensorimotor Therapy, Size, Small, Social Science Citation Index, Standard, Stress, Stroke, Stroke Patients, Syndrome, Systematic Reviews, Therapy, Theses, Traumatic, Traumatic Brain Injury, Traumatic Brain-Injury, Treatment, Trial, Uncertainty, </w:t>
      </w:r>
      <w:r w:rsidR="00D5664A">
        <w:rPr>
          <w:kern w:val="0"/>
        </w:rPr>
        <w:t>USA</w:t>
      </w:r>
      <w:r>
        <w:rPr>
          <w:kern w:val="0"/>
        </w:rPr>
        <w:t>, WHO</w:t>
      </w:r>
    </w:p>
    <w:p w:rsidR="00D72764" w:rsidRDefault="00D72764" w:rsidP="00D72764">
      <w:pPr>
        <w:pStyle w:val="a3"/>
        <w:rPr>
          <w:kern w:val="0"/>
        </w:rPr>
      </w:pPr>
      <w:r>
        <w:rPr>
          <w:kern w:val="0"/>
        </w:rPr>
        <w:t>? Bala, M.M., Riemsma, R.P., Wolff, R.</w:t>
      </w:r>
      <w:r w:rsidR="005853A9">
        <w:rPr>
          <w:kern w:val="0"/>
        </w:rPr>
        <w:t xml:space="preserve"> and </w:t>
      </w:r>
      <w:r>
        <w:rPr>
          <w:kern w:val="0"/>
        </w:rPr>
        <w:t xml:space="preserve">Kleijnen, J. (2013), Microwave coagulation for liver metastases. </w:t>
      </w:r>
      <w:r>
        <w:rPr>
          <w:i/>
          <w:iCs/>
          <w:kern w:val="0"/>
        </w:rPr>
        <w:t>Cochrane Database</w:t>
      </w:r>
      <w:r w:rsidR="00427468">
        <w:rPr>
          <w:i/>
          <w:iCs/>
          <w:kern w:val="0"/>
        </w:rPr>
        <w:t xml:space="preserve"> of </w:t>
      </w:r>
      <w:r>
        <w:rPr>
          <w:i/>
          <w:iCs/>
          <w:kern w:val="0"/>
        </w:rPr>
        <w:t>Systematic Reviews</w:t>
      </w:r>
      <w:r>
        <w:rPr>
          <w:kern w:val="0"/>
        </w:rPr>
        <w:t xml:space="preserve">, </w:t>
      </w:r>
      <w:r w:rsidRPr="00F522A8">
        <w:rPr>
          <w:b/>
          <w:kern w:val="0"/>
        </w:rPr>
        <w:t>10</w:t>
      </w:r>
      <w:r>
        <w:rPr>
          <w:kern w:val="0"/>
        </w:rPr>
        <w:t xml:space="preserve">, Article Number: </w:t>
      </w:r>
      <w:r w:rsidRPr="00520A78">
        <w:rPr>
          <w:kern w:val="0"/>
        </w:rPr>
        <w:t>CD010163</w:t>
      </w:r>
      <w:r>
        <w:rPr>
          <w:kern w:val="0"/>
        </w:rPr>
        <w:t>.</w:t>
      </w:r>
    </w:p>
    <w:p w:rsidR="00D72764" w:rsidRDefault="00D72764" w:rsidP="00D72764">
      <w:pPr>
        <w:pStyle w:val="a3"/>
        <w:rPr>
          <w:kern w:val="2"/>
        </w:rPr>
      </w:pPr>
      <w:r>
        <w:t xml:space="preserve">Full Text: 2013\Coc Dat Sys Rev2013, </w:t>
      </w:r>
      <w:r w:rsidRPr="00520A78">
        <w:rPr>
          <w:kern w:val="0"/>
        </w:rPr>
        <w:t>CD010163</w:t>
      </w:r>
      <w:r>
        <w:t>.pdf</w:t>
      </w:r>
    </w:p>
    <w:p w:rsidR="00D72764" w:rsidRDefault="00D72764" w:rsidP="00D72764">
      <w:pPr>
        <w:pStyle w:val="a3"/>
        <w:rPr>
          <w:kern w:val="0"/>
        </w:rPr>
      </w:pPr>
      <w:r>
        <w:rPr>
          <w:kern w:val="0"/>
        </w:rPr>
        <w:t>Abstract: Background Primary liver cancer</w:t>
      </w:r>
      <w:r w:rsidR="005853A9">
        <w:rPr>
          <w:kern w:val="0"/>
        </w:rPr>
        <w:t xml:space="preserve"> and </w:t>
      </w:r>
      <w:r>
        <w:rPr>
          <w:kern w:val="0"/>
        </w:rPr>
        <w:t>liver metastases from colorectal carcinoma are the two most common malignant tumours to affect the liver</w:t>
      </w:r>
      <w:r w:rsidR="00A37C1D">
        <w:rPr>
          <w:kern w:val="0"/>
        </w:rPr>
        <w:t>. The</w:t>
      </w:r>
      <w:r>
        <w:rPr>
          <w:kern w:val="0"/>
        </w:rPr>
        <w:t xml:space="preserve"> liver is second only to the lymph nodes as the most common site for metastatic disease. More than half</w:t>
      </w:r>
      <w:r w:rsidR="00427468">
        <w:rPr>
          <w:kern w:val="0"/>
        </w:rPr>
        <w:t xml:space="preserve"> of </w:t>
      </w:r>
      <w:r>
        <w:rPr>
          <w:kern w:val="0"/>
        </w:rPr>
        <w:t>patients with metastatic liver disease will die from metastatic complications. Microwave coagulation involves placing an electrode into a lesion under ultrasound or computed tomography guidance</w:t>
      </w:r>
      <w:r w:rsidR="00A37C1D">
        <w:rPr>
          <w:kern w:val="0"/>
        </w:rPr>
        <w:t>. The</w:t>
      </w:r>
      <w:r>
        <w:rPr>
          <w:kern w:val="0"/>
        </w:rPr>
        <w:t xml:space="preserve"> microwave coagulator generates</w:t>
      </w:r>
      <w:r w:rsidR="005853A9">
        <w:rPr>
          <w:kern w:val="0"/>
        </w:rPr>
        <w:t xml:space="preserve"> and </w:t>
      </w:r>
      <w:r>
        <w:rPr>
          <w:kern w:val="0"/>
        </w:rPr>
        <w:t>transmits microwave energy to the electrode. Coagulative necrosis causes cellular death</w:t>
      </w:r>
      <w:r w:rsidR="005853A9">
        <w:rPr>
          <w:kern w:val="0"/>
        </w:rPr>
        <w:t xml:space="preserve"> and </w:t>
      </w:r>
      <w:r>
        <w:rPr>
          <w:kern w:val="0"/>
        </w:rPr>
        <w:t>destroys tissue in the treatment area, resulting in reduction</w:t>
      </w:r>
      <w:r w:rsidR="00427468">
        <w:rPr>
          <w:kern w:val="0"/>
        </w:rPr>
        <w:t xml:space="preserve"> of </w:t>
      </w:r>
      <w:r>
        <w:rPr>
          <w:kern w:val="0"/>
        </w:rPr>
        <w:t>tumour size. Objectives To study the beneficial</w:t>
      </w:r>
      <w:r w:rsidR="005853A9">
        <w:rPr>
          <w:kern w:val="0"/>
        </w:rPr>
        <w:t xml:space="preserve"> and </w:t>
      </w:r>
      <w:r>
        <w:rPr>
          <w:kern w:val="0"/>
        </w:rPr>
        <w:t>harmful effects</w:t>
      </w:r>
      <w:r w:rsidR="00427468">
        <w:rPr>
          <w:kern w:val="0"/>
        </w:rPr>
        <w:t xml:space="preserve"> of </w:t>
      </w:r>
      <w:r>
        <w:rPr>
          <w:kern w:val="0"/>
        </w:rPr>
        <w:t>microwave coagulation compared with no intervention, other ablation methods, or systemic treatments in patients with liver metastases. Search methods We searched the Cochrane Hepato-Biliary Group Controlled Trials Register, The Cochrane Central Register</w:t>
      </w:r>
      <w:r w:rsidR="00427468">
        <w:rPr>
          <w:kern w:val="0"/>
        </w:rPr>
        <w:t xml:space="preserve"> of </w:t>
      </w:r>
      <w:r>
        <w:rPr>
          <w:kern w:val="0"/>
        </w:rPr>
        <w:t xml:space="preserve">Controlled Trials (CENTRAL) in The Cochrane Library, </w:t>
      </w:r>
      <w:r w:rsidR="00D5664A">
        <w:rPr>
          <w:kern w:val="0"/>
        </w:rPr>
        <w:t>MEDLINE</w:t>
      </w:r>
      <w:r>
        <w:rPr>
          <w:kern w:val="0"/>
        </w:rPr>
        <w:t>, EMBASE, Science Citation Index Expanded, LILACS,</w:t>
      </w:r>
      <w:r w:rsidR="005853A9">
        <w:rPr>
          <w:kern w:val="0"/>
        </w:rPr>
        <w:t xml:space="preserve"> and </w:t>
      </w:r>
      <w:r>
        <w:rPr>
          <w:kern w:val="0"/>
        </w:rPr>
        <w:t>CINAHL up to December 2012. Selection criteria We included all randomised clinical trials assessing beneficial</w:t>
      </w:r>
      <w:r w:rsidR="005853A9">
        <w:rPr>
          <w:kern w:val="0"/>
        </w:rPr>
        <w:t xml:space="preserve"> and </w:t>
      </w:r>
      <w:r>
        <w:rPr>
          <w:kern w:val="0"/>
        </w:rPr>
        <w:t>harmful effects</w:t>
      </w:r>
      <w:r w:rsidR="00427468">
        <w:rPr>
          <w:kern w:val="0"/>
        </w:rPr>
        <w:t xml:space="preserve"> of </w:t>
      </w:r>
      <w:r>
        <w:rPr>
          <w:kern w:val="0"/>
        </w:rPr>
        <w:t>microwave coagulation</w:t>
      </w:r>
      <w:r w:rsidR="005853A9">
        <w:rPr>
          <w:kern w:val="0"/>
        </w:rPr>
        <w:t xml:space="preserve"> and </w:t>
      </w:r>
      <w:r>
        <w:rPr>
          <w:kern w:val="0"/>
        </w:rPr>
        <w:t>its comparators, irrespective</w:t>
      </w:r>
      <w:r w:rsidR="00427468">
        <w:rPr>
          <w:kern w:val="0"/>
        </w:rPr>
        <w:t xml:space="preserve"> of </w:t>
      </w:r>
      <w:r>
        <w:rPr>
          <w:kern w:val="0"/>
        </w:rPr>
        <w:t>the location</w:t>
      </w:r>
      <w:r w:rsidR="00427468">
        <w:rPr>
          <w:kern w:val="0"/>
        </w:rPr>
        <w:t xml:space="preserve"> of </w:t>
      </w:r>
      <w:r>
        <w:rPr>
          <w:kern w:val="0"/>
        </w:rPr>
        <w:t>the primary tumour. Data collection</w:t>
      </w:r>
      <w:r w:rsidR="005853A9">
        <w:rPr>
          <w:kern w:val="0"/>
        </w:rPr>
        <w:t xml:space="preserve"> and </w:t>
      </w:r>
      <w:r>
        <w:rPr>
          <w:kern w:val="0"/>
        </w:rPr>
        <w:t>analysis We extracted relevant information on participant characteristics, interventions,</w:t>
      </w:r>
      <w:r w:rsidR="005853A9">
        <w:rPr>
          <w:kern w:val="0"/>
        </w:rPr>
        <w:t xml:space="preserve"> and </w:t>
      </w:r>
      <w:r>
        <w:rPr>
          <w:kern w:val="0"/>
        </w:rPr>
        <w:t>study outcomes</w:t>
      </w:r>
      <w:r w:rsidR="005853A9">
        <w:rPr>
          <w:kern w:val="0"/>
        </w:rPr>
        <w:t xml:space="preserve"> and </w:t>
      </w:r>
      <w:r>
        <w:rPr>
          <w:kern w:val="0"/>
        </w:rPr>
        <w:t>data on outcome measures for our review, as well as information on design</w:t>
      </w:r>
      <w:r w:rsidR="005853A9">
        <w:rPr>
          <w:kern w:val="0"/>
        </w:rPr>
        <w:t xml:space="preserve"> and </w:t>
      </w:r>
      <w:r>
        <w:rPr>
          <w:kern w:val="0"/>
        </w:rPr>
        <w:t>methodology</w:t>
      </w:r>
      <w:r w:rsidR="00427468">
        <w:rPr>
          <w:kern w:val="0"/>
        </w:rPr>
        <w:t xml:space="preserve"> of </w:t>
      </w:r>
      <w:r>
        <w:rPr>
          <w:kern w:val="0"/>
        </w:rPr>
        <w:t>the studies. Bias risk assessment</w:t>
      </w:r>
      <w:r w:rsidR="00427468">
        <w:rPr>
          <w:kern w:val="0"/>
        </w:rPr>
        <w:t xml:space="preserve"> of </w:t>
      </w:r>
      <w:r>
        <w:rPr>
          <w:kern w:val="0"/>
        </w:rPr>
        <w:t>trials, determination</w:t>
      </w:r>
      <w:r w:rsidR="00427468">
        <w:rPr>
          <w:kern w:val="0"/>
        </w:rPr>
        <w:t xml:space="preserve"> of </w:t>
      </w:r>
      <w:r>
        <w:rPr>
          <w:kern w:val="0"/>
        </w:rPr>
        <w:t>whether they fulfilled the inclusion criteria,</w:t>
      </w:r>
      <w:r w:rsidR="005853A9">
        <w:rPr>
          <w:kern w:val="0"/>
        </w:rPr>
        <w:t xml:space="preserve"> and </w:t>
      </w:r>
      <w:r>
        <w:rPr>
          <w:kern w:val="0"/>
        </w:rPr>
        <w:t>data extraction from retrieved for final evaluation trials were done by one review author</w:t>
      </w:r>
      <w:r w:rsidR="005853A9">
        <w:rPr>
          <w:kern w:val="0"/>
        </w:rPr>
        <w:t xml:space="preserve"> and </w:t>
      </w:r>
      <w:r>
        <w:rPr>
          <w:kern w:val="0"/>
        </w:rPr>
        <w:t>were checked by a second review author. Main results One randomised clinical trial fulfilled the inclusion criteria</w:t>
      </w:r>
      <w:r w:rsidR="00427468">
        <w:rPr>
          <w:kern w:val="0"/>
        </w:rPr>
        <w:t xml:space="preserve"> of </w:t>
      </w:r>
      <w:r>
        <w:rPr>
          <w:kern w:val="0"/>
        </w:rPr>
        <w:t>the review. Forty participants with multiple liver metastases</w:t>
      </w:r>
      <w:r w:rsidR="00427468">
        <w:rPr>
          <w:kern w:val="0"/>
        </w:rPr>
        <w:t xml:space="preserve"> of </w:t>
      </w:r>
      <w:r>
        <w:rPr>
          <w:kern w:val="0"/>
        </w:rPr>
        <w:t>colorectal cancer</w:t>
      </w:r>
      <w:r w:rsidR="005853A9">
        <w:rPr>
          <w:kern w:val="0"/>
        </w:rPr>
        <w:t xml:space="preserve"> and </w:t>
      </w:r>
      <w:r>
        <w:rPr>
          <w:kern w:val="0"/>
        </w:rPr>
        <w:t>no evidence</w:t>
      </w:r>
      <w:r w:rsidR="00427468">
        <w:rPr>
          <w:kern w:val="0"/>
        </w:rPr>
        <w:t xml:space="preserve"> of </w:t>
      </w:r>
      <w:r>
        <w:rPr>
          <w:kern w:val="0"/>
        </w:rPr>
        <w:t>extrahepatic disease were randomly assigned. Thirty</w:t>
      </w:r>
      <w:r w:rsidR="00427468">
        <w:rPr>
          <w:kern w:val="0"/>
        </w:rPr>
        <w:t xml:space="preserve"> of </w:t>
      </w:r>
      <w:r>
        <w:rPr>
          <w:kern w:val="0"/>
        </w:rPr>
        <w:t>these participants (14 females</w:t>
      </w:r>
      <w:r w:rsidR="005853A9">
        <w:rPr>
          <w:kern w:val="0"/>
        </w:rPr>
        <w:t xml:space="preserve"> and </w:t>
      </w:r>
      <w:r>
        <w:rPr>
          <w:kern w:val="0"/>
        </w:rPr>
        <w:t>16 males) were included in the analysis: 14 participants received microwave coagulation</w:t>
      </w:r>
      <w:r w:rsidR="005853A9">
        <w:rPr>
          <w:kern w:val="0"/>
        </w:rPr>
        <w:t xml:space="preserve"> and </w:t>
      </w:r>
      <w:r>
        <w:rPr>
          <w:kern w:val="0"/>
        </w:rPr>
        <w:t>16 underwent conventional surgery (hepatectomy or liver resection)</w:t>
      </w:r>
      <w:r w:rsidR="00A37C1D">
        <w:rPr>
          <w:kern w:val="0"/>
        </w:rPr>
        <w:t>. The</w:t>
      </w:r>
      <w:r>
        <w:rPr>
          <w:kern w:val="0"/>
        </w:rPr>
        <w:t xml:space="preserve"> diagnosis</w:t>
      </w:r>
      <w:r w:rsidR="00427468">
        <w:rPr>
          <w:kern w:val="0"/>
        </w:rPr>
        <w:t xml:space="preserve"> of </w:t>
      </w:r>
      <w:r>
        <w:rPr>
          <w:kern w:val="0"/>
        </w:rPr>
        <w:t>colorectal cancer (Stage IB to IIIC; tumour (T) 2 node (N)0 to T3N2)</w:t>
      </w:r>
      <w:r w:rsidR="005853A9">
        <w:rPr>
          <w:kern w:val="0"/>
        </w:rPr>
        <w:t xml:space="preserve"> and </w:t>
      </w:r>
      <w:r>
        <w:rPr>
          <w:kern w:val="0"/>
        </w:rPr>
        <w:t>liver metastases was confirmed by histological assessment. Mean participant age was 61 years</w:t>
      </w:r>
      <w:r w:rsidR="00A37C1D">
        <w:rPr>
          <w:kern w:val="0"/>
        </w:rPr>
        <w:t>. The</w:t>
      </w:r>
      <w:r>
        <w:rPr>
          <w:kern w:val="0"/>
        </w:rPr>
        <w:t xml:space="preserve"> tumours were resectable</w:t>
      </w:r>
      <w:r w:rsidR="00A37C1D">
        <w:rPr>
          <w:kern w:val="0"/>
        </w:rPr>
        <w:t>. The</w:t>
      </w:r>
      <w:r>
        <w:rPr>
          <w:kern w:val="0"/>
        </w:rPr>
        <w:t xml:space="preserve"> risk</w:t>
      </w:r>
      <w:r w:rsidR="00427468">
        <w:rPr>
          <w:kern w:val="0"/>
        </w:rPr>
        <w:t xml:space="preserve"> of </w:t>
      </w:r>
      <w:r>
        <w:rPr>
          <w:kern w:val="0"/>
        </w:rPr>
        <w:t xml:space="preserve">bias in the trial was judged to be </w:t>
      </w:r>
      <w:r>
        <w:rPr>
          <w:kern w:val="0"/>
        </w:rPr>
        <w:lastRenderedPageBreak/>
        <w:t>high. Participants were followed for three years. Mortality at the last follow-up was 64% (9/14) in the microwave group</w:t>
      </w:r>
      <w:r w:rsidR="005853A9">
        <w:rPr>
          <w:kern w:val="0"/>
        </w:rPr>
        <w:t xml:space="preserve"> and </w:t>
      </w:r>
      <w:r>
        <w:rPr>
          <w:kern w:val="0"/>
        </w:rPr>
        <w:t>75% (12/16) in the conventional surgery group (risk ratio (RR) 0.86; 95% confidence interval (CI) 0.53 to 1.39), that is, no significant difference was observed. In the microwave coagulation group, 71%, 57%,</w:t>
      </w:r>
      <w:r w:rsidR="005853A9">
        <w:rPr>
          <w:kern w:val="0"/>
        </w:rPr>
        <w:t xml:space="preserve"> and </w:t>
      </w:r>
      <w:r>
        <w:rPr>
          <w:kern w:val="0"/>
        </w:rPr>
        <w:t>14% survived 1, 2,</w:t>
      </w:r>
      <w:r w:rsidR="005853A9">
        <w:rPr>
          <w:kern w:val="0"/>
        </w:rPr>
        <w:t xml:space="preserve"> and </w:t>
      </w:r>
      <w:r>
        <w:rPr>
          <w:kern w:val="0"/>
        </w:rPr>
        <w:t>3 years,</w:t>
      </w:r>
      <w:r w:rsidR="005853A9">
        <w:rPr>
          <w:kern w:val="0"/>
        </w:rPr>
        <w:t xml:space="preserve"> and </w:t>
      </w:r>
      <w:r>
        <w:rPr>
          <w:kern w:val="0"/>
        </w:rPr>
        <w:t>in the conventional surgery group, the percentages were 69%, 56%,</w:t>
      </w:r>
      <w:r w:rsidR="005853A9">
        <w:rPr>
          <w:kern w:val="0"/>
        </w:rPr>
        <w:t xml:space="preserve"> and </w:t>
      </w:r>
      <w:r>
        <w:rPr>
          <w:kern w:val="0"/>
        </w:rPr>
        <w:t>23%</w:t>
      </w:r>
      <w:r w:rsidR="00A37C1D">
        <w:rPr>
          <w:kern w:val="0"/>
        </w:rPr>
        <w:t>. The</w:t>
      </w:r>
      <w:r>
        <w:rPr>
          <w:kern w:val="0"/>
        </w:rPr>
        <w:t xml:space="preserve"> hazard ratio calculated using the Parmar method was 0.91 (0.39 to 2.15). Mean survival time was 27 months in the microwave group</w:t>
      </w:r>
      <w:r w:rsidR="005853A9">
        <w:rPr>
          <w:kern w:val="0"/>
        </w:rPr>
        <w:t xml:space="preserve"> and </w:t>
      </w:r>
      <w:r>
        <w:rPr>
          <w:kern w:val="0"/>
        </w:rPr>
        <w:t>25 months in the conventional surgery group,</w:t>
      </w:r>
      <w:r w:rsidR="005853A9">
        <w:rPr>
          <w:kern w:val="0"/>
        </w:rPr>
        <w:t xml:space="preserve"> and </w:t>
      </w:r>
      <w:r>
        <w:rPr>
          <w:kern w:val="0"/>
        </w:rPr>
        <w:t>the mean disease-free interval was 11.3 months in the microwave group</w:t>
      </w:r>
      <w:r w:rsidR="005853A9">
        <w:rPr>
          <w:kern w:val="0"/>
        </w:rPr>
        <w:t xml:space="preserve"> and </w:t>
      </w:r>
      <w:r>
        <w:rPr>
          <w:kern w:val="0"/>
        </w:rPr>
        <w:t>13.3 months in the hepatectomy group. Differences for both outcomes were not statistically significant. Reported frequency</w:t>
      </w:r>
      <w:r w:rsidR="00427468">
        <w:rPr>
          <w:kern w:val="0"/>
        </w:rPr>
        <w:t xml:space="preserve"> of </w:t>
      </w:r>
      <w:r>
        <w:rPr>
          <w:kern w:val="0"/>
        </w:rPr>
        <w:t>adverse events was similar between the microwave coagulation</w:t>
      </w:r>
      <w:r w:rsidR="005853A9">
        <w:rPr>
          <w:kern w:val="0"/>
        </w:rPr>
        <w:t xml:space="preserve"> and </w:t>
      </w:r>
      <w:r>
        <w:rPr>
          <w:kern w:val="0"/>
        </w:rPr>
        <w:t>conventional surgery groups, except for the required blood transfusion, which was more common in the conventional surgery group. No intervention-related mortality was observed. After treatment, the carcinoembryonic antigen level decreased significantly in both groups. Authors</w:t>
      </w:r>
      <w:r w:rsidR="0071223E">
        <w:rPr>
          <w:kern w:val="0"/>
        </w:rPr>
        <w:t>’</w:t>
      </w:r>
      <w:r>
        <w:rPr>
          <w:kern w:val="0"/>
        </w:rPr>
        <w:t xml:space="preserve"> conclusions On the basis</w:t>
      </w:r>
      <w:r w:rsidR="00427468">
        <w:rPr>
          <w:kern w:val="0"/>
        </w:rPr>
        <w:t xml:space="preserve"> of </w:t>
      </w:r>
      <w:r>
        <w:rPr>
          <w:kern w:val="0"/>
        </w:rPr>
        <w:t>one randomised clinical trial, which did not describe allocation concealment or blinding,</w:t>
      </w:r>
      <w:r w:rsidR="005853A9">
        <w:rPr>
          <w:kern w:val="0"/>
        </w:rPr>
        <w:t xml:space="preserve"> and </w:t>
      </w:r>
      <w:r>
        <w:rPr>
          <w:kern w:val="0"/>
        </w:rPr>
        <w:t>which excluded from analysis 25%</w:t>
      </w:r>
      <w:r w:rsidR="00427468">
        <w:rPr>
          <w:kern w:val="0"/>
        </w:rPr>
        <w:t xml:space="preserve"> of </w:t>
      </w:r>
      <w:r>
        <w:rPr>
          <w:kern w:val="0"/>
        </w:rPr>
        <w:t>participants after random assignment, evidence is insufficient to show whether microwave coagulation brings any significant benefit in terms</w:t>
      </w:r>
      <w:r w:rsidR="00427468">
        <w:rPr>
          <w:kern w:val="0"/>
        </w:rPr>
        <w:t xml:space="preserve"> of </w:t>
      </w:r>
      <w:r>
        <w:rPr>
          <w:kern w:val="0"/>
        </w:rPr>
        <w:t>survival or recurrence compared with conventional surgery for participants with liver metastases from colorectal cancer</w:t>
      </w:r>
      <w:r w:rsidR="00A37C1D">
        <w:rPr>
          <w:kern w:val="0"/>
        </w:rPr>
        <w:t>. The</w:t>
      </w:r>
      <w:r>
        <w:rPr>
          <w:kern w:val="0"/>
        </w:rPr>
        <w:t xml:space="preserve"> number</w:t>
      </w:r>
      <w:r w:rsidR="00427468">
        <w:rPr>
          <w:kern w:val="0"/>
        </w:rPr>
        <w:t xml:space="preserve"> of </w:t>
      </w:r>
      <w:r>
        <w:rPr>
          <w:kern w:val="0"/>
        </w:rPr>
        <w:t>adverse events, except for the requirement for blood transfusion, which was more common in the liver resection group, was similar in both groups. At present, microwave therapy cannot be recommended outside randomised clinical trials.</w:t>
      </w:r>
    </w:p>
    <w:p w:rsidR="00D72764" w:rsidRDefault="00D72764" w:rsidP="00D72764">
      <w:pPr>
        <w:pStyle w:val="a3"/>
        <w:rPr>
          <w:kern w:val="0"/>
        </w:rPr>
      </w:pPr>
      <w:r>
        <w:rPr>
          <w:kern w:val="0"/>
        </w:rPr>
        <w:t xml:space="preserve">Keywords: Ablation, Age, Allocation, Analysis, Assessing, Assessment, Bias, Blood, Blood Transfusion, Cancer, Cancer Statistics, Carcinoembryonic Antigen, Characteristics, Citation, Clinical, Clinical Trial, Clinical Trials, Clinical-Trials, Coagulation, Collection, Colorectal Cancer, Complications, Computed Tomography, Confidence, Conventional, Criteria, Data, Data Collection, Death, Design, Design Characteristics, Diagnosis, Differences, Disease, Effects, Embase, Empirical-Evidence, Energy, Evaluation, Events, Evidence, Extraction, Follow-Up, Groups, Guidance, Hazard, Hepatic Metastases, Ib, Information, Information Size, Interval, Intervention, Interventions, Liver, Liver Cancer, Location, Measures, </w:t>
      </w:r>
      <w:r w:rsidR="00D5664A">
        <w:rPr>
          <w:kern w:val="0"/>
        </w:rPr>
        <w:t>MEDLINE</w:t>
      </w:r>
      <w:r>
        <w:rPr>
          <w:kern w:val="0"/>
        </w:rPr>
        <w:t>, Metastases, Metastatic Disease, Methodology, Methods, Microwave, Mortality, Necrosis, Outcome, Outcome Measures, Outcomes, Patients, Primary, Radiofrequency Ablation, Randomised, Randomized Controlled-Trials, Recurrence, Reduction, Requirement, Review, Risk, Risk Assessment, Science, Science Citation Index, Science Citation Index Expanded, Search, Sequential-Analysis, Site, Size, Surgery, Survival, Therapy, Transfusion, Treatment, Trial, Tumour Size, Ultrasound, Unresectable Hepatocellular-Carcinoma</w:t>
      </w:r>
    </w:p>
    <w:p w:rsidR="0097422C" w:rsidRDefault="0097422C" w:rsidP="0097422C">
      <w:pPr>
        <w:pStyle w:val="a3"/>
        <w:rPr>
          <w:kern w:val="0"/>
        </w:rPr>
      </w:pPr>
      <w:r>
        <w:rPr>
          <w:rFonts w:hint="eastAsia"/>
          <w:kern w:val="0"/>
        </w:rPr>
        <w:lastRenderedPageBreak/>
        <w:t xml:space="preserve">? </w:t>
      </w:r>
      <w:r>
        <w:rPr>
          <w:kern w:val="0"/>
        </w:rPr>
        <w:t>Hughes, C., Tunney, M.</w:t>
      </w:r>
      <w:r w:rsidR="005853A9">
        <w:rPr>
          <w:kern w:val="0"/>
        </w:rPr>
        <w:t xml:space="preserve"> and </w:t>
      </w:r>
      <w:r>
        <w:rPr>
          <w:kern w:val="0"/>
        </w:rPr>
        <w:t>Bradley, M.C. (2013), Infection control strategies for preventing the transmission</w:t>
      </w:r>
      <w:r w:rsidR="00427468">
        <w:rPr>
          <w:kern w:val="0"/>
        </w:rPr>
        <w:t xml:space="preserve"> of </w:t>
      </w:r>
      <w:r>
        <w:rPr>
          <w:kern w:val="0"/>
        </w:rPr>
        <w:t xml:space="preserve">meticillin-resistant Staphylococcus aureus (MRSA) in nursing homes for older people.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xml:space="preserve">, Article Number: </w:t>
      </w:r>
      <w:r w:rsidRPr="00EE5553">
        <w:rPr>
          <w:kern w:val="0"/>
        </w:rPr>
        <w:t>CD006354</w:t>
      </w:r>
      <w:r>
        <w:rPr>
          <w:kern w:val="0"/>
        </w:rPr>
        <w:t>.</w:t>
      </w:r>
    </w:p>
    <w:p w:rsidR="0097422C" w:rsidRDefault="0097422C" w:rsidP="0097422C">
      <w:pPr>
        <w:pStyle w:val="a3"/>
        <w:rPr>
          <w:kern w:val="2"/>
        </w:rPr>
      </w:pPr>
      <w:r>
        <w:t xml:space="preserve">Full Text: 2013\Coc Dat Sys Rev2013, </w:t>
      </w:r>
      <w:r w:rsidRPr="00EE5553">
        <w:rPr>
          <w:kern w:val="0"/>
        </w:rPr>
        <w:t>CD006354</w:t>
      </w:r>
      <w:r>
        <w:t>.pdf</w:t>
      </w:r>
    </w:p>
    <w:p w:rsidR="0097422C" w:rsidRDefault="0097422C" w:rsidP="0097422C">
      <w:pPr>
        <w:pStyle w:val="a3"/>
        <w:rPr>
          <w:kern w:val="0"/>
        </w:rPr>
      </w:pPr>
      <w:r>
        <w:rPr>
          <w:kern w:val="0"/>
        </w:rPr>
        <w:t>Abstract: Background Nursing homes for older people provide an environment likely to promote the acquisition</w:t>
      </w:r>
      <w:r w:rsidR="005853A9">
        <w:rPr>
          <w:kern w:val="0"/>
        </w:rPr>
        <w:t xml:space="preserve"> and </w:t>
      </w:r>
      <w:r>
        <w:rPr>
          <w:kern w:val="0"/>
        </w:rPr>
        <w:t>spread</w:t>
      </w:r>
      <w:r w:rsidR="00427468">
        <w:rPr>
          <w:kern w:val="0"/>
        </w:rPr>
        <w:t xml:space="preserve"> of </w:t>
      </w:r>
      <w:r>
        <w:rPr>
          <w:kern w:val="0"/>
        </w:rPr>
        <w:t>meticillin-resistant Staphylococcus aureus (MRSA), putting residents at increased risk</w:t>
      </w:r>
      <w:r w:rsidR="00427468">
        <w:rPr>
          <w:kern w:val="0"/>
        </w:rPr>
        <w:t xml:space="preserve"> of </w:t>
      </w:r>
      <w:r>
        <w:rPr>
          <w:kern w:val="0"/>
        </w:rPr>
        <w:t>colonisation</w:t>
      </w:r>
      <w:r w:rsidR="005853A9">
        <w:rPr>
          <w:kern w:val="0"/>
        </w:rPr>
        <w:t xml:space="preserve"> and </w:t>
      </w:r>
      <w:r>
        <w:rPr>
          <w:kern w:val="0"/>
        </w:rPr>
        <w:t>infection. It is recognised that infection prevention</w:t>
      </w:r>
      <w:r w:rsidR="005853A9">
        <w:rPr>
          <w:kern w:val="0"/>
        </w:rPr>
        <w:t xml:space="preserve"> and </w:t>
      </w:r>
      <w:r>
        <w:rPr>
          <w:kern w:val="0"/>
        </w:rPr>
        <w:t>control strategies are important in preventing</w:t>
      </w:r>
      <w:r w:rsidR="005853A9">
        <w:rPr>
          <w:kern w:val="0"/>
        </w:rPr>
        <w:t xml:space="preserve"> and </w:t>
      </w:r>
      <w:r>
        <w:rPr>
          <w:kern w:val="0"/>
        </w:rPr>
        <w:t>controlling MRSA transmission. Objectives To determine the effects</w:t>
      </w:r>
      <w:r w:rsidR="00427468">
        <w:rPr>
          <w:kern w:val="0"/>
        </w:rPr>
        <w:t xml:space="preserve"> of </w:t>
      </w:r>
      <w:r>
        <w:rPr>
          <w:kern w:val="0"/>
        </w:rPr>
        <w:t>infection prevention</w:t>
      </w:r>
      <w:r w:rsidR="005853A9">
        <w:rPr>
          <w:kern w:val="0"/>
        </w:rPr>
        <w:t xml:space="preserve"> and </w:t>
      </w:r>
      <w:r>
        <w:rPr>
          <w:kern w:val="0"/>
        </w:rPr>
        <w:t>control strategies for preventing the transmission</w:t>
      </w:r>
      <w:r w:rsidR="00427468">
        <w:rPr>
          <w:kern w:val="0"/>
        </w:rPr>
        <w:t xml:space="preserve"> of </w:t>
      </w:r>
      <w:r>
        <w:rPr>
          <w:kern w:val="0"/>
        </w:rPr>
        <w:t>MRSA in nursing homes for older people. Search methods In August 2013, for this third update, we searched the Cochrane Wounds Group Specialised Register, the Cochrane Central Register</w:t>
      </w:r>
      <w:r w:rsidR="00427468">
        <w:rPr>
          <w:kern w:val="0"/>
        </w:rPr>
        <w:t xml:space="preserve"> of </w:t>
      </w:r>
      <w:r>
        <w:rPr>
          <w:kern w:val="0"/>
        </w:rPr>
        <w:t>Controlled Trials (CENTRAL, The Cochrane Library),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 xml:space="preserve">Effects (DARE, The Cochrane Library), Ovid </w:t>
      </w:r>
      <w:r w:rsidR="00D5664A">
        <w:rPr>
          <w:kern w:val="0"/>
        </w:rPr>
        <w:t>MEDLINE</w:t>
      </w:r>
      <w:r>
        <w:rPr>
          <w:kern w:val="0"/>
        </w:rPr>
        <w:t xml:space="preserve">, OVID </w:t>
      </w:r>
      <w:r w:rsidR="00D5664A">
        <w:rPr>
          <w:kern w:val="0"/>
        </w:rPr>
        <w:t>MEDLINE</w:t>
      </w:r>
      <w:r>
        <w:rPr>
          <w:kern w:val="0"/>
        </w:rPr>
        <w:t xml:space="preserve"> (In-process</w:t>
      </w:r>
      <w:r w:rsidR="005853A9">
        <w:rPr>
          <w:kern w:val="0"/>
        </w:rPr>
        <w:t xml:space="preserve"> and </w:t>
      </w:r>
      <w:r>
        <w:rPr>
          <w:kern w:val="0"/>
        </w:rPr>
        <w:t xml:space="preserve">Other Non-Indexed Citations), Ovid EMBASE, EBSCO CINAHL, </w:t>
      </w:r>
      <w:r w:rsidR="00D5664A">
        <w:rPr>
          <w:kern w:val="0"/>
        </w:rPr>
        <w:t>Web</w:t>
      </w:r>
      <w:r w:rsidR="00427468">
        <w:rPr>
          <w:kern w:val="0"/>
        </w:rPr>
        <w:t xml:space="preserve"> of </w:t>
      </w:r>
      <w:r w:rsidR="00D5664A">
        <w:rPr>
          <w:kern w:val="0"/>
        </w:rPr>
        <w:t>Science</w:t>
      </w:r>
      <w:r w:rsidR="005853A9">
        <w:rPr>
          <w:kern w:val="0"/>
        </w:rPr>
        <w:t xml:space="preserve"> and </w:t>
      </w:r>
      <w:r>
        <w:rPr>
          <w:kern w:val="0"/>
        </w:rPr>
        <w:t>the Health Technology Assessment (HTA) website. Research in progress was sought through Current Clinical Trials, Gateway to Reseach,</w:t>
      </w:r>
      <w:r w:rsidR="005853A9">
        <w:rPr>
          <w:kern w:val="0"/>
        </w:rPr>
        <w:t xml:space="preserve"> and </w:t>
      </w:r>
      <w:r>
        <w:rPr>
          <w:kern w:val="0"/>
        </w:rPr>
        <w:t>HSRProj (Health Services Research Projects in Progress). Selection criteria All randomised</w:t>
      </w:r>
      <w:r w:rsidR="005853A9">
        <w:rPr>
          <w:kern w:val="0"/>
        </w:rPr>
        <w:t xml:space="preserve"> and </w:t>
      </w:r>
      <w:r>
        <w:rPr>
          <w:kern w:val="0"/>
        </w:rPr>
        <w:t>controlled clinical trials, controlled before</w:t>
      </w:r>
      <w:r w:rsidR="005853A9">
        <w:rPr>
          <w:kern w:val="0"/>
        </w:rPr>
        <w:t xml:space="preserve"> and </w:t>
      </w:r>
      <w:r>
        <w:rPr>
          <w:kern w:val="0"/>
        </w:rPr>
        <w:t>after studies</w:t>
      </w:r>
      <w:r w:rsidR="005853A9">
        <w:rPr>
          <w:kern w:val="0"/>
        </w:rPr>
        <w:t xml:space="preserve"> and </w:t>
      </w:r>
      <w:r>
        <w:rPr>
          <w:kern w:val="0"/>
        </w:rPr>
        <w:t>interrupted time series studies</w:t>
      </w:r>
      <w:r w:rsidR="00427468">
        <w:rPr>
          <w:kern w:val="0"/>
        </w:rPr>
        <w:t xml:space="preserve"> of </w:t>
      </w:r>
      <w:r>
        <w:rPr>
          <w:kern w:val="0"/>
        </w:rPr>
        <w:t>infection prevention</w:t>
      </w:r>
      <w:r w:rsidR="005853A9">
        <w:rPr>
          <w:kern w:val="0"/>
        </w:rPr>
        <w:t xml:space="preserve"> and </w:t>
      </w:r>
      <w:r>
        <w:rPr>
          <w:kern w:val="0"/>
        </w:rPr>
        <w:t>control interventions in nursing homes for older people were eligible for inclusion. Data collection</w:t>
      </w:r>
      <w:r w:rsidR="005853A9">
        <w:rPr>
          <w:kern w:val="0"/>
        </w:rPr>
        <w:t xml:space="preserve"> and </w:t>
      </w:r>
      <w:r>
        <w:rPr>
          <w:kern w:val="0"/>
        </w:rPr>
        <w:t>analysis Two review authors independently reviewed the results</w:t>
      </w:r>
      <w:r w:rsidR="00427468">
        <w:rPr>
          <w:kern w:val="0"/>
        </w:rPr>
        <w:t xml:space="preserve"> of </w:t>
      </w:r>
      <w:r>
        <w:rPr>
          <w:kern w:val="0"/>
        </w:rPr>
        <w:t>the searches. Another review author appraised identified papers</w:t>
      </w:r>
      <w:r w:rsidR="005853A9">
        <w:rPr>
          <w:kern w:val="0"/>
        </w:rPr>
        <w:t xml:space="preserve"> and </w:t>
      </w:r>
      <w:r>
        <w:rPr>
          <w:kern w:val="0"/>
        </w:rPr>
        <w:t>undertook data extraction which was checked by a second review author. Main results For this third update only one study was identified, therefore it was not possible to undertake a meta-analysis. A cluster randomised controlled trial in 32 nursing homes evaluated the effect</w:t>
      </w:r>
      <w:r w:rsidR="00427468">
        <w:rPr>
          <w:kern w:val="0"/>
        </w:rPr>
        <w:t xml:space="preserve"> of </w:t>
      </w:r>
      <w:r>
        <w:rPr>
          <w:kern w:val="0"/>
        </w:rPr>
        <w:t>an infection control education</w:t>
      </w:r>
      <w:r w:rsidR="005853A9">
        <w:rPr>
          <w:kern w:val="0"/>
        </w:rPr>
        <w:t xml:space="preserve"> and </w:t>
      </w:r>
      <w:r>
        <w:rPr>
          <w:kern w:val="0"/>
        </w:rPr>
        <w:t>training programme on MRSA prevalence</w:t>
      </w:r>
      <w:r w:rsidR="00A37C1D">
        <w:rPr>
          <w:kern w:val="0"/>
        </w:rPr>
        <w:t>. The</w:t>
      </w:r>
      <w:r>
        <w:rPr>
          <w:kern w:val="0"/>
        </w:rPr>
        <w:t xml:space="preserve"> primary outcome was MRSA prevalence in residents</w:t>
      </w:r>
      <w:r w:rsidR="005853A9">
        <w:rPr>
          <w:kern w:val="0"/>
        </w:rPr>
        <w:t xml:space="preserve"> and </w:t>
      </w:r>
      <w:r>
        <w:rPr>
          <w:kern w:val="0"/>
        </w:rPr>
        <w:t>staff,</w:t>
      </w:r>
      <w:r w:rsidR="005853A9">
        <w:rPr>
          <w:kern w:val="0"/>
        </w:rPr>
        <w:t xml:space="preserve"> and </w:t>
      </w:r>
      <w:r>
        <w:rPr>
          <w:kern w:val="0"/>
        </w:rPr>
        <w:t>a change in infection control audit scores which measured adherence to infection control standards. At the end</w:t>
      </w:r>
      <w:r w:rsidR="00427468">
        <w:rPr>
          <w:kern w:val="0"/>
        </w:rPr>
        <w:t xml:space="preserve"> of </w:t>
      </w:r>
      <w:r>
        <w:rPr>
          <w:kern w:val="0"/>
        </w:rPr>
        <w:t>the 12 month study, there was no change in MRSA prevalence between intervention</w:t>
      </w:r>
      <w:r w:rsidR="005853A9">
        <w:rPr>
          <w:kern w:val="0"/>
        </w:rPr>
        <w:t xml:space="preserve"> and </w:t>
      </w:r>
      <w:r>
        <w:rPr>
          <w:kern w:val="0"/>
        </w:rPr>
        <w:t>control sites, while mean infection control audit scores were significantly higher in the intervention homes compared with control homes. Authors</w:t>
      </w:r>
      <w:r w:rsidR="0071223E">
        <w:rPr>
          <w:kern w:val="0"/>
        </w:rPr>
        <w:t>’</w:t>
      </w:r>
      <w:r>
        <w:rPr>
          <w:kern w:val="0"/>
        </w:rPr>
        <w:t xml:space="preserve"> conclusions There is a lack</w:t>
      </w:r>
      <w:r w:rsidR="00427468">
        <w:rPr>
          <w:kern w:val="0"/>
        </w:rPr>
        <w:t xml:space="preserve"> of </w:t>
      </w:r>
      <w:r>
        <w:rPr>
          <w:kern w:val="0"/>
        </w:rPr>
        <w:t>research evaluating the effects on MRSA transmission</w:t>
      </w:r>
      <w:r w:rsidR="00427468">
        <w:rPr>
          <w:kern w:val="0"/>
        </w:rPr>
        <w:t xml:space="preserve"> of </w:t>
      </w:r>
      <w:r>
        <w:rPr>
          <w:kern w:val="0"/>
        </w:rPr>
        <w:t>infection prevention</w:t>
      </w:r>
      <w:r w:rsidR="005853A9">
        <w:rPr>
          <w:kern w:val="0"/>
        </w:rPr>
        <w:t xml:space="preserve"> and </w:t>
      </w:r>
      <w:r>
        <w:rPr>
          <w:kern w:val="0"/>
        </w:rPr>
        <w:t>control strategies in nursing homes. Rigorous studies should be conducted in nursing homes, involving residents</w:t>
      </w:r>
      <w:r w:rsidR="005853A9">
        <w:rPr>
          <w:kern w:val="0"/>
        </w:rPr>
        <w:t xml:space="preserve"> and </w:t>
      </w:r>
      <w:r>
        <w:rPr>
          <w:kern w:val="0"/>
        </w:rPr>
        <w:t>staff to test interventions that have been specifically designed for this unique environment.</w:t>
      </w:r>
    </w:p>
    <w:p w:rsidR="0097422C" w:rsidRDefault="0097422C" w:rsidP="0097422C">
      <w:pPr>
        <w:pStyle w:val="a3"/>
        <w:rPr>
          <w:kern w:val="0"/>
        </w:rPr>
      </w:pPr>
      <w:r>
        <w:rPr>
          <w:kern w:val="0"/>
        </w:rPr>
        <w:t xml:space="preserve">Keywords: Adherence, Aged, Analysis, Antibiotic Use, Assessment, Audit, Authors, </w:t>
      </w:r>
      <w:r>
        <w:rPr>
          <w:kern w:val="0"/>
        </w:rPr>
        <w:lastRenderedPageBreak/>
        <w:t>Citations, Clinical, Clinical Trials, Cluster, Collection, Colonisation, Colonization, Control, Controlled Trial, Criteria, Cross Infection [Prevention &amp; Control, Data, Data Collection, Database, Education, Education</w:t>
      </w:r>
      <w:r w:rsidR="005853A9">
        <w:rPr>
          <w:kern w:val="0"/>
        </w:rPr>
        <w:t xml:space="preserve"> and </w:t>
      </w:r>
      <w:r>
        <w:rPr>
          <w:kern w:val="0"/>
        </w:rPr>
        <w:t xml:space="preserve">Training, Effects, Embase, Environment, Extraction, Gram-Negative Bacilli, Hand Hygiene, Health-Care, Homes For The Aged, Hta, Humans, Infection, Infection Control, Infection Control [Methods], Interrupted Time Series, Intervention, Interventions, </w:t>
      </w:r>
      <w:r w:rsidR="00D5664A">
        <w:rPr>
          <w:kern w:val="0"/>
        </w:rPr>
        <w:t>MEDLINE</w:t>
      </w:r>
      <w:r>
        <w:rPr>
          <w:kern w:val="0"/>
        </w:rPr>
        <w:t>, Meta Analysis, Meta-Analysis, Metaanalysis, Methicillin-Resistant, Methicillin-Resistant Staphylococcus Aureus [Drug Effects], Methods, Molecular Epidemiology, Mrsa, Nursing, Nursing Homes, Older People, Outcome, Papers, Prevalence, Prevention, Prevention</w:t>
      </w:r>
      <w:r w:rsidR="005853A9">
        <w:rPr>
          <w:kern w:val="0"/>
        </w:rPr>
        <w:t xml:space="preserve"> and </w:t>
      </w:r>
      <w:r>
        <w:rPr>
          <w:kern w:val="0"/>
        </w:rPr>
        <w:t xml:space="preserve">Control, Primary, Progress, Randomised, Randomised Controlled Trial, Randomized Controlled Trials As Topic, Research, Residents, Review, Risk, Risk-Factors, Science, Search, Standards, Staphylococcal Infections [Prevention &amp; Control, Staphylococcus Aureus, Technology, Technology Assessment, Term-Care Facility, Time Series, Training, Transmission, Transmission], Trial, </w:t>
      </w:r>
      <w:r w:rsidR="00D5664A">
        <w:rPr>
          <w:kern w:val="0"/>
        </w:rPr>
        <w:t>Web</w:t>
      </w:r>
      <w:r w:rsidR="00427468">
        <w:rPr>
          <w:kern w:val="0"/>
        </w:rPr>
        <w:t xml:space="preserve"> of </w:t>
      </w:r>
      <w:r w:rsidR="00D5664A">
        <w:rPr>
          <w:kern w:val="0"/>
        </w:rPr>
        <w:t>Science</w:t>
      </w:r>
    </w:p>
    <w:p w:rsidR="0097422C" w:rsidRDefault="0097422C" w:rsidP="0097422C">
      <w:pPr>
        <w:pStyle w:val="a3"/>
        <w:rPr>
          <w:kern w:val="0"/>
        </w:rPr>
      </w:pPr>
      <w:r>
        <w:rPr>
          <w:rFonts w:hint="eastAsia"/>
          <w:kern w:val="0"/>
        </w:rPr>
        <w:t xml:space="preserve">? </w:t>
      </w:r>
      <w:r>
        <w:rPr>
          <w:kern w:val="0"/>
        </w:rPr>
        <w:t>Brand, M.</w:t>
      </w:r>
      <w:r w:rsidR="005853A9">
        <w:rPr>
          <w:kern w:val="0"/>
        </w:rPr>
        <w:t xml:space="preserve"> and </w:t>
      </w:r>
      <w:r>
        <w:rPr>
          <w:kern w:val="0"/>
        </w:rPr>
        <w:t xml:space="preserve">Grieve, A. (2013), Prophylactic antibiotics for penetrating abdominal trauma.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Article Number: CD007370.</w:t>
      </w:r>
    </w:p>
    <w:p w:rsidR="0097422C" w:rsidRDefault="0097422C" w:rsidP="0097422C">
      <w:pPr>
        <w:pStyle w:val="a3"/>
        <w:rPr>
          <w:kern w:val="2"/>
        </w:rPr>
      </w:pPr>
      <w:r>
        <w:t xml:space="preserve">Full Text: 2013\Coc Dat Sys Rev2013, </w:t>
      </w:r>
      <w:r>
        <w:rPr>
          <w:kern w:val="0"/>
        </w:rPr>
        <w:t>CD007370</w:t>
      </w:r>
      <w:r>
        <w:t>.pdf</w:t>
      </w:r>
    </w:p>
    <w:p w:rsidR="0097422C" w:rsidRDefault="0097422C" w:rsidP="0097422C">
      <w:pPr>
        <w:pStyle w:val="a3"/>
        <w:rPr>
          <w:kern w:val="0"/>
        </w:rPr>
      </w:pPr>
      <w:r>
        <w:rPr>
          <w:kern w:val="0"/>
        </w:rPr>
        <w:t>Abstract: Background Penetrating abdominal trauma occurs when the peritoneal cavity is breached. Routine laparotomy for penetrating abdominal injuries began in the 1800s, with antibiotics first being used in World War II to combat septic complications associated with these injuries. This practice was marked with a reduction in sepsis-related mortality</w:t>
      </w:r>
      <w:r w:rsidR="005853A9">
        <w:rPr>
          <w:kern w:val="0"/>
        </w:rPr>
        <w:t xml:space="preserve"> and </w:t>
      </w:r>
      <w:r>
        <w:rPr>
          <w:kern w:val="0"/>
        </w:rPr>
        <w:t>morbidity. Whether prophylactic antibiotics are required in the prevention</w:t>
      </w:r>
      <w:r w:rsidR="00427468">
        <w:rPr>
          <w:kern w:val="0"/>
        </w:rPr>
        <w:t xml:space="preserve"> of </w:t>
      </w:r>
      <w:r>
        <w:rPr>
          <w:kern w:val="0"/>
        </w:rPr>
        <w:t>infective complications following penetrating abdominal trauma is controversial, however, as no randomised placebo controlled trials have been published to date</w:t>
      </w:r>
      <w:r w:rsidR="00A37C1D">
        <w:rPr>
          <w:kern w:val="0"/>
        </w:rPr>
        <w:t>. The</w:t>
      </w:r>
      <w:r>
        <w:rPr>
          <w:kern w:val="0"/>
        </w:rPr>
        <w:t>re has also been debate about the timing</w:t>
      </w:r>
      <w:r w:rsidR="00427468">
        <w:rPr>
          <w:kern w:val="0"/>
        </w:rPr>
        <w:t xml:space="preserve"> of </w:t>
      </w:r>
      <w:r>
        <w:rPr>
          <w:kern w:val="0"/>
        </w:rPr>
        <w:t>antibiotic prophylaxis. In 1972 Fullen noted a 7% to 11% post-surgical infection rate with pre-operative antibiotics, a 33% to 57% infection rate with intra-operative antibiotic administration</w:t>
      </w:r>
      <w:r w:rsidR="005853A9">
        <w:rPr>
          <w:kern w:val="0"/>
        </w:rPr>
        <w:t xml:space="preserve"> and </w:t>
      </w:r>
      <w:r>
        <w:rPr>
          <w:kern w:val="0"/>
        </w:rPr>
        <w:t>30% to 70% infection rate with only post-operative antibiotic administration. Current guidelines state there is sufficient class I evidence to support the use</w:t>
      </w:r>
      <w:r w:rsidR="00427468">
        <w:rPr>
          <w:kern w:val="0"/>
        </w:rPr>
        <w:t xml:space="preserve"> of </w:t>
      </w:r>
      <w:r>
        <w:rPr>
          <w:kern w:val="0"/>
        </w:rPr>
        <w:t>a single pre-operative broad spectrum antibiotic dose, with aerobic</w:t>
      </w:r>
      <w:r w:rsidR="005853A9">
        <w:rPr>
          <w:kern w:val="0"/>
        </w:rPr>
        <w:t xml:space="preserve"> and </w:t>
      </w:r>
      <w:r>
        <w:rPr>
          <w:kern w:val="0"/>
        </w:rPr>
        <w:t>anaerobic cover,</w:t>
      </w:r>
      <w:r w:rsidR="005853A9">
        <w:rPr>
          <w:kern w:val="0"/>
        </w:rPr>
        <w:t xml:space="preserve"> and </w:t>
      </w:r>
      <w:r>
        <w:rPr>
          <w:kern w:val="0"/>
        </w:rPr>
        <w:t>continuation (up to 24 hours) only in the event</w:t>
      </w:r>
      <w:r w:rsidR="00427468">
        <w:rPr>
          <w:kern w:val="0"/>
        </w:rPr>
        <w:t xml:space="preserve"> of </w:t>
      </w:r>
      <w:r>
        <w:rPr>
          <w:kern w:val="0"/>
        </w:rPr>
        <w:t>a hollow viscus perforation found at exploratory laparotomy. Objectives To assess the benefits</w:t>
      </w:r>
      <w:r w:rsidR="005853A9">
        <w:rPr>
          <w:kern w:val="0"/>
        </w:rPr>
        <w:t xml:space="preserve"> and </w:t>
      </w:r>
      <w:r>
        <w:rPr>
          <w:kern w:val="0"/>
        </w:rPr>
        <w:t>harms</w:t>
      </w:r>
      <w:r w:rsidR="00427468">
        <w:rPr>
          <w:kern w:val="0"/>
        </w:rPr>
        <w:t xml:space="preserve"> of </w:t>
      </w:r>
      <w:r>
        <w:rPr>
          <w:kern w:val="0"/>
        </w:rPr>
        <w:t>prophylactic antibiotics administered for penetrating abdominal injuries for the reduction</w:t>
      </w:r>
      <w:r w:rsidR="00427468">
        <w:rPr>
          <w:kern w:val="0"/>
        </w:rPr>
        <w:t xml:space="preserve"> of </w:t>
      </w:r>
      <w:r>
        <w:rPr>
          <w:kern w:val="0"/>
        </w:rPr>
        <w:t>the incidence</w:t>
      </w:r>
      <w:r w:rsidR="00427468">
        <w:rPr>
          <w:kern w:val="0"/>
        </w:rPr>
        <w:t xml:space="preserve"> of </w:t>
      </w:r>
      <w:r>
        <w:rPr>
          <w:kern w:val="0"/>
        </w:rPr>
        <w:t>septic complications, such as septicaemia, intra-abdominal abscesses</w:t>
      </w:r>
      <w:r w:rsidR="005853A9">
        <w:rPr>
          <w:kern w:val="0"/>
        </w:rPr>
        <w:t xml:space="preserve"> and </w:t>
      </w:r>
      <w:r>
        <w:rPr>
          <w:kern w:val="0"/>
        </w:rPr>
        <w:t>wound infections. Search methods Searches were not restricted by date, language or publication status. We searched the following electronic databases: the Cochrane Injuries Group Specialised Register, CENTRAL (The Cochrane Library 2013, issue 12</w:t>
      </w:r>
      <w:r w:rsidR="00427468">
        <w:rPr>
          <w:kern w:val="0"/>
        </w:rPr>
        <w:t xml:space="preserve"> of </w:t>
      </w:r>
      <w:r>
        <w:rPr>
          <w:kern w:val="0"/>
        </w:rPr>
        <w:t xml:space="preserve">12), </w:t>
      </w:r>
      <w:r w:rsidR="00D5664A">
        <w:rPr>
          <w:kern w:val="0"/>
        </w:rPr>
        <w:t>MEDLINE</w:t>
      </w:r>
      <w:r>
        <w:rPr>
          <w:kern w:val="0"/>
        </w:rPr>
        <w:t xml:space="preserve"> (OvidSP), Embase (OvidSP), ISI </w:t>
      </w:r>
      <w:r w:rsidR="00D5664A">
        <w:rPr>
          <w:kern w:val="0"/>
        </w:rPr>
        <w:t>Web</w:t>
      </w:r>
      <w:r w:rsidR="00427468">
        <w:rPr>
          <w:kern w:val="0"/>
        </w:rPr>
        <w:t xml:space="preserve"> of </w:t>
      </w:r>
      <w:r w:rsidR="00D5664A">
        <w:rPr>
          <w:kern w:val="0"/>
        </w:rPr>
        <w:t>Science</w:t>
      </w:r>
      <w:r>
        <w:rPr>
          <w:kern w:val="0"/>
        </w:rPr>
        <w:t xml:space="preserve">: Science Citation Index Expanded </w:t>
      </w:r>
      <w:r>
        <w:rPr>
          <w:kern w:val="0"/>
        </w:rPr>
        <w:lastRenderedPageBreak/>
        <w:t xml:space="preserve">(SCI-EXPANDED), ISI </w:t>
      </w:r>
      <w:r w:rsidR="00D5664A">
        <w:rPr>
          <w:kern w:val="0"/>
        </w:rPr>
        <w:t>Web</w:t>
      </w:r>
      <w:r w:rsidR="00427468">
        <w:rPr>
          <w:kern w:val="0"/>
        </w:rPr>
        <w:t xml:space="preserve"> of </w:t>
      </w:r>
      <w:r w:rsidR="00D5664A">
        <w:rPr>
          <w:kern w:val="0"/>
        </w:rPr>
        <w:t>Science</w:t>
      </w:r>
      <w:r>
        <w:rPr>
          <w:kern w:val="0"/>
        </w:rPr>
        <w:t>: Conference Proceedings Citation Index-Science (CPCI-S)</w:t>
      </w:r>
      <w:r w:rsidR="005853A9">
        <w:rPr>
          <w:kern w:val="0"/>
        </w:rPr>
        <w:t xml:space="preserve"> and </w:t>
      </w:r>
      <w:r>
        <w:rPr>
          <w:kern w:val="0"/>
        </w:rPr>
        <w:t>PubMed. Searches were last conducted in January 2013. Selection criteria All randomised controlled trials</w:t>
      </w:r>
      <w:r w:rsidR="00427468">
        <w:rPr>
          <w:kern w:val="0"/>
        </w:rPr>
        <w:t xml:space="preserve"> of </w:t>
      </w:r>
      <w:r>
        <w:rPr>
          <w:kern w:val="0"/>
        </w:rPr>
        <w:t>antibiotic prophylaxis in patients with penetrating abdominal trauma versus no antibiotics or placebo. Data collection</w:t>
      </w:r>
      <w:r w:rsidR="005853A9">
        <w:rPr>
          <w:kern w:val="0"/>
        </w:rPr>
        <w:t xml:space="preserve"> and </w:t>
      </w:r>
      <w:r>
        <w:rPr>
          <w:kern w:val="0"/>
        </w:rPr>
        <w:t>analysis Two authors screened the literature search results independently. Main results We identified no trials meeting the inclusion criteria. Authors</w:t>
      </w:r>
      <w:r w:rsidR="0071223E">
        <w:rPr>
          <w:kern w:val="0"/>
        </w:rPr>
        <w:t>’</w:t>
      </w:r>
      <w:r>
        <w:rPr>
          <w:kern w:val="0"/>
        </w:rPr>
        <w:t xml:space="preserve"> conclusions There is currently no information from randomised controlled trials to support or refute the use</w:t>
      </w:r>
      <w:r w:rsidR="00427468">
        <w:rPr>
          <w:kern w:val="0"/>
        </w:rPr>
        <w:t xml:space="preserve"> of </w:t>
      </w:r>
      <w:r>
        <w:rPr>
          <w:kern w:val="0"/>
        </w:rPr>
        <w:t>antibiotics for patients with penetrating abdominal trauma.</w:t>
      </w:r>
    </w:p>
    <w:p w:rsidR="0097422C" w:rsidRDefault="0097422C" w:rsidP="0097422C">
      <w:pPr>
        <w:pStyle w:val="a3"/>
        <w:rPr>
          <w:kern w:val="0"/>
        </w:rPr>
      </w:pPr>
      <w:r>
        <w:rPr>
          <w:kern w:val="0"/>
        </w:rPr>
        <w:t>Keywords: Abdominal, Abdominal Injuries [Complications], Administration, Analysis, Antibiotic Prophylaxis, Antibiotics, Authors, Benefits, Bias, Citation, Collection, Complications, Conference, Criteria, Data Collection, Databases, Evidence, First, Guidelines, Incidence, Infection, Infections, Information</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Language, Laparotomy, Literature, Literature Search, </w:t>
      </w:r>
      <w:r w:rsidR="00D5664A">
        <w:rPr>
          <w:kern w:val="0"/>
        </w:rPr>
        <w:t>MEDLINE</w:t>
      </w:r>
      <w:r>
        <w:rPr>
          <w:kern w:val="0"/>
        </w:rPr>
        <w:t xml:space="preserve">, Metaanalysis, Methods, Morbidity, Mortality, Patients, Placebo, Postoperative, Practice, Preoperative, Prevention, Prophylactic, Prophylactic Antibiotics, Prophylaxis, Publication, Pubmed, Quality, Randomised, Randomised Controlled Trials, Randomized-Trials, Reduction, Science, Science Citation Index, Science Citation Index Expanded, Search, State, Support, Surgical Wound Infection [Prevention &amp; Control], Timing, Trauma, War, </w:t>
      </w:r>
      <w:r w:rsidR="00D5664A">
        <w:rPr>
          <w:kern w:val="0"/>
        </w:rPr>
        <w:t>Web</w:t>
      </w:r>
      <w:r w:rsidR="00427468">
        <w:rPr>
          <w:kern w:val="0"/>
        </w:rPr>
        <w:t xml:space="preserve"> of </w:t>
      </w:r>
      <w:r w:rsidR="00D5664A">
        <w:rPr>
          <w:kern w:val="0"/>
        </w:rPr>
        <w:t>Science</w:t>
      </w:r>
      <w:r>
        <w:rPr>
          <w:kern w:val="0"/>
        </w:rPr>
        <w:t>, Wound, Wound Infection [Prevention &amp; Control], Wound Infections, Wounds,</w:t>
      </w:r>
      <w:r>
        <w:rPr>
          <w:rFonts w:hint="eastAsia"/>
          <w:kern w:val="0"/>
        </w:rPr>
        <w:t xml:space="preserve"> </w:t>
      </w:r>
      <w:r>
        <w:rPr>
          <w:kern w:val="0"/>
        </w:rPr>
        <w:t>Penetrating [Complications]</w:t>
      </w:r>
    </w:p>
    <w:p w:rsidR="0097422C" w:rsidRDefault="0097422C" w:rsidP="0097422C">
      <w:pPr>
        <w:pStyle w:val="a3"/>
        <w:rPr>
          <w:kern w:val="0"/>
        </w:rPr>
      </w:pPr>
      <w:r>
        <w:rPr>
          <w:rFonts w:hint="eastAsia"/>
          <w:kern w:val="0"/>
        </w:rPr>
        <w:t xml:space="preserve">? </w:t>
      </w:r>
      <w:r>
        <w:rPr>
          <w:kern w:val="0"/>
        </w:rPr>
        <w:t>Hemmingsen, B., Lund, S.S., Gluud, C., Vaag, A., Almdal, T.P., Hemmingsen, C.</w:t>
      </w:r>
      <w:r w:rsidR="005853A9">
        <w:rPr>
          <w:kern w:val="0"/>
        </w:rPr>
        <w:t xml:space="preserve"> and </w:t>
      </w:r>
      <w:r>
        <w:rPr>
          <w:kern w:val="0"/>
        </w:rPr>
        <w:t xml:space="preserve">Wetterslev, J. (2013), Targeting intensive glycaemic control versus targeting conventional glycaemic control for type 2 diabetes mellitus.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xml:space="preserve">, Article Number: </w:t>
      </w:r>
      <w:r w:rsidRPr="00EE5553">
        <w:rPr>
          <w:kern w:val="0"/>
        </w:rPr>
        <w:t>UNSP CD008143</w:t>
      </w:r>
      <w:r>
        <w:rPr>
          <w:kern w:val="0"/>
        </w:rPr>
        <w:t>.</w:t>
      </w:r>
    </w:p>
    <w:p w:rsidR="0097422C" w:rsidRDefault="0097422C" w:rsidP="0097422C">
      <w:pPr>
        <w:pStyle w:val="a3"/>
        <w:rPr>
          <w:kern w:val="2"/>
        </w:rPr>
      </w:pPr>
      <w:r>
        <w:t xml:space="preserve">Full Text: 2013\Coc Dat Sys Rev2013, </w:t>
      </w:r>
      <w:r w:rsidRPr="00EE5553">
        <w:rPr>
          <w:kern w:val="0"/>
        </w:rPr>
        <w:t>UNSP CD008143</w:t>
      </w:r>
      <w:r>
        <w:t>.pdf</w:t>
      </w:r>
    </w:p>
    <w:p w:rsidR="0097422C" w:rsidRDefault="0097422C" w:rsidP="0097422C">
      <w:pPr>
        <w:pStyle w:val="a3"/>
        <w:rPr>
          <w:kern w:val="0"/>
        </w:rPr>
      </w:pPr>
      <w:r>
        <w:rPr>
          <w:kern w:val="0"/>
        </w:rPr>
        <w:t>Abstract: Background Patients with type 2 diabetes mellitus (T2D) have an increased risk</w:t>
      </w:r>
      <w:r w:rsidR="00427468">
        <w:rPr>
          <w:kern w:val="0"/>
        </w:rPr>
        <w:t xml:space="preserve"> of </w:t>
      </w:r>
      <w:r>
        <w:rPr>
          <w:kern w:val="0"/>
        </w:rPr>
        <w:t>cardiovascular disease</w:t>
      </w:r>
      <w:r w:rsidR="005853A9">
        <w:rPr>
          <w:kern w:val="0"/>
        </w:rPr>
        <w:t xml:space="preserve"> and </w:t>
      </w:r>
      <w:r>
        <w:rPr>
          <w:kern w:val="0"/>
        </w:rPr>
        <w:t>mortality compared to the background population. Observational studies report an association between reduced blood glucose</w:t>
      </w:r>
      <w:r w:rsidR="005853A9">
        <w:rPr>
          <w:kern w:val="0"/>
        </w:rPr>
        <w:t xml:space="preserve"> and </w:t>
      </w:r>
      <w:r>
        <w:rPr>
          <w:kern w:val="0"/>
        </w:rPr>
        <w:t>reduced risk</w:t>
      </w:r>
      <w:r w:rsidR="00427468">
        <w:rPr>
          <w:kern w:val="0"/>
        </w:rPr>
        <w:t xml:space="preserve"> of </w:t>
      </w:r>
      <w:r>
        <w:rPr>
          <w:kern w:val="0"/>
        </w:rPr>
        <w:t>both micro-and macrovascular complications in patients with T2D. Our previous systematic review</w:t>
      </w:r>
      <w:r w:rsidR="00427468">
        <w:rPr>
          <w:kern w:val="0"/>
        </w:rPr>
        <w:t xml:space="preserve"> of </w:t>
      </w:r>
      <w:r>
        <w:rPr>
          <w:kern w:val="0"/>
        </w:rPr>
        <w:t>intensive glycaemic control versus conventional glycaemic control was based on 20 randomised clinical trials that randomised 29,986 participants with T2D. We now report our updated review. Objectives To assess the effects</w:t>
      </w:r>
      <w:r w:rsidR="00427468">
        <w:rPr>
          <w:kern w:val="0"/>
        </w:rPr>
        <w:t xml:space="preserve"> of </w:t>
      </w:r>
      <w:r>
        <w:rPr>
          <w:kern w:val="0"/>
        </w:rPr>
        <w:t>targeted intensive glycaemic control compared with conventional glycaemic control in patients with T2D. Search methods Trials were obtained from searches</w:t>
      </w:r>
      <w:r w:rsidR="00427468">
        <w:rPr>
          <w:kern w:val="0"/>
        </w:rPr>
        <w:t xml:space="preserve"> of </w:t>
      </w:r>
      <w:r>
        <w:rPr>
          <w:kern w:val="0"/>
        </w:rPr>
        <w:t xml:space="preserve">The Cochrane Library, </w:t>
      </w:r>
      <w:r w:rsidR="00D5664A">
        <w:rPr>
          <w:kern w:val="0"/>
        </w:rPr>
        <w:t>MEDLINE</w:t>
      </w:r>
      <w:r>
        <w:rPr>
          <w:kern w:val="0"/>
        </w:rPr>
        <w:t>, EMBASE, Science Citation Index Expanded, LILACS,</w:t>
      </w:r>
      <w:r w:rsidR="005853A9">
        <w:rPr>
          <w:kern w:val="0"/>
        </w:rPr>
        <w:t xml:space="preserve"> and </w:t>
      </w:r>
      <w:r>
        <w:rPr>
          <w:kern w:val="0"/>
        </w:rPr>
        <w:t>CINAHL (all until December 2012). Selection criteria We included randomised clinical trials that prespecified targets</w:t>
      </w:r>
      <w:r w:rsidR="00427468">
        <w:rPr>
          <w:kern w:val="0"/>
        </w:rPr>
        <w:t xml:space="preserve"> of </w:t>
      </w:r>
      <w:r>
        <w:rPr>
          <w:kern w:val="0"/>
        </w:rPr>
        <w:t xml:space="preserve">intensive glycaemic control versus conventional glycaemic control targets in adults with T2D. Data </w:t>
      </w:r>
      <w:r>
        <w:rPr>
          <w:kern w:val="0"/>
        </w:rPr>
        <w:lastRenderedPageBreak/>
        <w:t>collection</w:t>
      </w:r>
      <w:r w:rsidR="005853A9">
        <w:rPr>
          <w:kern w:val="0"/>
        </w:rPr>
        <w:t xml:space="preserve"> and </w:t>
      </w:r>
      <w:r>
        <w:rPr>
          <w:kern w:val="0"/>
        </w:rPr>
        <w:t>analysis Two authors independently assessed the risk</w:t>
      </w:r>
      <w:r w:rsidR="00427468">
        <w:rPr>
          <w:kern w:val="0"/>
        </w:rPr>
        <w:t xml:space="preserve"> of </w:t>
      </w:r>
      <w:r>
        <w:rPr>
          <w:kern w:val="0"/>
        </w:rPr>
        <w:t>bias</w:t>
      </w:r>
      <w:r w:rsidR="005853A9">
        <w:rPr>
          <w:kern w:val="0"/>
        </w:rPr>
        <w:t xml:space="preserve"> and </w:t>
      </w:r>
      <w:r>
        <w:rPr>
          <w:kern w:val="0"/>
        </w:rPr>
        <w:t>extracted data. Dichotomous outcomes were assessed by risk ratios (RR)</w:t>
      </w:r>
      <w:r w:rsidR="005853A9">
        <w:rPr>
          <w:kern w:val="0"/>
        </w:rPr>
        <w:t xml:space="preserve"> and </w:t>
      </w:r>
      <w:r>
        <w:rPr>
          <w:kern w:val="0"/>
        </w:rPr>
        <w:t>95% confidence intervals (CI). Health-related quality</w:t>
      </w:r>
      <w:r w:rsidR="00427468">
        <w:rPr>
          <w:kern w:val="0"/>
        </w:rPr>
        <w:t xml:space="preserve"> of </w:t>
      </w:r>
      <w:r>
        <w:rPr>
          <w:kern w:val="0"/>
        </w:rPr>
        <w:t>life</w:t>
      </w:r>
      <w:r w:rsidR="005853A9">
        <w:rPr>
          <w:kern w:val="0"/>
        </w:rPr>
        <w:t xml:space="preserve"> and </w:t>
      </w:r>
      <w:r>
        <w:rPr>
          <w:kern w:val="0"/>
        </w:rPr>
        <w:t>costs</w:t>
      </w:r>
      <w:r w:rsidR="00427468">
        <w:rPr>
          <w:kern w:val="0"/>
        </w:rPr>
        <w:t xml:space="preserve"> of </w:t>
      </w:r>
      <w:r>
        <w:rPr>
          <w:kern w:val="0"/>
        </w:rPr>
        <w:t>intervention were assessed with standardized mean differences (SMD)</w:t>
      </w:r>
      <w:r w:rsidR="005853A9">
        <w:rPr>
          <w:kern w:val="0"/>
        </w:rPr>
        <w:t xml:space="preserve"> and </w:t>
      </w:r>
      <w:r>
        <w:rPr>
          <w:kern w:val="0"/>
        </w:rPr>
        <w:t>95% Cl. Main results Twenty-eight trials with 34,912 T2D participants randomised 18,717 participants to intensive glycaemic control versus 16,195 participants to conventional glycaemic control. Only two trials had low risk</w:t>
      </w:r>
      <w:r w:rsidR="00427468">
        <w:rPr>
          <w:kern w:val="0"/>
        </w:rPr>
        <w:t xml:space="preserve"> of </w:t>
      </w:r>
      <w:r>
        <w:rPr>
          <w:kern w:val="0"/>
        </w:rPr>
        <w:t>bias on all risk</w:t>
      </w:r>
      <w:r w:rsidR="00427468">
        <w:rPr>
          <w:kern w:val="0"/>
        </w:rPr>
        <w:t xml:space="preserve"> of </w:t>
      </w:r>
      <w:r>
        <w:rPr>
          <w:kern w:val="0"/>
        </w:rPr>
        <w:t>bias domains assessed</w:t>
      </w:r>
      <w:r w:rsidR="00A37C1D">
        <w:rPr>
          <w:kern w:val="0"/>
        </w:rPr>
        <w:t>. The</w:t>
      </w:r>
      <w:r>
        <w:rPr>
          <w:kern w:val="0"/>
        </w:rPr>
        <w:t xml:space="preserve"> duration</w:t>
      </w:r>
      <w:r w:rsidR="00427468">
        <w:rPr>
          <w:kern w:val="0"/>
        </w:rPr>
        <w:t xml:space="preserve"> of </w:t>
      </w:r>
      <w:r>
        <w:rPr>
          <w:kern w:val="0"/>
        </w:rPr>
        <w:t>the intervention ranged from three days to 12.5 years</w:t>
      </w:r>
      <w:r w:rsidR="00A37C1D">
        <w:rPr>
          <w:kern w:val="0"/>
        </w:rPr>
        <w:t>. The</w:t>
      </w:r>
      <w:r>
        <w:rPr>
          <w:kern w:val="0"/>
        </w:rPr>
        <w:t xml:space="preserve"> number</w:t>
      </w:r>
      <w:r w:rsidR="00427468">
        <w:rPr>
          <w:kern w:val="0"/>
        </w:rPr>
        <w:t xml:space="preserve"> of </w:t>
      </w:r>
      <w:r>
        <w:rPr>
          <w:kern w:val="0"/>
        </w:rPr>
        <w:t>participants in the included trials ranged from 20 to 11,140</w:t>
      </w:r>
      <w:r w:rsidR="00A37C1D">
        <w:rPr>
          <w:kern w:val="0"/>
        </w:rPr>
        <w:t>. The</w:t>
      </w:r>
      <w:r>
        <w:rPr>
          <w:kern w:val="0"/>
        </w:rPr>
        <w:t>re were no statistically significant differences between targeting intensive versus conventional glycaemic control for all-cause mortality (RR 1.00, 95% CI 0.92 to 1.08; 34,325 participants, 24 trials) or cardiovascular mortality (RR 1.06, 95% CI 0.94 to 1.21; 34,177 participants, 22 trials). Trial sequential analysis showed that a 10% relative risk reduction could be refuted for all-cause mortality. Targeting intensive glycaemic control did not show a statistically significant effect on the risks</w:t>
      </w:r>
      <w:r w:rsidR="00427468">
        <w:rPr>
          <w:kern w:val="0"/>
        </w:rPr>
        <w:t xml:space="preserve"> of </w:t>
      </w:r>
      <w:r>
        <w:rPr>
          <w:kern w:val="0"/>
        </w:rPr>
        <w:t>macrovascular complications as a composite outcome in the random-effects model, but decreased the risks in the fixed-effect model (random RR 0.91, 95% CI 0.82 to 1.02;</w:t>
      </w:r>
      <w:r w:rsidR="005853A9">
        <w:rPr>
          <w:kern w:val="0"/>
        </w:rPr>
        <w:t xml:space="preserve"> and </w:t>
      </w:r>
      <w:r>
        <w:rPr>
          <w:kern w:val="0"/>
        </w:rPr>
        <w:t>fixed RR 0.93, 95% CI 0.87 to 0.99; P = 0.02; 32,846 participants, 14 trials). Targeting intensive versus conventional glycaemic control seemed to reduce the risks</w:t>
      </w:r>
      <w:r w:rsidR="00427468">
        <w:rPr>
          <w:kern w:val="0"/>
        </w:rPr>
        <w:t xml:space="preserve"> of </w:t>
      </w:r>
      <w:r>
        <w:rPr>
          <w:kern w:val="0"/>
        </w:rPr>
        <w:t>non-fatal myocardial infarction (RR 0.87, 95% CI 0.77 to 0.98; P = 0.02; 30,417 participants, 14 trials), amputation</w:t>
      </w:r>
      <w:r w:rsidR="00427468">
        <w:rPr>
          <w:kern w:val="0"/>
        </w:rPr>
        <w:t xml:space="preserve"> of </w:t>
      </w:r>
      <w:r>
        <w:rPr>
          <w:kern w:val="0"/>
        </w:rPr>
        <w:t>a lower extremity (RR 0.65, 95% CI 0.45 to 0.94; P = 0.02; 11,200 participants, 11 trials), as well as the risk</w:t>
      </w:r>
      <w:r w:rsidR="00427468">
        <w:rPr>
          <w:kern w:val="0"/>
        </w:rPr>
        <w:t xml:space="preserve"> of </w:t>
      </w:r>
      <w:r>
        <w:rPr>
          <w:kern w:val="0"/>
        </w:rPr>
        <w:t>developing a composite outcome</w:t>
      </w:r>
      <w:r w:rsidR="00427468">
        <w:rPr>
          <w:kern w:val="0"/>
        </w:rPr>
        <w:t xml:space="preserve"> of </w:t>
      </w:r>
      <w:r>
        <w:rPr>
          <w:kern w:val="0"/>
        </w:rPr>
        <w:t>microvascular diseases (RR 0.88, 95% CI 0.82 to 0.95; P = 0.0008; 25,927 participants, 6 trials), nephropathy (RR 0.75, 95% CI 0.59 to 0.95; P = 0.02; 28,096 participants, 11 trials), retinopathy (RR 0.79, 95% CI 0.68 to 0.92; P = 0.002; 10,300 participants, 9 trials),</w:t>
      </w:r>
      <w:r w:rsidR="005853A9">
        <w:rPr>
          <w:kern w:val="0"/>
        </w:rPr>
        <w:t xml:space="preserve"> and </w:t>
      </w:r>
      <w:r>
        <w:rPr>
          <w:kern w:val="0"/>
        </w:rPr>
        <w:t>the risk</w:t>
      </w:r>
      <w:r w:rsidR="00427468">
        <w:rPr>
          <w:kern w:val="0"/>
        </w:rPr>
        <w:t xml:space="preserve"> of </w:t>
      </w:r>
      <w:r>
        <w:rPr>
          <w:kern w:val="0"/>
        </w:rPr>
        <w:t>retinal photocoagulation (RR 0.77, 95% CI 0.61 to 0.97; P = 0.03; 11,212 participants, 8 trials). No statistically significant effect</w:t>
      </w:r>
      <w:r w:rsidR="00427468">
        <w:rPr>
          <w:kern w:val="0"/>
        </w:rPr>
        <w:t xml:space="preserve"> of </w:t>
      </w:r>
      <w:r>
        <w:rPr>
          <w:kern w:val="0"/>
        </w:rPr>
        <w:t>targeting intensive glucose control could be shown on non-fatal stroke, cardiac revascularization, or peripheral revascularization. Trial sequential analyses did not confirm a reduction</w:t>
      </w:r>
      <w:r w:rsidR="00427468">
        <w:rPr>
          <w:kern w:val="0"/>
        </w:rPr>
        <w:t xml:space="preserve"> of </w:t>
      </w:r>
      <w:r>
        <w:rPr>
          <w:kern w:val="0"/>
        </w:rPr>
        <w:t>the risk</w:t>
      </w:r>
      <w:r w:rsidR="00427468">
        <w:rPr>
          <w:kern w:val="0"/>
        </w:rPr>
        <w:t xml:space="preserve"> of </w:t>
      </w:r>
      <w:r>
        <w:rPr>
          <w:kern w:val="0"/>
        </w:rPr>
        <w:t>non-fatal myocardial infarction but confirmed a 10% relative risk reduction in favour</w:t>
      </w:r>
      <w:r w:rsidR="00427468">
        <w:rPr>
          <w:kern w:val="0"/>
        </w:rPr>
        <w:t xml:space="preserve"> of </w:t>
      </w:r>
      <w:r>
        <w:rPr>
          <w:kern w:val="0"/>
        </w:rPr>
        <w:t>intensive glycaemic control on the composite outcome</w:t>
      </w:r>
      <w:r w:rsidR="00427468">
        <w:rPr>
          <w:kern w:val="0"/>
        </w:rPr>
        <w:t xml:space="preserve"> of </w:t>
      </w:r>
      <w:r>
        <w:rPr>
          <w:kern w:val="0"/>
        </w:rPr>
        <w:t>microvascular diseases. For the remaining microvascular outcomes, trial sequential analyses could not establish firm evidence for a 10% relative risk reduction. Targeting intensive glycaemic control significantly increased the risk</w:t>
      </w:r>
      <w:r w:rsidR="00427468">
        <w:rPr>
          <w:kern w:val="0"/>
        </w:rPr>
        <w:t xml:space="preserve"> of </w:t>
      </w:r>
      <w:r>
        <w:rPr>
          <w:kern w:val="0"/>
        </w:rPr>
        <w:t>mild hypoglycaemia, but substantial heterogeneity was present; severe hypoglycaemia (RR 2.18, 95% CI 1.53 to 3.11; 28,794 participants, 12 trials);</w:t>
      </w:r>
      <w:r w:rsidR="005853A9">
        <w:rPr>
          <w:kern w:val="0"/>
        </w:rPr>
        <w:t xml:space="preserve"> and </w:t>
      </w:r>
      <w:r>
        <w:rPr>
          <w:kern w:val="0"/>
        </w:rPr>
        <w:t>serious adverse events (RR 1.06, 95% CI 1.02 to 1.10; P = 0.007; 24,280 participants, 11 trials). Trial sequential analysis for a 10% relative risk increase showed firm evidence for mild hypoglycaemia</w:t>
      </w:r>
      <w:r w:rsidR="005853A9">
        <w:rPr>
          <w:kern w:val="0"/>
        </w:rPr>
        <w:t xml:space="preserve"> and </w:t>
      </w:r>
      <w:r>
        <w:rPr>
          <w:kern w:val="0"/>
        </w:rPr>
        <w:t>serious adverse events</w:t>
      </w:r>
      <w:r w:rsidR="005853A9">
        <w:rPr>
          <w:kern w:val="0"/>
        </w:rPr>
        <w:t xml:space="preserve"> and </w:t>
      </w:r>
      <w:r>
        <w:rPr>
          <w:kern w:val="0"/>
        </w:rPr>
        <w:t xml:space="preserve">a 30% relative risk </w:t>
      </w:r>
      <w:r>
        <w:rPr>
          <w:kern w:val="0"/>
        </w:rPr>
        <w:lastRenderedPageBreak/>
        <w:t>increase for severe hypoglycaemia when targeting intensive versus conventional glycaemic control. Overall health-related quality</w:t>
      </w:r>
      <w:r w:rsidR="00427468">
        <w:rPr>
          <w:kern w:val="0"/>
        </w:rPr>
        <w:t xml:space="preserve"> of </w:t>
      </w:r>
      <w:r>
        <w:rPr>
          <w:kern w:val="0"/>
        </w:rPr>
        <w:t>life, as well as the mental</w:t>
      </w:r>
      <w:r w:rsidR="005853A9">
        <w:rPr>
          <w:kern w:val="0"/>
        </w:rPr>
        <w:t xml:space="preserve"> and </w:t>
      </w:r>
      <w:r>
        <w:rPr>
          <w:kern w:val="0"/>
        </w:rPr>
        <w:t>the physical components</w:t>
      </w:r>
      <w:r w:rsidR="00427468">
        <w:rPr>
          <w:kern w:val="0"/>
        </w:rPr>
        <w:t xml:space="preserve"> of </w:t>
      </w:r>
      <w:r>
        <w:rPr>
          <w:kern w:val="0"/>
        </w:rPr>
        <w:t>health-related quality</w:t>
      </w:r>
      <w:r w:rsidR="00427468">
        <w:rPr>
          <w:kern w:val="0"/>
        </w:rPr>
        <w:t xml:space="preserve"> of </w:t>
      </w:r>
      <w:r>
        <w:rPr>
          <w:kern w:val="0"/>
        </w:rPr>
        <w:t>life did not show any statistical significant differences. Authors</w:t>
      </w:r>
      <w:r w:rsidR="0071223E">
        <w:rPr>
          <w:kern w:val="0"/>
        </w:rPr>
        <w:t>’</w:t>
      </w:r>
      <w:r>
        <w:rPr>
          <w:kern w:val="0"/>
        </w:rPr>
        <w:t xml:space="preserve"> conclusions Although we have been able to expand the number</w:t>
      </w:r>
      <w:r w:rsidR="00427468">
        <w:rPr>
          <w:kern w:val="0"/>
        </w:rPr>
        <w:t xml:space="preserve"> of </w:t>
      </w:r>
      <w:r>
        <w:rPr>
          <w:kern w:val="0"/>
        </w:rPr>
        <w:t>participants by 16% in this update, we still find paucity</w:t>
      </w:r>
      <w:r w:rsidR="00427468">
        <w:rPr>
          <w:kern w:val="0"/>
        </w:rPr>
        <w:t xml:space="preserve"> of </w:t>
      </w:r>
      <w:r>
        <w:rPr>
          <w:kern w:val="0"/>
        </w:rPr>
        <w:t>data on outcomes</w:t>
      </w:r>
      <w:r w:rsidR="005853A9">
        <w:rPr>
          <w:kern w:val="0"/>
        </w:rPr>
        <w:t xml:space="preserve"> and </w:t>
      </w:r>
      <w:r>
        <w:rPr>
          <w:kern w:val="0"/>
        </w:rPr>
        <w:t>the bias risk</w:t>
      </w:r>
      <w:r w:rsidR="00427468">
        <w:rPr>
          <w:kern w:val="0"/>
        </w:rPr>
        <w:t xml:space="preserve"> of </w:t>
      </w:r>
      <w:r>
        <w:rPr>
          <w:kern w:val="0"/>
        </w:rPr>
        <w:t>the trials was mostly considered high. Targeting intensive glycaemic control compared with conventional glycaemic control did not show significant differences for all-cause mortality</w:t>
      </w:r>
      <w:r w:rsidR="005853A9">
        <w:rPr>
          <w:kern w:val="0"/>
        </w:rPr>
        <w:t xml:space="preserve"> and </w:t>
      </w:r>
      <w:r>
        <w:rPr>
          <w:kern w:val="0"/>
        </w:rPr>
        <w:t>cardiovascular mortality. Targeting intensive glycaemic control seemed to reduce the risk</w:t>
      </w:r>
      <w:r w:rsidR="00427468">
        <w:rPr>
          <w:kern w:val="0"/>
        </w:rPr>
        <w:t xml:space="preserve"> of </w:t>
      </w:r>
      <w:r>
        <w:rPr>
          <w:kern w:val="0"/>
        </w:rPr>
        <w:t>microvascular complications, if we disregard the risks</w:t>
      </w:r>
      <w:r w:rsidR="00427468">
        <w:rPr>
          <w:kern w:val="0"/>
        </w:rPr>
        <w:t xml:space="preserve"> of </w:t>
      </w:r>
      <w:r>
        <w:rPr>
          <w:kern w:val="0"/>
        </w:rPr>
        <w:t>bias, but increases the risk</w:t>
      </w:r>
      <w:r w:rsidR="00427468">
        <w:rPr>
          <w:kern w:val="0"/>
        </w:rPr>
        <w:t xml:space="preserve"> of </w:t>
      </w:r>
      <w:r>
        <w:rPr>
          <w:kern w:val="0"/>
        </w:rPr>
        <w:t>hypoglycaemia</w:t>
      </w:r>
      <w:r w:rsidR="005853A9">
        <w:rPr>
          <w:kern w:val="0"/>
        </w:rPr>
        <w:t xml:space="preserve"> and </w:t>
      </w:r>
      <w:r>
        <w:rPr>
          <w:kern w:val="0"/>
        </w:rPr>
        <w:t>serious adverse events.</w:t>
      </w:r>
    </w:p>
    <w:p w:rsidR="0097422C" w:rsidRDefault="0097422C" w:rsidP="0097422C">
      <w:pPr>
        <w:pStyle w:val="a3"/>
        <w:rPr>
          <w:kern w:val="0"/>
        </w:rPr>
      </w:pPr>
      <w:r>
        <w:rPr>
          <w:kern w:val="0"/>
        </w:rPr>
        <w:t>Keywords: 10-Year Follow-Up, Acute Myocardial-Infarction, Adult, All-Cause Mortality, Analyses, Analysis, Association, Authors, Beta-Cell Function, Bias, Blood, Blood Glucose, Blood Glucose [Analysis], Blood-Glucose Control, Cardiovascular, Cardiovascular Disease, Cardiovascular Diseases [Mortality], Cause</w:t>
      </w:r>
      <w:r w:rsidR="00427468">
        <w:rPr>
          <w:kern w:val="0"/>
        </w:rPr>
        <w:t xml:space="preserve"> of </w:t>
      </w:r>
      <w:r>
        <w:rPr>
          <w:kern w:val="0"/>
        </w:rPr>
        <w:t>Death, Citation, Clinical, Clinical Trials, Collection, Complications, Composite, Confidence, Confidence Intervals, Control, Control Cardiovascular Risk, Conventional, Costs, Criteria, Data, Data Collection, Developing, Diabetes, Diabetes Mellitus, Diabetes Mellitus,Type 2 [Blood, Disease, Diseases, Drug Therapy, Duration, Effects, Embase, Events, Evidence, Glucose, Health-Related Quality</w:t>
      </w:r>
      <w:r w:rsidR="00427468">
        <w:rPr>
          <w:kern w:val="0"/>
        </w:rPr>
        <w:t xml:space="preserve"> of </w:t>
      </w:r>
      <w:r>
        <w:rPr>
          <w:kern w:val="0"/>
        </w:rPr>
        <w:t xml:space="preserve">Life, Heterogeneity, Humans, Hyperglycemia [Complications, Hypoglycaemia, Hypoglycemia [Chemically Induced, Hypoglycemic Agents [Therapeutic Use], Infarction, Intervals, Intervention, Life, Low Risk, </w:t>
      </w:r>
      <w:r w:rsidR="00D5664A">
        <w:rPr>
          <w:kern w:val="0"/>
        </w:rPr>
        <w:t>MEDLINE</w:t>
      </w:r>
      <w:r>
        <w:rPr>
          <w:kern w:val="0"/>
        </w:rPr>
        <w:t>, Methods, Middle Aged, Model, Mortality, Mortality], Myocardial Infarction, Nephropathy, Observational Studies, Outcome, Outcomes, P, Patients, Percutaneous Coronary Intervention, Physical, Population, Quality, Quality Of, Quality</w:t>
      </w:r>
      <w:r w:rsidR="00427468">
        <w:rPr>
          <w:kern w:val="0"/>
        </w:rPr>
        <w:t xml:space="preserve"> of </w:t>
      </w:r>
      <w:r>
        <w:rPr>
          <w:kern w:val="0"/>
        </w:rPr>
        <w:t>Life, Quality-Of-Life, Random Effects Model, Randomised, Randomized Controlled Trials As Topic, Randomized Controlled-Trial, Reduction, Relative Risk, Revascularization, Review, Risk, Risks, Science, Science Citation Index, Science Citation Index Expanded, Search, Sequential Monitoring Boundaries, Stroke, Systematic Review, Targeting, Trial, Type 2 Diabetes</w:t>
      </w:r>
    </w:p>
    <w:p w:rsidR="0097422C" w:rsidRDefault="0097422C" w:rsidP="0097422C">
      <w:pPr>
        <w:pStyle w:val="a3"/>
        <w:rPr>
          <w:kern w:val="0"/>
        </w:rPr>
      </w:pPr>
      <w:r>
        <w:rPr>
          <w:rFonts w:hint="eastAsia"/>
          <w:kern w:val="0"/>
        </w:rPr>
        <w:t xml:space="preserve">? </w:t>
      </w:r>
      <w:r>
        <w:rPr>
          <w:kern w:val="0"/>
        </w:rPr>
        <w:t>van Ginneken, N., Tharyan, P., Lewin, S., Rao, G.N., Meera, S.M., Pian, J., Chandrashekar, S.</w:t>
      </w:r>
      <w:r w:rsidR="005853A9">
        <w:rPr>
          <w:kern w:val="0"/>
        </w:rPr>
        <w:t xml:space="preserve"> and </w:t>
      </w:r>
      <w:r>
        <w:rPr>
          <w:kern w:val="0"/>
        </w:rPr>
        <w:t>Patel, V. (2013), Non-specialist health worker interventions for the care</w:t>
      </w:r>
      <w:r w:rsidR="00427468">
        <w:rPr>
          <w:kern w:val="0"/>
        </w:rPr>
        <w:t xml:space="preserve"> of </w:t>
      </w:r>
      <w:r>
        <w:rPr>
          <w:kern w:val="0"/>
        </w:rPr>
        <w:t>mental, neurological</w:t>
      </w:r>
      <w:r w:rsidR="005853A9">
        <w:rPr>
          <w:kern w:val="0"/>
        </w:rPr>
        <w:t xml:space="preserve"> and </w:t>
      </w:r>
      <w:r>
        <w:rPr>
          <w:kern w:val="0"/>
        </w:rPr>
        <w:t>substance-abuse disorders in low-</w:t>
      </w:r>
      <w:r w:rsidR="005853A9">
        <w:rPr>
          <w:kern w:val="0"/>
        </w:rPr>
        <w:t xml:space="preserve"> and </w:t>
      </w:r>
      <w:r>
        <w:rPr>
          <w:kern w:val="0"/>
        </w:rPr>
        <w:t xml:space="preserve">middle-income countries.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xml:space="preserve">, Article Number: </w:t>
      </w:r>
      <w:r w:rsidRPr="00EE5553">
        <w:rPr>
          <w:kern w:val="0"/>
        </w:rPr>
        <w:t>CD009149</w:t>
      </w:r>
      <w:r>
        <w:rPr>
          <w:kern w:val="0"/>
        </w:rPr>
        <w:t>.</w:t>
      </w:r>
    </w:p>
    <w:p w:rsidR="0097422C" w:rsidRDefault="0097422C" w:rsidP="0097422C">
      <w:pPr>
        <w:pStyle w:val="a3"/>
        <w:rPr>
          <w:kern w:val="2"/>
        </w:rPr>
      </w:pPr>
      <w:r>
        <w:t xml:space="preserve">Full Text: 2013\Coc Dat Sys Rev2013, </w:t>
      </w:r>
      <w:r w:rsidRPr="00EE5553">
        <w:rPr>
          <w:kern w:val="0"/>
        </w:rPr>
        <w:t>CD009149</w:t>
      </w:r>
      <w:r>
        <w:t>.pdf</w:t>
      </w:r>
    </w:p>
    <w:p w:rsidR="0097422C" w:rsidRDefault="0097422C" w:rsidP="0097422C">
      <w:pPr>
        <w:pStyle w:val="a3"/>
        <w:rPr>
          <w:kern w:val="0"/>
        </w:rPr>
      </w:pPr>
      <w:r>
        <w:rPr>
          <w:kern w:val="0"/>
        </w:rPr>
        <w:t>Abstract: Background Many people with mental, neurological</w:t>
      </w:r>
      <w:r w:rsidR="005853A9">
        <w:rPr>
          <w:kern w:val="0"/>
        </w:rPr>
        <w:t xml:space="preserve"> and </w:t>
      </w:r>
      <w:r>
        <w:rPr>
          <w:kern w:val="0"/>
        </w:rPr>
        <w:t>substance-use disorders (MNS) do not receive health care. Non-specialist health workers (NSHWs)</w:t>
      </w:r>
      <w:r w:rsidR="005853A9">
        <w:rPr>
          <w:kern w:val="0"/>
        </w:rPr>
        <w:t xml:space="preserve"> and </w:t>
      </w:r>
      <w:r>
        <w:rPr>
          <w:kern w:val="0"/>
        </w:rPr>
        <w:t xml:space="preserve">other professionals with health roles (OPHRs) are a key strategy for closing the </w:t>
      </w:r>
      <w:r>
        <w:rPr>
          <w:kern w:val="0"/>
        </w:rPr>
        <w:lastRenderedPageBreak/>
        <w:t>treatment gap. Objectives To assess the effect</w:t>
      </w:r>
      <w:r w:rsidR="00427468">
        <w:rPr>
          <w:kern w:val="0"/>
        </w:rPr>
        <w:t xml:space="preserve"> of </w:t>
      </w:r>
      <w:r>
        <w:rPr>
          <w:kern w:val="0"/>
        </w:rPr>
        <w:t>NSHWs</w:t>
      </w:r>
      <w:r w:rsidR="005853A9">
        <w:rPr>
          <w:kern w:val="0"/>
        </w:rPr>
        <w:t xml:space="preserve"> and </w:t>
      </w:r>
      <w:r>
        <w:rPr>
          <w:kern w:val="0"/>
        </w:rPr>
        <w:t>OPHRs delivering MNS interventions in primary</w:t>
      </w:r>
      <w:r w:rsidR="005853A9">
        <w:rPr>
          <w:kern w:val="0"/>
        </w:rPr>
        <w:t xml:space="preserve"> and </w:t>
      </w:r>
      <w:r>
        <w:rPr>
          <w:kern w:val="0"/>
        </w:rPr>
        <w:t>community health care in low-and middle-income countries. Search methods We searched the Cochrane Central Register</w:t>
      </w:r>
      <w:r w:rsidR="00427468">
        <w:rPr>
          <w:kern w:val="0"/>
        </w:rPr>
        <w:t xml:space="preserve"> of </w:t>
      </w:r>
      <w:r>
        <w:rPr>
          <w:kern w:val="0"/>
        </w:rPr>
        <w:t>Controlled Trials (CENTRAL) (including the Cochrane Effective Practice</w:t>
      </w:r>
      <w:r w:rsidR="005853A9">
        <w:rPr>
          <w:kern w:val="0"/>
        </w:rPr>
        <w:t xml:space="preserve"> and </w:t>
      </w:r>
      <w:r>
        <w:rPr>
          <w:kern w:val="0"/>
        </w:rPr>
        <w:t>Organisation</w:t>
      </w:r>
      <w:r w:rsidR="00427468">
        <w:rPr>
          <w:kern w:val="0"/>
        </w:rPr>
        <w:t xml:space="preserve"> of </w:t>
      </w:r>
      <w:r>
        <w:rPr>
          <w:kern w:val="0"/>
        </w:rPr>
        <w:t xml:space="preserve">Care (EPOC) Group Specialised Register) (searched 21 June 2012); </w:t>
      </w:r>
      <w:r w:rsidR="00D5664A">
        <w:rPr>
          <w:kern w:val="0"/>
        </w:rPr>
        <w:t>MEDLINE</w:t>
      </w:r>
      <w:r>
        <w:rPr>
          <w:kern w:val="0"/>
        </w:rPr>
        <w:t xml:space="preserve">, OvidSP; </w:t>
      </w:r>
      <w:r w:rsidR="00D5664A">
        <w:rPr>
          <w:kern w:val="0"/>
        </w:rPr>
        <w:t>MEDLINE</w:t>
      </w:r>
      <w:r>
        <w:rPr>
          <w:kern w:val="0"/>
        </w:rPr>
        <w:t xml:space="preserve"> In Process &amp; Other Non-Indexed Citations, OvidSP; EMBASE, OvidSP (searched 15 June 2012); CINAHL, EBSCOhost; PsycINFO, OvidSP (searched 18</w:t>
      </w:r>
      <w:r w:rsidR="005853A9">
        <w:rPr>
          <w:kern w:val="0"/>
        </w:rPr>
        <w:t xml:space="preserve"> and </w:t>
      </w:r>
      <w:r>
        <w:rPr>
          <w:kern w:val="0"/>
        </w:rPr>
        <w:t>19 June 2012); World Health Organization (WHO) Global Health Library (searched 29 June 2012); LILACS; the International Clinical Trials Registry Platform (WHO); OpenGrey; the metaRegister</w:t>
      </w:r>
      <w:r w:rsidR="00427468">
        <w:rPr>
          <w:kern w:val="0"/>
        </w:rPr>
        <w:t xml:space="preserve"> of </w:t>
      </w:r>
      <w:r>
        <w:rPr>
          <w:kern w:val="0"/>
        </w:rPr>
        <w:t>Controlled Trials (searched 8</w:t>
      </w:r>
      <w:r w:rsidR="005853A9">
        <w:rPr>
          <w:kern w:val="0"/>
        </w:rPr>
        <w:t xml:space="preserve"> and </w:t>
      </w:r>
      <w:r>
        <w:rPr>
          <w:kern w:val="0"/>
        </w:rPr>
        <w:t>9 August 2012); Science Citation Index</w:t>
      </w:r>
      <w:r w:rsidR="005853A9">
        <w:rPr>
          <w:kern w:val="0"/>
        </w:rPr>
        <w:t xml:space="preserve"> and </w:t>
      </w:r>
      <w:r>
        <w:rPr>
          <w:kern w:val="0"/>
        </w:rPr>
        <w:t>Social Sciences Citation Index (ISI Web</w:t>
      </w:r>
      <w:r w:rsidR="00427468">
        <w:rPr>
          <w:kern w:val="0"/>
        </w:rPr>
        <w:t xml:space="preserve"> of </w:t>
      </w:r>
      <w:r>
        <w:rPr>
          <w:kern w:val="0"/>
        </w:rPr>
        <w:t>Knowledge) (searched 2 October 2012)</w:t>
      </w:r>
      <w:r w:rsidR="005853A9">
        <w:rPr>
          <w:kern w:val="0"/>
        </w:rPr>
        <w:t xml:space="preserve"> and </w:t>
      </w:r>
      <w:r>
        <w:rPr>
          <w:kern w:val="0"/>
        </w:rPr>
        <w:t>reference lists, without language or date restrictions. We contacted authors for additional studies. Selection criteria Randomised</w:t>
      </w:r>
      <w:r w:rsidR="005853A9">
        <w:rPr>
          <w:kern w:val="0"/>
        </w:rPr>
        <w:t xml:space="preserve"> and </w:t>
      </w:r>
      <w:r>
        <w:rPr>
          <w:kern w:val="0"/>
        </w:rPr>
        <w:t>non-randomised controlled trials, controlled before-and-after studies</w:t>
      </w:r>
      <w:r w:rsidR="005853A9">
        <w:rPr>
          <w:kern w:val="0"/>
        </w:rPr>
        <w:t xml:space="preserve"> and </w:t>
      </w:r>
      <w:r>
        <w:rPr>
          <w:kern w:val="0"/>
        </w:rPr>
        <w:t>interrupted-time-series studies</w:t>
      </w:r>
      <w:r w:rsidR="00427468">
        <w:rPr>
          <w:kern w:val="0"/>
        </w:rPr>
        <w:t xml:space="preserve"> of </w:t>
      </w:r>
      <w:r>
        <w:rPr>
          <w:kern w:val="0"/>
        </w:rPr>
        <w:t>NSHWs/OPHR-delivered interventions in primary/community health care in low-and middle-income countries,</w:t>
      </w:r>
      <w:r w:rsidR="005853A9">
        <w:rPr>
          <w:kern w:val="0"/>
        </w:rPr>
        <w:t xml:space="preserve"> and </w:t>
      </w:r>
      <w:r>
        <w:rPr>
          <w:kern w:val="0"/>
        </w:rPr>
        <w:t>intended to improve outcomes in people with MNS disorders</w:t>
      </w:r>
      <w:r w:rsidR="005853A9">
        <w:rPr>
          <w:kern w:val="0"/>
        </w:rPr>
        <w:t xml:space="preserve"> and </w:t>
      </w:r>
      <w:r>
        <w:rPr>
          <w:kern w:val="0"/>
        </w:rPr>
        <w:t>in their carers. We defined an NSHW as any professional health worker (e. g. doctors, nurses</w:t>
      </w:r>
      <w:r w:rsidR="005853A9">
        <w:rPr>
          <w:kern w:val="0"/>
        </w:rPr>
        <w:t xml:space="preserve"> and </w:t>
      </w:r>
      <w:r>
        <w:rPr>
          <w:kern w:val="0"/>
        </w:rPr>
        <w:t>social workers) or lay health worker without specialised training in MNS disorders. OPHRs included people outside the health sector (only teachers in this review). Data collection</w:t>
      </w:r>
      <w:r w:rsidR="005853A9">
        <w:rPr>
          <w:kern w:val="0"/>
        </w:rPr>
        <w:t xml:space="preserve"> and </w:t>
      </w:r>
      <w:r>
        <w:rPr>
          <w:kern w:val="0"/>
        </w:rPr>
        <w:t>analysis Review authors double screened, double data-extracted</w:t>
      </w:r>
      <w:r w:rsidR="005853A9">
        <w:rPr>
          <w:kern w:val="0"/>
        </w:rPr>
        <w:t xml:space="preserve"> and </w:t>
      </w:r>
      <w:r>
        <w:rPr>
          <w:kern w:val="0"/>
        </w:rPr>
        <w:t>assessed risk</w:t>
      </w:r>
      <w:r w:rsidR="00427468">
        <w:rPr>
          <w:kern w:val="0"/>
        </w:rPr>
        <w:t xml:space="preserve"> of </w:t>
      </w:r>
      <w:r>
        <w:rPr>
          <w:kern w:val="0"/>
        </w:rPr>
        <w:t>bias using standard formats. We grouped studies with similar interventions together. Where feasible, we combined data to obtain an overall estimate</w:t>
      </w:r>
      <w:r w:rsidR="00427468">
        <w:rPr>
          <w:kern w:val="0"/>
        </w:rPr>
        <w:t xml:space="preserve"> of </w:t>
      </w:r>
      <w:r>
        <w:rPr>
          <w:kern w:val="0"/>
        </w:rPr>
        <w:t>effect. Main results The 38 included studies were from seven low-and 15 middle-income countries. Twenty-two studies used lay health workers,</w:t>
      </w:r>
      <w:r w:rsidR="005853A9">
        <w:rPr>
          <w:kern w:val="0"/>
        </w:rPr>
        <w:t xml:space="preserve"> and </w:t>
      </w:r>
      <w:r>
        <w:rPr>
          <w:kern w:val="0"/>
        </w:rPr>
        <w:t>most addressed depression or post-traumatic stress disorder (PTSD)</w:t>
      </w:r>
      <w:r w:rsidR="00A37C1D">
        <w:rPr>
          <w:kern w:val="0"/>
        </w:rPr>
        <w:t>. The</w:t>
      </w:r>
      <w:r>
        <w:rPr>
          <w:kern w:val="0"/>
        </w:rPr>
        <w:t xml:space="preserve"> review shows that the use</w:t>
      </w:r>
      <w:r w:rsidR="00427468">
        <w:rPr>
          <w:kern w:val="0"/>
        </w:rPr>
        <w:t xml:space="preserve"> of </w:t>
      </w:r>
      <w:r>
        <w:rPr>
          <w:kern w:val="0"/>
        </w:rPr>
        <w:t>NSHWs, compared with usual healthcare services: 1. may increase the number</w:t>
      </w:r>
      <w:r w:rsidR="00427468">
        <w:rPr>
          <w:kern w:val="0"/>
        </w:rPr>
        <w:t xml:space="preserve"> of </w:t>
      </w:r>
      <w:r>
        <w:rPr>
          <w:kern w:val="0"/>
        </w:rPr>
        <w:t>adults who recover from depression or anxiety, or both, two to six months after treatment (prevalence</w:t>
      </w:r>
      <w:r w:rsidR="00427468">
        <w:rPr>
          <w:kern w:val="0"/>
        </w:rPr>
        <w:t xml:space="preserve"> of </w:t>
      </w:r>
      <w:r>
        <w:rPr>
          <w:kern w:val="0"/>
        </w:rPr>
        <w:t>depression: risk ratio (RR) 0.30, 95% confidence interval (CI) 0.14 to 0.64; low-quality evidence); 2. may slightly reduce symptoms for mothers with perinatal depression (severity</w:t>
      </w:r>
      <w:r w:rsidR="00427468">
        <w:rPr>
          <w:kern w:val="0"/>
        </w:rPr>
        <w:t xml:space="preserve"> of </w:t>
      </w:r>
      <w:r>
        <w:rPr>
          <w:kern w:val="0"/>
        </w:rPr>
        <w:t>depressive symptoms: standardised mean difference (SMD) -0.42, 95% CI -0.58 to -0.26; low-quality evidence); 3. may slightly reduce the symptoms</w:t>
      </w:r>
      <w:r w:rsidR="00427468">
        <w:rPr>
          <w:kern w:val="0"/>
        </w:rPr>
        <w:t xml:space="preserve"> of </w:t>
      </w:r>
      <w:r>
        <w:rPr>
          <w:kern w:val="0"/>
        </w:rPr>
        <w:t>adults with PTSD (severity</w:t>
      </w:r>
      <w:r w:rsidR="00427468">
        <w:rPr>
          <w:kern w:val="0"/>
        </w:rPr>
        <w:t xml:space="preserve"> of </w:t>
      </w:r>
      <w:r>
        <w:rPr>
          <w:kern w:val="0"/>
        </w:rPr>
        <w:t>PTSD symptoms: SMD -0.36, 95% CI -0.67 to -0.05; low-quality evidence); 4. probably slightly improves the symptoms</w:t>
      </w:r>
      <w:r w:rsidR="00427468">
        <w:rPr>
          <w:kern w:val="0"/>
        </w:rPr>
        <w:t xml:space="preserve"> of </w:t>
      </w:r>
      <w:r>
        <w:rPr>
          <w:kern w:val="0"/>
        </w:rPr>
        <w:t>people with dementia (severity</w:t>
      </w:r>
      <w:r w:rsidR="00427468">
        <w:rPr>
          <w:kern w:val="0"/>
        </w:rPr>
        <w:t xml:space="preserve"> of </w:t>
      </w:r>
      <w:r>
        <w:rPr>
          <w:kern w:val="0"/>
        </w:rPr>
        <w:t>behavioural symptoms: SMD -0.26, 95% CI -0.60 to 0.08; moderate-quality evidence); 5. probably improves/slightly improves the mental well-being, burden</w:t>
      </w:r>
      <w:r w:rsidR="005853A9">
        <w:rPr>
          <w:kern w:val="0"/>
        </w:rPr>
        <w:t xml:space="preserve"> and </w:t>
      </w:r>
      <w:r>
        <w:rPr>
          <w:kern w:val="0"/>
        </w:rPr>
        <w:t>distress</w:t>
      </w:r>
      <w:r w:rsidR="00427468">
        <w:rPr>
          <w:kern w:val="0"/>
        </w:rPr>
        <w:t xml:space="preserve"> of </w:t>
      </w:r>
      <w:r>
        <w:rPr>
          <w:kern w:val="0"/>
        </w:rPr>
        <w:t>carers</w:t>
      </w:r>
      <w:r w:rsidR="00427468">
        <w:rPr>
          <w:kern w:val="0"/>
        </w:rPr>
        <w:t xml:space="preserve"> of </w:t>
      </w:r>
      <w:r>
        <w:rPr>
          <w:kern w:val="0"/>
        </w:rPr>
        <w:t>people with dementia (carer burden: SMD -0.50, 95% CI -0.84 to -0.15; moderate-quality evidence); 6. may decrease the amount</w:t>
      </w:r>
      <w:r w:rsidR="00427468">
        <w:rPr>
          <w:kern w:val="0"/>
        </w:rPr>
        <w:t xml:space="preserve"> of </w:t>
      </w:r>
      <w:r>
        <w:rPr>
          <w:kern w:val="0"/>
        </w:rPr>
        <w:t xml:space="preserve">alcohol consumed by </w:t>
      </w:r>
      <w:r>
        <w:rPr>
          <w:kern w:val="0"/>
        </w:rPr>
        <w:lastRenderedPageBreak/>
        <w:t>people with alcohol-use disorders (drinks/drinking day in last 7 to 30 days: mean difference -1.68, 95% CI -2.79 to -0.57); low-quality evidence). It is uncertain whether lay health workers or teachers reduce PTSD symptoms among children</w:t>
      </w:r>
      <w:r w:rsidR="00A37C1D">
        <w:rPr>
          <w:kern w:val="0"/>
        </w:rPr>
        <w:t>. The</w:t>
      </w:r>
      <w:r>
        <w:rPr>
          <w:kern w:val="0"/>
        </w:rPr>
        <w:t>re were insufficient data to draw conclusions about the cost-effectiveness</w:t>
      </w:r>
      <w:r w:rsidR="00427468">
        <w:rPr>
          <w:kern w:val="0"/>
        </w:rPr>
        <w:t xml:space="preserve"> of </w:t>
      </w:r>
      <w:r>
        <w:rPr>
          <w:kern w:val="0"/>
        </w:rPr>
        <w:t>using NSHWs or teachers, or about their impact on people with other MNS conditions. In addition, very few studies measured adverse effects</w:t>
      </w:r>
      <w:r w:rsidR="00427468">
        <w:rPr>
          <w:kern w:val="0"/>
        </w:rPr>
        <w:t xml:space="preserve"> of </w:t>
      </w:r>
      <w:r>
        <w:rPr>
          <w:kern w:val="0"/>
        </w:rPr>
        <w:t>NSHW-led care - such effects could impact on the appropriateness</w:t>
      </w:r>
      <w:r w:rsidR="005853A9">
        <w:rPr>
          <w:kern w:val="0"/>
        </w:rPr>
        <w:t xml:space="preserve"> and </w:t>
      </w:r>
      <w:r>
        <w:rPr>
          <w:kern w:val="0"/>
        </w:rPr>
        <w:t>quality</w:t>
      </w:r>
      <w:r w:rsidR="00427468">
        <w:rPr>
          <w:kern w:val="0"/>
        </w:rPr>
        <w:t xml:space="preserve"> of </w:t>
      </w:r>
      <w:r>
        <w:rPr>
          <w:kern w:val="0"/>
        </w:rPr>
        <w:t>care. Authors</w:t>
      </w:r>
      <w:r w:rsidR="0071223E">
        <w:rPr>
          <w:kern w:val="0"/>
        </w:rPr>
        <w:t>’</w:t>
      </w:r>
      <w:r>
        <w:rPr>
          <w:kern w:val="0"/>
        </w:rPr>
        <w:t xml:space="preserve"> conclusions Overall, NSHWs</w:t>
      </w:r>
      <w:r w:rsidR="005853A9">
        <w:rPr>
          <w:kern w:val="0"/>
        </w:rPr>
        <w:t xml:space="preserve"> and </w:t>
      </w:r>
      <w:r>
        <w:rPr>
          <w:kern w:val="0"/>
        </w:rPr>
        <w:t>teachers have some promising benefits in improving people</w:t>
      </w:r>
      <w:r w:rsidR="0071223E">
        <w:rPr>
          <w:kern w:val="0"/>
        </w:rPr>
        <w:t>’</w:t>
      </w:r>
      <w:r>
        <w:rPr>
          <w:kern w:val="0"/>
        </w:rPr>
        <w:t>s outcomes for general</w:t>
      </w:r>
      <w:r w:rsidR="005853A9">
        <w:rPr>
          <w:kern w:val="0"/>
        </w:rPr>
        <w:t xml:space="preserve"> and </w:t>
      </w:r>
      <w:r>
        <w:rPr>
          <w:kern w:val="0"/>
        </w:rPr>
        <w:t>perinatal depression, PTSD</w:t>
      </w:r>
      <w:r w:rsidR="005853A9">
        <w:rPr>
          <w:kern w:val="0"/>
        </w:rPr>
        <w:t xml:space="preserve"> and </w:t>
      </w:r>
      <w:r>
        <w:rPr>
          <w:kern w:val="0"/>
        </w:rPr>
        <w:t>alcohol-use disorders,</w:t>
      </w:r>
      <w:r w:rsidR="005853A9">
        <w:rPr>
          <w:kern w:val="0"/>
        </w:rPr>
        <w:t xml:space="preserve"> and </w:t>
      </w:r>
      <w:r>
        <w:rPr>
          <w:kern w:val="0"/>
        </w:rPr>
        <w:t>patient-and carer-outcomes for dementia. However, this evidence is mostly low or very low quality,</w:t>
      </w:r>
      <w:r w:rsidR="005853A9">
        <w:rPr>
          <w:kern w:val="0"/>
        </w:rPr>
        <w:t xml:space="preserve"> and </w:t>
      </w:r>
      <w:r>
        <w:rPr>
          <w:kern w:val="0"/>
        </w:rPr>
        <w:t>for some issues no evidence is available</w:t>
      </w:r>
      <w:r w:rsidR="00A37C1D">
        <w:rPr>
          <w:kern w:val="0"/>
        </w:rPr>
        <w:t>. The</w:t>
      </w:r>
      <w:r>
        <w:rPr>
          <w:kern w:val="0"/>
        </w:rPr>
        <w:t>refore, we cannot make conclusions about which specific NSHW-led interventions are more effective.</w:t>
      </w:r>
    </w:p>
    <w:p w:rsidR="0097422C" w:rsidRDefault="0097422C" w:rsidP="0097422C">
      <w:pPr>
        <w:pStyle w:val="a3"/>
        <w:rPr>
          <w:kern w:val="0"/>
        </w:rPr>
      </w:pPr>
      <w:r>
        <w:rPr>
          <w:kern w:val="0"/>
        </w:rPr>
        <w:t>Keywords: Adverse Effects, African Refugee Settlement, Alcohol, Alcohol Use, Analysis, Antiepileptic Drug-Treatment, Anxiety, Authors, Benefits, Bias, Burden, Care, Children, Citation, Citations, Clinical Trials, Collection, Community, Community-Based Intervention, Confidence, Cost Effectiveness, Cost-Effectiveness, Criteria, Data, Data Collection, Dementia, Depression, Depressive Symptoms, Distress, Doctors, Effects, Embase, Evidence, General, Group Interpersonal Psychotherapy, Health, Health Care, Impact, Interrupted Time Series, Interval, Interventions</w:t>
      </w:r>
      <w:r w:rsidR="00D5664A">
        <w:rPr>
          <w:kern w:val="0"/>
        </w:rPr>
        <w:t>, ISI,</w:t>
      </w:r>
      <w:r>
        <w:rPr>
          <w:kern w:val="0"/>
        </w:rPr>
        <w:t xml:space="preserve"> Issues, Knowledge, Language, Low-And Middle-Income Countries, </w:t>
      </w:r>
      <w:r w:rsidR="00D5664A">
        <w:rPr>
          <w:kern w:val="0"/>
        </w:rPr>
        <w:t>MEDLINE</w:t>
      </w:r>
      <w:r>
        <w:rPr>
          <w:kern w:val="0"/>
        </w:rPr>
        <w:t>, Methods, Mn, Moderate Alzheimers-Disease, Mothers, Narrative Exposure Therapy, Neurological, Nurses, Outcomes, Perinatal, Post Traumatic Stress Disorder, Post-Traumatic Stress, Post-Traumatic Stress Disorder, Posttraumatic Stress, Posttraumatic Stress Disorder, Posttraumatic-Stress-Disorder, Prevalence, Primary, Psycinfo, Ptsd, Quality, Quality Of, Quality</w:t>
      </w:r>
      <w:r w:rsidR="00427468">
        <w:rPr>
          <w:kern w:val="0"/>
        </w:rPr>
        <w:t xml:space="preserve"> of </w:t>
      </w:r>
      <w:r>
        <w:rPr>
          <w:kern w:val="0"/>
        </w:rPr>
        <w:t>Care, Randomized Controlled-Trial, Reference, Reference Lists, Restrictions, Review, Risk, Risk-Reduction Intervention, Science, Science Citation Index, Sciences, Search, Sector, Services, Social, Social Sciences, Social Sciences Citation Index, Standard, Strategy, Stress, Substance Abuse, Substance Use, Substance Use Disorders, Symptoms, Training, Treatment, Web</w:t>
      </w:r>
      <w:r w:rsidR="00427468">
        <w:rPr>
          <w:kern w:val="0"/>
        </w:rPr>
        <w:t xml:space="preserve"> of </w:t>
      </w:r>
      <w:r>
        <w:rPr>
          <w:kern w:val="0"/>
        </w:rPr>
        <w:t>Knowledge, Well-Being, Who, World Health Organization, Young Methamphetamine Users</w:t>
      </w:r>
    </w:p>
    <w:p w:rsidR="0097422C" w:rsidRDefault="0097422C" w:rsidP="0097422C">
      <w:pPr>
        <w:pStyle w:val="a3"/>
        <w:rPr>
          <w:kern w:val="0"/>
        </w:rPr>
      </w:pPr>
      <w:r>
        <w:rPr>
          <w:rFonts w:hint="eastAsia"/>
          <w:kern w:val="0"/>
        </w:rPr>
        <w:t xml:space="preserve">? </w:t>
      </w:r>
      <w:r>
        <w:rPr>
          <w:kern w:val="0"/>
        </w:rPr>
        <w:t>Allen, V.B., Gur</w:t>
      </w:r>
      <w:r w:rsidR="00D5664A">
        <w:rPr>
          <w:kern w:val="0"/>
        </w:rPr>
        <w:t>USA</w:t>
      </w:r>
      <w:r>
        <w:rPr>
          <w:kern w:val="0"/>
        </w:rPr>
        <w:t>my, K.S., Takwoingi, Y., Kalia, A.</w:t>
      </w:r>
      <w:r w:rsidR="005853A9">
        <w:rPr>
          <w:kern w:val="0"/>
        </w:rPr>
        <w:t xml:space="preserve"> and </w:t>
      </w:r>
      <w:r>
        <w:rPr>
          <w:kern w:val="0"/>
        </w:rPr>
        <w:t>Davidson, B.R. (2013), Diagnostic accuracy</w:t>
      </w:r>
      <w:r w:rsidR="00427468">
        <w:rPr>
          <w:kern w:val="0"/>
        </w:rPr>
        <w:t xml:space="preserve"> of </w:t>
      </w:r>
      <w:r>
        <w:rPr>
          <w:kern w:val="0"/>
        </w:rPr>
        <w:t>laparoscopy following computed tomography (CT) scanning for assessing the resectability with curative intent in pancreatic</w:t>
      </w:r>
      <w:r w:rsidR="005853A9">
        <w:rPr>
          <w:kern w:val="0"/>
        </w:rPr>
        <w:t xml:space="preserve"> and </w:t>
      </w:r>
      <w:r>
        <w:rPr>
          <w:kern w:val="0"/>
        </w:rPr>
        <w:t xml:space="preserve">periampullary cancer.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xml:space="preserve">, Article Number: </w:t>
      </w:r>
      <w:r w:rsidRPr="00EE5553">
        <w:rPr>
          <w:kern w:val="0"/>
        </w:rPr>
        <w:t>CD009323</w:t>
      </w:r>
      <w:r>
        <w:rPr>
          <w:kern w:val="0"/>
        </w:rPr>
        <w:t>.</w:t>
      </w:r>
    </w:p>
    <w:p w:rsidR="0097422C" w:rsidRDefault="0097422C" w:rsidP="0097422C">
      <w:pPr>
        <w:pStyle w:val="a3"/>
        <w:rPr>
          <w:kern w:val="2"/>
        </w:rPr>
      </w:pPr>
      <w:r>
        <w:t xml:space="preserve">Full Text: 2013\Coc Dat Sys Rev2013, </w:t>
      </w:r>
      <w:r w:rsidRPr="00EE5553">
        <w:rPr>
          <w:kern w:val="0"/>
        </w:rPr>
        <w:t>CD009323</w:t>
      </w:r>
      <w:r>
        <w:t>.pdf</w:t>
      </w:r>
    </w:p>
    <w:p w:rsidR="0097422C" w:rsidRDefault="0097422C" w:rsidP="0097422C">
      <w:pPr>
        <w:pStyle w:val="a3"/>
        <w:rPr>
          <w:kern w:val="0"/>
        </w:rPr>
      </w:pPr>
      <w:r>
        <w:rPr>
          <w:kern w:val="0"/>
        </w:rPr>
        <w:t>Abstract: Background Surgical resection is the only potentially curative treatment for pancreatic</w:t>
      </w:r>
      <w:r w:rsidR="005853A9">
        <w:rPr>
          <w:kern w:val="0"/>
        </w:rPr>
        <w:t xml:space="preserve"> and </w:t>
      </w:r>
      <w:r>
        <w:rPr>
          <w:kern w:val="0"/>
        </w:rPr>
        <w:t>periampullary cancer. A considerable proportion</w:t>
      </w:r>
      <w:r w:rsidR="00427468">
        <w:rPr>
          <w:kern w:val="0"/>
        </w:rPr>
        <w:t xml:space="preserve"> of </w:t>
      </w:r>
      <w:r>
        <w:rPr>
          <w:kern w:val="0"/>
        </w:rPr>
        <w:t xml:space="preserve">patients undergo </w:t>
      </w:r>
      <w:r>
        <w:rPr>
          <w:kern w:val="0"/>
        </w:rPr>
        <w:lastRenderedPageBreak/>
        <w:t>unnecessary laparotomy because</w:t>
      </w:r>
      <w:r w:rsidR="00427468">
        <w:rPr>
          <w:kern w:val="0"/>
        </w:rPr>
        <w:t xml:space="preserve"> of </w:t>
      </w:r>
      <w:r>
        <w:rPr>
          <w:kern w:val="0"/>
        </w:rPr>
        <w:t>underestimation</w:t>
      </w:r>
      <w:r w:rsidR="00427468">
        <w:rPr>
          <w:kern w:val="0"/>
        </w:rPr>
        <w:t xml:space="preserve"> of </w:t>
      </w:r>
      <w:r>
        <w:rPr>
          <w:kern w:val="0"/>
        </w:rPr>
        <w:t>the extent</w:t>
      </w:r>
      <w:r w:rsidR="00427468">
        <w:rPr>
          <w:kern w:val="0"/>
        </w:rPr>
        <w:t xml:space="preserve"> of </w:t>
      </w:r>
      <w:r>
        <w:rPr>
          <w:kern w:val="0"/>
        </w:rPr>
        <w:t>the cancer on computed tomography (CT) scanning. Laparoscopy can detect metastases not visualised on CT scanning, enabling better assessment</w:t>
      </w:r>
      <w:r w:rsidR="00427468">
        <w:rPr>
          <w:kern w:val="0"/>
        </w:rPr>
        <w:t xml:space="preserve"> of </w:t>
      </w:r>
      <w:r>
        <w:rPr>
          <w:kern w:val="0"/>
        </w:rPr>
        <w:t>the spread</w:t>
      </w:r>
      <w:r w:rsidR="00427468">
        <w:rPr>
          <w:kern w:val="0"/>
        </w:rPr>
        <w:t xml:space="preserve"> of </w:t>
      </w:r>
      <w:r>
        <w:rPr>
          <w:kern w:val="0"/>
        </w:rPr>
        <w:t>cancer (staging</w:t>
      </w:r>
      <w:r w:rsidR="00427468">
        <w:rPr>
          <w:kern w:val="0"/>
        </w:rPr>
        <w:t xml:space="preserve"> of </w:t>
      </w:r>
      <w:r>
        <w:rPr>
          <w:kern w:val="0"/>
        </w:rPr>
        <w:t>cancer)</w:t>
      </w:r>
      <w:r w:rsidR="00A37C1D">
        <w:rPr>
          <w:kern w:val="0"/>
        </w:rPr>
        <w:t>. The</w:t>
      </w:r>
      <w:r>
        <w:rPr>
          <w:kern w:val="0"/>
        </w:rPr>
        <w:t>re has been no systematic review or meta-analysis assessing the role</w:t>
      </w:r>
      <w:r w:rsidR="00427468">
        <w:rPr>
          <w:kern w:val="0"/>
        </w:rPr>
        <w:t xml:space="preserve"> of </w:t>
      </w:r>
      <w:r>
        <w:rPr>
          <w:kern w:val="0"/>
        </w:rPr>
        <w:t>diagnostic laparoscopy in assessing the resectability with curative intent in patients with pancreatic</w:t>
      </w:r>
      <w:r w:rsidR="005853A9">
        <w:rPr>
          <w:kern w:val="0"/>
        </w:rPr>
        <w:t xml:space="preserve"> and </w:t>
      </w:r>
      <w:r>
        <w:rPr>
          <w:kern w:val="0"/>
        </w:rPr>
        <w:t>periampullary cancer. Objectives To determine the diagnostic accuracy</w:t>
      </w:r>
      <w:r w:rsidR="00427468">
        <w:rPr>
          <w:kern w:val="0"/>
        </w:rPr>
        <w:t xml:space="preserve"> of </w:t>
      </w:r>
      <w:r>
        <w:rPr>
          <w:kern w:val="0"/>
        </w:rPr>
        <w:t>diagnostic laparoscopy performed as an add-on test to CT scanning in the assessment</w:t>
      </w:r>
      <w:r w:rsidR="00427468">
        <w:rPr>
          <w:kern w:val="0"/>
        </w:rPr>
        <w:t xml:space="preserve"> of </w:t>
      </w:r>
      <w:r>
        <w:rPr>
          <w:kern w:val="0"/>
        </w:rPr>
        <w:t>curative resectability in pancreatic</w:t>
      </w:r>
      <w:r w:rsidR="005853A9">
        <w:rPr>
          <w:kern w:val="0"/>
        </w:rPr>
        <w:t xml:space="preserve"> and </w:t>
      </w:r>
      <w:r>
        <w:rPr>
          <w:kern w:val="0"/>
        </w:rPr>
        <w:t>periampullary cancer. Search methods We searched the Cochrane Register</w:t>
      </w:r>
      <w:r w:rsidR="00427468">
        <w:rPr>
          <w:kern w:val="0"/>
        </w:rPr>
        <w:t xml:space="preserve"> of </w:t>
      </w:r>
      <w:r>
        <w:rPr>
          <w:kern w:val="0"/>
        </w:rPr>
        <w:t>Diagnostic Test Accuracy Studies, the Cochrane Central Register</w:t>
      </w:r>
      <w:r w:rsidR="00427468">
        <w:rPr>
          <w:kern w:val="0"/>
        </w:rPr>
        <w:t xml:space="preserve"> of </w:t>
      </w:r>
      <w:r>
        <w:rPr>
          <w:kern w:val="0"/>
        </w:rPr>
        <w:t xml:space="preserve">Controlled Trials (CENTRAL), </w:t>
      </w:r>
      <w:r w:rsidR="00D5664A">
        <w:rPr>
          <w:kern w:val="0"/>
        </w:rPr>
        <w:t>MEDLINE</w:t>
      </w:r>
      <w:r>
        <w:rPr>
          <w:kern w:val="0"/>
        </w:rPr>
        <w:t xml:space="preserve"> via PubMed, EMBASE via OvidSP (from inception to 13 September 2012),</w:t>
      </w:r>
      <w:r w:rsidR="005853A9">
        <w:rPr>
          <w:kern w:val="0"/>
        </w:rPr>
        <w:t xml:space="preserve"> and </w:t>
      </w:r>
      <w:r>
        <w:rPr>
          <w:kern w:val="0"/>
        </w:rPr>
        <w:t>Science Citation Index Expanded (from 1980 to 13 September 2012). Selection criteria We included diagnostic accuracy studies</w:t>
      </w:r>
      <w:r w:rsidR="00427468">
        <w:rPr>
          <w:kern w:val="0"/>
        </w:rPr>
        <w:t xml:space="preserve"> of </w:t>
      </w:r>
      <w:r>
        <w:rPr>
          <w:kern w:val="0"/>
        </w:rPr>
        <w:t>diagnostic laparoscopy in patients with potentially resectable pancreatic</w:t>
      </w:r>
      <w:r w:rsidR="005853A9">
        <w:rPr>
          <w:kern w:val="0"/>
        </w:rPr>
        <w:t xml:space="preserve"> and </w:t>
      </w:r>
      <w:r>
        <w:rPr>
          <w:kern w:val="0"/>
        </w:rPr>
        <w:t>periampullary cancer on CT scan, where confirmation</w:t>
      </w:r>
      <w:r w:rsidR="00427468">
        <w:rPr>
          <w:kern w:val="0"/>
        </w:rPr>
        <w:t xml:space="preserve"> of </w:t>
      </w:r>
      <w:r>
        <w:rPr>
          <w:kern w:val="0"/>
        </w:rPr>
        <w:t>liver or peritoneal involvement was by histopathological examination</w:t>
      </w:r>
      <w:r w:rsidR="00427468">
        <w:rPr>
          <w:kern w:val="0"/>
        </w:rPr>
        <w:t xml:space="preserve"> of </w:t>
      </w:r>
      <w:r>
        <w:rPr>
          <w:kern w:val="0"/>
        </w:rPr>
        <w:t>suspicious (liver or peritoneal) lesions obtained at diagnostic laparoscopy or laparotomy. We accepted any criteria</w:t>
      </w:r>
      <w:r w:rsidR="00427468">
        <w:rPr>
          <w:kern w:val="0"/>
        </w:rPr>
        <w:t xml:space="preserve"> of </w:t>
      </w:r>
      <w:r>
        <w:rPr>
          <w:kern w:val="0"/>
        </w:rPr>
        <w:t>resectability used in the studies. We included studies irrespective</w:t>
      </w:r>
      <w:r w:rsidR="00427468">
        <w:rPr>
          <w:kern w:val="0"/>
        </w:rPr>
        <w:t xml:space="preserve"> of </w:t>
      </w:r>
      <w:r>
        <w:rPr>
          <w:kern w:val="0"/>
        </w:rPr>
        <w:t>language, publication status, or study design (prospective or retrospective). We excluded case-control studies. Data collection</w:t>
      </w:r>
      <w:r w:rsidR="005853A9">
        <w:rPr>
          <w:kern w:val="0"/>
        </w:rPr>
        <w:t xml:space="preserve"> and </w:t>
      </w:r>
      <w:r>
        <w:rPr>
          <w:kern w:val="0"/>
        </w:rPr>
        <w:t>analysis Two authors independently performed data extraction</w:t>
      </w:r>
      <w:r w:rsidR="005853A9">
        <w:rPr>
          <w:kern w:val="0"/>
        </w:rPr>
        <w:t xml:space="preserve"> and </w:t>
      </w:r>
      <w:r>
        <w:rPr>
          <w:kern w:val="0"/>
        </w:rPr>
        <w:t>quality assessment using the QUADAS-2 tool</w:t>
      </w:r>
      <w:r w:rsidR="00A37C1D">
        <w:rPr>
          <w:kern w:val="0"/>
        </w:rPr>
        <w:t>. The</w:t>
      </w:r>
      <w:r>
        <w:rPr>
          <w:kern w:val="0"/>
        </w:rPr>
        <w:t xml:space="preserve"> specificity</w:t>
      </w:r>
      <w:r w:rsidR="00427468">
        <w:rPr>
          <w:kern w:val="0"/>
        </w:rPr>
        <w:t xml:space="preserve"> of </w:t>
      </w:r>
      <w:r>
        <w:rPr>
          <w:kern w:val="0"/>
        </w:rPr>
        <w:t>diagnostic laparoscopy in all studies was 1 because there were no false positives since laparoscopy</w:t>
      </w:r>
      <w:r w:rsidR="005853A9">
        <w:rPr>
          <w:kern w:val="0"/>
        </w:rPr>
        <w:t xml:space="preserve"> and </w:t>
      </w:r>
      <w:r>
        <w:rPr>
          <w:kern w:val="0"/>
        </w:rPr>
        <w:t>the reference standard are one</w:t>
      </w:r>
      <w:r w:rsidR="005853A9">
        <w:rPr>
          <w:kern w:val="0"/>
        </w:rPr>
        <w:t xml:space="preserve"> and </w:t>
      </w:r>
      <w:r>
        <w:rPr>
          <w:kern w:val="0"/>
        </w:rPr>
        <w:t>the same if histological examination after diagnostic laparoscopy is positive</w:t>
      </w:r>
      <w:r w:rsidR="00A37C1D">
        <w:rPr>
          <w:kern w:val="0"/>
        </w:rPr>
        <w:t>. The</w:t>
      </w:r>
      <w:r>
        <w:rPr>
          <w:kern w:val="0"/>
        </w:rPr>
        <w:t>refore, the sensitivities were meta-analysed using a univariate random-effects logistic regression model</w:t>
      </w:r>
      <w:r w:rsidR="00A37C1D">
        <w:rPr>
          <w:kern w:val="0"/>
        </w:rPr>
        <w:t>. The</w:t>
      </w:r>
      <w:r>
        <w:rPr>
          <w:kern w:val="0"/>
        </w:rPr>
        <w:t xml:space="preserve"> probability</w:t>
      </w:r>
      <w:r w:rsidR="00427468">
        <w:rPr>
          <w:kern w:val="0"/>
        </w:rPr>
        <w:t xml:space="preserve"> of </w:t>
      </w:r>
      <w:r>
        <w:rPr>
          <w:kern w:val="0"/>
        </w:rPr>
        <w:t>unresectability in patients who had a negative laparoscopy (post-test probability for patients with a negative test result) was calculated using the median probability</w:t>
      </w:r>
      <w:r w:rsidR="00427468">
        <w:rPr>
          <w:kern w:val="0"/>
        </w:rPr>
        <w:t xml:space="preserve"> of </w:t>
      </w:r>
      <w:r>
        <w:rPr>
          <w:kern w:val="0"/>
        </w:rPr>
        <w:t>unresectability (pre-test probability) from the included studies</w:t>
      </w:r>
      <w:r w:rsidR="005853A9">
        <w:rPr>
          <w:kern w:val="0"/>
        </w:rPr>
        <w:t xml:space="preserve"> and </w:t>
      </w:r>
      <w:r>
        <w:rPr>
          <w:kern w:val="0"/>
        </w:rPr>
        <w:t>the negative likelihood ratio derived from the model (specificity</w:t>
      </w:r>
      <w:r w:rsidR="00427468">
        <w:rPr>
          <w:kern w:val="0"/>
        </w:rPr>
        <w:t xml:space="preserve"> of </w:t>
      </w:r>
      <w:r>
        <w:rPr>
          <w:kern w:val="0"/>
        </w:rPr>
        <w:t>1 assumed)</w:t>
      </w:r>
      <w:r w:rsidR="00A37C1D">
        <w:rPr>
          <w:kern w:val="0"/>
        </w:rPr>
        <w:t>. The</w:t>
      </w:r>
      <w:r>
        <w:rPr>
          <w:kern w:val="0"/>
        </w:rPr>
        <w:t xml:space="preserve"> difference between the pre-test</w:t>
      </w:r>
      <w:r w:rsidR="005853A9">
        <w:rPr>
          <w:kern w:val="0"/>
        </w:rPr>
        <w:t xml:space="preserve"> and </w:t>
      </w:r>
      <w:r>
        <w:rPr>
          <w:kern w:val="0"/>
        </w:rPr>
        <w:t>post-test probabilities gave the overall added value</w:t>
      </w:r>
      <w:r w:rsidR="00427468">
        <w:rPr>
          <w:kern w:val="0"/>
        </w:rPr>
        <w:t xml:space="preserve"> of </w:t>
      </w:r>
      <w:r>
        <w:rPr>
          <w:kern w:val="0"/>
        </w:rPr>
        <w:t>diagnostic laparoscopy compared to the standard practice</w:t>
      </w:r>
      <w:r w:rsidR="00427468">
        <w:rPr>
          <w:kern w:val="0"/>
        </w:rPr>
        <w:t xml:space="preserve"> of </w:t>
      </w:r>
      <w:r>
        <w:rPr>
          <w:kern w:val="0"/>
        </w:rPr>
        <w:t>CT scan staging alone. Main results Fifteen studies with a total</w:t>
      </w:r>
      <w:r w:rsidR="00427468">
        <w:rPr>
          <w:kern w:val="0"/>
        </w:rPr>
        <w:t xml:space="preserve"> of </w:t>
      </w:r>
      <w:r>
        <w:rPr>
          <w:kern w:val="0"/>
        </w:rPr>
        <w:t>1015 patients were included in the meta-analysis. Only one study including 52 patients had a low risk</w:t>
      </w:r>
      <w:r w:rsidR="00427468">
        <w:rPr>
          <w:kern w:val="0"/>
        </w:rPr>
        <w:t xml:space="preserve"> of </w:t>
      </w:r>
      <w:r>
        <w:rPr>
          <w:kern w:val="0"/>
        </w:rPr>
        <w:t>bias</w:t>
      </w:r>
      <w:r w:rsidR="005853A9">
        <w:rPr>
          <w:kern w:val="0"/>
        </w:rPr>
        <w:t xml:space="preserve"> and </w:t>
      </w:r>
      <w:r>
        <w:rPr>
          <w:kern w:val="0"/>
        </w:rPr>
        <w:t>low applicability concern in the patient selection domain</w:t>
      </w:r>
      <w:r w:rsidR="00A37C1D">
        <w:rPr>
          <w:kern w:val="0"/>
        </w:rPr>
        <w:t>. The</w:t>
      </w:r>
      <w:r>
        <w:rPr>
          <w:kern w:val="0"/>
        </w:rPr>
        <w:t xml:space="preserve"> median pre-test probability</w:t>
      </w:r>
      <w:r w:rsidR="00427468">
        <w:rPr>
          <w:kern w:val="0"/>
        </w:rPr>
        <w:t xml:space="preserve"> of </w:t>
      </w:r>
      <w:r>
        <w:rPr>
          <w:kern w:val="0"/>
        </w:rPr>
        <w:t>unresectable disease after CT scanning across studies was 40.3% (that is 40 out</w:t>
      </w:r>
      <w:r w:rsidR="00427468">
        <w:rPr>
          <w:kern w:val="0"/>
        </w:rPr>
        <w:t xml:space="preserve"> of </w:t>
      </w:r>
      <w:r>
        <w:rPr>
          <w:kern w:val="0"/>
        </w:rPr>
        <w:t>100 patients who had resectable cancer after CT scan were found to have unresectable disease on laparotomy)</w:t>
      </w:r>
      <w:r w:rsidR="00A37C1D">
        <w:rPr>
          <w:kern w:val="0"/>
        </w:rPr>
        <w:t>. The</w:t>
      </w:r>
      <w:r>
        <w:rPr>
          <w:kern w:val="0"/>
        </w:rPr>
        <w:t xml:space="preserve"> summary sensitivity</w:t>
      </w:r>
      <w:r w:rsidR="00427468">
        <w:rPr>
          <w:kern w:val="0"/>
        </w:rPr>
        <w:t xml:space="preserve"> of </w:t>
      </w:r>
      <w:r>
        <w:rPr>
          <w:kern w:val="0"/>
        </w:rPr>
        <w:t>diagnostic laparoscopy was 68.7% (95% CI 54.3% to 80.2%). Assuming a pre-test probability</w:t>
      </w:r>
      <w:r w:rsidR="00427468">
        <w:rPr>
          <w:kern w:val="0"/>
        </w:rPr>
        <w:t xml:space="preserve"> of </w:t>
      </w:r>
      <w:r>
        <w:rPr>
          <w:kern w:val="0"/>
        </w:rPr>
        <w:t>40.3%, the post-test probability</w:t>
      </w:r>
      <w:r w:rsidR="00427468">
        <w:rPr>
          <w:kern w:val="0"/>
        </w:rPr>
        <w:t xml:space="preserve"> of </w:t>
      </w:r>
      <w:r>
        <w:rPr>
          <w:kern w:val="0"/>
        </w:rPr>
        <w:t xml:space="preserve">unresectable disease for patients with a </w:t>
      </w:r>
      <w:r>
        <w:rPr>
          <w:kern w:val="0"/>
        </w:rPr>
        <w:lastRenderedPageBreak/>
        <w:t>negative test result was 0.17 (95% CI 0.12 to 0.24). This indicates that if a patient is said to have resectable disease after diagnostic laparoscopy</w:t>
      </w:r>
      <w:r w:rsidR="005853A9">
        <w:rPr>
          <w:kern w:val="0"/>
        </w:rPr>
        <w:t xml:space="preserve"> and </w:t>
      </w:r>
      <w:r>
        <w:rPr>
          <w:kern w:val="0"/>
        </w:rPr>
        <w:t>CT scan, there is a 17% probability that their cancer will be unresectable compared to a 40% probability for those receiving CT alone. A subgroup analysis</w:t>
      </w:r>
      <w:r w:rsidR="00427468">
        <w:rPr>
          <w:kern w:val="0"/>
        </w:rPr>
        <w:t xml:space="preserve"> of </w:t>
      </w:r>
      <w:r>
        <w:rPr>
          <w:kern w:val="0"/>
        </w:rPr>
        <w:t>patients with pancreatic cancer gave a summary sensitivity</w:t>
      </w:r>
      <w:r w:rsidR="00427468">
        <w:rPr>
          <w:kern w:val="0"/>
        </w:rPr>
        <w:t xml:space="preserve"> of </w:t>
      </w:r>
      <w:r>
        <w:rPr>
          <w:kern w:val="0"/>
        </w:rPr>
        <w:t>67.9% (95% CI 41.1% to 86.5%)</w:t>
      </w:r>
      <w:r w:rsidR="00A37C1D">
        <w:rPr>
          <w:kern w:val="0"/>
        </w:rPr>
        <w:t>. The</w:t>
      </w:r>
      <w:r>
        <w:rPr>
          <w:kern w:val="0"/>
        </w:rPr>
        <w:t xml:space="preserve"> post-test probability</w:t>
      </w:r>
      <w:r w:rsidR="00427468">
        <w:rPr>
          <w:kern w:val="0"/>
        </w:rPr>
        <w:t xml:space="preserve"> of </w:t>
      </w:r>
      <w:r>
        <w:rPr>
          <w:kern w:val="0"/>
        </w:rPr>
        <w:t>unresectable disease after being considered resectable on both CT</w:t>
      </w:r>
      <w:r w:rsidR="005853A9">
        <w:rPr>
          <w:kern w:val="0"/>
        </w:rPr>
        <w:t xml:space="preserve"> and </w:t>
      </w:r>
      <w:r>
        <w:rPr>
          <w:kern w:val="0"/>
        </w:rPr>
        <w:t>diagnostic laparoscopy was 18% compared to 40% for those receiving CT alone. Authors</w:t>
      </w:r>
      <w:r w:rsidR="0071223E">
        <w:rPr>
          <w:kern w:val="0"/>
        </w:rPr>
        <w:t>’</w:t>
      </w:r>
      <w:r>
        <w:rPr>
          <w:kern w:val="0"/>
        </w:rPr>
        <w:t xml:space="preserve"> conclusions Diagnostic laparoscopy may decrease the rate</w:t>
      </w:r>
      <w:r w:rsidR="00427468">
        <w:rPr>
          <w:kern w:val="0"/>
        </w:rPr>
        <w:t xml:space="preserve"> of </w:t>
      </w:r>
      <w:r>
        <w:rPr>
          <w:kern w:val="0"/>
        </w:rPr>
        <w:t>unnecessary laparotomy in patients with pancreatic</w:t>
      </w:r>
      <w:r w:rsidR="005853A9">
        <w:rPr>
          <w:kern w:val="0"/>
        </w:rPr>
        <w:t xml:space="preserve"> and </w:t>
      </w:r>
      <w:r>
        <w:rPr>
          <w:kern w:val="0"/>
        </w:rPr>
        <w:t>periampullary cancer found to have resectable disease on CT scan. On average, using diagnostic laparoscopy with biopsy</w:t>
      </w:r>
      <w:r w:rsidR="005853A9">
        <w:rPr>
          <w:kern w:val="0"/>
        </w:rPr>
        <w:t xml:space="preserve"> and </w:t>
      </w:r>
      <w:r>
        <w:rPr>
          <w:kern w:val="0"/>
        </w:rPr>
        <w:t>histopathological confirmation</w:t>
      </w:r>
      <w:r w:rsidR="00427468">
        <w:rPr>
          <w:kern w:val="0"/>
        </w:rPr>
        <w:t xml:space="preserve"> of </w:t>
      </w:r>
      <w:r>
        <w:rPr>
          <w:kern w:val="0"/>
        </w:rPr>
        <w:t>suspicious lesions prior to laparotomy would avoid 23 unnecessary laparotomies in 100 patients in whom resection</w:t>
      </w:r>
      <w:r w:rsidR="00427468">
        <w:rPr>
          <w:kern w:val="0"/>
        </w:rPr>
        <w:t xml:space="preserve"> of </w:t>
      </w:r>
      <w:r>
        <w:rPr>
          <w:kern w:val="0"/>
        </w:rPr>
        <w:t>cancer with curative intent is planned.</w:t>
      </w:r>
    </w:p>
    <w:p w:rsidR="0097422C" w:rsidRDefault="0097422C" w:rsidP="0097422C">
      <w:pPr>
        <w:pStyle w:val="a3"/>
        <w:rPr>
          <w:kern w:val="0"/>
        </w:rPr>
      </w:pPr>
      <w:r>
        <w:rPr>
          <w:kern w:val="0"/>
        </w:rPr>
        <w:t xml:space="preserve">Keywords: Accuracy, Ampullary Cancer, Analysis, Assessing, Assessment, Authors, Bias, Biopsy, Cancer, Case-Control, Case-Control Studies, Citation, Collection, Computed Tomography, Criteria, Ct, Ct Scan, Data, Data Collection, Design, Diagnostic Accuracy, Digestive Cancers, Disease, Embase, Endoscopic Ultrasonography, Examination, Expert Consensus Statement, Extraction, Head Region, Language, Laparoscopy, Laparotomy, Likelihood Ratio, Liver, Logistic Regression, Low Risk, </w:t>
      </w:r>
      <w:r w:rsidR="00D5664A">
        <w:rPr>
          <w:kern w:val="0"/>
        </w:rPr>
        <w:t>MEDLINE</w:t>
      </w:r>
      <w:r>
        <w:rPr>
          <w:kern w:val="0"/>
        </w:rPr>
        <w:t>, Meta Analysis, Meta-Analysis, Metaanalysis, Metastases, Methods, Model, Pancreatic Cancer, Patient Selection, Patients, Peritoneal Cytology, Practice, Prognostic-Factors, Prospective, Publication, Pubmed, Quality, Reference, Regression, Regression Model, Review, Risk, Role, Science, Science Citation Index, Science Citation Index Expanded, Search, Selection, Sensitivity, Specificity, Staging Laparoscopy, Standard, Study Design, Surgical, Surgical-Treatment, Systematic Review, Test, Treatment, Upper Gastrointestinal Malignancies, Value</w:t>
      </w:r>
    </w:p>
    <w:p w:rsidR="0097422C" w:rsidRDefault="0097422C" w:rsidP="0097422C">
      <w:pPr>
        <w:pStyle w:val="a3"/>
        <w:rPr>
          <w:kern w:val="0"/>
        </w:rPr>
      </w:pPr>
      <w:r>
        <w:rPr>
          <w:rFonts w:hint="eastAsia"/>
          <w:kern w:val="0"/>
        </w:rPr>
        <w:t xml:space="preserve">? </w:t>
      </w:r>
      <w:r>
        <w:rPr>
          <w:kern w:val="0"/>
        </w:rPr>
        <w:t>Hardt, J., Meerpohl, J.J., Metzendorf, M.I., Kienle, P., Post, S.</w:t>
      </w:r>
      <w:r w:rsidR="005853A9">
        <w:rPr>
          <w:kern w:val="0"/>
        </w:rPr>
        <w:t xml:space="preserve"> and </w:t>
      </w:r>
      <w:r>
        <w:rPr>
          <w:kern w:val="0"/>
        </w:rPr>
        <w:t>Herrle, F. (2013), Lateral pararectal versus transrectal stoma placement for prevention</w:t>
      </w:r>
      <w:r w:rsidR="00427468">
        <w:rPr>
          <w:kern w:val="0"/>
        </w:rPr>
        <w:t xml:space="preserve"> of </w:t>
      </w:r>
      <w:r>
        <w:rPr>
          <w:kern w:val="0"/>
        </w:rPr>
        <w:t xml:space="preserve">parastomal herniation.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xml:space="preserve">, Article Number: </w:t>
      </w:r>
      <w:r w:rsidRPr="00EE5553">
        <w:rPr>
          <w:kern w:val="0"/>
        </w:rPr>
        <w:t>CD009487</w:t>
      </w:r>
      <w:r>
        <w:rPr>
          <w:kern w:val="0"/>
        </w:rPr>
        <w:t>.</w:t>
      </w:r>
    </w:p>
    <w:p w:rsidR="0097422C" w:rsidRDefault="0097422C" w:rsidP="0097422C">
      <w:pPr>
        <w:pStyle w:val="a3"/>
        <w:rPr>
          <w:kern w:val="2"/>
        </w:rPr>
      </w:pPr>
      <w:r>
        <w:t xml:space="preserve">Full Text: 2013\Coc Dat Sys Rev2013, </w:t>
      </w:r>
      <w:r w:rsidRPr="00EE5553">
        <w:rPr>
          <w:kern w:val="0"/>
        </w:rPr>
        <w:t>CD009487</w:t>
      </w:r>
      <w:r>
        <w:t>.pdf</w:t>
      </w:r>
    </w:p>
    <w:p w:rsidR="0097422C" w:rsidRDefault="0097422C" w:rsidP="0097422C">
      <w:pPr>
        <w:pStyle w:val="a3"/>
        <w:rPr>
          <w:kern w:val="0"/>
        </w:rPr>
      </w:pPr>
      <w:r>
        <w:rPr>
          <w:kern w:val="0"/>
        </w:rPr>
        <w:t>Abstract: Background A parastomal hernia is defined as an incisional hernia related to a stoma</w:t>
      </w:r>
      <w:r w:rsidR="005853A9">
        <w:rPr>
          <w:kern w:val="0"/>
        </w:rPr>
        <w:t xml:space="preserve"> and </w:t>
      </w:r>
      <w:r>
        <w:rPr>
          <w:kern w:val="0"/>
        </w:rPr>
        <w:t>belongs to the most common stoma-related complications. Many factors concerning the operative technique which are considered to influence the incidence</w:t>
      </w:r>
      <w:r w:rsidR="00427468">
        <w:rPr>
          <w:kern w:val="0"/>
        </w:rPr>
        <w:t xml:space="preserve"> of </w:t>
      </w:r>
      <w:r>
        <w:rPr>
          <w:kern w:val="0"/>
        </w:rPr>
        <w:t>parastomal herniation have been investigated. However, it remains unclear whether the enterostomy should be placed through or lateral to the rectus abdominis muscle in order to prevent parastomal herniation</w:t>
      </w:r>
      <w:r w:rsidR="005853A9">
        <w:rPr>
          <w:kern w:val="0"/>
        </w:rPr>
        <w:t xml:space="preserve"> and </w:t>
      </w:r>
      <w:r>
        <w:rPr>
          <w:kern w:val="0"/>
        </w:rPr>
        <w:t xml:space="preserve">other important stoma complications for people undergoing abdominal wall enterostomy. Objectives To </w:t>
      </w:r>
      <w:r>
        <w:rPr>
          <w:kern w:val="0"/>
        </w:rPr>
        <w:lastRenderedPageBreak/>
        <w:t>assess if there is a difference regarding the incidence</w:t>
      </w:r>
      <w:r w:rsidR="00427468">
        <w:rPr>
          <w:kern w:val="0"/>
        </w:rPr>
        <w:t xml:space="preserve"> of </w:t>
      </w:r>
      <w:r>
        <w:rPr>
          <w:kern w:val="0"/>
        </w:rPr>
        <w:t>parastomal herniation</w:t>
      </w:r>
      <w:r w:rsidR="005853A9">
        <w:rPr>
          <w:kern w:val="0"/>
        </w:rPr>
        <w:t xml:space="preserve"> and </w:t>
      </w:r>
      <w:r>
        <w:rPr>
          <w:kern w:val="0"/>
        </w:rPr>
        <w:t>other stomal complications, such as ileus</w:t>
      </w:r>
      <w:r w:rsidR="005853A9">
        <w:rPr>
          <w:kern w:val="0"/>
        </w:rPr>
        <w:t xml:space="preserve"> and </w:t>
      </w:r>
      <w:r>
        <w:rPr>
          <w:kern w:val="0"/>
        </w:rPr>
        <w:t>stenosis, in lateral pararectal versus transrectal stoma placement in people undergoing elective or emergency abdominal wall enterostomy. Search methods In October</w:t>
      </w:r>
      <w:r w:rsidR="005853A9">
        <w:rPr>
          <w:kern w:val="0"/>
        </w:rPr>
        <w:t xml:space="preserve"> and </w:t>
      </w:r>
      <w:r>
        <w:rPr>
          <w:kern w:val="0"/>
        </w:rPr>
        <w:t>November 2012 we searched for all types</w:t>
      </w:r>
      <w:r w:rsidR="00427468">
        <w:rPr>
          <w:kern w:val="0"/>
        </w:rPr>
        <w:t xml:space="preserve"> of </w:t>
      </w:r>
      <w:r>
        <w:rPr>
          <w:kern w:val="0"/>
        </w:rPr>
        <w:t>published</w:t>
      </w:r>
      <w:r w:rsidR="005853A9">
        <w:rPr>
          <w:kern w:val="0"/>
        </w:rPr>
        <w:t xml:space="preserve"> and </w:t>
      </w:r>
      <w:r>
        <w:rPr>
          <w:kern w:val="0"/>
        </w:rPr>
        <w:t>unpublished randomized</w:t>
      </w:r>
      <w:r w:rsidR="005853A9">
        <w:rPr>
          <w:kern w:val="0"/>
        </w:rPr>
        <w:t xml:space="preserve"> and </w:t>
      </w:r>
      <w:r>
        <w:rPr>
          <w:kern w:val="0"/>
        </w:rPr>
        <w:t xml:space="preserve">non-randomized studies with no restriction on language, date or country (search dates in brackets). We searched the bibliographic databases The Cochrane Library (4 October 2012), </w:t>
      </w:r>
      <w:r w:rsidR="00D5664A">
        <w:rPr>
          <w:kern w:val="0"/>
        </w:rPr>
        <w:t>MEDLINE</w:t>
      </w:r>
      <w:r>
        <w:rPr>
          <w:kern w:val="0"/>
        </w:rPr>
        <w:t xml:space="preserve"> (1 October 2012), EMBASE (10 October 2012), LILACS (29 November 2012),</w:t>
      </w:r>
      <w:r w:rsidR="005853A9">
        <w:rPr>
          <w:kern w:val="0"/>
        </w:rPr>
        <w:t xml:space="preserve"> and </w:t>
      </w:r>
      <w:r>
        <w:rPr>
          <w:kern w:val="0"/>
        </w:rPr>
        <w:t>Science Citation Index Expanded (4 October 2012). We also searched the reference lists</w:t>
      </w:r>
      <w:r w:rsidR="00427468">
        <w:rPr>
          <w:kern w:val="0"/>
        </w:rPr>
        <w:t xml:space="preserve"> of </w:t>
      </w:r>
      <w:r>
        <w:rPr>
          <w:kern w:val="0"/>
        </w:rPr>
        <w:t>all relevant studies</w:t>
      </w:r>
      <w:r w:rsidR="005853A9">
        <w:rPr>
          <w:kern w:val="0"/>
        </w:rPr>
        <w:t xml:space="preserve"> and </w:t>
      </w:r>
      <w:r>
        <w:rPr>
          <w:kern w:val="0"/>
        </w:rPr>
        <w:t>the trial registers ClinicalTrials.gov (9 October 2012), World Health Organization (WHO) International Clinical Trials Registry Platform (ICTRP) Search Portal (10 October 2012), as well as three additional trial registers not included in the ICTRP (27 November 2012). Selection criteria Randomized</w:t>
      </w:r>
      <w:r w:rsidR="005853A9">
        <w:rPr>
          <w:kern w:val="0"/>
        </w:rPr>
        <w:t xml:space="preserve"> and </w:t>
      </w:r>
      <w:r>
        <w:rPr>
          <w:kern w:val="0"/>
        </w:rPr>
        <w:t>non-randomized studies comparing lateral pararectal versus transrectal stoma placement with regard to parastomal herniation</w:t>
      </w:r>
      <w:r w:rsidR="005853A9">
        <w:rPr>
          <w:kern w:val="0"/>
        </w:rPr>
        <w:t xml:space="preserve"> and </w:t>
      </w:r>
      <w:r>
        <w:rPr>
          <w:kern w:val="0"/>
        </w:rPr>
        <w:t>other stoma-related complications. Data collection</w:t>
      </w:r>
      <w:r w:rsidR="005853A9">
        <w:rPr>
          <w:kern w:val="0"/>
        </w:rPr>
        <w:t xml:space="preserve"> and </w:t>
      </w:r>
      <w:r>
        <w:rPr>
          <w:kern w:val="0"/>
        </w:rPr>
        <w:t>analysis Two authors independently assessed study quality</w:t>
      </w:r>
      <w:r w:rsidR="005853A9">
        <w:rPr>
          <w:kern w:val="0"/>
        </w:rPr>
        <w:t xml:space="preserve"> and </w:t>
      </w:r>
      <w:r>
        <w:rPr>
          <w:kern w:val="0"/>
        </w:rPr>
        <w:t>extracted data. Data analyses were conducted according to the recommendations</w:t>
      </w:r>
      <w:r w:rsidR="00427468">
        <w:rPr>
          <w:kern w:val="0"/>
        </w:rPr>
        <w:t xml:space="preserve"> of </w:t>
      </w:r>
      <w:r>
        <w:rPr>
          <w:kern w:val="0"/>
        </w:rPr>
        <w:t>The Cochrane Collaboration</w:t>
      </w:r>
      <w:r w:rsidR="005853A9">
        <w:rPr>
          <w:kern w:val="0"/>
        </w:rPr>
        <w:t xml:space="preserve"> and </w:t>
      </w:r>
      <w:r>
        <w:rPr>
          <w:kern w:val="0"/>
        </w:rPr>
        <w:t>the Cochrane Colorectal Cancer Group (CCCG). Quality</w:t>
      </w:r>
      <w:r w:rsidR="00427468">
        <w:rPr>
          <w:kern w:val="0"/>
        </w:rPr>
        <w:t xml:space="preserve"> of </w:t>
      </w:r>
      <w:r>
        <w:rPr>
          <w:kern w:val="0"/>
        </w:rPr>
        <w:t>evidence was rated according to GRADE (Grading</w:t>
      </w:r>
      <w:r w:rsidR="00427468">
        <w:rPr>
          <w:kern w:val="0"/>
        </w:rPr>
        <w:t xml:space="preserve"> of </w:t>
      </w:r>
      <w:r>
        <w:rPr>
          <w:kern w:val="0"/>
        </w:rPr>
        <w:t>Recommendations Assessment, Development</w:t>
      </w:r>
      <w:r w:rsidR="005853A9">
        <w:rPr>
          <w:kern w:val="0"/>
        </w:rPr>
        <w:t xml:space="preserve"> and </w:t>
      </w:r>
      <w:r>
        <w:rPr>
          <w:kern w:val="0"/>
        </w:rPr>
        <w:t>Evaluation). Main results Nine retrospective cohort studies with a total</w:t>
      </w:r>
      <w:r w:rsidR="00427468">
        <w:rPr>
          <w:kern w:val="0"/>
        </w:rPr>
        <w:t xml:space="preserve"> of </w:t>
      </w:r>
      <w:r>
        <w:rPr>
          <w:kern w:val="0"/>
        </w:rPr>
        <w:t>761 participants met the inclusion criteria. All included studies reported results for the primary outcome (parastomal herniation),</w:t>
      </w:r>
      <w:r w:rsidR="005853A9">
        <w:rPr>
          <w:kern w:val="0"/>
        </w:rPr>
        <w:t xml:space="preserve"> and </w:t>
      </w:r>
      <w:r>
        <w:rPr>
          <w:kern w:val="0"/>
        </w:rPr>
        <w:t>one study also reported data on one</w:t>
      </w:r>
      <w:r w:rsidR="00427468">
        <w:rPr>
          <w:kern w:val="0"/>
        </w:rPr>
        <w:t xml:space="preserve"> of </w:t>
      </w:r>
      <w:r>
        <w:rPr>
          <w:kern w:val="0"/>
        </w:rPr>
        <w:t>the secondary outcomes (stomal prolapse). None</w:t>
      </w:r>
      <w:r w:rsidR="00427468">
        <w:rPr>
          <w:kern w:val="0"/>
        </w:rPr>
        <w:t xml:space="preserve"> of </w:t>
      </w:r>
      <w:r>
        <w:rPr>
          <w:kern w:val="0"/>
        </w:rPr>
        <w:t>the included studies compared the two interventions with regard to other secondary outcomes</w:t>
      </w:r>
      <w:r w:rsidR="00A37C1D">
        <w:rPr>
          <w:kern w:val="0"/>
        </w:rPr>
        <w:t>. The</w:t>
      </w:r>
      <w:r>
        <w:rPr>
          <w:kern w:val="0"/>
        </w:rPr>
        <w:t>re was neither a significant difference in terms</w:t>
      </w:r>
      <w:r w:rsidR="00427468">
        <w:rPr>
          <w:kern w:val="0"/>
        </w:rPr>
        <w:t xml:space="preserve"> of </w:t>
      </w:r>
      <w:r>
        <w:rPr>
          <w:kern w:val="0"/>
        </w:rPr>
        <w:t>the risk for parastomal herniation (risk ratio (RR) 1.29; 95% confidence interval (CI) 0.79 to 2.1) nor with regard to the occurrence</w:t>
      </w:r>
      <w:r w:rsidR="00427468">
        <w:rPr>
          <w:kern w:val="0"/>
        </w:rPr>
        <w:t xml:space="preserve"> of </w:t>
      </w:r>
      <w:r>
        <w:rPr>
          <w:kern w:val="0"/>
        </w:rPr>
        <w:t>stomal prolapse (RR 1.23; 95% CI 0.39 to 3.85). An I-2 value</w:t>
      </w:r>
      <w:r w:rsidR="00427468">
        <w:rPr>
          <w:kern w:val="0"/>
        </w:rPr>
        <w:t xml:space="preserve"> of </w:t>
      </w:r>
      <w:r>
        <w:rPr>
          <w:kern w:val="0"/>
        </w:rPr>
        <w:t>65% indicated substantial statistical heterogeneity in the meta-analysis. Authors</w:t>
      </w:r>
      <w:r w:rsidR="0071223E">
        <w:rPr>
          <w:kern w:val="0"/>
        </w:rPr>
        <w:t>’</w:t>
      </w:r>
      <w:r>
        <w:rPr>
          <w:kern w:val="0"/>
        </w:rPr>
        <w:t xml:space="preserve"> conclusions The poor quality</w:t>
      </w:r>
      <w:r w:rsidR="00427468">
        <w:rPr>
          <w:kern w:val="0"/>
        </w:rPr>
        <w:t xml:space="preserve"> of </w:t>
      </w:r>
      <w:r>
        <w:rPr>
          <w:kern w:val="0"/>
        </w:rPr>
        <w:t>the included evidence does not allow a robust conclusion regarding the objectives</w:t>
      </w:r>
      <w:r w:rsidR="00427468">
        <w:rPr>
          <w:kern w:val="0"/>
        </w:rPr>
        <w:t xml:space="preserve"> of </w:t>
      </w:r>
      <w:r>
        <w:rPr>
          <w:kern w:val="0"/>
        </w:rPr>
        <w:t>the review. This review highlights a clear uncertainty as to the relative merits</w:t>
      </w:r>
      <w:r w:rsidR="00427468">
        <w:rPr>
          <w:kern w:val="0"/>
        </w:rPr>
        <w:t xml:space="preserve"> of </w:t>
      </w:r>
      <w:r>
        <w:rPr>
          <w:kern w:val="0"/>
        </w:rPr>
        <w:t>either approach</w:t>
      </w:r>
      <w:r w:rsidR="00A37C1D">
        <w:rPr>
          <w:kern w:val="0"/>
        </w:rPr>
        <w:t>. The</w:t>
      </w:r>
      <w:r>
        <w:rPr>
          <w:kern w:val="0"/>
        </w:rPr>
        <w:t>re is a need for randomized trials to evaluate the effectiveness</w:t>
      </w:r>
      <w:r w:rsidR="00427468">
        <w:rPr>
          <w:kern w:val="0"/>
        </w:rPr>
        <w:t xml:space="preserve"> of </w:t>
      </w:r>
      <w:r>
        <w:rPr>
          <w:kern w:val="0"/>
        </w:rPr>
        <w:t>the lateral pararectal versus the transrectal approach in preventing parastomal herniation</w:t>
      </w:r>
      <w:r w:rsidR="005853A9">
        <w:rPr>
          <w:kern w:val="0"/>
        </w:rPr>
        <w:t xml:space="preserve"> and </w:t>
      </w:r>
      <w:r>
        <w:rPr>
          <w:kern w:val="0"/>
        </w:rPr>
        <w:t>other stoma-related morbidity in people requiring enterostomy placement.</w:t>
      </w:r>
    </w:p>
    <w:p w:rsidR="0097422C" w:rsidRDefault="0097422C" w:rsidP="0097422C">
      <w:pPr>
        <w:pStyle w:val="a3"/>
        <w:rPr>
          <w:kern w:val="0"/>
        </w:rPr>
      </w:pPr>
      <w:r>
        <w:rPr>
          <w:kern w:val="0"/>
        </w:rPr>
        <w:t xml:space="preserve">Keywords: Abdominal, Abdominal Wall, Abdominis Positioned Stoma, Analyses, Analysis, Approach, Assessment, Authors, Bibliographic, Bibliographic Databases, Cancer, Citation, Clinical Trials, Cochrane Collaboration, Cohort, Collaboration, Collection, Colorectal, Colostomy, Complications, Confidence, Country, Criteria, </w:t>
      </w:r>
      <w:r>
        <w:rPr>
          <w:kern w:val="0"/>
        </w:rPr>
        <w:lastRenderedPageBreak/>
        <w:t xml:space="preserve">Data, Data Collection, Databases, Effectiveness, Elective, Embase, Emergency, Evaluation, Evidence, Grade, Health-Care Interventions, Heterogeneity, Ileostomy, Ileus, Incidence, Influence, Interval, Interventions, Intestinal Stomas, Language, Life-Table Analysis, </w:t>
      </w:r>
      <w:r w:rsidR="00D5664A">
        <w:rPr>
          <w:kern w:val="0"/>
        </w:rPr>
        <w:t>MEDLINE</w:t>
      </w:r>
      <w:r>
        <w:rPr>
          <w:kern w:val="0"/>
        </w:rPr>
        <w:t>, Meta Analysis, Meta-Analysis, Metaanalysis, Methods, Morbidity, Muscle, Operative, Outcome, Outcomes, Placement, Prevent, Prevention, Primary, Prolapse, Proposal, Prosthetic Mesh, Quality, Quality Of, Randomized, Recommendations, Rectus Abdominis Muscle, Reference, Reference Lists, Review, Risk, Science, Science Citation Index, Science Citation Index Expanded, Search, Stenosis, Trial, Uncertainty, Value, Who, World Health Organization</w:t>
      </w:r>
    </w:p>
    <w:p w:rsidR="0097422C" w:rsidRDefault="0097422C" w:rsidP="0097422C">
      <w:pPr>
        <w:pStyle w:val="a3"/>
        <w:rPr>
          <w:kern w:val="0"/>
        </w:rPr>
      </w:pPr>
      <w:r>
        <w:rPr>
          <w:rFonts w:hint="eastAsia"/>
          <w:kern w:val="0"/>
        </w:rPr>
        <w:t xml:space="preserve">? </w:t>
      </w:r>
      <w:r>
        <w:rPr>
          <w:kern w:val="0"/>
        </w:rPr>
        <w:t>Elsner, B., Kugler, J., Pohl, M.</w:t>
      </w:r>
      <w:r w:rsidR="005853A9">
        <w:rPr>
          <w:kern w:val="0"/>
        </w:rPr>
        <w:t xml:space="preserve"> and </w:t>
      </w:r>
      <w:r>
        <w:rPr>
          <w:kern w:val="0"/>
        </w:rPr>
        <w:t>Mehrholz, J. (2013), Transcranial direct current stimulation (tDCS) for improving function</w:t>
      </w:r>
      <w:r w:rsidR="005853A9">
        <w:rPr>
          <w:kern w:val="0"/>
        </w:rPr>
        <w:t xml:space="preserve"> and </w:t>
      </w:r>
      <w:r>
        <w:rPr>
          <w:kern w:val="0"/>
        </w:rPr>
        <w:t>activities</w:t>
      </w:r>
      <w:r w:rsidR="00427468">
        <w:rPr>
          <w:kern w:val="0"/>
        </w:rPr>
        <w:t xml:space="preserve"> of </w:t>
      </w:r>
      <w:r>
        <w:rPr>
          <w:kern w:val="0"/>
        </w:rPr>
        <w:t xml:space="preserve">daily living in patients after stroke.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11</w:t>
      </w:r>
      <w:r>
        <w:rPr>
          <w:kern w:val="0"/>
        </w:rPr>
        <w:t xml:space="preserve">, Article Number: </w:t>
      </w:r>
      <w:r w:rsidRPr="00EE5553">
        <w:rPr>
          <w:kern w:val="0"/>
        </w:rPr>
        <w:t>CD009645</w:t>
      </w:r>
      <w:r>
        <w:rPr>
          <w:kern w:val="0"/>
        </w:rPr>
        <w:t>.</w:t>
      </w:r>
    </w:p>
    <w:p w:rsidR="0097422C" w:rsidRDefault="0097422C" w:rsidP="0097422C">
      <w:pPr>
        <w:pStyle w:val="a3"/>
        <w:rPr>
          <w:kern w:val="2"/>
        </w:rPr>
      </w:pPr>
      <w:r>
        <w:t xml:space="preserve">Full Text: 2013\Coc Dat Sys Rev2013, </w:t>
      </w:r>
      <w:r w:rsidRPr="00EE5553">
        <w:rPr>
          <w:kern w:val="0"/>
        </w:rPr>
        <w:t>CD009645</w:t>
      </w:r>
      <w:r>
        <w:t>.pdf</w:t>
      </w:r>
    </w:p>
    <w:p w:rsidR="0097422C" w:rsidRDefault="0097422C" w:rsidP="0097422C">
      <w:pPr>
        <w:pStyle w:val="a3"/>
        <w:rPr>
          <w:kern w:val="0"/>
        </w:rPr>
      </w:pPr>
      <w:r>
        <w:rPr>
          <w:kern w:val="0"/>
        </w:rPr>
        <w:t>Abstract: Background Stroke is one</w:t>
      </w:r>
      <w:r w:rsidR="00427468">
        <w:rPr>
          <w:kern w:val="0"/>
        </w:rPr>
        <w:t xml:space="preserve"> of </w:t>
      </w:r>
      <w:r>
        <w:rPr>
          <w:kern w:val="0"/>
        </w:rPr>
        <w:t>the leading causes</w:t>
      </w:r>
      <w:r w:rsidR="00427468">
        <w:rPr>
          <w:kern w:val="0"/>
        </w:rPr>
        <w:t xml:space="preserve"> of </w:t>
      </w:r>
      <w:r>
        <w:rPr>
          <w:kern w:val="0"/>
        </w:rPr>
        <w:t>disability worldwide. Functional impairment resulting in poor performance in activities</w:t>
      </w:r>
      <w:r w:rsidR="00427468">
        <w:rPr>
          <w:kern w:val="0"/>
        </w:rPr>
        <w:t xml:space="preserve"> of </w:t>
      </w:r>
      <w:r>
        <w:rPr>
          <w:kern w:val="0"/>
        </w:rPr>
        <w:t>daily living (ADLs) among stroke survivors is common. Current rehabilitation approaches have limited effectiveness in improving ADL performance</w:t>
      </w:r>
      <w:r w:rsidR="005853A9">
        <w:rPr>
          <w:kern w:val="0"/>
        </w:rPr>
        <w:t xml:space="preserve"> and </w:t>
      </w:r>
      <w:r>
        <w:rPr>
          <w:kern w:val="0"/>
        </w:rPr>
        <w:t>function after stroke, but a possible adjunct to stroke rehabilitation might be non-invasive brain stimulation by transcranial direct current stimulation (tDCS) to modulate cortical excitability</w:t>
      </w:r>
      <w:r w:rsidR="005853A9">
        <w:rPr>
          <w:kern w:val="0"/>
        </w:rPr>
        <w:t xml:space="preserve"> and </w:t>
      </w:r>
      <w:r>
        <w:rPr>
          <w:kern w:val="0"/>
        </w:rPr>
        <w:t>hence to improve ADL performance</w:t>
      </w:r>
      <w:r w:rsidR="005853A9">
        <w:rPr>
          <w:kern w:val="0"/>
        </w:rPr>
        <w:t xml:space="preserve"> and </w:t>
      </w:r>
      <w:r>
        <w:rPr>
          <w:kern w:val="0"/>
        </w:rPr>
        <w:t>function. Objectives To assess the effects</w:t>
      </w:r>
      <w:r w:rsidR="00427468">
        <w:rPr>
          <w:kern w:val="0"/>
        </w:rPr>
        <w:t xml:space="preserve"> of </w:t>
      </w:r>
      <w:r>
        <w:rPr>
          <w:kern w:val="0"/>
        </w:rPr>
        <w:t>tDCS on generic activities</w:t>
      </w:r>
      <w:r w:rsidR="00427468">
        <w:rPr>
          <w:kern w:val="0"/>
        </w:rPr>
        <w:t xml:space="preserve"> of </w:t>
      </w:r>
      <w:r>
        <w:rPr>
          <w:kern w:val="0"/>
        </w:rPr>
        <w:t>daily living (ADLs)</w:t>
      </w:r>
      <w:r w:rsidR="005853A9">
        <w:rPr>
          <w:kern w:val="0"/>
        </w:rPr>
        <w:t xml:space="preserve"> and </w:t>
      </w:r>
      <w:r>
        <w:rPr>
          <w:kern w:val="0"/>
        </w:rPr>
        <w:t>motor function in people with stroke. Search methods We searched the Cochrane Stroke Group Trials Register (March 2013), the Cochrane Central Register</w:t>
      </w:r>
      <w:r w:rsidR="00427468">
        <w:rPr>
          <w:kern w:val="0"/>
        </w:rPr>
        <w:t xml:space="preserve"> of </w:t>
      </w:r>
      <w:r>
        <w:rPr>
          <w:kern w:val="0"/>
        </w:rPr>
        <w:t xml:space="preserve">Controlled Trials (CENTRAL) (The Cochrane Library, May 2013), </w:t>
      </w:r>
      <w:r w:rsidR="00D5664A">
        <w:rPr>
          <w:kern w:val="0"/>
        </w:rPr>
        <w:t>MEDLINE</w:t>
      </w:r>
      <w:r>
        <w:rPr>
          <w:kern w:val="0"/>
        </w:rPr>
        <w:t xml:space="preserve"> (1948 to May 2013), EMBASE (1980 to May 2013), CINAHL (1982 to May 2013), AMED (1985 to May 2013), Science Citation Index (1899 to May 2013)</w:t>
      </w:r>
      <w:r w:rsidR="005853A9">
        <w:rPr>
          <w:kern w:val="0"/>
        </w:rPr>
        <w:t xml:space="preserve"> and </w:t>
      </w:r>
      <w:r>
        <w:rPr>
          <w:kern w:val="0"/>
        </w:rPr>
        <w:t>four additional databases. In an effort to identify further published, unpublished</w:t>
      </w:r>
      <w:r w:rsidR="005853A9">
        <w:rPr>
          <w:kern w:val="0"/>
        </w:rPr>
        <w:t xml:space="preserve"> and </w:t>
      </w:r>
      <w:r>
        <w:rPr>
          <w:kern w:val="0"/>
        </w:rPr>
        <w:t>ongoing trials, we searched trials registers</w:t>
      </w:r>
      <w:r w:rsidR="005853A9">
        <w:rPr>
          <w:kern w:val="0"/>
        </w:rPr>
        <w:t xml:space="preserve"> and </w:t>
      </w:r>
      <w:r>
        <w:rPr>
          <w:kern w:val="0"/>
        </w:rPr>
        <w:t>reference lists, handsearched conference proceedings</w:t>
      </w:r>
      <w:r w:rsidR="005853A9">
        <w:rPr>
          <w:kern w:val="0"/>
        </w:rPr>
        <w:t xml:space="preserve"> and </w:t>
      </w:r>
      <w:r>
        <w:rPr>
          <w:kern w:val="0"/>
        </w:rPr>
        <w:t>contacted authors</w:t>
      </w:r>
      <w:r w:rsidR="005853A9">
        <w:rPr>
          <w:kern w:val="0"/>
        </w:rPr>
        <w:t xml:space="preserve"> and </w:t>
      </w:r>
      <w:r>
        <w:rPr>
          <w:kern w:val="0"/>
        </w:rPr>
        <w:t>equipment manufacturers. Selection criteria We included only randomised controlled trials (RCTs)</w:t>
      </w:r>
      <w:r w:rsidR="005853A9">
        <w:rPr>
          <w:kern w:val="0"/>
        </w:rPr>
        <w:t xml:space="preserve"> and </w:t>
      </w:r>
      <w:r>
        <w:rPr>
          <w:kern w:val="0"/>
        </w:rPr>
        <w:t>randomised controlled cross-over trials (from which we analysed only the first period as a parallel-group design) that compared tDCS versus control in adults with stroke for improving ADL performance</w:t>
      </w:r>
      <w:r w:rsidR="005853A9">
        <w:rPr>
          <w:kern w:val="0"/>
        </w:rPr>
        <w:t xml:space="preserve"> and </w:t>
      </w:r>
      <w:r>
        <w:rPr>
          <w:kern w:val="0"/>
        </w:rPr>
        <w:t>function. Data collection</w:t>
      </w:r>
      <w:r w:rsidR="005853A9">
        <w:rPr>
          <w:kern w:val="0"/>
        </w:rPr>
        <w:t xml:space="preserve"> and </w:t>
      </w:r>
      <w:r>
        <w:rPr>
          <w:kern w:val="0"/>
        </w:rPr>
        <w:t>analysis Two review authors independently assessed trial quality (JM</w:t>
      </w:r>
      <w:r w:rsidR="005853A9">
        <w:rPr>
          <w:kern w:val="0"/>
        </w:rPr>
        <w:t xml:space="preserve"> and </w:t>
      </w:r>
      <w:r>
        <w:rPr>
          <w:kern w:val="0"/>
        </w:rPr>
        <w:t>MP)</w:t>
      </w:r>
      <w:r w:rsidR="005853A9">
        <w:rPr>
          <w:kern w:val="0"/>
        </w:rPr>
        <w:t xml:space="preserve"> and </w:t>
      </w:r>
      <w:r>
        <w:rPr>
          <w:kern w:val="0"/>
        </w:rPr>
        <w:t>extracted data (BE</w:t>
      </w:r>
      <w:r w:rsidR="005853A9">
        <w:rPr>
          <w:kern w:val="0"/>
        </w:rPr>
        <w:t xml:space="preserve"> and </w:t>
      </w:r>
      <w:r>
        <w:rPr>
          <w:kern w:val="0"/>
        </w:rPr>
        <w:t>JM). If necessary, we contacted study authors to ask for additional information. We collected information on dropouts</w:t>
      </w:r>
      <w:r w:rsidR="005853A9">
        <w:rPr>
          <w:kern w:val="0"/>
        </w:rPr>
        <w:t xml:space="preserve"> and </w:t>
      </w:r>
      <w:r>
        <w:rPr>
          <w:kern w:val="0"/>
        </w:rPr>
        <w:t>adverse events from the trial reports. Main results We included 15 studies involving a total</w:t>
      </w:r>
      <w:r w:rsidR="00427468">
        <w:rPr>
          <w:kern w:val="0"/>
        </w:rPr>
        <w:t xml:space="preserve"> of </w:t>
      </w:r>
      <w:r>
        <w:rPr>
          <w:kern w:val="0"/>
        </w:rPr>
        <w:t>455 participants. Analysis</w:t>
      </w:r>
      <w:r w:rsidR="00427468">
        <w:rPr>
          <w:kern w:val="0"/>
        </w:rPr>
        <w:t xml:space="preserve"> of </w:t>
      </w:r>
      <w:r>
        <w:rPr>
          <w:kern w:val="0"/>
        </w:rPr>
        <w:t xml:space="preserve">six studies involving 326 </w:t>
      </w:r>
      <w:r>
        <w:rPr>
          <w:kern w:val="0"/>
        </w:rPr>
        <w:lastRenderedPageBreak/>
        <w:t>participants regarding our primary outcome, ADL, showed no evidence</w:t>
      </w:r>
      <w:r w:rsidR="00427468">
        <w:rPr>
          <w:kern w:val="0"/>
        </w:rPr>
        <w:t xml:space="preserve"> of </w:t>
      </w:r>
      <w:r>
        <w:rPr>
          <w:kern w:val="0"/>
        </w:rPr>
        <w:t>an effect in favour</w:t>
      </w:r>
      <w:r w:rsidR="00427468">
        <w:rPr>
          <w:kern w:val="0"/>
        </w:rPr>
        <w:t xml:space="preserve"> of </w:t>
      </w:r>
      <w:r>
        <w:rPr>
          <w:kern w:val="0"/>
        </w:rPr>
        <w:t>tDCS at the end</w:t>
      </w:r>
      <w:r w:rsidR="00427468">
        <w:rPr>
          <w:kern w:val="0"/>
        </w:rPr>
        <w:t xml:space="preserve"> of </w:t>
      </w:r>
      <w:r>
        <w:rPr>
          <w:kern w:val="0"/>
        </w:rPr>
        <w:t>the intervention phase (mean difference (MD) 5.31 Barthel Index (BI) points; 95% confidence interval (CI) -0.52 to 11.14; inverse variance method with random-effects model), whereas at follow-up (MD 11.13 BI points; 95% CI 2.89 to 19.37; inverse variance method with random-effects model), we found evidence</w:t>
      </w:r>
      <w:r w:rsidR="00427468">
        <w:rPr>
          <w:kern w:val="0"/>
        </w:rPr>
        <w:t xml:space="preserve"> of </w:t>
      </w:r>
      <w:r>
        <w:rPr>
          <w:kern w:val="0"/>
        </w:rPr>
        <w:t>an effect. However, the confidence intervals were wide</w:t>
      </w:r>
      <w:r w:rsidR="005853A9">
        <w:rPr>
          <w:kern w:val="0"/>
        </w:rPr>
        <w:t xml:space="preserve"> and </w:t>
      </w:r>
      <w:r>
        <w:rPr>
          <w:kern w:val="0"/>
        </w:rPr>
        <w:t>the effect was not sustained when only studies with low risk</w:t>
      </w:r>
      <w:r w:rsidR="00427468">
        <w:rPr>
          <w:kern w:val="0"/>
        </w:rPr>
        <w:t xml:space="preserve"> of </w:t>
      </w:r>
      <w:r>
        <w:rPr>
          <w:kern w:val="0"/>
        </w:rPr>
        <w:t>bias were included. For our secondary outcome, upper limb function, we analysed eight trials with 358 participants, which showed evidence</w:t>
      </w:r>
      <w:r w:rsidR="00427468">
        <w:rPr>
          <w:kern w:val="0"/>
        </w:rPr>
        <w:t xml:space="preserve"> of </w:t>
      </w:r>
      <w:r>
        <w:rPr>
          <w:kern w:val="0"/>
        </w:rPr>
        <w:t>an effect in favour</w:t>
      </w:r>
      <w:r w:rsidR="00427468">
        <w:rPr>
          <w:kern w:val="0"/>
        </w:rPr>
        <w:t xml:space="preserve"> of </w:t>
      </w:r>
      <w:r>
        <w:rPr>
          <w:kern w:val="0"/>
        </w:rPr>
        <w:t>tDCS at the end</w:t>
      </w:r>
      <w:r w:rsidR="00427468">
        <w:rPr>
          <w:kern w:val="0"/>
        </w:rPr>
        <w:t xml:space="preserve"> of </w:t>
      </w:r>
      <w:r>
        <w:rPr>
          <w:kern w:val="0"/>
        </w:rPr>
        <w:t>the intervention phase (MD 3.45 Upper Extremity Fugl-Meyer Score points (UE-FM points); 95% CI 1.24 to 5.67; inverse variance method with random-effects model) but not at the end</w:t>
      </w:r>
      <w:r w:rsidR="00427468">
        <w:rPr>
          <w:kern w:val="0"/>
        </w:rPr>
        <w:t xml:space="preserve"> of </w:t>
      </w:r>
      <w:r>
        <w:rPr>
          <w:kern w:val="0"/>
        </w:rPr>
        <w:t>follow-up three months after the intervention (MD 9.23 UE-FM points; 95% CI -13.47 to 31.94; inverse variance method with random-effects model)</w:t>
      </w:r>
      <w:r w:rsidR="00A37C1D">
        <w:rPr>
          <w:kern w:val="0"/>
        </w:rPr>
        <w:t>. The</w:t>
      </w:r>
      <w:r>
        <w:rPr>
          <w:kern w:val="0"/>
        </w:rPr>
        <w:t>se results were sensitive to inclusion</w:t>
      </w:r>
      <w:r w:rsidR="00427468">
        <w:rPr>
          <w:kern w:val="0"/>
        </w:rPr>
        <w:t xml:space="preserve"> of </w:t>
      </w:r>
      <w:r>
        <w:rPr>
          <w:kern w:val="0"/>
        </w:rPr>
        <w:t>studies at high risk</w:t>
      </w:r>
      <w:r w:rsidR="00427468">
        <w:rPr>
          <w:kern w:val="0"/>
        </w:rPr>
        <w:t xml:space="preserve"> of </w:t>
      </w:r>
      <w:r>
        <w:rPr>
          <w:kern w:val="0"/>
        </w:rPr>
        <w:t>bias. Adverse events were reported</w:t>
      </w:r>
      <w:r w:rsidR="005853A9">
        <w:rPr>
          <w:kern w:val="0"/>
        </w:rPr>
        <w:t xml:space="preserve"> and </w:t>
      </w:r>
      <w:r>
        <w:rPr>
          <w:kern w:val="0"/>
        </w:rPr>
        <w:t>the proportions</w:t>
      </w:r>
      <w:r w:rsidR="00427468">
        <w:rPr>
          <w:kern w:val="0"/>
        </w:rPr>
        <w:t xml:space="preserve"> of </w:t>
      </w:r>
      <w:r>
        <w:rPr>
          <w:kern w:val="0"/>
        </w:rPr>
        <w:t>dropouts</w:t>
      </w:r>
      <w:r w:rsidR="005853A9">
        <w:rPr>
          <w:kern w:val="0"/>
        </w:rPr>
        <w:t xml:space="preserve"> and </w:t>
      </w:r>
      <w:r>
        <w:rPr>
          <w:kern w:val="0"/>
        </w:rPr>
        <w:t>adverse events were comparable between groups (risk difference (RD) 0.00; 95% CI -0.02 to 0.03; Mantel-Haenszel method with random-effects model). Authors</w:t>
      </w:r>
      <w:r w:rsidR="0071223E">
        <w:rPr>
          <w:kern w:val="0"/>
        </w:rPr>
        <w:t>’</w:t>
      </w:r>
      <w:r>
        <w:rPr>
          <w:kern w:val="0"/>
        </w:rPr>
        <w:t xml:space="preserve"> conclusions At the moment, evidence</w:t>
      </w:r>
      <w:r w:rsidR="00427468">
        <w:rPr>
          <w:kern w:val="0"/>
        </w:rPr>
        <w:t xml:space="preserve"> of </w:t>
      </w:r>
      <w:r>
        <w:rPr>
          <w:kern w:val="0"/>
        </w:rPr>
        <w:t>very low to low quality is available on the effectiveness</w:t>
      </w:r>
      <w:r w:rsidR="00427468">
        <w:rPr>
          <w:kern w:val="0"/>
        </w:rPr>
        <w:t xml:space="preserve"> of </w:t>
      </w:r>
      <w:r>
        <w:rPr>
          <w:kern w:val="0"/>
        </w:rPr>
        <w:t>tDCS (anodal/cathodal/dual) versus control (sham/any other intervention) for improving ADL performance</w:t>
      </w:r>
      <w:r w:rsidR="005853A9">
        <w:rPr>
          <w:kern w:val="0"/>
        </w:rPr>
        <w:t xml:space="preserve"> and </w:t>
      </w:r>
      <w:r>
        <w:rPr>
          <w:kern w:val="0"/>
        </w:rPr>
        <w:t>function after stroke. Future research should investigate the effects</w:t>
      </w:r>
      <w:r w:rsidR="00427468">
        <w:rPr>
          <w:kern w:val="0"/>
        </w:rPr>
        <w:t xml:space="preserve"> of </w:t>
      </w:r>
      <w:r>
        <w:rPr>
          <w:kern w:val="0"/>
        </w:rPr>
        <w:t>tDCS on lower limb function</w:t>
      </w:r>
      <w:r w:rsidR="005853A9">
        <w:rPr>
          <w:kern w:val="0"/>
        </w:rPr>
        <w:t xml:space="preserve"> and </w:t>
      </w:r>
      <w:r>
        <w:rPr>
          <w:kern w:val="0"/>
        </w:rPr>
        <w:t>should address methodological issues by routinely reporting data on adverse events</w:t>
      </w:r>
      <w:r w:rsidR="005853A9">
        <w:rPr>
          <w:kern w:val="0"/>
        </w:rPr>
        <w:t xml:space="preserve"> and </w:t>
      </w:r>
      <w:r>
        <w:rPr>
          <w:kern w:val="0"/>
        </w:rPr>
        <w:t>dropouts</w:t>
      </w:r>
      <w:r w:rsidR="005853A9">
        <w:rPr>
          <w:kern w:val="0"/>
        </w:rPr>
        <w:t xml:space="preserve"> and </w:t>
      </w:r>
      <w:r>
        <w:rPr>
          <w:kern w:val="0"/>
        </w:rPr>
        <w:t>allocation concealment,</w:t>
      </w:r>
      <w:r w:rsidR="005853A9">
        <w:rPr>
          <w:kern w:val="0"/>
        </w:rPr>
        <w:t xml:space="preserve"> and </w:t>
      </w:r>
      <w:r>
        <w:rPr>
          <w:kern w:val="0"/>
        </w:rPr>
        <w:t>by performing intention-to-treat analyses.</w:t>
      </w:r>
    </w:p>
    <w:p w:rsidR="0097422C" w:rsidRDefault="0097422C" w:rsidP="0097422C">
      <w:pPr>
        <w:pStyle w:val="a3"/>
        <w:rPr>
          <w:kern w:val="0"/>
        </w:rPr>
      </w:pPr>
      <w:r>
        <w:rPr>
          <w:kern w:val="0"/>
        </w:rPr>
        <w:t xml:space="preserve">Keywords: Adl, Allocation, Analyses, Analysis, Authors, Bias, Brain, Citation, Collection, Conference Proceedings, Confidence, Confidence Intervals, Control, Cortical Stimulation, Criteria, Data, Data Collection, Databases, Dc Stimulation, Design, Disability, Effectiveness, Effects, Embase, Equipment, Events, Evidence, First, Follow-Up, Function, Groups, Information, Interval, Intervals, Intervention, Issues, Living, Low Risk, </w:t>
      </w:r>
      <w:r w:rsidR="00D5664A">
        <w:rPr>
          <w:kern w:val="0"/>
        </w:rPr>
        <w:t>MEDLINE</w:t>
      </w:r>
      <w:r>
        <w:rPr>
          <w:kern w:val="0"/>
        </w:rPr>
        <w:t>, Methods, Model, Motor Cortex Stimulation, Motor Function, Noninvasive Brain-Stimulation, Outcome, Patients, Performance, Primary, Quality, Random Effects Model, Randomised, Randomised Controlled Trials, Recovery, Reference, Reference Lists, Rehabilitation, Reporting, Research, Review, Risk, Robotic Therapy, Science, Science Citation Index, Search, Simultaneous Occupational-Therapy, Skill Acquisition, Stroke, Subacute Stroke, Trial, Upper-Limb</w:t>
      </w:r>
    </w:p>
    <w:p w:rsidR="00533624" w:rsidRDefault="00533624" w:rsidP="00533624">
      <w:pPr>
        <w:pStyle w:val="a3"/>
        <w:rPr>
          <w:kern w:val="0"/>
        </w:rPr>
      </w:pPr>
      <w:r>
        <w:rPr>
          <w:rFonts w:hint="eastAsia"/>
          <w:kern w:val="0"/>
        </w:rPr>
        <w:t xml:space="preserve">? </w:t>
      </w:r>
      <w:r>
        <w:rPr>
          <w:kern w:val="0"/>
        </w:rPr>
        <w:t>Weis, S., Franke, A., Mossner, J., Jakobsen, J.C.</w:t>
      </w:r>
      <w:r w:rsidR="005853A9">
        <w:rPr>
          <w:kern w:val="0"/>
        </w:rPr>
        <w:t xml:space="preserve"> and </w:t>
      </w:r>
      <w:r>
        <w:rPr>
          <w:kern w:val="0"/>
        </w:rPr>
        <w:t xml:space="preserve">Schoppmeyer, K. (2013), Radiofrequency (thermal) ablation versus no intervention or other interventions for hepatocellular carcinoma.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6368EA">
        <w:rPr>
          <w:kern w:val="0"/>
        </w:rPr>
        <w:t>CD003046</w:t>
      </w:r>
      <w:r>
        <w:rPr>
          <w:kern w:val="0"/>
        </w:rPr>
        <w:t>.</w:t>
      </w:r>
    </w:p>
    <w:p w:rsidR="00533624" w:rsidRDefault="00533624" w:rsidP="00533624">
      <w:pPr>
        <w:pStyle w:val="a3"/>
        <w:rPr>
          <w:kern w:val="2"/>
        </w:rPr>
      </w:pPr>
      <w:r>
        <w:lastRenderedPageBreak/>
        <w:t xml:space="preserve">Full Text: 2013\Coc Dat Sys Rev2013, </w:t>
      </w:r>
      <w:r w:rsidRPr="006368EA">
        <w:rPr>
          <w:kern w:val="0"/>
        </w:rPr>
        <w:t>CD003046</w:t>
      </w:r>
      <w:r>
        <w:t>.pdf</w:t>
      </w:r>
    </w:p>
    <w:p w:rsidR="00533624" w:rsidRDefault="00533624" w:rsidP="00533624">
      <w:pPr>
        <w:pStyle w:val="a3"/>
        <w:rPr>
          <w:kern w:val="0"/>
        </w:rPr>
      </w:pPr>
      <w:r>
        <w:rPr>
          <w:kern w:val="0"/>
        </w:rPr>
        <w:t>Abstract: Background Hepatocellular carcinoma is the fifth most common cancer worldwide. Percutaneous interventional therapies, such as radiofrequency (thermal) ablation (RFA), have been developed for early hepatocellular carcinoma. RFA competes with other interventional techniques such as percutaneous ethanol injection, surgical resection,</w:t>
      </w:r>
      <w:r w:rsidR="005853A9">
        <w:rPr>
          <w:kern w:val="0"/>
        </w:rPr>
        <w:t xml:space="preserve"> and </w:t>
      </w:r>
      <w:r>
        <w:rPr>
          <w:kern w:val="0"/>
        </w:rPr>
        <w:t>liver transplantation</w:t>
      </w:r>
      <w:r w:rsidR="00A37C1D">
        <w:rPr>
          <w:kern w:val="0"/>
        </w:rPr>
        <w:t>. The</w:t>
      </w:r>
      <w:r>
        <w:rPr>
          <w:kern w:val="0"/>
        </w:rPr>
        <w:t xml:space="preserve"> potential benefits</w:t>
      </w:r>
      <w:r w:rsidR="005853A9">
        <w:rPr>
          <w:kern w:val="0"/>
        </w:rPr>
        <w:t xml:space="preserve"> and </w:t>
      </w:r>
      <w:r>
        <w:rPr>
          <w:kern w:val="0"/>
        </w:rPr>
        <w:t>harms</w:t>
      </w:r>
      <w:r w:rsidR="00427468">
        <w:rPr>
          <w:kern w:val="0"/>
        </w:rPr>
        <w:t xml:space="preserve"> of </w:t>
      </w:r>
      <w:r>
        <w:rPr>
          <w:kern w:val="0"/>
        </w:rPr>
        <w:t>RFA compared with placebo, no intervention, chemotherapy, hepatic resection, liver transplantation, or other interventions are unclear. Objectives To assess the beneficial</w:t>
      </w:r>
      <w:r w:rsidR="005853A9">
        <w:rPr>
          <w:kern w:val="0"/>
        </w:rPr>
        <w:t xml:space="preserve"> and </w:t>
      </w:r>
      <w:r>
        <w:rPr>
          <w:kern w:val="0"/>
        </w:rPr>
        <w:t>harmful effects</w:t>
      </w:r>
      <w:r w:rsidR="00427468">
        <w:rPr>
          <w:kern w:val="0"/>
        </w:rPr>
        <w:t xml:space="preserve"> of </w:t>
      </w:r>
      <w:r>
        <w:rPr>
          <w:kern w:val="0"/>
        </w:rPr>
        <w:t>RFA versus placebo, no intervention, or any other therapeutic approach in patients with hepatocellular carcinoma. Search methods We searched the Cochrane Hepato-Biliary Group Controlled Trials Register, the Cochrane Central Register</w:t>
      </w:r>
      <w:r w:rsidR="00427468">
        <w:rPr>
          <w:kern w:val="0"/>
        </w:rPr>
        <w:t xml:space="preserve"> of </w:t>
      </w:r>
      <w:r>
        <w:rPr>
          <w:kern w:val="0"/>
        </w:rPr>
        <w:t>Controlled Trials (CENTRAL), MEDLINE, EMBASE,</w:t>
      </w:r>
      <w:r w:rsidR="005853A9">
        <w:rPr>
          <w:kern w:val="0"/>
        </w:rPr>
        <w:t xml:space="preserve"> and </w:t>
      </w:r>
      <w:r>
        <w:rPr>
          <w:kern w:val="0"/>
        </w:rPr>
        <w:t>ISI Web</w:t>
      </w:r>
      <w:r w:rsidR="00427468">
        <w:rPr>
          <w:kern w:val="0"/>
        </w:rPr>
        <w:t xml:space="preserve"> of </w:t>
      </w:r>
      <w:r>
        <w:rPr>
          <w:kern w:val="0"/>
        </w:rPr>
        <w:t>Science to September 2012. We hand searched meeting abstracts from ASCO, ESMO, AASLD, EASL, APASL,</w:t>
      </w:r>
      <w:r w:rsidR="005853A9">
        <w:rPr>
          <w:kern w:val="0"/>
        </w:rPr>
        <w:t xml:space="preserve"> and </w:t>
      </w:r>
      <w:r>
        <w:rPr>
          <w:kern w:val="0"/>
        </w:rPr>
        <w:t>references</w:t>
      </w:r>
      <w:r w:rsidR="00427468">
        <w:rPr>
          <w:kern w:val="0"/>
        </w:rPr>
        <w:t xml:space="preserve"> of </w:t>
      </w:r>
      <w:r>
        <w:rPr>
          <w:kern w:val="0"/>
        </w:rPr>
        <w:t>articles. We also contacted researchers in the field (last search September 2012). Selection criteria We considered for inclusion randomised clinical trials investigating the effects</w:t>
      </w:r>
      <w:r w:rsidR="00427468">
        <w:rPr>
          <w:kern w:val="0"/>
        </w:rPr>
        <w:t xml:space="preserve"> of </w:t>
      </w:r>
      <w:r>
        <w:rPr>
          <w:kern w:val="0"/>
        </w:rPr>
        <w:t>RFA versus placebo, no intervention, or any other therapeutic approach on hepatocellular carcinoma patients regardless</w:t>
      </w:r>
      <w:r w:rsidR="00427468">
        <w:rPr>
          <w:kern w:val="0"/>
        </w:rPr>
        <w:t xml:space="preserve"> of </w:t>
      </w:r>
      <w:r>
        <w:rPr>
          <w:kern w:val="0"/>
        </w:rPr>
        <w:t>blinding, language,</w:t>
      </w:r>
      <w:r w:rsidR="005853A9">
        <w:rPr>
          <w:kern w:val="0"/>
        </w:rPr>
        <w:t xml:space="preserve"> and </w:t>
      </w:r>
      <w:r>
        <w:rPr>
          <w:kern w:val="0"/>
        </w:rPr>
        <w:t>publication status. Data collection</w:t>
      </w:r>
      <w:r w:rsidR="005853A9">
        <w:rPr>
          <w:kern w:val="0"/>
        </w:rPr>
        <w:t xml:space="preserve"> and </w:t>
      </w:r>
      <w:r>
        <w:rPr>
          <w:kern w:val="0"/>
        </w:rPr>
        <w:t>analysis Two review authors independently performed the selection</w:t>
      </w:r>
      <w:r w:rsidR="00427468">
        <w:rPr>
          <w:kern w:val="0"/>
        </w:rPr>
        <w:t xml:space="preserve"> of </w:t>
      </w:r>
      <w:r>
        <w:rPr>
          <w:kern w:val="0"/>
        </w:rPr>
        <w:t>trials, assessment</w:t>
      </w:r>
      <w:r w:rsidR="00427468">
        <w:rPr>
          <w:kern w:val="0"/>
        </w:rPr>
        <w:t xml:space="preserve"> of </w:t>
      </w:r>
      <w:r>
        <w:rPr>
          <w:kern w:val="0"/>
        </w:rPr>
        <w:t>risk</w:t>
      </w:r>
      <w:r w:rsidR="00427468">
        <w:rPr>
          <w:kern w:val="0"/>
        </w:rPr>
        <w:t xml:space="preserve"> of </w:t>
      </w:r>
      <w:r>
        <w:rPr>
          <w:kern w:val="0"/>
        </w:rPr>
        <w:t>bias,</w:t>
      </w:r>
      <w:r w:rsidR="005853A9">
        <w:rPr>
          <w:kern w:val="0"/>
        </w:rPr>
        <w:t xml:space="preserve"> and </w:t>
      </w:r>
      <w:r>
        <w:rPr>
          <w:kern w:val="0"/>
        </w:rPr>
        <w:t>data extraction. We contacted principal investigators for missing information. We analysed hazard ratios (HR) as relevant effect measures for overall survival, two-year survival, event-free survival,</w:t>
      </w:r>
      <w:r w:rsidR="005853A9">
        <w:rPr>
          <w:kern w:val="0"/>
        </w:rPr>
        <w:t xml:space="preserve"> and </w:t>
      </w:r>
      <w:r>
        <w:rPr>
          <w:kern w:val="0"/>
        </w:rPr>
        <w:t>local recurrences with 95% confidence intervals (CI). in addition, we analysed dichotomous survival outcomes using risk ratios (RR). We used trial sequential analysis to control the risk</w:t>
      </w:r>
      <w:r w:rsidR="00427468">
        <w:rPr>
          <w:kern w:val="0"/>
        </w:rPr>
        <w:t xml:space="preserve"> of </w:t>
      </w:r>
      <w:r>
        <w:rPr>
          <w:kern w:val="0"/>
        </w:rPr>
        <w:t>random errors (</w:t>
      </w:r>
      <w:r w:rsidR="0071223E">
        <w:rPr>
          <w:kern w:val="0"/>
        </w:rPr>
        <w:t>‘</w:t>
      </w:r>
      <w:r>
        <w:rPr>
          <w:kern w:val="0"/>
        </w:rPr>
        <w:t>play</w:t>
      </w:r>
      <w:r w:rsidR="00427468">
        <w:rPr>
          <w:kern w:val="0"/>
        </w:rPr>
        <w:t xml:space="preserve"> of </w:t>
      </w:r>
      <w:r>
        <w:rPr>
          <w:kern w:val="0"/>
        </w:rPr>
        <w:t>chance</w:t>
      </w:r>
      <w:r w:rsidR="0071223E">
        <w:rPr>
          <w:kern w:val="0"/>
        </w:rPr>
        <w:t>’</w:t>
      </w:r>
      <w:r>
        <w:rPr>
          <w:kern w:val="0"/>
        </w:rPr>
        <w:t>). Main results We identified no trials comparing RFA versus placebo, no intervention, or liver transplantation. We identified</w:t>
      </w:r>
      <w:r w:rsidR="005853A9">
        <w:rPr>
          <w:kern w:val="0"/>
        </w:rPr>
        <w:t xml:space="preserve"> and </w:t>
      </w:r>
      <w:r>
        <w:rPr>
          <w:kern w:val="0"/>
        </w:rPr>
        <w:t>included 11 randomised clinical trials with 1819 participants that included four comparisons: RFA versus hepatic resection (three trials, 578 participants); RFA versus percutaneous ethanol injection (six trials, 1088 participants) including one three-armed trial that also investigated RFA versus acetic acid injection; RFA versus microwave ablation (one trial, 72 participants);</w:t>
      </w:r>
      <w:r w:rsidR="005853A9">
        <w:rPr>
          <w:kern w:val="0"/>
        </w:rPr>
        <w:t xml:space="preserve"> and </w:t>
      </w:r>
      <w:r>
        <w:rPr>
          <w:kern w:val="0"/>
        </w:rPr>
        <w:t>RFA versus laser ablation (one trial, 81 participants). Ten</w:t>
      </w:r>
      <w:r w:rsidR="00427468">
        <w:rPr>
          <w:kern w:val="0"/>
        </w:rPr>
        <w:t xml:space="preserve"> of </w:t>
      </w:r>
      <w:r>
        <w:rPr>
          <w:kern w:val="0"/>
        </w:rPr>
        <w:t>the eleven included trials reported on the primary outcome</w:t>
      </w:r>
      <w:r w:rsidR="00427468">
        <w:rPr>
          <w:kern w:val="0"/>
        </w:rPr>
        <w:t xml:space="preserve"> of </w:t>
      </w:r>
      <w:r>
        <w:rPr>
          <w:kern w:val="0"/>
        </w:rPr>
        <w:t>this review, overall survival. Rates</w:t>
      </w:r>
      <w:r w:rsidR="00427468">
        <w:rPr>
          <w:kern w:val="0"/>
        </w:rPr>
        <w:t xml:space="preserve"> of </w:t>
      </w:r>
      <w:r>
        <w:rPr>
          <w:kern w:val="0"/>
        </w:rPr>
        <w:t>major complications or procedure-related deaths were reported in 10 trials</w:t>
      </w:r>
      <w:r w:rsidR="00A37C1D">
        <w:rPr>
          <w:kern w:val="0"/>
        </w:rPr>
        <w:t>. The</w:t>
      </w:r>
      <w:r>
        <w:rPr>
          <w:kern w:val="0"/>
        </w:rPr>
        <w:t xml:space="preserve"> overall risk</w:t>
      </w:r>
      <w:r w:rsidR="00427468">
        <w:rPr>
          <w:kern w:val="0"/>
        </w:rPr>
        <w:t xml:space="preserve"> of </w:t>
      </w:r>
      <w:r>
        <w:rPr>
          <w:kern w:val="0"/>
        </w:rPr>
        <w:t>bias was considered low in five trials</w:t>
      </w:r>
      <w:r w:rsidR="005853A9">
        <w:rPr>
          <w:kern w:val="0"/>
        </w:rPr>
        <w:t xml:space="preserve"> and </w:t>
      </w:r>
      <w:r>
        <w:rPr>
          <w:kern w:val="0"/>
        </w:rPr>
        <w:t>high in six trials. For a subgroup analysis, we included only low risk</w:t>
      </w:r>
      <w:r w:rsidR="00427468">
        <w:rPr>
          <w:kern w:val="0"/>
        </w:rPr>
        <w:t xml:space="preserve"> of </w:t>
      </w:r>
      <w:r>
        <w:rPr>
          <w:kern w:val="0"/>
        </w:rPr>
        <w:t>bias trials. Regarding the comparison RFA versus hepatic resection, there was moderate-quality evidence from two low risk</w:t>
      </w:r>
      <w:r w:rsidR="00427468">
        <w:rPr>
          <w:kern w:val="0"/>
        </w:rPr>
        <w:t xml:space="preserve"> of </w:t>
      </w:r>
      <w:r>
        <w:rPr>
          <w:kern w:val="0"/>
        </w:rPr>
        <w:t>bias trials that hepatic resection seems more effective than RFA regarding overall survival (HR 0.56; 95% CI 0.40 to 0.78)</w:t>
      </w:r>
      <w:r w:rsidR="005853A9">
        <w:rPr>
          <w:kern w:val="0"/>
        </w:rPr>
        <w:t xml:space="preserve"> and </w:t>
      </w:r>
      <w:r>
        <w:rPr>
          <w:kern w:val="0"/>
        </w:rPr>
        <w:t xml:space="preserve">two-year survival (HR 0.38; 95% CI </w:t>
      </w:r>
      <w:r>
        <w:rPr>
          <w:kern w:val="0"/>
        </w:rPr>
        <w:lastRenderedPageBreak/>
        <w:t>0.17 to 0.84). However, if we included a third trial with high risk</w:t>
      </w:r>
      <w:r w:rsidR="00427468">
        <w:rPr>
          <w:kern w:val="0"/>
        </w:rPr>
        <w:t xml:space="preserve"> of </w:t>
      </w:r>
      <w:r>
        <w:rPr>
          <w:kern w:val="0"/>
        </w:rPr>
        <w:t>bias, the difference became insignificant (overall survival: HR 0.71; 95% CI 0.44 to 1.15). With regards to the outcomes event-free survival</w:t>
      </w:r>
      <w:r w:rsidR="005853A9">
        <w:rPr>
          <w:kern w:val="0"/>
        </w:rPr>
        <w:t xml:space="preserve"> and </w:t>
      </w:r>
      <w:r>
        <w:rPr>
          <w:kern w:val="0"/>
        </w:rPr>
        <w:t>local progression, hepatic resection also yielded better results than RFA. However, the number</w:t>
      </w:r>
      <w:r w:rsidR="00427468">
        <w:rPr>
          <w:kern w:val="0"/>
        </w:rPr>
        <w:t xml:space="preserve"> of </w:t>
      </w:r>
      <w:r>
        <w:rPr>
          <w:kern w:val="0"/>
        </w:rPr>
        <w:t>complications was higher in surgically treated participants (odds ratio (OR) 8.24; 95% CI 2.12 to 31.95). RFA seemed superior to percutaneous ethanol or acetic acid injection regarding overall survival (HR 1.64; 95% CI 1.31 to 2.07)</w:t>
      </w:r>
      <w:r w:rsidR="00A37C1D">
        <w:rPr>
          <w:kern w:val="0"/>
        </w:rPr>
        <w:t>. The</w:t>
      </w:r>
      <w:r>
        <w:rPr>
          <w:kern w:val="0"/>
        </w:rPr>
        <w:t xml:space="preserve"> RR for mortality was also in favour</w:t>
      </w:r>
      <w:r w:rsidR="00427468">
        <w:rPr>
          <w:kern w:val="0"/>
        </w:rPr>
        <w:t xml:space="preserve"> of </w:t>
      </w:r>
      <w:r>
        <w:rPr>
          <w:kern w:val="0"/>
        </w:rPr>
        <w:t>RFA, but did not reach statistical significance (150/490 (30.6%) people in the percutaneous ethanol or acetic acid group versus 119/496 (24.0%) people in the RFA group; RR 1.76; 95% CI 0.97 to 3.22)</w:t>
      </w:r>
      <w:r w:rsidR="00A37C1D">
        <w:rPr>
          <w:kern w:val="0"/>
        </w:rPr>
        <w:t>. The</w:t>
      </w:r>
      <w:r>
        <w:rPr>
          <w:kern w:val="0"/>
        </w:rPr>
        <w:t xml:space="preserve"> proportion</w:t>
      </w:r>
      <w:r w:rsidR="00427468">
        <w:rPr>
          <w:kern w:val="0"/>
        </w:rPr>
        <w:t xml:space="preserve"> of </w:t>
      </w:r>
      <w:r>
        <w:rPr>
          <w:kern w:val="0"/>
        </w:rPr>
        <w:t>adverse events did not differ significantly between RFA</w:t>
      </w:r>
      <w:r w:rsidR="005853A9">
        <w:rPr>
          <w:kern w:val="0"/>
        </w:rPr>
        <w:t xml:space="preserve"> and </w:t>
      </w:r>
      <w:r>
        <w:rPr>
          <w:kern w:val="0"/>
        </w:rPr>
        <w:t>percutaneous ethanol or acetic acid injection (HR 0.70; 95% CI 0.33 to 1.48). Trial sequential analyses revealed that the number</w:t>
      </w:r>
      <w:r w:rsidR="00427468">
        <w:rPr>
          <w:kern w:val="0"/>
        </w:rPr>
        <w:t xml:space="preserve"> of </w:t>
      </w:r>
      <w:r>
        <w:rPr>
          <w:kern w:val="0"/>
        </w:rPr>
        <w:t>participants in the included trials was insufficient</w:t>
      </w:r>
      <w:r w:rsidR="005853A9">
        <w:rPr>
          <w:kern w:val="0"/>
        </w:rPr>
        <w:t xml:space="preserve"> and </w:t>
      </w:r>
      <w:r>
        <w:rPr>
          <w:kern w:val="0"/>
        </w:rPr>
        <w:t>that more trials are needed to assess the effects</w:t>
      </w:r>
      <w:r w:rsidR="00427468">
        <w:rPr>
          <w:kern w:val="0"/>
        </w:rPr>
        <w:t xml:space="preserve"> of </w:t>
      </w:r>
      <w:r>
        <w:rPr>
          <w:kern w:val="0"/>
        </w:rPr>
        <w:t>RFA versus other interventions. Authors</w:t>
      </w:r>
      <w:r w:rsidR="0071223E">
        <w:rPr>
          <w:kern w:val="0"/>
        </w:rPr>
        <w:t>’</w:t>
      </w:r>
      <w:r>
        <w:rPr>
          <w:kern w:val="0"/>
        </w:rPr>
        <w:t xml:space="preserve"> conclusions The effects</w:t>
      </w:r>
      <w:r w:rsidR="00427468">
        <w:rPr>
          <w:kern w:val="0"/>
        </w:rPr>
        <w:t xml:space="preserve"> of </w:t>
      </w:r>
      <w:r>
        <w:rPr>
          <w:kern w:val="0"/>
        </w:rPr>
        <w:t>RFA versus no intervention, chemotherapeutic treatment, or liver transplantation are unknown. We found moderate-quality evidence that hepatic resection is superior to RFA regarding survival. However, RFA might be associated with fewer complications</w:t>
      </w:r>
      <w:r w:rsidR="005853A9">
        <w:rPr>
          <w:kern w:val="0"/>
        </w:rPr>
        <w:t xml:space="preserve"> and </w:t>
      </w:r>
      <w:r>
        <w:rPr>
          <w:kern w:val="0"/>
        </w:rPr>
        <w:t>a shorter hospital stay than hepatic resection. We found moderate-quality evidence showing that RFA seems superior to percutaneous ethanol injection regarding survival</w:t>
      </w:r>
      <w:r w:rsidR="00A37C1D">
        <w:rPr>
          <w:kern w:val="0"/>
        </w:rPr>
        <w:t>. The</w:t>
      </w:r>
      <w:r>
        <w:rPr>
          <w:kern w:val="0"/>
        </w:rPr>
        <w:t>re were too sparse data to recommend or refute ablation achieved by techniques other than RFA. More randomised clinical trials with low risk</w:t>
      </w:r>
      <w:r w:rsidR="00427468">
        <w:rPr>
          <w:kern w:val="0"/>
        </w:rPr>
        <w:t xml:space="preserve"> of </w:t>
      </w:r>
      <w:r>
        <w:rPr>
          <w:kern w:val="0"/>
        </w:rPr>
        <w:t>bias</w:t>
      </w:r>
      <w:r w:rsidR="005853A9">
        <w:rPr>
          <w:kern w:val="0"/>
        </w:rPr>
        <w:t xml:space="preserve"> and </w:t>
      </w:r>
      <w:r>
        <w:rPr>
          <w:kern w:val="0"/>
        </w:rPr>
        <w:t>low risks</w:t>
      </w:r>
      <w:r w:rsidR="00427468">
        <w:rPr>
          <w:kern w:val="0"/>
        </w:rPr>
        <w:t xml:space="preserve"> of </w:t>
      </w:r>
      <w:r>
        <w:rPr>
          <w:kern w:val="0"/>
        </w:rPr>
        <w:t>random errors assessing the effect</w:t>
      </w:r>
      <w:r w:rsidR="00427468">
        <w:rPr>
          <w:kern w:val="0"/>
        </w:rPr>
        <w:t xml:space="preserve"> of </w:t>
      </w:r>
      <w:r>
        <w:rPr>
          <w:kern w:val="0"/>
        </w:rPr>
        <w:t>RFA are needed.</w:t>
      </w:r>
    </w:p>
    <w:p w:rsidR="00533624" w:rsidRDefault="00533624" w:rsidP="00533624">
      <w:pPr>
        <w:pStyle w:val="a3"/>
        <w:rPr>
          <w:kern w:val="0"/>
        </w:rPr>
      </w:pPr>
      <w:r>
        <w:rPr>
          <w:kern w:val="0"/>
        </w:rPr>
        <w:t>Keywords: 3 Cm, Ablation, Acetic-Acid Injection, Analyses, Analysis, Approach, Assessing, Assessment, Authors, Benefits, Bias, Cancer, Carcinoma,Hepatocellular [Surgery, Catheter Ablation, Chemotherapy, Clinical, Clinical Trials, Collection, Comparison, Complications, Confidence, Confidence Intervals, Control, Criteria, Data, Data Collection, Design Characteristics, Effects, Embase, Errors, Ethanol, Ethanol [Administration &amp; Dosage], Events, Evidence, Extraction, Field, Hazard, Hepatocellular Carcinoma, Hospital, Hospital Stay, Humans, Information, Intervals, Intervention, Interventions, Isi, Isi Web</w:t>
      </w:r>
      <w:r w:rsidR="00427468">
        <w:rPr>
          <w:kern w:val="0"/>
        </w:rPr>
        <w:t xml:space="preserve"> of </w:t>
      </w:r>
      <w:r>
        <w:rPr>
          <w:kern w:val="0"/>
        </w:rPr>
        <w:t xml:space="preserve">Science, Language, Laser, Liver, Liver Neoplasms [Surgery, Liver Transplantation, Liver-Transplantation, Local, Low Risk, Measures, Medline, Methods, Microwave, Microwave Coagulation Therapy, Mortality, Odds Ratio, Outcome, Outcomes, Patients, Percutaneous, Percutaneous Ethanol Injection, Placebo, Potential, Primary, Progression, Publication, Randomised, Randomized Controlled Trials As Topic, Randomized Controlled-Trial, Recurrences, References, Review, Risk, Risks, Science, Search, Selection, Sequential-Analysis, Significance, Surgical Resection, Survival, Techniques, Therapeutic, Therapy], Transcatheter Arterial Chemoembolization, Transplantation, Treatment, Treatment </w:t>
      </w:r>
      <w:r>
        <w:rPr>
          <w:kern w:val="0"/>
        </w:rPr>
        <w:lastRenderedPageBreak/>
        <w:t>Outcome, Trial, Web</w:t>
      </w:r>
      <w:r w:rsidR="00427468">
        <w:rPr>
          <w:kern w:val="0"/>
        </w:rPr>
        <w:t xml:space="preserve"> of </w:t>
      </w:r>
      <w:r>
        <w:rPr>
          <w:kern w:val="0"/>
        </w:rPr>
        <w:t>Science</w:t>
      </w:r>
    </w:p>
    <w:p w:rsidR="00533624" w:rsidRDefault="00533624" w:rsidP="00533624">
      <w:pPr>
        <w:pStyle w:val="a3"/>
        <w:rPr>
          <w:kern w:val="0"/>
        </w:rPr>
      </w:pPr>
      <w:r>
        <w:rPr>
          <w:rFonts w:hint="eastAsia"/>
          <w:kern w:val="0"/>
        </w:rPr>
        <w:t xml:space="preserve">? </w:t>
      </w:r>
      <w:r>
        <w:rPr>
          <w:kern w:val="0"/>
        </w:rPr>
        <w:t>Dasari, B.V.M., Tan, C.J., Gurusamy, K.S., Martin, D.J., Kirk, G., Mckie, L., Diamond, T.</w:t>
      </w:r>
      <w:r w:rsidR="005853A9">
        <w:rPr>
          <w:kern w:val="0"/>
        </w:rPr>
        <w:t xml:space="preserve"> and </w:t>
      </w:r>
      <w:r>
        <w:rPr>
          <w:kern w:val="0"/>
        </w:rPr>
        <w:t>Taylor, M.A. (2013), Surgical versus endoscopic treatment</w:t>
      </w:r>
      <w:r w:rsidR="00427468">
        <w:rPr>
          <w:kern w:val="0"/>
        </w:rPr>
        <w:t xml:space="preserve"> of </w:t>
      </w:r>
      <w:r>
        <w:rPr>
          <w:kern w:val="0"/>
        </w:rPr>
        <w:t xml:space="preserve">bile duct stones.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CD003327</w:t>
      </w:r>
      <w:r>
        <w:rPr>
          <w:kern w:val="0"/>
        </w:rPr>
        <w:t>.</w:t>
      </w:r>
    </w:p>
    <w:p w:rsidR="00533624" w:rsidRDefault="00533624" w:rsidP="00533624">
      <w:pPr>
        <w:pStyle w:val="a3"/>
        <w:rPr>
          <w:kern w:val="2"/>
        </w:rPr>
      </w:pPr>
      <w:r>
        <w:t xml:space="preserve">Full Text: 2013\Coc Dat Sys Rev2013, </w:t>
      </w:r>
      <w:r w:rsidRPr="007F1AEF">
        <w:rPr>
          <w:kern w:val="0"/>
        </w:rPr>
        <w:t>CD003327</w:t>
      </w:r>
      <w:r>
        <w:t>.pdf</w:t>
      </w:r>
    </w:p>
    <w:p w:rsidR="00533624" w:rsidRDefault="00533624" w:rsidP="00533624">
      <w:pPr>
        <w:pStyle w:val="a3"/>
        <w:rPr>
          <w:kern w:val="0"/>
        </w:rPr>
      </w:pPr>
      <w:r>
        <w:rPr>
          <w:kern w:val="0"/>
        </w:rPr>
        <w:t>Abstract: Background Between 10% to 18%</w:t>
      </w:r>
      <w:r w:rsidR="00427468">
        <w:rPr>
          <w:kern w:val="0"/>
        </w:rPr>
        <w:t xml:space="preserve"> of </w:t>
      </w:r>
      <w:r>
        <w:rPr>
          <w:kern w:val="0"/>
        </w:rPr>
        <w:t>people undergoing cholecystectomy for gallstones have common bile duct stones. Treatment</w:t>
      </w:r>
      <w:r w:rsidR="00427468">
        <w:rPr>
          <w:kern w:val="0"/>
        </w:rPr>
        <w:t xml:space="preserve"> of </w:t>
      </w:r>
      <w:r>
        <w:rPr>
          <w:kern w:val="0"/>
        </w:rPr>
        <w:t>the bile duct stones can be conducted as open cholecystectomy plus open common bile duct exploration or laparoscopic cholecystectomy plus laparoscopic common bile duct exploration (LC + LCBDE) versus pre- or post-cholecystectomy endoscopic retrograde cholangiopancreatography (ERCP) in two stages, usually combined with either sphincterotomy (commonest) or sphincteroplasty (papillary dilatation) for common bile duct clearance</w:t>
      </w:r>
      <w:r w:rsidR="00A37C1D">
        <w:rPr>
          <w:kern w:val="0"/>
        </w:rPr>
        <w:t>. The</w:t>
      </w:r>
      <w:r>
        <w:rPr>
          <w:kern w:val="0"/>
        </w:rPr>
        <w:t xml:space="preserve"> benefits</w:t>
      </w:r>
      <w:r w:rsidR="005853A9">
        <w:rPr>
          <w:kern w:val="0"/>
        </w:rPr>
        <w:t xml:space="preserve"> and </w:t>
      </w:r>
      <w:r>
        <w:rPr>
          <w:kern w:val="0"/>
        </w:rPr>
        <w:t>harms</w:t>
      </w:r>
      <w:r w:rsidR="00427468">
        <w:rPr>
          <w:kern w:val="0"/>
        </w:rPr>
        <w:t xml:space="preserve"> of </w:t>
      </w:r>
      <w:r>
        <w:rPr>
          <w:kern w:val="0"/>
        </w:rPr>
        <w:t>the different approaches are not known. Objectives We aimed to systematically review the benefits</w:t>
      </w:r>
      <w:r w:rsidR="005853A9">
        <w:rPr>
          <w:kern w:val="0"/>
        </w:rPr>
        <w:t xml:space="preserve"> and </w:t>
      </w:r>
      <w:r>
        <w:rPr>
          <w:kern w:val="0"/>
        </w:rPr>
        <w:t>harms</w:t>
      </w:r>
      <w:r w:rsidR="00427468">
        <w:rPr>
          <w:kern w:val="0"/>
        </w:rPr>
        <w:t xml:space="preserve"> of </w:t>
      </w:r>
      <w:r>
        <w:rPr>
          <w:kern w:val="0"/>
        </w:rPr>
        <w:t>different approaches to the management</w:t>
      </w:r>
      <w:r w:rsidR="00427468">
        <w:rPr>
          <w:kern w:val="0"/>
        </w:rPr>
        <w:t xml:space="preserve"> of </w:t>
      </w:r>
      <w:r>
        <w:rPr>
          <w:kern w:val="0"/>
        </w:rPr>
        <w:t>common bile duct stones. Search methods We searched the Cochrane Hepato-Biliary Group Controlled Trials Register, Cochrane Central Register</w:t>
      </w:r>
      <w:r w:rsidR="00427468">
        <w:rPr>
          <w:kern w:val="0"/>
        </w:rPr>
        <w:t xml:space="preserve"> of </w:t>
      </w:r>
      <w:r>
        <w:rPr>
          <w:kern w:val="0"/>
        </w:rPr>
        <w:t>Controlled Trials (CENTRAL, Issue 7</w:t>
      </w:r>
      <w:r w:rsidR="00427468">
        <w:rPr>
          <w:kern w:val="0"/>
        </w:rPr>
        <w:t xml:space="preserve"> of </w:t>
      </w:r>
      <w:r>
        <w:rPr>
          <w:kern w:val="0"/>
        </w:rPr>
        <w:t>12, 2013) in The Cochrane Library, MEDLINE (1946 to August 2013), EMBASE (1974 to August 2013),</w:t>
      </w:r>
      <w:r w:rsidR="005853A9">
        <w:rPr>
          <w:kern w:val="0"/>
        </w:rPr>
        <w:t xml:space="preserve"> and </w:t>
      </w:r>
      <w:r>
        <w:rPr>
          <w:kern w:val="0"/>
        </w:rPr>
        <w:t>Science Citation Index Expanded (1900 to August 2013). Selection criteria We included all randomised clinical trials which compared the results from open surgery versus endoscopic clearance</w:t>
      </w:r>
      <w:r w:rsidR="005853A9">
        <w:rPr>
          <w:kern w:val="0"/>
        </w:rPr>
        <w:t xml:space="preserve"> and </w:t>
      </w:r>
      <w:r>
        <w:rPr>
          <w:kern w:val="0"/>
        </w:rPr>
        <w:t>laparoscopic surgery versus endoscopic clearance for common bile duct stones. Data collection</w:t>
      </w:r>
      <w:r w:rsidR="005853A9">
        <w:rPr>
          <w:kern w:val="0"/>
        </w:rPr>
        <w:t xml:space="preserve"> and </w:t>
      </w:r>
      <w:r>
        <w:rPr>
          <w:kern w:val="0"/>
        </w:rPr>
        <w:t>analysis Two review authors independently identified the trials for inclusion</w:t>
      </w:r>
      <w:r w:rsidR="005853A9">
        <w:rPr>
          <w:kern w:val="0"/>
        </w:rPr>
        <w:t xml:space="preserve"> and </w:t>
      </w:r>
      <w:r>
        <w:rPr>
          <w:kern w:val="0"/>
        </w:rPr>
        <w:t>independently extracted data. We calculated the odds ratio (OR) or mean difference (MD) with 95% confidence interval (CI) using both fixed-effect</w:t>
      </w:r>
      <w:r w:rsidR="005853A9">
        <w:rPr>
          <w:kern w:val="0"/>
        </w:rPr>
        <w:t xml:space="preserve"> and </w:t>
      </w:r>
      <w:r>
        <w:rPr>
          <w:kern w:val="0"/>
        </w:rPr>
        <w:t>random-effects models meta-analyses, performed with Review Manager 5. Main results Sixteen randomised clinical trials with a total</w:t>
      </w:r>
      <w:r w:rsidR="00427468">
        <w:rPr>
          <w:kern w:val="0"/>
        </w:rPr>
        <w:t xml:space="preserve"> of </w:t>
      </w:r>
      <w:r>
        <w:rPr>
          <w:kern w:val="0"/>
        </w:rPr>
        <w:t>1758 randomised participants fulfilled the inclusion criteria</w:t>
      </w:r>
      <w:r w:rsidR="00427468">
        <w:rPr>
          <w:kern w:val="0"/>
        </w:rPr>
        <w:t xml:space="preserve"> of </w:t>
      </w:r>
      <w:r>
        <w:rPr>
          <w:kern w:val="0"/>
        </w:rPr>
        <w:t>this review. Eight trials with 737 participants compared open surgical clearance with ERCP; five trials with 621 participants compared laparoscopic clearance with pre-operative ERCP;</w:t>
      </w:r>
      <w:r w:rsidR="005853A9">
        <w:rPr>
          <w:kern w:val="0"/>
        </w:rPr>
        <w:t xml:space="preserve"> and </w:t>
      </w:r>
      <w:r>
        <w:rPr>
          <w:kern w:val="0"/>
        </w:rPr>
        <w:t>two trials with 166 participants compared laparoscopic clearance with postoperative ERCP. One trial with 234 participants compared LCBDE with intra-operative ERCP</w:t>
      </w:r>
      <w:r w:rsidR="00A37C1D">
        <w:rPr>
          <w:kern w:val="0"/>
        </w:rPr>
        <w:t>. The</w:t>
      </w:r>
      <w:r>
        <w:rPr>
          <w:kern w:val="0"/>
        </w:rPr>
        <w:t>re were no trials</w:t>
      </w:r>
      <w:r w:rsidR="00427468">
        <w:rPr>
          <w:kern w:val="0"/>
        </w:rPr>
        <w:t xml:space="preserve"> of </w:t>
      </w:r>
      <w:r>
        <w:rPr>
          <w:kern w:val="0"/>
        </w:rPr>
        <w:t>open or LCBDE versus ERCP in people without an intact gallbladder. All trials had a high risk</w:t>
      </w:r>
      <w:r w:rsidR="00427468">
        <w:rPr>
          <w:kern w:val="0"/>
        </w:rPr>
        <w:t xml:space="preserve"> of </w:t>
      </w:r>
      <w:r>
        <w:rPr>
          <w:kern w:val="0"/>
        </w:rPr>
        <w:t>bias</w:t>
      </w:r>
      <w:r w:rsidR="00A37C1D">
        <w:rPr>
          <w:kern w:val="0"/>
        </w:rPr>
        <w:t>. The</w:t>
      </w:r>
      <w:r>
        <w:rPr>
          <w:kern w:val="0"/>
        </w:rPr>
        <w:t xml:space="preserve">re was no significant difference in the mortality between open surgery versus ERCP clearance (eight trials; 733 participants; 5/371 (1%) versus 10/358 (3%) OR 0.51; 95% CI 0.18 to 1.44). Neither was there a significant difference in the morbidity between open surgery versus ERCP clearance (eight trials; 733 participants; 76/371 (20%) versus 67/358 (19%) OR 1.12; 95% CI 0.77 to 1.62). </w:t>
      </w:r>
      <w:r>
        <w:rPr>
          <w:kern w:val="0"/>
        </w:rPr>
        <w:lastRenderedPageBreak/>
        <w:t>Participants in the open surgery group had significantly fewer retained stones compared with the ERCP group (seven trials; 609 participants; 20/313 (6%) versus 47/296 (16%) OR 0.36; 95% CI 0.21 to 0.62), P = 0.0002</w:t>
      </w:r>
      <w:r w:rsidR="00A37C1D">
        <w:rPr>
          <w:kern w:val="0"/>
        </w:rPr>
        <w:t>. The</w:t>
      </w:r>
      <w:r>
        <w:rPr>
          <w:kern w:val="0"/>
        </w:rPr>
        <w:t>re was no significant difference in the mortality between LC + LCBDE versus pre-operative ERCP + LC (five trials; 580 participants; 2/285 (0.7%) versus 3/295 (1%) OR 0.72; 95% CI 0.12 to 4.33). Neither was there was a significant difference in the morbidity between the two groups (five trials; 580 participants; 44/285 (15%) versus 37/295 (13%) OR 1.28; 95% CI 0.80 to 2.05)</w:t>
      </w:r>
      <w:r w:rsidR="00A37C1D">
        <w:rPr>
          <w:kern w:val="0"/>
        </w:rPr>
        <w:t>. The</w:t>
      </w:r>
      <w:r>
        <w:rPr>
          <w:kern w:val="0"/>
        </w:rPr>
        <w:t>re was no significant difference between the two groups in the number</w:t>
      </w:r>
      <w:r w:rsidR="00427468">
        <w:rPr>
          <w:kern w:val="0"/>
        </w:rPr>
        <w:t xml:space="preserve"> of </w:t>
      </w:r>
      <w:r>
        <w:rPr>
          <w:kern w:val="0"/>
        </w:rPr>
        <w:t>participants with retained stones (five trials; 580 participants; 24/285 (8%) versus 31/295 (11%) OR 0.79; 95% CI 0.45 to 1.39)</w:t>
      </w:r>
      <w:r w:rsidR="00A37C1D">
        <w:rPr>
          <w:kern w:val="0"/>
        </w:rPr>
        <w:t>. The</w:t>
      </w:r>
      <w:r>
        <w:rPr>
          <w:kern w:val="0"/>
        </w:rPr>
        <w:t>re was only one trial assessing LC + LCBDE versus LC + intra-operative ERCP including 234 participants</w:t>
      </w:r>
      <w:r w:rsidR="00A37C1D">
        <w:rPr>
          <w:kern w:val="0"/>
        </w:rPr>
        <w:t>. The</w:t>
      </w:r>
      <w:r>
        <w:rPr>
          <w:kern w:val="0"/>
        </w:rPr>
        <w:t>re was no reported mortality in either</w:t>
      </w:r>
      <w:r w:rsidR="00427468">
        <w:rPr>
          <w:kern w:val="0"/>
        </w:rPr>
        <w:t xml:space="preserve"> of </w:t>
      </w:r>
      <w:r>
        <w:rPr>
          <w:kern w:val="0"/>
        </w:rPr>
        <w:t>the groups</w:t>
      </w:r>
      <w:r w:rsidR="00A37C1D">
        <w:rPr>
          <w:kern w:val="0"/>
        </w:rPr>
        <w:t>. The</w:t>
      </w:r>
      <w:r>
        <w:rPr>
          <w:kern w:val="0"/>
        </w:rPr>
        <w:t>re was no significant difference in the morbidity, retained stones, procedure failure rates between the two intervention groups. Two trials assessed LC + LCBDE versus LC + post-operative ERCP</w:t>
      </w:r>
      <w:r w:rsidR="00A37C1D">
        <w:rPr>
          <w:kern w:val="0"/>
        </w:rPr>
        <w:t>. The</w:t>
      </w:r>
      <w:r>
        <w:rPr>
          <w:kern w:val="0"/>
        </w:rPr>
        <w:t>re was no reported mortality in either</w:t>
      </w:r>
      <w:r w:rsidR="00427468">
        <w:rPr>
          <w:kern w:val="0"/>
        </w:rPr>
        <w:t xml:space="preserve"> of </w:t>
      </w:r>
      <w:r>
        <w:rPr>
          <w:kern w:val="0"/>
        </w:rPr>
        <w:t>the groups</w:t>
      </w:r>
      <w:r w:rsidR="00A37C1D">
        <w:rPr>
          <w:kern w:val="0"/>
        </w:rPr>
        <w:t>. The</w:t>
      </w:r>
      <w:r>
        <w:rPr>
          <w:kern w:val="0"/>
        </w:rPr>
        <w:t>re was no significant difference in the morbidity between laparoscopic surgery</w:t>
      </w:r>
      <w:r w:rsidR="005853A9">
        <w:rPr>
          <w:kern w:val="0"/>
        </w:rPr>
        <w:t xml:space="preserve"> and </w:t>
      </w:r>
      <w:r>
        <w:rPr>
          <w:kern w:val="0"/>
        </w:rPr>
        <w:t>postoperative ERCP groups (two trials; 166 participants; 13/81 (16%) versus 12/85 (14%) OR 1.16; 95% CI 0.50 to 2.72)</w:t>
      </w:r>
      <w:r w:rsidR="00A37C1D">
        <w:rPr>
          <w:kern w:val="0"/>
        </w:rPr>
        <w:t>. The</w:t>
      </w:r>
      <w:r>
        <w:rPr>
          <w:kern w:val="0"/>
        </w:rPr>
        <w:t>re was a significant difference in the retained stones between laparoscopic surgery</w:t>
      </w:r>
      <w:r w:rsidR="005853A9">
        <w:rPr>
          <w:kern w:val="0"/>
        </w:rPr>
        <w:t xml:space="preserve"> and </w:t>
      </w:r>
      <w:r>
        <w:rPr>
          <w:kern w:val="0"/>
        </w:rPr>
        <w:t>postoperative ERCP groups (two trials; 166 participants; 7/81 (9%) versus 21/85 (25%) OR 0.28; 95% CI 0.11 to 0.72; P = 0.008. in total, seven trials including 746 participants compared single staged LC + LCBDE versus two-staged pre-operative ERCP + LC or LC + post-operative ERCP</w:t>
      </w:r>
      <w:r w:rsidR="00A37C1D">
        <w:rPr>
          <w:kern w:val="0"/>
        </w:rPr>
        <w:t>. The</w:t>
      </w:r>
      <w:r>
        <w:rPr>
          <w:kern w:val="0"/>
        </w:rPr>
        <w:t>re was no significant difference in the mortality between single</w:t>
      </w:r>
      <w:r w:rsidR="005853A9">
        <w:rPr>
          <w:kern w:val="0"/>
        </w:rPr>
        <w:t xml:space="preserve"> and </w:t>
      </w:r>
      <w:r>
        <w:rPr>
          <w:kern w:val="0"/>
        </w:rPr>
        <w:t>two-stage management (seven trials; 746 participants; 2/366 versus 3/380 OR 0.72; 95% CI 0.12 to 4.33)</w:t>
      </w:r>
      <w:r w:rsidR="00A37C1D">
        <w:rPr>
          <w:kern w:val="0"/>
        </w:rPr>
        <w:t>. The</w:t>
      </w:r>
      <w:r>
        <w:rPr>
          <w:kern w:val="0"/>
        </w:rPr>
        <w:t>re was no a significant difference in the morbidity (seven trials; 746 participants; 57/366 (16%) versus 49/380 (13%) OR 1.25; 95% CI 0.83 to 1.89)</w:t>
      </w:r>
      <w:r w:rsidR="00A37C1D">
        <w:rPr>
          <w:kern w:val="0"/>
        </w:rPr>
        <w:t>. The</w:t>
      </w:r>
      <w:r>
        <w:rPr>
          <w:kern w:val="0"/>
        </w:rPr>
        <w:t>re were significantly fewer retained stones in the single-stage group (31/366 participants; 8%) compared with the two-stage group (52/380 participants; 14%), but the difference was not statistically significant OR 0.59; 95% CI 0.37 to 0.94)</w:t>
      </w:r>
      <w:r w:rsidR="00A37C1D">
        <w:rPr>
          <w:kern w:val="0"/>
        </w:rPr>
        <w:t>. The</w:t>
      </w:r>
      <w:r>
        <w:rPr>
          <w:kern w:val="0"/>
        </w:rPr>
        <w:t>re was no significant difference in the conversion rates</w:t>
      </w:r>
      <w:r w:rsidR="00427468">
        <w:rPr>
          <w:kern w:val="0"/>
        </w:rPr>
        <w:t xml:space="preserve"> of </w:t>
      </w:r>
      <w:r>
        <w:rPr>
          <w:kern w:val="0"/>
        </w:rPr>
        <w:t>LCBDE to open surgery when compared with pre-operative, intra-operative,</w:t>
      </w:r>
      <w:r w:rsidR="005853A9">
        <w:rPr>
          <w:kern w:val="0"/>
        </w:rPr>
        <w:t xml:space="preserve"> and </w:t>
      </w:r>
      <w:r>
        <w:rPr>
          <w:kern w:val="0"/>
        </w:rPr>
        <w:t>postoperative ERCP groups. Meta-analysis</w:t>
      </w:r>
      <w:r w:rsidR="00427468">
        <w:rPr>
          <w:kern w:val="0"/>
        </w:rPr>
        <w:t xml:space="preserve"> of </w:t>
      </w:r>
      <w:r>
        <w:rPr>
          <w:kern w:val="0"/>
        </w:rPr>
        <w:t>the outcomes duration</w:t>
      </w:r>
      <w:r w:rsidR="00427468">
        <w:rPr>
          <w:kern w:val="0"/>
        </w:rPr>
        <w:t xml:space="preserve"> of </w:t>
      </w:r>
      <w:r>
        <w:rPr>
          <w:kern w:val="0"/>
        </w:rPr>
        <w:t>hospital stay, quality</w:t>
      </w:r>
      <w:r w:rsidR="00427468">
        <w:rPr>
          <w:kern w:val="0"/>
        </w:rPr>
        <w:t xml:space="preserve"> of </w:t>
      </w:r>
      <w:r>
        <w:rPr>
          <w:kern w:val="0"/>
        </w:rPr>
        <w:t>life,</w:t>
      </w:r>
      <w:r w:rsidR="005853A9">
        <w:rPr>
          <w:kern w:val="0"/>
        </w:rPr>
        <w:t xml:space="preserve"> and </w:t>
      </w:r>
      <w:r>
        <w:rPr>
          <w:kern w:val="0"/>
        </w:rPr>
        <w:t>cost</w:t>
      </w:r>
      <w:r w:rsidR="00427468">
        <w:rPr>
          <w:kern w:val="0"/>
        </w:rPr>
        <w:t xml:space="preserve"> of </w:t>
      </w:r>
      <w:r>
        <w:rPr>
          <w:kern w:val="0"/>
        </w:rPr>
        <w:t>the procedures could not be performed due to lack</w:t>
      </w:r>
      <w:r w:rsidR="00427468">
        <w:rPr>
          <w:kern w:val="0"/>
        </w:rPr>
        <w:t xml:space="preserve"> of </w:t>
      </w:r>
      <w:r>
        <w:rPr>
          <w:kern w:val="0"/>
        </w:rPr>
        <w:t>data. Authors</w:t>
      </w:r>
      <w:r w:rsidR="0071223E">
        <w:rPr>
          <w:kern w:val="0"/>
        </w:rPr>
        <w:t>’</w:t>
      </w:r>
      <w:r>
        <w:rPr>
          <w:kern w:val="0"/>
        </w:rPr>
        <w:t xml:space="preserve"> conclusions Open bile duct surgery seems superior to ERCP in achieving common bile duct stone clearance based on the evidence available from the early endoscopy era</w:t>
      </w:r>
      <w:r w:rsidR="00A37C1D">
        <w:rPr>
          <w:kern w:val="0"/>
        </w:rPr>
        <w:t>. The</w:t>
      </w:r>
      <w:r>
        <w:rPr>
          <w:kern w:val="0"/>
        </w:rPr>
        <w:t>re is no significant difference in the mortality</w:t>
      </w:r>
      <w:r w:rsidR="005853A9">
        <w:rPr>
          <w:kern w:val="0"/>
        </w:rPr>
        <w:t xml:space="preserve"> and </w:t>
      </w:r>
      <w:r>
        <w:rPr>
          <w:kern w:val="0"/>
        </w:rPr>
        <w:t>morbidity between laparoscopic bile duct clearance</w:t>
      </w:r>
      <w:r w:rsidR="005853A9">
        <w:rPr>
          <w:kern w:val="0"/>
        </w:rPr>
        <w:t xml:space="preserve"> and </w:t>
      </w:r>
      <w:r>
        <w:rPr>
          <w:kern w:val="0"/>
        </w:rPr>
        <w:t>the endoscopic options</w:t>
      </w:r>
      <w:r w:rsidR="00A37C1D">
        <w:rPr>
          <w:kern w:val="0"/>
        </w:rPr>
        <w:t>. The</w:t>
      </w:r>
      <w:r>
        <w:rPr>
          <w:kern w:val="0"/>
        </w:rPr>
        <w:t>re is no significant reduction in the number</w:t>
      </w:r>
      <w:r w:rsidR="00427468">
        <w:rPr>
          <w:kern w:val="0"/>
        </w:rPr>
        <w:t xml:space="preserve"> of </w:t>
      </w:r>
      <w:r>
        <w:rPr>
          <w:kern w:val="0"/>
        </w:rPr>
        <w:t>retained stones</w:t>
      </w:r>
      <w:r w:rsidR="005853A9">
        <w:rPr>
          <w:kern w:val="0"/>
        </w:rPr>
        <w:t xml:space="preserve"> and </w:t>
      </w:r>
      <w:r>
        <w:rPr>
          <w:kern w:val="0"/>
        </w:rPr>
        <w:t>failure rates in the laparoscopy groups compared with the pre-operative</w:t>
      </w:r>
      <w:r w:rsidR="005853A9">
        <w:rPr>
          <w:kern w:val="0"/>
        </w:rPr>
        <w:t xml:space="preserve"> and </w:t>
      </w:r>
      <w:r>
        <w:rPr>
          <w:kern w:val="0"/>
        </w:rPr>
        <w:t>intra-operative ERCP groups</w:t>
      </w:r>
      <w:r w:rsidR="00A37C1D">
        <w:rPr>
          <w:kern w:val="0"/>
        </w:rPr>
        <w:t>. The</w:t>
      </w:r>
      <w:r>
        <w:rPr>
          <w:kern w:val="0"/>
        </w:rPr>
        <w:t xml:space="preserve">re is no </w:t>
      </w:r>
      <w:r>
        <w:rPr>
          <w:kern w:val="0"/>
        </w:rPr>
        <w:lastRenderedPageBreak/>
        <w:t>significant difference in themortality, morbidity, retained stones,</w:t>
      </w:r>
      <w:r w:rsidR="005853A9">
        <w:rPr>
          <w:kern w:val="0"/>
        </w:rPr>
        <w:t xml:space="preserve"> and </w:t>
      </w:r>
      <w:r>
        <w:rPr>
          <w:kern w:val="0"/>
        </w:rPr>
        <w:t>failure rates between the single-stage laparoscopic bile duct clearance</w:t>
      </w:r>
      <w:r w:rsidR="005853A9">
        <w:rPr>
          <w:kern w:val="0"/>
        </w:rPr>
        <w:t xml:space="preserve"> and </w:t>
      </w:r>
      <w:r>
        <w:rPr>
          <w:kern w:val="0"/>
        </w:rPr>
        <w:t>two-stage endoscopic management. More randomised clinical trials without risks</w:t>
      </w:r>
      <w:r w:rsidR="00427468">
        <w:rPr>
          <w:kern w:val="0"/>
        </w:rPr>
        <w:t xml:space="preserve"> of </w:t>
      </w:r>
      <w:r>
        <w:rPr>
          <w:kern w:val="0"/>
        </w:rPr>
        <w:t>systematic</w:t>
      </w:r>
      <w:r w:rsidR="005853A9">
        <w:rPr>
          <w:kern w:val="0"/>
        </w:rPr>
        <w:t xml:space="preserve"> and </w:t>
      </w:r>
      <w:r>
        <w:rPr>
          <w:kern w:val="0"/>
        </w:rPr>
        <w:t>random errors are necessary to confirm these findings.</w:t>
      </w:r>
    </w:p>
    <w:p w:rsidR="00533624" w:rsidRDefault="00533624" w:rsidP="00533624">
      <w:pPr>
        <w:pStyle w:val="a3"/>
        <w:rPr>
          <w:kern w:val="0"/>
        </w:rPr>
      </w:pPr>
      <w:r>
        <w:rPr>
          <w:kern w:val="0"/>
        </w:rPr>
        <w:t>Keywords: Analysis, Assessing, Authors, Benefits, Bias, Cholangiopancreatography,Endoscopic Retrograde, Cholecystectomy, Cholecystectomy,Laparoscopic, Choledocholithiasis [Radiography, Citation, Clinical, Clinical Trials, Collection, Common Bile Duct Stones, Confidence, Consecutive Unselected Patients, Conversion, Cost, Criteria, Data, Data Collection, Duration, Duration</w:t>
      </w:r>
      <w:r w:rsidR="00427468">
        <w:rPr>
          <w:kern w:val="0"/>
        </w:rPr>
        <w:t xml:space="preserve"> of </w:t>
      </w:r>
      <w:r>
        <w:rPr>
          <w:kern w:val="0"/>
        </w:rPr>
        <w:t>Hospital Stay, Embase, Endoscopy, Ercp, Errors, Evidence, Failure, Gallbladder In-Situ, Gallstone Disease, Groups, Hospital, Hospital Stay, Humans, Interval, Intervention, Laparoscopic, Laparoscopic Cholecystectomy, Laparoscopic Surgery, Laparoscopy, Life, Management, Medline, Meta-Analysis, Methods, Models, Morbidity, Mortality, Odds Ratio, Open, Options, Outcomes, P, Postoperative, Preoperative, Procedure, Procedures, Prospective Randomized-Trial, Quality, Quality Of, Quality</w:t>
      </w:r>
      <w:r w:rsidR="00427468">
        <w:rPr>
          <w:kern w:val="0"/>
        </w:rPr>
        <w:t xml:space="preserve"> of </w:t>
      </w:r>
      <w:r>
        <w:rPr>
          <w:kern w:val="0"/>
        </w:rPr>
        <w:t>Life, Randomised, Randomized Controlled Trials As Topic, Rates, Reduction, Retrograde Cholangiopancreatography, Review, Risk, Risks, Science, Science Citation Index, Science Citation Index Expanded, Search, Selection Criteria, Sequential-Analysis, Single-Stage Management, Sphincteroplasty, Sphincterotomy,Endoscopic, Surgery, Surgery], Surgical, Term-Follow-Up, Treatment, Trial</w:t>
      </w:r>
    </w:p>
    <w:p w:rsidR="00524370" w:rsidRDefault="00524370" w:rsidP="00524370">
      <w:pPr>
        <w:pStyle w:val="a3"/>
        <w:rPr>
          <w:kern w:val="0"/>
        </w:rPr>
      </w:pPr>
      <w:r>
        <w:rPr>
          <w:rFonts w:hint="eastAsia"/>
          <w:kern w:val="0"/>
        </w:rPr>
        <w:t xml:space="preserve">? </w:t>
      </w:r>
      <w:r>
        <w:rPr>
          <w:kern w:val="0"/>
        </w:rPr>
        <w:t>Dasari, B.V.M., Tan, C.J., Gurusamy, K.S., Martin, D.J., Kirk, G., Mckie, L., Diamond, T.</w:t>
      </w:r>
      <w:r w:rsidR="005853A9">
        <w:rPr>
          <w:kern w:val="0"/>
        </w:rPr>
        <w:t xml:space="preserve"> and </w:t>
      </w:r>
      <w:r>
        <w:rPr>
          <w:kern w:val="0"/>
        </w:rPr>
        <w:t>Taylor, M.A. (2013), Surgical versus endoscopic treatment</w:t>
      </w:r>
      <w:r w:rsidR="00427468">
        <w:rPr>
          <w:kern w:val="0"/>
        </w:rPr>
        <w:t xml:space="preserve"> of </w:t>
      </w:r>
      <w:r>
        <w:rPr>
          <w:kern w:val="0"/>
        </w:rPr>
        <w:t xml:space="preserve">bile duct stones.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DF7EF4">
        <w:rPr>
          <w:kern w:val="0"/>
        </w:rPr>
        <w:t>CD003327</w:t>
      </w:r>
      <w:r>
        <w:rPr>
          <w:kern w:val="0"/>
        </w:rPr>
        <w:t>.</w:t>
      </w:r>
    </w:p>
    <w:p w:rsidR="00524370" w:rsidRDefault="00524370" w:rsidP="00524370">
      <w:pPr>
        <w:pStyle w:val="a3"/>
        <w:rPr>
          <w:kern w:val="2"/>
        </w:rPr>
      </w:pPr>
      <w:r>
        <w:t xml:space="preserve">Full Text: 2013\Coc Dat Sys Rev2013, </w:t>
      </w:r>
      <w:r w:rsidRPr="00DF7EF4">
        <w:rPr>
          <w:kern w:val="0"/>
        </w:rPr>
        <w:t>CD003327</w:t>
      </w:r>
      <w:r>
        <w:t>.pdf</w:t>
      </w:r>
    </w:p>
    <w:p w:rsidR="00524370" w:rsidRDefault="00524370" w:rsidP="00524370">
      <w:pPr>
        <w:pStyle w:val="a3"/>
        <w:rPr>
          <w:kern w:val="0"/>
        </w:rPr>
      </w:pPr>
      <w:r>
        <w:rPr>
          <w:kern w:val="0"/>
        </w:rPr>
        <w:t>Abstract: Background Between 10% to 18%</w:t>
      </w:r>
      <w:r w:rsidR="00427468">
        <w:rPr>
          <w:kern w:val="0"/>
        </w:rPr>
        <w:t xml:space="preserve"> of </w:t>
      </w:r>
      <w:r>
        <w:rPr>
          <w:kern w:val="0"/>
        </w:rPr>
        <w:t>people undergoing cholecystectomy for gallstones have common bile duct stones. Treatment</w:t>
      </w:r>
      <w:r w:rsidR="00427468">
        <w:rPr>
          <w:kern w:val="0"/>
        </w:rPr>
        <w:t xml:space="preserve"> of </w:t>
      </w:r>
      <w:r>
        <w:rPr>
          <w:kern w:val="0"/>
        </w:rPr>
        <w:t>the bile duct stones can be conducted as open cholecystectomy plus open common bile duct exploration or laparoscopic cholecystectomy plus laparoscopic common bile duct exploration (LC + LCBDE) versus pre- or post-cholecystectomy endoscopic retrograde cholangiopancreatography (ERCP) in two stages, usually combined with either sphincterotomy (commonest) or sphincteroplasty (papillary dilatation) for common bile duct clearance</w:t>
      </w:r>
      <w:r w:rsidR="00A37C1D">
        <w:rPr>
          <w:kern w:val="0"/>
        </w:rPr>
        <w:t>. The</w:t>
      </w:r>
      <w:r>
        <w:rPr>
          <w:kern w:val="0"/>
        </w:rPr>
        <w:t xml:space="preserve"> benefits</w:t>
      </w:r>
      <w:r w:rsidR="005853A9">
        <w:rPr>
          <w:kern w:val="0"/>
        </w:rPr>
        <w:t xml:space="preserve"> and </w:t>
      </w:r>
      <w:r>
        <w:rPr>
          <w:kern w:val="0"/>
        </w:rPr>
        <w:t>harms</w:t>
      </w:r>
      <w:r w:rsidR="00427468">
        <w:rPr>
          <w:kern w:val="0"/>
        </w:rPr>
        <w:t xml:space="preserve"> of </w:t>
      </w:r>
      <w:r>
        <w:rPr>
          <w:kern w:val="0"/>
        </w:rPr>
        <w:t>the different approaches are not known. Objectives We aimed to systematically review the benefits</w:t>
      </w:r>
      <w:r w:rsidR="005853A9">
        <w:rPr>
          <w:kern w:val="0"/>
        </w:rPr>
        <w:t xml:space="preserve"> and </w:t>
      </w:r>
      <w:r>
        <w:rPr>
          <w:kern w:val="0"/>
        </w:rPr>
        <w:t>harms</w:t>
      </w:r>
      <w:r w:rsidR="00427468">
        <w:rPr>
          <w:kern w:val="0"/>
        </w:rPr>
        <w:t xml:space="preserve"> of </w:t>
      </w:r>
      <w:r>
        <w:rPr>
          <w:kern w:val="0"/>
        </w:rPr>
        <w:t>different approaches to the management</w:t>
      </w:r>
      <w:r w:rsidR="00427468">
        <w:rPr>
          <w:kern w:val="0"/>
        </w:rPr>
        <w:t xml:space="preserve"> of </w:t>
      </w:r>
      <w:r>
        <w:rPr>
          <w:kern w:val="0"/>
        </w:rPr>
        <w:t>common bile duct stones. Search methods We searched the Cochrane Hepato-Biliary Group Controlled Trials Register, Cochrane Central Register</w:t>
      </w:r>
      <w:r w:rsidR="00427468">
        <w:rPr>
          <w:kern w:val="0"/>
        </w:rPr>
        <w:t xml:space="preserve"> of </w:t>
      </w:r>
      <w:r>
        <w:rPr>
          <w:kern w:val="0"/>
        </w:rPr>
        <w:t>Controlled Trials (CENTRAL, Issue 7</w:t>
      </w:r>
      <w:r w:rsidR="00427468">
        <w:rPr>
          <w:kern w:val="0"/>
        </w:rPr>
        <w:t xml:space="preserve"> of </w:t>
      </w:r>
      <w:r>
        <w:rPr>
          <w:kern w:val="0"/>
        </w:rPr>
        <w:t xml:space="preserve">12, 2013) in The Cochrane Library, MEDLINE (1946 to August 2013), EMBASE (1974 to </w:t>
      </w:r>
      <w:r>
        <w:rPr>
          <w:kern w:val="0"/>
        </w:rPr>
        <w:lastRenderedPageBreak/>
        <w:t>August 2013),</w:t>
      </w:r>
      <w:r w:rsidR="005853A9">
        <w:rPr>
          <w:kern w:val="0"/>
        </w:rPr>
        <w:t xml:space="preserve"> and </w:t>
      </w:r>
      <w:r>
        <w:rPr>
          <w:kern w:val="0"/>
        </w:rPr>
        <w:t>Science Citation Index Expanded (1900 to August 2013). Selection criteria We included all randomised clinical trials which compared the results from open surgery versus endoscopic clearance</w:t>
      </w:r>
      <w:r w:rsidR="005853A9">
        <w:rPr>
          <w:kern w:val="0"/>
        </w:rPr>
        <w:t xml:space="preserve"> and </w:t>
      </w:r>
      <w:r>
        <w:rPr>
          <w:kern w:val="0"/>
        </w:rPr>
        <w:t>laparoscopic surgery versus endoscopic clearance for common bile duct stones. Data collection</w:t>
      </w:r>
      <w:r w:rsidR="005853A9">
        <w:rPr>
          <w:kern w:val="0"/>
        </w:rPr>
        <w:t xml:space="preserve"> and </w:t>
      </w:r>
      <w:r>
        <w:rPr>
          <w:kern w:val="0"/>
        </w:rPr>
        <w:t>analysis Two review authors independently identified the trials for inclusion</w:t>
      </w:r>
      <w:r w:rsidR="005853A9">
        <w:rPr>
          <w:kern w:val="0"/>
        </w:rPr>
        <w:t xml:space="preserve"> and </w:t>
      </w:r>
      <w:r>
        <w:rPr>
          <w:kern w:val="0"/>
        </w:rPr>
        <w:t>independently extracted data. We calculated the odds ratio (OR) or mean difference (MD) with 95% confidence interval (CI) using both fixed-effect</w:t>
      </w:r>
      <w:r w:rsidR="005853A9">
        <w:rPr>
          <w:kern w:val="0"/>
        </w:rPr>
        <w:t xml:space="preserve"> and </w:t>
      </w:r>
      <w:r>
        <w:rPr>
          <w:kern w:val="0"/>
        </w:rPr>
        <w:t>random-effects models meta-analyses, performed with Review Manager 5. Main results Sixteen randomised clinical trials with a total</w:t>
      </w:r>
      <w:r w:rsidR="00427468">
        <w:rPr>
          <w:kern w:val="0"/>
        </w:rPr>
        <w:t xml:space="preserve"> of </w:t>
      </w:r>
      <w:r>
        <w:rPr>
          <w:kern w:val="0"/>
        </w:rPr>
        <w:t>1758 randomised participants fulfilled the inclusion criteria</w:t>
      </w:r>
      <w:r w:rsidR="00427468">
        <w:rPr>
          <w:kern w:val="0"/>
        </w:rPr>
        <w:t xml:space="preserve"> of </w:t>
      </w:r>
      <w:r>
        <w:rPr>
          <w:kern w:val="0"/>
        </w:rPr>
        <w:t>this review. Eight trials with 737 participants compared open surgical clearance with ERCP; five trials with 621 participants compared laparoscopic clearance with pre-operative ERCP;</w:t>
      </w:r>
      <w:r w:rsidR="005853A9">
        <w:rPr>
          <w:kern w:val="0"/>
        </w:rPr>
        <w:t xml:space="preserve"> and </w:t>
      </w:r>
      <w:r>
        <w:rPr>
          <w:kern w:val="0"/>
        </w:rPr>
        <w:t>two trials with 166 participants compared laparoscopic clearance with postoperative ERCP. One trial with 234 participants compared LCBDE with intra-operative ERCP</w:t>
      </w:r>
      <w:r w:rsidR="00A37C1D">
        <w:rPr>
          <w:kern w:val="0"/>
        </w:rPr>
        <w:t>. The</w:t>
      </w:r>
      <w:r>
        <w:rPr>
          <w:kern w:val="0"/>
        </w:rPr>
        <w:t>re were no trials</w:t>
      </w:r>
      <w:r w:rsidR="00427468">
        <w:rPr>
          <w:kern w:val="0"/>
        </w:rPr>
        <w:t xml:space="preserve"> of </w:t>
      </w:r>
      <w:r>
        <w:rPr>
          <w:kern w:val="0"/>
        </w:rPr>
        <w:t>open or LCBDE versus ERCP in people without an intact gallbladder. All trials had a high risk</w:t>
      </w:r>
      <w:r w:rsidR="00427468">
        <w:rPr>
          <w:kern w:val="0"/>
        </w:rPr>
        <w:t xml:space="preserve"> of </w:t>
      </w:r>
      <w:r>
        <w:rPr>
          <w:kern w:val="0"/>
        </w:rPr>
        <w:t>bias</w:t>
      </w:r>
      <w:r w:rsidR="00A37C1D">
        <w:rPr>
          <w:kern w:val="0"/>
        </w:rPr>
        <w:t>. The</w:t>
      </w:r>
      <w:r>
        <w:rPr>
          <w:kern w:val="0"/>
        </w:rPr>
        <w:t>re was no significant difference in the mortality between open surgery versus ERCP clearance (eight trials; 733 participants; 5/371 (1%) versus 10/358 (3%) OR 0.51; 95% CI 0.18 to 1.44). Neither was there a significant difference in the morbidity between open surgery versus ERCP clearance (eight trials; 733 participants; 76/371 (20%) versus 67/358 (19%) OR 1.12; 95% CI 0.77 to 1.62). Participants in the open surgery group had significantly fewer retained stones compared with the ERCP group (seven trials; 609 participants; 20/313 (6%) versus 47/296 (16%) OR 0.36; 95% CI 0.21 to 0.62), P = 0.0002</w:t>
      </w:r>
      <w:r w:rsidR="00A37C1D">
        <w:rPr>
          <w:kern w:val="0"/>
        </w:rPr>
        <w:t>. The</w:t>
      </w:r>
      <w:r>
        <w:rPr>
          <w:kern w:val="0"/>
        </w:rPr>
        <w:t>re was no significant difference in the mortality between LC + LCBDE versus pre-operative ERCP + LC (five trials; 580 participants; 2/285 (0.7%) versus 3/295 (1%) OR 0.72; 95% CI 0.12 to 4.33). Neither was there was a significant difference in the morbidity between the two groups (five trials; 580 participants; 44/285 (15%) versus 37/295 (13%) OR 1.28; 95% CI 0.80 to 2.05)</w:t>
      </w:r>
      <w:r w:rsidR="00A37C1D">
        <w:rPr>
          <w:kern w:val="0"/>
        </w:rPr>
        <w:t>. The</w:t>
      </w:r>
      <w:r>
        <w:rPr>
          <w:kern w:val="0"/>
        </w:rPr>
        <w:t>re was no significant difference between the two groups in the number</w:t>
      </w:r>
      <w:r w:rsidR="00427468">
        <w:rPr>
          <w:kern w:val="0"/>
        </w:rPr>
        <w:t xml:space="preserve"> of </w:t>
      </w:r>
      <w:r>
        <w:rPr>
          <w:kern w:val="0"/>
        </w:rPr>
        <w:t>participants with retained stones (five trials; 580 participants; 24/285 (8%) versus 31/295 (11%) OR 0.79; 95% CI 0.45 to 1.39)</w:t>
      </w:r>
      <w:r w:rsidR="00A37C1D">
        <w:rPr>
          <w:kern w:val="0"/>
        </w:rPr>
        <w:t>. The</w:t>
      </w:r>
      <w:r>
        <w:rPr>
          <w:kern w:val="0"/>
        </w:rPr>
        <w:t>re was only one trial assessing LC + LCBDE versus LC+intra-operative ERCP including 234 participants</w:t>
      </w:r>
      <w:r w:rsidR="00A37C1D">
        <w:rPr>
          <w:kern w:val="0"/>
        </w:rPr>
        <w:t>. The</w:t>
      </w:r>
      <w:r>
        <w:rPr>
          <w:kern w:val="0"/>
        </w:rPr>
        <w:t>re was no reported mortality in either</w:t>
      </w:r>
      <w:r w:rsidR="00427468">
        <w:rPr>
          <w:kern w:val="0"/>
        </w:rPr>
        <w:t xml:space="preserve"> of </w:t>
      </w:r>
      <w:r>
        <w:rPr>
          <w:kern w:val="0"/>
        </w:rPr>
        <w:t>the groups</w:t>
      </w:r>
      <w:r w:rsidR="00A37C1D">
        <w:rPr>
          <w:kern w:val="0"/>
        </w:rPr>
        <w:t>. The</w:t>
      </w:r>
      <w:r>
        <w:rPr>
          <w:kern w:val="0"/>
        </w:rPr>
        <w:t>re was no significant difference in the morbidity, retained stones, procedure failure rates between the two intervention groups. Two trials assessed LC + LCBDE versus LC+post-operative ERCP</w:t>
      </w:r>
      <w:r w:rsidR="00A37C1D">
        <w:rPr>
          <w:kern w:val="0"/>
        </w:rPr>
        <w:t>. The</w:t>
      </w:r>
      <w:r>
        <w:rPr>
          <w:kern w:val="0"/>
        </w:rPr>
        <w:t>re was no reported mortality in either</w:t>
      </w:r>
      <w:r w:rsidR="00427468">
        <w:rPr>
          <w:kern w:val="0"/>
        </w:rPr>
        <w:t xml:space="preserve"> of </w:t>
      </w:r>
      <w:r>
        <w:rPr>
          <w:kern w:val="0"/>
        </w:rPr>
        <w:t>the groups</w:t>
      </w:r>
      <w:r w:rsidR="00A37C1D">
        <w:rPr>
          <w:kern w:val="0"/>
        </w:rPr>
        <w:t>. The</w:t>
      </w:r>
      <w:r>
        <w:rPr>
          <w:kern w:val="0"/>
        </w:rPr>
        <w:t>re was no significant difference in the morbidity between laparoscopic surgery</w:t>
      </w:r>
      <w:r w:rsidR="005853A9">
        <w:rPr>
          <w:kern w:val="0"/>
        </w:rPr>
        <w:t xml:space="preserve"> and </w:t>
      </w:r>
      <w:r>
        <w:rPr>
          <w:kern w:val="0"/>
        </w:rPr>
        <w:t>postoperative ERCP groups (two trials; 166 participants; 13/81 (16%) versus 12/85 (14%) OR 1.16; 95% CI 0.50 to 2.72)</w:t>
      </w:r>
      <w:r w:rsidR="00A37C1D">
        <w:rPr>
          <w:kern w:val="0"/>
        </w:rPr>
        <w:t>. The</w:t>
      </w:r>
      <w:r>
        <w:rPr>
          <w:kern w:val="0"/>
        </w:rPr>
        <w:t>re was a significant difference in the retained stones between laparoscopic surgery</w:t>
      </w:r>
      <w:r w:rsidR="005853A9">
        <w:rPr>
          <w:kern w:val="0"/>
        </w:rPr>
        <w:t xml:space="preserve"> and </w:t>
      </w:r>
      <w:r>
        <w:rPr>
          <w:kern w:val="0"/>
        </w:rPr>
        <w:t xml:space="preserve">postoperative ERCP groups (two </w:t>
      </w:r>
      <w:r>
        <w:rPr>
          <w:kern w:val="0"/>
        </w:rPr>
        <w:lastRenderedPageBreak/>
        <w:t>trials; 166 participants; 7/81 (9%) versus 21/85 (25%) OR 0.28; 95% CI 0.11 to 0.72; P = 0.008. In total, seven trials including 746 participants compared single staged LC + LCBDE versus two-staged pre-operative ERCP + LC or LC + post-operative ERCP</w:t>
      </w:r>
      <w:r w:rsidR="00A37C1D">
        <w:rPr>
          <w:kern w:val="0"/>
        </w:rPr>
        <w:t>. The</w:t>
      </w:r>
      <w:r>
        <w:rPr>
          <w:kern w:val="0"/>
        </w:rPr>
        <w:t>re was no significant difference in the mortality between single</w:t>
      </w:r>
      <w:r w:rsidR="005853A9">
        <w:rPr>
          <w:kern w:val="0"/>
        </w:rPr>
        <w:t xml:space="preserve"> and </w:t>
      </w:r>
      <w:r>
        <w:rPr>
          <w:kern w:val="0"/>
        </w:rPr>
        <w:t>two-stage management (seven trials; 746 participants; 2/366 versus 3/380 OR 0.72; 95% CI 0.12 to 4.33)</w:t>
      </w:r>
      <w:r w:rsidR="00A37C1D">
        <w:rPr>
          <w:kern w:val="0"/>
        </w:rPr>
        <w:t>. The</w:t>
      </w:r>
      <w:r>
        <w:rPr>
          <w:kern w:val="0"/>
        </w:rPr>
        <w:t>re was no a significant difference in the morbidity (seven trials; 746 participants; 57/366 (16%) versus 49/380 (13%) OR 1.25; 95% CI 0.83 to 1.89)</w:t>
      </w:r>
      <w:r w:rsidR="00A37C1D">
        <w:rPr>
          <w:kern w:val="0"/>
        </w:rPr>
        <w:t>. The</w:t>
      </w:r>
      <w:r>
        <w:rPr>
          <w:kern w:val="0"/>
        </w:rPr>
        <w:t>re were significantly fewer retained stones in the single-stage group (31/366 participants; 8%) compared with the two-stage group (52/380 participants; 14%), but the difference was not statistically significantOR 0.59; 95% CI 0.37 to 0.94)</w:t>
      </w:r>
      <w:r w:rsidR="00A37C1D">
        <w:rPr>
          <w:kern w:val="0"/>
        </w:rPr>
        <w:t>. The</w:t>
      </w:r>
      <w:r>
        <w:rPr>
          <w:kern w:val="0"/>
        </w:rPr>
        <w:t>re was no significant difference in the conversion rates</w:t>
      </w:r>
      <w:r w:rsidR="00427468">
        <w:rPr>
          <w:kern w:val="0"/>
        </w:rPr>
        <w:t xml:space="preserve"> of </w:t>
      </w:r>
      <w:r>
        <w:rPr>
          <w:kern w:val="0"/>
        </w:rPr>
        <w:t>LCBDE to open surgery when compared with pre-operative, intra-operative,</w:t>
      </w:r>
      <w:r w:rsidR="005853A9">
        <w:rPr>
          <w:kern w:val="0"/>
        </w:rPr>
        <w:t xml:space="preserve"> and </w:t>
      </w:r>
      <w:r>
        <w:rPr>
          <w:kern w:val="0"/>
        </w:rPr>
        <w:t>postoperative ERCP groups. Meta-analysis</w:t>
      </w:r>
      <w:r w:rsidR="00427468">
        <w:rPr>
          <w:kern w:val="0"/>
        </w:rPr>
        <w:t xml:space="preserve"> of </w:t>
      </w:r>
      <w:r>
        <w:rPr>
          <w:kern w:val="0"/>
        </w:rPr>
        <w:t>the outcomes duration</w:t>
      </w:r>
      <w:r w:rsidR="00427468">
        <w:rPr>
          <w:kern w:val="0"/>
        </w:rPr>
        <w:t xml:space="preserve"> of </w:t>
      </w:r>
      <w:r>
        <w:rPr>
          <w:kern w:val="0"/>
        </w:rPr>
        <w:t>hospital stay, quality</w:t>
      </w:r>
      <w:r w:rsidR="00427468">
        <w:rPr>
          <w:kern w:val="0"/>
        </w:rPr>
        <w:t xml:space="preserve"> of </w:t>
      </w:r>
      <w:r>
        <w:rPr>
          <w:kern w:val="0"/>
        </w:rPr>
        <w:t>life,</w:t>
      </w:r>
      <w:r w:rsidR="005853A9">
        <w:rPr>
          <w:kern w:val="0"/>
        </w:rPr>
        <w:t xml:space="preserve"> and </w:t>
      </w:r>
      <w:r>
        <w:rPr>
          <w:kern w:val="0"/>
        </w:rPr>
        <w:t>cost</w:t>
      </w:r>
      <w:r w:rsidR="00427468">
        <w:rPr>
          <w:kern w:val="0"/>
        </w:rPr>
        <w:t xml:space="preserve"> of </w:t>
      </w:r>
      <w:r>
        <w:rPr>
          <w:kern w:val="0"/>
        </w:rPr>
        <w:t>the procedures could not be performed due to lack</w:t>
      </w:r>
      <w:r w:rsidR="00427468">
        <w:rPr>
          <w:kern w:val="0"/>
        </w:rPr>
        <w:t xml:space="preserve"> of </w:t>
      </w:r>
      <w:r>
        <w:rPr>
          <w:kern w:val="0"/>
        </w:rPr>
        <w:t>data. Authors</w:t>
      </w:r>
      <w:r w:rsidR="0071223E">
        <w:rPr>
          <w:kern w:val="0"/>
        </w:rPr>
        <w:t>’</w:t>
      </w:r>
      <w:r>
        <w:rPr>
          <w:kern w:val="0"/>
        </w:rPr>
        <w:t xml:space="preserve"> conclusions Open bile duct surgery seems superior to ERCP in achieving common bile duct stone clearance based on the evidence available from the early endoscopy era</w:t>
      </w:r>
      <w:r w:rsidR="00A37C1D">
        <w:rPr>
          <w:kern w:val="0"/>
        </w:rPr>
        <w:t>. The</w:t>
      </w:r>
      <w:r>
        <w:rPr>
          <w:kern w:val="0"/>
        </w:rPr>
        <w:t>re is no significant difference in the mortality</w:t>
      </w:r>
      <w:r w:rsidR="005853A9">
        <w:rPr>
          <w:kern w:val="0"/>
        </w:rPr>
        <w:t xml:space="preserve"> and </w:t>
      </w:r>
      <w:r>
        <w:rPr>
          <w:kern w:val="0"/>
        </w:rPr>
        <w:t>morbidity between laparoscopic bile duct clearance</w:t>
      </w:r>
      <w:r w:rsidR="005853A9">
        <w:rPr>
          <w:kern w:val="0"/>
        </w:rPr>
        <w:t xml:space="preserve"> and </w:t>
      </w:r>
      <w:r>
        <w:rPr>
          <w:kern w:val="0"/>
        </w:rPr>
        <w:t>the endoscopic options</w:t>
      </w:r>
      <w:r w:rsidR="00A37C1D">
        <w:rPr>
          <w:kern w:val="0"/>
        </w:rPr>
        <w:t>. The</w:t>
      </w:r>
      <w:r>
        <w:rPr>
          <w:kern w:val="0"/>
        </w:rPr>
        <w:t>re is no significant reduction in the number</w:t>
      </w:r>
      <w:r w:rsidR="00427468">
        <w:rPr>
          <w:kern w:val="0"/>
        </w:rPr>
        <w:t xml:space="preserve"> of </w:t>
      </w:r>
      <w:r>
        <w:rPr>
          <w:kern w:val="0"/>
        </w:rPr>
        <w:t>retained stones</w:t>
      </w:r>
      <w:r w:rsidR="005853A9">
        <w:rPr>
          <w:kern w:val="0"/>
        </w:rPr>
        <w:t xml:space="preserve"> and </w:t>
      </w:r>
      <w:r>
        <w:rPr>
          <w:kern w:val="0"/>
        </w:rPr>
        <w:t>failure rates in the laparoscopy groups compared with the pre-operative</w:t>
      </w:r>
      <w:r w:rsidR="005853A9">
        <w:rPr>
          <w:kern w:val="0"/>
        </w:rPr>
        <w:t xml:space="preserve"> and </w:t>
      </w:r>
      <w:r>
        <w:rPr>
          <w:kern w:val="0"/>
        </w:rPr>
        <w:t>intra-operative ERCP groups</w:t>
      </w:r>
      <w:r w:rsidR="00A37C1D">
        <w:rPr>
          <w:kern w:val="0"/>
        </w:rPr>
        <w:t>. The</w:t>
      </w:r>
      <w:r>
        <w:rPr>
          <w:kern w:val="0"/>
        </w:rPr>
        <w:t>re is no significant difference in themortality, morbidity, retained stones,</w:t>
      </w:r>
      <w:r w:rsidR="005853A9">
        <w:rPr>
          <w:kern w:val="0"/>
        </w:rPr>
        <w:t xml:space="preserve"> and </w:t>
      </w:r>
      <w:r>
        <w:rPr>
          <w:kern w:val="0"/>
        </w:rPr>
        <w:t>failure rates between the single-stage laparoscopic bile duct clearance</w:t>
      </w:r>
      <w:r w:rsidR="005853A9">
        <w:rPr>
          <w:kern w:val="0"/>
        </w:rPr>
        <w:t xml:space="preserve"> and </w:t>
      </w:r>
      <w:r>
        <w:rPr>
          <w:kern w:val="0"/>
        </w:rPr>
        <w:t>two-stage endoscopic management. More randomised clinical trials without risks</w:t>
      </w:r>
      <w:r w:rsidR="00427468">
        <w:rPr>
          <w:kern w:val="0"/>
        </w:rPr>
        <w:t xml:space="preserve"> of </w:t>
      </w:r>
      <w:r>
        <w:rPr>
          <w:kern w:val="0"/>
        </w:rPr>
        <w:t>systematic</w:t>
      </w:r>
      <w:r w:rsidR="005853A9">
        <w:rPr>
          <w:kern w:val="0"/>
        </w:rPr>
        <w:t xml:space="preserve"> and </w:t>
      </w:r>
      <w:r>
        <w:rPr>
          <w:kern w:val="0"/>
        </w:rPr>
        <w:t>random errors are necessary to confirm these findings.</w:t>
      </w:r>
    </w:p>
    <w:p w:rsidR="00524370" w:rsidRDefault="00524370" w:rsidP="00524370">
      <w:pPr>
        <w:pStyle w:val="a3"/>
        <w:rPr>
          <w:kern w:val="0"/>
        </w:rPr>
      </w:pPr>
      <w:r>
        <w:rPr>
          <w:kern w:val="0"/>
        </w:rPr>
        <w:t>Keywords: Analysis, Assessing, Authors, Benefits, Bias, Cholecystectomy, Citation, Clinical, Clinical Trials, Collection, Common Bile Duct Stones, Confidence, Conversion, Cost, Criteria, Data, Data Collection, Duration, Duration</w:t>
      </w:r>
      <w:r w:rsidR="00427468">
        <w:rPr>
          <w:kern w:val="0"/>
        </w:rPr>
        <w:t xml:space="preserve"> of </w:t>
      </w:r>
      <w:r>
        <w:rPr>
          <w:kern w:val="0"/>
        </w:rPr>
        <w:t>Hospital Stay, Embase, Endoscopy, Ercp, Errors, Evidence, Failure, Groups, Hospital, Hospital Stay, Interval, Intervention, Laparoscopic, Laparoscopic Cholecystectomy, Laparoscopic Surgery, Laparoscopy, Life, Management, Medline, Meta-Analysis, Methods, Models, Morbidity, Mortality, Odds Ratio, Open, Options, Outcomes, P, Postoperative, Preoperative, Procedure, Procedures, Quality, Quality Of, Quality</w:t>
      </w:r>
      <w:r w:rsidR="00427468">
        <w:rPr>
          <w:kern w:val="0"/>
        </w:rPr>
        <w:t xml:space="preserve"> of </w:t>
      </w:r>
      <w:r>
        <w:rPr>
          <w:kern w:val="0"/>
        </w:rPr>
        <w:t>Life, Randomised, Rates, Reduction, Review, Risk, Risks, Science, Science Citation Index, Science Citation Index Expanded, Search, Sphincteroplasty, Surgery, Surgical, Treatment, Trial</w:t>
      </w:r>
    </w:p>
    <w:p w:rsidR="00533624" w:rsidRDefault="00533624" w:rsidP="00533624">
      <w:pPr>
        <w:pStyle w:val="a3"/>
        <w:rPr>
          <w:kern w:val="0"/>
        </w:rPr>
      </w:pPr>
      <w:r>
        <w:rPr>
          <w:rFonts w:hint="eastAsia"/>
          <w:kern w:val="0"/>
        </w:rPr>
        <w:t xml:space="preserve">? </w:t>
      </w:r>
      <w:r>
        <w:rPr>
          <w:kern w:val="0"/>
        </w:rPr>
        <w:t>Thanaviratananich, S., Laopaiboon, M.</w:t>
      </w:r>
      <w:r w:rsidR="005853A9">
        <w:rPr>
          <w:kern w:val="0"/>
        </w:rPr>
        <w:t xml:space="preserve"> and </w:t>
      </w:r>
      <w:r>
        <w:rPr>
          <w:kern w:val="0"/>
        </w:rPr>
        <w:t>Vatanasapt, P. (2013), Once or twice daily versus three times daily amoxicillin with or without clavulanate for the treatment</w:t>
      </w:r>
      <w:r w:rsidR="00427468">
        <w:rPr>
          <w:kern w:val="0"/>
        </w:rPr>
        <w:t xml:space="preserve"> of </w:t>
      </w:r>
      <w:r>
        <w:rPr>
          <w:kern w:val="0"/>
        </w:rPr>
        <w:t xml:space="preserve">acute otitis media. </w:t>
      </w:r>
      <w:r>
        <w:rPr>
          <w:i/>
          <w:iCs/>
          <w:kern w:val="0"/>
        </w:rPr>
        <w:t>Cochrane Database</w:t>
      </w:r>
      <w:r w:rsidR="00427468">
        <w:rPr>
          <w:i/>
          <w:iCs/>
          <w:kern w:val="0"/>
        </w:rPr>
        <w:t xml:space="preserve"> of </w:t>
      </w:r>
      <w:r>
        <w:rPr>
          <w:i/>
          <w:iCs/>
          <w:kern w:val="0"/>
        </w:rPr>
        <w:t>Systematic Reviews</w:t>
      </w:r>
      <w:r>
        <w:rPr>
          <w:kern w:val="0"/>
        </w:rPr>
        <w:t>,</w:t>
      </w:r>
      <w:r>
        <w:rPr>
          <w:rFonts w:hint="eastAsia"/>
          <w:kern w:val="0"/>
        </w:rPr>
        <w:t xml:space="preserve"> </w:t>
      </w:r>
      <w:r w:rsidRPr="00EE5553">
        <w:rPr>
          <w:b/>
          <w:kern w:val="0"/>
        </w:rPr>
        <w:t>1</w:t>
      </w:r>
      <w:r>
        <w:rPr>
          <w:rFonts w:hint="eastAsia"/>
          <w:b/>
          <w:kern w:val="0"/>
        </w:rPr>
        <w:t>2</w:t>
      </w:r>
      <w:r>
        <w:rPr>
          <w:kern w:val="0"/>
        </w:rPr>
        <w:t xml:space="preserve">, Article Number: </w:t>
      </w:r>
      <w:r w:rsidRPr="007F1AEF">
        <w:rPr>
          <w:kern w:val="0"/>
        </w:rPr>
        <w:t>CD004975</w:t>
      </w:r>
      <w:r>
        <w:rPr>
          <w:kern w:val="0"/>
        </w:rPr>
        <w:t>.</w:t>
      </w:r>
    </w:p>
    <w:p w:rsidR="00533624" w:rsidRDefault="00533624" w:rsidP="00533624">
      <w:pPr>
        <w:pStyle w:val="a3"/>
        <w:rPr>
          <w:kern w:val="2"/>
        </w:rPr>
      </w:pPr>
      <w:r>
        <w:lastRenderedPageBreak/>
        <w:t xml:space="preserve">Full Text: 2013\Coc Dat Sys Rev2013, </w:t>
      </w:r>
      <w:r w:rsidRPr="007F1AEF">
        <w:rPr>
          <w:kern w:val="0"/>
        </w:rPr>
        <w:t>CD004975</w:t>
      </w:r>
      <w:r>
        <w:t>.pdf</w:t>
      </w:r>
    </w:p>
    <w:p w:rsidR="00533624" w:rsidRDefault="00533624" w:rsidP="00533624">
      <w:pPr>
        <w:pStyle w:val="a3"/>
        <w:rPr>
          <w:kern w:val="0"/>
        </w:rPr>
      </w:pPr>
      <w:r>
        <w:rPr>
          <w:kern w:val="0"/>
        </w:rPr>
        <w:t>Abstract: Background Acute otitis media (AOM) is a common problem in children, for which amoxicillin, with or without clavulanate, is frequently prescribed as a treatment</w:t>
      </w:r>
      <w:r w:rsidR="00427468">
        <w:rPr>
          <w:kern w:val="0"/>
        </w:rPr>
        <w:t xml:space="preserve"> of </w:t>
      </w:r>
      <w:r>
        <w:rPr>
          <w:kern w:val="0"/>
        </w:rPr>
        <w:t>choice</w:t>
      </w:r>
      <w:r w:rsidR="00A37C1D">
        <w:rPr>
          <w:kern w:val="0"/>
        </w:rPr>
        <w:t>. The</w:t>
      </w:r>
      <w:r>
        <w:rPr>
          <w:kern w:val="0"/>
        </w:rPr>
        <w:t xml:space="preserve"> conventional recommendation is either three or four daily doses. However, nowadays it is frequently prescribed as once or twice daily doses. If once or twice daily amoxicillin, with or without clavulanate, is as effective for acute otitis media as three or four times a day, it may be more convenient to give the medication once or twice a day to children</w:t>
      </w:r>
      <w:r w:rsidR="005853A9">
        <w:rPr>
          <w:kern w:val="0"/>
        </w:rPr>
        <w:t xml:space="preserve"> and </w:t>
      </w:r>
      <w:r>
        <w:rPr>
          <w:kern w:val="0"/>
        </w:rPr>
        <w:t>hence improve compliance. Objectives To compare the effectiveness</w:t>
      </w:r>
      <w:r w:rsidR="00427468">
        <w:rPr>
          <w:kern w:val="0"/>
        </w:rPr>
        <w:t xml:space="preserve"> of </w:t>
      </w:r>
      <w:r>
        <w:rPr>
          <w:kern w:val="0"/>
        </w:rPr>
        <w:t>one or two daily doses with three or four daily doses</w:t>
      </w:r>
      <w:r w:rsidR="00427468">
        <w:rPr>
          <w:kern w:val="0"/>
        </w:rPr>
        <w:t xml:space="preserve"> of </w:t>
      </w:r>
      <w:r>
        <w:rPr>
          <w:kern w:val="0"/>
        </w:rPr>
        <w:t>amoxicillin, with or without clavulanate, for the treatment</w:t>
      </w:r>
      <w:r w:rsidR="00427468">
        <w:rPr>
          <w:kern w:val="0"/>
        </w:rPr>
        <w:t xml:space="preserve"> of </w:t>
      </w:r>
      <w:r>
        <w:rPr>
          <w:kern w:val="0"/>
        </w:rPr>
        <w:t>AOM in children;</w:t>
      </w:r>
      <w:r w:rsidR="005853A9">
        <w:rPr>
          <w:kern w:val="0"/>
        </w:rPr>
        <w:t xml:space="preserve"> and </w:t>
      </w:r>
      <w:r>
        <w:rPr>
          <w:kern w:val="0"/>
        </w:rPr>
        <w:t>to compare complication rates</w:t>
      </w:r>
      <w:r w:rsidR="005853A9">
        <w:rPr>
          <w:kern w:val="0"/>
        </w:rPr>
        <w:t xml:space="preserve"> and </w:t>
      </w:r>
      <w:r>
        <w:rPr>
          <w:kern w:val="0"/>
        </w:rPr>
        <w:t>adverse reactions. Search methods We searched CENTRAL 2013, Issue 2, MEDLINE (January 1950 to March week 1, 2013), EMBASE (1974 to March 2013)</w:t>
      </w:r>
      <w:r w:rsidR="005853A9">
        <w:rPr>
          <w:kern w:val="0"/>
        </w:rPr>
        <w:t xml:space="preserve"> and </w:t>
      </w:r>
      <w:r>
        <w:rPr>
          <w:kern w:val="0"/>
        </w:rPr>
        <w:t>the Science Citation Index (2001 to March 2013). Selection criteria We included randomised controlled trials (RCTs)</w:t>
      </w:r>
      <w:r w:rsidR="00427468">
        <w:rPr>
          <w:kern w:val="0"/>
        </w:rPr>
        <w:t xml:space="preserve"> of </w:t>
      </w:r>
      <w:r>
        <w:rPr>
          <w:kern w:val="0"/>
        </w:rPr>
        <w:t>children aged 12 years or younger with AOM, diagnosed by acute ear pain (otalgia)</w:t>
      </w:r>
      <w:r w:rsidR="005853A9">
        <w:rPr>
          <w:kern w:val="0"/>
        </w:rPr>
        <w:t xml:space="preserve"> and </w:t>
      </w:r>
      <w:r>
        <w:rPr>
          <w:kern w:val="0"/>
        </w:rPr>
        <w:t>inflamed ear drum (confirmed by positive tympanocentesis or tympanogram</w:t>
      </w:r>
      <w:r w:rsidR="00427468">
        <w:rPr>
          <w:kern w:val="0"/>
        </w:rPr>
        <w:t xml:space="preserve"> of </w:t>
      </w:r>
      <w:r>
        <w:rPr>
          <w:kern w:val="0"/>
        </w:rPr>
        <w:t>type B or C). Data collection</w:t>
      </w:r>
      <w:r w:rsidR="005853A9">
        <w:rPr>
          <w:kern w:val="0"/>
        </w:rPr>
        <w:t xml:space="preserve"> and </w:t>
      </w:r>
      <w:r>
        <w:rPr>
          <w:kern w:val="0"/>
        </w:rPr>
        <w:t>analysis Two review authors independently extracted data on treatment outcomes from individual trials</w:t>
      </w:r>
      <w:r w:rsidR="005853A9">
        <w:rPr>
          <w:kern w:val="0"/>
        </w:rPr>
        <w:t xml:space="preserve"> and </w:t>
      </w:r>
      <w:r>
        <w:rPr>
          <w:kern w:val="0"/>
        </w:rPr>
        <w:t>assessed trial quality based on selection bias, performance bias</w:t>
      </w:r>
      <w:r w:rsidR="005853A9">
        <w:rPr>
          <w:kern w:val="0"/>
        </w:rPr>
        <w:t xml:space="preserve"> and </w:t>
      </w:r>
      <w:r>
        <w:rPr>
          <w:kern w:val="0"/>
        </w:rPr>
        <w:t>detection bias, attrition bias, reporting bias</w:t>
      </w:r>
      <w:r w:rsidR="005853A9">
        <w:rPr>
          <w:kern w:val="0"/>
        </w:rPr>
        <w:t xml:space="preserve"> and </w:t>
      </w:r>
      <w:r>
        <w:rPr>
          <w:kern w:val="0"/>
        </w:rPr>
        <w:t>other biases. We defined the quality grading as low risk</w:t>
      </w:r>
      <w:r w:rsidR="00427468">
        <w:rPr>
          <w:kern w:val="0"/>
        </w:rPr>
        <w:t xml:space="preserve"> of </w:t>
      </w:r>
      <w:r>
        <w:rPr>
          <w:kern w:val="0"/>
        </w:rPr>
        <w:t>bias, high risk</w:t>
      </w:r>
      <w:r w:rsidR="00427468">
        <w:rPr>
          <w:kern w:val="0"/>
        </w:rPr>
        <w:t xml:space="preserve"> of </w:t>
      </w:r>
      <w:r>
        <w:rPr>
          <w:kern w:val="0"/>
        </w:rPr>
        <w:t>bias or unclear risk</w:t>
      </w:r>
      <w:r w:rsidR="00427468">
        <w:rPr>
          <w:kern w:val="0"/>
        </w:rPr>
        <w:t xml:space="preserve"> of </w:t>
      </w:r>
      <w:r>
        <w:rPr>
          <w:kern w:val="0"/>
        </w:rPr>
        <w:t>bias. We summarised the results as risk ratio (RR) with 95% confidence intervals (CI). Main results We included five studies with 1601 children in the review. Pooled analysis demonstrated that the following outcomes were comparable between the two groups: clinical cure at the end</w:t>
      </w:r>
      <w:r w:rsidR="00427468">
        <w:rPr>
          <w:kern w:val="0"/>
        </w:rPr>
        <w:t xml:space="preserve"> of </w:t>
      </w:r>
      <w:r>
        <w:rPr>
          <w:kern w:val="0"/>
        </w:rPr>
        <w:t>therapy (RR 1.03, 95% CI 0.99 to 1.07); during therapy (RR 1.06, 95% CI 0.85 to 1.33)</w:t>
      </w:r>
      <w:r w:rsidR="005853A9">
        <w:rPr>
          <w:kern w:val="0"/>
        </w:rPr>
        <w:t xml:space="preserve"> and </w:t>
      </w:r>
      <w:r>
        <w:rPr>
          <w:kern w:val="0"/>
        </w:rPr>
        <w:t>at follow-up (RR 1.02, 95% CI 0.95 to 1.09); recurrent AOM (RR 1.21, 95% CI 0.52 to 2.81); compliance rate (RR 1.04, 95% CI 0.98 to 1.10)</w:t>
      </w:r>
      <w:r w:rsidR="005853A9">
        <w:rPr>
          <w:kern w:val="0"/>
        </w:rPr>
        <w:t xml:space="preserve"> and </w:t>
      </w:r>
      <w:r>
        <w:rPr>
          <w:kern w:val="0"/>
        </w:rPr>
        <w:t>overall adverse events (RR 0.92, 95% CI 0.52 to 1.63). When we performed subgroup analysis separately for trials with amoxicillin only</w:t>
      </w:r>
      <w:r w:rsidR="005853A9">
        <w:rPr>
          <w:kern w:val="0"/>
        </w:rPr>
        <w:t xml:space="preserve"> and </w:t>
      </w:r>
      <w:r>
        <w:rPr>
          <w:kern w:val="0"/>
        </w:rPr>
        <w:t>amoxicillin/clavulanate only, it showed that all important outcomes were comparable between once or twice daily groups</w:t>
      </w:r>
      <w:r w:rsidR="005853A9">
        <w:rPr>
          <w:kern w:val="0"/>
        </w:rPr>
        <w:t xml:space="preserve"> and </w:t>
      </w:r>
      <w:r>
        <w:rPr>
          <w:kern w:val="0"/>
        </w:rPr>
        <w:t>the three times daily group</w:t>
      </w:r>
      <w:r w:rsidR="00A37C1D">
        <w:rPr>
          <w:kern w:val="0"/>
        </w:rPr>
        <w:t>. The</w:t>
      </w:r>
      <w:r>
        <w:rPr>
          <w:kern w:val="0"/>
        </w:rPr>
        <w:t xml:space="preserve"> risk</w:t>
      </w:r>
      <w:r w:rsidR="00427468">
        <w:rPr>
          <w:kern w:val="0"/>
        </w:rPr>
        <w:t xml:space="preserve"> of </w:t>
      </w:r>
      <w:r>
        <w:rPr>
          <w:kern w:val="0"/>
        </w:rPr>
        <w:t>bias amongst the five included studies was as follows: for random sequence generation we graded two studies as low</w:t>
      </w:r>
      <w:r w:rsidR="005853A9">
        <w:rPr>
          <w:kern w:val="0"/>
        </w:rPr>
        <w:t xml:space="preserve"> and </w:t>
      </w:r>
      <w:r>
        <w:rPr>
          <w:kern w:val="0"/>
        </w:rPr>
        <w:t>three unclear risk</w:t>
      </w:r>
      <w:r w:rsidR="00427468">
        <w:rPr>
          <w:kern w:val="0"/>
        </w:rPr>
        <w:t xml:space="preserve"> of </w:t>
      </w:r>
      <w:r>
        <w:rPr>
          <w:kern w:val="0"/>
        </w:rPr>
        <w:t>bias; for allocation concealment all studies were at unclear risk</w:t>
      </w:r>
      <w:r w:rsidR="00427468">
        <w:rPr>
          <w:kern w:val="0"/>
        </w:rPr>
        <w:t xml:space="preserve"> of </w:t>
      </w:r>
      <w:r>
        <w:rPr>
          <w:kern w:val="0"/>
        </w:rPr>
        <w:t>bias; for blinding (performance</w:t>
      </w:r>
      <w:r w:rsidR="005853A9">
        <w:rPr>
          <w:kern w:val="0"/>
        </w:rPr>
        <w:t xml:space="preserve"> and </w:t>
      </w:r>
      <w:r>
        <w:rPr>
          <w:kern w:val="0"/>
        </w:rPr>
        <w:t>detection bias) we graded four as high</w:t>
      </w:r>
      <w:r w:rsidR="005853A9">
        <w:rPr>
          <w:kern w:val="0"/>
        </w:rPr>
        <w:t xml:space="preserve"> and </w:t>
      </w:r>
      <w:r>
        <w:rPr>
          <w:kern w:val="0"/>
        </w:rPr>
        <w:t>one as unclear risk</w:t>
      </w:r>
      <w:r w:rsidR="00427468">
        <w:rPr>
          <w:kern w:val="0"/>
        </w:rPr>
        <w:t xml:space="preserve"> of </w:t>
      </w:r>
      <w:r>
        <w:rPr>
          <w:kern w:val="0"/>
        </w:rPr>
        <w:t>bias; for incomplete outcome data (attrition bias) we graded two low, two high</w:t>
      </w:r>
      <w:r w:rsidR="005853A9">
        <w:rPr>
          <w:kern w:val="0"/>
        </w:rPr>
        <w:t xml:space="preserve"> and </w:t>
      </w:r>
      <w:r>
        <w:rPr>
          <w:kern w:val="0"/>
        </w:rPr>
        <w:t>one as unclear risk</w:t>
      </w:r>
      <w:r w:rsidR="00427468">
        <w:rPr>
          <w:kern w:val="0"/>
        </w:rPr>
        <w:t xml:space="preserve"> of </w:t>
      </w:r>
      <w:r>
        <w:rPr>
          <w:kern w:val="0"/>
        </w:rPr>
        <w:t>bias; for reporting bias four were at low</w:t>
      </w:r>
      <w:r w:rsidR="005853A9">
        <w:rPr>
          <w:kern w:val="0"/>
        </w:rPr>
        <w:t xml:space="preserve"> and </w:t>
      </w:r>
      <w:r>
        <w:rPr>
          <w:kern w:val="0"/>
        </w:rPr>
        <w:t>one at high risk;</w:t>
      </w:r>
      <w:r w:rsidR="005853A9">
        <w:rPr>
          <w:kern w:val="0"/>
        </w:rPr>
        <w:t xml:space="preserve"> and </w:t>
      </w:r>
      <w:r>
        <w:rPr>
          <w:kern w:val="0"/>
        </w:rPr>
        <w:t xml:space="preserve">for </w:t>
      </w:r>
      <w:r w:rsidR="0071223E">
        <w:rPr>
          <w:kern w:val="0"/>
        </w:rPr>
        <w:t>‘</w:t>
      </w:r>
      <w:r>
        <w:rPr>
          <w:kern w:val="0"/>
        </w:rPr>
        <w:t>other</w:t>
      </w:r>
      <w:r w:rsidR="0071223E">
        <w:rPr>
          <w:kern w:val="0"/>
        </w:rPr>
        <w:t>’</w:t>
      </w:r>
      <w:r>
        <w:rPr>
          <w:kern w:val="0"/>
        </w:rPr>
        <w:t xml:space="preserve"> bias four were at low</w:t>
      </w:r>
      <w:r w:rsidR="005853A9">
        <w:rPr>
          <w:kern w:val="0"/>
        </w:rPr>
        <w:t xml:space="preserve"> and </w:t>
      </w:r>
      <w:r>
        <w:rPr>
          <w:kern w:val="0"/>
        </w:rPr>
        <w:t>one at unclear risk</w:t>
      </w:r>
      <w:r w:rsidR="00427468">
        <w:rPr>
          <w:kern w:val="0"/>
        </w:rPr>
        <w:t xml:space="preserve"> of </w:t>
      </w:r>
      <w:r>
        <w:rPr>
          <w:kern w:val="0"/>
        </w:rPr>
        <w:t>bias. Authors</w:t>
      </w:r>
      <w:r w:rsidR="0071223E">
        <w:rPr>
          <w:kern w:val="0"/>
        </w:rPr>
        <w:t>’</w:t>
      </w:r>
      <w:r>
        <w:rPr>
          <w:kern w:val="0"/>
        </w:rPr>
        <w:t xml:space="preserve"> conclusions This review showed that the results</w:t>
      </w:r>
      <w:r w:rsidR="00427468">
        <w:rPr>
          <w:kern w:val="0"/>
        </w:rPr>
        <w:t xml:space="preserve"> of </w:t>
      </w:r>
      <w:r>
        <w:rPr>
          <w:kern w:val="0"/>
        </w:rPr>
        <w:t>using once or twice daily doses</w:t>
      </w:r>
      <w:r w:rsidR="00427468">
        <w:rPr>
          <w:kern w:val="0"/>
        </w:rPr>
        <w:t xml:space="preserve"> of </w:t>
      </w:r>
      <w:r>
        <w:rPr>
          <w:kern w:val="0"/>
        </w:rPr>
        <w:t xml:space="preserve">amoxicillin, with or without clavulanate, were comparable with three </w:t>
      </w:r>
      <w:r>
        <w:rPr>
          <w:kern w:val="0"/>
        </w:rPr>
        <w:lastRenderedPageBreak/>
        <w:t>doses for the treatment</w:t>
      </w:r>
      <w:r w:rsidR="00427468">
        <w:rPr>
          <w:kern w:val="0"/>
        </w:rPr>
        <w:t xml:space="preserve"> of </w:t>
      </w:r>
      <w:r>
        <w:rPr>
          <w:kern w:val="0"/>
        </w:rPr>
        <w:t>AOM.</w:t>
      </w:r>
    </w:p>
    <w:p w:rsidR="00533624" w:rsidRDefault="00533624" w:rsidP="00533624">
      <w:pPr>
        <w:pStyle w:val="a3"/>
        <w:rPr>
          <w:kern w:val="0"/>
        </w:rPr>
      </w:pPr>
      <w:r>
        <w:rPr>
          <w:kern w:val="0"/>
        </w:rPr>
        <w:t>Keywords: Acute Disease, Aged, Allocation, Amoxicillin [Administration &amp; Dosage], Analysis, Anti-Bacterial Agents [Administration &amp; Dosage], Antibiotic-Therapy, Authors, Bias, Child, Children, Choice, Citation, Clavulanic Acid [Administration &amp; Dosage], Clinical, Collection, Compliance, Complication, Confidence, Confidence Intervals, Conventional, Criteria, Data, Data Collection, Drug Administration Schedule, Drug Therapy,Combination, Effectiveness, Efficacy, Embase, Epidemiology, Events, Follow-Up, Generation, Groups, Humans, Intervals, Low Risk, Management, Media, Medline, Metaanalysis, Methods, Otitis Media [Drug Therapy], Outcome, Outcomes, Pain, Patient Compliance, Performance, Pharmacodynamics, Pharmacokinetics, Quality, Randomised, Randomised Controlled Trials, Randomized Controlled Trials As Topic, Rates, Recurrent, Reporting, Respiratory-Tract Infections, Review, Risk, Science, Science Citation Index, Search, Selection, Therapy, Treatment, Trial</w:t>
      </w:r>
    </w:p>
    <w:p w:rsidR="00533624" w:rsidRDefault="00533624" w:rsidP="00533624">
      <w:pPr>
        <w:pStyle w:val="a3"/>
        <w:rPr>
          <w:kern w:val="0"/>
        </w:rPr>
      </w:pPr>
      <w:r>
        <w:rPr>
          <w:rFonts w:hint="eastAsia"/>
          <w:kern w:val="0"/>
        </w:rPr>
        <w:t xml:space="preserve">? </w:t>
      </w:r>
      <w:r>
        <w:rPr>
          <w:kern w:val="0"/>
        </w:rPr>
        <w:t>Gurusamy, K.S., Tsochatzis, E., Toon, C.D., Davidson, B.R.</w:t>
      </w:r>
      <w:r w:rsidR="005853A9">
        <w:rPr>
          <w:kern w:val="0"/>
        </w:rPr>
        <w:t xml:space="preserve"> and </w:t>
      </w:r>
      <w:r>
        <w:rPr>
          <w:kern w:val="0"/>
        </w:rPr>
        <w:t>Burroughs, A.K. (2013), Antiviral prophylaxis for the prevention</w:t>
      </w:r>
      <w:r w:rsidR="00427468">
        <w:rPr>
          <w:kern w:val="0"/>
        </w:rPr>
        <w:t xml:space="preserve"> of </w:t>
      </w:r>
      <w:r>
        <w:rPr>
          <w:kern w:val="0"/>
        </w:rPr>
        <w:t xml:space="preserve">chronic hepatitis C virus in patients undergoing liver transplantation.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CD006573</w:t>
      </w:r>
      <w:r>
        <w:rPr>
          <w:kern w:val="0"/>
        </w:rPr>
        <w:t>.</w:t>
      </w:r>
    </w:p>
    <w:p w:rsidR="00533624" w:rsidRDefault="00533624" w:rsidP="00533624">
      <w:pPr>
        <w:pStyle w:val="a3"/>
        <w:rPr>
          <w:kern w:val="2"/>
        </w:rPr>
      </w:pPr>
      <w:r>
        <w:t xml:space="preserve">Full Text: 2013\Coc Dat Sys Rev2013, </w:t>
      </w:r>
      <w:r w:rsidRPr="007F1AEF">
        <w:rPr>
          <w:kern w:val="0"/>
        </w:rPr>
        <w:t>CD006573</w:t>
      </w:r>
      <w:r>
        <w:t>.pdf</w:t>
      </w:r>
    </w:p>
    <w:p w:rsidR="00533624" w:rsidRDefault="00533624" w:rsidP="00533624">
      <w:pPr>
        <w:pStyle w:val="a3"/>
        <w:rPr>
          <w:kern w:val="0"/>
        </w:rPr>
      </w:pPr>
      <w:r>
        <w:rPr>
          <w:kern w:val="0"/>
        </w:rPr>
        <w:t>Abstract: Background It is not clear whether prophylactic antiviral therapy is indicated to improve patient</w:t>
      </w:r>
      <w:r w:rsidR="005853A9">
        <w:rPr>
          <w:kern w:val="0"/>
        </w:rPr>
        <w:t xml:space="preserve"> and </w:t>
      </w:r>
      <w:r>
        <w:rPr>
          <w:kern w:val="0"/>
        </w:rPr>
        <w:t>graft survival in patients undergoing liver transplantation for chronic decompensated hepatitis C virus (HCV) infection. Objectives To compare the benefits</w:t>
      </w:r>
      <w:r w:rsidR="005853A9">
        <w:rPr>
          <w:kern w:val="0"/>
        </w:rPr>
        <w:t xml:space="preserve"> and </w:t>
      </w:r>
      <w:r>
        <w:rPr>
          <w:kern w:val="0"/>
        </w:rPr>
        <w:t>harms</w:t>
      </w:r>
      <w:r w:rsidR="00427468">
        <w:rPr>
          <w:kern w:val="0"/>
        </w:rPr>
        <w:t xml:space="preserve"> of </w:t>
      </w:r>
      <w:r>
        <w:rPr>
          <w:kern w:val="0"/>
        </w:rPr>
        <w:t>different prophylactic antiviral therapies for patients undergoing liver transplantation for chronic HCV infection. Search methods We searched the Cochrane Central Register</w:t>
      </w:r>
      <w:r w:rsidR="00427468">
        <w:rPr>
          <w:kern w:val="0"/>
        </w:rPr>
        <w:t xml:space="preserve"> of </w:t>
      </w:r>
      <w:r>
        <w:rPr>
          <w:kern w:val="0"/>
        </w:rPr>
        <w:t>Controlled Trials (CENTRAL; Issue 1, 2013), MEDLINE, EMBASE,</w:t>
      </w:r>
      <w:r w:rsidR="005853A9">
        <w:rPr>
          <w:kern w:val="0"/>
        </w:rPr>
        <w:t xml:space="preserve"> and </w:t>
      </w:r>
      <w:r>
        <w:rPr>
          <w:kern w:val="0"/>
        </w:rPr>
        <w:t>Science Citation Index Expanded to February 2013. Selection criteria Only randomised clinical trials irrespective</w:t>
      </w:r>
      <w:r w:rsidR="00427468">
        <w:rPr>
          <w:kern w:val="0"/>
        </w:rPr>
        <w:t xml:space="preserve"> of </w:t>
      </w:r>
      <w:r>
        <w:rPr>
          <w:kern w:val="0"/>
        </w:rPr>
        <w:t>language, blinding, or publication status</w:t>
      </w:r>
      <w:r w:rsidR="005853A9">
        <w:rPr>
          <w:kern w:val="0"/>
        </w:rPr>
        <w:t xml:space="preserve"> and </w:t>
      </w:r>
      <w:r>
        <w:rPr>
          <w:kern w:val="0"/>
        </w:rPr>
        <w:t>comparing various prophylactic antiviral therapies (alone or in combination) in the prophylactic treatment</w:t>
      </w:r>
      <w:r w:rsidR="00427468">
        <w:rPr>
          <w:kern w:val="0"/>
        </w:rPr>
        <w:t xml:space="preserve"> of </w:t>
      </w:r>
      <w:r>
        <w:rPr>
          <w:kern w:val="0"/>
        </w:rPr>
        <w:t>patients undergoing liver transplantation for chronic HCV infection. Data collection</w:t>
      </w:r>
      <w:r w:rsidR="005853A9">
        <w:rPr>
          <w:kern w:val="0"/>
        </w:rPr>
        <w:t xml:space="preserve"> and </w:t>
      </w:r>
      <w:r>
        <w:rPr>
          <w:kern w:val="0"/>
        </w:rPr>
        <w:t>analysis Two authors collected the data independently. We calculated the risk ratio (RR) or mean difference (MD) or hazard ratio (HR) with 95% confidence intervals (CI) using the fixed-effect</w:t>
      </w:r>
      <w:r w:rsidR="005853A9">
        <w:rPr>
          <w:kern w:val="0"/>
        </w:rPr>
        <w:t xml:space="preserve"> and </w:t>
      </w:r>
      <w:r>
        <w:rPr>
          <w:kern w:val="0"/>
        </w:rPr>
        <w:t>the random-effects models based on available case analysis. Main results A total</w:t>
      </w:r>
      <w:r w:rsidR="00427468">
        <w:rPr>
          <w:kern w:val="0"/>
        </w:rPr>
        <w:t xml:space="preserve"> of </w:t>
      </w:r>
      <w:r>
        <w:rPr>
          <w:kern w:val="0"/>
        </w:rPr>
        <w:t>501 liver transplant recipients undergoing liver transplantation for chronic HCV infection were randomised in 12 trials to various experimental interventions</w:t>
      </w:r>
      <w:r w:rsidR="005853A9">
        <w:rPr>
          <w:kern w:val="0"/>
        </w:rPr>
        <w:t xml:space="preserve"> and </w:t>
      </w:r>
      <w:r>
        <w:rPr>
          <w:kern w:val="0"/>
        </w:rPr>
        <w:t>control interventions</w:t>
      </w:r>
      <w:r w:rsidR="00A37C1D">
        <w:rPr>
          <w:kern w:val="0"/>
        </w:rPr>
        <w:t>. The</w:t>
      </w:r>
      <w:r>
        <w:rPr>
          <w:kern w:val="0"/>
        </w:rPr>
        <w:t xml:space="preserve"> proportion</w:t>
      </w:r>
      <w:r w:rsidR="00427468">
        <w:rPr>
          <w:kern w:val="0"/>
        </w:rPr>
        <w:t xml:space="preserve"> of </w:t>
      </w:r>
      <w:r>
        <w:rPr>
          <w:kern w:val="0"/>
        </w:rPr>
        <w:t>genotype I varied between 49%</w:t>
      </w:r>
      <w:r w:rsidR="005853A9">
        <w:rPr>
          <w:kern w:val="0"/>
        </w:rPr>
        <w:t xml:space="preserve"> and </w:t>
      </w:r>
      <w:r>
        <w:rPr>
          <w:kern w:val="0"/>
        </w:rPr>
        <w:t>100% in the seven trials that reported the genotype. Only one or two trials were included under each comparison. All the trials were</w:t>
      </w:r>
      <w:r w:rsidR="00427468">
        <w:rPr>
          <w:kern w:val="0"/>
        </w:rPr>
        <w:t xml:space="preserve"> of </w:t>
      </w:r>
      <w:r>
        <w:rPr>
          <w:kern w:val="0"/>
        </w:rPr>
        <w:t>high risk</w:t>
      </w:r>
      <w:r w:rsidR="00427468">
        <w:rPr>
          <w:kern w:val="0"/>
        </w:rPr>
        <w:t xml:space="preserve"> of </w:t>
      </w:r>
      <w:r>
        <w:rPr>
          <w:kern w:val="0"/>
        </w:rPr>
        <w:t>bias. Ten trials including 441 liver transplant recipients provided data for this review</w:t>
      </w:r>
      <w:r w:rsidR="00A37C1D">
        <w:rPr>
          <w:kern w:val="0"/>
        </w:rPr>
        <w:t>. The</w:t>
      </w:r>
      <w:r>
        <w:rPr>
          <w:kern w:val="0"/>
        </w:rPr>
        <w:t xml:space="preserve">re </w:t>
      </w:r>
      <w:r>
        <w:rPr>
          <w:kern w:val="0"/>
        </w:rPr>
        <w:lastRenderedPageBreak/>
        <w:t>were no significant differences in the 90-day mortality (1 trial; 81 participants; 5/35 (adjusted proportion: 14.2%) in interferon group versus 5/46 (10.9%) in control group; RR 1.31; 95% CI 0.41 to 4.19); mortality at maximal follow-up (2 trials; 105 participants; 7/47 (adjusted proportion: 14.8%) in interferon group versus 10/58 (17.2%) in control group; RR 0.86; 95% CI 0.36 to 2.08); long-term mortality (1 trial; 81 participants; HR 0.45; 95% CI 0.13 to 1.56); mortality at maximal follow-up (1 trial; 54 participants; 1/26 (3.9%) in pegylated interferon group versus 2/28 (7.1%) in control group; RR 0.54; 95% CI 0.05 to 5.59); 90-day mortality (1 trial; 115 participants; 5/55 (9.1%) in pegylated interferon plus ribavirin group versus 3/60 (5.0%) in control group; RR 1.82; 95% 0.46 to 7.25); 90-day mortality (3 trials; 53 participants; 3/37 (adjusted proportion: 4.3%) in HCV antibody group versus 1/16 (6.3%) in placebo group; RR 0.69; 95% CI 0.15 to 3.11); or 90-day mortality (2 trials; 31 participants; 2/14 (adjusted proportion: 16.2%) in HCV antibody high-dose group versus 1/17 (5.9%) in HCV antibody low-dose group; RR 2.75; 95% CI; 0.30 to 25.35)</w:t>
      </w:r>
      <w:r w:rsidR="00A37C1D">
        <w:rPr>
          <w:kern w:val="0"/>
        </w:rPr>
        <w:t>. The</w:t>
      </w:r>
      <w:r>
        <w:rPr>
          <w:kern w:val="0"/>
        </w:rPr>
        <w:t>re were no significant differences in the retransplantation at maximal follow-up (2 trials; 105 participants; 2/47 (adjusted proportion: 4.0%) in interferon group versus 2/58 (3.4%) in control group; RR 1.17; 95% CI 0.22 to 6.2); 90-day retransplantation (1 trial; 18 participants; 1/12 (8.3%) in HCV antibody group versus 0/6 (0%) in control group; RR 1.71; 95% CI 0.09 to 32.93); or 90-day retransplantation (1 trial; 12 participants; 1/6 (17.7%) in HCV antibody high-dose group versus 0/6 (0%) in HCV antibody low-dose group; RR 3.00; 95% CI 0.15 to 61.74)</w:t>
      </w:r>
      <w:r w:rsidR="00A37C1D">
        <w:rPr>
          <w:kern w:val="0"/>
        </w:rPr>
        <w:t>. The</w:t>
      </w:r>
      <w:r>
        <w:rPr>
          <w:kern w:val="0"/>
        </w:rPr>
        <w:t>re were no significant differences in serious adverse events, graft rejection, worsening</w:t>
      </w:r>
      <w:r w:rsidR="00427468">
        <w:rPr>
          <w:kern w:val="0"/>
        </w:rPr>
        <w:t xml:space="preserve"> of </w:t>
      </w:r>
      <w:r>
        <w:rPr>
          <w:kern w:val="0"/>
        </w:rPr>
        <w:t>fibrosis, or HCV recurrence between intervention</w:t>
      </w:r>
      <w:r w:rsidR="005853A9">
        <w:rPr>
          <w:kern w:val="0"/>
        </w:rPr>
        <w:t xml:space="preserve"> and </w:t>
      </w:r>
      <w:r>
        <w:rPr>
          <w:kern w:val="0"/>
        </w:rPr>
        <w:t>control groups in any</w:t>
      </w:r>
      <w:r w:rsidR="00427468">
        <w:rPr>
          <w:kern w:val="0"/>
        </w:rPr>
        <w:t xml:space="preserve"> of </w:t>
      </w:r>
      <w:r>
        <w:rPr>
          <w:kern w:val="0"/>
        </w:rPr>
        <w:t>the comparisons that reported these outcomes. None</w:t>
      </w:r>
      <w:r w:rsidR="00427468">
        <w:rPr>
          <w:kern w:val="0"/>
        </w:rPr>
        <w:t xml:space="preserve"> of </w:t>
      </w:r>
      <w:r>
        <w:rPr>
          <w:kern w:val="0"/>
        </w:rPr>
        <w:t>the trials reported quality</w:t>
      </w:r>
      <w:r w:rsidR="00427468">
        <w:rPr>
          <w:kern w:val="0"/>
        </w:rPr>
        <w:t xml:space="preserve"> of </w:t>
      </w:r>
      <w:r>
        <w:rPr>
          <w:kern w:val="0"/>
        </w:rPr>
        <w:t>life, liver decompensation, intensive therapy unit stay, or hospital stay. Life-threatening adverse events were not reported in either group in any</w:t>
      </w:r>
      <w:r w:rsidR="00427468">
        <w:rPr>
          <w:kern w:val="0"/>
        </w:rPr>
        <w:t xml:space="preserve"> of </w:t>
      </w:r>
      <w:r>
        <w:rPr>
          <w:kern w:val="0"/>
        </w:rPr>
        <w:t>the comparisons. Authors</w:t>
      </w:r>
      <w:r w:rsidR="0071223E">
        <w:rPr>
          <w:kern w:val="0"/>
        </w:rPr>
        <w:t>’</w:t>
      </w:r>
      <w:r>
        <w:rPr>
          <w:kern w:val="0"/>
        </w:rPr>
        <w:t xml:space="preserve"> conclusions There is currently no evidence to recommend prophylactic antiviral treatment to prevent recurrence</w:t>
      </w:r>
      <w:r w:rsidR="00427468">
        <w:rPr>
          <w:kern w:val="0"/>
        </w:rPr>
        <w:t xml:space="preserve"> of </w:t>
      </w:r>
      <w:r>
        <w:rPr>
          <w:kern w:val="0"/>
        </w:rPr>
        <w:t>HCV infection either in primary liver transplantation or retransplantation. Further randomised clinical trials with adequate trial methodology</w:t>
      </w:r>
      <w:r w:rsidR="005853A9">
        <w:rPr>
          <w:kern w:val="0"/>
        </w:rPr>
        <w:t xml:space="preserve"> and </w:t>
      </w:r>
      <w:r>
        <w:rPr>
          <w:kern w:val="0"/>
        </w:rPr>
        <w:t>adequate duration</w:t>
      </w:r>
      <w:r w:rsidR="00427468">
        <w:rPr>
          <w:kern w:val="0"/>
        </w:rPr>
        <w:t xml:space="preserve"> of </w:t>
      </w:r>
      <w:r>
        <w:rPr>
          <w:kern w:val="0"/>
        </w:rPr>
        <w:t>follow-up are necessary.</w:t>
      </w:r>
    </w:p>
    <w:p w:rsidR="00533624" w:rsidRDefault="00533624" w:rsidP="00533624">
      <w:pPr>
        <w:pStyle w:val="a3"/>
        <w:rPr>
          <w:kern w:val="0"/>
        </w:rPr>
      </w:pPr>
      <w:r>
        <w:rPr>
          <w:kern w:val="0"/>
        </w:rPr>
        <w:t xml:space="preserve">Keywords: Analysis, Antibody, Antiviral, Antiviral Agents [Adverse Effects, Antiviral Therapy, Authors, Benefits, Bias, Case Analysis, Chronic, Chronic Hepatitis, Citation, Clinical, Clinical Trials, Collection, Combination Therapy, Comparison, Confidence, Confidence Intervals, Control, Control Groups, Criteria, Data, Data Collection, Design Characteristics, Duration, Embase, Empirical-Evidence, Events, Evidence, Experimental, Fibrosis, Follow-Up, Genotype, Graft, Graft Rejection [Epidemiology], Graft Survival, Groups, Hazard, Hcv, Hepacivirus [Genetics], Hepatitis, Hepatitis C, Hepatitis C Virus, Hepatitis C,Chronic [Drug Therapy, High Dose, Hospital, Hospital Stay, Humans, Infected Patients, Infection, Interferon, </w:t>
      </w:r>
      <w:r>
        <w:rPr>
          <w:kern w:val="0"/>
        </w:rPr>
        <w:lastRenderedPageBreak/>
        <w:t>Interferon-Alpha, Interferon-Alpha [Adverse Effects, Intervals, Intervention, Interventions, Language, Life, Liver, Liver Transplantation, Long Term, Long-Term, Low-Dose, Medline, Methodology, Methods, Models, Mortality, Multicenter Trial, Outcomes, Patients, Peginterferon Alpha-2a, Pegylated Interferon, Placebo, Plus Ribavirin, Polyethylene Glycols [Adverse Effects, Prevent, Prevention, Prevention &amp; Control, Primary, Prophylactic, Prophylaxis, Prospective Randomized-Trial, Publication, Quality, Quality Of, Quality</w:t>
      </w:r>
      <w:r w:rsidR="00427468">
        <w:rPr>
          <w:kern w:val="0"/>
        </w:rPr>
        <w:t xml:space="preserve"> of </w:t>
      </w:r>
      <w:r>
        <w:rPr>
          <w:kern w:val="0"/>
        </w:rPr>
        <w:t>Life, Randomised, Recombinant Proteins, Recurrence, Recurrence [Prevention &amp; Control], Rejection, Review, Ribavirin, Ribavirin [Adverse Effects, Risk, Science, Science Citation Index, Science Citation Index Expanded, Search, Sequential-Analysis, Surgery], Survival, Therapeutic Use], Therapy, Transplantation, Treatment, Trial</w:t>
      </w:r>
    </w:p>
    <w:p w:rsidR="00533624" w:rsidRDefault="00533624" w:rsidP="00533624">
      <w:pPr>
        <w:pStyle w:val="a3"/>
        <w:rPr>
          <w:kern w:val="0"/>
        </w:rPr>
      </w:pPr>
      <w:r>
        <w:rPr>
          <w:rFonts w:hint="eastAsia"/>
          <w:kern w:val="0"/>
        </w:rPr>
        <w:t xml:space="preserve">? </w:t>
      </w:r>
      <w:r>
        <w:rPr>
          <w:kern w:val="0"/>
        </w:rPr>
        <w:t>Bradt, J., Dileo, C.</w:t>
      </w:r>
      <w:r w:rsidR="005853A9">
        <w:rPr>
          <w:kern w:val="0"/>
        </w:rPr>
        <w:t xml:space="preserve"> and </w:t>
      </w:r>
      <w:r>
        <w:rPr>
          <w:kern w:val="0"/>
        </w:rPr>
        <w:t>Potvin, N. (2013), Music for stress</w:t>
      </w:r>
      <w:r w:rsidR="005853A9">
        <w:rPr>
          <w:kern w:val="0"/>
        </w:rPr>
        <w:t xml:space="preserve"> and </w:t>
      </w:r>
      <w:r>
        <w:rPr>
          <w:kern w:val="0"/>
        </w:rPr>
        <w:t xml:space="preserve">anxiety reduction in coronary heart disease patients.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CD006577</w:t>
      </w:r>
      <w:r>
        <w:rPr>
          <w:kern w:val="0"/>
        </w:rPr>
        <w:t>.</w:t>
      </w:r>
    </w:p>
    <w:p w:rsidR="00533624" w:rsidRDefault="00533624" w:rsidP="00533624">
      <w:pPr>
        <w:pStyle w:val="a3"/>
        <w:rPr>
          <w:kern w:val="2"/>
        </w:rPr>
      </w:pPr>
      <w:r>
        <w:t xml:space="preserve">Full Text: 2013\Coc Dat Sys Rev2013, </w:t>
      </w:r>
      <w:r w:rsidRPr="007F1AEF">
        <w:rPr>
          <w:kern w:val="0"/>
        </w:rPr>
        <w:t>CD006577</w:t>
      </w:r>
      <w:r>
        <w:t>.pdf</w:t>
      </w:r>
    </w:p>
    <w:p w:rsidR="00533624" w:rsidRDefault="00533624" w:rsidP="00533624">
      <w:pPr>
        <w:pStyle w:val="a3"/>
        <w:rPr>
          <w:kern w:val="0"/>
        </w:rPr>
      </w:pPr>
      <w:r>
        <w:rPr>
          <w:kern w:val="0"/>
        </w:rPr>
        <w:t>Abstract: Background Individuals with coronary heart disease (CHD) often suffer from severe distress due to diagnosis, hospitalization, surgical procedures, uncertainty</w:t>
      </w:r>
      <w:r w:rsidR="00427468">
        <w:rPr>
          <w:kern w:val="0"/>
        </w:rPr>
        <w:t xml:space="preserve"> of </w:t>
      </w:r>
      <w:r>
        <w:rPr>
          <w:kern w:val="0"/>
        </w:rPr>
        <w:t>outcome, fear</w:t>
      </w:r>
      <w:r w:rsidR="00427468">
        <w:rPr>
          <w:kern w:val="0"/>
        </w:rPr>
        <w:t xml:space="preserve"> of </w:t>
      </w:r>
      <w:r>
        <w:rPr>
          <w:kern w:val="0"/>
        </w:rPr>
        <w:t>dying, doubts about progress in recovery, helplessness</w:t>
      </w:r>
      <w:r w:rsidR="005853A9">
        <w:rPr>
          <w:kern w:val="0"/>
        </w:rPr>
        <w:t xml:space="preserve"> and </w:t>
      </w:r>
      <w:r>
        <w:rPr>
          <w:kern w:val="0"/>
        </w:rPr>
        <w:t>loss</w:t>
      </w:r>
      <w:r w:rsidR="00427468">
        <w:rPr>
          <w:kern w:val="0"/>
        </w:rPr>
        <w:t xml:space="preserve"> of </w:t>
      </w:r>
      <w:r>
        <w:rPr>
          <w:kern w:val="0"/>
        </w:rPr>
        <w:t>control. Such adverse effects put the cardiac patient at greater risk for complications, including sudden cardiac death. It is therefore</w:t>
      </w:r>
      <w:r w:rsidR="00427468">
        <w:rPr>
          <w:kern w:val="0"/>
        </w:rPr>
        <w:t xml:space="preserve"> of </w:t>
      </w:r>
      <w:r>
        <w:rPr>
          <w:kern w:val="0"/>
        </w:rPr>
        <w:t>crucial importance that the care</w:t>
      </w:r>
      <w:r w:rsidR="00427468">
        <w:rPr>
          <w:kern w:val="0"/>
        </w:rPr>
        <w:t xml:space="preserve"> of </w:t>
      </w:r>
      <w:r>
        <w:rPr>
          <w:kern w:val="0"/>
        </w:rPr>
        <w:t>people with CHD focuses on psychological as well as physiological needs. Music interventions have been used to reduce anxiety</w:t>
      </w:r>
      <w:r w:rsidR="005853A9">
        <w:rPr>
          <w:kern w:val="0"/>
        </w:rPr>
        <w:t xml:space="preserve"> and </w:t>
      </w:r>
      <w:r>
        <w:rPr>
          <w:kern w:val="0"/>
        </w:rPr>
        <w:t>distress</w:t>
      </w:r>
      <w:r w:rsidR="005853A9">
        <w:rPr>
          <w:kern w:val="0"/>
        </w:rPr>
        <w:t xml:space="preserve"> and </w:t>
      </w:r>
      <w:r>
        <w:rPr>
          <w:kern w:val="0"/>
        </w:rPr>
        <w:t>improve physiological functioning in medical patients; however its efficacy for people with CHD needs to be evaluated. Objectives To update the previously published review that examined the effects</w:t>
      </w:r>
      <w:r w:rsidR="00427468">
        <w:rPr>
          <w:kern w:val="0"/>
        </w:rPr>
        <w:t xml:space="preserve"> of </w:t>
      </w:r>
      <w:r>
        <w:rPr>
          <w:kern w:val="0"/>
        </w:rPr>
        <w:t>music interventions with standard care versus standard care alone on psychological</w:t>
      </w:r>
      <w:r w:rsidR="005853A9">
        <w:rPr>
          <w:kern w:val="0"/>
        </w:rPr>
        <w:t xml:space="preserve"> and </w:t>
      </w:r>
      <w:r>
        <w:rPr>
          <w:kern w:val="0"/>
        </w:rPr>
        <w:t>physiological responses in persons with CHD. Search methods We searched the Cochrane Central Register</w:t>
      </w:r>
      <w:r w:rsidR="00427468">
        <w:rPr>
          <w:kern w:val="0"/>
        </w:rPr>
        <w:t xml:space="preserve"> of </w:t>
      </w:r>
      <w:r>
        <w:rPr>
          <w:kern w:val="0"/>
        </w:rPr>
        <w:t>Controlled Trials (CENTRAL) on The Cochrane Library (2012, Issue 10), MEDLINE (OvidSP, 1950 to October week 4 2012), EMBASE (OvidSP, 1974 to October week 5 2012), CINAHL (EBSCOhost, 1982 to 9 November 2012), PsycINFO (OvidSP, 1806 to October week 5 2012), LILACS (Virtual Health Library, 1982 to 15 November 2012), Social Science Citation Index (ISI, 1974 to 9 November 2012), a number</w:t>
      </w:r>
      <w:r w:rsidR="00427468">
        <w:rPr>
          <w:kern w:val="0"/>
        </w:rPr>
        <w:t xml:space="preserve"> of </w:t>
      </w:r>
      <w:r>
        <w:rPr>
          <w:kern w:val="0"/>
        </w:rPr>
        <w:t>other databases,</w:t>
      </w:r>
      <w:r w:rsidR="005853A9">
        <w:rPr>
          <w:kern w:val="0"/>
        </w:rPr>
        <w:t xml:space="preserve"> and </w:t>
      </w:r>
      <w:r>
        <w:rPr>
          <w:kern w:val="0"/>
        </w:rPr>
        <w:t>clinical trial registers. We also conducted handsearching</w:t>
      </w:r>
      <w:r w:rsidR="00427468">
        <w:rPr>
          <w:kern w:val="0"/>
        </w:rPr>
        <w:t xml:space="preserve"> of </w:t>
      </w:r>
      <w:r>
        <w:rPr>
          <w:kern w:val="0"/>
        </w:rPr>
        <w:t>journals</w:t>
      </w:r>
      <w:r w:rsidR="005853A9">
        <w:rPr>
          <w:kern w:val="0"/>
        </w:rPr>
        <w:t xml:space="preserve"> and </w:t>
      </w:r>
      <w:r>
        <w:rPr>
          <w:kern w:val="0"/>
        </w:rPr>
        <w:t>reference lists. We applied no language restrictions. Selection criteria We included all randomized controlled trials</w:t>
      </w:r>
      <w:r w:rsidR="005853A9">
        <w:rPr>
          <w:kern w:val="0"/>
        </w:rPr>
        <w:t xml:space="preserve"> and </w:t>
      </w:r>
      <w:r>
        <w:rPr>
          <w:kern w:val="0"/>
        </w:rPr>
        <w:t>quasi-randomized trials that compared music interventions</w:t>
      </w:r>
      <w:r w:rsidR="005853A9">
        <w:rPr>
          <w:kern w:val="0"/>
        </w:rPr>
        <w:t xml:space="preserve"> and </w:t>
      </w:r>
      <w:r>
        <w:rPr>
          <w:kern w:val="0"/>
        </w:rPr>
        <w:t>standard care with standard care alone for persons with confirmed CHD. Data collection</w:t>
      </w:r>
      <w:r w:rsidR="005853A9">
        <w:rPr>
          <w:kern w:val="0"/>
        </w:rPr>
        <w:t xml:space="preserve"> and </w:t>
      </w:r>
      <w:r>
        <w:rPr>
          <w:kern w:val="0"/>
        </w:rPr>
        <w:t>analysis Two review authors independently extracted data</w:t>
      </w:r>
      <w:r w:rsidR="005853A9">
        <w:rPr>
          <w:kern w:val="0"/>
        </w:rPr>
        <w:t xml:space="preserve"> and </w:t>
      </w:r>
      <w:r>
        <w:rPr>
          <w:kern w:val="0"/>
        </w:rPr>
        <w:t xml:space="preserve">assessed methodological quality, seeking additional information from the trial researchers when necessary. We present results using </w:t>
      </w:r>
      <w:r>
        <w:rPr>
          <w:kern w:val="0"/>
        </w:rPr>
        <w:lastRenderedPageBreak/>
        <w:t>weighted mean differences for outcomes measured by the same scale,</w:t>
      </w:r>
      <w:r w:rsidR="005853A9">
        <w:rPr>
          <w:kern w:val="0"/>
        </w:rPr>
        <w:t xml:space="preserve"> and </w:t>
      </w:r>
      <w:r>
        <w:rPr>
          <w:kern w:val="0"/>
        </w:rPr>
        <w:t>standardized mean differences for outcomes measured by different scales. We used post-intervention scores. in cases</w:t>
      </w:r>
      <w:r w:rsidR="00427468">
        <w:rPr>
          <w:kern w:val="0"/>
        </w:rPr>
        <w:t xml:space="preserve"> of </w:t>
      </w:r>
      <w:r>
        <w:rPr>
          <w:kern w:val="0"/>
        </w:rPr>
        <w:t>significant baseline difference, we used change scores (changes from baseline). Main results We identified four new trials for this update. in total, the evidence for this review rests on 26 trials (1369 participants). Listening to music was the main intervention used,</w:t>
      </w:r>
      <w:r w:rsidR="005853A9">
        <w:rPr>
          <w:kern w:val="0"/>
        </w:rPr>
        <w:t xml:space="preserve"> and </w:t>
      </w:r>
      <w:r>
        <w:rPr>
          <w:kern w:val="0"/>
        </w:rPr>
        <w:t>23</w:t>
      </w:r>
      <w:r w:rsidR="00427468">
        <w:rPr>
          <w:kern w:val="0"/>
        </w:rPr>
        <w:t xml:space="preserve"> of </w:t>
      </w:r>
      <w:r>
        <w:rPr>
          <w:kern w:val="0"/>
        </w:rPr>
        <w:t>the studies did not include a trained music therapist. Results indicate that music interventions have a small beneficial effect on psychological distress in people with CHD</w:t>
      </w:r>
      <w:r w:rsidR="005853A9">
        <w:rPr>
          <w:kern w:val="0"/>
        </w:rPr>
        <w:t xml:space="preserve"> and </w:t>
      </w:r>
      <w:r>
        <w:rPr>
          <w:kern w:val="0"/>
        </w:rPr>
        <w:t>this effect is consistent across studies (MD = -1.26, 95% CI -2.30 to -0.22, P = 0.02, I-2 = 0%). Listening to music has a moderate effect on anxiety in people with CHD; however results were inconsistent across studies (SMD = -0.70, 95% CI -1.17 to -0.22, P = 0.004, I-2 = 77%). Studies that used music interventions in people with myocardial infarction found more consistent anxiety-reducing effects</w:t>
      </w:r>
      <w:r w:rsidR="00427468">
        <w:rPr>
          <w:kern w:val="0"/>
        </w:rPr>
        <w:t xml:space="preserve"> of </w:t>
      </w:r>
      <w:r>
        <w:rPr>
          <w:kern w:val="0"/>
        </w:rPr>
        <w:t>music, with an average anxiety reduction</w:t>
      </w:r>
      <w:r w:rsidR="00427468">
        <w:rPr>
          <w:kern w:val="0"/>
        </w:rPr>
        <w:t xml:space="preserve"> of </w:t>
      </w:r>
      <w:r>
        <w:rPr>
          <w:kern w:val="0"/>
        </w:rPr>
        <w:t>5.87 units on a 20 to 80 point score range (95% CI -7.99 to -3.75, P &lt; 0.00001, I-2 = 53%). Furthermore, studies that used patient-selected music resulted in greater anxiety-reducing effects that were consistent across studies (SMD = -0.89, 95% CI -1.42 to -0.36, P = 0.001, I-2 = 48%). Findings indicate that listening to music reduces heart rate (MD = -3.40, 95% CI -6.12 to -0.69, P = 0.01), respiratory rate (MD = -2.50, 95% CI -3.61 to -1.39, P &lt; 0.00001)</w:t>
      </w:r>
      <w:r w:rsidR="005853A9">
        <w:rPr>
          <w:kern w:val="0"/>
        </w:rPr>
        <w:t xml:space="preserve"> and </w:t>
      </w:r>
      <w:r>
        <w:rPr>
          <w:kern w:val="0"/>
        </w:rPr>
        <w:t>systolic blood pressure (MD = -5.52 mmHg, 95% CI -7.43 to -3.60, P &lt; 0.00001). Studies that included two or more music sessions led to a small</w:t>
      </w:r>
      <w:r w:rsidR="005853A9">
        <w:rPr>
          <w:kern w:val="0"/>
        </w:rPr>
        <w:t xml:space="preserve"> and </w:t>
      </w:r>
      <w:r>
        <w:rPr>
          <w:kern w:val="0"/>
        </w:rPr>
        <w:t>consistent pain-reducing effect (SMD = -0.27, 95% CI -0.55 to -0.00, P = 0.05)</w:t>
      </w:r>
      <w:r w:rsidR="00A37C1D">
        <w:rPr>
          <w:kern w:val="0"/>
        </w:rPr>
        <w:t>. The</w:t>
      </w:r>
      <w:r>
        <w:rPr>
          <w:kern w:val="0"/>
        </w:rPr>
        <w:t xml:space="preserve"> results also suggest that listening to music may improve patients</w:t>
      </w:r>
      <w:r w:rsidR="0071223E">
        <w:rPr>
          <w:kern w:val="0"/>
        </w:rPr>
        <w:t>’</w:t>
      </w:r>
      <w:r>
        <w:rPr>
          <w:kern w:val="0"/>
        </w:rPr>
        <w:t xml:space="preserve"> quality</w:t>
      </w:r>
      <w:r w:rsidR="00427468">
        <w:rPr>
          <w:kern w:val="0"/>
        </w:rPr>
        <w:t xml:space="preserve"> of </w:t>
      </w:r>
      <w:r>
        <w:rPr>
          <w:kern w:val="0"/>
        </w:rPr>
        <w:t>sleep following a cardiac procedure or surgery (SMD = 0.91, 95% CI 0.03 to 1.79, P = 0.04). We found no strong evidence for heart rate variability</w:t>
      </w:r>
      <w:r w:rsidR="005853A9">
        <w:rPr>
          <w:kern w:val="0"/>
        </w:rPr>
        <w:t xml:space="preserve"> and </w:t>
      </w:r>
      <w:r>
        <w:rPr>
          <w:kern w:val="0"/>
        </w:rPr>
        <w:t>depression. Only one study considered hormone levels</w:t>
      </w:r>
      <w:r w:rsidR="005853A9">
        <w:rPr>
          <w:kern w:val="0"/>
        </w:rPr>
        <w:t xml:space="preserve"> and </w:t>
      </w:r>
      <w:r>
        <w:rPr>
          <w:kern w:val="0"/>
        </w:rPr>
        <w:t>quality</w:t>
      </w:r>
      <w:r w:rsidR="00427468">
        <w:rPr>
          <w:kern w:val="0"/>
        </w:rPr>
        <w:t xml:space="preserve"> of </w:t>
      </w:r>
      <w:r>
        <w:rPr>
          <w:kern w:val="0"/>
        </w:rPr>
        <w:t>life as an outcome variable. A small number</w:t>
      </w:r>
      <w:r w:rsidR="00427468">
        <w:rPr>
          <w:kern w:val="0"/>
        </w:rPr>
        <w:t xml:space="preserve"> of </w:t>
      </w:r>
      <w:r>
        <w:rPr>
          <w:kern w:val="0"/>
        </w:rPr>
        <w:t>studies pointed to a possible beneficial effect</w:t>
      </w:r>
      <w:r w:rsidR="00427468">
        <w:rPr>
          <w:kern w:val="0"/>
        </w:rPr>
        <w:t xml:space="preserve"> of </w:t>
      </w:r>
      <w:r>
        <w:rPr>
          <w:kern w:val="0"/>
        </w:rPr>
        <w:t>music on opioid intake after cardiac procedures or surgery, but more research is needed to strengthen this evidence. Authors</w:t>
      </w:r>
      <w:r w:rsidR="0071223E">
        <w:rPr>
          <w:kern w:val="0"/>
        </w:rPr>
        <w:t>’</w:t>
      </w:r>
      <w:r>
        <w:rPr>
          <w:kern w:val="0"/>
        </w:rPr>
        <w:t xml:space="preserve"> conclusions This systematic review indicates that listening to music may have a beneficial effect on anxiety in persons with CHD, especially those with a myocardial infarction. Anxiety-reducing effects appear to be greatest when people are given a choice</w:t>
      </w:r>
      <w:r w:rsidR="00427468">
        <w:rPr>
          <w:kern w:val="0"/>
        </w:rPr>
        <w:t xml:space="preserve"> of </w:t>
      </w:r>
      <w:r>
        <w:rPr>
          <w:kern w:val="0"/>
        </w:rPr>
        <w:t>which music to listen to. Furthermore, listening to music may have a beneficial effect on systolic blood pressure, heart rate, respiratory rate, quality</w:t>
      </w:r>
      <w:r w:rsidR="00427468">
        <w:rPr>
          <w:kern w:val="0"/>
        </w:rPr>
        <w:t xml:space="preserve"> of </w:t>
      </w:r>
      <w:r>
        <w:rPr>
          <w:kern w:val="0"/>
        </w:rPr>
        <w:t>sleep</w:t>
      </w:r>
      <w:r w:rsidR="005853A9">
        <w:rPr>
          <w:kern w:val="0"/>
        </w:rPr>
        <w:t xml:space="preserve"> and </w:t>
      </w:r>
      <w:r>
        <w:rPr>
          <w:kern w:val="0"/>
        </w:rPr>
        <w:t>pain in persons with CHD. However, the clinical significance</w:t>
      </w:r>
      <w:r w:rsidR="00427468">
        <w:rPr>
          <w:kern w:val="0"/>
        </w:rPr>
        <w:t xml:space="preserve"> of </w:t>
      </w:r>
      <w:r>
        <w:rPr>
          <w:kern w:val="0"/>
        </w:rPr>
        <w:t>these findings is unclear. Since many</w:t>
      </w:r>
      <w:r w:rsidR="00427468">
        <w:rPr>
          <w:kern w:val="0"/>
        </w:rPr>
        <w:t xml:space="preserve"> of </w:t>
      </w:r>
      <w:r>
        <w:rPr>
          <w:kern w:val="0"/>
        </w:rPr>
        <w:t>the studies are at high risk</w:t>
      </w:r>
      <w:r w:rsidR="00427468">
        <w:rPr>
          <w:kern w:val="0"/>
        </w:rPr>
        <w:t xml:space="preserve"> of </w:t>
      </w:r>
      <w:r>
        <w:rPr>
          <w:kern w:val="0"/>
        </w:rPr>
        <w:t>bias, these findings need to be interpreted with caution. More research is needed into the effects</w:t>
      </w:r>
      <w:r w:rsidR="00427468">
        <w:rPr>
          <w:kern w:val="0"/>
        </w:rPr>
        <w:t xml:space="preserve"> of </w:t>
      </w:r>
      <w:r>
        <w:rPr>
          <w:kern w:val="0"/>
        </w:rPr>
        <w:t>music interventions offered by a trained music therapist.</w:t>
      </w:r>
    </w:p>
    <w:p w:rsidR="00533624" w:rsidRDefault="00533624" w:rsidP="00533624">
      <w:pPr>
        <w:pStyle w:val="a3"/>
        <w:rPr>
          <w:kern w:val="0"/>
        </w:rPr>
      </w:pPr>
      <w:r>
        <w:rPr>
          <w:kern w:val="0"/>
        </w:rPr>
        <w:t xml:space="preserve">Keywords: Adverse Effects, Analysis, Angiographic Procedures, Anxiety, Anxiety [Therapy], Authors, Bias, Blood, Blood Pressure, Blood Pressure [Physiology], </w:t>
      </w:r>
      <w:r>
        <w:rPr>
          <w:kern w:val="0"/>
        </w:rPr>
        <w:lastRenderedPageBreak/>
        <w:t>C-Clamp Procedure, Cardiac Rehabilitation, Care, Care Unit, Changes, Choice, Citation, Clinical, Clinical Trial, Collection, Complications, Control, Coronary Disease [Psychology], Criteria, Data, Data Collection, Databases, Death, Depression, Diagnosis, Disease, Distress, Dying, Effects, Efficacy, Embase, Evidence, Fear, Health, Heart, Heart Rate, Heart Rate Variability, Heart Rate [Physiology], Hospitalization, Humans, Infarction, Information, Intervention, Interventions, Isi, Journals, Language, Life, Medical, Medline, Methods, Music Therapy, Myocardial Infarction, Needs, Opioid, Outcome, Outcomes, P, Pain, Patients, Physiological-Responses, Pressure, Procedure, Procedures, Progress, Psychological, Psychological Distress, Psychological Outcomes, Psycinfo, Quality, Quality Of, Quality</w:t>
      </w:r>
      <w:r w:rsidR="00427468">
        <w:rPr>
          <w:kern w:val="0"/>
        </w:rPr>
        <w:t xml:space="preserve"> of </w:t>
      </w:r>
      <w:r>
        <w:rPr>
          <w:kern w:val="0"/>
        </w:rPr>
        <w:t>Life, Randomized, Randomized Controlled Trials, Randomized Controlled Trials As Topic, Randomized Controlled-Trial, Recovery, Reduction, Reference, Reference Lists, Research, Respiratory Mechanics [Physiology], Restrictions, Results, Review, Risk, Scale, Scales, Science, Science Citation Index, Search, Significance, Sleep, Small, Social Science Citation Index, Standard, Stress, Stress,Psychological [Therapy], Surgery, Surgical Procedures, Systematic Review, Therapy, Trial, Uncertainty, Variability</w:t>
      </w:r>
    </w:p>
    <w:p w:rsidR="00533624" w:rsidRDefault="00533624" w:rsidP="00533624">
      <w:pPr>
        <w:pStyle w:val="a3"/>
        <w:rPr>
          <w:kern w:val="0"/>
        </w:rPr>
      </w:pPr>
      <w:r>
        <w:rPr>
          <w:rFonts w:hint="eastAsia"/>
          <w:kern w:val="0"/>
        </w:rPr>
        <w:t xml:space="preserve">? </w:t>
      </w:r>
      <w:r>
        <w:rPr>
          <w:kern w:val="0"/>
        </w:rPr>
        <w:t>Gurusamy, K.S., Tsochatzis, E., Toon, C.D., Xirouchakis, E., Burroughs, A.K.</w:t>
      </w:r>
      <w:r w:rsidR="005853A9">
        <w:rPr>
          <w:kern w:val="0"/>
        </w:rPr>
        <w:t xml:space="preserve"> and </w:t>
      </w:r>
      <w:r>
        <w:rPr>
          <w:kern w:val="0"/>
        </w:rPr>
        <w:t xml:space="preserve">Davidson, B.R. (2013), Antiviral interventions for liver transplant patients with recurrent graft infection due to hepatitis C virus.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CD006803</w:t>
      </w:r>
      <w:r>
        <w:rPr>
          <w:kern w:val="0"/>
        </w:rPr>
        <w:t>.</w:t>
      </w:r>
    </w:p>
    <w:p w:rsidR="00533624" w:rsidRDefault="00533624" w:rsidP="00533624">
      <w:pPr>
        <w:pStyle w:val="a3"/>
        <w:rPr>
          <w:kern w:val="2"/>
        </w:rPr>
      </w:pPr>
      <w:r>
        <w:t xml:space="preserve">Full Text: 2013\Coc Dat Sys Rev2013, </w:t>
      </w:r>
      <w:r w:rsidRPr="007F1AEF">
        <w:rPr>
          <w:kern w:val="0"/>
        </w:rPr>
        <w:t>CD006803</w:t>
      </w:r>
      <w:r>
        <w:t>.pdf</w:t>
      </w:r>
    </w:p>
    <w:p w:rsidR="00533624" w:rsidRDefault="00533624" w:rsidP="00533624">
      <w:pPr>
        <w:pStyle w:val="a3"/>
        <w:rPr>
          <w:kern w:val="0"/>
        </w:rPr>
      </w:pPr>
      <w:r>
        <w:rPr>
          <w:kern w:val="0"/>
        </w:rPr>
        <w:t>Abstract: Background Antiviral therapy for recurrent hepatitis C infection after liver transplantation is controversial due to unresolved balance between benefits</w:t>
      </w:r>
      <w:r w:rsidR="005853A9">
        <w:rPr>
          <w:kern w:val="0"/>
        </w:rPr>
        <w:t xml:space="preserve"> and </w:t>
      </w:r>
      <w:r>
        <w:rPr>
          <w:kern w:val="0"/>
        </w:rPr>
        <w:t>harms. Objectives To compare the therapeutic benefits</w:t>
      </w:r>
      <w:r w:rsidR="005853A9">
        <w:rPr>
          <w:kern w:val="0"/>
        </w:rPr>
        <w:t xml:space="preserve"> and </w:t>
      </w:r>
      <w:r>
        <w:rPr>
          <w:kern w:val="0"/>
        </w:rPr>
        <w:t>harms</w:t>
      </w:r>
      <w:r w:rsidR="00427468">
        <w:rPr>
          <w:kern w:val="0"/>
        </w:rPr>
        <w:t xml:space="preserve"> of </w:t>
      </w:r>
      <w:r>
        <w:rPr>
          <w:kern w:val="0"/>
        </w:rPr>
        <w:t>different antiviral regimens in patients with hepatitis C re-infected grafts after liver transplantation. Search methods We searched the Cochrane Central Register</w:t>
      </w:r>
      <w:r w:rsidR="00427468">
        <w:rPr>
          <w:kern w:val="0"/>
        </w:rPr>
        <w:t xml:space="preserve"> of </w:t>
      </w:r>
      <w:r>
        <w:rPr>
          <w:kern w:val="0"/>
        </w:rPr>
        <w:t>Controlled Trials (CENTRAL; Issue 1, 2013), MEDLINE, EMBASE,</w:t>
      </w:r>
      <w:r w:rsidR="005853A9">
        <w:rPr>
          <w:kern w:val="0"/>
        </w:rPr>
        <w:t xml:space="preserve"> and </w:t>
      </w:r>
      <w:r>
        <w:rPr>
          <w:kern w:val="0"/>
        </w:rPr>
        <w:t>Science Citation Index Expanded to February 2013. Selection criteria We considered only randomised clinical trials (irrespective</w:t>
      </w:r>
      <w:r w:rsidR="00427468">
        <w:rPr>
          <w:kern w:val="0"/>
        </w:rPr>
        <w:t xml:space="preserve"> of </w:t>
      </w:r>
      <w:r>
        <w:rPr>
          <w:kern w:val="0"/>
        </w:rPr>
        <w:t>language, blinding, or publication status) comparing various antiviral therapies (alone or in combination) in the treatment</w:t>
      </w:r>
      <w:r w:rsidR="00427468">
        <w:rPr>
          <w:kern w:val="0"/>
        </w:rPr>
        <w:t xml:space="preserve"> of </w:t>
      </w:r>
      <w:r>
        <w:rPr>
          <w:kern w:val="0"/>
        </w:rPr>
        <w:t>hepatitis C virus recurrence in liver transplantation for the review. Data collection</w:t>
      </w:r>
      <w:r w:rsidR="005853A9">
        <w:rPr>
          <w:kern w:val="0"/>
        </w:rPr>
        <w:t xml:space="preserve"> and </w:t>
      </w:r>
      <w:r>
        <w:rPr>
          <w:kern w:val="0"/>
        </w:rPr>
        <w:t>analysis Two authors collected the data independently. We calculated the risk ratio (RR) or mean difference (MD) with 95% confidence intervals (CI) using the fixed-effect</w:t>
      </w:r>
      <w:r w:rsidR="005853A9">
        <w:rPr>
          <w:kern w:val="0"/>
        </w:rPr>
        <w:t xml:space="preserve"> and </w:t>
      </w:r>
      <w:r>
        <w:rPr>
          <w:kern w:val="0"/>
        </w:rPr>
        <w:t>the random-effects models based on available case-analysis. in the presence</w:t>
      </w:r>
      <w:r w:rsidR="00427468">
        <w:rPr>
          <w:kern w:val="0"/>
        </w:rPr>
        <w:t xml:space="preserve"> of </w:t>
      </w:r>
      <w:r>
        <w:rPr>
          <w:kern w:val="0"/>
        </w:rPr>
        <w:t>only trials for a dichotomous outcome, we performed the Fisher</w:t>
      </w:r>
      <w:r w:rsidR="0071223E">
        <w:rPr>
          <w:kern w:val="0"/>
        </w:rPr>
        <w:t>’</w:t>
      </w:r>
      <w:r>
        <w:rPr>
          <w:kern w:val="0"/>
        </w:rPr>
        <w:t>s exact test. Main results Overall, 17 trials with 736 patients met the inclusion criteria for this review. All trials had high risk</w:t>
      </w:r>
      <w:r w:rsidR="00427468">
        <w:rPr>
          <w:kern w:val="0"/>
        </w:rPr>
        <w:t xml:space="preserve"> of </w:t>
      </w:r>
      <w:r>
        <w:rPr>
          <w:kern w:val="0"/>
        </w:rPr>
        <w:t>bias. Five hundred</w:t>
      </w:r>
      <w:r w:rsidR="005853A9">
        <w:rPr>
          <w:kern w:val="0"/>
        </w:rPr>
        <w:t xml:space="preserve"> and </w:t>
      </w:r>
      <w:r>
        <w:rPr>
          <w:kern w:val="0"/>
        </w:rPr>
        <w:t xml:space="preserve">one patients randomised in 11 trials provided information for various comparisons in this </w:t>
      </w:r>
      <w:r>
        <w:rPr>
          <w:kern w:val="0"/>
        </w:rPr>
        <w:lastRenderedPageBreak/>
        <w:t>systematic review after excluding post-randomisation drop-outs</w:t>
      </w:r>
      <w:r w:rsidR="005853A9">
        <w:rPr>
          <w:kern w:val="0"/>
        </w:rPr>
        <w:t xml:space="preserve"> and </w:t>
      </w:r>
      <w:r>
        <w:rPr>
          <w:kern w:val="0"/>
        </w:rPr>
        <w:t>patients from trials that did not report any</w:t>
      </w:r>
      <w:r w:rsidR="00427468">
        <w:rPr>
          <w:kern w:val="0"/>
        </w:rPr>
        <w:t xml:space="preserve"> of </w:t>
      </w:r>
      <w:r>
        <w:rPr>
          <w:kern w:val="0"/>
        </w:rPr>
        <w:t>the outcomes</w:t>
      </w:r>
      <w:r w:rsidR="00427468">
        <w:rPr>
          <w:kern w:val="0"/>
        </w:rPr>
        <w:t xml:space="preserve"> of </w:t>
      </w:r>
      <w:r>
        <w:rPr>
          <w:kern w:val="0"/>
        </w:rPr>
        <w:t>interest for this review</w:t>
      </w:r>
      <w:r w:rsidR="00A37C1D">
        <w:rPr>
          <w:kern w:val="0"/>
        </w:rPr>
        <w:t>. The</w:t>
      </w:r>
      <w:r>
        <w:rPr>
          <w:kern w:val="0"/>
        </w:rPr>
        <w:t xml:space="preserve"> comparisons for which outcomes were available included pegylated (peg) interferon versus control; peg interferon plus ribavirin versus control; ribavirin plus peg interferon versus peg interferon; peg interferon (1.5 mu g/kg/week) plus ribavirin versus peg interferon (0.5 mu g/kg/week) plus ribavirin; amantadine plus peg interferon plus ribavirin versus peg interferon plus ribavirin; interferon versus control; interferon plus ribavirin versus control; ribavirin versus interferon;</w:t>
      </w:r>
      <w:r w:rsidR="005853A9">
        <w:rPr>
          <w:kern w:val="0"/>
        </w:rPr>
        <w:t xml:space="preserve"> and </w:t>
      </w:r>
      <w:r>
        <w:rPr>
          <w:kern w:val="0"/>
        </w:rPr>
        <w:t>ribavirin versus placebo. Long-term follow-up was not available in these trials</w:t>
      </w:r>
      <w:r w:rsidR="00A37C1D">
        <w:rPr>
          <w:kern w:val="0"/>
        </w:rPr>
        <w:t>. The</w:t>
      </w:r>
      <w:r>
        <w:rPr>
          <w:kern w:val="0"/>
        </w:rPr>
        <w:t>re were no significant differences in mortality, retransplantation, graft rejections requiring retransplantation or medical treatment, or fibrosis worsening between the groups in any</w:t>
      </w:r>
      <w:r w:rsidR="00427468">
        <w:rPr>
          <w:kern w:val="0"/>
        </w:rPr>
        <w:t xml:space="preserve"> of </w:t>
      </w:r>
      <w:r>
        <w:rPr>
          <w:kern w:val="0"/>
        </w:rPr>
        <w:t>the comparisons in which these outcomes were reported. Quality</w:t>
      </w:r>
      <w:r w:rsidR="00427468">
        <w:rPr>
          <w:kern w:val="0"/>
        </w:rPr>
        <w:t xml:space="preserve"> of </w:t>
      </w:r>
      <w:r>
        <w:rPr>
          <w:kern w:val="0"/>
        </w:rPr>
        <w:t>life</w:t>
      </w:r>
      <w:r w:rsidR="005853A9">
        <w:rPr>
          <w:kern w:val="0"/>
        </w:rPr>
        <w:t xml:space="preserve"> and </w:t>
      </w:r>
      <w:r>
        <w:rPr>
          <w:kern w:val="0"/>
        </w:rPr>
        <w:t>liver decompensation were not reported in any</w:t>
      </w:r>
      <w:r w:rsidR="00427468">
        <w:rPr>
          <w:kern w:val="0"/>
        </w:rPr>
        <w:t xml:space="preserve"> of </w:t>
      </w:r>
      <w:r>
        <w:rPr>
          <w:kern w:val="0"/>
        </w:rPr>
        <w:t>the trials</w:t>
      </w:r>
      <w:r w:rsidR="00A37C1D">
        <w:rPr>
          <w:kern w:val="0"/>
        </w:rPr>
        <w:t>. The</w:t>
      </w:r>
      <w:r>
        <w:rPr>
          <w:kern w:val="0"/>
        </w:rPr>
        <w:t>re was a significantly higher proportion</w:t>
      </w:r>
      <w:r w:rsidR="00427468">
        <w:rPr>
          <w:kern w:val="0"/>
        </w:rPr>
        <w:t xml:space="preserve"> of </w:t>
      </w:r>
      <w:r>
        <w:rPr>
          <w:kern w:val="0"/>
        </w:rPr>
        <w:t>participants who developed serious adverse events in the ribavirin plus peg interferon combination therapy group than in the peg interferon monotherapy group (1 trial; 56 participants; 17/28 (60.7%) in the intervention group versus 5/28 (17.9%) in the control group; RR 3.40; 95% CI 1.46 to 7.94)</w:t>
      </w:r>
      <w:r w:rsidR="00A37C1D">
        <w:rPr>
          <w:kern w:val="0"/>
        </w:rPr>
        <w:t>. The</w:t>
      </w:r>
      <w:r>
        <w:rPr>
          <w:kern w:val="0"/>
        </w:rPr>
        <w:t>re was no significant difference in proportion</w:t>
      </w:r>
      <w:r w:rsidR="00427468">
        <w:rPr>
          <w:kern w:val="0"/>
        </w:rPr>
        <w:t xml:space="preserve"> of </w:t>
      </w:r>
      <w:r>
        <w:rPr>
          <w:kern w:val="0"/>
        </w:rPr>
        <w:t>participants who developed serious adverse events or in the number</w:t>
      </w:r>
      <w:r w:rsidR="00427468">
        <w:rPr>
          <w:kern w:val="0"/>
        </w:rPr>
        <w:t xml:space="preserve"> of </w:t>
      </w:r>
      <w:r>
        <w:rPr>
          <w:kern w:val="0"/>
        </w:rPr>
        <w:t>serious adverse events between the intervention</w:t>
      </w:r>
      <w:r w:rsidR="005853A9">
        <w:rPr>
          <w:kern w:val="0"/>
        </w:rPr>
        <w:t xml:space="preserve"> and </w:t>
      </w:r>
      <w:r>
        <w:rPr>
          <w:kern w:val="0"/>
        </w:rPr>
        <w:t>control groups in the other comparisons that reported serious adverse events. Authors</w:t>
      </w:r>
      <w:r w:rsidR="0071223E">
        <w:rPr>
          <w:kern w:val="0"/>
        </w:rPr>
        <w:t>’</w:t>
      </w:r>
      <w:r>
        <w:rPr>
          <w:kern w:val="0"/>
        </w:rPr>
        <w:t xml:space="preserve"> conclusions Considering the lack</w:t>
      </w:r>
      <w:r w:rsidR="00427468">
        <w:rPr>
          <w:kern w:val="0"/>
        </w:rPr>
        <w:t xml:space="preserve"> of </w:t>
      </w:r>
      <w:r>
        <w:rPr>
          <w:kern w:val="0"/>
        </w:rPr>
        <w:t>clinical benefit, there is currently no evidence to recommend or refute antiviral treatment for recurrent liver graft infection with hepatitis C virus. Further randomised clinical trials with low risk</w:t>
      </w:r>
      <w:r w:rsidR="00427468">
        <w:rPr>
          <w:kern w:val="0"/>
        </w:rPr>
        <w:t xml:space="preserve"> of </w:t>
      </w:r>
      <w:r>
        <w:rPr>
          <w:kern w:val="0"/>
        </w:rPr>
        <w:t>bias</w:t>
      </w:r>
      <w:r w:rsidR="005853A9">
        <w:rPr>
          <w:kern w:val="0"/>
        </w:rPr>
        <w:t xml:space="preserve"> and </w:t>
      </w:r>
      <w:r>
        <w:rPr>
          <w:kern w:val="0"/>
        </w:rPr>
        <w:t>low risk</w:t>
      </w:r>
      <w:r w:rsidR="00427468">
        <w:rPr>
          <w:kern w:val="0"/>
        </w:rPr>
        <w:t xml:space="preserve"> of </w:t>
      </w:r>
      <w:r>
        <w:rPr>
          <w:kern w:val="0"/>
        </w:rPr>
        <w:t>random errors with adequate duration</w:t>
      </w:r>
      <w:r w:rsidR="00427468">
        <w:rPr>
          <w:kern w:val="0"/>
        </w:rPr>
        <w:t xml:space="preserve"> of </w:t>
      </w:r>
      <w:r>
        <w:rPr>
          <w:kern w:val="0"/>
        </w:rPr>
        <w:t>follow-up are necessary.</w:t>
      </w:r>
    </w:p>
    <w:p w:rsidR="00533624" w:rsidRDefault="00533624" w:rsidP="00533624">
      <w:pPr>
        <w:pStyle w:val="a3"/>
        <w:rPr>
          <w:kern w:val="0"/>
        </w:rPr>
      </w:pPr>
      <w:r>
        <w:rPr>
          <w:kern w:val="0"/>
        </w:rPr>
        <w:t>Keywords: Amantadine [Therapeutic Use], Analysis, Antiviral, Antiviral Agents [Adverse Effects, Authors, Benefits, Bias, Case Analysis, Citation, Clinical, Clinical Trials, Clinical-Trials, Collection, Combination Therapy, Confidence, Confidence Intervals, Control, Control Groups, Criteria, Daily Interferon Therapy, Data, Data Collection, Duration, Embase, Errors, Events, Evidence, Fibrosis, Follow-Up, Graft, Groups, Hepacivirus [Genetics], Hepatitis, Hepatitis C, Hepatitis C Virus, Hepatitis C [Drug Therapy], Humans, Infection, Information, Interferon, Interferons [Therapeutic Use], Intervals, Intervention, Interventions, Language, Life, Liver, Liver Transplantation, Liver Transplantation [Adverse Effects], Low Risk, Medical, Medical Treatment, Medline, Methods, Models, Mortality, Multicenter Randomized-Trial, Outcome, Outcomes, Patients, Peg-Ifn Alpha-2b, Peginterferon Alpha-2a, Pegylated Interferon, Placebo, Plus Ribavirin, Publication, Quality, Quality</w:t>
      </w:r>
      <w:r w:rsidR="00427468">
        <w:rPr>
          <w:kern w:val="0"/>
        </w:rPr>
        <w:t xml:space="preserve"> of </w:t>
      </w:r>
      <w:r>
        <w:rPr>
          <w:kern w:val="0"/>
        </w:rPr>
        <w:t xml:space="preserve">Life, Randomised, Randomized Controlled Trials As Topic, Recurrence, Recurrent, Review, Ribavirin, Ribavirin [Therapeutic Use], Risk, Science, Science Citation Index, Science Citation Index Expanded, Search, Sequential-Analysis, </w:t>
      </w:r>
      <w:r>
        <w:rPr>
          <w:kern w:val="0"/>
        </w:rPr>
        <w:lastRenderedPageBreak/>
        <w:t>Sustained Virological Response, Systematic Review, Therapeutic, Therapeutic Use], Therapy, Transplantation, Treatment, Trial</w:t>
      </w:r>
    </w:p>
    <w:p w:rsidR="00533624" w:rsidRDefault="00533624" w:rsidP="00533624">
      <w:pPr>
        <w:pStyle w:val="a3"/>
        <w:rPr>
          <w:kern w:val="0"/>
        </w:rPr>
      </w:pPr>
      <w:r>
        <w:rPr>
          <w:rFonts w:hint="eastAsia"/>
          <w:kern w:val="0"/>
        </w:rPr>
        <w:t xml:space="preserve">? </w:t>
      </w:r>
      <w:r>
        <w:rPr>
          <w:kern w:val="0"/>
        </w:rPr>
        <w:t>Moraa, I., Sturman, N., McGuire, T.</w:t>
      </w:r>
      <w:r w:rsidR="005853A9">
        <w:rPr>
          <w:kern w:val="0"/>
        </w:rPr>
        <w:t xml:space="preserve"> and </w:t>
      </w:r>
      <w:r>
        <w:rPr>
          <w:kern w:val="0"/>
        </w:rPr>
        <w:t xml:space="preserve">van Driel, M.L. (2013), Heliox for croup in children.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CD006822</w:t>
      </w:r>
      <w:r>
        <w:rPr>
          <w:kern w:val="0"/>
        </w:rPr>
        <w:t>.</w:t>
      </w:r>
    </w:p>
    <w:p w:rsidR="00533624" w:rsidRDefault="00533624" w:rsidP="00533624">
      <w:pPr>
        <w:pStyle w:val="a3"/>
        <w:rPr>
          <w:kern w:val="2"/>
        </w:rPr>
      </w:pPr>
      <w:r>
        <w:t xml:space="preserve">Full Text: 2013\Coc Dat Sys Rev2013, </w:t>
      </w:r>
      <w:r w:rsidRPr="007F1AEF">
        <w:rPr>
          <w:kern w:val="0"/>
        </w:rPr>
        <w:t>CD006822</w:t>
      </w:r>
      <w:r>
        <w:t>.pdf</w:t>
      </w:r>
    </w:p>
    <w:p w:rsidR="00533624" w:rsidRDefault="00533624" w:rsidP="00533624">
      <w:pPr>
        <w:pStyle w:val="a3"/>
        <w:rPr>
          <w:kern w:val="0"/>
        </w:rPr>
      </w:pPr>
      <w:r>
        <w:rPr>
          <w:kern w:val="0"/>
        </w:rPr>
        <w:t>Abstract: Background Croup is thought to be triggered by a viral infection</w:t>
      </w:r>
      <w:r w:rsidR="005853A9">
        <w:rPr>
          <w:kern w:val="0"/>
        </w:rPr>
        <w:t xml:space="preserve"> and </w:t>
      </w:r>
      <w:r>
        <w:rPr>
          <w:kern w:val="0"/>
        </w:rPr>
        <w:t>is characterised by respiratory distress due to upper airway inflammation</w:t>
      </w:r>
      <w:r w:rsidR="005853A9">
        <w:rPr>
          <w:kern w:val="0"/>
        </w:rPr>
        <w:t xml:space="preserve"> and </w:t>
      </w:r>
      <w:r>
        <w:rPr>
          <w:kern w:val="0"/>
        </w:rPr>
        <w:t>swelling</w:t>
      </w:r>
      <w:r w:rsidR="00427468">
        <w:rPr>
          <w:kern w:val="0"/>
        </w:rPr>
        <w:t xml:space="preserve"> of </w:t>
      </w:r>
      <w:r>
        <w:rPr>
          <w:kern w:val="0"/>
        </w:rPr>
        <w:t>the subglottic mucosa in children. Mostly it is mild</w:t>
      </w:r>
      <w:r w:rsidR="005853A9">
        <w:rPr>
          <w:kern w:val="0"/>
        </w:rPr>
        <w:t xml:space="preserve"> and </w:t>
      </w:r>
      <w:r>
        <w:rPr>
          <w:kern w:val="0"/>
        </w:rPr>
        <w:t>transient</w:t>
      </w:r>
      <w:r w:rsidR="005853A9">
        <w:rPr>
          <w:kern w:val="0"/>
        </w:rPr>
        <w:t xml:space="preserve"> and </w:t>
      </w:r>
      <w:r>
        <w:rPr>
          <w:kern w:val="0"/>
        </w:rPr>
        <w:t>resolves with supportive care. in moderate to severe cases, treatment with corticosteroids</w:t>
      </w:r>
      <w:r w:rsidR="005853A9">
        <w:rPr>
          <w:kern w:val="0"/>
        </w:rPr>
        <w:t xml:space="preserve"> and </w:t>
      </w:r>
      <w:r>
        <w:rPr>
          <w:kern w:val="0"/>
        </w:rPr>
        <w:t>nebulised epinephrine (adrenaline) is required. Corticosteroids improve symptoms but it takes time for a full effect to be achieved. in the interim, the child is at risk</w:t>
      </w:r>
      <w:r w:rsidR="00427468">
        <w:rPr>
          <w:kern w:val="0"/>
        </w:rPr>
        <w:t xml:space="preserve"> of </w:t>
      </w:r>
      <w:r>
        <w:rPr>
          <w:kern w:val="0"/>
        </w:rPr>
        <w:t>further deterioration. This may rarely result in respiratory failure necessitating emergency intubation</w:t>
      </w:r>
      <w:r w:rsidR="005853A9">
        <w:rPr>
          <w:kern w:val="0"/>
        </w:rPr>
        <w:t xml:space="preserve"> and </w:t>
      </w:r>
      <w:r>
        <w:rPr>
          <w:kern w:val="0"/>
        </w:rPr>
        <w:t>ventilation. Nebulised epinephrine may result in dose-related adverse effects including tachycardia, arrhythmias</w:t>
      </w:r>
      <w:r w:rsidR="005853A9">
        <w:rPr>
          <w:kern w:val="0"/>
        </w:rPr>
        <w:t xml:space="preserve"> and </w:t>
      </w:r>
      <w:r>
        <w:rPr>
          <w:kern w:val="0"/>
        </w:rPr>
        <w:t>hypertension</w:t>
      </w:r>
      <w:r w:rsidR="005853A9">
        <w:rPr>
          <w:kern w:val="0"/>
        </w:rPr>
        <w:t xml:space="preserve"> and </w:t>
      </w:r>
      <w:r>
        <w:rPr>
          <w:kern w:val="0"/>
        </w:rPr>
        <w:t>its benefit may be short-lived. Helium-oxygen (heliox) inhalation has shown therapeutic benefit in initial treatment</w:t>
      </w:r>
      <w:r w:rsidR="00427468">
        <w:rPr>
          <w:kern w:val="0"/>
        </w:rPr>
        <w:t xml:space="preserve"> of </w:t>
      </w:r>
      <w:r>
        <w:rPr>
          <w:kern w:val="0"/>
        </w:rPr>
        <w:t>acute respiratory syncytial virus (RSV) bronchiolitis</w:t>
      </w:r>
      <w:r w:rsidR="005853A9">
        <w:rPr>
          <w:kern w:val="0"/>
        </w:rPr>
        <w:t xml:space="preserve"> and </w:t>
      </w:r>
      <w:r>
        <w:rPr>
          <w:kern w:val="0"/>
        </w:rPr>
        <w:t>may prevent morbidity</w:t>
      </w:r>
      <w:r w:rsidR="005853A9">
        <w:rPr>
          <w:kern w:val="0"/>
        </w:rPr>
        <w:t xml:space="preserve"> and </w:t>
      </w:r>
      <w:r>
        <w:rPr>
          <w:kern w:val="0"/>
        </w:rPr>
        <w:t>mortality in ventilated neonates. Heliox has been used during emergency transport</w:t>
      </w:r>
      <w:r w:rsidR="00427468">
        <w:rPr>
          <w:kern w:val="0"/>
        </w:rPr>
        <w:t xml:space="preserve"> of </w:t>
      </w:r>
      <w:r>
        <w:rPr>
          <w:kern w:val="0"/>
        </w:rPr>
        <w:t>children with severe croup</w:t>
      </w:r>
      <w:r w:rsidR="005853A9">
        <w:rPr>
          <w:kern w:val="0"/>
        </w:rPr>
        <w:t xml:space="preserve"> and </w:t>
      </w:r>
      <w:r>
        <w:rPr>
          <w:kern w:val="0"/>
        </w:rPr>
        <w:t>anecdotal evidence suggests that heliox relieves respiratory distress. Objectives To examine the effect</w:t>
      </w:r>
      <w:r w:rsidR="00427468">
        <w:rPr>
          <w:kern w:val="0"/>
        </w:rPr>
        <w:t xml:space="preserve"> of </w:t>
      </w:r>
      <w:r>
        <w:rPr>
          <w:kern w:val="0"/>
        </w:rPr>
        <w:t>heliox on relieving symptoms</w:t>
      </w:r>
      <w:r w:rsidR="005853A9">
        <w:rPr>
          <w:kern w:val="0"/>
        </w:rPr>
        <w:t xml:space="preserve"> and </w:t>
      </w:r>
      <w:r>
        <w:rPr>
          <w:kern w:val="0"/>
        </w:rPr>
        <w:t>signs</w:t>
      </w:r>
      <w:r w:rsidR="00427468">
        <w:rPr>
          <w:kern w:val="0"/>
        </w:rPr>
        <w:t xml:space="preserve"> of </w:t>
      </w:r>
      <w:r>
        <w:rPr>
          <w:kern w:val="0"/>
        </w:rPr>
        <w:t>croup, as determined by a croup score (a tool for measuring the severity</w:t>
      </w:r>
      <w:r w:rsidR="00427468">
        <w:rPr>
          <w:kern w:val="0"/>
        </w:rPr>
        <w:t xml:space="preserve"> of </w:t>
      </w:r>
      <w:r>
        <w:rPr>
          <w:kern w:val="0"/>
        </w:rPr>
        <w:t>croup). To examine the effect</w:t>
      </w:r>
      <w:r w:rsidR="00427468">
        <w:rPr>
          <w:kern w:val="0"/>
        </w:rPr>
        <w:t xml:space="preserve"> of </w:t>
      </w:r>
      <w:r>
        <w:rPr>
          <w:kern w:val="0"/>
        </w:rPr>
        <w:t>croup on rates</w:t>
      </w:r>
      <w:r w:rsidR="00427468">
        <w:rPr>
          <w:kern w:val="0"/>
        </w:rPr>
        <w:t xml:space="preserve"> of </w:t>
      </w:r>
      <w:r>
        <w:rPr>
          <w:kern w:val="0"/>
        </w:rPr>
        <w:t>admission or intubation (or both), through comparisons</w:t>
      </w:r>
      <w:r w:rsidR="00427468">
        <w:rPr>
          <w:kern w:val="0"/>
        </w:rPr>
        <w:t xml:space="preserve"> of </w:t>
      </w:r>
      <w:r>
        <w:rPr>
          <w:kern w:val="0"/>
        </w:rPr>
        <w:t>heliox with placebo or any active intervention(s) in children with croup. Search methods We searched CENTRAL 2013, Issue 10, MEDLINE (1950 to October week 5, 2013), EMBASE (1974 to November 2013), CINAHL (1982 to November 2013), Web</w:t>
      </w:r>
      <w:r w:rsidR="00427468">
        <w:rPr>
          <w:kern w:val="0"/>
        </w:rPr>
        <w:t xml:space="preserve"> of </w:t>
      </w:r>
      <w:r>
        <w:rPr>
          <w:kern w:val="0"/>
        </w:rPr>
        <w:t>Science (1955 to November 2013)</w:t>
      </w:r>
      <w:r w:rsidR="005853A9">
        <w:rPr>
          <w:kern w:val="0"/>
        </w:rPr>
        <w:t xml:space="preserve"> and </w:t>
      </w:r>
      <w:r>
        <w:rPr>
          <w:kern w:val="0"/>
        </w:rPr>
        <w:t>LILACS (1982 to November 2013). in addition, we searched two clinical trials registries: the World Health Organization International Clinical Trials Registry Platform (WHO ICTRP)</w:t>
      </w:r>
      <w:r w:rsidR="005853A9">
        <w:rPr>
          <w:kern w:val="0"/>
        </w:rPr>
        <w:t xml:space="preserve"> and </w:t>
      </w:r>
      <w:r>
        <w:rPr>
          <w:kern w:val="0"/>
        </w:rPr>
        <w:t>clinicaltrials.gov (searched 12 November 2013). Selection criteria Randomised controlled trials (RCTs)</w:t>
      </w:r>
      <w:r w:rsidR="005853A9">
        <w:rPr>
          <w:kern w:val="0"/>
        </w:rPr>
        <w:t xml:space="preserve"> and </w:t>
      </w:r>
      <w:r>
        <w:rPr>
          <w:kern w:val="0"/>
        </w:rPr>
        <w:t>quasi-RCTs comparing the effect</w:t>
      </w:r>
      <w:r w:rsidR="00427468">
        <w:rPr>
          <w:kern w:val="0"/>
        </w:rPr>
        <w:t xml:space="preserve"> of </w:t>
      </w:r>
      <w:r>
        <w:rPr>
          <w:kern w:val="0"/>
        </w:rPr>
        <w:t>helium-oxygen mixtures with placebo or any active intervention(s) in children with croup. Data collection</w:t>
      </w:r>
      <w:r w:rsidR="005853A9">
        <w:rPr>
          <w:kern w:val="0"/>
        </w:rPr>
        <w:t xml:space="preserve"> and </w:t>
      </w:r>
      <w:r>
        <w:rPr>
          <w:kern w:val="0"/>
        </w:rPr>
        <w:t>analysis Two review authors independently identified</w:t>
      </w:r>
      <w:r w:rsidR="005853A9">
        <w:rPr>
          <w:kern w:val="0"/>
        </w:rPr>
        <w:t xml:space="preserve"> and </w:t>
      </w:r>
      <w:r>
        <w:rPr>
          <w:kern w:val="0"/>
        </w:rPr>
        <w:t>assessed citations for inclusion. A third review author resolved disagreements. We assessed included trials for allocation concealment, blinding</w:t>
      </w:r>
      <w:r w:rsidR="00427468">
        <w:rPr>
          <w:kern w:val="0"/>
        </w:rPr>
        <w:t xml:space="preserve"> of </w:t>
      </w:r>
      <w:r>
        <w:rPr>
          <w:kern w:val="0"/>
        </w:rPr>
        <w:t>intervention, completeness</w:t>
      </w:r>
      <w:r w:rsidR="00427468">
        <w:rPr>
          <w:kern w:val="0"/>
        </w:rPr>
        <w:t xml:space="preserve"> of </w:t>
      </w:r>
      <w:r>
        <w:rPr>
          <w:kern w:val="0"/>
        </w:rPr>
        <w:t>outcome data, selective outcome reporting</w:t>
      </w:r>
      <w:r w:rsidR="005853A9">
        <w:rPr>
          <w:kern w:val="0"/>
        </w:rPr>
        <w:t xml:space="preserve"> and </w:t>
      </w:r>
      <w:r>
        <w:rPr>
          <w:kern w:val="0"/>
        </w:rPr>
        <w:t>other potential sources</w:t>
      </w:r>
      <w:r w:rsidR="00427468">
        <w:rPr>
          <w:kern w:val="0"/>
        </w:rPr>
        <w:t xml:space="preserve"> of </w:t>
      </w:r>
      <w:r>
        <w:rPr>
          <w:kern w:val="0"/>
        </w:rPr>
        <w:t>bias. We reported mean differences for continuous data</w:t>
      </w:r>
      <w:r w:rsidR="005853A9">
        <w:rPr>
          <w:kern w:val="0"/>
        </w:rPr>
        <w:t xml:space="preserve"> and </w:t>
      </w:r>
      <w:r>
        <w:rPr>
          <w:kern w:val="0"/>
        </w:rPr>
        <w:t>odds ratios for dichotomous data. We descriptively reported data not suitable for statistical analysis. Main results We included three RCTs with a total</w:t>
      </w:r>
      <w:r w:rsidR="00427468">
        <w:rPr>
          <w:kern w:val="0"/>
        </w:rPr>
        <w:t xml:space="preserve"> of </w:t>
      </w:r>
      <w:r>
        <w:rPr>
          <w:kern w:val="0"/>
        </w:rPr>
        <w:t xml:space="preserve">91 participants. One study compared heliox 70%/30% with 30% humidified </w:t>
      </w:r>
      <w:r>
        <w:rPr>
          <w:kern w:val="0"/>
        </w:rPr>
        <w:lastRenderedPageBreak/>
        <w:t>oxygen administered for 20 minutes in children with mild croup</w:t>
      </w:r>
      <w:r w:rsidR="005853A9">
        <w:rPr>
          <w:kern w:val="0"/>
        </w:rPr>
        <w:t xml:space="preserve"> and </w:t>
      </w:r>
      <w:r>
        <w:rPr>
          <w:kern w:val="0"/>
        </w:rPr>
        <w:t>found no statistically significant differences in the overall change in croup scores between heliox</w:t>
      </w:r>
      <w:r w:rsidR="005853A9">
        <w:rPr>
          <w:kern w:val="0"/>
        </w:rPr>
        <w:t xml:space="preserve"> and </w:t>
      </w:r>
      <w:r>
        <w:rPr>
          <w:kern w:val="0"/>
        </w:rPr>
        <w:t>the comparator. in another study, children with moderate to severe croup were administered intramuscular dexamethasone 0.6 mg/kg</w:t>
      </w:r>
      <w:r w:rsidR="005853A9">
        <w:rPr>
          <w:kern w:val="0"/>
        </w:rPr>
        <w:t xml:space="preserve"> and </w:t>
      </w:r>
      <w:r>
        <w:rPr>
          <w:kern w:val="0"/>
        </w:rPr>
        <w:t>either heliox 70%/30% with one to two doses</w:t>
      </w:r>
      <w:r w:rsidR="00427468">
        <w:rPr>
          <w:kern w:val="0"/>
        </w:rPr>
        <w:t xml:space="preserve"> of </w:t>
      </w:r>
      <w:r>
        <w:rPr>
          <w:kern w:val="0"/>
        </w:rPr>
        <w:t>nebulised saline, or 100% oxygen with one to two doses</w:t>
      </w:r>
      <w:r w:rsidR="00427468">
        <w:rPr>
          <w:kern w:val="0"/>
        </w:rPr>
        <w:t xml:space="preserve"> of </w:t>
      </w:r>
      <w:r>
        <w:rPr>
          <w:kern w:val="0"/>
        </w:rPr>
        <w:t>nebulised racaemic epinephrine for three hours. in this study, the heliox group</w:t>
      </w:r>
      <w:r w:rsidR="0071223E">
        <w:rPr>
          <w:kern w:val="0"/>
        </w:rPr>
        <w:t>’</w:t>
      </w:r>
      <w:r>
        <w:rPr>
          <w:kern w:val="0"/>
        </w:rPr>
        <w:t>s croup scores improved significantly more at all time points from 90 minutes onwards. However, overall there were no significant differences in croup scores between the groups after four hours using repeated measures analysis. in a third study, children with moderate croup all received one dose</w:t>
      </w:r>
      <w:r w:rsidR="00427468">
        <w:rPr>
          <w:kern w:val="0"/>
        </w:rPr>
        <w:t xml:space="preserve"> of </w:t>
      </w:r>
      <w:r>
        <w:rPr>
          <w:kern w:val="0"/>
        </w:rPr>
        <w:t>oral dexamethasone 0.3 mg/kg with heliox 70%/30% for 60 minutes in the intervention group</w:t>
      </w:r>
      <w:r w:rsidR="005853A9">
        <w:rPr>
          <w:kern w:val="0"/>
        </w:rPr>
        <w:t xml:space="preserve"> and </w:t>
      </w:r>
      <w:r>
        <w:rPr>
          <w:kern w:val="0"/>
        </w:rPr>
        <w:t>no treatment in the comparator</w:t>
      </w:r>
      <w:r w:rsidR="00A37C1D">
        <w:rPr>
          <w:kern w:val="0"/>
        </w:rPr>
        <w:t>. The</w:t>
      </w:r>
      <w:r>
        <w:rPr>
          <w:kern w:val="0"/>
        </w:rPr>
        <w:t>re was a statistically significant difference in croup scores at 60 minutes in favour</w:t>
      </w:r>
      <w:r w:rsidR="00427468">
        <w:rPr>
          <w:kern w:val="0"/>
        </w:rPr>
        <w:t xml:space="preserve"> of </w:t>
      </w:r>
      <w:r>
        <w:rPr>
          <w:kern w:val="0"/>
        </w:rPr>
        <w:t>heliox but no significant difference after 120 minutes. It was not possible to pool outcomes because the included studies compared different interventions</w:t>
      </w:r>
      <w:r w:rsidR="005853A9">
        <w:rPr>
          <w:kern w:val="0"/>
        </w:rPr>
        <w:t xml:space="preserve"> and </w:t>
      </w:r>
      <w:r>
        <w:rPr>
          <w:kern w:val="0"/>
        </w:rPr>
        <w:t>reported different outcomes. No adverse events were reported. Authors</w:t>
      </w:r>
      <w:r w:rsidR="0071223E">
        <w:rPr>
          <w:kern w:val="0"/>
        </w:rPr>
        <w:t>’</w:t>
      </w:r>
      <w:r>
        <w:rPr>
          <w:kern w:val="0"/>
        </w:rPr>
        <w:t xml:space="preserve"> conclusions There is some evidence to suggest a short-term benefit</w:t>
      </w:r>
      <w:r w:rsidR="00427468">
        <w:rPr>
          <w:kern w:val="0"/>
        </w:rPr>
        <w:t xml:space="preserve"> of </w:t>
      </w:r>
      <w:r>
        <w:rPr>
          <w:kern w:val="0"/>
        </w:rPr>
        <w:t>heliox inhalation in children with moderate to severe croup who have been administered oral or intramuscular dexamethasone. in one study, the benefit appeared to be similar to a combination</w:t>
      </w:r>
      <w:r w:rsidR="00427468">
        <w:rPr>
          <w:kern w:val="0"/>
        </w:rPr>
        <w:t xml:space="preserve"> of </w:t>
      </w:r>
      <w:r>
        <w:rPr>
          <w:kern w:val="0"/>
        </w:rPr>
        <w:t>100% oxygen with nebulised epinephrine. in another study there was a slight change in croup scores between heliox</w:t>
      </w:r>
      <w:r w:rsidR="005853A9">
        <w:rPr>
          <w:kern w:val="0"/>
        </w:rPr>
        <w:t xml:space="preserve"> and </w:t>
      </w:r>
      <w:r>
        <w:rPr>
          <w:kern w:val="0"/>
        </w:rPr>
        <w:t>controls, with unclear clinical significance. in another study in mild croup, the benefit</w:t>
      </w:r>
      <w:r w:rsidR="00427468">
        <w:rPr>
          <w:kern w:val="0"/>
        </w:rPr>
        <w:t xml:space="preserve"> of </w:t>
      </w:r>
      <w:r>
        <w:rPr>
          <w:kern w:val="0"/>
        </w:rPr>
        <w:t>humidified heliox was equivalent to that</w:t>
      </w:r>
      <w:r w:rsidR="00427468">
        <w:rPr>
          <w:kern w:val="0"/>
        </w:rPr>
        <w:t xml:space="preserve"> of </w:t>
      </w:r>
      <w:r>
        <w:rPr>
          <w:kern w:val="0"/>
        </w:rPr>
        <w:t>30% humidified oxygen, suggesting that heliox is not indicated in this group</w:t>
      </w:r>
      <w:r w:rsidR="00427468">
        <w:rPr>
          <w:kern w:val="0"/>
        </w:rPr>
        <w:t xml:space="preserve"> of </w:t>
      </w:r>
      <w:r>
        <w:rPr>
          <w:kern w:val="0"/>
        </w:rPr>
        <w:t>patients provided that 30% oxygen is available. Adequately powered RCTs comparing heliox with standard treatments are needed to further assess the role</w:t>
      </w:r>
      <w:r w:rsidR="00427468">
        <w:rPr>
          <w:kern w:val="0"/>
        </w:rPr>
        <w:t xml:space="preserve"> of </w:t>
      </w:r>
      <w:r>
        <w:rPr>
          <w:kern w:val="0"/>
        </w:rPr>
        <w:t>heliox in children with moderate to severe croup.</w:t>
      </w:r>
    </w:p>
    <w:p w:rsidR="00533624" w:rsidRDefault="00533624" w:rsidP="00533624">
      <w:pPr>
        <w:pStyle w:val="a3"/>
        <w:rPr>
          <w:kern w:val="0"/>
        </w:rPr>
      </w:pPr>
      <w:r>
        <w:rPr>
          <w:kern w:val="0"/>
        </w:rPr>
        <w:t xml:space="preserve">Keywords: Acute Bronchiolitis, Adverse Effects, Airway Obstruction [Etiology, Airway Resistance [Drug Effects], Allocation, Analysis, Asthma, Authors, Bias, Care, Child, Child,Preschool, Children, Citations, Clinical, Clinical Trials, Collection, Corticosteroids, Criteria, Croup [Complications], Current Diagnosis, Data, Data Collection, Dexamethasone, Distress, Effects, Embase, Emergency, Epinephrine, Events, Evidence, Failure, Gas-Exchange, Groups, Health, Helium[Administration &amp; Dosage], Hospitalizations, Humans, Hypertension, Infant, Infection, Inflammation, Inhalation, Intervention, Interventions, Intubation, Measures, Medline, Methods, Morbidity, Mortality, Nebulized Budesonide, Neonates, Oral, Outcome, Outcomes, Oxygen, Oxygen Inhalation Therapy, Oxygen Mixtures, Oxygen [Administration &amp; Dosage], Patients, Placebo, Potential, Prevent, Racemic Epinephrine, Randomised Controlled Trials, Randomized Controlled Trials As Topic, Rates, Registries, Repeated Measures, Reporting, Respiratory Failure, Review, Risk, Role, Science, Search, Significance, Sources, Standard, Statistical Analysis, Supportive Care, </w:t>
      </w:r>
      <w:r>
        <w:rPr>
          <w:kern w:val="0"/>
        </w:rPr>
        <w:lastRenderedPageBreak/>
        <w:t>Swelling, Symptoms, Tachycardia, Therapeutic, Therapy], Transient, Transport, Treatment, Upper Airway-Obstruction, Ventilation, Viral, Web</w:t>
      </w:r>
      <w:r w:rsidR="00427468">
        <w:rPr>
          <w:kern w:val="0"/>
        </w:rPr>
        <w:t xml:space="preserve"> of </w:t>
      </w:r>
      <w:r>
        <w:rPr>
          <w:kern w:val="0"/>
        </w:rPr>
        <w:t>Science, Who, World Health Organization</w:t>
      </w:r>
    </w:p>
    <w:p w:rsidR="00533624" w:rsidRDefault="00533624" w:rsidP="00533624">
      <w:pPr>
        <w:pStyle w:val="a3"/>
        <w:rPr>
          <w:kern w:val="0"/>
        </w:rPr>
      </w:pPr>
      <w:r>
        <w:rPr>
          <w:rFonts w:hint="eastAsia"/>
          <w:kern w:val="0"/>
        </w:rPr>
        <w:t xml:space="preserve">? </w:t>
      </w:r>
      <w:r>
        <w:rPr>
          <w:kern w:val="0"/>
        </w:rPr>
        <w:t>Eslami, L., Merat, S., Malekzadeh, R., Nasseri-Moghaddam, S.</w:t>
      </w:r>
      <w:r w:rsidR="005853A9">
        <w:rPr>
          <w:kern w:val="0"/>
        </w:rPr>
        <w:t xml:space="preserve"> and </w:t>
      </w:r>
      <w:r>
        <w:rPr>
          <w:kern w:val="0"/>
        </w:rPr>
        <w:t>Aramin, H. (2013), Statins for non-alcoholic fatty liver disease</w:t>
      </w:r>
      <w:r w:rsidR="005853A9">
        <w:rPr>
          <w:kern w:val="0"/>
        </w:rPr>
        <w:t xml:space="preserve"> and </w:t>
      </w:r>
      <w:r>
        <w:rPr>
          <w:kern w:val="0"/>
        </w:rPr>
        <w:t xml:space="preserve">non-alcoholic steatohepatitis.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CD008623</w:t>
      </w:r>
      <w:r>
        <w:rPr>
          <w:kern w:val="0"/>
        </w:rPr>
        <w:t>.</w:t>
      </w:r>
    </w:p>
    <w:p w:rsidR="00533624" w:rsidRDefault="00533624" w:rsidP="00533624">
      <w:pPr>
        <w:pStyle w:val="a3"/>
        <w:rPr>
          <w:kern w:val="2"/>
        </w:rPr>
      </w:pPr>
      <w:r>
        <w:t xml:space="preserve">Full Text: 2013\Coc Dat Sys Rev2013, </w:t>
      </w:r>
      <w:r w:rsidRPr="007F1AEF">
        <w:rPr>
          <w:kern w:val="0"/>
        </w:rPr>
        <w:t>CD008623</w:t>
      </w:r>
      <w:r>
        <w:t>.pdf</w:t>
      </w:r>
    </w:p>
    <w:p w:rsidR="00533624" w:rsidRDefault="00533624" w:rsidP="00533624">
      <w:pPr>
        <w:pStyle w:val="a3"/>
        <w:rPr>
          <w:kern w:val="0"/>
        </w:rPr>
      </w:pPr>
      <w:r>
        <w:rPr>
          <w:kern w:val="0"/>
        </w:rPr>
        <w:t>Abstract: Background Non-alcoholic fatty liver disease (NAFLD)</w:t>
      </w:r>
      <w:r w:rsidR="005853A9">
        <w:rPr>
          <w:kern w:val="0"/>
        </w:rPr>
        <w:t xml:space="preserve"> and </w:t>
      </w:r>
      <w:r>
        <w:rPr>
          <w:kern w:val="0"/>
        </w:rPr>
        <w:t>non-alcoholic steatohepatitis (NASH) are common causes</w:t>
      </w:r>
      <w:r w:rsidR="00427468">
        <w:rPr>
          <w:kern w:val="0"/>
        </w:rPr>
        <w:t xml:space="preserve"> of </w:t>
      </w:r>
      <w:r>
        <w:rPr>
          <w:kern w:val="0"/>
        </w:rPr>
        <w:t>elevated liver enzymes in the general population. NASH</w:t>
      </w:r>
      <w:r w:rsidR="005853A9">
        <w:rPr>
          <w:kern w:val="0"/>
        </w:rPr>
        <w:t xml:space="preserve"> and </w:t>
      </w:r>
      <w:r>
        <w:rPr>
          <w:kern w:val="0"/>
        </w:rPr>
        <w:t>to some extent NAFLD have been associated with increased liver-related</w:t>
      </w:r>
      <w:r w:rsidR="005853A9">
        <w:rPr>
          <w:kern w:val="0"/>
        </w:rPr>
        <w:t xml:space="preserve"> and </w:t>
      </w:r>
      <w:r>
        <w:rPr>
          <w:kern w:val="0"/>
        </w:rPr>
        <w:t>all-cause mortality. No effective treatment is yet available. Recent reports have shown that the use</w:t>
      </w:r>
      <w:r w:rsidR="00427468">
        <w:rPr>
          <w:kern w:val="0"/>
        </w:rPr>
        <w:t xml:space="preserve"> of </w:t>
      </w:r>
      <w:r>
        <w:rPr>
          <w:kern w:val="0"/>
        </w:rPr>
        <w:t>hydroxymethylglutaryl-coenzyme A (HMG-CoA) reductase inhibitors (statins) in patients with elevated plasma aminotransferases may result in normalisation</w:t>
      </w:r>
      <w:r w:rsidR="00427468">
        <w:rPr>
          <w:kern w:val="0"/>
        </w:rPr>
        <w:t xml:space="preserve"> of </w:t>
      </w:r>
      <w:r>
        <w:rPr>
          <w:kern w:val="0"/>
        </w:rPr>
        <w:t>these liver enzymes. Whether this is a consistent effect or whether it can lead to improved clinical outcomes beyond normalisation</w:t>
      </w:r>
      <w:r w:rsidR="00427468">
        <w:rPr>
          <w:kern w:val="0"/>
        </w:rPr>
        <w:t xml:space="preserve"> of </w:t>
      </w:r>
      <w:r>
        <w:rPr>
          <w:kern w:val="0"/>
        </w:rPr>
        <w:t>abnormal liver enzymes is not clear. Objectives To assess the beneficial</w:t>
      </w:r>
      <w:r w:rsidR="005853A9">
        <w:rPr>
          <w:kern w:val="0"/>
        </w:rPr>
        <w:t xml:space="preserve"> and </w:t>
      </w:r>
      <w:r>
        <w:rPr>
          <w:kern w:val="0"/>
        </w:rPr>
        <w:t>harmful effects</w:t>
      </w:r>
      <w:r w:rsidR="00427468">
        <w:rPr>
          <w:kern w:val="0"/>
        </w:rPr>
        <w:t xml:space="preserve"> of </w:t>
      </w:r>
      <w:r>
        <w:rPr>
          <w:kern w:val="0"/>
        </w:rPr>
        <w:t>statins (that is, lovastatin, atorvastatin, simvastatin, pravastatin, rosuvastatin,</w:t>
      </w:r>
      <w:r w:rsidR="005853A9">
        <w:rPr>
          <w:kern w:val="0"/>
        </w:rPr>
        <w:t xml:space="preserve"> and </w:t>
      </w:r>
      <w:r>
        <w:rPr>
          <w:kern w:val="0"/>
        </w:rPr>
        <w:t>fluvastatin) on all-cause</w:t>
      </w:r>
      <w:r w:rsidR="005853A9">
        <w:rPr>
          <w:kern w:val="0"/>
        </w:rPr>
        <w:t xml:space="preserve"> and </w:t>
      </w:r>
      <w:r>
        <w:rPr>
          <w:kern w:val="0"/>
        </w:rPr>
        <w:t>liver-related mortality, adverse events,</w:t>
      </w:r>
      <w:r w:rsidR="005853A9">
        <w:rPr>
          <w:kern w:val="0"/>
        </w:rPr>
        <w:t xml:space="preserve"> and </w:t>
      </w:r>
      <w:r>
        <w:rPr>
          <w:kern w:val="0"/>
        </w:rPr>
        <w:t>histological, biochemical,</w:t>
      </w:r>
      <w:r w:rsidR="005853A9">
        <w:rPr>
          <w:kern w:val="0"/>
        </w:rPr>
        <w:t xml:space="preserve"> and </w:t>
      </w:r>
      <w:r>
        <w:rPr>
          <w:kern w:val="0"/>
        </w:rPr>
        <w:t>imaging responses in patients with NAFLD or NASH. Search methods We performed a computerised literature search in the Cochrane Hepato-Biliary Group Controlled Trials Register, Cochrane Central Register</w:t>
      </w:r>
      <w:r w:rsidR="00427468">
        <w:rPr>
          <w:kern w:val="0"/>
        </w:rPr>
        <w:t xml:space="preserve"> of </w:t>
      </w:r>
      <w:r>
        <w:rPr>
          <w:kern w:val="0"/>
        </w:rPr>
        <w:t>Controlled Trials (CENTRAL) in The Cochrane Library, MEDLINE, EMBASE,</w:t>
      </w:r>
      <w:r w:rsidR="005853A9">
        <w:rPr>
          <w:kern w:val="0"/>
        </w:rPr>
        <w:t xml:space="preserve"> and </w:t>
      </w:r>
      <w:r>
        <w:rPr>
          <w:kern w:val="0"/>
        </w:rPr>
        <w:t>Science Citation Index Expanded up to March 2013. We did fully recursive searches from the reference lists</w:t>
      </w:r>
      <w:r w:rsidR="00427468">
        <w:rPr>
          <w:kern w:val="0"/>
        </w:rPr>
        <w:t xml:space="preserve"> of </w:t>
      </w:r>
      <w:r>
        <w:rPr>
          <w:kern w:val="0"/>
        </w:rPr>
        <w:t>all retrieved relevant publications to ensure a complete</w:t>
      </w:r>
      <w:r w:rsidR="005853A9">
        <w:rPr>
          <w:kern w:val="0"/>
        </w:rPr>
        <w:t xml:space="preserve"> and </w:t>
      </w:r>
      <w:r>
        <w:rPr>
          <w:kern w:val="0"/>
        </w:rPr>
        <w:t>comprehensive search</w:t>
      </w:r>
      <w:r w:rsidR="00427468">
        <w:rPr>
          <w:kern w:val="0"/>
        </w:rPr>
        <w:t xml:space="preserve"> of </w:t>
      </w:r>
      <w:r>
        <w:rPr>
          <w:kern w:val="0"/>
        </w:rPr>
        <w:t>the published literature. We did not apply any restrictions regarding language</w:t>
      </w:r>
      <w:r w:rsidR="00427468">
        <w:rPr>
          <w:kern w:val="0"/>
        </w:rPr>
        <w:t xml:space="preserve"> of </w:t>
      </w:r>
      <w:r>
        <w:rPr>
          <w:kern w:val="0"/>
        </w:rPr>
        <w:t>publication or publication date. Selection criteria All randomised clinical trials using statins as the primary treatment for NAFLD or NASH versus no treatment, placebo, or other hypolipidaemic agents. Data collection</w:t>
      </w:r>
      <w:r w:rsidR="005853A9">
        <w:rPr>
          <w:kern w:val="0"/>
        </w:rPr>
        <w:t xml:space="preserve"> and </w:t>
      </w:r>
      <w:r>
        <w:rPr>
          <w:kern w:val="0"/>
        </w:rPr>
        <w:t>analysis Data were extracted,</w:t>
      </w:r>
      <w:r w:rsidR="005853A9">
        <w:rPr>
          <w:kern w:val="0"/>
        </w:rPr>
        <w:t xml:space="preserve"> and </w:t>
      </w:r>
      <w:r>
        <w:rPr>
          <w:kern w:val="0"/>
        </w:rPr>
        <w:t>risk</w:t>
      </w:r>
      <w:r w:rsidR="00427468">
        <w:rPr>
          <w:kern w:val="0"/>
        </w:rPr>
        <w:t xml:space="preserve"> of </w:t>
      </w:r>
      <w:r>
        <w:rPr>
          <w:kern w:val="0"/>
        </w:rPr>
        <w:t>bias</w:t>
      </w:r>
      <w:r w:rsidR="00427468">
        <w:rPr>
          <w:kern w:val="0"/>
        </w:rPr>
        <w:t xml:space="preserve"> of </w:t>
      </w:r>
      <w:r>
        <w:rPr>
          <w:kern w:val="0"/>
        </w:rPr>
        <w:t>each trial was assessed independently by two or more review authors. Meta-analyses were performed whenever possible. Review Manager 5.2 was used. Main results When the described search method was used</w:t>
      </w:r>
      <w:r w:rsidR="005853A9">
        <w:rPr>
          <w:kern w:val="0"/>
        </w:rPr>
        <w:t xml:space="preserve"> and </w:t>
      </w:r>
      <w:r>
        <w:rPr>
          <w:kern w:val="0"/>
        </w:rPr>
        <w:t>the eligibility criteria</w:t>
      </w:r>
      <w:r w:rsidR="00427468">
        <w:rPr>
          <w:kern w:val="0"/>
        </w:rPr>
        <w:t xml:space="preserve"> of </w:t>
      </w:r>
      <w:r>
        <w:rPr>
          <w:kern w:val="0"/>
        </w:rPr>
        <w:t>the search results were applied, 653 records were found. Only two</w:t>
      </w:r>
      <w:r w:rsidR="00427468">
        <w:rPr>
          <w:kern w:val="0"/>
        </w:rPr>
        <w:t xml:space="preserve"> of </w:t>
      </w:r>
      <w:r>
        <w:rPr>
          <w:kern w:val="0"/>
        </w:rPr>
        <w:t>these were randomised clinical trials that were considered eligible for inclusion. We assessed both trials as trials with high risk</w:t>
      </w:r>
      <w:r w:rsidR="00427468">
        <w:rPr>
          <w:kern w:val="0"/>
        </w:rPr>
        <w:t xml:space="preserve"> of </w:t>
      </w:r>
      <w:r>
        <w:rPr>
          <w:kern w:val="0"/>
        </w:rPr>
        <w:t>bias. One</w:t>
      </w:r>
      <w:r w:rsidR="00427468">
        <w:rPr>
          <w:kern w:val="0"/>
        </w:rPr>
        <w:t xml:space="preserve"> of </w:t>
      </w:r>
      <w:r>
        <w:rPr>
          <w:kern w:val="0"/>
        </w:rPr>
        <w:t>the trials was a pilot trial in which 16 participants with biopsy-proven NASH were randomised to receive simvastatin 40 mg (n = 10) or placebo (n = 6) once daily for 12 months. No statistically significant improvement in the aminotransferase level was seen in the simvastatin group compared with the placebo group. Liver histology was not significantly affected by simvastatin</w:t>
      </w:r>
      <w:r w:rsidR="00A37C1D">
        <w:rPr>
          <w:kern w:val="0"/>
        </w:rPr>
        <w:t>. The</w:t>
      </w:r>
      <w:r>
        <w:rPr>
          <w:kern w:val="0"/>
        </w:rPr>
        <w:t xml:space="preserve"> other trial </w:t>
      </w:r>
      <w:r>
        <w:rPr>
          <w:kern w:val="0"/>
        </w:rPr>
        <w:lastRenderedPageBreak/>
        <w:t>had three arms</w:t>
      </w:r>
      <w:r w:rsidR="00A37C1D">
        <w:rPr>
          <w:kern w:val="0"/>
        </w:rPr>
        <w:t>. The</w:t>
      </w:r>
      <w:r>
        <w:rPr>
          <w:kern w:val="0"/>
        </w:rPr>
        <w:t xml:space="preserve"> trial compared atorvastatin 20 mg daily (n = 63) versus fenofibrate 200 mg daily (n = 62) versus a group treated with a combination</w:t>
      </w:r>
      <w:r w:rsidR="00427468">
        <w:rPr>
          <w:kern w:val="0"/>
        </w:rPr>
        <w:t xml:space="preserve"> of </w:t>
      </w:r>
      <w:r>
        <w:rPr>
          <w:kern w:val="0"/>
        </w:rPr>
        <w:t>the two interventions (n = 61)</w:t>
      </w:r>
      <w:r w:rsidR="00A37C1D">
        <w:rPr>
          <w:kern w:val="0"/>
        </w:rPr>
        <w:t>. The</w:t>
      </w:r>
      <w:r>
        <w:rPr>
          <w:kern w:val="0"/>
        </w:rPr>
        <w:t>re were no statistically significant differences between any</w:t>
      </w:r>
      <w:r w:rsidR="00427468">
        <w:rPr>
          <w:kern w:val="0"/>
        </w:rPr>
        <w:t xml:space="preserve"> of </w:t>
      </w:r>
      <w:r>
        <w:rPr>
          <w:kern w:val="0"/>
        </w:rPr>
        <w:t>the three intervention groups regarding the week 54 mean activity levels</w:t>
      </w:r>
      <w:r w:rsidR="00427468">
        <w:rPr>
          <w:kern w:val="0"/>
        </w:rPr>
        <w:t xml:space="preserve"> of </w:t>
      </w:r>
      <w:r>
        <w:rPr>
          <w:kern w:val="0"/>
        </w:rPr>
        <w:t>aspartate aminotransferase, alanine aminotransferase, gamma-glutamyl transpeptidase,</w:t>
      </w:r>
      <w:r w:rsidR="005853A9">
        <w:rPr>
          <w:kern w:val="0"/>
        </w:rPr>
        <w:t xml:space="preserve"> and </w:t>
      </w:r>
      <w:r>
        <w:rPr>
          <w:kern w:val="0"/>
        </w:rPr>
        <w:t>alkaline phosphatase</w:t>
      </w:r>
      <w:r w:rsidR="00A37C1D">
        <w:rPr>
          <w:kern w:val="0"/>
        </w:rPr>
        <w:t>. The</w:t>
      </w:r>
      <w:r>
        <w:rPr>
          <w:kern w:val="0"/>
        </w:rPr>
        <w:t xml:space="preserve"> triglyceride levels seemed higher in the fenofibrate group compared with the atorvastatin group. Liver histology was not assessed in this trial</w:t>
      </w:r>
      <w:r w:rsidR="00A37C1D">
        <w:rPr>
          <w:kern w:val="0"/>
        </w:rPr>
        <w:t>. The</w:t>
      </w:r>
      <w:r>
        <w:rPr>
          <w:kern w:val="0"/>
        </w:rPr>
        <w:t xml:space="preserve"> presence</w:t>
      </w:r>
      <w:r w:rsidR="00427468">
        <w:rPr>
          <w:kern w:val="0"/>
        </w:rPr>
        <w:t xml:space="preserve"> of </w:t>
      </w:r>
      <w:r>
        <w:rPr>
          <w:kern w:val="0"/>
        </w:rPr>
        <w:t>biochemical</w:t>
      </w:r>
      <w:r w:rsidR="005853A9">
        <w:rPr>
          <w:kern w:val="0"/>
        </w:rPr>
        <w:t xml:space="preserve"> and </w:t>
      </w:r>
      <w:r>
        <w:rPr>
          <w:kern w:val="0"/>
        </w:rPr>
        <w:t>ultrasonographic evidence</w:t>
      </w:r>
      <w:r w:rsidR="00427468">
        <w:rPr>
          <w:kern w:val="0"/>
        </w:rPr>
        <w:t xml:space="preserve"> of </w:t>
      </w:r>
      <w:r>
        <w:rPr>
          <w:kern w:val="0"/>
        </w:rPr>
        <w:t>NAFLD seemed to be higher in the fenofibrate group compared with the atorvastatin group (58% versus 33%). Three patients discontinued treatment due to myalgia</w:t>
      </w:r>
      <w:r w:rsidR="005853A9">
        <w:rPr>
          <w:kern w:val="0"/>
        </w:rPr>
        <w:t xml:space="preserve"> and </w:t>
      </w:r>
      <w:r>
        <w:rPr>
          <w:kern w:val="0"/>
        </w:rPr>
        <w:t>elevated serum creatine kinase activity; one from the atorvastatin group</w:t>
      </w:r>
      <w:r w:rsidR="005853A9">
        <w:rPr>
          <w:kern w:val="0"/>
        </w:rPr>
        <w:t xml:space="preserve"> and </w:t>
      </w:r>
      <w:r>
        <w:rPr>
          <w:kern w:val="0"/>
        </w:rPr>
        <w:t>two from the combination group. Another patient from the atorvastatin group discontinued treatment due to alanine aminotransferase activity that was over three times the upper normal limit. No data for all-cause mortality</w:t>
      </w:r>
      <w:r w:rsidR="005853A9">
        <w:rPr>
          <w:kern w:val="0"/>
        </w:rPr>
        <w:t xml:space="preserve"> and </w:t>
      </w:r>
      <w:r>
        <w:rPr>
          <w:kern w:val="0"/>
        </w:rPr>
        <w:t>hepatic-related mortality were reported in the included trials. Authors</w:t>
      </w:r>
      <w:r w:rsidR="0071223E">
        <w:rPr>
          <w:kern w:val="0"/>
        </w:rPr>
        <w:t>’</w:t>
      </w:r>
      <w:r>
        <w:rPr>
          <w:kern w:val="0"/>
        </w:rPr>
        <w:t xml:space="preserve"> conclusions Based on the findings</w:t>
      </w:r>
      <w:r w:rsidR="00427468">
        <w:rPr>
          <w:kern w:val="0"/>
        </w:rPr>
        <w:t xml:space="preserve"> of </w:t>
      </w:r>
      <w:r>
        <w:rPr>
          <w:kern w:val="0"/>
        </w:rPr>
        <w:t>this review, which included two trials with high risk</w:t>
      </w:r>
      <w:r w:rsidR="00427468">
        <w:rPr>
          <w:kern w:val="0"/>
        </w:rPr>
        <w:t xml:space="preserve"> of </w:t>
      </w:r>
      <w:r>
        <w:rPr>
          <w:kern w:val="0"/>
        </w:rPr>
        <w:t>bias</w:t>
      </w:r>
      <w:r w:rsidR="005853A9">
        <w:rPr>
          <w:kern w:val="0"/>
        </w:rPr>
        <w:t xml:space="preserve"> and </w:t>
      </w:r>
      <w:r>
        <w:rPr>
          <w:kern w:val="0"/>
        </w:rPr>
        <w:t>a small numbers</w:t>
      </w:r>
      <w:r w:rsidR="00427468">
        <w:rPr>
          <w:kern w:val="0"/>
        </w:rPr>
        <w:t xml:space="preserve"> of </w:t>
      </w:r>
      <w:r>
        <w:rPr>
          <w:kern w:val="0"/>
        </w:rPr>
        <w:t>participants, it seems possible that statins may improve serum aminotransferase levels as well as ultrasound findings. Neither</w:t>
      </w:r>
      <w:r w:rsidR="00427468">
        <w:rPr>
          <w:kern w:val="0"/>
        </w:rPr>
        <w:t xml:space="preserve"> of </w:t>
      </w:r>
      <w:r>
        <w:rPr>
          <w:kern w:val="0"/>
        </w:rPr>
        <w:t>the trials reported on possible histological changes, liver-related morbidity or mortality. Trials with larger sample sizes</w:t>
      </w:r>
      <w:r w:rsidR="005853A9">
        <w:rPr>
          <w:kern w:val="0"/>
        </w:rPr>
        <w:t xml:space="preserve"> and </w:t>
      </w:r>
      <w:r>
        <w:rPr>
          <w:kern w:val="0"/>
        </w:rPr>
        <w:t>low risk</w:t>
      </w:r>
      <w:r w:rsidR="00427468">
        <w:rPr>
          <w:kern w:val="0"/>
        </w:rPr>
        <w:t xml:space="preserve"> of </w:t>
      </w:r>
      <w:r>
        <w:rPr>
          <w:kern w:val="0"/>
        </w:rPr>
        <w:t>bias are necessary before we may suggest statins as an effective treatment for patients with NASH. However, as statins can improve the adverse outcomes</w:t>
      </w:r>
      <w:r w:rsidR="00427468">
        <w:rPr>
          <w:kern w:val="0"/>
        </w:rPr>
        <w:t xml:space="preserve"> of </w:t>
      </w:r>
      <w:r>
        <w:rPr>
          <w:kern w:val="0"/>
        </w:rPr>
        <w:t>other conditions commonly associated with NASH (for example, hyperlipidaemia, diabetes mellitus, metabolic syndrome), their use in patients with non-alcoholic steatohepatitis may be justified.</w:t>
      </w:r>
    </w:p>
    <w:p w:rsidR="00533624" w:rsidRDefault="00533624" w:rsidP="00533624">
      <w:pPr>
        <w:pStyle w:val="a3"/>
        <w:rPr>
          <w:kern w:val="0"/>
        </w:rPr>
      </w:pPr>
      <w:r>
        <w:rPr>
          <w:kern w:val="0"/>
        </w:rPr>
        <w:t>Keywords: Activity, Adverse Outcomes, Alanine Aminotransferase, Analysis, Aspartate Aminotransferase, Authors, Bias, Changes, Citation, Clinical, Clinical Outcomes, Clinical Trials, Collection, Complete, Controlled-Trials, Creatine, Criteria, Data, Data Collection, Design Characteristics, Diabetes, Diabetes Mellitus, Disease, Effects, Efficacy, Embase, Empirical-Evidence, Endoplasmic-Reticulum Stress, Enzymes, Events, Evidence, General, Groups, Hepatic Steatosis, Histology, Hmg-Coa Reductase, Hypercholesterolemic Patients, Imaging, Improvement, Inhibitors, Intervention, Interventions, Language, Lead, Literature, Literature Search, Liver, Low Risk, Medline, Metabolic Syndrome, Methods, Morbidity, Mortality, Nonalcoholic Fatty Liver Disease, Normal, Outcomes, Patients, Pilot, Placebo, Plasma, Population, Primary, Publication, Publications, Randomised, Randomized-Trials, Recent, Records, Reference, Reference Lists, Restrictions, Review, Risk, Science, Science Citation Index, Science Citation Index Expanded, Search, Serum, Simvastatin, Small, Statins, Syndrome, Treatment, Trial, Triglyceride, Ultrasound</w:t>
      </w:r>
    </w:p>
    <w:p w:rsidR="00533624" w:rsidRDefault="00533624" w:rsidP="00533624">
      <w:pPr>
        <w:pStyle w:val="a3"/>
        <w:rPr>
          <w:kern w:val="0"/>
        </w:rPr>
      </w:pPr>
      <w:r>
        <w:rPr>
          <w:rFonts w:hint="eastAsia"/>
          <w:kern w:val="0"/>
        </w:rPr>
        <w:lastRenderedPageBreak/>
        <w:t xml:space="preserve">? </w:t>
      </w:r>
      <w:r>
        <w:rPr>
          <w:kern w:val="0"/>
        </w:rPr>
        <w:t>Penninga, L., Moller, C.H., Gustafsson, F., Gluud, C.</w:t>
      </w:r>
      <w:r w:rsidR="005853A9">
        <w:rPr>
          <w:kern w:val="0"/>
        </w:rPr>
        <w:t xml:space="preserve"> and </w:t>
      </w:r>
      <w:r>
        <w:rPr>
          <w:kern w:val="0"/>
        </w:rPr>
        <w:t xml:space="preserve">Steinbruchel, D.A. (2013), Immunosuppressive T-cell antibody induction for heart transplant recipients.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CD008842</w:t>
      </w:r>
      <w:r>
        <w:rPr>
          <w:kern w:val="0"/>
        </w:rPr>
        <w:t>.</w:t>
      </w:r>
    </w:p>
    <w:p w:rsidR="00533624" w:rsidRDefault="00533624" w:rsidP="00533624">
      <w:pPr>
        <w:pStyle w:val="a3"/>
        <w:rPr>
          <w:kern w:val="2"/>
        </w:rPr>
      </w:pPr>
      <w:r>
        <w:t xml:space="preserve">Full Text: 2013\Coc Dat Sys Rev2013, </w:t>
      </w:r>
      <w:r w:rsidRPr="007F1AEF">
        <w:rPr>
          <w:kern w:val="0"/>
        </w:rPr>
        <w:t>CD008842</w:t>
      </w:r>
      <w:r>
        <w:t>.pdf</w:t>
      </w:r>
    </w:p>
    <w:p w:rsidR="00533624" w:rsidRDefault="00533624" w:rsidP="00533624">
      <w:pPr>
        <w:pStyle w:val="a3"/>
        <w:rPr>
          <w:kern w:val="0"/>
        </w:rPr>
      </w:pPr>
      <w:r>
        <w:rPr>
          <w:kern w:val="0"/>
        </w:rPr>
        <w:t>Abstract: Background Heart transplantation has become a valuable</w:t>
      </w:r>
      <w:r w:rsidR="005853A9">
        <w:rPr>
          <w:kern w:val="0"/>
        </w:rPr>
        <w:t xml:space="preserve"> and </w:t>
      </w:r>
      <w:r>
        <w:rPr>
          <w:kern w:val="0"/>
        </w:rPr>
        <w:t>well-accepted treatment option for end-stage heart failure. Rejection</w:t>
      </w:r>
      <w:r w:rsidR="00427468">
        <w:rPr>
          <w:kern w:val="0"/>
        </w:rPr>
        <w:t xml:space="preserve"> of </w:t>
      </w:r>
      <w:r>
        <w:rPr>
          <w:kern w:val="0"/>
        </w:rPr>
        <w:t>the transplanted heart by the recipient</w:t>
      </w:r>
      <w:r w:rsidR="0071223E">
        <w:rPr>
          <w:kern w:val="0"/>
        </w:rPr>
        <w:t>’</w:t>
      </w:r>
      <w:r>
        <w:rPr>
          <w:kern w:val="0"/>
        </w:rPr>
        <w:t>s body is a risk to the success</w:t>
      </w:r>
      <w:r w:rsidR="00427468">
        <w:rPr>
          <w:kern w:val="0"/>
        </w:rPr>
        <w:t xml:space="preserve"> of </w:t>
      </w:r>
      <w:r>
        <w:rPr>
          <w:kern w:val="0"/>
        </w:rPr>
        <w:t>the procedure,</w:t>
      </w:r>
      <w:r w:rsidR="005853A9">
        <w:rPr>
          <w:kern w:val="0"/>
        </w:rPr>
        <w:t xml:space="preserve"> and </w:t>
      </w:r>
      <w:r>
        <w:rPr>
          <w:kern w:val="0"/>
        </w:rPr>
        <w:t>life-long immunosuppression is necessary to avoid this. Clear evidence is required to identify the best, safest</w:t>
      </w:r>
      <w:r w:rsidR="005853A9">
        <w:rPr>
          <w:kern w:val="0"/>
        </w:rPr>
        <w:t xml:space="preserve"> and </w:t>
      </w:r>
      <w:r>
        <w:rPr>
          <w:kern w:val="0"/>
        </w:rPr>
        <w:t>most effective immunosuppressive treatment strategy for heart transplant recipients. To date, there is no consensus on the use</w:t>
      </w:r>
      <w:r w:rsidR="00427468">
        <w:rPr>
          <w:kern w:val="0"/>
        </w:rPr>
        <w:t xml:space="preserve"> of </w:t>
      </w:r>
      <w:r>
        <w:rPr>
          <w:kern w:val="0"/>
        </w:rPr>
        <w:t>immunosuppressive antibodies against T-cells for induction after heart transplantation. Objectives To review the benefits, harms, feasibility</w:t>
      </w:r>
      <w:r w:rsidR="005853A9">
        <w:rPr>
          <w:kern w:val="0"/>
        </w:rPr>
        <w:t xml:space="preserve"> and </w:t>
      </w:r>
      <w:r>
        <w:rPr>
          <w:kern w:val="0"/>
        </w:rPr>
        <w:t>tolerability</w:t>
      </w:r>
      <w:r w:rsidR="00427468">
        <w:rPr>
          <w:kern w:val="0"/>
        </w:rPr>
        <w:t xml:space="preserve"> of </w:t>
      </w:r>
      <w:r>
        <w:rPr>
          <w:kern w:val="0"/>
        </w:rPr>
        <w:t>immunosuppressive T-cell antibody induction versus placebo, or no antibody induction, or another kind</w:t>
      </w:r>
      <w:r w:rsidR="00427468">
        <w:rPr>
          <w:kern w:val="0"/>
        </w:rPr>
        <w:t xml:space="preserve"> of </w:t>
      </w:r>
      <w:r>
        <w:rPr>
          <w:kern w:val="0"/>
        </w:rPr>
        <w:t>antibody induction for heart transplant recipients. Search methods We searched the Cochrane Central Register</w:t>
      </w:r>
      <w:r w:rsidR="00427468">
        <w:rPr>
          <w:kern w:val="0"/>
        </w:rPr>
        <w:t xml:space="preserve"> of </w:t>
      </w:r>
      <w:r>
        <w:rPr>
          <w:kern w:val="0"/>
        </w:rPr>
        <w:t>Controlled Trials (CENTRAL) (Issue 11, 2012), MEDLINE (Ovid) (1946 to November Week 1 2012), EMBASE (Ovid) (1946 to 2012 Week 45), ISI Web</w:t>
      </w:r>
      <w:r w:rsidR="00427468">
        <w:rPr>
          <w:kern w:val="0"/>
        </w:rPr>
        <w:t xml:space="preserve"> of </w:t>
      </w:r>
      <w:r>
        <w:rPr>
          <w:kern w:val="0"/>
        </w:rPr>
        <w:t>Science (14 November 2012); we also searched two clinical trial registers</w:t>
      </w:r>
      <w:r w:rsidR="005853A9">
        <w:rPr>
          <w:kern w:val="0"/>
        </w:rPr>
        <w:t xml:space="preserve"> and </w:t>
      </w:r>
      <w:r>
        <w:rPr>
          <w:kern w:val="0"/>
        </w:rPr>
        <w:t>checked reference lists in November 2012. Selection criteria We included all randomised clinical trials (RCTs) assessing immunosuppressive T-cell antibody induction for heart transplant recipients. Within individual trials, we required all participants to receive the same maintenance immunosuppressive therapy. Data collection</w:t>
      </w:r>
      <w:r w:rsidR="005853A9">
        <w:rPr>
          <w:kern w:val="0"/>
        </w:rPr>
        <w:t xml:space="preserve"> and </w:t>
      </w:r>
      <w:r>
        <w:rPr>
          <w:kern w:val="0"/>
        </w:rPr>
        <w:t>analysis Two authors extracted data independently. RevMan analysis was used for statistical analysis</w:t>
      </w:r>
      <w:r w:rsidR="00427468">
        <w:rPr>
          <w:kern w:val="0"/>
        </w:rPr>
        <w:t xml:space="preserve"> of </w:t>
      </w:r>
      <w:r>
        <w:rPr>
          <w:kern w:val="0"/>
        </w:rPr>
        <w:t>dichotomous data with risk ratio (RR),</w:t>
      </w:r>
      <w:r w:rsidR="005853A9">
        <w:rPr>
          <w:kern w:val="0"/>
        </w:rPr>
        <w:t xml:space="preserve"> and</w:t>
      </w:r>
      <w:r w:rsidR="00427468">
        <w:rPr>
          <w:kern w:val="0"/>
        </w:rPr>
        <w:t xml:space="preserve"> of </w:t>
      </w:r>
      <w:r>
        <w:rPr>
          <w:kern w:val="0"/>
        </w:rPr>
        <w:t>continuous data with mean difference (MD), both with 95% confidence intervals (CI). Methodological components were used to assess risks</w:t>
      </w:r>
      <w:r w:rsidR="00427468">
        <w:rPr>
          <w:kern w:val="0"/>
        </w:rPr>
        <w:t xml:space="preserve"> of </w:t>
      </w:r>
      <w:r>
        <w:rPr>
          <w:kern w:val="0"/>
        </w:rPr>
        <w:t>systematic errors (bias). Trial sequential analysis was used to assess the risks</w:t>
      </w:r>
      <w:r w:rsidR="00427468">
        <w:rPr>
          <w:kern w:val="0"/>
        </w:rPr>
        <w:t xml:space="preserve"> of </w:t>
      </w:r>
      <w:r>
        <w:rPr>
          <w:kern w:val="0"/>
        </w:rPr>
        <w:t>random errors (play</w:t>
      </w:r>
      <w:r w:rsidR="00427468">
        <w:rPr>
          <w:kern w:val="0"/>
        </w:rPr>
        <w:t xml:space="preserve"> of </w:t>
      </w:r>
      <w:r>
        <w:rPr>
          <w:kern w:val="0"/>
        </w:rPr>
        <w:t>chance). We assessed mortality, acute rejection, infection, Cytomegalovirus (CMV) infection, post-transplantation lymphoproliferative disorder, cancer, adverse events, chronic allograft vasculopathy, renal function, hypertension, diabetes mellitus,</w:t>
      </w:r>
      <w:r w:rsidR="005853A9">
        <w:rPr>
          <w:kern w:val="0"/>
        </w:rPr>
        <w:t xml:space="preserve"> and </w:t>
      </w:r>
      <w:r>
        <w:rPr>
          <w:kern w:val="0"/>
        </w:rPr>
        <w:t>hyperlipidaemia. Main results in this review, we included 22 RCTs that investigated the use</w:t>
      </w:r>
      <w:r w:rsidR="00427468">
        <w:rPr>
          <w:kern w:val="0"/>
        </w:rPr>
        <w:t xml:space="preserve"> of </w:t>
      </w:r>
      <w:r>
        <w:rPr>
          <w:kern w:val="0"/>
        </w:rPr>
        <w:t>T-cell antibody induction, with a total</w:t>
      </w:r>
      <w:r w:rsidR="00427468">
        <w:rPr>
          <w:kern w:val="0"/>
        </w:rPr>
        <w:t xml:space="preserve"> of </w:t>
      </w:r>
      <w:r>
        <w:rPr>
          <w:kern w:val="0"/>
        </w:rPr>
        <w:t>1427 heart-transplant recipients. All trials were judged to be at a high risk</w:t>
      </w:r>
      <w:r w:rsidR="00427468">
        <w:rPr>
          <w:kern w:val="0"/>
        </w:rPr>
        <w:t xml:space="preserve"> of </w:t>
      </w:r>
      <w:r>
        <w:rPr>
          <w:kern w:val="0"/>
        </w:rPr>
        <w:t>bias. Five trials, with a total</w:t>
      </w:r>
      <w:r w:rsidR="00427468">
        <w:rPr>
          <w:kern w:val="0"/>
        </w:rPr>
        <w:t xml:space="preserve"> of </w:t>
      </w:r>
      <w:r>
        <w:rPr>
          <w:kern w:val="0"/>
        </w:rPr>
        <w:t>606 participants, compared any kind</w:t>
      </w:r>
      <w:r w:rsidR="00427468">
        <w:rPr>
          <w:kern w:val="0"/>
        </w:rPr>
        <w:t xml:space="preserve"> of </w:t>
      </w:r>
      <w:r>
        <w:rPr>
          <w:kern w:val="0"/>
        </w:rPr>
        <w:t>T-cell antibody induction versus no antibody induction; four trials, with a total</w:t>
      </w:r>
      <w:r w:rsidR="00427468">
        <w:rPr>
          <w:kern w:val="0"/>
        </w:rPr>
        <w:t xml:space="preserve"> of </w:t>
      </w:r>
      <w:r>
        <w:rPr>
          <w:kern w:val="0"/>
        </w:rPr>
        <w:t>576 participants, compared interleukin-2 receptor antagonist (IL-2 RA) versus no induction; one trial, with 30 participants, compared monoclonal antibody (other than IL-2 RA) versus no antibody induction; two trials, with a total</w:t>
      </w:r>
      <w:r w:rsidR="00427468">
        <w:rPr>
          <w:kern w:val="0"/>
        </w:rPr>
        <w:t xml:space="preserve"> of </w:t>
      </w:r>
      <w:r>
        <w:rPr>
          <w:kern w:val="0"/>
        </w:rPr>
        <w:t>159 participants, compared IL-2 RA versus monoclonal antibody (other than IL-2 RA) induction; four trials, with a total</w:t>
      </w:r>
      <w:r w:rsidR="00427468">
        <w:rPr>
          <w:kern w:val="0"/>
        </w:rPr>
        <w:t xml:space="preserve"> of </w:t>
      </w:r>
      <w:r>
        <w:rPr>
          <w:kern w:val="0"/>
        </w:rPr>
        <w:t xml:space="preserve">185 participants, compared IL-2 RA versus polyclonal antibody induction; seven </w:t>
      </w:r>
      <w:r>
        <w:rPr>
          <w:kern w:val="0"/>
        </w:rPr>
        <w:lastRenderedPageBreak/>
        <w:t>trials, with a total</w:t>
      </w:r>
      <w:r w:rsidR="00427468">
        <w:rPr>
          <w:kern w:val="0"/>
        </w:rPr>
        <w:t xml:space="preserve"> of </w:t>
      </w:r>
      <w:r>
        <w:rPr>
          <w:kern w:val="0"/>
        </w:rPr>
        <w:t>315 participants, compared monoclonal antibody (other than IL-2 RA) versus polyclonal antibody induction;</w:t>
      </w:r>
      <w:r w:rsidR="005853A9">
        <w:rPr>
          <w:kern w:val="0"/>
        </w:rPr>
        <w:t xml:space="preserve"> and </w:t>
      </w:r>
      <w:r>
        <w:rPr>
          <w:kern w:val="0"/>
        </w:rPr>
        <w:t>four trials, with a total</w:t>
      </w:r>
      <w:r w:rsidR="00427468">
        <w:rPr>
          <w:kern w:val="0"/>
        </w:rPr>
        <w:t xml:space="preserve"> of </w:t>
      </w:r>
      <w:r>
        <w:rPr>
          <w:kern w:val="0"/>
        </w:rPr>
        <w:t>162 participants, compared polyclonal antibody induction versus another kind, or dose</w:t>
      </w:r>
      <w:r w:rsidR="00427468">
        <w:rPr>
          <w:kern w:val="0"/>
        </w:rPr>
        <w:t xml:space="preserve"> of </w:t>
      </w:r>
      <w:r>
        <w:rPr>
          <w:kern w:val="0"/>
        </w:rPr>
        <w:t>polyclonal antibodies. No significant differences were found for any</w:t>
      </w:r>
      <w:r w:rsidR="00427468">
        <w:rPr>
          <w:kern w:val="0"/>
        </w:rPr>
        <w:t xml:space="preserve"> of </w:t>
      </w:r>
      <w:r>
        <w:rPr>
          <w:kern w:val="0"/>
        </w:rPr>
        <w:t>the comparisons for the outcomes</w:t>
      </w:r>
      <w:r w:rsidR="00427468">
        <w:rPr>
          <w:kern w:val="0"/>
        </w:rPr>
        <w:t xml:space="preserve"> of </w:t>
      </w:r>
      <w:r>
        <w:rPr>
          <w:kern w:val="0"/>
        </w:rPr>
        <w:t>mortality, infection, CMV infection, post-transplantation lymphoproliferative disorder, cancer, adverse events, chronic allograft vasculopathy, renal function, hypertension, diabetes mellitus, or hyperlipidaemia. Acute rejection occurred significantly less frequently when IL-2 RA induction was compared with no induction (93/284 (33%) versus 132/292 (45%); RR 0.73; 95% CI 0.59 to 0.90; I-2 57%) applying the fixed-effect model. No significant difference was found when the random-effects model was applied (RR 0.73; 95% CI 0.46 to 1.17; I-2 57%). in addition, acute rejection occurred more often statistically when IL-2 RA induction was compared with polyclonal antibody induction (24/90 (27%) versus 10/95 (11%); RR 2.43; 95% CI 1.01 to 5.86; I-2 28%). For all</w:t>
      </w:r>
      <w:r w:rsidR="00427468">
        <w:rPr>
          <w:kern w:val="0"/>
        </w:rPr>
        <w:t xml:space="preserve"> of </w:t>
      </w:r>
      <w:r>
        <w:rPr>
          <w:kern w:val="0"/>
        </w:rPr>
        <w:t>these differences in acute rejection, trial sequential alpha-spending boundaries were not crossed</w:t>
      </w:r>
      <w:r w:rsidR="005853A9">
        <w:rPr>
          <w:kern w:val="0"/>
        </w:rPr>
        <w:t xml:space="preserve"> and </w:t>
      </w:r>
      <w:r>
        <w:rPr>
          <w:kern w:val="0"/>
        </w:rPr>
        <w:t>the required information sizes were not reached when trial sequential analysis was performed, indicating that we cannot exclude random errors. We observed some occasional significant differences in adverse events in some</w:t>
      </w:r>
      <w:r w:rsidR="00427468">
        <w:rPr>
          <w:kern w:val="0"/>
        </w:rPr>
        <w:t xml:space="preserve"> of </w:t>
      </w:r>
      <w:r>
        <w:rPr>
          <w:kern w:val="0"/>
        </w:rPr>
        <w:t>the comparisons, however definitions</w:t>
      </w:r>
      <w:r w:rsidR="00427468">
        <w:rPr>
          <w:kern w:val="0"/>
        </w:rPr>
        <w:t xml:space="preserve"> of </w:t>
      </w:r>
      <w:r>
        <w:rPr>
          <w:kern w:val="0"/>
        </w:rPr>
        <w:t>adverse events varied between trials,</w:t>
      </w:r>
      <w:r w:rsidR="005853A9">
        <w:rPr>
          <w:kern w:val="0"/>
        </w:rPr>
        <w:t xml:space="preserve"> and </w:t>
      </w:r>
      <w:r>
        <w:rPr>
          <w:kern w:val="0"/>
        </w:rPr>
        <w:t>numbers</w:t>
      </w:r>
      <w:r w:rsidR="00427468">
        <w:rPr>
          <w:kern w:val="0"/>
        </w:rPr>
        <w:t xml:space="preserve"> of </w:t>
      </w:r>
      <w:r>
        <w:rPr>
          <w:kern w:val="0"/>
        </w:rPr>
        <w:t>participants</w:t>
      </w:r>
      <w:r w:rsidR="005853A9">
        <w:rPr>
          <w:kern w:val="0"/>
        </w:rPr>
        <w:t xml:space="preserve"> and </w:t>
      </w:r>
      <w:r>
        <w:rPr>
          <w:kern w:val="0"/>
        </w:rPr>
        <w:t>events in these outcomes were too small to allow definitive conclusions to be drawn. Authors</w:t>
      </w:r>
      <w:r w:rsidR="0071223E">
        <w:rPr>
          <w:kern w:val="0"/>
        </w:rPr>
        <w:t>’</w:t>
      </w:r>
      <w:r>
        <w:rPr>
          <w:kern w:val="0"/>
        </w:rPr>
        <w:t xml:space="preserve"> conclusions This review shows that acute rejection might be reduced by IL-2 RA compared with no induction,</w:t>
      </w:r>
      <w:r w:rsidR="005853A9">
        <w:rPr>
          <w:kern w:val="0"/>
        </w:rPr>
        <w:t xml:space="preserve"> and </w:t>
      </w:r>
      <w:r>
        <w:rPr>
          <w:kern w:val="0"/>
        </w:rPr>
        <w:t>by polyclonal antibody induction compared with IL-2 RA, though trial sequential analyses cannot exclude random errors,</w:t>
      </w:r>
      <w:r w:rsidR="005853A9">
        <w:rPr>
          <w:kern w:val="0"/>
        </w:rPr>
        <w:t xml:space="preserve"> and </w:t>
      </w:r>
      <w:r>
        <w:rPr>
          <w:kern w:val="0"/>
        </w:rPr>
        <w:t>the significance</w:t>
      </w:r>
      <w:r w:rsidR="00427468">
        <w:rPr>
          <w:kern w:val="0"/>
        </w:rPr>
        <w:t xml:space="preserve"> of </w:t>
      </w:r>
      <w:r>
        <w:rPr>
          <w:kern w:val="0"/>
        </w:rPr>
        <w:t>our observations depended on the statistical model used. Furthermore, this review does not show other clear benefits or harms associated with the use</w:t>
      </w:r>
      <w:r w:rsidR="00427468">
        <w:rPr>
          <w:kern w:val="0"/>
        </w:rPr>
        <w:t xml:space="preserve"> of </w:t>
      </w:r>
      <w:r>
        <w:rPr>
          <w:kern w:val="0"/>
        </w:rPr>
        <w:t>any kind</w:t>
      </w:r>
      <w:r w:rsidR="00427468">
        <w:rPr>
          <w:kern w:val="0"/>
        </w:rPr>
        <w:t xml:space="preserve"> of </w:t>
      </w:r>
      <w:r>
        <w:rPr>
          <w:kern w:val="0"/>
        </w:rPr>
        <w:t>T-cell antibody induction compared with no induction, or when one type</w:t>
      </w:r>
      <w:r w:rsidR="00427468">
        <w:rPr>
          <w:kern w:val="0"/>
        </w:rPr>
        <w:t xml:space="preserve"> of </w:t>
      </w:r>
      <w:r>
        <w:rPr>
          <w:kern w:val="0"/>
        </w:rPr>
        <w:t>T-cell antibody is compared with another type</w:t>
      </w:r>
      <w:r w:rsidR="00427468">
        <w:rPr>
          <w:kern w:val="0"/>
        </w:rPr>
        <w:t xml:space="preserve"> of </w:t>
      </w:r>
      <w:r>
        <w:rPr>
          <w:kern w:val="0"/>
        </w:rPr>
        <w:t>antibody</w:t>
      </w:r>
      <w:r w:rsidR="00A37C1D">
        <w:rPr>
          <w:kern w:val="0"/>
        </w:rPr>
        <w:t>. The</w:t>
      </w:r>
      <w:r>
        <w:rPr>
          <w:kern w:val="0"/>
        </w:rPr>
        <w:t xml:space="preserve"> number</w:t>
      </w:r>
      <w:r w:rsidR="00427468">
        <w:rPr>
          <w:kern w:val="0"/>
        </w:rPr>
        <w:t xml:space="preserve"> of </w:t>
      </w:r>
      <w:r>
        <w:rPr>
          <w:kern w:val="0"/>
        </w:rPr>
        <w:t>trials investigating the use</w:t>
      </w:r>
      <w:r w:rsidR="00427468">
        <w:rPr>
          <w:kern w:val="0"/>
        </w:rPr>
        <w:t xml:space="preserve"> of </w:t>
      </w:r>
      <w:r>
        <w:rPr>
          <w:kern w:val="0"/>
        </w:rPr>
        <w:t>antibodies against T-cells for induction after heart transplantation is small,</w:t>
      </w:r>
      <w:r w:rsidR="005853A9">
        <w:rPr>
          <w:kern w:val="0"/>
        </w:rPr>
        <w:t xml:space="preserve"> and </w:t>
      </w:r>
      <w:r>
        <w:rPr>
          <w:kern w:val="0"/>
        </w:rPr>
        <w:t>the number</w:t>
      </w:r>
      <w:r w:rsidR="00427468">
        <w:rPr>
          <w:kern w:val="0"/>
        </w:rPr>
        <w:t xml:space="preserve"> of </w:t>
      </w:r>
      <w:r>
        <w:rPr>
          <w:kern w:val="0"/>
        </w:rPr>
        <w:t>participants</w:t>
      </w:r>
      <w:r w:rsidR="005853A9">
        <w:rPr>
          <w:kern w:val="0"/>
        </w:rPr>
        <w:t xml:space="preserve"> and </w:t>
      </w:r>
      <w:r>
        <w:rPr>
          <w:kern w:val="0"/>
        </w:rPr>
        <w:t>outcomes in these RCTs is limited. Furthermore, the included trials are at a high risk</w:t>
      </w:r>
      <w:r w:rsidR="00427468">
        <w:rPr>
          <w:kern w:val="0"/>
        </w:rPr>
        <w:t xml:space="preserve"> of </w:t>
      </w:r>
      <w:r>
        <w:rPr>
          <w:kern w:val="0"/>
        </w:rPr>
        <w:t>bias. Hence, more RCTs are needed to assess the benefits</w:t>
      </w:r>
      <w:r w:rsidR="005853A9">
        <w:rPr>
          <w:kern w:val="0"/>
        </w:rPr>
        <w:t xml:space="preserve"> and </w:t>
      </w:r>
      <w:r>
        <w:rPr>
          <w:kern w:val="0"/>
        </w:rPr>
        <w:t>harms</w:t>
      </w:r>
      <w:r w:rsidR="00427468">
        <w:rPr>
          <w:kern w:val="0"/>
        </w:rPr>
        <w:t xml:space="preserve"> of </w:t>
      </w:r>
      <w:r>
        <w:rPr>
          <w:kern w:val="0"/>
        </w:rPr>
        <w:t>T-cell antibody induction for heart-transplant recipients. Such trials ought to be conducted with low risks</w:t>
      </w:r>
      <w:r w:rsidR="00427468">
        <w:rPr>
          <w:kern w:val="0"/>
        </w:rPr>
        <w:t xml:space="preserve"> of </w:t>
      </w:r>
      <w:r>
        <w:rPr>
          <w:kern w:val="0"/>
        </w:rPr>
        <w:t>systematic</w:t>
      </w:r>
      <w:r w:rsidR="005853A9">
        <w:rPr>
          <w:kern w:val="0"/>
        </w:rPr>
        <w:t xml:space="preserve"> and </w:t>
      </w:r>
      <w:r>
        <w:rPr>
          <w:kern w:val="0"/>
        </w:rPr>
        <w:t>random error.</w:t>
      </w:r>
    </w:p>
    <w:p w:rsidR="00533624" w:rsidRDefault="00533624" w:rsidP="00533624">
      <w:pPr>
        <w:pStyle w:val="a3"/>
        <w:rPr>
          <w:kern w:val="0"/>
        </w:rPr>
      </w:pPr>
      <w:r>
        <w:rPr>
          <w:kern w:val="0"/>
        </w:rPr>
        <w:t xml:space="preserve">Keywords: Acute Rejection, Analyses, Analysis, Antibodies, Antibody, Assessing, Authors, Benefits, Bias, Boundaries, Cancer, Cardiac Transplantation, Chronic, Clinical, Clinical Trial, Clinical Trials, Collection, Confidence, Confidence Intervals, Consensus, Criteria, Data, Data Collection, Diabetes, Diabetes Mellitus, Embase, Error, Errors, Events, Evidence, Failure, Feasibility, Function, Heart, Heart Failure, Heart Transplant, Heart Transplantation, Hypertension, Il-2, Immunosuppression, </w:t>
      </w:r>
      <w:r>
        <w:rPr>
          <w:kern w:val="0"/>
        </w:rPr>
        <w:lastRenderedPageBreak/>
        <w:t>Immunosuppressive Therapy, Induction, Infection, Information, Intervals, Isi, Isi Web</w:t>
      </w:r>
      <w:r w:rsidR="00427468">
        <w:rPr>
          <w:kern w:val="0"/>
        </w:rPr>
        <w:t xml:space="preserve"> of </w:t>
      </w:r>
      <w:r>
        <w:rPr>
          <w:kern w:val="0"/>
        </w:rPr>
        <w:t>Science, Maintenance Immunosuppression, Medline, Methods, Model, Monoclonal-Antibody, Mortality, Observations, Organ-Transplantation, Outcomes, Placebo, Procedure, Prophylactic Okt3, Rabbit-Antithymocyte Globulin, Random Effects Model, Randomised, Randomized-Trial, Receptor Antagonist, Reference, Reference Lists, Rejection, Renal, Renal Function, Review, Risk, Risks, Science, Search, Significance, Single-Center Experience, Small, Statistical Analysis, Strategy, Therapy, Thymocyte Globulin, Transplantation, Treatment, Treatment Option, Trial, Web</w:t>
      </w:r>
      <w:r w:rsidR="00427468">
        <w:rPr>
          <w:kern w:val="0"/>
        </w:rPr>
        <w:t xml:space="preserve"> of </w:t>
      </w:r>
      <w:r>
        <w:rPr>
          <w:kern w:val="0"/>
        </w:rPr>
        <w:t>Science</w:t>
      </w:r>
    </w:p>
    <w:p w:rsidR="00533624" w:rsidRDefault="00533624" w:rsidP="00533624">
      <w:pPr>
        <w:pStyle w:val="a3"/>
        <w:rPr>
          <w:kern w:val="0"/>
        </w:rPr>
      </w:pPr>
      <w:r>
        <w:rPr>
          <w:rFonts w:hint="eastAsia"/>
          <w:kern w:val="0"/>
        </w:rPr>
        <w:t xml:space="preserve">? </w:t>
      </w:r>
      <w:r>
        <w:rPr>
          <w:kern w:val="0"/>
        </w:rPr>
        <w:t>Prabhu, R.K.R., Swaminathan, N.</w:t>
      </w:r>
      <w:r w:rsidR="005853A9">
        <w:rPr>
          <w:kern w:val="0"/>
        </w:rPr>
        <w:t xml:space="preserve"> and </w:t>
      </w:r>
      <w:r>
        <w:rPr>
          <w:kern w:val="0"/>
        </w:rPr>
        <w:t>Harvey, L.A. (2013), Passive movements for the treatment</w:t>
      </w:r>
      <w:r w:rsidR="005853A9">
        <w:rPr>
          <w:kern w:val="0"/>
        </w:rPr>
        <w:t xml:space="preserve"> and </w:t>
      </w:r>
      <w:r>
        <w:rPr>
          <w:kern w:val="0"/>
        </w:rPr>
        <w:t>prevention</w:t>
      </w:r>
      <w:r w:rsidR="00427468">
        <w:rPr>
          <w:kern w:val="0"/>
        </w:rPr>
        <w:t xml:space="preserve"> of </w:t>
      </w:r>
      <w:r>
        <w:rPr>
          <w:kern w:val="0"/>
        </w:rPr>
        <w:t xml:space="preserve">contractures.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CD009331</w:t>
      </w:r>
      <w:r>
        <w:rPr>
          <w:kern w:val="0"/>
        </w:rPr>
        <w:t>.</w:t>
      </w:r>
    </w:p>
    <w:p w:rsidR="00533624" w:rsidRDefault="00533624" w:rsidP="00533624">
      <w:pPr>
        <w:pStyle w:val="a3"/>
        <w:rPr>
          <w:kern w:val="2"/>
        </w:rPr>
      </w:pPr>
      <w:r>
        <w:t xml:space="preserve">Full Text: 2013\Coc Dat Sys Rev2013, </w:t>
      </w:r>
      <w:r w:rsidRPr="007F1AEF">
        <w:rPr>
          <w:kern w:val="0"/>
        </w:rPr>
        <w:t>CD009331</w:t>
      </w:r>
      <w:r>
        <w:t>.pdf</w:t>
      </w:r>
    </w:p>
    <w:p w:rsidR="00533624" w:rsidRDefault="00533624" w:rsidP="00533624">
      <w:pPr>
        <w:pStyle w:val="a3"/>
        <w:rPr>
          <w:kern w:val="0"/>
        </w:rPr>
      </w:pPr>
      <w:r>
        <w:rPr>
          <w:kern w:val="0"/>
        </w:rPr>
        <w:t>Abstract: Background Contractures, a common complication following immobility, lead to restricted joint range</w:t>
      </w:r>
      <w:r w:rsidR="00427468">
        <w:rPr>
          <w:kern w:val="0"/>
        </w:rPr>
        <w:t xml:space="preserve"> of </w:t>
      </w:r>
      <w:r>
        <w:rPr>
          <w:kern w:val="0"/>
        </w:rPr>
        <w:t>motion. Passive movements (PMs) are widely used for the treatment</w:t>
      </w:r>
      <w:r w:rsidR="005853A9">
        <w:rPr>
          <w:kern w:val="0"/>
        </w:rPr>
        <w:t xml:space="preserve"> and </w:t>
      </w:r>
      <w:r>
        <w:rPr>
          <w:kern w:val="0"/>
        </w:rPr>
        <w:t>prevention</w:t>
      </w:r>
      <w:r w:rsidR="00427468">
        <w:rPr>
          <w:kern w:val="0"/>
        </w:rPr>
        <w:t xml:space="preserve"> of </w:t>
      </w:r>
      <w:r>
        <w:rPr>
          <w:kern w:val="0"/>
        </w:rPr>
        <w:t>contractures; however, it is not clear whether they are effective. Objectives The aim</w:t>
      </w:r>
      <w:r w:rsidR="00427468">
        <w:rPr>
          <w:kern w:val="0"/>
        </w:rPr>
        <w:t xml:space="preserve"> of </w:t>
      </w:r>
      <w:r>
        <w:rPr>
          <w:kern w:val="0"/>
        </w:rPr>
        <w:t>this review was to determine the effects</w:t>
      </w:r>
      <w:r w:rsidR="00427468">
        <w:rPr>
          <w:kern w:val="0"/>
        </w:rPr>
        <w:t xml:space="preserve"> of </w:t>
      </w:r>
      <w:r>
        <w:rPr>
          <w:kern w:val="0"/>
        </w:rPr>
        <w:t>PMs on persons with contractures or at risk</w:t>
      </w:r>
      <w:r w:rsidR="00427468">
        <w:rPr>
          <w:kern w:val="0"/>
        </w:rPr>
        <w:t xml:space="preserve"> of </w:t>
      </w:r>
      <w:r>
        <w:rPr>
          <w:kern w:val="0"/>
        </w:rPr>
        <w:t>developing contractures. Specifically, the aim was to determine whether PMs increase joint mobility. Search methods We searched the Cochrane Injuries Group Specialised Register, the Cochrane Central Register</w:t>
      </w:r>
      <w:r w:rsidR="00427468">
        <w:rPr>
          <w:kern w:val="0"/>
        </w:rPr>
        <w:t xml:space="preserve"> of </w:t>
      </w:r>
      <w:r>
        <w:rPr>
          <w:kern w:val="0"/>
        </w:rPr>
        <w:t>Controlled Trials (CENTRAL), MEDLINE (Ovid SP), EMBASE (Ovid SP), ISI Web</w:t>
      </w:r>
      <w:r w:rsidR="00427468">
        <w:rPr>
          <w:kern w:val="0"/>
        </w:rPr>
        <w:t xml:space="preserve"> of </w:t>
      </w:r>
      <w:r>
        <w:rPr>
          <w:kern w:val="0"/>
        </w:rPr>
        <w:t>Science (SCI-EXPANDED; SSCI; CPCI-S; CPCI-SSH), PEDro</w:t>
      </w:r>
      <w:r w:rsidR="005853A9">
        <w:rPr>
          <w:kern w:val="0"/>
        </w:rPr>
        <w:t xml:space="preserve"> and </w:t>
      </w:r>
      <w:r>
        <w:rPr>
          <w:kern w:val="0"/>
        </w:rPr>
        <w:t>PsycINFO (Ovid SP)</w:t>
      </w:r>
      <w:r w:rsidR="00A37C1D">
        <w:rPr>
          <w:kern w:val="0"/>
        </w:rPr>
        <w:t>. The</w:t>
      </w:r>
      <w:r>
        <w:rPr>
          <w:kern w:val="0"/>
        </w:rPr>
        <w:t xml:space="preserve"> search was run on 21 November 2013. Selection criteria Randomised controlled trials</w:t>
      </w:r>
      <w:r w:rsidR="00427468">
        <w:rPr>
          <w:kern w:val="0"/>
        </w:rPr>
        <w:t xml:space="preserve"> of </w:t>
      </w:r>
      <w:r>
        <w:rPr>
          <w:kern w:val="0"/>
        </w:rPr>
        <w:t>PMs administered for the treatment or prevention</w:t>
      </w:r>
      <w:r w:rsidR="00427468">
        <w:rPr>
          <w:kern w:val="0"/>
        </w:rPr>
        <w:t xml:space="preserve"> of </w:t>
      </w:r>
      <w:r>
        <w:rPr>
          <w:kern w:val="0"/>
        </w:rPr>
        <w:t>contractures were included. Studies were included if they compared the effectiveness</w:t>
      </w:r>
      <w:r w:rsidR="00427468">
        <w:rPr>
          <w:kern w:val="0"/>
        </w:rPr>
        <w:t xml:space="preserve"> of </w:t>
      </w:r>
      <w:r>
        <w:rPr>
          <w:kern w:val="0"/>
        </w:rPr>
        <w:t>PMs versus no intervention, sham intervention or placebo in people with or at risk</w:t>
      </w:r>
      <w:r w:rsidR="00427468">
        <w:rPr>
          <w:kern w:val="0"/>
        </w:rPr>
        <w:t xml:space="preserve"> of </w:t>
      </w:r>
      <w:r>
        <w:rPr>
          <w:kern w:val="0"/>
        </w:rPr>
        <w:t>contracture. Studies that involved other co-interventions were included, provided the co-interventions were administered in the same way to all groups. Interventions administered through mechanical devices</w:t>
      </w:r>
      <w:r w:rsidR="005853A9">
        <w:rPr>
          <w:kern w:val="0"/>
        </w:rPr>
        <w:t xml:space="preserve"> and </w:t>
      </w:r>
      <w:r>
        <w:rPr>
          <w:kern w:val="0"/>
        </w:rPr>
        <w:t>interventions that involved sustained stretch were excluded. Data collection</w:t>
      </w:r>
      <w:r w:rsidR="005853A9">
        <w:rPr>
          <w:kern w:val="0"/>
        </w:rPr>
        <w:t xml:space="preserve"> and </w:t>
      </w:r>
      <w:r>
        <w:rPr>
          <w:kern w:val="0"/>
        </w:rPr>
        <w:t>analysis Three independent review authors screened studies for inclusion. Two review authors then extracted data</w:t>
      </w:r>
      <w:r w:rsidR="005853A9">
        <w:rPr>
          <w:kern w:val="0"/>
        </w:rPr>
        <w:t xml:space="preserve"> and </w:t>
      </w:r>
      <w:r>
        <w:rPr>
          <w:kern w:val="0"/>
        </w:rPr>
        <w:t>assessed risk</w:t>
      </w:r>
      <w:r w:rsidR="00427468">
        <w:rPr>
          <w:kern w:val="0"/>
        </w:rPr>
        <w:t xml:space="preserve"> of </w:t>
      </w:r>
      <w:r>
        <w:rPr>
          <w:kern w:val="0"/>
        </w:rPr>
        <w:t>bias. Primary outcomes were joint mobility</w:t>
      </w:r>
      <w:r w:rsidR="005853A9">
        <w:rPr>
          <w:kern w:val="0"/>
        </w:rPr>
        <w:t xml:space="preserve"> and </w:t>
      </w:r>
      <w:r>
        <w:rPr>
          <w:kern w:val="0"/>
        </w:rPr>
        <w:t>occurrence</w:t>
      </w:r>
      <w:r w:rsidR="00427468">
        <w:rPr>
          <w:kern w:val="0"/>
        </w:rPr>
        <w:t xml:space="preserve"> of </w:t>
      </w:r>
      <w:r>
        <w:rPr>
          <w:kern w:val="0"/>
        </w:rPr>
        <w:t>adverse events such as joint subluxations or dislocations, heterotopic ossification, autonomic dysreflexia</w:t>
      </w:r>
      <w:r w:rsidR="005853A9">
        <w:rPr>
          <w:kern w:val="0"/>
        </w:rPr>
        <w:t xml:space="preserve"> and </w:t>
      </w:r>
      <w:r>
        <w:rPr>
          <w:kern w:val="0"/>
        </w:rPr>
        <w:t>fractures or muscle tears. Secondary outcomes were quality</w:t>
      </w:r>
      <w:r w:rsidR="00427468">
        <w:rPr>
          <w:kern w:val="0"/>
        </w:rPr>
        <w:t xml:space="preserve"> of </w:t>
      </w:r>
      <w:r>
        <w:rPr>
          <w:kern w:val="0"/>
        </w:rPr>
        <w:t>life, pain, spasticity, activity limitations</w:t>
      </w:r>
      <w:r w:rsidR="005853A9">
        <w:rPr>
          <w:kern w:val="0"/>
        </w:rPr>
        <w:t xml:space="preserve"> and </w:t>
      </w:r>
      <w:r>
        <w:rPr>
          <w:kern w:val="0"/>
        </w:rPr>
        <w:t>participation restrictions. We used standard methodological procedures as advocated by the Cochrane Handbook for Systematic Reviews</w:t>
      </w:r>
      <w:r w:rsidR="00427468">
        <w:rPr>
          <w:kern w:val="0"/>
        </w:rPr>
        <w:t xml:space="preserve"> of </w:t>
      </w:r>
      <w:r>
        <w:rPr>
          <w:kern w:val="0"/>
        </w:rPr>
        <w:t>Interventions. Main results Two identified studies randomly assigned a total</w:t>
      </w:r>
      <w:r w:rsidR="00427468">
        <w:rPr>
          <w:kern w:val="0"/>
        </w:rPr>
        <w:t xml:space="preserve"> of </w:t>
      </w:r>
      <w:r>
        <w:rPr>
          <w:kern w:val="0"/>
        </w:rPr>
        <w:t xml:space="preserve">122 participants with neurological conditions comparing PMs versus no PMs. Data from 121 participants were available for analysis. Both </w:t>
      </w:r>
      <w:r>
        <w:rPr>
          <w:kern w:val="0"/>
        </w:rPr>
        <w:lastRenderedPageBreak/>
        <w:t>studies had a low risk</w:t>
      </w:r>
      <w:r w:rsidR="00427468">
        <w:rPr>
          <w:kern w:val="0"/>
        </w:rPr>
        <w:t xml:space="preserve"> of </w:t>
      </w:r>
      <w:r>
        <w:rPr>
          <w:kern w:val="0"/>
        </w:rPr>
        <w:t>bias. One within-participant study involving 20 participants (40 limbs) measured ankle joint mobility</w:t>
      </w:r>
      <w:r w:rsidR="005853A9">
        <w:rPr>
          <w:kern w:val="0"/>
        </w:rPr>
        <w:t xml:space="preserve"> and </w:t>
      </w:r>
      <w:r>
        <w:rPr>
          <w:kern w:val="0"/>
        </w:rPr>
        <w:t>reported a mean between-group difference</w:t>
      </w:r>
      <w:r w:rsidR="00427468">
        <w:rPr>
          <w:kern w:val="0"/>
        </w:rPr>
        <w:t xml:space="preserve"> of </w:t>
      </w:r>
      <w:r>
        <w:rPr>
          <w:kern w:val="0"/>
        </w:rPr>
        <w:t>four degrees (95% confidence interval (CI), two to six degrees) favouring the experimental group. Both studies measured spasticity with the Modified Ashworth Scale, but the results were not pooled because</w:t>
      </w:r>
      <w:r w:rsidR="00427468">
        <w:rPr>
          <w:kern w:val="0"/>
        </w:rPr>
        <w:t xml:space="preserve"> of </w:t>
      </w:r>
      <w:r>
        <w:rPr>
          <w:kern w:val="0"/>
        </w:rPr>
        <w:t>clinical heterogeneity. Neither study reported a clinically or statistically relevant reduction in spasticity with PMs. in one study, the mean difference on a tallied 48-point Modified Ashworth Scale for the upper limbs was one</w:t>
      </w:r>
      <w:r w:rsidR="00427468">
        <w:rPr>
          <w:kern w:val="0"/>
        </w:rPr>
        <w:t xml:space="preserve"> of </w:t>
      </w:r>
      <w:r>
        <w:rPr>
          <w:kern w:val="0"/>
        </w:rPr>
        <w:t>48 points (95% CI minus two to four points),</w:t>
      </w:r>
      <w:r w:rsidR="005853A9">
        <w:rPr>
          <w:kern w:val="0"/>
        </w:rPr>
        <w:t xml:space="preserve"> and </w:t>
      </w:r>
      <w:r>
        <w:rPr>
          <w:kern w:val="0"/>
        </w:rPr>
        <w:t>in the other study, the median difference on a six-point Modified Ashworth Scale for the ankle plantar flexor muscles was zero points (95% CI minus one to zero points). in both studies, a negative between-group difference indicated a reduction in spasticity in the experimental group compared with the control group. One study with a total</w:t>
      </w:r>
      <w:r w:rsidR="00427468">
        <w:rPr>
          <w:kern w:val="0"/>
        </w:rPr>
        <w:t xml:space="preserve"> of </w:t>
      </w:r>
      <w:r>
        <w:rPr>
          <w:kern w:val="0"/>
        </w:rPr>
        <w:t>102 participants investigated the short-term effects on pain</w:t>
      </w:r>
      <w:r w:rsidR="00A37C1D">
        <w:rPr>
          <w:kern w:val="0"/>
        </w:rPr>
        <w:t>. The</w:t>
      </w:r>
      <w:r>
        <w:rPr>
          <w:kern w:val="0"/>
        </w:rPr>
        <w:t xml:space="preserve"> mean difference on a zero to 24-point pain scale was -0.4 points in favour</w:t>
      </w:r>
      <w:r w:rsidR="00427468">
        <w:rPr>
          <w:kern w:val="0"/>
        </w:rPr>
        <w:t xml:space="preserve"> of </w:t>
      </w:r>
      <w:r>
        <w:rPr>
          <w:kern w:val="0"/>
        </w:rPr>
        <w:t>the control group (95% CI -1.4 to 0.6 points)</w:t>
      </w:r>
      <w:r w:rsidR="00A37C1D">
        <w:rPr>
          <w:kern w:val="0"/>
        </w:rPr>
        <w:t>. The</w:t>
      </w:r>
      <w:r>
        <w:rPr>
          <w:kern w:val="0"/>
        </w:rPr>
        <w:t xml:space="preserve"> GRADE level</w:t>
      </w:r>
      <w:r w:rsidR="00427468">
        <w:rPr>
          <w:kern w:val="0"/>
        </w:rPr>
        <w:t xml:space="preserve"> of </w:t>
      </w:r>
      <w:r>
        <w:rPr>
          <w:kern w:val="0"/>
        </w:rPr>
        <w:t>evidence about the effects</w:t>
      </w:r>
      <w:r w:rsidR="00427468">
        <w:rPr>
          <w:kern w:val="0"/>
        </w:rPr>
        <w:t xml:space="preserve"> of </w:t>
      </w:r>
      <w:r>
        <w:rPr>
          <w:kern w:val="0"/>
        </w:rPr>
        <w:t>PMs on joint mobility, spasticity</w:t>
      </w:r>
      <w:r w:rsidR="005853A9">
        <w:rPr>
          <w:kern w:val="0"/>
        </w:rPr>
        <w:t xml:space="preserve"> and </w:t>
      </w:r>
      <w:r>
        <w:rPr>
          <w:kern w:val="0"/>
        </w:rPr>
        <w:t>pain is very low. Neither study examined quality</w:t>
      </w:r>
      <w:r w:rsidR="00427468">
        <w:rPr>
          <w:kern w:val="0"/>
        </w:rPr>
        <w:t xml:space="preserve"> of </w:t>
      </w:r>
      <w:r>
        <w:rPr>
          <w:kern w:val="0"/>
        </w:rPr>
        <w:t>life, activity limitations or participation restrictions or reported any adverse events. Authors</w:t>
      </w:r>
      <w:r w:rsidR="0071223E">
        <w:rPr>
          <w:kern w:val="0"/>
        </w:rPr>
        <w:t>’</w:t>
      </w:r>
      <w:r>
        <w:rPr>
          <w:kern w:val="0"/>
        </w:rPr>
        <w:t xml:space="preserve"> conclusions It is not clear whether PMs are effective for the treatment</w:t>
      </w:r>
      <w:r w:rsidR="005853A9">
        <w:rPr>
          <w:kern w:val="0"/>
        </w:rPr>
        <w:t xml:space="preserve"> and </w:t>
      </w:r>
      <w:r>
        <w:rPr>
          <w:kern w:val="0"/>
        </w:rPr>
        <w:t>prevention</w:t>
      </w:r>
      <w:r w:rsidR="00427468">
        <w:rPr>
          <w:kern w:val="0"/>
        </w:rPr>
        <w:t xml:space="preserve"> of </w:t>
      </w:r>
      <w:r>
        <w:rPr>
          <w:kern w:val="0"/>
        </w:rPr>
        <w:t>contractures.</w:t>
      </w:r>
    </w:p>
    <w:p w:rsidR="00533624" w:rsidRDefault="00533624" w:rsidP="00533624">
      <w:pPr>
        <w:pStyle w:val="a3"/>
        <w:rPr>
          <w:kern w:val="0"/>
        </w:rPr>
      </w:pPr>
      <w:r>
        <w:rPr>
          <w:kern w:val="0"/>
        </w:rPr>
        <w:t>Keywords: Activity, Analysis, Authors, Bias, Cerebral-Palsy, Clinical, Collection, Complication, Confidence, Contractures, Control, Criteria, Data, Data Collection, Developing, Effectiveness, Effects, Embase, Events, Evidence, Experimental, Grade, Groups, Heterogeneity, Interval, Intervention, Interventions, ISI, ISI Web</w:t>
      </w:r>
      <w:r w:rsidR="00427468">
        <w:rPr>
          <w:kern w:val="0"/>
        </w:rPr>
        <w:t xml:space="preserve"> of </w:t>
      </w:r>
      <w:r>
        <w:rPr>
          <w:kern w:val="0"/>
        </w:rPr>
        <w:t>Science, Joint Contractures, Lead, Life, Low Risk, Medline, Methods, Mobility, Modified, Motion, Muscle, Muscle Spasticity, Muscles, Neurological, Outcomes, Pain, Participation, Physiotherapy, Placebo, Prevention, Procedures, Psycinfo, Quality, Quality Of, Quality</w:t>
      </w:r>
      <w:r w:rsidR="00427468">
        <w:rPr>
          <w:kern w:val="0"/>
        </w:rPr>
        <w:t xml:space="preserve"> of </w:t>
      </w:r>
      <w:r>
        <w:rPr>
          <w:kern w:val="0"/>
        </w:rPr>
        <w:t>Life, Randomised Controlled Trials, Randomized Clinical-Trial, Range, Reduction, Restrictions, Review, Risk, Scale, Science, Search, Shoulder, Spinal-Cord-Injury, SSCI, Standard, Systematic Reviews, Treatment, Web</w:t>
      </w:r>
      <w:r w:rsidR="00427468">
        <w:rPr>
          <w:kern w:val="0"/>
        </w:rPr>
        <w:t xml:space="preserve"> of </w:t>
      </w:r>
      <w:r>
        <w:rPr>
          <w:kern w:val="0"/>
        </w:rPr>
        <w:t>Science</w:t>
      </w:r>
    </w:p>
    <w:p w:rsidR="00533624" w:rsidRDefault="00533624" w:rsidP="00533624">
      <w:pPr>
        <w:pStyle w:val="a3"/>
        <w:rPr>
          <w:kern w:val="0"/>
        </w:rPr>
      </w:pPr>
      <w:r>
        <w:rPr>
          <w:rFonts w:hint="eastAsia"/>
          <w:kern w:val="0"/>
        </w:rPr>
        <w:t xml:space="preserve">? </w:t>
      </w:r>
      <w:r>
        <w:rPr>
          <w:kern w:val="0"/>
        </w:rPr>
        <w:t>Li, L., Mcgee, R.G., Isbister, G.</w:t>
      </w:r>
      <w:r w:rsidR="005853A9">
        <w:rPr>
          <w:kern w:val="0"/>
        </w:rPr>
        <w:t xml:space="preserve"> and </w:t>
      </w:r>
      <w:r>
        <w:rPr>
          <w:kern w:val="0"/>
        </w:rPr>
        <w:t>Webster, A.C. (2013), Interventions for the symptoms</w:t>
      </w:r>
      <w:r w:rsidR="005853A9">
        <w:rPr>
          <w:kern w:val="0"/>
        </w:rPr>
        <w:t xml:space="preserve"> and </w:t>
      </w:r>
      <w:r>
        <w:rPr>
          <w:kern w:val="0"/>
        </w:rPr>
        <w:t xml:space="preserve">signs resulting from jellyfish stings.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CD009688</w:t>
      </w:r>
      <w:r>
        <w:rPr>
          <w:kern w:val="0"/>
        </w:rPr>
        <w:t>.</w:t>
      </w:r>
    </w:p>
    <w:p w:rsidR="00533624" w:rsidRDefault="00533624" w:rsidP="00533624">
      <w:pPr>
        <w:pStyle w:val="a3"/>
        <w:rPr>
          <w:kern w:val="2"/>
        </w:rPr>
      </w:pPr>
      <w:r>
        <w:t xml:space="preserve">Full Text: 2013\Coc Dat Sys Rev2013, </w:t>
      </w:r>
      <w:r w:rsidRPr="007F1AEF">
        <w:rPr>
          <w:kern w:val="0"/>
        </w:rPr>
        <w:t>CD009688</w:t>
      </w:r>
      <w:r>
        <w:t>.pdf</w:t>
      </w:r>
    </w:p>
    <w:p w:rsidR="00533624" w:rsidRDefault="00533624" w:rsidP="00533624">
      <w:pPr>
        <w:pStyle w:val="a3"/>
        <w:rPr>
          <w:kern w:val="0"/>
        </w:rPr>
      </w:pPr>
      <w:r>
        <w:rPr>
          <w:kern w:val="0"/>
        </w:rPr>
        <w:t>Abstract: Background Jellyfish envenomations are common amongst temperate coastal regions</w:t>
      </w:r>
      <w:r w:rsidR="005853A9">
        <w:rPr>
          <w:kern w:val="0"/>
        </w:rPr>
        <w:t xml:space="preserve"> and </w:t>
      </w:r>
      <w:r>
        <w:rPr>
          <w:kern w:val="0"/>
        </w:rPr>
        <w:t>vary in severity depending on the species. Stings result in a variety</w:t>
      </w:r>
      <w:r w:rsidR="00427468">
        <w:rPr>
          <w:kern w:val="0"/>
        </w:rPr>
        <w:t xml:space="preserve"> of </w:t>
      </w:r>
      <w:r>
        <w:rPr>
          <w:kern w:val="0"/>
        </w:rPr>
        <w:t>symptoms</w:t>
      </w:r>
      <w:r w:rsidR="005853A9">
        <w:rPr>
          <w:kern w:val="0"/>
        </w:rPr>
        <w:t xml:space="preserve"> and </w:t>
      </w:r>
      <w:r>
        <w:rPr>
          <w:kern w:val="0"/>
        </w:rPr>
        <w:t>signs, including pain, dermatological reactions and, in some species, Irukandji syndrome (including abdominal/back/chest pain, tachycardia, hypertension, sweating, piloerection, agitation</w:t>
      </w:r>
      <w:r w:rsidR="005853A9">
        <w:rPr>
          <w:kern w:val="0"/>
        </w:rPr>
        <w:t xml:space="preserve"> and </w:t>
      </w:r>
      <w:r>
        <w:rPr>
          <w:kern w:val="0"/>
        </w:rPr>
        <w:t xml:space="preserve">sometimes cardiac complications). Many </w:t>
      </w:r>
      <w:r>
        <w:rPr>
          <w:kern w:val="0"/>
        </w:rPr>
        <w:lastRenderedPageBreak/>
        <w:t>treatments have been suggested for the symptoms</w:t>
      </w:r>
      <w:r w:rsidR="005853A9">
        <w:rPr>
          <w:kern w:val="0"/>
        </w:rPr>
        <w:t xml:space="preserve"> and </w:t>
      </w:r>
      <w:r>
        <w:rPr>
          <w:kern w:val="0"/>
        </w:rPr>
        <w:t>signs</w:t>
      </w:r>
      <w:r w:rsidR="00427468">
        <w:rPr>
          <w:kern w:val="0"/>
        </w:rPr>
        <w:t xml:space="preserve"> of </w:t>
      </w:r>
      <w:r>
        <w:rPr>
          <w:kern w:val="0"/>
        </w:rPr>
        <w:t>jellyfish stings. However, it is unclear which interventions are most effective. Objectives To determine the benefits</w:t>
      </w:r>
      <w:r w:rsidR="005853A9">
        <w:rPr>
          <w:kern w:val="0"/>
        </w:rPr>
        <w:t xml:space="preserve"> and </w:t>
      </w:r>
      <w:r>
        <w:rPr>
          <w:kern w:val="0"/>
        </w:rPr>
        <w:t>harms associated with the use</w:t>
      </w:r>
      <w:r w:rsidR="00427468">
        <w:rPr>
          <w:kern w:val="0"/>
        </w:rPr>
        <w:t xml:space="preserve"> of </w:t>
      </w:r>
      <w:r>
        <w:rPr>
          <w:kern w:val="0"/>
        </w:rPr>
        <w:t>any intervention, in both adults</w:t>
      </w:r>
      <w:r w:rsidR="005853A9">
        <w:rPr>
          <w:kern w:val="0"/>
        </w:rPr>
        <w:t xml:space="preserve"> and </w:t>
      </w:r>
      <w:r>
        <w:rPr>
          <w:kern w:val="0"/>
        </w:rPr>
        <w:t>children, for the treatment</w:t>
      </w:r>
      <w:r w:rsidR="00427468">
        <w:rPr>
          <w:kern w:val="0"/>
        </w:rPr>
        <w:t xml:space="preserve"> of </w:t>
      </w:r>
      <w:r>
        <w:rPr>
          <w:kern w:val="0"/>
        </w:rPr>
        <w:t>jellyfish stings, as assessed from randomised trials. Search methods We searched the following electronic databases in October 2012</w:t>
      </w:r>
      <w:r w:rsidR="005853A9">
        <w:rPr>
          <w:kern w:val="0"/>
        </w:rPr>
        <w:t xml:space="preserve"> and </w:t>
      </w:r>
      <w:r>
        <w:rPr>
          <w:kern w:val="0"/>
        </w:rPr>
        <w:t>again in October 2013: the Cochrane Central Register</w:t>
      </w:r>
      <w:r w:rsidR="00427468">
        <w:rPr>
          <w:kern w:val="0"/>
        </w:rPr>
        <w:t xml:space="preserve"> of </w:t>
      </w:r>
      <w:r>
        <w:rPr>
          <w:kern w:val="0"/>
        </w:rPr>
        <w:t>Controlled Trials (CENTRAL; The Cochrane Library, Issue 9, 2013); MEDLINE via Ovid SP (1948 to 22 October 2013); EMBASE via Ovid SP (1980 to 21 October 2013);</w:t>
      </w:r>
      <w:r w:rsidR="005853A9">
        <w:rPr>
          <w:kern w:val="0"/>
        </w:rPr>
        <w:t xml:space="preserve"> and </w:t>
      </w:r>
      <w:r>
        <w:rPr>
          <w:kern w:val="0"/>
        </w:rPr>
        <w:t>Web</w:t>
      </w:r>
      <w:r w:rsidR="00427468">
        <w:rPr>
          <w:kern w:val="0"/>
        </w:rPr>
        <w:t xml:space="preserve"> of </w:t>
      </w:r>
      <w:r>
        <w:rPr>
          <w:kern w:val="0"/>
        </w:rPr>
        <w:t>Science (all databases; 1899 to 21 October 2013). We also searched reference lists from eligible studies</w:t>
      </w:r>
      <w:r w:rsidR="005853A9">
        <w:rPr>
          <w:kern w:val="0"/>
        </w:rPr>
        <w:t xml:space="preserve"> and </w:t>
      </w:r>
      <w:r>
        <w:rPr>
          <w:kern w:val="0"/>
        </w:rPr>
        <w:t>guidelines, conference proceedings</w:t>
      </w:r>
      <w:r w:rsidR="005853A9">
        <w:rPr>
          <w:kern w:val="0"/>
        </w:rPr>
        <w:t xml:space="preserve"> and </w:t>
      </w:r>
      <w:r>
        <w:rPr>
          <w:kern w:val="0"/>
        </w:rPr>
        <w:t>the World Health Organization (WHO) International Clinical Trials Registry Platform (ICTRP)</w:t>
      </w:r>
      <w:r w:rsidR="005853A9">
        <w:rPr>
          <w:kern w:val="0"/>
        </w:rPr>
        <w:t xml:space="preserve"> and </w:t>
      </w:r>
      <w:r>
        <w:rPr>
          <w:kern w:val="0"/>
        </w:rPr>
        <w:t>contacted content experts to identify trials. Selection criteria We included randomised controlled trials that compared any intervention(s) to active and/or non-active controls for the treatment</w:t>
      </w:r>
      <w:r w:rsidR="00427468">
        <w:rPr>
          <w:kern w:val="0"/>
        </w:rPr>
        <w:t xml:space="preserve"> of </w:t>
      </w:r>
      <w:r>
        <w:rPr>
          <w:kern w:val="0"/>
        </w:rPr>
        <w:t>symptoms</w:t>
      </w:r>
      <w:r w:rsidR="005853A9">
        <w:rPr>
          <w:kern w:val="0"/>
        </w:rPr>
        <w:t xml:space="preserve"> and </w:t>
      </w:r>
      <w:r>
        <w:rPr>
          <w:kern w:val="0"/>
        </w:rPr>
        <w:t>signs</w:t>
      </w:r>
      <w:r w:rsidR="00427468">
        <w:rPr>
          <w:kern w:val="0"/>
        </w:rPr>
        <w:t xml:space="preserve"> of </w:t>
      </w:r>
      <w:r>
        <w:rPr>
          <w:kern w:val="0"/>
        </w:rPr>
        <w:t>jellyfish sting envenomation. No language, publication date or publication status restrictions were applied. Data collection</w:t>
      </w:r>
      <w:r w:rsidR="005853A9">
        <w:rPr>
          <w:kern w:val="0"/>
        </w:rPr>
        <w:t xml:space="preserve"> and </w:t>
      </w:r>
      <w:r>
        <w:rPr>
          <w:kern w:val="0"/>
        </w:rPr>
        <w:t>analysis Two review authors independently conducted study selection</w:t>
      </w:r>
      <w:r w:rsidR="005853A9">
        <w:rPr>
          <w:kern w:val="0"/>
        </w:rPr>
        <w:t xml:space="preserve"> and </w:t>
      </w:r>
      <w:r>
        <w:rPr>
          <w:kern w:val="0"/>
        </w:rPr>
        <w:t>data extraction</w:t>
      </w:r>
      <w:r w:rsidR="005853A9">
        <w:rPr>
          <w:kern w:val="0"/>
        </w:rPr>
        <w:t xml:space="preserve"> and </w:t>
      </w:r>
      <w:r>
        <w:rPr>
          <w:kern w:val="0"/>
        </w:rPr>
        <w:t>assessed risk</w:t>
      </w:r>
      <w:r w:rsidR="00427468">
        <w:rPr>
          <w:kern w:val="0"/>
        </w:rPr>
        <w:t xml:space="preserve"> of </w:t>
      </w:r>
      <w:r>
        <w:rPr>
          <w:kern w:val="0"/>
        </w:rPr>
        <w:t>bias using a standardised form. Disagreements were resolved by consensus with a third review author when necessary. Main results We included seven trials with a total</w:t>
      </w:r>
      <w:r w:rsidR="00427468">
        <w:rPr>
          <w:kern w:val="0"/>
        </w:rPr>
        <w:t xml:space="preserve"> of </w:t>
      </w:r>
      <w:r>
        <w:rPr>
          <w:kern w:val="0"/>
        </w:rPr>
        <w:t>435 participants. Three trials focused on Physalia (Bluebottle) jellyfish, one trial on Carukia jellyfish</w:t>
      </w:r>
      <w:r w:rsidR="005853A9">
        <w:rPr>
          <w:kern w:val="0"/>
        </w:rPr>
        <w:t xml:space="preserve"> and </w:t>
      </w:r>
      <w:r>
        <w:rPr>
          <w:kern w:val="0"/>
        </w:rPr>
        <w:t>three on Carybdea alata (Hawaiian box) jellyfish. Two ongoing trials were identified. Six</w:t>
      </w:r>
      <w:r w:rsidR="00427468">
        <w:rPr>
          <w:kern w:val="0"/>
        </w:rPr>
        <w:t xml:space="preserve"> of </w:t>
      </w:r>
      <w:r>
        <w:rPr>
          <w:kern w:val="0"/>
        </w:rPr>
        <w:t>the seven trials were judged as having high risk</w:t>
      </w:r>
      <w:r w:rsidR="00427468">
        <w:rPr>
          <w:kern w:val="0"/>
        </w:rPr>
        <w:t xml:space="preserve"> of </w:t>
      </w:r>
      <w:r>
        <w:rPr>
          <w:kern w:val="0"/>
        </w:rPr>
        <w:t>bias. Blinding was not feasible in four</w:t>
      </w:r>
      <w:r w:rsidR="00427468">
        <w:rPr>
          <w:kern w:val="0"/>
        </w:rPr>
        <w:t xml:space="preserve"> of </w:t>
      </w:r>
      <w:r>
        <w:rPr>
          <w:kern w:val="0"/>
        </w:rPr>
        <w:t>the included trials because</w:t>
      </w:r>
      <w:r w:rsidR="00427468">
        <w:rPr>
          <w:kern w:val="0"/>
        </w:rPr>
        <w:t xml:space="preserve"> of </w:t>
      </w:r>
      <w:r>
        <w:rPr>
          <w:kern w:val="0"/>
        </w:rPr>
        <w:t>the nature</w:t>
      </w:r>
      <w:r w:rsidR="00427468">
        <w:rPr>
          <w:kern w:val="0"/>
        </w:rPr>
        <w:t xml:space="preserve"> of </w:t>
      </w:r>
      <w:r>
        <w:rPr>
          <w:kern w:val="0"/>
        </w:rPr>
        <w:t>the interventions. A wide range</w:t>
      </w:r>
      <w:r w:rsidR="00427468">
        <w:rPr>
          <w:kern w:val="0"/>
        </w:rPr>
        <w:t xml:space="preserve"> of </w:t>
      </w:r>
      <w:r>
        <w:rPr>
          <w:kern w:val="0"/>
        </w:rPr>
        <w:t>interventions were assessed across trials,</w:t>
      </w:r>
      <w:r w:rsidR="005853A9">
        <w:rPr>
          <w:kern w:val="0"/>
        </w:rPr>
        <w:t xml:space="preserve"> and </w:t>
      </w:r>
      <w:r>
        <w:rPr>
          <w:kern w:val="0"/>
        </w:rPr>
        <w:t>a wide range</w:t>
      </w:r>
      <w:r w:rsidR="00427468">
        <w:rPr>
          <w:kern w:val="0"/>
        </w:rPr>
        <w:t xml:space="preserve"> of </w:t>
      </w:r>
      <w:r>
        <w:rPr>
          <w:kern w:val="0"/>
        </w:rPr>
        <w:t>outcomes were measured. We reported results from the two trials for which data were available</w:t>
      </w:r>
      <w:r w:rsidR="005853A9">
        <w:rPr>
          <w:kern w:val="0"/>
        </w:rPr>
        <w:t xml:space="preserve"> and </w:t>
      </w:r>
      <w:r>
        <w:rPr>
          <w:kern w:val="0"/>
        </w:rPr>
        <w:t>reported the effects</w:t>
      </w:r>
      <w:r w:rsidR="00427468">
        <w:rPr>
          <w:kern w:val="0"/>
        </w:rPr>
        <w:t xml:space="preserve"> of </w:t>
      </w:r>
      <w:r>
        <w:rPr>
          <w:kern w:val="0"/>
        </w:rPr>
        <w:t>interventions according to our definition</w:t>
      </w:r>
      <w:r w:rsidR="00427468">
        <w:rPr>
          <w:kern w:val="0"/>
        </w:rPr>
        <w:t xml:space="preserve"> of </w:t>
      </w:r>
      <w:r>
        <w:rPr>
          <w:kern w:val="0"/>
        </w:rPr>
        <w:t>primary or secondary outcomes. Hot water immersion was superior to ice packs in achieving clinically significant (at least 50%) pain relief at 10 minutes (one trial, 96 participants, risk ratio (RR) 1.66, 95% confidence interval (CI) 1.01 to 2.72; low-quality evidence)</w:t>
      </w:r>
      <w:r w:rsidR="005853A9">
        <w:rPr>
          <w:kern w:val="0"/>
        </w:rPr>
        <w:t xml:space="preserve"> and </w:t>
      </w:r>
      <w:r>
        <w:rPr>
          <w:kern w:val="0"/>
        </w:rPr>
        <w:t>20 minutes (one trial, 88 participants, RR 2.66, 95% CI 1.71 to 4.15; low-quality evidence). No statistically significant differences between hot water immersion</w:t>
      </w:r>
      <w:r w:rsidR="005853A9">
        <w:rPr>
          <w:kern w:val="0"/>
        </w:rPr>
        <w:t xml:space="preserve"> and </w:t>
      </w:r>
      <w:r>
        <w:rPr>
          <w:kern w:val="0"/>
        </w:rPr>
        <w:t>ice packs were demonstrated for dermatological outcomes. Treatment with vinegar or Adolph</w:t>
      </w:r>
      <w:r w:rsidR="0071223E">
        <w:rPr>
          <w:kern w:val="0"/>
        </w:rPr>
        <w:t>’</w:t>
      </w:r>
      <w:r>
        <w:rPr>
          <w:kern w:val="0"/>
        </w:rPr>
        <w:t>s meat tenderizer compared with hot water made skin appear worse (one trial, 25 participants, RR 0.31, 95% CI 0.14 to 0.72; low-quality evidence). Adverse events due to treatment were not reported in any trial. Authors</w:t>
      </w:r>
      <w:r w:rsidR="0071223E">
        <w:rPr>
          <w:kern w:val="0"/>
        </w:rPr>
        <w:t>’</w:t>
      </w:r>
      <w:r>
        <w:rPr>
          <w:kern w:val="0"/>
        </w:rPr>
        <w:t xml:space="preserve"> conclusions This review located a small number</w:t>
      </w:r>
      <w:r w:rsidR="00427468">
        <w:rPr>
          <w:kern w:val="0"/>
        </w:rPr>
        <w:t xml:space="preserve"> of </w:t>
      </w:r>
      <w:r>
        <w:rPr>
          <w:kern w:val="0"/>
        </w:rPr>
        <w:t>trials that assessed a variety</w:t>
      </w:r>
      <w:r w:rsidR="00427468">
        <w:rPr>
          <w:kern w:val="0"/>
        </w:rPr>
        <w:t xml:space="preserve"> of </w:t>
      </w:r>
      <w:r>
        <w:rPr>
          <w:kern w:val="0"/>
        </w:rPr>
        <w:t>different interventions applied in different ways</w:t>
      </w:r>
      <w:r w:rsidR="005853A9">
        <w:rPr>
          <w:kern w:val="0"/>
        </w:rPr>
        <w:t xml:space="preserve"> and </w:t>
      </w:r>
      <w:r>
        <w:rPr>
          <w:kern w:val="0"/>
        </w:rPr>
        <w:t>in different settings. Although heat appears to be an effective treatment for Physalia (Bluebottle) stings, this evidence is based on a single trial</w:t>
      </w:r>
      <w:r w:rsidR="00427468">
        <w:rPr>
          <w:kern w:val="0"/>
        </w:rPr>
        <w:t xml:space="preserve"> of </w:t>
      </w:r>
      <w:r>
        <w:rPr>
          <w:kern w:val="0"/>
        </w:rPr>
        <w:t xml:space="preserve">low-quality evidence. It is still </w:t>
      </w:r>
      <w:r>
        <w:rPr>
          <w:kern w:val="0"/>
        </w:rPr>
        <w:lastRenderedPageBreak/>
        <w:t>unclear what type</w:t>
      </w:r>
      <w:r w:rsidR="00427468">
        <w:rPr>
          <w:kern w:val="0"/>
        </w:rPr>
        <w:t xml:space="preserve"> of </w:t>
      </w:r>
      <w:r>
        <w:rPr>
          <w:kern w:val="0"/>
        </w:rPr>
        <w:t>application, temperature, duration</w:t>
      </w:r>
      <w:r w:rsidR="00427468">
        <w:rPr>
          <w:kern w:val="0"/>
        </w:rPr>
        <w:t xml:space="preserve"> of </w:t>
      </w:r>
      <w:r>
        <w:rPr>
          <w:kern w:val="0"/>
        </w:rPr>
        <w:t>treatment</w:t>
      </w:r>
      <w:r w:rsidR="005853A9">
        <w:rPr>
          <w:kern w:val="0"/>
        </w:rPr>
        <w:t xml:space="preserve"> and </w:t>
      </w:r>
      <w:r>
        <w:rPr>
          <w:kern w:val="0"/>
        </w:rPr>
        <w:t>type</w:t>
      </w:r>
      <w:r w:rsidR="00427468">
        <w:rPr>
          <w:kern w:val="0"/>
        </w:rPr>
        <w:t xml:space="preserve"> of </w:t>
      </w:r>
      <w:r>
        <w:rPr>
          <w:kern w:val="0"/>
        </w:rPr>
        <w:t>water (salt or fresh) constitute the most effective treatment. in addition, these results may not apply to other species</w:t>
      </w:r>
      <w:r w:rsidR="00427468">
        <w:rPr>
          <w:kern w:val="0"/>
        </w:rPr>
        <w:t xml:space="preserve"> of </w:t>
      </w:r>
      <w:r>
        <w:rPr>
          <w:kern w:val="0"/>
        </w:rPr>
        <w:t>jellyfish with different envenomation characteristics. Future research should further assess the most effective interventions using standardised research methodology.</w:t>
      </w:r>
    </w:p>
    <w:p w:rsidR="00533624" w:rsidRDefault="00533624" w:rsidP="00533624">
      <w:pPr>
        <w:pStyle w:val="a3"/>
        <w:rPr>
          <w:kern w:val="0"/>
        </w:rPr>
      </w:pPr>
      <w:r>
        <w:rPr>
          <w:kern w:val="0"/>
        </w:rPr>
        <w:t>Keywords: 1st Aid, Agitation, Analysis, Application, Authors, Benefits, Bias, Box-Jellyfish, Characteristics, Children, Chironex-Fleckeri, Clinical Trials, Coastal, Collection, Complications, Conference Proceedings, Confidence, Consensus, Criteria, Data, Data Collection, Databases, Duration, Effects, Embase, Events, Evidence, Experts, Extraction, First-Aid, Guidelines, Hawaiian, Health, Hypertension, Ice, Immersion, Interval, Intervention, Interventions, Irukandji-Syndrome, Language, Medline, Methodology, Methods, Outcomes, Pain, Pain Relief, Physalia-Physalis Envenomation, Prehospital Treatment, Pressure Immobilization Bandages, Primary, Publication, Randomised, Randomised Controlled Trials, Reference, Reference Lists, Research, Restrictions, Review, Risk, Salt, Science, Search, Selection, Skin, Small, Species, Sublingual Glyceryl Trinitrate, Symptoms, Syndrome, Tachycardia, Temperate, Temperature, Treatment, Trial, Water, Web</w:t>
      </w:r>
      <w:r w:rsidR="00427468">
        <w:rPr>
          <w:kern w:val="0"/>
        </w:rPr>
        <w:t xml:space="preserve"> of </w:t>
      </w:r>
      <w:r>
        <w:rPr>
          <w:kern w:val="0"/>
        </w:rPr>
        <w:t>Science, Who, World Health Organization</w:t>
      </w:r>
    </w:p>
    <w:p w:rsidR="00533624" w:rsidRDefault="00533624" w:rsidP="00533624">
      <w:pPr>
        <w:pStyle w:val="a3"/>
        <w:rPr>
          <w:kern w:val="0"/>
        </w:rPr>
      </w:pPr>
      <w:r>
        <w:rPr>
          <w:rFonts w:hint="eastAsia"/>
          <w:kern w:val="0"/>
        </w:rPr>
        <w:t xml:space="preserve">? </w:t>
      </w:r>
      <w:r>
        <w:rPr>
          <w:kern w:val="0"/>
        </w:rPr>
        <w:t>Poklepovic, T., Worthington, H.V., Johnson, T.M., Sambunjak, D., Imai, P., Clarkson, J.E.</w:t>
      </w:r>
      <w:r w:rsidR="005853A9">
        <w:rPr>
          <w:kern w:val="0"/>
        </w:rPr>
        <w:t xml:space="preserve"> and </w:t>
      </w:r>
      <w:r>
        <w:rPr>
          <w:kern w:val="0"/>
        </w:rPr>
        <w:t>Tugwell, P. (2013), Interdental brushing for the prevention</w:t>
      </w:r>
      <w:r w:rsidR="005853A9">
        <w:rPr>
          <w:kern w:val="0"/>
        </w:rPr>
        <w:t xml:space="preserve"> and </w:t>
      </w:r>
      <w:r>
        <w:rPr>
          <w:kern w:val="0"/>
        </w:rPr>
        <w:t>control</w:t>
      </w:r>
      <w:r w:rsidR="00427468">
        <w:rPr>
          <w:kern w:val="0"/>
        </w:rPr>
        <w:t xml:space="preserve"> of </w:t>
      </w:r>
      <w:r>
        <w:rPr>
          <w:kern w:val="0"/>
        </w:rPr>
        <w:t>periodontal diseases</w:t>
      </w:r>
      <w:r w:rsidR="005853A9">
        <w:rPr>
          <w:kern w:val="0"/>
        </w:rPr>
        <w:t xml:space="preserve"> and </w:t>
      </w:r>
      <w:r>
        <w:rPr>
          <w:kern w:val="0"/>
        </w:rPr>
        <w:t xml:space="preserve">dental caries in adults.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CD009857</w:t>
      </w:r>
      <w:r>
        <w:rPr>
          <w:kern w:val="0"/>
        </w:rPr>
        <w:t>.</w:t>
      </w:r>
    </w:p>
    <w:p w:rsidR="00533624" w:rsidRDefault="00533624" w:rsidP="00533624">
      <w:pPr>
        <w:pStyle w:val="a3"/>
        <w:rPr>
          <w:kern w:val="2"/>
        </w:rPr>
      </w:pPr>
      <w:r>
        <w:t xml:space="preserve">Full Text: 2013\Coc Dat Sys Rev2013, </w:t>
      </w:r>
      <w:r w:rsidRPr="007F1AEF">
        <w:rPr>
          <w:kern w:val="0"/>
        </w:rPr>
        <w:t>CD009857</w:t>
      </w:r>
      <w:r>
        <w:t>.pdf</w:t>
      </w:r>
    </w:p>
    <w:p w:rsidR="00533624" w:rsidRDefault="00533624" w:rsidP="00533624">
      <w:pPr>
        <w:pStyle w:val="a3"/>
        <w:rPr>
          <w:kern w:val="0"/>
        </w:rPr>
      </w:pPr>
      <w:r>
        <w:rPr>
          <w:kern w:val="0"/>
        </w:rPr>
        <w:t>Abstract: Background Effective oral hygiene is a crucial factor in maintaining good oral health, which is associated with overall health</w:t>
      </w:r>
      <w:r w:rsidR="005853A9">
        <w:rPr>
          <w:kern w:val="0"/>
        </w:rPr>
        <w:t xml:space="preserve"> and </w:t>
      </w:r>
      <w:r>
        <w:rPr>
          <w:kern w:val="0"/>
        </w:rPr>
        <w:t>health-related quality</w:t>
      </w:r>
      <w:r w:rsidR="00427468">
        <w:rPr>
          <w:kern w:val="0"/>
        </w:rPr>
        <w:t xml:space="preserve"> of </w:t>
      </w:r>
      <w:r>
        <w:rPr>
          <w:kern w:val="0"/>
        </w:rPr>
        <w:t>life. Dental floss has been used for many years in conjunction with toothbrushing for removing dental plaque in between teeth, however, interdental brushes have been developed which many people find easier to use than floss, providing there is sufficient space between the teeth. Objectives To evaluate the effects</w:t>
      </w:r>
      <w:r w:rsidR="00427468">
        <w:rPr>
          <w:kern w:val="0"/>
        </w:rPr>
        <w:t xml:space="preserve"> of </w:t>
      </w:r>
      <w:r>
        <w:rPr>
          <w:kern w:val="0"/>
        </w:rPr>
        <w:t>interdental brushing in addition to toothbrushing, as compared with toothbrushing alone or toothbrushing</w:t>
      </w:r>
      <w:r w:rsidR="005853A9">
        <w:rPr>
          <w:kern w:val="0"/>
        </w:rPr>
        <w:t xml:space="preserve"> and </w:t>
      </w:r>
      <w:r>
        <w:rPr>
          <w:kern w:val="0"/>
        </w:rPr>
        <w:t>flossing for the prevention</w:t>
      </w:r>
      <w:r w:rsidR="005853A9">
        <w:rPr>
          <w:kern w:val="0"/>
        </w:rPr>
        <w:t xml:space="preserve"> and </w:t>
      </w:r>
      <w:r>
        <w:rPr>
          <w:kern w:val="0"/>
        </w:rPr>
        <w:t>control</w:t>
      </w:r>
      <w:r w:rsidR="00427468">
        <w:rPr>
          <w:kern w:val="0"/>
        </w:rPr>
        <w:t xml:space="preserve"> of </w:t>
      </w:r>
      <w:r>
        <w:rPr>
          <w:kern w:val="0"/>
        </w:rPr>
        <w:t>periodontal diseases, dental plaque</w:t>
      </w:r>
      <w:r w:rsidR="005853A9">
        <w:rPr>
          <w:kern w:val="0"/>
        </w:rPr>
        <w:t xml:space="preserve"> and </w:t>
      </w:r>
      <w:r>
        <w:rPr>
          <w:kern w:val="0"/>
        </w:rPr>
        <w:t>dental caries. Search methods We searched the following electronic databases: the Cochrane Oral Health Group</w:t>
      </w:r>
      <w:r w:rsidR="0071223E">
        <w:rPr>
          <w:kern w:val="0"/>
        </w:rPr>
        <w:t>’</w:t>
      </w:r>
      <w:r>
        <w:rPr>
          <w:kern w:val="0"/>
        </w:rPr>
        <w:t>s Trials Register (to 7 March 2013), the Cochrane Central Register</w:t>
      </w:r>
      <w:r w:rsidR="00427468">
        <w:rPr>
          <w:kern w:val="0"/>
        </w:rPr>
        <w:t xml:space="preserve"> of </w:t>
      </w:r>
      <w:r>
        <w:rPr>
          <w:kern w:val="0"/>
        </w:rPr>
        <w:t>Controlled Trials (CENTRAL) (The Cochrane Library 2013, Issue 2), MEDLINE via OVID (1946 to 7 March 2013), EMBASE via OVID (1980 to 7 March 2013), CINAHL via EBSCO (1980 to 7 March 2013), LILACS via BIREME (1982 to 7 March 2013), ZETOC Conference Proceedings (1980 to 7 March 2013)</w:t>
      </w:r>
      <w:r w:rsidR="005853A9">
        <w:rPr>
          <w:kern w:val="0"/>
        </w:rPr>
        <w:t xml:space="preserve"> and </w:t>
      </w:r>
      <w:r>
        <w:rPr>
          <w:kern w:val="0"/>
        </w:rPr>
        <w:t>Web</w:t>
      </w:r>
      <w:r w:rsidR="00427468">
        <w:rPr>
          <w:kern w:val="0"/>
        </w:rPr>
        <w:t xml:space="preserve"> of </w:t>
      </w:r>
      <w:r>
        <w:rPr>
          <w:kern w:val="0"/>
        </w:rPr>
        <w:t>Science Conference Proceedings (1990 to 7 March 2013). We searched the US National Institutes</w:t>
      </w:r>
      <w:r w:rsidR="00427468">
        <w:rPr>
          <w:kern w:val="0"/>
        </w:rPr>
        <w:t xml:space="preserve"> of </w:t>
      </w:r>
      <w:r>
        <w:rPr>
          <w:kern w:val="0"/>
        </w:rPr>
        <w:t xml:space="preserve">Health Trials </w:t>
      </w:r>
      <w:r>
        <w:rPr>
          <w:kern w:val="0"/>
        </w:rPr>
        <w:lastRenderedPageBreak/>
        <w:t>Register (http://clinicaltrials.gov)</w:t>
      </w:r>
      <w:r w:rsidR="005853A9">
        <w:rPr>
          <w:kern w:val="0"/>
        </w:rPr>
        <w:t xml:space="preserve"> and </w:t>
      </w:r>
      <w:r>
        <w:rPr>
          <w:kern w:val="0"/>
        </w:rPr>
        <w:t>the metaRegister</w:t>
      </w:r>
      <w:r w:rsidR="00427468">
        <w:rPr>
          <w:kern w:val="0"/>
        </w:rPr>
        <w:t xml:space="preserve"> of </w:t>
      </w:r>
      <w:r>
        <w:rPr>
          <w:kern w:val="0"/>
        </w:rPr>
        <w:t>Controlled Trials (http://www.controlled-trials.com/mrct/) for ongoing trials to 7 March 2013. No restrictions were placed on the language or date</w:t>
      </w:r>
      <w:r w:rsidR="00427468">
        <w:rPr>
          <w:kern w:val="0"/>
        </w:rPr>
        <w:t xml:space="preserve"> of </w:t>
      </w:r>
      <w:r>
        <w:rPr>
          <w:kern w:val="0"/>
        </w:rPr>
        <w:t>publication when searching the electronic databases. Selection criteria We included randomised controlled trials (including split-mouth design, cross-over</w:t>
      </w:r>
      <w:r w:rsidR="005853A9">
        <w:rPr>
          <w:kern w:val="0"/>
        </w:rPr>
        <w:t xml:space="preserve"> and </w:t>
      </w:r>
      <w:r>
        <w:rPr>
          <w:kern w:val="0"/>
        </w:rPr>
        <w:t>cluster-randomised trials)</w:t>
      </w:r>
      <w:r w:rsidR="00427468">
        <w:rPr>
          <w:kern w:val="0"/>
        </w:rPr>
        <w:t xml:space="preserve"> of </w:t>
      </w:r>
      <w:r>
        <w:rPr>
          <w:kern w:val="0"/>
        </w:rPr>
        <w:t>dentate adult patients</w:t>
      </w:r>
      <w:r w:rsidR="00A37C1D">
        <w:rPr>
          <w:kern w:val="0"/>
        </w:rPr>
        <w:t>. The</w:t>
      </w:r>
      <w:r>
        <w:rPr>
          <w:kern w:val="0"/>
        </w:rPr>
        <w:t xml:space="preserve"> interventions were a combination</w:t>
      </w:r>
      <w:r w:rsidR="00427468">
        <w:rPr>
          <w:kern w:val="0"/>
        </w:rPr>
        <w:t xml:space="preserve"> of </w:t>
      </w:r>
      <w:r>
        <w:rPr>
          <w:kern w:val="0"/>
        </w:rPr>
        <w:t>toothbrushing</w:t>
      </w:r>
      <w:r w:rsidR="005853A9">
        <w:rPr>
          <w:kern w:val="0"/>
        </w:rPr>
        <w:t xml:space="preserve"> and </w:t>
      </w:r>
      <w:r>
        <w:rPr>
          <w:kern w:val="0"/>
        </w:rPr>
        <w:t>any interdental brushing procedure compared with toothbrushing only or toothbrushing</w:t>
      </w:r>
      <w:r w:rsidR="005853A9">
        <w:rPr>
          <w:kern w:val="0"/>
        </w:rPr>
        <w:t xml:space="preserve"> and </w:t>
      </w:r>
      <w:r>
        <w:rPr>
          <w:kern w:val="0"/>
        </w:rPr>
        <w:t>flossing. Data collection</w:t>
      </w:r>
      <w:r w:rsidR="005853A9">
        <w:rPr>
          <w:kern w:val="0"/>
        </w:rPr>
        <w:t xml:space="preserve"> and </w:t>
      </w:r>
      <w:r>
        <w:rPr>
          <w:kern w:val="0"/>
        </w:rPr>
        <w:t>analysis At least two review authors assessed each</w:t>
      </w:r>
      <w:r w:rsidR="00427468">
        <w:rPr>
          <w:kern w:val="0"/>
        </w:rPr>
        <w:t xml:space="preserve"> of </w:t>
      </w:r>
      <w:r>
        <w:rPr>
          <w:kern w:val="0"/>
        </w:rPr>
        <w:t>the included studies to confirm eligibility, assessed risk</w:t>
      </w:r>
      <w:r w:rsidR="00427468">
        <w:rPr>
          <w:kern w:val="0"/>
        </w:rPr>
        <w:t xml:space="preserve"> of </w:t>
      </w:r>
      <w:r>
        <w:rPr>
          <w:kern w:val="0"/>
        </w:rPr>
        <w:t>bias</w:t>
      </w:r>
      <w:r w:rsidR="005853A9">
        <w:rPr>
          <w:kern w:val="0"/>
        </w:rPr>
        <w:t xml:space="preserve"> and </w:t>
      </w:r>
      <w:r>
        <w:rPr>
          <w:kern w:val="0"/>
        </w:rPr>
        <w:t>extracted data using a piloted data extraction form. We calculated standardised mean difference (SMD)</w:t>
      </w:r>
      <w:r w:rsidR="005853A9">
        <w:rPr>
          <w:kern w:val="0"/>
        </w:rPr>
        <w:t xml:space="preserve"> and </w:t>
      </w:r>
      <w:r>
        <w:rPr>
          <w:kern w:val="0"/>
        </w:rPr>
        <w:t>95% confidence interval (CI) for continuous outcomes where different scales were used to assess an outcome. We attempted to extract data on adverse effects</w:t>
      </w:r>
      <w:r w:rsidR="00427468">
        <w:rPr>
          <w:kern w:val="0"/>
        </w:rPr>
        <w:t xml:space="preserve"> of </w:t>
      </w:r>
      <w:r>
        <w:rPr>
          <w:kern w:val="0"/>
        </w:rPr>
        <w:t>interventions. Where data were missing or unclear we attempted to contact study authors to obtain further information. Main results There were seven studies (total 354 participants analysed) included in this review. We assessed one study as being low, three studies as being high</w:t>
      </w:r>
      <w:r w:rsidR="005853A9">
        <w:rPr>
          <w:kern w:val="0"/>
        </w:rPr>
        <w:t xml:space="preserve"> and </w:t>
      </w:r>
      <w:r>
        <w:rPr>
          <w:kern w:val="0"/>
        </w:rPr>
        <w:t>three studies as being at unclear risk</w:t>
      </w:r>
      <w:r w:rsidR="00427468">
        <w:rPr>
          <w:kern w:val="0"/>
        </w:rPr>
        <w:t xml:space="preserve"> of </w:t>
      </w:r>
      <w:r>
        <w:rPr>
          <w:kern w:val="0"/>
        </w:rPr>
        <w:t>bias. Studies only reported the clinical outcome gingivitis</w:t>
      </w:r>
      <w:r w:rsidR="005853A9">
        <w:rPr>
          <w:kern w:val="0"/>
        </w:rPr>
        <w:t xml:space="preserve"> and </w:t>
      </w:r>
      <w:r>
        <w:rPr>
          <w:kern w:val="0"/>
        </w:rPr>
        <w:t>plaque data, with no studies providing data on many</w:t>
      </w:r>
      <w:r w:rsidR="00427468">
        <w:rPr>
          <w:kern w:val="0"/>
        </w:rPr>
        <w:t xml:space="preserve"> of </w:t>
      </w:r>
      <w:r>
        <w:rPr>
          <w:kern w:val="0"/>
        </w:rPr>
        <w:t>the outcomes: periodontitis, caries, halitosis</w:t>
      </w:r>
      <w:r w:rsidR="005853A9">
        <w:rPr>
          <w:kern w:val="0"/>
        </w:rPr>
        <w:t xml:space="preserve"> and </w:t>
      </w:r>
      <w:r>
        <w:rPr>
          <w:kern w:val="0"/>
        </w:rPr>
        <w:t>quality</w:t>
      </w:r>
      <w:r w:rsidR="00427468">
        <w:rPr>
          <w:kern w:val="0"/>
        </w:rPr>
        <w:t xml:space="preserve"> of </w:t>
      </w:r>
      <w:r>
        <w:rPr>
          <w:kern w:val="0"/>
        </w:rPr>
        <w:t>life. Three studies reported that no adverse events were observed or reported during the study. Two other studies provided some data on adverse events but we were unable to pool the data due to lack</w:t>
      </w:r>
      <w:r w:rsidR="00427468">
        <w:rPr>
          <w:kern w:val="0"/>
        </w:rPr>
        <w:t xml:space="preserve"> of </w:t>
      </w:r>
      <w:r>
        <w:rPr>
          <w:kern w:val="0"/>
        </w:rPr>
        <w:t>detail. Two studies did not report whether adverse events occurred. Interdental brushing in addition to toothbrushing, as compared with toothbrushing alone Only one high risk</w:t>
      </w:r>
      <w:r w:rsidR="00427468">
        <w:rPr>
          <w:kern w:val="0"/>
        </w:rPr>
        <w:t xml:space="preserve"> of </w:t>
      </w:r>
      <w:r>
        <w:rPr>
          <w:kern w:val="0"/>
        </w:rPr>
        <w:t>bias study (62 participants in analysis) looked at this comparison</w:t>
      </w:r>
      <w:r w:rsidR="005853A9">
        <w:rPr>
          <w:kern w:val="0"/>
        </w:rPr>
        <w:t xml:space="preserve"> and </w:t>
      </w:r>
      <w:r>
        <w:rPr>
          <w:kern w:val="0"/>
        </w:rPr>
        <w:t>there was very low-quality evidence for a reduction in gingivitis (0 to 4 scale, mean in control): mean difference (MD) 0.53 (95% CI 0.23 to 0.83)</w:t>
      </w:r>
      <w:r w:rsidR="005853A9">
        <w:rPr>
          <w:kern w:val="0"/>
        </w:rPr>
        <w:t xml:space="preserve"> and </w:t>
      </w:r>
      <w:r>
        <w:rPr>
          <w:kern w:val="0"/>
        </w:rPr>
        <w:t>plaque (0 to 5 scale): MD 0.95 (95% CI 0.56 to 1.34) at one month, favouring</w:t>
      </w:r>
      <w:r w:rsidR="00427468">
        <w:rPr>
          <w:kern w:val="0"/>
        </w:rPr>
        <w:t xml:space="preserve"> of </w:t>
      </w:r>
      <w:r>
        <w:rPr>
          <w:kern w:val="0"/>
        </w:rPr>
        <w:t>use</w:t>
      </w:r>
      <w:r w:rsidR="00427468">
        <w:rPr>
          <w:kern w:val="0"/>
        </w:rPr>
        <w:t xml:space="preserve"> of </w:t>
      </w:r>
      <w:r>
        <w:rPr>
          <w:kern w:val="0"/>
        </w:rPr>
        <w:t>interdental brushes. This represents a 34% reduction in gingivitis</w:t>
      </w:r>
      <w:r w:rsidR="005853A9">
        <w:rPr>
          <w:kern w:val="0"/>
        </w:rPr>
        <w:t xml:space="preserve"> and </w:t>
      </w:r>
      <w:r>
        <w:rPr>
          <w:kern w:val="0"/>
        </w:rPr>
        <w:t>a 32% reduction in plaque. Interdental brushing in addition to toothbrushing, as compared with toothbrushing</w:t>
      </w:r>
      <w:r w:rsidR="005853A9">
        <w:rPr>
          <w:kern w:val="0"/>
        </w:rPr>
        <w:t xml:space="preserve"> and </w:t>
      </w:r>
      <w:r>
        <w:rPr>
          <w:kern w:val="0"/>
        </w:rPr>
        <w:t>flossing Seven studies provided data showing a reduction in gingivitis in favour</w:t>
      </w:r>
      <w:r w:rsidR="00427468">
        <w:rPr>
          <w:kern w:val="0"/>
        </w:rPr>
        <w:t xml:space="preserve"> of </w:t>
      </w:r>
      <w:r>
        <w:rPr>
          <w:kern w:val="0"/>
        </w:rPr>
        <w:t>interdental brushing at one month: SMD -0.53 (95% CI -0.81 to -0.24, seven studies, 326 participants, low-quality evidence). This translates to a 52% reduction in gingivitis (Eastman Bleeding Index). Although a high effect size in the same direction was observed at three months (SMD -1.98, 95% CI -5.42 to 1.47, two studies, 107 participants, very low quality), the confidence interval was wide</w:t>
      </w:r>
      <w:r w:rsidR="005853A9">
        <w:rPr>
          <w:kern w:val="0"/>
        </w:rPr>
        <w:t xml:space="preserve"> and </w:t>
      </w:r>
      <w:r>
        <w:rPr>
          <w:kern w:val="0"/>
        </w:rPr>
        <w:t>did not exclude the possibility</w:t>
      </w:r>
      <w:r w:rsidR="00427468">
        <w:rPr>
          <w:kern w:val="0"/>
        </w:rPr>
        <w:t xml:space="preserve"> of </w:t>
      </w:r>
      <w:r>
        <w:rPr>
          <w:kern w:val="0"/>
        </w:rPr>
        <w:t>no difference</w:t>
      </w:r>
      <w:r w:rsidR="00A37C1D">
        <w:rPr>
          <w:kern w:val="0"/>
        </w:rPr>
        <w:t>. The</w:t>
      </w:r>
      <w:r>
        <w:rPr>
          <w:kern w:val="0"/>
        </w:rPr>
        <w:t>re was insufficient evidence to claim a benefit for either interdental brushing or flossing for reducing plaque (SMD at one month 0.10, 95% CI -0.13 to 0.33, seven studies, 326 participants, low-quality evidence)</w:t>
      </w:r>
      <w:r w:rsidR="005853A9">
        <w:rPr>
          <w:kern w:val="0"/>
        </w:rPr>
        <w:t xml:space="preserve"> and </w:t>
      </w:r>
      <w:r>
        <w:rPr>
          <w:kern w:val="0"/>
        </w:rPr>
        <w:t xml:space="preserve">insufficient evidence at three months (SMD -2.14, 95% CI -5.25 to 0.97, two studies, </w:t>
      </w:r>
      <w:r>
        <w:rPr>
          <w:kern w:val="0"/>
        </w:rPr>
        <w:lastRenderedPageBreak/>
        <w:t>107 participants very low-quality evidence). Authors</w:t>
      </w:r>
      <w:r w:rsidR="0071223E">
        <w:rPr>
          <w:kern w:val="0"/>
        </w:rPr>
        <w:t>’</w:t>
      </w:r>
      <w:r>
        <w:rPr>
          <w:kern w:val="0"/>
        </w:rPr>
        <w:t xml:space="preserve"> conclusions Only one study looked at whether toothbrushing with interdental brushing was better than toothbrushing alone,</w:t>
      </w:r>
      <w:r w:rsidR="005853A9">
        <w:rPr>
          <w:kern w:val="0"/>
        </w:rPr>
        <w:t xml:space="preserve"> and </w:t>
      </w:r>
      <w:r>
        <w:rPr>
          <w:kern w:val="0"/>
        </w:rPr>
        <w:t>there was very low-quality evidence for a reduction in gingivitis</w:t>
      </w:r>
      <w:r w:rsidR="005853A9">
        <w:rPr>
          <w:kern w:val="0"/>
        </w:rPr>
        <w:t xml:space="preserve"> and </w:t>
      </w:r>
      <w:r>
        <w:rPr>
          <w:kern w:val="0"/>
        </w:rPr>
        <w:t>plaque at one month</w:t>
      </w:r>
      <w:r w:rsidR="00A37C1D">
        <w:rPr>
          <w:kern w:val="0"/>
        </w:rPr>
        <w:t>. The</w:t>
      </w:r>
      <w:r>
        <w:rPr>
          <w:kern w:val="0"/>
        </w:rPr>
        <w:t>re is also low-quality evidence from seven studies that interdental brushing reduces gingivitis when compared with flossing, but these results were only found at one month</w:t>
      </w:r>
      <w:r w:rsidR="00A37C1D">
        <w:rPr>
          <w:kern w:val="0"/>
        </w:rPr>
        <w:t>. The</w:t>
      </w:r>
      <w:r>
        <w:rPr>
          <w:kern w:val="0"/>
        </w:rPr>
        <w:t>re was insufficient evidence to determine whether interdental brushing reduced or increased levels</w:t>
      </w:r>
      <w:r w:rsidR="00427468">
        <w:rPr>
          <w:kern w:val="0"/>
        </w:rPr>
        <w:t xml:space="preserve"> of </w:t>
      </w:r>
      <w:r>
        <w:rPr>
          <w:kern w:val="0"/>
        </w:rPr>
        <w:t>plaque when compared to flossing.</w:t>
      </w:r>
    </w:p>
    <w:p w:rsidR="00533624" w:rsidRDefault="00533624" w:rsidP="00533624">
      <w:pPr>
        <w:pStyle w:val="a3"/>
        <w:rPr>
          <w:kern w:val="0"/>
        </w:rPr>
      </w:pPr>
      <w:r>
        <w:rPr>
          <w:kern w:val="0"/>
        </w:rPr>
        <w:t>Keywords: Adult, Adverse Effects, Analysis, Attempted, Authors, Bias, Caries, Children, Cleaning Device, Clinical, Collection, Comparison, Conference, Confidence, Control, Criteria, Data, Data Collection, Databases, Design, Diseases, Effect Size, Effects, Embase, Events, Evidence, Extraction, Floss, Gingivitis, Health, Health-Related Quality</w:t>
      </w:r>
      <w:r w:rsidR="00427468">
        <w:rPr>
          <w:kern w:val="0"/>
        </w:rPr>
        <w:t xml:space="preserve"> of </w:t>
      </w:r>
      <w:r>
        <w:rPr>
          <w:kern w:val="0"/>
        </w:rPr>
        <w:t>Life, Hygiene, In-Vitro, Information, Interval, Interventions, Language, Life, Medline, Methods, National Institutes</w:t>
      </w:r>
      <w:r w:rsidR="00427468">
        <w:rPr>
          <w:kern w:val="0"/>
        </w:rPr>
        <w:t xml:space="preserve"> of </w:t>
      </w:r>
      <w:r>
        <w:rPr>
          <w:kern w:val="0"/>
        </w:rPr>
        <w:t>Health, Oral, Oral-Health, Outcome, Outcomes, Patients, Periodontitis, Plaque-Removal, Prevalence, Prevention, Prevention</w:t>
      </w:r>
      <w:r w:rsidR="005853A9">
        <w:rPr>
          <w:kern w:val="0"/>
        </w:rPr>
        <w:t xml:space="preserve"> and </w:t>
      </w:r>
      <w:r>
        <w:rPr>
          <w:kern w:val="0"/>
        </w:rPr>
        <w:t>Control, Procedure, Publication, Quality, Quality Of, Quality</w:t>
      </w:r>
      <w:r w:rsidR="00427468">
        <w:rPr>
          <w:kern w:val="0"/>
        </w:rPr>
        <w:t xml:space="preserve"> of </w:t>
      </w:r>
      <w:r>
        <w:rPr>
          <w:kern w:val="0"/>
        </w:rPr>
        <w:t>Life, Quality-Of-Life, Randomised, Randomised Controlled Trials, Reduction, Restrictions, Review, Risk, Scale, Scales, Science, Search, Size, Us, Web</w:t>
      </w:r>
      <w:r w:rsidR="00427468">
        <w:rPr>
          <w:kern w:val="0"/>
        </w:rPr>
        <w:t xml:space="preserve"> of </w:t>
      </w:r>
      <w:r>
        <w:rPr>
          <w:kern w:val="0"/>
        </w:rPr>
        <w:t>Science</w:t>
      </w:r>
    </w:p>
    <w:p w:rsidR="00533624" w:rsidRDefault="00533624" w:rsidP="00533624">
      <w:pPr>
        <w:pStyle w:val="a3"/>
        <w:rPr>
          <w:kern w:val="0"/>
        </w:rPr>
      </w:pPr>
      <w:r>
        <w:rPr>
          <w:rFonts w:hint="eastAsia"/>
          <w:kern w:val="0"/>
        </w:rPr>
        <w:t xml:space="preserve">? </w:t>
      </w:r>
      <w:r>
        <w:rPr>
          <w:kern w:val="0"/>
        </w:rPr>
        <w:t>Muzevic, D.</w:t>
      </w:r>
      <w:r w:rsidR="005853A9">
        <w:rPr>
          <w:kern w:val="0"/>
        </w:rPr>
        <w:t xml:space="preserve"> and </w:t>
      </w:r>
      <w:r>
        <w:rPr>
          <w:kern w:val="0"/>
        </w:rPr>
        <w:t xml:space="preserve">Splavski, B. (2013), The Lund concept for severe traumatic brain injury. </w:t>
      </w:r>
      <w:r>
        <w:rPr>
          <w:i/>
          <w:iCs/>
          <w:kern w:val="0"/>
        </w:rPr>
        <w:t>Cochrane Database</w:t>
      </w:r>
      <w:r w:rsidR="00427468">
        <w:rPr>
          <w:i/>
          <w:iCs/>
          <w:kern w:val="0"/>
        </w:rPr>
        <w:t xml:space="preserve"> of </w:t>
      </w:r>
      <w:r>
        <w:rPr>
          <w:i/>
          <w:iCs/>
          <w:kern w:val="0"/>
        </w:rPr>
        <w:t>Systematic Reviews</w:t>
      </w:r>
      <w:r>
        <w:rPr>
          <w:kern w:val="0"/>
        </w:rPr>
        <w:t xml:space="preserve">, </w:t>
      </w:r>
      <w:r w:rsidRPr="00EE5553">
        <w:rPr>
          <w:b/>
          <w:kern w:val="0"/>
        </w:rPr>
        <w:t>1</w:t>
      </w:r>
      <w:r>
        <w:rPr>
          <w:rFonts w:hint="eastAsia"/>
          <w:b/>
          <w:kern w:val="0"/>
        </w:rPr>
        <w:t>2</w:t>
      </w:r>
      <w:r>
        <w:rPr>
          <w:kern w:val="0"/>
        </w:rPr>
        <w:t xml:space="preserve">, Article Number: </w:t>
      </w:r>
      <w:r w:rsidRPr="007F1AEF">
        <w:rPr>
          <w:kern w:val="0"/>
        </w:rPr>
        <w:t>CD010193</w:t>
      </w:r>
      <w:r>
        <w:rPr>
          <w:kern w:val="0"/>
        </w:rPr>
        <w:t>.</w:t>
      </w:r>
    </w:p>
    <w:p w:rsidR="00533624" w:rsidRDefault="00533624" w:rsidP="00533624">
      <w:pPr>
        <w:pStyle w:val="a3"/>
        <w:rPr>
          <w:kern w:val="2"/>
        </w:rPr>
      </w:pPr>
      <w:r>
        <w:t xml:space="preserve">Full Text: 2013\Coc Dat Sys Rev2013, </w:t>
      </w:r>
      <w:r w:rsidRPr="007F1AEF">
        <w:rPr>
          <w:kern w:val="0"/>
        </w:rPr>
        <w:t>CD010193</w:t>
      </w:r>
      <w:r>
        <w:t>.pdf</w:t>
      </w:r>
    </w:p>
    <w:p w:rsidR="00533624" w:rsidRDefault="00533624" w:rsidP="00533624">
      <w:pPr>
        <w:pStyle w:val="a3"/>
        <w:rPr>
          <w:kern w:val="0"/>
        </w:rPr>
      </w:pPr>
      <w:r>
        <w:rPr>
          <w:kern w:val="0"/>
        </w:rPr>
        <w:t>Abstract: Background Severe traumatic brain injury is a significant cause</w:t>
      </w:r>
      <w:r w:rsidR="00427468">
        <w:rPr>
          <w:kern w:val="0"/>
        </w:rPr>
        <w:t xml:space="preserve"> of </w:t>
      </w:r>
      <w:r>
        <w:rPr>
          <w:kern w:val="0"/>
        </w:rPr>
        <w:t>morbidity</w:t>
      </w:r>
      <w:r w:rsidR="005853A9">
        <w:rPr>
          <w:kern w:val="0"/>
        </w:rPr>
        <w:t xml:space="preserve"> and </w:t>
      </w:r>
      <w:r>
        <w:rPr>
          <w:kern w:val="0"/>
        </w:rPr>
        <w:t>mortality. Treatment strategies in management</w:t>
      </w:r>
      <w:r w:rsidR="00427468">
        <w:rPr>
          <w:kern w:val="0"/>
        </w:rPr>
        <w:t xml:space="preserve"> of </w:t>
      </w:r>
      <w:r>
        <w:rPr>
          <w:kern w:val="0"/>
        </w:rPr>
        <w:t>such injuries are directed to the prevention</w:t>
      </w:r>
      <w:r w:rsidR="00427468">
        <w:rPr>
          <w:kern w:val="0"/>
        </w:rPr>
        <w:t xml:space="preserve"> of </w:t>
      </w:r>
      <w:r>
        <w:rPr>
          <w:kern w:val="0"/>
        </w:rPr>
        <w:t>secondary brain ischaemia, as a consequence</w:t>
      </w:r>
      <w:r w:rsidR="00427468">
        <w:rPr>
          <w:kern w:val="0"/>
        </w:rPr>
        <w:t xml:space="preserve"> of </w:t>
      </w:r>
      <w:r>
        <w:rPr>
          <w:kern w:val="0"/>
        </w:rPr>
        <w:t>disturbed post-traumatic cerebral blood flow</w:t>
      </w:r>
      <w:r w:rsidR="00A37C1D">
        <w:rPr>
          <w:kern w:val="0"/>
        </w:rPr>
        <w:t>. The</w:t>
      </w:r>
      <w:r>
        <w:rPr>
          <w:kern w:val="0"/>
        </w:rPr>
        <w:t>y are usually concerned with avoiding high intracranial pressure (ICP) or adequate cerebral perfusion pressure (CPP). An alternative to this conventional treatment is the Lund concept, which emphasises a reduction in microvascular pressures. Objectives To assess the role</w:t>
      </w:r>
      <w:r w:rsidR="00427468">
        <w:rPr>
          <w:kern w:val="0"/>
        </w:rPr>
        <w:t xml:space="preserve"> of </w:t>
      </w:r>
      <w:r>
        <w:rPr>
          <w:kern w:val="0"/>
        </w:rPr>
        <w:t>the Lund concept versus other treatment modalities such as ICP-targeted therapy, CPP-targeted therapy or other possible treatment strategies in the management</w:t>
      </w:r>
      <w:r w:rsidR="00427468">
        <w:rPr>
          <w:kern w:val="0"/>
        </w:rPr>
        <w:t xml:space="preserve"> of </w:t>
      </w:r>
      <w:r>
        <w:rPr>
          <w:kern w:val="0"/>
        </w:rPr>
        <w:t>severe traumatic brain injury. Search methods We searched the Cochrane Injuries Group</w:t>
      </w:r>
      <w:r w:rsidR="0071223E">
        <w:rPr>
          <w:kern w:val="0"/>
        </w:rPr>
        <w:t>’</w:t>
      </w:r>
      <w:r>
        <w:rPr>
          <w:kern w:val="0"/>
        </w:rPr>
        <w:t>s Specialised Register, Cochrane Central Register</w:t>
      </w:r>
      <w:r w:rsidR="00427468">
        <w:rPr>
          <w:kern w:val="0"/>
        </w:rPr>
        <w:t xml:space="preserve"> of </w:t>
      </w:r>
      <w:r>
        <w:rPr>
          <w:kern w:val="0"/>
        </w:rPr>
        <w:t>Controlled Trials (CENTRAL; Issue 10, 2013), MEDLINE (OvidSP), EMBASE (OvidSP), CINAHL Plus (EBSCO Host), ISI Web</w:t>
      </w:r>
      <w:r w:rsidR="00427468">
        <w:rPr>
          <w:kern w:val="0"/>
        </w:rPr>
        <w:t xml:space="preserve"> of </w:t>
      </w:r>
      <w:r>
        <w:rPr>
          <w:kern w:val="0"/>
        </w:rPr>
        <w:t>Science (SCI-EXPANDED</w:t>
      </w:r>
      <w:r w:rsidR="005853A9">
        <w:rPr>
          <w:kern w:val="0"/>
        </w:rPr>
        <w:t xml:space="preserve"> and </w:t>
      </w:r>
      <w:r>
        <w:rPr>
          <w:kern w:val="0"/>
        </w:rPr>
        <w:t>CPCI-S)</w:t>
      </w:r>
      <w:r w:rsidR="005853A9">
        <w:rPr>
          <w:kern w:val="0"/>
        </w:rPr>
        <w:t xml:space="preserve"> and </w:t>
      </w:r>
      <w:r>
        <w:rPr>
          <w:kern w:val="0"/>
        </w:rPr>
        <w:t>trials registries. We searched the reference lists</w:t>
      </w:r>
      <w:r w:rsidR="00427468">
        <w:rPr>
          <w:kern w:val="0"/>
        </w:rPr>
        <w:t xml:space="preserve"> of </w:t>
      </w:r>
      <w:r>
        <w:rPr>
          <w:kern w:val="0"/>
        </w:rPr>
        <w:t>relevant studies</w:t>
      </w:r>
      <w:r w:rsidR="005853A9">
        <w:rPr>
          <w:kern w:val="0"/>
        </w:rPr>
        <w:t xml:space="preserve"> and </w:t>
      </w:r>
      <w:r>
        <w:rPr>
          <w:kern w:val="0"/>
        </w:rPr>
        <w:t>published reviews found with our search</w:t>
      </w:r>
      <w:r w:rsidR="00A37C1D">
        <w:rPr>
          <w:kern w:val="0"/>
        </w:rPr>
        <w:t>. The</w:t>
      </w:r>
      <w:r>
        <w:rPr>
          <w:kern w:val="0"/>
        </w:rPr>
        <w:t xml:space="preserve"> most recent search was 5 November 2013. Selection criteria Randomised controlled trials (RCTs, level 1 evidence) exploring the efficacy</w:t>
      </w:r>
      <w:r w:rsidR="00427468">
        <w:rPr>
          <w:kern w:val="0"/>
        </w:rPr>
        <w:t xml:space="preserve"> of </w:t>
      </w:r>
      <w:r>
        <w:rPr>
          <w:kern w:val="0"/>
        </w:rPr>
        <w:t>the Lund concept in the treatment</w:t>
      </w:r>
      <w:r w:rsidR="00427468">
        <w:rPr>
          <w:kern w:val="0"/>
        </w:rPr>
        <w:t xml:space="preserve"> of </w:t>
      </w:r>
      <w:r>
        <w:rPr>
          <w:kern w:val="0"/>
        </w:rPr>
        <w:t>traumatic brain injury. Data collection</w:t>
      </w:r>
      <w:r w:rsidR="005853A9">
        <w:rPr>
          <w:kern w:val="0"/>
        </w:rPr>
        <w:t xml:space="preserve"> and </w:t>
      </w:r>
      <w:r>
        <w:rPr>
          <w:kern w:val="0"/>
        </w:rPr>
        <w:lastRenderedPageBreak/>
        <w:t>analysis Two review authors independently selected papers</w:t>
      </w:r>
      <w:r w:rsidR="005853A9">
        <w:rPr>
          <w:kern w:val="0"/>
        </w:rPr>
        <w:t xml:space="preserve"> and </w:t>
      </w:r>
      <w:r>
        <w:rPr>
          <w:kern w:val="0"/>
        </w:rPr>
        <w:t>made decisions about the eligibility</w:t>
      </w:r>
      <w:r w:rsidR="00427468">
        <w:rPr>
          <w:kern w:val="0"/>
        </w:rPr>
        <w:t xml:space="preserve"> of </w:t>
      </w:r>
      <w:r>
        <w:rPr>
          <w:kern w:val="0"/>
        </w:rPr>
        <w:t>potentially relevant studies. Main results We found no studies that met the inclusion criteria for this review. Authors</w:t>
      </w:r>
      <w:r w:rsidR="0071223E">
        <w:rPr>
          <w:kern w:val="0"/>
        </w:rPr>
        <w:t>’</w:t>
      </w:r>
      <w:r>
        <w:rPr>
          <w:kern w:val="0"/>
        </w:rPr>
        <w:t xml:space="preserve"> conclusions There is no evidence that the Lund concept is a preferable treatment option in the management</w:t>
      </w:r>
      <w:r w:rsidR="00427468">
        <w:rPr>
          <w:kern w:val="0"/>
        </w:rPr>
        <w:t xml:space="preserve"> of </w:t>
      </w:r>
      <w:r>
        <w:rPr>
          <w:kern w:val="0"/>
        </w:rPr>
        <w:t>severe traumatic brain injury.</w:t>
      </w:r>
    </w:p>
    <w:p w:rsidR="00533624" w:rsidRDefault="00533624" w:rsidP="00533624">
      <w:pPr>
        <w:pStyle w:val="a3"/>
        <w:rPr>
          <w:kern w:val="0"/>
        </w:rPr>
      </w:pPr>
      <w:r>
        <w:rPr>
          <w:kern w:val="0"/>
        </w:rPr>
        <w:t>Keywords: Alternative, Analysis, Authors, Blood, Blood Flow, Brain, Brain Injury, Cerebral, Cerebral Perfusion-Pressure, Collection, Concept, Conventional, Criteria, Data Collection, Efficacy, Embase, Evidence, Flow, Injury, Ischaemia, I</w:t>
      </w:r>
      <w:r w:rsidR="00710959">
        <w:rPr>
          <w:kern w:val="0"/>
        </w:rPr>
        <w:t>SI, ISI</w:t>
      </w:r>
      <w:r>
        <w:rPr>
          <w:kern w:val="0"/>
        </w:rPr>
        <w:t xml:space="preserve"> Web</w:t>
      </w:r>
      <w:r w:rsidR="00427468">
        <w:rPr>
          <w:kern w:val="0"/>
        </w:rPr>
        <w:t xml:space="preserve"> of </w:t>
      </w:r>
      <w:r>
        <w:rPr>
          <w:kern w:val="0"/>
        </w:rPr>
        <w:t>Science, Management, Medline, Methods, Modalities, Morbidity, Mortality, Papers, Pressure, Pressures, Prevention, Randomised Controlled Trials, Recent, Reduction, Reference, Reference Lists, Registries, Review, Reviews, Role, Science, Search, Severe Head-Injury, Therapy, Traumatic, Traumatic Brain Injury, Treatment, Treatment Option, Web</w:t>
      </w:r>
      <w:r w:rsidR="00427468">
        <w:rPr>
          <w:kern w:val="0"/>
        </w:rPr>
        <w:t xml:space="preserve"> of </w:t>
      </w:r>
      <w:r>
        <w:rPr>
          <w:kern w:val="0"/>
        </w:rPr>
        <w:t>Science</w:t>
      </w:r>
    </w:p>
    <w:p w:rsidR="00B9146D" w:rsidRDefault="00B9146D" w:rsidP="00B9146D">
      <w:pPr>
        <w:pStyle w:val="a3"/>
        <w:rPr>
          <w:kern w:val="0"/>
        </w:rPr>
      </w:pPr>
      <w:r>
        <w:rPr>
          <w:kern w:val="0"/>
        </w:rPr>
        <w:t xml:space="preserve">? Blessberger, H., Kammler, J., Domanovits, H., Schlager, O., Wildner, B., Azar, D., Schillinger, M., Wiesbauer, F. and Steinwender, C. (2014), Perioperative beta-blockers for preventing surgery-related mortality and morbidity.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CD004476</w:t>
      </w:r>
      <w:r>
        <w:rPr>
          <w:kern w:val="0"/>
        </w:rPr>
        <w:t>.</w:t>
      </w:r>
    </w:p>
    <w:p w:rsidR="00B9146D" w:rsidRDefault="00B9146D" w:rsidP="00B9146D">
      <w:pPr>
        <w:pStyle w:val="a3"/>
      </w:pPr>
      <w:r>
        <w:t xml:space="preserve">Full Text: </w:t>
      </w:r>
      <w:r w:rsidRPr="004626B9">
        <w:t xml:space="preserve">2014\Coc Dat Sys Rev2014, </w:t>
      </w:r>
      <w:r w:rsidRPr="002F1BCC">
        <w:rPr>
          <w:kern w:val="0"/>
        </w:rPr>
        <w:t>CD004476</w:t>
      </w:r>
      <w:r w:rsidRPr="004626B9">
        <w:t>.pdf</w:t>
      </w:r>
    </w:p>
    <w:p w:rsidR="00B9146D" w:rsidRDefault="00B9146D" w:rsidP="00B9146D">
      <w:pPr>
        <w:pStyle w:val="a3"/>
        <w:rPr>
          <w:kern w:val="0"/>
        </w:rPr>
      </w:pPr>
      <w:r>
        <w:rPr>
          <w:kern w:val="0"/>
        </w:rPr>
        <w:t xml:space="preserve">Abstract: Background Randomized controlled trials have yielded conflicting results regarding the ability of beta-blockers to influence perioperative cardiovascular morbidity and mortality. Thus routine prescription of these drugs in unselected patients remains a controversial issue. Objectives The objective of this review was to systematically analyse the effects of perioperatively administered beta-blockers for prevention of surgery-related mortality and morbidity in patients undergoing any type of surgery while under general anaesthesia. Search methods We identified trials by searching the following databases from the date of their inception until June 2013: MEDLINE, EMBASE, the Cochrane Central Register of Controlled Trials (CENTRAL), Biosis Previews, CAB Abstracts, Cumulative Index to Nursing and Allied Health Literature (CINAHL), Derwent Drug File, Science Citation Index Expanded, Life Sciences Collection, Global Health and PASCAL. In addition, we searched online resources to identify grey literature. Selection criteria We included randomized controlled trials if participants were randomly assigned to a beta-blocker group or a control group (standard care or placebo). Surgery (any type) had to be performed with all or at least a significant proportion of participants under general anaesthesia. Data collection and analysis Two review authors independently extracted data from all studies. In cases of disagreement, we reassessed the respective studies to reach consensus. We computed summary estimates in the absence of significant clinical heterogeneity. Risk ratios (RRs) were used for dichotomous outcomes, and mean differences (MDs) were used for continuous </w:t>
      </w:r>
      <w:r>
        <w:rPr>
          <w:kern w:val="0"/>
        </w:rPr>
        <w:lastRenderedPageBreak/>
        <w:t xml:space="preserve">outcomes. We performed subgroup analyses for various potential effect modifiers. Main results We included 89 randomized controlled trials with 19,211 participants. Six studies (7%) met the highest methodological quality criteria (studies with overall low risk of bias: adequate sequence generation, adequate allocation concealment, double/triple-blinded design with a placebo group, intention-to-treat analysis), whereas in the remaining trials, some form of bias was present or could not be definitively excluded (studies with overall unclear or high risk of bias). Outcomes were evaluated separately for cardiac and non-cardiac surgery. CARDIAC SURGERY (53 trials) We found no clear evidence of an effect of beta-blockers on the following outcomes. All-cause mortality: RR 0.73, 95% CI 0.35 to 1.52, 3783 participants, moderate quality of evidence. Acute myocardial infarction (AMI): RR 1.04, 95% CI 0.71 to 1.51, 3553 participants, moderate quality of evidence. Myocardial ischaemia: RR 0.51, 95% CI 0.25 to 1.05, 166 participants, low quality of evidence. Cerebrovascular events: RR 1.52, 95% CI 0.58 to 4.02, 1400 participants, low quality of evidence. Hypotension: RR 1.54, 95% CI 0.67 to 3.51, 558 participants, low quality of evidence. Bradycardia: RR 1.61, 95% CI 0.97 to 2.66, 660 participants, low quality of evidence. Congestive heart failure: RR 0.22, 95% CI 0.04 to 1.34, 311 participants, low quality of evidence. Beta-blockers significantly reduced the occurrence of the following endpoints. Ventricular arrhythmias: RR 0.37, 95% CI 0.24 to 0.58, number needed to treat for an additional beneficial outcome (NNTB) 29, 2292 participants, moderate quality of evidence. Supraventricular arrhythmias: RR 0.44, 95% CI 0.36 to 0.53, NNTB six, 6420 participants, high quality of evidence. On average, beta-blockers reduced length of hospital stay by 0.54 days (95% CI -0.90 to -0.19, 2450 participants, low quality of evidence). NON-CARDIAC SURGERY (36 trials) We found a potential increase in the occurrence of the following outcomes with the use of beta-blockers. All-cause mortality: RR 1.24, 95% CI 0.99 to 1.54, 11,463 participants, low quality of evidence. Whereas no clear evidence of an effect was noted when all studies were analysed, restricting the meta-analysis to low risk of bias studies revealed a significant increase in all-cause mortality with the use of beta-blockers: RR 1.27, 95% CI 1.01 to 1.59, number needed to treat for an additional harmful outcome (NNTH) 189, 10,845 participants. Cerebrovascular events: RR 1.59, 95% CI 0.93 to 2.71, 9150 participants, low quality of evidence. Whereas no clear evidence of an effect was found when all studies were analysed, restricting the meta-analysis to low risk of bias studies revealed a significant increase in cerebrovascular events with the use of beta-blockers: RR 2.09, 95% CI 1.14 to 3.82, NNTH 255, 8648 participants. Beta-blockers significantly reduced the occurrence of the following endpoints. AMI: RR 0.73, 95% CI 0.61 to 0.87, NNTB 72, 10,958 participants, high quality of evidence. Myocardial ischaemia: RR 0.43, 95% CI 0.27 to 0.70, NNTB seven, 1028 </w:t>
      </w:r>
      <w:r>
        <w:rPr>
          <w:kern w:val="0"/>
        </w:rPr>
        <w:lastRenderedPageBreak/>
        <w:t>participants, moderate quality of evidence. Supraventricular arrhythmias: RR 0.72, 95% CI 0.56 to 0.92, NNTB 111, 8794 participants, high quality of evidence. Beta-blockers significantly increased the occurrence of the following adverse events. Hypotension: RR 1.50, 95% CI 1.38 to 1.64, NNTH 15, 10,947 participants, high quality of evidence. Bradycardia: RR 2.24, 95% CI 1.49 to 3.35, NNTH 18, 11,083 participants, moderate quality of evidence. We found no clear evidence of an effect of beta-blockers on the following outcomes. Ventricular arrhythmias: RR 0.64, 95% CI 0.30 to 1.33, 526 participants, moderate quality of evidence. Congestive heart failure: RR 1.17, 95% CI 0.93 to 1.47, 9223 participants, moderate quality of evidence. Length of hospital stay: mean difference -0.27 days, 95% CI -1.29 to 0.75, 601 participants, low quality of evidence. Authors’ conclusions According to our findings, perioperative application of beta-blockers still plays a pivotal role in cardiac surgery, as they can substantially reduce the high burden of supraventricular and ventricular arrhythmias in the aftermath of surgery. Their influence on mortality, AMI, stroke, congestive heart failure, hypotension and bradycardia in this setting remains unclear. In non-cardiac surgery, evidence from low risk of bias trials shows an increase in all-cause mortality and stroke with the use of beta-blockers. As the quality of evidence is still low to moderate, more evidence is needed before a definitive conclusion can be drawn. The substantial reduction in supraventricular arrhythmias and AMI in this setting seems to be offset by the potential increase in mortality and stroke.</w:t>
      </w:r>
    </w:p>
    <w:p w:rsidR="00B9146D" w:rsidRDefault="00B9146D" w:rsidP="00B9146D">
      <w:pPr>
        <w:pStyle w:val="a3"/>
        <w:rPr>
          <w:kern w:val="0"/>
        </w:rPr>
      </w:pPr>
      <w:r>
        <w:rPr>
          <w:kern w:val="0"/>
        </w:rPr>
        <w:t xml:space="preserve">Keywords: Acute Myocardial Infarction, Adverse Events, All-Cause Mortality, Allocation, Anaesthesia, Analyses, Analysis, Application, Authors, Betablockers, Bias, Biosis, Bradycardia, Burden, Cab, Cardiac Surgery, Cardiac-Surgery, Cardiovascular, Care, Cerebrovascular, Citation, Clinical, Collection, Congestive Heart Failure, Consensus, Control, Coronary-Bypass Surgery, Criteria, Data, Data Collection, Databases, Design, Double-Blind, Drug, Drugs, Effects, Embase, Estimates, Events, Evidence, Failure, From, General, General Anaesthesia, Generation, Global, Health, Heart, Heart Failure, Heterogeneity, High-Risk Patients, Hospital, Hospital Stay, Hypotension, Infarction, Influence, Ischaemia, Length, Literature, Low Risk, Low-Dose Propranolol, Medline, Meta Analysis, Meta-Analysis, Metaanalysis, Methodological Quality, Methods, Morbidity, Mortality, Myocardial Infarction, Myocardial-Ischemia, Noncardiac Surgery, Number Needed To Treat, Nursing, Online, Outcome, Outcomes, Patients, Perioperative, Placebo, Postoperative Atrial-Fibrillation, Potential, Prescription, Prevention, Quality, Quality Criteria, Quality Of, Randomized, Randomized Controlled Trials, Randomized-Controlled-Trial, Reduction, Resources, Review, Risk, Role, Science, Science Citation Index, Science Citation Index Expanded, Sciences, Search, Standard, Stroke, Supraventricular, Supraventricular </w:t>
      </w:r>
      <w:r>
        <w:rPr>
          <w:kern w:val="0"/>
        </w:rPr>
        <w:lastRenderedPageBreak/>
        <w:t>Tachyarrhythmias, Surgery, Vascular-Surgery</w:t>
      </w:r>
    </w:p>
    <w:p w:rsidR="00B9146D" w:rsidRDefault="00B9146D" w:rsidP="00B9146D">
      <w:pPr>
        <w:pStyle w:val="a3"/>
        <w:rPr>
          <w:kern w:val="0"/>
        </w:rPr>
      </w:pPr>
      <w:r>
        <w:rPr>
          <w:kern w:val="0"/>
        </w:rPr>
        <w:t xml:space="preserve">? Costi, D., Cyna, A.M., Ahmed, S., Stephens, K., Strickland, P., Ellwood, J., Larsson, J.N., Chooi, C., Burgoyne, L.L. and Middleton, P. (2014), Effects of sevoflurane versus other general anaesthesia on emergence agitation in children.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CD007084</w:t>
      </w:r>
      <w:r>
        <w:rPr>
          <w:kern w:val="0"/>
        </w:rPr>
        <w:t>.</w:t>
      </w:r>
    </w:p>
    <w:p w:rsidR="00B9146D" w:rsidRDefault="00B9146D" w:rsidP="00B9146D">
      <w:pPr>
        <w:pStyle w:val="a3"/>
      </w:pPr>
      <w:r>
        <w:t xml:space="preserve">Full Text: </w:t>
      </w:r>
      <w:r w:rsidRPr="004626B9">
        <w:t xml:space="preserve">2014\Coc Dat Sys Rev2014, </w:t>
      </w:r>
      <w:r w:rsidRPr="002F1BCC">
        <w:rPr>
          <w:kern w:val="0"/>
        </w:rPr>
        <w:t>CD007084</w:t>
      </w:r>
      <w:r w:rsidRPr="004626B9">
        <w:t>.pdf</w:t>
      </w:r>
    </w:p>
    <w:p w:rsidR="00B9146D" w:rsidRDefault="00B9146D" w:rsidP="00B9146D">
      <w:pPr>
        <w:pStyle w:val="a3"/>
        <w:rPr>
          <w:kern w:val="0"/>
        </w:rPr>
      </w:pPr>
      <w:r>
        <w:rPr>
          <w:kern w:val="0"/>
        </w:rPr>
        <w:t xml:space="preserve">Abstract: Background Sevoflurane is an inhaled volatile anaesthetic that is widely used in paediatric anaesthetic practice. Since its introduction, postoperative behavioural disturbance known as emergence agitation (EA) or emergence delirium (ED) has been recognized as a problem that may occur during recovery from sevoflurane anaesthesia. For the purpose of this systematic review, EA has been used to describe this clinical entity. A child with EA may be restless, may cause self-injury or may disrupt the dressing, surgical site or indwelling devices, leading to the potential for parents to be dissatisfied with their child’s anaesthetic. To prevent such outcomes, the child may require pharmacological or physical restraint. Sevoflurane may be a major contributing factor in the development of EA. Therefore, an evidence-based understanding of the risk/benefit profile regarding sevoflurane compared with other general anaesthetic agents and adjuncts would facilitate its rational and optimal use. Objectives To compare sevoflurane with other general anaesthetic (GA) agents, with or without pharmacological or non-pharmacological adjuncts, with regard to risk of EA in children during emergence from anaesthesia. The primary outcome was risk of EA; secondary outcome was agitation score. Search methods We searched the following databases from the date of inception to 19 January 2013: CENTRAL, Ovid MEDLINE, Ovid EMBASE, the Cumulative Index to Nursing and Allied Health Literature (CINAHL) (EBSCOhost), Evidence-Based Medicine Reviews (EBMR) and the Web of Science, as well as the reference lists of other relevant articles and online trial registers. Selection criteria We included all randomized (or quasi-randomized) controlled trials investigating children &lt; 18 years of age presenting for general anaesthesia with or without surgical intervention. We included any study in which a sevoflurane anaesthetic was compared with any other GA, and any study in which researchers investigated adjuncts (pharmacological or non-pharmacological) to sevoflurane anaesthesia compared with no adjunct or placebo. Data collection and analysis Two review authors independently searched the databases, decided on inclusion eligibility of publications, ascertained study quality and extracted data. They then resolved differences between their results by discussion. Data were entered into RevMan 5.2 for analyses and presentation. Comparisons of the risk of EA were presented as risk ratios (RRs) with 95% confidence intervals (CIs). Sevoflurane is treated as the control anaesthesia in this review. Sensitivity analyses were performed as appropriate, to exclude studies with a </w:t>
      </w:r>
      <w:r>
        <w:rPr>
          <w:kern w:val="0"/>
        </w:rPr>
        <w:lastRenderedPageBreak/>
        <w:t xml:space="preserve">high risk of bias and to investigate heterogeneity. Main results We included 158 studies involving 14,045 children. Interventions to prevent EA fell into two broad groups. First, alternative GA compared with sevoflurane anaesthesia (69 studies), and second, use of an adjunct with sevoflurane anaesthesia versus sevoflurane without an adjunct (100 studies). The overall risk of bias in included studies was low. The overall Grades of Recommendation, Assessment, Development and Evaluation Working Group (GRADE) assessment of the quality of the evidence was moderate to high. A wide range of EA scales were used, as were different levels of cutoff, to determine the presence or absence of EA. Some studies involved children receiving potentially inadequate or no analgesia intraoperatively during painful procedures. Halothane (RR 0.51, 95% CI 0.41 to 0.63, 3534 participants, high quality of evidence) and propofol anaesthesia were associated with a lower risk of EA than sevoflurane anaesthesia. Propofol was effective when used throughout anaesthesia (RR 0.35, 95% CI 0.25 to 0.51, 1098 participants, high quality of evidence) and when used only during the maintenance phase of anaesthesia after sevoflurane induction (RR 0.59, 95% CI 0.46 to 0.76, 738 participants, high quality of evidence). No clear evidence was found of an effect on risk of EA of desflurane (RR 1.46, 95% CI 0.92 to 2.31, 408 participants, moderate quality of evidence) or isoflurane (RR 0.76, 95% CI 0.46 to 1.23, 379 participants, moderate quality of evidence) versus sevoflurane. Compared with no adjunct, effective adjuncts for reducing the risk of EA during sevoflurane anaesthesia included dexmedetomidine (RR 0.37, 95% CI 0.29 to 0.47, 851 participants, high quality of evidence), clonidine (RR 0.45, 95% CI 0.31 to 0.66, 739 participants, high quality of evidence), opioids, in particular fentanyl (RR 0.37, 95% CI 0.27 to 0.50, 1247 participants, high quality of evidence) and a bolus of propofol (RR 0.58, 95% CI 0.38 to 0.89, 394 participants, moderate quality of evidence), ketamine (RR 0.30, 95% CI 0.13 to 0.69, 231 participants, moderate quality of evidence) or midazolam (RR 0.57, 95% CI 0.41 to 0.81, 116 participants, moderate quality of evidence) at the end of anaesthesia. Midazolam oral premedication (RR 0.81, 95% CI 0.59 to 1.12, 370 participants, moderate quality of evidence) and parental presence at emergence (RR 0.91, 95% CI 0.51 to 1.60, 180 participants, moderate quality of evidence) did not reduce the risk of EA. One or more factors designated as high risk of biaswere noted in less than 10% of the included studies. Sensitivity analyses of these studies showed no clinically relevant changes in the risk of EA. Heterogeneity was significant with respect to these comparisons: halothane; clonidine; fentanyl; midazolam premedication; propofol 1 mg/kg bolus at end; and ketamine 0.25 mg/kg bolus at end of anaesthesia. With investigation of heterogeneity, the only clinically relevant changes to findings were seen in the context of potential pain, namely, the setting of adenoidectomy/adenotonsillectomy (propofol bolus; midazolam premedication) and </w:t>
      </w:r>
      <w:r>
        <w:rPr>
          <w:kern w:val="0"/>
        </w:rPr>
        <w:lastRenderedPageBreak/>
        <w:t>the absence of a regional block (clonidine). Authors’ conclusions Propofol, halothane, alpha-2 agonists (dexmedetomidine, clonidine), opioids (e.g. fentanyl) and ketamine reduce the risk of EA compared with sevoflurane anaesthesia, whereas no clear evidence shows an effect for desflurane, isoflurane, midazolam premedication and parental presence at emergence. Therefore anaesthetists can consider several effective strategies to reduce the risk of EA in their clinical practice. Future studies should ensure adequate analgesia in the control group, for which pain may be a contributing or confounding factor in the diagnosis of EA. Regardless of the EA scale used, it would be helpful for study authors to report the risk of EA, so that this might be included in future meta-analyses. Researchers should also consider combining effective interventions as a multi-modal approach to further reduce the risk of EA.</w:t>
      </w:r>
    </w:p>
    <w:p w:rsidR="00B9146D" w:rsidRDefault="00B9146D" w:rsidP="00B9146D">
      <w:pPr>
        <w:pStyle w:val="a3"/>
        <w:rPr>
          <w:kern w:val="0"/>
        </w:rPr>
      </w:pPr>
      <w:r>
        <w:rPr>
          <w:kern w:val="0"/>
        </w:rPr>
        <w:t>Keywords: Age, Agitation, Alternative, Anaesthesia, Analgesia, Analyses, Analysis, Anesthetized Pediatric-Patients, Approach, Articles, Assessment, Authors, Bias, Changes, Child, Children, Clinical, Clinical Practice, Clonidine, Collection, Combining, Confidence, Confidence Intervals, Confounding, Context, Control, Criteria, Data, Data Collection, Databases, Day-Case Surgery, Delirium, Development, Dexmedetomidine Reduces Agitation, Diagnosis, Disturbance, Embase, Equalization Tube Insertion, Evaluation, Evidence, Evidence Based, Evidence-Based, Factors, Fentanyl, From, General, General Anaesthesia, General Anaesthetic, Grade, Groups, Health, Heterogeneity, Induction, Intervals, Intervention, Interventions, Investigation, Isoflurane, Ketamine, Laryngeal Mask Airway, Literature, Medicine, Medline, Meta-Analyses, Methods, Midazolam, Nursing, Online, Opioids, Oral, Outcome, Outcomes, Pain, Parents, Physical, Physical Restraint, Placebo, Postoperative, Postoperative Behavioral-Changes, Potential, Practice, Preschool-Aged Children, Presentation, Prevent, Primary, Procedures, Propofol, Publications, Purpose, Quality, Quality Of, Randomized, Randomized Clinical-Trial, Recommendation, Recovery, Recovery Characteristics, Reference, Reference Lists, Regional, Researchers, Review, Risk, Scale, Scales, Science, Search, Sensitivity, Sevoflurane, Site, Systematic, Systematic Review, Total Intravenous Anesthesia, Trial, Understanding, Web, Web Of Science</w:t>
      </w:r>
    </w:p>
    <w:p w:rsidR="00B9146D" w:rsidRDefault="00B9146D" w:rsidP="00B9146D">
      <w:pPr>
        <w:pStyle w:val="a3"/>
        <w:rPr>
          <w:kern w:val="0"/>
        </w:rPr>
      </w:pPr>
      <w:r>
        <w:rPr>
          <w:kern w:val="0"/>
        </w:rPr>
        <w:t xml:space="preserve">? Burton, M.J., Pollard, A.J., Ramsden, J.D., Chong, L.Y. and Venekamp, R.P. (2014), Tonsillectomy for periodic fever, aphthous stomatitis, pharyngitis and cervical adenitis syndrome (PFAPA).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CD008669</w:t>
      </w:r>
      <w:r>
        <w:rPr>
          <w:kern w:val="0"/>
        </w:rPr>
        <w:t>.</w:t>
      </w:r>
    </w:p>
    <w:p w:rsidR="00B9146D" w:rsidRDefault="00B9146D" w:rsidP="00B9146D">
      <w:pPr>
        <w:pStyle w:val="a3"/>
      </w:pPr>
      <w:r>
        <w:t xml:space="preserve">Full Text: </w:t>
      </w:r>
      <w:r w:rsidRPr="004626B9">
        <w:t xml:space="preserve">2014\Coc Dat Sys Rev2014, </w:t>
      </w:r>
      <w:r w:rsidRPr="002F1BCC">
        <w:rPr>
          <w:kern w:val="0"/>
        </w:rPr>
        <w:t>CD008669</w:t>
      </w:r>
      <w:r w:rsidRPr="004626B9">
        <w:t>.pdf</w:t>
      </w:r>
    </w:p>
    <w:p w:rsidR="00B9146D" w:rsidRDefault="00B9146D" w:rsidP="00B9146D">
      <w:pPr>
        <w:pStyle w:val="a3"/>
        <w:rPr>
          <w:kern w:val="0"/>
        </w:rPr>
      </w:pPr>
      <w:r>
        <w:rPr>
          <w:kern w:val="0"/>
        </w:rPr>
        <w:t xml:space="preserve">Abstract: Background Periodic fever, aphthous stomatitis, pharyngitis and cervical adenitis (PFAPA) syndrome is a rare clinical syndrome of unknown cause usually identified in children. Tonsillectomy is considered a potential treatment option for </w:t>
      </w:r>
      <w:r>
        <w:rPr>
          <w:kern w:val="0"/>
        </w:rPr>
        <w:lastRenderedPageBreak/>
        <w:t xml:space="preserve">this syndrome. This is an update of a Cochrane review first published in 2010. Objectives To assess the effectiveness and safety of tonsillectomy (with or without adenoidectomy) in children with PFAPA. Search methods We searched the Cochrane Ear, Nose and Throat Disorders Group Trials Register; the Cochrane Central Register of Controlled Trials (CENTRAL); PubMed; EMBASE; CINAHL; Web of Science; Cambridge Scientific Abstracts; ICTRP and additional sources for published and unpublished trials. The date of the search was 30 October 2013. Selection criteria Randomised controlled trials comparing tonsillectomy (with or without adenoidectomy) with non-surgical treatment in children with PFAPA. Data collection and analysis Two authors independently assessed trial quality and extracted data. We used the standard methodological procedures expected by The Cochrane Collaboration. Main results Two trials were included with a total of 67 children randomised (65 analysed); we judged both to be at low risk of bias. One trial of 39 participants recruited children with PFAPA syndrome diagnosed according to rigid, standard criteria. The trial compared adenotonsillectomy to watchful waiting and followed up patients for 18 months. A smaller trial of 28 children applied less stringent criteria for diagnosing PFAPA and probably also included participants with alternative types of recurrent pharyngitis. This trial compared tonsillectomy alone to no treatment and followed up patients for six months. Combining the trial results suggests that patients with PFAPA experience less fever and less severe episodes after surgery compared to those receiving no surgery. The risk ratio (RR) for immediate resolution of symptoms after surgery that persisted until the end of follow-up was 4.38 (95% confidence interval (CI) 0.64 to 30.11); number needed to treat to benefit (NNTB) = 2, calculated based on an estimate that 156 in 1000 untreated children have a resolution). There was a large overall reduction in the average number of episodes over the total length of follow-up in these studies (rate ratio 0.08, 95% CI 0.05 to 0.13), reducing the average frequency of PFAPA episodes from one every two months to slightly less than one every two years. The severity, as indicated by the length of PFAPA symptoms during these episodes, was also reduced. One study reported that the average number of days per PFAPA episode was 1.7 days after receiving surgery, compared to 3.5 days in the control group. The proportion of patients requiring corticosteroids was also lower in the surgery group compared to those receiving no surgery (RR 0.58, 95% CI 0.37 to 0.92). Both trials reported that there were no complications of surgery. However, the numbers of patients randomly allocated to surgery (19 and 14 patients respectively) were too small to detect potentially important complications such as haemorrhage. Other outcomes such as quality of life, number of days with pain after surgery and absence from school were not measured or reported. Authors’ conclusions The evidence for the effectiveness of tonsillectomy in children with PFAPA syndrome is derived from </w:t>
      </w:r>
      <w:r>
        <w:rPr>
          <w:kern w:val="0"/>
        </w:rPr>
        <w:lastRenderedPageBreak/>
        <w:t>two small randomised controlled trials. These trials reported significant beneficial effects of surgery compared to no surgery on immediate and complete symptom resolution (NNTB=2) and a substantial reduction in the frequency and severity (length of episode) of any further symptoms experienced. However, the evidence is of moderate quality (further research is likely to have an important impact on our confidence in the estimate of effect and may change the estimate) due to the relatively small sample sizes of the studies and some concerns about the applicability of the results. Therefore, the parents and carers of children with PFAPA syndrome must weigh the risks and consequences of surgery against the alternative of using medications. It is well established that children with PFAPA syndrome recover spontaneously and medication can be administered to try and reduce the severity of individual episodes. It is uncertain whether adenoidectomy combined with tonsillectomy adds any additional benefit to tonsillectomy alone.</w:t>
      </w:r>
    </w:p>
    <w:p w:rsidR="00B9146D" w:rsidRDefault="00B9146D" w:rsidP="00B9146D">
      <w:pPr>
        <w:pStyle w:val="a3"/>
        <w:rPr>
          <w:kern w:val="0"/>
        </w:rPr>
      </w:pPr>
      <w:r>
        <w:rPr>
          <w:kern w:val="0"/>
        </w:rPr>
        <w:t>Keywords: Adenoidectomy, Adolescent, Alternative, Analysis, Authors, Bias, Child, Child,Preschool, Children, Clinical, Cochrane Collaboration, Collaboration, Collection, Complete, Complications, Confidence, Control, Corticosteroids, Criteria, Data, Data Collection, Effectiveness, Effects, Embase, Evidence, Experience, Fever, Fever [Surgery], First, Follow-Up, From, Haemorrhage, Humans, Impact, Infant, Interval, Length, Life, Low Risk, Lymphadenitis [Surgery], Methods, Neck, Number Needed To Treat, Outcomes, Pain, Parents, Patients, Periodicity, Pharyngitis, Pharyngitis [Surgery], Potential, Procedures, Pubmed, Quality, Quality Of, Quality Of Life, Randomised, Randomised Controlled Trials, Randomized Controlled Trials As Topic, Recurrent, Reduction, Remission,Spontaneous, Research, Review, Risk, Risks, Safety, Science, Search, Small, Sources, Standard, Stomatitis,Aphthous [Surgery], Surgery, Symptoms, Syndrome, Tonsillectomy, Treatment, Treatment Option, Trial, Web, Web Of Science</w:t>
      </w:r>
    </w:p>
    <w:p w:rsidR="00B9146D" w:rsidRDefault="00B9146D" w:rsidP="00B9146D">
      <w:pPr>
        <w:pStyle w:val="a3"/>
        <w:rPr>
          <w:kern w:val="0"/>
        </w:rPr>
      </w:pPr>
      <w:r>
        <w:rPr>
          <w:kern w:val="0"/>
        </w:rPr>
        <w:t xml:space="preserve">? Lins, S., Hayder-Beichel, D., Rucker, G., Motschall, E., Antes, G., Meyer, G. and Langer, G. (2014), Efficacy and experiences of telephone counselling for informal carers of people with dementia.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CD009126</w:t>
      </w:r>
      <w:r>
        <w:rPr>
          <w:kern w:val="0"/>
        </w:rPr>
        <w:t>.</w:t>
      </w:r>
    </w:p>
    <w:p w:rsidR="00B9146D" w:rsidRDefault="00B9146D" w:rsidP="00B9146D">
      <w:pPr>
        <w:pStyle w:val="a3"/>
      </w:pPr>
      <w:r>
        <w:t xml:space="preserve">Full Text: </w:t>
      </w:r>
      <w:r w:rsidRPr="004626B9">
        <w:t xml:space="preserve">2014\Coc Dat Sys Rev2014, </w:t>
      </w:r>
      <w:r w:rsidRPr="002F1BCC">
        <w:rPr>
          <w:kern w:val="0"/>
        </w:rPr>
        <w:t>CD009126</w:t>
      </w:r>
      <w:r w:rsidRPr="004626B9">
        <w:t>.pdf</w:t>
      </w:r>
    </w:p>
    <w:p w:rsidR="00B9146D" w:rsidRDefault="00B9146D" w:rsidP="00B9146D">
      <w:pPr>
        <w:pStyle w:val="a3"/>
        <w:rPr>
          <w:kern w:val="0"/>
        </w:rPr>
      </w:pPr>
      <w:r>
        <w:rPr>
          <w:kern w:val="0"/>
        </w:rPr>
        <w:t xml:space="preserve">Abstract: Background Informal carers of people with dementia can suffer from depressive symptoms, emotional distress and other physiological, social and financial consequences. Objectives This review focuses on three main objectives: To: 1) produce a quantitative review of the efficacy of telephone counselling for informal carers of people with dementia; 2) synthesize qualitative studies to explore carers’ experiences of receiving telephone counselling and counsellors’ experiences of conducting telephone counselling; and 3) integrate 1) and 2) to identify aspects of the intervention that are valued and work well, and those interventional components that </w:t>
      </w:r>
      <w:r>
        <w:rPr>
          <w:kern w:val="0"/>
        </w:rPr>
        <w:lastRenderedPageBreak/>
        <w:t xml:space="preserve">should be improved or redesigned. Search methods The Cochrane Dementia and Cognitive Improvement Group’s Specialized Register, The Cochrane Library, MEDLINE, MEDLINE in Process, EMBASE, CINAHL, PSYNDEX, PsycINFO, Web of Science, DIMDI databases, Springer database, Science direct and trial registers were searched on 3 May 2011 and updated on 25 February 2013. A Forward Citation search was conducted for included studies in Web of Science and Google Scholar. We used the Related Articles service of PubMed for included studies, contacted experts and hand-searched abstracts of five congresses. Selection criteria Randomised controlled trials (RCTs) or cross-over trials that compared telephone counselling for informal carers of people with dementia against no treatment, usual care or friendly calls for chatting were included evaluation of efficacy. Qualitative studies with qualitative methods of data collection and analysis were also included to address experiences with telephone counselling. Data collection and analysis Two authors independently screened articles for inclusion criteria, extracted data and assessed the quantitative trials with the Cochrane ‘Risk of bias’ tool and the qualitative studies with the Critical Appraisal Skills Program (CASP) tool. The authors conducted meta-analyses, but reported some results in narrative form due to clinical heterogeneity. The authors synthesised the qualitative data and integrated quantitative RCT data with the qualitative data. Main results Nine RCTs and two qualitative studies were included. Six studies investigated telephone counselling without additional intervention, one study combined telephone counselling with video sessions, and two studies combined it with video sessions and a workbook. All quantitative studies had a high risk of bias in terms of blinding of participants and outcome assessment. Most studies provided no information about random sequence generation and allocation concealment. The quality of the qualitative studies (‘thin descriptions’) was assessed as moderate. Meta-analyses indicated a reduction of depressive symptoms for telephone counselling without additional intervention (three trials, 163 participants: standardised mean different (QSMD) 0.32, 95% confidence interval(CI) 0.01 to 0.63, P value 0.04; moderate quality evidence). The estimated effects on other outcomes (burden, distress, anxiety, quality of life, self-efficacy, satisfaction and social support) were uncertain and differences could not be excluded (burden: four trials, 165 participants: SMD 0.45, 95% CI -0.01 to 0.90, P value 0.05; moderate quality evidence; support: two trials, 67 participants: SMD 0.25, 95% CI -0.24 to 0.73, P value 0.32; low quality evidence). None of the quantitative studies included reported adverse effects or harm due to telephone counselling. Three analytical themes (barriers and facilitators for successful implementation of telephone counselling, counsellor’s emotional attitude and content of telephone counselling) and 16 descriptive themes that present the carers’ needs for telephone counselling were identified in the thematic synthesis. Integration of quantitative and </w:t>
      </w:r>
      <w:r>
        <w:rPr>
          <w:kern w:val="0"/>
        </w:rPr>
        <w:lastRenderedPageBreak/>
        <w:t>qualitative data shows potential for improvement. For example, no RCT reported that the counsellor provided 24-hour availability or that there was debriefing of the counsellor. Also, the qualitative studies covered a limited range of ways of performing telephone counselling. Authors’ conclusions There is evidence that telephone counselling can reduce depressive symptoms for carers of people with dementia and that telephone counselling meets important needs of the carer. This result needs to be confirmed in future studies that evaluate efficacy through robust RCTs and the experience aspect through qualitative studies with rich data.</w:t>
      </w:r>
    </w:p>
    <w:p w:rsidR="00B9146D" w:rsidRDefault="00B9146D" w:rsidP="00B9146D">
      <w:pPr>
        <w:pStyle w:val="a3"/>
        <w:rPr>
          <w:kern w:val="0"/>
        </w:rPr>
      </w:pPr>
      <w:r>
        <w:rPr>
          <w:kern w:val="0"/>
        </w:rPr>
        <w:t>Keywords: Abstracts, Adverse Effects, Allocation, Alzheimers-Disease, Analysis, Anxiety, Articles, Assessment, Attitude, Authors, Availability, Barriers, Bias, Burden, Care, Caregivers, Citation, Clinical, Cognitive-Behavioral Intervention, Collection, Confidence, Content, Counselling, Criteria, Data, Data Collection, Database, Databases, Dementia, Depressive Symptoms, Distress, Effects, Efficacy, Embase, Evaluation, Evidence, Experience, Experts, From, Generation, Google, Google Scholar, Heterogeneity, Implementation, Improvement, Information, Initial Findings, Integrated, Integration, Intervention, Life, Medline, Meta-Analyses, Methods, Needs, Outcome, Outcome Assessment, Outcomes, P, Physical Health, Potential, Psycinfo, Pubmed, Qualitative, Qualitative Methods, Qualitative Research, Quality, Quality Of, Quality Of Life, Quantitative Studies, Randomised Controlled Trials, Rct, Reduction, Review, Risk, Risk Of Bias, Satisfaction, Science, Search, Service, Social, Social Support, Springer, Strain, Support, Symptoms, Synthesis, Systematic Reviews, Treatment, Trial, Value, Video, Web, Web Of Science, Work</w:t>
      </w:r>
    </w:p>
    <w:p w:rsidR="00B9146D" w:rsidRDefault="00B9146D" w:rsidP="00B9146D">
      <w:pPr>
        <w:pStyle w:val="a3"/>
        <w:rPr>
          <w:kern w:val="0"/>
        </w:rPr>
      </w:pPr>
      <w:r>
        <w:rPr>
          <w:kern w:val="0"/>
        </w:rPr>
        <w:t xml:space="preserve">? Huang, Y., He, Q., Yang, L.J., Liu, G.J. and Jones, A. (2014), Cardiopulmonary resuscitation (CPR) plus delayed defibrillation versus immediate defibrillation for out-of-hospital cardiac arrest.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CD009803</w:t>
      </w:r>
      <w:r>
        <w:rPr>
          <w:kern w:val="0"/>
        </w:rPr>
        <w:t>.</w:t>
      </w:r>
    </w:p>
    <w:p w:rsidR="00B9146D" w:rsidRDefault="00B9146D" w:rsidP="00B9146D">
      <w:pPr>
        <w:pStyle w:val="a3"/>
      </w:pPr>
      <w:r>
        <w:t xml:space="preserve">Full Text: </w:t>
      </w:r>
      <w:r w:rsidRPr="004626B9">
        <w:t xml:space="preserve">2014\Coc Dat Sys Rev2014, </w:t>
      </w:r>
      <w:r w:rsidRPr="002F1BCC">
        <w:rPr>
          <w:kern w:val="0"/>
        </w:rPr>
        <w:t>CD009803</w:t>
      </w:r>
      <w:r w:rsidRPr="004626B9">
        <w:t>.pdf</w:t>
      </w:r>
    </w:p>
    <w:p w:rsidR="00B9146D" w:rsidRDefault="00B9146D" w:rsidP="00B9146D">
      <w:pPr>
        <w:pStyle w:val="a3"/>
        <w:rPr>
          <w:kern w:val="0"/>
        </w:rPr>
      </w:pPr>
      <w:r>
        <w:rPr>
          <w:kern w:val="0"/>
        </w:rPr>
        <w:t xml:space="preserve">Abstract: Background Sudden cardiac arrest (SCA) is a common health problem associated with high levels of mortality. Cardiac arrest is caused by three groups of dysrhythmias: ventricular fibrillation (VF) or pulseless ventricular tachycardia (VT), pulseless electric activity (PEA) and asystole. The most common dysrhythmia found in out-of-hospital cardiac arrest (OHCA) is VF. During VF or VT, cardiopulmonary resuscitation (CPR) provides perfusion and oxygenation to the tissues, whilst defibrillation restores a viable cardiac rhythm. Early successful defibrillation is known to improve outcomes in VF/VT. However, it has been hypothesized that a period of CPR before defibrillation creates a more conducive physiological environment, increasing the likelihood of successful defibrillation. The order of priority of CPR versus defibrillation therefore remains in contention. As previous studies have remained inconclusive, we conducted a systematic review of available </w:t>
      </w:r>
      <w:r>
        <w:rPr>
          <w:kern w:val="0"/>
        </w:rPr>
        <w:lastRenderedPageBreak/>
        <w:t xml:space="preserve">evidence in an attempt to draw conclusions on whether CPR plus delayed defibrillation or immediate defibrillation resulted in better outcomes in OHCA. Objectives To examine whether an initial one and one-half to three minutes of CPR administered by paramedics before defibrillation versus immediate defibrillation on arrival influenced survival rates, neurological outcomes or rates of return of spontaneous circulation (ROSC) in OHCA. Search methods We searched the following databases: the Cochrane Central Register of Controlled trials (CENTRAL) (2013, Issue 6); MEDLINE (Ovid) (1948 to May 2013); EMBASE (1980 to May 2013); the Institute for Scientific Information (ISI) Web of Science (1980 to May 2013) and the China Academic Journal Network Publishing Database (China National Knowledge Infrastructure (CNKI), 1980 to May 2013). We included studies published in all languages. We also searched the Current Controlled Trials and Clinical Trials databases for ongoing trials. We screened the references lists of studies included in our review against the reference lists of relevant International Liaison Committee on Resuscitation (ILCOR) evidence worksheets. Selection criteria Our participant group consisted of adults over 18 years of age presenting with OHCA who were in VF or pulseless VT at the time of emergency medical service (EMS) paramedic arrival. We included randomized controlled trials (RCTs) and quasi-randomized controlled trials that evaluated the effects of one and one-half to three minutes of CPR versus defibrillation as initial therapy on survival and neurological outcomes of these participants. We excluded observational and cross-over design studies. Data collection and analysis Two review authors independently extracted the data. We contacted study authors to ask for additional data when required. The risk ratio (RR) for each outcome was calculated and summarized in the meta-analysis after heterogeneity was considered. We used Review Manager software for all analyses. Main results We included four RCTs with a total of 3090 enrolled participants (one study used a cluster-randomized design). Three trials were considered to have a relatively low risk of bias, and one trial was considered to have a relatively high risk. When survival to hospital discharge was compared, 38 of 320 (11.88%) participants survived to discharge in the initial CPR plus delayed defibrillation group compared with 39 of 338 participants (11.54%) in the immediate defibrillation group (RR 1.09, 95% CI 0.54 to 2.20, Chi(2) = 10.78, degrees of freedom (df) = 5, P value 0.06, I-2 = 54%, low-quality evidence). When we compared the neurological outcome at hospital discharge (RR 1.12, 95% CI 0.65 to 1.93, low-quality evidence), the rate of return of spontaneous circulation (ROSC) (RR 0.94, 95% CI 0.77 to 1.15, low-quality evidence) and survival at one year (RR 0.77, 95% CI 0.24 to 2.49, low-quality evidence), we could not rule out the superiority of either treatment. Adverse effects were not associated with either treatment. Authors’ conclusions Owing to the low quality of available evidence, we </w:t>
      </w:r>
      <w:r>
        <w:rPr>
          <w:kern w:val="0"/>
        </w:rPr>
        <w:lastRenderedPageBreak/>
        <w:t>have been unable to determine conclusively whether immediate defibrillation and one and one-half to three minutes of CPR as initial therapy before defibrillation have similar effects on rates of return of spontaneous circulation, survival to discharge or neurological insult. We have also been unable to conclude whether either treatment approach provides a degree of superiority in OHCA. We propose that this is an area that needs further rigorous research through additional high-quality RCTs, including larger sample sizes and proper subgroup analysis.</w:t>
      </w:r>
    </w:p>
    <w:p w:rsidR="00B9146D" w:rsidRDefault="00B9146D" w:rsidP="00B9146D">
      <w:pPr>
        <w:pStyle w:val="a3"/>
        <w:rPr>
          <w:kern w:val="0"/>
        </w:rPr>
      </w:pPr>
      <w:r>
        <w:rPr>
          <w:kern w:val="0"/>
        </w:rPr>
        <w:t>Keywords: 1st, Academic, Activity, Adverse Effects, Age, American-Heart-Association, Analyses, Analysis, Approach, Authors, Bias, Cardiac Arrest, Cardiopulmonary, Cardiopulmonary Resuscitation, Chest Compression, China, Clinical Trials, Collection, Cpr, Criteria, Data, Data Collection, Database, Databases, Defibrillation, Design, Discharge, Effects, Embase, Emergency, Emergency Cardiovascular Care, Ems, Environment, Evidence, Freedom, Groups, Guidelines, Health, Health Problem, Heterogeneity, Hospital, Information, Institute For Scientific Information, International, Isi, Journal, Knowledge, Languages, Low Risk, Medical, Medline, Meta Analysis, Meta-Analysis, Metaanalysis, Methods, Mortality, Needs, Network, Neurological, Observational, Outcome, Outcomes, Oxygenation, P, Pea, Publishing, Quality, Quality Of, Randomized, Randomized Controlled Trials, Randomized-Trial, Rates, Reference, Reference Lists, References, Research, Resuscitation, Review, Risk, Science, Search, Service, Software, Spontaneous, Survival, Survival Rates, Systematic, Systematic Review, Tachycardia, Therapy, Treatment, Trial, Value, Ventricular Fibrillation, Ventricular-Fibrillation, Web, Web Of Science</w:t>
      </w:r>
    </w:p>
    <w:p w:rsidR="00B9146D" w:rsidRDefault="00B9146D" w:rsidP="00B9146D">
      <w:pPr>
        <w:pStyle w:val="a3"/>
        <w:rPr>
          <w:kern w:val="0"/>
        </w:rPr>
      </w:pPr>
      <w:r>
        <w:rPr>
          <w:kern w:val="0"/>
        </w:rPr>
        <w:t xml:space="preserve">? Teo, E., House, H., Lockhart, K., Purchuri, S.N., Pushparajah, J., Cripps, A.W. and van Driel, M.L. (2014), Haemophilus influenzae oral vaccination for preventing acute exacerbations of chronic bronchitis and chronic obstructive pulmonary disease.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D0627F">
        <w:rPr>
          <w:kern w:val="0"/>
        </w:rPr>
        <w:t>CD010010</w:t>
      </w:r>
      <w:r>
        <w:rPr>
          <w:kern w:val="0"/>
        </w:rPr>
        <w:t>.</w:t>
      </w:r>
    </w:p>
    <w:p w:rsidR="00B9146D" w:rsidRDefault="00B9146D" w:rsidP="00B9146D">
      <w:pPr>
        <w:pStyle w:val="a3"/>
      </w:pPr>
      <w:r>
        <w:t xml:space="preserve">Full Text: </w:t>
      </w:r>
      <w:r w:rsidRPr="004626B9">
        <w:t xml:space="preserve">2014\Coc Dat Sys Rev2014, </w:t>
      </w:r>
      <w:r w:rsidRPr="00D0627F">
        <w:rPr>
          <w:kern w:val="0"/>
        </w:rPr>
        <w:t>CD010010</w:t>
      </w:r>
      <w:r w:rsidRPr="004626B9">
        <w:t>.pdf</w:t>
      </w:r>
    </w:p>
    <w:p w:rsidR="00B9146D" w:rsidRDefault="00B9146D" w:rsidP="00B9146D">
      <w:pPr>
        <w:pStyle w:val="a3"/>
        <w:rPr>
          <w:kern w:val="0"/>
        </w:rPr>
      </w:pPr>
      <w:r>
        <w:rPr>
          <w:kern w:val="0"/>
        </w:rPr>
        <w:t xml:space="preserve">Abstract: Background Chronic bronchitis and chronic obstructive pulmonary disease (COPD) are serious conditions in which patients are predisposed to viral and bacterial infections resulting in potentially fatal acute exacerbations. COPD is defined as a lung disease characterised by obstruction to lung airflow that interferes with normal breathing. Antibiotic therapy has not been particularly useful in eradicating bacteria such as non-typeable Haemophilus influenzae (NTHi) because they are naturally occurring flora of the upper respiratory tract in many people. However, they can cause opportunistic infection. An oral NTHi vaccine has been developed to protect against recurrent infective acute exacerbations in chronic bronchitis. Objectives To assess the effectiveness of an oral, whole-cell, non-typeable H. influenzae (NTHi) vaccine in protecting against recurrent episodes of acute exacerbations of chronic bronchitis and COPD in adults. To assess the </w:t>
      </w:r>
      <w:r>
        <w:rPr>
          <w:kern w:val="0"/>
        </w:rPr>
        <w:lastRenderedPageBreak/>
        <w:t xml:space="preserve">effectiveness of NTHi vaccine in reducing NTHi colonising the respiratory tract during recurrent episodes of acute exacerbations of COPD. Search methods We searched the following databases: CENTRAL (2014, Issue 6), MEDLINE (1946 to July week 3, 2014), EMBASE (1974 to July 2014), CINAHL (1981 to July 2014), LILACS (1982 to July 2014) and Web of Science (1955 to July 2014). We also searched trials registries and contacted authors of trials requesting unpublished data. Selection criteria We included randomised controlled trials comparing the effects of an oral monobacterial NTHi vaccine in adults with recurrent acute exacerbations of chronic bronchitis or COPD when there was overt matching of the vaccine and placebo groups on clinical grounds. The selection criteria considered populations aged less than 65 years and those older than 65 years. Data collection and analysis Two authors independently assessed trial quality and extracted data from original records and publications for incidence and severity of bronchitis episodes and carriage rate of NTHi measured in the upper respiratory tract, as well as data relevant to other primary and secondary outcomes. Main results We identified six placebo-controlled randomised controlled trials with a total of 557 participants. They investigated the efficacy of enteric-coated, killed preparations of H. influenzae in populations prone to recurrent acute exacerbations of chronic bronchitis or COPD. The vaccine preparation and immunisation regime in all trials consisted of at least three courses of formalin-killed H. influenzae in enteric-coated tablets taken at intervals (for example, days 0, 28 and 56). Each course generally consisted of two tablets taken after breakfast over three consecutive days. In all cases the placebo groups took enteric-coated tablets containing glucose. Risk of bias was moderate across the studies, namely due to the lack of information provided about methods and inadequate presentation of results. Meta-analysis of the oral NTHi vaccine showed a small, non-statistically significant reduction in the incidence of acute exacerbations of chronic bronchitis or COPD by 2.048% (risk ratio (RR) 0.97, 95% confidence interval (CI) 0.84 to 1.12, P value = 0.68). There was no significant difference in mortality rate between the vaccine and placebo groups (odds ratio (OR) 1.62, 95% CI 0.63 to 4.12, P value = 0.31). We were unable to meta-analyse the carriage levels of NTHi in participants as each trial reported this result using different units and tools of measurement. Four trials showed no significant difference in carriage levels, while two trials showed a significant decrease in carriage levels in the vaccinated group compared with placebo. Four trials assessed severity of exacerbations measured by requirement for antibiotics. Three of these trials were comparable and when meta-analysed showed a statistically significant 80% increase in antibiotic courses per person in the placebo group (RR 1.81, 95% CI 1.35 to 2.44, P value &lt; 0.0001). There was no significant difference between the groups with regards to hospital admission rates (OR 0.96, 95% CI 0.13 to 7.04, P value = 0.97). Adverse events were </w:t>
      </w:r>
      <w:r>
        <w:rPr>
          <w:kern w:val="0"/>
        </w:rPr>
        <w:lastRenderedPageBreak/>
        <w:t>reported in all six trials with a point estimate suggestive that they occurred more frequently in the vaccine group, however, this result was not statistically significant (RR 1.43, 95% CI 0.70 to 2.92, P value = 0.87). Quality of life was not meta-analysed but was reported in two trials, with results at six months showing an improvement in quality of life in the vaccinated group (scoring at least two points better than placebo). Authors’ conclusions Analyses demonstrate that NTHi oral vaccination of patients with recurrent exacerbations of chronic bronchitis or COPD does not yield a significant reduction in the number and severity of exacerbations. Evidence is mixed and the individual trials that show a significant benefit of the vaccine are too small to advocate widespread oral vaccination of people with COPD.</w:t>
      </w:r>
    </w:p>
    <w:p w:rsidR="00B9146D" w:rsidRDefault="00B9146D" w:rsidP="00B9146D">
      <w:pPr>
        <w:pStyle w:val="a3"/>
        <w:rPr>
          <w:kern w:val="0"/>
        </w:rPr>
      </w:pPr>
      <w:r>
        <w:rPr>
          <w:kern w:val="0"/>
        </w:rPr>
        <w:t>Keywords: Adverse Events, Aged, Airways, Analysis, Antibiotic, Antibiotics, Authors, Bacteria, Bias, Chronic, Chronic Bronchitis, Chronic Obstructive Pulmonary Disease, Clinical, Collection, Colonization, Confidence, Copd, Course, Criteria, Data, Data Collection, Databases, Disease, Effectiveness, Effects, Efficacy, Embase, Events, Evidence, From, Glucose, Groups, Hospital, Immunization, Improvement, Incidence, Infection, Infections, Information, Interval, Intervals, Life, Lung, Matching, Measurement, Medline, Meta Analysis, Meta-Analysis, Metaanalysis, Methods, Mortality, Mortality Rate, Normal, Odds Ratio, Older, Oral, Outcomes, P, Patients, Person, Placebo, Populations, Preparation, Presentation, Primary, Protection, Publications, Quality, Quality Of, Quality Of Life, Randomised, Randomised Controlled Trials, Rates, Records, Recurrent, Reduction, Registries, Requirement, Respiratory-Tract, Risk, Risk Of Bias, Science, Search, Selection, Selection Criteria, Small, Tablets, Therapy, Trial, Vaccination, Vaccine, Value, Viral, Web, Web Of Science</w:t>
      </w:r>
    </w:p>
    <w:p w:rsidR="00B9146D" w:rsidRDefault="00B9146D" w:rsidP="00B9146D">
      <w:pPr>
        <w:pStyle w:val="a3"/>
        <w:rPr>
          <w:kern w:val="0"/>
        </w:rPr>
      </w:pPr>
      <w:r>
        <w:rPr>
          <w:kern w:val="0"/>
        </w:rPr>
        <w:t xml:space="preserve">? Tao, K.M., Li, X.Q., Yang, L.Q., Yu, W.F., Lu, Z.J., Sun, Y.M. and Wu, F.X. (2014), Glutamine supplementation for critically ill adults.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D0627F">
        <w:rPr>
          <w:kern w:val="0"/>
        </w:rPr>
        <w:t>CD010050</w:t>
      </w:r>
      <w:r>
        <w:rPr>
          <w:kern w:val="0"/>
        </w:rPr>
        <w:t>.</w:t>
      </w:r>
    </w:p>
    <w:p w:rsidR="00B9146D" w:rsidRDefault="00B9146D" w:rsidP="00B9146D">
      <w:pPr>
        <w:pStyle w:val="a3"/>
      </w:pPr>
      <w:r>
        <w:t xml:space="preserve">Full Text: </w:t>
      </w:r>
      <w:r w:rsidRPr="004626B9">
        <w:t xml:space="preserve">2014\Coc Dat Sys Rev2014, </w:t>
      </w:r>
      <w:r w:rsidRPr="00D0627F">
        <w:rPr>
          <w:kern w:val="0"/>
        </w:rPr>
        <w:t>CD010050</w:t>
      </w:r>
      <w:r w:rsidRPr="004626B9">
        <w:t>.pdf</w:t>
      </w:r>
    </w:p>
    <w:p w:rsidR="00B9146D" w:rsidRDefault="00B9146D" w:rsidP="00B9146D">
      <w:pPr>
        <w:pStyle w:val="a3"/>
        <w:rPr>
          <w:kern w:val="0"/>
        </w:rPr>
      </w:pPr>
      <w:r>
        <w:rPr>
          <w:kern w:val="0"/>
        </w:rPr>
        <w:t xml:space="preserve">Abstract: Background Glutamine is a non-essential amino acid which is abundant in the healthy human body. There are studies reporting that plasma glutamine levels are reduced in patients with critical illness or following major surgery, suggesting that glutamine may be a conditionally essential amino acid in situations of extreme stress. In the past decade, several clinical trials examining the effects of glutamine supplementation in patients with critical illness or receiving surgery have been done, and the systematic review of this clinical evidence has suggested that glutamine supplementation may reduce infection and mortality rates in patients with critical illness. However, two recent large-scale randomized clinical trials did not find any beneficial effects of glutamine supplementation in patients with critical illness. Objectives The objective of this review was to: 1. assess the effects of glutamine </w:t>
      </w:r>
      <w:r>
        <w:rPr>
          <w:kern w:val="0"/>
        </w:rPr>
        <w:lastRenderedPageBreak/>
        <w:t xml:space="preserve">supplementation in critically ill adults and in adults after major surgery on infection rate, mortality and other clinically relevant outcomes; 2. investigate potential heterogeneity across different patient groups and different routes for providing nutrition. Search methods We searched the Cochrane Anaesthesia Review Group (CARG) Specialized Register; Cochrane Central Register of Controlled Trials (CENTRAL) in The Cochrane Library (2013, Issue 5); MEDLINE (1950 to May 2013); EMBASE (1980 to May 2013) and Web of Science (1945 to May 2013). Selection criteria We included controlled clinical trials with random or quasi-random allocation that examined glutamine supplementation versus no supplementation or placebo in adults with a critical illness or undergoing elective major surgery. We excluded cross-over trials. Data collection and analysis Two authors independently extracted the relevant information from each included study using a standardized data extraction form. For infectious complications and mortality and morbidity outcomes we used risk ratio (RR) as the summary measure with the 95% confidence interval (CI). We calculated, where appropriate, the number needed to treat to benefit (NNTB) and the number needed to treat to harm (NNTH). We presented continuous data as the difference between means (MD) with the 95% CI. Main results Our search identified 1999 titles, of which 53 trials (57 articles) fulfilled our inclusion criteria. The 53 included studies enrolled a total of 4671 participants with critical illness or undergoing elective major surgery. We analysed seven domains of potential risk of bias. In 10 studies the risk of bias was evaluated as low in all of the domains. Thirty-three trials (2303 patients) provided data on nosocomial infectious complications; pooling of these data suggested that glutamine supplementation reduced the infectious complications rate in adults with critical illness or undergoing elective major surgery (RR 0.79, 95% CI 0.71 to 0.87, P &lt; 0.00001, I-2 = 8%, moderate quality evidence). Thirty-six studies reported short-term(hospital or less than one month) mortality. The combined rate of mortality from these studies was not statistically different between the groups receiving glutamine supplement and those receiving no supplement (RR 0.89, 95% CI 0.78 to 1.02, P = 0.10, I-2 = 22%, low quality evidence). Eleven studies reported long-term (more than six months) mortality; meta-analysis of these studies (2277 participants) yielded a RR of 1.00 (95% CI 0.89 to 1.12, P = 0.94, I-2 = 30%, moderate quality evidence). Subgroup analysis of infectious complications and mortality outcomes did not find any statistically significant differences between the predefined groups. Hospital length of stay was reported in 36 studies. We found that the length of hospital stay was shorter in the intervention group than in the control group (MD -3.46 days, 95% CI -4.61 to -2.32, P &lt; 0.0001, I-2 = 63%, low quality evidence). Slightly prolonged intensive care unit (ICU) stay was found in the glutamine supplemented group from 22 studies (2285 participants) (MD 0.18 days, 95% CI 0.07 to 0.29, P = 0.002, I-2 = 11%, </w:t>
      </w:r>
      <w:r>
        <w:rPr>
          <w:kern w:val="0"/>
        </w:rPr>
        <w:lastRenderedPageBreak/>
        <w:t>moderate quality evidence). Days on mechanical ventilation (14 studies, 1297 participants) was found to be slightly shorter in the intervention group than in the control group (MD -0.69 days, 95% CI -1.37 to -0.02, P = 0.04, I-2 = 18%, moderate quality evidence). There was no clear evidence of a difference between the groups for side effects and quality of life, however results were imprecise for serious adverse events and few studies reported on quality of life. Sensitivity analysis including only low risk of bias studies found that glutamine supplementation had beneficial effects in reducing the length of hospital stay (MD -2.9 days, 95% CI -5.3 to -0.5, P = 0.02, I-2 = 58%, eight studies) while there was no statistically significant difference between the groups for all of the other outcomes. Authors’ conclusions This review found moderate evidence that glutamine supplementation reduced the infection rate and days on mechanical ventilation, and low quality evidence that glutamine supplementation reduced length of hospital stay in critically ill or surgical patients. It seems to have little or no effect on the risk of mortality and length of ICU stay, however. The effects on the risk of serious side effects were imprecise. The strength of evidence in this review was impaired by a high risk of overall bias, suspected publication bias, and moderate to substantial heterogeneity within the included studies.</w:t>
      </w:r>
    </w:p>
    <w:p w:rsidR="00B9146D" w:rsidRDefault="00B9146D" w:rsidP="00B9146D">
      <w:pPr>
        <w:pStyle w:val="a3"/>
        <w:rPr>
          <w:kern w:val="0"/>
        </w:rPr>
      </w:pPr>
      <w:r>
        <w:rPr>
          <w:kern w:val="0"/>
        </w:rPr>
        <w:t>Keywords: Adverse Events, Allocation, Amino Acid, Anaesthesia, Analysis, Articles, Authors, Bias, Care, Clinical, Clinical Trials, Collection, Complications, Confidence, Control, Criteria, Critical Illness, Data, Data Collection, Data Support Nutrition, Effects, Elective, Embase, Enriched Enteral Nutrition, Events, Evidence, Extraction, Frequent Intravenous Pulses, From, Groups, Heterogeneity, Hospital, Hospital Stay, Human, ICU, Infection, Infectious Complications, Information, Intensive Care, Intensive Care Unit, Intensive-Care-Unit, Interval, Intervention, Length, Length Of Stay, Life, Long Term, Long-Term, Low Risk, Major Abdominal-Surgery, Measure, Mechanical Ventilation, Medline, Meta Analysis, Meta-Analysis, Metaanalysis, Methods, Morbidity, Mortality, Number Needed To Treat, Nutrition, Outcomes, P, Patient, Patients, Placebo, Plasma, Potential, Prolonged, Prolonged Critical Illness, Publication, Publication Bias, Quality, Quality Of, Quality Of Life, Randomized, Randomized Clinical-Trials, Rates, Recent, Reporting, Review, Risk, Science, Search, Sensitivity, Sensitivity Analysis, Severe Acute-Pancreatitis, Severely Burned Patients, Side Effects, Strength, Stress, Surgery, Systematic, Systematic Review, Total Parenteral-Nutrition, Ventilation, Web, Web Of Science</w:t>
      </w:r>
    </w:p>
    <w:p w:rsidR="00B9146D" w:rsidRDefault="00B9146D" w:rsidP="00B9146D">
      <w:pPr>
        <w:pStyle w:val="a3"/>
        <w:rPr>
          <w:kern w:val="0"/>
        </w:rPr>
      </w:pPr>
      <w:r>
        <w:rPr>
          <w:kern w:val="0"/>
        </w:rPr>
        <w:t xml:space="preserve">? McCaul, M., Lourens, A. and Kredo, T. (2014), Pre-hospital versus in-hospital thrombolysis for ST-elevation myocardial infarction.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CD010191</w:t>
      </w:r>
      <w:r>
        <w:rPr>
          <w:kern w:val="0"/>
        </w:rPr>
        <w:t>.</w:t>
      </w:r>
    </w:p>
    <w:p w:rsidR="00B9146D" w:rsidRDefault="00B9146D" w:rsidP="00B9146D">
      <w:pPr>
        <w:pStyle w:val="a3"/>
      </w:pPr>
      <w:r>
        <w:t xml:space="preserve">Full Text: </w:t>
      </w:r>
      <w:r w:rsidRPr="004626B9">
        <w:t xml:space="preserve">2014\Coc Dat Sys Rev2014, </w:t>
      </w:r>
      <w:r w:rsidRPr="002F1BCC">
        <w:rPr>
          <w:kern w:val="0"/>
        </w:rPr>
        <w:t>CD010191</w:t>
      </w:r>
      <w:r w:rsidRPr="004626B9">
        <w:t>.pdf</w:t>
      </w:r>
    </w:p>
    <w:p w:rsidR="00B9146D" w:rsidRDefault="00B9146D" w:rsidP="00B9146D">
      <w:pPr>
        <w:pStyle w:val="a3"/>
        <w:rPr>
          <w:kern w:val="0"/>
        </w:rPr>
      </w:pPr>
      <w:r>
        <w:rPr>
          <w:kern w:val="0"/>
        </w:rPr>
        <w:t xml:space="preserve">Abstract: Background Early thrombolysis for individuals experiencing a myocardial </w:t>
      </w:r>
      <w:r>
        <w:rPr>
          <w:kern w:val="0"/>
        </w:rPr>
        <w:lastRenderedPageBreak/>
        <w:t xml:space="preserve">infarction is associated with better mortality and morbidity outcomes. While traditionally thrombolysis is given in hospital, pre-hospital thrombolysis is proposed as an effective intervention to save time and reduce mortality and morbidity in individuals with ST-elevation myocardial infarction (STEMI). Despite some evidence that pre-hospital thrombolysis may be delivered safely, there is a paucity of controlled trial data to indicate whether the timing of delivery can be effective in reducing key clinical outcomes. Objectives To assess the morbidity and mortality of pre-hospital versus in-hospital thrombolysis for STEMI. Search methods We searched the Cochrane Central Register of Controlled Trials (CENTRAL), MEDLINE (OVID), EMBASE (OVID), two citation indexes on Web of Science (Thomson Reuters) and Cumulative Index to Nursing and Allied Health Literature (CINAHL) for randomised controlled trials and grey literature published up to June 2014. We also searched the reference lists of articles identified, clinical trial registries and unpublished thesis sources. We did not contact pharmaceutical companies for any relevant published or unpublished articles. We applied no language, date or publication restrictions. The Cochrane Heart Group conducted the primary electronic search. Selection criteria We included randomised controlled trials of pre-hospital versus in-hospital thrombolysis in adults with ST-elevation myocardial infarction diagnosed by a healthcare provider. Data collection and analysis Two authors independently screened eligible studies for inclusion and carried out data extraction and ‘Risk of bias’ assessments, resolving any disagreement by consulting a third author. We contacted authors of potentially suitable studies if we required missing or additional information. We collected efficacy and adverse effect data from the trials. Main results We included three trials involving 538 participants. We found low quality of evidence indicating uncertainty whether pre-hopsital thrombolysis reduces all-cause mortality in individuals with STEMI compared to in-hospital thrombolysis (risk ratio 0.73, 95% confidence interval 0.37 to 1.41). We found high-quality evidence (two trials, 438 participants) that pre-hospital thrombolysis reduced the time to receipt of thrombolytic treatment compared with in-hospital thrombolysis. For adverse events, we found moderate-quality evidence that the occurrence of bleeding events was similar between participants receiving in-hospital or pre-hospital thrombolysis (two trials, 438 participants), and low-quality evidence that the occurrence of ventricular fibrillation (two trials, 178 participants), stroke (one trial, 78 participants) and allergic reactions (one trial, 100 participants) was also similar between participants receiving in-hospital or pre-hospital thrombolysis. We considered the included studies to have an overall unclear/high risk of bias. Authors’ conclusions Pre-hospital thrombolysis reduces time to treatment, based on studies conducted in higher income countries. In settings where it can be safely and correctly administered by trained </w:t>
      </w:r>
      <w:r>
        <w:rPr>
          <w:kern w:val="0"/>
        </w:rPr>
        <w:lastRenderedPageBreak/>
        <w:t>staff, pre-hospital thrombolysis may be an appropriate intervention. Pre-hospital thrombolysis has the potential to reduce the burden of STEMI in lower-and middle-income countries, especially in individuals who have limited access to in-hospital thrombolysis or percutaneous coronary interventions. We found no randomised controlled trials evaluating the efficacy of pre-hospital thrombolysis for STEMI in lower-and middle-income countries. Large high-quality multicentre randomised controlled trials implemented in resource-constrained countries will provide additional evidence for the efficacy and safety of this intervention. Local policy makers should consider their local health infrastructure and population distribution needs. These considerations should be taken into account when developing clinical guidelines for pre-hospital thrombolysis.</w:t>
      </w:r>
    </w:p>
    <w:p w:rsidR="00B9146D" w:rsidRDefault="00B9146D" w:rsidP="00B9146D">
      <w:pPr>
        <w:pStyle w:val="a3"/>
        <w:rPr>
          <w:kern w:val="0"/>
        </w:rPr>
      </w:pPr>
      <w:r>
        <w:rPr>
          <w:kern w:val="0"/>
        </w:rPr>
        <w:t>Keywords: Access, Acute Coronary Syndromes, Adverse Events, All-Cause Mortality, Analysis, Anistreplase Trial Great, Articles, Assessments, Authors, Bias, Bleeding, Burden, Citation, Citation Indexes, Clinical, Clinical Guidelines, Clinical Outcomes, Clinical Trial, Collection, Confidence, Controlled Trial, Criteria, Data, Data Collection, Delivery, Developing, Distribution, Efficacy, Embase, Events, Evidence, Extraction, Fibrinolytic Therapy, Follow-Up, From, Guidelines, Health, Hospital, Income, Infarction, Information, Infrastructure, Interval, Intervention, Interventions, Language, Literature, Local, Medline, Methods, Morbidity, Mortality, Myocardial Infarction, Needs, Nursing, Outcomes, Percutaneous, Plasminogen-Activator, Policy, Population, Potential, Prehospital, Primary, Primary Angioplasty, Publication, Quality, Quality Of, Randomised, Randomised Controlled Trials, Randomized-Trial, Reference, Reference Lists, Registries, Restrictions, Risk, Risk Of Bias, Rural-Community, Safety, Science, Search, Short-Term, Sources, Stroke, Thesis, Thomson Reuters, Thomson-Reuters, Timing, Treatment, Trial, Uncertainty, Undifferentiated Chest-Pain, Ventricular Fibrillation, Web, Web Of Science</w:t>
      </w:r>
    </w:p>
    <w:p w:rsidR="00B9146D" w:rsidRDefault="00B9146D" w:rsidP="00B9146D">
      <w:pPr>
        <w:pStyle w:val="a3"/>
        <w:rPr>
          <w:kern w:val="0"/>
        </w:rPr>
      </w:pPr>
      <w:r>
        <w:rPr>
          <w:kern w:val="0"/>
        </w:rPr>
        <w:t xml:space="preserve">? van Herwaarden, N., den Broeder, A.A., Jacobs, W., van der Maas, A., Bijlsma, J.W.J., van Vollenhoven, R.F. and van den Bemt, B.J.F. (2014), Down-titration and discontinuation strategies of tumor necrosis factor-blocking agents for rheumatoid arthritis in patients with low disease activity.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D0627F">
        <w:rPr>
          <w:kern w:val="0"/>
        </w:rPr>
        <w:t>CD010455</w:t>
      </w:r>
      <w:r>
        <w:rPr>
          <w:kern w:val="0"/>
        </w:rPr>
        <w:t>.</w:t>
      </w:r>
    </w:p>
    <w:p w:rsidR="00B9146D" w:rsidRDefault="00B9146D" w:rsidP="00B9146D">
      <w:pPr>
        <w:pStyle w:val="a3"/>
      </w:pPr>
      <w:r>
        <w:t xml:space="preserve">Full Text: </w:t>
      </w:r>
      <w:r w:rsidRPr="004626B9">
        <w:t xml:space="preserve">2014\Coc Dat Sys Rev2014, </w:t>
      </w:r>
      <w:r w:rsidRPr="00D0627F">
        <w:rPr>
          <w:kern w:val="0"/>
        </w:rPr>
        <w:t>CD010455</w:t>
      </w:r>
      <w:r w:rsidRPr="004626B9">
        <w:t>.pdf</w:t>
      </w:r>
    </w:p>
    <w:p w:rsidR="00B9146D" w:rsidRDefault="00B9146D" w:rsidP="00B9146D">
      <w:pPr>
        <w:pStyle w:val="a3"/>
        <w:rPr>
          <w:kern w:val="0"/>
        </w:rPr>
      </w:pPr>
      <w:r>
        <w:rPr>
          <w:kern w:val="0"/>
        </w:rPr>
        <w:t xml:space="preserve">Abstract: Background Anti-tumor necrosis factor (TNF) agents are effective in treating patients with rheumatoid arthritis (RA), but they are associated with (dose-dependent) adverse effects and high costs. To prevent overtreatment, several trials have assessed the effectiveness of down-titration compared with continuation of the standard dose. Objectives To evaluate the benefits and harms of down-titration (dose reduction, discontinuation or disease activity guided dose tapering) of anti-TNF agents (adalimumab, certolizumab pegol, etanercept, golimumab, infliximab) on disease </w:t>
      </w:r>
      <w:r>
        <w:rPr>
          <w:kern w:val="0"/>
        </w:rPr>
        <w:lastRenderedPageBreak/>
        <w:t xml:space="preserve">activity, functioning, costs, safety and radiographic damage compared with usual care in patients with RA and low disease activity. Search methods We searched the Cochrane Central Register of Controlled Trials (CENTRAL), Issue 8, 2013; Ovid MEDLINE (1946 to 8 September 2013); EMBASE (1947 to 8 September 2013); Science Citation Index (Web of Science); and conference proceedings of the American College of Rheumatology (2005 to 2012) and European League against Rheumatism (2005 to 2013). We contacted authors of the seven included studies to ask for additional information on their study; five responded. Selection criteria Randomised controlled trials (RCTs) and controlled clinical trials (CCTs) comparing down-titration (dose reduction, discontinuation, disease activity-guided dose tapering) of anti-TNF agents (adalimumab, certolizumab pegol, etanercept, golimumab, infliximab) to usual care/no down-titration in patients with RA and a low disease activity state. Data collection and analysis Two review authors independently selected studies, assessed risk of bias and extracted data. Main results Six RCTs and one CCT (total 1203 participants), reporting anti-TNF down-titration, were included. Three studies (559 participants) reported anti-TNF dose reduction compared with anti-TNF continuation. Five studies (732 participants) reported anti-TNF discontinuation compared with anti-TNF continuation (two studies assessed both anti-TNF discontinuation and dose reduction), and one study assessed disease activity-guided anti-TNF dose tapering (137 participants). These studies include only adalimumab and etanercept; controlled data on other anti-TNF agents are absent. Two studies were available in full text; one was assessed as having low risk of bias and the other high risk. Five studies were available only as one or more abstracts. Because data provided in these abstracts were limited, risk of bias was unclear. Clinical heterogeneity between the trials was high. Dose reduction of anti-TNF (etanercept data only) showed no statistically significant or clinical relevant difference in disease activity score in 28 joints (DAS28) (mean difference(MD) 0.10, 95% confidence interval (CI) -0.11 to 0.31) (scale 0.9 to 8; higher score indicates worse disease activity). The proportion of participants who maintained low disease activity was slightly lower among participants given reduced doses of the anti-TNF agent (risk ratio (RR) 0.87, 95% CI 0.78 to 0.98, absolute risk difference (ARD) 9%). Radiographic outcome was slightly worse, but this was not clinically meaningful, compared with continuation of anti-TNF (MD 0.11, 95% CI 0.08 to 0.14) (scale 0 to 448; higher score indicates greater joint damage). Function was not statistically different between anti-TNF dose reduction and continuation (MD 0.10, 95% CI 0.00 to 0.20) (scale 0 to 3; higher score indicates worse functioning). Reinstalment of anti-TNF after failure of dose reduction showed a 5% risk of persistent flare. Data on numbers of serious adverse events (SAEs) (RR 0.58, 95% CI 0.23 to 1.45, ARD -2%) and withdrawals due to adverse events (AEs) (RR 0.57, 95% CI 0.17 to 1,92, ARD </w:t>
      </w:r>
      <w:r>
        <w:rPr>
          <w:kern w:val="0"/>
        </w:rPr>
        <w:lastRenderedPageBreak/>
        <w:t xml:space="preserve">-1%) were inconclusive. Most outcomes were based on moderate quality evidence. Participants who discontinued anti-TNF (adalimumab and etanercept data) had higher mean DAS28 (DAS28-erythrocyte sedimentation rate (ESR): MD 1.10, 95% CI 0.86 to 1.34) and DAS28-C-reactive protein (CRP): MD 0.57 95% CI -0.09 to 1.23) and were less likely to maintain a low disease activity state (RR 0.43, 95% CI 0.27 to 0.68, ARD 40%). Also, radiographic and functional outcomes are worse after anti-TNF discontinuation (MD 0.66, 95% CI 0.63 to 0.69, and MD 0.30, 95% CI 0.19 to 0.41, respectively). Data on numbers of SAEs (RR 1.26, 95% CI 0.61 to 2.63, ARD 2%) and withdrawals due to AEs (RR 0.72, 95% CI 0.23 to 2.24, ARD -1%) were inconclusive. Most outcomes were based on moderate quality evidence. The one study comparing disease activity-guided anti-TNF dose tapering (adalimumab and etanercept data) reported no statistically significant differences in functional outcomes (MD 0.20, 95% CI -0.02 to 0.42). Significantly higher mean disease activity was found among participants with tapered anti-TNF at study end (MD 0.50, 95% CI 0.11 to 0.89). No full text of this trial was available for this review. No other major outcomes were reported. All outcomes were based on low quality evidence. Authors’ conclusions We can conclude, mostly based on moderate quality evidence, that non-disease activity guided dose reduction of etanercept 50 mg weekly to 25 mg weekly, after at least three to 12 months of low disease activity, seems as effective as continuing the standard dose with respect to disease activity and functional outcomes, although dose reduction significantly induces minimal and not clinically meaningful differences in radiological progression. Discontinuation (also without disease activity-guided adaptation) of adalimumab and etanercept is inferior to continuation of treatment with respect to disease activity and radiological outcomes and function. Disease activity-guided dose tapering of adalimumab and etanercept seems slightly inferior to continuation of treatment with respect to disease activity, with no difference in function. However the only study investigating this comparison included lower than projected numbers of participants. Caveats of this review are that available data are limited. Also, the heterogeneity between studies and the suboptimal design choices (including absence of disease activity-guided dose reduction and discontinuation and use of superiority designs) limit definitive conclusions. None of the included studies assessed long-term safety and costs, although these factors are specific reasons why clinicians consider lowering the dose or stopping the administration of anti-TNF agents. Future research should include other anti-TNF agents; assessment of disease activity, function and radiographic outcomes after longer follow-up; and assessment of long-term safety, cost-effectiveness and predictors for successful down-titration. Also use of a validated flare criterion, non-inferiority designs and disease activity-guided instead of fixed-dose tapering or stopping would allow researchers to better interpret study </w:t>
      </w:r>
      <w:r>
        <w:rPr>
          <w:kern w:val="0"/>
        </w:rPr>
        <w:lastRenderedPageBreak/>
        <w:t>findings and generalise the information to clinical practice.</w:t>
      </w:r>
    </w:p>
    <w:p w:rsidR="00B9146D" w:rsidRDefault="00B9146D" w:rsidP="00B9146D">
      <w:pPr>
        <w:pStyle w:val="a3"/>
        <w:rPr>
          <w:kern w:val="0"/>
        </w:rPr>
      </w:pPr>
      <w:r>
        <w:rPr>
          <w:kern w:val="0"/>
        </w:rPr>
        <w:t>Keywords: Abstracts, Activity, Activity Index, Activity Score, Adalimumab, Adaptation, Administration, Adverse Effects, Adverse Events, American-College, Analysis, Anti-Tnf, Anti-Tumor, Arthritis, Assessment, Authors, Benefits, Bias, Care, Citation, Clinical, Clinical Practice, Clinical Trials, Clinical-Practice, Collection, Comparison, Conference Proceedings, Confidence, Cost Effectiveness, Cost-Effectiveness, Costs, Criteria, Crp, Damage, Data, Data Collection, Design, Discontinuation, Disease, Disease Activity, Drug-Free Remission, Effectiveness, Effects, Embase, Esr, Etanercept, Events, Evidence, Factors, Failure, Follow-Up, Function, Heterogeneity, Induction Therapy, Infliximab, Information, Interval, Long Term, Long-Term, Low Risk, Low-Dose Etanercept, Medline, Methods, Necrosis, Outcome, Outcomes, Patients, Plus Methotrexate, Practice, Predictors, Prevent, Progression, Protein, Quality, Randomised Controlled Trials, Randomized Controlled-Trial, Reduction, Reporting, Research, Researchers, Review, Rheumatoid Arthritis, Rheumatology, European League, Risk, Safety, Scale, Science, Science Citation Index, Search, Sedimentation, Standard, State, TNF, Treatment, Trial, Tumor, Web, Web Of Science</w:t>
      </w:r>
    </w:p>
    <w:p w:rsidR="00B9146D" w:rsidRDefault="00B9146D" w:rsidP="00B9146D">
      <w:pPr>
        <w:pStyle w:val="a3"/>
        <w:rPr>
          <w:kern w:val="0"/>
        </w:rPr>
      </w:pPr>
      <w:r>
        <w:rPr>
          <w:kern w:val="0"/>
        </w:rPr>
        <w:t xml:space="preserve">? Esu, E., Effa, E.E., Opie, O.N., Uwaoma, A. and Meremikwu, M.M. (2014), Artemether for severe malaria. </w:t>
      </w:r>
      <w:r>
        <w:rPr>
          <w:i/>
          <w:iCs/>
          <w:kern w:val="0"/>
        </w:rPr>
        <w:t>Cochrane Database of Systematic Reviews</w:t>
      </w:r>
      <w:r>
        <w:rPr>
          <w:kern w:val="0"/>
        </w:rPr>
        <w:t xml:space="preserve">, </w:t>
      </w:r>
      <w:r>
        <w:rPr>
          <w:rFonts w:hint="eastAsia"/>
          <w:b/>
          <w:kern w:val="0"/>
        </w:rPr>
        <w:t>9</w:t>
      </w:r>
      <w:r>
        <w:rPr>
          <w:kern w:val="0"/>
        </w:rPr>
        <w:t xml:space="preserve">, </w:t>
      </w:r>
      <w:r w:rsidRPr="001F3C06">
        <w:rPr>
          <w:kern w:val="0"/>
        </w:rPr>
        <w:t xml:space="preserve">Article Number: </w:t>
      </w:r>
      <w:r w:rsidRPr="002F1BCC">
        <w:rPr>
          <w:kern w:val="0"/>
        </w:rPr>
        <w:t>CD010678</w:t>
      </w:r>
      <w:r>
        <w:rPr>
          <w:kern w:val="0"/>
        </w:rPr>
        <w:t>.</w:t>
      </w:r>
    </w:p>
    <w:p w:rsidR="00B9146D" w:rsidRDefault="00B9146D" w:rsidP="00B9146D">
      <w:pPr>
        <w:pStyle w:val="a3"/>
      </w:pPr>
      <w:r>
        <w:t xml:space="preserve">Full Text: </w:t>
      </w:r>
      <w:r w:rsidRPr="004626B9">
        <w:t xml:space="preserve">2014\Coc Dat Sys Rev2014, </w:t>
      </w:r>
      <w:r w:rsidRPr="002F1BCC">
        <w:rPr>
          <w:kern w:val="0"/>
        </w:rPr>
        <w:t>CD010678</w:t>
      </w:r>
      <w:r w:rsidRPr="004626B9">
        <w:t>.pdf</w:t>
      </w:r>
    </w:p>
    <w:p w:rsidR="00B9146D" w:rsidRDefault="00B9146D" w:rsidP="00B9146D">
      <w:pPr>
        <w:pStyle w:val="a3"/>
        <w:rPr>
          <w:kern w:val="0"/>
        </w:rPr>
      </w:pPr>
      <w:r>
        <w:rPr>
          <w:kern w:val="0"/>
        </w:rPr>
        <w:t xml:space="preserve">Abstract: Background In 2011 the World Health Organization (WHO) recommended parenteral artesunate in preference to quinine as first-line treatment for people with severe malaria. Prior to this recommendation, many countries, particularly in Africa, had begun to use artemether, an alternative artemisinin derivative. This review evaluates intramuscular artemether compared with both quinine and artesunate. Objectives To assess the efficacy and safety of intramuscular artemether versus any other parenteral medication in treating severe malaria in adults and children. Search methods We searched the Cochrane Infectious Diseases Group Specialized Register, CENTRAL (The Cochrane Library), MEDLINE, EMBASE and LILACS, ISI Web of Science, conference proceedings and reference lists of articles. We also searched the WHO clinical trial registry platform, ClinicalTrials.gov and the metaRegister of Controlled Trials (mRCT) for ongoing trials up to 9 April 2014. Selection criteria Randomized controlled trials (RCTs) comparing intramuscular artemether with intravenous or intramuscular antimalarial for treating severe malaria. Data collection and analysis The primary outcome was all-cause death. Two authors independently assessed trial eligibility, risk of bias and extracted data. We summarized dichotomous outcomes using risk ratios (RR) and continuous outcomes using mean differences (MD), and presented both measures with 95% confidence intervals (CI). </w:t>
      </w:r>
      <w:r>
        <w:rPr>
          <w:kern w:val="0"/>
        </w:rPr>
        <w:lastRenderedPageBreak/>
        <w:t>Where appropriate, we combined data in meta-analyses and assessed the quality of the evidence using the GRADE approach. Main results We included 18 RCTs, enrolling 2662 adults and children with severe malaria, carried out in Africa (11) and in Asia (7). Artemether versus quinine For children in Africa, there is probably little or no difference in the risk of death between intramuscular artemether and quinine (RR 0.96, 95% CI 0.76 to 1.20; 12 trials, 1447 participants, moderate quality evidence). Coma recovery may be about five hours shorter with artemether (MD -5.45, 95% CI -7.90 to -3.00; six trials, 358 participants, low quality evidence), and artemether may result in fewer neurological sequelae, but larger trials would be needed to confirm this (RR 0.84, 95% CI 0.66 to 1.07; seven trials, 968 participants, low quality evidence). Artemether probably shortens the parasite clearance time by about nine hours (MD -9.03, 95% CI -11.43 to 6.63; seven trials, 420 participants, moderate quality evidence), and may shorten the fever clearance time by about three hours (MD -3.73, 95% CI -6.55 to -0.92; eight trials, 457 participants, low quality evidence). For adults in Asia, treatment with intramuscular artemether probably results in fewer deaths than treatment with quinine (RR 0.59, 95% CI 0.42 to 0.83; four trials, 716 participants, moderate quality evidence). Artemether versus artesunate Artemether and artesunate have not been directly compared in randomized trials in African children. For adults in Asia, mortality is probably higher with intramuscular artemether (RR1.80, 95% CI 1.09 to 2.97, two trials, 494 participants, moderate quality evidence). Authors’ conclusions Although there is a lack of direct evidence comparing artemether with artesunate, artemether is probably less effective than artesunate at preventing deaths from severe malaria. In circumstances where artesunate is not available, artemether is an alternative to quinine.</w:t>
      </w:r>
    </w:p>
    <w:p w:rsidR="00B9146D" w:rsidRDefault="00B9146D" w:rsidP="00B9146D">
      <w:pPr>
        <w:pStyle w:val="a3"/>
        <w:rPr>
          <w:kern w:val="0"/>
        </w:rPr>
      </w:pPr>
      <w:r>
        <w:rPr>
          <w:kern w:val="0"/>
        </w:rPr>
        <w:t>Keywords: Africa, African Children, Alternative, Analysis, Approach, Articles, Asia, Authors, Bias, Childhood Cerebral Malaria, Children, Clinical, Clinical Trial, Collection, Coma, Comparative Efficacy, Conference Proceedings, Confidence, Confidence Intervals, Criteria, Data, Data Collection, Death, Efficacy, Embase, Evidence, Fever, First Line, From, Grade, Health, Intervals, Intramuscular Artemether, Intravenous, Intravenous Quinine, Isi, Isi Web Of Science, Malaria, Measures, Medline, Meta-Analyses, Methods, Mortality, Neurological, Nigerian Children, Outcome, Outcomes, Papua-New-Guinea, Plasmodium-Falciparum, Preference, Primary, Quality, Quality Of, Quinine, Randomized, Randomized Controlled Trials, Randomized-Trial, Recovery, Reference, Reference Lists, Registry, Review, Risk, Safety, Science, Search, Severe Falciparum-Malaria, Treatment, Trial, Web, Web Of Science, Who, World Health Organization</w:t>
      </w:r>
    </w:p>
    <w:p w:rsidR="00B9146D" w:rsidRDefault="00B9146D" w:rsidP="00B9146D">
      <w:pPr>
        <w:pStyle w:val="a3"/>
        <w:rPr>
          <w:kern w:val="0"/>
        </w:rPr>
      </w:pPr>
      <w:r>
        <w:rPr>
          <w:kern w:val="0"/>
        </w:rPr>
        <w:t xml:space="preserve">? Bath, P.M.W. and Krishnan, K. (2014), Interventions for deliberately altering blood pressure in acute stroke. </w:t>
      </w:r>
      <w:r>
        <w:rPr>
          <w:i/>
          <w:iCs/>
          <w:kern w:val="0"/>
        </w:rPr>
        <w:t>Cochrane Database of Systematic Reviews</w:t>
      </w:r>
      <w:r>
        <w:rPr>
          <w:kern w:val="0"/>
        </w:rPr>
        <w:t xml:space="preserve">, </w:t>
      </w:r>
      <w:r w:rsidRPr="002F1BCC">
        <w:rPr>
          <w:b/>
          <w:kern w:val="0"/>
        </w:rPr>
        <w:t>10</w:t>
      </w:r>
      <w:r>
        <w:rPr>
          <w:kern w:val="0"/>
        </w:rPr>
        <w:t xml:space="preserve">, </w:t>
      </w:r>
      <w:r w:rsidRPr="001F3C06">
        <w:rPr>
          <w:kern w:val="0"/>
        </w:rPr>
        <w:t xml:space="preserve">Article Number: </w:t>
      </w:r>
      <w:r w:rsidRPr="002F1BCC">
        <w:rPr>
          <w:kern w:val="0"/>
        </w:rPr>
        <w:t>CD000039</w:t>
      </w:r>
      <w:r>
        <w:rPr>
          <w:kern w:val="0"/>
        </w:rPr>
        <w:t>.</w:t>
      </w:r>
    </w:p>
    <w:p w:rsidR="00B9146D" w:rsidRDefault="00B9146D" w:rsidP="00B9146D">
      <w:pPr>
        <w:pStyle w:val="a3"/>
      </w:pPr>
      <w:r>
        <w:lastRenderedPageBreak/>
        <w:t xml:space="preserve">Full Text: </w:t>
      </w:r>
      <w:r w:rsidRPr="004626B9">
        <w:t xml:space="preserve">2014\Coc Dat Sys Rev2014, </w:t>
      </w:r>
      <w:r w:rsidRPr="002F1BCC">
        <w:rPr>
          <w:kern w:val="0"/>
        </w:rPr>
        <w:t>CD000039</w:t>
      </w:r>
      <w:r w:rsidRPr="004626B9">
        <w:t>.pdf</w:t>
      </w:r>
    </w:p>
    <w:p w:rsidR="00B9146D" w:rsidRDefault="00B9146D" w:rsidP="00B9146D">
      <w:pPr>
        <w:pStyle w:val="a3"/>
        <w:rPr>
          <w:kern w:val="0"/>
        </w:rPr>
      </w:pPr>
      <w:r>
        <w:rPr>
          <w:kern w:val="0"/>
        </w:rPr>
        <w:t xml:space="preserve">Abstract: Background It is unclear whether blood pressure should be altered actively during the acute phase of stroke. This is an update of a Cochrane review first published in 1997, and previously updated in 2001 and 2008. Objectives To assess the clinical effectiveness of altering blood pressure in people with acute stroke, and the effect of different vasoactive drugs on blood pressure in acute stroke. Search methods We searched the Cochrane Stroke Group Trials Register (last searched in February 2014), the Cochrane Database of Systematic reviews (CDSR) and the Cochrane Central Register of Controlled Trials (CENTRAL) (The Cochrane Library 2014, Issue 2), MEDLINE (Ovid) (1966 to May 2014), EMBASE (Ovid) (1974 to May 2014), Science Citation Index (ISI, Web of Science, 1981 to May 2014) and the Stroke Trials Registry (searched May 2014). Selection criteria Randomised controlled trials of interventions that aimed to alter blood pressure compared with control in participants within one week of acute ischaemic or haemorrhagic stroke. Data collection and analysis Two review authors independently applied the inclusion criteria, assessed trial quality and extracted data. The review authors crosschecked data and resolved discrepancies by discussion to reach consensus. We obtained published and unpublished data where available. Main results We included 26 trials involving 17,011 participants (8497 participants were assigned active therapy and 8514 participants received placebo/control). Not all trials contributed to each outcome. Most data came from trials that had a wide time window for recruitment; four trials gave treatment within six hours and one trial within eight hours. The trials tested alpha-2 adrenergic agonists (A2AA), angiotensin converting enzyme inhibitors (ACEI), angiotensin receptor antagonists (ARA), calcium channel blockers (CCBs), nitric oxide (NO) donors, thiazide-like diuretics, and target-driven blood pressure lowering. One trial tested phenylephrine. At 24 hours after randomisation oral ACEIs reduced systolic blood pressure (SBP, mean difference (MD) -8 mmHg, 95% confidence interval (CI) -17 to 1) and diastolic blood pressure (DBP, MD -3 mmHg, 95% CI -9 to 2), sublingual ACEIs reduced SBP (MD 12.00 mm Hg, 95% CI -26 to 2) and DBP (MD -2, 95% CI -10 to 6), oral ARA reduced SBP (MD -1 mm Hg, 95% CI -3 to 2) and DBP (MD -1 mm Hg, 95% CI -3 to 1), oral beta blockers reduced SBP (MD -14 mm Hg; 95% CI -27 to -1) and DBP (MD -1 mm Hg, 95% CI -9 to 7), intravenous (iv) beta blockers reduced SBP (MD -5 mm Hg, 95% CI -18 to 8) and DBP (-5 mm Hg, 95% CI 13 to 3), oral CCBs reduced SBP (MD -13 mmHg, 95% CI -43 to 17) and DBP (MD -6 mmHg, 95% CI -14 to 2), iv CCBs reduced SBP (MD -32 mmHg, 95% CI -65 to 1) and DBP (MD -13, 95% CI -31 to 6), NO donors reduced SBP (MD -12 mmHg, 95% CI -19 to -5) and DBP (MD -3, 95% CI -4 to -2) while phenylephrine, non-significantly increased SBP (MD 21 mmHg, 95% CI -13 to 55) and DBP (MD 1 mmHg, 95% CI -15 to 16). Blood pressure lowering did not </w:t>
      </w:r>
      <w:r>
        <w:rPr>
          <w:kern w:val="0"/>
        </w:rPr>
        <w:lastRenderedPageBreak/>
        <w:t>reduce death or dependency either by drug class (OR 0.98, 95% CI 0.92 to 1.05), stroke type (OR 0.98, 95% CI 0.92 to 1.05) or time to treatment (OR 0.98, 95% CI 0.92 to 1.05). Treatment within six hours of stroke appeared effective in reducing death or dependency (OR 0.86, 95% CI 0.76 to 0.99) but not death (OR 0.70, 95% CI 0.38 to 1.26) at the end of the trial. Although death or dependency did not differ between people who continued pre-stroke antihypertensive treatment versus those who stopped it temporarily (worse outcome with continuing treatment, OR 1.06, 95% CI 0.91 to 1.24), disability scores at the end of the trial were worse in participants randomised to continue treatment (Barthel Index, MD -3.2, 95% CI -5.8, -0.6). Authors’ conclusions There is insufficient evidence that lowering blood pressure during the acute phase of stroke improves functional outcome. It is reasonable to withhold blood pressure-lowering drugs until patients are medically and neurologically stable, and have suitable oral or enteral access, after which drugs can than be reintroduced. In people with acute stroke, CCBs, ACEI, ARA, beta blockers and NO donors each lower blood pressure while phenylephrine probably increases blood pressure. Further trials are needed to identify which people are most likely to benefit from early treatment, in particular whether treatment started very early is beneficial.</w:t>
      </w:r>
    </w:p>
    <w:p w:rsidR="00B9146D" w:rsidRDefault="00B9146D" w:rsidP="00B9146D">
      <w:pPr>
        <w:pStyle w:val="a3"/>
        <w:rPr>
          <w:kern w:val="0"/>
        </w:rPr>
      </w:pPr>
      <w:r>
        <w:rPr>
          <w:kern w:val="0"/>
        </w:rPr>
        <w:t>Keywords: Access, Active, Acute Cerebral-Hemorrhage, Acute Disease, Acute Ischemic-Stroke, Acute Phase, Analysis, Angiotensin, Ara, Authors, Blood, Blood Pressure, Blood Pressure [Drug Effects], Calcium, Calcium Channel Blockers, Calcium Channel Blockers [Therapeutic Use], Citation, Clinical, Clinical Effectiveness, Clinical-Trial, Collection, Confidence, Consensus, Control, Criteria, Data, Data Collection, Database, Death, Dependency, Disability, Double-Blind, Drug, Drugs, Effectiveness, Embase, Enteral, Evidence, First, From, Health-Care Professionals, Humans, Hypertension [Drug Therapy], Inhibitors, Interval, Interventions, Intravenous, Intravenous Nimodipine, Isi, Medline, Methods, Nitric Oxide, No, Oral, Outcome, Oxide, Patients, Phenylephrine, Placebo-Controlled Trial, Pressure, Prevention &amp; Control], Quality, Randomisation, Randomised, Randomised Controlled Trials, Randomized Controlled Trials As Topic, Randomized Controlled-Trial, Recruitment, Review, Reviews, Risk, Science, Science Citation Index, Search, Spontaneous Intracerebral Hemorrhage, Stroke, Stroke [Physiopathology, Sublingual, Systematic, Systematic Reviews, Therapy, Transdermal Glyceryl Trinitrate, Treatment, Trial, Vasoactive Drugs, Vasodilator Agents [Therapeutic Use], Web, Web Of Science</w:t>
      </w:r>
    </w:p>
    <w:p w:rsidR="00B9146D" w:rsidRDefault="00B9146D" w:rsidP="00B9146D">
      <w:pPr>
        <w:pStyle w:val="a3"/>
        <w:rPr>
          <w:kern w:val="0"/>
        </w:rPr>
      </w:pPr>
      <w:r>
        <w:rPr>
          <w:kern w:val="0"/>
        </w:rPr>
        <w:t xml:space="preserve">? Pakhale, S., Mulpuru, S., Verheij, T.J.M., Kochen, M.M., Rohde, G.G.U. and Bjerre, L.M. (2014), Antibiotics for community-acquired pneumonia in adult outpatients.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D0627F">
        <w:rPr>
          <w:kern w:val="0"/>
        </w:rPr>
        <w:t>CD002109</w:t>
      </w:r>
      <w:r>
        <w:rPr>
          <w:kern w:val="0"/>
        </w:rPr>
        <w:t>.</w:t>
      </w:r>
    </w:p>
    <w:p w:rsidR="00B9146D" w:rsidRDefault="00B9146D" w:rsidP="00B9146D">
      <w:pPr>
        <w:pStyle w:val="a3"/>
      </w:pPr>
      <w:r>
        <w:t xml:space="preserve">Full Text: </w:t>
      </w:r>
      <w:r w:rsidRPr="004626B9">
        <w:t xml:space="preserve">2014\Coc Dat Sys Rev2014, </w:t>
      </w:r>
      <w:r w:rsidRPr="00D0627F">
        <w:rPr>
          <w:kern w:val="0"/>
        </w:rPr>
        <w:t>CD002109</w:t>
      </w:r>
      <w:r w:rsidRPr="004626B9">
        <w:t>.pdf</w:t>
      </w:r>
    </w:p>
    <w:p w:rsidR="00B9146D" w:rsidRDefault="00B9146D" w:rsidP="00B9146D">
      <w:pPr>
        <w:pStyle w:val="a3"/>
        <w:rPr>
          <w:kern w:val="0"/>
        </w:rPr>
      </w:pPr>
      <w:r>
        <w:rPr>
          <w:kern w:val="0"/>
        </w:rPr>
        <w:lastRenderedPageBreak/>
        <w:t xml:space="preserve">Abstract: Background Lower respiratory tract infection (LRTI) is the third leading cause of death worldwide and the first leading cause of death in low-income countries. Community-acquired pneumonia (CAP) is a common condition that causes a significant disease burden for the community, particularly in children younger than five years, the elderly and immunocompromised people. Antibiotics are the standard treatment for CAP. However, increasing antibiotic use is associated with the development of bacterial resistance and side effects for the patient. Several studies have been published regarding optimal antibiotic treatment for CAP but many of these data address treatments in hospitalised patients. This is an update of our 2009 Cochrane Review and addresses antibiotic therapies for CAP in outpatient settings. Objectives To compare the efficacy and safety of different antibiotic treatments for CAP in participants older than 12 years treated in outpatient settings with respect to clinical, radiological and bacteriological outcomes. Search methods We searched CENTRAL (2014, Issue 1), MEDLINE (January 1966 to March week 3, 2014), EMBASE (January 1974 to March 2014), CINAHL (2009 to March 2014), Web of Science (2009 to March 2014) and LILACS (2009 to March 2014). Selection criteria We looked for randomised controlled trials (RCTs), fully published in peer-reviewed journals, of antibiotics versus placebo as well as antibiotics versus another antibiotic for the treatment of CAP in outpatient settings in participants older than 12 years of age. However, we did not find any studies of antibiotics versus placebo. Therefore, this review includes RCTs of one or more antibiotics, which report the diagnostic criteria and describe the clinical outcomes considered for inclusion in this review. Data collection and analysis Two review authors (LMB, TJMV) independently assessed study reports in the first publication. In the 2009 update, LMB performed study selection, which was checked by TJMV and MMK. In this 2014 update, two review authors (SP, SM) independently performed and checked study selection. We contacted trial authors to resolve any ambiguities in the study reports. We compiled and analysed the data. We resolved differences between review authors by discussion and consensus. Main results We included 11 RCTs in this review update (3352 participants older than 12 years with a diagnosis of CAP); 10 RCTs assessed nine antibiotic pairs (3321 participants) and one RCT assessed four antibiotics (31 participants) in people with CAP. The study quality was generally good, with some differences in the extent of the reporting. A variety of clinical, bacteriological and adverse events were reported. Overall, there was no significant difference in the efficacy of the various antibiotics. Studies evaluating clarithromycin and amoxicillin provided only descriptive data regarding the primary outcome. Though the majority of adverse events were similar between all antibiotics, nemonoxacin demonstrated higher gastrointestinal and nervous system adverse events when compared to levofloxacin, while cethromycin demonstrated significantly more nervous system </w:t>
      </w:r>
      <w:r>
        <w:rPr>
          <w:kern w:val="0"/>
        </w:rPr>
        <w:lastRenderedPageBreak/>
        <w:t>side effects, especially dysgeusia, when compared to clarithromycin. Similarly, high-dose amoxicillin (1 g three times a day) was associated with higher incidence of gastritis and diarrhoea compared to clarithromycin, azithromycin and levofloxacin. Authors’ conclusions Available evidence from recent RCTs is insufficient to make new evidence-based recommendations for the choice of antibiotic to be used for the treatment of CAP in outpatient settings. Pooling of study data was limited by the very low number of studies assessing the same antibiotic pairs. Individual study results do not reveal significant differences in efficacy between various antibiotics and antibiotic groups. However, two studies did find significantly more adverse events with use of cethromycin as compared to clarithromycin and nemonoxacin when compared to levofloxacin. Multi-drug comparisons using similar administration schedules are needed to provide the evidence necessary for practice recommendations. Further studies focusing on diagnosis, management, cost-effectiveness and misuse of antibiotics in CAP and LRTI are warranted in high-, middle-and low-income countries.</w:t>
      </w:r>
    </w:p>
    <w:p w:rsidR="00B9146D" w:rsidRDefault="00B9146D" w:rsidP="00B9146D">
      <w:pPr>
        <w:pStyle w:val="a3"/>
        <w:rPr>
          <w:kern w:val="0"/>
        </w:rPr>
      </w:pPr>
      <w:r>
        <w:rPr>
          <w:kern w:val="0"/>
        </w:rPr>
        <w:t>Keywords: Administration, Adult, Adverse Events, Age, Amoxicillin-Clavulanic Acid, Analysis, Anti-Bacterial Agents [Therapeutic Use], Antibiotics, Assessing, Authors, Azithromycin, Bacterial Pneumonia, Burden, Cap, Cause Of Death, Children, Choice, Clinical, Clinical Outcomes, Collection, Community, Community-Acquired Infections [Drug Therapy], Comparing Clarithromycin, Consensus, Cost Effectiveness, Cost-Effectiveness, Criteria, Data, Data Collection, Death, Development, Diagnosis, Diagnostic, Diagnostic Criteria, Diarrhoea, Disease, Disease Burden, Double-Blind, Effects, Efficacy, Elderly, Embase, Events, Evidence, Evidence Based, Evidence-Based, Extended-Release Clarithromycin, First, From, Groups, High Dose, High-Dose Amoxicillin, Hospitalised, Humans, Incidence, Infection, Journals, Management, Medline, Methods, Mild-To-Moderate, Older, Outcome, Outcomes, Outpatient, Outpatients, Patient, Patients, Peer Reviewed Journals, Peer-Reviewed, Placebo, Pneumonia, Pneumonia [Drug Therapy], Practice, Primary, Publication, Quality, Randomised, Randomised Controlled Trials, Randomized Controlled Trials As Topic, Randomized Controlled-Trials, Rct, Recent, Recommendations, Reporting, Resistance, Resistant Streptococcus-Pneumoniae, Respiratory-Tract Infections, Review, Safety, Science, Search, Selection, Side Effects, Standard, The Elderly, Treatment, Trial, Web, Web Of Science</w:t>
      </w:r>
    </w:p>
    <w:p w:rsidR="00B9146D" w:rsidRDefault="00B9146D" w:rsidP="00B9146D">
      <w:pPr>
        <w:pStyle w:val="a3"/>
        <w:rPr>
          <w:kern w:val="0"/>
        </w:rPr>
      </w:pPr>
      <w:r>
        <w:rPr>
          <w:kern w:val="0"/>
        </w:rPr>
        <w:t xml:space="preserve">? Herretes, S., Wang, X. and Reyes, J.M.G. (2014), Topical corticosteroids as adjunctive therapy for bacterial keratitis.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2F1BCC">
        <w:rPr>
          <w:kern w:val="0"/>
        </w:rPr>
        <w:t>CD005430</w:t>
      </w:r>
      <w:r>
        <w:rPr>
          <w:kern w:val="0"/>
        </w:rPr>
        <w:t>.</w:t>
      </w:r>
    </w:p>
    <w:p w:rsidR="00B9146D" w:rsidRDefault="00B9146D" w:rsidP="00B9146D">
      <w:pPr>
        <w:pStyle w:val="a3"/>
      </w:pPr>
      <w:r>
        <w:t xml:space="preserve">Full Text: </w:t>
      </w:r>
      <w:r w:rsidRPr="004626B9">
        <w:t xml:space="preserve">2014\Coc Dat Sys Rev2014, </w:t>
      </w:r>
      <w:r w:rsidRPr="002F1BCC">
        <w:rPr>
          <w:kern w:val="0"/>
        </w:rPr>
        <w:t>CD005430</w:t>
      </w:r>
      <w:r w:rsidRPr="004626B9">
        <w:t>.pdf</w:t>
      </w:r>
    </w:p>
    <w:p w:rsidR="00B9146D" w:rsidRDefault="00B9146D" w:rsidP="00B9146D">
      <w:pPr>
        <w:pStyle w:val="a3"/>
        <w:rPr>
          <w:kern w:val="0"/>
        </w:rPr>
      </w:pPr>
      <w:r>
        <w:rPr>
          <w:kern w:val="0"/>
        </w:rPr>
        <w:t xml:space="preserve">Abstract: Background Bacterial keratitis is a serious ocular infectious disease that can lead to severe visual disability. Risk factors for bacterial corneal infection include </w:t>
      </w:r>
      <w:r>
        <w:rPr>
          <w:kern w:val="0"/>
        </w:rPr>
        <w:lastRenderedPageBreak/>
        <w:t xml:space="preserve">contact lens wear, ocular surface disease, corneal trauma, and previous ocular or eyelid surgery. Topical antibiotics constitute the mainstay of treatment in cases of bacterial keratitis, whereas the use of topical corticosteroids as an adjunctive therapy to antibiotics remains controversial. Topical corticosteroids are usually used to control inflammation using the smallest amount of the drug. Their use requires optimal timing, concomitant antibiotics, and careful follow-up. Objectives The objective of the review was to assess the effectiveness and safety of corticosteroids as adjunctive therapy for bacterial keratitis. Secondary objectives included evaluation of health economic outcomes and quality of life outcomes. Search methods We searched CENTRAL (which contains the Cochrane Eyes and Vision Group Trials Register) (2014, Issue 6), Ovid MEDLINE, Ovid MEDLINE In-Process and Other Non-Indexed Citations, Ovid MEDLINE Daily, Ovid OLDMEDLINE (January 1946 to July 2014), EMBASE (January 1980 to July 2014), Latin American and Caribbean Health Sciences Literature Database (LILACS) (January 1982 to July 2014), the metaRegister of Controlled Trials (mRCT) (www.controlled-trials.com), ClinicalTrials.gov (www.clinicaltrials.gov) and the World Health Organization (WHO) International Clinical Trials Registry Platform (ICTRP) (www.who.int/ictrp/search/en). We did not use any date or language restrictions in the electronic searches for trials. We last searched the electronic databases on 14 July 2014. We also searched the Science Citation Index to identify additional studies that had cited the only trial included in the original version of this review, reference lists of included trials, earlier reviews, and the American Academy of Ophthalmology guidelines. We also contacted experts to identify any unpublished and ongoing randomized trials. Selection criteria We included randomized controlled trials (RCTs) that had evaluated adjunctive therapy with topical corticosteroids in people with bacterial keratitis who were being treated with antibiotics. Data collection and analysis We used the standard methodological procedures expected by The Cochrane Collaboration. Main results We found four RCTs that met the inclusion criteria of this review. The total number of included participants was 611 (612 eyes), ranging from 30 to 500 participants per trial. One trial was included in the previous version of the review, and we identified three additional trials through the updated searches in July 2014. One of the three smaller trials was a pilot study of the largest study: the Steroids for Corneal Ulcers Trial (SCUT). All trials compared the treatment of bacterial keratitis with topical corticosteroid and without topical corticosteroid and had follow-up periods ranging from two months to one year. These trials were conducted in the USA, Canada, India, and South Africa. All trials reported data on visual acuity ranging from three weeks to one year, and none of them found any important difference between the corticosteroid group and the control group. The pilot study of the SCUT reported that time to re-epithelialization in the steroid group </w:t>
      </w:r>
      <w:r>
        <w:rPr>
          <w:kern w:val="0"/>
        </w:rPr>
        <w:lastRenderedPageBreak/>
        <w:t>was 53% slower than the placebo group after adjusting for baseline epithelial defect size (hazard ratio (HR) 0.47; 95% confidence interval (CI) 0.23 to 0.94). However, the SCUT did not find any important difference in time to re-epithelialization (HR 0.92; 95% CI 0.76 to 1.11). For adverse events, none of the three small trials found any important difference between the two treatment groups. The investigators of the largest trial reported that more patients in the control group developed intraocular pressure (IOP) elevation (risk ratio (RR) 0.20; 95% CI 0.04 to 0.90). One trial reported quality of life and concluded that there was no difference between the two groups (data not available). We did not find any reports regarding economic outcomes. Although the four trials were generally of good methodological design, all trials had considerable losses to follow-up (10% or more) in the final analyses. Further, three of the four trials were underpowered to detect treatment effect differences between groups and inconsistency in outcome measurements precluded meta-analyses for most outcomes relevant to this review. Authors’ conclusions There is inadequate evidence as to the effectiveness and safety of adjunctive topical corticosteroids compared with no topical corticosteroids in improving visual acuity, infiltrate/scar size, or adverse events among participants with bacterial keratitis. Current evidence does not support a strong effect of corticosteroid, but may be due to insufficient power to detect a treatment effect.</w:t>
      </w:r>
    </w:p>
    <w:p w:rsidR="00B9146D" w:rsidRDefault="00B9146D" w:rsidP="00B9146D">
      <w:pPr>
        <w:pStyle w:val="a3"/>
        <w:rPr>
          <w:kern w:val="0"/>
        </w:rPr>
      </w:pPr>
      <w:r>
        <w:rPr>
          <w:kern w:val="0"/>
        </w:rPr>
        <w:t>Keywords: Adrenal Cortex Hormones [Therapeutic Use], Adverse Events, Africa, Analyses, Analysis, Antibiotics, Bacterial [Drug Therapy], Canada, Chemotherapy,Adjuvant [Methods], Citation, Citations, Clinical Trials, Cochrane Collaboration, Collaboration, Collection, Concomitant, Confidence, Contact-Lenses, Control, Corneal-Ulcers-Trial, Corticosteroids, Criteria, Data, Data Collection, Database, Databases, Design, Diffuse Lamellar Keratitis, Disability, Disease, Drug, Economic, Effectiveness, Embase, Evaluation, Events, Evidence, Experts, Eye Infections, Factors, Follow-Up, From, Groups, Guidelines, Hazard, Hazard Ratio, Health, Humans, In-Vitro Susceptibility, India, Infection, Inflammation, International, Interval, Keratitis [Drug Therapy, Language, Latin-American, Lead, Life, Literature, Losses, Medline, Meta-Analyses, Methods, Microbial Keratitis, Microbiology], Ocular Surface Disease, Ophthalmology, Outcome, Outcomes, Patients, Pilot, Placebo, Power, Predisposing Factors, Pressure, Procedures, Quality, Quality Of, Quality Of Life, Randomized, Randomized Controlled Trials, Reference, Reference Lists, Restrictions, Review, Reviews, Risk, Risk Factors, Risk-Factors, Safety, Science, Science Citation Index, Sciences, Search, Situ Keratomileusis, Size, Small, South Africa, Standard, Steroids, Support, Surface, Surgery, Therapy, Timing, Topical, Trauma, Treatment, Trial, Ulcerative Keratitis, Usa, Version, Who, World Health Organization</w:t>
      </w:r>
    </w:p>
    <w:p w:rsidR="00B9146D" w:rsidRDefault="00B9146D" w:rsidP="00B9146D">
      <w:pPr>
        <w:pStyle w:val="a3"/>
        <w:rPr>
          <w:kern w:val="0"/>
        </w:rPr>
      </w:pPr>
      <w:r>
        <w:rPr>
          <w:kern w:val="0"/>
        </w:rPr>
        <w:t xml:space="preserve">? Meerpohl, J.J., Schell, L.K., Rucker, G., Fleeman, N., Motschall, E., Niemeyer, C.M. </w:t>
      </w:r>
      <w:r>
        <w:rPr>
          <w:kern w:val="0"/>
        </w:rPr>
        <w:lastRenderedPageBreak/>
        <w:t xml:space="preserve">and Bassler, D. (2014), Deferasirox for managing iron overload in people with myelodysplastic syndrome.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D0627F">
        <w:rPr>
          <w:kern w:val="0"/>
        </w:rPr>
        <w:t>CD007461</w:t>
      </w:r>
      <w:r>
        <w:rPr>
          <w:kern w:val="0"/>
        </w:rPr>
        <w:t>.</w:t>
      </w:r>
    </w:p>
    <w:p w:rsidR="00B9146D" w:rsidRDefault="00B9146D" w:rsidP="00B9146D">
      <w:pPr>
        <w:pStyle w:val="a3"/>
      </w:pPr>
      <w:r>
        <w:t xml:space="preserve">Full Text: </w:t>
      </w:r>
      <w:r w:rsidRPr="004626B9">
        <w:t xml:space="preserve">2014\Coc Dat Sys Rev2014, </w:t>
      </w:r>
      <w:r w:rsidRPr="00D0627F">
        <w:rPr>
          <w:kern w:val="0"/>
        </w:rPr>
        <w:t>CD007461</w:t>
      </w:r>
      <w:r w:rsidRPr="004626B9">
        <w:t>.pdf</w:t>
      </w:r>
    </w:p>
    <w:p w:rsidR="00B9146D" w:rsidRDefault="00B9146D" w:rsidP="00B9146D">
      <w:pPr>
        <w:pStyle w:val="a3"/>
        <w:rPr>
          <w:kern w:val="0"/>
        </w:rPr>
      </w:pPr>
      <w:r>
        <w:rPr>
          <w:kern w:val="0"/>
        </w:rPr>
        <w:t>Abstract: Background The myelodysplastic syndrome (MDS) comprises a diverse group of haematopoietic stem cell disorders. Due to symptomatic anaemia, most people with MDS require supportive therapy including repeated red blood cell (RBC) transfusions. In combination with increased iron absorption, this contributes to the accumulation of iron resulting in secondary iron overload and the risk of organ dysfunction and reduced life expectancy. Since the human body has no natural means of removing excess iron, iron chelation therapy, i.e. the pharmacological treatment of iron overload, is usually recommended. However, it is unclear whether or not the newer oral chelator deferasirox leads to relevant benefit. Objectives To evaluate the effectiveness and safety of oral deferasirox for managing iron overload in people with myelodysplastic syndrome (MDS). Search methods We searched the following databases up to 03 April 2014: MEDLINE, EMBASE, The Cochrane Library, Biosis Previews, Web of Science, Derwent Drug File and four trial registries: Current Controlled Trials (www.controlled-trials.com), ClinicalTrials.gov ( www.clinicaltrials.gov), ICTRP (www.who.int./ictrp/en/), and German Clinical Trial Register (www.drks.de). Selection criteria Randomised controlled trials (RCTs) comparing deferasirox with no therapy, placebo or with another iron-chelating treatment schedule. Data collection and analysis We did not identify any trials eligible for inclusion in this review. Main results No trials met our inclusion criteria. However, we identified three ongoing and one completed trial (published as an abstract only and in insufficient detail to permit us to decide on inclusion) comparing deferasirox with deferoxamine, placebo or no treatment. Authors’ conclusions We planned to report evidence from RCTs that evaluated the effectiveness of deferasirox compared to either placebo, no treatment or other chelating regimens, such as deferoxamine, in people with MDS. However, we did not identify any completed RCTs addressing this question. We found three ongoing and one completed RCT (published as an abstract only and in insufficient detail) comparing deferasirox with deferoxamine, placebo or no treatment and data will hopefully be available soon. These results will be important to inform physicians and patients on the advantages and disadvantages of this treatment option.</w:t>
      </w:r>
    </w:p>
    <w:p w:rsidR="00B9146D" w:rsidRDefault="00B9146D" w:rsidP="00B9146D">
      <w:pPr>
        <w:pStyle w:val="a3"/>
        <w:rPr>
          <w:kern w:val="0"/>
        </w:rPr>
      </w:pPr>
      <w:r>
        <w:rPr>
          <w:kern w:val="0"/>
        </w:rPr>
        <w:t xml:space="preserve">Keywords: Absorption, Accumulation, Anaemia, Analysis, Aplastic-Anemia, Benzoates [Therapeutic Use], Beta-Thalassemia, Biosis, Blood, Cell, Chelation, Chelation Therapy [Methods], Clinical Trial, Collection, Criteria, Data, Data Collection, Databases, Drug, Effectiveness, Embase, Evidence, Exjade(R) Treatment, Expectancy, From, German, Human, Iron, Iron Chelating Agents [Therapeutic Use], </w:t>
      </w:r>
      <w:r>
        <w:rPr>
          <w:kern w:val="0"/>
        </w:rPr>
        <w:lastRenderedPageBreak/>
        <w:t>Iron Overload [Drug Therapy], Life, Mds, Medline, Methods, Myelodysplastic Syndrome, Myelodysplastic Syndromes [Complications], Natural, Oral, Oxidative Stress Parameters, Patients, Physicians, Placebo, Previously Chelated Patients, Randomised Controlled Trials, Rct, Registries, Review, Risk, Safety, Science, Search, Serum Ferritin, Stem Cell, Supportive Therapy, Syndrome, Syndromes Mds, Thalassemia Major, Therapy, Transfusion-Dependent Patients, Treatment, Treatment Option, Trial, Triazoles [Therapeutic Use], Vascular Dysfunction, Web, Web Of Science</w:t>
      </w:r>
    </w:p>
    <w:p w:rsidR="00B9146D" w:rsidRDefault="00B9146D" w:rsidP="00B9146D">
      <w:pPr>
        <w:pStyle w:val="a3"/>
        <w:rPr>
          <w:kern w:val="0"/>
        </w:rPr>
      </w:pPr>
      <w:r>
        <w:rPr>
          <w:kern w:val="0"/>
        </w:rPr>
        <w:t xml:space="preserve">? Colli, A., Gana, J.C., Turner, D., Yap, J., Adams-Webber, T., Ling, S.C. and Casazza, G. (2014), Capsule endoscopy for the diagnosis of oesophageal varices in people with chronic liver disease or portal vein thrombosis.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2F1BCC">
        <w:rPr>
          <w:kern w:val="0"/>
        </w:rPr>
        <w:t>CD008760</w:t>
      </w:r>
      <w:r>
        <w:rPr>
          <w:kern w:val="0"/>
        </w:rPr>
        <w:t>.</w:t>
      </w:r>
    </w:p>
    <w:p w:rsidR="00B9146D" w:rsidRDefault="00B9146D" w:rsidP="00B9146D">
      <w:pPr>
        <w:pStyle w:val="a3"/>
      </w:pPr>
      <w:r>
        <w:t xml:space="preserve">Full Text: </w:t>
      </w:r>
      <w:r w:rsidRPr="004626B9">
        <w:t xml:space="preserve">2014\Coc Dat Sys Rev2014, </w:t>
      </w:r>
      <w:r w:rsidRPr="002F1BCC">
        <w:rPr>
          <w:kern w:val="0"/>
        </w:rPr>
        <w:t>CD008760</w:t>
      </w:r>
      <w:r w:rsidRPr="004626B9">
        <w:t>.pdf</w:t>
      </w:r>
    </w:p>
    <w:p w:rsidR="00B9146D" w:rsidRDefault="00B9146D" w:rsidP="00B9146D">
      <w:pPr>
        <w:pStyle w:val="a3"/>
        <w:rPr>
          <w:kern w:val="0"/>
        </w:rPr>
      </w:pPr>
      <w:r>
        <w:rPr>
          <w:kern w:val="0"/>
        </w:rPr>
        <w:t xml:space="preserve">Abstract: Background Current guidelines recommend performance of oesophago-gastro-duodenoscopy at the time of diagnosis of hepatic cirrhosis to screen for oesophageal varices. These guidelines require people to undergo an unpleasant invasive procedure repeatedly with its attendant risks, despite the fact that half of the people do not have identifiable oesophageal varices 10 years after the initial diagnosis of cirrhosis. Video capsule endoscopy is a non-invasive test proposed as an alternative method for the diagnosis of oesophageal varices. Objectives To determine the diagnostic accuracy of capsule endoscopy for the diagnosis of oesophageal varices in children or adults with chronic liver disease or portal vein thrombosis, irrespective of the aetiology. To investigate the accuracy of capsule endoscopy as triage or replacement of oesophago-gastro-duodenoscopy. Search methods We searched the Cochrane Hepato-Biliary Group Diagnostic Test Accuracy Studies Register (October 2013), MEDLINE (Ovid SP) (1950 to October 2013), EMBASE (Ovid SP) (1980 to October 2013), ACP Journal Club (Ovid SP) (1991 to October 2013), Database of Abstracts of Reviews of Effects (DARE) (Ovid SP) (third quarter), Health Technology Assessment (HTA) (Ovid SP) (third quarter), NHS Economic Evaluation Database (NHSEED) (Ovid SP) (third quarter), and Science Citation Index Expanded (SCIEXPANDED) (ISI Web of Knowledge) (1955 to October 2013). We applied no language or document type restrictions. Selection criteria Studies that evaluated the diagnostic accuracy of capsule endoscopy for the diagnosis of oesophageal varices using oesophago-gastro-duodenoscopy as the reference standard in children or adults of any age, with chronic liver disease or portal vein thrombosis. Data collection and analysis We followed the available guidelines provided in the Cochrane Handbook for Diagnostic Test of Accuracy Reviews. We calculated the pooled estimates of sensitivity and specificity using the bivariate model due to the absence of a negative correlation in the receiver operating </w:t>
      </w:r>
      <w:r>
        <w:rPr>
          <w:kern w:val="0"/>
        </w:rPr>
        <w:lastRenderedPageBreak/>
        <w:t>characteristic (ROC) space and of a threshold effect. Main results The search identified 16 eligible studies, in which only adults with cirrhosis were included. In one study, people with portal thrombosis were also included. We classifiedmost of the studies at high risk of bias for the ‘Participants selection’ and the ‘Flow and timing’ domains. One study assessed the accuracy of capsule endoscopy for the diagnosis of large (high-risk) oesophageal varices. In the remaining 15 studies that assessed the accuracy of capsule endoscopy for the diagnosis of oesophageal varices of any size in people with cirrhosis, 936 participants were included; the pooled estimate of sensitivity was 84.8% (95% confidence interval (CI) 77.3% to 90.2%) and of specificity 84.3% (95% CI 73.1% to 91.4%). Eight of these studies included people with suspected varices or people with already diagnosed or even treated varices, or both, introducing a selection bias. Seven studies including only people with suspected but unknown varices were at low risk of bias; the pooled estimate of sensitivity was 79.7% (95% CI 73.1% to 85.0%) and of specificity 86.1% (95% CI 64.5% to 95.5%). Six studies assessed the diagnostic accuracy of capsule endoscopy for the diagnosis of large oesophageal varices, associated with a higher risk of bleeding; the pooled sensitivity was 73.7%(95% CI 52.4% to 87.7%) and of specificity 90.5%(95% CI 84.1% to 94.4%). Two studies also evaluated the presence of red marks, which are another marker of high risk of bleeding; the estimates of sensitivity and specificity varied widely. Two studies obtained similar results with the use of a modified device as index test (string capsule). Due to the absence of data, we could not performall planned subgroup analyses. Interobserver agreement in the interpretation of capsule endoscopy results and any adverse event attributable to capsule endoscopy were poorly assessed and reported. Only four studies evaluated the interobserver agreement in the interpretation of capsule endoscopy results: the concordance was moderate. The participants’ preferences for capsule endoscopy or oesophago-gastro-duodenoscopy were reported differently but seemed in favour of capsule endoscopy in nine of 10 studies. In 10 studies, participants reported some minor discomfort on swallowing the capsule. Only one study identified other significant adverse events, including impaction of the capsule due to previously unidentified oesophageal strictures in two participants. No adverse events were reported as a consequence of the reference standard. Authors’ conclusions We cannot support the use of capsule endoscopy as a triage test in adults with cirrhosis, administered before oesophago-gastroduodenoscopy, despite the low incidence of adverse events and participant reports of being better tolerated. Thus, we cannot conclude that oesophago-gastro-duodenoscopy can be replaced by capsule endoscopy for the detection of oesophageal varices in adults with cirrhosis. We found no data assessing capsule endoscopy in children and in people with portal thrombosis.</w:t>
      </w:r>
    </w:p>
    <w:p w:rsidR="00B9146D" w:rsidRDefault="00B9146D" w:rsidP="00B9146D">
      <w:pPr>
        <w:pStyle w:val="a3"/>
        <w:rPr>
          <w:kern w:val="0"/>
        </w:rPr>
      </w:pPr>
      <w:r>
        <w:rPr>
          <w:kern w:val="0"/>
        </w:rPr>
        <w:lastRenderedPageBreak/>
        <w:t>Keywords: Accuracy, Acp, Adverse Events, Aetiology, Age, Alternative, Analyses, Analysis, Assessing, Assessment, Beta-Blockers, Bias, Bleeding, Capsule, Children, Chronic, Cirrhosis, Cirrhotic-Patients, Citation, Collection, Confidence, Correlation, Criteria, Data, Data Collection, Database, Detection, Diagnosis, Diagnostic, Diagnostic Accuracy, Disease, Embase, Endoscopy, Esophagogastroduodenoscopy, Estimates, Evaluation, Events, Gastroesophageal Varices, Guidelines, Health, Hta, Hypertension, Incidence, Index, Interobserver Variability, Interval, Invasive, Isi, Journal, Knowledge, Language, Liver, Low Risk, Marker, Medline, Methods, Minor, Model, Modified, Natural-History, Negative, Nhs, Oesophageal Varices, Performance, Pillcam Eso, Primary Prophylaxis, Procedure, Prospective Multicenter, Reference, Restrictions, Risk, Risks, Roc, Science, Science Citation Index, Science Citation Index Expanded, Search, Selection, Sensitivity, Size, Specificity, Standard, Strictures, Support, Technology, Technology Assessment, Test, Threshold, Thrombosis, Timing, Varices, Vein Thrombosis, Web, Web Of Knowledge</w:t>
      </w:r>
    </w:p>
    <w:p w:rsidR="00B9146D" w:rsidRDefault="00B9146D" w:rsidP="00B9146D">
      <w:pPr>
        <w:pStyle w:val="a3"/>
        <w:rPr>
          <w:kern w:val="0"/>
        </w:rPr>
      </w:pPr>
      <w:r>
        <w:rPr>
          <w:kern w:val="0"/>
        </w:rPr>
        <w:t xml:space="preserve">? Murphy, A., O’Sullivan, R., Wakai, A., Grant, T.S., Barrett, M.J., Cronin, J., Mccoy, S.C., Hom, J. and Kandamany, N. (2014), Intranasal fentanyl for the management of acute pain in children.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D0627F">
        <w:rPr>
          <w:kern w:val="0"/>
        </w:rPr>
        <w:t>CD009942</w:t>
      </w:r>
      <w:r>
        <w:rPr>
          <w:kern w:val="0"/>
        </w:rPr>
        <w:t>.</w:t>
      </w:r>
    </w:p>
    <w:p w:rsidR="00B9146D" w:rsidRDefault="00B9146D" w:rsidP="00B9146D">
      <w:pPr>
        <w:pStyle w:val="a3"/>
      </w:pPr>
      <w:r>
        <w:t xml:space="preserve">Full Text: </w:t>
      </w:r>
      <w:r w:rsidRPr="004626B9">
        <w:t xml:space="preserve">2014\Coc Dat Sys Rev2014, </w:t>
      </w:r>
      <w:r w:rsidRPr="00D0627F">
        <w:rPr>
          <w:kern w:val="0"/>
        </w:rPr>
        <w:t>CD009942</w:t>
      </w:r>
      <w:r w:rsidRPr="004626B9">
        <w:t>.pdf</w:t>
      </w:r>
    </w:p>
    <w:p w:rsidR="00B9146D" w:rsidRDefault="00B9146D" w:rsidP="00B9146D">
      <w:pPr>
        <w:pStyle w:val="a3"/>
        <w:rPr>
          <w:kern w:val="0"/>
        </w:rPr>
      </w:pPr>
      <w:r>
        <w:rPr>
          <w:kern w:val="0"/>
        </w:rPr>
        <w:t xml:space="preserve">Abstract: Background Pain is the most common symptom in the emergency setting; however, timely management of acute pain in children continues to be suboptimal. Intranasal drug delivery has emerged as an alternative method of achieving quicker drug delivery without adding to the distress of a child by inserting an intravenous cannula. Objectives We identified and evaluated all randomized controlled trials (RCTs) and quasi-randomized trials to assess the effects of intranasal fentanyl (INF) versus alternative analgesic interventions in children with acute pain, with respect to reduction in pain score, occurrence of adverse events, patient tolerability, use of “rescue analgesia,” patient/parental satisfaction and patient mortality. Search methods We searched the Cochrane Central Register of Controlled Trials (CENTRAL) (2014, Issue 1); MEDLINE (Ovid SP, from 1995 to January 2014); EMBASE (Ovid SP, from 1995 to January 2014); the Cumulative Index to Nursing and Allied Health Literature (CINAHL) (EBSCO Host, from 1995 to January 2014); the Latin American and Caribbean Health Science Information Database (LILACS) (BIREME, from 1995 to January 2014); Commonwealth Agricultural Bureaux (CAB) Abstracts (from 1995 to January 2014); the Institute for Scientific Information (ISI) Web of Science (from 1995 to January 2014); BIOSIS Previews (from 1995 to January 2014); the China National Knowledge Infrastructure (CNKI) (from 1995 to January 2014); International Standard Randomized Controlled Trial Number (ISRCTN) (from 1995 to January 2014); ClinicalTrials.gov (from 1995 to January </w:t>
      </w:r>
      <w:r>
        <w:rPr>
          <w:kern w:val="0"/>
        </w:rPr>
        <w:lastRenderedPageBreak/>
        <w:t xml:space="preserve">2014); and the International Clinical Trials Registry Platform (ICTRP) (to January 2014). Selection criteria We included RCTs comparing INF versus any other pharmacological/non-pharmacological intervention for the treatment of children in acute pain (aged &lt; 18 years). Data collection and analysis Two independent review authors assessed each title and abstract for relevance. Full copies of all studies that met the inclusion criteria were retrieved for further assessment. Mean difference (MD), odds ratio (OR) and 95% confidence interval (CI) were used to measure effect sizes. Two review authors independently assessed and rated themethodological quality of each trial using the tool of The Cochrane Collaboration to assess risk of bias, as per Chapter 8 of the Cochrane Handbook for Systematic Reviews of Interventions. Main results Three studies (313 participants) met the inclusion criteria. One study compared INF versus intramuscular morphine (IMM); another study compared INF versus intravenous morphine (IVM); and another study compared standard concentration INF (SINF) versus high concentration INF (HINF). All three studies reported a reduction in pain score following INF administration. INF produced a greater reduction in pain score at 10 minutes post administration when compared with IMM (INF group pain score: 1/5 vs IMM group pain score: 2/5; P value 0.014). No other statistically significant differences in pain scores were reported at any other time point. When INF was compared with IVM and HINF, no statistically significant differences in pain scores were noted between treatment arms, before analgesia or at 5, 10, 20 and 30 minutes post analgesia. Specifically, when INF was compared with IVM, both agents were seen to produce a statistically significant reduction in pain score up to 20 minutes post analgesia. No further reduction in pain score was noted after this time. When SINF was compared with HINF, a statistically and clinically significant reduction in pain scores over study time was observed (median decrease for both groups 40 mm, P value 0.000). No adverse events (e.g. opiate toxicity, death) were reported in any study following INF administration. One study described better patient tolerance to INF compared with IMM, which achieved statistical significance. The other studies described reports of a “bad taste” and vomiting with INF. Overall the risk of bias in all studies was considered low. Authors’ conclusions INF may be an effective analgesic for the treatment of patients with acute moderate to severe pain, and its administration appears to cause minimal distress to children. However, this review of published studies does not allow any definitive conclusions regarding whether INF is superior, non-inferior or equivalent to intramuscular or intravenous morphine. Limitations of this review include the following: few eligible studies for inclusion (three); no study examined the use of INF in children younger than three years of age; no study included children with pain from a “medical” cause (e.g. abdominal pain seen in appendicitis); and all eligible studies were conducted in Australia. Consequently, the </w:t>
      </w:r>
      <w:r>
        <w:rPr>
          <w:kern w:val="0"/>
        </w:rPr>
        <w:lastRenderedPageBreak/>
        <w:t>findings may not be generalizable to other healthcare settings, to children younger than three years of age and to those with pain from a “medical” cause.</w:t>
      </w:r>
    </w:p>
    <w:p w:rsidR="00B9146D" w:rsidRDefault="00B9146D" w:rsidP="00B9146D">
      <w:pPr>
        <w:pStyle w:val="a3"/>
        <w:rPr>
          <w:kern w:val="0"/>
        </w:rPr>
      </w:pPr>
      <w:r>
        <w:rPr>
          <w:kern w:val="0"/>
        </w:rPr>
        <w:t>Keywords: Abdominal, Acute Pain, Administration, Adverse Events, Age, Aged, Alternative, Analgesia, Analgesic, Analysis, Appendicitis, Assessment, Australia, Authors, Bias, Cab, Child, Children, China, Clinical Trials, Clinical-Use, Cochrane Collaboration, Collaboration, Collection, Concentration, Confidence, Criteria, Data, Data Collection, Database, Death, Delivery, Distress, Drug, Drug Delivery, Effects, Embase, Emergency, Events, Fentanyl, From, Groups, Health, Information, Institute For Scientific Information, International, Interval, Intervention, Interventions, Intravenous, Isi, Knowledge, Latin-American, Literature, Management, Mean, Measure, Medicine, Medline, Methods, Morphine, Mortality, Nursing, Odds Ratio, Opiate, P, Pain, Pain Score, Patient, Patients, Pediatric Emergency-Department, Pharmacokinetics, Prevalence, Quality, Quality Of, Randomized, Randomized Controlled Trials, Randomized Controlled-Trial, Reduction, Relevance, Review, Risk, Satisfaction, Science, Search, Significance, Standard, Systematic, Systematic Reviews, Tolerance, Toxicity, Treatment, Trial, Value, Vomiting, Web, Web Of Science</w:t>
      </w:r>
    </w:p>
    <w:p w:rsidR="00595777" w:rsidRDefault="00595777" w:rsidP="00595777">
      <w:pPr>
        <w:pStyle w:val="a3"/>
        <w:rPr>
          <w:kern w:val="0"/>
        </w:rPr>
      </w:pPr>
      <w:r>
        <w:rPr>
          <w:kern w:val="0"/>
        </w:rPr>
        <w:t xml:space="preserve">? Winfield, N.R., Barker, N.J., Turner, E.R. and Quin, G.L. (2014), Non-pharmaceutical management of respiratory morbidity in children with severe global developmental delay.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D0627F">
        <w:rPr>
          <w:kern w:val="0"/>
        </w:rPr>
        <w:t>CD010382</w:t>
      </w:r>
      <w:r>
        <w:rPr>
          <w:kern w:val="0"/>
        </w:rPr>
        <w:t>.</w:t>
      </w:r>
    </w:p>
    <w:p w:rsidR="00595777" w:rsidRDefault="00595777" w:rsidP="00595777">
      <w:pPr>
        <w:pStyle w:val="a3"/>
      </w:pPr>
      <w:r>
        <w:t xml:space="preserve">Full Text: </w:t>
      </w:r>
      <w:r w:rsidRPr="004626B9">
        <w:t xml:space="preserve">2014\Coc Dat Sys Rev2014, </w:t>
      </w:r>
      <w:r w:rsidRPr="00D0627F">
        <w:rPr>
          <w:kern w:val="0"/>
        </w:rPr>
        <w:t>CD010382</w:t>
      </w:r>
      <w:r w:rsidRPr="004626B9">
        <w:t>.pdf</w:t>
      </w:r>
    </w:p>
    <w:p w:rsidR="00595777" w:rsidRDefault="00595777" w:rsidP="00595777">
      <w:pPr>
        <w:pStyle w:val="a3"/>
        <w:rPr>
          <w:kern w:val="0"/>
        </w:rPr>
      </w:pPr>
      <w:r>
        <w:rPr>
          <w:kern w:val="0"/>
        </w:rPr>
        <w:t xml:space="preserve">Abstract: Background Children with severe global developmental delay (SGDD) have significant intellectual disability and severe motor impairment; they are extremely limited in their functional movement and are dependent upon others for all activities of daily living. SGDD does not directly cause lung dysfunction, but the combination of immobility, weakness, skeletal deformity and parenchymal damage from aspiration can lead to significant prevalence of respiratory illness. Respiratory pathology is a significant cause of morbidity and mortality for children with SGDD; it can result in frequent hospital admissions and impacts upon quality of life. Although many treatment approaches are available, there currently exists no comprehensive review of the literature to inform best practice. A broad range of treatment options exist; to focus the scope of this review and allow in-depth analysis, we have excluded pharmaceutical interventions. Objectives To assess the effects of non-pharmaceutical treatment modalities for the management of respiratory morbidity in children with severe global developmental delay. Search methods We conducted comprehensive searches of the following databases from inception to November 2013: the Cochrane Central Register of Controlled Trials (CENTRAL), MEDLINE, EMBASE, the Allied and Complementary Medicine Database (AMED) and the Cumulative Index to Nursing and Allied Health Literature (CINAHL). We </w:t>
      </w:r>
      <w:r>
        <w:rPr>
          <w:kern w:val="0"/>
        </w:rPr>
        <w:lastRenderedPageBreak/>
        <w:t>searched the Web of Science and clinical trials registries for grey literature and for planned, ongoing and unpublished trials. We checked the reference lists of all primary included studies for additional relevant references. Selection criteria Randomised controlled trials, controlled trials and cohort studies of children up to 18 years of age with a diagnosis of severe neurological impairment and respiratory morbidity were included. Studies of airways clearance techniques, suction, assisted coughing, non-invasive ventilation, tracheostomy and postural management were eligible for inclusion. Data collection and analysis We used standard methodological procedures as expected by The Cochrane Collaboration. As the result of heterogeneity, we could not perform meta-analysis. We have therefore presented our results using a narrative approach. Main results Fifteen studies were included in the review. Studies included children with a range of severe neurological impairments in differing settings, for example, home and critical care. Several different treatmentmodalities were assessed, and a wide range of outcome measures were used. Most studies used a non-randomised design and included small sample groups. Only four randomised controlled trials were identified. Non-randomised design, lack of information about how participants were selected and who completed outcome measures and incomplete reporting led to high or unclear risk of bias in many studies. Results from low-quality studies suggest that use of non-invasive ventilation, mechanically assisted coughing, high-frequency chest wall oscillation (HFCWO), positive expiratory pressure and supportive seating may confer potential benefits. No serious adverse effects were reported for ventilatory support or airway clearance interventions other than one incident in a clinically unstable child following mechanically assisted coughing. Night-time positioning equipment and spinal bracing were shown to have a potentially negative effect for some participants. However, these findings must be considered as tentative and require testing in future randomised trials. Authors’ conclusions This review found no high-quality evidence for any single intervention for the management of respiratory morbidity in children with severe global developmental delay. Our search yielded data on a wide range of interventions of interest. Significant differences in study design and in outcome measures precluded the possibility of meta-analysis. No conclusions on efficacy or safety of interventions for respiratory morbidity in children with severe global developmental delay can be made based upon the findings of this review. A co-ordinated approach to future research is vital to ensure that high-quality evidence becomes available to guide treatment for this vulnerable patient group.</w:t>
      </w:r>
    </w:p>
    <w:p w:rsidR="00595777" w:rsidRDefault="00595777" w:rsidP="00595777">
      <w:pPr>
        <w:pStyle w:val="a3"/>
        <w:rPr>
          <w:kern w:val="0"/>
        </w:rPr>
      </w:pPr>
      <w:r>
        <w:rPr>
          <w:kern w:val="0"/>
        </w:rPr>
        <w:t xml:space="preserve">Keywords: Adverse Effects, Age, Analysis, Approach, Aspiration, Benefits, Bias, Bracing, Care, Chest Wall, Chest-Wall Oscillation, Child, Children, Clinical, Clinical Trials, Cochrane Collaboration, Cohort, Collaboration, Collection, Criteria, Critical Care, Damage, Data, Data Collection, Database, Databases, Design, </w:t>
      </w:r>
      <w:r>
        <w:rPr>
          <w:kern w:val="0"/>
        </w:rPr>
        <w:lastRenderedPageBreak/>
        <w:t>Developmental Delay, Diagnosis, Disability, Duchenne Muscular-Dystrophy, Effects, Efficacy, Embase, Equipment, Evidence, From, Global, Groups, Health, Heterogeneity, Hospital, Impacts, Impairment, Information, Intervention, Interventions, Lead, Life, Literature, Living, Lung, Management, Measures, Mechanical Insufflation-Exsufflation, Medicine, Medline, Meta Analysis, Meta-Analysis, Metaanalysis, Methods, Modalities, Morbidity, Mortality, Movement, Negative, Neurological, Neuromuscular Disease Patients, Noninvasive Ventilation, Nursing, Options, Outcome, Outcome Measures, Pathology, Patient, Pediatric-Patients, Positioning, Positive-Pressure Ventilation, Potential, Practice, Pressure, Prevalence, Primary, Procedures, Pulmonary-Function, Quality, Quality Of, Quality Of Life, Randomised, Randomised Controlled Trials, Randomized Controlled-Trial, Reference, Reference Lists, References, Registries, Reporting, Research, Respiratory Morbidity, Results, Review, Risk, Safety, Science, Scope, Search, Severe Cerebral-Palsy, Small, Spinal, Standard, Study Design, Suction, Support, Techniques, Testing, Treatment, Ventilation, Web, Web Of Science</w:t>
      </w:r>
    </w:p>
    <w:p w:rsidR="00595777" w:rsidRDefault="00595777" w:rsidP="00595777">
      <w:pPr>
        <w:pStyle w:val="a3"/>
        <w:rPr>
          <w:kern w:val="0"/>
        </w:rPr>
      </w:pPr>
      <w:r>
        <w:rPr>
          <w:kern w:val="0"/>
        </w:rPr>
        <w:t xml:space="preserve">? White, A.B., Mirjahangir, J.F., Horvath, H., Anglemyer, A. and Read, J.S. (2014), Antiretroviral interventions for preventing breast milk transmission of HIV.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D0627F">
        <w:rPr>
          <w:kern w:val="0"/>
        </w:rPr>
        <w:t>CD011323</w:t>
      </w:r>
      <w:r>
        <w:rPr>
          <w:kern w:val="0"/>
        </w:rPr>
        <w:t>.</w:t>
      </w:r>
    </w:p>
    <w:p w:rsidR="00595777" w:rsidRDefault="00595777" w:rsidP="00595777">
      <w:pPr>
        <w:pStyle w:val="a3"/>
      </w:pPr>
      <w:r>
        <w:t xml:space="preserve">Full Text: </w:t>
      </w:r>
      <w:r w:rsidRPr="004626B9">
        <w:t xml:space="preserve">2014\Coc Dat Sys Rev2014, </w:t>
      </w:r>
      <w:r w:rsidRPr="00D0627F">
        <w:rPr>
          <w:kern w:val="0"/>
        </w:rPr>
        <w:t>CD011323</w:t>
      </w:r>
      <w:r w:rsidRPr="004626B9">
        <w:t>.pdf</w:t>
      </w:r>
    </w:p>
    <w:p w:rsidR="00595777" w:rsidRDefault="00595777" w:rsidP="00595777">
      <w:pPr>
        <w:pStyle w:val="a3"/>
        <w:rPr>
          <w:kern w:val="0"/>
        </w:rPr>
      </w:pPr>
      <w:r>
        <w:rPr>
          <w:kern w:val="0"/>
        </w:rPr>
        <w:t xml:space="preserve">Abstract: Background An estimated 260,000 children under the age of 15 years acquired HIV infection in 2012. As much as 42% of mother-to-child transmission is related to breastfeeding. Antiretroviral prophylaxis for mothers or infants has the potential to prevent mother-to-child transmission of HIV through breast milk. Objectives To determine which antiretroviral prophylactic regimens are efficacious and safe for reducing mother-to-child transmission of HIV through breastfeeding and thereby avert child morbidity and mortality. Search methods Using Cochrane Collaboration search methods in conjunction with appropriate search terms, we identified relevant studies from January 1, 1994 to January 14, 2014 by searching databases including Cochrane CENTRAL, EMBASE and PubMed, LILACS, and Web of Science/Web of Social Science. Selection criteria Randomized controlled trials in which HIV-infected mothers breastfed their infants, and in which the mothers used antiretroviral prophylaxis while breastfeeding their children or their children received antiretroviral prophylaxis for at least four weeks while breastfeeding, were included. Data collection and analysis Abstracts of all trials identified were examined independently by two authors. We identified 15,922 references and examined 81 in detail. Data were abstracted independently using a standardized form. Main results Seven RCTs were included in the review. One trial compared triple antiretroviral prophylaxis during pregnancy and breastfeeding with short antiretroviral prophylaxis to given to the mother to prevent mother-to-child transmission of HIV. At 12 months, </w:t>
      </w:r>
      <w:r>
        <w:rPr>
          <w:kern w:val="0"/>
        </w:rPr>
        <w:lastRenderedPageBreak/>
        <w:t xml:space="preserve">the risks of HIV transmission, and of HIV transmission or death, were lower, but there was no difference in infant mortality alone in the triple arm versus the short arm. Using the GRADE methodology, evidence quality for outcomes in this trial was generally low to moderate. One trial compared six months of breastfeeding using zidovudine, lamivudine, and lopinavir/ritonavir versus zidovudine, lamivudine, and abacavir from 26-34 weeks gestation. At six months, there was no difference in risk of infant HIV infection, infant death, or infant HIV infection or death between the two groups. Evidence quality for outcomes in this trial was generally very low to low. One trial of single dose nevirapine versus six weeks of infant zidovudine found the risk of HIV infection at 12 weeks to be greater in the zidovudine arm than in the single dose nevirapine arm. Evidence quality for outcomes in this trial was generally very low. One multi-country trial compared single dose nevirapine and six weeks of infant nevirapine. After 12 months, infants in the extended nevirapine group had a lower risk of infant mortality compared with the control. There was no difference in the risk of HIV infection or death or in HIV transmission alone in the extended nevirapine group compared with the control. Evidence quality for outcomes in this trial was generally low to moderate. One trial compared single dose nevirapine plus one week zidovudine; the control regimen plus nevirapine up to 14 weeks; or the control regimen with dual prophylaxis up to 14 weeks. At 24 months, the extended nevirapine regimen group had a lower risk of HIV transmission and of HIV transmission or death vs. the control. There was no difference in infant mortality alone. Compared with controls, the dual prophylaxis group had a lower risk of HIV transmission and of HIV transmission or death, but no difference in infant mortality alone. There was no difference in these outcomes between the two intervention arms. Evidence quality for outcomes in this trial was generally moderate to high. One trial compared sixweeks of nevirapine with six months of nevirapine. Among infants of mothers not using highly active antiretroviral therapy, there was no difference in risk of HIV infection among the six month nevirapine group versus the six week nevirapine group. Evidence quality for outcomes in this trial was generally low to moderate. One trial compared a maternal triple-drug antiretroviral regimen, infant nevirapine, or neither intervention. Infants in the maternal prophylaxis arm were at lower risk for HIV, and HIV infection or death when compared with the control group. There was no difference in the risk of infant mortality alone. Infants with extended prophylaxis had a lower risk of HIV infection and of HIV infection or death versus the control group infants. There was no difference in the risk of infant mortality alone in the extended infant nevirapine group versus the control. There was no difference in HIV infection, infant mortality, and HIV infection or death between the maternal and extended infant prophylaxis groups. Evidence quality for outcomes in this trial was generally low to moderate. Authors’ conclusions Antiretroviral </w:t>
      </w:r>
      <w:r>
        <w:rPr>
          <w:kern w:val="0"/>
        </w:rPr>
        <w:lastRenderedPageBreak/>
        <w:t>prophylaxis, whether used by the HIV-infected mother or the HIV-exposed infant while breastfeeding, is efficacious in preventing mother-to-child transmission of HIV. Further research is needed regarding maternal resistance and response to subsequent antiretroviral therapy after maternal prophylaxis. An ongoing trial (IMPAACT 1077BF) compares the efficacy and safety of maternal triple antiretroviral prophylaxis versus daily infant nevirapine for prevention of mother-to-child transmission through breastfeeding.</w:t>
      </w:r>
    </w:p>
    <w:p w:rsidR="00595777" w:rsidRDefault="00595777" w:rsidP="00595777">
      <w:pPr>
        <w:pStyle w:val="a3"/>
        <w:rPr>
          <w:kern w:val="0"/>
        </w:rPr>
      </w:pPr>
      <w:r>
        <w:rPr>
          <w:kern w:val="0"/>
        </w:rPr>
        <w:t>Keywords: Active, Age, Analysis, Antiretroviral, Antiretroviral Prophylaxis, Antiretroviral Therapy, Authors, Breast Milk, Breastfeeding, Child, Children, Cochrane Collaboration, Collaboration, Collection, Control, Criteria, Dar-Es-Salaam, Data, Data Collection, Databases, Death, Dose Nevirapine Prophylaxis, Efficacy, Embase, Evidence, From, Gestation, Grade, Groups, Highly Active, Highly Active Antiretroviral Therapy, Hiv, Hiv Infection, Hiv Transmission, Hiv-1-Infected Women, Immunodeficiency-Virus Type-1, Infant, Infant Death, Infant Mortality, Infants, Infected Women, Infection, Intervention, Interventions, Lamivudine, Maternal, Methodology, Methods, Milk, Morbidity, Mortality, Mother, Mother-To-Child Transmission, Mother-To-Child Transmission Of Hiv, Mothers, Outcomes, Potential, Pregnancy, Prevent, Prevention, Prevention Of Mother To Child Transmission, Prevention Of Mother-To-Child Transmission, Prophylactic, Prophylaxis, Pubmed, Quality, Randomized, Randomized Clinical-Trial, Randomized Controlled Trials, References, Research, Resistance, Response, Review, Risk, Risks, Safety, Science, Search, South-Africa, Sub-Saharan Africa, Therapy, To-Child Transmission, Transmission, Trial, Vertical Transmission, Web, Zidovudine</w:t>
      </w:r>
    </w:p>
    <w:p w:rsidR="00B9146D" w:rsidRDefault="00B9146D" w:rsidP="00B9146D">
      <w:pPr>
        <w:pStyle w:val="a3"/>
        <w:rPr>
          <w:kern w:val="0"/>
        </w:rPr>
      </w:pPr>
      <w:r>
        <w:rPr>
          <w:kern w:val="0"/>
        </w:rPr>
        <w:t xml:space="preserve">? Page, M.J., McKenzie, J.E., Kirkham, J., Dwan, K., Kramer, S., Green, S. and Forbes, A. (2014), Bias due to selective inclusion and reporting of outcomes and analyses in systematic reviews of randomised trials of healthcare interventions. </w:t>
      </w:r>
      <w:r>
        <w:rPr>
          <w:i/>
          <w:iCs/>
          <w:kern w:val="0"/>
        </w:rPr>
        <w:t>Cochrane Database of Systematic Reviews</w:t>
      </w:r>
      <w:r>
        <w:rPr>
          <w:kern w:val="0"/>
        </w:rPr>
        <w:t xml:space="preserve">, </w:t>
      </w:r>
      <w:r>
        <w:rPr>
          <w:rFonts w:hint="eastAsia"/>
          <w:b/>
          <w:kern w:val="0"/>
        </w:rPr>
        <w:t>10</w:t>
      </w:r>
      <w:r>
        <w:rPr>
          <w:kern w:val="0"/>
        </w:rPr>
        <w:t xml:space="preserve">, </w:t>
      </w:r>
      <w:r w:rsidRPr="001F3C06">
        <w:rPr>
          <w:kern w:val="0"/>
        </w:rPr>
        <w:t xml:space="preserve">Article Number: </w:t>
      </w:r>
      <w:r w:rsidRPr="00D0627F">
        <w:rPr>
          <w:kern w:val="0"/>
        </w:rPr>
        <w:t>UNSP MR000035</w:t>
      </w:r>
      <w:r>
        <w:rPr>
          <w:kern w:val="0"/>
        </w:rPr>
        <w:t>.</w:t>
      </w:r>
    </w:p>
    <w:p w:rsidR="00B9146D" w:rsidRDefault="00B9146D" w:rsidP="00B9146D">
      <w:pPr>
        <w:pStyle w:val="a3"/>
      </w:pPr>
      <w:r>
        <w:t xml:space="preserve">Full Text: </w:t>
      </w:r>
      <w:r w:rsidRPr="004626B9">
        <w:t xml:space="preserve">2014\Coc Dat Sys Rev2014, </w:t>
      </w:r>
      <w:r w:rsidRPr="00D0627F">
        <w:rPr>
          <w:kern w:val="0"/>
        </w:rPr>
        <w:t>UNSP MR000035</w:t>
      </w:r>
      <w:r w:rsidRPr="004626B9">
        <w:t>.pdf</w:t>
      </w:r>
    </w:p>
    <w:p w:rsidR="00B9146D" w:rsidRDefault="00B9146D" w:rsidP="00B9146D">
      <w:pPr>
        <w:pStyle w:val="a3"/>
        <w:rPr>
          <w:kern w:val="0"/>
        </w:rPr>
      </w:pPr>
      <w:r>
        <w:rPr>
          <w:kern w:val="0"/>
        </w:rPr>
        <w:t xml:space="preserve">Abstract: Background Systematic reviews may be compromised by selective inclusion and reporting of outcomes and analyses. Selective inclusion occurs when there are multiple effect estimates in a trial report that could be included in a particular meta-analysis (e. g. from multiple measurement scales and time points) and the choice of effect estimate to include in the meta-analysis is based on the results (e. g. statistical significance, magnitude or direction of effect). Selective reporting occurs when the reporting of a subset of outcomes and analyses in the systematic review is based on the results (e. g. a protocol-defined outcome is omitted from the published systematic review). Objectives To summarise the characteristics and synthesise the results of empirical studies that have investigated the prevalence of selective </w:t>
      </w:r>
      <w:r>
        <w:rPr>
          <w:kern w:val="0"/>
        </w:rPr>
        <w:lastRenderedPageBreak/>
        <w:t xml:space="preserve">inclusion or reporting in systematic reviews of randomised controlled trials (RCTs), investigated the factors (e. g. statistical significance or direction of effect) associated with the prevalence and quantified the bias. Search methods We searched the Cochrane Methodology Register (to July 2012), Ovid MEDLINE, Ovid EMBASE, Ovid PsycINFO and ISI Web of Science (each up to May 2013), and the US Agency for Healthcare Research and Quality (AHRQ) Effective Healthcare Program’s Scientific Resource Center (SRC) Methods Library (to June 2013). We also searched the abstract books of the 2011 and 2012 Cochrane Colloquia and the article alerts for methodological work in research synthesis published from 2009 to 2011 and compiled in Research Synthesis Methods. Selection criteria We included both published and unpublished empirical studies that investigated the prevalence and factors associated with selective inclusion or reporting, or both, in systematic reviews of RCTs of healthcare interventions. We included empirical studies assessing any type of selective inclusion or reporting, such as investigations of how frequently RCT outcome data is selectively included in systematic reviews based on the results, outcomes and analyses are discrepant between protocol and published review or non-significant outcomes are partially reported in the full text or summary within systematic reviews. Data collection and analysis Two review authors independently selected empirical studies for inclusion, extracted the data and performed a risk of bias assessment. A third review author resolved any disagreements about inclusion or exclusion of empirical studies, data extraction and risk of bias. We contacted authors of included studies for additional unpublished data. Primary outcomes included overall prevalence of selective inclusion or reporting, association between selective inclusion or reporting and the statistical significance of the effect estimate, and association between selective inclusion or reporting and the direction of the effect estimate. We combined prevalence estimates and risk ratios (RRs) using a random-effects meta-analysis model. Main results Seven studies met the inclusion criteria. No studies had investigated selective inclusion of results in systematic reviews, or discrepancies in outcomes and analyses between systematic review registry entries and published systematic reviews. Based on a meta-analysis of four studies (including 485 Cochrane Reviews), 38% (95% confidence interval (CI) 23% to 54%) of systematic reviews added, omitted, upgraded or downgraded at least one outcome between the protocol and published systematic review. The association between statistical significance and discrepant outcome reporting between protocol and published systematic review was uncertain. The meta-analytic estimate suggested an increased risk of adding or upgrading (i.e. changing a secondary outcome to primary) when the outcome was statistically significant, although the 95% CI included no association and a decreased risk as plausible estimates (RR 1.43, 95% CI 0.71 to 2.85; two studies, n = 552 meta-analyses). Also, the meta-analytic </w:t>
      </w:r>
      <w:r>
        <w:rPr>
          <w:kern w:val="0"/>
        </w:rPr>
        <w:lastRenderedPageBreak/>
        <w:t>estimate suggested an increased risk of downgrading (i. e. changing a primary outcome to secondary) when the outcome was statistically significant, although the 95% CI included no association and a decreased risk as plausible estimates (RR 1.26, 95% CI 0.60 to 2.62; two studies, n = 484 meta-analyses). None of the included studies had investigated whether the association between statistical significance and adding, upgrading or downgrading of outcomes was modified by the type of comparison, direction of effect or type of outcome; or whether there is an association between direction of the effect estimate and discrepant outcome reporting. Several secondary outcomes were reported in the included studies. Two studies found that reasons for discrepant outcome reporting were infrequently reported in published systematic reviews (6% in one study and 22% in the other). One study (including 62 Cochrane Reviews) found that 32% (95% CI 21% to 45%) of systematic reviews did not report all primary outcomes in the abstract. Another study (including 64 Cochrane and 118 non-Cochrane reviews) found that statistically significant primary outcomes weremore likely to be completely reported in the systematic review abstract than non-significant primary outcomes (RR 2.66, 95% CI 1.81 to 3.90). None of the studies included systematic reviews published after 2009 when reporting standards for systematic reviews (Preferred Reporting Items for Systematic reviews and Meta-Analyses (PRISMA) Statement, and Methodological Expectations of Cochrane Intervention Reviews (MECIR)) were disseminated, so the results might not be generalisable to more recent systematic reviews. Authors’ conclusions Discrepant outcome reporting between the protocol and published systematic review is fairly common, although the association between statistical significance and discrepant outcome reporting is uncertain. Complete reporting of outcomes in systematic review abstracts is associated with statistical significance of the results for those outcomes. Systematic review outcomes and analysis plans should be specified prior to seeing the results of included studies to minimise post-hoc decisions that may be based on the observed results. Modifications that occur once the review has commenced, along with their justification, should be clearly reported. Effect estimates and CIs should be reported for all systematic review outcomes regardless of the results. The lack of research on selective inclusion of results in systematic reviews needs to be addressed and studies that avoid the methodological weaknesses of existing research are also needed.</w:t>
      </w:r>
    </w:p>
    <w:p w:rsidR="00B9146D" w:rsidRDefault="00B9146D" w:rsidP="00B9146D">
      <w:pPr>
        <w:pStyle w:val="a3"/>
        <w:rPr>
          <w:kern w:val="0"/>
        </w:rPr>
      </w:pPr>
      <w:r>
        <w:rPr>
          <w:kern w:val="0"/>
        </w:rPr>
        <w:t xml:space="preserve">Keywords: Abstracts, Agency, Agency For Healthcare Research And Quality, Analyses, Analysis, Article, Assessing, Assessment, Association, Authors, Bias, Characteristics, Choice, Clinical-Trials, Cochrane Reviews, Collection, Comparison, Conference Abstracts, Confidence, Criteria, Data, Data Collection, Effect, Embase, Empirical Studies, Empirical-Evidence, Estimates, Extraction, Factors, From, Full-Text Articles, Healthcare, Interval, Intervention, Interventions, Investigations, Isi, Isi Web </w:t>
      </w:r>
      <w:r>
        <w:rPr>
          <w:kern w:val="0"/>
        </w:rPr>
        <w:lastRenderedPageBreak/>
        <w:t>Of Science, Magnitude, Measurement, Medline, Meta Analysis, Meta-Analyses, Meta-Analysis, Metaanalyses, Metaanalysis, Methodological Quality, Methodology, Methods, Model, Modified, Needs, Outcome, Outcomes, Prevalence, Primary, Protocol, Protocols, Psycinfo, Publication Bias, Quality, Randomised, Randomised Controlled Trials, Rapidly Evolving Technologies, Rct, Recent, Registry, Reporting, Research, Review, Reviews, Risk, Scales, Science, Search, Selective, Significance, Standards, Synthesis, Systematic, Systematic Review, Systematic Reviews, Trial, Us, Web, Web Of Science, Work</w:t>
      </w:r>
    </w:p>
    <w:p w:rsidR="00EB0F33" w:rsidRDefault="00EB0F33" w:rsidP="00EB0F33">
      <w:pPr>
        <w:pStyle w:val="a3"/>
        <w:rPr>
          <w:kern w:val="0"/>
        </w:rPr>
      </w:pPr>
      <w:r>
        <w:rPr>
          <w:rFonts w:hint="eastAsia"/>
          <w:kern w:val="0"/>
        </w:rPr>
        <w:t xml:space="preserve">? </w:t>
      </w:r>
      <w:r>
        <w:rPr>
          <w:kern w:val="0"/>
        </w:rPr>
        <w:t xml:space="preserve">Burton, M.J., Glasziou, P.P., Chong, L.Y. and Venekamp, R.P. (2014), Tonsillectomy or adenotonsillectomy versus non-surgical treatment for chronic/recurrent acute tonsillitis.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091354">
        <w:rPr>
          <w:kern w:val="0"/>
        </w:rPr>
        <w:t>CD001802</w:t>
      </w:r>
      <w:r>
        <w:rPr>
          <w:kern w:val="0"/>
        </w:rPr>
        <w:t>.</w:t>
      </w:r>
    </w:p>
    <w:p w:rsidR="00EB0F33" w:rsidRDefault="00EB0F33" w:rsidP="00EB0F33">
      <w:pPr>
        <w:pStyle w:val="a3"/>
      </w:pPr>
      <w:r>
        <w:t xml:space="preserve">Full Text: </w:t>
      </w:r>
      <w:r w:rsidRPr="004626B9">
        <w:t xml:space="preserve">2014\Coc Dat Sys Rev2014, </w:t>
      </w:r>
      <w:r w:rsidRPr="00091354">
        <w:t>CD001802</w:t>
      </w:r>
      <w:r w:rsidRPr="004626B9">
        <w:t>.pdf</w:t>
      </w:r>
    </w:p>
    <w:p w:rsidR="00EB0F33" w:rsidRDefault="00EB0F33" w:rsidP="00EB0F33">
      <w:pPr>
        <w:pStyle w:val="a3"/>
        <w:rPr>
          <w:kern w:val="0"/>
        </w:rPr>
      </w:pPr>
      <w:r>
        <w:rPr>
          <w:kern w:val="0"/>
        </w:rPr>
        <w:t xml:space="preserve">Abstract: Background Surgical removal of the tonsils, with orwithout adenoidectomy (adeno-/tonsillectomy), is a common ENToperation, but the indications for surgery are controversial. This is an update of a Cochrane review first published in The Cochrane Library in Issue 3, 1999 and previously updated in 2009. Objectives To assess the effectiveness of tonsillectomy (with and without adenoidectomy) in children and adults with chronic/recurrent acute tonsillitis in reducing the number and severity of episodes of tonsillitis or sore throat. Search methods We searched the Cochrane Ear, Nose and Throat Disorders Group Trials Register; the Cochrane Central Register of Controlled Trials (CENTRAL); PubMed; EMBASE; CINAHL; Web of Science; Cambridge Scientific Abstracts; ISRCTN and additional sources for published and unpublished trials. The date of the most recent search was 30 June 2014. Selection criteria Randomised controlled trials comparing tonsillectomy (with or without adenoidectomy) with non-surgical treatment in adults and children with chronic/recurrent acute tonsillitis. Data collection and analysis We used the standard methodological procedures expected by The Cochrane Collaboration. Main results This review includes seven trials with low to moderate risk of bias: five undertaken in children (987 participants) and two in adults (156 participants). An eighth trial in adults (40 participants) was at high risk of bias and did not provide any data for analysis. Good information about the effectiveness of adeno-/tonsillectomy is only available for the first year following surgery in children and for a shorter period (five to six months) in adults. We combined data from five trials in children; these trials included children who were ‘severely affected’(based on the specific ‘Paradise’ criteria) and less severely affected. Children who had an adeno-/tonsillectomy had an average of three episodes of sore throats (of any severity) in the first postoperative year, compared to 3.6 episodes in the control group; a difference of 0.6 episodes (95% confidence interval (CI) -1 to -0.1; moderate quality evidence). One of the </w:t>
      </w:r>
      <w:r>
        <w:rPr>
          <w:kern w:val="0"/>
        </w:rPr>
        <w:lastRenderedPageBreak/>
        <w:t xml:space="preserve">three episodes in the surgical group was the ‘predictable’ one that occurred in the immediate postoperative period. When we analysed only episodes of moderate/severe sore throat, children who had been more severely affected and had adeno-/ tonsillectomy had on average 1.1 episodes of sore throat in the first postoperative year, compared with 1.2 episodes in the control group (low quality evidence). This is not a significant difference but one episode in the surgical group was that occurring immediately after surgery. Less severely affected children had more episodes of moderate/severe sore throat after surgery (1.2 episodes) than in the control group (0.4 episodes: difference 0.8, 95% CI 0.7 to 0.9), but again one episode was the predictable postoperative episode (moderate quality evidence). Data on the number of sore throat days is only available for moderately affected children and is consistent with the data on episodes. In the first year after surgery children undergoing surgery had an average of 18 days of sore throat (of which some -between five and seven on average -will be in the immediate postoperative period), compared with 23 days in the control group (difference 5.1 days, 95% CI 2.2 to 8.1; moderate quality evidence). When we pooled the data from two studies in adults (156 participants), there were 3.6 fewer episodes (95% CI 7.9 fewer to 0.70 more; low quality evidence) in the group receiving surgery within six months post-surgery. However, statistical heterogeneity was significant. The pooled mean difference for number of days with sore throat in a follow-up period of about six months was 10.6 days fewer in favour of the group receiving surgery (95% CI 5.8 fewer to 15.8 fewer; low quality evidence). However, there was also significant statistical heterogeneity in this analysis and the number of days with postoperative pain (which appeared to be on average 13 to 17 days in the two trials) was not included. Given the short duration of follow-up and the differences between studies, we considered the evidence for adults to be of low quality. Two studies in children reported that there was “ no statistically significant difference” in quality of life outcomes, but the data could not be pooled. One study reported no difference in analgesics consumption. We found no evidence for prescription of antibiotics. Limited data are available from the included studies to quantify the important risks of primary and secondary haemorrhage. Authors’ conclusions Adeno-/tonsillectomy leads to a reduction in the number of episodes of sore throat and days with sore throat in children in the first year after surgery compared to (initial) non-surgical treatment. Children who were more severely affected were more likely to benefit as they had a small reduction in moderate/severe sore throat episodes. The size of the effect is very modest, but there may be a benefit to knowing the precise timing of one episode of pain lasting several days -it occurs immediately after surgery as a direct consequence of the procedure. It is clear that some children get better without any surgery, and that whilst removing the tonsils will always prevent ‘tonsillitis’, the impact of the procedure on ‘sore </w:t>
      </w:r>
      <w:r>
        <w:rPr>
          <w:kern w:val="0"/>
        </w:rPr>
        <w:lastRenderedPageBreak/>
        <w:t>throats’ due to pharyngitis is much less predictable. Insufficient information is available on the effectiveness of adeno-/tonsillectomy versus non-surgical treatment in adults to draw a firm conclusion. The impact of surgery, as demonstrated in the included studies, is modest. Many participants in the non-surgical group improve spontaneously (although some people randomised to this group do in fact undergo surgery). The potential ‘benefit’ of surgery must be weighed against the risks of the procedure as adeno-/tonsillectomy is associated with a small but significant degree of morbidity in the form of primary and secondary haemorrhage and, even with good analgesia, is particularly uncomfortable for adults.</w:t>
      </w:r>
    </w:p>
    <w:p w:rsidR="00EB0F33" w:rsidRDefault="00EB0F33" w:rsidP="00EB0F33">
      <w:pPr>
        <w:pStyle w:val="a3"/>
        <w:rPr>
          <w:kern w:val="0"/>
        </w:rPr>
      </w:pPr>
      <w:r>
        <w:rPr>
          <w:kern w:val="0"/>
        </w:rPr>
        <w:t>Keywords: Acute Disease, Adenoidectomy, Adults, Analgesia, Analgesics, Analysis, Antibiotics, Bias, Children, Chronic Disease, Cochrane Collaboration, Collaboration, Collection, Confidence, Consumption, Control, Criteria, Data, Data Collection, Duration, Effectiveness, Efficacy, Embase, Evidence, First, Follow-Up, From, Haemorrhage, Heterogeneity, Hypertrophy, Impact, Indications, Information, Interval, Life, Methods, Mild Symptoms, Morbidity, Outcomes, Pain, Pharyngitis, Pharyngitis [Diagnosis], Postoperative, Postoperative Pain, Potential, Prescription, Prevent, Primary, Procedure, Procedures, Pubmed, Quality, Quality Of, Quality Of Life, Randomised, Randomised Controlled Trials, Randomized Controlled Trials As Topic, Randomized Controlled-Trial, Recent, Recurrence, Recurrent Throat Infection, Reduction, Removal, Review, Risk, Risks, Science, Search, Size, Small, Sources, Standard, Surgery, Surgical, Therapy], Timing, Tonsillectomy, Tonsillitis [Surgery, Treatment, Trial, Web, Web Of Science</w:t>
      </w:r>
    </w:p>
    <w:p w:rsidR="00314BD8" w:rsidRDefault="00314BD8" w:rsidP="00314BD8">
      <w:pPr>
        <w:pStyle w:val="a3"/>
        <w:rPr>
          <w:kern w:val="0"/>
        </w:rPr>
      </w:pPr>
      <w:r>
        <w:rPr>
          <w:rFonts w:hint="eastAsia"/>
          <w:kern w:val="0"/>
        </w:rPr>
        <w:t xml:space="preserve">? </w:t>
      </w:r>
      <w:r>
        <w:rPr>
          <w:kern w:val="0"/>
        </w:rPr>
        <w:t xml:space="preserve">Smith, S.M., Schroeder, K. and Fahey, T. (2014), Over-the-counter (OTC) medications for acute cough in children and adults in community settings.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CD001831</w:t>
      </w:r>
      <w:r>
        <w:rPr>
          <w:kern w:val="0"/>
        </w:rPr>
        <w:t>.</w:t>
      </w:r>
    </w:p>
    <w:p w:rsidR="00314BD8" w:rsidRDefault="00314BD8" w:rsidP="00314BD8">
      <w:pPr>
        <w:pStyle w:val="a3"/>
      </w:pPr>
      <w:r>
        <w:t xml:space="preserve">Full Text: </w:t>
      </w:r>
      <w:r w:rsidRPr="004626B9">
        <w:t xml:space="preserve">2014\Coc Dat Sys Rev2014, </w:t>
      </w:r>
      <w:r w:rsidRPr="00F231DE">
        <w:rPr>
          <w:kern w:val="0"/>
        </w:rPr>
        <w:t>CD001831</w:t>
      </w:r>
      <w:r w:rsidRPr="004626B9">
        <w:t>.pdf</w:t>
      </w:r>
    </w:p>
    <w:p w:rsidR="00314BD8" w:rsidRDefault="00314BD8" w:rsidP="00314BD8">
      <w:pPr>
        <w:pStyle w:val="a3"/>
        <w:rPr>
          <w:kern w:val="0"/>
        </w:rPr>
      </w:pPr>
      <w:r>
        <w:rPr>
          <w:kern w:val="0"/>
        </w:rPr>
        <w:t xml:space="preserve">Abstract: Background Acute cough due to upper respiratory tract infection (URTI) is a common symptom. Non-prescription, over-the-counter (OTC) medicines are frequently recommended as a first-line treatment, but there is little evidence as to whether these drugs are effective. Objectives To assess the effects of oral OTC cough preparations for acute cough in children and adults in community settings. Search methods We searched CENTRAL (2014, Issue 1), MEDLINE (January 1966 to March week 3 2014), EMBASE (January 1974 to March 2014), CINAHL (January 2010 to March 2014), LILACS (January 2010 to March 2014), Web of Science (January 2010 to March 2014) and the UK Department of Health National Research Register (March 2010). Selection criteria Randomised controlled trials (RCTs) comparing oral OTC cough preparations with placebo in children and adults suffering from acute cough in community settings. We considered all cough outcomes; secondary outcomes of interest were adverse effects. Data collection and </w:t>
      </w:r>
      <w:r>
        <w:rPr>
          <w:kern w:val="0"/>
        </w:rPr>
        <w:lastRenderedPageBreak/>
        <w:t>analysis Two review authors independently screened potentially relevant citations, extracted data and assessed study quality. We performed quantitative analysis where appropriate. Main results Due to the small numbers of trials in each category, the limited quantitative data available and the marked differences between trials in terms of participants, interventions and outcome measurement, we felt that pooling of the results was inappropriate. We included 29 trials (19 in adults, 10 in children) involving 4835 people (3799 adults and 1036 children). All studies were placebocontrolled RCTs. However, assessment of the risk of bias of the included studies was limited by poor reporting, particularly for the earlier studies. In the adult studies, six trials compared antitussives with placebo and had variable results. Three trials compared the expectorant guaifenesin with placebo; one indicated significant benefit, whereas the other two did not. One trial found that a mucolytic reduced cough frequency and symptom scores. Two studies examined antihistamine-decongestant combinations and found conflicting results. Four studies compared other combinations of drugs with placebo and indicated some benefit in reducing cough symptoms. Three trials found that antihistamines were no more effective than placebo in relieving cough symptoms. In the child studies, antitussives (data from three studies), antihistamines (data from three studies), antihistamine-decongestants (two studies) and antitussive/bronchodilator combinations (one study) were no more effective than placebo. No studies using expectorants met our inclusion criteria. The results of one trial favoured active treatment withmucolytics over placebo. One trial tested two paediatric cough syrups and both preparations showed a ‘ satisfactory response’ in 46% and 56% of children compared to 21% of children in the placebo group. One new trial indicated that three types of honey were more effective than placebo over a three-day period. Twenty-one studies reported adverse effects. There was a wide range across studies, with higher numbers of adverse effects in participants taking preparations containing antihistamines and dextromethorphan. Authors’ conclusions The results of this review have to be interpreted with caution because the number of studies in each category of cough preparations was small. Availability, dosing and duration of use of over-the-counter cough medicines vary significantly in different countries. Many studies were poorly reported making assessment of risk of bias difficult and studies were also very different from each other, making evaluation of overall efficacy difficult. There is no good evidence for or against the effectiveness of OTC medicines in acute cough. This should be taken into account when considering prescribing antihistamines and centrally active antitussive agents in children; drugs that are known to have the potential to cause serious harm.</w:t>
      </w:r>
    </w:p>
    <w:p w:rsidR="00314BD8" w:rsidRDefault="00314BD8" w:rsidP="00314BD8">
      <w:pPr>
        <w:pStyle w:val="a3"/>
        <w:rPr>
          <w:kern w:val="0"/>
        </w:rPr>
      </w:pPr>
      <w:r>
        <w:rPr>
          <w:kern w:val="0"/>
        </w:rPr>
        <w:t xml:space="preserve">Keywords: Active, Acute Disease, Acute Transient Cough, Administration,Oral, Adult, Adverse Effects, Adverse Effects], Ambulatory Care, Analysis, </w:t>
      </w:r>
      <w:r>
        <w:rPr>
          <w:kern w:val="0"/>
        </w:rPr>
        <w:lastRenderedPageBreak/>
        <w:t>Antihistamine-Decongestant Combination, Antitussive Agents [Administration &amp; Dosage, Antitussive Efficacy, Assessment, Authors, Availability, Bias, Child, Children, Citations, Collection, Common Cold, Community, Cough, Cough [Drug Therapy], Criteria, Data, Data Collection, Double-Blind, Doxylamine Succinate, Drug Therapy,Combination [Methods], Drugs, Duration, Effectiveness, Effects, Efficacy, Embase, Ephedrine Sulfate, Evaluation, Evidence, Expectorants [Administration &amp; Dosage, First Line, From, Health, Histamine H1 Antagonists [Administration &amp; Dosage], Humans, Infection, Interventions, Measurement, Medline, Methods, Nocturnal Cough, Nonprescription Drugs [Administration &amp; Dosage, Oral, Otc, Outcome, Outcomes, Over-The-Counter, Placebo, Potential, Prescribing, Quality, Quantitative Analysis, Randomised Controlled Trials, Randomized Controlled Trials As Topic, Reporting, Research, Respiratory-Tract Infection, Response, Review, Risk, Science, Search, Sleep Quality, Small, Suffering, Symptoms, Treatment, Trial, Uk, Web, Web Of Science</w:t>
      </w:r>
    </w:p>
    <w:p w:rsidR="00EB0F33" w:rsidRDefault="00EB0F33" w:rsidP="00EB0F33">
      <w:pPr>
        <w:pStyle w:val="a3"/>
        <w:rPr>
          <w:kern w:val="0"/>
        </w:rPr>
      </w:pPr>
      <w:r>
        <w:rPr>
          <w:rFonts w:hint="eastAsia"/>
          <w:kern w:val="0"/>
        </w:rPr>
        <w:t xml:space="preserve">? </w:t>
      </w:r>
      <w:r>
        <w:rPr>
          <w:kern w:val="0"/>
        </w:rPr>
        <w:t xml:space="preserve">Daley, A., Stokes-Lampard, H., Thomas, A. and MacArthur, C. (2014), Exercise for vasomotor menopausal symptoms.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091354">
        <w:rPr>
          <w:kern w:val="0"/>
        </w:rPr>
        <w:t>CD006108</w:t>
      </w:r>
      <w:r>
        <w:rPr>
          <w:kern w:val="0"/>
        </w:rPr>
        <w:t>.</w:t>
      </w:r>
    </w:p>
    <w:p w:rsidR="00EB0F33" w:rsidRDefault="00EB0F33" w:rsidP="00EB0F33">
      <w:pPr>
        <w:pStyle w:val="a3"/>
      </w:pPr>
      <w:r>
        <w:t xml:space="preserve">Full Text: </w:t>
      </w:r>
      <w:r w:rsidRPr="004626B9">
        <w:t xml:space="preserve">2014\Coc Dat Sys Rev2014, </w:t>
      </w:r>
      <w:r w:rsidRPr="00091354">
        <w:t>CD006108</w:t>
      </w:r>
      <w:r w:rsidRPr="004626B9">
        <w:t>.pdf</w:t>
      </w:r>
    </w:p>
    <w:p w:rsidR="00EB0F33" w:rsidRDefault="00EB0F33" w:rsidP="00EB0F33">
      <w:pPr>
        <w:pStyle w:val="a3"/>
        <w:rPr>
          <w:kern w:val="0"/>
        </w:rPr>
      </w:pPr>
      <w:r>
        <w:rPr>
          <w:kern w:val="0"/>
        </w:rPr>
        <w:t xml:space="preserve">Abstract: Background Evidence suggests that many perimenopausal and early postmenopausal women will experience menopausal symptoms; hot flushes are themost common. Symptoms caused by fluctuating levels of oestrogenmay be alleviated by hormone therapy (HT), but amarked global decline in its use has resulted from concerns about the risks and benefits of HT. Consequently, many women are seeking alternatives. As large numbers of women are choosing not to take HT, it is increasingly important to identify evidence-based lifestyle modifications that have the potential to reduce vasomotor menopausal symptoms. Objectives To examine the effectiveness of any type of exercise intervention in the management of vasomotor symptoms in symptomatic perimenopausal and postmenopausal women. Search methods Searches of the following electronic bibliographic databases were performed to identify randomised controlled trials (RCTs): Cochrane MenstrualDisorders and SubfertilityGroup Specialised Trials Register, theCochrane Central Register of Controlled Trials (CENTRAL) (Wiley Internet interface), MEDLINE (Ovid), EMBASE (Ovid), PsycINFO (Ovid), the Science Citation Index and the Social Science Citation Index (Web of Science), the Cumulative Index toNursing and AlliedHealth Literature (CINAHL) (Ovid) and SPORTDiscus. Searches include findings up to 3 March 2014. Selection criteria RCTs in which any type of exercise intervention was compared with no treatment/control or other treatments in the management of menopausal vasomotor symptoms in symptomatic perimenopausal/postmenopausal women. Data collection and analysis Five studies </w:t>
      </w:r>
      <w:r>
        <w:rPr>
          <w:kern w:val="0"/>
        </w:rPr>
        <w:lastRenderedPageBreak/>
        <w:t>were deemed eligible for inclusion. Two review authors independently selected the studies, and three review authors independently extracted the data. The primary review outcome was vasomotor symptoms, defined as hot flushes and/or night sweats. We combined data to calculate standardised mean differences (SMDs) with 95% confidence intervals (CIs). Statistical heterogeneity was assessed using the I2 statistic. We assessed the overall quality Main results We included five RCTs (733 women) comparing exercise with no active treatment, exercise with yoga and exercise with HT. The evidence was of low quality: Limitations in study design were noted, along with inconsistency and imprecision. In the comparison of exercise versus no active treatment (three studies, n = 454 women), no evidence was found of a difference between groups in frequency or intensity of vasomotor symptoms (SMD -0.10, 95% CI -0.33 to 0.13, three RCTs, 454 women, I2 = 30%, low-quality evidence). Nor was any evidence found of a difference between groups in the frequency or intensity of vasomotor symptoms when exercise was compared with yoga (SMD -0.03, 95% CI -0.45 to 0.38, two studies, n = 279 women, I2 = 61%, low-quality evidence). It was not possible to include one of the trials in the meta-analyses; this trial compared three groups: exercise plus soy milk, soy milk only and control; results favoured exercise relative to the comparators, but study numbers were small. One trial compared exercise with HT, and the HT group reported significantly fewer flushes in 24 hours than the exercise group (mean difference 5.8, 95% CI 3.17 to 8.43, 14 participants). None of the trials found evidence of a difference between groups with respect to adverse effects, but data were very scanty. Authors’ conclusions Evidence was insufficient to show whether exercise is an effective treatment for vasomotor menopausal symptoms. One small study suggested thatHT is more effective than exercise. Evidence was insufficient to show the relative effectiveness of exercise when compared with HT or yoga.</w:t>
      </w:r>
    </w:p>
    <w:p w:rsidR="00EB0F33" w:rsidRDefault="00EB0F33" w:rsidP="00EB0F33">
      <w:pPr>
        <w:pStyle w:val="a3"/>
        <w:rPr>
          <w:kern w:val="0"/>
        </w:rPr>
      </w:pPr>
      <w:r>
        <w:rPr>
          <w:kern w:val="0"/>
        </w:rPr>
        <w:t xml:space="preserve">Keywords: Active, Adverse Effects, Alternatives, Analysis, Authors, Benefits, Bibliographic, Bibliographic Databases, Bone-Mineral Density, Citation, Collection, Comparison, Complementary Therapies, Confidence, Confidence Intervals, Control, Criteria, Data, Data Collection, Databases, Design, Effectiveness, Effects, Embase, Estrogen Plus Progestin, Estrogen Replacement Therapy, Evidence, Evidence Based, Evidence-Based, Exercise, Experience, Female, From, Global, Groups, Health-Education Intervention, Heterogeneity, Hormone Therapy, Hormone-Replacement Therapy, Hot Flashes [Therapy], Humans, Intensity, Interface, Internet, Intervals, Intervention, Literature, Management, Medline, Menopause, Meta-Analyses, Methods, Mid-Aged Women, Middle Aged, Milk, Obese Postmenopausal Women, Oral Estradiol Treatment, Outcome, Placebo-Controlled Trial, Postmenopausal, Postmenopausal Women, Potential, Primary, Psycinfo, Quality, Quality-Of-Life, Randomised, Randomised Controlled </w:t>
      </w:r>
      <w:r>
        <w:rPr>
          <w:kern w:val="0"/>
        </w:rPr>
        <w:lastRenderedPageBreak/>
        <w:t>Trials, Randomized Controlled Trials As Topic, Randomized Controlled-Trial, Review, Risks, Science, Science Citation Index, Search, Small, Social Science Citation Index, Study Design, Sweat Gland Diseases [Therapy], Sweating, Symptoms, Therapy, Treatment, Trial, Walking, Web, Web Of Science, Women, Yoga</w:t>
      </w:r>
    </w:p>
    <w:p w:rsidR="00314BD8" w:rsidRDefault="00314BD8" w:rsidP="00314BD8">
      <w:pPr>
        <w:pStyle w:val="a3"/>
        <w:rPr>
          <w:kern w:val="0"/>
        </w:rPr>
      </w:pPr>
      <w:r>
        <w:rPr>
          <w:rFonts w:hint="eastAsia"/>
          <w:kern w:val="0"/>
        </w:rPr>
        <w:t xml:space="preserve">? </w:t>
      </w:r>
      <w:r>
        <w:rPr>
          <w:kern w:val="0"/>
        </w:rPr>
        <w:t xml:space="preserve">Sharma, R., Lakhani, R., Rimmer, J. and Hopkins, C. (2014), Surgical interventions for chronic rhinosinusitis with nasal polyps.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CD006990</w:t>
      </w:r>
      <w:r>
        <w:rPr>
          <w:kern w:val="0"/>
        </w:rPr>
        <w:t>.</w:t>
      </w:r>
    </w:p>
    <w:p w:rsidR="00314BD8" w:rsidRDefault="00314BD8" w:rsidP="00314BD8">
      <w:pPr>
        <w:pStyle w:val="a3"/>
      </w:pPr>
      <w:r>
        <w:t xml:space="preserve">Full Text: </w:t>
      </w:r>
      <w:r w:rsidRPr="004626B9">
        <w:t xml:space="preserve">2014\Coc Dat Sys Rev2014, </w:t>
      </w:r>
      <w:r w:rsidRPr="00F231DE">
        <w:rPr>
          <w:kern w:val="0"/>
        </w:rPr>
        <w:t>CD006990</w:t>
      </w:r>
      <w:r w:rsidRPr="004626B9">
        <w:t>.pdf</w:t>
      </w:r>
    </w:p>
    <w:p w:rsidR="00314BD8" w:rsidRDefault="00314BD8" w:rsidP="00314BD8">
      <w:pPr>
        <w:pStyle w:val="a3"/>
        <w:rPr>
          <w:kern w:val="0"/>
        </w:rPr>
      </w:pPr>
      <w:r>
        <w:rPr>
          <w:kern w:val="0"/>
        </w:rPr>
        <w:t>Abstract: Background Surgical treatment of chronic rhinosinusitis with nasal polyps is an established treatment for medically resistant nasal polyp disease. Whether a nasal polypectomy with additional sinus dissection offers any advantage over an isolated nasal polypectomy has not been systematically reviewed. Objectives To assess the effectiveness of simple polyp surgery versus more extensive surgical clearance in chronic rhinosinusitis with nasal polyps. Search methods We searched the Cochrane Ear, Nose and Throat Disorders Group Trials Register; the Cochrane Central Register of Controlled Trials (CENTRAL 2014, Issue 1); PubMed; EMBASE; CINAHL; Web of Science; Cambridge Scientific Abstracts; ICTRP and additional sources for published and unpublished trials. The date of the search was 20 February 2014. Selection criteria Randomised and quasi-randomised controlled trials in patients over 16 with chronic rhinosinusitis with nasal polyps, who have failed a course of medical management and who have not previously undergone any previous surgical intervention for their nasal disease. Studies compared nasal polypectomy with more extensive sinus clearance in this patient cohort. Data collection and analysis We used the standard methodological procedures expected by The Cochrane Collaboration. Main results We identified no trials which met our inclusion criteria. Six controlled trials (five randomised) met some but not all of the inclusion criteria and were therefore excluded from the review. Authors’ conclusions We are unable to reach any conclusions as to whether isolated nasal polypectomy or more extensive sinus surgery is a superior surgical treatment modality for chronic rhinosinusitis with nasal polyps. There is a need for high-quality randomised controlled trials to assess whether additional sinus surgery confers any benefit when compared to nasal polypectomy performed in isolation.</w:t>
      </w:r>
    </w:p>
    <w:p w:rsidR="00314BD8" w:rsidRDefault="00314BD8" w:rsidP="00314BD8">
      <w:pPr>
        <w:pStyle w:val="a3"/>
        <w:rPr>
          <w:kern w:val="0"/>
        </w:rPr>
      </w:pPr>
      <w:r>
        <w:rPr>
          <w:kern w:val="0"/>
        </w:rPr>
        <w:t xml:space="preserve">Keywords: Analysis, Chronic, Chronic Sinusitis, Clinimetric Validity, Cochrane Collaboration, Cohort, Collaboration, Collection, Course, Criteria, Data, Data Collection, Disease, Dissection, Effectiveness, Embase, Enterotoxins, From, Ige, Instruments, Intervention, Interventions, Management, Medical, Methods, Pathogenesis, Patients, Prevalence, Procedures, Pubmed, Randomised, Randomised Controlled Trials, Review, Rhinosinusitis, Science, Search, Sinonasal Outcome Test, </w:t>
      </w:r>
      <w:r>
        <w:rPr>
          <w:kern w:val="0"/>
        </w:rPr>
        <w:lastRenderedPageBreak/>
        <w:t>Sources, Standard, Surgery, Surgical, Surgical Treatment, Treatment, Update, Web, Web Of Science</w:t>
      </w:r>
    </w:p>
    <w:p w:rsidR="00314BD8" w:rsidRDefault="00314BD8" w:rsidP="00314BD8">
      <w:pPr>
        <w:pStyle w:val="a3"/>
        <w:rPr>
          <w:kern w:val="0"/>
        </w:rPr>
      </w:pPr>
      <w:r>
        <w:rPr>
          <w:rFonts w:hint="eastAsia"/>
          <w:kern w:val="0"/>
        </w:rPr>
        <w:t xml:space="preserve">? </w:t>
      </w:r>
      <w:r>
        <w:rPr>
          <w:kern w:val="0"/>
        </w:rPr>
        <w:t xml:space="preserve">Tighe, M., Afzal, N.A., Bevan, A., Hayen, A., Munro, A. and Beattie, R.M. (2014), Pharmacological treatment of children with gastro-oesophageal reflux.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CD008550</w:t>
      </w:r>
      <w:r>
        <w:rPr>
          <w:kern w:val="0"/>
        </w:rPr>
        <w:t>.</w:t>
      </w:r>
    </w:p>
    <w:p w:rsidR="00314BD8" w:rsidRDefault="00314BD8" w:rsidP="00314BD8">
      <w:pPr>
        <w:pStyle w:val="a3"/>
      </w:pPr>
      <w:r>
        <w:t xml:space="preserve">Full Text: </w:t>
      </w:r>
      <w:r w:rsidRPr="004626B9">
        <w:t xml:space="preserve">2014\Coc Dat Sys Rev2014, </w:t>
      </w:r>
      <w:r w:rsidRPr="00F231DE">
        <w:rPr>
          <w:kern w:val="0"/>
        </w:rPr>
        <w:t>CD008550</w:t>
      </w:r>
      <w:r w:rsidRPr="004626B9">
        <w:t>.pdf</w:t>
      </w:r>
    </w:p>
    <w:p w:rsidR="00314BD8" w:rsidRDefault="00314BD8" w:rsidP="00314BD8">
      <w:pPr>
        <w:pStyle w:val="a3"/>
        <w:rPr>
          <w:kern w:val="0"/>
        </w:rPr>
      </w:pPr>
      <w:r>
        <w:rPr>
          <w:kern w:val="0"/>
        </w:rPr>
        <w:t xml:space="preserve">Abstract: Background Gastro-oesophageal reflux (GOR) is a common disorder, characterised by regurgitation of gastric contents into the oesophagus. GOR is a very common presentation in infancy in both primary and secondary care settings. GOR can affect approximately 50% of infants younger than three months old (Nelson 1997). The natural history of GOR in infancy is generally that of a functional, selflimiting condition that improves with age; &lt;5% of children with vomiting or regurgitation continue to have symptoms after infancy (Martin 2002). Older children and children with co-existing medical conditions can have a more protracted course. The definition of gastro-oesophageal reflux disease (GORD) and its precise distinction from GOR are debated, but consensus guidelines from the North American Society of Gastroenterology, Hepatology and Nutrition (NASPGHAN-ESPGHAN guidelines 2009) define GORD as ‘ troublesome symptoms or complications of GOR.’ Objectives This Cochrane review aims to provide a robust analysis of currently available pharmacological interventions used to treat children with GOR by assessing all outcomes indicating benefit or harm. Search methods We sought to identify relevant published trials by searching the Cochrane Central Register of Controlled Trials (CENTRAL) (2014, Issue 5), MEDLINE and EMBASE (1966 to 2014), the Centralised Information Service for Complementary Medicine (CISCOM), the Institute for Scientific Information (ISI) Science Citation Index (on BIDS-UK General Science Index) and the ISIWeb of Science. We also searched for ongoing trials in the metaRegister of Controlled Trials (mRCT) (www. controlled-trials. com). Reference lists from trials selected by electronic searching were handsearched for relevant paediatric studies on medical treatment of childrenwith gastro-oesophageal reflux, aswere published abstracts fromconference proceedings (published inGut andGastroenterology) and reviews published over the past five years. No language restrictions were applied. Selection criteria Abstracts were reviewed by two review authors, and relevant RCTs on study participants (birth to 16 years) with GOR receiving a pharmacological treatment were selected. Subgroup analysis was considered for children up to 12 months of age, and for children 12 months to 16 years of age, and for those with neurological impairment. Data collection and analysis Trials were critically appraised and data collected by two review authors. Risk of bias was assessed. Meta-analysis data were independently extracted by two review authors, and suitable outcome data were </w:t>
      </w:r>
      <w:r>
        <w:rPr>
          <w:kern w:val="0"/>
        </w:rPr>
        <w:lastRenderedPageBreak/>
        <w:t xml:space="preserve">analysed using RevMan. Main results A total of 24 studies (1201 participants) contributed data to the review. The review authors had several concerns regarding the studies. Pharmaceutical company support for manuscript preparation was a common feature; also, because common endpoints were lacking, study populations were heterogenous and variations in study design were noted, individual drug meta-analysis was not possible. Moderate-quality evidence from individual studies suggests that proton pump inhibitors (PPIs) can reduce GOR symptoms in children with confirmed erosive oesophagitis. It was not possible to demonstrate statistical superiority of one PPI agent over another. Some evidence indicates that H antagonists are effective in treating children with GORD. Methodological differences precluded performance of meta-analysis on individual agents or on these agents as a class, in comparison with placebo or head-to-head versus PPIs, and additional studies are required. RCTevidence is insufficient to permit assessment of the efficacy of prokinetics. Given the diversity of study designs and the heterogeneity of outcomes, it was not possible to perform a meta-analysis of the efficacy of domperidone. In younger children, the largest RCT of 80 children (one to 18 months of age) with GOR showed no evidence of improvement in symptoms and 24-hour pH probe, but improvement in symptoms and reflux index was noted in a subgroup treated with domperidone and co-magaldrox(Maalox r). In anotherRCTof 17 children, after eightweeks of therapy. 33% of participants treatedwith domperidone noted an improvement in symptoms (P value was not significant). In neonates, the evidence is even weaker; one RCT of 26 neonates treated with domperidone over 24 hours showed that although reflux frequency was significantly increased, reflux duration was significantly improved. Diversity of RCT evidence was found regarding efficacy of compound alginate preparations(Gaviscon Infant r) in infants, although as a result of these studies, Gaviscon Infant r was changed to become aluminium-free and has been assessed in its current form in only two studies since 1999. Given the diversity of study designs and the heterogeneity of outcomes, as well as the evolution in formulation, it was not possible to perform a meta-analysis on the efficacy of Gaviscon Infant r. Moderate evidence indicates that Gaviscon Infant r improves symptoms in infants, including those with functional reflux; the largest study of the current formulation showed improvement in symptom control but was limited by length of follow-up. No serious side effects were reported. No RCTs on pharmacological treatments for children with neurodisability were identified. Authors’ conclusions Moderate evidence was found to support the use of PPIs, along with some evidence to support the use of H antagonists in older children with GORD, based on improvement in symptom scores, pH indices and endoscopic/histological appearances. However, lack of independent placebo-controlled and head-to-head trials makes conclusions as to relative efficacy difficult to determine. Further RCTs </w:t>
      </w:r>
      <w:r>
        <w:rPr>
          <w:kern w:val="0"/>
        </w:rPr>
        <w:lastRenderedPageBreak/>
        <w:t>are recommended. No robust RCT evidence is available to support the use of domperidone, and further studies on prokinetics are recommended, including assessments of erythromycin. Pharmacological treatment of infants with reflux symptoms is problematic, as many infants have GOR, and little correlation has been noted between reported symptoms and endoscopic and pH findings. Better evidence has been found to support the use of PPIs in infants with GORD, but heterogeneity in outcomes and in study design impairs interpretation of placebo-controlled data regarding efficacy. Some evidence is available to support the use of Gaviscon Infant r, but further studies with longer follow-up times are recommended. Studies of omeprazole and lansoprazole in infants with functional GOR have demonstrated variable benefit, probably because of differences in inclusion criteria. No robust RCT evidence has been found regarding treatment of preterm babies with GOR/GORD or children with neurodisabilities. Initiation of RCTs with common endpoints is recommended, given the frequency of treatment and the use of multiple antireflux agents in these children.</w:t>
      </w:r>
    </w:p>
    <w:p w:rsidR="00314BD8" w:rsidRDefault="00314BD8" w:rsidP="00314BD8">
      <w:pPr>
        <w:pStyle w:val="a3"/>
        <w:rPr>
          <w:kern w:val="0"/>
        </w:rPr>
      </w:pPr>
      <w:r>
        <w:rPr>
          <w:kern w:val="0"/>
        </w:rPr>
        <w:t>Keywords: Abstracts, Affect, Age, Aged 1, Alginate, Analysis, Assessing, Assessment, Assessments, Authors, Bias, Birth, Care, Children, Citation, Clinical-Trial, Collection, Comparison, Complications, Consensus, Control, Correlation, Course, Criteria, Data, Data Collection, Definition, Design, Disease, Diversity, Domperidone Therapy, Double-Blind, Drug, Duration, Effects, Efficacy, Embase, Erosive Esophagitis, Erythromycin, Evidence, Evolution, Feature, Follow-Up, Formulation, From, Gastric, Gastric-Acid-Secretion, Guidelines, Heterogeneity, History, Impairment, Improvement, Index, Indices, Infancy, Infant, Infants, Information, Inhibitors, Initiation, Institute For Scientific Information, Interventions, Isi, Language, Length, Medical, Medical Treatment, Medicine, Medline, Meta Analysis, Meta-Analysis, Metaanalysis, Methods, Natural, Natural History, Natural-History, Neonates, Neurological, North, Nutrition, Older, Open-Label, Outcome, Outcomes, P, Peptic Esophagitis, Performance, Ph, Pharmaceutical, Placebo, Placebo-Controlled Trial, Populations, Preparation, Presentation, Preterm, Primary, Pump, Rct, Reference, Reference Lists, Regurgitation, Restrictions, Review, Reviews, Risk, Risk Of Bias, Science, Science Citation Index, Search, Side Effects, Study Design, Support, Symptom Control, Symptoms, Therapy, Treatment, Value, Vomiting</w:t>
      </w:r>
    </w:p>
    <w:p w:rsidR="00EB0F33" w:rsidRDefault="00EB0F33" w:rsidP="00EB0F33">
      <w:pPr>
        <w:pStyle w:val="a3"/>
        <w:rPr>
          <w:kern w:val="0"/>
        </w:rPr>
      </w:pPr>
      <w:r>
        <w:rPr>
          <w:rFonts w:hint="eastAsia"/>
          <w:kern w:val="0"/>
        </w:rPr>
        <w:t xml:space="preserve">? </w:t>
      </w:r>
      <w:r>
        <w:rPr>
          <w:kern w:val="0"/>
        </w:rPr>
        <w:t xml:space="preserve">Ang, M., Evans, J.R. and Mehta, J.S. (2014), Manual small incision cataract surgery (MSICS) with posterior chamber intraocular lens versus extracapsular cataract extraction (ECCE) with posterior chamber intraocular lens for age-related cataract.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091354">
        <w:rPr>
          <w:kern w:val="0"/>
        </w:rPr>
        <w:t>CD008811</w:t>
      </w:r>
      <w:r>
        <w:rPr>
          <w:kern w:val="0"/>
        </w:rPr>
        <w:t>.</w:t>
      </w:r>
    </w:p>
    <w:p w:rsidR="00EB0F33" w:rsidRDefault="00EB0F33" w:rsidP="00EB0F33">
      <w:pPr>
        <w:pStyle w:val="a3"/>
      </w:pPr>
      <w:r>
        <w:t xml:space="preserve">Full Text: </w:t>
      </w:r>
      <w:r w:rsidRPr="004626B9">
        <w:t xml:space="preserve">2014\Coc Dat Sys Rev2014, </w:t>
      </w:r>
      <w:r w:rsidRPr="00091354">
        <w:t>CD008811</w:t>
      </w:r>
      <w:r w:rsidRPr="004626B9">
        <w:t>.pdf</w:t>
      </w:r>
    </w:p>
    <w:p w:rsidR="00EB0F33" w:rsidRDefault="00EB0F33" w:rsidP="00EB0F33">
      <w:pPr>
        <w:pStyle w:val="a3"/>
        <w:rPr>
          <w:kern w:val="0"/>
        </w:rPr>
      </w:pPr>
      <w:r>
        <w:rPr>
          <w:kern w:val="0"/>
        </w:rPr>
        <w:t xml:space="preserve">Abstract: Background Age-related cataract is the opacification of the lens, which occurs as a result of denaturation of lens proteins. Age-related cataract remains the leading </w:t>
      </w:r>
      <w:r>
        <w:rPr>
          <w:kern w:val="0"/>
        </w:rPr>
        <w:lastRenderedPageBreak/>
        <w:t xml:space="preserve">cause of blindness globally, except in the most developed countries. A key question is what is the best way of removing the lens, especially in lower income settings. Objectives To compare two different techniques of lens removal in cataract surgery: manual small incision surgery (MSICS) and extracapsular cataract extraction (ECCE). Search methods We searched CENTRAL (which contains the Cochrane Eyes and Vision Group Trials Register) (2014, Issue 8), Ovid MEDLINE, Ovid MEDLINE In-Process and Other Non-Indexed Citations, Ovid MEDLINE Daily, Ovid OLDMEDLINE (January 1946 to September 2014), EMBASE (January 1980 to September 2014), Latin American and Caribbean Health Sciences Literature Database (LILACS) (January 1982 to September 2014), Web of Science Conference Proceedings Citation Index-Science (CPCIS), (January 1990 to September 2014), the metaRegister of Controlled Trials (mRCT) (www. controlled-trials. com), ClinicalTrials. gov (www.clinicaltrials.gov) and the World Health Organization (WHO) International Clinical Trials Registry Platform (ICTRP) (www.who.int/ictrp/search/en). We did not use any date or language restrictions in the electronic searches for trials. We last searched the electronic databases on 23 September 2014. Selection criteria We included randomised controlled trials (RCTs) only. Participants in the trials were people with age-related cataract. We included trials where MSICS with a posterior chamber intraocular lens (IOL) implant was compared to ECCE with a posterior chamber IOL implant. Data collection and analysis Data were collected independently by two authors. We aimed to collect data on presenting visual acuity 6/12 or better and best-corrected visual acuity of less than 6/60 at three months and one year after surgery. Other outcomes included intraoperative complications, longterm complications (one year or more after surgery), quality of life, and cost-effectiveness. There were not enough data available from the included trials to perform a meta-analysis. Main results Three trials randomly allocating people with age-related cataract toMSICS or ECCE were included in this review (n = 953 participants). Two trials were conducted in India and one in Nepal. Trial methods, such as random allocation and allocation concealment, were not clearly described; in only one trial was an effort made to mask outcome assessors. The three studies reported follow-up six to eight weeks after surgery. In two studies, more participants in the MSICS groups achieved unaided visual acuity of 6/12 or 6/18 or better compared to the ECCE group, but overall not more than 50% of people achieved good functional vision in the two studies. 10/806 (1.2%) of people enrolled in two trials had a poor outcome after surgery (best-corrected vision less than 6/60) with no evidence of difference in risk between the two techniques (risk ratio (RR) 1.58, 95% confidence interval (CI) 0.45 to 5.55). Surgically induced astigmatism was more common with the ECCE procedure thanMSICS in the two trials that reported this outcome. In one study there were more intra-and </w:t>
      </w:r>
      <w:r>
        <w:rPr>
          <w:kern w:val="0"/>
        </w:rPr>
        <w:lastRenderedPageBreak/>
        <w:t>postoperative complications in the MSICS group. One study reported that the costs of the two procedures were similar. Authors’ conclusions There are no other studies from other countries other than India and Nepal and there are insufficient data on cost-effectiveness of each procedure. Better evidence is needed before any change may be implemented. Future studies need to have longer-term follow-up and be conducted to minimize biases revealed in this review with a larger sample size to allow examination of adverse events.</w:t>
      </w:r>
    </w:p>
    <w:p w:rsidR="00EB0F33" w:rsidRDefault="00EB0F33" w:rsidP="00EB0F33">
      <w:pPr>
        <w:pStyle w:val="a3"/>
        <w:rPr>
          <w:kern w:val="0"/>
        </w:rPr>
      </w:pPr>
      <w:r>
        <w:rPr>
          <w:kern w:val="0"/>
        </w:rPr>
        <w:t>Keywords: 80 And Over, Adult, Adverse Events, Age Factors, Age-Related, Age-Related Cataract, Aged, Allocation, Analysis, Authors, Blindness, Cataract Extraction [Adverse Effects, Cataract Surgery, Citation, Citations, Clinical Trials, Collection, Complications, Conference, Confidence, Cost, Cost Effectiveness, Cost-Effectiveness, Costs, Criteria, Data, Data Collection, Database, Databases, Embase, Events, Evidence, Examination, Extraction, Follow-Up, From, Groups, Health, Humans, Implant, Income, India, India, Induced, International, Interval, Intraoperative Complications, Language, Latin-American, Lens Implantation,</w:t>
      </w:r>
      <w:r>
        <w:rPr>
          <w:rFonts w:hint="eastAsia"/>
          <w:kern w:val="0"/>
        </w:rPr>
        <w:t xml:space="preserve"> </w:t>
      </w:r>
      <w:r>
        <w:rPr>
          <w:kern w:val="0"/>
        </w:rPr>
        <w:t>Intraocular [Methods], Lenses,Intraocular, Life, Literature, Medline, Meta Analysis, Meta-Analysis, Metaanalysis, Methods, Methods], Middle Aged, Nepal, Outcome, Outcomes, Phacoemulsification, Posterior Eye Segment, Postoperative, Postoperative Complications, Procedure, Procedures, Proceedings, Proteins, Quality, Quality Of, Quality Of Life, Randomised, Randomised Controlled Trials, Randomized Controlled Trials As Topic, Randomized Controlled-Trial, Removal, Restrictions, Review, Risk, Sample Size, Science, Sciences, Search, Size, Small, Surgery, Techniques, Trial, Web, Web Of Science, Who, World Health Organization</w:t>
      </w:r>
    </w:p>
    <w:p w:rsidR="00EB0F33" w:rsidRDefault="00EB0F33" w:rsidP="00EB0F33">
      <w:pPr>
        <w:pStyle w:val="a3"/>
        <w:rPr>
          <w:kern w:val="0"/>
        </w:rPr>
      </w:pPr>
      <w:r>
        <w:rPr>
          <w:rFonts w:hint="eastAsia"/>
          <w:kern w:val="0"/>
        </w:rPr>
        <w:t xml:space="preserve">? </w:t>
      </w:r>
      <w:r>
        <w:rPr>
          <w:kern w:val="0"/>
        </w:rPr>
        <w:t xml:space="preserve">Cakmakkaya, O.S., Kolodzie, K., Apfel, C.C. and Pace, N.L. (2014), Anaesthetic techniques for risk of malignant tumour recurrence.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091354">
        <w:rPr>
          <w:kern w:val="0"/>
        </w:rPr>
        <w:t>CD008877</w:t>
      </w:r>
      <w:r>
        <w:rPr>
          <w:kern w:val="0"/>
        </w:rPr>
        <w:t>.</w:t>
      </w:r>
    </w:p>
    <w:p w:rsidR="00EB0F33" w:rsidRDefault="00EB0F33" w:rsidP="00EB0F33">
      <w:pPr>
        <w:pStyle w:val="a3"/>
      </w:pPr>
      <w:r>
        <w:t xml:space="preserve">Full Text: </w:t>
      </w:r>
      <w:r w:rsidRPr="004626B9">
        <w:t xml:space="preserve">2014\Coc Dat Sys Rev2014, </w:t>
      </w:r>
      <w:r w:rsidRPr="00091354">
        <w:t>CD008877</w:t>
      </w:r>
      <w:r w:rsidRPr="004626B9">
        <w:t>.pdf</w:t>
      </w:r>
    </w:p>
    <w:p w:rsidR="00EB0F33" w:rsidRDefault="00EB0F33" w:rsidP="00EB0F33">
      <w:pPr>
        <w:pStyle w:val="a3"/>
        <w:rPr>
          <w:kern w:val="0"/>
        </w:rPr>
      </w:pPr>
      <w:r>
        <w:rPr>
          <w:kern w:val="0"/>
        </w:rPr>
        <w:t xml:space="preserve">Abstract: Background Surgery remains amainstay of treatment for malignant tumours; however, surgical manipulation leads to a significant systemic release of tumour cells. Whether these cells lead to metastases is largely dependent on the balance between aggressiveness of the tumour cells and resilience of the body. Surgical stress per se, anaesthetic agents and administration of opioid analgesics perioperatively can compromise immune function and might shift the balance towards progression of minimal residual disease. Regional anaesthesia techniques provide perioperative pain relief; they therefore reduce the quantity of systemic opioids and of anaesthetic agents used. Additionally, regional anaesthesia techniques are known to prevent or attenuate the surgical stress response. In recent years, the potential benefit of regional anaesthesia techniques for tumour recurrence has received major attention and has been discussed many times in the literature. In preparing this review, we aimed to </w:t>
      </w:r>
      <w:r>
        <w:rPr>
          <w:kern w:val="0"/>
        </w:rPr>
        <w:lastRenderedPageBreak/>
        <w:t xml:space="preserve">summarize the current evidence systematically and comprehensively. Objectives To establish whether anaesthetic technique (general anaesthesia versus regional anaesthesia or a combination of the two techniques) influences the long-term prognosis for individuals with malignant tumours. Search methods We searched The Cochrane Library (2013, Issue 12), PubMed (1950 to 15 December 2013), EMBASE (1974 to 15 December 2013), BIOSIS (1926 to 15 December 2013) and Web of Science (1965 to 15 December 2013). We handsearched relevant websites and conference proceedings and reference lists of cited articles. We applied no language restrictions. Selection criteria We included all randomized controlled trials or controlled clinical trials that investigated the effects of general versus regional anaesthesia on the risk of malignant tumour recurrence in patients undergoing resection of primary malignant tumours. Comparisons of interventions consisted of (1) general anaesthesia alone versus general anaesthesia combined with one or more regional anaesthetic techniques; (2) general anaesthesia combined with one or more regional anaesthetic techniques versus one or more regional anaesthetic techniques; and (3) general anaesthesia alone versus one or more regional anaesthetic techniques. Primary outcomes included (1) overall survival, (2) progression-free survival and (3) time to tumour progression. Data collection and analysis Two review authors independently scanned the titles and abstracts of identified reports and extracted study data. All primary outcome variables are time-to-event data. If the individual trial report provided summary statistics with odds ratios, relative risks or Kaplan-Meier curves, extracted data enabled us to calculate the hazard ratio using the hazard ratio calculating spreadsheet. To assess risk of bias, we used the standard methodological procedures expected by The Cochrane Collaboration. Main results We included four studies with a total of 746 participants. All studies included adult patients undergoing surgery for primary tumour resection. Two studies enrolled male and female participants undergoing major abdominal surgery for cancer. One study enrolled male participants undergoing surgery for prostate cancer, and one study male participants undergoing surgery for colon cancer. Follow-up time ranged fromnine to 17 years. All four studies compared general anaesthesia alone versus general anaesthesia combinedwith epidural anaesthesia and analgesia. All four studies are secondary data analyses of previously conducted prospective randomized controlled trials. Of the four included studies, only three contributed to the outcome of overall survival, and two each to the outcomes of progression-free survival and time to tumour progression. In our meta-analysis, we could not find an advantage for either study group for the outcomes of overall survival (hazard ratio (HR) 1.03, 95% confidence interval (CI) 0.86 to 1.24) and progression-free survival (HR 0.88, 95% CI 0.56 to 1.38). For progression-free survival, the level of inconsistency was high. Pooled data for time to tumour progression showed a slightly favourable outcome for </w:t>
      </w:r>
      <w:r>
        <w:rPr>
          <w:kern w:val="0"/>
        </w:rPr>
        <w:lastRenderedPageBreak/>
        <w:t>the control group (general anaesthesia alone) compared with the intervention group (epidural and general anaesthesia) (HR 1.50, 95% CI 1.00 to 2.25). Quality of evidence was graded low for overall survival and very low for progression-free survival and time to tumour progression. The outcome of overall survival was downgraded for serious imprecision and serious indirectness. The outcomes of progression-free survival and time to tumour progression were also downgraded for serious inconsistency and serious risk of bias, respectively. Reporting of adverse events was sparse, and data could not be analysed. Authors’ conclusions Currently, evidence for the benefit of regional anaesthesia techniques on tumour recurrence is inadequate. An encouraging number of prospective randomized controlled trials are ongoing, and it is hoped that their results, when reported, will add evidence for this topic in the near future.</w:t>
      </w:r>
    </w:p>
    <w:p w:rsidR="00EB0F33" w:rsidRDefault="00EB0F33" w:rsidP="00EB0F33">
      <w:pPr>
        <w:pStyle w:val="a3"/>
        <w:rPr>
          <w:kern w:val="0"/>
        </w:rPr>
      </w:pPr>
      <w:r>
        <w:rPr>
          <w:kern w:val="0"/>
        </w:rPr>
        <w:t>Keywords: Abdominal, Abdominal Surgery, Abstracts, Administration, Adult, Adverse Events, Anaesthesia, Anaesthetic Technique, Anaesthetic Techniques, Analgesia, Analgesics, Analyses, Analysis, Articles, Attention, Authors, Balance, Bias, Breast-Cancer Surgery, Cancer, Clinical, Clinical Trials, Cochrane Collaboration, Collaboration, Collection, Colon Cancer, Colorectal-Cancer, Conference Proceedings, Confidence, Control, Criteria, Data, Data Collection, Disease, Effects, Embase, Endothelial Growth-Factor, Epidural, Epidural Anaesthesia, Epidural-Anesthesia, Events, Evidence, Female, Function, General, General Anaesthesia, Hazard, Hazard Ratio, Immune, Interval, Intervention, Interventions, Killer-Cell Cytotoxicity, Language, Lead, Literature, Long Term, Long-Term, Long-Term Prognosis, Major Abdominal-Surgery, Male, Meta Analysis, Meta-Analysis, Metaanalysis, Metastases, Methods, Neuraxial Anesthesia, Opioid, Opioid Analgesics, Opioids, Outcome, Outcomes, Overall Survival, Pain, Pain Relief, Patients, Perioperative Intravenous Lidocaine, Potential, Prevent, Primary, Procedures, Prognosis, Progression, Prospective, Prostate Cancer, Pubmed, Quality, Radical Prostatectomy, Randomized, Randomized Controlled Trials, Recent, Recurrence, Reference, Reference Lists, Regional, Regional Anaesthesia, Release, Resilience, Response, Restrictions, Retrospective Analysis, Review, Risk, Risks, Science, Search, Standard, Statistics, Stress, Surgery, Surgical, Surgical Stress, Survival, Techniques, Topic, Treatment, Trial, Web, Web Of Science, Websites</w:t>
      </w:r>
    </w:p>
    <w:p w:rsidR="00314BD8" w:rsidRDefault="00314BD8" w:rsidP="00314BD8">
      <w:pPr>
        <w:pStyle w:val="a3"/>
        <w:rPr>
          <w:kern w:val="0"/>
        </w:rPr>
      </w:pPr>
      <w:r>
        <w:rPr>
          <w:rFonts w:hint="eastAsia"/>
          <w:kern w:val="0"/>
        </w:rPr>
        <w:t xml:space="preserve">? </w:t>
      </w:r>
      <w:r>
        <w:rPr>
          <w:kern w:val="0"/>
        </w:rPr>
        <w:t xml:space="preserve">Patel, N., Kellezi, B. and Williams, A.C.D. (2014), Psychological, social and welfare interventions for psychological health and well-being of torture survivors.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CD009317</w:t>
      </w:r>
      <w:r>
        <w:rPr>
          <w:kern w:val="0"/>
        </w:rPr>
        <w:t>.</w:t>
      </w:r>
    </w:p>
    <w:p w:rsidR="00314BD8" w:rsidRDefault="00314BD8" w:rsidP="00314BD8">
      <w:pPr>
        <w:pStyle w:val="a3"/>
      </w:pPr>
      <w:r>
        <w:t xml:space="preserve">Full Text: </w:t>
      </w:r>
      <w:r w:rsidRPr="004626B9">
        <w:t xml:space="preserve">2014\Coc Dat Sys Rev2014, </w:t>
      </w:r>
      <w:r w:rsidRPr="00F231DE">
        <w:t>CD009317</w:t>
      </w:r>
      <w:r w:rsidRPr="004626B9">
        <w:t>.pdf</w:t>
      </w:r>
    </w:p>
    <w:p w:rsidR="00314BD8" w:rsidRDefault="00314BD8" w:rsidP="00314BD8">
      <w:pPr>
        <w:pStyle w:val="a3"/>
        <w:rPr>
          <w:kern w:val="0"/>
        </w:rPr>
      </w:pPr>
      <w:r>
        <w:rPr>
          <w:kern w:val="0"/>
        </w:rPr>
        <w:t xml:space="preserve">Abstract: Background Torture is widespread, with potentially broad and long-lasting impact across physical, psychological, social and other areas of life. Its complex and diverse effects interact with ethnicity, gender, and refugee experience. Health and </w:t>
      </w:r>
      <w:r>
        <w:rPr>
          <w:kern w:val="0"/>
        </w:rPr>
        <w:lastRenderedPageBreak/>
        <w:t xml:space="preserve">welfare agencies offer varied rehabilitation services, from conventional mental health treatment to eclectic or needs-based interventions. This review is needed because relatively little outcome research has been done in this field, and no previous systematic review has been conducted. Resources are scarce, and the challenges of providing services can be considerable. Objectives To assess beneficial and adverse effects of psychological, social and welfare interventions for torture survivors, and to compare these effects with those reported by active and inactive controls. Search methods Randomised controlled trials (RCTs) were identified through a search of PsycINFO, MEDLINE, EMBASE, Web of Science, the Cumulative Index to Nursing and Allied Health Literature (CINAHL), the Cochrane Central Register of Controlled Trials (CENTRAL) and the Cochrane Depression, Anxiety and Neurosis Specialised Register (CCDANCTR), the Latin American and Caribbean Health Science Information Database (LILACS), the Open System for Information on Grey Literature in Europe (OpenSIGLE), the World Health Organization International Clinical Trials Registry Platform (WHO ICTRP) and Published International Literature On Traumatic Stress (PILOTS) all years to 11 April 2013; searches of Cochrane resources, international trial registries and the main biomedical databases were updated on 20 June 2014. We also searched the Online Library of Dignity (Danish Institute against Torture), reference lists of reviews and included studies and the most frequently cited journals, up to April 2013 but not repeated for 2014. Investigators were contacted to provide updates or details as necessary. Selection criteria Full publications of RCTs or quasi-RCTs of psychological, social or welfare interventions for survivors of torture against any active or inactive comparison condition. Data collection and analysis We included allmajor sources of grey literature in our search and used standard methodological procedures as expected by TheCochrane Collaboration for collecting data, evaluating risk of bias and using GRADE (Grades of Recommendation, Assessment, Development and Evaluation) methods to assess the quality of evidence. Main results Nine RCTs were included in this review. All were of psychological interventions; none provided social or welfare interventions. The nine trials provided data for 507 adults; none involved children or adolescents. Eight of the nine studies described individual treatment, and one discussed group treatment. Six trials were conducted in Europe, and three in different African countries. Most people were refugees in their thirties and forties; most met the criteria for post-traumatic stress disorder (PTSD) at the outset. Four trials used narrative exposure therapy (NET), one cognitive-behavioural therapy (CBT) and the other four used mixed methods for trauma symptoms, one of which included reconciliation methods. Five interventions were compared with active controls, such as psychoeducation; four used treatment as usual or waiting list/no treatment; we analysed all control conditions together. Duration of therapy varied from one hour to </w:t>
      </w:r>
      <w:r>
        <w:rPr>
          <w:kern w:val="0"/>
        </w:rPr>
        <w:lastRenderedPageBreak/>
        <w:t>longer than 20 hours with a median of around 12 to 15 hours. All trials reported effects on distress and on PTSD, and two reported on quality of life. Five studies followed up participants for at least six months. No immediate benefits of psychological therapy were noted in comparison with controls in terms of our primary outcome of distress (usually depression), nor for PTSD symptoms, PTSD caseness, or quality of life. At six-month follow-up, three NET and one CBT study (86 participants) showed moderate effect sizes for intervention over control in reduction of distress (standardised mean difference (SMD) -0.63, 95% confidence interval (CI) -1.07 to -0.19) and of PTSD symptoms (SMD -0.52, 95% CI -0.97 to -0.07). However, the quality of evidence was very low, and risk of bias resulted from researcher/therapist allegiance to treatment methods, effects of uncertain asylum status of some people and real-time non-standardised translation of assessment measures. No measures of adverse events were described, nor of participation, social functioning, quantity of social or family relationships, proxy measures by third parties or satisfaction with treatment. Too few studies were identified for review authors to attempt sensitivity analyses. Authors’ conclusions Very low-quality evidence suggests no differences between psychological therapies and controls in terms of immediate effects on posttraumatic symptoms, distress or quality of life; however, NET and CBT were found to confer moderate benefits in reducing distress and PTSD symptoms over the medium term (six months after treatment). Evidence was of very low quality, mainly because nonstandardised assessment methods using interpreters were applied, and sample sizes were very small. Most eligible trials also revealed medium to high risk of bias. Further, attention to the cultural appropriateness of interventions or to their psychometric qualities was inadequate, and assessment measures used were unsuitable. As such, these findings should be interpreted with caution. No data were available on whether symptom reduction enabled improvements in quality of life, participation in community life, or in social and family relationships in the medium term. Details of adverse events and treatment satisfaction were not available immediately after treatment nor in the medium term. Future research should aim to address these gaps in the evidence and should include larger sample sizes when possible. Problems of torture survivors need to be defined farmore broadly than by PTSDsymptoms, and recognition given to the contextual influences of being a torture survivor, including as an asylum seeker or refugee, on psychological and social health.</w:t>
      </w:r>
    </w:p>
    <w:p w:rsidR="00314BD8" w:rsidRDefault="00314BD8" w:rsidP="00314BD8">
      <w:pPr>
        <w:pStyle w:val="a3"/>
        <w:rPr>
          <w:kern w:val="0"/>
        </w:rPr>
      </w:pPr>
      <w:r>
        <w:rPr>
          <w:kern w:val="0"/>
        </w:rPr>
        <w:t xml:space="preserve">Keywords: Active, Adolescents, Adult Survivors, Adverse Effects, Adverse Events, African Countries, Analyses, Analysis, Anxiety, Assessment, Asylum-Seekers, Attention, Authors, Benefits, Bias, Biomedical, Cbt, Children, Clinical Trials, Clinical-Trial, Collaboration, Collection, Community, Comparison, Confidence, Control, Conventional, Criteria, Cultural, Data, Data Collection, Database, Databases, </w:t>
      </w:r>
      <w:r>
        <w:rPr>
          <w:kern w:val="0"/>
        </w:rPr>
        <w:lastRenderedPageBreak/>
        <w:t>Depression, Development, Distress, Effects, Embase, Ethnicity, Europe, Evaluation, Events, Evidence, Experience, Exposure, Family, Field, Follow-Up, From, Gender, Grade, Grey Literature, Group Treatment, Health, Impact, Information, International, Interval, Intervention, Interventions, Journals, Latin-American, Life, Literature, Measures, Medline, Mental Health, Mental-Health, Methods, Mixed Methods, Narrative Exposure Therapy, Nursing, Organized Violence, Outcome, Participation, Physical, Post Traumatic Stress Disorder, Post-Traumatic Stress, Post-Traumatic Stress Disorder, Posttraumatic Stress, Posttraumatic Stress Disorder, Posttraumatic-Stress-Disorder, Primary, Procedures, Psychiatric-Disorders, Psychoeducation, Psychological, Psycinfo, Ptsd, Publications, Quality, Quality Of, Quality Of Life, Randomised Controlled Trials, Randomized Controlled-Trial, Recommendation, Reduction, Reference, Reference Lists, Refugee, Registries, Rehabilitation, Research, Resources, Review, Reviews, Risk, Satisfaction, Science, Search, Sensitivity, Services, Small, Social, Sources, Standard, Stress, Symptoms, Systematic, Systematic Review, Term, Therapy, Translation, Trauma, Traumatized Refugees, Treatment, Trial, Web, Web Of Science, Welfare, Well-Being, Who, World Health Organization</w:t>
      </w:r>
    </w:p>
    <w:p w:rsidR="00EB0F33" w:rsidRDefault="00EB0F33" w:rsidP="00EB0F33">
      <w:pPr>
        <w:pStyle w:val="a3"/>
        <w:rPr>
          <w:kern w:val="0"/>
        </w:rPr>
      </w:pPr>
      <w:r>
        <w:rPr>
          <w:rFonts w:hint="eastAsia"/>
          <w:kern w:val="0"/>
        </w:rPr>
        <w:t xml:space="preserve">? </w:t>
      </w:r>
      <w:r>
        <w:rPr>
          <w:kern w:val="0"/>
        </w:rPr>
        <w:t xml:space="preserve">Adams, S.P., Sekhon, S.S. and Wright, J.M. (2014), Lipid-lowering efficacy of rosuvastatin.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091354">
        <w:rPr>
          <w:kern w:val="0"/>
        </w:rPr>
        <w:t>CD010254</w:t>
      </w:r>
      <w:r>
        <w:rPr>
          <w:kern w:val="0"/>
        </w:rPr>
        <w:t>.</w:t>
      </w:r>
    </w:p>
    <w:p w:rsidR="00EB0F33" w:rsidRDefault="00EB0F33" w:rsidP="00EB0F33">
      <w:pPr>
        <w:pStyle w:val="a3"/>
      </w:pPr>
      <w:r>
        <w:t xml:space="preserve">Full Text: </w:t>
      </w:r>
      <w:r w:rsidRPr="004626B9">
        <w:t xml:space="preserve">2014\Coc Dat Sys Rev2014, </w:t>
      </w:r>
      <w:r w:rsidRPr="00091354">
        <w:t>CD010254</w:t>
      </w:r>
      <w:r w:rsidRPr="004626B9">
        <w:t>.pdf</w:t>
      </w:r>
    </w:p>
    <w:p w:rsidR="00EB0F33" w:rsidRDefault="00EB0F33" w:rsidP="00EB0F33">
      <w:pPr>
        <w:pStyle w:val="a3"/>
        <w:rPr>
          <w:kern w:val="0"/>
        </w:rPr>
      </w:pPr>
      <w:r>
        <w:rPr>
          <w:kern w:val="0"/>
        </w:rPr>
        <w:t xml:space="preserve">Abstract: Background Rosuvastatin is one of the most potent statins and is currently widely prescribed. It is therefore important to know the dose-related magnitude of effect of rosuvastatin on blood lipids. Objectives Primary objective To quantify the effects of various doses of rosuvastatin on serum total cholesterol, low-density lipoprotein (LDL)-cholesterol, high-density lipoprotein (HDL)-cholesterol, non-HDL-cholesterol and triglycerides in participants with and without evidence of cardiovascular disease. Secondary objectives To quantify the variability of the effect of various doses of rosuvastatin. To quantify withdrawals due to adverse effects (WDAEs) in the randomized placebo-controlled trials. Search methods We searched the Cochrane Central Register of Controlled Trials (CENTRAL) Issue 10 of 12, 2014 in The Cochrane Library, MEDLINE (1946 to October week 5 2014), EMBASE (1980 to 2014 week 44), Web of Science Core Collection (1970 to 5 November 2014) and BIOSIS Citation Index (1969 to 31 October 2014). No language restrictions were applied. Selection criteria Randomized controlled and uncontrolled before-and-after trials evaluating the dose response of different fixed doses of rosuvastatin on blood lipids over a duration of three to 12 weeks. Data collection and analysis Two review authors independently assessed eligibility criteria for studies to be included and extracted data. WDAEs information was collected from the placebo-controlled trials. </w:t>
      </w:r>
      <w:r>
        <w:rPr>
          <w:kern w:val="0"/>
        </w:rPr>
        <w:lastRenderedPageBreak/>
        <w:t>Main results One-hundred and eight trials (18 placebo-controlled and 90 before-and-after) evaluated the dose-related efficacy of rosuvastatin in 19,596 participants. Rosuvastatin 10 to 40 mg/day caused LDL-cholesterol decreases of 46% to 55%, when all the trials were combined using the generic inverse variance method. The quality of evidence for these effects is high. Log dose-response data over doses of 1 to 80 mg, revealed strong linear dose-related effects on blood total cholesterol, LDL-cholesterol and non-HDL-cholesterol. When compared to atorvastatin, rosuvastatin was about three-fold more potent at reducing LDL-cholesterol. There was no dose-related effect of rosuvastatin on blood HDL-cholesterol, but overall, rosuvastatin increased HDL by 7%. There is a high risk of bias for the trials in this review, which would affect WDAEs, but unlikely to affect the lipid measurements. WDAEs were not statistically different between rosuvastatin and placebo in 10 of 18 of these short-term trials (risk ratio 0.84; 95% confidence interval 0.48 to 1.47). Authors’ conclusions The total blood total cholesterol, LDL-cholesterol and non-HDL-cholesterol-lowering effect of rosuvastatin was linearly dependent on dose. Rosuvastatin log dose-response data were linear over the commonly prescribed dose range. Based on an informal comparison with atorvastatin, this represents a three-fold greater potency. This review did not provide a good estimate of the incidence of harms associated with rosuvastatin because of the short duration of the trials and the lack of reporting of adverse effects in 44% of the placebo-controlled trials.</w:t>
      </w:r>
    </w:p>
    <w:p w:rsidR="00EB0F33" w:rsidRDefault="00EB0F33" w:rsidP="00EB0F33">
      <w:pPr>
        <w:pStyle w:val="a3"/>
        <w:rPr>
          <w:kern w:val="0"/>
        </w:rPr>
      </w:pPr>
      <w:r>
        <w:rPr>
          <w:kern w:val="0"/>
        </w:rPr>
        <w:t>Keywords: Active Antiretroviral Therapy, Adverse Effects, Affect, Analysis, Authors, Bias, Blood, C-Reactive Protein, Cardiovascular, Cardiovascular Disease, Cholesterol, Chronic Heart-Failure, Citation, Collection, Comparison, Confidence, Coronary-Artery-Disease, Cost-Effectiveness Analysis, Criteria, Data, Data Collection, Density-Lipoprotein-Cholesterol, Disease, Duration, Effects, Efficacy, Embase, Evidence, From, HDL, High-Risk Patients, HIV-Infected Patients, Incidence, Information, Interval, Intima-Media Thickness, Language, Lipid, Lipids, Magnitude, Medline, Methods, Placebo, Quality, Quality Of, Randomized, Reporting, Response, Restrictions, Review, Risk, Science, Search, Serum, Stenosis Progression Observation, Triglycerides, Variability, Web, Web Of Science</w:t>
      </w:r>
    </w:p>
    <w:p w:rsidR="00EB0F33" w:rsidRDefault="00EB0F33" w:rsidP="00EB0F33">
      <w:pPr>
        <w:pStyle w:val="a3"/>
        <w:rPr>
          <w:kern w:val="0"/>
        </w:rPr>
      </w:pPr>
      <w:r>
        <w:rPr>
          <w:rFonts w:hint="eastAsia"/>
          <w:kern w:val="0"/>
        </w:rPr>
        <w:t xml:space="preserve">? </w:t>
      </w:r>
      <w:r>
        <w:rPr>
          <w:kern w:val="0"/>
        </w:rPr>
        <w:t xml:space="preserve">Grillo-Ardila, C.F., Angel-Muller, E., Salazar-Diaz, L.C., Gaitan, H.G., Ruiz-Parra, A.I. and Lethaby, A. (2014), Imiquimod for anogenital warts in non-immunocompromised adults.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CD010389</w:t>
      </w:r>
      <w:r>
        <w:rPr>
          <w:kern w:val="0"/>
        </w:rPr>
        <w:t>.</w:t>
      </w:r>
    </w:p>
    <w:p w:rsidR="00EB0F33" w:rsidRDefault="00EB0F33" w:rsidP="00EB0F33">
      <w:pPr>
        <w:pStyle w:val="a3"/>
      </w:pPr>
      <w:r>
        <w:t xml:space="preserve">Full Text: </w:t>
      </w:r>
      <w:r w:rsidRPr="004626B9">
        <w:t xml:space="preserve">2014\Coc Dat Sys Rev2014, </w:t>
      </w:r>
      <w:r w:rsidRPr="00F231DE">
        <w:t>CD010389</w:t>
      </w:r>
      <w:r w:rsidRPr="004626B9">
        <w:t>.pdf</w:t>
      </w:r>
    </w:p>
    <w:p w:rsidR="00EB0F33" w:rsidRDefault="00EB0F33" w:rsidP="00EB0F33">
      <w:pPr>
        <w:pStyle w:val="a3"/>
        <w:rPr>
          <w:kern w:val="0"/>
        </w:rPr>
      </w:pPr>
      <w:r>
        <w:rPr>
          <w:kern w:val="0"/>
        </w:rPr>
        <w:t xml:space="preserve">Abstract: Background 30% of people with anogenital warts (AGW) have spontaneous regression of lesions but there is no way to determine whether a specific lesion will remain. There are a wide range of options available for treating people with AGW </w:t>
      </w:r>
      <w:r>
        <w:rPr>
          <w:kern w:val="0"/>
        </w:rPr>
        <w:lastRenderedPageBreak/>
        <w:t xml:space="preserve">and selection is based on clinician’s experience, patient preferences and adverse effects. The imiquimod could offer the advantages of patient-applied therapies without incurring the limitations of provider-administered treatments. Objectives To assess the effectiveness and safety of imiquimod for the treatment of AGW in non-immunocompromised adults. Search methods We searched the Cochrane Sexually Transmitted Infections Group Specialized Register (15 April 2014), CENTRAL (1991 to 15 April 2014), MEDLINE (1946 to 15 April 2014), EMBASE (1947 to 15 April 2014), LILACS (1982 to 15 April 2014), World Health Organization International Clinical Trials Registry (ICTRP) (15 April 2014), ClinicalTrials.gov (15 April 2014), Web of Science (2001 to 15 April 2014) and OpenGrey (15 April 2014). We also handsearched conference proceedings, contacted trial authors and reviewed the reference lists of retrieved studies. Selection criteria Randomized controlled trials (RCTs) comparing the use of imiquimod with placebo, any other patient-applied or any other provider-administered treatment (excluding interferon and 5-fluorouracil which are assessed in other Cochrane Reviews) for the treatment of AGW in non-immunocompromised adults. Data collection and analysis Three review authors independently assessed trials for inclusion, extracted data and assessed risk of bias. We resolved any disagreements through consensus. The quality of the evidence was assessed using the GRADE approach. Main results Ten RCTs (1734 participants) met our inclusion criteria of which six were funded by industry. We judged the risk of bias of the included trials as high. Six trials (1294 participants) compared the use of imiquimod versus placebo. There was very low quality evidence that imiquimod was superior to placebo in achieving complete and partial regression (RR 4.03, 95% CI 2.03 to 7.99; RR 2.56, 95% CI 2.05 to 3.20, respectively). When compared with placebo, the effects of imiquimod on recurrence (RR 2.76, 95% CI 0.70 to 10.91), appearance of new warts (RR 0.76, 95% CI 0.58 to 1.00) and frequency of systemic adverse reactions (RR 0.91, 95% CI 0.63 to 1.32) were imprecise. We downgraded the quality of evidence to low or very low. There was low quality evidence that imiquimod led to more local adverse reactions (RR 1.73, 95% CI 1.18 to 2.53) and pain (RR 11.84, 95% CI 3.36 to 41.63). Two trials (105 participants) compared the use of imiquimod versus any other patient-applied treatment (podophyllotoxin and podophyllin). The estimated effects of imiquimod on complete regression (RR 1.09, 95% CI 0.80 to 1.48), partial regression (RR 0.77, 95% CI 0.40 to 1.47), recurrence (RR 0.49, 95% CI 0.21 to 1.11) or the presence of local adverse reactions (RR 1.24, 95% CI 1.00 to 1.54) were imprecise (very low quality evidence). There was low quality evidence that systemic adverse reactions were less frequent with imiquimod (RR 0.30, 95% CI 0.09 to 0.98). Finally, two trials (335 participants) compared imiquimod with any other provider-administered treatment (ablative methods and cryotherapy). There was very low quality of </w:t>
      </w:r>
      <w:r>
        <w:rPr>
          <w:kern w:val="0"/>
        </w:rPr>
        <w:lastRenderedPageBreak/>
        <w:t>evidence that imiquimod did not have a lower frequency of complete regression (RR 0.84, 95% CI 0.56 to 1.28). There was very low quality evidence that imiquimod led to a lower rate of recurrence during six-month follow-up (RR 0.24, 95% CI 0.10 to 0.56) but this did not translate in to a lower recurrence from six to 12 months (RR 0.71, 95% CI 0.40 to 1.25; very low quality evidence). There was very low quality evidence that imiquimod was associated with less pain (RR 0.30, 95% CI 0.17 to 0.54) and fewer local reactions (RR 0.55, 95% CI 0.40 to 0.74). Authors’ conclusions The benefits and harms of imiquimod compared with placebo should be regarded with caution due to the risk of bias, imprecision and inconsistency for many of the outcomes we assessed in this Cochrane Review. The evidence for many of the outcomes that show imiquimod and patient-applied treatment (podophyllotoxin or podophyllin) confer similar benefits but fewer systematic reactions with the Imiquimod, is of low or very low quality. The quality of evidence for the outcomes assessing imiquimod and other provider-administered treatment were of very low quality.</w:t>
      </w:r>
    </w:p>
    <w:p w:rsidR="00EB0F33" w:rsidRDefault="00EB0F33" w:rsidP="00EB0F33">
      <w:pPr>
        <w:pStyle w:val="a3"/>
        <w:rPr>
          <w:kern w:val="0"/>
        </w:rPr>
      </w:pPr>
      <w:r>
        <w:rPr>
          <w:kern w:val="0"/>
        </w:rPr>
        <w:t>Keywords: 5-Fluorouracil, 5-Percent Cream, Adverse Effects, Analysis, Anogenital Warts, Applied 3 Times, Approach, Assessing, Authors, Benefits, Bias, Clinical Trials, Collection, Complete, Condylomata Acuminata, Conference Proceedings, Consensus, Controlled-Trials, Cost-Effectiveness Analysis, Criteria, Data, Data Collection, Effectiveness, Effects, Embase, Evidence, Experience, External Genital Warts, Follow-Up, From, Grade, Health, Immune-Response Modifier, Interferon, International, Local, Medline, Methods, Options, Outcomes, Pain, Papillomavirus Infection, Patient Preferences, Placebo, Quality, Quality Of, Randomized, Randomized Controlled Trials, Recurrence, Reference, Reference Lists, Regression, Review, Risk, Safety, Science, Search, Selection, Sexually-Transmitted-Diseases, Spontaneous, Systematic, Topical Imiquimod, Treatment, Trial, Warts, Web, Web Of Science, World Health Organization</w:t>
      </w:r>
    </w:p>
    <w:p w:rsidR="00EB0F33" w:rsidRDefault="00EB0F33" w:rsidP="00EB0F33">
      <w:pPr>
        <w:pStyle w:val="a3"/>
        <w:rPr>
          <w:kern w:val="0"/>
        </w:rPr>
      </w:pPr>
      <w:r>
        <w:rPr>
          <w:rFonts w:hint="eastAsia"/>
          <w:kern w:val="0"/>
        </w:rPr>
        <w:t xml:space="preserve">? </w:t>
      </w:r>
      <w:r>
        <w:rPr>
          <w:kern w:val="0"/>
        </w:rPr>
        <w:t xml:space="preserve">Grande, A.J., Silva, V., Riera, R., Medeiros, A., Vitoriano, S.G.P., Peccin, M.S. and Maddocks, M. (2014), Exercise for cancer cachexia in adults.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091354">
        <w:rPr>
          <w:kern w:val="0"/>
        </w:rPr>
        <w:t>CD010804</w:t>
      </w:r>
      <w:r>
        <w:rPr>
          <w:kern w:val="0"/>
        </w:rPr>
        <w:t>.</w:t>
      </w:r>
    </w:p>
    <w:p w:rsidR="00EB0F33" w:rsidRDefault="00EB0F33" w:rsidP="00EB0F33">
      <w:pPr>
        <w:pStyle w:val="a3"/>
      </w:pPr>
      <w:r>
        <w:t xml:space="preserve">Full Text: </w:t>
      </w:r>
      <w:r w:rsidRPr="004626B9">
        <w:t xml:space="preserve">2014\Coc Dat Sys Rev2014, </w:t>
      </w:r>
      <w:r w:rsidRPr="00091354">
        <w:t>CD010804</w:t>
      </w:r>
      <w:r w:rsidRPr="004626B9">
        <w:t>.pdf</w:t>
      </w:r>
    </w:p>
    <w:p w:rsidR="00EB0F33" w:rsidRDefault="00EB0F33" w:rsidP="00EB0F33">
      <w:pPr>
        <w:pStyle w:val="a3"/>
        <w:rPr>
          <w:kern w:val="0"/>
        </w:rPr>
      </w:pPr>
      <w:r>
        <w:rPr>
          <w:kern w:val="0"/>
        </w:rPr>
        <w:t xml:space="preserve">Abstract: Background Cancer cachexia is amulti-factorial syndrome characterised by an ongoing loss of skeletal muscle mass, with or without a loss of fat mass, which leads to progressive functional impairment. Physical exercise may attenuate the effects of cancer cachexia via several mechanisms, including the modulation of muscle metabolism, insulin sensitivity and levels of inflammation. Objectives The primary objective was to determine the effects of exercise, compared to usual care or no treatment, on lean body mass, the main biomarker of cachexia, in adults with cancer. Secondary objectives, subject to the availability of data, were to examine the </w:t>
      </w:r>
      <w:r>
        <w:rPr>
          <w:kern w:val="0"/>
        </w:rPr>
        <w:lastRenderedPageBreak/>
        <w:t>acceptability and safety of exercise in this setting and to compare effects according to the characteristics of the exercise intervention or patient population. Search methods We searched the databases CENTRAL (Issue 6, 2014), MEDLINE (1946 to June 2014), EMBASE (1974 to June 2014), DARE and HTA (Issue 6, 2014), ISI Web of Science (1900 to June 2014), LILACS (1985 to 28 June 2014), PEDro (inception to 28 June 2014), SciVerse SCOPUS (inception to 28 June 2014), Biosis Previews PreMEDLINE (1969 to June 2014) and Open Grey (inception to 28 June 2014). We also searched for ongoing studies, checked reference lists and contacted experts to seek potentially relevant research. Selection criteria We included randomised controlled trials (RCTs) in adults meeting the clinical criteria for cancer cachexia comparing a programme of exercise as a sole or adjunct intervention to no treatment or an active control. We imposed no language restriction. Data collection and analysis Two review authors independently assessed titles and abstracts of articles for relevance and extracted data on study design, participants, interventions and outcomes from potentially relevant articles. Main results We screened 3154 individual references, of which we removed 3138 after title screening and read 16 in full. We found no trials that met the inclusion criteria. Authors’ conclusions There is insufficient evidence to determine the safety and effectiveness of exercise for patients with cancer cachexia. Randomised controlled trials (i.e., preferably parallel-group or cluster-randomised trials) are required to test the effectiveness of exercise in this group. There are ongoing studies on the topic, so we will update this review to incorporate the findings.</w:t>
      </w:r>
    </w:p>
    <w:p w:rsidR="00EB0F33" w:rsidRDefault="00EB0F33" w:rsidP="00EB0F33">
      <w:pPr>
        <w:pStyle w:val="a3"/>
        <w:rPr>
          <w:kern w:val="0"/>
        </w:rPr>
      </w:pPr>
      <w:r>
        <w:rPr>
          <w:kern w:val="0"/>
        </w:rPr>
        <w:t>Keywords: Abstracts, Acceptability, Active, Analysis, Articles, Authors, Availability, Biomarker, Biosis, Bone-Mineral Density, Cancer, Care, Cell Lung-Cancer, Characteristics, Chemotherapy Toxicity, Clinical, Clinical Criteria, Clinical-Implications, Collection, Control, Criteria, Data, Data Collection, Databases, Design, Effectiveness, Effects, Embase, Evidence, Exercise, Experts, Fat, From, Functional Impairment, HTA, Impairment, Inflammation, Insulin, Insulin Sensitivity, Intervention, Interventions, ISI, ISI Web Of Science, Language, Mechanisms, Medline, Metabolism, Methods, Multimodal Therapy, Muscle, Muscle Mass, Outcomes, Patients, Physical-Exercise, Population, Primary, Quality-Of-Life, Randomised, Randomised Controlled Trials, Randomized Controlled-Trial, Reference, Reference Lists, References, Relevance, Research, Resistance Exercise, Review, Safety, Science, Scopus, Screening, Search, Sensitivity, Study Design, Syndrome, Topic, Treatment, Web, Web Of Science</w:t>
      </w:r>
    </w:p>
    <w:p w:rsidR="009E1CAC" w:rsidRDefault="009E1CAC" w:rsidP="009E1CAC">
      <w:pPr>
        <w:pStyle w:val="a3"/>
        <w:rPr>
          <w:kern w:val="0"/>
        </w:rPr>
      </w:pPr>
      <w:r>
        <w:rPr>
          <w:rFonts w:hint="eastAsia"/>
          <w:kern w:val="0"/>
        </w:rPr>
        <w:t xml:space="preserve">? </w:t>
      </w:r>
      <w:r>
        <w:rPr>
          <w:kern w:val="0"/>
        </w:rPr>
        <w:t xml:space="preserve">van Dessel, N., den Boeft, M., van der Wouden, J.C., Kleinstauber, M., Leone, S.S., Terluin, B., Numans, M.E., van der Horst, H.E. and van Marwijk, H. (2014), Non-pharmacological interventions for somatoform disorders and medically unexplained physical symptoms (MUPS) in adults. </w:t>
      </w:r>
      <w:r>
        <w:rPr>
          <w:i/>
          <w:iCs/>
          <w:kern w:val="0"/>
        </w:rPr>
        <w:t xml:space="preserve">Cochrane Database of Systematic </w:t>
      </w:r>
      <w:r>
        <w:rPr>
          <w:i/>
          <w:iCs/>
          <w:kern w:val="0"/>
        </w:rPr>
        <w:lastRenderedPageBreak/>
        <w:t>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CD011142</w:t>
      </w:r>
      <w:r>
        <w:rPr>
          <w:kern w:val="0"/>
        </w:rPr>
        <w:t>.</w:t>
      </w:r>
    </w:p>
    <w:p w:rsidR="009E1CAC" w:rsidRDefault="009E1CAC" w:rsidP="009E1CAC">
      <w:pPr>
        <w:pStyle w:val="a3"/>
      </w:pPr>
      <w:r>
        <w:t xml:space="preserve">Full Text: </w:t>
      </w:r>
      <w:r w:rsidRPr="004626B9">
        <w:t xml:space="preserve">2014\Coc Dat Sys Rev2014, </w:t>
      </w:r>
      <w:r w:rsidRPr="00F231DE">
        <w:rPr>
          <w:kern w:val="0"/>
        </w:rPr>
        <w:t>CD011142</w:t>
      </w:r>
      <w:r w:rsidRPr="004626B9">
        <w:t>.pdf</w:t>
      </w:r>
    </w:p>
    <w:p w:rsidR="009E1CAC" w:rsidRDefault="009E1CAC" w:rsidP="009E1CAC">
      <w:pPr>
        <w:pStyle w:val="a3"/>
        <w:rPr>
          <w:kern w:val="0"/>
        </w:rPr>
      </w:pPr>
      <w:r>
        <w:rPr>
          <w:kern w:val="0"/>
        </w:rPr>
        <w:t xml:space="preserve">Abstract: Background Medically unexplained physical symptoms (MUPS) are physical symptoms for which no adequate medical explanation can be found after proper examination. The presence of MUPS is the key feature of conditions known as ‘somatoformdisorders’. Various psychological and physical therapies have been developed to treat somatoform disorders and MUPS. Although there are several reviews on non-pharmacological interventions for somatoform disorders and MUPS, a complete overview of the whole spectrum is missing. Objectives To assess the effects of non-pharmacological interventions for somatoform disorders (specifically somatisation disorder, undifferentiated somatoform disorder, somatoform disorders unspecified, somatoform autonomic dysfunction, pain disorder, and alternative somatoform diagnoses proposed in the literature) and MUPS in adults, in comparison with treatment as usual, waiting list controls, attention placebo, psychological placebo, enhanced or structured care, and other psychological or physical therapies. Search methods We searched the Cochrane Depression, Anxiety and Neurosis Review Group’s Specialised Register (CCDANCTR) to November 2013. This register includes relevant randomised controlled trials (RCTs) from The Cochrane Library, EMBASE, MEDLINE, and PsycINFO. We ran an additional search on the Cochrane Central Register of Controlled Trials and a cited reference search on the Web of Science. We also searched grey literature, conference proceedings, international trial registers, and relevant systematic reviews. Selection criteria We included RCTs and cluster randomised controlled trials which involved adults primarily diagnosed with a somatoform disorder or an alternative diagnostic concept of MUPS, who were assigned to a non-pharmacological intervention compared with usual care, waiting list controls, attention or psychological placebo, enhanced care, or another psychological or physical therapy intervention, alone or in combination. Data collection and analysis Four review authors, working in pairs, conducted data extraction and assessment of risk of bias. We resolved disagreements through discussion or consultation with another review author. We pooled data from studies addressing the same comparison using standardised mean differences (SMD) or risk ratios (RR) and a random-effects model. Primary outcomes were severity of somatic symptoms and acceptability of treatment. Main results We included 21 studies with 2658 randomised participants. All studies assessed the effectiveness of some form of psychological therapy. We found no studies that included physical therapy. Fourteen studies evaluated forms of cognitive behavioural therapy (CBT); the remainder evaluated behaviour therapies, third-wave CBT (mindfulness), psychodynamic therapies, and integrative therapy. Fifteen included studies compared the studied psychological therapy with usual care or a waiting list. Five studies compared the </w:t>
      </w:r>
      <w:r>
        <w:rPr>
          <w:kern w:val="0"/>
        </w:rPr>
        <w:lastRenderedPageBreak/>
        <w:t xml:space="preserve">intervention to enhanced or structured care. Only one study compared cognitive behavioural therapy with behaviour therapy. Across the 21 studies, the mean number of sessions ranged from one to 13, over a period of one day to nine months. Duration of follow-up varied between two weeks and 24 months. Participants were recruited from various healthcare settings and the open population. Duration of symptoms, reported by nine studies, was at least several years, suggesting most participants had chronic symptoms at baseline. Due to the nature of the intervention, lack of blinding of participants, therapists, and outcome assessors resulted in a high risk of bias on these items for most studies. Eleven studies (52% of studies) reported a loss to follow-up of more than 20%. For other items, most studies were at low risk of bias. Adverse events were seldom reported. For all studies comparing some form of psychological therapy with usual care or a waiting list that could be included in the meta-analysis, the psychological therapy resulted in less severe symptoms at end of treatment (SMD-0.34; 95% confidence interval (CI) -0.53 to -0.16; 10 studies, 1081 analysed participants). This effect was considered small to medium; heterogeneity was moderate and overall quality of the evidence was low. Compared with usual care, psychological therapies resulted in a 7% higher proportion of drop-outs during treatment (RR acceptability 0.93; 95% CI 0.88 to 0.99; 14 studies, 1644 participants; moderate-quality evidence). Removing one outlier study reduced the difference to 5%. Results for the subgroup of studies comparing CBT with usual care were similar to those in the whole group. Five studies (624 analysed participants) assessed symptom severity comparing some psychological therapy with enhanced care, and found no clear evidence of a difference at end of treatment (pooled SMD -0.19; 95% CI -0.43 to 0.04; considerable heterogeneity; low-quality evidence). Five studies (679 participants) showed that psychological therapies were somewhat less acceptable in terms of drop-outs than enhanced care (RR 0.93; 95% CI 0.87 to 1.00; moderate-quality evidence). Authors’ conclusions When all psychological therapies included this review were combined they were superior to usual care or waiting list in terms of reduction of symptom severity, but effect sizes were small. As a single treatment, only CBT has been adequately studied to allow tentative conclusions for practice to be drawn. Compared with usual care or waiting list conditions, CBT reduced somatic symptoms, with a small effect and substantial differences in effects between CBT studies. The effects were durable within and after one year of follow-up. Compared with enhanced or structured care, psychological therapies generally were not more effective for most of the outcomes. Compared with enhanced care, CBT was not more effective. The overall quality of evidence contributing to this review was rated low to moderate. The intervention groups reported no major harms. However, as most studies did not describe adverse events as an explicit outcome measure, this result has to be interpreted with caution. An </w:t>
      </w:r>
      <w:r>
        <w:rPr>
          <w:kern w:val="0"/>
        </w:rPr>
        <w:lastRenderedPageBreak/>
        <w:t>important issue was that all studies in this review included participants who were willing to receive psychological treatment. In daily practice, there is also a substantial proportion of participants not willing to accept psychological treatments for somatoform disorders or MUPS. It is unclear how large this group is and how this influences the relevance of CBT in clinical practice. The number of studies investigating various treatment modalities (other than CBT) needs to be increased; this is especially relevant for studies concerning physical therapies. Future studies should include participants from a variety of age groups; they should also make efforts to blind outcome assessors and to conduct follow-up assessments until at least one year after the end of treatment.</w:t>
      </w:r>
    </w:p>
    <w:p w:rsidR="009E1CAC" w:rsidRDefault="009E1CAC" w:rsidP="009E1CAC">
      <w:pPr>
        <w:pStyle w:val="a3"/>
        <w:rPr>
          <w:kern w:val="0"/>
        </w:rPr>
      </w:pPr>
      <w:r>
        <w:rPr>
          <w:kern w:val="0"/>
        </w:rPr>
        <w:t>Keywords: Abridged Somatization Disorder, Acceptability, Adverse Events, Age, Alternative, Analysis, Anxiety, Assessment, Assessments, Attention, Authors, Behaviour, Bias, Care, Cbt, Chronic, Clinical, Clinical Practice, Clinical-Trial, Cluster, Cognitive, Cognitive-Behavioral Therapy, Collection, Comparison, Complete, Concept, Conference Proceedings, Confidence, Consultation, Cost-Effectiveness, Criteria, Data, Data Collection, Depression, Diagnostic, Effectiveness, Effects, Embase, Events, Evidence, Examination, Explanation, Extraction, Feature, Follow-Up, Forms, From, Functional Somatic Syndromes, General-Practice, Groups, Health-Care-Utilization, Heterogeneity, Integrative, Integrative Therapy, International, Interval, Intervention, Interventions, Literature, Loss To Follow-Up, Low Risk, Low-Back-Pain, Measure, Medical, Medline, Meta Analysis, Meta-Analysis, Metaanalysis, Methods, Mindfulness, Modalities, Model, Needs, Nonpharmacological Intervention, Open, Outcome, Outcome Measure, Outcomes, Outlier, Outpatient Group-Therapy, Overview, Pain, Physical, Physical Therapy, Placebo, Population, Practice, Psychological, Psychological Treatment, Psycinfo, Quality, Quality Of, Random Effects Model, Randomised, Randomised Controlled Trials, Randomized Controlled-Trial, Reduction, Reference, Relevance, Results, Review, Reviews, Risk, Science, Search, Small, Symptoms, Systematic, Systematic Reviews, Therapy, Treatment, Trial, Web, Web Of Science</w:t>
      </w:r>
    </w:p>
    <w:p w:rsidR="00314BD8" w:rsidRDefault="00314BD8" w:rsidP="00314BD8">
      <w:pPr>
        <w:pStyle w:val="a3"/>
        <w:rPr>
          <w:kern w:val="0"/>
        </w:rPr>
      </w:pPr>
      <w:r>
        <w:rPr>
          <w:rFonts w:hint="eastAsia"/>
          <w:kern w:val="0"/>
        </w:rPr>
        <w:t xml:space="preserve">? </w:t>
      </w:r>
      <w:r>
        <w:rPr>
          <w:kern w:val="0"/>
        </w:rPr>
        <w:t xml:space="preserve">Lopez, L.M., Grey, T.W., Chen, M. and Hiller, J.E. (2014), Strategies for improving postpartum contraceptive use: Evidence from non-randomized studies.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CD011298</w:t>
      </w:r>
      <w:r>
        <w:rPr>
          <w:kern w:val="0"/>
        </w:rPr>
        <w:t>.</w:t>
      </w:r>
    </w:p>
    <w:p w:rsidR="00314BD8" w:rsidRDefault="00314BD8" w:rsidP="00314BD8">
      <w:pPr>
        <w:pStyle w:val="a3"/>
      </w:pPr>
      <w:r>
        <w:t xml:space="preserve">Full Text: </w:t>
      </w:r>
      <w:r w:rsidRPr="004626B9">
        <w:t xml:space="preserve">2014\Coc Dat Sys Rev2014, </w:t>
      </w:r>
      <w:r w:rsidRPr="00F231DE">
        <w:t>CD011298</w:t>
      </w:r>
      <w:r w:rsidRPr="004626B9">
        <w:t>.pdf</w:t>
      </w:r>
    </w:p>
    <w:p w:rsidR="00314BD8" w:rsidRDefault="00314BD8" w:rsidP="00314BD8">
      <w:pPr>
        <w:pStyle w:val="a3"/>
        <w:rPr>
          <w:kern w:val="0"/>
        </w:rPr>
      </w:pPr>
      <w:r>
        <w:rPr>
          <w:kern w:val="0"/>
        </w:rPr>
        <w:t xml:space="preserve">Abstract: Background Nearly two-thirds of women in their first postpartum year have an unmet need for family planning. Adolescents often have repeat pregnancies within a year of giving birth. Women may receive counseling on family planning both antepartum and postpartum. Decisions about contraceptive use made right after counseling may differ considerably from actual postpartum use. In earlier work, we found limited evidence of effectiveness from randomized trials on postpartum </w:t>
      </w:r>
      <w:r>
        <w:rPr>
          <w:kern w:val="0"/>
        </w:rPr>
        <w:lastRenderedPageBreak/>
        <w:t xml:space="preserve">contraceptive counseling. For educational interventions, non-randomized studies may be conducted more often than randomized trials. Objectives We reviewed non-randomized studies of educational strategies to improve postpartum contraceptive use. Our intent was to examine associations between specific interventions and postpartum contraceptive use or subsequent pregnancy. Search methods We searched for eligible non-randomized studies until 3 November 2014. Sources included CENTRAL, PubMed, POPLINE, and Web of Science. We also sought current trials via ClinicalTrials. gov and ICTRP. For additional citations, we examined reference lists of relevant reports and reviews. Selection criteria The studies had to be comparative, i. e., have intervention and comparison groups. The educational component could be counseling or another behavioral strategy to improve contraceptive use among postpartum women. The intervention had to include contact within six weeks postpartum. The comparison condition could be another behavioral strategy to improve contraceptive use, usual care, other health education, or no intervention. Our primary outcomes were postpartum contraceptive use and subsequent pregnancy. Data collection and analysis Two authors evaluated abstracts for eligibility and extracted data from included studies. We computed the Mantel-Haenszel odds ratio (OR) for dichotomous outcomes and the mean difference (MD) for continuous measures, both with 95% Confidence Intervals (CI). Where studies used adjusted analyses for continuous outcomes, we presented the results as reported by the investigators. Due to differences in interventions and outcome measures, we did not conduct meta-analysis. To assess the evidence quality, we used the Newcastle-Ottawa Quality Assessment Scale. Main results Six studies met our inclusion criteria and included a total of 5143 women. Of three studies with self-reported pregnancy data, two showed pregnancy to be less likely in the experimental group than in the comparison group (OR 0.48, 95% CI 0.27 to 0.87) (OR 0.60, 95% CI 0.41 to 0.87). The interventions included a clinic-based counseling program and a community-based communication project. All studies showed some association of the intervention with contraceptive use. Two showed that treatment-group women were more likely to use a modern method than the control group: ORs were 1.77 (95% CI 1.08 to 2.89) and 3.08 (95% CI 2.36 to 4.02). In another study, treatment-group women were more likely than control-group women to use pills (OR 1.78, 95% CI 1.26 to 2.50) or an intrauterine device (IUD) (OR 3.72, 95% CI 1.27 to 10.86) but less likely to use and injectable method (OR 0.23, 95% CI 0.05 to 1.00). One study used a score for method effectiveness. The methods of the special-intervention group scored higher than those of the comparison group at three months (MD 13.26, 95% CI 3.16 to 23.36). A study emphasizing IUDs showed women in the intervention group were more likely to use an IUD (OR 1.79, 95% CI 1.20 to 2.69) and less likely to use no method (OR 0.48, 95% CI 0.31 to 0.75). In </w:t>
      </w:r>
      <w:r>
        <w:rPr>
          <w:kern w:val="0"/>
        </w:rPr>
        <w:lastRenderedPageBreak/>
        <w:t>another study, contraceptive use was more likely among women in a health service intervention compared to women in a community awareness program at four months (OR 1.79, 95% CI 1.40 to 2.30) or women receiving standard care at 10 to 12 months (OR 2.08, 95% CI 1.58 to 2.74). That study was the only one with a specific component on the lactational amenorrhea method (LAM) that had sufficient data on LAMuse. Women in the health service group were more likely than those in the community awareness group to use LAM (OR 41.36, 95% CI 10.11 to 169.20). Authors’ conclusions We considered the quality of evidence to be very low. The studies had limitations in design, analysis, or reporting. Three did not adjust for potential confounding and only two had sufficient information on intervention fidelity. Outcomes were self reported and definitions varied for contraceptive use. All studies had adequate follow-up periods but most had high losses, as often occurs in contraception studies.</w:t>
      </w:r>
    </w:p>
    <w:p w:rsidR="00314BD8" w:rsidRDefault="00314BD8" w:rsidP="00314BD8">
      <w:pPr>
        <w:pStyle w:val="a3"/>
        <w:rPr>
          <w:kern w:val="0"/>
        </w:rPr>
      </w:pPr>
      <w:r>
        <w:rPr>
          <w:kern w:val="0"/>
        </w:rPr>
        <w:t>Keywords: Abstracts, Adolescent Mothers, Adolescents, Africa, Analyses, Analysis, Antepartum, Assessment, Association, Authors, Awareness, Birth, Care, Citations, Collection, Communication, Community, Community Based, Comparison, Confounding, Contraception, Control, Criteria, Data, Data Collection, Design, Education, Effectiveness, Evidence, Experimental, Family, First, Follow-Up, From, Groups, Health, Health Education, Health-Education Program, Hiv, Information, Intervention, Interventions, Intrauterine, Intrauterine Device, Kenya, Losses, Measures, Meta Analysis, Meta-Analysis, Metaanalysis, Methods, Odds Ratio, Outcome, Outcome Measures, Outcomes, Planning, Postpartum, Potential, Pregnancy, Primary, Pubmed, Quality, Quality Of, Randomized, Reference, Reference Lists, Reporting, Reviews, Right, Scale, Science, Search, Self, Service, Services, Standard, Strategy, Swaziland, Web, Web Of Science, Women, Work</w:t>
      </w:r>
    </w:p>
    <w:p w:rsidR="009E1CAC" w:rsidRDefault="009E1CAC" w:rsidP="009E1CAC">
      <w:pPr>
        <w:pStyle w:val="a3"/>
        <w:rPr>
          <w:kern w:val="0"/>
        </w:rPr>
      </w:pPr>
      <w:r>
        <w:rPr>
          <w:rFonts w:hint="eastAsia"/>
          <w:kern w:val="0"/>
        </w:rPr>
        <w:t xml:space="preserve">? </w:t>
      </w:r>
      <w:r>
        <w:rPr>
          <w:kern w:val="0"/>
        </w:rPr>
        <w:t xml:space="preserve">Warner, L., Chudasama, J., Kelly, C.G., Loughran, S., McKenzie, K., Wight, R. and Dey, P. (2014), Radiotherapy versus open surgery versus endolaryngeal surgery (with or without laser) for early laryngeal squamous cell cancer.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CD002027</w:t>
      </w:r>
      <w:r>
        <w:rPr>
          <w:kern w:val="0"/>
        </w:rPr>
        <w:t>.</w:t>
      </w:r>
    </w:p>
    <w:p w:rsidR="009E1CAC" w:rsidRDefault="009E1CAC" w:rsidP="009E1CAC">
      <w:pPr>
        <w:pStyle w:val="a3"/>
      </w:pPr>
      <w:r>
        <w:t xml:space="preserve">Full Text: </w:t>
      </w:r>
      <w:r w:rsidRPr="004626B9">
        <w:t xml:space="preserve">2014\Coc Dat Sys Rev2014, </w:t>
      </w:r>
      <w:r w:rsidRPr="00F231DE">
        <w:rPr>
          <w:kern w:val="0"/>
        </w:rPr>
        <w:t>CD002027</w:t>
      </w:r>
      <w:r w:rsidRPr="004626B9">
        <w:t>.pdf</w:t>
      </w:r>
    </w:p>
    <w:p w:rsidR="009E1CAC" w:rsidRDefault="009E1CAC" w:rsidP="009E1CAC">
      <w:pPr>
        <w:pStyle w:val="a3"/>
        <w:rPr>
          <w:kern w:val="0"/>
        </w:rPr>
      </w:pPr>
      <w:r>
        <w:rPr>
          <w:kern w:val="0"/>
        </w:rPr>
        <w:t xml:space="preserve">Abstract: Background This is an update of a Cochrane review first published in The Cochrane Library in Issue 2, 2002 and previously updated in 2004, 2007 and 2010. Radiotherapy, open surgery and endolaryngeal excision (with or without laser) are all accepted modalities of treatment for early-stage glottic cancer. Case series suggest that they confer a similar survival advantage, however radiotherapy and endolaryngeal surgery offer the advantage of voice preservation. There has been an observed trend away from open surgery in recent years, however equipoise remains between radiotherapy and endolaryngeal surgery as both treatment modalities offer laryngeal preservation with similar survival rates. Opinions on optimal therapy vary </w:t>
      </w:r>
      <w:r>
        <w:rPr>
          <w:kern w:val="0"/>
        </w:rPr>
        <w:lastRenderedPageBreak/>
        <w:t>across disciplines and between countries. Objectives To compare the effectiveness of open surgery, endolaryngeal excision (with or without laser) and radiotherapy in the management of early glottic laryngeal cancer. Search methods We searched the Cochrane Ear, Nose and Throat Disorders Group Trials Register; the Cochrane Central Register of Controlled Trials (CENTRAL 2014, Issue 8); PubMed; EMBASE; CINAHL; Web of Science; Cambridge Scientific Abstracts; ICTRP and additional sources for published and unpublished trials. The date of the most recent search was 18 September 2014. Selection criteria Randomised controlled trials comparing open surgery, endolaryngeal resection (with or without laser) and radiotherapy. Data collection and analysis We used the standard methodological procedures expected by The Cochrane Collaboration. Main results We identified only one randomised controlled trial, which compared open surgery and radiotherapy in 234 patients with early glottic laryngeal cancer. The overall risk of bias in this study was high. For T1 tumours, the five-year survival was 91.7% following radiotherapy and 100% following surgery and for T2 tumours, 88.8% following radiotherapy and 97.4% following surgery. There were no significant differences in survival between the two groups. For T1 tumours, the five-year disease-free survival rate was 71.1% following radiotherapy and 100.0% following surgery, and for the T2 tumours, 60.1% following radiotherapy and 78.7% following surgery. Only the latter comparison was statistically significant (P value = 0.036), but statistical significance would not have been achieved with a two-sided test. Data were not available on side effects, quality of life, voice outcomes or cost. We identified no randomised controlled trials that included endolaryngeal surgery. A number of trials comparing endolaryngeal resection and radiotherapy have terminated early because of difficulty recruiting participants. One randomised controlled trial is still ongoing. Authors’ conclusions There is only one randomised controlled trial comparing open surgery and radiotherapy but its interpretation is limited because of concerns about the adequacy of treatment regimens and deficiencies in the reporting of the study design and analysis.</w:t>
      </w:r>
    </w:p>
    <w:p w:rsidR="009E1CAC" w:rsidRDefault="009E1CAC" w:rsidP="009E1CAC">
      <w:pPr>
        <w:pStyle w:val="a3"/>
        <w:rPr>
          <w:kern w:val="0"/>
        </w:rPr>
      </w:pPr>
      <w:r>
        <w:rPr>
          <w:kern w:val="0"/>
        </w:rPr>
        <w:t xml:space="preserve">Keywords: Adequacy, Analysis, Anterior Commissure Involvement, Bias, Cancer, Carcinoma,Squamous Cell [Pathology, Cell, Co2-Laser Microsurgery, Cochrane Collaboration, Collaboration, Collection, Comparison, Controlled Trial, Cost, Criteria, Data, Data Collection, Design, Disciplines, Early Glottic Carcinoma, Effectiveness, Effects, Embase, First, From, Glottis [Surgery], Groups, Humans, Laryngeal Cancer, Laryngeal Neoplasms [Pathology, Laser, Laser Therapy, Life, Local-Control, Management, Methods, Modalities, Open, Outcomes, P, Patients, Preservation, Procedures, Pubmed, Quality, Quality Of, Quality Of Life, Quality-Of-Life, Radiation-Therapy, Radiotherapy, Randomised, Randomised Controlled Trial, Randomised Controlled Trials, Randomized Controlled Trials As </w:t>
      </w:r>
      <w:r>
        <w:rPr>
          <w:kern w:val="0"/>
        </w:rPr>
        <w:lastRenderedPageBreak/>
        <w:t>Topic, Rates, Recent, Reporting, Review, Risk, Science, Search, Side Effects, Significance, Sources, Standard, Study Design, Surgery, Surgery], Survival, Survival Rate, Survival Rates, T1, Therapy, Treatment, Trend, Trial, United-States, Value, Vocal Cord Carcinoma, Voice Quality, Web, Web Of Science</w:t>
      </w:r>
    </w:p>
    <w:p w:rsidR="00671A77" w:rsidRDefault="00671A77" w:rsidP="00671A77">
      <w:pPr>
        <w:pStyle w:val="a3"/>
        <w:rPr>
          <w:kern w:val="0"/>
        </w:rPr>
      </w:pPr>
      <w:r>
        <w:rPr>
          <w:rFonts w:hint="eastAsia"/>
          <w:kern w:val="0"/>
        </w:rPr>
        <w:t xml:space="preserve">? </w:t>
      </w:r>
      <w:r>
        <w:rPr>
          <w:kern w:val="0"/>
        </w:rPr>
        <w:t xml:space="preserve">Warttig, S., Alderson, P., Campbell, G. and Smith, A.F. (2014), Interventions for treating inadvertent postoperative hypothermia. </w:t>
      </w:r>
      <w:r>
        <w:rPr>
          <w:i/>
          <w:iCs/>
          <w:kern w:val="0"/>
        </w:rPr>
        <w:t>Cochrane Database of Systematic Reviews</w:t>
      </w:r>
      <w:r>
        <w:rPr>
          <w:kern w:val="0"/>
        </w:rPr>
        <w:t xml:space="preserve">, </w:t>
      </w:r>
      <w:r w:rsidRPr="00091354">
        <w:rPr>
          <w:b/>
          <w:kern w:val="0"/>
        </w:rPr>
        <w:t>1</w:t>
      </w:r>
      <w:r>
        <w:rPr>
          <w:rFonts w:hint="eastAsia"/>
          <w:b/>
          <w:kern w:val="0"/>
        </w:rPr>
        <w:t>1</w:t>
      </w:r>
      <w:r>
        <w:rPr>
          <w:rFonts w:hint="eastAsia"/>
          <w:kern w:val="0"/>
        </w:rPr>
        <w:t>,</w:t>
      </w:r>
      <w:r w:rsidRPr="00DC3A2A">
        <w:rPr>
          <w:kern w:val="0"/>
        </w:rPr>
        <w:t xml:space="preserve"> </w:t>
      </w:r>
      <w:r w:rsidRPr="001F3C06">
        <w:rPr>
          <w:kern w:val="0"/>
        </w:rPr>
        <w:t xml:space="preserve">Article Number: </w:t>
      </w:r>
      <w:r w:rsidRPr="00F231DE">
        <w:rPr>
          <w:kern w:val="0"/>
        </w:rPr>
        <w:t>CD009892</w:t>
      </w:r>
      <w:r>
        <w:rPr>
          <w:kern w:val="0"/>
        </w:rPr>
        <w:t>.</w:t>
      </w:r>
    </w:p>
    <w:p w:rsidR="00671A77" w:rsidRDefault="00671A77" w:rsidP="00671A77">
      <w:pPr>
        <w:pStyle w:val="a3"/>
      </w:pPr>
      <w:r>
        <w:t xml:space="preserve">Full Text: </w:t>
      </w:r>
      <w:r w:rsidRPr="004626B9">
        <w:t xml:space="preserve">2014\Coc Dat Sys Rev2014, </w:t>
      </w:r>
      <w:r w:rsidRPr="00F231DE">
        <w:rPr>
          <w:kern w:val="0"/>
        </w:rPr>
        <w:t>CD009892</w:t>
      </w:r>
      <w:r w:rsidRPr="004626B9">
        <w:t>.pdf</w:t>
      </w:r>
    </w:p>
    <w:p w:rsidR="00671A77" w:rsidRDefault="00671A77" w:rsidP="00671A77">
      <w:pPr>
        <w:pStyle w:val="a3"/>
        <w:rPr>
          <w:kern w:val="0"/>
        </w:rPr>
      </w:pPr>
      <w:r>
        <w:rPr>
          <w:kern w:val="0"/>
        </w:rPr>
        <w:t xml:space="preserve">Abstract: Background Inadvertent postoperative hypothermia (a drop in core body temperature to below 36 degrees C) occurs as an effect of surgery when anaesthetic drugs and exposure of the skin for long periods of time during surgery result in interference with normal temperature regulation. Once hypothermia has occurred, it is important that patients are rewarmed promptly to minimise potential complications. Several different interventions are available for rewarming patients. Objectives To estimate the effectiveness of treating inadvertent perioperative hypothermia through postoperative interventions to decrease heat loss and apply passive and active warming systems in adult patients who have undergone surgery. Search methods We searched the Cochrane Central Register of Controlled Trials (CENTRAL) (2014, Issue 2), MEDLINE (Ovid SP) (1956 to 21 February 2014), EMBASE (Ovid SP) (1982 to 21 February 2014), the Institute for Scientific Information (ISI) Web of Science (1950 to 21 February 2014) and the Cumulative Index to Nursing and Allied Health Literature (CINAHL), EBSCO host (1980 to 21 February 2014), as well as reference lists of articles. We also searched www.controlled-trials.com and www.clincialtrials.gov. Selection criteria Randomized controlled trials of postoperative warming interventions aiming to reverse hypothermia compared with control or with each other. Data collection and analysis Three review authors identified studies for inclusion in this review. One review author extracted data and completed risk of bias assessments; two review authors checked the details. Meta-analysis was conducted when appropriate by using standard methodological procedures as expected by The Cochrane Collaboration. Main results We included 11 trials with 699 participants. Ten trials provided data for analysis. Trials varied in the numbers and types of participants included and in the types of surgery performed. Most trials were at high or unclear risk of bias because of inappropriate or unclear randomization procedures, and because blinding of assessors and participants generally was not possible. This may have influenced results, but it is unclear how the results may have been influenced. Active warming was found to reduce the mean time taken to achieve normothermia by about 30 minutes in comparison with use of warmed cotton blankets (mean difference (MD) -32.13 minutes, 95% confidence interval (CI) -42.55 to -21.71; moderate-quality evidence), but no significant </w:t>
      </w:r>
      <w:r>
        <w:rPr>
          <w:kern w:val="0"/>
        </w:rPr>
        <w:lastRenderedPageBreak/>
        <w:t>difference in shivering was noted. Active warming was found to reduce mean time taken to achieve normothermia by almost an hour and a half in comparison with use of unwarmed cotton blankets (MD -88.86 minutes, 95% CI -123.49 to -54.23; moderate-quality evidence), and people in the active warming group were less likely to shiver than those in the unwarmed cotton blanket group (Relative Risk=0.61 95% CI=0.42 to 0.86; low quality evidence). There was no effect on mean temperature difference in degrees celsius at 60 minutes (MD=0.18 degrees C, 95% CI=-0.10 to 0.46; moderate quality evidence), and no data were available in relation to major cardiovascular complications. Forced air warming was found to reduce time taken to achieve normothermia by about one hour in comparison to circulating hot water devices (MD=-54.21 minutes 95% CI=-94.95, -13.47). There was no statistically significant difference between thermal insulation and cotton blankets on mean time to achieve normothermia (MD=-0.29 minutes, 95% CI=-25.47 to 24.89; moderate quality evidence) or shivering (Relative Risk=1.36 95% CI=0.69 to 2.67; moderate quality evidence), and no data were available for mean temperature difference or major cardiovascular complications. Insufficient evidence was available about other comparisons, adverse effects or any other secondary outcomes. Authors’ conclusions Active warming, particularly forced air warming, appears to offer a clinically important reduction in mean time taken to achieve normothermia (normal body temperature between 36 degrees C and 37.5 degrees C) in patients with postoperative hypothermia. However, high-quality evidence on other important clinical outcomes is lacking; therefore it is unclear whether active warming offers other benefits and harms. High-quality evidence on other warming methods is also lacking; therefore it is unclear whether other rewarming methods are effective in reversing postoperative hypothermia.</w:t>
      </w:r>
    </w:p>
    <w:p w:rsidR="00671A77" w:rsidRDefault="00671A77" w:rsidP="00671A77">
      <w:pPr>
        <w:pStyle w:val="a3"/>
        <w:rPr>
          <w:kern w:val="0"/>
        </w:rPr>
      </w:pPr>
      <w:r>
        <w:rPr>
          <w:kern w:val="0"/>
        </w:rPr>
        <w:t>Keywords: Active, Adult, Adverse Effects, Air, Analysis, Articles, Assessments, Authors, Benefits, Bias, Cardiovascular, Clinical, Clinical Outcomes, Cochrane Collaboration, Collaboration, Collection, Comparison, Complications, Confidence, Control, Cotton, Criteria, Data, Data Collection, Drugs, Duration, Effectiveness, Effects, Efficiency, Embase, Evidence, Exposure, Guidelines, Health, Host, Hypothermia, Inadvertent, Increases, Information, Institute For Scientific Information, Interval, Interventions, Isi, Literature, Medline, Meta Analysis, Meta-Analysis, Metaanalysis, Methods, Mild Hypothermia, Normal, Normothermia, Nursing, Outcomes, Patients, Perioperative Hypothermia, Postoperative, Potential, Procedures, Quality, Radiant Heater, Randomization, Randomized, Randomized Controlled Trials, Recovery, Reduction, Reference, Reference Lists, Regulation, Relative, Review, Risk, Science, Search, Shivering, Skin, Standard, Surgery, Systems, Temperature, Water, Web, Web Of Science, Wound-Infection</w:t>
      </w:r>
    </w:p>
    <w:p w:rsidR="00671A77" w:rsidRDefault="00671A77" w:rsidP="00671A77">
      <w:pPr>
        <w:pStyle w:val="a3"/>
        <w:rPr>
          <w:kern w:val="0"/>
        </w:rPr>
      </w:pPr>
      <w:r>
        <w:rPr>
          <w:rFonts w:hint="eastAsia"/>
          <w:kern w:val="0"/>
        </w:rPr>
        <w:t xml:space="preserve">? </w:t>
      </w:r>
      <w:r>
        <w:rPr>
          <w:kern w:val="0"/>
        </w:rPr>
        <w:t xml:space="preserve">Yeoh, B., Woolfenden, S., Lanphear, B., Ridley, G.F., Livingstone, N. and Jorgensen, </w:t>
      </w:r>
      <w:r>
        <w:rPr>
          <w:kern w:val="0"/>
        </w:rPr>
        <w:lastRenderedPageBreak/>
        <w:t xml:space="preserve">E. (2014), Household interventions for preventing domestic lead exposure in children.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36F6C">
        <w:rPr>
          <w:kern w:val="0"/>
        </w:rPr>
        <w:t>CD006047</w:t>
      </w:r>
      <w:r>
        <w:rPr>
          <w:kern w:val="0"/>
        </w:rPr>
        <w:t>.</w:t>
      </w:r>
    </w:p>
    <w:p w:rsidR="00671A77" w:rsidRDefault="00671A77" w:rsidP="00671A77">
      <w:pPr>
        <w:pStyle w:val="a3"/>
      </w:pPr>
      <w:r>
        <w:t xml:space="preserve">Full Text: </w:t>
      </w:r>
      <w:r w:rsidRPr="004626B9">
        <w:t xml:space="preserve">2014\Coc Dat Sys Rev2014, </w:t>
      </w:r>
      <w:r w:rsidRPr="00F36F6C">
        <w:rPr>
          <w:kern w:val="0"/>
        </w:rPr>
        <w:t>CD006047</w:t>
      </w:r>
      <w:r w:rsidRPr="004626B9">
        <w:t>.pdf</w:t>
      </w:r>
    </w:p>
    <w:p w:rsidR="00671A77" w:rsidRDefault="00671A77" w:rsidP="00671A77">
      <w:pPr>
        <w:pStyle w:val="a3"/>
        <w:rPr>
          <w:kern w:val="0"/>
        </w:rPr>
      </w:pPr>
      <w:r>
        <w:rPr>
          <w:kern w:val="0"/>
        </w:rPr>
        <w:t xml:space="preserve">Abstract: Background Lead poisoning is associated with physical, cognitive and neurobehavioural impairment in children and trials have tested many household interventions to prevent lead exposure. This is an update of the original review by the same authors first published in 2008. Objectives To determine the effectiveness of household interventions in preventing or reducing lead exposure in children as measured by reductions in blood lead levels and/or improvements in cognitive development. Search methods We identified trials through electronic searches of CENTRAL (2012, Issue 1), MEDLINE (1948 to January Week 1 2012), EMBASE (1980 to Week 2 2012), CINAHL (1937 to January 2012), PsycINFO (1887 to January Week 2 2012), ERIC (1966 to January 2012), Sociological Abstracts (1952 to January 2012), Science Citation Index (1970 to 20 January 2012), ZETOC (20 January 2012), LILACS (20 January 2012), Dissertation Abstracts (late 1960s to January 2012), ClinicalTrials.gov (19 January 2012), Current Controlled Trials (19 January 2012), Australian New Zealand Clinical Trials Registry (19 January 2012) and the National Research Register Archive. We also contacted experts to find unpublished studies. Selection criteria Randomised and quasi-randomised controlled trials of household educational or environmental interventions to prevent lead exposure in children where at least one standardised outcome measure was reported. Data collection and analysis Two authors independently reviewed all eligible studies for inclusion, assessed risk of bias and extracted data. We contacted trialists to obtain missing information. Main results We included 14 studies (involving 2656 children). All studies reported blood lead level outcomes and none reported on cognitive or neurobehavioural outcomes. We put studies into subgroups according to their intervention type. We performed meta-analysis of both continuous and dichotomous data for subgroups where appropriate. Educational interventions were not effective in reducing blood lead levels (continuous: mean difference (MD) 0.02, 95% confidence interval (CI) -0.09 to 0.12, I-2 = 0 (log transformed); dichotomous &gt;= 10 mu g/dL (&gt;= 0.48 mu mol/L): relative risk (RR) 1.02, 95% CI 0.79 to 1.30, I-2 = 0; dichotomous &gt;= 15 mu g/dL (&gt;= 0.72 mu mol/L): RR 0.60, 95% CI 0.33 to 1.09, I-2 = 0). Meta-analysis for the dust control subgroup also found no evidence of effectiveness (continuous: MD 0.15, 95% CI -0.42 to 0.11, I-2 = 0.9 (log transformed); dichotomous &gt;= 10 mu g/dL (&gt;= 0.48 mu mol/L): RR 0.93, 95% CI 0.73 to 1.18, I-2 = 0; dichotomous &gt;= 15 mu g/dL (&gt;= 0.72 mu mol/L): RR 0.86, 95% CI 0.35 to 2.07, I-2 = 0.56). When meta-analysis for the dust control subgroup was adjusted for clustering, no statistical significant benefit was incurred. The studies using soil abatement (removal and replacement) and combination intervention groups </w:t>
      </w:r>
      <w:r>
        <w:rPr>
          <w:kern w:val="0"/>
        </w:rPr>
        <w:lastRenderedPageBreak/>
        <w:t>were not able to be meta-analysed due to substantial differences between studies. Authors’ conclusions Based on current knowledge, household educational or dust control interventions are ineffective in reducing blood lead levels in children as a population health measure. There is currently insufficient evidence to draw conclusions about the effectiveness of soil abatement or combination interventions. Further trials are required to establish the most effective intervention for prevention of lead exposure. Key elements of these trials should include strategies to reduce multiple sources of lead exposure simultaneously using empirical dust clearance levels. It is also necessary for trials to be carried out in developing countries and in differing socioeconomic groups in developed countries.</w:t>
      </w:r>
    </w:p>
    <w:p w:rsidR="00671A77" w:rsidRDefault="00671A77" w:rsidP="00671A77">
      <w:pPr>
        <w:pStyle w:val="a3"/>
        <w:rPr>
          <w:kern w:val="0"/>
        </w:rPr>
      </w:pPr>
      <w:r>
        <w:rPr>
          <w:kern w:val="0"/>
        </w:rPr>
        <w:t>Keywords: Abatement, Analysis, Australian, Authors, Bias, Blood, Blood Lead, Chelation-Therapy, Child, Children, Citation, Clinical Trials, Clustering, Cognitive, Collection, Confidence, Control, Criteria, Data, Data Collection, Developing, Developing Countries, Development, Dissertation, Dust, Dust [Prevention &amp; Control], Dust-Control, Education, Effectiveness, Embase, Environmental, Environmental Exposure [Adverse Effects, Environmental Remediation [Methods], Evidence, Experts, Exposure, First, Groups, Health, Household, Humans, Impact, Impairment, Information, Interval, Intervention, Interventions, Knowledge, Lead, Lead Poisoning [Prevention &amp; Control], Lead [Blood], Measure, Medline, Meta Analysis, Meta-Analysis, Metaanalysis, Methods, New Zealand, Outcome, Outcome Measure, Outcomes, Paint [Toxicity], Physical, Poisoning, Population, Prevent, Prevention, Prevention &amp; Control], Psycinfo, Randomized-Trial, Relative Risk, Remediation, Removal, Research, Review, Risk, Science, Science Citation Index, Search, Soil, Soil, Sources</w:t>
      </w:r>
    </w:p>
    <w:p w:rsidR="00314BD8" w:rsidRDefault="00314BD8" w:rsidP="00314BD8">
      <w:pPr>
        <w:pStyle w:val="a3"/>
        <w:rPr>
          <w:kern w:val="0"/>
        </w:rPr>
      </w:pPr>
      <w:r>
        <w:rPr>
          <w:rFonts w:hint="eastAsia"/>
          <w:kern w:val="0"/>
        </w:rPr>
        <w:t xml:space="preserve">? </w:t>
      </w:r>
      <w:r>
        <w:rPr>
          <w:kern w:val="0"/>
        </w:rPr>
        <w:t xml:space="preserve">Ruotsalainen, J.H., Verbeek, J.H., Marine, A. and Serra, C. (2014), Preventing occupational stress in healthcare workers.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CD002892</w:t>
      </w:r>
      <w:r>
        <w:rPr>
          <w:kern w:val="0"/>
        </w:rPr>
        <w:t>.</w:t>
      </w:r>
    </w:p>
    <w:p w:rsidR="00314BD8" w:rsidRDefault="00314BD8" w:rsidP="00314BD8">
      <w:pPr>
        <w:pStyle w:val="a3"/>
      </w:pPr>
      <w:r>
        <w:t xml:space="preserve">Full Text: </w:t>
      </w:r>
      <w:r w:rsidRPr="004626B9">
        <w:t xml:space="preserve">2014\Coc Dat Sys Rev2014, </w:t>
      </w:r>
      <w:r w:rsidRPr="00F231DE">
        <w:t>CD002892</w:t>
      </w:r>
      <w:r w:rsidRPr="004626B9">
        <w:t>.pdf</w:t>
      </w:r>
    </w:p>
    <w:p w:rsidR="00314BD8" w:rsidRDefault="00314BD8" w:rsidP="00314BD8">
      <w:pPr>
        <w:pStyle w:val="a3"/>
        <w:rPr>
          <w:kern w:val="0"/>
        </w:rPr>
      </w:pPr>
      <w:r>
        <w:rPr>
          <w:kern w:val="0"/>
        </w:rPr>
        <w:t xml:space="preserve">Abstract: Background Healthcare workers can suffer from occupational stress as a result of lack of skills, organisational factors, and low social support at work. which may lead to distress, burnout and psychosomatic problems, and deterioration in quality of life and service provision. Objectives To evaluate the effectiveness of work-and person-directed interventions compared to no intervention or alternative interventions in preventing stress at work in healthcare workers. Search methods We searched the Cochrane Central Register of Controlled Trials (CENTRAL), MEDLINE, EMBASE, PsycINFO, CINAHL, NIOSHTIC-2 and Web of Science up to November 2013. Selection criteria Randomised controlled trials (RCTs) of interventions aimed at preventing psychological stress in healthcare workers. For organisational interventions, interrupted time-series and controlled before-and-after </w:t>
      </w:r>
      <w:r>
        <w:rPr>
          <w:kern w:val="0"/>
        </w:rPr>
        <w:lastRenderedPageBreak/>
        <w:t xml:space="preserve">(CBA) studies were also eligible. Data collection and analysis Two review authors independently extracted data and assessed trial quality. We used Standardised Mean Differences (SMDs) where authors of trials used different scales to measure stress or burnout. We combined studies that were similar in meta-analyses. We used the GRADE system to rate the quality of the evidence. Main results In this update, we added 39 studies, making a total of 58 studies (54 RCTs and four CBA studies), with 7188 participants. We categorised interventions as cognitive-behavioural training (CBT) (n = 14), mental and physical relaxation (n = 21), combined CBT and relaxation (n = 6) and organisational interventions (n = 20). Follow-up was less than one month in 24 studies, one to six in 22 studies and more than six months in 12 studies. We categorised outcomes as stress, anxiety or general health. There was low-quality evidence that CBT with or without relaxation was no more effective in reducing stress symptoms than no intervention at one month follow-up in six studies (SMD -0.27 (95% Confidence Interval (CI) -0.66 to 0.13; 332 participants). But at one to six months follow-up in seven studies (SMD -0.38, 95% CI -0.59 to -0.16; 549 participants, 13% relative risk reduction), and at more than six months follow-up in two studies (SMD -1.04, 95% CI -1.37 to -0.70; 157 participants) CBT with or without relaxation reduced stress more than no intervention. CBT interventions did not lead to a considerably greater effect than an alternative intervention, in three studies. Physical relaxation (e.g. massage) was more effective in reducing stress than no intervention at one month follow-up in four studies (SMD -0.48, 95% CI -0.89 to -0.08; 97 participants) and at one to six months follow-up in six studies (SMD -0.47; 95% CI -0.70 to -0.24; 316 participants). Two studies did not find a considerable difference in stress between massage and taking extra breaks. Mental relaxation (e.g. meditation) led to similar stress symptom levels as no intervention at one to six months follow-up in six studies (SMD -0.50, 95% CI -1.15 to 0.15; 205 participants) but to less stress in one study at more than six months follow-up. One study showed that mental relaxation reduced stress more effectively than attending a course on theory analysis and another that it was more effective than just relaxing in a chair. Organisational interventions consisted of changes in working conditions, organising support, changing care, increasing communication skills and changing work schedules. Changing work schedules (from continuous to having weekend breaks and from a four-week to a two-week schedule) reduced stress with SMD -0.55 (95% CI -0.84 to -0.25; 2 trials, 180 participants). Other organisational interventions were not more effective than no intervention or an alternative intervention. We graded the quality of the evidence for all but one comparison as low. For CBT this was due to the possibility of publication bias, and for the other comparisons to a lack of precision and risk of bias. Only for relaxation versus no intervention was the evidence of moderate quality. Authors’ conclusions There is low-quality evidence </w:t>
      </w:r>
      <w:r>
        <w:rPr>
          <w:kern w:val="0"/>
        </w:rPr>
        <w:lastRenderedPageBreak/>
        <w:t>that CBT and mental and physical relaxation reduce stress more than no intervention but not more than alternative interventions. There is also low-quality evidence that changing work schedules may lead to a reduction of stress. Other organisational interventions have no effect on stress levels. More randomised controlled trials are needed with at least 120 participants that compare the intervention to a placebo-like intervention. Organisational interventions need better focus on reduction of specific stressors.</w:t>
      </w:r>
    </w:p>
    <w:p w:rsidR="00314BD8" w:rsidRDefault="00314BD8" w:rsidP="00314BD8">
      <w:pPr>
        <w:pStyle w:val="a3"/>
        <w:rPr>
          <w:kern w:val="0"/>
        </w:rPr>
      </w:pPr>
      <w:r>
        <w:rPr>
          <w:kern w:val="0"/>
        </w:rPr>
        <w:t>Keywords: Alternative, Analysis, Anxiety, Authors, Bias, Burnout, Care, Cbt, Changes, Cognitive-Behavioral Interventions, Collection, Communication, Communication Skills, Comparison, Course, Criteria, Data, Data Collection, Differences, Distress, Effectiveness, Embase, Emotion-Oriented Care, Evidence, Factors, Follow-Up, From, General, Grade, Health, Health Personnel [Psychology], Healthcare, Humans, Interrupted Time Series, Intervention, Interventions, Lead, Life, Massage, Mean, Measure, Meditation, Medline, Mental-Health, Meta-Analyses, Methods, Mindfulness Meditation Program, Occupational, Occupational Diseases [Prevention &amp; Control, Occupational Stress, Outcomes, Participative Intervention, Perceived Stress, Physical, Precision, Psychological, Psychological Stress, Psychological Training-Program, Psychology], Psycinfo, Publication, Publication Bias, Quality, Quality Of, Quality Of Life, Randomised, Randomised Controlled Trials, Randomized Controlled Trials As Topic, Randomized-Controlled-Trial, Reduce Burnout, Reduction, Relative Risk, Relaxation, Review, Risk, Scales, Science, Search, Service, Social, Social Support, Stress, Stress,Psychological [Prevention &amp; Control], Stressors, Student Nurses, Support, Symptoms, Theory, Time Series, Training, Trial, Web, Web Of Science, Work, Working Conditions</w:t>
      </w:r>
    </w:p>
    <w:p w:rsidR="00314BD8" w:rsidRDefault="00314BD8" w:rsidP="00314BD8">
      <w:pPr>
        <w:pStyle w:val="a3"/>
        <w:rPr>
          <w:kern w:val="0"/>
        </w:rPr>
      </w:pPr>
      <w:r>
        <w:rPr>
          <w:rFonts w:hint="eastAsia"/>
          <w:kern w:val="0"/>
        </w:rPr>
        <w:t xml:space="preserve">? </w:t>
      </w:r>
      <w:r>
        <w:rPr>
          <w:kern w:val="0"/>
        </w:rPr>
        <w:t xml:space="preserve">Hilton, M.P. and Pinder, D.K. (2014), The Epley (canalith repositioning) manoeuvre for benign paroxysmal positional vertigo.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CD003162</w:t>
      </w:r>
      <w:r>
        <w:rPr>
          <w:kern w:val="0"/>
        </w:rPr>
        <w:t>.</w:t>
      </w:r>
    </w:p>
    <w:p w:rsidR="00314BD8" w:rsidRDefault="00314BD8" w:rsidP="00314BD8">
      <w:pPr>
        <w:pStyle w:val="a3"/>
      </w:pPr>
      <w:r>
        <w:t xml:space="preserve">Full Text: </w:t>
      </w:r>
      <w:r w:rsidRPr="004626B9">
        <w:t xml:space="preserve">2014\Coc Dat Sys Rev2014, </w:t>
      </w:r>
      <w:r w:rsidRPr="00F231DE">
        <w:t>CD003162</w:t>
      </w:r>
      <w:r w:rsidRPr="004626B9">
        <w:t>.pdf</w:t>
      </w:r>
    </w:p>
    <w:p w:rsidR="00314BD8" w:rsidRDefault="00314BD8" w:rsidP="00314BD8">
      <w:pPr>
        <w:pStyle w:val="a3"/>
        <w:rPr>
          <w:kern w:val="0"/>
        </w:rPr>
      </w:pPr>
      <w:r>
        <w:rPr>
          <w:kern w:val="0"/>
        </w:rPr>
        <w:t xml:space="preserve">Abstract: Background This is an update of a Cochrane Review first published in The Cochrane Library in Issue 1, 2002 and previously updated in 2004 and 2007. Benign paroxysmal positional vertigo (BPPV) is a syndrome characterised by short-lived episodes of vertigo in association with rapid changes in head position. It is a common cause of vertigo presenting to primary care and specialist otolaryngology clinics. Current treatment approaches include rehabilitative exercises and physical manoeuvres, including the Epley manoeuvre. Objectives To assess the effectiveness of the Epley manoeuvre for posterior canal BPPV. Search methods We searched the Cochrane Ear, Nose and Throat Disorders Group Trials Register; CENTRAL; PubMed; EMBASE; CINAHL; Web of Science; Cambridge Scientific Abstracts; ICTRP and additional sources for published and unpublished trials. The date of the </w:t>
      </w:r>
      <w:r>
        <w:rPr>
          <w:kern w:val="0"/>
        </w:rPr>
        <w:lastRenderedPageBreak/>
        <w:t xml:space="preserve">most recent search was 23 January 2014. Selection criteria Randomised controlled trials of the Epley manoeuvre versus placebo, no treatment or other active treatment for adults diagnosed with posterior canal BPPV (including a positive Dix-Hallpike test). The primary outcome of interest was complete resolution of vertigo symptoms. Secondary outcomes were conversion of a ‘positive’ Dix-Hallpike test to a ‘negative’ Dix-Hallpike test and adverse effects of treatment. Data collection and analysis We used the standard methodological procedures expected by The Cochrane Collaboration. Main results We included 11 trials in the review with a total of 745 patients. Five studies compared the efficacy of the Epley manoeuvre against a sham manoeuvre, three against other particle repositioning manoeuvres (Semont, Brandt-Daroff and Gans) and three against a control (no treatment, medication only, postural restriction). Patients were treated in hospital otolaryngology departments in eight studies and family practices in two studies. All patients were adults aged 18 to 90 years old, with a sex ratio of 1:1.5 male to female. There was a low risk of overall bias in the studies included. All studies were randomised with six applying sealed envelope or external allocation techniques. Eight of the trials blinded the assessors to the participants’ treatment group and data on all outcomes for all participants were reported in eight of the 11 studies. Complete resolution of vertigo Complete resolution of vertigo occurred significantly more often in the Epley treatment group when compared to a sham manoeuvre or control (odds ratio (OR) 4.42, 95% confidence interval (CI) 2.62 to 7.44; five studies, 273 participants); the proportion of patients resolving increased from 21% to 56%. None of the trials comparing Epley versus other particle repositioning manoeuvres reported vertigo resolution as an outcome. Conversion of Dix-Hallpike positional test result from positive to negative Conversion from a positive to a negative Dix-Hallpike test significantly favoured the Epley treatment group when compared to a sham manoeuvre or control (OR 9.62, 95% CI 6.0 to 15.42; eight studies, 507 participants). There was no difference when comparing the Epley with the Semont manoeuvre (two studies, 117 participants) or the Epley with the Gans manoeuvre (one study, 58 participants). In one study a single Epley treatment was more effective than a week of three times daily Brandt-Daroff exercises (OR 12.38, 95% CI 4.32 to 35.47; 81 participants). Adverse effects Adverse effects were infrequently reported. There were no serious adverse effects of treatment. Rates of nausea during the repositioning manoeuvre varied from 16.7% to 32%. Some patients were unable to tolerate the manoeuvres because of cervical spine problems. Authors’ conclusions There is evidence that the Epley manoeuvre is a safe, effective treatment for posterior canal BPPV, based on the results of 11, mostly small, randomised controlled trials with relatively short follow-up. There is a high recurrence rate of BPPV after treatment (36%). Outcomes for Epley manoeuvre treatment are comparable to treatment with Semont and Gans </w:t>
      </w:r>
      <w:r>
        <w:rPr>
          <w:kern w:val="0"/>
        </w:rPr>
        <w:lastRenderedPageBreak/>
        <w:t>manoeuvres, but superior to Brandt-Daroff exercises.</w:t>
      </w:r>
    </w:p>
    <w:p w:rsidR="00314BD8" w:rsidRDefault="00314BD8" w:rsidP="00314BD8">
      <w:pPr>
        <w:pStyle w:val="a3"/>
        <w:rPr>
          <w:kern w:val="0"/>
        </w:rPr>
      </w:pPr>
      <w:r>
        <w:rPr>
          <w:kern w:val="0"/>
        </w:rPr>
        <w:t>Keywords: Active, Adverse Effects, Aged, Allocation, Analysis, Association, Benign Paroxysmal Positional Vertigo, Bias, Bppv, Care, Changes, Cochrane Collaboration, Collaboration, Collection, Complete, Confidence, Control, Conversion, Criteria, Data, Data Collection, Diagnosis, Effectiveness, Effects, Efficacy, Embase, Evidence, Exercises, Family, Female, First, Follow-Up, From, Hospital, Humans, Interval, Low Risk, Male, Methods, Nausea, Negative, Odds Ratio, Otolaryngology, Outcome, Outcomes, Patients, Physical, Placebo, Position, Practices, Primary, Primary Care, Procedures, Pubmed, Randomised, Randomised Controlled Trials, Randomized Controlled Trials As Topic, Randomized-Trial, Recent, Recurrence, Review, Risk, Science, Search, Semicircular Canals, Sex, Small, Sources, Spine, Standard, Symptoms, Syndrome, Techniques, Treatment, Vertigo, Vertigo [Rehabilitation], Web, Web Of Science</w:t>
      </w:r>
    </w:p>
    <w:p w:rsidR="00314BD8" w:rsidRDefault="00314BD8" w:rsidP="00314BD8">
      <w:pPr>
        <w:pStyle w:val="a3"/>
        <w:rPr>
          <w:kern w:val="0"/>
        </w:rPr>
      </w:pPr>
      <w:r>
        <w:rPr>
          <w:rFonts w:hint="eastAsia"/>
          <w:kern w:val="0"/>
        </w:rPr>
        <w:t xml:space="preserve">? </w:t>
      </w:r>
      <w:r>
        <w:rPr>
          <w:kern w:val="0"/>
        </w:rPr>
        <w:t xml:space="preserve">Oduwole, O., Meremikwu, M.M., Oyo-Ita, A. and Udoh, E.E. (2014), Honey for acute cough in children.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CD007094</w:t>
      </w:r>
      <w:r>
        <w:rPr>
          <w:kern w:val="0"/>
        </w:rPr>
        <w:t>.</w:t>
      </w:r>
    </w:p>
    <w:p w:rsidR="00314BD8" w:rsidRDefault="00314BD8" w:rsidP="00314BD8">
      <w:pPr>
        <w:pStyle w:val="a3"/>
      </w:pPr>
      <w:r>
        <w:t xml:space="preserve">Full Text: </w:t>
      </w:r>
      <w:r w:rsidRPr="004626B9">
        <w:t xml:space="preserve">2014\Coc Dat Sys Rev2014, </w:t>
      </w:r>
      <w:r w:rsidRPr="00F231DE">
        <w:t>CD007094</w:t>
      </w:r>
      <w:r w:rsidRPr="004626B9">
        <w:t>.pdf</w:t>
      </w:r>
    </w:p>
    <w:p w:rsidR="00314BD8" w:rsidRDefault="00314BD8" w:rsidP="00314BD8">
      <w:pPr>
        <w:pStyle w:val="a3"/>
        <w:rPr>
          <w:kern w:val="0"/>
        </w:rPr>
      </w:pPr>
      <w:r>
        <w:rPr>
          <w:kern w:val="0"/>
        </w:rPr>
        <w:t xml:space="preserve">Abstract: Background Cough causes concern for parents and is a major cause of outpatient visits. It can impact on quality of life, cause anxiety and affect sleep in parents and children. Several remedies, including honey, have been used to alleviate cough symptoms. Objectives To evaluate the effectiveness of honey for acute cough in children in ambulatory settings. Search methods We searched CENTRAL (2014, Issue 10), MEDLINE (1950 to October week 4, 2014), EMBASE (1990 to November 2014), CINAHL (1981 to November 2014), Web of Science (2000 to November 2014), AMED (1985 to November 2014), LILACS (1982 to November 2014) and CAB abstracts (2009 to January 2014). Selection criteria Randomised controlled trials (RCTs) comparing honey given alone, or in combination with antibiotics, versus nothing, placebo or other over-the-counter (OTC) cough medications to participants aged from one to 18 years for acute cough in ambulatory settings. Data collection and analysis Two review authors independently screened search results for eligible studies and extracted data on reported outcomes. Main results We included three RCTs, two at high risk of bias and one at low risk of bias, involving 568 children. The studies compared honey with dextromethorphan, diphenhydramine, ‘no treatment’ and placebo for the effect on symptomatic relief of cough using a seven-point Likert scale. The lower the score, the better the cough symptom being assessed. Moderate quality evidence showed that honey may be better than ‘no treatment’ in reducing the frequency of cough (mean difference (MD) -1.05; 95% confidence interval (CI) -1.48 to -0.62; I-2 statistic 23%; two studies, 154 participants). High quality evidence also suggests that honey may be better than </w:t>
      </w:r>
      <w:r>
        <w:rPr>
          <w:kern w:val="0"/>
        </w:rPr>
        <w:lastRenderedPageBreak/>
        <w:t>placebo for reduction of cough frequency (MD -1.85; 95% Cl -3.36 to -0.33; one study, 300 participants). Moderate quality evidence suggests that honey does not differ significantly from dextromethorphan in reducing cough 1 frequency (MD -0.07; 95% CI -1.07 to 0.94; two studies, 149 participants). Low quality evidence suggests that honey may be slightly better than diphenhydramine in reducing cough frequency (MD -0.57; 95% CI -0.90 to -0.24; one study, 80 participants). Adverse events included mild reactions (nervousness, insomnia and hyperactivity) experienced by seven children (9.3%) from the honey group and two (2.7%) from the dextromethorphan group; the difference was not significant (risk ratio (RR) 2.94; 95% Cl 0.74 to 11.71; two studies, 149 participants). Three children (7.5%) in the diphenhydramine group experienced somnolence (RR 0.14; 95% Cl 0.01 to 2.68; one study, 80 participants). When honey was compared with placebo, four children (1.8%) in the honey group and one (1.3%) from the placebo group complained of gastrointestinal symptoms (RR 1.33; 95% Cl 0.15 to 11.74). However, there was no significant difference between honey versus dextromethorphan, honey versus diphenhydramine or honey versus placebo. No adverse event was reported in the ‘no treatment’ group. Authors’ conclusions Honey may be better than ‘no treatment’, diphenhydramine and placebo for the symptomatic relief of cough, but it is not better than dextromethorphan. None of the included studies assessed the effect of honey on ‘cough duration’ because intervention and follow-up were for one night only. There is no strong evidence for or against the use of honey.</w:t>
      </w:r>
    </w:p>
    <w:p w:rsidR="00314BD8" w:rsidRDefault="00314BD8" w:rsidP="00314BD8">
      <w:pPr>
        <w:pStyle w:val="a3"/>
        <w:rPr>
          <w:kern w:val="0"/>
        </w:rPr>
      </w:pPr>
      <w:r>
        <w:rPr>
          <w:kern w:val="0"/>
        </w:rPr>
        <w:t>Keywords: Abstracts, Adolescent, Adverse Events, Affect, Aged, Ambulatory, Analysis, Antibiotics, Antimicrobial Activity, Antitussive Agents [Adverse Effects, Anxiety, Apitherapy [Adverse Effects, Authors, Bactericidal Activity, Bias, Cab, Child, Child,Preschool, Children, Cold Medications, Collection, Confidence, Cough, Cough [Therapy], Criteria, Data, Data Collection, Dextromethorphan [Adverse Effects, Double-Blind, Duration, Effectiveness, Embase, Events, Evidence, Follow-Up, From, Honey, Honey [Adverse Effects], Humans, Hyperactivity, Impact, Insomnia, Interval, Intervention, Life, Liquid-Chromatography, Low Risk, Medline, Methods, Methods], Mild, Mineral-Content, Nocturnal Cough, Otc, Outcomes, Outpatient, Over-The-Counter, Parents, Placebo, Quality, Quality Of, Quality Of Life, Quality-Of-Life, Randomised Controlled Trials, Randomized Controlled Trials As Topic, Reduction, Review, Risk, Scale, Science, Search, Sleep, Sleep Quality, Symptoms, Therapeutic Use], Treatment, Web, Web Of Science</w:t>
      </w:r>
    </w:p>
    <w:p w:rsidR="00314BD8" w:rsidRDefault="00314BD8" w:rsidP="00314BD8">
      <w:pPr>
        <w:pStyle w:val="a3"/>
        <w:rPr>
          <w:kern w:val="0"/>
        </w:rPr>
      </w:pPr>
      <w:r>
        <w:rPr>
          <w:rFonts w:hint="eastAsia"/>
          <w:kern w:val="0"/>
        </w:rPr>
        <w:t xml:space="preserve">? </w:t>
      </w:r>
      <w:r>
        <w:rPr>
          <w:kern w:val="0"/>
        </w:rPr>
        <w:t>Mc</w:t>
      </w:r>
      <w:r>
        <w:rPr>
          <w:rFonts w:hint="eastAsia"/>
          <w:kern w:val="0"/>
        </w:rPr>
        <w:t>N</w:t>
      </w:r>
      <w:r>
        <w:rPr>
          <w:kern w:val="0"/>
        </w:rPr>
        <w:t xml:space="preserve">ab, S., Ware, R.S., Neville, K.A., Choong, K., Coulthard, M.G., Duke, T., Davidson, A. and Dorofaeff, T. (2014), Isotonic versus hypotonic solutions for maintenance intravenous fluid administration in children.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CD009457</w:t>
      </w:r>
      <w:r>
        <w:rPr>
          <w:kern w:val="0"/>
        </w:rPr>
        <w:t>.</w:t>
      </w:r>
    </w:p>
    <w:p w:rsidR="00314BD8" w:rsidRDefault="00314BD8" w:rsidP="00314BD8">
      <w:pPr>
        <w:pStyle w:val="a3"/>
      </w:pPr>
      <w:r>
        <w:t xml:space="preserve">Full Text: </w:t>
      </w:r>
      <w:r w:rsidRPr="004626B9">
        <w:t xml:space="preserve">2014\Coc Dat Sys Rev2014, </w:t>
      </w:r>
      <w:r w:rsidRPr="00F231DE">
        <w:t>CD009457</w:t>
      </w:r>
      <w:r w:rsidRPr="004626B9">
        <w:t>.pdf</w:t>
      </w:r>
    </w:p>
    <w:p w:rsidR="00314BD8" w:rsidRDefault="00314BD8" w:rsidP="00314BD8">
      <w:pPr>
        <w:pStyle w:val="a3"/>
        <w:rPr>
          <w:kern w:val="0"/>
        </w:rPr>
      </w:pPr>
      <w:r>
        <w:rPr>
          <w:kern w:val="0"/>
        </w:rPr>
        <w:lastRenderedPageBreak/>
        <w:t>Abstract: Background Maintenance intravenous fluids are frequently used in hospitalised children who cannot maintain adequate hydration through enteral intake. Traditionally used hypotonic fluids have been associated with hyponatraemia and subsequent morbidity and mortality. Use of isotonic fluid has been proposed to reduce complications. Objectives To establish and compare the risk of hyponatraemia by systematically reviewing studies where isotonic is compared with hypotonic intravenous fluid for maintenance purposes in children. Secondly, to compare the risk of hypernatraemia, the effect on mean serum sodium concentration and the rate of attributable adverse effects of both fluid types in children. Search methods We ran the search on 17 June 2013. We searched the Cochrane Injuries Group Specialised Register, Cochrane Central Register of Controlled Trials (CENTRAL, The Cochrane Library), MEDLINE (OvidSP), Embase (OvidSP), and ISI Web of Science. We also searched clinical trials registers and screened reference lists. We updated this search in October 2014 but these results have not yet been incorporated. Selection criteria We included randomised controlled trials that compared isotonic versus hypotonic intravenous fluids for maintenance hydration in children. Data collection and analysis At least two authors assessed and extracted data for each trial. We presented dichotomous outcomes as risk ratios (RR) with 95% confidence intervals (CIs) and continuous outcomes as mean differences with 95% CIs. Main results Ten studies met the inclusion criteria, with a total of 1106 patients. The majority of the studies were performed in surgical or intensive care populations (or both). There was considerable variation in the composition of intravenous fluid, particularly hypotonic fluid, used in the studies. There was a low risk of bias for most of the included studies. Ten studies provided data for our primary outcome, a total of 449 patients in the analysis received isotonic fluid, while 521 received hypotonic fluid. Those who received isotonic fluid had a substantially lower risk of hyponatraemia (17% versus 34%; RR 0.48; 95% CI 0.38 to 0.60, high quality evidence). It is unclear whether there is an increased risk of hypernatraemia when isotonic fluids are used (4% versus 3%; RR 1.24; 95% CI 0.65 to 2.38, nine studies, 937 participants, low quality evidence), although the absolute number of patients developing hypernatraemia was low. Most studies had safety restrictions included in their methodology, preventing detailed investigation of serious adverse events. Authors’ conclusions Isotonic intravenous maintenance fluids with sodium concentrations similar to that of plasma reduce the risk of hyponatraemia when compared with hypotonic intravenous fluids. These results apply for the first 24 hours of administration in a wide group of primarily surgical paediatric patients with varying severities of illness.</w:t>
      </w:r>
    </w:p>
    <w:p w:rsidR="00314BD8" w:rsidRDefault="00314BD8" w:rsidP="00314BD8">
      <w:pPr>
        <w:pStyle w:val="a3"/>
        <w:rPr>
          <w:kern w:val="0"/>
        </w:rPr>
      </w:pPr>
      <w:r>
        <w:rPr>
          <w:kern w:val="0"/>
        </w:rPr>
        <w:t xml:space="preserve">Keywords: Acute Hyponatremia, Administration, Adverse Effects, Adverse Events, Analysis, Authors, Bias, Care, Children, Clinical, Clinical Trials, Collection, </w:t>
      </w:r>
      <w:r>
        <w:rPr>
          <w:kern w:val="0"/>
        </w:rPr>
        <w:lastRenderedPageBreak/>
        <w:t>Complications, Composition, Concentration, Confidence, Confidence Intervals, Criteria, Data, Data Collection, Developing, Effects, Enteral, Events, Evidence, First, Hospitalised, Hospitalized Children, Hydration, Inappropriate, Intensive Care, Intervals, Intravenous, Investigation, Isi, Isi Web Of Science, Low Risk, Maintenance, Medline, Methodology, Methods, Morbidity, Mortality, Outcome, Outcomes, Patients, Plasma, Populations, Primary, Quality, Randomised, Randomised Controlled Trials, Randomized Controlled-Trial, Reference, Reference Lists, Restrictions, Risk, Safety, Saline, Science, Search, Serum, Sodium, Solutions, Therapy, Trial, Water, Web, Web Of Science</w:t>
      </w:r>
    </w:p>
    <w:p w:rsidR="00314BD8" w:rsidRDefault="00314BD8" w:rsidP="00314BD8">
      <w:pPr>
        <w:pStyle w:val="a3"/>
        <w:rPr>
          <w:kern w:val="0"/>
        </w:rPr>
      </w:pPr>
      <w:r>
        <w:rPr>
          <w:rFonts w:hint="eastAsia"/>
          <w:kern w:val="0"/>
        </w:rPr>
        <w:t xml:space="preserve">? </w:t>
      </w:r>
      <w:r>
        <w:rPr>
          <w:kern w:val="0"/>
        </w:rPr>
        <w:t xml:space="preserve">Parekh, S., Gardener, C., Ashley, P.F. and Walsh, T. (2014), Intraoperative local anaesthesia for reduction of postoperative pain following general anaesthesia for dental treatment in children and adolescents.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CD009742</w:t>
      </w:r>
      <w:r>
        <w:rPr>
          <w:kern w:val="0"/>
        </w:rPr>
        <w:t>.</w:t>
      </w:r>
    </w:p>
    <w:p w:rsidR="00314BD8" w:rsidRDefault="00314BD8" w:rsidP="00314BD8">
      <w:pPr>
        <w:pStyle w:val="a3"/>
      </w:pPr>
      <w:r>
        <w:t xml:space="preserve">Full Text: </w:t>
      </w:r>
      <w:r w:rsidRPr="004626B9">
        <w:t xml:space="preserve">2014\Coc Dat Sys Rev2014, </w:t>
      </w:r>
      <w:r w:rsidRPr="00F231DE">
        <w:t>CD009742</w:t>
      </w:r>
      <w:r w:rsidRPr="004626B9">
        <w:t>.pdf</w:t>
      </w:r>
    </w:p>
    <w:p w:rsidR="00314BD8" w:rsidRDefault="00314BD8" w:rsidP="00314BD8">
      <w:pPr>
        <w:pStyle w:val="a3"/>
        <w:rPr>
          <w:kern w:val="0"/>
        </w:rPr>
      </w:pPr>
      <w:r>
        <w:rPr>
          <w:kern w:val="0"/>
        </w:rPr>
        <w:t xml:space="preserve">Abstract: Background Whilst carrying out dental procedures under general anaesthesia (GA), practitioners routinely give local anaesthetics (LA) intraoperatively to children. Local anaesthetics are used to help manage postoperative pain and reduce bleeding and the physiological response to procedures. Studies of effectiveness of intraoperative LA to date have reported contradictory results. Objectives To assess the effects of intraoperative local anaesthesia for reducing postoperative pain following general anaesthesia for dental treatment in children and young people aged 17 years or younger. Search methods We searched the following electronic databases: the Cochrane Oral Health Group Trials Register; the Cochrane Central Register of Controlled Trials (CENTRAL) (The Cochrane Library, 2013, Issue 12), MEDLINE via OVID (1946 to 02 January 2014), EMBASE via OVID (1980 to 02 January 2014) and Web of Science Conference Proceedings (1990 to 02 January 2014). We searched for ongoing trials in the US National Institutes of Health Register, the metaRegister of Controlled Trials (mRCT) and the International Federation of Pharmaceutical Manufacturers &amp; Associations (IFPMA) Clinical Trials Portal. We did not place any restrictions on the language or date of publication when searching the electronic databases. Selection criteria Randomised controlled trials in which local anaesthetic was given intraoperatively under general anaesthesia for dental treatment of children and young people aged 17 years or younger. Data collection and analysis We used standard methodological procedures expected by The Cochrane Collaboration. We performed data extraction and assessment of risk of bias independently and in duplicate. We contacted authors to clarify omissions in trial reports. In the ‘Summary of findings’ tables, we elected to report the outcomes pain, distress, postoperative bleeding, and physiological parameters related to the general anaesthetic, as we considered these to be the outcomes of greatest importance to </w:t>
      </w:r>
      <w:r>
        <w:rPr>
          <w:kern w:val="0"/>
        </w:rPr>
        <w:lastRenderedPageBreak/>
        <w:t xml:space="preserve">readers of the review. Main results We included 14 trials in this review, with 1152 randomised participants. The studies were published between 1990 and 2009 and were conducted in the United Kingdom, Egypt, Saudi Arabia, and the United States. The age of participants ranged from 2 to 40 years. Three studies were at an overall high risk of bias, seven studies were at an unclear risk of bias, and we judged four studies to be at low risk of bias. The clinical heterogeneity of the included studies precluded pooling of studies in terms of method of administration of LA (e.g., intraligamental injection, infiltration injection, or topical delivery) and variation in the use of supplementary analgesics and follow-up time. Of the seven studies where administration of LA was by infiltration injection, six studies (very low-quality body of evidence, 542 participants analysed, 1 study had overall high risk of bias, 4 studies had overall unclear risk of bias, 1 study had overall low risk of bias) measured postoperative pain. The results were equivocal. There was a decrease in bleeding and increase in soft tissue damage in the LA groups, but we did not judge this to be clinically significant. In the 2 studies where administration of LA was by intraligamental injection, there was no difference in mean pain scores, and they did not report any soft tissue damage (very low-quality body of evidence, 115 participants analysed, 1 study had overall high risk of bias, 1 study had overall unclear risk of bias). One 3-armed study (very low-quality body of evidence, 54 participants analysed, overall high risk of bias) compared the effects of intraligamental and infiltration LA injection with no treatment. There was no evidence of a mean difference in pain, distress, or postoperative anxiety among the three groups. Four studies (very low-quality body of evidence, 343 participants analysed, 2 studies had overall low risk of bias, 2 studies had overall unclear risk of bias) evaluated the effects of topical LA compared with no treatment or placebo. One study (overall unclear risk of bias) with a no-treatment comparator reported lower mean pain in the LA group; all other studies reported no difference in mean pain scores. Two studies reported on bleeding (overall unclear risk of bias): One study reported a clinically insignificant increase in bleeding with no treatment; the other reported no difference. None of the studies reported on participant or child satisfaction. Authors’ conclusions In this review, it was difficult to reach firm conclusions as to the benefit of using local anaesthetic for dental treatment under general anaesthesia. The information reported in the included studies was comprehensive and applicable to the review question, but ultimately it was not sufficient to address the objective of the review. We were unable to pool the included studies in a meta-analysis because of substantial variation in outcome measures, interventions, and treatment types. The use of supplementary analgesia further obscured the effect of local anaesthetics. Based on the literature review and the results of this review, we recommend further randomised controlled trials that </w:t>
      </w:r>
      <w:r>
        <w:rPr>
          <w:kern w:val="0"/>
        </w:rPr>
        <w:lastRenderedPageBreak/>
        <w:t>minimise bias through adequate allocation concealment and blinding of participants and assessors, and assess the effect of intraoperative local anaesthetic on the volume and type of anaesthetic used and on the cardiovascular system in participants receiving supplementary analgesics as well. Researchers should give consideration to the impact of any changes on the health and well-being of the participant and report baseline measures of pain or distress, or both, and preoperative anxiety.</w:t>
      </w:r>
    </w:p>
    <w:p w:rsidR="00314BD8" w:rsidRDefault="00314BD8" w:rsidP="00314BD8">
      <w:pPr>
        <w:pStyle w:val="a3"/>
        <w:rPr>
          <w:kern w:val="0"/>
        </w:rPr>
      </w:pPr>
      <w:r>
        <w:rPr>
          <w:kern w:val="0"/>
        </w:rPr>
        <w:t>Keywords: Administration, Adolescents, Age, Aged, Allocation, Anaesthesia, Anaesthetics, Analgesia, Analgesics, Analysis, Anxiety, Assessment, Authors, Bias, Bleeding, Bupivacaine, Cardiovascular, Cardiovascular System, Changes, Child, Children, Clinical, Clinical Trials, Cochrane Collaboration, Collaboration, Collection, Conference, Criteria, Damage, Data, Data Collection, Databases, Delivery, Dental Treatment, Distress, Effectiveness, Effects, Egypt, Embase, Evidence, Extraction, Follow-Up, From, General, General Anaesthesia, General Anaesthetic, Groups, Health, Heterogeneity, Impact, Infiltration, Information, International, Interventions, Language, Literature, Literature Review, Local, Local Anaesthesia, Local Anaesthetics, Low Risk, Measures, Medline, Meta Analysis, Meta-Analysis, Metaanalysis, Methods, National Institutes Of Health, Oral, Oral-Surgery, Outcome, Outcome Measures, Outcomes, Pain, Pharmaceutical, Placebo, Postoperative, Postoperative Pain, Preoperative, Procedures, Proceedings, Publication, Randomised, Randomised Controlled Trials, Randomized Controlled-Trial, Reduction, Researchers, Response, Restrictions, Review, Risk, Satisfaction, Saudi Arabia, Science, Search, Soft Tissue, Standard, Tooth Extraction, Topical, Treatment, Trial, United Kingdom, United States, US, Volume, Web, Web Of Science, Well-Being, Young</w:t>
      </w:r>
    </w:p>
    <w:p w:rsidR="00314BD8" w:rsidRDefault="00314BD8" w:rsidP="00314BD8">
      <w:pPr>
        <w:pStyle w:val="a3"/>
        <w:rPr>
          <w:kern w:val="0"/>
        </w:rPr>
      </w:pPr>
      <w:r>
        <w:rPr>
          <w:rFonts w:hint="eastAsia"/>
          <w:kern w:val="0"/>
        </w:rPr>
        <w:t xml:space="preserve">? </w:t>
      </w:r>
      <w:r>
        <w:rPr>
          <w:kern w:val="0"/>
        </w:rPr>
        <w:t xml:space="preserve">Muzevic, D., Legcevic, J., Splavski, B. and Caye-Thomasen, P. (2014), Stereotactic radiotherapy for vestibular schwannoma.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CD009897</w:t>
      </w:r>
      <w:r>
        <w:rPr>
          <w:kern w:val="0"/>
        </w:rPr>
        <w:t>.</w:t>
      </w:r>
    </w:p>
    <w:p w:rsidR="00314BD8" w:rsidRDefault="00314BD8" w:rsidP="00314BD8">
      <w:pPr>
        <w:pStyle w:val="a3"/>
      </w:pPr>
      <w:r>
        <w:t xml:space="preserve">Full Text: </w:t>
      </w:r>
      <w:r w:rsidRPr="004626B9">
        <w:t xml:space="preserve">2014\Coc Dat Sys Rev2014, </w:t>
      </w:r>
      <w:r w:rsidRPr="00F231DE">
        <w:t>CD009897</w:t>
      </w:r>
      <w:r w:rsidRPr="004626B9">
        <w:t>.pdf</w:t>
      </w:r>
    </w:p>
    <w:p w:rsidR="00314BD8" w:rsidRDefault="00314BD8" w:rsidP="00314BD8">
      <w:pPr>
        <w:pStyle w:val="a3"/>
        <w:rPr>
          <w:kern w:val="0"/>
        </w:rPr>
      </w:pPr>
      <w:r>
        <w:rPr>
          <w:kern w:val="0"/>
        </w:rPr>
        <w:t xml:space="preserve">Abstract: Background Vestibular schwannomas (acoustic neuromas) are common benign tumours that arise from the Schwann cells of the vestibular nerve. Management options include observation with neuroradiological follow-up, microsurgical resection and stereotactic radiotherapy. Objectives To assess the effect of stereotactic radiotherapy compared to observation, microsurgical resection, any other treatment modality, or a combination of two or more of the above approaches for vestibular schwannoma. Search methods We searched the Cochrane Central Register of Controlled Trials; PubMed; EMBASE; CINAHL; Web of Science; CAB Abstracts; ISRCTN and additional sources for published and unpublished trials. The date of the search was 24 July 2014. Selection criteria Randomised controlled trials (RCTs) exploring the efficacy of stereotactic radiotherapy compared with </w:t>
      </w:r>
      <w:r>
        <w:rPr>
          <w:kern w:val="0"/>
        </w:rPr>
        <w:lastRenderedPageBreak/>
        <w:t>observation alone, microsurgical resection or any other possible treatment or combination of treatments in patients with a cerebellopontine angle tumour up to 3 cm in diameter, presumed to be a vestibular schwannoma. Data collection and analysis We used the standard methodological procedures expected by The Cochrane Collaboration. Main results No studies met the inclusion criteria for this review. Authors’ conclusions There is no high quality evidence in the literature from RCTs to determine whether stereotactic radiotherapy is better than microsurgical resection or observation alone for patients with a vestibular schwannoma. In the absence of such evidence, the treatment method should be chosen on an individual basis, taking into consideration the patient’s preferences, clinician experience and the availability of radiotherapeutic equipment. With the growing availability of radiotherapeutic equipment, randomised controlled trials should be undertaken to evaluate the role of stereotactic radiotherapy in comparison with other treatment options.</w:t>
      </w:r>
    </w:p>
    <w:p w:rsidR="00314BD8" w:rsidRDefault="00314BD8" w:rsidP="00314BD8">
      <w:pPr>
        <w:pStyle w:val="a3"/>
        <w:rPr>
          <w:kern w:val="0"/>
        </w:rPr>
      </w:pPr>
      <w:r>
        <w:rPr>
          <w:kern w:val="0"/>
        </w:rPr>
        <w:t>Keywords: Acoustic Neuromas, Analysis, Availability, Cab, Clinician, Cochrane Collaboration, Collaboration, Collection, Comparison, Conservative Management, Criteria, Data, Data Collection, Efficacy, Embase, Equipment, Evidence, Experience, Follow-Up, From, Gamma-Knife Radiosurgery, Growth, Literature, Management, Methods, Natural-History, Nerve, Observation, Options, Patients, Preservation, Procedures, Pubmed, Quality, Quality-Of-Life, Radiation, Radiotherapy, Randomised, Randomised Controlled Trials, Review, Role, Schwannomas, Science, Search, Sources, Standard, Stereotactic Radiotherapy, Surgery, Treatment, Web, Web Of Science</w:t>
      </w:r>
    </w:p>
    <w:p w:rsidR="009E1CAC" w:rsidRDefault="009E1CAC" w:rsidP="009E1CAC">
      <w:pPr>
        <w:pStyle w:val="a3"/>
        <w:rPr>
          <w:kern w:val="0"/>
        </w:rPr>
      </w:pPr>
      <w:r>
        <w:rPr>
          <w:rFonts w:hint="eastAsia"/>
          <w:kern w:val="0"/>
        </w:rPr>
        <w:t xml:space="preserve">? </w:t>
      </w:r>
      <w:r>
        <w:rPr>
          <w:kern w:val="0"/>
        </w:rPr>
        <w:t xml:space="preserve">Ullman, A.J., Aitken, L.M., Rattray, J., Kenardy, J., Le Brocque, R., MacGillivray, S. and Hull, A.M. (2014), Diaries for recovery from critical illness.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CD010468</w:t>
      </w:r>
      <w:r>
        <w:rPr>
          <w:kern w:val="0"/>
        </w:rPr>
        <w:t>.</w:t>
      </w:r>
    </w:p>
    <w:p w:rsidR="009E1CAC" w:rsidRDefault="009E1CAC" w:rsidP="009E1CAC">
      <w:pPr>
        <w:pStyle w:val="a3"/>
      </w:pPr>
      <w:r>
        <w:t xml:space="preserve">Full Text: </w:t>
      </w:r>
      <w:r w:rsidRPr="004626B9">
        <w:t xml:space="preserve">2014\Coc Dat Sys Rev2014, </w:t>
      </w:r>
      <w:r w:rsidRPr="00F231DE">
        <w:rPr>
          <w:kern w:val="0"/>
        </w:rPr>
        <w:t>CD010468</w:t>
      </w:r>
      <w:r w:rsidRPr="004626B9">
        <w:t>.pdf</w:t>
      </w:r>
    </w:p>
    <w:p w:rsidR="009E1CAC" w:rsidRDefault="009E1CAC" w:rsidP="009E1CAC">
      <w:pPr>
        <w:pStyle w:val="a3"/>
        <w:rPr>
          <w:kern w:val="0"/>
        </w:rPr>
      </w:pPr>
      <w:r>
        <w:rPr>
          <w:kern w:val="0"/>
        </w:rPr>
        <w:t xml:space="preserve">Abstract: Background During intensive care unit (ICU) admission, patients experience extreme physical and psychological stressors, including the abnormal ICU environment. These experiences impact on a patient’s recovery from critical illness and may result in both physical and psychological disorders. One strategy that has been developed and implemented by clinical staff to treat the psychological distress prevalent in ICU survivors is the use of patient diaries. These provide a background to the cause of the patient’s ICU admission and an ongoing narrative outlining day-to-day activities. Objectives To assess the effect of a diary versus no diary on patients, and their caregivers or families, during the patient’s recovery from admission to an ICU. Search methods We searched the Cochrane Central Register of Controlled Trials (CENTRAL; 2014, Issue 1), Ovid MEDLINE (1950 to January 2014), EBSCOhost CINAHL (1982 to January 2014), Ovid EMBASE (1980 to January 2014), PsycINFO(1950 to January 2014), Published International Literature </w:t>
      </w:r>
      <w:r>
        <w:rPr>
          <w:kern w:val="0"/>
        </w:rPr>
        <w:lastRenderedPageBreak/>
        <w:t xml:space="preserve">on Traumatic Stress (PILOTS) database (1971 to January 2014); Web of Science Conference Proceedings Citation Index - Science and Social Science and Humanities (1990 to January 2014); seven clinical trial registries and reference lists of identified trials. We applied no language restriction. Selection criteria We included randomized controlled trials (RCTs) or clinical controlled trials (CCTs) that evaluated the effectiveness of patient diaries, when compared to no ICU diary, for patients or family members to promote recovery after admission to ICU. Outcome measures for describing recovery from ICU included the risk of post-traumatic stress disorder (PTSD), anxiety, depression and post-traumatic stress symptomatology, health-related quality of life and costs. Data collection and analysis We used standard methodological approaches as expected by The Cochrane Collaboration. Two review authors independently reviewed titles for inclusion, extracted data and undertook risk of bias according to prespecified criteria. Main results We identified three eligible studies; two describing ICU patients (N = 358), and one describing relatives of ICU patients (N = 30). The study involving relatives of ICU patients was a substudy of family members from one of the ICU patient studies. There was a mixed risk of bias within the included studies. Blinding of participants to allocation was not possible and blinding of the outcome assessment was not adequately achieved or reported. Overall the quality of the evidence was low to very low. The patient diary intervention was not identical between studies. However, each provided a prospectively prepared, day-to-day description of the participants’ ICU admission. No study adequately reported on risk of PTSD as described using a clinical interview, family or caregiver anxiety or depression, health-related quality of life or costs. Within a single study there was no clear evidence of a difference in risk for developing anxiety (risk ratio (RR) 0.29, 95% confidence interval (CI) 0.07 to 1.19) or depression (RR 0.38, 95% CI 0.12 to 1.19) in participants who received ICU diaries, in comparison to those that did not receive a patient diary. However, the results were imprecise and consistent with benefit in either group, or no difference. Within a single study there was no evidence of difference in median post-traumatic stress symptomatology scores (diaries 24, SD 11.6; no diary 24, SD 11.6) and delusional ICU memory recall (RR 1.04, 95% CI 0.84 to 1.28) between the patients recovering from ICU admission who received patient diaries, and those who did not. One study reported reduced post-traumatic stress symptomatology in family members of patients recovering from admission to ICU who received patient diaries (median 19; range 14 to 28), in comparison to no diary (median 28; range 14 to 38). Authors’ conclusions Currently there is minimal evidence from RCTs of the benefits or harms of patient diaries for patients and their caregivers or family members. A small study has described their potential to reduce post-traumatic stress symptomatology in family members. However, there is currently inadequate </w:t>
      </w:r>
      <w:r>
        <w:rPr>
          <w:kern w:val="0"/>
        </w:rPr>
        <w:lastRenderedPageBreak/>
        <w:t>evidence to support their effectiveness in improving psychological recovery after critical illness for patients and their family members.</w:t>
      </w:r>
    </w:p>
    <w:p w:rsidR="009E1CAC" w:rsidRDefault="009E1CAC" w:rsidP="009E1CAC">
      <w:pPr>
        <w:pStyle w:val="a3"/>
        <w:rPr>
          <w:kern w:val="0"/>
        </w:rPr>
      </w:pPr>
      <w:r>
        <w:rPr>
          <w:kern w:val="0"/>
        </w:rPr>
        <w:t>Keywords: Admission To Icu, Allocation, Analysis, Anxiety, Assessment, Authors, Benefits, Bias, Care, Caregivers, Citation, Clinical, Clinical Trial, Cochrane Collaboration, Collaboration, Collection, Comparison, Conference, Confidence, Controlled-Trial, Costs, Criteria, Critical Illness, Data, Data Collection, Database, Depression, Developing, Distress, Effectiveness, Embase, Environment, Evidence, Experience, Families, Family, Family Members, Follow-Up, From, Health-Related Quality Of Life, Humanities, Icu, Impact, Intensive Care, Intensive Care Unit, Intensive-Care-Unit, International, Interval, Intervention, Language, Life, Literature, Measures, Medline, Memory, Methods, N, Outcome, Outcome Assessment, Outcomes, Patient Diaries, Patients, Physical, Post Traumatic Stress Disorder, Post-Traumatic Stress, Post-Traumatic Stress Disorder, Posttraumatic Stress, Posttraumatic Stress Disorder, Posttraumatic-Stress-Disorder, Potential, Proceedings, Psychological, Psychological Distress, Ptsd, Quality, Quality Of, Quality Of Life, Quality-Of-Life, Randomized, Randomized Controlled Trials, Recall, Recovery, Reference, Reference Lists, Registries, Review, Risk, Science, Search, Small, Standard, Strategy, Stress, Stressors, Support, Symptoms, Trial, Web, Web Of Science</w:t>
      </w:r>
    </w:p>
    <w:p w:rsidR="00EB0F33" w:rsidRDefault="00EB0F33" w:rsidP="00EB0F33">
      <w:pPr>
        <w:pStyle w:val="a3"/>
        <w:rPr>
          <w:kern w:val="0"/>
        </w:rPr>
      </w:pPr>
      <w:r>
        <w:rPr>
          <w:rFonts w:hint="eastAsia"/>
          <w:kern w:val="0"/>
        </w:rPr>
        <w:t xml:space="preserve">? </w:t>
      </w:r>
      <w:r>
        <w:rPr>
          <w:kern w:val="0"/>
        </w:rPr>
        <w:t xml:space="preserve">Ashby, M., Haug, G., Mulcahy, P., Ogden, K.J., Jensen, O. and Walters, J.A.E. (2014), Conservative versus interventional management for primary spontaneous pneumothorax in adults.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091354">
        <w:rPr>
          <w:kern w:val="0"/>
        </w:rPr>
        <w:t>CD010565</w:t>
      </w:r>
      <w:r>
        <w:rPr>
          <w:kern w:val="0"/>
        </w:rPr>
        <w:t>.</w:t>
      </w:r>
    </w:p>
    <w:p w:rsidR="00EB0F33" w:rsidRDefault="00EB0F33" w:rsidP="00EB0F33">
      <w:pPr>
        <w:pStyle w:val="a3"/>
      </w:pPr>
      <w:r>
        <w:t xml:space="preserve">Full Text: </w:t>
      </w:r>
      <w:r w:rsidRPr="004626B9">
        <w:t xml:space="preserve">2014\Coc Dat Sys Rev2014, </w:t>
      </w:r>
      <w:r w:rsidRPr="00091354">
        <w:t>CD010565</w:t>
      </w:r>
      <w:r w:rsidRPr="004626B9">
        <w:t>.pdf</w:t>
      </w:r>
    </w:p>
    <w:p w:rsidR="00EB0F33" w:rsidRDefault="00EB0F33" w:rsidP="00EB0F33">
      <w:pPr>
        <w:pStyle w:val="a3"/>
        <w:rPr>
          <w:kern w:val="0"/>
        </w:rPr>
      </w:pPr>
      <w:r>
        <w:rPr>
          <w:kern w:val="0"/>
        </w:rPr>
        <w:t xml:space="preserve">Abstract: Background Primary spontaneous pneumothorax is widely managed according to size with interventional techniques based on practice guidelines. Interventional management is not without complications and observational data suggest conservative management works. The current guidelines are based on expert consensus rather than evidence, and a systematic review may help in identifying evidence for this practice. Objectives The objective of the review is to compare conservative and interventional treatments of adult primary spontaneous pneumothorax for outcomes of clinical efficacy, tolerability and safety. Search methods We searched the Cochrane Central Register of Controlled Trials (CENTRAL), (The Cochrane Library, Issue 6, 2014); MEDLINE via Ovid SP (1920 to 26th June 2014); EMBASE via Ovid SP (1947 to 26th June 2014); CINAHL via EBSCO host (1980 to 26th June 2014); and ISI Web of Science (1945 to 26th June 2014). We searched ongoing trials via the relevant databases and contacted authors. We also searched the ‘grey literature’. Selection criteria We included randomized controlled trials (RCTs) and we accepted quasi-RCTs if a systematic method of </w:t>
      </w:r>
      <w:r>
        <w:rPr>
          <w:kern w:val="0"/>
        </w:rPr>
        <w:lastRenderedPageBreak/>
        <w:t>allocation was used. Participants were limited to adults aged 18 to 50 years, with their first symptomatic primary spontaneous pneumothorax with radiological evidence and no underlying lung disease. Data collection and analysis Two of five authors independently reviewed all studies in the search criteria and made inclusions and exclusions according to the selection criteria. No statistical methods were necessary as there were no included trials. Main results We identified 358 studies with duplicates removed. There were three potentially relevant studies that we excluded as they were not randomized controlled trials. There was one ongoing trial that was relevant and we contacted the authors and confirmed the study is ongoing at June 2014. We will update this review when this ongoing study is completed. Authors’ conclusions There are no completed randomized controlled trials comparing conservative and interventional management for primary spontaneous pneumothorax in adults. There is a lack of high-quality evidence for current guidelines in management and a need for randomized controlled trials comparing conservative and interventional management for this condition.</w:t>
      </w:r>
    </w:p>
    <w:p w:rsidR="00EB0F33" w:rsidRDefault="00EB0F33" w:rsidP="00EB0F33">
      <w:pPr>
        <w:pStyle w:val="a3"/>
        <w:rPr>
          <w:kern w:val="0"/>
        </w:rPr>
      </w:pPr>
      <w:r>
        <w:rPr>
          <w:kern w:val="0"/>
        </w:rPr>
        <w:t>Keywords: Adult, Aged, Allocation, Analysis, Authors, Clinical, Collection, Complications, Consensus, Conservative, Conservative Management, Criteria, Data, Data Collection, Databases, Disease, Efficacy, Embase, Evidence, First, Guidelines, Host, ISI, ISI Web Of Science, Literature, Lung, Management, Medline, Methods, Observational, Outcomes, Practice, Practice Guidelines, Primary, Randomized, Randomized Controlled Trials, Review, Safety, Science, Search, Selection, Selection Criteria, Size, Spontaneous, Systematic, Systematic Review, Techniques, Trial, Web, Web Of Science</w:t>
      </w:r>
    </w:p>
    <w:p w:rsidR="00EB0F33" w:rsidRDefault="00EB0F33" w:rsidP="00EB0F33">
      <w:pPr>
        <w:pStyle w:val="a3"/>
        <w:rPr>
          <w:kern w:val="0"/>
        </w:rPr>
      </w:pPr>
      <w:r>
        <w:rPr>
          <w:rFonts w:hint="eastAsia"/>
          <w:kern w:val="0"/>
        </w:rPr>
        <w:t xml:space="preserve">? </w:t>
      </w:r>
      <w:r>
        <w:rPr>
          <w:kern w:val="0"/>
        </w:rPr>
        <w:t xml:space="preserve">Gurusamy, K.S., Nagendran, M., Broadhurst, J.F., Anker, S.D. and Richards, T. (2014), Iron therapy in anaemic adults without chronic kidney disease. </w:t>
      </w:r>
      <w:r>
        <w:rPr>
          <w:i/>
          <w:iCs/>
          <w:kern w:val="0"/>
        </w:rPr>
        <w:t>Cochrane Database of Systematic Reviews</w:t>
      </w:r>
      <w:r>
        <w:rPr>
          <w:kern w:val="0"/>
        </w:rPr>
        <w:t xml:space="preserve">, </w:t>
      </w:r>
      <w:r w:rsidRPr="00091354">
        <w:rPr>
          <w:b/>
          <w:kern w:val="0"/>
        </w:rPr>
        <w:t>1</w:t>
      </w:r>
      <w:r>
        <w:rPr>
          <w:rFonts w:hint="eastAsia"/>
          <w:b/>
          <w:kern w:val="0"/>
        </w:rPr>
        <w:t>2</w:t>
      </w:r>
      <w:r>
        <w:rPr>
          <w:rFonts w:hint="eastAsia"/>
          <w:kern w:val="0"/>
        </w:rPr>
        <w:t>,</w:t>
      </w:r>
      <w:r w:rsidRPr="00DC3A2A">
        <w:rPr>
          <w:kern w:val="0"/>
        </w:rPr>
        <w:t xml:space="preserve"> </w:t>
      </w:r>
      <w:r w:rsidRPr="001F3C06">
        <w:rPr>
          <w:kern w:val="0"/>
        </w:rPr>
        <w:t xml:space="preserve">Article Number: </w:t>
      </w:r>
      <w:r w:rsidRPr="00F231DE">
        <w:rPr>
          <w:kern w:val="0"/>
        </w:rPr>
        <w:t>CD010640</w:t>
      </w:r>
      <w:r>
        <w:rPr>
          <w:kern w:val="0"/>
        </w:rPr>
        <w:t>.</w:t>
      </w:r>
    </w:p>
    <w:p w:rsidR="00EB0F33" w:rsidRDefault="00EB0F33" w:rsidP="00EB0F33">
      <w:pPr>
        <w:pStyle w:val="a3"/>
      </w:pPr>
      <w:r>
        <w:t xml:space="preserve">Full Text: </w:t>
      </w:r>
      <w:r w:rsidRPr="004626B9">
        <w:t xml:space="preserve">2014\Coc Dat Sys Rev2014, </w:t>
      </w:r>
      <w:r w:rsidRPr="00F231DE">
        <w:t>CD010640</w:t>
      </w:r>
      <w:r w:rsidRPr="004626B9">
        <w:t>.pdf</w:t>
      </w:r>
    </w:p>
    <w:p w:rsidR="00EB0F33" w:rsidRDefault="00EB0F33" w:rsidP="00EB0F33">
      <w:pPr>
        <w:pStyle w:val="a3"/>
        <w:rPr>
          <w:kern w:val="0"/>
        </w:rPr>
      </w:pPr>
      <w:r>
        <w:rPr>
          <w:kern w:val="0"/>
        </w:rPr>
        <w:t xml:space="preserve">Abstract: Background Anaemia affects about a quarter of the world’s population. An estimated 50% of anaemic people have anaemia due to iron deficiency. Objectives To assess the safety and efficacy of iron therapies for the treatment of adults with anaemia who are not pregnant or lactating and do not have chronic kidney disease. Search methods We ran the search on 11 July 2013. We searched the Cochrane Central Register of Controlled Trials (CENTRAL), PubMed, EMBASE (Ovid SP), the Cumulative Index to Nursing and Allied Health Literature (CINAHL) Plus (EBSCO Host), the Institute for Scientific Information Web of Science (ISI WOS) Scientific Citation Index (SCI)-EXPANDED (1970) and Conference Proceedings Citation Index (CPCI)-Science (1990) and Clinicaltrials.gov; we also screened reference lists. An updated search was run on 24 November 2014 but the results have not yet been incorporated into the review. Selection criteria Two review authors </w:t>
      </w:r>
      <w:r>
        <w:rPr>
          <w:kern w:val="0"/>
        </w:rPr>
        <w:lastRenderedPageBreak/>
        <w:t xml:space="preserve">independently selected references for further assessment by going through all titles and abstracts. Further selection was based on review of full-text articles for selected references. Data collection and analysis Two review authors independently extracted study data. We calculated the risk ratio (RR) with 95% confidence interval (CI) for binary outcomes and the mean difference (MD) or the standardised mean difference (SMD) with 95% CI for continuous outcomes. We performed meta-analysis when possible, when I-2 was less than or equal to 80% using a fixed-effect or random-effects model, using Review Manager software. The range of point estimates for individual studies is presented when I-2 &gt; 80%. Main results We included in this systematic review 4745 participants who were randomly assigned in 21 trials. Trials were conducted in a wide variety of clinical settings. Most trials included participants with mild to moderate anaemia and excluded participants who were allergic to iron therapy. All trials were at high risk of bias for one or more domains. We compared both oral iron and parenteral iron versus inactive controls and compared different iron preparations. The comparison between oral iron and inactive control revealed no evidence of clinical benefit in terms of mortality (RR 1.05, 95% CI 0.68 to 1.61; four studies, N = 659; very low-quality evidence). The point estimate of the mean difference in haemoglobin levels in individual studies ranged from 0.3 to 3.1 g/dL higher in the oral iron group than in the inactive control group. The proportion of participants who required blood transfusion was lower with oral iron than with inactive control (RR 0.74, 95% CI 0.55 to 0.99; three studies, N = 546; very low-quality evidence). Evidence was inadequate for determination of the effect of parenteral iron on mortality versus oral iron (RR 1.49, 95% CI 0.56 to 3.94; 10 studies, N = 2141; very low-quality evidence) or inactive control (RR 1.04, 95% CI 0.63 to 1.69; six studies, N = 1009; very low-quality evidence). Haemoglobin levels were higher with parenteral iron than with oral iron (MD -0.50 g/dL, 95% CI -0.73 to -0.27; six studies, N = 769; very low-quality evidence). The point estimate of the mean difference in haemoglobin levels in individual studies ranged between 0.3 and 3.0 g/dL higher in the parenteral iron group than in the inactive control group. Differences in the proportion of participants requiring blood transfusion between parenteral iron and oral iron groups (RR 0.61, 95% CI 0.24 to 1.58; two studies, N = 371; very low-quality evidence) or between parenteral iron groups and inactive controls (RR 0.84, 95% CI 0.66 to 1.06; eight studies, N = 1315; very low-quality evidence) were imprecise. Average blood volume transfused was less in the parenteral iron group than in the oral iron group (MD -0.54 units, 95% CI -0.96 to -0.12; very low-quality evidence) based on one study involving 44 people. Differences between therapies in quality of life or in the proportion of participants with serious adverse events were imprecise (very low-quality evidence). No trials reported severe allergic reactions due to parenteral iron, suggesting that these are rare. </w:t>
      </w:r>
      <w:r>
        <w:rPr>
          <w:kern w:val="0"/>
        </w:rPr>
        <w:lastRenderedPageBreak/>
        <w:t>Adverse effects related to oral iron treatment included nausea, diarrhoea and constipation; most were mild. Comparisons of one iron preparation over another for mortality, haemoglobin or serious adverse events were imprecise. No information was available on quality of life. Thus, little evidence was found to support the use of one preparation or regimen over another. Subgroup analyses did not reveal consistent results; therefore we were unable to determine whether iron is useful in specific clinical situations, or whether iron therapy might be useful for people who are receiving erythropoietin. Authors’ conclusions Very low-quality evidence suggests that oral iron might decrease the proportion of people who require blood transfusion, and no evidence indicates that it decreases mortality. Oral iron might be useful in adults who can tolerate the adverse events, which are usually mild. Very low-quality evidence suggests that intravenous iron results in a modest increase in haemoglobin levels compared with oral iron or inactive control without clinical benefit. No evidence can be found to show any advantage of one iron preparation or regimen over another. Additional randomised controlled trials with low risk of bias and powered to measure clinically useful outcomes such as mortality, quality of life and blood transfusion requirements are needed.</w:t>
      </w:r>
    </w:p>
    <w:p w:rsidR="00EB0F33" w:rsidRDefault="00EB0F33" w:rsidP="00EB0F33">
      <w:pPr>
        <w:pStyle w:val="a3"/>
        <w:rPr>
          <w:kern w:val="0"/>
        </w:rPr>
      </w:pPr>
      <w:r>
        <w:rPr>
          <w:kern w:val="0"/>
        </w:rPr>
        <w:t>Keywords: Abstracts, Adverse Effects, Adverse Events, Anaemia, Analyses, Analysis, Articles, Assessment, Authors, Bias, Blood, Blood Transfusion, Blood Volume, Chemotherapy-Induced Anemia, Chronic, Chronic Heart-Failure, Chronic Kidney Disease, Citation, Clinical, Collection, Comparison, Conference, Confidence, Constipation, Control, Correcting Preoperative Anemia, Criteria, Data, Data Collection, Diarrhoea, Differences, Disease, Effects, Efficacy, Embase, Erythropoietin, Estimates, Events, Every 3 Weeks, Evidence, From, Groups, Haemoglobin Levels, Health, Inflammatory-Bowel-Disease, Information, Institute For Scientific Information, Interval, Intravenous, Intravenous Ferric Carboxymaltose, Iron, Isi, Kidney, Kidney Disease, Lactating, Life, Literature, Low Risk, Lower-Limb Arthroplasty, Measure, Meta Analysis, Meta-Analysis, Metaanalysis, Methods, Mild, Model, Mortality, N, Nausea, Not Pregnant, Nursing, Observer-Blinded Trial, Oral, Outcomes, Placebo-Controlled Trial, Population, Pregnant, Preparation, Proceedings, Pubmed, Quality, Quality Of, Quality Of Life, Random Effects Model, Randomised, Randomised Controlled Trials, Randomized Controlled-Trial, Reference, Reference Lists, References, Review, Risk, Safety, Science, Search, Selection, Software, Support, Systematic, Systematic Review, Therapy, Transfusion, Treatment, Volume, Web, Web Of Science, Wos</w:t>
      </w:r>
    </w:p>
    <w:p w:rsidR="00EB0F33" w:rsidRDefault="00EB0F33" w:rsidP="00EB0F33">
      <w:pPr>
        <w:pStyle w:val="a3"/>
        <w:rPr>
          <w:kern w:val="0"/>
        </w:rPr>
      </w:pPr>
      <w:r>
        <w:rPr>
          <w:rFonts w:hint="eastAsia"/>
          <w:kern w:val="0"/>
        </w:rPr>
        <w:t xml:space="preserve">? </w:t>
      </w:r>
      <w:r>
        <w:rPr>
          <w:kern w:val="0"/>
        </w:rPr>
        <w:t xml:space="preserve">Abba, K., Kirkham, A.J., Olliaro, P.L., Deeks, J.J., Donegan, S., Garner, P. and Takwoingi, Y. (2014), Rapid diagnostic tests for diagnosing uncomplicated non-falciparum or Plasmodium vivax malaria in endemic countries. </w:t>
      </w:r>
      <w:r>
        <w:rPr>
          <w:i/>
          <w:iCs/>
          <w:kern w:val="0"/>
        </w:rPr>
        <w:t>Cochrane Database of Systematic Reviews</w:t>
      </w:r>
      <w:r>
        <w:rPr>
          <w:kern w:val="0"/>
        </w:rPr>
        <w:t xml:space="preserve">, </w:t>
      </w:r>
      <w:r w:rsidRPr="00091354">
        <w:rPr>
          <w:b/>
          <w:kern w:val="0"/>
        </w:rPr>
        <w:t>12</w:t>
      </w:r>
      <w:r>
        <w:rPr>
          <w:rFonts w:hint="eastAsia"/>
          <w:kern w:val="0"/>
        </w:rPr>
        <w:t>,</w:t>
      </w:r>
      <w:r w:rsidRPr="00DC3A2A">
        <w:rPr>
          <w:kern w:val="0"/>
        </w:rPr>
        <w:t xml:space="preserve"> </w:t>
      </w:r>
      <w:r w:rsidRPr="001F3C06">
        <w:rPr>
          <w:kern w:val="0"/>
        </w:rPr>
        <w:t xml:space="preserve">Article Number: </w:t>
      </w:r>
      <w:r w:rsidRPr="00091354">
        <w:rPr>
          <w:kern w:val="0"/>
        </w:rPr>
        <w:t>CD011431</w:t>
      </w:r>
      <w:r>
        <w:rPr>
          <w:kern w:val="0"/>
        </w:rPr>
        <w:t>.</w:t>
      </w:r>
    </w:p>
    <w:p w:rsidR="00EB0F33" w:rsidRDefault="00EB0F33" w:rsidP="00EB0F33">
      <w:pPr>
        <w:pStyle w:val="a3"/>
      </w:pPr>
      <w:r>
        <w:lastRenderedPageBreak/>
        <w:t xml:space="preserve">Full Text: </w:t>
      </w:r>
      <w:r w:rsidRPr="004626B9">
        <w:t xml:space="preserve">2014\Coc Dat Sys Rev2014, </w:t>
      </w:r>
      <w:r w:rsidRPr="00091354">
        <w:t>CD011431</w:t>
      </w:r>
      <w:r w:rsidRPr="004626B9">
        <w:t>.pdf</w:t>
      </w:r>
    </w:p>
    <w:p w:rsidR="00EB0F33" w:rsidRDefault="00EB0F33" w:rsidP="00EB0F33">
      <w:pPr>
        <w:pStyle w:val="a3"/>
        <w:rPr>
          <w:kern w:val="0"/>
        </w:rPr>
      </w:pPr>
      <w:r>
        <w:rPr>
          <w:kern w:val="0"/>
        </w:rPr>
        <w:t xml:space="preserve">Abstract: Background In settings where both Plasmodium vivax and Plasmodium falciparum infection cause malaria, rapid diagnostic tests (RDTs) need to distinguish which species is causing the patients’ symptoms, as different treatments are required. Older RDTs incorporated two test lines to distinguish malaria due to P. falciparum, from malaria due to any other Plasmodium species (non-falciparum). These RDTs can be classified according to which antibodies they use: Type 2 RDTs use HRP-2 (for P. falciparum) and aldolase (all species); Type 3 RDTs use HRP-2 (for P. falciparum) and pLDH (all species); Type 4 use pLDH (fromP. falciparum) and pLDH (all species). More recently, RDTs have been developed to distinguish P. vivax parasitaemia by utilizing a pLDH antibody specific to P. vivax. Objectives To assess the diagnostic accuracy of RDTs for detecting non-falciparum or P. vivax parasitaemia in people living in malaria-endemic areas who present to ambulatory healthcare facilities with symptoms suggestive of malaria, and to identify which types and brands of commercial test best detect non-falciparum and P. vivax malaria. Search methods We undertook a comprehensive search of the following databases up to 31 December 2013: Cochrane Infectious Diseases Group Specialized Register; MEDLINE; EMBASE; MEDION; Science Citation Index; Web of Knowledge; African Index Medicus; LILACS; and IndMED. Selection criteria Studies comparing RDTs with a reference standard (microscopy or polymerase chain reaction) in blood samples from a random or consecutive series of patients attending ambulatory health facilities with symptoms suggestive of malaria in non-falciparum endemic areas. Data collection and analysis For each study, two review authors independently extracted a standard set of data using a tailored data extraction form. We grouped comparisons by type of RDT (defined by the combinations of antibodies used), and combined in meta-analysis where appropriate. Average sensitivities and specificities are presented alongside 95% confidence intervals (95% CI). Main results We included 47 studies enrolling 22,862 participants. Patient characteristics, sampling methods and reference standard methods were poorly reported in most studies. RDTs detecting ‘non-falciparum’ parasitaemia Eleven studies evaluated Type 2 tests compared with microscopy, 25 evaluated Type 3 tests, and 11 evaluated Type 4 tests. In metaanalyses, average sensitivities and specificities were 78% (95% CI 73% to 82%) and 99% (95% CI 97% to 99%) for Type 2 tests, 78% (95% CI 69% to 84%) and 99% (95% CI 98% to 99%) for Type 3 tests, and 89% (95% CI 79% to 95%) and 98% (95% CI 97% to 99%) for Type 4 tests, respectively. Type 4 tests were more sensitive than both Type 2 (P = 0.01) and Type 3 tests (P = 0.03). Five studies compared Type 3 tests with PCR; in meta-analysis, the average sensitivity and specificity were 81% (95% CI 72% to 88%) and 99% (95% CI 97% to 99%) respectively. RDTs detecting P. vivax parasitaemia Eight studies compared pLDH </w:t>
      </w:r>
      <w:r>
        <w:rPr>
          <w:kern w:val="0"/>
        </w:rPr>
        <w:lastRenderedPageBreak/>
        <w:t>tests to microscopy; the average sensitivity and specificity were 95% (95% CI 86% to 99%) and 99% (95% CI 99% to 100%), respectively. Authors’ conclusions RDTs designed to detect P. vivax specifically, whether alone or as part of a mixed infection, appear to be more accurate than older tests designed to distinguish P. falciparum malaria from non-falciparum malaria. Compared to microscopy, these tests fail to detect around 5% of P. vivax cases. This Cochrane Review, in combination with other published information about in vitro test performance and stability in the field, can assist policy-makers to choose between the available RDTs.</w:t>
      </w:r>
    </w:p>
    <w:p w:rsidR="00EB0F33" w:rsidRDefault="00EB0F33" w:rsidP="00EB0F33">
      <w:pPr>
        <w:pStyle w:val="a3"/>
        <w:rPr>
          <w:kern w:val="0"/>
        </w:rPr>
      </w:pPr>
      <w:r>
        <w:rPr>
          <w:kern w:val="0"/>
        </w:rPr>
        <w:t>Keywords: Accuracy, Ambulatory, Analysis, Antibodies, Antibody, Antigen-Capture Assay, Authors, Blood, Characteristics, Citation, Collection, Confidence, Confidence Intervals, Criteria, Data, Data Collection, Databases, Diagnostic, Diagnostic Accuracy, Diagnostic Tests, Embase, Extraction, Facilities, Field, From, Guiding Outpatient Treatment, Health, Histidine-Rich Protein-2, In Vitro, Infection, Information, Intervals, Knowledge, Laboratory Comparative-Evaluation, Living, Malaria, Medline, Meta Analysis, Meta-Analysis, Metaanalysis, Methods, Microscopy, Older, P, P.F, P.V Immunochromatographic Test, Parasight(Tm)-F Dipstick Test, Parasite Lactate-Dehydrogenase, Patient, Patients, Pcr, Performance, Plasmodium Falciparum, Plasmodium Vivax, Polymerase Chain Reaction, Polymerase-Chain-Reaction, Primary-Health-Care, Rapid Diagnostic Tests, Real-Time Pcr, Reference, Review, Sampling, Sampling Methods, Science, Science Citation Index, Search, Sensitivity, Species, Specificity, Stability, Standard, Symptoms, Web, Web Of Knowledge</w:t>
      </w:r>
    </w:p>
    <w:p w:rsidR="00DC226A" w:rsidRDefault="00DC226A" w:rsidP="00DC226A">
      <w:pPr>
        <w:pStyle w:val="a3"/>
        <w:rPr>
          <w:kern w:val="0"/>
        </w:rPr>
      </w:pPr>
      <w:r>
        <w:rPr>
          <w:rFonts w:hint="eastAsia"/>
          <w:kern w:val="0"/>
        </w:rPr>
        <w:t xml:space="preserve">? </w:t>
      </w:r>
      <w:r>
        <w:rPr>
          <w:kern w:val="0"/>
        </w:rPr>
        <w:t xml:space="preserve">Bellolio, M.F., Gilmore, R.M. and Ganti, L. (2014), Insulin for glycaemic control in acute ischaemic stroke. </w:t>
      </w:r>
      <w:r>
        <w:rPr>
          <w:i/>
          <w:iCs/>
          <w:kern w:val="0"/>
        </w:rPr>
        <w:t>Cochrane Database</w:t>
      </w:r>
      <w:r w:rsidR="00427468">
        <w:rPr>
          <w:i/>
          <w:iCs/>
          <w:kern w:val="0"/>
        </w:rPr>
        <w:t xml:space="preserve"> of </w:t>
      </w:r>
      <w:r>
        <w:rPr>
          <w:i/>
          <w:iCs/>
          <w:kern w:val="0"/>
        </w:rPr>
        <w:t>Systematic Reviews</w:t>
      </w:r>
      <w:r>
        <w:rPr>
          <w:kern w:val="0"/>
        </w:rPr>
        <w:t xml:space="preserve">, </w:t>
      </w:r>
      <w:r w:rsidRPr="003E3604">
        <w:rPr>
          <w:b/>
          <w:kern w:val="0"/>
        </w:rPr>
        <w:t>1</w:t>
      </w:r>
      <w:r>
        <w:rPr>
          <w:kern w:val="0"/>
        </w:rPr>
        <w:t xml:space="preserve">, Article Number: </w:t>
      </w:r>
      <w:r w:rsidRPr="003E3604">
        <w:rPr>
          <w:kern w:val="0"/>
        </w:rPr>
        <w:t>CD005346</w:t>
      </w:r>
      <w:r>
        <w:rPr>
          <w:kern w:val="0"/>
        </w:rPr>
        <w:t>.</w:t>
      </w:r>
    </w:p>
    <w:p w:rsidR="00DC226A" w:rsidRDefault="00DC226A" w:rsidP="00DC226A">
      <w:pPr>
        <w:pStyle w:val="a3"/>
        <w:rPr>
          <w:kern w:val="2"/>
        </w:rPr>
      </w:pPr>
      <w:r>
        <w:t>Full Text: 201</w:t>
      </w:r>
      <w:r>
        <w:rPr>
          <w:rFonts w:hint="eastAsia"/>
        </w:rPr>
        <w:t>4</w:t>
      </w:r>
      <w:r>
        <w:t>\Coc Dat Sys Rev201</w:t>
      </w:r>
      <w:r>
        <w:rPr>
          <w:rFonts w:hint="eastAsia"/>
        </w:rPr>
        <w:t>4</w:t>
      </w:r>
      <w:r>
        <w:t xml:space="preserve">, </w:t>
      </w:r>
      <w:r w:rsidRPr="003E3604">
        <w:rPr>
          <w:kern w:val="0"/>
        </w:rPr>
        <w:t>CD005346</w:t>
      </w:r>
      <w:r>
        <w:t>.pdf</w:t>
      </w:r>
    </w:p>
    <w:p w:rsidR="00DC226A" w:rsidRDefault="00DC226A" w:rsidP="00DC226A">
      <w:pPr>
        <w:pStyle w:val="a3"/>
        <w:rPr>
          <w:kern w:val="0"/>
        </w:rPr>
      </w:pPr>
      <w:r>
        <w:rPr>
          <w:kern w:val="0"/>
        </w:rPr>
        <w:t>Abstract: Background People with hyperglycaemia concomitant with an acute stroke have greater mortality, stroke severity, and functional impairment when compared with those with normoglycaemia at stroke presentation. This is an update</w:t>
      </w:r>
      <w:r w:rsidR="00427468">
        <w:rPr>
          <w:kern w:val="0"/>
        </w:rPr>
        <w:t xml:space="preserve"> of </w:t>
      </w:r>
      <w:r>
        <w:rPr>
          <w:kern w:val="0"/>
        </w:rPr>
        <w:t>a Cochrane Review first published in 2011. Objectives To determine whether intensively monitoring insulin therapy aimed at maintaining serum glucose within a specific normal range (4 to 7.5 mmol/L) in the first 24 hours</w:t>
      </w:r>
      <w:r w:rsidR="00427468">
        <w:rPr>
          <w:kern w:val="0"/>
        </w:rPr>
        <w:t xml:space="preserve"> of </w:t>
      </w:r>
      <w:r>
        <w:rPr>
          <w:kern w:val="0"/>
        </w:rPr>
        <w:t>acute ischaemic stroke influences outcome. Search methods We searched the Cochrane Stroke Group Trials Register (September 2013), CENTRAL (The Cochrane Library 2013, Issue 8), MEDLINE (1950 to September 2013), EMBASE (1980 to September 2013), CINAHL (1982 to September 2013), Science Citation Index (1900 to September 2013), and Web</w:t>
      </w:r>
      <w:r w:rsidR="00427468">
        <w:rPr>
          <w:kern w:val="0"/>
        </w:rPr>
        <w:t xml:space="preserve"> of </w:t>
      </w:r>
      <w:r>
        <w:rPr>
          <w:kern w:val="0"/>
        </w:rPr>
        <w:t>Science (ISI Web</w:t>
      </w:r>
      <w:r w:rsidR="00427468">
        <w:rPr>
          <w:kern w:val="0"/>
        </w:rPr>
        <w:t xml:space="preserve"> of </w:t>
      </w:r>
      <w:r>
        <w:rPr>
          <w:kern w:val="0"/>
        </w:rPr>
        <w:t xml:space="preserve">Knowledge) (1993 to September 2013). We also searched ongoing trials registers and SCOPUS. Selection criteria Randomised controlled trials (RCTs) comparing intensively monitored insulin therapy versus </w:t>
      </w:r>
      <w:r>
        <w:rPr>
          <w:kern w:val="0"/>
        </w:rPr>
        <w:lastRenderedPageBreak/>
        <w:t>usual care in adults with acute ischaemic stroke. Data collection and analysis We obtained a total</w:t>
      </w:r>
      <w:r w:rsidR="00427468">
        <w:rPr>
          <w:kern w:val="0"/>
        </w:rPr>
        <w:t xml:space="preserve"> of </w:t>
      </w:r>
      <w:r>
        <w:rPr>
          <w:kern w:val="0"/>
        </w:rPr>
        <w:t>1565 titles through the literature search. Two review authors independently selected the included articles and extracted the study characteristics, study quality, and data to estimate the odds ratio (OR) and 95% confidence interval (CI), mean difference (MD) and standardised mean difference (SMD)</w:t>
      </w:r>
      <w:r w:rsidR="00427468">
        <w:rPr>
          <w:kern w:val="0"/>
        </w:rPr>
        <w:t xml:space="preserve"> of </w:t>
      </w:r>
      <w:r>
        <w:rPr>
          <w:kern w:val="0"/>
        </w:rPr>
        <w:t>outcome measures. We resolved disagreements by discussion. Main results We included 11 RCTs involving 1583 participants (791 participants in the intervention group and 792 in the control group). We found that there was no difference between the treatment and control groups in the outcomes</w:t>
      </w:r>
      <w:r w:rsidR="00427468">
        <w:rPr>
          <w:kern w:val="0"/>
        </w:rPr>
        <w:t xml:space="preserve"> of </w:t>
      </w:r>
      <w:r>
        <w:rPr>
          <w:kern w:val="0"/>
        </w:rPr>
        <w:t>death or dependency (OR 0.99, 95% CI 0.79 to 1.23) or final neurological deficit (SMD -0.09, 95% CI -0.19 to 0.01)</w:t>
      </w:r>
      <w:r w:rsidR="00A37C1D">
        <w:rPr>
          <w:kern w:val="0"/>
        </w:rPr>
        <w:t>. The</w:t>
      </w:r>
      <w:r>
        <w:rPr>
          <w:kern w:val="0"/>
        </w:rPr>
        <w:t xml:space="preserve"> rate</w:t>
      </w:r>
      <w:r w:rsidR="00427468">
        <w:rPr>
          <w:kern w:val="0"/>
        </w:rPr>
        <w:t xml:space="preserve"> of </w:t>
      </w:r>
      <w:r>
        <w:rPr>
          <w:kern w:val="0"/>
        </w:rPr>
        <w:t>symptomatic hypoglycaemia was higher in the intervention group (OR 14.6, 95% CI 6.6 to 32.2). In the subgroup analyses</w:t>
      </w:r>
      <w:r w:rsidR="00427468">
        <w:rPr>
          <w:kern w:val="0"/>
        </w:rPr>
        <w:t xml:space="preserve"> of </w:t>
      </w:r>
      <w:r>
        <w:rPr>
          <w:kern w:val="0"/>
        </w:rPr>
        <w:t>diabetes mellitus (DM) versus non-DM, we found no difference for the outcomes</w:t>
      </w:r>
      <w:r w:rsidR="00427468">
        <w:rPr>
          <w:kern w:val="0"/>
        </w:rPr>
        <w:t xml:space="preserve"> of </w:t>
      </w:r>
      <w:r>
        <w:rPr>
          <w:kern w:val="0"/>
        </w:rPr>
        <w:t>death and disability or neurological deficit</w:t>
      </w:r>
      <w:r w:rsidR="00A37C1D">
        <w:rPr>
          <w:kern w:val="0"/>
        </w:rPr>
        <w:t>. The</w:t>
      </w:r>
      <w:r>
        <w:rPr>
          <w:kern w:val="0"/>
        </w:rPr>
        <w:t xml:space="preserve"> number needed to treat was not significant for the outcomes</w:t>
      </w:r>
      <w:r w:rsidR="00427468">
        <w:rPr>
          <w:kern w:val="0"/>
        </w:rPr>
        <w:t xml:space="preserve"> of </w:t>
      </w:r>
      <w:r>
        <w:rPr>
          <w:kern w:val="0"/>
        </w:rPr>
        <w:t>death and final neurological deficit</w:t>
      </w:r>
      <w:r w:rsidR="00A37C1D">
        <w:rPr>
          <w:kern w:val="0"/>
        </w:rPr>
        <w:t>. The</w:t>
      </w:r>
      <w:r>
        <w:rPr>
          <w:kern w:val="0"/>
        </w:rPr>
        <w:t xml:space="preserve"> number needed to harm was nine for symptomatic hypoglycaemia. Authors</w:t>
      </w:r>
      <w:r w:rsidR="0071223E">
        <w:rPr>
          <w:kern w:val="0"/>
        </w:rPr>
        <w:t>’</w:t>
      </w:r>
      <w:r>
        <w:rPr>
          <w:kern w:val="0"/>
        </w:rPr>
        <w:t xml:space="preserve"> conclusions After updating the results</w:t>
      </w:r>
      <w:r w:rsidR="00427468">
        <w:rPr>
          <w:kern w:val="0"/>
        </w:rPr>
        <w:t xml:space="preserve"> of </w:t>
      </w:r>
      <w:r>
        <w:rPr>
          <w:kern w:val="0"/>
        </w:rPr>
        <w:t>our previous review, we found that the administration</w:t>
      </w:r>
      <w:r w:rsidR="00427468">
        <w:rPr>
          <w:kern w:val="0"/>
        </w:rPr>
        <w:t xml:space="preserve"> of </w:t>
      </w:r>
      <w:r>
        <w:rPr>
          <w:kern w:val="0"/>
        </w:rPr>
        <w:t>intravenous insulin with the objective</w:t>
      </w:r>
      <w:r w:rsidR="00427468">
        <w:rPr>
          <w:kern w:val="0"/>
        </w:rPr>
        <w:t xml:space="preserve"> of </w:t>
      </w:r>
      <w:r>
        <w:rPr>
          <w:kern w:val="0"/>
        </w:rPr>
        <w:t>maintaining serum glucose within a specific range in the first hours</w:t>
      </w:r>
      <w:r w:rsidR="00427468">
        <w:rPr>
          <w:kern w:val="0"/>
        </w:rPr>
        <w:t xml:space="preserve"> of </w:t>
      </w:r>
      <w:r>
        <w:rPr>
          <w:kern w:val="0"/>
        </w:rPr>
        <w:t>acute ischaemic stroke does not provide benefit in terms</w:t>
      </w:r>
      <w:r w:rsidR="00427468">
        <w:rPr>
          <w:kern w:val="0"/>
        </w:rPr>
        <w:t xml:space="preserve"> of </w:t>
      </w:r>
      <w:r>
        <w:rPr>
          <w:kern w:val="0"/>
        </w:rPr>
        <w:t>functional outcome, death, or improvement in final neurological deficit and significantly increased the number</w:t>
      </w:r>
      <w:r w:rsidR="00427468">
        <w:rPr>
          <w:kern w:val="0"/>
        </w:rPr>
        <w:t xml:space="preserve"> of </w:t>
      </w:r>
      <w:r>
        <w:rPr>
          <w:kern w:val="0"/>
        </w:rPr>
        <w:t>hypoglycaemic episodes. Specifically, those people whose glucose levels were maintained within a tighter range with intravenous insulin experienced a greater risk</w:t>
      </w:r>
      <w:r w:rsidR="00427468">
        <w:rPr>
          <w:kern w:val="0"/>
        </w:rPr>
        <w:t xml:space="preserve"> of </w:t>
      </w:r>
      <w:r>
        <w:rPr>
          <w:kern w:val="0"/>
        </w:rPr>
        <w:t>symptomatic and asymptomatic hypoglycaemia than those people in the control group.</w:t>
      </w:r>
    </w:p>
    <w:p w:rsidR="00DC226A" w:rsidRDefault="00DC226A" w:rsidP="00DC226A">
      <w:pPr>
        <w:pStyle w:val="a3"/>
        <w:rPr>
          <w:kern w:val="0"/>
        </w:rPr>
      </w:pPr>
      <w:r>
        <w:rPr>
          <w:kern w:val="0"/>
        </w:rPr>
        <w:t xml:space="preserve">Keywords: Administration, Aged, Analyses, Analysis, Authors, Blood Glucose [Metabolism], Blood-Glucose, Brain-Damage, Care, Characteristics, Citation, Collection, Complications, Complications], Concomitant, Confidence, Control, Control Groups, Criteria, Critically-Ill Patients, Data, Data Collection, Death, Dependency, Diabetes, Diabetes Mellitus, Disability, Drug Therapy], Embase, Female, First, Functional Impairment, Glucose, Glucose Control, Groups, Humans, Hyperglycemia [Blood, Hypoglycaemia, Hypoglycemia [Blood, Hypoglycemic Agents [Administration &amp; Dosage], Improvement, Independent Predictor, Insulin, Insulin Therapy, Insulin [Administration &amp; Dosage], Interval, Intervention, Intravenous, Isi, Knowledge, Literature, Literature Search, Male, Measures, Medline, Methods, Moderate Hyperglycemia, Monitoring, Mortality, Neurological, Normal, Number Needed To Treat, Odds Ratio, Outcome, Outcome Measures, Outcomes, Poststroke Hyperglycemia, Presentation, Prognosis, Quality, Randomised Controlled Trials, Randomized Controlled Trials As Topic, Reference Values, Review, Risk, Science, Science Citation Index, Scopus, Search, Serum, Spreading Depression, </w:t>
      </w:r>
      <w:r>
        <w:rPr>
          <w:kern w:val="0"/>
        </w:rPr>
        <w:lastRenderedPageBreak/>
        <w:t>Stress Hyperglycemia, Stroke, Stroke [Blood, Therapy, Transient Forebrain Ischemia, Treatment, Web</w:t>
      </w:r>
      <w:r w:rsidR="00427468">
        <w:rPr>
          <w:kern w:val="0"/>
        </w:rPr>
        <w:t xml:space="preserve"> of </w:t>
      </w:r>
      <w:r>
        <w:rPr>
          <w:kern w:val="0"/>
        </w:rPr>
        <w:t>Knowledge, Web</w:t>
      </w:r>
      <w:r w:rsidR="00427468">
        <w:rPr>
          <w:kern w:val="0"/>
        </w:rPr>
        <w:t xml:space="preserve"> of </w:t>
      </w:r>
      <w:r>
        <w:rPr>
          <w:kern w:val="0"/>
        </w:rPr>
        <w:t>Science</w:t>
      </w:r>
    </w:p>
    <w:p w:rsidR="001910E9" w:rsidRDefault="001910E9" w:rsidP="001910E9">
      <w:pPr>
        <w:pStyle w:val="a3"/>
        <w:rPr>
          <w:kern w:val="0"/>
        </w:rPr>
      </w:pPr>
      <w:r>
        <w:rPr>
          <w:kern w:val="0"/>
        </w:rPr>
        <w:t xml:space="preserve">? Johnston, C., Campbell-Yeo, M., Fernandes, A., Inglis, D., Streiner, D. and Zee, R. (2014), Skin-to-skin care for procedural pain in neonates.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A5262F">
        <w:rPr>
          <w:kern w:val="0"/>
        </w:rPr>
        <w:t>CD008435</w:t>
      </w:r>
      <w:r>
        <w:rPr>
          <w:kern w:val="0"/>
        </w:rPr>
        <w:t>.</w:t>
      </w:r>
    </w:p>
    <w:p w:rsidR="001910E9" w:rsidRDefault="001910E9" w:rsidP="001910E9">
      <w:pPr>
        <w:pStyle w:val="a3"/>
        <w:rPr>
          <w:kern w:val="2"/>
        </w:rPr>
      </w:pPr>
      <w:r>
        <w:t>Full Text: 201</w:t>
      </w:r>
      <w:r>
        <w:rPr>
          <w:rFonts w:hint="eastAsia"/>
        </w:rPr>
        <w:t>4</w:t>
      </w:r>
      <w:r>
        <w:t>\Coc Dat Sys Rev201</w:t>
      </w:r>
      <w:r>
        <w:rPr>
          <w:rFonts w:hint="eastAsia"/>
        </w:rPr>
        <w:t>4</w:t>
      </w:r>
      <w:r>
        <w:t xml:space="preserve">, </w:t>
      </w:r>
      <w:r w:rsidRPr="00A5262F">
        <w:rPr>
          <w:kern w:val="0"/>
        </w:rPr>
        <w:t>CD008435</w:t>
      </w:r>
      <w:r>
        <w:t>.pdf</w:t>
      </w:r>
    </w:p>
    <w:p w:rsidR="001910E9" w:rsidRDefault="001910E9" w:rsidP="001910E9">
      <w:pPr>
        <w:pStyle w:val="a3"/>
        <w:rPr>
          <w:kern w:val="0"/>
        </w:rPr>
      </w:pPr>
      <w:r>
        <w:rPr>
          <w:kern w:val="0"/>
        </w:rPr>
        <w:t>Abstract: Background Skin-to-skin care (SSC), otherwise known as Kangaroo Care (KC) due to its similarity with marsupial behaviour</w:t>
      </w:r>
      <w:r w:rsidR="00427468">
        <w:rPr>
          <w:kern w:val="0"/>
        </w:rPr>
        <w:t xml:space="preserve"> of </w:t>
      </w:r>
      <w:r>
        <w:rPr>
          <w:kern w:val="0"/>
        </w:rPr>
        <w:t>ventral maternal-infant contact, is one non-pharmacological intervention for pain control in infants. Objectives The primary objectives were to determine the effect</w:t>
      </w:r>
      <w:r w:rsidR="00427468">
        <w:rPr>
          <w:kern w:val="0"/>
        </w:rPr>
        <w:t xml:space="preserve"> of </w:t>
      </w:r>
      <w:r>
        <w:rPr>
          <w:kern w:val="0"/>
        </w:rPr>
        <w:t>SSC alone on pain from medical or nursing procedures in neonates undergoing painful procedures compared to no intervention, sucrose or other analgesics, or additions to simple SSC such as rocking; and the effects</w:t>
      </w:r>
      <w:r w:rsidR="00427468">
        <w:rPr>
          <w:kern w:val="0"/>
        </w:rPr>
        <w:t xml:space="preserve"> of </w:t>
      </w:r>
      <w:r>
        <w:rPr>
          <w:kern w:val="0"/>
        </w:rPr>
        <w:t>the amount</w:t>
      </w:r>
      <w:r w:rsidR="00427468">
        <w:rPr>
          <w:kern w:val="0"/>
        </w:rPr>
        <w:t xml:space="preserve"> of </w:t>
      </w:r>
      <w:r>
        <w:rPr>
          <w:kern w:val="0"/>
        </w:rPr>
        <w:t>SSC (duration in minutes) and the method</w:t>
      </w:r>
      <w:r w:rsidR="00427468">
        <w:rPr>
          <w:kern w:val="0"/>
        </w:rPr>
        <w:t xml:space="preserve"> of </w:t>
      </w:r>
      <w:r>
        <w:rPr>
          <w:kern w:val="0"/>
        </w:rPr>
        <w:t>administration (who provided the SSC, positioning</w:t>
      </w:r>
      <w:r w:rsidR="00427468">
        <w:rPr>
          <w:kern w:val="0"/>
        </w:rPr>
        <w:t xml:space="preserve"> of </w:t>
      </w:r>
      <w:r>
        <w:rPr>
          <w:kern w:val="0"/>
        </w:rPr>
        <w:t>caregiver and neonate pair)</w:t>
      </w:r>
      <w:r w:rsidR="00A37C1D">
        <w:rPr>
          <w:kern w:val="0"/>
        </w:rPr>
        <w:t>. The</w:t>
      </w:r>
      <w:r>
        <w:rPr>
          <w:kern w:val="0"/>
        </w:rPr>
        <w:t xml:space="preserve"> secondary objectives were to determine the incidence</w:t>
      </w:r>
      <w:r w:rsidR="00427468">
        <w:rPr>
          <w:kern w:val="0"/>
        </w:rPr>
        <w:t xml:space="preserve"> of </w:t>
      </w:r>
      <w:r>
        <w:rPr>
          <w:kern w:val="0"/>
        </w:rPr>
        <w:t>untoward effects</w:t>
      </w:r>
      <w:r w:rsidR="00427468">
        <w:rPr>
          <w:kern w:val="0"/>
        </w:rPr>
        <w:t xml:space="preserve"> of </w:t>
      </w:r>
      <w:r>
        <w:rPr>
          <w:kern w:val="0"/>
        </w:rPr>
        <w:t>SSC and to compare the SSC effect in different postmenstrual age subgroups</w:t>
      </w:r>
      <w:r w:rsidR="00427468">
        <w:rPr>
          <w:kern w:val="0"/>
        </w:rPr>
        <w:t xml:space="preserve"> of </w:t>
      </w:r>
      <w:r>
        <w:rPr>
          <w:kern w:val="0"/>
        </w:rPr>
        <w:t>infants. Search methods The standard methods</w:t>
      </w:r>
      <w:r w:rsidR="00427468">
        <w:rPr>
          <w:kern w:val="0"/>
        </w:rPr>
        <w:t xml:space="preserve"> of </w:t>
      </w:r>
      <w:r>
        <w:rPr>
          <w:kern w:val="0"/>
        </w:rPr>
        <w:t>the Cochrane Neonatal Collaborative Review Group were used. Databases searched in August 2011: Cochrane Central Register</w:t>
      </w:r>
      <w:r w:rsidR="00427468">
        <w:rPr>
          <w:kern w:val="0"/>
        </w:rPr>
        <w:t xml:space="preserve"> of </w:t>
      </w:r>
      <w:r>
        <w:rPr>
          <w:kern w:val="0"/>
        </w:rPr>
        <w:t>Controlled Trials (CENTRAL) in The Cochrane Library); Evidence-Based Medicine Reviews; MEDLINE (1950 onwards); PubMed (1975 onwards); EMBASE (1974 onwards); CINAHL (1982 onwards); Web</w:t>
      </w:r>
      <w:r w:rsidR="00427468">
        <w:rPr>
          <w:kern w:val="0"/>
        </w:rPr>
        <w:t xml:space="preserve"> of </w:t>
      </w:r>
      <w:r>
        <w:rPr>
          <w:kern w:val="0"/>
        </w:rPr>
        <w:t>Science (1980 onwards); LILACS database (1982 onwards); SCIELO database (1982 onwards); PsycInfo (1980 onwards); AMED(1985 onwards); Dissertation-Abstracts International (1980 onwards). Searches were conducted throughout September 2012. Selection criteria Studies with randomisation or quasi-randomisation, double or single-blinded, involving term infants (&gt;= 37 completed weeks postmenstrual age (PMA)) to a maximum</w:t>
      </w:r>
      <w:r w:rsidR="00427468">
        <w:rPr>
          <w:kern w:val="0"/>
        </w:rPr>
        <w:t xml:space="preserve"> of </w:t>
      </w:r>
      <w:r>
        <w:rPr>
          <w:kern w:val="0"/>
        </w:rPr>
        <w:t>44 weeks PMA and preterm infants (&lt; 37 completed weeks PMA) receiving SSC for painful procedures conducted by doctors, nurses, or other healthcare professionals. Data collection and analysis The main outcome measures were physiological or behavioural pain indicators and composite pain scores. A weighted mean difference (WMD) with 95% confidence interval (CI) using a fixed-effect model was reported for continuous outcome measures. We included variations on type</w:t>
      </w:r>
      <w:r w:rsidR="00427468">
        <w:rPr>
          <w:kern w:val="0"/>
        </w:rPr>
        <w:t xml:space="preserve"> of </w:t>
      </w:r>
      <w:r>
        <w:rPr>
          <w:kern w:val="0"/>
        </w:rPr>
        <w:t>tissue-damaging procedure, provider</w:t>
      </w:r>
      <w:r w:rsidR="00427468">
        <w:rPr>
          <w:kern w:val="0"/>
        </w:rPr>
        <w:t xml:space="preserve"> of </w:t>
      </w:r>
      <w:r>
        <w:rPr>
          <w:kern w:val="0"/>
        </w:rPr>
        <w:t>care, and duration</w:t>
      </w:r>
      <w:r w:rsidR="00427468">
        <w:rPr>
          <w:kern w:val="0"/>
        </w:rPr>
        <w:t xml:space="preserve"> of </w:t>
      </w:r>
      <w:r>
        <w:rPr>
          <w:kern w:val="0"/>
        </w:rPr>
        <w:t xml:space="preserve">SSC. Main results Nineteen studies (n = 1594 infants) were included. Fifteen studies (n = 744) used heel lance as the painful procedure, one study combined venepuncture and heel stick (n = 50), two used intramuscular injection, and one used </w:t>
      </w:r>
      <w:r w:rsidR="0071223E">
        <w:rPr>
          <w:kern w:val="0"/>
        </w:rPr>
        <w:t>‘</w:t>
      </w:r>
      <w:r>
        <w:rPr>
          <w:kern w:val="0"/>
        </w:rPr>
        <w:t>vaccination</w:t>
      </w:r>
      <w:r w:rsidR="0071223E">
        <w:rPr>
          <w:kern w:val="0"/>
        </w:rPr>
        <w:t>’</w:t>
      </w:r>
      <w:r>
        <w:rPr>
          <w:kern w:val="0"/>
        </w:rPr>
        <w:t xml:space="preserve"> (n = 80)</w:t>
      </w:r>
      <w:r w:rsidR="00A37C1D">
        <w:rPr>
          <w:kern w:val="0"/>
        </w:rPr>
        <w:t>. The</w:t>
      </w:r>
      <w:r>
        <w:rPr>
          <w:kern w:val="0"/>
        </w:rPr>
        <w:t xml:space="preserve"> studies that were included were generally strong and free from bias. Eleven studies (n = 1363) compared SSC alone to a no-treatment control. Although 11 studies measured heart rate during painful procedures, data from only four studies </w:t>
      </w:r>
      <w:r>
        <w:rPr>
          <w:kern w:val="0"/>
        </w:rPr>
        <w:lastRenderedPageBreak/>
        <w:t>(n = 121) could be combined to give a mean difference (MD)</w:t>
      </w:r>
      <w:r w:rsidR="00427468">
        <w:rPr>
          <w:kern w:val="0"/>
        </w:rPr>
        <w:t xml:space="preserve"> of </w:t>
      </w:r>
      <w:r>
        <w:rPr>
          <w:kern w:val="0"/>
        </w:rPr>
        <w:t>0.35 beats per minute (95% CI -6.01 to 6.71). Three other studies that were not included in meta-analyses also reported no difference in heart rate after the painful procedure. Two studies reported heart rate variability outcomes and found no significant differences. Five studies used the Premature Infant Pain Profile (PIPP) as a primary outcome, which favoured SCC at 30 seconds (n = 268) (MD -3.21, 95% CI -3.94 to -2.48), 60 seconds (n = 164) (MD -1.85, 95% CI -3.03 to -0.68), and 90 seconds (n = 163) (MD -1.34, 95% CI -2.56 to -0.13), but at 120 seconds (n = 157) there was no difference. No studies provided findings on return</w:t>
      </w:r>
      <w:r w:rsidR="00427468">
        <w:rPr>
          <w:kern w:val="0"/>
        </w:rPr>
        <w:t xml:space="preserve"> of </w:t>
      </w:r>
      <w:r>
        <w:rPr>
          <w:kern w:val="0"/>
        </w:rPr>
        <w:t>heart rate to baseline level, oxygen saturation, cortisol levels, duration</w:t>
      </w:r>
      <w:r w:rsidR="00427468">
        <w:rPr>
          <w:kern w:val="0"/>
        </w:rPr>
        <w:t xml:space="preserve"> of </w:t>
      </w:r>
      <w:r>
        <w:rPr>
          <w:kern w:val="0"/>
        </w:rPr>
        <w:t>crying, and facial actions that could be combined for analysis. Eight studies compared SSC to another intervention with or without a no-treatment control. Two cross-over studies (n = 80) compared mother versus other provider on PIPP scores at 30, 60, 90, and 120 seconds with no significant difference. When SSC was compared to other interventions, there were not enough similar studies to pool results in an analysis. One study compared SSC with and without dextrose and found that the combination was most effective and that SSC alone was more effective than dextrose alone. Similarly, in another study SSC was more effective than oral glucose for heart rate but not oxygen saturation. SSC either in combination with breastfeeding or alone was favoured over a no-treatment control, but was not different to breastfeeding</w:t>
      </w:r>
      <w:r w:rsidR="00A37C1D">
        <w:rPr>
          <w:kern w:val="0"/>
        </w:rPr>
        <w:t>. The</w:t>
      </w:r>
      <w:r>
        <w:rPr>
          <w:kern w:val="0"/>
        </w:rPr>
        <w:t>re were not enough participants with similar outcomes and painful procedures to compare age groups or duration</w:t>
      </w:r>
      <w:r w:rsidR="00427468">
        <w:rPr>
          <w:kern w:val="0"/>
        </w:rPr>
        <w:t xml:space="preserve"> of </w:t>
      </w:r>
      <w:r>
        <w:rPr>
          <w:kern w:val="0"/>
        </w:rPr>
        <w:t>SSC. No adverse events were reported in any</w:t>
      </w:r>
      <w:r w:rsidR="00427468">
        <w:rPr>
          <w:kern w:val="0"/>
        </w:rPr>
        <w:t xml:space="preserve"> of </w:t>
      </w:r>
      <w:r>
        <w:rPr>
          <w:kern w:val="0"/>
        </w:rPr>
        <w:t>the studies. Authors</w:t>
      </w:r>
      <w:r w:rsidR="0071223E">
        <w:rPr>
          <w:kern w:val="0"/>
        </w:rPr>
        <w:t>’</w:t>
      </w:r>
      <w:r>
        <w:rPr>
          <w:kern w:val="0"/>
        </w:rPr>
        <w:t xml:space="preserve"> conclusions SSC appears to be effective, as measured by composite pain indicators and including both physiological and behavioural indicators, and safe for a single painful procedure such as a heel lance. Purely behavioural indicators tended to favour SSC but there remains questionable bias regarding behavioural indicators. Physiological indicators were typically not different between conditions. Only two studies compared mother providers to others, with non-significant results</w:t>
      </w:r>
      <w:r w:rsidR="00A37C1D">
        <w:rPr>
          <w:kern w:val="0"/>
        </w:rPr>
        <w:t>. The</w:t>
      </w:r>
      <w:r>
        <w:rPr>
          <w:kern w:val="0"/>
        </w:rPr>
        <w:t>re was more heterogeneity in the studies with behavioural or composite outcomes</w:t>
      </w:r>
      <w:r w:rsidR="00A37C1D">
        <w:rPr>
          <w:kern w:val="0"/>
        </w:rPr>
        <w:t>. The</w:t>
      </w:r>
      <w:r>
        <w:rPr>
          <w:kern w:val="0"/>
        </w:rPr>
        <w:t>re is a need for replication studies that use similar, clearly defined outcomes. New studies examining optimal duration</w:t>
      </w:r>
      <w:r w:rsidR="00427468">
        <w:rPr>
          <w:kern w:val="0"/>
        </w:rPr>
        <w:t xml:space="preserve"> of </w:t>
      </w:r>
      <w:r>
        <w:rPr>
          <w:kern w:val="0"/>
        </w:rPr>
        <w:t>SSC, gestational age groups, repeated use, and long-term effects</w:t>
      </w:r>
      <w:r w:rsidR="00427468">
        <w:rPr>
          <w:kern w:val="0"/>
        </w:rPr>
        <w:t xml:space="preserve"> of </w:t>
      </w:r>
      <w:r>
        <w:rPr>
          <w:kern w:val="0"/>
        </w:rPr>
        <w:t>SSC are needed.</w:t>
      </w:r>
    </w:p>
    <w:p w:rsidR="001910E9" w:rsidRDefault="001910E9" w:rsidP="001910E9">
      <w:pPr>
        <w:pStyle w:val="a3"/>
        <w:rPr>
          <w:kern w:val="0"/>
        </w:rPr>
      </w:pPr>
      <w:r>
        <w:rPr>
          <w:kern w:val="0"/>
        </w:rPr>
        <w:t xml:space="preserve">Keywords: Administration, Age, Analgesics, Analysis, Behaviour, Bias, Breastfeeding, Care, Collection, Composite, Confidence, Control, Cortisol, Cortisol Levels, Criteria, Data, Data Collection, Database, Databases, Doctors, Duration, Effects, Embase, Events, Gestational, Gestational Age, Glucose, Groups, Heart, Heart Rate, Heart Rate Variability, Heterogeneity, Incidence, Indicators, Infant, Infants, Interval, Intervention, Interventions, Intramuscular Injection, Kangaroo Care, Long Term, Long-Term, Measures, Medical, Medicine, Medline, Methods, Model, Mother, </w:t>
      </w:r>
      <w:r>
        <w:rPr>
          <w:kern w:val="0"/>
        </w:rPr>
        <w:lastRenderedPageBreak/>
        <w:t>Neonate, Neonates, Nurses, Nursing, Oral, Outcome, Outcome Measures, Outcomes, Oxygen, Oxygen Saturation, Pain, Pain Control, Preterm, Preterm Infants, Primary, Procedure, Procedures, Providers, Pubmed, Randomisation, Replication, Review, Saturation, Scielo, Science, Search, Similarity, Standard, Sucrose, Term, Vaccination, Variability, Venepuncture, Web</w:t>
      </w:r>
      <w:r w:rsidR="00427468">
        <w:rPr>
          <w:kern w:val="0"/>
        </w:rPr>
        <w:t xml:space="preserve"> of </w:t>
      </w:r>
      <w:r>
        <w:rPr>
          <w:kern w:val="0"/>
        </w:rPr>
        <w:t>Science</w:t>
      </w:r>
    </w:p>
    <w:p w:rsidR="001910E9" w:rsidRDefault="001910E9" w:rsidP="001910E9">
      <w:pPr>
        <w:pStyle w:val="a3"/>
        <w:rPr>
          <w:kern w:val="0"/>
        </w:rPr>
      </w:pPr>
      <w:r>
        <w:rPr>
          <w:kern w:val="0"/>
        </w:rPr>
        <w:t xml:space="preserve">? de Silva, S.R., Riaz, Y. and Evans, J.R. (2014), Phacoemulsification with posterior chamber intraocular lens versus extracapsular cataract extraction (ECCE) with posterior chamber intraocular lens for age-related cataract.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B33F8B">
        <w:rPr>
          <w:kern w:val="0"/>
        </w:rPr>
        <w:t>CD008812</w:t>
      </w:r>
      <w:r>
        <w:rPr>
          <w:kern w:val="0"/>
        </w:rPr>
        <w:t>.</w:t>
      </w:r>
    </w:p>
    <w:p w:rsidR="001910E9" w:rsidRDefault="001910E9" w:rsidP="001910E9">
      <w:pPr>
        <w:pStyle w:val="a3"/>
        <w:rPr>
          <w:kern w:val="2"/>
        </w:rPr>
      </w:pPr>
      <w:r>
        <w:t>Full Text: 201</w:t>
      </w:r>
      <w:r>
        <w:rPr>
          <w:rFonts w:hint="eastAsia"/>
        </w:rPr>
        <w:t>4</w:t>
      </w:r>
      <w:r>
        <w:t>\Coc Dat Sys Rev201</w:t>
      </w:r>
      <w:r>
        <w:rPr>
          <w:rFonts w:hint="eastAsia"/>
        </w:rPr>
        <w:t>4</w:t>
      </w:r>
      <w:r>
        <w:t xml:space="preserve">, </w:t>
      </w:r>
      <w:r w:rsidRPr="00B33F8B">
        <w:rPr>
          <w:kern w:val="0"/>
        </w:rPr>
        <w:t>CD008812</w:t>
      </w:r>
      <w:r>
        <w:t>.pdf</w:t>
      </w:r>
    </w:p>
    <w:p w:rsidR="001910E9" w:rsidRDefault="001910E9" w:rsidP="001910E9">
      <w:pPr>
        <w:pStyle w:val="a3"/>
        <w:rPr>
          <w:kern w:val="0"/>
        </w:rPr>
      </w:pPr>
      <w:r>
        <w:rPr>
          <w:kern w:val="0"/>
        </w:rPr>
        <w:t>Abstract: Background Age-related cataract is one</w:t>
      </w:r>
      <w:r w:rsidR="00427468">
        <w:rPr>
          <w:kern w:val="0"/>
        </w:rPr>
        <w:t xml:space="preserve"> of </w:t>
      </w:r>
      <w:r>
        <w:rPr>
          <w:kern w:val="0"/>
        </w:rPr>
        <w:t>the leading causes</w:t>
      </w:r>
      <w:r w:rsidR="00427468">
        <w:rPr>
          <w:kern w:val="0"/>
        </w:rPr>
        <w:t xml:space="preserve"> of </w:t>
      </w:r>
      <w:r>
        <w:rPr>
          <w:kern w:val="0"/>
        </w:rPr>
        <w:t>blindness worldwide</w:t>
      </w:r>
      <w:r w:rsidR="00A37C1D">
        <w:rPr>
          <w:kern w:val="0"/>
        </w:rPr>
        <w:t>. The</w:t>
      </w:r>
      <w:r>
        <w:rPr>
          <w:kern w:val="0"/>
        </w:rPr>
        <w:t>refore, it is important to establish the most effective surgical technique for cataract surgery. Objectives The aim</w:t>
      </w:r>
      <w:r w:rsidR="00427468">
        <w:rPr>
          <w:kern w:val="0"/>
        </w:rPr>
        <w:t xml:space="preserve"> of </w:t>
      </w:r>
      <w:r>
        <w:rPr>
          <w:kern w:val="0"/>
        </w:rPr>
        <w:t>this review is to examine the effects</w:t>
      </w:r>
      <w:r w:rsidR="00427468">
        <w:rPr>
          <w:kern w:val="0"/>
        </w:rPr>
        <w:t xml:space="preserve"> of </w:t>
      </w:r>
      <w:r>
        <w:rPr>
          <w:kern w:val="0"/>
        </w:rPr>
        <w:t>two types</w:t>
      </w:r>
      <w:r w:rsidR="00427468">
        <w:rPr>
          <w:kern w:val="0"/>
        </w:rPr>
        <w:t xml:space="preserve"> of </w:t>
      </w:r>
      <w:r>
        <w:rPr>
          <w:kern w:val="0"/>
        </w:rPr>
        <w:t>cataract surgery for age-related cataract: phacoemulsification and extracapsular cataract extraction (ECCE). Search methods We searched CENTRAL (which contains the Cochrane Eyes and Vision Group Trials Register) (The Cochrane Library 2013, Issue 4), Ovid MEDLINE, Ovid MEDLINE In-Process and Other Non-Indexed Citations, Ovid MEDLINE Daily, Ovid OLDMEDLINE (January 1946 to May 2013), EMBASE (January 1980 to May 2013), Latin American and Caribbean Literature on Health Sciences (LILACS) (January 1982 to May 2013), Web</w:t>
      </w:r>
      <w:r w:rsidR="00427468">
        <w:rPr>
          <w:kern w:val="0"/>
        </w:rPr>
        <w:t xml:space="preserve"> of </w:t>
      </w:r>
      <w:r>
        <w:rPr>
          <w:kern w:val="0"/>
        </w:rPr>
        <w:t>Science Conference Proceedings Citation Index - Science (CPCI-S) (January 1970 to May 2013), the metaRegister</w:t>
      </w:r>
      <w:r w:rsidR="00427468">
        <w:rPr>
          <w:kern w:val="0"/>
        </w:rPr>
        <w:t xml:space="preserve"> of </w:t>
      </w:r>
      <w:r>
        <w:rPr>
          <w:kern w:val="0"/>
        </w:rPr>
        <w:t>Controlled Trials (mRCT) (www.controlled-trials.com), ClinicalTrials.gov (www.clinicaltrials.gov) and the WHO International Clinical Trials Registry Platform (ICTRP) (www.who.int/ictrp/search/en). We did not use any date or language restrictions in the electronic searches for trials. We last searched the electronic databases on 13 May 2013. Selection criteria We included randomised controlled trials</w:t>
      </w:r>
      <w:r w:rsidR="00427468">
        <w:rPr>
          <w:kern w:val="0"/>
        </w:rPr>
        <w:t xml:space="preserve"> of </w:t>
      </w:r>
      <w:r>
        <w:rPr>
          <w:kern w:val="0"/>
        </w:rPr>
        <w:t xml:space="preserve">phacoemulsification compared to ECCE for age-related cataract. Data collection and analysis Two authors independently selected and assessed all studies. We defined two primary outcomes: </w:t>
      </w:r>
      <w:r w:rsidR="0071223E">
        <w:rPr>
          <w:kern w:val="0"/>
        </w:rPr>
        <w:t>‘</w:t>
      </w:r>
      <w:r>
        <w:rPr>
          <w:kern w:val="0"/>
        </w:rPr>
        <w:t>good functional vision</w:t>
      </w:r>
      <w:r w:rsidR="0071223E">
        <w:rPr>
          <w:kern w:val="0"/>
        </w:rPr>
        <w:t>’</w:t>
      </w:r>
      <w:r>
        <w:rPr>
          <w:kern w:val="0"/>
        </w:rPr>
        <w:t xml:space="preserve"> (presenting visual acuity</w:t>
      </w:r>
      <w:r w:rsidR="00427468">
        <w:rPr>
          <w:kern w:val="0"/>
        </w:rPr>
        <w:t xml:space="preserve"> of </w:t>
      </w:r>
      <w:r>
        <w:rPr>
          <w:kern w:val="0"/>
        </w:rPr>
        <w:t xml:space="preserve">6/12 or better) and </w:t>
      </w:r>
      <w:r w:rsidR="0071223E">
        <w:rPr>
          <w:kern w:val="0"/>
        </w:rPr>
        <w:t>‘</w:t>
      </w:r>
      <w:r>
        <w:rPr>
          <w:kern w:val="0"/>
        </w:rPr>
        <w:t>poor visual outcome</w:t>
      </w:r>
      <w:r w:rsidR="0071223E">
        <w:rPr>
          <w:kern w:val="0"/>
        </w:rPr>
        <w:t>’</w:t>
      </w:r>
      <w:r>
        <w:rPr>
          <w:kern w:val="0"/>
        </w:rPr>
        <w:t xml:space="preserve"> (best corrected visual acuity</w:t>
      </w:r>
      <w:r w:rsidR="00427468">
        <w:rPr>
          <w:kern w:val="0"/>
        </w:rPr>
        <w:t xml:space="preserve"> of </w:t>
      </w:r>
      <w:r>
        <w:rPr>
          <w:kern w:val="0"/>
        </w:rPr>
        <w:t>less than 6/60) at three and 12 months after surgery. We also collected data on intra and postoperative complications, and the cost</w:t>
      </w:r>
      <w:r w:rsidR="00427468">
        <w:rPr>
          <w:kern w:val="0"/>
        </w:rPr>
        <w:t xml:space="preserve"> of </w:t>
      </w:r>
      <w:r>
        <w:rPr>
          <w:kern w:val="0"/>
        </w:rPr>
        <w:t>the procedures. Main results We included 11 trials in this review with a total</w:t>
      </w:r>
      <w:r w:rsidR="00427468">
        <w:rPr>
          <w:kern w:val="0"/>
        </w:rPr>
        <w:t xml:space="preserve"> of </w:t>
      </w:r>
      <w:r>
        <w:rPr>
          <w:kern w:val="0"/>
        </w:rPr>
        <w:t>1228 participants, ranging from age 45 to 94</w:t>
      </w:r>
      <w:r w:rsidR="00A37C1D">
        <w:rPr>
          <w:kern w:val="0"/>
        </w:rPr>
        <w:t>. The</w:t>
      </w:r>
      <w:r>
        <w:rPr>
          <w:kern w:val="0"/>
        </w:rPr>
        <w:t xml:space="preserve"> studies were generally at unclear risk</w:t>
      </w:r>
      <w:r w:rsidR="00427468">
        <w:rPr>
          <w:kern w:val="0"/>
        </w:rPr>
        <w:t xml:space="preserve"> of </w:t>
      </w:r>
      <w:r>
        <w:rPr>
          <w:kern w:val="0"/>
        </w:rPr>
        <w:t>bias due to poorly reported trial methods. No study reported presenting visual acuity, so we report both uncorrected (UCVA) and best corrected visual acuity (BCVA). Studies varied in visual acuity assessment methods and time frames at which outcomes were reported. Participants in the phacoemulsification group were more likely to achieve UCVA</w:t>
      </w:r>
      <w:r w:rsidR="00427468">
        <w:rPr>
          <w:kern w:val="0"/>
        </w:rPr>
        <w:t xml:space="preserve"> of </w:t>
      </w:r>
      <w:r>
        <w:rPr>
          <w:kern w:val="0"/>
        </w:rPr>
        <w:t xml:space="preserve">6/12 or more at </w:t>
      </w:r>
      <w:r>
        <w:rPr>
          <w:kern w:val="0"/>
        </w:rPr>
        <w:lastRenderedPageBreak/>
        <w:t>three months (risk ratio (RR) 1.81, 95% confidence interval (CI) 1.36 to 2.41, two studies, 492 participants) and one year (RR 1.99, 95% CI 1.45 to 2.73, one study, 439 participants). People in the phacoemulsification group were also more likely to achieve BCVA</w:t>
      </w:r>
      <w:r w:rsidR="00427468">
        <w:rPr>
          <w:kern w:val="0"/>
        </w:rPr>
        <w:t xml:space="preserve"> of </w:t>
      </w:r>
      <w:r>
        <w:rPr>
          <w:kern w:val="0"/>
        </w:rPr>
        <w:t>6/12 or more at three months (RR 1.12, 95% CI 1.03 to 1.22, four studies, 645 participants) and one year (RR 1.06, 95% CI 0.99 to 1.14, one study, 439 participants), but the difference between the two groups was smaller. No trials reported BCVA less than 6/60 but three trials reported BCVA worse than 6/9 and 6/18: there were fewer events</w:t>
      </w:r>
      <w:r w:rsidR="00427468">
        <w:rPr>
          <w:kern w:val="0"/>
        </w:rPr>
        <w:t xml:space="preserve"> of </w:t>
      </w:r>
      <w:r>
        <w:rPr>
          <w:kern w:val="0"/>
        </w:rPr>
        <w:t>this outcome in the phacoemulsification group than the ECCE group at both the three-month (RR 0.33, 95% CI 0.20 to 0.55, three studies, 604 participants) and 12-month time points (RR 0.62, 95% CI 0.36 to 1.05, one study, 439 participants). Three trials reported posterior capsule rupture: this occurred more commonly in the ECCE group than the phacoemulsification group but small numbers</w:t>
      </w:r>
      <w:r w:rsidR="00427468">
        <w:rPr>
          <w:kern w:val="0"/>
        </w:rPr>
        <w:t xml:space="preserve"> of </w:t>
      </w:r>
      <w:r>
        <w:rPr>
          <w:kern w:val="0"/>
        </w:rPr>
        <w:t>events mean the true effect is uncertain (Peto odds ratio (OR) 0.56, 95% CI 0.26 to 1.22, three studies, 688 participants). Iris prolapse, cystoid macular oedema and posterior capsular opacification were also higher in the ECCE group than the phacoemulsification group. Phacoemulsification surgical costs were higher than ECCE in two studies. A third study reported similar costs for phacoemulsification and ECCE up to six weeks postoperatively, but following this time point ECCE incurred additional costs due to additional visits, spectacles and laser treatment to achieve a similar outcome. Authors</w:t>
      </w:r>
      <w:r w:rsidR="0071223E">
        <w:rPr>
          <w:kern w:val="0"/>
        </w:rPr>
        <w:t>’</w:t>
      </w:r>
      <w:r>
        <w:rPr>
          <w:kern w:val="0"/>
        </w:rPr>
        <w:t xml:space="preserve"> conclusions Removing cataract by phacoemulsification may result in a better visual acuity compared to ECCE, with a lower complication rate</w:t>
      </w:r>
      <w:r w:rsidR="00A37C1D">
        <w:rPr>
          <w:kern w:val="0"/>
        </w:rPr>
        <w:t>. The</w:t>
      </w:r>
      <w:r>
        <w:rPr>
          <w:kern w:val="0"/>
        </w:rPr>
        <w:t xml:space="preserve"> review is currently underpowered to detect differences for rarer outcomes, including poor visual outcome</w:t>
      </w:r>
      <w:r w:rsidR="00A37C1D">
        <w:rPr>
          <w:kern w:val="0"/>
        </w:rPr>
        <w:t>. The</w:t>
      </w:r>
      <w:r>
        <w:rPr>
          <w:kern w:val="0"/>
        </w:rPr>
        <w:t xml:space="preserve"> lower cost</w:t>
      </w:r>
      <w:r w:rsidR="00427468">
        <w:rPr>
          <w:kern w:val="0"/>
        </w:rPr>
        <w:t xml:space="preserve"> of </w:t>
      </w:r>
      <w:r>
        <w:rPr>
          <w:kern w:val="0"/>
        </w:rPr>
        <w:t>ECCE may justify its use in a patient population where high-volume surgery is a priority, however, there are a lack</w:t>
      </w:r>
      <w:r w:rsidR="00427468">
        <w:rPr>
          <w:kern w:val="0"/>
        </w:rPr>
        <w:t xml:space="preserve"> of </w:t>
      </w:r>
      <w:r>
        <w:rPr>
          <w:kern w:val="0"/>
        </w:rPr>
        <w:t>data comparing phacoemulsification and ECCE in lower-income settings.</w:t>
      </w:r>
    </w:p>
    <w:p w:rsidR="001910E9" w:rsidRDefault="001910E9" w:rsidP="001910E9">
      <w:pPr>
        <w:pStyle w:val="a3"/>
        <w:rPr>
          <w:kern w:val="0"/>
        </w:rPr>
      </w:pPr>
      <w:r>
        <w:rPr>
          <w:kern w:val="0"/>
        </w:rPr>
        <w:t>Keywords: Age, Age-Related, Age-Related Cataract, Analysis, Assessment, Authors, Bias, Cataract Surgery, Causes</w:t>
      </w:r>
      <w:r w:rsidR="00427468">
        <w:rPr>
          <w:kern w:val="0"/>
        </w:rPr>
        <w:t xml:space="preserve"> of </w:t>
      </w:r>
      <w:r>
        <w:rPr>
          <w:kern w:val="0"/>
        </w:rPr>
        <w:t>Blindness, Citation, Citations, Clinical Trials, Collection, Complication, Complications, Conference, Confidence, Cost, Costs, Criteria, Data, Data Collection, Databases, Effects, Embase, Events, Extraction, Groups, Health, Interval, Iris, Language, Laser, Literature, Medline, Methods, Odds Ratio, Outcome, Outcomes, Phacoemulsification, Population, Postoperative, Postoperative Complications, Primary, Procedures, Prolapse, Randomised, Randomised Controlled Trials, Restrictions, Review, Risk, Rupture, Science, Sciences, Search, Small, Surgery, Surgical Technique, Treatment, Trial, Web</w:t>
      </w:r>
      <w:r w:rsidR="00427468">
        <w:rPr>
          <w:kern w:val="0"/>
        </w:rPr>
        <w:t xml:space="preserve"> of </w:t>
      </w:r>
      <w:r>
        <w:rPr>
          <w:kern w:val="0"/>
        </w:rPr>
        <w:t>Science, Who</w:t>
      </w:r>
    </w:p>
    <w:p w:rsidR="002A0C52" w:rsidRDefault="002A0C52" w:rsidP="002A0C52">
      <w:pPr>
        <w:pStyle w:val="a3"/>
        <w:rPr>
          <w:kern w:val="0"/>
        </w:rPr>
      </w:pPr>
      <w:r>
        <w:rPr>
          <w:kern w:val="0"/>
        </w:rPr>
        <w:t xml:space="preserve">? Winokur, M., Holtan, A. and Batchelder, K.E. (2014), Kinship care for the safety, permanency, and well-being of children removed from the home for maltreatment. </w:t>
      </w:r>
      <w:r>
        <w:rPr>
          <w:i/>
          <w:iCs/>
          <w:kern w:val="0"/>
        </w:rPr>
        <w:t>Cochrane Database of Systematic Reviews</w:t>
      </w:r>
      <w:r>
        <w:rPr>
          <w:kern w:val="0"/>
        </w:rPr>
        <w:t xml:space="preserve">, </w:t>
      </w:r>
      <w:r w:rsidRPr="00B33F8B">
        <w:rPr>
          <w:b/>
          <w:kern w:val="0"/>
        </w:rPr>
        <w:t>1</w:t>
      </w:r>
      <w:r>
        <w:rPr>
          <w:kern w:val="0"/>
        </w:rPr>
        <w:t xml:space="preserve">, Article Number: </w:t>
      </w:r>
      <w:r w:rsidRPr="00E5603A">
        <w:rPr>
          <w:kern w:val="0"/>
        </w:rPr>
        <w:t>CD006546</w:t>
      </w:r>
      <w:r>
        <w:rPr>
          <w:kern w:val="0"/>
        </w:rPr>
        <w:t>.</w:t>
      </w:r>
    </w:p>
    <w:p w:rsidR="002A0C52" w:rsidRDefault="002A0C52" w:rsidP="002A0C52">
      <w:pPr>
        <w:pStyle w:val="a3"/>
        <w:rPr>
          <w:kern w:val="2"/>
        </w:rPr>
      </w:pPr>
      <w:r>
        <w:lastRenderedPageBreak/>
        <w:t xml:space="preserve">Full Text: </w:t>
      </w:r>
      <w:hyperlink r:id="rId782" w:history="1">
        <w:r w:rsidRPr="00E5603A">
          <w:rPr>
            <w:rStyle w:val="a5"/>
          </w:rPr>
          <w:t>2014\Coc Dat Sys Rev2014, CD006546.pdf</w:t>
        </w:r>
      </w:hyperlink>
    </w:p>
    <w:p w:rsidR="001910E9" w:rsidRDefault="001910E9" w:rsidP="001910E9">
      <w:pPr>
        <w:pStyle w:val="a3"/>
        <w:rPr>
          <w:kern w:val="0"/>
        </w:rPr>
      </w:pPr>
      <w:r>
        <w:rPr>
          <w:kern w:val="0"/>
        </w:rPr>
        <w:t>Abstract: Background Every year a large number</w:t>
      </w:r>
      <w:r w:rsidR="00427468">
        <w:rPr>
          <w:kern w:val="0"/>
        </w:rPr>
        <w:t xml:space="preserve"> of </w:t>
      </w:r>
      <w:r>
        <w:rPr>
          <w:kern w:val="0"/>
        </w:rPr>
        <w:t>children around the world are removed from their homes because they are maltreated. Child welfare agencies are responsible for placing these children in out-of-home settings that will facilitate their safety, permanency, and well-being. However, children in out-of-home placements typically display more educational, behavioural, and psychological problems than do their peers, although it is unclear whether this results from the placement itself, the maltreatment that precipitated it, or inadequacies in the child welfare system. Objectives To evaluate the effect</w:t>
      </w:r>
      <w:r w:rsidR="00427468">
        <w:rPr>
          <w:kern w:val="0"/>
        </w:rPr>
        <w:t xml:space="preserve"> of </w:t>
      </w:r>
      <w:r>
        <w:rPr>
          <w:kern w:val="0"/>
        </w:rPr>
        <w:t>kinship care placement compared to foster care placement on the safety, permanency, and well-being</w:t>
      </w:r>
      <w:r w:rsidR="00427468">
        <w:rPr>
          <w:kern w:val="0"/>
        </w:rPr>
        <w:t xml:space="preserve"> of </w:t>
      </w:r>
      <w:r>
        <w:rPr>
          <w:kern w:val="0"/>
        </w:rPr>
        <w:t>children removed from the home for maltreatment. Search methods We searched the following databases for this updated review on 14 March 2011: the Cochrane Central Register</w:t>
      </w:r>
      <w:r w:rsidR="00427468">
        <w:rPr>
          <w:kern w:val="0"/>
        </w:rPr>
        <w:t xml:space="preserve"> of </w:t>
      </w:r>
      <w:r>
        <w:rPr>
          <w:kern w:val="0"/>
        </w:rPr>
        <w:t>Controlled Trials (CENTRAL), MEDLINE, PsycINFO, CINAHL, Sociological Abstracts, Social Science Citation Index, ERIC, Conference Proceedings Citation Index-Social Science and Humanities, ASSIA, and Dissertation Express. We handsearched relevant social work journals and reference lists</w:t>
      </w:r>
      <w:r w:rsidR="00427468">
        <w:rPr>
          <w:kern w:val="0"/>
        </w:rPr>
        <w:t xml:space="preserve"> of </w:t>
      </w:r>
      <w:r>
        <w:rPr>
          <w:kern w:val="0"/>
        </w:rPr>
        <w:t>published literature reviews, and contacted authors. Selection criteria Controlled experimental and quasi-experimental studies, in which children removed from the home for maltreatment and subsequently placed in kinship foster care were compared with children placed in non-kinship foster care for child welfare outcomes in the domains</w:t>
      </w:r>
      <w:r w:rsidR="00427468">
        <w:rPr>
          <w:kern w:val="0"/>
        </w:rPr>
        <w:t xml:space="preserve"> of </w:t>
      </w:r>
      <w:r>
        <w:rPr>
          <w:kern w:val="0"/>
        </w:rPr>
        <w:t>well-being, permanency, or safety. Data collection and analysis Two review authors independently read the titles and abstracts identified in the searches, and selected appropriate studies. Two review authors assessed the eligibility</w:t>
      </w:r>
      <w:r w:rsidR="00427468">
        <w:rPr>
          <w:kern w:val="0"/>
        </w:rPr>
        <w:t xml:space="preserve"> of </w:t>
      </w:r>
      <w:r>
        <w:rPr>
          <w:kern w:val="0"/>
        </w:rPr>
        <w:t>each study for the evidence base and then evaluated the methodological quality</w:t>
      </w:r>
      <w:r w:rsidR="00427468">
        <w:rPr>
          <w:kern w:val="0"/>
        </w:rPr>
        <w:t xml:space="preserve"> of </w:t>
      </w:r>
      <w:r>
        <w:rPr>
          <w:kern w:val="0"/>
        </w:rPr>
        <w:t>the included studies. Lastly, we extracted outcome data and entered them into Review Manager 5 software (RevMan) for meta-analysis with the results presented in written and graphical forms. Main results One-hundred-and-two quasi-experimental studies, with 666,615 children are included in this review</w:t>
      </w:r>
      <w:r w:rsidR="00A37C1D">
        <w:rPr>
          <w:kern w:val="0"/>
        </w:rPr>
        <w:t>. The</w:t>
      </w:r>
      <w:r>
        <w:rPr>
          <w:kern w:val="0"/>
        </w:rPr>
        <w:t xml:space="preserve"> </w:t>
      </w:r>
      <w:r w:rsidR="0071223E">
        <w:rPr>
          <w:kern w:val="0"/>
        </w:rPr>
        <w:t>‘</w:t>
      </w:r>
      <w:r>
        <w:rPr>
          <w:kern w:val="0"/>
        </w:rPr>
        <w:t>Risk</w:t>
      </w:r>
      <w:r w:rsidR="00427468">
        <w:rPr>
          <w:kern w:val="0"/>
        </w:rPr>
        <w:t xml:space="preserve"> of </w:t>
      </w:r>
      <w:r>
        <w:rPr>
          <w:kern w:val="0"/>
        </w:rPr>
        <w:t>bias</w:t>
      </w:r>
      <w:r w:rsidR="0071223E">
        <w:rPr>
          <w:kern w:val="0"/>
        </w:rPr>
        <w:t>’</w:t>
      </w:r>
      <w:r>
        <w:rPr>
          <w:kern w:val="0"/>
        </w:rPr>
        <w:t xml:space="preserve"> analysis indicates that the evidence base contains studies with unclear risk for selection bias, performance bias, detection bias, reporting bias, and attrition bias, with the highest risk associated with selection bias and the lowest associated with reporting bias</w:t>
      </w:r>
      <w:r w:rsidR="00A37C1D">
        <w:rPr>
          <w:kern w:val="0"/>
        </w:rPr>
        <w:t>. The</w:t>
      </w:r>
      <w:r>
        <w:rPr>
          <w:kern w:val="0"/>
        </w:rPr>
        <w:t xml:space="preserve"> outcome data suggest that children in kinship foster care experience fewer behavioural problems (standardised mean difference effect size -0.33, 95% confidence interval (CI) -0.49 to -0.17), fewer mental health disorders (odds ratio (OR) 0.51, 95% CI 0.42 to 0.62), better well-being (OR 0.50, 95% CI 0.38 to 0.64), and less placement disruption (OR 0.52, 95% CI 0.40 to 0.69) than do children in non-kinship foster care. For permanency, there was no difference on reunification rates, although children in non-kinship foster care were more likely to be adopted (OR 2.52, 95% CI 1.42 to 4.49), while children in kinship foster care were more likely to be in guardianship </w:t>
      </w:r>
      <w:r>
        <w:rPr>
          <w:kern w:val="0"/>
        </w:rPr>
        <w:lastRenderedPageBreak/>
        <w:t>(OR 0.26, 95% CI 0.17 to 0.40). Lastly, children in non-kinship foster care were more likely to utilise mental health services (OR 1.79, 95% CI 1.35 to 2.37). Authors</w:t>
      </w:r>
      <w:r w:rsidR="0071223E">
        <w:rPr>
          <w:kern w:val="0"/>
        </w:rPr>
        <w:t>’</w:t>
      </w:r>
      <w:r>
        <w:rPr>
          <w:kern w:val="0"/>
        </w:rPr>
        <w:t xml:space="preserve"> conclusions This review supports the practice</w:t>
      </w:r>
      <w:r w:rsidR="00427468">
        <w:rPr>
          <w:kern w:val="0"/>
        </w:rPr>
        <w:t xml:space="preserve"> of </w:t>
      </w:r>
      <w:r>
        <w:rPr>
          <w:kern w:val="0"/>
        </w:rPr>
        <w:t>treating kinship care as a viable out-of-home placement option for children removed from the home for maltreatment. However, this conclusion is tempered by the pronounced methodological and design weaknesses</w:t>
      </w:r>
      <w:r w:rsidR="00427468">
        <w:rPr>
          <w:kern w:val="0"/>
        </w:rPr>
        <w:t xml:space="preserve"> of </w:t>
      </w:r>
      <w:r>
        <w:rPr>
          <w:kern w:val="0"/>
        </w:rPr>
        <w:t>the included studies.</w:t>
      </w:r>
    </w:p>
    <w:p w:rsidR="001910E9" w:rsidRDefault="001910E9" w:rsidP="001910E9">
      <w:pPr>
        <w:pStyle w:val="a3"/>
        <w:rPr>
          <w:kern w:val="0"/>
        </w:rPr>
      </w:pPr>
      <w:r>
        <w:rPr>
          <w:kern w:val="0"/>
        </w:rPr>
        <w:t>Keywords: Analysis, Authors, Bias, Care, Child, Child Welfare, Children, Citation, Collection, Conference, Confidence, Criteria, Data, Data Collection, Databases, Design, Dissertation, Effect Size, Evidence, Experience, Experimental, Forms, Guardianship, Health, Health Services, Humanities, Interval, Journals, Literature, Medline, Mental Health, Meta Analysis, Meta-Analysis, Metaanalysis, Methods, Odds Ratio, Outcome, Outcomes, Performance, Placement, Practice, Psychological, Psycinfo, Quality, Quality Of, Rates, Reference, Reference Lists, Reporting, Review, Reviews, Risk, Risk</w:t>
      </w:r>
      <w:r w:rsidR="00427468">
        <w:rPr>
          <w:kern w:val="0"/>
        </w:rPr>
        <w:t xml:space="preserve"> of </w:t>
      </w:r>
      <w:r>
        <w:rPr>
          <w:kern w:val="0"/>
        </w:rPr>
        <w:t>Bias, Safety, Science, Science Citation Index, Search, Selection, Services, Size, Social, Social Science Citation Index, Social Work Journals, Software, Welfare, Well-Being, Work, World</w:t>
      </w:r>
    </w:p>
    <w:p w:rsidR="001910E9" w:rsidRDefault="001910E9" w:rsidP="001910E9">
      <w:pPr>
        <w:pStyle w:val="a3"/>
        <w:rPr>
          <w:kern w:val="0"/>
        </w:rPr>
      </w:pPr>
      <w:r>
        <w:rPr>
          <w:kern w:val="0"/>
        </w:rPr>
        <w:t xml:space="preserve">? Beggs, S., Wong, Z.H., Kaul, S., Ogden, K.J. and Walters, J.A. (2014), High-flow nasal cannula therapy for infants with bronchiolitis.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B33F8B">
        <w:rPr>
          <w:kern w:val="0"/>
        </w:rPr>
        <w:t>CD009609</w:t>
      </w:r>
      <w:r>
        <w:rPr>
          <w:kern w:val="0"/>
        </w:rPr>
        <w:t>.</w:t>
      </w:r>
    </w:p>
    <w:p w:rsidR="001910E9" w:rsidRDefault="001910E9" w:rsidP="001910E9">
      <w:pPr>
        <w:pStyle w:val="a3"/>
        <w:rPr>
          <w:kern w:val="2"/>
        </w:rPr>
      </w:pPr>
      <w:r>
        <w:t xml:space="preserve">Full Text: </w:t>
      </w:r>
      <w:hyperlink r:id="rId783" w:history="1">
        <w:r w:rsidR="002A0C52" w:rsidRPr="002A0C52">
          <w:rPr>
            <w:rStyle w:val="a5"/>
          </w:rPr>
          <w:t>2014\Coc Dat Sys Rev2014, CD009609.pdf</w:t>
        </w:r>
      </w:hyperlink>
    </w:p>
    <w:p w:rsidR="001910E9" w:rsidRDefault="001910E9" w:rsidP="001910E9">
      <w:pPr>
        <w:pStyle w:val="a3"/>
        <w:rPr>
          <w:kern w:val="0"/>
        </w:rPr>
      </w:pPr>
      <w:r>
        <w:rPr>
          <w:kern w:val="0"/>
        </w:rPr>
        <w:t>Abstract: Background Bronchiolitis is a common lower respiratory tract illness, usually</w:t>
      </w:r>
      <w:r w:rsidR="00427468">
        <w:rPr>
          <w:kern w:val="0"/>
        </w:rPr>
        <w:t xml:space="preserve"> of </w:t>
      </w:r>
      <w:r>
        <w:rPr>
          <w:kern w:val="0"/>
        </w:rPr>
        <w:t>viral aetiology, affecting infants younger than 24 months</w:t>
      </w:r>
      <w:r w:rsidR="00427468">
        <w:rPr>
          <w:kern w:val="0"/>
        </w:rPr>
        <w:t xml:space="preserve"> of </w:t>
      </w:r>
      <w:r>
        <w:rPr>
          <w:kern w:val="0"/>
        </w:rPr>
        <w:t>age and is a frequent cause</w:t>
      </w:r>
      <w:r w:rsidR="00427468">
        <w:rPr>
          <w:kern w:val="0"/>
        </w:rPr>
        <w:t xml:space="preserve"> of </w:t>
      </w:r>
      <w:r>
        <w:rPr>
          <w:kern w:val="0"/>
        </w:rPr>
        <w:t>hospitalisation. It causes airway inflammation, mucus production and mucous plugging, resulting in airway obstruction. Effective pharmacotherapy is lacking and bronchiolitis is a major cause</w:t>
      </w:r>
      <w:r w:rsidR="00427468">
        <w:rPr>
          <w:kern w:val="0"/>
        </w:rPr>
        <w:t xml:space="preserve"> of </w:t>
      </w:r>
      <w:r>
        <w:rPr>
          <w:kern w:val="0"/>
        </w:rPr>
        <w:t>morbidity and mortality. Conventional treatment consists</w:t>
      </w:r>
      <w:r w:rsidR="00427468">
        <w:rPr>
          <w:kern w:val="0"/>
        </w:rPr>
        <w:t xml:space="preserve"> of </w:t>
      </w:r>
      <w:r>
        <w:rPr>
          <w:kern w:val="0"/>
        </w:rPr>
        <w:t>supportive therapy in the form</w:t>
      </w:r>
      <w:r w:rsidR="00427468">
        <w:rPr>
          <w:kern w:val="0"/>
        </w:rPr>
        <w:t xml:space="preserve"> of </w:t>
      </w:r>
      <w:r>
        <w:rPr>
          <w:kern w:val="0"/>
        </w:rPr>
        <w:t>fluids, supplemental oxygen and respiratory support. Traditionally oxygen delivery is as a dry gas at 100% concentration via low-flow nasal prongs. However, the use</w:t>
      </w:r>
      <w:r w:rsidR="00427468">
        <w:rPr>
          <w:kern w:val="0"/>
        </w:rPr>
        <w:t xml:space="preserve"> of </w:t>
      </w:r>
      <w:r>
        <w:rPr>
          <w:kern w:val="0"/>
        </w:rPr>
        <w:t>heated, humidified, high-flow nasal cannula (HFNC) therapy enables delivery</w:t>
      </w:r>
      <w:r w:rsidR="00427468">
        <w:rPr>
          <w:kern w:val="0"/>
        </w:rPr>
        <w:t xml:space="preserve"> of </w:t>
      </w:r>
      <w:r>
        <w:rPr>
          <w:kern w:val="0"/>
        </w:rPr>
        <w:t>higher inspired gas flows</w:t>
      </w:r>
      <w:r w:rsidR="00427468">
        <w:rPr>
          <w:kern w:val="0"/>
        </w:rPr>
        <w:t xml:space="preserve"> of </w:t>
      </w:r>
      <w:r>
        <w:rPr>
          <w:kern w:val="0"/>
        </w:rPr>
        <w:t>an air/oxygen blend, up to 12 L/min in infants and 30 L/min in children. Its use provides some level</w:t>
      </w:r>
      <w:r w:rsidR="00427468">
        <w:rPr>
          <w:kern w:val="0"/>
        </w:rPr>
        <w:t xml:space="preserve"> of </w:t>
      </w:r>
      <w:r>
        <w:rPr>
          <w:kern w:val="0"/>
        </w:rPr>
        <w:t>continuous positive airway pressure to improve ventilation in a minimally invasive manner. This may reduce the need for invasive respiratory support thus potentially lowering costs, with clinical advantages and fewer adverse effects. Objectives To assess the effects</w:t>
      </w:r>
      <w:r w:rsidR="00427468">
        <w:rPr>
          <w:kern w:val="0"/>
        </w:rPr>
        <w:t xml:space="preserve"> of </w:t>
      </w:r>
      <w:r>
        <w:rPr>
          <w:kern w:val="0"/>
        </w:rPr>
        <w:t>HFNC therapy compared with conventional respiratory support in the treatment</w:t>
      </w:r>
      <w:r w:rsidR="00427468">
        <w:rPr>
          <w:kern w:val="0"/>
        </w:rPr>
        <w:t xml:space="preserve"> of </w:t>
      </w:r>
      <w:r>
        <w:rPr>
          <w:kern w:val="0"/>
        </w:rPr>
        <w:t>infants with bronchiolitis. Search methods We searched CENTRAL (2013, Issue 4), MEDLINE (1946 to May week 1, 2013), EMBASE (January 2010 to May 2013), CINAHL (1981 to May 2013), LILACS (1982 to May 2013) and Web</w:t>
      </w:r>
      <w:r w:rsidR="00427468">
        <w:rPr>
          <w:kern w:val="0"/>
        </w:rPr>
        <w:t xml:space="preserve"> of </w:t>
      </w:r>
      <w:r>
        <w:rPr>
          <w:kern w:val="0"/>
        </w:rPr>
        <w:t xml:space="preserve">Science (1985 to May 2013). In addition we consulted ongoing trial registers and experts in the field to identify </w:t>
      </w:r>
      <w:r>
        <w:rPr>
          <w:kern w:val="0"/>
        </w:rPr>
        <w:lastRenderedPageBreak/>
        <w:t>ongoing studies, checked reference lists</w:t>
      </w:r>
      <w:r w:rsidR="00427468">
        <w:rPr>
          <w:kern w:val="0"/>
        </w:rPr>
        <w:t xml:space="preserve"> of </w:t>
      </w:r>
      <w:r>
        <w:rPr>
          <w:kern w:val="0"/>
        </w:rPr>
        <w:t>relevant articles and searched conference abstracts. Selection criteria We included randomised controlled trials (RCTs) or quasi-RCTs which assessed the effects</w:t>
      </w:r>
      <w:r w:rsidR="00427468">
        <w:rPr>
          <w:kern w:val="0"/>
        </w:rPr>
        <w:t xml:space="preserve"> of </w:t>
      </w:r>
      <w:r>
        <w:rPr>
          <w:kern w:val="0"/>
        </w:rPr>
        <w:t>HFNC (delivering oxygen or oxygen/room air blend at flow rates greater than 4 L/min) compared to conventional treatment in infants (&lt; 24 months) with a clinical diagnosis</w:t>
      </w:r>
      <w:r w:rsidR="00427468">
        <w:rPr>
          <w:kern w:val="0"/>
        </w:rPr>
        <w:t xml:space="preserve"> of </w:t>
      </w:r>
      <w:r>
        <w:rPr>
          <w:kern w:val="0"/>
        </w:rPr>
        <w:t xml:space="preserve">bronchiolitis. Data collection and analysis Two review authors independently used a standard template to assess trials for inclusion and extract data on study characteristics, </w:t>
      </w:r>
      <w:r w:rsidR="0071223E">
        <w:rPr>
          <w:kern w:val="0"/>
        </w:rPr>
        <w:t>‘</w:t>
      </w:r>
      <w:r>
        <w:rPr>
          <w:kern w:val="0"/>
        </w:rPr>
        <w:t>Risk</w:t>
      </w:r>
      <w:r w:rsidR="00427468">
        <w:rPr>
          <w:kern w:val="0"/>
        </w:rPr>
        <w:t xml:space="preserve"> of </w:t>
      </w:r>
      <w:r>
        <w:rPr>
          <w:kern w:val="0"/>
        </w:rPr>
        <w:t>bias</w:t>
      </w:r>
      <w:r w:rsidR="0071223E">
        <w:rPr>
          <w:kern w:val="0"/>
        </w:rPr>
        <w:t>’</w:t>
      </w:r>
      <w:r>
        <w:rPr>
          <w:kern w:val="0"/>
        </w:rPr>
        <w:t xml:space="preserve"> elements and outcomes. We contacted trial authors to request missing data. Outcome measures included the need for invasive respiratory support and time until discharge, clinical severity measures, oxygen saturation, duration</w:t>
      </w:r>
      <w:r w:rsidR="00427468">
        <w:rPr>
          <w:kern w:val="0"/>
        </w:rPr>
        <w:t xml:space="preserve"> of </w:t>
      </w:r>
      <w:r>
        <w:rPr>
          <w:kern w:val="0"/>
        </w:rPr>
        <w:t>oxygen therapy and adverse events. Main results We included one RCT which was a pilot study with 19 participants that compared HFNC therapy with oxygen delivery via a head box. In this study, we judged the risk</w:t>
      </w:r>
      <w:r w:rsidR="00427468">
        <w:rPr>
          <w:kern w:val="0"/>
        </w:rPr>
        <w:t xml:space="preserve"> of </w:t>
      </w:r>
      <w:r>
        <w:rPr>
          <w:kern w:val="0"/>
        </w:rPr>
        <w:t>selection, attrition and reporting bias to be low, and we judged the risk</w:t>
      </w:r>
      <w:r w:rsidR="00427468">
        <w:rPr>
          <w:kern w:val="0"/>
        </w:rPr>
        <w:t xml:space="preserve"> of </w:t>
      </w:r>
      <w:r>
        <w:rPr>
          <w:kern w:val="0"/>
        </w:rPr>
        <w:t>performance and detection bias to be unclear due to lack</w:t>
      </w:r>
      <w:r w:rsidR="00427468">
        <w:rPr>
          <w:kern w:val="0"/>
        </w:rPr>
        <w:t xml:space="preserve"> of </w:t>
      </w:r>
      <w:r>
        <w:rPr>
          <w:kern w:val="0"/>
        </w:rPr>
        <w:t>blinding</w:t>
      </w:r>
      <w:r w:rsidR="00A37C1D">
        <w:rPr>
          <w:kern w:val="0"/>
        </w:rPr>
        <w:t>. The</w:t>
      </w:r>
      <w:r>
        <w:rPr>
          <w:kern w:val="0"/>
        </w:rPr>
        <w:t xml:space="preserve"> median oxygen saturation (SpO(2)) was higher in the HFNC group at eight hours (100% versus 96%, P = 0.04) and at 12 hours (99% versus 96%, P = 0.04) but similar at 24 hours</w:t>
      </w:r>
      <w:r w:rsidR="00A37C1D">
        <w:rPr>
          <w:kern w:val="0"/>
        </w:rPr>
        <w:t>. The</w:t>
      </w:r>
      <w:r>
        <w:rPr>
          <w:kern w:val="0"/>
        </w:rPr>
        <w:t>re was no clear evidence</w:t>
      </w:r>
      <w:r w:rsidR="00427468">
        <w:rPr>
          <w:kern w:val="0"/>
        </w:rPr>
        <w:t xml:space="preserve"> of </w:t>
      </w:r>
      <w:r>
        <w:rPr>
          <w:kern w:val="0"/>
        </w:rPr>
        <w:t>a difference in total duration</w:t>
      </w:r>
      <w:r w:rsidR="00427468">
        <w:rPr>
          <w:kern w:val="0"/>
        </w:rPr>
        <w:t xml:space="preserve"> of </w:t>
      </w:r>
      <w:r>
        <w:rPr>
          <w:kern w:val="0"/>
        </w:rPr>
        <w:t>oxygen therapy, time to discharge or total length</w:t>
      </w:r>
      <w:r w:rsidR="00427468">
        <w:rPr>
          <w:kern w:val="0"/>
        </w:rPr>
        <w:t xml:space="preserve"> of </w:t>
      </w:r>
      <w:r>
        <w:rPr>
          <w:kern w:val="0"/>
        </w:rPr>
        <w:t>stay between groups. No adverse events were reported in either group and no participants in either group required further respiratory support. Five ongoing trials were identified but no data were available in May 2013. We were not able to perform a meta-analysis. Authors</w:t>
      </w:r>
      <w:r w:rsidR="0071223E">
        <w:rPr>
          <w:kern w:val="0"/>
        </w:rPr>
        <w:t>’</w:t>
      </w:r>
      <w:r>
        <w:rPr>
          <w:kern w:val="0"/>
        </w:rPr>
        <w:t xml:space="preserve"> conclusions There is insufficient evidence to determine the effectiveness</w:t>
      </w:r>
      <w:r w:rsidR="00427468">
        <w:rPr>
          <w:kern w:val="0"/>
        </w:rPr>
        <w:t xml:space="preserve"> of </w:t>
      </w:r>
      <w:r>
        <w:rPr>
          <w:kern w:val="0"/>
        </w:rPr>
        <w:t>HFNC therapy for treating infants with bronchiolitis</w:t>
      </w:r>
      <w:r w:rsidR="00A37C1D">
        <w:rPr>
          <w:kern w:val="0"/>
        </w:rPr>
        <w:t>. The</w:t>
      </w:r>
      <w:r>
        <w:rPr>
          <w:kern w:val="0"/>
        </w:rPr>
        <w:t xml:space="preserve"> current evidence in this review is</w:t>
      </w:r>
      <w:r w:rsidR="00427468">
        <w:rPr>
          <w:kern w:val="0"/>
        </w:rPr>
        <w:t xml:space="preserve"> of </w:t>
      </w:r>
      <w:r>
        <w:rPr>
          <w:kern w:val="0"/>
        </w:rPr>
        <w:t>low quality, from one small study with uncertainty about the estimates</w:t>
      </w:r>
      <w:r w:rsidR="00427468">
        <w:rPr>
          <w:kern w:val="0"/>
        </w:rPr>
        <w:t xml:space="preserve"> of </w:t>
      </w:r>
      <w:r>
        <w:rPr>
          <w:kern w:val="0"/>
        </w:rPr>
        <w:t>effect and an unclear risk</w:t>
      </w:r>
      <w:r w:rsidR="00427468">
        <w:rPr>
          <w:kern w:val="0"/>
        </w:rPr>
        <w:t xml:space="preserve"> of </w:t>
      </w:r>
      <w:r>
        <w:rPr>
          <w:kern w:val="0"/>
        </w:rPr>
        <w:t>performance and detection bias</w:t>
      </w:r>
      <w:r w:rsidR="00A37C1D">
        <w:rPr>
          <w:kern w:val="0"/>
        </w:rPr>
        <w:t>. The</w:t>
      </w:r>
      <w:r>
        <w:rPr>
          <w:kern w:val="0"/>
        </w:rPr>
        <w:t xml:space="preserve"> included study provides some indication that HFNC therapy is feasible and well tolerated. Further research is required to determine the role</w:t>
      </w:r>
      <w:r w:rsidR="00427468">
        <w:rPr>
          <w:kern w:val="0"/>
        </w:rPr>
        <w:t xml:space="preserve"> of </w:t>
      </w:r>
      <w:r>
        <w:rPr>
          <w:kern w:val="0"/>
        </w:rPr>
        <w:t>HFNC in the management</w:t>
      </w:r>
      <w:r w:rsidR="00427468">
        <w:rPr>
          <w:kern w:val="0"/>
        </w:rPr>
        <w:t xml:space="preserve"> of </w:t>
      </w:r>
      <w:r>
        <w:rPr>
          <w:kern w:val="0"/>
        </w:rPr>
        <w:t>bronchiolitis in infants</w:t>
      </w:r>
      <w:r w:rsidR="00A37C1D">
        <w:rPr>
          <w:kern w:val="0"/>
        </w:rPr>
        <w:t>. The</w:t>
      </w:r>
      <w:r>
        <w:rPr>
          <w:kern w:val="0"/>
        </w:rPr>
        <w:t xml:space="preserve"> results</w:t>
      </w:r>
      <w:r w:rsidR="00427468">
        <w:rPr>
          <w:kern w:val="0"/>
        </w:rPr>
        <w:t xml:space="preserve"> of </w:t>
      </w:r>
      <w:r>
        <w:rPr>
          <w:kern w:val="0"/>
        </w:rPr>
        <w:t>the ongoing studies identified will contribute to the evidence in future updates</w:t>
      </w:r>
      <w:r w:rsidR="00427468">
        <w:rPr>
          <w:kern w:val="0"/>
        </w:rPr>
        <w:t xml:space="preserve"> of </w:t>
      </w:r>
      <w:r>
        <w:rPr>
          <w:kern w:val="0"/>
        </w:rPr>
        <w:t>this review.</w:t>
      </w:r>
    </w:p>
    <w:p w:rsidR="001910E9" w:rsidRDefault="001910E9" w:rsidP="001910E9">
      <w:pPr>
        <w:pStyle w:val="a3"/>
        <w:rPr>
          <w:kern w:val="0"/>
        </w:rPr>
      </w:pPr>
      <w:r>
        <w:rPr>
          <w:kern w:val="0"/>
        </w:rPr>
        <w:t>Keywords: Adverse Effects, Aetiology, Age, Air, Airway Obstruction, Analysis, Authors, Bias, Characteristics, Children, Clinical, Collection, Concentration, Conventional, Costs, Criteria, Data, Data Collection, Delivery, Diagnosis, Discharge, Duration, Effectiveness, Effects, Embase, Estimates, Events, Evidence, Experts, Field, Flow, Groups, Indication, Infants, Inflammation, Invasive, Length, Length</w:t>
      </w:r>
      <w:r w:rsidR="00427468">
        <w:rPr>
          <w:kern w:val="0"/>
        </w:rPr>
        <w:t xml:space="preserve"> of </w:t>
      </w:r>
      <w:r>
        <w:rPr>
          <w:kern w:val="0"/>
        </w:rPr>
        <w:t>Stay, Low Flow, Management, Measures, Medline, Meta Analysis, Meta-Analysis, Metaanalysis, Methods, Morbidity, Mortality, Outcome, Outcomes, Oxygen, Oxygen Saturation, P, Performance, Pharmacotherapy, Pilot, Pressure, Quality, Randomised, Randomised Controlled Trials, Rates, Rct, Reference, Reference Lists, Reporting, Research, Review, Risk, Risk</w:t>
      </w:r>
      <w:r w:rsidR="00427468">
        <w:rPr>
          <w:kern w:val="0"/>
        </w:rPr>
        <w:t xml:space="preserve"> of </w:t>
      </w:r>
      <w:r>
        <w:rPr>
          <w:kern w:val="0"/>
        </w:rPr>
        <w:t xml:space="preserve">Bias, Role, Saturation, Science, Search, Selection, </w:t>
      </w:r>
      <w:r>
        <w:rPr>
          <w:kern w:val="0"/>
        </w:rPr>
        <w:lastRenderedPageBreak/>
        <w:t>Small, Standard, Support, Supportive Therapy, Template, Therapy, Treatment, Trial, Uncertainty, Ventilation, Viral, Web</w:t>
      </w:r>
      <w:r w:rsidR="00427468">
        <w:rPr>
          <w:kern w:val="0"/>
        </w:rPr>
        <w:t xml:space="preserve"> of </w:t>
      </w:r>
      <w:r>
        <w:rPr>
          <w:kern w:val="0"/>
        </w:rPr>
        <w:t>Science</w:t>
      </w:r>
    </w:p>
    <w:p w:rsidR="001910E9" w:rsidRDefault="001910E9" w:rsidP="001910E9">
      <w:pPr>
        <w:pStyle w:val="a3"/>
        <w:rPr>
          <w:kern w:val="0"/>
        </w:rPr>
      </w:pPr>
      <w:r>
        <w:rPr>
          <w:kern w:val="0"/>
        </w:rPr>
        <w:t xml:space="preserve">? Unverzagt, S., Wachsmuth, L., Hirsch, K., Thiele, H., Buerke, M., Haerting, J., Werdan, K. and Prondzinsky, R. (2014), Inotropic agents and vasodilator strategies for acute myocardial infarction complicated by cardiogenic shock or low cardiac output syndrome.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A5262F">
        <w:rPr>
          <w:kern w:val="0"/>
        </w:rPr>
        <w:t>CD009669</w:t>
      </w:r>
      <w:r>
        <w:rPr>
          <w:kern w:val="0"/>
        </w:rPr>
        <w:t>.</w:t>
      </w:r>
    </w:p>
    <w:p w:rsidR="001910E9" w:rsidRDefault="001910E9" w:rsidP="001910E9">
      <w:pPr>
        <w:pStyle w:val="a3"/>
        <w:rPr>
          <w:kern w:val="2"/>
        </w:rPr>
      </w:pPr>
      <w:r>
        <w:t xml:space="preserve">Full Text: </w:t>
      </w:r>
      <w:hyperlink r:id="rId784" w:history="1">
        <w:r w:rsidR="002A0C52" w:rsidRPr="002A0C52">
          <w:rPr>
            <w:rStyle w:val="a5"/>
          </w:rPr>
          <w:t>2014\Coc Dat Sys Rev2014, CD009669.pdf</w:t>
        </w:r>
      </w:hyperlink>
    </w:p>
    <w:p w:rsidR="001910E9" w:rsidRDefault="001910E9" w:rsidP="001910E9">
      <w:pPr>
        <w:pStyle w:val="a3"/>
        <w:rPr>
          <w:kern w:val="0"/>
        </w:rPr>
      </w:pPr>
      <w:r>
        <w:rPr>
          <w:kern w:val="0"/>
        </w:rPr>
        <w:t>Abstract: Background The recently published German-Austrian S3 Guideline for the treatment</w:t>
      </w:r>
      <w:r w:rsidR="00427468">
        <w:rPr>
          <w:kern w:val="0"/>
        </w:rPr>
        <w:t xml:space="preserve"> of </w:t>
      </w:r>
      <w:r>
        <w:rPr>
          <w:kern w:val="0"/>
        </w:rPr>
        <w:t>infarct related cardiogenic shock (CS) revealed a lack</w:t>
      </w:r>
      <w:r w:rsidR="00427468">
        <w:rPr>
          <w:kern w:val="0"/>
        </w:rPr>
        <w:t xml:space="preserve"> of </w:t>
      </w:r>
      <w:r>
        <w:rPr>
          <w:kern w:val="0"/>
        </w:rPr>
        <w:t>evidence for all recommended therapeutic measures. Objectives To determine the effects in terms</w:t>
      </w:r>
      <w:r w:rsidR="00427468">
        <w:rPr>
          <w:kern w:val="0"/>
        </w:rPr>
        <w:t xml:space="preserve"> of </w:t>
      </w:r>
      <w:r>
        <w:rPr>
          <w:kern w:val="0"/>
        </w:rPr>
        <w:t>efficacy, efficiency and safety</w:t>
      </w:r>
      <w:r w:rsidR="00427468">
        <w:rPr>
          <w:kern w:val="0"/>
        </w:rPr>
        <w:t xml:space="preserve"> of </w:t>
      </w:r>
      <w:r>
        <w:rPr>
          <w:kern w:val="0"/>
        </w:rPr>
        <w:t>cardiac care with inotropic agents and vasodilator strategies versus placebo or against each other for haemodynamic stabilisation following surgical treatment, interventional therapy (angioplasty, stent implantation) and conservative treatment (that is no revascularization) on mortality and morbidity in patients with acute myocardial infarction (AMI) complicated by CS or low cardiac output syndrome (LCOS). Search methods We searched CENTRAL, MEDLINE (Ovid), EMBASE (Ovid) and ISI Web</w:t>
      </w:r>
      <w:r w:rsidR="00427468">
        <w:rPr>
          <w:kern w:val="0"/>
        </w:rPr>
        <w:t xml:space="preserve"> of </w:t>
      </w:r>
      <w:r>
        <w:rPr>
          <w:kern w:val="0"/>
        </w:rPr>
        <w:t>Science, registers</w:t>
      </w:r>
      <w:r w:rsidR="00427468">
        <w:rPr>
          <w:kern w:val="0"/>
        </w:rPr>
        <w:t xml:space="preserve"> of </w:t>
      </w:r>
      <w:r>
        <w:rPr>
          <w:kern w:val="0"/>
        </w:rPr>
        <w:t>ongoing trials and proceedings</w:t>
      </w:r>
      <w:r w:rsidR="00427468">
        <w:rPr>
          <w:kern w:val="0"/>
        </w:rPr>
        <w:t xml:space="preserve"> of </w:t>
      </w:r>
      <w:r>
        <w:rPr>
          <w:kern w:val="0"/>
        </w:rPr>
        <w:t>conferences in January 2013. Reference lists were scanned and experts in the field were contacted to obtain further information. No language restrictions were applied. Selection criteria Randomised controlled trials in patients with AMI complicated by CS or LCOS. Data collection and analysis Data collection and analysis were performed according to the published protocol. All trials were analysed individually. Hazard ratios (HRs) and odds ratios with 95% confidence intervals (CI) were extracted but not pooled because</w:t>
      </w:r>
      <w:r w:rsidR="00427468">
        <w:rPr>
          <w:kern w:val="0"/>
        </w:rPr>
        <w:t xml:space="preserve"> of </w:t>
      </w:r>
      <w:r>
        <w:rPr>
          <w:kern w:val="0"/>
        </w:rPr>
        <w:t>high heterogeneity between the control group interventions. Main results Four eligible, very small studies were identified from a total</w:t>
      </w:r>
      <w:r w:rsidR="00427468">
        <w:rPr>
          <w:kern w:val="0"/>
        </w:rPr>
        <w:t xml:space="preserve"> of </w:t>
      </w:r>
      <w:r>
        <w:rPr>
          <w:kern w:val="0"/>
        </w:rPr>
        <w:t>4065 references. Three trials with high overall risk</w:t>
      </w:r>
      <w:r w:rsidR="00427468">
        <w:rPr>
          <w:kern w:val="0"/>
        </w:rPr>
        <w:t xml:space="preserve"> of </w:t>
      </w:r>
      <w:r>
        <w:rPr>
          <w:kern w:val="0"/>
        </w:rPr>
        <w:t>bias compared levosimendan to standard treatment (enoximone or dobutamine) or placebo. Data from a total</w:t>
      </w:r>
      <w:r w:rsidR="00427468">
        <w:rPr>
          <w:kern w:val="0"/>
        </w:rPr>
        <w:t xml:space="preserve"> of </w:t>
      </w:r>
      <w:r>
        <w:rPr>
          <w:kern w:val="0"/>
        </w:rPr>
        <w:t>63 participants were included in our comparisons, 31 were treated with levosimendan and 32 served as controls. Levosimendan showed an imprecise survival benefit in comparison with enoximone based on a very small trial with 32 participants (HR 0.33; 95% CI 0.11 to 0.97). Results from the other similarly small trials were too imprecise to provide any meaningful information about the effect</w:t>
      </w:r>
      <w:r w:rsidR="00427468">
        <w:rPr>
          <w:kern w:val="0"/>
        </w:rPr>
        <w:t xml:space="preserve"> of </w:t>
      </w:r>
      <w:r>
        <w:rPr>
          <w:kern w:val="0"/>
        </w:rPr>
        <w:t>levosimendan in comparison with dobutamine or placebo. Only small differences in haemodynamics, length</w:t>
      </w:r>
      <w:r w:rsidR="00427468">
        <w:rPr>
          <w:kern w:val="0"/>
        </w:rPr>
        <w:t xml:space="preserve"> of </w:t>
      </w:r>
      <w:r>
        <w:rPr>
          <w:kern w:val="0"/>
        </w:rPr>
        <w:t>hospital stay and the frequency</w:t>
      </w:r>
      <w:r w:rsidR="00427468">
        <w:rPr>
          <w:kern w:val="0"/>
        </w:rPr>
        <w:t xml:space="preserve"> of </w:t>
      </w:r>
      <w:r>
        <w:rPr>
          <w:kern w:val="0"/>
        </w:rPr>
        <w:t xml:space="preserve">major adverse cardiac events or adverse events overall were found between study groups. Only one small randomised controlled trial with three participants was found for vasodilator strategies (nitric oxide gas versus placebo) in AMI complicated by CS or LCOS. This study was too small to draw any conclusions on the effects on our key </w:t>
      </w:r>
      <w:r>
        <w:rPr>
          <w:kern w:val="0"/>
        </w:rPr>
        <w:lastRenderedPageBreak/>
        <w:t>outcomes. Authors</w:t>
      </w:r>
      <w:r w:rsidR="0071223E">
        <w:rPr>
          <w:kern w:val="0"/>
        </w:rPr>
        <w:t>’</w:t>
      </w:r>
      <w:r>
        <w:rPr>
          <w:kern w:val="0"/>
        </w:rPr>
        <w:t xml:space="preserve"> conclusions At present there are no robust and convincing data to support a distinct inotropic or vasodilator drug based therapy as a superior solution to reduce mortality in haemodynamically unstable patients with CS or low cardiac output complicating AMI.</w:t>
      </w:r>
    </w:p>
    <w:p w:rsidR="001910E9" w:rsidRDefault="001910E9" w:rsidP="001910E9">
      <w:pPr>
        <w:pStyle w:val="a3"/>
        <w:rPr>
          <w:kern w:val="0"/>
        </w:rPr>
      </w:pPr>
      <w:r>
        <w:rPr>
          <w:kern w:val="0"/>
        </w:rPr>
        <w:t>Keywords: Acute Myocardial Infarction, Analysis, Bias, Cardiac Output, Care, Collection, Comparison, Conferences, Confidence, Confidence Intervals, Conservative, Conservative Treatment, Control, Controlled Trial, Criteria, Data, Data Collection, Drug, Effects, Efficacy, Efficiency, Embase, Events, Evidence, Experts, Field, Groups, Heterogeneity, Hospital, Hospital Stay, Implantation, Infarction, Information, Intervals, Interventions, Isi, Isi Web</w:t>
      </w:r>
      <w:r w:rsidR="00427468">
        <w:rPr>
          <w:kern w:val="0"/>
        </w:rPr>
        <w:t xml:space="preserve"> of </w:t>
      </w:r>
      <w:r>
        <w:rPr>
          <w:kern w:val="0"/>
        </w:rPr>
        <w:t>Science, Language, Length, Measures, Medline, Methods, Morbidity, Mortality, Myocardial Infarction, Nitric Oxide, Outcomes, Oxide, Patients, Placebo, Protocol, Randomised, Randomised Controlled Trial, Randomised Controlled Trials, Reference, Reference Lists, References, Restrictions, Results, Revascularization, Risk, Safety, Science, Search, Shock, Small, Solution, Stabilisation, Standard, Support, Surgical Treatment, Survival, Syndrome, Therapeutic, Therapy, Treatment, Trial, Web</w:t>
      </w:r>
      <w:r w:rsidR="00427468">
        <w:rPr>
          <w:kern w:val="0"/>
        </w:rPr>
        <w:t xml:space="preserve"> of </w:t>
      </w:r>
      <w:r>
        <w:rPr>
          <w:kern w:val="0"/>
        </w:rPr>
        <w:t>Science</w:t>
      </w:r>
    </w:p>
    <w:p w:rsidR="001910E9" w:rsidRDefault="001910E9" w:rsidP="001910E9">
      <w:pPr>
        <w:pStyle w:val="a3"/>
        <w:rPr>
          <w:kern w:val="0"/>
        </w:rPr>
      </w:pPr>
      <w:r>
        <w:rPr>
          <w:kern w:val="0"/>
        </w:rPr>
        <w:t xml:space="preserve">? Vaughan, J., Nagendran, M., Cooper, J., Davidson, B.R. and GurUSAmy, K.S. (2014), Anaesthetic regimens for day-procedure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A5262F">
        <w:rPr>
          <w:kern w:val="0"/>
        </w:rPr>
        <w:t>CD009784</w:t>
      </w:r>
      <w:r>
        <w:rPr>
          <w:kern w:val="0"/>
        </w:rPr>
        <w:t>.</w:t>
      </w:r>
    </w:p>
    <w:p w:rsidR="001910E9" w:rsidRDefault="001910E9" w:rsidP="001910E9">
      <w:pPr>
        <w:pStyle w:val="a3"/>
        <w:rPr>
          <w:kern w:val="2"/>
        </w:rPr>
      </w:pPr>
      <w:r>
        <w:t xml:space="preserve">Full Text: </w:t>
      </w:r>
      <w:hyperlink r:id="rId785" w:history="1">
        <w:r w:rsidR="007835D2" w:rsidRPr="007835D2">
          <w:rPr>
            <w:rStyle w:val="a5"/>
          </w:rPr>
          <w:t>2014\Coc Dat Sys Rev2014, CD009784.pdf</w:t>
        </w:r>
      </w:hyperlink>
    </w:p>
    <w:p w:rsidR="001910E9" w:rsidRDefault="001910E9" w:rsidP="001910E9">
      <w:pPr>
        <w:pStyle w:val="a3"/>
        <w:rPr>
          <w:kern w:val="0"/>
        </w:rPr>
      </w:pPr>
      <w:r>
        <w:rPr>
          <w:kern w:val="0"/>
        </w:rPr>
        <w:t>Abstract: Background Day surgery involves admission</w:t>
      </w:r>
      <w:r w:rsidR="00427468">
        <w:rPr>
          <w:kern w:val="0"/>
        </w:rPr>
        <w:t xml:space="preserve"> of </w:t>
      </w:r>
      <w:r>
        <w:rPr>
          <w:kern w:val="0"/>
        </w:rPr>
        <w:t>selected patients to hospital for a planned surgical procedure with the patients returning home on the same day. An anaesthetic regimen usually involves a combination</w:t>
      </w:r>
      <w:r w:rsidR="00427468">
        <w:rPr>
          <w:kern w:val="0"/>
        </w:rPr>
        <w:t xml:space="preserve"> of </w:t>
      </w:r>
      <w:r>
        <w:rPr>
          <w:kern w:val="0"/>
        </w:rPr>
        <w:t>an anxiolytic, an induction agent, a maintenance agent, a method</w:t>
      </w:r>
      <w:r w:rsidR="00427468">
        <w:rPr>
          <w:kern w:val="0"/>
        </w:rPr>
        <w:t xml:space="preserve"> of </w:t>
      </w:r>
      <w:r>
        <w:rPr>
          <w:kern w:val="0"/>
        </w:rPr>
        <w:t>maintaining the airway (laryngeal mask versus endotracheal intubation), and a muscle relaxant</w:t>
      </w:r>
      <w:r w:rsidR="00A37C1D">
        <w:rPr>
          <w:kern w:val="0"/>
        </w:rPr>
        <w:t>. The</w:t>
      </w:r>
      <w:r>
        <w:rPr>
          <w:kern w:val="0"/>
        </w:rPr>
        <w:t xml:space="preserve"> effect</w:t>
      </w:r>
      <w:r w:rsidR="00427468">
        <w:rPr>
          <w:kern w:val="0"/>
        </w:rPr>
        <w:t xml:space="preserve"> of </w:t>
      </w:r>
      <w:r>
        <w:rPr>
          <w:kern w:val="0"/>
        </w:rPr>
        <w:t>anaesthesia may continue after the completion</w:t>
      </w:r>
      <w:r w:rsidR="00427468">
        <w:rPr>
          <w:kern w:val="0"/>
        </w:rPr>
        <w:t xml:space="preserve"> of </w:t>
      </w:r>
      <w:r>
        <w:rPr>
          <w:kern w:val="0"/>
        </w:rPr>
        <w:t>surgery and can delay discharge. Various regimens</w:t>
      </w:r>
      <w:r w:rsidR="00427468">
        <w:rPr>
          <w:kern w:val="0"/>
        </w:rPr>
        <w:t xml:space="preserve"> of </w:t>
      </w:r>
      <w:r>
        <w:rPr>
          <w:kern w:val="0"/>
        </w:rPr>
        <w:t>anaesthesia have been suggested for day-procedure laparoscopic cholecystectomy. Objectives To compare the benefits and harms</w:t>
      </w:r>
      <w:r w:rsidR="00427468">
        <w:rPr>
          <w:kern w:val="0"/>
        </w:rPr>
        <w:t xml:space="preserve"> of </w:t>
      </w:r>
      <w:r>
        <w:rPr>
          <w:kern w:val="0"/>
        </w:rPr>
        <w:t>different anaesthetic regimens (risks</w:t>
      </w:r>
      <w:r w:rsidR="00427468">
        <w:rPr>
          <w:kern w:val="0"/>
        </w:rPr>
        <w:t xml:space="preserve"> of </w:t>
      </w:r>
      <w:r>
        <w:rPr>
          <w:kern w:val="0"/>
        </w:rPr>
        <w:t>mortality and morbidity, measures</w:t>
      </w:r>
      <w:r w:rsidR="00427468">
        <w:rPr>
          <w:kern w:val="0"/>
        </w:rPr>
        <w:t xml:space="preserve"> of </w:t>
      </w:r>
      <w:r>
        <w:rPr>
          <w:kern w:val="0"/>
        </w:rPr>
        <w:t>recovery after surgery) in patients undergoing day-procedure laparoscopic cholecystectomy. Search methods We searched the Cochrane Central Register</w:t>
      </w:r>
      <w:r w:rsidR="00427468">
        <w:rPr>
          <w:kern w:val="0"/>
        </w:rPr>
        <w:t xml:space="preserve"> of </w:t>
      </w:r>
      <w:r>
        <w:rPr>
          <w:kern w:val="0"/>
        </w:rPr>
        <w:t>Controlled Trials (CENTRAL) in The Cochrane Library (Issue 10, 2013), MEDLINE (PubMed) (1987 to November 2013), EMBASE (OvidSP) (1987 to November 2013), Science Citation Index Expanded (ISI Web</w:t>
      </w:r>
      <w:r w:rsidR="00427468">
        <w:rPr>
          <w:kern w:val="0"/>
        </w:rPr>
        <w:t xml:space="preserve"> of </w:t>
      </w:r>
      <w:r>
        <w:rPr>
          <w:kern w:val="0"/>
        </w:rPr>
        <w:t>Knowledge) (1987 to November 2013), LILACS (Virtual Health Library) (1987 to November 2013), metaRegister</w:t>
      </w:r>
      <w:r w:rsidR="00427468">
        <w:rPr>
          <w:kern w:val="0"/>
        </w:rPr>
        <w:t xml:space="preserve"> of </w:t>
      </w:r>
      <w:r>
        <w:rPr>
          <w:kern w:val="0"/>
        </w:rPr>
        <w:t xml:space="preserve">Controlled Trials (http://www.controlled-trials.com/mrct/) (November 2013), World Health Organization (WHO) International Clinical Trials Registry Platform (ICTRP) portal (November 2013), and ClinicalTrials.gov (November 2013). Selection criteria We included randomized clinical trials comparing different anaesthetic regimens during </w:t>
      </w:r>
      <w:r>
        <w:rPr>
          <w:kern w:val="0"/>
        </w:rPr>
        <w:lastRenderedPageBreak/>
        <w:t>elective day-procedure laparoscopic cholecystectomy (irrespective</w:t>
      </w:r>
      <w:r w:rsidR="00427468">
        <w:rPr>
          <w:kern w:val="0"/>
        </w:rPr>
        <w:t xml:space="preserve"> of </w:t>
      </w:r>
      <w:r>
        <w:rPr>
          <w:kern w:val="0"/>
        </w:rPr>
        <w:t>language or publication status). Data collection and analysis Two authors independently assessed trials for inclusion and independently extracted the data. We calculated the risk ratio, rate ratio or mean difference with 95% confidence intervals based on intention-to-treat or available data analysis. Main results We included 11 trials involving 1069 participants at low anaesthetic risk</w:t>
      </w:r>
      <w:r w:rsidR="00A37C1D">
        <w:rPr>
          <w:kern w:val="0"/>
        </w:rPr>
        <w:t>. The</w:t>
      </w:r>
      <w:r>
        <w:rPr>
          <w:kern w:val="0"/>
        </w:rPr>
        <w:t xml:space="preserve"> sample size varied from 40 to 300 participants. We included 23 comparisons. All trials were at a high risk</w:t>
      </w:r>
      <w:r w:rsidR="00427468">
        <w:rPr>
          <w:kern w:val="0"/>
        </w:rPr>
        <w:t xml:space="preserve"> of </w:t>
      </w:r>
      <w:r>
        <w:rPr>
          <w:kern w:val="0"/>
        </w:rPr>
        <w:t>bias. We were unable to perform a meta-analysis because there were no two trials involving the same comparison. Primary outcomes included perioperative mortality, serious morbidity and proportion</w:t>
      </w:r>
      <w:r w:rsidR="00427468">
        <w:rPr>
          <w:kern w:val="0"/>
        </w:rPr>
        <w:t xml:space="preserve"> of </w:t>
      </w:r>
      <w:r>
        <w:rPr>
          <w:kern w:val="0"/>
        </w:rPr>
        <w:t>patients who were discharged on the same day</w:t>
      </w:r>
      <w:r w:rsidR="00A37C1D">
        <w:rPr>
          <w:kern w:val="0"/>
        </w:rPr>
        <w:t>. The</w:t>
      </w:r>
      <w:r>
        <w:rPr>
          <w:kern w:val="0"/>
        </w:rPr>
        <w:t>re were no perioperative deaths or serious adverse events in either group in the only trial that reported this information (0/60)</w:t>
      </w:r>
      <w:r w:rsidR="00A37C1D">
        <w:rPr>
          <w:kern w:val="0"/>
        </w:rPr>
        <w:t>. The</w:t>
      </w:r>
      <w:r>
        <w:rPr>
          <w:kern w:val="0"/>
        </w:rPr>
        <w:t>re was no clear evidence</w:t>
      </w:r>
      <w:r w:rsidR="00427468">
        <w:rPr>
          <w:kern w:val="0"/>
        </w:rPr>
        <w:t xml:space="preserve"> of </w:t>
      </w:r>
      <w:r>
        <w:rPr>
          <w:kern w:val="0"/>
        </w:rPr>
        <w:t>a difference in the proportion</w:t>
      </w:r>
      <w:r w:rsidR="00427468">
        <w:rPr>
          <w:kern w:val="0"/>
        </w:rPr>
        <w:t xml:space="preserve"> of </w:t>
      </w:r>
      <w:r>
        <w:rPr>
          <w:kern w:val="0"/>
        </w:rPr>
        <w:t>patients who were discharged on the same day between any</w:t>
      </w:r>
      <w:r w:rsidR="00427468">
        <w:rPr>
          <w:kern w:val="0"/>
        </w:rPr>
        <w:t xml:space="preserve"> of </w:t>
      </w:r>
      <w:r>
        <w:rPr>
          <w:kern w:val="0"/>
        </w:rPr>
        <w:t>the comparisons. Overall, 472/554 patients (85%) included in this review were discharged as day-procedure laparoscopic cholecystectomy patients. Secondary outcomes included hospital readmissions, health-related quality</w:t>
      </w:r>
      <w:r w:rsidR="00427468">
        <w:rPr>
          <w:kern w:val="0"/>
        </w:rPr>
        <w:t xml:space="preserve"> of </w:t>
      </w:r>
      <w:r>
        <w:rPr>
          <w:kern w:val="0"/>
        </w:rPr>
        <w:t>life, pain, return to activity and return to work</w:t>
      </w:r>
      <w:r w:rsidR="00A37C1D">
        <w:rPr>
          <w:kern w:val="0"/>
        </w:rPr>
        <w:t>. The</w:t>
      </w:r>
      <w:r>
        <w:rPr>
          <w:kern w:val="0"/>
        </w:rPr>
        <w:t>re was no clear evidence</w:t>
      </w:r>
      <w:r w:rsidR="00427468">
        <w:rPr>
          <w:kern w:val="0"/>
        </w:rPr>
        <w:t xml:space="preserve"> of </w:t>
      </w:r>
      <w:r>
        <w:rPr>
          <w:kern w:val="0"/>
        </w:rPr>
        <w:t>a difference in hospital readmissions within 30 days in the only comparison in which this outcome was reported. One readmission was reported in the 60 patients (2%) in whom this outcome was assessed. Quality</w:t>
      </w:r>
      <w:r w:rsidR="00427468">
        <w:rPr>
          <w:kern w:val="0"/>
        </w:rPr>
        <w:t xml:space="preserve"> of </w:t>
      </w:r>
      <w:r>
        <w:rPr>
          <w:kern w:val="0"/>
        </w:rPr>
        <w:t>life was not reported in any</w:t>
      </w:r>
      <w:r w:rsidR="00427468">
        <w:rPr>
          <w:kern w:val="0"/>
        </w:rPr>
        <w:t xml:space="preserve"> of </w:t>
      </w:r>
      <w:r>
        <w:rPr>
          <w:kern w:val="0"/>
        </w:rPr>
        <w:t>the trials</w:t>
      </w:r>
      <w:r w:rsidR="00A37C1D">
        <w:rPr>
          <w:kern w:val="0"/>
        </w:rPr>
        <w:t>. The</w:t>
      </w:r>
      <w:r>
        <w:rPr>
          <w:kern w:val="0"/>
        </w:rPr>
        <w:t>re was no clear evidence</w:t>
      </w:r>
      <w:r w:rsidR="00427468">
        <w:rPr>
          <w:kern w:val="0"/>
        </w:rPr>
        <w:t xml:space="preserve"> of </w:t>
      </w:r>
      <w:r>
        <w:rPr>
          <w:kern w:val="0"/>
        </w:rPr>
        <w:t>a difference in the pain intensity, measured by a visual analogue scale, between comparators in the only trial which reported the pain intensity at between four and eight hours after surgery. Times to return to activity and return to work were not reported in any</w:t>
      </w:r>
      <w:r w:rsidR="00427468">
        <w:rPr>
          <w:kern w:val="0"/>
        </w:rPr>
        <w:t xml:space="preserve"> of </w:t>
      </w:r>
      <w:r>
        <w:rPr>
          <w:kern w:val="0"/>
        </w:rPr>
        <w:t>the trials. Authors</w:t>
      </w:r>
      <w:r w:rsidR="0071223E">
        <w:rPr>
          <w:kern w:val="0"/>
        </w:rPr>
        <w:t>’</w:t>
      </w:r>
      <w:r>
        <w:rPr>
          <w:kern w:val="0"/>
        </w:rPr>
        <w:t xml:space="preserve"> conclusions There is currently insufficient evidence to conclude that one anaesthetic regimen for day-procedure laparoscopic cholecystectomy is to be preferred over another. However, the data are sparse (that is, there were few trials under each comparison and the trials had few participants) and further well designed randomized trials at low risk</w:t>
      </w:r>
      <w:r w:rsidR="00427468">
        <w:rPr>
          <w:kern w:val="0"/>
        </w:rPr>
        <w:t xml:space="preserve"> of </w:t>
      </w:r>
      <w:r>
        <w:rPr>
          <w:kern w:val="0"/>
        </w:rPr>
        <w:t>bias and which are powered to measure differences in clinically important outcomes are necessary to determine the optimal anaesthetic regimen for day-procedure laparoscopic cholecystectomy, one</w:t>
      </w:r>
      <w:r w:rsidR="00427468">
        <w:rPr>
          <w:kern w:val="0"/>
        </w:rPr>
        <w:t xml:space="preserve"> of </w:t>
      </w:r>
      <w:r>
        <w:rPr>
          <w:kern w:val="0"/>
        </w:rPr>
        <w:t>the commonest procedures performed in the western world.</w:t>
      </w:r>
    </w:p>
    <w:p w:rsidR="001910E9" w:rsidRDefault="001910E9" w:rsidP="001910E9">
      <w:pPr>
        <w:pStyle w:val="a3"/>
        <w:rPr>
          <w:kern w:val="0"/>
        </w:rPr>
      </w:pPr>
      <w:r>
        <w:rPr>
          <w:kern w:val="0"/>
        </w:rPr>
        <w:t>Keywords: Activity, Anaesthesia, Analysis, Authors, Benefits, Bias, Cholecystectomy, Citation, Clinical, Clinical Trials, Collection, Comparison, Confidence, Confidence Intervals, Criteria, Data, Data Analysis, Data Collection, Discharge, Elective, Embase, Events, Evidence, Health, Health-Related Quality</w:t>
      </w:r>
      <w:r w:rsidR="00427468">
        <w:rPr>
          <w:kern w:val="0"/>
        </w:rPr>
        <w:t xml:space="preserve"> of </w:t>
      </w:r>
      <w:r>
        <w:rPr>
          <w:kern w:val="0"/>
        </w:rPr>
        <w:t xml:space="preserve">Life, Hospital, Induction, Information, Intensity, Intervals, Intubation, Isi, Knowledge, Language, Laparoscopic, Laparoscopic Cholecystectomy, Laryngeal Mask, Life, Low Risk, Measure, Measures, Medline, Meta Analysis, Meta-Analysis, Metaanalysis, Methods, </w:t>
      </w:r>
      <w:r>
        <w:rPr>
          <w:kern w:val="0"/>
        </w:rPr>
        <w:lastRenderedPageBreak/>
        <w:t>Morbidity, Mortality, Muscle, Outcome, Outcomes, Pain, Patients, Procedure, Procedures, Publication, Pubmed, Quality, Quality Of, Quality</w:t>
      </w:r>
      <w:r w:rsidR="00427468">
        <w:rPr>
          <w:kern w:val="0"/>
        </w:rPr>
        <w:t xml:space="preserve"> of </w:t>
      </w:r>
      <w:r>
        <w:rPr>
          <w:kern w:val="0"/>
        </w:rPr>
        <w:t>Life, Randomized, Readmission, Readmissions, Recovery, Review, Risk, Risks, Sample Size, Scale, Science, Science Citation Index, Science Citation Index Expanded, Search, Size, Surgery, Surgical Procedure, Trial, Web</w:t>
      </w:r>
      <w:r w:rsidR="00427468">
        <w:rPr>
          <w:kern w:val="0"/>
        </w:rPr>
        <w:t xml:space="preserve"> of </w:t>
      </w:r>
      <w:r>
        <w:rPr>
          <w:kern w:val="0"/>
        </w:rPr>
        <w:t>Knowledge, Who, Work, World, World Health Organization</w:t>
      </w:r>
    </w:p>
    <w:p w:rsidR="001910E9" w:rsidRDefault="001910E9" w:rsidP="001910E9">
      <w:pPr>
        <w:pStyle w:val="a3"/>
        <w:rPr>
          <w:kern w:val="0"/>
        </w:rPr>
      </w:pPr>
      <w:r>
        <w:rPr>
          <w:kern w:val="0"/>
        </w:rPr>
        <w:t>? He, X.Y., Cao, J.P., He, Q. and Shi, X.Y. (2014), Dexmedetomidine for the management</w:t>
      </w:r>
      <w:r w:rsidR="00427468">
        <w:rPr>
          <w:kern w:val="0"/>
        </w:rPr>
        <w:t xml:space="preserve"> of </w:t>
      </w:r>
      <w:r>
        <w:rPr>
          <w:kern w:val="0"/>
        </w:rPr>
        <w:t xml:space="preserve">awake fibreoptic intubation.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A5262F">
        <w:rPr>
          <w:kern w:val="0"/>
        </w:rPr>
        <w:t>CD009798</w:t>
      </w:r>
      <w:r>
        <w:rPr>
          <w:kern w:val="0"/>
        </w:rPr>
        <w:t>.</w:t>
      </w:r>
    </w:p>
    <w:p w:rsidR="001910E9" w:rsidRDefault="001910E9" w:rsidP="001910E9">
      <w:pPr>
        <w:pStyle w:val="a3"/>
        <w:rPr>
          <w:kern w:val="2"/>
        </w:rPr>
      </w:pPr>
      <w:r>
        <w:t xml:space="preserve">Full Text: </w:t>
      </w:r>
      <w:hyperlink r:id="rId786" w:history="1">
        <w:r w:rsidR="007835D2" w:rsidRPr="007835D2">
          <w:rPr>
            <w:rStyle w:val="a5"/>
          </w:rPr>
          <w:t>2014\Coc Dat Sys Rev2014, CD009798.pdf</w:t>
        </w:r>
      </w:hyperlink>
    </w:p>
    <w:p w:rsidR="001910E9" w:rsidRDefault="001910E9" w:rsidP="001910E9">
      <w:pPr>
        <w:pStyle w:val="a3"/>
        <w:rPr>
          <w:kern w:val="0"/>
        </w:rPr>
      </w:pPr>
      <w:r>
        <w:rPr>
          <w:kern w:val="0"/>
        </w:rPr>
        <w:t>Abstract: Background Awake fibreoptic intubation (AFOI) frequently requires sedation, anxiolysis and relief</w:t>
      </w:r>
      <w:r w:rsidR="00427468">
        <w:rPr>
          <w:kern w:val="0"/>
        </w:rPr>
        <w:t xml:space="preserve"> of </w:t>
      </w:r>
      <w:r>
        <w:rPr>
          <w:kern w:val="0"/>
        </w:rPr>
        <w:t>discomfort without impairing ventilation and depressing cardiovascular function</w:t>
      </w:r>
      <w:r w:rsidR="00A37C1D">
        <w:rPr>
          <w:kern w:val="0"/>
        </w:rPr>
        <w:t>. The</w:t>
      </w:r>
      <w:r>
        <w:rPr>
          <w:kern w:val="0"/>
        </w:rPr>
        <w:t xml:space="preserve"> goal is to allow the patient to be responsive and co-operative. Medications such as fentanyl, remifentanil, midazolam and propofol have been reported to assist AFOI; however, these agents are associated with cardiovascular or respiratory adverse effects. Dexmedetomidine has been proposed as an alternative to facilitate AFOI. Objectives The primary objective</w:t>
      </w:r>
      <w:r w:rsidR="00427468">
        <w:rPr>
          <w:kern w:val="0"/>
        </w:rPr>
        <w:t xml:space="preserve"> of </w:t>
      </w:r>
      <w:r>
        <w:rPr>
          <w:kern w:val="0"/>
        </w:rPr>
        <w:t>this review is to evaluate and compare the efficacy and safety</w:t>
      </w:r>
      <w:r w:rsidR="00427468">
        <w:rPr>
          <w:kern w:val="0"/>
        </w:rPr>
        <w:t xml:space="preserve"> of </w:t>
      </w:r>
      <w:r>
        <w:rPr>
          <w:kern w:val="0"/>
        </w:rPr>
        <w:t>dexmedetomidine in the management</w:t>
      </w:r>
      <w:r w:rsidR="00427468">
        <w:rPr>
          <w:kern w:val="0"/>
        </w:rPr>
        <w:t xml:space="preserve"> of </w:t>
      </w:r>
      <w:r>
        <w:rPr>
          <w:kern w:val="0"/>
        </w:rPr>
        <w:t>patients with a difficult or unstable airway undergoing awake fibreoptic intubation (AFOI). Search methods We searched the Cochrane Central Register</w:t>
      </w:r>
      <w:r w:rsidR="00427468">
        <w:rPr>
          <w:kern w:val="0"/>
        </w:rPr>
        <w:t xml:space="preserve"> of </w:t>
      </w:r>
      <w:r>
        <w:rPr>
          <w:kern w:val="0"/>
        </w:rPr>
        <w:t>Controlled Trials (CENTRAL; 2012, Issue 5), MEDLINE (1966 to May 2012) through Ovid, EMBASE (1980 to May 2012) and Web</w:t>
      </w:r>
      <w:r w:rsidR="00427468">
        <w:rPr>
          <w:kern w:val="0"/>
        </w:rPr>
        <w:t xml:space="preserve"> of </w:t>
      </w:r>
      <w:r>
        <w:rPr>
          <w:kern w:val="0"/>
        </w:rPr>
        <w:t>Science (1945 to May 2012); we screened the reference lists</w:t>
      </w:r>
      <w:r w:rsidR="00427468">
        <w:rPr>
          <w:kern w:val="0"/>
        </w:rPr>
        <w:t xml:space="preserve"> of </w:t>
      </w:r>
      <w:r>
        <w:rPr>
          <w:kern w:val="0"/>
        </w:rPr>
        <w:t>all eligible trials and reviews to look for further trials and contacted authors</w:t>
      </w:r>
      <w:r w:rsidR="00427468">
        <w:rPr>
          <w:kern w:val="0"/>
        </w:rPr>
        <w:t xml:space="preserve"> of </w:t>
      </w:r>
      <w:r>
        <w:rPr>
          <w:kern w:val="0"/>
        </w:rPr>
        <w:t>trials to ask for additional information. We searched for ongoing trials at http://www.controlledtrials.com/ and http://clinicaltrials.gov/. We reran our search</w:t>
      </w:r>
      <w:r w:rsidR="00427468">
        <w:rPr>
          <w:kern w:val="0"/>
        </w:rPr>
        <w:t xml:space="preserve"> of </w:t>
      </w:r>
      <w:r>
        <w:rPr>
          <w:kern w:val="0"/>
        </w:rPr>
        <w:t>all databases listed above on 21 November 2013. Selection criteria We included published and unpublished randomized controlled trials, regardless</w:t>
      </w:r>
      <w:r w:rsidR="00427468">
        <w:rPr>
          <w:kern w:val="0"/>
        </w:rPr>
        <w:t xml:space="preserve"> of </w:t>
      </w:r>
      <w:r>
        <w:rPr>
          <w:kern w:val="0"/>
        </w:rPr>
        <w:t>blinding or language</w:t>
      </w:r>
      <w:r w:rsidR="00427468">
        <w:rPr>
          <w:kern w:val="0"/>
        </w:rPr>
        <w:t xml:space="preserve"> of </w:t>
      </w:r>
      <w:r>
        <w:rPr>
          <w:kern w:val="0"/>
        </w:rPr>
        <w:t>publication, in participants 18 years</w:t>
      </w:r>
      <w:r w:rsidR="00427468">
        <w:rPr>
          <w:kern w:val="0"/>
        </w:rPr>
        <w:t xml:space="preserve"> of </w:t>
      </w:r>
      <w:r>
        <w:rPr>
          <w:kern w:val="0"/>
        </w:rPr>
        <w:t>age or older who were scheduled for an elective AFOI because</w:t>
      </w:r>
      <w:r w:rsidR="00427468">
        <w:rPr>
          <w:kern w:val="0"/>
        </w:rPr>
        <w:t xml:space="preserve"> of </w:t>
      </w:r>
      <w:r>
        <w:rPr>
          <w:kern w:val="0"/>
        </w:rPr>
        <w:t>an anticipated difficult airway. Participants received dexmedetomidine or control medications. Data collection and analysis Three review authors independently extracted data on study design, participants, interventions and outcomes. We assessed risk</w:t>
      </w:r>
      <w:r w:rsidR="00427468">
        <w:rPr>
          <w:kern w:val="0"/>
        </w:rPr>
        <w:t xml:space="preserve"> of </w:t>
      </w:r>
      <w:r>
        <w:rPr>
          <w:kern w:val="0"/>
        </w:rPr>
        <w:t>bias using The Cochrane Collaboration</w:t>
      </w:r>
      <w:r w:rsidR="0071223E">
        <w:rPr>
          <w:kern w:val="0"/>
        </w:rPr>
        <w:t>’</w:t>
      </w:r>
      <w:r>
        <w:rPr>
          <w:kern w:val="0"/>
        </w:rPr>
        <w:t>s tool. We estimated risk ratios (RRs) or mean differences (MDs) with 95% confidence internals (CIs) for outcomes with sufficient data; for other outcomes, we performed a qualitative analysis. Main results We identified four randomized controlled trials (RCTs), which included 211 participants</w:t>
      </w:r>
      <w:r w:rsidR="00A37C1D">
        <w:rPr>
          <w:kern w:val="0"/>
        </w:rPr>
        <w:t>. The</w:t>
      </w:r>
      <w:r>
        <w:rPr>
          <w:kern w:val="0"/>
        </w:rPr>
        <w:t xml:space="preserve"> four trials compared dexmedetomidine with midazolam, fentanyl, propofol or a sodium chloride placebo, respectively</w:t>
      </w:r>
      <w:r w:rsidR="00A37C1D">
        <w:rPr>
          <w:kern w:val="0"/>
        </w:rPr>
        <w:t>. The</w:t>
      </w:r>
      <w:r>
        <w:rPr>
          <w:kern w:val="0"/>
        </w:rPr>
        <w:t xml:space="preserve"> trials showed low or unclear risk</w:t>
      </w:r>
      <w:r w:rsidR="00427468">
        <w:rPr>
          <w:kern w:val="0"/>
        </w:rPr>
        <w:t xml:space="preserve"> of </w:t>
      </w:r>
      <w:r>
        <w:rPr>
          <w:kern w:val="0"/>
        </w:rPr>
        <w:t xml:space="preserve">bias primarily because information provided on </w:t>
      </w:r>
      <w:r>
        <w:rPr>
          <w:kern w:val="0"/>
        </w:rPr>
        <w:lastRenderedPageBreak/>
        <w:t>allocation concealment and other potential sources</w:t>
      </w:r>
      <w:r w:rsidR="00427468">
        <w:rPr>
          <w:kern w:val="0"/>
        </w:rPr>
        <w:t xml:space="preserve"> of </w:t>
      </w:r>
      <w:r>
        <w:rPr>
          <w:kern w:val="0"/>
        </w:rPr>
        <w:t>bias was inadequate. Owing to clinical heterogeneity and potential methodological heterogeneity, it was impossible to conduct a full meta-analysis. We described findings from individual studies or presented them in tabular form. Limited evidence was available for assessment</w:t>
      </w:r>
      <w:r w:rsidR="00427468">
        <w:rPr>
          <w:kern w:val="0"/>
        </w:rPr>
        <w:t xml:space="preserve"> of </w:t>
      </w:r>
      <w:r>
        <w:rPr>
          <w:kern w:val="0"/>
        </w:rPr>
        <w:t>the outcomes</w:t>
      </w:r>
      <w:r w:rsidR="00427468">
        <w:rPr>
          <w:kern w:val="0"/>
        </w:rPr>
        <w:t xml:space="preserve"> of </w:t>
      </w:r>
      <w:r>
        <w:rPr>
          <w:kern w:val="0"/>
        </w:rPr>
        <w:t>interest for this review. Results</w:t>
      </w:r>
      <w:r w:rsidR="00427468">
        <w:rPr>
          <w:kern w:val="0"/>
        </w:rPr>
        <w:t xml:space="preserve"> of </w:t>
      </w:r>
      <w:r>
        <w:rPr>
          <w:kern w:val="0"/>
        </w:rPr>
        <w:t>the limited included trials showed that dexmedetomidine significantly reduced participants</w:t>
      </w:r>
      <w:r w:rsidR="0071223E">
        <w:rPr>
          <w:kern w:val="0"/>
        </w:rPr>
        <w:t>’</w:t>
      </w:r>
      <w:r>
        <w:rPr>
          <w:kern w:val="0"/>
        </w:rPr>
        <w:t xml:space="preserve"> discomfort with no significant differences in airway obstruction, low oxygen levels or treatment-emergent cardiovascular adverse events noted during AFOI compared with control groups. When the search was rerun (from May 2012 to November 2013), it was noted that four studies are awaiting assessment. We will deal with these studies when we update the review. Authors</w:t>
      </w:r>
      <w:r w:rsidR="0071223E">
        <w:rPr>
          <w:kern w:val="0"/>
        </w:rPr>
        <w:t>’</w:t>
      </w:r>
      <w:r>
        <w:rPr>
          <w:kern w:val="0"/>
        </w:rPr>
        <w:t xml:space="preserve"> conclusions Small, limited trials provide weak evidence to support dexmedetomidine as an option for patients with an anticipated difficult airway who undergo AFOI</w:t>
      </w:r>
      <w:r w:rsidR="00A37C1D">
        <w:rPr>
          <w:kern w:val="0"/>
        </w:rPr>
        <w:t>. The</w:t>
      </w:r>
      <w:r>
        <w:rPr>
          <w:kern w:val="0"/>
        </w:rPr>
        <w:t xml:space="preserve"> findings</w:t>
      </w:r>
      <w:r w:rsidR="00427468">
        <w:rPr>
          <w:kern w:val="0"/>
        </w:rPr>
        <w:t xml:space="preserve"> of </w:t>
      </w:r>
      <w:r>
        <w:rPr>
          <w:kern w:val="0"/>
        </w:rPr>
        <w:t>this review should be further corroborated by additional controlled investigations.</w:t>
      </w:r>
    </w:p>
    <w:p w:rsidR="001910E9" w:rsidRDefault="001910E9" w:rsidP="001910E9">
      <w:pPr>
        <w:pStyle w:val="a3"/>
        <w:rPr>
          <w:kern w:val="0"/>
        </w:rPr>
      </w:pPr>
      <w:r>
        <w:rPr>
          <w:kern w:val="0"/>
        </w:rPr>
        <w:t>Keywords: Adverse Effects, Age, Airway Obstruction, Allocation, Alternative, Analysis, Assessment, Authors, Bias, Cardiovascular, Cardiovascular Function, Chloride, Clinical, Collection, Confidence, Control, Control Groups, Criteria, Data, Data Collection, Databases, Design, Difficult Airway, Effects, Efficacy, Elective, Embase, Events, Evidence, Fentanyl, Function, Groups, Heterogeneity, Information, Interventions, Intubation, Investigations, Language, Management, Medline, Meta Analysis, Meta-Analysis, Metaanalysis, Methods, Midazolam, Outcomes, Oxygen, Patients, Placebo, Potential, Primary, Propofol, Publication, Qualitative, Qualitative Analysis, Randomized, Randomized Controlled Trials, Reference, Reference Lists, Remifentanil, Results, Review, Reviews, Risk, Safety, Science, Search, Sedation, Sodium, Sodium Chloride, Sources, Study Design, Support, Ventilation, Web</w:t>
      </w:r>
      <w:r w:rsidR="00427468">
        <w:rPr>
          <w:kern w:val="0"/>
        </w:rPr>
        <w:t xml:space="preserve"> of </w:t>
      </w:r>
      <w:r>
        <w:rPr>
          <w:kern w:val="0"/>
        </w:rPr>
        <w:t>Science</w:t>
      </w:r>
    </w:p>
    <w:p w:rsidR="001910E9" w:rsidRDefault="001910E9" w:rsidP="001910E9">
      <w:pPr>
        <w:pStyle w:val="a3"/>
        <w:rPr>
          <w:kern w:val="0"/>
        </w:rPr>
      </w:pPr>
      <w:r>
        <w:rPr>
          <w:kern w:val="0"/>
        </w:rPr>
        <w:t xml:space="preserve">? Hoare, D.J., Edmondson-Jones, M., Sereda, M., Akeroyd, M.A. and Hall, D. (2014), Amplification with hearing aids for patients with tinnitus and co-existing hearing loss. </w:t>
      </w:r>
      <w:r>
        <w:rPr>
          <w:i/>
          <w:iCs/>
          <w:kern w:val="0"/>
        </w:rPr>
        <w:t>Cochrane Database</w:t>
      </w:r>
      <w:r w:rsidR="00427468">
        <w:rPr>
          <w:i/>
          <w:iCs/>
          <w:kern w:val="0"/>
        </w:rPr>
        <w:t xml:space="preserve"> of </w:t>
      </w:r>
      <w:r>
        <w:rPr>
          <w:i/>
          <w:iCs/>
          <w:kern w:val="0"/>
        </w:rPr>
        <w:t>Systematic Reviews</w:t>
      </w:r>
      <w:r>
        <w:rPr>
          <w:kern w:val="0"/>
        </w:rPr>
        <w:t xml:space="preserve">, </w:t>
      </w:r>
      <w:r w:rsidRPr="00B33F8B">
        <w:rPr>
          <w:b/>
          <w:kern w:val="0"/>
        </w:rPr>
        <w:t>1</w:t>
      </w:r>
      <w:r>
        <w:rPr>
          <w:kern w:val="0"/>
        </w:rPr>
        <w:t xml:space="preserve">, Article Number: </w:t>
      </w:r>
      <w:r w:rsidRPr="00A5262F">
        <w:rPr>
          <w:kern w:val="0"/>
        </w:rPr>
        <w:t>CD010151</w:t>
      </w:r>
      <w:r>
        <w:rPr>
          <w:kern w:val="0"/>
        </w:rPr>
        <w:t>.</w:t>
      </w:r>
    </w:p>
    <w:p w:rsidR="001910E9" w:rsidRDefault="001910E9" w:rsidP="001910E9">
      <w:pPr>
        <w:pStyle w:val="a3"/>
        <w:rPr>
          <w:kern w:val="2"/>
        </w:rPr>
      </w:pPr>
      <w:r>
        <w:t xml:space="preserve">Full Text: </w:t>
      </w:r>
      <w:hyperlink r:id="rId787" w:history="1">
        <w:r w:rsidR="007835D2" w:rsidRPr="007835D2">
          <w:rPr>
            <w:rStyle w:val="a5"/>
          </w:rPr>
          <w:t>2014\Coc Dat Sys Rev2014, CD010151.pdf</w:t>
        </w:r>
      </w:hyperlink>
    </w:p>
    <w:p w:rsidR="001910E9" w:rsidRDefault="001910E9" w:rsidP="001910E9">
      <w:pPr>
        <w:pStyle w:val="a3"/>
        <w:rPr>
          <w:kern w:val="0"/>
        </w:rPr>
      </w:pPr>
      <w:r>
        <w:rPr>
          <w:kern w:val="0"/>
        </w:rPr>
        <w:t>Abstract: Background Tinnitus is described as the perception</w:t>
      </w:r>
      <w:r w:rsidR="00427468">
        <w:rPr>
          <w:kern w:val="0"/>
        </w:rPr>
        <w:t xml:space="preserve"> of </w:t>
      </w:r>
      <w:r>
        <w:rPr>
          <w:kern w:val="0"/>
        </w:rPr>
        <w:t>sound or noise in the absence</w:t>
      </w:r>
      <w:r w:rsidR="00427468">
        <w:rPr>
          <w:kern w:val="0"/>
        </w:rPr>
        <w:t xml:space="preserve"> of </w:t>
      </w:r>
      <w:r>
        <w:rPr>
          <w:kern w:val="0"/>
        </w:rPr>
        <w:t>real acoustic stimulation. In the current absence</w:t>
      </w:r>
      <w:r w:rsidR="00427468">
        <w:rPr>
          <w:kern w:val="0"/>
        </w:rPr>
        <w:t xml:space="preserve"> of </w:t>
      </w:r>
      <w:r>
        <w:rPr>
          <w:kern w:val="0"/>
        </w:rPr>
        <w:t>a cure for tinnitus, clinical management typically focuses on reducing the effects</w:t>
      </w:r>
      <w:r w:rsidR="00427468">
        <w:rPr>
          <w:kern w:val="0"/>
        </w:rPr>
        <w:t xml:space="preserve"> of </w:t>
      </w:r>
      <w:r>
        <w:rPr>
          <w:kern w:val="0"/>
        </w:rPr>
        <w:t>co-morbid symptoms such as distress or hearing loss. Hearing loss is commonly co-morbid with tinnitus and so logic implies that amplification</w:t>
      </w:r>
      <w:r w:rsidR="00427468">
        <w:rPr>
          <w:kern w:val="0"/>
        </w:rPr>
        <w:t xml:space="preserve"> of </w:t>
      </w:r>
      <w:r>
        <w:rPr>
          <w:kern w:val="0"/>
        </w:rPr>
        <w:t>external sounds by hearing aids will reduce perception</w:t>
      </w:r>
      <w:r w:rsidR="00427468">
        <w:rPr>
          <w:kern w:val="0"/>
        </w:rPr>
        <w:t xml:space="preserve"> of </w:t>
      </w:r>
      <w:r>
        <w:rPr>
          <w:kern w:val="0"/>
        </w:rPr>
        <w:t>the tinnitus sound and the distress associated with it. Objectives To assess the effects</w:t>
      </w:r>
      <w:r w:rsidR="00427468">
        <w:rPr>
          <w:kern w:val="0"/>
        </w:rPr>
        <w:t xml:space="preserve"> of </w:t>
      </w:r>
      <w:r>
        <w:rPr>
          <w:kern w:val="0"/>
        </w:rPr>
        <w:t>hearing aids specifically in terms</w:t>
      </w:r>
      <w:r w:rsidR="00427468">
        <w:rPr>
          <w:kern w:val="0"/>
        </w:rPr>
        <w:t xml:space="preserve"> of </w:t>
      </w:r>
      <w:r>
        <w:rPr>
          <w:kern w:val="0"/>
        </w:rPr>
        <w:t xml:space="preserve">tinnitus benefit in patients with tinnitus and co-existing hearing loss. Search methods We searched the Cochrane Ear, Nose and Throat Disorders Group Trials Register; the </w:t>
      </w:r>
      <w:r>
        <w:rPr>
          <w:kern w:val="0"/>
        </w:rPr>
        <w:lastRenderedPageBreak/>
        <w:t>Cochrane Central Register</w:t>
      </w:r>
      <w:r w:rsidR="00427468">
        <w:rPr>
          <w:kern w:val="0"/>
        </w:rPr>
        <w:t xml:space="preserve"> of </w:t>
      </w:r>
      <w:r>
        <w:rPr>
          <w:kern w:val="0"/>
        </w:rPr>
        <w:t>Controlled Trials (CENTRAL); PubMed; EMBASE; CINAHL; Web</w:t>
      </w:r>
      <w:r w:rsidR="00427468">
        <w:rPr>
          <w:kern w:val="0"/>
        </w:rPr>
        <w:t xml:space="preserve"> of </w:t>
      </w:r>
      <w:r>
        <w:rPr>
          <w:kern w:val="0"/>
        </w:rPr>
        <w:t>Science; Cambridge Scientific Abstracts; ICTRP and additional sources for published and unpublished trials</w:t>
      </w:r>
      <w:r w:rsidR="00A37C1D">
        <w:rPr>
          <w:kern w:val="0"/>
        </w:rPr>
        <w:t>. The</w:t>
      </w:r>
      <w:r>
        <w:rPr>
          <w:kern w:val="0"/>
        </w:rPr>
        <w:t xml:space="preserve"> date</w:t>
      </w:r>
      <w:r w:rsidR="00427468">
        <w:rPr>
          <w:kern w:val="0"/>
        </w:rPr>
        <w:t xml:space="preserve"> of </w:t>
      </w:r>
      <w:r>
        <w:rPr>
          <w:kern w:val="0"/>
        </w:rPr>
        <w:t>the search was 19 August 2013. Selection criteria Randomised controlled trials and non-randomised controlled trials recruiting adults with subjective tinnitus and some degree</w:t>
      </w:r>
      <w:r w:rsidR="00427468">
        <w:rPr>
          <w:kern w:val="0"/>
        </w:rPr>
        <w:t xml:space="preserve"> of </w:t>
      </w:r>
      <w:r>
        <w:rPr>
          <w:kern w:val="0"/>
        </w:rPr>
        <w:t>hearing loss, where the intervention involves amplification with hearing aids and this is compared to interventions involving other medical devices, other forms</w:t>
      </w:r>
      <w:r w:rsidR="00427468">
        <w:rPr>
          <w:kern w:val="0"/>
        </w:rPr>
        <w:t xml:space="preserve"> of </w:t>
      </w:r>
      <w:r>
        <w:rPr>
          <w:kern w:val="0"/>
        </w:rPr>
        <w:t>standard or complementary therapy, or combinations</w:t>
      </w:r>
      <w:r w:rsidR="00427468">
        <w:rPr>
          <w:kern w:val="0"/>
        </w:rPr>
        <w:t xml:space="preserve"> of </w:t>
      </w:r>
      <w:r>
        <w:rPr>
          <w:kern w:val="0"/>
        </w:rPr>
        <w:t>therapies, no intervention or placebo interventions. Data collection and analysis Three authors independently screened all selected abstracts. Two authors independently extracted data and assessed those potentially suitable studies for risk</w:t>
      </w:r>
      <w:r w:rsidR="00427468">
        <w:rPr>
          <w:kern w:val="0"/>
        </w:rPr>
        <w:t xml:space="preserve"> of </w:t>
      </w:r>
      <w:r>
        <w:rPr>
          <w:kern w:val="0"/>
        </w:rPr>
        <w:t>bias. For studies meeting the inclusion criteria, we used the mean difference (MD) to compare hearing aids with other interventions and controls. Main results One randomised controlled trial (91 participants) was included in this review. We judged the trial to have a low risk</w:t>
      </w:r>
      <w:r w:rsidR="00427468">
        <w:rPr>
          <w:kern w:val="0"/>
        </w:rPr>
        <w:t xml:space="preserve"> of </w:t>
      </w:r>
      <w:r>
        <w:rPr>
          <w:kern w:val="0"/>
        </w:rPr>
        <w:t>bias for method</w:t>
      </w:r>
      <w:r w:rsidR="00427468">
        <w:rPr>
          <w:kern w:val="0"/>
        </w:rPr>
        <w:t xml:space="preserve"> of </w:t>
      </w:r>
      <w:r>
        <w:rPr>
          <w:kern w:val="0"/>
        </w:rPr>
        <w:t>randomisation and outcome reporting, and an unclear risk</w:t>
      </w:r>
      <w:r w:rsidR="00427468">
        <w:rPr>
          <w:kern w:val="0"/>
        </w:rPr>
        <w:t xml:space="preserve"> of </w:t>
      </w:r>
      <w:r>
        <w:rPr>
          <w:kern w:val="0"/>
        </w:rPr>
        <w:t>bias for other criteria. No non-randomised controlled trials meeting our inclusion criteria were identified</w:t>
      </w:r>
      <w:r w:rsidR="00A37C1D">
        <w:rPr>
          <w:kern w:val="0"/>
        </w:rPr>
        <w:t>. The</w:t>
      </w:r>
      <w:r>
        <w:rPr>
          <w:kern w:val="0"/>
        </w:rPr>
        <w:t xml:space="preserve"> included study measured change in tinnitus severity (primary measure</w:t>
      </w:r>
      <w:r w:rsidR="00427468">
        <w:rPr>
          <w:kern w:val="0"/>
        </w:rPr>
        <w:t xml:space="preserve"> of </w:t>
      </w:r>
      <w:r>
        <w:rPr>
          <w:kern w:val="0"/>
        </w:rPr>
        <w:t>interest) using a tinnitus questionnaire measure, and change in tinnitus loudness (secondary measure</w:t>
      </w:r>
      <w:r w:rsidR="00427468">
        <w:rPr>
          <w:kern w:val="0"/>
        </w:rPr>
        <w:t xml:space="preserve"> of </w:t>
      </w:r>
      <w:r>
        <w:rPr>
          <w:kern w:val="0"/>
        </w:rPr>
        <w:t>interest) on a visual analogue scale. Other secondary outcome measures</w:t>
      </w:r>
      <w:r w:rsidR="00427468">
        <w:rPr>
          <w:kern w:val="0"/>
        </w:rPr>
        <w:t xml:space="preserve"> of </w:t>
      </w:r>
      <w:r>
        <w:rPr>
          <w:kern w:val="0"/>
        </w:rPr>
        <w:t>interest, namely change in the psychoacoustic characteristics</w:t>
      </w:r>
      <w:r w:rsidR="00427468">
        <w:rPr>
          <w:kern w:val="0"/>
        </w:rPr>
        <w:t xml:space="preserve"> of </w:t>
      </w:r>
      <w:r>
        <w:rPr>
          <w:kern w:val="0"/>
        </w:rPr>
        <w:t>tinnitus, change in self reported anxiety, depression and quality</w:t>
      </w:r>
      <w:r w:rsidR="00427468">
        <w:rPr>
          <w:kern w:val="0"/>
        </w:rPr>
        <w:t xml:space="preserve"> of </w:t>
      </w:r>
      <w:r>
        <w:rPr>
          <w:kern w:val="0"/>
        </w:rPr>
        <w:t>life, and change in neurophysiological measures, were not investigated in this study</w:t>
      </w:r>
      <w:r w:rsidR="00A37C1D">
        <w:rPr>
          <w:kern w:val="0"/>
        </w:rPr>
        <w:t>. The</w:t>
      </w:r>
      <w:r>
        <w:rPr>
          <w:kern w:val="0"/>
        </w:rPr>
        <w:t xml:space="preserve"> included study compared hearing aid use to sound generator use</w:t>
      </w:r>
      <w:r w:rsidR="00A37C1D">
        <w:rPr>
          <w:kern w:val="0"/>
        </w:rPr>
        <w:t>. The</w:t>
      </w:r>
      <w:r>
        <w:rPr>
          <w:kern w:val="0"/>
        </w:rPr>
        <w:t xml:space="preserve"> estimated effect on change in tinnitus loudness or severity as measured by the Tinnitus Handicap Inventory score was compatible with benefits for both hearing aids or sound generators but no difference was found between the two alternative treatments (MD -0.90, 95% confidence interval (CI) -7.92 to 6.12) (100-point scale); moderate quality evidence. No negative or adverse events were reported. Authors</w:t>
      </w:r>
      <w:r w:rsidR="0071223E">
        <w:rPr>
          <w:kern w:val="0"/>
        </w:rPr>
        <w:t>’</w:t>
      </w:r>
      <w:r>
        <w:rPr>
          <w:kern w:val="0"/>
        </w:rPr>
        <w:t xml:space="preserve"> conclusions The current evidence base for hearing aid prescription for tinnitus is limited. To be useful, future studies should make appropriate use</w:t>
      </w:r>
      <w:r w:rsidR="00427468">
        <w:rPr>
          <w:kern w:val="0"/>
        </w:rPr>
        <w:t xml:space="preserve"> of </w:t>
      </w:r>
      <w:r>
        <w:rPr>
          <w:kern w:val="0"/>
        </w:rPr>
        <w:t>blinding and be consistent in their use</w:t>
      </w:r>
      <w:r w:rsidR="00427468">
        <w:rPr>
          <w:kern w:val="0"/>
        </w:rPr>
        <w:t xml:space="preserve"> of </w:t>
      </w:r>
      <w:r>
        <w:rPr>
          <w:kern w:val="0"/>
        </w:rPr>
        <w:t>outcome measures. Whilst hearing aids are sometimes prescribed as part</w:t>
      </w:r>
      <w:r w:rsidR="00427468">
        <w:rPr>
          <w:kern w:val="0"/>
        </w:rPr>
        <w:t xml:space="preserve"> of </w:t>
      </w:r>
      <w:r>
        <w:rPr>
          <w:kern w:val="0"/>
        </w:rPr>
        <w:t>tinnitus management, there is currently no evidence to support or refute their use as a more routine intervention for tinnitus.</w:t>
      </w:r>
    </w:p>
    <w:p w:rsidR="001910E9" w:rsidRDefault="001910E9" w:rsidP="001910E9">
      <w:pPr>
        <w:pStyle w:val="a3"/>
        <w:rPr>
          <w:kern w:val="0"/>
        </w:rPr>
      </w:pPr>
      <w:r>
        <w:rPr>
          <w:kern w:val="0"/>
        </w:rPr>
        <w:t xml:space="preserve">Keywords: Aids, Alternative, Analysis, Anxiety, Authors, Benefits, Bias, Characteristics, Clinical, Clinical Management, Collection, Complementary, Confidence, Controlled Trial, Criteria, Data, Data Collection, Depression, Distress, Effects, Embase, Events, Evidence, Forms, Interval, Intervention, Interventions, Life, Logic, Low Risk, Management, Measure, Measures, Medical, Medical Devices, Methods, Noise, Outcome, Outcome Measures, Patients, Perception, Placebo, </w:t>
      </w:r>
      <w:r>
        <w:rPr>
          <w:kern w:val="0"/>
        </w:rPr>
        <w:lastRenderedPageBreak/>
        <w:t>Prescription, Primary, Pubmed, Quality, Quality Of, Quality</w:t>
      </w:r>
      <w:r w:rsidR="00427468">
        <w:rPr>
          <w:kern w:val="0"/>
        </w:rPr>
        <w:t xml:space="preserve"> of </w:t>
      </w:r>
      <w:r>
        <w:rPr>
          <w:kern w:val="0"/>
        </w:rPr>
        <w:t>Life, Questionnaire, Randomisation, Randomised, Randomised Controlled Trial, Randomised Controlled Trials, Reporting, Review, Risk, Scale, Science, Search, Self, Sound, Sources, Standard, Support, Symptoms, Therapy, Trial, Web</w:t>
      </w:r>
      <w:r w:rsidR="00427468">
        <w:rPr>
          <w:kern w:val="0"/>
        </w:rPr>
        <w:t xml:space="preserve"> of </w:t>
      </w:r>
      <w:r>
        <w:rPr>
          <w:kern w:val="0"/>
        </w:rPr>
        <w:t>Science</w:t>
      </w:r>
    </w:p>
    <w:p w:rsidR="007835D2" w:rsidRDefault="007835D2" w:rsidP="007835D2">
      <w:pPr>
        <w:pStyle w:val="a3"/>
        <w:rPr>
          <w:kern w:val="0"/>
        </w:rPr>
      </w:pPr>
      <w:r>
        <w:rPr>
          <w:kern w:val="0"/>
        </w:rPr>
        <w:t xml:space="preserve">? Nagendran, M., Toon, C.D., Davidson, B.R. and GurUSAmy, K.S. (2014), Laparoscopic surgical box model training for surgical trainees with no prior laparoscopic experience. </w:t>
      </w:r>
      <w:r>
        <w:rPr>
          <w:i/>
          <w:iCs/>
          <w:kern w:val="0"/>
        </w:rPr>
        <w:t>Cochrane Database of Systematic Reviews</w:t>
      </w:r>
      <w:r>
        <w:rPr>
          <w:kern w:val="0"/>
        </w:rPr>
        <w:t xml:space="preserve">, </w:t>
      </w:r>
      <w:r w:rsidRPr="00B33F8B">
        <w:rPr>
          <w:b/>
          <w:kern w:val="0"/>
        </w:rPr>
        <w:t>1</w:t>
      </w:r>
      <w:r>
        <w:rPr>
          <w:kern w:val="0"/>
        </w:rPr>
        <w:t xml:space="preserve">, Article Number: </w:t>
      </w:r>
      <w:r w:rsidRPr="00E5603A">
        <w:rPr>
          <w:kern w:val="0"/>
        </w:rPr>
        <w:t>CD010478</w:t>
      </w:r>
      <w:r>
        <w:rPr>
          <w:kern w:val="0"/>
        </w:rPr>
        <w:t>.</w:t>
      </w:r>
    </w:p>
    <w:p w:rsidR="007835D2" w:rsidRDefault="007835D2" w:rsidP="007835D2">
      <w:pPr>
        <w:pStyle w:val="a3"/>
        <w:rPr>
          <w:kern w:val="2"/>
        </w:rPr>
      </w:pPr>
      <w:r>
        <w:t xml:space="preserve">Full Text: </w:t>
      </w:r>
      <w:hyperlink r:id="rId788" w:history="1">
        <w:r w:rsidRPr="00E5603A">
          <w:rPr>
            <w:rStyle w:val="a5"/>
          </w:rPr>
          <w:t>2014\Coc Dat Sys Rev2014, CD010478.pdf</w:t>
        </w:r>
      </w:hyperlink>
    </w:p>
    <w:p w:rsidR="001910E9" w:rsidRDefault="001910E9" w:rsidP="001910E9">
      <w:pPr>
        <w:pStyle w:val="a3"/>
        <w:rPr>
          <w:kern w:val="0"/>
        </w:rPr>
      </w:pPr>
      <w:r>
        <w:rPr>
          <w:kern w:val="0"/>
        </w:rPr>
        <w:t>Abstract: Background Surgical training has traditionally been one</w:t>
      </w:r>
      <w:r w:rsidR="00427468">
        <w:rPr>
          <w:kern w:val="0"/>
        </w:rPr>
        <w:t xml:space="preserve"> of </w:t>
      </w:r>
      <w:r>
        <w:rPr>
          <w:kern w:val="0"/>
        </w:rPr>
        <w:t>apprenticeship, where the surgical trainee learns to perform surgery under the supervision</w:t>
      </w:r>
      <w:r w:rsidR="00427468">
        <w:rPr>
          <w:kern w:val="0"/>
        </w:rPr>
        <w:t xml:space="preserve"> of </w:t>
      </w:r>
      <w:r>
        <w:rPr>
          <w:kern w:val="0"/>
        </w:rPr>
        <w:t>a trained surgeon. This is time consuming, costly, and</w:t>
      </w:r>
      <w:r w:rsidR="00427468">
        <w:rPr>
          <w:kern w:val="0"/>
        </w:rPr>
        <w:t xml:space="preserve"> of </w:t>
      </w:r>
      <w:r>
        <w:rPr>
          <w:kern w:val="0"/>
        </w:rPr>
        <w:t>variable effectiveness. Training using a box model physical simulator either a video box or a mirrored box - is an option to supplement standard training. However, the impact</w:t>
      </w:r>
      <w:r w:rsidR="00427468">
        <w:rPr>
          <w:kern w:val="0"/>
        </w:rPr>
        <w:t xml:space="preserve"> of </w:t>
      </w:r>
      <w:r>
        <w:rPr>
          <w:kern w:val="0"/>
        </w:rPr>
        <w:t>this modality on trainees with no prior laparoscopic experience is unknown. Objectives To compare the benefits and harms</w:t>
      </w:r>
      <w:r w:rsidR="00427468">
        <w:rPr>
          <w:kern w:val="0"/>
        </w:rPr>
        <w:t xml:space="preserve"> of </w:t>
      </w:r>
      <w:r>
        <w:rPr>
          <w:kern w:val="0"/>
        </w:rPr>
        <w:t>box model training versus no training, another box model, animal model, or cadaveric model training for surgical trainees with no prior laparoscopic experience. Search methods We searched the Cochrane Central Register</w:t>
      </w:r>
      <w:r w:rsidR="00427468">
        <w:rPr>
          <w:kern w:val="0"/>
        </w:rPr>
        <w:t xml:space="preserve"> of </w:t>
      </w:r>
      <w:r>
        <w:rPr>
          <w:kern w:val="0"/>
        </w:rPr>
        <w:t>Controlled Trials (CENTRAL), MEDLINE, EMBASE, and Science Citation Index Expanded to May 2013. Selection criteria We included all randomised clinical trials comparing box model trainers versus no training in surgical trainees with no prior laparoscopic experience. We also included trials comparing different methods</w:t>
      </w:r>
      <w:r w:rsidR="00427468">
        <w:rPr>
          <w:kern w:val="0"/>
        </w:rPr>
        <w:t xml:space="preserve"> of </w:t>
      </w:r>
      <w:r>
        <w:rPr>
          <w:kern w:val="0"/>
        </w:rPr>
        <w:t>box model training. Data collection and analysis Two authors independently identified trials and collected data. We analysed the data with both the fixed-effect and the random-effects models using Review Manager for analysis. For each outcome, we calculated the standardised mean difference (SMD) with 95% confidence intervals (CI) based on intention-to-treat analysis whenever possible. Main results Twenty-five trials contributed data to the quantitative synthesis in this review. All but one trial were at high risk</w:t>
      </w:r>
      <w:r w:rsidR="00427468">
        <w:rPr>
          <w:kern w:val="0"/>
        </w:rPr>
        <w:t xml:space="preserve"> of </w:t>
      </w:r>
      <w:r>
        <w:rPr>
          <w:kern w:val="0"/>
        </w:rPr>
        <w:t>bias. Overall, 16 trials (464 participants) provided data for meta-analysis</w:t>
      </w:r>
      <w:r w:rsidR="00427468">
        <w:rPr>
          <w:kern w:val="0"/>
        </w:rPr>
        <w:t xml:space="preserve"> of </w:t>
      </w:r>
      <w:r>
        <w:rPr>
          <w:kern w:val="0"/>
        </w:rPr>
        <w:t>box training (248 participants) versus no supplementary training (216 participants). All the 16 trials in this comparison used video trainers. Overall, 14 trials (382 participants) provided data for quantitative comparison</w:t>
      </w:r>
      <w:r w:rsidR="00427468">
        <w:rPr>
          <w:kern w:val="0"/>
        </w:rPr>
        <w:t xml:space="preserve"> of </w:t>
      </w:r>
      <w:r>
        <w:rPr>
          <w:kern w:val="0"/>
        </w:rPr>
        <w:t>different methods</w:t>
      </w:r>
      <w:r w:rsidR="00427468">
        <w:rPr>
          <w:kern w:val="0"/>
        </w:rPr>
        <w:t xml:space="preserve"> of </w:t>
      </w:r>
      <w:r>
        <w:rPr>
          <w:kern w:val="0"/>
        </w:rPr>
        <w:t>box training</w:t>
      </w:r>
      <w:r w:rsidR="00A37C1D">
        <w:rPr>
          <w:kern w:val="0"/>
        </w:rPr>
        <w:t>. The</w:t>
      </w:r>
      <w:r>
        <w:rPr>
          <w:kern w:val="0"/>
        </w:rPr>
        <w:t xml:space="preserve">re were no trials comparing box model training versus animal model or cadaveric model training. Box model training versus no training: The meta-analysis showed that the time taken for task completion was significantly shorter in the box trainer group than the control group (8 trials; 249 participants; SMD -0.48 seconds; 95% CI -0.74 to -0.22). Compared with the control group, the box trainer group also had lower error score (3 trials; 69 participants; SMD -0.69; 95% CI -1.21 to 0.17), better accuracy score (3 trials; 73 participants; </w:t>
      </w:r>
      <w:r>
        <w:rPr>
          <w:kern w:val="0"/>
        </w:rPr>
        <w:lastRenderedPageBreak/>
        <w:t>SMD 0.67; 95% CI 0.18 to 1.17), and better composite performance scores (SMD 0.65; 95% CI 0.42 to 0.88). Three trials reported movement distance but could not be meta-analysed as they were not in a format for meta-analysis</w:t>
      </w:r>
      <w:r w:rsidR="00A37C1D">
        <w:rPr>
          <w:kern w:val="0"/>
        </w:rPr>
        <w:t>. The</w:t>
      </w:r>
      <w:r>
        <w:rPr>
          <w:kern w:val="0"/>
        </w:rPr>
        <w:t>re was significantly lower movement distance in the box model training compared with no training in one trial, and there were no significant differences in the movement distance between the two groups in the other two trials. None</w:t>
      </w:r>
      <w:r w:rsidR="00427468">
        <w:rPr>
          <w:kern w:val="0"/>
        </w:rPr>
        <w:t xml:space="preserve"> of </w:t>
      </w:r>
      <w:r>
        <w:rPr>
          <w:kern w:val="0"/>
        </w:rPr>
        <w:t>the remaining secondary outcomes such as mortality and morbidity were reported in the trials when animal models were used for assessment</w:t>
      </w:r>
      <w:r w:rsidR="00427468">
        <w:rPr>
          <w:kern w:val="0"/>
        </w:rPr>
        <w:t xml:space="preserve"> of </w:t>
      </w:r>
      <w:r>
        <w:rPr>
          <w:kern w:val="0"/>
        </w:rPr>
        <w:t>training, error in movements, and trainee satisfaction. Different methods</w:t>
      </w:r>
      <w:r w:rsidR="00427468">
        <w:rPr>
          <w:kern w:val="0"/>
        </w:rPr>
        <w:t xml:space="preserve"> of </w:t>
      </w:r>
      <w:r>
        <w:rPr>
          <w:kern w:val="0"/>
        </w:rPr>
        <w:t>box training: One trial (36 participants) found significantly shorter time taken to complete the task when box training was performed using a simple cardboard box trainer compared with the standard pelvic trainer (SMD -3.79 seconds; 95% CI -4.92 to -2.65)</w:t>
      </w:r>
      <w:r w:rsidR="00A37C1D">
        <w:rPr>
          <w:kern w:val="0"/>
        </w:rPr>
        <w:t>. The</w:t>
      </w:r>
      <w:r>
        <w:rPr>
          <w:kern w:val="0"/>
        </w:rPr>
        <w:t>re was no significant difference in the time taken to complete the task in the remaining three comparisons (reverse alignment versus forward alignment box training; box trainer suturing versus box trainer drills; and single incision versus multiport box model training)</w:t>
      </w:r>
      <w:r w:rsidR="00A37C1D">
        <w:rPr>
          <w:kern w:val="0"/>
        </w:rPr>
        <w:t>. The</w:t>
      </w:r>
      <w:r>
        <w:rPr>
          <w:kern w:val="0"/>
        </w:rPr>
        <w:t>re were no significant differences in the error score between the two groups in any</w:t>
      </w:r>
      <w:r w:rsidR="00427468">
        <w:rPr>
          <w:kern w:val="0"/>
        </w:rPr>
        <w:t xml:space="preserve"> of </w:t>
      </w:r>
      <w:r>
        <w:rPr>
          <w:kern w:val="0"/>
        </w:rPr>
        <w:t>the comparisons (box trainer suturing versus box trainer drills; single incision versus multiport box model training; Z-maze box training versus U-maze box training)</w:t>
      </w:r>
      <w:r w:rsidR="00A37C1D">
        <w:rPr>
          <w:kern w:val="0"/>
        </w:rPr>
        <w:t>. The</w:t>
      </w:r>
      <w:r>
        <w:rPr>
          <w:kern w:val="0"/>
        </w:rPr>
        <w:t xml:space="preserve"> only trial that reported accuracy score found significantly higher accuracy score with Z-maze box training than U-maze box training (1 trial; 16 participants; SMD 1.55; 95% CI 0.39 to 2.71). One trial (36 participants) found significantly higher composite score with simple cardboard box trainer compared with conventional pelvic trainer (SMD 0.87; 95% CI 0.19 to 1.56). Another trial (22 participants) found significantly higher composite score with reverse alignment compared with forward alignment box training (SMD 1.82; 95% CI 0.79 to 2.84)</w:t>
      </w:r>
      <w:r w:rsidR="00A37C1D">
        <w:rPr>
          <w:kern w:val="0"/>
        </w:rPr>
        <w:t>. The</w:t>
      </w:r>
      <w:r>
        <w:rPr>
          <w:kern w:val="0"/>
        </w:rPr>
        <w:t>re were no significant differences in the composite score between the intervention and control groups in any</w:t>
      </w:r>
      <w:r w:rsidR="00427468">
        <w:rPr>
          <w:kern w:val="0"/>
        </w:rPr>
        <w:t xml:space="preserve"> of </w:t>
      </w:r>
      <w:r>
        <w:rPr>
          <w:kern w:val="0"/>
        </w:rPr>
        <w:t>the remaining comparisons. None</w:t>
      </w:r>
      <w:r w:rsidR="00427468">
        <w:rPr>
          <w:kern w:val="0"/>
        </w:rPr>
        <w:t xml:space="preserve"> of </w:t>
      </w:r>
      <w:r>
        <w:rPr>
          <w:kern w:val="0"/>
        </w:rPr>
        <w:t>the secondary outcomes were adequately reported in the trials. Authors</w:t>
      </w:r>
      <w:r w:rsidR="0071223E">
        <w:rPr>
          <w:kern w:val="0"/>
        </w:rPr>
        <w:t>’</w:t>
      </w:r>
      <w:r>
        <w:rPr>
          <w:kern w:val="0"/>
        </w:rPr>
        <w:t xml:space="preserve"> conclusions The results</w:t>
      </w:r>
      <w:r w:rsidR="00427468">
        <w:rPr>
          <w:kern w:val="0"/>
        </w:rPr>
        <w:t xml:space="preserve"> of </w:t>
      </w:r>
      <w:r>
        <w:rPr>
          <w:kern w:val="0"/>
        </w:rPr>
        <w:t>this review are threatened by both risks</w:t>
      </w:r>
      <w:r w:rsidR="00427468">
        <w:rPr>
          <w:kern w:val="0"/>
        </w:rPr>
        <w:t xml:space="preserve"> of </w:t>
      </w:r>
      <w:r>
        <w:rPr>
          <w:kern w:val="0"/>
        </w:rPr>
        <w:t>systematic errors (bias) and risks</w:t>
      </w:r>
      <w:r w:rsidR="00427468">
        <w:rPr>
          <w:kern w:val="0"/>
        </w:rPr>
        <w:t xml:space="preserve"> of </w:t>
      </w:r>
      <w:r>
        <w:rPr>
          <w:kern w:val="0"/>
        </w:rPr>
        <w:t>random errors (play</w:t>
      </w:r>
      <w:r w:rsidR="00427468">
        <w:rPr>
          <w:kern w:val="0"/>
        </w:rPr>
        <w:t xml:space="preserve"> of </w:t>
      </w:r>
      <w:r>
        <w:rPr>
          <w:kern w:val="0"/>
        </w:rPr>
        <w:t>chance). Laparoscopic box model training appears to improve technical skills compared with no training in trainees with no previous laparoscopic experience</w:t>
      </w:r>
      <w:r w:rsidR="00A37C1D">
        <w:rPr>
          <w:kern w:val="0"/>
        </w:rPr>
        <w:t>. The</w:t>
      </w:r>
      <w:r>
        <w:rPr>
          <w:kern w:val="0"/>
        </w:rPr>
        <w:t xml:space="preserve"> impacts</w:t>
      </w:r>
      <w:r w:rsidR="00427468">
        <w:rPr>
          <w:kern w:val="0"/>
        </w:rPr>
        <w:t xml:space="preserve"> of </w:t>
      </w:r>
      <w:r>
        <w:rPr>
          <w:kern w:val="0"/>
        </w:rPr>
        <w:t>this decreased time on patients and healthcare funders in terms</w:t>
      </w:r>
      <w:r w:rsidR="00427468">
        <w:rPr>
          <w:kern w:val="0"/>
        </w:rPr>
        <w:t xml:space="preserve"> of </w:t>
      </w:r>
      <w:r>
        <w:rPr>
          <w:kern w:val="0"/>
        </w:rPr>
        <w:t>improved outcomes or decreased costs are unknown</w:t>
      </w:r>
      <w:r w:rsidR="00A37C1D">
        <w:rPr>
          <w:kern w:val="0"/>
        </w:rPr>
        <w:t>. The</w:t>
      </w:r>
      <w:r>
        <w:rPr>
          <w:kern w:val="0"/>
        </w:rPr>
        <w:t>re appears to be no significant differences in the improvement</w:t>
      </w:r>
      <w:r w:rsidR="00427468">
        <w:rPr>
          <w:kern w:val="0"/>
        </w:rPr>
        <w:t xml:space="preserve"> of </w:t>
      </w:r>
      <w:r>
        <w:rPr>
          <w:kern w:val="0"/>
        </w:rPr>
        <w:t>technical skills between different methods</w:t>
      </w:r>
      <w:r w:rsidR="00427468">
        <w:rPr>
          <w:kern w:val="0"/>
        </w:rPr>
        <w:t xml:space="preserve"> of </w:t>
      </w:r>
      <w:r>
        <w:rPr>
          <w:kern w:val="0"/>
        </w:rPr>
        <w:t>box model training. Further well-designed trials</w:t>
      </w:r>
      <w:r w:rsidR="00427468">
        <w:rPr>
          <w:kern w:val="0"/>
        </w:rPr>
        <w:t xml:space="preserve"> of </w:t>
      </w:r>
      <w:r>
        <w:rPr>
          <w:kern w:val="0"/>
        </w:rPr>
        <w:t>low risk</w:t>
      </w:r>
      <w:r w:rsidR="00427468">
        <w:rPr>
          <w:kern w:val="0"/>
        </w:rPr>
        <w:t xml:space="preserve"> of </w:t>
      </w:r>
      <w:r>
        <w:rPr>
          <w:kern w:val="0"/>
        </w:rPr>
        <w:t>bias and random errors are necessary. Such trials should assess the impacts</w:t>
      </w:r>
      <w:r w:rsidR="00427468">
        <w:rPr>
          <w:kern w:val="0"/>
        </w:rPr>
        <w:t xml:space="preserve"> of </w:t>
      </w:r>
      <w:r>
        <w:rPr>
          <w:kern w:val="0"/>
        </w:rPr>
        <w:t>box model training on surgical skills in both the short and long term, as well as clinical outcomes when the trainee becomes competent to operate on patients.</w:t>
      </w:r>
    </w:p>
    <w:p w:rsidR="001910E9" w:rsidRDefault="001910E9" w:rsidP="001910E9">
      <w:pPr>
        <w:pStyle w:val="a3"/>
        <w:rPr>
          <w:kern w:val="0"/>
        </w:rPr>
      </w:pPr>
      <w:r>
        <w:rPr>
          <w:kern w:val="0"/>
        </w:rPr>
        <w:t xml:space="preserve">Keywords: Accuracy, Alignment, Analysis, Animal Model, Assessment, Authors, </w:t>
      </w:r>
      <w:r>
        <w:rPr>
          <w:kern w:val="0"/>
        </w:rPr>
        <w:lastRenderedPageBreak/>
        <w:t>Benefits, Bias, Citation, Clinical, Clinical Outcomes, Clinical Trials, Collection, Comparison, Complete, Composite, Confidence, Confidence Intervals, Control, Control Groups, Conventional, Costs, Criteria, Data, Data Collection, Effectiveness, Embase, Error, Errors, Experience, Groups, Impact, Impacts, Improvement, Intervals, Intervention, Laparoscopic, Long Term, Long-Term, Low Risk, Medline, Meta Analysis, Meta-Analysis, Metaanalysis, Methods, Model, Models, Morbidity, Mortality, Movement, Outcome, Outcomes, Patients, Pelvic, Performance, Physical, Randomised, Review, Risk, Risks, Satisfaction, Science, Science Citation Index, Science Citation Index Expanded, Search, Standard, Surgery, Surgical, Synthesis, Term, Threatened, Training, Trial, Video</w:t>
      </w:r>
    </w:p>
    <w:p w:rsidR="007835D2" w:rsidRDefault="007835D2" w:rsidP="007835D2">
      <w:pPr>
        <w:pStyle w:val="a3"/>
        <w:rPr>
          <w:kern w:val="0"/>
          <w:szCs w:val="24"/>
        </w:rPr>
      </w:pPr>
      <w:r>
        <w:rPr>
          <w:rFonts w:hint="eastAsia"/>
          <w:kern w:val="0"/>
        </w:rPr>
        <w:t xml:space="preserve">? </w:t>
      </w:r>
      <w:r>
        <w:rPr>
          <w:kern w:val="0"/>
        </w:rPr>
        <w:t xml:space="preserve">Bjelakovic, G., Gluud, L.L., Nikolova, D., Whitfield, K., Wetterslev, J., Simonetti, R.G., Bjelakovic, M. and Gluud, C. (2014), Vitamin D supplementation for prevention of mortality in adults. </w:t>
      </w:r>
      <w:r>
        <w:rPr>
          <w:i/>
          <w:iCs/>
          <w:kern w:val="0"/>
        </w:rPr>
        <w:t>Cochrane Database of Systematic Reviews</w:t>
      </w:r>
      <w:r>
        <w:rPr>
          <w:kern w:val="0"/>
        </w:rPr>
        <w:t xml:space="preserve">, </w:t>
      </w:r>
      <w:r w:rsidRPr="003E3604">
        <w:rPr>
          <w:b/>
          <w:kern w:val="0"/>
        </w:rPr>
        <w:t>1</w:t>
      </w:r>
      <w:r>
        <w:rPr>
          <w:rFonts w:hint="eastAsia"/>
          <w:kern w:val="0"/>
          <w:szCs w:val="24"/>
        </w:rPr>
        <w:t>,</w:t>
      </w:r>
      <w:r w:rsidRPr="008E1364">
        <w:t xml:space="preserve"> </w:t>
      </w:r>
      <w:r w:rsidRPr="008E1364">
        <w:rPr>
          <w:kern w:val="0"/>
          <w:szCs w:val="24"/>
        </w:rPr>
        <w:t xml:space="preserve">Article Number: </w:t>
      </w:r>
      <w:r w:rsidRPr="00773DC7">
        <w:t>CD007470</w:t>
      </w:r>
      <w:r>
        <w:rPr>
          <w:rFonts w:hint="eastAsia"/>
          <w:kern w:val="0"/>
          <w:szCs w:val="24"/>
        </w:rPr>
        <w:t>.</w:t>
      </w:r>
    </w:p>
    <w:p w:rsidR="007835D2" w:rsidRDefault="007835D2" w:rsidP="007835D2">
      <w:pPr>
        <w:pStyle w:val="a3"/>
        <w:rPr>
          <w:kern w:val="2"/>
        </w:rPr>
      </w:pPr>
      <w:r>
        <w:t xml:space="preserve">Full Text: </w:t>
      </w:r>
      <w:hyperlink r:id="rId789" w:history="1">
        <w:r w:rsidRPr="00E5603A">
          <w:rPr>
            <w:rStyle w:val="a5"/>
          </w:rPr>
          <w:t>2014\Coc Dat Sys Rev2014, CD007470.pdf</w:t>
        </w:r>
      </w:hyperlink>
    </w:p>
    <w:p w:rsidR="002F51BD" w:rsidRDefault="002F51BD" w:rsidP="002F51BD">
      <w:pPr>
        <w:pStyle w:val="a3"/>
        <w:rPr>
          <w:kern w:val="0"/>
        </w:rPr>
      </w:pPr>
      <w:r>
        <w:rPr>
          <w:kern w:val="0"/>
        </w:rPr>
        <w:t>Abstract: Background Available evidence on the effects</w:t>
      </w:r>
      <w:r w:rsidR="00427468">
        <w:rPr>
          <w:kern w:val="0"/>
        </w:rPr>
        <w:t xml:space="preserve"> of </w:t>
      </w:r>
      <w:r>
        <w:rPr>
          <w:kern w:val="0"/>
        </w:rPr>
        <w:t>vitamin D on mortality has been inconclusive. In a recent systematic review, we found evidence that vitamin D-3 may decrease mortality in mostly elderly women</w:t>
      </w:r>
      <w:r w:rsidR="00A37C1D">
        <w:rPr>
          <w:kern w:val="0"/>
        </w:rPr>
        <w:t>. The</w:t>
      </w:r>
      <w:r>
        <w:rPr>
          <w:kern w:val="0"/>
        </w:rPr>
        <w:t xml:space="preserve"> present systematic review updates and reassesses the benefits and harms</w:t>
      </w:r>
      <w:r w:rsidR="00427468">
        <w:rPr>
          <w:kern w:val="0"/>
        </w:rPr>
        <w:t xml:space="preserve"> of </w:t>
      </w:r>
      <w:r>
        <w:rPr>
          <w:kern w:val="0"/>
        </w:rPr>
        <w:t>vitamin D supplementation used in primary and secondary prophylaxis</w:t>
      </w:r>
      <w:r w:rsidR="00427468">
        <w:rPr>
          <w:kern w:val="0"/>
        </w:rPr>
        <w:t xml:space="preserve"> of </w:t>
      </w:r>
      <w:r>
        <w:rPr>
          <w:kern w:val="0"/>
        </w:rPr>
        <w:t>mortality. Objectives To assess the beneficial and harmful effects</w:t>
      </w:r>
      <w:r w:rsidR="00427468">
        <w:rPr>
          <w:kern w:val="0"/>
        </w:rPr>
        <w:t xml:space="preserve"> of </w:t>
      </w:r>
      <w:r>
        <w:rPr>
          <w:kern w:val="0"/>
        </w:rPr>
        <w:t>vitamin D supplementation for prevention</w:t>
      </w:r>
      <w:r w:rsidR="00427468">
        <w:rPr>
          <w:kern w:val="0"/>
        </w:rPr>
        <w:t xml:space="preserve"> of </w:t>
      </w:r>
      <w:r>
        <w:rPr>
          <w:kern w:val="0"/>
        </w:rPr>
        <w:t>mortality in healthy adults and adults in a stable phase</w:t>
      </w:r>
      <w:r w:rsidR="00427468">
        <w:rPr>
          <w:kern w:val="0"/>
        </w:rPr>
        <w:t xml:space="preserve"> of </w:t>
      </w:r>
      <w:r>
        <w:rPr>
          <w:kern w:val="0"/>
        </w:rPr>
        <w:t>disease. Search methods We searched The Cochrane Library, MEDLINE, EMBASE, LILACS, the Science Citation Index-Expanded and Conference Proceedings Citation Index-Science (all up to February 2012). We checked references</w:t>
      </w:r>
      <w:r w:rsidR="00427468">
        <w:rPr>
          <w:kern w:val="0"/>
        </w:rPr>
        <w:t xml:space="preserve"> of </w:t>
      </w:r>
      <w:r>
        <w:rPr>
          <w:kern w:val="0"/>
        </w:rPr>
        <w:t>included trials and pharmaceutical companies for unidentified relevant trials. Selection criteria Randomised trials that compared any type</w:t>
      </w:r>
      <w:r w:rsidR="00427468">
        <w:rPr>
          <w:kern w:val="0"/>
        </w:rPr>
        <w:t xml:space="preserve"> of </w:t>
      </w:r>
      <w:r>
        <w:rPr>
          <w:kern w:val="0"/>
        </w:rPr>
        <w:t>vitamin D in any dose with any duration and route</w:t>
      </w:r>
      <w:r w:rsidR="00427468">
        <w:rPr>
          <w:kern w:val="0"/>
        </w:rPr>
        <w:t xml:space="preserve"> of </w:t>
      </w:r>
      <w:r>
        <w:rPr>
          <w:kern w:val="0"/>
        </w:rPr>
        <w:t>administration versus placebo or no intervention in adult participants. Participants could have been recruited from the general population or from patients diagnosed with a disease in a stable phase. Vitamin D could have been administered as supplemental vitamin D (vitamin D3 (cholecalciferol) or vitamin D-2 (ergocalciferol)) or as an active form</w:t>
      </w:r>
      <w:r w:rsidR="00427468">
        <w:rPr>
          <w:kern w:val="0"/>
        </w:rPr>
        <w:t xml:space="preserve"> of </w:t>
      </w:r>
      <w:r>
        <w:rPr>
          <w:kern w:val="0"/>
        </w:rPr>
        <w:t>vitamin D (1 alpha t-hydroxyvitamin D (alfacalcidol) or 1,25-dihydroxyvitamin D (calcitriol)). Data collection and analysis Six review authors extracted data independently. Random-effects and fixed-effect meta-analyses were conducted. For dichotomous outcomes, we calculated the risk ratios (RRs). To account for trials with zero events, we performed meta-analyses</w:t>
      </w:r>
      <w:r w:rsidR="00427468">
        <w:rPr>
          <w:kern w:val="0"/>
        </w:rPr>
        <w:t xml:space="preserve"> of </w:t>
      </w:r>
      <w:r>
        <w:rPr>
          <w:kern w:val="0"/>
        </w:rPr>
        <w:t>dichotomous data using risk differences (RDs) and empirical continuity corrections. We used published data and data obtained by contacting trial authors. To minimise the risk</w:t>
      </w:r>
      <w:r w:rsidR="00427468">
        <w:rPr>
          <w:kern w:val="0"/>
        </w:rPr>
        <w:t xml:space="preserve"> of </w:t>
      </w:r>
      <w:r>
        <w:rPr>
          <w:kern w:val="0"/>
        </w:rPr>
        <w:t>systematic error, we assessed the risk</w:t>
      </w:r>
      <w:r w:rsidR="00427468">
        <w:rPr>
          <w:kern w:val="0"/>
        </w:rPr>
        <w:t xml:space="preserve"> of </w:t>
      </w:r>
      <w:r>
        <w:rPr>
          <w:kern w:val="0"/>
        </w:rPr>
        <w:t>bias</w:t>
      </w:r>
      <w:r w:rsidR="00427468">
        <w:rPr>
          <w:kern w:val="0"/>
        </w:rPr>
        <w:t xml:space="preserve"> of </w:t>
      </w:r>
      <w:r>
        <w:rPr>
          <w:kern w:val="0"/>
        </w:rPr>
        <w:t xml:space="preserve">the included trials. Trial sequential analyses </w:t>
      </w:r>
      <w:r>
        <w:rPr>
          <w:kern w:val="0"/>
        </w:rPr>
        <w:lastRenderedPageBreak/>
        <w:t>controlled the risk</w:t>
      </w:r>
      <w:r w:rsidR="00427468">
        <w:rPr>
          <w:kern w:val="0"/>
        </w:rPr>
        <w:t xml:space="preserve"> of </w:t>
      </w:r>
      <w:r>
        <w:rPr>
          <w:kern w:val="0"/>
        </w:rPr>
        <w:t>random errors possibly caused by cumulative meta-analyses. Main results We identified 159 randomised clinical trials. Ninety-four trials reported no mortality, and nine trials reported mortality but did not report in which intervention group the mortality occurred. Accordingly, 56 randomised trials with 95,286 participants provided usable data on mortality</w:t>
      </w:r>
      <w:r w:rsidR="00A37C1D">
        <w:rPr>
          <w:kern w:val="0"/>
        </w:rPr>
        <w:t>. The</w:t>
      </w:r>
      <w:r>
        <w:rPr>
          <w:kern w:val="0"/>
        </w:rPr>
        <w:t xml:space="preserve"> age</w:t>
      </w:r>
      <w:r w:rsidR="00427468">
        <w:rPr>
          <w:kern w:val="0"/>
        </w:rPr>
        <w:t xml:space="preserve"> of </w:t>
      </w:r>
      <w:r>
        <w:rPr>
          <w:kern w:val="0"/>
        </w:rPr>
        <w:t>participants ranged from 18 to 107 years. Most trials included women older than 70 years</w:t>
      </w:r>
      <w:r w:rsidR="00A37C1D">
        <w:rPr>
          <w:kern w:val="0"/>
        </w:rPr>
        <w:t>. The</w:t>
      </w:r>
      <w:r>
        <w:rPr>
          <w:kern w:val="0"/>
        </w:rPr>
        <w:t xml:space="preserve"> mean proportion</w:t>
      </w:r>
      <w:r w:rsidR="00427468">
        <w:rPr>
          <w:kern w:val="0"/>
        </w:rPr>
        <w:t xml:space="preserve"> of </w:t>
      </w:r>
      <w:r>
        <w:rPr>
          <w:kern w:val="0"/>
        </w:rPr>
        <w:t>women was 77%. Forty-eight</w:t>
      </w:r>
      <w:r w:rsidR="00427468">
        <w:rPr>
          <w:kern w:val="0"/>
        </w:rPr>
        <w:t xml:space="preserve"> of </w:t>
      </w:r>
      <w:r>
        <w:rPr>
          <w:kern w:val="0"/>
        </w:rPr>
        <w:t>the trials randomly assigned 94,491 healthy participants.</w:t>
      </w:r>
      <w:r w:rsidR="00427468">
        <w:rPr>
          <w:kern w:val="0"/>
        </w:rPr>
        <w:t xml:space="preserve"> of </w:t>
      </w:r>
      <w:r>
        <w:rPr>
          <w:kern w:val="0"/>
        </w:rPr>
        <w:t>these, four trials included healthy volunteers, nine trials included postmenopausal women and 35 trials included older people living on their own or in institutional care</w:t>
      </w:r>
      <w:r w:rsidR="00A37C1D">
        <w:rPr>
          <w:kern w:val="0"/>
        </w:rPr>
        <w:t>. The</w:t>
      </w:r>
      <w:r>
        <w:rPr>
          <w:kern w:val="0"/>
        </w:rPr>
        <w:t xml:space="preserve"> remaining eight trials randomly assigned 795 participants with neurological, cardiovascular, respiratory or rheumatoid diseases. Vitamin D was administered for a weighted mean</w:t>
      </w:r>
      <w:r w:rsidR="00427468">
        <w:rPr>
          <w:kern w:val="0"/>
        </w:rPr>
        <w:t xml:space="preserve"> of </w:t>
      </w:r>
      <w:r>
        <w:rPr>
          <w:kern w:val="0"/>
        </w:rPr>
        <w:t>4.4 years. More than half</w:t>
      </w:r>
      <w:r w:rsidR="00427468">
        <w:rPr>
          <w:kern w:val="0"/>
        </w:rPr>
        <w:t xml:space="preserve"> of </w:t>
      </w:r>
      <w:r>
        <w:rPr>
          <w:kern w:val="0"/>
        </w:rPr>
        <w:t>the trials had a low risk</w:t>
      </w:r>
      <w:r w:rsidR="00427468">
        <w:rPr>
          <w:kern w:val="0"/>
        </w:rPr>
        <w:t xml:space="preserve"> of </w:t>
      </w:r>
      <w:r>
        <w:rPr>
          <w:kern w:val="0"/>
        </w:rPr>
        <w:t>bias. All trials were conducted in high-income countries. Forty-five trials (80%) reported the baseline vitamin D status</w:t>
      </w:r>
      <w:r w:rsidR="00427468">
        <w:rPr>
          <w:kern w:val="0"/>
        </w:rPr>
        <w:t xml:space="preserve"> of </w:t>
      </w:r>
      <w:r>
        <w:rPr>
          <w:kern w:val="0"/>
        </w:rPr>
        <w:t>participants based on serum 25-hydroxyvitamin D levels. Participants in 19 trials had vitamin D adequacy (at or above 20 ng/mL). Participants in the remaining 26 trials had vitamin D insufficiency (less than 20 ng/mL). Vitamin D decreased mortality in all 56 trials analysed together (5,920/47,472 (12.5%) vs 6,077/47,814 (12.7%); RR 0.97 (95% confidence interval (CI) 0.94 to 0.99); P = 0.02; I-2 = 0%). More than 8%</w:t>
      </w:r>
      <w:r w:rsidR="00427468">
        <w:rPr>
          <w:kern w:val="0"/>
        </w:rPr>
        <w:t xml:space="preserve"> of </w:t>
      </w:r>
      <w:r>
        <w:rPr>
          <w:kern w:val="0"/>
        </w:rPr>
        <w:t xml:space="preserve">participants dropped out. </w:t>
      </w:r>
      <w:r w:rsidR="0071223E">
        <w:rPr>
          <w:kern w:val="0"/>
        </w:rPr>
        <w:t>‘</w:t>
      </w:r>
      <w:r>
        <w:rPr>
          <w:kern w:val="0"/>
        </w:rPr>
        <w:t>Worst-best case</w:t>
      </w:r>
      <w:r w:rsidR="0071223E">
        <w:rPr>
          <w:kern w:val="0"/>
        </w:rPr>
        <w:t>’</w:t>
      </w:r>
      <w:r>
        <w:rPr>
          <w:kern w:val="0"/>
        </w:rPr>
        <w:t xml:space="preserve"> and </w:t>
      </w:r>
      <w:r w:rsidR="0071223E">
        <w:rPr>
          <w:kern w:val="0"/>
        </w:rPr>
        <w:t>‘</w:t>
      </w:r>
      <w:r>
        <w:rPr>
          <w:kern w:val="0"/>
        </w:rPr>
        <w:t>best-worst case</w:t>
      </w:r>
      <w:r w:rsidR="0071223E">
        <w:rPr>
          <w:kern w:val="0"/>
        </w:rPr>
        <w:t>’</w:t>
      </w:r>
      <w:r>
        <w:rPr>
          <w:kern w:val="0"/>
        </w:rPr>
        <w:t xml:space="preserve"> scenario analyses demonstrated that vitamin D could be associated with a dramatic increase or decrease in mortality. When different forms</w:t>
      </w:r>
      <w:r w:rsidR="00427468">
        <w:rPr>
          <w:kern w:val="0"/>
        </w:rPr>
        <w:t xml:space="preserve"> of </w:t>
      </w:r>
      <w:r>
        <w:rPr>
          <w:kern w:val="0"/>
        </w:rPr>
        <w:t>vitamin D were assessed in separate analyses, only vitamin D-3 decreased mortality (4,153/37,817 (11.0%) vs 4,340/38,110 (11.4%); RR 0.94 (95% CI 0.91 to 0.98); P = 0.002; I-2 = 0%; 75,927 participants; 38 trials). Vitamin D-2, alfacalcidol and calcitriol did not significantly affect mortality. A subgroup analysis</w:t>
      </w:r>
      <w:r w:rsidR="00427468">
        <w:rPr>
          <w:kern w:val="0"/>
        </w:rPr>
        <w:t xml:space="preserve"> of </w:t>
      </w:r>
      <w:r>
        <w:rPr>
          <w:kern w:val="0"/>
        </w:rPr>
        <w:t>trials at high risk</w:t>
      </w:r>
      <w:r w:rsidR="00427468">
        <w:rPr>
          <w:kern w:val="0"/>
        </w:rPr>
        <w:t xml:space="preserve"> of </w:t>
      </w:r>
      <w:r>
        <w:rPr>
          <w:kern w:val="0"/>
        </w:rPr>
        <w:t>bias suggested that vitamin D-2 may even increase mortality, but this finding could be due to random errors. Trial sequential analysis supported our finding regarding vitamin D3, with the cumulative Z-score breaking the trial sequential monitoring boundary for benefit, corresponding to 150 people treated over five years to prevent one additional death. We did not observe any statistically significant differences in the effect</w:t>
      </w:r>
      <w:r w:rsidR="00427468">
        <w:rPr>
          <w:kern w:val="0"/>
        </w:rPr>
        <w:t xml:space="preserve"> of </w:t>
      </w:r>
      <w:r>
        <w:rPr>
          <w:kern w:val="0"/>
        </w:rPr>
        <w:t>vitamin D on mortality in subgroup analyses</w:t>
      </w:r>
      <w:r w:rsidR="00427468">
        <w:rPr>
          <w:kern w:val="0"/>
        </w:rPr>
        <w:t xml:space="preserve"> of </w:t>
      </w:r>
      <w:r>
        <w:rPr>
          <w:kern w:val="0"/>
        </w:rPr>
        <w:t>trials at low risk</w:t>
      </w:r>
      <w:r w:rsidR="00427468">
        <w:rPr>
          <w:kern w:val="0"/>
        </w:rPr>
        <w:t xml:space="preserve"> of </w:t>
      </w:r>
      <w:r>
        <w:rPr>
          <w:kern w:val="0"/>
        </w:rPr>
        <w:t>bias compared with trials at high risk</w:t>
      </w:r>
      <w:r w:rsidR="00427468">
        <w:rPr>
          <w:kern w:val="0"/>
        </w:rPr>
        <w:t xml:space="preserve"> of </w:t>
      </w:r>
      <w:r>
        <w:rPr>
          <w:kern w:val="0"/>
        </w:rPr>
        <w:t>bias;</w:t>
      </w:r>
      <w:r w:rsidR="00427468">
        <w:rPr>
          <w:kern w:val="0"/>
        </w:rPr>
        <w:t xml:space="preserve"> of </w:t>
      </w:r>
      <w:r>
        <w:rPr>
          <w:kern w:val="0"/>
        </w:rPr>
        <w:t>trials using placebo compared with trials using no intervention in the control group;</w:t>
      </w:r>
      <w:r w:rsidR="00427468">
        <w:rPr>
          <w:kern w:val="0"/>
        </w:rPr>
        <w:t xml:space="preserve"> of </w:t>
      </w:r>
      <w:r>
        <w:rPr>
          <w:kern w:val="0"/>
        </w:rPr>
        <w:t>trials with no risk</w:t>
      </w:r>
      <w:r w:rsidR="00427468">
        <w:rPr>
          <w:kern w:val="0"/>
        </w:rPr>
        <w:t xml:space="preserve"> of </w:t>
      </w:r>
      <w:r>
        <w:rPr>
          <w:kern w:val="0"/>
        </w:rPr>
        <w:t>industry bias compared with trials with risk</w:t>
      </w:r>
      <w:r w:rsidR="00427468">
        <w:rPr>
          <w:kern w:val="0"/>
        </w:rPr>
        <w:t xml:space="preserve"> of </w:t>
      </w:r>
      <w:r>
        <w:rPr>
          <w:kern w:val="0"/>
        </w:rPr>
        <w:t>industry bias;</w:t>
      </w:r>
      <w:r w:rsidR="00427468">
        <w:rPr>
          <w:kern w:val="0"/>
        </w:rPr>
        <w:t xml:space="preserve"> of </w:t>
      </w:r>
      <w:r>
        <w:rPr>
          <w:kern w:val="0"/>
        </w:rPr>
        <w:t>trials assessing primary prevention compared with trials assessing secondary prevention;</w:t>
      </w:r>
      <w:r w:rsidR="00427468">
        <w:rPr>
          <w:kern w:val="0"/>
        </w:rPr>
        <w:t xml:space="preserve"> of </w:t>
      </w:r>
      <w:r>
        <w:rPr>
          <w:kern w:val="0"/>
        </w:rPr>
        <w:t>trials including participants with vitamin D level below 20 ng/mL at entry compared with trials including participants with vitamin D levels equal to or greater than 20 ng/mL at entry;</w:t>
      </w:r>
      <w:r w:rsidR="00427468">
        <w:rPr>
          <w:kern w:val="0"/>
        </w:rPr>
        <w:t xml:space="preserve"> of </w:t>
      </w:r>
      <w:r>
        <w:rPr>
          <w:kern w:val="0"/>
        </w:rPr>
        <w:t>trials including ambulatory participants compared with trials including institutionalised participants;</w:t>
      </w:r>
      <w:r w:rsidR="00427468">
        <w:rPr>
          <w:kern w:val="0"/>
        </w:rPr>
        <w:t xml:space="preserve"> of </w:t>
      </w:r>
      <w:r>
        <w:rPr>
          <w:kern w:val="0"/>
        </w:rPr>
        <w:t xml:space="preserve">trials using </w:t>
      </w:r>
      <w:r>
        <w:rPr>
          <w:kern w:val="0"/>
        </w:rPr>
        <w:lastRenderedPageBreak/>
        <w:t>concomitant calcium supplementation compared with trials without calcium;</w:t>
      </w:r>
      <w:r w:rsidR="00427468">
        <w:rPr>
          <w:kern w:val="0"/>
        </w:rPr>
        <w:t xml:space="preserve"> of </w:t>
      </w:r>
      <w:r>
        <w:rPr>
          <w:kern w:val="0"/>
        </w:rPr>
        <w:t>trials using a dose below 800 IU per day compared with trials using doses above 800 IU per day; and</w:t>
      </w:r>
      <w:r w:rsidR="00427468">
        <w:rPr>
          <w:kern w:val="0"/>
        </w:rPr>
        <w:t xml:space="preserve"> of </w:t>
      </w:r>
      <w:r>
        <w:rPr>
          <w:kern w:val="0"/>
        </w:rPr>
        <w:t>trials including only women compared with trials including both sexes or only men. Vitamin D3 statistically significantly decreased cancer mortality (RR 0.88 (95% CI 0.78 to 0.98); P = 0.02; I-2 = 0%; 44,492 participants; 4 trials). Vitamin D-3 combined with calcium increased the risk</w:t>
      </w:r>
      <w:r w:rsidR="00427468">
        <w:rPr>
          <w:kern w:val="0"/>
        </w:rPr>
        <w:t xml:space="preserve"> of </w:t>
      </w:r>
      <w:r>
        <w:rPr>
          <w:kern w:val="0"/>
        </w:rPr>
        <w:t>nephrolithiasis (RR 1.17 (95% CI 1.02 to 1.34); P = 0.02; I-2 = 0%; 42,876 participants; 4 trials). Alfacalcidol and calcitriol increased the risk</w:t>
      </w:r>
      <w:r w:rsidR="00427468">
        <w:rPr>
          <w:kern w:val="0"/>
        </w:rPr>
        <w:t xml:space="preserve"> of </w:t>
      </w:r>
      <w:r>
        <w:rPr>
          <w:kern w:val="0"/>
        </w:rPr>
        <w:t>hypercalcaemia (RR 3.18 (95% CI 1.17 to 8.68); P = 0.02; I-2 = 17%; 710 participants; 3 trials).</w:t>
      </w:r>
    </w:p>
    <w:p w:rsidR="002F51BD" w:rsidRDefault="002F51BD" w:rsidP="002F51BD">
      <w:pPr>
        <w:pStyle w:val="a3"/>
        <w:rPr>
          <w:kern w:val="0"/>
        </w:rPr>
      </w:pPr>
      <w:r>
        <w:rPr>
          <w:kern w:val="0"/>
        </w:rPr>
        <w:t>Keywords: Adequacy, Administration, Adult, Age, Ambulatory, Analyses, Analysis, Assessing, Authors, Benefits, Bias, Bone-Mineral Density, Calcitriol [Therapeutic Use], Calcium, Cancer, Cardiovascular, Cardiovascular Risk-Factors, Care, Cause</w:t>
      </w:r>
      <w:r w:rsidR="00427468">
        <w:rPr>
          <w:kern w:val="0"/>
        </w:rPr>
        <w:t xml:space="preserve"> of </w:t>
      </w:r>
      <w:r>
        <w:rPr>
          <w:kern w:val="0"/>
        </w:rPr>
        <w:t>Death, Cholecalciferol [Therapeutic Use], Citation, Clinical, Clinical Trials, Collection, Concomitant, Conference, Confidence, Control, Corticosteroid-Induced Osteoporosis, Criteria, Cumulative, Data, Data Collection, Death, Dietary Supplements, Disease, Diseases, Duration, Early Postmenopausal Women, Effects, Elderly, Embase, Ergocalciferols [Therapeutic Use], Error, Errors, Events, Evidence, Forms, General, Hormone-Replacement Therapy, Hydroxycholecalciferols [Therapeutic Use], Interval, Intervention, Living, Long-Term Treatment, Low Risk, Medline, Men, Methods, Monitoring, Mortality, Neurological, Nursing-Home Residents, Older People, Outcomes, P, Patients, Placebo, Placebo-Controlled Trial, Population, Postmenopausal, Postmenopausal Women, Prevent, Prevention, Primary, Primary Prevention, Prophylaxis, Randomised, Randomized Controlled Trials As Topic, Randomized-Controlled-Trial, Recent, References, Review, Risk, Route, Route</w:t>
      </w:r>
      <w:r w:rsidR="00427468">
        <w:rPr>
          <w:kern w:val="0"/>
        </w:rPr>
        <w:t xml:space="preserve"> of </w:t>
      </w:r>
      <w:r>
        <w:rPr>
          <w:kern w:val="0"/>
        </w:rPr>
        <w:t>Administration, Scenario, Science, Science Citation Index Expanded, Science Citation Index-Expanded, Search, Serum, Serum 25-Hydroxyvitamin D, Systematic Review, Trial, Vitamin, Vitamin D, Vitamin D Supplementation, Vitamins [Therapeutic Use], Women</w:t>
      </w:r>
    </w:p>
    <w:p w:rsidR="007835D2" w:rsidRDefault="007835D2" w:rsidP="007835D2">
      <w:pPr>
        <w:pStyle w:val="a3"/>
        <w:rPr>
          <w:kern w:val="0"/>
          <w:szCs w:val="24"/>
        </w:rPr>
      </w:pPr>
      <w:r>
        <w:rPr>
          <w:kern w:val="0"/>
        </w:rPr>
        <w:t xml:space="preserve">? Williams, M.A., Mckay, G.J. and Chakravarthy, U. (2014), Complement inhibitors for age-related macular degeneration. </w:t>
      </w:r>
      <w:r>
        <w:rPr>
          <w:i/>
          <w:iCs/>
          <w:kern w:val="0"/>
        </w:rPr>
        <w:t>Cochrane Database of Systematic Reviews</w:t>
      </w:r>
      <w:r>
        <w:rPr>
          <w:kern w:val="0"/>
        </w:rPr>
        <w:t xml:space="preserve">, </w:t>
      </w:r>
      <w:r w:rsidRPr="003E3604">
        <w:rPr>
          <w:b/>
          <w:kern w:val="0"/>
        </w:rPr>
        <w:t>1</w:t>
      </w:r>
      <w:r>
        <w:rPr>
          <w:rFonts w:hint="eastAsia"/>
          <w:kern w:val="0"/>
          <w:szCs w:val="24"/>
        </w:rPr>
        <w:t>,</w:t>
      </w:r>
      <w:r w:rsidRPr="008E1364">
        <w:t xml:space="preserve"> </w:t>
      </w:r>
      <w:r w:rsidRPr="008E1364">
        <w:rPr>
          <w:kern w:val="0"/>
          <w:szCs w:val="24"/>
        </w:rPr>
        <w:t xml:space="preserve">Article Number: </w:t>
      </w:r>
      <w:r w:rsidRPr="007835D2">
        <w:t>CD009300</w:t>
      </w:r>
      <w:r>
        <w:rPr>
          <w:rFonts w:hint="eastAsia"/>
          <w:kern w:val="0"/>
          <w:szCs w:val="24"/>
        </w:rPr>
        <w:t>.</w:t>
      </w:r>
    </w:p>
    <w:p w:rsidR="007835D2" w:rsidRDefault="007835D2" w:rsidP="007835D2">
      <w:pPr>
        <w:pStyle w:val="a3"/>
        <w:rPr>
          <w:kern w:val="2"/>
        </w:rPr>
      </w:pPr>
      <w:r>
        <w:t xml:space="preserve">Full Text: </w:t>
      </w:r>
      <w:hyperlink r:id="rId790" w:history="1">
        <w:r w:rsidRPr="007835D2">
          <w:rPr>
            <w:rStyle w:val="a5"/>
          </w:rPr>
          <w:t>2014\Coc Dat Sys Rev2014, CD009300.pdf</w:t>
        </w:r>
      </w:hyperlink>
    </w:p>
    <w:p w:rsidR="007835D2" w:rsidRDefault="007835D2" w:rsidP="007835D2">
      <w:pPr>
        <w:pStyle w:val="a3"/>
        <w:rPr>
          <w:kern w:val="0"/>
        </w:rPr>
      </w:pPr>
      <w:r>
        <w:rPr>
          <w:kern w:val="0"/>
        </w:rPr>
        <w:t>Abstract: Background Given the relatively high prevalence of age-related macular degeneration (AMD) and the increased incidence of AMD as populations age, the results of trials of novel treatments are awaited with much anticipation</w:t>
      </w:r>
      <w:r w:rsidR="00A37C1D">
        <w:rPr>
          <w:kern w:val="0"/>
        </w:rPr>
        <w:t>. The</w:t>
      </w:r>
      <w:r>
        <w:rPr>
          <w:kern w:val="0"/>
        </w:rPr>
        <w:t xml:space="preserve"> complement cascade describes a series of proteolytic reactions occurring throughout the body that generate proteins with a variety of roles including the initiation and promotion of immune reactions against foreign materials or micro-organisms</w:t>
      </w:r>
      <w:r w:rsidR="00A37C1D">
        <w:rPr>
          <w:kern w:val="0"/>
        </w:rPr>
        <w:t>. The</w:t>
      </w:r>
      <w:r>
        <w:rPr>
          <w:kern w:val="0"/>
        </w:rPr>
        <w:t xml:space="preserve"> complement cascade is normally tightly regulated, but much evidence implicates </w:t>
      </w:r>
      <w:r>
        <w:rPr>
          <w:kern w:val="0"/>
        </w:rPr>
        <w:lastRenderedPageBreak/>
        <w:t>complement overactivity in AMD and so it is a logical therapeutic target in the treatment of AMD. Objectives To assess the effects and safety of complement inhibitors in the prevention or treatment of advanced AMD. Search methods We searched CENTRAL (which contains the Cochrane Eyes and Vision Group Trials Register) (The Cochrane Library 2013, Issue 11), Ovid MEDLINE, Ovid MEDLINE In-Process and Other Non-Indexed Citations, Ovid MEDLINE Daily, Ovid OLDMEDLINE (January 1946 to November 2013), EMBASE (January 1980 to November 2013), Allied and Complementary Medicine Database (AMED) (January 1985 to November 2013), Latin American and Caribbean Literature on Health Sciences (LILACS) (January 1982 to November 2013), OpenGrey (System for Information on Grey Literature in Europe) (www.opengrey.eu/), Web of Science Conference Proceedings Citation Index - Science (CPCI-S) (January 1990 to November 2013), the metaRegister of Controlled Trials (mRCT) (www.controlled-trials.com), ClinicalTrials.gov (www.clinicaltrials.gov) and the WHO International Clinical Trials Registry Platform (ICTRP) (www.who.int/ictrp/search/en). We did not use any date or language restrictions in the electronic searches for trials. We last searched the electronic databases on 21 November 2013. We also performed handsearching of proceedings, from 2012 onwards, of meetings and conferences of specific professional organisations. Selection criteria We planned to include randomised controlled trials (RCTs) with parallel treatment groups which investigated either the prevention or treatment of advanced AMD by inhibition of the complement cascade. Data collection and analysis Two authors (MW and GMcK) independently evaluated all the titles and abstracts resulting from the searches. We contacted companies running clinical trials which had not yet reported results to request information. Since no trials met our inclusion criteria, we undertook no assessment of quality or meta-analysis. Main results We identified and screened 317 references but there were no published RCTs that met the inclusion criteria. We identified two ongoing studies: one phase I study and one phase II study. Authors</w:t>
      </w:r>
      <w:r w:rsidR="0071223E">
        <w:rPr>
          <w:kern w:val="0"/>
        </w:rPr>
        <w:t>’</w:t>
      </w:r>
      <w:r>
        <w:rPr>
          <w:kern w:val="0"/>
        </w:rPr>
        <w:t xml:space="preserve"> conclusions There is insufficient information at present to generate evidence-based recommendations on the potential safety and efficacy of complement inhibitors for prevention or treatment of AMD. However we anticipate the results of ongoing trials.</w:t>
      </w:r>
    </w:p>
    <w:p w:rsidR="007835D2" w:rsidRDefault="007835D2" w:rsidP="007835D2">
      <w:pPr>
        <w:pStyle w:val="a3"/>
        <w:rPr>
          <w:kern w:val="0"/>
        </w:rPr>
      </w:pPr>
      <w:r>
        <w:rPr>
          <w:kern w:val="0"/>
        </w:rPr>
        <w:t xml:space="preserve">Keywords: Age, Age-Related, Analysis, Assessment, Authors, Citation, Citations, Clinical, Clinical Trials, Collection, Conference, Conferences, Criteria, Data Collection, Database, Databases, Effects, Efficacy, Embase, Europe, Evidence, Evidence Based, Evidence-Based, Grey Literature, Groups, Health, Immune, Incidence, Information, Inhibition, Inhibitors, Initiation, Language, Literature, Macular Degeneration, Medicine, Medline, Meta Analysis, Meta-Analysis, Metaanalysis, Methods, Microorganisms, Phase I, Phase Ii, Populations, Potential, </w:t>
      </w:r>
      <w:r>
        <w:rPr>
          <w:kern w:val="0"/>
        </w:rPr>
        <w:lastRenderedPageBreak/>
        <w:t>Prevalence, Prevention, Promotion, Proteins, Quality, Randomised, Randomised Controlled Trials, Recommendations, References, Restrictions, Safety, Science, Sciences, Search, Therapeutic, Treatment, Web of Science, WHO</w:t>
      </w:r>
    </w:p>
    <w:p w:rsidR="00C56473" w:rsidRDefault="00C56473" w:rsidP="00C56473">
      <w:pPr>
        <w:pStyle w:val="a3"/>
        <w:rPr>
          <w:kern w:val="0"/>
          <w:szCs w:val="24"/>
        </w:rPr>
      </w:pPr>
      <w:r>
        <w:rPr>
          <w:rFonts w:hint="eastAsia"/>
          <w:kern w:val="0"/>
          <w:szCs w:val="24"/>
        </w:rPr>
        <w:t xml:space="preserve">? </w:t>
      </w:r>
      <w:r>
        <w:rPr>
          <w:kern w:val="0"/>
          <w:szCs w:val="24"/>
        </w:rPr>
        <w:t xml:space="preserve">Karsch-Volk, M., Barrett, B., Kiefer, D., Bauer, R., Ardjomand-Woelkart, K. and Linde, K. (2014), Echinacea for preventing and treating the common cold.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E2600B">
        <w:rPr>
          <w:kern w:val="0"/>
          <w:szCs w:val="24"/>
        </w:rPr>
        <w:t>CD000530</w:t>
      </w:r>
      <w:r>
        <w:rPr>
          <w:rFonts w:hint="eastAsia"/>
          <w:kern w:val="0"/>
          <w:szCs w:val="24"/>
        </w:rPr>
        <w:t>.</w:t>
      </w:r>
    </w:p>
    <w:p w:rsidR="00C56473" w:rsidRDefault="00C56473" w:rsidP="00C56473">
      <w:pPr>
        <w:pStyle w:val="a3"/>
        <w:rPr>
          <w:kern w:val="2"/>
        </w:rPr>
      </w:pPr>
      <w:r>
        <w:t xml:space="preserve">Full Text: </w:t>
      </w:r>
      <w:hyperlink r:id="rId791" w:history="1">
        <w:r w:rsidR="007835D2" w:rsidRPr="007835D2">
          <w:rPr>
            <w:rStyle w:val="a5"/>
          </w:rPr>
          <w:t>2014\Coc Dat Sys Rev2014, CD000530.pdf</w:t>
        </w:r>
      </w:hyperlink>
    </w:p>
    <w:p w:rsidR="00C56473" w:rsidRDefault="00C56473" w:rsidP="00C56473">
      <w:pPr>
        <w:pStyle w:val="a3"/>
        <w:rPr>
          <w:kern w:val="0"/>
          <w:szCs w:val="24"/>
        </w:rPr>
      </w:pPr>
      <w:r>
        <w:rPr>
          <w:kern w:val="0"/>
          <w:szCs w:val="24"/>
        </w:rPr>
        <w:t>Abstract: Background Echinacea plant preparations (family Asteraceae) are widely used in Europe and North America for common colds. Most consumers and physicians are not aware that products available under the term Echinacea differ appreciably in their composition, mainly due to the use</w:t>
      </w:r>
      <w:r w:rsidR="00427468">
        <w:rPr>
          <w:kern w:val="0"/>
          <w:szCs w:val="24"/>
        </w:rPr>
        <w:t xml:space="preserve"> of </w:t>
      </w:r>
      <w:r>
        <w:rPr>
          <w:kern w:val="0"/>
          <w:szCs w:val="24"/>
        </w:rPr>
        <w:t>variable plant material, extraction methods and the addition</w:t>
      </w:r>
      <w:r w:rsidR="00427468">
        <w:rPr>
          <w:kern w:val="0"/>
          <w:szCs w:val="24"/>
        </w:rPr>
        <w:t xml:space="preserve"> of </w:t>
      </w:r>
      <w:r>
        <w:rPr>
          <w:kern w:val="0"/>
          <w:szCs w:val="24"/>
        </w:rPr>
        <w:t>other components. Objectives To assess whether there is evidence that Echinacea preparations are effective and safe compared to placebo in the prevention and treatment</w:t>
      </w:r>
      <w:r w:rsidR="00427468">
        <w:rPr>
          <w:kern w:val="0"/>
          <w:szCs w:val="24"/>
        </w:rPr>
        <w:t xml:space="preserve"> of </w:t>
      </w:r>
      <w:r>
        <w:rPr>
          <w:kern w:val="0"/>
          <w:szCs w:val="24"/>
        </w:rPr>
        <w:t>the common cold. Search methods We searched CENTRAL 2013, Issue 5, MEDLINE (1946 to May week 5, 2013), EMBASE (1991 to June 2013), CINAHL (1981 to June 2013), AMED (1985 to February 2012), LILACS (1981 to June 2013), Web</w:t>
      </w:r>
      <w:r w:rsidR="00427468">
        <w:rPr>
          <w:kern w:val="0"/>
          <w:szCs w:val="24"/>
        </w:rPr>
        <w:t xml:space="preserve"> of </w:t>
      </w:r>
      <w:r>
        <w:rPr>
          <w:kern w:val="0"/>
          <w:szCs w:val="24"/>
        </w:rPr>
        <w:t>Science (1955 to June 2013), CAMBASE (no time limits), the Centre for Complementary Medicine Research (1988 to September 2007), WHO ICTRP and clinicaltrials.gov (last searched 5 June 2013), screened references and asked experts in the field about published and unpublished studies. Selection criteria Randomized controlled trials (RCTs) comparing mono-preparations</w:t>
      </w:r>
      <w:r w:rsidR="00427468">
        <w:rPr>
          <w:kern w:val="0"/>
          <w:szCs w:val="24"/>
        </w:rPr>
        <w:t xml:space="preserve"> of </w:t>
      </w:r>
      <w:r>
        <w:rPr>
          <w:kern w:val="0"/>
          <w:szCs w:val="24"/>
        </w:rPr>
        <w:t>Echinacea with placebo. Data collection and analysis At least two review authors independently assessed eligibility and trial quality and extracted data</w:t>
      </w:r>
      <w:r w:rsidR="00A37C1D">
        <w:rPr>
          <w:kern w:val="0"/>
          <w:szCs w:val="24"/>
        </w:rPr>
        <w:t>. The</w:t>
      </w:r>
      <w:r>
        <w:rPr>
          <w:kern w:val="0"/>
          <w:szCs w:val="24"/>
        </w:rPr>
        <w:t xml:space="preserve"> primary efficacy outcome was the number</w:t>
      </w:r>
      <w:r w:rsidR="00427468">
        <w:rPr>
          <w:kern w:val="0"/>
          <w:szCs w:val="24"/>
        </w:rPr>
        <w:t xml:space="preserve"> of </w:t>
      </w:r>
      <w:r>
        <w:rPr>
          <w:kern w:val="0"/>
          <w:szCs w:val="24"/>
        </w:rPr>
        <w:t>individuals with at least one cold in prevention trials and the duration</w:t>
      </w:r>
      <w:r w:rsidR="00427468">
        <w:rPr>
          <w:kern w:val="0"/>
          <w:szCs w:val="24"/>
        </w:rPr>
        <w:t xml:space="preserve"> of </w:t>
      </w:r>
      <w:r>
        <w:rPr>
          <w:kern w:val="0"/>
          <w:szCs w:val="24"/>
        </w:rPr>
        <w:t>colds in treatment trials. For all included trials the primary safety and acceptability outcome was the number</w:t>
      </w:r>
      <w:r w:rsidR="00427468">
        <w:rPr>
          <w:kern w:val="0"/>
          <w:szCs w:val="24"/>
        </w:rPr>
        <w:t xml:space="preserve"> of </w:t>
      </w:r>
      <w:r>
        <w:rPr>
          <w:kern w:val="0"/>
          <w:szCs w:val="24"/>
        </w:rPr>
        <w:t xml:space="preserve">participants dropping out due to adverse events. We assessed trial quality using the Cochrane </w:t>
      </w:r>
      <w:r w:rsidR="0071223E">
        <w:rPr>
          <w:kern w:val="0"/>
          <w:szCs w:val="24"/>
        </w:rPr>
        <w:t>‘</w:t>
      </w:r>
      <w:r>
        <w:rPr>
          <w:kern w:val="0"/>
          <w:szCs w:val="24"/>
        </w:rPr>
        <w:t>Risk</w:t>
      </w:r>
      <w:r w:rsidR="00427468">
        <w:rPr>
          <w:kern w:val="0"/>
          <w:szCs w:val="24"/>
        </w:rPr>
        <w:t xml:space="preserve"> of </w:t>
      </w:r>
      <w:r>
        <w:rPr>
          <w:kern w:val="0"/>
          <w:szCs w:val="24"/>
        </w:rPr>
        <w:t>bias</w:t>
      </w:r>
      <w:r w:rsidR="0071223E">
        <w:rPr>
          <w:kern w:val="0"/>
          <w:szCs w:val="24"/>
        </w:rPr>
        <w:t>’</w:t>
      </w:r>
      <w:r>
        <w:rPr>
          <w:kern w:val="0"/>
          <w:szCs w:val="24"/>
        </w:rPr>
        <w:t xml:space="preserve"> tool. Main results Twenty-four double-blind trials with 4631 participants including a total</w:t>
      </w:r>
      <w:r w:rsidR="00427468">
        <w:rPr>
          <w:kern w:val="0"/>
          <w:szCs w:val="24"/>
        </w:rPr>
        <w:t xml:space="preserve"> of </w:t>
      </w:r>
      <w:r>
        <w:rPr>
          <w:kern w:val="0"/>
          <w:szCs w:val="24"/>
        </w:rPr>
        <w:t>33 comparisons</w:t>
      </w:r>
      <w:r w:rsidR="00427468">
        <w:rPr>
          <w:kern w:val="0"/>
          <w:szCs w:val="24"/>
        </w:rPr>
        <w:t xml:space="preserve"> of </w:t>
      </w:r>
      <w:r>
        <w:rPr>
          <w:kern w:val="0"/>
          <w:szCs w:val="24"/>
        </w:rPr>
        <w:t>Echinacea preparations and placebo met the inclusion criteria. A variety</w:t>
      </w:r>
      <w:r w:rsidR="00427468">
        <w:rPr>
          <w:kern w:val="0"/>
          <w:szCs w:val="24"/>
        </w:rPr>
        <w:t xml:space="preserve"> of </w:t>
      </w:r>
      <w:r>
        <w:rPr>
          <w:kern w:val="0"/>
          <w:szCs w:val="24"/>
        </w:rPr>
        <w:t>different Echinacea preparations based on different species and parts</w:t>
      </w:r>
      <w:r w:rsidR="00427468">
        <w:rPr>
          <w:kern w:val="0"/>
          <w:szCs w:val="24"/>
        </w:rPr>
        <w:t xml:space="preserve"> of </w:t>
      </w:r>
      <w:r>
        <w:rPr>
          <w:kern w:val="0"/>
          <w:szCs w:val="24"/>
        </w:rPr>
        <w:t>plant were used. Evidence from seven trials was available for preparations based on the aerial parts</w:t>
      </w:r>
      <w:r w:rsidR="00427468">
        <w:rPr>
          <w:kern w:val="0"/>
          <w:szCs w:val="24"/>
        </w:rPr>
        <w:t xml:space="preserve"> of </w:t>
      </w:r>
      <w:r>
        <w:rPr>
          <w:kern w:val="0"/>
          <w:szCs w:val="24"/>
        </w:rPr>
        <w:t>Echinacea purpurea. Ten trials were considered to have a low risk</w:t>
      </w:r>
      <w:r w:rsidR="00427468">
        <w:rPr>
          <w:kern w:val="0"/>
          <w:szCs w:val="24"/>
        </w:rPr>
        <w:t xml:space="preserve"> of </w:t>
      </w:r>
      <w:r>
        <w:rPr>
          <w:kern w:val="0"/>
          <w:szCs w:val="24"/>
        </w:rPr>
        <w:t>bias, six to have an unclear risk</w:t>
      </w:r>
      <w:r w:rsidR="00427468">
        <w:rPr>
          <w:kern w:val="0"/>
          <w:szCs w:val="24"/>
        </w:rPr>
        <w:t xml:space="preserve"> of </w:t>
      </w:r>
      <w:r>
        <w:rPr>
          <w:kern w:val="0"/>
          <w:szCs w:val="24"/>
        </w:rPr>
        <w:t>bias and eight to have a high risk</w:t>
      </w:r>
      <w:r w:rsidR="00427468">
        <w:rPr>
          <w:kern w:val="0"/>
          <w:szCs w:val="24"/>
        </w:rPr>
        <w:t xml:space="preserve"> of </w:t>
      </w:r>
      <w:r>
        <w:rPr>
          <w:kern w:val="0"/>
          <w:szCs w:val="24"/>
        </w:rPr>
        <w:t>bias. Ten trials with 13 comparisons investigated prevention and 15 trials with 20 comparisons investigated treatment</w:t>
      </w:r>
      <w:r w:rsidR="00427468">
        <w:rPr>
          <w:kern w:val="0"/>
          <w:szCs w:val="24"/>
        </w:rPr>
        <w:t xml:space="preserve"> of </w:t>
      </w:r>
      <w:r>
        <w:rPr>
          <w:kern w:val="0"/>
          <w:szCs w:val="24"/>
        </w:rPr>
        <w:t>colds (one trial addressed both prevention and treatment). Due to the strong clinical heterogeneity</w:t>
      </w:r>
      <w:r w:rsidR="00427468">
        <w:rPr>
          <w:kern w:val="0"/>
          <w:szCs w:val="24"/>
        </w:rPr>
        <w:t xml:space="preserve"> of </w:t>
      </w:r>
      <w:r>
        <w:rPr>
          <w:kern w:val="0"/>
          <w:szCs w:val="24"/>
        </w:rPr>
        <w:t>the studies we refrained from pooling for the main analysis. None</w:t>
      </w:r>
      <w:r w:rsidR="00427468">
        <w:rPr>
          <w:kern w:val="0"/>
          <w:szCs w:val="24"/>
        </w:rPr>
        <w:t xml:space="preserve"> of </w:t>
      </w:r>
      <w:r>
        <w:rPr>
          <w:kern w:val="0"/>
          <w:szCs w:val="24"/>
        </w:rPr>
        <w:t>the 12 prevention comparisons reporting the number</w:t>
      </w:r>
      <w:r w:rsidR="00427468">
        <w:rPr>
          <w:kern w:val="0"/>
          <w:szCs w:val="24"/>
        </w:rPr>
        <w:t xml:space="preserve"> of </w:t>
      </w:r>
      <w:r>
        <w:rPr>
          <w:kern w:val="0"/>
          <w:szCs w:val="24"/>
        </w:rPr>
        <w:t>patients with at least one cold episode found a statistically significant difference. However a post hoc pooling</w:t>
      </w:r>
      <w:r w:rsidR="00427468">
        <w:rPr>
          <w:kern w:val="0"/>
          <w:szCs w:val="24"/>
        </w:rPr>
        <w:t xml:space="preserve"> of </w:t>
      </w:r>
      <w:r>
        <w:rPr>
          <w:kern w:val="0"/>
          <w:szCs w:val="24"/>
        </w:rPr>
        <w:t>their results, suggests a relative risk reduction</w:t>
      </w:r>
      <w:r w:rsidR="00427468">
        <w:rPr>
          <w:kern w:val="0"/>
          <w:szCs w:val="24"/>
        </w:rPr>
        <w:t xml:space="preserve"> of </w:t>
      </w:r>
      <w:r>
        <w:rPr>
          <w:kern w:val="0"/>
          <w:szCs w:val="24"/>
        </w:rPr>
        <w:t xml:space="preserve">10% </w:t>
      </w:r>
      <w:r>
        <w:rPr>
          <w:kern w:val="0"/>
          <w:szCs w:val="24"/>
        </w:rPr>
        <w:lastRenderedPageBreak/>
        <w:t>to 20%.</w:t>
      </w:r>
      <w:r w:rsidR="00427468">
        <w:rPr>
          <w:kern w:val="0"/>
          <w:szCs w:val="24"/>
        </w:rPr>
        <w:t xml:space="preserve"> of </w:t>
      </w:r>
      <w:r>
        <w:rPr>
          <w:kern w:val="0"/>
          <w:szCs w:val="24"/>
        </w:rPr>
        <w:t>the seven treatment trials reporting data on the duration</w:t>
      </w:r>
      <w:r w:rsidR="00427468">
        <w:rPr>
          <w:kern w:val="0"/>
          <w:szCs w:val="24"/>
        </w:rPr>
        <w:t xml:space="preserve"> of </w:t>
      </w:r>
      <w:r>
        <w:rPr>
          <w:kern w:val="0"/>
          <w:szCs w:val="24"/>
        </w:rPr>
        <w:t>colds, only one showed a significant effect</w:t>
      </w:r>
      <w:r w:rsidR="00427468">
        <w:rPr>
          <w:kern w:val="0"/>
          <w:szCs w:val="24"/>
        </w:rPr>
        <w:t xml:space="preserve"> of </w:t>
      </w:r>
      <w:r>
        <w:rPr>
          <w:kern w:val="0"/>
          <w:szCs w:val="24"/>
        </w:rPr>
        <w:t>Echinacea over placebo</w:t>
      </w:r>
      <w:r w:rsidR="00A37C1D">
        <w:rPr>
          <w:kern w:val="0"/>
          <w:szCs w:val="24"/>
        </w:rPr>
        <w:t>. The</w:t>
      </w:r>
      <w:r>
        <w:rPr>
          <w:kern w:val="0"/>
          <w:szCs w:val="24"/>
        </w:rPr>
        <w:t xml:space="preserve"> number</w:t>
      </w:r>
      <w:r w:rsidR="00427468">
        <w:rPr>
          <w:kern w:val="0"/>
          <w:szCs w:val="24"/>
        </w:rPr>
        <w:t xml:space="preserve"> of </w:t>
      </w:r>
      <w:r>
        <w:rPr>
          <w:kern w:val="0"/>
          <w:szCs w:val="24"/>
        </w:rPr>
        <w:t>patients dropping out or reporting adverse effects did not differ significantly between treatment and control groups in prevention and treatment trials. However, in prevention trials there was a trend towards a larger number</w:t>
      </w:r>
      <w:r w:rsidR="00427468">
        <w:rPr>
          <w:kern w:val="0"/>
          <w:szCs w:val="24"/>
        </w:rPr>
        <w:t xml:space="preserve"> of </w:t>
      </w:r>
      <w:r>
        <w:rPr>
          <w:kern w:val="0"/>
          <w:szCs w:val="24"/>
        </w:rPr>
        <w:t>patients dropping out due to adverse events in the treatment groups. Authors</w:t>
      </w:r>
      <w:r w:rsidR="0071223E">
        <w:rPr>
          <w:kern w:val="0"/>
          <w:szCs w:val="24"/>
        </w:rPr>
        <w:t>’</w:t>
      </w:r>
      <w:r>
        <w:rPr>
          <w:kern w:val="0"/>
          <w:szCs w:val="24"/>
        </w:rPr>
        <w:t xml:space="preserve"> conclusions Echinacea products have not here been shown to provide benefits for treating colds, although, it is possible there is a weak benefit from some Echinacea products: the results</w:t>
      </w:r>
      <w:r w:rsidR="00427468">
        <w:rPr>
          <w:kern w:val="0"/>
          <w:szCs w:val="24"/>
        </w:rPr>
        <w:t xml:space="preserve"> of </w:t>
      </w:r>
      <w:r>
        <w:rPr>
          <w:kern w:val="0"/>
          <w:szCs w:val="24"/>
        </w:rPr>
        <w:t>individual prophylaxis trials consistently show positive (if non-significant) trends, although potential effects are</w:t>
      </w:r>
      <w:r w:rsidR="00427468">
        <w:rPr>
          <w:kern w:val="0"/>
          <w:szCs w:val="24"/>
        </w:rPr>
        <w:t xml:space="preserve"> of </w:t>
      </w:r>
      <w:r>
        <w:rPr>
          <w:kern w:val="0"/>
          <w:szCs w:val="24"/>
        </w:rPr>
        <w:t>questionable clinical relevance.</w:t>
      </w:r>
    </w:p>
    <w:p w:rsidR="00C56473" w:rsidRDefault="00C56473" w:rsidP="00C56473">
      <w:pPr>
        <w:pStyle w:val="a3"/>
        <w:rPr>
          <w:kern w:val="0"/>
          <w:szCs w:val="24"/>
        </w:rPr>
      </w:pPr>
      <w:r>
        <w:rPr>
          <w:kern w:val="0"/>
          <w:szCs w:val="24"/>
        </w:rPr>
        <w:t>Keywords: *Echinacea, *Phytotherapy, *Therapy], Acceptability, Adverse Effects, Analysis, Authors, Benefits, Bias, Clinical, Collection, Common Cold [*Prevention &amp; Control, Composition, Control, Control Groups, Controlled Clinical-Trial, Criteria, Data, Data Collection, Double-Blind, Duration, Effects, Efficacy, Embase, Europe, Events, Evidence, Experimental Rhinovirus Colds, Experts, Extraction, Family, Field, Fixed Combination, Groups, Herbal Extracts, Heterogeneity, Humans, Immune-Response, Low Risk, Medicine, Medline, Methods, North, North America, Outcome, Patients, Physicians, Placebo, Placebo-Controlled Trial, Plant, Plant Extracts [*Therapeutic Use], Potential, Prevention, Primary, Prophylaxis, Purpurea Preparations, Quality, Randomized Controlled Trials, Randomized Controlled Trials As Topic, Randomized Controlled-Trial, Reduction, References, Relative Risk, Relevance, Reporting, Research, Respiratory-Tract Infections, Review, Risk, Risk</w:t>
      </w:r>
      <w:r w:rsidR="00427468">
        <w:rPr>
          <w:kern w:val="0"/>
          <w:szCs w:val="24"/>
        </w:rPr>
        <w:t xml:space="preserve"> of </w:t>
      </w:r>
      <w:r>
        <w:rPr>
          <w:kern w:val="0"/>
          <w:szCs w:val="24"/>
        </w:rPr>
        <w:t>Bias, Safety, Science, Search, Species, Term, Treatment, Trend, Trends, Trial, Web</w:t>
      </w:r>
      <w:r w:rsidR="00427468">
        <w:rPr>
          <w:kern w:val="0"/>
          <w:szCs w:val="24"/>
        </w:rPr>
        <w:t xml:space="preserve"> of </w:t>
      </w:r>
      <w:r>
        <w:rPr>
          <w:kern w:val="0"/>
          <w:szCs w:val="24"/>
        </w:rPr>
        <w:t>Science, Who</w:t>
      </w:r>
    </w:p>
    <w:p w:rsidR="00C56473" w:rsidRDefault="00C56473" w:rsidP="00C56473">
      <w:pPr>
        <w:pStyle w:val="a3"/>
        <w:rPr>
          <w:kern w:val="0"/>
          <w:szCs w:val="24"/>
        </w:rPr>
      </w:pPr>
      <w:r>
        <w:rPr>
          <w:kern w:val="0"/>
          <w:szCs w:val="24"/>
        </w:rPr>
        <w:t xml:space="preserve">? Green, E., Wilkins, M., Bunce, C. and Wormald, R. (2014), 5-Fluorouracil for glaucoma surgery.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E2600B">
        <w:rPr>
          <w:kern w:val="0"/>
          <w:szCs w:val="24"/>
        </w:rPr>
        <w:t>CD001132</w:t>
      </w:r>
      <w:r>
        <w:rPr>
          <w:rFonts w:hint="eastAsia"/>
          <w:kern w:val="0"/>
          <w:szCs w:val="24"/>
        </w:rPr>
        <w:t>.</w:t>
      </w:r>
    </w:p>
    <w:p w:rsidR="00C56473" w:rsidRDefault="00C56473" w:rsidP="00C56473">
      <w:pPr>
        <w:pStyle w:val="a3"/>
        <w:rPr>
          <w:kern w:val="2"/>
        </w:rPr>
      </w:pPr>
      <w:r>
        <w:t xml:space="preserve">Full Text: </w:t>
      </w:r>
      <w:hyperlink r:id="rId792" w:history="1">
        <w:r w:rsidR="007835D2" w:rsidRPr="007835D2">
          <w:rPr>
            <w:rStyle w:val="a5"/>
          </w:rPr>
          <w:t>2014\Coc Dat Sys Rev2014, CD001132.pdf</w:t>
        </w:r>
      </w:hyperlink>
    </w:p>
    <w:p w:rsidR="00C56473" w:rsidRDefault="00C56473" w:rsidP="00C56473">
      <w:pPr>
        <w:pStyle w:val="a3"/>
        <w:rPr>
          <w:kern w:val="0"/>
          <w:szCs w:val="24"/>
        </w:rPr>
      </w:pPr>
      <w:r>
        <w:rPr>
          <w:kern w:val="0"/>
          <w:szCs w:val="24"/>
        </w:rPr>
        <w:t>Abstract: Background Trabeculectomy is performed as a treatment for many types</w:t>
      </w:r>
      <w:r w:rsidR="00427468">
        <w:rPr>
          <w:kern w:val="0"/>
          <w:szCs w:val="24"/>
        </w:rPr>
        <w:t xml:space="preserve"> of </w:t>
      </w:r>
      <w:r>
        <w:rPr>
          <w:kern w:val="0"/>
          <w:szCs w:val="24"/>
        </w:rPr>
        <w:t>glaucoma in an attempt to lower the intraocular pressure</w:t>
      </w:r>
      <w:r w:rsidR="00A37C1D">
        <w:rPr>
          <w:kern w:val="0"/>
          <w:szCs w:val="24"/>
        </w:rPr>
        <w:t>. The</w:t>
      </w:r>
      <w:r>
        <w:rPr>
          <w:kern w:val="0"/>
          <w:szCs w:val="24"/>
        </w:rPr>
        <w:t xml:space="preserve"> surgery involves creating a channel through the sclera, through which intraocular fluid can leave the eye. If scar tissue blocks the exit</w:t>
      </w:r>
      <w:r w:rsidR="00427468">
        <w:rPr>
          <w:kern w:val="0"/>
          <w:szCs w:val="24"/>
        </w:rPr>
        <w:t xml:space="preserve"> of </w:t>
      </w:r>
      <w:r>
        <w:rPr>
          <w:kern w:val="0"/>
          <w:szCs w:val="24"/>
        </w:rPr>
        <w:t>the surgically created channel, intraocular pressure rises and the operation fails. Antimetabolites such as 5-Fluorouracil (5-FU) are used to inhibit wound healing to prevent the conjunctiva scarring down on to the sclera. This is an update</w:t>
      </w:r>
      <w:r w:rsidR="00427468">
        <w:rPr>
          <w:kern w:val="0"/>
          <w:szCs w:val="24"/>
        </w:rPr>
        <w:t xml:space="preserve"> of </w:t>
      </w:r>
      <w:r>
        <w:rPr>
          <w:kern w:val="0"/>
          <w:szCs w:val="24"/>
        </w:rPr>
        <w:t>a Cochrane review first published in 2000, and previously updated in 2009. Objectives To assess the effects</w:t>
      </w:r>
      <w:r w:rsidR="00427468">
        <w:rPr>
          <w:kern w:val="0"/>
          <w:szCs w:val="24"/>
        </w:rPr>
        <w:t xml:space="preserve"> of </w:t>
      </w:r>
      <w:r>
        <w:rPr>
          <w:kern w:val="0"/>
          <w:szCs w:val="24"/>
        </w:rPr>
        <w:t>both intraoperative application and postoperative injections</w:t>
      </w:r>
      <w:r w:rsidR="00427468">
        <w:rPr>
          <w:kern w:val="0"/>
          <w:szCs w:val="24"/>
        </w:rPr>
        <w:t xml:space="preserve"> of </w:t>
      </w:r>
      <w:r>
        <w:rPr>
          <w:kern w:val="0"/>
          <w:szCs w:val="24"/>
        </w:rPr>
        <w:t>5-FU in eyes</w:t>
      </w:r>
      <w:r w:rsidR="00427468">
        <w:rPr>
          <w:kern w:val="0"/>
          <w:szCs w:val="24"/>
        </w:rPr>
        <w:t xml:space="preserve"> of </w:t>
      </w:r>
      <w:r>
        <w:rPr>
          <w:kern w:val="0"/>
          <w:szCs w:val="24"/>
        </w:rPr>
        <w:t xml:space="preserve">people undergoing surgery for glaucoma at one year. Search methods We searched CENTRAL (which contains the Cochrane Eyes and Vision Group Trials Register) (The Cochrane Library 2013, Issue </w:t>
      </w:r>
      <w:r>
        <w:rPr>
          <w:kern w:val="0"/>
          <w:szCs w:val="24"/>
        </w:rPr>
        <w:lastRenderedPageBreak/>
        <w:t>6), Ovid MEDLINE, Ovid MEDLINE In-Process and Other Non-Indexed Citations, Ovid MEDLINE Daily, Ovid OLDMEDLINE (January 1946 to July 2013), EMBASE (January 1980 to July 2013), the metaRegister</w:t>
      </w:r>
      <w:r w:rsidR="00427468">
        <w:rPr>
          <w:kern w:val="0"/>
          <w:szCs w:val="24"/>
        </w:rPr>
        <w:t xml:space="preserve"> of </w:t>
      </w:r>
      <w:r>
        <w:rPr>
          <w:kern w:val="0"/>
          <w:szCs w:val="24"/>
        </w:rPr>
        <w:t>Controlled Trials (mRCT) (www.controlled-trials.com), ClinicalTrials.gov (www.clinicaltrials.gov) and the WHO International Clinical Trials Registry Platform (ICTRP) (www.who.int/ictrp/search/en). We did not use any date or language restrictions in the electronic searches for trials. We last searched the electronic databases on 25 July 2013. We also searched the reference lists</w:t>
      </w:r>
      <w:r w:rsidR="00427468">
        <w:rPr>
          <w:kern w:val="0"/>
          <w:szCs w:val="24"/>
        </w:rPr>
        <w:t xml:space="preserve"> of </w:t>
      </w:r>
      <w:r>
        <w:rPr>
          <w:kern w:val="0"/>
          <w:szCs w:val="24"/>
        </w:rPr>
        <w:t>relevant articles and the Science Citation Index and contacted investigators and experts for details</w:t>
      </w:r>
      <w:r w:rsidR="00427468">
        <w:rPr>
          <w:kern w:val="0"/>
          <w:szCs w:val="24"/>
        </w:rPr>
        <w:t xml:space="preserve"> of </w:t>
      </w:r>
      <w:r>
        <w:rPr>
          <w:kern w:val="0"/>
          <w:szCs w:val="24"/>
        </w:rPr>
        <w:t>additional relevant trials. Selection criteria We included randomised trials</w:t>
      </w:r>
      <w:r w:rsidR="00427468">
        <w:rPr>
          <w:kern w:val="0"/>
          <w:szCs w:val="24"/>
        </w:rPr>
        <w:t xml:space="preserve"> of </w:t>
      </w:r>
      <w:r>
        <w:rPr>
          <w:kern w:val="0"/>
          <w:szCs w:val="24"/>
        </w:rPr>
        <w:t>intraoperative application and postoperative 5-FU injections compared with placebo or no treatment in trabeculectomy for glaucoma. Data collection and analysis Two authors independently assessed trial quality and extracted data. We used standard methodological procedures expected by The Cochrane Collaboration. We contacted trial investigators for missing information. Data were summarised using risk ratio (RR), Peto odds ratio and mean difference, as appropriate</w:t>
      </w:r>
      <w:r w:rsidR="00A37C1D">
        <w:rPr>
          <w:kern w:val="0"/>
          <w:szCs w:val="24"/>
        </w:rPr>
        <w:t>. The</w:t>
      </w:r>
      <w:r>
        <w:rPr>
          <w:kern w:val="0"/>
          <w:szCs w:val="24"/>
        </w:rPr>
        <w:t xml:space="preserve"> participants were divided into three separate subgroup populations (high risk</w:t>
      </w:r>
      <w:r w:rsidR="00427468">
        <w:rPr>
          <w:kern w:val="0"/>
          <w:szCs w:val="24"/>
        </w:rPr>
        <w:t xml:space="preserve"> of </w:t>
      </w:r>
      <w:r>
        <w:rPr>
          <w:kern w:val="0"/>
          <w:szCs w:val="24"/>
        </w:rPr>
        <w:t>failure, combined surgery and primary trabeculectomy) and the interventions were divided into three subgroups</w:t>
      </w:r>
      <w:r w:rsidR="00427468">
        <w:rPr>
          <w:kern w:val="0"/>
          <w:szCs w:val="24"/>
        </w:rPr>
        <w:t xml:space="preserve"> of </w:t>
      </w:r>
      <w:r>
        <w:rPr>
          <w:kern w:val="0"/>
          <w:szCs w:val="24"/>
        </w:rPr>
        <w:t>5-FU injections (intraoperative, regular dose postoperative and low dose postoperative)</w:t>
      </w:r>
      <w:r w:rsidR="00A37C1D">
        <w:rPr>
          <w:kern w:val="0"/>
          <w:szCs w:val="24"/>
        </w:rPr>
        <w:t>. The</w:t>
      </w:r>
      <w:r>
        <w:rPr>
          <w:kern w:val="0"/>
          <w:szCs w:val="24"/>
        </w:rPr>
        <w:t xml:space="preserve"> low dose was defined as a total dose less than 19 mg. Main results Twelve trials, which randomised 1319 participants, were included in the review. As far as can be determined from the trial reports, the methodological quality</w:t>
      </w:r>
      <w:r w:rsidR="00427468">
        <w:rPr>
          <w:kern w:val="0"/>
          <w:szCs w:val="24"/>
        </w:rPr>
        <w:t xml:space="preserve"> of </w:t>
      </w:r>
      <w:r>
        <w:rPr>
          <w:kern w:val="0"/>
          <w:szCs w:val="24"/>
        </w:rPr>
        <w:t>the trials was not high, including a high risk</w:t>
      </w:r>
      <w:r w:rsidR="00427468">
        <w:rPr>
          <w:kern w:val="0"/>
          <w:szCs w:val="24"/>
        </w:rPr>
        <w:t xml:space="preserve"> of </w:t>
      </w:r>
      <w:r>
        <w:rPr>
          <w:kern w:val="0"/>
          <w:szCs w:val="24"/>
        </w:rPr>
        <w:t>detection bias in many.</w:t>
      </w:r>
      <w:r w:rsidR="00427468">
        <w:rPr>
          <w:kern w:val="0"/>
          <w:szCs w:val="24"/>
        </w:rPr>
        <w:t xml:space="preserve"> of </w:t>
      </w:r>
      <w:r>
        <w:rPr>
          <w:kern w:val="0"/>
          <w:szCs w:val="24"/>
        </w:rPr>
        <w:t>note, only one study reported low-dose postoperative 5-FU and this paper was at high risk</w:t>
      </w:r>
      <w:r w:rsidR="00427468">
        <w:rPr>
          <w:kern w:val="0"/>
          <w:szCs w:val="24"/>
        </w:rPr>
        <w:t xml:space="preserve"> of </w:t>
      </w:r>
      <w:r>
        <w:rPr>
          <w:kern w:val="0"/>
          <w:szCs w:val="24"/>
        </w:rPr>
        <w:t>reporting bias. Not all studies reported population characteristics,</w:t>
      </w:r>
      <w:r w:rsidR="00427468">
        <w:rPr>
          <w:kern w:val="0"/>
          <w:szCs w:val="24"/>
        </w:rPr>
        <w:t xml:space="preserve"> of </w:t>
      </w:r>
      <w:r>
        <w:rPr>
          <w:kern w:val="0"/>
          <w:szCs w:val="24"/>
        </w:rPr>
        <w:t>those that did mean age ranged from 61 to 75 years. 83%</w:t>
      </w:r>
      <w:r w:rsidR="00427468">
        <w:rPr>
          <w:kern w:val="0"/>
          <w:szCs w:val="24"/>
        </w:rPr>
        <w:t xml:space="preserve"> of </w:t>
      </w:r>
      <w:r>
        <w:rPr>
          <w:kern w:val="0"/>
          <w:szCs w:val="24"/>
        </w:rPr>
        <w:t>participants were white and 40% were male. All studies were a minimum</w:t>
      </w:r>
      <w:r w:rsidR="00427468">
        <w:rPr>
          <w:kern w:val="0"/>
          <w:szCs w:val="24"/>
        </w:rPr>
        <w:t xml:space="preserve"> of </w:t>
      </w:r>
      <w:r>
        <w:rPr>
          <w:kern w:val="0"/>
          <w:szCs w:val="24"/>
        </w:rPr>
        <w:t>one year long. A significant reduction in surgical failure in the first year after trabeculectomy was detected in eyes at high risk</w:t>
      </w:r>
      <w:r w:rsidR="00427468">
        <w:rPr>
          <w:kern w:val="0"/>
          <w:szCs w:val="24"/>
        </w:rPr>
        <w:t xml:space="preserve"> of </w:t>
      </w:r>
      <w:r>
        <w:rPr>
          <w:kern w:val="0"/>
          <w:szCs w:val="24"/>
        </w:rPr>
        <w:t>failure and those undergoing surgery for the first time receiving regular-dose 5-FU postoperative injections (RR 0.44, 95% confidence interval (CI) 0.29 to 0.68 and 0.21, 0.06 to 0.68, respectively). No surgical failures were detected in studies assessing combined surgery. No difference was detected in the low-dose postoperative 5-FU injection group in patients undergoing primary trabeculectomy (RR 0.93, 95% CI 0.70 to 1.24). Peroperative 5-FU in patients undergoing primary trabeculectomy significantly reduced risk</w:t>
      </w:r>
      <w:r w:rsidR="00427468">
        <w:rPr>
          <w:kern w:val="0"/>
          <w:szCs w:val="24"/>
        </w:rPr>
        <w:t xml:space="preserve"> of </w:t>
      </w:r>
      <w:r>
        <w:rPr>
          <w:kern w:val="0"/>
          <w:szCs w:val="24"/>
        </w:rPr>
        <w:t>failure (RR 0.67, 95% CI 0.51 to 0.88). This translates to a number needed to treat for an additional beneficial outcome</w:t>
      </w:r>
      <w:r w:rsidR="00427468">
        <w:rPr>
          <w:kern w:val="0"/>
          <w:szCs w:val="24"/>
        </w:rPr>
        <w:t xml:space="preserve"> of </w:t>
      </w:r>
      <w:r>
        <w:rPr>
          <w:kern w:val="0"/>
          <w:szCs w:val="24"/>
        </w:rPr>
        <w:t>4.1 for the high risk</w:t>
      </w:r>
      <w:r w:rsidR="00427468">
        <w:rPr>
          <w:kern w:val="0"/>
          <w:szCs w:val="24"/>
        </w:rPr>
        <w:t xml:space="preserve"> of </w:t>
      </w:r>
      <w:r>
        <w:rPr>
          <w:kern w:val="0"/>
          <w:szCs w:val="24"/>
        </w:rPr>
        <w:t xml:space="preserve">failure patients, and 5.0 for primary trabeculectomy patients receiving postoperative 5-FU. Intraocular pressure was also reduced in the primary trabeculectomy group receiving intraoperative 5-FU (mean difference (MD) -1.04, </w:t>
      </w:r>
      <w:r>
        <w:rPr>
          <w:kern w:val="0"/>
          <w:szCs w:val="24"/>
        </w:rPr>
        <w:lastRenderedPageBreak/>
        <w:t>95% CI -1.65 to -0.43) and regular-dose postoperative 5-FU (MD -4.67, 95% CI -6.60 to -2.73). No significant change occurred in the primary trabeculectomy group receiving low-dose postoperative 5-FU (MD -0.50, 95% CI -2.96 to 1.96). Intraocular pressure was particularly reduced in the high risk</w:t>
      </w:r>
      <w:r w:rsidR="00427468">
        <w:rPr>
          <w:kern w:val="0"/>
          <w:szCs w:val="24"/>
        </w:rPr>
        <w:t xml:space="preserve"> of </w:t>
      </w:r>
      <w:r>
        <w:rPr>
          <w:kern w:val="0"/>
          <w:szCs w:val="24"/>
        </w:rPr>
        <w:t>failure population receiving regular-dose postoperative 5-FU (MD -16.30, 95% CI -18.63 to -13.97). No difference was detected in the combined surgery population receiving regular-dose postoperative 5-FU (MD -1.02, 95% CI -2.40 to 0.37). Whilst no evidence was found</w:t>
      </w:r>
      <w:r w:rsidR="00427468">
        <w:rPr>
          <w:kern w:val="0"/>
          <w:szCs w:val="24"/>
        </w:rPr>
        <w:t xml:space="preserve"> of </w:t>
      </w:r>
      <w:r>
        <w:rPr>
          <w:kern w:val="0"/>
          <w:szCs w:val="24"/>
        </w:rPr>
        <w:t>an increased risk</w:t>
      </w:r>
      <w:r w:rsidR="00427468">
        <w:rPr>
          <w:kern w:val="0"/>
          <w:szCs w:val="24"/>
        </w:rPr>
        <w:t xml:space="preserve"> of </w:t>
      </w:r>
      <w:r>
        <w:rPr>
          <w:kern w:val="0"/>
          <w:szCs w:val="24"/>
        </w:rPr>
        <w:t>serious sight-threatening complications, other complications are more common after 5-FU injections. None</w:t>
      </w:r>
      <w:r w:rsidR="00427468">
        <w:rPr>
          <w:kern w:val="0"/>
          <w:szCs w:val="24"/>
        </w:rPr>
        <w:t xml:space="preserve"> of </w:t>
      </w:r>
      <w:r>
        <w:rPr>
          <w:kern w:val="0"/>
          <w:szCs w:val="24"/>
        </w:rPr>
        <w:t>the trials reported on the participants</w:t>
      </w:r>
      <w:r w:rsidR="0071223E">
        <w:rPr>
          <w:kern w:val="0"/>
          <w:szCs w:val="24"/>
        </w:rPr>
        <w:t>’</w:t>
      </w:r>
      <w:r>
        <w:rPr>
          <w:kern w:val="0"/>
          <w:szCs w:val="24"/>
        </w:rPr>
        <w:t xml:space="preserve"> perspective</w:t>
      </w:r>
      <w:r w:rsidR="00427468">
        <w:rPr>
          <w:kern w:val="0"/>
          <w:szCs w:val="24"/>
        </w:rPr>
        <w:t xml:space="preserve"> of </w:t>
      </w:r>
      <w:r>
        <w:rPr>
          <w:kern w:val="0"/>
          <w:szCs w:val="24"/>
        </w:rPr>
        <w:t>care</w:t>
      </w:r>
      <w:r w:rsidR="00A37C1D">
        <w:rPr>
          <w:kern w:val="0"/>
          <w:szCs w:val="24"/>
        </w:rPr>
        <w:t>. The</w:t>
      </w:r>
      <w:r>
        <w:rPr>
          <w:kern w:val="0"/>
          <w:szCs w:val="24"/>
        </w:rPr>
        <w:t xml:space="preserve"> quality</w:t>
      </w:r>
      <w:r w:rsidR="00427468">
        <w:rPr>
          <w:kern w:val="0"/>
          <w:szCs w:val="24"/>
        </w:rPr>
        <w:t xml:space="preserve"> of </w:t>
      </w:r>
      <w:r>
        <w:rPr>
          <w:kern w:val="0"/>
          <w:szCs w:val="24"/>
        </w:rPr>
        <w:t>evidence varied between subgroups and outcomes, most notably the evidence for combined surgery and low-dose postoperative 5-FU was found to be very low using GRADE</w:t>
      </w:r>
      <w:r w:rsidR="00A37C1D">
        <w:rPr>
          <w:kern w:val="0"/>
          <w:szCs w:val="24"/>
        </w:rPr>
        <w:t>. The</w:t>
      </w:r>
      <w:r>
        <w:rPr>
          <w:kern w:val="0"/>
          <w:szCs w:val="24"/>
        </w:rPr>
        <w:t xml:space="preserve"> combined surgery postoperative 5-FU subgroup because no surgical failures have been reported and the sample size is small (n = 118), and the low-dose postoperative 5-FU group because</w:t>
      </w:r>
      <w:r w:rsidR="00427468">
        <w:rPr>
          <w:kern w:val="0"/>
          <w:szCs w:val="24"/>
        </w:rPr>
        <w:t xml:space="preserve"> of </w:t>
      </w:r>
      <w:r>
        <w:rPr>
          <w:kern w:val="0"/>
          <w:szCs w:val="24"/>
        </w:rPr>
        <w:t>the small sample size (n = 76) and high risk</w:t>
      </w:r>
      <w:r w:rsidR="00427468">
        <w:rPr>
          <w:kern w:val="0"/>
          <w:szCs w:val="24"/>
        </w:rPr>
        <w:t xml:space="preserve"> of </w:t>
      </w:r>
      <w:r>
        <w:rPr>
          <w:kern w:val="0"/>
          <w:szCs w:val="24"/>
        </w:rPr>
        <w:t>bias</w:t>
      </w:r>
      <w:r w:rsidR="00427468">
        <w:rPr>
          <w:kern w:val="0"/>
          <w:szCs w:val="24"/>
        </w:rPr>
        <w:t xml:space="preserve"> of </w:t>
      </w:r>
      <w:r>
        <w:rPr>
          <w:kern w:val="0"/>
          <w:szCs w:val="24"/>
        </w:rPr>
        <w:t>the only contributing study. Authors</w:t>
      </w:r>
      <w:r w:rsidR="0071223E">
        <w:rPr>
          <w:kern w:val="0"/>
          <w:szCs w:val="24"/>
        </w:rPr>
        <w:t>’</w:t>
      </w:r>
      <w:r>
        <w:rPr>
          <w:kern w:val="0"/>
          <w:szCs w:val="24"/>
        </w:rPr>
        <w:t xml:space="preserve"> conclusions Postoperative injections</w:t>
      </w:r>
      <w:r w:rsidR="00427468">
        <w:rPr>
          <w:kern w:val="0"/>
          <w:szCs w:val="24"/>
        </w:rPr>
        <w:t xml:space="preserve"> of </w:t>
      </w:r>
      <w:r>
        <w:rPr>
          <w:kern w:val="0"/>
          <w:szCs w:val="24"/>
        </w:rPr>
        <w:t>5-FU are now rarely used as part</w:t>
      </w:r>
      <w:r w:rsidR="00427468">
        <w:rPr>
          <w:kern w:val="0"/>
          <w:szCs w:val="24"/>
        </w:rPr>
        <w:t xml:space="preserve"> of </w:t>
      </w:r>
      <w:r>
        <w:rPr>
          <w:kern w:val="0"/>
          <w:szCs w:val="24"/>
        </w:rPr>
        <w:t>routine packages</w:t>
      </w:r>
      <w:r w:rsidR="00427468">
        <w:rPr>
          <w:kern w:val="0"/>
          <w:szCs w:val="24"/>
        </w:rPr>
        <w:t xml:space="preserve"> of </w:t>
      </w:r>
      <w:r>
        <w:rPr>
          <w:kern w:val="0"/>
          <w:szCs w:val="24"/>
        </w:rPr>
        <w:t>postoperative care but are increasingly used on an ad hoc basis. This presumably reflects an aspect</w:t>
      </w:r>
      <w:r w:rsidR="00427468">
        <w:rPr>
          <w:kern w:val="0"/>
          <w:szCs w:val="24"/>
        </w:rPr>
        <w:t xml:space="preserve"> of </w:t>
      </w:r>
      <w:r>
        <w:rPr>
          <w:kern w:val="0"/>
          <w:szCs w:val="24"/>
        </w:rPr>
        <w:t>the treatment that is unacceptable to both patients and doctors. None</w:t>
      </w:r>
      <w:r w:rsidR="00427468">
        <w:rPr>
          <w:kern w:val="0"/>
          <w:szCs w:val="24"/>
        </w:rPr>
        <w:t xml:space="preserve"> of </w:t>
      </w:r>
      <w:r>
        <w:rPr>
          <w:kern w:val="0"/>
          <w:szCs w:val="24"/>
        </w:rPr>
        <w:t>the trials reported on the participants</w:t>
      </w:r>
      <w:r w:rsidR="0071223E">
        <w:rPr>
          <w:kern w:val="0"/>
          <w:szCs w:val="24"/>
        </w:rPr>
        <w:t>’</w:t>
      </w:r>
      <w:r>
        <w:rPr>
          <w:kern w:val="0"/>
          <w:szCs w:val="24"/>
        </w:rPr>
        <w:t xml:space="preserve"> perspective</w:t>
      </w:r>
      <w:r w:rsidR="00427468">
        <w:rPr>
          <w:kern w:val="0"/>
          <w:szCs w:val="24"/>
        </w:rPr>
        <w:t xml:space="preserve"> of </w:t>
      </w:r>
      <w:r>
        <w:rPr>
          <w:kern w:val="0"/>
          <w:szCs w:val="24"/>
        </w:rPr>
        <w:t>care, which constitutes a serious omission for an invasive treatment such as this</w:t>
      </w:r>
      <w:r w:rsidR="00A37C1D">
        <w:rPr>
          <w:kern w:val="0"/>
          <w:szCs w:val="24"/>
        </w:rPr>
        <w:t>. The</w:t>
      </w:r>
      <w:r>
        <w:rPr>
          <w:kern w:val="0"/>
          <w:szCs w:val="24"/>
        </w:rPr>
        <w:t xml:space="preserve"> small but statistically significant reduction in surgical failures and intraocular pressure at one year in the primary trabeculectomy group and high-risk group must be weighed against the increased risk</w:t>
      </w:r>
      <w:r w:rsidR="00427468">
        <w:rPr>
          <w:kern w:val="0"/>
          <w:szCs w:val="24"/>
        </w:rPr>
        <w:t xml:space="preserve"> of </w:t>
      </w:r>
      <w:r>
        <w:rPr>
          <w:kern w:val="0"/>
          <w:szCs w:val="24"/>
        </w:rPr>
        <w:t>complications and patient preference.</w:t>
      </w:r>
    </w:p>
    <w:p w:rsidR="00C56473" w:rsidRDefault="00C56473" w:rsidP="00C56473">
      <w:pPr>
        <w:pStyle w:val="a3"/>
        <w:rPr>
          <w:kern w:val="0"/>
          <w:szCs w:val="24"/>
        </w:rPr>
      </w:pPr>
      <w:r>
        <w:rPr>
          <w:kern w:val="0"/>
          <w:szCs w:val="24"/>
        </w:rPr>
        <w:t xml:space="preserve">Keywords: *Surgery], *Trabeculectomy, 5-Fu, Age, Analysis, Antimetabolites [*Therapeutic Use], Application, Assessing, Authors, Bias, Bleb-Related Endophthalmitis, Care, Characteristics, Cicatrix [Prevention &amp; Control], Citation, Citations, Clinical Trials, Cochrane Collaboration, Collaboration, Collection, Combined Trabeculectomy, Complications, Confidence, Criteria, Data, Data Collection, Databases, Doctors, Effects, Embase, Evidence, Experts, Failure, Failures, Filtration Surgery, First, Fluorouracil Filtering Surgery, Fluorouracil [*Therapeutic Use], Follow-Up, Glaucoma [*Drug Therapy, Grade, Healing, Humans, Information, Injections, Interval, Interventions, Invasive, Language, Low-Dose, Male, Medline, Methods, Minimum, Number Needed To Treat, Ocular Hypertension, Odds Ratio, Open-Angle Glaucoma, Operation, Outcome, Outcomes, Patient Preference, Patients, Placebo, Population, Populations, Postoperative, Postoperative Care, Preference, Pressure, Prevent, Primary, Procedures, Quality, Quality Of, Randomised, Randomized Controlled-Trials, Reduction, Reference, Reference Lists, Regular, Reporting, Restrictions, Review, Risk, Sample Size, Science, Science Citation Index, </w:t>
      </w:r>
      <w:r>
        <w:rPr>
          <w:kern w:val="0"/>
          <w:szCs w:val="24"/>
        </w:rPr>
        <w:lastRenderedPageBreak/>
        <w:t>Search, Size, Small, Standard, Striate Melanokeratosis, Subconjunctival 5-Fluorouracil, Surgery, Treatment, Trial, Who, Wound, Wound Healing, Wound Healing [Drug Effects]</w:t>
      </w:r>
    </w:p>
    <w:p w:rsidR="00AF6059" w:rsidRDefault="00AF6059" w:rsidP="00AF6059">
      <w:pPr>
        <w:pStyle w:val="a3"/>
        <w:rPr>
          <w:kern w:val="0"/>
          <w:szCs w:val="24"/>
        </w:rPr>
      </w:pPr>
      <w:r>
        <w:rPr>
          <w:rFonts w:hint="eastAsia"/>
          <w:kern w:val="0"/>
        </w:rPr>
        <w:t xml:space="preserve">? </w:t>
      </w:r>
      <w:r>
        <w:rPr>
          <w:kern w:val="0"/>
        </w:rPr>
        <w:t xml:space="preserve">Junker, A.E., Als-Nielsen, B., Gluud, C. and Gluud, L.L. (2014), Dopamine agents for hepatic encephalopathy.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szCs w:val="24"/>
        </w:rPr>
        <w:t>CD003047</w:t>
      </w:r>
      <w:r>
        <w:rPr>
          <w:rFonts w:hint="eastAsia"/>
          <w:kern w:val="0"/>
          <w:szCs w:val="24"/>
        </w:rPr>
        <w:t>.</w:t>
      </w:r>
    </w:p>
    <w:p w:rsidR="00AF6059" w:rsidRDefault="00AF6059" w:rsidP="00AF6059">
      <w:pPr>
        <w:pStyle w:val="a3"/>
        <w:rPr>
          <w:kern w:val="2"/>
        </w:rPr>
      </w:pPr>
      <w:r>
        <w:t xml:space="preserve">Full Text: </w:t>
      </w:r>
      <w:hyperlink r:id="rId793" w:history="1">
        <w:r w:rsidR="007835D2" w:rsidRPr="007835D2">
          <w:rPr>
            <w:rStyle w:val="a5"/>
          </w:rPr>
          <w:t>2014\Coc Dat Sys Rev2014, CD003047.pdf</w:t>
        </w:r>
      </w:hyperlink>
    </w:p>
    <w:p w:rsidR="00AF6059" w:rsidRDefault="00AF6059" w:rsidP="00AF6059">
      <w:pPr>
        <w:pStyle w:val="a3"/>
        <w:rPr>
          <w:kern w:val="0"/>
        </w:rPr>
      </w:pPr>
      <w:r>
        <w:rPr>
          <w:kern w:val="0"/>
        </w:rPr>
        <w:t>Abstract: Background Patients with hepatic encephalopathy may present with extrapyramidal symptoms and changes in basal ganglia</w:t>
      </w:r>
      <w:r w:rsidR="00A37C1D">
        <w:rPr>
          <w:kern w:val="0"/>
        </w:rPr>
        <w:t>. The</w:t>
      </w:r>
      <w:r>
        <w:rPr>
          <w:kern w:val="0"/>
        </w:rPr>
        <w:t>se changes are similar to those seen in patients with Parkinson</w:t>
      </w:r>
      <w:r w:rsidR="0071223E">
        <w:rPr>
          <w:kern w:val="0"/>
        </w:rPr>
        <w:t>’</w:t>
      </w:r>
      <w:r>
        <w:rPr>
          <w:kern w:val="0"/>
        </w:rPr>
        <w:t>s disease. Dopamine agents (such as bromocriptine and levodopa, used for patients with Parkinson</w:t>
      </w:r>
      <w:r w:rsidR="0071223E">
        <w:rPr>
          <w:kern w:val="0"/>
        </w:rPr>
        <w:t>’</w:t>
      </w:r>
      <w:r>
        <w:rPr>
          <w:kern w:val="0"/>
        </w:rPr>
        <w:t>s disease) have therefore been assessed as a potential treatment for patients with hepatic encephalopathy. Objectives To evaluate the beneficial and harmful effects</w:t>
      </w:r>
      <w:r w:rsidR="00427468">
        <w:rPr>
          <w:kern w:val="0"/>
        </w:rPr>
        <w:t xml:space="preserve"> of </w:t>
      </w:r>
      <w:r>
        <w:rPr>
          <w:kern w:val="0"/>
        </w:rPr>
        <w:t>dopamine agents versus placebo or no intervention for patients with hepatic encephalopathy. Search methods Trials were identified through the Cochrane Hepato-Biliary Group Controlled Trials Register (January 2014), the Cochrane Central Register</w:t>
      </w:r>
      <w:r w:rsidR="00427468">
        <w:rPr>
          <w:kern w:val="0"/>
        </w:rPr>
        <w:t xml:space="preserve"> of </w:t>
      </w:r>
      <w:r>
        <w:rPr>
          <w:kern w:val="0"/>
        </w:rPr>
        <w:t>Controlled Trials (CENTRAL) (Issue 12</w:t>
      </w:r>
      <w:r w:rsidR="00427468">
        <w:rPr>
          <w:kern w:val="0"/>
        </w:rPr>
        <w:t xml:space="preserve"> of </w:t>
      </w:r>
      <w:r>
        <w:rPr>
          <w:kern w:val="0"/>
        </w:rPr>
        <w:t>12, 2013), MEDLINE (1946 to January 2014), EMBASE (1974 to January 2014), and Science Citation Index-Expanded (1900 to January 2014). Manual searches in reference lists, conference proceedings, and online trial registers were also performed. Selection criteria Randomised trials were included, irrespective</w:t>
      </w:r>
      <w:r w:rsidR="00427468">
        <w:rPr>
          <w:kern w:val="0"/>
        </w:rPr>
        <w:t xml:space="preserve"> of </w:t>
      </w:r>
      <w:r>
        <w:rPr>
          <w:kern w:val="0"/>
        </w:rPr>
        <w:t>publication status or language</w:t>
      </w:r>
      <w:r w:rsidR="00A37C1D">
        <w:rPr>
          <w:kern w:val="0"/>
        </w:rPr>
        <w:t>. The</w:t>
      </w:r>
      <w:r>
        <w:rPr>
          <w:kern w:val="0"/>
        </w:rPr>
        <w:t xml:space="preserve"> primary analyses included data from randomised trials using a parallel-group design or the first period</w:t>
      </w:r>
      <w:r w:rsidR="00427468">
        <w:rPr>
          <w:kern w:val="0"/>
        </w:rPr>
        <w:t xml:space="preserve"> of </w:t>
      </w:r>
      <w:r>
        <w:rPr>
          <w:kern w:val="0"/>
        </w:rPr>
        <w:t>cross-over trials. Paired data from cross-over trials were included in sensitivity analyses. Data collection and analysis Three review authors extracted data independently. Random-effects meta-analyses were performed as the result</w:t>
      </w:r>
      <w:r w:rsidR="00427468">
        <w:rPr>
          <w:kern w:val="0"/>
        </w:rPr>
        <w:t xml:space="preserve"> of </w:t>
      </w:r>
      <w:r>
        <w:rPr>
          <w:kern w:val="0"/>
        </w:rPr>
        <w:t>an expected clinical heterogeneity. Fixed-effect meta-analyses, meta-regression analyses, subgroup analyses, and sensitivity analyses were performed to evaluate sources</w:t>
      </w:r>
      <w:r w:rsidR="00427468">
        <w:rPr>
          <w:kern w:val="0"/>
        </w:rPr>
        <w:t xml:space="preserve"> of </w:t>
      </w:r>
      <w:r>
        <w:rPr>
          <w:kern w:val="0"/>
        </w:rPr>
        <w:t>heterogeneity and bias (systematic errors). Trial sequential analysis was used to control the risk</w:t>
      </w:r>
      <w:r w:rsidR="00427468">
        <w:rPr>
          <w:kern w:val="0"/>
        </w:rPr>
        <w:t xml:space="preserve"> of </w:t>
      </w:r>
      <w:r>
        <w:rPr>
          <w:kern w:val="0"/>
        </w:rPr>
        <w:t>play</w:t>
      </w:r>
      <w:r w:rsidR="00427468">
        <w:rPr>
          <w:kern w:val="0"/>
        </w:rPr>
        <w:t xml:space="preserve"> of </w:t>
      </w:r>
      <w:r>
        <w:rPr>
          <w:kern w:val="0"/>
        </w:rPr>
        <w:t>chance (random errors). Main results Five trials that randomly assigned 144 participants with overt hepatic encephalopathy that were published during 1979 to 1982 were included. Three trials assessed levodopa, and two trials assessed bromocriptine</w:t>
      </w:r>
      <w:r w:rsidR="00A37C1D">
        <w:rPr>
          <w:kern w:val="0"/>
        </w:rPr>
        <w:t>. The</w:t>
      </w:r>
      <w:r>
        <w:rPr>
          <w:kern w:val="0"/>
        </w:rPr>
        <w:t xml:space="preserve"> mean daily dose was 4 grams for levodopa and 15 grams for bromocriptine</w:t>
      </w:r>
      <w:r w:rsidR="00A37C1D">
        <w:rPr>
          <w:kern w:val="0"/>
        </w:rPr>
        <w:t>. The</w:t>
      </w:r>
      <w:r>
        <w:rPr>
          <w:kern w:val="0"/>
        </w:rPr>
        <w:t xml:space="preserve"> median duration</w:t>
      </w:r>
      <w:r w:rsidR="00427468">
        <w:rPr>
          <w:kern w:val="0"/>
        </w:rPr>
        <w:t xml:space="preserve"> of </w:t>
      </w:r>
      <w:r>
        <w:rPr>
          <w:kern w:val="0"/>
        </w:rPr>
        <w:t>treatment was 14 days (range seven to 56 days). None</w:t>
      </w:r>
      <w:r w:rsidR="00427468">
        <w:rPr>
          <w:kern w:val="0"/>
        </w:rPr>
        <w:t xml:space="preserve"> of </w:t>
      </w:r>
      <w:r>
        <w:rPr>
          <w:kern w:val="0"/>
        </w:rPr>
        <w:t>the trials followed participants after the end</w:t>
      </w:r>
      <w:r w:rsidR="00427468">
        <w:rPr>
          <w:kern w:val="0"/>
        </w:rPr>
        <w:t xml:space="preserve"> of </w:t>
      </w:r>
      <w:r>
        <w:rPr>
          <w:kern w:val="0"/>
        </w:rPr>
        <w:t>treatment. Only one trial reported adequate bias control; the remaining four trials were considered to have high risk</w:t>
      </w:r>
      <w:r w:rsidR="00427468">
        <w:rPr>
          <w:kern w:val="0"/>
        </w:rPr>
        <w:t xml:space="preserve"> of </w:t>
      </w:r>
      <w:r>
        <w:rPr>
          <w:kern w:val="0"/>
        </w:rPr>
        <w:t xml:space="preserve">bias. Random-effects model meta-analyses showed that dopamine agents had no beneficial or detrimental effect on hepatic encephalopathy in the primary analyses (15/80 (19%) versus 14/80 (18%); odds ratio (OR) 2.99, 95% confidence interval (CI) 0.09 to </w:t>
      </w:r>
      <w:r>
        <w:rPr>
          <w:kern w:val="0"/>
        </w:rPr>
        <w:lastRenderedPageBreak/>
        <w:t>100.55; two trials) or when paired data from cross-over trials were included (OR 1.04, 95% CI 0.75 to 1.43). Clear evidence</w:t>
      </w:r>
      <w:r w:rsidR="00427468">
        <w:rPr>
          <w:kern w:val="0"/>
        </w:rPr>
        <w:t xml:space="preserve"> of </w:t>
      </w:r>
      <w:r>
        <w:rPr>
          <w:kern w:val="0"/>
        </w:rPr>
        <w:t>intertrial heterogeneity was identified both in the primary analysis (I-2 = 65%) and when paired data from cross-over trials were included (I-2 = 40%). Dopamine agents had no beneficial or harmful effect on mortality (42/144 (29%) versus 38/144 (26%); OR 1.11, 95% CI 0.35 to 3.54; five trials). Trial sequential analyses demonstrated that we lacked information to refute or recommend the interventions for all outcomes. Dopamine agonists did not seem to increase the risk</w:t>
      </w:r>
      <w:r w:rsidR="00427468">
        <w:rPr>
          <w:kern w:val="0"/>
        </w:rPr>
        <w:t xml:space="preserve"> of </w:t>
      </w:r>
      <w:r>
        <w:rPr>
          <w:kern w:val="0"/>
        </w:rPr>
        <w:t>adverse events. Authors</w:t>
      </w:r>
      <w:r w:rsidR="0071223E">
        <w:rPr>
          <w:kern w:val="0"/>
        </w:rPr>
        <w:t>’</w:t>
      </w:r>
      <w:r>
        <w:rPr>
          <w:kern w:val="0"/>
        </w:rPr>
        <w:t xml:space="preserve"> conclusions This review found no evidence to recommend or refute the use</w:t>
      </w:r>
      <w:r w:rsidR="00427468">
        <w:rPr>
          <w:kern w:val="0"/>
        </w:rPr>
        <w:t xml:space="preserve"> of </w:t>
      </w:r>
      <w:r>
        <w:rPr>
          <w:kern w:val="0"/>
        </w:rPr>
        <w:t>dopamine agents for hepatic encephalopathy. More randomised placebo-controlled clinical trials without risks</w:t>
      </w:r>
      <w:r w:rsidR="00427468">
        <w:rPr>
          <w:kern w:val="0"/>
        </w:rPr>
        <w:t xml:space="preserve"> of </w:t>
      </w:r>
      <w:r>
        <w:rPr>
          <w:kern w:val="0"/>
        </w:rPr>
        <w:t>systematic errors and risks</w:t>
      </w:r>
      <w:r w:rsidR="00427468">
        <w:rPr>
          <w:kern w:val="0"/>
        </w:rPr>
        <w:t xml:space="preserve"> of </w:t>
      </w:r>
      <w:r>
        <w:rPr>
          <w:kern w:val="0"/>
        </w:rPr>
        <w:t>random errors seem necessary to permit firm decisions on dopamine agents for patients with hepatic encephalopathy.</w:t>
      </w:r>
    </w:p>
    <w:p w:rsidR="00AF6059" w:rsidRDefault="00AF6059" w:rsidP="00AF6059">
      <w:pPr>
        <w:pStyle w:val="a3"/>
        <w:rPr>
          <w:kern w:val="0"/>
        </w:rPr>
      </w:pPr>
      <w:r>
        <w:rPr>
          <w:kern w:val="0"/>
        </w:rPr>
        <w:t>Keywords: Analyses, Analysis, Authors, Bias, Bromocriptine, Changes, Citation, Clinical, Clinical Trials, Clinical-Trials, Collection, Conference Proceedings, Confidence, Control, Criteria, Data, Data Collection, Design, Design Characteristics, Disease, Dopamine, Dopamine Agonists [Therapeutic Use], Duration, Effects, Embase, Empirical-Evidence, Encephalopathy, Errors, Events, Evidence, First, Grade Cerebral Edema, Hepatic Encephalopathy, Hepatic Encephalopathy [Drug Therapy], Heterogeneity, Humans, Information, Information Size, Interval, Intervention, Interventions, Ishen Practice Guidelines, Language, Levodopa-Benserazide, Medline, Meta-Regression, Methods, Model, Mortality, Odds Ratio, Online, Outcomes, Parkinson</w:t>
      </w:r>
      <w:r w:rsidR="0071223E">
        <w:rPr>
          <w:kern w:val="0"/>
        </w:rPr>
        <w:t>’</w:t>
      </w:r>
      <w:r>
        <w:rPr>
          <w:kern w:val="0"/>
        </w:rPr>
        <w:t>S Disease, Patients, Placebo, Portal-Systemic Encephalopathy, Potential, Primary, Publication, Randomised, Randomized Controlled Trials As Topic, Randomized-Trials, Reference, Reference Lists, Review, Risk, Risks, Science, Science Citation Index Expanded, Science Citation Index-Expanded, Search, Sensitivity, Sources, Symptoms, Treatment, Trial, Trial Sequential-Analysis</w:t>
      </w:r>
    </w:p>
    <w:p w:rsidR="00AF6059" w:rsidRDefault="00AF6059" w:rsidP="00AF6059">
      <w:pPr>
        <w:pStyle w:val="a3"/>
        <w:rPr>
          <w:kern w:val="0"/>
          <w:szCs w:val="24"/>
        </w:rPr>
      </w:pPr>
      <w:r>
        <w:rPr>
          <w:rFonts w:hint="eastAsia"/>
          <w:kern w:val="0"/>
        </w:rPr>
        <w:t xml:space="preserve">? </w:t>
      </w:r>
      <w:r>
        <w:rPr>
          <w:kern w:val="0"/>
        </w:rPr>
        <w:t xml:space="preserve">Hauser, G., Awad, T., Brok, J., Thorlund, K., Stimac, D., Mabrouk, M., Gluud, C. and Gluud, L.L. (2014), Peginterferon plus ribavirin versus interferon plus ribavirin for chronic hepatitis C.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szCs w:val="24"/>
        </w:rPr>
        <w:t>CD005441</w:t>
      </w:r>
      <w:r>
        <w:rPr>
          <w:rFonts w:hint="eastAsia"/>
          <w:kern w:val="0"/>
          <w:szCs w:val="24"/>
        </w:rPr>
        <w:t>.</w:t>
      </w:r>
    </w:p>
    <w:p w:rsidR="00AF6059" w:rsidRDefault="00AF6059" w:rsidP="00AF6059">
      <w:pPr>
        <w:pStyle w:val="a3"/>
        <w:rPr>
          <w:kern w:val="2"/>
        </w:rPr>
      </w:pPr>
      <w:r>
        <w:t xml:space="preserve">Full Text: </w:t>
      </w:r>
      <w:hyperlink r:id="rId794" w:history="1">
        <w:r w:rsidR="007835D2" w:rsidRPr="007835D2">
          <w:rPr>
            <w:rStyle w:val="a5"/>
          </w:rPr>
          <w:t>2014\Coc Dat Sys Rev2014, CD005441.pdf</w:t>
        </w:r>
      </w:hyperlink>
    </w:p>
    <w:p w:rsidR="00AF6059" w:rsidRDefault="00AF6059" w:rsidP="00AF6059">
      <w:pPr>
        <w:pStyle w:val="a3"/>
        <w:rPr>
          <w:kern w:val="0"/>
        </w:rPr>
      </w:pPr>
      <w:r>
        <w:rPr>
          <w:kern w:val="0"/>
        </w:rPr>
        <w:t>Abstract: Background Pegylated interferon (peginterferon) plus ribavirin is the recommended treatment for patients with chronic hepatitis C, but systematic assessment</w:t>
      </w:r>
      <w:r w:rsidR="00427468">
        <w:rPr>
          <w:kern w:val="0"/>
        </w:rPr>
        <w:t xml:space="preserve"> of </w:t>
      </w:r>
      <w:r>
        <w:rPr>
          <w:kern w:val="0"/>
        </w:rPr>
        <w:t>the effect</w:t>
      </w:r>
      <w:r w:rsidR="00427468">
        <w:rPr>
          <w:kern w:val="0"/>
        </w:rPr>
        <w:t xml:space="preserve"> of </w:t>
      </w:r>
      <w:r>
        <w:rPr>
          <w:kern w:val="0"/>
        </w:rPr>
        <w:t>this treatment compared with interferon plus ribavirin is needed. Objectives To systematically evaluate the benefits and harms</w:t>
      </w:r>
      <w:r w:rsidR="00427468">
        <w:rPr>
          <w:kern w:val="0"/>
        </w:rPr>
        <w:t xml:space="preserve"> of </w:t>
      </w:r>
      <w:r>
        <w:rPr>
          <w:kern w:val="0"/>
        </w:rPr>
        <w:t>peginterferon plus ribavirin versus interferon plus ribavirin for patients with chronic hepatitis C. Search methods We searched the Cochrane Hepato-Biliary Group Controlled Trials Register, the Cochrane Central Register</w:t>
      </w:r>
      <w:r w:rsidR="00427468">
        <w:rPr>
          <w:kern w:val="0"/>
        </w:rPr>
        <w:t xml:space="preserve"> of </w:t>
      </w:r>
      <w:r>
        <w:rPr>
          <w:kern w:val="0"/>
        </w:rPr>
        <w:t xml:space="preserve">Controlled Trials </w:t>
      </w:r>
      <w:r>
        <w:rPr>
          <w:kern w:val="0"/>
        </w:rPr>
        <w:lastRenderedPageBreak/>
        <w:t>(CENTRAL), MEDLINE, EMBASE, Science Citation Index-Expanded, and LILACS. We also searched conference abstracts, journals, and grey literature</w:t>
      </w:r>
      <w:r w:rsidR="00A37C1D">
        <w:rPr>
          <w:kern w:val="0"/>
        </w:rPr>
        <w:t>. The</w:t>
      </w:r>
      <w:r>
        <w:rPr>
          <w:kern w:val="0"/>
        </w:rPr>
        <w:t xml:space="preserve"> last searches were conducted in September 2013. Selection criteria We included randomised clinical trials comparing peginterferon plus ribavirin versus interferon plus ribavirin with or without co-intervention(s) (e. g., other antiviral drugs) for chronic hepatitis C. Quasi-randomised and observational studies retrieved through the searches for randomised clinical trials were also considered for reports</w:t>
      </w:r>
      <w:r w:rsidR="00427468">
        <w:rPr>
          <w:kern w:val="0"/>
        </w:rPr>
        <w:t xml:space="preserve"> of </w:t>
      </w:r>
      <w:r>
        <w:rPr>
          <w:kern w:val="0"/>
        </w:rPr>
        <w:t>harms. Our primary outcomes were liver-related morbidity, all-cause mortality, serious adverse events, adverse events leading to treatment discontinuation, other adverse events, and quality</w:t>
      </w:r>
      <w:r w:rsidR="00427468">
        <w:rPr>
          <w:kern w:val="0"/>
        </w:rPr>
        <w:t xml:space="preserve"> of </w:t>
      </w:r>
      <w:r>
        <w:rPr>
          <w:kern w:val="0"/>
        </w:rPr>
        <w:t>life. Our secondary outcome was sustained virological response in serum, that is, undetectable hepatitis C virus RNA in serum by sensitive tests six months after the end</w:t>
      </w:r>
      <w:r w:rsidR="00427468">
        <w:rPr>
          <w:kern w:val="0"/>
        </w:rPr>
        <w:t xml:space="preserve"> of </w:t>
      </w:r>
      <w:r>
        <w:rPr>
          <w:kern w:val="0"/>
        </w:rPr>
        <w:t>treatment. Data collection and analysis Two review authors independently used a standardised data collection form. We meta-analysed data with both fixed-effect and random-effects models. For each outcome, we calculated the odds ratio (OR) (for liver-related morbidity or all-cause mortality) or the risk ratio (RR) along with 95% confidence interval (CI) based on intention-to-treat analysis. We used domains</w:t>
      </w:r>
      <w:r w:rsidR="00427468">
        <w:rPr>
          <w:kern w:val="0"/>
        </w:rPr>
        <w:t xml:space="preserve"> of </w:t>
      </w:r>
      <w:r>
        <w:rPr>
          <w:kern w:val="0"/>
        </w:rPr>
        <w:t>the trials to assess the risk</w:t>
      </w:r>
      <w:r w:rsidR="00427468">
        <w:rPr>
          <w:kern w:val="0"/>
        </w:rPr>
        <w:t xml:space="preserve"> of </w:t>
      </w:r>
      <w:r>
        <w:rPr>
          <w:kern w:val="0"/>
        </w:rPr>
        <w:t>systematic errors (bias) and trial sequential analyses to assess the risk</w:t>
      </w:r>
      <w:r w:rsidR="00427468">
        <w:rPr>
          <w:kern w:val="0"/>
        </w:rPr>
        <w:t xml:space="preserve"> of </w:t>
      </w:r>
      <w:r>
        <w:rPr>
          <w:kern w:val="0"/>
        </w:rPr>
        <w:t>random errors (play</w:t>
      </w:r>
      <w:r w:rsidR="00427468">
        <w:rPr>
          <w:kern w:val="0"/>
        </w:rPr>
        <w:t xml:space="preserve"> of </w:t>
      </w:r>
      <w:r>
        <w:rPr>
          <w:kern w:val="0"/>
        </w:rPr>
        <w:t>chance). For each outcome, we calculated the RR with 95% CI based on intention-to-treat analysis. Effects</w:t>
      </w:r>
      <w:r w:rsidR="00427468">
        <w:rPr>
          <w:kern w:val="0"/>
        </w:rPr>
        <w:t xml:space="preserve"> of </w:t>
      </w:r>
      <w:r>
        <w:rPr>
          <w:kern w:val="0"/>
        </w:rPr>
        <w:t>interventions on outcomes were assessed according to GRADE. Main results We included 27 randomised trials with 5938 participants. All trials had high risk</w:t>
      </w:r>
      <w:r w:rsidR="00427468">
        <w:rPr>
          <w:kern w:val="0"/>
        </w:rPr>
        <w:t xml:space="preserve"> of </w:t>
      </w:r>
      <w:r>
        <w:rPr>
          <w:kern w:val="0"/>
        </w:rPr>
        <w:t>bias. We considered that the risk</w:t>
      </w:r>
      <w:r w:rsidR="00427468">
        <w:rPr>
          <w:kern w:val="0"/>
        </w:rPr>
        <w:t xml:space="preserve"> of </w:t>
      </w:r>
      <w:r>
        <w:rPr>
          <w:kern w:val="0"/>
        </w:rPr>
        <w:t>bias did not impact on the quality</w:t>
      </w:r>
      <w:r w:rsidR="00427468">
        <w:rPr>
          <w:kern w:val="0"/>
        </w:rPr>
        <w:t xml:space="preserve"> of </w:t>
      </w:r>
      <w:r>
        <w:rPr>
          <w:kern w:val="0"/>
        </w:rPr>
        <w:t>evidence for liver-related mortality and adverse event outcomes, but it did for virological response. All trials compared peginterferon alpha-2a or peginterferon alpha-2b plus ribavirin versus interferon plus ribavirin for participants with chronic hepatitis C. Three trials administered co-interventions (amantadine hydrochloride 200 mg daily to both intervention groups), and 24 trials were conducted without co-interventions</w:t>
      </w:r>
      <w:r w:rsidR="00A37C1D">
        <w:rPr>
          <w:kern w:val="0"/>
        </w:rPr>
        <w:t>. The</w:t>
      </w:r>
      <w:r>
        <w:rPr>
          <w:kern w:val="0"/>
        </w:rPr>
        <w:t xml:space="preserve"> effect observed between the two intervention groups regarding liver-related morbidity plus all-cause mortality (5/907 (0.55%) versus 4/882 (0.45%) was imprecise: OR 1.14 (95% CI 0.38 to 3.42; five trials; low quality</w:t>
      </w:r>
      <w:r w:rsidR="00427468">
        <w:rPr>
          <w:kern w:val="0"/>
        </w:rPr>
        <w:t xml:space="preserve"> of </w:t>
      </w:r>
      <w:r>
        <w:rPr>
          <w:kern w:val="0"/>
        </w:rPr>
        <w:t>evidence), as was the risk</w:t>
      </w:r>
      <w:r w:rsidR="00427468">
        <w:rPr>
          <w:kern w:val="0"/>
        </w:rPr>
        <w:t xml:space="preserve"> of </w:t>
      </w:r>
      <w:r>
        <w:rPr>
          <w:kern w:val="0"/>
        </w:rPr>
        <w:t>adverse events leading to treatment discontinuation (332/2692 (12.3%) versus 409/2176 (18.8%); RR 0.86, 95% CI 0.68 to 1.09; 15 trials; low quality</w:t>
      </w:r>
      <w:r w:rsidR="00427468">
        <w:rPr>
          <w:kern w:val="0"/>
        </w:rPr>
        <w:t xml:space="preserve"> of </w:t>
      </w:r>
      <w:r>
        <w:rPr>
          <w:kern w:val="0"/>
        </w:rPr>
        <w:t>evidence) or regarding adverse events leading to treatment discontinuation (332/2692 (12.3%) versus 409/2176 (18.8%); RR 0.86, 95% CI 0.66 to 1.12; 17 trials; low quality</w:t>
      </w:r>
      <w:r w:rsidR="00427468">
        <w:rPr>
          <w:kern w:val="0"/>
        </w:rPr>
        <w:t xml:space="preserve"> of </w:t>
      </w:r>
      <w:r>
        <w:rPr>
          <w:kern w:val="0"/>
        </w:rPr>
        <w:t>evidence). However, peginterferon plus ribavirin versus interferon plus ribavirin significantly increased the risk</w:t>
      </w:r>
      <w:r w:rsidR="00427468">
        <w:rPr>
          <w:kern w:val="0"/>
        </w:rPr>
        <w:t xml:space="preserve"> of </w:t>
      </w:r>
      <w:r>
        <w:rPr>
          <w:kern w:val="0"/>
        </w:rPr>
        <w:t xml:space="preserve">neutropenia (332/2202 (15.1%) versus 117/1653 (7.1%); RR 2.15, 95% CI 1.76 to 2.61; 13 trials), thrombocytopenia (65/1113 (5.8%) versus 23/1082 (2.1%); RR 2.63, 95% CI 1.68 to 4.11; 10 trials), arthralgia (517/1740 (29.7%) versus 282/1194 </w:t>
      </w:r>
      <w:r>
        <w:rPr>
          <w:kern w:val="0"/>
        </w:rPr>
        <w:lastRenderedPageBreak/>
        <w:t>(23.6%); RR 1.19, 95% CI 1.05 to 1.35; four trials), injection site reaction (627/1168 (53.7%) versus 186/649 (28.7%); RR 1.71, 95% CI 1.50 to 1.93; four trials), and nausea (606/1784 (34.0%) versus 354/1239 (28.6%); RR 1.13, 95% CI 1.01 to 1.26; four trials)</w:t>
      </w:r>
      <w:r w:rsidR="00A37C1D">
        <w:rPr>
          <w:kern w:val="0"/>
        </w:rPr>
        <w:t>. The</w:t>
      </w:r>
      <w:r>
        <w:rPr>
          <w:kern w:val="0"/>
        </w:rPr>
        <w:t xml:space="preserve"> most frequent adverse event was fatigue, which occurred in 57%</w:t>
      </w:r>
      <w:r w:rsidR="00427468">
        <w:rPr>
          <w:kern w:val="0"/>
        </w:rPr>
        <w:t xml:space="preserve"> of </w:t>
      </w:r>
      <w:r>
        <w:rPr>
          <w:kern w:val="0"/>
        </w:rPr>
        <w:t>participants (2024/3608). No significant difference was noted between peginterferon plus ribavirin versus interferon plus ribavirin in terms</w:t>
      </w:r>
      <w:r w:rsidR="00427468">
        <w:rPr>
          <w:kern w:val="0"/>
        </w:rPr>
        <w:t xml:space="preserve"> of </w:t>
      </w:r>
      <w:r>
        <w:rPr>
          <w:kern w:val="0"/>
        </w:rPr>
        <w:t>fatigue (1177/2062 (57.1%) versus 847/1546 (54.8%); RR 1.01, 95% CI 0.96 to 1.07; 12 trials). No significant differences were reported between the two treatment groups regarding anaemia, headache, rigours, myalgia, pyrexia, weight loss, asthenia, depression, insomnia, irritability, alopecia, pruritus, skin rash, thyroid malfunction, decreased appetite, or diarrhoea. We were unable to identify any data on quality</w:t>
      </w:r>
      <w:r w:rsidR="00427468">
        <w:rPr>
          <w:kern w:val="0"/>
        </w:rPr>
        <w:t xml:space="preserve"> of </w:t>
      </w:r>
      <w:r>
        <w:rPr>
          <w:kern w:val="0"/>
        </w:rPr>
        <w:t>life. Peginterferon plus ribavirin versus interferon plus ribavirin seemed to significantly increase the number</w:t>
      </w:r>
      <w:r w:rsidR="00427468">
        <w:rPr>
          <w:kern w:val="0"/>
        </w:rPr>
        <w:t xml:space="preserve"> of </w:t>
      </w:r>
      <w:r>
        <w:rPr>
          <w:kern w:val="0"/>
        </w:rPr>
        <w:t>participants achieving sustained virological response (1673/3300 participants (50.7%) versus 1081/2804 patients (36.7%); RR 1.39, 95% CI 1.25 to 1.56; I-2 = 64%; 27 trials; very low quality</w:t>
      </w:r>
      <w:r w:rsidR="00427468">
        <w:rPr>
          <w:kern w:val="0"/>
        </w:rPr>
        <w:t xml:space="preserve"> of </w:t>
      </w:r>
      <w:r>
        <w:rPr>
          <w:kern w:val="0"/>
        </w:rPr>
        <w:t>evidence). However, the risk</w:t>
      </w:r>
      <w:r w:rsidR="00427468">
        <w:rPr>
          <w:kern w:val="0"/>
        </w:rPr>
        <w:t xml:space="preserve"> of </w:t>
      </w:r>
      <w:r>
        <w:rPr>
          <w:kern w:val="0"/>
        </w:rPr>
        <w:t xml:space="preserve">bias in the 13/27 (48.1%) trials reporting on this outcome was high and was considered only </w:t>
      </w:r>
      <w:r w:rsidR="0071223E">
        <w:rPr>
          <w:kern w:val="0"/>
        </w:rPr>
        <w:t>‘</w:t>
      </w:r>
      <w:r>
        <w:rPr>
          <w:kern w:val="0"/>
        </w:rPr>
        <w:t>lower</w:t>
      </w:r>
      <w:r w:rsidR="0071223E">
        <w:rPr>
          <w:kern w:val="0"/>
        </w:rPr>
        <w:t>’</w:t>
      </w:r>
      <w:r>
        <w:rPr>
          <w:kern w:val="0"/>
        </w:rPr>
        <w:t xml:space="preserve"> in the remainder. Because the conventional meta-analysis did not reach its required information size (n = 14,486 participants), we used trial sequential analysis to control for risks</w:t>
      </w:r>
      <w:r w:rsidR="00427468">
        <w:rPr>
          <w:kern w:val="0"/>
        </w:rPr>
        <w:t xml:space="preserve"> of </w:t>
      </w:r>
      <w:r>
        <w:rPr>
          <w:kern w:val="0"/>
        </w:rPr>
        <w:t>random errors. Again, in this analysis, the estimated effect was statistically significant in favour</w:t>
      </w:r>
      <w:r w:rsidR="00427468">
        <w:rPr>
          <w:kern w:val="0"/>
        </w:rPr>
        <w:t xml:space="preserve"> of </w:t>
      </w:r>
      <w:r>
        <w:rPr>
          <w:kern w:val="0"/>
        </w:rPr>
        <w:t>peginterferon. Subgroup analyses according to risk</w:t>
      </w:r>
      <w:r w:rsidR="00427468">
        <w:rPr>
          <w:kern w:val="0"/>
        </w:rPr>
        <w:t xml:space="preserve"> of </w:t>
      </w:r>
      <w:r>
        <w:rPr>
          <w:kern w:val="0"/>
        </w:rPr>
        <w:t>bias, viral genotype, baseline viral load, past treatment history, and type</w:t>
      </w:r>
      <w:r w:rsidR="00427468">
        <w:rPr>
          <w:kern w:val="0"/>
        </w:rPr>
        <w:t xml:space="preserve"> of </w:t>
      </w:r>
      <w:r>
        <w:rPr>
          <w:kern w:val="0"/>
        </w:rPr>
        <w:t>intervention yielded similarly significant results favouring peginterferon over interferon on the outcome</w:t>
      </w:r>
      <w:r w:rsidR="00427468">
        <w:rPr>
          <w:kern w:val="0"/>
        </w:rPr>
        <w:t xml:space="preserve"> of </w:t>
      </w:r>
      <w:r>
        <w:rPr>
          <w:kern w:val="0"/>
        </w:rPr>
        <w:t>sustained virological response. Authors</w:t>
      </w:r>
      <w:r w:rsidR="0071223E">
        <w:rPr>
          <w:kern w:val="0"/>
        </w:rPr>
        <w:t>’</w:t>
      </w:r>
      <w:r>
        <w:rPr>
          <w:kern w:val="0"/>
        </w:rPr>
        <w:t xml:space="preserve"> conclusions Peginterferon plus ribavirin versus interferon plus ribavirin seems to significantly increase the proportion</w:t>
      </w:r>
      <w:r w:rsidR="00427468">
        <w:rPr>
          <w:kern w:val="0"/>
        </w:rPr>
        <w:t xml:space="preserve"> of </w:t>
      </w:r>
      <w:r>
        <w:rPr>
          <w:kern w:val="0"/>
        </w:rPr>
        <w:t>patients with sustained virological response, as well as the risk</w:t>
      </w:r>
      <w:r w:rsidR="00427468">
        <w:rPr>
          <w:kern w:val="0"/>
        </w:rPr>
        <w:t xml:space="preserve"> of </w:t>
      </w:r>
      <w:r>
        <w:rPr>
          <w:kern w:val="0"/>
        </w:rPr>
        <w:t>certain adverse events. However, we have insufficient evidence to recommend or reject peginterferon plus ribavirin for liver-related morbidity plus all-cause mortality compared with interferon plus ribavirin</w:t>
      </w:r>
      <w:r w:rsidR="00A37C1D">
        <w:rPr>
          <w:kern w:val="0"/>
        </w:rPr>
        <w:t>. The</w:t>
      </w:r>
      <w:r>
        <w:rPr>
          <w:kern w:val="0"/>
        </w:rPr>
        <w:t xml:space="preserve"> clinical consequences</w:t>
      </w:r>
      <w:r w:rsidR="00427468">
        <w:rPr>
          <w:kern w:val="0"/>
        </w:rPr>
        <w:t xml:space="preserve"> of </w:t>
      </w:r>
      <w:r>
        <w:rPr>
          <w:kern w:val="0"/>
        </w:rPr>
        <w:t>achieved sustained virological response are unknown, as sustained virological response is still an unvalidated surrogate outcome. We found no evidence</w:t>
      </w:r>
      <w:r w:rsidR="00427468">
        <w:rPr>
          <w:kern w:val="0"/>
        </w:rPr>
        <w:t xml:space="preserve"> of </w:t>
      </w:r>
      <w:r>
        <w:rPr>
          <w:kern w:val="0"/>
        </w:rPr>
        <w:t>the potential benefits on quality</w:t>
      </w:r>
      <w:r w:rsidR="00427468">
        <w:rPr>
          <w:kern w:val="0"/>
        </w:rPr>
        <w:t xml:space="preserve"> of </w:t>
      </w:r>
      <w:r>
        <w:rPr>
          <w:kern w:val="0"/>
        </w:rPr>
        <w:t>life in patients with achieved sustained virological response. Further high-quality research is likely to have an important impact on our confidence in the estimate</w:t>
      </w:r>
      <w:r w:rsidR="00427468">
        <w:rPr>
          <w:kern w:val="0"/>
        </w:rPr>
        <w:t xml:space="preserve"> of </w:t>
      </w:r>
      <w:r>
        <w:rPr>
          <w:kern w:val="0"/>
        </w:rPr>
        <w:t>patient-relevant outcomes and is likely to change our estimates</w:t>
      </w:r>
      <w:r w:rsidR="00A37C1D">
        <w:rPr>
          <w:kern w:val="0"/>
        </w:rPr>
        <w:t>. The</w:t>
      </w:r>
      <w:r>
        <w:rPr>
          <w:kern w:val="0"/>
        </w:rPr>
        <w:t>re is very low quality evidence that peginterferon plus ribavirin increases the proportion</w:t>
      </w:r>
      <w:r w:rsidR="00427468">
        <w:rPr>
          <w:kern w:val="0"/>
        </w:rPr>
        <w:t xml:space="preserve"> of </w:t>
      </w:r>
      <w:r>
        <w:rPr>
          <w:kern w:val="0"/>
        </w:rPr>
        <w:t>patients with sustained virological response in comparison with interferon plus ribavirin</w:t>
      </w:r>
      <w:r w:rsidR="00A37C1D">
        <w:rPr>
          <w:kern w:val="0"/>
        </w:rPr>
        <w:t>. The</w:t>
      </w:r>
      <w:r>
        <w:rPr>
          <w:kern w:val="0"/>
        </w:rPr>
        <w:t>re is evidence that it also increases the risk</w:t>
      </w:r>
      <w:r w:rsidR="00427468">
        <w:rPr>
          <w:kern w:val="0"/>
        </w:rPr>
        <w:t xml:space="preserve"> of </w:t>
      </w:r>
      <w:r>
        <w:rPr>
          <w:kern w:val="0"/>
        </w:rPr>
        <w:t>certain adverse events.</w:t>
      </w:r>
    </w:p>
    <w:p w:rsidR="00AF6059" w:rsidRDefault="00AF6059" w:rsidP="00AF6059">
      <w:pPr>
        <w:pStyle w:val="a3"/>
        <w:rPr>
          <w:kern w:val="0"/>
        </w:rPr>
      </w:pPr>
      <w:r>
        <w:rPr>
          <w:kern w:val="0"/>
        </w:rPr>
        <w:t xml:space="preserve">Keywords: Alopecia, Anaemia, Analyses, Analysis, Antiviral, Assessment, Authors, Benefits, Bias, Chronic, Chronic Hepatitis, Citation, Clinical, Clinical Trials, </w:t>
      </w:r>
      <w:r>
        <w:rPr>
          <w:kern w:val="0"/>
        </w:rPr>
        <w:lastRenderedPageBreak/>
        <w:t>Collection, Combination Therapy, Comparison, Confidence, Control, Conventional, Cost-Effectiveness, Criteria, Data, Data Collection, Depression, Diarrhoea, Drugs, Embase, Errors, Estimates, Events, Evidence, Fatigue, Grade, Groups, Hepatitis, Hepatitis C, Hepatitis C Virus, High Viral Load, History, Hiv-Infected Patients, Ifn, Rbv Nonresponder Patients, Impact, Information, Insomnia, Interferon, Interval, Intervention, Interventions, Journals, Life, Literature, Load, Medline, Meta Analysis, Meta-Analysis, Metaanalysis, Methods, Models, Morbidity, Mortality, Nausea, Neutropenia, Observational, Observational Studies, Odds Ratio, Outcome, Outcomes, Patients, Pegylated-Interferon, Potential, Primary, Pruritus, Quality, Quality Of, Quality</w:t>
      </w:r>
      <w:r w:rsidR="00427468">
        <w:rPr>
          <w:kern w:val="0"/>
        </w:rPr>
        <w:t xml:space="preserve"> of </w:t>
      </w:r>
      <w:r>
        <w:rPr>
          <w:kern w:val="0"/>
        </w:rPr>
        <w:t>Life, Quality-Of-Life, Randomised, Randomized Controlled-Trial, Reporting, Research, Response, Review, Ribavirin, Risk, Risks, Rna, Science, Science Citation Index Expanded, Science Citation Index-Expanded, Search, Serum, Site, Size, Skin, Surrogate, Sustained Virological Response, Thrombocytopenia, Treatment, Treatment-Naive Patients, Trial, Viral, Viral Load, Weight Loss</w:t>
      </w:r>
    </w:p>
    <w:p w:rsidR="00AF6059" w:rsidRDefault="00AF6059" w:rsidP="00AF6059">
      <w:pPr>
        <w:pStyle w:val="a3"/>
        <w:rPr>
          <w:kern w:val="0"/>
          <w:szCs w:val="24"/>
        </w:rPr>
      </w:pPr>
      <w:r>
        <w:rPr>
          <w:rFonts w:hint="eastAsia"/>
          <w:kern w:val="0"/>
        </w:rPr>
        <w:t xml:space="preserve">? </w:t>
      </w:r>
      <w:r>
        <w:rPr>
          <w:kern w:val="0"/>
        </w:rPr>
        <w:t xml:space="preserve">Hauser, G., Awad, T., Thorlund, K., Stimac, D., Mabrouk, M. and Gluud, C. (2014), Peginterferon alpha-2a versus peginterferon alpha-2b for chronic hepatitis C.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szCs w:val="24"/>
        </w:rPr>
        <w:t>CD005642</w:t>
      </w:r>
      <w:r>
        <w:rPr>
          <w:rFonts w:hint="eastAsia"/>
          <w:kern w:val="0"/>
          <w:szCs w:val="24"/>
        </w:rPr>
        <w:t>.</w:t>
      </w:r>
    </w:p>
    <w:p w:rsidR="00AF6059" w:rsidRDefault="00AF6059" w:rsidP="00AF6059">
      <w:pPr>
        <w:pStyle w:val="a3"/>
        <w:rPr>
          <w:kern w:val="2"/>
        </w:rPr>
      </w:pPr>
      <w:r>
        <w:t xml:space="preserve">Full Text: </w:t>
      </w:r>
      <w:hyperlink r:id="rId795" w:history="1">
        <w:r w:rsidR="007835D2" w:rsidRPr="007835D2">
          <w:rPr>
            <w:rStyle w:val="a5"/>
          </w:rPr>
          <w:t>2014\Coc Dat Sys Rev2014, CD005642.pdf</w:t>
        </w:r>
      </w:hyperlink>
    </w:p>
    <w:p w:rsidR="00AF6059" w:rsidRDefault="00AF6059" w:rsidP="00AF6059">
      <w:pPr>
        <w:pStyle w:val="a3"/>
        <w:rPr>
          <w:kern w:val="0"/>
        </w:rPr>
      </w:pPr>
      <w:r>
        <w:rPr>
          <w:kern w:val="0"/>
        </w:rPr>
        <w:t>Abstract: Background A combination</w:t>
      </w:r>
      <w:r w:rsidR="00427468">
        <w:rPr>
          <w:kern w:val="0"/>
        </w:rPr>
        <w:t xml:space="preserve"> of </w:t>
      </w:r>
      <w:r>
        <w:rPr>
          <w:kern w:val="0"/>
        </w:rPr>
        <w:t>weekly pegylated interferon (peginterferon) alpha and daily ribavirin still represents standard treatment</w:t>
      </w:r>
      <w:r w:rsidR="00427468">
        <w:rPr>
          <w:kern w:val="0"/>
        </w:rPr>
        <w:t xml:space="preserve"> of </w:t>
      </w:r>
      <w:r>
        <w:rPr>
          <w:kern w:val="0"/>
        </w:rPr>
        <w:t>chronic hepatitis C infection in the majority</w:t>
      </w:r>
      <w:r w:rsidR="00427468">
        <w:rPr>
          <w:kern w:val="0"/>
        </w:rPr>
        <w:t xml:space="preserve"> of </w:t>
      </w:r>
      <w:r>
        <w:rPr>
          <w:kern w:val="0"/>
        </w:rPr>
        <w:t>patients. However, it is not established which</w:t>
      </w:r>
      <w:r w:rsidR="00427468">
        <w:rPr>
          <w:kern w:val="0"/>
        </w:rPr>
        <w:t xml:space="preserve"> of </w:t>
      </w:r>
      <w:r>
        <w:rPr>
          <w:kern w:val="0"/>
        </w:rPr>
        <w:t>the two licensed peginterferon products, peginterferon alpha-2a or peginterferon alpha-2b, is the most effective and has a better safety profile. Objectives To systematically evaluate the benefits and harms</w:t>
      </w:r>
      <w:r w:rsidR="00427468">
        <w:rPr>
          <w:kern w:val="0"/>
        </w:rPr>
        <w:t xml:space="preserve"> of </w:t>
      </w:r>
      <w:r>
        <w:rPr>
          <w:kern w:val="0"/>
        </w:rPr>
        <w:t>peginterferon alpha-2a versus peginterferon alpha-2b in head-to-head randomised clinical trials in patients with chronic hepatitis C. Search methods We searched the Cochrane Hepato-Biliary Group Controlled Trials Register, the Cochrane Central Register</w:t>
      </w:r>
      <w:r w:rsidR="00427468">
        <w:rPr>
          <w:kern w:val="0"/>
        </w:rPr>
        <w:t xml:space="preserve"> of </w:t>
      </w:r>
      <w:r>
        <w:rPr>
          <w:kern w:val="0"/>
        </w:rPr>
        <w:t>Controlled Trials (CENTRAL) in The Cochrane Library, MEDLINE, EMBASE, Science Citation Index Expanded, and LILACS until October 2013. We also searched conference abstracts, journals, and grey literature. Selection criteria We included randomised clinical trials comparing peginterferon alpha-2a versus peginterferon alpha-2b given with or without co-intervention(s) (for example, ribavirin) for chronic hepatitis C. Quasi-randomised studies and observational studies as identified by the searches were also considered for assessment</w:t>
      </w:r>
      <w:r w:rsidR="00427468">
        <w:rPr>
          <w:kern w:val="0"/>
        </w:rPr>
        <w:t xml:space="preserve"> of </w:t>
      </w:r>
      <w:r>
        <w:rPr>
          <w:kern w:val="0"/>
        </w:rPr>
        <w:t>harms. Our primary outcomes were all-cause mortality, liver-related morbidity, serious adverse events, adverse events leading to treatment discontinuation, other adverse events, and quality</w:t>
      </w:r>
      <w:r w:rsidR="00427468">
        <w:rPr>
          <w:kern w:val="0"/>
        </w:rPr>
        <w:t xml:space="preserve"> of </w:t>
      </w:r>
      <w:r>
        <w:rPr>
          <w:kern w:val="0"/>
        </w:rPr>
        <w:t>life</w:t>
      </w:r>
      <w:r w:rsidR="00A37C1D">
        <w:rPr>
          <w:kern w:val="0"/>
        </w:rPr>
        <w:t>. The</w:t>
      </w:r>
      <w:r>
        <w:rPr>
          <w:kern w:val="0"/>
        </w:rPr>
        <w:t xml:space="preserve"> secondary outcome was sustained virological response in the blood serum. Data collection and analysis Two authors independently used a standardised data collection form. We meta-analysed data with both the fixed-effect and the random-effects models. For </w:t>
      </w:r>
      <w:r>
        <w:rPr>
          <w:kern w:val="0"/>
        </w:rPr>
        <w:lastRenderedPageBreak/>
        <w:t>each outcome we calculated the relative risk (RR) with 95% confidence interval (CI) based on intention-to-treat analysis. We used domains</w:t>
      </w:r>
      <w:r w:rsidR="00427468">
        <w:rPr>
          <w:kern w:val="0"/>
        </w:rPr>
        <w:t xml:space="preserve"> of </w:t>
      </w:r>
      <w:r>
        <w:rPr>
          <w:kern w:val="0"/>
        </w:rPr>
        <w:t>the trials to assess the risk</w:t>
      </w:r>
      <w:r w:rsidR="00427468">
        <w:rPr>
          <w:kern w:val="0"/>
        </w:rPr>
        <w:t xml:space="preserve"> of </w:t>
      </w:r>
      <w:r>
        <w:rPr>
          <w:kern w:val="0"/>
        </w:rPr>
        <w:t>systematic errors (bias) and trial sequential analyses to assess the risks</w:t>
      </w:r>
      <w:r w:rsidR="00427468">
        <w:rPr>
          <w:kern w:val="0"/>
        </w:rPr>
        <w:t xml:space="preserve"> of </w:t>
      </w:r>
      <w:r>
        <w:rPr>
          <w:kern w:val="0"/>
        </w:rPr>
        <w:t>random errors (play</w:t>
      </w:r>
      <w:r w:rsidR="00427468">
        <w:rPr>
          <w:kern w:val="0"/>
        </w:rPr>
        <w:t xml:space="preserve"> of </w:t>
      </w:r>
      <w:r>
        <w:rPr>
          <w:kern w:val="0"/>
        </w:rPr>
        <w:t>chance). Intervention effects on the outcomes were assessed according to GRADE. Main results We included 17 randomised clinical trials which compared peginterferon alpha-2a plus ribavirin versus peginterferon alpha-2b plus ribavirin in 5847 patients. All trials had a high risk</w:t>
      </w:r>
      <w:r w:rsidR="00427468">
        <w:rPr>
          <w:kern w:val="0"/>
        </w:rPr>
        <w:t xml:space="preserve"> of </w:t>
      </w:r>
      <w:r>
        <w:rPr>
          <w:kern w:val="0"/>
        </w:rPr>
        <w:t>bias. Very few trials reported data on very few patients for the patient-relevant outcomes all-cause mortality, liver-related morbidity, serious adverse events, and quality</w:t>
      </w:r>
      <w:r w:rsidR="00427468">
        <w:rPr>
          <w:kern w:val="0"/>
        </w:rPr>
        <w:t xml:space="preserve"> of </w:t>
      </w:r>
      <w:r>
        <w:rPr>
          <w:kern w:val="0"/>
        </w:rPr>
        <w:t>life. Accordingly, we were unable to conduct meta-analyses on all-cause mortality, liver-related morbidity, and quality</w:t>
      </w:r>
      <w:r w:rsidR="00427468">
        <w:rPr>
          <w:kern w:val="0"/>
        </w:rPr>
        <w:t xml:space="preserve"> of </w:t>
      </w:r>
      <w:r>
        <w:rPr>
          <w:kern w:val="0"/>
        </w:rPr>
        <w:t>life. Twelve trials reported on adverse events leading to discontinuation</w:t>
      </w:r>
      <w:r w:rsidR="00427468">
        <w:rPr>
          <w:kern w:val="0"/>
        </w:rPr>
        <w:t xml:space="preserve"> of </w:t>
      </w:r>
      <w:r>
        <w:rPr>
          <w:kern w:val="0"/>
        </w:rPr>
        <w:t>treatment without clear evidence</w:t>
      </w:r>
      <w:r w:rsidR="00427468">
        <w:rPr>
          <w:kern w:val="0"/>
        </w:rPr>
        <w:t xml:space="preserve"> of </w:t>
      </w:r>
      <w:r>
        <w:rPr>
          <w:kern w:val="0"/>
        </w:rPr>
        <w:t>a difference between the two peginterferons (197/2171 (9.1%) versus 311/3169 (9.9%); RR 0.84, 95% CI 0.57 to 1.22; I-2 = 44%; low quality evidence). A trial sequential analysis showed that we could exclude a relative risk reduction</w:t>
      </w:r>
      <w:r w:rsidR="00427468">
        <w:rPr>
          <w:kern w:val="0"/>
        </w:rPr>
        <w:t xml:space="preserve"> of </w:t>
      </w:r>
      <w:r>
        <w:rPr>
          <w:kern w:val="0"/>
        </w:rPr>
        <w:t>20% or more on this outcome. Peginterferon alpha-2a significantly increased the number</w:t>
      </w:r>
      <w:r w:rsidR="00427468">
        <w:rPr>
          <w:kern w:val="0"/>
        </w:rPr>
        <w:t xml:space="preserve"> of </w:t>
      </w:r>
      <w:r>
        <w:rPr>
          <w:kern w:val="0"/>
        </w:rPr>
        <w:t>patients who achieved a sustained virological response in the blood serum compared with peginterferon alpha-2b (1069/2099 (51%) versus 1327/3075 (43%); RR 1.12, 95% CI 1.06 to 1.18; I-2 = 0%, 12 trials; moderate quality evidence). Trial sequential analyses supported this result. Subgroup analyses based on risk</w:t>
      </w:r>
      <w:r w:rsidR="00427468">
        <w:rPr>
          <w:kern w:val="0"/>
        </w:rPr>
        <w:t xml:space="preserve"> of </w:t>
      </w:r>
      <w:r>
        <w:rPr>
          <w:kern w:val="0"/>
        </w:rPr>
        <w:t>bias, viral genotype, and treatment history yielded similar results. Trial sequential analyses supported the results in patients with genotypes 1 and 4, but not in patients with genotypes 2 and 3. Authors</w:t>
      </w:r>
      <w:r w:rsidR="0071223E">
        <w:rPr>
          <w:kern w:val="0"/>
        </w:rPr>
        <w:t>’</w:t>
      </w:r>
      <w:r>
        <w:rPr>
          <w:kern w:val="0"/>
        </w:rPr>
        <w:t xml:space="preserve"> conclusions There is lack</w:t>
      </w:r>
      <w:r w:rsidR="00427468">
        <w:rPr>
          <w:kern w:val="0"/>
        </w:rPr>
        <w:t xml:space="preserve"> of </w:t>
      </w:r>
      <w:r>
        <w:rPr>
          <w:kern w:val="0"/>
        </w:rPr>
        <w:t>evidence on patient-important outcomes and paucity</w:t>
      </w:r>
      <w:r w:rsidR="00427468">
        <w:rPr>
          <w:kern w:val="0"/>
        </w:rPr>
        <w:t xml:space="preserve"> of </w:t>
      </w:r>
      <w:r>
        <w:rPr>
          <w:kern w:val="0"/>
        </w:rPr>
        <w:t>evidence on adverse events. Moderate quality evidence suggests that peginterferon alpha-2a is associated with a higher sustained virological response in serum than with peginterferon alpha-2b. This finding may be affected by the high risk</w:t>
      </w:r>
      <w:r w:rsidR="00427468">
        <w:rPr>
          <w:kern w:val="0"/>
        </w:rPr>
        <w:t xml:space="preserve"> of </w:t>
      </w:r>
      <w:r>
        <w:rPr>
          <w:kern w:val="0"/>
        </w:rPr>
        <w:t>bias</w:t>
      </w:r>
      <w:r w:rsidR="00427468">
        <w:rPr>
          <w:kern w:val="0"/>
        </w:rPr>
        <w:t xml:space="preserve"> of </w:t>
      </w:r>
      <w:r>
        <w:rPr>
          <w:kern w:val="0"/>
        </w:rPr>
        <w:t>the included studies</w:t>
      </w:r>
      <w:r w:rsidR="00A37C1D">
        <w:rPr>
          <w:kern w:val="0"/>
        </w:rPr>
        <w:t>. The</w:t>
      </w:r>
      <w:r>
        <w:rPr>
          <w:kern w:val="0"/>
        </w:rPr>
        <w:t xml:space="preserve"> clinical consequences</w:t>
      </w:r>
      <w:r w:rsidR="00427468">
        <w:rPr>
          <w:kern w:val="0"/>
        </w:rPr>
        <w:t xml:space="preserve"> of </w:t>
      </w:r>
      <w:r>
        <w:rPr>
          <w:kern w:val="0"/>
        </w:rPr>
        <w:t>peginterferon alpha-2a versus peginterferon alpha-2b are unknown, and we cannot translate an effect on sustained virological response into comparable clinical effects because sustained virological response is still an unvalidated surrogate outcome for patient-important outcomes</w:t>
      </w:r>
      <w:r w:rsidR="00A37C1D">
        <w:rPr>
          <w:kern w:val="0"/>
        </w:rPr>
        <w:t>. The</w:t>
      </w:r>
      <w:r>
        <w:rPr>
          <w:kern w:val="0"/>
        </w:rPr>
        <w:t xml:space="preserve"> lack</w:t>
      </w:r>
      <w:r w:rsidR="00427468">
        <w:rPr>
          <w:kern w:val="0"/>
        </w:rPr>
        <w:t xml:space="preserve"> of </w:t>
      </w:r>
      <w:r>
        <w:rPr>
          <w:kern w:val="0"/>
        </w:rPr>
        <w:t>evidence on patient-important outcomes and the paucity</w:t>
      </w:r>
      <w:r w:rsidR="00427468">
        <w:rPr>
          <w:kern w:val="0"/>
        </w:rPr>
        <w:t xml:space="preserve"> of </w:t>
      </w:r>
      <w:r>
        <w:rPr>
          <w:kern w:val="0"/>
        </w:rPr>
        <w:t>evidence on adverse events means that we are unable to draw any conclusions about the effects</w:t>
      </w:r>
      <w:r w:rsidR="00427468">
        <w:rPr>
          <w:kern w:val="0"/>
        </w:rPr>
        <w:t xml:space="preserve"> of </w:t>
      </w:r>
      <w:r>
        <w:rPr>
          <w:kern w:val="0"/>
        </w:rPr>
        <w:t>one peginterferon over the other.</w:t>
      </w:r>
    </w:p>
    <w:p w:rsidR="00AF6059" w:rsidRDefault="00AF6059" w:rsidP="00AF6059">
      <w:pPr>
        <w:pStyle w:val="a3"/>
        <w:rPr>
          <w:kern w:val="0"/>
        </w:rPr>
      </w:pPr>
      <w:r>
        <w:rPr>
          <w:kern w:val="0"/>
        </w:rPr>
        <w:t xml:space="preserve">Keywords: Analyses, Analysis, Assessment, Authors, Benefits, Bias, Blood, Blood Serum, Chronic, Chronic Hepatitis, Citation, Clinical, Clinical Trials, Clinical-Trials, Collection, Confidence, Criteria, Cumulative Metaanalysis, Data, Data Collection, Design Characteristics, Effects, Embase, Errors, Events, Evidence, Grade, Hepatitis, Hepatitis C, History, Infection, Interferon, Interval, Intervention, Journals, Life, Literature, Medline, Methods, Models, Morbidity, Mortality, Observational, </w:t>
      </w:r>
      <w:r>
        <w:rPr>
          <w:kern w:val="0"/>
        </w:rPr>
        <w:lastRenderedPageBreak/>
        <w:t>Observational Studies, Outcome, Outcomes, Patients, Pegylated Interferon, Pegylated Interferon Alpha-2a, Plus Ribavirin, Primary, Quality, Quality Of, Quality</w:t>
      </w:r>
      <w:r w:rsidR="00427468">
        <w:rPr>
          <w:kern w:val="0"/>
        </w:rPr>
        <w:t xml:space="preserve"> of </w:t>
      </w:r>
      <w:r>
        <w:rPr>
          <w:kern w:val="0"/>
        </w:rPr>
        <w:t>Life, Randomised, Randomized Controlled-Trials, Reduction, Relative Risk, Response, Ribavirin, Risk, Risks, Safety, Science, Science Citation Index, Science Citation Index Expanded, Search, Sequential-Analysis, Serum, Standard, Surrogate, Sustained Virological Response, Treatment, Treatment-Naive Patients, Trial, Viral, Virus-Infection</w:t>
      </w:r>
    </w:p>
    <w:p w:rsidR="00AF6059" w:rsidRDefault="00AF6059" w:rsidP="00AF6059">
      <w:pPr>
        <w:pStyle w:val="a3"/>
        <w:rPr>
          <w:kern w:val="0"/>
          <w:szCs w:val="24"/>
        </w:rPr>
      </w:pPr>
      <w:r>
        <w:rPr>
          <w:rFonts w:hint="eastAsia"/>
          <w:kern w:val="0"/>
        </w:rPr>
        <w:t xml:space="preserve">? </w:t>
      </w:r>
      <w:r>
        <w:rPr>
          <w:kern w:val="0"/>
        </w:rPr>
        <w:t>Sharif, M.O., Merry, A., Catleugh, M., Tickle, M., Brunton, P., Dunne, S., Aggarwal, V.R. and Chong, L.Y. (2014), Replacement versus repair</w:t>
      </w:r>
      <w:r w:rsidR="00427468">
        <w:rPr>
          <w:kern w:val="0"/>
        </w:rPr>
        <w:t xml:space="preserve"> of </w:t>
      </w:r>
      <w:r>
        <w:rPr>
          <w:kern w:val="0"/>
        </w:rPr>
        <w:t xml:space="preserve">defective restorations in adults: Amalgam.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szCs w:val="24"/>
        </w:rPr>
        <w:t>CD005970</w:t>
      </w:r>
      <w:r>
        <w:rPr>
          <w:rFonts w:hint="eastAsia"/>
          <w:kern w:val="0"/>
          <w:szCs w:val="24"/>
        </w:rPr>
        <w:t>.</w:t>
      </w:r>
    </w:p>
    <w:p w:rsidR="00AF6059" w:rsidRDefault="00AF6059" w:rsidP="00AF6059">
      <w:pPr>
        <w:pStyle w:val="a3"/>
        <w:rPr>
          <w:kern w:val="2"/>
        </w:rPr>
      </w:pPr>
      <w:r>
        <w:t xml:space="preserve">Full Text: </w:t>
      </w:r>
      <w:hyperlink r:id="rId796" w:history="1">
        <w:r w:rsidR="007835D2" w:rsidRPr="007835D2">
          <w:rPr>
            <w:rStyle w:val="a5"/>
          </w:rPr>
          <w:t>2014\Coc Dat Sys Rev2014, CD005970.pdf</w:t>
        </w:r>
      </w:hyperlink>
    </w:p>
    <w:p w:rsidR="00AF6059" w:rsidRDefault="00AF6059" w:rsidP="00AF6059">
      <w:pPr>
        <w:pStyle w:val="a3"/>
        <w:rPr>
          <w:kern w:val="0"/>
        </w:rPr>
      </w:pPr>
      <w:r>
        <w:rPr>
          <w:kern w:val="0"/>
        </w:rPr>
        <w:t>Abstract: Background Amalgam is a common filling material for posterior teeth, as with any restoration amalgams have a finite life-span. Traditionally replacement was the ideal approach to treat defective amalgam restorations, however, repair offers an alternative more conservative approach where restorations are only partially defective. Repairing a restoration has the potential</w:t>
      </w:r>
      <w:r w:rsidR="00427468">
        <w:rPr>
          <w:kern w:val="0"/>
        </w:rPr>
        <w:t xml:space="preserve"> of </w:t>
      </w:r>
      <w:r>
        <w:rPr>
          <w:kern w:val="0"/>
        </w:rPr>
        <w:t>taking less time and may sometimes be performed without the use</w:t>
      </w:r>
      <w:r w:rsidR="00427468">
        <w:rPr>
          <w:kern w:val="0"/>
        </w:rPr>
        <w:t xml:space="preserve"> of </w:t>
      </w:r>
      <w:r>
        <w:rPr>
          <w:kern w:val="0"/>
        </w:rPr>
        <w:t>local anaesthesia hence it may be less distressing for a patient when compared with replacement. Repair</w:t>
      </w:r>
      <w:r w:rsidR="00427468">
        <w:rPr>
          <w:kern w:val="0"/>
        </w:rPr>
        <w:t xml:space="preserve"> of </w:t>
      </w:r>
      <w:r>
        <w:rPr>
          <w:kern w:val="0"/>
        </w:rPr>
        <w:t>amalgam restorations is often more conservative</w:t>
      </w:r>
      <w:r w:rsidR="00427468">
        <w:rPr>
          <w:kern w:val="0"/>
        </w:rPr>
        <w:t xml:space="preserve"> of </w:t>
      </w:r>
      <w:r>
        <w:rPr>
          <w:kern w:val="0"/>
        </w:rPr>
        <w:t>the tooth structure than replacement. Objectives To evaluate the effects</w:t>
      </w:r>
      <w:r w:rsidR="00427468">
        <w:rPr>
          <w:kern w:val="0"/>
        </w:rPr>
        <w:t xml:space="preserve"> of </w:t>
      </w:r>
      <w:r>
        <w:rPr>
          <w:kern w:val="0"/>
        </w:rPr>
        <w:t>replacing (with amalgam) versus repair (with amalgam) in the management</w:t>
      </w:r>
      <w:r w:rsidR="00427468">
        <w:rPr>
          <w:kern w:val="0"/>
        </w:rPr>
        <w:t xml:space="preserve"> of </w:t>
      </w:r>
      <w:r>
        <w:rPr>
          <w:kern w:val="0"/>
        </w:rPr>
        <w:t>defective amalgam dental restorations in permanent molar and premolar teeth. Search methods For the identification</w:t>
      </w:r>
      <w:r w:rsidR="00427468">
        <w:rPr>
          <w:kern w:val="0"/>
        </w:rPr>
        <w:t xml:space="preserve"> of </w:t>
      </w:r>
      <w:r>
        <w:rPr>
          <w:kern w:val="0"/>
        </w:rPr>
        <w:t>studies relevant to this review we searched the Cochrane Oral Health Group</w:t>
      </w:r>
      <w:r w:rsidR="0071223E">
        <w:rPr>
          <w:kern w:val="0"/>
        </w:rPr>
        <w:t>’</w:t>
      </w:r>
      <w:r>
        <w:rPr>
          <w:kern w:val="0"/>
        </w:rPr>
        <w:t>s Trials Register (to 5 August 2013); the Cochrane Central Register</w:t>
      </w:r>
      <w:r w:rsidR="00427468">
        <w:rPr>
          <w:kern w:val="0"/>
        </w:rPr>
        <w:t xml:space="preserve"> of </w:t>
      </w:r>
      <w:r>
        <w:rPr>
          <w:kern w:val="0"/>
        </w:rPr>
        <w:t>Controlled Trials (CENTRAL) (The Cochrane Library 2013, Issue 7); MEDLINE via OVID (1946 to 5 August 2013); EMBASE via OVID (1980 to 5 August 2013); BIOSIS via Web</w:t>
      </w:r>
      <w:r w:rsidR="00427468">
        <w:rPr>
          <w:kern w:val="0"/>
        </w:rPr>
        <w:t xml:space="preserve"> of </w:t>
      </w:r>
      <w:r>
        <w:rPr>
          <w:kern w:val="0"/>
        </w:rPr>
        <w:t>Knowledge (1969 to 5 August 2013); Web</w:t>
      </w:r>
      <w:r w:rsidR="00427468">
        <w:rPr>
          <w:kern w:val="0"/>
        </w:rPr>
        <w:t xml:space="preserve"> of </w:t>
      </w:r>
      <w:r>
        <w:rPr>
          <w:kern w:val="0"/>
        </w:rPr>
        <w:t>Science (1945 to 5 August 2013) and OpenGrey (to 5 August 2013). Researchers, experts and organisations known to be involved in this field were contacted in order to trace unpublished or ongoing studies. No restrictions were placed on the language or date</w:t>
      </w:r>
      <w:r w:rsidR="00427468">
        <w:rPr>
          <w:kern w:val="0"/>
        </w:rPr>
        <w:t xml:space="preserve"> of </w:t>
      </w:r>
      <w:r>
        <w:rPr>
          <w:kern w:val="0"/>
        </w:rPr>
        <w:t>publication when searching the electronic databases. Selection criteria Trials were selected if they met the following criteria: randomised controlled trial (including split-mouth studies), involving replacement and repair</w:t>
      </w:r>
      <w:r w:rsidR="00427468">
        <w:rPr>
          <w:kern w:val="0"/>
        </w:rPr>
        <w:t xml:space="preserve"> of </w:t>
      </w:r>
      <w:r>
        <w:rPr>
          <w:kern w:val="0"/>
        </w:rPr>
        <w:t>amalgam restorations in adults with a defective restoration in a molar or premolar tooth/teeth. Data collection and analysis Two review authors independently assessed titles and abstracts for each article identified by the searches in order to decide whether the article was likely to be relevant. Full papers were obtained for relevant articles and both review authors studied these</w:t>
      </w:r>
      <w:r w:rsidR="00A37C1D">
        <w:rPr>
          <w:kern w:val="0"/>
        </w:rPr>
        <w:t>. The</w:t>
      </w:r>
      <w:r>
        <w:rPr>
          <w:kern w:val="0"/>
        </w:rPr>
        <w:t xml:space="preserve"> Cochrane Collaboration statistical guidelines were to be followed for data synthesis. Main results The search </w:t>
      </w:r>
      <w:r>
        <w:rPr>
          <w:kern w:val="0"/>
        </w:rPr>
        <w:lastRenderedPageBreak/>
        <w:t>strategy retrieved 201 potentially eligible studies after de-duplication. After examination</w:t>
      </w:r>
      <w:r w:rsidR="00427468">
        <w:rPr>
          <w:kern w:val="0"/>
        </w:rPr>
        <w:t xml:space="preserve"> of </w:t>
      </w:r>
      <w:r>
        <w:rPr>
          <w:kern w:val="0"/>
        </w:rPr>
        <w:t>the titles and abstracts, full texts</w:t>
      </w:r>
      <w:r w:rsidR="00427468">
        <w:rPr>
          <w:kern w:val="0"/>
        </w:rPr>
        <w:t xml:space="preserve"> of </w:t>
      </w:r>
      <w:r>
        <w:rPr>
          <w:kern w:val="0"/>
        </w:rPr>
        <w:t>the relevant studies were retrieved but none</w:t>
      </w:r>
      <w:r w:rsidR="00427468">
        <w:rPr>
          <w:kern w:val="0"/>
        </w:rPr>
        <w:t xml:space="preserve"> of </w:t>
      </w:r>
      <w:r>
        <w:rPr>
          <w:kern w:val="0"/>
        </w:rPr>
        <w:t>these met the inclusion criteria</w:t>
      </w:r>
      <w:r w:rsidR="00427468">
        <w:rPr>
          <w:kern w:val="0"/>
        </w:rPr>
        <w:t xml:space="preserve"> of </w:t>
      </w:r>
      <w:r>
        <w:rPr>
          <w:kern w:val="0"/>
        </w:rPr>
        <w:t>the review. Authors</w:t>
      </w:r>
      <w:r w:rsidR="0071223E">
        <w:rPr>
          <w:kern w:val="0"/>
        </w:rPr>
        <w:t>’</w:t>
      </w:r>
      <w:r>
        <w:rPr>
          <w:kern w:val="0"/>
        </w:rPr>
        <w:t xml:space="preserve"> conclusions There are no published randomised controlled trials relevant to this review question</w:t>
      </w:r>
      <w:r w:rsidR="00A37C1D">
        <w:rPr>
          <w:kern w:val="0"/>
        </w:rPr>
        <w:t>. The</w:t>
      </w:r>
      <w:r>
        <w:rPr>
          <w:kern w:val="0"/>
        </w:rPr>
        <w:t>re is therefore a need for methodologically sound randomised controlled trials that are reported according to the Consolidated Standards</w:t>
      </w:r>
      <w:r w:rsidR="00427468">
        <w:rPr>
          <w:kern w:val="0"/>
        </w:rPr>
        <w:t xml:space="preserve"> of </w:t>
      </w:r>
      <w:r>
        <w:rPr>
          <w:kern w:val="0"/>
        </w:rPr>
        <w:t>Reporting Trials (CONSORT) statement (www.consort-statement.org/). Further research also needs to explore qualitatively the views</w:t>
      </w:r>
      <w:r w:rsidR="00427468">
        <w:rPr>
          <w:kern w:val="0"/>
        </w:rPr>
        <w:t xml:space="preserve"> of </w:t>
      </w:r>
      <w:r>
        <w:rPr>
          <w:kern w:val="0"/>
        </w:rPr>
        <w:t>patients on repairing versus replacement and investigate themes around pain, distress and anxiety, time and costs.</w:t>
      </w:r>
    </w:p>
    <w:p w:rsidR="00AF6059" w:rsidRDefault="00AF6059" w:rsidP="00AF6059">
      <w:pPr>
        <w:pStyle w:val="a3"/>
        <w:rPr>
          <w:kern w:val="0"/>
        </w:rPr>
      </w:pPr>
      <w:r>
        <w:rPr>
          <w:kern w:val="0"/>
        </w:rPr>
        <w:t>Keywords: Adult, Alternative, Alternative Treatments, Anaesthesia, Analysis, Anxiety, Approach, Authors, Clinical-Trial, Cochrane Collaboration, Collaboration, Collection, Conservative, Controlled Trial, Costs, Criteria, Data, Data Collection, Databases, Dental Amalgam [Therapeutic Use], Dental Restoration Failure, Dental Restoration,Permanent [Methods], Distress, Effects, Embase, Examination, Experts, Field, General Dental Practice, Guidelines, Health, Humans, Identification, Knowledge, Language, Local, Local Anaesthesia, Longevity, Management, Medline, Methods, Needs, Pain, Papers, Patients, Permanent, Placement, Potential, Publication, Randomised, Randomised Controlled Trial, Randomised Controlled Trials, Research, Researchers, Restoration, Restrictions, Retreatment [Methods], Review, Science, Search, Search Strategy, Sound, Standards, Strategy, Structure, Synthesis, Trial, Uk, Web</w:t>
      </w:r>
      <w:r w:rsidR="00427468">
        <w:rPr>
          <w:kern w:val="0"/>
        </w:rPr>
        <w:t xml:space="preserve"> of </w:t>
      </w:r>
      <w:r>
        <w:rPr>
          <w:kern w:val="0"/>
        </w:rPr>
        <w:t>Knowledge, Web</w:t>
      </w:r>
      <w:r w:rsidR="00427468">
        <w:rPr>
          <w:kern w:val="0"/>
        </w:rPr>
        <w:t xml:space="preserve"> of </w:t>
      </w:r>
      <w:r>
        <w:rPr>
          <w:kern w:val="0"/>
        </w:rPr>
        <w:t>Science</w:t>
      </w:r>
    </w:p>
    <w:p w:rsidR="00AF6059" w:rsidRDefault="00AF6059" w:rsidP="00AF6059">
      <w:pPr>
        <w:pStyle w:val="a3"/>
        <w:rPr>
          <w:kern w:val="0"/>
          <w:szCs w:val="24"/>
        </w:rPr>
      </w:pPr>
      <w:r>
        <w:rPr>
          <w:rFonts w:hint="eastAsia"/>
          <w:kern w:val="0"/>
        </w:rPr>
        <w:t xml:space="preserve">? </w:t>
      </w:r>
      <w:r>
        <w:rPr>
          <w:kern w:val="0"/>
        </w:rPr>
        <w:t>Sharif, M.O., Catleugh, M., Merry, A., Tickle, M., Dunne, S.M., Brunton, P., Aggarwal, V.R. and Chong, L.Y. (2014), Replacement versus repair</w:t>
      </w:r>
      <w:r w:rsidR="00427468">
        <w:rPr>
          <w:kern w:val="0"/>
        </w:rPr>
        <w:t xml:space="preserve"> of </w:t>
      </w:r>
      <w:r>
        <w:rPr>
          <w:kern w:val="0"/>
        </w:rPr>
        <w:t xml:space="preserve">defective restorations in adults: Resin composite.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szCs w:val="24"/>
        </w:rPr>
        <w:t>CD005971</w:t>
      </w:r>
      <w:r>
        <w:rPr>
          <w:rFonts w:hint="eastAsia"/>
          <w:kern w:val="0"/>
          <w:szCs w:val="24"/>
        </w:rPr>
        <w:t>.</w:t>
      </w:r>
    </w:p>
    <w:p w:rsidR="00AF6059" w:rsidRDefault="00AF6059" w:rsidP="00AF6059">
      <w:pPr>
        <w:pStyle w:val="a3"/>
        <w:rPr>
          <w:kern w:val="2"/>
        </w:rPr>
      </w:pPr>
      <w:r>
        <w:t xml:space="preserve">Full Text: </w:t>
      </w:r>
      <w:hyperlink r:id="rId797" w:history="1">
        <w:r w:rsidR="007835D2" w:rsidRPr="007835D2">
          <w:rPr>
            <w:rStyle w:val="a5"/>
          </w:rPr>
          <w:t>2014\Coc Dat Sys Rev2014, CD005971.pdf</w:t>
        </w:r>
      </w:hyperlink>
    </w:p>
    <w:p w:rsidR="00AF6059" w:rsidRDefault="00AF6059" w:rsidP="00AF6059">
      <w:pPr>
        <w:pStyle w:val="a3"/>
        <w:rPr>
          <w:kern w:val="0"/>
        </w:rPr>
      </w:pPr>
      <w:r>
        <w:rPr>
          <w:kern w:val="0"/>
        </w:rPr>
        <w:t>Abstract: Background Composite filling materials have been increasingly used for the restoration</w:t>
      </w:r>
      <w:r w:rsidR="00427468">
        <w:rPr>
          <w:kern w:val="0"/>
        </w:rPr>
        <w:t xml:space="preserve"> of </w:t>
      </w:r>
      <w:r>
        <w:rPr>
          <w:kern w:val="0"/>
        </w:rPr>
        <w:t>posterior teeth in recent years as a tooth-coloured alternative to amalgam. As with any filling material composites have a finite life-span. Traditionally, replacement was the ideal approach to treat defective composite restorations, however, repairing composites offers an alternative more conservative approach to the tooth structure where restorations are partly still serviceable. Repairing the restoration has the potential</w:t>
      </w:r>
      <w:r w:rsidR="00427468">
        <w:rPr>
          <w:kern w:val="0"/>
        </w:rPr>
        <w:t xml:space="preserve"> of </w:t>
      </w:r>
      <w:r>
        <w:rPr>
          <w:kern w:val="0"/>
        </w:rPr>
        <w:t>taking less time and may sometimes be performed without the use</w:t>
      </w:r>
      <w:r w:rsidR="00427468">
        <w:rPr>
          <w:kern w:val="0"/>
        </w:rPr>
        <w:t xml:space="preserve"> of </w:t>
      </w:r>
      <w:r>
        <w:rPr>
          <w:kern w:val="0"/>
        </w:rPr>
        <w:t>local anaesthesia hence it may be less distressing for a patient when compared with replacement. Objectives To evaluate the effects</w:t>
      </w:r>
      <w:r w:rsidR="00427468">
        <w:rPr>
          <w:kern w:val="0"/>
        </w:rPr>
        <w:t xml:space="preserve"> of </w:t>
      </w:r>
      <w:r>
        <w:rPr>
          <w:kern w:val="0"/>
        </w:rPr>
        <w:t>replacing (with resin composite) versus repair (with resin composite) in the management</w:t>
      </w:r>
      <w:r w:rsidR="00427468">
        <w:rPr>
          <w:kern w:val="0"/>
        </w:rPr>
        <w:t xml:space="preserve"> of </w:t>
      </w:r>
      <w:r>
        <w:rPr>
          <w:kern w:val="0"/>
        </w:rPr>
        <w:t>defective resin composite dental restorations in permanent molar and premolar teeth. Search methods For the identification</w:t>
      </w:r>
      <w:r w:rsidR="00427468">
        <w:rPr>
          <w:kern w:val="0"/>
        </w:rPr>
        <w:t xml:space="preserve"> of </w:t>
      </w:r>
      <w:r>
        <w:rPr>
          <w:kern w:val="0"/>
        </w:rPr>
        <w:t>studies relevant to this review we searched the Cochrane Oral Health Group</w:t>
      </w:r>
      <w:r w:rsidR="0071223E">
        <w:rPr>
          <w:kern w:val="0"/>
        </w:rPr>
        <w:t>’</w:t>
      </w:r>
      <w:r>
        <w:rPr>
          <w:kern w:val="0"/>
        </w:rPr>
        <w:t xml:space="preserve">s Trials Register (to 24 July </w:t>
      </w:r>
      <w:r>
        <w:rPr>
          <w:kern w:val="0"/>
        </w:rPr>
        <w:lastRenderedPageBreak/>
        <w:t>2013); the Cochrane Central Register</w:t>
      </w:r>
      <w:r w:rsidR="00427468">
        <w:rPr>
          <w:kern w:val="0"/>
        </w:rPr>
        <w:t xml:space="preserve"> of </w:t>
      </w:r>
      <w:r>
        <w:rPr>
          <w:kern w:val="0"/>
        </w:rPr>
        <w:t>Controlled Trials (CENTRAL) (The Cochrane Library 2013, Issue 6); MEDLINE via OVID (1946 to 24 July 2013); EMBASE via OVID (1980 to 24 July 2013); BIOSIS via Web</w:t>
      </w:r>
      <w:r w:rsidR="00427468">
        <w:rPr>
          <w:kern w:val="0"/>
        </w:rPr>
        <w:t xml:space="preserve"> of </w:t>
      </w:r>
      <w:r>
        <w:rPr>
          <w:kern w:val="0"/>
        </w:rPr>
        <w:t>Knowledge (1969 to 24 July 2013); Web</w:t>
      </w:r>
      <w:r w:rsidR="00427468">
        <w:rPr>
          <w:kern w:val="0"/>
        </w:rPr>
        <w:t xml:space="preserve"> of </w:t>
      </w:r>
      <w:r>
        <w:rPr>
          <w:kern w:val="0"/>
        </w:rPr>
        <w:t>Science (1945 to 24 July 2013); and OpenGrey (to 24 July 2013). Researchers, experts and organisations known to be involved in this field were contacted in order to trace unpublished or ongoing studies. No restrictions were placed on the language or date</w:t>
      </w:r>
      <w:r w:rsidR="00427468">
        <w:rPr>
          <w:kern w:val="0"/>
        </w:rPr>
        <w:t xml:space="preserve"> of </w:t>
      </w:r>
      <w:r>
        <w:rPr>
          <w:kern w:val="0"/>
        </w:rPr>
        <w:t>publication when searching the electronic databases. Selection criteria Trials were selected if they met the following criteria: randomised controlled trial (including split-mouth studies), involving replacement and repair</w:t>
      </w:r>
      <w:r w:rsidR="00427468">
        <w:rPr>
          <w:kern w:val="0"/>
        </w:rPr>
        <w:t xml:space="preserve"> of </w:t>
      </w:r>
      <w:r>
        <w:rPr>
          <w:kern w:val="0"/>
        </w:rPr>
        <w:t>resin composite restorations in adults with a defective molar restoration in a permanent molar or premolar teeth. Data collection and analysis Two review authors independently assessed titles and abstracts for each article identified by the searches in order to decide whether the article was likely to be relevant. Full papers were obtained for relevant articles and both review authors studied these</w:t>
      </w:r>
      <w:r w:rsidR="00A37C1D">
        <w:rPr>
          <w:kern w:val="0"/>
        </w:rPr>
        <w:t>. The</w:t>
      </w:r>
      <w:r>
        <w:rPr>
          <w:kern w:val="0"/>
        </w:rPr>
        <w:t xml:space="preserve"> Cochrane Collaboration statistical guidelines were to be followed for data synthesis. Main results The search strategy retrieved 298 potentially eligible studies, after de-duplication. After examination</w:t>
      </w:r>
      <w:r w:rsidR="00427468">
        <w:rPr>
          <w:kern w:val="0"/>
        </w:rPr>
        <w:t xml:space="preserve"> of </w:t>
      </w:r>
      <w:r>
        <w:rPr>
          <w:kern w:val="0"/>
        </w:rPr>
        <w:t>the titles and abstracts, full texts</w:t>
      </w:r>
      <w:r w:rsidR="00427468">
        <w:rPr>
          <w:kern w:val="0"/>
        </w:rPr>
        <w:t xml:space="preserve"> of </w:t>
      </w:r>
      <w:r>
        <w:rPr>
          <w:kern w:val="0"/>
        </w:rPr>
        <w:t>potentially relevant studies were retrieved but none</w:t>
      </w:r>
      <w:r w:rsidR="00427468">
        <w:rPr>
          <w:kern w:val="0"/>
        </w:rPr>
        <w:t xml:space="preserve"> of </w:t>
      </w:r>
      <w:r>
        <w:rPr>
          <w:kern w:val="0"/>
        </w:rPr>
        <w:t>the retrieved studies met the inclusion criteria</w:t>
      </w:r>
      <w:r w:rsidR="00427468">
        <w:rPr>
          <w:kern w:val="0"/>
        </w:rPr>
        <w:t xml:space="preserve"> of </w:t>
      </w:r>
      <w:r>
        <w:rPr>
          <w:kern w:val="0"/>
        </w:rPr>
        <w:t>the review. Authors</w:t>
      </w:r>
      <w:r w:rsidR="0071223E">
        <w:rPr>
          <w:kern w:val="0"/>
        </w:rPr>
        <w:t>’</w:t>
      </w:r>
      <w:r>
        <w:rPr>
          <w:kern w:val="0"/>
        </w:rPr>
        <w:t xml:space="preserve"> conclusions There are no published randomised controlled trials relevant to this review question</w:t>
      </w:r>
      <w:r w:rsidR="00A37C1D">
        <w:rPr>
          <w:kern w:val="0"/>
        </w:rPr>
        <w:t>. The</w:t>
      </w:r>
      <w:r>
        <w:rPr>
          <w:kern w:val="0"/>
        </w:rPr>
        <w:t>re is therefore a need for methodologically sound randomised controlled trials that are reported according to the Consolidated Standards</w:t>
      </w:r>
      <w:r w:rsidR="00427468">
        <w:rPr>
          <w:kern w:val="0"/>
        </w:rPr>
        <w:t xml:space="preserve"> of </w:t>
      </w:r>
      <w:r>
        <w:rPr>
          <w:kern w:val="0"/>
        </w:rPr>
        <w:t>Reporting Trials (CONSORT) statement (www.consort-statement.org/). Further research also needs to explore qualitatively the views</w:t>
      </w:r>
      <w:r w:rsidR="00427468">
        <w:rPr>
          <w:kern w:val="0"/>
        </w:rPr>
        <w:t xml:space="preserve"> of </w:t>
      </w:r>
      <w:r>
        <w:rPr>
          <w:kern w:val="0"/>
        </w:rPr>
        <w:t>patients on repairing versus replacement and investigate themes around pain, anxiety and distress, time and costs.</w:t>
      </w:r>
    </w:p>
    <w:p w:rsidR="00AF6059" w:rsidRDefault="00AF6059" w:rsidP="00AF6059">
      <w:pPr>
        <w:pStyle w:val="a3"/>
        <w:rPr>
          <w:kern w:val="0"/>
        </w:rPr>
      </w:pPr>
      <w:r>
        <w:rPr>
          <w:kern w:val="0"/>
        </w:rPr>
        <w:t>Keywords: Adult, Alternative, Amalgam, Anaesthesia, Analysis, Anxiety, Approach, Authors, Clinical-Trial, Cochrane Collaboration, Collaboration, Collection, Composite, Composite Resins [Therapeutic Use], Composites, Conservative, Controlled Trial, Costs, Criteria, Data, Data Collection, Databases, Dental Restoration Failure, Dental Restoration,Permanent [Methods], Distress, Effects, Embase, Examination, Experts, Field, Guidelines, Health, Humans, Identification, Knowledge, Language, Local, Local Anaesthesia, Long, Management, Medline, Methods, Needs, Pain, Papers, Patients, Permanent, Potential, Publication, Randomised, Randomised Controlled Trial, Randomised Controlled Trials, Recent, Research, Researchers, Resin, Restoration, Restrictions, Retreatment [Methods], Review, Science, Search, Search Strategy, Sound, Standards, Strategy, Structure, Synthesis, Trial, Web</w:t>
      </w:r>
      <w:r w:rsidR="00427468">
        <w:rPr>
          <w:kern w:val="0"/>
        </w:rPr>
        <w:t xml:space="preserve"> of </w:t>
      </w:r>
      <w:r>
        <w:rPr>
          <w:kern w:val="0"/>
        </w:rPr>
        <w:t>Knowledge, Web</w:t>
      </w:r>
      <w:r w:rsidR="00427468">
        <w:rPr>
          <w:kern w:val="0"/>
        </w:rPr>
        <w:t xml:space="preserve"> of </w:t>
      </w:r>
      <w:r>
        <w:rPr>
          <w:kern w:val="0"/>
        </w:rPr>
        <w:t>Science</w:t>
      </w:r>
    </w:p>
    <w:p w:rsidR="00AF6059" w:rsidRDefault="00AF6059" w:rsidP="00AF6059">
      <w:pPr>
        <w:pStyle w:val="a3"/>
        <w:rPr>
          <w:kern w:val="0"/>
          <w:szCs w:val="24"/>
        </w:rPr>
      </w:pPr>
      <w:r>
        <w:rPr>
          <w:rFonts w:hint="eastAsia"/>
          <w:kern w:val="0"/>
        </w:rPr>
        <w:t xml:space="preserve">? </w:t>
      </w:r>
      <w:r>
        <w:rPr>
          <w:kern w:val="0"/>
        </w:rPr>
        <w:t>Desapriya, E., Harjee, R., Brubacher, J., Chan, H., Hewapathirane, D.S., Subzwari, S. and Pike, I. (2014), Vision screening</w:t>
      </w:r>
      <w:r w:rsidR="00427468">
        <w:rPr>
          <w:kern w:val="0"/>
        </w:rPr>
        <w:t xml:space="preserve"> of </w:t>
      </w:r>
      <w:r>
        <w:rPr>
          <w:kern w:val="0"/>
        </w:rPr>
        <w:t xml:space="preserve">older drivers for preventing road traffic </w:t>
      </w:r>
      <w:r>
        <w:rPr>
          <w:kern w:val="0"/>
        </w:rPr>
        <w:lastRenderedPageBreak/>
        <w:t xml:space="preserve">injuries and fatalities.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szCs w:val="24"/>
        </w:rPr>
        <w:t>CD006252</w:t>
      </w:r>
      <w:r>
        <w:rPr>
          <w:rFonts w:hint="eastAsia"/>
          <w:kern w:val="0"/>
          <w:szCs w:val="24"/>
        </w:rPr>
        <w:t>.</w:t>
      </w:r>
    </w:p>
    <w:p w:rsidR="00AF6059" w:rsidRDefault="00AF6059" w:rsidP="00AF6059">
      <w:pPr>
        <w:pStyle w:val="a3"/>
        <w:rPr>
          <w:kern w:val="2"/>
        </w:rPr>
      </w:pPr>
      <w:r>
        <w:t xml:space="preserve">Full Text: </w:t>
      </w:r>
      <w:hyperlink r:id="rId798" w:history="1">
        <w:r w:rsidR="007835D2" w:rsidRPr="007835D2">
          <w:rPr>
            <w:rStyle w:val="a5"/>
          </w:rPr>
          <w:t>2014\Coc Dat Sys Rev2014, CD006252.pdf</w:t>
        </w:r>
      </w:hyperlink>
    </w:p>
    <w:p w:rsidR="00AF6059" w:rsidRDefault="00AF6059" w:rsidP="00AF6059">
      <w:pPr>
        <w:pStyle w:val="a3"/>
        <w:rPr>
          <w:kern w:val="0"/>
        </w:rPr>
      </w:pPr>
      <w:r>
        <w:rPr>
          <w:kern w:val="0"/>
        </w:rPr>
        <w:t>Abstract: Background Demographic data in North America, Europe, Asia, Australia and New Zealand suggest a rapid growth in the number</w:t>
      </w:r>
      <w:r w:rsidR="00427468">
        <w:rPr>
          <w:kern w:val="0"/>
        </w:rPr>
        <w:t xml:space="preserve"> of </w:t>
      </w:r>
      <w:r>
        <w:rPr>
          <w:kern w:val="0"/>
        </w:rPr>
        <w:t>persons over the age</w:t>
      </w:r>
      <w:r w:rsidR="00427468">
        <w:rPr>
          <w:kern w:val="0"/>
        </w:rPr>
        <w:t xml:space="preserve"> of </w:t>
      </w:r>
      <w:r>
        <w:rPr>
          <w:kern w:val="0"/>
        </w:rPr>
        <w:t>65 years as the baby boomer generation passes retirement age. As older adults make up an increasing proportion</w:t>
      </w:r>
      <w:r w:rsidR="00427468">
        <w:rPr>
          <w:kern w:val="0"/>
        </w:rPr>
        <w:t xml:space="preserve"> of </w:t>
      </w:r>
      <w:r>
        <w:rPr>
          <w:kern w:val="0"/>
        </w:rPr>
        <w:t>the population, they are an important consideration when designing future evidence-based traffic safety policies, particularly those that lead to restrictions or cessation</w:t>
      </w:r>
      <w:r w:rsidR="00427468">
        <w:rPr>
          <w:kern w:val="0"/>
        </w:rPr>
        <w:t xml:space="preserve"> of </w:t>
      </w:r>
      <w:r>
        <w:rPr>
          <w:kern w:val="0"/>
        </w:rPr>
        <w:t>driving. Research has shown that cessation</w:t>
      </w:r>
      <w:r w:rsidR="00427468">
        <w:rPr>
          <w:kern w:val="0"/>
        </w:rPr>
        <w:t xml:space="preserve"> of </w:t>
      </w:r>
      <w:r>
        <w:rPr>
          <w:kern w:val="0"/>
        </w:rPr>
        <w:t>driving among older drivers can lead to negative emotional consequences such as depression and loss</w:t>
      </w:r>
      <w:r w:rsidR="00427468">
        <w:rPr>
          <w:kern w:val="0"/>
        </w:rPr>
        <w:t xml:space="preserve"> of </w:t>
      </w:r>
      <w:r>
        <w:rPr>
          <w:kern w:val="0"/>
        </w:rPr>
        <w:t>independence. Older adults who continue to drive tend to do so less frequently than other demographic groups and are more likely to be involved in a road traffic crash, possibly due to what is termed the “low mileage bias”. Available research suggests that older driver crash risk estimates based on traditional exposure measures are prone to bias. When annual driving distances are taken in to consideration, older drivers with low driving distances have an increased crash risk, while those with average or high driving distances tend to be safer drivers when compared to other age groups. In addition, older drivers with lower distance driving tend to drive in urban areas which, due to more complex and demanding traffic patterns, tend to be more accident-prone. Failure to control for actual annual driving distances and driving locations among older drivers is referred to as “low mileage bias” in older driver mobility research. It is also important to note that older drivers are more vulnerable to serious injury and death in the event</w:t>
      </w:r>
      <w:r w:rsidR="00427468">
        <w:rPr>
          <w:kern w:val="0"/>
        </w:rPr>
        <w:t xml:space="preserve"> of </w:t>
      </w:r>
      <w:r>
        <w:rPr>
          <w:kern w:val="0"/>
        </w:rPr>
        <w:t>a traffic crash due to changes in physiology associated with normal ageing. Vision, cognition, and motor functions or skills (e. g., strength, co-ordination, and flexibility) are three key domains required for safe driving. To drive safely, an individual needs to be able to see road signs, road side objects, traffic lights, roadway markings, other vulnerable road users, and other vehicles on the road, among many other cues-all while moving, and under varying light and weather conditions. It is equally important that drivers must have appropriate peripheral vision to monitor objects and movement to identify possible threats in the driving environment. It is, therefore, not surprising that there is agreement among researchers that vision plays a significant role in driving performance. Several age-related processes/conditions impair vision, thus it follows that vision testing</w:t>
      </w:r>
      <w:r w:rsidR="00427468">
        <w:rPr>
          <w:kern w:val="0"/>
        </w:rPr>
        <w:t xml:space="preserve"> of </w:t>
      </w:r>
      <w:r>
        <w:rPr>
          <w:kern w:val="0"/>
        </w:rPr>
        <w:t>older drivers is an important road safety issue</w:t>
      </w:r>
      <w:r w:rsidR="00A37C1D">
        <w:rPr>
          <w:kern w:val="0"/>
        </w:rPr>
        <w:t>. The</w:t>
      </w:r>
      <w:r>
        <w:rPr>
          <w:kern w:val="0"/>
        </w:rPr>
        <w:t xml:space="preserve"> components</w:t>
      </w:r>
      <w:r w:rsidR="00427468">
        <w:rPr>
          <w:kern w:val="0"/>
        </w:rPr>
        <w:t xml:space="preserve"> of </w:t>
      </w:r>
      <w:r>
        <w:rPr>
          <w:kern w:val="0"/>
        </w:rPr>
        <w:t>visual function essential for driving are acuity, static acuity, dynamic acuity, visual fields, visual attention, depth perception, and contrast sensitivity</w:t>
      </w:r>
      <w:r w:rsidR="00A37C1D">
        <w:rPr>
          <w:kern w:val="0"/>
        </w:rPr>
        <w:t>. The</w:t>
      </w:r>
      <w:r>
        <w:rPr>
          <w:kern w:val="0"/>
        </w:rPr>
        <w:t xml:space="preserve">se indices are typically not fully assessed by licensing agencies. Also, current vision screening regulations and cut-off values required to pass a licensing test vary from country to country. Although there is a clear need to develop evidence-based and </w:t>
      </w:r>
      <w:r>
        <w:rPr>
          <w:kern w:val="0"/>
        </w:rPr>
        <w:lastRenderedPageBreak/>
        <w:t>validated tools for vision screening for driving, the effectiveness</w:t>
      </w:r>
      <w:r w:rsidR="00427468">
        <w:rPr>
          <w:kern w:val="0"/>
        </w:rPr>
        <w:t xml:space="preserve"> of </w:t>
      </w:r>
      <w:r>
        <w:rPr>
          <w:kern w:val="0"/>
        </w:rPr>
        <w:t>existing vision screening tools remains unclear. This represents an important and highly warranted initiative to increase road safety worldwide. Objectives To assess the effects</w:t>
      </w:r>
      <w:r w:rsidR="00427468">
        <w:rPr>
          <w:kern w:val="0"/>
        </w:rPr>
        <w:t xml:space="preserve"> of </w:t>
      </w:r>
      <w:r>
        <w:rPr>
          <w:kern w:val="0"/>
        </w:rPr>
        <w:t>vision screening interventions for older drivers to prevent road traffic injuries and fatalities. Search methods For the update</w:t>
      </w:r>
      <w:r w:rsidR="00427468">
        <w:rPr>
          <w:kern w:val="0"/>
        </w:rPr>
        <w:t xml:space="preserve"> of </w:t>
      </w:r>
      <w:r>
        <w:rPr>
          <w:kern w:val="0"/>
        </w:rPr>
        <w:t>this review we searched the Cochrane Injuries Group</w:t>
      </w:r>
      <w:r w:rsidR="0071223E">
        <w:rPr>
          <w:kern w:val="0"/>
        </w:rPr>
        <w:t>’</w:t>
      </w:r>
      <w:r>
        <w:rPr>
          <w:kern w:val="0"/>
        </w:rPr>
        <w:t>s Specialised Register, the Cochrane Central Register</w:t>
      </w:r>
      <w:r w:rsidR="00427468">
        <w:rPr>
          <w:kern w:val="0"/>
        </w:rPr>
        <w:t xml:space="preserve"> of </w:t>
      </w:r>
      <w:r>
        <w:rPr>
          <w:kern w:val="0"/>
        </w:rPr>
        <w:t>Controlled Trials (CENTRAL) (The Cochrane Library), MEDLINE (OvidSP), Embase (OvidSP), PsycINFO (OvidSP) and ISI Web</w:t>
      </w:r>
      <w:r w:rsidR="00427468">
        <w:rPr>
          <w:kern w:val="0"/>
        </w:rPr>
        <w:t xml:space="preserve"> of </w:t>
      </w:r>
      <w:r>
        <w:rPr>
          <w:kern w:val="0"/>
        </w:rPr>
        <w:t>Science: (CPCI-S &amp; SSCI)</w:t>
      </w:r>
      <w:r w:rsidR="00A37C1D">
        <w:rPr>
          <w:kern w:val="0"/>
        </w:rPr>
        <w:t>. The</w:t>
      </w:r>
      <w:r>
        <w:rPr>
          <w:kern w:val="0"/>
        </w:rPr>
        <w:t xml:space="preserve"> searches were conducted up to 26 September 2013. Selection criteria Randomised controlled trials (RCTs) and controlled before and after studies comparing vision screening to non-screening</w:t>
      </w:r>
      <w:r w:rsidR="00427468">
        <w:rPr>
          <w:kern w:val="0"/>
        </w:rPr>
        <w:t xml:space="preserve"> of </w:t>
      </w:r>
      <w:r>
        <w:rPr>
          <w:kern w:val="0"/>
        </w:rPr>
        <w:t>drivers aged 55 years and older, and which assessed the effect on road traffic crashes, injuries, fatalities and any involvement in traffic law violations. Data collection and analysis Two review authors independently screened the reference lists for eligible articles and independently assessed the articles for inclusion against the criteria. If suitable trials had been available, two review authors would have independently extracted data using a standardised extraction form. Main results No studies were found that met the inclusion criteria for this review. Authors</w:t>
      </w:r>
      <w:r w:rsidR="0071223E">
        <w:rPr>
          <w:kern w:val="0"/>
        </w:rPr>
        <w:t>’</w:t>
      </w:r>
      <w:r>
        <w:rPr>
          <w:kern w:val="0"/>
        </w:rPr>
        <w:t xml:space="preserve"> conclusions Most countries require a vision screening test for the renewal</w:t>
      </w:r>
      <w:r w:rsidR="00427468">
        <w:rPr>
          <w:kern w:val="0"/>
        </w:rPr>
        <w:t xml:space="preserve"> of </w:t>
      </w:r>
      <w:r>
        <w:rPr>
          <w:kern w:val="0"/>
        </w:rPr>
        <w:t>an individual</w:t>
      </w:r>
      <w:r w:rsidR="0071223E">
        <w:rPr>
          <w:kern w:val="0"/>
        </w:rPr>
        <w:t>’</w:t>
      </w:r>
      <w:r>
        <w:rPr>
          <w:kern w:val="0"/>
        </w:rPr>
        <w:t>s driver</w:t>
      </w:r>
      <w:r w:rsidR="0071223E">
        <w:rPr>
          <w:kern w:val="0"/>
        </w:rPr>
        <w:t>’</w:t>
      </w:r>
      <w:r>
        <w:rPr>
          <w:kern w:val="0"/>
        </w:rPr>
        <w:t>s licence</w:t>
      </w:r>
      <w:r w:rsidR="00A37C1D">
        <w:rPr>
          <w:kern w:val="0"/>
        </w:rPr>
        <w:t>. The</w:t>
      </w:r>
      <w:r>
        <w:rPr>
          <w:kern w:val="0"/>
        </w:rPr>
        <w:t>re is, however, lack</w:t>
      </w:r>
      <w:r w:rsidR="00427468">
        <w:rPr>
          <w:kern w:val="0"/>
        </w:rPr>
        <w:t xml:space="preserve"> of </w:t>
      </w:r>
      <w:r>
        <w:rPr>
          <w:kern w:val="0"/>
        </w:rPr>
        <w:t>methodologically sound studies to assess the effects</w:t>
      </w:r>
      <w:r w:rsidR="00427468">
        <w:rPr>
          <w:kern w:val="0"/>
        </w:rPr>
        <w:t xml:space="preserve"> of </w:t>
      </w:r>
      <w:r>
        <w:rPr>
          <w:kern w:val="0"/>
        </w:rPr>
        <w:t>vision screening tests on subsequent motor vehicle crash reduction</w:t>
      </w:r>
      <w:r w:rsidR="00A37C1D">
        <w:rPr>
          <w:kern w:val="0"/>
        </w:rPr>
        <w:t>. The</w:t>
      </w:r>
      <w:r>
        <w:rPr>
          <w:kern w:val="0"/>
        </w:rPr>
        <w:t>re is a need to develop valid and reliable tools</w:t>
      </w:r>
      <w:r w:rsidR="00427468">
        <w:rPr>
          <w:kern w:val="0"/>
        </w:rPr>
        <w:t xml:space="preserve"> of </w:t>
      </w:r>
      <w:r>
        <w:rPr>
          <w:kern w:val="0"/>
        </w:rPr>
        <w:t>vision screening that can predict driving performance.</w:t>
      </w:r>
    </w:p>
    <w:p w:rsidR="00AF6059" w:rsidRDefault="00AF6059" w:rsidP="00AF6059">
      <w:pPr>
        <w:pStyle w:val="a3"/>
        <w:rPr>
          <w:kern w:val="0"/>
        </w:rPr>
      </w:pPr>
      <w:r>
        <w:rPr>
          <w:kern w:val="0"/>
        </w:rPr>
        <w:t>Keywords: Accidents,Traffic [Prevention &amp; Control], Age, Age-Related, Aged, Ageing, Analysis, Asia, Attention, Australia, Authors, Automobile Driving, Baby, Bias, Cessation, Changes, Cognition, Collection, Control, Coordination, Country, Criteria, Data, Data Collection, Death, Dementia, Depression, Drive, Driving, Driving Performance, Dynamic, Effectiveness, Effects, Environment, Estimates, Europe, Evidence Based, Evidence-Based, Exposure, Extraction, Fatalities, Flexibility, Function, Functions, Generation, Groups, Growth, Humans, Increased Depressive Symptoms, Indices, Injury, Interventions, Involvement, ISI, ISI Web</w:t>
      </w:r>
      <w:r w:rsidR="00427468">
        <w:rPr>
          <w:kern w:val="0"/>
        </w:rPr>
        <w:t xml:space="preserve"> of </w:t>
      </w:r>
      <w:r>
        <w:rPr>
          <w:kern w:val="0"/>
        </w:rPr>
        <w:t>Science, Law, Lead, License Renewal, Licensing, Measures, Medline, Methods, Mobility, Motor Vehicle, Motor-Vehicle Crashes, Movement, Needs, New Zealand, Normal, North, North America, Older Adults, Older Drivers, Perception, Performance, Physiology, Policies, Population, Prevent, Psycinfo, Randomised Controlled Trials, Reduction, Reference, Reference Lists, Regulations, Research, Restrictions, Review, Risk, Road, Role, Safety, Science, Screening, Screening Tests, Search, Sensitivity, Sound, Ssci, Strength, Testing, Traffic, Traffic Crash, Traffic Crashes, Urban, Urban Areas, Useful Field, Vehicle, Vision Screening, Visual Impairment, Weather, Web</w:t>
      </w:r>
      <w:r w:rsidR="00427468">
        <w:rPr>
          <w:kern w:val="0"/>
        </w:rPr>
        <w:t xml:space="preserve"> of </w:t>
      </w:r>
      <w:r>
        <w:rPr>
          <w:kern w:val="0"/>
        </w:rPr>
        <w:t>Science</w:t>
      </w:r>
    </w:p>
    <w:p w:rsidR="00AF6059" w:rsidRDefault="00AF6059" w:rsidP="00AF6059">
      <w:pPr>
        <w:pStyle w:val="a3"/>
        <w:rPr>
          <w:kern w:val="0"/>
          <w:szCs w:val="24"/>
        </w:rPr>
      </w:pPr>
      <w:r>
        <w:rPr>
          <w:rFonts w:hint="eastAsia"/>
          <w:kern w:val="0"/>
        </w:rPr>
        <w:lastRenderedPageBreak/>
        <w:t xml:space="preserve">? </w:t>
      </w:r>
      <w:r>
        <w:rPr>
          <w:kern w:val="0"/>
        </w:rPr>
        <w:t xml:space="preserve">Ullah, H., Samad, K. and Khan, F.A. (2014), Continuous interscalene brachial plexus block versus parenteral analgesia for postoperative pain relief after major shoulder surgery.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4F1BBE">
        <w:rPr>
          <w:kern w:val="0"/>
          <w:szCs w:val="24"/>
        </w:rPr>
        <w:t>CD007080</w:t>
      </w:r>
      <w:r>
        <w:rPr>
          <w:rFonts w:hint="eastAsia"/>
          <w:kern w:val="0"/>
          <w:szCs w:val="24"/>
        </w:rPr>
        <w:t>.</w:t>
      </w:r>
    </w:p>
    <w:p w:rsidR="00AF6059" w:rsidRDefault="00AF6059" w:rsidP="00AF6059">
      <w:pPr>
        <w:pStyle w:val="a3"/>
        <w:rPr>
          <w:kern w:val="2"/>
        </w:rPr>
      </w:pPr>
      <w:r>
        <w:t xml:space="preserve">Full Text: </w:t>
      </w:r>
      <w:hyperlink r:id="rId799" w:history="1">
        <w:r w:rsidR="007835D2" w:rsidRPr="007835D2">
          <w:rPr>
            <w:rStyle w:val="a5"/>
          </w:rPr>
          <w:t>2014\Coc Dat Sys Rev2014, CD007080.pdf</w:t>
        </w:r>
      </w:hyperlink>
    </w:p>
    <w:p w:rsidR="00AF6059" w:rsidRDefault="00AF6059" w:rsidP="00AF6059">
      <w:pPr>
        <w:pStyle w:val="a3"/>
        <w:rPr>
          <w:kern w:val="0"/>
        </w:rPr>
      </w:pPr>
      <w:r>
        <w:rPr>
          <w:kern w:val="0"/>
        </w:rPr>
        <w:t>Abstract: Background Postoperative pain may lead to adverse effects on the body, which might result in an increase in morbidity. Its management therefore poses a unique challenge for the clinician. Major shoulder surgery is associated with severe postoperative pain, and different modalities are available to manage such pain, including opioid and non-opioid analgesics, local anaesthetics infiltrated into and around the shoulder joint and regional anaesthesia. All</w:t>
      </w:r>
      <w:r w:rsidR="00427468">
        <w:rPr>
          <w:kern w:val="0"/>
        </w:rPr>
        <w:t xml:space="preserve"> of </w:t>
      </w:r>
      <w:r>
        <w:rPr>
          <w:kern w:val="0"/>
        </w:rPr>
        <w:t>these techniques, alone or in combination, have been used to treat the postoperative pain</w:t>
      </w:r>
      <w:r w:rsidR="00427468">
        <w:rPr>
          <w:kern w:val="0"/>
        </w:rPr>
        <w:t xml:space="preserve"> of </w:t>
      </w:r>
      <w:r>
        <w:rPr>
          <w:kern w:val="0"/>
        </w:rPr>
        <w:t>major shoulder surgery but with varying success. Objectives The objective</w:t>
      </w:r>
      <w:r w:rsidR="00427468">
        <w:rPr>
          <w:kern w:val="0"/>
        </w:rPr>
        <w:t xml:space="preserve"> of </w:t>
      </w:r>
      <w:r>
        <w:rPr>
          <w:kern w:val="0"/>
        </w:rPr>
        <w:t>this review was to compare the analgesic efficacy</w:t>
      </w:r>
      <w:r w:rsidR="00427468">
        <w:rPr>
          <w:kern w:val="0"/>
        </w:rPr>
        <w:t xml:space="preserve"> of </w:t>
      </w:r>
      <w:r>
        <w:rPr>
          <w:kern w:val="0"/>
        </w:rPr>
        <w:t>continuous interscalene brachial plexus block (ISBPB) with parenteral opioid analgesia for pain relief after major shoulder surgery. Search methods We searched the Cochrane Central Register</w:t>
      </w:r>
      <w:r w:rsidR="00427468">
        <w:rPr>
          <w:kern w:val="0"/>
        </w:rPr>
        <w:t xml:space="preserve"> of </w:t>
      </w:r>
      <w:r>
        <w:rPr>
          <w:kern w:val="0"/>
        </w:rPr>
        <w:t>Controlled Trials (CENTRAL) (2012, Issue 12), MEDLINE (1950 to December 2012), EMBASE (1980 to December 2012), Web</w:t>
      </w:r>
      <w:r w:rsidR="00427468">
        <w:rPr>
          <w:kern w:val="0"/>
        </w:rPr>
        <w:t xml:space="preserve"> of </w:t>
      </w:r>
      <w:r>
        <w:rPr>
          <w:kern w:val="0"/>
        </w:rPr>
        <w:t>Science (1954 to December 2012), CINAHL (1982 to December 2012) and bibliographies</w:t>
      </w:r>
      <w:r w:rsidR="00427468">
        <w:rPr>
          <w:kern w:val="0"/>
        </w:rPr>
        <w:t xml:space="preserve"> of </w:t>
      </w:r>
      <w:r>
        <w:rPr>
          <w:kern w:val="0"/>
        </w:rPr>
        <w:t>published studies. Selection criteria We included randomized controlled trials assessing the effectiveness</w:t>
      </w:r>
      <w:r w:rsidR="00427468">
        <w:rPr>
          <w:kern w:val="0"/>
        </w:rPr>
        <w:t xml:space="preserve"> of </w:t>
      </w:r>
      <w:r>
        <w:rPr>
          <w:kern w:val="0"/>
        </w:rPr>
        <w:t>continuous ISBPB compared with different forms</w:t>
      </w:r>
      <w:r w:rsidR="00427468">
        <w:rPr>
          <w:kern w:val="0"/>
        </w:rPr>
        <w:t xml:space="preserve"> of </w:t>
      </w:r>
      <w:r>
        <w:rPr>
          <w:kern w:val="0"/>
        </w:rPr>
        <w:t>parenteral opioid analgesia in relieving pain in adult participants undergoing elective major shoulder surgery. Data collection and analysis Two review authors independently assessed trial quality and extracted outcome data. Main results We included two randomized controlled trials (147 participants). A total</w:t>
      </w:r>
      <w:r w:rsidR="00427468">
        <w:rPr>
          <w:kern w:val="0"/>
        </w:rPr>
        <w:t xml:space="preserve"> of </w:t>
      </w:r>
      <w:r>
        <w:rPr>
          <w:kern w:val="0"/>
        </w:rPr>
        <w:t>17 participants were excluded from one trial because</w:t>
      </w:r>
      <w:r w:rsidR="00427468">
        <w:rPr>
          <w:kern w:val="0"/>
        </w:rPr>
        <w:t xml:space="preserve"> of </w:t>
      </w:r>
      <w:r>
        <w:rPr>
          <w:kern w:val="0"/>
        </w:rPr>
        <w:t>complications related to continuous ISBPB (16) or parenteral opioid analgesia (one). Thus we have information on 130 participants (66 in the continuous ISBPB group and 64 in the parenteral opioid group)</w:t>
      </w:r>
      <w:r w:rsidR="00A37C1D">
        <w:rPr>
          <w:kern w:val="0"/>
        </w:rPr>
        <w:t>. The</w:t>
      </w:r>
      <w:r>
        <w:rPr>
          <w:kern w:val="0"/>
        </w:rPr>
        <w:t xml:space="preserve"> studies were clinically heterogeneous. No meta-analysis was undertaken. However, results</w:t>
      </w:r>
      <w:r w:rsidR="00427468">
        <w:rPr>
          <w:kern w:val="0"/>
        </w:rPr>
        <w:t xml:space="preserve"> of </w:t>
      </w:r>
      <w:r>
        <w:rPr>
          <w:kern w:val="0"/>
        </w:rPr>
        <w:t>the two included studies showed better pain relief with continuous ISBPB following major shoulder surgery and a lower incidence</w:t>
      </w:r>
      <w:r w:rsidR="00427468">
        <w:rPr>
          <w:kern w:val="0"/>
        </w:rPr>
        <w:t xml:space="preserve"> of </w:t>
      </w:r>
      <w:r>
        <w:rPr>
          <w:kern w:val="0"/>
        </w:rPr>
        <w:t>complications when interscalene block is performed under ultrasound guidance rather than without it. Authors</w:t>
      </w:r>
      <w:r w:rsidR="0071223E">
        <w:rPr>
          <w:kern w:val="0"/>
        </w:rPr>
        <w:t>’</w:t>
      </w:r>
      <w:r>
        <w:rPr>
          <w:kern w:val="0"/>
        </w:rPr>
        <w:t xml:space="preserve"> conclusions Because</w:t>
      </w:r>
      <w:r w:rsidR="00427468">
        <w:rPr>
          <w:kern w:val="0"/>
        </w:rPr>
        <w:t xml:space="preserve"> of </w:t>
      </w:r>
      <w:r>
        <w:rPr>
          <w:kern w:val="0"/>
        </w:rPr>
        <w:t>the small number</w:t>
      </w:r>
      <w:r w:rsidR="00427468">
        <w:rPr>
          <w:kern w:val="0"/>
        </w:rPr>
        <w:t xml:space="preserve"> of </w:t>
      </w:r>
      <w:r>
        <w:rPr>
          <w:kern w:val="0"/>
        </w:rPr>
        <w:t>studies (two) relevant to the subject and the high risk</w:t>
      </w:r>
      <w:r w:rsidR="00427468">
        <w:rPr>
          <w:kern w:val="0"/>
        </w:rPr>
        <w:t xml:space="preserve"> of </w:t>
      </w:r>
      <w:r>
        <w:rPr>
          <w:kern w:val="0"/>
        </w:rPr>
        <w:t>bias</w:t>
      </w:r>
      <w:r w:rsidR="00427468">
        <w:rPr>
          <w:kern w:val="0"/>
        </w:rPr>
        <w:t xml:space="preserve"> of </w:t>
      </w:r>
      <w:r>
        <w:rPr>
          <w:kern w:val="0"/>
        </w:rPr>
        <w:t>the selected studies, no reasonable conclusion can be drawn.</w:t>
      </w:r>
    </w:p>
    <w:p w:rsidR="00AF6059" w:rsidRDefault="00AF6059" w:rsidP="00AF6059">
      <w:pPr>
        <w:pStyle w:val="a3"/>
        <w:rPr>
          <w:kern w:val="0"/>
        </w:rPr>
      </w:pPr>
      <w:r>
        <w:rPr>
          <w:kern w:val="0"/>
        </w:rPr>
        <w:t xml:space="preserve">Keywords: Adult, Adverse Effects, Anaesthesia, Anaesthetics, Analgesia, Analgesic, Analgesics, Analysis, Assessing, Authors, Bias, Bibliographies, Brachial Plexus, Bupivacaine, Challenge, Clinician, Clonidine, Collection, Complications, Continuous-Infusion, Criteria, Data, Data Collection, Effectiveness, Effects, Efficacy, Elective, Embase, Forms, General-Anesthesia, Guidance, Incidence, Information, Injection, Lead, Local, Local Anaesthetics, Management, Medline, Meta Analysis, </w:t>
      </w:r>
      <w:r>
        <w:rPr>
          <w:kern w:val="0"/>
        </w:rPr>
        <w:lastRenderedPageBreak/>
        <w:t>Meta-Analysis, Metaanalysis, Methods, Modalities, Morbidity, Nerve Blocks, Opioid, Outcome, Pain, Pain Relief, Patient-Controlled Analgesia, Postoperative, Postoperative Pain, Quality, Randomized, Randomized Controlled Trials, Regional, Regional Anaesthesia, Review, Risk, Ropivacaine, Rotator Cuff Surgery, Science, Search, Small, Success, Surgery, Techniques, Trial, Ultrasound, Web</w:t>
      </w:r>
      <w:r w:rsidR="00427468">
        <w:rPr>
          <w:kern w:val="0"/>
        </w:rPr>
        <w:t xml:space="preserve"> of </w:t>
      </w:r>
      <w:r>
        <w:rPr>
          <w:kern w:val="0"/>
        </w:rPr>
        <w:t>Science</w:t>
      </w:r>
    </w:p>
    <w:p w:rsidR="00AF6059" w:rsidRDefault="00AF6059" w:rsidP="00AF6059">
      <w:pPr>
        <w:pStyle w:val="a3"/>
        <w:rPr>
          <w:kern w:val="0"/>
          <w:szCs w:val="24"/>
        </w:rPr>
      </w:pPr>
      <w:r>
        <w:rPr>
          <w:rFonts w:hint="eastAsia"/>
          <w:kern w:val="0"/>
        </w:rPr>
        <w:t xml:space="preserve">? </w:t>
      </w:r>
      <w:r>
        <w:rPr>
          <w:kern w:val="0"/>
        </w:rPr>
        <w:t xml:space="preserve">Gurusamy, K.S., Vaughan, J., Rossi, M. and Davidson, B.R. (2014), Fewer-than-four ports versus four ports for laparoscopic cholecystectomy. </w:t>
      </w:r>
      <w:r>
        <w:rPr>
          <w:i/>
          <w:iCs/>
          <w:kern w:val="0"/>
        </w:rPr>
        <w:t>Cochrane Database</w:t>
      </w:r>
      <w:r w:rsidR="00427468">
        <w:rPr>
          <w:i/>
          <w:iCs/>
          <w:kern w:val="0"/>
        </w:rPr>
        <w:t xml:space="preserve"> of </w:t>
      </w:r>
      <w:r>
        <w:rPr>
          <w:i/>
          <w:iCs/>
          <w:kern w:val="0"/>
        </w:rPr>
        <w:t>Systematic Reviews</w:t>
      </w:r>
      <w:r>
        <w:rPr>
          <w:kern w:val="0"/>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AE01EE">
        <w:rPr>
          <w:kern w:val="0"/>
        </w:rPr>
        <w:t>CD007109</w:t>
      </w:r>
      <w:r>
        <w:rPr>
          <w:rFonts w:hint="eastAsia"/>
          <w:kern w:val="0"/>
          <w:szCs w:val="24"/>
        </w:rPr>
        <w:t>.</w:t>
      </w:r>
    </w:p>
    <w:p w:rsidR="00AF6059" w:rsidRDefault="00AF6059" w:rsidP="00AF6059">
      <w:pPr>
        <w:pStyle w:val="a3"/>
        <w:rPr>
          <w:kern w:val="2"/>
        </w:rPr>
      </w:pPr>
      <w:r>
        <w:t xml:space="preserve">Full Text: </w:t>
      </w:r>
      <w:hyperlink r:id="rId800" w:history="1">
        <w:r w:rsidR="007835D2" w:rsidRPr="007835D2">
          <w:rPr>
            <w:rStyle w:val="a5"/>
          </w:rPr>
          <w:t>2014\Coc Dat Sys Rev2014, CD007109.pdf</w:t>
        </w:r>
      </w:hyperlink>
    </w:p>
    <w:p w:rsidR="00AF6059" w:rsidRDefault="00AF6059" w:rsidP="00AF6059">
      <w:pPr>
        <w:pStyle w:val="a3"/>
        <w:rPr>
          <w:kern w:val="0"/>
        </w:rPr>
      </w:pPr>
      <w:r>
        <w:rPr>
          <w:kern w:val="0"/>
        </w:rPr>
        <w:t>Abstract: Background Traditionally, laparoscopic cholecystectomy is performed using two 10-mm ports and two 5-mm ports. Recently, a reduction in the number</w:t>
      </w:r>
      <w:r w:rsidR="00427468">
        <w:rPr>
          <w:kern w:val="0"/>
        </w:rPr>
        <w:t xml:space="preserve"> of </w:t>
      </w:r>
      <w:r>
        <w:rPr>
          <w:kern w:val="0"/>
        </w:rPr>
        <w:t>ports has been suggested as a modification</w:t>
      </w:r>
      <w:r w:rsidR="00427468">
        <w:rPr>
          <w:kern w:val="0"/>
        </w:rPr>
        <w:t xml:space="preserve"> of </w:t>
      </w:r>
      <w:r>
        <w:rPr>
          <w:kern w:val="0"/>
        </w:rPr>
        <w:t>the standard technique with a view to decreasing pain and improving cosmesis</w:t>
      </w:r>
      <w:r w:rsidR="00A37C1D">
        <w:rPr>
          <w:kern w:val="0"/>
        </w:rPr>
        <w:t>. The</w:t>
      </w:r>
      <w:r>
        <w:rPr>
          <w:kern w:val="0"/>
        </w:rPr>
        <w:t xml:space="preserve"> safety and effectiveness</w:t>
      </w:r>
      <w:r w:rsidR="00427468">
        <w:rPr>
          <w:kern w:val="0"/>
        </w:rPr>
        <w:t xml:space="preserve"> of </w:t>
      </w:r>
      <w:r>
        <w:rPr>
          <w:kern w:val="0"/>
        </w:rPr>
        <w:t>using fewer-than-four ports has not yet been established. Objectives To assess the benefits (such as improvement in cosmesis and earlier return to activity) and harms (such as increased complications)</w:t>
      </w:r>
      <w:r w:rsidR="00427468">
        <w:rPr>
          <w:kern w:val="0"/>
        </w:rPr>
        <w:t xml:space="preserve"> of </w:t>
      </w:r>
      <w:r>
        <w:rPr>
          <w:kern w:val="0"/>
        </w:rPr>
        <w:t>using fewer-than-four ports (fewer-than-four-ports laparoscopic cholecystectomy) versus four ports in people undergoing laparoscopic cholecystectomy for any reason (symptomatic gallstones, a calculous cholecystitis, gallbladder polyp, or any other condition). Search methods We searched the Cochrane Central Register</w:t>
      </w:r>
      <w:r w:rsidR="00427468">
        <w:rPr>
          <w:kern w:val="0"/>
        </w:rPr>
        <w:t xml:space="preserve"> of </w:t>
      </w:r>
      <w:r>
        <w:rPr>
          <w:kern w:val="0"/>
        </w:rPr>
        <w:t>Controlled Trials (CENTRAL; Issue 8, 2013), MEDLINE, EMBASE, Science Citation Index Expanded, and the World Health Organization International Clinical Trials Registry Platform portal to September 2013. Selection criteria We included all randomised clinical trials comparing fewer-than-four ports versus four ports, that is, with standard laparoscopic cholecystectomy that is performed with two ports</w:t>
      </w:r>
      <w:r w:rsidR="00427468">
        <w:rPr>
          <w:kern w:val="0"/>
        </w:rPr>
        <w:t xml:space="preserve"> of </w:t>
      </w:r>
      <w:r>
        <w:rPr>
          <w:kern w:val="0"/>
        </w:rPr>
        <w:t>at least 10-mm incision and two ports</w:t>
      </w:r>
      <w:r w:rsidR="00427468">
        <w:rPr>
          <w:kern w:val="0"/>
        </w:rPr>
        <w:t xml:space="preserve"> of </w:t>
      </w:r>
      <w:r>
        <w:rPr>
          <w:kern w:val="0"/>
        </w:rPr>
        <w:t>at least 5-mm incision. Data collection and analysis Two review authors independently identified the trials and extracted the data. We analysed the data using both the fixed-effect and the random-effects models. For each outcome, we calculated the risk ratio (RR) or mean difference (MD) with 95% confidence intervals (CI) based on intention-to-treat analysis, whenever possible. Main results We found nine trials with 855 participants that randomised participants to fewer-than-four-ports laparoscopic cholecystectomy (n = 427) versus four-port laparoscopic cholecystectomy (n = 428). Most trials included low anaesthetic risk participants undergoing elective laparoscopic cholecystectomy. Seven</w:t>
      </w:r>
      <w:r w:rsidR="00427468">
        <w:rPr>
          <w:kern w:val="0"/>
        </w:rPr>
        <w:t xml:space="preserve"> of </w:t>
      </w:r>
      <w:r>
        <w:rPr>
          <w:kern w:val="0"/>
        </w:rPr>
        <w:t>the nine trials used a single port laparoscopic cholecystectomy and the remaining two trials used three-port laparoscopic cholecystectomy as the experimental intervention. Only one trial including 70 participants had low risk</w:t>
      </w:r>
      <w:r w:rsidR="00427468">
        <w:rPr>
          <w:kern w:val="0"/>
        </w:rPr>
        <w:t xml:space="preserve"> of </w:t>
      </w:r>
      <w:r>
        <w:rPr>
          <w:kern w:val="0"/>
        </w:rPr>
        <w:t>bias. Fewer-than-four-ports laparoscopic cholecystectomy could be completed successfully in more than 90%</w:t>
      </w:r>
      <w:r w:rsidR="00427468">
        <w:rPr>
          <w:kern w:val="0"/>
        </w:rPr>
        <w:t xml:space="preserve"> of </w:t>
      </w:r>
      <w:r>
        <w:rPr>
          <w:kern w:val="0"/>
        </w:rPr>
        <w:t>participants in most trials</w:t>
      </w:r>
      <w:r w:rsidR="00A37C1D">
        <w:rPr>
          <w:kern w:val="0"/>
        </w:rPr>
        <w:t>. The</w:t>
      </w:r>
      <w:r>
        <w:rPr>
          <w:kern w:val="0"/>
        </w:rPr>
        <w:t xml:space="preserve"> remaining participants were mostly converted to </w:t>
      </w:r>
      <w:r>
        <w:rPr>
          <w:kern w:val="0"/>
        </w:rPr>
        <w:lastRenderedPageBreak/>
        <w:t>four-port laparoscopic cholecystectomy but some participants had to undergo open cholecystectomy</w:t>
      </w:r>
      <w:r w:rsidR="00A37C1D">
        <w:rPr>
          <w:kern w:val="0"/>
        </w:rPr>
        <w:t>. The</w:t>
      </w:r>
      <w:r>
        <w:rPr>
          <w:kern w:val="0"/>
        </w:rPr>
        <w:t>re was no mortality in either group in the seven trials that reported mortality (318 participants in fewer-than-four-ports laparoscopic cholecystectomy group and 316 participants in four-port laparoscopic cholecystectomy group)</w:t>
      </w:r>
      <w:r w:rsidR="00A37C1D">
        <w:rPr>
          <w:kern w:val="0"/>
        </w:rPr>
        <w:t>. The</w:t>
      </w:r>
      <w:r>
        <w:rPr>
          <w:kern w:val="0"/>
        </w:rPr>
        <w:t xml:space="preserve"> proportion</w:t>
      </w:r>
      <w:r w:rsidR="00427468">
        <w:rPr>
          <w:kern w:val="0"/>
        </w:rPr>
        <w:t xml:space="preserve"> of </w:t>
      </w:r>
      <w:r>
        <w:rPr>
          <w:kern w:val="0"/>
        </w:rPr>
        <w:t>participants with serious adverse events was low in both treatment groups and the estimated RR was compatible with a reduction and substantial increased risk with the fewer-than-four-ports group (6/318 (1.9%)) and four-port laparoscopic cholecystectomy group (0/316 (0%)) (RR 3.93; 95% CI 0.86 to 18.04; 7 trials; 634 participants; very low quality evidence)</w:t>
      </w:r>
      <w:r w:rsidR="00A37C1D">
        <w:rPr>
          <w:kern w:val="0"/>
        </w:rPr>
        <w:t>. The</w:t>
      </w:r>
      <w:r>
        <w:rPr>
          <w:kern w:val="0"/>
        </w:rPr>
        <w:t xml:space="preserve"> estimated difference in the quality</w:t>
      </w:r>
      <w:r w:rsidR="00427468">
        <w:rPr>
          <w:kern w:val="0"/>
        </w:rPr>
        <w:t xml:space="preserve"> of </w:t>
      </w:r>
      <w:r>
        <w:rPr>
          <w:kern w:val="0"/>
        </w:rPr>
        <w:t>life (measured between 10 and 30 days) was imprecise (standardised mean difference (SMD) 0.18; 95% CI -0.05 to 0.42; 4 trials; 510 participants; very low quality evidence), as was the proportion</w:t>
      </w:r>
      <w:r w:rsidR="00427468">
        <w:rPr>
          <w:kern w:val="0"/>
        </w:rPr>
        <w:t xml:space="preserve"> of </w:t>
      </w:r>
      <w:r>
        <w:rPr>
          <w:kern w:val="0"/>
        </w:rPr>
        <w:t>participants in whom the laparoscopic cholecystectomy had to be converted to open cholecystectomy between the groups (fewer-than-four ports 3/289 (adjusted proportion 1.2%) versus four port: 5/292 (1.7%); RR 0.68; 95% CI 0.19 to 2.35; 5 trials; 581 participants; very low quality evidence)</w:t>
      </w:r>
      <w:r w:rsidR="00A37C1D">
        <w:rPr>
          <w:kern w:val="0"/>
        </w:rPr>
        <w:t>. The</w:t>
      </w:r>
      <w:r>
        <w:rPr>
          <w:kern w:val="0"/>
        </w:rPr>
        <w:t xml:space="preserve"> fewer-than-four-ports laparoscopic cholecystectomy took 14 minutes longer to complete (MD 14.44 minutes; 95% CI 5.95 to 22.93; 9 trials; 855 participants; very low quality evidence)</w:t>
      </w:r>
      <w:r w:rsidR="00A37C1D">
        <w:rPr>
          <w:kern w:val="0"/>
        </w:rPr>
        <w:t>. The</w:t>
      </w:r>
      <w:r>
        <w:rPr>
          <w:kern w:val="0"/>
        </w:rPr>
        <w:t>re was no clear difference in hospital stay between the groups (MD -0.01 days; 95% CI -0.28 to 0.26; 6 trials; 731 participants) or in the proportion</w:t>
      </w:r>
      <w:r w:rsidR="00427468">
        <w:rPr>
          <w:kern w:val="0"/>
        </w:rPr>
        <w:t xml:space="preserve"> of </w:t>
      </w:r>
      <w:r>
        <w:rPr>
          <w:kern w:val="0"/>
        </w:rPr>
        <w:t>participants discharged as day surgery (RR 0.92; 95% CI 0.70 to 1.22; 1 trial; 50 participants; very low quality evidence) between the two groups</w:t>
      </w:r>
      <w:r w:rsidR="00A37C1D">
        <w:rPr>
          <w:kern w:val="0"/>
        </w:rPr>
        <w:t>. The</w:t>
      </w:r>
      <w:r>
        <w:rPr>
          <w:kern w:val="0"/>
        </w:rPr>
        <w:t xml:space="preserve"> times taken to return to normal activity and work were shorter by two days in the fewer-than-four-ports group compared with four-port laparoscopic cholecystectomy (return to normal activity: MD -1.20 days; 95% CI -1.58 to -0.81; 2 trials; 325 participants; very low quality evidence; return to work: MD -2.00 days; 95% CI -3.31 to -0.69; 1 trial; 150 participants; very low quality evidence)</w:t>
      </w:r>
      <w:r w:rsidR="00A37C1D">
        <w:rPr>
          <w:kern w:val="0"/>
        </w:rPr>
        <w:t>. The</w:t>
      </w:r>
      <w:r>
        <w:rPr>
          <w:kern w:val="0"/>
        </w:rPr>
        <w:t>re was no significant difference in cosmesis scores at 6 to 12 months between the two groups (SMD 0.37; 95% CI -0.10 to 0.84; 2 trials; 317 participants; very low quality evidence). Authors</w:t>
      </w:r>
      <w:r w:rsidR="0071223E">
        <w:rPr>
          <w:kern w:val="0"/>
        </w:rPr>
        <w:t>’</w:t>
      </w:r>
      <w:r>
        <w:rPr>
          <w:kern w:val="0"/>
        </w:rPr>
        <w:t xml:space="preserve"> conclusions There is very low quality evidence that is insufficient to determine whether there is any significant clinical benefit in using fewer-than-four-ports laparoscopic cholecystectomy compared with four-port laparoscopic cholecystectomy</w:t>
      </w:r>
      <w:r w:rsidR="00A37C1D">
        <w:rPr>
          <w:kern w:val="0"/>
        </w:rPr>
        <w:t>. The</w:t>
      </w:r>
      <w:r>
        <w:rPr>
          <w:kern w:val="0"/>
        </w:rPr>
        <w:t xml:space="preserve"> safety profile</w:t>
      </w:r>
      <w:r w:rsidR="00427468">
        <w:rPr>
          <w:kern w:val="0"/>
        </w:rPr>
        <w:t xml:space="preserve"> of </w:t>
      </w:r>
      <w:r>
        <w:rPr>
          <w:kern w:val="0"/>
        </w:rPr>
        <w:t>using fewer than-four ports is yet to be established and fewer-than-four-ports laparoscopic cholecystectomy should be reserved for well-designed randomised clinical trials.</w:t>
      </w:r>
    </w:p>
    <w:p w:rsidR="00AF6059" w:rsidRDefault="00AF6059" w:rsidP="00AF6059">
      <w:pPr>
        <w:pStyle w:val="a3"/>
        <w:rPr>
          <w:kern w:val="0"/>
        </w:rPr>
      </w:pPr>
      <w:r>
        <w:rPr>
          <w:kern w:val="0"/>
        </w:rPr>
        <w:t xml:space="preserve">Keywords: Activity, Analysis, Authors, Benefits, Bias, Cholecystectomy, Citation, Clinical, Clinical Trials, Clinical-Trial, Collection, Complete, Complications, Confidence, Confidence Intervals, Criteria, Data, Data Collection, Design Characteristics, Effectiveness, Elective, Embase, Empirical-Evidence, Events, </w:t>
      </w:r>
      <w:r>
        <w:rPr>
          <w:kern w:val="0"/>
        </w:rPr>
        <w:lastRenderedPageBreak/>
        <w:t>Evidence, Experimental, Groups, Health, Hospital, Hospital Stay, Improvement, Incision, Information Size, Intervals, Intervention, Laparoendoscopic Single-Site, Laparoscopic, Laparoscopic Cholecystectomy, Life, Low Risk, Medline, Metaanalysis, Methods, Models, Modification, Mortality, Normal, Open, Outcome, Pain, Port, Quality, Quality Of, Quality</w:t>
      </w:r>
      <w:r w:rsidR="00427468">
        <w:rPr>
          <w:kern w:val="0"/>
        </w:rPr>
        <w:t xml:space="preserve"> of </w:t>
      </w:r>
      <w:r>
        <w:rPr>
          <w:kern w:val="0"/>
        </w:rPr>
        <w:t>Life, Randomised, Randomized-Controlled-Trial, Reduction, Review, Risk, Safety, Science, Science Citation Index, Science Citation Index Expanded, Search, Sequential-Analysis, Standard, Surgery, Treatment, Trial, Work, World Health Organization</w:t>
      </w:r>
    </w:p>
    <w:p w:rsidR="00C56473" w:rsidRDefault="00C56473" w:rsidP="00C56473">
      <w:pPr>
        <w:pStyle w:val="a3"/>
        <w:rPr>
          <w:kern w:val="0"/>
          <w:szCs w:val="24"/>
        </w:rPr>
      </w:pPr>
      <w:r>
        <w:rPr>
          <w:kern w:val="0"/>
          <w:szCs w:val="24"/>
        </w:rPr>
        <w:t xml:space="preserve">? Brooks, S.C., Hassan, N., Bigham, B.L. and Morrison, L.J. (2014), Mechanical versus manual chest compressions for cardiac arrest.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Article Number: CD007260</w:t>
      </w:r>
      <w:r>
        <w:rPr>
          <w:rFonts w:hint="eastAsia"/>
          <w:kern w:val="0"/>
          <w:szCs w:val="24"/>
        </w:rPr>
        <w:t>.</w:t>
      </w:r>
    </w:p>
    <w:p w:rsidR="00C56473" w:rsidRDefault="00C56473" w:rsidP="00C56473">
      <w:pPr>
        <w:pStyle w:val="a3"/>
        <w:rPr>
          <w:kern w:val="2"/>
        </w:rPr>
      </w:pPr>
      <w:r>
        <w:t xml:space="preserve">Full Text: </w:t>
      </w:r>
      <w:hyperlink r:id="rId801" w:history="1">
        <w:r w:rsidR="007835D2" w:rsidRPr="007835D2">
          <w:rPr>
            <w:rStyle w:val="a5"/>
          </w:rPr>
          <w:t>2014\Coc Dat Sys Rev2014, CD007260.pdf</w:t>
        </w:r>
      </w:hyperlink>
    </w:p>
    <w:p w:rsidR="00C56473" w:rsidRDefault="00C56473" w:rsidP="00C56473">
      <w:pPr>
        <w:pStyle w:val="a3"/>
        <w:rPr>
          <w:kern w:val="0"/>
          <w:szCs w:val="24"/>
        </w:rPr>
      </w:pPr>
      <w:r>
        <w:rPr>
          <w:kern w:val="0"/>
          <w:szCs w:val="24"/>
        </w:rPr>
        <w:t>Abstract: Background This is the first update</w:t>
      </w:r>
      <w:r w:rsidR="00427468">
        <w:rPr>
          <w:kern w:val="0"/>
          <w:szCs w:val="24"/>
        </w:rPr>
        <w:t xml:space="preserve"> of </w:t>
      </w:r>
      <w:r>
        <w:rPr>
          <w:kern w:val="0"/>
          <w:szCs w:val="24"/>
        </w:rPr>
        <w:t>the Cochrane review on mechanical chest compression devices published in 2011 (Brooks 2011). Mechanical chest compression devices have been proposed to improve the effectiveness</w:t>
      </w:r>
      <w:r w:rsidR="00427468">
        <w:rPr>
          <w:kern w:val="0"/>
          <w:szCs w:val="24"/>
        </w:rPr>
        <w:t xml:space="preserve"> of </w:t>
      </w:r>
      <w:r>
        <w:rPr>
          <w:kern w:val="0"/>
          <w:szCs w:val="24"/>
        </w:rPr>
        <w:t>cardiopulmonary resuscitation (CPR). Objectives To assess the effectiveness</w:t>
      </w:r>
      <w:r w:rsidR="00427468">
        <w:rPr>
          <w:kern w:val="0"/>
          <w:szCs w:val="24"/>
        </w:rPr>
        <w:t xml:space="preserve"> of </w:t>
      </w:r>
      <w:r>
        <w:rPr>
          <w:kern w:val="0"/>
          <w:szCs w:val="24"/>
        </w:rPr>
        <w:t>mechanical chest compressions versus standard manual chest compressions with respect to neurologically intact survival in patients who suffer cardiac arrest. Search methods We searched the Cochrane Central Register</w:t>
      </w:r>
      <w:r w:rsidR="00427468">
        <w:rPr>
          <w:kern w:val="0"/>
          <w:szCs w:val="24"/>
        </w:rPr>
        <w:t xml:space="preserve"> of </w:t>
      </w:r>
      <w:r>
        <w:rPr>
          <w:kern w:val="0"/>
          <w:szCs w:val="24"/>
        </w:rPr>
        <w:t>Controlled Studies (CENTRAL; 2013, Issue 12), MEDLINE Ovid (1946 to 2013 January Week 1), EMBASE (1980 to 2013 January Week 2), Science Citation abstracts (1960 to 18 November 2009), Science Citation Index-Expanded (SCI-EXPANDED) (1970 to 11 January 2013) on Thomson Reuters Web</w:t>
      </w:r>
      <w:r w:rsidR="00427468">
        <w:rPr>
          <w:kern w:val="0"/>
          <w:szCs w:val="24"/>
        </w:rPr>
        <w:t xml:space="preserve"> of </w:t>
      </w:r>
      <w:r>
        <w:rPr>
          <w:kern w:val="0"/>
          <w:szCs w:val="24"/>
        </w:rPr>
        <w:t>Science, biotechnology and bioengineering abstracts (1982 to 18 November 2009), conference proceedings Citation Index-Science (CPCI-S) (1990 to 11 January 2013) and clinicaltrials.gov (2 August 2013). We applied no language restrictions. Experts in the field</w:t>
      </w:r>
      <w:r w:rsidR="00427468">
        <w:rPr>
          <w:kern w:val="0"/>
          <w:szCs w:val="24"/>
        </w:rPr>
        <w:t xml:space="preserve"> of </w:t>
      </w:r>
      <w:r>
        <w:rPr>
          <w:kern w:val="0"/>
          <w:szCs w:val="24"/>
        </w:rPr>
        <w:t>mechanical chest compression devices and manufacturers were contacted. Selection criteria We included randomised controlled trials (RCTs), cluster RCTs and quasi-randomised studies comparing mechanical chest compressions versus manual chest compressions during CPR for patients with atraumatic cardiac arrest. Data collection and analysis Two review authors abstracted data independently; disagreement between review authors was resolved by consensus and by a third review author if consensus could not be reached</w:t>
      </w:r>
      <w:r w:rsidR="00A37C1D">
        <w:rPr>
          <w:kern w:val="0"/>
          <w:szCs w:val="24"/>
        </w:rPr>
        <w:t>. The</w:t>
      </w:r>
      <w:r>
        <w:rPr>
          <w:kern w:val="0"/>
          <w:szCs w:val="24"/>
        </w:rPr>
        <w:t xml:space="preserve"> methodologies</w:t>
      </w:r>
      <w:r w:rsidR="00427468">
        <w:rPr>
          <w:kern w:val="0"/>
          <w:szCs w:val="24"/>
        </w:rPr>
        <w:t xml:space="preserve"> of </w:t>
      </w:r>
      <w:r>
        <w:rPr>
          <w:kern w:val="0"/>
          <w:szCs w:val="24"/>
        </w:rPr>
        <w:t>selected studies were evaluated by a single author for risk</w:t>
      </w:r>
      <w:r w:rsidR="00427468">
        <w:rPr>
          <w:kern w:val="0"/>
          <w:szCs w:val="24"/>
        </w:rPr>
        <w:t xml:space="preserve"> of </w:t>
      </w:r>
      <w:r>
        <w:rPr>
          <w:kern w:val="0"/>
          <w:szCs w:val="24"/>
        </w:rPr>
        <w:t>bias</w:t>
      </w:r>
      <w:r w:rsidR="00A37C1D">
        <w:rPr>
          <w:kern w:val="0"/>
          <w:szCs w:val="24"/>
        </w:rPr>
        <w:t>. The</w:t>
      </w:r>
      <w:r>
        <w:rPr>
          <w:kern w:val="0"/>
          <w:szCs w:val="24"/>
        </w:rPr>
        <w:t xml:space="preserve"> primary outcome was survival to hospital discharge with good neurological outcome. We planned to use RevMan 5 (Version 5.2</w:t>
      </w:r>
      <w:r w:rsidR="00A37C1D">
        <w:rPr>
          <w:kern w:val="0"/>
          <w:szCs w:val="24"/>
        </w:rPr>
        <w:t>. The</w:t>
      </w:r>
      <w:r>
        <w:rPr>
          <w:kern w:val="0"/>
          <w:szCs w:val="24"/>
        </w:rPr>
        <w:t xml:space="preserve"> Nordic Cochrane Centre) and the DerSimonian &amp; Laird method (random-effects model) to provide a pooled estimate for risk ratio (RR) with 95% confidence intervals (95% CIs), if data allowed. Main results Two new studies were included in this update. Six trials in total, including data from 1166 participants, </w:t>
      </w:r>
      <w:r>
        <w:rPr>
          <w:kern w:val="0"/>
          <w:szCs w:val="24"/>
        </w:rPr>
        <w:lastRenderedPageBreak/>
        <w:t>were included in the review</w:t>
      </w:r>
      <w:r w:rsidR="00A37C1D">
        <w:rPr>
          <w:kern w:val="0"/>
          <w:szCs w:val="24"/>
        </w:rPr>
        <w:t>. The</w:t>
      </w:r>
      <w:r>
        <w:rPr>
          <w:kern w:val="0"/>
          <w:szCs w:val="24"/>
        </w:rPr>
        <w:t xml:space="preserve"> overall quality</w:t>
      </w:r>
      <w:r w:rsidR="00427468">
        <w:rPr>
          <w:kern w:val="0"/>
          <w:szCs w:val="24"/>
        </w:rPr>
        <w:t xml:space="preserve"> of </w:t>
      </w:r>
      <w:r>
        <w:rPr>
          <w:kern w:val="0"/>
          <w:szCs w:val="24"/>
        </w:rPr>
        <w:t>included studies was poor, and significant clinical heterogeneity was observed. Only one study (N = 767) reported survival to hospital discharge with good neurological function (defined as a Cerebral Performance Category score</w:t>
      </w:r>
      <w:r w:rsidR="00427468">
        <w:rPr>
          <w:kern w:val="0"/>
          <w:szCs w:val="24"/>
        </w:rPr>
        <w:t xml:space="preserve"> of </w:t>
      </w:r>
      <w:r>
        <w:rPr>
          <w:kern w:val="0"/>
          <w:szCs w:val="24"/>
        </w:rPr>
        <w:t>one or two), demonstrating reduced survival with mechanical chest compressions when compared with manual chest compressions (RR 0.41, 95% CI 0.21 to 0.79). Data from four studies demonstrated increased return</w:t>
      </w:r>
      <w:r w:rsidR="00427468">
        <w:rPr>
          <w:kern w:val="0"/>
          <w:szCs w:val="24"/>
        </w:rPr>
        <w:t xml:space="preserve"> of </w:t>
      </w:r>
      <w:r>
        <w:rPr>
          <w:kern w:val="0"/>
          <w:szCs w:val="24"/>
        </w:rPr>
        <w:t>spontaneous circulation, and data from two studies demonstrated increased survival to hospital admission with mechanical chest compressions as compared with manual chest compressions, but none</w:t>
      </w:r>
      <w:r w:rsidR="00427468">
        <w:rPr>
          <w:kern w:val="0"/>
          <w:szCs w:val="24"/>
        </w:rPr>
        <w:t xml:space="preserve"> of </w:t>
      </w:r>
      <w:r>
        <w:rPr>
          <w:kern w:val="0"/>
          <w:szCs w:val="24"/>
        </w:rPr>
        <w:t>the individual estimates reached statistical significance. Marked clinical heterogeneity between studies precluded any pooled estimates</w:t>
      </w:r>
      <w:r w:rsidR="00427468">
        <w:rPr>
          <w:kern w:val="0"/>
          <w:szCs w:val="24"/>
        </w:rPr>
        <w:t xml:space="preserve"> of </w:t>
      </w:r>
      <w:r>
        <w:rPr>
          <w:kern w:val="0"/>
          <w:szCs w:val="24"/>
        </w:rPr>
        <w:t>effect. Authors</w:t>
      </w:r>
      <w:r w:rsidR="0071223E">
        <w:rPr>
          <w:kern w:val="0"/>
          <w:szCs w:val="24"/>
        </w:rPr>
        <w:t>’</w:t>
      </w:r>
      <w:r>
        <w:rPr>
          <w:kern w:val="0"/>
          <w:szCs w:val="24"/>
        </w:rPr>
        <w:t xml:space="preserve"> conclusions Evidence from RCTs in humans is insufficient to conclude that mechanical chest compressions during cardiopulmonary resuscitation for cardiac arrest are associated with benefit or harm. Widespread use</w:t>
      </w:r>
      <w:r w:rsidR="00427468">
        <w:rPr>
          <w:kern w:val="0"/>
          <w:szCs w:val="24"/>
        </w:rPr>
        <w:t xml:space="preserve"> of </w:t>
      </w:r>
      <w:r>
        <w:rPr>
          <w:kern w:val="0"/>
          <w:szCs w:val="24"/>
        </w:rPr>
        <w:t>mechanical devices for chest compressions during cardiac events is not supported by this review. More RCTs that measure and account for the CPR process in both arms are needed to clarify the potential benefit to be derived from this intervention.</w:t>
      </w:r>
    </w:p>
    <w:p w:rsidR="00C56473" w:rsidRDefault="00C56473" w:rsidP="00C56473">
      <w:pPr>
        <w:pStyle w:val="a3"/>
        <w:rPr>
          <w:kern w:val="0"/>
          <w:szCs w:val="24"/>
        </w:rPr>
      </w:pPr>
      <w:r>
        <w:rPr>
          <w:kern w:val="0"/>
          <w:szCs w:val="24"/>
        </w:rPr>
        <w:t>Keywords: *Methods, *Therapy], American-Heart-Association, Analysis, Authors, Bias, Biotechnology, Blood-Flow, Cardiac Arrest, Cardiopulmonary, Cardiopulmonary Resuscitation, Cardiopulmonary Resuscitation [Instrumentation, Citation, Clinical, Cluster, Collection, Conference Proceedings, Confidence, Confidence Intervals, Consensus, Cpr, Cpr Assist Device, Criteria, Data, Data Collection, Decompression Cardiopulmonary-Resuscitation, Discharge, Effectiveness, Embase, Ems System, Estimates, Events, Evidence, Field, First, Function, Heart Arrest [Mortality, Heterogeneity, Hospital, Humans, Improved Hemodynamics, Intervals, Intervention, Language, Life-Support, Measure, Medline, Methodologies, Methods, Model, Mortality], N, Neurological, Outcome, Patient Discharge, Patients, Performance, Phased Chest, Porcine Model, Potential, Primary, Quality, Quality Of, Random Effects Model, Randomised, Randomised Controlled Trials, Randomized Clinical-Trial, Randomized Controlled Trials As Topic, Restrictions, Resuscitation, Review, Risk, Science, Science Citation Index Expanded, Science Citation Index-Expanded, Search, Significance, Spontaneous, Standard, Survival, Thomson Reuters, Thomson-Reuters, Web</w:t>
      </w:r>
      <w:r w:rsidR="00427468">
        <w:rPr>
          <w:kern w:val="0"/>
          <w:szCs w:val="24"/>
        </w:rPr>
        <w:t xml:space="preserve"> of </w:t>
      </w:r>
      <w:r>
        <w:rPr>
          <w:kern w:val="0"/>
          <w:szCs w:val="24"/>
        </w:rPr>
        <w:t>Science</w:t>
      </w:r>
    </w:p>
    <w:p w:rsidR="00C56473" w:rsidRDefault="00C56473" w:rsidP="00C56473">
      <w:pPr>
        <w:pStyle w:val="a3"/>
        <w:rPr>
          <w:kern w:val="0"/>
          <w:szCs w:val="24"/>
        </w:rPr>
      </w:pPr>
      <w:r>
        <w:rPr>
          <w:kern w:val="0"/>
          <w:szCs w:val="24"/>
        </w:rPr>
        <w:t xml:space="preserve">? Haugaard, M.V., Wettergren, A., Hillingso, J.G., Gluud, C. and Penninga, L. (2014), Non-operative versus operative treatment for blunt pancreatic trauma in children.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E2600B">
        <w:rPr>
          <w:kern w:val="0"/>
          <w:szCs w:val="24"/>
        </w:rPr>
        <w:t>CD009746</w:t>
      </w:r>
      <w:r>
        <w:rPr>
          <w:rFonts w:hint="eastAsia"/>
          <w:kern w:val="0"/>
          <w:szCs w:val="24"/>
        </w:rPr>
        <w:t>.</w:t>
      </w:r>
    </w:p>
    <w:p w:rsidR="00C56473" w:rsidRDefault="00C56473" w:rsidP="00C56473">
      <w:pPr>
        <w:pStyle w:val="a3"/>
        <w:rPr>
          <w:kern w:val="2"/>
        </w:rPr>
      </w:pPr>
      <w:r>
        <w:t xml:space="preserve">Full Text: </w:t>
      </w:r>
      <w:hyperlink r:id="rId802" w:history="1">
        <w:r w:rsidR="007835D2" w:rsidRPr="007835D2">
          <w:rPr>
            <w:rStyle w:val="a5"/>
          </w:rPr>
          <w:t>2014\Coc Dat Sys Rev2014, CD009746.pdf</w:t>
        </w:r>
      </w:hyperlink>
    </w:p>
    <w:p w:rsidR="00C56473" w:rsidRDefault="00C56473" w:rsidP="00C56473">
      <w:pPr>
        <w:pStyle w:val="a3"/>
        <w:rPr>
          <w:kern w:val="0"/>
          <w:szCs w:val="24"/>
        </w:rPr>
      </w:pPr>
      <w:r>
        <w:rPr>
          <w:kern w:val="0"/>
          <w:szCs w:val="24"/>
        </w:rPr>
        <w:t xml:space="preserve">Abstract: Background Pancreatic trauma in children is a serious condition with high morbidity. Blunt traumatic pancreatic lesions in children can be treated non-operatively or operatively. For less severe, grade I and II, blunt pancreatic </w:t>
      </w:r>
      <w:r>
        <w:rPr>
          <w:kern w:val="0"/>
          <w:szCs w:val="24"/>
        </w:rPr>
        <w:lastRenderedPageBreak/>
        <w:t>trauma a non-operative or conservative approach is usually employed. Currently, the optimal treatment,</w:t>
      </w:r>
      <w:r w:rsidR="00427468">
        <w:rPr>
          <w:kern w:val="0"/>
          <w:szCs w:val="24"/>
        </w:rPr>
        <w:t xml:space="preserve"> of </w:t>
      </w:r>
      <w:r>
        <w:rPr>
          <w:kern w:val="0"/>
          <w:szCs w:val="24"/>
        </w:rPr>
        <w:t>whether to perform operative or non-operative treatment</w:t>
      </w:r>
      <w:r w:rsidR="00427468">
        <w:rPr>
          <w:kern w:val="0"/>
          <w:szCs w:val="24"/>
        </w:rPr>
        <w:t xml:space="preserve"> of </w:t>
      </w:r>
      <w:r>
        <w:rPr>
          <w:kern w:val="0"/>
          <w:szCs w:val="24"/>
        </w:rPr>
        <w:t>severe, grade III to V, blunt pancreatic injury in children is unclear. Objectives To assess the benefits and harms</w:t>
      </w:r>
      <w:r w:rsidR="00427468">
        <w:rPr>
          <w:kern w:val="0"/>
          <w:szCs w:val="24"/>
        </w:rPr>
        <w:t xml:space="preserve"> of </w:t>
      </w:r>
      <w:r>
        <w:rPr>
          <w:kern w:val="0"/>
          <w:szCs w:val="24"/>
        </w:rPr>
        <w:t>operative versus non-operative treatment</w:t>
      </w:r>
      <w:r w:rsidR="00427468">
        <w:rPr>
          <w:kern w:val="0"/>
          <w:szCs w:val="24"/>
        </w:rPr>
        <w:t xml:space="preserve"> of </w:t>
      </w:r>
      <w:r>
        <w:rPr>
          <w:kern w:val="0"/>
          <w:szCs w:val="24"/>
        </w:rPr>
        <w:t>blunt pancreatic trauma in children. Search methods We searched the Cochrane Injuries Group</w:t>
      </w:r>
      <w:r w:rsidR="0071223E">
        <w:rPr>
          <w:kern w:val="0"/>
          <w:szCs w:val="24"/>
        </w:rPr>
        <w:t>’</w:t>
      </w:r>
      <w:r>
        <w:rPr>
          <w:kern w:val="0"/>
          <w:szCs w:val="24"/>
        </w:rPr>
        <w:t>s Specialised Register, Cochrane Central Register</w:t>
      </w:r>
      <w:r w:rsidR="00427468">
        <w:rPr>
          <w:kern w:val="0"/>
          <w:szCs w:val="24"/>
        </w:rPr>
        <w:t xml:space="preserve"> of </w:t>
      </w:r>
      <w:r>
        <w:rPr>
          <w:kern w:val="0"/>
          <w:szCs w:val="24"/>
        </w:rPr>
        <w:t>Controlled Trials (Issue 5, 2013), MEDLINE (OvidSP), EMBASE (OvidSP), ISI Web</w:t>
      </w:r>
      <w:r w:rsidR="00427468">
        <w:rPr>
          <w:kern w:val="0"/>
          <w:szCs w:val="24"/>
        </w:rPr>
        <w:t xml:space="preserve"> of </w:t>
      </w:r>
      <w:r>
        <w:rPr>
          <w:kern w:val="0"/>
          <w:szCs w:val="24"/>
        </w:rPr>
        <w:t>Science (SCI-EXPANDED and CPCI-S) and ZETOC. In addition, we searched bibliographies</w:t>
      </w:r>
      <w:r w:rsidR="00427468">
        <w:rPr>
          <w:kern w:val="0"/>
          <w:szCs w:val="24"/>
        </w:rPr>
        <w:t xml:space="preserve"> of </w:t>
      </w:r>
      <w:r>
        <w:rPr>
          <w:kern w:val="0"/>
          <w:szCs w:val="24"/>
        </w:rPr>
        <w:t>relevant articles, conference proceeding abstracts and clinical trials registries. We conducted the search on the 21 June 2013. Selection criteria We planned to select all randomised clinical trials investigating non-operative versus operative treatment</w:t>
      </w:r>
      <w:r w:rsidR="00427468">
        <w:rPr>
          <w:kern w:val="0"/>
          <w:szCs w:val="24"/>
        </w:rPr>
        <w:t xml:space="preserve"> of </w:t>
      </w:r>
      <w:r>
        <w:rPr>
          <w:kern w:val="0"/>
          <w:szCs w:val="24"/>
        </w:rPr>
        <w:t>blunt pancreatic trauma in children, irrespective</w:t>
      </w:r>
      <w:r w:rsidR="00427468">
        <w:rPr>
          <w:kern w:val="0"/>
          <w:szCs w:val="24"/>
        </w:rPr>
        <w:t xml:space="preserve"> of </w:t>
      </w:r>
      <w:r>
        <w:rPr>
          <w:kern w:val="0"/>
          <w:szCs w:val="24"/>
        </w:rPr>
        <w:t>blinding, publication status or language</w:t>
      </w:r>
      <w:r w:rsidR="00427468">
        <w:rPr>
          <w:kern w:val="0"/>
          <w:szCs w:val="24"/>
        </w:rPr>
        <w:t xml:space="preserve"> of </w:t>
      </w:r>
      <w:r>
        <w:rPr>
          <w:kern w:val="0"/>
          <w:szCs w:val="24"/>
        </w:rPr>
        <w:t>publication. Data collection and analysis We used relevant search strategies to obtain the titles and abstracts</w:t>
      </w:r>
      <w:r w:rsidR="00427468">
        <w:rPr>
          <w:kern w:val="0"/>
          <w:szCs w:val="24"/>
        </w:rPr>
        <w:t xml:space="preserve"> of </w:t>
      </w:r>
      <w:r>
        <w:rPr>
          <w:kern w:val="0"/>
          <w:szCs w:val="24"/>
        </w:rPr>
        <w:t>studies that were relevant for the review. Two review authors independently assessed trial eligibility. Main results The search found 83 relevant references. We excluded all</w:t>
      </w:r>
      <w:r w:rsidR="00427468">
        <w:rPr>
          <w:kern w:val="0"/>
          <w:szCs w:val="24"/>
        </w:rPr>
        <w:t xml:space="preserve"> of </w:t>
      </w:r>
      <w:r>
        <w:rPr>
          <w:kern w:val="0"/>
          <w:szCs w:val="24"/>
        </w:rPr>
        <w:t>the references and found no randomised clinical trials investigating treatment</w:t>
      </w:r>
      <w:r w:rsidR="00427468">
        <w:rPr>
          <w:kern w:val="0"/>
          <w:szCs w:val="24"/>
        </w:rPr>
        <w:t xml:space="preserve"> of </w:t>
      </w:r>
      <w:r>
        <w:rPr>
          <w:kern w:val="0"/>
          <w:szCs w:val="24"/>
        </w:rPr>
        <w:t>blunt pancreatic trauma in children. Authors</w:t>
      </w:r>
      <w:r w:rsidR="0071223E">
        <w:rPr>
          <w:kern w:val="0"/>
          <w:szCs w:val="24"/>
        </w:rPr>
        <w:t>’</w:t>
      </w:r>
      <w:r>
        <w:rPr>
          <w:kern w:val="0"/>
          <w:szCs w:val="24"/>
        </w:rPr>
        <w:t xml:space="preserve"> conclusions This review shows that strategies regarding non-operative versus operative treatment</w:t>
      </w:r>
      <w:r w:rsidR="00427468">
        <w:rPr>
          <w:kern w:val="0"/>
          <w:szCs w:val="24"/>
        </w:rPr>
        <w:t xml:space="preserve"> of </w:t>
      </w:r>
      <w:r>
        <w:rPr>
          <w:kern w:val="0"/>
          <w:szCs w:val="24"/>
        </w:rPr>
        <w:t>severe blunt pancreatic trauma in children are not based on randomised clinical trials. We recommend that multi-centre trials evaluating non-operative versus operative treatment</w:t>
      </w:r>
      <w:r w:rsidR="00427468">
        <w:rPr>
          <w:kern w:val="0"/>
          <w:szCs w:val="24"/>
        </w:rPr>
        <w:t xml:space="preserve"> of </w:t>
      </w:r>
      <w:r>
        <w:rPr>
          <w:kern w:val="0"/>
          <w:szCs w:val="24"/>
        </w:rPr>
        <w:t>paediatric pancreatic trauma are conducted to establish firm evidence in this field</w:t>
      </w:r>
      <w:r w:rsidR="00427468">
        <w:rPr>
          <w:kern w:val="0"/>
          <w:szCs w:val="24"/>
        </w:rPr>
        <w:t xml:space="preserve"> of </w:t>
      </w:r>
      <w:r>
        <w:rPr>
          <w:kern w:val="0"/>
          <w:szCs w:val="24"/>
        </w:rPr>
        <w:t>medicine.</w:t>
      </w:r>
    </w:p>
    <w:p w:rsidR="00C56473" w:rsidRDefault="00C56473" w:rsidP="00C56473">
      <w:pPr>
        <w:pStyle w:val="a3"/>
        <w:rPr>
          <w:kern w:val="0"/>
          <w:szCs w:val="24"/>
        </w:rPr>
      </w:pPr>
      <w:r>
        <w:rPr>
          <w:kern w:val="0"/>
          <w:szCs w:val="24"/>
        </w:rPr>
        <w:t>Keywords: Abdominal-Trauma, Analysis, Approach, Authors, Benefits, Bias, Bibliographies, Children, Clinical, Clinical Trials, Collection, Conservative, Criteria, Damage Control Surgery, Data, Data Collection, Duct, Embase, Empirical-Evidence, Evidence, Field, Injury, Isi, Isi Web</w:t>
      </w:r>
      <w:r w:rsidR="00427468">
        <w:rPr>
          <w:kern w:val="0"/>
          <w:szCs w:val="24"/>
        </w:rPr>
        <w:t xml:space="preserve"> of </w:t>
      </w:r>
      <w:r>
        <w:rPr>
          <w:kern w:val="0"/>
          <w:szCs w:val="24"/>
        </w:rPr>
        <w:t>Science, Language, Long-Term Impact, Medicine, Medline, Metaanalysis, Methods, Morbidity, Operative, Operative Treatment, Publication, Randomised, Randomized-Trials, References, Registries, Review, Science, Search, Search Strategies, Selective Management, Trauma, Traumatic, Treatment, Trial, Web</w:t>
      </w:r>
      <w:r w:rsidR="00427468">
        <w:rPr>
          <w:kern w:val="0"/>
          <w:szCs w:val="24"/>
        </w:rPr>
        <w:t xml:space="preserve"> of </w:t>
      </w:r>
      <w:r>
        <w:rPr>
          <w:kern w:val="0"/>
          <w:szCs w:val="24"/>
        </w:rPr>
        <w:t>Science</w:t>
      </w:r>
    </w:p>
    <w:p w:rsidR="00C56473" w:rsidRDefault="00C56473" w:rsidP="00C56473">
      <w:pPr>
        <w:pStyle w:val="a3"/>
        <w:rPr>
          <w:kern w:val="0"/>
          <w:szCs w:val="24"/>
        </w:rPr>
      </w:pPr>
      <w:r>
        <w:rPr>
          <w:kern w:val="0"/>
          <w:szCs w:val="24"/>
        </w:rPr>
        <w:t>? Rutten, M.J., Leeflang, M.M.G., Kenter, G.G., Mol, B.W.J. and Buist, M. (2014), Laparoscopy for diagnosing resectability</w:t>
      </w:r>
      <w:r w:rsidR="00427468">
        <w:rPr>
          <w:kern w:val="0"/>
          <w:szCs w:val="24"/>
        </w:rPr>
        <w:t xml:space="preserve"> of </w:t>
      </w:r>
      <w:r>
        <w:rPr>
          <w:kern w:val="0"/>
          <w:szCs w:val="24"/>
        </w:rPr>
        <w:t xml:space="preserve">disease in patients with advanced ovarian cancer.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5D00D8">
        <w:rPr>
          <w:kern w:val="0"/>
          <w:szCs w:val="24"/>
        </w:rPr>
        <w:t>CD009786</w:t>
      </w:r>
      <w:r>
        <w:rPr>
          <w:rFonts w:hint="eastAsia"/>
          <w:kern w:val="0"/>
          <w:szCs w:val="24"/>
        </w:rPr>
        <w:t>.</w:t>
      </w:r>
    </w:p>
    <w:p w:rsidR="00C56473" w:rsidRDefault="00C56473" w:rsidP="00C56473">
      <w:pPr>
        <w:pStyle w:val="a3"/>
        <w:rPr>
          <w:kern w:val="2"/>
        </w:rPr>
      </w:pPr>
      <w:r>
        <w:t xml:space="preserve">Full Text: </w:t>
      </w:r>
      <w:hyperlink r:id="rId803" w:history="1">
        <w:r w:rsidR="007835D2" w:rsidRPr="007835D2">
          <w:rPr>
            <w:rStyle w:val="a5"/>
          </w:rPr>
          <w:t>2014\Coc Dat Sys Rev2014, CD009786.pdf</w:t>
        </w:r>
      </w:hyperlink>
    </w:p>
    <w:p w:rsidR="00C56473" w:rsidRDefault="00C56473" w:rsidP="00C56473">
      <w:pPr>
        <w:pStyle w:val="a3"/>
        <w:rPr>
          <w:kern w:val="0"/>
          <w:szCs w:val="24"/>
        </w:rPr>
      </w:pPr>
      <w:r>
        <w:rPr>
          <w:kern w:val="0"/>
          <w:szCs w:val="24"/>
        </w:rPr>
        <w:t>Abstract: Background The presence</w:t>
      </w:r>
      <w:r w:rsidR="00427468">
        <w:rPr>
          <w:kern w:val="0"/>
          <w:szCs w:val="24"/>
        </w:rPr>
        <w:t xml:space="preserve"> of </w:t>
      </w:r>
      <w:r>
        <w:rPr>
          <w:kern w:val="0"/>
          <w:szCs w:val="24"/>
        </w:rPr>
        <w:t>residual tumour after primary debulking surgery is the most important prognostic factor in patients with advanced ovarian cancer. In up to 60%</w:t>
      </w:r>
      <w:r w:rsidR="00427468">
        <w:rPr>
          <w:kern w:val="0"/>
          <w:szCs w:val="24"/>
        </w:rPr>
        <w:t xml:space="preserve"> of </w:t>
      </w:r>
      <w:r>
        <w:rPr>
          <w:kern w:val="0"/>
          <w:szCs w:val="24"/>
        </w:rPr>
        <w:t>cases, residual tumour</w:t>
      </w:r>
      <w:r w:rsidR="00427468">
        <w:rPr>
          <w:kern w:val="0"/>
          <w:szCs w:val="24"/>
        </w:rPr>
        <w:t xml:space="preserve"> of </w:t>
      </w:r>
      <w:r>
        <w:rPr>
          <w:kern w:val="0"/>
          <w:szCs w:val="24"/>
        </w:rPr>
        <w:t>more than 1 cm is left behind, stressing the necessity</w:t>
      </w:r>
      <w:r w:rsidR="00427468">
        <w:rPr>
          <w:kern w:val="0"/>
          <w:szCs w:val="24"/>
        </w:rPr>
        <w:t xml:space="preserve"> of </w:t>
      </w:r>
      <w:r>
        <w:rPr>
          <w:kern w:val="0"/>
          <w:szCs w:val="24"/>
        </w:rPr>
        <w:t xml:space="preserve">accurately selecting those patients who should be treated with primary </w:t>
      </w:r>
      <w:r>
        <w:rPr>
          <w:kern w:val="0"/>
          <w:szCs w:val="24"/>
        </w:rPr>
        <w:lastRenderedPageBreak/>
        <w:t>debulking surgery and those who should receive neoadjuvant chemotherapy instead. Objectives To determine if performing an open laparoscopy after the diagnostic work-up</w:t>
      </w:r>
      <w:r w:rsidR="00427468">
        <w:rPr>
          <w:kern w:val="0"/>
          <w:szCs w:val="24"/>
        </w:rPr>
        <w:t xml:space="preserve"> of </w:t>
      </w:r>
      <w:r>
        <w:rPr>
          <w:kern w:val="0"/>
          <w:szCs w:val="24"/>
        </w:rPr>
        <w:t>patients suspected</w:t>
      </w:r>
      <w:r w:rsidR="00427468">
        <w:rPr>
          <w:kern w:val="0"/>
          <w:szCs w:val="24"/>
        </w:rPr>
        <w:t xml:space="preserve"> of </w:t>
      </w:r>
      <w:r>
        <w:rPr>
          <w:kern w:val="0"/>
          <w:szCs w:val="24"/>
        </w:rPr>
        <w:t>advanced ovarian cancer is accurate in predicting the resectability</w:t>
      </w:r>
      <w:r w:rsidR="00427468">
        <w:rPr>
          <w:kern w:val="0"/>
          <w:szCs w:val="24"/>
        </w:rPr>
        <w:t xml:space="preserve"> of </w:t>
      </w:r>
      <w:r>
        <w:rPr>
          <w:kern w:val="0"/>
          <w:szCs w:val="24"/>
        </w:rPr>
        <w:t>disease. Search methods We searched MEDLINE, EMBASE, The Cochrane Central Register</w:t>
      </w:r>
      <w:r w:rsidR="00427468">
        <w:rPr>
          <w:kern w:val="0"/>
          <w:szCs w:val="24"/>
        </w:rPr>
        <w:t xml:space="preserve"> of </w:t>
      </w:r>
      <w:r>
        <w:rPr>
          <w:kern w:val="0"/>
          <w:szCs w:val="24"/>
        </w:rPr>
        <w:t>Controlled Trials (CENTRAL), the Cochrane Register</w:t>
      </w:r>
      <w:r w:rsidR="00427468">
        <w:rPr>
          <w:kern w:val="0"/>
          <w:szCs w:val="24"/>
        </w:rPr>
        <w:t xml:space="preserve"> of </w:t>
      </w:r>
      <w:r>
        <w:rPr>
          <w:kern w:val="0"/>
          <w:szCs w:val="24"/>
        </w:rPr>
        <w:t>Diagnostic Test Accuracy Studies, MEDION and ISI Web</w:t>
      </w:r>
      <w:r w:rsidR="00427468">
        <w:rPr>
          <w:kern w:val="0"/>
          <w:szCs w:val="24"/>
        </w:rPr>
        <w:t xml:space="preserve"> of </w:t>
      </w:r>
      <w:r>
        <w:rPr>
          <w:kern w:val="0"/>
          <w:szCs w:val="24"/>
        </w:rPr>
        <w:t>Science to February 2013. Furthermore, we checked references</w:t>
      </w:r>
      <w:r w:rsidR="00427468">
        <w:rPr>
          <w:kern w:val="0"/>
          <w:szCs w:val="24"/>
        </w:rPr>
        <w:t xml:space="preserve"> of </w:t>
      </w:r>
      <w:r>
        <w:rPr>
          <w:kern w:val="0"/>
          <w:szCs w:val="24"/>
        </w:rPr>
        <w:t>identified primary studies and review articles. Selection criteria We included studies that evaluated the diagnostic accuracy</w:t>
      </w:r>
      <w:r w:rsidR="00427468">
        <w:rPr>
          <w:kern w:val="0"/>
          <w:szCs w:val="24"/>
        </w:rPr>
        <w:t xml:space="preserve"> of </w:t>
      </w:r>
      <w:r>
        <w:rPr>
          <w:kern w:val="0"/>
          <w:szCs w:val="24"/>
        </w:rPr>
        <w:t>laparoscopy to determine the resectability</w:t>
      </w:r>
      <w:r w:rsidR="00427468">
        <w:rPr>
          <w:kern w:val="0"/>
          <w:szCs w:val="24"/>
        </w:rPr>
        <w:t xml:space="preserve"> of </w:t>
      </w:r>
      <w:r>
        <w:rPr>
          <w:kern w:val="0"/>
          <w:szCs w:val="24"/>
        </w:rPr>
        <w:t>disease in patients who are suspected</w:t>
      </w:r>
      <w:r w:rsidR="00427468">
        <w:rPr>
          <w:kern w:val="0"/>
          <w:szCs w:val="24"/>
        </w:rPr>
        <w:t xml:space="preserve"> of </w:t>
      </w:r>
      <w:r>
        <w:rPr>
          <w:kern w:val="0"/>
          <w:szCs w:val="24"/>
        </w:rPr>
        <w:t>advanced ovarian cancer and planned to receive primary debulking surgery. Data collection and analysis Two review authors assessed the quality</w:t>
      </w:r>
      <w:r w:rsidR="00427468">
        <w:rPr>
          <w:kern w:val="0"/>
          <w:szCs w:val="24"/>
        </w:rPr>
        <w:t xml:space="preserve"> of </w:t>
      </w:r>
      <w:r>
        <w:rPr>
          <w:kern w:val="0"/>
          <w:szCs w:val="24"/>
        </w:rPr>
        <w:t>included studies using QUADAS-2 and extracted data on study and patients</w:t>
      </w:r>
      <w:r w:rsidR="0071223E">
        <w:rPr>
          <w:kern w:val="0"/>
          <w:szCs w:val="24"/>
        </w:rPr>
        <w:t>’</w:t>
      </w:r>
      <w:r>
        <w:rPr>
          <w:kern w:val="0"/>
          <w:szCs w:val="24"/>
        </w:rPr>
        <w:t xml:space="preserve"> characteristics, index test, target condition and reference standard. Data for two-by-two tables were extracted and summarised graphically. Sensitivity and specificity and negative predictive values were calculated. Main results We included seven studies reporting on six cohorts. Between 27% to 64%</w:t>
      </w:r>
      <w:r w:rsidR="00427468">
        <w:rPr>
          <w:kern w:val="0"/>
          <w:szCs w:val="24"/>
        </w:rPr>
        <w:t xml:space="preserve"> of </w:t>
      </w:r>
      <w:r>
        <w:rPr>
          <w:kern w:val="0"/>
          <w:szCs w:val="24"/>
        </w:rPr>
        <w:t>included patients per study were positive on laparoscopy (too extensive disease to warrant laparotomy) and between 36% to 73% were negative (disease suitable for debulking laparotomy). Only two studies avoided partial verification bias and provided data to calculate sensitivity and specificity, which did not justify meta-analysis</w:t>
      </w:r>
      <w:r w:rsidR="00A37C1D">
        <w:rPr>
          <w:kern w:val="0"/>
          <w:szCs w:val="24"/>
        </w:rPr>
        <w:t>. The</w:t>
      </w:r>
      <w:r>
        <w:rPr>
          <w:kern w:val="0"/>
          <w:szCs w:val="24"/>
        </w:rPr>
        <w:t>se two studies had a sensitivity</w:t>
      </w:r>
      <w:r w:rsidR="00427468">
        <w:rPr>
          <w:kern w:val="0"/>
          <w:szCs w:val="24"/>
        </w:rPr>
        <w:t xml:space="preserve"> of </w:t>
      </w:r>
      <w:r>
        <w:rPr>
          <w:kern w:val="0"/>
          <w:szCs w:val="24"/>
        </w:rPr>
        <w:t>0.70 (95% confidence interval (CI) 0.57 to 0.82) and 0.71 (95% CI 0.44 to 0.90); however, the specificity</w:t>
      </w:r>
      <w:r w:rsidR="00427468">
        <w:rPr>
          <w:kern w:val="0"/>
          <w:szCs w:val="24"/>
        </w:rPr>
        <w:t xml:space="preserve"> of </w:t>
      </w:r>
      <w:r>
        <w:rPr>
          <w:kern w:val="0"/>
          <w:szCs w:val="24"/>
        </w:rPr>
        <w:t>both studies was 1.00 (95% CI 0.90 to 1.00). In these two studies there were no false positives, i.e. no patients for whom laparoscopy indicated that major surgery would not be successful and should be avoided, whereas, in reality the patient could be successfully operated upon. Negative predictive values (NPV), for those patients who were diagnosed with having not too extensive disease correctly identified were 0.75 (95% CI 0.55 to 0.86) and 0.96 (95% CI 0.56 to 0.99) due to a different prevalence. Although the studies did report sufficient data to calculate NPVs, we judged these estimates too heterogeneous to meta-analyse. Three studies described the development or validation</w:t>
      </w:r>
      <w:r w:rsidR="00427468">
        <w:rPr>
          <w:kern w:val="0"/>
          <w:szCs w:val="24"/>
        </w:rPr>
        <w:t xml:space="preserve"> of </w:t>
      </w:r>
      <w:r>
        <w:rPr>
          <w:kern w:val="0"/>
          <w:szCs w:val="24"/>
        </w:rPr>
        <w:t>a prediction model with a clear cut-off for test positivity. Sensitivity and specificity</w:t>
      </w:r>
      <w:r w:rsidR="00427468">
        <w:rPr>
          <w:kern w:val="0"/>
          <w:szCs w:val="24"/>
        </w:rPr>
        <w:t xml:space="preserve"> of </w:t>
      </w:r>
      <w:r>
        <w:rPr>
          <w:kern w:val="0"/>
          <w:szCs w:val="24"/>
        </w:rPr>
        <w:t>these prediction models were 0.30 to 0.70 and 0.89 to 1.00, respectively. However, one</w:t>
      </w:r>
      <w:r w:rsidR="00427468">
        <w:rPr>
          <w:kern w:val="0"/>
          <w:szCs w:val="24"/>
        </w:rPr>
        <w:t xml:space="preserve"> of </w:t>
      </w:r>
      <w:r>
        <w:rPr>
          <w:kern w:val="0"/>
          <w:szCs w:val="24"/>
        </w:rPr>
        <w:t>these studies suffered from partial verification bias. Authors</w:t>
      </w:r>
      <w:r w:rsidR="0071223E">
        <w:rPr>
          <w:kern w:val="0"/>
          <w:szCs w:val="24"/>
        </w:rPr>
        <w:t>’</w:t>
      </w:r>
      <w:r>
        <w:rPr>
          <w:kern w:val="0"/>
          <w:szCs w:val="24"/>
        </w:rPr>
        <w:t xml:space="preserve"> conclusions Laparoscopy is a promising test, but the low number</w:t>
      </w:r>
      <w:r w:rsidR="00427468">
        <w:rPr>
          <w:kern w:val="0"/>
          <w:szCs w:val="24"/>
        </w:rPr>
        <w:t xml:space="preserve"> of </w:t>
      </w:r>
      <w:r>
        <w:rPr>
          <w:kern w:val="0"/>
          <w:szCs w:val="24"/>
        </w:rPr>
        <w:t>studies and the differences between the included studies do not allow firm conclusions to be drawn from these data. Due to a difference in prevalence, there is a wide range in negative predictive values between studies. Two studies verified all patients</w:t>
      </w:r>
      <w:r w:rsidR="00A37C1D">
        <w:rPr>
          <w:kern w:val="0"/>
          <w:szCs w:val="24"/>
        </w:rPr>
        <w:t>. The</w:t>
      </w:r>
      <w:r>
        <w:rPr>
          <w:kern w:val="0"/>
          <w:szCs w:val="24"/>
        </w:rPr>
        <w:t>se imply a high specificity</w:t>
      </w:r>
      <w:r w:rsidR="00427468">
        <w:rPr>
          <w:kern w:val="0"/>
          <w:szCs w:val="24"/>
        </w:rPr>
        <w:t xml:space="preserve"> of </w:t>
      </w:r>
      <w:r>
        <w:rPr>
          <w:kern w:val="0"/>
          <w:szCs w:val="24"/>
        </w:rPr>
        <w:t>laparoscopy in diagnosing resectability and have a good sensitivity. Both studies show that the use</w:t>
      </w:r>
      <w:r w:rsidR="00427468">
        <w:rPr>
          <w:kern w:val="0"/>
          <w:szCs w:val="24"/>
        </w:rPr>
        <w:t xml:space="preserve"> of </w:t>
      </w:r>
      <w:r>
        <w:rPr>
          <w:kern w:val="0"/>
          <w:szCs w:val="24"/>
        </w:rPr>
        <w:t xml:space="preserve">criteria for unresectable disease will result in no patients inappropriately </w:t>
      </w:r>
      <w:r>
        <w:rPr>
          <w:kern w:val="0"/>
          <w:szCs w:val="24"/>
        </w:rPr>
        <w:lastRenderedPageBreak/>
        <w:t>unexplored. However, there will still be patients undergoing unsuccessful primary laparotomy. Using a prediction model does not increase the sensitivity and will result in more unnecessarily explored patients, due to a lower specificity.</w:t>
      </w:r>
    </w:p>
    <w:p w:rsidR="00C56473" w:rsidRDefault="00C56473" w:rsidP="00C56473">
      <w:pPr>
        <w:pStyle w:val="a3"/>
        <w:rPr>
          <w:kern w:val="0"/>
          <w:szCs w:val="24"/>
        </w:rPr>
      </w:pPr>
      <w:r>
        <w:rPr>
          <w:kern w:val="0"/>
          <w:szCs w:val="24"/>
        </w:rPr>
        <w:t>Keywords: Accuracy, Advanced-Stage Ovarian, Analysis, Authors, Bias, Cancer, Carcinoma, Characteristics, Chemotherapy, Collection, Confidence, Criteria, Data, Data Collection, Debulking, Development, Diagnostic Accuracy, Disease, Embase, Estimates, Index, Interval, Isi, Isi Web</w:t>
      </w:r>
      <w:r w:rsidR="00427468">
        <w:rPr>
          <w:kern w:val="0"/>
          <w:szCs w:val="24"/>
        </w:rPr>
        <w:t xml:space="preserve"> of </w:t>
      </w:r>
      <w:r>
        <w:rPr>
          <w:kern w:val="0"/>
          <w:szCs w:val="24"/>
        </w:rPr>
        <w:t>Science, Laparoscopy, Laparotomy, Management, Medline, Meta Analysis, Meta-Analysis, Metaanalysis, Methods, Model, Models, Neoadjuvant Chemotherapy, Open, Ovarian Cancer, Patients, Predict, Prediction, Prediction Model, Predictive, Prevalence, Primary, Primary Cytoreductive Surgery, Prognostic, Prognostic Factor, Quality, Quality Of, Reference, References, Reporting, Review, Science, Score, Search, Sensitivity, Specificity, Standard, Surgery, Test, Validation, Verification, Web</w:t>
      </w:r>
      <w:r w:rsidR="00427468">
        <w:rPr>
          <w:kern w:val="0"/>
          <w:szCs w:val="24"/>
        </w:rPr>
        <w:t xml:space="preserve"> of </w:t>
      </w:r>
      <w:r>
        <w:rPr>
          <w:kern w:val="0"/>
          <w:szCs w:val="24"/>
        </w:rPr>
        <w:t>Science</w:t>
      </w:r>
    </w:p>
    <w:p w:rsidR="00C56473" w:rsidRDefault="00C56473" w:rsidP="00C56473">
      <w:pPr>
        <w:pStyle w:val="a3"/>
        <w:rPr>
          <w:kern w:val="0"/>
          <w:szCs w:val="24"/>
        </w:rPr>
      </w:pPr>
      <w:r>
        <w:rPr>
          <w:kern w:val="0"/>
          <w:szCs w:val="24"/>
        </w:rPr>
        <w:t>? Gurusamy, K.S., Vaughan, J. and Davidson, B.R. (2014), Formal education</w:t>
      </w:r>
      <w:r w:rsidR="00427468">
        <w:rPr>
          <w:kern w:val="0"/>
          <w:szCs w:val="24"/>
        </w:rPr>
        <w:t xml:space="preserve"> of </w:t>
      </w:r>
      <w:r>
        <w:rPr>
          <w:kern w:val="0"/>
          <w:szCs w:val="24"/>
        </w:rPr>
        <w:t xml:space="preserve">patients about to undergo laparoscopic cholecystectomy.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E2600B">
        <w:rPr>
          <w:kern w:val="0"/>
          <w:szCs w:val="24"/>
        </w:rPr>
        <w:t>CD009933</w:t>
      </w:r>
      <w:r>
        <w:rPr>
          <w:rFonts w:hint="eastAsia"/>
          <w:kern w:val="0"/>
          <w:szCs w:val="24"/>
        </w:rPr>
        <w:t>.</w:t>
      </w:r>
    </w:p>
    <w:p w:rsidR="00C56473" w:rsidRDefault="00C56473" w:rsidP="00C56473">
      <w:pPr>
        <w:pStyle w:val="a3"/>
        <w:rPr>
          <w:kern w:val="2"/>
        </w:rPr>
      </w:pPr>
      <w:r>
        <w:t xml:space="preserve">Full Text: </w:t>
      </w:r>
      <w:hyperlink r:id="rId804" w:history="1">
        <w:r w:rsidR="007835D2" w:rsidRPr="007835D2">
          <w:rPr>
            <w:rStyle w:val="a5"/>
          </w:rPr>
          <w:t>2014\Coc Dat Sys Rev2014, CD009933.pdf</w:t>
        </w:r>
      </w:hyperlink>
    </w:p>
    <w:p w:rsidR="00C56473" w:rsidRDefault="00C56473" w:rsidP="00C56473">
      <w:pPr>
        <w:pStyle w:val="a3"/>
        <w:rPr>
          <w:kern w:val="0"/>
          <w:szCs w:val="24"/>
        </w:rPr>
      </w:pPr>
      <w:r>
        <w:rPr>
          <w:kern w:val="0"/>
          <w:szCs w:val="24"/>
        </w:rPr>
        <w:t>Abstract: Background Generally, before being operated on, patients will be given informal information by the healthcare providers involved in the care</w:t>
      </w:r>
      <w:r w:rsidR="00427468">
        <w:rPr>
          <w:kern w:val="0"/>
          <w:szCs w:val="24"/>
        </w:rPr>
        <w:t xml:space="preserve"> of </w:t>
      </w:r>
      <w:r>
        <w:rPr>
          <w:kern w:val="0"/>
          <w:szCs w:val="24"/>
        </w:rPr>
        <w:t>the patients (doctors, nurses, ward clerks, or healthcare assistants). This information can also be provided formally in different formats including written information, formal lectures, or audio-visual recorded information. Objectives To compare the benefits and harms</w:t>
      </w:r>
      <w:r w:rsidR="00427468">
        <w:rPr>
          <w:kern w:val="0"/>
          <w:szCs w:val="24"/>
        </w:rPr>
        <w:t xml:space="preserve"> of </w:t>
      </w:r>
      <w:r>
        <w:rPr>
          <w:kern w:val="0"/>
          <w:szCs w:val="24"/>
        </w:rPr>
        <w:t>formal preoperative patient education for patients undergoing laparoscopic cholecystectomy. Search methods We searched the Cochrane Central Register</w:t>
      </w:r>
      <w:r w:rsidR="00427468">
        <w:rPr>
          <w:kern w:val="0"/>
          <w:szCs w:val="24"/>
        </w:rPr>
        <w:t xml:space="preserve"> of </w:t>
      </w:r>
      <w:r>
        <w:rPr>
          <w:kern w:val="0"/>
          <w:szCs w:val="24"/>
        </w:rPr>
        <w:t>Controlled Trials (CENTRAL) (Issue 2, 2013), MEDLINE, EMBASE, and Science Citation Index Expanded to March 2013. Selection criteria We included only randomised clinical trials irrespective</w:t>
      </w:r>
      <w:r w:rsidR="00427468">
        <w:rPr>
          <w:kern w:val="0"/>
          <w:szCs w:val="24"/>
        </w:rPr>
        <w:t xml:space="preserve"> of </w:t>
      </w:r>
      <w:r>
        <w:rPr>
          <w:kern w:val="0"/>
          <w:szCs w:val="24"/>
        </w:rPr>
        <w:t>language and publication status. Data collection and analysis Two review authors independently extracted the data. We planned to calculate the risk ratio with 95% confidence intervals (CI) for dichotomous outcomes, and mean difference (MD) or standardised mean difference (SMD) with 95% CI for continuous outcomes based on intention-to-treat analyses when data were available. Main results A total</w:t>
      </w:r>
      <w:r w:rsidR="00427468">
        <w:rPr>
          <w:kern w:val="0"/>
          <w:szCs w:val="24"/>
        </w:rPr>
        <w:t xml:space="preserve"> of </w:t>
      </w:r>
      <w:r>
        <w:rPr>
          <w:kern w:val="0"/>
          <w:szCs w:val="24"/>
        </w:rPr>
        <w:t>431 participants undergoing elective laparoscopic cholecystectomy were randomised to formal patient education (215 participants) versus standard care (216 participants) in four trials</w:t>
      </w:r>
      <w:r w:rsidR="00A37C1D">
        <w:rPr>
          <w:kern w:val="0"/>
          <w:szCs w:val="24"/>
        </w:rPr>
        <w:t>. The</w:t>
      </w:r>
      <w:r>
        <w:rPr>
          <w:kern w:val="0"/>
          <w:szCs w:val="24"/>
        </w:rPr>
        <w:t xml:space="preserve"> patient education included verbal education, multimedia DVD programme, computer-based multimedia programme, and PowerPoint presentation in the four trials. All the trials were</w:t>
      </w:r>
      <w:r w:rsidR="00427468">
        <w:rPr>
          <w:kern w:val="0"/>
          <w:szCs w:val="24"/>
        </w:rPr>
        <w:t xml:space="preserve"> of </w:t>
      </w:r>
      <w:r>
        <w:rPr>
          <w:kern w:val="0"/>
          <w:szCs w:val="24"/>
        </w:rPr>
        <w:t>high risk</w:t>
      </w:r>
      <w:r w:rsidR="00427468">
        <w:rPr>
          <w:kern w:val="0"/>
          <w:szCs w:val="24"/>
        </w:rPr>
        <w:t xml:space="preserve"> of </w:t>
      </w:r>
      <w:r>
        <w:rPr>
          <w:kern w:val="0"/>
          <w:szCs w:val="24"/>
        </w:rPr>
        <w:t>bias. One trial including 212 patients reported mortality</w:t>
      </w:r>
      <w:r w:rsidR="00A37C1D">
        <w:rPr>
          <w:kern w:val="0"/>
          <w:szCs w:val="24"/>
        </w:rPr>
        <w:t>. The</w:t>
      </w:r>
      <w:r>
        <w:rPr>
          <w:kern w:val="0"/>
          <w:szCs w:val="24"/>
        </w:rPr>
        <w:t>re was no mortality in either group in this trial. None</w:t>
      </w:r>
      <w:r w:rsidR="00427468">
        <w:rPr>
          <w:kern w:val="0"/>
          <w:szCs w:val="24"/>
        </w:rPr>
        <w:t xml:space="preserve"> of </w:t>
      </w:r>
      <w:r>
        <w:rPr>
          <w:kern w:val="0"/>
          <w:szCs w:val="24"/>
        </w:rPr>
        <w:t>the trials reported surgery-related morbidity, quality</w:t>
      </w:r>
      <w:r w:rsidR="00427468">
        <w:rPr>
          <w:kern w:val="0"/>
          <w:szCs w:val="24"/>
        </w:rPr>
        <w:t xml:space="preserve"> of </w:t>
      </w:r>
      <w:r>
        <w:rPr>
          <w:kern w:val="0"/>
          <w:szCs w:val="24"/>
        </w:rPr>
        <w:t>life, proportion</w:t>
      </w:r>
      <w:r w:rsidR="00427468">
        <w:rPr>
          <w:kern w:val="0"/>
          <w:szCs w:val="24"/>
        </w:rPr>
        <w:t xml:space="preserve"> of </w:t>
      </w:r>
      <w:r>
        <w:rPr>
          <w:kern w:val="0"/>
          <w:szCs w:val="24"/>
        </w:rPr>
        <w:t xml:space="preserve">patients discharged as </w:t>
      </w:r>
      <w:r>
        <w:rPr>
          <w:kern w:val="0"/>
          <w:szCs w:val="24"/>
        </w:rPr>
        <w:lastRenderedPageBreak/>
        <w:t>day-procedure laparoscopic cholecystectomy, the length</w:t>
      </w:r>
      <w:r w:rsidR="00427468">
        <w:rPr>
          <w:kern w:val="0"/>
          <w:szCs w:val="24"/>
        </w:rPr>
        <w:t xml:space="preserve"> of </w:t>
      </w:r>
      <w:r>
        <w:rPr>
          <w:kern w:val="0"/>
          <w:szCs w:val="24"/>
        </w:rPr>
        <w:t>hospital stay, return to work, or the number</w:t>
      </w:r>
      <w:r w:rsidR="00427468">
        <w:rPr>
          <w:kern w:val="0"/>
          <w:szCs w:val="24"/>
        </w:rPr>
        <w:t xml:space="preserve"> of </w:t>
      </w:r>
      <w:r>
        <w:rPr>
          <w:kern w:val="0"/>
          <w:szCs w:val="24"/>
        </w:rPr>
        <w:t>unplanned visits to the doctor</w:t>
      </w:r>
      <w:r w:rsidR="00A37C1D">
        <w:rPr>
          <w:kern w:val="0"/>
          <w:szCs w:val="24"/>
        </w:rPr>
        <w:t>. The</w:t>
      </w:r>
      <w:r>
        <w:rPr>
          <w:kern w:val="0"/>
          <w:szCs w:val="24"/>
        </w:rPr>
        <w:t>re were insufficient details to calculate the mean difference and 95% CI for the difference in pain scores at 9 to 24 hours (1 trial; 93 patients); and we did not identify clear evidence</w:t>
      </w:r>
      <w:r w:rsidR="00427468">
        <w:rPr>
          <w:kern w:val="0"/>
          <w:szCs w:val="24"/>
        </w:rPr>
        <w:t xml:space="preserve"> of </w:t>
      </w:r>
      <w:r>
        <w:rPr>
          <w:kern w:val="0"/>
          <w:szCs w:val="24"/>
        </w:rPr>
        <w:t>an effect on patient knowledge (3 trials; 338 participants; SMD 0.19; 95% CI -0.02 to 0.41; very low quality evidence), patient satisfaction (2 trials; 305 patients; SMD 0.48; 95% CI -0.42 to 1.37; very low quality evidence), or patient anxiety (1 trial; 76 participants; SMD -0.37; 95% CI -0.82 to 0.09; very low quality evidence) between the two groups. A total</w:t>
      </w:r>
      <w:r w:rsidR="00427468">
        <w:rPr>
          <w:kern w:val="0"/>
          <w:szCs w:val="24"/>
        </w:rPr>
        <w:t xml:space="preserve"> of </w:t>
      </w:r>
      <w:r>
        <w:rPr>
          <w:kern w:val="0"/>
          <w:szCs w:val="24"/>
        </w:rPr>
        <w:t>173 participants undergoing elective laparoscopic cholecystectomy were randomised to electronic consent with repeat-back (patients repeating back the information provided) (92 participants) versus electronic consent without repeat-back (81 participants) in one trial</w:t>
      </w:r>
      <w:r w:rsidR="00427468">
        <w:rPr>
          <w:kern w:val="0"/>
          <w:szCs w:val="24"/>
        </w:rPr>
        <w:t xml:space="preserve"> of </w:t>
      </w:r>
      <w:r>
        <w:rPr>
          <w:kern w:val="0"/>
          <w:szCs w:val="24"/>
        </w:rPr>
        <w:t>high risk</w:t>
      </w:r>
      <w:r w:rsidR="00427468">
        <w:rPr>
          <w:kern w:val="0"/>
          <w:szCs w:val="24"/>
        </w:rPr>
        <w:t xml:space="preserve"> of </w:t>
      </w:r>
      <w:r>
        <w:rPr>
          <w:kern w:val="0"/>
          <w:szCs w:val="24"/>
        </w:rPr>
        <w:t>bias</w:t>
      </w:r>
      <w:r w:rsidR="00A37C1D">
        <w:rPr>
          <w:kern w:val="0"/>
          <w:szCs w:val="24"/>
        </w:rPr>
        <w:t>. The</w:t>
      </w:r>
      <w:r>
        <w:rPr>
          <w:kern w:val="0"/>
          <w:szCs w:val="24"/>
        </w:rPr>
        <w:t xml:space="preserve"> only outcome reported in this trial was patient knowledge</w:t>
      </w:r>
      <w:r w:rsidR="00A37C1D">
        <w:rPr>
          <w:kern w:val="0"/>
          <w:szCs w:val="24"/>
        </w:rPr>
        <w:t>. The</w:t>
      </w:r>
      <w:r>
        <w:rPr>
          <w:kern w:val="0"/>
          <w:szCs w:val="24"/>
        </w:rPr>
        <w:t xml:space="preserve"> effect on patient knowledge between the patient education with repeat-back versus patient education without repeat-back groups was imprecise and based on 1 trial</w:t>
      </w:r>
      <w:r w:rsidR="00427468">
        <w:rPr>
          <w:kern w:val="0"/>
          <w:szCs w:val="24"/>
        </w:rPr>
        <w:t xml:space="preserve"> of </w:t>
      </w:r>
      <w:r>
        <w:rPr>
          <w:kern w:val="0"/>
          <w:szCs w:val="24"/>
        </w:rPr>
        <w:t>173 participants; SMD 0.07; 95% CI -0.22 to 0.37; very low quality evidence). Authors</w:t>
      </w:r>
      <w:r w:rsidR="0071223E">
        <w:rPr>
          <w:kern w:val="0"/>
          <w:szCs w:val="24"/>
        </w:rPr>
        <w:t>’</w:t>
      </w:r>
      <w:r>
        <w:rPr>
          <w:kern w:val="0"/>
          <w:szCs w:val="24"/>
        </w:rPr>
        <w:t xml:space="preserve"> conclusions Due to the very low quality</w:t>
      </w:r>
      <w:r w:rsidR="00427468">
        <w:rPr>
          <w:kern w:val="0"/>
          <w:szCs w:val="24"/>
        </w:rPr>
        <w:t xml:space="preserve"> of </w:t>
      </w:r>
      <w:r>
        <w:rPr>
          <w:kern w:val="0"/>
          <w:szCs w:val="24"/>
        </w:rPr>
        <w:t>the current evidence, the effects</w:t>
      </w:r>
      <w:r w:rsidR="00427468">
        <w:rPr>
          <w:kern w:val="0"/>
          <w:szCs w:val="24"/>
        </w:rPr>
        <w:t xml:space="preserve"> of </w:t>
      </w:r>
      <w:r>
        <w:rPr>
          <w:kern w:val="0"/>
          <w:szCs w:val="24"/>
        </w:rPr>
        <w:t>formal patient education provided in addition to the standard information provided by doctors to patients compared with standard care remain uncertain. Further well-designed randomised clinical trials</w:t>
      </w:r>
      <w:r w:rsidR="00427468">
        <w:rPr>
          <w:kern w:val="0"/>
          <w:szCs w:val="24"/>
        </w:rPr>
        <w:t xml:space="preserve"> of </w:t>
      </w:r>
      <w:r>
        <w:rPr>
          <w:kern w:val="0"/>
          <w:szCs w:val="24"/>
        </w:rPr>
        <w:t>low risk</w:t>
      </w:r>
      <w:r w:rsidR="00427468">
        <w:rPr>
          <w:kern w:val="0"/>
          <w:szCs w:val="24"/>
        </w:rPr>
        <w:t xml:space="preserve"> of </w:t>
      </w:r>
      <w:r>
        <w:rPr>
          <w:kern w:val="0"/>
          <w:szCs w:val="24"/>
        </w:rPr>
        <w:t>bias are necessary.</w:t>
      </w:r>
    </w:p>
    <w:p w:rsidR="00C56473" w:rsidRDefault="00C56473" w:rsidP="00C56473">
      <w:pPr>
        <w:pStyle w:val="a3"/>
        <w:rPr>
          <w:kern w:val="0"/>
          <w:szCs w:val="24"/>
        </w:rPr>
      </w:pPr>
      <w:r>
        <w:rPr>
          <w:kern w:val="0"/>
          <w:szCs w:val="24"/>
        </w:rPr>
        <w:t>Keywords: Analyses, Analysis, Anxiety, Audiovisual, Authors, Benefits, Bias, Care, Cholecystectomy, Citation, Clinical, Clinical Trials, Clinical-Trials, Collection, Confidence, Confidence Intervals, Consent, Criteria, Data, Data Collection, Design Characteristics, Doctors, Education, Effects, Elective, Embase, Empirical-Evidence, Evidence, Groups, Hospital, Hospital Stay, Information, Information Size, Intervals, Knowledge, Language, Laparoscopic, Laparoscopic Cholecystectomy, Length, Life, Low Risk, Medline, Metaanalysis, Methods, Morbidity, Mortality, Nurses, Outcome, Outcomes, Pain, Patient Education, Patient Satisfaction, Patients, Postoperative Recovery, Preoperative, Presentation, Providers, Publication, Quality, Quality Of, Quality</w:t>
      </w:r>
      <w:r w:rsidR="00427468">
        <w:rPr>
          <w:kern w:val="0"/>
          <w:szCs w:val="24"/>
        </w:rPr>
        <w:t xml:space="preserve"> of </w:t>
      </w:r>
      <w:r>
        <w:rPr>
          <w:kern w:val="0"/>
          <w:szCs w:val="24"/>
        </w:rPr>
        <w:t>Life, Randomised, Randomized Controlled-Trials, Review, Risk, Satisfaction, Science, Science Citation Index, Science Citation Index Expanded, Search, Sequential-Analysis, Standard, Surgical Informed-Consent, Trial, Work</w:t>
      </w:r>
    </w:p>
    <w:p w:rsidR="00C56473" w:rsidRDefault="00C56473" w:rsidP="00C56473">
      <w:pPr>
        <w:pStyle w:val="a3"/>
        <w:rPr>
          <w:kern w:val="0"/>
          <w:szCs w:val="24"/>
        </w:rPr>
      </w:pPr>
      <w:r>
        <w:rPr>
          <w:kern w:val="0"/>
          <w:szCs w:val="24"/>
        </w:rPr>
        <w:t xml:space="preserve">? Gurusamy, K.S., Kumar, S., Davidson, B.R. and Fusai, G. (2014), Resection versus other treatments for locally advanced pancreatic cancer.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E2600B">
        <w:rPr>
          <w:kern w:val="0"/>
          <w:szCs w:val="24"/>
        </w:rPr>
        <w:t>CD010244</w:t>
      </w:r>
      <w:r>
        <w:rPr>
          <w:rFonts w:hint="eastAsia"/>
          <w:kern w:val="0"/>
          <w:szCs w:val="24"/>
        </w:rPr>
        <w:t>.</w:t>
      </w:r>
    </w:p>
    <w:p w:rsidR="00C56473" w:rsidRDefault="00C56473" w:rsidP="00C56473">
      <w:pPr>
        <w:pStyle w:val="a3"/>
        <w:rPr>
          <w:kern w:val="2"/>
        </w:rPr>
      </w:pPr>
      <w:r>
        <w:t xml:space="preserve">Full Text: </w:t>
      </w:r>
      <w:hyperlink r:id="rId805" w:history="1">
        <w:r w:rsidR="007835D2" w:rsidRPr="007835D2">
          <w:rPr>
            <w:rStyle w:val="a5"/>
          </w:rPr>
          <w:t>2014\Coc Dat Sys Rev2014, CD010244.pdf</w:t>
        </w:r>
      </w:hyperlink>
    </w:p>
    <w:p w:rsidR="00C56473" w:rsidRDefault="00C56473" w:rsidP="00C56473">
      <w:pPr>
        <w:pStyle w:val="a3"/>
        <w:rPr>
          <w:kern w:val="0"/>
          <w:szCs w:val="24"/>
        </w:rPr>
      </w:pPr>
      <w:r>
        <w:rPr>
          <w:kern w:val="0"/>
          <w:szCs w:val="24"/>
        </w:rPr>
        <w:t>Abstract: Background Pancreatic cancer is an aggressive cancer. Resection</w:t>
      </w:r>
      <w:r w:rsidR="00427468">
        <w:rPr>
          <w:kern w:val="0"/>
          <w:szCs w:val="24"/>
        </w:rPr>
        <w:t xml:space="preserve"> of </w:t>
      </w:r>
      <w:r>
        <w:rPr>
          <w:kern w:val="0"/>
          <w:szCs w:val="24"/>
        </w:rPr>
        <w:t>the cancer is the only treatment with the potential to achieve long-term survival. However, a third</w:t>
      </w:r>
      <w:r w:rsidR="00427468">
        <w:rPr>
          <w:kern w:val="0"/>
          <w:szCs w:val="24"/>
        </w:rPr>
        <w:t xml:space="preserve"> of </w:t>
      </w:r>
      <w:r>
        <w:rPr>
          <w:kern w:val="0"/>
          <w:szCs w:val="24"/>
        </w:rPr>
        <w:t xml:space="preserve">patients with pancreatic cancer have locally advanced cancer involving </w:t>
      </w:r>
      <w:r>
        <w:rPr>
          <w:kern w:val="0"/>
          <w:szCs w:val="24"/>
        </w:rPr>
        <w:lastRenderedPageBreak/>
        <w:t>adjacent structures such as blood vessels which are not usually removed because</w:t>
      </w:r>
      <w:r w:rsidR="00427468">
        <w:rPr>
          <w:kern w:val="0"/>
          <w:szCs w:val="24"/>
        </w:rPr>
        <w:t xml:space="preserve"> of </w:t>
      </w:r>
      <w:r>
        <w:rPr>
          <w:kern w:val="0"/>
          <w:szCs w:val="24"/>
        </w:rPr>
        <w:t>fear</w:t>
      </w:r>
      <w:r w:rsidR="00427468">
        <w:rPr>
          <w:kern w:val="0"/>
          <w:szCs w:val="24"/>
        </w:rPr>
        <w:t xml:space="preserve"> of </w:t>
      </w:r>
      <w:r>
        <w:rPr>
          <w:kern w:val="0"/>
          <w:szCs w:val="24"/>
        </w:rPr>
        <w:t>increased complications after surgery. Such patients often receive palliative treatment. Resection</w:t>
      </w:r>
      <w:r w:rsidR="00427468">
        <w:rPr>
          <w:kern w:val="0"/>
          <w:szCs w:val="24"/>
        </w:rPr>
        <w:t xml:space="preserve"> of </w:t>
      </w:r>
      <w:r>
        <w:rPr>
          <w:kern w:val="0"/>
          <w:szCs w:val="24"/>
        </w:rPr>
        <w:t>the pancreas along with the involved vessels is an alternative to palliative treatment for patients with locally advanced pancreatic cancer. Objectives To compare the benefits and harms</w:t>
      </w:r>
      <w:r w:rsidR="00427468">
        <w:rPr>
          <w:kern w:val="0"/>
          <w:szCs w:val="24"/>
        </w:rPr>
        <w:t xml:space="preserve"> of </w:t>
      </w:r>
      <w:r>
        <w:rPr>
          <w:kern w:val="0"/>
          <w:szCs w:val="24"/>
        </w:rPr>
        <w:t>surgical resection versus palliative treatment in patients with locally advanced pancreatic cancer. Search methods We searched the Cochrane Central Register</w:t>
      </w:r>
      <w:r w:rsidR="00427468">
        <w:rPr>
          <w:kern w:val="0"/>
          <w:szCs w:val="24"/>
        </w:rPr>
        <w:t xml:space="preserve"> of </w:t>
      </w:r>
      <w:r>
        <w:rPr>
          <w:kern w:val="0"/>
          <w:szCs w:val="24"/>
        </w:rPr>
        <w:t>Controlled Trials (CENTRAL) (The Cochrane Library 2013, Issue 12), MEDLINE, EMBASE, Science Citation Index Expanded, and trial registers until February 2014. Selection criteria We included randomised controlled trials comparing pancreatic resection versus palliative treatments for patients with locally advanced pancreatic cancer (irrespective</w:t>
      </w:r>
      <w:r w:rsidR="00427468">
        <w:rPr>
          <w:kern w:val="0"/>
          <w:szCs w:val="24"/>
        </w:rPr>
        <w:t xml:space="preserve"> of </w:t>
      </w:r>
      <w:r>
        <w:rPr>
          <w:kern w:val="0"/>
          <w:szCs w:val="24"/>
        </w:rPr>
        <w:t>language or publication status). Data collection and analysis Two authors independently assessed trials for inclusion and independently extracted the data. We analysed the data with both the fixed-effect and random-effects models using Review Manager (RevMan). We calculated the hazard ratio (HR), risk ratio (RR) or mean difference (MD) with 95% confidence intervals (CI) based on an intention-to-treat analysis. Main results We identified two trials comparing pancreatic resection versus other treatments for patients with locally advanced pancreatic cancer. Ninety eight patients were randomised to pancreatic resection (n = 47) or palliative treatment (n = 51) in the two trials included in this review. Both trials were at high risk</w:t>
      </w:r>
      <w:r w:rsidR="00427468">
        <w:rPr>
          <w:kern w:val="0"/>
          <w:szCs w:val="24"/>
        </w:rPr>
        <w:t xml:space="preserve"> of </w:t>
      </w:r>
      <w:r>
        <w:rPr>
          <w:kern w:val="0"/>
          <w:szCs w:val="24"/>
        </w:rPr>
        <w:t>bias. Both trials included patients who had locally advanced pancreatic cancer which involved the serosa anteriorly or retroperitoneum posteriorly or involved the blood vessels. Such pancreatic cancers would be considered generally unresectable. One trial included patients with pancreatic cancer in different locations</w:t>
      </w:r>
      <w:r w:rsidR="00427468">
        <w:rPr>
          <w:kern w:val="0"/>
          <w:szCs w:val="24"/>
        </w:rPr>
        <w:t xml:space="preserve"> of </w:t>
      </w:r>
      <w:r>
        <w:rPr>
          <w:kern w:val="0"/>
          <w:szCs w:val="24"/>
        </w:rPr>
        <w:t>the pancreas including the head, neck and body (n = 42)</w:t>
      </w:r>
      <w:r w:rsidR="00A37C1D">
        <w:rPr>
          <w:kern w:val="0"/>
          <w:szCs w:val="24"/>
        </w:rPr>
        <w:t>. The</w:t>
      </w:r>
      <w:r>
        <w:rPr>
          <w:kern w:val="0"/>
          <w:szCs w:val="24"/>
        </w:rPr>
        <w:t xml:space="preserve"> patients allocated to the pancreatic resection group underwent partial pancreatic resection (pancreatoduodenectomy with lymph node clearance or distal pancreatic resection with lymph node clearance) in this trial; the control group received palliative treatment with chemoradiotherapy. In the other trial, only patients with cancer in the head or neck</w:t>
      </w:r>
      <w:r w:rsidR="00427468">
        <w:rPr>
          <w:kern w:val="0"/>
          <w:szCs w:val="24"/>
        </w:rPr>
        <w:t xml:space="preserve"> of </w:t>
      </w:r>
      <w:r>
        <w:rPr>
          <w:kern w:val="0"/>
          <w:szCs w:val="24"/>
        </w:rPr>
        <w:t>the pancreas were included (n = 56)</w:t>
      </w:r>
      <w:r w:rsidR="00A37C1D">
        <w:rPr>
          <w:kern w:val="0"/>
          <w:szCs w:val="24"/>
        </w:rPr>
        <w:t>. The</w:t>
      </w:r>
      <w:r>
        <w:rPr>
          <w:kern w:val="0"/>
          <w:szCs w:val="24"/>
        </w:rPr>
        <w:t xml:space="preserve"> patients allocated to the pancreatic resection group underwent en bloc total pancreatectomy with splenectomy and vascular reconstruction in this trial; the control group underwent palliative bypass surgery with chemoimmunotherapy</w:t>
      </w:r>
      <w:r w:rsidR="00A37C1D">
        <w:rPr>
          <w:kern w:val="0"/>
          <w:szCs w:val="24"/>
        </w:rPr>
        <w:t>. The</w:t>
      </w:r>
      <w:r>
        <w:rPr>
          <w:kern w:val="0"/>
          <w:szCs w:val="24"/>
        </w:rPr>
        <w:t xml:space="preserve"> pancreatic resection group had lower mortality than the palliative treatment group (HR 0.38; 95% CI 0.25 to 0.58, very low quality evidence). Both trials followed the survivors up to at least five years</w:t>
      </w:r>
      <w:r w:rsidR="00A37C1D">
        <w:rPr>
          <w:kern w:val="0"/>
          <w:szCs w:val="24"/>
        </w:rPr>
        <w:t>. The</w:t>
      </w:r>
      <w:r>
        <w:rPr>
          <w:kern w:val="0"/>
          <w:szCs w:val="24"/>
        </w:rPr>
        <w:t>re were no survivors at two years in the palliative treatment group in either trial. Approximately 40%</w:t>
      </w:r>
      <w:r w:rsidR="00427468">
        <w:rPr>
          <w:kern w:val="0"/>
          <w:szCs w:val="24"/>
        </w:rPr>
        <w:t xml:space="preserve"> of </w:t>
      </w:r>
      <w:r>
        <w:rPr>
          <w:kern w:val="0"/>
          <w:szCs w:val="24"/>
        </w:rPr>
        <w:t>the patients who underwent pancreatic resection were alive in the pancreatic resection group at the end</w:t>
      </w:r>
      <w:r w:rsidR="00427468">
        <w:rPr>
          <w:kern w:val="0"/>
          <w:szCs w:val="24"/>
        </w:rPr>
        <w:t xml:space="preserve"> of </w:t>
      </w:r>
      <w:r>
        <w:rPr>
          <w:kern w:val="0"/>
          <w:szCs w:val="24"/>
        </w:rPr>
        <w:t>three years. This difference in survival was statistically significant (RR 22.68; 95% CI 3.15 to 163.22)</w:t>
      </w:r>
      <w:r w:rsidR="00A37C1D">
        <w:rPr>
          <w:kern w:val="0"/>
          <w:szCs w:val="24"/>
        </w:rPr>
        <w:t>. The</w:t>
      </w:r>
      <w:r>
        <w:rPr>
          <w:kern w:val="0"/>
          <w:szCs w:val="24"/>
        </w:rPr>
        <w:t xml:space="preserve"> difference persisted at five years</w:t>
      </w:r>
      <w:r w:rsidR="00427468">
        <w:rPr>
          <w:kern w:val="0"/>
          <w:szCs w:val="24"/>
        </w:rPr>
        <w:t xml:space="preserve"> </w:t>
      </w:r>
      <w:r w:rsidR="00427468">
        <w:rPr>
          <w:kern w:val="0"/>
          <w:szCs w:val="24"/>
        </w:rPr>
        <w:lastRenderedPageBreak/>
        <w:t xml:space="preserve">of </w:t>
      </w:r>
      <w:r>
        <w:rPr>
          <w:kern w:val="0"/>
          <w:szCs w:val="24"/>
        </w:rPr>
        <w:t>follow-up (RR 8.65; 95% CI 1.12 to 66.89). Neither trial reported severe adverse events but it is likely that a significant proportion</w:t>
      </w:r>
      <w:r w:rsidR="00427468">
        <w:rPr>
          <w:kern w:val="0"/>
          <w:szCs w:val="24"/>
        </w:rPr>
        <w:t xml:space="preserve"> of </w:t>
      </w:r>
      <w:r>
        <w:rPr>
          <w:kern w:val="0"/>
          <w:szCs w:val="24"/>
        </w:rPr>
        <w:t>patients suffered from severe adverse events in both groups</w:t>
      </w:r>
      <w:r w:rsidR="00A37C1D">
        <w:rPr>
          <w:kern w:val="0"/>
          <w:szCs w:val="24"/>
        </w:rPr>
        <w:t>. The</w:t>
      </w:r>
      <w:r>
        <w:rPr>
          <w:kern w:val="0"/>
          <w:szCs w:val="24"/>
        </w:rPr>
        <w:t xml:space="preserve"> overall peri-operative mortality in the resection group in the two trials was 2.5%. None</w:t>
      </w:r>
      <w:r w:rsidR="00427468">
        <w:rPr>
          <w:kern w:val="0"/>
          <w:szCs w:val="24"/>
        </w:rPr>
        <w:t xml:space="preserve"> of </w:t>
      </w:r>
      <w:r>
        <w:rPr>
          <w:kern w:val="0"/>
          <w:szCs w:val="24"/>
        </w:rPr>
        <w:t>the trials reported quality</w:t>
      </w:r>
      <w:r w:rsidR="00427468">
        <w:rPr>
          <w:kern w:val="0"/>
          <w:szCs w:val="24"/>
        </w:rPr>
        <w:t xml:space="preserve"> of </w:t>
      </w:r>
      <w:r>
        <w:rPr>
          <w:kern w:val="0"/>
          <w:szCs w:val="24"/>
        </w:rPr>
        <w:t>life</w:t>
      </w:r>
      <w:r w:rsidR="00A37C1D">
        <w:rPr>
          <w:kern w:val="0"/>
          <w:szCs w:val="24"/>
        </w:rPr>
        <w:t>. The</w:t>
      </w:r>
      <w:r>
        <w:rPr>
          <w:kern w:val="0"/>
          <w:szCs w:val="24"/>
        </w:rPr>
        <w:t xml:space="preserve"> estimated difference in the length</w:t>
      </w:r>
      <w:r w:rsidR="00427468">
        <w:rPr>
          <w:kern w:val="0"/>
          <w:szCs w:val="24"/>
        </w:rPr>
        <w:t xml:space="preserve"> of </w:t>
      </w:r>
      <w:r>
        <w:rPr>
          <w:kern w:val="0"/>
          <w:szCs w:val="24"/>
        </w:rPr>
        <w:t>total hospital stay (which included all admissions</w:t>
      </w:r>
      <w:r w:rsidR="00427468">
        <w:rPr>
          <w:kern w:val="0"/>
          <w:szCs w:val="24"/>
        </w:rPr>
        <w:t xml:space="preserve"> of </w:t>
      </w:r>
      <w:r>
        <w:rPr>
          <w:kern w:val="0"/>
          <w:szCs w:val="24"/>
        </w:rPr>
        <w:t>the patient related to the treatment) between the two groups was imprecise (MD -23.00 days; 95% CI -59.05 to 13.05, very low quality evidence)</w:t>
      </w:r>
      <w:r w:rsidR="00A37C1D">
        <w:rPr>
          <w:kern w:val="0"/>
          <w:szCs w:val="24"/>
        </w:rPr>
        <w:t>. The</w:t>
      </w:r>
      <w:r>
        <w:rPr>
          <w:kern w:val="0"/>
          <w:szCs w:val="24"/>
        </w:rPr>
        <w:t xml:space="preserve"> total treatment costs were significantly lower in the pancreatic resection group than the palliative treatment group (MD -10.70 thousand USD; 95% CI -14.11 to -7.29, very low quality evidence). Authors</w:t>
      </w:r>
      <w:r w:rsidR="0071223E">
        <w:rPr>
          <w:kern w:val="0"/>
          <w:szCs w:val="24"/>
        </w:rPr>
        <w:t>’</w:t>
      </w:r>
      <w:r>
        <w:rPr>
          <w:kern w:val="0"/>
          <w:szCs w:val="24"/>
        </w:rPr>
        <w:t xml:space="preserve"> conclusions There is very low quality evidence that pancreatic resection increases survival and decreases costs compared to palliative treatments for selected patients with locally advanced pancreatic cancer and venous involvement. When sufficient expertise is available, pancreatic resection could be considered for selected patients with locally advanced pancreatic cancer who are willing to accept the potentially increased morbidity associated with the procedure. Further randomised controlled trials are necessary to increase confidence in the estimate</w:t>
      </w:r>
      <w:r w:rsidR="00427468">
        <w:rPr>
          <w:kern w:val="0"/>
          <w:szCs w:val="24"/>
        </w:rPr>
        <w:t xml:space="preserve"> of </w:t>
      </w:r>
      <w:r>
        <w:rPr>
          <w:kern w:val="0"/>
          <w:szCs w:val="24"/>
        </w:rPr>
        <w:t>effect and to assess the quality</w:t>
      </w:r>
      <w:r w:rsidR="00427468">
        <w:rPr>
          <w:kern w:val="0"/>
          <w:szCs w:val="24"/>
        </w:rPr>
        <w:t xml:space="preserve"> of </w:t>
      </w:r>
      <w:r>
        <w:rPr>
          <w:kern w:val="0"/>
          <w:szCs w:val="24"/>
        </w:rPr>
        <w:t>life</w:t>
      </w:r>
      <w:r w:rsidR="00427468">
        <w:rPr>
          <w:kern w:val="0"/>
          <w:szCs w:val="24"/>
        </w:rPr>
        <w:t xml:space="preserve"> of </w:t>
      </w:r>
      <w:r>
        <w:rPr>
          <w:kern w:val="0"/>
          <w:szCs w:val="24"/>
        </w:rPr>
        <w:t>patients and the cost-effectiveness</w:t>
      </w:r>
      <w:r w:rsidR="00427468">
        <w:rPr>
          <w:kern w:val="0"/>
          <w:szCs w:val="24"/>
        </w:rPr>
        <w:t xml:space="preserve"> of </w:t>
      </w:r>
      <w:r>
        <w:rPr>
          <w:kern w:val="0"/>
          <w:szCs w:val="24"/>
        </w:rPr>
        <w:t>pancreatic resection versus palliative treatment for locally advanced pancreatic cancer.</w:t>
      </w:r>
    </w:p>
    <w:p w:rsidR="00C56473" w:rsidRDefault="00C56473" w:rsidP="00C56473">
      <w:pPr>
        <w:pStyle w:val="a3"/>
        <w:rPr>
          <w:kern w:val="0"/>
          <w:szCs w:val="24"/>
        </w:rPr>
      </w:pPr>
      <w:r>
        <w:rPr>
          <w:kern w:val="0"/>
          <w:szCs w:val="24"/>
        </w:rPr>
        <w:t>Keywords: Alternative, Analysis, Authors, Benefits, Bias, Blood, Cancer, Chemoradiotherapy, Citation, Collection, Combination Therapy, Complications, Confidence, Confidence Intervals, Control, Cost Effectiveness, Cost-Effectiveness, Costs, Criteria, Data, Data Collection, Ductal Adenocarcinoma, Embase, Empirical-Evidence, Events, Evidence, Fear, Follow-Up, Gemcitabine, Groups, Hazard, Head Carcinoma, Hospital, Hospital Stay, Intervals, Language, Length, Life, Long Term, Long-Term, Medline, Metaanalysis, Methods, Models, Morbidity, Mortality, Neck, Pancreas, Pancreatic Cancer, Pancreatic Resection, Patients, Potential, Procedure, Publication, Quality, Quality Of, Quality</w:t>
      </w:r>
      <w:r w:rsidR="00427468">
        <w:rPr>
          <w:kern w:val="0"/>
          <w:szCs w:val="24"/>
        </w:rPr>
        <w:t xml:space="preserve"> of </w:t>
      </w:r>
      <w:r>
        <w:rPr>
          <w:kern w:val="0"/>
          <w:szCs w:val="24"/>
        </w:rPr>
        <w:t>Life, Randomised, Randomised Controlled Trials, Randomized Clinical-Trials, Reconstruction, Retroperitoneum, Review, Risk, Science, Science Citation Index, Science Citation Index Expanded, Search, Splenectomy, Surgery, Surgical Resection, Survival, Treatment, Treatment Costs, Trial</w:t>
      </w:r>
    </w:p>
    <w:p w:rsidR="00C56473" w:rsidRDefault="00C56473" w:rsidP="00C56473">
      <w:pPr>
        <w:pStyle w:val="a3"/>
        <w:rPr>
          <w:kern w:val="0"/>
          <w:szCs w:val="24"/>
        </w:rPr>
      </w:pPr>
      <w:r>
        <w:rPr>
          <w:kern w:val="0"/>
          <w:szCs w:val="24"/>
        </w:rPr>
        <w:t xml:space="preserve">? Masterson, L., Moualed, D., Masood, A., Dwivedi, R.C., Benson, R., Sterling, J.C., Rhodes, K.M., Sudhoff, H., Jani, P. and Goon, P. (2014), De-escalation treatment protocols for human papillomavirus-associated oropharyngeal squamous cell carcinoma. </w:t>
      </w:r>
      <w:r>
        <w:rPr>
          <w:i/>
          <w:iCs/>
          <w:kern w:val="0"/>
          <w:szCs w:val="24"/>
        </w:rPr>
        <w:t>Cochrane Database</w:t>
      </w:r>
      <w:r w:rsidR="00427468">
        <w:rPr>
          <w:i/>
          <w:iCs/>
          <w:kern w:val="0"/>
          <w:szCs w:val="24"/>
        </w:rPr>
        <w:t xml:space="preserve"> of </w:t>
      </w:r>
      <w:r>
        <w:rPr>
          <w:i/>
          <w:iCs/>
          <w:kern w:val="0"/>
          <w:szCs w:val="24"/>
        </w:rPr>
        <w:t>Systematic Reviews</w:t>
      </w:r>
      <w:r>
        <w:rPr>
          <w:kern w:val="0"/>
          <w:szCs w:val="24"/>
        </w:rPr>
        <w:t xml:space="preserve">, </w:t>
      </w:r>
      <w:r w:rsidRPr="00BD4984">
        <w:rPr>
          <w:b/>
          <w:kern w:val="0"/>
          <w:szCs w:val="24"/>
        </w:rPr>
        <w:t>2</w:t>
      </w:r>
      <w:r>
        <w:rPr>
          <w:rFonts w:hint="eastAsia"/>
          <w:kern w:val="0"/>
          <w:szCs w:val="24"/>
        </w:rPr>
        <w:t>,</w:t>
      </w:r>
      <w:r w:rsidRPr="008E1364">
        <w:t xml:space="preserve"> </w:t>
      </w:r>
      <w:r w:rsidRPr="008E1364">
        <w:rPr>
          <w:kern w:val="0"/>
          <w:szCs w:val="24"/>
        </w:rPr>
        <w:t xml:space="preserve">Article Number: </w:t>
      </w:r>
      <w:r w:rsidRPr="00E2600B">
        <w:rPr>
          <w:kern w:val="0"/>
          <w:szCs w:val="24"/>
        </w:rPr>
        <w:t>CD010271</w:t>
      </w:r>
      <w:r>
        <w:rPr>
          <w:rFonts w:hint="eastAsia"/>
          <w:kern w:val="0"/>
          <w:szCs w:val="24"/>
        </w:rPr>
        <w:t>.</w:t>
      </w:r>
    </w:p>
    <w:p w:rsidR="00C56473" w:rsidRDefault="00C56473" w:rsidP="00C56473">
      <w:pPr>
        <w:pStyle w:val="a3"/>
        <w:rPr>
          <w:kern w:val="2"/>
        </w:rPr>
      </w:pPr>
      <w:r>
        <w:t xml:space="preserve">Full Text: </w:t>
      </w:r>
      <w:hyperlink r:id="rId806" w:history="1">
        <w:r w:rsidR="007835D2" w:rsidRPr="007835D2">
          <w:rPr>
            <w:rStyle w:val="a5"/>
          </w:rPr>
          <w:t>2014\Coc Dat Sys Rev2014, CD010271.pdf</w:t>
        </w:r>
      </w:hyperlink>
    </w:p>
    <w:p w:rsidR="00C56473" w:rsidRDefault="00C56473" w:rsidP="00C56473">
      <w:pPr>
        <w:pStyle w:val="a3"/>
        <w:rPr>
          <w:kern w:val="0"/>
          <w:szCs w:val="24"/>
        </w:rPr>
      </w:pPr>
      <w:r>
        <w:rPr>
          <w:kern w:val="0"/>
          <w:szCs w:val="24"/>
        </w:rPr>
        <w:t xml:space="preserve">Abstract: Background Human papillomavirus-associated oropharyngeal squamous cell </w:t>
      </w:r>
      <w:r>
        <w:rPr>
          <w:kern w:val="0"/>
          <w:szCs w:val="24"/>
        </w:rPr>
        <w:lastRenderedPageBreak/>
        <w:t>carcinomas are a distinct subgroup</w:t>
      </w:r>
      <w:r w:rsidR="00427468">
        <w:rPr>
          <w:kern w:val="0"/>
          <w:szCs w:val="24"/>
        </w:rPr>
        <w:t xml:space="preserve"> of </w:t>
      </w:r>
      <w:r>
        <w:rPr>
          <w:kern w:val="0"/>
          <w:szCs w:val="24"/>
        </w:rPr>
        <w:t>tumours that may have a better prognosis than traditional tobacco/alcohol-related disease. Iatrogenic complications, associated with conventional practice, are estimated to cause mortality</w:t>
      </w:r>
      <w:r w:rsidR="00427468">
        <w:rPr>
          <w:kern w:val="0"/>
          <w:szCs w:val="24"/>
        </w:rPr>
        <w:t xml:space="preserve"> of </w:t>
      </w:r>
      <w:r>
        <w:rPr>
          <w:kern w:val="0"/>
          <w:szCs w:val="24"/>
        </w:rPr>
        <w:t>approximately 2% and high morbidity. As a result, clinicians are actively investigating the de-escalation</w:t>
      </w:r>
      <w:r w:rsidR="00427468">
        <w:rPr>
          <w:kern w:val="0"/>
          <w:szCs w:val="24"/>
        </w:rPr>
        <w:t xml:space="preserve"> of </w:t>
      </w:r>
      <w:r>
        <w:rPr>
          <w:kern w:val="0"/>
          <w:szCs w:val="24"/>
        </w:rPr>
        <w:t>treatment protocols for disease with a proven viral aetiology. Objectives To summarise the available evidence regarding de-escalation treatment protocols for human papillomavirus-associated, locally advanced oropharyngeal squamous cell carcinoma. Search methods We searched the Cochrane Ear, Nose and Throat Disorders Group Trials Register; the Cochrane Central Register</w:t>
      </w:r>
      <w:r w:rsidR="00427468">
        <w:rPr>
          <w:kern w:val="0"/>
          <w:szCs w:val="24"/>
        </w:rPr>
        <w:t xml:space="preserve"> of </w:t>
      </w:r>
      <w:r>
        <w:rPr>
          <w:kern w:val="0"/>
          <w:szCs w:val="24"/>
        </w:rPr>
        <w:t>Controlled Trials; PubMed; EMBASE; CINAHL; Web</w:t>
      </w:r>
      <w:r w:rsidR="00427468">
        <w:rPr>
          <w:kern w:val="0"/>
          <w:szCs w:val="24"/>
        </w:rPr>
        <w:t xml:space="preserve"> of </w:t>
      </w:r>
      <w:r>
        <w:rPr>
          <w:kern w:val="0"/>
          <w:szCs w:val="24"/>
        </w:rPr>
        <w:t>Science; Cambridge Scientific Abstracts; ICTRP and additional sources for published and unpublished trials</w:t>
      </w:r>
      <w:r w:rsidR="00A37C1D">
        <w:rPr>
          <w:kern w:val="0"/>
          <w:szCs w:val="24"/>
        </w:rPr>
        <w:t>. The</w:t>
      </w:r>
      <w:r>
        <w:rPr>
          <w:kern w:val="0"/>
          <w:szCs w:val="24"/>
        </w:rPr>
        <w:t xml:space="preserve"> date</w:t>
      </w:r>
      <w:r w:rsidR="00427468">
        <w:rPr>
          <w:kern w:val="0"/>
          <w:szCs w:val="24"/>
        </w:rPr>
        <w:t xml:space="preserve"> of </w:t>
      </w:r>
      <w:r>
        <w:rPr>
          <w:kern w:val="0"/>
          <w:szCs w:val="24"/>
        </w:rPr>
        <w:t>the most recent search was 25 June 2013. Selection criteria Randomised controlled trials investigating de-escalation treatment protocols for human papillomavirus-associated, locally advanced oropharyngeal carcinoma. Specific de-escalation categories were: 1) bioradiotherapy (experimental) versus chemoradiotherapy (control); 2) radiotherapy (experimental) versus chemoradiotherapy (control); and 3) low-dose (experimental) versus standard-dose radiotherapy (control)</w:t>
      </w:r>
      <w:r w:rsidR="00A37C1D">
        <w:rPr>
          <w:kern w:val="0"/>
          <w:szCs w:val="24"/>
        </w:rPr>
        <w:t>. The</w:t>
      </w:r>
      <w:r>
        <w:rPr>
          <w:kern w:val="0"/>
          <w:szCs w:val="24"/>
        </w:rPr>
        <w:t xml:space="preserve"> outcomes</w:t>
      </w:r>
      <w:r w:rsidR="00427468">
        <w:rPr>
          <w:kern w:val="0"/>
          <w:szCs w:val="24"/>
        </w:rPr>
        <w:t xml:space="preserve"> of </w:t>
      </w:r>
      <w:r>
        <w:rPr>
          <w:kern w:val="0"/>
          <w:szCs w:val="24"/>
        </w:rPr>
        <w:t>interest were overall and disease-specific survival, treatment-related morbidity, quality</w:t>
      </w:r>
      <w:r w:rsidR="00427468">
        <w:rPr>
          <w:kern w:val="0"/>
          <w:szCs w:val="24"/>
        </w:rPr>
        <w:t xml:space="preserve"> of </w:t>
      </w:r>
      <w:r>
        <w:rPr>
          <w:kern w:val="0"/>
          <w:szCs w:val="24"/>
        </w:rPr>
        <w:t xml:space="preserve">life and cost. Data collection and analysis Three authors independently selected studies from the search results and extracted data. We planned to use the Cochrane </w:t>
      </w:r>
      <w:r w:rsidR="0071223E">
        <w:rPr>
          <w:kern w:val="0"/>
          <w:szCs w:val="24"/>
        </w:rPr>
        <w:t>‘</w:t>
      </w:r>
      <w:r>
        <w:rPr>
          <w:kern w:val="0"/>
          <w:szCs w:val="24"/>
        </w:rPr>
        <w:t>Risk</w:t>
      </w:r>
      <w:r w:rsidR="00427468">
        <w:rPr>
          <w:kern w:val="0"/>
          <w:szCs w:val="24"/>
        </w:rPr>
        <w:t xml:space="preserve"> of </w:t>
      </w:r>
      <w:r>
        <w:rPr>
          <w:kern w:val="0"/>
          <w:szCs w:val="24"/>
        </w:rPr>
        <w:t>bias</w:t>
      </w:r>
      <w:r w:rsidR="0071223E">
        <w:rPr>
          <w:kern w:val="0"/>
          <w:szCs w:val="24"/>
        </w:rPr>
        <w:t>’</w:t>
      </w:r>
      <w:r>
        <w:rPr>
          <w:kern w:val="0"/>
          <w:szCs w:val="24"/>
        </w:rPr>
        <w:t xml:space="preserve"> tool to assess study quality. Main results We did not identify any completed randomised controlled trials that could be included in the current version</w:t>
      </w:r>
      <w:r w:rsidR="00427468">
        <w:rPr>
          <w:kern w:val="0"/>
          <w:szCs w:val="24"/>
        </w:rPr>
        <w:t xml:space="preserve"> of </w:t>
      </w:r>
      <w:r>
        <w:rPr>
          <w:kern w:val="0"/>
          <w:szCs w:val="24"/>
        </w:rPr>
        <w:t>this systematic review. We did, however, identify seven ongoing trials that will meet our inclusion criteria</w:t>
      </w:r>
      <w:r w:rsidR="00A37C1D">
        <w:rPr>
          <w:kern w:val="0"/>
          <w:szCs w:val="24"/>
        </w:rPr>
        <w:t>. The</w:t>
      </w:r>
      <w:r>
        <w:rPr>
          <w:kern w:val="0"/>
          <w:szCs w:val="24"/>
        </w:rPr>
        <w:t>se studies will report from 2014 onwards. We excluded 30 studies on methodological grounds (seven randomised trials with post hoc analysis by human papillomavirus status, 11 prospective trials and 12 ongoing studies). Authors</w:t>
      </w:r>
      <w:r w:rsidR="0071223E">
        <w:rPr>
          <w:kern w:val="0"/>
          <w:szCs w:val="24"/>
        </w:rPr>
        <w:t>’</w:t>
      </w:r>
      <w:r>
        <w:rPr>
          <w:kern w:val="0"/>
          <w:szCs w:val="24"/>
        </w:rPr>
        <w:t xml:space="preserve"> conclusions There is currently insufficient high-quality evidence for, or against, de-escalation</w:t>
      </w:r>
      <w:r w:rsidR="00427468">
        <w:rPr>
          <w:kern w:val="0"/>
          <w:szCs w:val="24"/>
        </w:rPr>
        <w:t xml:space="preserve"> of </w:t>
      </w:r>
      <w:r>
        <w:rPr>
          <w:kern w:val="0"/>
          <w:szCs w:val="24"/>
        </w:rPr>
        <w:t>treatment for human papillomavirus-associated oropharyngeal carcinoma. Future trials should be multicentre to ensure adequate power. Adverse events, morbidity associated with treatment, quality</w:t>
      </w:r>
      <w:r w:rsidR="00427468">
        <w:rPr>
          <w:kern w:val="0"/>
          <w:szCs w:val="24"/>
        </w:rPr>
        <w:t xml:space="preserve"> of </w:t>
      </w:r>
      <w:r>
        <w:rPr>
          <w:kern w:val="0"/>
          <w:szCs w:val="24"/>
        </w:rPr>
        <w:t>life outcomes and cost analyses should be reported in a standard format to facilitate comparison with other studies.</w:t>
      </w:r>
    </w:p>
    <w:p w:rsidR="00C56473" w:rsidRDefault="00C56473" w:rsidP="00C56473">
      <w:pPr>
        <w:pStyle w:val="a3"/>
        <w:rPr>
          <w:kern w:val="0"/>
          <w:szCs w:val="24"/>
        </w:rPr>
      </w:pPr>
      <w:r>
        <w:rPr>
          <w:kern w:val="0"/>
          <w:szCs w:val="24"/>
        </w:rPr>
        <w:t xml:space="preserve">Keywords: Adverse Events, Aetiology, Analyses, Analysis, Authors, Bias, Carcinoma, Cetuximab, Chemoradiotherapy, Collection, Comparison, Complications, Control, Conventional, Cost, Criteria, Data, Data Collection, Disease, Embase, Events, Evidence, Experimental, Human, Human Papillomavirus, Life, Locally Advanced Head, Locoregionally Advanced Head, Low-Dose, Metaanalysis, Methods, Morbidity, Mortality, Neck-Cancer, Outcomes, Papillomavirus, Phase-Iii Trial, Power, Practice, Prognosis, Prospective, Protocols, Pubmed, Quality, Quality Of, </w:t>
      </w:r>
      <w:r>
        <w:rPr>
          <w:kern w:val="0"/>
          <w:szCs w:val="24"/>
        </w:rPr>
        <w:lastRenderedPageBreak/>
        <w:t>Quality</w:t>
      </w:r>
      <w:r w:rsidR="00427468">
        <w:rPr>
          <w:kern w:val="0"/>
          <w:szCs w:val="24"/>
        </w:rPr>
        <w:t xml:space="preserve"> of </w:t>
      </w:r>
      <w:r>
        <w:rPr>
          <w:kern w:val="0"/>
          <w:szCs w:val="24"/>
        </w:rPr>
        <w:t>Life, Radiation-Therapy, Radiotherapy, Randomised, Randomised Controlled Trials, Recent, Review, Risk, Risk</w:t>
      </w:r>
      <w:r w:rsidR="00427468">
        <w:rPr>
          <w:kern w:val="0"/>
          <w:szCs w:val="24"/>
        </w:rPr>
        <w:t xml:space="preserve"> of </w:t>
      </w:r>
      <w:r>
        <w:rPr>
          <w:kern w:val="0"/>
          <w:szCs w:val="24"/>
        </w:rPr>
        <w:t>Bias, Science, Search, Sources, Squamous Cell Carcinoma, Standard, Survival, Systematic Review, Treatment, Version, Viral, Web</w:t>
      </w:r>
      <w:r w:rsidR="00427468">
        <w:rPr>
          <w:kern w:val="0"/>
          <w:szCs w:val="24"/>
        </w:rPr>
        <w:t xml:space="preserve"> of </w:t>
      </w:r>
      <w:r>
        <w:rPr>
          <w:kern w:val="0"/>
          <w:szCs w:val="24"/>
        </w:rPr>
        <w:t>Science</w:t>
      </w:r>
    </w:p>
    <w:p w:rsidR="00647EFD" w:rsidRDefault="00647EFD" w:rsidP="00647EFD">
      <w:pPr>
        <w:pStyle w:val="a3"/>
        <w:rPr>
          <w:kern w:val="0"/>
          <w:szCs w:val="24"/>
        </w:rPr>
      </w:pPr>
      <w:r>
        <w:rPr>
          <w:rFonts w:hint="eastAsia"/>
          <w:kern w:val="0"/>
        </w:rPr>
        <w:t xml:space="preserve">? </w:t>
      </w:r>
      <w:r>
        <w:rPr>
          <w:kern w:val="0"/>
        </w:rPr>
        <w:t>Baxi, R., Sharma, M., Roseby, R., Polnay, A., Priest, N., Waters, E., Spencer, N. and Webster, P. (2014), Family and carer smoking control programmes for reducing children</w:t>
      </w:r>
      <w:r w:rsidR="0071223E">
        <w:rPr>
          <w:kern w:val="0"/>
        </w:rPr>
        <w:t>’</w:t>
      </w:r>
      <w:r>
        <w:rPr>
          <w:kern w:val="0"/>
        </w:rPr>
        <w:t xml:space="preserve">s exposure to environmental tobacco smoke.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CD001746</w:t>
      </w:r>
      <w:r>
        <w:rPr>
          <w:rFonts w:hint="eastAsia"/>
          <w:kern w:val="0"/>
          <w:szCs w:val="24"/>
        </w:rPr>
        <w:t>.</w:t>
      </w:r>
    </w:p>
    <w:p w:rsidR="00647EFD" w:rsidRDefault="00647EFD" w:rsidP="00647EFD">
      <w:pPr>
        <w:pStyle w:val="a3"/>
        <w:rPr>
          <w:kern w:val="2"/>
        </w:rPr>
      </w:pPr>
      <w:r>
        <w:t xml:space="preserve">Full Text: </w:t>
      </w:r>
      <w:hyperlink r:id="rId807" w:history="1">
        <w:r w:rsidR="007835D2" w:rsidRPr="007835D2">
          <w:rPr>
            <w:rStyle w:val="a5"/>
          </w:rPr>
          <w:t>2014\Coc Dat Sys Rev2014, CD001746.pdf</w:t>
        </w:r>
      </w:hyperlink>
    </w:p>
    <w:p w:rsidR="00647EFD" w:rsidRDefault="00647EFD" w:rsidP="00647EFD">
      <w:pPr>
        <w:pStyle w:val="a3"/>
        <w:rPr>
          <w:kern w:val="0"/>
        </w:rPr>
      </w:pPr>
      <w:r>
        <w:rPr>
          <w:kern w:val="0"/>
        </w:rPr>
        <w:t>Abstract: Background Children</w:t>
      </w:r>
      <w:r w:rsidR="0071223E">
        <w:rPr>
          <w:kern w:val="0"/>
        </w:rPr>
        <w:t>’</w:t>
      </w:r>
      <w:r>
        <w:rPr>
          <w:kern w:val="0"/>
        </w:rPr>
        <w:t>s exposure to other people</w:t>
      </w:r>
      <w:r w:rsidR="0071223E">
        <w:rPr>
          <w:kern w:val="0"/>
        </w:rPr>
        <w:t>’</w:t>
      </w:r>
      <w:r>
        <w:rPr>
          <w:kern w:val="0"/>
        </w:rPr>
        <w:t>s cigarette smoke (environmental tobacco smoke, or ETS) is associated with a range of adverse health outcomes for children. Parental smoking is a common source of children</w:t>
      </w:r>
      <w:r w:rsidR="0071223E">
        <w:rPr>
          <w:kern w:val="0"/>
        </w:rPr>
        <w:t>’</w:t>
      </w:r>
      <w:r>
        <w:rPr>
          <w:kern w:val="0"/>
        </w:rPr>
        <w:t>s exposure to ETS. Older children are also at risk of exposure to ETS in child care or educational settings. Preventing exposure to cigarette smoke in infancy and childhood has significant potential to improve children</w:t>
      </w:r>
      <w:r w:rsidR="0071223E">
        <w:rPr>
          <w:kern w:val="0"/>
        </w:rPr>
        <w:t>’</w:t>
      </w:r>
      <w:r>
        <w:rPr>
          <w:kern w:val="0"/>
        </w:rPr>
        <w:t>s health worldwide. Objectives To determine the effectiveness of interventions aiming to reduce exposure of children to ETS. Search methods We searched the Cochrane Tobacco Addiction Group Specialized Register and conducted additional searches of the Cochrane Central Register of Controlled Trials (CENTRAL), MEDLINE, PsycINFO, EMBASE, CINAHL, ERIC, and The Social Science Citation Index &amp; Science Citation Index (Web of Knowledge). Date of the most recent search: September 2013. Selection criteria Controlled trials with or without random allocation. Interventions must have addressed participants (parents and other family members, child care workers and teachers) involved with the care and education of infants and young children (aged 0 to 12 years). All mechanisms for reduction of children</w:t>
      </w:r>
      <w:r w:rsidR="0071223E">
        <w:rPr>
          <w:kern w:val="0"/>
        </w:rPr>
        <w:t>’</w:t>
      </w:r>
      <w:r>
        <w:rPr>
          <w:kern w:val="0"/>
        </w:rPr>
        <w:t>s ETS exposure, and smoking prevention, cessation, and control programmes were included</w:t>
      </w:r>
      <w:r w:rsidR="00A37C1D">
        <w:rPr>
          <w:kern w:val="0"/>
        </w:rPr>
        <w:t>. The</w:t>
      </w:r>
      <w:r>
        <w:rPr>
          <w:kern w:val="0"/>
        </w:rPr>
        <w:t xml:space="preserve">se include health promotion, social-behavioural therapies, technology, education, and clinical interventions. Data collection and analysis Two authors independently assessed studies and extracted data. Due to heterogeneity of methodologies and outcome measures, no summary measures were possible and results were synthesised narratively. Main results Fifty-seven studies met the inclusion criteria. Seven studies were judged to be at low risk of bias, 27 studies were judged to have unclear overall risk of bias and 23 studies were judged to have high risk of bias. Seven interventions were targeted at populations or community settings, 23 studies were conducted in the </w:t>
      </w:r>
      <w:r w:rsidR="0071223E">
        <w:rPr>
          <w:kern w:val="0"/>
        </w:rPr>
        <w:t>‘</w:t>
      </w:r>
      <w:r>
        <w:rPr>
          <w:kern w:val="0"/>
        </w:rPr>
        <w:t>well child</w:t>
      </w:r>
      <w:r w:rsidR="0071223E">
        <w:rPr>
          <w:kern w:val="0"/>
        </w:rPr>
        <w:t>’</w:t>
      </w:r>
      <w:r>
        <w:rPr>
          <w:kern w:val="0"/>
        </w:rPr>
        <w:t xml:space="preserve"> healthcare setting and 24 in the </w:t>
      </w:r>
      <w:r w:rsidR="0071223E">
        <w:rPr>
          <w:kern w:val="0"/>
        </w:rPr>
        <w:t>‘</w:t>
      </w:r>
      <w:r>
        <w:rPr>
          <w:kern w:val="0"/>
        </w:rPr>
        <w:t>ill child</w:t>
      </w:r>
      <w:r w:rsidR="0071223E">
        <w:rPr>
          <w:kern w:val="0"/>
        </w:rPr>
        <w:t>’</w:t>
      </w:r>
      <w:r>
        <w:rPr>
          <w:kern w:val="0"/>
        </w:rPr>
        <w:t xml:space="preserve"> healthcare setting. Two further studies conducted in paediatric clinics did not make clear whether the visits were to well or ill children, and another included both well and ill child visits. Thirty-six studies were from North America, 14 were in other high income countries and seven studies were from low-or middle-income countries. In only 14 of the 57 studies was </w:t>
      </w:r>
      <w:r>
        <w:rPr>
          <w:kern w:val="0"/>
        </w:rPr>
        <w:lastRenderedPageBreak/>
        <w:t>there a statistically significant intervention effect for child ETS exposure reduction. Of these 14 studies, six used objective measures of children</w:t>
      </w:r>
      <w:r w:rsidR="0071223E">
        <w:rPr>
          <w:kern w:val="0"/>
        </w:rPr>
        <w:t>’</w:t>
      </w:r>
      <w:r>
        <w:rPr>
          <w:kern w:val="0"/>
        </w:rPr>
        <w:t>s ETS exposure. Eight of the studies had a high risk of bias, four had unclear risk of bias and two had a low risk of bias</w:t>
      </w:r>
      <w:r w:rsidR="00A37C1D">
        <w:rPr>
          <w:kern w:val="0"/>
        </w:rPr>
        <w:t>. The</w:t>
      </w:r>
      <w:r>
        <w:rPr>
          <w:kern w:val="0"/>
        </w:rPr>
        <w:t xml:space="preserve"> studies showing a significant effect used a range of interventions: seven used intensive counselling or motivational interviewing; a further study used telephone counselling; one used a school-based strategy; one used picture books; two used educational home visits; one used brief intervention and one study did not describe the intervention. Of the 42 studies that did not show a significant reduction in child ETS exposure, 14 used more intensive counselling or motivational interviewing, nine used brief advice or counselling, six used feedback of a biological measure of children</w:t>
      </w:r>
      <w:r w:rsidR="0071223E">
        <w:rPr>
          <w:kern w:val="0"/>
        </w:rPr>
        <w:t>’</w:t>
      </w:r>
      <w:r>
        <w:rPr>
          <w:kern w:val="0"/>
        </w:rPr>
        <w:t>s ETS exposure, one used feedback of maternal cotinine, two used telephone smoking cessation advice or support, eight used educational home visits, one used group sessions, one used an information kit and letter, one used a booklet and no smoking sign, and one used a school-based policy and health promotion. In 32 of the 57 studies, there was reduction of ETS exposure for children in the study irrespective of assignment to intervention and comparison groups. One study did not aim to reduce children</w:t>
      </w:r>
      <w:r w:rsidR="0071223E">
        <w:rPr>
          <w:kern w:val="0"/>
        </w:rPr>
        <w:t>’</w:t>
      </w:r>
      <w:r>
        <w:rPr>
          <w:kern w:val="0"/>
        </w:rPr>
        <w:t>s tobacco smoke exposure, but rather aimed to reduce symptoms of asthma, and found a significant reduction in symptoms in the group exposed to motivational interviewing. We found little evidence of difference in effectiveness of interventions between the well infant, child respiratory illness, and other child illness settings as contexts for parental smoking cessation interventions. Authors</w:t>
      </w:r>
      <w:r w:rsidR="0071223E">
        <w:rPr>
          <w:kern w:val="0"/>
        </w:rPr>
        <w:t>’</w:t>
      </w:r>
      <w:r>
        <w:rPr>
          <w:kern w:val="0"/>
        </w:rPr>
        <w:t xml:space="preserve"> conclusions While brief counselling interventions have been identified as successful for adults when delivered by physicians, this cannot be extrapolated to adults as parents in child health settings. Although several interventions, including parental education and counselling programmes, have been used to try to reduce children</w:t>
      </w:r>
      <w:r w:rsidR="0071223E">
        <w:rPr>
          <w:kern w:val="0"/>
        </w:rPr>
        <w:t>’</w:t>
      </w:r>
      <w:r>
        <w:rPr>
          <w:kern w:val="0"/>
        </w:rPr>
        <w:t>s tobacco smoke exposure, their effectiveness has not been clearly demonstrated</w:t>
      </w:r>
      <w:r w:rsidR="00A37C1D">
        <w:rPr>
          <w:kern w:val="0"/>
        </w:rPr>
        <w:t>. The</w:t>
      </w:r>
      <w:r>
        <w:rPr>
          <w:kern w:val="0"/>
        </w:rPr>
        <w:t xml:space="preserve"> review was unable to determine if any one intervention reduced parental smoking and child exposure more effectively than others, although seven studies were identified that reported motivational interviewing or intensive counselling provided in clinical settings was effective.</w:t>
      </w:r>
    </w:p>
    <w:p w:rsidR="00647EFD" w:rsidRDefault="00647EFD" w:rsidP="00647EFD">
      <w:pPr>
        <w:pStyle w:val="a3"/>
        <w:rPr>
          <w:kern w:val="0"/>
        </w:rPr>
      </w:pPr>
      <w:r>
        <w:rPr>
          <w:kern w:val="0"/>
        </w:rPr>
        <w:t xml:space="preserve">Keywords: Age Factors, Aged, Allocation, Analysis, Asthma, Authors, Bias, Biological, Care, Caregivers, Child, Child Health, Child,Preschool, Childhood, Children, Citation, Clinical, Collection, Community, Comparison, Control, Controlled Clinical Trials As Topic, Counselling, Criteria, Data, Data Collection, Education, Effectiveness, Embase, Environmental, Environmental Exposure [Prevention &amp; Control], Environmental Tobacco Smoke, Evidence, Exposure, Family, Family Members, Groups, Health, Health Outcomes, Health Promotion, Healthy Homes Project, Heterogeneity, Home Visits, Humans, Infancy, Infant, Infant,Newborn, Infant-Death-Syndrome, Infants, Information, Inner-City Areas, Intervention, </w:t>
      </w:r>
      <w:r>
        <w:rPr>
          <w:kern w:val="0"/>
        </w:rPr>
        <w:lastRenderedPageBreak/>
        <w:t>Interventions, Knowledge, Low Risk, Low-Income Children, Lower Respiratory Illness, Maternal, Measure, Measures, Mechanisms, Medline, Methodologies, Methods, Motivational Interviewing, North, North America, Outcome, Outcome Measures, Outcomes, Parents, Passive-Smoking, Physicians, Policy, Populations, Potential, Prevention, Programmes, Promotion, Psycinfo, Randomized Controlled-Trial, Recent, Reduction, Relapse Prevention Intervention, Review, Risk, Science, Science Citation Index, Search, Self-Reported Smoking, Smoking, Smoking Cessation, Smoking Control, Smoking [Prevention &amp; Control], Social Science Citation Index, Source, Strategy, Support, Symptoms, Technology, Tobacco, Tobacco Smoke Pollution [Prevention &amp; Control], Web Of Knowledge, Young-Children</w:t>
      </w:r>
    </w:p>
    <w:p w:rsidR="00647EFD" w:rsidRDefault="00647EFD" w:rsidP="00647EFD">
      <w:pPr>
        <w:pStyle w:val="a3"/>
        <w:rPr>
          <w:kern w:val="0"/>
          <w:szCs w:val="24"/>
        </w:rPr>
      </w:pPr>
      <w:r>
        <w:rPr>
          <w:rFonts w:hint="eastAsia"/>
          <w:kern w:val="0"/>
        </w:rPr>
        <w:t xml:space="preserve">? </w:t>
      </w:r>
      <w:r>
        <w:rPr>
          <w:kern w:val="0"/>
        </w:rPr>
        <w:t xml:space="preserve">Pedersen, T., Nicholson, A., Hovhannisyan, K., Moller, A.M., Smith, A.F. and Lewis, S.R. (2014), Pulse oximetry for perioperative monitoring.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71B19">
        <w:rPr>
          <w:kern w:val="0"/>
          <w:szCs w:val="24"/>
        </w:rPr>
        <w:t>CD002013</w:t>
      </w:r>
      <w:r>
        <w:rPr>
          <w:rFonts w:hint="eastAsia"/>
          <w:kern w:val="0"/>
          <w:szCs w:val="24"/>
        </w:rPr>
        <w:t>.</w:t>
      </w:r>
    </w:p>
    <w:p w:rsidR="00647EFD" w:rsidRDefault="00647EFD" w:rsidP="00647EFD">
      <w:pPr>
        <w:pStyle w:val="a3"/>
        <w:rPr>
          <w:kern w:val="2"/>
        </w:rPr>
      </w:pPr>
      <w:r>
        <w:t xml:space="preserve">Full Text: </w:t>
      </w:r>
      <w:hyperlink r:id="rId808" w:history="1">
        <w:r w:rsidR="007835D2" w:rsidRPr="007835D2">
          <w:rPr>
            <w:rStyle w:val="a5"/>
          </w:rPr>
          <w:t>2014\Coc Dat Sys Rev2014, CD002013.pdf</w:t>
        </w:r>
      </w:hyperlink>
    </w:p>
    <w:p w:rsidR="00647EFD" w:rsidRDefault="00647EFD" w:rsidP="00647EFD">
      <w:pPr>
        <w:pStyle w:val="a3"/>
        <w:rPr>
          <w:kern w:val="0"/>
        </w:rPr>
      </w:pPr>
      <w:r>
        <w:rPr>
          <w:kern w:val="0"/>
        </w:rPr>
        <w:t>Abstract: Background This is an update of a review last published in Issue 9, 2009, of The Cochrane Library. Pulse oximetry is used extensively in the perioperative period and might improve patient outcomes by enabling early diagnosis and, consequently, correction of perioperative events that might cause postoperative complications or even death. Only a few randomized clinical trials of pulse oximetry during anaesthesia and in the recovery room have been performed that describe perioperative hypoxaemic events, postoperative cardiopulmonary complications and cognitive dysfunction. Objectives To study the use of perioperative monitoring with pulse oximetry to clearly identify adverse outcomes that might be prevented or improved by its use</w:t>
      </w:r>
      <w:r w:rsidR="00A37C1D">
        <w:rPr>
          <w:kern w:val="0"/>
        </w:rPr>
        <w:t>. The</w:t>
      </w:r>
      <w:r>
        <w:rPr>
          <w:kern w:val="0"/>
        </w:rPr>
        <w:t xml:space="preserve"> following hypotheses were tested. 1. Use of pulse oximetry is associated with improvement in the detection and treatment of hypoxaemia. 2. Early detection and treatment of hypoxaemia reduce morbidity and mortality in the perioperative period. 3. Use of pulse oximetry per se reduces morbidity and mortality in the perioperative period. 4. Use of pulse oximetry reduces unplanned respiratory admissions to the intensive care unit (ICU), decreases the length of ICU readmission or both. Search methods We searched the Cochrane Central Register of Controlled Trials (CENTRAL) (2013, Issue 5), MEDLINE (1966 to June 2013), EMBASE (1980 to June 2013), CINAHL (1982 to June 2013), ISI Web of Science (1956 to June 2013), LILACS (1982 to June 2013) and databases of ongoing trials; we also checked the reference lists of trials and review articles</w:t>
      </w:r>
      <w:r w:rsidR="00A37C1D">
        <w:rPr>
          <w:kern w:val="0"/>
        </w:rPr>
        <w:t>. The</w:t>
      </w:r>
      <w:r>
        <w:rPr>
          <w:kern w:val="0"/>
        </w:rPr>
        <w:t xml:space="preserve"> original search was performed in January 2005, and a previous update was performed in May 2009. Selection criteria We included all controlled trials that randomly assigned participants to pulse oximetry or no pulse oximetry during the perioperative period. Data collection and analysis Two review authors independently assessed data in </w:t>
      </w:r>
      <w:r>
        <w:rPr>
          <w:kern w:val="0"/>
        </w:rPr>
        <w:lastRenderedPageBreak/>
        <w:t>relation to events detectable by pulse oximetry, any serious complications that occurred during anaesthesia or in the postoperative period and intraoperative or postoperative mortality. Main results The last update of the review identified five eligible studies</w:t>
      </w:r>
      <w:r w:rsidR="00A37C1D">
        <w:rPr>
          <w:kern w:val="0"/>
        </w:rPr>
        <w:t>. The</w:t>
      </w:r>
      <w:r>
        <w:rPr>
          <w:kern w:val="0"/>
        </w:rPr>
        <w:t xml:space="preserve"> updated search found one study that is awaiting assessment but no additional eligible studies. We considered studies with data from a total of 22,992 participants that were eligible for analysis</w:t>
      </w:r>
      <w:r w:rsidR="00A37C1D">
        <w:rPr>
          <w:kern w:val="0"/>
        </w:rPr>
        <w:t>. The</w:t>
      </w:r>
      <w:r>
        <w:rPr>
          <w:kern w:val="0"/>
        </w:rPr>
        <w:t>se studies gave insufficient detail on the methods used for randomization and allocation concealment. It was impossible for study personnel to be blinded to participant allocation in the study, as they needed to be able to respond to oximetry readings. Appropriate steps were taken to minimize detection bias for hypoxaemia and complication outcomes. Results indicated that hypoxaemia was reduced in the pulse oximetry group, both in the operating theatre and in the recovery room. During observation in the recovery room, the incidence of hypoxaemia in the pulse oximetry group was 1.5 to three times less. Postoperative cognitive function was independent of perioperative monitoring with pulse oximetry. A single study in general surgery showed that postoperative complications occurred in 10% of participants in the oximetry group and in 9.4% of those in the control group. No statistically significant differences in cardiovascular, respiratory, neurological or infectious complications were detected in the two groups</w:t>
      </w:r>
      <w:r w:rsidR="00A37C1D">
        <w:rPr>
          <w:kern w:val="0"/>
        </w:rPr>
        <w:t>. The</w:t>
      </w:r>
      <w:r>
        <w:rPr>
          <w:kern w:val="0"/>
        </w:rPr>
        <w:t xml:space="preserve"> duration of hospital stay was a median of five days in both groups, and equal numbers of in-hospital deaths were reported in the two groups. Continuous pulse oximetry has the potential to increase vigilance and decrease pulmonary complications after cardiothoracic surgery; however, routine continuous monitoring did not reduce transfer to an ICU and did not decrease overall mortality. Authors</w:t>
      </w:r>
      <w:r w:rsidR="0071223E">
        <w:rPr>
          <w:kern w:val="0"/>
        </w:rPr>
        <w:t>’</w:t>
      </w:r>
      <w:r>
        <w:rPr>
          <w:kern w:val="0"/>
        </w:rPr>
        <w:t xml:space="preserve"> conclusions These studies confirmed that pulse oximetry can detect hypoxaemia and related events. However, we found no evidence that pulse oximetry affects the outcome of anaesthesia for patients</w:t>
      </w:r>
      <w:r w:rsidR="00A37C1D">
        <w:rPr>
          <w:kern w:val="0"/>
        </w:rPr>
        <w:t>. The</w:t>
      </w:r>
      <w:r>
        <w:rPr>
          <w:kern w:val="0"/>
        </w:rPr>
        <w:t xml:space="preserve"> conflicting subjective and objective study results, despite an intense methodical collection of data from a relatively large general surgery population, indicate that the value of perioperative monitoring with pulse oximetry is questionable in relation to improved reliable outcomes, effectiveness and efficiency. Routine continuous pulse oximetry monitoring did not reduce transfer to the ICU and did not decrease mortality, and it is unclear whether any real benefit was derived from the application of this technology for patients recovering from cardiothoracic surgery in a general care area.</w:t>
      </w:r>
    </w:p>
    <w:p w:rsidR="00647EFD" w:rsidRDefault="00647EFD" w:rsidP="00647EFD">
      <w:pPr>
        <w:pStyle w:val="a3"/>
        <w:rPr>
          <w:kern w:val="0"/>
        </w:rPr>
      </w:pPr>
      <w:r>
        <w:rPr>
          <w:kern w:val="0"/>
        </w:rPr>
        <w:t xml:space="preserve">Keywords: Adverse Outcomes, Allocation, Anaesthesia, Analysis, Anesthesia, Anoxia [Diagnosis], Application, Assessment, Authors, Bias, Cardiopulmonary, Cardiovascular, Care, Clinical, Clinical Trials, Closed Claims Analysis, Cognitive Function, Collection, Complication, Complications, Control, Controlled Ventilation, Criteria, Data, Data Collection, Databases, Death, Diagnosis, Duration, Duration Of Hospital Stay, Early Diagnosis, Effectiveness, Efficiency, Embase, Events, Evidence, </w:t>
      </w:r>
      <w:r>
        <w:rPr>
          <w:kern w:val="0"/>
        </w:rPr>
        <w:lastRenderedPageBreak/>
        <w:t>Function, General, General Surgery, Groups, Hospital, Hospital Stay, Humans, Hypoxemia, Icu, Improvement, Incidence, Infectious Complications, Intensive Care, Intensive Care Unit, ISI, ISI Web Of Science, Length, Medline, Methods, Monitoring, Monitoring,Intraoperative [Methods], Morbidity, Mortality, Neurological, Observation, Outcome, Outcomes, Oximetry, Patients, Personnel, Population, Postoperative, Postoperative Cognitive Dysfunction, Postoperative Complications, Postoperative Complications [Prevention &amp; Control], Potential, Pulse Oximetry, Randomization, Randomized, Randomized Controlled Trials As Topic, Randomized Evaluation, Readmission, Recovery, Recovery Room, Reference, Reference Lists, Results, Review, Science, Search, Single-Blind, Surgery, Surgical Patients, Technology, Treatment, Value, Vigilance, Web Of Science</w:t>
      </w:r>
    </w:p>
    <w:p w:rsidR="00647EFD" w:rsidRDefault="00647EFD" w:rsidP="00647EFD">
      <w:pPr>
        <w:pStyle w:val="a3"/>
        <w:rPr>
          <w:kern w:val="0"/>
          <w:szCs w:val="24"/>
        </w:rPr>
      </w:pPr>
      <w:r>
        <w:rPr>
          <w:rFonts w:hint="eastAsia"/>
          <w:kern w:val="0"/>
        </w:rPr>
        <w:t xml:space="preserve">? </w:t>
      </w:r>
      <w:r>
        <w:rPr>
          <w:kern w:val="0"/>
        </w:rPr>
        <w:t xml:space="preserve">Kwan, I., Bunn, F., Chinnock, P. and Roberts, I. (2014), Timing and volume of fluid administration for patients with bleeding.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CD002245</w:t>
      </w:r>
      <w:r>
        <w:rPr>
          <w:rFonts w:hint="eastAsia"/>
          <w:kern w:val="0"/>
          <w:szCs w:val="24"/>
        </w:rPr>
        <w:t>.</w:t>
      </w:r>
    </w:p>
    <w:p w:rsidR="00647EFD" w:rsidRDefault="00647EFD" w:rsidP="00647EFD">
      <w:pPr>
        <w:pStyle w:val="a3"/>
        <w:rPr>
          <w:kern w:val="2"/>
        </w:rPr>
      </w:pPr>
      <w:r>
        <w:t xml:space="preserve">Full Text: </w:t>
      </w:r>
      <w:hyperlink r:id="rId809" w:history="1">
        <w:r w:rsidR="007835D2" w:rsidRPr="007835D2">
          <w:rPr>
            <w:rStyle w:val="a5"/>
          </w:rPr>
          <w:t>2014\Coc Dat Sys Rev2014, CD002245.pdf</w:t>
        </w:r>
      </w:hyperlink>
    </w:p>
    <w:p w:rsidR="00647EFD" w:rsidRDefault="00647EFD" w:rsidP="00647EFD">
      <w:pPr>
        <w:pStyle w:val="a3"/>
        <w:rPr>
          <w:kern w:val="0"/>
        </w:rPr>
      </w:pPr>
      <w:r>
        <w:rPr>
          <w:kern w:val="0"/>
        </w:rPr>
        <w:t>Abstract: Background Treatment of haemorrhagic shock involves maintaining blood pressure and tissue perfusion until bleeding is controlled. Different resuscitation strategies have been used to maintain the blood pressure in trauma patients until bleeding is controlled. However, while maintaining blood pressure may prevent shock, it may worsen bleeding. Objectives To examine the effect on mortality and coagulation times of two intravenous fluid administration strategies in the management of haemorrhagic hypovolaemia, early compared to delayed administration and larger compared to smaller volume of fluid administered. Search methods We searched the Cochrane Injuries Group Specialised Register, Cochrane Central Register of Controlled Trials (CENTRAL) in The Cochrane Library, Ovid MEDLINE(R), Ovid MEDLINE(R) In-Process &amp; Other Non-Indexed Citations, Ovid MEDLINE(R) Daily and Ovid OLDMEDLINE(R), Embase Classic + Embase (OvidSP), ISI Web of Science (SCI-Expanded and CPCI-S) and clinical trials registries. We checked reference lists of identified articles and contacted authors and experts in the field</w:t>
      </w:r>
      <w:r w:rsidR="00A37C1D">
        <w:rPr>
          <w:kern w:val="0"/>
        </w:rPr>
        <w:t>. The</w:t>
      </w:r>
      <w:r>
        <w:rPr>
          <w:kern w:val="0"/>
        </w:rPr>
        <w:t xml:space="preserve"> most recent search was run on 5 February 2014. Selection criteria Randomised trials of the timing and volume of intravenous fluid administration in trauma patients with bleeding. Trials in which different types of intravenous fluid were compared were excluded. Data collection and analysis Two authors independently extracted data and assessed trial quality. Main results Six trials involving a total of 2128 people were included in this review. We did not combine the results quantitatively because the interventions and patient populations were so diverse. Early versus delayed fluid administration Three trials reported mortality and two reported coagulation data. In the first trial (n = 598) the relative risk (RR) for death with early fluid administration was 1.26 (95% confidence interval (CI) 1.00 to </w:t>
      </w:r>
      <w:r>
        <w:rPr>
          <w:kern w:val="0"/>
        </w:rPr>
        <w:lastRenderedPageBreak/>
        <w:t>1.58)</w:t>
      </w:r>
      <w:r w:rsidR="00A37C1D">
        <w:rPr>
          <w:kern w:val="0"/>
        </w:rPr>
        <w:t>. The</w:t>
      </w:r>
      <w:r>
        <w:rPr>
          <w:kern w:val="0"/>
        </w:rPr>
        <w:t xml:space="preserve"> weighted mean differences (WMD) for prothrombin time and partial thromboplastin time were 2.7 (95% CI 0.9 to 4.5) and 4.3 (95% CI 1.74 to 6.9) seconds, respectively. In the second trial (n = 50) the RR for death with early blood transfusion was 5.4 (95% CI 0.3 to 107.1)</w:t>
      </w:r>
      <w:r w:rsidR="00A37C1D">
        <w:rPr>
          <w:kern w:val="0"/>
        </w:rPr>
        <w:t>. The</w:t>
      </w:r>
      <w:r>
        <w:rPr>
          <w:kern w:val="0"/>
        </w:rPr>
        <w:t xml:space="preserve"> WMD for partial thromboplastin time was 7.0 (95% CI 6.0 to 8.0) seconds. In the third trial (n = 1309) the RR for death with early fluid administration was 1.06 (95% CI 0.77 to 1.47). Larger versus smaller volume of fluid administration Three trials reported mortality and one reported coagulation data. In the first trial (n = 36) the RR for death with a larger volume of fluid resuscitation was 0.80 (95% CI 0.28 to 22.29). Prothrombin time and partial thromboplastin time were 14.8 and 47.3 seconds in those who received a larger volume of fluid, as compared to 13.9 and 35.1 seconds in the comparison group. In the second trial (n = 110) the RR for death with a high systolic blood pressure resuscitation target (100 mm Hg) maintained with a larger volume of fluid as compared to a low systolic blood pressure resuscitation target (70 mm Hg) maintained with a smaller volume of fluid was 1.00 (95% CI 0.26 to 3.81). In the third trial (n = 25) there were no deaths. Authors</w:t>
      </w:r>
      <w:r w:rsidR="0071223E">
        <w:rPr>
          <w:kern w:val="0"/>
        </w:rPr>
        <w:t>’</w:t>
      </w:r>
      <w:r>
        <w:rPr>
          <w:kern w:val="0"/>
        </w:rPr>
        <w:t xml:space="preserve"> conclusions We found no evidence from randomised controlled trials for or against early or larger volume of intravenous fluid administration in uncontrolled haemorrhage</w:t>
      </w:r>
      <w:r w:rsidR="00A37C1D">
        <w:rPr>
          <w:kern w:val="0"/>
        </w:rPr>
        <w:t>. The</w:t>
      </w:r>
      <w:r>
        <w:rPr>
          <w:kern w:val="0"/>
        </w:rPr>
        <w:t>re is continuing uncertainty about the best fluid administration strategy in bleeding trauma patients. Further randomised controlled trials are needed to establish the most effective fluid resuscitation strategy.</w:t>
      </w:r>
    </w:p>
    <w:p w:rsidR="00647EFD" w:rsidRDefault="00647EFD" w:rsidP="00647EFD">
      <w:pPr>
        <w:pStyle w:val="a3"/>
        <w:rPr>
          <w:kern w:val="0"/>
        </w:rPr>
      </w:pPr>
      <w:r>
        <w:rPr>
          <w:kern w:val="0"/>
        </w:rPr>
        <w:t>Keywords: Administration, Analysis, Authors, Bleeding, Blood, Blood Pressure, Blood Transfusion, Citations, Clinical, Clinical Trials, Coagulation, Collection, Comparison, Complications], Confidence, Criteria, Data, Data Collection, Death, Evidence, Experts, Field, First, Haemorrhage, Hemorrhage, Hemorrhage [Therapy], Humans, Hypotensive Patients, Infusions,Intravenous, Injury, Interval, Interventions, Intravenous, Isi, Isi Web Of Science, Management, Methods, Mortality, Patients, Plasma Substitutes [Administration &amp; Dosage], Populations, Pressure, Prevent, Quality, Randomised, Randomised Controlled Trials, Randomized Controlled Trials As Topic, Recent, Reference, Reference Lists, Registries, Relative Risk, Resuscitation, Review, Risk, SCI-Expanded, Science, Search, Shock, Strategy, Thromboplastin, Time Factors, Timing, Transfusion, Trauma, Treatment, Trial, Uncertainty, Volume, Web Of Science, Wounds And Injuries [Blood</w:t>
      </w:r>
    </w:p>
    <w:p w:rsidR="00647EFD" w:rsidRDefault="00647EFD" w:rsidP="00647EFD">
      <w:pPr>
        <w:pStyle w:val="a3"/>
        <w:rPr>
          <w:kern w:val="0"/>
          <w:szCs w:val="24"/>
        </w:rPr>
      </w:pPr>
      <w:r>
        <w:rPr>
          <w:rFonts w:hint="eastAsia"/>
          <w:kern w:val="0"/>
        </w:rPr>
        <w:t xml:space="preserve">? </w:t>
      </w:r>
      <w:r>
        <w:rPr>
          <w:kern w:val="0"/>
        </w:rPr>
        <w:t xml:space="preserve">Chang, C.C., Cheng, A.C. and Chang, A.B. (2014), Over-the-counter (OTC) medications to reduce cough as an adjunct to antibiotics for acute pneumonia in children and adults.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CD006088</w:t>
      </w:r>
      <w:r>
        <w:rPr>
          <w:rFonts w:hint="eastAsia"/>
          <w:kern w:val="0"/>
          <w:szCs w:val="24"/>
        </w:rPr>
        <w:t>.</w:t>
      </w:r>
    </w:p>
    <w:p w:rsidR="00647EFD" w:rsidRDefault="00647EFD" w:rsidP="00647EFD">
      <w:pPr>
        <w:pStyle w:val="a3"/>
        <w:rPr>
          <w:kern w:val="2"/>
        </w:rPr>
      </w:pPr>
      <w:r>
        <w:t xml:space="preserve">Full Text: </w:t>
      </w:r>
      <w:hyperlink r:id="rId810" w:history="1">
        <w:r w:rsidR="007835D2" w:rsidRPr="007835D2">
          <w:rPr>
            <w:rStyle w:val="a5"/>
          </w:rPr>
          <w:t>2014\Coc Dat Sys Rev2014, CD006088.pdf</w:t>
        </w:r>
      </w:hyperlink>
    </w:p>
    <w:p w:rsidR="00647EFD" w:rsidRDefault="00647EFD" w:rsidP="00647EFD">
      <w:pPr>
        <w:pStyle w:val="a3"/>
        <w:rPr>
          <w:kern w:val="0"/>
        </w:rPr>
      </w:pPr>
      <w:r>
        <w:rPr>
          <w:kern w:val="0"/>
        </w:rPr>
        <w:t xml:space="preserve">Abstract: Background Cough is often distressing for patients with pneumonia. </w:t>
      </w:r>
      <w:r>
        <w:rPr>
          <w:kern w:val="0"/>
        </w:rPr>
        <w:lastRenderedPageBreak/>
        <w:t>Accordingly they often use over-the-counter (OTC) cough medications (mucolytics or cough suppressants)</w:t>
      </w:r>
      <w:r w:rsidR="00A37C1D">
        <w:rPr>
          <w:kern w:val="0"/>
        </w:rPr>
        <w:t>. The</w:t>
      </w:r>
      <w:r>
        <w:rPr>
          <w:kern w:val="0"/>
        </w:rPr>
        <w:t>se might provide relief in reducing cough severity, but suppression of the cough mechanism might impede airway clearance and cause harm. Objectives To evaluate the efficacy of OTC cough medications as an adjunct to antibiotics in children and adults with pneumonia. Search methods We searched CENTRAL 2013, Issue 12, MEDLINE (January 1966 to January week 2, 2014), OLDMEDLINE (1950 to 1965), EMBASE (1980 to January 2014), CINAHL (2009 to January 2014), LILACS (2009 to January 2014) and Web of Science (2009 to January 2014). Selection criteria Randomised controlled trials (RCTs) in children and adults comparing any type of OTC cough medication with placebo, or control medication, with cough as an outcome and where the cough is secondary to acute pneumonia. Data collection and analysis We independently selected trials for inclusion. We extracted data from these studies, assessed them for methodological quality without disagreement and analyzed them using standard methods. Main results There are no new trials to include in this review update. Previously, four studies with a total of 224 participants were included; one was performed exclusively in children and three in adolescents or adults. One using an antitussive had no extractable pneumonia-specific data. Three different mucolytics (bromhexine, ambroxol, neltenexine) were used in the remaining studies, of which only two had extractable data</w:t>
      </w:r>
      <w:r w:rsidR="00A37C1D">
        <w:rPr>
          <w:kern w:val="0"/>
        </w:rPr>
        <w:t>. The</w:t>
      </w:r>
      <w:r>
        <w:rPr>
          <w:kern w:val="0"/>
        </w:rPr>
        <w:t xml:space="preserve">y demonstrated no significant difference for the primary outcome of </w:t>
      </w:r>
      <w:r w:rsidR="0071223E">
        <w:rPr>
          <w:kern w:val="0"/>
        </w:rPr>
        <w:t>‘</w:t>
      </w:r>
      <w:r>
        <w:rPr>
          <w:kern w:val="0"/>
        </w:rPr>
        <w:t>not cured or not improved</w:t>
      </w:r>
      <w:r w:rsidR="0071223E">
        <w:rPr>
          <w:kern w:val="0"/>
        </w:rPr>
        <w:t>’</w:t>
      </w:r>
      <w:r>
        <w:rPr>
          <w:kern w:val="0"/>
        </w:rPr>
        <w:t xml:space="preserve"> for mucolytics. A secondary outcome of </w:t>
      </w:r>
      <w:r w:rsidR="0071223E">
        <w:rPr>
          <w:kern w:val="0"/>
        </w:rPr>
        <w:t>‘</w:t>
      </w:r>
      <w:r>
        <w:rPr>
          <w:kern w:val="0"/>
        </w:rPr>
        <w:t>not cured</w:t>
      </w:r>
      <w:r w:rsidR="0071223E">
        <w:rPr>
          <w:kern w:val="0"/>
        </w:rPr>
        <w:t>’</w:t>
      </w:r>
      <w:r>
        <w:rPr>
          <w:kern w:val="0"/>
        </w:rPr>
        <w:t xml:space="preserve"> was reduced (odds ratio (OR) for children 0.36, 95% confidence interval (CI) 0.16 to 0.77; number needed to treat to benefit (NNTB) at day 10 = 5 (95% CI 3 to 16) and OR 0.32 for adults (95% CI 0.13 to 0.75); NNTB at day 10 = 5 (95% CI 3 to 19)). In a post hoc analysis combining data for children and adults, again there was no difference in the primary outcome of </w:t>
      </w:r>
      <w:r w:rsidR="0071223E">
        <w:rPr>
          <w:kern w:val="0"/>
        </w:rPr>
        <w:t>‘</w:t>
      </w:r>
      <w:r>
        <w:rPr>
          <w:kern w:val="0"/>
        </w:rPr>
        <w:t>not cured or not improved</w:t>
      </w:r>
      <w:r w:rsidR="0071223E">
        <w:rPr>
          <w:kern w:val="0"/>
        </w:rPr>
        <w:t>’</w:t>
      </w:r>
      <w:r>
        <w:rPr>
          <w:kern w:val="0"/>
        </w:rPr>
        <w:t xml:space="preserve"> (OR 0.85, 95% CI 0.40 to 1.80) although mucolytics reduced the secondary outcome </w:t>
      </w:r>
      <w:r w:rsidR="0071223E">
        <w:rPr>
          <w:kern w:val="0"/>
        </w:rPr>
        <w:t>‘</w:t>
      </w:r>
      <w:r>
        <w:rPr>
          <w:kern w:val="0"/>
        </w:rPr>
        <w:t>not cured</w:t>
      </w:r>
      <w:r w:rsidR="0071223E">
        <w:rPr>
          <w:kern w:val="0"/>
        </w:rPr>
        <w:t>’</w:t>
      </w:r>
      <w:r>
        <w:rPr>
          <w:kern w:val="0"/>
        </w:rPr>
        <w:t xml:space="preserve"> (OR 0.34, 95% CI 0.19 to 0.60; NNTB 4, 95% CI 3 to 8)</w:t>
      </w:r>
      <w:r w:rsidR="00A37C1D">
        <w:rPr>
          <w:kern w:val="0"/>
        </w:rPr>
        <w:t>. The</w:t>
      </w:r>
      <w:r>
        <w:rPr>
          <w:kern w:val="0"/>
        </w:rPr>
        <w:t xml:space="preserve"> risk of bias was low or unclear. Authors</w:t>
      </w:r>
      <w:r w:rsidR="0071223E">
        <w:rPr>
          <w:kern w:val="0"/>
        </w:rPr>
        <w:t>’</w:t>
      </w:r>
      <w:r>
        <w:rPr>
          <w:kern w:val="0"/>
        </w:rPr>
        <w:t xml:space="preserve"> conclusions There is insufficient evidence to decide whether OTC medications for cough associated with acute pneumonia are beneficial. Mucolytics may be beneficial but there is insufficient evidence to recommend them as an adjunctive treatment for acute pneumonia. This leaves only theoretical recommendations that OTC medications containing codeine and antihistamines should not be used in young children.</w:t>
      </w:r>
    </w:p>
    <w:p w:rsidR="00647EFD" w:rsidRDefault="00647EFD" w:rsidP="00647EFD">
      <w:pPr>
        <w:pStyle w:val="a3"/>
        <w:rPr>
          <w:kern w:val="0"/>
        </w:rPr>
      </w:pPr>
      <w:r>
        <w:rPr>
          <w:kern w:val="0"/>
        </w:rPr>
        <w:t xml:space="preserve">Keywords: Acute Disease, Adolescent, Adolescents, Adult, Analysis, Anti-Bacterial Agents [Therapeutic Use], Antibiotics, Antitussive Agents [Therapeutic Use], Bias, Chemotherapy,Adjuvant [Methods], Child, Children, Collection, Combining, Confidence, Control, Cough, Cough [Drug Therapy, Criteria, Data, Data Collection, Drug, Drug Therapy,Combination [Methods], Efficacy, Embase, Erdosteine, </w:t>
      </w:r>
      <w:r>
        <w:rPr>
          <w:kern w:val="0"/>
        </w:rPr>
        <w:lastRenderedPageBreak/>
        <w:t>Etiology], Evidence, Expectorants [Therapeutic Use], Guacetisal, Humans, Interval, Mechanism, Medline, Metaanalyses, Methods, Nonprescription Drugs [Therapeutic Use], Number Needed To Treat, Odds Ratio, Otc, Outcome, Over-The-Counter, Patients, Placebo, Pneumonia, Pneumonia [Complications,Drug Therapy], Primary, Quality, Randomised Controlled Trials, Randomized Controlled Trials As Topic, Recommendations, Respiratory-Tract Diseases, Review, Risk, Science, Search, Standard, Theoretical, Treatment, Treatment Outcome, Web Of Science</w:t>
      </w:r>
    </w:p>
    <w:p w:rsidR="00647EFD" w:rsidRDefault="00647EFD" w:rsidP="00647EFD">
      <w:pPr>
        <w:pStyle w:val="a3"/>
        <w:rPr>
          <w:kern w:val="0"/>
          <w:szCs w:val="24"/>
        </w:rPr>
      </w:pPr>
      <w:r>
        <w:rPr>
          <w:rFonts w:hint="eastAsia"/>
          <w:kern w:val="0"/>
        </w:rPr>
        <w:t xml:space="preserve">? </w:t>
      </w:r>
      <w:r>
        <w:rPr>
          <w:kern w:val="0"/>
        </w:rPr>
        <w:t xml:space="preserve">Gurusamy, K.S., Nagendran, M. and Davidson, B.R. (2014), Methods of preventing bacterial sepsis and wound complications after liver transplantation.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CD006930</w:t>
      </w:r>
      <w:r>
        <w:rPr>
          <w:rFonts w:hint="eastAsia"/>
          <w:kern w:val="0"/>
          <w:szCs w:val="24"/>
        </w:rPr>
        <w:t>.</w:t>
      </w:r>
    </w:p>
    <w:p w:rsidR="00647EFD" w:rsidRDefault="00647EFD" w:rsidP="00647EFD">
      <w:pPr>
        <w:pStyle w:val="a3"/>
        <w:rPr>
          <w:kern w:val="2"/>
        </w:rPr>
      </w:pPr>
      <w:r>
        <w:t xml:space="preserve">Full Text: </w:t>
      </w:r>
      <w:hyperlink r:id="rId811" w:history="1">
        <w:r w:rsidR="007835D2" w:rsidRPr="007835D2">
          <w:rPr>
            <w:rStyle w:val="a5"/>
          </w:rPr>
          <w:t>2014\Coc Dat Sys Rev2014, CD006660.pdf</w:t>
        </w:r>
      </w:hyperlink>
    </w:p>
    <w:p w:rsidR="00647EFD" w:rsidRDefault="00647EFD" w:rsidP="00647EFD">
      <w:pPr>
        <w:pStyle w:val="a3"/>
        <w:rPr>
          <w:kern w:val="0"/>
        </w:rPr>
      </w:pPr>
      <w:r>
        <w:rPr>
          <w:kern w:val="0"/>
        </w:rPr>
        <w:t>Abstract: Background Bacterial sepsis and wound complications after liver transplantation increase mortality, morbidity, or hospital stay and are likely to increase overall transplant costs. All liver transplantation patients receive antibiotic prophylaxis. This is an update of our 2008 Cochrane systematic review on the same topic in which we identified seven randomised clinical trials. Objectives To assess the benefits and harms of different methods aimed at preventing bacterial sepsis and wound complications in people undergoing liver transplantation. Search methods We searched the Cochrane Central Register of Controlled Trials (CENTRAL), MEDLINE, EMBASE, and Science Citation Index Expanded to February 2013. Selection criteria We included only randomised clinical trials irrespective of language or publication status. We excluded quasi-randomised and other observational studies for assessment of benefits, but not for harms. Data collection and analysis Two review authors collected the data independently. We calculated the risk ratio (RR) or mean difference (MD) with 95% confidence intervals (CI) using fixed-effect and the random-effects models based on available-case analysis. Main results We identified only seven trials for inclusion, including 614 participants. Only one trial was of low risk of bias risk. Overall, the quality of evidence was very low</w:t>
      </w:r>
      <w:r w:rsidR="00A37C1D">
        <w:rPr>
          <w:kern w:val="0"/>
        </w:rPr>
        <w:t>. The</w:t>
      </w:r>
      <w:r>
        <w:rPr>
          <w:kern w:val="0"/>
        </w:rPr>
        <w:t>re were five comparisons in the seven trials: selective bowel decontamination versus inactive control; selective bowel decontamination versus prebiotics with probiotics; selective bowel decontamination versus prebiotics; prebiotics with probiotics versus prebiotics; and granulocyte-colony stimulating factor (G-CSF) versus control. Four trials compared selective bowel decontamination versus placebo or no treatment. In one trial, participants were randomised to selective bowel decontamination, active lactobacillus with fibres (probiotic with prebiotic), or to inactivated lactobacillus with fibres (prebiotic). In one trial, active lactobacillus with fibres (probiotic with prebiotic) was compared with inactive lactobacillus with fibres (prebiotic). In the remaining trial, different doses of G-CSF and placebo were compared</w:t>
      </w:r>
      <w:r w:rsidR="00A37C1D">
        <w:rPr>
          <w:kern w:val="0"/>
        </w:rPr>
        <w:t>. The</w:t>
      </w:r>
      <w:r>
        <w:rPr>
          <w:kern w:val="0"/>
        </w:rPr>
        <w:t xml:space="preserve">re was no trial comparing different antibiotic prophylactic regimens in </w:t>
      </w:r>
      <w:r>
        <w:rPr>
          <w:kern w:val="0"/>
        </w:rPr>
        <w:lastRenderedPageBreak/>
        <w:t>people undergoing liver transplantation. Most trials included adults undergoing elective liver transplantation</w:t>
      </w:r>
      <w:r w:rsidR="00A37C1D">
        <w:rPr>
          <w:kern w:val="0"/>
        </w:rPr>
        <w:t>. The</w:t>
      </w:r>
      <w:r>
        <w:rPr>
          <w:kern w:val="0"/>
        </w:rPr>
        <w:t>re was no significant difference in proportion of people who died or required retransplantation between the intervention and control groups in any of the five comparison groups. Mortality There were no differences between 190 participants (three trials); 5/87 (adjusted proportion: 6.2%) in selective bowel decontamination group versus 7/103 (6.8%) in inactive control group; RR 0.91 (95% CI 0.31 to 2.72); 63 participants (one trial); 0/32 (0%) in selective bowel decontamination group versus 0/31 (0%) in prebiotics with probiotics group; RR - not estimable; 64 participants (one trial); 0/32 (0%) in selective bowel decontamination group versus 0/32 (0%) in prebiotics group; RR -not estimable; 129 participants (two trials); 0/64 (0%) in prebiotics with probiotics group versus 0/65 (0%) in prebiotics group; RR -not estimable; and 194 participants (one trial); 22/124 (17.7%) in G-CSF group versus 10/70 (14.3%) in placebo group; RR 1.24 (95% 0.62 to 2.47). Retransplantation There were no differences between 132 participants (two trials); 4/58 (adjusted proportion: 6.9%) in selective bowel decontamination group versus 6/74 (8.1%) in inactive control group; RR 0.85 (95% CI 0.26 to 2.85); 63 participants (one trial); 1/32 (3.1%) in selective bowel decontamination group versus 0/31 (0%) in prebiotics with probiotics group; RR 2.91 (0.12 to 68.81); 64 participants (one trial); 1/32 (3.1%) in selective bowel decontamination group versus 0/32 (0%) in prebiotics group; RR 3.00 (95% CI 0.13 to 71.00); 129 participants (two trials); 0/64 (0%) in prebiotics with probiotics group versus 1/65 (1.5%) in prebiotics group; RR 0.33 (95% CI 0.01 to 7.9); and 194 participants (one trial); 10/124 (7.1%) in G-CSF group versus 5/70 (7.1%) in placebo group; RR 1.13 (95% CI 0.4 to 3.17)</w:t>
      </w:r>
      <w:r w:rsidR="00A37C1D">
        <w:rPr>
          <w:kern w:val="0"/>
        </w:rPr>
        <w:t>. The</w:t>
      </w:r>
      <w:r>
        <w:rPr>
          <w:kern w:val="0"/>
        </w:rPr>
        <w:t>re was no significant difference in the graft rejections, intensive therapy unit stay, or hospital stay between the intervention and control groups in any of the comparisons. Overall, 193/611 participants (31.6%) developed infective complications</w:t>
      </w:r>
      <w:r w:rsidR="00A37C1D">
        <w:rPr>
          <w:kern w:val="0"/>
        </w:rPr>
        <w:t>. The</w:t>
      </w:r>
      <w:r>
        <w:rPr>
          <w:kern w:val="0"/>
        </w:rPr>
        <w:t xml:space="preserve"> proportion of people who developed infective complications and the number of infective complication episodes were significantly higher in the selective bowel decontamination group than in the prebiotics with probiotics group (1 study; 63 participants; 15/32 (46.9%) in selective bowel decontamination group versus 4/31 (12.9%) in prebiotics with probiotics group; RR 3.63; 95% CI 1.36 to 9.74 and 23/32 participants (0.72 infective complications per participant) in selective bowel decontamination group versus 4/31 participants (0.13 infective complications per participant) in prebiotics with probiotics group; rate ratio 5.58; 95% CI 1.94 to 16.09)</w:t>
      </w:r>
      <w:r w:rsidR="00A37C1D">
        <w:rPr>
          <w:kern w:val="0"/>
        </w:rPr>
        <w:t>. The</w:t>
      </w:r>
      <w:r>
        <w:rPr>
          <w:kern w:val="0"/>
        </w:rPr>
        <w:t>re was no significant difference between the proportion of participants who developed infection and the number of infection episodes between the intervention group and control group in any of the other comparisons. No trials reported quality of life and overall serious adverse events. Authors</w:t>
      </w:r>
      <w:r w:rsidR="0071223E">
        <w:rPr>
          <w:kern w:val="0"/>
        </w:rPr>
        <w:t>’</w:t>
      </w:r>
      <w:r>
        <w:rPr>
          <w:kern w:val="0"/>
        </w:rPr>
        <w:t xml:space="preserve"> conclusions Currently, there is no clear evidence for any intervention offering significant benefits </w:t>
      </w:r>
      <w:r>
        <w:rPr>
          <w:kern w:val="0"/>
        </w:rPr>
        <w:lastRenderedPageBreak/>
        <w:t>in the reduction of bacterial infections and wound complications in liver transplantation. Selective bowel decontamination may even increase the rate of infections compared with prebiotics with probiotics</w:t>
      </w:r>
      <w:r w:rsidR="00A37C1D">
        <w:rPr>
          <w:kern w:val="0"/>
        </w:rPr>
        <w:t>. The</w:t>
      </w:r>
      <w:r>
        <w:rPr>
          <w:kern w:val="0"/>
        </w:rPr>
        <w:t xml:space="preserve"> confidence intervals were wide and further randomised clinical trials of low risk of bias are necessary.</w:t>
      </w:r>
    </w:p>
    <w:p w:rsidR="00647EFD" w:rsidRDefault="00647EFD" w:rsidP="00647EFD">
      <w:pPr>
        <w:pStyle w:val="a3"/>
        <w:rPr>
          <w:kern w:val="0"/>
        </w:rPr>
      </w:pPr>
      <w:r>
        <w:rPr>
          <w:kern w:val="0"/>
        </w:rPr>
        <w:t>Keywords: Analysis, Antibiotic Prophylaxis, Assessment, Authors, Bacterial Infections [Prevention &amp; Control], Benefits, Bias, Bowel, Citation, Clinical, Clinical Trials, Collection, Comparison, Complication, Complications, Confidence, Confidence Intervals, Control, Control Groups, Costs, Criteria, Data, Data Collection, Decontamination, Design Characteristics, Dietary Fiber [Administration &amp; Dosage], Digestive-Tract, Double-Blind, Elective, Embase, Empirical-Evidence, Events, Evidence, G-CSF, Graft, Granulocyte-Colony Stimulating Factor, Groups, Hospital, Hospital Stay, Humans, Infection, Infections, Information Size, Intervals, Intervention, Lactobacillus, Language, Life, Liver, Liver Transplantation, Low Risk, Medline, Metaanalyses, Methods, Models, Morbidity, Mortality, Observational, Observational Studies, Patients, Placebo, Probiotics, Probiotics [Therapeutic Use], Prophylactic, Prophylaxis, Publication, Quality, Quality Of, Quality Of Life, Randomised, Randomized Clinical-Trials, Randomized Controlled Trials As Topic, Reduction, Review, Risk, Science, Science Citation Index, Science Citation Index Expanded, Search, Selective, Selective Bowel Decontamination, Sepsis, Sepsis [Prevention &amp; Control], Surgical Wound Infection [Prevention &amp; Control], Systematic Review, Therapy, Topic, Transplantation, Treatment, Trial, Trial Sequential-Analysis, Wound, Wound Complications</w:t>
      </w:r>
    </w:p>
    <w:p w:rsidR="00647EFD" w:rsidRDefault="00647EFD" w:rsidP="00647EFD">
      <w:pPr>
        <w:pStyle w:val="a3"/>
        <w:rPr>
          <w:kern w:val="0"/>
          <w:szCs w:val="24"/>
        </w:rPr>
      </w:pPr>
      <w:r>
        <w:rPr>
          <w:rFonts w:hint="eastAsia"/>
          <w:kern w:val="0"/>
        </w:rPr>
        <w:t xml:space="preserve">? </w:t>
      </w:r>
      <w:r>
        <w:rPr>
          <w:kern w:val="0"/>
        </w:rPr>
        <w:t xml:space="preserve">Gurusamy, K.S., Vaughan, J. and Davidson, B.R. (2014), Low pressure versus standard pressure pneumoperitoneum in laparoscopic cholecystectomy.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CD006930</w:t>
      </w:r>
      <w:r>
        <w:rPr>
          <w:rFonts w:hint="eastAsia"/>
          <w:kern w:val="0"/>
          <w:szCs w:val="24"/>
        </w:rPr>
        <w:t>.</w:t>
      </w:r>
    </w:p>
    <w:p w:rsidR="00647EFD" w:rsidRDefault="00647EFD" w:rsidP="00647EFD">
      <w:pPr>
        <w:pStyle w:val="a3"/>
        <w:rPr>
          <w:kern w:val="2"/>
        </w:rPr>
      </w:pPr>
      <w:r>
        <w:t xml:space="preserve">Full Text: </w:t>
      </w:r>
      <w:hyperlink r:id="rId812" w:history="1">
        <w:r w:rsidR="007835D2" w:rsidRPr="007835D2">
          <w:rPr>
            <w:rStyle w:val="a5"/>
          </w:rPr>
          <w:t>2014\Coc Dat Sys Rev2014, CD006930.pdf</w:t>
        </w:r>
      </w:hyperlink>
    </w:p>
    <w:p w:rsidR="00647EFD" w:rsidRDefault="00647EFD" w:rsidP="00647EFD">
      <w:pPr>
        <w:pStyle w:val="a3"/>
        <w:rPr>
          <w:kern w:val="0"/>
        </w:rPr>
      </w:pPr>
      <w:r>
        <w:rPr>
          <w:kern w:val="0"/>
        </w:rPr>
        <w:t xml:space="preserve">Abstract: Background A pneumoperitoneum of 12 to 16 mm Hg is used for laparoscopic cholecystectomy. Lower pressures are claimed to be safe and effective in decreasing cardiopulmonary complications and pain. Objectives To assess the benefits and harms of low pressure pneumoperitoneum compared with standard pressure pneumoperitoneum in people undergoing laparoscopic cholecystectomy. Search methods We searched the Cochrane Central Register of Controlled Trials (CENTRAL) in The Cochrane Library, MEDLINE, EMBASE, and Science Citation Index Expanded until February 2013 to identify randomised trials, using search strategies. Selection criteria We considered only randomised clinical trials, irrespective of language, blinding, or publication status for inclusion in the review. Data collection and analysis Two review authors independently identified trials and independently extracted data. We calculated the risk ratio (RR), mean difference (MD), or standardised mean difference (SMD) with 95% confidence intervals (CI) </w:t>
      </w:r>
      <w:r>
        <w:rPr>
          <w:kern w:val="0"/>
        </w:rPr>
        <w:lastRenderedPageBreak/>
        <w:t>using both fixed-effect and random-effects models with RevMan 5 based on available case analysis. Main results A total of 1092 participants randomly assigned to the low pressure group (509 participants) and the standard pressure group (583 participants) in 21 trials provided information for this review on one or more outcomes. Three additional trials comparing low pressure pneumoperitoneum with standard pressure pneumoperitoneum (including 179 participants) provided no information for this review. Most of the trials included low anaesthetic risk participants undergoing elective laparoscopic cholecystectomy. One trial including 140 participants was at low risk of bias</w:t>
      </w:r>
      <w:r w:rsidR="00A37C1D">
        <w:rPr>
          <w:kern w:val="0"/>
        </w:rPr>
        <w:t>. The</w:t>
      </w:r>
      <w:r>
        <w:rPr>
          <w:kern w:val="0"/>
        </w:rPr>
        <w:t xml:space="preserve"> remaining 20 trials were at high risk of bias</w:t>
      </w:r>
      <w:r w:rsidR="00A37C1D">
        <w:rPr>
          <w:kern w:val="0"/>
        </w:rPr>
        <w:t>. The</w:t>
      </w:r>
      <w:r>
        <w:rPr>
          <w:kern w:val="0"/>
        </w:rPr>
        <w:t xml:space="preserve"> overall quality of evidence was low or very low. No mortality was reported in either the low pressure group (0/199; 0%) or the standard pressure group (0/235; 0%) in eight trials that reported mortality. One participant experienced the outcome of serious adverse events (low pressure group 1/179, 0.6%; standard pressure group 0/215, 0%; seven trials; 394 participants; RR 3.00; 95% CI 0.14 to 65.90; very low quality evidence). Quality of life, return to normal activity, and return to work were not reported in any of the trials</w:t>
      </w:r>
      <w:r w:rsidR="00A37C1D">
        <w:rPr>
          <w:kern w:val="0"/>
        </w:rPr>
        <w:t>. The</w:t>
      </w:r>
      <w:r>
        <w:rPr>
          <w:kern w:val="0"/>
        </w:rPr>
        <w:t xml:space="preserve"> difference between groups in the conversion to open cholecystectomy was imprecise (low pressure group 2/269, adjusted proportion 0.8%; standard pressure group 2/287, 0.7%; 10 trials; 556 participants; RR 1.18; 95% CI 0.29 to 4.72; very low quality evidence) and was compatible with an increase, a decrease, or no difference in the proportion of conversion to open cholecystectomy due to low pressure pneumoperitoneum. No difference in the length of hospital stay was reported between the groups (five trials; 415 participants; MD -0.30 days; 95% CI -0.63 to 0.02; low quality evidence). Operating time was about two minutes longer in the low pressure group than in the standard pressure group (19 trials; 990 participants; MD 1.51 minutes; 95% CI 0.07 to 2.94; very low quality evidence). Authors</w:t>
      </w:r>
      <w:r w:rsidR="0071223E">
        <w:rPr>
          <w:kern w:val="0"/>
        </w:rPr>
        <w:t>’</w:t>
      </w:r>
      <w:r>
        <w:rPr>
          <w:kern w:val="0"/>
        </w:rPr>
        <w:t xml:space="preserve"> conclusions Laparoscopic cholecystectomy can be completed successfully using low pressure in approximately 90% of people undergoing laparoscopic cholecystectomy. However, no evidence is currently available to support the use of low pressure pneumoperitoneum in low anaesthetic risk patients undergoing elective laparoscopic cholecystectomy</w:t>
      </w:r>
      <w:r w:rsidR="00A37C1D">
        <w:rPr>
          <w:kern w:val="0"/>
        </w:rPr>
        <w:t>. The</w:t>
      </w:r>
      <w:r>
        <w:rPr>
          <w:kern w:val="0"/>
        </w:rPr>
        <w:t xml:space="preserve"> safety of low pressure pneumoperitoneum has to be established. Further well-designed trials are necessary, particularly in people with cardiopulmonary disorders who undergo laparoscopic cholecystectomy.</w:t>
      </w:r>
    </w:p>
    <w:p w:rsidR="00647EFD" w:rsidRDefault="00647EFD" w:rsidP="00647EFD">
      <w:pPr>
        <w:pStyle w:val="a3"/>
        <w:rPr>
          <w:kern w:val="0"/>
        </w:rPr>
      </w:pPr>
      <w:r>
        <w:rPr>
          <w:kern w:val="0"/>
        </w:rPr>
        <w:t xml:space="preserve">Keywords: Abdominal-Wall Lift, Activity, Analysis, Authors, Base-Balance Alterations, Benefits, Bias, Carbon Dioxide, Carbon-Dioxide Pneumoperitoneum, Cardiopulmonary, Case Analysis, Cholecystectomy, Cholecystectomy,Laparoscopic, Citation, Clinical, Clinical Trials, Clinical-Trials, Collection, Complications, Confidence, Confidence Intervals, Conversion, Criteria, Data, Data Collection, Different Insufflation Pressures, Different Intraabdominal Pressures, Elective, Embase, Events, Evidence, Gallstone Disease, Groups, Hospital, Hospital Stay, </w:t>
      </w:r>
      <w:r>
        <w:rPr>
          <w:kern w:val="0"/>
        </w:rPr>
        <w:lastRenderedPageBreak/>
        <w:t>Humans, Information, Intervals, Language, Laparoscopic, Laparoscopic Cholecystectomy, Length, Life, Low Risk, Medline, Methods, Methods], Models, Mortality, Normal, Open, Outcome, Outcomes, Pain, Patients, Pneumoperitoneum,Artificial [Adverse Effects, Pressure, Pressure [Adverse Effects], Pressures, Prospective Randomized-Trial, Publication, Quality, Quality Of, Quality Of Life, Randomised, Randomized Controlled Trials As Topic, Review, Risk, Safety, Science, Science Citation Index, Science Citation Index Expanded, Search, Search Strategies, Sequential-Analysis, Shoulder-Tip Pain, Standard, Support, Trial, Work</w:t>
      </w:r>
    </w:p>
    <w:p w:rsidR="00647EFD" w:rsidRDefault="00647EFD" w:rsidP="00647EFD">
      <w:pPr>
        <w:pStyle w:val="a3"/>
        <w:rPr>
          <w:kern w:val="0"/>
          <w:szCs w:val="24"/>
        </w:rPr>
      </w:pPr>
      <w:r>
        <w:rPr>
          <w:rFonts w:hint="eastAsia"/>
          <w:kern w:val="0"/>
        </w:rPr>
        <w:t xml:space="preserve">? </w:t>
      </w:r>
      <w:r>
        <w:rPr>
          <w:kern w:val="0"/>
        </w:rPr>
        <w:t xml:space="preserve">Loizides, S., Gurusamy, K.S., Nagendran, M., Rossi, M., Guerrini, G.P. and Davidson, B.R. (2014), Wound infiltration with local anaesthetic agents for laparoscopic cholecystectomy.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CD007049</w:t>
      </w:r>
      <w:r>
        <w:rPr>
          <w:rFonts w:hint="eastAsia"/>
          <w:kern w:val="0"/>
          <w:szCs w:val="24"/>
        </w:rPr>
        <w:t>.</w:t>
      </w:r>
    </w:p>
    <w:p w:rsidR="00647EFD" w:rsidRDefault="00647EFD" w:rsidP="00647EFD">
      <w:pPr>
        <w:pStyle w:val="a3"/>
        <w:rPr>
          <w:kern w:val="2"/>
        </w:rPr>
      </w:pPr>
      <w:r>
        <w:t xml:space="preserve">Full Text: </w:t>
      </w:r>
      <w:hyperlink r:id="rId813" w:history="1">
        <w:r w:rsidR="007835D2" w:rsidRPr="007835D2">
          <w:rPr>
            <w:rStyle w:val="a5"/>
          </w:rPr>
          <w:t>2014\Coc Dat Sys Rev2014, CD007049.pdf</w:t>
        </w:r>
      </w:hyperlink>
    </w:p>
    <w:p w:rsidR="00647EFD" w:rsidRDefault="00647EFD" w:rsidP="00647EFD">
      <w:pPr>
        <w:pStyle w:val="a3"/>
        <w:rPr>
          <w:kern w:val="0"/>
        </w:rPr>
      </w:pPr>
      <w:r>
        <w:rPr>
          <w:kern w:val="0"/>
        </w:rPr>
        <w:t>Abstract: Background While laparoscopic cholecystectomy is generally considered to be less painful than open surgery, pain is one of the important reasons for delayed discharge after day surgery resulting in overnight stay following laparoscopic cholecystectomy</w:t>
      </w:r>
      <w:r w:rsidR="00A37C1D">
        <w:rPr>
          <w:kern w:val="0"/>
        </w:rPr>
        <w:t>. The</w:t>
      </w:r>
      <w:r>
        <w:rPr>
          <w:kern w:val="0"/>
        </w:rPr>
        <w:t xml:space="preserve"> safety and effectiveness of local anaesthetic wound infiltration in people undergoing laparoscopic cholecystectomy is not known. Objectives To assess the benefits and harms of local anaesthetic wound infiltration in patients undergoing laparoscopic cholecystectomy and to identify the best method of local anaesthetic wound infiltration with regards to the type of local anaesthetic, dosage, and time of administration of the local anaesthetic. Search methods We searched the Cochrane Central Register of Controlled Trials (CENTRAL), MEDLINE, EMBASE, and Science Citation Index Expanded until February 2013 to identify studies of relevance to this review. We included randomised clinical trials for benefit and quasi-randomised and comparative non-randomised studies for treatment-related harms. Selection criteria Only randomised clinical trials (irrespective of language, blinding, or publication status) comparing local anaesthetic wound infiltration versus placebo, no intervention, or inactive control during laparoscopic cholecystectomy, trials comparing different local anaesthetic agents for local anaesthetic wound infiltration, and trials comparing the different times of local anaesthetic wound infiltration were considered for the review. Data collection and analysis Two review authors collected the data independently. We analysed the data with both fixed-effect and random-effects meta-analysis models using RevMan. For each outcome, we calculated the risk ratio (RR) or mean difference (MD) with 95% confidence interval (CI). Main results Twenty-six trials fulfilled the inclusion criteria of the review. All the 26 trials except one trial of 30 participants were at high risk of bias. Nineteen of the trials with 1263 randomised participants provided data for this review. Ten of the 19 trials compared local anaesthetic wound infiltration versus inactive control. One </w:t>
      </w:r>
      <w:r>
        <w:rPr>
          <w:kern w:val="0"/>
        </w:rPr>
        <w:lastRenderedPageBreak/>
        <w:t>of the 19 trials compared local anaesthetic wound infiltration with two inactive controls, normal saline and no intervention. Two of the 19 trials had four arms comparing local anaesthetic wound infiltration with inactive controls in the presence and absence of co-interventions to decrease pain after laparoscopic cholecystectomy. Four of the 19 trials had three or more arms that could be included for the comparison of local anaesthetic wound infiltration versus inactive control and different methods of local anaesthetic wound infiltration</w:t>
      </w:r>
      <w:r w:rsidR="00A37C1D">
        <w:rPr>
          <w:kern w:val="0"/>
        </w:rPr>
        <w:t>. The</w:t>
      </w:r>
      <w:r>
        <w:rPr>
          <w:kern w:val="0"/>
        </w:rPr>
        <w:t xml:space="preserve"> remaining two trials compared different methods of local anaesthetic wound infiltration. Most trials included only low anaesthetic risk people undergoing elective laparoscopic cholecystectomy. Seventeen trials randomised a total of 1095 participants to local anaesthetic wound infiltration (587 participants) versus no local anaesthetic wound infiltration (508 participants). Various anaesthetic agents were used but bupivacaine was the commonest local anaesthetic used</w:t>
      </w:r>
      <w:r w:rsidR="00A37C1D">
        <w:rPr>
          <w:kern w:val="0"/>
        </w:rPr>
        <w:t>. The</w:t>
      </w:r>
      <w:r>
        <w:rPr>
          <w:kern w:val="0"/>
        </w:rPr>
        <w:t>re was no mortality in either group in the seven trials that reported mortality (0/280 (0%) in local anaesthetic infiltration group versus 0/259 (0%) in control group)</w:t>
      </w:r>
      <w:r w:rsidR="00A37C1D">
        <w:rPr>
          <w:kern w:val="0"/>
        </w:rPr>
        <w:t>. The</w:t>
      </w:r>
      <w:r>
        <w:rPr>
          <w:kern w:val="0"/>
        </w:rPr>
        <w:t xml:space="preserve"> effect of local anaesthetic on the proportion of people who developed serious adverse events was imprecise and compatible with increase or no difference in serious adverse events (seven trials; 539 participants; 2/280 (0.8%) in local anaesthetic group versus 1/259 (0.4%) in control; RR 2.00; 95% CI 0.19 to 21.59; very low quality evidence). None of the serious adverse events were related to local anaesthetic wound infiltration. None of the trials reported patient quality of life</w:t>
      </w:r>
      <w:r w:rsidR="00A37C1D">
        <w:rPr>
          <w:kern w:val="0"/>
        </w:rPr>
        <w:t>. The</w:t>
      </w:r>
      <w:r>
        <w:rPr>
          <w:kern w:val="0"/>
        </w:rPr>
        <w:t xml:space="preserve"> proportion of participants who were discharged as day surgery patients was higher in the local anaesthetic infiltration group than in the no local anaesthetic infiltration group (one trial; 97 participants; 33/50 (66.0%) in the local anaesthetic group versus 20/47 (42.6%) in the control group; RR 1.55; 95% CI 1.05 to 2.28; very low quality evidence)</w:t>
      </w:r>
      <w:r w:rsidR="00A37C1D">
        <w:rPr>
          <w:kern w:val="0"/>
        </w:rPr>
        <w:t>. The</w:t>
      </w:r>
      <w:r>
        <w:rPr>
          <w:kern w:val="0"/>
        </w:rPr>
        <w:t xml:space="preserve"> effect of local anaesthetic on the length of hospital stay was compatible with a decrease, increase, or no difference in the length of hospital stay between the two groups (four trials; 327 participants; MD -0.26 days; 95% CI -0.67 to 0.16; very low quality evidence)</w:t>
      </w:r>
      <w:r w:rsidR="00A37C1D">
        <w:rPr>
          <w:kern w:val="0"/>
        </w:rPr>
        <w:t>. The</w:t>
      </w:r>
      <w:r>
        <w:rPr>
          <w:kern w:val="0"/>
        </w:rPr>
        <w:t xml:space="preserve"> pain scores as measured by the visual analogue scale (0 to 10 cm) were lower in the local anaesthetic infiltration group than the control group at 4 to 8 hours (13 trials; 806 participants; MD -1.33 cm on the VAS; 95% CI -1.54 to -1.12; very low quality evidence) and 9 to 24 hours (12 trials; 756 participants; MD -0.36 cm on the VAS; 95% CI -0.53 to -0.20; very low quality evidence)</w:t>
      </w:r>
      <w:r w:rsidR="00A37C1D">
        <w:rPr>
          <w:kern w:val="0"/>
        </w:rPr>
        <w:t>. The</w:t>
      </w:r>
      <w:r>
        <w:rPr>
          <w:kern w:val="0"/>
        </w:rPr>
        <w:t xml:space="preserve"> effect of local anaesthetic on the time taken to return to normal activity between the two groups was imprecise and compatible with a decrease, increase, or no difference in the time taken to return to normal activity (two trials; 195 participants; MD 0.14 days; 95% CI -0.59 to 0.87; very low quality evidence). None of the trials reported on return to work. Four trials randomised a total of 149 participants to local anaesthetic wound infiltration prior to skin incision (74 participants) versus local anaesthetic wound infiltration at the end </w:t>
      </w:r>
      <w:r>
        <w:rPr>
          <w:kern w:val="0"/>
        </w:rPr>
        <w:lastRenderedPageBreak/>
        <w:t>of surgery (75 participants). Two trials randomised a total of 176 participants to four different local anaesthetics (bupivacaine, levobupivacaine, ropivacaine, neosaxitoxin). Although there were differences between the groups in some outcomes the changes were not consistent</w:t>
      </w:r>
      <w:r w:rsidR="00A37C1D">
        <w:rPr>
          <w:kern w:val="0"/>
        </w:rPr>
        <w:t>. The</w:t>
      </w:r>
      <w:r>
        <w:rPr>
          <w:kern w:val="0"/>
        </w:rPr>
        <w:t>re was no evidence to support the preference of one local anaesthetic over another or to prefer administration of local anaesthetic at a specific time compared with another. Authors</w:t>
      </w:r>
      <w:r w:rsidR="0071223E">
        <w:rPr>
          <w:kern w:val="0"/>
        </w:rPr>
        <w:t>’</w:t>
      </w:r>
      <w:r>
        <w:rPr>
          <w:kern w:val="0"/>
        </w:rPr>
        <w:t xml:space="preserve"> conclusions Serious adverse events were rare in studies evaluating local anaesthetic wound infiltration (very low quality evidence)</w:t>
      </w:r>
      <w:r w:rsidR="00A37C1D">
        <w:rPr>
          <w:kern w:val="0"/>
        </w:rPr>
        <w:t>. The</w:t>
      </w:r>
      <w:r>
        <w:rPr>
          <w:kern w:val="0"/>
        </w:rPr>
        <w:t>re is very low quality evidence that infiltration reduces pain in low anaesthetic risk people undergoing elective laparoscopic cholecystectomy. However, the clinical importance of this reduction in pain is likely to be small. Further randomised clinical trials at low risk of systematic and random errors are necessary. Such trials should include important clinical outcomes such as quality of life and time to return to work in their assessment.</w:t>
      </w:r>
    </w:p>
    <w:p w:rsidR="00647EFD" w:rsidRDefault="00647EFD" w:rsidP="00647EFD">
      <w:pPr>
        <w:pStyle w:val="a3"/>
        <w:rPr>
          <w:kern w:val="0"/>
        </w:rPr>
      </w:pPr>
      <w:r>
        <w:rPr>
          <w:kern w:val="0"/>
        </w:rPr>
        <w:t>Keywords: Activity, Administration, Anaesthetics, Analysis, Assessment, Authors, Benefits, Bias, Bupivacaine, Changes, Cholecystectomy, Citation, Clinical, Clinical Outcomes, Clinical Trials, Collection, Combined Preincisional Infiltration, Comparison, Confidence, Control, Criteria, Data, Data Collection, Design Characteristics, Discharge, Effectiveness, Elective, Embase, Errors, Events, Evidence, Groups, Hospital, Hospital Stay, Infiltration, Interval, Intervention, Intraperitoneal Instillation, J-Surg 2011, Language, Laparoscopic, Laparoscopic Cholecystectomy, Length, Levobupivacaine, Life, Local, Local Anaesthetics, Low Risk, Medline, Meta Analysis, Meta-Analysis, Metaanalysis, Methods, Models, Mortality, Multimodal Analgesia, Nonsteroidal Antiinflammatory Drugs, Normal, Open, Outcome, Outcomes, Pain, Patients, Periportal Peritoneal Bupivacaine, Placebo, Postoperative Pain Management, Preference, Publication, Quality, Quality Of, Quality Of Life, Randomised, Randomized Clinical-Trial, Reduction, Relevance, Review, Risk, Ropivacaine, Safety, Scale, Science, Science Citation Index, Science Citation Index Expanded, Search, Sequential-Analysis, Skin, Skin Incision, Small, Support, Surgery, Trial, Vas, Work, Wound</w:t>
      </w:r>
    </w:p>
    <w:p w:rsidR="00647EFD" w:rsidRDefault="00647EFD" w:rsidP="00647EFD">
      <w:pPr>
        <w:pStyle w:val="a3"/>
        <w:rPr>
          <w:kern w:val="0"/>
          <w:szCs w:val="24"/>
        </w:rPr>
      </w:pPr>
      <w:r>
        <w:rPr>
          <w:rFonts w:hint="eastAsia"/>
          <w:kern w:val="0"/>
        </w:rPr>
        <w:t xml:space="preserve">? </w:t>
      </w:r>
      <w:r>
        <w:rPr>
          <w:kern w:val="0"/>
        </w:rPr>
        <w:t xml:space="preserve">Leung, T.G., Lindsley, K. and Kuo, I.C. (2014), Types of intraocular lenses for cataract surgery in eyes with uveitis.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CD007284</w:t>
      </w:r>
      <w:r>
        <w:rPr>
          <w:rFonts w:hint="eastAsia"/>
          <w:kern w:val="0"/>
          <w:szCs w:val="24"/>
        </w:rPr>
        <w:t>.</w:t>
      </w:r>
    </w:p>
    <w:p w:rsidR="00647EFD" w:rsidRDefault="00647EFD" w:rsidP="00647EFD">
      <w:pPr>
        <w:pStyle w:val="a3"/>
        <w:rPr>
          <w:kern w:val="2"/>
        </w:rPr>
      </w:pPr>
      <w:r>
        <w:t xml:space="preserve">Full Text: </w:t>
      </w:r>
      <w:hyperlink r:id="rId814" w:history="1">
        <w:r w:rsidR="007835D2" w:rsidRPr="007835D2">
          <w:rPr>
            <w:rStyle w:val="a5"/>
          </w:rPr>
          <w:t>2014\Coc Dat Sys Rev2014, CD007284.pdf</w:t>
        </w:r>
      </w:hyperlink>
    </w:p>
    <w:p w:rsidR="00647EFD" w:rsidRDefault="00647EFD" w:rsidP="00647EFD">
      <w:pPr>
        <w:pStyle w:val="a3"/>
        <w:rPr>
          <w:kern w:val="0"/>
        </w:rPr>
      </w:pPr>
      <w:r>
        <w:rPr>
          <w:kern w:val="0"/>
        </w:rPr>
        <w:t xml:space="preserve">Abstract: Background Cataract formation often occurs in people with uveitis. It is unclear which intraocular lens (IOL) type is optimal for use in cataract surgery for eyes with uveitis. Objectives To summarize the effects of different IOLs on visual acuity, other visual outcomes, and quality of life in people with uveitis. Search methods We searched CENTRAL (which contains the Cochrane Eyes and Vision Group Trials Register) (The Cochrane Library 2013, Issue 7), Ovid MEDLINE, Ovid </w:t>
      </w:r>
      <w:r>
        <w:rPr>
          <w:kern w:val="0"/>
        </w:rPr>
        <w:lastRenderedPageBreak/>
        <w:t>MEDLINE In-Process and Other Non-Indexed Citations, Ovid MEDLINE Daily, Ovid OLDMEDLINE (January 1946 to August 2013), EMBASE (January 1980 to August 2013), Latin American and Caribbean Literature on Health Sciences (LILACS) (January 1982 to August 2013), the metaRegister of Controlled Trials (mRCT) (www.controlled-trials.com), ClinicalTrials.gov (www.clinicaltrials.gov) and the WHO International Clinical Trials Registry Platform (ICTRP) (www.who.int/ictrp/search/en). We did not use any date or language restrictions in the electronic searches for trials. We last searched the electronic databases on 14 August 2013. We also performed forward and backward searching using the Science Citation Index and the reference lists of the included studies, respectively, in August 2013. Selection criteria We included randomized controlled trials (RCTs) comparing hydrophobic or hydrophilic acrylic, silicone, or poly(methylmethacrylate) (PMMA) IOLs with or without heparin-surface modification (HSM), with each other, or with no treatment in adults with uveitis, for any indication, undergoing cataract surgery. Data collection and analysis We used standard methodological procedures expected by The Cochrane Collaboration. Two review authors screened the search results and for included studies, assessed the risk of bias and extracted data independently. We contacted study investigators for additional information. We did not perform a meta-analysis due to variability in reporting and follow-up intervals for the primary and secondary outcomes of interest. Main results We included four RCTs involving 216 participants (range of 2 to 140 participants with uveitic cataract per trial) and comparing up to four types of IOLs</w:t>
      </w:r>
      <w:r w:rsidR="00A37C1D">
        <w:rPr>
          <w:kern w:val="0"/>
        </w:rPr>
        <w:t>. The</w:t>
      </w:r>
      <w:r>
        <w:rPr>
          <w:kern w:val="0"/>
        </w:rPr>
        <w:t xml:space="preserve"> largest study was an international study with centers in Brazil, Egypt, Finland, France, Japan, the Netherlands, Slovak Republic, Spain, and the USA; two studies were conducted in Germany and one in Saudi Arabia</w:t>
      </w:r>
      <w:r w:rsidR="00A37C1D">
        <w:rPr>
          <w:kern w:val="0"/>
        </w:rPr>
        <w:t>. The</w:t>
      </w:r>
      <w:r>
        <w:rPr>
          <w:kern w:val="0"/>
        </w:rPr>
        <w:t>re was substantial heterogeneity with respect to the ages of participants and etiologies of uveitis within and across studies</w:t>
      </w:r>
      <w:r w:rsidR="00A37C1D">
        <w:rPr>
          <w:kern w:val="0"/>
        </w:rPr>
        <w:t>. The</w:t>
      </w:r>
      <w:r>
        <w:rPr>
          <w:kern w:val="0"/>
        </w:rPr>
        <w:t xml:space="preserve"> length of follow-up among the studies ranged from 1 to 24 months after cataract surgery</w:t>
      </w:r>
      <w:r w:rsidR="00A37C1D">
        <w:rPr>
          <w:kern w:val="0"/>
        </w:rPr>
        <w:t>. The</w:t>
      </w:r>
      <w:r>
        <w:rPr>
          <w:kern w:val="0"/>
        </w:rPr>
        <w:t xml:space="preserve"> studies were at low risk of selection bias, but two of the four studies did not employ masking and only one study included all randomized participants in the final analyses</w:t>
      </w:r>
      <w:r w:rsidR="00A37C1D">
        <w:rPr>
          <w:kern w:val="0"/>
        </w:rPr>
        <w:t>. The</w:t>
      </w:r>
      <w:r>
        <w:rPr>
          <w:kern w:val="0"/>
        </w:rPr>
        <w:t xml:space="preserve"> funding source was disclosed by investigators of the largest study (professional society) and not reported by the other three. Due to heterogeneity in lens types evaluated and outcomes reported among the trials, we did not combine data in a meta-analysis. In the largest study (140 participants), the study eye of each participant was randomized to receive one of four types of IOLs: hydrophobic acrylic, silicone, HSM PMMA, or unmodified PMMA. Proportions of participants with one or more Snellen lines of visual improvement were similar among the four treatment groups at one year</w:t>
      </w:r>
      <w:r w:rsidR="0071223E">
        <w:rPr>
          <w:kern w:val="0"/>
        </w:rPr>
        <w:t>’</w:t>
      </w:r>
      <w:r>
        <w:rPr>
          <w:kern w:val="0"/>
        </w:rPr>
        <w:t xml:space="preserve"> follow-up: 45 of 48 (94%) in the hydrophobic acrylic IOL group, 39 of 44 (89%) in the silicone IOL group, 18 of 22 (82%) in the HSM PMMA IOL group, and 22 of 26 (85%) in the unmodified PMMA IOL group. When comparing </w:t>
      </w:r>
      <w:r>
        <w:rPr>
          <w:kern w:val="0"/>
        </w:rPr>
        <w:lastRenderedPageBreak/>
        <w:t>hydrophobic acrylic IOLs with silicone IOLs, the risk ratio (RR) was 1.06 (95% confidence interval (CI) 0.93 to 1.20). At one year</w:t>
      </w:r>
      <w:r w:rsidR="0071223E">
        <w:rPr>
          <w:kern w:val="0"/>
        </w:rPr>
        <w:t>’</w:t>
      </w:r>
      <w:r>
        <w:rPr>
          <w:kern w:val="0"/>
        </w:rPr>
        <w:t xml:space="preserve"> follow-up, fewer eyes randomized to hydrophobic acrylic IOLs developed posterior synechiae when compared with eyes receiving silicone IOLs (RR 0.18, 95% CI 0.04 to 0.79); the effects between these groups were less certain with respect to developing posterior capsule opacification (PCO) (RR 0.74, 95% CI 0.41 to 1.37), corneal edema (RR 0.49, 95% CI 0.22 to 1.12), cystoid macular edema (RR 0.10, 95% CI 0.01 to 1.84), or mild IOL decentration (RR 0.92, 95% CI 0.06 to 14.22). Two intra-individual studies also compared HSM PMMA IOLs with unmodified PMMA IOLs at three or six months of follow-up</w:t>
      </w:r>
      <w:r w:rsidR="00A37C1D">
        <w:rPr>
          <w:kern w:val="0"/>
        </w:rPr>
        <w:t>. The</w:t>
      </w:r>
      <w:r>
        <w:rPr>
          <w:kern w:val="0"/>
        </w:rPr>
        <w:t>se studies, including a combined total of 16 participants with uveitis, were insufficiently powered to detect differences in outcomes among eyes of people with uveitis randomized to receive HSM PMMA IOLs when compared with fellow eyes receiving unmodified PMMA IOLs. In the fourth study (60 participants), the study eye of each participant was randomized to receive a hydrophobic or hydrophilic acrylic IOL. At three months, there were no statistical or clinical differences between hydrophobic and hydrophilic acrylic IOL types in the proportions of participants with two or more Snellen lines of visual improvement (RR 1.03, 95% CI 0.87 to 1.22)</w:t>
      </w:r>
      <w:r w:rsidR="00A37C1D">
        <w:rPr>
          <w:kern w:val="0"/>
        </w:rPr>
        <w:t>. The</w:t>
      </w:r>
      <w:r>
        <w:rPr>
          <w:kern w:val="0"/>
        </w:rPr>
        <w:t>re were similar rates in the development of PCO between hydrophobic or hydrophilic acrylic IOLs at six months</w:t>
      </w:r>
      <w:r w:rsidR="0071223E">
        <w:rPr>
          <w:kern w:val="0"/>
        </w:rPr>
        <w:t>’</w:t>
      </w:r>
      <w:r>
        <w:rPr>
          <w:kern w:val="0"/>
        </w:rPr>
        <w:t xml:space="preserve"> follow-up (RR 1.00, 95% CI 0.80 to 1.25)</w:t>
      </w:r>
      <w:r w:rsidR="00A37C1D">
        <w:rPr>
          <w:kern w:val="0"/>
        </w:rPr>
        <w:t>. The</w:t>
      </w:r>
      <w:r>
        <w:rPr>
          <w:kern w:val="0"/>
        </w:rPr>
        <w:t xml:space="preserve"> effect of the lenses on posterior synechiae was uncertain at six months</w:t>
      </w:r>
      <w:r w:rsidR="0071223E">
        <w:rPr>
          <w:kern w:val="0"/>
        </w:rPr>
        <w:t>’</w:t>
      </w:r>
      <w:r>
        <w:rPr>
          <w:kern w:val="0"/>
        </w:rPr>
        <w:t xml:space="preserve"> follow-up (RR 0.50, 95% CI 0.05 to 5.22). None of the included studies reported quality of life outcomes. Authors</w:t>
      </w:r>
      <w:r w:rsidR="0071223E">
        <w:rPr>
          <w:kern w:val="0"/>
        </w:rPr>
        <w:t>’</w:t>
      </w:r>
      <w:r>
        <w:rPr>
          <w:kern w:val="0"/>
        </w:rPr>
        <w:t xml:space="preserve"> conclusions Based on the trials identified in this review, there is uncertainty as to which type of IOL provides the best visual and clinical outcomes in people with uveitis undergoing cataract surgery</w:t>
      </w:r>
      <w:r w:rsidR="00A37C1D">
        <w:rPr>
          <w:kern w:val="0"/>
        </w:rPr>
        <w:t>. The</w:t>
      </w:r>
      <w:r>
        <w:rPr>
          <w:kern w:val="0"/>
        </w:rPr>
        <w:t xml:space="preserve"> studies were small, not all lens materials were compared in all studies, and not all lens materials were available in all study sites. Evidence of a superior effect of hydrophobic acrylic lenses over silicone lenses, specifically for posterior synechiae outcomes comes from a single study at a high risk of performance and detection bias. However, due to small sample sizes and heterogeneity in outcome reporting, we found insufficient information to assess these and other types of IOL materials for cataract surgery for eyes with uveitis.</w:t>
      </w:r>
    </w:p>
    <w:p w:rsidR="00647EFD" w:rsidRDefault="00647EFD" w:rsidP="00647EFD">
      <w:pPr>
        <w:pStyle w:val="a3"/>
        <w:rPr>
          <w:kern w:val="0"/>
        </w:rPr>
      </w:pPr>
      <w:r>
        <w:rPr>
          <w:kern w:val="0"/>
        </w:rPr>
        <w:t xml:space="preserve">Keywords: Aberration, Analyses, Analysis, Authors, Bias, Brazil, Capsular Biocompatibility, Cataract Surgery, Citation, Citations, Clinical, Clinical Outcomes, Clinical Trials, Cochrane Collaboration, Collaboration, Collection, Confidence, Criteria, Data, Data Collection, Databases, Developing, Development, Effects, Egypt, Embase, Evidence, Extraction, Finland, Follow-Up, France, Funding, Germany, Glaucoma, Groups, Health, Heterogeneity, Hydrophilic, Implantation, Improvement, Indication, Inflammation, Information, International, Interval, Intervals, Intraocular Lenses, Japan, Language, Length, Life, Literature, Low Risk, Medline, Meta </w:t>
      </w:r>
      <w:r>
        <w:rPr>
          <w:kern w:val="0"/>
        </w:rPr>
        <w:lastRenderedPageBreak/>
        <w:t>Analysis, Meta-Analysis, Metaanalysis, Methods, Modification, Ophthalmology, Outcome, Outcomes, Performance, Phacoemulsification, Pmma, Primary, Procedures, Quality, Quality Of, Quality Of Life, Randomized, Randomized Controlled Trials, Rates, Reference, Reference Lists, Reporting, Restrictions, Review, Risk, Saudi Arabia, Science, Science Citation Index, Sciences, Search, Selection, Silicone, Slovak, Small, Society, Source, Spain, Standard, Study Sites, Surgery, The Netherlands, Treatment, Trial, Uncertainty, USA, Uveal, Variability, WHO</w:t>
      </w:r>
    </w:p>
    <w:p w:rsidR="00647EFD" w:rsidRDefault="00647EFD" w:rsidP="00647EFD">
      <w:pPr>
        <w:pStyle w:val="a3"/>
        <w:rPr>
          <w:kern w:val="0"/>
          <w:szCs w:val="24"/>
        </w:rPr>
      </w:pPr>
      <w:r>
        <w:rPr>
          <w:rFonts w:hint="eastAsia"/>
          <w:kern w:val="0"/>
        </w:rPr>
        <w:t xml:space="preserve">? </w:t>
      </w:r>
      <w:r>
        <w:rPr>
          <w:kern w:val="0"/>
        </w:rPr>
        <w:t xml:space="preserve">Gurusamy, K.S., Nagendran, M., Guerrini, G.P., Toon, C.D., Zinnuroglu, M. and Davidson, B.R. (2014), Intraperitoneal local anaesthetic instillation versus no intraperitoneal local anaesthetic instillation for laparoscopic cholecystectomy. </w:t>
      </w:r>
      <w:r>
        <w:rPr>
          <w:i/>
          <w:iCs/>
          <w:kern w:val="0"/>
        </w:rPr>
        <w:t>Cochrane Database of Systematic Reviews</w:t>
      </w:r>
      <w:r>
        <w:rPr>
          <w:kern w:val="0"/>
        </w:rPr>
        <w:t xml:space="preserve">, </w:t>
      </w:r>
      <w:r w:rsidRPr="007B2D90">
        <w:rPr>
          <w:b/>
          <w:kern w:val="0"/>
        </w:rPr>
        <w:t>3</w:t>
      </w:r>
      <w:r>
        <w:rPr>
          <w:rFonts w:hint="eastAsia"/>
          <w:kern w:val="0"/>
          <w:szCs w:val="24"/>
        </w:rPr>
        <w:t>,</w:t>
      </w:r>
      <w:r w:rsidRPr="008E1364">
        <w:t xml:space="preserve"> </w:t>
      </w:r>
      <w:r w:rsidRPr="008E1364">
        <w:rPr>
          <w:kern w:val="0"/>
          <w:szCs w:val="24"/>
        </w:rPr>
        <w:t xml:space="preserve">Article Number: </w:t>
      </w:r>
      <w:r w:rsidRPr="007B2D90">
        <w:rPr>
          <w:kern w:val="0"/>
          <w:szCs w:val="24"/>
        </w:rPr>
        <w:t>CD007337</w:t>
      </w:r>
      <w:r>
        <w:rPr>
          <w:rFonts w:hint="eastAsia"/>
          <w:kern w:val="0"/>
          <w:szCs w:val="24"/>
        </w:rPr>
        <w:t>.</w:t>
      </w:r>
    </w:p>
    <w:p w:rsidR="007835D2" w:rsidRDefault="007835D2" w:rsidP="007835D2">
      <w:pPr>
        <w:pStyle w:val="a3"/>
        <w:rPr>
          <w:kern w:val="2"/>
        </w:rPr>
      </w:pPr>
      <w:r>
        <w:t xml:space="preserve">Full Text: </w:t>
      </w:r>
      <w:hyperlink r:id="rId815" w:history="1">
        <w:r w:rsidRPr="00BA6D84">
          <w:rPr>
            <w:rStyle w:val="a5"/>
          </w:rPr>
          <w:t>2014\Coc Dat Sys Rev2014, CD007337.pdf</w:t>
        </w:r>
      </w:hyperlink>
    </w:p>
    <w:p w:rsidR="00647EFD" w:rsidRDefault="00647EFD" w:rsidP="00647EFD">
      <w:pPr>
        <w:pStyle w:val="a3"/>
        <w:rPr>
          <w:kern w:val="0"/>
        </w:rPr>
      </w:pPr>
      <w:r>
        <w:rPr>
          <w:kern w:val="0"/>
        </w:rPr>
        <w:t>Abstract: Background While laparoscopic cholecystectomy is generally considered less painful than open surgery, pain is one of the important reasons for delayed discharge after day surgery and overnight stay laparoscopic cholecystectomy</w:t>
      </w:r>
      <w:r w:rsidR="00A37C1D">
        <w:rPr>
          <w:kern w:val="0"/>
        </w:rPr>
        <w:t>. The</w:t>
      </w:r>
      <w:r>
        <w:rPr>
          <w:kern w:val="0"/>
        </w:rPr>
        <w:t xml:space="preserve"> safety and effectiveness of intraperitoneal local anaesthetic instillation in people undergoing laparoscopic cholecystectomy is unknown. Objectives To assess the benefits and harms of intraperitoneal instillation of local anaesthetic agents in people undergoing laparoscopic cholecystectomy. Search methods We searched the Cochrane Central Register of Controlled Trials (CENTRAL), MEDLINE, EMBASE, and Science Citation Index Expanded to March 2013 to identify randomised clinical trials of relevance to this review. Selection criteria We considered only randomised clinical trials (irrespective of language, blinding, or publication status) comparing local anaesthetic intraperitoneal instillation versus placebo, no intervention, or inactive control during laparoscopic cholecystectomy for the review with regards to benefits while we considered quasi-randomised studies and non-randomised studies for treatment-related harms. Data collection and analysis Two review authors collected the data independently. We analysed the data with both fixed-effect and random-effects models using Review Manager 5 analysis. For each outcome, we calculated the risk ratio (RR) or mean difference (MD) with 95% confidence intervals (CI). Main results We included 58 trials, of which 48 trials with 2849 participants randomised to intraperitoneal local anaesthetic instillation (1558 participants) versus control (1291 participants) contributed data to one or more of the outcomes. All the trials except one trial with 30 participants were at high risk of bias. Most trials included only low anaesthetic risk people undergoing elective laparoscopic cholecystectomy. Various intraperitoneal local anaesthetic agents were used but bupivacaine in the liquid form was the most common local anaesthetic used</w:t>
      </w:r>
      <w:r w:rsidR="00A37C1D">
        <w:rPr>
          <w:kern w:val="0"/>
        </w:rPr>
        <w:t>. The</w:t>
      </w:r>
      <w:r>
        <w:rPr>
          <w:kern w:val="0"/>
        </w:rPr>
        <w:t xml:space="preserve">re were considerable differences in the methods of local anaesthetic instillation including the location (subdiaphragmatic, gallbladder bed, or both locations) and </w:t>
      </w:r>
      <w:r>
        <w:rPr>
          <w:kern w:val="0"/>
        </w:rPr>
        <w:lastRenderedPageBreak/>
        <w:t>timing (before or after the removal of gallbladder) between the trials</w:t>
      </w:r>
      <w:r w:rsidR="00A37C1D">
        <w:rPr>
          <w:kern w:val="0"/>
        </w:rPr>
        <w:t>. The</w:t>
      </w:r>
      <w:r>
        <w:rPr>
          <w:kern w:val="0"/>
        </w:rPr>
        <w:t>re was no mortality in either group in the eight trials that reported mortality (0/236 (0%) in local anaesthetic instillation versus 0/210 (0%) in control group; very low quality evidence). One participant experienced the outcome of serious morbidity (eight trials; 446 participants; 1/236 (0.4%) in local anaesthetic instillation group versus 0/210 (0%) in the control group; RR 3.00; 95% CI 0.13 to 67.06; very low quality evidence). Although the remaining trials did not report the overall morbidity, three trials (190 participants) reported that there were no intra-operative complications. Twenty trials reported that there were no serious adverse events in any of the 715 participants who received local anaesthetic instillation. None of the trials reported participant quality of life, return to normal activity, or return to work</w:t>
      </w:r>
      <w:r w:rsidR="00A37C1D">
        <w:rPr>
          <w:kern w:val="0"/>
        </w:rPr>
        <w:t>. The</w:t>
      </w:r>
      <w:r>
        <w:rPr>
          <w:kern w:val="0"/>
        </w:rPr>
        <w:t xml:space="preserve"> effect of local anaesthetic instillation on the proportion of participants discharged as day surgery between the two groups was imprecise and compatible with benefit and no difference of intervention (three trials; 242 participants; 89/160 (adjusted proportion 61.0%) in local anaesthetic instillation group versus 40/82 (48.8%) in control group; RR 1.25; 95% CI 0.99 to 1.58; very low quality evidence)</w:t>
      </w:r>
      <w:r w:rsidR="00A37C1D">
        <w:rPr>
          <w:kern w:val="0"/>
        </w:rPr>
        <w:t>. The</w:t>
      </w:r>
      <w:r>
        <w:rPr>
          <w:kern w:val="0"/>
        </w:rPr>
        <w:t xml:space="preserve"> MD in length of hospital stay was 0.04 days (95% CI -0.23 to 0.32; five trials; 335 participants; low quality evidence)</w:t>
      </w:r>
      <w:r w:rsidR="00A37C1D">
        <w:rPr>
          <w:kern w:val="0"/>
        </w:rPr>
        <w:t>. The</w:t>
      </w:r>
      <w:r>
        <w:rPr>
          <w:kern w:val="0"/>
        </w:rPr>
        <w:t xml:space="preserve"> pain scores as measured by the visual analogue scale (VAS) were significantly lower in the local anaesthetic instillation group than the control group at four to eight hours (32 trials; 2020 participants; MD -0.99 cm; 95% CI -1.10 to -0.88 on a VAS scale of 0 to 10 cm; very low quality evidence) and at nine to 24 hours (29 trials; 1787 participants; MD -0.53 cm; 95% CI -0.62 to -0.44; very low quality evidence). Various subgroup analyses and meta-regressions to investigate the influence of the different local anaesthetic agents, different methods of local anaesthetic instillation, and different controls on the effectiveness of local anaesthetic intraperitoneal instillation were inconsistent. Authors</w:t>
      </w:r>
      <w:r w:rsidR="0071223E">
        <w:rPr>
          <w:kern w:val="0"/>
        </w:rPr>
        <w:t>’</w:t>
      </w:r>
      <w:r>
        <w:rPr>
          <w:kern w:val="0"/>
        </w:rPr>
        <w:t xml:space="preserve"> conclusions Serious adverse events were rare in studies evaluating local anaesthetic intraperitoneal instillation (very low quality evidence)</w:t>
      </w:r>
      <w:r w:rsidR="00A37C1D">
        <w:rPr>
          <w:kern w:val="0"/>
        </w:rPr>
        <w:t>. The</w:t>
      </w:r>
      <w:r>
        <w:rPr>
          <w:kern w:val="0"/>
        </w:rPr>
        <w:t>re is very low quality evidence that it reduces pain in low anaesthetic risk people undergoing elective laparoscopic cholecystectomy. However, the clinical importance of this reduction in pain is unknown and likely to be small. Further randomised clinical trials of low risk of systematic and random errors are necessary. Such trials should include important clinical outcomes such as quality of life and time to return to work in their assessment.</w:t>
      </w:r>
    </w:p>
    <w:p w:rsidR="00647EFD" w:rsidRDefault="00647EFD" w:rsidP="00647EFD">
      <w:pPr>
        <w:pStyle w:val="a3"/>
        <w:rPr>
          <w:kern w:val="0"/>
        </w:rPr>
      </w:pPr>
      <w:r>
        <w:rPr>
          <w:kern w:val="0"/>
        </w:rPr>
        <w:t xml:space="preserve">Keywords: Activity, Analyses, Analysis, Assessment, Authors, Benefits, Bias, Blind Controlled-Trial, Bupivacaine, Cholecystectomy, Citation, Clinical, Clinical Outcomes, Clinical Trials, Clinical-Trials, Collection, Complications, Confidence, Confidence Intervals, Control, Criteria, Data, Data Collection, Discharge, Effectiveness, Elective, Embase, Errors, Events, Evidence, Gallbladder Bed, Groups, Hospital, Hospital Stay, Influence, Intervals, Intervention, Intraoperative </w:t>
      </w:r>
      <w:r>
        <w:rPr>
          <w:kern w:val="0"/>
        </w:rPr>
        <w:lastRenderedPageBreak/>
        <w:t>Complications, Language, Laparoscopic, Laparoscopic Cholecystectomy, Length, Life, Liquid, Local, Location, Low Risk, Medline, Methods, Models, Morbidity, Mortality, Multimodal Analgesia, Normal, Normal Saline Infusion, Open, Outcome, Outcomes, Pain, Placebo, Postoperative Pain Relief, Preemptive Analgesia, Preincisional Infiltration, Publication, Quality, Quality Of, Quality Of Life, Randomised, Randomized Controlled-Trials, Reduction, Relevance, Removal, Review, Risk, Safety, Scale, Science, Science Citation Index, Science Citation Index Expanded, Search, Sequential-Analysis, Small, Surgery, Timing, Trial, Vas, Work</w:t>
      </w:r>
    </w:p>
    <w:p w:rsidR="009C3B80" w:rsidRDefault="009C3B80" w:rsidP="009C3B80">
      <w:pPr>
        <w:pStyle w:val="a3"/>
        <w:rPr>
          <w:kern w:val="0"/>
        </w:rPr>
      </w:pPr>
      <w:r>
        <w:rPr>
          <w:kern w:val="0"/>
        </w:rPr>
        <w:t xml:space="preserve">? Gurusamy, K.S., Vaughan, J., Toon, C.D. and Davidson, B.R. (2014), Pharmacological interventions for prevention or treatment of postoperative pain in people undergoing laparoscopic cholecystectomy. </w:t>
      </w:r>
      <w:r>
        <w:rPr>
          <w:i/>
          <w:iCs/>
          <w:kern w:val="0"/>
        </w:rPr>
        <w:t>Cochrane Database of Systematic Reviews</w:t>
      </w:r>
      <w:r>
        <w:rPr>
          <w:kern w:val="0"/>
        </w:rPr>
        <w:t xml:space="preserve">, </w:t>
      </w:r>
      <w:r>
        <w:rPr>
          <w:b/>
          <w:kern w:val="0"/>
        </w:rPr>
        <w:t>3</w:t>
      </w:r>
      <w:r>
        <w:rPr>
          <w:kern w:val="0"/>
        </w:rPr>
        <w:t xml:space="preserve">, </w:t>
      </w:r>
      <w:r w:rsidRPr="001F3C06">
        <w:rPr>
          <w:kern w:val="0"/>
        </w:rPr>
        <w:t>Article Number: CD008261</w:t>
      </w:r>
      <w:r>
        <w:rPr>
          <w:kern w:val="0"/>
        </w:rPr>
        <w:t>.</w:t>
      </w:r>
    </w:p>
    <w:p w:rsidR="009C3B80" w:rsidRDefault="009C3B80" w:rsidP="009C3B80">
      <w:pPr>
        <w:pStyle w:val="a3"/>
      </w:pPr>
      <w:r>
        <w:t xml:space="preserve">Full Text: </w:t>
      </w:r>
      <w:hyperlink r:id="rId816" w:history="1">
        <w:r w:rsidRPr="0079263A">
          <w:rPr>
            <w:rStyle w:val="a5"/>
          </w:rPr>
          <w:t>2014\Coc Dat Sys Rev2014, CD008261.pdf</w:t>
        </w:r>
      </w:hyperlink>
    </w:p>
    <w:p w:rsidR="009C3B80" w:rsidRDefault="009C3B80" w:rsidP="009C3B80">
      <w:pPr>
        <w:pStyle w:val="a3"/>
        <w:rPr>
          <w:kern w:val="0"/>
        </w:rPr>
      </w:pPr>
      <w:r>
        <w:rPr>
          <w:kern w:val="0"/>
        </w:rPr>
        <w:t>Abstract: Background While laparoscopic cholecystectomy is generally considered less painful than open surgery, pain is one of the important reasons for delayed discharge after day-surgery and overnight stay following laparoscopic cholecystectomy</w:t>
      </w:r>
      <w:r w:rsidR="00A37C1D">
        <w:rPr>
          <w:kern w:val="0"/>
        </w:rPr>
        <w:t>. The</w:t>
      </w:r>
      <w:r>
        <w:rPr>
          <w:kern w:val="0"/>
        </w:rPr>
        <w:t xml:space="preserve"> safety and effectiveness of different pharmacological interventions such as non-steroidal anti-inflammatory drugs, opioids, and anticonvulsant analgesics in people undergoing laparoscopic cholecystectomy is unknown. Objectives To assess the benefits and harms of different analgesics in people undergoing laparoscopic cholecystectomy. Search methods We searched the Cochrane Central Register of Controlled Trials (CENTRAL), MEDLINE, EMBASE, Science Citation Index Expanded, and the World Health Organization International Clinical Trials Registry Platform portal (WHO ICTRP) to March 2013 to identify randomised clinical trials of relevance to this review. Selection criteria We considered only randomised clinical trials (irrespective of language, blinding, or publication status) comparing different pharmacological interventions with no intervention or inactive controls for outcomes related to benefit in this review. We considered comparative non-randomised studies with regards to treatment-related harms. We also considered trials that compared one class of drug with another class of drug for this review. Data collection and analysis Two review authors collected the data independently. We analysed the data with both fixed-effect and random-effects models using Review Manager 5 analysis. For each outcome, we calculated the risk ratio (RR) ormean difference (MD) with 95% confidence intervals (CI). Main results We included 25 trials with 2505 participants randomised to the different pharmacological agents and inactive controls. All the trials were at unclear risk of bias. Most trials included only low anaesthetic risk people undergoing elective laparoscopic cholecystectomy. Participants were allowed to take additional analgesics as required in 24 of the trials</w:t>
      </w:r>
      <w:r w:rsidR="00A37C1D">
        <w:rPr>
          <w:kern w:val="0"/>
        </w:rPr>
        <w:t>. The</w:t>
      </w:r>
      <w:r>
        <w:rPr>
          <w:kern w:val="0"/>
        </w:rPr>
        <w:t xml:space="preserve"> pharmacological interventions in all the included trials were aimed at preventing </w:t>
      </w:r>
      <w:r>
        <w:rPr>
          <w:kern w:val="0"/>
        </w:rPr>
        <w:lastRenderedPageBreak/>
        <w:t>pain after laparoscopic cholecystectomy</w:t>
      </w:r>
      <w:r w:rsidR="00A37C1D">
        <w:rPr>
          <w:kern w:val="0"/>
        </w:rPr>
        <w:t>. The</w:t>
      </w:r>
      <w:r>
        <w:rPr>
          <w:kern w:val="0"/>
        </w:rPr>
        <w:t>re were considerable differences in the pharmacological agents used and the methods of administration</w:t>
      </w:r>
      <w:r w:rsidR="00A37C1D">
        <w:rPr>
          <w:kern w:val="0"/>
        </w:rPr>
        <w:t>. The</w:t>
      </w:r>
      <w:r>
        <w:rPr>
          <w:kern w:val="0"/>
        </w:rPr>
        <w:t xml:space="preserve"> estimated effects of the intervention on the proportion of participants who were discharged as day-surgery, the length of hospital stay, or the time taken to return to work were imprecise in all the comparisons in which these outcomes were reported (very low quality evidence)</w:t>
      </w:r>
      <w:r w:rsidR="00A37C1D">
        <w:rPr>
          <w:kern w:val="0"/>
        </w:rPr>
        <w:t>. The</w:t>
      </w:r>
      <w:r>
        <w:rPr>
          <w:kern w:val="0"/>
        </w:rPr>
        <w:t>re was no mortality in any of the groups in the two trials that reported mortality (183 participants, very low quality evidence). Differences in serious morbidity outcomes between the groups were imprecise across all the comparisons (very low quality evidence). None of the trials reported patient quality of life or time taken to return to normal activity</w:t>
      </w:r>
      <w:r w:rsidR="00A37C1D">
        <w:rPr>
          <w:kern w:val="0"/>
        </w:rPr>
        <w:t>. The</w:t>
      </w:r>
      <w:r>
        <w:rPr>
          <w:kern w:val="0"/>
        </w:rPr>
        <w:t xml:space="preserve"> pain at 4 to 8 hours was generally reduced by about 1 to 2 cm on the visual analogue scale of 1 to 10 cm in the comparisons involving the different pharmacological agents and inactive controls (low or very low quality evidence)</w:t>
      </w:r>
      <w:r w:rsidR="00A37C1D">
        <w:rPr>
          <w:kern w:val="0"/>
        </w:rPr>
        <w:t>. The</w:t>
      </w:r>
      <w:r>
        <w:rPr>
          <w:kern w:val="0"/>
        </w:rPr>
        <w:t xml:space="preserve"> pain at 9 to 24 hours was generally reduced by about 0.5 cm (a modest reduction) on the visual analogue scale of 1 to 10 cm in the comparisons involving the different pharmacological agents and inactive controls (low or very low quality evidence). Authors</w:t>
      </w:r>
      <w:r w:rsidR="0071223E">
        <w:rPr>
          <w:kern w:val="0"/>
        </w:rPr>
        <w:t>’</w:t>
      </w:r>
      <w:r>
        <w:rPr>
          <w:kern w:val="0"/>
        </w:rPr>
        <w:t xml:space="preserve"> conclusions There is evidence of very low quality that different pharmacological agents including non-steroidal anti-inflammatory drugs, opioid analgesics, and anticonvulsant analgesics reduce pain scores in people at low anaesthetic risk undergoing elective laparoscopic cholecystectomy. However, the decision to use these drugs has to weigh the clinically small reduction in pain against uncertain evidence of serious adverse events associated with many of these agents. Further randomised clinical trials of low risk of systematic and random errors are necessary. Such trials should include important clinical outcomes such as quality of life and time to return to work in their assessment.</w:t>
      </w:r>
    </w:p>
    <w:p w:rsidR="009C3B80" w:rsidRDefault="009C3B80" w:rsidP="009C3B80">
      <w:pPr>
        <w:pStyle w:val="a3"/>
        <w:rPr>
          <w:kern w:val="0"/>
        </w:rPr>
      </w:pPr>
      <w:r>
        <w:rPr>
          <w:kern w:val="0"/>
        </w:rPr>
        <w:t xml:space="preserve">Keywords: Activity, Administration, Analgesics, Analysis, Assessment, Authors, Benefits, Bias, Cholecystectomy, Citation, Clinical, Clinical Outcomes, Clinical Trials, Clinical-Trials, Collection, Confidence, Confidence Intervals, Criteria, Data, Data Collection, Decision, Design Characteristics, Differences, Discharge, Double-Blind, Drug, Drugs, Effectiveness, Effects, Elective, Embase, Empirical-Evidence, Errors, Events, Evidence, Groups, Health, Hospital, Hospital Stay, Intervals, Intervention, Interventions, Intravenous Tramadol, Language, Laparoscopic, Laparoscopic Cholecystectomy, Length, Life, Low Risk, Medline, Methods, Models, Morbidity, Morphine Consumption, Mortality, Normal, Open, Opioid, Opioid Analgesics, Opioids, Outcome, Outcomes, Pain, Postoperative, Postoperative Pain, Preemptive Pregabalin, Prevention, Publication, Quality, Quality Of, Quality Of Life, Randomised, Randomized Controlled-Trials, Reduction, Relevance, Review, Risk, Safety, Scale, Science, Science Citation Index, Science Citation Index Expanded, Search, Sequential-Analysis, Small, Surgery, Treatment, </w:t>
      </w:r>
      <w:r>
        <w:rPr>
          <w:kern w:val="0"/>
        </w:rPr>
        <w:lastRenderedPageBreak/>
        <w:t>Up Oral Valdecoxib, Who, Work, World Health Organization</w:t>
      </w:r>
    </w:p>
    <w:p w:rsidR="009C3B80" w:rsidRDefault="009C3B80" w:rsidP="009C3B80">
      <w:pPr>
        <w:pStyle w:val="a3"/>
        <w:rPr>
          <w:kern w:val="0"/>
        </w:rPr>
      </w:pPr>
      <w:r>
        <w:rPr>
          <w:kern w:val="0"/>
        </w:rPr>
        <w:t xml:space="preserve">? Gurusamy, K.S., Nagendran, M., Toon, C.D., Guerrini, G.P., Zinnuroglu, M. and Davidson, B.R. (2014), Methods of intraperitoneal local anaesthetic instillation for laparoscopic cholecystectomy. </w:t>
      </w:r>
      <w:r>
        <w:rPr>
          <w:i/>
          <w:iCs/>
          <w:kern w:val="0"/>
        </w:rPr>
        <w:t>Cochrane Database of Systematic Reviews</w:t>
      </w:r>
      <w:r>
        <w:rPr>
          <w:kern w:val="0"/>
        </w:rPr>
        <w:t xml:space="preserve">, </w:t>
      </w:r>
      <w:r>
        <w:rPr>
          <w:b/>
          <w:kern w:val="0"/>
        </w:rPr>
        <w:t>3</w:t>
      </w:r>
      <w:r>
        <w:rPr>
          <w:kern w:val="0"/>
        </w:rPr>
        <w:t xml:space="preserve">, </w:t>
      </w:r>
      <w:r w:rsidRPr="001F3C06">
        <w:rPr>
          <w:kern w:val="0"/>
        </w:rPr>
        <w:t>Article Number: CD009060</w:t>
      </w:r>
      <w:r>
        <w:rPr>
          <w:kern w:val="0"/>
        </w:rPr>
        <w:t>.</w:t>
      </w:r>
    </w:p>
    <w:p w:rsidR="009C3B80" w:rsidRDefault="009C3B80" w:rsidP="009C3B80">
      <w:pPr>
        <w:pStyle w:val="a3"/>
      </w:pPr>
      <w:r>
        <w:t xml:space="preserve">Full Text: </w:t>
      </w:r>
      <w:hyperlink r:id="rId817" w:history="1">
        <w:r w:rsidRPr="0079263A">
          <w:rPr>
            <w:rStyle w:val="a5"/>
          </w:rPr>
          <w:t>2014\Coc Dat Sys Rev2014, CD009060.pdf</w:t>
        </w:r>
      </w:hyperlink>
    </w:p>
    <w:p w:rsidR="009C3B80" w:rsidRDefault="009C3B80" w:rsidP="009C3B80">
      <w:pPr>
        <w:pStyle w:val="a3"/>
        <w:rPr>
          <w:kern w:val="0"/>
        </w:rPr>
      </w:pPr>
      <w:r>
        <w:rPr>
          <w:kern w:val="0"/>
        </w:rPr>
        <w:t>Abstract: Background Intraperitoneal local anaesthetic instillation may decrease pain in people undergoing laparoscopic cholecystectomy. However, the optimal method to administer the local anaesthetic is unknown. Objectives To determine the optimal local anaesthetic agent, the optimal timing, and the optimal delivery method of the local anaesthetic agent used for intraperitoneal instillation in people undergoing laparoscopic cholecystectomy. Search methods We searched the Cochrane Central Register of Controlled Trials (CENTRAL), MEDLINE, EMBASE, Science Citation Index Expanded, and the World Health Organization International Clinical Trials Registry Platform portal (WHO ICTRP) to March 2013 to identify randomised clinical trials for assessment of benefit and comparative non-randomised studies for the assessment of treatment-related harms. Selection criteria We considered only randomised clinical trials (irrespective of language, blinding, or publication status) comparing different methods of local anaesthetic intraperitoneal instillation during laparoscopic cholecystectomy for the review. Data collection and analysis Two review authors collected the data independently. We analysed the data with both fixed-effect and random-effects models using Review Manager 5 analysis. For each outcome, we calculated the risk ratio (RR) or mean difference (MD) with 95% confidence intervals (CI). Main results We included 12 trials with 798 participants undergoing elective laparoscopic cholecystectomy randomised to different methods of intraperitoneal local anaesthetic instillation. All the trials were at high risk of bias. Most trials included only people with low anaesthetic risk</w:t>
      </w:r>
      <w:r w:rsidR="00A37C1D">
        <w:rPr>
          <w:kern w:val="0"/>
        </w:rPr>
        <w:t>. The</w:t>
      </w:r>
      <w:r>
        <w:rPr>
          <w:kern w:val="0"/>
        </w:rPr>
        <w:t xml:space="preserve"> comparisons included in the trials that met the eligibility criteria were the following; comparison of one local anaesthetic agent with another local anaesthetic agent (three trials); comparison of timing of delivery (six trials); comparison of different methods of delivery of the anaesthetic agent (two trials); comparison of location of the instillation of the anaesthetic agent (one trial); three trials reported mortality and morbidity</w:t>
      </w:r>
      <w:r w:rsidR="00A37C1D">
        <w:rPr>
          <w:kern w:val="0"/>
        </w:rPr>
        <w:t>. The</w:t>
      </w:r>
      <w:r>
        <w:rPr>
          <w:kern w:val="0"/>
        </w:rPr>
        <w:t xml:space="preserve">re were no mortalities or serious adverse events in either group in the following comparisons: bupivacaine (0/100 (0%)) versus lignocaine (0/106 (0%)) (one trial; 206 participants); just after creation of pneumoperitoneum (0/55 (0%)) versus end of surgery (0/55 (0%)) (two trials; 110 participants); just after creation of pneumoperitoneum (0/15 (0%)) versus after the end of surgery (0/15 (0%)) (one trial; 30 participants); end of surgery (0/15 (0%)) versus after the end of surgery (0/15 (0%)) (one trial; 30 participants). None of the trials reported quality of life, the time </w:t>
      </w:r>
      <w:r>
        <w:rPr>
          <w:kern w:val="0"/>
        </w:rPr>
        <w:lastRenderedPageBreak/>
        <w:t>taken to return to normal activity, or the time taken to return to work</w:t>
      </w:r>
      <w:r w:rsidR="00A37C1D">
        <w:rPr>
          <w:kern w:val="0"/>
        </w:rPr>
        <w:t>. The</w:t>
      </w:r>
      <w:r>
        <w:rPr>
          <w:kern w:val="0"/>
        </w:rPr>
        <w:t xml:space="preserve"> differences in the proportion of people who were discharged as day-surgery and the length of hospital stay were imprecise in all the comparisons included that reported these outcomes (very low quality evidence)</w:t>
      </w:r>
      <w:r w:rsidR="00A37C1D">
        <w:rPr>
          <w:kern w:val="0"/>
        </w:rPr>
        <w:t>. The</w:t>
      </w:r>
      <w:r>
        <w:rPr>
          <w:kern w:val="0"/>
        </w:rPr>
        <w:t>re were some differences in the pain scores on the visual analogue scale (1 to 10 cm) but these were neither consistent nor robust to fixed-effect versus random-effects meta-analysis or sensitivity analysis. Authors</w:t>
      </w:r>
      <w:r w:rsidR="0071223E">
        <w:rPr>
          <w:kern w:val="0"/>
        </w:rPr>
        <w:t>’</w:t>
      </w:r>
      <w:r>
        <w:rPr>
          <w:kern w:val="0"/>
        </w:rPr>
        <w:t xml:space="preserve"> conclusions The currently available evidence is inadequate to determine the effects of one method of local anaesthetic intraperitoneal instillation compared with any other method of local anaesthetic intraperitoneal instillation in low anaesthetic risk individuals undergoing elective laparoscopic cholecystectomy. Further randomised clinical trials of low risk of systematic and random errors are necessary. Such trials should include important clinical outcomes such as quality of life and time to return to work in their assessment.</w:t>
      </w:r>
    </w:p>
    <w:p w:rsidR="009C3B80" w:rsidRDefault="009C3B80" w:rsidP="009C3B80">
      <w:pPr>
        <w:pStyle w:val="a3"/>
        <w:rPr>
          <w:kern w:val="0"/>
        </w:rPr>
      </w:pPr>
      <w:r>
        <w:rPr>
          <w:kern w:val="0"/>
        </w:rPr>
        <w:t>Keywords: Activity, Analysis, Assessment, Authors, Bias, Bupivacaine, Cholecystectomy, Citation, Clinical, Clinical Outcomes, Clinical Trials, Clinical-Trials, Collection, Comparison, Confidence, Confidence Intervals, Criteria, Data, Data Collection, Delivery, Delivery Method, Design Characteristics, Double-Blind, Effects, Elective, Embase, Empirical-Evidence, Errors, Events, Evidence, Health, Health Survey Sf-36, Hospital, Hospital Stay, Intervals, Language, Laparoscopic, Laparoscopic Cholecystectomy, Length, Life, Local, Location, Low Risk, Medline, Meta Analysis, Meta-Analysis, Metaanalysis, Methods, Models, Morbidity, Mortality, Normal, Outcome, Outcomes, Pain, Placebo-Controlled Trial, Postoperative Pain Relief, Preemptive Analgesia, Publication, Quality, Quality Of, Quality Of Life, Randomised, Randomized Controlled-Trials, Review, Risk, Scale, Science, Science Citation Index, Science Citation Index Expanded, Search, Sensitivity, Sensitivity Analysis, Sequential-Analysis, Surgery, Timing, Trial, Who, Work, World Health Organization</w:t>
      </w:r>
    </w:p>
    <w:p w:rsidR="009C3B80" w:rsidRDefault="009C3B80" w:rsidP="009C3B80">
      <w:pPr>
        <w:pStyle w:val="a3"/>
        <w:rPr>
          <w:kern w:val="0"/>
        </w:rPr>
      </w:pPr>
      <w:r>
        <w:rPr>
          <w:kern w:val="0"/>
        </w:rPr>
        <w:t xml:space="preserve">? Mischke, C., Verbeek, J.H., Saarto, A., Lavoie, M.C., Pahwa, M. and Ijaz, S. (2014), Gloves, extra gloves or special types of gloves for preventing percutaneous exposure injuries in healthcare personnel. </w:t>
      </w:r>
      <w:r>
        <w:rPr>
          <w:i/>
          <w:iCs/>
          <w:kern w:val="0"/>
        </w:rPr>
        <w:t>Cochrane Database of Systematic Reviews</w:t>
      </w:r>
      <w:r>
        <w:rPr>
          <w:kern w:val="0"/>
        </w:rPr>
        <w:t xml:space="preserve">, </w:t>
      </w:r>
      <w:r>
        <w:rPr>
          <w:b/>
          <w:kern w:val="0"/>
        </w:rPr>
        <w:t>3</w:t>
      </w:r>
      <w:r>
        <w:rPr>
          <w:kern w:val="0"/>
        </w:rPr>
        <w:t xml:space="preserve">, </w:t>
      </w:r>
      <w:r w:rsidRPr="001F3C06">
        <w:rPr>
          <w:kern w:val="0"/>
        </w:rPr>
        <w:t>Article Number: CD009573</w:t>
      </w:r>
      <w:r>
        <w:rPr>
          <w:kern w:val="0"/>
        </w:rPr>
        <w:t>.</w:t>
      </w:r>
    </w:p>
    <w:p w:rsidR="009C3B80" w:rsidRDefault="009C3B80" w:rsidP="009C3B80">
      <w:pPr>
        <w:pStyle w:val="a3"/>
      </w:pPr>
      <w:r>
        <w:t xml:space="preserve">Full Text: </w:t>
      </w:r>
      <w:hyperlink r:id="rId818" w:history="1">
        <w:r w:rsidRPr="0079263A">
          <w:rPr>
            <w:rStyle w:val="a5"/>
          </w:rPr>
          <w:t>2014\Coc Dat Sys Rev2014, CD009573.pdf</w:t>
        </w:r>
      </w:hyperlink>
    </w:p>
    <w:p w:rsidR="009C3B80" w:rsidRDefault="009C3B80" w:rsidP="009C3B80">
      <w:pPr>
        <w:pStyle w:val="a3"/>
        <w:rPr>
          <w:kern w:val="0"/>
        </w:rPr>
      </w:pPr>
      <w:r>
        <w:rPr>
          <w:kern w:val="0"/>
        </w:rPr>
        <w:t>Abstract: Background Healthcare workers are at risk of acquiring viral diseases such as hepatitis B, hepatitis C and HIV through exposure to contaminated blood and body fluids at work. Most often infection occurs when a healthcare worker inadvertently punctures the skin of their hand with a sharp implement that has been used in the treatment of an infected patient, thus bringing the patient</w:t>
      </w:r>
      <w:r w:rsidR="0071223E">
        <w:rPr>
          <w:kern w:val="0"/>
        </w:rPr>
        <w:t>’</w:t>
      </w:r>
      <w:r>
        <w:rPr>
          <w:kern w:val="0"/>
        </w:rPr>
        <w:t xml:space="preserve">s blood into contact with their own. Such occurrences are commonly known as percutaneous exposure incidents. Objectives To determine the benefits and harms of extra gloves for </w:t>
      </w:r>
      <w:r>
        <w:rPr>
          <w:kern w:val="0"/>
        </w:rPr>
        <w:lastRenderedPageBreak/>
        <w:t>preventing percutaneous exposure incidents among healthcare workers versus no intervention or alternative interventions. Search methods We searched CENTRAL, MEDLINE, EMBASE, NHSEED, Science Citation Index Expanded, CINAHL, NIOSHTIC, CISDOC, PsycINFO and LILACS until 26 June 2013. Selection criteria Randomised controlled trials (RCTs) with healthcare workers as the majority of participants, extra gloves or special types of gloves as the intervention, and exposure to blood or bodily fluids as the outcome. Data collection and analysis Two authors independently assessed study eligibility and risk of bias, and extracted data. We performed meta-analyses for seven different comparisons. Main results We found 34 RCTs that included 6890 person-operations as participating units and reported on 46 intervention-control group comparisons. We grouped interventions as follows: increased layers of standard gloves, gloves manufactured with special protective materials or thicker gloves, and gloves with puncture indicator systems. Indicator gloves show a coloured spot when they are perforated. Participants were surgeons in all studies and they used at least one pair of standard gloves as the control intervention. Twenty-seven studies also included other surgical staff (e.g. nurses). All but one study used perforations in gloves as an indication of exposure</w:t>
      </w:r>
      <w:r w:rsidR="00A37C1D">
        <w:rPr>
          <w:kern w:val="0"/>
        </w:rPr>
        <w:t>. The</w:t>
      </w:r>
      <w:r>
        <w:rPr>
          <w:kern w:val="0"/>
        </w:rPr>
        <w:t xml:space="preserve"> median control group rate was 18.5 perforations per 100 person-operations. Seven studies reported blood stains on the skin and two studies reported self reported needlestick injuries. Six studies reported dexterity as visual analogue scale scores for the comparison double versus single gloves, 13 studies reported outer glove perforations. We judged the included studies to have a moderate to high risk of bias. We found moderate-quality evidence that double gloves compared to single gloves reduce the risk of glove perforation (rate ratio (RR) 0.29, 95% confidence interval (CI) 0.23 to 0.37) and the risk of blood stains on the skin (RR 0.35, 95% CI 0.17 to 0.70). Two studies with a high risk of bias also reported the effect of double compared to single gloves on needlestick injuries (RR 0.58, 95% CI 0.21 to 1.62). We found low-quality evidence in one small study that the use of three gloves compared to two gloves reduces the risk of perforation further (RR 0.03, 95% CI 0.00 to 0.52)</w:t>
      </w:r>
      <w:r w:rsidR="00A37C1D">
        <w:rPr>
          <w:kern w:val="0"/>
        </w:rPr>
        <w:t>. The</w:t>
      </w:r>
      <w:r>
        <w:rPr>
          <w:kern w:val="0"/>
        </w:rPr>
        <w:t>re was similar low-quality evidence that the use of one fabric glove over one normal glove reduces perforations compared to two normal gloves (RR 0.24, 95% CI 0.06 to 0.93)</w:t>
      </w:r>
      <w:r w:rsidR="00A37C1D">
        <w:rPr>
          <w:kern w:val="0"/>
        </w:rPr>
        <w:t>. The</w:t>
      </w:r>
      <w:r>
        <w:rPr>
          <w:kern w:val="0"/>
        </w:rPr>
        <w:t>re was moderate-quality evidence that this effect was similar for the use of one special material glove between two normal material gloves. Thicker gloves did not perform better than thinner gloves</w:t>
      </w:r>
      <w:r w:rsidR="00A37C1D">
        <w:rPr>
          <w:kern w:val="0"/>
        </w:rPr>
        <w:t>. The</w:t>
      </w:r>
      <w:r>
        <w:rPr>
          <w:kern w:val="0"/>
        </w:rPr>
        <w:t>re was moderate to low-quality evidence in two studies that an indicator system does not reduce the total number of perforations during an operation even though it reduces the number of perforations per glove used</w:t>
      </w:r>
      <w:r w:rsidR="00A37C1D">
        <w:rPr>
          <w:kern w:val="0"/>
        </w:rPr>
        <w:t>. The</w:t>
      </w:r>
      <w:r>
        <w:rPr>
          <w:kern w:val="0"/>
        </w:rPr>
        <w:t xml:space="preserve">re was moderate-quality evidence that double gloves have a similar number of outer glove perforations as single gloves, indicating that there is no loss of dexterity with double gloves (RR 1.10, 95% CI 0.93 to 1.31). </w:t>
      </w:r>
      <w:r>
        <w:rPr>
          <w:kern w:val="0"/>
        </w:rPr>
        <w:lastRenderedPageBreak/>
        <w:t>Authors</w:t>
      </w:r>
      <w:r w:rsidR="0071223E">
        <w:rPr>
          <w:kern w:val="0"/>
        </w:rPr>
        <w:t>’</w:t>
      </w:r>
      <w:r>
        <w:rPr>
          <w:kern w:val="0"/>
        </w:rPr>
        <w:t xml:space="preserve"> conclusions There is moderate-quality evidence that double gloving compared to single gloving during surgery reduces perforations and blood stains on the skin, indicating a decrease in percutaneous exposure incidents</w:t>
      </w:r>
      <w:r w:rsidR="00A37C1D">
        <w:rPr>
          <w:kern w:val="0"/>
        </w:rPr>
        <w:t>. The</w:t>
      </w:r>
      <w:r>
        <w:rPr>
          <w:kern w:val="0"/>
        </w:rPr>
        <w:t>re is low-quality evidence that triple gloving and the use of special gloves can further reduce the risk of glove perforations compared to double gloving with normal material gloves</w:t>
      </w:r>
      <w:r w:rsidR="00A37C1D">
        <w:rPr>
          <w:kern w:val="0"/>
        </w:rPr>
        <w:t>. The</w:t>
      </w:r>
      <w:r>
        <w:rPr>
          <w:kern w:val="0"/>
        </w:rPr>
        <w:t xml:space="preserve"> preventive effect of double gloves on percutaneous exposure incidents in surgery does not need further research. Further studies are needed to evaluate the effectiveness and cost-effectiveness of special material gloves and triple gloves, and of gloves in other occupational groups.</w:t>
      </w:r>
    </w:p>
    <w:p w:rsidR="009C3B80" w:rsidRDefault="009C3B80" w:rsidP="009C3B80">
      <w:pPr>
        <w:pStyle w:val="a3"/>
        <w:rPr>
          <w:kern w:val="0"/>
        </w:rPr>
      </w:pPr>
      <w:r>
        <w:rPr>
          <w:kern w:val="0"/>
        </w:rPr>
        <w:t>Keywords: Alternative, Analysis, Authors, Benefits, Bias, Blood, Blood Exposure, Citation, Collection, Comparison, Confidence, Control, Cost Effectiveness, Cost-Effectiveness, Criteria, Data, Data Collection, Diseases, Double-Gloving, Double-Gloving Methods, Effectiveness, Embase, Evidence, Exposure, Glove Perforation, Groups, Hepatitis, Hepatitis B, Hepatitis C, Hiv, Indication, Indicator, Infected, Infection, Interval, Intervention, Interventions, Medline, Methods, Needlestick Injuries, Needlestick Injury, Normal, Nurses, Occupational, Operation, Orthopedic Procedures, Outcome, Outer Gloves, Percutaneous, Personnel, Psycinfo, Randomised Controlled Trials, Randomized Controlled-Trial, Research, Risk, Scale, Science, Science Citation Index, Science Citation Index Expanded, Search, Self, Sharps Injuries, Single-Gloving, Skin, Skin Contamination, Small, Standard, Standard Precautions, Surgery, Surgical Gloves, Systems, Treatment, Viral, Work</w:t>
      </w:r>
    </w:p>
    <w:p w:rsidR="009C3B80" w:rsidRDefault="009C3B80" w:rsidP="009C3B80">
      <w:pPr>
        <w:pStyle w:val="a3"/>
        <w:rPr>
          <w:kern w:val="0"/>
        </w:rPr>
      </w:pPr>
      <w:r>
        <w:rPr>
          <w:kern w:val="0"/>
        </w:rPr>
        <w:t xml:space="preserve">? Taylor, T., Dineen, R.A., Gardiner, D.C., Buss, C.H., Howatson, A. and Pace, N.L. (2014), Computed tomography (CT) angiography for confirmation of the clinical diagnosis of brain death. </w:t>
      </w:r>
      <w:r>
        <w:rPr>
          <w:i/>
          <w:iCs/>
          <w:kern w:val="0"/>
        </w:rPr>
        <w:t>Cochrane Database of Systematic Reviews</w:t>
      </w:r>
      <w:r>
        <w:rPr>
          <w:kern w:val="0"/>
        </w:rPr>
        <w:t xml:space="preserve">, </w:t>
      </w:r>
      <w:r>
        <w:rPr>
          <w:b/>
          <w:kern w:val="0"/>
        </w:rPr>
        <w:t>3</w:t>
      </w:r>
      <w:r>
        <w:rPr>
          <w:kern w:val="0"/>
        </w:rPr>
        <w:t xml:space="preserve">, </w:t>
      </w:r>
      <w:r w:rsidRPr="001F3C06">
        <w:rPr>
          <w:kern w:val="0"/>
        </w:rPr>
        <w:t xml:space="preserve">Article Number: </w:t>
      </w:r>
      <w:r w:rsidRPr="00C058A6">
        <w:rPr>
          <w:kern w:val="0"/>
        </w:rPr>
        <w:t>CD009694</w:t>
      </w:r>
      <w:r>
        <w:rPr>
          <w:kern w:val="0"/>
        </w:rPr>
        <w:t>.</w:t>
      </w:r>
    </w:p>
    <w:p w:rsidR="009C3B80" w:rsidRDefault="009C3B80" w:rsidP="009C3B80">
      <w:pPr>
        <w:pStyle w:val="a3"/>
      </w:pPr>
      <w:r>
        <w:t xml:space="preserve">Full Text: </w:t>
      </w:r>
      <w:hyperlink r:id="rId819" w:history="1">
        <w:r w:rsidRPr="0079263A">
          <w:rPr>
            <w:rStyle w:val="a5"/>
          </w:rPr>
          <w:t>2014\Coc Dat Sys Rev2014, CD009694.pdf</w:t>
        </w:r>
      </w:hyperlink>
    </w:p>
    <w:p w:rsidR="009C3B80" w:rsidRDefault="009C3B80" w:rsidP="009C3B80">
      <w:pPr>
        <w:pStyle w:val="a3"/>
        <w:rPr>
          <w:kern w:val="0"/>
        </w:rPr>
      </w:pPr>
      <w:r>
        <w:rPr>
          <w:kern w:val="0"/>
        </w:rPr>
        <w:t>Abstract: Background The diagnosis of death using neurological criteria (brain death) has profound social, legal and ethical implications</w:t>
      </w:r>
      <w:r w:rsidR="00A37C1D">
        <w:rPr>
          <w:kern w:val="0"/>
        </w:rPr>
        <w:t>. The</w:t>
      </w:r>
      <w:r>
        <w:rPr>
          <w:kern w:val="0"/>
        </w:rPr>
        <w:t xml:space="preserve"> diagnosis can be made using standard clinical tests examining for brain function, but in some patient populations and in some countries additional tests may be required. Computed tomography (CT) angiography, which is currently in wide clinical use, has been identified as one such test. Objectives To assess from the current literature the sensitivity of CT cerebral angiography as an additional confirmatory test for diagnosing death using neurological criteria, following satisfaction of clinical neurological criteria for brain death. Search methods We performed comprehensive literature searches to identify studies that would assess the diagnostic accuracy of CT angiography (the index test) in cohorts of adult patients, using the diagnosis of brain death according to neurological criteria as the target condition. We searched the Cochrane Central Register of Controlled Trials (CENTRAL) (The Cochrane Library 2012, Issue 5) and </w:t>
      </w:r>
      <w:r>
        <w:rPr>
          <w:kern w:val="0"/>
        </w:rPr>
        <w:lastRenderedPageBreak/>
        <w:t>the following databases from January 1992 to August 2012: MEDLINE; EMBASE; BNI; CINAHL; ISI Web of Science; BioMed Central. We also conducted searches in regional electronic bibliographic databases and subject-specific databases (MEDION; IndMed; African Index Medicus). A search was also conducted in Google Scholar where we reviewed the first 100 results only. We handsearched reference lists and conference proceedings to identify primary studies and review articles. Abstracts were identified by two authors. Methodological assessment of studies using the QUADAS-2 tool and further data extraction for re-analysis were performed by three authors. Selection criteria We included in this review all large case series and cohort studies that compared the results of CT angiography with the diagnosis of brain death according to neurological criteria. Uniquely, the reference standard was the same as the target condition in this review. Data collection and analysis We reviewed all included studies for methodological quality according to the QUADAS-2 criteria. We encountered significant heterogeneity in methods used to interpret CT angiography studies and therefore, where possible, we re-analysed the published data to conform to a standard radiological interpretation model</w:t>
      </w:r>
      <w:r w:rsidR="00A37C1D">
        <w:rPr>
          <w:kern w:val="0"/>
        </w:rPr>
        <w:t>. The</w:t>
      </w:r>
      <w:r>
        <w:rPr>
          <w:kern w:val="0"/>
        </w:rPr>
        <w:t xml:space="preserve"> majority of studies (with one exception) were not designed to include patients who were not brain dead, and therefore overall specificity was not estimable as part of a meta-analysis. Sensitivity, confidence and prediction intervals were calculated for both as-published data and as re-analysed to a standardized interpretation model. Main results Ten studies were found including 366 patients in total. We included eight studies in the as-published data analysis, comprising 337 patients</w:t>
      </w:r>
      <w:r w:rsidR="00A37C1D">
        <w:rPr>
          <w:kern w:val="0"/>
        </w:rPr>
        <w:t>. The</w:t>
      </w:r>
      <w:r>
        <w:rPr>
          <w:kern w:val="0"/>
        </w:rPr>
        <w:t xml:space="preserve"> methodological quality of the studies was overall satisfactory, however there was potential for introduction of significant bias in several specific areas relating to performance of the index test and to the timing of index versus reference tests. Results demonstrated a sensitivity estimate of 0.84 (95% confidence interval (CI) 0.69 to 0.93)</w:t>
      </w:r>
      <w:r w:rsidR="00A37C1D">
        <w:rPr>
          <w:kern w:val="0"/>
        </w:rPr>
        <w:t>. The</w:t>
      </w:r>
      <w:r>
        <w:rPr>
          <w:kern w:val="0"/>
        </w:rPr>
        <w:t xml:space="preserve"> 95% approximate prediction interval was very wide (0.34 to 0.98). Data in three studies were available as a four-vessel interpretation model and the data could be re-analysed to a four-vessel interpretation model in a further five studies, comprising 314 patient events. Results demonstrated a similar sensitivity estimate of 0.85 (95% CI 0.77 to 0.91) but with an improved 95% approximate prediction interval (0.56 to 0.96). Authors</w:t>
      </w:r>
      <w:r w:rsidR="0071223E">
        <w:rPr>
          <w:kern w:val="0"/>
        </w:rPr>
        <w:t>’</w:t>
      </w:r>
      <w:r>
        <w:rPr>
          <w:kern w:val="0"/>
        </w:rPr>
        <w:t xml:space="preserve"> conclusions The available evidence cannot support the use of CT angiography as a mandatory test, or as a complete replacement for neurological testing, in the management pathway of patients who are suspected to be clinically brain dead. CT angiography may be useful as a confirmatory or add-on test following a clinical diagnosis of death, assuming that clinicians are aware of the relatively low overall sensitivity. Consensus on a standard radiological interpretation protocol for future published studies would facilitate further meta-analysis.</w:t>
      </w:r>
    </w:p>
    <w:p w:rsidR="009C3B80" w:rsidRDefault="009C3B80" w:rsidP="009C3B80">
      <w:pPr>
        <w:pStyle w:val="a3"/>
        <w:rPr>
          <w:kern w:val="0"/>
        </w:rPr>
      </w:pPr>
      <w:r>
        <w:rPr>
          <w:kern w:val="0"/>
        </w:rPr>
        <w:t xml:space="preserve">Keywords: Accuracy, Adult, Analysis, Angiography, Assessment, Authors, Bias, </w:t>
      </w:r>
      <w:r>
        <w:rPr>
          <w:kern w:val="0"/>
        </w:rPr>
        <w:lastRenderedPageBreak/>
        <w:t>Bibliographic, Bibliographic Databases, Blood-Flow, Brain, Brain Death, Cerebral, Clinical, Cohort, Collection, Complete, Computed Tomography, Conference Proceedings, Confidence, Criteria, Ct, Data, Data Analysis, Data Collection, Databases, Death, Diagnosis, Diagnostic Accuracy, Embase, Ethical, Events, Evidence, Extraction, First, Function, Google, Google Scholar, Heterogeneity, Index, Interval, Intervals, Isi, Isi Web Of Science, Legal, Limitations, Literature, Management, Mandatory, Medline, Meta Analysis, Meta-Analysis, Metaanalysis, Methods, Model, Neurological, Neurological Determination, Patients, Performance, Perfusion, Populations, Potential, Prediction, Primary, Protocol, Quality, Quality Of, Reference, Reference Lists, Regional, Results, Review, Satisfaction, Science, Search, Sensitivity, Social, Specificity, Spiral Ct, Standard, Support, Testing, Tests, Timing, Web Of Science</w:t>
      </w:r>
    </w:p>
    <w:p w:rsidR="009C3B80" w:rsidRDefault="009C3B80" w:rsidP="009C3B80">
      <w:pPr>
        <w:pStyle w:val="a3"/>
        <w:rPr>
          <w:kern w:val="0"/>
        </w:rPr>
      </w:pPr>
      <w:r>
        <w:rPr>
          <w:kern w:val="0"/>
        </w:rPr>
        <w:t xml:space="preserve">? Lavoie, M.C., Verbeek, J.H. and Pahwa, M. (2014), Devices for preventing percutaneous exposure injuries caused by needles in healthcare personnel. </w:t>
      </w:r>
      <w:r>
        <w:rPr>
          <w:i/>
          <w:iCs/>
          <w:kern w:val="0"/>
        </w:rPr>
        <w:t>Cochrane Database of Systematic Reviews</w:t>
      </w:r>
      <w:r>
        <w:rPr>
          <w:kern w:val="0"/>
        </w:rPr>
        <w:t xml:space="preserve">, </w:t>
      </w:r>
      <w:r>
        <w:rPr>
          <w:b/>
          <w:kern w:val="0"/>
        </w:rPr>
        <w:t>3</w:t>
      </w:r>
      <w:r>
        <w:rPr>
          <w:kern w:val="0"/>
        </w:rPr>
        <w:t xml:space="preserve">, </w:t>
      </w:r>
      <w:r w:rsidRPr="001F3C06">
        <w:rPr>
          <w:kern w:val="0"/>
        </w:rPr>
        <w:t>Article Number: CD009740</w:t>
      </w:r>
      <w:r>
        <w:rPr>
          <w:kern w:val="0"/>
        </w:rPr>
        <w:t>.</w:t>
      </w:r>
    </w:p>
    <w:p w:rsidR="009C3B80" w:rsidRDefault="009C3B80" w:rsidP="009C3B80">
      <w:pPr>
        <w:pStyle w:val="a3"/>
      </w:pPr>
      <w:r>
        <w:t xml:space="preserve">Full Text: </w:t>
      </w:r>
      <w:hyperlink r:id="rId820" w:history="1">
        <w:r w:rsidRPr="0079263A">
          <w:rPr>
            <w:rStyle w:val="a5"/>
          </w:rPr>
          <w:t>2014\Coc Dat Sys Rev2014, CD009740.pdf</w:t>
        </w:r>
      </w:hyperlink>
    </w:p>
    <w:p w:rsidR="009C3B80" w:rsidRDefault="009C3B80" w:rsidP="009C3B80">
      <w:pPr>
        <w:pStyle w:val="a3"/>
        <w:rPr>
          <w:kern w:val="0"/>
        </w:rPr>
      </w:pPr>
      <w:r>
        <w:rPr>
          <w:kern w:val="0"/>
        </w:rPr>
        <w:t>Abstract: Background Needlestick injuries from devices used for blood collection or for injections expose healthcare workers to the risk of blood borne infections such as hepatitis B and C, and human immunodeficiency virus (HIV). Safety features such as shields or retractable needles can possibly contribute to the prevention of these injuries and it is important to evaluate their effectiveness. Objectives To determine the benefits and harms of safety medical devices aiming to prevent percutaneous exposure injuries caused by needles in healthcare personnel versus no intervention or alternative interventions. Search methods We searched CENTRAL, MEDLINE, EMBASE, NHSEED, Science Citation Index Expanded, CINAHL, Nioshtic, CISdoc and PsycINFO (until January 2014) and LILACS (until January 2012). Selection criteria We included randomised controlled trials (RCT), controlled before and after studies (CBA) and interrupted time-series (ITS) designs on the effect of safety engineered medical devices on needlestick injuries in healthcare staff. Data collection and analysis Two authors independently assessed study eligibility and risk of bias and extracted data. We synthesized study results with a fixed-effect or random-effects model meta-analysis where appropriate. Main results We included four RCTs with 1136 participants, two cluster-RCTs with 795 participants and 73,454 patient days, four CBAs with approximately 22,000 participants and seven ITS with an average of seven data points</w:t>
      </w:r>
      <w:r w:rsidR="00A37C1D">
        <w:rPr>
          <w:kern w:val="0"/>
        </w:rPr>
        <w:t>. The</w:t>
      </w:r>
      <w:r>
        <w:rPr>
          <w:kern w:val="0"/>
        </w:rPr>
        <w:t>se studies evaluated safe modifications of blood collection systems, intravenous (IV) systems, injection systems, multiple devices and sharps containers</w:t>
      </w:r>
      <w:r w:rsidR="00A37C1D">
        <w:rPr>
          <w:kern w:val="0"/>
        </w:rPr>
        <w:t>. The</w:t>
      </w:r>
      <w:r>
        <w:rPr>
          <w:kern w:val="0"/>
        </w:rPr>
        <w:t xml:space="preserve"> needlestick injury (NSI) rate in the control groups was estimated at about one to five NSIs per 1000 person-years</w:t>
      </w:r>
      <w:r w:rsidR="00A37C1D">
        <w:rPr>
          <w:kern w:val="0"/>
        </w:rPr>
        <w:t>. The</w:t>
      </w:r>
      <w:r>
        <w:rPr>
          <w:kern w:val="0"/>
        </w:rPr>
        <w:t>re was only one study from a low- or middle-income country</w:t>
      </w:r>
      <w:r w:rsidR="00A37C1D">
        <w:rPr>
          <w:kern w:val="0"/>
        </w:rPr>
        <w:t>. The</w:t>
      </w:r>
      <w:r>
        <w:rPr>
          <w:kern w:val="0"/>
        </w:rPr>
        <w:t xml:space="preserve"> risk of bias was high in most </w:t>
      </w:r>
      <w:r>
        <w:rPr>
          <w:kern w:val="0"/>
        </w:rPr>
        <w:lastRenderedPageBreak/>
        <w:t>studies. In one ITS study that evaluated safe blood collection systems, NSIs decreased immediately after the introduction (effect size (ES) -6.9, 95% confidence interval (CI) -9.5 to -4.2) and there was no clear evidence of an additional benefit over time (ES -1.2, 95% CI -2.5 to 0.1). Another ITS study used an outdated recapping shield</w:t>
      </w:r>
      <w:r w:rsidR="00A37C1D">
        <w:rPr>
          <w:kern w:val="0"/>
        </w:rPr>
        <w:t>. The</w:t>
      </w:r>
      <w:r>
        <w:rPr>
          <w:kern w:val="0"/>
        </w:rPr>
        <w:t>re was very low quality evidence that NSIs were reduced with the introduction of safe IV devices in two out of four studies but the other two studies showed no clear evidence of a trend towards a reduction. However, there was moderate quality evidence in four other studies that these devices increased the number of blood splashes where the safety system had to be engaged actively (relative risk (RR) 1.6, 95% CI 1.08 to 2.36)</w:t>
      </w:r>
      <w:r w:rsidR="00A37C1D">
        <w:rPr>
          <w:kern w:val="0"/>
        </w:rPr>
        <w:t>. The</w:t>
      </w:r>
      <w:r>
        <w:rPr>
          <w:kern w:val="0"/>
        </w:rPr>
        <w:t>re was no clear evidence that the introduction of safe injection devices changed the NSI rate in two studies</w:t>
      </w:r>
      <w:r w:rsidR="00A37C1D">
        <w:rPr>
          <w:kern w:val="0"/>
        </w:rPr>
        <w:t>. The</w:t>
      </w:r>
      <w:r>
        <w:rPr>
          <w:kern w:val="0"/>
        </w:rPr>
        <w:t xml:space="preserve"> introduction of multiple safety devices showed a decrease in NSI in one study but not in another</w:t>
      </w:r>
      <w:r w:rsidR="00A37C1D">
        <w:rPr>
          <w:kern w:val="0"/>
        </w:rPr>
        <w:t>. The</w:t>
      </w:r>
      <w:r>
        <w:rPr>
          <w:kern w:val="0"/>
        </w:rPr>
        <w:t xml:space="preserve"> introduction of safety containers showed a decrease in NSI in one study but inconsistent results in two other studies</w:t>
      </w:r>
      <w:r w:rsidR="00A37C1D">
        <w:rPr>
          <w:kern w:val="0"/>
        </w:rPr>
        <w:t>. The</w:t>
      </w:r>
      <w:r>
        <w:rPr>
          <w:kern w:val="0"/>
        </w:rPr>
        <w:t>re was no evidence in the included studies about which type of device was better, for example shielding or retraction of the needle. Authors</w:t>
      </w:r>
      <w:r w:rsidR="0071223E">
        <w:rPr>
          <w:kern w:val="0"/>
        </w:rPr>
        <w:t>’</w:t>
      </w:r>
      <w:r>
        <w:rPr>
          <w:kern w:val="0"/>
        </w:rPr>
        <w:t xml:space="preserve"> conclusions For safe blood collection systems, we found very low quality evidence in one study that these decrease needlestick injuries (NSIs). For intravenous systems, we found very low quality evidence that they result in a decrease of NSI compared with usual devices but moderate quality evidence that they increase contamination with blood. For other safe injection needles, the introduction of multiple safety devices or the introduction of sharps containers the evidence was inconsistent or there was no clear evidence of a benefit. All studies had a considerable risk of bias and the lack of evidence of a beneficial effect could be due both to confounding and bias. This does not mean that these devices are not effective. Cluster-randomised controlled studies are needed to compare the various types of safety engineered devices for their effectiveness and cost-effectiveness, especially in low- and middle-income countries.</w:t>
      </w:r>
    </w:p>
    <w:p w:rsidR="009C3B80" w:rsidRDefault="009C3B80" w:rsidP="009C3B80">
      <w:pPr>
        <w:pStyle w:val="a3"/>
        <w:rPr>
          <w:kern w:val="0"/>
        </w:rPr>
      </w:pPr>
      <w:r>
        <w:rPr>
          <w:kern w:val="0"/>
        </w:rPr>
        <w:t xml:space="preserve">Keywords: Alternative, Analysis, Authors, Benefits, Bias, Blood, Blood Collection, Blood Splashes, Citation, Collection, Confidence, Confounding, Contamination, Control, Control Groups, Cost Effectiveness, Cost-Effectiveness, Country, Criteria, Data, Data Collection, Effect Size, Effectiveness, Embase, Evidence, Exposure, Groups, Hepatitis, Hepatitis B, Hiv, Human, Human Immunodeficiency Virus, Impact, Infections, Injections, Injury, Interrupted Time Series, Interval, Intervention, Interventions, Intravenous, Iv, Low- And Middle-Income Countries, Medical, Medical Devices, Medline, Meta Analysis, Meta-Analysis, Metaanalysis, Methods, Middle-Income Country, Model, Needles, Needlestick Injuries, Nurses, Occupational Blood Exposures, Percutaneous, Personnel, Prevent, Prevention, Psycinfo, Quality, Random Effects Model, Randomised, Randomised Controlled Trials, Rct, Reduction, Relative Risk, Risk, Safety, Safety-Engineered Devices, Science, Science Citation </w:t>
      </w:r>
      <w:r>
        <w:rPr>
          <w:kern w:val="0"/>
        </w:rPr>
        <w:lastRenderedPageBreak/>
        <w:t>Index, Science Citation Index Expanded, Search, Search Strategy, Sharps Injuries, Size, Stick Injuries, Systems, Time Series, Trend, United-States, Workers</w:t>
      </w:r>
    </w:p>
    <w:p w:rsidR="009C3B80" w:rsidRDefault="009C3B80" w:rsidP="009C3B80">
      <w:pPr>
        <w:pStyle w:val="a3"/>
        <w:rPr>
          <w:kern w:val="0"/>
        </w:rPr>
      </w:pPr>
      <w:r>
        <w:rPr>
          <w:kern w:val="0"/>
        </w:rPr>
        <w:t xml:space="preserve">? de Bastos, M., Stegeman, B.H., Rosendaal, F.R., Vlieg, A.V., Helmerhorst, F.M., Stijnen, T. and Dekkers, O.M. (2014), Combined oral contraceptives: Venous thrombosis. </w:t>
      </w:r>
      <w:r>
        <w:rPr>
          <w:i/>
          <w:iCs/>
          <w:kern w:val="0"/>
        </w:rPr>
        <w:t>Cochrane Database of Systematic Reviews</w:t>
      </w:r>
      <w:r>
        <w:rPr>
          <w:kern w:val="0"/>
        </w:rPr>
        <w:t xml:space="preserve">, </w:t>
      </w:r>
      <w:r>
        <w:rPr>
          <w:b/>
          <w:kern w:val="0"/>
        </w:rPr>
        <w:t>3</w:t>
      </w:r>
      <w:r>
        <w:rPr>
          <w:kern w:val="0"/>
        </w:rPr>
        <w:t xml:space="preserve">, </w:t>
      </w:r>
      <w:r w:rsidRPr="001F3C06">
        <w:rPr>
          <w:kern w:val="0"/>
        </w:rPr>
        <w:t>Article Number: CD010813</w:t>
      </w:r>
      <w:r>
        <w:rPr>
          <w:kern w:val="0"/>
        </w:rPr>
        <w:t>.</w:t>
      </w:r>
    </w:p>
    <w:p w:rsidR="009C3B80" w:rsidRDefault="009C3B80" w:rsidP="009C3B80">
      <w:pPr>
        <w:pStyle w:val="a3"/>
      </w:pPr>
      <w:r>
        <w:t xml:space="preserve">Full Text: </w:t>
      </w:r>
      <w:hyperlink r:id="rId821" w:history="1">
        <w:r w:rsidR="007835D2" w:rsidRPr="007835D2">
          <w:rPr>
            <w:rStyle w:val="a5"/>
          </w:rPr>
          <w:t>2014\Coc Dat Sys Rev2014, CD010813.pdf</w:t>
        </w:r>
      </w:hyperlink>
    </w:p>
    <w:p w:rsidR="009C3B80" w:rsidRDefault="009C3B80" w:rsidP="009C3B80">
      <w:pPr>
        <w:pStyle w:val="a3"/>
        <w:rPr>
          <w:kern w:val="0"/>
        </w:rPr>
      </w:pPr>
      <w:r>
        <w:rPr>
          <w:kern w:val="0"/>
        </w:rPr>
        <w:t>Abstract: Background Combined oral contraceptive (COC) use has been associated with venous thrombosis (VT) (i.e., deep venous thrombosis and pulmonary embolism)</w:t>
      </w:r>
      <w:r w:rsidR="00A37C1D">
        <w:rPr>
          <w:kern w:val="0"/>
        </w:rPr>
        <w:t>. The</w:t>
      </w:r>
      <w:r>
        <w:rPr>
          <w:kern w:val="0"/>
        </w:rPr>
        <w:t xml:space="preserve"> VT risk has been evaluated for many estrogen doses and progestagen types contained in COC but no comprehensive comparison involving commonly used COC is available. Objectives To provide a comprehensive overview of the risk of venous thrombosis in women using different combined oral contraceptives. Search methods Electronic databases (Pubmed, Embase, Web of Science, Cochrane, CINAHL, Academic Search Premier and ScienceDirect) were searched in 22 April 2013 for eligible studies, without language restrictions. Selection criteria We selected studies including healthy women taking COC with VT as outcome. Data collection and analysis The primary outcome of interest was a fatal or non-fatal first event of venous thrombosis with the main focus on deep venous thrombosis or pulmonary embolism. Publications with at least 10 events in total were eligible</w:t>
      </w:r>
      <w:r w:rsidR="00A37C1D">
        <w:rPr>
          <w:kern w:val="0"/>
        </w:rPr>
        <w:t>. The</w:t>
      </w:r>
      <w:r>
        <w:rPr>
          <w:kern w:val="0"/>
        </w:rPr>
        <w:t xml:space="preserve"> network meta-analysis was performed using an extension of frequentist random effects models for mixed multiple treatment comparisons. Unadjusted relative risks with 95% confidence intervals were reported. Two independent reviewers extracted data from selected studies. Main results 3110 publications were retrieved through a search strategy; 25 publications reporting on 26 studies were included. Incidence of venous thrombosis in non-users from two included cohorts was 0.19 and 0.37 per 1 000 person years, in line with previously reported incidences of 0,16 per 1 000 person years. Use of combined oral contraceptives increased the risk of venous thrombosis compared with non-use (relative risk 3.5, 95% confidence interval 2.9 to 4.3)</w:t>
      </w:r>
      <w:r w:rsidR="00A37C1D">
        <w:rPr>
          <w:kern w:val="0"/>
        </w:rPr>
        <w:t>. The</w:t>
      </w:r>
      <w:r>
        <w:rPr>
          <w:kern w:val="0"/>
        </w:rPr>
        <w:t xml:space="preserve"> relative risk of venous thrombosis for combined oral contraceptives with 30-35 mu g ethinylestradiol and gestodene, desogestrel, cyproterone acetate, or drospirenone were similar and about 50-80% higher than for combined oral contraceptives with levonorgestrel. A dose related effect of ethinylestradiol was observed for gestodene, desogestrel, and levonorgestrel, with higher doses being associated with higher thrombosis risk. Authors</w:t>
      </w:r>
      <w:r w:rsidR="0071223E">
        <w:rPr>
          <w:kern w:val="0"/>
        </w:rPr>
        <w:t>’</w:t>
      </w:r>
      <w:r>
        <w:rPr>
          <w:kern w:val="0"/>
        </w:rPr>
        <w:t xml:space="preserve"> conclusions All combined oral contraceptives investigated in this analysis were associated with an increased risk of venous thrombosis</w:t>
      </w:r>
      <w:r w:rsidR="00A37C1D">
        <w:rPr>
          <w:kern w:val="0"/>
        </w:rPr>
        <w:t>. The</w:t>
      </w:r>
      <w:r>
        <w:rPr>
          <w:kern w:val="0"/>
        </w:rPr>
        <w:t xml:space="preserve"> effect size depended both on the progestogen used and the dose of ethinylestradiol. Risk of venous thrombosis for combined oral contraceptives with 30-35 mu g ethinylestradiol and gestodene, desogestrel, cyproterone acetate and drospirenone </w:t>
      </w:r>
      <w:r>
        <w:rPr>
          <w:kern w:val="0"/>
        </w:rPr>
        <w:lastRenderedPageBreak/>
        <w:t>were similar, and about 50-80% higher than with levonorgestrel</w:t>
      </w:r>
      <w:r w:rsidR="00A37C1D">
        <w:rPr>
          <w:kern w:val="0"/>
        </w:rPr>
        <w:t>. The</w:t>
      </w:r>
      <w:r>
        <w:rPr>
          <w:kern w:val="0"/>
        </w:rPr>
        <w:t xml:space="preserve"> combined oral contraceptive with the lowest possible dose of ethinylestradiol and good compliance should be prescribed-that is, 30 mu g ethinylestradiol with levonorgestrel.</w:t>
      </w:r>
    </w:p>
    <w:p w:rsidR="009C3B80" w:rsidRDefault="009C3B80" w:rsidP="009C3B80">
      <w:pPr>
        <w:pStyle w:val="a3"/>
        <w:rPr>
          <w:kern w:val="0"/>
        </w:rPr>
      </w:pPr>
      <w:r>
        <w:rPr>
          <w:kern w:val="0"/>
        </w:rPr>
        <w:t>Keywords: Academic, Acetate, Analysis, Collection, Comparison, Compliance, Confidence, Confidence Intervals, Contraceptives, Criteria, Data, Data Collection, Databases, Deep Venous Thrombosis, Deep-Vein Thrombosis, Drospirenone, Effect Size, Effects, Embolism, Estrogen, Ethinylestradiol, Events, First, Hormonal Contraceptives, Incidence, Interval, Intervals, Language, Levonorgestrel, Meta Analysis, Meta-Analysis, Metaanalysis, Methods, Models, Network, Nonfatal Vascular-Disease, Observational Research, Oral, Oral Contraceptive, Outcome, Overview, Person, Practice Research Database, Primary, Progestogen, Publications, Pulmonary Embolism, Pulmonary-Embolism, Relative Risk, Reporting, Restrictions, Risk, Risk-Factors, Risks, Science, Search, Search Strategy, Size, Strategy, Thromboembolic Disease, Thrombosis, Treatment, V-Leiden Mutation, Venous Thrombosis, Web Of Science, Women, Young-Women</w:t>
      </w:r>
    </w:p>
    <w:p w:rsidR="001D3A71" w:rsidRDefault="001D3A71" w:rsidP="001D3A71">
      <w:pPr>
        <w:pStyle w:val="a3"/>
        <w:rPr>
          <w:kern w:val="0"/>
        </w:rPr>
      </w:pPr>
      <w:r>
        <w:rPr>
          <w:kern w:val="0"/>
        </w:rPr>
        <w:t xml:space="preserve">? Fortanier, A.C., Venekamp, R.P., Boonacker, C.W.B., Hak, E., Schilder, A.G.M., Sanders, E.A.M. and Damoiseaux, R.A.M.J. (2014), Pneumococcal conjugate vaccines for preventing otitis media. </w:t>
      </w:r>
      <w:r>
        <w:rPr>
          <w:i/>
          <w:iCs/>
          <w:kern w:val="0"/>
        </w:rPr>
        <w:t>Cochrane Database of Systematic Reviews</w:t>
      </w:r>
      <w:r>
        <w:rPr>
          <w:kern w:val="0"/>
        </w:rPr>
        <w:t xml:space="preserve">, </w:t>
      </w:r>
      <w:r>
        <w:rPr>
          <w:b/>
          <w:kern w:val="0"/>
        </w:rPr>
        <w:t>4</w:t>
      </w:r>
      <w:r>
        <w:rPr>
          <w:kern w:val="0"/>
        </w:rPr>
        <w:t xml:space="preserve">, </w:t>
      </w:r>
      <w:r w:rsidRPr="001F3C06">
        <w:rPr>
          <w:kern w:val="0"/>
        </w:rPr>
        <w:t xml:space="preserve">Article Number: </w:t>
      </w:r>
      <w:r w:rsidRPr="004626B9">
        <w:rPr>
          <w:kern w:val="0"/>
        </w:rPr>
        <w:t>CD001480</w:t>
      </w:r>
      <w:r>
        <w:rPr>
          <w:kern w:val="0"/>
        </w:rPr>
        <w:t>.</w:t>
      </w:r>
    </w:p>
    <w:p w:rsidR="001D3A71" w:rsidRDefault="001D3A71" w:rsidP="001D3A71">
      <w:pPr>
        <w:pStyle w:val="a3"/>
      </w:pPr>
      <w:r>
        <w:t xml:space="preserve">Full Text: </w:t>
      </w:r>
      <w:hyperlink r:id="rId822" w:history="1">
        <w:r w:rsidR="000A05E1" w:rsidRPr="000A05E1">
          <w:rPr>
            <w:rStyle w:val="a5"/>
          </w:rPr>
          <w:t>2014\Coc Dat Sys Rev2014, CD001480.pdf</w:t>
        </w:r>
      </w:hyperlink>
    </w:p>
    <w:p w:rsidR="001D3A71" w:rsidRDefault="001D3A71" w:rsidP="001D3A71">
      <w:pPr>
        <w:pStyle w:val="a3"/>
        <w:rPr>
          <w:kern w:val="0"/>
        </w:rPr>
      </w:pPr>
      <w:r>
        <w:rPr>
          <w:kern w:val="0"/>
        </w:rPr>
        <w:t>Abstract: Background Acute otitis media (AOM) is a very common respiratory infection in early infancy and childhood</w:t>
      </w:r>
      <w:r w:rsidR="00A37C1D">
        <w:rPr>
          <w:kern w:val="0"/>
        </w:rPr>
        <w:t>. The</w:t>
      </w:r>
      <w:r>
        <w:rPr>
          <w:kern w:val="0"/>
        </w:rPr>
        <w:t xml:space="preserve"> marginal benefits of antibiotics for AOM in low-risk populations in general, the increasing problem of bacterial resistance to antibiotics and the huge estimated direct and indirect annual costs associated with otitis media (OM) have prompted a search for effective vaccines to prevent AOM. Objectives To assess the effect of pneumococcal conjugate vaccines (PCVs) in preventing AOM in children up to 12 years of age. Search methods We searched CENTRAL (2013, Issue 11), MEDLINE (1995 to November week 3, 2013), EMBASE (1995 to December 2013), CINAHL (2007 to December 2013), LILACS (2007 to December 2013) and Web of Science (2007 to December 2013). Selection criteria Randomised controlled trials (RCTs) of PCVs to prevent AOM in children aged 12 years or younger, with a follow-up of at least six months after vaccination. Data collection and analysis Two review authors independently assessed trial quality and extracted data. Main results We included 11 publications of nine RCTs (n = 48,426 children, range 74 to 37,868 per study) of 7-to 11-valent PCV (with different carrier proteins). Five trials (n = 47,108) included infants, while four trials (n = 1318) included children aged one to seven years that were either healthy (one study, n = 264) or had a previous history of upper respiratory tract infection (URTI), including AOM. We judged the methodological quality of the included studies to be moderate </w:t>
      </w:r>
      <w:r>
        <w:rPr>
          <w:kern w:val="0"/>
        </w:rPr>
        <w:lastRenderedPageBreak/>
        <w:t>to high</w:t>
      </w:r>
      <w:r w:rsidR="00A37C1D">
        <w:rPr>
          <w:kern w:val="0"/>
        </w:rPr>
        <w:t>. The</w:t>
      </w:r>
      <w:r>
        <w:rPr>
          <w:kern w:val="0"/>
        </w:rPr>
        <w:t>re was considerable clinical diversity between studies in terms of study population, type of conjugate vaccine and outcome measures. We therefore refrained from pooling the results. In three studies, the 7-valent PCV with CRM197 as carrier protein (CRM197-PCV7) administered during early infancy was associated with a relative risk reduction (RRR) of all-cause AOM ranging from -5% in high-risk children (95% confidence interval (CI) -25% to 12%) to 7% in low-risk children (95% CI 4% to 9%). Another 7-valent PCV with the outer membrane protein complex of Neisseria meningitidis (N. meningitidis) serogroup B as carrier protein, administered in infancy, did not reduce overall AOM episodes, while a precursor 11-valent PCV with Haemophilus influenzae (H. influenzae) protein D as carrier protein was associated with a RRR of all-cause AOM episodes of 34% (95% CI 21% to 44%). A 9-valent PCV (with CRM197 carrier protein) administered in healthy toddlers was associated with a RRR of (parent-reported) OM episodes of 17%(95% CI-2% to 33%). CRM197-PCV7 followed by 23-valent pneumococcal polysaccharide vaccination administered after infancy in older children with a history of AOM showed no beneficial effect on first occurrence and later AOM episodes. In a study in older children with a previously diagnosed respiratory tract infection, performed during the influenza season, a trivalent influenza vaccine combined with placebo (TIV/placebo) led to fewer all-cause AOM episodes than vaccination with TIV and PCV7 (TIV/PCV7) when compared to hepatitis B vaccination and placebo (HBV/placebo) (RRR 71%, 95% CI 30% to 88% versus RRR 57%, 95% CI 6% to 80%, respectively) indicating that CRM197-PCV7 after infancy may even have negative effects on AOM. Authors</w:t>
      </w:r>
      <w:r w:rsidR="0071223E">
        <w:rPr>
          <w:kern w:val="0"/>
        </w:rPr>
        <w:t>’</w:t>
      </w:r>
      <w:r>
        <w:rPr>
          <w:kern w:val="0"/>
        </w:rPr>
        <w:t xml:space="preserve"> conclusions Based on current evidence of the effects of PCVs for preventing AOM, the licensed 7-valent CRM197-PCV7 has modest beneficial effects in healthy infants with a low baseline risk of AOM. Administering PCV7 in high-risk infants, after early infancy and in older children with a history of AOM, appears to have no benefit in preventing further episodes. Currently, several RCTs with different (newly licensed, multivalent) PCVs administered during early infancy are ongoing to establish their effects on AOM. Results of these studies may provide a better understanding of the role of the newly licensed, multivalent PCVs in preventing AOM. Also the impact on AOM of the carrier protein D, as used in certain pneumococcal vaccines, needs to be further established.</w:t>
      </w:r>
    </w:p>
    <w:p w:rsidR="001D3A71" w:rsidRDefault="001D3A71" w:rsidP="001D3A71">
      <w:pPr>
        <w:pStyle w:val="a3"/>
        <w:rPr>
          <w:kern w:val="0"/>
        </w:rPr>
      </w:pPr>
      <w:r>
        <w:rPr>
          <w:kern w:val="0"/>
        </w:rPr>
        <w:t xml:space="preserve">Keywords: Acute Disease, Age, Aged, Analysis, Antibiotics, Authors, Benefits, Childhood, Children, Clinical, Collection, Confidence, Controlled-Trial, Costs, Criteria, Data, Data Collection, Diversity, Double-Blind, Effects, Embase, Evidence, First, Follow-Up, General, Hepatitis, Hepatitis B, History, Humans, Impact, Infancy, Infant, Infants, Infection, Influenza, Interval, Low Risk, Measures, Media, Medline, Membrane, Membrane Protein, Methods, Middle-Ear, N, Needs, Nontypable </w:t>
      </w:r>
      <w:r>
        <w:rPr>
          <w:kern w:val="0"/>
        </w:rPr>
        <w:lastRenderedPageBreak/>
        <w:t>Haemophilus-Influenzae, Otitis Media [Prevention &amp; Control], Outcome, Outcome Measures, Outer Membrane Protein, Placebo, Pneumococcal Vaccines [Therapeutic Use], Polysaccharide, Population, Populations, Prevent, Protein, Protein-D, Proteins, Publications, Quality, Quality Of, Randomised Controlled Trials, Randomized Controlled Trials As Topic, Reduction, Relative Risk, Resistance, Respiratory-Tract Infections, Results, Review, Risk, Role, Science, Search, Season, Streptococcus-Pneumoniae, Trial, Understanding, United-States, Vaccination, Vaccine, Vaccines, Vaccines,Conjugate [Therapeutic Use], Web of Science, Young-Children</w:t>
      </w:r>
    </w:p>
    <w:p w:rsidR="001D3A71" w:rsidRDefault="001D3A71" w:rsidP="001D3A71">
      <w:pPr>
        <w:pStyle w:val="a3"/>
        <w:rPr>
          <w:kern w:val="0"/>
        </w:rPr>
      </w:pPr>
      <w:r>
        <w:rPr>
          <w:kern w:val="0"/>
        </w:rPr>
        <w:t xml:space="preserve">? Taylor, R.S., Sagar, V.A., Davies, E.J., Briscoe, S., Coats, A.J.S., Dalal, H., Lough, F., Rees, K. and Singh, S. (2014), Exercise-based rehabilitation for heart failure. </w:t>
      </w:r>
      <w:r>
        <w:rPr>
          <w:i/>
          <w:iCs/>
          <w:kern w:val="0"/>
        </w:rPr>
        <w:t>Cochrane Database of Systematic Reviews</w:t>
      </w:r>
      <w:r>
        <w:rPr>
          <w:kern w:val="0"/>
        </w:rPr>
        <w:t xml:space="preserve">, </w:t>
      </w:r>
      <w:r>
        <w:rPr>
          <w:b/>
          <w:kern w:val="0"/>
        </w:rPr>
        <w:t>4</w:t>
      </w:r>
      <w:r>
        <w:rPr>
          <w:kern w:val="0"/>
        </w:rPr>
        <w:t xml:space="preserve">, </w:t>
      </w:r>
      <w:r w:rsidRPr="001F3C06">
        <w:rPr>
          <w:kern w:val="0"/>
        </w:rPr>
        <w:t xml:space="preserve">Article Number: </w:t>
      </w:r>
      <w:r w:rsidRPr="004626B9">
        <w:rPr>
          <w:kern w:val="0"/>
        </w:rPr>
        <w:t>CD003331</w:t>
      </w:r>
      <w:r>
        <w:rPr>
          <w:kern w:val="0"/>
        </w:rPr>
        <w:t>.</w:t>
      </w:r>
    </w:p>
    <w:p w:rsidR="001D3A71" w:rsidRDefault="001D3A71" w:rsidP="001D3A71">
      <w:pPr>
        <w:pStyle w:val="a3"/>
      </w:pPr>
      <w:r>
        <w:t xml:space="preserve">Full Text: </w:t>
      </w:r>
      <w:hyperlink r:id="rId823" w:history="1">
        <w:r w:rsidR="000A05E1" w:rsidRPr="000A05E1">
          <w:rPr>
            <w:rStyle w:val="a5"/>
          </w:rPr>
          <w:t>2014\Coc Dat Sys Rev2014, CD003331.pdf</w:t>
        </w:r>
      </w:hyperlink>
    </w:p>
    <w:p w:rsidR="001D3A71" w:rsidRDefault="001D3A71" w:rsidP="001D3A71">
      <w:pPr>
        <w:pStyle w:val="a3"/>
        <w:rPr>
          <w:kern w:val="0"/>
        </w:rPr>
      </w:pPr>
      <w:r>
        <w:rPr>
          <w:kern w:val="0"/>
        </w:rPr>
        <w:t xml:space="preserve">Abstract: Background Previous systematic reviews and meta-analyses consistently show the positive effect of exercise-based rehabilitation for heart failure (HF) on exercise capacity; however, the direction and magnitude of effects on health-related quality of life, mortality and hospital admissions in HF remain less certain. This is an update of a Cochrane systematic review previously published in 2010. Objectives To determine the effectiveness of exercise-based rehabilitation on the mortality, hospitalisation admissions, morbidity and health-related quality of life for people with HF. Review inclusion criteria were extended to consider not only HF due to reduced ejection fraction (HFREF or </w:t>
      </w:r>
      <w:r w:rsidR="0071223E">
        <w:rPr>
          <w:kern w:val="0"/>
        </w:rPr>
        <w:t>‘</w:t>
      </w:r>
      <w:r>
        <w:rPr>
          <w:kern w:val="0"/>
        </w:rPr>
        <w:t>systolic HF</w:t>
      </w:r>
      <w:r w:rsidR="0071223E">
        <w:rPr>
          <w:kern w:val="0"/>
        </w:rPr>
        <w:t>’</w:t>
      </w:r>
      <w:r>
        <w:rPr>
          <w:kern w:val="0"/>
        </w:rPr>
        <w:t xml:space="preserve">) but also HF due to preserved ejection fraction (HFPEF or </w:t>
      </w:r>
      <w:r w:rsidR="0071223E">
        <w:rPr>
          <w:kern w:val="0"/>
        </w:rPr>
        <w:t>‘</w:t>
      </w:r>
      <w:r>
        <w:rPr>
          <w:kern w:val="0"/>
        </w:rPr>
        <w:t>diastolic HF</w:t>
      </w:r>
      <w:r w:rsidR="0071223E">
        <w:rPr>
          <w:kern w:val="0"/>
        </w:rPr>
        <w:t>’</w:t>
      </w:r>
      <w:r>
        <w:rPr>
          <w:kern w:val="0"/>
        </w:rPr>
        <w:t>). Search methods We updated searches from the previous Cochrane review. We searched the Cochrane Central Register of Controlled Trials (CENTRAL) (Issue1, 2013) from January 2008 to January 2013. We also searched MEDLINE (Ovid), EMBASE (Ovid), CINAHL (EBSCO) and PsycINFO (Ovid) (January 2008 to January 2013). We handsearched Web of Science, bibliographies of systematic reviews and trial registers (Controlled-trials.com and Clinicaltrials.gov). Selection criteria Randomised controlled trials of exercise-based interventions with six months</w:t>
      </w:r>
      <w:r w:rsidR="0071223E">
        <w:rPr>
          <w:kern w:val="0"/>
        </w:rPr>
        <w:t>’</w:t>
      </w:r>
      <w:r>
        <w:rPr>
          <w:kern w:val="0"/>
        </w:rPr>
        <w:t xml:space="preserve"> follow-up or longer compared with a no exercise control that could include usual medical care</w:t>
      </w:r>
      <w:r w:rsidR="00A37C1D">
        <w:rPr>
          <w:kern w:val="0"/>
        </w:rPr>
        <w:t>. The</w:t>
      </w:r>
      <w:r>
        <w:rPr>
          <w:kern w:val="0"/>
        </w:rPr>
        <w:t xml:space="preserve"> study population comprised adults over 18 years and were broadened to include individuals with HFPEF in addition to HFREF. Data collection and analysis Two review authors independently screened all identified references and rejected those that were clearly ineligible. We obtained full-text papers of potentially relevant trials. One review author independently extracted data from the included trials and assessed their risk of bias; a second review author checked data. Main results We included 33 trials with 4740 people with HF predominantly with HFREF and New York Heart Association classes II and III. This latest update identified a further 14 trials</w:t>
      </w:r>
      <w:r w:rsidR="00A37C1D">
        <w:rPr>
          <w:kern w:val="0"/>
        </w:rPr>
        <w:t>. The</w:t>
      </w:r>
      <w:r>
        <w:rPr>
          <w:kern w:val="0"/>
        </w:rPr>
        <w:t xml:space="preserve"> overall risk of bias of included trials </w:t>
      </w:r>
      <w:r>
        <w:rPr>
          <w:kern w:val="0"/>
        </w:rPr>
        <w:lastRenderedPageBreak/>
        <w:t>was moderate</w:t>
      </w:r>
      <w:r w:rsidR="00A37C1D">
        <w:rPr>
          <w:kern w:val="0"/>
        </w:rPr>
        <w:t>. The</w:t>
      </w:r>
      <w:r>
        <w:rPr>
          <w:kern w:val="0"/>
        </w:rPr>
        <w:t>re was no difference in pooled mortality between exercise-based rehabilitation versus no exercise control in trials with up to one-year follow-up (25 trials, 1871 participants: risk ratio (RR) 0.93; 95% confidence interval (CI) 0.69 to 1.27, fixed-effect analysis). However, there was trend towards a reduction in mortality with exercise in trials with more than one year of follow-up (6 trials, 2845 participants: RR 0.88; 95% CI 0.75 to 1.02, fixed-effect analysis). Compared with control, exercise training reduced the rate of overall (15 trials, 1328 participants: RR 0.75; 95% CI 0.62 to 0.92, fixed-effect analysis) and HF specific hospitalisation (12 trials, 1036 participants: RR 0.61; 95% CI 0.46 to 0.80, fixed-effect analysis). Exercise also resulted in a clinically important improvement superior in the Minnesota Living with Heart Failure questionnaire (13 trials, 1270 participants: mean difference: -5.8 points; 95% CI -9.2 to -2.4, random-effects analysis) a disease specific health-related quality of life measure. However, levels of statistical heterogeneity across studies in this outcome were substantial. Univariate meta-regression analysis showed that these benefits were independent of the participant</w:t>
      </w:r>
      <w:r w:rsidR="0071223E">
        <w:rPr>
          <w:kern w:val="0"/>
        </w:rPr>
        <w:t>’</w:t>
      </w:r>
      <w:r>
        <w:rPr>
          <w:kern w:val="0"/>
        </w:rPr>
        <w:t>s age, gender, degree of left ventricular dysfunction, type of cardiac rehabilitation (exercise only vs. comprehensive rehabilitation), mean dose of exercise intervention, length of follow-up, overall risk of bias and trial publication date. Within these included studies, a small body of evidence supported exercise-based rehabilitation for HFPEF (three trials, undefined participant number) and when exclusively delivered in a home-based setting (5 trials, 521 participants). One study reported an additional mean healthcare cost in the training group compared with control of USD3227/person. Two studies indicated exercise-based rehabilitation to be a potentially cost-effective use of resources in terms of gain in quality-adjusted life years (QALYs) and life-years saved. Authors</w:t>
      </w:r>
      <w:r w:rsidR="0071223E">
        <w:rPr>
          <w:kern w:val="0"/>
        </w:rPr>
        <w:t>’</w:t>
      </w:r>
      <w:r>
        <w:rPr>
          <w:kern w:val="0"/>
        </w:rPr>
        <w:t xml:space="preserve"> conclusions This updated Cochrane review supports the conclusions of the previous version of this review that, compared with no exercise control, exercise-based rehabilitation does not increase or decrease the risk of all-cause mortality in the short term (up to 12-months</w:t>
      </w:r>
      <w:r w:rsidR="0071223E">
        <w:rPr>
          <w:kern w:val="0"/>
        </w:rPr>
        <w:t>’</w:t>
      </w:r>
      <w:r>
        <w:rPr>
          <w:kern w:val="0"/>
        </w:rPr>
        <w:t xml:space="preserve"> follow-up) but reduces the risk of hospital admissions and confers important improvements in health-related quality of life. This update provides further evidence that exercise training may reduce mortality in the longer term and that the benefits of exercise training on appear to be consistent across participant characteristics including age, gender and HF severity. Further randomised controlled trials are needed to confirm the small body of evidence seen in this review for the benefit of exercise in HFPEF and when exercise rehabilitation is exclusively delivered in a home-based setting.</w:t>
      </w:r>
    </w:p>
    <w:p w:rsidR="001D3A71" w:rsidRDefault="001D3A71" w:rsidP="001D3A71">
      <w:pPr>
        <w:pStyle w:val="a3"/>
        <w:rPr>
          <w:kern w:val="0"/>
        </w:rPr>
      </w:pPr>
      <w:r>
        <w:rPr>
          <w:kern w:val="0"/>
        </w:rPr>
        <w:t xml:space="preserve">Keywords: Adult, Age, Aged, Analysis, Association, Authors, Benefits, Bias, Bibliographies, Capacity, Cardiac Rehabilitation, Care, Characteristics, Chronic Disease, Clinical-Outcomes, Collection, Confidence, Control, Cost, Cost-Effective, Criteria, Data, Data Collection, Disease, Effectiveness, Effects, Embase, Evidence, </w:t>
      </w:r>
      <w:r>
        <w:rPr>
          <w:kern w:val="0"/>
        </w:rPr>
        <w:lastRenderedPageBreak/>
        <w:t>Exercise, Exercise Therapy, Exercise Tolerance, Exercise Training, Failure, Follow-Up, Gender, Health Status, Health-Related Quality of Life, Heart, Heart Failure, Heart Failure [Mortality, Heterogeneity, Hf-Action, Home-Based Exercise, Hospital, Humans, Improvement, Interval, Intervention, Interventions, Length, Life, Living, Magnitude, Measure, Medical, Medical Care, Medline, Meta-Regression, Methods, Middle Aged, Morbidity, Mortality, Natriuretic Peptide Expression, New York, Outcome, Papers, Population, Preserved Ejection Fraction, Psycinfo, Publication, Quality, Quality Of, Quality of Life, Quality-Adjusted Life Years, Quality-Of-Life, Questionnaire, Randomised, Randomised Controlled Trials, Randomized Controlled Trials As Topic, Randomized Controlled-Trial, Reduced Ventricular-Function, Reduction, References, Rehabilitation, Rehabilitation], Resources, Review, Reviews, Risk, Science, Search, Small, Systematic, Systematic Review, Systematic Reviews, Term, Training, Training-Program, Trend, Trial, Version, Web of Science, Young Adult</w:t>
      </w:r>
    </w:p>
    <w:p w:rsidR="001D3A71" w:rsidRDefault="001D3A71" w:rsidP="001D3A71">
      <w:pPr>
        <w:pStyle w:val="a3"/>
        <w:rPr>
          <w:kern w:val="0"/>
        </w:rPr>
      </w:pPr>
      <w:r>
        <w:rPr>
          <w:kern w:val="0"/>
        </w:rPr>
        <w:t xml:space="preserve">? Good, P., Richard, R., Syrmis, W., Jenkins-Marsh, S. and Stephens, J. (2014), Medically assisted hydration for adult palliative care patients. </w:t>
      </w:r>
      <w:r>
        <w:rPr>
          <w:i/>
          <w:iCs/>
          <w:kern w:val="0"/>
        </w:rPr>
        <w:t>Cochrane Database of Systematic Reviews</w:t>
      </w:r>
      <w:r>
        <w:rPr>
          <w:kern w:val="0"/>
        </w:rPr>
        <w:t xml:space="preserve">, </w:t>
      </w:r>
      <w:r>
        <w:rPr>
          <w:b/>
          <w:kern w:val="0"/>
        </w:rPr>
        <w:t>4</w:t>
      </w:r>
      <w:r>
        <w:rPr>
          <w:kern w:val="0"/>
        </w:rPr>
        <w:t xml:space="preserve">, </w:t>
      </w:r>
      <w:r w:rsidRPr="001F3C06">
        <w:rPr>
          <w:kern w:val="0"/>
        </w:rPr>
        <w:t xml:space="preserve">Article Number: </w:t>
      </w:r>
      <w:r w:rsidRPr="004626B9">
        <w:rPr>
          <w:kern w:val="0"/>
        </w:rPr>
        <w:t>CD006273</w:t>
      </w:r>
      <w:r>
        <w:rPr>
          <w:kern w:val="0"/>
        </w:rPr>
        <w:t>.</w:t>
      </w:r>
    </w:p>
    <w:p w:rsidR="001D3A71" w:rsidRDefault="001D3A71" w:rsidP="001D3A71">
      <w:pPr>
        <w:pStyle w:val="a3"/>
      </w:pPr>
      <w:r>
        <w:t xml:space="preserve">Full Text: </w:t>
      </w:r>
      <w:hyperlink r:id="rId824" w:history="1">
        <w:r w:rsidR="000A05E1" w:rsidRPr="000A05E1">
          <w:rPr>
            <w:rStyle w:val="a5"/>
          </w:rPr>
          <w:t>2014\Coc Dat Sys Rev2014, CD006273.pdf</w:t>
        </w:r>
      </w:hyperlink>
    </w:p>
    <w:p w:rsidR="001D3A71" w:rsidRDefault="001D3A71" w:rsidP="001D3A71">
      <w:pPr>
        <w:pStyle w:val="a3"/>
        <w:rPr>
          <w:kern w:val="0"/>
        </w:rPr>
      </w:pPr>
      <w:r>
        <w:rPr>
          <w:kern w:val="0"/>
        </w:rPr>
        <w:t>Abstract: Background Many palliative care patients have reduced oral intake during their illness</w:t>
      </w:r>
      <w:r w:rsidR="00A37C1D">
        <w:rPr>
          <w:kern w:val="0"/>
        </w:rPr>
        <w:t>. The</w:t>
      </w:r>
      <w:r>
        <w:rPr>
          <w:kern w:val="0"/>
        </w:rPr>
        <w:t xml:space="preserve"> management of this can include the provision of medically assisted hydration with the aim of prolonging the life of a patient, improving their quality of life, or both. This is an updated version of the original Cochrane review published in Issue 2, 2008, and updated in February 2011. Objectives To determine the effect of medically assisted hydration in palliative care patients on their quality and length of life. Search methods We identified studies by searching the Cochrane Central Register of Controlled Trials (CENTRAL), MEDLINE, EMBASE, CINAHL, CANCERLIT, Caresearch, Dissertation abstracts, SCIENCE CITATION INDEX and the reference lists of all eligible studies, key textbooks and previous systematic reviews</w:t>
      </w:r>
      <w:r w:rsidR="00A37C1D">
        <w:rPr>
          <w:kern w:val="0"/>
        </w:rPr>
        <w:t>. The</w:t>
      </w:r>
      <w:r>
        <w:rPr>
          <w:kern w:val="0"/>
        </w:rPr>
        <w:t xml:space="preserve"> date of the latest search conducted on CENTRAL, MEDLINE and EMBASE was March 2014. Selection criteria All relevant randomised controlled trials (RCTs) or prospective controlled studies of medically assisted hydration in palliative care patients. Data collection and analysis We identified six relevant studies for this update</w:t>
      </w:r>
      <w:r w:rsidR="00A37C1D">
        <w:rPr>
          <w:kern w:val="0"/>
        </w:rPr>
        <w:t>. The</w:t>
      </w:r>
      <w:r>
        <w:rPr>
          <w:kern w:val="0"/>
        </w:rPr>
        <w:t>se included three RCTs (222 participants), and three prospective controlled trials (360 participants). Two review authors independently assessed the studies for quality and validity</w:t>
      </w:r>
      <w:r w:rsidR="00A37C1D">
        <w:rPr>
          <w:kern w:val="0"/>
        </w:rPr>
        <w:t>. The</w:t>
      </w:r>
      <w:r>
        <w:rPr>
          <w:kern w:val="0"/>
        </w:rPr>
        <w:t xml:space="preserve"> small number of studies and the heterogeneity of the data meant that a quantitative analysis was not possible, so we included a description of the main findings. Main results One study found that sedation and myoclonus (involuntary contractions of muscles) scores were improved more in the intervention group. Another study found that dehydration was </w:t>
      </w:r>
      <w:r>
        <w:rPr>
          <w:kern w:val="0"/>
        </w:rPr>
        <w:lastRenderedPageBreak/>
        <w:t>significantly higher in the non-hydration group, but that some fluid retention symptoms (pleural effusion, peripheral oedema and ascites) were significantly higher in the hydration group</w:t>
      </w:r>
      <w:r w:rsidR="00A37C1D">
        <w:rPr>
          <w:kern w:val="0"/>
        </w:rPr>
        <w:t>. The</w:t>
      </w:r>
      <w:r>
        <w:rPr>
          <w:kern w:val="0"/>
        </w:rPr>
        <w:t xml:space="preserve"> other four studies (including the three RCTs) did not show significant differences in outcomes between the two groups</w:t>
      </w:r>
      <w:r w:rsidR="00A37C1D">
        <w:rPr>
          <w:kern w:val="0"/>
        </w:rPr>
        <w:t>. The</w:t>
      </w:r>
      <w:r>
        <w:rPr>
          <w:kern w:val="0"/>
        </w:rPr>
        <w:t xml:space="preserve"> only study that had survival as an outcome found no difference in survival between the hydration and control arms. Authors</w:t>
      </w:r>
      <w:r w:rsidR="0071223E">
        <w:rPr>
          <w:kern w:val="0"/>
        </w:rPr>
        <w:t>’</w:t>
      </w:r>
      <w:r>
        <w:rPr>
          <w:kern w:val="0"/>
        </w:rPr>
        <w:t xml:space="preserve"> conclusions Since the last version of this review, we found one new study</w:t>
      </w:r>
      <w:r w:rsidR="00A37C1D">
        <w:rPr>
          <w:kern w:val="0"/>
        </w:rPr>
        <w:t>. The</w:t>
      </w:r>
      <w:r>
        <w:rPr>
          <w:kern w:val="0"/>
        </w:rPr>
        <w:t xml:space="preserve"> studies published do not show a significant benefit in the use of medically assisted hydration in palliative care patients; however, there are insufficient good-quality studies to inform definitive recommendations for practice with regard to the use of medically assisted hydration in palliative care patients.</w:t>
      </w:r>
    </w:p>
    <w:p w:rsidR="001D3A71" w:rsidRDefault="001D3A71" w:rsidP="001D3A71">
      <w:pPr>
        <w:pStyle w:val="a3"/>
        <w:rPr>
          <w:kern w:val="0"/>
        </w:rPr>
      </w:pPr>
      <w:r>
        <w:rPr>
          <w:kern w:val="0"/>
        </w:rPr>
        <w:t>Keywords: Abdominal-Malignancies, Adult, Analysis, Artificial Nutrition, Authors, Care, Citation, Citation Indexes, Citation-Index, Clinical Trials As Topic, Collection, Contractions, Control, Criteria, Data, Data Collection, Dehydration, Dehydration [Therapy], Dissertation, Double-Blind, Embase, Fluid Therapy [Adverse Effects, Groups, Heterogeneity, Humans, Hydration, Ill Cancer-Patients, Index, Indexes, Intervention, Length, Life, Longevity, Management, Medline, Methods, Methods], Muscles, Oral, Outcome, Outcomes, Palliative Care, Palliative Care [Methods], Parenteral Hydration, Patients, Pleural Effusion, Practice, Prospective, Quality, Quality Of, Quality of Life, Quantitative Analysis, Randomised, Randomised Controlled Trials, Recommendations, Reference, Reference Lists, Retention, Review, Reviews, Science, Science Citation Index, Science-Citation, Science-Citation-Index, Search, Sedation, Small, Survival, Symptoms, Systematic, Systematic Reviews, Terminally Ill, Terminally-Ill, Textbooks, Trial, Validity, Version</w:t>
      </w:r>
    </w:p>
    <w:p w:rsidR="001D3A71" w:rsidRDefault="001D3A71" w:rsidP="001D3A71">
      <w:pPr>
        <w:pStyle w:val="a3"/>
        <w:rPr>
          <w:kern w:val="0"/>
        </w:rPr>
      </w:pPr>
      <w:r>
        <w:rPr>
          <w:kern w:val="0"/>
        </w:rPr>
        <w:t xml:space="preserve">? Good, P., Richard, R., Syrmis, W., Jenkins-Marsh, S. and Stephens, J. (2014), Medically assisted nutrition for adult palliative care patients. </w:t>
      </w:r>
      <w:r>
        <w:rPr>
          <w:i/>
          <w:iCs/>
          <w:kern w:val="0"/>
        </w:rPr>
        <w:t>Cochrane Database of Systematic Reviews</w:t>
      </w:r>
      <w:r>
        <w:rPr>
          <w:kern w:val="0"/>
        </w:rPr>
        <w:t xml:space="preserve">, </w:t>
      </w:r>
      <w:r>
        <w:rPr>
          <w:b/>
          <w:kern w:val="0"/>
        </w:rPr>
        <w:t>4</w:t>
      </w:r>
      <w:r>
        <w:rPr>
          <w:kern w:val="0"/>
        </w:rPr>
        <w:t xml:space="preserve">, </w:t>
      </w:r>
      <w:r w:rsidRPr="001F3C06">
        <w:rPr>
          <w:kern w:val="0"/>
        </w:rPr>
        <w:t xml:space="preserve">Article Number: </w:t>
      </w:r>
      <w:r w:rsidRPr="004626B9">
        <w:rPr>
          <w:kern w:val="0"/>
        </w:rPr>
        <w:t>CD006274</w:t>
      </w:r>
      <w:r>
        <w:rPr>
          <w:kern w:val="0"/>
        </w:rPr>
        <w:t>.</w:t>
      </w:r>
    </w:p>
    <w:p w:rsidR="001D3A71" w:rsidRDefault="001D3A71" w:rsidP="001D3A71">
      <w:pPr>
        <w:pStyle w:val="a3"/>
      </w:pPr>
      <w:r>
        <w:t xml:space="preserve">Full Text: </w:t>
      </w:r>
      <w:hyperlink r:id="rId825" w:history="1">
        <w:r w:rsidR="000A05E1" w:rsidRPr="000A05E1">
          <w:rPr>
            <w:rStyle w:val="a5"/>
          </w:rPr>
          <w:t>2014\Coc Dat Sys Rev2014, CD006274.pdf</w:t>
        </w:r>
      </w:hyperlink>
    </w:p>
    <w:p w:rsidR="001D3A71" w:rsidRDefault="001D3A71" w:rsidP="001D3A71">
      <w:pPr>
        <w:pStyle w:val="a3"/>
        <w:rPr>
          <w:kern w:val="0"/>
        </w:rPr>
      </w:pPr>
      <w:r>
        <w:rPr>
          <w:kern w:val="0"/>
        </w:rPr>
        <w:t>Abstract: Background Many palliative care patients have a reduced oral intake during their illness</w:t>
      </w:r>
      <w:r w:rsidR="00A37C1D">
        <w:rPr>
          <w:kern w:val="0"/>
        </w:rPr>
        <w:t>. The</w:t>
      </w:r>
      <w:r>
        <w:rPr>
          <w:kern w:val="0"/>
        </w:rPr>
        <w:t xml:space="preserve"> management of this can include the provision of medically assisted nutrition with the aim of prolonging the length of life of a patient, improving their quality of life, or both. This is an updated version of the original Cochrane review published in Issue 4, 2008. Objectives To determine the effect of medically assisted nutrition on the quality and length of life of palliative care patients. Search methods We identified studies from searching Cochrane Central Register of Controlled Trials (CENTRAL), MEDLINE, EMBASE, CINAHL, CANCERLIT, Caresearch, Dissertation abstracts, SCIENCE CITATION INDEX and the reference lists of all eligible trials, key textbooks and previous systematic reviews</w:t>
      </w:r>
      <w:r w:rsidR="00A37C1D">
        <w:rPr>
          <w:kern w:val="0"/>
        </w:rPr>
        <w:t>. The</w:t>
      </w:r>
      <w:r>
        <w:rPr>
          <w:kern w:val="0"/>
        </w:rPr>
        <w:t xml:space="preserve"> date of the latest search was 26 March 2014. Selection criteria All relevant randomised controlled </w:t>
      </w:r>
      <w:r>
        <w:rPr>
          <w:kern w:val="0"/>
        </w:rPr>
        <w:lastRenderedPageBreak/>
        <w:t>trials (RCTs) or prospective controlled trials (if no RCTs were found). Data collection and analysis We found no RCTs or prospectively controlled trials that met the inclusion criteria. Main results The original review identified four prospective non-controlled trials and the updated search in 2014 identified one more (plus an updated version of a Cochrane review on enteral feeding in motor neuron disease)</w:t>
      </w:r>
      <w:r w:rsidR="00A37C1D">
        <w:rPr>
          <w:kern w:val="0"/>
        </w:rPr>
        <w:t>. The</w:t>
      </w:r>
      <w:r>
        <w:rPr>
          <w:kern w:val="0"/>
        </w:rPr>
        <w:t>re were five prospective non-controlled trials (including one qualitative study) that studied medically assisted nutrition in palliative care participants, and one Cochrane systematic review (on motor neuron disease that found no RCTs), but no RCTs or prospective controlled studies. Authors</w:t>
      </w:r>
      <w:r w:rsidR="0071223E">
        <w:rPr>
          <w:kern w:val="0"/>
        </w:rPr>
        <w:t>’</w:t>
      </w:r>
      <w:r>
        <w:rPr>
          <w:kern w:val="0"/>
        </w:rPr>
        <w:t xml:space="preserve"> conclusions Since the last version of this review, we found no new studies</w:t>
      </w:r>
      <w:r w:rsidR="00A37C1D">
        <w:rPr>
          <w:kern w:val="0"/>
        </w:rPr>
        <w:t>. The</w:t>
      </w:r>
      <w:r>
        <w:rPr>
          <w:kern w:val="0"/>
        </w:rPr>
        <w:t>re are insufficient good-quality trials to make any recommendations for practice with regards to the use of medically assisted nutrition in palliative care patients.</w:t>
      </w:r>
    </w:p>
    <w:p w:rsidR="001D3A71" w:rsidRDefault="001D3A71" w:rsidP="001D3A71">
      <w:pPr>
        <w:pStyle w:val="a3"/>
        <w:rPr>
          <w:kern w:val="0"/>
        </w:rPr>
      </w:pPr>
      <w:r>
        <w:rPr>
          <w:kern w:val="0"/>
        </w:rPr>
        <w:t>Keywords: Adult, Advanced Cancer-Patients, Analysis, Artificial Nutrition, Care, Citation, Citation Indexes, Citation-Index, Collection, Criteria, Data, Data Collection, Disease, Dissertation, Embase, Enteral, Enteral Nutrition [Adverse Effects, Feeding, Home Parenteral-Nutrition, Humans, Hydration, Index, Indexes, Length, Life, Longevity, Management, Medline, Methods, Methods], Neuron, Nutrition, Oral, Palliative Care, Palliative Care [Methods], Parenteral Nutrition [Adverse Effects, Patients, Practice, Prospective, Qualitative, Qualitative Study, Quality, Quality Of, Quality of Life, Randomised, Randomised Controlled Trials, Recommendations, Reference, Reference Lists, Review, Reviews, Science, Science Citation Index, Science-Citation, Science-Citation-Index, Search, Survival, Systematic, Systematic Review, Systematic Reviews, Textbooks, Version</w:t>
      </w:r>
    </w:p>
    <w:p w:rsidR="00CA00C8" w:rsidRDefault="00CA00C8" w:rsidP="00CA00C8">
      <w:pPr>
        <w:pStyle w:val="a3"/>
        <w:rPr>
          <w:kern w:val="0"/>
        </w:rPr>
      </w:pPr>
      <w:r>
        <w:rPr>
          <w:kern w:val="0"/>
        </w:rPr>
        <w:t xml:space="preserve">? Minozzi, S., Amato, L., Bellisario, C. and Davoli, M. (2014), Detoxification treatments for opiate dependent adolescents. </w:t>
      </w:r>
      <w:r>
        <w:rPr>
          <w:i/>
          <w:iCs/>
          <w:kern w:val="0"/>
        </w:rPr>
        <w:t>Cochrane Database of Systematic Reviews</w:t>
      </w:r>
      <w:r>
        <w:rPr>
          <w:kern w:val="0"/>
        </w:rPr>
        <w:t xml:space="preserve">, </w:t>
      </w:r>
      <w:r w:rsidRPr="00DC3A2A">
        <w:rPr>
          <w:b/>
          <w:kern w:val="0"/>
        </w:rPr>
        <w:t>4</w:t>
      </w:r>
      <w:r>
        <w:rPr>
          <w:rFonts w:hint="eastAsia"/>
          <w:kern w:val="0"/>
        </w:rPr>
        <w:t>,</w:t>
      </w:r>
      <w:r w:rsidRPr="00DC3A2A">
        <w:rPr>
          <w:kern w:val="0"/>
        </w:rPr>
        <w:t xml:space="preserve"> </w:t>
      </w:r>
      <w:r w:rsidRPr="001F3C06">
        <w:rPr>
          <w:kern w:val="0"/>
        </w:rPr>
        <w:t xml:space="preserve">Article Number: </w:t>
      </w:r>
      <w:r w:rsidRPr="00DC3A2A">
        <w:rPr>
          <w:kern w:val="0"/>
        </w:rPr>
        <w:t>CD006749</w:t>
      </w:r>
      <w:r>
        <w:rPr>
          <w:kern w:val="0"/>
        </w:rPr>
        <w:t>.</w:t>
      </w:r>
    </w:p>
    <w:p w:rsidR="00CA00C8" w:rsidRDefault="00CA00C8" w:rsidP="00CA00C8">
      <w:pPr>
        <w:pStyle w:val="a3"/>
      </w:pPr>
      <w:r>
        <w:t xml:space="preserve">Full Text: </w:t>
      </w:r>
      <w:hyperlink r:id="rId826" w:history="1">
        <w:r w:rsidR="00C16DB3" w:rsidRPr="00C16DB3">
          <w:rPr>
            <w:rStyle w:val="a5"/>
          </w:rPr>
          <w:t>2014\Coc Dat Sys Rev2014, CD006749.pdf</w:t>
        </w:r>
      </w:hyperlink>
    </w:p>
    <w:p w:rsidR="00CA00C8" w:rsidRDefault="00CA00C8" w:rsidP="00CA00C8">
      <w:pPr>
        <w:pStyle w:val="a3"/>
        <w:rPr>
          <w:kern w:val="0"/>
        </w:rPr>
      </w:pPr>
      <w:r>
        <w:rPr>
          <w:kern w:val="0"/>
        </w:rPr>
        <w:t xml:space="preserve">Abstract: Background The scientific literature examining effective treatments for opioid dependent adults clearly indicates that pharmacotherapy is a necessary and acceptable component of effective treatments for opioid dependence. Nevertheless, no studies have been published that systematically assess the effectiveness of the pharmacological detoxification among adolescents. Objectives To assess the effectiveness of any detoxification treatment alone or in combination with psychosocial intervention compared with no intervention, other pharmacological intervention or psychosocial interventions on completion of treatment, reducing the use of substances and improving health and social status. Search methods We searched the Cochrane Central Register of Controlled Trials (2014, Issue 1), PubMed (January 1966 to January 2014), EMBASE (January 1980 to January 2014), CINHAL (January 1982 to January 2014), Web of Science (1991-January 2014) and </w:t>
      </w:r>
      <w:r>
        <w:rPr>
          <w:kern w:val="0"/>
        </w:rPr>
        <w:lastRenderedPageBreak/>
        <w:t>reference lists of articles. Selection criteria Randomised controlled clinical trials comparing any pharmacological interventions alone or associated with psychosocial intervention aimed at detoxification with no intervention, placebo, other pharmacological intervention or psychosocial intervention in adolescents (13 to 18 years). Data collection and analysis We used standard methodological procedures recommended by The Cochrane Collaboration Main results Two trials involving 190 participants were included. One trial compared buprenorphine with clonidine for detoxification. No difference was found for drop out: risk ratio (RR) 0.45 (95% confidence interval (CI): 0.20 to 1.04) and acceptability of treatment: withdrawal scoremean difference (MD): 3.97 (95% CI -1.38 to 9.32). More participants in the buprenorphine group initiated naltrexone treatment: RR 11.00 (95% CI 1.58 to 76.55), quality of evidence moderate</w:t>
      </w:r>
      <w:r w:rsidR="00A37C1D">
        <w:rPr>
          <w:kern w:val="0"/>
        </w:rPr>
        <w:t>. The</w:t>
      </w:r>
      <w:r>
        <w:rPr>
          <w:kern w:val="0"/>
        </w:rPr>
        <w:t xml:space="preserve"> other trial compared maintenance treatment versus detoxification treatment: buprenorphine-naloxone maintenance versus buprenorphine detoxification. For drop out the results were in favour of maintenance treatment: RR 2.67 (95% CI 1.85, 3.86), as well as for results at follow-up RR 1.36 [95% CI 1.05to 1.76); no differences for use of opiate, quality of evidence low. Authors</w:t>
      </w:r>
      <w:r w:rsidR="0071223E">
        <w:rPr>
          <w:kern w:val="0"/>
        </w:rPr>
        <w:t>’</w:t>
      </w:r>
      <w:r>
        <w:rPr>
          <w:kern w:val="0"/>
        </w:rPr>
        <w:t xml:space="preserve"> conclusions It is difficult to draw conclusions on the basis of two trials with few participants. Furthermore, the two studies included did not consider the efficacy of methadone that is still the most frequent drug utilised for the treatment of opioid withdrawal. One possible reason for the lack of evidence could be the difficulty in conducting trials with young people due to practical and ethical reasons.</w:t>
      </w:r>
    </w:p>
    <w:p w:rsidR="00CA00C8" w:rsidRDefault="00CA00C8" w:rsidP="00CA00C8">
      <w:pPr>
        <w:pStyle w:val="a3"/>
        <w:rPr>
          <w:kern w:val="0"/>
        </w:rPr>
      </w:pPr>
      <w:r>
        <w:rPr>
          <w:kern w:val="0"/>
        </w:rPr>
        <w:t>Keywords: Acceptability, Addicts, Adolescent, Adolescents, Analysis, Articles, Buprenorphine, Buprenorphine [Therapeutic Use], Buprenorphine-Naloxone, Clinical, Clinical Trials, Clonidine, Clonidine [Therapeutic Use], Cochrane Collaboration, Collaboration, Collection, Confidence, Criteria, Data, Data Collection, Detoxification, Drug, Effectiveness, Efficacy, Embase, Ethical, Evidence, Follow-Up, Health, Humans, Interval, Intervention, Interventions, Literature, Methadone, Methods, Naltrexone [Therapeutic Use], Narcotic Antagonists [Therapeutic Use], Opioid, Opioid Dependence, Opioid-Related Disorders [Rehabilitation], Outpatient Treatment, Pharmacotherapy, Placebo, Predictors, Procedures, Psychosocial, Pubmed, Quality, Quality Of, Randomized-Trial, Reference, Reference Lists, Relapse, Risk, Science, Scientific Literature, Search, Social, Standard, Treatment, Trial, Web Of Science, Youth</w:t>
      </w:r>
    </w:p>
    <w:p w:rsidR="00CA00C8" w:rsidRDefault="00CA00C8" w:rsidP="00CA00C8">
      <w:pPr>
        <w:pStyle w:val="a3"/>
        <w:rPr>
          <w:kern w:val="0"/>
        </w:rPr>
      </w:pPr>
      <w:r>
        <w:rPr>
          <w:kern w:val="0"/>
        </w:rPr>
        <w:t xml:space="preserve">? Langford, R., Bonell, C.P., Jones, H.E., Pouliou, T., Murphy, S.M., Waters, E., Komro, K.A., Gibbs, L.F., Magnus, D. and Campbell, R. (2014), The WHO Health Promoting School framework for improving the health and well-being of students and their academic achievement. </w:t>
      </w:r>
      <w:r>
        <w:rPr>
          <w:i/>
          <w:iCs/>
          <w:kern w:val="0"/>
        </w:rPr>
        <w:t>Cochrane Database of Systematic Reviews</w:t>
      </w:r>
      <w:r>
        <w:rPr>
          <w:kern w:val="0"/>
        </w:rPr>
        <w:t xml:space="preserve">, </w:t>
      </w:r>
      <w:r w:rsidRPr="00DC3A2A">
        <w:rPr>
          <w:b/>
          <w:kern w:val="0"/>
        </w:rPr>
        <w:t>4</w:t>
      </w:r>
      <w:r>
        <w:rPr>
          <w:rFonts w:hint="eastAsia"/>
          <w:kern w:val="0"/>
        </w:rPr>
        <w:t>,</w:t>
      </w:r>
      <w:r w:rsidRPr="00DC3A2A">
        <w:rPr>
          <w:kern w:val="0"/>
        </w:rPr>
        <w:t xml:space="preserve"> </w:t>
      </w:r>
      <w:r w:rsidRPr="001F3C06">
        <w:rPr>
          <w:kern w:val="0"/>
        </w:rPr>
        <w:t xml:space="preserve">Article Number: </w:t>
      </w:r>
      <w:r w:rsidRPr="00DC3A2A">
        <w:rPr>
          <w:kern w:val="0"/>
        </w:rPr>
        <w:t>CD008958</w:t>
      </w:r>
      <w:r>
        <w:rPr>
          <w:kern w:val="0"/>
        </w:rPr>
        <w:t>.</w:t>
      </w:r>
    </w:p>
    <w:p w:rsidR="00CA00C8" w:rsidRDefault="00CA00C8" w:rsidP="00CA00C8">
      <w:pPr>
        <w:pStyle w:val="a3"/>
      </w:pPr>
      <w:r>
        <w:lastRenderedPageBreak/>
        <w:t xml:space="preserve">Full Text: </w:t>
      </w:r>
      <w:hyperlink r:id="rId827" w:history="1">
        <w:r w:rsidR="00C16DB3" w:rsidRPr="00C16DB3">
          <w:rPr>
            <w:rStyle w:val="a5"/>
          </w:rPr>
          <w:t>2014\Coc Dat Sys Rev2014, CD008958.pdf</w:t>
        </w:r>
      </w:hyperlink>
    </w:p>
    <w:p w:rsidR="00CA00C8" w:rsidRDefault="00CA00C8" w:rsidP="00CA00C8">
      <w:pPr>
        <w:pStyle w:val="a3"/>
        <w:rPr>
          <w:kern w:val="0"/>
        </w:rPr>
      </w:pPr>
      <w:r>
        <w:rPr>
          <w:kern w:val="0"/>
        </w:rPr>
        <w:t>Abstract: Background The World Health Organization</w:t>
      </w:r>
      <w:r w:rsidR="0071223E">
        <w:rPr>
          <w:kern w:val="0"/>
        </w:rPr>
        <w:t>’</w:t>
      </w:r>
      <w:r>
        <w:rPr>
          <w:kern w:val="0"/>
        </w:rPr>
        <w:t>s (WHO</w:t>
      </w:r>
      <w:r w:rsidR="0071223E">
        <w:rPr>
          <w:kern w:val="0"/>
        </w:rPr>
        <w:t>’</w:t>
      </w:r>
      <w:r>
        <w:rPr>
          <w:kern w:val="0"/>
        </w:rPr>
        <w:t>s) Health Promoting Schools (HPS) framework is an holistic, settings-based approach to promoting health and educational attainment in school</w:t>
      </w:r>
      <w:r w:rsidR="00A37C1D">
        <w:rPr>
          <w:kern w:val="0"/>
        </w:rPr>
        <w:t>. The</w:t>
      </w:r>
      <w:r>
        <w:rPr>
          <w:kern w:val="0"/>
        </w:rPr>
        <w:t xml:space="preserve"> effectiveness of this approach has not been previously rigorously reviewed. Objectives To assess the effectiveness of the Health Promoting Schools (HPS) framework in improving the health and well-being of students and their academic achievement. Search methods We searched the following electronic databases in January 2011 and again in March and April 2013: Cochrane Central Register of Controlled Trials (CENTRAL), MEDLINE, EMBASE, PsycINFO, CINAHL, Campbell Library, ASSIA, BiblioMap, CAB Abstracts, IBSS, Social Science Citation Index, Sociological Abstracts, TRoPHI, Global Health Database, SIGLE, Australian Education Index, British Education Index, Education Resources Information Centre, Database of Education Research, Dissertation Express, Index to Theses in Great Britain and Ireland, ClinicalTrials.gov, Current controlled trials, and WHO International Clinical Trials Registry Platform. We also searched relevant websites, handsearched reference lists, and used citation tracking to identify other relevant articles. Selection criteria We included cluster-randomised controlled trials where randomisation took place at the level of school, district or other geographical area. Participants were children and young people aged four to 18 years, attending schools or colleges. In this review, we define HPS interventions as comprising the following three elements: input to the curriculum; changes to the school</w:t>
      </w:r>
      <w:r w:rsidR="0071223E">
        <w:rPr>
          <w:kern w:val="0"/>
        </w:rPr>
        <w:t>’</w:t>
      </w:r>
      <w:r>
        <w:rPr>
          <w:kern w:val="0"/>
        </w:rPr>
        <w:t>s ethos or environment or both; and engagement with families or communities, or both. We compared this intervention against schools that implemented either no intervention or continued with their usual practice, or any programme that included just one or two of the above mentioned HPS elements. Data collection and analysis At least two review authors identified relevant trials, extracted data, and assessed risk of bias in the trials. We grouped different types of interventions according to the health topic targeted or the approach used, or both. Where data permitted, we performed random-effects meta-analyses to provide a summary of results across studies. Main results We included 67 eligible cluster trials, randomising 1443 schools or districts. This is made up of 1345 schools and 98 districts</w:t>
      </w:r>
      <w:r w:rsidR="00A37C1D">
        <w:rPr>
          <w:kern w:val="0"/>
        </w:rPr>
        <w:t>. The</w:t>
      </w:r>
      <w:r>
        <w:rPr>
          <w:kern w:val="0"/>
        </w:rPr>
        <w:t xml:space="preserve"> studies tackled a range of health issues: physical activity (4), nutrition (12), physical activity and nutrition combined (18), bullying (7), tobacco (5), alcohol (2), sexual health (2), violence (2), mental health (2), hand-washing (2), multiple risk behaviours (7), cycle-helmet use (1), eating disorders (1), sun protection (1), and oral health (1)</w:t>
      </w:r>
      <w:r w:rsidR="00A37C1D">
        <w:rPr>
          <w:kern w:val="0"/>
        </w:rPr>
        <w:t>. The</w:t>
      </w:r>
      <w:r>
        <w:rPr>
          <w:kern w:val="0"/>
        </w:rPr>
        <w:t xml:space="preserve"> quality of evidence overall was low to moderate as determined by the GRADE approach. </w:t>
      </w:r>
      <w:r w:rsidR="0071223E">
        <w:rPr>
          <w:kern w:val="0"/>
        </w:rPr>
        <w:t>‘</w:t>
      </w:r>
      <w:r>
        <w:rPr>
          <w:kern w:val="0"/>
        </w:rPr>
        <w:t>Risk of bias</w:t>
      </w:r>
      <w:r w:rsidR="0071223E">
        <w:rPr>
          <w:kern w:val="0"/>
        </w:rPr>
        <w:t>’</w:t>
      </w:r>
      <w:r>
        <w:rPr>
          <w:kern w:val="0"/>
        </w:rPr>
        <w:t xml:space="preserve"> assessments identified methodological limitations, including heavy reliance on self-reported data and high attrition rates for some studies. In addition, there was a lack of long-term follow-up data for most studies. We found </w:t>
      </w:r>
      <w:r>
        <w:rPr>
          <w:kern w:val="0"/>
        </w:rPr>
        <w:lastRenderedPageBreak/>
        <w:t>positive effects for some interventions for: bodymass index (BMI), physical activity, physical fitness, fruit and vegetable intake, tobacco use, and being bullied. Intervention effects were generally small but have the potential to produce public health benefits at the population level. We found little evidence of effectiveness for standardised body mass index (zBMI) and no evidence of effectiveness for fat intake, alcohol use, drug use, mental health, violence and bullying others; however, only a small number of studies focused on these latter outcomes. It was not possible to meta-analyse data on other health outcomes due to lack of data. Few studies provided details on adverse events or outcomes related to the interventions. In addition, few studies included any academic, attendance or school-related outcomes. We therefore cannot draw any clear conclusions as to the effectiveness of this approach for improving academic achievement. Authors</w:t>
      </w:r>
      <w:r w:rsidR="0071223E">
        <w:rPr>
          <w:kern w:val="0"/>
        </w:rPr>
        <w:t>’</w:t>
      </w:r>
      <w:r>
        <w:rPr>
          <w:kern w:val="0"/>
        </w:rPr>
        <w:t xml:space="preserve"> conclusions The results of this review provide evidence for the effectiveness of some interventions based on the HPS framework for improving certain health outcomes but not others. More well-designed research is required to establish the effectiveness of this approach for other health topics and academic achievement.</w:t>
      </w:r>
    </w:p>
    <w:p w:rsidR="00CA00C8" w:rsidRDefault="00CA00C8" w:rsidP="00CA00C8">
      <w:pPr>
        <w:pStyle w:val="a3"/>
        <w:rPr>
          <w:kern w:val="0"/>
        </w:rPr>
      </w:pPr>
      <w:r>
        <w:rPr>
          <w:kern w:val="0"/>
        </w:rPr>
        <w:t>Keywords: Academic Achievement, Achievement, Activity, Adolescent Alcohol-Use, Aged, Alcohol, Alcohol Use, American-Indian Schoolchildren, Analysis, Anti-Bullying Intervention, Approach, Articles, Assessments, Australian, Authors, Benefits, Bias, Bmi, Body Mass Index, Britain, Bullying, Cab, Campbell, Cardiovascular Risk-Factors, Changes, Character Development Program, Children, Citation, Clinical Trials, Cluster, Collection, Criteria, Curriculum, Data, Data Collection, Database, Databases, Dissertation, Drug, Drug Use, Education, Effectiveness, Effects, Embase, Engagement, Environment, European Smoking Prevention, Events, Evidence, Families, Fat, Fitness, Follow-Up, Framework, Grade, Health, Health Outcomes, Holistic, Index, Information, Intervention, Interventions, Ireland, Issues, Long Term, Long-Term, Long-Term Follow-Up, Medline, Mental Health, Methodological Limitations, Methods, Nutrition, Obesity Prevention Program, Oral, Outcomes, Physical, Physical Activity, Physical-Activity Intervention, Population, Potential, Practice, Protection, Psycinfo, Public, Public Health, Quality, Quality Of, Randomisation, Randomized Controlled-Trial, Rates, Reference, Reference Lists, Research, Review, Risk, Risk Of Bias, Science, Science Citation Index, Search, Sexual Health, Small, Social Science Citation Index, Students, Sugar-Sweetened Beverages, Theses, Tobacco, Topic, Violence, Websites, Well-Being, WHO</w:t>
      </w:r>
    </w:p>
    <w:p w:rsidR="00CA00C8" w:rsidRDefault="00CA00C8" w:rsidP="00CA00C8">
      <w:pPr>
        <w:pStyle w:val="a3"/>
        <w:rPr>
          <w:kern w:val="0"/>
        </w:rPr>
      </w:pPr>
      <w:r>
        <w:rPr>
          <w:kern w:val="0"/>
        </w:rPr>
        <w:t xml:space="preserve">? Nikolova, K., Gluud, C., Grevstad, B. and Jakobsen, J.C. (2014), Nitazoxanide for chronic hepatitis C. </w:t>
      </w:r>
      <w:r>
        <w:rPr>
          <w:i/>
          <w:iCs/>
          <w:kern w:val="0"/>
        </w:rPr>
        <w:t>Cochrane Database of Systematic Reviews</w:t>
      </w:r>
      <w:r>
        <w:rPr>
          <w:kern w:val="0"/>
        </w:rPr>
        <w:t xml:space="preserve">, </w:t>
      </w:r>
      <w:r w:rsidRPr="001F3C06">
        <w:rPr>
          <w:kern w:val="0"/>
        </w:rPr>
        <w:t xml:space="preserve">Article Number: </w:t>
      </w:r>
      <w:r w:rsidRPr="007278E4">
        <w:rPr>
          <w:kern w:val="0"/>
        </w:rPr>
        <w:t>CD009182</w:t>
      </w:r>
      <w:r>
        <w:rPr>
          <w:kern w:val="0"/>
        </w:rPr>
        <w:t>.</w:t>
      </w:r>
    </w:p>
    <w:p w:rsidR="00CA00C8" w:rsidRDefault="00CA00C8" w:rsidP="00CA00C8">
      <w:pPr>
        <w:pStyle w:val="a3"/>
      </w:pPr>
      <w:r>
        <w:t xml:space="preserve">Full Text: </w:t>
      </w:r>
      <w:hyperlink r:id="rId828" w:history="1">
        <w:r w:rsidR="00C16DB3" w:rsidRPr="00C16DB3">
          <w:rPr>
            <w:rStyle w:val="a5"/>
          </w:rPr>
          <w:t>2014\Coc Dat Sys Rev2014, CD009182.pdf</w:t>
        </w:r>
      </w:hyperlink>
    </w:p>
    <w:p w:rsidR="00CA00C8" w:rsidRDefault="00CA00C8" w:rsidP="00CA00C8">
      <w:pPr>
        <w:pStyle w:val="a3"/>
        <w:rPr>
          <w:kern w:val="0"/>
        </w:rPr>
      </w:pPr>
      <w:r>
        <w:rPr>
          <w:kern w:val="0"/>
        </w:rPr>
        <w:lastRenderedPageBreak/>
        <w:t>Abstract: Background Hepatitis C infection is a disease of the liver caused by the hepatitis C virus</w:t>
      </w:r>
      <w:r w:rsidR="00A37C1D">
        <w:rPr>
          <w:kern w:val="0"/>
        </w:rPr>
        <w:t>. The</w:t>
      </w:r>
      <w:r>
        <w:rPr>
          <w:kern w:val="0"/>
        </w:rPr>
        <w:t xml:space="preserve"> estimated number of chronically infected people with hepatitis C virus worldwide is about 150 million people. Every year, another three to four million people acquire the infection. Chronic hepatitis C is a leading cause of liver-related mortality and morbidity. It is estimated that around 5% to 20% of people with the infection will develop liver cirrhosis, which increases the risk of hepatocellular carcinoma and liver failure. Until 2011, the combination therapy of pegylated interferon-alpha (peginterferon) and ribavirin was the approved standard treatment for chronic hepatitis C. In 2011, first-generation direct-acting antivirals have been licensed, for use in combination with peginterferon and ribavirin for treating hepatitis C virus genotype 1 infection. Nitazoxanide is another antiviral drug with broad antiviral activity and may have potential as an effective alternative, or an addition to standard treatment for the treatment of the hepatitis C virus. Objectives To assess the benefits and harms of nitazoxanide in people with chronic hepatitis C virus infection. Search methods We searched The Cochrane Hepato-Biliary Group Controlled Trials Register (last searched April 2013), The Cochrane Central Register of Controlled Trials (CENTRAL) (2013, Issue 3), MEDLINE (Ovid SP, 1948 to April 2013), EMBASE (Ovid SP, 1980 to April 2013), LILACS (1983 to April 2013), and Science Citation Index EXPANDED (ISI Web of Knowledge, 1900 to April 2013), using the search strategies and the expected time spans. We also scanned reference lists of identified studies. We also searched ClinicalTrials.gov and the World Health Organization</w:t>
      </w:r>
      <w:r w:rsidR="0071223E">
        <w:rPr>
          <w:kern w:val="0"/>
        </w:rPr>
        <w:t>’</w:t>
      </w:r>
      <w:r>
        <w:rPr>
          <w:kern w:val="0"/>
        </w:rPr>
        <w:t>s International Clinical Trials Registry Platform search portal for registered trials, either completed or ongoing (April 2013). Selection criteria We included randomised clinical trials that examined the effects of nitazoxanide versus placebo, no intervention, or any other intervention in patients with chronic hepatitis C. We considered any co-intervention, including standard treatment, if delivered to all intervention groups of the randomised trial concerned. Data collection and analysis Two review authors extracted data independently. We assessed the risk of systematic errors (</w:t>
      </w:r>
      <w:r w:rsidR="0071223E">
        <w:rPr>
          <w:kern w:val="0"/>
        </w:rPr>
        <w:t>‘</w:t>
      </w:r>
      <w:r>
        <w:rPr>
          <w:kern w:val="0"/>
        </w:rPr>
        <w:t>bias</w:t>
      </w:r>
      <w:r w:rsidR="0071223E">
        <w:rPr>
          <w:kern w:val="0"/>
        </w:rPr>
        <w:t>’</w:t>
      </w:r>
      <w:r>
        <w:rPr>
          <w:kern w:val="0"/>
        </w:rPr>
        <w:t>) by evaluation of bias risk domains. We used Review Manager 5.2 for the statistical analyses of dichotomous outcome data with risk ratio (RR) and of continuous outcome data with mean difference (MD). For meta-analyses, we used a fixed-effect model and a random-effects model, along with an assessment of heterogeneity. We assessed risk of random errors (</w:t>
      </w:r>
      <w:r w:rsidR="0071223E">
        <w:rPr>
          <w:kern w:val="0"/>
        </w:rPr>
        <w:t>‘</w:t>
      </w:r>
      <w:r>
        <w:rPr>
          <w:kern w:val="0"/>
        </w:rPr>
        <w:t>play of chance</w:t>
      </w:r>
      <w:r w:rsidR="0071223E">
        <w:rPr>
          <w:kern w:val="0"/>
        </w:rPr>
        <w:t>’</w:t>
      </w:r>
      <w:r>
        <w:rPr>
          <w:kern w:val="0"/>
        </w:rPr>
        <w:t xml:space="preserve">) using trial sequential analysis. We assessed the quality of the evidence using the Grading of Recommendations Assessment, Development, and Evaluation (GRADE) system to present review results in </w:t>
      </w:r>
      <w:r w:rsidR="0071223E">
        <w:rPr>
          <w:kern w:val="0"/>
        </w:rPr>
        <w:t>‘</w:t>
      </w:r>
      <w:r>
        <w:rPr>
          <w:kern w:val="0"/>
        </w:rPr>
        <w:t>Summary of findings</w:t>
      </w:r>
      <w:r w:rsidR="0071223E">
        <w:rPr>
          <w:kern w:val="0"/>
        </w:rPr>
        <w:t>’</w:t>
      </w:r>
      <w:r>
        <w:rPr>
          <w:kern w:val="0"/>
        </w:rPr>
        <w:t xml:space="preserve"> tables. Main results We included seven randomised clinical trials with a total of 538 participants with chronic hepatitis C. Participants were 18 years of age or older, all diagnosed with chronic hepatitis C genotype 1 or 4. All of the trials had a high risk of bias. All of the trials </w:t>
      </w:r>
      <w:r>
        <w:rPr>
          <w:kern w:val="0"/>
        </w:rPr>
        <w:lastRenderedPageBreak/>
        <w:t>compared nitazoxanide with placebo or no intervention, and six out of seven of the trials included different antiviral co-interventions administered equally to all intervention groups. Only one trial, comparing nitazoxanide plus peginterferon and ribavirin versus no intervention plus peginterferon and ribavirin, provided information that there were no deaths due to any cause or due to chronic hepatitis C (100 participants, very low quality evidence)</w:t>
      </w:r>
      <w:r w:rsidR="00A37C1D">
        <w:rPr>
          <w:kern w:val="0"/>
        </w:rPr>
        <w:t>. The</w:t>
      </w:r>
      <w:r>
        <w:rPr>
          <w:kern w:val="0"/>
        </w:rPr>
        <w:t xml:space="preserve"> relative effect of nitazoxanide versus placebo or no intervention on adverse events was uncertain (37 out of 179 (21%) versus 30 out of 152 (20%); RR 1.10; 95% CI 0.71 to 1.71; I-2 = 65%; four trials; very low quality evidence). Nitazoxanide decreased the risk of failure to achieve sustained virological response when compared with placebo or no intervention (159 out of 290 (55%) versus 133 out of 208 (64%); RR 0.85; 95% CI 0.75 to 0.97; I-2 = 0%; seven trials; low quality evidence) and also the risk of failure to achieve virological end-of-treatment response (125 out of 290 (43%) versus 110 out of 208 (53%); RR 0.81; 95% CI 0.69 to 0.96; I-2 = 46%; seven trials; low quality evidence). Trial sequential analysis supported the meta-analysis result for sustained virological response, but not the meta-analysis for virological end-of-treatment response. Meta-analysis also showed that nitazoxanide did not decrease the number of participants who showed no improvement in alanine aminotransferase and aspartate aminotransferase serum levels when compared with placebo or no intervention (52 out of 97 (54%) versus 47 out of 95 (49%); RR 1.09; 95% CI 0.84 to 1.42; I-2 = 0%; three trials; very low quality evidence). None of the included trials assessed the effects of nitazoxanide on morbidity or on quality of life. Histological changes were only reported on a subset of three participants out of thirteen participants included in a long term-follow-up trial. Authors</w:t>
      </w:r>
      <w:r w:rsidR="0071223E">
        <w:rPr>
          <w:kern w:val="0"/>
        </w:rPr>
        <w:t>’</w:t>
      </w:r>
      <w:r>
        <w:rPr>
          <w:kern w:val="0"/>
        </w:rPr>
        <w:t xml:space="preserve"> conclusions We found very low quality, or no, evidence on nitazoxanide for clinically-or patient-relevant outcomes, such as all-cause mortality, chronic hepatitis C-related mortality, morbidity, and adverse events in participants with chronic hepatitis C genotype 1 or 4 infection. Our results of no improvement in alanine aminotransferase and aspartate aminotransferase serum levels were also uncertain. No conclusion could be drawn about liver histology because of a lack of data. Our results indicate that nitazoxanide might have an effect on sustained virological response and virological end-of-treatment response. However, both results could be influenced by systematic errors because all the trials included in the review had a high risk of bias. Furthermore, only the beneficial effect on number of participants achieving sustained virological response was supported when we applied trial sequential analysis</w:t>
      </w:r>
      <w:r w:rsidR="00A37C1D">
        <w:rPr>
          <w:kern w:val="0"/>
        </w:rPr>
        <w:t>. The</w:t>
      </w:r>
      <w:r>
        <w:rPr>
          <w:kern w:val="0"/>
        </w:rPr>
        <w:t xml:space="preserve"> results on virological end-of-treatment response might, therefore, be caused by a random error. We totally lack information on the effects of nitazoxanide in participants with chronic hepatitis C genotypes 2 or 3 infection. More randomised clinical trials with a low risk of bias are needed to assess the effects of nitazoxanide </w:t>
      </w:r>
      <w:r>
        <w:rPr>
          <w:kern w:val="0"/>
        </w:rPr>
        <w:lastRenderedPageBreak/>
        <w:t>for chronic hepatitis C.</w:t>
      </w:r>
    </w:p>
    <w:p w:rsidR="00CA00C8" w:rsidRDefault="00CA00C8" w:rsidP="00CA00C8">
      <w:pPr>
        <w:pStyle w:val="a3"/>
        <w:rPr>
          <w:kern w:val="0"/>
        </w:rPr>
      </w:pPr>
      <w:r>
        <w:rPr>
          <w:kern w:val="0"/>
        </w:rPr>
        <w:t>Keywords: Activity, Age, Alanine Aminotransferase, Alternative, Analyses, Analysis, Antiviral, Aspartate Aminotransferase, Assessment, Authors, Benefits, Bias, Carcinoma, Changes, Chronic, Chronic Hepatitis, Chronic Hepatitis C, Cirrhosis, Citation, Clinical, Clinical Trials, Collection, Combination Therapy, Criteria, Data, Data Collection, Disease, Double-Blind, Drug, Effects, Embase, Error, Errors, Evaluation, Events, Evidence, Failure, Genotype 1 Infection, Grade, Groups, Health, Hepatitis, Hepatitis C, Hepatitis C Virus, Hepatocellular Carcinoma, Heterogeneity, High-Dose Ribavirin, Histology, Improvement, Infected, Infection, Information, Interferon-Alpha, Interferon-Alpha-2b Plus Ribavirin, Intervention, Isi, Knowledge, Life, Liver, Liver Cirrhosis, Liver Failure, Low Risk, Medline, Meta Analysis, Meta-Analysis, Metaanalysis, Methods, Model, Morbidity, Mortality, Outcome, Outcomes, Patients, Pegylated Alpha-2a Interferon, Placebo, Placebo-Controlled Trial, Potential, Quality, Quality Of, Quality Of Life, Random Effects Model, Randomised, Randomised Trial, Randomized Controlled-Trials, Reference, Reference Lists, Response, Review, Ribavirin, Risk, Science, Science Citation Index, Search, Search Strategies, Sequential, Serum, Standard, Statistical Analyses, Sustained Virological Response, Systematic, Therapy, Treatment, Treatment-Naive Patients, Trial, Virus-Infection, Web Of Knowledge</w:t>
      </w:r>
    </w:p>
    <w:p w:rsidR="00CA00C8" w:rsidRDefault="00CA00C8" w:rsidP="00CA00C8">
      <w:pPr>
        <w:pStyle w:val="a3"/>
        <w:rPr>
          <w:kern w:val="0"/>
        </w:rPr>
      </w:pPr>
      <w:r>
        <w:rPr>
          <w:kern w:val="0"/>
        </w:rPr>
        <w:t xml:space="preserve">? de Cates, A.N., Farr, M.R.B., Wright, N., Jarvis, M.C., Rees, K., Ebrahim, S. and Huffman, M.D. (2014), Fixed-dose combination therapy for the prevention of cardiovascular disease. </w:t>
      </w:r>
      <w:r>
        <w:rPr>
          <w:i/>
          <w:iCs/>
          <w:kern w:val="0"/>
        </w:rPr>
        <w:t>Cochrane Database of Systematic Reviews</w:t>
      </w:r>
      <w:r>
        <w:rPr>
          <w:kern w:val="0"/>
        </w:rPr>
        <w:t xml:space="preserve">, </w:t>
      </w:r>
      <w:r w:rsidRPr="00DC3A2A">
        <w:rPr>
          <w:b/>
          <w:kern w:val="0"/>
        </w:rPr>
        <w:t>4</w:t>
      </w:r>
      <w:r>
        <w:rPr>
          <w:rFonts w:hint="eastAsia"/>
          <w:kern w:val="0"/>
        </w:rPr>
        <w:t>,</w:t>
      </w:r>
      <w:r w:rsidRPr="00DC3A2A">
        <w:rPr>
          <w:kern w:val="0"/>
        </w:rPr>
        <w:t xml:space="preserve"> </w:t>
      </w:r>
      <w:r w:rsidRPr="001F3C06">
        <w:rPr>
          <w:kern w:val="0"/>
        </w:rPr>
        <w:t xml:space="preserve">Article Number: </w:t>
      </w:r>
      <w:r w:rsidRPr="00DC3A2A">
        <w:rPr>
          <w:kern w:val="0"/>
        </w:rPr>
        <w:t>CD009868</w:t>
      </w:r>
      <w:r>
        <w:rPr>
          <w:kern w:val="0"/>
        </w:rPr>
        <w:t>.</w:t>
      </w:r>
    </w:p>
    <w:p w:rsidR="00CA00C8" w:rsidRDefault="00CA00C8" w:rsidP="00CA00C8">
      <w:pPr>
        <w:pStyle w:val="a3"/>
      </w:pPr>
      <w:r>
        <w:t xml:space="preserve">Full Text: </w:t>
      </w:r>
      <w:hyperlink r:id="rId829" w:history="1">
        <w:r w:rsidR="00C16DB3" w:rsidRPr="00C16DB3">
          <w:rPr>
            <w:rStyle w:val="a5"/>
          </w:rPr>
          <w:t>2014\Coc Dat Sys Rev2014, CD009868.pdf</w:t>
        </w:r>
      </w:hyperlink>
    </w:p>
    <w:p w:rsidR="00CA00C8" w:rsidRDefault="00CA00C8" w:rsidP="00CA00C8">
      <w:pPr>
        <w:pStyle w:val="a3"/>
        <w:rPr>
          <w:kern w:val="0"/>
        </w:rPr>
      </w:pPr>
      <w:r>
        <w:rPr>
          <w:kern w:val="0"/>
        </w:rPr>
        <w:t xml:space="preserve">Abstract: Background Cardiovascular disease (CVD) is the leading cause of death and disability worldwide, yet CVD risk factor control and secondary prevention rates remain low. A fixed-dose combination of blood pressure and cholesterol lowering and antiplatelet treatments into a single pill, or polypill, has been proposed as one strategy to reduce the global burden of CVD by up to 80% given its potential for better adherence and lower costs. Objectives To determine the effectiveness of fixed-dose combination therapy on reducing fatal and non-fatal CVD events and on improving blood pressure and lipid CVD risk factors for both primary and secondary prevention of CVD. We also aimed to determine discontinuation rates, adverse events, health-related quality of life, and costs of fixed-dose combination therapy. Search methods We searched the Cochrane Central Register of Controlled Trials (CENTRAL) in The Cochrane Library (2013, Issue 6), MEDLINE Ovid (1946 to week 2 July 2013), EMBASE Ovid (1980 to Week 28 2013), ISI Web of Science (1970 to 19 July 2013), and the Database of Abstracts of Reviews of Effects (DARE), Health Technology Assessment Database (HTA), and Health Economics Evaluations </w:t>
      </w:r>
      <w:r>
        <w:rPr>
          <w:kern w:val="0"/>
        </w:rPr>
        <w:lastRenderedPageBreak/>
        <w:t>Database (HEED) (2011, Issue 4) in The Cochrane Library. We used no language restrictions. Selection criteria We included randomised controlled trials of a fixed-dose combination therapy including at least one blood pressure lowering and one lipid lowering component versus usual care, placebo, or a single drug active component for any treatment duration in adults &gt;= 18 years old with no restrictions on presence or absence of pre-existing cardiovascular disease. Data collection and analysis Three review authors independently selected studies for inclusion and extracted the data. We evaluated risk of bias using the Cochrane risk of bias assessment tool. We sought to include outcome data on all-cause mortality, fatal and non-fatal CVD events, adverse events, changes in systolic and diastolic blood pressure, total and low density lipoprotein (LDL) cholesterol concentrations, discontinuation rates, quality of life, and costs. We calculated risk ratios (RR) for dichotomous data and weighted mean differences (MD) for continuous data with 95% confidence intervals (CI) using fixed-effect models when heterogeneity was low (I-2 &lt; 50%) and random-effects models when heterogeneity was high (I-2 &gt; 50%). Main results We found nine randomised controlled trials with a total of 7047 participants. Seven of the nine trials evaluated the effects of fixed-dose combination therapy on primary CVD prevention, and the trial length ranged from six weeks to 15 months. We found a moderate to high risk of bias in the domains of selection, performance, detection, attrition, and other types of bias in five of the nine trials. Compared with the comparator groups, the effects of the fixed-dose combination treatment on mortality (1.2% versus 1.0%, RR 1.26, 95% CI 0.67 to 2.38, N = 3465) and cardiovascular events (4.0% versus 2.9%, RR 1.38, 95% CI 0.91 to 2.10, N = 2479) were uncertain (low quality evidence)</w:t>
      </w:r>
      <w:r w:rsidR="00A37C1D">
        <w:rPr>
          <w:kern w:val="0"/>
        </w:rPr>
        <w:t>. The</w:t>
      </w:r>
      <w:r>
        <w:rPr>
          <w:kern w:val="0"/>
        </w:rPr>
        <w:t xml:space="preserve"> low event rates for these outcomes, limited availability of data as only two out of nine trials reported on these outcomes, and a high risk of bias in at least one domain suggest that these results should not be viewed with confidence. Adverse events were common in both the intervention (30%) and comparator (24%) groups, with participants randomised to fixed-dose combination therapy being 20% (95% CI 9% to 30%) more likely to report an adverse event. Notably, no serious adverse events were reported. Compared with placebo, the rate of discontinuation among participants randomised to fixed-dose combination was higher (14% versus 11%, RR 1.26 95% CI 1.02 to 1.55)</w:t>
      </w:r>
      <w:r w:rsidR="00A37C1D">
        <w:rPr>
          <w:kern w:val="0"/>
        </w:rPr>
        <w:t>. The</w:t>
      </w:r>
      <w:r>
        <w:rPr>
          <w:kern w:val="0"/>
        </w:rPr>
        <w:t xml:space="preserve"> weighted mean differences in systolic and diastolic blood pressure between the intervention and control arms were -7.05 mmHg (95% CI -10.18 to -3.87) and -3.65 mmHg (95% CI -5.44 to -1.85), respectively</w:t>
      </w:r>
      <w:r w:rsidR="00A37C1D">
        <w:rPr>
          <w:kern w:val="0"/>
        </w:rPr>
        <w:t>. The</w:t>
      </w:r>
      <w:r>
        <w:rPr>
          <w:kern w:val="0"/>
        </w:rPr>
        <w:t xml:space="preserve"> weighted mean differences (95% CI) in total and LDL cholesterol between the intervention and control arms were 0.75 mmol/L (95% CI -1.05 to -0.46) and -0.81 mmol/L (95% CI -1.09 to -0.53), respectively</w:t>
      </w:r>
      <w:r w:rsidR="00A37C1D">
        <w:rPr>
          <w:kern w:val="0"/>
        </w:rPr>
        <w:t>. The</w:t>
      </w:r>
      <w:r>
        <w:rPr>
          <w:kern w:val="0"/>
        </w:rPr>
        <w:t xml:space="preserve">re was a high degree of statistical heterogeneity in comparisons of blood pressure and lipids (I-2 &gt;= 70% for all) that could not be explained, so these </w:t>
      </w:r>
      <w:r>
        <w:rPr>
          <w:kern w:val="0"/>
        </w:rPr>
        <w:lastRenderedPageBreak/>
        <w:t>results should be viewed with caution. Fixed-dose combination therapy improved adherence to a multi-drug strategy by 33% (26% to 41%) compared with usual care, but this comparison was reported in only one study</w:t>
      </w:r>
      <w:r w:rsidR="00A37C1D">
        <w:rPr>
          <w:kern w:val="0"/>
        </w:rPr>
        <w:t>. The</w:t>
      </w:r>
      <w:r>
        <w:rPr>
          <w:kern w:val="0"/>
        </w:rPr>
        <w:t xml:space="preserve"> effects of fixed-dose combination therapy on quality of life are uncertain, though these results were reported in only one trial. No trials reported costs. Authors</w:t>
      </w:r>
      <w:r w:rsidR="0071223E">
        <w:rPr>
          <w:kern w:val="0"/>
        </w:rPr>
        <w:t>’</w:t>
      </w:r>
      <w:r>
        <w:rPr>
          <w:kern w:val="0"/>
        </w:rPr>
        <w:t xml:space="preserve"> conclusions Compared with placebo, single drug active component, or usual care, the effects of fixed-dose combination therapy on all-cause mortality or CVD events are uncertain; only few trials report these outcomes and the included trials were primarily designed to observe changes in CVD risk factor levels rather than clinical events. Reductions in blood pressure and lipid parameters are generally lower than those previously projected, though substantial heterogeneity of results exists. Fixed-dose combination therapy is associated with modest increases in adverse events compared with placebo, single drug active component, or usual care but may be associated with improved adherence to a multidrug regimen. Ongoing trials of fixed-dose combination therapy will likely inform key outcomes.</w:t>
      </w:r>
    </w:p>
    <w:p w:rsidR="00CA00C8" w:rsidRDefault="00CA00C8" w:rsidP="00CA00C8">
      <w:pPr>
        <w:pStyle w:val="a3"/>
        <w:rPr>
          <w:kern w:val="0"/>
        </w:rPr>
      </w:pPr>
      <w:r>
        <w:rPr>
          <w:kern w:val="0"/>
        </w:rPr>
        <w:t>Keywords: Adherence, Adverse Events, Analysis, Assessment, Authors, Availability, Bias, Blood, Blood Pressure, Blood-Pressure, Burden, Calcium-Channel Blocker, Cardiovascular, Cardiovascular Disease, Care, Cause Of Death, Changes, Cholesterol, Clinical, Collection, Combination Therapy, Comparison, Confidence, Confidence Intervals, Control, Coronary-Heart-Disease, Costs, Criteria, Data, Data Collection, Database, Death, Disability, Disease, Drug, Duration, Economics, Effectiveness, Effects, Embase, Events, Evidence, Global, Groups, Health, Health-Related Quality Of Life, Heterogeneity, Hta, Hypertensive Patients, Intervals, Intervention, Isi, Isi Web Of Science, Language, Length, Life, Lipid, Lipids, Medline, Methods, Models, Mortality, N, Outcome, Outcomes, Performance, Pill, Placebo, Placebo-Controlled Trial, Potential, Pressure, Prevention, Primary, Quality, Quality Of, Quality Of Life, Randomised, Randomised Controlled Trials, Randomized Controlled-Trial, Rates, Restrictions, Review, Risk, Risk Factor, Risk Factors, Risk-Factors, Science, Search, Secondary Prevention, Selection, Single-Pill Amlodipine, Atorvastatin, Strategy, Technology, Technology Assessment, Therapy, Treatment, Trial, Vascular-Disease, Web Of Science</w:t>
      </w:r>
    </w:p>
    <w:p w:rsidR="00CA00C8" w:rsidRDefault="00CA00C8" w:rsidP="00CA00C8">
      <w:pPr>
        <w:pStyle w:val="a3"/>
        <w:rPr>
          <w:kern w:val="0"/>
        </w:rPr>
      </w:pPr>
      <w:r>
        <w:rPr>
          <w:kern w:val="0"/>
        </w:rPr>
        <w:t xml:space="preserve">? Quinn, T.J., Fearon, P., Noel-Storr, A.H., Young, C., McShane, R. and Stott, D.J. (2014), Informant Questionnaire on Cognitive Decline in the Elderly (IQCODE) for the diagnosis of dementia within community dwelling populations. </w:t>
      </w:r>
      <w:r>
        <w:rPr>
          <w:i/>
          <w:iCs/>
          <w:kern w:val="0"/>
        </w:rPr>
        <w:t>Cochrane Database of Systematic Reviews</w:t>
      </w:r>
      <w:r>
        <w:rPr>
          <w:kern w:val="0"/>
        </w:rPr>
        <w:t xml:space="preserve">, </w:t>
      </w:r>
      <w:r w:rsidRPr="00DC3A2A">
        <w:rPr>
          <w:b/>
          <w:kern w:val="0"/>
        </w:rPr>
        <w:t>4</w:t>
      </w:r>
      <w:r>
        <w:rPr>
          <w:rFonts w:hint="eastAsia"/>
          <w:kern w:val="0"/>
        </w:rPr>
        <w:t>,</w:t>
      </w:r>
      <w:r w:rsidRPr="00DC3A2A">
        <w:rPr>
          <w:kern w:val="0"/>
        </w:rPr>
        <w:t xml:space="preserve"> </w:t>
      </w:r>
      <w:r w:rsidRPr="001F3C06">
        <w:rPr>
          <w:kern w:val="0"/>
        </w:rPr>
        <w:t xml:space="preserve">Article Number: </w:t>
      </w:r>
      <w:r w:rsidRPr="007278E4">
        <w:rPr>
          <w:kern w:val="0"/>
        </w:rPr>
        <w:t>CD010079</w:t>
      </w:r>
      <w:r>
        <w:rPr>
          <w:kern w:val="0"/>
        </w:rPr>
        <w:t>.</w:t>
      </w:r>
    </w:p>
    <w:p w:rsidR="00CA00C8" w:rsidRDefault="00CA00C8" w:rsidP="00CA00C8">
      <w:pPr>
        <w:pStyle w:val="a3"/>
      </w:pPr>
      <w:r>
        <w:t xml:space="preserve">Full Text: </w:t>
      </w:r>
      <w:hyperlink r:id="rId830" w:history="1">
        <w:r w:rsidR="00C16DB3" w:rsidRPr="00C16DB3">
          <w:rPr>
            <w:rStyle w:val="a5"/>
          </w:rPr>
          <w:t>2014\Coc Dat Sys Rev2014, CD010079.pdf</w:t>
        </w:r>
      </w:hyperlink>
    </w:p>
    <w:p w:rsidR="00CA00C8" w:rsidRDefault="00CA00C8" w:rsidP="00CA00C8">
      <w:pPr>
        <w:pStyle w:val="a3"/>
        <w:rPr>
          <w:kern w:val="0"/>
        </w:rPr>
      </w:pPr>
      <w:r>
        <w:rPr>
          <w:kern w:val="0"/>
        </w:rPr>
        <w:t>Abstract: Background Various tools exist for initial assessment of possible dementia with no consensus on the optimal assessment method. Instruments that use collateral sources to assess change in cognitive function over time may have particular utility</w:t>
      </w:r>
      <w:r w:rsidR="00A37C1D">
        <w:rPr>
          <w:kern w:val="0"/>
        </w:rPr>
        <w:t xml:space="preserve">. </w:t>
      </w:r>
      <w:r w:rsidR="00A37C1D">
        <w:rPr>
          <w:kern w:val="0"/>
        </w:rPr>
        <w:lastRenderedPageBreak/>
        <w:t>The</w:t>
      </w:r>
      <w:r>
        <w:rPr>
          <w:kern w:val="0"/>
        </w:rPr>
        <w:t xml:space="preserve"> most commonly used informant dementia assessment is the Informant Questionnaire on Cognitive Decline in the Elderly (IQCODE). A synthesis of the available data regarding IQCODE accuracy will help inform cognitive assessment strategies for clinical practice, research and policy. Objectives Our primary objective was to determine the diagnostic accuracy of the informant based questionnaire IQCODE, for detection of all cause (undifferentiated) dementia in community-dwelling adults with no previous cognitive assessment. We sought to describe the accuracy of IQCODE (the index test) against a clinical diagnosis of dementia (the reference standard). Our secondary objective was to describe the effect of heterogeneity on the summary estimates. We were particularly interested in the traditional 26-item scale versus the 16-item short form; and language of administration. We explored the effect of varying the threshold IQCODE score used to define </w:t>
      </w:r>
      <w:r w:rsidR="0071223E">
        <w:rPr>
          <w:kern w:val="0"/>
        </w:rPr>
        <w:t>‘</w:t>
      </w:r>
      <w:r>
        <w:rPr>
          <w:kern w:val="0"/>
        </w:rPr>
        <w:t>test positivity</w:t>
      </w:r>
      <w:r w:rsidR="0071223E">
        <w:rPr>
          <w:kern w:val="0"/>
        </w:rPr>
        <w:t>’</w:t>
      </w:r>
      <w:r>
        <w:rPr>
          <w:kern w:val="0"/>
        </w:rPr>
        <w:t xml:space="preserve">. Search methods We searched the following sources on 28 January 2013: ALOIS (Cochrane Dementia and Cognitive Improvement Group), MEDLINE (OvidSP), EMBASE (OvidSP), PsycINFO (OvidSP), BIOSIS Previews (ISI Web of Knowledge), Web of Science with Conference Proceedings (ISI Web of Knowledge), LILACS (BIREME). We also searched sources relevant or specific to diagnostic test accuracy: MEDION (Universities of Maastrict and Leuven); DARE (York University); ARIF (Birmingham University). We used sensitive search terms based on MeSH terms and other controlled vocabulary. Selection criteria We selected those studies performed in community settings that used (not necessarily exclusively) the IQCODE to assess for presence of dementia and, where dementia diagnosis was confirmed, with clinical assessment. Our intention with limiting the search to a </w:t>
      </w:r>
      <w:r w:rsidR="0071223E">
        <w:rPr>
          <w:kern w:val="0"/>
        </w:rPr>
        <w:t>‘</w:t>
      </w:r>
      <w:r>
        <w:rPr>
          <w:kern w:val="0"/>
        </w:rPr>
        <w:t>community</w:t>
      </w:r>
      <w:r w:rsidR="0071223E">
        <w:rPr>
          <w:kern w:val="0"/>
        </w:rPr>
        <w:t>’</w:t>
      </w:r>
      <w:r>
        <w:rPr>
          <w:kern w:val="0"/>
        </w:rPr>
        <w:t xml:space="preserve"> setting was to include those studies closest to population level assessment. Within our predefined community inclusion criteria, there were relevant papers that fulfilled our definition of community dwelling but represented a selected population, for example stroke survivors. We included these studies but performed sensitivity analyses to assess the effects of these less representative populations on the summary results. Data collection and analysis We screened all titles generated by the electronic database searches and abstracts of all potentially relevant studies were reviewed. Full papers were assessed for eligibility and data extracted by two independent assessors. For quality assessment (risk of bias and applicability) we used the QUADAS 2 tool. We included test accuracy data on the IQCODE used at predefined diagnostic thresholds. Where data allowed, we performed meta-analyses to calculate summary values of sensitivity and specificity with corresponding 95% confidence intervals (CIs). We pre-specified analyses to describe the effect of IQCODE format (traditional or short form) and language of administration for the IQCODE. Main results From 16,144 citations, 71 papers described IQCODE test accuracy. We included 10 papers (11 independent datasets) </w:t>
      </w:r>
      <w:r>
        <w:rPr>
          <w:kern w:val="0"/>
        </w:rPr>
        <w:lastRenderedPageBreak/>
        <w:t>representing data from 2644 individuals (n = 379 (14%) with dementia). Using IQCODE cut-offs commonly employed in clinical practice (3.3, 3.4, 3.5, 3.6) the sensitivity and specificity of IQCODE for diagnosis of dementia across the studies were generally above 75%. Taking an IQCODE threshold of 3.3 (or closest available) the sensitivity was 0.80 (95% CI 0.75 to 0.85); specificity was 0.84 (95% CI 0.78 to 0.90); positive likelihood ratio was 5.2 (95% CI 3.7 to 7.5) and the negative likelihood ratio was 0.23 (95% CI 0.19 to 0.29). Comparative analysis suggested no significant difference in the test accuracy of the 16 and 26-item IQCODE tests and no significant difference in test accuracy by language of administration</w:t>
      </w:r>
      <w:r w:rsidR="00A37C1D">
        <w:rPr>
          <w:kern w:val="0"/>
        </w:rPr>
        <w:t>. The</w:t>
      </w:r>
      <w:r>
        <w:rPr>
          <w:kern w:val="0"/>
        </w:rPr>
        <w:t>re was little difference in sensitivity across our predefined diagnostic cut-points</w:t>
      </w:r>
      <w:r w:rsidR="00A37C1D">
        <w:rPr>
          <w:kern w:val="0"/>
        </w:rPr>
        <w:t>. The</w:t>
      </w:r>
      <w:r>
        <w:rPr>
          <w:kern w:val="0"/>
        </w:rPr>
        <w:t>re was substantial heterogeneity in the included studies. Sensitivity analyses removing potentially unrepresentative populations in these studies made little difference to the pooled data estimates</w:t>
      </w:r>
      <w:r w:rsidR="00A37C1D">
        <w:rPr>
          <w:kern w:val="0"/>
        </w:rPr>
        <w:t>. The</w:t>
      </w:r>
      <w:r>
        <w:rPr>
          <w:kern w:val="0"/>
        </w:rPr>
        <w:t xml:space="preserve"> majority of included papers had potential for bias, particularly around participant selection and sampling</w:t>
      </w:r>
      <w:r w:rsidR="00A37C1D">
        <w:rPr>
          <w:kern w:val="0"/>
        </w:rPr>
        <w:t>. The</w:t>
      </w:r>
      <w:r>
        <w:rPr>
          <w:kern w:val="0"/>
        </w:rPr>
        <w:t xml:space="preserve"> quality of reporting was suboptimal particularly regarding timing of assessments and descriptors of reproducibility and inter-observer variability. Authors</w:t>
      </w:r>
      <w:r w:rsidR="0071223E">
        <w:rPr>
          <w:kern w:val="0"/>
        </w:rPr>
        <w:t>’</w:t>
      </w:r>
      <w:r>
        <w:rPr>
          <w:kern w:val="0"/>
        </w:rPr>
        <w:t xml:space="preserve"> conclusions Published data suggest that if using the IQCODE for community dwelling older adults, the 16 item IQCODE may be preferable to the traditional scale due to lesser test burden and no obvious difference in accuracy. Although IQCODE test accuracy is in a range that many would consider </w:t>
      </w:r>
      <w:r w:rsidR="0071223E">
        <w:rPr>
          <w:kern w:val="0"/>
        </w:rPr>
        <w:t>‘</w:t>
      </w:r>
      <w:r>
        <w:rPr>
          <w:kern w:val="0"/>
        </w:rPr>
        <w:t>reasonable</w:t>
      </w:r>
      <w:r w:rsidR="0071223E">
        <w:rPr>
          <w:kern w:val="0"/>
        </w:rPr>
        <w:t>’</w:t>
      </w:r>
      <w:r>
        <w:rPr>
          <w:kern w:val="0"/>
        </w:rPr>
        <w:t>, in the context of community or population settings the use of the IQCODE alone would result in substantial misdiagnosis and false reassurance. Across the included studies there were issues with heterogeneity, several potential biases and suboptimal reporting quality.</w:t>
      </w:r>
    </w:p>
    <w:p w:rsidR="00CA00C8" w:rsidRDefault="00CA00C8" w:rsidP="00CA00C8">
      <w:pPr>
        <w:pStyle w:val="a3"/>
        <w:rPr>
          <w:kern w:val="0"/>
        </w:rPr>
      </w:pPr>
      <w:r>
        <w:rPr>
          <w:kern w:val="0"/>
        </w:rPr>
        <w:t>Keywords: Accuracy, Administration, Alzheimers-Disease, Analyses, Analysis, Assessment, Assessments, Bias, Burden, Citations, Clinical, Clinical Assessment, Clinical Practice, Cognitive Function, Collection, Community, Comparative, Comparative Analysis, Conference, Confidence, Confidence Intervals, Consensus, Context, Criteria, Data, Data Collection, Database, Dementia, Diagnosis, Diagnostic, Diagnostic Accuracy, Diagnostic Test, Effects, Elderly, Embase, Estimates, Frontotemporal Dementia, Function, Heterogeneity, Improvement, Incident Dementia, Index, Instruments, Intervals, Isi, Issues, Knowledge, Language, Likelihood Ratio, Medical Inpatients, Medline, Methods, Mini-Mental-State, Papers, Policy, Population, Populations, Poststroke Dementia, Potential, Practice, Primary, Primary-Care, Proceedings, Psycinfo, Quality, Quality Of, Questionnaire, Reference, Reporting, Reproducibility, Research, Risk, Sampling, Scale, Science, Screening-Test, Search, Selection, Sensitivity, Services-Task-Force, Sources, Specificity, Standard, Stroke, Synthesis, Threshold, Thresholds, Timing, Universities, University, Utility, Variability, Vascular Dementia, Web Of Knowledge, Web Of Science</w:t>
      </w:r>
    </w:p>
    <w:p w:rsidR="00CA00C8" w:rsidRDefault="00CA00C8" w:rsidP="00CA00C8">
      <w:pPr>
        <w:pStyle w:val="a3"/>
        <w:rPr>
          <w:kern w:val="0"/>
        </w:rPr>
      </w:pPr>
      <w:r>
        <w:rPr>
          <w:kern w:val="0"/>
        </w:rPr>
        <w:lastRenderedPageBreak/>
        <w:t xml:space="preserve">? Hartley, L., Flowers, N., Lee, M.S., Ernst, E. and Rees, K. (2014), Tai chi for primary prevention of cardiovascular disease. </w:t>
      </w:r>
      <w:r>
        <w:rPr>
          <w:i/>
          <w:iCs/>
          <w:kern w:val="0"/>
        </w:rPr>
        <w:t>Cochrane Database of Systematic Reviews</w:t>
      </w:r>
      <w:r>
        <w:rPr>
          <w:kern w:val="0"/>
        </w:rPr>
        <w:t xml:space="preserve">, </w:t>
      </w:r>
      <w:r w:rsidRPr="00DC3A2A">
        <w:rPr>
          <w:b/>
          <w:kern w:val="0"/>
        </w:rPr>
        <w:t>4</w:t>
      </w:r>
      <w:r>
        <w:rPr>
          <w:rFonts w:hint="eastAsia"/>
          <w:kern w:val="0"/>
        </w:rPr>
        <w:t>,</w:t>
      </w:r>
      <w:r w:rsidRPr="00DC3A2A">
        <w:rPr>
          <w:kern w:val="0"/>
        </w:rPr>
        <w:t xml:space="preserve"> </w:t>
      </w:r>
      <w:r w:rsidRPr="001F3C06">
        <w:rPr>
          <w:kern w:val="0"/>
        </w:rPr>
        <w:t xml:space="preserve">Article Number: </w:t>
      </w:r>
      <w:r w:rsidRPr="00DC3A2A">
        <w:rPr>
          <w:kern w:val="0"/>
        </w:rPr>
        <w:t>CD010366</w:t>
      </w:r>
      <w:r>
        <w:rPr>
          <w:kern w:val="0"/>
        </w:rPr>
        <w:t>.</w:t>
      </w:r>
    </w:p>
    <w:p w:rsidR="00CA00C8" w:rsidRDefault="00CA00C8" w:rsidP="00CA00C8">
      <w:pPr>
        <w:pStyle w:val="a3"/>
      </w:pPr>
      <w:r>
        <w:t xml:space="preserve">Full Text: </w:t>
      </w:r>
      <w:hyperlink r:id="rId831" w:history="1">
        <w:r w:rsidR="00C16DB3" w:rsidRPr="00C16DB3">
          <w:rPr>
            <w:rStyle w:val="a5"/>
          </w:rPr>
          <w:t>2014\Coc Dat Sys Rev2014, CD010366.pdf</w:t>
        </w:r>
      </w:hyperlink>
    </w:p>
    <w:p w:rsidR="00CA00C8" w:rsidRDefault="00CA00C8" w:rsidP="00CA00C8">
      <w:pPr>
        <w:pStyle w:val="a3"/>
        <w:rPr>
          <w:kern w:val="0"/>
        </w:rPr>
      </w:pPr>
      <w:r>
        <w:rPr>
          <w:kern w:val="0"/>
        </w:rPr>
        <w:t>Abstract: Background Stress and a sedentary lifestyle are major determinants of cardiovascular disease (CVD). As tai chi involves exercise and can help in stress reduction, it may be effective in the primary prevention of CVD. Objectives To determine the effectiveness of tai chi for the primary prevention of CVD. Search methods We searched the following electronic databases: the Cochrane Central Register of Controlled Trials (CENTRAL) (Issue 11, 2013); MEDLINE (Ovid) (1946 to November week 3, 2013); EMBASE Classic + EMBASE (Ovid) (1947 to 6 December 2013); Web of Science (Thomson Reuters) (1970 to 6 December 2013); PsycINFO (Ovid) (1806 to December week 1, 2013); Database of Abstracts of Reviews of Effects (DARE); Health Technology Assessment Database and Health Economics Evaluations Database (Issue 4, 2013). We also searched the Allied and complementary Medicine Database (AMED) and OpenGrey (inception to October 2012) and several Asian databases. We searched trial registers and reference lists of reviews for further studies. We applied no language restrictions. Selection criteria Randomised controlled trials of tai chi lasting at least three months involving healthy adults or adults at high risk of CVD</w:t>
      </w:r>
      <w:r w:rsidR="00A37C1D">
        <w:rPr>
          <w:kern w:val="0"/>
        </w:rPr>
        <w:t>. The</w:t>
      </w:r>
      <w:r>
        <w:rPr>
          <w:kern w:val="0"/>
        </w:rPr>
        <w:t xml:space="preserve"> comparison group was no intervention or minimal intervention</w:t>
      </w:r>
      <w:r w:rsidR="00A37C1D">
        <w:rPr>
          <w:kern w:val="0"/>
        </w:rPr>
        <w:t>. The</w:t>
      </w:r>
      <w:r>
        <w:rPr>
          <w:kern w:val="0"/>
        </w:rPr>
        <w:t xml:space="preserve"> outcomes of interest were CVD clinical events and CVD risk factors. We excluded trials involving multifactorial lifestyle interventions or focusing on weight loss to avoid confounding. Data collection and analysis Two review authors independently selected trials for inclusion, abstracted the data and assessed the risk of bias. Main results We identified 13 small trials (1520 participants randomised) and three ongoing trials. All studies had at least one domain with unclear risk of bias, and some studies were at high risk of bias for allocation concealment (one study) and selective reporting (two studies). Duration and style of tai chi differed between trials. Seven studies recruited 903 healthy participants, the other studies recruited people with borderline hypertension or hypertension, elderly people at high risk of falling, and people with hypertension with liver and kidney yin deficiency syndrome. No studies reported on cardiovascular mortality, all-cause mortality or non-fatal events as most studies were short term (all studies had follow-up of one year or less)</w:t>
      </w:r>
      <w:r w:rsidR="00A37C1D">
        <w:rPr>
          <w:kern w:val="0"/>
        </w:rPr>
        <w:t>. The</w:t>
      </w:r>
      <w:r>
        <w:rPr>
          <w:kern w:val="0"/>
        </w:rPr>
        <w:t xml:space="preserve">re was also considerable heterogeneity between studies, which meant that it was not possible to combine studies statistically for cardiovascular risk (I-2 statistic for systolic blood pressure (SBP) was 96%, for diastolic blood pressure (DBP) 96%, for total cholesterol 96%, low-density lipoprotein-cholesterol (LDL-C) 95%, high-density lipoprotein-cholesterol (HDLC) 98%, triglycerides 75%). Nine trials measured blood pressure, six individual trials </w:t>
      </w:r>
      <w:r>
        <w:rPr>
          <w:kern w:val="0"/>
        </w:rPr>
        <w:lastRenderedPageBreak/>
        <w:t>found reductions in SBP (reductions ranged from -22.0 mmHg (95% confidence interval (CI) -26.3 to -17.7) to -11.5 mmHg (95% CI -21.5 to -1.46)), two trials found no clear evidence of a difference (however, CIs were wide and an increase or decrease in SBP cannot be ruled out), and one trial found an increase in SBP with tai chi (increase 5.2 mmHg, 95% CI 3.73 to 6.67). A similar pattern was seen for DBP: three trials found a reduction in DBP (reductions ranged from -12.2 mmHg (95% CI -15.8 to -8.7) to -4.43 mmHg (95% CI -7.14 to -1.72)) and three trials found no clear evidence of a difference, however again with wide CIs. Three trials reported lipid levels and two found reductions in total cholesterol, LDL-C and triglycerides (total cholesterol reductions ranged from -1.30 mmol/L (95% CI -1.57 to -1.03) to -0.50 mmol/L (95% CI -0.74 to -0.26): LDL-C reductions ranged from -0.76 mmol/L (95% CI -0.93 to -0.59) to -0.59 mmol/L (95% CI -0.80 to -0.38): triglyceride reductions ranged from -0.46 mmol/L (95% CI -0.62 to -0.30) to -0.37 mmol/L (95% CI -0.67 to -0.07)) and increased HDL-C with the intervention (HDL-C increases ranged from 0.61 mmol/L (95% CI 0.51 to 0.71) to 0.16 mmol/L (95% CI 0.02 to 0.30)), while the third study found no clear evidence of a difference between groups on lipid levels. Quality of life was measured in one trial: tai chi improved quality of life at three months. None of the included trials reported on adverse events, costs or occurrence of type 2 diabetes. Authors</w:t>
      </w:r>
      <w:r w:rsidR="0071223E">
        <w:rPr>
          <w:kern w:val="0"/>
        </w:rPr>
        <w:t>’</w:t>
      </w:r>
      <w:r>
        <w:rPr>
          <w:kern w:val="0"/>
        </w:rPr>
        <w:t xml:space="preserve"> conclusions There are currently no long-term trials examining tai chi for the primary prevention of CVD. Due to the limited evidence available currently no conclusions can be drawn as to the effectiveness of tai chi on CVD risk factors</w:t>
      </w:r>
      <w:r w:rsidR="00A37C1D">
        <w:rPr>
          <w:kern w:val="0"/>
        </w:rPr>
        <w:t>. The</w:t>
      </w:r>
      <w:r>
        <w:rPr>
          <w:kern w:val="0"/>
        </w:rPr>
        <w:t>re was some suggestion of beneficial effects of tai chi on CVD risk factors but this was not consistent across all studies</w:t>
      </w:r>
      <w:r w:rsidR="00A37C1D">
        <w:rPr>
          <w:kern w:val="0"/>
        </w:rPr>
        <w:t>. The</w:t>
      </w:r>
      <w:r>
        <w:rPr>
          <w:kern w:val="0"/>
        </w:rPr>
        <w:t>re was considerable heterogeneity between the studies included in this review and studies were small and at some risk of bias. Results of the ongoing trials will add to the evidence base but additional longer-term, high-quality trials are needed.</w:t>
      </w:r>
    </w:p>
    <w:p w:rsidR="00CA00C8" w:rsidRDefault="00CA00C8" w:rsidP="00CA00C8">
      <w:pPr>
        <w:pStyle w:val="a3"/>
        <w:rPr>
          <w:kern w:val="0"/>
        </w:rPr>
      </w:pPr>
      <w:r>
        <w:rPr>
          <w:kern w:val="0"/>
        </w:rPr>
        <w:t xml:space="preserve">Keywords: Allocation, Analysis, Asian, Assessment, Authors, Bias, Blood, Blood Pressure, Blood-Pressure, Borderline, Cardiovascular, Cardiovascular Disease, Cholesterol, Chuan, Clinical, Clinical-Trial, Collection, Comparison, Complementary, Confidence, Confounding, Costs, Criteria, Data, Data Collection, Database, Databases, Diabetes, Disease, Economics, Effectiveness, Effects, Elderly, Elderly People, Embase, Events, Evidence, Exercise, Follow-Up, Groups, Health, Heterogeneity, Hypertension, Interval, Intervention, Interventions, Kidney, Language, Life, Lipid, Liver, Long Term, Long-Term, Medicine, Medline, Metaanalysis, Methods, Mortality, Older-Adults, Outcomes, Pattern, Pressure, Prevention, Primary, Primary Prevention, Psycinfo, Quality, Quality Of, Quality Of Life, Randomised, Randomised Controlled Trials, Randomized Controlled-Trial, Reducing Frailty, Reduction, Reference, Reference Lists, Reporting, Restrictions, Results, Review, Reviews, Risk, Risk Factors, Risk-Factors, Science, Search, Small, Stress, Stress </w:t>
      </w:r>
      <w:r>
        <w:rPr>
          <w:kern w:val="0"/>
        </w:rPr>
        <w:lastRenderedPageBreak/>
        <w:t>Reduction, Suggestion, Syndrome, Technology, Technology Assessment, Term, Thomson Reuters, Thomson-Reuters, Trial, Triglyceride, Triglycerides, Type 2 Diabetes, Web Of Science, Weight Loss</w:t>
      </w:r>
    </w:p>
    <w:p w:rsidR="00CA00C8" w:rsidRDefault="00CA00C8" w:rsidP="00CA00C8">
      <w:pPr>
        <w:pStyle w:val="a3"/>
        <w:rPr>
          <w:kern w:val="0"/>
        </w:rPr>
      </w:pPr>
      <w:r>
        <w:rPr>
          <w:kern w:val="0"/>
        </w:rPr>
        <w:t xml:space="preserve">? Simillis, C., Li, T.J., Vaughan, J., Becker, L.A., Davidson, B.R. and Gurusamy, K.S. (2014), Methods to decrease blood loss during liver resection: A network meta-analysis. </w:t>
      </w:r>
      <w:r>
        <w:rPr>
          <w:i/>
          <w:iCs/>
          <w:kern w:val="0"/>
        </w:rPr>
        <w:t>Cochrane Database of Systematic Reviews</w:t>
      </w:r>
      <w:r>
        <w:rPr>
          <w:kern w:val="0"/>
        </w:rPr>
        <w:t xml:space="preserve">, </w:t>
      </w:r>
      <w:r w:rsidRPr="00DC3A2A">
        <w:rPr>
          <w:b/>
          <w:kern w:val="0"/>
        </w:rPr>
        <w:t>4</w:t>
      </w:r>
      <w:r>
        <w:rPr>
          <w:rFonts w:hint="eastAsia"/>
          <w:kern w:val="0"/>
        </w:rPr>
        <w:t>,</w:t>
      </w:r>
      <w:r w:rsidRPr="00DC3A2A">
        <w:rPr>
          <w:kern w:val="0"/>
        </w:rPr>
        <w:t xml:space="preserve"> </w:t>
      </w:r>
      <w:r w:rsidRPr="001F3C06">
        <w:rPr>
          <w:kern w:val="0"/>
        </w:rPr>
        <w:t xml:space="preserve">Article Number: </w:t>
      </w:r>
      <w:r w:rsidRPr="007278E4">
        <w:rPr>
          <w:kern w:val="0"/>
        </w:rPr>
        <w:t>CD010683</w:t>
      </w:r>
      <w:r>
        <w:rPr>
          <w:kern w:val="0"/>
        </w:rPr>
        <w:t>.</w:t>
      </w:r>
    </w:p>
    <w:p w:rsidR="00CA00C8" w:rsidRDefault="00CA00C8" w:rsidP="00CA00C8">
      <w:pPr>
        <w:pStyle w:val="a3"/>
      </w:pPr>
      <w:r>
        <w:t xml:space="preserve">Full Text: </w:t>
      </w:r>
      <w:hyperlink r:id="rId832" w:history="1">
        <w:r w:rsidR="00C16DB3" w:rsidRPr="00C16DB3">
          <w:rPr>
            <w:rStyle w:val="a5"/>
          </w:rPr>
          <w:t>2014\Coc Dat Sys Rev2014, CD010683.pdf</w:t>
        </w:r>
      </w:hyperlink>
    </w:p>
    <w:p w:rsidR="00CA00C8" w:rsidRDefault="00CA00C8" w:rsidP="00CA00C8">
      <w:pPr>
        <w:pStyle w:val="a3"/>
        <w:rPr>
          <w:kern w:val="0"/>
        </w:rPr>
      </w:pPr>
      <w:r>
        <w:rPr>
          <w:kern w:val="0"/>
        </w:rPr>
        <w:t>Abstract: Background Liver resection is a major surgery with significant mortality and morbidity. Various methods have been attempted to decrease blood loss and morbidity during elective liver resection</w:t>
      </w:r>
      <w:r w:rsidR="00A37C1D">
        <w:rPr>
          <w:kern w:val="0"/>
        </w:rPr>
        <w:t>. The</w:t>
      </w:r>
      <w:r>
        <w:rPr>
          <w:kern w:val="0"/>
        </w:rPr>
        <w:t>se methods include different methods of vascular occlusion, parenchymal transection, and management of the cut surface of the liver. A surgeon typically uses only one of the methods from each of these three categories. Together, one can consider this combination as a treatment strategy</w:t>
      </w:r>
      <w:r w:rsidR="00A37C1D">
        <w:rPr>
          <w:kern w:val="0"/>
        </w:rPr>
        <w:t>. The</w:t>
      </w:r>
      <w:r>
        <w:rPr>
          <w:kern w:val="0"/>
        </w:rPr>
        <w:t xml:space="preserve"> optimal treatment strategy for liver resection is unknown. Objectives To assess the comparative benefits and harms of different treatment strategies that aim to decrease blood loss during elective liver resection. Search methods We searched the Cochrane Central Register of Controlled Trials (CENTRAL), MEDLINE, EMBASE, and Science Citation Index Expanded to July 2012 to identify randomised clinical trials. We also handsearched the references lists of identified trials. Selection criteria We included only randomised clinical trials (irrespective of language, blinding, or publication status) where the method of vascular occlusion, parenchymal transection, andmanagement of the cut surface were clearly reported, and where people were randomly assigned to different treatment strategies based on different combinations of the three categories (vascular occlusion, parenchymal transection, cut surface). Data collection and analysis Two review authors identified trials and collected data independently. We assessed the risk of bias using The Cochrane Collaboration</w:t>
      </w:r>
      <w:r w:rsidR="0071223E">
        <w:rPr>
          <w:kern w:val="0"/>
        </w:rPr>
        <w:t>’</w:t>
      </w:r>
      <w:r>
        <w:rPr>
          <w:kern w:val="0"/>
        </w:rPr>
        <w:t>s methodology. We conducted a Bayesian network meta-analysis using the Markov chain Monte Carlo method in WinBUGS 1.4 following the guidelines of the National Institute for Health and Care Excellence Decision Support Unit guidance documents. We calculated the odds ratios (OR) with 95% credible intervals (CrI) (which are similar to confidence intervals in the frequentist approach for meta-analysis) for the binary outcomes and mean differences (MD) with 95% CrI for continuous outcomes using a fixed-effect model or random-effects model according to model-fit. Main results We identified nine trials with 617 participants that met our inclusion criteria. Interventions in the trials included three different options for vascular occlusion, four for parenchymal transection, and two for management of the cut liver surface</w:t>
      </w:r>
      <w:r w:rsidR="00A37C1D">
        <w:rPr>
          <w:kern w:val="0"/>
        </w:rPr>
        <w:t>. The</w:t>
      </w:r>
      <w:r>
        <w:rPr>
          <w:kern w:val="0"/>
        </w:rPr>
        <w:t xml:space="preserve">se interventions were combined in different ways in the trials giving 11 different treatment strategies. However, we were only able to include 496 participants </w:t>
      </w:r>
      <w:r>
        <w:rPr>
          <w:kern w:val="0"/>
        </w:rPr>
        <w:lastRenderedPageBreak/>
        <w:t>randomised to seven different treatment strategies from seven trials in our network meta-analysis, because the treatment strategies from the trials that used fibrin sealant for management of the raw liver surface could not be connected to the network for any outcomes. Thus, the trials included in the network meta-analysis varied only in their approaches to vascular exclusion and parenchymal transection and none used fibrin sealant. All the trials were of high risk of bias and the quality of evidence was very low for all the outcomes</w:t>
      </w:r>
      <w:r w:rsidR="00A37C1D">
        <w:rPr>
          <w:kern w:val="0"/>
        </w:rPr>
        <w:t>. The</w:t>
      </w:r>
      <w:r>
        <w:rPr>
          <w:kern w:val="0"/>
        </w:rPr>
        <w:t xml:space="preserve"> differences in mortality between the different strategies was imprecise (seven trials; seven treatment strategies; 496 participants). Five trials (six strategies; 406 participants) reported serious adverse events</w:t>
      </w:r>
      <w:r w:rsidR="00A37C1D">
        <w:rPr>
          <w:kern w:val="0"/>
        </w:rPr>
        <w:t>. The</w:t>
      </w:r>
      <w:r>
        <w:rPr>
          <w:kern w:val="0"/>
        </w:rPr>
        <w:t>re was an increase in the proportion of people with serious adverse events when surgery was performed using radiofrequency dissecting sealer compared with the standard clamp-crush method in the absence of vascular occlusion and fibrin sealant</w:t>
      </w:r>
      <w:r w:rsidR="00A37C1D">
        <w:rPr>
          <w:kern w:val="0"/>
        </w:rPr>
        <w:t>. The</w:t>
      </w:r>
      <w:r>
        <w:rPr>
          <w:kern w:val="0"/>
        </w:rPr>
        <w:t xml:space="preserve"> OR for the difference in proportion was 7.13 (95% CrI 1.77 to 28.65; 15/49 (adjusted proportion 24.9%) in radiofrequency dissecting sealer group compared with 6/89 (6.7%) in the clamp-crush method)</w:t>
      </w:r>
      <w:r w:rsidR="00A37C1D">
        <w:rPr>
          <w:kern w:val="0"/>
        </w:rPr>
        <w:t>. The</w:t>
      </w:r>
      <w:r>
        <w:rPr>
          <w:kern w:val="0"/>
        </w:rPr>
        <w:t xml:space="preserve"> differences in serious adverse events between the other groups were imprecise</w:t>
      </w:r>
      <w:r w:rsidR="00A37C1D">
        <w:rPr>
          <w:kern w:val="0"/>
        </w:rPr>
        <w:t>. The</w:t>
      </w:r>
      <w:r>
        <w:rPr>
          <w:kern w:val="0"/>
        </w:rPr>
        <w:t xml:space="preserve">re was a high probability that </w:t>
      </w:r>
      <w:r w:rsidR="0071223E">
        <w:rPr>
          <w:kern w:val="0"/>
        </w:rPr>
        <w:t>‘</w:t>
      </w:r>
      <w:r>
        <w:rPr>
          <w:kern w:val="0"/>
        </w:rPr>
        <w:t>no vascular occlusion with clamp-crush method and no fibrin</w:t>
      </w:r>
      <w:r w:rsidR="0071223E">
        <w:rPr>
          <w:kern w:val="0"/>
        </w:rPr>
        <w:t>’</w:t>
      </w:r>
      <w:r>
        <w:rPr>
          <w:kern w:val="0"/>
        </w:rPr>
        <w:t xml:space="preserve"> and </w:t>
      </w:r>
      <w:r w:rsidR="0071223E">
        <w:rPr>
          <w:kern w:val="0"/>
        </w:rPr>
        <w:t>‘</w:t>
      </w:r>
      <w:r>
        <w:rPr>
          <w:kern w:val="0"/>
        </w:rPr>
        <w:t>intermittent vascular occlusion with Cavitron ultrasonic surgical aspirator and no fibrin</w:t>
      </w:r>
      <w:r w:rsidR="0071223E">
        <w:rPr>
          <w:kern w:val="0"/>
        </w:rPr>
        <w:t>’</w:t>
      </w:r>
      <w:r>
        <w:rPr>
          <w:kern w:val="0"/>
        </w:rPr>
        <w:t xml:space="preserve"> are better than other treatments with regards to serious adverse events. Quality of life was not reported in any of the trials</w:t>
      </w:r>
      <w:r w:rsidR="00A37C1D">
        <w:rPr>
          <w:kern w:val="0"/>
        </w:rPr>
        <w:t>. The</w:t>
      </w:r>
      <w:r>
        <w:rPr>
          <w:kern w:val="0"/>
        </w:rPr>
        <w:t xml:space="preserve"> differences in the proportion of people requiring blood transfusion was imprecise (six trials; seven treatments; 446 participants). Two trials (three treatments; 155 participants) provided data for quantity of blood transfused. People undergoing liver resection by intermittent vascular occlusion had higher amounts of blood transfused than people with continuous vascular occlusion when the parenchymal transection was carried out with the clamp-crush method and no fibrin sealant was used for the cut surface (MD 1.2 units; 95% CrI 0.08 to 2.32)</w:t>
      </w:r>
      <w:r w:rsidR="00A37C1D">
        <w:rPr>
          <w:kern w:val="0"/>
        </w:rPr>
        <w:t>. The</w:t>
      </w:r>
      <w:r>
        <w:rPr>
          <w:kern w:val="0"/>
        </w:rPr>
        <w:t xml:space="preserve"> differences in the other comparisons were imprecise (very low quality evidence). Three trials (four treatments; 281 participants) provided data for operative blood loss. People undergoing liver resection using continuous vascular occlusion had lower blood loss than people with no vascular occlusion when the parenchymal transection was carried out with clamp-crush method and no fibrin sealant was used for the cut surface (MD -130.9 mL; 95% CrI -255.9 to -5.9). None of the trials reported the proportion of people with major blood loss</w:t>
      </w:r>
      <w:r w:rsidR="00A37C1D">
        <w:rPr>
          <w:kern w:val="0"/>
        </w:rPr>
        <w:t>. The</w:t>
      </w:r>
      <w:r>
        <w:rPr>
          <w:kern w:val="0"/>
        </w:rPr>
        <w:t xml:space="preserve"> differences in the length of hospital stay (six trials; seven treatments; 446 participants) and intensive therapy unit stay (four trials; six treatments; 261 participants) were imprecise. Four trials (four treatments; 245 participants) provided data for operating time. Liver resection by intermittent vascular occlusion took longer than liver resection performed with no vascular occlusion when the parenchymal transection was carried out with Cavitron ultrasonic surgical aspirator and no fibrin sealant was used for the cut surface (MD </w:t>
      </w:r>
      <w:r>
        <w:rPr>
          <w:kern w:val="0"/>
        </w:rPr>
        <w:lastRenderedPageBreak/>
        <w:t>49.6 minutes; 95% CrI 29.8 to 69.4)</w:t>
      </w:r>
      <w:r w:rsidR="00A37C1D">
        <w:rPr>
          <w:kern w:val="0"/>
        </w:rPr>
        <w:t>. The</w:t>
      </w:r>
      <w:r>
        <w:rPr>
          <w:kern w:val="0"/>
        </w:rPr>
        <w:t xml:space="preserve"> differences in the operating time between the other comparisons were imprecise. None of the trials reported the time needed to return to work. Authors</w:t>
      </w:r>
      <w:r w:rsidR="0071223E">
        <w:rPr>
          <w:kern w:val="0"/>
        </w:rPr>
        <w:t>’</w:t>
      </w:r>
      <w:r>
        <w:rPr>
          <w:kern w:val="0"/>
        </w:rPr>
        <w:t xml:space="preserve"> conclusions Very low quality evidence suggested that liver resection using a radiofrequency dissecting sealer without vascular occlusion or fibrin sealant may increase serious adverse events and this should be evaluated in further randomised clinical trials</w:t>
      </w:r>
      <w:r w:rsidR="00A37C1D">
        <w:rPr>
          <w:kern w:val="0"/>
        </w:rPr>
        <w:t>. The</w:t>
      </w:r>
      <w:r>
        <w:rPr>
          <w:kern w:val="0"/>
        </w:rPr>
        <w:t xml:space="preserve"> risk of serious adverse events with liver resection using no special equipment compared with more complex methods requiring special equipment was uncertain due to the very low quality of the evidence</w:t>
      </w:r>
      <w:r w:rsidR="00A37C1D">
        <w:rPr>
          <w:kern w:val="0"/>
        </w:rPr>
        <w:t>. The</w:t>
      </w:r>
      <w:r>
        <w:rPr>
          <w:kern w:val="0"/>
        </w:rPr>
        <w:t xml:space="preserve"> credible intervals were wide and considerable benefit or harm with a specific method of liver resection cannot be ruled out.</w:t>
      </w:r>
    </w:p>
    <w:p w:rsidR="00CA00C8" w:rsidRDefault="00CA00C8" w:rsidP="00CA00C8">
      <w:pPr>
        <w:pStyle w:val="a3"/>
        <w:rPr>
          <w:kern w:val="0"/>
        </w:rPr>
      </w:pPr>
      <w:r>
        <w:rPr>
          <w:kern w:val="0"/>
        </w:rPr>
        <w:t>Keywords: Analysis, Approach, Attempted, Authors, Benefits, Bias, Blood, Blood Loss, Blood Transfusion, Citation, Clamp Crushing Technique, Clinical, Clinical Trials, Clinical-Trial, Collection, Confidence, Confidence Intervals, Criteria, Data, Data Collection, Decision, Documents, Elective, Embase, Equipment, Events, Evidence, Excellence, Fibrin Glue, Groups, Guidance, Guidelines, Health, Hepatic Vascular Exclusion, Hepatocellular-Carcinoma, Hospital, Hospital Stay, Intermittent Pringle Maneuver, Intervals, Interventions, Language, Length, Life, Liver, Management, Medline, Meta Analysis, Meta-Analysis, Metaanalysis, Methodology, Methods, Model, Monte Carlo, Monte Carlo Method, Morbidity, Mortality, Network, Occlusion, Operative, Options, Outcomes, Publication, Quality, Quality Of, Quality Of Life, Radiofrequency Dissecting Sealer, Random Effects Model, Randomised, Randomized-Controlled-Trial, References, Review, Risk, Science, Science Citation Index, Science Citation Index Expanded, Sealant, Search, Standard, Strategy, Surface, Surgery, Therapy, Topical Hemostatic Agents, Transfusion, Treatment, Ultrasonic, Ultrasonically Activated Scalpel, Work</w:t>
      </w:r>
    </w:p>
    <w:p w:rsidR="00162B53" w:rsidRDefault="00162B53" w:rsidP="00162B53">
      <w:pPr>
        <w:pStyle w:val="a3"/>
        <w:rPr>
          <w:kern w:val="0"/>
        </w:rPr>
      </w:pPr>
      <w:r>
        <w:rPr>
          <w:rFonts w:hint="eastAsia"/>
          <w:kern w:val="0"/>
        </w:rPr>
        <w:t xml:space="preserve">? </w:t>
      </w:r>
      <w:r>
        <w:rPr>
          <w:kern w:val="0"/>
        </w:rPr>
        <w:t xml:space="preserve">Barlow, J., Smailagic, N., Huband, N., Roloff, V. and Bennett, C. (2014), Group-based parent training programmes for improving parental psychosocial health. </w:t>
      </w:r>
      <w:r>
        <w:rPr>
          <w:i/>
          <w:iCs/>
          <w:kern w:val="0"/>
        </w:rPr>
        <w:t>Cochrane Database of Systematic Reviews</w:t>
      </w:r>
      <w:r>
        <w:rPr>
          <w:kern w:val="0"/>
        </w:rPr>
        <w:t xml:space="preserve">,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CD002020</w:t>
      </w:r>
      <w:r>
        <w:rPr>
          <w:kern w:val="0"/>
        </w:rPr>
        <w:t>.</w:t>
      </w:r>
    </w:p>
    <w:p w:rsidR="00162B53" w:rsidRDefault="00162B53" w:rsidP="00162B53">
      <w:pPr>
        <w:pStyle w:val="a3"/>
      </w:pPr>
      <w:r>
        <w:t xml:space="preserve">Full Text: </w:t>
      </w:r>
      <w:hyperlink r:id="rId833" w:history="1">
        <w:r w:rsidR="00C16DB3" w:rsidRPr="00C16DB3">
          <w:rPr>
            <w:rStyle w:val="a5"/>
          </w:rPr>
          <w:t>2014\Coc Dat Sys Rev2014, CD002020.pdf</w:t>
        </w:r>
      </w:hyperlink>
    </w:p>
    <w:p w:rsidR="00162B53" w:rsidRDefault="00162B53" w:rsidP="00162B53">
      <w:pPr>
        <w:pStyle w:val="a3"/>
        <w:rPr>
          <w:kern w:val="0"/>
        </w:rPr>
      </w:pPr>
      <w:r>
        <w:rPr>
          <w:kern w:val="0"/>
        </w:rPr>
        <w:t xml:space="preserve">Abstract: Background Parental psychosocial health can have a significant effect on the parent-child relationship, with consequences for the later psychological health of the child. Parenting programmes have been shown to have an impact on the emotional and behavioural adjustment of children, but there have been no reviews to date of their impact on parental psychosocial wellbeing. Objectives To address whether group-based parenting programmes are effective in improving parental psychosocial wellbeing (for example, anxiety, depression, guilt, confidence). Search methods We searched the following databases on 5 December 2011: CENTRAL (2011, Issue 4), MEDLINE (1950 to November 2011), EMBASE (1980 to week 48, 2011), BIOSIS </w:t>
      </w:r>
      <w:r>
        <w:rPr>
          <w:kern w:val="0"/>
        </w:rPr>
        <w:lastRenderedPageBreak/>
        <w:t>(1970 to 2 December 2011), CINAHL (1982 to November 2011), PsycINFO (1970 to November week 5, 2011), ERIC (1966 to November 2011), Sociological Abstracts (1952 to November 2011), Social Science Citation Index (1970 to 2 December 2011), metaRegister of Controlled Trials (5 December 2011), NSPCC Library (5 December 2011). We searched ASSIA (1980 to current) on 10 November 2012 and the National Research Register was last searched in 2005. Selection criteria We included randomised controlled trials that compared a group-based parenting programme with a control condition and used at least one standardised measure of parental psychosocial health. Control conditions could be waiting-list, no treatment, treatment as usual or a placebo. Data collection and analysis At least two review authors extracted data independently and assessed the risk of bias in each study. We examined the studies for any information on adverse effects. We contacted authors where information was missing from trial reports. We standardised the treatment effect for each outcome in each study by dividing the mean difference in post-intervention scores between the intervention and control groups by the pooled standard deviation. Main results We included 48 studies that involved 4937 participants and covered three types of programme: behavioural, cognitive-behavioural and multimodal. Overall, we found that group-based parenting programmes led to statistically significant short-term improvements in depression (standardised mean difference (SMD) -0.17, 95% confidence interval (CI) -0.28 to -0.07), anxiety (SMD -0.22, 95% CI -0.43 to -0.01), stress (SMD -0.29, 95% CI -0.42 to -0.15), anger (SMD -0.60, 95% CI -1.00 to -0.20), guilt (SMD -0.79, 95% CI -1.18 to -0.41), confidence (SMD -0.34, 95% CI -0.51 to -0.17) and satisfaction with the partner relationship (SMD -0.28, 95% CI -0.47 to -0.09). However, only stress and confidence continued to be statistically significant at six month follow-up, and none were significant at one year</w:t>
      </w:r>
      <w:r w:rsidR="00A37C1D">
        <w:rPr>
          <w:kern w:val="0"/>
        </w:rPr>
        <w:t>. The</w:t>
      </w:r>
      <w:r>
        <w:rPr>
          <w:kern w:val="0"/>
        </w:rPr>
        <w:t>re was no evidence of any effect on self-esteem (SMD -0.01, 95% CI -0.45 to 0.42). None of the trials reported on aggression or adverse effects</w:t>
      </w:r>
      <w:r w:rsidR="00A37C1D">
        <w:rPr>
          <w:kern w:val="0"/>
        </w:rPr>
        <w:t>. The</w:t>
      </w:r>
      <w:r>
        <w:rPr>
          <w:kern w:val="0"/>
        </w:rPr>
        <w:t xml:space="preserve"> limited data that explicitly focused on outcomes for fathers showed a statistically significant short-term improvement in paternal stress (SMD -0.43, 95% CI -0.79 to -0.06). We were unable to combine data for other outcomes and individual study results were inconclusive in terms of any effect on depressive symptoms, confidence or partner satisfaction. Authors</w:t>
      </w:r>
      <w:r w:rsidR="0071223E">
        <w:rPr>
          <w:kern w:val="0"/>
        </w:rPr>
        <w:t>’</w:t>
      </w:r>
      <w:r>
        <w:rPr>
          <w:kern w:val="0"/>
        </w:rPr>
        <w:t xml:space="preserve"> conclusions The findings of this review support the use of parenting programmes to improve the short-term psychosocial wellbeing of parents. Further input may be required to ensure that these results are maintained. More research is needed that explicitly addresses the benefits for fathers, and that examines the comparative effectiveness of different types of programme along with the mechanisms by which such programmes bring about improvements in parental psychosocial functioning.</w:t>
      </w:r>
    </w:p>
    <w:p w:rsidR="00162B53" w:rsidRDefault="00162B53" w:rsidP="00162B53">
      <w:pPr>
        <w:pStyle w:val="a3"/>
        <w:rPr>
          <w:kern w:val="0"/>
        </w:rPr>
      </w:pPr>
      <w:r>
        <w:rPr>
          <w:kern w:val="0"/>
        </w:rPr>
        <w:t xml:space="preserve">Keywords: Adverse Effects, Aggression, Analysis, Anxiety, Anxiety [Therapy], </w:t>
      </w:r>
      <w:r>
        <w:rPr>
          <w:kern w:val="0"/>
        </w:rPr>
        <w:lastRenderedPageBreak/>
        <w:t>Attention-Deficit, Hyperactivity Disorder, Authors, Benefits, Bias, Child, Child-Behavior Problems, Children, Citation, Collection, Confidence, Control, Control Groups, Criteria, Data, Data Collection, Databases, Depression, Depression [Therapy], Depressive Symptoms, Developing Conduct Disorder, Effectiveness, Effects, Embase, Emotions, Evidence, Female, Follow-Up, Groups, Health, Humans, Impact, Improvement, Information, Interval, Intervention, Maternal Behavior [Psychology], Maternal Welfare, Measure, Mechanisms, Medline, Mental-Health, Methods, Mother-Child Relations, Mother-Infant Interactions, Outcome, Outcomes, Parenting, Parenting [Psychology], Parents, Parents [Education, Partner, Paternal Behavior [Psychology], Placebo, Postnatal Depression, Prevention Program, Program Evaluation, Programmes, Psychological, Psychology], Psychosocial, Psycinfo, Randomised, Randomised Controlled Trials, Randomized Controlled Trials As Topic, Randomized Controlled-Trial, Research, Review, Reviews, Risk, Satisfaction, Science, Science Citation Index, Search, Self Concept, Self-Esteem, Social Science Citation Index, Standard, Stones Triple P, Stress, Support, Symptoms, Training, Training Programmes, Treatment, Trial, Young Norwegian Children</w:t>
      </w:r>
    </w:p>
    <w:p w:rsidR="00162B53" w:rsidRDefault="00162B53" w:rsidP="00162B53">
      <w:pPr>
        <w:pStyle w:val="a3"/>
        <w:rPr>
          <w:kern w:val="0"/>
        </w:rPr>
      </w:pPr>
      <w:r>
        <w:rPr>
          <w:rFonts w:hint="eastAsia"/>
          <w:kern w:val="0"/>
        </w:rPr>
        <w:t xml:space="preserve">? </w:t>
      </w:r>
      <w:r>
        <w:rPr>
          <w:kern w:val="0"/>
        </w:rPr>
        <w:t xml:space="preserve">Cameron, M. and Chrubasik, S. (2014), Oral herbal therapies for treating osteoarthritis.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CD002947</w:t>
      </w:r>
      <w:r>
        <w:rPr>
          <w:kern w:val="0"/>
        </w:rPr>
        <w:t>.</w:t>
      </w:r>
    </w:p>
    <w:p w:rsidR="00162B53" w:rsidRDefault="00162B53" w:rsidP="00162B53">
      <w:pPr>
        <w:pStyle w:val="a3"/>
      </w:pPr>
      <w:r>
        <w:t xml:space="preserve">Full Text: </w:t>
      </w:r>
      <w:hyperlink r:id="rId834" w:history="1">
        <w:r w:rsidR="00C16DB3" w:rsidRPr="00C16DB3">
          <w:rPr>
            <w:rStyle w:val="a5"/>
          </w:rPr>
          <w:t>2014\Coc Dat Sys Rev2014, CD002947.pdf</w:t>
        </w:r>
      </w:hyperlink>
    </w:p>
    <w:p w:rsidR="00162B53" w:rsidRDefault="00162B53" w:rsidP="00162B53">
      <w:pPr>
        <w:pStyle w:val="a3"/>
        <w:rPr>
          <w:kern w:val="0"/>
        </w:rPr>
      </w:pPr>
      <w:r>
        <w:rPr>
          <w:kern w:val="0"/>
        </w:rPr>
        <w:t>Abstract: Background Medicinal plant products are used orally for treating osteoarthritis. Although their mechanisms of action have not yet been elucidated in full detail, interactions with common inflammatory mediators provide a rationale for using them to treat osteoarthritic complaints. Objectives To update a previous Cochrane review to assess the benefits and harms of oral medicinal plant products in treating osteoarthritis. Search methods We searched electronic databases (CENTRAL, MEDLINE, EMBASE, AMED, CINAHL, ISI Web of Science, World Health Organization Clinical Trials Registry Platform) to 29 August 2013, unrestricted by language, and the reference lists from retrieved trials. Selection criteria Randomised controlled trials of orally consumed herbal interventions compared with placebo or active controls in people with osteoarthritis were included. Herbal interventions included any plant preparation but excluded homeopathy or aromatherapy products, or any preparation of synthetic origin. Data collection and analysis Two authors used standard methods for trial selection and data extraction, and assessed the quality of the body of evidence using the GRADE approach for major outcomes (pain, function, radiographic joint changes, quality of life, withdrawals due to adverse events, total adverse events, and serious adverse events). Main results Forty-nine randomised controlled studies (33 interventions, 5980 participants) were included. Seventeen studies of confirmatory design (sample and effect sizes pre-specified) were mostly at moderate risk of bias</w:t>
      </w:r>
      <w:r w:rsidR="00A37C1D">
        <w:rPr>
          <w:kern w:val="0"/>
        </w:rPr>
        <w:t>. The</w:t>
      </w:r>
      <w:r>
        <w:rPr>
          <w:kern w:val="0"/>
        </w:rPr>
        <w:t xml:space="preserve"> remaining 32 studies of exploratory design were at higher </w:t>
      </w:r>
      <w:r>
        <w:rPr>
          <w:kern w:val="0"/>
        </w:rPr>
        <w:lastRenderedPageBreak/>
        <w:t>risk of bias. Due to differing interventions, meta-analyses were restricted to Boswellia serrata (monoherbal) and avocado-soyabean unsaponifiables (ASU) (two herb combination) products. Five studies of three different extracts from Boswellia serrata were included. High-quality evidence from two studies (85 participants) indicated that 90 days treatment with 100 mg of enriched Boswellia serrata extract improved symptoms compared to placebo. Mean pain was 40 points on a 0 to 100 point VAS scale (0 is no pain) with placebo, enriched Boswellia serrata reduced pain by a mean of 17 points (95% confidence interval (CI) 8 to 26); number needed to treat for an additional beneficial outcome (NNTB) 2; the 95% CIs did not exclude a clinically significant reduction of 15 points in pain. Physical function was 33 points on the Western Ontario and McMaster Universities Osteoarthritis Index (WOMAC) 0 to 100 point subscale (0 is no loss of function) with placebo, enriched Boswellia serrata improved function by 8 points (95% CI 2 to 14); NNTB 4. Assuming a minimal clinically important difference of 10 points, we cannot exclude a clinically important benefit in some people. Moderate-quality evidence (one study, 96 participants) indicated that adverse events were probably reduced with enriched Boswellia serrata (18/48 events versus 30/48 events with placebo; relative risk (RR) 0.60, 95% CI 0.39 to 0.92). Possible benefits of other Boswellia serrata extracts over placebo were confirmed in moderate-quality evidence from two studies (97 participants) of Boswellia serrata (enriched) 100 mg plus non-volatile oil, and low-quality evidence from small single studies of a 999 mg daily dose of Boswellia serrata extract and 250 mg daily dose of enriched Boswellia serrata. It was uncertain if a 99 mg daily dose of Boswellia serrata offered benefits over valdecoxib due to the very low-quality evidence from a small single study. It was uncertain if there was an increased risk of adverse events or withdrawals with Boswellia serrata extract due to variable reporting of results across studies</w:t>
      </w:r>
      <w:r w:rsidR="00A37C1D">
        <w:rPr>
          <w:kern w:val="0"/>
        </w:rPr>
        <w:t>. The</w:t>
      </w:r>
      <w:r>
        <w:rPr>
          <w:kern w:val="0"/>
        </w:rPr>
        <w:t xml:space="preserve"> studies reported no serious adverse events. Quality of life and radiographic joint changes were not measured. Six studies examined the ASUproduct Piasclidine (R). Moderate-quality evidence from four studies (651 participants) indicated that ASU 300 mg produced a small and clinically questionable improvement in symptoms, and probably no increased adverse events compared to placebo after three to 12 months treatment. Mean pain with placebo was 40.5 points on a VAS 0 to 100 scale (0 is no pain), ASU 300 mg reduced pain by a mean of 8.5 points (95% CI 1 to 16 points); NNTB 8. ASU 300 mg improved function (standardised mean difference (SMD) -0.42, 95% CI -0.73 to -0.11). Function was estimated as 47 mm (0 to 100 mm scale, where 0 is no loss of function) with placebo, ASU 300 mg improved function by a mean of 7 mm (95% CI 2 to 12 mm); NNTB 5 (3 to 19)</w:t>
      </w:r>
      <w:r w:rsidR="00A37C1D">
        <w:rPr>
          <w:kern w:val="0"/>
        </w:rPr>
        <w:t>. The</w:t>
      </w:r>
      <w:r>
        <w:rPr>
          <w:kern w:val="0"/>
        </w:rPr>
        <w:t xml:space="preserve">re were no differences in adverse events (5 studies, 1050 participants) between ASU (53%) and placebo (51%) (RR 1.04, 95% CI 0.97 to 1.12); withdrawals due to adverse events (1 study, 398 participants) between ASU </w:t>
      </w:r>
      <w:r>
        <w:rPr>
          <w:kern w:val="0"/>
        </w:rPr>
        <w:lastRenderedPageBreak/>
        <w:t>(17%) and placebo (15%) (RR 1.14, 95% CI 0.73 to 1.80); or serious adverse events (1 study, 398 participants) between ASU (40%) and placebo (33%) (RR 1.22, 95% CI 0.94 to 1.59). Radiographic joint changes, measured as change in joint space width (JSW) in two studies (453 participants) did not differ between ASU 300 mg treatment (-0.53 mm) and placebo (-0.65 mm); mean difference of -0.12 (95% CI -0.43 to 0.19). Moderate-quality evidence from a single study (156 participants) confirmed possible benefits of ASU 600 mg over placebo, with no increased adverse events. Low-quality evidence (1 study, 357 participants) indicated there may be no differences in symptoms or adverse events between ASU 300 mg and chondroitin sulphate. Quality of life was not measured. All other herbal interventions were investigated in single studies, limiting conclusions. No serious side effects related to any plant product were reported. Authors</w:t>
      </w:r>
      <w:r w:rsidR="0071223E">
        <w:rPr>
          <w:kern w:val="0"/>
        </w:rPr>
        <w:t>’</w:t>
      </w:r>
      <w:r>
        <w:rPr>
          <w:kern w:val="0"/>
        </w:rPr>
        <w:t xml:space="preserve"> conclusions Evidence for the proprietary ASU product Piasclidine (R) in the treatment of osteoarthritis symptoms seems moderate to high for short term use, but studies over a longer term and against an apparently active control are less convincing. Several other medicinal plant products, including extracts of Boswellia serrata, show trends of benefits that warrant further investigation in light of the fact that the risk of adverse events appear low</w:t>
      </w:r>
      <w:r w:rsidR="00A37C1D">
        <w:rPr>
          <w:kern w:val="0"/>
        </w:rPr>
        <w:t>. The</w:t>
      </w:r>
      <w:r>
        <w:rPr>
          <w:kern w:val="0"/>
        </w:rPr>
        <w:t>re is no evidence that Piasclidine (R) significantly improves joint structure, and limited evidence that it prevents joint space narrowing. Structural changes were not tested for with any other herbal intervention. Further investigations are required to determine optimum daily doses producing clinical benefits without adverse events.</w:t>
      </w:r>
    </w:p>
    <w:p w:rsidR="00162B53" w:rsidRDefault="00162B53" w:rsidP="00162B53">
      <w:pPr>
        <w:pStyle w:val="a3"/>
        <w:rPr>
          <w:kern w:val="0"/>
        </w:rPr>
      </w:pPr>
      <w:r>
        <w:rPr>
          <w:kern w:val="0"/>
        </w:rPr>
        <w:t>Keywords: Analysis, Approach, Aromatherapy, Authors, Benefits, Bias, Boswellia-Serrata Extract, Changes, Chronic Disease, Claw Harpagophytum-Procumbens, Clinical, Clinical Trials, Collection, Complaints, Confidence, Control, Controlled Clinical-Trial, Criteria, Data, Data Collection, Databases, Design, Double-Blind, Effects, Embase, Events, Evidence, Extraction, Function, Grade, Health, Homeopathy, Humans, Improvement, Inflammatory Mediators, Interval, Intervention, Interventions, Investigation, Investigations, Isi, Isi Web Of Science, Language, Life, Low-Back-Pain, Mechanisms, Medicinal Plant, Medline, Methods, Nonsteroidal Antiinflammatory Drugs, Number Needed To Treat, Of-Rheumatology Criteria, Ontario, Oral, Origin, Osteoarthritis, Osteoarthritis [Drug Therapy], Outcome, Outcomes, Pain, Physical Function, Phytotherapy, Placebo, Placebo-Controlled Trial, Plant, Preparation, Quality, Quality Of, Quality Of Life, R, Randomised, Randomised Controlled Trials, Randomized Controlled Trials As Topic, Randomized Controlled-Trials, Reduction, Reference, Reference Lists, Relative Risk, Reporting, Review, Risk, Scale, Science, Search, Selection, Side Effects, Small, Standard, Structure, Symptoms, Term, Treatment, Trends, Trial, Universities, Vas, Web Of Science, Willow Bark Extract, Womac, World Health Organization</w:t>
      </w:r>
    </w:p>
    <w:p w:rsidR="00162B53" w:rsidRDefault="00162B53" w:rsidP="00162B53">
      <w:pPr>
        <w:pStyle w:val="a3"/>
        <w:rPr>
          <w:kern w:val="0"/>
        </w:rPr>
      </w:pPr>
      <w:r>
        <w:rPr>
          <w:rFonts w:hint="eastAsia"/>
          <w:kern w:val="0"/>
        </w:rPr>
        <w:t xml:space="preserve">? </w:t>
      </w:r>
      <w:r>
        <w:rPr>
          <w:kern w:val="0"/>
        </w:rPr>
        <w:t xml:space="preserve">Maconochie, I.K. and Bhaumik, S. (2014), Fluid therapy for acute bacterial meningitis. </w:t>
      </w:r>
      <w:r>
        <w:rPr>
          <w:i/>
          <w:iCs/>
          <w:kern w:val="0"/>
        </w:rPr>
        <w:lastRenderedPageBreak/>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CD004786</w:t>
      </w:r>
      <w:r>
        <w:rPr>
          <w:kern w:val="0"/>
        </w:rPr>
        <w:t>.</w:t>
      </w:r>
    </w:p>
    <w:p w:rsidR="00162B53" w:rsidRDefault="00162B53" w:rsidP="00162B53">
      <w:pPr>
        <w:pStyle w:val="a3"/>
      </w:pPr>
      <w:r>
        <w:t xml:space="preserve">Full Text: </w:t>
      </w:r>
      <w:hyperlink r:id="rId835" w:history="1">
        <w:r w:rsidR="00C16DB3" w:rsidRPr="00C16DB3">
          <w:rPr>
            <w:rStyle w:val="a5"/>
          </w:rPr>
          <w:t>2014\Coc Dat Sys Rev2014, CD004786.pdf</w:t>
        </w:r>
      </w:hyperlink>
    </w:p>
    <w:p w:rsidR="00162B53" w:rsidRDefault="00162B53" w:rsidP="00162B53">
      <w:pPr>
        <w:pStyle w:val="a3"/>
        <w:rPr>
          <w:kern w:val="0"/>
        </w:rPr>
      </w:pPr>
      <w:r>
        <w:rPr>
          <w:kern w:val="0"/>
        </w:rPr>
        <w:t>Abstract: Background Acute bacterial meningitis remains a disease with high mortality and morbidity rates. However, with prompt and adequate antimicrobial and supportive treatment, the chances for survival have improved, especially among infants and children. Careful management of fluid and electrolyte balance is an important supportive therapy. Both over-and under-hydration are associated with adverse outcomes. Objectives To evaluate treatment of acute bacterial meningitis with differing volumes of initial fluid administration (up to 72 hours after first presentation) and the effects on death and neurological sequelae. Search methods We searched the Cochrane Central Register of Controlled Trials (CENTRAL) (2013, Issue 10), MEDLINE (1966 to October week 5, 2013), EMBASE (1980 to November 2013), CINAHL (1981 to November 2013), LILACS (1982 to November 2013) and Web of Science (2010 to 2013). Selection criteria Randomised controlled trials (RCTs) of differing volumes of fluid given in the initial management of bacterial meningitis were eligible for inclusion. Data collection and analysis For this update we identified two abstracts, but after obtaining full texts we excluded them. Previous searches had identified six trials; on careful inspection three trials (415 children) met the inclusion criteria. All four of the original review authors extracted data and assessed trials for quality (one author, ROW, has died since the original review; see Acknowledgements). We combined data for meta-analysis using risk ratios (RRs) for dichotomous data or mean difference (MD) for continuous data. We used a fixed-effect statistical model. We assessed overall evidence quality using the GRADE approach. Main results There were no trials in adult populations. All included trials were on paediatric patient groups</w:t>
      </w:r>
      <w:r w:rsidR="00A37C1D">
        <w:rPr>
          <w:kern w:val="0"/>
        </w:rPr>
        <w:t>. The</w:t>
      </w:r>
      <w:r>
        <w:rPr>
          <w:kern w:val="0"/>
        </w:rPr>
        <w:t xml:space="preserve"> largest of the three trials was conducted in settings with high mortality rates</w:t>
      </w:r>
      <w:r w:rsidR="00A37C1D">
        <w:rPr>
          <w:kern w:val="0"/>
        </w:rPr>
        <w:t>. The</w:t>
      </w:r>
      <w:r>
        <w:rPr>
          <w:kern w:val="0"/>
        </w:rPr>
        <w:t xml:space="preserve"> meta-analysis found no significant difference between the maintenance-fluid and restricted-fluid groups in number of deaths (RR 0.82, 95% confidence interval (CI) 0.53 to 1.27; 407 participants) (moderate trial quality); acute severe neurological sequelae (RR 0.67, 95% CI 0.41 to 1.08; 407 participants) (very low trial quality); or in mild to moderate sequelae (RR 1.24, 95% CI 0.58 to 2.65; 357 participants) (moderate trial quality). However, when neurological sequelae were defined further, there was a statistically significant difference in favour of the maintenance-fluid group for spasticity (RR 0.50, 95% CI 0.27 to 0.93; 357 participants); seizures at both 72 hours (RR 0.59, 95% CI 0.42 to 0.83; 357 participants) and 14 days (RR 0.19, 95% CI 0.04 to 0.88; 357 participants); and chronic severe neurological sequelae at three months follow-up (RR 0.42, 95% CI 0.20 to 0.89; 351 participants). Authors</w:t>
      </w:r>
      <w:r w:rsidR="0071223E">
        <w:rPr>
          <w:kern w:val="0"/>
        </w:rPr>
        <w:t>’</w:t>
      </w:r>
      <w:r>
        <w:rPr>
          <w:kern w:val="0"/>
        </w:rPr>
        <w:t xml:space="preserve"> conclusions The quality of evidence regarding fluid therapy in children with acute bacterial meningitis is not high-grade and there is a need for further research. Some evidence </w:t>
      </w:r>
      <w:r>
        <w:rPr>
          <w:kern w:val="0"/>
        </w:rPr>
        <w:lastRenderedPageBreak/>
        <w:t>supports maintaining intravenous fluids rather than restricting them in the first 48 hours in settings with high mortality rates and where children present late. However, where children present early and mortality rates are lower, there is insufficient evidence to guide practice.</w:t>
      </w:r>
    </w:p>
    <w:p w:rsidR="00162B53" w:rsidRDefault="00162B53" w:rsidP="00162B53">
      <w:pPr>
        <w:pStyle w:val="a3"/>
        <w:rPr>
          <w:kern w:val="0"/>
        </w:rPr>
      </w:pPr>
      <w:r>
        <w:rPr>
          <w:kern w:val="0"/>
        </w:rPr>
        <w:t>Keywords: Acute Disease, Administration, Adult, Adverse Outcomes, Analysis, Antimicrobial, Approach, Authors, Balance, Cerebrospinal-Fluid, Child, Children, Chronic, Collection, Complications, Confidence, Criteria, Data, Data Collection, Death, Developing Countries, Disease, Effects, Embase, Evidence, First, Fluid Therapy [Adverse Effects, Follow-Up, Grade, Groups, Humans, Hyponatremia [Etiology], Infant, Infants, Inspection, Interval, Intravenous, Management, Medline, Meningitis, Meningitis,Bacterial [Complications, Meta Analysis, Meta-Analysis, Metaanalysis, Methods, Model, Morbidity, Mortality, Neurological, Outcomes, Populations, Practice, Presentation, Quality, Quality Of, Randomised Controlled Trials, Randomized Controlled Trials As Topic, Rates, Research, Restriction, Review, Risk, Science, Search, Seizures, Standards], Supportive Therapy, Survival, Therapy, Therapy], Treatment, Trial, Web Of Science</w:t>
      </w:r>
    </w:p>
    <w:p w:rsidR="00162B53" w:rsidRDefault="00162B53" w:rsidP="00162B53">
      <w:pPr>
        <w:pStyle w:val="a3"/>
        <w:rPr>
          <w:kern w:val="0"/>
        </w:rPr>
      </w:pPr>
      <w:r>
        <w:rPr>
          <w:rFonts w:hint="eastAsia"/>
          <w:kern w:val="0"/>
        </w:rPr>
        <w:t xml:space="preserve">? </w:t>
      </w:r>
      <w:r>
        <w:rPr>
          <w:kern w:val="0"/>
        </w:rPr>
        <w:t xml:space="preserve">Braithwaite, T., Nanji, A.A., Lindsley, K. and Greenberg, P.B. (2014), Anti-vascular endothelial growth factor for macular oedema secondary to central retinal vein occlusion.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CD007325</w:t>
      </w:r>
      <w:r>
        <w:rPr>
          <w:kern w:val="0"/>
        </w:rPr>
        <w:t>.</w:t>
      </w:r>
    </w:p>
    <w:p w:rsidR="00162B53" w:rsidRDefault="00162B53" w:rsidP="00162B53">
      <w:pPr>
        <w:pStyle w:val="a3"/>
      </w:pPr>
      <w:r>
        <w:t xml:space="preserve">Full Text: </w:t>
      </w:r>
      <w:hyperlink r:id="rId836" w:history="1">
        <w:r w:rsidR="00C16DB3" w:rsidRPr="00C16DB3">
          <w:rPr>
            <w:rStyle w:val="a5"/>
          </w:rPr>
          <w:t>2014\Coc Dat Sys Rev2014, CD007325.pdf</w:t>
        </w:r>
      </w:hyperlink>
    </w:p>
    <w:p w:rsidR="00162B53" w:rsidRDefault="00162B53" w:rsidP="00162B53">
      <w:pPr>
        <w:pStyle w:val="a3"/>
        <w:rPr>
          <w:kern w:val="0"/>
        </w:rPr>
      </w:pPr>
      <w:r>
        <w:rPr>
          <w:kern w:val="0"/>
        </w:rPr>
        <w:t>Abstract: Background Central retinal vein occlusion (CRVO) is a relatively common retinal vascular disorder in which macular oedema may develop, with a consequent reduction in visual acuity. Until recently there has been no treatment of proven benefit, but growing evidence supports the use of anti-vascular endothelial growth factor (anti-VEGF) agents. Objectives To investigate the effectiveness and safety of anti-VEGF therapies for the treatment of macular oedema secondary to CRVO. Search methods We searched CENTRAL (which contains the Cochrane Central Register of Controlled Trials (CENTRAL) and the Cochrane Eyes and Vision Group Trials Register) (The Cochrane Library 2013, Issue 10), Ovid MEDLINE (January 1950 to October 2013), EMBASE (January 1980 to October 2013), Latin American and Caribbean Health Sciences Literature Database (LILACS) (January 1982 to October 2013), Cumulative Index to Nursing and Allied Health Literature (CINAHL) (January 1937 to October 2013), OpenGrey, OpenSIGLE (January 1950 to October 2013), the metaRegister of Controlled Trials (mRCT) (www.controlled-trials.com), ClinicalTrials.gov (www.clinicaltrials.gov), the WHO International Clinical Trials Registry Platform (ICTRP) (www.who.int/ictrp/search/en) and Web of Science Conference Proceedings Citation Index-Science (CPCI-S)</w:t>
      </w:r>
      <w:r w:rsidR="00A37C1D">
        <w:rPr>
          <w:kern w:val="0"/>
        </w:rPr>
        <w:t>. The</w:t>
      </w:r>
      <w:r>
        <w:rPr>
          <w:kern w:val="0"/>
        </w:rPr>
        <w:t>re were no language or date restrictions in the electronic search for trials</w:t>
      </w:r>
      <w:r w:rsidR="00A37C1D">
        <w:rPr>
          <w:kern w:val="0"/>
        </w:rPr>
        <w:t>. The</w:t>
      </w:r>
      <w:r>
        <w:rPr>
          <w:kern w:val="0"/>
        </w:rPr>
        <w:t xml:space="preserve"> electronic databases and </w:t>
      </w:r>
      <w:r>
        <w:rPr>
          <w:kern w:val="0"/>
        </w:rPr>
        <w:lastRenderedPageBreak/>
        <w:t>clinical trials registers were last searched on 29th October 2013. Selection criteria We considered randomised controlled trials (RCTs) that compared intravitreal anti-VEGF agents of any dose or duration to sham injection or no treatment. We focused on studies that included individuals of any age or gender and a minimum of six months follow-up. Data collection and analysis Two review authors independently assessed trial quality and extracted data</w:t>
      </w:r>
      <w:r w:rsidR="00A37C1D">
        <w:rPr>
          <w:kern w:val="0"/>
        </w:rPr>
        <w:t>. The</w:t>
      </w:r>
      <w:r>
        <w:rPr>
          <w:kern w:val="0"/>
        </w:rPr>
        <w:t xml:space="preserve"> primary outcome was the proportion of participants with a gain in best-corrected visual acuity (BCVA) from baseline of greater than or equal to 15 letters (3 lines) on the Early Treatment of Diabetic Retinopathy Study (ETDRS) chart. Secondary outcomes included the proportion of participants with a loss of 15 letters or more of BCVA, the mean change from baseline BCVA, the mean change in central retinal thickness (CRT), the number and type of complications or adverse outcomes, and the number of additional interventions administered. Where available, we also presented quality of life and economic data. Main results We found six RCTs that met the inclusion criteria after independent and duplicate review of the search results</w:t>
      </w:r>
      <w:r w:rsidR="00A37C1D">
        <w:rPr>
          <w:kern w:val="0"/>
        </w:rPr>
        <w:t>. The</w:t>
      </w:r>
      <w:r>
        <w:rPr>
          <w:kern w:val="0"/>
        </w:rPr>
        <w:t>se RCTs included 937 participants and compared outcomes at six months to sham injection for four anti-VEGF agents: aflibercept (VEGF Trap-Eye, Eylea), bevacizumab (Avastin), pegaptanib sodium (Macugen) and ranibizumab (Lucentis). Three trials were conducted in Norway, Sweden and the USA, and three trials were multicentre, one including centres in the USA, Canada, India, Israel, Argentina and Columbia, a second including centres in the USA, Australia, France, Germany, Israel, and Spain, and a third including centres in Austria, France, Germany, Hungary, Italy, Latvia, Australia, Japan, Singapore and South Korea. We performed meta-analysis on three key visual outcomes, using data from up to six trials. High-quality evidence from six trials revealed that participants receiving intravitreal anti-VEGF treatment were 2.71 times more likely to gain at least 15 letters of visual acuity at six months compared to participants treated with sham injections (risk ratio (RR) 2.71; 95% confidence intervals (CI) 2.10 to 3.49). High-quality evidence from five trials suggested anti-VEGF treatment was associated with an 80% lower risk of losing at least 15 letters of visual acuity at six months compared to sham injection (RR 0.20; 95% CI 0.12 to 0.34). Moderate-quality evidence from three trials (481 participants) revealed that the mean reduction from baseline to six months in central retinal thickness was 267.4 mu m (95% CI 211.4 mu m to 323.4 mu m) greater in participants treated with anti-VEGF than in participants treated with sham</w:t>
      </w:r>
      <w:r w:rsidR="00A37C1D">
        <w:rPr>
          <w:kern w:val="0"/>
        </w:rPr>
        <w:t>. The</w:t>
      </w:r>
      <w:r>
        <w:rPr>
          <w:kern w:val="0"/>
        </w:rPr>
        <w:t xml:space="preserve"> meta-analyses demonstrate that treatment with anti-VEGF is associated with a clinically meaningful gain in vision at six months. One trial demonstrated sustained benefit at 12 months compared to sham. No significant ocular or systemic safety concerns were identified in this time period. Authors</w:t>
      </w:r>
      <w:r w:rsidR="0071223E">
        <w:rPr>
          <w:kern w:val="0"/>
        </w:rPr>
        <w:t>’</w:t>
      </w:r>
      <w:r>
        <w:rPr>
          <w:kern w:val="0"/>
        </w:rPr>
        <w:t xml:space="preserve"> conclusions Compared to no treatment, repeated intravitreal injection of anti-VEGF agents in eyes with CRVO macular oedema </w:t>
      </w:r>
      <w:r>
        <w:rPr>
          <w:kern w:val="0"/>
        </w:rPr>
        <w:lastRenderedPageBreak/>
        <w:t>improved visual outcomes at six months. All agents were relatively well tolerated with a low incidence of adverse effects in the short term. Future trials should address the relative efficacy and safety of the anti-VEGF agents and other treatments, including intravitreal corticosteroids, for longer-term outcomes.</w:t>
      </w:r>
    </w:p>
    <w:p w:rsidR="00162B53" w:rsidRDefault="00162B53" w:rsidP="00162B53">
      <w:pPr>
        <w:pStyle w:val="a3"/>
        <w:rPr>
          <w:kern w:val="0"/>
        </w:rPr>
      </w:pPr>
      <w:r>
        <w:rPr>
          <w:kern w:val="0"/>
        </w:rPr>
        <w:t>Keywords: Adverse Effects, Adverse Outcomes, Age, Analysis, Antibodies,Monoclonal [Therapeutic Use], Antibodies,Monoclonal,Humanized, Aptamers,Nucleotide [Therapeutic Use], Argentina, Australia, Austria, Authors, Bevacizumab, Canada, Citation, Clinical, Clinical Trials, Coherence Tomography, Collection, Complications, Conference, Confidence, Confidence Intervals, Corticosteroids, Criteria, Data, Data Collection, Database, Databases, Duration, Economic, Effectiveness, Effects, Efficacy, Embase, Etiology], Evidence, Follow-Up, France, Gender, Germany, Growth, Growth Factor, Health, Humans, Hungary, Incidence, India, Injections, Intervals, Interventions, Intravitreal Aflibercept Injection, Israel, Italy, Japan, Korea, Language, Latvia, Life, Literature, Macular Edema [Drug Therapy, Medline, Meta Analysis, Meta-Analysis, Metaanalysis, Methods, Minimum, Norway, Nursing, Occlusion, Ocular Diseases, Outcome, Outcomes, Phase-Iii, Primary, Proceedings, Quality, Quality Of, Quality Of Life, Radial Optic Neurotomy, Randomised, Randomised Controlled Trials, Randomized Controlled Trials As Topic, Reduction, Restrictions, Retinal Vein Occlusion [Complications], Review, Risk, Risk-Factors, Safety, Science, Sciences, Search, Singapore, Sodium, South Korea, Spain, Study-Group Pacores, Sweden, Term, Time Period, Treatment, Trial, Usa, Vascular Endothelial Growth Factor A [Antagonists &amp; Inhibitors], Vegf, Vegf Trap, Visual-Acuity, Web Of Science, WHO</w:t>
      </w:r>
    </w:p>
    <w:p w:rsidR="00162B53" w:rsidRDefault="00162B53" w:rsidP="00162B53">
      <w:pPr>
        <w:pStyle w:val="a3"/>
        <w:rPr>
          <w:kern w:val="0"/>
        </w:rPr>
      </w:pPr>
      <w:r>
        <w:rPr>
          <w:rFonts w:hint="eastAsia"/>
          <w:kern w:val="0"/>
        </w:rPr>
        <w:t xml:space="preserve">? </w:t>
      </w:r>
      <w:r>
        <w:rPr>
          <w:kern w:val="0"/>
        </w:rPr>
        <w:t xml:space="preserve">Lassi, Z.S., Kumar, R., Das, J.K., Salam, R.A. and Bhutta, Z.A. (2014), Antibiotic therapy versus no antibiotic therapy for children aged two to 59 months with WHO-defined non-severe pneumonia and wheeze.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CD009576</w:t>
      </w:r>
      <w:r>
        <w:rPr>
          <w:kern w:val="0"/>
        </w:rPr>
        <w:t>.</w:t>
      </w:r>
    </w:p>
    <w:p w:rsidR="00162B53" w:rsidRDefault="00162B53" w:rsidP="00162B53">
      <w:pPr>
        <w:pStyle w:val="a3"/>
      </w:pPr>
      <w:r>
        <w:t xml:space="preserve">Full Text: </w:t>
      </w:r>
      <w:hyperlink r:id="rId837" w:history="1">
        <w:r w:rsidR="00C16DB3" w:rsidRPr="00C16DB3">
          <w:rPr>
            <w:rStyle w:val="a5"/>
          </w:rPr>
          <w:t>2014\Coc Dat Sys Rev2014, CD009576.pdf</w:t>
        </w:r>
      </w:hyperlink>
    </w:p>
    <w:p w:rsidR="00162B53" w:rsidRDefault="00162B53" w:rsidP="00162B53">
      <w:pPr>
        <w:pStyle w:val="a3"/>
        <w:rPr>
          <w:kern w:val="0"/>
        </w:rPr>
      </w:pPr>
      <w:r>
        <w:rPr>
          <w:kern w:val="0"/>
        </w:rPr>
        <w:t>Abstract: Background Worldwide, pneumonia is the leading cause of death among children under five years of age and accounts for approximately two million deaths annually</w:t>
      </w:r>
      <w:r w:rsidR="00A37C1D">
        <w:rPr>
          <w:kern w:val="0"/>
        </w:rPr>
        <w:t>. The</w:t>
      </w:r>
      <w:r>
        <w:rPr>
          <w:kern w:val="0"/>
        </w:rPr>
        <w:t xml:space="preserve"> World Health Organization (WHO) has developed case management guidelines based on simple clinical signs to help clinicians decide on the appropriate pneumonia treatment. Children and infants who exhibit fast breathing (50 breaths per minute or more in infants two months to 12 months of age and 40 or more in children 12 months to five years of age) and cough are presumed to have non-severe pneumonia and the WHO recommends antibiotics. Implementation of these guidelines to identify and manage pneumonia at the community level has been shown to reduce acute respiratory infection (ARI)-related mortality by 36%, although apprehension exists regarding these results due to the questionable quality of </w:t>
      </w:r>
      <w:r>
        <w:rPr>
          <w:kern w:val="0"/>
        </w:rPr>
        <w:lastRenderedPageBreak/>
        <w:t>evidence. As WHO guidelines do not make a distinction between viral and bacterial pneumonia, these children continue to receive antibiotics because of the concern that it may not be safe to do otherwise</w:t>
      </w:r>
      <w:r w:rsidR="00A37C1D">
        <w:rPr>
          <w:kern w:val="0"/>
        </w:rPr>
        <w:t>. The</w:t>
      </w:r>
      <w:r>
        <w:rPr>
          <w:kern w:val="0"/>
        </w:rPr>
        <w:t>refore, it is essential to explore the role of antibiotics in children with WHO-defined non-severe pneumonia and wheeze and to develop effective guidelines for initial antibiotic treatment. Objectives To evaluate the efficacy of antibiotic therapy versus no antibiotic therapy for children aged two to 59 months with WHO-defined non-severe pneumonia and wheeze. Search methods We searched CENTRAL (2014, Issue 1), MEDLINE (1946 to March week 3, 2014), EMBASE (January 2010 to March 2014), CINAHL (1981 to March 2014), LILACS (1982 to March 2014), Networked Digital Library of Theses and Dissertations (23 July 2013) and Web of Science (1985 to March 2014). Selection criteria Randomised controlled trials (RCTs) evaluating the efficacy of antibiotic therapy versus no antibiotic therapy for children aged two to 59 months with non-severe pneumonia and wheeze. We considered studies that defined non-severe pneumonia as cough or difficulty in breathing with a respiratory rate above the WHO-defined age-specific values (respiratory rate of 50 breaths per minute or more for children aged two to 12 months, or a respiratory rate of 40 breaths per minute or more for children aged 12 to 59 months) and wheeze for inclusion. We have excluded non-RCTs (quasi-RCTs). Data collection and analysis Two review authors independently assessed the search results and extracted data. Main results We did not identify any study that completely fulfilled our inclusion criteria. Authors</w:t>
      </w:r>
      <w:r w:rsidR="0071223E">
        <w:rPr>
          <w:kern w:val="0"/>
        </w:rPr>
        <w:t>’</w:t>
      </w:r>
      <w:r>
        <w:rPr>
          <w:kern w:val="0"/>
        </w:rPr>
        <w:t xml:space="preserve"> conclusions There is a clear need for RCTs to address this question in representative populations. We do not currently have evidence to support or challenge the continued use of antibiotics for the treatment of non-severe pneumonia, as suggested by WHO guidelines.</w:t>
      </w:r>
    </w:p>
    <w:p w:rsidR="00162B53" w:rsidRDefault="00162B53" w:rsidP="00162B53">
      <w:pPr>
        <w:pStyle w:val="a3"/>
        <w:rPr>
          <w:kern w:val="0"/>
        </w:rPr>
      </w:pPr>
      <w:r>
        <w:rPr>
          <w:kern w:val="0"/>
        </w:rPr>
        <w:t>Keywords: Age, Aged, Analysis, Antibiotic, Antibiotic Therapy, Antibiotics, Authors, Case Management, Case-Management, Cause Of Death, Challenge, Childhood Pneumonia, Children, Clinical, Collection, Community, Conjugate Vaccine, Cough, Criteria, Data, Data Collection, Death, Developing-Countries, Digital, Dissertations, Double-Blind, Efficacy, Embase, Evidence, Global Burden, Guidelines, Health, Implementation, Infants, Infection, Management, Medline, Methods, Mortality, Oral Amoxicillin, Placebo-Controlled Trial, Pneumonia, Populations, Quality, Quality Of, Randomised Controlled Trials, Randomized Controlled-Trial, Respiratory Syncytial Virus, Review, Role, Science, Search, Support, Therapy, Theses, Treatment, Viral, Web Of Science, WHO, World Health Organization</w:t>
      </w:r>
    </w:p>
    <w:p w:rsidR="00162B53" w:rsidRDefault="00162B53" w:rsidP="00162B53">
      <w:pPr>
        <w:pStyle w:val="a3"/>
        <w:rPr>
          <w:kern w:val="0"/>
        </w:rPr>
      </w:pPr>
      <w:r>
        <w:rPr>
          <w:rFonts w:hint="eastAsia"/>
          <w:kern w:val="0"/>
        </w:rPr>
        <w:t xml:space="preserve">? </w:t>
      </w:r>
      <w:r>
        <w:rPr>
          <w:kern w:val="0"/>
        </w:rPr>
        <w:t xml:space="preserve">Mahtani, K.R., Heneghan, C.J., Nunan, D. and Roberts, N.W. (2014), Vitamin K for improved anticoagulation control in patients receiving warfarin.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CD009917</w:t>
      </w:r>
      <w:r>
        <w:rPr>
          <w:kern w:val="0"/>
        </w:rPr>
        <w:t>.</w:t>
      </w:r>
    </w:p>
    <w:p w:rsidR="00162B53" w:rsidRDefault="00162B53" w:rsidP="00162B53">
      <w:pPr>
        <w:pStyle w:val="a3"/>
      </w:pPr>
      <w:r>
        <w:t xml:space="preserve">Full Text: </w:t>
      </w:r>
      <w:hyperlink r:id="rId838" w:history="1">
        <w:r w:rsidR="00C16DB3" w:rsidRPr="00C16DB3">
          <w:rPr>
            <w:rStyle w:val="a5"/>
          </w:rPr>
          <w:t>2014\Coc Dat Sys Rev2014, CD009917.pdf</w:t>
        </w:r>
      </w:hyperlink>
    </w:p>
    <w:p w:rsidR="00162B53" w:rsidRDefault="00162B53" w:rsidP="00162B53">
      <w:pPr>
        <w:pStyle w:val="a3"/>
        <w:rPr>
          <w:kern w:val="0"/>
        </w:rPr>
      </w:pPr>
      <w:r>
        <w:rPr>
          <w:kern w:val="0"/>
        </w:rPr>
        <w:t xml:space="preserve">Abstract: Background Effective use of warfarin involves keeping the international </w:t>
      </w:r>
      <w:r>
        <w:rPr>
          <w:kern w:val="0"/>
        </w:rPr>
        <w:lastRenderedPageBreak/>
        <w:t>normalised ratio (INR) within a relatively narrow therapeutic range. However, patients respond widely to their dose of warfarin. Overcoagulation can lead to an increased risk of excessive bleeding, while undercoagulation can lead to increased clot formation</w:t>
      </w:r>
      <w:r w:rsidR="00A37C1D">
        <w:rPr>
          <w:kern w:val="0"/>
        </w:rPr>
        <w:t>. The</w:t>
      </w:r>
      <w:r>
        <w:rPr>
          <w:kern w:val="0"/>
        </w:rPr>
        <w:t>re is some evidence that patients with a variable response to warfarin may benefit from a concomitant low dose of vitamin K. Objectives To assess the effects of concomitant supplementation of low-dose oral vitamin K for anticoagulation control in patients being initiated on or taking a maintenance dose of warfarin. Search methods To identify previous reviews, we searched the Database of Abstracts of Reviews of Effects (DARE via The Cochrane Library, Wiley) (Issue 2, 2011). To identify primary studies, we searched the Cochrane Central Register of Controlled Trials (CENTRAL via The Cochrane Library, Wiley) (Issue 2, 2014), Ovid MEDLINE (R) In-Process &amp; Other Non-Indexed Citations database and Ovid MEDLINE (R) (OvidSP) (1946 to 25 February 2014), Embase (OvidSP) (1974 to week 8 of 2014), Science Citation Index Expanded T &amp; Conference Proceedings Citation Index - Science (Web of Science T) (1945 to 27 February 2014), and the NHS Economics Evaluations Database (NHS EED) (via The Cochrane Library, Wiley) (Issue 2, 2014). We did not apply any language or date restrictions. We used additional methods to identify grey literature and ongoing studies. Selection criteria Randomised controlled trials comparing the addition of vitamin K versus placebo in patients initiating warfarin or already taking warfarin. Data collection and analysis Two review authors independently selected and extracted data from included studies. When disagreement arose, a third author helped reached a consensus. We also assessed risk of bias. Main results We identified two studies with a total of 100 participants for inclusion in the review. We found the overall risk of bias to be unclear in a number of domains. Neither study reported the time taken to the fi rst INR in range. Only one study (70 participants) reported the mean time in therapeutic range as a percentage. This study found that in the group of participants deemed to have poor INR control, the addition of 150 micrograms (mcg) oral vitamin K significantly improved anticoagulation control in those with unexplained instability of response to warfarin</w:t>
      </w:r>
      <w:r w:rsidR="00A37C1D">
        <w:rPr>
          <w:kern w:val="0"/>
        </w:rPr>
        <w:t>. The</w:t>
      </w:r>
      <w:r>
        <w:rPr>
          <w:kern w:val="0"/>
        </w:rPr>
        <w:t xml:space="preserve"> second study (30 participants) reported the effect of 175 mcg oral vitamin K versus placebo on participants with high variability in their INR levels</w:t>
      </w:r>
      <w:r w:rsidR="00A37C1D">
        <w:rPr>
          <w:kern w:val="0"/>
        </w:rPr>
        <w:t>. The</w:t>
      </w:r>
      <w:r>
        <w:rPr>
          <w:kern w:val="0"/>
        </w:rPr>
        <w:t xml:space="preserve"> study concluded that vitamin K supplementation did not significantly improve the stability of anticoagulation for participants on chronic anticoagulation therapy. However, the study was only available in abstract form, and communication with the lead author confirmed that there were no further publications</w:t>
      </w:r>
      <w:r w:rsidR="00A37C1D">
        <w:rPr>
          <w:kern w:val="0"/>
        </w:rPr>
        <w:t>. The</w:t>
      </w:r>
      <w:r>
        <w:rPr>
          <w:kern w:val="0"/>
        </w:rPr>
        <w:t>refore, we interpreted this conclusion with caution. Neither study reported any thromboembolic events, haemorrhage, or death from the addition of vitamin K supplementation. Authors</w:t>
      </w:r>
      <w:r w:rsidR="0071223E">
        <w:rPr>
          <w:kern w:val="0"/>
        </w:rPr>
        <w:t>’</w:t>
      </w:r>
      <w:r>
        <w:rPr>
          <w:kern w:val="0"/>
        </w:rPr>
        <w:t xml:space="preserve"> conclusions Two included studies in this review compared whether the addition of a low dose (150 to 175 mcg) of vitamin K given to participants with a </w:t>
      </w:r>
      <w:r>
        <w:rPr>
          <w:kern w:val="0"/>
        </w:rPr>
        <w:lastRenderedPageBreak/>
        <w:t>high-variability response to warfarin improved their INR control. One study demonstrated a significant improvement, while another smaller study (published in abstract only) suggested no overall benefit. Currently, there are insufficient data to suggest an overall benefit. Larger, higher quality trials are needed to examine if low-dose vitamin K improves INR control in those starting or already taking warfarin.</w:t>
      </w:r>
    </w:p>
    <w:p w:rsidR="00162B53" w:rsidRDefault="00162B53" w:rsidP="00162B53">
      <w:pPr>
        <w:pStyle w:val="a3"/>
        <w:rPr>
          <w:kern w:val="0"/>
        </w:rPr>
      </w:pPr>
      <w:r>
        <w:rPr>
          <w:kern w:val="0"/>
        </w:rPr>
        <w:t>Keywords: Analysis, Anticoagulation, Atrial-Fibrillation, Authors, Bias, Bleeding, Chronic, Citation, Citations, Clinical-Practice, Collection, Communication, Concomitant, Conference, Consensus, Control, Criteria, Data, Data Collection, Database, Death, Economics, Effects, Events, Evidence, Haemorrhage, Improvement, International, Language, Lead, Literature, Low-Dose, Management, Medline, Metaanalysis, Methods, Nhs, Oral, Oral Anticoagulation, Patients, Placebo, Primary, Proceedings, Publications, Quality, R, Randomised Controlled Trials, Response, Restrictions, Review, Reviews, Risk, Science, Science Citation Index, Science Citation Index Expanded, Search, Stability, Stroke Prevention, Supplementation, Therapeutic, Therapy, Trial, Variability, Vitamin, Warfarin, Web Of Science</w:t>
      </w:r>
    </w:p>
    <w:p w:rsidR="00162B53" w:rsidRDefault="00162B53" w:rsidP="00162B53">
      <w:pPr>
        <w:pStyle w:val="a3"/>
        <w:rPr>
          <w:kern w:val="0"/>
        </w:rPr>
      </w:pPr>
      <w:r>
        <w:rPr>
          <w:rFonts w:hint="eastAsia"/>
          <w:kern w:val="0"/>
        </w:rPr>
        <w:t xml:space="preserve">? </w:t>
      </w:r>
      <w:r>
        <w:rPr>
          <w:kern w:val="0"/>
        </w:rPr>
        <w:t xml:space="preserve">Gilbert-Kawai, E.T., Mitchell, K., Martin, D., Carlisle, J. and Grocott, M.P.W. (2014), Permissive hypoxaemia versus normoxaemia for mechanically ventilated critically ill patients.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CD009931</w:t>
      </w:r>
      <w:r>
        <w:rPr>
          <w:kern w:val="0"/>
        </w:rPr>
        <w:t>.</w:t>
      </w:r>
    </w:p>
    <w:p w:rsidR="00162B53" w:rsidRDefault="00162B53" w:rsidP="00162B53">
      <w:pPr>
        <w:pStyle w:val="a3"/>
      </w:pPr>
      <w:r>
        <w:t xml:space="preserve">Full Text: </w:t>
      </w:r>
      <w:hyperlink r:id="rId839" w:history="1">
        <w:r w:rsidR="00C16DB3" w:rsidRPr="00C16DB3">
          <w:rPr>
            <w:rStyle w:val="a5"/>
          </w:rPr>
          <w:t>2014\Coc Dat Sys Rev2014, CD009931.pdf</w:t>
        </w:r>
      </w:hyperlink>
    </w:p>
    <w:p w:rsidR="00162B53" w:rsidRDefault="00162B53" w:rsidP="00162B53">
      <w:pPr>
        <w:pStyle w:val="a3"/>
        <w:rPr>
          <w:kern w:val="0"/>
        </w:rPr>
      </w:pPr>
      <w:r>
        <w:rPr>
          <w:kern w:val="0"/>
        </w:rPr>
        <w:t>Abstract: Background Permissive hypoxaemia describes a concept in which a lower level of arterial oxygenation (PaO2) than usual is accepted to avoid the detrimental effects of high fractional inspired oxygen and invasive mechanical ventilation. Currently however, no specific threshold is known that defines permissive hypoxaemia, and its use in adults remains formally untested</w:t>
      </w:r>
      <w:r w:rsidR="00A37C1D">
        <w:rPr>
          <w:kern w:val="0"/>
        </w:rPr>
        <w:t>. The</w:t>
      </w:r>
      <w:r>
        <w:rPr>
          <w:kern w:val="0"/>
        </w:rPr>
        <w:t xml:space="preserve"> importance of this systematic review is thus to determine whether any substantial evidence is available to support the notion that permissive hypoxaemia may improve clinical outcomes in mechanically ventilated critically ill patients. Objectives We assessed whether permissive hypoxaemia (accepting a lower PaO2 than is current practice) in mechanically ventilated critically ill patients affects patient morbidity and mortality. We planned to conduct subgroup and sensitivity analyses and to examine the role of bias to determine the level of evidence provided. Search methods We searched the Cochrane Central Register of Controlled Trials (CENTRAL) 2013, Issue 11, part of The Cochrane Library; MEDLINE (1954 to November 2013); EMBASE (1980 toNovember 2013); CINAHL (1982 toNovember 2013) and ISI Web of Science (1946 to November 2013). We combined the sensitive search strategies described in the Cochrane Handbook for Systematic Reviews of Interventions to search for randomized controlled trials (RCTs) in MEDLINE and EMBASE. For ongoing trials, we also searched the following databases: MetaRegister of ControlledTrials and the </w:t>
      </w:r>
      <w:r>
        <w:rPr>
          <w:kern w:val="0"/>
        </w:rPr>
        <w:lastRenderedPageBreak/>
        <w:t xml:space="preserve">National Research Register. We applied no language restrictions. Selection criteria RCTs and quasi-RCTs that compared outcomes for mechanically ventilated critically ill participants, in which the intervention group was targeted to be hypoxaemic relative to the control group, and the control group was normoxaemic or was mildly hypoxaemic, were eligible for inclusion in this review. Exact values defining </w:t>
      </w:r>
      <w:r w:rsidR="0071223E">
        <w:rPr>
          <w:kern w:val="0"/>
        </w:rPr>
        <w:t>‘</w:t>
      </w:r>
      <w:r>
        <w:rPr>
          <w:kern w:val="0"/>
        </w:rPr>
        <w:t>conventional</w:t>
      </w:r>
      <w:r w:rsidR="0071223E">
        <w:rPr>
          <w:kern w:val="0"/>
        </w:rPr>
        <w:t>’</w:t>
      </w:r>
      <w:r>
        <w:rPr>
          <w:kern w:val="0"/>
        </w:rPr>
        <w:t xml:space="preserve"> and </w:t>
      </w:r>
      <w:r w:rsidR="0071223E">
        <w:rPr>
          <w:kern w:val="0"/>
        </w:rPr>
        <w:t>‘</w:t>
      </w:r>
      <w:r>
        <w:rPr>
          <w:kern w:val="0"/>
        </w:rPr>
        <w:t>permissive hypoxaemia</w:t>
      </w:r>
      <w:r w:rsidR="0071223E">
        <w:rPr>
          <w:kern w:val="0"/>
        </w:rPr>
        <w:t>’</w:t>
      </w:r>
      <w:r>
        <w:rPr>
          <w:kern w:val="0"/>
        </w:rPr>
        <w:t xml:space="preserve"> groupings were purposely not specified, and the manner in which these oxygenation goals were achieved also was not specified. We did state however that the intervention group required a target oxygenation level lower than that of the control group, and that the control group target levels should be in the range of normoxaemia or mild hypoxaemia (not hyperoxaemia). Data collection and analysis We used standard methodological procedures expected by The Cochrane Collaboration. Using the results of the above searches, two review authors (EG-K and KM) independently screened all titles and abstracts for eligibility and duplication. No discrepancies were encountered, nor was it necessary for review authors to contact the first author of any trial to ask for additional information. Main results Our search strategy yielded a total of 2419 results. After exclusion of duplications, 1651 candidate studies were identified. Screening of titles and abstracts revealed that no studies met our inclusion criteria. Authors</w:t>
      </w:r>
      <w:r w:rsidR="0071223E">
        <w:rPr>
          <w:kern w:val="0"/>
        </w:rPr>
        <w:t>’</w:t>
      </w:r>
      <w:r>
        <w:rPr>
          <w:kern w:val="0"/>
        </w:rPr>
        <w:t xml:space="preserve"> conclusions This comprehensive review failed to identify any relevant studies evaluating permissive hypoxaemia versus normoxaemia in mechanically ventilated critically ill participants</w:t>
      </w:r>
      <w:r w:rsidR="00A37C1D">
        <w:rPr>
          <w:kern w:val="0"/>
        </w:rPr>
        <w:t>. The</w:t>
      </w:r>
      <w:r>
        <w:rPr>
          <w:kern w:val="0"/>
        </w:rPr>
        <w:t>refore we are unable to support or refute the hypothesis that this treatment strategy is of benefit to patients. Given the substantial amount of provocative evidence derived from related clinical contexts (resuscitation, myocardial infarction, stroke), we believe that this review highlights an important unanswered question within critical care. In the presence of two competing harms (hypoxia and hyperoxia), it will be important to carefully evaluate the safety and feasibility of permissive hypoxaemia before proceeding to efficacy and effectiveness trials.</w:t>
      </w:r>
    </w:p>
    <w:p w:rsidR="00162B53" w:rsidRDefault="00162B53" w:rsidP="00162B53">
      <w:pPr>
        <w:pStyle w:val="a3"/>
        <w:rPr>
          <w:kern w:val="0"/>
        </w:rPr>
      </w:pPr>
      <w:r>
        <w:rPr>
          <w:kern w:val="0"/>
        </w:rPr>
        <w:t xml:space="preserve">Keywords: Analyses, Analysis, Association, Authors, Bias, Care, Clinical, Clinical Outcomes, Cochrane Collaboration, Collaboration, Collection, Concept, Control, Conventional, Criteria, Critical Care, Data, Data Collection, Databases, Detrimental Effects, Effectiveness, Effects, Efficacy, Embase, Everest, Evidence, Feasibility, First, Hypoxia, Infarction, Information, Intensive-Care-Unit, Intervention, Interventions, Invasive, ISI, ISI Web Of Science, Language, Mechanical Ventilation, Medline, Methods, Morbidity, Mortality, Myocardial Infarction, Notion, Outcomes, Oxygen, Oxygenation, Patients, Practice, Procedures, Pulmonary Oxygen-Toxicity, Randomized, Randomized Controlled Trials, Research, Respiratory-Distress-Syndrome, Restrictions, Resuscitation, Review, Role, Safety, Science, Screening, Search, Search Strategies, Search Strategy, Sensitivity, Standard, </w:t>
      </w:r>
      <w:r>
        <w:rPr>
          <w:kern w:val="0"/>
        </w:rPr>
        <w:lastRenderedPageBreak/>
        <w:t>State, Strategies, Strategy, Stroke, Support, Systematic, Systematic Review, Systematic Reviews, Threshold, Treatment, Trial, Ventilation, Web Of Science</w:t>
      </w:r>
    </w:p>
    <w:p w:rsidR="00162B53" w:rsidRDefault="00162B53" w:rsidP="00162B53">
      <w:pPr>
        <w:pStyle w:val="a3"/>
        <w:rPr>
          <w:kern w:val="0"/>
        </w:rPr>
      </w:pPr>
      <w:r>
        <w:rPr>
          <w:rFonts w:hint="eastAsia"/>
          <w:kern w:val="0"/>
        </w:rPr>
        <w:t xml:space="preserve">? </w:t>
      </w:r>
      <w:r>
        <w:rPr>
          <w:kern w:val="0"/>
        </w:rPr>
        <w:t xml:space="preserve">Chan, E.Y., Fransen, M., Parker, D.A., Assam, P.N. and Chua, N. (2014), Femoral nerve blocks for acute postoperative pain after knee replacement surgery.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2575CB">
        <w:rPr>
          <w:kern w:val="0"/>
        </w:rPr>
        <w:t>CD009941</w:t>
      </w:r>
      <w:r>
        <w:rPr>
          <w:kern w:val="0"/>
        </w:rPr>
        <w:t>.</w:t>
      </w:r>
    </w:p>
    <w:p w:rsidR="00162B53" w:rsidRDefault="00162B53" w:rsidP="00162B53">
      <w:pPr>
        <w:pStyle w:val="a3"/>
      </w:pPr>
      <w:r>
        <w:t xml:space="preserve">Full Text: </w:t>
      </w:r>
      <w:hyperlink r:id="rId840" w:history="1">
        <w:r w:rsidR="00C16DB3" w:rsidRPr="00C16DB3">
          <w:rPr>
            <w:rStyle w:val="a5"/>
          </w:rPr>
          <w:t>2014\Coc Dat Sys Rev2014, CD009941.pdf</w:t>
        </w:r>
      </w:hyperlink>
    </w:p>
    <w:p w:rsidR="00162B53" w:rsidRDefault="00162B53" w:rsidP="00162B53">
      <w:pPr>
        <w:pStyle w:val="a3"/>
        <w:rPr>
          <w:kern w:val="0"/>
        </w:rPr>
      </w:pPr>
      <w:r>
        <w:rPr>
          <w:kern w:val="0"/>
        </w:rPr>
        <w:t>Abstract: Background Total knee replacement (TKR) is a common and often painful operation. Femoral nerve block (FNB) is frequently used for postoperative analgesia. Objectives To evaluate the benefits and risks of FNB used as a postoperative analgesic technique relative to other analgesic techniques among adults undergoing TKR. Search methods We searched the Cochrane Central Register of Controlled Trials (CENTRAL) 2013, Issue 1, MEDLINE, EMBASE, CINAHL, Web of Science, dissertation abstracts and reference lists of included studies</w:t>
      </w:r>
      <w:r w:rsidR="00A37C1D">
        <w:rPr>
          <w:kern w:val="0"/>
        </w:rPr>
        <w:t>. The</w:t>
      </w:r>
      <w:r>
        <w:rPr>
          <w:kern w:val="0"/>
        </w:rPr>
        <w:t xml:space="preserve"> date of the last search was 31 January 2013. Selection criteria We included randomized controlled trials (RCTs) comparing FNB with no FNB (intravenous patient-controlled analgesia (PCA) opioid, epidural analgesia, local infiltration analgesia, and oral analgesia) in adults after TKR. We also included RCTs that compared continuous versus single-shot FNB. Data collection and analysis Two review authors independently performed study selection and data extraction. We undertook meta-analysis (random-effects model) and used relative risk ratios (RRs) for dichotomous outcomes and mean differences (MDs) or standardized mean differences (SMDs) for continuous outcomes. We interpreted SMDs according to rule of thumb where 0.2 or smaller represents a small effect, 0.5 a moderate effect and 0.8 or larger, a large effect. Main results We included 45 eligible RCTs (2710 participants) from 47 publications; 20 RCTs had more than two allocation groups. A total of 29 RCTs compared FNB (with or without concurrent treatments including PCA opioid) versus PCA opioid, 10 RCTs compared FNB versus epidural, five RCTs compared FNB versus local infiltration analgesia, one RCT compared FNB versus oral analgesia and four RCTs compared continuous versus single-shot FNB. Most included RCTs were rated as low or unclear risk of bias for the aspects rated in the risk of bias assessment tool, except for the aspect of blinding. We rated 14 (31%) RCTs at high risk for both participant and assessor blinding and rated eight (18%) RCTs at high risk for one blinding aspect. Pain at rest and pain on movement were less for FNB (of any type) with or without a concurrent PCA opioid compared with PCA opioid alone during the first 72 hours post operation. Pooled results demonstrated a moderate effect of FNB for pain at rest at 24 hours (19 RCTs, 1066 participants, SMD -0.72, 95% CI -0.93 to -0.51, moderate-quality evidence) and a moderate to large effect for pain on movement at 24 hours (17 RCTs, 1017 participants, SMD -0.94, 95% CI -1.32 to -0.55, moderate-quality evidence). Pain was also less in each FNB subgroup: </w:t>
      </w:r>
      <w:r>
        <w:rPr>
          <w:kern w:val="0"/>
        </w:rPr>
        <w:lastRenderedPageBreak/>
        <w:t>single-shot FNB, continuous FNB and continuous FNB + sciatic block, compared with PCA. FNB also was associated with lower opioid consumption (IV morphine equivalent) at 24 hours (20 RCTs, 1156 participants, MD -14.74 mg, 95% CI -18.68 to -10.81 mg, high-quality evidence) and at 48 hours (MD -14.53 mg, 95% CI -20.03 to -9.02 mg), lower risk of nausea and/or vomiting (RR 0.47, 95% CI 0.33 to 0.68, number needed to treat for an additional harmful outcome (NNTH) four, high-quality evidence), greater knee flexion (11 RCTs, 596 participants, MD 6.48 degrees, 95% CI 4.27 to 8.69 degrees, moderate-quality evidence) and greater patient satisfaction (four RCTs, 180 participants, SMD 1.06, 95% CI 0.74 to 1.38, low-quality evidence) compared with PCA. We could not demonstrate a difference in pain between FNB (any type) and epidural analgesia in the first 72 hours post operation, including pain at 24 hours at rest (six RCTs, 328 participants, SMD -0.05, 95% CI -0.43 to 0.32, moderate-quality evidence) and on movement (six RCTs, 317 participants, SMD 0.01, 95% CI -0.21 to 0.24, high-quality evidence). No difference was noted at 24 hours for opioid consumption (five RCTs, 341 participants, MD -4.35 mg, 95% CI -9.95 to 1.26 mg, high-quality evidence) or knee flexion (six RCTs, 328 participants, MD -1.65, 95% CI -5.14 to 1.84, high-quality evidence). However, FNB demonstrated lower risk of nausea/vomiting (four RCTs, 183 participants, RR 0.63, 95% CI 0.41 to 0.97, NNTH 8, moderate-quality evidence) and higher patient satisfaction (two RCTs, 120 participants, SMD 0.60, 95% CI 0.23 to 0.97, low-quality evidence), compared with epidural analgesia. Pooled results of four studies (216 participants) comparing FNB with local infiltration analgesia detected no difference in analgesic effects between the groups at 24 hours for pain at rest (SMD 0.06, 95% CI -0.61 to 0.72, moderate-quality evidence) or pain on movement (SMD 0.38, 95% CI -0.10 to 0.86, low-quality evidence). Only one included RCT compared FNB with oral analgesia. We considered this evidence insufficient to allow judgement of the effects of FNB compared with oral analgesia. Continuous FNB provided less pain compared with single-shot FNB (four RCTs, 272 participants) at 24 hours at rest (SMD -0.62, 95% CI -1.17 to -0.07, moderate-quality evidence) and on movement (SMD -0.42, 95% CI -0.67 to -0.17, high-quality evidence). Continuous FNB also demonstrated lower opioid consumption compared with single-shot FNB at 24 hours (three RCTs, 236 participants, MD -13.81 mg, 95% CI -23.27 to -4.35 mg, moderate-quality evidence). Generally, the meta-analyses demonstrated considerable statistical heterogeneity, with type of FNB, allocation concealment and blinding of participants, personnel and outcome assessors reducing heterogeneity in the analyses. Available evidence was insufficient to allow determination of the comparative safety of the various analgesic techniques. Few RCTs reported on serious adverse effects such as neurological injury, postoperative falls or thrombotic events. Authors</w:t>
      </w:r>
      <w:r w:rsidR="0071223E">
        <w:rPr>
          <w:kern w:val="0"/>
        </w:rPr>
        <w:t>’</w:t>
      </w:r>
      <w:r>
        <w:rPr>
          <w:kern w:val="0"/>
        </w:rPr>
        <w:t xml:space="preserve"> conclusions Following TKR, FNB (with or </w:t>
      </w:r>
      <w:r>
        <w:rPr>
          <w:kern w:val="0"/>
        </w:rPr>
        <w:lastRenderedPageBreak/>
        <w:t>without concurrent treatments including PCA opioid) provided more effective analgesia than PCA opioid alone, similar analgesia to epidural analgesia and less nausea/vomiting compared with PCA alone or epidural analgesia</w:t>
      </w:r>
      <w:r w:rsidR="00A37C1D">
        <w:rPr>
          <w:kern w:val="0"/>
        </w:rPr>
        <w:t>. The</w:t>
      </w:r>
      <w:r>
        <w:rPr>
          <w:kern w:val="0"/>
        </w:rPr>
        <w:t xml:space="preserve"> review also found that continuous FNB provided better analgesia compared with single-shot FNB. RCTs were insufficient to allow definitive conclusions on the comparison between FNB and local infiltration analgesia or oral analgesia.</w:t>
      </w:r>
    </w:p>
    <w:p w:rsidR="00162B53" w:rsidRDefault="00162B53" w:rsidP="00162B53">
      <w:pPr>
        <w:pStyle w:val="a3"/>
        <w:rPr>
          <w:kern w:val="0"/>
        </w:rPr>
      </w:pPr>
      <w:r>
        <w:rPr>
          <w:kern w:val="0"/>
        </w:rPr>
        <w:t>Keywords: Adverse Effects, Allocation, Analgesia, Analgesic, Analgesic Techniques, Analyses, Analysis, Arthroplasty Tka, Assessment, Authors, Benefits, Bias, Collection, Comparison, Consumption, Criteria, Data, Data Collection, Effects, Embase, Epidural, Epidural Analgesia, Events, Evidence, Extraction, First, Groups, Heterogeneity, Infiltration, Injury, Intrathecal Morphine, Intravenous, Iv, Local, Medline, Meta Analysis, Meta-Analysis, Metaanalysis, Methods, Model, Morphine, Movement, Nausea, Nerve Block, Neurological, Number Needed To Treat, Operation, Opioid, Opioid Analgesia, Oral, Oral Analgesia, Outcome, Outcomes, Pain, Patient Controlled, Patient Satisfaction, Patient-Controlled Analgesia, Pca, Periarticular Injection, Personnel, Postoperative, Postoperative Analgesia, Postoperative Pain, Psoas Compartment Block, Publications, Random Effects Model, Randomized, Randomized Controlled Trials, Randomized Controlled-Trial, Rct, Reference, Reference Lists, Relative Risk, Review, Risk, Risks, Safety, Satisfaction, Science, Search, Selection, Single-Injection, Small, Surgery, Techniques, Term Functional Recovery, Vomiting, Web Of Science</w:t>
      </w:r>
    </w:p>
    <w:p w:rsidR="00162B53" w:rsidRDefault="00162B53" w:rsidP="00162B53">
      <w:pPr>
        <w:pStyle w:val="a3"/>
        <w:rPr>
          <w:kern w:val="0"/>
        </w:rPr>
      </w:pPr>
      <w:r>
        <w:rPr>
          <w:rFonts w:hint="eastAsia"/>
          <w:kern w:val="0"/>
        </w:rPr>
        <w:t xml:space="preserve">? </w:t>
      </w:r>
      <w:r>
        <w:rPr>
          <w:kern w:val="0"/>
        </w:rPr>
        <w:t xml:space="preserve">Koranyi, S., Barth, J., Trelle, S., Strauss, B.M. and Rosendahl, J. (2014), Psychological interventions for acute pain after open heart surgery.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CD009984</w:t>
      </w:r>
      <w:r>
        <w:rPr>
          <w:kern w:val="0"/>
        </w:rPr>
        <w:t>.</w:t>
      </w:r>
    </w:p>
    <w:p w:rsidR="00162B53" w:rsidRDefault="00162B53" w:rsidP="00162B53">
      <w:pPr>
        <w:pStyle w:val="a3"/>
      </w:pPr>
      <w:r>
        <w:t xml:space="preserve">Full Text: </w:t>
      </w:r>
      <w:hyperlink r:id="rId841" w:history="1">
        <w:r w:rsidR="00C16DB3" w:rsidRPr="00C16DB3">
          <w:rPr>
            <w:rStyle w:val="a5"/>
          </w:rPr>
          <w:t>2014\Coc Dat Sys Rev2014, CD009984.pdf</w:t>
        </w:r>
      </w:hyperlink>
    </w:p>
    <w:p w:rsidR="00162B53" w:rsidRDefault="00162B53" w:rsidP="00162B53">
      <w:pPr>
        <w:pStyle w:val="a3"/>
        <w:rPr>
          <w:kern w:val="0"/>
        </w:rPr>
      </w:pPr>
      <w:r>
        <w:rPr>
          <w:kern w:val="0"/>
        </w:rPr>
        <w:t xml:space="preserve">Abstract: Background Acute postoperative pain is one of the most disturbing complaints in open heart surgery, and is associated with a risk of negative consequences. Several trials investigated the effects of psychological interventions to reduce acute postoperative pain and improve the course of physical and psychological recovery of participants undergoing open heart surgery. Objectives To compare the efficacy of psychological interventions as an adjunct to standard care versus standard care alone or standard care plus attention in adults undergoing open heart surgery on pain, pain medication, mental distress, mobility, and time to extubation. Search methods We searched the Cochrane Central Register of Controlled Trials (CENTRAL) (The Cochrane Library 2013, Issue 8), MEDLINE (1946 to September 2013), EMBASE (1980 to September 2013), Web of Science (all years to September 2013), and PsycINFO (all years to September 2013) for eligible studies. We used the </w:t>
      </w:r>
      <w:r w:rsidR="0071223E">
        <w:rPr>
          <w:kern w:val="0"/>
        </w:rPr>
        <w:t>‘</w:t>
      </w:r>
      <w:r>
        <w:rPr>
          <w:kern w:val="0"/>
        </w:rPr>
        <w:t>related articles</w:t>
      </w:r>
      <w:r w:rsidR="0071223E">
        <w:rPr>
          <w:kern w:val="0"/>
        </w:rPr>
        <w:t>’</w:t>
      </w:r>
      <w:r>
        <w:rPr>
          <w:kern w:val="0"/>
        </w:rPr>
        <w:t xml:space="preserve"> and </w:t>
      </w:r>
      <w:r w:rsidR="0071223E">
        <w:rPr>
          <w:kern w:val="0"/>
        </w:rPr>
        <w:t>‘</w:t>
      </w:r>
      <w:r>
        <w:rPr>
          <w:kern w:val="0"/>
        </w:rPr>
        <w:t>cited by</w:t>
      </w:r>
      <w:r w:rsidR="0071223E">
        <w:rPr>
          <w:kern w:val="0"/>
        </w:rPr>
        <w:t>’</w:t>
      </w:r>
      <w:r>
        <w:rPr>
          <w:kern w:val="0"/>
        </w:rPr>
        <w:t xml:space="preserve"> options of eligible studies to identify additional relevant studies. We also checked lists of references of relevant articles and previous reviews. </w:t>
      </w:r>
      <w:r>
        <w:rPr>
          <w:kern w:val="0"/>
        </w:rPr>
        <w:lastRenderedPageBreak/>
        <w:t>We also searched the ProQuest Dissertations and Theses Full Text Database (all years to September 2013) and contacted the authors of primary studies to identify any unpublished material. Selection criteria Randomised controlled trials comparing psychological interventions as an adjunct to standard care versus standard care alone or standard care plus attention in adults undergoing open heart surgery. Data collection and analysis Two review authors (SK and JR) independently assessed trials for eligibility, estimated the risk of bias and extracted all data. We calculated effect sizes for each comparison (Hedges</w:t>
      </w:r>
      <w:r w:rsidR="0071223E">
        <w:rPr>
          <w:kern w:val="0"/>
        </w:rPr>
        <w:t>’</w:t>
      </w:r>
      <w:r>
        <w:rPr>
          <w:kern w:val="0"/>
        </w:rPr>
        <w:t xml:space="preserve"> g) and meta-analysed data using a random-effects model. Main results Nineteen trials were included (2164 participants). No study reported data on the number of participants with pain intensity reduction of at least 50% from baseline. Only one study reported data on the number of participants below 30/100 mm on the Visual Analogue Scale (VAS) in pain intensity. Psychological interventions have no beneficial effects in reducing pain intensity measured with continuous scales in the medium-term interval (g -0.02, 95% CI -0.24 to 0.20, 4 studies, 413 participants, moderate quality evidence) nor in the long-term interval (g 0.12, 95% CI -0.09 to 0.33, 3 studies, 280 participants, low quality evidence). No study reported data on median time to remedication or on number of participants remedicated. Only one study provided data on postoperative analgesic use. Studies reporting data on mental distress in the medium-term interval revealed a small beneficial effect of psychological interventions (g 0.36, 95% CI 0.10 to 0.62, 12 studies, 1144 participants, low quality evidence). Likewise, a small beneficial effect of psychological interventions on mental distress was obtained in the long-term interval (g 0.28, 95% CI 0.05 to 0.51, 11 studies, 1320 participants, low quality evidence)</w:t>
      </w:r>
      <w:r w:rsidR="00A37C1D">
        <w:rPr>
          <w:kern w:val="0"/>
        </w:rPr>
        <w:t>. The</w:t>
      </w:r>
      <w:r>
        <w:rPr>
          <w:kern w:val="0"/>
        </w:rPr>
        <w:t>re were no beneficial effects of psychological interventions on mobility in the medium-term interval (g 0.23, 95% CI -0.22 to 0.67, 3 studies, 444 participants, low quality evidence) nor in the long-term interval (g 0.29, 95% CI -0.14 to 0.71, 4 studies, 423 participants, low quality evidence). Only one study reported data on time to extubation. Authors</w:t>
      </w:r>
      <w:r w:rsidR="0071223E">
        <w:rPr>
          <w:kern w:val="0"/>
        </w:rPr>
        <w:t>’</w:t>
      </w:r>
      <w:r>
        <w:rPr>
          <w:kern w:val="0"/>
        </w:rPr>
        <w:t xml:space="preserve"> conclusions For the majority of outcomes (two-thirds) we could not perform a meta-analysis since outcomes were not measured, or data were provided by one trial only. Psychological interventions have no beneficial effects on reducing postoperative pain intensity or enhancing mobility</w:t>
      </w:r>
      <w:r w:rsidR="00A37C1D">
        <w:rPr>
          <w:kern w:val="0"/>
        </w:rPr>
        <w:t>. The</w:t>
      </w:r>
      <w:r>
        <w:rPr>
          <w:kern w:val="0"/>
        </w:rPr>
        <w:t>re is low quality evidence that psychological interventions reduce postoperative mental distress. Due to limitations in methodological quality, a small number of studies, and large heterogeneity, we rated the quality of the body of evidence as low. Future trials should measure crucial outcomes (e. g. number of participants with pain intensity reduction of at least 50% from baseline) and should focus to enhance the quality of the body of evidence in general. Altogether, the current evidence does not clearly support the use of psychological interventions to reduce pain in participants undergoing open heart surgery.</w:t>
      </w:r>
    </w:p>
    <w:p w:rsidR="00162B53" w:rsidRDefault="00162B53" w:rsidP="00162B53">
      <w:pPr>
        <w:pStyle w:val="a3"/>
        <w:rPr>
          <w:kern w:val="0"/>
        </w:rPr>
      </w:pPr>
      <w:r>
        <w:rPr>
          <w:kern w:val="0"/>
        </w:rPr>
        <w:lastRenderedPageBreak/>
        <w:t>Keywords: Analgesic, Analysis, Artery-Bypass-Surgery, Articles, Attention, Authors, Bias, Cardiac-Surgery, Care, Clinical-Trial, Collection, Comparison, Complaints, Coronary-Artery, Course, Criteria, Data, Data Collection, Database, Depressive Symptoms, Dissertations, Distress, Effects, Efficacy, Embase, Evidence, General, Graft-Surgery, Heart, Heterogeneity, Intensity, Interval, Interventions, Long Term, Long-Term, Measure, Medline, Meta Analysis, Meta-Analysis, Metaanalysis, Methods, Mobility, Model, Open, Options, Outcomes, Pain, Physical, Postoperative, Postoperative Pain, Preoperative Education, Primary, Psychological, Psycinfo, Quality, Quality Of, Random Effects Model, Randomised Controlled Trials, Randomized Controlled-Trial, Recovery, Reduction, References, Reporting, Review, Reviews, Risk, Scale, Scales, Science, Search, Self-Efficacy, Small, Standard, Support, Surgery, Theses, Trial, Vas, Web Of Science</w:t>
      </w:r>
    </w:p>
    <w:p w:rsidR="00162B53" w:rsidRDefault="00162B53" w:rsidP="00162B53">
      <w:pPr>
        <w:pStyle w:val="a3"/>
        <w:rPr>
          <w:kern w:val="0"/>
        </w:rPr>
      </w:pPr>
      <w:r>
        <w:rPr>
          <w:rFonts w:hint="eastAsia"/>
          <w:kern w:val="0"/>
        </w:rPr>
        <w:t xml:space="preserve">? </w:t>
      </w:r>
      <w:r>
        <w:rPr>
          <w:kern w:val="0"/>
        </w:rPr>
        <w:t xml:space="preserve">Hartley, L., Dyakova, M., Holmes, J., Clarke, A., Lee, M.S., Ernst, E. and Rees, K. (2014), Yoga for the primary prevention of cardiovascular disease.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CD010072</w:t>
      </w:r>
      <w:r>
        <w:rPr>
          <w:kern w:val="0"/>
        </w:rPr>
        <w:t>.</w:t>
      </w:r>
    </w:p>
    <w:p w:rsidR="00162B53" w:rsidRDefault="00162B53" w:rsidP="00162B53">
      <w:pPr>
        <w:pStyle w:val="a3"/>
      </w:pPr>
      <w:r>
        <w:t xml:space="preserve">Full Text: </w:t>
      </w:r>
      <w:hyperlink r:id="rId842" w:history="1">
        <w:r w:rsidR="00C16DB3" w:rsidRPr="00C16DB3">
          <w:rPr>
            <w:rStyle w:val="a5"/>
          </w:rPr>
          <w:t>2014\Coc Dat Sys Rev2014, CD010072.pdf</w:t>
        </w:r>
      </w:hyperlink>
    </w:p>
    <w:p w:rsidR="00162B53" w:rsidRDefault="00162B53" w:rsidP="00162B53">
      <w:pPr>
        <w:pStyle w:val="a3"/>
        <w:rPr>
          <w:kern w:val="0"/>
        </w:rPr>
      </w:pPr>
      <w:r>
        <w:rPr>
          <w:kern w:val="0"/>
        </w:rPr>
        <w:t xml:space="preserve">Abstract: Background A sedentary lifestyle and stress are major risk factors for cardiovascular disease (CVD). Since yoga involves exercise and is thought to help in stress reduction it may be an effective strategy in the primary prevention of CVD. Objectives To determine the effect of any type of yoga on the primary prevention of CVD. Search methods We searched the following electronic databases: the Cochrane Central Register of Controlled Trials (CENTRAL) (2013, Issue 11) in The Cochrane Library; MEDLINE (Ovid) (1946 to November Week 3 2013); EMBASE Classic + EMBASE (Ovid) (1947 to 2013 Week 48); Web of Science (Thomson Reuters) (1970 to 4 December 2013); Database of Abstracts of Reviews of Effects (DARE), Health Technology Assessment Database and Health Economics Evaluations Database (Issue 4 of 4, 2013) in The Cochrane Library. We also searched a number of Asian databases and the Allied and Complementary Medicine Database (AMED) (inception to December 2012). We searched trial registers and reference lists of reviews and articles, and approached experts in the field. We applied no language restrictions. Selection criteria Randomised controlled trials lasting at least three months involving healthy adults or those at high risk of CVD. Trials examined any type of yoga and the comparison group was no intervention or minimal intervention. Outcomes of interest were clinical CVD events and major CVD risk factors. We did not include any trials that involved multifactorial lifestyle interventions or weight loss. Data collection and analysis Two authors independently selected trials for inclusion, extracted data and assessed the risk of bias. Main results We identified 11 trials (800 participants) and two ongoing studies. Style and duration of yoga differed between trials. Half of the participants recruited to the studies were at high risk of </w:t>
      </w:r>
      <w:r>
        <w:rPr>
          <w:kern w:val="0"/>
        </w:rPr>
        <w:lastRenderedPageBreak/>
        <w:t>CVD. Most of studies were at risk of performance bias, with inadequate details reported in many of them to judge the risk of selection bias. No study reported cardiovascular mortality, all-cause mortality or non-fatal events, and most studies were small and short-term</w:t>
      </w:r>
      <w:r w:rsidR="00A37C1D">
        <w:rPr>
          <w:kern w:val="0"/>
        </w:rPr>
        <w:t>. The</w:t>
      </w:r>
      <w:r>
        <w:rPr>
          <w:kern w:val="0"/>
        </w:rPr>
        <w:t>re was substantial heterogeneity between studies making it impossible to combine studies statistically for systolic blood pressure and total cholesterol. Yoga was found to produce reductions in diastolic blood pressure (mean difference (MD) -2.90 mmHg, 95% confidence interval (CI) -4.52 to -1.28), which was stable on sensitivity analysis, triglycerides (MD -0.27 mmol/l, 95% CI -0.44 to -0.11) and high-density lipoprotein (HDL) cholesterol (MD 0.08 mmol/l, 95% CI 0.02 to 0.14). However, the contributing studies were small, short-term and at unclear or high risk of bias</w:t>
      </w:r>
      <w:r w:rsidR="00A37C1D">
        <w:rPr>
          <w:kern w:val="0"/>
        </w:rPr>
        <w:t>. The</w:t>
      </w:r>
      <w:r>
        <w:rPr>
          <w:kern w:val="0"/>
        </w:rPr>
        <w:t>re was no clear evidence of a difference between groups for low-density lipoprotein (LDL) cholesterol (MD -0.09 mmol/l, 95% CI -0.48 to 0.30), although there was moderate statistical heterogeneity. Adverse events, occurrence of type 2 diabetes and costs were not reported in any of the included studies. Quality of life was measured in three trials but the results were inconclusive. Authors</w:t>
      </w:r>
      <w:r w:rsidR="0071223E">
        <w:rPr>
          <w:kern w:val="0"/>
        </w:rPr>
        <w:t>’</w:t>
      </w:r>
      <w:r>
        <w:rPr>
          <w:kern w:val="0"/>
        </w:rPr>
        <w:t xml:space="preserve"> conclusions The limited evidence comes from small, short-term, low-quality studies</w:t>
      </w:r>
      <w:r w:rsidR="00A37C1D">
        <w:rPr>
          <w:kern w:val="0"/>
        </w:rPr>
        <w:t>. The</w:t>
      </w:r>
      <w:r>
        <w:rPr>
          <w:kern w:val="0"/>
        </w:rPr>
        <w:t>re is some evidence that yoga has favourable effects on diastolic blood pressure, HDL cholesterol and triglycerides, and uncertain effects on LDL cholesterol</w:t>
      </w:r>
      <w:r w:rsidR="00A37C1D">
        <w:rPr>
          <w:kern w:val="0"/>
        </w:rPr>
        <w:t>. The</w:t>
      </w:r>
      <w:r>
        <w:rPr>
          <w:kern w:val="0"/>
        </w:rPr>
        <w:t>se results should be considered as exploratory and interpreted with caution.</w:t>
      </w:r>
    </w:p>
    <w:p w:rsidR="00162B53" w:rsidRDefault="00162B53" w:rsidP="00162B53">
      <w:pPr>
        <w:pStyle w:val="a3"/>
        <w:rPr>
          <w:kern w:val="0"/>
        </w:rPr>
      </w:pPr>
      <w:r>
        <w:rPr>
          <w:kern w:val="0"/>
        </w:rPr>
        <w:t>Keywords: Adverse Events, Analysis, Articles, Asian, Assessment, Authors, Bias, Blood, Blood Pressure, Cardiovascular, Cardiovascular Disease, Cholesterol, Clinical, Collection, Comparison, Confidence, Costs, Criteria, Data, Data Collection, Database, Databases, Diabetes, Disease, Duration, Economics, Effects, Embase, Events, Evidence, Exercise, Experts, Field, Groups, Hatha-Yoga, Hdl, Health, Heterogeneity, Interval, Intervention, Interventions, Language, Life, Medicine, Medline, Metaanalysis, Metabolic Syndrome, Methods, Mortality, Older-Adults, Outcomes, Performance, Pressure, Prevalence, Prevention, Primary, Primary Prevention, Publication, Quality, Quality Of Life, Randomised Controlled Trials, Randomized Controlled-Trial, Reduction, Reference, Reference Lists, Restrictions, Reviews, Risk, Risk Factors, Science, Search, Selection, Sensitivity, Sensitivity Analysis, Small, Strategy, Stress, Technology, Technology Assessment, Thomson Reuters, Thomson-Reuters, Trial, Triglycerides, Type 2 Diabetes, Web Of Science, Weight Loss, Women</w:t>
      </w:r>
    </w:p>
    <w:p w:rsidR="00162B53" w:rsidRDefault="00162B53" w:rsidP="00162B53">
      <w:pPr>
        <w:pStyle w:val="a3"/>
        <w:rPr>
          <w:kern w:val="0"/>
        </w:rPr>
      </w:pPr>
      <w:r>
        <w:rPr>
          <w:rFonts w:hint="eastAsia"/>
          <w:kern w:val="0"/>
        </w:rPr>
        <w:t xml:space="preserve">? </w:t>
      </w:r>
      <w:r>
        <w:rPr>
          <w:kern w:val="0"/>
        </w:rPr>
        <w:t xml:space="preserve">Lamers, M.H., Broekman, M., Drenth, J.P.H. and Gluud, C. (2014), Aminoadamantanes for chronic hepatitis C.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CD010125</w:t>
      </w:r>
      <w:r>
        <w:rPr>
          <w:kern w:val="0"/>
        </w:rPr>
        <w:t>.</w:t>
      </w:r>
    </w:p>
    <w:p w:rsidR="00162B53" w:rsidRDefault="00162B53" w:rsidP="00162B53">
      <w:pPr>
        <w:pStyle w:val="a3"/>
      </w:pPr>
      <w:r>
        <w:t xml:space="preserve">Full Text: </w:t>
      </w:r>
      <w:hyperlink r:id="rId843" w:history="1">
        <w:r w:rsidR="00C16DB3" w:rsidRPr="00C16DB3">
          <w:rPr>
            <w:rStyle w:val="a5"/>
          </w:rPr>
          <w:t>2014\Coc Dat Sys Rev2014, CD010125.pdf</w:t>
        </w:r>
      </w:hyperlink>
    </w:p>
    <w:p w:rsidR="00162B53" w:rsidRDefault="00162B53" w:rsidP="00162B53">
      <w:pPr>
        <w:pStyle w:val="a3"/>
        <w:rPr>
          <w:kern w:val="0"/>
        </w:rPr>
      </w:pPr>
      <w:r>
        <w:rPr>
          <w:kern w:val="0"/>
        </w:rPr>
        <w:t>Abstract: Background Around 3% of the world</w:t>
      </w:r>
      <w:r w:rsidR="0071223E">
        <w:rPr>
          <w:kern w:val="0"/>
        </w:rPr>
        <w:t>’</w:t>
      </w:r>
      <w:r>
        <w:rPr>
          <w:kern w:val="0"/>
        </w:rPr>
        <w:t xml:space="preserve">s population (approximately 160 million </w:t>
      </w:r>
      <w:r>
        <w:rPr>
          <w:kern w:val="0"/>
        </w:rPr>
        <w:lastRenderedPageBreak/>
        <w:t>people) are chronically infected with hepatitis Cvirus</w:t>
      </w:r>
      <w:r w:rsidR="00A37C1D">
        <w:rPr>
          <w:kern w:val="0"/>
        </w:rPr>
        <w:t>. The</w:t>
      </w:r>
      <w:r>
        <w:rPr>
          <w:kern w:val="0"/>
        </w:rPr>
        <w:t xml:space="preserve"> proportion of infected people who develop clinical symptoms varies between 5% and 40%. Combination therapy with pegylated interferon-alpha plus ribavirin eradicates the virus from the blood six months after treatment (sustained virological response) in approximately 40% to 80% of infected patients, depending on the viral genotype. New antiviral agents, such as boceprevir and telaprevir, in combination with standard therapy, can increase sustained virological response in genotype 1 infected patients to at least 70%</w:t>
      </w:r>
      <w:r w:rsidR="00A37C1D">
        <w:rPr>
          <w:kern w:val="0"/>
        </w:rPr>
        <w:t>. The</w:t>
      </w:r>
      <w:r>
        <w:rPr>
          <w:kern w:val="0"/>
        </w:rPr>
        <w:t>re is therefore an unmet need for drugs that can achieve a higher proportion of sustained virological response. Aminoadamantanes are antiviral drugs used for treatment of patients with chronic hepatitis C. Objectives To assess the beneficial and harmful effects of aminoadamantanes for patients with chronic hepatitis C infection by conducting a systematic review with meta-analyses of randomised clinical trials, as well as trial sequential analyses. Search methods We conducted electronic searches of the Cochrane Hepato-Biliary Group Controlled Trials Register (1996 to December 2013), the Cochrane Central Register of Controlled Trials (CENTRAL) 2013, Issue 11 of 12 (1995 to December 2013), MEDLINE (1946 to December 2013), EMBASE (1974 to December 2013), Science Citation Index EXPANDED (1900 to December 2013), the WHO International Clinical Trials Registry Platform (www.who.int/ictrp), Google Scholar, and Eudrapharm up to December 2013 and checked the reference lists of identified publications. Selection criteria Randomised clinical trials assessing aminoadamantanes in patients with chronic hepatitis C infection. Data collection and analysis Two authors independently extracted data. We assessed for risks of systematic errors (</w:t>
      </w:r>
      <w:r w:rsidR="0071223E">
        <w:rPr>
          <w:kern w:val="0"/>
        </w:rPr>
        <w:t>‘</w:t>
      </w:r>
      <w:r>
        <w:rPr>
          <w:kern w:val="0"/>
        </w:rPr>
        <w:t>bias</w:t>
      </w:r>
      <w:r w:rsidR="0071223E">
        <w:rPr>
          <w:kern w:val="0"/>
        </w:rPr>
        <w:t>’</w:t>
      </w:r>
      <w:r>
        <w:rPr>
          <w:kern w:val="0"/>
        </w:rPr>
        <w:t xml:space="preserve">) using the </w:t>
      </w:r>
      <w:r w:rsidR="0071223E">
        <w:rPr>
          <w:kern w:val="0"/>
        </w:rPr>
        <w:t>‘</w:t>
      </w:r>
      <w:r>
        <w:rPr>
          <w:kern w:val="0"/>
        </w:rPr>
        <w:t>Risk of bias</w:t>
      </w:r>
      <w:r w:rsidR="0071223E">
        <w:rPr>
          <w:kern w:val="0"/>
        </w:rPr>
        <w:t>’</w:t>
      </w:r>
      <w:r>
        <w:rPr>
          <w:kern w:val="0"/>
        </w:rPr>
        <w:t xml:space="preserve"> tool. We analysed dichotomous data with risk ratio (RR) and continuous data with mean difference (MD) or standardised mean difference (SMD), both with 95% confidence intervals (CI). We used trial sequential analysis to assess the risk of random errors (</w:t>
      </w:r>
      <w:r w:rsidR="0071223E">
        <w:rPr>
          <w:kern w:val="0"/>
        </w:rPr>
        <w:t>‘</w:t>
      </w:r>
      <w:r>
        <w:rPr>
          <w:kern w:val="0"/>
        </w:rPr>
        <w:t>play of chance</w:t>
      </w:r>
      <w:r w:rsidR="0071223E">
        <w:rPr>
          <w:kern w:val="0"/>
        </w:rPr>
        <w:t>’</w:t>
      </w:r>
      <w:r>
        <w:rPr>
          <w:kern w:val="0"/>
        </w:rPr>
        <w:t>). We assessed quality using the GRADE system. Main results We included 41 randomised clinical trials with 6193 patients with chronic hepatitis C. All trials had high risk of bias. All included trials compared amantadine versus placebo or no intervention. Standard antiviral therapy was administered equally to the intervention and the control groups in 40 trials</w:t>
      </w:r>
      <w:r w:rsidR="00A37C1D">
        <w:rPr>
          <w:kern w:val="0"/>
        </w:rPr>
        <w:t>. The</w:t>
      </w:r>
      <w:r>
        <w:rPr>
          <w:kern w:val="0"/>
        </w:rPr>
        <w:t xml:space="preserve"> standard antiviral therapy, which was administered to both intervention groups, was interferon-alpha, interferon-alpha plus ribavirin, and peg interferon-alpha plus ribavirin, depending on the time when the trial was conducted. When we meta-analysed all trials together, the overall results demonstrated no significant effects of amantadine, when compared with placebo or no intervention, on our all-cause mortality or liver-related morbidity composite outcome (5/2353 (0.2%) versus 6/2264 (0.3%); RR 0.90, 95% CI 0.38 to 2.17; I-2 = 0%; 32 trials; very low quality)</w:t>
      </w:r>
      <w:r w:rsidR="00A37C1D">
        <w:rPr>
          <w:kern w:val="0"/>
        </w:rPr>
        <w:t>. The</w:t>
      </w:r>
      <w:r>
        <w:rPr>
          <w:kern w:val="0"/>
        </w:rPr>
        <w:t xml:space="preserve">re was also no significant effect on adverse events (288/2869 (10%) versus 293/2777 (11%); RR 0.98, 95% CI 0.84 to </w:t>
      </w:r>
      <w:r>
        <w:rPr>
          <w:kern w:val="0"/>
        </w:rPr>
        <w:lastRenderedPageBreak/>
        <w:t>1.14; I-2 = 0%; 35 trials; moderate quality). We used both fixed-effect and random-effects meta-analyses. Amantadine, when compared with placebo or no intervention, did not significantly influence the number of patients who failed to achieve a sustained virological response (1821/2861 (64%) versus 1737/2721 (64%); RR 0.98, 95% CI 0.95 to 1.02; I-2 = 35%; 35 trials; moderate quality). However, in the subgroup using interferon plus ribavirin, amantadine decreased the number of patients who failed to achieve a sustained virological response (422/666 (63%) versus 447/628 (71%); RR 0.89, 95% CI 0.83 to 0.96; I-2 = 41%; 11 trials; low quality). Similar results were found for failure to achieve an end of treatment virological response. Amantadine, when compared with placebo or no intervention, significantly decreased the number of patients without normalisation of alanine aminotransferase (ALT) serum levels at the end of treatment (671/1141 (59%) versus 732/1100 (67%); RR 0.88, 95% CI 0.83 to 0.94; I-2 = 47%; 19 trials; low quality). Amantadine, when compared with placebo or no intervention, did not significantly influence the end of follow-up biochemical response (1133/1896 (60%) versus 1151/1848 (62%); RR 0.95, 95% CI 0.91 to 1.00; I-2 = 49%; 21 trials; low quality)</w:t>
      </w:r>
      <w:r w:rsidR="00A37C1D">
        <w:rPr>
          <w:kern w:val="0"/>
        </w:rPr>
        <w:t>. The</w:t>
      </w:r>
      <w:r>
        <w:rPr>
          <w:kern w:val="0"/>
        </w:rPr>
        <w:t xml:space="preserve"> observed beneficial effects could be true effects but could also be due to both systematic errors (bias) and random errors (play of chance)</w:t>
      </w:r>
      <w:r w:rsidR="00A37C1D">
        <w:rPr>
          <w:kern w:val="0"/>
        </w:rPr>
        <w:t>. The</w:t>
      </w:r>
      <w:r>
        <w:rPr>
          <w:kern w:val="0"/>
        </w:rPr>
        <w:t xml:space="preserve"> latter is due to the fact that trial sequential analyses could not confirm or refute our findings. We were not able to perform meta-analyses for failure of histological improvement or quality of life due to a lack of valid data. Authors</w:t>
      </w:r>
      <w:r w:rsidR="0071223E">
        <w:rPr>
          <w:kern w:val="0"/>
        </w:rPr>
        <w:t>’</w:t>
      </w:r>
      <w:r>
        <w:rPr>
          <w:kern w:val="0"/>
        </w:rPr>
        <w:t xml:space="preserve"> conclusions This systematic review does not demonstrate any significant effects of amantadine on all-cause mortality or liver-related morbidity composite outcome and on adverse events in patients with hepatitis C; however, the median trial duration was 12 months, with a median follow-up of six months, which is not long enough to assess the composite outcome sufficiently. Overall, we did not see an effect of amantadine on failure to achieve a sustained virological response. Subgroup analyses demonstrated that the combination of amantadine plus interferon-alpha and ribavirin seems to increase the number of patients achieving a sustained virological response. This finding may be caused by both systematic errors (bias) and risks of random errors (play of chance), but it could also be real. Based on the results of the overall evidence, it appears less likely that future trials assessing amantadine for patients with chronic hepatitis C will show strong benefits</w:t>
      </w:r>
      <w:r w:rsidR="00A37C1D">
        <w:rPr>
          <w:kern w:val="0"/>
        </w:rPr>
        <w:t>. The</w:t>
      </w:r>
      <w:r>
        <w:rPr>
          <w:kern w:val="0"/>
        </w:rPr>
        <w:t>refore, it is probably advisable to wait for the results of trials assessing other direct-acting antiviral drugs. In the absence of convincing evidence of benefit, the use of amantadine is justified in the context of randomised clinical trials assessing the effects of combination therapy. We found a lack of evidence on other aminoadamantanes than amantadine.</w:t>
      </w:r>
    </w:p>
    <w:p w:rsidR="00162B53" w:rsidRDefault="00162B53" w:rsidP="00162B53">
      <w:pPr>
        <w:pStyle w:val="a3"/>
        <w:rPr>
          <w:kern w:val="0"/>
        </w:rPr>
      </w:pPr>
      <w:r>
        <w:rPr>
          <w:kern w:val="0"/>
        </w:rPr>
        <w:t xml:space="preserve">Keywords: Alanine Aminotransferase, Analyses, Analysis, Antiviral, Antiviral Therapy, Assessing, Authors, Benefits, Bias, Blood, Chronic, Chronic Hepatitis, Citation, </w:t>
      </w:r>
      <w:r>
        <w:rPr>
          <w:kern w:val="0"/>
        </w:rPr>
        <w:lastRenderedPageBreak/>
        <w:t>Clinical, Clinical Trials, Collection, Combination, Combination Therapy, Composite, Confidence, Confidence Intervals, Context, Control, Control Groups, Criteria, Data, Data Collection, Double-Blind Trial, Drugs, Duration, Effects, Embase, Errors, Events, Evidence, Failure, Follow-Up, Google, Google Scholar, Grade, Groups, Hepatitis, Hepatitis C, Improvement, Infected, Infection, Influence, Interferon, Interferon Plus Amantadine, Interferon-Alpha, Intervals, Intervention, Life, Medline, Methods, Morbidity, Mortality, Outcome, Patients, Peginterferon Alpha-2a 40kd, Placebo, Placebo-Controlled Trial, Population, Previously Untreated Patients, Publications, Quality, Quality Of, Quality Of Life, Randomised, Randomized Controlled-Trials, Reference, Reference Lists, Response, Review, Ribavirin, Ribavirin Combination Therapy, Risk, Risk Of Bias, Risks, Science, Science Citation Index, Search, Sequential, Serum, Standard, Successful Antiviral Treatment, Sustained Virological Response, Symptoms, Systematic, Systematic Review, Therapy, Treatment, Treatment-Naive Patients, Trial, Viral, WHO</w:t>
      </w:r>
    </w:p>
    <w:p w:rsidR="00162B53" w:rsidRDefault="00162B53" w:rsidP="00162B53">
      <w:pPr>
        <w:pStyle w:val="a3"/>
        <w:rPr>
          <w:kern w:val="0"/>
        </w:rPr>
      </w:pPr>
      <w:r>
        <w:rPr>
          <w:rFonts w:hint="eastAsia"/>
          <w:kern w:val="0"/>
        </w:rPr>
        <w:t xml:space="preserve">? </w:t>
      </w:r>
      <w:r>
        <w:rPr>
          <w:kern w:val="0"/>
        </w:rPr>
        <w:t xml:space="preserve">Penninga, L., Wettergren, A., Wilson, C.H., Chan, A.W., Steinbruchel, D.A. and Gluud, C. (2014), Antibody induction versus corticosteroid induction for liver transplant recipients.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3E5736">
        <w:rPr>
          <w:kern w:val="0"/>
        </w:rPr>
        <w:t>CD010252</w:t>
      </w:r>
      <w:r>
        <w:rPr>
          <w:kern w:val="0"/>
        </w:rPr>
        <w:t>.</w:t>
      </w:r>
    </w:p>
    <w:p w:rsidR="00162B53" w:rsidRDefault="00162B53" w:rsidP="00162B53">
      <w:pPr>
        <w:pStyle w:val="a3"/>
      </w:pPr>
      <w:r>
        <w:t xml:space="preserve">Full Text: </w:t>
      </w:r>
      <w:hyperlink r:id="rId844" w:history="1">
        <w:r w:rsidR="00C16DB3" w:rsidRPr="00C16DB3">
          <w:rPr>
            <w:rStyle w:val="a5"/>
          </w:rPr>
          <w:t>2014\Coc Dat Sys Rev2014, CD010252.pdf</w:t>
        </w:r>
      </w:hyperlink>
    </w:p>
    <w:p w:rsidR="00162B53" w:rsidRDefault="00162B53" w:rsidP="00162B53">
      <w:pPr>
        <w:pStyle w:val="a3"/>
        <w:rPr>
          <w:kern w:val="0"/>
        </w:rPr>
      </w:pPr>
      <w:r>
        <w:rPr>
          <w:kern w:val="0"/>
        </w:rPr>
        <w:t xml:space="preserve">Abstract: Background Liver transplantation is an established treatment option for end-stage liver failure. To date, no consensus has been reached on the use of immunosuppressive T-cell specific antibody induction compared with corticosteroid induction of immunosuppression after liver transplantation. Objectives To assess the benefits and harms of T-cell specific antibody induction versus corticosteroid induction for prevention of acute rejection in liver transplant recipients. Search methods We searched The Cochrane Hepato-Biliary Group Controlled Trials Register, the Cochrane Central Register of Controlled Trials (CENTRAL), MEDLINE, EMBASE, Science Citation Index Expanded, and the World Health Organization (WHO) International Clinical Trials Registry Platform (ICTRP) on 30 September 2013 together with reference checking, citation searching, contact with trial authors and pharmaceutical companies to identify additional trials. Selection criteria We included all randomised clinical trials assessing immunosuppression with T-cell specific antibody induction versus corticosteroid induction in liver transplant recipients. Our inclusion criteria stated that participants within each included trial should have received the same maintenance immunosuppressive therapy. Data collection and analysis We used RevMan for statistical analysis of dichotomous data with risk ratio (RR) and of continuous data with mean difference (MD), both with 95% confidence intervals (CIs). We assessed risk of systematic errors (bias) using bias risk domains with definitions. We used trial sequential analysis to control for </w:t>
      </w:r>
      <w:r>
        <w:rPr>
          <w:kern w:val="0"/>
        </w:rPr>
        <w:lastRenderedPageBreak/>
        <w:t>random errors (play of chance). Main results We included 10 randomised trials with a total of 1589 liver transplant recipients, which studied the use of T-cell specific antibody induction versus corticosteroid induction. All trials were with high risk of bias. We compared any kind of T-cell specific antibody induction versus corticosteroid induction in 10 trials with 1589 participants, including interleukin-2 receptor antagonist induction versus corticosteroid induction in nine trials with 1470 participants, and polyclonal T-cell specific antibody induction versus corticosteroid induction in one trial with 119 participants. Our analyses showed no significant differences regarding mortality (RR 1.01, 95% CI 0.72 to 1.43), graft loss (RR 1.12, 95% CI 0.82 to 1.53) and acute rejection (RR 0.84, 95% CI 0.70 to 1.00), infection (RR 0.96, 95% CI 0.85 to 1.09), hepatitis C virus recurrence (RR 0.89, 95% CI 0.79 to 1.00), malignancy (RR 0.59, 95% CI 0.13 to 2.73), and post-transplantation lymphoproliferative disorder (RR 1.00, 95% CI 0.07 to 15.38) when any kind of T-cell specific antibody induction was compared with corticosteroid induction (all low-quality evidence). Cytomegalovirus infection was less frequent in patients receiving any kind of T-cell specific antibody induction compared with corticosteroid induction (RR 0.50, 95% CI 0.33 to 0.75; low-quality evidence). This was also observed when interleukin-2 receptor antagonist induction was compared with corticosteroid induction (RR 0.55, 95% CI 0.37 to 0.83; low-quality evidence), and when polyclonal T-cell specific antibody induction was compared with corticosteroid induction (RR 0.21, 95% CI 0.06 to 0.70; low-quality evidence). However, when trial sequential analysis regarding cytomegalovirus infection was applied, the required information size was not reached. Furthermore, diabetes mellitus occurred less frequently when T-cell specific antibody induction was compared with corticosteroid induction (RR 0.45, 95% CI 0.34 to 0.60; low-quality evidence), when interleukin-2 receptor antagonist induction was compared with corticosteroid induction (RR 0.45, 95% CI 0.35 to 0.61; low-quality evidence), and when polyclonal T-cell specific antibody induction was compared with corticosteroid induction (RR 0.12, 95% CI 0.02 to 0.95; low-quality evidence). When trial sequential analysis was applied, the trial sequential monitoring boundary for benefit was crossed. We found no subgroup differences for type of interleukin-2 receptor antagonist (basiliximab versus daclizumab). Four trials reported on adverse events. However, no differences between trial groups were noted. Limited data were available for meta-analysis on drug-specific adverse events such as haematological adverse events for antithymocyte globulin. No data were available on quality of life. Authors</w:t>
      </w:r>
      <w:r w:rsidR="0071223E">
        <w:rPr>
          <w:kern w:val="0"/>
        </w:rPr>
        <w:t>’</w:t>
      </w:r>
      <w:r>
        <w:rPr>
          <w:kern w:val="0"/>
        </w:rPr>
        <w:t xml:space="preserve"> conclusions Because of the low quality of the evidence, the effects of T-cell antibody induction remain uncertain. T-cell specific antibody induction seems to reduce diabetes mellitus and may reduce cytomegalovirus infection when compared with corticosteroid induction. No other clear benefits or harms were associated with </w:t>
      </w:r>
      <w:r>
        <w:rPr>
          <w:kern w:val="0"/>
        </w:rPr>
        <w:lastRenderedPageBreak/>
        <w:t>the use of T-cell specific antibody induction compared with corticosteroid induction. For some analyses, the number of trials investigating the use of T-cell specific antibody induction after liver transplantation is small, and the numbers of participants and outcomes in these randomised trials are limited. Furthermore, the included trials are heterogeneous in nature and have applied different types of T-cell specific antibody induction therapy. All trials were at high risk of bias. Hence, additional randomised clinical trials are needed to assess the benefits and harms of T-cell specific antibody induction compared with corticosteroid induction for liver transplant recipients. Such trials ought to be conducted with low risks of systematic error and of random error.</w:t>
      </w:r>
    </w:p>
    <w:p w:rsidR="00162B53" w:rsidRDefault="00162B53" w:rsidP="00162B53">
      <w:pPr>
        <w:pStyle w:val="a3"/>
        <w:rPr>
          <w:kern w:val="0"/>
        </w:rPr>
      </w:pPr>
      <w:r>
        <w:rPr>
          <w:kern w:val="0"/>
        </w:rPr>
        <w:t>Keywords: Analyses, Analysis, Antibody, Assessing, Authors, Benefits, Bias, Citation, Clinical, Clinical Trials, Collection, Confidence, Confidence Intervals, Consensus, Control, Controlled Clinical-Trial, Criteria, Cytomegalovirus, Data, Data Collection, Diabetes, Diabetes Mellitus, Effects, Embase, Error, Errors, Events, Evidence, Failure, Graft, Groups, Health, Hepatitis, Hepatitis C, Hepatitis C Virus, Hepatitis-C Virus, Immunosuppression, Immunosuppressive Therapy, Induction, Induction Therapy, Infection, Information, Intervals, Life, Liver, Liver Failure, Liver Transplantation, Malignancy, Medline, Meta Analysis, Meta-Analysis, Metaanalysis, Methods, Monitoring, Mortality, Outcomes, Patients, Placebo-Controlled Trial, Prevention, Prospective Randomized-Trial, Quality, Quality Of, Quality Of Life, Rabbit Antithymocyte Globulin, Randomised, Receptor Antagonist, Receptor Monoclonal-Antibody, Recurrence, Reference, Rejection, Risk, Risks, Science, Science Citation Index, Science Citation Index Expanded, Search, Sequential, Single-Center Experience, Size, Small, Solid-Organ Transplantation, Statistical Analysis, Steroid-Free Immunosuppression, Systematic, Tacrolimus-Based Induction, Therapy, Transplantation, Treatment, Treatment Option, Trial, WHO, World Health Organization</w:t>
      </w:r>
    </w:p>
    <w:p w:rsidR="00162B53" w:rsidRDefault="00162B53" w:rsidP="00162B53">
      <w:pPr>
        <w:pStyle w:val="a3"/>
        <w:rPr>
          <w:kern w:val="0"/>
        </w:rPr>
      </w:pPr>
      <w:r>
        <w:rPr>
          <w:rFonts w:hint="eastAsia"/>
          <w:kern w:val="0"/>
        </w:rPr>
        <w:t xml:space="preserve">? </w:t>
      </w:r>
      <w:r>
        <w:rPr>
          <w:kern w:val="0"/>
        </w:rPr>
        <w:t xml:space="preserve">Grillo-Ardila, C.F., Ruiz-Parra, A.I., Gaitan, H.G. and Rodriguez-Malagon, N. (2014), Prostaglandins for management of retained placenta. </w:t>
      </w:r>
      <w:r>
        <w:rPr>
          <w:i/>
          <w:iCs/>
          <w:kern w:val="0"/>
        </w:rPr>
        <w:t>Cochrane Database of Systematic Reviews</w:t>
      </w:r>
      <w:r>
        <w:rPr>
          <w:kern w:val="0"/>
        </w:rPr>
        <w:t xml:space="preserve">, </w:t>
      </w:r>
      <w:r>
        <w:rPr>
          <w:rFonts w:hint="eastAsia"/>
          <w:b/>
          <w:kern w:val="0"/>
        </w:rPr>
        <w:t>5</w:t>
      </w:r>
      <w:r>
        <w:rPr>
          <w:rFonts w:hint="eastAsia"/>
          <w:kern w:val="0"/>
        </w:rPr>
        <w:t>,</w:t>
      </w:r>
      <w:r w:rsidRPr="00DC3A2A">
        <w:rPr>
          <w:kern w:val="0"/>
        </w:rPr>
        <w:t xml:space="preserve"> </w:t>
      </w:r>
      <w:r w:rsidRPr="001F3C06">
        <w:rPr>
          <w:kern w:val="0"/>
        </w:rPr>
        <w:t xml:space="preserve">Article Number: </w:t>
      </w:r>
      <w:r w:rsidRPr="004845F6">
        <w:rPr>
          <w:kern w:val="0"/>
        </w:rPr>
        <w:t>CD010312</w:t>
      </w:r>
      <w:r>
        <w:rPr>
          <w:kern w:val="0"/>
        </w:rPr>
        <w:t>.</w:t>
      </w:r>
    </w:p>
    <w:p w:rsidR="00162B53" w:rsidRDefault="00162B53" w:rsidP="00162B53">
      <w:pPr>
        <w:pStyle w:val="a3"/>
      </w:pPr>
      <w:r>
        <w:t xml:space="preserve">Full Text: </w:t>
      </w:r>
      <w:hyperlink r:id="rId845" w:history="1">
        <w:r w:rsidR="00C16DB3" w:rsidRPr="00C16DB3">
          <w:rPr>
            <w:rStyle w:val="a5"/>
          </w:rPr>
          <w:t>2014\Coc Dat Sys Rev2014, CD010312.pdf</w:t>
        </w:r>
      </w:hyperlink>
    </w:p>
    <w:p w:rsidR="00162B53" w:rsidRDefault="00162B53" w:rsidP="00162B53">
      <w:pPr>
        <w:pStyle w:val="a3"/>
        <w:rPr>
          <w:kern w:val="0"/>
        </w:rPr>
      </w:pPr>
      <w:r>
        <w:rPr>
          <w:kern w:val="0"/>
        </w:rPr>
        <w:t>Abstract: Background Retained placenta affects 0.5% to 3% of women following delivery and it is a major cause of maternal death due to postpartum haemorrhage. Usually, retained placenta has been managed by manual removal or curettage under anaesthesia, which may be associated with haemorrhage, infection and uterine perforation. Medical management to facilitate the delivery of the retained placenta could be a safe alternative avoiding surgical intervention. Objectives To assess the effectiveness and safety of prostaglandins for the management of retained placenta. Search methods We searched the Cochrane Pregnancy and Childbirth Group</w:t>
      </w:r>
      <w:r w:rsidR="0071223E">
        <w:rPr>
          <w:kern w:val="0"/>
        </w:rPr>
        <w:t>’</w:t>
      </w:r>
      <w:r>
        <w:rPr>
          <w:kern w:val="0"/>
        </w:rPr>
        <w:t xml:space="preserve">s Trials </w:t>
      </w:r>
      <w:r>
        <w:rPr>
          <w:kern w:val="0"/>
        </w:rPr>
        <w:lastRenderedPageBreak/>
        <w:t>Register (1 December 2013), LILACS (1982 to 1 December 2013), SciELO (1998 to 1 December 2013), Web of Science (2001 to 1 December 2013), openSIGLE (1997 to 1 December 2013), World Health Organization International Clinical Trials Registry Platform (ICTRP) (1 December 2013) and the metaRegister of Controlled Trials (mRCT) (1 December 2013). We also contacted authors of included studies and reviewed the reference lists of retrieved studies. Selection criteria Randomised controlled clinical trials comparing the use of prostaglandins (or prostaglandin analogues) with placebo, expectant management, tocolytic drugs, any other prostaglandins or surgical interventions for the management of retained placenta after vaginal delivery of singleton live infants of 20 or more weeks of gestation. Data collection and analysis Two review authors independently assessed trials for inclusion and assessed trial quality. Two review authors independently extracted data. Data were checked for accuracy. Any disagreements were resolved through consensus or consultation with a third review author when required. Authors of the included studies were contacted for additional information. Main results We included three trials, involving 244 women</w:t>
      </w:r>
      <w:r w:rsidR="00A37C1D">
        <w:rPr>
          <w:kern w:val="0"/>
        </w:rPr>
        <w:t>. The</w:t>
      </w:r>
      <w:r>
        <w:rPr>
          <w:kern w:val="0"/>
        </w:rPr>
        <w:t xml:space="preserve"> studies were considered to be at high risk of bias</w:t>
      </w:r>
      <w:r w:rsidR="00A37C1D">
        <w:rPr>
          <w:kern w:val="0"/>
        </w:rPr>
        <w:t>. The</w:t>
      </w:r>
      <w:r>
        <w:rPr>
          <w:kern w:val="0"/>
        </w:rPr>
        <w:t xml:space="preserve"> prostaglandins used were PG E2 analogue (sulprostone) in 50 participants and PG E1 analogue (misoprostol) in 194 participants at a dose of 250 mcg and 800 mcg respectively</w:t>
      </w:r>
      <w:r w:rsidR="00A37C1D">
        <w:rPr>
          <w:kern w:val="0"/>
        </w:rPr>
        <w:t>. The</w:t>
      </w:r>
      <w:r>
        <w:rPr>
          <w:kern w:val="0"/>
        </w:rPr>
        <w:t xml:space="preserve"> prostaglandins compared with placebo, were not superior in reducing the rate of manual removal of placenta (average risk ratio (RR) 0.82; 95% confidence interval (CI) 0.54 to 1.27), severe postpartum haemorrhage (RR 0.80; 95% CI 0.55 to 1.15), need for blood transfusion (RR 0.72; 95% CI 0.43 to 1.22), mean blood loss (mean difference (MD) -205.26 mL; 95% CI -536.31 to 125.79, random-effects) and the mean time from injection to placental removal (MD -7.00 minutes; 95% CI -21.20 to 7.20). Side-effects were no different between groups (vomiting, headache, pain and nausea between injection and discharge from the labour ward), with the exception of shivering, which was more frequent in women receiving prostaglandins (RR 10.00; 95% CI 1.40 to 71.49). We did not obtain any data for the primary outcomes of maternal mortality and the need to add another therapeutic uterotonic. Authors</w:t>
      </w:r>
      <w:r w:rsidR="0071223E">
        <w:rPr>
          <w:kern w:val="0"/>
        </w:rPr>
        <w:t>’</w:t>
      </w:r>
      <w:r>
        <w:rPr>
          <w:kern w:val="0"/>
        </w:rPr>
        <w:t xml:space="preserve"> conclusions Currently there is limited, very low-quality evidence relating to the effectiveness and the safety using prostaglandins for the management of retained placenta. Use of prostaglandins resulted in less need for manual removal of placenta, severe postpartum haemorrhage and blood transfusion but none of the differences reached statistical significance. Much larger, adequately powered studies are needed to confirm that these clinically important beneficial effects are not just chance findings. Similarly, no differences were detected between prostaglandins and placebo in mean blood loss or the mean time from injection to placental removal (minutes) or side-effects (vomiting, headache, pain and nausea between injection and discharge from the labour ward) except for </w:t>
      </w:r>
      <w:r w:rsidR="0071223E">
        <w:rPr>
          <w:kern w:val="0"/>
        </w:rPr>
        <w:lastRenderedPageBreak/>
        <w:t>‘</w:t>
      </w:r>
      <w:r>
        <w:rPr>
          <w:kern w:val="0"/>
        </w:rPr>
        <w:t>shivering</w:t>
      </w:r>
      <w:r w:rsidR="0071223E">
        <w:rPr>
          <w:kern w:val="0"/>
        </w:rPr>
        <w:t>’</w:t>
      </w:r>
      <w:r>
        <w:rPr>
          <w:kern w:val="0"/>
        </w:rPr>
        <w:t xml:space="preserve"> which was more frequent in women who received prostaglandin</w:t>
      </w:r>
      <w:r w:rsidR="00A37C1D">
        <w:rPr>
          <w:kern w:val="0"/>
        </w:rPr>
        <w:t>. The</w:t>
      </w:r>
      <w:r>
        <w:rPr>
          <w:kern w:val="0"/>
        </w:rPr>
        <w:t xml:space="preserve"> included studies were of poor quality and there is little confidence in the effect estimates; the true effect is likely to be substantially different. We can not make any recommendations about changes to clinical practice. More high-quality research in this area is needed.</w:t>
      </w:r>
    </w:p>
    <w:p w:rsidR="00162B53" w:rsidRDefault="00162B53" w:rsidP="00162B53">
      <w:pPr>
        <w:pStyle w:val="a3"/>
        <w:rPr>
          <w:kern w:val="0"/>
        </w:rPr>
      </w:pPr>
      <w:r>
        <w:rPr>
          <w:kern w:val="0"/>
        </w:rPr>
        <w:t>Keywords: Accuracy, Alternative, Anaesthesia, Analysis, Authors, Bias, Blood, Blood Loss, Blood Transfusion, Changes, Childbirth, Clinical, Clinical Practice, Clinical Trials, Collection, Confidence, Consensus, Consultation, Criteria, Curettage, Data, Data Collection, Death, Deliveries, Delivery, Discharge, Drugs, Effectiveness, Effects, Estimates, Evidence, Expectant Management, Gestation, Groups, Haemorrhage, Health, Infants, Infection, Information, Interval, Intervention, Interventions, Intraumbilical Injection, Intravenous Sulprostone, Labour, Management, Manual Removal, Manual Removal Of Placenta, Maternal, Maternal Death, Maternal Mortality, Medical, Methods, Misoprostol, Morbidity, Mortality, Nausea, Outcomes, Pain, Placebo, Placenta, Placental Removal, Postpartum, Postpartum Haemorrhage, Postpartum Hemorrhage, Practice, Pregnancy, Primary, Prostaglandin, Prostaglandins, Quality, Randomized Controlled-Trial, Recommendations, Reference, Reference Lists, Removal, Research, Retained, Retained Placenta, Review, Risk, Risk-Factors, Safety, Scielo, Science, Search, Shivering, Side Effects, Significance, Singleton, Sulprostone, Therapeutic, Transfusion, Trial, Uterine, Uterine Perforation, Uterotonic, Uterotonics, Vaginal, Vaginal Delivery, Vomiting, Web Of Science, Women, World Health Organization</w:t>
      </w:r>
    </w:p>
    <w:p w:rsidR="00B707CA" w:rsidRDefault="00B707CA" w:rsidP="00B707CA">
      <w:pPr>
        <w:pStyle w:val="a3"/>
        <w:rPr>
          <w:kern w:val="0"/>
        </w:rPr>
      </w:pPr>
      <w:r>
        <w:rPr>
          <w:rFonts w:hint="eastAsia"/>
          <w:kern w:val="0"/>
        </w:rPr>
        <w:t xml:space="preserve">? </w:t>
      </w:r>
      <w:r>
        <w:rPr>
          <w:kern w:val="0"/>
        </w:rPr>
        <w:t xml:space="preserve">Saensak, S., Vutyavanich, T., Somboonporn, W. and Srisurapanont, M. (2014), Relaxation for perimenopausal and postmenopausal symptoms. </w:t>
      </w:r>
      <w:r>
        <w:rPr>
          <w:i/>
          <w:iCs/>
          <w:kern w:val="0"/>
        </w:rPr>
        <w:t>Cochrane Database of Systematic Reviews</w:t>
      </w:r>
      <w:r>
        <w:rPr>
          <w:kern w:val="0"/>
        </w:rPr>
        <w:t xml:space="preserve">, </w:t>
      </w:r>
      <w:r w:rsidRPr="00D472B2">
        <w:rPr>
          <w:b/>
          <w:kern w:val="0"/>
        </w:rPr>
        <w:t>7</w:t>
      </w:r>
      <w:r>
        <w:rPr>
          <w:rFonts w:hint="eastAsia"/>
          <w:kern w:val="0"/>
        </w:rPr>
        <w:t>,</w:t>
      </w:r>
      <w:r w:rsidRPr="00DC3A2A">
        <w:rPr>
          <w:kern w:val="0"/>
        </w:rPr>
        <w:t xml:space="preserve"> </w:t>
      </w:r>
      <w:r w:rsidRPr="001F3C06">
        <w:rPr>
          <w:kern w:val="0"/>
        </w:rPr>
        <w:t xml:space="preserve">Article Number: </w:t>
      </w:r>
      <w:r w:rsidRPr="0075029D">
        <w:rPr>
          <w:kern w:val="0"/>
        </w:rPr>
        <w:t>CD008582</w:t>
      </w:r>
      <w:r>
        <w:rPr>
          <w:kern w:val="0"/>
        </w:rPr>
        <w:t>.</w:t>
      </w:r>
    </w:p>
    <w:p w:rsidR="00B707CA" w:rsidRDefault="00B707CA" w:rsidP="00B707CA">
      <w:pPr>
        <w:pStyle w:val="a3"/>
      </w:pPr>
      <w:r>
        <w:t xml:space="preserve">Full Text: </w:t>
      </w:r>
      <w:hyperlink r:id="rId846" w:history="1">
        <w:r w:rsidR="00C16DB3" w:rsidRPr="00C16DB3">
          <w:rPr>
            <w:rStyle w:val="a5"/>
          </w:rPr>
          <w:t>2014\Coc Dat Sys Rev2014, CD008582.pdf</w:t>
        </w:r>
      </w:hyperlink>
    </w:p>
    <w:p w:rsidR="00B707CA" w:rsidRDefault="00B707CA" w:rsidP="00B707CA">
      <w:pPr>
        <w:pStyle w:val="a3"/>
        <w:rPr>
          <w:kern w:val="0"/>
        </w:rPr>
      </w:pPr>
      <w:r>
        <w:rPr>
          <w:kern w:val="0"/>
        </w:rPr>
        <w:t>Abstract: Background Since the time of publication of the Women</w:t>
      </w:r>
      <w:r w:rsidR="0071223E">
        <w:rPr>
          <w:kern w:val="0"/>
        </w:rPr>
        <w:t>’</w:t>
      </w:r>
      <w:r>
        <w:rPr>
          <w:kern w:val="0"/>
        </w:rPr>
        <w:t xml:space="preserve">s Health Initiative (WHI) study, menopausal symptom management has become more complex because of increased awareness of the risks associated with hormone replacement therapy (HRT). Currently, a wide range of management options is available. Some women take prescription drugs, and others use self care strategies, including lifestyle modifications, over-the-counter preparations and complementary and alternative therapies, such as herbal preparations, exercise programmes and relaxation techniques. Relaxation techniques consist of a group of behavioural interventions. They are considered relatively harmless, but their effectiveness in treating vasomotor symptoms and sleep disturbances remains debatable. Objectives To determine the effectiveness of relaxation techniques as treatment for vasomotor symptoms and associated sleep disturbances in perimenopausal and postmenopausal women. Search methods Searches of the following electronic bibliographic databases were </w:t>
      </w:r>
      <w:r>
        <w:rPr>
          <w:kern w:val="0"/>
        </w:rPr>
        <w:lastRenderedPageBreak/>
        <w:t>performed in February 2014 to identify randomised controlled trials (RCTs): the Cochrane Menstrual Disorders and Subfertility Group Specialised Trials Register; the Cochrane Central Register of ControlledTrials (CENTRAL), MEDLINE, EMBASE, AMED, PsycINFO, Social Science Citation Index and CINAHL. Handsearches of trial registers, relevant journals and published conference abstracts were also performed. Selection criteria RCTs were included if they compared any type of relaxation intervention with no treatment or other treatments (except hormones) for vasomotor symptoms in symptomatic perimenopausal/postmenopausal women. Data collection and analysis Two review authors selected studies, assessed quality and extracted data. Included studies were combined, if appropriate, by using a random-effects model to calculate pooled mean differences and 95% confidence intervals. Main results Four studies were eligible for inclusion (281 participants): Two studies compared relaxation with electroacupuncture or superficial needling, one study compared relaxation with paced respiration or placebo control (alpha-wave electroencephalographic biofeedback) and one study compared relaxation with no treatment. No evidence was found of a difference between relaxation and acupuncture or superficial needle insertion in the number of hot flushes per 24 hours (mean difference (MD) 0.05, 95% confidence interval (CI) -1.33 to 1.43, two studies, 72 participants, I-2 = 0%; very low-quality evidence). Nor did any evidence suggest a difference between the two interventions in hot flush severity, measured using the Kupperman Index (MD -1.32, 95% CI -5.06 to 2.43, two studies, 72 participants, I2 = 0%; very low-quality evidence). The other two studies found no clear evidence of a difference in hot flush frequency between relaxation and paced respiration, placebo or no treatment. The data for these comparisons were unsuitable for analysis. None of these studies reported night sweats, sleep disturbances associated with night sweats or adverse effects as an outcome. The main limitations of identified evidence were lack of data, imprecision and failure to report study methods in adequate detail. Authors</w:t>
      </w:r>
      <w:r w:rsidR="0071223E">
        <w:rPr>
          <w:kern w:val="0"/>
        </w:rPr>
        <w:t>’</w:t>
      </w:r>
      <w:r>
        <w:rPr>
          <w:kern w:val="0"/>
        </w:rPr>
        <w:t xml:space="preserve"> conclusions Evidence is insufficient to show the effectiveness of relaxation techniques as treatment for menopausal vasomotor symptoms, or to determine whether this treatment is more effective than no treatment, placebo, acupuncture, superficial needle insertion or paced respiration.</w:t>
      </w:r>
    </w:p>
    <w:p w:rsidR="00B707CA" w:rsidRDefault="00B707CA" w:rsidP="00B707CA">
      <w:pPr>
        <w:pStyle w:val="a3"/>
        <w:rPr>
          <w:kern w:val="0"/>
        </w:rPr>
      </w:pPr>
      <w:r>
        <w:rPr>
          <w:kern w:val="0"/>
        </w:rPr>
        <w:t xml:space="preserve">Keywords: Acupuncture, Adverse Effects, Alternative, Alternative Therapies, Analysis, Authors, Awareness, Bibliographic, Bibliographic Databases, Biofeedback, Care, Citation, Collection, Complementary, Confidence, Confidence Intervals, Control, Criteria, Data, Data Collection, Databases, Disturbances, Drugs, Effectiveness, Effects, Embase, Evidence, Exercise, Failure, Health, Hormones, Hrt, Interval, Intervals, Intervention, Interventions, Journals, Management, Management Options, Medline, Methods, Model, Options, Outcome, Over-The-Counter, Placebo, </w:t>
      </w:r>
      <w:r>
        <w:rPr>
          <w:kern w:val="0"/>
        </w:rPr>
        <w:lastRenderedPageBreak/>
        <w:t>Postmenopausal, Postmenopausal Women, Prescription, Programmes, Psycinfo, Publication, Quality, Random Effects Model, Randomised, Randomised Controlled Trials, Relaxation, Replacement Therapy, Respiration, Review, Risks, Science, Science Citation Index, Search, Self, Self Care, Self-Care, Sleep, Social Science Citation Index, Symptom Management, Symptoms, Techniques, Therapy, Treatment, Trial, Women</w:t>
      </w:r>
    </w:p>
    <w:p w:rsidR="00B707CA" w:rsidRDefault="00B707CA" w:rsidP="00B707CA">
      <w:pPr>
        <w:pStyle w:val="a3"/>
        <w:rPr>
          <w:kern w:val="0"/>
        </w:rPr>
      </w:pPr>
      <w:r>
        <w:rPr>
          <w:rFonts w:hint="eastAsia"/>
          <w:kern w:val="0"/>
        </w:rPr>
        <w:t xml:space="preserve">? </w:t>
      </w:r>
      <w:r>
        <w:rPr>
          <w:kern w:val="0"/>
        </w:rPr>
        <w:t xml:space="preserve">Burry, L., Rose, L., McCullagh, I.J., Fergusson, D.A., Ferguson, N.D. and Mehta, S. (2014), Daily sedation interruption versus no daily sedation interruption for critically ill adult patients requiring invasive mechanical ventilation. </w:t>
      </w:r>
      <w:r>
        <w:rPr>
          <w:i/>
          <w:iCs/>
          <w:kern w:val="0"/>
        </w:rPr>
        <w:t>Cochrane Database of Systematic Reviews</w:t>
      </w:r>
      <w:r>
        <w:rPr>
          <w:kern w:val="0"/>
        </w:rPr>
        <w:t xml:space="preserve">, </w:t>
      </w:r>
      <w:r w:rsidRPr="00D472B2">
        <w:rPr>
          <w:b/>
          <w:kern w:val="0"/>
        </w:rPr>
        <w:t>7</w:t>
      </w:r>
      <w:r>
        <w:rPr>
          <w:rFonts w:hint="eastAsia"/>
          <w:kern w:val="0"/>
        </w:rPr>
        <w:t>,</w:t>
      </w:r>
      <w:r w:rsidRPr="00DC3A2A">
        <w:rPr>
          <w:kern w:val="0"/>
        </w:rPr>
        <w:t xml:space="preserve"> </w:t>
      </w:r>
      <w:r w:rsidRPr="001F3C06">
        <w:rPr>
          <w:kern w:val="0"/>
        </w:rPr>
        <w:t xml:space="preserve">Article Number: </w:t>
      </w:r>
      <w:r w:rsidRPr="0075029D">
        <w:rPr>
          <w:kern w:val="0"/>
        </w:rPr>
        <w:t>CD009176</w:t>
      </w:r>
      <w:r>
        <w:rPr>
          <w:kern w:val="0"/>
        </w:rPr>
        <w:t>.</w:t>
      </w:r>
    </w:p>
    <w:p w:rsidR="00B707CA" w:rsidRDefault="00B707CA" w:rsidP="00B707CA">
      <w:pPr>
        <w:pStyle w:val="a3"/>
      </w:pPr>
      <w:r>
        <w:t xml:space="preserve">Full Text: </w:t>
      </w:r>
      <w:hyperlink r:id="rId847" w:history="1">
        <w:r w:rsidR="00C16DB3" w:rsidRPr="00C16DB3">
          <w:rPr>
            <w:rStyle w:val="a5"/>
          </w:rPr>
          <w:t>2014\Coc Dat Sys Rev2014, CD009176.pdf</w:t>
        </w:r>
      </w:hyperlink>
    </w:p>
    <w:p w:rsidR="00B707CA" w:rsidRDefault="00B707CA" w:rsidP="00B707CA">
      <w:pPr>
        <w:pStyle w:val="a3"/>
        <w:rPr>
          <w:kern w:val="0"/>
        </w:rPr>
      </w:pPr>
      <w:r>
        <w:rPr>
          <w:kern w:val="0"/>
        </w:rPr>
        <w:t xml:space="preserve">Abstract: Background Daily sedation interruption (DSI) is thought to limit drug bioaccumulation, promote a more awake state, and thereby reduce the duration of mechanical ventilation. Available evidence has shown DSI to either reduce, not alter, or prolong the duration of mechanical ventilation. Objectives The primary objective of this review was to compare the total duration of invasive mechanical ventilation for critically ill adult patients requiring intravenous sedation who were managed with DSI versus those with no DSI. Our other objectives were to determine whether DSI influenced mortality, intensive care unit (ICU) and hospital lengths of stay, adverse events, the total doses of sedative drug administered, and quality of life. Search methods We searched, from database inception to February 2014, the Cochrane Central Register of Controlled Trials (CENTRAL) (The Cochrane Library 2014, Issue 1); MEDLINE (OvidSP); EMBASE (OvidSP); CINAHL (EBSCOhost); Latin American and Caribbean Health Sciences Literature (LILACS); Web of Science Science Citation Index; Database of Abstracts of Reviews of Effects (DARE); the Health Technology Assessment Database (HTA Database); trial registration websites, and reference lists of relevant articles. We did not apply language restrictions. The reference lists of all retrieved articles were reviewed for additional, potentially relevant studies. Selection criteria We included randomized controlled trials that compared DSI with sedation strategies that did not include DSI in mechanically ventilated, critically ill adults. Data collection and analysis Two authors independently extracted data and three authors assessed risk of bias. We contacted study authors for additional information as required. We combined data in forest plots using random-effects modelling. A priori subgroups and sensitivity analyses were performed. Main results Nine trials were used in the analysis (n = 1282 patients). These trials were found to be predominantly at low risk of bias. We did not find strong evidence of an effect of DSI on the total duration of ventilation. Pooled data from nine trials demonstrated a 13% reduction in the geometric mean, with relatively wide confidence intervals (CI) indicating imprecision (95% CI 26% </w:t>
      </w:r>
      <w:r>
        <w:rPr>
          <w:kern w:val="0"/>
        </w:rPr>
        <w:lastRenderedPageBreak/>
        <w:t>reduction to 2% increase, moderate quality evidence). Similarly, we did not find strong evidence of an effect on ICU length of stay (-10%, 95% CI -20% to 3%, n = 9 trials, moderate quality evidence) or hospital length of stay (-6%, 95% CI -18% to 8%, n = 8 trials, moderate quality evidence). Heterogeneity for these three outcomes was moderate and statistically significant. The risk ratio for ICU mortality was 0.96 (95% CI 0.77 to 1.21, n = 7 trials, moderate quality evidence), for rate of accidental endotracheal tube removal 1.07 (95% CI 0.55 to 2.12, n = 6 trials, moderate quality evidence), for catheter removal 1.48 (95% CI 0.76 to 2.90, n = 4 trials), and for incidence of new onset delirium 1.02 (95% CI 0.91 to 1.13, n = 3 trials, moderate quality evidence). Differences in the doses of any drug used or quality of life score (Short Form (SF)-36) did not reach statistical significance. Tracheostomy was performed less frequently in the DSI group (RR 0.73, 95% CI 0.57 to 0.92, n = 6 trials, moderate quality evidence). Sensitivity analysis of unlogged data resulted in similar findings. Post hoc analysis to further explain heterogeneity, based on study country of origin, showed that studies conducted in North America resulted in a reduction in the duration of mechanical ventilation (-21%, 95% CI -33% to -5%, n = 5 trials). Authors</w:t>
      </w:r>
      <w:r w:rsidR="0071223E">
        <w:rPr>
          <w:kern w:val="0"/>
        </w:rPr>
        <w:t>’</w:t>
      </w:r>
      <w:r>
        <w:rPr>
          <w:kern w:val="0"/>
        </w:rPr>
        <w:t xml:space="preserve"> conclusions We have not found strong evidence that DSI alters the duration of mechanical ventilation, mortality, length of ICU or hospital stay, adverse event rates, drug consumption, or quality of life for critically ill adults receiving mechanical ventilation compared to sedation strategies that do not include DSI. We advise that caution should be applied when interpreting and applying the findings as the overall effect of treatment is always &lt; 1 and the upper limit of the CI is only marginally higher than the no-effect line. These results should be considered unstable rather than negative for DSI given the statistical and clinical heterogeneity identified in the included trials.</w:t>
      </w:r>
    </w:p>
    <w:p w:rsidR="00B707CA" w:rsidRDefault="00B707CA" w:rsidP="00B707CA">
      <w:pPr>
        <w:pStyle w:val="a3"/>
        <w:rPr>
          <w:kern w:val="0"/>
        </w:rPr>
      </w:pPr>
      <w:r>
        <w:rPr>
          <w:kern w:val="0"/>
        </w:rPr>
        <w:t>Keywords: Adult, Adverse Events, Analyses, Analysis, Articles, Assessment, Authors, Bias, Bioaccumulation, Care, Catheter, Citation, Clinical, Collection, Confidence, Confidence Intervals, Consumption, Country, Country Of Origin, Criteria, Data, Data Collection, Database, Delirium, Differences, Drug, Duration, Embase, Events, Evidence, Forest, Health, Heterogeneity, Hospital, Hospital Stay, Hta, Icu, Incidence, Information, Intensive Care, Intensive Care Unit, Intervals, Intravenous, Invasive, Language, Length, Length Of Stay, Life, Literature, Low Risk, Mechanical Ventilation, Medline, Methods, Modelling, Mortality, North, North America, Onset, Origin, Outcomes, Patients, Primary, Quality, Quality Of, Quality Of Life, Randomized, Randomized Controlled Trials, Rates, Reduction, Reference, Reference Lists, Removal, Restrictions, Review, Risk, Science, Science Citation Index, Sciences, Search, Sedation, Sensitivity, Sensitivity Analysis, Significance, State, Technology, Technology Assessment, Treatment, Trial, Ventilation, Web Of Science, Websites</w:t>
      </w:r>
    </w:p>
    <w:p w:rsidR="00B707CA" w:rsidRDefault="00B707CA" w:rsidP="00B707CA">
      <w:pPr>
        <w:pStyle w:val="a3"/>
        <w:rPr>
          <w:kern w:val="0"/>
        </w:rPr>
      </w:pPr>
      <w:r>
        <w:rPr>
          <w:rFonts w:hint="eastAsia"/>
          <w:kern w:val="0"/>
        </w:rPr>
        <w:lastRenderedPageBreak/>
        <w:t xml:space="preserve">? </w:t>
      </w:r>
      <w:r>
        <w:rPr>
          <w:kern w:val="0"/>
        </w:rPr>
        <w:t xml:space="preserve">Barker, F., Mackenzie, E., Elliott, L., Jones, S. and de Lusignan, S. (2014), Interventions to improve hearing aid use in adult auditory rehabilitation. </w:t>
      </w:r>
      <w:r>
        <w:rPr>
          <w:i/>
          <w:iCs/>
          <w:kern w:val="0"/>
        </w:rPr>
        <w:t>Cochrane Database of Systematic Reviews</w:t>
      </w:r>
      <w:r>
        <w:rPr>
          <w:kern w:val="0"/>
        </w:rPr>
        <w:t xml:space="preserve">, </w:t>
      </w:r>
      <w:r w:rsidRPr="00D472B2">
        <w:rPr>
          <w:b/>
          <w:kern w:val="0"/>
        </w:rPr>
        <w:t>7</w:t>
      </w:r>
      <w:r>
        <w:rPr>
          <w:rFonts w:hint="eastAsia"/>
          <w:kern w:val="0"/>
        </w:rPr>
        <w:t>,</w:t>
      </w:r>
      <w:r w:rsidRPr="00DC3A2A">
        <w:rPr>
          <w:kern w:val="0"/>
        </w:rPr>
        <w:t xml:space="preserve"> </w:t>
      </w:r>
      <w:r w:rsidRPr="001F3C06">
        <w:rPr>
          <w:kern w:val="0"/>
        </w:rPr>
        <w:t xml:space="preserve">Article Number: </w:t>
      </w:r>
      <w:r w:rsidRPr="0075029D">
        <w:rPr>
          <w:kern w:val="0"/>
        </w:rPr>
        <w:t>CD010342</w:t>
      </w:r>
      <w:r>
        <w:rPr>
          <w:kern w:val="0"/>
        </w:rPr>
        <w:t>.</w:t>
      </w:r>
    </w:p>
    <w:p w:rsidR="00B707CA" w:rsidRDefault="00B707CA" w:rsidP="00B707CA">
      <w:pPr>
        <w:pStyle w:val="a3"/>
      </w:pPr>
      <w:r>
        <w:t xml:space="preserve">Full Text: </w:t>
      </w:r>
      <w:hyperlink r:id="rId848" w:history="1">
        <w:r w:rsidR="003F5AE8" w:rsidRPr="003F5AE8">
          <w:rPr>
            <w:rStyle w:val="a5"/>
          </w:rPr>
          <w:t>2014\Coc Dat Sys Rev2014, CD010342.pdf</w:t>
        </w:r>
      </w:hyperlink>
    </w:p>
    <w:p w:rsidR="00B707CA" w:rsidRDefault="00B707CA" w:rsidP="00B707CA">
      <w:pPr>
        <w:pStyle w:val="a3"/>
        <w:rPr>
          <w:kern w:val="0"/>
        </w:rPr>
      </w:pPr>
      <w:r>
        <w:rPr>
          <w:kern w:val="0"/>
        </w:rPr>
        <w:t xml:space="preserve">Abstract: Background Acquired adult-onset hearing loss is a common long-term condition for which the most common intervention is hearing aid fitting. However, up to 40% of people fitted with a hearing aid either fail to use it or may not gain optimal benefit from it. Objectives To assess the long-term effectiveness of interventions to promote the use of hearing aids in adults with acquired hearing loss fitted with at least one hearing aid. Search methods We searched the Cochrane ENT Disorders Group Trials Register; CENTRAL; PubMed; EMBASE; CINAHL; Web of Science; Cambridge Scientific Abstracts; ICTRP and additional sources for published and unpublished trials. The date of the search was 6 November 2013. Selection criteria We included randomised controlled trials (RCTs) of interventions designed to improve or promote hearing aid use in adults with acquired hearing loss compared with usual care or another intervention. We excluded interventions that compared hearing aid technology. We classified interventions according to the </w:t>
      </w:r>
      <w:r w:rsidR="0071223E">
        <w:rPr>
          <w:kern w:val="0"/>
        </w:rPr>
        <w:t>‘</w:t>
      </w:r>
      <w:r>
        <w:rPr>
          <w:kern w:val="0"/>
        </w:rPr>
        <w:t>chronic care model</w:t>
      </w:r>
      <w:r w:rsidR="0071223E">
        <w:rPr>
          <w:kern w:val="0"/>
        </w:rPr>
        <w:t>’</w:t>
      </w:r>
      <w:r>
        <w:rPr>
          <w:kern w:val="0"/>
        </w:rPr>
        <w:t xml:space="preserve"> (CCM). The primary outcomes were hearing aid use (measured as adherence or daily hours of use) and adverse effects (inappropriate advice or clinical practice, or patient complaints). Secondary patient-reported outcomes included quality of life, hearing handicap, hearing aid benefit and communication. Outcomes were measured over the short (&lt;/= 12 weeks), medium (&gt;12 to &lt;52 weeks) and long term (one year plus). Data collection and analysis We used the standard methodological procedures expected by The Cochrane Collaboration. Main results We included 32 studies involving a total of 2072 participants. The risk of bias across the included studies was variable. We judged the GRADE quality of evidence to be very low or low for the primary outcomes where data were available. The majority of participants were over 65 years of age with mild to moderate adult-onset hearing loss. There was a mix of new and experienced hearing aid users. Six of the studies (1018 participants) were conducted in a military veteran population. Six of the studies (287 participants) assessed long-term outcomes. All 32 studies tested interventions that could be classified as self management support (ways to help someone to manage their hearing loss and hearing aid(s) better by giving information, practice and experience at listening/communicating or by asking people to practise tasks at home) and/or delivery system design interventions (just changing how the service was delivered) according to the CCM. Self management support interventions We found no studies that investigated the effect of these interventions on adherence, adverse effects or hearing aid benefit. Two studies reported daily hours of hearing aid use but we were unable to combine these in a meta-analysis. There was no evidence of a </w:t>
      </w:r>
      <w:r>
        <w:rPr>
          <w:kern w:val="0"/>
        </w:rPr>
        <w:lastRenderedPageBreak/>
        <w:t>statistically significant effect on quality of life over the medium term. Self management support reduced short-to medium-term hearing handicap (two studies, 87 participants; mean difference (MD) -12.80, 95% confidence interval (CI) -23.11 to -2.48 (0 to 100 scale)) and increased the use of verbal communication strategies in the short to medium term (one study, 52 participants; MD 0.72, 95% CI 0.21 to 1.23 (0 to 5 scale)). The clinical significance of these statistical findings is uncertain but it is likely that the outcomes were clinically significant for some, but not all, participants. Our confidence in the quality of this evidence was very low. No self management support studies reported long-term outcomes. Delivery system design interventions These interventions did not significantly affect adherence or daily hours of hearing aid use in the short to medium term, or adverse effects in the long term. We found no studies that investigated the effect of these interventions on quality of life. There was no evidence of a statistically or clinically significant effect on hearing handicap, hearing aid benefit or the use of verbal communication strategies in the short to medium term. Our confidence in the quality of this evidence was low or very low. Long-term outcome measurement was rare. Combined self management support/delivery system design interventions We found no studies that investigated the effect of complex interventions combining components of self management support and delivery system design on adherence or adverse effects. There was no evidence of a statistically or clinically significant effect on daily hours of hearing aid use over the long term, or the short to medium term. Similarly, there was no evidence of an effect on quality of life over the long term, or short to medium term. These combined interventions reduced hearing handicap in the short to medium term (13 studies, 485 participants, standardised mean difference (SMD) -0.27, 95% CI -0.49 to -0.06). This represents a small-moderate effect size but there is no evidence of a statistically significant effect over the long term. There was evidence of a statistically, but not clinically, significant effect on long-term hearing aid benefit (two studies, 69 participants, MD 0.30, 95% CI 0.02 to 0.58 (1 to 5 scale)), but no evidence of effect over the short to medium term. There was evidence of a statistically, but not clinically, significant effect on the use of verbal communication strategies in the short term (four studies, 223 participants, MD 0.45, 95% CI 0.15 to 0.74 (0 to 5 scale)), but not the long term. Our confidence in the quality of this evidence was low or very low. We found no studies that assessed the effect of other CCM interventions (decision support, the clinical information system, community resources or health system changes). Authors</w:t>
      </w:r>
      <w:r w:rsidR="0071223E">
        <w:rPr>
          <w:kern w:val="0"/>
        </w:rPr>
        <w:t>’</w:t>
      </w:r>
      <w:r>
        <w:rPr>
          <w:kern w:val="0"/>
        </w:rPr>
        <w:t xml:space="preserve"> conclusions There is some low to very low quality evidence to support the use of self management support and complex interventions combining self management support and delivery system design in adult auditory rehabilitation. However, effect sizes are small and the range of interventions that have been tested is relatively limited. Priorities for future research </w:t>
      </w:r>
      <w:r>
        <w:rPr>
          <w:kern w:val="0"/>
        </w:rPr>
        <w:lastRenderedPageBreak/>
        <w:t>should be assessment of long-term outcome a year or more after the intervention, development of a core outcome set for adult auditory rehabilitation and development of study designs and outcome measures that are powered to detect incremental effects of rehabilitative healthcare system changes over and above the provision of a hearing aid.</w:t>
      </w:r>
    </w:p>
    <w:p w:rsidR="00B707CA" w:rsidRDefault="00B707CA" w:rsidP="00B707CA">
      <w:pPr>
        <w:pStyle w:val="a3"/>
        <w:rPr>
          <w:kern w:val="0"/>
        </w:rPr>
      </w:pPr>
      <w:r>
        <w:rPr>
          <w:kern w:val="0"/>
        </w:rPr>
        <w:t>Keywords: Adherence, Adult, Adverse Effects, Age, Aids, Analysis, Assessment, Bias, Care, Changes, Chronic, Clinical, Clinical Information System, Clinical Practice, Cochrane Collaboration, Collaboration, Collection, Combining, Communication, Community, Complaints, Confidence, Criteria, Data, Data Collection, Decision, Decision Support, Delivery, Design, Development, Effect Size, Effectiveness, Effects, Embase, Evidence, Experience, Grade, Health, Health System, Hearing Loss, Information, Interval, Intervention, Interventions, Life, Long Term, Long-Term, Long-Term Outcome, Long-Term Outcomes, Management, Measurement, Measures, Meta Analysis, Meta-Analysis, Metaanalysis, Methods, Model, Outcome, Outcome Measures, Outcomes, Population, Practice, Primary, Priorities, Procedures, Pubmed, Quality, Quality Of, Quality Of Life, Randomised, Randomised Controlled Trials, Rehabilitation, Research, Resources, Risk, Scale, Science, Search, Self, Self Management, Self-Management, Service, Significance, Size, Small, Sources, Standard, Support, Technology, Term, Web Of Science</w:t>
      </w:r>
    </w:p>
    <w:p w:rsidR="00B707CA" w:rsidRDefault="00B707CA" w:rsidP="00B707CA">
      <w:pPr>
        <w:pStyle w:val="a3"/>
        <w:rPr>
          <w:kern w:val="0"/>
        </w:rPr>
      </w:pPr>
      <w:r>
        <w:rPr>
          <w:rFonts w:hint="eastAsia"/>
          <w:kern w:val="0"/>
        </w:rPr>
        <w:t xml:space="preserve">? </w:t>
      </w:r>
      <w:r>
        <w:rPr>
          <w:kern w:val="0"/>
        </w:rPr>
        <w:t xml:space="preserve">Zhang, S., Smailagic, N., Hyde, C., Noel-Storr, A.H., Takwoingi, Y., McShane, R. and Feng, J. (2014), </w:t>
      </w:r>
      <w:r w:rsidRPr="003F5AE8">
        <w:rPr>
          <w:kern w:val="0"/>
          <w:vertAlign w:val="superscript"/>
        </w:rPr>
        <w:t>11</w:t>
      </w:r>
      <w:r>
        <w:rPr>
          <w:kern w:val="0"/>
        </w:rPr>
        <w:t>C-PIB-PET for the early diagnosis of Alzheimer</w:t>
      </w:r>
      <w:r w:rsidR="0071223E">
        <w:rPr>
          <w:kern w:val="0"/>
        </w:rPr>
        <w:t>’</w:t>
      </w:r>
      <w:r>
        <w:rPr>
          <w:kern w:val="0"/>
        </w:rPr>
        <w:t xml:space="preserve">s disease dementia and other dementias in people with mild cognitive impairment (MCI). </w:t>
      </w:r>
      <w:r>
        <w:rPr>
          <w:i/>
          <w:iCs/>
          <w:kern w:val="0"/>
        </w:rPr>
        <w:t>Cochrane Database of Systematic Reviews</w:t>
      </w:r>
      <w:r>
        <w:rPr>
          <w:kern w:val="0"/>
        </w:rPr>
        <w:t xml:space="preserve">, </w:t>
      </w:r>
      <w:r w:rsidRPr="00D472B2">
        <w:rPr>
          <w:b/>
          <w:kern w:val="0"/>
        </w:rPr>
        <w:t>7</w:t>
      </w:r>
      <w:r>
        <w:rPr>
          <w:rFonts w:hint="eastAsia"/>
          <w:kern w:val="0"/>
        </w:rPr>
        <w:t>,</w:t>
      </w:r>
      <w:r w:rsidRPr="00DC3A2A">
        <w:rPr>
          <w:kern w:val="0"/>
        </w:rPr>
        <w:t xml:space="preserve"> </w:t>
      </w:r>
      <w:r w:rsidRPr="001F3C06">
        <w:rPr>
          <w:kern w:val="0"/>
        </w:rPr>
        <w:t xml:space="preserve">Article Number: </w:t>
      </w:r>
      <w:r w:rsidRPr="0075029D">
        <w:rPr>
          <w:kern w:val="0"/>
        </w:rPr>
        <w:t>CD010386</w:t>
      </w:r>
      <w:r>
        <w:rPr>
          <w:kern w:val="0"/>
        </w:rPr>
        <w:t>.</w:t>
      </w:r>
    </w:p>
    <w:p w:rsidR="00B707CA" w:rsidRDefault="00B707CA" w:rsidP="00B707CA">
      <w:pPr>
        <w:pStyle w:val="a3"/>
      </w:pPr>
      <w:r>
        <w:t xml:space="preserve">Full Text: </w:t>
      </w:r>
      <w:hyperlink r:id="rId849" w:history="1">
        <w:r w:rsidR="003F5AE8" w:rsidRPr="003F5AE8">
          <w:rPr>
            <w:rStyle w:val="a5"/>
          </w:rPr>
          <w:t>2014\Coc Dat Sys Rev2014, CD010386.pdf</w:t>
        </w:r>
      </w:hyperlink>
    </w:p>
    <w:p w:rsidR="00B707CA" w:rsidRDefault="00B707CA" w:rsidP="00B707CA">
      <w:pPr>
        <w:pStyle w:val="a3"/>
        <w:rPr>
          <w:kern w:val="0"/>
        </w:rPr>
      </w:pPr>
      <w:r>
        <w:rPr>
          <w:kern w:val="0"/>
        </w:rPr>
        <w:t>Abstract: Background According to the latest revised National Institute of Neurological and Communicative Disorders and Stroke and the Alzheimer</w:t>
      </w:r>
      <w:r w:rsidR="0071223E">
        <w:rPr>
          <w:kern w:val="0"/>
        </w:rPr>
        <w:t>’</w:t>
      </w:r>
      <w:r>
        <w:rPr>
          <w:kern w:val="0"/>
        </w:rPr>
        <w:t>s Disease and Related Disorders Association (now known as the Alzheimer</w:t>
      </w:r>
      <w:r w:rsidR="0071223E">
        <w:rPr>
          <w:kern w:val="0"/>
        </w:rPr>
        <w:t>’</w:t>
      </w:r>
      <w:r>
        <w:rPr>
          <w:kern w:val="0"/>
        </w:rPr>
        <w:t>s Association) (NINCDS-ADRDA) diagnostic criteria for Alzheimer</w:t>
      </w:r>
      <w:r w:rsidR="0071223E">
        <w:rPr>
          <w:kern w:val="0"/>
        </w:rPr>
        <w:t>’</w:t>
      </w:r>
      <w:r>
        <w:rPr>
          <w:kern w:val="0"/>
        </w:rPr>
        <w:t>s disease dementia, the confidence in diagnosing mild cognitive impairment (MCI) due to Alzheimer</w:t>
      </w:r>
      <w:r w:rsidR="0071223E">
        <w:rPr>
          <w:kern w:val="0"/>
        </w:rPr>
        <w:t>’</w:t>
      </w:r>
      <w:r>
        <w:rPr>
          <w:kern w:val="0"/>
        </w:rPr>
        <w:t>s disease dementia is raised with the application of imaging biomarkers. These tests, added to core clinical criteria, might increase the sensitivity or specificity of a testing strategy. However, the accuracy of biomarkers in the diagnosis of Alzheimer</w:t>
      </w:r>
      <w:r w:rsidR="0071223E">
        <w:rPr>
          <w:kern w:val="0"/>
        </w:rPr>
        <w:t>’</w:t>
      </w:r>
      <w:r>
        <w:rPr>
          <w:kern w:val="0"/>
        </w:rPr>
        <w:t>s disease dementia and other dementias has not yet been systematically evaluated. A formal systematic evaluation of the sensitivity, specificity, and other properties of positron emission tomography (PET) imaging with the C-11-labelled Pittsburgh Compound-B (C-11-PIB) ligand was performed. Objectives To determine the diagnostic accuracy of the C-11-PIB-PET scan for detecting participants with MCI at baseline who will clinically convert to Alzheimer</w:t>
      </w:r>
      <w:r w:rsidR="0071223E">
        <w:rPr>
          <w:kern w:val="0"/>
        </w:rPr>
        <w:t>’</w:t>
      </w:r>
      <w:r>
        <w:rPr>
          <w:kern w:val="0"/>
        </w:rPr>
        <w:t xml:space="preserve">s disease dementia or other forms of dementia over a period of time. Search methods The most recent search for this </w:t>
      </w:r>
      <w:r>
        <w:rPr>
          <w:kern w:val="0"/>
        </w:rPr>
        <w:lastRenderedPageBreak/>
        <w:t>review was performed on 12 January 2013. We searched MEDLINE (OvidSP), EMBASE (OvidSP), BIOSIS Previews (ISI Web of Knowledge), Web of Science and Conference Proceedings (ISIWeb of Knowledge), PsycINFO (OvidSP), and LILACS (BIREME). We also requested a search of the Cochrane Register of Diagnostic Test Accuracy Studies (managed by the Cochrane Renal Group). No language or date restrictions were applied to the electronic searches and methodological filters were not used so as to maximise sensitivity. Selection criteria We selected studies that had prospectively defined cohorts with any accepted definition of MCI with baseline C-11-PIB-PET scan. In addition, we only selected studies that applied a reference standard for Alzheimer</w:t>
      </w:r>
      <w:r w:rsidR="0071223E">
        <w:rPr>
          <w:kern w:val="0"/>
        </w:rPr>
        <w:t>’</w:t>
      </w:r>
      <w:r>
        <w:rPr>
          <w:kern w:val="0"/>
        </w:rPr>
        <w:t>s dementia diagnosis for example NINCDS-ADRDA or Diagnostic and Statistical Manual of Mental Disorders-IV (DSM-IV) criteria. Data collection and analysis We screened all titles generated by electronic database searches. Two review authors independently assessed the abstracts of all potentially relevant studies. The identified full papers were assessed for eligibility and data were extracted to create two by two tables. Two independent assessors performed quality assessment using the QUADAS 2 tool. We used the hierarchical summary receiver operating characteristic (ROC) model to produce a summary ROC curve. Main results Conversion from MCI to Alzheimer</w:t>
      </w:r>
      <w:r w:rsidR="0071223E">
        <w:rPr>
          <w:kern w:val="0"/>
        </w:rPr>
        <w:t>’</w:t>
      </w:r>
      <w:r>
        <w:rPr>
          <w:kern w:val="0"/>
        </w:rPr>
        <w:t>s disease dementia was evaluated in nine studies. The quality of the evidence was limited. Of the 274 participants included in the meta-analysis, 112 developed Alzheimer</w:t>
      </w:r>
      <w:r w:rsidR="0071223E">
        <w:rPr>
          <w:kern w:val="0"/>
        </w:rPr>
        <w:t>’</w:t>
      </w:r>
      <w:r>
        <w:rPr>
          <w:kern w:val="0"/>
        </w:rPr>
        <w:t>s dementia. Based on the nine included studies, the median proportion converting was 34%. The studies varied markedly in how the PIB scans were done and interpreted. The sensitivities were between 83% and 100% while the specificities were between 46% and 88%. Because of the variation in thresholds and measures of C-11-PIB amyloid retention, we did not calculate summary sensitivity and specificity. Although subject to considerable uncertainty, to illustrate the potential strengths and weaknesses of C-11-PIB-PET scans we estimated from the fitted summary ROC curve that the sensitivity was 96% (95% confidence interval (CI) 87 to 99) at the included study median specificity of 58%. This equated to a positive likelihood ratio of 2.3 and a negative likelihood ratio of 0.07. Assuming a typical conversion rate of MCI to Alzheimer</w:t>
      </w:r>
      <w:r w:rsidR="0071223E">
        <w:rPr>
          <w:kern w:val="0"/>
        </w:rPr>
        <w:t>’</w:t>
      </w:r>
      <w:r>
        <w:rPr>
          <w:kern w:val="0"/>
        </w:rPr>
        <w:t>s dementia of 34%, for every 100 PIB scans one person with a negative scan would progress and 28 with a positive scan would not actually progress to Alzheimer</w:t>
      </w:r>
      <w:r w:rsidR="0071223E">
        <w:rPr>
          <w:kern w:val="0"/>
        </w:rPr>
        <w:t>’</w:t>
      </w:r>
      <w:r>
        <w:rPr>
          <w:kern w:val="0"/>
        </w:rPr>
        <w:t>s dementia. There were limited data for formal investigation of heterogeneity. We performed two sensitivity analyses to assess the influence of type of reference standard and the use of a pre-specified threshold. There was no effect on our findings. Authors</w:t>
      </w:r>
      <w:r w:rsidR="0071223E">
        <w:rPr>
          <w:kern w:val="0"/>
        </w:rPr>
        <w:t>’</w:t>
      </w:r>
      <w:r>
        <w:rPr>
          <w:kern w:val="0"/>
        </w:rPr>
        <w:t xml:space="preserve"> conclusions Although the good sensitivity achieved in some included studies is promising for the value of C-11-PIB-PET, given the heterogeneity in the conduct and interpretation of the test and the lack of defined thresholds for determination of test positivity, we cannot recommend its routine use in clinical </w:t>
      </w:r>
      <w:r>
        <w:rPr>
          <w:kern w:val="0"/>
        </w:rPr>
        <w:lastRenderedPageBreak/>
        <w:t>practice. C-11-PIB-PET biomarker is a high cost investigation, therefore it is important to clearly demonstrate its accuracy and standardise the process of the C-11-PIB diagnostic modality prior to it being widely used.</w:t>
      </w:r>
    </w:p>
    <w:p w:rsidR="00B707CA" w:rsidRDefault="00B707CA" w:rsidP="00B707CA">
      <w:pPr>
        <w:pStyle w:val="a3"/>
        <w:rPr>
          <w:kern w:val="0"/>
        </w:rPr>
      </w:pPr>
      <w:r>
        <w:rPr>
          <w:kern w:val="0"/>
        </w:rPr>
        <w:t>Keywords: Accuracy, Alzheimer</w:t>
      </w:r>
      <w:r w:rsidR="0071223E">
        <w:rPr>
          <w:kern w:val="0"/>
        </w:rPr>
        <w:t>’</w:t>
      </w:r>
      <w:r>
        <w:rPr>
          <w:kern w:val="0"/>
        </w:rPr>
        <w:t>S Disease, Analyses, Analysis, Application, Assessment, Association, Authors, Biomarker, Biomarkers, Clinical, Clinical Practice, Collection, Conference, Confidence, Conversion, Cost, Criteria, Data, Data Collection, Database, Dementia, Diagnosis, Diagnostic, Diagnostic Accuracy, Diagnostic Criteria, Disease, Dsm-Iv, Early Diagnosis, Embase, Emission, Evaluation, Evidence, Forms, Heterogeneity, Imaging, Influence, Interval, Investigation, Isi, Knowledge, Language, Ligand, Likelihood Ratio, Measures, Medline, Meta Analysis, Meta-Analysis, Metaanalysis, Methods, Mild Cognitive Impairment, Model, Papers, Person, Pet, Positron Emission Tomography, Potential, Practice, Proceedings, Progress, Properties, Psycinfo, Quality, Quality Of, Recent, Reference, Restrictions, Retention, Review, Roc, Science, Search, Sensitivity, Specificity, Standard, Strategy, Stroke, Systematic, Test, Testing, The Good, Threshold, Thresholds, Uncertainty, Value, Web Of Knowledge, Web Of Science</w:t>
      </w:r>
    </w:p>
    <w:p w:rsidR="00B707CA" w:rsidRDefault="00B707CA" w:rsidP="00B707CA">
      <w:pPr>
        <w:pStyle w:val="a3"/>
        <w:rPr>
          <w:kern w:val="0"/>
        </w:rPr>
      </w:pPr>
      <w:r>
        <w:rPr>
          <w:rFonts w:hint="eastAsia"/>
          <w:kern w:val="0"/>
        </w:rPr>
        <w:t xml:space="preserve">? </w:t>
      </w:r>
      <w:r>
        <w:rPr>
          <w:kern w:val="0"/>
        </w:rPr>
        <w:t xml:space="preserve">Thomas, R.E., Crichton, A. and Thomas, B.C. (2014), Antimetabolites in cataract surgery to prevent failure of a previous trabeculectomy. </w:t>
      </w:r>
      <w:r>
        <w:rPr>
          <w:i/>
          <w:iCs/>
          <w:kern w:val="0"/>
        </w:rPr>
        <w:t>Cochrane Database of Systematic Reviews</w:t>
      </w:r>
      <w:r>
        <w:rPr>
          <w:kern w:val="0"/>
        </w:rPr>
        <w:t xml:space="preserve">, </w:t>
      </w:r>
      <w:r w:rsidRPr="00D472B2">
        <w:rPr>
          <w:b/>
          <w:kern w:val="0"/>
        </w:rPr>
        <w:t>7</w:t>
      </w:r>
      <w:r>
        <w:rPr>
          <w:rFonts w:hint="eastAsia"/>
          <w:kern w:val="0"/>
        </w:rPr>
        <w:t>,</w:t>
      </w:r>
      <w:r w:rsidRPr="00DC3A2A">
        <w:rPr>
          <w:kern w:val="0"/>
        </w:rPr>
        <w:t xml:space="preserve"> </w:t>
      </w:r>
      <w:r w:rsidRPr="001F3C06">
        <w:rPr>
          <w:kern w:val="0"/>
        </w:rPr>
        <w:t xml:space="preserve">Article Number: </w:t>
      </w:r>
      <w:r w:rsidRPr="0075029D">
        <w:rPr>
          <w:kern w:val="0"/>
        </w:rPr>
        <w:t>CD010627</w:t>
      </w:r>
      <w:r>
        <w:rPr>
          <w:kern w:val="0"/>
        </w:rPr>
        <w:t>.</w:t>
      </w:r>
    </w:p>
    <w:p w:rsidR="00B707CA" w:rsidRDefault="00B707CA" w:rsidP="00B707CA">
      <w:pPr>
        <w:pStyle w:val="a3"/>
      </w:pPr>
      <w:r>
        <w:t xml:space="preserve">Full Text: </w:t>
      </w:r>
      <w:hyperlink r:id="rId850" w:history="1">
        <w:r w:rsidR="003F5AE8" w:rsidRPr="003F5AE8">
          <w:rPr>
            <w:rStyle w:val="a5"/>
          </w:rPr>
          <w:t>2014\Coc Dat Sys Rev2014, CD010627.pdf</w:t>
        </w:r>
      </w:hyperlink>
    </w:p>
    <w:p w:rsidR="00B707CA" w:rsidRDefault="00B707CA" w:rsidP="00B707CA">
      <w:pPr>
        <w:pStyle w:val="a3"/>
        <w:rPr>
          <w:kern w:val="0"/>
        </w:rPr>
      </w:pPr>
      <w:r>
        <w:rPr>
          <w:kern w:val="0"/>
        </w:rPr>
        <w:t xml:space="preserve">Abstract: Background Patients having cataract surgery have often earlier undergone a trabeculectomy for glaucoma. However, cataract surgery may be associated with failure of the previous glaucoma surgery and antimetabolites may be used with cataract surgery to prevent such failure. There is no systematic review on whether antimetabolites with cataract surgery prevent failure of a previous trabeculectomy. Objectives To assess the effects of antimetabolites with cataract surgery on functioning of a previous trabeculectomy. Search methods We searched CENTRAL (which contains the Cochrane Eyes and Vision Group Trials Register) (2014, Issue 5), Ovid MEDLINE, Ovid MEDLINE In-Process and Other Non-Indexed Citations, Ovid MEDLINE Daily, Ovid OLDMEDLINE (January 1946 to June 2014), EMBASE (January 1980 to June 2014), Latin American and Caribbean Health Sciences Literature Database (LILACS) (January 1982 to June 2014), the metaRegister of Controlled Trials (mRCT) (www.controlled-trials.com), ClinicalTrials.gov (www.clinicaltrials.gov) and the World Health Organization (WHO) International Clinical Trials Registry Platform (ICTRP) (www.who.int/ictrp/search/en). We did not use any date or language restrictions in the electronic searches for trials. We last searched the electronic databases on 10 June 2014. We also searched the Science Citation Index database (July 2013) and reference lists of potentially relevant studies. Selection criteria Randomised </w:t>
      </w:r>
      <w:r>
        <w:rPr>
          <w:kern w:val="0"/>
        </w:rPr>
        <w:lastRenderedPageBreak/>
        <w:t>controlled trials (RCTs) of antimetabolites with cataract surgery in people with a functioning trabeculectomy. Data collection and analysis Two review authors independently reviewed the titles and abstracts from the electronic searches. Two review authors independently assessed relevant full-text articles and entered data. Main results We identified no RCTs to test the effectiveness of antimetabolites with cataract surgery in individuals with the intention of preventing failure of a previous trabeculectomy. Authors</w:t>
      </w:r>
      <w:r w:rsidR="0071223E">
        <w:rPr>
          <w:kern w:val="0"/>
        </w:rPr>
        <w:t>’</w:t>
      </w:r>
      <w:r>
        <w:rPr>
          <w:kern w:val="0"/>
        </w:rPr>
        <w:t xml:space="preserve"> conclusions There are no RCTs of antimetabolites with cataract surgery in people with a functioning trabeculectomy. Appropriately powered RCTs are needed of antimetabolites during cataract surgery in patients with a functioning trabeculectomy.</w:t>
      </w:r>
    </w:p>
    <w:p w:rsidR="00B707CA" w:rsidRDefault="00B707CA" w:rsidP="00B707CA">
      <w:pPr>
        <w:pStyle w:val="a3"/>
        <w:rPr>
          <w:kern w:val="0"/>
        </w:rPr>
      </w:pPr>
      <w:r>
        <w:rPr>
          <w:kern w:val="0"/>
        </w:rPr>
        <w:t>Keywords: Analysis, Articles, Authors, Cataract Surgery, Citation, Citations, Clinical Trials, Collection, Criteria, Data, Data Collection, Database, Databases, Effectiveness, Effects, Embase, Failure, Health, International, Language, Literature, Medline, Methods, Patients, Prevent, Randomised Controlled Trials, Reference, Reference Lists, Restrictions, Review, Science, Science Citation Index, Sciences, Search, Surgery, Systematic, Systematic Review, Who, World Health Organization</w:t>
      </w:r>
    </w:p>
    <w:p w:rsidR="00B707CA" w:rsidRDefault="00B707CA" w:rsidP="00B707CA">
      <w:pPr>
        <w:pStyle w:val="a3"/>
        <w:rPr>
          <w:kern w:val="0"/>
        </w:rPr>
      </w:pPr>
      <w:r>
        <w:rPr>
          <w:rFonts w:hint="eastAsia"/>
          <w:kern w:val="0"/>
        </w:rPr>
        <w:t xml:space="preserve">? </w:t>
      </w:r>
      <w:r>
        <w:rPr>
          <w:kern w:val="0"/>
        </w:rPr>
        <w:t xml:space="preserve">Harrison, J.K., Fearon, P., Noel-Storr, A.H., McShane, R., Stott, D.J. and Quinn, T.J. (2014), Informant Questionnaire on Cognitive Decline in the Elderly (IQCODE) for the diagnosis of dementia within a general practice (primary care) setting. </w:t>
      </w:r>
      <w:r>
        <w:rPr>
          <w:i/>
          <w:iCs/>
          <w:kern w:val="0"/>
        </w:rPr>
        <w:t>Cochrane Database of Systematic Reviews</w:t>
      </w:r>
      <w:r>
        <w:rPr>
          <w:kern w:val="0"/>
        </w:rPr>
        <w:t xml:space="preserve">, </w:t>
      </w:r>
      <w:r w:rsidRPr="00D472B2">
        <w:rPr>
          <w:b/>
          <w:kern w:val="0"/>
        </w:rPr>
        <w:t>7</w:t>
      </w:r>
      <w:r>
        <w:rPr>
          <w:rFonts w:hint="eastAsia"/>
          <w:kern w:val="0"/>
        </w:rPr>
        <w:t>,</w:t>
      </w:r>
      <w:r w:rsidRPr="00DC3A2A">
        <w:rPr>
          <w:kern w:val="0"/>
        </w:rPr>
        <w:t xml:space="preserve"> </w:t>
      </w:r>
      <w:r w:rsidRPr="001F3C06">
        <w:rPr>
          <w:kern w:val="0"/>
        </w:rPr>
        <w:t xml:space="preserve">Article Number: </w:t>
      </w:r>
      <w:r w:rsidRPr="0075029D">
        <w:rPr>
          <w:kern w:val="0"/>
        </w:rPr>
        <w:t>CD010771</w:t>
      </w:r>
      <w:r>
        <w:rPr>
          <w:kern w:val="0"/>
        </w:rPr>
        <w:t>.</w:t>
      </w:r>
    </w:p>
    <w:p w:rsidR="00B707CA" w:rsidRDefault="00B707CA" w:rsidP="00B707CA">
      <w:pPr>
        <w:pStyle w:val="a3"/>
      </w:pPr>
      <w:r>
        <w:t xml:space="preserve">Full Text: </w:t>
      </w:r>
      <w:hyperlink r:id="rId851" w:history="1">
        <w:r w:rsidR="003F5AE8" w:rsidRPr="003F5AE8">
          <w:rPr>
            <w:rStyle w:val="a5"/>
          </w:rPr>
          <w:t>2014\Coc Dat Sys Rev2014, CD010771.pdf</w:t>
        </w:r>
      </w:hyperlink>
    </w:p>
    <w:p w:rsidR="00B707CA" w:rsidRDefault="00B707CA" w:rsidP="00B707CA">
      <w:pPr>
        <w:pStyle w:val="a3"/>
        <w:rPr>
          <w:kern w:val="0"/>
        </w:rPr>
      </w:pPr>
      <w:r>
        <w:rPr>
          <w:kern w:val="0"/>
        </w:rPr>
        <w:t xml:space="preserve">Abstract: Background The IQCODE (Informant Questionnaire for Cognitive Decline in the Elderly) is a commonly used questionnaire based tool that uses collateral information to assess for cognitive decline and dementia. Brief tools that can be used for dementia “screening” or “triage” may have particular utility in primary care / general practice healthcare settings but only if they have suitable test accuracy. A synthesis of the available data regarding IQCODE accuracy in a primary care setting should help inform cognitive assessment strategies for clinical practice; research and policy. Objectives We sought to describe the accuracy of IQCODE (the index test) against a clinical diagnosis of dementia (the reference standard). In this review we focus on those studies conducted in a primary care (general practice) setting. Search methods A search was performed in the following sources on the 28th of January 2013: ALOIS (Cochrane Dementia and Cognitive Improvement Group), MEDLINE (Ovid SP), EMBASE (Ovid SP), PsycINFO (Ovid SP), BIOSIS (Ovid SP), ISI Web of Science and Conference Proceedings (ISI Web of Knowledge), CINHAL (EBSCOhost) and LILACs (BIREME). We also searched sources specific to diagnostic test accuracy: MEDION (Universities of Maastricht and Leuven); DARE (York University); HTA Database (Health Technology Assessments Database via The Cochrane Library) and ARIF (Birmingham University). We developed a </w:t>
      </w:r>
      <w:r>
        <w:rPr>
          <w:kern w:val="0"/>
        </w:rPr>
        <w:lastRenderedPageBreak/>
        <w:t>sensitive search strategy; search terms were designed to cover key concepts using several different approaches run in parallel and included terms relating to cognitive tests, cognitive screening and dementia. We used standardized database subject headings such as MeSH terms (in MEDLINE) and other standardized headings (controlled vocabulary) in other databases, as appropriate. Selection criteria We selected those studies performed in primary care settings, which included (not necessarily exclusively) IQCODE to assess for the presence of dementia and where dementia diagnosis was confirmed with clinical assessment. For the “primary care” setting, we included those healthcare settings where unselected patients, present for initial, non-specialist assessment of memory or non-memory related symptoms; often with a view to onward referral for more definitive assessment. Data collection and analysis We screened all titles generated by electronic database searches and abstracts of all potentially relevant studies were reviewed. Full papers were assessed for eligibility and data extracted by two independent assessors. Quality assessment (risk of bias and applicability) was determined using the QUADAS-2 tool. Reporting quality was determined using the STARDdem extension to the STARD tool. Main results From 71 papers describing IQCODE test accuracy, we included 1 paper, representing data from 230 individuals (n=16 [7%] with dementia). The paper described those patients consulting a primary care service who self-identified as Japanese-American. Dementia diagnosis was made using Benson &amp; Cummings criteria and the IQCODE was recorded as part of a longer interview with the informant. IQCODE accuracy was assessed at various test thresholds, with a “trade-off” between sensitivity and specificity across these cutpoints. At an IQCODE threshold of 3.2 sensitivity: 100%, specificity: 76%; for IQCODE 3.7 sensitivity: 75%, specificity: 98%. Applying the QUADAS-2 assessments, the study was at high risk of bias in all categories. In particular degree of blinding was unclear and not all participants were included in the final analysis. Authors</w:t>
      </w:r>
      <w:r w:rsidR="0071223E">
        <w:rPr>
          <w:kern w:val="0"/>
        </w:rPr>
        <w:t>’</w:t>
      </w:r>
      <w:r>
        <w:rPr>
          <w:kern w:val="0"/>
        </w:rPr>
        <w:t xml:space="preserve"> conclusions It is not possible to give definitive guidance on the test accuracy of IQCODE for the diagnosis of dementia in a primary care setting based on the single study identified. We are surprised by the lack of research using the IQCODE in primary care as this is, arguably, the most appropriate setting for targeted case finding of those with undiagnosed dementia in order to maximise opportunities to intervene and provide support for the individual and their carers.</w:t>
      </w:r>
    </w:p>
    <w:p w:rsidR="00B707CA" w:rsidRDefault="00B707CA" w:rsidP="00B707CA">
      <w:pPr>
        <w:pStyle w:val="a3"/>
        <w:rPr>
          <w:kern w:val="0"/>
        </w:rPr>
      </w:pPr>
      <w:r>
        <w:rPr>
          <w:kern w:val="0"/>
        </w:rPr>
        <w:t xml:space="preserve">Keywords: Accuracy, Analysis, Assessment, Assessments, Bias, Care, Clinical, Clinical Assessment, Clinical Practice, Collection, Conference, Criteria, Data, Data Collection, Database, Databases, Dementia, Diagnosis, Diagnostic, Diagnostic Test, Elderly, Embase, General, General Practice, Guidance, Health, Hta, Improvement, Index, Information, Isi, Isi Web Of Science, Knowledge, Medline, Memory, Methods, Papers, Patients, Policy, Practice, Primary, Primary Care, Proceedings, Psycinfo, </w:t>
      </w:r>
      <w:r>
        <w:rPr>
          <w:kern w:val="0"/>
        </w:rPr>
        <w:lastRenderedPageBreak/>
        <w:t>Quality, Quality Assessment, Questionnaire, Reference, Research, Review, Risk, Science, Screening, Search, Search Strategy, Sensitivity, Service, Sources, Specificity, Standard, Strategy, Support, Symptoms, Synthesis, Technology, Threshold, Thresholds, Universities, University, Utility, Web Of Knowledge, Web Of Science</w:t>
      </w:r>
    </w:p>
    <w:p w:rsidR="00F859E1" w:rsidRDefault="00F859E1" w:rsidP="00F859E1">
      <w:pPr>
        <w:pStyle w:val="a3"/>
        <w:rPr>
          <w:kern w:val="0"/>
        </w:rPr>
      </w:pPr>
      <w:r>
        <w:rPr>
          <w:rFonts w:hint="eastAsia"/>
          <w:kern w:val="0"/>
        </w:rPr>
        <w:t xml:space="preserve">? </w:t>
      </w:r>
      <w:r>
        <w:rPr>
          <w:kern w:val="0"/>
        </w:rPr>
        <w:t xml:space="preserve">Gluud, L.L., Dam, G., Les, I., Cordoba, J., Marchesini, G., Borre, M., Aagaard, N.K. and Vilstrup, H. (2015), Branched-chain amino acids for people with hepatic encephalopathy.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AF6BAF">
        <w:rPr>
          <w:kern w:val="0"/>
        </w:rPr>
        <w:t>CD001939</w:t>
      </w:r>
      <w:r>
        <w:rPr>
          <w:kern w:val="0"/>
        </w:rPr>
        <w:t>.</w:t>
      </w:r>
    </w:p>
    <w:p w:rsidR="00F859E1" w:rsidRDefault="00F859E1" w:rsidP="00F859E1">
      <w:pPr>
        <w:pStyle w:val="a3"/>
      </w:pPr>
      <w:r>
        <w:t xml:space="preserve">Full Text: </w:t>
      </w:r>
      <w:hyperlink r:id="rId852" w:history="1">
        <w:r w:rsidR="003F5AE8" w:rsidRPr="003F5AE8">
          <w:rPr>
            <w:rStyle w:val="a5"/>
          </w:rPr>
          <w:t>2015\Coc Dat Sys Rev2015, CD001939.pdf</w:t>
        </w:r>
      </w:hyperlink>
    </w:p>
    <w:p w:rsidR="00F859E1" w:rsidRDefault="00F859E1" w:rsidP="00F859E1">
      <w:pPr>
        <w:pStyle w:val="a3"/>
        <w:rPr>
          <w:kern w:val="0"/>
        </w:rPr>
      </w:pPr>
      <w:r>
        <w:rPr>
          <w:kern w:val="0"/>
        </w:rPr>
        <w:t xml:space="preserve">Abstract: Background Hepatic encephalopathy is a brain dysfunction with neurological and psychiatric changes associated with liver insufficiency or portal-systemic shunting. The severity ranges from minor symptoms to coma. A Cochrane systematic review including 11 randomised clinical trials on branched-chain amino acids (BCAA) versus control interventions has evaluated if BCAA may benefit people with hepatic encephalopathy. Objectives To evaluate the beneficial and harmful effects of BCAA versus any control intervention for people with hepatic encephalopathy. Search methods We identified trials through manual and electronic searches in The Cochrane Hepato-Biliary Group Controlled Trials Register, the Cochrane Central Register of Controlled Trials (CENTRAL), MEDLINE, EMBASE, and Science Citation Index on 2 October 2014. Selection criteria We included randomised clinical Data collection and analysis The authors independently extracted data based on published reports and collected data from the primary investigators. We changed our primary outcomes in this update of the review to include mortality (all cause), hepatic encephalopathy (number of people without improved manifestations of hepatic encephalopathy), and adverse events. The analyses included random-effects and fixed-effect meta-analyses. We performed subgroup, sensitivity, regression, and trial sequential analyses to evaluate sources of heterogeneity (including intervention, and participant and trial characteristics), bias (using The Cochrane Hepato-Biliary Group method), small-study effects, and the robustness of the results after adjusting for sparse data and multiplicity. We graded the quality of the evidence using the GRADE approach. Main results We found 16 randomised clinical trials including 827 participants with hepatic encephalopathy classed as overt (12 trials) or minimal (four trials). Eight trials assessed oral BCAA supplements and seven trials assessed intravenous BCAA. The control groups received placebo/no intervention (two trials), diets (10 trials), lactulose (two trials), or neomycin (two trials). In 15 trials, all participants had cirrhosis. Based on the combined Cochrane Hepato-Biliary Group score, we classed seven trials as low risk of bias and nine trials as high risk of bias (mainly due to lack of blinding or for-profit </w:t>
      </w:r>
      <w:r>
        <w:rPr>
          <w:kern w:val="0"/>
        </w:rPr>
        <w:lastRenderedPageBreak/>
        <w:t>funding). In a random-effects meta-analysis of mortality, we found no difference between BCAA and controls (risk ratio (RR) 0.88, 95% confidence interval (CI) 0.69 to 1.11; 760 participants; 15 trials; moderate quality of evidence). We found no evidence of small-study effects. Sensitivity analyses of trials with a low risk of bias found no beneficial or detrimental effect of BCAA on mortality. Trial sequential analysis showed that the required information size was not reached, suggesting that additional evidence was needed. BCAA had a beneficial effect on hepatic encephalopathy (RR 0.73, 95% CI 0.61 to 0.88; 827 participants; 16 trials; high quality of evidence). We found no small-study effects and confirmed the beneficial effect of BCAA in a sensitivity analysis that only included trials with a low risk of bias (RR 0.71, 95% CI 0.52 to 0.96). The trial sequential analysis showed that firm evidence was reached. In a fixed-effect meta-analysis, we found that BCAA increased the risk of nausea and vomiting (RR 5.56; 2.93 to 10.55; moderate quality of evidence). We found no beneficial or detrimental effects of BCAA on nausea or vomiting in a random-effects meta-analysis or on quality of life or nutritional parameters. We did not identify predictors of the intervention effect in the subgroup, sensitivity, or meta-regression analyses. In sensitivity analyses that excluded trials with a lactulose or neomycin control, BCAA had a beneficial effect on hepatic encephalopathy (RR 0.76, 95% CI 0.63 to 0.92). Additional sensitivity analyses found no difference between BCAA and lactulose or neomycin (RR 0.66, 95% CI 0.34 to 1.30). Authors’ conclusions In this updated review, we included five additional trials. The analyses showed that BCAA had a beneficial effect on hepatic encephalopathy. We found no effect on mortality, quality of life, or nutritional parameters, but we need additional trials to evaluate these outcomes. Likewise, we need additional randomised clinical trials to determine the effect of BCAA compared with interventions such as nonabsorbable disaccharides, rifaximin, or other antibiotics.</w:t>
      </w:r>
    </w:p>
    <w:p w:rsidR="00F859E1" w:rsidRDefault="00F859E1" w:rsidP="00F859E1">
      <w:pPr>
        <w:pStyle w:val="a3"/>
        <w:rPr>
          <w:kern w:val="0"/>
        </w:rPr>
      </w:pPr>
      <w:r>
        <w:rPr>
          <w:kern w:val="0"/>
        </w:rPr>
        <w:t xml:space="preserve">Keywords: Adverse Events, Amino Acids, Amino Acids,Branched-Chain [Therapeutic Use], Ammonia Metabolism, Analyses, Analysis, Antibiotics, Approach, Authors, Bias, Brain, Changes, Characteristics, Cirrhosis, Citation, Clinical, Clinical Trials, Collection, Coma, Confidence, Control, Control Groups, Criteria, Data, Data Collection, Detrimental Effects, Double-Blind, Effects, Embase, Encephalopathy, Events, Evidence, Female, From, Funding, Grade, Groups, Hepatic Encephalopathy, Hepatic Encephalopathy [Drug Therapy], Heterogeneity, Humans, Information, Interval, Intervention, Interventions, Intravenous, Ishen Practice Guidelines, Latent Portosystemic Encephalopathy, Life, Liver, Liver-Cirrhosis, Low Risk, Male, Medline, Meta Analysis, Meta-Analyses, Meta-Analysis, Meta-Regression, Metaanalysis, Methods, Minor, Mortality, Nausea, Nausea And Vomiting, Neurological, Nitrogen-Metabolism, Nutritional Supplementation, Oral, Outcomes, </w:t>
      </w:r>
      <w:r>
        <w:rPr>
          <w:kern w:val="0"/>
        </w:rPr>
        <w:lastRenderedPageBreak/>
        <w:t>Placebo-Controlled Crossover, Portal-Systemic Encephalopathy, Predictors, Primary, Quality, Quality Of, Quality Of Life, Randomised, Randomized Controlled Trials As Topic, Randomized Controlled-Trials, Regression, Review, Risk, Robustness, Science, Science Citation Index, Search, Sensitivity, Sensitivity Analysis, Sequential, Size, Sources, Symptoms, Systematic, Systematic Review, Trial, Vomiting</w:t>
      </w:r>
    </w:p>
    <w:p w:rsidR="00F859E1" w:rsidRDefault="00F859E1" w:rsidP="00F859E1">
      <w:pPr>
        <w:pStyle w:val="a3"/>
        <w:rPr>
          <w:kern w:val="0"/>
        </w:rPr>
      </w:pPr>
      <w:r>
        <w:rPr>
          <w:rFonts w:hint="eastAsia"/>
          <w:kern w:val="0"/>
        </w:rPr>
        <w:t xml:space="preserve">? </w:t>
      </w:r>
      <w:r>
        <w:rPr>
          <w:kern w:val="0"/>
        </w:rPr>
        <w:t xml:space="preserve">Hofstede, S.N., Nouta, K.A., Jacobs, W., van Hooff, M.L., Wymenga, A.B., Pijls, B.G., Nelissen, R.G.H.H. and Marang-van de Mheen, P. (2015), Mobile bearing vs fixed bearing prostheses for posterior cruciate retaining total knee arthroplasty for postoperative functional status in patients with osteoarthritis and rheumatoid arthritis.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AF6BAF">
        <w:rPr>
          <w:kern w:val="0"/>
        </w:rPr>
        <w:t>CD003130</w:t>
      </w:r>
      <w:r>
        <w:rPr>
          <w:kern w:val="0"/>
        </w:rPr>
        <w:t>.</w:t>
      </w:r>
    </w:p>
    <w:p w:rsidR="00F859E1" w:rsidRDefault="00F859E1" w:rsidP="00F859E1">
      <w:pPr>
        <w:pStyle w:val="a3"/>
      </w:pPr>
      <w:r>
        <w:t xml:space="preserve">Full Text: </w:t>
      </w:r>
      <w:hyperlink r:id="rId853" w:history="1">
        <w:r w:rsidR="003F5AE8" w:rsidRPr="003F5AE8">
          <w:rPr>
            <w:rStyle w:val="a5"/>
          </w:rPr>
          <w:t>2015\Coc Dat Sys Rev2015, CD003130.pdf</w:t>
        </w:r>
      </w:hyperlink>
    </w:p>
    <w:p w:rsidR="00F859E1" w:rsidRDefault="00F859E1" w:rsidP="00F859E1">
      <w:pPr>
        <w:pStyle w:val="a3"/>
        <w:rPr>
          <w:kern w:val="0"/>
        </w:rPr>
      </w:pPr>
      <w:r>
        <w:rPr>
          <w:kern w:val="0"/>
        </w:rPr>
        <w:t xml:space="preserve">Abstract: Background It is unclear whether there are differences in benefits and harms between mobile and fixed prostheses for total knee arthroplasty (TKA). The previous Cochrane review published in 2004 included two articles. Many more trials have been performed since then; therefore an update is needed. Objectives To assess the benefits and harms of mobile bearing compared with fixed bearing cruciate retaining total knee arthroplasty for functional and clinical outcomes in patients with osteoarthritis (OA) or rheumatoid arthritis (RA). Search methods We searched The Cochrane Library, PubMed, EMBASE, CINAHL and Web of Science up to 27 February 2014, and the trial registers ClinicalTrials.gov, Multiregister, Current Controlled Trials and the World Health Organization (WHO) International Clinical Trials Registry Platform for data from unpublished trials, up to 11 February 2014. We also screened the reference lists of selected articles. Selection criteria We selected randomised controlled trials comparing mobile bearing with fixed bearing prostheses in cruciate retaining TKA among patients with osteoarthritis or rheumatoid arthritis, using functional or clinical outcome measures and follow-up of at least six months. Data collection and analysis We used standard methodological procedures as expected by The Cochrane Collaboration. Main results We found 19 studies with 1641 participants (1616 with OA (98.5%) and 25 with RA (1.5%)) and 2247 knees. Seventeen new studies were included in this update. Quality of the evidence ranged from moderate (knee pain) to low (other outcomes). Most studies had unclear risk of bias for allocation concealment, blinding of participants and personnel, blinding of outcome assessment and selective reporting, and high risk of bias for incomplete outcome data and other bias. Knee pain We calculated the standardised mean difference (SMD) for pain, using the Knee Society Score (KSS) and visual analogue scale (VAS) in 11 studies (58%) and 1531 knees (68%). No statistically significant differences between groups were reported (SMD 0.09, 95% confidence interval (CI) -0.03 to 0.22, P value 0.15). This represents an absolute risk difference of 2.4% points higher (95% CI 0.8% lower to 5.9% higher) on the KSS </w:t>
      </w:r>
      <w:r>
        <w:rPr>
          <w:kern w:val="0"/>
        </w:rPr>
        <w:lastRenderedPageBreak/>
        <w:t xml:space="preserve">pain scale and a relative percent change of 0.22% (95% CI 0.07% lower to 0.53% higher). The results were homogeneous. Clinical and functional scores The KSS clinical score did not differ statistically significantly between groups (14 studies (74%) and 1845 knees (82%)) with a mean difference (MD) of -1.06 points (95% CI -2.87 to 0.74, P value 0.25) and heterogeneous results. KSS function was reported in 14 studies (74%) with 1845 knees (82%) as an MD of -0.10 point (95% CI -1.93 to 1.73, P value 0.91) and homogeneous results. In two studies (11%), the KSS total score was favourable for mobile bearing (159 vs 132 for fixed bearing), with MD of -26.52 points (95% CI -45.03 to -8.01, P value 0.005), but with a wide 95% confidence interval indicating uncertainty about the estimate. Other reported scoring systems did not show statistically significant differences: Hospital for Special Surgery (HSS) score (seven studies (37%) in 1021 knees (45%)) with an MD of -1.36 (95% CI -4.18 to 1.46, P value 0.35); Western Ontario andMcMaster Universities Osteoarthritis Index (WOMAC) total score (two studies (11%), 167 knees (7%)) with an MD of -4.46 (95% CI -16.26 to 7.34, P value 0.46); and Oxford total (five studies (26%), 647 knees (29%) with an MD of -0.25 (95% CI -1.41 to 0.91, P value 0.67). Health-related quality of life Three studies (16%) with 498 knees (22%) reported on health-related quality of life, and no statistically significant differences were noted between the mobile bearing and fixed bearing groups. The Short Form (SF)-12 Physical Component Summary had an MD of 1.96 (95% CI -4.55 to 0.63, P value 0.14) and heterogeneous results. Revision surgery Twenty seven revisions (1.3%) were performed in 17 studies (89%) with 2065 knees (92%). In all, 13 knees were revised in the fixed bearing group and 14 knees in the mobile bearing group. No statistically significant differences were found (risk difference 0.00, 95% CI -0.01 to 0.01, P value 0.58), and homogeneous results were reported. Mortality In seven out of 19 studies, 13 participants (37%) died. Two of these participants had undergone bilateral surgery, and for seven participants, it was unclear which prosthesis they had received; therefore they were excluded from the analyses. Thus our analysis included four out of 191 participants (2.1%) who had died: one in the fixed bearing group and three in the mobile bearing group. No statistically significant differences were found. The risk difference was -0.02 (95% CI -0.06 to 0.03, P value 0.49) and results were homogeneous. Reoperation rates Thirty reoperations were performed in 17 studies (89%) with 2065 knees (92%): 18 knees in the fixed bearing group (of the 1031 knees) and 12 knees in the mobile group (of the 1034 knees). No statistically significant differences were found. The risk difference was -0.01 (95% CI -0.01 to 0.01, P value 0.99) with homogeneous results. Other serious adverse events Sixteen studies (84%) reported nine other serious adverse events in 1735 knees (77%): four in the fixed bearing group (of the 862 knees) and five in the mobile bearing group (of the 873 knees). No statistically </w:t>
      </w:r>
      <w:r>
        <w:rPr>
          <w:kern w:val="0"/>
        </w:rPr>
        <w:lastRenderedPageBreak/>
        <w:t>significant differences were found (risk difference 0.00, 95% CI -0.01 to 0.01, P value 0.88), and results were homogeneous. Authors’ conclusions Moderate-to low-quality evidence suggests that mobile bearing prosthesesmay have similar effects on knee pain, clinical and functional scores, health-related quality of life, revision surgery, mortality, reoperation rate and other serious adverse events compared with fixed bearing prostheses in posterior cruciate retaining TKA. Therefore we cannot draw firm conclusions. Most (98.5%) participants had OA, so the findings primarily reflect results reported in participants with OA. Future studies should report in greater detail outcomes such as those presented in this systematic review, with sufficient follow-up time to allow gathering of high-quality evidence and to inform clinical practice. Large registry-based studies may have added value, but they are subject to treatment-by-indication bias. Therefore, this systematic review of RCTs can be viewed as the best available evidence.</w:t>
      </w:r>
    </w:p>
    <w:p w:rsidR="00F859E1" w:rsidRDefault="00F859E1" w:rsidP="00F859E1">
      <w:pPr>
        <w:pStyle w:val="a3"/>
        <w:rPr>
          <w:kern w:val="0"/>
        </w:rPr>
      </w:pPr>
      <w:r>
        <w:rPr>
          <w:kern w:val="0"/>
        </w:rPr>
        <w:t>Keywords: 5-Year Follow-Up, Adverse Events, Allocation, Analyses, Analysis, Arthritis, Arthritis,Rheumatoid [Surgery], Arthroplasty, Arthroplasty,Replacement,Knee [Instrumentation], Articles, Assessment, Benefits, Bias, Bilateral, Clinical, Clinical Outcomes, Clinical Practice, Clinical Trials, Cochrane Collaboration, Collaboration, Collection, Confidence, Criteria, Data, Data Collection, Effects, Embase, Events, Evidence, Follow-Up, From, Function, Functional Status, Groups, Health, Health-Related Quality Of Life, Hospital, Humans, International, Interval, Kinematics, Knee, Knee Arthroplasty, Knee Joint, Life, Measures, Meniscal Bearing, Metaanalysis, Methods, Mobile, Mortality, Ontario, Osteoarthritis, Osteoarthritis,Knee [Surgery], Outcome, Outcome Assessment, Outcome Measures, Outcomes, P, Pain, Patients, Personnel, Platform, Postoperative, Practice, Prevalence, Procedures, Prosthesis Design [Methods], Pubmed, Quality, Quality Of, Quality Of Life, Randomised, Randomised Controlled Trials, Randomized Controlled Trials As Topic, Randomized Controlled-Trial, Range Of Motion,Articular, Rates, Reference, Reference Lists, Reoperation, Replacements, Reporting, Review, Rheumatoid Arthritis, Risk, Scale, Science, Scoring Systems, Search, Single-Blind, Standard, Surgery, Systematic, Systematic Review, Systems, Tka, Trial, Uncertainty, Universities, Value, Vas, Web, Web Of Science, Who, Womac, World Health Organization</w:t>
      </w:r>
    </w:p>
    <w:p w:rsidR="00F859E1" w:rsidRDefault="00F859E1" w:rsidP="00F859E1">
      <w:pPr>
        <w:pStyle w:val="a3"/>
        <w:rPr>
          <w:kern w:val="0"/>
        </w:rPr>
      </w:pPr>
      <w:r>
        <w:rPr>
          <w:rFonts w:hint="eastAsia"/>
          <w:kern w:val="0"/>
        </w:rPr>
        <w:t xml:space="preserve">? </w:t>
      </w:r>
      <w:r>
        <w:rPr>
          <w:kern w:val="0"/>
        </w:rPr>
        <w:t xml:space="preserve">Ejere, H.O.D., Alhassan, M.B. and Rabiu, M. (2015), Face washing promotion for preventing active trachoma.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AF6BAF">
        <w:rPr>
          <w:kern w:val="0"/>
        </w:rPr>
        <w:t>CD003659</w:t>
      </w:r>
      <w:r>
        <w:rPr>
          <w:kern w:val="0"/>
        </w:rPr>
        <w:t>.</w:t>
      </w:r>
    </w:p>
    <w:p w:rsidR="00F859E1" w:rsidRDefault="00F859E1" w:rsidP="00F859E1">
      <w:pPr>
        <w:pStyle w:val="a3"/>
      </w:pPr>
      <w:r>
        <w:t xml:space="preserve">Full Text: </w:t>
      </w:r>
      <w:hyperlink r:id="rId854" w:history="1">
        <w:r w:rsidR="003F5AE8" w:rsidRPr="003F5AE8">
          <w:rPr>
            <w:rStyle w:val="a5"/>
          </w:rPr>
          <w:t>2015\Coc Dat Sys Rev2015, CD003659.pdf</w:t>
        </w:r>
      </w:hyperlink>
    </w:p>
    <w:p w:rsidR="00F859E1" w:rsidRDefault="00F859E1" w:rsidP="00F859E1">
      <w:pPr>
        <w:pStyle w:val="a3"/>
        <w:rPr>
          <w:kern w:val="0"/>
        </w:rPr>
      </w:pPr>
      <w:r>
        <w:rPr>
          <w:kern w:val="0"/>
        </w:rPr>
        <w:t xml:space="preserve">Abstract: Background Trachoma remains a major cause of avoidable blindness among underprivileged populations in many developing countries. It is estimated that about 146 million people have active trachoma and nearly six million people are blind due </w:t>
      </w:r>
      <w:r>
        <w:rPr>
          <w:kern w:val="0"/>
        </w:rPr>
        <w:lastRenderedPageBreak/>
        <w:t xml:space="preserve">to complications associated with repeat infections. Objectives The objective of this review was to assess the effects of face washing promotion for the prevention of active trachoma in endemic communities. Search methods We searched CENTRAL (which contains the Cochrane Eyes and Vision Group Trials Register) (2015, Issue 1), Ovid MEDLINE, Ovid MEDLINE In-Process and Other Non-Indexed Citations, Ovid MEDLINE Daily, Ovid OLDMEDLINE (January 1946 to January 2015), EMBASE (January 1980 to January 2015), PubMed (January 1948 to January 2015), Latin American and Caribbean Health Sciences Literature Database (LILACS) (January 1982 to January 2015), the metaRegister of Controlled Trials (mRCT) (www.controlled-trials.com) (accessed 10 January 2014), ClinicalTrials.gov (www.clinicaltrials.gov) and the World Health Organization (WHO) International Clinical Trials Registry Platform (ICTRP) (www.who.int/ictrp/search/en). We did not use any date or language restrictions in the electronic searches for trials. We last searched the electronic databases on 26 January 2015. To identify further relevant trials we checked the reference lists of the included trials. Also, we used the Science Citation Index to search for references to publications that cited the trials included in the review. We contacted investigators and experts in the field to identify additional trials. Selection criteria We included randomized controlled trials (RCTs) or quasi-RCTs that compared face washing with no treatment or face washing combined with antibiotics against antibiotics alone. Trial participants were residents of endemic trachoma communities. Data collection and analysis Two review authors independently extracted data and assessed trial quality. We contacted trial authors for additional information when needed. Two trials met our inclusion criteria; but we did not conduct meta-analysis due to methodological heterogeneity. Main results We included two cluster-RCTs, which provided data from 2447 participants. Both trials were conducted in areas endemic to trachoma: Northern Australia and Tanzania. The follow-up period was three months in one trial and 12 months in the other; both trials had about 90% participant follow-up at final visit. Overall the quality of the evidence is uncertain due to the trials not reporting many design methods and the differences in outcomes reported between trials. Face washing combined with topical tetracycline was compared with topical tetracycline alone in three pairs of villages in one trial. The trial found that face washing combined with topical tetracycline reduced ‘severe’ active trachoma compared with topical tetracycline alone at 12 months (adjusted odds ratio (OR) 0.62, 95% confidence interval (CI) 0.40 to 0.97); however, the trial did not find any important difference between the intervention and control villages in reducing other types of active trachoma (adjusted OR 0.81, 95% CI 0.42 to 1.59). Intervention villages had a higher prevalence of clean faces than the control villages among children with severe trachoma (adjusted OR 0.35, 95% CI 0.21 to 0.59) and any trachoma (adjusted OR 0.58, 95% CI 0.47 to 0.72) at 12 </w:t>
      </w:r>
      <w:r>
        <w:rPr>
          <w:kern w:val="0"/>
        </w:rPr>
        <w:lastRenderedPageBreak/>
        <w:t>months follow-up. The second trial compared eye washing to no treatment or to topical tetracycline alone or to a combination of eye washing and tetracycline drops in children with follicular trachoma. At three months, the trial found no evidence of benefit of eye washing alone or in combination with tetracycline eye drops in reducing follicular trachoma amongst children with follicular trachoma (risk ratio (RR) 1.03, 95% CI 0.96 to 1.11; one trial, 1143 participants). Authors’ conclusions There is evidence from one trial that face washing combined with topical tetracyclinemay be effective in reducing severe active trachoma and in increasing the prevalence of clean faces at one year follow-up. Current evidence is inconclusive as to the effectiveness of face washing alone or in combination with topical tetracycline in reducing active or severe trachoma.</w:t>
      </w:r>
    </w:p>
    <w:p w:rsidR="00F859E1" w:rsidRDefault="00F859E1" w:rsidP="00F859E1">
      <w:pPr>
        <w:pStyle w:val="a3"/>
        <w:rPr>
          <w:kern w:val="0"/>
        </w:rPr>
      </w:pPr>
      <w:r>
        <w:rPr>
          <w:kern w:val="0"/>
        </w:rPr>
        <w:t>Keywords: Active, Adolescent, Analysis, Anti-Bacterial Agents [Administration &amp; Dosage], Antibiotics, Australia, Authors, Baths [Methods], Child, Children, Chlamydia Trachomatis, Citation, Citations, Clinical Trials, Collection, Complications, Confidence, Control, Criteria, Data, Data Collection, Database, Databases, Design, Developing, Developing Countries, Effectiveness, Effects, Embase, Environmental Improvement, Evidence, Evidence Base, Experts, Face, Field, Follow-Up, From, Health, Heterogeneity, Humans, Impact, Infant, Infections, Information, International, Interval, Intervention, Kongwa, Language, Latin-American, Literature, Medline, Meta Analysis, Meta-Analysis, Metaanalysis, Methods, Northern Australia, Odds Ratio, Ophthalmic Solutions [Therapeutic Use], Outcomes, Populations, Preschool, Prevalence, Prevention, Prevention &amp; Control], Promotion, Publications, Pubmed, Quality, Quality Of, Randomized, Randomized Controlled Trials, Randomized Controlled Trials As Topic, Reference, Reference Lists, References, Reporting, Restrictions, Review, Risk, Safe Strategy, Science, Science Citation Index, Sciences, Search, Skin Care [Methods], Tanzania, Tetracycline, Tetracycline [Administration &amp; Dosage], Topical, Trachoma [Epidemiology, Treatment, Trial, Who, World Health Organization</w:t>
      </w:r>
    </w:p>
    <w:p w:rsidR="00F859E1" w:rsidRDefault="00F859E1" w:rsidP="00F859E1">
      <w:pPr>
        <w:pStyle w:val="a3"/>
        <w:rPr>
          <w:kern w:val="0"/>
        </w:rPr>
      </w:pPr>
      <w:r>
        <w:rPr>
          <w:rFonts w:hint="eastAsia"/>
          <w:kern w:val="0"/>
        </w:rPr>
        <w:t xml:space="preserve">? </w:t>
      </w:r>
      <w:r>
        <w:rPr>
          <w:kern w:val="0"/>
        </w:rPr>
        <w:t xml:space="preserve">Schmidt-Hansen, M., Bennett, M.I., Arnold, S., Bromham, N. and Hilgart, J.S. (2015), Oxycodone for cancer-related pain.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9915A9">
        <w:rPr>
          <w:kern w:val="0"/>
        </w:rPr>
        <w:t>CD003870</w:t>
      </w:r>
      <w:r>
        <w:rPr>
          <w:kern w:val="0"/>
        </w:rPr>
        <w:t>.</w:t>
      </w:r>
    </w:p>
    <w:p w:rsidR="00F859E1" w:rsidRDefault="00F859E1" w:rsidP="00F859E1">
      <w:pPr>
        <w:pStyle w:val="a3"/>
      </w:pPr>
      <w:r>
        <w:t xml:space="preserve">Full Text: </w:t>
      </w:r>
      <w:hyperlink r:id="rId855" w:history="1">
        <w:r w:rsidR="003F5AE8" w:rsidRPr="003F5AE8">
          <w:rPr>
            <w:rStyle w:val="a5"/>
          </w:rPr>
          <w:t>2015\Coc Dat Sys Rev2015, CD003870.pdf</w:t>
        </w:r>
      </w:hyperlink>
    </w:p>
    <w:p w:rsidR="00F859E1" w:rsidRDefault="00F859E1" w:rsidP="00F859E1">
      <w:pPr>
        <w:pStyle w:val="a3"/>
        <w:rPr>
          <w:kern w:val="0"/>
        </w:rPr>
      </w:pPr>
      <w:r>
        <w:rPr>
          <w:kern w:val="0"/>
        </w:rPr>
        <w:t xml:space="preserve">Abstract: Background Many patients with cancer experience moderate to severe pain that requires treatment with strong opioids, of which oxycodone and morphine are examples. Strong opioids are, however, not effective for pain in all patients, nor are they well-tolerated by all patients. The aim of this review was to assess whether oxycodone is associated with better pain relief and tolerability than other analgesic options for patients with cancer pain. Objectives To assess the effectiveness and tolerability of oxycodone for pain in adults with cancer. Search methods We </w:t>
      </w:r>
      <w:r>
        <w:rPr>
          <w:kern w:val="0"/>
        </w:rPr>
        <w:lastRenderedPageBreak/>
        <w:t xml:space="preserve">searched the Cochrane Central Register of Controlled Trials (CENTRAL) in the Cochrane Library, MEDLINE and MEDLINE In-Process (Ovid), EMBASE (Ovid), Science Citation Index, Conference Proceedings Citation Index -Science (ISI Web of Science), BIOSIS (ISI), PsycINFO (Ovid) and PubMed to March 2014. We also searched Clinicaltrials. gov, metaRegister of Controlled Trials (mRCT), EU Clinical Trials Register and World Health Organization International Clinical Trials Registry Platform (ICTRP). We checked the bibliographic references of relevant identified studies and contacted the authors of the included studies to find additional trials not identified by the electronic searches. No language, date or publication status restrictions were applied to the search. Selection criteria We included randomised controlled trials (parallel-group or cross-over) comparing oxycodone (any formulation or route of administration) with placebo or an active drug (including oxycodone) for cancer background pain in adults. Data collection and analysis Two authors independently extracted study data (study design, participant details, interventions and outcomes) and independently assessed the quality of the included studies according to standard Cochrane methodology. Where possible, we meta-analysed the pain intensity data using the generic inverse variance method, otherwise these data were summarised narratively along with the adverse event and patient preference data. The overall quality of the evidence for each outcome was assessed according to the GRADE approach. Main results We included 17 studies which enrolled/randomised 1390 patients with 1110 of these analysed for efficacy and 1170 for safety. The studies examined a number of different drug comparisons. Four studies compared controlled release (CR) oxycodone to immediate release (IR) oxycodone and pooled analysis of three of these studies showed that the effects ofCRand IRoxycodone on pain intensity after treatment were similar (standardised mean difference (SMD) 0.1, 95% confidence interval (CI) -0.06 to 0.26; low quality evidence). This was in line with the finding that none of the included studies reported differences in pain intensity between the treatment groups. Three of the four studies also found similar results for treatment acceptability and adverse events in the IR and CR groups; but one study reported that, compared to IR oxycodone, CR oxycodone was associated with significantly fewer adverse events. Six studies compared CR oxycodone to CR morphine and pooled analysis of five of these studies indicated that pain intensity did not differ significantly between the treatments (SMD 0.14, 95% CI -0.04 to 0.32; low quality evidence). There were no marked differences in adverse event rates, treatment acceptability or quality of life ratings. The remaining seven studies either compared oxycodone in various formulations or compared oxycodone to different alternative opioids. None of them found any clear superiority or inferiority of oxycodone for cancer pain, neither as an analgesic agent nor in terms of adverse event rates and treatment acceptability. The quality of this evidence base was </w:t>
      </w:r>
      <w:r>
        <w:rPr>
          <w:kern w:val="0"/>
        </w:rPr>
        <w:lastRenderedPageBreak/>
        <w:t>limited by the risk of bias of the studies and by small sample sizes for many outcomes. Random sequence generation and allocation concealment were under-reported, and the results were substantially compromised by attrition with data missing from more than 20% of the enrolled/randomised patients for efficacy and from more than 15% for safety. Authors’ conclusions Overall, the data included within this review suggest that oxycodone offers similar levels of pain relief and adverse events to other strong opioids including morphine, which is commonly considered the gold standard strong opioid. Our conclusions are consistent with other recent reviews and suggest that while the reliability of the evidence base is low, given the absence of important differences within this analysis it seems unlikely that larger head to head studies of oxycodone versus morphine will be justified. This means that for clinical purposes oxycodone or morphine can be used as first line oral opioids for relief of cancer pain.</w:t>
      </w:r>
    </w:p>
    <w:p w:rsidR="00F859E1" w:rsidRDefault="00F859E1" w:rsidP="00F859E1">
      <w:pPr>
        <w:pStyle w:val="a3"/>
        <w:rPr>
          <w:kern w:val="0"/>
        </w:rPr>
      </w:pPr>
      <w:r>
        <w:rPr>
          <w:kern w:val="0"/>
        </w:rPr>
        <w:t>Keywords: Acceptability, Acetaminophen, Active, Administration, Adults, Adverse Events, Allocation, Alternative, Analgesic, Analysis, Approach, Attrition, Authors, Bias, Bibliographic, Cancer, Cancer Pain, Citation, Clinical, Clinical Trials, Collection, Conference, Confidence, Controlled Release, Controlled-Release, Controlled-Release Oxycodone, Cr, Criteria, Data, Data Collection, Design, Double-Blind, Drug, Effectiveness, Effects, Efficacy, Embase, Eu, Events, Evidence, Experience, Extended-Release, First, First Line, Formulation, From, Generation, Gold, Grade, Groups, Health, Intensity, International, Interval, Interventions, Intramuscular Oxycodone, IR, ISI, ISI Web Of Science, Language, Life, Medline, Methodology, Methods, Moderate, Morphine, Morphine Still, Opioid, Opioid Analgesics, Opioids, Options, Oral, Outcome, Outcomes, Oxycodone, Pain, Pain Relief, Patient, Patient Preference, Patients, Placebo, Pooled Analysis, Preference, Proceedings, Psycinfo, Publication, Publication Status, Pubmed, Quality, Quality Of, Quality Of Life, Randomised, Randomised Controlled Trials, Rates, Recent, References, Release, Reliability, Restrictions, Review, Reviews, Risk, Route, Route Of Administration, Safety, Science, Science Citation Index, Search, Small, Standard, Strong Opioids, Study Design, Treatment, Web, Web Of Science, World Health Organization</w:t>
      </w:r>
    </w:p>
    <w:p w:rsidR="00F859E1" w:rsidRDefault="00F859E1" w:rsidP="00F859E1">
      <w:pPr>
        <w:pStyle w:val="a3"/>
        <w:rPr>
          <w:kern w:val="0"/>
        </w:rPr>
      </w:pPr>
      <w:r>
        <w:rPr>
          <w:rFonts w:hint="eastAsia"/>
          <w:kern w:val="0"/>
        </w:rPr>
        <w:t xml:space="preserve">? </w:t>
      </w:r>
      <w:r>
        <w:rPr>
          <w:kern w:val="0"/>
        </w:rPr>
        <w:t xml:space="preserve">Henderson, A. and Henderson, S. (2015), Provision of a surgeon’s performance data for people considering elective surgery.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AF6BAF">
        <w:rPr>
          <w:kern w:val="0"/>
        </w:rPr>
        <w:t>CD006327</w:t>
      </w:r>
      <w:r>
        <w:rPr>
          <w:kern w:val="0"/>
        </w:rPr>
        <w:t>.</w:t>
      </w:r>
    </w:p>
    <w:p w:rsidR="003F5AE8" w:rsidRDefault="003F5AE8" w:rsidP="003F5AE8">
      <w:pPr>
        <w:pStyle w:val="a3"/>
      </w:pPr>
      <w:r>
        <w:t xml:space="preserve">Full Text: </w:t>
      </w:r>
      <w:hyperlink r:id="rId856" w:history="1">
        <w:r w:rsidRPr="003B1F88">
          <w:rPr>
            <w:rStyle w:val="a5"/>
          </w:rPr>
          <w:t>2015\Coc Dat Sys Rev2015, CD006327.pdf</w:t>
        </w:r>
      </w:hyperlink>
    </w:p>
    <w:p w:rsidR="00F859E1" w:rsidRDefault="00F859E1" w:rsidP="00F859E1">
      <w:pPr>
        <w:pStyle w:val="a3"/>
        <w:rPr>
          <w:kern w:val="0"/>
        </w:rPr>
      </w:pPr>
      <w:r>
        <w:rPr>
          <w:kern w:val="0"/>
        </w:rPr>
        <w:t xml:space="preserve">Abstract: Background A consumer model of health supports that people undergoing elective surgery should be informed about the past operative performance of their surgeon before making two important decisions: 1. to consent to the proposed surgery, and 2. to have a particular doctor perform the surgery. This information </w:t>
      </w:r>
      <w:r>
        <w:rPr>
          <w:kern w:val="0"/>
        </w:rPr>
        <w:lastRenderedPageBreak/>
        <w:t>arguably helps empower patients to participate in their care. While surgeons’ performance data are available in some settings, there continues to be controversy over the provision of such data to patients, and the question of whether consumers should, or want to, be provided with this information. Objectives To assess the effects of providing a surgeon’s performance data to people considering elective surgery on patient-based and service utilisation outcomes. Search methods For the original review, we searched: the Cochrane Central Register of Controlled Trials (CENTRAL, The Cochrane Library, 2009, Issue 4); MEDLINE (Ovid) (1950 to 28 September 2009); EMBASE (Ovid) (1988 to 28 September 2009); PsycINFO (Ovid) (1806 to 28 September 2009); CINAHL (EBSCO) (1982 to 20 October 2009); Current Contents (Ovid) (1992 to 23 November 2009); and ProQuest Dissertations and Theses (1861 to 20 October 2009). For this update, we searched: CENTRAL (2009 to 3 March 2014); MEDLINE (Ovid) (2009 to 3 March 2014); EMBASE (Ovid) (2009 to 3March 2014); PsycINFO (Ovid) (2009 to 9March 2014); CINAHL (EBSCO) (2009 to 9March 2014), Current Contents (Web of Science) (November 2009 to 21 March 2014), and ProQuest Dissertations and Theses (2009 to 21 March 2014). We applied no language restrictions. Selection criteria Randomised controlled trials (RCTs), cluster RCTs, quasi-RCTs and controlled before and after studies (CBAs), in which an individual surgeon’s performance data were provided to people considering elective surgery. We considered the CBAs for inclusion from 2009 onwards. Data collection and analysis Two review authors (AH, SH) independently assessed all titles, abstracts, or both of retrieved citations. We identified no studies for inclusion. Consequently, we conducted no data collection or analysis. Main results We found no studies that met the inclusion criteria; therefore, there are no results to report on the effect of the provision of a surgeon’s performance data for people considering elective surgery. Authors’ conclusions We found no studies reporting the impact of the provision of a surgeon’s performance data for people considering elective surgery. This is an important finding in itself. While the public reporting of a surgeon’s performance is not a new concept, the efficacy of this data for individual patients has not been empirically tested. A review of qualitative studies or new primary qualitative research may be useful to determine what interventions are currently in use and explore the attitudes of consumers and professionals towards such interventions.</w:t>
      </w:r>
    </w:p>
    <w:p w:rsidR="00F859E1" w:rsidRDefault="00F859E1" w:rsidP="00F859E1">
      <w:pPr>
        <w:pStyle w:val="a3"/>
        <w:rPr>
          <w:kern w:val="0"/>
        </w:rPr>
      </w:pPr>
      <w:r>
        <w:rPr>
          <w:kern w:val="0"/>
        </w:rPr>
        <w:t xml:space="preserve">Keywords: Abstracts, Analysis, Attitudes, Authors, Care, Citations, Cluster, Collection, Concept, Consent, Criteria, Data, Data Collection, Dissertations, Doctor, Doctors, Effects, Efficacy, Elective, Elective Surgical Procedures [Standards], Embase, From, Health, Health-Care, Humans, Impact, Information, Interventions, Language, Medline, Methods, Model, Operative, Outcomes, Patients, Performance, Primary, Professional Competence, Proquest, Psycinfo, Public, Public Disclosure, Qualitative, </w:t>
      </w:r>
      <w:r>
        <w:rPr>
          <w:kern w:val="0"/>
        </w:rPr>
        <w:lastRenderedPageBreak/>
        <w:t>Qualitative Research, Quality, Randomised Controlled Trials, Report Cards, Reporting, Research, Restrictions, Review, Science, Search, Selection, Service, Specialties,Surgical [Standards], State Cardiothoracic Surgeons, Surgery, Surgical Mortality, System, Theses, Utilisation, Web, Web Of Science</w:t>
      </w:r>
    </w:p>
    <w:p w:rsidR="00F859E1" w:rsidRDefault="00F859E1" w:rsidP="00F859E1">
      <w:pPr>
        <w:pStyle w:val="a3"/>
        <w:rPr>
          <w:kern w:val="0"/>
        </w:rPr>
      </w:pPr>
      <w:r>
        <w:rPr>
          <w:rFonts w:hint="eastAsia"/>
          <w:kern w:val="0"/>
        </w:rPr>
        <w:t xml:space="preserve">? </w:t>
      </w:r>
      <w:r>
        <w:rPr>
          <w:kern w:val="0"/>
        </w:rPr>
        <w:t xml:space="preserve">Sauni, R., Verbeek, J.H., Uitti, J., Jauhiainen, M., Kreiss, K. and Sigsgaard, T. (2015), Remediating buildings damaged by dampness and mould for preventing or reducing respiratory tract symptoms, infections and asthma.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9915A9">
        <w:rPr>
          <w:kern w:val="0"/>
        </w:rPr>
        <w:t>CD007897</w:t>
      </w:r>
      <w:r>
        <w:rPr>
          <w:kern w:val="0"/>
        </w:rPr>
        <w:t>.</w:t>
      </w:r>
    </w:p>
    <w:p w:rsidR="00F859E1" w:rsidRDefault="00F859E1" w:rsidP="00F859E1">
      <w:pPr>
        <w:pStyle w:val="a3"/>
      </w:pPr>
      <w:r>
        <w:t xml:space="preserve">Full Text: </w:t>
      </w:r>
      <w:hyperlink r:id="rId857" w:history="1">
        <w:r w:rsidR="00C61A2F" w:rsidRPr="00C61A2F">
          <w:rPr>
            <w:rStyle w:val="a5"/>
          </w:rPr>
          <w:t>2015\Coc Dat Sys Rev2015, CD007897.pdf</w:t>
        </w:r>
      </w:hyperlink>
    </w:p>
    <w:p w:rsidR="00F859E1" w:rsidRDefault="00F859E1" w:rsidP="00F859E1">
      <w:pPr>
        <w:pStyle w:val="a3"/>
        <w:rPr>
          <w:kern w:val="0"/>
        </w:rPr>
      </w:pPr>
      <w:r>
        <w:rPr>
          <w:kern w:val="0"/>
        </w:rPr>
        <w:t xml:space="preserve">Abstract: Background Dampness and mould in buildings have been associated with adverse respiratory symptoms, asthma and respiratory infections of inhabitants. Moisture damage is a very common problem in private houses, workplaces and public buildings such as schools. Objectives To determine the effectiveness of repairing buildings damaged by dampness and mould in order to reduce or prevent respiratory tract symptoms, infections and symptoms of asthma. Search methods We searched CENTRAL (2014, Issue 10), MEDLINE (1951 to November week 1, 2014), EMBASE (1974 to November 2014), CINAHL (1982 to November 2014), Science Citation Index (1973 to November 2014), Biosis Previews (1989 to June 2011), NIOSHTIC (1930 to March 2014) and CISDOC (1974 to March 2014). Selection criteria Randomised controlled trials (RCTs), cluster-RCTs (cRCTs), interrupted time series studies and controlled before-after (CBA) studies of the effects of remediating dampness and mould in a building on respiratory symptoms, infections and asthma. Data collection and analysis Two authors independently extracted data and assessed the risk of bias in the included studies. Main results We included 12 studies (8028 participants): two RCTs (294 participants), one cRCT (4407 participants) and nine CBA studies (3327 participants). The interventions varied from thorough renovation to cleaning only. Repairing houses decreased asthma-related symptoms in adults (among others, wheezing (odds ratio (OR) 0.64; 95% confidence interval (CI) 0.55 to 0.75) and respiratory infections (among others, rhinitis (OR 0.57; 95% CI 0.49 to 0.66), two studies, moderatequality evidence). For children, we did not find a difference between repaired houses and receiving information only, in the number of asthma days or emergency department visits because of asthma (one study, moderate-quality evidence). One CBA study showed very low-quality evidence that after repairing a mould-damaged office building, asthma-related and other respiratory symptoms decreased. In another CBA study, there was no difference in symptoms between full or partial repair of houses. For children in schools, the evidence of an effect of mould remediation on respiratory symptoms was inconsistent and out of many symptom measures only respiratory infections might have decreased after the intervention. For staff in schools, there was </w:t>
      </w:r>
      <w:r>
        <w:rPr>
          <w:kern w:val="0"/>
        </w:rPr>
        <w:lastRenderedPageBreak/>
        <w:t>very lowquality evidence that asthma-related and other respiratory symptoms in mould-damaged schools were similar to those of staff in nondamaged schools, both before and after intervention. Authors’ conclusions We found moderate to very low-quality evidence that repairing mould-damaged houses and offices decreases asthma-related symptoms and respiratory infections compared to no intervention in adults. There is very low-quality evidence that although repairing schools did not significantly change respiratory symptoms in staff, pupils’ visits to physicians due to a common cold were less frequent after remediation of the school. Better research, preferably with a cRCT design and with more validated outcome measures, is needed.</w:t>
      </w:r>
    </w:p>
    <w:p w:rsidR="00F859E1" w:rsidRDefault="00F859E1" w:rsidP="00F859E1">
      <w:pPr>
        <w:pStyle w:val="a3"/>
        <w:rPr>
          <w:kern w:val="0"/>
        </w:rPr>
      </w:pPr>
      <w:r>
        <w:rPr>
          <w:kern w:val="0"/>
        </w:rPr>
        <w:t>Keywords: Adult, Adults, Analysis, Associations, Asthma, Asthma [Prevention &amp; Control], Authors, Bias, Biosis, Building, Child, Children, Citation, Collection, Confidence, Criteria, Damage, Data, Data Collection, Department, Design, Effectiveness, Effects, Embase, Emergency, Emergency Department, Environmental Restoration And Remediation [Methods], Evidence, From, Fungi, Health-Care, Home Remediation, Housing [Standards], Humans, Humidity [Adverse Effects], Indoor Air Problems, Infections, Information, Interrupted Time Series, Interval, Intervention, Interventions, Measures, Medline, Methods, Moisture Problems, Odds Ratio, Outcome, Outcome Measures, Physicians, Prevent, Prevention &amp; Control], Public, Quality, Randomised Controlled Trials, Remediation, Renovation, Repair, Research, Respiratory Sounds, Respiratory Tract Infections [Prevention &amp; Control], Rhinitis, Risk, School, Schools [Standards], Science, Science Citation Index, Search, Sick Building Syndrome [Complications, Symptoms, Time Series, Ventilation System, Wheezing</w:t>
      </w:r>
    </w:p>
    <w:p w:rsidR="00F859E1" w:rsidRDefault="00F859E1" w:rsidP="00F859E1">
      <w:pPr>
        <w:pStyle w:val="a3"/>
        <w:rPr>
          <w:kern w:val="0"/>
        </w:rPr>
      </w:pPr>
      <w:r>
        <w:rPr>
          <w:rFonts w:hint="eastAsia"/>
          <w:kern w:val="0"/>
        </w:rPr>
        <w:t xml:space="preserve">? </w:t>
      </w:r>
      <w:r>
        <w:rPr>
          <w:kern w:val="0"/>
        </w:rPr>
        <w:t xml:space="preserve">Thanaviratananich, S., Thanaviratananich, S. and Ngamjarus, C. (2015), Corticosteroids for parasitic eosinophilic meningitis.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9915A9">
        <w:rPr>
          <w:kern w:val="0"/>
        </w:rPr>
        <w:t>CD009088</w:t>
      </w:r>
      <w:r>
        <w:rPr>
          <w:kern w:val="0"/>
        </w:rPr>
        <w:t>.</w:t>
      </w:r>
    </w:p>
    <w:p w:rsidR="00C61A2F" w:rsidRDefault="00C61A2F" w:rsidP="00C61A2F">
      <w:pPr>
        <w:pStyle w:val="a3"/>
      </w:pPr>
      <w:r>
        <w:t xml:space="preserve">Full Text: </w:t>
      </w:r>
      <w:hyperlink r:id="rId858" w:history="1">
        <w:r w:rsidRPr="003B1F88">
          <w:rPr>
            <w:rStyle w:val="a5"/>
          </w:rPr>
          <w:t>2015\Coc Dat Sys Rev2015, CD009088.pdf</w:t>
        </w:r>
      </w:hyperlink>
    </w:p>
    <w:p w:rsidR="00F859E1" w:rsidRDefault="00F859E1" w:rsidP="00F859E1">
      <w:pPr>
        <w:pStyle w:val="a3"/>
        <w:rPr>
          <w:kern w:val="0"/>
        </w:rPr>
      </w:pPr>
      <w:r>
        <w:rPr>
          <w:kern w:val="0"/>
        </w:rPr>
        <w:t xml:space="preserve">Abstract: Background Angiostrongylus cantonensis (A. cantonensis) is the major cause of infectious eosinophilic meningitis. Dead larvae of this parasite cause inflammation and exacerbate symptoms ofmeningitis. Corticosteroids are drugs used to reduce the inflammation caused by this parasite. Objectives To assess the efficacy and safety of corticosteroids for the treatment of eosinophilic meningitis. Search methods We searched CENTRAL (2014, Issue 11), MEDLINE (1950 to November Week 3, 2014), EMBASE (1974 to December 2014), Scopus (1960 to December 2014), Web of Science (1955 to December 2014), LILACS (1982 to December 2014) and CINAHL (1981 to December 2014). Selection criteria Randomised controlled trials (RCTs) of corticosteroids versus placebo for eosinophilic meningitis. Data collection and analysis Two review authors (SiT, SaT) independently collected and extracted </w:t>
      </w:r>
      <w:r>
        <w:rPr>
          <w:kern w:val="0"/>
        </w:rPr>
        <w:lastRenderedPageBreak/>
        <w:t>study data. We graded the methodological quality of the RCTs. We identified and analysed outcomes and adverse effects. Main results We did not identifiy any new trials for inclusion or exclusion in this 2014 update. One study involving 110 participants (55 participants in each group) met our inclusion criteria. The corticosteroid (prednisolone) showed a benefit in shortening themedian time to resolution of headaches (five days in the treatment group versus 13 days in the control group, P value &lt; 0.0001). Corticosteroids were also associated with smaller numbers of participants who still had headaches after a two-week course of treatment (9.1% versus 45.5%, P value &lt; 0.0001). The number of patients who needed repeat lumbar puncture was also smaller in the treatment group (12.7% versus 40%, P value = 0.002). There was a reduction in the median time of analgesic use in participants receiving corticosteroids (10.5 versus 25.0, P value = 0.038). There were no reported adverse effects from prednisolone in the treatment group. Authors’ conclusions Corticosteroids significantly help relieve headache in patients with eosinophilic meningitis, who have a pain score of four or more on a visual analogue scale. However, there is only one RCT supporting this benefit and this trial did not clearly mention allocation concealment and stratification. Therefore, we agreed to grade our included study as amoderate quality trial. Future well- designed RCTs are necessary.</w:t>
      </w:r>
    </w:p>
    <w:p w:rsidR="00F859E1" w:rsidRDefault="00F859E1" w:rsidP="00F859E1">
      <w:pPr>
        <w:pStyle w:val="a3"/>
        <w:rPr>
          <w:kern w:val="0"/>
        </w:rPr>
      </w:pPr>
      <w:r>
        <w:rPr>
          <w:kern w:val="0"/>
        </w:rPr>
        <w:t>Keywords: Adverse Effects, Allocation, Analgesic, Analysis, Angiostrongylus-Cantonensis, Authors, Central Nervous System Parasitic Infections [Drug Therapy], Cerebrospinal-Fluid Eosinophilia, Collection, Control, Corticosteroids, Course, Criteria, Data, Data Collection, Dead, Drugs, Effects, Efficacy, Efficacy And Safety, Embase, Eosinophilia [Drug Therapy], From, Glucocorticoids [Therapeutic Use], Headache, Humans, Inflammation, Lumbar Puncture, Medline, Meningitis, Meningitis [Drug Therapy], Methodological Quality, Methods, Outcomes, P, Pain, Pain Score, Patients, Placebo, Prednisolone [Therapeutic Use], Quality, Quality Of, Randomised Controlled Trials, Randomized Controlled Trials As Topic, Rats, Rct, Reduction, Review, Safety, Scale, Science, Scopus, Search, Stratification, Symptoms, Treatment, Trial, Value, Web, Web Of Science</w:t>
      </w:r>
    </w:p>
    <w:p w:rsidR="00F859E1" w:rsidRDefault="00F859E1" w:rsidP="00F859E1">
      <w:pPr>
        <w:pStyle w:val="a3"/>
        <w:rPr>
          <w:kern w:val="0"/>
        </w:rPr>
      </w:pPr>
      <w:r>
        <w:rPr>
          <w:rFonts w:hint="eastAsia"/>
          <w:kern w:val="0"/>
        </w:rPr>
        <w:t xml:space="preserve">? </w:t>
      </w:r>
      <w:r>
        <w:rPr>
          <w:kern w:val="0"/>
        </w:rPr>
        <w:t xml:space="preserve">Gurusamy, K.S., Giljaca, V., Takwoingi, Y., Higgie, D., Poropat, G., Stimac, D. and Davidson, B.R. (2015), Endoscopic retrograde cholangiopancreatography versus intraoperative cholangiography for diagnosis of common bile duct stones.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AF6BAF">
        <w:rPr>
          <w:kern w:val="0"/>
        </w:rPr>
        <w:t>CD010339</w:t>
      </w:r>
      <w:r>
        <w:rPr>
          <w:kern w:val="0"/>
        </w:rPr>
        <w:t>.</w:t>
      </w:r>
    </w:p>
    <w:p w:rsidR="00F859E1" w:rsidRDefault="00F859E1" w:rsidP="00F859E1">
      <w:pPr>
        <w:pStyle w:val="a3"/>
      </w:pPr>
      <w:r>
        <w:t xml:space="preserve">Full Text: </w:t>
      </w:r>
      <w:hyperlink r:id="rId859" w:history="1">
        <w:r w:rsidR="00C61A2F" w:rsidRPr="00C61A2F">
          <w:rPr>
            <w:rStyle w:val="a5"/>
          </w:rPr>
          <w:t>2015\Coc Dat Sys Rev2015, CD010339.pdf</w:t>
        </w:r>
      </w:hyperlink>
    </w:p>
    <w:p w:rsidR="00F859E1" w:rsidRDefault="00F859E1" w:rsidP="00F859E1">
      <w:pPr>
        <w:pStyle w:val="a3"/>
        <w:rPr>
          <w:kern w:val="0"/>
        </w:rPr>
      </w:pPr>
      <w:r>
        <w:rPr>
          <w:kern w:val="0"/>
        </w:rPr>
        <w:t xml:space="preserve">Abstract: Background Endoscopic retrograde cholangiopancreatography (ERCP) and intraoperative cholangiography (IOC) are tests used in the diagnosis of common bile duct stones in people suspected of having common bile duct stones. There has been no systematic review of the diagnostic accuracy of ERCP and IOC. Objectives To </w:t>
      </w:r>
      <w:r>
        <w:rPr>
          <w:kern w:val="0"/>
        </w:rPr>
        <w:lastRenderedPageBreak/>
        <w:t xml:space="preserve">determine and compare the accuracy of ERCP and IOC for the diagnosis of common bile duct stones. Search methods We searched MEDLINE, EMBASE, Science Citation Index Expanded, BIOSIS, and Clinicaltrials.gov to September 2012. To identify additional studies, we searched the references of included studies and systematic reviews identified from various databases (Database of Abstracts of Reviews of Effects (DARE)), Health Technology Assessment (HTA), Medion, and ARIF (Aggressive Research Intelligence Facility)). We did not restrict studies based on language or publication status, or whether data were collected prospectively or retrospectively. Selection criteria We included studies that provided the number of true positives, false positives, false negatives, and true negatives for ERCP or IOC. We only accepted studies that confirmed the presence of common bile duct stones by extraction of the stones (irrespective of whether this was done by surgical or endoscopic methods) for a positive test, and absence of common bile duct stones by surgical or endoscopic negative exploration of the common bile duct, or symptom-free follow-up for at least six months for a negative test as the reference standard in people suspected of having common bile duct stones. We included participants with or without prior diagnosis of cholelithiasis; with or without symptoms and complications of common bile duct stones; with or without prior treatment for common bile duct stones; and before or after cholecystectomy. At least two authors screened abstracts and selected studies for inclusion independently. Data collection and analysis Two authors independently collected data from each study. We used the bivariate model to summarise the sensitivity and specificity of the tests. Main results We identified five studies including 318 participants (180 participants with and 138 participants without common bile duct stones) that reported the diagnostic accuracy of ERCP and five studies including 654 participants (125 participants with and 529 participants without common bile duct stones) that reported the diagnostic accuracy of IOC. Most studies included people with symptoms (participants with jaundice or pancreatitis) suspected of having common bile duct stones based on blood tests, ultrasound, or both, prior to the performance of ERCP or IOC. Most studies included participants who had not previously undergone removal of the gallbladder (cholecystectomy). None of the included studies was of high methodological quality as evaluated by the QUADAS-2 tool (quality assessment tool for diagnostic accuracy studies). The sensitivities of ERCP ranged between 0.67 and 0.94 and the specificities ranged between 0.92 and 1.00. For ERCP, the summary sensitivity was 0.83 (95% confidence interval (CI) 0.72 to 0.90) and specificity was 0.99 (95% CI 0.94 to 1.00). The sensitivities of IOC ranged between 0.75 and 1.00 and the specificities ranged between 0.96 and 1.00. For IOC, the summary sensitivity was 0.99 (95% CI 0.83 to 1.00) and specificity was 0.99 (95% CI 0.95 to 1.00). For ERCP, at the median pre-test probability of common bile duct stones of 0.35 </w:t>
      </w:r>
      <w:r>
        <w:rPr>
          <w:kern w:val="0"/>
        </w:rPr>
        <w:lastRenderedPageBreak/>
        <w:t>estimated from the included studies (i.e., 35% of people suspected of having common bile duct stones were confirmed to have gallstones by the reference standard), the post-test probabilities associated with positive test results was 0.97 (95% CI 0.88 to 0.99) and negative test results was 0.09 (95% CI 0.05 to 0.14). For IOC, at the median pre-test probability of common bile duct stones of 0.35, the post-test probabilities associated with positive test results was 0.98 (95% CI 0.85 to 1.00) and negative test results was 0.01 (95% CI 0.00 to 0.10). There was weak evidence of a difference in sensitivity (P value = 0.05) with IOC showing higher sensitivity than ERCP. There was no evidence of a difference in specificity (P value = 0.7) with both tests having similar specificity. Authors’ conclusions Although the sensitivity of IOC appeared to be better than that of ERCP, this finding may be unreliable because none of the studies compared both tests in the same study populations and most of the studies were methodologically flawed. It appears that both tests were fairly accurate in guiding further invasive treatment as most people diagnosed with common bile duct stones by these tests had common bile duct stones. Some people may have common bile duct stones in spite of having a negative ERCP or IOC result. Such people may have to be re-tested if the clinical suspicion of common bile duct stones is very high because of their symptoms or persistently abnormal liver function tests. However, the results should be interpreted with caution given the limited quantity and quality of the evidence.</w:t>
      </w:r>
    </w:p>
    <w:p w:rsidR="00F859E1" w:rsidRDefault="00F859E1" w:rsidP="00F859E1">
      <w:pPr>
        <w:pStyle w:val="a3"/>
        <w:rPr>
          <w:kern w:val="0"/>
        </w:rPr>
      </w:pPr>
      <w:r>
        <w:rPr>
          <w:kern w:val="0"/>
        </w:rPr>
        <w:t>Keywords: Abstracts, Accuracy, Acute Biliary Pancreatitis, Analysis, Assessment, Authors, Blood, Cholecystectomy, Citation, Clinical, Collection, Common Bile Duct Stones, Complications, Confidence, Criteria, Data, Data Collection, Database, Databases, Diagnosis, Diagnostic, Diagnostic Accuracy, Effects, Embase, Endoscopic, Endoscopic Retrograde, Endoscopic Retrograde Cholangiopancreatography, Ercp, Evidence, Extraction, Follow-Up, From, Function, Gallstone Pancreatitis, Health, Hta, Interval, Intraductal Ultrasonography, Intravenous Cholangiography, Invasive, Language, Laparoscopic Cholecystectomy, Liver, Magnetic-Resonance Cholangiopancreatography, Medline, Methodological Quality, Methods, Model, Negative, P, Pancreatitis, Performance, Populations, Probability, Publication, Publication Status, Quadas-2, Quality, Quality Of, Reference, References, Removal, Research, Review, Reviews, Science, Science Citation Index, Science Citation Index Expanded, Search, Selective Operative Cholangiography, Sensitivity, Specificity, Standard, Suspected Biliary, Symptomatic Choledocholithiasis, Symptoms, Systematic, Systematic Review, Systematic Reviews, Technology, Technology Assessment, Treatment, Ultrasound, Value</w:t>
      </w:r>
    </w:p>
    <w:p w:rsidR="00F859E1" w:rsidRDefault="00F859E1" w:rsidP="00F859E1">
      <w:pPr>
        <w:pStyle w:val="a3"/>
        <w:rPr>
          <w:kern w:val="0"/>
        </w:rPr>
      </w:pPr>
      <w:r>
        <w:rPr>
          <w:rFonts w:hint="eastAsia"/>
          <w:kern w:val="0"/>
        </w:rPr>
        <w:t xml:space="preserve">? </w:t>
      </w:r>
      <w:r>
        <w:rPr>
          <w:kern w:val="0"/>
        </w:rPr>
        <w:t xml:space="preserve">Gurusamy, K.S., Giljaca, V., Takwoingi, Y., Higgie, D., Poropat, G., Stimac, D. and Davidson, B.R. (2015), Ultrasound versus liver function tests for diagnosis of common bile duct stones.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w:t>
      </w:r>
      <w:r w:rsidRPr="001F3C06">
        <w:rPr>
          <w:kern w:val="0"/>
        </w:rPr>
        <w:lastRenderedPageBreak/>
        <w:t xml:space="preserve">Number: </w:t>
      </w:r>
      <w:r w:rsidRPr="00AF6BAF">
        <w:rPr>
          <w:kern w:val="0"/>
        </w:rPr>
        <w:t>CD011548</w:t>
      </w:r>
      <w:r>
        <w:rPr>
          <w:kern w:val="0"/>
        </w:rPr>
        <w:t>.</w:t>
      </w:r>
    </w:p>
    <w:p w:rsidR="00C61A2F" w:rsidRDefault="00C61A2F" w:rsidP="00C61A2F">
      <w:pPr>
        <w:pStyle w:val="a3"/>
      </w:pPr>
      <w:r>
        <w:t xml:space="preserve">Full Text: </w:t>
      </w:r>
      <w:hyperlink r:id="rId860" w:history="1">
        <w:r w:rsidRPr="003B1F88">
          <w:rPr>
            <w:rStyle w:val="a5"/>
          </w:rPr>
          <w:t>2015\Coc Dat Sys Rev2015, CD011548.pdf</w:t>
        </w:r>
      </w:hyperlink>
    </w:p>
    <w:p w:rsidR="00F859E1" w:rsidRDefault="00F859E1" w:rsidP="00F859E1">
      <w:pPr>
        <w:pStyle w:val="a3"/>
        <w:rPr>
          <w:kern w:val="0"/>
        </w:rPr>
      </w:pPr>
      <w:r>
        <w:rPr>
          <w:kern w:val="0"/>
        </w:rPr>
        <w:t xml:space="preserve">Abstract: Background Ultrasound and liver function tests (serum bilirubin and serum alkaline phosphatase) are used as screening tests for the diagnosis of common bile duct stones in people suspected of having common bile duct stones. There has been no systematic review of the diagnostic accuracy of ultrasound and liver function tests. Objectives To determine and compare the accuracy of ultrasound versus liver function tests for the diagnosis of common bile duct stones. Search methods We searched MEDLINE, EMBASE, Science Citation Index Expanded, BIOSIS, and Clinicaltrials.gov to September 2012. We searched the references of included studies to identify further studies and systematic reviews identified from various databases (Database of Abstracts of Reviews of Effects, Health Technology Assessment, Medion, and ARIF (Aggressive Research Intelligence Facility)). We did not restrict studies based on language or publication status, or whether data were collected prospectively or retrospectively. Selection criteria We included studies that provided the number of true positives, false positives, false negatives, and true negatives for ultrasound, serum bilirubin, or serum alkaline phosphatase. We only accepted studies that confirmed the presence of common bile duct stones by extraction of the stones (irrespective of whether this was done by surgical or endoscopic methods) for a positive test result, and absence of common bile duct stones by surgical or endoscopic negative exploration of the common bile duct, or symptom-free follow-up for at least six months for a negative test result as the reference standard in people suspected of having common bile duct stones. We included participants with or without prior diagnosis of cholelithiasis; with or without symptoms and complications of common bile duct stones, with or without prior treatment for common bile duct stones; and before or after cholecystectomy. At least two authors screened abstracts and selected studies for inclusion independently. Data collection and analysis Two authors independently collected data from each study. Where meta-analysis was possible, we used the bivariate model to summarise sensitivity and specificity. Main results Five studies including 523 participants reported the diagnostic accuracy of ultrasound. One studies (262 participants) compared the accuracy of ultrasound, serum bilirubin and serum alkaline phosphatase in the same participants. All the studies included people with symptoms. One study included only participants without previous cholecystectomy but this information was not available from the remaining studies. All the studies were of poor methodological quality. The sensitivities for ultrasound ranged from 0.32 to 1.00, and the specificities ranged from 0.77 to 0.97. The summary sensitivity was 0.73 (95% CI 0.44 to 0.90) and the specificity was 0.91 (95% CI 0.84 to 0.95). At the median pre-test probability of common bile duct stones of 0.408, the post-test probability (95% CI) associated with </w:t>
      </w:r>
      <w:r>
        <w:rPr>
          <w:kern w:val="0"/>
        </w:rPr>
        <w:lastRenderedPageBreak/>
        <w:t>positive ultrasound tests was 0.85 (95% CI 0.75 to 0.91), and negative ultrasound tests was 0.17 (95% CI 0.08 to 0.33). The single study of liver function tests reported diagnostic accuracy at two cut-offs for bilirubin (greater than 22.23 mu mol/L and greater than twice the normal limit) and two cut-offs for alkaline phosphatase (greater than 125 IU/L and greater than twice the normal limit). This study also assessed ultrasound and reported higher sensitivities for bilirubin and alkaline phosphatase at both cut-offs but the specificities of the markers were higher at only the greater than twice the normal limit cut-off. The sensitivity for ultrasound was 0.32 (95% CI 0.15 to 0.54), bilirubin (cut-off greater than 22.23 mu mol/L) was 0.84 (95% CI 0.64 to 0.95), and alkaline phosphatase (cutoff greater than 125 IU/L) was 0.92 (95% CI 0.74 to 0.99). The specificity for ultrasound was 0.95 (95% CI 0.91 to 0.97), bilirubin (cut-off greater than 22.23 mu mol/L) was 0.91 (95% CI 0.86 to 0.94), and alkaline phosphatase (cut-off greater than 125 IU/L) was 0.79 (95% CI 0.74 to 0.84). No study reported the diagnostic accuracy of a combination of bilirubin and alkaline phosphatase, or combinations with ultrasound. Authors’ conclusions Many people may have common bile duct stones in spite of having a negative ultrasound or liver function test. Such people may have to be re-tested with other modalities if the clinical suspicion of common bile duct stones is very high because of their symptoms. False-positive results are also possible and further non-invasive testing is recommended to confirm common bile duct stones to avoid the risks of invasive testing. It should be noted that these results were based on few studies of poor methodological quality and the results for ultrasound varied considerably between studies. Therefore, the results should be interpreted with caution. Further studies of high methodological quality are necessary to determine the diagnostic accuracy of ultrasound and liver function tests.</w:t>
      </w:r>
    </w:p>
    <w:p w:rsidR="00F859E1" w:rsidRDefault="00F859E1" w:rsidP="00F859E1">
      <w:pPr>
        <w:pStyle w:val="a3"/>
        <w:rPr>
          <w:kern w:val="0"/>
        </w:rPr>
      </w:pPr>
      <w:r>
        <w:rPr>
          <w:kern w:val="0"/>
        </w:rPr>
        <w:t xml:space="preserve">Keywords: Abstracts, Accuracy, Acute Calculous Cholecystitis, Acute-Pancreatitis, Alkaline Phosphatase, Analysis, Assessment, Authors, Biliary-Tract, Bilirubin, Cholecystectomy, Citation, Clinical, Collection, Common Bile Duct Stones, Complications, Criteria, Data, Data Collection, Database, Databases, Diagnosis, Diagnostic, Diagnostic Accuracy, Effects, Elective Laparoscopic Cholecystectomy, Embase, Endoscopic Retrograde Cholangiopancreatography, Extraction, Follow-Up, From, Function, Gallstone Pancreatitis, Gamma-Glutamyl Transaminase, Health, Information, Intraoperative Cholangiography, Invasive, Language, Liver, Magnetic-Resonance Cholangiopancreatography, Medline, Meta Analysis, Meta-Analysis, Metaanalysis, Methodological Quality, Methods, Modalities, Model, Negative, Normal, Obstructive-Jaundice, Probability, Publication, Publication Status, Quality, Reference, References, Research, Review, Reviews, Risks, Science, Science Citation Index, Science Citation Index Expanded, Screening, Screening Tests, Search, Sensitivity, Serum, Specificity, Standard, Symptoms, Systematic, Systematic Review, </w:t>
      </w:r>
      <w:r>
        <w:rPr>
          <w:kern w:val="0"/>
        </w:rPr>
        <w:lastRenderedPageBreak/>
        <w:t>Systematic Reviews, Technology, Technology Assessment, Testing, Treatment, Ultrasound</w:t>
      </w:r>
    </w:p>
    <w:p w:rsidR="00F859E1" w:rsidRDefault="00F859E1" w:rsidP="00F859E1">
      <w:pPr>
        <w:pStyle w:val="a3"/>
        <w:rPr>
          <w:kern w:val="0"/>
        </w:rPr>
      </w:pPr>
      <w:r>
        <w:rPr>
          <w:rFonts w:hint="eastAsia"/>
          <w:kern w:val="0"/>
        </w:rPr>
        <w:t xml:space="preserve">? </w:t>
      </w:r>
      <w:r>
        <w:rPr>
          <w:kern w:val="0"/>
        </w:rPr>
        <w:t xml:space="preserve">Giljaca, V., Gurusamy, K.S., Takwoingi, Y., Higgie, D., Poropat, G., Stimac, D. and Davidson, B.R. (2015), Endoscopic ultrasound versus magnetic resonance cholangiopancreatography for common bile duct stones. </w:t>
      </w:r>
      <w:r>
        <w:rPr>
          <w:i/>
          <w:iCs/>
          <w:kern w:val="0"/>
        </w:rPr>
        <w:t>Cochrane Database of Systematic Reviews</w:t>
      </w:r>
      <w:r>
        <w:rPr>
          <w:kern w:val="0"/>
        </w:rPr>
        <w:t xml:space="preserve">, </w:t>
      </w:r>
      <w:r w:rsidRPr="00AF6BAF">
        <w:rPr>
          <w:b/>
          <w:kern w:val="0"/>
        </w:rPr>
        <w:t>2</w:t>
      </w:r>
      <w:r>
        <w:rPr>
          <w:rFonts w:hint="eastAsia"/>
          <w:kern w:val="0"/>
        </w:rPr>
        <w:t>,</w:t>
      </w:r>
      <w:r w:rsidRPr="00DC3A2A">
        <w:rPr>
          <w:kern w:val="0"/>
        </w:rPr>
        <w:t xml:space="preserve"> </w:t>
      </w:r>
      <w:r w:rsidRPr="001F3C06">
        <w:rPr>
          <w:kern w:val="0"/>
        </w:rPr>
        <w:t xml:space="preserve">Article Number: </w:t>
      </w:r>
      <w:r w:rsidRPr="00AF6BAF">
        <w:rPr>
          <w:kern w:val="0"/>
        </w:rPr>
        <w:t>CD011549</w:t>
      </w:r>
      <w:r>
        <w:rPr>
          <w:kern w:val="0"/>
        </w:rPr>
        <w:t>.</w:t>
      </w:r>
    </w:p>
    <w:p w:rsidR="00C61A2F" w:rsidRDefault="00C61A2F" w:rsidP="00C61A2F">
      <w:pPr>
        <w:pStyle w:val="a3"/>
      </w:pPr>
      <w:r>
        <w:t xml:space="preserve">Full Text: </w:t>
      </w:r>
      <w:hyperlink r:id="rId861" w:history="1">
        <w:r w:rsidRPr="003B1F88">
          <w:rPr>
            <w:rStyle w:val="a5"/>
          </w:rPr>
          <w:t>2015\Coc Dat Sys Rev2015, CD011549.pdf</w:t>
        </w:r>
      </w:hyperlink>
    </w:p>
    <w:p w:rsidR="00F859E1" w:rsidRDefault="00F859E1" w:rsidP="00F859E1">
      <w:pPr>
        <w:pStyle w:val="a3"/>
        <w:rPr>
          <w:kern w:val="0"/>
        </w:rPr>
      </w:pPr>
      <w:r>
        <w:rPr>
          <w:kern w:val="0"/>
        </w:rPr>
        <w:t xml:space="preserve">Abstract: Background Endoscopic ultrasound (EUS) and magnetic resonance cholangiopancreatography (MRCP) are tests used in the diagnosis of common bile duct stones in patients suspected of having common bile duct stones prior to undergoing invasive treatment. There has been no systematic review of the accuracy of EUS and MRCP in the diagnosis of common bile duct stones using appropriate reference standards. Objectives To determine and compare the accuracy of EUS and MRCP for the diagnosis of common bile duct stones. Search methods We searched MEDLINE, EMBASE, Science Citation Index Expanded, BIOSIS, and Clinicaltrials.gov until September 2012. We searched the references of included studies to identify further studies and of systematic reviews identified from various databases (Database of Abstracts of Reviews of Effects (DARE), Health Technology Assessment (HTA), Medion, and ARIF (Aggressive Research Intelligence Facility)). We did not restrict studies based on language or publication status, or whether data were collected prospectively or retrospectively. Selection criteria We included studies that provided the number of true positives, false positives, false negatives, and true negatives for EUS or MRCP. We only accepted studies that confirmed the presence of common bile duct stones by extraction of the stones (irrespective of whether this was done by surgical or endoscopic methods) for a positive test, and absence of common bile duct stones by surgical or endoscopic negative exploration of the common bile duct or symptom free follow-up for at least six months for a negative test, as the reference standard in people suspected of having common bile duct stones. We included participants with or without prior diagnosis of cholelithiasis; with or without symptoms and complications of common bile duct stones, with or without prior treatment for common bile duct stones; and before or after cholecystectomy. At least two authors independently screened abstracts and selected studies for inclusion. Data collection and analysis Two authors independently collected the data from each study. We used the bivariate model to obtain pooled estimates of sensitivity and specificity. Main results We included a total of 18 studies involving 2366 participants (976 participants with common bile duct stones and 1390 participants without common bile duct stones). Eleven studies evaluated EUS alone, and five studies evaluated MRCP alone. Two studies evaluated both tests. Most studies included patients who were suspected of having common bile duct stones </w:t>
      </w:r>
      <w:r>
        <w:rPr>
          <w:kern w:val="0"/>
        </w:rPr>
        <w:lastRenderedPageBreak/>
        <w:t>based on abnormal liver function tests; abnormal transabdominal ultrasound; symptoms such as obstructive jaundice, cholangitis, or pancreatitis; or a combination of the above. The proportion of participants who had undergone cholecystectomy varied across studies. Not one of the studies was of high methodological quality. For EUS, the sensitivities ranged between 0.75 and 1.00 and the specificities ranged between 0.85 and 1.00. The summary sensitivity (95% confidence interval (CI)) and specificity (95% CI) of the 13 studies that evaluated EUS (1537 participants; 686 cases and 851 participants without common bile duct stones) were 0.95 (95% CI 0.91 to 0.97) and 0.97 (95% CI 0.94 to 0.99). For MRCP, the sensitivities ranged between 0.77 and 1.00 and the specificities ranged between 0.73 and 0.99. The summary sensitivity and specificity of the seven studies that evaluated MRCP (996 participants; 361 cases and 635 participants without common bile duct stones) were 0.93 (95% CI 0.87 to 0.96) and 0.96 (95% CI 0.90 to 0.98). There was no evidence of a difference in sensitivity or specificity between EUS and MRCP (P value = 0.5). From the included studies, at the median pre-test probability of common bile duct stones of 41% the post-test probabilities (with 95% CI) associated with positive and negative EUS test results were 0.96 (95% CI 0.92 to 0.98) and 0.03 (95% CI 0.02 to 0.06). At the same pre-test probability, the post-test probabilities associated with positive and negative MRCP test results were 0.94 (95% CI 0.87 to 0.97) and 0.05 (95% CI 0.03 to 0.09). Authors’ conclusions Both EUS and MRCP have high diagnostic accuracy for detection of common bile duct stones. People with positive EUS or MRCP should undergo endoscopic or surgical extraction of common bile duct stones and those with negative EUS or MRCP do not need further invasive tests. However, if the symptoms persist, further investigations will be indicated. The two tests are similar in terms of diagnostic accuracy and the choice of which test to use will be informed by availability and contra-indications to each test. However, it should be noted that the results are based on studies of poor methodological quality and so the results should be interpreted with caution. Further studies that are of high methodological quality are necessary to determine the diagnostic accuracy of EUS and MRCP for the diagnosis of common bile duct stones.</w:t>
      </w:r>
    </w:p>
    <w:p w:rsidR="00F859E1" w:rsidRDefault="00F859E1" w:rsidP="00F859E1">
      <w:pPr>
        <w:pStyle w:val="a3"/>
        <w:rPr>
          <w:kern w:val="0"/>
        </w:rPr>
      </w:pPr>
      <w:r>
        <w:rPr>
          <w:kern w:val="0"/>
        </w:rPr>
        <w:t xml:space="preserve">Keywords: Abstracts, Accuracy, Acute-Pancreatitis, Analysis, Assessment, Authors, Availability, Biliary Disease, Choice, Cholecystectomy, Citation, Collection, Common Bile Duct Stones, Complications, Confidence, Contraindications, Criteria, Data, Data Collection, Database, Databases, Detection, Diagnosis, Diagnostic, Diagnostic Accuracy, Diagnostic-Accuracy, Effects, Embase, Endoscopic, Estimates, Eu, Evidence, Extraction, Follow-Up, From, Function, Gallstone Pancreatitis, Half-Fourier Acquisition, Health, Hta, Interval, Intraoperative Cholangiography, Invasive, Investigations, Language, Laparoscopic Cholecystectomy, Liver, Magnetic, Magnetic Resonance, Medline, Methodological Quality, Methods, Model, Mr </w:t>
      </w:r>
      <w:r>
        <w:rPr>
          <w:kern w:val="0"/>
        </w:rPr>
        <w:lastRenderedPageBreak/>
        <w:t>Cholangiography, Negative, P, Pancreatitis, Patients, Probability, Publication, Publication Status, Quality, Reference, Reference Standards, References, Research, Retrograde Cholangiography Prior, Review, Reviews, Science, Science Citation Index, Science Citation Index Expanded, Search, Sensitivity, Specificity, Standard, Standards, Suspected Choledocholithiasis, Symptoms, Systematic, Systematic Review, Systematic Reviews, Technology, Technology Assessment, Treatment, Ultrasound, Value</w:t>
      </w:r>
    </w:p>
    <w:p w:rsidR="008631E9" w:rsidRDefault="008631E9" w:rsidP="008631E9">
      <w:pPr>
        <w:pStyle w:val="a3"/>
        <w:rPr>
          <w:kern w:val="0"/>
        </w:rPr>
      </w:pPr>
      <w:r>
        <w:rPr>
          <w:rFonts w:hint="eastAsia"/>
          <w:kern w:val="0"/>
        </w:rPr>
        <w:t xml:space="preserve">? </w:t>
      </w:r>
      <w:r>
        <w:rPr>
          <w:kern w:val="0"/>
        </w:rPr>
        <w:t xml:space="preserve">Ohlsson, A. and Lacy, J.B. (2015), Intravenous immunoglobulin for suspected or proven infection in neonates.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CD001239</w:t>
      </w:r>
      <w:r>
        <w:rPr>
          <w:kern w:val="0"/>
        </w:rPr>
        <w:t>.</w:t>
      </w:r>
    </w:p>
    <w:p w:rsidR="008631E9" w:rsidRDefault="008631E9" w:rsidP="008631E9">
      <w:pPr>
        <w:pStyle w:val="a3"/>
      </w:pPr>
      <w:r>
        <w:t xml:space="preserve">Full Text: </w:t>
      </w:r>
      <w:hyperlink r:id="rId862" w:history="1">
        <w:r w:rsidR="007D6556" w:rsidRPr="007D6556">
          <w:rPr>
            <w:rStyle w:val="a5"/>
          </w:rPr>
          <w:t>2015\Coc Dat Sys Rev2015, CD001239.pdf</w:t>
        </w:r>
      </w:hyperlink>
    </w:p>
    <w:p w:rsidR="008631E9" w:rsidRDefault="008631E9" w:rsidP="008631E9">
      <w:pPr>
        <w:pStyle w:val="a3"/>
        <w:rPr>
          <w:kern w:val="0"/>
        </w:rPr>
      </w:pPr>
      <w:r>
        <w:rPr>
          <w:kern w:val="0"/>
        </w:rPr>
        <w:t xml:space="preserve">Abstract: Background Neonates are at higher risk of infection due to immuno-incompetence. Maternal transport of immunoglobulins to the fetusmainly occurs after 32 weeks’ gestation, and endogenous synthesis begins several months after birth. Administration of intravenous immunoglobulin (IVIG) provides immunoglobulin G (IgG) that can bind to cell surface receptors, provide opsonic activity, activate complement, promote antibody-dependent cytotoxicity and improve neutrophilic chemo-luminescence. Theoretically, infectious morbidity and mortality could be reduced by the administration of IVIG. Objectives To assess the effects of IVIG on mortality and morbidity caused by suspected or proven infection at study entry in neonates. To assess in a subgroup analysis the effects of IgM-enriched IVIG on mortality from suspected infection. Search methods For this update, MEDLINE, EMBASE, The Cochrane Library, CINAHL, trial registries, Web of Science, reference lists of identified studies, meta-analyses and personal files were searched in 2013. No language restrictions were applied. Selection criteria Randomised or quasi-randomised controlled trials involving newborn infants (&lt; 28 days old); IVIG for treatment of suspected or proven bacterial or fungal infection compared with placebo or no intervention; and where one of the following outcomes was reported, mortality, length of hospital stay or psychomotor development at follow-up. Data collection and analysis Statistical analyses included typical risk ratio (RR), risk difference (RD), weighted mean difference (WMD), number needed to treat for an additional beneficial outcome (NNTB) or an additional harmful outcome (NNTH), all with 95% confidence intervals (CIs), and the I-2 statistic to examine for statistical heterogeneity. Main results The updated search identified one published study that was previously ongoing. A total of 9 studies evaluating 3973 infants were included in this review. Mortality during hospital stay in infants with clinically suspected infection was not significantly different after IVIG treatment (9 studies (n = 2527); typical RR 0.95, 95% CI 0.80 to 1.13; typical RD -0.01, 95% CI -0.04 to 0.02; I-2 = 23% for RR and 29% for RD). Death or major disability at 2 years corrected age was </w:t>
      </w:r>
      <w:r>
        <w:rPr>
          <w:kern w:val="0"/>
        </w:rPr>
        <w:lastRenderedPageBreak/>
        <w:t>not significantly different in infants with suspected infection after IVIG treatment (1 study (n = 1985); RR 0.98, 95% CI 0.88 to 1.09; RD -0.01, 95% CI -0.05 to 0.03). Mortality during hospital stay was not significantly different after IVIG treatment in infants with proven infection at trial entry (1 trial (n = 1446); RR 0.95, 95% CI 0.74 to 1.21; RD -0.01, 95% CI -0.04 to 0.03). Death or major disability at 2 years corrected age was not significantly different after IVIG treatment in infants with proven infection at trial entry (1 trial (n = 1393); RR 1.03, 95% CI 0.91 to 1.18; RD 0.01, 95% CI -0.04 to 0.06). Mortality during hospital stay in infants with clinically suspected or proven infection at trial entry was not significantly different after IVIG treatment (1 study (n = 3493); RR 1.00, 95% CI 0.86 to 1.16; RD 0.00, 95% CI -0.02 to 0.03). Death or major disability at 2 years corrected age was not significantly different after IVIG treatment in infants with suspected or proven infection at trial entry (1 study (n = 3493); RR 1.00, 95% CI 0.92 to 1.09; RD -0.00, 95% CI -0.03 to 0.03). Length of hospital stay was not reduced for infants with suspected or proven infection at trial entry (1 study (n = 3493); mean difference (MD) 0.00 days, 95% CI -0.61 to 0.61). No significant difference in mortality during hospital stay after administration of IgM-enriched IVIG for suspected infection at trial entry was reported in 4 studies (n = 266) (typical RR 0.68, 95% CI 0.39 to 1.20; RD -0.06, 95% CI -0.14 to 0.02; I-2 = 17% for RR and 53% for RD). Authors’ conclusions The undisputable results of the INIS trial, which enrolled 3493 infants, and our meta-analyses (n = 3973) showed no reduction in mortality during hospital stay, or death or major disability at two years of age in infants with suspected or proven infection. Although based on a small sample size (n = 266), this update provides additional evidence that IgM-enriched IVIG does not significantly reduce mortality during hospital stay in infants with suspected infection. Routine administration of IVIG or IgM-enriched IVIG to prevent mortality in infants with suspected or proven neonatal infection is not recommended. No further research is recommended.</w:t>
      </w:r>
    </w:p>
    <w:p w:rsidR="008631E9" w:rsidRDefault="008631E9" w:rsidP="008631E9">
      <w:pPr>
        <w:pStyle w:val="a3"/>
        <w:rPr>
          <w:kern w:val="0"/>
        </w:rPr>
      </w:pPr>
      <w:r>
        <w:rPr>
          <w:kern w:val="0"/>
        </w:rPr>
        <w:t xml:space="preserve">Keywords: Activity, Adjunct Therapy, Administration, Age, Analyses, Analysis, Birth, Cell, Child Health, Collection, Confidence, Confidence Intervals, Criteria, Cytotoxicity, Data, Data Collection, Death, Development, Disability, Early-Onset Sepsis, Effects, Embase, Evidence, Follow-Up, From, Gestation, Heterogeneity, Hospital, Hospital Stay, Humans, Igg, Immune Globulin, Immunoglobulin, Immunoglobulins, Immunoglobulins,Intravenous [Therapeutic Use], Immunologic Factors [Therapeutic Use], Infant, Infant,Newborn, Infants, Infection, Infection [Drug Therapy, Inis, Intervals, Intervention, Intravenous, Language, Length, Length Of Stay, Library, Medline, Meta-Analyses, Metaanalyses, Methods, Morbidity, Mortality, Mortality], National Institute, Neonatal, Neonatal Infection, Neonates, Newborn, Newborn Infants, Number Needed To Treat, Outcome, Outcomes, Placebo, Preterm Infants, Prevent, Prevention, Randomized Controlled Trials As Topic, </w:t>
      </w:r>
      <w:r>
        <w:rPr>
          <w:kern w:val="0"/>
        </w:rPr>
        <w:lastRenderedPageBreak/>
        <w:t>Reduction, Reference, Reference Lists, Registries, Research, Research Network, Restrictions, Review, Risk, Sample Size, Science, Search, Search Methods, Sepsis [Drug Therapy, Size, Small, Surface, Synthesis, Transport, Treatment, Treatment Outcome, Trial, Web, Web Of Science</w:t>
      </w:r>
    </w:p>
    <w:p w:rsidR="008631E9" w:rsidRDefault="008631E9" w:rsidP="008631E9">
      <w:pPr>
        <w:pStyle w:val="a3"/>
        <w:rPr>
          <w:kern w:val="0"/>
        </w:rPr>
      </w:pPr>
      <w:r>
        <w:rPr>
          <w:rFonts w:hint="eastAsia"/>
          <w:kern w:val="0"/>
        </w:rPr>
        <w:t xml:space="preserve">? </w:t>
      </w:r>
      <w:r>
        <w:rPr>
          <w:kern w:val="0"/>
        </w:rPr>
        <w:t xml:space="preserve">Lopez, L.M., Grey, T.W., Stuebe, A.M., Chen, M., Truitt, S.T. and Gallo, M.F. (2015), Combined hormonal versus nonhormonal versus progestin-only contraception in lactation.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CD003988</w:t>
      </w:r>
      <w:r>
        <w:rPr>
          <w:kern w:val="0"/>
        </w:rPr>
        <w:t>.</w:t>
      </w:r>
    </w:p>
    <w:p w:rsidR="008631E9" w:rsidRDefault="008631E9" w:rsidP="008631E9">
      <w:pPr>
        <w:pStyle w:val="a3"/>
      </w:pPr>
      <w:r>
        <w:t xml:space="preserve">Full Text: </w:t>
      </w:r>
      <w:hyperlink r:id="rId863" w:history="1">
        <w:r w:rsidR="007D6556" w:rsidRPr="007D6556">
          <w:rPr>
            <w:rStyle w:val="a5"/>
          </w:rPr>
          <w:t>2015\Coc Dat Sys Rev2015, CD003988.pdf</w:t>
        </w:r>
      </w:hyperlink>
    </w:p>
    <w:p w:rsidR="008631E9" w:rsidRDefault="008631E9" w:rsidP="008631E9">
      <w:pPr>
        <w:pStyle w:val="a3"/>
        <w:rPr>
          <w:kern w:val="0"/>
        </w:rPr>
      </w:pPr>
      <w:r>
        <w:rPr>
          <w:kern w:val="0"/>
        </w:rPr>
        <w:t xml:space="preserve">Abstract: Background Postpartum contraception improves the health of mothers and children by lengthening birth intervals. For lactating women, contraception choices are limited by concerns about hormonal effects onmilk quality and quantity and passage of hormones to the infant. Ideally, the contraceptive chosen should not interfere with lactation or infant growth. Timing of contraception initiation is also important. Immediately postpartum, most women have contact with a health professional, but many do not return for follow-up contraceptive counseling. However, immediate initiation of hormonal methods may disrupt the onset of milk production. Objectives To determine the effects of hormonal contraceptives on lactation and infant growth Search methods We searched for eligible trials until 2March 2015. Sources included the Cochrane Central Register of Controlled Trials (CENTRAL), PubMed, POPLINE, Web of Science, LILACS, ClinicalTrials.gov, and ICTRP. We also examined review articles and contacted investigators. Selection criteria We sought randomized controlled trials in any language that compared hormonal contraception versus another form of hormonal contraception, nonhormonal contraception, or placebo during lactation. Hormonal contraception includes combined or progestinonly oral contraceptives, injectable contraceptives, implants, and intrauterine devices. Trials had to have one of our primary outcomes: breast milk quantity or biochemical composition; lactation initiation, maintenance, or duration; infant growth; or timing of contraception initiation and effect on lactation. Secondary outcomes included contraceptive efficacy while breastfeeding and birth interval. Data collection and analysis For continuous variables, we calculated the mean difference (MD) with 95% confidence interval (CI). For dichotomous outcomes, we computed the Mantel-Haenszel odds ratio (OR) with 95% CI. Due to differing interventions and outcome measures, we did not aggregate the data in a meta-analysis. Main results In 2014, we added seven trials for a new total of 11. Five reports were published before 1985 and six from 2005 to 2014. They included 1482 women. Four trials examined combined oral contraceptives (COCs), and three studied a levonorgestrel-releasing intrauterine system (LNG-IUS). We found two trials of progestin-only pills (POPs) and two of the etonogestrel-releasing implant. Older studies often lacked quantified results. Most trials did not report significant </w:t>
      </w:r>
      <w:r>
        <w:rPr>
          <w:kern w:val="0"/>
        </w:rPr>
        <w:lastRenderedPageBreak/>
        <w:t>differences between the study arms in breastfeeding duration, breast milk composition, or infant growth. Exceptions were seen mainly in older studies with limited information. For breastfeeding duration, two of eight trials indicated a negative effect on lactation. A COC study reported a negative effect on lactation duration compared to placebo but did not quantify results. Another trial showed a lower percentage of the LNG-IUS group breastfeeding at 75 days versus the nonhormonal IUD group (reported P &lt; 0.05) but no significant difference at one year. For breast milk volume, two older studies indicated lower volume for the COC group versus the placebo group. One trial did not quantify results. The other showed lower means (mL) for the COC group, e. g. at 16 weeks (MD -24.00, 95% CI -34.53 to -13.47) and at 24 weeks (MD -24.90, 95% CI -36.01 to -13.79). Another four trials did not report any significant difference between the study groups in milk volume or composition with two POPs, a COC, or the etonogestrel implant. Seven trials studied infant growth; one showed greater weight gain (grams) for the etonogestrel implant versus no method for six weeks (MD 426.00, 95% CI 58.94 to 793.06) but less compared with depot medroxyprogesterone acetate (DMPA) from 6 to 12 weeks (MD -271.00, 95% CI -355.10 to -186.90). The others studied POPs, COCs versus POPs, or an LNG-IUS. Authors’ conclusions Results were not consistent across the 11 trials. The evidence was limited for any particular hormonal method. The quality of evidence wasmoderate overall and low for three of four placebo-controlled trials of COCs or POPs. The sensitivity analysis included six trials with moderate quality evidence and sufficient outcome data. Five trials indicated no significant difference between groups in breastfeeding duration (etonogestrel implant insertion times, COC versus POP, and LNG-IUS). For breast milk volume or composition, a COC study showed a negative effect, while an implant trial showed no significant difference. Of four trials that assessed infant growth, three indicated no significant difference between groups. One showed greater weight gain in the etonogestrel implant group versus nomethod but less versus DMPA.</w:t>
      </w:r>
    </w:p>
    <w:p w:rsidR="008631E9" w:rsidRDefault="008631E9" w:rsidP="008631E9">
      <w:pPr>
        <w:pStyle w:val="a3"/>
        <w:rPr>
          <w:kern w:val="0"/>
        </w:rPr>
      </w:pPr>
      <w:r>
        <w:rPr>
          <w:kern w:val="0"/>
        </w:rPr>
        <w:t xml:space="preserve">Keywords: Acetate, Analysis, Articles, Birth, Breast Milk, Breastfeeding, Breastfeeding Duration, Children, Collection, Composition, Confidence, Contraception, Contraceptives, Contraceptives,Oral,Combined [Pharmacology], Contraceptives,Oral,Hormonal [Pharmacology], Criteria, Data, Data Collection, Dmpa, Duration, Effects, Efficacy, Evidence, Fatty-Acids, Female, Fertility Regulation, Follow-Up, From, Groups, Growth, Health, Health Professional, Hormonal, Hormonal Contraception, Hormones, Human-Milk, Humans, Implant, Infant, Infant Growth, Information, Initiation, Insertion, Interval, Intervals, Interventions, Intrauterine, Lactating, Lactation, Lactation [Drug Effects], Language, Levonorgestrel Intrauterine-Device, Long-Term Influence, Measures, Meta Analysis, Meta-Analysis, Metaanalysis, Methods, Milk, Milk Production, Milk Volume, </w:t>
      </w:r>
      <w:r>
        <w:rPr>
          <w:kern w:val="0"/>
        </w:rPr>
        <w:lastRenderedPageBreak/>
        <w:t>Mothers, Negative, Nursing Women, Odds Ratio, Older, Onset, Oral, Oral-Contraceptives, Outcome, Outcome Measures, Outcomes, P, Placebo, Postpartum, Postpartum Contraception, Primary, Progestins [Pharmacology], Pubmed, Quality, Quality Of, Randomized, Randomized Controlled Trials, Randomized Controlled Trials As Topic, Randomized-Controlled-Trial, Results, Review, Science, Search, Search Methods, Sensitivity, Sensitivity Analysis, Steroidal Contraceptives, Timing, Trial, Volume, Web, Web Of Science, Weight Gain, Women</w:t>
      </w:r>
    </w:p>
    <w:p w:rsidR="008631E9" w:rsidRDefault="008631E9" w:rsidP="008631E9">
      <w:pPr>
        <w:pStyle w:val="a3"/>
        <w:rPr>
          <w:kern w:val="0"/>
        </w:rPr>
      </w:pPr>
      <w:r>
        <w:rPr>
          <w:rFonts w:hint="eastAsia"/>
          <w:kern w:val="0"/>
        </w:rPr>
        <w:t xml:space="preserve">? </w:t>
      </w:r>
      <w:r>
        <w:rPr>
          <w:kern w:val="0"/>
        </w:rPr>
        <w:t xml:space="preserve">Pammi, M. and Haque, K.N. (2015), Pentoxifylline for treatment of sepsis and necrotizing enterocolitis in neonates.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CD004205</w:t>
      </w:r>
      <w:r>
        <w:rPr>
          <w:kern w:val="0"/>
        </w:rPr>
        <w:t>.</w:t>
      </w:r>
    </w:p>
    <w:p w:rsidR="008631E9" w:rsidRDefault="008631E9" w:rsidP="008631E9">
      <w:pPr>
        <w:pStyle w:val="a3"/>
      </w:pPr>
      <w:r>
        <w:t xml:space="preserve">Full Text: </w:t>
      </w:r>
      <w:hyperlink r:id="rId864" w:history="1">
        <w:r w:rsidR="007D6556" w:rsidRPr="007D6556">
          <w:rPr>
            <w:rStyle w:val="a5"/>
          </w:rPr>
          <w:t>2015\Coc Dat Sys Rev2015, CD004205.pdf</w:t>
        </w:r>
      </w:hyperlink>
    </w:p>
    <w:p w:rsidR="008631E9" w:rsidRDefault="008631E9" w:rsidP="008631E9">
      <w:pPr>
        <w:pStyle w:val="a3"/>
        <w:rPr>
          <w:kern w:val="0"/>
        </w:rPr>
      </w:pPr>
      <w:r>
        <w:rPr>
          <w:kern w:val="0"/>
        </w:rPr>
        <w:t xml:space="preserve">Abstract: Background Mortality and morbidity due to neonatal sepsis and necrotizing enterocolitis (NEC) remain high despite the use of potent antimicrobial agents. Agents that modulate inflammation may improve outcomes. Pentoxifylline, a phosphodiesterase inhibitor, is one such agent. Objectives Our primary objectives were : 1. To assess the effect of intravenous pentoxifylline as an adjunct to antibiotic therapy on mortality and morbidity in neonates with suspected or confirmed sepsis. 2. To assess the effect of intravenous pentoxifylline as an adjunct to antibiotic therapy on mortality and morbidity in neonates with NEC. Search methods We searched the Cochrane Neonatal Review Group Specialized Register, CENTRAL (The Cochrane Library Issue 2, 2014), EMBASE (January 1980 to May 2014), PubMed (January 1966 to May 2014), CINAHL (January 1982 to May 2014), Science Citation Index (January 1990 to May 2014), and BIOSIS (January 1992 May 2014) in May 2014. We checked references and cross-references from identified studies. We handsearched abstracts from the proceedings of the Pediatric Academic Societies Meetings (from January 1990 to May 2014). We placed no restrictions on language. Selection criteria We included randomised or quasi-randomised trials assessing the efficacy of pentoxifylline as an adjunct to antibiotics for treatment of suspected or confirmed sepsis or NEC in neonates. Data collection and analysis We reported typical risk ratio (RR) and risk difference (RD) with 95% confidence intervals (CI) using fixed-effectmodel for dichotomous outcomes and mean difference (MD) for continuous outcomes. We calculated the number needed to treat for an additional beneficial outcome (NNTB) if there was a statistically significant reduction in RD. Main results Pentoxifylline used as an adjunct to antibiotics in neonates with sepsis decreased all-cause mortality during hospital stay (typical RR 0.57, 95% CI 0.35 to 0.93; typical RD -0.08, 95% CI -0.14 to -0.01; NNTB 13, 95% CI 7 to 100; 6 studies, 416 participants, low-quality evidence). Subgroup analyses revealed decrease in mortality in preterm infants, infants with confirmed sepsis, and infants with </w:t>
      </w:r>
      <w:r>
        <w:rPr>
          <w:kern w:val="0"/>
        </w:rPr>
        <w:lastRenderedPageBreak/>
        <w:t>gram-negative sepsis (low-quality evidence, four studies). Pentoxifylline decreased length of hospital stay (MD -7.59 days, 95% CI -11.65 to -3.52; 2 studies, 148 participants, low-quality evidence). Pentoxifylline did not change the risk of development of NEC, chronic lung disease, severe intraventricular haemorrhage, retinopathy of prematurity, or periventricular leukomalacia in neonates with sepsis (one to two studies, very low-quality evidence). Pentoxifylline therapy compared to pentoxifylline and immunoglobulin M-enriched intravenous immunoglobulin or immunoglobulin M-enriched intravenous immunoglobulin alone did not change mortality or development ofNECin neonates with sepsis (one study, very low-quality evidence). We noted no adverse effects due to pentoxifylline. We identified no trials evaluating pentoxifylline treatment for NEC. Authors’ conclusions Low-quality evidence from six small studies suggests that pentoxifylline therapy as an adjunct to antibiotics in neonatal sepsis decreases mortality without any adverse effects. We encourage researchers to undertake large, well-designed multicentre trials to confirm or refute the effectiveness of pentoxifylline in reducing mortality and morbidity in neonates with sepsis or NEC.</w:t>
      </w:r>
    </w:p>
    <w:p w:rsidR="008631E9" w:rsidRDefault="008631E9" w:rsidP="008631E9">
      <w:pPr>
        <w:pStyle w:val="a3"/>
        <w:rPr>
          <w:kern w:val="0"/>
        </w:rPr>
      </w:pPr>
      <w:r>
        <w:rPr>
          <w:kern w:val="0"/>
        </w:rPr>
        <w:t>Keywords: Abstracts, Academic, Adverse Effects, All-Cause Mortality, Analyses, Analysis, Anti-Bacterial Agents [Therapeutic Use], Anti-Inflammatory Agents [Therapeutic Use], Antibiotic Therapy, Antibiotics, Antimicrobial, Antimicrobial Agents, Assessing, Bacterial Infections [Drug Therapy], Birth-Weight Infants, Chemotherapy,Adjuvant, Chronic, Chronic Lung Disease, Citation, Collection, Confidence, Confidence Intervals, Criteria, Data, Data Collection, Development, Disease, Double-Blind, Effectiveness, Effects, Efficacy, Embase, Enterocolitis,Necrotizing [Drug Therapy], Evidence, Factor-Alpha, From, Haemorrhage, Hemodynamics, Hospital, Hospital Stay, Humans, Immunoglobulin, Infant,Newborn, Infant,Premature, Infants, Infections, Inflammation, Inhibitor, Intervals, Intravenous, Language, Length, Library, Lung, Meetings, Methods, Morbidity, Mortality, Mortality], Necrotizing Enterocolitis, Neonatal, Neonatal Sepsis, Neonates, Number Needed To Treat, Outcome, Outcomes, Pediatric, Pentoxifylline, Pentoxifylline [Therapeutic Use], Periventricular Leukomalacia, Phosphodiesterase Inhibitors [Therapeutic Use], Platelet Activating Factor, Premature-Infants, Prematurity, Preterm, Preterm Infants, Primary, Pubmed, Randomised, Randomized Controlled Trials As Topic, Reduction, References, Research Network, Researchers, Restrictions, Retinopathy Of Prematurity, Review, Risk, Science, Science Citation Index, Search, Search Methods, Sepsis, Sepsis [Drug Therapy, Small, Therapy, Treatment, Tumor-Necrosis-Factor</w:t>
      </w:r>
    </w:p>
    <w:p w:rsidR="008631E9" w:rsidRDefault="008631E9" w:rsidP="008631E9">
      <w:pPr>
        <w:pStyle w:val="a3"/>
        <w:rPr>
          <w:kern w:val="0"/>
        </w:rPr>
      </w:pPr>
      <w:r>
        <w:rPr>
          <w:rFonts w:hint="eastAsia"/>
          <w:kern w:val="0"/>
        </w:rPr>
        <w:t xml:space="preserve">? </w:t>
      </w:r>
      <w:r>
        <w:rPr>
          <w:kern w:val="0"/>
        </w:rPr>
        <w:t xml:space="preserve">van Sonsbeek, S., Pullens, B. and van Benthem, P.P. (2015), Positive pressure therapy for Meniere’s disease or syndrome.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CD008419</w:t>
      </w:r>
      <w:r>
        <w:rPr>
          <w:kern w:val="0"/>
        </w:rPr>
        <w:t>.</w:t>
      </w:r>
    </w:p>
    <w:p w:rsidR="008631E9" w:rsidRDefault="008631E9" w:rsidP="008631E9">
      <w:pPr>
        <w:pStyle w:val="a3"/>
      </w:pPr>
      <w:r>
        <w:lastRenderedPageBreak/>
        <w:t xml:space="preserve">Full Text: </w:t>
      </w:r>
      <w:hyperlink r:id="rId865" w:history="1">
        <w:r w:rsidR="007D6556" w:rsidRPr="007D6556">
          <w:rPr>
            <w:rStyle w:val="a5"/>
          </w:rPr>
          <w:t>2015\Coc Dat Sys Rev2015, CD008419.pdf</w:t>
        </w:r>
      </w:hyperlink>
    </w:p>
    <w:p w:rsidR="008631E9" w:rsidRDefault="008631E9" w:rsidP="008631E9">
      <w:pPr>
        <w:pStyle w:val="a3"/>
        <w:rPr>
          <w:kern w:val="0"/>
        </w:rPr>
      </w:pPr>
      <w:r>
        <w:rPr>
          <w:kern w:val="0"/>
        </w:rPr>
        <w:t xml:space="preserve">Abstract: Background Meniere’s disease is an incapacitating disease in which recurrent attacks of vertigo are accompanied by hearing loss, tinnitus and/or aural fullness, all of which are discontinuous and variable in intensity. A number of different therapies have been identified for patients with this disease, ranging from dietary measures (e.g. a low-salt diet) and medication (e.g. betahistine (Serco), diuretics) to extensive surgery (e.g. endolymphatic sac surgery). The Menietto low-pressure pulse generator (Medtronic ENT, 1999) is a device that is designed to generate a computer-controlled sequence of low-pressure (micro-pressure) pulses, which are thought to be transmitted to the vestibular system of the inner ear. The pressure pulse passes via a tympanostomy tube (grommet) to the middle ear, and hence to the inner ear via the round and/or oval window. The hypothesis is that these low-pressure pulses reduce endolymphatic hydrops. Objectives To assess the effects of positive pressure therapy (e.g. the Meniett device) on the symptoms of Meniere’s disease or syndrome. Search methods We searched the Cochrane Ear, Nose and Throat Disorders Group Trials Register; the Cochrane Central Register of Controlled Trials (CENTRAL); PubMed; EMBASE; CINAHL; Web of Science; Cambridge Scientific Abstracts; ICTRP and additional sources for published and unpublished trials. The date of the search was 6 June 2014. Selection criteria Randomised controlled trials (RCTs) comparing positive pressure therapy (using the Meniett or a similar device) with placebo in patients with Meniere’s disease. The primary outcome was control of vertigo; secondary outcomes were loss or gain of hearing, severity of tinnitus, perception of aural fullness, functional level, complications or adverse effects, and sick days. Data collection and analysis Two authors independently selected studies, assessed risk of bias and extracted data. We contacted authors for additional data. Where possible, we pooled study results using a fixed-effect, mean difference (MD) meta-analysis and tested for statistical heterogeneity using both the Chi(2) test and I-2 statistic. This was only possible for the secondary outcomes loss or gain of hearing and sick days. We presented results using forest plots with 95% confidence intervals (CI). Main results We included five randomised clinical trials with 265 participants. All trials were prospective, double-blind, placebo-controlled randomised controlled trials on the effects of positive pressure therapy on vertigo complaints in Meniere’s disease. Overall, the risk of bias varied: three out of five studies were at low risk, one was at unclear risk and one was at high risk of bias. Control of vertigo For the primary outcome, control of vertigo, it was not possible to pool data due to heterogeneity in the measurement of the outcome measures. In most studies, no significant difference was found between the positive pressure therapy group and the placebo group in vertigo scores or vertigo days. Only one study, at low risk of bias, showed a significant difference in one measure of vertigo control in favour of positive pressure </w:t>
      </w:r>
      <w:r>
        <w:rPr>
          <w:kern w:val="0"/>
        </w:rPr>
        <w:lastRenderedPageBreak/>
        <w:t>therapy. In this study, the mean visual analogue scale (VAS) score for vertigo after eight weeks of treatment was 25.5 in the positive pressure therapy group and 46.6 in the placebo group (mean difference (MD) -21.10, 95% CI -35.47 to 6.73; scale not stated -presumed to be 0 to 100). Secondary outcomes For the secondary outcomes, we carried out two pooled analyses. We found statistically significant results for loss or gain of hearing. Hearing was 7.38 decibels better in the placebo group compared to the positive pressure therapy group (MD) (95% CI 2.51 to 12.25; two studies, 123 participants). The severity of tinnitus and perception of aural fullness were either not measured or inadequate data were provided in the included studies. For the secondary outcome functional level, it was not possible to perform a pooled analysis. One included study showed less functional impairment in the positive pressure group than the placebo group (AAO-HNS criteria, one-to six-point scale: MD -1.10, 95% CI -1.81 to -0.39, 40 participants); another study did not show any significant results. In addition to the predefined secondary outcome measures, we included sick days as an additional outcome measure, as two studies used this outcome measure and it is a complementary measurement of impairment due to Meniere’s disease. We did not find a statistically significant difference in sick days. No complications or adverse effects were noted by any study. Authors’ conclusions There is no evidence, fromfive included studies, to show that positive pressure therapy is effective for the symptoms of Monsere disease. There is some moderate quality evidence, from two studies, that hearing levels are worse in patients who use this therapy. The positive pressure therapy device itself is minimally invasive. However, in order to use it, a tympanostomy tube (grommet) needs to be inserted, with the associated risks. These include the risks of anaesthesia, the general risks of any surgery and the specific risks of otorrhoea and tympanosclerosis associated with the insertion of a tympanostomy tube. Notwithstanding these comments, no complications or adverse effects were noted in any of the included studies.</w:t>
      </w:r>
    </w:p>
    <w:p w:rsidR="008631E9" w:rsidRDefault="008631E9" w:rsidP="008631E9">
      <w:pPr>
        <w:pStyle w:val="a3"/>
        <w:rPr>
          <w:kern w:val="0"/>
        </w:rPr>
      </w:pPr>
      <w:r>
        <w:rPr>
          <w:kern w:val="0"/>
        </w:rPr>
        <w:t xml:space="preserve">Keywords: Adverse Effects, Anaesthesia, Analyses, Analysis, Authors, Bias, Bilateral Aspects, Clinical, Clinical Trials, Clinical-Trial, Collection, Comments, Complaints, Complementary, Complications, Confidence, Confidence Intervals, Control, Criteria, Data, Data Collection, Diet, Disease, Double-Blind, Effects, Embase, Endolymphatic Hydrops, Evidence, Follow-Up, Forest, From, Functional Impairment, General, Guinea-Pigs, Hearing, Hearing Loss, Heterogeneity, Hydrops, Impairment, Inner-Ear, Insertion, Intensity, Intervals, Invasive, Low Risk, Measure, Measurement, Measures, Meniere’S Disease, Meniett Device, Meta Analysis, Meta-Analysis, Metaanalysis, Methods, Middle Ear, Middle-Ear Pressure, Needs, Outcome, Outcome Measure, Outcome Measures, Outcomes, Overpressure Treatment, Patients, Perception, Placebo, Pooled Analysis, Pressure, Primary, Prospective, Pubmed, Quality, Randomised, Randomised Controlled Trials, Recurrent, Risk, Risks, Scale, Science, </w:t>
      </w:r>
      <w:r>
        <w:rPr>
          <w:kern w:val="0"/>
        </w:rPr>
        <w:lastRenderedPageBreak/>
        <w:t>Search, Search Methods, Sources, Surgery, Symptoms, Syndrome, Therapy, Treatment, Vas, Vertigo, Vestibular Aqueduct, Web, Web Of Science</w:t>
      </w:r>
    </w:p>
    <w:p w:rsidR="008631E9" w:rsidRDefault="008631E9" w:rsidP="008631E9">
      <w:pPr>
        <w:pStyle w:val="a3"/>
        <w:rPr>
          <w:kern w:val="0"/>
        </w:rPr>
      </w:pPr>
      <w:r>
        <w:rPr>
          <w:rFonts w:hint="eastAsia"/>
          <w:kern w:val="0"/>
        </w:rPr>
        <w:t xml:space="preserve">? </w:t>
      </w:r>
      <w:r>
        <w:rPr>
          <w:kern w:val="0"/>
        </w:rPr>
        <w:t xml:space="preserve">Adams, S.P., Tsang, M. and Wright, J.M. (2015), Lipid-lowering efficacy of atorvastatin.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CD008226</w:t>
      </w:r>
      <w:r>
        <w:rPr>
          <w:kern w:val="0"/>
        </w:rPr>
        <w:t>.</w:t>
      </w:r>
    </w:p>
    <w:p w:rsidR="008631E9" w:rsidRDefault="008631E9" w:rsidP="008631E9">
      <w:pPr>
        <w:pStyle w:val="a3"/>
      </w:pPr>
      <w:r>
        <w:t xml:space="preserve">Full Text: </w:t>
      </w:r>
      <w:hyperlink r:id="rId866" w:history="1">
        <w:r w:rsidR="00D47F73" w:rsidRPr="00D47F73">
          <w:rPr>
            <w:rStyle w:val="a5"/>
          </w:rPr>
          <w:t>2015\Coc Dat Sys Rev2015, CD008226.pdf</w:t>
        </w:r>
      </w:hyperlink>
    </w:p>
    <w:p w:rsidR="008631E9" w:rsidRDefault="008631E9" w:rsidP="008631E9">
      <w:pPr>
        <w:pStyle w:val="a3"/>
        <w:rPr>
          <w:kern w:val="0"/>
        </w:rPr>
      </w:pPr>
      <w:r>
        <w:rPr>
          <w:kern w:val="0"/>
        </w:rPr>
        <w:t xml:space="preserve">Abstract: Background This represents the first update of this review, which was published in 2012. Atorvastatin is one of themost widely prescribed drugs and the most widely prescribed statin in the world. It is therefore important to know the dose-related magnitude of effect of atorvastatin on blood lipids. Objectives Primary objective To quantify the effects of various doses of atorvastatin on serum total cholesterol, low-density lipoprotein (LDL)-cholesterol, highdensity lipoprotein (HDL)-cholesterol and triglycerides in individuals with and without evidence of cardiovascular disease. The primary focus of this review was determination of the mean per cent change from baseline of LDL-cholesterol. Secondary objectives To quantify the variability of effects of various doses of atorvastatin. To quantify withdrawals due to adverse effects (WDAEs) in placebo-controlled randomised controlled trials (RCTs). Search methods We searched the Cochrane Central Register of Controlled Trials (CENTRAL) (Issue 11, 2013), MEDLINE (1966 to DecemberWeek 2 2013), EMBASE (1980 to DecemberWeek 2 2013), Web of Science (1899 to DecemberWeek 2 2013) and BIOSIS Previews (1969 to December Week 2 2013). We applied no language restrictions. Selection criteria Randomised controlled and uncontrolled before-and-after trials evaluating the dose response of different fixed doses of atorvastatin on blood lipids over a duration of three to 12 weeks. Data collection and analysis Two review authors independently assessed eligibility criteria for studies to be included and extracted data. We collected information on withdrawals due to adverse effects from placebo-controlled trials. Main results In this update, we found an additional 42 trials and added them to the original 254 studies. The update consists of 296 trials that evaluated dose-related efficacy of atorvastatin in 38,817 participants. Included are 242 before-and-after trials and 54 placebo-controlled RCTs. Log dose-response data from both trial designs revealed linear dose-related effects on blood total cholesterol, LDL-cholesterol, HDL-cholesterol and triglycerides. The Summary of findings table 1 documents the effect of atorvastatin on LDL-cholesterol over the dose range of 10 to 80 mg/d, which is the range for which this systematic review acquired the greatest quantity of data. Over this range, blood LDL-cholesterol is decreased by 37.1% to 51.7% (Summary of findings table 1). The slope of dose-related effects on cholesterol and LDL-cholesterol was similar for atorvastatin and rosuvastatin, but rosuvastatin is about three-fold more potent. Subgroup analyses suggested that the </w:t>
      </w:r>
      <w:r>
        <w:rPr>
          <w:kern w:val="0"/>
        </w:rPr>
        <w:lastRenderedPageBreak/>
        <w:t>atorvastatin effect was greater in females than in males and was greater in non-familial than in familial hypercholesterolaemia. Risk of bias for the outcome of withdrawals due to adverse effects (WDAEs) was high, but the mostly unclear risk of bias was judged unlikely to affect lipid measurements. Withdrawals due to adverse effects were not statistically significantly different between atorvastatin and placebo groups in these short-term trials (risk ratio 0.98, 95% confidence interval 0.68 to 1.40). Authors’ conclusions This update resulted in no change to the main conclusions of the review but significantly increases the strength of the evidence. Studies show that atorvastatin decreases blood total cholesterol and LDL-cholesterol in a linear dose-related manner over the commonly prescribed dose range. New findings include that atorvastatin is more than three-fold less potent than rosuvastatin, and that the cholesterollowering effects of atorvastatin are greater in females than in males and greater in non-familial than in familial hypercholesterolaemia. This review update does not provide a good estimate of the incidence of harms associated with atorvastatin because included trials were of short duration and adverse effects were not reported in 37% of placebo-controlled trials.</w:t>
      </w:r>
    </w:p>
    <w:p w:rsidR="008631E9" w:rsidRDefault="008631E9" w:rsidP="008631E9">
      <w:pPr>
        <w:pStyle w:val="a3"/>
        <w:rPr>
          <w:kern w:val="0"/>
        </w:rPr>
      </w:pPr>
      <w:r>
        <w:rPr>
          <w:kern w:val="0"/>
        </w:rPr>
        <w:t>Keywords: Adverse Effects, Affect, Analyses, Analysis, Authors, Bias, Blood, C-Reactive Protein, Cardiovascular, Cardiovascular Disease, Cholesterol, Cholesterol [Blood], Cholesterol,Hdl [Blood], Cholesterol,Ldl [Blood], Coa Reductase Inhibitor, Collection, Confidence, Coronary-Heart-Disease, Criteria, Data, Data Collection, Disease, Documents, Dose-Response, Dose-Response Relationship,Drug, Drug Therapy], Drugs, Duration, Effects, Efficacy, Embase, Evidence, Familial, First, From, Groups, Heptanoic Acids [Administration &amp; Dosage] Hydroxymethylglutaryl-Coa Reductase Inhibitors [Administration &amp; Dosage], Heterozygous Familial Hypercholesterolemia, High-Risk Patients, Humans, Hyperlipidemias [Blood, Incidence, Information, Interval, Language, Lipid, Lipids, Lipids [Blood], Low-Density-Lipoprotein, Low-Dose Atorvastatin, Magnitude, Medline, Methods, Monocyte Chemoattractant Protein-1, Outcome, Placebo, Primary, Pyrroles [Administration &amp; Dosage], Randomised, Randomised Controlled Trials, Randomized Controlled Trials As Topic, Randomized-Controlled-Trial, Response, Restrictions, Review, Risk, Risk Of Bias, Science, Search, Search Methods, Serum, Statin, Strength, Systematic, Systematic Review, Trial, Triglycerides, Triglycerides [Blood], Type-2 Diabetes-Mellitus, Variability, Web, Web Of Science, World</w:t>
      </w:r>
    </w:p>
    <w:p w:rsidR="008631E9" w:rsidRDefault="008631E9" w:rsidP="008631E9">
      <w:pPr>
        <w:pStyle w:val="a3"/>
        <w:rPr>
          <w:kern w:val="0"/>
        </w:rPr>
      </w:pPr>
      <w:r>
        <w:rPr>
          <w:rFonts w:hint="eastAsia"/>
          <w:kern w:val="0"/>
        </w:rPr>
        <w:t xml:space="preserve">? </w:t>
      </w:r>
      <w:r>
        <w:rPr>
          <w:kern w:val="0"/>
        </w:rPr>
        <w:t xml:space="preserve">Polec, L.A., Petkovic, J., Welch, V., Ueffing, E., Ghogomu, E.T., Pardo, J.P., Grabowsky, M., Attaran, A., Wells, G.A. and Tugwell, P. (2015), Strategies to increase the ownership and use of insecticide-treated bednets to prevent malaria.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CD009186</w:t>
      </w:r>
      <w:r>
        <w:rPr>
          <w:kern w:val="0"/>
        </w:rPr>
        <w:t>.</w:t>
      </w:r>
    </w:p>
    <w:p w:rsidR="008631E9" w:rsidRDefault="008631E9" w:rsidP="008631E9">
      <w:pPr>
        <w:pStyle w:val="a3"/>
      </w:pPr>
      <w:r>
        <w:t xml:space="preserve">Full Text: </w:t>
      </w:r>
      <w:hyperlink r:id="rId867" w:history="1">
        <w:r w:rsidR="00D47F73" w:rsidRPr="00D47F73">
          <w:rPr>
            <w:rStyle w:val="a5"/>
          </w:rPr>
          <w:t>2015\Coc Dat Sys Rev2015, CD009186.pdf</w:t>
        </w:r>
      </w:hyperlink>
    </w:p>
    <w:p w:rsidR="008631E9" w:rsidRDefault="008631E9" w:rsidP="008631E9">
      <w:pPr>
        <w:pStyle w:val="a3"/>
        <w:rPr>
          <w:kern w:val="0"/>
        </w:rPr>
      </w:pPr>
      <w:r>
        <w:rPr>
          <w:kern w:val="0"/>
        </w:rPr>
        <w:lastRenderedPageBreak/>
        <w:t xml:space="preserve">Abstract: Background Malaria is a life-threatening parasitic disease and 40% of the world’s population lives in areas affected by malaria. Insecticide-treated bednets (ITNs) effectively prevent malaria, however, barriers to their use have been identified. Objectives To assess the evidence on the effectiveness of available strategies that focus on delivery and appropriate use of ITNs. Search methods We searched the EPOC Register of Studies, CENTRAL, MEDLINE, EMBASE, HealthStar, CINAHL, PubMed, Science Citation Index, ProQuest Dissertations and Theses, African Index Medicus (AIM), World Health Organization Library and Information Networks for Knowledge (WHOLIS), LILACS, Virtual Health Library (VHL), and the World Health Organization Library Information System (WHOLIS). Initial searches were conducted in May 2011, updated in March 2012 and February 2013. Authors contacted organizations and individuals involved in ITN distribution programs or research to identify current initiatives, studies or unpublished data, and searched reference lists of relevant reviews and studies. Selection criteria Randomized controlled trials, non-randomized controlled trials, controlled before-after studies, and interrupted time series evaluating interventions focused on increasing ITN ownership and use were considered. The populations of interest were individuals in malariaendemic areas. Data collection and analysis Two authors independently screened studies to be included. They extracted data from the selected studies and assessed the risk of bias. When consensus was not reached, any disagreements were discussed with a third author. The magnitude of effect and quality of evidence for each outcome was assessed. Main results Of the 3032 records identified, 10 studies were included in this review. Effect of ITN cost on ownership: Four studies including 4566 households and another study comprising 424 participants evaluated the effect of ITN price on ownership. These studies suggest that providing free ITNs probably increases ITN ownership when compared to subsidized ITNs or ITNs offered at full market price. Effect of ITN Cost on appropriate use of ITNs: Three studies including 9968 households and another study comprising 259 individuals found that there is probably little or no difference in the use of ITNs when they are provided free, compared to providing subsidized ITNs or ITNs offered at full market price. Education: Five studies, including 12,637 households, assessed educational interventions regarding ITN use and concluded that education may increase the number of adults and children using ITNs (sleeping under ITNs) compared to no education. One study, including 519 households, assessed the effects of providing an incentive (an undisclosed prize) to promote ITN ownership and use, and found that incentives probably lead to little or no difference in ownership or use of ITNs, compared to not receiving an incentive. None of the included studies reported on adverse effects. Authors’ conclusions Five studies examined the effect of price on ITN ownership and found moderate-certainty </w:t>
      </w:r>
      <w:r>
        <w:rPr>
          <w:kern w:val="0"/>
        </w:rPr>
        <w:lastRenderedPageBreak/>
        <w:t>evidence that ownership was highest among the groups who received the ITN free versus those who purchased the ITN at any cost. In economic terms, this means that demand for ITNs is elastic with regard to price. However, once the ITN is supplied, the price paid for the ITN probably has little to no effect on its use; the four studies addressing this outcome failed to confirm the hypothesis that people who purchase nets will use them more than those who receive them at no cost. Educational interventions for promoting ITN use have an additional positive effect. However, the impact of different types or intensities of education is unknown.</w:t>
      </w:r>
    </w:p>
    <w:p w:rsidR="008631E9" w:rsidRDefault="008631E9" w:rsidP="008631E9">
      <w:pPr>
        <w:pStyle w:val="a3"/>
        <w:rPr>
          <w:kern w:val="0"/>
        </w:rPr>
      </w:pPr>
      <w:r>
        <w:rPr>
          <w:kern w:val="0"/>
        </w:rPr>
        <w:t>Keywords: Adults, Adverse Effects, Analysis, Authors, Barriers, Base-Line, Bed Nets, Bias, Child-Mortality, Children, Citation, Collection, Consensus, Cost, Cost-Effectiveness, Criteria, Data, Data Collection, Delivery, Demand, Disease, Dissertations, Distribution, Economic, Education, Effect, Effectiveness, Effects, Embase, Evidence, From, Groups, Health, Health-Education Intervention, Impact, Incentives, Information, Interrupted Time Series, Interventions, Knowledge, Lead, Library, Magnitude, Malaria, Market, Market Price, Measles Vaccination, Medline, Methods, Networks, Outcome, Population, Populations, Pregnant-Women, Prevent, Proquest, Pubmed, Purchase, Quality, Quality Of, Randomized, Randomized Controlled Trials, Randomized Controlled-Trial, Records, Reference, Reference Lists, Research, Review, Reviews, Risk, Science, Science Citation Index, Search, Search Methods, Theses, Time Series, Western Kenya, World Health Organization</w:t>
      </w:r>
    </w:p>
    <w:p w:rsidR="008631E9" w:rsidRDefault="008631E9" w:rsidP="008631E9">
      <w:pPr>
        <w:pStyle w:val="a3"/>
        <w:rPr>
          <w:kern w:val="0"/>
        </w:rPr>
      </w:pPr>
      <w:r>
        <w:rPr>
          <w:rFonts w:hint="eastAsia"/>
          <w:kern w:val="0"/>
        </w:rPr>
        <w:t xml:space="preserve">? </w:t>
      </w:r>
      <w:r>
        <w:rPr>
          <w:kern w:val="0"/>
        </w:rPr>
        <w:t xml:space="preserve">Burkhardt, B.E.U., Rucker, G. and Stiller, B. (2015), Prophylactic milrinone for the prevention of low cardiac output syndrome and mortality in children undergoing surgery for congenital heart disease.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CD009515</w:t>
      </w:r>
      <w:r>
        <w:rPr>
          <w:kern w:val="0"/>
        </w:rPr>
        <w:t>.</w:t>
      </w:r>
    </w:p>
    <w:p w:rsidR="008631E9" w:rsidRDefault="008631E9" w:rsidP="008631E9">
      <w:pPr>
        <w:pStyle w:val="a3"/>
      </w:pPr>
      <w:r>
        <w:t xml:space="preserve">Full Text: </w:t>
      </w:r>
      <w:hyperlink r:id="rId868" w:history="1">
        <w:r w:rsidR="00D47F73" w:rsidRPr="00D47F73">
          <w:rPr>
            <w:rStyle w:val="a5"/>
          </w:rPr>
          <w:t>2015\Coc Dat Sys Rev2015, CD009515.pdf</w:t>
        </w:r>
      </w:hyperlink>
    </w:p>
    <w:p w:rsidR="008631E9" w:rsidRDefault="008631E9" w:rsidP="008631E9">
      <w:pPr>
        <w:pStyle w:val="a3"/>
        <w:rPr>
          <w:kern w:val="0"/>
        </w:rPr>
      </w:pPr>
      <w:r>
        <w:rPr>
          <w:kern w:val="0"/>
        </w:rPr>
        <w:t xml:space="preserve">Abstract: Background Children with congenital heart disease often undergo heart surgery at a young age. They are at risk for postoperative low cardiac output syndrome (LCOS) or death. Milrinone may be used to provide inotropic and vasodilatory support during the immediate postoperative period. Objectives This review examines the effectiveness of prophylactic postoperative use of milrinone to prevent LCOS or death in children having undergone surgery for congenital heart disease. Search methods Electronic andmanual literature searcheswere performed to identify randomised controlled trials. We searchedCENTRAL, MEDLINE, EMBASE and Web of Science in February 2014 and conducted a top-up search in September 2014 as well as clinical trial registries and reference lists of published studies. We did not apply any language restrictions. Selection criteria Only randomised controlled trials were selected for analysis. We considered studies with newborn infants, infants, toddlers, and children up to 12 years of age. Data collection and analysis Two review authors independently extracted data according to a </w:t>
      </w:r>
      <w:r>
        <w:rPr>
          <w:kern w:val="0"/>
        </w:rPr>
        <w:lastRenderedPageBreak/>
        <w:t>pre-defined protocol. We obtained additional information from all study authors. Main results Three of the five included studies compared milrinone versus levosimendan, one study compared milrinone with placebo, and one compared milrinone verus dobutamine, with 101, 242, and 50 participants, respectively. Three trials were at low risk of bias while two were at higher risk of bias. The number and definitions of outcomes were non-uniform as well. In one study comparing two doses of milrinone and placebo, there was some evidence in an overall comparison of milrinone versus placebo that milrinone lowered risk for LCOS (risk ratio (RR) 0.52, 95% confidence interval (CI) 0.28 to 0.96; 227 participants). The results from two small studies do not provide enough information to determine whether milrinone increases the risk of LCOS when compared to levosimendan (RR 1.22, 95% CI 0.32 to 4.65; 59 participants). Mortality rates in the studies were low, and there was insufficient evidence to draw conclusions on the effect of milrinone compared to placebo or levosimendan or dobutamine regarding mortality, the duration of intensive care stay, hospital stay, mechanical ventilation, or maximum inotrope score (where available). Numbers of patients requiring mechanical cardiac support were also low and did not allow a comparison between studies, and none of the participants of any study received a heart transplantation up to the end of the respective follow-up period. Time to death within three months was not reported in any of the included studies. A number of adverse events was examined, but differences between the treatment groups could not be proven for hypotension, intraventricular haemorrhage, hypokalaemia, bronchospasm, elevated serum levels of liver enzymes, or a reduced left ventricular ejection fraction &lt; 50% or reduced left ventricular fraction of shortening &lt; 28%. Our analysis did not prove an increased risk of arrhythmias in patients treated prophylactically with milrinone compared with placebo (RR 3.59, 95% CI 0.83 to 15.42; 238 participants), a decreased risk of pleural effusions (RR 1.78, 95% CI 0.92 to 3.42; 231 participants), or a difference in risk of thrombocytopenia on milrinone compared with placebo (RR 0.86, 95% CI 0.39 to 1.88; 238 participants). Comparisons of milrinone with levosimendan or with dobutamine, respectively, did not clarify the risk of arrhythmia and were not possible for pleural effusions or thrombocytopenia. Authors’ conclusions There is insufficient evidence of the effectiveness of prophylactic milrinone in preventing death or low cardiac output syndrome in children undergoing surgery for congenital heart disease, compared to placebo. So far, no differences have been shown between milrinone and other inodilators, such as levosimendan or dobutamine, in the immediate postoperative period, in reducing the risk of LCOS or death. The existing data on the prophylactic use of milrinone has to be viewed cautiously due to the small number of small trials and their risk of bias.</w:t>
      </w:r>
    </w:p>
    <w:p w:rsidR="008631E9" w:rsidRDefault="008631E9" w:rsidP="008631E9">
      <w:pPr>
        <w:pStyle w:val="a3"/>
        <w:rPr>
          <w:kern w:val="0"/>
        </w:rPr>
      </w:pPr>
      <w:r>
        <w:rPr>
          <w:kern w:val="0"/>
        </w:rPr>
        <w:t xml:space="preserve">Keywords: Adverse Events, Age, Analysis, Arrhythmia, Authors, Bias, Cardiac Output, </w:t>
      </w:r>
      <w:r>
        <w:rPr>
          <w:kern w:val="0"/>
        </w:rPr>
        <w:lastRenderedPageBreak/>
        <w:t>Cardiopulmonary Bypass, Care, Children, Clinical, Clinical Trial, Collection, Comparison, Confidence, Congenital, Congenital Heart Disease, Coronary-Artery-Bypass, Criteria, Data, Data Collection, Death, Definitions, Disease, Double-Blind, Duration, Effectiveness, Embase, Enzymes, Events, Evidence, Follow-Up, From, Groups, Haemorrhage, Heart, Heart Transplantation, Hospital, Hospital Stay, Hypokalaemia, Hypotension, Infants, Information, Intensive Care, Interval, Language, Left Ventricular Ejection Fraction, Literature, Liver, Low Risk, Mechanical Ventilation, Medline, Metaanalysis, Methods, Mortality, Newborn, Newborn Infants, Nitric-Oxide, Outcomes, Patients, Pediatric-Patients, Pharmacokinetics, Placebo, Placebo-Controlled Trial, Postoperative, Prevent, Prevention, Prophylactic, Protocol, Pulmonary-Hypertension, Randomised, Randomised Controlled Trials, Rates, Reference, Reference Lists, Registries, Restrictions, Review, Risk, Science, Search, Search Methods, Serum, Small, Support, Surgery, Syndrome, Thrombocytopenia, Time, Transplantation, Treatment, Trial, Ventilation, Web, Web Of Science, Young</w:t>
      </w:r>
    </w:p>
    <w:p w:rsidR="008631E9" w:rsidRDefault="008631E9" w:rsidP="008631E9">
      <w:pPr>
        <w:pStyle w:val="a3"/>
        <w:rPr>
          <w:kern w:val="0"/>
        </w:rPr>
      </w:pPr>
      <w:r>
        <w:rPr>
          <w:rFonts w:hint="eastAsia"/>
          <w:kern w:val="0"/>
        </w:rPr>
        <w:t xml:space="preserve">? </w:t>
      </w:r>
      <w:r>
        <w:rPr>
          <w:kern w:val="0"/>
        </w:rPr>
        <w:t xml:space="preserve">Schmidt-Hansen, M., Bromham, N., Taubert, M., Arnold, S. and Hilgart, J.S. (2015), Buprenorphine for treating cancer pain.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CD009596</w:t>
      </w:r>
      <w:r>
        <w:rPr>
          <w:kern w:val="0"/>
        </w:rPr>
        <w:t>.</w:t>
      </w:r>
    </w:p>
    <w:p w:rsidR="008631E9" w:rsidRDefault="008631E9" w:rsidP="008631E9">
      <w:pPr>
        <w:pStyle w:val="a3"/>
      </w:pPr>
      <w:r>
        <w:t xml:space="preserve">Full Text: </w:t>
      </w:r>
      <w:hyperlink r:id="rId869" w:history="1">
        <w:r w:rsidR="00D47F73" w:rsidRPr="00D47F73">
          <w:rPr>
            <w:rStyle w:val="a5"/>
          </w:rPr>
          <w:t>2015\Coc Dat Sys Rev2015, CD009596.pdf</w:t>
        </w:r>
      </w:hyperlink>
    </w:p>
    <w:p w:rsidR="008631E9" w:rsidRDefault="008631E9" w:rsidP="008631E9">
      <w:pPr>
        <w:pStyle w:val="a3"/>
        <w:rPr>
          <w:kern w:val="0"/>
        </w:rPr>
      </w:pPr>
      <w:r>
        <w:rPr>
          <w:kern w:val="0"/>
        </w:rPr>
        <w:t xml:space="preserve">Abstract: Background Many patients with cancer experience moderate to severe pain that requires treatment with strong analgesics. Buprenorphine, fentanyl and morphine are examples of strong opioids used for cancer pain relief. However, strong opioids are ineffective as pain treatment in all patients and are not well-tolerated by all patients. The aim of this Cochrane review is to assess whether buprenorphine is associated with superior, inferior or equal pain relief and tolerability compared to other analgesic options for patients with cancer pain. Objectives To assess the effectiveness and tolerability of buprenorphine for pain in adults and children with cancer. Search methods We searched CENTRAL (the Cochrane Library) issue 12 or 12 2014, MEDLINE (via OVID) 1948 to 20 January 2015, EMBASE (via OVID) 1980 to 20 January 2015, ISI Web of Science (SCI-EXPANDED &amp; CPCI-S) to 20 January 2015, ISI BIOSIS 1969 to 20 January 2015. We also searched ClinicalTrials.gov (http://clinicaltrials.gov/; metaRegister of Controlled Trials (mRCT) (http://www.controlled-trials.com/mrct/), the World Health Organization (WHO) International Clinical Trials Registry Platform (ICTRP) search portal (http://apps.who.int/trialsearch/) and the Proceedings of the Congress of the European Federation of International Association for the Study of Pain (IASP; via European Journal of Pain Supplements) on 16 February 2015. We checked the bibliographic references of identified studies as well as relevant studies and systematic reviews to find additional trials not identified by the electronic searches. </w:t>
      </w:r>
      <w:r>
        <w:rPr>
          <w:kern w:val="0"/>
        </w:rPr>
        <w:lastRenderedPageBreak/>
        <w:t xml:space="preserve">We contacted authors of included studies for other relevant studies. Selection criteria We included randomised controlled trials, with parallel-group or crossover design, comparing buprenorphine (any formulation and any route of administration) with placebo or an active drug (including buprenorphine) for cancer background pain in adults and children. Data collection and analysis Two review authors independently extracted data pertaining to study design, participant details (including age, cancer characteristics, previous analgesic medication and setting), interventions (including details about titration) and outcomes, and independently assessed the quality of the included studies according to standard Cochrane methodology. As it was not feasible to meta-analyse the data, we summarised the results narratively. We assessed the overall quality of the evidence for each outcome using the GRADE approach. Main results In this Cochrane review we identified 19 relevant studies including a total of 1421 patients that examined 16 different intervention comparisons. Of the studies that compared buprenorphine to another drug, 11 studies performed comparative analyses between the randomised groups, and five studies found that buprenorphine was superior to the comparison treatment. Three studies found no differences between buprenorphine and the comparison drug, while another three studies found treatment with buprenorphine to be inferior to the alternative treatment in terms of the side effects profile or patients preference/acceptability. Of the studies that compared different doses or formulations/routes of administration of buprenorphine, pain intensity ratings did not differ significantly between intramuscular buprenorphine and buprenorphine suppository. However, the average severity of dizziness, nausea, vomiting and adverse events as a total were all significantly higher in the intramuscular group relatively to the suppository group (one study). Sublingual buprenorphine was associated with faster onset of pain relief compared to subdermal buprenorphine, with similar duration analgesia and no significant differences in adverse event rates reported between the treatments (one study). In terms of transdermal buprenorphine, two studies found it superior to placebo, whereas a third study found no difference between placebo and different doses of transdermal buprenorphine. The studies that examined different doses of transdermal buprenorphine did not report a clear dose-response relationship. The quality of this evidence base was limited by under-reporting of most bias assessment items (e. g., the patient selection items), by small sample sizes in several included studies, by attrition (with datamissing from 8.2% of the enrolled/randomised patients for efficacy and from 14.6% for safety) and by limited or no reporting of the expected outcomes in a number of cases. The evidence for all the outcomes was very low quality. Authors’ conclusions Based on the available evidence, it is difficult to say where buprenorphine fits in the treatment of cancer pain with strong opioids. However, it might be considered to rank as a fourth-line option compared to the more </w:t>
      </w:r>
      <w:r>
        <w:rPr>
          <w:kern w:val="0"/>
        </w:rPr>
        <w:lastRenderedPageBreak/>
        <w:t>standard therapies of morphine, oxycodone and fentanyl, and even there it would only be suitable for some patients. However, palliative care patients are often heterogeneous and complex, so having a number of analgesics available that can be given differently increases patient and prescriber choice. In particular, the sublingual and injectable routes seemed to have a more definable analgesic effect, whereas the transdermal route studies left more questions.</w:t>
      </w:r>
    </w:p>
    <w:p w:rsidR="008631E9" w:rsidRDefault="008631E9" w:rsidP="008631E9">
      <w:pPr>
        <w:pStyle w:val="a3"/>
        <w:rPr>
          <w:kern w:val="0"/>
        </w:rPr>
      </w:pPr>
      <w:r>
        <w:rPr>
          <w:kern w:val="0"/>
        </w:rPr>
        <w:t>Keywords: Active, Administration, Adults, Adverse Events, Age, Alternative, Analgesia, Analgesic, Analgesics, Analyses, Analysis, Approach, Assessment, Association, Attrition, Authors, Bias, Bibliographic, Buprenorphine, Cancer, Cancer Pain, Care, Characteristics, Children, Choice, Clinical Pharmacokinetics, Clinical Trials, Collection, Comparison, Criteria, Data, Data Collection, Design, Dose-Response, Double-Blind, Drug, Duration, Effectiveness, Effects, Efficacy, Embase, Events, Evidence, Experience, Fentanyl, Formulation, From, Grade, Groups, Health, Induced Respiratory Depression, Intensity, International, Intervention, Interventions, Isi, Isi Web Of Science, Journal, Library, Medline, Methodology, Methods, Morphine, Nausea, Onset, Open-Label, Opioids, Options, Outcome, Outcomes, Oxycodone, Pain, Pain Relief, Pain Treatment, Palliative Care, Patient, Patient Selection, Patients, Phase-Iii, Placebo, Placebo-Controlled Trial, Proceedings, Quality, Quality Of, Randomised, Randomised Controlled Trials, Rank, Rates, References, Reporting, Review, Reviews, Route, Route Of Administration, Safety, Sci-Expanded, Science, Search, Search Methods, Selection, Side Effects, Small, Standard, Strong Opioids, Study Design, Sub-Lingual Buprenorphine, Sublingual, Systematic, Systematic Reviews, Transdermal Buprenorphine, Treatment, Vomiting, Web, Web Of Science, Who, World Health Organization</w:t>
      </w:r>
    </w:p>
    <w:p w:rsidR="008631E9" w:rsidRDefault="008631E9" w:rsidP="008631E9">
      <w:pPr>
        <w:pStyle w:val="a3"/>
        <w:rPr>
          <w:kern w:val="0"/>
        </w:rPr>
      </w:pPr>
      <w:r>
        <w:rPr>
          <w:rFonts w:hint="eastAsia"/>
          <w:kern w:val="0"/>
        </w:rPr>
        <w:t xml:space="preserve">? </w:t>
      </w:r>
      <w:r>
        <w:rPr>
          <w:kern w:val="0"/>
        </w:rPr>
        <w:t xml:space="preserve">Li, C.J., Wu, F.L., Zhang, Q., Gao, Q.H., Shi, Z.D. and Li, L.J. (2015), Interventions for the treatment of Frey’s syndrome.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CD009959</w:t>
      </w:r>
      <w:r>
        <w:rPr>
          <w:kern w:val="0"/>
        </w:rPr>
        <w:t>.</w:t>
      </w:r>
    </w:p>
    <w:p w:rsidR="008631E9" w:rsidRDefault="008631E9" w:rsidP="008631E9">
      <w:pPr>
        <w:pStyle w:val="a3"/>
      </w:pPr>
      <w:r>
        <w:t xml:space="preserve">Full Text: </w:t>
      </w:r>
      <w:hyperlink r:id="rId870" w:history="1">
        <w:r w:rsidR="00D47F73" w:rsidRPr="00D47F73">
          <w:rPr>
            <w:rStyle w:val="a5"/>
          </w:rPr>
          <w:t>2015\Coc Dat Sys Rev2015, CD009959.pdf</w:t>
        </w:r>
      </w:hyperlink>
    </w:p>
    <w:p w:rsidR="008631E9" w:rsidRDefault="008631E9" w:rsidP="008631E9">
      <w:pPr>
        <w:pStyle w:val="a3"/>
        <w:rPr>
          <w:kern w:val="0"/>
        </w:rPr>
      </w:pPr>
      <w:r>
        <w:rPr>
          <w:kern w:val="0"/>
        </w:rPr>
        <w:t xml:space="preserve">Abstract: Background Frey’s syndrome is a rare disorder, the symptoms of which include sweating, flushing and warming over the preauricular and temporal areas following a gustatory stimulus. It often occurs in patients who have undergone parotidectomy, submandibular gland surgery, radical neck dissection, infection and traumatic injury in the parotid region, and is caused by the aberrant regrowth of facial autonomic nerve fibres. Currently there are several options used to treat patients with Frey’s syndrome; for example, the topical application of anticholinergics and antiperspirants, and the intradermal injection of botulinum toxin. It is uncertain which treatment is most effective and safe. Objectives To assess the efficacy and safety of different interventions for the treatment of Frey’s syndrome. Search methods We searched the Cochrane Ear, Nose and Throat Disorders Group </w:t>
      </w:r>
      <w:r>
        <w:rPr>
          <w:kern w:val="0"/>
        </w:rPr>
        <w:lastRenderedPageBreak/>
        <w:t>Trials Register; the Cochrane Central Register of Controlled Trials (CENTRAL); PubMed; EMBASE; CINAHL; Web of Science; ICTRP and additional sources for published and unpublished trials. The date of the search was 28 April 2014. Selection criteria We included randomised or quasi-randomised controlled trials (RCTs) in participants diagnosed with Frey’s syndrome using a clinical standard such as Minor’s starch-iodine test. We planned to include trials in which participants received any intervention versus no treatment (observation) or an alternative intervention, with or without a second active treatment. Our primary outcome measures were success rate (as assessed clinically byMinor’s starch-iodine test, the iodine-sublimated paper histogrammethod, blotting paper technique or another method) and adverse events. Our secondary outcome measure was success rate as assessed by patients (disappearance or improvement of symptoms). Data collection and analysis We used the standard methodological procedures expected by The Cochrane Collaboration. Main results We identified no RCTs or quasi-RCTs that fulfilled the inclusion criteria. Our searches retrieved eight potentially relevant studies, but after assessment of the full-text reports we excluded all of them due to the absence of randomisation or because the patients did not have Frey’s syndrome. We excluded one randomised controlled trial that compared two different doses of botulinum toxin in patients with Frey’s syndrome because the comparator was not an alternative treatment. Authors’ conclusions We are unable to establish the efficacy and safety of the different methods used for the treatment of Frey’s syndrome. RCTs are urgently needed to assess the effectiveness of interventions for the treatment of Frey’s syndrome. Future RCTs should include patients with Frey’s syndrome of different ranges of severity and report these patients separately. Studies should investigate all possibly effective treatments (such as anticholinergics, antiperspirants and botulinum toxin) compared to control groups using different treatments or placebo. Subjective assessment of Frey’s syndrome should be considered as one of the outcome measures.</w:t>
      </w:r>
    </w:p>
    <w:p w:rsidR="008631E9" w:rsidRDefault="008631E9" w:rsidP="008631E9">
      <w:pPr>
        <w:pStyle w:val="a3"/>
        <w:rPr>
          <w:kern w:val="0"/>
        </w:rPr>
      </w:pPr>
      <w:r>
        <w:rPr>
          <w:kern w:val="0"/>
        </w:rPr>
        <w:t xml:space="preserve">Keywords: Active, Adverse Events, Alternative, Analysis, Application, Assessment, Autonomic Nerve, Botulinum Toxin, Botulinum-Toxin-A, Clinical, Cochrane Collaboration, Collaboration, Collection, Control, Control Groups, Controlled Trial, Criteria, Data, Data Collection, Dissection, Double-Blind Evaluation, Effectiveness, Efficacy, Efficacy And Safety, Embase, Events, Groups, Hyperhidrosis, Improvement, Infection, Injections, Injury, Intervention, Interventions, Management, Measure, Measures, Methods, Neck, Observation, Options, Outcome, Outcome Measure, Outcome Measures, Parotid Surgery, Patients, Placebo, Primary, Procedures, Pubmed, Quality, Randomisation, Randomised, Randomised Controlled Trial, Recommendations, Region, Safety, Science, Search, Search Methods, Snap-25, Sources, Standard, Success, Success Rate, Surgery, Symptoms, Syndrome, Temporal, </w:t>
      </w:r>
      <w:r>
        <w:rPr>
          <w:kern w:val="0"/>
        </w:rPr>
        <w:lastRenderedPageBreak/>
        <w:t>Topical, Topical Glycopyrrolate, Toxin, Traumatic, Traumatic Injury, Treatment, Trial, Web, Web Of Science</w:t>
      </w:r>
    </w:p>
    <w:p w:rsidR="008631E9" w:rsidRDefault="008631E9" w:rsidP="008631E9">
      <w:pPr>
        <w:pStyle w:val="a3"/>
        <w:rPr>
          <w:kern w:val="0"/>
        </w:rPr>
      </w:pPr>
      <w:r>
        <w:rPr>
          <w:rFonts w:hint="eastAsia"/>
          <w:kern w:val="0"/>
        </w:rPr>
        <w:t xml:space="preserve">? </w:t>
      </w:r>
      <w:r>
        <w:rPr>
          <w:kern w:val="0"/>
        </w:rPr>
        <w:t xml:space="preserve">Overdevest, G.M., Jacobs, W., Vleggeert-Lankamp, C., Thome, C., Gunzburg, R. and Peul, W. (2015), Effectiveness of posterior decompression techniques compared with conventional laminectomy for lumbar stenosis.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CD010036</w:t>
      </w:r>
      <w:r>
        <w:rPr>
          <w:kern w:val="0"/>
        </w:rPr>
        <w:t>.</w:t>
      </w:r>
    </w:p>
    <w:p w:rsidR="008631E9" w:rsidRDefault="008631E9" w:rsidP="008631E9">
      <w:pPr>
        <w:pStyle w:val="a3"/>
      </w:pPr>
      <w:r>
        <w:t xml:space="preserve">Full Text: </w:t>
      </w:r>
      <w:hyperlink r:id="rId871" w:history="1">
        <w:r w:rsidR="00D47F73" w:rsidRPr="00D47F73">
          <w:rPr>
            <w:rStyle w:val="a5"/>
          </w:rPr>
          <w:t>2015\Coc Dat Sys Rev2015, CD010036.pdf</w:t>
        </w:r>
      </w:hyperlink>
    </w:p>
    <w:p w:rsidR="008631E9" w:rsidRDefault="008631E9" w:rsidP="008631E9">
      <w:pPr>
        <w:pStyle w:val="a3"/>
        <w:rPr>
          <w:kern w:val="0"/>
        </w:rPr>
      </w:pPr>
      <w:r>
        <w:rPr>
          <w:kern w:val="0"/>
        </w:rPr>
        <w:t xml:space="preserve">Abstract: Background The gold standard treatment for symptomatic lumbar stenosis refractory to conservative management is a facet-preserving laminectomy. New techniques of posterior decompression have been developed to preserve spinal integrity and to minimise tissue damage by limiting bony decompression and avoiding removal of the midline structures (i.e. spinous process, vertebral arch and interspinous and supraspinous ligaments). Objectives To compare the effectiveness of techniques of posterior decompression that limit the extent of bony decompression or avoid removal of posterior midline structures of the lumbar spine versus conventional facet-preserving laminectomy for the treatment of patients with degenerative lumbar stenosis. Search methods An experienced librarian conducted a comprehensive electronic search of the Cochrane Central Register of Controlled Trials (CENTRAL), MEDLINE, EMBASE, Web of Science, and the clinical trials registries ClinicalTrials.gov and World Health Organization International Clinical Trials Registry Platform (WHO ICTRP) for relevant literature up to June 2014. Selection criteria We included prospective controlled studies comparing conventional facet-preserving laminectomy versus a posterior decompressive technique that avoids removal of posterior midline structures or a technique involving only partial resection of the vertebral arch. We excluded studies describing techniques of decompression by means of interspinous process devices or concomitant (instrumented) fusion procedures. Participants included individuals with symptomatic degenerative lumbar stenosis only. Data collection and analysis Two review authors independently assessed risk of bias using the Cochrane Back Review Group criteria for randomised controlled trials (RCTs) and the Newcastle-Ottawa Scale for non-randomised studies. We extracted data regarding demographics, intervention details and outcome measures. Main results A total of four high-quality RCTs and six low-quality RCTs met the search criteria of this review. These studies included a total of 733 participants. Investigators compared three different posterior decompression techniques versus conventional laminectomy. Three studies (173 participants) compared unilateral laminotomy for bilateral decompression versus conventional laminectomy. Four studies (382 participants) compared bilateral laminotomy versus conventional laminectomy (one study included three treatment groups and compared unilateral and bilateral laminotomy vs conventional </w:t>
      </w:r>
      <w:r>
        <w:rPr>
          <w:kern w:val="0"/>
        </w:rPr>
        <w:lastRenderedPageBreak/>
        <w:t>laminectomy). Finally, four studies (218 participants) compared a splitspinous process laminotomy versus conventional laminectomy. Evidence of low or very low quality suggests that different techniques of posterior decompression and conventional laminectomy have similar effects on functional disability and leg pain. Only perceived recovery at final follow-up was better in people who underwent bilateral laminotomy compared with conventional laminectomy (two RCTs, 223 participants, odds ratio 5.69, 95% confidence interval (CI) 2.55 to 12.71). Among the secondary outcome measures, unilateral laminotomy for bilateral decompression and bilateral laminotomy resulted in numerically fewer cases of iatrogenic instability, although in both cases, the incidence of instabilitywas low(three RCTs, 166 participants, odds ratio 0.28, 95% CI 0.07 to 1.15; three RCTs, 294 participants, odds ratio 0.10, 95% CI 0.02 to 0.55, respectively). The difference in severity of postoperative low back pain following bilateral laminotomy (two RCTs, 223 participants, mean difference -0.51, 95% CI -0.80 to -0.23) and split-spinous process laminotomy compared with conventional laminectomy (two RCTs, 97 participants, mean difference -1.07, 95% CI -2.15 to -0.00) was significantly less, but was too small to be clinically important. A quantitative comparison between unilateral laminotomy and conventional laminectomy was not possible because of different reporting of outcome measures. We found no evidence to show that the incidence of complications, length of the procedure, length of hospital stay and postoperative walking distance differed between techniques of posterior decompression. Authors’ conclusions The evidence provided by this systematic reviewfor the effects of unilateral laminotomy for bilateral decompression, bilateral laminotomy and split-spinous process laminotomy compared with conventional laminectomy on functional disability, perceived recovery and leg pain is of low or very low quality. Therefore, further research is necessary to establish whether these techniques provide a safe and effective alternative for conventional laminectomy. Proposed advantages of these techniques regarding the incidence of iatrogenic instability and postoperative back pain are plausible, but definitive conclusions are limited by poor methodology and poor reporting of outcome measures among included studies. Future research is necessary to establish the incidence of iatrogenic instability using standardised definitions of radiological and clinical instability at comparable follow-up intervals. Long-termresultswith these techniques are currently lacking.</w:t>
      </w:r>
    </w:p>
    <w:p w:rsidR="008631E9" w:rsidRDefault="008631E9" w:rsidP="008631E9">
      <w:pPr>
        <w:pStyle w:val="a3"/>
        <w:rPr>
          <w:kern w:val="0"/>
        </w:rPr>
      </w:pPr>
      <w:r>
        <w:rPr>
          <w:kern w:val="0"/>
        </w:rPr>
        <w:t xml:space="preserve">Keywords: Alternative, Analysis, Authors, Back Pain, Bias, Bilateral, Bilateral-Decompression, Canal Stenosis, Clinical, Clinical Trials, Collection, Comparison, Complications, Concomitant, Confidence, Conservative, Conservative Management, Conventional, Criteria, Damage, Data, Data Collection, Definitions, Disability, Effectiveness, Effects, Embase, Evidence, Follow-Up, Fusion, Gold, Groups, Health, Hospital, Hospital Stay, Incidence, International, Interval, Intervals, </w:t>
      </w:r>
      <w:r>
        <w:rPr>
          <w:kern w:val="0"/>
        </w:rPr>
        <w:lastRenderedPageBreak/>
        <w:t>Intervention, Length, Literature, Low Back, Low Back Pain, Low-Back-Pain, Management, Measures, Medline, Methodology, Methods, Minimally Invasive Decompression, Odds Ratio, Outcome, Outcome Measures, Pain, Patients, Postoperative, Procedure, Procedures, Process-Splitting Laminectomy, Prospective, Quality, Randomised, Randomised Controlled Trials, Randomized Controlled-Trial, Recovery, Registries, Removal, Reporting, Research, Review, Risk, Scale, Science, Search, Search Methods, Small, Spinal, Spinal Stenosis, Spine, Standard, Stenosis, Systematic, Techniques, Treatment, Undercutting Decompression, Unilateral, Unilateral-Laminotomy, Updated Method Guidelines, Walking, Web, Web Of Science, Who, World Health Organization</w:t>
      </w:r>
    </w:p>
    <w:p w:rsidR="008631E9" w:rsidRDefault="008631E9" w:rsidP="008631E9">
      <w:pPr>
        <w:pStyle w:val="a3"/>
        <w:rPr>
          <w:kern w:val="0"/>
        </w:rPr>
      </w:pPr>
      <w:r>
        <w:rPr>
          <w:rFonts w:hint="eastAsia"/>
          <w:kern w:val="0"/>
        </w:rPr>
        <w:t xml:space="preserve">? </w:t>
      </w:r>
      <w:r>
        <w:rPr>
          <w:kern w:val="0"/>
        </w:rPr>
        <w:t xml:space="preserve">Ohlsson, A. and Shah, P.S. (2015), Paracetamol (acetaminophen) for patent ductus arteriosus in preterm or low-birth-weight infants.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CD010061</w:t>
      </w:r>
      <w:r>
        <w:rPr>
          <w:kern w:val="0"/>
        </w:rPr>
        <w:t>.</w:t>
      </w:r>
    </w:p>
    <w:p w:rsidR="008631E9" w:rsidRDefault="008631E9" w:rsidP="008631E9">
      <w:pPr>
        <w:pStyle w:val="a3"/>
      </w:pPr>
      <w:r>
        <w:t xml:space="preserve">Full Text: </w:t>
      </w:r>
      <w:hyperlink r:id="rId872" w:history="1">
        <w:r w:rsidR="00D47F73" w:rsidRPr="00D47F73">
          <w:rPr>
            <w:rStyle w:val="a5"/>
          </w:rPr>
          <w:t>2015\Coc Dat Sys Rev2015, CD010061.pdf</w:t>
        </w:r>
      </w:hyperlink>
    </w:p>
    <w:p w:rsidR="008631E9" w:rsidRDefault="008631E9" w:rsidP="008631E9">
      <w:pPr>
        <w:pStyle w:val="a3"/>
        <w:rPr>
          <w:kern w:val="0"/>
        </w:rPr>
      </w:pPr>
      <w:r>
        <w:rPr>
          <w:kern w:val="0"/>
        </w:rPr>
        <w:t xml:space="preserve">Abstract: Background In preterm newborns, the ductus arteriosus frequently fails to close and the infants require medical or surgical closure of the patent ductus arteriosus (PDA). A PDA can be treated surgically or medically with one of two prostaglandin inhibitors, indomethacin or ibuprofen. Case reports suggest that paracetamol may be an alternative for the closure of a PDA. Concerns have been raised that in neonatal mice paracetamol may cause adverse effects on the developing brain, and an association between prenatal exposure to paracetamol and later development of autism or autism spectrum disorder has been reported. Objectives To determine the efficacy and safety of intravenous or oral paracetamol compared with placebo or no intervention, intravenous indomethacin, intravenous or oral ibuprofen, or with other cyclo-oxygenase inhibitors for closure of a PDA in preterm or low-birthweight infants. Search methods We used the standard search strategy of the Cochrane Neonatal Review Group. This included electronic searches of theCochraneCentral Register of Controlled Trials (CENTRAL, Cochrane Library), MEDLINE, EMBASE and CINAHL. We searched abstracts from the meetings of the Pediatric Academic Societies and the Perinatal Society of Australia and New Zealand. We searched clinicaltrials. gov; controlled-trials.com; anzctr.org.au; World Health Organization International Clinical Trials Registry Platform at who.int/ictrp for ongoing trials and the Web of Science for articles quoting identified randomised controlled trials. We searched the first 200 hits on Google Scholar TM to identify grey literature. All searches were conducted in December 2013. A repeat search of MEDLINE in August 2014 did not identify any new trials. Selection criteria We identified two randomised controlled trials (RCTs) that compared oral paracetamol to oral ibuprofen for the treatment of an echocardiographically diagnosed PDA in infants born preterm (&lt;= 34 weeks postmenstrual age (PMA)). Data collection and </w:t>
      </w:r>
      <w:r>
        <w:rPr>
          <w:kern w:val="0"/>
        </w:rPr>
        <w:lastRenderedPageBreak/>
        <w:t>analysis We performed data collection and analyses in accordance with the methods of the Cochrane Neonatal Review Group. Main results Two unmasked studies of treatment of PDA that enrolled 250 infants were included. The sequence of randomisation and the allocation to treatment groups were concealed in both studies. In one study the cardiologist assessing PDA closure was blinded to group allocation of the infant. In the other study it was not stated if that was the case or not. The quality of the trials, using GRADE, was low for the primary outcome of PDA closure and moderate for all other important outcomes. There was no significant difference between treatment with oral paracetamol versus oral ibuprofen for failure of ductal closure after the first course of drug administration (typical relative risk (RR) 0.90, 95% confidence interval (CI) 0.67 to 1.22; typical risk difference (RD) -0.04, 95% CI -0.16 to 0.08; I-2 = 0 % for RR and 23% for RD). There were no significant differences between the paracetamol and the ibuprofen groups in the secondary outcomes except for ‘ duration for need of supplemental oxygen’ (mean difference -12 days, 95% CI -23 days to -2 days; 1 study, n = 90) and for hyperbilirubinaemia (RR 0.57, 95% CI 0.34 to 0.97; RD -0.15, 95% CI -0.29 to -0.01; number needed to treat to benefit (NNTB) 7, 95% CI 3 to 100 in favour of paracetamol; 1 study, n = 160). Authors’ conclusions Although a limited number of infants with a PDA have been studied in randomised trials of low to moderate quality according to GRADE, oral paracetamol appears to be as effective in closing a PDA as oral ibuprofen. In view of a recent report in mice of adverse effects on the developing brain from paracetamol, and another report of an association between prenatal paracetamol and the development of autism or autism spectrum disorder in childhood, long-term follow-up to at least 18 to 24 months postnatal age must be incorporated in any studies of paracetamol in the newborn population. Such trials are required before any recommendations for the use of paracetamol in the newborn population can be made.</w:t>
      </w:r>
    </w:p>
    <w:p w:rsidR="008631E9" w:rsidRDefault="008631E9" w:rsidP="008631E9">
      <w:pPr>
        <w:pStyle w:val="a3"/>
        <w:rPr>
          <w:kern w:val="0"/>
        </w:rPr>
      </w:pPr>
      <w:r>
        <w:rPr>
          <w:kern w:val="0"/>
        </w:rPr>
        <w:t xml:space="preserve">Keywords: Abstracts, Academic, Acetaminophen, Administration, Adverse Effects, Age, Allocation, Alternative, Analyses, Analysis, Articles, Assessing, Association, Australia, Brain, Case Reports, Childhood, Clinical Trials, Closure, Collection, Confidence, Course, Criteria, Cyclooxygenase, Cyclooxygenase Inhibitors, Data, Data Collection, Developing, Development, Drug, Drug Administration, Ductus Arteriosus, Duration, Effects, Efficacy, Efficacy And Safety, Embase, Exposure, Failure, First, Follow-Up, From, Google, Google Scholar, Grade, Groups, Health, Indomethacin, Infant, Infants, Inhibitors, International, Interval, Intervention, Intravenous, Library, Literature, Long Term, Long-Term, Long-Term Follow-Up, Low Birth Weight, Low Birthweight, Low Birthweight Infants, Medical, Medline, Methods, Mice, Neonatal, New Zealand, Newborn, Newborns, Number Needed To Treat, Oral, Outcome, Outcomes, Oxygen, Paracetamol, Patent, Patent Ductus Arteriosus, Pediatric, Placebo, Population, Postnatal, Prenatal, Preterm, Preterm </w:t>
      </w:r>
      <w:r>
        <w:rPr>
          <w:kern w:val="0"/>
        </w:rPr>
        <w:lastRenderedPageBreak/>
        <w:t>Newborns, Primary, Prostaglandin, Quality, Quality Of, Randomisation, Randomised, Randomised Controlled Trials, Recent, Recommendations, Relative Risk, Review, Risk, Safety, Science, Search, Search Methods, Search Strategy, Standard, Strategy, Treatment, Web, Web Of Science, World Health Organization</w:t>
      </w:r>
    </w:p>
    <w:p w:rsidR="008631E9" w:rsidRDefault="008631E9" w:rsidP="008631E9">
      <w:pPr>
        <w:pStyle w:val="a3"/>
        <w:rPr>
          <w:kern w:val="0"/>
        </w:rPr>
      </w:pPr>
      <w:r>
        <w:rPr>
          <w:rFonts w:hint="eastAsia"/>
          <w:kern w:val="0"/>
        </w:rPr>
        <w:t xml:space="preserve">? </w:t>
      </w:r>
      <w:r>
        <w:rPr>
          <w:kern w:val="0"/>
        </w:rPr>
        <w:t xml:space="preserve">Norhayati, M.N., Ho, J.J. and Azman, M.Y. (2015), Influenza vaccines for preventing acute otitis media in infants and children.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UNSP CD010089</w:t>
      </w:r>
      <w:r>
        <w:rPr>
          <w:kern w:val="0"/>
        </w:rPr>
        <w:t>.</w:t>
      </w:r>
    </w:p>
    <w:p w:rsidR="008631E9" w:rsidRDefault="008631E9" w:rsidP="008631E9">
      <w:pPr>
        <w:pStyle w:val="a3"/>
      </w:pPr>
      <w:r>
        <w:t xml:space="preserve">Full Text: </w:t>
      </w:r>
      <w:hyperlink r:id="rId873" w:history="1">
        <w:r w:rsidR="00D47F73" w:rsidRPr="00D47F73">
          <w:rPr>
            <w:rStyle w:val="a5"/>
          </w:rPr>
          <w:t>2015\Coc Dat Sys Rev2015, UNSP CD010089.pdf</w:t>
        </w:r>
      </w:hyperlink>
    </w:p>
    <w:p w:rsidR="008631E9" w:rsidRDefault="008631E9" w:rsidP="008631E9">
      <w:pPr>
        <w:pStyle w:val="a3"/>
        <w:rPr>
          <w:kern w:val="0"/>
        </w:rPr>
      </w:pPr>
      <w:r>
        <w:rPr>
          <w:kern w:val="0"/>
        </w:rPr>
        <w:t xml:space="preserve">Abstract: Background Acute otitis media (AOM) is one of the most common infectious diseases in children. It has been reported that 64% of infants have an episode of AOM by the age of six months and 86% by one year. Although most cases of AOM are due to bacterial infection, it is commonly triggered by a viral infection. In most children it is self limiting, but it does carry a risk of complications. Since antibiotic treatment increases the risk of antibiotic resistance, influenza vaccines might be an effective way of reducing this risk by preventing the development of AOM. Objectives To assess the effectiveness of influenza vaccine in reducing the occurrence of acute otitis media (AOM) in infants and children. Search methods We searched CENTRAL (2014, Issue 6), MEDLINE (1946 to July week 1, 2014), EMBASE (2010 to July 2014), CINAHL (1981 to July 2014), LILACS (1982 to July 2014), Web of Science (1955 to July 2014) and reference lists of articles to July 2014. Selection criteria Randomised controlled trials (RCTs) comparing influenza vaccine with placebo or no treatment in infants and children aged younger than six years old. We included children of either sex and of any ethnicity, with or without a history of recurrent AOM. Data collection and analysis Two review authors independently screened studies, assessed trial quality and extracted data. We performed statistical analyses using the random-effects and fixed-effect models and expressed the results as risk ratio (RR), risk difference (RD) and number needed to treat to benefit (NNTB) for dichotomous outcomes, with 95% confidence intervals (CI). Main results We included 10 trials (six trials in high-income countries and four multicentre trials in high-, middle-and low-income countries) involving 16,707 children aged six months to six years. Eight trials recruited participants from a healthcare setting. Nine trials (and all five trials that contributed to the primary outcome) declared funding from vaccine manufacturers. Four trials reported adequate allocation concealment and nine trials reported adequate blinding of participants and personnel. Attrition was low for all trials included in the analysis. The primary outcome showed a small reduction in at least one episode of AOM over at least six months of follow-up (five trials, 4736 participants: RR 0.80, 95% CI 0.67 to 0.96; RD -0.04, 95% CI -0.07 to -0.02; NNTB 25, 95% CI 15 to 50). The subgroup analyses (i. e. number of courses, settings, seasons or types of vaccine administered) showed no differences. There was a </w:t>
      </w:r>
      <w:r>
        <w:rPr>
          <w:kern w:val="0"/>
        </w:rPr>
        <w:lastRenderedPageBreak/>
        <w:t>reduction in the use of antibiotics in vaccinated children (two trials, 1223 participants: RR 0.70, 95% CI 0.59 to 0.83; RD -0.15, 95% CI -0.30 to -0.00). There was no significant difference in the utilisation of health care for the one trial that provided sufficient information to be included. The use of influenza vaccine resulted in a significant increase in fever (six trials, 10,199 participants: RR 1.15, 95% CI 1.06 to 1.24; RD 0.02, 95% CI -0.00 to 0.05) and rhinorrhoea (six trials, 10,563 children: RR 1.17, 95% CI 1.07 to 1.29; RD 0.09, 95% CI 0.01 to 0.16) but no difference in pharyngitis. No major adverse events were reported. Compared to the protocol, the review included a subgroup analysis of AOM episodes by season, and changed the types of influenza vaccine from a secondary outcome to a subgroup analysis. Authors’ conclusions Influenza vaccine results in a small reduction in AOM. The observed reduction with the use of antibiotics needs to be considered in the light of current recommended practices aimed at avoiding antibiotic overuse. Safety data from these trials are limited. The benefits may not justify the use of influenza vaccine without taking into account the vaccine efficacy in reducing influenza and safety data. The quality of the evidence was high to moderate. Additional research is needed.</w:t>
      </w:r>
    </w:p>
    <w:p w:rsidR="008631E9" w:rsidRDefault="008631E9" w:rsidP="008631E9">
      <w:pPr>
        <w:pStyle w:val="a3"/>
        <w:rPr>
          <w:kern w:val="0"/>
        </w:rPr>
      </w:pPr>
      <w:r>
        <w:rPr>
          <w:kern w:val="0"/>
        </w:rPr>
        <w:t>Keywords: A Vaccine, Adverse Events, Age, Age Safety, Aged, Allocation, Analyses, Analysis, Antibiotic Resistance, Antibiotics, Articles, Authors, Bacterial Infection, Benefits, Care, Children, Collection, Complications, Confidence, Confidence Intervals, Criteria, Culture-Confirmed Influenza, Data, Data Collection, Day-Care, Development, Diseases, Effectiveness, Efficacy, Embase, Ethnicity, Events, Evidence, Fever, Follow-Up, From, Funding, Health, Health Care, History, Infants, Infection, Infectious Diseases, Influenza, Information, Intervals, Live, Media, Medline, Methods, Middle-Ear Fluid, Models, Needs, Number Needed To Treat, Outcome, Outcomes, Personnel, Pharyngitis, Placebo, Pneumococcal Conjugate Vaccine, Practices, Primary, Protocol, Quality, Quality Of, Randomised Controlled Trials, Recurrent, Reduction, Reference, Reference Lists, Research, Resistance, Respiratory-Tract Infections, Review, Risk, Risk-Factors, Safety, Science, Search, Search Methods, Season, Seasons, Self, Sex, Small, Statistical Analyses, Treatment, Trial, Utilisation, Vaccine, Vaccines, Viral, Web, Web Of Science, Young-Children</w:t>
      </w:r>
    </w:p>
    <w:p w:rsidR="008631E9" w:rsidRDefault="008631E9" w:rsidP="008631E9">
      <w:pPr>
        <w:pStyle w:val="a3"/>
        <w:rPr>
          <w:kern w:val="0"/>
        </w:rPr>
      </w:pPr>
      <w:r>
        <w:rPr>
          <w:rFonts w:hint="eastAsia"/>
          <w:kern w:val="0"/>
        </w:rPr>
        <w:t xml:space="preserve">? </w:t>
      </w:r>
      <w:r>
        <w:rPr>
          <w:kern w:val="0"/>
        </w:rPr>
        <w:t xml:space="preserve">Barclay, R.E., Stevenson, T.J., Poluha, W., Ripat, J., Nett, C. and Srikesavan, C.S. (2015), Interventions for improving community ambulation in individuals with stroke.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UNSP CD010200</w:t>
      </w:r>
      <w:r>
        <w:rPr>
          <w:kern w:val="0"/>
        </w:rPr>
        <w:t>.</w:t>
      </w:r>
    </w:p>
    <w:p w:rsidR="008631E9" w:rsidRDefault="008631E9" w:rsidP="008631E9">
      <w:pPr>
        <w:pStyle w:val="a3"/>
      </w:pPr>
      <w:r>
        <w:t xml:space="preserve">Full Text: </w:t>
      </w:r>
      <w:hyperlink r:id="rId874" w:history="1">
        <w:r w:rsidR="00D47F73" w:rsidRPr="00D47F73">
          <w:rPr>
            <w:rStyle w:val="a5"/>
          </w:rPr>
          <w:t>2015\Coc Dat Sys Rev2015, UNSP CD010200.pdf</w:t>
        </w:r>
      </w:hyperlink>
    </w:p>
    <w:p w:rsidR="008631E9" w:rsidRDefault="008631E9" w:rsidP="008631E9">
      <w:pPr>
        <w:pStyle w:val="a3"/>
        <w:rPr>
          <w:kern w:val="0"/>
        </w:rPr>
      </w:pPr>
      <w:r>
        <w:rPr>
          <w:kern w:val="0"/>
        </w:rPr>
        <w:t xml:space="preserve">Abstract: Background Community ambulation refers to the ability of a person to walk in their own community, outside of their home and also indoors in private or public locations. Some people choose to walk for exercise or leisure and may walk with others as an important aspect of social functioning. Community ambulation is </w:t>
      </w:r>
      <w:r>
        <w:rPr>
          <w:kern w:val="0"/>
        </w:rPr>
        <w:lastRenderedPageBreak/>
        <w:t xml:space="preserve">therefore an important skill for stroke survivors living in the community whose walking ability has been affected. Objectives To determine: (1) whether interventions improve community ambulation for stroke survivors, and (2) if any specific intervention method improves community ambulation more than other interventions. Search methods We searched the Cochrane Stroke Group Trials Register (September 2014), the Cochrane Central Register of Controlled Trials (CENTRAL) (November 2013), PubMed (1946 to November 2013), EMBASE (1980 to November 2013), CINAHL (1982 to November 2013), PsycINFO(1887 to November 2013), Scopus (1960 to November 2013), Web of Science (1900 to November 2013), SPORTDiscus (1975 to November 2013), and PEDro, CIRRIE and REHABDATA (November 2013). We also searched ongoing trials registers (November 2013) and reference lists, and performed a cited reference search. Selection criteria Selection criteria included parallel-group randomised controlled trials (RCTs) and cross-over RCTs, studies in which participants are adult (aged 18 years or more) stroke survivors, and interventions that were aimed at improving community ambulation. We defined the primary outcome as participation; secondary outcomes included activity level outcomes related to gait and self-efficacy. Data collection and analysis One review author independently screened titles. Two review authors screened abstracts and full text articles, with a third review author was available to resolve any disagreements. Two review authors extracted data and assessed risk of bias. All outcomes were continuous. The analysis for the primary outcome used the generic inverse variance methods for meta-analysis, using the standardised mean difference (SMD) and standard error (SE) from the participation outcomes. Analyses for secondary outcomes all used SMD or mean difference (MD). We completed analyses for each outcome with all studies, and by type of community ambulation intervention (community or outdoor ambulation practice, virtual practice, and imagery practice). We considered trials for each outcome to be of low quality due to some trial design considerations, such as who knew what group the participants were in, and the number of people who dropped out of the studies. Main results We included five studies involving 266 participants (136 intervention; 130 control). All participants were adult stroke survivors, living in the community or a care home. Programmes to improve community ambulation consisted of walking practice in a variety of settings and environments in the community, or an indoor activity that mimicked community walking (including virtual reality or mental imagery). Three studies were funded by government agencies, and two had no funding. From two studies of 198 people there was low quality evidence for the effect of intervention on participation compared with control (SMD, 0.08, 95% confidence interval (CI) -0.20 to 0.35 (using inverse variance). The CI for the effect of the intervention on gait speed was wide and does not exclude no difference (MD 0.12, 95% CI -0.01 to 0.24; four studies, 98 </w:t>
      </w:r>
      <w:r>
        <w:rPr>
          <w:kern w:val="0"/>
        </w:rPr>
        <w:lastRenderedPageBreak/>
        <w:t>participants, low quality evidence). We considered the quality of the evidence to be low for all the remaining outcomes in our review: Community Walk Test (MD -6.35, 95% CI -21.59 to 8.88); Walking Ability Questionnaire (MD 0.53, 95% CI -5.59 to 6.66); Six-Minute Walk Test (MD 39.62 metres, 95% CI -8.26 to 87.51) and self-efficacy (SMD 0.32, 95% CI -0.09 to 0.72). We downgraded the quality of the evidence because of a high risk of bias and imprecision. Authors’ conclusions There is currently insufficient evidence to establish the effect of community ambulation interventions or to support a change in clinical practice. More research is needed to determine if practicing outdoor or community walking will improve participation and community ambulation skills for stroke survivors living in the community.</w:t>
      </w:r>
    </w:p>
    <w:p w:rsidR="008631E9" w:rsidRDefault="008631E9" w:rsidP="008631E9">
      <w:pPr>
        <w:pStyle w:val="a3"/>
        <w:rPr>
          <w:kern w:val="0"/>
        </w:rPr>
      </w:pPr>
      <w:r>
        <w:rPr>
          <w:kern w:val="0"/>
        </w:rPr>
        <w:t>Keywords: 6-Minute Walk Test, Abstracts, Activity, Activity Level, Adult, Aged, Analyses, Analysis, Articles, Authors, Bias, Care, Clinical, Clinical Practice, Collection, Community, Confidence, Control, Criteria, Data, Data Collection, Design, Embase, Error, Evidence, Exercise, From, Funding, Gait, Gait Speed, Imagery, Interval, Intervention, Interventions, Living, Mental Imagery, Meta Analysis, Meta-Analysis, Metaanalysis, Methods, Older-Adults, Outcome, Outcomes, Outdoor Mobility, Participation, Person, Poststroke, Practice, Primary, Public, Pubmed, Quality, Quality Of, Questionnaire, Randomised, Randomised Controlled Trials, Randomized Controlled-Trial, Reference, Reference Lists, Research, Review, Risk, Scale, Science, Scopus, Se, Search, Search Methods, Social, Standard, Stroke, Support, Test, Trial, Validity, Virtual Reality, Walking, Web, Web Of Science</w:t>
      </w:r>
    </w:p>
    <w:p w:rsidR="008631E9" w:rsidRDefault="008631E9" w:rsidP="008631E9">
      <w:pPr>
        <w:pStyle w:val="a3"/>
        <w:rPr>
          <w:kern w:val="0"/>
        </w:rPr>
      </w:pPr>
      <w:r>
        <w:rPr>
          <w:rFonts w:hint="eastAsia"/>
          <w:kern w:val="0"/>
        </w:rPr>
        <w:t xml:space="preserve">? </w:t>
      </w:r>
      <w:r>
        <w:rPr>
          <w:kern w:val="0"/>
        </w:rPr>
        <w:t xml:space="preserve">Liu, F., Ouyang, J., Sharma, A.N., Liu, S.Q., Yang, B., Xiong, W. and Xu, R.F. (2015), Leukotriene inhibitors for bronchiolitis in infants and young children.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7C38BE">
        <w:rPr>
          <w:kern w:val="0"/>
        </w:rPr>
        <w:t>CD010636</w:t>
      </w:r>
      <w:r>
        <w:rPr>
          <w:kern w:val="0"/>
        </w:rPr>
        <w:t>.</w:t>
      </w:r>
    </w:p>
    <w:p w:rsidR="008631E9" w:rsidRDefault="008631E9" w:rsidP="008631E9">
      <w:pPr>
        <w:pStyle w:val="a3"/>
      </w:pPr>
      <w:r>
        <w:t xml:space="preserve">Full Text: </w:t>
      </w:r>
      <w:hyperlink r:id="rId875" w:history="1">
        <w:r w:rsidR="00D47F73" w:rsidRPr="00D47F73">
          <w:rPr>
            <w:rStyle w:val="a5"/>
          </w:rPr>
          <w:t>2015\Coc Dat Sys Rev2015, CD010636.pdf</w:t>
        </w:r>
      </w:hyperlink>
    </w:p>
    <w:p w:rsidR="008631E9" w:rsidRDefault="008631E9" w:rsidP="008631E9">
      <w:pPr>
        <w:pStyle w:val="a3"/>
        <w:rPr>
          <w:kern w:val="0"/>
        </w:rPr>
      </w:pPr>
      <w:r>
        <w:rPr>
          <w:kern w:val="0"/>
        </w:rPr>
        <w:t xml:space="preserve">Abstract: Background Bronchiolitis is an acute inflammatory illness of the bronchioles common among infants and young children. It is often caused by the respiratory syncytial virus (RSV). Management of bronchiolitis varies between clinicians, reflecting the lack of evidence for a specific treatment approach. The leukotriene pathway has been reported to be involved in the pathogenesis of bronchiolitis. Leukotriene inhibitors such as montelukast have been used in infants and young children with bronchiolitis. However, the results from limited randomised controlled trials (RCTs) are controversial and necessitate a thorough evaluation of their efficacy for bronchiolitis in infants and young children. Objectives To assess the efficacy and safety of leukotriene inhibitors for bronchiolitis in infants and young children. Search methods We searched CENTRAL (2014, Issue 5), MEDLINE (1946 to April week 4, 2014), EMBASE (1974 to May 2014), CINAHL (1981 to May 2014), LILACS (1982 to May 2014), Web of Science (1985 to May 2014), WHO ICTRP and ClinicalTrials.gov (6 May 2014). Selection criteria RCTs comparing leukotriene </w:t>
      </w:r>
      <w:r>
        <w:rPr>
          <w:kern w:val="0"/>
        </w:rPr>
        <w:lastRenderedPageBreak/>
        <w:t xml:space="preserve">inhibitors versus placebo or another intervention in infants and young children under two years of age diagnosed with bronchiolitis. Our primary outcomes were length of hospital stay and all-cause mortality. Secondary outcomes included clinical severity score, percentage of symptom-free days, percentage of children requiring ventilation, oxygen saturation, recurrent wheezing, respiratory rate and clinical adverse effects. Data collection and analysis We used standard Cochrane Collaboration methodological practices. Two authors independently assessed trial eligibility and extracted data, such as general information, participant characteristics, interventions and outcomes. We assessed risk of bias and graded the quality of the evidence. We used Review Manager software to pool results and chose random-effects models for meta-analysis. Main results We included five studies with a total of 1296 participants under two years of age hospitalised with bronchiolitis. Two studies with low risk of bias compared 4 mg montelukast (a leukotriene inhibitor) daily use from admission until discharge with a matching placebo. Both selected length of hospital stay as a primary outcome and clinical severity score as a secondary outcome. However, the effects of leukotriene inhibitors on length of hospital stay and clinical severity score were uncertain due to considerable heterogeneity between the study results and wide confidence intervals around the estimated effects (hospital stay: mean difference (MD) -0.95 days, 95% confidence interval (CI) -3.08 to 1.19, P value = 0.38, low quality evidence; clinical severity score on day two: MD -0.57, 95% CI 2.37 to 1.23, P value = 0.53, low quality evidence; clinical severity score on day three: MD 0.17, 95% CI -1.93 to 2.28, P value = 0.87, low quality evidence). The other three studies compared montelukast for several weeks for preventing post-bronchiolitis symptoms with placebo. We assessed one study as low risk of bias, whereas we assessed the other two studies as having a high risk of attrition bias. Due to the significant clinical heterogeneity in severity of disease, duration of treatment, outcome measurements and timing of assessment, we did not pool the results. Individual analyses of these studies did not show significant differences between the leukotriene inhibitors group and the control group in symptom-free days and incidence of recurrent wheezing. One study of 952 children reported two deaths in the leukotriene inhibitors group: neither was determined to be drug-related. No data were available on the percentage of children requiring ventilation, oxygen saturation and respiratory rate. Finally, three studies reported adverse events including diarrhoea, wheezing shortly after administration and rash. No differences were reported between the study groups. Authors’ conclusions The current evidence does not allow definitive conclusions to be made about the effects of leukotriene inhibitors on length of hospital stay and clinical severity score in infants and young children with bronchiolitis. The quality of the evidence was low due to inconsistency (unexplained high levels of statistical heterogeneity) and imprecision arising from small sample sizes and wide confidence </w:t>
      </w:r>
      <w:r>
        <w:rPr>
          <w:kern w:val="0"/>
        </w:rPr>
        <w:lastRenderedPageBreak/>
        <w:t>intervals, which did not rule out a null effect or harm. Data on symptom-free days and incidence of recurrent wheezing were from single studies only. Further large studies are required. We identified one registered ongoing study, which may make a contribution in the updates of this review.</w:t>
      </w:r>
    </w:p>
    <w:p w:rsidR="008631E9" w:rsidRDefault="008631E9" w:rsidP="008631E9">
      <w:pPr>
        <w:pStyle w:val="a3"/>
        <w:rPr>
          <w:kern w:val="0"/>
        </w:rPr>
      </w:pPr>
      <w:r>
        <w:rPr>
          <w:kern w:val="0"/>
        </w:rPr>
        <w:t>Keywords: Administration, Adverse Effects, Adverse Events, Age, All-Cause Mortality, Analyses, Analysis, Approach, Assessment, Asthma-Like Symptoms, Attrition, Authors, Bias, Characteristics, Children, Clinical, Cochrane Collaboration, Collaboration, Collection, Confidence, Confidence Intervals, Contribution, Control, Criteria, Data, Data Collection, Diarrhoea, Discharge, Disease, Duration, Effects, Efficacy, Efficacy And Safety, Embase, Evaluation, Events, Evidence, Exhaled Nitric-Oxide, From, General, Groups, Heterogeneity, Hospital, Hospital Stay, Hospitalised, Incidence, Infants, Information, Inhibitor, Inhibitors, Interval, Intervals, Intervention, Interventions, Length, Low Risk, Lung-Function, Management, Matching, Medline, Meta Analysis, Meta-Analysis, Metaanalysis, Methods, Models, Montelukast, Mortality, Outcome, Outcomes, Oxygen, Oxygen Saturation, P, Pathogenesis, Placebo, Practices, Preschool-Children, Primary, Quality, Quality Of, Randomised, Randomised Controlled Trials, Randomized-Trial, Recurrent, Respiratory Symptoms, Review, Risk, Safety, Saturation, Science, Search, Search Methods, Small, Software, Standard, Symptoms, Syncytial Virus Bronchiolitis, Timing, Treatment, Trial, Value, Ventilation, Web, Web Of Science, Wheezing, Who, Young</w:t>
      </w:r>
    </w:p>
    <w:p w:rsidR="008631E9" w:rsidRDefault="008631E9" w:rsidP="008631E9">
      <w:pPr>
        <w:pStyle w:val="a3"/>
        <w:rPr>
          <w:kern w:val="0"/>
        </w:rPr>
      </w:pPr>
      <w:r>
        <w:rPr>
          <w:rFonts w:hint="eastAsia"/>
          <w:kern w:val="0"/>
        </w:rPr>
        <w:t xml:space="preserve">? </w:t>
      </w:r>
      <w:r>
        <w:rPr>
          <w:kern w:val="0"/>
        </w:rPr>
        <w:t xml:space="preserve">Harrison, J.K., Fearon, P., Noel-Storr, A.H., McShane, R., Stott, D.J. and Quinn, T.J. (2015), Informant Questionnaire on Cognitive Decline in the Elderly (IQCODE) for the diagnosis of dementia within a secondary care setting.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CD010772</w:t>
      </w:r>
      <w:r>
        <w:rPr>
          <w:kern w:val="0"/>
        </w:rPr>
        <w:t>.</w:t>
      </w:r>
    </w:p>
    <w:p w:rsidR="008631E9" w:rsidRDefault="008631E9" w:rsidP="008631E9">
      <w:pPr>
        <w:pStyle w:val="a3"/>
      </w:pPr>
      <w:r>
        <w:t xml:space="preserve">Full Text: </w:t>
      </w:r>
      <w:hyperlink r:id="rId876" w:history="1">
        <w:r w:rsidRPr="008631E9">
          <w:rPr>
            <w:rStyle w:val="a5"/>
          </w:rPr>
          <w:t>2015\Coc Dat Sys Rev2015, CD010772.pdf</w:t>
        </w:r>
      </w:hyperlink>
    </w:p>
    <w:p w:rsidR="008631E9" w:rsidRDefault="008631E9" w:rsidP="008631E9">
      <w:pPr>
        <w:pStyle w:val="a3"/>
        <w:rPr>
          <w:kern w:val="0"/>
        </w:rPr>
      </w:pPr>
      <w:r>
        <w:rPr>
          <w:kern w:val="0"/>
        </w:rPr>
        <w:t xml:space="preserve">Abstract: Background The diagnosis of dementia relies on the presence of new-onset cognitive impairment affecting an individual’s functioning and activities of daily living. The Informant Questionnaire on Cognitive Decline in the Elderly (IQCODE) is a questionnaire instrument, completed by a suitable ‘informant’ who knows the patient well, designed to assess change in functional performance secondary to cognitive change; it is used as a tool to identifying those who may have dementia. In secondary care there are two specific instances where patients may be assessed for the presence of dementia. These are in the general acute hospital setting, where opportunistic screening may be undertaken, or in specialist memory services where individuals have been referred due to perceived cognitive problems. To ensure an instrument is suitable for diagnostic use in these settings, its test accuracy must be established. Objectives To determine the diagnostic accuracy of the informant-based questionnaire IQCODE, for detection of all-cause (undifferentiated) dementia in </w:t>
      </w:r>
      <w:r>
        <w:rPr>
          <w:kern w:val="0"/>
        </w:rPr>
        <w:lastRenderedPageBreak/>
        <w:t xml:space="preserve">adults presenting to secondary-care services. Search methods We searched the following sources on the 28th of January 2013: ALOIS (Cochrane Dementia and Cognitive Improvement Group), MEDLINE (Ovid SP), EMBASE (Ovid SP), PsycINFO (Ovid SP), BIOSIS Previews (Thomson Reuters Web of Science), Web of Science Core Collection (includes Conference Proceedings Citation Index) (Thomson Reuters Web of Science), CINAHL (EBSCOhost) and LILACS (BIREME). We also searched sources specific to diagnostic test accuracy: MEDION (Universities of Maastricht and Leuven); DARE (Database of Abstracts of Reviews of Effects - via the Cochrane Library); HTA Database (Health Technology Assessment Database via the Cochrane Library) and ARIF (Birmingham University). We also checked reference lists of relevant studies and reviews, used searches of known relevant studies in PubMed to track related articles, and contacted research groups conducting work on IQCODE for dementia diagnosis to try to find additional studies. We developed a sensitive search strategy; search terms were designed to cover key concepts using several different approaches run in parallel and included terms relating to cognitive tests, cognitive screening and dementia. We used standardised database subject headings such as MeSH terms (in MEDLINE) and other standardised headings (controlled vocabulary) in other databases, as appropriate. Selection criteria We selected those studies performed in secondary-care settings, which included (not necessarily exclusively) IQCODE to assess for the presence of dementia and where dementia diagnosis was confirmed with clinical assessment. For the ‘secondary care’ setting we included all studies which assessed patients in hospital (e.g. acute unscheduled admissions, referrals to specialist geriatric assessment services etc.) and those referred for specialist ‘memory’ assessment, typically in psychogeriatric services. Data collection and analysis We screened all titles generated by electronic database searches, and reviewed abstracts of all potentially relevant studies. Two independent assessors checked full papers for eligibility and extracted data. We determined quality assessment (risk of bias and applicability) using the QUADAS-2 tool, and reporting quality using the STARD tool. Main results From 72 papers describing IQCODE test accuracy, we included 13 papers, representing data from 2745 individuals (n = 1413 (51%) with dementia). Pooled analysis of all studies using data presented closest to a cut-off of 3.3 indicated that sensitivity was 0.91 (95% CI 0.86 to 0.94); specificity 0.66 (95% CI 0.56 to 0.75); the positive likelihood ratio was 2.7 (95% CI 2.0 to 3.6) and the negative likelihood ratio was 0.14 (95% CI 0.09 to 0.22). There was a statistically significant difference in test accuracy between the general hospital setting and the specialist memory setting (P = 0.019), suggesting that IQCODE performs better in a ‘general’ setting. We found no significant differences in the test accuracy of the short (16-item) versus the 26-item IQCODE, or in the language of administration. There was </w:t>
      </w:r>
      <w:r>
        <w:rPr>
          <w:kern w:val="0"/>
        </w:rPr>
        <w:lastRenderedPageBreak/>
        <w:t>significant heterogeneity in the included studies, including a highly varied prevalence of dementia (10.5% to 87.4%). Across the included papers there was substantial potential for bias, particularly around sampling of included participants and selection criteria, which may limit generalisability. There was also evidence of suboptimal reporting, particularly around disease severity and handling indeterminate results, which are important if considering use in clinical practice. Authors’ conclusions The IQCODE can be used to identify older adults in the general hospital setting who are at risk of dementia and require specialist assessment; it is useful specifically for ruling out those without evidence of cognitive decline. The language of administration did not affect test accuracy, which supports the cross-cultural use of the tool. These findings are qualified by the significant heterogeneity, the potential for bias and suboptimal reporting found in the included studies.</w:t>
      </w:r>
    </w:p>
    <w:p w:rsidR="008631E9" w:rsidRDefault="008631E9" w:rsidP="008631E9">
      <w:pPr>
        <w:pStyle w:val="a3"/>
        <w:rPr>
          <w:kern w:val="0"/>
        </w:rPr>
      </w:pPr>
      <w:r>
        <w:rPr>
          <w:kern w:val="0"/>
        </w:rPr>
        <w:t>Keywords: Abstracts, Accuracy, Administration, Adults, Affect, Alzheimers Association Workgroups, Analysis, Articles, Assessment, Bias, Care, Citation, Clinical, Clinical Assessment, Clinical Practice, Cognitive, Cognitive Impairment, Collection, Conference, Criteria, Data, Data Collection, Database, Databases, Dementia, Detection, Diagnosis, Diagnostic, Diagnostic Accuracy, Diagnostic Test, Disease, Disease Severity, Effects, Elderly, Embase, Evidence, From, Frontotemporal Dementia, Functional Impairment, General, Geriatric Assessment, Global Prevalence, Groups, Health, Heterogeneity, Hospital, Hta, Impairment, Improvement, Instrument, Language, Library, Likelihood Ratio, Living, Medical Inpatients, Medline, Memory, Methods, Mini-Mental-State, National Institute, Negative, Older, Older Adults, P, Papers, Patient, Patients, Performance, Poststroke Dementia, Potential, Practice, Prevalence, Proceedings, Psycinfo, Pubmed, Quadas-2, Quality, Questionnaire, Reference, Reference Lists, Reporting, Research, Reviews, Risk, Sampling, Science, Screening, Screening-Test, Search, Search Methods, Search Strategy, Selection, Selection Criteria, Sensitivity, Services, Services-Task-Force, Sources, Specificity, Strategy, Technology, Technology Assessment, Thomson Reuters, Thomson-Reuters, Universities, University, Vocabulary, Web, Web Of Science, Work</w:t>
      </w:r>
    </w:p>
    <w:p w:rsidR="008631E9" w:rsidRDefault="008631E9" w:rsidP="008631E9">
      <w:pPr>
        <w:pStyle w:val="a3"/>
        <w:rPr>
          <w:kern w:val="0"/>
        </w:rPr>
      </w:pPr>
      <w:r>
        <w:rPr>
          <w:rFonts w:hint="eastAsia"/>
          <w:kern w:val="0"/>
        </w:rPr>
        <w:t xml:space="preserve">? </w:t>
      </w:r>
      <w:r>
        <w:rPr>
          <w:kern w:val="0"/>
        </w:rPr>
        <w:t xml:space="preserve">Arevalo-Rodriguez, I., Smailagic, N., Figuls, M.R.I., Ciapponi, A., Sanchez-Perez, E., Giannakou, A., Pedraza, O.L., Cosp, X.B. and Cullum, S. (2015), Mini-Mental State Examination (MMSE) for the detection of Alzheimer’s disease and other dementias in people with mild cognitive impairment (MCI).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CD010783</w:t>
      </w:r>
      <w:r>
        <w:rPr>
          <w:kern w:val="0"/>
        </w:rPr>
        <w:t>.</w:t>
      </w:r>
    </w:p>
    <w:p w:rsidR="008631E9" w:rsidRDefault="008631E9" w:rsidP="008631E9">
      <w:pPr>
        <w:pStyle w:val="a3"/>
      </w:pPr>
      <w:r>
        <w:t xml:space="preserve">Full Text: </w:t>
      </w:r>
      <w:hyperlink r:id="rId877" w:history="1">
        <w:r w:rsidRPr="008631E9">
          <w:rPr>
            <w:rStyle w:val="a5"/>
          </w:rPr>
          <w:t>2015\Coc Dat Sys Rev2015, CD010783.pdf</w:t>
        </w:r>
      </w:hyperlink>
    </w:p>
    <w:p w:rsidR="008631E9" w:rsidRDefault="008631E9" w:rsidP="008631E9">
      <w:pPr>
        <w:pStyle w:val="a3"/>
        <w:rPr>
          <w:kern w:val="0"/>
        </w:rPr>
      </w:pPr>
      <w:r>
        <w:rPr>
          <w:kern w:val="0"/>
        </w:rPr>
        <w:t xml:space="preserve">Abstract: Background Dementia is a progressive global cognitive impairment syndrome. In 2010, more than 35 million people worldwide were estimated to be living with dementia. Some people with mild cognitive impairment (MCI) will progress to </w:t>
      </w:r>
      <w:r>
        <w:rPr>
          <w:kern w:val="0"/>
        </w:rPr>
        <w:lastRenderedPageBreak/>
        <w:t xml:space="preserve">dementia but others remain stable or recover full function. There is great interest in finding good predictors of dementia in people with MCI. The Mini-Mental State Examination (MMSE) is the best-known and the most often used short screening tool for providing an overall measure of cognitive impairment in clinical, research and community settings. Objectives To determine the diagnostic accuracy of the MMSE at various thresholds for detecting individuals with baseline MCI who would clinically convert to dementia in general, Alzheimer’s disease dementia or other forms of dementia at follow-up. Search methods We searched ALOIS (Cochrane Dementia and Cognitive Improvement Specialized Register of diagnostic and intervention studies (inception to May 2014); MEDLINE (OvidSP) (1946 to May 2014); EMBASE (OvidSP) (1980 to May 2014); BIOSIS (Web of Science) (inception to May 2014); Web of Science Core Collection, including the Conference Proceedings Citation Index (ISIWeb of Science) (inception to May 2014); PsycINFO (OvidSP) (inception to May 2014), and LILACS (BIREME) (1982 to May 2014). We also searched specialized sources of diagnostic test accuracy studies and reviews, most recently in May 2014: MEDION (Universities of Maastricht and Leuven, www.mediondatabase.nl), DARE (Database of Abstracts of Reviews of Effects, via the Cochrane Library), HTA Database (Health Technology Assessment Database, via the Cochrane Library), and ARIF (University of Birmingham, UK, www.arif.bham.ac.uk). No language or date restrictions were applied to the electronic searches and methodological filters were not used as a method to restrict the search overall so as to maximize sensitivity. We also checked reference lists of relevant studies and reviews, tracked citations in Scopus and Science Citation Index, used searches of known relevant studies in PubMed to track related articles, and contacted research groups conducting work on MMSE for dementia diagnosis to try to locate possibly relevant but unpublished data. Selection criteria We considered longitudinal studies in which results of the MMSE administered to MCI participants at baseline were obtained and the reference standard was obtained by follow-up over time. We included participants recruited and clinically classified as individuals with MCI under Petersen and revised Petersen criteria, Matthews criteria, or a Clinical Dementia Rating = 0.5. We used acceptable and commonly used reference standards for dementia in general, Alzheimer’s dementia, Lewy body dementia, vascular dementia and frontotemporal dementia. Data collection and analysis We screened all titles generated by the electronic database searches. Two review authors independently assessed the abstracts of all potentially relevant studies. We assessed the identified full papers for eligibility and extracted data to create two by two tables for dementia in general and other dementias. Two authors independently performed quality assessment using the QUADAS-2 tool. Due to high heterogeneity and scarcity of data, we derived estimates of sensitivity at fixed values of specificity from </w:t>
      </w:r>
      <w:r>
        <w:rPr>
          <w:kern w:val="0"/>
        </w:rPr>
        <w:lastRenderedPageBreak/>
        <w:t>the model we fitted to produce the summary receiver operating characteristic curve. Main results In this review, we included 11 heterogeneous studies with a total number of 1569 MCI patients followed for conversion to dementia. Four studies assessed the role of baseline scores of the MMSE in conversion from MCI to all-cause dementia and eight studies assessed this test in conversion from MCI to Alzheimer’s disease dementia. Only one study provided information about the MMSE and conversion from MCI to vascular dementia. For conversion from MCI to dementia in general, the accuracy of baseline MMSE scores ranged from sensitivities of 23% to 76% and specificities from 40% to 94%. In relationship to conversion from MCI to Alzheimer’s disease dementia, the accuracy of baseline MMSE scores ranged from sensitivities of 27% to 89% and specificities from 32% to 90%. Only one study provided information about conversion from MCI to vascular dementia, presenting a sensitivity of 36% and a specificity of 80% with an incidence of vascular dementia of 6.2%. Although we had planned to explore possible sources of heterogeneity, this was not undertaken due to the scarcity of studies included in our analysis. Authors’ conclusions Our review did not find evidence supporting a substantial role of MMSE as a stand-alone single-administration test in the identification of MCI patients who could develop dementia. Clinicians could prefer to request additional and extensive tests to be sure about the management of these patients. An important aspect to assess in future updates is if conversion to dementia from MCI stages could be predicted better by MMSE changes over time instead of single measurements. It is also important to assess if a set of tests, rather than an isolated one, may be more successful in predicting conversion from MCI to dementia.</w:t>
      </w:r>
    </w:p>
    <w:p w:rsidR="008631E9" w:rsidRDefault="008631E9" w:rsidP="008631E9">
      <w:pPr>
        <w:pStyle w:val="a3"/>
        <w:rPr>
          <w:kern w:val="0"/>
        </w:rPr>
      </w:pPr>
      <w:r>
        <w:rPr>
          <w:kern w:val="0"/>
        </w:rPr>
        <w:t xml:space="preserve">Keywords: Abstracts, Accuracy, Alzheimer’S, Alzheimer’S Disease, Analysis, Articles, Assessment, Association Workgroups, Authors, Changes, Citation, Citations, Clinical, Clinical-Diagnosis, Cognitive, Cognitive Impairment, Collection, Community, Conference, Conversion, Criteria, Data, Data Collection, Database, Dementia, Detection, Diagnosis, Diagnostic, Diagnostic Accuracy, Diagnostic Guidelines, Diagnostic Test, Disease, Effects, Embase, Estimates, Evidence, Examination, Follow-Up, Forms, From, Function, General, Global, Global Prevalence, Groups, Health, Heterogeneity, Hta, Identification, Impairment, Improvement, Incidence, Information, International Workshop, Intervention, Intervention Studies, Language, Library, Living, Longitudinal, Longitudinal Studies, Management, Mci, Measure, Medline, Methods, Mild, Mild Cognitive Impairment, Model, National Institute, Neuropsychiatric Symptoms, Osaki-Tajiri Project, Papers, Patients, Predictors, Proceedings, Progress, Psycinfo, Pubmed, Quadas-2, Quality, Receiver Operating Characteristic Curve, Reference, Reference Lists, Reference Standards, Research, Restrictions, Review, Reviews, Role, Science, Science Citation </w:t>
      </w:r>
      <w:r>
        <w:rPr>
          <w:kern w:val="0"/>
        </w:rPr>
        <w:lastRenderedPageBreak/>
        <w:t>Index, Scopus, Screening, Search, Search Methods, Sensitivity, Services-Task-Force, Sources, Specificity, Standard, Standards, Syndrome, Technology, Technology Assessment, Thresholds, Uk, Universities, University, Web, Web Of Science, Work</w:t>
      </w:r>
    </w:p>
    <w:p w:rsidR="008631E9" w:rsidRDefault="008631E9" w:rsidP="008631E9">
      <w:pPr>
        <w:pStyle w:val="a3"/>
        <w:rPr>
          <w:kern w:val="0"/>
        </w:rPr>
      </w:pPr>
      <w:r>
        <w:rPr>
          <w:rFonts w:hint="eastAsia"/>
          <w:kern w:val="0"/>
        </w:rPr>
        <w:t xml:space="preserve">? </w:t>
      </w:r>
      <w:r>
        <w:rPr>
          <w:kern w:val="0"/>
        </w:rPr>
        <w:t xml:space="preserve">Awotiwon, A.A., Oduwole, O., Sinha, A. and Okwundu, C.I. (2015), Zinc supplementation for the treatment of measles in children. </w:t>
      </w:r>
      <w:r>
        <w:rPr>
          <w:i/>
          <w:iCs/>
          <w:kern w:val="0"/>
        </w:rPr>
        <w:t>Cochrane Database of Systematic Reviews</w:t>
      </w:r>
      <w:r>
        <w:rPr>
          <w:kern w:val="0"/>
        </w:rPr>
        <w:t xml:space="preserve">, </w:t>
      </w:r>
      <w:r>
        <w:rPr>
          <w:rFonts w:hint="eastAsia"/>
          <w:b/>
          <w:kern w:val="0"/>
        </w:rPr>
        <w:t>3</w:t>
      </w:r>
      <w:r>
        <w:rPr>
          <w:rFonts w:hint="eastAsia"/>
          <w:kern w:val="0"/>
        </w:rPr>
        <w:t>,</w:t>
      </w:r>
      <w:r w:rsidRPr="00DC3A2A">
        <w:rPr>
          <w:kern w:val="0"/>
        </w:rPr>
        <w:t xml:space="preserve"> </w:t>
      </w:r>
      <w:r w:rsidRPr="001F3C06">
        <w:rPr>
          <w:kern w:val="0"/>
        </w:rPr>
        <w:t>Article Number:</w:t>
      </w:r>
      <w:r>
        <w:rPr>
          <w:rFonts w:hint="eastAsia"/>
          <w:kern w:val="0"/>
        </w:rPr>
        <w:t xml:space="preserve"> </w:t>
      </w:r>
      <w:r w:rsidRPr="00411FF1">
        <w:rPr>
          <w:kern w:val="0"/>
        </w:rPr>
        <w:t>CD011177</w:t>
      </w:r>
      <w:r>
        <w:rPr>
          <w:kern w:val="0"/>
        </w:rPr>
        <w:t>.</w:t>
      </w:r>
    </w:p>
    <w:p w:rsidR="008631E9" w:rsidRDefault="008631E9" w:rsidP="008631E9">
      <w:pPr>
        <w:pStyle w:val="a3"/>
      </w:pPr>
      <w:r>
        <w:t xml:space="preserve">Full Text: </w:t>
      </w:r>
      <w:hyperlink r:id="rId878" w:history="1">
        <w:r w:rsidRPr="008631E9">
          <w:rPr>
            <w:rStyle w:val="a5"/>
          </w:rPr>
          <w:t>2015\Coc Dat Sys Rev2015, CD011177.pdf</w:t>
        </w:r>
      </w:hyperlink>
    </w:p>
    <w:p w:rsidR="008631E9" w:rsidRDefault="008631E9" w:rsidP="008631E9">
      <w:pPr>
        <w:pStyle w:val="a3"/>
        <w:rPr>
          <w:kern w:val="0"/>
        </w:rPr>
      </w:pPr>
      <w:r>
        <w:rPr>
          <w:kern w:val="0"/>
        </w:rPr>
        <w:t>Abstract: Background Measles is still an important cause of childhood morbidity and mortality globally, despite increasing vaccine coverage. Zinc plays a significant role in the maintenance of normal immunological functions, therefore supplements given to zinc-deficient children will increase the availability of zinc and could reduce measles-related morbidity and mortality. Objectives To assess the effects of zinc supplementation in reducing morbidity and mortality in children with measles. Search methods We searched CENTRAL (2014, Issue 5), MEDLINE (1946 to June week 3, 2014), EMBASE (1974 to June 2014), CINAHL (1981 to June 2014), LILACS (1982 to June 2014), Web of Science (1985 to June 2014) and BIOSIS Previews (1985 to June 2014). We also searched ClinicalTrials.gov and the World Health Organization (WHO) International Clinical Trials Registry Platform (ICTRP) to identify unpublished and ongoing studies. Selection criteria Randomised controlled trials (RCTs) and quasi-RCTs evaluating the effects of zinc in reducing morbidity and mortality in children with measles. Data collection and analysis Two review authors independently assessed the studies for inclusion and extracted data on outcomes, details of the interventions and other study characteristics using a standardised data extraction form. We used the risk ratio (RR) and hazard ratio as measures of effect with 95% confidence intervals (CI). We included only one study and we did not conduct any meta-analysis. Main results One RCT met our inclusion criteria. The study was conducted in India and included 85 children diagnosed with measles and pneumonia. The trial showed that there was no significant difference in mortality between the two groups (risk ratio (RR) 0.34, 95% confidence interval (CI) 0.01 to 8.14). Also, there was no significant difference in time to absence of fever between the two groups (hazard ratio (HR) 1.08, 95% CI 0.67 to 1.74). No treatment-related side effects were reported in either group. The overall quality of the evidence can be described as very low. Authors’ conclusions We cannot draw any definite conclusions from this review about the effects of zinc supplementation on clinical outcomes of children with measles due to the very low quality of the evidence available. There is insufficient evidence to confirm or refute the effect of zinc supplementation in measles.</w:t>
      </w:r>
    </w:p>
    <w:p w:rsidR="008631E9" w:rsidRDefault="008631E9" w:rsidP="008631E9">
      <w:pPr>
        <w:pStyle w:val="a3"/>
        <w:rPr>
          <w:kern w:val="0"/>
        </w:rPr>
      </w:pPr>
      <w:r>
        <w:rPr>
          <w:kern w:val="0"/>
        </w:rPr>
        <w:t xml:space="preserve">Keywords: Analysis, Authors, Availability, Characteristics, Childhood, Children, Clinical, Clinical Outcomes, Clinical Trials, Collection, Confidence, Confidence </w:t>
      </w:r>
      <w:r>
        <w:rPr>
          <w:kern w:val="0"/>
        </w:rPr>
        <w:lastRenderedPageBreak/>
        <w:t>Intervals, Coverage, Criteria, Data, Data Collection, Deficiency, Diarrhea, Double-Blind, Effects, Embase, Evidence, Extraction, Fever, From, Functions, Groups, Hazard, Hazard Ratio, Health, Immunity, India, International, Interval, Intervals, Interventions, Lower Respiratory-Infections, Measures, Medline, Meta Analysis, Meta-Analysis, Metaanalysis, Methods, Morbidity, Mortality, Normal, Outcomes, Placebo-Controlled Trial, Pneumonia, Prevention, Quality, Quality Of, Randomised Controlled Trials, Rct, Reducing Morbidity, Review, Risk, Role, Science, Search, Search Methods, Side Effects, Treatment, Trial, Vaccine, Web, Web Of Science, Who, World Health Organization, Zinc</w:t>
      </w:r>
    </w:p>
    <w:p w:rsidR="003474F2" w:rsidRPr="001A3D2B" w:rsidRDefault="003474F2" w:rsidP="003474F2">
      <w:pPr>
        <w:pStyle w:val="1"/>
      </w:pPr>
      <w:r w:rsidRPr="001A3D2B">
        <w:br w:type="page"/>
      </w:r>
      <w:bookmarkStart w:id="329" w:name="_Toc420815060"/>
      <w:r w:rsidRPr="001A3D2B">
        <w:lastRenderedPageBreak/>
        <w:t>Title: Cognition</w:t>
      </w:r>
      <w:bookmarkEnd w:id="329"/>
    </w:p>
    <w:p w:rsidR="003474F2" w:rsidRPr="001A3D2B" w:rsidRDefault="003474F2" w:rsidP="003474F2">
      <w:pPr>
        <w:pStyle w:val="12"/>
      </w:pPr>
      <w:r w:rsidRPr="001A3D2B">
        <w:t xml:space="preserve">Full Journal Title: </w:t>
      </w:r>
      <w:hyperlink r:id="rId879" w:history="1">
        <w:r w:rsidRPr="001A3D2B">
          <w:rPr>
            <w:rStyle w:val="a5"/>
          </w:rPr>
          <w:t>Cognition</w:t>
        </w:r>
      </w:hyperlink>
    </w:p>
    <w:p w:rsidR="003474F2" w:rsidRPr="001A3D2B" w:rsidRDefault="003474F2" w:rsidP="003474F2">
      <w:pPr>
        <w:pStyle w:val="12"/>
      </w:pPr>
      <w:r w:rsidRPr="001A3D2B">
        <w:t xml:space="preserve">ISO Abbreviated Title: </w:t>
      </w:r>
      <w:r w:rsidR="00F964C4" w:rsidRPr="001A3D2B">
        <w:t>Cognition</w:t>
      </w:r>
    </w:p>
    <w:p w:rsidR="003474F2" w:rsidRPr="001A3D2B" w:rsidRDefault="003474F2" w:rsidP="003474F2">
      <w:pPr>
        <w:pStyle w:val="12"/>
      </w:pPr>
      <w:r w:rsidRPr="001A3D2B">
        <w:t xml:space="preserve">JCR Abbreviated Title: </w:t>
      </w:r>
      <w:r w:rsidR="00F964C4" w:rsidRPr="001A3D2B">
        <w:t>Cognition</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 B Saunders Co, </w:t>
      </w:r>
      <w:smartTag w:uri="urn:schemas-microsoft-com:office:smarttags" w:element="place">
        <w:smartTag w:uri="urn:schemas-microsoft-com:office:smarttags" w:element="City">
          <w:r w:rsidRPr="001A3D2B">
            <w:t>Philadelphia</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Vicente, K.J.</w:t>
      </w:r>
      <w:r w:rsidR="005853A9">
        <w:t xml:space="preserve"> and </w:t>
      </w:r>
      <w:r w:rsidRPr="001A3D2B">
        <w:t>Brewer, W.F. (1993), Reconstructive remembering</w:t>
      </w:r>
      <w:r w:rsidR="00427468">
        <w:t xml:space="preserve"> of </w:t>
      </w:r>
      <w:r w:rsidR="003A1917">
        <w:t xml:space="preserve">the </w:t>
      </w:r>
      <w:r w:rsidRPr="001A3D2B">
        <w:t xml:space="preserve">scientific literature. </w:t>
      </w:r>
      <w:r w:rsidRPr="001A3D2B">
        <w:rPr>
          <w:i/>
          <w:iCs/>
        </w:rPr>
        <w:t>Cognition</w:t>
      </w:r>
      <w:r w:rsidRPr="001A3D2B">
        <w:t xml:space="preserve">, </w:t>
      </w:r>
      <w:r w:rsidRPr="001A3D2B">
        <w:rPr>
          <w:b/>
        </w:rPr>
        <w:t>46</w:t>
      </w:r>
      <w:r w:rsidRPr="001A3D2B">
        <w:t xml:space="preserve"> (2), 101-128.</w:t>
      </w:r>
    </w:p>
    <w:p w:rsidR="003474F2" w:rsidRPr="001A3D2B" w:rsidRDefault="003474F2" w:rsidP="003474F2">
      <w:pPr>
        <w:pStyle w:val="a3"/>
      </w:pPr>
      <w:r w:rsidRPr="001A3D2B">
        <w:t xml:space="preserve">Full Text: </w:t>
      </w:r>
      <w:hyperlink r:id="rId880" w:history="1">
        <w:r w:rsidRPr="001A3D2B">
          <w:rPr>
            <w:rStyle w:val="a5"/>
          </w:rPr>
          <w:t>1993\Cognition46, 101.pdf</w:t>
        </w:r>
      </w:hyperlink>
    </w:p>
    <w:p w:rsidR="003474F2" w:rsidRPr="001A3D2B" w:rsidRDefault="003474F2" w:rsidP="003474F2">
      <w:pPr>
        <w:pStyle w:val="a3"/>
      </w:pPr>
      <w:r w:rsidRPr="001A3D2B">
        <w:t>Abstract: In this paper we investigate</w:t>
      </w:r>
      <w:r w:rsidR="003A1917">
        <w:t xml:space="preserve"> the </w:t>
      </w:r>
      <w:r w:rsidRPr="001A3D2B">
        <w:t>role</w:t>
      </w:r>
      <w:r w:rsidR="00427468">
        <w:t xml:space="preserve"> of </w:t>
      </w:r>
      <w:r w:rsidRPr="001A3D2B">
        <w:t>reconstructive memory in citation errors that occur in</w:t>
      </w:r>
      <w:r w:rsidR="003A1917">
        <w:t xml:space="preserve"> the </w:t>
      </w:r>
      <w:r w:rsidRPr="001A3D2B">
        <w:t>scientific literature. We focus on</w:t>
      </w:r>
      <w:r w:rsidR="003A1917">
        <w:t xml:space="preserve"> the </w:t>
      </w:r>
      <w:r w:rsidRPr="001A3D2B">
        <w:t>case</w:t>
      </w:r>
      <w:r w:rsidR="00427468">
        <w:t xml:space="preserve"> of </w:t>
      </w:r>
      <w:r w:rsidRPr="001A3D2B">
        <w:t>de Groot</w:t>
      </w:r>
      <w:r w:rsidR="0071223E">
        <w:t>’</w:t>
      </w:r>
      <w:r w:rsidR="00C13DDC">
        <w:t>s</w:t>
      </w:r>
      <w:r w:rsidRPr="001A3D2B">
        <w:t xml:space="preserve"> (1946) studies</w:t>
      </w:r>
      <w:r w:rsidR="00427468">
        <w:t xml:space="preserve"> of </w:t>
      </w:r>
      <w:r w:rsidR="003A1917">
        <w:t xml:space="preserve">the </w:t>
      </w:r>
      <w:r w:rsidRPr="001A3D2B">
        <w:t>memory for chess positions by chess experts. Previous work has shown that this research is very often cited incorrectly. In Experiment 1 we show that free recall</w:t>
      </w:r>
      <w:r w:rsidR="00427468">
        <w:t xml:space="preserve"> of </w:t>
      </w:r>
      <w:r w:rsidRPr="001A3D2B">
        <w:t>this work by research psychologists replicates most</w:t>
      </w:r>
      <w:r w:rsidR="00427468">
        <w:t xml:space="preserve"> of </w:t>
      </w:r>
      <w:r w:rsidR="003A1917">
        <w:t xml:space="preserve">the </w:t>
      </w:r>
      <w:r w:rsidRPr="001A3D2B">
        <w:t>errors found in</w:t>
      </w:r>
      <w:r w:rsidR="003A1917">
        <w:t xml:space="preserve"> the </w:t>
      </w:r>
      <w:r w:rsidRPr="001A3D2B">
        <w:t>published literature. Experiment 2 shows that undergraduates reading a correct account</w:t>
      </w:r>
      <w:r w:rsidR="00427468">
        <w:t xml:space="preserve"> of </w:t>
      </w:r>
      <w:r w:rsidR="003A1917">
        <w:t xml:space="preserve">the </w:t>
      </w:r>
      <w:r w:rsidRPr="001A3D2B">
        <w:t>de Groot study also make</w:t>
      </w:r>
      <w:r w:rsidR="003A1917">
        <w:t xml:space="preserve"> the </w:t>
      </w:r>
      <w:r w:rsidRPr="001A3D2B">
        <w:t>same set</w:t>
      </w:r>
      <w:r w:rsidR="00427468">
        <w:t xml:space="preserve"> of </w:t>
      </w:r>
      <w:r w:rsidRPr="001A3D2B">
        <w:t>errors in recall. We interpret these findings as showing that consistent errors in secondary accounts</w:t>
      </w:r>
      <w:r w:rsidR="00427468">
        <w:t xml:space="preserve"> of </w:t>
      </w:r>
      <w:r w:rsidRPr="001A3D2B">
        <w:t>experimental findings are frequently reconstructive memory errors due to source confusion</w:t>
      </w:r>
      <w:r w:rsidR="005853A9">
        <w:t xml:space="preserve"> and </w:t>
      </w:r>
      <w:r w:rsidRPr="001A3D2B">
        <w:t>schema-based processes. Analysis</w:t>
      </w:r>
      <w:r w:rsidR="00427468">
        <w:t xml:space="preserve"> of </w:t>
      </w:r>
      <w:r w:rsidRPr="001A3D2B">
        <w:t>a number</w:t>
      </w:r>
      <w:r w:rsidR="00427468">
        <w:t xml:space="preserve"> of </w:t>
      </w:r>
      <w:r w:rsidRPr="001A3D2B">
        <w:t>other examples</w:t>
      </w:r>
      <w:r w:rsidR="00427468">
        <w:t xml:space="preserve"> of </w:t>
      </w:r>
      <w:r w:rsidRPr="001A3D2B">
        <w:t>scientific literature that have been frequently cited incorrectly add additional support to</w:t>
      </w:r>
      <w:r w:rsidR="003A1917">
        <w:t xml:space="preserve"> the </w:t>
      </w:r>
      <w:r w:rsidRPr="001A3D2B">
        <w:t>reconstructive account. We conclude that scientists should be aware</w:t>
      </w:r>
      <w:r w:rsidR="00427468">
        <w:t xml:space="preserve"> of </w:t>
      </w:r>
      <w:r w:rsidR="003A1917">
        <w:t xml:space="preserve">the </w:t>
      </w:r>
      <w:r w:rsidRPr="001A3D2B">
        <w:t>tendency</w:t>
      </w:r>
      <w:r w:rsidR="00427468">
        <w:t xml:space="preserve"> of </w:t>
      </w:r>
      <w:r w:rsidRPr="001A3D2B">
        <w:t>reconstructive memory errors to cause violations</w:t>
      </w:r>
      <w:r w:rsidR="00427468">
        <w:t xml:space="preserve"> of </w:t>
      </w:r>
      <w:r w:rsidR="003A1917">
        <w:t xml:space="preserve">the </w:t>
      </w:r>
      <w:r w:rsidRPr="001A3D2B">
        <w:t>scientific norm</w:t>
      </w:r>
      <w:r w:rsidR="00427468">
        <w:t xml:space="preserve"> of </w:t>
      </w:r>
      <w:r w:rsidRPr="001A3D2B">
        <w:t>accurate reporting</w:t>
      </w:r>
      <w:r w:rsidR="00427468">
        <w:t xml:space="preserve"> of </w:t>
      </w:r>
      <w:r w:rsidR="003A1917">
        <w:t xml:space="preserve">the </w:t>
      </w:r>
      <w:r w:rsidRPr="001A3D2B">
        <w:t>scientific literature.</w:t>
      </w:r>
    </w:p>
    <w:p w:rsidR="009E1CAC" w:rsidRDefault="009E1CAC" w:rsidP="009E1CAC">
      <w:pPr>
        <w:pStyle w:val="a3"/>
        <w:rPr>
          <w:kern w:val="0"/>
        </w:rPr>
      </w:pPr>
      <w:r>
        <w:rPr>
          <w:rFonts w:hint="eastAsia"/>
          <w:kern w:val="0"/>
        </w:rPr>
        <w:t xml:space="preserve">? </w:t>
      </w:r>
      <w:r>
        <w:rPr>
          <w:kern w:val="0"/>
        </w:rPr>
        <w:t xml:space="preserve">Knobe, J. (2015), Philosophers are doing something different now: Quantitative data. </w:t>
      </w:r>
      <w:r>
        <w:rPr>
          <w:i/>
          <w:iCs/>
          <w:kern w:val="0"/>
        </w:rPr>
        <w:t>Cognition</w:t>
      </w:r>
      <w:r>
        <w:rPr>
          <w:kern w:val="0"/>
        </w:rPr>
        <w:t xml:space="preserve">, </w:t>
      </w:r>
      <w:r>
        <w:rPr>
          <w:b/>
          <w:bCs/>
          <w:kern w:val="0"/>
        </w:rPr>
        <w:t>135</w:t>
      </w:r>
      <w:r>
        <w:rPr>
          <w:kern w:val="0"/>
        </w:rPr>
        <w:t>, 36-38.</w:t>
      </w:r>
    </w:p>
    <w:p w:rsidR="009E1CAC" w:rsidRPr="001A3D2B" w:rsidRDefault="009E1CAC" w:rsidP="009E1CAC">
      <w:pPr>
        <w:pStyle w:val="a3"/>
      </w:pPr>
      <w:r w:rsidRPr="001A3D2B">
        <w:t xml:space="preserve">Full Text: </w:t>
      </w:r>
      <w:hyperlink r:id="rId881" w:history="1">
        <w:r w:rsidRPr="00E72553">
          <w:rPr>
            <w:rStyle w:val="a5"/>
          </w:rPr>
          <w:t>2015\Cognition135, 36.pdf</w:t>
        </w:r>
      </w:hyperlink>
    </w:p>
    <w:p w:rsidR="009E1CAC" w:rsidRDefault="009E1CAC" w:rsidP="009E1CAC">
      <w:pPr>
        <w:pStyle w:val="a3"/>
        <w:rPr>
          <w:kern w:val="0"/>
        </w:rPr>
      </w:pPr>
      <w:r>
        <w:rPr>
          <w:kern w:val="0"/>
        </w:rPr>
        <w:t xml:space="preserve">Abstract: The philosophical study of mind in the twentieth century was dominated by a research program that used a priori methods to address foundational questions. Since that time, however, the philosophical study of mind has undergone a dramatic shift. To provide a more accurate picture of contemporary philosophical work, I compared a sample of highly cited philosophy papers from the past five years with a sample of </w:t>
      </w:r>
      <w:r>
        <w:rPr>
          <w:kern w:val="0"/>
        </w:rPr>
        <w:lastRenderedPageBreak/>
        <w:t>highly cited philosophy papers from the twentieth century. In the twentieth century sample, the majority of papers used purely a priori methods, while only a minority cited results from empirical studies. In the sample from the past five years, the methodology is radically different. The majority of papers cite results from empirical studies, a sizable proportion report original experimental results, and only a small minority are purely a priori. Overall, the results of the review suggest that the philosophical study of mind has become considerably more integrated into the broader interdisciplinary field of cognitive science. (C) 2014 Elsevier B.V. All rights reserved.</w:t>
      </w:r>
    </w:p>
    <w:p w:rsidR="009E1CAC" w:rsidRDefault="009E1CAC" w:rsidP="009E1CAC">
      <w:pPr>
        <w:pStyle w:val="a3"/>
        <w:rPr>
          <w:kern w:val="0"/>
        </w:rPr>
      </w:pPr>
      <w:r>
        <w:rPr>
          <w:kern w:val="0"/>
        </w:rPr>
        <w:t>Keywords: Bibliometrics, Cognitive, Data, Empirical Studies, Experimental, Field, From, Highly Cited, Highly-Cited, Integrated, Interdisciplinary, Methodology, Methods, Papers, Philosophy, Philosophy Of Cognitive Science, Philosophy Of Mind, Research, Review, Rights, Science, Si, Small, Work</w:t>
      </w:r>
    </w:p>
    <w:p w:rsidR="00137144" w:rsidRPr="00C73C58" w:rsidRDefault="00137144" w:rsidP="00137144">
      <w:pPr>
        <w:pStyle w:val="1"/>
      </w:pPr>
      <w:r w:rsidRPr="00C73C58">
        <w:br w:type="page"/>
      </w:r>
      <w:bookmarkStart w:id="330" w:name="_Toc420815061"/>
      <w:r w:rsidRPr="00C73C58">
        <w:lastRenderedPageBreak/>
        <w:t xml:space="preserve">Title: </w:t>
      </w:r>
      <w:r w:rsidRPr="00DA29E1">
        <w:t>Co-Herencia</w:t>
      </w:r>
      <w:bookmarkEnd w:id="330"/>
    </w:p>
    <w:p w:rsidR="00137144" w:rsidRPr="00C73C58" w:rsidRDefault="00137144" w:rsidP="00137144">
      <w:pPr>
        <w:pStyle w:val="12"/>
      </w:pPr>
      <w:r w:rsidRPr="00C73C58">
        <w:t xml:space="preserve">Full Journal Title: </w:t>
      </w:r>
      <w:r w:rsidRPr="00DA29E1">
        <w:rPr>
          <w:iCs/>
          <w:kern w:val="0"/>
        </w:rPr>
        <w:t>Co-Herencia</w:t>
      </w:r>
    </w:p>
    <w:p w:rsidR="00137144" w:rsidRPr="00C73C58" w:rsidRDefault="00137144" w:rsidP="00137144">
      <w:pPr>
        <w:pStyle w:val="12"/>
      </w:pPr>
      <w:r w:rsidRPr="00C73C58">
        <w:t xml:space="preserve">ISO Abbreviated Title: </w:t>
      </w:r>
    </w:p>
    <w:p w:rsidR="00137144" w:rsidRPr="00C73C58" w:rsidRDefault="00137144" w:rsidP="00137144">
      <w:pPr>
        <w:pStyle w:val="12"/>
      </w:pPr>
      <w:r w:rsidRPr="00C73C58">
        <w:t xml:space="preserve">JCR Abbreviated Title: </w:t>
      </w:r>
    </w:p>
    <w:p w:rsidR="00137144" w:rsidRPr="00C73C58" w:rsidRDefault="00137144" w:rsidP="00137144">
      <w:pPr>
        <w:pStyle w:val="12"/>
      </w:pPr>
      <w:r w:rsidRPr="00C73C58">
        <w:t xml:space="preserve">ISSN: </w:t>
      </w:r>
    </w:p>
    <w:p w:rsidR="00137144" w:rsidRPr="00C73C58" w:rsidRDefault="00137144" w:rsidP="00137144">
      <w:pPr>
        <w:pStyle w:val="12"/>
      </w:pPr>
      <w:r w:rsidRPr="00C73C58">
        <w:t xml:space="preserve">Issues/Year: </w:t>
      </w:r>
    </w:p>
    <w:p w:rsidR="00137144" w:rsidRPr="00C73C58" w:rsidRDefault="00137144" w:rsidP="00137144">
      <w:pPr>
        <w:pStyle w:val="12"/>
      </w:pPr>
      <w:r w:rsidRPr="00C73C58">
        <w:t xml:space="preserve">Journal Country/Territory: </w:t>
      </w:r>
    </w:p>
    <w:p w:rsidR="00137144" w:rsidRPr="00C73C58" w:rsidRDefault="00137144" w:rsidP="00137144">
      <w:pPr>
        <w:pStyle w:val="12"/>
      </w:pPr>
      <w:r w:rsidRPr="00C73C58">
        <w:t xml:space="preserve">Language: </w:t>
      </w:r>
    </w:p>
    <w:p w:rsidR="00137144" w:rsidRPr="00C73C58" w:rsidRDefault="00137144" w:rsidP="00137144">
      <w:pPr>
        <w:pStyle w:val="12"/>
      </w:pPr>
      <w:r w:rsidRPr="00C73C58">
        <w:t xml:space="preserve">Publisher: </w:t>
      </w:r>
    </w:p>
    <w:p w:rsidR="00137144" w:rsidRPr="00C73C58" w:rsidRDefault="00137144" w:rsidP="00137144">
      <w:pPr>
        <w:pStyle w:val="12"/>
      </w:pPr>
      <w:r w:rsidRPr="00C73C58">
        <w:t xml:space="preserve">Publisher Address: </w:t>
      </w:r>
    </w:p>
    <w:p w:rsidR="00137144" w:rsidRPr="00C73C58" w:rsidRDefault="00137144" w:rsidP="00137144">
      <w:pPr>
        <w:pStyle w:val="12"/>
      </w:pPr>
      <w:r w:rsidRPr="00C73C58">
        <w:t>Subject Categories:</w:t>
      </w:r>
    </w:p>
    <w:p w:rsidR="00137144" w:rsidRPr="00C73C58" w:rsidRDefault="00137144" w:rsidP="00137144">
      <w:pPr>
        <w:pStyle w:val="12"/>
      </w:pPr>
      <w:r w:rsidRPr="00C73C58">
        <w:t xml:space="preserve">: Impact Factor </w:t>
      </w:r>
    </w:p>
    <w:p w:rsidR="00137144" w:rsidRDefault="00137144" w:rsidP="00137144">
      <w:pPr>
        <w:pStyle w:val="a3"/>
        <w:rPr>
          <w:kern w:val="0"/>
        </w:rPr>
      </w:pPr>
      <w:r>
        <w:rPr>
          <w:rFonts w:hint="eastAsia"/>
          <w:kern w:val="0"/>
        </w:rPr>
        <w:t xml:space="preserve">? </w:t>
      </w:r>
      <w:r>
        <w:rPr>
          <w:kern w:val="0"/>
        </w:rPr>
        <w:t>Roncallo-Dow, S., Uribe-Jongbloed, E.</w:t>
      </w:r>
      <w:r w:rsidR="005853A9">
        <w:rPr>
          <w:kern w:val="0"/>
        </w:rPr>
        <w:t xml:space="preserve"> and </w:t>
      </w:r>
      <w:r>
        <w:rPr>
          <w:kern w:val="0"/>
        </w:rPr>
        <w:t>Calderon-Reyes, I. (2013), Research in Communication: Knowledge limits</w:t>
      </w:r>
      <w:r w:rsidR="005853A9">
        <w:rPr>
          <w:kern w:val="0"/>
        </w:rPr>
        <w:t xml:space="preserve"> and </w:t>
      </w:r>
      <w:r>
        <w:rPr>
          <w:kern w:val="0"/>
        </w:rPr>
        <w:t xml:space="preserve">limitations. </w:t>
      </w:r>
      <w:r w:rsidRPr="00DA29E1">
        <w:rPr>
          <w:i/>
          <w:iCs/>
          <w:kern w:val="0"/>
        </w:rPr>
        <w:t>Co-Herencia</w:t>
      </w:r>
      <w:r>
        <w:rPr>
          <w:kern w:val="0"/>
        </w:rPr>
        <w:t xml:space="preserve">, </w:t>
      </w:r>
      <w:r>
        <w:rPr>
          <w:b/>
          <w:bCs/>
          <w:kern w:val="0"/>
        </w:rPr>
        <w:t>10</w:t>
      </w:r>
      <w:r>
        <w:rPr>
          <w:kern w:val="0"/>
        </w:rPr>
        <w:t xml:space="preserve"> (18), 161-187.</w:t>
      </w:r>
    </w:p>
    <w:p w:rsidR="00137144" w:rsidRDefault="00137144" w:rsidP="00137144">
      <w:pPr>
        <w:pStyle w:val="a3"/>
        <w:rPr>
          <w:kern w:val="0"/>
        </w:rPr>
      </w:pPr>
      <w:r>
        <w:rPr>
          <w:rFonts w:hint="eastAsia"/>
          <w:kern w:val="0"/>
        </w:rPr>
        <w:t xml:space="preserve">Full Text: </w:t>
      </w:r>
      <w:hyperlink r:id="rId882" w:history="1">
        <w:r w:rsidRPr="00DA29E1">
          <w:rPr>
            <w:rStyle w:val="a5"/>
            <w:kern w:val="0"/>
          </w:rPr>
          <w:t>2013\Co-Her10, 161.pdf</w:t>
        </w:r>
      </w:hyperlink>
    </w:p>
    <w:p w:rsidR="00137144" w:rsidRDefault="00137144" w:rsidP="00137144">
      <w:pPr>
        <w:pStyle w:val="a3"/>
        <w:rPr>
          <w:kern w:val="0"/>
        </w:rPr>
      </w:pPr>
      <w:r>
        <w:rPr>
          <w:kern w:val="0"/>
        </w:rPr>
        <w:t>Abstract: This article seeks to debate questions regarding the field</w:t>
      </w:r>
      <w:r w:rsidR="00427468">
        <w:rPr>
          <w:kern w:val="0"/>
        </w:rPr>
        <w:t xml:space="preserve"> of </w:t>
      </w:r>
      <w:r>
        <w:rPr>
          <w:kern w:val="0"/>
        </w:rPr>
        <w:t>studies</w:t>
      </w:r>
      <w:r w:rsidR="00427468">
        <w:rPr>
          <w:kern w:val="0"/>
        </w:rPr>
        <w:t xml:space="preserve"> of </w:t>
      </w:r>
      <w:r>
        <w:rPr>
          <w:kern w:val="0"/>
        </w:rPr>
        <w:t>Communication, its subject matter,</w:t>
      </w:r>
      <w:r w:rsidR="005853A9">
        <w:rPr>
          <w:kern w:val="0"/>
        </w:rPr>
        <w:t xml:space="preserve"> and </w:t>
      </w:r>
      <w:r>
        <w:rPr>
          <w:kern w:val="0"/>
        </w:rPr>
        <w:t>the target audience for its advances. Beyond questioning the what</w:t>
      </w:r>
      <w:r w:rsidR="005853A9">
        <w:rPr>
          <w:kern w:val="0"/>
        </w:rPr>
        <w:t xml:space="preserve"> and </w:t>
      </w:r>
      <w:r>
        <w:rPr>
          <w:kern w:val="0"/>
        </w:rPr>
        <w:t>why</w:t>
      </w:r>
      <w:r w:rsidR="00427468">
        <w:rPr>
          <w:kern w:val="0"/>
        </w:rPr>
        <w:t xml:space="preserve"> of </w:t>
      </w:r>
      <w:r>
        <w:rPr>
          <w:kern w:val="0"/>
        </w:rPr>
        <w:t>communication, it questions the role</w:t>
      </w:r>
      <w:r w:rsidR="00427468">
        <w:rPr>
          <w:kern w:val="0"/>
        </w:rPr>
        <w:t xml:space="preserve"> of </w:t>
      </w:r>
      <w:r>
        <w:rPr>
          <w:kern w:val="0"/>
        </w:rPr>
        <w:t>bibliometrics as sufficient criteria to determine research quality,</w:t>
      </w:r>
      <w:r w:rsidR="005853A9">
        <w:rPr>
          <w:kern w:val="0"/>
        </w:rPr>
        <w:t xml:space="preserve"> and </w:t>
      </w:r>
      <w:r>
        <w:rPr>
          <w:kern w:val="0"/>
        </w:rPr>
        <w:t>proposes opening a public debate with the research advances</w:t>
      </w:r>
      <w:r w:rsidR="00427468">
        <w:rPr>
          <w:kern w:val="0"/>
        </w:rPr>
        <w:t xml:space="preserve"> of </w:t>
      </w:r>
      <w:r>
        <w:rPr>
          <w:kern w:val="0"/>
        </w:rPr>
        <w:t>the field</w:t>
      </w:r>
      <w:r w:rsidR="00A37C1D">
        <w:rPr>
          <w:kern w:val="0"/>
        </w:rPr>
        <w:t>. The</w:t>
      </w:r>
      <w:r>
        <w:rPr>
          <w:kern w:val="0"/>
        </w:rPr>
        <w:t xml:space="preserve"> debate draws from epistemic aspects</w:t>
      </w:r>
      <w:r w:rsidR="00427468">
        <w:rPr>
          <w:kern w:val="0"/>
        </w:rPr>
        <w:t xml:space="preserve"> of </w:t>
      </w:r>
      <w:r>
        <w:rPr>
          <w:kern w:val="0"/>
        </w:rPr>
        <w:t>the field</w:t>
      </w:r>
      <w:r w:rsidR="00427468">
        <w:rPr>
          <w:kern w:val="0"/>
        </w:rPr>
        <w:t xml:space="preserve"> of </w:t>
      </w:r>
      <w:r>
        <w:rPr>
          <w:kern w:val="0"/>
        </w:rPr>
        <w:t>studies</w:t>
      </w:r>
      <w:r w:rsidR="005853A9">
        <w:rPr>
          <w:kern w:val="0"/>
        </w:rPr>
        <w:t xml:space="preserve"> and </w:t>
      </w:r>
      <w:r>
        <w:rPr>
          <w:kern w:val="0"/>
        </w:rPr>
        <w:t>criticizes the positivistic perspective currently embraced by national policies on science</w:t>
      </w:r>
      <w:r w:rsidR="005853A9">
        <w:rPr>
          <w:kern w:val="0"/>
        </w:rPr>
        <w:t xml:space="preserve"> and </w:t>
      </w:r>
      <w:r>
        <w:rPr>
          <w:kern w:val="0"/>
        </w:rPr>
        <w:t>technology. Finally, the article proposes a wider perspective on the issues relevant to communication</w:t>
      </w:r>
      <w:r w:rsidR="005853A9">
        <w:rPr>
          <w:kern w:val="0"/>
        </w:rPr>
        <w:t xml:space="preserve"> and </w:t>
      </w:r>
      <w:r>
        <w:rPr>
          <w:kern w:val="0"/>
        </w:rPr>
        <w:t>raises questions about scienciometry as quality criterion.</w:t>
      </w:r>
    </w:p>
    <w:p w:rsidR="00137144" w:rsidRDefault="00137144" w:rsidP="00137144">
      <w:pPr>
        <w:pStyle w:val="a3"/>
        <w:rPr>
          <w:kern w:val="0"/>
        </w:rPr>
      </w:pPr>
      <w:r>
        <w:rPr>
          <w:kern w:val="0"/>
        </w:rPr>
        <w:t>Keywords: Advances, Bibliometrics, Communication, Criteria, Epistemology</w:t>
      </w:r>
      <w:r w:rsidR="00427468">
        <w:rPr>
          <w:kern w:val="0"/>
        </w:rPr>
        <w:t xml:space="preserve"> of </w:t>
      </w:r>
      <w:r>
        <w:rPr>
          <w:kern w:val="0"/>
        </w:rPr>
        <w:t>Communication, Field, Knowledge, Policies, Public, Quality, Research, Research Journals, Research Quality, Role, Science, Science</w:t>
      </w:r>
      <w:r w:rsidR="005853A9">
        <w:rPr>
          <w:kern w:val="0"/>
        </w:rPr>
        <w:t xml:space="preserve"> and </w:t>
      </w:r>
      <w:r>
        <w:rPr>
          <w:kern w:val="0"/>
        </w:rPr>
        <w:t>Technology, Scienciometry, Technology</w:t>
      </w:r>
    </w:p>
    <w:p w:rsidR="006D1994" w:rsidRPr="001A3D2B" w:rsidRDefault="006D1994" w:rsidP="006D1994">
      <w:pPr>
        <w:pStyle w:val="1"/>
      </w:pPr>
      <w:r w:rsidRPr="001A3D2B">
        <w:br w:type="page"/>
      </w:r>
      <w:bookmarkStart w:id="331" w:name="_Toc420815062"/>
      <w:r w:rsidRPr="001A3D2B">
        <w:lastRenderedPageBreak/>
        <w:t xml:space="preserve">Title: </w:t>
      </w:r>
      <w:r w:rsidRPr="006D1994">
        <w:rPr>
          <w:iCs w:val="0"/>
        </w:rPr>
        <w:t>Clinical Nutrition</w:t>
      </w:r>
      <w:bookmarkEnd w:id="331"/>
    </w:p>
    <w:p w:rsidR="006D1994" w:rsidRPr="001A3D2B" w:rsidRDefault="006D1994" w:rsidP="006D1994">
      <w:pPr>
        <w:pStyle w:val="12"/>
      </w:pPr>
      <w:r w:rsidRPr="001A3D2B">
        <w:t xml:space="preserve">Full Journal Title: </w:t>
      </w:r>
      <w:hyperlink r:id="rId883" w:history="1">
        <w:r w:rsidRPr="006D1994">
          <w:rPr>
            <w:rStyle w:val="a5"/>
            <w:iCs/>
            <w:kern w:val="0"/>
          </w:rPr>
          <w:t>Clinical Nutrition</w:t>
        </w:r>
      </w:hyperlink>
    </w:p>
    <w:p w:rsidR="006D1994" w:rsidRPr="001A3D2B" w:rsidRDefault="006D1994" w:rsidP="006D1994">
      <w:pPr>
        <w:pStyle w:val="12"/>
      </w:pPr>
      <w:r w:rsidRPr="001A3D2B">
        <w:t xml:space="preserve">ISO Abbreviated Title: </w:t>
      </w:r>
    </w:p>
    <w:p w:rsidR="006D1994" w:rsidRPr="001A3D2B" w:rsidRDefault="006D1994" w:rsidP="006D1994">
      <w:pPr>
        <w:pStyle w:val="12"/>
      </w:pPr>
      <w:r w:rsidRPr="001A3D2B">
        <w:t xml:space="preserve">JCR Abbreviated Title: </w:t>
      </w:r>
    </w:p>
    <w:p w:rsidR="006D1994" w:rsidRPr="001A3D2B" w:rsidRDefault="006D1994" w:rsidP="006D1994">
      <w:pPr>
        <w:pStyle w:val="12"/>
      </w:pPr>
      <w:r w:rsidRPr="001A3D2B">
        <w:t xml:space="preserve">ISSN: </w:t>
      </w:r>
    </w:p>
    <w:p w:rsidR="006D1994" w:rsidRPr="001A3D2B" w:rsidRDefault="006D1994" w:rsidP="006D1994">
      <w:pPr>
        <w:pStyle w:val="12"/>
      </w:pPr>
      <w:r w:rsidRPr="001A3D2B">
        <w:t xml:space="preserve">Issues/Year: </w:t>
      </w:r>
    </w:p>
    <w:p w:rsidR="006D1994" w:rsidRPr="001A3D2B" w:rsidRDefault="006D1994" w:rsidP="006D1994">
      <w:pPr>
        <w:pStyle w:val="12"/>
      </w:pPr>
      <w:r w:rsidRPr="001A3D2B">
        <w:t xml:space="preserve">Journal Country/Territory: </w:t>
      </w:r>
    </w:p>
    <w:p w:rsidR="006D1994" w:rsidRPr="001A3D2B" w:rsidRDefault="006D1994" w:rsidP="006D1994">
      <w:pPr>
        <w:pStyle w:val="12"/>
      </w:pPr>
      <w:r w:rsidRPr="001A3D2B">
        <w:t xml:space="preserve">Language: </w:t>
      </w:r>
    </w:p>
    <w:p w:rsidR="006D1994" w:rsidRPr="001A3D2B" w:rsidRDefault="006D1994" w:rsidP="006D1994">
      <w:pPr>
        <w:pStyle w:val="12"/>
      </w:pPr>
      <w:r w:rsidRPr="001A3D2B">
        <w:t xml:space="preserve">Publisher: </w:t>
      </w:r>
    </w:p>
    <w:p w:rsidR="006D1994" w:rsidRPr="001A3D2B" w:rsidRDefault="006D1994" w:rsidP="006D1994">
      <w:pPr>
        <w:pStyle w:val="12"/>
      </w:pPr>
      <w:r w:rsidRPr="001A3D2B">
        <w:t xml:space="preserve">Publisher Address: </w:t>
      </w:r>
    </w:p>
    <w:p w:rsidR="006D1994" w:rsidRPr="001A3D2B" w:rsidRDefault="006D1994" w:rsidP="006D1994">
      <w:pPr>
        <w:pStyle w:val="12"/>
      </w:pPr>
      <w:r w:rsidRPr="001A3D2B">
        <w:t>Subject Categories:</w:t>
      </w:r>
    </w:p>
    <w:p w:rsidR="006D1994" w:rsidRPr="001A3D2B" w:rsidRDefault="006D1994" w:rsidP="006D1994">
      <w:pPr>
        <w:pStyle w:val="12"/>
      </w:pPr>
      <w:r w:rsidRPr="001A3D2B">
        <w:t xml:space="preserve">: Impact Factor </w:t>
      </w:r>
    </w:p>
    <w:p w:rsidR="006D1994" w:rsidRDefault="006D1994" w:rsidP="006D1994">
      <w:pPr>
        <w:pStyle w:val="a3"/>
        <w:rPr>
          <w:kern w:val="0"/>
        </w:rPr>
      </w:pPr>
      <w:r>
        <w:rPr>
          <w:rFonts w:hint="eastAsia"/>
          <w:kern w:val="0"/>
        </w:rPr>
        <w:t xml:space="preserve">? </w:t>
      </w:r>
      <w:r>
        <w:rPr>
          <w:kern w:val="0"/>
        </w:rPr>
        <w:t>Awad, S., Constantin-Teodosiu, D., Macdonald, I.A.</w:t>
      </w:r>
      <w:r w:rsidR="005853A9">
        <w:rPr>
          <w:kern w:val="0"/>
        </w:rPr>
        <w:t xml:space="preserve"> and </w:t>
      </w:r>
      <w:r>
        <w:rPr>
          <w:kern w:val="0"/>
        </w:rPr>
        <w:t>Lobo, D.N. (2009), Short-term starvation</w:t>
      </w:r>
      <w:r w:rsidR="005853A9">
        <w:rPr>
          <w:kern w:val="0"/>
        </w:rPr>
        <w:t xml:space="preserve"> and </w:t>
      </w:r>
      <w:r>
        <w:rPr>
          <w:kern w:val="0"/>
        </w:rPr>
        <w:t xml:space="preserve">mitochondrial dysfunction - A possible mechanism leading to postoperative insulin resistance. </w:t>
      </w:r>
      <w:r w:rsidRPr="006D1994">
        <w:rPr>
          <w:i/>
          <w:iCs/>
          <w:kern w:val="0"/>
        </w:rPr>
        <w:t>Clinical Nutrition</w:t>
      </w:r>
      <w:r>
        <w:rPr>
          <w:kern w:val="0"/>
        </w:rPr>
        <w:t xml:space="preserve">, </w:t>
      </w:r>
      <w:r>
        <w:rPr>
          <w:b/>
          <w:bCs/>
          <w:kern w:val="0"/>
        </w:rPr>
        <w:t>28</w:t>
      </w:r>
      <w:r>
        <w:rPr>
          <w:kern w:val="0"/>
        </w:rPr>
        <w:t xml:space="preserve"> (5), 497-509.</w:t>
      </w:r>
    </w:p>
    <w:p w:rsidR="006D1994" w:rsidRDefault="006D1994" w:rsidP="006D1994">
      <w:pPr>
        <w:pStyle w:val="a3"/>
        <w:rPr>
          <w:kern w:val="0"/>
        </w:rPr>
      </w:pPr>
      <w:r>
        <w:rPr>
          <w:rFonts w:hint="eastAsia"/>
          <w:kern w:val="0"/>
        </w:rPr>
        <w:t xml:space="preserve">Full Text: </w:t>
      </w:r>
      <w:hyperlink r:id="rId884" w:history="1">
        <w:r w:rsidRPr="006D1994">
          <w:rPr>
            <w:rStyle w:val="a5"/>
            <w:kern w:val="0"/>
          </w:rPr>
          <w:t>2009\Cli Nut28, 497.pdf</w:t>
        </w:r>
      </w:hyperlink>
    </w:p>
    <w:p w:rsidR="006D1994" w:rsidRDefault="006D1994" w:rsidP="006D1994">
      <w:pPr>
        <w:pStyle w:val="a3"/>
        <w:rPr>
          <w:kern w:val="0"/>
        </w:rPr>
      </w:pPr>
      <w:r>
        <w:rPr>
          <w:kern w:val="0"/>
        </w:rPr>
        <w:t>Abstract: Background: Preoperative starvation results in</w:t>
      </w:r>
      <w:r w:rsidR="003A1917">
        <w:rPr>
          <w:kern w:val="0"/>
        </w:rPr>
        <w:t xml:space="preserve"> the </w:t>
      </w:r>
      <w:r>
        <w:rPr>
          <w:kern w:val="0"/>
        </w:rPr>
        <w:t>development</w:t>
      </w:r>
      <w:r w:rsidR="00427468">
        <w:rPr>
          <w:kern w:val="0"/>
        </w:rPr>
        <w:t xml:space="preserve"> of </w:t>
      </w:r>
      <w:r>
        <w:rPr>
          <w:kern w:val="0"/>
        </w:rPr>
        <w:t>insulin resistance. Measures to attenuate</w:t>
      </w:r>
      <w:r w:rsidR="003A1917">
        <w:rPr>
          <w:kern w:val="0"/>
        </w:rPr>
        <w:t xml:space="preserve"> the </w:t>
      </w:r>
      <w:r>
        <w:rPr>
          <w:kern w:val="0"/>
        </w:rPr>
        <w:t>development</w:t>
      </w:r>
      <w:r w:rsidR="00427468">
        <w:rPr>
          <w:kern w:val="0"/>
        </w:rPr>
        <w:t xml:space="preserve"> of </w:t>
      </w:r>
      <w:r>
        <w:rPr>
          <w:kern w:val="0"/>
        </w:rPr>
        <w:t>insulin resistance, such as preoperative carbohydrate loading, lead to clinical benefits. However,</w:t>
      </w:r>
      <w:r w:rsidR="003A1917">
        <w:rPr>
          <w:kern w:val="0"/>
        </w:rPr>
        <w:t xml:space="preserve"> the </w:t>
      </w:r>
      <w:r>
        <w:rPr>
          <w:kern w:val="0"/>
        </w:rPr>
        <w:t>mechanisms that underlie</w:t>
      </w:r>
      <w:r w:rsidR="003A1917">
        <w:rPr>
          <w:kern w:val="0"/>
        </w:rPr>
        <w:t xml:space="preserve"> the </w:t>
      </w:r>
      <w:r>
        <w:rPr>
          <w:kern w:val="0"/>
        </w:rPr>
        <w:t>development</w:t>
      </w:r>
      <w:r w:rsidR="00427468">
        <w:rPr>
          <w:kern w:val="0"/>
        </w:rPr>
        <w:t xml:space="preserve"> of </w:t>
      </w:r>
      <w:r>
        <w:rPr>
          <w:kern w:val="0"/>
        </w:rPr>
        <w:t>insulin resistance during starvation</w:t>
      </w:r>
      <w:r w:rsidR="005853A9">
        <w:rPr>
          <w:kern w:val="0"/>
        </w:rPr>
        <w:t xml:space="preserve"> and </w:t>
      </w:r>
      <w:r>
        <w:rPr>
          <w:kern w:val="0"/>
        </w:rPr>
        <w:t>its attenuation by preoperative carbohydrate loading remain to be defined. Insulin resistance associated with type 2 diabetes</w:t>
      </w:r>
      <w:r w:rsidR="005853A9">
        <w:rPr>
          <w:kern w:val="0"/>
        </w:rPr>
        <w:t xml:space="preserve"> and </w:t>
      </w:r>
      <w:r>
        <w:rPr>
          <w:kern w:val="0"/>
        </w:rPr>
        <w:t>ageing has been linked to mitochondrial dysfunction</w:t>
      </w:r>
      <w:r w:rsidR="00A37C1D">
        <w:rPr>
          <w:kern w:val="0"/>
        </w:rPr>
        <w:t>. The</w:t>
      </w:r>
      <w:r w:rsidR="003A1917">
        <w:rPr>
          <w:kern w:val="0"/>
        </w:rPr>
        <w:t xml:space="preserve"> </w:t>
      </w:r>
      <w:r>
        <w:rPr>
          <w:kern w:val="0"/>
        </w:rPr>
        <w:t>metabolic consequences</w:t>
      </w:r>
      <w:r w:rsidR="00427468">
        <w:rPr>
          <w:kern w:val="0"/>
        </w:rPr>
        <w:t xml:space="preserve"> of </w:t>
      </w:r>
      <w:r>
        <w:rPr>
          <w:kern w:val="0"/>
        </w:rPr>
        <w:t>preoperative starvation</w:t>
      </w:r>
      <w:r w:rsidR="005853A9">
        <w:rPr>
          <w:kern w:val="0"/>
        </w:rPr>
        <w:t xml:space="preserve"> and </w:t>
      </w:r>
      <w:r>
        <w:rPr>
          <w:kern w:val="0"/>
        </w:rPr>
        <w:t>carbohydrate loading</w:t>
      </w:r>
      <w:r w:rsidR="005853A9">
        <w:rPr>
          <w:kern w:val="0"/>
        </w:rPr>
        <w:t xml:space="preserve"> and </w:t>
      </w:r>
      <w:r>
        <w:rPr>
          <w:kern w:val="0"/>
        </w:rPr>
        <w:t>mechanisms linking insulin resistance to impaired mitochondrial function are discussed. Methods: Searches</w:t>
      </w:r>
      <w:r w:rsidR="00427468">
        <w:rPr>
          <w:kern w:val="0"/>
        </w:rPr>
        <w:t xml:space="preserve"> of </w:t>
      </w:r>
      <w:r w:rsidR="003A1917">
        <w:rPr>
          <w:kern w:val="0"/>
        </w:rPr>
        <w:t xml:space="preserve">the </w:t>
      </w:r>
      <w:r w:rsidR="00D5664A">
        <w:rPr>
          <w:kern w:val="0"/>
        </w:rPr>
        <w:t>MEDLINE</w:t>
      </w:r>
      <w:r w:rsidR="005853A9">
        <w:rPr>
          <w:kern w:val="0"/>
        </w:rPr>
        <w:t xml:space="preserve"> and </w:t>
      </w:r>
      <w:r>
        <w:rPr>
          <w:kern w:val="0"/>
        </w:rPr>
        <w:t>Science Citation Index databases were performed using various key words in combinations with</w:t>
      </w:r>
      <w:r w:rsidR="003A1917">
        <w:rPr>
          <w:kern w:val="0"/>
        </w:rPr>
        <w:t xml:space="preserve"> the </w:t>
      </w:r>
      <w:r>
        <w:rPr>
          <w:kern w:val="0"/>
        </w:rPr>
        <w:t>Boolean operators AND, OR</w:t>
      </w:r>
      <w:r w:rsidR="005853A9">
        <w:rPr>
          <w:kern w:val="0"/>
        </w:rPr>
        <w:t xml:space="preserve"> and </w:t>
      </w:r>
      <w:r>
        <w:rPr>
          <w:kern w:val="0"/>
        </w:rPr>
        <w:t>NOT. Key journals, nutrition</w:t>
      </w:r>
      <w:r w:rsidR="005853A9">
        <w:rPr>
          <w:kern w:val="0"/>
        </w:rPr>
        <w:t xml:space="preserve"> and </w:t>
      </w:r>
      <w:r>
        <w:rPr>
          <w:kern w:val="0"/>
        </w:rPr>
        <w:t>metabolism textbooks</w:t>
      </w:r>
      <w:r w:rsidR="005853A9">
        <w:rPr>
          <w:kern w:val="0"/>
        </w:rPr>
        <w:t xml:space="preserve"> and </w:t>
      </w:r>
      <w:r w:rsidR="003A1917">
        <w:rPr>
          <w:kern w:val="0"/>
        </w:rPr>
        <w:t xml:space="preserve">the </w:t>
      </w:r>
      <w:r>
        <w:rPr>
          <w:kern w:val="0"/>
        </w:rPr>
        <w:t>reference lists</w:t>
      </w:r>
      <w:r w:rsidR="00427468">
        <w:rPr>
          <w:kern w:val="0"/>
        </w:rPr>
        <w:t xml:space="preserve"> of </w:t>
      </w:r>
      <w:r>
        <w:rPr>
          <w:kern w:val="0"/>
        </w:rPr>
        <w:t>key articles were also hand searched. Results: Animal studies have shown that short-term energy deprivation decreases mitochondrial ATP synthesis capacity</w:t>
      </w:r>
      <w:r w:rsidR="005853A9">
        <w:rPr>
          <w:kern w:val="0"/>
        </w:rPr>
        <w:t xml:space="preserve"> and </w:t>
      </w:r>
      <w:r>
        <w:rPr>
          <w:kern w:val="0"/>
        </w:rPr>
        <w:t>complex activity,</w:t>
      </w:r>
      <w:r w:rsidR="005853A9">
        <w:rPr>
          <w:kern w:val="0"/>
        </w:rPr>
        <w:t xml:space="preserve"> and </w:t>
      </w:r>
      <w:r>
        <w:rPr>
          <w:kern w:val="0"/>
        </w:rPr>
        <w:t>increases oxidative injury. Furthermore, evidence from human studies suggests that</w:t>
      </w:r>
      <w:r w:rsidR="003A1917">
        <w:rPr>
          <w:kern w:val="0"/>
        </w:rPr>
        <w:t xml:space="preserve"> the </w:t>
      </w:r>
      <w:r>
        <w:rPr>
          <w:kern w:val="0"/>
        </w:rPr>
        <w:t>development</w:t>
      </w:r>
      <w:r w:rsidR="00427468">
        <w:rPr>
          <w:kern w:val="0"/>
        </w:rPr>
        <w:t xml:space="preserve"> of </w:t>
      </w:r>
      <w:r>
        <w:rPr>
          <w:kern w:val="0"/>
        </w:rPr>
        <w:t>insulin resistance during starvation may be linked to impaired mitochondrial function. Conclusions: There is evidence from animal studies that short-term starvation causes mitochondrial dysfunction. Future studies should investigate whether mitochondrial dysfunction underlies</w:t>
      </w:r>
      <w:r w:rsidR="003A1917">
        <w:rPr>
          <w:kern w:val="0"/>
        </w:rPr>
        <w:t xml:space="preserve"> the </w:t>
      </w:r>
      <w:r>
        <w:rPr>
          <w:kern w:val="0"/>
        </w:rPr>
        <w:t>development</w:t>
      </w:r>
      <w:r w:rsidR="00427468">
        <w:rPr>
          <w:kern w:val="0"/>
        </w:rPr>
        <w:t xml:space="preserve"> of </w:t>
      </w:r>
      <w:r>
        <w:rPr>
          <w:kern w:val="0"/>
        </w:rPr>
        <w:t>insulin resistance in patients undergoing elective surgery. (C) 2009 Elsevier Ltd</w:t>
      </w:r>
      <w:r w:rsidR="005853A9">
        <w:rPr>
          <w:kern w:val="0"/>
        </w:rPr>
        <w:t xml:space="preserve"> and </w:t>
      </w:r>
      <w:r>
        <w:rPr>
          <w:kern w:val="0"/>
        </w:rPr>
        <w:t>European Society for Clinical Nutrition</w:t>
      </w:r>
      <w:r w:rsidR="005853A9">
        <w:rPr>
          <w:kern w:val="0"/>
        </w:rPr>
        <w:t xml:space="preserve"> and </w:t>
      </w:r>
      <w:r>
        <w:rPr>
          <w:kern w:val="0"/>
        </w:rPr>
        <w:t>Metabolism. All rights reserved.</w:t>
      </w:r>
    </w:p>
    <w:p w:rsidR="006D1994" w:rsidRDefault="006D1994" w:rsidP="006D1994">
      <w:pPr>
        <w:pStyle w:val="a3"/>
        <w:rPr>
          <w:kern w:val="0"/>
        </w:rPr>
      </w:pPr>
      <w:r>
        <w:rPr>
          <w:kern w:val="0"/>
        </w:rPr>
        <w:lastRenderedPageBreak/>
        <w:t xml:space="preserve">Keywords: Ageing, Articles, Capacity, Carbohydrate, Citation, Complex, Complex-I Activity, Critically-Ill Patients, Databases, Development, Elsevier, Fasting, Feeding, Food-Deprivation, Glucose-Infusion, High-Fat Diet, Human Skeletal-Muscle, Insulin Resistance, Insulin Sensitivity, Journals, Lead, Mechanism, Mechanisms, </w:t>
      </w:r>
      <w:r w:rsidR="00D5664A">
        <w:rPr>
          <w:kern w:val="0"/>
        </w:rPr>
        <w:t>MEDLINE</w:t>
      </w:r>
      <w:r>
        <w:rPr>
          <w:kern w:val="0"/>
        </w:rPr>
        <w:t>, Metabolic, Mitochondria, Oral Carbohydrate Treatment, Oxidative-Phosphorylation, Perioperative, Randomized Clinical-Trial, Rat-Liver Mitochondria, Science, Science Citation Index, Starvation, Stress, Surgery</w:t>
      </w:r>
    </w:p>
    <w:p w:rsidR="008A6547" w:rsidRDefault="008A6547" w:rsidP="008A6547">
      <w:pPr>
        <w:pStyle w:val="a3"/>
        <w:rPr>
          <w:kern w:val="0"/>
        </w:rPr>
      </w:pPr>
      <w:r>
        <w:rPr>
          <w:rFonts w:hint="eastAsia"/>
          <w:kern w:val="0"/>
        </w:rPr>
        <w:t xml:space="preserve">? </w:t>
      </w:r>
      <w:r>
        <w:rPr>
          <w:kern w:val="0"/>
        </w:rPr>
        <w:t>Nieuwenhuizen, W.F., Weenen, H., Rigby, P.</w:t>
      </w:r>
      <w:r w:rsidR="005853A9">
        <w:rPr>
          <w:kern w:val="0"/>
        </w:rPr>
        <w:t xml:space="preserve"> and </w:t>
      </w:r>
      <w:r>
        <w:rPr>
          <w:kern w:val="0"/>
        </w:rPr>
        <w:t>Hetherington, M.M. (2010), Older adults</w:t>
      </w:r>
      <w:r w:rsidR="005853A9">
        <w:rPr>
          <w:kern w:val="0"/>
        </w:rPr>
        <w:t xml:space="preserve"> and </w:t>
      </w:r>
      <w:r>
        <w:rPr>
          <w:kern w:val="0"/>
        </w:rPr>
        <w:t>patients in need</w:t>
      </w:r>
      <w:r w:rsidR="00427468">
        <w:rPr>
          <w:kern w:val="0"/>
        </w:rPr>
        <w:t xml:space="preserve"> of </w:t>
      </w:r>
      <w:r>
        <w:rPr>
          <w:kern w:val="0"/>
        </w:rPr>
        <w:t>nutritional support: Review</w:t>
      </w:r>
      <w:r w:rsidR="00427468">
        <w:rPr>
          <w:kern w:val="0"/>
        </w:rPr>
        <w:t xml:space="preserve"> of </w:t>
      </w:r>
      <w:r>
        <w:rPr>
          <w:kern w:val="0"/>
        </w:rPr>
        <w:t>current treatment options</w:t>
      </w:r>
      <w:r w:rsidR="005853A9">
        <w:rPr>
          <w:kern w:val="0"/>
        </w:rPr>
        <w:t xml:space="preserve"> and </w:t>
      </w:r>
      <w:r>
        <w:rPr>
          <w:kern w:val="0"/>
        </w:rPr>
        <w:t xml:space="preserve">factors influencing nutritional intake. </w:t>
      </w:r>
      <w:r>
        <w:rPr>
          <w:i/>
          <w:iCs/>
          <w:kern w:val="0"/>
        </w:rPr>
        <w:t>Clinical Nutrition</w:t>
      </w:r>
      <w:r>
        <w:rPr>
          <w:kern w:val="0"/>
        </w:rPr>
        <w:t xml:space="preserve">, </w:t>
      </w:r>
      <w:r>
        <w:rPr>
          <w:b/>
          <w:bCs/>
          <w:kern w:val="0"/>
        </w:rPr>
        <w:t>29</w:t>
      </w:r>
      <w:r>
        <w:rPr>
          <w:kern w:val="0"/>
        </w:rPr>
        <w:t xml:space="preserve"> (2), 160-169.</w:t>
      </w:r>
    </w:p>
    <w:p w:rsidR="008A6547" w:rsidRDefault="008A6547" w:rsidP="008A6547">
      <w:pPr>
        <w:pStyle w:val="a3"/>
        <w:rPr>
          <w:kern w:val="0"/>
        </w:rPr>
      </w:pPr>
      <w:r>
        <w:rPr>
          <w:rFonts w:hint="eastAsia"/>
          <w:kern w:val="0"/>
        </w:rPr>
        <w:t xml:space="preserve">Full Text: </w:t>
      </w:r>
      <w:hyperlink r:id="rId885" w:history="1">
        <w:r w:rsidRPr="00D83034">
          <w:rPr>
            <w:rStyle w:val="a5"/>
            <w:kern w:val="0"/>
          </w:rPr>
          <w:t>2010\Cli Nut29, 160.pdf</w:t>
        </w:r>
      </w:hyperlink>
    </w:p>
    <w:p w:rsidR="008A6547" w:rsidRDefault="008A6547" w:rsidP="008A6547">
      <w:pPr>
        <w:pStyle w:val="a3"/>
        <w:rPr>
          <w:kern w:val="0"/>
        </w:rPr>
      </w:pPr>
      <w:r>
        <w:rPr>
          <w:kern w:val="0"/>
        </w:rPr>
        <w:t>Abstract: Background &amp; aims: Many older adults</w:t>
      </w:r>
      <w:r w:rsidR="005853A9">
        <w:rPr>
          <w:kern w:val="0"/>
        </w:rPr>
        <w:t xml:space="preserve"> and </w:t>
      </w:r>
      <w:r>
        <w:rPr>
          <w:kern w:val="0"/>
        </w:rPr>
        <w:t>patients do not achieve sufficient nutritional intake to support their minimal needs</w:t>
      </w:r>
      <w:r w:rsidR="005853A9">
        <w:rPr>
          <w:kern w:val="0"/>
        </w:rPr>
        <w:t xml:space="preserve"> and </w:t>
      </w:r>
      <w:r>
        <w:rPr>
          <w:kern w:val="0"/>
        </w:rPr>
        <w:t>are at risk of, or are suffering from, (protein-energy) malnutrition. Better understanding</w:t>
      </w:r>
      <w:r w:rsidR="00427468">
        <w:rPr>
          <w:kern w:val="0"/>
        </w:rPr>
        <w:t xml:space="preserve"> of </w:t>
      </w:r>
      <w:r>
        <w:rPr>
          <w:kern w:val="0"/>
        </w:rPr>
        <w:t>current treatment options</w:t>
      </w:r>
      <w:r w:rsidR="005853A9">
        <w:rPr>
          <w:kern w:val="0"/>
        </w:rPr>
        <w:t xml:space="preserve"> and </w:t>
      </w:r>
      <w:r>
        <w:rPr>
          <w:kern w:val="0"/>
        </w:rPr>
        <w:t xml:space="preserve">factors determining nutritional intake, may help design new strategies to solve this multifactorial problem. Methods: </w:t>
      </w:r>
      <w:r w:rsidR="00D5664A">
        <w:rPr>
          <w:kern w:val="0"/>
        </w:rPr>
        <w:t>MEDLINE</w:t>
      </w:r>
      <w:r>
        <w:rPr>
          <w:kern w:val="0"/>
        </w:rPr>
        <w:t>, Science Citation Index, ScienceDirect</w:t>
      </w:r>
      <w:r w:rsidR="005853A9">
        <w:rPr>
          <w:kern w:val="0"/>
        </w:rPr>
        <w:t xml:space="preserve"> and </w:t>
      </w:r>
      <w:r>
        <w:rPr>
          <w:kern w:val="0"/>
        </w:rPr>
        <w:t>Google databases (until December 2008) were searched with</w:t>
      </w:r>
      <w:r w:rsidR="003A1917">
        <w:rPr>
          <w:kern w:val="0"/>
        </w:rPr>
        <w:t xml:space="preserve"> the </w:t>
      </w:r>
      <w:r>
        <w:rPr>
          <w:kern w:val="0"/>
        </w:rPr>
        <w:t>keywords malnutrition, elderly, older adults, food intake, energy density, variety, taste, satiety,</w:t>
      </w:r>
      <w:r w:rsidR="005853A9">
        <w:rPr>
          <w:kern w:val="0"/>
        </w:rPr>
        <w:t xml:space="preserve"> and </w:t>
      </w:r>
      <w:r>
        <w:rPr>
          <w:kern w:val="0"/>
        </w:rPr>
        <w:t>appetite. Results: 37 Factors affecting nutritional intake were identified</w:t>
      </w:r>
      <w:r w:rsidR="005853A9">
        <w:rPr>
          <w:kern w:val="0"/>
        </w:rPr>
        <w:t xml:space="preserve"> and </w:t>
      </w:r>
      <w:r>
        <w:rPr>
          <w:kern w:val="0"/>
        </w:rPr>
        <w:t>divided in three categories: those related to</w:t>
      </w:r>
      <w:r w:rsidR="003A1917">
        <w:rPr>
          <w:kern w:val="0"/>
        </w:rPr>
        <w:t xml:space="preserve"> the </w:t>
      </w:r>
      <w:r>
        <w:rPr>
          <w:kern w:val="0"/>
        </w:rPr>
        <w:t>environment,</w:t>
      </w:r>
      <w:r w:rsidR="003A1917">
        <w:rPr>
          <w:kern w:val="0"/>
        </w:rPr>
        <w:t xml:space="preserve"> the </w:t>
      </w:r>
      <w:r>
        <w:rPr>
          <w:kern w:val="0"/>
        </w:rPr>
        <w:t>person,</w:t>
      </w:r>
      <w:r w:rsidR="005853A9">
        <w:rPr>
          <w:kern w:val="0"/>
        </w:rPr>
        <w:t xml:space="preserve"> and </w:t>
      </w:r>
      <w:r w:rsidR="003A1917">
        <w:rPr>
          <w:kern w:val="0"/>
        </w:rPr>
        <w:t xml:space="preserve">the </w:t>
      </w:r>
      <w:r>
        <w:rPr>
          <w:kern w:val="0"/>
        </w:rPr>
        <w:t>food. For older adults in nursing homes, encouragement by carers</w:t>
      </w:r>
      <w:r w:rsidR="005853A9">
        <w:rPr>
          <w:kern w:val="0"/>
        </w:rPr>
        <w:t xml:space="preserve"> and </w:t>
      </w:r>
      <w:r>
        <w:rPr>
          <w:kern w:val="0"/>
        </w:rPr>
        <w:t>an appropriate ambiance seem particularly important. Meal fortification, offering variety, providing frequent small meals, snacks</w:t>
      </w:r>
      <w:r w:rsidR="005853A9">
        <w:rPr>
          <w:kern w:val="0"/>
        </w:rPr>
        <w:t xml:space="preserve"> and </w:t>
      </w:r>
      <w:r>
        <w:rPr>
          <w:kern w:val="0"/>
        </w:rPr>
        <w:t>particularly Oral Nutritional Supplements (ONS) between meals are other possibilities for this group. Product factors that stimulate intake include palatability, high energy density, low volume,</w:t>
      </w:r>
      <w:r w:rsidR="005853A9">
        <w:rPr>
          <w:kern w:val="0"/>
        </w:rPr>
        <w:t xml:space="preserve"> and </w:t>
      </w:r>
      <w:r>
        <w:rPr>
          <w:kern w:val="0"/>
        </w:rPr>
        <w:t>liquid format. Conclusion:</w:t>
      </w:r>
      <w:r w:rsidR="003A1917">
        <w:rPr>
          <w:kern w:val="0"/>
        </w:rPr>
        <w:t xml:space="preserve"> the </w:t>
      </w:r>
      <w:r>
        <w:rPr>
          <w:kern w:val="0"/>
        </w:rPr>
        <w:t>current review gives a comprehensive overview</w:t>
      </w:r>
      <w:r w:rsidR="00427468">
        <w:rPr>
          <w:kern w:val="0"/>
        </w:rPr>
        <w:t xml:space="preserve"> of </w:t>
      </w:r>
      <w:r>
        <w:rPr>
          <w:kern w:val="0"/>
        </w:rPr>
        <w:t>factors affecting nutritional intake</w:t>
      </w:r>
      <w:r w:rsidR="005853A9">
        <w:rPr>
          <w:kern w:val="0"/>
        </w:rPr>
        <w:t xml:space="preserve"> and </w:t>
      </w:r>
      <w:r>
        <w:rPr>
          <w:kern w:val="0"/>
        </w:rPr>
        <w:t>may help carers to improve nutritional intake in their patients</w:t>
      </w:r>
      <w:r w:rsidR="00A37C1D">
        <w:rPr>
          <w:kern w:val="0"/>
        </w:rPr>
        <w:t>. The</w:t>
      </w:r>
      <w:r w:rsidR="003A1917">
        <w:rPr>
          <w:kern w:val="0"/>
        </w:rPr>
        <w:t xml:space="preserve"> </w:t>
      </w:r>
      <w:r>
        <w:rPr>
          <w:kern w:val="0"/>
        </w:rPr>
        <w:t>product factors identified here suggest that especially small volume, energy</w:t>
      </w:r>
      <w:r w:rsidR="005853A9">
        <w:rPr>
          <w:kern w:val="0"/>
        </w:rPr>
        <w:t xml:space="preserve"> and </w:t>
      </w:r>
      <w:r>
        <w:rPr>
          <w:kern w:val="0"/>
        </w:rPr>
        <w:t>nutrient dense ONS can be effective to improve nutritional intake. (C) 2009 Elsevier Ltd</w:t>
      </w:r>
      <w:r w:rsidR="005853A9">
        <w:rPr>
          <w:kern w:val="0"/>
        </w:rPr>
        <w:t xml:space="preserve"> and </w:t>
      </w:r>
      <w:r>
        <w:rPr>
          <w:kern w:val="0"/>
        </w:rPr>
        <w:t>European Society for Clinical Nutrition</w:t>
      </w:r>
      <w:r w:rsidR="005853A9">
        <w:rPr>
          <w:kern w:val="0"/>
        </w:rPr>
        <w:t xml:space="preserve"> and </w:t>
      </w:r>
      <w:r>
        <w:rPr>
          <w:kern w:val="0"/>
        </w:rPr>
        <w:t>Metabolism. All rights reserved.</w:t>
      </w:r>
    </w:p>
    <w:p w:rsidR="008A6547" w:rsidRDefault="008A6547" w:rsidP="008A6547">
      <w:pPr>
        <w:pStyle w:val="a3"/>
        <w:rPr>
          <w:kern w:val="0"/>
        </w:rPr>
      </w:pPr>
      <w:r>
        <w:rPr>
          <w:kern w:val="0"/>
        </w:rPr>
        <w:t xml:space="preserve">Keywords: Affects Energy-Intake, Body-Weight, Citation, Databases, Elderly, Elsevier, Energy Density, Environment, Fat-Content, Food-Intake, Malnourished Patients, Malnutrition, Meal-Replacement Products, </w:t>
      </w:r>
      <w:r w:rsidR="00D5664A">
        <w:rPr>
          <w:kern w:val="0"/>
        </w:rPr>
        <w:t>MEDLINE</w:t>
      </w:r>
      <w:r>
        <w:rPr>
          <w:kern w:val="0"/>
        </w:rPr>
        <w:t>, Nursing, Nursing-Home Residents, Nutrition Support, Older Adults, Oral Nutritional Supplement, Quality</w:t>
      </w:r>
      <w:r w:rsidR="00434900">
        <w:rPr>
          <w:kern w:val="0"/>
        </w:rPr>
        <w:t>-of-</w:t>
      </w:r>
      <w:r>
        <w:rPr>
          <w:kern w:val="0"/>
        </w:rPr>
        <w:t>Life, Randomized Controlled-Trial, Review, Risk, Science, Science Citation Index, Treatment, Unintentional Weight-Loss, Volume</w:t>
      </w:r>
    </w:p>
    <w:p w:rsidR="00C90B54" w:rsidRDefault="00C90B54" w:rsidP="00C90B54">
      <w:pPr>
        <w:pStyle w:val="a3"/>
        <w:rPr>
          <w:kern w:val="0"/>
        </w:rPr>
      </w:pPr>
      <w:r>
        <w:rPr>
          <w:rFonts w:hint="eastAsia"/>
          <w:kern w:val="0"/>
        </w:rPr>
        <w:t xml:space="preserve">? </w:t>
      </w:r>
      <w:r>
        <w:rPr>
          <w:kern w:val="0"/>
        </w:rPr>
        <w:t>El-Sharkawy, A.M., Sahota, O., Maughan, R.J. and Lobo, D.N. (2014), The pathophysiology</w:t>
      </w:r>
      <w:r w:rsidR="00427468">
        <w:rPr>
          <w:kern w:val="0"/>
        </w:rPr>
        <w:t xml:space="preserve"> of </w:t>
      </w:r>
      <w:r>
        <w:rPr>
          <w:kern w:val="0"/>
        </w:rPr>
        <w:t xml:space="preserve">fluid and electrolyte balance in the older adult surgical patient. </w:t>
      </w:r>
      <w:r>
        <w:rPr>
          <w:i/>
          <w:iCs/>
          <w:kern w:val="0"/>
        </w:rPr>
        <w:lastRenderedPageBreak/>
        <w:t>Clinical Nutrition</w:t>
      </w:r>
      <w:r>
        <w:rPr>
          <w:kern w:val="0"/>
        </w:rPr>
        <w:t xml:space="preserve">, </w:t>
      </w:r>
      <w:r>
        <w:rPr>
          <w:b/>
          <w:bCs/>
          <w:kern w:val="0"/>
        </w:rPr>
        <w:t>33</w:t>
      </w:r>
      <w:r>
        <w:rPr>
          <w:kern w:val="0"/>
        </w:rPr>
        <w:t xml:space="preserve"> (1), 6-13.</w:t>
      </w:r>
    </w:p>
    <w:p w:rsidR="00C90B54" w:rsidRDefault="00C90B54" w:rsidP="00C90B54">
      <w:pPr>
        <w:pStyle w:val="a3"/>
        <w:rPr>
          <w:kern w:val="0"/>
        </w:rPr>
      </w:pPr>
      <w:r>
        <w:rPr>
          <w:rFonts w:hint="eastAsia"/>
          <w:kern w:val="0"/>
        </w:rPr>
        <w:t xml:space="preserve">Full Text: </w:t>
      </w:r>
      <w:hyperlink r:id="rId886" w:history="1">
        <w:r w:rsidRPr="00C90B54">
          <w:rPr>
            <w:rStyle w:val="a5"/>
            <w:kern w:val="0"/>
          </w:rPr>
          <w:t>2014\Cli Nut33, 6.pdf</w:t>
        </w:r>
      </w:hyperlink>
    </w:p>
    <w:p w:rsidR="00C90B54" w:rsidRDefault="00C90B54" w:rsidP="00C90B54">
      <w:pPr>
        <w:pStyle w:val="a3"/>
        <w:rPr>
          <w:kern w:val="0"/>
        </w:rPr>
      </w:pPr>
      <w:r>
        <w:rPr>
          <w:kern w:val="0"/>
        </w:rPr>
        <w:t>Abstract: Background &amp; aims: Age-related physiological changes predispose even the healthy older adult to fluid and electrolyte abnormalities which can cause morbidity and mortality</w:t>
      </w:r>
      <w:r w:rsidR="00A37C1D">
        <w:rPr>
          <w:kern w:val="0"/>
        </w:rPr>
        <w:t>. The</w:t>
      </w:r>
      <w:r>
        <w:rPr>
          <w:kern w:val="0"/>
        </w:rPr>
        <w:t xml:space="preserve"> aim</w:t>
      </w:r>
      <w:r w:rsidR="00427468">
        <w:rPr>
          <w:kern w:val="0"/>
        </w:rPr>
        <w:t xml:space="preserve"> of </w:t>
      </w:r>
      <w:r>
        <w:rPr>
          <w:kern w:val="0"/>
        </w:rPr>
        <w:t>this narrative review is to highlight key aspects</w:t>
      </w:r>
      <w:r w:rsidR="00427468">
        <w:rPr>
          <w:kern w:val="0"/>
        </w:rPr>
        <w:t xml:space="preserve"> of </w:t>
      </w:r>
      <w:r>
        <w:rPr>
          <w:kern w:val="0"/>
        </w:rPr>
        <w:t>age-related pathophysiological changes that affect fluid and electrolyte balance in older adults and underpin their importance in the perioperative period. Methods: The Web</w:t>
      </w:r>
      <w:r w:rsidR="00427468">
        <w:rPr>
          <w:kern w:val="0"/>
        </w:rPr>
        <w:t xml:space="preserve"> of </w:t>
      </w:r>
      <w:r>
        <w:rPr>
          <w:kern w:val="0"/>
        </w:rPr>
        <w:t>Science, MEDLINE, PubMed and Google Scholar databases were searched using key terms for relevant studies published in English on fluid balance in older adults during the 15 years preceding June 2013. Randomised controlled trials and large cohort studies were sought; other studies were used when these were not available</w:t>
      </w:r>
      <w:r w:rsidR="00A37C1D">
        <w:rPr>
          <w:kern w:val="0"/>
        </w:rPr>
        <w:t>. The</w:t>
      </w:r>
      <w:r>
        <w:rPr>
          <w:kern w:val="0"/>
        </w:rPr>
        <w:t xml:space="preserve"> bibliographies</w:t>
      </w:r>
      <w:r w:rsidR="00427468">
        <w:rPr>
          <w:kern w:val="0"/>
        </w:rPr>
        <w:t xml:space="preserve"> of </w:t>
      </w:r>
      <w:r>
        <w:rPr>
          <w:kern w:val="0"/>
        </w:rPr>
        <w:t>extracted papers were also searched for relevant articles. Results: Older adults are susceptible to dehydration and electrolyte abnormalities, with causes ranging from physical disability restricting access to fluid intake to iatrogenic causes including polypharmacy and unmonitored diuretic usage. Renal senescence, as well as physical and mental decline, increase this susceptibility. Older adults are also predisposed to water retention and related electrolyte abnormalities, exacerbated at times</w:t>
      </w:r>
      <w:r w:rsidR="00427468">
        <w:rPr>
          <w:kern w:val="0"/>
        </w:rPr>
        <w:t xml:space="preserve"> of </w:t>
      </w:r>
      <w:r>
        <w:rPr>
          <w:kern w:val="0"/>
        </w:rPr>
        <w:t>physiological stress. Positive fluid balance has been shown to be an independent risk factor for morbidity and mortality in critically ill patients with acute kidney injury. Conclusions: Age-related pathophysiological changes in the handling</w:t>
      </w:r>
      <w:r w:rsidR="00427468">
        <w:rPr>
          <w:kern w:val="0"/>
        </w:rPr>
        <w:t xml:space="preserve"> of </w:t>
      </w:r>
      <w:r>
        <w:rPr>
          <w:kern w:val="0"/>
        </w:rPr>
        <w:t>fluid and electrolytes make older adults undergoing surgery a high-risk group and an understanding</w:t>
      </w:r>
      <w:r w:rsidR="00427468">
        <w:rPr>
          <w:kern w:val="0"/>
        </w:rPr>
        <w:t xml:space="preserve"> of </w:t>
      </w:r>
      <w:r>
        <w:rPr>
          <w:kern w:val="0"/>
        </w:rPr>
        <w:t>these changes will enable better management</w:t>
      </w:r>
      <w:r w:rsidR="00427468">
        <w:rPr>
          <w:kern w:val="0"/>
        </w:rPr>
        <w:t xml:space="preserve"> of </w:t>
      </w:r>
      <w:r>
        <w:rPr>
          <w:kern w:val="0"/>
        </w:rPr>
        <w:t>fluid and electrolyte therapy in the older adult. (C) 2013 The Authors. Published by Elsevier Ltd and European Society for Clinical Nutrition and. Metabolism. All rights reserved.</w:t>
      </w:r>
    </w:p>
    <w:p w:rsidR="00C90B54" w:rsidRDefault="00C90B54" w:rsidP="00C90B54">
      <w:pPr>
        <w:pStyle w:val="a3"/>
        <w:rPr>
          <w:kern w:val="0"/>
        </w:rPr>
      </w:pPr>
      <w:r>
        <w:rPr>
          <w:kern w:val="0"/>
        </w:rPr>
        <w:t>Keywords: 0.9-Percent Saline, 2003 Heat-Wave, Access, Acute Kidney Injury, Adult, Adverse Drug Events, Age-Related, Atrial-Natriuretic-Peptide, Bibliographies, Changes, Clinical Outcome, Cohort, Critically-Ill Patients, Databases, Dehydration, Disability, Double-Blind Crossover, English, Fluid And Electrolytes, Fluid Overload, Google, Google Scholar, Healthy Elderly Men, Injury, Kidney, Major Abdominal-Surgery, Management, Medline, Methods, Morbidity, Mortality, Older Adults, Papers, Pathophysiology, Patients, Physical, Plasma-Renin Activity, Pubmed, Randomised Controlled Trials, Randomized Controlled-Trial, Results, Retention, Review, Rights, Risk, Risk Factor, Science, Senescence, Stress, Surgery, Therapy, Understanding, Water, Water Retention, Web</w:t>
      </w:r>
      <w:r w:rsidR="00427468">
        <w:rPr>
          <w:kern w:val="0"/>
        </w:rPr>
        <w:t xml:space="preserve"> of </w:t>
      </w:r>
      <w:r>
        <w:rPr>
          <w:kern w:val="0"/>
        </w:rPr>
        <w:t>Science</w:t>
      </w:r>
    </w:p>
    <w:p w:rsidR="00D50304" w:rsidRDefault="00D50304" w:rsidP="00D50304">
      <w:pPr>
        <w:pStyle w:val="a3"/>
        <w:rPr>
          <w:kern w:val="0"/>
        </w:rPr>
      </w:pPr>
      <w:r>
        <w:rPr>
          <w:rFonts w:hint="eastAsia"/>
          <w:kern w:val="0"/>
        </w:rPr>
        <w:t xml:space="preserve">? </w:t>
      </w:r>
      <w:r>
        <w:rPr>
          <w:kern w:val="0"/>
        </w:rPr>
        <w:t xml:space="preserve">Jafari, T., Feizi, A., Askari, G. and Fallah, A.A. (2015), Parenteral immunonutrition in patients with acute pancreatitis: A systematic review and meta-analysis. </w:t>
      </w:r>
      <w:r>
        <w:rPr>
          <w:i/>
          <w:iCs/>
          <w:kern w:val="0"/>
        </w:rPr>
        <w:t>Clinical Nutrition</w:t>
      </w:r>
      <w:r>
        <w:rPr>
          <w:kern w:val="0"/>
        </w:rPr>
        <w:t xml:space="preserve">, </w:t>
      </w:r>
      <w:r>
        <w:rPr>
          <w:b/>
          <w:bCs/>
          <w:kern w:val="0"/>
        </w:rPr>
        <w:t>34</w:t>
      </w:r>
      <w:r>
        <w:rPr>
          <w:kern w:val="0"/>
        </w:rPr>
        <w:t xml:space="preserve"> (1), 35-43.</w:t>
      </w:r>
    </w:p>
    <w:p w:rsidR="00D50304" w:rsidRDefault="00D50304" w:rsidP="00D50304">
      <w:pPr>
        <w:pStyle w:val="a3"/>
        <w:rPr>
          <w:kern w:val="0"/>
        </w:rPr>
      </w:pPr>
      <w:r>
        <w:rPr>
          <w:rFonts w:hint="eastAsia"/>
          <w:kern w:val="0"/>
        </w:rPr>
        <w:t xml:space="preserve">Full Text: </w:t>
      </w:r>
      <w:hyperlink r:id="rId887" w:history="1">
        <w:r w:rsidRPr="00D50304">
          <w:rPr>
            <w:rStyle w:val="a5"/>
            <w:kern w:val="0"/>
          </w:rPr>
          <w:t>2015\Cli Nut34, 35.pdf</w:t>
        </w:r>
      </w:hyperlink>
    </w:p>
    <w:p w:rsidR="00D50304" w:rsidRDefault="00D50304" w:rsidP="00D50304">
      <w:pPr>
        <w:pStyle w:val="a3"/>
        <w:rPr>
          <w:kern w:val="0"/>
        </w:rPr>
      </w:pPr>
      <w:r>
        <w:rPr>
          <w:kern w:val="0"/>
        </w:rPr>
        <w:lastRenderedPageBreak/>
        <w:t>Abstract: Background &amp; aims: Acute pancreatitis is a systemic immunoinflammatory response to auto-digestion of the pancrease and pen-pancreatic organs. Patients with acute pancreatitis can rapidly develop nutritional deficiency; hence nutritional support is important and critical. Sometimes parenteral nutrition (PN) is inevitable in acute pancreatitis. Due to immunosuppressive and inflammatory nature of the disease, it seems that immunonutrients like glutamine and omega-3 fatty acids (omega-3 FAs) added to parenteral formulas may improve the conditions. We conducted a meta-analysis to evaluate the effects of parenteral immunonutrition on clinical outcomes (infectious complications, length of hospital stay (LOS) and mortality) in patients with acute pancreatitis. Methods: A computerized literature search on four databases (PubMed, Cochrane, ISI Web of Science, and Iran Medex) was performed to find all the randomized controlled trials (RCTs) assessed the effects of parenteral immunonutrition in acute pancreatitis. Necessary data were extracted and quality assessment of RCTs was performed with consensus in the study team. Fixed effects model was used to conduct the meta-analysis. Results: One hundred and ninety four references were found via our search in which 7 articles matched our criteria for enrolling the meta-analysis. Parenteral immunonutrition significantly reduced the risk of infectious complications (RR = 0.59; 95% CI, 0.39-0.88; p &lt;= 0.05) and mortality (RR = 0.26; 95% CI, 0.11 -0.59; p &lt;= 0.001). LOS was also shorter in patients who received immunonutrition (MD = -2.93 days; 95% CI, -4.70 to -1.15; p &lt;= 0.001). Conclusion: Immunonutrients like glutamine and (omega-3 FAs added to parenteral formulas can improve prognoses in patients with acute pancreatitis. (C) 2014 Elsevier Ltd and European Society for Clinical Nutrition and Metabolism. All rights reserved.</w:t>
      </w:r>
    </w:p>
    <w:p w:rsidR="00D50304" w:rsidRDefault="00D50304" w:rsidP="00D50304">
      <w:pPr>
        <w:pStyle w:val="a3"/>
        <w:rPr>
          <w:kern w:val="0"/>
        </w:rPr>
      </w:pPr>
      <w:r>
        <w:rPr>
          <w:kern w:val="0"/>
        </w:rPr>
        <w:t>Keywords: Acute Pancreatitis, Articles, Assessment, Clinical, Clinical Outcomes, Complications, Consensus, Criteria, Critical Illness, Data, Databases, Disease, Effects, Fatty Acids, Glutamine, Glutamine, Hospital, Hospital Stay, Immune Function, Infectious Complications, Iran, Isi, Isi Web Of Science, Length, Literature, Literature Search, Meta Analysis, Meta-Analysis, Metaanalysis, Metabolism, Methods, Model, Mortality, Nutrition, Nutrition Support, Nutritional Support, Omega-3 Fatty Acids, Omega-3-Fatty-Acids, Outcomes, Pancreatitis, Parenteral Immunonutrition, Parenteral Nutrition, Patients, Polyunsaturated Fatty-Acids, Pubmed, Quality, Randomized, Randomized Clinical-Trials, Randomized Controlled Trials, References, Response, Results, Review, Rights, Risk, Science, Support, Systematic, Systematic Review, Therapy, Web, Web Of Science</w:t>
      </w:r>
    </w:p>
    <w:p w:rsidR="003474F2" w:rsidRPr="001A3D2B" w:rsidRDefault="003474F2" w:rsidP="003474F2">
      <w:pPr>
        <w:pStyle w:val="1"/>
      </w:pPr>
      <w:r w:rsidRPr="001A3D2B">
        <w:br w:type="page"/>
      </w:r>
      <w:bookmarkStart w:id="332" w:name="_Toc420815063"/>
      <w:r w:rsidRPr="001A3D2B">
        <w:lastRenderedPageBreak/>
        <w:t>Title: Colis4: Emerging Frameworks</w:t>
      </w:r>
      <w:r w:rsidR="005853A9">
        <w:t xml:space="preserve"> and </w:t>
      </w:r>
      <w:r w:rsidRPr="001A3D2B">
        <w:t>Methods</w:t>
      </w:r>
      <w:bookmarkEnd w:id="332"/>
    </w:p>
    <w:p w:rsidR="003474F2" w:rsidRPr="001A3D2B" w:rsidRDefault="003474F2" w:rsidP="003474F2">
      <w:pPr>
        <w:pStyle w:val="12"/>
      </w:pPr>
      <w:r w:rsidRPr="001A3D2B">
        <w:t>Full Journal Title: Colis4: Emerging Frameworks</w:t>
      </w:r>
      <w:r w:rsidR="005853A9">
        <w:t xml:space="preserve"> and </w:t>
      </w:r>
      <w:r w:rsidRPr="001A3D2B">
        <w:t>Methods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Wormell, I. (2002), Informetrics</w:t>
      </w:r>
      <w:r w:rsidR="005853A9">
        <w:t xml:space="preserve"> and </w:t>
      </w:r>
      <w:r w:rsidR="003A1917">
        <w:t xml:space="preserve">the </w:t>
      </w:r>
      <w:r w:rsidRPr="001A3D2B">
        <w:t>use</w:t>
      </w:r>
      <w:r w:rsidR="00427468">
        <w:t xml:space="preserve"> of </w:t>
      </w:r>
      <w:r w:rsidRPr="001A3D2B">
        <w:t xml:space="preserve">bibliographic data in a strategic combination. </w:t>
      </w:r>
      <w:r w:rsidRPr="001A3D2B">
        <w:rPr>
          <w:i/>
          <w:iCs/>
        </w:rPr>
        <w:t>Colis4: Emerging Frameworks</w:t>
      </w:r>
      <w:r w:rsidR="005853A9">
        <w:rPr>
          <w:i/>
          <w:iCs/>
        </w:rPr>
        <w:t xml:space="preserve"> and </w:t>
      </w:r>
      <w:r w:rsidRPr="001A3D2B">
        <w:rPr>
          <w:i/>
          <w:iCs/>
        </w:rPr>
        <w:t>Methods</w:t>
      </w:r>
      <w:r w:rsidRPr="001A3D2B">
        <w:t>, 167-184.</w:t>
      </w:r>
    </w:p>
    <w:p w:rsidR="003474F2" w:rsidRPr="001A3D2B" w:rsidRDefault="003474F2" w:rsidP="003474F2">
      <w:pPr>
        <w:pStyle w:val="a3"/>
      </w:pPr>
      <w:r w:rsidRPr="001A3D2B">
        <w:t>Abstract: Through a sample</w:t>
      </w:r>
      <w:r w:rsidR="00427468">
        <w:t xml:space="preserve"> of </w:t>
      </w:r>
      <w:r w:rsidRPr="001A3D2B">
        <w:t>research studies</w:t>
      </w:r>
      <w:r w:rsidR="003A1917">
        <w:t xml:space="preserve"> the </w:t>
      </w:r>
      <w:r w:rsidRPr="001A3D2B">
        <w:t>paper presents an approach to knowledge discovery</w:t>
      </w:r>
      <w:r w:rsidR="00A37C1D">
        <w:t>. The</w:t>
      </w:r>
      <w:r w:rsidR="003A1917">
        <w:t xml:space="preserve"> </w:t>
      </w:r>
      <w:r w:rsidRPr="001A3D2B">
        <w:t>novel aspect is</w:t>
      </w:r>
      <w:r w:rsidR="003A1917">
        <w:t xml:space="preserve"> the </w:t>
      </w:r>
      <w:r w:rsidRPr="001A3D2B">
        <w:t>combination</w:t>
      </w:r>
      <w:r w:rsidR="00427468">
        <w:t xml:space="preserve"> of </w:t>
      </w:r>
      <w:r w:rsidRPr="001A3D2B">
        <w:t>various types</w:t>
      </w:r>
      <w:r w:rsidR="00427468">
        <w:t xml:space="preserve"> of </w:t>
      </w:r>
      <w:r w:rsidRPr="001A3D2B">
        <w:t>data</w:t>
      </w:r>
      <w:r w:rsidR="005853A9">
        <w:t xml:space="preserve"> and </w:t>
      </w:r>
      <w:r w:rsidRPr="001A3D2B">
        <w:t>quantitative analyses</w:t>
      </w:r>
      <w:r w:rsidR="00A37C1D">
        <w:t>. The</w:t>
      </w:r>
      <w:r w:rsidR="003A1917">
        <w:t xml:space="preserve"> </w:t>
      </w:r>
      <w:r w:rsidRPr="001A3D2B">
        <w:t>reported applications. are intended to illustrate</w:t>
      </w:r>
      <w:r w:rsidR="003A1917">
        <w:t xml:space="preserve"> the </w:t>
      </w:r>
      <w:r w:rsidRPr="001A3D2B">
        <w:t>scope</w:t>
      </w:r>
      <w:r w:rsidR="005853A9">
        <w:t xml:space="preserve"> and </w:t>
      </w:r>
      <w:r w:rsidRPr="001A3D2B">
        <w:t>nature</w:t>
      </w:r>
      <w:r w:rsidR="00427468">
        <w:t xml:space="preserve"> of </w:t>
      </w:r>
      <w:r w:rsidRPr="001A3D2B">
        <w:t>informetric analyses, where advanced information retrieval theories</w:t>
      </w:r>
      <w:r w:rsidR="005853A9">
        <w:t xml:space="preserve"> and </w:t>
      </w:r>
      <w:r w:rsidRPr="001A3D2B">
        <w:t>methodologies are combined with</w:t>
      </w:r>
      <w:r w:rsidR="003A1917">
        <w:t xml:space="preserve"> the </w:t>
      </w:r>
      <w:r w:rsidRPr="001A3D2B">
        <w:t>quantitative study</w:t>
      </w:r>
      <w:r w:rsidR="00427468">
        <w:t xml:space="preserve"> of </w:t>
      </w:r>
      <w:r w:rsidRPr="001A3D2B">
        <w:t>information flows in a strategic mix</w:t>
      </w:r>
      <w:r w:rsidR="00A37C1D">
        <w:t>. The</w:t>
      </w:r>
      <w:r w:rsidR="003A1917">
        <w:t xml:space="preserve"> </w:t>
      </w:r>
      <w:r w:rsidRPr="001A3D2B">
        <w:t>concept has a close connection to text</w:t>
      </w:r>
      <w:r w:rsidR="005853A9">
        <w:t xml:space="preserve"> and </w:t>
      </w:r>
      <w:r w:rsidRPr="001A3D2B">
        <w:t>data mining techniques, as well as to modem display</w:t>
      </w:r>
      <w:r w:rsidR="005853A9">
        <w:t xml:space="preserve"> and </w:t>
      </w:r>
      <w:r w:rsidRPr="001A3D2B">
        <w:t>visualization techniques</w:t>
      </w:r>
      <w:r w:rsidR="00A37C1D">
        <w:t>. The</w:t>
      </w:r>
      <w:r w:rsidR="003A1917">
        <w:t xml:space="preserve"> </w:t>
      </w:r>
      <w:r w:rsidRPr="001A3D2B">
        <w:t>sample shows how this methodology gathered useful information for business intelligence, trend analysis,</w:t>
      </w:r>
      <w:r w:rsidR="005853A9">
        <w:t xml:space="preserve"> and </w:t>
      </w:r>
      <w:r w:rsidRPr="001A3D2B">
        <w:t>for</w:t>
      </w:r>
      <w:r w:rsidR="003A1917">
        <w:t xml:space="preserve"> the </w:t>
      </w:r>
      <w:r w:rsidRPr="001A3D2B">
        <w:t>evaluation</w:t>
      </w:r>
      <w:r w:rsidR="00427468">
        <w:t xml:space="preserve"> of </w:t>
      </w:r>
      <w:r w:rsidRPr="001A3D2B">
        <w:t>scientific, political</w:t>
      </w:r>
      <w:r w:rsidR="005853A9">
        <w:t xml:space="preserve"> and </w:t>
      </w:r>
      <w:r w:rsidRPr="001A3D2B">
        <w:t>business developments. It is an appeal to</w:t>
      </w:r>
      <w:r w:rsidR="003A1917">
        <w:t xml:space="preserve"> the </w:t>
      </w:r>
      <w:r w:rsidRPr="001A3D2B">
        <w:t>modem LIS professionals to adapt</w:t>
      </w:r>
      <w:r w:rsidR="003A1917">
        <w:t xml:space="preserve"> the </w:t>
      </w:r>
      <w:r w:rsidRPr="001A3D2B">
        <w:t>use</w:t>
      </w:r>
      <w:r w:rsidR="00427468">
        <w:t xml:space="preserve"> of </w:t>
      </w:r>
      <w:r w:rsidR="003A1917">
        <w:t xml:space="preserve">the </w:t>
      </w:r>
      <w:r w:rsidRPr="001A3D2B">
        <w:t>classic bibliometric methods in a modem context,</w:t>
      </w:r>
      <w:r w:rsidR="005853A9">
        <w:t xml:space="preserve"> and </w:t>
      </w:r>
      <w:r w:rsidRPr="001A3D2B">
        <w:t>to utilize</w:t>
      </w:r>
      <w:r w:rsidR="003A1917">
        <w:t xml:space="preserve"> the </w:t>
      </w:r>
      <w:r w:rsidRPr="001A3D2B">
        <w:t>databases not only for retrieval</w:t>
      </w:r>
      <w:r w:rsidR="00427468">
        <w:t xml:space="preserve"> of </w:t>
      </w:r>
      <w:r w:rsidRPr="001A3D2B">
        <w:t>documents or facts, but also as tools for analytical work.</w:t>
      </w:r>
    </w:p>
    <w:p w:rsidR="003474F2" w:rsidRPr="001A3D2B" w:rsidRDefault="003474F2" w:rsidP="003474F2">
      <w:pPr>
        <w:pStyle w:val="a3"/>
      </w:pPr>
      <w:r w:rsidRPr="001A3D2B">
        <w:t>Keywords: Analyses, Analysis, Approach, Bibliometric, Bibliometric Methods, Business, Context, Data, Data Mining, Data-Mining, Databases, Discovery, Evaluation, Information, Information Retrieval, Knowledge, LIS, Methodologies, Methodology, Methods, Mining, Research, Scope, Strategic, Techniques, Trend, Trend Analysis, Visualization, Work</w:t>
      </w:r>
    </w:p>
    <w:p w:rsidR="00CD6FEF" w:rsidRDefault="00CD6FEF" w:rsidP="00CD6FEF">
      <w:pPr>
        <w:pStyle w:val="a3"/>
        <w:rPr>
          <w:kern w:val="0"/>
        </w:rPr>
      </w:pPr>
      <w:r>
        <w:rPr>
          <w:rFonts w:hint="eastAsia"/>
          <w:kern w:val="0"/>
        </w:rPr>
        <w:t xml:space="preserve">? </w:t>
      </w:r>
      <w:r>
        <w:rPr>
          <w:kern w:val="0"/>
        </w:rPr>
        <w:t>Astrom, F. (2002), Visualizing library</w:t>
      </w:r>
      <w:r w:rsidR="005853A9">
        <w:rPr>
          <w:kern w:val="0"/>
        </w:rPr>
        <w:t xml:space="preserve"> and </w:t>
      </w:r>
      <w:r>
        <w:rPr>
          <w:kern w:val="0"/>
        </w:rPr>
        <w:t>information science concept spaces through keyword</w:t>
      </w:r>
      <w:r w:rsidR="005853A9">
        <w:rPr>
          <w:kern w:val="0"/>
        </w:rPr>
        <w:t xml:space="preserve"> and </w:t>
      </w:r>
      <w:r>
        <w:rPr>
          <w:kern w:val="0"/>
        </w:rPr>
        <w:t>citation based maps</w:t>
      </w:r>
      <w:r w:rsidR="005853A9">
        <w:rPr>
          <w:kern w:val="0"/>
        </w:rPr>
        <w:t xml:space="preserve"> and </w:t>
      </w:r>
      <w:r>
        <w:rPr>
          <w:kern w:val="0"/>
        </w:rPr>
        <w:t xml:space="preserve">clusters. </w:t>
      </w:r>
      <w:r>
        <w:rPr>
          <w:i/>
          <w:iCs/>
          <w:kern w:val="0"/>
        </w:rPr>
        <w:t>Colis4: Emerging Frameworks</w:t>
      </w:r>
      <w:r w:rsidR="005853A9">
        <w:rPr>
          <w:i/>
          <w:iCs/>
          <w:kern w:val="0"/>
        </w:rPr>
        <w:t xml:space="preserve"> and </w:t>
      </w:r>
      <w:r>
        <w:rPr>
          <w:i/>
          <w:iCs/>
          <w:kern w:val="0"/>
        </w:rPr>
        <w:t>Methods</w:t>
      </w:r>
      <w:r>
        <w:rPr>
          <w:kern w:val="0"/>
        </w:rPr>
        <w:t>, 185-197.</w:t>
      </w:r>
    </w:p>
    <w:p w:rsidR="00CD6FEF" w:rsidRDefault="00CD6FEF" w:rsidP="00CD6FEF">
      <w:pPr>
        <w:pStyle w:val="a3"/>
        <w:rPr>
          <w:kern w:val="0"/>
        </w:rPr>
      </w:pPr>
      <w:r>
        <w:rPr>
          <w:kern w:val="0"/>
        </w:rPr>
        <w:t>Abstract: Co-citation analysis has been widely accepted as</w:t>
      </w:r>
      <w:r w:rsidR="003A1917">
        <w:rPr>
          <w:kern w:val="0"/>
        </w:rPr>
        <w:t xml:space="preserve"> the </w:t>
      </w:r>
      <w:r>
        <w:rPr>
          <w:kern w:val="0"/>
        </w:rPr>
        <w:t>foremost method for bibliometric mapping</w:t>
      </w:r>
      <w:r w:rsidR="00427468">
        <w:rPr>
          <w:kern w:val="0"/>
        </w:rPr>
        <w:t xml:space="preserve"> of </w:t>
      </w:r>
      <w:r>
        <w:rPr>
          <w:kern w:val="0"/>
        </w:rPr>
        <w:t>research fields, whereas analyses based on keywords have been discussed, without gaining any overall acceptance</w:t>
      </w:r>
      <w:r w:rsidR="00A37C1D">
        <w:rPr>
          <w:kern w:val="0"/>
        </w:rPr>
        <w:t>. The</w:t>
      </w:r>
      <w:r>
        <w:rPr>
          <w:kern w:val="0"/>
        </w:rPr>
        <w:t xml:space="preserve">re are, however, </w:t>
      </w:r>
      <w:r>
        <w:rPr>
          <w:kern w:val="0"/>
        </w:rPr>
        <w:lastRenderedPageBreak/>
        <w:t>advantages with keywords such as being understandable by others than those immediately connected to</w:t>
      </w:r>
      <w:r w:rsidR="003A1917">
        <w:rPr>
          <w:kern w:val="0"/>
        </w:rPr>
        <w:t xml:space="preserve"> the </w:t>
      </w:r>
      <w:r>
        <w:rPr>
          <w:kern w:val="0"/>
        </w:rPr>
        <w:t>field analyzed. This study aims at testing</w:t>
      </w:r>
      <w:r w:rsidR="003A1917">
        <w:rPr>
          <w:kern w:val="0"/>
        </w:rPr>
        <w:t xml:space="preserve"> the </w:t>
      </w:r>
      <w:r>
        <w:rPr>
          <w:kern w:val="0"/>
        </w:rPr>
        <w:t>relation between keyword</w:t>
      </w:r>
      <w:r w:rsidR="005853A9">
        <w:rPr>
          <w:kern w:val="0"/>
        </w:rPr>
        <w:t xml:space="preserve"> and </w:t>
      </w:r>
      <w:r>
        <w:rPr>
          <w:kern w:val="0"/>
        </w:rPr>
        <w:t>citation based analyses,</w:t>
      </w:r>
      <w:r w:rsidR="005853A9">
        <w:rPr>
          <w:kern w:val="0"/>
        </w:rPr>
        <w:t xml:space="preserve"> and </w:t>
      </w:r>
      <w:r>
        <w:rPr>
          <w:kern w:val="0"/>
        </w:rPr>
        <w:t>showing</w:t>
      </w:r>
      <w:r w:rsidR="003A1917">
        <w:rPr>
          <w:kern w:val="0"/>
        </w:rPr>
        <w:t xml:space="preserve"> the </w:t>
      </w:r>
      <w:r>
        <w:rPr>
          <w:kern w:val="0"/>
        </w:rPr>
        <w:t>significance</w:t>
      </w:r>
      <w:r w:rsidR="00427468">
        <w:rPr>
          <w:kern w:val="0"/>
        </w:rPr>
        <w:t xml:space="preserve"> of </w:t>
      </w:r>
      <w:r>
        <w:rPr>
          <w:kern w:val="0"/>
        </w:rPr>
        <w:t>journal selection while mapping scientific fields</w:t>
      </w:r>
      <w:r w:rsidR="00A37C1D">
        <w:rPr>
          <w:kern w:val="0"/>
        </w:rPr>
        <w:t>. The</w:t>
      </w:r>
      <w:r w:rsidR="003A1917">
        <w:rPr>
          <w:kern w:val="0"/>
        </w:rPr>
        <w:t xml:space="preserve"> </w:t>
      </w:r>
      <w:r>
        <w:rPr>
          <w:kern w:val="0"/>
        </w:rPr>
        <w:t>preliminary study is based on 1135 Social Science Citation Index (</w:t>
      </w:r>
      <w:r w:rsidR="00D5664A">
        <w:rPr>
          <w:kern w:val="0"/>
        </w:rPr>
        <w:t>SSCI</w:t>
      </w:r>
      <w:r>
        <w:rPr>
          <w:kern w:val="0"/>
        </w:rPr>
        <w:t>) records from nine library</w:t>
      </w:r>
      <w:r w:rsidR="005853A9">
        <w:rPr>
          <w:kern w:val="0"/>
        </w:rPr>
        <w:t xml:space="preserve"> and </w:t>
      </w:r>
      <w:r>
        <w:rPr>
          <w:kern w:val="0"/>
        </w:rPr>
        <w:t>information science journals with descriptors added from</w:t>
      </w:r>
      <w:r w:rsidR="003A1917">
        <w:rPr>
          <w:kern w:val="0"/>
        </w:rPr>
        <w:t xml:space="preserve"> the </w:t>
      </w:r>
      <w:r>
        <w:rPr>
          <w:kern w:val="0"/>
        </w:rPr>
        <w:t>Resources Information Center Database (ERIC) database. Three maps are compared: one based on co-citations, one on keyword co-occurrences,</w:t>
      </w:r>
      <w:r w:rsidR="005853A9">
        <w:rPr>
          <w:kern w:val="0"/>
        </w:rPr>
        <w:t xml:space="preserve"> and </w:t>
      </w:r>
      <w:r>
        <w:rPr>
          <w:kern w:val="0"/>
        </w:rPr>
        <w:t>one merging citations</w:t>
      </w:r>
      <w:r w:rsidR="005853A9">
        <w:rPr>
          <w:kern w:val="0"/>
        </w:rPr>
        <w:t xml:space="preserve"> and </w:t>
      </w:r>
      <w:r>
        <w:rPr>
          <w:kern w:val="0"/>
        </w:rPr>
        <w:t>keywords</w:t>
      </w:r>
      <w:r w:rsidR="00A37C1D">
        <w:rPr>
          <w:kern w:val="0"/>
        </w:rPr>
        <w:t>. The</w:t>
      </w:r>
      <w:r w:rsidR="003A1917">
        <w:rPr>
          <w:kern w:val="0"/>
        </w:rPr>
        <w:t xml:space="preserve"> </w:t>
      </w:r>
      <w:r>
        <w:rPr>
          <w:kern w:val="0"/>
        </w:rPr>
        <w:t>mappings show</w:t>
      </w:r>
      <w:r w:rsidR="003A1917">
        <w:rPr>
          <w:kern w:val="0"/>
        </w:rPr>
        <w:t xml:space="preserve"> the </w:t>
      </w:r>
      <w:r>
        <w:rPr>
          <w:kern w:val="0"/>
        </w:rPr>
        <w:t>same basic structures,</w:t>
      </w:r>
      <w:r w:rsidR="005853A9">
        <w:rPr>
          <w:kern w:val="0"/>
        </w:rPr>
        <w:t xml:space="preserve"> and </w:t>
      </w:r>
      <w:r>
        <w:rPr>
          <w:kern w:val="0"/>
        </w:rPr>
        <w:t>when merged, cited authors</w:t>
      </w:r>
      <w:r w:rsidR="005853A9">
        <w:rPr>
          <w:kern w:val="0"/>
        </w:rPr>
        <w:t xml:space="preserve"> and </w:t>
      </w:r>
      <w:r>
        <w:rPr>
          <w:kern w:val="0"/>
        </w:rPr>
        <w:t>keywords form corresponding relations. In comparison with earlier bibliometric studies,</w:t>
      </w:r>
      <w:r w:rsidR="003A1917">
        <w:rPr>
          <w:kern w:val="0"/>
        </w:rPr>
        <w:t xml:space="preserve"> the </w:t>
      </w:r>
      <w:r>
        <w:rPr>
          <w:kern w:val="0"/>
        </w:rPr>
        <w:t>wider journal selection makes it possible to identify a library science research area within library</w:t>
      </w:r>
      <w:r w:rsidR="005853A9">
        <w:rPr>
          <w:kern w:val="0"/>
        </w:rPr>
        <w:t xml:space="preserve"> and </w:t>
      </w:r>
      <w:r>
        <w:rPr>
          <w:kern w:val="0"/>
        </w:rPr>
        <w:t>information science.</w:t>
      </w:r>
    </w:p>
    <w:p w:rsidR="00CD6FEF" w:rsidRDefault="00CD6FEF" w:rsidP="00CD6FEF">
      <w:pPr>
        <w:pStyle w:val="a3"/>
        <w:rPr>
          <w:kern w:val="0"/>
        </w:rPr>
      </w:pPr>
      <w:r>
        <w:rPr>
          <w:kern w:val="0"/>
        </w:rPr>
        <w:t>Keywords: Author Cocitation, Bibliometric, Bibliometric Studies, Citation, Citations, Co-Word, Combined Cocitation, Database, Information Science, Intellectual Structure, Journals, Mapping, Research, Retrieval, Science, Science Citation Index, Social Science Citation Index, Word Analysis</w:t>
      </w:r>
    </w:p>
    <w:p w:rsidR="002377CD" w:rsidRPr="001A3D2B" w:rsidRDefault="002377CD" w:rsidP="002377CD">
      <w:pPr>
        <w:pStyle w:val="a3"/>
        <w:rPr>
          <w:kern w:val="0"/>
          <w:szCs w:val="24"/>
        </w:rPr>
      </w:pPr>
      <w:r w:rsidRPr="001A3D2B">
        <w:rPr>
          <w:kern w:val="0"/>
          <w:szCs w:val="24"/>
        </w:rPr>
        <w:t>? Tsay, M.Y.</w:t>
      </w:r>
      <w:r w:rsidR="005853A9">
        <w:rPr>
          <w:kern w:val="0"/>
          <w:szCs w:val="24"/>
        </w:rPr>
        <w:t xml:space="preserve"> and </w:t>
      </w:r>
      <w:r w:rsidRPr="001A3D2B">
        <w:rPr>
          <w:kern w:val="0"/>
          <w:szCs w:val="24"/>
        </w:rPr>
        <w:t>Yu, H.M. (2002), Bibliometric analysis</w:t>
      </w:r>
      <w:r w:rsidR="00427468">
        <w:rPr>
          <w:kern w:val="0"/>
          <w:szCs w:val="24"/>
        </w:rPr>
        <w:t xml:space="preserve"> of </w:t>
      </w:r>
      <w:r w:rsidRPr="001A3D2B">
        <w:rPr>
          <w:kern w:val="0"/>
          <w:szCs w:val="24"/>
        </w:rPr>
        <w:t>indexing</w:t>
      </w:r>
      <w:r w:rsidR="005853A9">
        <w:rPr>
          <w:kern w:val="0"/>
          <w:szCs w:val="24"/>
        </w:rPr>
        <w:t xml:space="preserve"> and </w:t>
      </w:r>
      <w:r w:rsidRPr="001A3D2B">
        <w:rPr>
          <w:kern w:val="0"/>
          <w:szCs w:val="24"/>
        </w:rPr>
        <w:t xml:space="preserve">abstracting literature, 1977-2000. </w:t>
      </w:r>
      <w:r w:rsidRPr="001A3D2B">
        <w:rPr>
          <w:i/>
          <w:iCs/>
          <w:kern w:val="0"/>
          <w:szCs w:val="24"/>
        </w:rPr>
        <w:t>Colis4: Emerging Frameworks</w:t>
      </w:r>
      <w:r w:rsidR="005853A9">
        <w:rPr>
          <w:i/>
          <w:iCs/>
          <w:kern w:val="0"/>
          <w:szCs w:val="24"/>
        </w:rPr>
        <w:t xml:space="preserve"> and </w:t>
      </w:r>
      <w:r w:rsidRPr="001A3D2B">
        <w:rPr>
          <w:i/>
          <w:iCs/>
          <w:kern w:val="0"/>
          <w:szCs w:val="24"/>
        </w:rPr>
        <w:t>Methods</w:t>
      </w:r>
      <w:r w:rsidRPr="001A3D2B">
        <w:rPr>
          <w:kern w:val="0"/>
          <w:szCs w:val="24"/>
        </w:rPr>
        <w:t>, 327-331.</w:t>
      </w:r>
    </w:p>
    <w:p w:rsidR="002377CD" w:rsidRPr="001A3D2B" w:rsidRDefault="002377CD" w:rsidP="002377CD">
      <w:pPr>
        <w:pStyle w:val="a3"/>
        <w:rPr>
          <w:kern w:val="0"/>
          <w:szCs w:val="24"/>
        </w:rPr>
      </w:pPr>
      <w:r w:rsidRPr="001A3D2B">
        <w:rPr>
          <w:kern w:val="0"/>
          <w:szCs w:val="24"/>
        </w:rPr>
        <w:t>Keywords: Analysis, Bibliometric, Bibliometric Analysis, Indexing, Literature</w:t>
      </w:r>
    </w:p>
    <w:p w:rsidR="003474F2" w:rsidRPr="001A3D2B" w:rsidRDefault="003474F2" w:rsidP="003474F2">
      <w:pPr>
        <w:pStyle w:val="1"/>
      </w:pPr>
      <w:r w:rsidRPr="001A3D2B">
        <w:br w:type="page"/>
      </w:r>
      <w:bookmarkStart w:id="333" w:name="_Toc420815064"/>
      <w:r w:rsidRPr="001A3D2B">
        <w:lastRenderedPageBreak/>
        <w:t>Title: Collection Management</w:t>
      </w:r>
      <w:bookmarkEnd w:id="333"/>
    </w:p>
    <w:p w:rsidR="00E36869" w:rsidRPr="001A3D2B" w:rsidRDefault="00E36869" w:rsidP="00E36869">
      <w:pPr>
        <w:pStyle w:val="12"/>
      </w:pPr>
      <w:r w:rsidRPr="001A3D2B">
        <w:t xml:space="preserve">Full Journal Title: </w:t>
      </w:r>
      <w:hyperlink r:id="rId888" w:history="1">
        <w:r w:rsidRPr="001A3D2B">
          <w:rPr>
            <w:rStyle w:val="a5"/>
          </w:rPr>
          <w:t>Collection Management</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rPr>
          <w:szCs w:val="24"/>
        </w:rPr>
      </w:pPr>
      <w:r w:rsidRPr="001A3D2B">
        <w:rPr>
          <w:szCs w:val="24"/>
        </w:rPr>
        <w:t>Notes: MModel</w:t>
      </w:r>
      <w:r w:rsidR="00E36869" w:rsidRPr="001A3D2B">
        <w:rPr>
          <w:szCs w:val="24"/>
        </w:rPr>
        <w:t>, B</w:t>
      </w:r>
      <w:r w:rsidR="00E36869" w:rsidRPr="001A3D2B">
        <w:t>Bradford</w:t>
      </w:r>
    </w:p>
    <w:p w:rsidR="0028240A" w:rsidRPr="001A3D2B" w:rsidRDefault="0028240A" w:rsidP="0028240A">
      <w:pPr>
        <w:pStyle w:val="a3"/>
      </w:pPr>
      <w:r w:rsidRPr="001A3D2B">
        <w:t>? Bradford, S.C. (1976), Sources</w:t>
      </w:r>
      <w:r w:rsidR="00427468">
        <w:t xml:space="preserve"> of </w:t>
      </w:r>
      <w:r w:rsidRPr="001A3D2B">
        <w:t xml:space="preserve">information on specific subjects. </w:t>
      </w:r>
      <w:r w:rsidRPr="001A3D2B">
        <w:rPr>
          <w:i/>
          <w:iCs/>
        </w:rPr>
        <w:t>Collection Management</w:t>
      </w:r>
      <w:r w:rsidRPr="001A3D2B">
        <w:t xml:space="preserve">, </w:t>
      </w:r>
      <w:r w:rsidRPr="001A3D2B">
        <w:rPr>
          <w:b/>
          <w:bCs/>
          <w:kern w:val="0"/>
        </w:rPr>
        <w:t>1</w:t>
      </w:r>
      <w:r w:rsidRPr="001A3D2B">
        <w:t xml:space="preserve"> (3-4), 95-103.</w:t>
      </w:r>
    </w:p>
    <w:p w:rsidR="00B5119E" w:rsidRPr="00C73C58" w:rsidRDefault="00B5119E" w:rsidP="00B5119E">
      <w:pPr>
        <w:pStyle w:val="a3"/>
      </w:pPr>
      <w:r w:rsidRPr="00C73C58">
        <w:t xml:space="preserve">Full Text: </w:t>
      </w:r>
      <w:hyperlink r:id="rId889" w:history="1">
        <w:r w:rsidRPr="00C73C58">
          <w:rPr>
            <w:rStyle w:val="a5"/>
          </w:rPr>
          <w:t>1960-80\Col Man1, 95.pdf</w:t>
        </w:r>
      </w:hyperlink>
    </w:p>
    <w:p w:rsidR="00991200" w:rsidRPr="001A3D2B" w:rsidRDefault="00991200" w:rsidP="00991200">
      <w:pPr>
        <w:pStyle w:val="a3"/>
      </w:pPr>
      <w:r w:rsidRPr="001A3D2B">
        <w:t xml:space="preserve">? </w:t>
      </w:r>
      <w:r>
        <w:t>Raymond</w:t>
      </w:r>
      <w:r>
        <w:rPr>
          <w:rFonts w:hint="eastAsia"/>
        </w:rPr>
        <w:t>, R.</w:t>
      </w:r>
      <w:r>
        <w:t>W.</w:t>
      </w:r>
      <w:r w:rsidR="005853A9">
        <w:t xml:space="preserve"> and </w:t>
      </w:r>
      <w:r>
        <w:t>Jacqueline</w:t>
      </w:r>
      <w:r>
        <w:rPr>
          <w:rFonts w:hint="eastAsia"/>
        </w:rPr>
        <w:t>, M.</w:t>
      </w:r>
      <w:r>
        <w:t>C.</w:t>
      </w:r>
      <w:r w:rsidRPr="001A3D2B">
        <w:t xml:space="preserve"> (19</w:t>
      </w:r>
      <w:r>
        <w:rPr>
          <w:rFonts w:hint="eastAsia"/>
        </w:rPr>
        <w:t>78</w:t>
      </w:r>
      <w:r w:rsidR="00F42EAC">
        <w:t>), The</w:t>
      </w:r>
      <w:r w:rsidR="003A1917">
        <w:t xml:space="preserve"> </w:t>
      </w:r>
      <w:r>
        <w:t>application</w:t>
      </w:r>
      <w:r w:rsidR="00427468">
        <w:t xml:space="preserve"> of </w:t>
      </w:r>
      <w:r>
        <w:t>bibliometric techniques to</w:t>
      </w:r>
      <w:r w:rsidR="003A1917">
        <w:t xml:space="preserve"> the </w:t>
      </w:r>
      <w:r>
        <w:t>analysis</w:t>
      </w:r>
      <w:r w:rsidR="00427468">
        <w:t xml:space="preserve"> of </w:t>
      </w:r>
      <w:r>
        <w:t>materials for young adults</w:t>
      </w:r>
      <w:r w:rsidRPr="001A3D2B">
        <w:t xml:space="preserve">. </w:t>
      </w:r>
      <w:r w:rsidRPr="001A3D2B">
        <w:rPr>
          <w:i/>
          <w:iCs/>
        </w:rPr>
        <w:t>Collection Management</w:t>
      </w:r>
      <w:r w:rsidRPr="001A3D2B">
        <w:t xml:space="preserve">, </w:t>
      </w:r>
      <w:r>
        <w:rPr>
          <w:rFonts w:hint="eastAsia"/>
          <w:b/>
          <w:bCs/>
        </w:rPr>
        <w:t>2</w:t>
      </w:r>
      <w:r w:rsidRPr="001A3D2B">
        <w:t xml:space="preserve"> (3), </w:t>
      </w:r>
      <w:r>
        <w:t>229-246</w:t>
      </w:r>
      <w:r w:rsidRPr="001A3D2B">
        <w:t>.</w:t>
      </w:r>
    </w:p>
    <w:p w:rsidR="00991200" w:rsidRDefault="00991200" w:rsidP="00991200">
      <w:pPr>
        <w:pStyle w:val="a3"/>
      </w:pPr>
      <w:r w:rsidRPr="001A3D2B">
        <w:t xml:space="preserve">Full Text: </w:t>
      </w:r>
      <w:hyperlink r:id="rId890" w:history="1">
        <w:r w:rsidRPr="00007846">
          <w:rPr>
            <w:rStyle w:val="a5"/>
          </w:rPr>
          <w:t>1960-80\Col Man2, 229.pdf</w:t>
        </w:r>
      </w:hyperlink>
    </w:p>
    <w:p w:rsidR="00991200" w:rsidRDefault="00991200" w:rsidP="00991200">
      <w:pPr>
        <w:pStyle w:val="a3"/>
      </w:pPr>
      <w:r>
        <w:rPr>
          <w:rFonts w:hint="eastAsia"/>
        </w:rPr>
        <w:t>Abstract:</w:t>
      </w:r>
      <w:r w:rsidR="003A1917">
        <w:t xml:space="preserve"> the </w:t>
      </w:r>
      <w:r>
        <w:t>information needs</w:t>
      </w:r>
      <w:r w:rsidR="00427468">
        <w:t xml:space="preserve"> of </w:t>
      </w:r>
      <w:r>
        <w:t>young adults are no different from those</w:t>
      </w:r>
      <w:r w:rsidR="00427468">
        <w:t xml:space="preserve"> of </w:t>
      </w:r>
      <w:r>
        <w:t>most people</w:t>
      </w:r>
      <w:r w:rsidR="00A37C1D">
        <w:t>. The</w:t>
      </w:r>
      <w:r>
        <w:t>y tend to be recreational, developmental,</w:t>
      </w:r>
      <w:r w:rsidR="005853A9">
        <w:t xml:space="preserve"> and </w:t>
      </w:r>
      <w:r>
        <w:t>occupational. In selecting materials to meet these needs recommendations</w:t>
      </w:r>
      <w:r w:rsidR="00427468">
        <w:t xml:space="preserve"> of </w:t>
      </w:r>
      <w:r>
        <w:t>experts as well as what YA</w:t>
      </w:r>
      <w:r w:rsidR="0071223E">
        <w:t>’</w:t>
      </w:r>
      <w:r w:rsidR="00C13DDC">
        <w:t>s</w:t>
      </w:r>
      <w:r>
        <w:t xml:space="preserve"> actually use should be considered. Two studies look at this problem. In this first study, a data base</w:t>
      </w:r>
      <w:r w:rsidR="00427468">
        <w:t xml:space="preserve"> of </w:t>
      </w:r>
      <w:r>
        <w:t>19,405 titles has been compiled from 19 lists</w:t>
      </w:r>
      <w:r w:rsidR="00427468">
        <w:t xml:space="preserve"> of </w:t>
      </w:r>
      <w:r w:rsidR="00B5188C">
        <w:t>“</w:t>
      </w:r>
      <w:r>
        <w:t>best</w:t>
      </w:r>
      <w:r w:rsidR="00B5188C">
        <w:t>”</w:t>
      </w:r>
      <w:r>
        <w:t xml:space="preserve"> books for YA</w:t>
      </w:r>
      <w:r w:rsidR="0071223E">
        <w:t>’</w:t>
      </w:r>
      <w:r w:rsidR="00C13DDC">
        <w:t>s</w:t>
      </w:r>
      <w:r w:rsidR="00A37C1D">
        <w:t>. The</w:t>
      </w:r>
      <w:r w:rsidR="003A1917">
        <w:t xml:space="preserve"> </w:t>
      </w:r>
      <w:r>
        <w:t>compilers found that 22&amp;#0037;</w:t>
      </w:r>
      <w:r w:rsidR="00427468">
        <w:t xml:space="preserve"> of </w:t>
      </w:r>
      <w:r>
        <w:t xml:space="preserve">all titles occured on more than one list. Books with 3 or more references created a </w:t>
      </w:r>
      <w:r w:rsidR="00B5188C">
        <w:t>“</w:t>
      </w:r>
      <w:r>
        <w:t>core</w:t>
      </w:r>
      <w:r w:rsidR="00B5188C">
        <w:t>”</w:t>
      </w:r>
      <w:r>
        <w:t xml:space="preserve"> collection</w:t>
      </w:r>
      <w:r w:rsidR="00427468">
        <w:t xml:space="preserve"> of </w:t>
      </w:r>
      <w:r>
        <w:t>1134 titles</w:t>
      </w:r>
      <w:r w:rsidR="00A37C1D">
        <w:t>. The</w:t>
      </w:r>
      <w:r w:rsidR="003A1917">
        <w:t xml:space="preserve"> </w:t>
      </w:r>
      <w:r>
        <w:t>second study sampled 270 student papers written by college-bound students in grades 10, 11,</w:t>
      </w:r>
      <w:r w:rsidR="005853A9">
        <w:t xml:space="preserve"> and </w:t>
      </w:r>
      <w:r>
        <w:t>12</w:t>
      </w:r>
      <w:r w:rsidR="00A37C1D">
        <w:t>. The</w:t>
      </w:r>
      <w:r w:rsidR="003A1917">
        <w:t xml:space="preserve"> </w:t>
      </w:r>
      <w:r>
        <w:t>papers came from a cross-section</w:t>
      </w:r>
      <w:r w:rsidR="00427468">
        <w:t xml:space="preserve"> of </w:t>
      </w:r>
      <w:r>
        <w:t>metropolitan area schools</w:t>
      </w:r>
      <w:r w:rsidR="005853A9">
        <w:t xml:space="preserve"> and </w:t>
      </w:r>
      <w:r>
        <w:t>were in</w:t>
      </w:r>
      <w:r w:rsidR="003A1917">
        <w:t xml:space="preserve"> the </w:t>
      </w:r>
      <w:r>
        <w:t>humanities</w:t>
      </w:r>
      <w:r w:rsidR="005853A9">
        <w:t xml:space="preserve"> and </w:t>
      </w:r>
      <w:r>
        <w:t>science. Sixty-seven percent</w:t>
      </w:r>
      <w:r w:rsidR="00427468">
        <w:t xml:space="preserve"> of </w:t>
      </w:r>
      <w:r w:rsidR="003A1917">
        <w:t xml:space="preserve">the </w:t>
      </w:r>
      <w:r>
        <w:t>references were to monographs,</w:t>
      </w:r>
      <w:r w:rsidR="005853A9">
        <w:t xml:space="preserve"> and </w:t>
      </w:r>
      <w:r>
        <w:t>20&amp;#0037; to journals;</w:t>
      </w:r>
      <w:r w:rsidR="003A1917">
        <w:t xml:space="preserve"> the </w:t>
      </w:r>
      <w:r>
        <w:t>remainder was to a range</w:t>
      </w:r>
      <w:r w:rsidR="00427468">
        <w:t xml:space="preserve"> of </w:t>
      </w:r>
      <w:r>
        <w:t>materials</w:t>
      </w:r>
      <w:r w:rsidR="005853A9">
        <w:t xml:space="preserve"> and </w:t>
      </w:r>
      <w:r>
        <w:t>media. A typical paper used materials from 3 to 30 years old.</w:t>
      </w:r>
      <w:r w:rsidR="00427468">
        <w:t xml:space="preserve"> of </w:t>
      </w:r>
      <w:r>
        <w:t>all</w:t>
      </w:r>
      <w:r w:rsidR="003A1917">
        <w:t xml:space="preserve"> the </w:t>
      </w:r>
      <w:r>
        <w:t>references to monographs (2117), 578 were cited in one or more lists</w:t>
      </w:r>
      <w:r w:rsidR="00A37C1D">
        <w:t>. The</w:t>
      </w:r>
      <w:r w:rsidR="003A1917">
        <w:t xml:space="preserve"> </w:t>
      </w:r>
      <w:r>
        <w:t>top two lists accounted for 69&amp;#0037;</w:t>
      </w:r>
      <w:r w:rsidR="00427468">
        <w:t xml:space="preserve"> of </w:t>
      </w:r>
      <w:r w:rsidR="003A1917">
        <w:t xml:space="preserve">the </w:t>
      </w:r>
      <w:r>
        <w:t>578 titles;</w:t>
      </w:r>
      <w:r w:rsidR="003A1917">
        <w:t xml:space="preserve"> the </w:t>
      </w:r>
      <w:r>
        <w:t>top three for 79&amp;#0037;, with a 12&amp;#0037; overlap</w:t>
      </w:r>
      <w:r w:rsidR="00A37C1D">
        <w:t>. The</w:t>
      </w:r>
      <w:r w:rsidR="003A1917">
        <w:t xml:space="preserve"> </w:t>
      </w:r>
      <w:r>
        <w:t>question is raised whether</w:t>
      </w:r>
      <w:r w:rsidR="003A1917">
        <w:t xml:space="preserve"> the </w:t>
      </w:r>
      <w:r>
        <w:t>lists control what will be used, or whether they identify useful materials</w:t>
      </w:r>
      <w:r w:rsidR="00A37C1D">
        <w:t>. The</w:t>
      </w:r>
      <w:r w:rsidR="003A1917">
        <w:t xml:space="preserve"> </w:t>
      </w:r>
      <w:r>
        <w:t>disposition</w:t>
      </w:r>
      <w:r w:rsidR="00427468">
        <w:t xml:space="preserve"> of </w:t>
      </w:r>
      <w:r>
        <w:t>journal articles referenced by students followed Bradford</w:t>
      </w:r>
      <w:r w:rsidR="0071223E">
        <w:t>’</w:t>
      </w:r>
      <w:r w:rsidR="00C13DDC">
        <w:t>s</w:t>
      </w:r>
      <w:r>
        <w:t xml:space="preserve"> Law. A relatively large number</w:t>
      </w:r>
      <w:r w:rsidR="00427468">
        <w:t xml:space="preserve"> of </w:t>
      </w:r>
      <w:r>
        <w:lastRenderedPageBreak/>
        <w:t>articles used were concentrated in a few journal titles, while many journals contributed very few articles</w:t>
      </w:r>
      <w:r w:rsidR="00A37C1D">
        <w:t>. The</w:t>
      </w:r>
      <w:r>
        <w:t>re is a need to describe more closely materials for YA use, particularly considering moves toward library cooperation. Reference data can provide one indicator</w:t>
      </w:r>
      <w:r w:rsidR="00427468">
        <w:t xml:space="preserve"> of </w:t>
      </w:r>
      <w:r>
        <w:t>use. It can be an aid in</w:t>
      </w:r>
      <w:r w:rsidR="003A1917">
        <w:t xml:space="preserve"> the </w:t>
      </w:r>
      <w:r>
        <w:t>decision-making process for funding, for opening or closing stacks or shelving, or just to alert libraries to which materials are chosen most frequently for</w:t>
      </w:r>
      <w:r w:rsidR="005853A9">
        <w:t xml:space="preserve"> and </w:t>
      </w:r>
      <w:r>
        <w:t>by YA</w:t>
      </w:r>
      <w:r w:rsidR="0071223E">
        <w:t>’</w:t>
      </w:r>
      <w:r w:rsidR="00C13DDC">
        <w:t>s</w:t>
      </w:r>
      <w:r>
        <w:t>.</w:t>
      </w:r>
    </w:p>
    <w:p w:rsidR="00DD5B86" w:rsidRPr="001A3D2B" w:rsidRDefault="00DD5B86" w:rsidP="00DD5B86">
      <w:pPr>
        <w:pStyle w:val="a3"/>
      </w:pPr>
      <w:r w:rsidRPr="001A3D2B">
        <w:t xml:space="preserve">? </w:t>
      </w:r>
      <w:r>
        <w:t>Koenig</w:t>
      </w:r>
      <w:r>
        <w:rPr>
          <w:rFonts w:hint="eastAsia"/>
        </w:rPr>
        <w:t>,</w:t>
      </w:r>
      <w:r>
        <w:t xml:space="preserve"> M</w:t>
      </w:r>
      <w:r>
        <w:rPr>
          <w:rFonts w:hint="eastAsia"/>
        </w:rPr>
        <w:t>.</w:t>
      </w:r>
      <w:r>
        <w:t>E.D.</w:t>
      </w:r>
      <w:r w:rsidRPr="001A3D2B">
        <w:t xml:space="preserve"> (19</w:t>
      </w:r>
      <w:r>
        <w:rPr>
          <w:rFonts w:hint="eastAsia"/>
        </w:rPr>
        <w:t>78</w:t>
      </w:r>
      <w:r w:rsidRPr="001A3D2B">
        <w:t xml:space="preserve">), </w:t>
      </w:r>
      <w:r w:rsidR="009A2B75">
        <w:t xml:space="preserve">Citation </w:t>
      </w:r>
      <w:r>
        <w:t>analysis for</w:t>
      </w:r>
      <w:r w:rsidR="003A1917">
        <w:t xml:space="preserve"> the </w:t>
      </w:r>
      <w:r>
        <w:t>arts</w:t>
      </w:r>
      <w:r w:rsidR="005853A9">
        <w:t xml:space="preserve"> and </w:t>
      </w:r>
      <w:r>
        <w:t>humanities as a collection management tool</w:t>
      </w:r>
      <w:r w:rsidRPr="001A3D2B">
        <w:t xml:space="preserve">. </w:t>
      </w:r>
      <w:r w:rsidRPr="001A3D2B">
        <w:rPr>
          <w:i/>
          <w:iCs/>
        </w:rPr>
        <w:t>Collection Management</w:t>
      </w:r>
      <w:r w:rsidRPr="001A3D2B">
        <w:t xml:space="preserve">, </w:t>
      </w:r>
      <w:r>
        <w:rPr>
          <w:rFonts w:hint="eastAsia"/>
          <w:b/>
          <w:bCs/>
        </w:rPr>
        <w:t>2</w:t>
      </w:r>
      <w:r w:rsidRPr="001A3D2B">
        <w:t xml:space="preserve"> (3), </w:t>
      </w:r>
      <w:r>
        <w:t>247-264</w:t>
      </w:r>
      <w:r w:rsidRPr="001A3D2B">
        <w:t>.</w:t>
      </w:r>
    </w:p>
    <w:p w:rsidR="00991200" w:rsidRDefault="00991200" w:rsidP="00991200">
      <w:pPr>
        <w:pStyle w:val="a3"/>
      </w:pPr>
      <w:r w:rsidRPr="001A3D2B">
        <w:t xml:space="preserve">Full Text: </w:t>
      </w:r>
      <w:hyperlink r:id="rId891" w:history="1">
        <w:r w:rsidRPr="00CA2809">
          <w:rPr>
            <w:rStyle w:val="a5"/>
          </w:rPr>
          <w:t>1960-80\Col Man2, 247.pdf</w:t>
        </w:r>
      </w:hyperlink>
    </w:p>
    <w:p w:rsidR="00DD5B86" w:rsidRDefault="00DD5B86" w:rsidP="00DD5B86">
      <w:pPr>
        <w:pStyle w:val="a3"/>
      </w:pPr>
      <w:r>
        <w:rPr>
          <w:rFonts w:hint="eastAsia"/>
        </w:rPr>
        <w:t xml:space="preserve">Abstract: </w:t>
      </w:r>
      <w:r>
        <w:t>This paper describes</w:t>
      </w:r>
      <w:r w:rsidR="003A1917">
        <w:t xml:space="preserve"> the </w:t>
      </w:r>
      <w:r>
        <w:t>potential for bibliometric analysis</w:t>
      </w:r>
      <w:r w:rsidR="00427468">
        <w:t xml:space="preserve"> of </w:t>
      </w:r>
      <w:r>
        <w:t>citation data from</w:t>
      </w:r>
      <w:r w:rsidR="003A1917">
        <w:t xml:space="preserve"> the </w:t>
      </w:r>
      <w:r>
        <w:t>literature</w:t>
      </w:r>
      <w:r w:rsidR="00427468">
        <w:t xml:space="preserve"> of </w:t>
      </w:r>
      <w:r w:rsidR="003A1917">
        <w:t xml:space="preserve">the </w:t>
      </w:r>
      <w:r>
        <w:t>arts</w:t>
      </w:r>
      <w:r w:rsidR="005853A9">
        <w:t xml:space="preserve"> and </w:t>
      </w:r>
      <w:r>
        <w:t>humanities. To date, such analyses have been very limited, due to</w:t>
      </w:r>
      <w:r w:rsidR="003A1917">
        <w:t xml:space="preserve"> the </w:t>
      </w:r>
      <w:r>
        <w:t>subject orientation</w:t>
      </w:r>
      <w:r w:rsidR="00427468">
        <w:t xml:space="preserve"> of </w:t>
      </w:r>
      <w:r>
        <w:t>most bibliometric researchers</w:t>
      </w:r>
      <w:r w:rsidR="005853A9">
        <w:t xml:space="preserve"> and </w:t>
      </w:r>
      <w:r>
        <w:t>to</w:t>
      </w:r>
      <w:r w:rsidR="003A1917">
        <w:t xml:space="preserve"> the </w:t>
      </w:r>
      <w:r>
        <w:t>lack heretofore</w:t>
      </w:r>
      <w:r w:rsidR="00427468">
        <w:t xml:space="preserve"> of </w:t>
      </w:r>
      <w:r>
        <w:t>an appropriate citation data base. Opportunities are opening up for bibliometric research in</w:t>
      </w:r>
      <w:r w:rsidR="003A1917">
        <w:t xml:space="preserve"> the </w:t>
      </w:r>
      <w:r>
        <w:t>arts</w:t>
      </w:r>
      <w:r w:rsidR="005853A9">
        <w:t xml:space="preserve"> and </w:t>
      </w:r>
      <w:r>
        <w:t>humanities,</w:t>
      </w:r>
      <w:r w:rsidR="005853A9">
        <w:t xml:space="preserve"> and </w:t>
      </w:r>
      <w:r>
        <w:t>this research has particular application for journal collection management.</w:t>
      </w:r>
    </w:p>
    <w:p w:rsidR="00E70FBC" w:rsidRPr="001A3D2B" w:rsidRDefault="00E70FBC" w:rsidP="00E70FBC">
      <w:pPr>
        <w:pStyle w:val="a3"/>
      </w:pPr>
      <w:r w:rsidRPr="001A3D2B">
        <w:t xml:space="preserve">? </w:t>
      </w:r>
      <w:r>
        <w:t>Bookstein</w:t>
      </w:r>
      <w:r>
        <w:rPr>
          <w:rFonts w:hint="eastAsia"/>
        </w:rPr>
        <w:t>,</w:t>
      </w:r>
      <w:r>
        <w:t xml:space="preserve"> A</w:t>
      </w:r>
      <w:r>
        <w:rPr>
          <w:rFonts w:hint="eastAsia"/>
        </w:rPr>
        <w:t>.</w:t>
      </w:r>
      <w:r w:rsidRPr="001A3D2B">
        <w:t xml:space="preserve"> (198</w:t>
      </w:r>
      <w:r>
        <w:rPr>
          <w:rFonts w:hint="eastAsia"/>
        </w:rPr>
        <w:t>0</w:t>
      </w:r>
      <w:r w:rsidRPr="001A3D2B">
        <w:t xml:space="preserve">), </w:t>
      </w:r>
      <w:r>
        <w:t>Explanations</w:t>
      </w:r>
      <w:r w:rsidR="00427468">
        <w:t xml:space="preserve"> of </w:t>
      </w:r>
      <w:r w:rsidR="003A1917">
        <w:t xml:space="preserve">the </w:t>
      </w:r>
      <w:r>
        <w:t>bibliometric laws</w:t>
      </w:r>
      <w:r w:rsidRPr="001A3D2B">
        <w:t xml:space="preserve">. </w:t>
      </w:r>
      <w:r w:rsidRPr="001A3D2B">
        <w:rPr>
          <w:i/>
          <w:iCs/>
        </w:rPr>
        <w:t>Collection Management</w:t>
      </w:r>
      <w:r w:rsidRPr="001A3D2B">
        <w:t xml:space="preserve">, </w:t>
      </w:r>
      <w:r>
        <w:rPr>
          <w:rFonts w:hint="eastAsia"/>
          <w:b/>
          <w:bCs/>
        </w:rPr>
        <w:t>3</w:t>
      </w:r>
      <w:r w:rsidRPr="001A3D2B">
        <w:t xml:space="preserve"> (</w:t>
      </w:r>
      <w:r>
        <w:rPr>
          <w:rFonts w:hint="eastAsia"/>
        </w:rPr>
        <w:t>2-</w:t>
      </w:r>
      <w:r w:rsidRPr="001A3D2B">
        <w:t xml:space="preserve">3), </w:t>
      </w:r>
      <w:r>
        <w:t>151-162</w:t>
      </w:r>
      <w:r w:rsidRPr="001A3D2B">
        <w:t>.</w:t>
      </w:r>
    </w:p>
    <w:p w:rsidR="00E70FBC" w:rsidRDefault="00E70FBC" w:rsidP="00E70FBC">
      <w:pPr>
        <w:pStyle w:val="a3"/>
      </w:pPr>
      <w:r w:rsidRPr="001A3D2B">
        <w:t xml:space="preserve">Full Text: </w:t>
      </w:r>
      <w:hyperlink r:id="rId892" w:history="1">
        <w:r w:rsidRPr="00E70FBC">
          <w:rPr>
            <w:rStyle w:val="a5"/>
          </w:rPr>
          <w:t>1960-80\Col Man3, 151.pdf</w:t>
        </w:r>
      </w:hyperlink>
    </w:p>
    <w:p w:rsidR="00E70FBC" w:rsidRPr="001A3D2B" w:rsidRDefault="00E70FBC" w:rsidP="00E70FBC">
      <w:pPr>
        <w:pStyle w:val="a3"/>
      </w:pPr>
      <w:r>
        <w:t>Abstract</w:t>
      </w:r>
      <w:r>
        <w:rPr>
          <w:rFonts w:hint="eastAsia"/>
        </w:rPr>
        <w:t xml:space="preserve">: </w:t>
      </w:r>
      <w:r>
        <w:t>Many librarians are familiar with Bradford</w:t>
      </w:r>
      <w:r w:rsidR="0071223E">
        <w:t>’</w:t>
      </w:r>
      <w:r w:rsidR="00C13DDC">
        <w:t>s</w:t>
      </w:r>
      <w:r>
        <w:t xml:space="preserve"> law</w:t>
      </w:r>
      <w:r w:rsidR="00427468">
        <w:t xml:space="preserve"> of </w:t>
      </w:r>
      <w:r>
        <w:t>scattering as a description</w:t>
      </w:r>
      <w:r w:rsidR="00427468">
        <w:t xml:space="preserve"> of </w:t>
      </w:r>
      <w:r>
        <w:t>how articles in a discipline are dispersed over</w:t>
      </w:r>
      <w:r w:rsidR="003A1917">
        <w:t xml:space="preserve"> the </w:t>
      </w:r>
      <w:r>
        <w:t>universe</w:t>
      </w:r>
      <w:r w:rsidR="00427468">
        <w:t xml:space="preserve"> of </w:t>
      </w:r>
      <w:r>
        <w:t>journals. Similar</w:t>
      </w:r>
      <w:r w:rsidR="005853A9">
        <w:t xml:space="preserve"> and </w:t>
      </w:r>
      <w:r>
        <w:t>equally surprising regularities are found in a wide range</w:t>
      </w:r>
      <w:r w:rsidR="00427468">
        <w:t xml:space="preserve"> of </w:t>
      </w:r>
      <w:r>
        <w:t>other areas, such as biology, economics, geography,</w:t>
      </w:r>
      <w:r w:rsidR="005853A9">
        <w:t xml:space="preserve"> and </w:t>
      </w:r>
      <w:r>
        <w:t>linguistics. This paper describes a number</w:t>
      </w:r>
      <w:r w:rsidR="00427468">
        <w:t xml:space="preserve"> of </w:t>
      </w:r>
      <w:r w:rsidR="003A1917">
        <w:t xml:space="preserve">the </w:t>
      </w:r>
      <w:r>
        <w:t>most prominent</w:t>
      </w:r>
      <w:r w:rsidR="00427468">
        <w:t xml:space="preserve"> of </w:t>
      </w:r>
      <w:r>
        <w:t>these laws</w:t>
      </w:r>
      <w:r w:rsidR="005853A9">
        <w:t xml:space="preserve"> and </w:t>
      </w:r>
      <w:r>
        <w:t>reformulates them so as to reveal their underlying similarity. It is noted that all</w:t>
      </w:r>
      <w:r w:rsidR="00427468">
        <w:t xml:space="preserve"> of </w:t>
      </w:r>
      <w:r>
        <w:t>these laws are in essence mathematically identical</w:t>
      </w:r>
      <w:r w:rsidR="00A37C1D">
        <w:t>. The</w:t>
      </w:r>
      <w:r w:rsidR="003A1917">
        <w:t xml:space="preserve"> </w:t>
      </w:r>
      <w:r>
        <w:t>paper reviews several attempts that have been made to derive this common regularity from more basic principles, such as an underlying stochastic process or an information theoretic model</w:t>
      </w:r>
      <w:r w:rsidR="00427468">
        <w:t xml:space="preserve"> of </w:t>
      </w:r>
      <w:r w:rsidR="003A1917">
        <w:t xml:space="preserve">the </w:t>
      </w:r>
      <w:r>
        <w:t>human mind. It is suggested that one reason for</w:t>
      </w:r>
      <w:r w:rsidR="003A1917">
        <w:t xml:space="preserve"> the </w:t>
      </w:r>
      <w:r>
        <w:t>recurrence</w:t>
      </w:r>
      <w:r w:rsidR="00427468">
        <w:t xml:space="preserve"> of </w:t>
      </w:r>
      <w:r>
        <w:t>these laws is that they are very stable</w:t>
      </w:r>
      <w:r w:rsidR="005853A9">
        <w:t xml:space="preserve"> and </w:t>
      </w:r>
      <w:r>
        <w:t>likely to result from a wide range</w:t>
      </w:r>
      <w:r w:rsidR="00427468">
        <w:t xml:space="preserve"> of </w:t>
      </w:r>
      <w:r>
        <w:t>different causes.</w:t>
      </w:r>
    </w:p>
    <w:p w:rsidR="0028240A" w:rsidRPr="001A3D2B" w:rsidRDefault="0028240A" w:rsidP="0028240A">
      <w:pPr>
        <w:pStyle w:val="a3"/>
      </w:pPr>
      <w:r w:rsidRPr="001A3D2B">
        <w:t>? Pao, M.L. (1985), Characteristics</w:t>
      </w:r>
      <w:r w:rsidR="00427468">
        <w:t xml:space="preserve"> of </w:t>
      </w:r>
      <w:r w:rsidRPr="001A3D2B">
        <w:t xml:space="preserve">American revolution literature. </w:t>
      </w:r>
      <w:r w:rsidRPr="001A3D2B">
        <w:rPr>
          <w:i/>
          <w:iCs/>
        </w:rPr>
        <w:t>Collection Management</w:t>
      </w:r>
      <w:r w:rsidRPr="001A3D2B">
        <w:t xml:space="preserve">, </w:t>
      </w:r>
      <w:r w:rsidRPr="001A3D2B">
        <w:rPr>
          <w:b/>
          <w:bCs/>
        </w:rPr>
        <w:t>6</w:t>
      </w:r>
      <w:r w:rsidRPr="001A3D2B">
        <w:t xml:space="preserve"> (3), 119-128.</w:t>
      </w:r>
    </w:p>
    <w:p w:rsidR="0028240A" w:rsidRPr="001A3D2B" w:rsidRDefault="0028240A" w:rsidP="0028240A">
      <w:pPr>
        <w:pStyle w:val="a3"/>
      </w:pPr>
      <w:r w:rsidRPr="001A3D2B">
        <w:t xml:space="preserve">Full Text: </w:t>
      </w:r>
      <w:hyperlink r:id="rId893" w:history="1">
        <w:r w:rsidRPr="001A3D2B">
          <w:rPr>
            <w:rStyle w:val="a5"/>
          </w:rPr>
          <w:t>1985\Col Man6, 119.pdf</w:t>
        </w:r>
      </w:hyperlink>
    </w:p>
    <w:p w:rsidR="0028240A" w:rsidRPr="001A3D2B" w:rsidRDefault="0028240A" w:rsidP="0028240A">
      <w:pPr>
        <w:pStyle w:val="a3"/>
      </w:pPr>
      <w:r w:rsidRPr="001A3D2B">
        <w:t>Abstract: Earlier citation studies have shown that</w:t>
      </w:r>
      <w:r w:rsidR="003A1917">
        <w:t xml:space="preserve"> the </w:t>
      </w:r>
      <w:r w:rsidRPr="001A3D2B">
        <w:t>humanist relies heavily on recent publications,</w:t>
      </w:r>
      <w:r w:rsidR="005853A9">
        <w:t xml:space="preserve"> and </w:t>
      </w:r>
      <w:r w:rsidRPr="001A3D2B">
        <w:t>that monographic</w:t>
      </w:r>
      <w:r w:rsidR="005853A9">
        <w:t xml:space="preserve"> and </w:t>
      </w:r>
      <w:r w:rsidRPr="001A3D2B">
        <w:t>journal publications are</w:t>
      </w:r>
      <w:r w:rsidR="00427468">
        <w:t xml:space="preserve"> of </w:t>
      </w:r>
      <w:r w:rsidRPr="001A3D2B">
        <w:t>equal importance. Such findings suggest that better currcnt awareness service may benefit humanists. This paper presents a bibliometric study</w:t>
      </w:r>
      <w:r w:rsidR="00427468">
        <w:t xml:space="preserve"> of </w:t>
      </w:r>
      <w:r w:rsidRPr="001A3D2B">
        <w:t>journal articles on</w:t>
      </w:r>
      <w:r w:rsidR="003A1917">
        <w:t xml:space="preserve"> the </w:t>
      </w:r>
      <w:r w:rsidRPr="001A3D2B">
        <w:t>subject</w:t>
      </w:r>
      <w:r w:rsidR="00427468">
        <w:t xml:space="preserve"> of </w:t>
      </w:r>
      <w:r w:rsidR="003A1917">
        <w:t xml:space="preserve">the </w:t>
      </w:r>
      <w:r w:rsidRPr="001A3D2B">
        <w:t>American Revolution using items contained in a standard indexing journal. Results confirm that a larger group</w:t>
      </w:r>
      <w:r w:rsidR="00427468">
        <w:t xml:space="preserve"> of </w:t>
      </w:r>
      <w:r w:rsidRPr="001A3D2B">
        <w:t>journals is devoted to this subject than is generally suspected. Moreover, a substantial number</w:t>
      </w:r>
      <w:r w:rsidR="00427468">
        <w:t xml:space="preserve"> of </w:t>
      </w:r>
      <w:r w:rsidRPr="001A3D2B">
        <w:t>journals</w:t>
      </w:r>
      <w:r w:rsidR="00427468">
        <w:t xml:space="preserve"> of </w:t>
      </w:r>
      <w:r w:rsidRPr="001A3D2B">
        <w:t xml:space="preserve">high quality arc found to be </w:t>
      </w:r>
      <w:r w:rsidRPr="001A3D2B">
        <w:lastRenderedPageBreak/>
        <w:t>productive in this area.</w:t>
      </w:r>
    </w:p>
    <w:p w:rsidR="009A2B75" w:rsidRPr="00C73C58" w:rsidRDefault="009A2B75" w:rsidP="009A2B75">
      <w:pPr>
        <w:pStyle w:val="a3"/>
      </w:pPr>
      <w:r w:rsidRPr="00C73C58">
        <w:t xml:space="preserve">? </w:t>
      </w:r>
      <w:r>
        <w:t>Kamlesh</w:t>
      </w:r>
      <w:r>
        <w:rPr>
          <w:rFonts w:hint="eastAsia"/>
        </w:rPr>
        <w:t>, G.</w:t>
      </w:r>
      <w:r w:rsidR="005853A9">
        <w:rPr>
          <w:rFonts w:hint="eastAsia"/>
        </w:rPr>
        <w:t xml:space="preserve"> and </w:t>
      </w:r>
      <w:r>
        <w:t>Garg</w:t>
      </w:r>
      <w:r>
        <w:rPr>
          <w:rFonts w:hint="eastAsia"/>
        </w:rPr>
        <w:t>,</w:t>
      </w:r>
      <w:r>
        <w:t xml:space="preserve"> K.C.</w:t>
      </w:r>
      <w:r w:rsidRPr="00C73C58">
        <w:t xml:space="preserve"> (</w:t>
      </w:r>
      <w:r>
        <w:rPr>
          <w:rFonts w:hint="eastAsia"/>
        </w:rPr>
        <w:t>1994</w:t>
      </w:r>
      <w:r w:rsidRPr="00C73C58">
        <w:t xml:space="preserve">), </w:t>
      </w:r>
      <w:r>
        <w:t>Social science research in India</w:t>
      </w:r>
      <w:r>
        <w:rPr>
          <w:rFonts w:hint="eastAsia"/>
        </w:rPr>
        <w:t>:</w:t>
      </w:r>
      <w:r>
        <w:t xml:space="preserve"> A bibliometric study</w:t>
      </w:r>
      <w:r w:rsidRPr="00C73C58">
        <w:t xml:space="preserve">. </w:t>
      </w:r>
      <w:r w:rsidRPr="00C73C58">
        <w:rPr>
          <w:i/>
          <w:iCs/>
        </w:rPr>
        <w:t>Collection Management</w:t>
      </w:r>
      <w:r w:rsidRPr="00C73C58">
        <w:t xml:space="preserve">, </w:t>
      </w:r>
      <w:r>
        <w:rPr>
          <w:rFonts w:hint="eastAsia"/>
          <w:b/>
          <w:bCs/>
        </w:rPr>
        <w:t>17</w:t>
      </w:r>
      <w:r w:rsidRPr="00C73C58">
        <w:t xml:space="preserve"> (</w:t>
      </w:r>
      <w:r>
        <w:rPr>
          <w:rFonts w:hint="eastAsia"/>
        </w:rPr>
        <w:t>4</w:t>
      </w:r>
      <w:r w:rsidRPr="00C73C58">
        <w:t xml:space="preserve">), </w:t>
      </w:r>
      <w:r>
        <w:t>95-104</w:t>
      </w:r>
      <w:r w:rsidRPr="00C73C58">
        <w:t>.</w:t>
      </w:r>
    </w:p>
    <w:p w:rsidR="009A2B75" w:rsidRDefault="009A2B75" w:rsidP="009A2B75">
      <w:pPr>
        <w:pStyle w:val="a3"/>
      </w:pPr>
      <w:r w:rsidRPr="00C73C58">
        <w:t xml:space="preserve">Full Text: </w:t>
      </w:r>
      <w:hyperlink r:id="rId894" w:history="1">
        <w:r w:rsidRPr="009A2B75">
          <w:rPr>
            <w:rStyle w:val="a5"/>
          </w:rPr>
          <w:t>1994\Col Man17, 95.pdf</w:t>
        </w:r>
      </w:hyperlink>
    </w:p>
    <w:p w:rsidR="009A2B75" w:rsidRDefault="009A2B75" w:rsidP="009A2B75">
      <w:pPr>
        <w:pStyle w:val="a3"/>
      </w:pPr>
      <w:r>
        <w:t>Abstract</w:t>
      </w:r>
      <w:r>
        <w:rPr>
          <w:rFonts w:hint="eastAsia"/>
        </w:rPr>
        <w:t xml:space="preserve">: </w:t>
      </w:r>
      <w:r>
        <w:t>An analysis</w:t>
      </w:r>
      <w:r w:rsidR="00427468">
        <w:t xml:space="preserve"> of </w:t>
      </w:r>
      <w:r>
        <w:t>393 papers published by Indian social scientists</w:t>
      </w:r>
      <w:r w:rsidR="005853A9">
        <w:t xml:space="preserve"> and </w:t>
      </w:r>
      <w:r>
        <w:t>included in Social Science Citation Index (</w:t>
      </w:r>
      <w:r w:rsidR="00D5664A">
        <w:t>SSCI</w:t>
      </w:r>
      <w:r>
        <w:t>) indicates that most</w:t>
      </w:r>
      <w:r w:rsidR="00427468">
        <w:t xml:space="preserve"> of </w:t>
      </w:r>
      <w:r>
        <w:t>these papers are published in Indian journals. Some</w:t>
      </w:r>
      <w:r w:rsidR="00427468">
        <w:t xml:space="preserve"> of </w:t>
      </w:r>
      <w:r w:rsidR="003A1917">
        <w:t xml:space="preserve">the </w:t>
      </w:r>
      <w:r>
        <w:t>papers are directly related to problems faced by Indian society. A major share</w:t>
      </w:r>
      <w:r w:rsidR="00427468">
        <w:t xml:space="preserve"> of </w:t>
      </w:r>
      <w:r w:rsidR="003A1917">
        <w:t xml:space="preserve">the </w:t>
      </w:r>
      <w:r>
        <w:t>papers are in low impact journals</w:t>
      </w:r>
      <w:r w:rsidR="005853A9">
        <w:t xml:space="preserve"> and </w:t>
      </w:r>
      <w:r>
        <w:t>have a low citation rate. Anthropology, psychology</w:t>
      </w:r>
      <w:r w:rsidR="005853A9">
        <w:t xml:space="preserve"> and </w:t>
      </w:r>
      <w:r>
        <w:t>psychiatry are</w:t>
      </w:r>
      <w:r w:rsidR="003A1917">
        <w:t xml:space="preserve"> the </w:t>
      </w:r>
      <w:r>
        <w:t>strong areas in social science research in India.</w:t>
      </w:r>
    </w:p>
    <w:p w:rsidR="009A2B75" w:rsidRPr="00C73C58" w:rsidRDefault="009A2B75" w:rsidP="009A2B75">
      <w:pPr>
        <w:pStyle w:val="a3"/>
      </w:pPr>
      <w:r w:rsidRPr="00C73C58">
        <w:t xml:space="preserve">? </w:t>
      </w:r>
      <w:r>
        <w:t>Perrault</w:t>
      </w:r>
      <w:r>
        <w:rPr>
          <w:rFonts w:hint="eastAsia"/>
        </w:rPr>
        <w:t>,</w:t>
      </w:r>
      <w:r>
        <w:t xml:space="preserve"> A</w:t>
      </w:r>
      <w:r>
        <w:rPr>
          <w:rFonts w:hint="eastAsia"/>
        </w:rPr>
        <w:t>.</w:t>
      </w:r>
      <w:r>
        <w:t>H.</w:t>
      </w:r>
      <w:r w:rsidRPr="00C73C58">
        <w:t xml:space="preserve"> (</w:t>
      </w:r>
      <w:r>
        <w:rPr>
          <w:rFonts w:hint="eastAsia"/>
        </w:rPr>
        <w:t>2004</w:t>
      </w:r>
      <w:r w:rsidR="00F42EAC">
        <w:t>), The</w:t>
      </w:r>
      <w:r w:rsidR="003A1917">
        <w:t xml:space="preserve"> </w:t>
      </w:r>
      <w:r>
        <w:t>role</w:t>
      </w:r>
      <w:r w:rsidR="00427468">
        <w:t xml:space="preserve"> of </w:t>
      </w:r>
      <w:r>
        <w:t>WorldCat in resources sharing</w:t>
      </w:r>
      <w:r w:rsidRPr="00C73C58">
        <w:t xml:space="preserve">. </w:t>
      </w:r>
      <w:r w:rsidRPr="00C73C58">
        <w:rPr>
          <w:i/>
          <w:iCs/>
        </w:rPr>
        <w:t>Collection Management</w:t>
      </w:r>
      <w:r w:rsidRPr="00C73C58">
        <w:t xml:space="preserve">, </w:t>
      </w:r>
      <w:r>
        <w:rPr>
          <w:rFonts w:hint="eastAsia"/>
          <w:b/>
          <w:bCs/>
        </w:rPr>
        <w:t>28</w:t>
      </w:r>
      <w:r w:rsidRPr="00C73C58">
        <w:t xml:space="preserve"> (</w:t>
      </w:r>
      <w:r>
        <w:rPr>
          <w:rFonts w:hint="eastAsia"/>
        </w:rPr>
        <w:t>1-2</w:t>
      </w:r>
      <w:r w:rsidRPr="00C73C58">
        <w:t xml:space="preserve">), </w:t>
      </w:r>
      <w:r>
        <w:t>63-75</w:t>
      </w:r>
      <w:r w:rsidRPr="00C73C58">
        <w:t>.</w:t>
      </w:r>
    </w:p>
    <w:p w:rsidR="009A2B75" w:rsidRDefault="009A2B75" w:rsidP="009A2B75">
      <w:pPr>
        <w:pStyle w:val="a3"/>
      </w:pPr>
      <w:r w:rsidRPr="00C73C58">
        <w:t xml:space="preserve">Full Text: </w:t>
      </w:r>
      <w:hyperlink r:id="rId895" w:history="1">
        <w:r w:rsidRPr="00D87A5A">
          <w:rPr>
            <w:rStyle w:val="a5"/>
          </w:rPr>
          <w:t>2004\Col Man28, 63.pdf</w:t>
        </w:r>
      </w:hyperlink>
    </w:p>
    <w:p w:rsidR="001504B9" w:rsidRDefault="001504B9" w:rsidP="001504B9">
      <w:pPr>
        <w:pStyle w:val="a3"/>
      </w:pPr>
      <w:r>
        <w:t>Abstract</w:t>
      </w:r>
      <w:r>
        <w:rPr>
          <w:rFonts w:hint="eastAsia"/>
        </w:rPr>
        <w:t>:</w:t>
      </w:r>
      <w:r w:rsidR="003A1917">
        <w:rPr>
          <w:rFonts w:hint="eastAsia"/>
        </w:rPr>
        <w:t xml:space="preserve"> the </w:t>
      </w:r>
      <w:r>
        <w:t>30th anniversary</w:t>
      </w:r>
      <w:r w:rsidR="00427468">
        <w:t xml:space="preserve"> of </w:t>
      </w:r>
      <w:r>
        <w:t>WorldCat was celebrated in 2001. At that time, there were 45 million records with over 750 million location listings, spanning over 4,000 years</w:t>
      </w:r>
      <w:r w:rsidR="00427468">
        <w:t xml:space="preserve"> of </w:t>
      </w:r>
      <w:r>
        <w:t>recorded knowledge in 377 languages. In</w:t>
      </w:r>
      <w:r w:rsidR="003A1917">
        <w:t xml:space="preserve"> the </w:t>
      </w:r>
      <w:r>
        <w:t>anniversary year, a bibliometric study was begun under</w:t>
      </w:r>
      <w:r w:rsidR="003A1917">
        <w:t xml:space="preserve"> the </w:t>
      </w:r>
      <w:r>
        <w:t>auspices</w:t>
      </w:r>
      <w:r w:rsidR="00427468">
        <w:t xml:space="preserve"> of </w:t>
      </w:r>
      <w:r>
        <w:t>an OCLC/ALISE research grant. A 10&amp;#0037; systematic random sample</w:t>
      </w:r>
      <w:r w:rsidR="00427468">
        <w:t xml:space="preserve"> of </w:t>
      </w:r>
      <w:r w:rsidR="003A1917">
        <w:t xml:space="preserve">the </w:t>
      </w:r>
      <w:r>
        <w:t>database was analyzed utilizing</w:t>
      </w:r>
      <w:r w:rsidR="003A1917">
        <w:t xml:space="preserve"> the </w:t>
      </w:r>
      <w:r>
        <w:t>OCLC iCAs software to profile</w:t>
      </w:r>
      <w:r w:rsidR="003A1917">
        <w:t xml:space="preserve"> the </w:t>
      </w:r>
      <w:r>
        <w:t>monographic contents</w:t>
      </w:r>
      <w:r w:rsidR="00427468">
        <w:t xml:space="preserve"> of </w:t>
      </w:r>
      <w:r>
        <w:t>WorldCat by type</w:t>
      </w:r>
      <w:r w:rsidR="00427468">
        <w:t xml:space="preserve"> of </w:t>
      </w:r>
      <w:r>
        <w:t>library, subject</w:t>
      </w:r>
      <w:r w:rsidR="005853A9">
        <w:t xml:space="preserve"> and </w:t>
      </w:r>
      <w:r>
        <w:t>language parameters</w:t>
      </w:r>
      <w:r w:rsidR="00A37C1D">
        <w:t>. The</w:t>
      </w:r>
      <w:r w:rsidR="003A1917">
        <w:t xml:space="preserve"> </w:t>
      </w:r>
      <w:r>
        <w:t>profile reveals</w:t>
      </w:r>
      <w:r w:rsidR="003A1917">
        <w:t xml:space="preserve"> the </w:t>
      </w:r>
      <w:r>
        <w:t>extent</w:t>
      </w:r>
      <w:r w:rsidR="00427468">
        <w:t xml:space="preserve"> of </w:t>
      </w:r>
      <w:r>
        <w:t>global publications made accessible through</w:t>
      </w:r>
      <w:r w:rsidR="003A1917">
        <w:t xml:space="preserve"> the </w:t>
      </w:r>
      <w:r>
        <w:t>OCLC international network. Several findings</w:t>
      </w:r>
      <w:r w:rsidR="00427468">
        <w:t xml:space="preserve"> of </w:t>
      </w:r>
      <w:r w:rsidR="003A1917">
        <w:t xml:space="preserve">the </w:t>
      </w:r>
      <w:r>
        <w:t>study can be examined as possible barriers to successful cooperation in collection development</w:t>
      </w:r>
      <w:r w:rsidR="005853A9">
        <w:t xml:space="preserve"> and </w:t>
      </w:r>
      <w:r>
        <w:t>resources sharing. One</w:t>
      </w:r>
      <w:r w:rsidR="00427468">
        <w:t xml:space="preserve"> of </w:t>
      </w:r>
      <w:r w:rsidR="003A1917">
        <w:t xml:space="preserve">the </w:t>
      </w:r>
      <w:r>
        <w:t>major problems analyzed in</w:t>
      </w:r>
      <w:r w:rsidR="003A1917">
        <w:t xml:space="preserve"> the </w:t>
      </w:r>
      <w:r>
        <w:t>study is</w:t>
      </w:r>
      <w:r w:rsidR="003A1917">
        <w:t xml:space="preserve"> the </w:t>
      </w:r>
      <w:r>
        <w:t>timeliness in</w:t>
      </w:r>
      <w:r w:rsidR="003A1917">
        <w:t xml:space="preserve"> the </w:t>
      </w:r>
      <w:r>
        <w:t>availability</w:t>
      </w:r>
      <w:r w:rsidR="00427468">
        <w:t xml:space="preserve"> of </w:t>
      </w:r>
      <w:r>
        <w:t>bibliographic records for current publications. This paper explores</w:t>
      </w:r>
      <w:r w:rsidR="003A1917">
        <w:t xml:space="preserve"> the </w:t>
      </w:r>
      <w:r>
        <w:t>feasibility</w:t>
      </w:r>
      <w:r w:rsidR="00427468">
        <w:t xml:space="preserve"> of </w:t>
      </w:r>
      <w:r>
        <w:t>using WorldCat as a cooperative collection development tool as well as additional measures which might be derived from analyzing bibliographic records</w:t>
      </w:r>
      <w:r w:rsidR="00A37C1D">
        <w:t>. The</w:t>
      </w:r>
      <w:r w:rsidR="003A1917">
        <w:t xml:space="preserve"> </w:t>
      </w:r>
      <w:r>
        <w:t>results can be used to stimulate discussion on</w:t>
      </w:r>
      <w:r w:rsidR="003A1917">
        <w:t xml:space="preserve"> the </w:t>
      </w:r>
      <w:r>
        <w:t>role</w:t>
      </w:r>
      <w:r w:rsidR="00427468">
        <w:t xml:space="preserve"> of </w:t>
      </w:r>
      <w:r>
        <w:t>WorldCat as an international resource on</w:t>
      </w:r>
      <w:r w:rsidR="003A1917">
        <w:t xml:space="preserve"> the </w:t>
      </w:r>
      <w:r>
        <w:t>universe</w:t>
      </w:r>
      <w:r w:rsidR="00427468">
        <w:t xml:space="preserve"> of </w:t>
      </w:r>
      <w:r>
        <w:t>publication available for research</w:t>
      </w:r>
      <w:r w:rsidR="005853A9">
        <w:t xml:space="preserve"> and </w:t>
      </w:r>
      <w:r>
        <w:t>resources sharing worldwide.</w:t>
      </w:r>
    </w:p>
    <w:p w:rsidR="008407A2" w:rsidRPr="001A3D2B" w:rsidRDefault="008407A2" w:rsidP="008407A2">
      <w:pPr>
        <w:pStyle w:val="1"/>
      </w:pPr>
      <w:r w:rsidRPr="001A3D2B">
        <w:br w:type="page"/>
      </w:r>
      <w:bookmarkStart w:id="334" w:name="_Toc420815065"/>
      <w:r w:rsidRPr="001A3D2B">
        <w:lastRenderedPageBreak/>
        <w:t>Title: College English</w:t>
      </w:r>
      <w:bookmarkEnd w:id="334"/>
    </w:p>
    <w:p w:rsidR="00B557F9" w:rsidRPr="001A3D2B" w:rsidRDefault="00B557F9" w:rsidP="00B557F9">
      <w:pPr>
        <w:pStyle w:val="12"/>
      </w:pPr>
      <w:r w:rsidRPr="001A3D2B">
        <w:t xml:space="preserve">Full Journal Title: </w:t>
      </w:r>
      <w:hyperlink r:id="rId896" w:history="1">
        <w:r w:rsidRPr="001A3D2B">
          <w:rPr>
            <w:rStyle w:val="a5"/>
          </w:rPr>
          <w:t>College English</w:t>
        </w:r>
      </w:hyperlink>
      <w:r w:rsidRPr="001A3D2B">
        <w:t xml:space="preserve">; </w:t>
      </w:r>
      <w:hyperlink r:id="rId897" w:history="1">
        <w:r w:rsidRPr="001A3D2B">
          <w:rPr>
            <w:rStyle w:val="a5"/>
          </w:rPr>
          <w:t>College English</w:t>
        </w:r>
      </w:hyperlink>
    </w:p>
    <w:p w:rsidR="008407A2" w:rsidRPr="001A3D2B" w:rsidRDefault="008407A2" w:rsidP="008407A2">
      <w:pPr>
        <w:pStyle w:val="12"/>
      </w:pPr>
      <w:r w:rsidRPr="001A3D2B">
        <w:t xml:space="preserve">ISO Abbreviated Title: </w:t>
      </w:r>
    </w:p>
    <w:p w:rsidR="008407A2" w:rsidRPr="001A3D2B" w:rsidRDefault="008407A2" w:rsidP="008407A2">
      <w:pPr>
        <w:pStyle w:val="12"/>
      </w:pPr>
      <w:r w:rsidRPr="001A3D2B">
        <w:t xml:space="preserve">JCR Abbreviated Title: </w:t>
      </w:r>
    </w:p>
    <w:p w:rsidR="008407A2" w:rsidRPr="001A3D2B" w:rsidRDefault="008407A2" w:rsidP="008407A2">
      <w:pPr>
        <w:pStyle w:val="12"/>
      </w:pPr>
      <w:r w:rsidRPr="001A3D2B">
        <w:t xml:space="preserve">ISSN: </w:t>
      </w:r>
    </w:p>
    <w:p w:rsidR="008407A2" w:rsidRPr="001A3D2B" w:rsidRDefault="008407A2" w:rsidP="008407A2">
      <w:pPr>
        <w:pStyle w:val="12"/>
      </w:pPr>
      <w:r w:rsidRPr="001A3D2B">
        <w:t xml:space="preserve">Issues/Year: </w:t>
      </w:r>
    </w:p>
    <w:p w:rsidR="008407A2" w:rsidRPr="001A3D2B" w:rsidRDefault="008407A2" w:rsidP="008407A2">
      <w:pPr>
        <w:pStyle w:val="12"/>
      </w:pPr>
      <w:r w:rsidRPr="001A3D2B">
        <w:t xml:space="preserve">Journal Country/Territory: </w:t>
      </w:r>
    </w:p>
    <w:p w:rsidR="008407A2" w:rsidRPr="001A3D2B" w:rsidRDefault="008407A2" w:rsidP="008407A2">
      <w:pPr>
        <w:pStyle w:val="12"/>
      </w:pPr>
      <w:r w:rsidRPr="001A3D2B">
        <w:t xml:space="preserve">Language: </w:t>
      </w:r>
    </w:p>
    <w:p w:rsidR="008407A2" w:rsidRPr="001A3D2B" w:rsidRDefault="008407A2" w:rsidP="008407A2">
      <w:pPr>
        <w:pStyle w:val="12"/>
      </w:pPr>
      <w:r w:rsidRPr="001A3D2B">
        <w:t xml:space="preserve">Publisher: </w:t>
      </w:r>
    </w:p>
    <w:p w:rsidR="008407A2" w:rsidRPr="001A3D2B" w:rsidRDefault="008407A2" w:rsidP="008407A2">
      <w:pPr>
        <w:pStyle w:val="12"/>
      </w:pPr>
      <w:r w:rsidRPr="001A3D2B">
        <w:t xml:space="preserve">Publisher Address: </w:t>
      </w:r>
    </w:p>
    <w:p w:rsidR="008407A2" w:rsidRPr="001A3D2B" w:rsidRDefault="008407A2" w:rsidP="008407A2">
      <w:pPr>
        <w:pStyle w:val="12"/>
      </w:pPr>
      <w:r w:rsidRPr="001A3D2B">
        <w:t xml:space="preserve">Subject Categories: </w:t>
      </w:r>
    </w:p>
    <w:p w:rsidR="008407A2" w:rsidRPr="001A3D2B" w:rsidRDefault="008407A2" w:rsidP="008407A2">
      <w:pPr>
        <w:pStyle w:val="12"/>
      </w:pPr>
      <w:r w:rsidRPr="001A3D2B">
        <w:t xml:space="preserve">: Impact Factor </w:t>
      </w:r>
    </w:p>
    <w:p w:rsidR="00E2642C" w:rsidRPr="001A3D2B" w:rsidRDefault="00E2642C" w:rsidP="00E2642C">
      <w:pPr>
        <w:pStyle w:val="a3"/>
      </w:pPr>
      <w:r w:rsidRPr="001A3D2B">
        <w:t>? Howard, R.M. (1995), Plagiarisms, authorships,</w:t>
      </w:r>
      <w:r w:rsidR="005853A9">
        <w:t xml:space="preserve"> and </w:t>
      </w:r>
      <w:r w:rsidR="003A1917">
        <w:t xml:space="preserve">the </w:t>
      </w:r>
      <w:r w:rsidRPr="001A3D2B">
        <w:t xml:space="preserve">academic death-penalty. </w:t>
      </w:r>
      <w:r w:rsidRPr="001A3D2B">
        <w:rPr>
          <w:i/>
        </w:rPr>
        <w:t>College English</w:t>
      </w:r>
      <w:r w:rsidRPr="001A3D2B">
        <w:t xml:space="preserve">, </w:t>
      </w:r>
      <w:r w:rsidRPr="001A3D2B">
        <w:rPr>
          <w:b/>
          <w:bCs/>
          <w:kern w:val="0"/>
        </w:rPr>
        <w:t>57</w:t>
      </w:r>
      <w:r w:rsidRPr="001A3D2B">
        <w:t xml:space="preserve"> (7), 788-806.</w:t>
      </w:r>
    </w:p>
    <w:p w:rsidR="00E2642C" w:rsidRPr="001A3D2B" w:rsidRDefault="00E2642C" w:rsidP="00E2642C">
      <w:pPr>
        <w:pStyle w:val="a3"/>
      </w:pPr>
      <w:r w:rsidRPr="001A3D2B">
        <w:t xml:space="preserve">Full Text: </w:t>
      </w:r>
      <w:hyperlink r:id="rId898" w:history="1">
        <w:r w:rsidRPr="001A3D2B">
          <w:rPr>
            <w:rStyle w:val="a5"/>
          </w:rPr>
          <w:t>1995\Col Eng57, 788.pdf</w:t>
        </w:r>
      </w:hyperlink>
    </w:p>
    <w:p w:rsidR="003474F2" w:rsidRPr="001A3D2B" w:rsidRDefault="003474F2" w:rsidP="003474F2">
      <w:pPr>
        <w:pStyle w:val="1"/>
      </w:pPr>
      <w:r w:rsidRPr="001A3D2B">
        <w:br w:type="page"/>
      </w:r>
      <w:bookmarkStart w:id="335" w:name="_Toc420815066"/>
      <w:r w:rsidRPr="001A3D2B">
        <w:lastRenderedPageBreak/>
        <w:t>Title: College &amp; Research Libraries</w:t>
      </w:r>
      <w:bookmarkEnd w:id="335"/>
    </w:p>
    <w:p w:rsidR="003474F2" w:rsidRPr="001A3D2B" w:rsidRDefault="003474F2" w:rsidP="003474F2">
      <w:pPr>
        <w:pStyle w:val="12"/>
      </w:pPr>
      <w:r w:rsidRPr="001A3D2B">
        <w:t xml:space="preserve">Full Journal Title: </w:t>
      </w:r>
      <w:r w:rsidR="00DF61FE">
        <w:fldChar w:fldCharType="begin"/>
      </w:r>
      <w:r w:rsidR="00FD158B">
        <w:instrText>HYPERLINK "http://www</w:instrText>
      </w:r>
      <w:bookmarkStart w:id="336" w:name="_Toc81215678"/>
      <w:r w:rsidR="00FD158B">
        <w:instrText>.ala.org/ala/mgrps/divs/acrl/public</w:instrText>
      </w:r>
      <w:bookmarkEnd w:id="336"/>
      <w:r w:rsidR="00FD158B">
        <w:instrText>ations/crljournal/collegeresearch.cfm"</w:instrText>
      </w:r>
      <w:r w:rsidR="00DF61FE">
        <w:fldChar w:fldCharType="separate"/>
      </w:r>
      <w:r w:rsidRPr="001A3D2B">
        <w:rPr>
          <w:rStyle w:val="a5"/>
        </w:rPr>
        <w:t>College &amp; Research Libraries</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0010-0870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675518" w:rsidRDefault="00675518" w:rsidP="00675518">
      <w:pPr>
        <w:pStyle w:val="a3"/>
        <w:rPr>
          <w:kern w:val="0"/>
        </w:rPr>
      </w:pPr>
      <w:r>
        <w:rPr>
          <w:rFonts w:hint="eastAsia"/>
          <w:kern w:val="0"/>
        </w:rPr>
        <w:t xml:space="preserve">? </w:t>
      </w:r>
      <w:r>
        <w:rPr>
          <w:kern w:val="0"/>
        </w:rPr>
        <w:t>Voigt, M.J. (1956), Scientific serials - Characteristics</w:t>
      </w:r>
      <w:r w:rsidR="005853A9">
        <w:rPr>
          <w:kern w:val="0"/>
        </w:rPr>
        <w:t xml:space="preserve"> and </w:t>
      </w:r>
      <w:r>
        <w:rPr>
          <w:kern w:val="0"/>
        </w:rPr>
        <w:t>lists</w:t>
      </w:r>
      <w:r w:rsidR="00427468">
        <w:rPr>
          <w:kern w:val="0"/>
        </w:rPr>
        <w:t xml:space="preserve"> of </w:t>
      </w:r>
      <w:r>
        <w:rPr>
          <w:kern w:val="0"/>
        </w:rPr>
        <w:t>most cited publications in mathematics, physics, chemistry, geology, physiology, botany, zoology,</w:t>
      </w:r>
      <w:r w:rsidR="005853A9">
        <w:rPr>
          <w:kern w:val="0"/>
        </w:rPr>
        <w:t xml:space="preserve"> and </w:t>
      </w:r>
      <w:r>
        <w:rPr>
          <w:kern w:val="0"/>
        </w:rPr>
        <w:t>entomology - Brown,</w:t>
      </w:r>
      <w:r>
        <w:rPr>
          <w:rFonts w:hint="eastAsia"/>
          <w:kern w:val="0"/>
        </w:rPr>
        <w:t xml:space="preserve"> </w:t>
      </w:r>
      <w:r>
        <w:rPr>
          <w:kern w:val="0"/>
        </w:rPr>
        <w:t xml:space="preserve">CH. </w:t>
      </w:r>
      <w:r>
        <w:rPr>
          <w:i/>
          <w:iCs/>
          <w:kern w:val="0"/>
        </w:rPr>
        <w:t>College &amp; Research Libraries</w:t>
      </w:r>
      <w:r>
        <w:rPr>
          <w:kern w:val="0"/>
        </w:rPr>
        <w:t xml:space="preserve">, </w:t>
      </w:r>
      <w:r>
        <w:rPr>
          <w:b/>
          <w:bCs/>
          <w:kern w:val="0"/>
        </w:rPr>
        <w:t>17</w:t>
      </w:r>
      <w:r>
        <w:rPr>
          <w:kern w:val="0"/>
        </w:rPr>
        <w:t xml:space="preserve"> (6), 517-518</w:t>
      </w:r>
      <w:r>
        <w:rPr>
          <w:rFonts w:hint="eastAsia"/>
          <w:kern w:val="0"/>
        </w:rPr>
        <w:t>.</w:t>
      </w:r>
    </w:p>
    <w:p w:rsidR="0021402B" w:rsidRDefault="0021402B" w:rsidP="0021402B">
      <w:pPr>
        <w:pStyle w:val="a3"/>
      </w:pPr>
      <w:r w:rsidRPr="00C73C58">
        <w:t xml:space="preserve">Full Text: </w:t>
      </w:r>
      <w:hyperlink r:id="rId899" w:history="1">
        <w:r w:rsidRPr="005549DE">
          <w:rPr>
            <w:rStyle w:val="a5"/>
          </w:rPr>
          <w:t>-1959\Col Res Lib17, 517.pdf</w:t>
        </w:r>
      </w:hyperlink>
    </w:p>
    <w:p w:rsidR="00675518" w:rsidRDefault="00675518" w:rsidP="00675518">
      <w:pPr>
        <w:pStyle w:val="a3"/>
        <w:rPr>
          <w:kern w:val="0"/>
        </w:rPr>
      </w:pPr>
      <w:r>
        <w:rPr>
          <w:kern w:val="0"/>
        </w:rPr>
        <w:t>Keywords: Characteristics, Chemistry, Mathematics, Physics, Publications, Serials</w:t>
      </w:r>
    </w:p>
    <w:p w:rsidR="003474F2" w:rsidRPr="001A3D2B" w:rsidRDefault="003474F2" w:rsidP="003474F2">
      <w:pPr>
        <w:pStyle w:val="a3"/>
      </w:pPr>
      <w:r w:rsidRPr="001A3D2B">
        <w:t>? Raisig, L.M.</w:t>
      </w:r>
      <w:r w:rsidR="005853A9">
        <w:t xml:space="preserve"> and </w:t>
      </w:r>
      <w:r w:rsidRPr="001A3D2B">
        <w:t>Kilgour, F.G. (1964</w:t>
      </w:r>
      <w:r w:rsidR="00F42EAC">
        <w:t>), The</w:t>
      </w:r>
      <w:r w:rsidR="003A1917">
        <w:t xml:space="preserve"> </w:t>
      </w:r>
      <w:r w:rsidRPr="001A3D2B">
        <w:t>use</w:t>
      </w:r>
      <w:r w:rsidR="00427468">
        <w:t xml:space="preserve"> of </w:t>
      </w:r>
      <w:r w:rsidRPr="001A3D2B">
        <w:t xml:space="preserve">medical theses: As demonstrated by </w:t>
      </w:r>
      <w:r w:rsidR="0021402B" w:rsidRPr="001A3D2B">
        <w:t>journal citat</w:t>
      </w:r>
      <w:r w:rsidRPr="001A3D2B">
        <w:t xml:space="preserve">ions, 1850-1960. </w:t>
      </w:r>
      <w:r w:rsidRPr="001A3D2B">
        <w:rPr>
          <w:i/>
          <w:iCs/>
        </w:rPr>
        <w:t>College &amp; Research Libraries</w:t>
      </w:r>
      <w:r w:rsidRPr="001A3D2B">
        <w:t xml:space="preserve">, </w:t>
      </w:r>
      <w:r w:rsidRPr="001A3D2B">
        <w:rPr>
          <w:b/>
          <w:bCs/>
        </w:rPr>
        <w:t>25</w:t>
      </w:r>
      <w:r w:rsidRPr="001A3D2B">
        <w:t xml:space="preserve"> (2), 93-102.</w:t>
      </w:r>
    </w:p>
    <w:p w:rsidR="0021402B" w:rsidRDefault="0021402B" w:rsidP="0021402B">
      <w:pPr>
        <w:pStyle w:val="a3"/>
      </w:pPr>
      <w:r w:rsidRPr="00C73C58">
        <w:t xml:space="preserve">Full Text: </w:t>
      </w:r>
      <w:hyperlink r:id="rId900" w:history="1">
        <w:r w:rsidRPr="0021402B">
          <w:rPr>
            <w:rStyle w:val="a5"/>
          </w:rPr>
          <w:t>1960-80\Col Res Lib25, 93.pdf</w:t>
        </w:r>
      </w:hyperlink>
    </w:p>
    <w:p w:rsidR="003474F2" w:rsidRPr="001A3D2B" w:rsidRDefault="003474F2" w:rsidP="003474F2">
      <w:pPr>
        <w:pStyle w:val="a3"/>
      </w:pPr>
      <w:r w:rsidRPr="001A3D2B">
        <w:t>? Morrison, P.D. (1978), Literature</w:t>
      </w:r>
      <w:r w:rsidR="005853A9">
        <w:t xml:space="preserve"> and </w:t>
      </w:r>
      <w:r w:rsidRPr="001A3D2B">
        <w:t xml:space="preserve">bibliometrics: Nicholas, D, Ritchie, M. </w:t>
      </w:r>
      <w:r w:rsidRPr="001A3D2B">
        <w:rPr>
          <w:i/>
          <w:iCs/>
        </w:rPr>
        <w:t>College &amp; Research Libraries</w:t>
      </w:r>
      <w:r w:rsidRPr="001A3D2B">
        <w:t xml:space="preserve">, </w:t>
      </w:r>
      <w:r w:rsidRPr="001A3D2B">
        <w:rPr>
          <w:b/>
          <w:bCs/>
        </w:rPr>
        <w:t>39</w:t>
      </w:r>
      <w:r w:rsidRPr="001A3D2B">
        <w:t xml:space="preserve"> (5), 414-415.</w:t>
      </w:r>
    </w:p>
    <w:p w:rsidR="0021402B" w:rsidRDefault="0021402B" w:rsidP="0021402B">
      <w:pPr>
        <w:pStyle w:val="a3"/>
      </w:pPr>
      <w:r w:rsidRPr="00C73C58">
        <w:t xml:space="preserve">Full Text: </w:t>
      </w:r>
      <w:hyperlink r:id="rId901" w:history="1">
        <w:r w:rsidRPr="005549DE">
          <w:rPr>
            <w:rStyle w:val="a5"/>
          </w:rPr>
          <w:t>1960-80\Col Res Lib39, 414.pdf</w:t>
        </w:r>
      </w:hyperlink>
    </w:p>
    <w:p w:rsidR="003474F2" w:rsidRPr="001A3D2B" w:rsidRDefault="003474F2" w:rsidP="003474F2">
      <w:pPr>
        <w:pStyle w:val="a3"/>
      </w:pPr>
      <w:r w:rsidRPr="001A3D2B">
        <w:t xml:space="preserve">? Cline, G.S. (1982), </w:t>
      </w:r>
      <w:r w:rsidRPr="001A3D2B">
        <w:rPr>
          <w:i/>
          <w:iCs/>
        </w:rPr>
        <w:t>College &amp; Research Libraries</w:t>
      </w:r>
      <w:r w:rsidRPr="001A3D2B">
        <w:t xml:space="preserve">: Its first forty years. </w:t>
      </w:r>
      <w:r w:rsidRPr="001A3D2B">
        <w:rPr>
          <w:i/>
          <w:iCs/>
        </w:rPr>
        <w:t>College &amp; Research Libraries</w:t>
      </w:r>
      <w:r w:rsidRPr="001A3D2B">
        <w:t xml:space="preserve">, </w:t>
      </w:r>
      <w:r w:rsidRPr="001A3D2B">
        <w:rPr>
          <w:b/>
          <w:bCs/>
        </w:rPr>
        <w:t>43</w:t>
      </w:r>
      <w:r w:rsidRPr="001A3D2B">
        <w:t xml:space="preserve"> (</w:t>
      </w:r>
      <w:r w:rsidR="0021402B">
        <w:rPr>
          <w:rFonts w:hint="eastAsia"/>
        </w:rPr>
        <w:t>3</w:t>
      </w:r>
      <w:r w:rsidRPr="001A3D2B">
        <w:t>), 208-232.</w:t>
      </w:r>
    </w:p>
    <w:p w:rsidR="0021402B" w:rsidRDefault="0021402B" w:rsidP="0021402B">
      <w:pPr>
        <w:pStyle w:val="a3"/>
      </w:pPr>
      <w:r w:rsidRPr="00C73C58">
        <w:t xml:space="preserve">Full Text: </w:t>
      </w:r>
      <w:hyperlink r:id="rId902" w:history="1">
        <w:r w:rsidRPr="0021402B">
          <w:rPr>
            <w:rStyle w:val="a5"/>
          </w:rPr>
          <w:t>1982\Col Res Lib43, 208.pdf</w:t>
        </w:r>
      </w:hyperlink>
    </w:p>
    <w:p w:rsidR="0021402B" w:rsidRPr="00C73C58" w:rsidRDefault="0021402B" w:rsidP="0021402B">
      <w:pPr>
        <w:pStyle w:val="a3"/>
        <w:rPr>
          <w:kern w:val="0"/>
          <w:szCs w:val="24"/>
        </w:rPr>
      </w:pPr>
      <w:r w:rsidRPr="00C73C58">
        <w:rPr>
          <w:kern w:val="0"/>
          <w:szCs w:val="24"/>
        </w:rPr>
        <w:t>? Sellen, M.K. (1984), Bibliometrics in information</w:t>
      </w:r>
      <w:r>
        <w:rPr>
          <w:rFonts w:hint="eastAsia"/>
          <w:kern w:val="0"/>
          <w:szCs w:val="24"/>
        </w:rPr>
        <w:t xml:space="preserve"> </w:t>
      </w:r>
      <w:r w:rsidRPr="00C73C58">
        <w:rPr>
          <w:kern w:val="0"/>
          <w:szCs w:val="24"/>
        </w:rPr>
        <w:t>science</w:t>
      </w:r>
      <w:r>
        <w:rPr>
          <w:rFonts w:hint="eastAsia"/>
          <w:kern w:val="0"/>
          <w:szCs w:val="24"/>
        </w:rPr>
        <w:t>:</w:t>
      </w:r>
      <w:r w:rsidRPr="00C73C58">
        <w:rPr>
          <w:kern w:val="0"/>
          <w:szCs w:val="24"/>
        </w:rPr>
        <w:t xml:space="preserve"> A citation analysis</w:t>
      </w:r>
      <w:r w:rsidR="00427468">
        <w:rPr>
          <w:kern w:val="0"/>
          <w:szCs w:val="24"/>
        </w:rPr>
        <w:t xml:space="preserve"> of </w:t>
      </w:r>
      <w:r>
        <w:rPr>
          <w:rFonts w:hint="eastAsia"/>
          <w:kern w:val="0"/>
          <w:szCs w:val="24"/>
        </w:rPr>
        <w:t>two</w:t>
      </w:r>
      <w:r w:rsidRPr="00C73C58">
        <w:rPr>
          <w:kern w:val="0"/>
          <w:szCs w:val="24"/>
        </w:rPr>
        <w:t xml:space="preserve"> academic</w:t>
      </w:r>
      <w:r>
        <w:rPr>
          <w:rFonts w:hint="eastAsia"/>
          <w:kern w:val="0"/>
          <w:szCs w:val="24"/>
        </w:rPr>
        <w:t xml:space="preserve"> </w:t>
      </w:r>
      <w:r w:rsidRPr="00C73C58">
        <w:rPr>
          <w:kern w:val="0"/>
          <w:szCs w:val="24"/>
        </w:rPr>
        <w:t xml:space="preserve">library journals. </w:t>
      </w:r>
      <w:r w:rsidRPr="00C73C58">
        <w:rPr>
          <w:i/>
          <w:iCs/>
          <w:kern w:val="0"/>
          <w:szCs w:val="24"/>
        </w:rPr>
        <w:t>College &amp; Research Libraries</w:t>
      </w:r>
      <w:r w:rsidRPr="00C73C58">
        <w:rPr>
          <w:kern w:val="0"/>
          <w:szCs w:val="24"/>
        </w:rPr>
        <w:t xml:space="preserve">, </w:t>
      </w:r>
      <w:r w:rsidRPr="00C73C58">
        <w:rPr>
          <w:b/>
          <w:bCs/>
          <w:kern w:val="0"/>
          <w:szCs w:val="24"/>
        </w:rPr>
        <w:t>45</w:t>
      </w:r>
      <w:r w:rsidRPr="00C73C58">
        <w:rPr>
          <w:kern w:val="0"/>
          <w:szCs w:val="24"/>
        </w:rPr>
        <w:t xml:space="preserve"> (2), 129-132</w:t>
      </w:r>
      <w:r>
        <w:rPr>
          <w:rFonts w:hint="eastAsia"/>
          <w:kern w:val="0"/>
          <w:szCs w:val="24"/>
        </w:rPr>
        <w:t>.</w:t>
      </w:r>
    </w:p>
    <w:p w:rsidR="0021402B" w:rsidRDefault="0021402B" w:rsidP="0021402B">
      <w:pPr>
        <w:pStyle w:val="a3"/>
      </w:pPr>
      <w:r w:rsidRPr="00C73C58">
        <w:t xml:space="preserve">Full Text: </w:t>
      </w:r>
      <w:hyperlink r:id="rId903" w:history="1">
        <w:r w:rsidRPr="000D1149">
          <w:rPr>
            <w:rStyle w:val="a5"/>
          </w:rPr>
          <w:t>1984\Col Res Lib45, 129.pdf</w:t>
        </w:r>
      </w:hyperlink>
    </w:p>
    <w:p w:rsidR="0021402B" w:rsidRPr="00C73C58" w:rsidRDefault="0021402B" w:rsidP="0021402B">
      <w:pPr>
        <w:pStyle w:val="a3"/>
        <w:rPr>
          <w:kern w:val="0"/>
          <w:szCs w:val="24"/>
        </w:rPr>
      </w:pPr>
      <w:r w:rsidRPr="00C73C58">
        <w:rPr>
          <w:kern w:val="0"/>
          <w:szCs w:val="24"/>
        </w:rPr>
        <w:t>Keywords: Bibliometrics, Citation</w:t>
      </w:r>
    </w:p>
    <w:p w:rsidR="0021402B" w:rsidRPr="00C73C58" w:rsidRDefault="0021402B" w:rsidP="0021402B">
      <w:pPr>
        <w:pStyle w:val="a3"/>
        <w:rPr>
          <w:kern w:val="0"/>
          <w:szCs w:val="24"/>
        </w:rPr>
      </w:pPr>
      <w:r w:rsidRPr="00C73C58">
        <w:rPr>
          <w:kern w:val="0"/>
          <w:szCs w:val="24"/>
        </w:rPr>
        <w:t>? Gatten, J.N. (1991), Scholarly communication</w:t>
      </w:r>
      <w:r w:rsidR="005853A9">
        <w:rPr>
          <w:kern w:val="0"/>
          <w:szCs w:val="24"/>
        </w:rPr>
        <w:t xml:space="preserve"> and </w:t>
      </w:r>
      <w:r w:rsidRPr="00C73C58">
        <w:rPr>
          <w:kern w:val="0"/>
          <w:szCs w:val="24"/>
        </w:rPr>
        <w:t>bibliometrics</w:t>
      </w:r>
      <w:r>
        <w:rPr>
          <w:rFonts w:hint="eastAsia"/>
          <w:kern w:val="0"/>
          <w:szCs w:val="24"/>
        </w:rPr>
        <w:t>:</w:t>
      </w:r>
      <w:r w:rsidRPr="00C73C58">
        <w:rPr>
          <w:kern w:val="0"/>
          <w:szCs w:val="24"/>
        </w:rPr>
        <w:t xml:space="preserve"> Borgman, CL. </w:t>
      </w:r>
      <w:r w:rsidRPr="00C73C58">
        <w:rPr>
          <w:i/>
          <w:iCs/>
          <w:kern w:val="0"/>
          <w:szCs w:val="24"/>
        </w:rPr>
        <w:t>College &amp; Research Libraries</w:t>
      </w:r>
      <w:r w:rsidRPr="00C73C58">
        <w:rPr>
          <w:kern w:val="0"/>
          <w:szCs w:val="24"/>
        </w:rPr>
        <w:t xml:space="preserve">, </w:t>
      </w:r>
      <w:r w:rsidRPr="00C73C58">
        <w:rPr>
          <w:b/>
          <w:bCs/>
          <w:kern w:val="0"/>
          <w:szCs w:val="24"/>
        </w:rPr>
        <w:t>52</w:t>
      </w:r>
      <w:r w:rsidRPr="00C73C58">
        <w:rPr>
          <w:kern w:val="0"/>
          <w:szCs w:val="24"/>
        </w:rPr>
        <w:t xml:space="preserve"> (5), 481-483</w:t>
      </w:r>
      <w:r>
        <w:rPr>
          <w:rFonts w:hint="eastAsia"/>
          <w:kern w:val="0"/>
          <w:szCs w:val="24"/>
        </w:rPr>
        <w:t>.</w:t>
      </w:r>
    </w:p>
    <w:p w:rsidR="0021402B" w:rsidRDefault="0021402B" w:rsidP="0021402B">
      <w:pPr>
        <w:pStyle w:val="a3"/>
      </w:pPr>
      <w:r w:rsidRPr="00C73C58">
        <w:t xml:space="preserve">Full Text: </w:t>
      </w:r>
      <w:hyperlink r:id="rId904" w:history="1">
        <w:r w:rsidRPr="000D1149">
          <w:rPr>
            <w:rStyle w:val="a5"/>
          </w:rPr>
          <w:t>1991\Col Res Lib52, 481.pdf</w:t>
        </w:r>
      </w:hyperlink>
    </w:p>
    <w:p w:rsidR="00B26566" w:rsidRPr="001A3D2B" w:rsidRDefault="00B26566" w:rsidP="00B26566">
      <w:pPr>
        <w:pStyle w:val="a3"/>
        <w:rPr>
          <w:kern w:val="0"/>
          <w:szCs w:val="24"/>
        </w:rPr>
      </w:pPr>
      <w:r w:rsidRPr="001A3D2B">
        <w:rPr>
          <w:kern w:val="0"/>
          <w:szCs w:val="24"/>
        </w:rPr>
        <w:t>Keywords: Bibliometrics</w:t>
      </w:r>
    </w:p>
    <w:p w:rsidR="00CF2BA1" w:rsidRDefault="00CF2BA1" w:rsidP="00CF2BA1">
      <w:pPr>
        <w:pStyle w:val="a3"/>
        <w:rPr>
          <w:kern w:val="0"/>
        </w:rPr>
      </w:pPr>
      <w:r>
        <w:rPr>
          <w:rFonts w:hint="eastAsia"/>
          <w:kern w:val="0"/>
        </w:rPr>
        <w:t xml:space="preserve">? </w:t>
      </w:r>
      <w:r>
        <w:t>Meyer, T</w:t>
      </w:r>
      <w:r>
        <w:rPr>
          <w:rFonts w:hint="eastAsia"/>
        </w:rPr>
        <w:t>.</w:t>
      </w:r>
      <w:r w:rsidR="005853A9">
        <w:rPr>
          <w:rFonts w:hint="eastAsia"/>
        </w:rPr>
        <w:t xml:space="preserve"> and </w:t>
      </w:r>
      <w:r>
        <w:t>Spencer, J</w:t>
      </w:r>
      <w:r>
        <w:rPr>
          <w:rFonts w:hint="eastAsia"/>
        </w:rPr>
        <w:t>.</w:t>
      </w:r>
      <w:r>
        <w:rPr>
          <w:kern w:val="0"/>
        </w:rPr>
        <w:t xml:space="preserve"> (1996), </w:t>
      </w:r>
      <w:r>
        <w:t>A citation analysis study</w:t>
      </w:r>
      <w:r w:rsidR="00427468">
        <w:t xml:space="preserve"> of </w:t>
      </w:r>
      <w:r>
        <w:t>library science: Who cites librarians?</w:t>
      </w:r>
      <w:r>
        <w:rPr>
          <w:kern w:val="0"/>
        </w:rPr>
        <w:t xml:space="preserve"> </w:t>
      </w:r>
      <w:r>
        <w:rPr>
          <w:i/>
          <w:iCs/>
          <w:kern w:val="0"/>
        </w:rPr>
        <w:t>College &amp; Research Libraries</w:t>
      </w:r>
      <w:r>
        <w:rPr>
          <w:kern w:val="0"/>
        </w:rPr>
        <w:t xml:space="preserve">, </w:t>
      </w:r>
      <w:r>
        <w:rPr>
          <w:b/>
          <w:bCs/>
          <w:kern w:val="0"/>
        </w:rPr>
        <w:t>57</w:t>
      </w:r>
      <w:r>
        <w:rPr>
          <w:kern w:val="0"/>
        </w:rPr>
        <w:t xml:space="preserve"> (</w:t>
      </w:r>
      <w:r>
        <w:rPr>
          <w:rFonts w:hint="eastAsia"/>
          <w:kern w:val="0"/>
        </w:rPr>
        <w:t>1</w:t>
      </w:r>
      <w:r>
        <w:rPr>
          <w:kern w:val="0"/>
        </w:rPr>
        <w:t xml:space="preserve">), </w:t>
      </w:r>
      <w:r>
        <w:t>23-33</w:t>
      </w:r>
      <w:r>
        <w:rPr>
          <w:kern w:val="0"/>
        </w:rPr>
        <w:t>.</w:t>
      </w:r>
    </w:p>
    <w:p w:rsidR="00CF2BA1" w:rsidRDefault="00CF2BA1" w:rsidP="00CF2BA1">
      <w:pPr>
        <w:pStyle w:val="a3"/>
      </w:pPr>
      <w:r w:rsidRPr="00C73C58">
        <w:lastRenderedPageBreak/>
        <w:t xml:space="preserve">Full Text: </w:t>
      </w:r>
      <w:hyperlink r:id="rId905" w:history="1">
        <w:r w:rsidRPr="000D1149">
          <w:rPr>
            <w:rStyle w:val="a5"/>
          </w:rPr>
          <w:t>1996\Col Res Lib57, 23.pdf</w:t>
        </w:r>
      </w:hyperlink>
    </w:p>
    <w:p w:rsidR="00CF2BA1" w:rsidRDefault="00CF2BA1" w:rsidP="00CF2BA1">
      <w:pPr>
        <w:pStyle w:val="a3"/>
      </w:pPr>
      <w:r>
        <w:t>Abstract: Are librarians the only ones who read</w:t>
      </w:r>
      <w:r w:rsidR="005853A9">
        <w:t xml:space="preserve"> and </w:t>
      </w:r>
      <w:r>
        <w:t>cite articles published in library science journals? Research reported here shows that disciplines citing library science articles include computer science, medicine, psychology, the social sciences,</w:t>
      </w:r>
      <w:r w:rsidR="005853A9">
        <w:t xml:space="preserve"> and </w:t>
      </w:r>
      <w:r>
        <w:t>general sciences. This study</w:t>
      </w:r>
      <w:r w:rsidR="0071223E">
        <w:t>’</w:t>
      </w:r>
      <w:r>
        <w:t>s methodology involved using Social SciSearch on DIALOG to analyze citations to twenty-four library science journals over a twenty-year period</w:t>
      </w:r>
      <w:r w:rsidR="00A37C1D">
        <w:t>. The</w:t>
      </w:r>
      <w:r>
        <w:t xml:space="preserve"> authors identified the nonlibrary science fields or disciplines that cited articles published in the library journals included in this study by using the journal subject categories on DIALOG. Although citations from other fields are higher than previous studies indicate, comparison with other fields in the social sciences shows that library science is not commanding citations at the level</w:t>
      </w:r>
      <w:r w:rsidR="00427468">
        <w:t xml:space="preserve"> of </w:t>
      </w:r>
      <w:r>
        <w:t>the more developed fields.</w:t>
      </w:r>
    </w:p>
    <w:p w:rsidR="00D9411E" w:rsidRDefault="00D9411E" w:rsidP="00D9411E">
      <w:pPr>
        <w:pStyle w:val="a3"/>
        <w:rPr>
          <w:kern w:val="0"/>
        </w:rPr>
      </w:pPr>
      <w:r>
        <w:rPr>
          <w:rFonts w:hint="eastAsia"/>
          <w:kern w:val="0"/>
        </w:rPr>
        <w:t xml:space="preserve">? </w:t>
      </w:r>
      <w:r>
        <w:rPr>
          <w:kern w:val="0"/>
        </w:rPr>
        <w:t xml:space="preserve">Alger, J. (1996), Can RANK be used to generate a reliable author list for cocitation studies? </w:t>
      </w:r>
      <w:r>
        <w:rPr>
          <w:i/>
          <w:iCs/>
          <w:kern w:val="0"/>
        </w:rPr>
        <w:t>College &amp; Research Libraries</w:t>
      </w:r>
      <w:r>
        <w:rPr>
          <w:kern w:val="0"/>
        </w:rPr>
        <w:t xml:space="preserve">, </w:t>
      </w:r>
      <w:r>
        <w:rPr>
          <w:b/>
          <w:bCs/>
          <w:kern w:val="0"/>
        </w:rPr>
        <w:t>57</w:t>
      </w:r>
      <w:r>
        <w:rPr>
          <w:kern w:val="0"/>
        </w:rPr>
        <w:t xml:space="preserve"> (6), 567-574.</w:t>
      </w:r>
    </w:p>
    <w:p w:rsidR="00CF2BA1" w:rsidRDefault="00CF2BA1" w:rsidP="00CF2BA1">
      <w:pPr>
        <w:pStyle w:val="a3"/>
      </w:pPr>
      <w:r w:rsidRPr="00C73C58">
        <w:t xml:space="preserve">Full Text: </w:t>
      </w:r>
      <w:hyperlink r:id="rId906" w:history="1">
        <w:r w:rsidRPr="000D1149">
          <w:rPr>
            <w:rStyle w:val="a5"/>
          </w:rPr>
          <w:t>1996\Col Res Lib57, 567.pdf</w:t>
        </w:r>
      </w:hyperlink>
    </w:p>
    <w:p w:rsidR="00D9411E" w:rsidRDefault="00D9411E" w:rsidP="00D9411E">
      <w:pPr>
        <w:pStyle w:val="a3"/>
        <w:rPr>
          <w:kern w:val="0"/>
        </w:rPr>
      </w:pPr>
      <w:r>
        <w:rPr>
          <w:kern w:val="0"/>
        </w:rPr>
        <w:t>Abstract: This study investigates</w:t>
      </w:r>
      <w:r w:rsidR="003A1917">
        <w:rPr>
          <w:kern w:val="0"/>
        </w:rPr>
        <w:t xml:space="preserve"> the </w:t>
      </w:r>
      <w:r>
        <w:rPr>
          <w:kern w:val="0"/>
        </w:rPr>
        <w:t>possibility</w:t>
      </w:r>
      <w:r w:rsidR="00427468">
        <w:rPr>
          <w:kern w:val="0"/>
        </w:rPr>
        <w:t xml:space="preserve"> of </w:t>
      </w:r>
      <w:r>
        <w:rPr>
          <w:kern w:val="0"/>
        </w:rPr>
        <w:t>using DIALOG</w:t>
      </w:r>
      <w:r w:rsidR="0071223E">
        <w:rPr>
          <w:kern w:val="0"/>
        </w:rPr>
        <w:t>’</w:t>
      </w:r>
      <w:r w:rsidR="00C13DDC">
        <w:rPr>
          <w:kern w:val="0"/>
        </w:rPr>
        <w:t>s</w:t>
      </w:r>
      <w:r>
        <w:rPr>
          <w:kern w:val="0"/>
        </w:rPr>
        <w:t xml:space="preserve"> RANK command to generate a list</w:t>
      </w:r>
      <w:r w:rsidR="00427468">
        <w:rPr>
          <w:kern w:val="0"/>
        </w:rPr>
        <w:t xml:space="preserve"> of </w:t>
      </w:r>
      <w:r>
        <w:rPr>
          <w:kern w:val="0"/>
        </w:rPr>
        <w:t>prominent authors for use in cocitation studies</w:t>
      </w:r>
      <w:r w:rsidR="00A37C1D">
        <w:rPr>
          <w:kern w:val="0"/>
        </w:rPr>
        <w:t>. The</w:t>
      </w:r>
      <w:r w:rsidR="003A1917">
        <w:rPr>
          <w:kern w:val="0"/>
        </w:rPr>
        <w:t xml:space="preserve"> </w:t>
      </w:r>
      <w:r>
        <w:rPr>
          <w:kern w:val="0"/>
        </w:rPr>
        <w:t>emerging field</w:t>
      </w:r>
      <w:r w:rsidR="00427468">
        <w:rPr>
          <w:kern w:val="0"/>
        </w:rPr>
        <w:t xml:space="preserve"> of </w:t>
      </w:r>
      <w:r>
        <w:rPr>
          <w:kern w:val="0"/>
        </w:rPr>
        <w:t>biodiversity is used primarily because it represents a new</w:t>
      </w:r>
      <w:r w:rsidR="005853A9">
        <w:rPr>
          <w:kern w:val="0"/>
        </w:rPr>
        <w:t xml:space="preserve"> and </w:t>
      </w:r>
      <w:r>
        <w:rPr>
          <w:kern w:val="0"/>
        </w:rPr>
        <w:t>rapidly expanding field</w:t>
      </w:r>
      <w:r w:rsidR="00427468">
        <w:rPr>
          <w:kern w:val="0"/>
        </w:rPr>
        <w:t xml:space="preserve"> of </w:t>
      </w:r>
      <w:r>
        <w:rPr>
          <w:kern w:val="0"/>
        </w:rPr>
        <w:t>study</w:t>
      </w:r>
      <w:r w:rsidR="00A37C1D">
        <w:rPr>
          <w:kern w:val="0"/>
        </w:rPr>
        <w:t>. The</w:t>
      </w:r>
      <w:r w:rsidR="003A1917">
        <w:rPr>
          <w:kern w:val="0"/>
        </w:rPr>
        <w:t xml:space="preserve"> </w:t>
      </w:r>
      <w:r>
        <w:rPr>
          <w:kern w:val="0"/>
        </w:rPr>
        <w:t>results indicate that RANK does not effectively retrieve a quality set</w:t>
      </w:r>
      <w:r w:rsidR="00427468">
        <w:rPr>
          <w:kern w:val="0"/>
        </w:rPr>
        <w:t xml:space="preserve"> of </w:t>
      </w:r>
      <w:r>
        <w:rPr>
          <w:kern w:val="0"/>
        </w:rPr>
        <w:t>prominent authors for use in cocitation studies. Highly cited authors</w:t>
      </w:r>
      <w:r w:rsidR="00427468">
        <w:rPr>
          <w:kern w:val="0"/>
        </w:rPr>
        <w:t xml:space="preserve"> of </w:t>
      </w:r>
      <w:r>
        <w:rPr>
          <w:kern w:val="0"/>
        </w:rPr>
        <w:t>general texts on biodiversity cause</w:t>
      </w:r>
      <w:r w:rsidR="003A1917">
        <w:rPr>
          <w:kern w:val="0"/>
        </w:rPr>
        <w:t xml:space="preserve"> the </w:t>
      </w:r>
      <w:r>
        <w:rPr>
          <w:kern w:val="0"/>
        </w:rPr>
        <w:t>derived author map to present a misaligned picture</w:t>
      </w:r>
      <w:r w:rsidR="00427468">
        <w:rPr>
          <w:kern w:val="0"/>
        </w:rPr>
        <w:t xml:space="preserve"> of </w:t>
      </w:r>
      <w:r>
        <w:rPr>
          <w:kern w:val="0"/>
        </w:rPr>
        <w:t>specialization within</w:t>
      </w:r>
      <w:r w:rsidR="003A1917">
        <w:rPr>
          <w:kern w:val="0"/>
        </w:rPr>
        <w:t xml:space="preserve"> the </w:t>
      </w:r>
      <w:r>
        <w:rPr>
          <w:kern w:val="0"/>
        </w:rPr>
        <w:t>field. By limiting citations to only journal articles, a clearer</w:t>
      </w:r>
      <w:r w:rsidR="005853A9">
        <w:rPr>
          <w:kern w:val="0"/>
        </w:rPr>
        <w:t xml:space="preserve"> and </w:t>
      </w:r>
      <w:r>
        <w:rPr>
          <w:kern w:val="0"/>
        </w:rPr>
        <w:t>more accurate picture</w:t>
      </w:r>
      <w:r w:rsidR="00427468">
        <w:rPr>
          <w:kern w:val="0"/>
        </w:rPr>
        <w:t xml:space="preserve"> of </w:t>
      </w:r>
      <w:r w:rsidR="003A1917">
        <w:rPr>
          <w:kern w:val="0"/>
        </w:rPr>
        <w:t xml:space="preserve">the </w:t>
      </w:r>
      <w:r>
        <w:rPr>
          <w:kern w:val="0"/>
        </w:rPr>
        <w:t>field should emerge.</w:t>
      </w:r>
    </w:p>
    <w:p w:rsidR="00D9411E" w:rsidRDefault="00D9411E" w:rsidP="00D9411E">
      <w:pPr>
        <w:pStyle w:val="a3"/>
        <w:rPr>
          <w:kern w:val="0"/>
        </w:rPr>
      </w:pPr>
      <w:r>
        <w:rPr>
          <w:kern w:val="0"/>
        </w:rPr>
        <w:t>Keywords: Articles, Biodiversity, Citations, Journal, Rank, Representations, Science Maps</w:t>
      </w:r>
    </w:p>
    <w:p w:rsidR="002B5089" w:rsidRPr="001A3D2B" w:rsidRDefault="002B5089" w:rsidP="002B5089">
      <w:pPr>
        <w:pStyle w:val="a3"/>
        <w:rPr>
          <w:kern w:val="0"/>
        </w:rPr>
      </w:pPr>
      <w:r w:rsidRPr="001A3D2B">
        <w:rPr>
          <w:kern w:val="0"/>
        </w:rPr>
        <w:t>? Nisonger, T.E. (2000), Use</w:t>
      </w:r>
      <w:r w:rsidR="00427468">
        <w:rPr>
          <w:kern w:val="0"/>
        </w:rPr>
        <w:t xml:space="preserve"> of </w:t>
      </w:r>
      <w:r w:rsidR="003A1917">
        <w:rPr>
          <w:kern w:val="0"/>
        </w:rPr>
        <w:t xml:space="preserve">the </w:t>
      </w:r>
      <w:r w:rsidRPr="001A3D2B">
        <w:rPr>
          <w:i/>
          <w:iCs/>
          <w:kern w:val="0"/>
        </w:rPr>
        <w:t>Journal Citation Reports</w:t>
      </w:r>
      <w:r w:rsidRPr="001A3D2B">
        <w:rPr>
          <w:kern w:val="0"/>
        </w:rPr>
        <w:t xml:space="preserve"> for serials management in research libraries: An investigation</w:t>
      </w:r>
      <w:r w:rsidR="00427468">
        <w:rPr>
          <w:kern w:val="0"/>
        </w:rPr>
        <w:t xml:space="preserve"> of </w:t>
      </w:r>
      <w:r w:rsidR="003A1917">
        <w:rPr>
          <w:kern w:val="0"/>
        </w:rPr>
        <w:t xml:space="preserve">the </w:t>
      </w:r>
      <w:r w:rsidRPr="001A3D2B">
        <w:rPr>
          <w:kern w:val="0"/>
        </w:rPr>
        <w:t>effect</w:t>
      </w:r>
      <w:r w:rsidR="00427468">
        <w:rPr>
          <w:kern w:val="0"/>
        </w:rPr>
        <w:t xml:space="preserve"> of </w:t>
      </w:r>
      <w:r w:rsidRPr="001A3D2B">
        <w:rPr>
          <w:kern w:val="0"/>
        </w:rPr>
        <w:t>self-citation on journal rankings in library</w:t>
      </w:r>
      <w:r w:rsidR="005853A9">
        <w:rPr>
          <w:kern w:val="0"/>
        </w:rPr>
        <w:t xml:space="preserve"> and </w:t>
      </w:r>
      <w:r w:rsidRPr="001A3D2B">
        <w:rPr>
          <w:kern w:val="0"/>
        </w:rPr>
        <w:t>information science</w:t>
      </w:r>
      <w:r w:rsidR="005853A9">
        <w:rPr>
          <w:kern w:val="0"/>
        </w:rPr>
        <w:t xml:space="preserve"> and </w:t>
      </w:r>
      <w:r w:rsidRPr="001A3D2B">
        <w:rPr>
          <w:kern w:val="0"/>
        </w:rPr>
        <w:t xml:space="preserve">genetics. </w:t>
      </w:r>
      <w:r w:rsidRPr="001A3D2B">
        <w:rPr>
          <w:i/>
          <w:iCs/>
          <w:kern w:val="0"/>
        </w:rPr>
        <w:t>College &amp; Research Libraries</w:t>
      </w:r>
      <w:r w:rsidRPr="001A3D2B">
        <w:rPr>
          <w:kern w:val="0"/>
        </w:rPr>
        <w:t xml:space="preserve">, </w:t>
      </w:r>
      <w:r w:rsidRPr="001A3D2B">
        <w:rPr>
          <w:b/>
          <w:bCs/>
          <w:kern w:val="0"/>
        </w:rPr>
        <w:t>61</w:t>
      </w:r>
      <w:r w:rsidRPr="001A3D2B">
        <w:rPr>
          <w:kern w:val="0"/>
        </w:rPr>
        <w:t xml:space="preserve"> (3), 263-275.</w:t>
      </w:r>
    </w:p>
    <w:p w:rsidR="002B5089" w:rsidRPr="001A3D2B" w:rsidRDefault="002B5089" w:rsidP="0020744E">
      <w:pPr>
        <w:pStyle w:val="a3"/>
      </w:pPr>
      <w:r w:rsidRPr="001A3D2B">
        <w:t xml:space="preserve">Full Text: </w:t>
      </w:r>
      <w:hyperlink r:id="rId907" w:history="1">
        <w:r w:rsidR="0020744E" w:rsidRPr="001A3D2B">
          <w:rPr>
            <w:rStyle w:val="a5"/>
          </w:rPr>
          <w:t>2000\Col Res Lib61, 263.pdf</w:t>
        </w:r>
      </w:hyperlink>
    </w:p>
    <w:p w:rsidR="002B5089" w:rsidRPr="001A3D2B" w:rsidRDefault="002B5089" w:rsidP="002B5089">
      <w:pPr>
        <w:pStyle w:val="a3"/>
        <w:rPr>
          <w:kern w:val="0"/>
        </w:rPr>
      </w:pPr>
      <w:r w:rsidRPr="001A3D2B">
        <w:rPr>
          <w:kern w:val="0"/>
        </w:rPr>
        <w:t>Abstract: This article explores</w:t>
      </w:r>
      <w:r w:rsidR="003A1917">
        <w:rPr>
          <w:kern w:val="0"/>
        </w:rPr>
        <w:t xml:space="preserve"> the </w:t>
      </w:r>
      <w:r w:rsidRPr="001A3D2B">
        <w:rPr>
          <w:kern w:val="0"/>
        </w:rPr>
        <w:t>use</w:t>
      </w:r>
      <w:r w:rsidR="00427468">
        <w:rPr>
          <w:kern w:val="0"/>
        </w:rPr>
        <w:t xml:space="preserve"> of </w:t>
      </w:r>
      <w:r w:rsidR="003A1917">
        <w:rPr>
          <w:kern w:val="0"/>
        </w:rPr>
        <w:t xml:space="preserve">the </w:t>
      </w:r>
      <w:r w:rsidRPr="001A3D2B">
        <w:rPr>
          <w:kern w:val="0"/>
        </w:rPr>
        <w:t>Institute for Scientific Information</w:t>
      </w:r>
      <w:r w:rsidR="0071223E">
        <w:rPr>
          <w:kern w:val="0"/>
        </w:rPr>
        <w:t>’</w:t>
      </w:r>
      <w:r w:rsidR="00C13DDC">
        <w:rPr>
          <w:kern w:val="0"/>
        </w:rPr>
        <w:t>s</w:t>
      </w:r>
      <w:r w:rsidRPr="001A3D2B">
        <w:rPr>
          <w:kern w:val="0"/>
        </w:rPr>
        <w:t xml:space="preserve"> Journal Citation Reports (JCR) for journal management in academic libraries</w:t>
      </w:r>
      <w:r w:rsidR="00A37C1D">
        <w:rPr>
          <w:kern w:val="0"/>
        </w:rPr>
        <w:t>. The</w:t>
      </w:r>
      <w:r w:rsidR="003A1917">
        <w:rPr>
          <w:kern w:val="0"/>
        </w:rPr>
        <w:t xml:space="preserve"> </w:t>
      </w:r>
      <w:r w:rsidRPr="001A3D2B">
        <w:rPr>
          <w:kern w:val="0"/>
        </w:rPr>
        <w:t>advantages</w:t>
      </w:r>
      <w:r w:rsidR="005853A9">
        <w:rPr>
          <w:kern w:val="0"/>
        </w:rPr>
        <w:t xml:space="preserve"> and </w:t>
      </w:r>
      <w:r w:rsidRPr="001A3D2B">
        <w:rPr>
          <w:kern w:val="0"/>
        </w:rPr>
        <w:t>disadvantages to using JCR citation data for journal management are outlined,</w:t>
      </w:r>
      <w:r w:rsidR="005853A9">
        <w:rPr>
          <w:kern w:val="0"/>
        </w:rPr>
        <w:t xml:space="preserve"> and </w:t>
      </w:r>
      <w:r w:rsidRPr="001A3D2B">
        <w:rPr>
          <w:kern w:val="0"/>
        </w:rPr>
        <w:t>a literature review summarizes reported uses</w:t>
      </w:r>
      <w:r w:rsidR="00427468">
        <w:rPr>
          <w:kern w:val="0"/>
        </w:rPr>
        <w:t xml:space="preserve"> of </w:t>
      </w:r>
      <w:r w:rsidRPr="001A3D2B">
        <w:rPr>
          <w:kern w:val="0"/>
        </w:rPr>
        <w:t>these data by libraries</w:t>
      </w:r>
      <w:r w:rsidR="005853A9">
        <w:rPr>
          <w:kern w:val="0"/>
        </w:rPr>
        <w:t xml:space="preserve"> and </w:t>
      </w:r>
      <w:r w:rsidRPr="001A3D2B">
        <w:rPr>
          <w:kern w:val="0"/>
        </w:rPr>
        <w:t>scholars. This study researches</w:t>
      </w:r>
      <w:r w:rsidR="003A1917">
        <w:rPr>
          <w:kern w:val="0"/>
        </w:rPr>
        <w:t xml:space="preserve"> the </w:t>
      </w:r>
      <w:r w:rsidRPr="001A3D2B">
        <w:rPr>
          <w:kern w:val="0"/>
        </w:rPr>
        <w:t>impact</w:t>
      </w:r>
      <w:r w:rsidR="00427468">
        <w:rPr>
          <w:kern w:val="0"/>
        </w:rPr>
        <w:t xml:space="preserve"> of </w:t>
      </w:r>
      <w:r w:rsidRPr="001A3D2B">
        <w:rPr>
          <w:kern w:val="0"/>
        </w:rPr>
        <w:t>journal self-citation on JCR rankings</w:t>
      </w:r>
      <w:r w:rsidR="00427468">
        <w:rPr>
          <w:kern w:val="0"/>
        </w:rPr>
        <w:t xml:space="preserve"> of </w:t>
      </w:r>
      <w:r w:rsidRPr="001A3D2B">
        <w:rPr>
          <w:kern w:val="0"/>
        </w:rPr>
        <w:t>library</w:t>
      </w:r>
      <w:r w:rsidR="005853A9">
        <w:rPr>
          <w:kern w:val="0"/>
        </w:rPr>
        <w:t xml:space="preserve"> and </w:t>
      </w:r>
      <w:r w:rsidRPr="001A3D2B">
        <w:rPr>
          <w:kern w:val="0"/>
        </w:rPr>
        <w:t>information science (LIS)</w:t>
      </w:r>
      <w:r w:rsidR="005853A9">
        <w:rPr>
          <w:kern w:val="0"/>
        </w:rPr>
        <w:t xml:space="preserve"> and </w:t>
      </w:r>
      <w:r w:rsidRPr="001A3D2B">
        <w:rPr>
          <w:kern w:val="0"/>
        </w:rPr>
        <w:t>genetics journals</w:t>
      </w:r>
      <w:r w:rsidR="00A37C1D">
        <w:rPr>
          <w:kern w:val="0"/>
        </w:rPr>
        <w:t>. The</w:t>
      </w:r>
      <w:r w:rsidR="003A1917">
        <w:rPr>
          <w:kern w:val="0"/>
        </w:rPr>
        <w:t xml:space="preserve"> </w:t>
      </w:r>
      <w:r w:rsidRPr="001A3D2B">
        <w:rPr>
          <w:kern w:val="0"/>
        </w:rPr>
        <w:t>1994 rankings by impact factor</w:t>
      </w:r>
      <w:r w:rsidR="005853A9">
        <w:rPr>
          <w:kern w:val="0"/>
        </w:rPr>
        <w:t xml:space="preserve"> and </w:t>
      </w:r>
      <w:r w:rsidRPr="001A3D2B">
        <w:rPr>
          <w:kern w:val="0"/>
        </w:rPr>
        <w:t>total citations received were recalculated with journal self-citations removed; then</w:t>
      </w:r>
      <w:r w:rsidR="003A1917">
        <w:rPr>
          <w:kern w:val="0"/>
        </w:rPr>
        <w:t xml:space="preserve"> the </w:t>
      </w:r>
      <w:r w:rsidRPr="001A3D2B">
        <w:rPr>
          <w:kern w:val="0"/>
        </w:rPr>
        <w:t>recalculated rankings were compared to</w:t>
      </w:r>
      <w:r w:rsidR="003A1917">
        <w:rPr>
          <w:kern w:val="0"/>
        </w:rPr>
        <w:t xml:space="preserve"> the </w:t>
      </w:r>
      <w:r w:rsidRPr="001A3D2B">
        <w:rPr>
          <w:kern w:val="0"/>
        </w:rPr>
        <w:t>original rankings to analyze</w:t>
      </w:r>
      <w:r w:rsidR="003A1917">
        <w:rPr>
          <w:kern w:val="0"/>
        </w:rPr>
        <w:t xml:space="preserve"> the </w:t>
      </w:r>
      <w:r w:rsidRPr="001A3D2B">
        <w:rPr>
          <w:kern w:val="0"/>
        </w:rPr>
        <w:t>effect</w:t>
      </w:r>
      <w:r w:rsidR="00427468">
        <w:rPr>
          <w:kern w:val="0"/>
        </w:rPr>
        <w:t xml:space="preserve"> of </w:t>
      </w:r>
      <w:r w:rsidRPr="001A3D2B">
        <w:rPr>
          <w:kern w:val="0"/>
        </w:rPr>
        <w:t xml:space="preserve">self-citations. It is concluded that librarians can use </w:t>
      </w:r>
      <w:r w:rsidRPr="001A3D2B">
        <w:rPr>
          <w:kern w:val="0"/>
        </w:rPr>
        <w:lastRenderedPageBreak/>
        <w:t>JCR data without correcting for journal self-citation, although self-citations do exert a major effect on</w:t>
      </w:r>
      <w:r w:rsidR="003A1917">
        <w:rPr>
          <w:kern w:val="0"/>
        </w:rPr>
        <w:t xml:space="preserve"> the </w:t>
      </w:r>
      <w:r w:rsidRPr="001A3D2B">
        <w:rPr>
          <w:kern w:val="0"/>
        </w:rPr>
        <w:t>rankings for a small number</w:t>
      </w:r>
      <w:r w:rsidR="00427468">
        <w:rPr>
          <w:kern w:val="0"/>
        </w:rPr>
        <w:t xml:space="preserve"> of </w:t>
      </w:r>
      <w:r w:rsidRPr="001A3D2B">
        <w:rPr>
          <w:kern w:val="0"/>
        </w:rPr>
        <w:t>journals.</w:t>
      </w:r>
    </w:p>
    <w:p w:rsidR="002B5089" w:rsidRPr="001A3D2B" w:rsidRDefault="002B5089" w:rsidP="002B5089">
      <w:pPr>
        <w:pStyle w:val="a3"/>
        <w:rPr>
          <w:kern w:val="0"/>
        </w:rPr>
      </w:pPr>
      <w:r w:rsidRPr="001A3D2B">
        <w:rPr>
          <w:kern w:val="0"/>
        </w:rPr>
        <w:t>Keywords: Impact, Impact Factor, Indicators, Lists, Physics</w:t>
      </w:r>
    </w:p>
    <w:p w:rsidR="003474F2" w:rsidRPr="001A3D2B" w:rsidRDefault="003474F2" w:rsidP="003474F2">
      <w:pPr>
        <w:pStyle w:val="a3"/>
      </w:pPr>
      <w:r w:rsidRPr="001A3D2B">
        <w:t>? Lascar, C.</w:t>
      </w:r>
      <w:r w:rsidR="005853A9">
        <w:t xml:space="preserve"> and </w:t>
      </w:r>
      <w:r w:rsidRPr="001A3D2B">
        <w:t>Mendelsohn, L.D. (2001), An analysis</w:t>
      </w:r>
      <w:r w:rsidR="00427468">
        <w:t xml:space="preserve"> of </w:t>
      </w:r>
      <w:r w:rsidRPr="001A3D2B">
        <w:t xml:space="preserve">journal use by structural biologists with applications for journal collection development decisions. </w:t>
      </w:r>
      <w:r w:rsidRPr="001A3D2B">
        <w:rPr>
          <w:i/>
          <w:iCs/>
        </w:rPr>
        <w:t>College &amp; Research Libraries</w:t>
      </w:r>
      <w:r w:rsidRPr="001A3D2B">
        <w:t xml:space="preserve">, </w:t>
      </w:r>
      <w:r w:rsidRPr="001A3D2B">
        <w:rPr>
          <w:b/>
          <w:bCs/>
        </w:rPr>
        <w:t>62</w:t>
      </w:r>
      <w:r w:rsidRPr="001A3D2B">
        <w:t xml:space="preserve"> (5), 422-433.</w:t>
      </w:r>
    </w:p>
    <w:p w:rsidR="003474F2" w:rsidRPr="001A3D2B" w:rsidRDefault="003474F2" w:rsidP="003474F2">
      <w:pPr>
        <w:pStyle w:val="a3"/>
      </w:pPr>
      <w:r w:rsidRPr="001A3D2B">
        <w:t xml:space="preserve">Full Text: </w:t>
      </w:r>
      <w:hyperlink r:id="rId908" w:history="1">
        <w:r w:rsidRPr="001A3D2B">
          <w:rPr>
            <w:rStyle w:val="a5"/>
          </w:rPr>
          <w:t>2001\Col Res Lib62, 422.pdf</w:t>
        </w:r>
      </w:hyperlink>
    </w:p>
    <w:p w:rsidR="003474F2" w:rsidRPr="001A3D2B" w:rsidRDefault="003474F2" w:rsidP="003474F2">
      <w:pPr>
        <w:pStyle w:val="a3"/>
      </w:pPr>
      <w:r w:rsidRPr="001A3D2B">
        <w:t>Abstract: This paper defines</w:t>
      </w:r>
      <w:r w:rsidR="005853A9">
        <w:t xml:space="preserve"> and </w:t>
      </w:r>
      <w:r w:rsidRPr="001A3D2B">
        <w:t>examines structural biology as a subdiscipline</w:t>
      </w:r>
      <w:r w:rsidR="00427468">
        <w:t xml:space="preserve"> of </w:t>
      </w:r>
      <w:r w:rsidRPr="001A3D2B">
        <w:t>molecular biology. Using bibliometric methodologies, it analyzes</w:t>
      </w:r>
      <w:r w:rsidR="003A1917">
        <w:t xml:space="preserve"> the </w:t>
      </w:r>
      <w:r w:rsidRPr="001A3D2B">
        <w:t>publication</w:t>
      </w:r>
      <w:r w:rsidR="005853A9">
        <w:t xml:space="preserve"> and </w:t>
      </w:r>
      <w:r w:rsidRPr="001A3D2B">
        <w:t>citation patterns</w:t>
      </w:r>
      <w:r w:rsidR="00427468">
        <w:t xml:space="preserve"> of </w:t>
      </w:r>
      <w:r w:rsidRPr="001A3D2B">
        <w:t>a sample group</w:t>
      </w:r>
      <w:r w:rsidR="00427468">
        <w:t xml:space="preserve"> of </w:t>
      </w:r>
      <w:r w:rsidRPr="001A3D2B">
        <w:t>structural biologists from multiple institutions</w:t>
      </w:r>
      <w:r w:rsidR="00A37C1D">
        <w:t>. The</w:t>
      </w:r>
      <w:r w:rsidR="003A1917">
        <w:t xml:space="preserve"> </w:t>
      </w:r>
      <w:r w:rsidRPr="001A3D2B">
        <w:t>citations analyzed covered a very large subject range, demonstrating</w:t>
      </w:r>
      <w:r w:rsidR="003A1917">
        <w:t xml:space="preserve"> the </w:t>
      </w:r>
      <w:r w:rsidRPr="001A3D2B">
        <w:t>multidisciplinary nature</w:t>
      </w:r>
      <w:r w:rsidR="00427468">
        <w:t xml:space="preserve"> of </w:t>
      </w:r>
      <w:r w:rsidRPr="001A3D2B">
        <w:t>this subfield</w:t>
      </w:r>
      <w:r w:rsidR="00A37C1D">
        <w:t>. The</w:t>
      </w:r>
      <w:r w:rsidR="003A1917">
        <w:t xml:space="preserve"> </w:t>
      </w:r>
      <w:r w:rsidRPr="001A3D2B">
        <w:t>results were consistent with several models for journal selection</w:t>
      </w:r>
      <w:r w:rsidR="00A37C1D">
        <w:t>. The</w:t>
      </w:r>
      <w:r w:rsidRPr="001A3D2B">
        <w:t>se models were used to compile a short list</w:t>
      </w:r>
      <w:r w:rsidR="00427468">
        <w:t xml:space="preserve"> of </w:t>
      </w:r>
      <w:r w:rsidRPr="001A3D2B">
        <w:t>specialized titles supporting structural biology. Although</w:t>
      </w:r>
      <w:r w:rsidR="003A1917">
        <w:t xml:space="preserve"> the </w:t>
      </w:r>
      <w:r w:rsidRPr="001A3D2B">
        <w:t>research was performed on a relatively small group</w:t>
      </w:r>
      <w:r w:rsidR="00427468">
        <w:t xml:space="preserve"> of </w:t>
      </w:r>
      <w:r w:rsidRPr="001A3D2B">
        <w:t>local researchers, it has broader applications for other institutions attempting to develop similar collections</w:t>
      </w:r>
    </w:p>
    <w:p w:rsidR="003474F2" w:rsidRPr="001A3D2B" w:rsidRDefault="003474F2" w:rsidP="003474F2">
      <w:pPr>
        <w:pStyle w:val="a3"/>
      </w:pPr>
      <w:r w:rsidRPr="001A3D2B">
        <w:t>Keywords: Bibliometric, Citation, Citations, Faculty, Library, Methodologies, Research</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Davis</w:t>
          </w:r>
        </w:smartTag>
      </w:smartTag>
      <w:r w:rsidRPr="001A3D2B">
        <w:t>, P.M. (2002</w:t>
      </w:r>
      <w:r w:rsidR="00F42EAC">
        <w:t>), The</w:t>
      </w:r>
      <w:r w:rsidR="003A1917">
        <w:t xml:space="preserve"> </w:t>
      </w:r>
      <w:r w:rsidRPr="001A3D2B">
        <w:t>effect</w:t>
      </w:r>
      <w:r w:rsidR="00427468">
        <w:t xml:space="preserve"> of </w:t>
      </w:r>
      <w:r w:rsidR="003A1917">
        <w:t xml:space="preserve">the </w:t>
      </w:r>
      <w:r w:rsidRPr="001A3D2B">
        <w:t xml:space="preserve">web on undergraduate citation behavior: A 2000 update. </w:t>
      </w:r>
      <w:r w:rsidRPr="001A3D2B">
        <w:rPr>
          <w:i/>
          <w:iCs/>
        </w:rPr>
        <w:t>College &amp; Research Libraries</w:t>
      </w:r>
      <w:r w:rsidRPr="001A3D2B">
        <w:t xml:space="preserve">, </w:t>
      </w:r>
      <w:r w:rsidRPr="001A3D2B">
        <w:rPr>
          <w:b/>
          <w:bCs/>
        </w:rPr>
        <w:t>63</w:t>
      </w:r>
      <w:r w:rsidRPr="001A3D2B">
        <w:t xml:space="preserve"> (1), 53-60.</w:t>
      </w:r>
    </w:p>
    <w:p w:rsidR="003474F2" w:rsidRPr="001A3D2B" w:rsidRDefault="003474F2" w:rsidP="003474F2">
      <w:pPr>
        <w:pStyle w:val="a3"/>
      </w:pPr>
      <w:r w:rsidRPr="001A3D2B">
        <w:t xml:space="preserve">Full Text: </w:t>
      </w:r>
      <w:hyperlink r:id="rId909" w:history="1">
        <w:r w:rsidRPr="001A3D2B">
          <w:rPr>
            <w:rStyle w:val="a5"/>
          </w:rPr>
          <w:t>2002\Col Res Lib63, 53.pdf</w:t>
        </w:r>
      </w:hyperlink>
    </w:p>
    <w:p w:rsidR="003474F2" w:rsidRPr="001A3D2B" w:rsidRDefault="003474F2" w:rsidP="003474F2">
      <w:pPr>
        <w:pStyle w:val="a3"/>
      </w:pPr>
      <w:r w:rsidRPr="001A3D2B">
        <w:t>Abstract: This paper provides a 2000 update to</w:t>
      </w:r>
      <w:r w:rsidR="003A1917">
        <w:t xml:space="preserve"> the </w:t>
      </w:r>
      <w:r w:rsidRPr="001A3D2B">
        <w:t>1996-1999 citation analysis</w:t>
      </w:r>
      <w:r w:rsidR="00427468">
        <w:t xml:space="preserve"> of </w:t>
      </w:r>
      <w:r w:rsidRPr="001A3D2B">
        <w:t>undergraduate term papers by Philip M. Davis</w:t>
      </w:r>
      <w:r w:rsidR="005853A9">
        <w:t xml:space="preserve"> and </w:t>
      </w:r>
      <w:r w:rsidRPr="001A3D2B">
        <w:t>Suzanne A. Cohen.(1)</w:t>
      </w:r>
      <w:r w:rsidR="003A1917">
        <w:t xml:space="preserve"> the </w:t>
      </w:r>
      <w:r w:rsidRPr="001A3D2B">
        <w:t>total number</w:t>
      </w:r>
      <w:r w:rsidR="00427468">
        <w:t xml:space="preserve"> of </w:t>
      </w:r>
      <w:r w:rsidRPr="001A3D2B">
        <w:t>bibliographic citations continued to grow from a median</w:t>
      </w:r>
      <w:r w:rsidR="00427468">
        <w:t xml:space="preserve"> of </w:t>
      </w:r>
      <w:r w:rsidRPr="001A3D2B">
        <w:t>ten in 1996 to thirteen in 2000. However, this growth is entirely explained by</w:t>
      </w:r>
      <w:r w:rsidR="003A1917">
        <w:t xml:space="preserve"> the </w:t>
      </w:r>
      <w:r w:rsidRPr="001A3D2B">
        <w:t>addition</w:t>
      </w:r>
      <w:r w:rsidR="00427468">
        <w:t xml:space="preserve"> of </w:t>
      </w:r>
      <w:r w:rsidRPr="001A3D2B">
        <w:t>traditionally nonscholarly materials (Web</w:t>
      </w:r>
      <w:r w:rsidR="005853A9">
        <w:t xml:space="preserve"> and </w:t>
      </w:r>
      <w:r w:rsidRPr="001A3D2B">
        <w:t>newspaper citations). A significant improvement in</w:t>
      </w:r>
      <w:r w:rsidR="003A1917">
        <w:t xml:space="preserve"> the </w:t>
      </w:r>
      <w:r w:rsidRPr="001A3D2B">
        <w:t>accuracy</w:t>
      </w:r>
      <w:r w:rsidR="00427468">
        <w:t xml:space="preserve"> of </w:t>
      </w:r>
      <w:r w:rsidRPr="001A3D2B">
        <w:t>Internet citations was found when term papers were submitted electronically. In 2000,</w:t>
      </w:r>
      <w:r w:rsidR="003A1917">
        <w:t xml:space="preserve"> the </w:t>
      </w:r>
      <w:r w:rsidRPr="001A3D2B">
        <w:t>first year</w:t>
      </w:r>
      <w:r w:rsidR="00427468">
        <w:t xml:space="preserve"> of </w:t>
      </w:r>
      <w:r w:rsidRPr="001A3D2B">
        <w:t>electronic submissions, 65 percent</w:t>
      </w:r>
      <w:r w:rsidR="00427468">
        <w:t xml:space="preserve"> of </w:t>
      </w:r>
      <w:r w:rsidR="003A1917">
        <w:t xml:space="preserve">the </w:t>
      </w:r>
      <w:r w:rsidRPr="001A3D2B">
        <w:t>citations pointed directly to</w:t>
      </w:r>
      <w:r w:rsidR="003A1917">
        <w:t xml:space="preserve"> the </w:t>
      </w:r>
      <w:r w:rsidRPr="001A3D2B">
        <w:t>cited document, up from 55 percent in 1999. Internet citations aged six months in both 1999</w:t>
      </w:r>
      <w:r w:rsidR="005853A9">
        <w:t xml:space="preserve"> and </w:t>
      </w:r>
      <w:r w:rsidRPr="001A3D2B">
        <w:t>2000 bibliographies were still irretrievable anywhere on</w:t>
      </w:r>
      <w:r w:rsidR="003A1917">
        <w:t xml:space="preserve"> the </w:t>
      </w:r>
      <w:r w:rsidRPr="001A3D2B">
        <w:t>Internet 16 percent</w:t>
      </w:r>
      <w:r w:rsidR="00427468">
        <w:t xml:space="preserve"> of </w:t>
      </w:r>
      <w:r w:rsidR="003A1917">
        <w:t xml:space="preserve">the </w:t>
      </w:r>
      <w:r w:rsidRPr="001A3D2B">
        <w:t>time. If more scholarly citations in term papers are to be seen, professors must provide clear expectations in their class assignments. Students should be required to submit an electronic copy</w:t>
      </w:r>
      <w:r w:rsidR="00427468">
        <w:t xml:space="preserve"> of </w:t>
      </w:r>
      <w:r w:rsidRPr="001A3D2B">
        <w:t>their paper so that Internet citations can be scrutinized for accuracy</w:t>
      </w:r>
      <w:r w:rsidR="005853A9">
        <w:t xml:space="preserve"> and </w:t>
      </w:r>
      <w:r w:rsidRPr="001A3D2B">
        <w:t>plagiarism.</w:t>
      </w:r>
    </w:p>
    <w:p w:rsidR="00063FA4" w:rsidRDefault="00063FA4" w:rsidP="00063FA4">
      <w:pPr>
        <w:pStyle w:val="a3"/>
        <w:rPr>
          <w:kern w:val="0"/>
        </w:rPr>
      </w:pPr>
      <w:r>
        <w:rPr>
          <w:rFonts w:hint="eastAsia"/>
          <w:kern w:val="0"/>
        </w:rPr>
        <w:t xml:space="preserve">? </w:t>
      </w:r>
      <w:r>
        <w:rPr>
          <w:kern w:val="0"/>
        </w:rPr>
        <w:t>Nisonger, T.E. (2004), Citation autobiography: An investigation</w:t>
      </w:r>
      <w:r w:rsidR="00427468">
        <w:rPr>
          <w:kern w:val="0"/>
        </w:rPr>
        <w:t xml:space="preserve"> of </w:t>
      </w:r>
      <w:r>
        <w:rPr>
          <w:kern w:val="0"/>
        </w:rPr>
        <w:t xml:space="preserve">ISI database coverage in determining author citedness. </w:t>
      </w:r>
      <w:r>
        <w:rPr>
          <w:i/>
          <w:iCs/>
          <w:kern w:val="0"/>
        </w:rPr>
        <w:t>College &amp; Research Libraries</w:t>
      </w:r>
      <w:r>
        <w:rPr>
          <w:kern w:val="0"/>
        </w:rPr>
        <w:t xml:space="preserve">, </w:t>
      </w:r>
      <w:r>
        <w:rPr>
          <w:b/>
          <w:bCs/>
          <w:kern w:val="0"/>
        </w:rPr>
        <w:t>65</w:t>
      </w:r>
      <w:r>
        <w:rPr>
          <w:kern w:val="0"/>
        </w:rPr>
        <w:t xml:space="preserve"> (2), 152-163.</w:t>
      </w:r>
    </w:p>
    <w:p w:rsidR="00063FA4" w:rsidRPr="001A3D2B" w:rsidRDefault="00063FA4" w:rsidP="00063FA4">
      <w:pPr>
        <w:pStyle w:val="a3"/>
      </w:pPr>
      <w:r w:rsidRPr="001A3D2B">
        <w:t xml:space="preserve">Full Text: </w:t>
      </w:r>
      <w:hyperlink r:id="rId910" w:history="1">
        <w:r w:rsidRPr="00093DBD">
          <w:rPr>
            <w:rStyle w:val="a5"/>
          </w:rPr>
          <w:t>2004\Col Res Lib65, 152.pdf</w:t>
        </w:r>
      </w:hyperlink>
    </w:p>
    <w:p w:rsidR="00063FA4" w:rsidRDefault="00063FA4" w:rsidP="00063FA4">
      <w:pPr>
        <w:pStyle w:val="a3"/>
        <w:rPr>
          <w:kern w:val="0"/>
        </w:rPr>
      </w:pPr>
      <w:r>
        <w:rPr>
          <w:kern w:val="0"/>
        </w:rPr>
        <w:t>Abstract: This article presents a case study investigating</w:t>
      </w:r>
      <w:r w:rsidR="003A1917">
        <w:rPr>
          <w:kern w:val="0"/>
        </w:rPr>
        <w:t xml:space="preserve"> the </w:t>
      </w:r>
      <w:r>
        <w:rPr>
          <w:kern w:val="0"/>
        </w:rPr>
        <w:t>coverage completeness</w:t>
      </w:r>
      <w:r w:rsidR="00427468">
        <w:rPr>
          <w:kern w:val="0"/>
        </w:rPr>
        <w:t xml:space="preserve"> of </w:t>
      </w:r>
      <w:r w:rsidR="003A1917">
        <w:rPr>
          <w:kern w:val="0"/>
        </w:rPr>
        <w:t xml:space="preserve">the </w:t>
      </w:r>
      <w:r>
        <w:rPr>
          <w:kern w:val="0"/>
        </w:rPr>
        <w:t>Institute for Scientific Information</w:t>
      </w:r>
      <w:r w:rsidR="0071223E">
        <w:rPr>
          <w:kern w:val="0"/>
        </w:rPr>
        <w:t>’</w:t>
      </w:r>
      <w:r w:rsidR="00C13DDC">
        <w:rPr>
          <w:kern w:val="0"/>
        </w:rPr>
        <w:t>s</w:t>
      </w:r>
      <w:r>
        <w:rPr>
          <w:kern w:val="0"/>
        </w:rPr>
        <w:t xml:space="preserve"> citation data for specific authors, based on </w:t>
      </w:r>
      <w:r>
        <w:rPr>
          <w:kern w:val="0"/>
        </w:rPr>
        <w:lastRenderedPageBreak/>
        <w:t>analysis</w:t>
      </w:r>
      <w:r w:rsidR="00427468">
        <w:rPr>
          <w:kern w:val="0"/>
        </w:rPr>
        <w:t xml:space="preserve"> of </w:t>
      </w:r>
      <w:r>
        <w:rPr>
          <w:kern w:val="0"/>
        </w:rPr>
        <w:t>this author</w:t>
      </w:r>
      <w:r w:rsidR="0071223E">
        <w:rPr>
          <w:kern w:val="0"/>
        </w:rPr>
        <w:t>’</w:t>
      </w:r>
      <w:r w:rsidR="00C13DDC">
        <w:rPr>
          <w:kern w:val="0"/>
        </w:rPr>
        <w:t>s</w:t>
      </w:r>
      <w:r>
        <w:rPr>
          <w:kern w:val="0"/>
        </w:rPr>
        <w:t xml:space="preserve"> lifetime citation record, which was compiled through</w:t>
      </w:r>
      <w:r w:rsidR="003A1917">
        <w:rPr>
          <w:kern w:val="0"/>
        </w:rPr>
        <w:t xml:space="preserve"> the </w:t>
      </w:r>
      <w:r>
        <w:rPr>
          <w:kern w:val="0"/>
        </w:rPr>
        <w:t>ISI database, searching</w:t>
      </w:r>
      <w:r w:rsidR="003A1917">
        <w:rPr>
          <w:kern w:val="0"/>
        </w:rPr>
        <w:t xml:space="preserve"> the </w:t>
      </w:r>
      <w:r>
        <w:rPr>
          <w:kern w:val="0"/>
        </w:rPr>
        <w:t>literature for nearly fifteen years,</w:t>
      </w:r>
      <w:r w:rsidR="005853A9">
        <w:rPr>
          <w:kern w:val="0"/>
        </w:rPr>
        <w:t xml:space="preserve"> and </w:t>
      </w:r>
      <w:r>
        <w:rPr>
          <w:kern w:val="0"/>
        </w:rPr>
        <w:t>through various Web search engines. It was found that (with self-citations disregarded)</w:t>
      </w:r>
      <w:r w:rsidR="003A1917">
        <w:rPr>
          <w:kern w:val="0"/>
        </w:rPr>
        <w:t xml:space="preserve"> the </w:t>
      </w:r>
      <w:r>
        <w:rPr>
          <w:kern w:val="0"/>
        </w:rPr>
        <w:t>ISI captured 28.8 percent</w:t>
      </w:r>
      <w:r w:rsidR="00427468">
        <w:rPr>
          <w:kern w:val="0"/>
        </w:rPr>
        <w:t xml:space="preserve"> of </w:t>
      </w:r>
      <w:r w:rsidR="003A1917">
        <w:rPr>
          <w:kern w:val="0"/>
        </w:rPr>
        <w:t xml:space="preserve">the </w:t>
      </w:r>
      <w:r>
        <w:rPr>
          <w:kern w:val="0"/>
        </w:rPr>
        <w:t>total citations, 42.2 percent</w:t>
      </w:r>
      <w:r w:rsidR="00427468">
        <w:rPr>
          <w:kern w:val="0"/>
        </w:rPr>
        <w:t xml:space="preserve"> of </w:t>
      </w:r>
      <w:r>
        <w:rPr>
          <w:kern w:val="0"/>
        </w:rPr>
        <w:t>print citations, 20.3 percent</w:t>
      </w:r>
      <w:r w:rsidR="00427468">
        <w:rPr>
          <w:kern w:val="0"/>
        </w:rPr>
        <w:t xml:space="preserve"> of </w:t>
      </w:r>
      <w:r>
        <w:rPr>
          <w:kern w:val="0"/>
        </w:rPr>
        <w:t>citations from outside</w:t>
      </w:r>
      <w:r w:rsidR="003A1917">
        <w:rPr>
          <w:kern w:val="0"/>
        </w:rPr>
        <w:t xml:space="preserve"> the </w:t>
      </w:r>
      <w:r>
        <w:rPr>
          <w:kern w:val="0"/>
        </w:rPr>
        <w:t>United States,</w:t>
      </w:r>
      <w:r w:rsidR="005853A9">
        <w:rPr>
          <w:kern w:val="0"/>
        </w:rPr>
        <w:t xml:space="preserve"> and </w:t>
      </w:r>
      <w:r>
        <w:rPr>
          <w:kern w:val="0"/>
        </w:rPr>
        <w:t>2.3 percent</w:t>
      </w:r>
      <w:r w:rsidR="00427468">
        <w:rPr>
          <w:kern w:val="0"/>
        </w:rPr>
        <w:t xml:space="preserve"> of </w:t>
      </w:r>
      <w:r>
        <w:rPr>
          <w:kern w:val="0"/>
        </w:rPr>
        <w:t>non-English citations</w:t>
      </w:r>
      <w:r w:rsidR="00A37C1D">
        <w:rPr>
          <w:kern w:val="0"/>
        </w:rPr>
        <w:t>. The</w:t>
      </w:r>
      <w:r w:rsidR="003A1917">
        <w:rPr>
          <w:kern w:val="0"/>
        </w:rPr>
        <w:t xml:space="preserve"> </w:t>
      </w:r>
      <w:r>
        <w:rPr>
          <w:kern w:val="0"/>
        </w:rPr>
        <w:t>definition</w:t>
      </w:r>
      <w:r w:rsidR="005853A9">
        <w:rPr>
          <w:kern w:val="0"/>
        </w:rPr>
        <w:t xml:space="preserve"> and </w:t>
      </w:r>
      <w:r>
        <w:rPr>
          <w:kern w:val="0"/>
        </w:rPr>
        <w:t>classification</w:t>
      </w:r>
      <w:r w:rsidR="00427468">
        <w:rPr>
          <w:kern w:val="0"/>
        </w:rPr>
        <w:t xml:space="preserve"> of </w:t>
      </w:r>
      <w:r>
        <w:rPr>
          <w:kern w:val="0"/>
        </w:rPr>
        <w:t>Web citations are discussed. It is suggested that librarians</w:t>
      </w:r>
      <w:r w:rsidR="005853A9">
        <w:rPr>
          <w:kern w:val="0"/>
        </w:rPr>
        <w:t xml:space="preserve"> and </w:t>
      </w:r>
      <w:r>
        <w:rPr>
          <w:kern w:val="0"/>
        </w:rPr>
        <w:t>faculty should not rely solely on ISI author citation counts, especially when demonstration</w:t>
      </w:r>
      <w:r w:rsidR="00427468">
        <w:rPr>
          <w:kern w:val="0"/>
        </w:rPr>
        <w:t xml:space="preserve"> of </w:t>
      </w:r>
      <w:r>
        <w:rPr>
          <w:kern w:val="0"/>
        </w:rPr>
        <w:t>international impact is important.</w:t>
      </w:r>
    </w:p>
    <w:p w:rsidR="00063FA4" w:rsidRDefault="00063FA4" w:rsidP="00063FA4">
      <w:pPr>
        <w:pStyle w:val="a3"/>
        <w:rPr>
          <w:kern w:val="0"/>
        </w:rPr>
      </w:pPr>
      <w:r>
        <w:rPr>
          <w:kern w:val="0"/>
        </w:rPr>
        <w:t>Keywords: Analysis, Author, Citation, Citation Counts, Citations, Communication, Faculty</w:t>
      </w:r>
      <w:r w:rsidR="00D5664A">
        <w:rPr>
          <w:kern w:val="0"/>
        </w:rPr>
        <w:t>, ISI,</w:t>
      </w:r>
      <w:r>
        <w:rPr>
          <w:kern w:val="0"/>
        </w:rPr>
        <w:t xml:space="preserve"> Productivity, Promotion, Quality, Science, Self-Citations, Tenure, Web</w:t>
      </w:r>
    </w:p>
    <w:p w:rsidR="003474F2" w:rsidRPr="001A3D2B" w:rsidRDefault="003474F2" w:rsidP="003474F2">
      <w:pPr>
        <w:pStyle w:val="a3"/>
      </w:pPr>
      <w:r w:rsidRPr="001A3D2B">
        <w:t>? Kellsey, C.</w:t>
      </w:r>
      <w:r w:rsidR="005853A9">
        <w:t xml:space="preserve"> and </w:t>
      </w:r>
      <w:r w:rsidRPr="001A3D2B">
        <w:t>Knievel, J.E. (2004), Global English in</w:t>
      </w:r>
      <w:r w:rsidR="003A1917">
        <w:t xml:space="preserve"> the </w:t>
      </w:r>
      <w:r w:rsidRPr="001A3D2B">
        <w:t>humanities? A longitudinal citation study</w:t>
      </w:r>
      <w:r w:rsidR="00427468">
        <w:t xml:space="preserve"> of </w:t>
      </w:r>
      <w:r w:rsidRPr="001A3D2B">
        <w:t xml:space="preserve">foreign-language use by humanities scholars. </w:t>
      </w:r>
      <w:r w:rsidRPr="001A3D2B">
        <w:rPr>
          <w:i/>
          <w:iCs/>
        </w:rPr>
        <w:t>College &amp; Research Libraries</w:t>
      </w:r>
      <w:r w:rsidRPr="001A3D2B">
        <w:t xml:space="preserve">, </w:t>
      </w:r>
      <w:r w:rsidRPr="001A3D2B">
        <w:rPr>
          <w:b/>
          <w:bCs/>
        </w:rPr>
        <w:t>65</w:t>
      </w:r>
      <w:r w:rsidRPr="001A3D2B">
        <w:t xml:space="preserve"> (3), 194-204.</w:t>
      </w:r>
    </w:p>
    <w:p w:rsidR="003474F2" w:rsidRPr="001A3D2B" w:rsidRDefault="003474F2" w:rsidP="003474F2">
      <w:pPr>
        <w:pStyle w:val="a3"/>
      </w:pPr>
      <w:r w:rsidRPr="001A3D2B">
        <w:t xml:space="preserve">Full Text: </w:t>
      </w:r>
      <w:hyperlink r:id="rId911" w:history="1">
        <w:r w:rsidRPr="001A3D2B">
          <w:rPr>
            <w:rStyle w:val="a5"/>
          </w:rPr>
          <w:t>2004\Col Res Lib65, 194.pdf</w:t>
        </w:r>
      </w:hyperlink>
    </w:p>
    <w:p w:rsidR="003474F2" w:rsidRPr="001A3D2B" w:rsidRDefault="003474F2" w:rsidP="003474F2">
      <w:pPr>
        <w:pStyle w:val="a3"/>
      </w:pPr>
      <w:r w:rsidRPr="001A3D2B">
        <w:t>Abstract:</w:t>
      </w:r>
      <w:r w:rsidR="003A1917">
        <w:t xml:space="preserve"> the </w:t>
      </w:r>
      <w:r w:rsidRPr="001A3D2B">
        <w:t>authors counted 16,138 citations within 468 articles found in four journals from history, classics, linguistics,</w:t>
      </w:r>
      <w:r w:rsidR="005853A9">
        <w:t xml:space="preserve"> and </w:t>
      </w:r>
      <w:r w:rsidRPr="001A3D2B">
        <w:t>philosophy in</w:t>
      </w:r>
      <w:r w:rsidR="003A1917">
        <w:t xml:space="preserve"> the </w:t>
      </w:r>
      <w:r w:rsidRPr="001A3D2B">
        <w:t>years 1962, 1972, 1982, 1992,</w:t>
      </w:r>
      <w:r w:rsidR="005853A9">
        <w:t xml:space="preserve"> and </w:t>
      </w:r>
      <w:smartTag w:uri="urn:schemas-microsoft-com:office:smarttags" w:element="chmetcnv">
        <w:smartTagPr>
          <w:attr w:name="UnitName" w:val="in"/>
          <w:attr w:name="SourceValue" w:val="2002"/>
          <w:attr w:name="HasSpace" w:val="True"/>
          <w:attr w:name="Negative" w:val="False"/>
          <w:attr w:name="NumberType" w:val="1"/>
          <w:attr w:name="TCSC" w:val="0"/>
        </w:smartTagPr>
        <w:r w:rsidRPr="001A3D2B">
          <w:t>2002 in</w:t>
        </w:r>
      </w:smartTag>
      <w:r w:rsidRPr="001A3D2B">
        <w:t xml:space="preserve"> order to identify trends in foreign-language citation behavior</w:t>
      </w:r>
      <w:r w:rsidR="00427468">
        <w:t xml:space="preserve"> of </w:t>
      </w:r>
      <w:r w:rsidRPr="001A3D2B">
        <w:t>humanities scholars over time</w:t>
      </w:r>
      <w:r w:rsidR="00A37C1D">
        <w:t>. The</w:t>
      </w:r>
      <w:r w:rsidR="003A1917">
        <w:t xml:space="preserve"> </w:t>
      </w:r>
      <w:r w:rsidRPr="001A3D2B">
        <w:t>number</w:t>
      </w:r>
      <w:r w:rsidR="00427468">
        <w:t xml:space="preserve"> of </w:t>
      </w:r>
      <w:r w:rsidRPr="001A3D2B">
        <w:t>foreign-language sources cited in</w:t>
      </w:r>
      <w:r w:rsidR="003A1917">
        <w:t xml:space="preserve"> the </w:t>
      </w:r>
      <w:r w:rsidRPr="001A3D2B">
        <w:t>four subjects has not declined over time. Consistent levels</w:t>
      </w:r>
      <w:r w:rsidR="00427468">
        <w:t xml:space="preserve"> of </w:t>
      </w:r>
      <w:r w:rsidRPr="001A3D2B">
        <w:t xml:space="preserve">foreign-language citation from humanities scholars indicate a need for </w:t>
      </w:r>
      <w:smartTag w:uri="urn:schemas-microsoft-com:office:smarttags" w:element="place">
        <w:smartTag w:uri="urn:schemas-microsoft-com:office:smarttags" w:element="country-region">
          <w:r w:rsidRPr="001A3D2B">
            <w:t>U.S.</w:t>
          </w:r>
        </w:smartTag>
      </w:smartTag>
      <w:r w:rsidRPr="001A3D2B">
        <w:t xml:space="preserve"> research libraries to continue to purchase foreign-language materials</w:t>
      </w:r>
      <w:r w:rsidR="005853A9">
        <w:t xml:space="preserve"> and </w:t>
      </w:r>
      <w:r w:rsidRPr="001A3D2B">
        <w:t>to recruit catalogers</w:t>
      </w:r>
      <w:r w:rsidR="005853A9">
        <w:t xml:space="preserve"> and </w:t>
      </w:r>
      <w:r w:rsidRPr="001A3D2B">
        <w:t>collection development specialists with foreign-language knowledge.</w:t>
      </w:r>
    </w:p>
    <w:p w:rsidR="003474F2" w:rsidRPr="001A3D2B" w:rsidRDefault="003474F2" w:rsidP="003474F2">
      <w:pPr>
        <w:pStyle w:val="a3"/>
      </w:pPr>
      <w:r w:rsidRPr="001A3D2B">
        <w:t>Keywords: Journals, Philosophy</w:t>
      </w:r>
    </w:p>
    <w:p w:rsidR="003474F2" w:rsidRPr="001A3D2B" w:rsidRDefault="003474F2" w:rsidP="003474F2">
      <w:pPr>
        <w:pStyle w:val="a3"/>
      </w:pPr>
      <w:r w:rsidRPr="001A3D2B">
        <w:t>? Burright, M.A., Hahn, T.B.</w:t>
      </w:r>
      <w:r w:rsidR="005853A9">
        <w:t xml:space="preserve"> and </w:t>
      </w:r>
      <w:r w:rsidRPr="001A3D2B">
        <w:t>Antonisse, M.J. (2005), Understanding information use in a multidisciplinary field: A local citation analysis</w:t>
      </w:r>
      <w:r w:rsidR="00427468">
        <w:t xml:space="preserve"> of </w:t>
      </w:r>
      <w:r w:rsidRPr="001A3D2B">
        <w:t xml:space="preserve">neuroscience research. </w:t>
      </w:r>
      <w:r w:rsidRPr="001A3D2B">
        <w:rPr>
          <w:i/>
          <w:iCs/>
        </w:rPr>
        <w:t>College &amp; Research Libraries</w:t>
      </w:r>
      <w:r w:rsidRPr="001A3D2B">
        <w:t xml:space="preserve">, </w:t>
      </w:r>
      <w:r w:rsidRPr="001A3D2B">
        <w:rPr>
          <w:b/>
          <w:bCs/>
        </w:rPr>
        <w:t>66</w:t>
      </w:r>
      <w:r w:rsidRPr="001A3D2B">
        <w:t xml:space="preserve"> (3), 198-210.</w:t>
      </w:r>
    </w:p>
    <w:p w:rsidR="003474F2" w:rsidRPr="001A3D2B" w:rsidRDefault="003474F2" w:rsidP="003474F2">
      <w:pPr>
        <w:pStyle w:val="a3"/>
      </w:pPr>
      <w:r w:rsidRPr="001A3D2B">
        <w:t xml:space="preserve">Full Text: </w:t>
      </w:r>
      <w:hyperlink r:id="rId912" w:history="1">
        <w:r w:rsidRPr="001A3D2B">
          <w:rPr>
            <w:rStyle w:val="a5"/>
          </w:rPr>
          <w:t>2005\Col Res Lib66, 198.pdf</w:t>
        </w:r>
      </w:hyperlink>
    </w:p>
    <w:p w:rsidR="003474F2" w:rsidRPr="001A3D2B" w:rsidRDefault="003474F2" w:rsidP="003474F2">
      <w:pPr>
        <w:pStyle w:val="a3"/>
      </w:pPr>
      <w:r w:rsidRPr="001A3D2B">
        <w:t>Abstract: Assessing</w:t>
      </w:r>
      <w:r w:rsidR="003A1917">
        <w:t xml:space="preserve"> the </w:t>
      </w:r>
      <w:r w:rsidRPr="001A3D2B">
        <w:t>information needs</w:t>
      </w:r>
      <w:r w:rsidR="00427468">
        <w:t xml:space="preserve"> of </w:t>
      </w:r>
      <w:r w:rsidRPr="001A3D2B">
        <w:t>a multidisciplinary academic community presents challenges to librarians managing journal collections. This case study analyzed</w:t>
      </w:r>
      <w:r w:rsidR="003A1917">
        <w:t xml:space="preserve"> the </w:t>
      </w:r>
      <w:r w:rsidRPr="001A3D2B">
        <w:t>literature used by</w:t>
      </w:r>
      <w:r w:rsidR="003A1917">
        <w:t xml:space="preserve"> the </w:t>
      </w:r>
      <w:r w:rsidRPr="001A3D2B">
        <w:t>neuroscience community at</w:t>
      </w:r>
      <w:r w:rsidR="003A1917">
        <w:t xml:space="preserve"> the </w:t>
      </w:r>
      <w:r w:rsidRPr="001A3D2B">
        <w:t>University</w:t>
      </w:r>
      <w:r w:rsidR="00427468">
        <w:t xml:space="preserve"> of </w:t>
      </w:r>
      <w:r w:rsidRPr="001A3D2B">
        <w:t>Maryland to determine</w:t>
      </w:r>
      <w:r w:rsidR="003A1917">
        <w:t xml:space="preserve"> the </w:t>
      </w:r>
      <w:r w:rsidRPr="001A3D2B">
        <w:t>following about</w:t>
      </w:r>
      <w:r w:rsidR="003A1917">
        <w:t xml:space="preserve"> the </w:t>
      </w:r>
      <w:r w:rsidRPr="001A3D2B">
        <w:t>publications they cited: their type, their discipline,</w:t>
      </w:r>
      <w:r w:rsidR="005853A9">
        <w:t xml:space="preserve"> and </w:t>
      </w:r>
      <w:r w:rsidRPr="001A3D2B">
        <w:t>how recent they were relative to</w:t>
      </w:r>
      <w:r w:rsidR="003A1917">
        <w:t xml:space="preserve"> the </w:t>
      </w:r>
      <w:r w:rsidRPr="001A3D2B">
        <w:t>citing publication</w:t>
      </w:r>
      <w:r w:rsidR="00A37C1D">
        <w:t>. The</w:t>
      </w:r>
      <w:r w:rsidR="003A1917">
        <w:t xml:space="preserve"> </w:t>
      </w:r>
      <w:r w:rsidRPr="001A3D2B">
        <w:t>authors searched</w:t>
      </w:r>
      <w:r w:rsidR="003A1917">
        <w:t xml:space="preserve"> the </w:t>
      </w:r>
      <w:r w:rsidRPr="001A3D2B">
        <w:t>ISI Science Citation Index</w:t>
      </w:r>
      <w:r w:rsidR="005853A9">
        <w:t xml:space="preserve"> and </w:t>
      </w:r>
      <w:r w:rsidRPr="001A3D2B">
        <w:t>Social Sciences Citation Index to identify</w:t>
      </w:r>
      <w:r w:rsidR="003A1917">
        <w:t xml:space="preserve"> the </w:t>
      </w:r>
      <w:r w:rsidRPr="001A3D2B">
        <w:t>publishing, citing,</w:t>
      </w:r>
      <w:r w:rsidR="005853A9">
        <w:t xml:space="preserve"> and </w:t>
      </w:r>
      <w:r w:rsidRPr="001A3D2B">
        <w:t>coauthoring patterns</w:t>
      </w:r>
      <w:r w:rsidR="00427468">
        <w:t xml:space="preserve"> of </w:t>
      </w:r>
      <w:r w:rsidRPr="001A3D2B">
        <w:t>both faculty</w:t>
      </w:r>
      <w:r w:rsidR="005853A9">
        <w:t xml:space="preserve"> and </w:t>
      </w:r>
      <w:r w:rsidRPr="001A3D2B">
        <w:t>graduate students to inform library decisions about collecting journals</w:t>
      </w:r>
      <w:r w:rsidR="005853A9">
        <w:t xml:space="preserve"> and </w:t>
      </w:r>
      <w:r w:rsidRPr="001A3D2B">
        <w:t>other types</w:t>
      </w:r>
      <w:r w:rsidR="00427468">
        <w:t xml:space="preserve"> of </w:t>
      </w:r>
      <w:r w:rsidRPr="001A3D2B">
        <w:t>literature.</w:t>
      </w:r>
    </w:p>
    <w:p w:rsidR="003474F2" w:rsidRPr="001A3D2B" w:rsidRDefault="003474F2" w:rsidP="003474F2">
      <w:pPr>
        <w:pStyle w:val="a3"/>
      </w:pPr>
      <w:r w:rsidRPr="001A3D2B">
        <w:t>Keywords: Analysis, Case Study, Citation, Citation Analysis, Community, Faculty, Field, Graduate, Information</w:t>
      </w:r>
      <w:r w:rsidR="00D5664A">
        <w:t>, ISI,</w:t>
      </w:r>
      <w:r w:rsidRPr="001A3D2B">
        <w:t xml:space="preserve"> Journal, Journals, Literature, Local, Maryland, Multidisciplinary, Needs, Publication, Publications, Publishing, Research, Science </w:t>
      </w:r>
      <w:r w:rsidRPr="001A3D2B">
        <w:lastRenderedPageBreak/>
        <w:t>Citation Index, Students</w:t>
      </w:r>
    </w:p>
    <w:p w:rsidR="003474F2" w:rsidRPr="001A3D2B" w:rsidRDefault="003474F2" w:rsidP="003474F2">
      <w:pPr>
        <w:pStyle w:val="a3"/>
      </w:pPr>
      <w:r w:rsidRPr="001A3D2B">
        <w:t>? Georgas, H.</w:t>
      </w:r>
      <w:r w:rsidR="005853A9">
        <w:t xml:space="preserve"> and </w:t>
      </w:r>
      <w:r w:rsidRPr="001A3D2B">
        <w:t>Cullars, J. (2005), A citation study</w:t>
      </w:r>
      <w:r w:rsidR="00427468">
        <w:t xml:space="preserve"> of </w:t>
      </w:r>
      <w:r w:rsidR="003A1917">
        <w:t xml:space="preserve">the </w:t>
      </w:r>
      <w:r w:rsidRPr="001A3D2B">
        <w:t>characteristics</w:t>
      </w:r>
      <w:r w:rsidR="00427468">
        <w:t xml:space="preserve"> of </w:t>
      </w:r>
      <w:r w:rsidR="003A1917">
        <w:t xml:space="preserve">the </w:t>
      </w:r>
      <w:r w:rsidRPr="001A3D2B">
        <w:t xml:space="preserve">linguistics literature. </w:t>
      </w:r>
      <w:r w:rsidRPr="001A3D2B">
        <w:rPr>
          <w:i/>
          <w:iCs/>
        </w:rPr>
        <w:t>College &amp; Research Libraries</w:t>
      </w:r>
      <w:r w:rsidRPr="001A3D2B">
        <w:t xml:space="preserve">, </w:t>
      </w:r>
      <w:r w:rsidRPr="001A3D2B">
        <w:rPr>
          <w:b/>
          <w:bCs/>
        </w:rPr>
        <w:t>66</w:t>
      </w:r>
      <w:r w:rsidRPr="001A3D2B">
        <w:t xml:space="preserve"> (6), 496-515.</w:t>
      </w:r>
    </w:p>
    <w:p w:rsidR="003474F2" w:rsidRPr="001A3D2B" w:rsidRDefault="003474F2" w:rsidP="003474F2">
      <w:pPr>
        <w:pStyle w:val="a3"/>
      </w:pPr>
      <w:r w:rsidRPr="001A3D2B">
        <w:t xml:space="preserve">Full Text: </w:t>
      </w:r>
      <w:hyperlink r:id="rId913" w:history="1">
        <w:r w:rsidRPr="001A3D2B">
          <w:rPr>
            <w:rStyle w:val="a5"/>
          </w:rPr>
          <w:t>2005\Col Res Lib66, 496.pdf</w:t>
        </w:r>
      </w:hyperlink>
    </w:p>
    <w:p w:rsidR="003474F2" w:rsidRPr="001A3D2B" w:rsidRDefault="003474F2" w:rsidP="003474F2">
      <w:pPr>
        <w:pStyle w:val="a3"/>
      </w:pPr>
      <w:r w:rsidRPr="001A3D2B">
        <w:t>Abstract: By analyzing</w:t>
      </w:r>
      <w:r w:rsidR="003A1917">
        <w:t xml:space="preserve"> the </w:t>
      </w:r>
      <w:r w:rsidRPr="001A3D2B">
        <w:t>citation patterns</w:t>
      </w:r>
      <w:r w:rsidR="00427468">
        <w:t xml:space="preserve"> of </w:t>
      </w:r>
      <w:r w:rsidR="003A1917">
        <w:t xml:space="preserve">the </w:t>
      </w:r>
      <w:r w:rsidRPr="001A3D2B">
        <w:t>linguistics literature,</w:t>
      </w:r>
      <w:r w:rsidR="003A1917">
        <w:t xml:space="preserve"> the </w:t>
      </w:r>
      <w:r w:rsidRPr="001A3D2B">
        <w:t>authors provide a bibliometric description</w:t>
      </w:r>
      <w:r w:rsidR="00427468">
        <w:t xml:space="preserve"> of </w:t>
      </w:r>
      <w:r w:rsidR="003A1917">
        <w:t xml:space="preserve">the </w:t>
      </w:r>
      <w:r w:rsidRPr="001A3D2B">
        <w:t>discipline that will help librarians who have reference, instruction, or collection development responsibilities in this area understand it better. One important aspect</w:t>
      </w:r>
      <w:r w:rsidR="00427468">
        <w:t xml:space="preserve"> of </w:t>
      </w:r>
      <w:r w:rsidRPr="001A3D2B">
        <w:t>such an understanding is determining where linguistics classifies within</w:t>
      </w:r>
      <w:r w:rsidR="003A1917">
        <w:t xml:space="preserve"> the </w:t>
      </w:r>
      <w:r w:rsidRPr="001A3D2B">
        <w:t>humanities,</w:t>
      </w:r>
      <w:r w:rsidR="003A1917">
        <w:t xml:space="preserve"> the </w:t>
      </w:r>
      <w:r w:rsidRPr="001A3D2B">
        <w:t>social sciences,</w:t>
      </w:r>
      <w:r w:rsidR="005853A9">
        <w:t xml:space="preserve"> and </w:t>
      </w:r>
      <w:r w:rsidR="003A1917">
        <w:t xml:space="preserve">the </w:t>
      </w:r>
      <w:r w:rsidRPr="001A3D2B">
        <w:t>sciences. Based on several</w:t>
      </w:r>
      <w:r w:rsidR="00427468">
        <w:t xml:space="preserve"> of </w:t>
      </w:r>
      <w:r w:rsidR="003A1917">
        <w:t xml:space="preserve">the </w:t>
      </w:r>
      <w:r w:rsidRPr="001A3D2B">
        <w:t>citation patterns discovered, namely</w:t>
      </w:r>
      <w:r w:rsidR="003A1917">
        <w:t xml:space="preserve"> the </w:t>
      </w:r>
      <w:r w:rsidRPr="001A3D2B">
        <w:t>importance</w:t>
      </w:r>
      <w:r w:rsidR="00427468">
        <w:t xml:space="preserve"> of </w:t>
      </w:r>
      <w:r w:rsidRPr="001A3D2B">
        <w:t>recent publications to</w:t>
      </w:r>
      <w:r w:rsidR="003A1917">
        <w:t xml:space="preserve"> the </w:t>
      </w:r>
      <w:r w:rsidRPr="001A3D2B">
        <w:t>field,</w:t>
      </w:r>
      <w:r w:rsidR="005853A9">
        <w:t xml:space="preserve"> and </w:t>
      </w:r>
      <w:r w:rsidR="003A1917">
        <w:t xml:space="preserve">the </w:t>
      </w:r>
      <w:r w:rsidRPr="001A3D2B">
        <w:t>prominence</w:t>
      </w:r>
      <w:r w:rsidR="00427468">
        <w:t xml:space="preserve"> of </w:t>
      </w:r>
      <w:r w:rsidRPr="001A3D2B">
        <w:t>journals as a primary vehicle</w:t>
      </w:r>
      <w:r w:rsidR="00427468">
        <w:t xml:space="preserve"> of </w:t>
      </w:r>
      <w:r w:rsidRPr="001A3D2B">
        <w:t>scholarly communication, this analysis concludes that linguistics more closely resembles</w:t>
      </w:r>
      <w:r w:rsidR="003A1917">
        <w:t xml:space="preserve"> the </w:t>
      </w:r>
      <w:r w:rsidRPr="001A3D2B">
        <w:t>disciplines</w:t>
      </w:r>
      <w:r w:rsidR="00427468">
        <w:t xml:space="preserve"> of </w:t>
      </w:r>
      <w:r w:rsidR="003A1917">
        <w:t xml:space="preserve">the </w:t>
      </w:r>
      <w:r w:rsidRPr="001A3D2B">
        <w:t>social sciences.</w:t>
      </w:r>
    </w:p>
    <w:p w:rsidR="003474F2" w:rsidRPr="001A3D2B" w:rsidRDefault="003474F2" w:rsidP="003474F2">
      <w:pPr>
        <w:pStyle w:val="a3"/>
      </w:pPr>
      <w:r w:rsidRPr="001A3D2B">
        <w:t>Keywords: Behavioral-Sciences, Bibliometric, English, Fine-Arts, Humanities Scholars, Journals, Monographs, Philosophy, Publications, Research Performance, Scholarly Communication, Sciences, Social-Sciences</w:t>
      </w:r>
    </w:p>
    <w:p w:rsidR="003474F2" w:rsidRPr="001A3D2B" w:rsidRDefault="003474F2" w:rsidP="003474F2">
      <w:pPr>
        <w:pStyle w:val="a3"/>
      </w:pPr>
      <w:r w:rsidRPr="001A3D2B">
        <w:t>? Ortega, L.</w:t>
      </w:r>
      <w:r w:rsidR="005853A9">
        <w:t xml:space="preserve"> and </w:t>
      </w:r>
      <w:r w:rsidRPr="001A3D2B">
        <w:t>Antell, K. (2006), Tracking cross-disciplinary information use by author affiliation: Demonstration</w:t>
      </w:r>
      <w:r w:rsidR="00427468">
        <w:t xml:space="preserve"> of </w:t>
      </w:r>
      <w:r w:rsidRPr="001A3D2B">
        <w:t xml:space="preserve">a method. </w:t>
      </w:r>
      <w:r w:rsidRPr="001A3D2B">
        <w:rPr>
          <w:i/>
          <w:iCs/>
        </w:rPr>
        <w:t>College &amp; Research Libraries</w:t>
      </w:r>
      <w:r w:rsidRPr="001A3D2B">
        <w:t xml:space="preserve">, </w:t>
      </w:r>
      <w:r w:rsidRPr="001A3D2B">
        <w:rPr>
          <w:b/>
          <w:bCs/>
        </w:rPr>
        <w:t>67</w:t>
      </w:r>
      <w:r w:rsidRPr="001A3D2B">
        <w:t xml:space="preserve"> (5), 446-462.</w:t>
      </w:r>
    </w:p>
    <w:p w:rsidR="003474F2" w:rsidRPr="001A3D2B" w:rsidRDefault="003474F2" w:rsidP="003474F2">
      <w:pPr>
        <w:pStyle w:val="a3"/>
      </w:pPr>
      <w:r w:rsidRPr="001A3D2B">
        <w:t xml:space="preserve">Full Text: </w:t>
      </w:r>
      <w:hyperlink r:id="rId914" w:history="1">
        <w:r w:rsidRPr="001A3D2B">
          <w:rPr>
            <w:rStyle w:val="a5"/>
          </w:rPr>
          <w:t>2006\Col Res Lib67, 446.pdf</w:t>
        </w:r>
      </w:hyperlink>
    </w:p>
    <w:p w:rsidR="003474F2" w:rsidRPr="001A3D2B" w:rsidRDefault="003474F2" w:rsidP="003474F2">
      <w:pPr>
        <w:pStyle w:val="a3"/>
      </w:pPr>
      <w:r w:rsidRPr="001A3D2B">
        <w:t>Abstract: In this paper, we report</w:t>
      </w:r>
      <w:r w:rsidR="003A1917">
        <w:t xml:space="preserve"> the </w:t>
      </w:r>
      <w:r w:rsidRPr="001A3D2B">
        <w:t>results</w:t>
      </w:r>
      <w:r w:rsidR="00427468">
        <w:t xml:space="preserve"> of </w:t>
      </w:r>
      <w:r w:rsidRPr="001A3D2B">
        <w:t>a bibliometric study in which we track cross-disciplinary citation behavior in</w:t>
      </w:r>
      <w:r w:rsidR="003A1917">
        <w:t xml:space="preserve"> the </w:t>
      </w:r>
      <w:r w:rsidRPr="001A3D2B">
        <w:t>sciences. We hypothesize that cross-disciplinary citation in</w:t>
      </w:r>
      <w:r w:rsidR="003A1917">
        <w:t xml:space="preserve"> the </w:t>
      </w:r>
      <w:r w:rsidRPr="001A3D2B">
        <w:t>sciences increased over</w:t>
      </w:r>
      <w:r w:rsidR="003A1917">
        <w:t xml:space="preserve"> the </w:t>
      </w:r>
      <w:r w:rsidRPr="001A3D2B">
        <w:t>time period 1985-2000. Unlike most previous studies in this area, we assign discipline to a paper by its first author</w:t>
      </w:r>
      <w:r w:rsidR="0071223E">
        <w:t>’</w:t>
      </w:r>
      <w:r w:rsidR="00C13DDC">
        <w:t>s</w:t>
      </w:r>
      <w:r w:rsidRPr="001A3D2B">
        <w:t xml:space="preserve"> affiliation,</w:t>
      </w:r>
      <w:r w:rsidR="005853A9">
        <w:t xml:space="preserve"> and </w:t>
      </w:r>
      <w:r w:rsidRPr="001A3D2B">
        <w:t>we hypothesize that assigning papers to disciplines based on first-author affiliation would yield results consistent with previous findings on cross-disciplinary citation rates in</w:t>
      </w:r>
      <w:r w:rsidR="003A1917">
        <w:t xml:space="preserve"> the </w:t>
      </w:r>
      <w:r w:rsidRPr="001A3D2B">
        <w:t>sciences. Using</w:t>
      </w:r>
      <w:r w:rsidR="003A1917">
        <w:t xml:space="preserve"> the </w:t>
      </w:r>
      <w:r w:rsidRPr="001A3D2B">
        <w:t>output</w:t>
      </w:r>
      <w:r w:rsidR="00427468">
        <w:t xml:space="preserve"> of </w:t>
      </w:r>
      <w:r w:rsidRPr="001A3D2B">
        <w:t>scientists in Biological Sciences, Chemistry,</w:t>
      </w:r>
      <w:r w:rsidR="005853A9">
        <w:t xml:space="preserve"> and </w:t>
      </w:r>
      <w:r w:rsidRPr="001A3D2B">
        <w:t>Physics departments at 12 large research universities in 1985, 1990, 1995,</w:t>
      </w:r>
      <w:r w:rsidR="005853A9">
        <w:t xml:space="preserve"> and </w:t>
      </w:r>
      <w:r w:rsidRPr="001A3D2B">
        <w:t>2000 as our data set, we measure</w:t>
      </w:r>
      <w:r w:rsidR="003A1917">
        <w:t xml:space="preserve"> the </w:t>
      </w:r>
      <w:r w:rsidRPr="001A3D2B">
        <w:t>cross-disciplinary citation rates</w:t>
      </w:r>
      <w:r w:rsidR="00427468">
        <w:t xml:space="preserve"> of </w:t>
      </w:r>
      <w:r w:rsidRPr="001A3D2B">
        <w:t>each discipline</w:t>
      </w:r>
      <w:r w:rsidR="005853A9">
        <w:t xml:space="preserve"> and </w:t>
      </w:r>
      <w:r w:rsidRPr="001A3D2B">
        <w:t>compare our results to</w:t>
      </w:r>
      <w:r w:rsidR="003A1917">
        <w:t xml:space="preserve"> the </w:t>
      </w:r>
      <w:r w:rsidRPr="001A3D2B">
        <w:t>findings</w:t>
      </w:r>
      <w:r w:rsidR="00427468">
        <w:t xml:space="preserve"> of </w:t>
      </w:r>
      <w:r w:rsidRPr="001A3D2B">
        <w:t>previous studies in this area.</w:t>
      </w:r>
    </w:p>
    <w:p w:rsidR="003474F2" w:rsidRPr="001A3D2B" w:rsidRDefault="003474F2" w:rsidP="003474F2">
      <w:pPr>
        <w:pStyle w:val="a3"/>
      </w:pPr>
      <w:r w:rsidRPr="001A3D2B">
        <w:t>Keywords: Behavior, Bibliometric Study, Cocitation Maps, Context, Core Journal Networks, Fields, Impact, Information, Interdisciplinary Research, Management, Multidisciplinary, Output, Paper, Patterns, Research, Sciences, Universities, Yield</w:t>
      </w:r>
    </w:p>
    <w:p w:rsidR="00826F05" w:rsidRPr="001A3D2B" w:rsidRDefault="00826F05" w:rsidP="00826F05">
      <w:pPr>
        <w:pStyle w:val="a3"/>
        <w:rPr>
          <w:kern w:val="0"/>
        </w:rPr>
      </w:pPr>
      <w:r w:rsidRPr="001A3D2B">
        <w:rPr>
          <w:kern w:val="0"/>
        </w:rPr>
        <w:t>? Blessinger, K.</w:t>
      </w:r>
      <w:r w:rsidR="005853A9">
        <w:rPr>
          <w:kern w:val="0"/>
        </w:rPr>
        <w:t xml:space="preserve"> and </w:t>
      </w:r>
      <w:r w:rsidRPr="001A3D2B">
        <w:rPr>
          <w:kern w:val="0"/>
        </w:rPr>
        <w:t>Frasier, M. (2007), Analysis</w:t>
      </w:r>
      <w:r w:rsidR="00427468">
        <w:rPr>
          <w:kern w:val="0"/>
        </w:rPr>
        <w:t xml:space="preserve"> of </w:t>
      </w:r>
      <w:r w:rsidRPr="001A3D2B">
        <w:rPr>
          <w:kern w:val="0"/>
        </w:rPr>
        <w:t xml:space="preserve">a decade in library literature: 1994-2004. </w:t>
      </w:r>
      <w:r w:rsidRPr="001A3D2B">
        <w:rPr>
          <w:i/>
          <w:iCs/>
          <w:kern w:val="0"/>
        </w:rPr>
        <w:t>College &amp; Research Libraries</w:t>
      </w:r>
      <w:r w:rsidRPr="001A3D2B">
        <w:rPr>
          <w:kern w:val="0"/>
        </w:rPr>
        <w:t xml:space="preserve">, </w:t>
      </w:r>
      <w:r w:rsidRPr="001A3D2B">
        <w:rPr>
          <w:b/>
          <w:bCs/>
          <w:kern w:val="0"/>
        </w:rPr>
        <w:t>68</w:t>
      </w:r>
      <w:r w:rsidRPr="001A3D2B">
        <w:rPr>
          <w:kern w:val="0"/>
        </w:rPr>
        <w:t xml:space="preserve"> (2), 155-169.</w:t>
      </w:r>
    </w:p>
    <w:p w:rsidR="00826F05" w:rsidRPr="001A3D2B" w:rsidRDefault="00826F05" w:rsidP="0020744E">
      <w:pPr>
        <w:pStyle w:val="a3"/>
      </w:pPr>
      <w:r w:rsidRPr="001A3D2B">
        <w:t xml:space="preserve">Full Text: </w:t>
      </w:r>
      <w:hyperlink r:id="rId915" w:history="1">
        <w:r w:rsidR="0020744E" w:rsidRPr="001A3D2B">
          <w:rPr>
            <w:rStyle w:val="a5"/>
          </w:rPr>
          <w:t>2007\Col Res Lib68, 155.pdf</w:t>
        </w:r>
      </w:hyperlink>
    </w:p>
    <w:p w:rsidR="00826F05" w:rsidRPr="001A3D2B" w:rsidRDefault="00826F05" w:rsidP="00826F05">
      <w:pPr>
        <w:pStyle w:val="a3"/>
        <w:rPr>
          <w:kern w:val="0"/>
        </w:rPr>
      </w:pPr>
      <w:r w:rsidRPr="001A3D2B">
        <w:rPr>
          <w:kern w:val="0"/>
        </w:rPr>
        <w:t>Abstract:</w:t>
      </w:r>
      <w:r w:rsidR="003A1917">
        <w:rPr>
          <w:kern w:val="0"/>
        </w:rPr>
        <w:t xml:space="preserve"> the </w:t>
      </w:r>
      <w:r w:rsidRPr="001A3D2B">
        <w:rPr>
          <w:kern w:val="0"/>
        </w:rPr>
        <w:t>purpose</w:t>
      </w:r>
      <w:r w:rsidR="00427468">
        <w:rPr>
          <w:kern w:val="0"/>
        </w:rPr>
        <w:t xml:space="preserve"> of </w:t>
      </w:r>
      <w:r w:rsidRPr="001A3D2B">
        <w:rPr>
          <w:kern w:val="0"/>
        </w:rPr>
        <w:t>this study was to analyze trends in publication</w:t>
      </w:r>
      <w:r w:rsidR="005853A9">
        <w:rPr>
          <w:kern w:val="0"/>
        </w:rPr>
        <w:t xml:space="preserve"> and </w:t>
      </w:r>
      <w:r w:rsidRPr="001A3D2B">
        <w:rPr>
          <w:kern w:val="0"/>
        </w:rPr>
        <w:t>citation in library</w:t>
      </w:r>
      <w:r w:rsidR="005853A9">
        <w:rPr>
          <w:kern w:val="0"/>
        </w:rPr>
        <w:t xml:space="preserve"> and </w:t>
      </w:r>
      <w:r w:rsidRPr="001A3D2B">
        <w:rPr>
          <w:kern w:val="0"/>
        </w:rPr>
        <w:t>information science journals over a decade (1994-2004)</w:t>
      </w:r>
      <w:r w:rsidR="00427468">
        <w:rPr>
          <w:kern w:val="0"/>
        </w:rPr>
        <w:t xml:space="preserve"> of </w:t>
      </w:r>
      <w:r w:rsidR="003A1917">
        <w:rPr>
          <w:kern w:val="0"/>
        </w:rPr>
        <w:t xml:space="preserve">the </w:t>
      </w:r>
      <w:r w:rsidRPr="001A3D2B">
        <w:rPr>
          <w:kern w:val="0"/>
        </w:rPr>
        <w:t xml:space="preserve">literature. </w:t>
      </w:r>
      <w:r w:rsidRPr="001A3D2B">
        <w:rPr>
          <w:kern w:val="0"/>
        </w:rPr>
        <w:lastRenderedPageBreak/>
        <w:t>This examination revealed</w:t>
      </w:r>
      <w:r w:rsidR="003A1917">
        <w:rPr>
          <w:kern w:val="0"/>
        </w:rPr>
        <w:t xml:space="preserve"> the </w:t>
      </w:r>
      <w:r w:rsidRPr="001A3D2B">
        <w:rPr>
          <w:kern w:val="0"/>
        </w:rPr>
        <w:t>areas</w:t>
      </w:r>
      <w:r w:rsidR="00427468">
        <w:rPr>
          <w:kern w:val="0"/>
        </w:rPr>
        <w:t xml:space="preserve"> of </w:t>
      </w:r>
      <w:r w:rsidRPr="001A3D2B">
        <w:rPr>
          <w:kern w:val="0"/>
        </w:rPr>
        <w:t>concentration within</w:t>
      </w:r>
      <w:r w:rsidR="003A1917">
        <w:rPr>
          <w:kern w:val="0"/>
        </w:rPr>
        <w:t xml:space="preserve"> the </w:t>
      </w:r>
      <w:r w:rsidRPr="001A3D2B">
        <w:rPr>
          <w:kern w:val="0"/>
        </w:rPr>
        <w:t>research, frequently published subjects through</w:t>
      </w:r>
      <w:r w:rsidR="003A1917">
        <w:rPr>
          <w:kern w:val="0"/>
        </w:rPr>
        <w:t xml:space="preserve"> the </w:t>
      </w:r>
      <w:r w:rsidRPr="001A3D2B">
        <w:rPr>
          <w:kern w:val="0"/>
        </w:rPr>
        <w:t>years,</w:t>
      </w:r>
      <w:r w:rsidR="005853A9">
        <w:rPr>
          <w:kern w:val="0"/>
        </w:rPr>
        <w:t xml:space="preserve"> and </w:t>
      </w:r>
      <w:r w:rsidR="003A1917">
        <w:rPr>
          <w:kern w:val="0"/>
        </w:rPr>
        <w:t xml:space="preserve">the </w:t>
      </w:r>
      <w:r w:rsidRPr="001A3D2B">
        <w:rPr>
          <w:kern w:val="0"/>
        </w:rPr>
        <w:t>characteristics</w:t>
      </w:r>
      <w:r w:rsidR="00427468">
        <w:rPr>
          <w:kern w:val="0"/>
        </w:rPr>
        <w:t xml:space="preserve"> of </w:t>
      </w:r>
      <w:r w:rsidR="003A1917">
        <w:rPr>
          <w:kern w:val="0"/>
        </w:rPr>
        <w:t xml:space="preserve">the </w:t>
      </w:r>
      <w:r w:rsidRPr="001A3D2B">
        <w:rPr>
          <w:kern w:val="0"/>
        </w:rPr>
        <w:t>top-cited authors</w:t>
      </w:r>
      <w:r w:rsidR="005853A9">
        <w:rPr>
          <w:kern w:val="0"/>
        </w:rPr>
        <w:t xml:space="preserve"> and </w:t>
      </w:r>
      <w:r w:rsidRPr="001A3D2B">
        <w:rPr>
          <w:kern w:val="0"/>
        </w:rPr>
        <w:t>resources during this time. This information allows those in</w:t>
      </w:r>
      <w:r w:rsidR="003A1917">
        <w:rPr>
          <w:kern w:val="0"/>
        </w:rPr>
        <w:t xml:space="preserve"> the </w:t>
      </w:r>
      <w:r w:rsidRPr="001A3D2B">
        <w:rPr>
          <w:kern w:val="0"/>
        </w:rPr>
        <w:t>field to follow</w:t>
      </w:r>
      <w:r w:rsidR="003A1917">
        <w:rPr>
          <w:kern w:val="0"/>
        </w:rPr>
        <w:t xml:space="preserve"> the </w:t>
      </w:r>
      <w:r w:rsidRPr="001A3D2B">
        <w:rPr>
          <w:kern w:val="0"/>
        </w:rPr>
        <w:t>trends in publication, gives researchers</w:t>
      </w:r>
      <w:r w:rsidR="003A1917">
        <w:rPr>
          <w:kern w:val="0"/>
        </w:rPr>
        <w:t xml:space="preserve"> the </w:t>
      </w:r>
      <w:r w:rsidRPr="001A3D2B">
        <w:rPr>
          <w:kern w:val="0"/>
        </w:rPr>
        <w:t>tools to determine which journals might give their work</w:t>
      </w:r>
      <w:r w:rsidR="003A1917">
        <w:rPr>
          <w:kern w:val="0"/>
        </w:rPr>
        <w:t xml:space="preserve"> the </w:t>
      </w:r>
      <w:r w:rsidRPr="001A3D2B">
        <w:rPr>
          <w:kern w:val="0"/>
        </w:rPr>
        <w:t>most exposure</w:t>
      </w:r>
      <w:r w:rsidR="005853A9">
        <w:rPr>
          <w:kern w:val="0"/>
        </w:rPr>
        <w:t xml:space="preserve"> and </w:t>
      </w:r>
      <w:r w:rsidRPr="001A3D2B">
        <w:rPr>
          <w:kern w:val="0"/>
        </w:rPr>
        <w:t>recognition,</w:t>
      </w:r>
      <w:r w:rsidR="005853A9">
        <w:rPr>
          <w:kern w:val="0"/>
        </w:rPr>
        <w:t xml:space="preserve"> and </w:t>
      </w:r>
      <w:r w:rsidRPr="001A3D2B">
        <w:rPr>
          <w:kern w:val="0"/>
        </w:rPr>
        <w:t>can help libraries to make collection management decisions in this subject area.</w:t>
      </w:r>
    </w:p>
    <w:p w:rsidR="00826F05" w:rsidRPr="001A3D2B" w:rsidRDefault="00826F05" w:rsidP="00826F05">
      <w:pPr>
        <w:pStyle w:val="a3"/>
        <w:rPr>
          <w:kern w:val="0"/>
        </w:rPr>
      </w:pPr>
      <w:r w:rsidRPr="001A3D2B">
        <w:rPr>
          <w:kern w:val="0"/>
        </w:rPr>
        <w:t>Keywords: Affiliation, Authorship, Citation, Information-Science Research, Publication</w:t>
      </w:r>
    </w:p>
    <w:p w:rsidR="003474F2" w:rsidRPr="001A3D2B" w:rsidRDefault="003474F2" w:rsidP="003474F2">
      <w:pPr>
        <w:pStyle w:val="a3"/>
      </w:pPr>
      <w:r w:rsidRPr="001A3D2B">
        <w:t>? Vallmitjana, N.</w:t>
      </w:r>
      <w:r w:rsidR="005853A9">
        <w:t xml:space="preserve"> and </w:t>
      </w:r>
      <w:r w:rsidRPr="001A3D2B">
        <w:t>Sabate, L.G. (2008), Citation analysis</w:t>
      </w:r>
      <w:r w:rsidR="00427468">
        <w:t xml:space="preserve"> of </w:t>
      </w:r>
      <w:r w:rsidRPr="001A3D2B">
        <w:t xml:space="preserve">Ph.D. dissertation references as a tool for collection management in an academic chemistry library. </w:t>
      </w:r>
      <w:r w:rsidRPr="001A3D2B">
        <w:rPr>
          <w:i/>
          <w:iCs/>
        </w:rPr>
        <w:t>College &amp; Research Libraries</w:t>
      </w:r>
      <w:r w:rsidRPr="001A3D2B">
        <w:t xml:space="preserve">, </w:t>
      </w:r>
      <w:r w:rsidRPr="001A3D2B">
        <w:rPr>
          <w:b/>
          <w:bCs/>
        </w:rPr>
        <w:t>69</w:t>
      </w:r>
      <w:r w:rsidRPr="001A3D2B">
        <w:t xml:space="preserve"> (1), 72-81.</w:t>
      </w:r>
    </w:p>
    <w:p w:rsidR="003474F2" w:rsidRPr="001A3D2B" w:rsidRDefault="003474F2" w:rsidP="003474F2">
      <w:pPr>
        <w:pStyle w:val="a3"/>
      </w:pPr>
      <w:r w:rsidRPr="001A3D2B">
        <w:t xml:space="preserve">Full Text: </w:t>
      </w:r>
      <w:hyperlink r:id="rId916" w:history="1">
        <w:r w:rsidRPr="001A3D2B">
          <w:rPr>
            <w:rStyle w:val="a5"/>
          </w:rPr>
          <w:t>2008\Col Res Lib69, 72.pdf</w:t>
        </w:r>
      </w:hyperlink>
    </w:p>
    <w:p w:rsidR="003474F2" w:rsidRPr="001A3D2B" w:rsidRDefault="003474F2" w:rsidP="003474F2">
      <w:pPr>
        <w:pStyle w:val="a3"/>
      </w:pPr>
      <w:r w:rsidRPr="001A3D2B">
        <w:t>Abstract: A bibliometric study was carried out on</w:t>
      </w:r>
      <w:r w:rsidR="003A1917">
        <w:t xml:space="preserve"> the </w:t>
      </w:r>
      <w:r w:rsidRPr="001A3D2B">
        <w:t>citations within</w:t>
      </w:r>
      <w:r w:rsidR="003A1917">
        <w:t xml:space="preserve"> the </w:t>
      </w:r>
      <w:r w:rsidRPr="001A3D2B">
        <w:t>chemistry field Ph.D. dissertations to ascertain what types</w:t>
      </w:r>
      <w:r w:rsidR="00427468">
        <w:t xml:space="preserve"> of </w:t>
      </w:r>
      <w:r w:rsidRPr="001A3D2B">
        <w:t>documents are</w:t>
      </w:r>
      <w:r w:rsidR="003A1917">
        <w:t xml:space="preserve"> the </w:t>
      </w:r>
      <w:r w:rsidRPr="001A3D2B">
        <w:t>most frequently used in</w:t>
      </w:r>
      <w:r w:rsidR="003A1917">
        <w:t xml:space="preserve"> the </w:t>
      </w:r>
      <w:r w:rsidRPr="001A3D2B">
        <w:t>research process,</w:t>
      </w:r>
      <w:r w:rsidR="003A1917">
        <w:t xml:space="preserve"> the </w:t>
      </w:r>
      <w:r w:rsidRPr="001A3D2B">
        <w:t>most frequently consulted journals</w:t>
      </w:r>
      <w:r w:rsidR="005853A9">
        <w:t xml:space="preserve"> and </w:t>
      </w:r>
      <w:r w:rsidRPr="001A3D2B">
        <w:t>obsolescence rate</w:t>
      </w:r>
      <w:r w:rsidR="00427468">
        <w:t xml:space="preserve"> of </w:t>
      </w:r>
      <w:r w:rsidR="003A1917">
        <w:t xml:space="preserve">the </w:t>
      </w:r>
      <w:r w:rsidRPr="001A3D2B">
        <w:t>journals</w:t>
      </w:r>
      <w:r w:rsidR="00A37C1D">
        <w:t>. The</w:t>
      </w:r>
      <w:r w:rsidR="003A1917">
        <w:t xml:space="preserve"> </w:t>
      </w:r>
      <w:r w:rsidRPr="001A3D2B">
        <w:t>analysis covered 46 doctoral theses presented at</w:t>
      </w:r>
      <w:r w:rsidR="003A1917">
        <w:t xml:space="preserve"> the </w:t>
      </w:r>
      <w:r w:rsidRPr="001A3D2B">
        <w:t>Institut Quimic de Sarria (IQS) from 1995 to 2003</w:t>
      </w:r>
      <w:r w:rsidR="00A37C1D">
        <w:t>. The</w:t>
      </w:r>
      <w:r w:rsidR="003A1917">
        <w:t xml:space="preserve"> </w:t>
      </w:r>
      <w:r w:rsidRPr="001A3D2B">
        <w:t>results obtained from</w:t>
      </w:r>
      <w:r w:rsidR="003A1917">
        <w:t xml:space="preserve"> the </w:t>
      </w:r>
      <w:r w:rsidRPr="001A3D2B">
        <w:t>4,203 citations revealed that</w:t>
      </w:r>
      <w:r w:rsidR="003A1917">
        <w:t xml:space="preserve"> the </w:t>
      </w:r>
      <w:r w:rsidRPr="001A3D2B">
        <w:t>most frequently used documents were scientific papers, which accounted for 79 percent</w:t>
      </w:r>
      <w:r w:rsidR="00427468">
        <w:t xml:space="preserve"> of </w:t>
      </w:r>
      <w:r w:rsidR="003A1917">
        <w:t xml:space="preserve">the </w:t>
      </w:r>
      <w:r w:rsidRPr="001A3D2B">
        <w:t>total; 33 journals met 50 percent</w:t>
      </w:r>
      <w:r w:rsidR="00427468">
        <w:t xml:space="preserve"> of </w:t>
      </w:r>
      <w:r w:rsidR="003A1917">
        <w:t xml:space="preserve">the </w:t>
      </w:r>
      <w:r w:rsidRPr="001A3D2B">
        <w:t>informational needs;</w:t>
      </w:r>
      <w:r w:rsidR="005853A9">
        <w:t xml:space="preserve"> and </w:t>
      </w:r>
      <w:r w:rsidR="003A1917">
        <w:t xml:space="preserve">the </w:t>
      </w:r>
      <w:r w:rsidRPr="001A3D2B">
        <w:t>age</w:t>
      </w:r>
      <w:r w:rsidR="00427468">
        <w:t xml:space="preserve"> of </w:t>
      </w:r>
      <w:r w:rsidRPr="001A3D2B">
        <w:t>50 percent</w:t>
      </w:r>
      <w:r w:rsidR="00427468">
        <w:t xml:space="preserve"> of </w:t>
      </w:r>
      <w:r w:rsidR="003A1917">
        <w:t xml:space="preserve">the </w:t>
      </w:r>
      <w:r w:rsidRPr="001A3D2B">
        <w:t>citations was no older than 9 years. Finally,</w:t>
      </w:r>
      <w:r w:rsidR="003A1917">
        <w:t xml:space="preserve"> the </w:t>
      </w:r>
      <w:r w:rsidRPr="001A3D2B">
        <w:t>results can be used as a tool for</w:t>
      </w:r>
      <w:r w:rsidR="003A1917">
        <w:t xml:space="preserve"> the </w:t>
      </w:r>
      <w:r w:rsidRPr="001A3D2B">
        <w:t>collection management</w:t>
      </w:r>
      <w:r w:rsidR="00427468">
        <w:t xml:space="preserve"> of </w:t>
      </w:r>
      <w:r w:rsidR="003A1917">
        <w:t xml:space="preserve">the </w:t>
      </w:r>
      <w:r w:rsidRPr="001A3D2B">
        <w:t>library.</w:t>
      </w:r>
    </w:p>
    <w:p w:rsidR="00C403E1" w:rsidRPr="001A3D2B" w:rsidRDefault="00C403E1" w:rsidP="00C403E1">
      <w:pPr>
        <w:pStyle w:val="a3"/>
        <w:rPr>
          <w:kern w:val="0"/>
        </w:rPr>
      </w:pPr>
      <w:r w:rsidRPr="001A3D2B">
        <w:rPr>
          <w:kern w:val="0"/>
        </w:rPr>
        <w:t>Keywords: Academic, Analysis, Chemistry, Citation, Citation Analysis, Collection, Management, References, Tool</w:t>
      </w:r>
    </w:p>
    <w:p w:rsidR="003474F2" w:rsidRPr="001A3D2B" w:rsidRDefault="003474F2" w:rsidP="003474F2">
      <w:pPr>
        <w:pStyle w:val="a3"/>
      </w:pPr>
      <w:r w:rsidRPr="001A3D2B">
        <w:t>? White, H.D. (2008), Better than brief tests: Coverage power tests</w:t>
      </w:r>
      <w:r w:rsidR="00427468">
        <w:t xml:space="preserve"> of </w:t>
      </w:r>
      <w:r w:rsidRPr="001A3D2B">
        <w:t xml:space="preserve">collection strength. </w:t>
      </w:r>
      <w:r w:rsidRPr="001A3D2B">
        <w:rPr>
          <w:i/>
          <w:iCs/>
        </w:rPr>
        <w:t>College &amp; Research Libraries</w:t>
      </w:r>
      <w:r w:rsidRPr="001A3D2B">
        <w:t xml:space="preserve">, </w:t>
      </w:r>
      <w:r w:rsidRPr="001A3D2B">
        <w:rPr>
          <w:b/>
          <w:bCs/>
        </w:rPr>
        <w:t>69</w:t>
      </w:r>
      <w:r w:rsidRPr="001A3D2B">
        <w:t xml:space="preserve"> (2), 155-174.</w:t>
      </w:r>
    </w:p>
    <w:p w:rsidR="003474F2" w:rsidRPr="001A3D2B" w:rsidRDefault="003474F2" w:rsidP="003474F2">
      <w:pPr>
        <w:pStyle w:val="a3"/>
      </w:pPr>
      <w:r w:rsidRPr="001A3D2B">
        <w:t xml:space="preserve">Full Text: </w:t>
      </w:r>
      <w:hyperlink r:id="rId917" w:history="1">
        <w:r w:rsidRPr="001A3D2B">
          <w:rPr>
            <w:rStyle w:val="a5"/>
          </w:rPr>
          <w:t>2008\Col Res Lib69, 155.pdf</w:t>
        </w:r>
      </w:hyperlink>
    </w:p>
    <w:p w:rsidR="003474F2" w:rsidRPr="001A3D2B" w:rsidRDefault="003474F2" w:rsidP="003474F2">
      <w:pPr>
        <w:pStyle w:val="a3"/>
      </w:pPr>
      <w:r w:rsidRPr="001A3D2B">
        <w:t>Abstract: Improving on ideas developed in Brief Tests</w:t>
      </w:r>
      <w:r w:rsidR="00427468">
        <w:t xml:space="preserve"> of </w:t>
      </w:r>
      <w:r w:rsidRPr="001A3D2B">
        <w:t>Collection Strength, this paper presents coverage power tests, an empirical method for evaluating collections in all types</w:t>
      </w:r>
      <w:r w:rsidR="00427468">
        <w:t xml:space="preserve"> of </w:t>
      </w:r>
      <w:r w:rsidRPr="001A3D2B">
        <w:t>libraries by means</w:t>
      </w:r>
      <w:r w:rsidR="00427468">
        <w:t xml:space="preserve"> of </w:t>
      </w:r>
      <w:r w:rsidRPr="001A3D2B">
        <w:t>ranked holdings counts from OCLC</w:t>
      </w:r>
      <w:r w:rsidR="0071223E">
        <w:t>’</w:t>
      </w:r>
      <w:r w:rsidR="00C13DDC">
        <w:t>s</w:t>
      </w:r>
      <w:r w:rsidRPr="001A3D2B">
        <w:t xml:space="preserve"> WorldCat</w:t>
      </w:r>
      <w:r w:rsidR="00A37C1D">
        <w:t>. The</w:t>
      </w:r>
      <w:r w:rsidR="003A1917">
        <w:t xml:space="preserve"> </w:t>
      </w:r>
      <w:r w:rsidRPr="001A3D2B">
        <w:t>new method measures library coverage</w:t>
      </w:r>
      <w:r w:rsidR="00427468">
        <w:t xml:space="preserve"> of </w:t>
      </w:r>
      <w:r w:rsidRPr="001A3D2B">
        <w:t>subject literatures across levels</w:t>
      </w:r>
      <w:r w:rsidR="00427468">
        <w:t xml:space="preserve"> of </w:t>
      </w:r>
      <w:r w:rsidR="003A1917">
        <w:t xml:space="preserve">the </w:t>
      </w:r>
      <w:r w:rsidRPr="001A3D2B">
        <w:t>WLN or RLG collection intensity scales that are increasingly difficult to attain. It defines literatures</w:t>
      </w:r>
      <w:r w:rsidR="005853A9">
        <w:t xml:space="preserve"> and </w:t>
      </w:r>
      <w:r w:rsidRPr="001A3D2B">
        <w:t>collections unambiguously, permits objective comparisons</w:t>
      </w:r>
      <w:r w:rsidR="00427468">
        <w:t xml:space="preserve"> of </w:t>
      </w:r>
      <w:r w:rsidRPr="001A3D2B">
        <w:t>libraries,</w:t>
      </w:r>
      <w:r w:rsidR="005853A9">
        <w:t xml:space="preserve"> and </w:t>
      </w:r>
      <w:r w:rsidRPr="001A3D2B">
        <w:t>is potentially automatable. Results</w:t>
      </w:r>
      <w:r w:rsidR="00427468">
        <w:t xml:space="preserve"> of </w:t>
      </w:r>
      <w:r w:rsidRPr="001A3D2B">
        <w:t>38 tests in nine subjects at 30 libraries have high face validity in rating collections. Graphical analysis with</w:t>
      </w:r>
      <w:r w:rsidR="003A1917">
        <w:t xml:space="preserve"> the </w:t>
      </w:r>
      <w:r w:rsidRPr="001A3D2B">
        <w:t>new method also clarifies</w:t>
      </w:r>
      <w:r w:rsidR="003A1917">
        <w:t xml:space="preserve"> the </w:t>
      </w:r>
      <w:r w:rsidRPr="001A3D2B">
        <w:t>bibliometric relation between individual collections</w:t>
      </w:r>
      <w:r w:rsidR="005853A9">
        <w:t xml:space="preserve"> and </w:t>
      </w:r>
      <w:r w:rsidRPr="001A3D2B">
        <w:t>subject literatures.</w:t>
      </w:r>
    </w:p>
    <w:p w:rsidR="003474F2" w:rsidRPr="001A3D2B" w:rsidRDefault="003474F2" w:rsidP="003474F2">
      <w:pPr>
        <w:pStyle w:val="a3"/>
      </w:pPr>
      <w:r w:rsidRPr="001A3D2B">
        <w:t>Keywords: Analysis, Bibliometric, Collection, Coverage, Mar, Power, Scales, Strength, Validity</w:t>
      </w:r>
    </w:p>
    <w:p w:rsidR="00EC3B02" w:rsidRDefault="00EC3B02" w:rsidP="00EC3B02">
      <w:pPr>
        <w:pStyle w:val="a3"/>
        <w:rPr>
          <w:kern w:val="0"/>
        </w:rPr>
      </w:pPr>
      <w:r>
        <w:rPr>
          <w:rFonts w:hint="eastAsia"/>
          <w:kern w:val="0"/>
        </w:rPr>
        <w:t xml:space="preserve">? </w:t>
      </w:r>
      <w:r>
        <w:rPr>
          <w:kern w:val="0"/>
        </w:rPr>
        <w:t>Hyde, G. (2009), Documentation: A history</w:t>
      </w:r>
      <w:r w:rsidR="005853A9">
        <w:rPr>
          <w:kern w:val="0"/>
        </w:rPr>
        <w:t xml:space="preserve"> and </w:t>
      </w:r>
      <w:r>
        <w:rPr>
          <w:kern w:val="0"/>
        </w:rPr>
        <w:t>critique</w:t>
      </w:r>
      <w:r w:rsidR="00427468">
        <w:rPr>
          <w:kern w:val="0"/>
        </w:rPr>
        <w:t xml:space="preserve"> of </w:t>
      </w:r>
      <w:r>
        <w:rPr>
          <w:kern w:val="0"/>
        </w:rPr>
        <w:t xml:space="preserve">attribution, commentary, </w:t>
      </w:r>
      <w:r>
        <w:rPr>
          <w:kern w:val="0"/>
        </w:rPr>
        <w:lastRenderedPageBreak/>
        <w:t>glosses, marginalia, notes, bibliographies, works-cited lists,</w:t>
      </w:r>
      <w:r w:rsidR="005853A9">
        <w:rPr>
          <w:kern w:val="0"/>
        </w:rPr>
        <w:t xml:space="preserve"> and </w:t>
      </w:r>
      <w:r>
        <w:rPr>
          <w:kern w:val="0"/>
        </w:rPr>
        <w:t>citation indexing</w:t>
      </w:r>
      <w:r w:rsidR="005853A9">
        <w:rPr>
          <w:kern w:val="0"/>
        </w:rPr>
        <w:t xml:space="preserve"> and </w:t>
      </w:r>
      <w:r>
        <w:rPr>
          <w:kern w:val="0"/>
        </w:rPr>
        <w:t xml:space="preserve">analysis. </w:t>
      </w:r>
      <w:r>
        <w:rPr>
          <w:i/>
          <w:iCs/>
          <w:kern w:val="0"/>
        </w:rPr>
        <w:t>College &amp; Research Libraries</w:t>
      </w:r>
      <w:r>
        <w:rPr>
          <w:kern w:val="0"/>
        </w:rPr>
        <w:t xml:space="preserve">, </w:t>
      </w:r>
      <w:r>
        <w:rPr>
          <w:b/>
          <w:bCs/>
          <w:kern w:val="0"/>
        </w:rPr>
        <w:t>70</w:t>
      </w:r>
      <w:r>
        <w:rPr>
          <w:kern w:val="0"/>
        </w:rPr>
        <w:t xml:space="preserve"> (1), 88-89</w:t>
      </w:r>
    </w:p>
    <w:p w:rsidR="00EC3B02" w:rsidRPr="00C73C58" w:rsidRDefault="00EC3B02" w:rsidP="00EC3B02">
      <w:pPr>
        <w:pStyle w:val="a3"/>
      </w:pPr>
      <w:r w:rsidRPr="00C73C58">
        <w:t xml:space="preserve">Full Text: </w:t>
      </w:r>
      <w:hyperlink r:id="rId918" w:history="1">
        <w:r w:rsidR="00A377B1" w:rsidRPr="00A377B1">
          <w:rPr>
            <w:rStyle w:val="a5"/>
          </w:rPr>
          <w:t>2009\Col Res Lib70, 88.pdf</w:t>
        </w:r>
      </w:hyperlink>
    </w:p>
    <w:p w:rsidR="00EC3B02" w:rsidRDefault="00EC3B02" w:rsidP="00EC3B02">
      <w:pPr>
        <w:pStyle w:val="a3"/>
        <w:rPr>
          <w:kern w:val="0"/>
        </w:rPr>
      </w:pPr>
      <w:r>
        <w:rPr>
          <w:kern w:val="0"/>
        </w:rPr>
        <w:t>Keywords: Attribution</w:t>
      </w:r>
      <w:r>
        <w:rPr>
          <w:rFonts w:hint="eastAsia"/>
          <w:kern w:val="0"/>
        </w:rPr>
        <w:t xml:space="preserve">, </w:t>
      </w:r>
      <w:r>
        <w:rPr>
          <w:kern w:val="0"/>
        </w:rPr>
        <w:t>Citation</w:t>
      </w:r>
      <w:r>
        <w:rPr>
          <w:rFonts w:hint="eastAsia"/>
          <w:kern w:val="0"/>
        </w:rPr>
        <w:t xml:space="preserve">, </w:t>
      </w:r>
      <w:r>
        <w:rPr>
          <w:kern w:val="0"/>
        </w:rPr>
        <w:t>History</w:t>
      </w:r>
    </w:p>
    <w:p w:rsidR="00530DDC" w:rsidRDefault="00530DDC" w:rsidP="00530DDC">
      <w:pPr>
        <w:pStyle w:val="a3"/>
        <w:rPr>
          <w:kern w:val="0"/>
        </w:rPr>
      </w:pPr>
      <w:r>
        <w:rPr>
          <w:rFonts w:hint="eastAsia"/>
          <w:kern w:val="0"/>
        </w:rPr>
        <w:t xml:space="preserve">? </w:t>
      </w:r>
      <w:r>
        <w:rPr>
          <w:kern w:val="0"/>
        </w:rPr>
        <w:t>Hendrix, D. (2010), Relationships between Association</w:t>
      </w:r>
      <w:r w:rsidR="00427468">
        <w:rPr>
          <w:kern w:val="0"/>
        </w:rPr>
        <w:t xml:space="preserve"> of </w:t>
      </w:r>
      <w:r>
        <w:rPr>
          <w:kern w:val="0"/>
        </w:rPr>
        <w:t>Research Libraries (ARL) statistics</w:t>
      </w:r>
      <w:r w:rsidR="005853A9">
        <w:rPr>
          <w:kern w:val="0"/>
        </w:rPr>
        <w:t xml:space="preserve"> and </w:t>
      </w:r>
      <w:r>
        <w:rPr>
          <w:kern w:val="0"/>
        </w:rPr>
        <w:t xml:space="preserve">bibliometric indicators: A principal components analysis. </w:t>
      </w:r>
      <w:r>
        <w:rPr>
          <w:i/>
          <w:iCs/>
          <w:kern w:val="0"/>
        </w:rPr>
        <w:t>College &amp; Research Libraries</w:t>
      </w:r>
      <w:r>
        <w:rPr>
          <w:kern w:val="0"/>
        </w:rPr>
        <w:t xml:space="preserve">, </w:t>
      </w:r>
      <w:r>
        <w:rPr>
          <w:b/>
          <w:bCs/>
          <w:kern w:val="0"/>
        </w:rPr>
        <w:t>71</w:t>
      </w:r>
      <w:r>
        <w:rPr>
          <w:kern w:val="0"/>
        </w:rPr>
        <w:t xml:space="preserve"> (1), 32-41.</w:t>
      </w:r>
    </w:p>
    <w:p w:rsidR="00530DDC" w:rsidRPr="00C73C58" w:rsidRDefault="00530DDC" w:rsidP="00530DDC">
      <w:pPr>
        <w:pStyle w:val="a3"/>
      </w:pPr>
      <w:r w:rsidRPr="00C73C58">
        <w:t xml:space="preserve">Full Text: </w:t>
      </w:r>
      <w:hyperlink r:id="rId919" w:history="1">
        <w:r w:rsidR="00DA69BB" w:rsidRPr="00DA69BB">
          <w:rPr>
            <w:rStyle w:val="a5"/>
          </w:rPr>
          <w:t>2010\Col Res Lib71, 32.pdf</w:t>
        </w:r>
      </w:hyperlink>
    </w:p>
    <w:p w:rsidR="002D7FE7" w:rsidRDefault="002D7FE7" w:rsidP="002D7FE7">
      <w:pPr>
        <w:pStyle w:val="a3"/>
        <w:rPr>
          <w:kern w:val="0"/>
        </w:rPr>
      </w:pPr>
      <w:r>
        <w:rPr>
          <w:kern w:val="0"/>
        </w:rPr>
        <w:t xml:space="preserve">Abstract: This study analyzed 2005-2006 </w:t>
      </w:r>
      <w:r w:rsidR="00D5664A">
        <w:rPr>
          <w:kern w:val="0"/>
        </w:rPr>
        <w:t>Web</w:t>
      </w:r>
      <w:r w:rsidR="00427468">
        <w:rPr>
          <w:kern w:val="0"/>
        </w:rPr>
        <w:t xml:space="preserve"> of </w:t>
      </w:r>
      <w:r w:rsidR="00D5664A">
        <w:rPr>
          <w:kern w:val="0"/>
        </w:rPr>
        <w:t>Science</w:t>
      </w:r>
      <w:r>
        <w:rPr>
          <w:kern w:val="0"/>
        </w:rPr>
        <w:t xml:space="preserve"> bibliometric data from institutions belonging to</w:t>
      </w:r>
      <w:r w:rsidR="003A1917">
        <w:rPr>
          <w:kern w:val="0"/>
        </w:rPr>
        <w:t xml:space="preserve"> the </w:t>
      </w:r>
      <w:r>
        <w:rPr>
          <w:kern w:val="0"/>
        </w:rPr>
        <w:t>Association</w:t>
      </w:r>
      <w:r w:rsidR="00427468">
        <w:rPr>
          <w:kern w:val="0"/>
        </w:rPr>
        <w:t xml:space="preserve"> of </w:t>
      </w:r>
      <w:r>
        <w:rPr>
          <w:kern w:val="0"/>
        </w:rPr>
        <w:t>Research Libraries (ARL)</w:t>
      </w:r>
      <w:r w:rsidR="005853A9">
        <w:rPr>
          <w:kern w:val="0"/>
        </w:rPr>
        <w:t xml:space="preserve"> and </w:t>
      </w:r>
      <w:r>
        <w:rPr>
          <w:kern w:val="0"/>
        </w:rPr>
        <w:t>corresponding ARL statistics to find any associations between indicators from</w:t>
      </w:r>
      <w:r w:rsidR="003A1917">
        <w:rPr>
          <w:kern w:val="0"/>
        </w:rPr>
        <w:t xml:space="preserve"> the </w:t>
      </w:r>
      <w:r>
        <w:rPr>
          <w:kern w:val="0"/>
        </w:rPr>
        <w:t>two data sets. Principal components analysis on 36 variables from 103 universities revealed obvious associations between size-dependent variables, such as institution size, gross totals</w:t>
      </w:r>
      <w:r w:rsidR="00427468">
        <w:rPr>
          <w:kern w:val="0"/>
        </w:rPr>
        <w:t xml:space="preserve"> of </w:t>
      </w:r>
      <w:r>
        <w:rPr>
          <w:kern w:val="0"/>
        </w:rPr>
        <w:t>library measures,</w:t>
      </w:r>
      <w:r w:rsidR="005853A9">
        <w:rPr>
          <w:kern w:val="0"/>
        </w:rPr>
        <w:t xml:space="preserve"> and </w:t>
      </w:r>
      <w:r>
        <w:rPr>
          <w:kern w:val="0"/>
        </w:rPr>
        <w:t>gross totals</w:t>
      </w:r>
      <w:r w:rsidR="00427468">
        <w:rPr>
          <w:kern w:val="0"/>
        </w:rPr>
        <w:t xml:space="preserve"> of </w:t>
      </w:r>
      <w:r>
        <w:rPr>
          <w:kern w:val="0"/>
        </w:rPr>
        <w:t>articles</w:t>
      </w:r>
      <w:r w:rsidR="005853A9">
        <w:rPr>
          <w:kern w:val="0"/>
        </w:rPr>
        <w:t xml:space="preserve"> and </w:t>
      </w:r>
      <w:r>
        <w:rPr>
          <w:kern w:val="0"/>
        </w:rPr>
        <w:t>citations. However, size-independent library measures did not associate positively or negatively with any bibliometric indicator. More quantitative research must be done to authentically assess academic libraries</w:t>
      </w:r>
      <w:r w:rsidR="0071223E">
        <w:rPr>
          <w:kern w:val="0"/>
        </w:rPr>
        <w:t>’</w:t>
      </w:r>
      <w:r>
        <w:rPr>
          <w:kern w:val="0"/>
        </w:rPr>
        <w:t xml:space="preserve"> influence on research outcomes.</w:t>
      </w:r>
    </w:p>
    <w:p w:rsidR="002D7FE7" w:rsidRDefault="002D7FE7" w:rsidP="002D7FE7">
      <w:pPr>
        <w:pStyle w:val="a3"/>
        <w:rPr>
          <w:kern w:val="0"/>
        </w:rPr>
      </w:pPr>
      <w:r>
        <w:rPr>
          <w:kern w:val="0"/>
        </w:rPr>
        <w:t xml:space="preserve">Keywords: Articles, Author Self-Citations, Bibliometric, Citations, Faculty Publishing Productivity, Impact-Factors, Research, Science, Science Policy, Statistics, Universities, </w:t>
      </w:r>
      <w:r w:rsidR="00D5664A">
        <w:rPr>
          <w:kern w:val="0"/>
        </w:rPr>
        <w:t>Web</w:t>
      </w:r>
      <w:r w:rsidR="00427468">
        <w:rPr>
          <w:kern w:val="0"/>
        </w:rPr>
        <w:t xml:space="preserve"> of </w:t>
      </w:r>
      <w:r w:rsidR="00D5664A">
        <w:rPr>
          <w:kern w:val="0"/>
        </w:rPr>
        <w:t>Science</w:t>
      </w:r>
    </w:p>
    <w:p w:rsidR="009D6D81" w:rsidRDefault="009D6D81" w:rsidP="009D6D81">
      <w:pPr>
        <w:pStyle w:val="a3"/>
        <w:rPr>
          <w:kern w:val="0"/>
        </w:rPr>
      </w:pPr>
      <w:r>
        <w:rPr>
          <w:rFonts w:hint="eastAsia"/>
          <w:kern w:val="0"/>
        </w:rPr>
        <w:t xml:space="preserve">? </w:t>
      </w:r>
      <w:r>
        <w:rPr>
          <w:kern w:val="0"/>
        </w:rPr>
        <w:t>Kayongo, J.</w:t>
      </w:r>
      <w:r w:rsidR="005853A9">
        <w:rPr>
          <w:kern w:val="0"/>
        </w:rPr>
        <w:t xml:space="preserve"> and </w:t>
      </w:r>
      <w:r>
        <w:rPr>
          <w:kern w:val="0"/>
        </w:rPr>
        <w:t>Helm, C. (2012), Relevance</w:t>
      </w:r>
      <w:r w:rsidR="00427468">
        <w:rPr>
          <w:kern w:val="0"/>
        </w:rPr>
        <w:t xml:space="preserve"> of </w:t>
      </w:r>
      <w:r>
        <w:rPr>
          <w:kern w:val="0"/>
        </w:rPr>
        <w:t>library collections for graduate student research: A citation analysis study</w:t>
      </w:r>
      <w:r w:rsidR="00427468">
        <w:rPr>
          <w:kern w:val="0"/>
        </w:rPr>
        <w:t xml:space="preserve"> of </w:t>
      </w:r>
      <w:r>
        <w:rPr>
          <w:kern w:val="0"/>
        </w:rPr>
        <w:t xml:space="preserve">doctoral dissertations at Notre Dame. </w:t>
      </w:r>
      <w:r>
        <w:rPr>
          <w:i/>
          <w:iCs/>
          <w:kern w:val="0"/>
        </w:rPr>
        <w:t>College &amp; Research Libraries</w:t>
      </w:r>
      <w:r>
        <w:rPr>
          <w:kern w:val="0"/>
        </w:rPr>
        <w:t xml:space="preserve">, </w:t>
      </w:r>
      <w:r>
        <w:rPr>
          <w:b/>
          <w:bCs/>
          <w:kern w:val="0"/>
        </w:rPr>
        <w:t>73</w:t>
      </w:r>
      <w:r>
        <w:rPr>
          <w:kern w:val="0"/>
        </w:rPr>
        <w:t xml:space="preserve"> (1), 47-67.</w:t>
      </w:r>
    </w:p>
    <w:p w:rsidR="009D6D81" w:rsidRPr="00C73C58" w:rsidRDefault="009D6D81" w:rsidP="009D6D81">
      <w:pPr>
        <w:pStyle w:val="a3"/>
      </w:pPr>
      <w:r w:rsidRPr="00C73C58">
        <w:t xml:space="preserve">Full Text: </w:t>
      </w:r>
      <w:hyperlink r:id="rId920" w:history="1">
        <w:r w:rsidRPr="00AE5B0C">
          <w:rPr>
            <w:rStyle w:val="a5"/>
          </w:rPr>
          <w:t>2012\Col Res Lib73, 47.pdf</w:t>
        </w:r>
      </w:hyperlink>
    </w:p>
    <w:p w:rsidR="009D6D81" w:rsidRDefault="009D6D81" w:rsidP="009D6D81">
      <w:pPr>
        <w:pStyle w:val="a3"/>
        <w:rPr>
          <w:kern w:val="0"/>
        </w:rPr>
      </w:pPr>
      <w:r>
        <w:rPr>
          <w:kern w:val="0"/>
        </w:rPr>
        <w:t>Abstract: This study focused on determining</w:t>
      </w:r>
      <w:r w:rsidR="003A1917">
        <w:rPr>
          <w:kern w:val="0"/>
        </w:rPr>
        <w:t xml:space="preserve"> the </w:t>
      </w:r>
      <w:r>
        <w:rPr>
          <w:kern w:val="0"/>
        </w:rPr>
        <w:t>extent to which collections</w:t>
      </w:r>
      <w:r w:rsidR="00427468">
        <w:rPr>
          <w:kern w:val="0"/>
        </w:rPr>
        <w:t xml:space="preserve"> of </w:t>
      </w:r>
      <w:r w:rsidR="003A1917">
        <w:rPr>
          <w:kern w:val="0"/>
        </w:rPr>
        <w:t xml:space="preserve">the </w:t>
      </w:r>
      <w:r>
        <w:rPr>
          <w:kern w:val="0"/>
        </w:rPr>
        <w:t>Hesburgh Libraries</w:t>
      </w:r>
      <w:r w:rsidR="00427468">
        <w:rPr>
          <w:kern w:val="0"/>
        </w:rPr>
        <w:t xml:space="preserve"> of </w:t>
      </w:r>
      <w:r>
        <w:rPr>
          <w:kern w:val="0"/>
        </w:rPr>
        <w:t>Notre Dame met</w:t>
      </w:r>
      <w:r w:rsidR="003A1917">
        <w:rPr>
          <w:kern w:val="0"/>
        </w:rPr>
        <w:t xml:space="preserve"> the </w:t>
      </w:r>
      <w:r>
        <w:rPr>
          <w:kern w:val="0"/>
        </w:rPr>
        <w:t>needs</w:t>
      </w:r>
      <w:r w:rsidR="00427468">
        <w:rPr>
          <w:kern w:val="0"/>
        </w:rPr>
        <w:t xml:space="preserve"> of </w:t>
      </w:r>
      <w:r>
        <w:rPr>
          <w:kern w:val="0"/>
        </w:rPr>
        <w:t>graduate students. This study data (2005-2007) consisted</w:t>
      </w:r>
      <w:r w:rsidR="00427468">
        <w:rPr>
          <w:kern w:val="0"/>
        </w:rPr>
        <w:t xml:space="preserve"> of </w:t>
      </w:r>
      <w:r>
        <w:rPr>
          <w:kern w:val="0"/>
        </w:rPr>
        <w:t>a citation analysis</w:t>
      </w:r>
      <w:r w:rsidR="00427468">
        <w:rPr>
          <w:kern w:val="0"/>
        </w:rPr>
        <w:t xml:space="preserve"> of </w:t>
      </w:r>
      <w:r>
        <w:rPr>
          <w:kern w:val="0"/>
        </w:rPr>
        <w:t>248 dissertations</w:t>
      </w:r>
      <w:r w:rsidR="005853A9">
        <w:rPr>
          <w:kern w:val="0"/>
        </w:rPr>
        <w:t xml:space="preserve"> and </w:t>
      </w:r>
      <w:r>
        <w:rPr>
          <w:kern w:val="0"/>
        </w:rPr>
        <w:t>focused on</w:t>
      </w:r>
      <w:r w:rsidR="003A1917">
        <w:rPr>
          <w:kern w:val="0"/>
        </w:rPr>
        <w:t xml:space="preserve"> the </w:t>
      </w:r>
      <w:r>
        <w:rPr>
          <w:kern w:val="0"/>
        </w:rPr>
        <w:t>following questions: What were</w:t>
      </w:r>
      <w:r w:rsidR="003A1917">
        <w:rPr>
          <w:kern w:val="0"/>
        </w:rPr>
        <w:t xml:space="preserve"> the </w:t>
      </w:r>
      <w:r>
        <w:rPr>
          <w:kern w:val="0"/>
        </w:rPr>
        <w:t>graduate students citing in their dissertations? Did</w:t>
      </w:r>
      <w:r w:rsidR="003A1917">
        <w:rPr>
          <w:kern w:val="0"/>
        </w:rPr>
        <w:t xml:space="preserve"> the </w:t>
      </w:r>
      <w:r>
        <w:rPr>
          <w:kern w:val="0"/>
        </w:rPr>
        <w:t>library own</w:t>
      </w:r>
      <w:r w:rsidR="003A1917">
        <w:rPr>
          <w:kern w:val="0"/>
        </w:rPr>
        <w:t xml:space="preserve"> the </w:t>
      </w:r>
      <w:r>
        <w:rPr>
          <w:kern w:val="0"/>
        </w:rPr>
        <w:t>cited items? How did</w:t>
      </w:r>
      <w:r w:rsidR="003A1917">
        <w:rPr>
          <w:kern w:val="0"/>
        </w:rPr>
        <w:t xml:space="preserve"> the </w:t>
      </w:r>
      <w:r>
        <w:rPr>
          <w:kern w:val="0"/>
        </w:rPr>
        <w:t>disciplines compare in their citation patterns?</w:t>
      </w:r>
      <w:r w:rsidR="003A1917">
        <w:rPr>
          <w:kern w:val="0"/>
        </w:rPr>
        <w:t xml:space="preserve"> the </w:t>
      </w:r>
      <w:r>
        <w:rPr>
          <w:kern w:val="0"/>
        </w:rPr>
        <w:t>data showed that over 90 percent</w:t>
      </w:r>
      <w:r w:rsidR="00427468">
        <w:rPr>
          <w:kern w:val="0"/>
        </w:rPr>
        <w:t xml:space="preserve"> of </w:t>
      </w:r>
      <w:r w:rsidR="003A1917">
        <w:rPr>
          <w:kern w:val="0"/>
        </w:rPr>
        <w:t xml:space="preserve">the </w:t>
      </w:r>
      <w:r>
        <w:rPr>
          <w:kern w:val="0"/>
        </w:rPr>
        <w:t>39,106 citations were to books</w:t>
      </w:r>
      <w:r w:rsidR="005853A9">
        <w:rPr>
          <w:kern w:val="0"/>
        </w:rPr>
        <w:t xml:space="preserve"> and </w:t>
      </w:r>
      <w:r>
        <w:rPr>
          <w:kern w:val="0"/>
        </w:rPr>
        <w:t>journals</w:t>
      </w:r>
      <w:r w:rsidR="00A37C1D">
        <w:rPr>
          <w:kern w:val="0"/>
        </w:rPr>
        <w:t>. The</w:t>
      </w:r>
      <w:r w:rsidR="003A1917">
        <w:rPr>
          <w:kern w:val="0"/>
        </w:rPr>
        <w:t xml:space="preserve"> </w:t>
      </w:r>
      <w:r>
        <w:rPr>
          <w:kern w:val="0"/>
        </w:rPr>
        <w:t>libraries owned 67 percent</w:t>
      </w:r>
      <w:r w:rsidR="00427468">
        <w:rPr>
          <w:kern w:val="0"/>
        </w:rPr>
        <w:t xml:space="preserve"> of </w:t>
      </w:r>
      <w:r w:rsidR="003A1917">
        <w:rPr>
          <w:kern w:val="0"/>
        </w:rPr>
        <w:t xml:space="preserve">the </w:t>
      </w:r>
      <w:r>
        <w:rPr>
          <w:kern w:val="0"/>
        </w:rPr>
        <w:t>items graduate students cited in their dissertations</w:t>
      </w:r>
      <w:r w:rsidR="00A37C1D">
        <w:rPr>
          <w:kern w:val="0"/>
        </w:rPr>
        <w:t>. The</w:t>
      </w:r>
      <w:r w:rsidR="003A1917">
        <w:rPr>
          <w:kern w:val="0"/>
        </w:rPr>
        <w:t xml:space="preserve"> </w:t>
      </w:r>
      <w:r>
        <w:rPr>
          <w:kern w:val="0"/>
        </w:rPr>
        <w:t>libraries owned 83 percent</w:t>
      </w:r>
      <w:r w:rsidR="00427468">
        <w:rPr>
          <w:kern w:val="0"/>
        </w:rPr>
        <w:t xml:space="preserve"> of </w:t>
      </w:r>
      <w:r w:rsidR="003A1917">
        <w:rPr>
          <w:kern w:val="0"/>
        </w:rPr>
        <w:t xml:space="preserve">the </w:t>
      </w:r>
      <w:r>
        <w:rPr>
          <w:kern w:val="0"/>
        </w:rPr>
        <w:t>Arts &amp; Humanities, 90 percent</w:t>
      </w:r>
      <w:r w:rsidR="00427468">
        <w:rPr>
          <w:kern w:val="0"/>
        </w:rPr>
        <w:t xml:space="preserve"> of </w:t>
      </w:r>
      <w:r w:rsidR="003A1917">
        <w:rPr>
          <w:kern w:val="0"/>
        </w:rPr>
        <w:t xml:space="preserve">the </w:t>
      </w:r>
      <w:r>
        <w:rPr>
          <w:kern w:val="0"/>
        </w:rPr>
        <w:t>Engineering, 92 percent</w:t>
      </w:r>
      <w:r w:rsidR="00427468">
        <w:rPr>
          <w:kern w:val="0"/>
        </w:rPr>
        <w:t xml:space="preserve"> of </w:t>
      </w:r>
      <w:r w:rsidR="003A1917">
        <w:rPr>
          <w:kern w:val="0"/>
        </w:rPr>
        <w:t xml:space="preserve">the </w:t>
      </w:r>
      <w:r>
        <w:rPr>
          <w:kern w:val="0"/>
        </w:rPr>
        <w:t>Science,</w:t>
      </w:r>
      <w:r w:rsidR="005853A9">
        <w:rPr>
          <w:kern w:val="0"/>
        </w:rPr>
        <w:t xml:space="preserve"> and </w:t>
      </w:r>
      <w:r>
        <w:rPr>
          <w:kern w:val="0"/>
        </w:rPr>
        <w:t>75 percent</w:t>
      </w:r>
      <w:r w:rsidR="00427468">
        <w:rPr>
          <w:kern w:val="0"/>
        </w:rPr>
        <w:t xml:space="preserve"> of </w:t>
      </w:r>
      <w:r w:rsidR="003A1917">
        <w:rPr>
          <w:kern w:val="0"/>
        </w:rPr>
        <w:t xml:space="preserve">the </w:t>
      </w:r>
      <w:r>
        <w:rPr>
          <w:kern w:val="0"/>
        </w:rPr>
        <w:t>Social Sciences sources in</w:t>
      </w:r>
      <w:r w:rsidR="003A1917">
        <w:rPr>
          <w:kern w:val="0"/>
        </w:rPr>
        <w:t xml:space="preserve"> the </w:t>
      </w:r>
      <w:r>
        <w:rPr>
          <w:kern w:val="0"/>
        </w:rPr>
        <w:t>top 1,000 most cited titles, indicating a need for funding for further development</w:t>
      </w:r>
      <w:r w:rsidR="00427468">
        <w:rPr>
          <w:kern w:val="0"/>
        </w:rPr>
        <w:t xml:space="preserve"> of </w:t>
      </w:r>
      <w:r>
        <w:rPr>
          <w:kern w:val="0"/>
        </w:rPr>
        <w:t>Social Sciences collections in</w:t>
      </w:r>
      <w:r w:rsidR="003A1917">
        <w:rPr>
          <w:kern w:val="0"/>
        </w:rPr>
        <w:t xml:space="preserve"> the </w:t>
      </w:r>
      <w:r>
        <w:rPr>
          <w:kern w:val="0"/>
        </w:rPr>
        <w:t>Hesburgh Libraries.</w:t>
      </w:r>
    </w:p>
    <w:p w:rsidR="009D6D81" w:rsidRDefault="009D6D81" w:rsidP="009D6D81">
      <w:pPr>
        <w:pStyle w:val="a3"/>
        <w:rPr>
          <w:kern w:val="0"/>
        </w:rPr>
      </w:pPr>
      <w:r>
        <w:rPr>
          <w:kern w:val="0"/>
        </w:rPr>
        <w:t>Keywords: Analysis, Arts, Citation, Citation Analysis, Citations, Development, Dissertations, Education, Faculty, Funding, Graduate, Graduate Students, Humanities, Information Use, Journals, Libraries, Management, Patterns, References, Research, Science, Sciences, Social Sciences, Students, Theses</w:t>
      </w:r>
    </w:p>
    <w:p w:rsidR="00905BDE" w:rsidRDefault="00905BDE" w:rsidP="00905BDE">
      <w:pPr>
        <w:pStyle w:val="a3"/>
        <w:rPr>
          <w:kern w:val="0"/>
        </w:rPr>
      </w:pPr>
      <w:r>
        <w:rPr>
          <w:rFonts w:hint="eastAsia"/>
          <w:kern w:val="0"/>
        </w:rPr>
        <w:lastRenderedPageBreak/>
        <w:t xml:space="preserve">? </w:t>
      </w:r>
      <w:r>
        <w:rPr>
          <w:kern w:val="0"/>
        </w:rPr>
        <w:t>Duy, J. and Lariviere, V. (2014), Relationships between</w:t>
      </w:r>
      <w:r w:rsidR="0056127E">
        <w:rPr>
          <w:kern w:val="0"/>
        </w:rPr>
        <w:t xml:space="preserve"> interlibrary loan and research activi</w:t>
      </w:r>
      <w:r>
        <w:rPr>
          <w:kern w:val="0"/>
        </w:rPr>
        <w:t xml:space="preserve">ty in Canada. </w:t>
      </w:r>
      <w:r>
        <w:rPr>
          <w:i/>
          <w:iCs/>
          <w:kern w:val="0"/>
        </w:rPr>
        <w:t>College &amp; Research Libraries</w:t>
      </w:r>
      <w:r>
        <w:rPr>
          <w:kern w:val="0"/>
        </w:rPr>
        <w:t xml:space="preserve">, </w:t>
      </w:r>
      <w:r>
        <w:rPr>
          <w:b/>
          <w:bCs/>
          <w:kern w:val="0"/>
        </w:rPr>
        <w:t>75</w:t>
      </w:r>
      <w:r>
        <w:rPr>
          <w:kern w:val="0"/>
        </w:rPr>
        <w:t xml:space="preserve"> (1), 5-19.</w:t>
      </w:r>
    </w:p>
    <w:p w:rsidR="00905BDE" w:rsidRPr="00C73C58" w:rsidRDefault="00905BDE" w:rsidP="00905BDE">
      <w:pPr>
        <w:pStyle w:val="a3"/>
      </w:pPr>
      <w:r w:rsidRPr="00C73C58">
        <w:t xml:space="preserve">Full Text: </w:t>
      </w:r>
      <w:hyperlink r:id="rId921" w:history="1">
        <w:r w:rsidRPr="005F108C">
          <w:rPr>
            <w:rStyle w:val="a5"/>
          </w:rPr>
          <w:t>2014\Col Res Lib75, 5.pdf</w:t>
        </w:r>
      </w:hyperlink>
    </w:p>
    <w:p w:rsidR="00905BDE" w:rsidRDefault="00905BDE" w:rsidP="00905BDE">
      <w:pPr>
        <w:pStyle w:val="a3"/>
        <w:rPr>
          <w:kern w:val="0"/>
        </w:rPr>
      </w:pPr>
      <w:r>
        <w:rPr>
          <w:kern w:val="0"/>
        </w:rPr>
        <w:t>Abstract: Interlibrary Loan borrowing rates in academic libraries are influenced by an array of factors. This article explores the relationship between interlibrary loan borrowing activity and research activity at 42 Canadian academic institutions. A significant positive correlation was found between interlibrary loan borrowing activity and measures of research activity</w:t>
      </w:r>
      <w:r w:rsidR="00A37C1D">
        <w:rPr>
          <w:kern w:val="0"/>
        </w:rPr>
        <w:t>. The</w:t>
      </w:r>
      <w:r>
        <w:rPr>
          <w:kern w:val="0"/>
        </w:rPr>
        <w:t xml:space="preserve"> degree of correlation observed depended on the category of institution, with undergraduate and comprehensive universities showing the largest correlations. This is the first study to quantify the relationship between interlibrary loan and research activity, and the findings suggest that interlibrary loan plays a role in supporting academic research at Canadian universities.</w:t>
      </w:r>
    </w:p>
    <w:p w:rsidR="00905BDE" w:rsidRDefault="00905BDE" w:rsidP="00905BDE">
      <w:pPr>
        <w:pStyle w:val="a3"/>
        <w:rPr>
          <w:kern w:val="0"/>
        </w:rPr>
      </w:pPr>
      <w:r>
        <w:rPr>
          <w:kern w:val="0"/>
        </w:rPr>
        <w:t>Keywords: Academic Libraries, Activity, Article, Bibliometric Indicators, Canada, Correlation, Correlations, Document Delivery, Electronic Journals, First, Humanities, Impact, Institutions, Libraries, Measures, Rates, Research, Role, Social-Sciences, Undergraduate, Universities, University</w:t>
      </w:r>
    </w:p>
    <w:p w:rsidR="00B7451F" w:rsidRDefault="00B7451F" w:rsidP="00B7451F">
      <w:pPr>
        <w:pStyle w:val="a3"/>
        <w:rPr>
          <w:kern w:val="0"/>
        </w:rPr>
      </w:pPr>
      <w:r>
        <w:rPr>
          <w:rFonts w:hint="eastAsia"/>
          <w:kern w:val="0"/>
        </w:rPr>
        <w:t xml:space="preserve">? </w:t>
      </w:r>
      <w:r>
        <w:rPr>
          <w:kern w:val="0"/>
        </w:rPr>
        <w:t xml:space="preserve">Page, J.R., Moberly, H.K., Youngen, G.K. and Hamel, B.J. (2014), Exploring the veterinary literature: A bibliometric methodology for identifying interdisciplinary and collaborative publications. </w:t>
      </w:r>
      <w:r>
        <w:rPr>
          <w:i/>
          <w:iCs/>
          <w:kern w:val="0"/>
        </w:rPr>
        <w:t>College &amp; Research Libraries</w:t>
      </w:r>
      <w:r>
        <w:rPr>
          <w:kern w:val="0"/>
        </w:rPr>
        <w:t xml:space="preserve">, </w:t>
      </w:r>
      <w:r>
        <w:rPr>
          <w:b/>
          <w:bCs/>
          <w:kern w:val="0"/>
        </w:rPr>
        <w:t>75</w:t>
      </w:r>
      <w:r>
        <w:rPr>
          <w:kern w:val="0"/>
        </w:rPr>
        <w:t xml:space="preserve"> (5), 664-683.</w:t>
      </w:r>
    </w:p>
    <w:p w:rsidR="00B7451F" w:rsidRPr="00C73C58" w:rsidRDefault="00B7451F" w:rsidP="00B7451F">
      <w:pPr>
        <w:pStyle w:val="a3"/>
      </w:pPr>
      <w:r w:rsidRPr="00C73C58">
        <w:t xml:space="preserve">Full Text: </w:t>
      </w:r>
      <w:r w:rsidRPr="009C14F2">
        <w:t xml:space="preserve">2014\Col Res Lib75, </w:t>
      </w:r>
      <w:r>
        <w:rPr>
          <w:kern w:val="0"/>
        </w:rPr>
        <w:t>664</w:t>
      </w:r>
      <w:r w:rsidRPr="009C14F2">
        <w:t>.pdf</w:t>
      </w:r>
    </w:p>
    <w:p w:rsidR="00B7451F" w:rsidRDefault="00B7451F" w:rsidP="00B7451F">
      <w:pPr>
        <w:pStyle w:val="a3"/>
        <w:rPr>
          <w:kern w:val="0"/>
        </w:rPr>
      </w:pPr>
      <w:r>
        <w:rPr>
          <w:kern w:val="0"/>
        </w:rPr>
        <w:t>Abstract: Veterinary medical research traditionally focuses on animal health and wellness; however, research activities at veterinary colleges extend beyond these traditional areas. In this study, we analyzed eleven years of Web of Knowledge-indexed peer-reviewed articles from researchers at the twenty-eight United States American Veterinary Medical Association (AVMA) accredited veterinary colleges. We had three goals in assessing the published literature of veterinary college researchers. First, we identified a list of journals and research areas outside veterinary medicine in which veterinary researchers publish. This list of journals can be customized to identify those most essential at each institution. Second, we identified collaborative work by veterinary researchers across disciplines and institutions. Using textual analysis tools and visualizations helped us illustrate and clarify these data. Last, we developed a methodology for defining an interdisciplinary serials list outside a subject core that can be customized for specific institutions and subject areas.</w:t>
      </w:r>
    </w:p>
    <w:p w:rsidR="00B7451F" w:rsidRDefault="00B7451F" w:rsidP="00B7451F">
      <w:pPr>
        <w:pStyle w:val="a3"/>
        <w:rPr>
          <w:kern w:val="0"/>
        </w:rPr>
      </w:pPr>
      <w:r>
        <w:rPr>
          <w:kern w:val="0"/>
        </w:rPr>
        <w:t xml:space="preserve">Keywords: Analysis, Articles, Assessing, Association, Bibliometric, College, Data, Disciplines, From, Health, Institutions, Interdisciplinary, Journals, Literature, Medical, Medical Research, Medicine, Methodology, Peer-Reviewed, Publications, Research, Research Areas, Researchers, Serials, United States, Veterinary, Web, </w:t>
      </w:r>
      <w:r>
        <w:rPr>
          <w:kern w:val="0"/>
        </w:rPr>
        <w:lastRenderedPageBreak/>
        <w:t>Wellness, Work</w:t>
      </w:r>
    </w:p>
    <w:p w:rsidR="00D8726F" w:rsidRPr="001A3D2B" w:rsidRDefault="00D8726F" w:rsidP="00D8726F">
      <w:pPr>
        <w:pStyle w:val="1"/>
      </w:pPr>
      <w:r w:rsidRPr="001A3D2B">
        <w:br w:type="page"/>
      </w:r>
      <w:bookmarkStart w:id="337" w:name="_Toc384889645"/>
      <w:bookmarkStart w:id="338" w:name="_Toc420815067"/>
      <w:r w:rsidRPr="001A3D2B">
        <w:lastRenderedPageBreak/>
        <w:t xml:space="preserve">Title: </w:t>
      </w:r>
      <w:bookmarkEnd w:id="337"/>
      <w:r w:rsidRPr="007F0957">
        <w:t>Collegian</w:t>
      </w:r>
      <w:bookmarkEnd w:id="338"/>
    </w:p>
    <w:p w:rsidR="00D8726F" w:rsidRPr="001A3D2B" w:rsidRDefault="00D8726F" w:rsidP="00D8726F">
      <w:pPr>
        <w:pStyle w:val="12"/>
      </w:pPr>
      <w:r w:rsidRPr="001A3D2B">
        <w:t xml:space="preserve">Full Journal Title: </w:t>
      </w:r>
      <w:r w:rsidRPr="007F0957">
        <w:rPr>
          <w:iCs/>
          <w:kern w:val="0"/>
        </w:rPr>
        <w:t>Collegian</w:t>
      </w:r>
    </w:p>
    <w:p w:rsidR="00D8726F" w:rsidRPr="001A3D2B" w:rsidRDefault="00D8726F" w:rsidP="00D8726F">
      <w:pPr>
        <w:pStyle w:val="12"/>
      </w:pPr>
      <w:r w:rsidRPr="001A3D2B">
        <w:t xml:space="preserve">ISO Abbreviated Title: </w:t>
      </w:r>
      <w:r w:rsidRPr="007F0957">
        <w:rPr>
          <w:iCs/>
          <w:kern w:val="0"/>
        </w:rPr>
        <w:t>Collegian</w:t>
      </w:r>
    </w:p>
    <w:p w:rsidR="00D8726F" w:rsidRPr="001A3D2B" w:rsidRDefault="00D8726F" w:rsidP="00D8726F">
      <w:pPr>
        <w:pStyle w:val="12"/>
      </w:pPr>
      <w:r w:rsidRPr="001A3D2B">
        <w:t xml:space="preserve">JCR Abbreviated Title: </w:t>
      </w:r>
      <w:r w:rsidRPr="007F0957">
        <w:rPr>
          <w:iCs/>
          <w:kern w:val="0"/>
        </w:rPr>
        <w:t>Collegian</w:t>
      </w:r>
    </w:p>
    <w:p w:rsidR="00D8726F" w:rsidRPr="001A3D2B" w:rsidRDefault="00D8726F" w:rsidP="00D8726F">
      <w:pPr>
        <w:pStyle w:val="12"/>
      </w:pPr>
      <w:r w:rsidRPr="001A3D2B">
        <w:t xml:space="preserve">ISSN: </w:t>
      </w:r>
    </w:p>
    <w:p w:rsidR="00D8726F" w:rsidRPr="001A3D2B" w:rsidRDefault="00D8726F" w:rsidP="00D8726F">
      <w:pPr>
        <w:pStyle w:val="12"/>
      </w:pPr>
      <w:r w:rsidRPr="001A3D2B">
        <w:t xml:space="preserve">Issues/Year: </w:t>
      </w:r>
    </w:p>
    <w:p w:rsidR="00D8726F" w:rsidRPr="001A3D2B" w:rsidRDefault="00D8726F" w:rsidP="00D8726F">
      <w:pPr>
        <w:pStyle w:val="12"/>
      </w:pPr>
      <w:r w:rsidRPr="001A3D2B">
        <w:t xml:space="preserve">Journal Country/Territory: </w:t>
      </w:r>
    </w:p>
    <w:p w:rsidR="00D8726F" w:rsidRPr="001A3D2B" w:rsidRDefault="00D8726F" w:rsidP="00D8726F">
      <w:pPr>
        <w:pStyle w:val="12"/>
      </w:pPr>
      <w:r w:rsidRPr="001A3D2B">
        <w:t xml:space="preserve">Language: </w:t>
      </w:r>
    </w:p>
    <w:p w:rsidR="00D8726F" w:rsidRPr="001A3D2B" w:rsidRDefault="00D8726F" w:rsidP="00D8726F">
      <w:pPr>
        <w:pStyle w:val="12"/>
      </w:pPr>
      <w:r w:rsidRPr="001A3D2B">
        <w:t xml:space="preserve">Publisher: </w:t>
      </w:r>
    </w:p>
    <w:p w:rsidR="00D8726F" w:rsidRPr="001A3D2B" w:rsidRDefault="00D8726F" w:rsidP="00D8726F">
      <w:pPr>
        <w:pStyle w:val="12"/>
      </w:pPr>
      <w:r w:rsidRPr="001A3D2B">
        <w:t xml:space="preserve">Publisher Address: </w:t>
      </w:r>
    </w:p>
    <w:p w:rsidR="00D8726F" w:rsidRPr="001A3D2B" w:rsidRDefault="00D8726F" w:rsidP="00D8726F">
      <w:pPr>
        <w:pStyle w:val="12"/>
      </w:pPr>
      <w:r w:rsidRPr="001A3D2B">
        <w:t>Subject Categories</w:t>
      </w:r>
    </w:p>
    <w:p w:rsidR="00D8726F" w:rsidRPr="001A3D2B" w:rsidRDefault="00D8726F" w:rsidP="00D8726F">
      <w:pPr>
        <w:pStyle w:val="12"/>
      </w:pPr>
      <w:r w:rsidRPr="001A3D2B">
        <w:t xml:space="preserve">: Impact Factor </w:t>
      </w:r>
    </w:p>
    <w:p w:rsidR="00D8726F" w:rsidRDefault="00D8726F" w:rsidP="00D8726F">
      <w:pPr>
        <w:pStyle w:val="a3"/>
        <w:rPr>
          <w:kern w:val="0"/>
        </w:rPr>
      </w:pPr>
      <w:r>
        <w:rPr>
          <w:rFonts w:hint="eastAsia"/>
          <w:kern w:val="0"/>
        </w:rPr>
        <w:t xml:space="preserve">? </w:t>
      </w:r>
      <w:r>
        <w:rPr>
          <w:kern w:val="0"/>
        </w:rPr>
        <w:t>Andrews, K.L., Jones, S.C. and Mullan, J. (2014), Asthma self management in adults: A review</w:t>
      </w:r>
      <w:r w:rsidR="00427468">
        <w:rPr>
          <w:kern w:val="0"/>
        </w:rPr>
        <w:t xml:space="preserve"> of </w:t>
      </w:r>
      <w:r>
        <w:rPr>
          <w:kern w:val="0"/>
        </w:rPr>
        <w:t xml:space="preserve">current literature. </w:t>
      </w:r>
      <w:r w:rsidRPr="007F0957">
        <w:rPr>
          <w:i/>
          <w:iCs/>
          <w:kern w:val="0"/>
        </w:rPr>
        <w:t>Collegian</w:t>
      </w:r>
      <w:r>
        <w:rPr>
          <w:kern w:val="0"/>
        </w:rPr>
        <w:t xml:space="preserve">, </w:t>
      </w:r>
      <w:r>
        <w:rPr>
          <w:b/>
          <w:bCs/>
          <w:kern w:val="0"/>
        </w:rPr>
        <w:t>21</w:t>
      </w:r>
      <w:r>
        <w:rPr>
          <w:kern w:val="0"/>
        </w:rPr>
        <w:t xml:space="preserve"> (1), 33-41.</w:t>
      </w:r>
    </w:p>
    <w:p w:rsidR="00D8726F" w:rsidRDefault="00D8726F" w:rsidP="00D8726F">
      <w:pPr>
        <w:pStyle w:val="a3"/>
        <w:rPr>
          <w:kern w:val="0"/>
        </w:rPr>
      </w:pPr>
      <w:r>
        <w:rPr>
          <w:rFonts w:hint="eastAsia"/>
          <w:kern w:val="0"/>
        </w:rPr>
        <w:t xml:space="preserve">Full Text: </w:t>
      </w:r>
      <w:hyperlink r:id="rId922" w:history="1">
        <w:r w:rsidRPr="007F0957">
          <w:rPr>
            <w:rStyle w:val="a5"/>
            <w:kern w:val="0"/>
          </w:rPr>
          <w:t>2014\Collegian21, 33.pdf</w:t>
        </w:r>
      </w:hyperlink>
    </w:p>
    <w:p w:rsidR="00D8726F" w:rsidRDefault="00D8726F" w:rsidP="00D8726F">
      <w:pPr>
        <w:pStyle w:val="a3"/>
        <w:rPr>
          <w:kern w:val="0"/>
        </w:rPr>
      </w:pPr>
      <w:r>
        <w:rPr>
          <w:kern w:val="0"/>
        </w:rPr>
        <w:t>Abstract: Self management programs for chronic conditions, such as asthma, have an important place in healthcare delivery. When properly implemented, they can curb the impact</w:t>
      </w:r>
      <w:r w:rsidR="00427468">
        <w:rPr>
          <w:kern w:val="0"/>
        </w:rPr>
        <w:t xml:space="preserve"> of </w:t>
      </w:r>
      <w:r>
        <w:rPr>
          <w:kern w:val="0"/>
        </w:rPr>
        <w:t>disease and reduce both the high personal costs for individuals and significant financial costs for health care systems</w:t>
      </w:r>
      <w:r w:rsidR="00A37C1D">
        <w:rPr>
          <w:kern w:val="0"/>
        </w:rPr>
        <w:t>. The</w:t>
      </w:r>
      <w:r>
        <w:rPr>
          <w:kern w:val="0"/>
        </w:rPr>
        <w:t xml:space="preserve"> purpose</w:t>
      </w:r>
      <w:r w:rsidR="00427468">
        <w:rPr>
          <w:kern w:val="0"/>
        </w:rPr>
        <w:t xml:space="preserve"> of </w:t>
      </w:r>
      <w:r>
        <w:rPr>
          <w:kern w:val="0"/>
        </w:rPr>
        <w:t>this review was to establish an understanding</w:t>
      </w:r>
      <w:r w:rsidR="00427468">
        <w:rPr>
          <w:kern w:val="0"/>
        </w:rPr>
        <w:t xml:space="preserve"> of </w:t>
      </w:r>
      <w:r>
        <w:rPr>
          <w:kern w:val="0"/>
        </w:rPr>
        <w:t>current published literature on asthma self management programs in adults and to identify any reported attributes or components which serve to either assist or obstruct the uptake</w:t>
      </w:r>
      <w:r w:rsidR="00427468">
        <w:rPr>
          <w:kern w:val="0"/>
        </w:rPr>
        <w:t xml:space="preserve"> of </w:t>
      </w:r>
      <w:r>
        <w:rPr>
          <w:kern w:val="0"/>
        </w:rPr>
        <w:t>self management strategies. Electronic data sources including Scopus, Proquest 5000, CINAHL, PubMed and Web</w:t>
      </w:r>
      <w:r w:rsidR="00427468">
        <w:rPr>
          <w:kern w:val="0"/>
        </w:rPr>
        <w:t xml:space="preserve"> of </w:t>
      </w:r>
      <w:r>
        <w:rPr>
          <w:kern w:val="0"/>
        </w:rPr>
        <w:t>Science were accessed and literature searches were conducted using the key terms: asthma, chronic disease, self management, morbidity, quality</w:t>
      </w:r>
      <w:r w:rsidR="00427468">
        <w:rPr>
          <w:kern w:val="0"/>
        </w:rPr>
        <w:t xml:space="preserve"> of </w:t>
      </w:r>
      <w:r>
        <w:rPr>
          <w:kern w:val="0"/>
        </w:rPr>
        <w:t>life, health outcomes, patient education and best practice. Inclusion criteria for the search included journal articles relating to adults with asthma published in English in peer reviewed journals from 1995 to 2011. Exclusion criteria included research targeting children, parents</w:t>
      </w:r>
      <w:r w:rsidR="00427468">
        <w:rPr>
          <w:kern w:val="0"/>
        </w:rPr>
        <w:t xml:space="preserve"> of </w:t>
      </w:r>
      <w:r>
        <w:rPr>
          <w:kern w:val="0"/>
        </w:rPr>
        <w:t>children or families; and articles examining Asthma and COPD (or any other co-morbidity). Sixty four articles were included in this review due to their relevance to the major components</w:t>
      </w:r>
      <w:r w:rsidR="00427468">
        <w:rPr>
          <w:kern w:val="0"/>
        </w:rPr>
        <w:t xml:space="preserve"> of </w:t>
      </w:r>
      <w:r>
        <w:rPr>
          <w:kern w:val="0"/>
        </w:rPr>
        <w:t>asthma self management, as defined by the Australian Asthma Management Handbook. A major conclusion from this review was that the uptake</w:t>
      </w:r>
      <w:r w:rsidR="00427468">
        <w:rPr>
          <w:kern w:val="0"/>
        </w:rPr>
        <w:t xml:space="preserve"> of </w:t>
      </w:r>
      <w:r>
        <w:rPr>
          <w:kern w:val="0"/>
        </w:rPr>
        <w:t>asthma self management strategies is poor despite global recommendations for over twenty years; and that a likely reason for this is that generic asthma self management advice does not engage the individual with asthma. (C) 2013 Australian College</w:t>
      </w:r>
      <w:r w:rsidR="00427468">
        <w:rPr>
          <w:kern w:val="0"/>
        </w:rPr>
        <w:t xml:space="preserve"> of </w:t>
      </w:r>
      <w:r>
        <w:rPr>
          <w:kern w:val="0"/>
        </w:rPr>
        <w:t>Nursing Ltd. Published by Elsevier Ltd.</w:t>
      </w:r>
    </w:p>
    <w:p w:rsidR="00D8726F" w:rsidRDefault="00D8726F" w:rsidP="00D8726F">
      <w:pPr>
        <w:pStyle w:val="a3"/>
        <w:rPr>
          <w:kern w:val="0"/>
        </w:rPr>
      </w:pPr>
      <w:r>
        <w:rPr>
          <w:kern w:val="0"/>
        </w:rPr>
        <w:t xml:space="preserve">Keywords: Action Plans, Asthma, Asthma Action Plan, Australian, Care, Children, </w:t>
      </w:r>
      <w:r>
        <w:rPr>
          <w:kern w:val="0"/>
        </w:rPr>
        <w:lastRenderedPageBreak/>
        <w:t>Chronic, Chronic Disease, Chronic Illness, Comorbidity, Copd, Costs, Criteria, Data, Delivery, Disease, Education, English, Families, General-Practice, Global, Health, Health Care, Health Outcomes, Health-Promotion, Impact, Journal, Journal Articles, Journals, Life, Literature, Literature Review, Management, Medication Adherence, Morbidity, Nursing, Outcomes, Parents, Patient Education, Peak-Expiratory-Flow, Peer Reviewed Journals, Peer-Reviewed, Population Survey, Practice, Primary-Care, Pubmed, Purpose, Quality, Quality Of, Quality</w:t>
      </w:r>
      <w:r w:rsidR="00427468">
        <w:rPr>
          <w:kern w:val="0"/>
        </w:rPr>
        <w:t xml:space="preserve"> of </w:t>
      </w:r>
      <w:r>
        <w:rPr>
          <w:kern w:val="0"/>
        </w:rPr>
        <w:t>Life, Quality-Of-Life, Randomized-Trial, Recommendations, Relevance, Research, Review, Science, Scopus, Self, Self Management, Self-Management, Sources, Systems, Targeting, Understanding, Uptake, Web</w:t>
      </w:r>
      <w:r w:rsidR="00427468">
        <w:rPr>
          <w:kern w:val="0"/>
        </w:rPr>
        <w:t xml:space="preserve"> of </w:t>
      </w:r>
      <w:r>
        <w:rPr>
          <w:kern w:val="0"/>
        </w:rPr>
        <w:t>Science</w:t>
      </w:r>
    </w:p>
    <w:p w:rsidR="003474F2" w:rsidRPr="001A3D2B" w:rsidRDefault="003474F2" w:rsidP="003474F2">
      <w:pPr>
        <w:pStyle w:val="1"/>
      </w:pPr>
      <w:r w:rsidRPr="001A3D2B">
        <w:br w:type="page"/>
      </w:r>
      <w:bookmarkStart w:id="339" w:name="_Toc420815068"/>
      <w:r w:rsidRPr="001A3D2B">
        <w:lastRenderedPageBreak/>
        <w:t>Title: Collegium Antropologicum</w:t>
      </w:r>
      <w:bookmarkEnd w:id="339"/>
    </w:p>
    <w:p w:rsidR="003F1552" w:rsidRPr="00C73C58" w:rsidRDefault="003F1552" w:rsidP="003F1552">
      <w:pPr>
        <w:pStyle w:val="12"/>
      </w:pPr>
      <w:r w:rsidRPr="00C73C58">
        <w:t xml:space="preserve">Full Journal Title: </w:t>
      </w:r>
      <w:r w:rsidR="00DF61FE">
        <w:fldChar w:fldCharType="begin"/>
      </w:r>
      <w:r w:rsidR="00FD158B">
        <w:instrText>HYPERLINK "http://www.col</w:instrText>
      </w:r>
      <w:bookmarkStart w:id="340" w:name="_Toc43634560"/>
      <w:bookmarkStart w:id="341" w:name="_Toc81215679"/>
      <w:r w:rsidR="00FD158B">
        <w:instrText>lantropol.hr/?id_0=2"</w:instrText>
      </w:r>
      <w:r w:rsidR="00DF61FE">
        <w:fldChar w:fldCharType="separate"/>
      </w:r>
      <w:r w:rsidRPr="00A43949">
        <w:rPr>
          <w:rStyle w:val="a5"/>
        </w:rPr>
        <w:t>Collegium</w:t>
      </w:r>
      <w:bookmarkEnd w:id="340"/>
      <w:bookmarkEnd w:id="341"/>
      <w:r w:rsidRPr="00A43949">
        <w:rPr>
          <w:rStyle w:val="a5"/>
        </w:rPr>
        <w:t xml:space="preserve"> Antropologicum</w:t>
      </w:r>
      <w:r w:rsidR="00DF61FE">
        <w:fldChar w:fldCharType="end"/>
      </w:r>
    </w:p>
    <w:p w:rsidR="003474F2" w:rsidRPr="001A3D2B" w:rsidRDefault="003474F2" w:rsidP="003474F2">
      <w:pPr>
        <w:pStyle w:val="12"/>
      </w:pPr>
      <w:r w:rsidRPr="001A3D2B">
        <w:t>ISO Abbreviated Title: Coll. Anthropol.</w:t>
      </w:r>
    </w:p>
    <w:p w:rsidR="003474F2" w:rsidRPr="001A3D2B" w:rsidRDefault="003474F2" w:rsidP="003474F2">
      <w:pPr>
        <w:pStyle w:val="12"/>
      </w:pPr>
      <w:r w:rsidRPr="001A3D2B">
        <w:t>JCR Abbreviated Title: Collegium Antropol</w:t>
      </w:r>
    </w:p>
    <w:p w:rsidR="003474F2" w:rsidRPr="001A3D2B" w:rsidRDefault="003474F2" w:rsidP="003474F2">
      <w:pPr>
        <w:pStyle w:val="12"/>
      </w:pPr>
      <w:r w:rsidRPr="001A3D2B">
        <w:t>ISSN: 0350-6134</w:t>
      </w:r>
    </w:p>
    <w:p w:rsidR="003474F2" w:rsidRPr="001A3D2B" w:rsidRDefault="003474F2" w:rsidP="003474F2">
      <w:pPr>
        <w:pStyle w:val="12"/>
      </w:pPr>
      <w:r w:rsidRPr="001A3D2B">
        <w:t>Issues/Year: 2</w:t>
      </w:r>
    </w:p>
    <w:p w:rsidR="003474F2" w:rsidRPr="001A3D2B" w:rsidRDefault="00AA25A4" w:rsidP="003474F2">
      <w:pPr>
        <w:pStyle w:val="12"/>
      </w:pPr>
      <w:r w:rsidRPr="001A3D2B">
        <w:t>Journal Country/Territory:</w:t>
      </w:r>
      <w:r w:rsidR="008F46E9" w:rsidRPr="001A3D2B">
        <w:t xml:space="preserve"> </w:t>
      </w:r>
      <w:r w:rsidR="003474F2" w:rsidRPr="001A3D2B">
        <w:t>Croatia</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Collegium Antropologicum</w:t>
      </w:r>
    </w:p>
    <w:p w:rsidR="003474F2" w:rsidRPr="001A3D2B" w:rsidRDefault="003474F2" w:rsidP="003474F2">
      <w:pPr>
        <w:pStyle w:val="12"/>
      </w:pPr>
      <w:r w:rsidRPr="001A3D2B">
        <w:t>Publisher Address: Inst Anthropological Res, P O Box 290, Ulica Grada Vukovara 72/IV, 10000 Zagreb, Croatia</w:t>
      </w:r>
    </w:p>
    <w:p w:rsidR="003474F2" w:rsidRPr="001A3D2B" w:rsidRDefault="003474F2" w:rsidP="003474F2">
      <w:pPr>
        <w:pStyle w:val="12"/>
      </w:pPr>
      <w:r w:rsidRPr="001A3D2B">
        <w:t>Subject Categories:</w:t>
      </w:r>
    </w:p>
    <w:p w:rsidR="003474F2" w:rsidRPr="001A3D2B" w:rsidRDefault="003474F2" w:rsidP="003474F2">
      <w:pPr>
        <w:pStyle w:val="12"/>
      </w:pPr>
      <w:r w:rsidRPr="001A3D2B">
        <w:t>Anthropology: Impact Factor 0.414,/(2001)</w:t>
      </w:r>
    </w:p>
    <w:p w:rsidR="003474F2" w:rsidRPr="001A3D2B" w:rsidRDefault="003474F2" w:rsidP="003474F2">
      <w:pPr>
        <w:pStyle w:val="a3"/>
      </w:pPr>
      <w:r w:rsidRPr="001A3D2B">
        <w:t>Notes: TTopic</w:t>
      </w:r>
      <w:r w:rsidR="003F1552">
        <w:rPr>
          <w:rFonts w:hint="eastAsia"/>
        </w:rPr>
        <w:t>, CCountry</w:t>
      </w:r>
    </w:p>
    <w:p w:rsidR="003474F2" w:rsidRPr="001A3D2B" w:rsidRDefault="003474F2" w:rsidP="003474F2">
      <w:pPr>
        <w:pStyle w:val="a3"/>
      </w:pPr>
      <w:r w:rsidRPr="001A3D2B">
        <w:t>Klaić, Z.B.</w:t>
      </w:r>
      <w:r w:rsidR="005853A9">
        <w:t xml:space="preserve"> and </w:t>
      </w:r>
      <w:r w:rsidRPr="001A3D2B">
        <w:t>Klaić, B. (1997), Scientometric analysis</w:t>
      </w:r>
      <w:r w:rsidR="00427468">
        <w:t xml:space="preserve"> of </w:t>
      </w:r>
      <w:r w:rsidRPr="001A3D2B">
        <w:t>anthropology in</w:t>
      </w:r>
      <w:r w:rsidR="003A1917">
        <w:t xml:space="preserve"> the </w:t>
      </w:r>
      <w:r w:rsidRPr="001A3D2B">
        <w:t>Republic</w:t>
      </w:r>
      <w:r w:rsidR="00427468">
        <w:t xml:space="preserve"> of </w:t>
      </w:r>
      <w:r w:rsidRPr="001A3D2B">
        <w:t>Croatia for</w:t>
      </w:r>
      <w:r w:rsidR="003A1917">
        <w:t xml:space="preserve"> the </w:t>
      </w:r>
      <w:r w:rsidRPr="001A3D2B">
        <w:t>period</w:t>
      </w:r>
      <w:r w:rsidR="00427468">
        <w:t xml:space="preserve"> of </w:t>
      </w:r>
      <w:r w:rsidRPr="001A3D2B">
        <w:t xml:space="preserve">1980-1996. </w:t>
      </w:r>
      <w:r w:rsidRPr="001A3D2B">
        <w:rPr>
          <w:i/>
          <w:iCs/>
        </w:rPr>
        <w:t>Collegium Antropologicum</w:t>
      </w:r>
      <w:r w:rsidRPr="001A3D2B">
        <w:t xml:space="preserve">, </w:t>
      </w:r>
      <w:r w:rsidRPr="001A3D2B">
        <w:rPr>
          <w:b/>
        </w:rPr>
        <w:t>21</w:t>
      </w:r>
      <w:r w:rsidRPr="001A3D2B">
        <w:t xml:space="preserve"> (1), 301-318.</w:t>
      </w:r>
    </w:p>
    <w:p w:rsidR="003F1552" w:rsidRPr="00C73C58" w:rsidRDefault="003F1552" w:rsidP="003F1552">
      <w:pPr>
        <w:pStyle w:val="a3"/>
        <w:rPr>
          <w:kern w:val="0"/>
        </w:rPr>
      </w:pPr>
      <w:r>
        <w:rPr>
          <w:rFonts w:hint="eastAsia"/>
          <w:kern w:val="0"/>
        </w:rPr>
        <w:t xml:space="preserve">Full Text: </w:t>
      </w:r>
      <w:hyperlink r:id="rId923" w:history="1">
        <w:r w:rsidR="00AD738F" w:rsidRPr="00AD738F">
          <w:rPr>
            <w:rStyle w:val="a5"/>
            <w:kern w:val="0"/>
          </w:rPr>
          <w:t>1997\Col Ant21, 301.pdf</w:t>
        </w:r>
      </w:hyperlink>
    </w:p>
    <w:p w:rsidR="003474F2" w:rsidRPr="001A3D2B" w:rsidRDefault="003474F2" w:rsidP="003474F2">
      <w:pPr>
        <w:pStyle w:val="a3"/>
      </w:pPr>
      <w:r w:rsidRPr="001A3D2B">
        <w:t>Abstract: Anthropologists from</w:t>
      </w:r>
      <w:r w:rsidR="003A1917">
        <w:t xml:space="preserve"> the </w:t>
      </w:r>
      <w:r w:rsidRPr="001A3D2B">
        <w:t>Republic</w:t>
      </w:r>
      <w:r w:rsidR="00427468">
        <w:t xml:space="preserve"> of </w:t>
      </w:r>
      <w:r w:rsidRPr="001A3D2B">
        <w:t>Croatia have published 254 scientific papers in</w:t>
      </w:r>
      <w:r w:rsidR="003A1917">
        <w:t xml:space="preserve"> the </w:t>
      </w:r>
      <w:r w:rsidRPr="001A3D2B">
        <w:t>period from 1980-1996, that are included in</w:t>
      </w:r>
      <w:r w:rsidR="003A1917">
        <w:t xml:space="preserve"> the </w:t>
      </w:r>
      <w:r w:rsidRPr="001A3D2B">
        <w:t>secondary publication. Social Science Citation Index. Scientists working in</w:t>
      </w:r>
      <w:r w:rsidR="003A1917">
        <w:t xml:space="preserve"> the </w:t>
      </w:r>
      <w:r w:rsidRPr="001A3D2B">
        <w:t>scientific subfield anthropology participate with approximately 2% in</w:t>
      </w:r>
      <w:r w:rsidR="003A1917">
        <w:t xml:space="preserve"> the </w:t>
      </w:r>
      <w:r w:rsidRPr="001A3D2B">
        <w:t>overall scientific output</w:t>
      </w:r>
      <w:r w:rsidR="00427468">
        <w:t xml:space="preserve"> of </w:t>
      </w:r>
      <w:r w:rsidR="003A1917">
        <w:t xml:space="preserve">the </w:t>
      </w:r>
      <w:r w:rsidRPr="001A3D2B">
        <w:t>Republic</w:t>
      </w:r>
      <w:r w:rsidR="00427468">
        <w:t xml:space="preserve"> of </w:t>
      </w:r>
      <w:r w:rsidRPr="001A3D2B">
        <w:t>Croatia. Thirty-six international articles were published (14.2%</w:t>
      </w:r>
      <w:r w:rsidR="00427468">
        <w:t xml:space="preserve"> of </w:t>
      </w:r>
      <w:r w:rsidR="003A1917">
        <w:t xml:space="preserve">the </w:t>
      </w:r>
      <w:r w:rsidRPr="001A3D2B">
        <w:t>total number), while</w:t>
      </w:r>
      <w:r w:rsidR="003A1917">
        <w:t xml:space="preserve"> the </w:t>
      </w:r>
      <w:r w:rsidRPr="001A3D2B">
        <w:t>rest</w:t>
      </w:r>
      <w:r w:rsidR="00427468">
        <w:t xml:space="preserve"> of </w:t>
      </w:r>
      <w:r w:rsidRPr="001A3D2B">
        <w:t>218 papers were published solely by domestic authors. An average anthropological paper is published by 3.06 authors,</w:t>
      </w:r>
      <w:r w:rsidR="005853A9">
        <w:t xml:space="preserve"> and </w:t>
      </w:r>
      <w:r w:rsidRPr="001A3D2B">
        <w:t>approximately one-third</w:t>
      </w:r>
      <w:r w:rsidR="00427468">
        <w:t xml:space="preserve"> of </w:t>
      </w:r>
      <w:r w:rsidRPr="001A3D2B">
        <w:t>all articles by a single author</w:t>
      </w:r>
      <w:r w:rsidR="00A37C1D">
        <w:t>. The</w:t>
      </w:r>
      <w:r w:rsidR="003A1917">
        <w:t xml:space="preserve"> </w:t>
      </w:r>
      <w:r w:rsidRPr="001A3D2B">
        <w:t>major part</w:t>
      </w:r>
      <w:r w:rsidR="00427468">
        <w:t xml:space="preserve"> of </w:t>
      </w:r>
      <w:r w:rsidRPr="001A3D2B">
        <w:t>scientific papers (237 articles or 93.3%), Croatian anthropologists have published in a domestic primary scientific journal Collegium Antropologicum. All scientific papers together obtained 380 citations or 1.5 citations per article</w:t>
      </w:r>
      <w:r w:rsidR="00A37C1D">
        <w:t>. The</w:t>
      </w:r>
      <w:r w:rsidR="003A1917">
        <w:t xml:space="preserve"> </w:t>
      </w:r>
      <w:r w:rsidRPr="001A3D2B">
        <w:t>citation</w:t>
      </w:r>
      <w:r w:rsidR="00427468">
        <w:t xml:space="preserve"> of </w:t>
      </w:r>
      <w:r w:rsidRPr="001A3D2B">
        <w:t>articles is approximately 60% above</w:t>
      </w:r>
      <w:r w:rsidR="003A1917">
        <w:t xml:space="preserve"> the </w:t>
      </w:r>
      <w:r w:rsidRPr="001A3D2B">
        <w:t>expected average for</w:t>
      </w:r>
      <w:r w:rsidR="003A1917">
        <w:t xml:space="preserve"> the </w:t>
      </w:r>
      <w:r w:rsidRPr="001A3D2B">
        <w:t>respective journals. Published international papers had 6.6 citations, while articles by domestic authors had 0.65 citation per paper Anthropological scientific papers obtained 154 independent citations</w:t>
      </w:r>
      <w:r w:rsidR="005853A9">
        <w:t xml:space="preserve"> and </w:t>
      </w:r>
      <w:r w:rsidRPr="001A3D2B">
        <w:t>participate with 40.5% in</w:t>
      </w:r>
      <w:r w:rsidR="003A1917">
        <w:t xml:space="preserve"> the </w:t>
      </w:r>
      <w:r w:rsidRPr="001A3D2B">
        <w:t>total number</w:t>
      </w:r>
      <w:r w:rsidR="00427468">
        <w:t xml:space="preserve"> of </w:t>
      </w:r>
      <w:r w:rsidRPr="001A3D2B">
        <w:t>citations. In</w:t>
      </w:r>
      <w:r w:rsidR="003A1917">
        <w:t xml:space="preserve"> the </w:t>
      </w:r>
      <w:r w:rsidRPr="001A3D2B">
        <w:t>first five years after publishing, 166 articles (65.4%</w:t>
      </w:r>
      <w:r w:rsidR="00427468">
        <w:t xml:space="preserve"> of </w:t>
      </w:r>
      <w:r w:rsidR="003A1917">
        <w:t xml:space="preserve">the </w:t>
      </w:r>
      <w:r w:rsidRPr="001A3D2B">
        <w:t>total number) were not cited, while</w:t>
      </w:r>
      <w:r w:rsidR="003A1917">
        <w:t xml:space="preserve"> the </w:t>
      </w:r>
      <w:r w:rsidRPr="001A3D2B">
        <w:t>world</w:t>
      </w:r>
      <w:r w:rsidR="0071223E">
        <w:t>’</w:t>
      </w:r>
      <w:r w:rsidR="00C13DDC">
        <w:t>s</w:t>
      </w:r>
      <w:r w:rsidRPr="001A3D2B">
        <w:t xml:space="preserve"> average for</w:t>
      </w:r>
      <w:r w:rsidR="003A1917">
        <w:t xml:space="preserve"> the </w:t>
      </w:r>
      <w:r w:rsidRPr="001A3D2B">
        <w:t>scientific subfield anthropology was greater, 79.5% uncited articles. Only 19.4%</w:t>
      </w:r>
      <w:r w:rsidR="00427468">
        <w:t xml:space="preserve"> of </w:t>
      </w:r>
      <w:r w:rsidRPr="001A3D2B">
        <w:t>international papers</w:t>
      </w:r>
      <w:r w:rsidR="005853A9">
        <w:t xml:space="preserve"> and </w:t>
      </w:r>
      <w:r w:rsidRPr="001A3D2B">
        <w:t>72.9%</w:t>
      </w:r>
      <w:r w:rsidR="00427468">
        <w:t xml:space="preserve"> of </w:t>
      </w:r>
      <w:r w:rsidRPr="001A3D2B">
        <w:t>domestic papers were not cited in this five-year period. Based on scientometric indicators</w:t>
      </w:r>
      <w:r w:rsidR="00427468">
        <w:t xml:space="preserve"> of </w:t>
      </w:r>
      <w:r w:rsidRPr="001A3D2B">
        <w:t xml:space="preserve">a </w:t>
      </w:r>
      <w:r w:rsidRPr="001A3D2B">
        <w:lastRenderedPageBreak/>
        <w:t>scientific output, that is,</w:t>
      </w:r>
      <w:r w:rsidR="003A1917">
        <w:t xml:space="preserve"> the </w:t>
      </w:r>
      <w:r w:rsidRPr="001A3D2B">
        <w:t>number</w:t>
      </w:r>
      <w:r w:rsidR="00427468">
        <w:t xml:space="preserve"> of </w:t>
      </w:r>
      <w:r w:rsidRPr="001A3D2B">
        <w:t>published papers, partial scientific contribution, i.e., partial authorship,</w:t>
      </w:r>
      <w:r w:rsidR="005853A9">
        <w:t xml:space="preserve"> and </w:t>
      </w:r>
      <w:r w:rsidRPr="001A3D2B">
        <w:t>scientific influence, i.e. number</w:t>
      </w:r>
      <w:r w:rsidR="00427468">
        <w:t xml:space="preserve"> of </w:t>
      </w:r>
      <w:r w:rsidRPr="001A3D2B">
        <w:t>citations, a method for</w:t>
      </w:r>
      <w:r w:rsidR="003A1917">
        <w:t xml:space="preserve"> the </w:t>
      </w:r>
      <w:r w:rsidRPr="001A3D2B">
        <w:t>evaluation</w:t>
      </w:r>
      <w:r w:rsidR="00427468">
        <w:t xml:space="preserve"> of </w:t>
      </w:r>
      <w:r w:rsidRPr="001A3D2B">
        <w:t>scientific papers</w:t>
      </w:r>
      <w:r w:rsidR="005853A9">
        <w:t xml:space="preserve"> and </w:t>
      </w:r>
      <w:r w:rsidRPr="001A3D2B">
        <w:t>their authors has been suggested in this paper.</w:t>
      </w:r>
    </w:p>
    <w:p w:rsidR="003474F2" w:rsidRPr="001A3D2B" w:rsidRDefault="003474F2" w:rsidP="003474F2">
      <w:pPr>
        <w:pStyle w:val="a3"/>
      </w:pPr>
      <w:r w:rsidRPr="001A3D2B">
        <w:t>Notes: TTopic</w:t>
      </w:r>
    </w:p>
    <w:p w:rsidR="003474F2" w:rsidRPr="001A3D2B" w:rsidRDefault="003474F2" w:rsidP="003474F2">
      <w:pPr>
        <w:pStyle w:val="a3"/>
      </w:pPr>
      <w:r w:rsidRPr="001A3D2B">
        <w:t>? Klaic, B. (1999</w:t>
      </w:r>
      <w:r w:rsidR="00F42EAC">
        <w:t>), The</w:t>
      </w:r>
      <w:r w:rsidR="003A1917">
        <w:t xml:space="preserve"> </w:t>
      </w:r>
      <w:r w:rsidRPr="001A3D2B">
        <w:t>use</w:t>
      </w:r>
      <w:r w:rsidR="00427468">
        <w:t xml:space="preserve"> of </w:t>
      </w:r>
      <w:r w:rsidRPr="001A3D2B">
        <w:t>scientometric parameters for</w:t>
      </w:r>
      <w:r w:rsidR="003A1917">
        <w:t xml:space="preserve"> the </w:t>
      </w:r>
      <w:r w:rsidRPr="001A3D2B">
        <w:t>evaluation</w:t>
      </w:r>
      <w:r w:rsidR="00427468">
        <w:t xml:space="preserve"> of </w:t>
      </w:r>
      <w:r w:rsidRPr="001A3D2B">
        <w:t xml:space="preserve">scientific contributions. </w:t>
      </w:r>
      <w:r w:rsidRPr="001A3D2B">
        <w:rPr>
          <w:i/>
          <w:iCs/>
        </w:rPr>
        <w:t>Collegium Antropologicum</w:t>
      </w:r>
      <w:r w:rsidRPr="001A3D2B">
        <w:t xml:space="preserve">, </w:t>
      </w:r>
      <w:r w:rsidRPr="001A3D2B">
        <w:rPr>
          <w:b/>
        </w:rPr>
        <w:t>23</w:t>
      </w:r>
      <w:r w:rsidRPr="001A3D2B">
        <w:t xml:space="preserve"> (2), 751-770.</w:t>
      </w:r>
    </w:p>
    <w:p w:rsidR="003F1552" w:rsidRPr="00C73C58" w:rsidRDefault="003F1552" w:rsidP="003F1552">
      <w:pPr>
        <w:pStyle w:val="a3"/>
        <w:rPr>
          <w:kern w:val="0"/>
        </w:rPr>
      </w:pPr>
      <w:r>
        <w:rPr>
          <w:rFonts w:hint="eastAsia"/>
          <w:kern w:val="0"/>
        </w:rPr>
        <w:t xml:space="preserve">Full Text: </w:t>
      </w:r>
      <w:hyperlink r:id="rId924" w:history="1">
        <w:r w:rsidR="00DA69BB" w:rsidRPr="00DA69BB">
          <w:rPr>
            <w:rStyle w:val="a5"/>
            <w:kern w:val="0"/>
          </w:rPr>
          <w:t>1999\Col Ant23, 751.pdf</w:t>
        </w:r>
      </w:hyperlink>
    </w:p>
    <w:p w:rsidR="003474F2" w:rsidRPr="001A3D2B" w:rsidRDefault="003474F2" w:rsidP="003474F2">
      <w:pPr>
        <w:pStyle w:val="a3"/>
      </w:pPr>
      <w:r w:rsidRPr="001A3D2B">
        <w:t>Abstract: This paper deals with</w:t>
      </w:r>
      <w:r w:rsidR="003A1917">
        <w:t xml:space="preserve"> the </w:t>
      </w:r>
      <w:r w:rsidRPr="001A3D2B">
        <w:t>application</w:t>
      </w:r>
      <w:r w:rsidR="00427468">
        <w:t xml:space="preserve"> of </w:t>
      </w:r>
      <w:r w:rsidRPr="001A3D2B">
        <w:t>scientometric parameters in</w:t>
      </w:r>
      <w:r w:rsidR="003A1917">
        <w:t xml:space="preserve"> the </w:t>
      </w:r>
      <w:r w:rsidRPr="001A3D2B">
        <w:t>evaluation</w:t>
      </w:r>
      <w:r w:rsidR="00427468">
        <w:t xml:space="preserve"> of </w:t>
      </w:r>
      <w:r w:rsidRPr="001A3D2B">
        <w:t>scientists, either as individuals or in small formal groups</w:t>
      </w:r>
      <w:r w:rsidR="00A37C1D">
        <w:t>. The</w:t>
      </w:r>
      <w:r w:rsidR="003A1917">
        <w:t xml:space="preserve"> </w:t>
      </w:r>
      <w:r w:rsidRPr="001A3D2B">
        <w:t>parameters are divided into two groups: parameters</w:t>
      </w:r>
      <w:r w:rsidR="00427468">
        <w:t xml:space="preserve"> of </w:t>
      </w:r>
      <w:r w:rsidRPr="001A3D2B">
        <w:t>scientific productivity</w:t>
      </w:r>
      <w:r w:rsidR="005853A9">
        <w:t xml:space="preserve"> and </w:t>
      </w:r>
      <w:r w:rsidRPr="001A3D2B">
        <w:t>citation parameters</w:t>
      </w:r>
      <w:r w:rsidR="00A37C1D">
        <w:t>. The</w:t>
      </w:r>
      <w:r w:rsidR="003A1917">
        <w:t xml:space="preserve"> </w:t>
      </w:r>
      <w:r w:rsidRPr="001A3D2B">
        <w:t>scientific productivity teas further subdivided into three types</w:t>
      </w:r>
      <w:r w:rsidR="00427468">
        <w:t xml:space="preserve"> of </w:t>
      </w:r>
      <w:r w:rsidRPr="001A3D2B">
        <w:t>parameters: (i) total productivity, (ii) partial productivity,</w:t>
      </w:r>
      <w:r w:rsidR="005853A9">
        <w:t xml:space="preserve"> and </w:t>
      </w:r>
      <w:r w:rsidRPr="001A3D2B">
        <w:t>(iii) productivity in scientific fields</w:t>
      </w:r>
      <w:r w:rsidR="005853A9">
        <w:t xml:space="preserve"> and </w:t>
      </w:r>
      <w:r w:rsidRPr="001A3D2B">
        <w:t>subfields</w:t>
      </w:r>
      <w:r w:rsidR="00A37C1D">
        <w:t>. The</w:t>
      </w:r>
      <w:r w:rsidRPr="001A3D2B">
        <w:t>se citation parameters were considered: (i) impact factors</w:t>
      </w:r>
      <w:r w:rsidR="00427468">
        <w:t xml:space="preserve"> of </w:t>
      </w:r>
      <w:r w:rsidRPr="001A3D2B">
        <w:t>journals, (ii) impact factors</w:t>
      </w:r>
      <w:r w:rsidR="00427468">
        <w:t xml:space="preserve"> of </w:t>
      </w:r>
      <w:r w:rsidRPr="001A3D2B">
        <w:t>scientific fields</w:t>
      </w:r>
      <w:r w:rsidR="005853A9">
        <w:t xml:space="preserve"> and </w:t>
      </w:r>
      <w:r w:rsidRPr="001A3D2B">
        <w:t>subfields, (iii) citations</w:t>
      </w:r>
      <w:r w:rsidR="00427468">
        <w:t xml:space="preserve"> of </w:t>
      </w:r>
      <w:r w:rsidRPr="001A3D2B">
        <w:t>individual papers, (iv) citations</w:t>
      </w:r>
      <w:r w:rsidR="00427468">
        <w:t xml:space="preserve"> of </w:t>
      </w:r>
      <w:r w:rsidRPr="001A3D2B">
        <w:t>individual authors, (v) expected citation rates</w:t>
      </w:r>
      <w:r w:rsidR="005853A9">
        <w:t xml:space="preserve"> and </w:t>
      </w:r>
      <w:r w:rsidRPr="001A3D2B">
        <w:t>relative citation rates,</w:t>
      </w:r>
      <w:r w:rsidR="005853A9">
        <w:t xml:space="preserve"> and </w:t>
      </w:r>
      <w:r w:rsidRPr="001A3D2B">
        <w:t>(ui) self-citations, independent citations</w:t>
      </w:r>
      <w:r w:rsidR="005853A9">
        <w:t xml:space="preserve"> and </w:t>
      </w:r>
      <w:r w:rsidRPr="001A3D2B">
        <w:t>negative citations. Particular attention was payed to</w:t>
      </w:r>
      <w:r w:rsidR="003A1917">
        <w:t xml:space="preserve"> the </w:t>
      </w:r>
      <w:r w:rsidRPr="001A3D2B">
        <w:t>time-dependence</w:t>
      </w:r>
      <w:r w:rsidR="00427468">
        <w:t xml:space="preserve"> of </w:t>
      </w:r>
      <w:r w:rsidR="003A1917">
        <w:t xml:space="preserve">the </w:t>
      </w:r>
      <w:r w:rsidRPr="001A3D2B">
        <w:t>scientometric parameters. If available, numeric values</w:t>
      </w:r>
      <w:r w:rsidR="00427468">
        <w:t xml:space="preserve"> of </w:t>
      </w:r>
      <w:r w:rsidR="003A1917">
        <w:t xml:space="preserve">the </w:t>
      </w:r>
      <w:r w:rsidRPr="001A3D2B">
        <w:t>world parameters were given</w:t>
      </w:r>
      <w:r w:rsidR="005853A9">
        <w:t xml:space="preserve"> and </w:t>
      </w:r>
      <w:r w:rsidRPr="001A3D2B">
        <w:t>compared with</w:t>
      </w:r>
      <w:r w:rsidR="003A1917">
        <w:t xml:space="preserve"> the </w:t>
      </w:r>
      <w:r w:rsidRPr="001A3D2B">
        <w:t>data about</w:t>
      </w:r>
      <w:r w:rsidR="003A1917">
        <w:t xml:space="preserve"> the </w:t>
      </w:r>
      <w:r w:rsidRPr="001A3D2B">
        <w:t>scientific output</w:t>
      </w:r>
      <w:r w:rsidR="00427468">
        <w:t xml:space="preserve"> of </w:t>
      </w:r>
      <w:r w:rsidRPr="001A3D2B">
        <w:t>Croatian scientists.</w:t>
      </w:r>
    </w:p>
    <w:p w:rsidR="003474F2" w:rsidRPr="001A3D2B" w:rsidRDefault="003474F2" w:rsidP="003474F2">
      <w:pPr>
        <w:pStyle w:val="a3"/>
      </w:pPr>
      <w:r w:rsidRPr="001A3D2B">
        <w:t xml:space="preserve">Keywords: Citation Analysis, Journals, </w:t>
      </w:r>
      <w:smartTag w:uri="urn:schemas-microsoft-com:office:smarttags" w:element="place">
        <w:smartTag w:uri="urn:schemas-microsoft-com:office:smarttags" w:element="country-region">
          <w:r w:rsidRPr="001A3D2B">
            <w:t>Croatia</w:t>
          </w:r>
        </w:smartTag>
      </w:smartTag>
      <w:r w:rsidRPr="001A3D2B">
        <w:t>, Impact, Period, Tool</w:t>
      </w:r>
    </w:p>
    <w:p w:rsidR="00B30B9F" w:rsidRPr="001A3D2B" w:rsidRDefault="00B30B9F" w:rsidP="00B30B9F">
      <w:pPr>
        <w:pStyle w:val="a3"/>
        <w:rPr>
          <w:kern w:val="0"/>
        </w:rPr>
      </w:pPr>
      <w:r w:rsidRPr="001A3D2B">
        <w:rPr>
          <w:kern w:val="0"/>
        </w:rPr>
        <w:t>? Rudan, P., Skaric-Juric, T.</w:t>
      </w:r>
      <w:r w:rsidR="005853A9">
        <w:rPr>
          <w:kern w:val="0"/>
        </w:rPr>
        <w:t xml:space="preserve"> and </w:t>
      </w:r>
      <w:r w:rsidRPr="001A3D2B">
        <w:rPr>
          <w:kern w:val="0"/>
        </w:rPr>
        <w:t xml:space="preserve">Rudan, I. (2003), Our </w:t>
      </w:r>
      <w:r w:rsidR="00B5188C">
        <w:rPr>
          <w:kern w:val="0"/>
        </w:rPr>
        <w:t>“</w:t>
      </w:r>
      <w:r w:rsidRPr="001A3D2B">
        <w:rPr>
          <w:kern w:val="0"/>
        </w:rPr>
        <w:t>Collegium Antropologicum</w:t>
      </w:r>
      <w:r w:rsidR="00B5188C">
        <w:rPr>
          <w:kern w:val="0"/>
        </w:rPr>
        <w:t>”</w:t>
      </w:r>
      <w:r w:rsidRPr="001A3D2B">
        <w:rPr>
          <w:kern w:val="0"/>
        </w:rPr>
        <w:t xml:space="preserve"> officially</w:t>
      </w:r>
      <w:r w:rsidR="003A1917">
        <w:rPr>
          <w:kern w:val="0"/>
        </w:rPr>
        <w:t xml:space="preserve"> the </w:t>
      </w:r>
      <w:r w:rsidRPr="001A3D2B">
        <w:rPr>
          <w:kern w:val="0"/>
        </w:rPr>
        <w:t>most improved social science journal in</w:t>
      </w:r>
      <w:r w:rsidR="003A1917">
        <w:rPr>
          <w:kern w:val="0"/>
        </w:rPr>
        <w:t xml:space="preserve"> the </w:t>
      </w:r>
      <w:r w:rsidRPr="001A3D2B">
        <w:rPr>
          <w:kern w:val="0"/>
        </w:rPr>
        <w:t xml:space="preserve">world for mid-2002. </w:t>
      </w:r>
      <w:r w:rsidRPr="001A3D2B">
        <w:rPr>
          <w:i/>
          <w:iCs/>
          <w:kern w:val="0"/>
        </w:rPr>
        <w:t>Collegium Antropologicum</w:t>
      </w:r>
      <w:r w:rsidRPr="001A3D2B">
        <w:rPr>
          <w:kern w:val="0"/>
        </w:rPr>
        <w:t xml:space="preserve">, </w:t>
      </w:r>
      <w:r w:rsidRPr="001A3D2B">
        <w:rPr>
          <w:b/>
          <w:bCs/>
          <w:kern w:val="0"/>
        </w:rPr>
        <w:t>27</w:t>
      </w:r>
      <w:r w:rsidRPr="001A3D2B">
        <w:rPr>
          <w:kern w:val="0"/>
        </w:rPr>
        <w:t xml:space="preserve"> (1), S1-S4.</w:t>
      </w:r>
    </w:p>
    <w:p w:rsidR="003F1552" w:rsidRPr="00C73C58" w:rsidRDefault="003F1552" w:rsidP="003F1552">
      <w:pPr>
        <w:pStyle w:val="a3"/>
        <w:rPr>
          <w:kern w:val="0"/>
        </w:rPr>
      </w:pPr>
      <w:r>
        <w:rPr>
          <w:rFonts w:hint="eastAsia"/>
          <w:kern w:val="0"/>
        </w:rPr>
        <w:t xml:space="preserve">Full Text: </w:t>
      </w:r>
      <w:hyperlink r:id="rId925" w:history="1">
        <w:r w:rsidR="00513B53" w:rsidRPr="00513B53">
          <w:rPr>
            <w:rStyle w:val="a5"/>
            <w:kern w:val="0"/>
          </w:rPr>
          <w:t>2003\Col Ant27, S1.pdf</w:t>
        </w:r>
      </w:hyperlink>
    </w:p>
    <w:p w:rsidR="00B30B9F" w:rsidRPr="001A3D2B" w:rsidRDefault="00B30B9F" w:rsidP="00B30B9F">
      <w:pPr>
        <w:pStyle w:val="a3"/>
        <w:rPr>
          <w:kern w:val="0"/>
        </w:rPr>
      </w:pPr>
      <w:r w:rsidRPr="001A3D2B">
        <w:rPr>
          <w:kern w:val="0"/>
        </w:rPr>
        <w:t>Abstract: Thomson ISI(R)</w:t>
      </w:r>
      <w:r w:rsidR="0071223E">
        <w:rPr>
          <w:kern w:val="0"/>
        </w:rPr>
        <w:t>’</w:t>
      </w:r>
      <w:r w:rsidR="00C13DDC">
        <w:rPr>
          <w:kern w:val="0"/>
        </w:rPr>
        <w:t>s</w:t>
      </w:r>
      <w:r w:rsidRPr="001A3D2B">
        <w:rPr>
          <w:kern w:val="0"/>
        </w:rPr>
        <w:t xml:space="preserve"> bimonthly web-product ISI Essential Science Indicators (ESP is an in-depth analytical tool that regularly reports quantitative analyses</w:t>
      </w:r>
      <w:r w:rsidR="00427468">
        <w:rPr>
          <w:kern w:val="0"/>
        </w:rPr>
        <w:t xml:space="preserve"> of </w:t>
      </w:r>
      <w:r w:rsidRPr="001A3D2B">
        <w:rPr>
          <w:kern w:val="0"/>
        </w:rPr>
        <w:t>research performance</w:t>
      </w:r>
      <w:r w:rsidR="005853A9">
        <w:rPr>
          <w:kern w:val="0"/>
        </w:rPr>
        <w:t xml:space="preserve"> and </w:t>
      </w:r>
      <w:r w:rsidRPr="001A3D2B">
        <w:rPr>
          <w:kern w:val="0"/>
        </w:rPr>
        <w:t>science trends, covering about 8,500 scientific journals from</w:t>
      </w:r>
      <w:r w:rsidR="003A1917">
        <w:rPr>
          <w:kern w:val="0"/>
        </w:rPr>
        <w:t xml:space="preserve"> the </w:t>
      </w:r>
      <w:r w:rsidRPr="001A3D2B">
        <w:rPr>
          <w:kern w:val="0"/>
        </w:rPr>
        <w:t>entire world. In each issue ESI lists</w:t>
      </w:r>
      <w:r w:rsidR="003A1917">
        <w:rPr>
          <w:kern w:val="0"/>
        </w:rPr>
        <w:t xml:space="preserve"> the </w:t>
      </w:r>
      <w:r w:rsidRPr="001A3D2B">
        <w:rPr>
          <w:kern w:val="0"/>
        </w:rPr>
        <w:t>scientists, institutions, countries</w:t>
      </w:r>
      <w:r w:rsidR="005853A9">
        <w:rPr>
          <w:kern w:val="0"/>
        </w:rPr>
        <w:t xml:space="preserve"> and </w:t>
      </w:r>
      <w:r w:rsidRPr="001A3D2B">
        <w:rPr>
          <w:kern w:val="0"/>
        </w:rPr>
        <w:t>journals that are most improved from one update to</w:t>
      </w:r>
      <w:r w:rsidR="003A1917">
        <w:rPr>
          <w:kern w:val="0"/>
        </w:rPr>
        <w:t xml:space="preserve"> the </w:t>
      </w:r>
      <w:r w:rsidRPr="001A3D2B">
        <w:rPr>
          <w:kern w:val="0"/>
        </w:rPr>
        <w:t>next, i.e. that show</w:t>
      </w:r>
      <w:r w:rsidR="003A1917">
        <w:rPr>
          <w:kern w:val="0"/>
        </w:rPr>
        <w:t xml:space="preserve"> the </w:t>
      </w:r>
      <w:r w:rsidRPr="001A3D2B">
        <w:rPr>
          <w:kern w:val="0"/>
        </w:rPr>
        <w:t>largest percentage increase in total citations. In its edition</w:t>
      </w:r>
      <w:r w:rsidR="00427468">
        <w:rPr>
          <w:kern w:val="0"/>
        </w:rPr>
        <w:t xml:space="preserve"> of </w:t>
      </w:r>
      <w:r w:rsidRPr="001A3D2B">
        <w:rPr>
          <w:kern w:val="0"/>
        </w:rPr>
        <w:t>January 2003, it reported that our Collegium Antropologicum was</w:t>
      </w:r>
      <w:r w:rsidR="003A1917">
        <w:rPr>
          <w:kern w:val="0"/>
        </w:rPr>
        <w:t xml:space="preserve"> the </w:t>
      </w:r>
      <w:r w:rsidRPr="001A3D2B">
        <w:rPr>
          <w:kern w:val="0"/>
        </w:rPr>
        <w:t>most improved journal in</w:t>
      </w:r>
      <w:r w:rsidR="003A1917">
        <w:rPr>
          <w:kern w:val="0"/>
        </w:rPr>
        <w:t xml:space="preserve"> the </w:t>
      </w:r>
      <w:r w:rsidRPr="001A3D2B">
        <w:rPr>
          <w:kern w:val="0"/>
        </w:rPr>
        <w:t>field</w:t>
      </w:r>
      <w:r w:rsidR="00427468">
        <w:rPr>
          <w:kern w:val="0"/>
        </w:rPr>
        <w:t xml:space="preserve"> of </w:t>
      </w:r>
      <w:r w:rsidRPr="001A3D2B">
        <w:rPr>
          <w:kern w:val="0"/>
        </w:rPr>
        <w:t>Social Sciences during</w:t>
      </w:r>
      <w:r w:rsidR="003A1917">
        <w:rPr>
          <w:kern w:val="0"/>
        </w:rPr>
        <w:t xml:space="preserve"> the </w:t>
      </w:r>
      <w:r w:rsidRPr="001A3D2B">
        <w:rPr>
          <w:kern w:val="0"/>
        </w:rPr>
        <w:t>period from July 2002 to September 2002</w:t>
      </w:r>
      <w:r w:rsidR="00A37C1D">
        <w:rPr>
          <w:kern w:val="0"/>
        </w:rPr>
        <w:t>. The</w:t>
      </w:r>
      <w:r w:rsidR="003A1917">
        <w:rPr>
          <w:kern w:val="0"/>
        </w:rPr>
        <w:t xml:space="preserve"> </w:t>
      </w:r>
      <w:r w:rsidRPr="001A3D2B">
        <w:rPr>
          <w:kern w:val="0"/>
        </w:rPr>
        <w:t>field</w:t>
      </w:r>
      <w:r w:rsidR="00427468">
        <w:rPr>
          <w:kern w:val="0"/>
        </w:rPr>
        <w:t xml:space="preserve"> of </w:t>
      </w:r>
      <w:r w:rsidRPr="001A3D2B">
        <w:rPr>
          <w:kern w:val="0"/>
        </w:rPr>
        <w:t>Social Sciences is one</w:t>
      </w:r>
      <w:r w:rsidR="00427468">
        <w:rPr>
          <w:kern w:val="0"/>
        </w:rPr>
        <w:t xml:space="preserve"> of </w:t>
      </w:r>
      <w:r w:rsidRPr="001A3D2B">
        <w:rPr>
          <w:kern w:val="0"/>
        </w:rPr>
        <w:t>22 categories</w:t>
      </w:r>
      <w:r w:rsidR="00427468">
        <w:rPr>
          <w:kern w:val="0"/>
        </w:rPr>
        <w:t xml:space="preserve"> of </w:t>
      </w:r>
      <w:r w:rsidRPr="001A3D2B">
        <w:rPr>
          <w:kern w:val="0"/>
        </w:rPr>
        <w:t>science regularly analyzed by ESI. It includes anthropology, public health, sociology, social work</w:t>
      </w:r>
      <w:r w:rsidR="005853A9">
        <w:rPr>
          <w:kern w:val="0"/>
        </w:rPr>
        <w:t xml:space="preserve"> and </w:t>
      </w:r>
      <w:r w:rsidRPr="001A3D2B">
        <w:rPr>
          <w:kern w:val="0"/>
        </w:rPr>
        <w:t>policy, political science, law, education, communication, library</w:t>
      </w:r>
      <w:r w:rsidR="005853A9">
        <w:rPr>
          <w:kern w:val="0"/>
        </w:rPr>
        <w:t xml:space="preserve"> and </w:t>
      </w:r>
      <w:r w:rsidRPr="001A3D2B">
        <w:rPr>
          <w:kern w:val="0"/>
        </w:rPr>
        <w:t>information sciences, environmental studies</w:t>
      </w:r>
      <w:r w:rsidR="005853A9">
        <w:rPr>
          <w:kern w:val="0"/>
        </w:rPr>
        <w:t xml:space="preserve"> and </w:t>
      </w:r>
      <w:r w:rsidRPr="001A3D2B">
        <w:rPr>
          <w:kern w:val="0"/>
        </w:rPr>
        <w:t>rehabilitation. Due to journal</w:t>
      </w:r>
      <w:r w:rsidR="0071223E">
        <w:rPr>
          <w:kern w:val="0"/>
        </w:rPr>
        <w:t>’</w:t>
      </w:r>
      <w:r w:rsidR="00C13DDC">
        <w:rPr>
          <w:kern w:val="0"/>
        </w:rPr>
        <w:t>s</w:t>
      </w:r>
      <w:r w:rsidRPr="001A3D2B">
        <w:rPr>
          <w:kern w:val="0"/>
        </w:rPr>
        <w:t xml:space="preserve"> success, which is based on publications</w:t>
      </w:r>
      <w:r w:rsidR="00427468">
        <w:rPr>
          <w:kern w:val="0"/>
        </w:rPr>
        <w:t xml:space="preserve"> of </w:t>
      </w:r>
      <w:r w:rsidRPr="001A3D2B">
        <w:rPr>
          <w:kern w:val="0"/>
        </w:rPr>
        <w:t>predominantly Croatian scientists within</w:t>
      </w:r>
      <w:r w:rsidR="003A1917">
        <w:rPr>
          <w:kern w:val="0"/>
        </w:rPr>
        <w:t xml:space="preserve"> the </w:t>
      </w:r>
      <w:r w:rsidRPr="001A3D2B">
        <w:rPr>
          <w:kern w:val="0"/>
        </w:rPr>
        <w:t xml:space="preserve">past seven post-war years, Croatia was </w:t>
      </w:r>
      <w:r w:rsidRPr="001A3D2B">
        <w:rPr>
          <w:kern w:val="0"/>
        </w:rPr>
        <w:lastRenderedPageBreak/>
        <w:t>also officially</w:t>
      </w:r>
      <w:r w:rsidR="003A1917">
        <w:rPr>
          <w:kern w:val="0"/>
        </w:rPr>
        <w:t xml:space="preserve"> the </w:t>
      </w:r>
      <w:r w:rsidRPr="001A3D2B">
        <w:rPr>
          <w:kern w:val="0"/>
        </w:rPr>
        <w:t>most improved among more than 200 countries,</w:t>
      </w:r>
      <w:r w:rsidR="005853A9">
        <w:rPr>
          <w:kern w:val="0"/>
        </w:rPr>
        <w:t xml:space="preserve"> and </w:t>
      </w:r>
      <w:r w:rsidRPr="001A3D2B">
        <w:rPr>
          <w:kern w:val="0"/>
        </w:rPr>
        <w:t>University</w:t>
      </w:r>
      <w:r w:rsidR="00427468">
        <w:rPr>
          <w:kern w:val="0"/>
        </w:rPr>
        <w:t xml:space="preserve"> of </w:t>
      </w:r>
      <w:r w:rsidRPr="001A3D2B">
        <w:rPr>
          <w:kern w:val="0"/>
        </w:rPr>
        <w:t>Zagreb was</w:t>
      </w:r>
      <w:r w:rsidR="003A1917">
        <w:rPr>
          <w:kern w:val="0"/>
        </w:rPr>
        <w:t xml:space="preserve"> the </w:t>
      </w:r>
      <w:r w:rsidRPr="001A3D2B">
        <w:rPr>
          <w:kern w:val="0"/>
        </w:rPr>
        <w:t>most improved in</w:t>
      </w:r>
      <w:r w:rsidR="003A1917">
        <w:rPr>
          <w:kern w:val="0"/>
        </w:rPr>
        <w:t xml:space="preserve"> the </w:t>
      </w:r>
      <w:r w:rsidRPr="001A3D2B">
        <w:rPr>
          <w:kern w:val="0"/>
        </w:rPr>
        <w:t>field</w:t>
      </w:r>
      <w:r w:rsidR="00427468">
        <w:rPr>
          <w:kern w:val="0"/>
        </w:rPr>
        <w:t xml:space="preserve"> of </w:t>
      </w:r>
      <w:r w:rsidRPr="001A3D2B">
        <w:rPr>
          <w:kern w:val="0"/>
        </w:rPr>
        <w:t>Social Science among tho</w:t>
      </w:r>
      <w:r w:rsidR="00D5664A">
        <w:rPr>
          <w:kern w:val="0"/>
        </w:rPr>
        <w:t>USA</w:t>
      </w:r>
      <w:r w:rsidRPr="001A3D2B">
        <w:rPr>
          <w:kern w:val="0"/>
        </w:rPr>
        <w:t>nds</w:t>
      </w:r>
      <w:r w:rsidR="00427468">
        <w:rPr>
          <w:kern w:val="0"/>
        </w:rPr>
        <w:t xml:space="preserve"> of </w:t>
      </w:r>
      <w:r w:rsidRPr="001A3D2B">
        <w:rPr>
          <w:kern w:val="0"/>
        </w:rPr>
        <w:t>other institutions. We hope that this is an early sign</w:t>
      </w:r>
      <w:r w:rsidR="00427468">
        <w:rPr>
          <w:kern w:val="0"/>
        </w:rPr>
        <w:t xml:space="preserve"> of </w:t>
      </w:r>
      <w:r w:rsidRPr="001A3D2B">
        <w:rPr>
          <w:kern w:val="0"/>
        </w:rPr>
        <w:t>revival</w:t>
      </w:r>
      <w:r w:rsidR="00427468">
        <w:rPr>
          <w:kern w:val="0"/>
        </w:rPr>
        <w:t xml:space="preserve"> of </w:t>
      </w:r>
      <w:r w:rsidR="003A1917">
        <w:rPr>
          <w:kern w:val="0"/>
        </w:rPr>
        <w:t xml:space="preserve">the </w:t>
      </w:r>
      <w:r w:rsidRPr="001A3D2B">
        <w:rPr>
          <w:kern w:val="0"/>
        </w:rPr>
        <w:t>scientific activity in our country after</w:t>
      </w:r>
      <w:r w:rsidR="003A1917">
        <w:rPr>
          <w:kern w:val="0"/>
        </w:rPr>
        <w:t xml:space="preserve"> the </w:t>
      </w:r>
      <w:r w:rsidRPr="001A3D2B">
        <w:rPr>
          <w:kern w:val="0"/>
        </w:rPr>
        <w:t>War in Croatia (1991-1995).</w:t>
      </w:r>
    </w:p>
    <w:p w:rsidR="00B30B9F" w:rsidRPr="001A3D2B" w:rsidRDefault="00B30B9F" w:rsidP="00B30B9F">
      <w:pPr>
        <w:pStyle w:val="a3"/>
        <w:rPr>
          <w:kern w:val="0"/>
        </w:rPr>
      </w:pPr>
      <w:r w:rsidRPr="001A3D2B">
        <w:rPr>
          <w:kern w:val="0"/>
        </w:rPr>
        <w:t>Keywords: Citations, Collegium Antropologicum, Croatia, Journal, Journals, Library</w:t>
      </w:r>
      <w:r w:rsidR="005853A9">
        <w:rPr>
          <w:kern w:val="0"/>
        </w:rPr>
        <w:t xml:space="preserve"> and </w:t>
      </w:r>
      <w:r w:rsidRPr="001A3D2B">
        <w:rPr>
          <w:kern w:val="0"/>
        </w:rPr>
        <w:t>Information Sciences, Publications, Research, Scientific Journals, Social Sciences</w:t>
      </w:r>
    </w:p>
    <w:p w:rsidR="00684818" w:rsidRDefault="00684818" w:rsidP="00667AE3">
      <w:pPr>
        <w:pStyle w:val="a3"/>
        <w:rPr>
          <w:kern w:val="0"/>
        </w:rPr>
      </w:pPr>
      <w:r>
        <w:rPr>
          <w:rFonts w:hint="eastAsia"/>
          <w:kern w:val="0"/>
        </w:rPr>
        <w:t>Notes: CCountry</w:t>
      </w:r>
    </w:p>
    <w:p w:rsidR="00667AE3" w:rsidRDefault="00667AE3" w:rsidP="00667AE3">
      <w:pPr>
        <w:pStyle w:val="a3"/>
        <w:rPr>
          <w:kern w:val="0"/>
        </w:rPr>
      </w:pPr>
      <w:r>
        <w:rPr>
          <w:rFonts w:hint="eastAsia"/>
          <w:kern w:val="0"/>
        </w:rPr>
        <w:t xml:space="preserve">? </w:t>
      </w:r>
      <w:r>
        <w:rPr>
          <w:kern w:val="0"/>
        </w:rPr>
        <w:t>Radut, D.S.</w:t>
      </w:r>
      <w:r w:rsidR="005853A9">
        <w:rPr>
          <w:kern w:val="0"/>
        </w:rPr>
        <w:t xml:space="preserve"> and </w:t>
      </w:r>
      <w:r>
        <w:rPr>
          <w:kern w:val="0"/>
        </w:rPr>
        <w:t xml:space="preserve">Sanz-Valero, J. (2011), Croatian bibliometric analysis, 2000-2007. </w:t>
      </w:r>
      <w:r>
        <w:rPr>
          <w:i/>
          <w:iCs/>
          <w:kern w:val="0"/>
        </w:rPr>
        <w:t>Collegium Antropologicum</w:t>
      </w:r>
      <w:r>
        <w:rPr>
          <w:kern w:val="0"/>
        </w:rPr>
        <w:t xml:space="preserve">, </w:t>
      </w:r>
      <w:r>
        <w:rPr>
          <w:b/>
          <w:bCs/>
          <w:kern w:val="0"/>
        </w:rPr>
        <w:t>35</w:t>
      </w:r>
      <w:r>
        <w:rPr>
          <w:kern w:val="0"/>
        </w:rPr>
        <w:t xml:space="preserve"> (2), 269-274.</w:t>
      </w:r>
    </w:p>
    <w:p w:rsidR="00667AE3" w:rsidRPr="00C73C58" w:rsidRDefault="00667AE3" w:rsidP="00667AE3">
      <w:pPr>
        <w:pStyle w:val="a3"/>
        <w:rPr>
          <w:kern w:val="0"/>
        </w:rPr>
      </w:pPr>
      <w:r>
        <w:rPr>
          <w:rFonts w:hint="eastAsia"/>
          <w:kern w:val="0"/>
        </w:rPr>
        <w:t xml:space="preserve">Full Text: </w:t>
      </w:r>
      <w:hyperlink r:id="rId926" w:history="1">
        <w:r w:rsidRPr="00667AE3">
          <w:rPr>
            <w:rStyle w:val="a5"/>
            <w:kern w:val="0"/>
          </w:rPr>
          <w:t>2011\Col Ant35, 269.pdf</w:t>
        </w:r>
      </w:hyperlink>
    </w:p>
    <w:p w:rsidR="00667AE3" w:rsidRDefault="00667AE3" w:rsidP="00667AE3">
      <w:pPr>
        <w:pStyle w:val="a3"/>
        <w:rPr>
          <w:kern w:val="0"/>
        </w:rPr>
      </w:pPr>
      <w:r>
        <w:rPr>
          <w:kern w:val="0"/>
        </w:rPr>
        <w:t>Abstract: To develop search filters</w:t>
      </w:r>
      <w:r w:rsidR="005853A9">
        <w:rPr>
          <w:kern w:val="0"/>
        </w:rPr>
        <w:t xml:space="preserve"> and </w:t>
      </w:r>
      <w:r>
        <w:rPr>
          <w:kern w:val="0"/>
        </w:rPr>
        <w:t>retrieve information estimating</w:t>
      </w:r>
      <w:r w:rsidR="003A1917">
        <w:rPr>
          <w:kern w:val="0"/>
        </w:rPr>
        <w:t xml:space="preserve"> the </w:t>
      </w:r>
      <w:r>
        <w:rPr>
          <w:kern w:val="0"/>
        </w:rPr>
        <w:t>Croatian scientific output (SO) focusing on Public Health (PH)</w:t>
      </w:r>
      <w:r w:rsidR="005853A9">
        <w:rPr>
          <w:kern w:val="0"/>
        </w:rPr>
        <w:t xml:space="preserve"> and </w:t>
      </w:r>
      <w:r>
        <w:rPr>
          <w:kern w:val="0"/>
        </w:rPr>
        <w:t xml:space="preserve">Preventive Medicine (PM) in </w:t>
      </w:r>
      <w:r w:rsidR="00D5664A">
        <w:rPr>
          <w:kern w:val="0"/>
        </w:rPr>
        <w:t>MEDLINE</w:t>
      </w:r>
      <w:r>
        <w:rPr>
          <w:kern w:val="0"/>
        </w:rPr>
        <w:t>. A PubMed search</w:t>
      </w:r>
      <w:r w:rsidR="00427468">
        <w:rPr>
          <w:kern w:val="0"/>
        </w:rPr>
        <w:t xml:space="preserve"> of </w:t>
      </w:r>
      <w:r w:rsidR="003A1917">
        <w:rPr>
          <w:kern w:val="0"/>
        </w:rPr>
        <w:t xml:space="preserve">the </w:t>
      </w:r>
      <w:r w:rsidR="00D5664A">
        <w:rPr>
          <w:kern w:val="0"/>
        </w:rPr>
        <w:t>MEDLINE</w:t>
      </w:r>
      <w:r>
        <w:rPr>
          <w:kern w:val="0"/>
        </w:rPr>
        <w:t xml:space="preserve"> database was performed to retrieve articles added to this database between 2000</w:t>
      </w:r>
      <w:r w:rsidR="005853A9">
        <w:rPr>
          <w:kern w:val="0"/>
        </w:rPr>
        <w:t xml:space="preserve"> and </w:t>
      </w:r>
      <w:r>
        <w:rPr>
          <w:kern w:val="0"/>
        </w:rPr>
        <w:t xml:space="preserve">2007. Search filters inspired by previous strategies were applied involving </w:t>
      </w:r>
      <w:r w:rsidR="0071223E">
        <w:rPr>
          <w:kern w:val="0"/>
        </w:rPr>
        <w:t>‘</w:t>
      </w:r>
      <w:r>
        <w:rPr>
          <w:kern w:val="0"/>
        </w:rPr>
        <w:t>geographical</w:t>
      </w:r>
      <w:r w:rsidR="0071223E">
        <w:rPr>
          <w:kern w:val="0"/>
        </w:rPr>
        <w:t>’</w:t>
      </w:r>
      <w:r>
        <w:rPr>
          <w:kern w:val="0"/>
        </w:rPr>
        <w:t xml:space="preserve">, </w:t>
      </w:r>
      <w:r w:rsidR="0071223E">
        <w:rPr>
          <w:kern w:val="0"/>
        </w:rPr>
        <w:t>‘</w:t>
      </w:r>
      <w:r>
        <w:rPr>
          <w:kern w:val="0"/>
        </w:rPr>
        <w:t>place</w:t>
      </w:r>
      <w:r w:rsidR="00427468">
        <w:rPr>
          <w:kern w:val="0"/>
        </w:rPr>
        <w:t xml:space="preserve"> of </w:t>
      </w:r>
      <w:r>
        <w:rPr>
          <w:kern w:val="0"/>
        </w:rPr>
        <w:t>publication</w:t>
      </w:r>
      <w:r w:rsidR="0071223E">
        <w:rPr>
          <w:kern w:val="0"/>
        </w:rPr>
        <w:t>’</w:t>
      </w:r>
      <w:r>
        <w:rPr>
          <w:kern w:val="0"/>
        </w:rPr>
        <w:t xml:space="preserve">, </w:t>
      </w:r>
      <w:r w:rsidR="0071223E">
        <w:rPr>
          <w:kern w:val="0"/>
        </w:rPr>
        <w:t>‘</w:t>
      </w:r>
      <w:r w:rsidR="00C13DDC">
        <w:rPr>
          <w:kern w:val="0"/>
        </w:rPr>
        <w:t>s</w:t>
      </w:r>
      <w:r>
        <w:rPr>
          <w:kern w:val="0"/>
        </w:rPr>
        <w:t>ubject</w:t>
      </w:r>
      <w:r w:rsidR="0071223E">
        <w:rPr>
          <w:kern w:val="0"/>
        </w:rPr>
        <w:t>’</w:t>
      </w:r>
      <w:r w:rsidR="005853A9">
        <w:rPr>
          <w:kern w:val="0"/>
        </w:rPr>
        <w:t xml:space="preserve"> and </w:t>
      </w:r>
      <w:r w:rsidR="0071223E">
        <w:rPr>
          <w:kern w:val="0"/>
        </w:rPr>
        <w:t>‘</w:t>
      </w:r>
      <w:r>
        <w:rPr>
          <w:kern w:val="0"/>
        </w:rPr>
        <w:t>language</w:t>
      </w:r>
      <w:r w:rsidR="00427468">
        <w:rPr>
          <w:kern w:val="0"/>
        </w:rPr>
        <w:t xml:space="preserve"> of </w:t>
      </w:r>
      <w:r>
        <w:rPr>
          <w:kern w:val="0"/>
        </w:rPr>
        <w:t>publication</w:t>
      </w:r>
      <w:r w:rsidR="0071223E">
        <w:rPr>
          <w:kern w:val="0"/>
        </w:rPr>
        <w:t>’</w:t>
      </w:r>
      <w:r>
        <w:rPr>
          <w:kern w:val="0"/>
        </w:rPr>
        <w:t xml:space="preserve"> aspects. An evaluation</w:t>
      </w:r>
      <w:r w:rsidR="00427468">
        <w:rPr>
          <w:kern w:val="0"/>
        </w:rPr>
        <w:t xml:space="preserve"> of </w:t>
      </w:r>
      <w:r w:rsidR="003A1917">
        <w:rPr>
          <w:kern w:val="0"/>
        </w:rPr>
        <w:t xml:space="preserve">the </w:t>
      </w:r>
      <w:r>
        <w:rPr>
          <w:kern w:val="0"/>
        </w:rPr>
        <w:t>geographical filter performance was done</w:t>
      </w:r>
      <w:r w:rsidR="005853A9">
        <w:rPr>
          <w:kern w:val="0"/>
        </w:rPr>
        <w:t xml:space="preserve"> and </w:t>
      </w:r>
      <w:r>
        <w:rPr>
          <w:kern w:val="0"/>
        </w:rPr>
        <w:t>sensitivity</w:t>
      </w:r>
      <w:r w:rsidR="005853A9">
        <w:rPr>
          <w:kern w:val="0"/>
        </w:rPr>
        <w:t xml:space="preserve"> and </w:t>
      </w:r>
      <w:r>
        <w:rPr>
          <w:kern w:val="0"/>
        </w:rPr>
        <w:t>specificity were calculated</w:t>
      </w:r>
      <w:r w:rsidR="00A37C1D">
        <w:rPr>
          <w:kern w:val="0"/>
        </w:rPr>
        <w:t>. The</w:t>
      </w:r>
      <w:r>
        <w:rPr>
          <w:kern w:val="0"/>
        </w:rPr>
        <w:t>re were obtained publications in several languages, originated in Croatia, published in Croatia and/or abroad</w:t>
      </w:r>
      <w:r w:rsidR="00A37C1D">
        <w:rPr>
          <w:kern w:val="0"/>
        </w:rPr>
        <w:t>. The</w:t>
      </w:r>
      <w:r w:rsidR="003A1917">
        <w:rPr>
          <w:kern w:val="0"/>
        </w:rPr>
        <w:t xml:space="preserve"> </w:t>
      </w:r>
      <w:r>
        <w:rPr>
          <w:kern w:val="0"/>
        </w:rPr>
        <w:t>Croatian SO in</w:t>
      </w:r>
      <w:r w:rsidR="003A1917">
        <w:rPr>
          <w:kern w:val="0"/>
        </w:rPr>
        <w:t xml:space="preserve"> the </w:t>
      </w:r>
      <w:r>
        <w:rPr>
          <w:kern w:val="0"/>
        </w:rPr>
        <w:t>field</w:t>
      </w:r>
      <w:r w:rsidR="00427468">
        <w:rPr>
          <w:kern w:val="0"/>
        </w:rPr>
        <w:t xml:space="preserve"> of </w:t>
      </w:r>
      <w:r>
        <w:rPr>
          <w:kern w:val="0"/>
        </w:rPr>
        <w:t>PH-PM was obtained for</w:t>
      </w:r>
      <w:r w:rsidR="003A1917">
        <w:rPr>
          <w:kern w:val="0"/>
        </w:rPr>
        <w:t xml:space="preserve"> the </w:t>
      </w:r>
      <w:r>
        <w:rPr>
          <w:kern w:val="0"/>
        </w:rPr>
        <w:t>same period</w:t>
      </w:r>
      <w:r w:rsidR="00427468">
        <w:rPr>
          <w:kern w:val="0"/>
        </w:rPr>
        <w:t xml:space="preserve"> of </w:t>
      </w:r>
      <w:r>
        <w:rPr>
          <w:kern w:val="0"/>
        </w:rPr>
        <w:t>time by combining search filters</w:t>
      </w:r>
      <w:r w:rsidR="00A37C1D">
        <w:rPr>
          <w:kern w:val="0"/>
        </w:rPr>
        <w:t>. The</w:t>
      </w:r>
      <w:r w:rsidR="003A1917">
        <w:rPr>
          <w:kern w:val="0"/>
        </w:rPr>
        <w:t xml:space="preserve"> </w:t>
      </w:r>
      <w:r>
        <w:rPr>
          <w:kern w:val="0"/>
        </w:rPr>
        <w:t>evaluation</w:t>
      </w:r>
      <w:r w:rsidR="00427468">
        <w:rPr>
          <w:kern w:val="0"/>
        </w:rPr>
        <w:t xml:space="preserve"> of </w:t>
      </w:r>
      <w:r w:rsidR="003A1917">
        <w:rPr>
          <w:kern w:val="0"/>
        </w:rPr>
        <w:t xml:space="preserve">the </w:t>
      </w:r>
      <w:r>
        <w:rPr>
          <w:kern w:val="0"/>
        </w:rPr>
        <w:t>filter performance showed sensitivity 95.56%</w:t>
      </w:r>
      <w:r w:rsidR="005853A9">
        <w:rPr>
          <w:kern w:val="0"/>
        </w:rPr>
        <w:t xml:space="preserve"> and </w:t>
      </w:r>
      <w:r>
        <w:rPr>
          <w:kern w:val="0"/>
        </w:rPr>
        <w:t>specificity 100%</w:t>
      </w:r>
      <w:r w:rsidR="00A37C1D">
        <w:rPr>
          <w:kern w:val="0"/>
        </w:rPr>
        <w:t>. The</w:t>
      </w:r>
      <w:r w:rsidR="003A1917">
        <w:rPr>
          <w:kern w:val="0"/>
        </w:rPr>
        <w:t xml:space="preserve"> </w:t>
      </w:r>
      <w:r>
        <w:rPr>
          <w:kern w:val="0"/>
        </w:rPr>
        <w:t>filters constructed permitted</w:t>
      </w:r>
      <w:r w:rsidR="003A1917">
        <w:rPr>
          <w:kern w:val="0"/>
        </w:rPr>
        <w:t xml:space="preserve"> the </w:t>
      </w:r>
      <w:r>
        <w:rPr>
          <w:kern w:val="0"/>
        </w:rPr>
        <w:t>retrieval</w:t>
      </w:r>
      <w:r w:rsidR="00427468">
        <w:rPr>
          <w:kern w:val="0"/>
        </w:rPr>
        <w:t xml:space="preserve"> of </w:t>
      </w:r>
      <w:r w:rsidR="003A1917">
        <w:rPr>
          <w:kern w:val="0"/>
        </w:rPr>
        <w:t xml:space="preserve">the </w:t>
      </w:r>
      <w:r>
        <w:rPr>
          <w:kern w:val="0"/>
        </w:rPr>
        <w:t>Croatian eight years research output. Increased tendency was observed in</w:t>
      </w:r>
      <w:r w:rsidR="003A1917">
        <w:rPr>
          <w:kern w:val="0"/>
        </w:rPr>
        <w:t xml:space="preserve"> the </w:t>
      </w:r>
      <w:r>
        <w:rPr>
          <w:kern w:val="0"/>
        </w:rPr>
        <w:t>global SO evolution</w:t>
      </w:r>
      <w:r w:rsidR="005853A9">
        <w:rPr>
          <w:kern w:val="0"/>
        </w:rPr>
        <w:t xml:space="preserve"> and </w:t>
      </w:r>
      <w:r>
        <w:rPr>
          <w:kern w:val="0"/>
        </w:rPr>
        <w:t>in</w:t>
      </w:r>
      <w:r w:rsidR="003A1917">
        <w:rPr>
          <w:kern w:val="0"/>
        </w:rPr>
        <w:t xml:space="preserve"> the </w:t>
      </w:r>
      <w:r>
        <w:rPr>
          <w:kern w:val="0"/>
        </w:rPr>
        <w:t>PH-PM area as well</w:t>
      </w:r>
      <w:r w:rsidR="00A37C1D">
        <w:rPr>
          <w:kern w:val="0"/>
        </w:rPr>
        <w:t>. The</w:t>
      </w:r>
      <w:r w:rsidR="003A1917">
        <w:rPr>
          <w:kern w:val="0"/>
        </w:rPr>
        <w:t xml:space="preserve"> </w:t>
      </w:r>
      <w:r>
        <w:rPr>
          <w:kern w:val="0"/>
        </w:rPr>
        <w:t>main languages</w:t>
      </w:r>
      <w:r w:rsidR="00427468">
        <w:rPr>
          <w:kern w:val="0"/>
        </w:rPr>
        <w:t xml:space="preserve"> of </w:t>
      </w:r>
      <w:r>
        <w:rPr>
          <w:kern w:val="0"/>
        </w:rPr>
        <w:t>publication were English</w:t>
      </w:r>
      <w:r w:rsidR="005853A9">
        <w:rPr>
          <w:kern w:val="0"/>
        </w:rPr>
        <w:t xml:space="preserve"> and </w:t>
      </w:r>
      <w:r>
        <w:rPr>
          <w:kern w:val="0"/>
        </w:rPr>
        <w:t>Croatian. This study is a contribution to research in</w:t>
      </w:r>
      <w:r w:rsidR="003A1917">
        <w:rPr>
          <w:kern w:val="0"/>
        </w:rPr>
        <w:t xml:space="preserve"> the </w:t>
      </w:r>
      <w:r>
        <w:rPr>
          <w:kern w:val="0"/>
        </w:rPr>
        <w:t>field</w:t>
      </w:r>
      <w:r w:rsidR="00427468">
        <w:rPr>
          <w:kern w:val="0"/>
        </w:rPr>
        <w:t xml:space="preserve"> of </w:t>
      </w:r>
      <w:r>
        <w:rPr>
          <w:kern w:val="0"/>
        </w:rPr>
        <w:t>scientific documentation</w:t>
      </w:r>
      <w:r w:rsidR="005853A9">
        <w:rPr>
          <w:kern w:val="0"/>
        </w:rPr>
        <w:t xml:space="preserve"> and </w:t>
      </w:r>
      <w:r>
        <w:rPr>
          <w:kern w:val="0"/>
        </w:rPr>
        <w:t>further analysis is recommended in constructing</w:t>
      </w:r>
      <w:r w:rsidR="005853A9">
        <w:rPr>
          <w:kern w:val="0"/>
        </w:rPr>
        <w:t xml:space="preserve"> and </w:t>
      </w:r>
      <w:r>
        <w:rPr>
          <w:kern w:val="0"/>
        </w:rPr>
        <w:t>developing search filters to retrieve</w:t>
      </w:r>
      <w:r w:rsidR="005853A9">
        <w:rPr>
          <w:kern w:val="0"/>
        </w:rPr>
        <w:t xml:space="preserve"> and </w:t>
      </w:r>
      <w:r>
        <w:rPr>
          <w:kern w:val="0"/>
        </w:rPr>
        <w:t>focus on specific information.</w:t>
      </w:r>
    </w:p>
    <w:p w:rsidR="00667AE3" w:rsidRDefault="00667AE3" w:rsidP="00667AE3">
      <w:pPr>
        <w:pStyle w:val="a3"/>
        <w:rPr>
          <w:kern w:val="0"/>
        </w:rPr>
      </w:pPr>
      <w:r>
        <w:rPr>
          <w:kern w:val="0"/>
        </w:rPr>
        <w:t xml:space="preserve">Keywords: Analysis, Bibliographic, Bibliometric, Bibliometrics, Contribution, Croatia, Databases, Documentation, Evaluation, Evolution, Filter, Health, Information, Journals, Medicine, </w:t>
      </w:r>
      <w:r w:rsidR="00D5664A">
        <w:rPr>
          <w:kern w:val="0"/>
        </w:rPr>
        <w:t>MEDLINE</w:t>
      </w:r>
      <w:r>
        <w:rPr>
          <w:kern w:val="0"/>
        </w:rPr>
        <w:t xml:space="preserve">, </w:t>
      </w:r>
      <w:r>
        <w:rPr>
          <w:rFonts w:hint="eastAsia"/>
          <w:kern w:val="0"/>
        </w:rPr>
        <w:t>p</w:t>
      </w:r>
      <w:r>
        <w:rPr>
          <w:kern w:val="0"/>
        </w:rPr>
        <w:t>H, Preventive Medicine, Public Health, Publication, Publications, PUBMED, Research, Research Output, Scientific Documentation, Scientific Output, Sensitivity, Sensitivity</w:t>
      </w:r>
      <w:r w:rsidR="005853A9">
        <w:rPr>
          <w:kern w:val="0"/>
        </w:rPr>
        <w:t xml:space="preserve"> and </w:t>
      </w:r>
      <w:r>
        <w:rPr>
          <w:kern w:val="0"/>
        </w:rPr>
        <w:t>Specificity, Specificity</w:t>
      </w:r>
    </w:p>
    <w:p w:rsidR="00B54633" w:rsidRDefault="00B54633" w:rsidP="00B54633">
      <w:pPr>
        <w:pStyle w:val="a3"/>
        <w:rPr>
          <w:kern w:val="0"/>
        </w:rPr>
      </w:pPr>
      <w:r>
        <w:rPr>
          <w:rFonts w:hint="eastAsia"/>
          <w:kern w:val="0"/>
        </w:rPr>
        <w:t xml:space="preserve">? </w:t>
      </w:r>
      <w:r>
        <w:rPr>
          <w:kern w:val="0"/>
        </w:rPr>
        <w:t>Gualdi-Russo, E.</w:t>
      </w:r>
      <w:r w:rsidR="005853A9">
        <w:rPr>
          <w:kern w:val="0"/>
        </w:rPr>
        <w:t xml:space="preserve"> and </w:t>
      </w:r>
      <w:r>
        <w:rPr>
          <w:kern w:val="0"/>
        </w:rPr>
        <w:t>Fonti, G. (2013), Recent trend</w:t>
      </w:r>
      <w:r w:rsidR="005853A9">
        <w:rPr>
          <w:kern w:val="0"/>
        </w:rPr>
        <w:t xml:space="preserve"> and </w:t>
      </w:r>
      <w:r>
        <w:rPr>
          <w:kern w:val="0"/>
        </w:rPr>
        <w:t xml:space="preserve">perspectives in forensic anthropology: A bibliometric analysis. </w:t>
      </w:r>
      <w:r>
        <w:rPr>
          <w:i/>
          <w:iCs/>
          <w:kern w:val="0"/>
        </w:rPr>
        <w:t>Collegium Antropologicum</w:t>
      </w:r>
      <w:r>
        <w:rPr>
          <w:kern w:val="0"/>
        </w:rPr>
        <w:t xml:space="preserve">, </w:t>
      </w:r>
      <w:r>
        <w:rPr>
          <w:b/>
          <w:bCs/>
          <w:kern w:val="0"/>
        </w:rPr>
        <w:t>37</w:t>
      </w:r>
      <w:r>
        <w:rPr>
          <w:kern w:val="0"/>
        </w:rPr>
        <w:t xml:space="preserve"> (2), 595-599.</w:t>
      </w:r>
    </w:p>
    <w:p w:rsidR="00B54633" w:rsidRPr="00C73C58" w:rsidRDefault="00B54633" w:rsidP="00B54633">
      <w:pPr>
        <w:pStyle w:val="a3"/>
        <w:rPr>
          <w:kern w:val="0"/>
        </w:rPr>
      </w:pPr>
      <w:r>
        <w:rPr>
          <w:rFonts w:hint="eastAsia"/>
          <w:kern w:val="0"/>
        </w:rPr>
        <w:t xml:space="preserve">Full Text: </w:t>
      </w:r>
      <w:r w:rsidRPr="006D0C8D">
        <w:rPr>
          <w:kern w:val="0"/>
        </w:rPr>
        <w:t>201</w:t>
      </w:r>
      <w:r>
        <w:rPr>
          <w:rFonts w:hint="eastAsia"/>
          <w:kern w:val="0"/>
        </w:rPr>
        <w:t>3</w:t>
      </w:r>
      <w:r w:rsidRPr="006D0C8D">
        <w:rPr>
          <w:kern w:val="0"/>
        </w:rPr>
        <w:t>\Col Ant3</w:t>
      </w:r>
      <w:r>
        <w:rPr>
          <w:rFonts w:hint="eastAsia"/>
          <w:kern w:val="0"/>
        </w:rPr>
        <w:t>7</w:t>
      </w:r>
      <w:r w:rsidRPr="006D0C8D">
        <w:rPr>
          <w:kern w:val="0"/>
        </w:rPr>
        <w:t xml:space="preserve">, </w:t>
      </w:r>
      <w:r>
        <w:rPr>
          <w:rFonts w:hint="eastAsia"/>
          <w:kern w:val="0"/>
        </w:rPr>
        <w:t>595</w:t>
      </w:r>
      <w:r w:rsidRPr="006D0C8D">
        <w:rPr>
          <w:kern w:val="0"/>
        </w:rPr>
        <w:t>.pdf</w:t>
      </w:r>
    </w:p>
    <w:p w:rsidR="00B54633" w:rsidRDefault="00B54633" w:rsidP="00B54633">
      <w:pPr>
        <w:pStyle w:val="a3"/>
        <w:rPr>
          <w:kern w:val="0"/>
        </w:rPr>
      </w:pPr>
      <w:r>
        <w:rPr>
          <w:kern w:val="0"/>
        </w:rPr>
        <w:t>Abstract: This paper evaluates research in Forensic Anthropology (FA) in order to report on the state</w:t>
      </w:r>
      <w:r w:rsidR="00427468">
        <w:rPr>
          <w:kern w:val="0"/>
        </w:rPr>
        <w:t xml:space="preserve"> of </w:t>
      </w:r>
      <w:r>
        <w:rPr>
          <w:kern w:val="0"/>
        </w:rPr>
        <w:t>this field</w:t>
      </w:r>
      <w:r w:rsidR="00427468">
        <w:rPr>
          <w:kern w:val="0"/>
        </w:rPr>
        <w:t xml:space="preserve"> of </w:t>
      </w:r>
      <w:r>
        <w:rPr>
          <w:kern w:val="0"/>
        </w:rPr>
        <w:t>science. In particular, we carried out a review</w:t>
      </w:r>
      <w:r w:rsidR="00427468">
        <w:rPr>
          <w:kern w:val="0"/>
        </w:rPr>
        <w:t xml:space="preserve"> of </w:t>
      </w:r>
      <w:r>
        <w:rPr>
          <w:kern w:val="0"/>
        </w:rPr>
        <w:t xml:space="preserve">all PubMed-listed scientific studies in the past decades using “forensic anthropology” as </w:t>
      </w:r>
      <w:r>
        <w:rPr>
          <w:kern w:val="0"/>
        </w:rPr>
        <w:lastRenderedPageBreak/>
        <w:t>the keyword. In our “meta-analysis”, we observed variation in the number</w:t>
      </w:r>
      <w:r w:rsidR="00427468">
        <w:rPr>
          <w:kern w:val="0"/>
        </w:rPr>
        <w:t xml:space="preserve"> of </w:t>
      </w:r>
      <w:r>
        <w:rPr>
          <w:kern w:val="0"/>
        </w:rPr>
        <w:t>publications per 2-year interval throughout the study period. In total, 1589 studies were found in the database</w:t>
      </w:r>
      <w:r w:rsidR="005853A9">
        <w:rPr>
          <w:kern w:val="0"/>
        </w:rPr>
        <w:t xml:space="preserve"> and </w:t>
      </w:r>
      <w:r>
        <w:rPr>
          <w:kern w:val="0"/>
        </w:rPr>
        <w:t>1292</w:t>
      </w:r>
      <w:r w:rsidR="00427468">
        <w:rPr>
          <w:kern w:val="0"/>
        </w:rPr>
        <w:t xml:space="preserve"> of </w:t>
      </w:r>
      <w:r>
        <w:rPr>
          <w:kern w:val="0"/>
        </w:rPr>
        <w:t>them were published in the period 2000-2009</w:t>
      </w:r>
      <w:r w:rsidR="00A37C1D">
        <w:rPr>
          <w:kern w:val="0"/>
        </w:rPr>
        <w:t>. The</w:t>
      </w:r>
      <w:r>
        <w:rPr>
          <w:kern w:val="0"/>
        </w:rPr>
        <w:t>re was a significant positive correlation between the number</w:t>
      </w:r>
      <w:r w:rsidR="00427468">
        <w:rPr>
          <w:kern w:val="0"/>
        </w:rPr>
        <w:t xml:space="preserve"> of </w:t>
      </w:r>
      <w:r>
        <w:rPr>
          <w:kern w:val="0"/>
        </w:rPr>
        <w:t>published articles</w:t>
      </w:r>
      <w:r w:rsidR="005853A9">
        <w:rPr>
          <w:kern w:val="0"/>
        </w:rPr>
        <w:t xml:space="preserve"> and </w:t>
      </w:r>
      <w:r>
        <w:rPr>
          <w:kern w:val="0"/>
        </w:rPr>
        <w:t>time (subdivided into 2-year intervals)</w:t>
      </w:r>
      <w:r w:rsidR="00A37C1D">
        <w:rPr>
          <w:kern w:val="0"/>
        </w:rPr>
        <w:t>. The</w:t>
      </w:r>
      <w:r>
        <w:rPr>
          <w:kern w:val="0"/>
        </w:rPr>
        <w:t xml:space="preserve"> rate</w:t>
      </w:r>
      <w:r w:rsidR="00427468">
        <w:rPr>
          <w:kern w:val="0"/>
        </w:rPr>
        <w:t xml:space="preserve"> of </w:t>
      </w:r>
      <w:r>
        <w:rPr>
          <w:kern w:val="0"/>
        </w:rPr>
        <w:t>increase was lower in the last decade. Based on the observed trend, we expect that the phenomenon will continue in the near future, reaching a number close to 400 FA publications in PubMed in the biennium 2012-13. We also carried out a specific content analysis</w:t>
      </w:r>
      <w:r w:rsidR="00427468">
        <w:rPr>
          <w:kern w:val="0"/>
        </w:rPr>
        <w:t xml:space="preserve"> of </w:t>
      </w:r>
      <w:r>
        <w:rPr>
          <w:kern w:val="0"/>
        </w:rPr>
        <w:t>all FA papers published in the journal Forensic Science International in the last decade. During this period, the majority</w:t>
      </w:r>
      <w:r w:rsidR="00427468">
        <w:rPr>
          <w:kern w:val="0"/>
        </w:rPr>
        <w:t xml:space="preserve"> of </w:t>
      </w:r>
      <w:r>
        <w:rPr>
          <w:kern w:val="0"/>
        </w:rPr>
        <w:t>FA papers concerned skeletal biology, although there was a positive shift toward virtual anthropological studies.</w:t>
      </w:r>
    </w:p>
    <w:p w:rsidR="00B54633" w:rsidRDefault="00B54633" w:rsidP="00B54633">
      <w:pPr>
        <w:pStyle w:val="a3"/>
        <w:rPr>
          <w:kern w:val="0"/>
        </w:rPr>
      </w:pPr>
      <w:r>
        <w:rPr>
          <w:kern w:val="0"/>
        </w:rPr>
        <w:t>Keywords: Analysis, Article, Bibliometric, Bibliometric Analysis, Bibliometrics, Biology, Content Analysis, Correlation, Database, Field, Forensic Anthropology, Interval, Intervals, Italy, Journal, Papers, Publications, Published Articles, Pubmed, Recent, Research, Research Trend, Review, Science, Specialty, State, Trend</w:t>
      </w:r>
    </w:p>
    <w:p w:rsidR="0023297E" w:rsidRPr="001A3D2B" w:rsidRDefault="0023297E" w:rsidP="0023297E">
      <w:pPr>
        <w:pStyle w:val="1"/>
      </w:pPr>
      <w:r w:rsidRPr="001A3D2B">
        <w:br w:type="page"/>
      </w:r>
      <w:bookmarkStart w:id="342" w:name="_Toc420815069"/>
      <w:r w:rsidRPr="001A3D2B">
        <w:lastRenderedPageBreak/>
        <w:t xml:space="preserve">Title: </w:t>
      </w:r>
      <w:r w:rsidRPr="0023297E">
        <w:rPr>
          <w:szCs w:val="24"/>
        </w:rPr>
        <w:t>Collnet Journal of Scientometrics and Information Management</w:t>
      </w:r>
      <w:bookmarkEnd w:id="342"/>
    </w:p>
    <w:p w:rsidR="0023297E" w:rsidRPr="001A3D2B" w:rsidRDefault="0023297E" w:rsidP="0023297E">
      <w:pPr>
        <w:pStyle w:val="12"/>
      </w:pPr>
      <w:r w:rsidRPr="001A3D2B">
        <w:t xml:space="preserve">Full Journal Title: </w:t>
      </w:r>
      <w:r w:rsidRPr="0023297E">
        <w:rPr>
          <w:kern w:val="0"/>
        </w:rPr>
        <w:t>Collnet Journal of Scientometrics and Information Management</w:t>
      </w:r>
    </w:p>
    <w:p w:rsidR="0023297E" w:rsidRPr="001A3D2B" w:rsidRDefault="0023297E" w:rsidP="0023297E">
      <w:pPr>
        <w:pStyle w:val="12"/>
      </w:pPr>
      <w:r w:rsidRPr="001A3D2B">
        <w:t xml:space="preserve">ISO Abbreviated Title: </w:t>
      </w:r>
    </w:p>
    <w:p w:rsidR="0023297E" w:rsidRPr="001A3D2B" w:rsidRDefault="0023297E" w:rsidP="0023297E">
      <w:pPr>
        <w:pStyle w:val="12"/>
      </w:pPr>
      <w:r w:rsidRPr="001A3D2B">
        <w:t xml:space="preserve">JCR Abbreviated Title: </w:t>
      </w:r>
    </w:p>
    <w:p w:rsidR="0023297E" w:rsidRPr="001A3D2B" w:rsidRDefault="0023297E" w:rsidP="0023297E">
      <w:pPr>
        <w:pStyle w:val="12"/>
      </w:pPr>
      <w:r w:rsidRPr="001A3D2B">
        <w:t xml:space="preserve">ISSN: </w:t>
      </w:r>
    </w:p>
    <w:p w:rsidR="0023297E" w:rsidRPr="001A3D2B" w:rsidRDefault="0023297E" w:rsidP="0023297E">
      <w:pPr>
        <w:pStyle w:val="12"/>
      </w:pPr>
      <w:r w:rsidRPr="001A3D2B">
        <w:t xml:space="preserve">Issues/Year: </w:t>
      </w:r>
    </w:p>
    <w:p w:rsidR="0023297E" w:rsidRPr="001A3D2B" w:rsidRDefault="0023297E" w:rsidP="0023297E">
      <w:pPr>
        <w:pStyle w:val="12"/>
      </w:pPr>
      <w:r w:rsidRPr="001A3D2B">
        <w:t xml:space="preserve">Journal Country/Territory: </w:t>
      </w:r>
    </w:p>
    <w:p w:rsidR="0023297E" w:rsidRPr="001A3D2B" w:rsidRDefault="0023297E" w:rsidP="0023297E">
      <w:pPr>
        <w:pStyle w:val="12"/>
      </w:pPr>
      <w:r w:rsidRPr="001A3D2B">
        <w:t xml:space="preserve">Language: </w:t>
      </w:r>
    </w:p>
    <w:p w:rsidR="0023297E" w:rsidRPr="001A3D2B" w:rsidRDefault="0023297E" w:rsidP="0023297E">
      <w:pPr>
        <w:pStyle w:val="12"/>
      </w:pPr>
      <w:r w:rsidRPr="001A3D2B">
        <w:t xml:space="preserve">Publisher: </w:t>
      </w:r>
    </w:p>
    <w:p w:rsidR="0023297E" w:rsidRPr="001A3D2B" w:rsidRDefault="0023297E" w:rsidP="0023297E">
      <w:pPr>
        <w:pStyle w:val="12"/>
      </w:pPr>
      <w:r w:rsidRPr="001A3D2B">
        <w:t xml:space="preserve">Publisher Address: </w:t>
      </w:r>
    </w:p>
    <w:p w:rsidR="0023297E" w:rsidRPr="001A3D2B" w:rsidRDefault="0023297E" w:rsidP="0023297E">
      <w:pPr>
        <w:pStyle w:val="12"/>
      </w:pPr>
      <w:r w:rsidRPr="001A3D2B">
        <w:t>Subject Categories:</w:t>
      </w:r>
    </w:p>
    <w:p w:rsidR="0023297E" w:rsidRPr="001A3D2B" w:rsidRDefault="0023297E" w:rsidP="0023297E">
      <w:pPr>
        <w:pStyle w:val="12"/>
      </w:pPr>
      <w:r w:rsidRPr="001A3D2B">
        <w:t xml:space="preserve">: Impact Factor </w:t>
      </w:r>
    </w:p>
    <w:p w:rsidR="0023297E" w:rsidRPr="001A3D2B" w:rsidRDefault="0023297E" w:rsidP="0023297E">
      <w:pPr>
        <w:pStyle w:val="a3"/>
        <w:rPr>
          <w:kern w:val="0"/>
          <w:szCs w:val="24"/>
        </w:rPr>
      </w:pPr>
      <w:r w:rsidRPr="001A3D2B">
        <w:rPr>
          <w:kern w:val="0"/>
          <w:szCs w:val="24"/>
        </w:rPr>
        <w:t xml:space="preserve">? </w:t>
      </w:r>
      <w:r w:rsidRPr="0023297E">
        <w:rPr>
          <w:kern w:val="0"/>
          <w:szCs w:val="24"/>
        </w:rPr>
        <w:t xml:space="preserve">Gupta </w:t>
      </w:r>
      <w:r>
        <w:rPr>
          <w:kern w:val="0"/>
          <w:szCs w:val="24"/>
        </w:rPr>
        <w:t>B.</w:t>
      </w:r>
      <w:r w:rsidRPr="0023297E">
        <w:rPr>
          <w:kern w:val="0"/>
          <w:szCs w:val="24"/>
        </w:rPr>
        <w:t>M.</w:t>
      </w:r>
      <w:r>
        <w:rPr>
          <w:rFonts w:hint="eastAsia"/>
          <w:kern w:val="0"/>
          <w:szCs w:val="24"/>
        </w:rPr>
        <w:t xml:space="preserve">, </w:t>
      </w:r>
      <w:r w:rsidRPr="0023297E">
        <w:rPr>
          <w:kern w:val="0"/>
          <w:szCs w:val="24"/>
        </w:rPr>
        <w:t>Bala</w:t>
      </w:r>
      <w:r>
        <w:rPr>
          <w:rFonts w:hint="eastAsia"/>
          <w:kern w:val="0"/>
          <w:szCs w:val="24"/>
        </w:rPr>
        <w:t>, A. and</w:t>
      </w:r>
      <w:r w:rsidRPr="0023297E">
        <w:rPr>
          <w:kern w:val="0"/>
          <w:szCs w:val="24"/>
        </w:rPr>
        <w:t xml:space="preserve"> Gupta</w:t>
      </w:r>
      <w:r>
        <w:rPr>
          <w:rFonts w:hint="eastAsia"/>
          <w:kern w:val="0"/>
          <w:szCs w:val="24"/>
        </w:rPr>
        <w:t>, R.</w:t>
      </w:r>
      <w:r w:rsidRPr="001A3D2B">
        <w:rPr>
          <w:kern w:val="0"/>
          <w:szCs w:val="24"/>
        </w:rPr>
        <w:t xml:space="preserve"> (20</w:t>
      </w:r>
      <w:r>
        <w:rPr>
          <w:rFonts w:hint="eastAsia"/>
          <w:kern w:val="0"/>
          <w:szCs w:val="24"/>
        </w:rPr>
        <w:t>13</w:t>
      </w:r>
      <w:r w:rsidRPr="001A3D2B">
        <w:rPr>
          <w:kern w:val="0"/>
          <w:szCs w:val="24"/>
        </w:rPr>
        <w:t xml:space="preserve">), </w:t>
      </w:r>
      <w:r w:rsidRPr="0023297E">
        <w:rPr>
          <w:kern w:val="0"/>
          <w:szCs w:val="24"/>
        </w:rPr>
        <w:t>World research output in conjunctivitis</w:t>
      </w:r>
      <w:r>
        <w:rPr>
          <w:kern w:val="0"/>
          <w:szCs w:val="24"/>
        </w:rPr>
        <w:t xml:space="preserve"> </w:t>
      </w:r>
      <w:r w:rsidRPr="0023297E">
        <w:rPr>
          <w:kern w:val="0"/>
          <w:szCs w:val="24"/>
        </w:rPr>
        <w:t>research: A quantitative analysis during</w:t>
      </w:r>
      <w:r>
        <w:rPr>
          <w:rFonts w:hint="eastAsia"/>
          <w:kern w:val="0"/>
          <w:szCs w:val="24"/>
        </w:rPr>
        <w:t xml:space="preserve"> </w:t>
      </w:r>
      <w:r w:rsidRPr="0023297E">
        <w:rPr>
          <w:kern w:val="0"/>
          <w:szCs w:val="24"/>
        </w:rPr>
        <w:t>2002-11</w:t>
      </w:r>
      <w:r w:rsidRPr="001A3D2B">
        <w:rPr>
          <w:kern w:val="0"/>
          <w:szCs w:val="24"/>
        </w:rPr>
        <w:t xml:space="preserve">. </w:t>
      </w:r>
      <w:r w:rsidRPr="0023297E">
        <w:rPr>
          <w:i/>
          <w:kern w:val="0"/>
          <w:szCs w:val="24"/>
        </w:rPr>
        <w:t>Collnet Journal of Scientometrics and Information Management</w:t>
      </w:r>
      <w:r w:rsidRPr="001A3D2B">
        <w:rPr>
          <w:kern w:val="0"/>
          <w:szCs w:val="24"/>
        </w:rPr>
        <w:t xml:space="preserve">, </w:t>
      </w:r>
      <w:r>
        <w:rPr>
          <w:rFonts w:hint="eastAsia"/>
          <w:b/>
          <w:bCs/>
          <w:kern w:val="0"/>
          <w:szCs w:val="24"/>
        </w:rPr>
        <w:t>7</w:t>
      </w:r>
      <w:r w:rsidRPr="001A3D2B">
        <w:rPr>
          <w:kern w:val="0"/>
          <w:szCs w:val="24"/>
        </w:rPr>
        <w:t xml:space="preserve"> (</w:t>
      </w:r>
      <w:r>
        <w:rPr>
          <w:rFonts w:hint="eastAsia"/>
          <w:kern w:val="0"/>
          <w:szCs w:val="24"/>
        </w:rPr>
        <w:t>2</w:t>
      </w:r>
      <w:r w:rsidRPr="001A3D2B">
        <w:rPr>
          <w:kern w:val="0"/>
          <w:szCs w:val="24"/>
        </w:rPr>
        <w:t xml:space="preserve">), </w:t>
      </w:r>
      <w:r>
        <w:rPr>
          <w:rFonts w:hint="eastAsia"/>
          <w:kern w:val="0"/>
          <w:szCs w:val="24"/>
        </w:rPr>
        <w:t>261-275</w:t>
      </w:r>
      <w:r w:rsidRPr="001A3D2B">
        <w:rPr>
          <w:kern w:val="0"/>
          <w:szCs w:val="24"/>
        </w:rPr>
        <w:t>.</w:t>
      </w:r>
    </w:p>
    <w:p w:rsidR="0023297E" w:rsidRDefault="0023297E" w:rsidP="0023297E">
      <w:pPr>
        <w:pStyle w:val="a3"/>
        <w:rPr>
          <w:kern w:val="0"/>
          <w:szCs w:val="24"/>
        </w:rPr>
      </w:pPr>
      <w:r w:rsidRPr="001A3D2B">
        <w:rPr>
          <w:kern w:val="0"/>
          <w:szCs w:val="24"/>
        </w:rPr>
        <w:t xml:space="preserve">Full Text: </w:t>
      </w:r>
      <w:r w:rsidRPr="0023297E">
        <w:rPr>
          <w:kern w:val="0"/>
          <w:szCs w:val="24"/>
        </w:rPr>
        <w:t>20</w:t>
      </w:r>
      <w:r>
        <w:rPr>
          <w:rFonts w:hint="eastAsia"/>
          <w:kern w:val="0"/>
          <w:szCs w:val="24"/>
        </w:rPr>
        <w:t>13</w:t>
      </w:r>
      <w:r w:rsidRPr="0023297E">
        <w:rPr>
          <w:kern w:val="0"/>
          <w:szCs w:val="24"/>
        </w:rPr>
        <w:t>\</w:t>
      </w:r>
      <w:r>
        <w:rPr>
          <w:rFonts w:hint="eastAsia"/>
          <w:kern w:val="0"/>
          <w:szCs w:val="24"/>
        </w:rPr>
        <w:t>Col J Sci Inf Man7</w:t>
      </w:r>
      <w:r w:rsidRPr="0023297E">
        <w:rPr>
          <w:kern w:val="0"/>
          <w:szCs w:val="24"/>
        </w:rPr>
        <w:t xml:space="preserve">, </w:t>
      </w:r>
      <w:r>
        <w:rPr>
          <w:rFonts w:hint="eastAsia"/>
          <w:kern w:val="0"/>
          <w:szCs w:val="24"/>
        </w:rPr>
        <w:t>261</w:t>
      </w:r>
      <w:r w:rsidRPr="0023297E">
        <w:rPr>
          <w:kern w:val="0"/>
          <w:szCs w:val="24"/>
        </w:rPr>
        <w:t>.pdf</w:t>
      </w:r>
    </w:p>
    <w:p w:rsidR="0023297E" w:rsidRPr="0023297E" w:rsidRDefault="0023297E" w:rsidP="0023297E">
      <w:pPr>
        <w:pStyle w:val="a3"/>
        <w:rPr>
          <w:kern w:val="0"/>
          <w:szCs w:val="24"/>
        </w:rPr>
      </w:pPr>
      <w:r>
        <w:rPr>
          <w:rFonts w:hint="eastAsia"/>
          <w:kern w:val="0"/>
          <w:szCs w:val="24"/>
        </w:rPr>
        <w:t xml:space="preserve">Abstract: </w:t>
      </w:r>
      <w:r w:rsidRPr="0023297E">
        <w:rPr>
          <w:kern w:val="0"/>
          <w:szCs w:val="24"/>
        </w:rPr>
        <w:t>This study analyses the global publications output in conjunctivitis</w:t>
      </w:r>
      <w:r>
        <w:rPr>
          <w:kern w:val="0"/>
          <w:szCs w:val="24"/>
        </w:rPr>
        <w:t xml:space="preserve"> </w:t>
      </w:r>
      <w:r w:rsidRPr="0023297E">
        <w:rPr>
          <w:kern w:val="0"/>
          <w:szCs w:val="24"/>
        </w:rPr>
        <w:t>research during 2002-11 on several parameters including contribution</w:t>
      </w:r>
      <w:r>
        <w:rPr>
          <w:kern w:val="0"/>
          <w:szCs w:val="24"/>
        </w:rPr>
        <w:t xml:space="preserve"> </w:t>
      </w:r>
      <w:r w:rsidRPr="0023297E">
        <w:rPr>
          <w:kern w:val="0"/>
          <w:szCs w:val="24"/>
        </w:rPr>
        <w:t>&amp; citation impact of top 15 most productive countries, diff erent types</w:t>
      </w:r>
      <w:r>
        <w:rPr>
          <w:kern w:val="0"/>
          <w:szCs w:val="24"/>
        </w:rPr>
        <w:t xml:space="preserve"> </w:t>
      </w:r>
      <w:r w:rsidRPr="0023297E">
        <w:rPr>
          <w:kern w:val="0"/>
          <w:szCs w:val="24"/>
        </w:rPr>
        <w:t>of conjunctivitis research, research output by diff erent population</w:t>
      </w:r>
      <w:r>
        <w:rPr>
          <w:kern w:val="0"/>
          <w:szCs w:val="24"/>
        </w:rPr>
        <w:t xml:space="preserve"> </w:t>
      </w:r>
      <w:r w:rsidRPr="0023297E">
        <w:rPr>
          <w:kern w:val="0"/>
          <w:szCs w:val="24"/>
        </w:rPr>
        <w:t>age groups, subject-wise break-up of research output, relatedness of</w:t>
      </w:r>
      <w:r>
        <w:rPr>
          <w:kern w:val="0"/>
          <w:szCs w:val="24"/>
        </w:rPr>
        <w:t xml:space="preserve"> </w:t>
      </w:r>
      <w:r w:rsidRPr="0023297E">
        <w:rPr>
          <w:kern w:val="0"/>
          <w:szCs w:val="24"/>
        </w:rPr>
        <w:t>various diseases to conjunctivitis research, international collaborative</w:t>
      </w:r>
      <w:r>
        <w:rPr>
          <w:kern w:val="0"/>
          <w:szCs w:val="24"/>
        </w:rPr>
        <w:t xml:space="preserve"> </w:t>
      </w:r>
      <w:r w:rsidRPr="0023297E">
        <w:rPr>
          <w:kern w:val="0"/>
          <w:szCs w:val="24"/>
        </w:rPr>
        <w:t>share, research contribution and impact of top institutions and authors</w:t>
      </w:r>
      <w:r>
        <w:rPr>
          <w:kern w:val="0"/>
          <w:szCs w:val="24"/>
        </w:rPr>
        <w:t xml:space="preserve"> </w:t>
      </w:r>
      <w:r w:rsidRPr="0023297E">
        <w:rPr>
          <w:kern w:val="0"/>
          <w:szCs w:val="24"/>
        </w:rPr>
        <w:t>and productivity of the top journals. The Scopus Citation Database has</w:t>
      </w:r>
      <w:r>
        <w:rPr>
          <w:kern w:val="0"/>
          <w:szCs w:val="24"/>
        </w:rPr>
        <w:t xml:space="preserve"> </w:t>
      </w:r>
      <w:r w:rsidRPr="0023297E">
        <w:rPr>
          <w:kern w:val="0"/>
          <w:szCs w:val="24"/>
        </w:rPr>
        <w:t>been used to retrieve the data for 10 years (2002-11) by searching the</w:t>
      </w:r>
      <w:r>
        <w:rPr>
          <w:kern w:val="0"/>
          <w:szCs w:val="24"/>
        </w:rPr>
        <w:t xml:space="preserve"> </w:t>
      </w:r>
      <w:r w:rsidRPr="0023297E">
        <w:rPr>
          <w:kern w:val="0"/>
          <w:szCs w:val="24"/>
        </w:rPr>
        <w:t>keywords “conjunctivitis” in the combined Title, Abstract and Keywords</w:t>
      </w:r>
      <w:r>
        <w:rPr>
          <w:kern w:val="0"/>
          <w:szCs w:val="24"/>
        </w:rPr>
        <w:t xml:space="preserve"> </w:t>
      </w:r>
      <w:r w:rsidRPr="0023297E">
        <w:rPr>
          <w:kern w:val="0"/>
          <w:szCs w:val="24"/>
        </w:rPr>
        <w:t>fi elds. The study revealed that the world publications output in</w:t>
      </w:r>
      <w:r>
        <w:rPr>
          <w:kern w:val="0"/>
          <w:szCs w:val="24"/>
        </w:rPr>
        <w:t xml:space="preserve"> </w:t>
      </w:r>
      <w:r w:rsidRPr="0023297E">
        <w:rPr>
          <w:kern w:val="0"/>
          <w:szCs w:val="24"/>
        </w:rPr>
        <w:t>conjunctivitis research consisted of 8550 papers during 2002-11, which</w:t>
      </w:r>
      <w:r>
        <w:rPr>
          <w:kern w:val="0"/>
          <w:szCs w:val="24"/>
        </w:rPr>
        <w:t xml:space="preserve"> </w:t>
      </w:r>
      <w:r w:rsidRPr="0023297E">
        <w:rPr>
          <w:kern w:val="0"/>
          <w:szCs w:val="24"/>
        </w:rPr>
        <w:t>increased from 604 papers in 2002 to 945 papers in 2011, witnessing an</w:t>
      </w:r>
      <w:r>
        <w:rPr>
          <w:kern w:val="0"/>
          <w:szCs w:val="24"/>
        </w:rPr>
        <w:t xml:space="preserve"> </w:t>
      </w:r>
      <w:r w:rsidRPr="0023297E">
        <w:rPr>
          <w:kern w:val="0"/>
          <w:szCs w:val="24"/>
        </w:rPr>
        <w:t>annual average growth rate of 5.44%. The world publications registered</w:t>
      </w:r>
      <w:r>
        <w:rPr>
          <w:kern w:val="0"/>
          <w:szCs w:val="24"/>
        </w:rPr>
        <w:t xml:space="preserve"> </w:t>
      </w:r>
      <w:r w:rsidRPr="0023297E">
        <w:rPr>
          <w:kern w:val="0"/>
          <w:szCs w:val="24"/>
        </w:rPr>
        <w:t>the average citation impact per paper of 5.72 during 2002-11, decreasing</w:t>
      </w:r>
      <w:r>
        <w:rPr>
          <w:kern w:val="0"/>
          <w:szCs w:val="24"/>
        </w:rPr>
        <w:t xml:space="preserve"> </w:t>
      </w:r>
      <w:r w:rsidRPr="0023297E">
        <w:rPr>
          <w:kern w:val="0"/>
          <w:szCs w:val="24"/>
        </w:rPr>
        <w:t>from 6.87 during 2002-06 to 4.74 during 2007-11.</w:t>
      </w:r>
    </w:p>
    <w:p w:rsidR="0023297E" w:rsidRPr="001A3D2B" w:rsidRDefault="0023297E" w:rsidP="0023297E">
      <w:pPr>
        <w:pStyle w:val="a3"/>
        <w:rPr>
          <w:kern w:val="0"/>
          <w:szCs w:val="24"/>
        </w:rPr>
      </w:pPr>
      <w:r w:rsidRPr="0023297E">
        <w:rPr>
          <w:kern w:val="0"/>
          <w:szCs w:val="24"/>
        </w:rPr>
        <w:t>Keywords: Conjunctivitis Research, Eye Disease, Publications, Scientometrics</w:t>
      </w:r>
    </w:p>
    <w:p w:rsidR="00997C84" w:rsidRPr="001A3D2B" w:rsidRDefault="00997C84" w:rsidP="00997C84">
      <w:pPr>
        <w:pStyle w:val="1"/>
      </w:pPr>
      <w:r w:rsidRPr="001A3D2B">
        <w:br w:type="page"/>
      </w:r>
      <w:bookmarkStart w:id="343" w:name="_Toc420815070"/>
      <w:r w:rsidRPr="001A3D2B">
        <w:lastRenderedPageBreak/>
        <w:t xml:space="preserve">Title: </w:t>
      </w:r>
      <w:r w:rsidRPr="001A3D2B">
        <w:rPr>
          <w:szCs w:val="24"/>
        </w:rPr>
        <w:t>Colombia Medica</w:t>
      </w:r>
      <w:bookmarkEnd w:id="343"/>
    </w:p>
    <w:p w:rsidR="00997C84" w:rsidRPr="001A3D2B" w:rsidRDefault="00997C84" w:rsidP="00997C84">
      <w:pPr>
        <w:pStyle w:val="12"/>
      </w:pPr>
      <w:r w:rsidRPr="001A3D2B">
        <w:t xml:space="preserve">Full Journal Title: </w:t>
      </w:r>
      <w:r w:rsidRPr="001A3D2B">
        <w:rPr>
          <w:kern w:val="0"/>
        </w:rPr>
        <w:t>Colombia Medica</w:t>
      </w:r>
    </w:p>
    <w:p w:rsidR="00997C84" w:rsidRPr="001A3D2B" w:rsidRDefault="00997C84" w:rsidP="00997C84">
      <w:pPr>
        <w:pStyle w:val="12"/>
      </w:pPr>
      <w:r w:rsidRPr="001A3D2B">
        <w:t xml:space="preserve">ISO Abbreviated Title: </w:t>
      </w:r>
    </w:p>
    <w:p w:rsidR="00997C84" w:rsidRPr="001A3D2B" w:rsidRDefault="00997C84" w:rsidP="00997C84">
      <w:pPr>
        <w:pStyle w:val="12"/>
      </w:pPr>
      <w:r w:rsidRPr="001A3D2B">
        <w:t xml:space="preserve">JCR Abbreviated Title: </w:t>
      </w:r>
    </w:p>
    <w:p w:rsidR="00997C84" w:rsidRPr="001A3D2B" w:rsidRDefault="00997C84" w:rsidP="00997C84">
      <w:pPr>
        <w:pStyle w:val="12"/>
      </w:pPr>
      <w:r w:rsidRPr="001A3D2B">
        <w:t xml:space="preserve">ISSN: </w:t>
      </w:r>
    </w:p>
    <w:p w:rsidR="00997C84" w:rsidRPr="001A3D2B" w:rsidRDefault="00997C84" w:rsidP="00997C84">
      <w:pPr>
        <w:pStyle w:val="12"/>
      </w:pPr>
      <w:r w:rsidRPr="001A3D2B">
        <w:t xml:space="preserve">Issues/Year: </w:t>
      </w:r>
    </w:p>
    <w:p w:rsidR="00997C84" w:rsidRPr="001A3D2B" w:rsidRDefault="00AA25A4" w:rsidP="00997C84">
      <w:pPr>
        <w:pStyle w:val="12"/>
      </w:pPr>
      <w:r w:rsidRPr="001A3D2B">
        <w:t>Journal Country/Territory:</w:t>
      </w:r>
      <w:r w:rsidR="008F46E9" w:rsidRPr="001A3D2B">
        <w:t xml:space="preserve"> </w:t>
      </w:r>
    </w:p>
    <w:p w:rsidR="00997C84" w:rsidRPr="001A3D2B" w:rsidRDefault="00997C84" w:rsidP="00997C84">
      <w:pPr>
        <w:pStyle w:val="12"/>
      </w:pPr>
      <w:r w:rsidRPr="001A3D2B">
        <w:t xml:space="preserve">Language: </w:t>
      </w:r>
    </w:p>
    <w:p w:rsidR="00997C84" w:rsidRPr="001A3D2B" w:rsidRDefault="00997C84" w:rsidP="00997C84">
      <w:pPr>
        <w:pStyle w:val="12"/>
      </w:pPr>
      <w:r w:rsidRPr="001A3D2B">
        <w:t xml:space="preserve">Publisher: </w:t>
      </w:r>
    </w:p>
    <w:p w:rsidR="00997C84" w:rsidRPr="001A3D2B" w:rsidRDefault="00997C84" w:rsidP="00997C84">
      <w:pPr>
        <w:pStyle w:val="12"/>
      </w:pPr>
      <w:r w:rsidRPr="001A3D2B">
        <w:t xml:space="preserve">Publisher Address: </w:t>
      </w:r>
    </w:p>
    <w:p w:rsidR="00997C84" w:rsidRPr="001A3D2B" w:rsidRDefault="00997C84" w:rsidP="00997C84">
      <w:pPr>
        <w:pStyle w:val="12"/>
      </w:pPr>
      <w:r w:rsidRPr="001A3D2B">
        <w:t>Subject Categories:</w:t>
      </w:r>
    </w:p>
    <w:p w:rsidR="00997C84" w:rsidRPr="001A3D2B" w:rsidRDefault="00997C84" w:rsidP="00997C84">
      <w:pPr>
        <w:pStyle w:val="12"/>
      </w:pPr>
      <w:r w:rsidRPr="001A3D2B">
        <w:t xml:space="preserve">: Impact Factor </w:t>
      </w:r>
    </w:p>
    <w:p w:rsidR="00997C84" w:rsidRPr="001A3D2B" w:rsidRDefault="00997C84" w:rsidP="00997C84">
      <w:pPr>
        <w:pStyle w:val="a3"/>
        <w:rPr>
          <w:kern w:val="0"/>
          <w:szCs w:val="24"/>
        </w:rPr>
      </w:pPr>
      <w:r w:rsidRPr="001A3D2B">
        <w:rPr>
          <w:kern w:val="0"/>
          <w:szCs w:val="24"/>
        </w:rPr>
        <w:t>? Camps, D. (2008), Limits</w:t>
      </w:r>
      <w:r w:rsidR="00427468">
        <w:rPr>
          <w:kern w:val="0"/>
          <w:szCs w:val="24"/>
        </w:rPr>
        <w:t xml:space="preserve"> of </w:t>
      </w:r>
      <w:r w:rsidRPr="001A3D2B">
        <w:rPr>
          <w:kern w:val="0"/>
          <w:szCs w:val="24"/>
        </w:rPr>
        <w:t xml:space="preserve">bibliometrics indicators in biomedical scientific research evaluation. </w:t>
      </w:r>
      <w:r w:rsidRPr="001A3D2B">
        <w:rPr>
          <w:i/>
          <w:iCs/>
          <w:kern w:val="0"/>
          <w:szCs w:val="24"/>
        </w:rPr>
        <w:t>Colombia Medica</w:t>
      </w:r>
      <w:r w:rsidRPr="001A3D2B">
        <w:rPr>
          <w:kern w:val="0"/>
          <w:szCs w:val="24"/>
        </w:rPr>
        <w:t xml:space="preserve">, </w:t>
      </w:r>
      <w:r w:rsidRPr="001A3D2B">
        <w:rPr>
          <w:b/>
          <w:bCs/>
          <w:kern w:val="0"/>
          <w:szCs w:val="24"/>
        </w:rPr>
        <w:t>39</w:t>
      </w:r>
      <w:r w:rsidRPr="001A3D2B">
        <w:rPr>
          <w:kern w:val="0"/>
          <w:szCs w:val="24"/>
        </w:rPr>
        <w:t xml:space="preserve"> (1), 74-79.</w:t>
      </w:r>
    </w:p>
    <w:p w:rsidR="00AB360A" w:rsidRPr="001A3D2B" w:rsidRDefault="00AB360A" w:rsidP="00AB360A">
      <w:pPr>
        <w:pStyle w:val="a3"/>
        <w:rPr>
          <w:kern w:val="0"/>
          <w:szCs w:val="24"/>
        </w:rPr>
      </w:pPr>
      <w:r w:rsidRPr="001A3D2B">
        <w:rPr>
          <w:kern w:val="0"/>
          <w:szCs w:val="24"/>
        </w:rPr>
        <w:t xml:space="preserve">Full Text: </w:t>
      </w:r>
      <w:hyperlink r:id="rId927" w:history="1">
        <w:r w:rsidRPr="001A3D2B">
          <w:rPr>
            <w:rStyle w:val="a5"/>
            <w:kern w:val="0"/>
            <w:szCs w:val="24"/>
          </w:rPr>
          <w:t>2008\Col Med39, 74.pdf</w:t>
        </w:r>
      </w:hyperlink>
    </w:p>
    <w:p w:rsidR="00997C84" w:rsidRPr="001A3D2B" w:rsidRDefault="00997C84" w:rsidP="00997C84">
      <w:pPr>
        <w:pStyle w:val="a3"/>
        <w:rPr>
          <w:kern w:val="0"/>
          <w:szCs w:val="24"/>
        </w:rPr>
      </w:pPr>
      <w:r w:rsidRPr="001A3D2B">
        <w:rPr>
          <w:kern w:val="0"/>
          <w:szCs w:val="24"/>
        </w:rPr>
        <w:t>Abstract:</w:t>
      </w:r>
      <w:r w:rsidR="003A1917">
        <w:rPr>
          <w:kern w:val="0"/>
          <w:szCs w:val="24"/>
        </w:rPr>
        <w:t xml:space="preserve"> the </w:t>
      </w:r>
      <w:r w:rsidRPr="001A3D2B">
        <w:rPr>
          <w:kern w:val="0"/>
          <w:szCs w:val="24"/>
        </w:rPr>
        <w:t>use</w:t>
      </w:r>
      <w:r w:rsidR="00427468">
        <w:rPr>
          <w:kern w:val="0"/>
          <w:szCs w:val="24"/>
        </w:rPr>
        <w:t xml:space="preserve"> of </w:t>
      </w:r>
      <w:r w:rsidRPr="001A3D2B">
        <w:rPr>
          <w:kern w:val="0"/>
          <w:szCs w:val="24"/>
        </w:rPr>
        <w:t>bibliometrics indicators to study research activity is based on which</w:t>
      </w:r>
      <w:r w:rsidR="003A1917">
        <w:rPr>
          <w:kern w:val="0"/>
          <w:szCs w:val="24"/>
        </w:rPr>
        <w:t xml:space="preserve"> the </w:t>
      </w:r>
      <w:r w:rsidRPr="001A3D2B">
        <w:rPr>
          <w:kern w:val="0"/>
          <w:szCs w:val="24"/>
        </w:rPr>
        <w:t>scientific publications are essential product</w:t>
      </w:r>
      <w:r w:rsidR="00427468">
        <w:rPr>
          <w:kern w:val="0"/>
          <w:szCs w:val="24"/>
        </w:rPr>
        <w:t xml:space="preserve"> of </w:t>
      </w:r>
      <w:r w:rsidRPr="001A3D2B">
        <w:rPr>
          <w:kern w:val="0"/>
          <w:szCs w:val="24"/>
        </w:rPr>
        <w:t>this activity,</w:t>
      </w:r>
      <w:r w:rsidR="005853A9">
        <w:rPr>
          <w:kern w:val="0"/>
          <w:szCs w:val="24"/>
        </w:rPr>
        <w:t xml:space="preserve"> and </w:t>
      </w:r>
      <w:r w:rsidRPr="001A3D2B">
        <w:rPr>
          <w:kern w:val="0"/>
          <w:szCs w:val="24"/>
        </w:rPr>
        <w:t>provide information about</w:t>
      </w:r>
      <w:r w:rsidR="003A1917">
        <w:rPr>
          <w:kern w:val="0"/>
          <w:szCs w:val="24"/>
        </w:rPr>
        <w:t xml:space="preserve"> the </w:t>
      </w:r>
      <w:r w:rsidRPr="001A3D2B">
        <w:rPr>
          <w:kern w:val="0"/>
          <w:szCs w:val="24"/>
        </w:rPr>
        <w:t>research process, its volume, evolution, visibility</w:t>
      </w:r>
      <w:r w:rsidR="005853A9">
        <w:rPr>
          <w:kern w:val="0"/>
          <w:szCs w:val="24"/>
        </w:rPr>
        <w:t xml:space="preserve"> and </w:t>
      </w:r>
      <w:r w:rsidRPr="001A3D2B">
        <w:rPr>
          <w:kern w:val="0"/>
          <w:szCs w:val="24"/>
        </w:rPr>
        <w:t>structure. So, they allow to value</w:t>
      </w:r>
      <w:r w:rsidR="003A1917">
        <w:rPr>
          <w:kern w:val="0"/>
          <w:szCs w:val="24"/>
        </w:rPr>
        <w:t xml:space="preserve"> the </w:t>
      </w:r>
      <w:r w:rsidRPr="001A3D2B">
        <w:rPr>
          <w:kern w:val="0"/>
          <w:szCs w:val="24"/>
        </w:rPr>
        <w:t>scientific activity,</w:t>
      </w:r>
      <w:r w:rsidR="005853A9">
        <w:rPr>
          <w:kern w:val="0"/>
          <w:szCs w:val="24"/>
        </w:rPr>
        <w:t xml:space="preserve"> and </w:t>
      </w:r>
      <w:r w:rsidRPr="001A3D2B">
        <w:rPr>
          <w:kern w:val="0"/>
          <w:szCs w:val="24"/>
        </w:rPr>
        <w:t>influences (or impact)</w:t>
      </w:r>
      <w:r w:rsidR="00427468">
        <w:rPr>
          <w:kern w:val="0"/>
          <w:szCs w:val="24"/>
        </w:rPr>
        <w:t xml:space="preserve"> of </w:t>
      </w:r>
      <w:r w:rsidR="003A1917">
        <w:rPr>
          <w:kern w:val="0"/>
          <w:szCs w:val="24"/>
        </w:rPr>
        <w:t xml:space="preserve">the </w:t>
      </w:r>
      <w:r w:rsidRPr="001A3D2B">
        <w:rPr>
          <w:kern w:val="0"/>
          <w:szCs w:val="24"/>
        </w:rPr>
        <w:t>work</w:t>
      </w:r>
      <w:r w:rsidR="005853A9">
        <w:rPr>
          <w:kern w:val="0"/>
          <w:szCs w:val="24"/>
        </w:rPr>
        <w:t xml:space="preserve"> and </w:t>
      </w:r>
      <w:r w:rsidR="003A1917">
        <w:rPr>
          <w:kern w:val="0"/>
          <w:szCs w:val="24"/>
        </w:rPr>
        <w:t xml:space="preserve">the </w:t>
      </w:r>
      <w:r w:rsidRPr="001A3D2B">
        <w:rPr>
          <w:kern w:val="0"/>
          <w:szCs w:val="24"/>
        </w:rPr>
        <w:t>sources</w:t>
      </w:r>
      <w:r w:rsidR="00A37C1D">
        <w:rPr>
          <w:kern w:val="0"/>
          <w:szCs w:val="24"/>
        </w:rPr>
        <w:t>. The</w:t>
      </w:r>
      <w:r w:rsidR="003A1917">
        <w:rPr>
          <w:kern w:val="0"/>
          <w:szCs w:val="24"/>
        </w:rPr>
        <w:t xml:space="preserve"> </w:t>
      </w:r>
      <w:r w:rsidRPr="001A3D2B">
        <w:rPr>
          <w:kern w:val="0"/>
          <w:szCs w:val="24"/>
        </w:rPr>
        <w:t>bibliometrics studies, altogether with other indicators, allows an objective quantification</w:t>
      </w:r>
      <w:r w:rsidR="00427468">
        <w:rPr>
          <w:kern w:val="0"/>
          <w:szCs w:val="24"/>
        </w:rPr>
        <w:t xml:space="preserve"> of </w:t>
      </w:r>
      <w:r w:rsidR="003A1917">
        <w:rPr>
          <w:kern w:val="0"/>
          <w:szCs w:val="24"/>
        </w:rPr>
        <w:t xml:space="preserve">the </w:t>
      </w:r>
      <w:r w:rsidRPr="001A3D2B">
        <w:rPr>
          <w:kern w:val="0"/>
          <w:szCs w:val="24"/>
        </w:rPr>
        <w:t>knowledge,</w:t>
      </w:r>
      <w:r w:rsidR="005853A9">
        <w:rPr>
          <w:kern w:val="0"/>
          <w:szCs w:val="24"/>
        </w:rPr>
        <w:t xml:space="preserve"> and </w:t>
      </w:r>
      <w:r w:rsidRPr="001A3D2B">
        <w:rPr>
          <w:kern w:val="0"/>
          <w:szCs w:val="24"/>
        </w:rPr>
        <w:t>are harnessed by</w:t>
      </w:r>
      <w:r w:rsidR="003A1917">
        <w:rPr>
          <w:kern w:val="0"/>
          <w:szCs w:val="24"/>
        </w:rPr>
        <w:t xml:space="preserve"> the </w:t>
      </w:r>
      <w:r w:rsidRPr="001A3D2B">
        <w:rPr>
          <w:kern w:val="0"/>
          <w:szCs w:val="24"/>
        </w:rPr>
        <w:t>present explosion</w:t>
      </w:r>
      <w:r w:rsidR="00427468">
        <w:rPr>
          <w:kern w:val="0"/>
          <w:szCs w:val="24"/>
        </w:rPr>
        <w:t xml:space="preserve"> of </w:t>
      </w:r>
      <w:r w:rsidR="003A1917">
        <w:rPr>
          <w:kern w:val="0"/>
          <w:szCs w:val="24"/>
        </w:rPr>
        <w:t xml:space="preserve">the </w:t>
      </w:r>
      <w:r w:rsidRPr="001A3D2B">
        <w:rPr>
          <w:kern w:val="0"/>
          <w:szCs w:val="24"/>
        </w:rPr>
        <w:t>knowledge</w:t>
      </w:r>
      <w:r w:rsidR="005853A9">
        <w:rPr>
          <w:kern w:val="0"/>
          <w:szCs w:val="24"/>
        </w:rPr>
        <w:t xml:space="preserve"> and </w:t>
      </w:r>
      <w:r w:rsidRPr="001A3D2B">
        <w:rPr>
          <w:kern w:val="0"/>
          <w:szCs w:val="24"/>
        </w:rPr>
        <w:t>its compilation in bibliographical data bases.</w:t>
      </w:r>
    </w:p>
    <w:p w:rsidR="00997C84" w:rsidRPr="001A3D2B" w:rsidRDefault="00997C84" w:rsidP="00997C84">
      <w:pPr>
        <w:pStyle w:val="a3"/>
        <w:rPr>
          <w:kern w:val="0"/>
          <w:szCs w:val="24"/>
        </w:rPr>
      </w:pPr>
      <w:r w:rsidRPr="001A3D2B">
        <w:rPr>
          <w:kern w:val="0"/>
          <w:szCs w:val="24"/>
        </w:rPr>
        <w:t>Keywords: Activity, Bibliometrics, Biomedical, Data, Evaluation, Evolution, Explosion, Impact, Impact Factor, Impact Factors, Indicators, Influences, Information, Journals, Knowledge, Latin America, Objective, Process, Publication, Publications, Quantification, Research, Research Evaluation, Science, Scientific Publications, Scientific Research, Sources, Structure, Value, Visibility, Volume, Work</w:t>
      </w:r>
    </w:p>
    <w:p w:rsidR="00A7204D" w:rsidRDefault="00A7204D" w:rsidP="00A7204D">
      <w:pPr>
        <w:pStyle w:val="a3"/>
        <w:rPr>
          <w:kern w:val="0"/>
        </w:rPr>
      </w:pPr>
      <w:r>
        <w:rPr>
          <w:rFonts w:hint="eastAsia"/>
          <w:kern w:val="0"/>
        </w:rPr>
        <w:t xml:space="preserve">? </w:t>
      </w:r>
      <w:r>
        <w:rPr>
          <w:kern w:val="0"/>
        </w:rPr>
        <w:t>Bacteriol, V.T., Velasquez, C., Burgos, L.C., Carmona, J., Correa, A., Maestre, A.</w:t>
      </w:r>
      <w:r w:rsidR="005853A9">
        <w:rPr>
          <w:kern w:val="0"/>
        </w:rPr>
        <w:t xml:space="preserve"> and </w:t>
      </w:r>
      <w:r>
        <w:rPr>
          <w:kern w:val="0"/>
        </w:rPr>
        <w:t>Uscategui, R. (2008), Retinol levels, iron status, malaria</w:t>
      </w:r>
      <w:r w:rsidR="005853A9">
        <w:rPr>
          <w:kern w:val="0"/>
        </w:rPr>
        <w:t xml:space="preserve"> and </w:t>
      </w:r>
      <w:r>
        <w:rPr>
          <w:kern w:val="0"/>
        </w:rPr>
        <w:t xml:space="preserve">intestinal parasites: TH1/TH2 cytokines relationship. </w:t>
      </w:r>
      <w:r>
        <w:rPr>
          <w:i/>
          <w:iCs/>
          <w:kern w:val="0"/>
        </w:rPr>
        <w:t>Colombia Medica</w:t>
      </w:r>
      <w:r>
        <w:rPr>
          <w:kern w:val="0"/>
        </w:rPr>
        <w:t xml:space="preserve">, </w:t>
      </w:r>
      <w:r>
        <w:rPr>
          <w:b/>
          <w:bCs/>
          <w:kern w:val="0"/>
        </w:rPr>
        <w:t>39</w:t>
      </w:r>
      <w:r>
        <w:rPr>
          <w:kern w:val="0"/>
        </w:rPr>
        <w:t xml:space="preserve"> (3), 276-286.</w:t>
      </w:r>
    </w:p>
    <w:p w:rsidR="00A7204D" w:rsidRPr="00C73C58" w:rsidRDefault="00A7204D" w:rsidP="00A7204D">
      <w:pPr>
        <w:pStyle w:val="a3"/>
        <w:rPr>
          <w:kern w:val="0"/>
          <w:szCs w:val="24"/>
        </w:rPr>
      </w:pPr>
      <w:r w:rsidRPr="00C73C58">
        <w:rPr>
          <w:kern w:val="0"/>
          <w:szCs w:val="24"/>
        </w:rPr>
        <w:t xml:space="preserve">Full Text: </w:t>
      </w:r>
      <w:r w:rsidRPr="00FE1D96">
        <w:rPr>
          <w:kern w:val="0"/>
          <w:szCs w:val="24"/>
        </w:rPr>
        <w:t>20</w:t>
      </w:r>
      <w:r>
        <w:rPr>
          <w:kern w:val="0"/>
          <w:szCs w:val="24"/>
        </w:rPr>
        <w:t xml:space="preserve">08\Col Med39, </w:t>
      </w:r>
      <w:r>
        <w:rPr>
          <w:rFonts w:hint="eastAsia"/>
          <w:kern w:val="0"/>
          <w:szCs w:val="24"/>
        </w:rPr>
        <w:t>276</w:t>
      </w:r>
      <w:r w:rsidRPr="00FE1D96">
        <w:rPr>
          <w:kern w:val="0"/>
          <w:szCs w:val="24"/>
        </w:rPr>
        <w:t>.pdf</w:t>
      </w:r>
    </w:p>
    <w:p w:rsidR="00A7204D" w:rsidRDefault="00A7204D" w:rsidP="00A7204D">
      <w:pPr>
        <w:pStyle w:val="a3"/>
        <w:rPr>
          <w:kern w:val="0"/>
        </w:rPr>
      </w:pPr>
      <w:r>
        <w:rPr>
          <w:kern w:val="0"/>
        </w:rPr>
        <w:t>Abstract: Introduction: Malaria infection, anaemia</w:t>
      </w:r>
      <w:r w:rsidR="005853A9">
        <w:rPr>
          <w:kern w:val="0"/>
        </w:rPr>
        <w:t xml:space="preserve"> and </w:t>
      </w:r>
      <w:r>
        <w:rPr>
          <w:kern w:val="0"/>
        </w:rPr>
        <w:t>intestinal parasitism, are important public health problems in Colombia. Available data suggests that these are not separate conditions, but interrelated. On</w:t>
      </w:r>
      <w:r w:rsidR="003A1917">
        <w:rPr>
          <w:kern w:val="0"/>
        </w:rPr>
        <w:t xml:space="preserve"> the </w:t>
      </w:r>
      <w:r>
        <w:rPr>
          <w:kern w:val="0"/>
        </w:rPr>
        <w:t xml:space="preserve">other hand, retinol supplementation successfully decreases mortality in children. In malaria endemic areas, this supplement reduces severe malaria in children, due to immune modulation by retinol. For example, retinoic acid induced a bias towards a TH2 immune response, an event </w:t>
      </w:r>
      <w:r>
        <w:rPr>
          <w:kern w:val="0"/>
        </w:rPr>
        <w:lastRenderedPageBreak/>
        <w:t>that is associated with protection against severe anaemia. This review aimed at describing some relationships, reported in global biomedical literature, between retinol</w:t>
      </w:r>
      <w:r w:rsidR="005853A9">
        <w:rPr>
          <w:kern w:val="0"/>
        </w:rPr>
        <w:t xml:space="preserve"> and </w:t>
      </w:r>
      <w:r>
        <w:rPr>
          <w:kern w:val="0"/>
        </w:rPr>
        <w:t>malaria; retinol</w:t>
      </w:r>
      <w:r w:rsidR="005853A9">
        <w:rPr>
          <w:kern w:val="0"/>
        </w:rPr>
        <w:t xml:space="preserve"> and </w:t>
      </w:r>
      <w:r>
        <w:rPr>
          <w:kern w:val="0"/>
        </w:rPr>
        <w:t>anaemia; retinol, malaria</w:t>
      </w:r>
      <w:r w:rsidR="005853A9">
        <w:rPr>
          <w:kern w:val="0"/>
        </w:rPr>
        <w:t xml:space="preserve"> and </w:t>
      </w:r>
      <w:r>
        <w:rPr>
          <w:kern w:val="0"/>
        </w:rPr>
        <w:t>intestinal parasites; anaemia</w:t>
      </w:r>
      <w:r w:rsidR="005853A9">
        <w:rPr>
          <w:kern w:val="0"/>
        </w:rPr>
        <w:t xml:space="preserve"> and </w:t>
      </w:r>
      <w:r>
        <w:rPr>
          <w:kern w:val="0"/>
        </w:rPr>
        <w:t>malaria;</w:t>
      </w:r>
      <w:r w:rsidR="005853A9">
        <w:rPr>
          <w:kern w:val="0"/>
        </w:rPr>
        <w:t xml:space="preserve"> and </w:t>
      </w:r>
      <w:r>
        <w:rPr>
          <w:kern w:val="0"/>
        </w:rPr>
        <w:t>to how</w:t>
      </w:r>
      <w:r w:rsidR="003A1917">
        <w:rPr>
          <w:kern w:val="0"/>
        </w:rPr>
        <w:t xml:space="preserve"> the </w:t>
      </w:r>
      <w:r>
        <w:rPr>
          <w:kern w:val="0"/>
        </w:rPr>
        <w:t>TH1/TH2 cytokine pattern in individuals with malaria changes according to retinol supplementation. Methods:</w:t>
      </w:r>
      <w:r w:rsidR="003A1917">
        <w:rPr>
          <w:kern w:val="0"/>
        </w:rPr>
        <w:t xml:space="preserve"> the </w:t>
      </w:r>
      <w:r>
        <w:rPr>
          <w:kern w:val="0"/>
        </w:rPr>
        <w:t xml:space="preserve">following biomedical literature databases were consulted: </w:t>
      </w:r>
      <w:r w:rsidR="00D5664A">
        <w:rPr>
          <w:kern w:val="0"/>
        </w:rPr>
        <w:t>MEDLINE</w:t>
      </w:r>
      <w:r>
        <w:rPr>
          <w:kern w:val="0"/>
        </w:rPr>
        <w:t xml:space="preserve">, Lilacs, Spingerlik, Md. Consultant, </w:t>
      </w:r>
      <w:r w:rsidR="00D5664A">
        <w:rPr>
          <w:kern w:val="0"/>
        </w:rPr>
        <w:t>Web</w:t>
      </w:r>
      <w:r w:rsidR="00427468">
        <w:rPr>
          <w:kern w:val="0"/>
        </w:rPr>
        <w:t xml:space="preserve"> of </w:t>
      </w:r>
      <w:r w:rsidR="00D5664A">
        <w:rPr>
          <w:kern w:val="0"/>
        </w:rPr>
        <w:t>Science</w:t>
      </w:r>
      <w:r>
        <w:rPr>
          <w:kern w:val="0"/>
        </w:rPr>
        <w:t>, Ovid, Scient Direct, Ebsco</w:t>
      </w:r>
      <w:r w:rsidR="005853A9">
        <w:rPr>
          <w:kern w:val="0"/>
        </w:rPr>
        <w:t xml:space="preserve"> and </w:t>
      </w:r>
      <w:r>
        <w:rPr>
          <w:kern w:val="0"/>
        </w:rPr>
        <w:t>Cochrane. Information documenting prevalence</w:t>
      </w:r>
      <w:r w:rsidR="00427468">
        <w:rPr>
          <w:kern w:val="0"/>
        </w:rPr>
        <w:t xml:space="preserve"> of </w:t>
      </w:r>
      <w:r>
        <w:rPr>
          <w:kern w:val="0"/>
        </w:rPr>
        <w:t>malnutrition, subclinical retinol deficiency, anaemia</w:t>
      </w:r>
      <w:r w:rsidR="005853A9">
        <w:rPr>
          <w:kern w:val="0"/>
        </w:rPr>
        <w:t xml:space="preserve"> and </w:t>
      </w:r>
      <w:r>
        <w:rPr>
          <w:kern w:val="0"/>
        </w:rPr>
        <w:t>malaria in Colombian children, as well as papers on</w:t>
      </w:r>
      <w:r w:rsidR="003A1917">
        <w:rPr>
          <w:kern w:val="0"/>
        </w:rPr>
        <w:t xml:space="preserve"> the </w:t>
      </w:r>
      <w:r>
        <w:rPr>
          <w:kern w:val="0"/>
        </w:rPr>
        <w:t>anti-infectious role</w:t>
      </w:r>
      <w:r w:rsidR="00427468">
        <w:rPr>
          <w:kern w:val="0"/>
        </w:rPr>
        <w:t xml:space="preserve"> of </w:t>
      </w:r>
      <w:r>
        <w:rPr>
          <w:kern w:val="0"/>
        </w:rPr>
        <w:t>retinol were also. Results: A relationship between malaria</w:t>
      </w:r>
      <w:r w:rsidR="005853A9">
        <w:rPr>
          <w:kern w:val="0"/>
        </w:rPr>
        <w:t xml:space="preserve"> and </w:t>
      </w:r>
      <w:r>
        <w:rPr>
          <w:kern w:val="0"/>
        </w:rPr>
        <w:t>intestinal parasitic infections was reported. Some studies indicate that helminth infection predispose children to suffer malaria. On</w:t>
      </w:r>
      <w:r w:rsidR="003A1917">
        <w:rPr>
          <w:kern w:val="0"/>
        </w:rPr>
        <w:t xml:space="preserve"> the </w:t>
      </w:r>
      <w:r>
        <w:rPr>
          <w:kern w:val="0"/>
        </w:rPr>
        <w:t>other hand, these intestinal parasites have also been associated with anaemia</w:t>
      </w:r>
      <w:r w:rsidR="005853A9">
        <w:rPr>
          <w:kern w:val="0"/>
        </w:rPr>
        <w:t xml:space="preserve"> and </w:t>
      </w:r>
      <w:r>
        <w:rPr>
          <w:kern w:val="0"/>
        </w:rPr>
        <w:t>low retinol plasma concentrations, which in turn are associated with malaria. No corelation regarding a simultaneous link between all these conditions,</w:t>
      </w:r>
      <w:r w:rsidR="005853A9">
        <w:rPr>
          <w:kern w:val="0"/>
        </w:rPr>
        <w:t xml:space="preserve"> and </w:t>
      </w:r>
      <w:r w:rsidR="003A1917">
        <w:rPr>
          <w:kern w:val="0"/>
        </w:rPr>
        <w:t xml:space="preserve">the </w:t>
      </w:r>
      <w:r>
        <w:rPr>
          <w:kern w:val="0"/>
        </w:rPr>
        <w:t>TH1/TH2 balance was observed. Conclusions:</w:t>
      </w:r>
      <w:r w:rsidR="003A1917">
        <w:rPr>
          <w:kern w:val="0"/>
        </w:rPr>
        <w:t xml:space="preserve"> the </w:t>
      </w:r>
      <w:r>
        <w:rPr>
          <w:kern w:val="0"/>
        </w:rPr>
        <w:t>study</w:t>
      </w:r>
      <w:r w:rsidR="00427468">
        <w:rPr>
          <w:kern w:val="0"/>
        </w:rPr>
        <w:t xml:space="preserve"> of </w:t>
      </w:r>
      <w:r>
        <w:rPr>
          <w:kern w:val="0"/>
        </w:rPr>
        <w:t>associations between malaria, anaemia, intestinal parasite infections</w:t>
      </w:r>
      <w:r w:rsidR="005853A9">
        <w:rPr>
          <w:kern w:val="0"/>
        </w:rPr>
        <w:t xml:space="preserve"> and </w:t>
      </w:r>
      <w:r>
        <w:rPr>
          <w:kern w:val="0"/>
        </w:rPr>
        <w:t>low retinol level, with</w:t>
      </w:r>
      <w:r w:rsidR="003A1917">
        <w:rPr>
          <w:kern w:val="0"/>
        </w:rPr>
        <w:t xml:space="preserve"> the </w:t>
      </w:r>
      <w:r>
        <w:rPr>
          <w:kern w:val="0"/>
        </w:rPr>
        <w:t>TH1/TH2 cytokine response as centerpiece is essential to prevent or provide early treatment.</w:t>
      </w:r>
    </w:p>
    <w:p w:rsidR="00A7204D" w:rsidRDefault="00A7204D" w:rsidP="00A7204D">
      <w:pPr>
        <w:pStyle w:val="a3"/>
        <w:rPr>
          <w:kern w:val="0"/>
        </w:rPr>
      </w:pPr>
      <w:r>
        <w:rPr>
          <w:kern w:val="0"/>
        </w:rPr>
        <w:t xml:space="preserve">Keywords: Anaemia, Balance, Bias, Biomedical, Biomedical Literature, Children, Cochrane, Colombia, Cytokines, Databases, Deficiency, Erythropoietin, Helminth, Immunity, In-Vitro, Induced, Infection, Iron, Literature, Malaria, Methods, Mortality, Papers, Plasma, Plasmodium-Falciparum Malaria, Prevalence, Public Health, Retinol, Review, Science, Serum Retinol, Treatment, Vitamin-A Supplementation, </w:t>
      </w:r>
      <w:r w:rsidR="00D5664A">
        <w:rPr>
          <w:kern w:val="0"/>
        </w:rPr>
        <w:t>Web</w:t>
      </w:r>
      <w:r w:rsidR="00427468">
        <w:rPr>
          <w:kern w:val="0"/>
        </w:rPr>
        <w:t xml:space="preserve"> of </w:t>
      </w:r>
      <w:r w:rsidR="00D5664A">
        <w:rPr>
          <w:kern w:val="0"/>
        </w:rPr>
        <w:t>Science</w:t>
      </w:r>
      <w:r>
        <w:rPr>
          <w:kern w:val="0"/>
        </w:rPr>
        <w:t>, X-Receptor</w:t>
      </w:r>
    </w:p>
    <w:p w:rsidR="00A7204D" w:rsidRPr="001A3D2B" w:rsidRDefault="00A7204D" w:rsidP="00A7204D">
      <w:pPr>
        <w:pStyle w:val="1"/>
      </w:pPr>
      <w:r w:rsidRPr="001A3D2B">
        <w:br w:type="page"/>
      </w:r>
      <w:bookmarkStart w:id="344" w:name="_Toc420815071"/>
      <w:r w:rsidRPr="001A3D2B">
        <w:lastRenderedPageBreak/>
        <w:t xml:space="preserve">Title: </w:t>
      </w:r>
      <w:r w:rsidRPr="00A7204D">
        <w:t>Colorectal Disease</w:t>
      </w:r>
      <w:bookmarkEnd w:id="344"/>
    </w:p>
    <w:p w:rsidR="00A7204D" w:rsidRPr="001A3D2B" w:rsidRDefault="00A7204D" w:rsidP="00A7204D">
      <w:pPr>
        <w:pStyle w:val="12"/>
      </w:pPr>
      <w:r w:rsidRPr="001A3D2B">
        <w:t xml:space="preserve">Full Journal Title: </w:t>
      </w:r>
      <w:r w:rsidRPr="00A7204D">
        <w:rPr>
          <w:iCs/>
          <w:kern w:val="0"/>
        </w:rPr>
        <w:t>Colorectal Disease</w:t>
      </w:r>
    </w:p>
    <w:p w:rsidR="00A7204D" w:rsidRPr="001A3D2B" w:rsidRDefault="00A7204D" w:rsidP="00A7204D">
      <w:pPr>
        <w:pStyle w:val="12"/>
      </w:pPr>
      <w:r w:rsidRPr="001A3D2B">
        <w:t xml:space="preserve">ISO Abbreviated Title: </w:t>
      </w:r>
    </w:p>
    <w:p w:rsidR="00A7204D" w:rsidRPr="001A3D2B" w:rsidRDefault="00A7204D" w:rsidP="00A7204D">
      <w:pPr>
        <w:pStyle w:val="12"/>
      </w:pPr>
      <w:r w:rsidRPr="001A3D2B">
        <w:t xml:space="preserve">JCR Abbreviated Title: </w:t>
      </w:r>
    </w:p>
    <w:p w:rsidR="00A7204D" w:rsidRPr="001A3D2B" w:rsidRDefault="00A7204D" w:rsidP="00A7204D">
      <w:pPr>
        <w:pStyle w:val="12"/>
      </w:pPr>
      <w:r w:rsidRPr="001A3D2B">
        <w:t xml:space="preserve">ISSN: </w:t>
      </w:r>
    </w:p>
    <w:p w:rsidR="00A7204D" w:rsidRPr="001A3D2B" w:rsidRDefault="00A7204D" w:rsidP="00A7204D">
      <w:pPr>
        <w:pStyle w:val="12"/>
      </w:pPr>
      <w:r w:rsidRPr="001A3D2B">
        <w:t xml:space="preserve">Issues/Year: </w:t>
      </w:r>
    </w:p>
    <w:p w:rsidR="00A7204D" w:rsidRPr="001A3D2B" w:rsidRDefault="00A7204D" w:rsidP="00A7204D">
      <w:pPr>
        <w:pStyle w:val="12"/>
      </w:pPr>
      <w:r w:rsidRPr="001A3D2B">
        <w:t xml:space="preserve">Journal Country/Territory: </w:t>
      </w:r>
    </w:p>
    <w:p w:rsidR="00A7204D" w:rsidRPr="001A3D2B" w:rsidRDefault="00A7204D" w:rsidP="00A7204D">
      <w:pPr>
        <w:pStyle w:val="12"/>
      </w:pPr>
      <w:r w:rsidRPr="001A3D2B">
        <w:t xml:space="preserve">Language: </w:t>
      </w:r>
    </w:p>
    <w:p w:rsidR="00A7204D" w:rsidRPr="001A3D2B" w:rsidRDefault="00A7204D" w:rsidP="00A7204D">
      <w:pPr>
        <w:pStyle w:val="12"/>
      </w:pPr>
      <w:r w:rsidRPr="001A3D2B">
        <w:t xml:space="preserve">Publisher: </w:t>
      </w:r>
    </w:p>
    <w:p w:rsidR="00A7204D" w:rsidRPr="001A3D2B" w:rsidRDefault="00A7204D" w:rsidP="00A7204D">
      <w:pPr>
        <w:pStyle w:val="12"/>
      </w:pPr>
      <w:r w:rsidRPr="001A3D2B">
        <w:t xml:space="preserve">Publisher Address: </w:t>
      </w:r>
    </w:p>
    <w:p w:rsidR="00A7204D" w:rsidRPr="001A3D2B" w:rsidRDefault="00A7204D" w:rsidP="00A7204D">
      <w:pPr>
        <w:pStyle w:val="12"/>
      </w:pPr>
      <w:r w:rsidRPr="001A3D2B">
        <w:t>Subject Categories:</w:t>
      </w:r>
    </w:p>
    <w:p w:rsidR="00A7204D" w:rsidRPr="001A3D2B" w:rsidRDefault="00A7204D" w:rsidP="00A7204D">
      <w:pPr>
        <w:pStyle w:val="12"/>
      </w:pPr>
      <w:r w:rsidRPr="001A3D2B">
        <w:t xml:space="preserve">: Impact Factor </w:t>
      </w:r>
    </w:p>
    <w:p w:rsidR="00A7204D" w:rsidRDefault="00A7204D" w:rsidP="00A7204D">
      <w:pPr>
        <w:pStyle w:val="a3"/>
        <w:rPr>
          <w:kern w:val="0"/>
        </w:rPr>
      </w:pPr>
      <w:r>
        <w:rPr>
          <w:rFonts w:hint="eastAsia"/>
          <w:kern w:val="0"/>
        </w:rPr>
        <w:t xml:space="preserve">? </w:t>
      </w:r>
      <w:r>
        <w:rPr>
          <w:kern w:val="0"/>
        </w:rPr>
        <w:t>Toorenvliet, B.R., Swank, H., Schoones, J.W., Hamming, J.F.</w:t>
      </w:r>
      <w:r w:rsidR="005853A9">
        <w:rPr>
          <w:kern w:val="0"/>
        </w:rPr>
        <w:t xml:space="preserve"> and </w:t>
      </w:r>
      <w:r>
        <w:rPr>
          <w:kern w:val="0"/>
        </w:rPr>
        <w:t xml:space="preserve">Bemelman, W.A. (2010), Laparoscopic peritoneal lavage for perforated colonic diverticulitis: A systematic review. </w:t>
      </w:r>
      <w:r w:rsidRPr="00A7204D">
        <w:rPr>
          <w:i/>
          <w:iCs/>
          <w:kern w:val="0"/>
        </w:rPr>
        <w:t>Colorectal Disease</w:t>
      </w:r>
      <w:r>
        <w:rPr>
          <w:kern w:val="0"/>
        </w:rPr>
        <w:t xml:space="preserve">, </w:t>
      </w:r>
      <w:r>
        <w:rPr>
          <w:b/>
          <w:bCs/>
          <w:kern w:val="0"/>
        </w:rPr>
        <w:t>12</w:t>
      </w:r>
      <w:r>
        <w:rPr>
          <w:kern w:val="0"/>
        </w:rPr>
        <w:t xml:space="preserve"> (9), 862-867.</w:t>
      </w:r>
    </w:p>
    <w:p w:rsidR="00060EEB" w:rsidRDefault="00060EEB" w:rsidP="00060EEB">
      <w:pPr>
        <w:pStyle w:val="a3"/>
        <w:rPr>
          <w:kern w:val="0"/>
        </w:rPr>
      </w:pPr>
      <w:r>
        <w:rPr>
          <w:rFonts w:hint="eastAsia"/>
          <w:kern w:val="0"/>
        </w:rPr>
        <w:t xml:space="preserve">Full Text: </w:t>
      </w:r>
      <w:hyperlink r:id="rId928" w:history="1">
        <w:r w:rsidRPr="00060EEB">
          <w:rPr>
            <w:rStyle w:val="a5"/>
            <w:kern w:val="0"/>
          </w:rPr>
          <w:t>2010\Col Dis12, 862.pdf</w:t>
        </w:r>
      </w:hyperlink>
    </w:p>
    <w:p w:rsidR="00A7204D" w:rsidRDefault="00A7204D" w:rsidP="00A7204D">
      <w:pPr>
        <w:pStyle w:val="a3"/>
        <w:rPr>
          <w:kern w:val="0"/>
        </w:rPr>
      </w:pPr>
      <w:r>
        <w:rPr>
          <w:kern w:val="0"/>
        </w:rPr>
        <w:t>Abstract: Aim This systematic review aimed to evaluate</w:t>
      </w:r>
      <w:r w:rsidR="003A1917">
        <w:rPr>
          <w:kern w:val="0"/>
        </w:rPr>
        <w:t xml:space="preserve"> the </w:t>
      </w:r>
      <w:r>
        <w:rPr>
          <w:kern w:val="0"/>
        </w:rPr>
        <w:t>efficacy, morbidity</w:t>
      </w:r>
      <w:r w:rsidR="005853A9">
        <w:rPr>
          <w:kern w:val="0"/>
        </w:rPr>
        <w:t xml:space="preserve"> and </w:t>
      </w:r>
      <w:r>
        <w:rPr>
          <w:kern w:val="0"/>
        </w:rPr>
        <w:t>mortality</w:t>
      </w:r>
      <w:r w:rsidR="00427468">
        <w:rPr>
          <w:kern w:val="0"/>
        </w:rPr>
        <w:t xml:space="preserve"> of </w:t>
      </w:r>
      <w:r>
        <w:rPr>
          <w:kern w:val="0"/>
        </w:rPr>
        <w:t xml:space="preserve">laparoscopic peritoneal lavage for patients with perforated diverticulitis. Method We searched PUBMED, EMBASE,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w:t>
      </w:r>
      <w:r w:rsidR="005853A9">
        <w:rPr>
          <w:kern w:val="0"/>
        </w:rPr>
        <w:t xml:space="preserve"> and </w:t>
      </w:r>
      <w:r>
        <w:rPr>
          <w:kern w:val="0"/>
        </w:rPr>
        <w:t>CINAHL databases, Google Scholar</w:t>
      </w:r>
      <w:r w:rsidR="005853A9">
        <w:rPr>
          <w:kern w:val="0"/>
        </w:rPr>
        <w:t xml:space="preserve"> and </w:t>
      </w:r>
      <w:r>
        <w:rPr>
          <w:kern w:val="0"/>
        </w:rPr>
        <w:t>five major publisher websites without language restriction. All articles which reported</w:t>
      </w:r>
      <w:r w:rsidR="003A1917">
        <w:rPr>
          <w:kern w:val="0"/>
        </w:rPr>
        <w:t xml:space="preserve"> the </w:t>
      </w:r>
      <w:r>
        <w:rPr>
          <w:kern w:val="0"/>
        </w:rPr>
        <w:t>use</w:t>
      </w:r>
      <w:r w:rsidR="00427468">
        <w:rPr>
          <w:kern w:val="0"/>
        </w:rPr>
        <w:t xml:space="preserve"> of </w:t>
      </w:r>
      <w:r>
        <w:rPr>
          <w:kern w:val="0"/>
        </w:rPr>
        <w:t>laparoscopic peritoneal lavage for patients with perforated diverticulitis were included. Results Two prospective cohort studies, nine retrospective case series</w:t>
      </w:r>
      <w:r w:rsidR="005853A9">
        <w:rPr>
          <w:kern w:val="0"/>
        </w:rPr>
        <w:t xml:space="preserve"> and </w:t>
      </w:r>
      <w:r>
        <w:rPr>
          <w:kern w:val="0"/>
        </w:rPr>
        <w:t>two case reports reporting 231 patients were selected for data extraction. Most (77%) patients had purulent peritonitis (Hinchey III). Laparoscopic peritoneal lavage successfully controlled abdominal</w:t>
      </w:r>
      <w:r w:rsidR="005853A9">
        <w:rPr>
          <w:kern w:val="0"/>
        </w:rPr>
        <w:t xml:space="preserve"> and </w:t>
      </w:r>
      <w:r>
        <w:rPr>
          <w:kern w:val="0"/>
        </w:rPr>
        <w:t>systemic sepsis in 95.7%</w:t>
      </w:r>
      <w:r w:rsidR="00427468">
        <w:rPr>
          <w:kern w:val="0"/>
        </w:rPr>
        <w:t xml:space="preserve"> of </w:t>
      </w:r>
      <w:r>
        <w:rPr>
          <w:kern w:val="0"/>
        </w:rPr>
        <w:t>patients. Mortality was 1.7%, morbidity 10.4%</w:t>
      </w:r>
      <w:r w:rsidR="005853A9">
        <w:rPr>
          <w:kern w:val="0"/>
        </w:rPr>
        <w:t xml:space="preserve"> and </w:t>
      </w:r>
      <w:r>
        <w:rPr>
          <w:kern w:val="0"/>
        </w:rPr>
        <w:t>only four (1.7%)</w:t>
      </w:r>
      <w:r w:rsidR="00427468">
        <w:rPr>
          <w:kern w:val="0"/>
        </w:rPr>
        <w:t xml:space="preserve"> of </w:t>
      </w:r>
      <w:r w:rsidR="003A1917">
        <w:rPr>
          <w:kern w:val="0"/>
        </w:rPr>
        <w:t xml:space="preserve">the </w:t>
      </w:r>
      <w:r>
        <w:rPr>
          <w:kern w:val="0"/>
        </w:rPr>
        <w:t>231 patients received a colostomy. Conclusion There have been no publications</w:t>
      </w:r>
      <w:r w:rsidR="00427468">
        <w:rPr>
          <w:kern w:val="0"/>
        </w:rPr>
        <w:t xml:space="preserve"> of </w:t>
      </w:r>
      <w:r>
        <w:rPr>
          <w:kern w:val="0"/>
        </w:rPr>
        <w:t>high methodological quality on laparoscopic peritoneal lavage for patients with perforated colonic diverticulitis</w:t>
      </w:r>
      <w:r w:rsidR="00A37C1D">
        <w:rPr>
          <w:kern w:val="0"/>
        </w:rPr>
        <w:t>. The</w:t>
      </w:r>
      <w:r w:rsidR="003A1917">
        <w:rPr>
          <w:kern w:val="0"/>
        </w:rPr>
        <w:t xml:space="preserve"> </w:t>
      </w:r>
      <w:r>
        <w:rPr>
          <w:kern w:val="0"/>
        </w:rPr>
        <w:t>published papers do, however, show promising results, with high efficacy, low mortality, low morbidity</w:t>
      </w:r>
      <w:r w:rsidR="005853A9">
        <w:rPr>
          <w:kern w:val="0"/>
        </w:rPr>
        <w:t xml:space="preserve"> and </w:t>
      </w:r>
      <w:r>
        <w:rPr>
          <w:kern w:val="0"/>
        </w:rPr>
        <w:t>a minimal need for a colostomy.</w:t>
      </w:r>
    </w:p>
    <w:p w:rsidR="00A7204D" w:rsidRDefault="00A7204D" w:rsidP="00A7204D">
      <w:pPr>
        <w:pStyle w:val="a3"/>
        <w:rPr>
          <w:kern w:val="0"/>
        </w:rPr>
      </w:pPr>
      <w:r>
        <w:rPr>
          <w:kern w:val="0"/>
        </w:rPr>
        <w:t xml:space="preserve">Keywords: Anastomosis, Case Reports, Case Series, Cochrane, Cohort Studies, Colonic, Complicated Diverticulitis, Databases, Disease, Diverticulitis, Efficacy, Embase, Generalized Peritonitis, Google Scholar, Hartmann Procedure, J-Surg 2008, Laparoscopy, Management, Morbidity, Mortality, Papers, Peritoneal Lavage, Peritonitis, Practice Parameters, Primary Resection, Publications, Pubmed, Review, Science, Sigmoid Diverticulitis, Systematic, Systematic Review, </w:t>
      </w:r>
      <w:r w:rsidR="00D5664A">
        <w:rPr>
          <w:kern w:val="0"/>
        </w:rPr>
        <w:t>Web</w:t>
      </w:r>
      <w:r w:rsidR="00427468">
        <w:rPr>
          <w:kern w:val="0"/>
        </w:rPr>
        <w:t xml:space="preserve"> of </w:t>
      </w:r>
      <w:r w:rsidR="00D5664A">
        <w:rPr>
          <w:kern w:val="0"/>
        </w:rPr>
        <w:t>Science</w:t>
      </w:r>
      <w:r>
        <w:rPr>
          <w:kern w:val="0"/>
        </w:rPr>
        <w:t xml:space="preserve">, </w:t>
      </w:r>
      <w:r>
        <w:rPr>
          <w:kern w:val="0"/>
        </w:rPr>
        <w:lastRenderedPageBreak/>
        <w:t>Websites</w:t>
      </w:r>
    </w:p>
    <w:p w:rsidR="00A7204D" w:rsidRDefault="00A7204D" w:rsidP="00A7204D">
      <w:pPr>
        <w:pStyle w:val="a3"/>
        <w:rPr>
          <w:kern w:val="0"/>
        </w:rPr>
      </w:pPr>
      <w:r>
        <w:rPr>
          <w:rFonts w:hint="eastAsia"/>
          <w:kern w:val="0"/>
        </w:rPr>
        <w:t xml:space="preserve">? </w:t>
      </w:r>
      <w:r>
        <w:rPr>
          <w:kern w:val="0"/>
        </w:rPr>
        <w:t>Nielsen, M.B., Laurberg, S.</w:t>
      </w:r>
      <w:r w:rsidR="005853A9">
        <w:rPr>
          <w:kern w:val="0"/>
        </w:rPr>
        <w:t xml:space="preserve"> and </w:t>
      </w:r>
      <w:r>
        <w:rPr>
          <w:kern w:val="0"/>
        </w:rPr>
        <w:t>Holm, T. (2011), Current management</w:t>
      </w:r>
      <w:r w:rsidR="00427468">
        <w:rPr>
          <w:kern w:val="0"/>
        </w:rPr>
        <w:t xml:space="preserve"> of </w:t>
      </w:r>
      <w:r>
        <w:rPr>
          <w:kern w:val="0"/>
        </w:rPr>
        <w:t xml:space="preserve">locally recurrent rectal cancer. </w:t>
      </w:r>
      <w:r>
        <w:rPr>
          <w:i/>
          <w:iCs/>
          <w:kern w:val="0"/>
        </w:rPr>
        <w:t>Colorectal Disease</w:t>
      </w:r>
      <w:r>
        <w:rPr>
          <w:kern w:val="0"/>
        </w:rPr>
        <w:t xml:space="preserve">, </w:t>
      </w:r>
      <w:r>
        <w:rPr>
          <w:b/>
          <w:bCs/>
          <w:kern w:val="0"/>
        </w:rPr>
        <w:t>13</w:t>
      </w:r>
      <w:r>
        <w:rPr>
          <w:kern w:val="0"/>
        </w:rPr>
        <w:t xml:space="preserve"> (7), 732-742.</w:t>
      </w:r>
    </w:p>
    <w:p w:rsidR="00060EEB" w:rsidRDefault="00060EEB" w:rsidP="00060EEB">
      <w:pPr>
        <w:pStyle w:val="a3"/>
        <w:rPr>
          <w:kern w:val="0"/>
        </w:rPr>
      </w:pPr>
      <w:r>
        <w:rPr>
          <w:rFonts w:hint="eastAsia"/>
          <w:kern w:val="0"/>
        </w:rPr>
        <w:t xml:space="preserve">Full Text: </w:t>
      </w:r>
      <w:hyperlink r:id="rId929" w:history="1">
        <w:r w:rsidRPr="00060EEB">
          <w:rPr>
            <w:rStyle w:val="a5"/>
            <w:kern w:val="0"/>
          </w:rPr>
          <w:t>2011\Col Dis13, 732.pdf</w:t>
        </w:r>
      </w:hyperlink>
    </w:p>
    <w:p w:rsidR="00A7204D" w:rsidRDefault="00A7204D" w:rsidP="00A7204D">
      <w:pPr>
        <w:pStyle w:val="a3"/>
        <w:rPr>
          <w:kern w:val="0"/>
        </w:rPr>
      </w:pPr>
      <w:r>
        <w:rPr>
          <w:kern w:val="0"/>
        </w:rPr>
        <w:t>Abstract: Aim A review</w:t>
      </w:r>
      <w:r w:rsidR="00427468">
        <w:rPr>
          <w:kern w:val="0"/>
        </w:rPr>
        <w:t xml:space="preserve"> of </w:t>
      </w:r>
      <w:r w:rsidR="003A1917">
        <w:rPr>
          <w:kern w:val="0"/>
        </w:rPr>
        <w:t xml:space="preserve">the </w:t>
      </w:r>
      <w:r>
        <w:rPr>
          <w:kern w:val="0"/>
        </w:rPr>
        <w:t>literature was undertaken to provide an overview</w:t>
      </w:r>
      <w:r w:rsidR="00427468">
        <w:rPr>
          <w:kern w:val="0"/>
        </w:rPr>
        <w:t xml:space="preserve"> of </w:t>
      </w:r>
      <w:r w:rsidR="003A1917">
        <w:rPr>
          <w:kern w:val="0"/>
        </w:rPr>
        <w:t xml:space="preserve">the </w:t>
      </w:r>
      <w:r>
        <w:rPr>
          <w:kern w:val="0"/>
        </w:rPr>
        <w:t>surgical management</w:t>
      </w:r>
      <w:r w:rsidR="00427468">
        <w:rPr>
          <w:kern w:val="0"/>
        </w:rPr>
        <w:t xml:space="preserve"> of </w:t>
      </w:r>
      <w:r>
        <w:rPr>
          <w:kern w:val="0"/>
        </w:rPr>
        <w:t>locally recurrent rectal cancer (LRRC) after</w:t>
      </w:r>
      <w:r w:rsidR="003A1917">
        <w:rPr>
          <w:kern w:val="0"/>
        </w:rPr>
        <w:t xml:space="preserve"> the </w:t>
      </w:r>
      <w:r>
        <w:rPr>
          <w:kern w:val="0"/>
        </w:rPr>
        <w:t>introduction</w:t>
      </w:r>
      <w:r w:rsidR="00427468">
        <w:rPr>
          <w:kern w:val="0"/>
        </w:rPr>
        <w:t xml:space="preserve"> of </w:t>
      </w:r>
      <w:r>
        <w:rPr>
          <w:kern w:val="0"/>
        </w:rPr>
        <w:t xml:space="preserve">total mesorectal excision (TME). Method A systematic literature search was undertaken using PUBMED, EMBASE,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Cochrane databases. Only studies on patients having surgery for their primary tumour after 1995, or if more than half</w:t>
      </w:r>
      <w:r w:rsidR="00427468">
        <w:rPr>
          <w:kern w:val="0"/>
        </w:rPr>
        <w:t xml:space="preserve"> of </w:t>
      </w:r>
      <w:r w:rsidR="003A1917">
        <w:rPr>
          <w:kern w:val="0"/>
        </w:rPr>
        <w:t xml:space="preserve">the </w:t>
      </w:r>
      <w:r>
        <w:rPr>
          <w:kern w:val="0"/>
        </w:rPr>
        <w:t>patients were operated on after 1995, were considered for analysis. Studies concerning only palliative treatments were excluded. Results A total</w:t>
      </w:r>
      <w:r w:rsidR="00427468">
        <w:rPr>
          <w:kern w:val="0"/>
        </w:rPr>
        <w:t xml:space="preserve"> of </w:t>
      </w:r>
      <w:r>
        <w:rPr>
          <w:kern w:val="0"/>
        </w:rPr>
        <w:t>19 studies fulfilled</w:t>
      </w:r>
      <w:r w:rsidR="003A1917">
        <w:rPr>
          <w:kern w:val="0"/>
        </w:rPr>
        <w:t xml:space="preserve"> the </w:t>
      </w:r>
      <w:r>
        <w:rPr>
          <w:kern w:val="0"/>
        </w:rPr>
        <w:t>inclusion criteria. Locally recurrent rectal cancer still occurred in 5-10%</w:t>
      </w:r>
      <w:r w:rsidR="00427468">
        <w:rPr>
          <w:kern w:val="0"/>
        </w:rPr>
        <w:t xml:space="preserve"> of </w:t>
      </w:r>
      <w:r w:rsidR="003A1917">
        <w:rPr>
          <w:kern w:val="0"/>
        </w:rPr>
        <w:t xml:space="preserve">the </w:t>
      </w:r>
      <w:r>
        <w:rPr>
          <w:kern w:val="0"/>
        </w:rPr>
        <w:t>patients</w:t>
      </w:r>
      <w:r w:rsidR="005853A9">
        <w:rPr>
          <w:kern w:val="0"/>
        </w:rPr>
        <w:t xml:space="preserve"> and </w:t>
      </w:r>
      <w:r>
        <w:rPr>
          <w:kern w:val="0"/>
        </w:rPr>
        <w:t>was a major clinical problem, due to severe symptoms</w:t>
      </w:r>
      <w:r w:rsidR="005853A9">
        <w:rPr>
          <w:kern w:val="0"/>
        </w:rPr>
        <w:t xml:space="preserve"> and </w:t>
      </w:r>
      <w:r>
        <w:rPr>
          <w:kern w:val="0"/>
        </w:rPr>
        <w:t>poor survival. In most studies, 40-50%</w:t>
      </w:r>
      <w:r w:rsidR="00427468">
        <w:rPr>
          <w:kern w:val="0"/>
        </w:rPr>
        <w:t xml:space="preserve"> of </w:t>
      </w:r>
      <w:r>
        <w:rPr>
          <w:kern w:val="0"/>
        </w:rPr>
        <w:t>all patients with LRRC could be expected to undergo surgery with a curative intent</w:t>
      </w:r>
      <w:r w:rsidR="005853A9">
        <w:rPr>
          <w:kern w:val="0"/>
        </w:rPr>
        <w:t xml:space="preserve"> and</w:t>
      </w:r>
      <w:r w:rsidR="00427468">
        <w:rPr>
          <w:kern w:val="0"/>
        </w:rPr>
        <w:t xml:space="preserve"> of </w:t>
      </w:r>
      <w:r>
        <w:rPr>
          <w:kern w:val="0"/>
        </w:rPr>
        <w:t>those, 30-45% would have R0 resection. Thus, only 20-30%</w:t>
      </w:r>
      <w:r w:rsidR="00427468">
        <w:rPr>
          <w:kern w:val="0"/>
        </w:rPr>
        <w:t xml:space="preserve"> of </w:t>
      </w:r>
      <w:r>
        <w:rPr>
          <w:kern w:val="0"/>
        </w:rPr>
        <w:t>all patients with LRRC would have a potentially curative operation</w:t>
      </w:r>
      <w:r w:rsidR="00A37C1D">
        <w:rPr>
          <w:kern w:val="0"/>
        </w:rPr>
        <w:t>. The</w:t>
      </w:r>
      <w:r w:rsidR="003A1917">
        <w:rPr>
          <w:kern w:val="0"/>
        </w:rPr>
        <w:t xml:space="preserve"> </w:t>
      </w:r>
      <w:r>
        <w:rPr>
          <w:kern w:val="0"/>
        </w:rPr>
        <w:t>postoperative complication rate varied considerably, from 15 to 68%</w:t>
      </w:r>
      <w:r w:rsidR="00A37C1D">
        <w:rPr>
          <w:kern w:val="0"/>
        </w:rPr>
        <w:t>. The</w:t>
      </w:r>
      <w:r w:rsidR="003A1917">
        <w:rPr>
          <w:kern w:val="0"/>
        </w:rPr>
        <w:t xml:space="preserve"> </w:t>
      </w:r>
      <w:r>
        <w:rPr>
          <w:kern w:val="0"/>
        </w:rPr>
        <w:t>rate</w:t>
      </w:r>
      <w:r w:rsidR="00427468">
        <w:rPr>
          <w:kern w:val="0"/>
        </w:rPr>
        <w:t xml:space="preserve"> of </w:t>
      </w:r>
      <w:r>
        <w:rPr>
          <w:kern w:val="0"/>
        </w:rPr>
        <w:t>re-recurrence varied from 4 to 54% after curative surgery</w:t>
      </w:r>
      <w:r w:rsidR="00A37C1D">
        <w:rPr>
          <w:kern w:val="0"/>
        </w:rPr>
        <w:t>. The</w:t>
      </w:r>
      <w:r w:rsidR="003A1917">
        <w:rPr>
          <w:kern w:val="0"/>
        </w:rPr>
        <w:t xml:space="preserve"> </w:t>
      </w:r>
      <w:r>
        <w:rPr>
          <w:kern w:val="0"/>
        </w:rPr>
        <w:t>5-year overall survival varied between 9</w:t>
      </w:r>
      <w:r w:rsidR="005853A9">
        <w:rPr>
          <w:kern w:val="0"/>
        </w:rPr>
        <w:t xml:space="preserve"> and </w:t>
      </w:r>
      <w:r>
        <w:rPr>
          <w:kern w:val="0"/>
        </w:rPr>
        <w:t>39%</w:t>
      </w:r>
      <w:r w:rsidR="005853A9">
        <w:rPr>
          <w:kern w:val="0"/>
        </w:rPr>
        <w:t xml:space="preserve"> and </w:t>
      </w:r>
      <w:r w:rsidR="003A1917">
        <w:rPr>
          <w:kern w:val="0"/>
        </w:rPr>
        <w:t xml:space="preserve">the </w:t>
      </w:r>
      <w:r>
        <w:rPr>
          <w:kern w:val="0"/>
        </w:rPr>
        <w:t>median survival between 21</w:t>
      </w:r>
      <w:r w:rsidR="005853A9">
        <w:rPr>
          <w:kern w:val="0"/>
        </w:rPr>
        <w:t xml:space="preserve"> and </w:t>
      </w:r>
      <w:r>
        <w:rPr>
          <w:kern w:val="0"/>
        </w:rPr>
        <w:t>55 months. Conclusion Compared with previous studies,</w:t>
      </w:r>
      <w:r w:rsidR="003A1917">
        <w:rPr>
          <w:kern w:val="0"/>
        </w:rPr>
        <w:t xml:space="preserve"> the </w:t>
      </w:r>
      <w:r>
        <w:rPr>
          <w:kern w:val="0"/>
        </w:rPr>
        <w:t>proportion</w:t>
      </w:r>
      <w:r w:rsidR="00427468">
        <w:rPr>
          <w:kern w:val="0"/>
        </w:rPr>
        <w:t xml:space="preserve"> of </w:t>
      </w:r>
      <w:r>
        <w:rPr>
          <w:kern w:val="0"/>
        </w:rPr>
        <w:t>potentially curative resections seems to have increased, probably due to improved staging, neoadjuvant treatment</w:t>
      </w:r>
      <w:r w:rsidR="005853A9">
        <w:rPr>
          <w:kern w:val="0"/>
        </w:rPr>
        <w:t xml:space="preserve"> and </w:t>
      </w:r>
      <w:r>
        <w:rPr>
          <w:kern w:val="0"/>
        </w:rPr>
        <w:t>increased surgical experience in dedicated centres, which has resulted in a tendency to improved survival.</w:t>
      </w:r>
    </w:p>
    <w:p w:rsidR="00A7204D" w:rsidRDefault="00A7204D" w:rsidP="00A7204D">
      <w:pPr>
        <w:pStyle w:val="a3"/>
        <w:rPr>
          <w:kern w:val="0"/>
        </w:rPr>
      </w:pPr>
      <w:r>
        <w:rPr>
          <w:kern w:val="0"/>
        </w:rPr>
        <w:t>Keywords: Abdominoperineal Resection, Analysis, Cancer, Cochrane, Colorectal-Cancer, Databases, Intraoperative Radiation-Therapy, Literature, Locally Recurrent Rectal Cancer, Management, Multidisciplinary Team, Outcome, Overview, Pelvic Recurrence, Preoperative Radiotherapy, Primary, PUBMED, Quality</w:t>
      </w:r>
      <w:r w:rsidR="00434900">
        <w:rPr>
          <w:kern w:val="0"/>
        </w:rPr>
        <w:t>-of-</w:t>
      </w:r>
      <w:r>
        <w:rPr>
          <w:kern w:val="0"/>
        </w:rPr>
        <w:t xml:space="preserve">Life, Radical Resection, Rectal Cancer, Review, Science, Surgery, Surgical, Surgical Speciality, Survival, Symptoms, Systematic, TME, Total Mesorectal Excision, Treatment, </w:t>
      </w:r>
      <w:r w:rsidR="00D5664A">
        <w:rPr>
          <w:kern w:val="0"/>
        </w:rPr>
        <w:t>Web</w:t>
      </w:r>
      <w:r w:rsidR="00427468">
        <w:rPr>
          <w:kern w:val="0"/>
        </w:rPr>
        <w:t xml:space="preserve"> of </w:t>
      </w:r>
      <w:r w:rsidR="00D5664A">
        <w:rPr>
          <w:kern w:val="0"/>
        </w:rPr>
        <w:t>Science</w:t>
      </w:r>
    </w:p>
    <w:p w:rsidR="00060EEB" w:rsidRDefault="00060EEB" w:rsidP="00060EEB">
      <w:pPr>
        <w:pStyle w:val="a3"/>
        <w:rPr>
          <w:kern w:val="0"/>
        </w:rPr>
      </w:pPr>
      <w:r>
        <w:rPr>
          <w:rFonts w:hint="eastAsia"/>
          <w:kern w:val="0"/>
        </w:rPr>
        <w:t xml:space="preserve">? </w:t>
      </w:r>
      <w:r>
        <w:rPr>
          <w:kern w:val="0"/>
        </w:rPr>
        <w:t>Papaioannou, D., Cooper, K.L., Carroll, C., Hind, D., Squires, H., Tappenden, P.</w:t>
      </w:r>
      <w:r w:rsidR="005853A9">
        <w:rPr>
          <w:kern w:val="0"/>
        </w:rPr>
        <w:t xml:space="preserve"> and </w:t>
      </w:r>
      <w:r>
        <w:rPr>
          <w:kern w:val="0"/>
        </w:rPr>
        <w:t>Logan, R.F. (2011), Antioxidants in</w:t>
      </w:r>
      <w:r w:rsidR="003A1917">
        <w:rPr>
          <w:kern w:val="0"/>
        </w:rPr>
        <w:t xml:space="preserve"> the </w:t>
      </w:r>
      <w:r>
        <w:rPr>
          <w:kern w:val="0"/>
        </w:rPr>
        <w:t>chemoprevention</w:t>
      </w:r>
      <w:r w:rsidR="00427468">
        <w:rPr>
          <w:kern w:val="0"/>
        </w:rPr>
        <w:t xml:space="preserve"> of </w:t>
      </w:r>
      <w:r>
        <w:rPr>
          <w:kern w:val="0"/>
        </w:rPr>
        <w:t>colorectal cancer</w:t>
      </w:r>
      <w:r w:rsidR="005853A9">
        <w:rPr>
          <w:kern w:val="0"/>
        </w:rPr>
        <w:t xml:space="preserve"> and </w:t>
      </w:r>
      <w:r>
        <w:rPr>
          <w:kern w:val="0"/>
        </w:rPr>
        <w:t>colorectal adenomas in</w:t>
      </w:r>
      <w:r w:rsidR="003A1917">
        <w:rPr>
          <w:kern w:val="0"/>
        </w:rPr>
        <w:t xml:space="preserve"> the </w:t>
      </w:r>
      <w:r>
        <w:rPr>
          <w:kern w:val="0"/>
        </w:rPr>
        <w:t>general population: A systematic review</w:t>
      </w:r>
      <w:r w:rsidR="005853A9">
        <w:rPr>
          <w:kern w:val="0"/>
        </w:rPr>
        <w:t xml:space="preserve"> and </w:t>
      </w:r>
      <w:r>
        <w:rPr>
          <w:kern w:val="0"/>
        </w:rPr>
        <w:t xml:space="preserve">meta-analysis. </w:t>
      </w:r>
      <w:r>
        <w:rPr>
          <w:i/>
          <w:iCs/>
          <w:kern w:val="0"/>
        </w:rPr>
        <w:t>Colorectal Disease</w:t>
      </w:r>
      <w:r>
        <w:rPr>
          <w:kern w:val="0"/>
        </w:rPr>
        <w:t xml:space="preserve">, </w:t>
      </w:r>
      <w:r>
        <w:rPr>
          <w:b/>
          <w:bCs/>
          <w:kern w:val="0"/>
        </w:rPr>
        <w:t>13</w:t>
      </w:r>
      <w:r>
        <w:rPr>
          <w:kern w:val="0"/>
        </w:rPr>
        <w:t xml:space="preserve"> (10), 1085-1099.</w:t>
      </w:r>
    </w:p>
    <w:p w:rsidR="00060EEB" w:rsidRDefault="00060EEB" w:rsidP="00060EEB">
      <w:pPr>
        <w:pStyle w:val="a3"/>
        <w:rPr>
          <w:kern w:val="0"/>
        </w:rPr>
      </w:pPr>
      <w:r>
        <w:rPr>
          <w:rFonts w:hint="eastAsia"/>
          <w:kern w:val="0"/>
        </w:rPr>
        <w:t xml:space="preserve">Full Text: </w:t>
      </w:r>
      <w:hyperlink r:id="rId930" w:history="1">
        <w:r w:rsidRPr="00060EEB">
          <w:rPr>
            <w:rStyle w:val="a5"/>
            <w:kern w:val="0"/>
          </w:rPr>
          <w:t>2011\Col Dis13, 1085.pdf</w:t>
        </w:r>
      </w:hyperlink>
    </w:p>
    <w:p w:rsidR="00060EEB" w:rsidRDefault="00060EEB" w:rsidP="00060EEB">
      <w:pPr>
        <w:pStyle w:val="a3"/>
        <w:rPr>
          <w:kern w:val="0"/>
        </w:rPr>
      </w:pPr>
      <w:r>
        <w:rPr>
          <w:kern w:val="0"/>
        </w:rPr>
        <w:t>Abstract: Aim Antioxidants, such as vitamin A, C</w:t>
      </w:r>
      <w:r w:rsidR="005853A9">
        <w:rPr>
          <w:kern w:val="0"/>
        </w:rPr>
        <w:t xml:space="preserve"> and </w:t>
      </w:r>
      <w:r>
        <w:rPr>
          <w:kern w:val="0"/>
        </w:rPr>
        <w:t>E, selenium</w:t>
      </w:r>
      <w:r w:rsidR="005853A9">
        <w:rPr>
          <w:kern w:val="0"/>
        </w:rPr>
        <w:t xml:space="preserve"> and </w:t>
      </w:r>
      <w:r>
        <w:rPr>
          <w:kern w:val="0"/>
        </w:rPr>
        <w:t>beta-carotene, have been proposed as possible agents in</w:t>
      </w:r>
      <w:r w:rsidR="003A1917">
        <w:rPr>
          <w:kern w:val="0"/>
        </w:rPr>
        <w:t xml:space="preserve"> the </w:t>
      </w:r>
      <w:r>
        <w:rPr>
          <w:kern w:val="0"/>
        </w:rPr>
        <w:t>chemoprevention</w:t>
      </w:r>
      <w:r w:rsidR="00427468">
        <w:rPr>
          <w:kern w:val="0"/>
        </w:rPr>
        <w:t xml:space="preserve"> of </w:t>
      </w:r>
      <w:r>
        <w:rPr>
          <w:kern w:val="0"/>
        </w:rPr>
        <w:t>colorectal cancer</w:t>
      </w:r>
      <w:r w:rsidR="005853A9">
        <w:rPr>
          <w:kern w:val="0"/>
        </w:rPr>
        <w:t xml:space="preserve"> and </w:t>
      </w:r>
      <w:r>
        <w:rPr>
          <w:kern w:val="0"/>
        </w:rPr>
        <w:t>have been</w:t>
      </w:r>
      <w:r w:rsidR="003A1917">
        <w:rPr>
          <w:kern w:val="0"/>
        </w:rPr>
        <w:t xml:space="preserve"> the </w:t>
      </w:r>
      <w:r>
        <w:rPr>
          <w:kern w:val="0"/>
        </w:rPr>
        <w:t>subject</w:t>
      </w:r>
      <w:r w:rsidR="00427468">
        <w:rPr>
          <w:kern w:val="0"/>
        </w:rPr>
        <w:t xml:space="preserve"> of </w:t>
      </w:r>
      <w:r>
        <w:rPr>
          <w:kern w:val="0"/>
        </w:rPr>
        <w:t>recent trials</w:t>
      </w:r>
      <w:r w:rsidR="005853A9">
        <w:rPr>
          <w:kern w:val="0"/>
        </w:rPr>
        <w:t xml:space="preserve"> and </w:t>
      </w:r>
      <w:r>
        <w:rPr>
          <w:kern w:val="0"/>
        </w:rPr>
        <w:t>reviews. This review aimed to assess</w:t>
      </w:r>
      <w:r w:rsidR="003A1917">
        <w:rPr>
          <w:kern w:val="0"/>
        </w:rPr>
        <w:t xml:space="preserve"> </w:t>
      </w:r>
      <w:r w:rsidR="003A1917">
        <w:rPr>
          <w:kern w:val="0"/>
        </w:rPr>
        <w:lastRenderedPageBreak/>
        <w:t xml:space="preserve">the </w:t>
      </w:r>
      <w:r>
        <w:rPr>
          <w:kern w:val="0"/>
        </w:rPr>
        <w:t>present evidence on</w:t>
      </w:r>
      <w:r w:rsidR="003A1917">
        <w:rPr>
          <w:kern w:val="0"/>
        </w:rPr>
        <w:t xml:space="preserve"> the </w:t>
      </w:r>
      <w:r>
        <w:rPr>
          <w:kern w:val="0"/>
        </w:rPr>
        <w:t>effect</w:t>
      </w:r>
      <w:r w:rsidR="00427468">
        <w:rPr>
          <w:kern w:val="0"/>
        </w:rPr>
        <w:t xml:space="preserve"> of </w:t>
      </w:r>
      <w:r>
        <w:rPr>
          <w:kern w:val="0"/>
        </w:rPr>
        <w:t>antioxidants on</w:t>
      </w:r>
      <w:r w:rsidR="003A1917">
        <w:rPr>
          <w:kern w:val="0"/>
        </w:rPr>
        <w:t xml:space="preserve"> the </w:t>
      </w:r>
      <w:r>
        <w:rPr>
          <w:kern w:val="0"/>
        </w:rPr>
        <w:t>incidence</w:t>
      </w:r>
      <w:r w:rsidR="00427468">
        <w:rPr>
          <w:kern w:val="0"/>
        </w:rPr>
        <w:t xml:space="preserve"> of </w:t>
      </w:r>
      <w:r>
        <w:rPr>
          <w:kern w:val="0"/>
        </w:rPr>
        <w:t>colorectal neoplasms in</w:t>
      </w:r>
      <w:r w:rsidR="003A1917">
        <w:rPr>
          <w:kern w:val="0"/>
        </w:rPr>
        <w:t xml:space="preserve"> the </w:t>
      </w:r>
      <w:r>
        <w:rPr>
          <w:kern w:val="0"/>
        </w:rPr>
        <w:t>general population. Method A systematic review</w:t>
      </w:r>
      <w:r w:rsidR="00427468">
        <w:rPr>
          <w:kern w:val="0"/>
        </w:rPr>
        <w:t xml:space="preserve"> of </w:t>
      </w:r>
      <w:r>
        <w:rPr>
          <w:kern w:val="0"/>
        </w:rPr>
        <w:t>randomized controlled trials was undertaken comparing antioxidants alone or in combination with other agents vs placebo</w:t>
      </w:r>
      <w:r w:rsidR="00A37C1D">
        <w:rPr>
          <w:kern w:val="0"/>
        </w:rPr>
        <w:t>. The</w:t>
      </w:r>
      <w:r w:rsidR="003A1917">
        <w:rPr>
          <w:kern w:val="0"/>
        </w:rPr>
        <w:t xml:space="preserve"> </w:t>
      </w:r>
      <w:r>
        <w:rPr>
          <w:kern w:val="0"/>
        </w:rPr>
        <w:t>following databases were searched for published</w:t>
      </w:r>
      <w:r w:rsidR="005853A9">
        <w:rPr>
          <w:kern w:val="0"/>
        </w:rPr>
        <w:t xml:space="preserve"> and </w:t>
      </w:r>
      <w:r>
        <w:rPr>
          <w:kern w:val="0"/>
        </w:rPr>
        <w:t xml:space="preserve">unpublished literature: Cochrane Library, </w:t>
      </w:r>
      <w:r w:rsidR="00D5664A">
        <w:rPr>
          <w:kern w:val="0"/>
        </w:rPr>
        <w:t>MEDLINE</w:t>
      </w:r>
      <w:r>
        <w:rPr>
          <w:kern w:val="0"/>
        </w:rPr>
        <w:t>, Pre</w:t>
      </w:r>
      <w:r w:rsidR="00D5664A">
        <w:rPr>
          <w:kern w:val="0"/>
        </w:rPr>
        <w:t>MEDLINE</w:t>
      </w:r>
      <w:r>
        <w:rPr>
          <w:kern w:val="0"/>
        </w:rPr>
        <w:t xml:space="preserve">, CINAHL,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Biological Abstracts</w:t>
      </w:r>
      <w:r w:rsidR="005853A9">
        <w:rPr>
          <w:kern w:val="0"/>
        </w:rPr>
        <w:t xml:space="preserve"> and </w:t>
      </w:r>
      <w:r>
        <w:rPr>
          <w:kern w:val="0"/>
        </w:rPr>
        <w:t>Research Registers. Studies were quality appraised</w:t>
      </w:r>
      <w:r w:rsidR="005853A9">
        <w:rPr>
          <w:kern w:val="0"/>
        </w:rPr>
        <w:t xml:space="preserve"> and </w:t>
      </w:r>
      <w:r>
        <w:rPr>
          <w:kern w:val="0"/>
        </w:rPr>
        <w:t>extracted. Meta-analysis was performed. Results Twelve studies were identified as relevant. In</w:t>
      </w:r>
      <w:r w:rsidR="003A1917">
        <w:rPr>
          <w:kern w:val="0"/>
        </w:rPr>
        <w:t xml:space="preserve"> the </w:t>
      </w:r>
      <w:r>
        <w:rPr>
          <w:kern w:val="0"/>
        </w:rPr>
        <w:t>nine comparing antioxidants with no antioxidants (n = 148 922</w:t>
      </w:r>
      <w:r w:rsidR="00F42EAC">
        <w:rPr>
          <w:kern w:val="0"/>
        </w:rPr>
        <w:t>), The</w:t>
      </w:r>
      <w:r>
        <w:rPr>
          <w:kern w:val="0"/>
        </w:rPr>
        <w:t>re was no difference in</w:t>
      </w:r>
      <w:r w:rsidR="003A1917">
        <w:rPr>
          <w:kern w:val="0"/>
        </w:rPr>
        <w:t xml:space="preserve"> the </w:t>
      </w:r>
      <w:r>
        <w:rPr>
          <w:kern w:val="0"/>
        </w:rPr>
        <w:t>incidence</w:t>
      </w:r>
      <w:r w:rsidR="00427468">
        <w:rPr>
          <w:kern w:val="0"/>
        </w:rPr>
        <w:t xml:space="preserve"> of </w:t>
      </w:r>
      <w:r>
        <w:rPr>
          <w:kern w:val="0"/>
        </w:rPr>
        <w:t>colorectal cancer [relative risk (RR) 1.00, 95% confidence interval (CI) 0.88-1.13]. One study assessed</w:t>
      </w:r>
      <w:r w:rsidR="003A1917">
        <w:rPr>
          <w:kern w:val="0"/>
        </w:rPr>
        <w:t xml:space="preserve"> the </w:t>
      </w:r>
      <w:r>
        <w:rPr>
          <w:kern w:val="0"/>
        </w:rPr>
        <w:t>effect</w:t>
      </w:r>
      <w:r w:rsidR="00427468">
        <w:rPr>
          <w:kern w:val="0"/>
        </w:rPr>
        <w:t xml:space="preserve"> of </w:t>
      </w:r>
      <w:r>
        <w:rPr>
          <w:kern w:val="0"/>
        </w:rPr>
        <w:t>antioxidants on adenoma formation (n = 15 538)</w:t>
      </w:r>
      <w:r w:rsidR="005853A9">
        <w:rPr>
          <w:kern w:val="0"/>
        </w:rPr>
        <w:t xml:space="preserve"> and </w:t>
      </w:r>
      <w:r>
        <w:rPr>
          <w:kern w:val="0"/>
        </w:rPr>
        <w:t>did not demonstrate a statistically significant effect (RR 1.47, 95% CI 0.97-2.23).</w:t>
      </w:r>
      <w:r w:rsidR="00427468">
        <w:rPr>
          <w:kern w:val="0"/>
        </w:rPr>
        <w:t xml:space="preserve"> of </w:t>
      </w:r>
      <w:r>
        <w:rPr>
          <w:kern w:val="0"/>
        </w:rPr>
        <w:t>14 discrete analyses for different combinations</w:t>
      </w:r>
      <w:r w:rsidR="00427468">
        <w:rPr>
          <w:kern w:val="0"/>
        </w:rPr>
        <w:t xml:space="preserve"> of </w:t>
      </w:r>
      <w:r>
        <w:rPr>
          <w:kern w:val="0"/>
        </w:rPr>
        <w:t>antioxidants, only one reported a statistically significant increase in relative risk</w:t>
      </w:r>
      <w:r w:rsidR="00427468">
        <w:rPr>
          <w:kern w:val="0"/>
        </w:rPr>
        <w:t xml:space="preserve"> of </w:t>
      </w:r>
      <w:r>
        <w:rPr>
          <w:kern w:val="0"/>
        </w:rPr>
        <w:t>adenoma formation in participants receiving vitamin E (RR 1.74, 95% CI 1.09-1.79, P = 0.02) or vitamin E plus beta-carotene (RR 1.63, 95% CI 1.01-2.63, P = 0.04). Effectiveness did not seem to differ between healthy populations, participants with cardiovascular risk factors or populations exposed to smoking or asbestos. Conclusion</w:t>
      </w:r>
      <w:r w:rsidR="003A1917">
        <w:rPr>
          <w:kern w:val="0"/>
        </w:rPr>
        <w:t xml:space="preserve"> the </w:t>
      </w:r>
      <w:r>
        <w:rPr>
          <w:kern w:val="0"/>
        </w:rPr>
        <w:t>review demonstrates that antioxidants (vitamin A, C</w:t>
      </w:r>
      <w:r w:rsidR="005853A9">
        <w:rPr>
          <w:kern w:val="0"/>
        </w:rPr>
        <w:t xml:space="preserve"> and </w:t>
      </w:r>
      <w:r>
        <w:rPr>
          <w:kern w:val="0"/>
        </w:rPr>
        <w:t>E, selenium</w:t>
      </w:r>
      <w:r w:rsidR="005853A9">
        <w:rPr>
          <w:kern w:val="0"/>
        </w:rPr>
        <w:t xml:space="preserve"> and </w:t>
      </w:r>
      <w:r>
        <w:rPr>
          <w:kern w:val="0"/>
        </w:rPr>
        <w:t>beta-carotene), as single agents, in combination with other antioxidants or in combination with other agents, are not effective in</w:t>
      </w:r>
      <w:r w:rsidR="003A1917">
        <w:rPr>
          <w:kern w:val="0"/>
        </w:rPr>
        <w:t xml:space="preserve"> the </w:t>
      </w:r>
      <w:r>
        <w:rPr>
          <w:kern w:val="0"/>
        </w:rPr>
        <w:t>chemoprevention</w:t>
      </w:r>
      <w:r w:rsidR="00427468">
        <w:rPr>
          <w:kern w:val="0"/>
        </w:rPr>
        <w:t xml:space="preserve"> of </w:t>
      </w:r>
      <w:r>
        <w:rPr>
          <w:kern w:val="0"/>
        </w:rPr>
        <w:t>colorectal neoplasia in</w:t>
      </w:r>
      <w:r w:rsidR="003A1917">
        <w:rPr>
          <w:kern w:val="0"/>
        </w:rPr>
        <w:t xml:space="preserve"> the </w:t>
      </w:r>
      <w:r>
        <w:rPr>
          <w:kern w:val="0"/>
        </w:rPr>
        <w:t>general population. This questions their involvement in future randomized controlled trials</w:t>
      </w:r>
      <w:r w:rsidR="00427468">
        <w:rPr>
          <w:kern w:val="0"/>
        </w:rPr>
        <w:t xml:space="preserve"> of </w:t>
      </w:r>
      <w:r>
        <w:rPr>
          <w:kern w:val="0"/>
        </w:rPr>
        <w:t>chemoprevention in colorectal cancer.</w:t>
      </w:r>
    </w:p>
    <w:p w:rsidR="00060EEB" w:rsidRDefault="00060EEB" w:rsidP="00060EEB">
      <w:pPr>
        <w:pStyle w:val="a3"/>
        <w:rPr>
          <w:kern w:val="0"/>
        </w:rPr>
      </w:pPr>
      <w:r>
        <w:rPr>
          <w:kern w:val="0"/>
        </w:rPr>
        <w:t xml:space="preserve">Keywords: Adenoma, Adenomas, Beta-Carotene Supplementation, Cancer, Cardiovascular, Cardiovascular Risk, Cardiovascular-Disease, Chemoprevention, Cochrane, Colorectal Cancer, Databases, Effectiveness, Embase, Folic-Acid, Incidence, Involvement, Literature, Long-Term Supplementation, </w:t>
      </w:r>
      <w:r w:rsidR="00D5664A">
        <w:rPr>
          <w:kern w:val="0"/>
        </w:rPr>
        <w:t>MEDLINE</w:t>
      </w:r>
      <w:r>
        <w:rPr>
          <w:kern w:val="0"/>
        </w:rPr>
        <w:t xml:space="preserve">, Meta Analysis, Meta-Analysis, Neoplasia, Neoplasms, Placebo-Controlled Trial, Primary Prevention, Randomized Controlled Trials, Randomized Controlled-Trial, Relative Risk, Research, Review, Risk, Risk Factors, Science, Selenium, Selenium Supplementation, Services-Task-Force, Smoking, Systematic, Systematic Review, Vitamin E, Vitamin-E, </w:t>
      </w:r>
      <w:r w:rsidR="00D5664A">
        <w:rPr>
          <w:kern w:val="0"/>
        </w:rPr>
        <w:t>Web</w:t>
      </w:r>
      <w:r w:rsidR="00427468">
        <w:rPr>
          <w:kern w:val="0"/>
        </w:rPr>
        <w:t xml:space="preserve"> of </w:t>
      </w:r>
      <w:r w:rsidR="00D5664A">
        <w:rPr>
          <w:kern w:val="0"/>
        </w:rPr>
        <w:t>Science</w:t>
      </w:r>
    </w:p>
    <w:p w:rsidR="00E34926" w:rsidRDefault="00E34926" w:rsidP="00E34926">
      <w:pPr>
        <w:pStyle w:val="a3"/>
        <w:rPr>
          <w:kern w:val="0"/>
        </w:rPr>
      </w:pPr>
      <w:r>
        <w:rPr>
          <w:rFonts w:hint="eastAsia"/>
          <w:kern w:val="0"/>
        </w:rPr>
        <w:t xml:space="preserve">? </w:t>
      </w:r>
      <w:r>
        <w:rPr>
          <w:kern w:val="0"/>
        </w:rPr>
        <w:t>Swank, H.A., Eshuis, E.J., Ubbink, D.T.</w:t>
      </w:r>
      <w:r w:rsidR="005853A9">
        <w:rPr>
          <w:kern w:val="0"/>
        </w:rPr>
        <w:t xml:space="preserve"> and </w:t>
      </w:r>
      <w:r>
        <w:rPr>
          <w:kern w:val="0"/>
        </w:rPr>
        <w:t>Bemelman, W.A. (2011), Is routine histopathological examination</w:t>
      </w:r>
      <w:r w:rsidR="00427468">
        <w:rPr>
          <w:kern w:val="0"/>
        </w:rPr>
        <w:t xml:space="preserve"> of </w:t>
      </w:r>
      <w:r>
        <w:rPr>
          <w:kern w:val="0"/>
        </w:rPr>
        <w:t>appendectomy specimens useful? A systematic review</w:t>
      </w:r>
      <w:r w:rsidR="00427468">
        <w:rPr>
          <w:kern w:val="0"/>
        </w:rPr>
        <w:t xml:space="preserve"> of </w:t>
      </w:r>
      <w:r w:rsidR="003A1917">
        <w:rPr>
          <w:kern w:val="0"/>
        </w:rPr>
        <w:t xml:space="preserve">the </w:t>
      </w:r>
      <w:r>
        <w:rPr>
          <w:kern w:val="0"/>
        </w:rPr>
        <w:t xml:space="preserve">literature. </w:t>
      </w:r>
      <w:r>
        <w:rPr>
          <w:i/>
          <w:iCs/>
          <w:kern w:val="0"/>
        </w:rPr>
        <w:t>Colorectal Disease</w:t>
      </w:r>
      <w:r>
        <w:rPr>
          <w:kern w:val="0"/>
        </w:rPr>
        <w:t xml:space="preserve">, </w:t>
      </w:r>
      <w:r>
        <w:rPr>
          <w:b/>
          <w:bCs/>
          <w:kern w:val="0"/>
        </w:rPr>
        <w:t>13</w:t>
      </w:r>
      <w:r>
        <w:rPr>
          <w:kern w:val="0"/>
        </w:rPr>
        <w:t xml:space="preserve"> (11), 1214-1221.</w:t>
      </w:r>
    </w:p>
    <w:p w:rsidR="00E34926" w:rsidRDefault="00E34926" w:rsidP="00E34926">
      <w:pPr>
        <w:pStyle w:val="a3"/>
        <w:rPr>
          <w:kern w:val="0"/>
        </w:rPr>
      </w:pPr>
      <w:r>
        <w:rPr>
          <w:rFonts w:hint="eastAsia"/>
          <w:kern w:val="0"/>
        </w:rPr>
        <w:t xml:space="preserve">Full Text: </w:t>
      </w:r>
      <w:hyperlink r:id="rId931" w:history="1">
        <w:r w:rsidRPr="00807DB1">
          <w:rPr>
            <w:rStyle w:val="a5"/>
            <w:kern w:val="0"/>
          </w:rPr>
          <w:t>2011\Col Dis13, 1214.pdf</w:t>
        </w:r>
      </w:hyperlink>
    </w:p>
    <w:p w:rsidR="00E34926" w:rsidRDefault="00E34926" w:rsidP="00E34926">
      <w:pPr>
        <w:pStyle w:val="a3"/>
        <w:rPr>
          <w:kern w:val="0"/>
        </w:rPr>
      </w:pPr>
      <w:r>
        <w:rPr>
          <w:kern w:val="0"/>
        </w:rPr>
        <w:t>Abstract: Aim Histopathological examination</w:t>
      </w:r>
      <w:r w:rsidR="00427468">
        <w:rPr>
          <w:kern w:val="0"/>
        </w:rPr>
        <w:t xml:space="preserve"> of </w:t>
      </w:r>
      <w:r w:rsidR="003A1917">
        <w:rPr>
          <w:kern w:val="0"/>
        </w:rPr>
        <w:t xml:space="preserve">the </w:t>
      </w:r>
      <w:r>
        <w:rPr>
          <w:kern w:val="0"/>
        </w:rPr>
        <w:t>appendix after appendectomy is routinely performed</w:t>
      </w:r>
      <w:r w:rsidR="00A37C1D">
        <w:rPr>
          <w:kern w:val="0"/>
        </w:rPr>
        <w:t>. The</w:t>
      </w:r>
      <w:r w:rsidR="003A1917">
        <w:rPr>
          <w:kern w:val="0"/>
        </w:rPr>
        <w:t xml:space="preserve"> </w:t>
      </w:r>
      <w:r>
        <w:rPr>
          <w:kern w:val="0"/>
        </w:rPr>
        <w:t>object</w:t>
      </w:r>
      <w:r w:rsidR="00427468">
        <w:rPr>
          <w:kern w:val="0"/>
        </w:rPr>
        <w:t xml:space="preserve"> of </w:t>
      </w:r>
      <w:r>
        <w:rPr>
          <w:kern w:val="0"/>
        </w:rPr>
        <w:t>this systematic review is to determine whether routine histopathological examination</w:t>
      </w:r>
      <w:r w:rsidR="00427468">
        <w:rPr>
          <w:kern w:val="0"/>
        </w:rPr>
        <w:t xml:space="preserve"> of </w:t>
      </w:r>
      <w:r w:rsidR="003A1917">
        <w:rPr>
          <w:kern w:val="0"/>
        </w:rPr>
        <w:t xml:space="preserve">the </w:t>
      </w:r>
      <w:r>
        <w:rPr>
          <w:kern w:val="0"/>
        </w:rPr>
        <w:t xml:space="preserve">appendix is justified. Method PubMed, </w:t>
      </w:r>
      <w:r>
        <w:rPr>
          <w:kern w:val="0"/>
        </w:rPr>
        <w:lastRenderedPageBreak/>
        <w:t xml:space="preserve">EMBASE,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Cochrane library were searched without language restriction up to 1 October 2009. All articles that reported on</w:t>
      </w:r>
      <w:r w:rsidR="003A1917">
        <w:rPr>
          <w:kern w:val="0"/>
        </w:rPr>
        <w:t xml:space="preserve"> the </w:t>
      </w:r>
      <w:r>
        <w:rPr>
          <w:kern w:val="0"/>
        </w:rPr>
        <w:t>incidence</w:t>
      </w:r>
      <w:r w:rsidR="00427468">
        <w:rPr>
          <w:kern w:val="0"/>
        </w:rPr>
        <w:t xml:space="preserve"> of </w:t>
      </w:r>
      <w:r>
        <w:rPr>
          <w:kern w:val="0"/>
        </w:rPr>
        <w:t>histopathologically proven aberrant appendiceal pathology were included. Results Nineteen case series reported</w:t>
      </w:r>
      <w:r w:rsidR="003A1917">
        <w:rPr>
          <w:kern w:val="0"/>
        </w:rPr>
        <w:t xml:space="preserve"> the </w:t>
      </w:r>
      <w:r>
        <w:rPr>
          <w:kern w:val="0"/>
        </w:rPr>
        <w:t>incidence</w:t>
      </w:r>
      <w:r w:rsidR="00427468">
        <w:rPr>
          <w:kern w:val="0"/>
        </w:rPr>
        <w:t xml:space="preserve"> of </w:t>
      </w:r>
      <w:r>
        <w:rPr>
          <w:kern w:val="0"/>
        </w:rPr>
        <w:t>a benign neoplasm [0.5%, weighted mean (WM)], malignant neoplasm (0.2%, WM)</w:t>
      </w:r>
      <w:r w:rsidR="005853A9">
        <w:rPr>
          <w:kern w:val="0"/>
        </w:rPr>
        <w:t xml:space="preserve"> and </w:t>
      </w:r>
      <w:r>
        <w:rPr>
          <w:kern w:val="0"/>
        </w:rPr>
        <w:t>other pathology (0-14%). Nine articles reported</w:t>
      </w:r>
      <w:r w:rsidR="003A1917">
        <w:rPr>
          <w:kern w:val="0"/>
        </w:rPr>
        <w:t xml:space="preserve"> the </w:t>
      </w:r>
      <w:r>
        <w:rPr>
          <w:kern w:val="0"/>
        </w:rPr>
        <w:t>sensitivity</w:t>
      </w:r>
      <w:r w:rsidR="00427468">
        <w:rPr>
          <w:kern w:val="0"/>
        </w:rPr>
        <w:t xml:space="preserve"> of </w:t>
      </w:r>
      <w:r w:rsidR="003A1917">
        <w:rPr>
          <w:kern w:val="0"/>
        </w:rPr>
        <w:t xml:space="preserve">the </w:t>
      </w:r>
      <w:r>
        <w:rPr>
          <w:kern w:val="0"/>
        </w:rPr>
        <w:t>intra-operative findings to detect aberrant diagnoses. Parasitic infection was detected in 0-19%, endometriosis in 0%</w:t>
      </w:r>
      <w:r w:rsidR="005853A9">
        <w:rPr>
          <w:kern w:val="0"/>
        </w:rPr>
        <w:t xml:space="preserve"> and </w:t>
      </w:r>
      <w:r>
        <w:rPr>
          <w:kern w:val="0"/>
        </w:rPr>
        <w:t>granulomatosis in 0-11%</w:t>
      </w:r>
      <w:r w:rsidR="00427468">
        <w:rPr>
          <w:kern w:val="0"/>
        </w:rPr>
        <w:t xml:space="preserve"> of </w:t>
      </w:r>
      <w:r>
        <w:rPr>
          <w:kern w:val="0"/>
        </w:rPr>
        <w:t>cases. Five articles addressed</w:t>
      </w:r>
      <w:r w:rsidR="003A1917">
        <w:rPr>
          <w:kern w:val="0"/>
        </w:rPr>
        <w:t xml:space="preserve"> the </w:t>
      </w:r>
      <w:r>
        <w:rPr>
          <w:kern w:val="0"/>
        </w:rPr>
        <w:t>consequences</w:t>
      </w:r>
      <w:r w:rsidR="00427468">
        <w:rPr>
          <w:kern w:val="0"/>
        </w:rPr>
        <w:t xml:space="preserve"> of </w:t>
      </w:r>
      <w:r>
        <w:rPr>
          <w:kern w:val="0"/>
        </w:rPr>
        <w:t>aberrant pathology. Most patients with parasite infection, granulomatosis</w:t>
      </w:r>
      <w:r w:rsidR="005853A9">
        <w:rPr>
          <w:kern w:val="0"/>
        </w:rPr>
        <w:t xml:space="preserve"> and </w:t>
      </w:r>
      <w:r>
        <w:rPr>
          <w:kern w:val="0"/>
        </w:rPr>
        <w:t>malignant neoplasms underwent additional investigation or treatment, in contrast to patients with a benign neoplasm. Conclusion</w:t>
      </w:r>
      <w:r w:rsidR="003A1917">
        <w:rPr>
          <w:kern w:val="0"/>
        </w:rPr>
        <w:t xml:space="preserve"> the </w:t>
      </w:r>
      <w:r>
        <w:rPr>
          <w:kern w:val="0"/>
        </w:rPr>
        <w:t>incidence</w:t>
      </w:r>
      <w:r w:rsidR="00427468">
        <w:rPr>
          <w:kern w:val="0"/>
        </w:rPr>
        <w:t xml:space="preserve"> of </w:t>
      </w:r>
      <w:r>
        <w:rPr>
          <w:kern w:val="0"/>
        </w:rPr>
        <w:t>unexpected findings in appendectomy specimens is low</w:t>
      </w:r>
      <w:r w:rsidR="005853A9">
        <w:rPr>
          <w:kern w:val="0"/>
        </w:rPr>
        <w:t xml:space="preserve"> and </w:t>
      </w:r>
      <w:r w:rsidR="003A1917">
        <w:rPr>
          <w:kern w:val="0"/>
        </w:rPr>
        <w:t xml:space="preserve">the </w:t>
      </w:r>
      <w:r>
        <w:rPr>
          <w:kern w:val="0"/>
        </w:rPr>
        <w:t>intra-operative diagnosis alone appears insufficient for identifying unexpected disease</w:t>
      </w:r>
      <w:r w:rsidR="00A37C1D">
        <w:rPr>
          <w:kern w:val="0"/>
        </w:rPr>
        <w:t>. The</w:t>
      </w:r>
      <w:r w:rsidR="003A1917">
        <w:rPr>
          <w:kern w:val="0"/>
        </w:rPr>
        <w:t xml:space="preserve"> </w:t>
      </w:r>
      <w:r>
        <w:rPr>
          <w:kern w:val="0"/>
        </w:rPr>
        <w:t>benefit</w:t>
      </w:r>
      <w:r w:rsidR="00427468">
        <w:rPr>
          <w:kern w:val="0"/>
        </w:rPr>
        <w:t xml:space="preserve"> of </w:t>
      </w:r>
      <w:r>
        <w:rPr>
          <w:kern w:val="0"/>
        </w:rPr>
        <w:t>histopathology is studied inadequately. From</w:t>
      </w:r>
      <w:r w:rsidR="003A1917">
        <w:rPr>
          <w:kern w:val="0"/>
        </w:rPr>
        <w:t xml:space="preserve"> the </w:t>
      </w:r>
      <w:r>
        <w:rPr>
          <w:kern w:val="0"/>
        </w:rPr>
        <w:t>present available evidence, routine histopathology cannot be judged as useless.</w:t>
      </w:r>
    </w:p>
    <w:p w:rsidR="00E34926" w:rsidRDefault="00E34926" w:rsidP="00E34926">
      <w:pPr>
        <w:pStyle w:val="a3"/>
        <w:rPr>
          <w:kern w:val="0"/>
        </w:rPr>
      </w:pPr>
      <w:r>
        <w:rPr>
          <w:kern w:val="0"/>
        </w:rPr>
        <w:t xml:space="preserve">Keywords: Acute Appendicitis, Appendix, Appendixes, Carcinoid-Tumors, Case Series, Cochrane, Diagnosis, Disease, Embase, Incidence, Infection, Literature, Low, Neoplasms, Pathology, Patients, Pubmed, Review, Routine, Science, Sensitivity, Specimens, Surgical Pathology, Systematic, Systematic Review, Treatment, </w:t>
      </w:r>
      <w:r w:rsidR="00D5664A">
        <w:rPr>
          <w:kern w:val="0"/>
        </w:rPr>
        <w:t>Web</w:t>
      </w:r>
      <w:r w:rsidR="00427468">
        <w:rPr>
          <w:kern w:val="0"/>
        </w:rPr>
        <w:t xml:space="preserve"> of </w:t>
      </w:r>
      <w:r w:rsidR="00D5664A">
        <w:rPr>
          <w:kern w:val="0"/>
        </w:rPr>
        <w:t>Science</w:t>
      </w:r>
    </w:p>
    <w:p w:rsidR="004238F3" w:rsidRDefault="004238F3" w:rsidP="004238F3">
      <w:pPr>
        <w:pStyle w:val="a3"/>
        <w:rPr>
          <w:kern w:val="0"/>
        </w:rPr>
      </w:pPr>
      <w:r>
        <w:rPr>
          <w:rFonts w:hint="eastAsia"/>
          <w:kern w:val="0"/>
        </w:rPr>
        <w:t xml:space="preserve">? </w:t>
      </w:r>
      <w:r>
        <w:rPr>
          <w:kern w:val="0"/>
        </w:rPr>
        <w:t>Cirocchi, R., Trastulli, S., Farinella, E., Desiderio, J., Listorti, C., Parisi, A., Noya, G.</w:t>
      </w:r>
      <w:r w:rsidR="005853A9">
        <w:rPr>
          <w:kern w:val="0"/>
        </w:rPr>
        <w:t xml:space="preserve"> and </w:t>
      </w:r>
      <w:r>
        <w:rPr>
          <w:kern w:val="0"/>
        </w:rPr>
        <w:t>Boselli, C. (2012), Is inferior mesenteric artery ligation during sigmoid colectomy for diverticular disease associated with increased anastomotic leakage? A meta-analysis</w:t>
      </w:r>
      <w:r w:rsidR="00427468">
        <w:rPr>
          <w:kern w:val="0"/>
        </w:rPr>
        <w:t xml:space="preserve"> of </w:t>
      </w:r>
      <w:r>
        <w:rPr>
          <w:kern w:val="0"/>
        </w:rPr>
        <w:t>randomized</w:t>
      </w:r>
      <w:r w:rsidR="005853A9">
        <w:rPr>
          <w:kern w:val="0"/>
        </w:rPr>
        <w:t xml:space="preserve"> and </w:t>
      </w:r>
      <w:r>
        <w:rPr>
          <w:kern w:val="0"/>
        </w:rPr>
        <w:t xml:space="preserve">non-randomized clinical trials. </w:t>
      </w:r>
      <w:r>
        <w:rPr>
          <w:i/>
          <w:iCs/>
          <w:kern w:val="0"/>
        </w:rPr>
        <w:t>Colorectal Disease</w:t>
      </w:r>
      <w:r>
        <w:rPr>
          <w:kern w:val="0"/>
        </w:rPr>
        <w:t xml:space="preserve">, </w:t>
      </w:r>
      <w:r>
        <w:rPr>
          <w:b/>
          <w:bCs/>
          <w:kern w:val="0"/>
        </w:rPr>
        <w:t>14</w:t>
      </w:r>
      <w:r>
        <w:rPr>
          <w:kern w:val="0"/>
        </w:rPr>
        <w:t xml:space="preserve"> (9), e521-e529.</w:t>
      </w:r>
    </w:p>
    <w:p w:rsidR="004238F3" w:rsidRDefault="004238F3" w:rsidP="004238F3">
      <w:pPr>
        <w:pStyle w:val="a3"/>
        <w:rPr>
          <w:kern w:val="0"/>
        </w:rPr>
      </w:pPr>
      <w:r>
        <w:rPr>
          <w:rFonts w:hint="eastAsia"/>
          <w:kern w:val="0"/>
        </w:rPr>
        <w:t xml:space="preserve">Full Text: </w:t>
      </w:r>
      <w:hyperlink r:id="rId932" w:history="1">
        <w:r w:rsidR="009F5F41" w:rsidRPr="009F5F41">
          <w:rPr>
            <w:rStyle w:val="a5"/>
            <w:kern w:val="0"/>
          </w:rPr>
          <w:t>2012\Col Dis14, e521.pdf</w:t>
        </w:r>
      </w:hyperlink>
    </w:p>
    <w:p w:rsidR="004238F3" w:rsidRDefault="004238F3" w:rsidP="004238F3">
      <w:pPr>
        <w:pStyle w:val="a3"/>
        <w:rPr>
          <w:kern w:val="0"/>
        </w:rPr>
      </w:pPr>
      <w:r>
        <w:rPr>
          <w:kern w:val="0"/>
        </w:rPr>
        <w:t>Abstract: Aim A meta-analysis was conducted to compare preservation with ligation</w:t>
      </w:r>
      <w:r w:rsidR="00427468">
        <w:rPr>
          <w:kern w:val="0"/>
        </w:rPr>
        <w:t xml:space="preserve"> of </w:t>
      </w:r>
      <w:r>
        <w:rPr>
          <w:kern w:val="0"/>
        </w:rPr>
        <w:t>the inferior mesenteric artery (IMA) during sigmoidectomy for diverticular disease. Method Randomized</w:t>
      </w:r>
      <w:r w:rsidR="005853A9">
        <w:rPr>
          <w:kern w:val="0"/>
        </w:rPr>
        <w:t xml:space="preserve"> and </w:t>
      </w:r>
      <w:r>
        <w:rPr>
          <w:kern w:val="0"/>
        </w:rPr>
        <w:t xml:space="preserve">non-randomized clinical trials were identified using the following electronic databases: </w:t>
      </w:r>
      <w:r w:rsidR="00D5664A">
        <w:rPr>
          <w:kern w:val="0"/>
        </w:rPr>
        <w:t>MEDLINE</w:t>
      </w:r>
      <w:r>
        <w:rPr>
          <w:kern w:val="0"/>
        </w:rPr>
        <w:t>, Embase, Cochrane Central Register</w:t>
      </w:r>
      <w:r w:rsidR="00427468">
        <w:rPr>
          <w:kern w:val="0"/>
        </w:rPr>
        <w:t xml:space="preserve"> of </w:t>
      </w:r>
      <w:r>
        <w:rPr>
          <w:kern w:val="0"/>
        </w:rPr>
        <w:t>Controlled Trials, CINAHL, BioMed Central, Science Citation Index, Greynet, SIGLE, National Technological Information Service, British Library Integrated Catalogue</w:t>
      </w:r>
      <w:r w:rsidR="00A37C1D">
        <w:rPr>
          <w:kern w:val="0"/>
        </w:rPr>
        <w:t>. The</w:t>
      </w:r>
      <w:r>
        <w:rPr>
          <w:kern w:val="0"/>
        </w:rPr>
        <w:t xml:space="preserve"> analysed end-points were the anastomotic leakage rate, overall morbidity</w:t>
      </w:r>
      <w:r w:rsidR="005853A9">
        <w:rPr>
          <w:kern w:val="0"/>
        </w:rPr>
        <w:t xml:space="preserve"> and </w:t>
      </w:r>
      <w:r>
        <w:rPr>
          <w:kern w:val="0"/>
        </w:rPr>
        <w:t>30-day postoperative mortality. Results Four studies were included involving 400 patients</w:t>
      </w:r>
      <w:r w:rsidR="00A37C1D">
        <w:rPr>
          <w:kern w:val="0"/>
        </w:rPr>
        <w:t>. The</w:t>
      </w:r>
      <w:r>
        <w:rPr>
          <w:kern w:val="0"/>
        </w:rPr>
        <w:t xml:space="preserve"> anastomotic leakage rate was 7.3% in the preservation group</w:t>
      </w:r>
      <w:r w:rsidR="005853A9">
        <w:rPr>
          <w:kern w:val="0"/>
        </w:rPr>
        <w:t xml:space="preserve"> and </w:t>
      </w:r>
      <w:r>
        <w:rPr>
          <w:kern w:val="0"/>
        </w:rPr>
        <w:t>11.3% in the ligation group</w:t>
      </w:r>
      <w:r w:rsidR="00A37C1D">
        <w:rPr>
          <w:kern w:val="0"/>
        </w:rPr>
        <w:t>. The</w:t>
      </w:r>
      <w:r>
        <w:rPr>
          <w:kern w:val="0"/>
        </w:rPr>
        <w:t>re was no statistically significant difference between the groups (OR 0.72, 95% CI 0.114.76; P = 0.73). Overall morbidity</w:t>
      </w:r>
      <w:r w:rsidR="005853A9">
        <w:rPr>
          <w:kern w:val="0"/>
        </w:rPr>
        <w:t xml:space="preserve"> and </w:t>
      </w:r>
      <w:r>
        <w:rPr>
          <w:kern w:val="0"/>
        </w:rPr>
        <w:t xml:space="preserve">30-day postoperative mortality were not compared since these data were reported in only one study. Conclusion The meta-analysis did not show any </w:t>
      </w:r>
      <w:r>
        <w:rPr>
          <w:kern w:val="0"/>
        </w:rPr>
        <w:lastRenderedPageBreak/>
        <w:t>advantage for preservation</w:t>
      </w:r>
      <w:r w:rsidR="00427468">
        <w:rPr>
          <w:kern w:val="0"/>
        </w:rPr>
        <w:t xml:space="preserve"> of </w:t>
      </w:r>
      <w:r>
        <w:rPr>
          <w:kern w:val="0"/>
        </w:rPr>
        <w:t>the IMA during sigmoid colectomy for diverticular disease in terms</w:t>
      </w:r>
      <w:r w:rsidR="00427468">
        <w:rPr>
          <w:kern w:val="0"/>
        </w:rPr>
        <w:t xml:space="preserve"> of </w:t>
      </w:r>
      <w:r>
        <w:rPr>
          <w:kern w:val="0"/>
        </w:rPr>
        <w:t>anastomotic leakage.</w:t>
      </w:r>
    </w:p>
    <w:p w:rsidR="004238F3" w:rsidRDefault="004238F3" w:rsidP="004238F3">
      <w:pPr>
        <w:pStyle w:val="a3"/>
        <w:rPr>
          <w:kern w:val="0"/>
        </w:rPr>
      </w:pPr>
      <w:r>
        <w:rPr>
          <w:kern w:val="0"/>
        </w:rPr>
        <w:t xml:space="preserve">Keywords: Anastomotic Leakage, Artery, Artery Ligation, Bias, Blood-Flow, Citation, Clinical, Clinical Trials, Colectomy, Data, Databases, Disease, Diverticular Disease, Diverticulitis, Inferior Mesenteric Artery, Laparoscopy, </w:t>
      </w:r>
      <w:r w:rsidR="00D5664A">
        <w:rPr>
          <w:kern w:val="0"/>
        </w:rPr>
        <w:t>MEDLINE</w:t>
      </w:r>
      <w:r>
        <w:rPr>
          <w:kern w:val="0"/>
        </w:rPr>
        <w:t>, Meta Analysis, Meta-Analysis, Metaanalysis, Morbidity, Mortality, P, Patients, Postoperative, Preservation, Quality, Randomized, Rectum, Resection, Science, Science Citation Index, Sigmoidectomy</w:t>
      </w:r>
    </w:p>
    <w:p w:rsidR="00061447" w:rsidRDefault="00061447" w:rsidP="00061447">
      <w:pPr>
        <w:pStyle w:val="a3"/>
        <w:rPr>
          <w:kern w:val="0"/>
        </w:rPr>
      </w:pPr>
      <w:r>
        <w:rPr>
          <w:rFonts w:hint="eastAsia"/>
          <w:kern w:val="0"/>
        </w:rPr>
        <w:t xml:space="preserve">? </w:t>
      </w:r>
      <w:r>
        <w:rPr>
          <w:kern w:val="0"/>
        </w:rPr>
        <w:t>Zhong, D.D., Shao, L.M.</w:t>
      </w:r>
      <w:r w:rsidR="005853A9">
        <w:rPr>
          <w:kern w:val="0"/>
        </w:rPr>
        <w:t xml:space="preserve"> and </w:t>
      </w:r>
      <w:r>
        <w:rPr>
          <w:kern w:val="0"/>
        </w:rPr>
        <w:t>Cai, J.T. (2013), Endoscopic mucosal resection vs endoscopic submucosal dissection for rectal carcinoid tumours: A systematic review</w:t>
      </w:r>
      <w:r w:rsidR="005853A9">
        <w:rPr>
          <w:kern w:val="0"/>
        </w:rPr>
        <w:t xml:space="preserve"> and </w:t>
      </w:r>
      <w:r>
        <w:rPr>
          <w:kern w:val="0"/>
        </w:rPr>
        <w:t xml:space="preserve">meta-analysis. </w:t>
      </w:r>
      <w:r>
        <w:rPr>
          <w:i/>
          <w:iCs/>
          <w:kern w:val="0"/>
        </w:rPr>
        <w:t>Colorectal Disease</w:t>
      </w:r>
      <w:r>
        <w:rPr>
          <w:kern w:val="0"/>
        </w:rPr>
        <w:t xml:space="preserve">, </w:t>
      </w:r>
      <w:r>
        <w:rPr>
          <w:b/>
          <w:bCs/>
          <w:kern w:val="0"/>
        </w:rPr>
        <w:t>15</w:t>
      </w:r>
      <w:r>
        <w:rPr>
          <w:kern w:val="0"/>
        </w:rPr>
        <w:t xml:space="preserve"> (3), 283-291.</w:t>
      </w:r>
    </w:p>
    <w:p w:rsidR="00061447" w:rsidRDefault="00061447" w:rsidP="00061447">
      <w:pPr>
        <w:pStyle w:val="a3"/>
        <w:rPr>
          <w:kern w:val="0"/>
        </w:rPr>
      </w:pPr>
      <w:r>
        <w:rPr>
          <w:rFonts w:hint="eastAsia"/>
          <w:kern w:val="0"/>
        </w:rPr>
        <w:t xml:space="preserve">Full Text: </w:t>
      </w:r>
      <w:hyperlink r:id="rId933" w:history="1">
        <w:r w:rsidRPr="007D3396">
          <w:rPr>
            <w:rStyle w:val="a5"/>
            <w:kern w:val="0"/>
          </w:rPr>
          <w:t>2013\Col Dis15, 283.pdf</w:t>
        </w:r>
      </w:hyperlink>
    </w:p>
    <w:p w:rsidR="00061447" w:rsidRDefault="00061447" w:rsidP="00061447">
      <w:pPr>
        <w:pStyle w:val="a3"/>
        <w:rPr>
          <w:kern w:val="0"/>
        </w:rPr>
      </w:pPr>
      <w:r>
        <w:rPr>
          <w:kern w:val="0"/>
        </w:rPr>
        <w:t>Abstract: Aim Endoscopic mucosal resection (EMR)</w:t>
      </w:r>
      <w:r w:rsidR="005853A9">
        <w:rPr>
          <w:kern w:val="0"/>
        </w:rPr>
        <w:t xml:space="preserve"> and </w:t>
      </w:r>
      <w:r>
        <w:rPr>
          <w:kern w:val="0"/>
        </w:rPr>
        <w:t>endoscopic submucosal dissection (ESD) are used for the removal</w:t>
      </w:r>
      <w:r w:rsidR="00427468">
        <w:rPr>
          <w:kern w:val="0"/>
        </w:rPr>
        <w:t xml:space="preserve"> of </w:t>
      </w:r>
      <w:r>
        <w:rPr>
          <w:kern w:val="0"/>
        </w:rPr>
        <w:t>rectal carcinoid tumours</w:t>
      </w:r>
      <w:r w:rsidR="00A37C1D">
        <w:rPr>
          <w:kern w:val="0"/>
        </w:rPr>
        <w:t>. The</w:t>
      </w:r>
      <w:r>
        <w:rPr>
          <w:kern w:val="0"/>
        </w:rPr>
        <w:t>re are no current guidelines or consensus on the optimal treatment strategy for these lesions. A systematic review was conducted to compare the efficacy</w:t>
      </w:r>
      <w:r w:rsidR="005853A9">
        <w:rPr>
          <w:kern w:val="0"/>
        </w:rPr>
        <w:t xml:space="preserve"> and </w:t>
      </w:r>
      <w:r>
        <w:rPr>
          <w:kern w:val="0"/>
        </w:rPr>
        <w:t>safety</w:t>
      </w:r>
      <w:r w:rsidR="00427468">
        <w:rPr>
          <w:kern w:val="0"/>
        </w:rPr>
        <w:t xml:space="preserve"> of </w:t>
      </w:r>
      <w:r>
        <w:rPr>
          <w:kern w:val="0"/>
        </w:rPr>
        <w:t>ESD</w:t>
      </w:r>
      <w:r w:rsidR="005853A9">
        <w:rPr>
          <w:kern w:val="0"/>
        </w:rPr>
        <w:t xml:space="preserve"> and </w:t>
      </w:r>
      <w:r>
        <w:rPr>
          <w:kern w:val="0"/>
        </w:rPr>
        <w:t>EMR. Method The generation</w:t>
      </w:r>
      <w:r w:rsidR="00427468">
        <w:rPr>
          <w:kern w:val="0"/>
        </w:rPr>
        <w:t xml:space="preserve"> of </w:t>
      </w:r>
      <w:r>
        <w:rPr>
          <w:kern w:val="0"/>
        </w:rPr>
        <w:t>inclusion criteria</w:t>
      </w:r>
      <w:r w:rsidR="005853A9">
        <w:rPr>
          <w:kern w:val="0"/>
        </w:rPr>
        <w:t xml:space="preserve"> and </w:t>
      </w:r>
      <w:r>
        <w:rPr>
          <w:kern w:val="0"/>
        </w:rPr>
        <w:t>analysis</w:t>
      </w:r>
      <w:r w:rsidR="00427468">
        <w:rPr>
          <w:kern w:val="0"/>
        </w:rPr>
        <w:t xml:space="preserve"> of </w:t>
      </w:r>
      <w:r>
        <w:rPr>
          <w:kern w:val="0"/>
        </w:rPr>
        <w:t>data were based on Preferred Reporting Items for Systematic Reviews</w:t>
      </w:r>
      <w:r w:rsidR="005853A9">
        <w:rPr>
          <w:kern w:val="0"/>
        </w:rPr>
        <w:t xml:space="preserve"> and </w:t>
      </w:r>
      <w:r>
        <w:rPr>
          <w:kern w:val="0"/>
        </w:rPr>
        <w:t xml:space="preserve">Meta-Analyses recommendations. A systematic literature review was conducted using the following databases: </w:t>
      </w:r>
      <w:r w:rsidR="00D5664A">
        <w:rPr>
          <w:kern w:val="0"/>
        </w:rPr>
        <w:t>MEDLINE</w:t>
      </w:r>
      <w:r>
        <w:rPr>
          <w:kern w:val="0"/>
        </w:rPr>
        <w:t>, Embase, SpringerLink, Elsevier ScienceDirect, Science Citation Index</w:t>
      </w:r>
      <w:r w:rsidR="005853A9">
        <w:rPr>
          <w:kern w:val="0"/>
        </w:rPr>
        <w:t xml:space="preserve"> and </w:t>
      </w:r>
      <w:r>
        <w:rPr>
          <w:kern w:val="0"/>
        </w:rPr>
        <w:t>the Cochrane Library. Only papers comparing treatment</w:t>
      </w:r>
      <w:r w:rsidR="00427468">
        <w:rPr>
          <w:kern w:val="0"/>
        </w:rPr>
        <w:t xml:space="preserve"> of </w:t>
      </w:r>
      <w:r>
        <w:rPr>
          <w:kern w:val="0"/>
        </w:rPr>
        <w:t>rectal carcinoid tumours by EMR</w:t>
      </w:r>
      <w:r w:rsidR="005853A9">
        <w:rPr>
          <w:kern w:val="0"/>
        </w:rPr>
        <w:t xml:space="preserve"> and </w:t>
      </w:r>
      <w:r>
        <w:rPr>
          <w:kern w:val="0"/>
        </w:rPr>
        <w:t>by ESD were selected</w:t>
      </w:r>
      <w:r w:rsidR="00A37C1D">
        <w:rPr>
          <w:kern w:val="0"/>
        </w:rPr>
        <w:t>. The</w:t>
      </w:r>
      <w:r>
        <w:rPr>
          <w:kern w:val="0"/>
        </w:rPr>
        <w:t xml:space="preserve"> data collected included the patients</w:t>
      </w:r>
      <w:r w:rsidR="0071223E">
        <w:rPr>
          <w:kern w:val="0"/>
        </w:rPr>
        <w:t>’</w:t>
      </w:r>
      <w:r>
        <w:rPr>
          <w:kern w:val="0"/>
        </w:rPr>
        <w:t xml:space="preserve"> demographic information, interventions made, observed outcome</w:t>
      </w:r>
      <w:r w:rsidR="005853A9">
        <w:rPr>
          <w:kern w:val="0"/>
        </w:rPr>
        <w:t xml:space="preserve"> and </w:t>
      </w:r>
      <w:r>
        <w:rPr>
          <w:kern w:val="0"/>
        </w:rPr>
        <w:t>sources</w:t>
      </w:r>
      <w:r w:rsidR="00427468">
        <w:rPr>
          <w:kern w:val="0"/>
        </w:rPr>
        <w:t xml:space="preserve"> of </w:t>
      </w:r>
      <w:r>
        <w:rPr>
          <w:kern w:val="0"/>
        </w:rPr>
        <w:t>bias. Results Four papers were included in this systematic review</w:t>
      </w:r>
      <w:r w:rsidR="005853A9">
        <w:rPr>
          <w:kern w:val="0"/>
        </w:rPr>
        <w:t xml:space="preserve"> and </w:t>
      </w:r>
      <w:r>
        <w:rPr>
          <w:kern w:val="0"/>
        </w:rPr>
        <w:t>meta-analysis. ESD was more effective than EMR in complete resection (OR 0.29; 95% CI 0.140.58; P=0.000). ESD was as safe as EMR [rate difference (RD) 0.01; 95% CI 0.07 to 0.05; P=0.675]. Recurrence rates did not differ significantly between the EMR</w:t>
      </w:r>
      <w:r w:rsidR="005853A9">
        <w:rPr>
          <w:kern w:val="0"/>
        </w:rPr>
        <w:t xml:space="preserve"> and </w:t>
      </w:r>
      <w:r>
        <w:rPr>
          <w:kern w:val="0"/>
        </w:rPr>
        <w:t>ESD groups (RD 0.04; 95% CI 0.01 to 0.09; P=0.150)</w:t>
      </w:r>
      <w:r w:rsidR="00A37C1D">
        <w:rPr>
          <w:kern w:val="0"/>
        </w:rPr>
        <w:t>. The</w:t>
      </w:r>
      <w:r>
        <w:rPr>
          <w:kern w:val="0"/>
        </w:rPr>
        <w:t xml:space="preserve"> duration</w:t>
      </w:r>
      <w:r w:rsidR="00427468">
        <w:rPr>
          <w:kern w:val="0"/>
        </w:rPr>
        <w:t xml:space="preserve"> of </w:t>
      </w:r>
      <w:r>
        <w:rPr>
          <w:kern w:val="0"/>
        </w:rPr>
        <w:t>ESD was longer than EMR (standardized mean difference 1.73; 95% CI 2.73 to 0.74; P=0.001). Conclusion The study indicates that ESD is the better treatment for rectal carcinoid tumours.</w:t>
      </w:r>
    </w:p>
    <w:p w:rsidR="00061447" w:rsidRDefault="00061447" w:rsidP="00061447">
      <w:pPr>
        <w:pStyle w:val="a3"/>
        <w:rPr>
          <w:kern w:val="0"/>
        </w:rPr>
      </w:pPr>
      <w:r>
        <w:rPr>
          <w:kern w:val="0"/>
        </w:rPr>
        <w:t xml:space="preserve">Keywords: Analysis, Bias, Citation, Complete, Consensus, Criteria, Data, Databases, Dissection, Duration, Efficacy, EMR, Endoscopic Mucosal Resection, Endoscopic Submucosal Dissection, Generation, Groups, Guidelines, Information, Interventions, Literature, Literature Review, Mar, </w:t>
      </w:r>
      <w:r w:rsidR="00D5664A">
        <w:rPr>
          <w:kern w:val="0"/>
        </w:rPr>
        <w:t>MEDLINE</w:t>
      </w:r>
      <w:r>
        <w:rPr>
          <w:kern w:val="0"/>
        </w:rPr>
        <w:t>, Meta Analysis, Meta-Analysis, Metaanalysis, Mucosal, Outcome, Papers, Patients, Rates, Recommendations, Rectal Carcinoid Tumours, Removal, Results, Review, Safety, Science, Science Citation Index, Sources, Strategy, Systematic Review, Treatment</w:t>
      </w:r>
    </w:p>
    <w:p w:rsidR="003474F2" w:rsidRPr="001A3D2B" w:rsidRDefault="003474F2" w:rsidP="003474F2">
      <w:pPr>
        <w:pStyle w:val="1"/>
      </w:pPr>
      <w:r w:rsidRPr="001A3D2B">
        <w:br w:type="page"/>
      </w:r>
      <w:bookmarkStart w:id="345" w:name="_Toc420815072"/>
      <w:r w:rsidRPr="001A3D2B">
        <w:lastRenderedPageBreak/>
        <w:t>Title: Commonwealth</w:t>
      </w:r>
      <w:r w:rsidR="005853A9">
        <w:t xml:space="preserve"> and </w:t>
      </w:r>
      <w:r w:rsidRPr="001A3D2B">
        <w:t>Comparative Politics</w:t>
      </w:r>
      <w:bookmarkEnd w:id="345"/>
    </w:p>
    <w:p w:rsidR="00D04CCE" w:rsidRPr="001A3D2B" w:rsidRDefault="00D04CCE" w:rsidP="00D04CCE">
      <w:pPr>
        <w:pStyle w:val="12"/>
      </w:pPr>
      <w:r w:rsidRPr="001A3D2B">
        <w:t xml:space="preserve">Full Journal Title: </w:t>
      </w:r>
      <w:hyperlink r:id="rId934" w:history="1">
        <w:r w:rsidRPr="001A3D2B">
          <w:rPr>
            <w:rStyle w:val="a5"/>
          </w:rPr>
          <w:t>Commonwealth</w:t>
        </w:r>
        <w:r w:rsidR="005853A9">
          <w:rPr>
            <w:rStyle w:val="a5"/>
          </w:rPr>
          <w:t xml:space="preserve"> and </w:t>
        </w:r>
        <w:r w:rsidRPr="001A3D2B">
          <w:rPr>
            <w:rStyle w:val="a5"/>
          </w:rPr>
          <w:t>Comparative Politics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Pierson, C. (2003), Learning from labor? Welfare policy transfer between Australia</w:t>
      </w:r>
      <w:r w:rsidR="005853A9">
        <w:t xml:space="preserve"> and </w:t>
      </w:r>
      <w:r w:rsidRPr="001A3D2B">
        <w:t xml:space="preserve">Britain. </w:t>
      </w:r>
      <w:r w:rsidRPr="001A3D2B">
        <w:rPr>
          <w:i/>
          <w:iCs/>
        </w:rPr>
        <w:t>Commonwealth</w:t>
      </w:r>
      <w:r w:rsidR="005853A9">
        <w:rPr>
          <w:i/>
          <w:iCs/>
        </w:rPr>
        <w:t xml:space="preserve"> and </w:t>
      </w:r>
      <w:r w:rsidRPr="001A3D2B">
        <w:rPr>
          <w:i/>
          <w:iCs/>
        </w:rPr>
        <w:t>Comparative Politics</w:t>
      </w:r>
      <w:r w:rsidRPr="001A3D2B">
        <w:t xml:space="preserve">, </w:t>
      </w:r>
      <w:r w:rsidRPr="001A3D2B">
        <w:rPr>
          <w:b/>
        </w:rPr>
        <w:t>41</w:t>
      </w:r>
      <w:r w:rsidRPr="001A3D2B">
        <w:rPr>
          <w:bCs/>
        </w:rPr>
        <w:t xml:space="preserve"> (1)</w:t>
      </w:r>
      <w:r w:rsidRPr="001A3D2B">
        <w:t>, 77-100.</w:t>
      </w:r>
    </w:p>
    <w:p w:rsidR="00D04CCE" w:rsidRPr="001A3D2B" w:rsidRDefault="00D04CCE" w:rsidP="00D04CCE">
      <w:pPr>
        <w:pStyle w:val="a3"/>
      </w:pPr>
      <w:r w:rsidRPr="001A3D2B">
        <w:t xml:space="preserve">Full Text: </w:t>
      </w:r>
      <w:hyperlink r:id="rId935" w:history="1">
        <w:r w:rsidRPr="001A3D2B">
          <w:rPr>
            <w:rStyle w:val="a5"/>
          </w:rPr>
          <w:t>2003\Com Com Pol41, 77.pdf</w:t>
        </w:r>
      </w:hyperlink>
    </w:p>
    <w:p w:rsidR="003474F2" w:rsidRPr="001A3D2B" w:rsidRDefault="003474F2" w:rsidP="003474F2">
      <w:pPr>
        <w:pStyle w:val="a3"/>
      </w:pPr>
      <w:r w:rsidRPr="001A3D2B">
        <w:t>Abstract: In</w:t>
      </w:r>
      <w:r w:rsidR="003A1917">
        <w:t xml:space="preserve"> the </w:t>
      </w:r>
      <w:r w:rsidRPr="001A3D2B">
        <w:t>emergent literature</w:t>
      </w:r>
      <w:r w:rsidR="00427468">
        <w:t xml:space="preserve"> of </w:t>
      </w:r>
      <w:r w:rsidRPr="001A3D2B">
        <w:t>social policy transfer, very considerable attention has been directed to</w:t>
      </w:r>
      <w:r w:rsidR="003A1917">
        <w:t xml:space="preserve"> the </w:t>
      </w:r>
      <w:r w:rsidRPr="001A3D2B">
        <w:t>processes</w:t>
      </w:r>
      <w:r w:rsidR="00427468">
        <w:t xml:space="preserve"> of </w:t>
      </w:r>
      <w:r w:rsidRPr="001A3D2B">
        <w:t>policy exchange between North America</w:t>
      </w:r>
      <w:r w:rsidR="005853A9">
        <w:t xml:space="preserve"> and </w:t>
      </w:r>
      <w:r w:rsidR="003A1917">
        <w:t xml:space="preserve">the </w:t>
      </w:r>
      <w:r w:rsidRPr="001A3D2B">
        <w:t>UK. This paper reports</w:t>
      </w:r>
      <w:r w:rsidR="003A1917">
        <w:t xml:space="preserve"> the </w:t>
      </w:r>
      <w:r w:rsidRPr="001A3D2B">
        <w:t>findings</w:t>
      </w:r>
      <w:r w:rsidR="00427468">
        <w:t xml:space="preserve"> of </w:t>
      </w:r>
      <w:r w:rsidRPr="001A3D2B">
        <w:t>an investigation into</w:t>
      </w:r>
      <w:r w:rsidR="003A1917">
        <w:t xml:space="preserve"> the </w:t>
      </w:r>
      <w:r w:rsidRPr="001A3D2B">
        <w:t>processes</w:t>
      </w:r>
      <w:r w:rsidR="00427468">
        <w:t xml:space="preserve"> of </w:t>
      </w:r>
      <w:r w:rsidRPr="001A3D2B">
        <w:t>policy transfer between Australia</w:t>
      </w:r>
      <w:r w:rsidR="005853A9">
        <w:t xml:space="preserve"> and </w:t>
      </w:r>
      <w:r w:rsidR="003A1917">
        <w:t xml:space="preserve">the </w:t>
      </w:r>
      <w:r w:rsidRPr="001A3D2B">
        <w:t>UK under</w:t>
      </w:r>
      <w:r w:rsidR="003A1917">
        <w:t xml:space="preserve"> the </w:t>
      </w:r>
      <w:r w:rsidRPr="001A3D2B">
        <w:t>auspices</w:t>
      </w:r>
      <w:r w:rsidR="00427468">
        <w:t xml:space="preserve"> of </w:t>
      </w:r>
      <w:r w:rsidR="003A1917">
        <w:t xml:space="preserve">the </w:t>
      </w:r>
      <w:r w:rsidRPr="001A3D2B">
        <w:t>Australian Labor Party in</w:t>
      </w:r>
      <w:r w:rsidR="003A1917">
        <w:t xml:space="preserve"> the </w:t>
      </w:r>
      <w:r w:rsidRPr="001A3D2B">
        <w:t>early 1990s. Particular attention is given to</w:t>
      </w:r>
      <w:r w:rsidR="003A1917">
        <w:t xml:space="preserve"> the </w:t>
      </w:r>
      <w:r w:rsidRPr="001A3D2B">
        <w:t>raft</w:t>
      </w:r>
      <w:r w:rsidR="00427468">
        <w:t xml:space="preserve"> of </w:t>
      </w:r>
      <w:r w:rsidRPr="001A3D2B">
        <w:t>policies promoting more active labour markets</w:t>
      </w:r>
      <w:r w:rsidR="005853A9">
        <w:t xml:space="preserve"> and </w:t>
      </w:r>
      <w:r w:rsidR="003A1917">
        <w:t xml:space="preserve">the </w:t>
      </w:r>
      <w:r w:rsidRPr="001A3D2B">
        <w:t>reform</w:t>
      </w:r>
      <w:r w:rsidR="00427468">
        <w:t xml:space="preserve"> of </w:t>
      </w:r>
      <w:r w:rsidRPr="001A3D2B">
        <w:t>student funding. Evidence is found</w:t>
      </w:r>
      <w:r w:rsidR="00427468">
        <w:t xml:space="preserve"> of </w:t>
      </w:r>
      <w:r w:rsidRPr="001A3D2B">
        <w:t>a real, though qualified impact</w:t>
      </w:r>
      <w:r w:rsidR="00427468">
        <w:t xml:space="preserve"> of </w:t>
      </w:r>
      <w:r w:rsidRPr="001A3D2B">
        <w:t>Australian policy-making mediated by</w:t>
      </w:r>
      <w:r w:rsidR="003A1917">
        <w:t xml:space="preserve"> the </w:t>
      </w:r>
      <w:r w:rsidRPr="001A3D2B">
        <w:t>very different institutional contexts in Australia</w:t>
      </w:r>
      <w:r w:rsidR="005853A9">
        <w:t xml:space="preserve"> and </w:t>
      </w:r>
      <w:r w:rsidRPr="001A3D2B">
        <w:t>Britain.</w:t>
      </w:r>
    </w:p>
    <w:p w:rsidR="003474F2" w:rsidRPr="001A3D2B" w:rsidRDefault="003474F2" w:rsidP="003474F2">
      <w:pPr>
        <w:pStyle w:val="a3"/>
      </w:pPr>
      <w:r w:rsidRPr="001A3D2B">
        <w:t xml:space="preserve">Keywords: Policy Transfer, Social </w:t>
      </w:r>
      <w:smartTag w:uri="urn:schemas-microsoft-com:office:smarttags" w:element="City">
        <w:r w:rsidRPr="001A3D2B">
          <w:t>Policy</w:t>
        </w:r>
      </w:smartTag>
      <w:r w:rsidRPr="001A3D2B">
        <w:t xml:space="preserve">, </w:t>
      </w:r>
      <w:smartTag w:uri="urn:schemas-microsoft-com:office:smarttags" w:element="country-region">
        <w:r w:rsidRPr="001A3D2B">
          <w:t>Australia</w:t>
        </w:r>
      </w:smartTag>
      <w:r w:rsidRPr="001A3D2B">
        <w:t xml:space="preserve">, </w:t>
      </w:r>
      <w:smartTag w:uri="urn:schemas-microsoft-com:office:smarttags" w:element="place">
        <w:smartTag w:uri="urn:schemas-microsoft-com:office:smarttags" w:element="country-region">
          <w:r w:rsidRPr="001A3D2B">
            <w:t>UK</w:t>
          </w:r>
        </w:smartTag>
      </w:smartTag>
    </w:p>
    <w:p w:rsidR="005B6453" w:rsidRPr="001A3D2B" w:rsidRDefault="005B6453" w:rsidP="005B6453">
      <w:pPr>
        <w:pStyle w:val="1"/>
      </w:pPr>
      <w:r w:rsidRPr="001A3D2B">
        <w:br w:type="page"/>
      </w:r>
      <w:bookmarkStart w:id="346" w:name="_Toc420815073"/>
      <w:r w:rsidRPr="001A3D2B">
        <w:lastRenderedPageBreak/>
        <w:t xml:space="preserve">Title: </w:t>
      </w:r>
      <w:r w:rsidRPr="005B6453">
        <w:t>Communication Monographs</w:t>
      </w:r>
      <w:bookmarkEnd w:id="346"/>
    </w:p>
    <w:p w:rsidR="005B6453" w:rsidRPr="001A3D2B" w:rsidRDefault="005B6453" w:rsidP="005B6453">
      <w:pPr>
        <w:pStyle w:val="12"/>
      </w:pPr>
      <w:r w:rsidRPr="001A3D2B">
        <w:t xml:space="preserve">Full Journal Title: </w:t>
      </w:r>
      <w:r w:rsidRPr="005B6453">
        <w:rPr>
          <w:iCs/>
          <w:kern w:val="0"/>
        </w:rPr>
        <w:t>Communication Monographs</w:t>
      </w:r>
    </w:p>
    <w:p w:rsidR="005B6453" w:rsidRPr="001A3D2B" w:rsidRDefault="005B6453" w:rsidP="005B6453">
      <w:pPr>
        <w:pStyle w:val="12"/>
      </w:pPr>
      <w:r w:rsidRPr="001A3D2B">
        <w:t xml:space="preserve">ISO Abbreviated Title: </w:t>
      </w:r>
    </w:p>
    <w:p w:rsidR="005B6453" w:rsidRPr="001A3D2B" w:rsidRDefault="005B6453" w:rsidP="005B6453">
      <w:pPr>
        <w:pStyle w:val="12"/>
      </w:pPr>
      <w:r w:rsidRPr="001A3D2B">
        <w:t xml:space="preserve">JCR Abbreviated Title: </w:t>
      </w:r>
    </w:p>
    <w:p w:rsidR="005B6453" w:rsidRPr="001A3D2B" w:rsidRDefault="005B6453" w:rsidP="005B6453">
      <w:pPr>
        <w:pStyle w:val="12"/>
      </w:pPr>
      <w:r w:rsidRPr="001A3D2B">
        <w:t xml:space="preserve">ISSN: </w:t>
      </w:r>
    </w:p>
    <w:p w:rsidR="005B6453" w:rsidRPr="001A3D2B" w:rsidRDefault="005B6453" w:rsidP="005B6453">
      <w:pPr>
        <w:pStyle w:val="12"/>
      </w:pPr>
      <w:r w:rsidRPr="001A3D2B">
        <w:t xml:space="preserve">Issues/Year: </w:t>
      </w:r>
    </w:p>
    <w:p w:rsidR="005B6453" w:rsidRPr="001A3D2B" w:rsidRDefault="005B6453" w:rsidP="005B6453">
      <w:pPr>
        <w:pStyle w:val="12"/>
      </w:pPr>
      <w:r w:rsidRPr="001A3D2B">
        <w:t xml:space="preserve">Journal Country/Territory: </w:t>
      </w:r>
    </w:p>
    <w:p w:rsidR="005B6453" w:rsidRPr="001A3D2B" w:rsidRDefault="005B6453" w:rsidP="005B6453">
      <w:pPr>
        <w:pStyle w:val="12"/>
      </w:pPr>
      <w:r w:rsidRPr="001A3D2B">
        <w:t xml:space="preserve">Language: </w:t>
      </w:r>
    </w:p>
    <w:p w:rsidR="005B6453" w:rsidRPr="001A3D2B" w:rsidRDefault="005B6453" w:rsidP="005B6453">
      <w:pPr>
        <w:pStyle w:val="12"/>
      </w:pPr>
      <w:r w:rsidRPr="001A3D2B">
        <w:t xml:space="preserve">Publisher: </w:t>
      </w:r>
    </w:p>
    <w:p w:rsidR="005B6453" w:rsidRPr="001A3D2B" w:rsidRDefault="005B6453" w:rsidP="005B6453">
      <w:pPr>
        <w:pStyle w:val="12"/>
      </w:pPr>
      <w:r w:rsidRPr="001A3D2B">
        <w:t xml:space="preserve">Publisher Address: </w:t>
      </w:r>
    </w:p>
    <w:p w:rsidR="005B6453" w:rsidRPr="001A3D2B" w:rsidRDefault="005B6453" w:rsidP="005B6453">
      <w:pPr>
        <w:pStyle w:val="12"/>
      </w:pPr>
      <w:r w:rsidRPr="001A3D2B">
        <w:t>Subject Categories:</w:t>
      </w:r>
    </w:p>
    <w:p w:rsidR="005B6453" w:rsidRPr="001A3D2B" w:rsidRDefault="005B6453" w:rsidP="005B6453">
      <w:pPr>
        <w:pStyle w:val="12"/>
      </w:pPr>
      <w:r w:rsidRPr="001A3D2B">
        <w:t xml:space="preserve">: Impact Factor </w:t>
      </w:r>
    </w:p>
    <w:p w:rsidR="005B6453" w:rsidRDefault="005B6453" w:rsidP="005B6453">
      <w:pPr>
        <w:pStyle w:val="a3"/>
        <w:rPr>
          <w:kern w:val="0"/>
        </w:rPr>
      </w:pPr>
      <w:r>
        <w:rPr>
          <w:rFonts w:hint="eastAsia"/>
          <w:kern w:val="0"/>
        </w:rPr>
        <w:t xml:space="preserve">? </w:t>
      </w:r>
      <w:r>
        <w:rPr>
          <w:kern w:val="0"/>
        </w:rPr>
        <w:t>van Osch, W. and Coursaris, C.K. (2014), Social media research: An assessment of the domain</w:t>
      </w:r>
      <w:r w:rsidR="0071223E">
        <w:rPr>
          <w:kern w:val="0"/>
        </w:rPr>
        <w:t>’</w:t>
      </w:r>
      <w:r>
        <w:rPr>
          <w:kern w:val="0"/>
        </w:rPr>
        <w:t xml:space="preserve">s productivity and intellectual evolution. </w:t>
      </w:r>
      <w:r w:rsidRPr="005B6453">
        <w:rPr>
          <w:i/>
          <w:iCs/>
          <w:kern w:val="0"/>
        </w:rPr>
        <w:t>Communication Monographs</w:t>
      </w:r>
      <w:r>
        <w:rPr>
          <w:kern w:val="0"/>
        </w:rPr>
        <w:t xml:space="preserve">, </w:t>
      </w:r>
      <w:r>
        <w:rPr>
          <w:b/>
          <w:bCs/>
          <w:kern w:val="0"/>
        </w:rPr>
        <w:t>81</w:t>
      </w:r>
      <w:r>
        <w:rPr>
          <w:kern w:val="0"/>
        </w:rPr>
        <w:t xml:space="preserve"> (3), 285-309.</w:t>
      </w:r>
    </w:p>
    <w:p w:rsidR="005B6453" w:rsidRDefault="005B6453" w:rsidP="005B6453">
      <w:pPr>
        <w:pStyle w:val="a3"/>
        <w:rPr>
          <w:kern w:val="0"/>
        </w:rPr>
      </w:pPr>
      <w:r>
        <w:rPr>
          <w:rFonts w:hint="eastAsia"/>
          <w:kern w:val="0"/>
        </w:rPr>
        <w:t xml:space="preserve">Full Text: </w:t>
      </w:r>
      <w:hyperlink r:id="rId936" w:history="1">
        <w:r w:rsidRPr="005B6453">
          <w:rPr>
            <w:rStyle w:val="a5"/>
            <w:kern w:val="0"/>
          </w:rPr>
          <w:t>2014\Com Mon81, 285.pdf</w:t>
        </w:r>
      </w:hyperlink>
    </w:p>
    <w:p w:rsidR="005B6453" w:rsidRDefault="005B6453" w:rsidP="005B6453">
      <w:pPr>
        <w:pStyle w:val="a3"/>
        <w:rPr>
          <w:kern w:val="0"/>
        </w:rPr>
      </w:pPr>
      <w:r>
        <w:rPr>
          <w:kern w:val="0"/>
        </w:rPr>
        <w:t>Abstract: The purpose of this study is to conduct a bibliographic investigation and meta-analysis of the full body of social media scholarship produced over eight years, since the domain</w:t>
      </w:r>
      <w:r w:rsidR="0071223E">
        <w:rPr>
          <w:kern w:val="0"/>
        </w:rPr>
        <w:t>’</w:t>
      </w:r>
      <w:r>
        <w:rPr>
          <w:kern w:val="0"/>
        </w:rPr>
        <w:t>s emergence in 2004. A total of 610 journal and conference papers were carefully reviewed and subjected to bibliometric and meta-analysis techniques. A number of research questions pertaining to country, institutional, and individual productivity, as well as research design and data practices in the social media field, were proposed and answered. Our results reveal two main challenges faced by the field. First, the social media domain displays limited intellectual diversity in terms of productive and impactful actors-individual, institutions, and countries-as well as publications that have hitherto skewed the domain</w:t>
      </w:r>
      <w:r w:rsidR="0071223E">
        <w:rPr>
          <w:kern w:val="0"/>
        </w:rPr>
        <w:t>’</w:t>
      </w:r>
      <w:r>
        <w:rPr>
          <w:kern w:val="0"/>
        </w:rPr>
        <w:t>s focus in a limited direction. Second, the research design approaches and data practices characterizing the domain seem to reflect methodological singularity characterized by a strong tendency for cross-sectional, individual-level, survey or case-based studies. Furthermore, speculative and anecdotal evidence, based on personal opinions and armchair hypotheses, is extremely widespread and stand in the way of the domain</w:t>
      </w:r>
      <w:r w:rsidR="0071223E">
        <w:rPr>
          <w:kern w:val="0"/>
        </w:rPr>
        <w:t>’</w:t>
      </w:r>
      <w:r>
        <w:rPr>
          <w:kern w:val="0"/>
        </w:rPr>
        <w:t>s methodological and theoretical advancement. These challenges not only help to improve one</w:t>
      </w:r>
      <w:r w:rsidR="0071223E">
        <w:rPr>
          <w:kern w:val="0"/>
        </w:rPr>
        <w:t>’</w:t>
      </w:r>
      <w:r>
        <w:rPr>
          <w:kern w:val="0"/>
        </w:rPr>
        <w:t>s understanding of the identity and intellectual core of social media as a distinct scientific field but can also further prompt academic debate and careful (re)examination of the domain</w:t>
      </w:r>
      <w:r w:rsidR="0071223E">
        <w:rPr>
          <w:kern w:val="0"/>
        </w:rPr>
        <w:t>’</w:t>
      </w:r>
      <w:r>
        <w:rPr>
          <w:kern w:val="0"/>
        </w:rPr>
        <w:t>s scholarly practices and assumptions to ensure its future advancement in the most productive manner.</w:t>
      </w:r>
    </w:p>
    <w:p w:rsidR="005B6453" w:rsidRDefault="005B6453" w:rsidP="005B6453">
      <w:pPr>
        <w:pStyle w:val="a3"/>
        <w:rPr>
          <w:kern w:val="0"/>
        </w:rPr>
      </w:pPr>
      <w:r>
        <w:rPr>
          <w:kern w:val="0"/>
        </w:rPr>
        <w:t xml:space="preserve">Keywords: Assessment, Assumptions, Bibliographic, Bibliographic Analysis, </w:t>
      </w:r>
      <w:r>
        <w:rPr>
          <w:kern w:val="0"/>
        </w:rPr>
        <w:lastRenderedPageBreak/>
        <w:t>Bibliometric, Capital Academic Journals, Citation Analysis, Conference Papers, Country, Data, Data Practices, Design, Discipline, Diversity, Evidence, Evolution, Field, Global Ranking, Impact, Information-Systems Research, Institutions, Investigation, Journal, Knowledge Management, Literature Review, Media, Meta Analysis, Meta-Analysis, Metaanalysis, Online Social Networks, Opinions, Papers, Practices, Productivity, Publications, Purpose, Research, Research Design, Research Productivity, Scholarship, Science, Scientometric Analysis, Singularity, Social, Social Media, Social Network Sites, Survey, Techniques, Technology, Theoretical, Understanding</w:t>
      </w:r>
    </w:p>
    <w:p w:rsidR="00B36B79" w:rsidRPr="001A3D2B" w:rsidRDefault="00B36B79" w:rsidP="00B36B79">
      <w:pPr>
        <w:pStyle w:val="1"/>
      </w:pPr>
      <w:r w:rsidRPr="001A3D2B">
        <w:br w:type="page"/>
      </w:r>
      <w:bookmarkStart w:id="347" w:name="_Toc420815074"/>
      <w:r w:rsidRPr="001A3D2B">
        <w:lastRenderedPageBreak/>
        <w:t>Title: Communication Research</w:t>
      </w:r>
      <w:bookmarkEnd w:id="347"/>
    </w:p>
    <w:p w:rsidR="00CE3BFA" w:rsidRPr="001A3D2B" w:rsidRDefault="00CE3BFA" w:rsidP="00CE3BFA">
      <w:pPr>
        <w:pStyle w:val="12"/>
      </w:pPr>
      <w:r w:rsidRPr="001A3D2B">
        <w:t xml:space="preserve">Full Journal Title: </w:t>
      </w:r>
      <w:r w:rsidR="00DF61FE">
        <w:fldChar w:fldCharType="begin"/>
      </w:r>
      <w:r w:rsidR="00FD158B">
        <w:instrText>HYPERLINK "http://crx.sagep</w:instrText>
      </w:r>
      <w:bookmarkStart w:id="348" w:name="_Toc250472424"/>
      <w:r w:rsidR="00FD158B">
        <w:instrText>ub.com/archive/"</w:instrText>
      </w:r>
      <w:r w:rsidR="00DF61FE">
        <w:fldChar w:fldCharType="separate"/>
      </w:r>
      <w:r w:rsidRPr="001A3D2B">
        <w:rPr>
          <w:rStyle w:val="a5"/>
        </w:rPr>
        <w:t>Communicatio</w:t>
      </w:r>
      <w:bookmarkEnd w:id="348"/>
      <w:r w:rsidRPr="001A3D2B">
        <w:rPr>
          <w:rStyle w:val="a5"/>
        </w:rPr>
        <w:t>n Research</w:t>
      </w:r>
      <w:r w:rsidR="00DF61FE">
        <w:fldChar w:fldCharType="end"/>
      </w:r>
    </w:p>
    <w:p w:rsidR="00B36B79" w:rsidRPr="001A3D2B" w:rsidRDefault="00B36B79" w:rsidP="00B36B79">
      <w:pPr>
        <w:pStyle w:val="12"/>
      </w:pPr>
      <w:r w:rsidRPr="001A3D2B">
        <w:t xml:space="preserve">ISO Abbreviated Title: </w:t>
      </w:r>
    </w:p>
    <w:p w:rsidR="00B36B79" w:rsidRPr="001A3D2B" w:rsidRDefault="00B36B79" w:rsidP="00B36B79">
      <w:pPr>
        <w:pStyle w:val="12"/>
      </w:pPr>
      <w:r w:rsidRPr="001A3D2B">
        <w:t xml:space="preserve">JCR Abbreviated Title: </w:t>
      </w:r>
    </w:p>
    <w:p w:rsidR="00B36B79" w:rsidRPr="001A3D2B" w:rsidRDefault="00B36B79" w:rsidP="00B36B79">
      <w:pPr>
        <w:pStyle w:val="12"/>
      </w:pPr>
      <w:r w:rsidRPr="001A3D2B">
        <w:t xml:space="preserve">ISSN: </w:t>
      </w:r>
    </w:p>
    <w:p w:rsidR="00B36B79" w:rsidRPr="001A3D2B" w:rsidRDefault="00B36B79" w:rsidP="00B36B79">
      <w:pPr>
        <w:pStyle w:val="12"/>
      </w:pPr>
      <w:r w:rsidRPr="001A3D2B">
        <w:t xml:space="preserve">Issues/Year: </w:t>
      </w:r>
    </w:p>
    <w:p w:rsidR="00B36B79" w:rsidRPr="001A3D2B" w:rsidRDefault="00B36B79" w:rsidP="00B36B79">
      <w:pPr>
        <w:pStyle w:val="12"/>
      </w:pPr>
      <w:r w:rsidRPr="001A3D2B">
        <w:t xml:space="preserve">Journal Country/Territory: </w:t>
      </w:r>
    </w:p>
    <w:p w:rsidR="00B36B79" w:rsidRPr="001A3D2B" w:rsidRDefault="00B36B79" w:rsidP="00B36B79">
      <w:pPr>
        <w:pStyle w:val="12"/>
      </w:pPr>
      <w:r w:rsidRPr="001A3D2B">
        <w:t xml:space="preserve">Language: </w:t>
      </w:r>
    </w:p>
    <w:p w:rsidR="00B36B79" w:rsidRPr="001A3D2B" w:rsidRDefault="00B36B79" w:rsidP="00B36B79">
      <w:pPr>
        <w:pStyle w:val="12"/>
      </w:pPr>
      <w:r w:rsidRPr="001A3D2B">
        <w:t xml:space="preserve">Publisher: </w:t>
      </w:r>
    </w:p>
    <w:p w:rsidR="00B36B79" w:rsidRPr="001A3D2B" w:rsidRDefault="00B36B79" w:rsidP="00B36B79">
      <w:pPr>
        <w:pStyle w:val="12"/>
      </w:pPr>
      <w:r w:rsidRPr="001A3D2B">
        <w:t xml:space="preserve">Publisher Address: </w:t>
      </w:r>
    </w:p>
    <w:p w:rsidR="00B36B79" w:rsidRPr="001A3D2B" w:rsidRDefault="00B36B79" w:rsidP="00B36B79">
      <w:pPr>
        <w:pStyle w:val="12"/>
      </w:pPr>
      <w:r w:rsidRPr="001A3D2B">
        <w:t>Subject Categories:</w:t>
      </w:r>
    </w:p>
    <w:p w:rsidR="00B36B79" w:rsidRPr="001A3D2B" w:rsidRDefault="00B36B79" w:rsidP="00B36B79">
      <w:pPr>
        <w:pStyle w:val="12"/>
      </w:pPr>
      <w:r w:rsidRPr="001A3D2B">
        <w:t xml:space="preserve">: Impact Factor </w:t>
      </w:r>
    </w:p>
    <w:p w:rsidR="00CE3BFA" w:rsidRPr="001A3D2B" w:rsidRDefault="00CE3BFA" w:rsidP="00CE3BFA">
      <w:pPr>
        <w:pStyle w:val="a3"/>
        <w:rPr>
          <w:kern w:val="0"/>
          <w:szCs w:val="24"/>
        </w:rPr>
      </w:pPr>
      <w:r w:rsidRPr="001A3D2B">
        <w:rPr>
          <w:kern w:val="0"/>
          <w:szCs w:val="24"/>
        </w:rPr>
        <w:t>? Borgman, C.L.</w:t>
      </w:r>
      <w:r w:rsidR="005853A9">
        <w:rPr>
          <w:kern w:val="0"/>
          <w:szCs w:val="24"/>
        </w:rPr>
        <w:t xml:space="preserve"> and </w:t>
      </w:r>
      <w:r w:rsidRPr="001A3D2B">
        <w:rPr>
          <w:kern w:val="0"/>
          <w:szCs w:val="24"/>
        </w:rPr>
        <w:t>Paisley, W. (1989), Bibliometric methods for</w:t>
      </w:r>
      <w:r w:rsidR="003A1917">
        <w:rPr>
          <w:kern w:val="0"/>
          <w:szCs w:val="24"/>
        </w:rPr>
        <w:t xml:space="preserve"> the </w:t>
      </w:r>
      <w:r w:rsidRPr="001A3D2B">
        <w:rPr>
          <w:kern w:val="0"/>
          <w:szCs w:val="24"/>
        </w:rPr>
        <w:t>study</w:t>
      </w:r>
      <w:r w:rsidR="00427468">
        <w:rPr>
          <w:kern w:val="0"/>
          <w:szCs w:val="24"/>
        </w:rPr>
        <w:t xml:space="preserve"> of </w:t>
      </w:r>
      <w:r w:rsidRPr="001A3D2B">
        <w:rPr>
          <w:kern w:val="0"/>
          <w:szCs w:val="24"/>
        </w:rPr>
        <w:t xml:space="preserve">scholarly communication: Preface. </w:t>
      </w:r>
      <w:r w:rsidRPr="001A3D2B">
        <w:rPr>
          <w:i/>
          <w:iCs/>
          <w:kern w:val="0"/>
          <w:szCs w:val="24"/>
        </w:rPr>
        <w:t>Communication Research</w:t>
      </w:r>
      <w:r w:rsidRPr="001A3D2B">
        <w:rPr>
          <w:kern w:val="0"/>
          <w:szCs w:val="24"/>
        </w:rPr>
        <w:t xml:space="preserve">, </w:t>
      </w:r>
      <w:r w:rsidRPr="001A3D2B">
        <w:rPr>
          <w:b/>
          <w:bCs/>
          <w:kern w:val="0"/>
          <w:szCs w:val="24"/>
        </w:rPr>
        <w:t>16</w:t>
      </w:r>
      <w:r w:rsidRPr="001A3D2B">
        <w:rPr>
          <w:kern w:val="0"/>
          <w:szCs w:val="24"/>
        </w:rPr>
        <w:t xml:space="preserve"> (5), 581-582.</w:t>
      </w:r>
    </w:p>
    <w:p w:rsidR="00CE3BFA" w:rsidRPr="001A3D2B" w:rsidRDefault="00CE3BFA" w:rsidP="00CE3BFA">
      <w:pPr>
        <w:pStyle w:val="a3"/>
        <w:rPr>
          <w:kern w:val="0"/>
          <w:szCs w:val="24"/>
        </w:rPr>
      </w:pPr>
      <w:r w:rsidRPr="001A3D2B">
        <w:rPr>
          <w:kern w:val="0"/>
          <w:szCs w:val="24"/>
        </w:rPr>
        <w:t xml:space="preserve">Full Text: </w:t>
      </w:r>
      <w:hyperlink r:id="rId937" w:history="1">
        <w:r w:rsidRPr="001A3D2B">
          <w:rPr>
            <w:rStyle w:val="a5"/>
            <w:kern w:val="0"/>
            <w:szCs w:val="24"/>
          </w:rPr>
          <w:t>1989\Com Res16, 581.pdf</w:t>
        </w:r>
      </w:hyperlink>
    </w:p>
    <w:p w:rsidR="00CE3BFA" w:rsidRPr="001A3D2B" w:rsidRDefault="00CE3BFA" w:rsidP="00CE3BFA">
      <w:pPr>
        <w:pStyle w:val="a3"/>
        <w:rPr>
          <w:kern w:val="0"/>
          <w:szCs w:val="24"/>
        </w:rPr>
      </w:pPr>
      <w:r w:rsidRPr="001A3D2B">
        <w:rPr>
          <w:kern w:val="0"/>
          <w:szCs w:val="24"/>
        </w:rPr>
        <w:t>Keywords: Bibliometric</w:t>
      </w:r>
    </w:p>
    <w:p w:rsidR="00CE3BFA" w:rsidRPr="001A3D2B" w:rsidRDefault="00CE3BFA" w:rsidP="00CE3BFA">
      <w:pPr>
        <w:pStyle w:val="a3"/>
        <w:rPr>
          <w:kern w:val="0"/>
          <w:szCs w:val="24"/>
        </w:rPr>
      </w:pPr>
      <w:r w:rsidRPr="001A3D2B">
        <w:rPr>
          <w:kern w:val="0"/>
          <w:szCs w:val="24"/>
        </w:rPr>
        <w:t>? Borgman, C.L. (1989), Bibliometrics</w:t>
      </w:r>
      <w:r w:rsidR="005853A9">
        <w:rPr>
          <w:kern w:val="0"/>
          <w:szCs w:val="24"/>
        </w:rPr>
        <w:t xml:space="preserve"> and </w:t>
      </w:r>
      <w:r w:rsidRPr="001A3D2B">
        <w:rPr>
          <w:kern w:val="0"/>
          <w:szCs w:val="24"/>
        </w:rPr>
        <w:t>scholarly communication: Editor</w:t>
      </w:r>
      <w:r w:rsidR="0071223E">
        <w:rPr>
          <w:kern w:val="0"/>
          <w:szCs w:val="24"/>
        </w:rPr>
        <w:t>’</w:t>
      </w:r>
      <w:r w:rsidR="00C13DDC">
        <w:rPr>
          <w:kern w:val="0"/>
          <w:szCs w:val="24"/>
        </w:rPr>
        <w:t>s</w:t>
      </w:r>
      <w:r w:rsidRPr="001A3D2B">
        <w:rPr>
          <w:kern w:val="0"/>
          <w:szCs w:val="24"/>
        </w:rPr>
        <w:t xml:space="preserve"> introduction. </w:t>
      </w:r>
      <w:r w:rsidRPr="001A3D2B">
        <w:rPr>
          <w:i/>
          <w:iCs/>
          <w:kern w:val="0"/>
          <w:szCs w:val="24"/>
        </w:rPr>
        <w:t>Communication Research</w:t>
      </w:r>
      <w:r w:rsidRPr="001A3D2B">
        <w:rPr>
          <w:kern w:val="0"/>
          <w:szCs w:val="24"/>
        </w:rPr>
        <w:t xml:space="preserve">, </w:t>
      </w:r>
      <w:r w:rsidRPr="001A3D2B">
        <w:rPr>
          <w:b/>
          <w:bCs/>
          <w:kern w:val="0"/>
          <w:szCs w:val="24"/>
        </w:rPr>
        <w:t>16</w:t>
      </w:r>
      <w:r w:rsidRPr="001A3D2B">
        <w:rPr>
          <w:kern w:val="0"/>
          <w:szCs w:val="24"/>
        </w:rPr>
        <w:t xml:space="preserve"> (5), 583-599.</w:t>
      </w:r>
    </w:p>
    <w:p w:rsidR="00CE3BFA" w:rsidRPr="001A3D2B" w:rsidRDefault="00CE3BFA" w:rsidP="00CE3BFA">
      <w:pPr>
        <w:pStyle w:val="a3"/>
        <w:rPr>
          <w:kern w:val="0"/>
          <w:szCs w:val="24"/>
        </w:rPr>
      </w:pPr>
      <w:r w:rsidRPr="001A3D2B">
        <w:rPr>
          <w:kern w:val="0"/>
          <w:szCs w:val="24"/>
        </w:rPr>
        <w:t xml:space="preserve">Full Text: </w:t>
      </w:r>
      <w:hyperlink r:id="rId938" w:history="1">
        <w:r w:rsidRPr="001A3D2B">
          <w:rPr>
            <w:rStyle w:val="a5"/>
            <w:kern w:val="0"/>
            <w:szCs w:val="24"/>
          </w:rPr>
          <w:t>1989\Com Res16, 583.pdf</w:t>
        </w:r>
      </w:hyperlink>
    </w:p>
    <w:p w:rsidR="00CE3BFA" w:rsidRPr="001A3D2B" w:rsidRDefault="00CE3BFA" w:rsidP="00CE3BFA">
      <w:pPr>
        <w:pStyle w:val="a3"/>
        <w:rPr>
          <w:kern w:val="0"/>
        </w:rPr>
      </w:pPr>
      <w:r w:rsidRPr="001A3D2B">
        <w:rPr>
          <w:kern w:val="0"/>
        </w:rPr>
        <w:t>Abstract: In recent years there has been a resurgence</w:t>
      </w:r>
      <w:r w:rsidR="00427468">
        <w:rPr>
          <w:kern w:val="0"/>
        </w:rPr>
        <w:t xml:space="preserve"> of </w:t>
      </w:r>
      <w:r w:rsidRPr="001A3D2B">
        <w:rPr>
          <w:kern w:val="0"/>
        </w:rPr>
        <w:t>interest both in scholarly communication as a research area</w:t>
      </w:r>
      <w:r w:rsidR="005853A9">
        <w:rPr>
          <w:kern w:val="0"/>
        </w:rPr>
        <w:t xml:space="preserve"> and </w:t>
      </w:r>
      <w:r w:rsidRPr="001A3D2B">
        <w:rPr>
          <w:kern w:val="0"/>
        </w:rPr>
        <w:t>in</w:t>
      </w:r>
      <w:r w:rsidR="003A1917">
        <w:rPr>
          <w:kern w:val="0"/>
        </w:rPr>
        <w:t xml:space="preserve"> the </w:t>
      </w:r>
      <w:r w:rsidRPr="001A3D2B">
        <w:rPr>
          <w:kern w:val="0"/>
        </w:rPr>
        <w:t>application</w:t>
      </w:r>
      <w:r w:rsidR="00427468">
        <w:rPr>
          <w:kern w:val="0"/>
        </w:rPr>
        <w:t xml:space="preserve"> of </w:t>
      </w:r>
      <w:r w:rsidRPr="001A3D2B">
        <w:rPr>
          <w:kern w:val="0"/>
        </w:rPr>
        <w:t>bibliometrics as a research method. This special issue attempts to review current research that applies bibliometric techniques to research questions in scholarly communication. We consider scholarly communication to be</w:t>
      </w:r>
      <w:r w:rsidR="003A1917">
        <w:rPr>
          <w:kern w:val="0"/>
        </w:rPr>
        <w:t xml:space="preserve"> the </w:t>
      </w:r>
      <w:r w:rsidRPr="001A3D2B">
        <w:rPr>
          <w:kern w:val="0"/>
        </w:rPr>
        <w:t>study</w:t>
      </w:r>
      <w:r w:rsidR="00427468">
        <w:rPr>
          <w:kern w:val="0"/>
        </w:rPr>
        <w:t xml:space="preserve"> of </w:t>
      </w:r>
      <w:r w:rsidRPr="001A3D2B">
        <w:rPr>
          <w:kern w:val="0"/>
        </w:rPr>
        <w:t>how scholars in any field use</w:t>
      </w:r>
      <w:r w:rsidR="005853A9">
        <w:rPr>
          <w:kern w:val="0"/>
        </w:rPr>
        <w:t xml:space="preserve"> and </w:t>
      </w:r>
      <w:r w:rsidRPr="001A3D2B">
        <w:rPr>
          <w:kern w:val="0"/>
        </w:rPr>
        <w:t>disseminate information through formal</w:t>
      </w:r>
      <w:r w:rsidR="005853A9">
        <w:rPr>
          <w:kern w:val="0"/>
        </w:rPr>
        <w:t xml:space="preserve"> and </w:t>
      </w:r>
      <w:r w:rsidRPr="001A3D2B">
        <w:rPr>
          <w:kern w:val="0"/>
        </w:rPr>
        <w:t>informal channels, whereas bibliometrics is</w:t>
      </w:r>
      <w:r w:rsidR="003A1917">
        <w:rPr>
          <w:kern w:val="0"/>
        </w:rPr>
        <w:t xml:space="preserve"> the </w:t>
      </w:r>
      <w:r w:rsidRPr="001A3D2B">
        <w:rPr>
          <w:kern w:val="0"/>
        </w:rPr>
        <w:t>application</w:t>
      </w:r>
      <w:r w:rsidR="00427468">
        <w:rPr>
          <w:kern w:val="0"/>
        </w:rPr>
        <w:t xml:space="preserve"> of </w:t>
      </w:r>
      <w:r w:rsidRPr="001A3D2B">
        <w:rPr>
          <w:kern w:val="0"/>
        </w:rPr>
        <w:t>mathematics</w:t>
      </w:r>
      <w:r w:rsidR="005853A9">
        <w:rPr>
          <w:kern w:val="0"/>
        </w:rPr>
        <w:t xml:space="preserve"> and </w:t>
      </w:r>
      <w:r w:rsidRPr="001A3D2B">
        <w:rPr>
          <w:kern w:val="0"/>
        </w:rPr>
        <w:t>statistical methods to books</w:t>
      </w:r>
      <w:r w:rsidR="005853A9">
        <w:rPr>
          <w:kern w:val="0"/>
        </w:rPr>
        <w:t xml:space="preserve"> and </w:t>
      </w:r>
      <w:r w:rsidRPr="001A3D2B">
        <w:rPr>
          <w:kern w:val="0"/>
        </w:rPr>
        <w:t>other media</w:t>
      </w:r>
      <w:r w:rsidR="00427468">
        <w:rPr>
          <w:kern w:val="0"/>
        </w:rPr>
        <w:t xml:space="preserve"> of </w:t>
      </w:r>
      <w:r w:rsidRPr="001A3D2B">
        <w:rPr>
          <w:kern w:val="0"/>
        </w:rPr>
        <w:t>communication. We propose a matrix for</w:t>
      </w:r>
      <w:r w:rsidR="003A1917">
        <w:rPr>
          <w:kern w:val="0"/>
        </w:rPr>
        <w:t xml:space="preserve"> the </w:t>
      </w:r>
      <w:r w:rsidRPr="001A3D2B">
        <w:rPr>
          <w:kern w:val="0"/>
        </w:rPr>
        <w:t>intersection</w:t>
      </w:r>
      <w:r w:rsidR="00427468">
        <w:rPr>
          <w:kern w:val="0"/>
        </w:rPr>
        <w:t xml:space="preserve"> of </w:t>
      </w:r>
      <w:r w:rsidRPr="001A3D2B">
        <w:rPr>
          <w:kern w:val="0"/>
        </w:rPr>
        <w:t>these two topics</w:t>
      </w:r>
      <w:r w:rsidR="00427468">
        <w:rPr>
          <w:kern w:val="0"/>
        </w:rPr>
        <w:t xml:space="preserve"> of </w:t>
      </w:r>
      <w:r w:rsidRPr="001A3D2B">
        <w:rPr>
          <w:kern w:val="0"/>
        </w:rPr>
        <w:t>variables studied (producers, artifacts,</w:t>
      </w:r>
      <w:r w:rsidR="005853A9">
        <w:rPr>
          <w:kern w:val="0"/>
        </w:rPr>
        <w:t xml:space="preserve"> and </w:t>
      </w:r>
      <w:r w:rsidRPr="001A3D2B">
        <w:rPr>
          <w:kern w:val="0"/>
        </w:rPr>
        <w:t>concepts</w:t>
      </w:r>
      <w:r w:rsidR="00427468">
        <w:rPr>
          <w:kern w:val="0"/>
        </w:rPr>
        <w:t xml:space="preserve"> of </w:t>
      </w:r>
      <w:r w:rsidRPr="001A3D2B">
        <w:rPr>
          <w:kern w:val="0"/>
        </w:rPr>
        <w:t>communication) by research questions asked (characterizing scholarly communities, evolution</w:t>
      </w:r>
      <w:r w:rsidR="00427468">
        <w:rPr>
          <w:kern w:val="0"/>
        </w:rPr>
        <w:t xml:space="preserve"> of </w:t>
      </w:r>
      <w:r w:rsidRPr="001A3D2B">
        <w:rPr>
          <w:kern w:val="0"/>
        </w:rPr>
        <w:t>scholarly communities, evaluation</w:t>
      </w:r>
      <w:r w:rsidR="00427468">
        <w:rPr>
          <w:kern w:val="0"/>
        </w:rPr>
        <w:t xml:space="preserve"> of </w:t>
      </w:r>
      <w:r w:rsidRPr="001A3D2B">
        <w:rPr>
          <w:kern w:val="0"/>
        </w:rPr>
        <w:t>scholarly contributions,</w:t>
      </w:r>
      <w:r w:rsidR="005853A9">
        <w:rPr>
          <w:kern w:val="0"/>
        </w:rPr>
        <w:t xml:space="preserve"> and </w:t>
      </w:r>
      <w:r w:rsidR="003A1917">
        <w:rPr>
          <w:kern w:val="0"/>
        </w:rPr>
        <w:t xml:space="preserve">the </w:t>
      </w:r>
      <w:r w:rsidRPr="001A3D2B">
        <w:rPr>
          <w:kern w:val="0"/>
        </w:rPr>
        <w:t>diffusion</w:t>
      </w:r>
      <w:r w:rsidR="00427468">
        <w:rPr>
          <w:kern w:val="0"/>
        </w:rPr>
        <w:t xml:space="preserve"> of </w:t>
      </w:r>
      <w:r w:rsidRPr="001A3D2B">
        <w:rPr>
          <w:kern w:val="0"/>
        </w:rPr>
        <w:t>ideas). Research in these areas is reviewed,</w:t>
      </w:r>
      <w:r w:rsidR="005853A9">
        <w:rPr>
          <w:kern w:val="0"/>
        </w:rPr>
        <w:t xml:space="preserve"> and </w:t>
      </w:r>
      <w:r w:rsidRPr="001A3D2B">
        <w:rPr>
          <w:kern w:val="0"/>
        </w:rPr>
        <w:t>articles in this issue are set in</w:t>
      </w:r>
      <w:r w:rsidR="003A1917">
        <w:rPr>
          <w:kern w:val="0"/>
        </w:rPr>
        <w:t xml:space="preserve"> the </w:t>
      </w:r>
      <w:r w:rsidRPr="001A3D2B">
        <w:rPr>
          <w:kern w:val="0"/>
        </w:rPr>
        <w:t>context</w:t>
      </w:r>
      <w:r w:rsidR="00427468">
        <w:rPr>
          <w:kern w:val="0"/>
        </w:rPr>
        <w:t xml:space="preserve"> of </w:t>
      </w:r>
      <w:r w:rsidR="003A1917">
        <w:rPr>
          <w:kern w:val="0"/>
        </w:rPr>
        <w:t xml:space="preserve">the </w:t>
      </w:r>
      <w:r w:rsidRPr="001A3D2B">
        <w:rPr>
          <w:kern w:val="0"/>
        </w:rPr>
        <w:t>matrix. Reliability</w:t>
      </w:r>
      <w:r w:rsidR="005853A9">
        <w:rPr>
          <w:kern w:val="0"/>
        </w:rPr>
        <w:t xml:space="preserve"> and </w:t>
      </w:r>
      <w:r w:rsidRPr="001A3D2B">
        <w:rPr>
          <w:kern w:val="0"/>
        </w:rPr>
        <w:t>validity issues in</w:t>
      </w:r>
      <w:r w:rsidR="003A1917">
        <w:rPr>
          <w:kern w:val="0"/>
        </w:rPr>
        <w:t xml:space="preserve"> the </w:t>
      </w:r>
      <w:r w:rsidRPr="001A3D2B">
        <w:rPr>
          <w:kern w:val="0"/>
        </w:rPr>
        <w:t>application</w:t>
      </w:r>
      <w:r w:rsidR="00427468">
        <w:rPr>
          <w:kern w:val="0"/>
        </w:rPr>
        <w:t xml:space="preserve"> of </w:t>
      </w:r>
      <w:r w:rsidRPr="001A3D2B">
        <w:rPr>
          <w:kern w:val="0"/>
        </w:rPr>
        <w:t>bibliometrics are reviewed briefly.</w:t>
      </w:r>
    </w:p>
    <w:p w:rsidR="00CE3BFA" w:rsidRPr="001A3D2B" w:rsidRDefault="00CE3BFA" w:rsidP="00CE3BFA">
      <w:pPr>
        <w:pStyle w:val="a3"/>
        <w:rPr>
          <w:kern w:val="0"/>
          <w:szCs w:val="24"/>
        </w:rPr>
      </w:pPr>
      <w:r w:rsidRPr="001A3D2B">
        <w:rPr>
          <w:kern w:val="0"/>
          <w:szCs w:val="24"/>
        </w:rPr>
        <w:t>Keywords: Bibliometrics</w:t>
      </w:r>
    </w:p>
    <w:p w:rsidR="00CE3BFA" w:rsidRPr="001A3D2B" w:rsidRDefault="00CE3BFA" w:rsidP="00CE3BFA">
      <w:pPr>
        <w:pStyle w:val="a3"/>
        <w:rPr>
          <w:kern w:val="0"/>
          <w:szCs w:val="24"/>
        </w:rPr>
      </w:pPr>
      <w:r w:rsidRPr="001A3D2B">
        <w:rPr>
          <w:kern w:val="0"/>
          <w:szCs w:val="24"/>
        </w:rPr>
        <w:t>? Lievrouw, L.A. (1989</w:t>
      </w:r>
      <w:r w:rsidR="00F42EAC">
        <w:rPr>
          <w:kern w:val="0"/>
          <w:szCs w:val="24"/>
        </w:rPr>
        <w:t>), The</w:t>
      </w:r>
      <w:r w:rsidR="003A1917">
        <w:rPr>
          <w:kern w:val="0"/>
          <w:szCs w:val="24"/>
        </w:rPr>
        <w:t xml:space="preserve"> </w:t>
      </w:r>
      <w:r w:rsidRPr="001A3D2B">
        <w:rPr>
          <w:kern w:val="0"/>
          <w:szCs w:val="24"/>
        </w:rPr>
        <w:t>invisible college reconsidered: Bibliometrics</w:t>
      </w:r>
      <w:r w:rsidR="005853A9">
        <w:rPr>
          <w:kern w:val="0"/>
          <w:szCs w:val="24"/>
        </w:rPr>
        <w:t xml:space="preserve"> and </w:t>
      </w:r>
      <w:r w:rsidR="003A1917">
        <w:rPr>
          <w:kern w:val="0"/>
          <w:szCs w:val="24"/>
        </w:rPr>
        <w:t xml:space="preserve">the </w:t>
      </w:r>
      <w:r w:rsidRPr="001A3D2B">
        <w:rPr>
          <w:kern w:val="0"/>
          <w:szCs w:val="24"/>
        </w:rPr>
        <w:t>development</w:t>
      </w:r>
      <w:r w:rsidR="00427468">
        <w:rPr>
          <w:kern w:val="0"/>
          <w:szCs w:val="24"/>
        </w:rPr>
        <w:t xml:space="preserve"> of </w:t>
      </w:r>
      <w:r w:rsidRPr="001A3D2B">
        <w:rPr>
          <w:kern w:val="0"/>
          <w:szCs w:val="24"/>
        </w:rPr>
        <w:t xml:space="preserve">scientific communication-theory. </w:t>
      </w:r>
      <w:r w:rsidRPr="001A3D2B">
        <w:rPr>
          <w:i/>
          <w:iCs/>
          <w:kern w:val="0"/>
          <w:szCs w:val="24"/>
        </w:rPr>
        <w:t>Communication Research</w:t>
      </w:r>
      <w:r w:rsidRPr="001A3D2B">
        <w:rPr>
          <w:kern w:val="0"/>
          <w:szCs w:val="24"/>
        </w:rPr>
        <w:t xml:space="preserve">, </w:t>
      </w:r>
      <w:r w:rsidRPr="001A3D2B">
        <w:rPr>
          <w:b/>
          <w:bCs/>
          <w:kern w:val="0"/>
          <w:szCs w:val="24"/>
        </w:rPr>
        <w:t>16</w:t>
      </w:r>
      <w:r w:rsidRPr="001A3D2B">
        <w:rPr>
          <w:kern w:val="0"/>
          <w:szCs w:val="24"/>
        </w:rPr>
        <w:t xml:space="preserve"> (5), 615-628.</w:t>
      </w:r>
    </w:p>
    <w:p w:rsidR="00CE3BFA" w:rsidRPr="001A3D2B" w:rsidRDefault="00CE3BFA" w:rsidP="00CE3BFA">
      <w:pPr>
        <w:pStyle w:val="a3"/>
        <w:rPr>
          <w:kern w:val="0"/>
          <w:szCs w:val="24"/>
        </w:rPr>
      </w:pPr>
      <w:r w:rsidRPr="001A3D2B">
        <w:rPr>
          <w:kern w:val="0"/>
          <w:szCs w:val="24"/>
        </w:rPr>
        <w:lastRenderedPageBreak/>
        <w:t xml:space="preserve">Full Text: </w:t>
      </w:r>
      <w:hyperlink r:id="rId939" w:history="1">
        <w:r w:rsidRPr="001A3D2B">
          <w:rPr>
            <w:rStyle w:val="a5"/>
            <w:kern w:val="0"/>
            <w:szCs w:val="24"/>
          </w:rPr>
          <w:t>1989\Com Res16, 615.pdf</w:t>
        </w:r>
      </w:hyperlink>
    </w:p>
    <w:p w:rsidR="00CE3BFA" w:rsidRPr="001A3D2B" w:rsidRDefault="00CE3BFA" w:rsidP="00CE3BFA">
      <w:pPr>
        <w:pStyle w:val="a3"/>
        <w:rPr>
          <w:kern w:val="0"/>
        </w:rPr>
      </w:pPr>
      <w:r w:rsidRPr="001A3D2B">
        <w:rPr>
          <w:kern w:val="0"/>
        </w:rPr>
        <w:t>Abstract: In this article,</w:t>
      </w:r>
      <w:r w:rsidR="003A1917">
        <w:rPr>
          <w:kern w:val="0"/>
        </w:rPr>
        <w:t xml:space="preserve"> the </w:t>
      </w:r>
      <w:r w:rsidRPr="001A3D2B">
        <w:rPr>
          <w:kern w:val="0"/>
        </w:rPr>
        <w:t>relationship</w:t>
      </w:r>
      <w:r w:rsidR="00427468">
        <w:rPr>
          <w:kern w:val="0"/>
        </w:rPr>
        <w:t xml:space="preserve"> of </w:t>
      </w:r>
      <w:r w:rsidRPr="001A3D2B">
        <w:rPr>
          <w:kern w:val="0"/>
        </w:rPr>
        <w:t>bibliometric techniques (especially citation analysis) to communication theory</w:t>
      </w:r>
      <w:r w:rsidR="005853A9">
        <w:rPr>
          <w:kern w:val="0"/>
        </w:rPr>
        <w:t xml:space="preserve"> and </w:t>
      </w:r>
      <w:r w:rsidRPr="001A3D2B">
        <w:rPr>
          <w:kern w:val="0"/>
        </w:rPr>
        <w:t>research is examined, using</w:t>
      </w:r>
      <w:r w:rsidR="003A1917">
        <w:rPr>
          <w:kern w:val="0"/>
        </w:rPr>
        <w:t xml:space="preserve"> the </w:t>
      </w:r>
      <w:r w:rsidRPr="001A3D2B">
        <w:rPr>
          <w:kern w:val="0"/>
        </w:rPr>
        <w:t>invisible college as</w:t>
      </w:r>
      <w:r w:rsidR="003A1917">
        <w:rPr>
          <w:kern w:val="0"/>
        </w:rPr>
        <w:t xml:space="preserve"> the </w:t>
      </w:r>
      <w:r w:rsidRPr="001A3D2B">
        <w:rPr>
          <w:kern w:val="0"/>
        </w:rPr>
        <w:t>principal example</w:t>
      </w:r>
      <w:r w:rsidR="00A37C1D">
        <w:rPr>
          <w:kern w:val="0"/>
        </w:rPr>
        <w:t>. The</w:t>
      </w:r>
      <w:r w:rsidR="003A1917">
        <w:rPr>
          <w:kern w:val="0"/>
        </w:rPr>
        <w:t xml:space="preserve"> </w:t>
      </w:r>
      <w:r w:rsidRPr="001A3D2B">
        <w:rPr>
          <w:kern w:val="0"/>
        </w:rPr>
        <w:t>invisible college is used because it is</w:t>
      </w:r>
      <w:r w:rsidR="003A1917">
        <w:rPr>
          <w:kern w:val="0"/>
        </w:rPr>
        <w:t xml:space="preserve"> the </w:t>
      </w:r>
      <w:r w:rsidRPr="001A3D2B">
        <w:rPr>
          <w:kern w:val="0"/>
        </w:rPr>
        <w:t>best-known model</w:t>
      </w:r>
      <w:r w:rsidR="00427468">
        <w:rPr>
          <w:kern w:val="0"/>
        </w:rPr>
        <w:t xml:space="preserve"> of </w:t>
      </w:r>
      <w:r w:rsidRPr="001A3D2B">
        <w:rPr>
          <w:kern w:val="0"/>
        </w:rPr>
        <w:t>scientific communication,</w:t>
      </w:r>
      <w:r w:rsidR="005853A9">
        <w:rPr>
          <w:kern w:val="0"/>
        </w:rPr>
        <w:t xml:space="preserve"> and </w:t>
      </w:r>
      <w:r w:rsidRPr="001A3D2B">
        <w:rPr>
          <w:kern w:val="0"/>
        </w:rPr>
        <w:t>because it is based in bibliometric studies</w:t>
      </w:r>
      <w:r w:rsidR="00427468">
        <w:rPr>
          <w:kern w:val="0"/>
        </w:rPr>
        <w:t xml:space="preserve"> of </w:t>
      </w:r>
      <w:r w:rsidRPr="001A3D2B">
        <w:rPr>
          <w:kern w:val="0"/>
        </w:rPr>
        <w:t>science. As such,</w:t>
      </w:r>
      <w:r w:rsidR="003A1917">
        <w:rPr>
          <w:kern w:val="0"/>
        </w:rPr>
        <w:t xml:space="preserve"> the </w:t>
      </w:r>
      <w:r w:rsidRPr="001A3D2B">
        <w:rPr>
          <w:kern w:val="0"/>
        </w:rPr>
        <w:t>invisible college is typical</w:t>
      </w:r>
      <w:r w:rsidR="00427468">
        <w:rPr>
          <w:kern w:val="0"/>
        </w:rPr>
        <w:t xml:space="preserve"> of </w:t>
      </w:r>
      <w:r w:rsidRPr="001A3D2B">
        <w:rPr>
          <w:kern w:val="0"/>
        </w:rPr>
        <w:t>constructs that describe processes yet are founded on</w:t>
      </w:r>
      <w:r w:rsidR="003A1917">
        <w:rPr>
          <w:kern w:val="0"/>
        </w:rPr>
        <w:t xml:space="preserve"> the </w:t>
      </w:r>
      <w:r w:rsidRPr="001A3D2B">
        <w:rPr>
          <w:kern w:val="0"/>
        </w:rPr>
        <w:t>study</w:t>
      </w:r>
      <w:r w:rsidR="00427468">
        <w:rPr>
          <w:kern w:val="0"/>
        </w:rPr>
        <w:t xml:space="preserve"> of </w:t>
      </w:r>
      <w:r w:rsidRPr="001A3D2B">
        <w:rPr>
          <w:kern w:val="0"/>
        </w:rPr>
        <w:t>structures;</w:t>
      </w:r>
      <w:r w:rsidR="003A1917">
        <w:rPr>
          <w:kern w:val="0"/>
        </w:rPr>
        <w:t xml:space="preserve"> the </w:t>
      </w:r>
      <w:r w:rsidRPr="001A3D2B">
        <w:rPr>
          <w:kern w:val="0"/>
        </w:rPr>
        <w:t>ambiguity surrounding</w:t>
      </w:r>
      <w:r w:rsidR="003A1917">
        <w:rPr>
          <w:kern w:val="0"/>
        </w:rPr>
        <w:t xml:space="preserve"> the </w:t>
      </w:r>
      <w:r w:rsidRPr="001A3D2B">
        <w:rPr>
          <w:kern w:val="0"/>
        </w:rPr>
        <w:t>use</w:t>
      </w:r>
      <w:r w:rsidR="00427468">
        <w:rPr>
          <w:kern w:val="0"/>
        </w:rPr>
        <w:t xml:space="preserve"> of </w:t>
      </w:r>
      <w:r w:rsidR="003A1917">
        <w:rPr>
          <w:kern w:val="0"/>
        </w:rPr>
        <w:t xml:space="preserve">the </w:t>
      </w:r>
      <w:r w:rsidRPr="001A3D2B">
        <w:rPr>
          <w:kern w:val="0"/>
        </w:rPr>
        <w:t>term is symptomatic</w:t>
      </w:r>
      <w:r w:rsidR="00427468">
        <w:rPr>
          <w:kern w:val="0"/>
        </w:rPr>
        <w:t xml:space="preserve"> of </w:t>
      </w:r>
      <w:r w:rsidR="003A1917">
        <w:rPr>
          <w:kern w:val="0"/>
        </w:rPr>
        <w:t xml:space="preserve">the </w:t>
      </w:r>
      <w:r w:rsidRPr="001A3D2B">
        <w:rPr>
          <w:kern w:val="0"/>
        </w:rPr>
        <w:t>confounding</w:t>
      </w:r>
      <w:r w:rsidR="00427468">
        <w:rPr>
          <w:kern w:val="0"/>
        </w:rPr>
        <w:t xml:space="preserve"> of </w:t>
      </w:r>
      <w:r w:rsidRPr="001A3D2B">
        <w:rPr>
          <w:kern w:val="0"/>
        </w:rPr>
        <w:t>structure</w:t>
      </w:r>
      <w:r w:rsidR="005853A9">
        <w:rPr>
          <w:kern w:val="0"/>
        </w:rPr>
        <w:t xml:space="preserve"> and </w:t>
      </w:r>
      <w:r w:rsidRPr="001A3D2B">
        <w:rPr>
          <w:kern w:val="0"/>
        </w:rPr>
        <w:t>process in</w:t>
      </w:r>
      <w:r w:rsidR="003A1917">
        <w:rPr>
          <w:kern w:val="0"/>
        </w:rPr>
        <w:t xml:space="preserve"> the </w:t>
      </w:r>
      <w:r w:rsidRPr="001A3D2B">
        <w:rPr>
          <w:kern w:val="0"/>
        </w:rPr>
        <w:t>study</w:t>
      </w:r>
      <w:r w:rsidR="00427468">
        <w:rPr>
          <w:kern w:val="0"/>
        </w:rPr>
        <w:t xml:space="preserve"> of </w:t>
      </w:r>
      <w:r w:rsidRPr="001A3D2B">
        <w:rPr>
          <w:kern w:val="0"/>
        </w:rPr>
        <w:t>scholarly communication. A revised definition</w:t>
      </w:r>
      <w:r w:rsidR="00427468">
        <w:rPr>
          <w:kern w:val="0"/>
        </w:rPr>
        <w:t xml:space="preserve"> of </w:t>
      </w:r>
      <w:r w:rsidR="003A1917">
        <w:rPr>
          <w:kern w:val="0"/>
        </w:rPr>
        <w:t xml:space="preserve">the </w:t>
      </w:r>
      <w:r w:rsidRPr="001A3D2B">
        <w:rPr>
          <w:kern w:val="0"/>
        </w:rPr>
        <w:t>invisible college is proposed that reemphasizes its fundamentally communicative nature,</w:t>
      </w:r>
      <w:r w:rsidR="005853A9">
        <w:rPr>
          <w:kern w:val="0"/>
        </w:rPr>
        <w:t xml:space="preserve"> and </w:t>
      </w:r>
      <w:r w:rsidRPr="001A3D2B">
        <w:rPr>
          <w:kern w:val="0"/>
        </w:rPr>
        <w:t xml:space="preserve">issues for future theory building in scientific communication are suggested. </w:t>
      </w:r>
    </w:p>
    <w:p w:rsidR="00CE3BFA" w:rsidRPr="001A3D2B" w:rsidRDefault="00CE3BFA" w:rsidP="00CE3BFA">
      <w:pPr>
        <w:pStyle w:val="a3"/>
        <w:rPr>
          <w:kern w:val="0"/>
          <w:szCs w:val="24"/>
        </w:rPr>
      </w:pPr>
      <w:r w:rsidRPr="001A3D2B">
        <w:rPr>
          <w:kern w:val="0"/>
          <w:szCs w:val="24"/>
        </w:rPr>
        <w:t>Keywords: Bibliometrics</w:t>
      </w:r>
    </w:p>
    <w:p w:rsidR="00170662" w:rsidRDefault="00170662" w:rsidP="00CE3BFA">
      <w:pPr>
        <w:pStyle w:val="a3"/>
        <w:rPr>
          <w:kern w:val="0"/>
          <w:szCs w:val="24"/>
        </w:rPr>
      </w:pPr>
      <w:r>
        <w:rPr>
          <w:rFonts w:hint="eastAsia"/>
          <w:kern w:val="0"/>
          <w:szCs w:val="24"/>
        </w:rPr>
        <w:t>Notes: CCountry</w:t>
      </w:r>
    </w:p>
    <w:p w:rsidR="00CE3BFA" w:rsidRPr="001A3D2B" w:rsidRDefault="00CE3BFA" w:rsidP="00CE3BFA">
      <w:pPr>
        <w:pStyle w:val="a3"/>
        <w:rPr>
          <w:kern w:val="0"/>
          <w:szCs w:val="24"/>
        </w:rPr>
      </w:pPr>
      <w:r w:rsidRPr="001A3D2B">
        <w:rPr>
          <w:kern w:val="0"/>
          <w:szCs w:val="24"/>
        </w:rPr>
        <w:t>? Miyamoto, S., Midorikawa, N.</w:t>
      </w:r>
      <w:r w:rsidR="005853A9">
        <w:rPr>
          <w:kern w:val="0"/>
          <w:szCs w:val="24"/>
        </w:rPr>
        <w:t xml:space="preserve"> and </w:t>
      </w:r>
      <w:r w:rsidRPr="001A3D2B">
        <w:rPr>
          <w:kern w:val="0"/>
          <w:szCs w:val="24"/>
        </w:rPr>
        <w:t>Nakayama, K. (1989), A view</w:t>
      </w:r>
      <w:r w:rsidR="00427468">
        <w:rPr>
          <w:kern w:val="0"/>
          <w:szCs w:val="24"/>
        </w:rPr>
        <w:t xml:space="preserve"> of </w:t>
      </w:r>
      <w:r w:rsidRPr="001A3D2B">
        <w:rPr>
          <w:kern w:val="0"/>
          <w:szCs w:val="24"/>
        </w:rPr>
        <w:t>studies on bibliometrics</w:t>
      </w:r>
      <w:r w:rsidR="005853A9">
        <w:rPr>
          <w:kern w:val="0"/>
          <w:szCs w:val="24"/>
        </w:rPr>
        <w:t xml:space="preserve"> and </w:t>
      </w:r>
      <w:r w:rsidRPr="001A3D2B">
        <w:rPr>
          <w:kern w:val="0"/>
          <w:szCs w:val="24"/>
        </w:rPr>
        <w:t xml:space="preserve">related subjects in Japan. </w:t>
      </w:r>
      <w:r w:rsidRPr="001A3D2B">
        <w:rPr>
          <w:i/>
          <w:iCs/>
          <w:kern w:val="0"/>
          <w:szCs w:val="24"/>
        </w:rPr>
        <w:t>Communication Research</w:t>
      </w:r>
      <w:r w:rsidRPr="001A3D2B">
        <w:rPr>
          <w:kern w:val="0"/>
          <w:szCs w:val="24"/>
        </w:rPr>
        <w:t xml:space="preserve">, </w:t>
      </w:r>
      <w:r w:rsidRPr="001A3D2B">
        <w:rPr>
          <w:b/>
          <w:bCs/>
          <w:kern w:val="0"/>
          <w:szCs w:val="24"/>
        </w:rPr>
        <w:t>16</w:t>
      </w:r>
      <w:r w:rsidRPr="001A3D2B">
        <w:rPr>
          <w:kern w:val="0"/>
          <w:szCs w:val="24"/>
        </w:rPr>
        <w:t xml:space="preserve"> (5), 629-641.</w:t>
      </w:r>
    </w:p>
    <w:p w:rsidR="00CE3BFA" w:rsidRPr="001A3D2B" w:rsidRDefault="00CE3BFA" w:rsidP="00CE3BFA">
      <w:pPr>
        <w:pStyle w:val="a3"/>
        <w:rPr>
          <w:kern w:val="0"/>
          <w:szCs w:val="24"/>
        </w:rPr>
      </w:pPr>
      <w:r w:rsidRPr="001A3D2B">
        <w:rPr>
          <w:kern w:val="0"/>
          <w:szCs w:val="24"/>
        </w:rPr>
        <w:t xml:space="preserve">Full Text: </w:t>
      </w:r>
      <w:hyperlink r:id="rId940" w:history="1">
        <w:r w:rsidRPr="001A3D2B">
          <w:rPr>
            <w:rStyle w:val="a5"/>
            <w:kern w:val="0"/>
            <w:szCs w:val="24"/>
          </w:rPr>
          <w:t>1989\Com Res16, 629.pdf</w:t>
        </w:r>
      </w:hyperlink>
    </w:p>
    <w:p w:rsidR="00CE3BFA" w:rsidRPr="001A3D2B" w:rsidRDefault="00CE3BFA" w:rsidP="00CE3BFA">
      <w:pPr>
        <w:pStyle w:val="a3"/>
        <w:rPr>
          <w:kern w:val="0"/>
          <w:szCs w:val="24"/>
        </w:rPr>
      </w:pPr>
      <w:r w:rsidRPr="001A3D2B">
        <w:rPr>
          <w:kern w:val="0"/>
          <w:szCs w:val="24"/>
        </w:rPr>
        <w:t>Abstract: This article surveys studies on bibliometrics</w:t>
      </w:r>
      <w:r w:rsidR="005853A9">
        <w:rPr>
          <w:kern w:val="0"/>
          <w:szCs w:val="24"/>
        </w:rPr>
        <w:t xml:space="preserve"> and </w:t>
      </w:r>
      <w:r w:rsidRPr="001A3D2B">
        <w:rPr>
          <w:kern w:val="0"/>
          <w:szCs w:val="24"/>
        </w:rPr>
        <w:t>related subjects in Japan. Reviewed articles are classified according to</w:t>
      </w:r>
      <w:r w:rsidR="003A1917">
        <w:rPr>
          <w:kern w:val="0"/>
          <w:szCs w:val="24"/>
        </w:rPr>
        <w:t xml:space="preserve"> the </w:t>
      </w:r>
      <w:r w:rsidRPr="001A3D2B">
        <w:rPr>
          <w:kern w:val="0"/>
          <w:szCs w:val="24"/>
        </w:rPr>
        <w:t>following categories: (a) studies on bibliometrics—including bibliometric laws, citation studies, scientific communication,</w:t>
      </w:r>
      <w:r w:rsidR="005853A9">
        <w:rPr>
          <w:kern w:val="0"/>
          <w:szCs w:val="24"/>
        </w:rPr>
        <w:t xml:space="preserve"> and </w:t>
      </w:r>
      <w:r w:rsidRPr="001A3D2B">
        <w:rPr>
          <w:kern w:val="0"/>
          <w:szCs w:val="24"/>
        </w:rPr>
        <w:t>software tools for bibliometrics;</w:t>
      </w:r>
      <w:r w:rsidR="005853A9">
        <w:rPr>
          <w:kern w:val="0"/>
          <w:szCs w:val="24"/>
        </w:rPr>
        <w:t xml:space="preserve"> and </w:t>
      </w:r>
      <w:r w:rsidRPr="001A3D2B">
        <w:rPr>
          <w:kern w:val="0"/>
          <w:szCs w:val="24"/>
        </w:rPr>
        <w:t>(b) application</w:t>
      </w:r>
      <w:r w:rsidR="00427468">
        <w:rPr>
          <w:kern w:val="0"/>
          <w:szCs w:val="24"/>
        </w:rPr>
        <w:t xml:space="preserve"> of </w:t>
      </w:r>
      <w:r w:rsidRPr="001A3D2B">
        <w:rPr>
          <w:kern w:val="0"/>
          <w:szCs w:val="24"/>
        </w:rPr>
        <w:t>bibliometrics—including policies for scientific research, bibliometrics</w:t>
      </w:r>
      <w:r w:rsidR="005853A9">
        <w:rPr>
          <w:kern w:val="0"/>
          <w:szCs w:val="24"/>
        </w:rPr>
        <w:t xml:space="preserve"> and </w:t>
      </w:r>
      <w:r w:rsidRPr="001A3D2B">
        <w:rPr>
          <w:kern w:val="0"/>
          <w:szCs w:val="24"/>
        </w:rPr>
        <w:t>information retrieval,</w:t>
      </w:r>
      <w:r w:rsidR="005853A9">
        <w:rPr>
          <w:kern w:val="0"/>
          <w:szCs w:val="24"/>
        </w:rPr>
        <w:t xml:space="preserve"> and </w:t>
      </w:r>
      <w:r w:rsidRPr="001A3D2B">
        <w:rPr>
          <w:kern w:val="0"/>
          <w:szCs w:val="24"/>
        </w:rPr>
        <w:t>databases in oriental languages. An interesting characteristic in</w:t>
      </w:r>
      <w:r w:rsidR="003A1917">
        <w:rPr>
          <w:kern w:val="0"/>
          <w:szCs w:val="24"/>
        </w:rPr>
        <w:t xml:space="preserve"> the </w:t>
      </w:r>
      <w:r w:rsidRPr="001A3D2B">
        <w:rPr>
          <w:kern w:val="0"/>
          <w:szCs w:val="24"/>
        </w:rPr>
        <w:t>Japanese studies is that databases</w:t>
      </w:r>
      <w:r w:rsidR="00427468">
        <w:rPr>
          <w:kern w:val="0"/>
          <w:szCs w:val="24"/>
        </w:rPr>
        <w:t xml:space="preserve"> of </w:t>
      </w:r>
      <w:r w:rsidRPr="001A3D2B">
        <w:rPr>
          <w:kern w:val="0"/>
          <w:szCs w:val="24"/>
        </w:rPr>
        <w:t>texts in oriental languages such as Japanese</w:t>
      </w:r>
      <w:r w:rsidR="005853A9">
        <w:rPr>
          <w:kern w:val="0"/>
          <w:szCs w:val="24"/>
        </w:rPr>
        <w:t xml:space="preserve"> and </w:t>
      </w:r>
      <w:r w:rsidRPr="001A3D2B">
        <w:rPr>
          <w:kern w:val="0"/>
          <w:szCs w:val="24"/>
        </w:rPr>
        <w:t>Chinese have been developed. Applications</w:t>
      </w:r>
      <w:r w:rsidR="00427468">
        <w:rPr>
          <w:kern w:val="0"/>
          <w:szCs w:val="24"/>
        </w:rPr>
        <w:t xml:space="preserve"> of </w:t>
      </w:r>
      <w:r w:rsidRPr="001A3D2B">
        <w:rPr>
          <w:kern w:val="0"/>
          <w:szCs w:val="24"/>
        </w:rPr>
        <w:t>fuzzy set theory to document retrieval using bibliometric techniques are also observed. We emphasize</w:t>
      </w:r>
      <w:r w:rsidR="003A1917">
        <w:rPr>
          <w:kern w:val="0"/>
          <w:szCs w:val="24"/>
        </w:rPr>
        <w:t xml:space="preserve"> the </w:t>
      </w:r>
      <w:r w:rsidRPr="001A3D2B">
        <w:rPr>
          <w:kern w:val="0"/>
          <w:szCs w:val="24"/>
        </w:rPr>
        <w:t>models</w:t>
      </w:r>
      <w:r w:rsidR="005853A9">
        <w:rPr>
          <w:kern w:val="0"/>
          <w:szCs w:val="24"/>
        </w:rPr>
        <w:t xml:space="preserve"> and </w:t>
      </w:r>
      <w:r w:rsidRPr="001A3D2B">
        <w:rPr>
          <w:kern w:val="0"/>
          <w:szCs w:val="24"/>
        </w:rPr>
        <w:t>methods used in common between bibliometrics</w:t>
      </w:r>
      <w:r w:rsidR="005853A9">
        <w:rPr>
          <w:kern w:val="0"/>
          <w:szCs w:val="24"/>
        </w:rPr>
        <w:t xml:space="preserve"> and </w:t>
      </w:r>
      <w:r w:rsidRPr="001A3D2B">
        <w:rPr>
          <w:kern w:val="0"/>
          <w:szCs w:val="24"/>
        </w:rPr>
        <w:t>other fields</w:t>
      </w:r>
      <w:r w:rsidR="00427468">
        <w:rPr>
          <w:kern w:val="0"/>
          <w:szCs w:val="24"/>
        </w:rPr>
        <w:t xml:space="preserve"> of </w:t>
      </w:r>
      <w:r w:rsidRPr="001A3D2B">
        <w:rPr>
          <w:kern w:val="0"/>
          <w:szCs w:val="24"/>
        </w:rPr>
        <w:t>sciences.</w:t>
      </w:r>
    </w:p>
    <w:p w:rsidR="00CE3BFA" w:rsidRPr="001A3D2B" w:rsidRDefault="00CE3BFA" w:rsidP="00CE3BFA">
      <w:pPr>
        <w:pStyle w:val="a3"/>
        <w:rPr>
          <w:kern w:val="0"/>
          <w:szCs w:val="24"/>
        </w:rPr>
      </w:pPr>
      <w:r w:rsidRPr="001A3D2B">
        <w:rPr>
          <w:kern w:val="0"/>
          <w:szCs w:val="24"/>
        </w:rPr>
        <w:t>Keywords: Bibliometrics</w:t>
      </w:r>
    </w:p>
    <w:p w:rsidR="00CE3BFA" w:rsidRPr="001A3D2B" w:rsidRDefault="00CE3BFA" w:rsidP="00CE3BFA">
      <w:pPr>
        <w:pStyle w:val="a3"/>
        <w:rPr>
          <w:kern w:val="0"/>
          <w:szCs w:val="24"/>
        </w:rPr>
      </w:pPr>
      <w:r w:rsidRPr="001A3D2B">
        <w:rPr>
          <w:kern w:val="0"/>
          <w:szCs w:val="24"/>
        </w:rPr>
        <w:t>? Paisley, W. (1989), Bibliometrics, scholarly communication,</w:t>
      </w:r>
      <w:r w:rsidR="005853A9">
        <w:rPr>
          <w:kern w:val="0"/>
          <w:szCs w:val="24"/>
        </w:rPr>
        <w:t xml:space="preserve"> and </w:t>
      </w:r>
      <w:r w:rsidRPr="001A3D2B">
        <w:rPr>
          <w:kern w:val="0"/>
          <w:szCs w:val="24"/>
        </w:rPr>
        <w:t xml:space="preserve">communication-research. </w:t>
      </w:r>
      <w:r w:rsidRPr="001A3D2B">
        <w:rPr>
          <w:i/>
          <w:iCs/>
          <w:kern w:val="0"/>
          <w:szCs w:val="24"/>
        </w:rPr>
        <w:t>Communication Research</w:t>
      </w:r>
      <w:r w:rsidRPr="001A3D2B">
        <w:rPr>
          <w:kern w:val="0"/>
          <w:szCs w:val="24"/>
        </w:rPr>
        <w:t xml:space="preserve">, </w:t>
      </w:r>
      <w:r w:rsidRPr="001A3D2B">
        <w:rPr>
          <w:b/>
          <w:bCs/>
          <w:kern w:val="0"/>
          <w:szCs w:val="24"/>
        </w:rPr>
        <w:t>16</w:t>
      </w:r>
      <w:r w:rsidRPr="001A3D2B">
        <w:rPr>
          <w:kern w:val="0"/>
          <w:szCs w:val="24"/>
        </w:rPr>
        <w:t xml:space="preserve"> (5), 701-717.</w:t>
      </w:r>
    </w:p>
    <w:p w:rsidR="00CE3BFA" w:rsidRPr="001A3D2B" w:rsidRDefault="00CE3BFA" w:rsidP="00CE3BFA">
      <w:pPr>
        <w:pStyle w:val="a3"/>
        <w:rPr>
          <w:kern w:val="0"/>
          <w:szCs w:val="24"/>
        </w:rPr>
      </w:pPr>
      <w:r w:rsidRPr="001A3D2B">
        <w:rPr>
          <w:kern w:val="0"/>
          <w:szCs w:val="24"/>
        </w:rPr>
        <w:t xml:space="preserve">Full Text: </w:t>
      </w:r>
      <w:hyperlink r:id="rId941" w:history="1">
        <w:r w:rsidRPr="001A3D2B">
          <w:rPr>
            <w:rStyle w:val="a5"/>
            <w:kern w:val="0"/>
            <w:szCs w:val="24"/>
          </w:rPr>
          <w:t>1989\Com Res16, 701.pdf</w:t>
        </w:r>
      </w:hyperlink>
    </w:p>
    <w:p w:rsidR="00CE3BFA" w:rsidRPr="001A3D2B" w:rsidRDefault="00CE3BFA" w:rsidP="00CE3BFA">
      <w:pPr>
        <w:pStyle w:val="a3"/>
        <w:rPr>
          <w:kern w:val="0"/>
          <w:szCs w:val="24"/>
        </w:rPr>
      </w:pPr>
      <w:r w:rsidRPr="001A3D2B">
        <w:rPr>
          <w:kern w:val="0"/>
          <w:szCs w:val="24"/>
        </w:rPr>
        <w:t>Abstract: Only a few studies in communication research have focused on bibliometrics or scholarly communication per se, but these concepts are closely tied to strong traditions</w:t>
      </w:r>
      <w:r w:rsidR="00427468">
        <w:rPr>
          <w:kern w:val="0"/>
          <w:szCs w:val="24"/>
        </w:rPr>
        <w:t xml:space="preserve"> of </w:t>
      </w:r>
      <w:r w:rsidRPr="001A3D2B">
        <w:rPr>
          <w:kern w:val="0"/>
          <w:szCs w:val="24"/>
        </w:rPr>
        <w:t>communication research in content analysis</w:t>
      </w:r>
      <w:r w:rsidR="005853A9">
        <w:rPr>
          <w:kern w:val="0"/>
          <w:szCs w:val="24"/>
        </w:rPr>
        <w:t xml:space="preserve"> and </w:t>
      </w:r>
      <w:r w:rsidRPr="001A3D2B">
        <w:rPr>
          <w:kern w:val="0"/>
          <w:szCs w:val="24"/>
        </w:rPr>
        <w:t>organizational communication. Bibliometric studies are becoming common in several fields</w:t>
      </w:r>
      <w:r w:rsidR="00427468">
        <w:rPr>
          <w:kern w:val="0"/>
          <w:szCs w:val="24"/>
        </w:rPr>
        <w:t xml:space="preserve"> of </w:t>
      </w:r>
      <w:r w:rsidRPr="001A3D2B">
        <w:rPr>
          <w:kern w:val="0"/>
          <w:szCs w:val="24"/>
        </w:rPr>
        <w:t>science because</w:t>
      </w:r>
      <w:r w:rsidR="00427468">
        <w:rPr>
          <w:kern w:val="0"/>
          <w:szCs w:val="24"/>
        </w:rPr>
        <w:t xml:space="preserve"> of </w:t>
      </w:r>
      <w:r w:rsidR="003A1917">
        <w:rPr>
          <w:kern w:val="0"/>
          <w:szCs w:val="24"/>
        </w:rPr>
        <w:t xml:space="preserve">the </w:t>
      </w:r>
      <w:r w:rsidRPr="001A3D2B">
        <w:rPr>
          <w:kern w:val="0"/>
          <w:szCs w:val="24"/>
        </w:rPr>
        <w:t>number</w:t>
      </w:r>
      <w:r w:rsidR="005853A9">
        <w:rPr>
          <w:kern w:val="0"/>
          <w:szCs w:val="24"/>
        </w:rPr>
        <w:t xml:space="preserve"> and </w:t>
      </w:r>
      <w:r w:rsidRPr="001A3D2B">
        <w:rPr>
          <w:kern w:val="0"/>
          <w:szCs w:val="24"/>
        </w:rPr>
        <w:t>accessibility</w:t>
      </w:r>
      <w:r w:rsidR="00427468">
        <w:rPr>
          <w:kern w:val="0"/>
          <w:szCs w:val="24"/>
        </w:rPr>
        <w:t xml:space="preserve"> of </w:t>
      </w:r>
      <w:r w:rsidRPr="001A3D2B">
        <w:rPr>
          <w:kern w:val="0"/>
          <w:szCs w:val="24"/>
        </w:rPr>
        <w:t>electronic databases as well as</w:t>
      </w:r>
      <w:r w:rsidR="003A1917">
        <w:rPr>
          <w:kern w:val="0"/>
          <w:szCs w:val="24"/>
        </w:rPr>
        <w:t xml:space="preserve"> the </w:t>
      </w:r>
      <w:r w:rsidRPr="001A3D2B">
        <w:rPr>
          <w:kern w:val="0"/>
          <w:szCs w:val="24"/>
        </w:rPr>
        <w:t>development</w:t>
      </w:r>
      <w:r w:rsidR="00427468">
        <w:rPr>
          <w:kern w:val="0"/>
          <w:szCs w:val="24"/>
        </w:rPr>
        <w:t xml:space="preserve"> of </w:t>
      </w:r>
      <w:r w:rsidRPr="001A3D2B">
        <w:rPr>
          <w:kern w:val="0"/>
          <w:szCs w:val="24"/>
        </w:rPr>
        <w:t>conceptual frameworks in which bibliometric measures are indicative</w:t>
      </w:r>
      <w:r w:rsidR="00427468">
        <w:rPr>
          <w:kern w:val="0"/>
          <w:szCs w:val="24"/>
        </w:rPr>
        <w:t xml:space="preserve"> of </w:t>
      </w:r>
      <w:r w:rsidRPr="001A3D2B">
        <w:rPr>
          <w:kern w:val="0"/>
          <w:szCs w:val="24"/>
        </w:rPr>
        <w:t>social processes such as</w:t>
      </w:r>
      <w:r w:rsidR="003A1917">
        <w:rPr>
          <w:kern w:val="0"/>
          <w:szCs w:val="24"/>
        </w:rPr>
        <w:t xml:space="preserve"> the </w:t>
      </w:r>
      <w:r w:rsidRPr="001A3D2B">
        <w:rPr>
          <w:kern w:val="0"/>
          <w:szCs w:val="24"/>
        </w:rPr>
        <w:t>evolution</w:t>
      </w:r>
      <w:r w:rsidR="00427468">
        <w:rPr>
          <w:kern w:val="0"/>
          <w:szCs w:val="24"/>
        </w:rPr>
        <w:t xml:space="preserve"> of </w:t>
      </w:r>
      <w:r w:rsidRPr="001A3D2B">
        <w:rPr>
          <w:kern w:val="0"/>
          <w:szCs w:val="24"/>
        </w:rPr>
        <w:t>scientific specialties</w:t>
      </w:r>
      <w:r w:rsidR="005853A9">
        <w:rPr>
          <w:kern w:val="0"/>
          <w:szCs w:val="24"/>
        </w:rPr>
        <w:t xml:space="preserve"> and </w:t>
      </w:r>
      <w:r w:rsidR="003A1917">
        <w:rPr>
          <w:kern w:val="0"/>
          <w:szCs w:val="24"/>
        </w:rPr>
        <w:t xml:space="preserve">the </w:t>
      </w:r>
      <w:r w:rsidRPr="001A3D2B">
        <w:rPr>
          <w:kern w:val="0"/>
          <w:szCs w:val="24"/>
        </w:rPr>
        <w:lastRenderedPageBreak/>
        <w:t>diffusion</w:t>
      </w:r>
      <w:r w:rsidR="00427468">
        <w:rPr>
          <w:kern w:val="0"/>
          <w:szCs w:val="24"/>
        </w:rPr>
        <w:t xml:space="preserve"> of </w:t>
      </w:r>
      <w:r w:rsidRPr="001A3D2B">
        <w:rPr>
          <w:kern w:val="0"/>
          <w:szCs w:val="24"/>
        </w:rPr>
        <w:t>innovations. Research on scholarly communication,</w:t>
      </w:r>
      <w:r w:rsidR="005853A9">
        <w:rPr>
          <w:kern w:val="0"/>
          <w:szCs w:val="24"/>
        </w:rPr>
        <w:t xml:space="preserve"> and </w:t>
      </w:r>
      <w:r w:rsidRPr="001A3D2B">
        <w:rPr>
          <w:kern w:val="0"/>
          <w:szCs w:val="24"/>
        </w:rPr>
        <w:t>more narrowly on scientific communication, is receiving growing attention because</w:t>
      </w:r>
      <w:r w:rsidR="00427468">
        <w:rPr>
          <w:kern w:val="0"/>
          <w:szCs w:val="24"/>
        </w:rPr>
        <w:t xml:space="preserve"> of </w:t>
      </w:r>
      <w:r w:rsidR="003A1917">
        <w:rPr>
          <w:kern w:val="0"/>
          <w:szCs w:val="24"/>
        </w:rPr>
        <w:t xml:space="preserve">the </w:t>
      </w:r>
      <w:r w:rsidRPr="001A3D2B">
        <w:rPr>
          <w:kern w:val="0"/>
          <w:szCs w:val="24"/>
        </w:rPr>
        <w:t>problems</w:t>
      </w:r>
      <w:r w:rsidR="005853A9">
        <w:rPr>
          <w:kern w:val="0"/>
          <w:szCs w:val="24"/>
        </w:rPr>
        <w:t xml:space="preserve"> and </w:t>
      </w:r>
      <w:r w:rsidRPr="001A3D2B">
        <w:rPr>
          <w:kern w:val="0"/>
          <w:szCs w:val="24"/>
        </w:rPr>
        <w:t>costs</w:t>
      </w:r>
      <w:r w:rsidR="00427468">
        <w:rPr>
          <w:kern w:val="0"/>
          <w:szCs w:val="24"/>
        </w:rPr>
        <w:t xml:space="preserve"> of </w:t>
      </w:r>
      <w:r w:rsidRPr="001A3D2B">
        <w:rPr>
          <w:kern w:val="0"/>
          <w:szCs w:val="24"/>
        </w:rPr>
        <w:t>disseminating information to scientists, practitioners,</w:t>
      </w:r>
      <w:r w:rsidR="005853A9">
        <w:rPr>
          <w:kern w:val="0"/>
          <w:szCs w:val="24"/>
        </w:rPr>
        <w:t xml:space="preserve"> and </w:t>
      </w:r>
      <w:r w:rsidRPr="001A3D2B">
        <w:rPr>
          <w:kern w:val="0"/>
          <w:szCs w:val="24"/>
        </w:rPr>
        <w:t>policymakers. With its focus on informal</w:t>
      </w:r>
      <w:r w:rsidR="005853A9">
        <w:rPr>
          <w:kern w:val="0"/>
          <w:szCs w:val="24"/>
        </w:rPr>
        <w:t xml:space="preserve"> and </w:t>
      </w:r>
      <w:r w:rsidRPr="001A3D2B">
        <w:rPr>
          <w:kern w:val="0"/>
          <w:szCs w:val="24"/>
        </w:rPr>
        <w:t>formal communication processes, this research clearly falls within</w:t>
      </w:r>
      <w:r w:rsidR="003A1917">
        <w:rPr>
          <w:kern w:val="0"/>
          <w:szCs w:val="24"/>
        </w:rPr>
        <w:t xml:space="preserve"> the </w:t>
      </w:r>
      <w:r w:rsidRPr="001A3D2B">
        <w:rPr>
          <w:kern w:val="0"/>
          <w:szCs w:val="24"/>
        </w:rPr>
        <w:t>province</w:t>
      </w:r>
      <w:r w:rsidR="00427468">
        <w:rPr>
          <w:kern w:val="0"/>
          <w:szCs w:val="24"/>
        </w:rPr>
        <w:t xml:space="preserve"> of </w:t>
      </w:r>
      <w:r w:rsidRPr="001A3D2B">
        <w:rPr>
          <w:kern w:val="0"/>
          <w:szCs w:val="24"/>
        </w:rPr>
        <w:t>communication research. However, many</w:t>
      </w:r>
      <w:r w:rsidR="00427468">
        <w:rPr>
          <w:kern w:val="0"/>
          <w:szCs w:val="24"/>
        </w:rPr>
        <w:t xml:space="preserve"> of </w:t>
      </w:r>
      <w:r w:rsidR="003A1917">
        <w:rPr>
          <w:kern w:val="0"/>
          <w:szCs w:val="24"/>
        </w:rPr>
        <w:t xml:space="preserve">the </w:t>
      </w:r>
      <w:r w:rsidRPr="001A3D2B">
        <w:rPr>
          <w:kern w:val="0"/>
          <w:szCs w:val="24"/>
        </w:rPr>
        <w:t>studies have been conducted by information scientists with a practical need to improve scientific information systems. Communication researchers are beginning to apply bibliometric methods to topics ranging from political communication to</w:t>
      </w:r>
      <w:r w:rsidR="003A1917">
        <w:rPr>
          <w:kern w:val="0"/>
          <w:szCs w:val="24"/>
        </w:rPr>
        <w:t xml:space="preserve"> the </w:t>
      </w:r>
      <w:r w:rsidRPr="001A3D2B">
        <w:rPr>
          <w:kern w:val="0"/>
          <w:szCs w:val="24"/>
        </w:rPr>
        <w:t>new media. Bibliometrics</w:t>
      </w:r>
      <w:r w:rsidR="005853A9">
        <w:rPr>
          <w:kern w:val="0"/>
          <w:szCs w:val="24"/>
        </w:rPr>
        <w:t xml:space="preserve"> and </w:t>
      </w:r>
      <w:r w:rsidR="003A1917">
        <w:rPr>
          <w:kern w:val="0"/>
          <w:szCs w:val="24"/>
        </w:rPr>
        <w:t xml:space="preserve">the </w:t>
      </w:r>
      <w:r w:rsidRPr="001A3D2B">
        <w:rPr>
          <w:kern w:val="0"/>
          <w:szCs w:val="24"/>
        </w:rPr>
        <w:t>study</w:t>
      </w:r>
      <w:r w:rsidR="00427468">
        <w:rPr>
          <w:kern w:val="0"/>
          <w:szCs w:val="24"/>
        </w:rPr>
        <w:t xml:space="preserve"> of </w:t>
      </w:r>
      <w:r w:rsidRPr="001A3D2B">
        <w:rPr>
          <w:kern w:val="0"/>
          <w:szCs w:val="24"/>
        </w:rPr>
        <w:t>scholarly communication present an opportunity for communication researchers</w:t>
      </w:r>
      <w:r w:rsidR="005853A9">
        <w:rPr>
          <w:kern w:val="0"/>
          <w:szCs w:val="24"/>
        </w:rPr>
        <w:t xml:space="preserve"> and </w:t>
      </w:r>
      <w:r w:rsidRPr="001A3D2B">
        <w:rPr>
          <w:kern w:val="0"/>
          <w:szCs w:val="24"/>
        </w:rPr>
        <w:t>information scientists to collaborate in an area</w:t>
      </w:r>
      <w:r w:rsidR="00427468">
        <w:rPr>
          <w:kern w:val="0"/>
          <w:szCs w:val="24"/>
        </w:rPr>
        <w:t xml:space="preserve"> of </w:t>
      </w:r>
      <w:r w:rsidRPr="001A3D2B">
        <w:rPr>
          <w:kern w:val="0"/>
          <w:szCs w:val="24"/>
        </w:rPr>
        <w:t>common interest.</w:t>
      </w:r>
    </w:p>
    <w:p w:rsidR="00CE3BFA" w:rsidRPr="001A3D2B" w:rsidRDefault="00CE3BFA" w:rsidP="00CE3BFA">
      <w:pPr>
        <w:pStyle w:val="a3"/>
        <w:rPr>
          <w:kern w:val="0"/>
          <w:szCs w:val="24"/>
        </w:rPr>
      </w:pPr>
      <w:r w:rsidRPr="001A3D2B">
        <w:rPr>
          <w:kern w:val="0"/>
          <w:szCs w:val="24"/>
        </w:rPr>
        <w:t>Keywords: Bibliometrics</w:t>
      </w:r>
    </w:p>
    <w:p w:rsidR="00771250" w:rsidRDefault="00771250" w:rsidP="00771250">
      <w:pPr>
        <w:pStyle w:val="a3"/>
        <w:rPr>
          <w:kern w:val="0"/>
        </w:rPr>
      </w:pPr>
      <w:r>
        <w:rPr>
          <w:rFonts w:hint="eastAsia"/>
          <w:kern w:val="0"/>
        </w:rPr>
        <w:t xml:space="preserve">? </w:t>
      </w:r>
      <w:r>
        <w:rPr>
          <w:kern w:val="0"/>
        </w:rPr>
        <w:t>Zollars, C. (1994</w:t>
      </w:r>
      <w:r w:rsidR="00F42EAC">
        <w:rPr>
          <w:kern w:val="0"/>
        </w:rPr>
        <w:t>), The</w:t>
      </w:r>
      <w:r w:rsidR="003A1917">
        <w:rPr>
          <w:kern w:val="0"/>
        </w:rPr>
        <w:t xml:space="preserve"> </w:t>
      </w:r>
      <w:r>
        <w:rPr>
          <w:kern w:val="0"/>
        </w:rPr>
        <w:t>perils</w:t>
      </w:r>
      <w:r w:rsidR="00427468">
        <w:rPr>
          <w:kern w:val="0"/>
        </w:rPr>
        <w:t xml:space="preserve"> of </w:t>
      </w:r>
      <w:r>
        <w:rPr>
          <w:kern w:val="0"/>
        </w:rPr>
        <w:t>periodical indexes - Some problems in constructing samples for content-analysis</w:t>
      </w:r>
      <w:r w:rsidR="005853A9">
        <w:rPr>
          <w:kern w:val="0"/>
        </w:rPr>
        <w:t xml:space="preserve"> and </w:t>
      </w:r>
      <w:r>
        <w:rPr>
          <w:kern w:val="0"/>
        </w:rPr>
        <w:t xml:space="preserve">culture indicators research. </w:t>
      </w:r>
      <w:r>
        <w:rPr>
          <w:i/>
          <w:iCs/>
          <w:kern w:val="0"/>
        </w:rPr>
        <w:t>Communication Research</w:t>
      </w:r>
      <w:r>
        <w:rPr>
          <w:kern w:val="0"/>
        </w:rPr>
        <w:t xml:space="preserve">, </w:t>
      </w:r>
      <w:r>
        <w:rPr>
          <w:b/>
          <w:bCs/>
          <w:kern w:val="0"/>
        </w:rPr>
        <w:t>21</w:t>
      </w:r>
      <w:r>
        <w:rPr>
          <w:kern w:val="0"/>
        </w:rPr>
        <w:t xml:space="preserve"> (6), 698-716.</w:t>
      </w:r>
    </w:p>
    <w:p w:rsidR="00771250" w:rsidRPr="001A3D2B" w:rsidRDefault="00771250" w:rsidP="00771250">
      <w:pPr>
        <w:pStyle w:val="a3"/>
        <w:rPr>
          <w:kern w:val="0"/>
          <w:szCs w:val="24"/>
        </w:rPr>
      </w:pPr>
      <w:r w:rsidRPr="001A3D2B">
        <w:rPr>
          <w:kern w:val="0"/>
          <w:szCs w:val="24"/>
        </w:rPr>
        <w:t xml:space="preserve">Full Text: </w:t>
      </w:r>
      <w:hyperlink r:id="rId942" w:history="1">
        <w:r w:rsidRPr="00771250">
          <w:rPr>
            <w:rStyle w:val="a5"/>
            <w:kern w:val="0"/>
            <w:szCs w:val="24"/>
          </w:rPr>
          <w:t>1994\Com Res21, 698.pdf</w:t>
        </w:r>
      </w:hyperlink>
    </w:p>
    <w:p w:rsidR="00771250" w:rsidRDefault="00771250" w:rsidP="00771250">
      <w:pPr>
        <w:pStyle w:val="a3"/>
        <w:rPr>
          <w:kern w:val="0"/>
        </w:rPr>
      </w:pPr>
      <w:r>
        <w:rPr>
          <w:kern w:val="0"/>
        </w:rPr>
        <w:t>Abstract: This article is about a topic neglected in</w:t>
      </w:r>
      <w:r w:rsidR="003A1917">
        <w:rPr>
          <w:kern w:val="0"/>
        </w:rPr>
        <w:t xml:space="preserve"> the </w:t>
      </w:r>
      <w:r>
        <w:rPr>
          <w:kern w:val="0"/>
        </w:rPr>
        <w:t>social science literature on content analysis</w:t>
      </w:r>
      <w:r w:rsidR="005853A9">
        <w:rPr>
          <w:kern w:val="0"/>
        </w:rPr>
        <w:t xml:space="preserve"> and </w:t>
      </w:r>
      <w:r>
        <w:rPr>
          <w:kern w:val="0"/>
        </w:rPr>
        <w:t>culture indicators methodology-problems in using periodical indexes to construct research samples</w:t>
      </w:r>
      <w:r w:rsidR="00A37C1D">
        <w:rPr>
          <w:kern w:val="0"/>
        </w:rPr>
        <w:t>. The</w:t>
      </w:r>
      <w:r w:rsidR="003A1917">
        <w:rPr>
          <w:kern w:val="0"/>
        </w:rPr>
        <w:t xml:space="preserve"> </w:t>
      </w:r>
      <w:r>
        <w:rPr>
          <w:kern w:val="0"/>
        </w:rPr>
        <w:t>author briefly identifies</w:t>
      </w:r>
      <w:r w:rsidR="005853A9">
        <w:rPr>
          <w:kern w:val="0"/>
        </w:rPr>
        <w:t xml:space="preserve"> and </w:t>
      </w:r>
      <w:r>
        <w:rPr>
          <w:kern w:val="0"/>
        </w:rPr>
        <w:t>discusses reasons why article headlines located throug</w:t>
      </w:r>
      <w:r w:rsidR="00D5664A">
        <w:rPr>
          <w:kern w:val="0"/>
        </w:rPr>
        <w:t>h Index</w:t>
      </w:r>
      <w:r>
        <w:rPr>
          <w:kern w:val="0"/>
        </w:rPr>
        <w:t>es</w:t>
      </w:r>
      <w:r w:rsidR="0071223E">
        <w:rPr>
          <w:kern w:val="0"/>
        </w:rPr>
        <w:t>’</w:t>
      </w:r>
      <w:r>
        <w:rPr>
          <w:kern w:val="0"/>
        </w:rPr>
        <w:t xml:space="preserve"> subject categories can prove to be misleading indicators</w:t>
      </w:r>
      <w:r w:rsidR="005853A9">
        <w:rPr>
          <w:kern w:val="0"/>
        </w:rPr>
        <w:t xml:space="preserve"> and </w:t>
      </w:r>
      <w:r>
        <w:rPr>
          <w:kern w:val="0"/>
        </w:rPr>
        <w:t>then turn to</w:t>
      </w:r>
      <w:r w:rsidR="003A1917">
        <w:rPr>
          <w:kern w:val="0"/>
        </w:rPr>
        <w:t xml:space="preserve"> the </w:t>
      </w:r>
      <w:r>
        <w:rPr>
          <w:kern w:val="0"/>
        </w:rPr>
        <w:t>methodological difficulties arising from historical</w:t>
      </w:r>
      <w:r w:rsidR="005853A9">
        <w:rPr>
          <w:kern w:val="0"/>
        </w:rPr>
        <w:t xml:space="preserve"> and </w:t>
      </w:r>
      <w:r>
        <w:rPr>
          <w:kern w:val="0"/>
        </w:rPr>
        <w:t>idiosyncratic changes in index subject category headings</w:t>
      </w:r>
      <w:r w:rsidR="005853A9">
        <w:rPr>
          <w:kern w:val="0"/>
        </w:rPr>
        <w:t xml:space="preserve"> and </w:t>
      </w:r>
      <w:r>
        <w:rPr>
          <w:kern w:val="0"/>
        </w:rPr>
        <w:t>subheadings-difficulties particularly relevant to longitudinal research</w:t>
      </w:r>
      <w:r w:rsidR="00A37C1D">
        <w:rPr>
          <w:kern w:val="0"/>
        </w:rPr>
        <w:t>. The</w:t>
      </w:r>
      <w:r w:rsidR="003A1917">
        <w:rPr>
          <w:kern w:val="0"/>
        </w:rPr>
        <w:t xml:space="preserve"> </w:t>
      </w:r>
      <w:r>
        <w:rPr>
          <w:kern w:val="0"/>
        </w:rPr>
        <w:t>author argues that researchers using an index</w:t>
      </w:r>
      <w:r w:rsidR="0071223E">
        <w:rPr>
          <w:kern w:val="0"/>
        </w:rPr>
        <w:t>’</w:t>
      </w:r>
      <w:r w:rsidR="00C13DDC">
        <w:rPr>
          <w:kern w:val="0"/>
        </w:rPr>
        <w:t>s</w:t>
      </w:r>
      <w:r>
        <w:rPr>
          <w:kern w:val="0"/>
        </w:rPr>
        <w:t xml:space="preserve"> subject categories should test not only for category longevity but also for category coherence</w:t>
      </w:r>
      <w:r w:rsidR="005853A9">
        <w:rPr>
          <w:kern w:val="0"/>
        </w:rPr>
        <w:t xml:space="preserve"> and </w:t>
      </w:r>
      <w:r>
        <w:rPr>
          <w:kern w:val="0"/>
        </w:rPr>
        <w:t>consistency over time</w:t>
      </w:r>
      <w:r w:rsidR="00A37C1D">
        <w:rPr>
          <w:kern w:val="0"/>
        </w:rPr>
        <w:t>. The</w:t>
      </w:r>
      <w:r w:rsidR="003A1917">
        <w:rPr>
          <w:kern w:val="0"/>
        </w:rPr>
        <w:t xml:space="preserve"> </w:t>
      </w:r>
      <w:r>
        <w:rPr>
          <w:kern w:val="0"/>
        </w:rPr>
        <w:t>use</w:t>
      </w:r>
      <w:r w:rsidR="00427468">
        <w:rPr>
          <w:kern w:val="0"/>
        </w:rPr>
        <w:t xml:space="preserve"> of </w:t>
      </w:r>
      <w:r>
        <w:rPr>
          <w:kern w:val="0"/>
        </w:rPr>
        <w:t>oversampling, cross-references,</w:t>
      </w:r>
      <w:r w:rsidR="005853A9">
        <w:rPr>
          <w:kern w:val="0"/>
        </w:rPr>
        <w:t xml:space="preserve"> and </w:t>
      </w:r>
      <w:r>
        <w:rPr>
          <w:kern w:val="0"/>
        </w:rPr>
        <w:t>other devices is suggested as a means to correct or compensate for hidden inaccuracies in index classification</w:t>
      </w:r>
      <w:r w:rsidR="005853A9">
        <w:rPr>
          <w:kern w:val="0"/>
        </w:rPr>
        <w:t xml:space="preserve"> and </w:t>
      </w:r>
      <w:r>
        <w:rPr>
          <w:kern w:val="0"/>
        </w:rPr>
        <w:t>to construct purposive samples for analytic comparisons.</w:t>
      </w:r>
    </w:p>
    <w:p w:rsidR="00771250" w:rsidRDefault="00771250" w:rsidP="00771250">
      <w:pPr>
        <w:pStyle w:val="a3"/>
        <w:rPr>
          <w:kern w:val="0"/>
        </w:rPr>
      </w:pPr>
      <w:r>
        <w:rPr>
          <w:kern w:val="0"/>
        </w:rPr>
        <w:t>Keywords: Content Analysis, Indexes, Indicators, Literature, Periodical, Research, Researchers</w:t>
      </w:r>
    </w:p>
    <w:p w:rsidR="00D47627" w:rsidRDefault="00D47627" w:rsidP="00D47627">
      <w:pPr>
        <w:pStyle w:val="a3"/>
        <w:rPr>
          <w:kern w:val="0"/>
        </w:rPr>
      </w:pPr>
      <w:r>
        <w:rPr>
          <w:rFonts w:hint="eastAsia"/>
          <w:kern w:val="0"/>
        </w:rPr>
        <w:t xml:space="preserve">? </w:t>
      </w:r>
      <w:r>
        <w:rPr>
          <w:kern w:val="0"/>
        </w:rPr>
        <w:t>Knobloch-Westerwick, S.</w:t>
      </w:r>
      <w:r w:rsidR="005853A9">
        <w:rPr>
          <w:kern w:val="0"/>
        </w:rPr>
        <w:t xml:space="preserve"> and </w:t>
      </w:r>
      <w:r>
        <w:rPr>
          <w:kern w:val="0"/>
        </w:rPr>
        <w:t>Glynn, C.J. (2013), The matilda effect-role congruity effects on scholarly communication: A citation analysis</w:t>
      </w:r>
      <w:r w:rsidR="00427468">
        <w:rPr>
          <w:kern w:val="0"/>
        </w:rPr>
        <w:t xml:space="preserve"> of </w:t>
      </w:r>
      <w:r>
        <w:rPr>
          <w:kern w:val="0"/>
        </w:rPr>
        <w:t>communication research</w:t>
      </w:r>
      <w:r w:rsidR="005853A9">
        <w:rPr>
          <w:kern w:val="0"/>
        </w:rPr>
        <w:t xml:space="preserve"> and </w:t>
      </w:r>
      <w:r>
        <w:rPr>
          <w:kern w:val="0"/>
        </w:rPr>
        <w:t>journal</w:t>
      </w:r>
      <w:r w:rsidR="00427468">
        <w:rPr>
          <w:kern w:val="0"/>
        </w:rPr>
        <w:t xml:space="preserve"> of </w:t>
      </w:r>
      <w:r>
        <w:rPr>
          <w:kern w:val="0"/>
        </w:rPr>
        <w:t xml:space="preserve">communication articles. </w:t>
      </w:r>
      <w:r>
        <w:rPr>
          <w:i/>
          <w:iCs/>
          <w:kern w:val="0"/>
        </w:rPr>
        <w:t>Communication Research</w:t>
      </w:r>
      <w:r>
        <w:rPr>
          <w:kern w:val="0"/>
        </w:rPr>
        <w:t xml:space="preserve">, </w:t>
      </w:r>
      <w:r>
        <w:rPr>
          <w:b/>
          <w:bCs/>
          <w:kern w:val="0"/>
        </w:rPr>
        <w:t>40</w:t>
      </w:r>
      <w:r>
        <w:rPr>
          <w:kern w:val="0"/>
        </w:rPr>
        <w:t xml:space="preserve"> (1), 3-26.</w:t>
      </w:r>
    </w:p>
    <w:p w:rsidR="00D47627" w:rsidRPr="001A3D2B" w:rsidRDefault="00D47627" w:rsidP="00D47627">
      <w:pPr>
        <w:pStyle w:val="a3"/>
        <w:rPr>
          <w:kern w:val="0"/>
          <w:szCs w:val="24"/>
        </w:rPr>
      </w:pPr>
      <w:r w:rsidRPr="001A3D2B">
        <w:rPr>
          <w:kern w:val="0"/>
          <w:szCs w:val="24"/>
        </w:rPr>
        <w:t xml:space="preserve">Full Text: </w:t>
      </w:r>
      <w:hyperlink r:id="rId943" w:history="1">
        <w:r w:rsidRPr="00C74C5B">
          <w:rPr>
            <w:rStyle w:val="a5"/>
            <w:kern w:val="0"/>
            <w:szCs w:val="24"/>
          </w:rPr>
          <w:t>2013\Com Res40, 3.pdf</w:t>
        </w:r>
      </w:hyperlink>
    </w:p>
    <w:p w:rsidR="00D47627" w:rsidRDefault="00D47627" w:rsidP="00D47627">
      <w:pPr>
        <w:pStyle w:val="a3"/>
        <w:rPr>
          <w:kern w:val="0"/>
        </w:rPr>
      </w:pPr>
      <w:r>
        <w:rPr>
          <w:kern w:val="0"/>
        </w:rPr>
        <w:t>Abstract: Using role congruity theory as the basis for the study, an analysis</w:t>
      </w:r>
      <w:r w:rsidR="00427468">
        <w:rPr>
          <w:kern w:val="0"/>
        </w:rPr>
        <w:t xml:space="preserve"> of </w:t>
      </w:r>
      <w:r>
        <w:rPr>
          <w:kern w:val="0"/>
        </w:rPr>
        <w:t>1,020 articles published 1991-2005 in Communication Research</w:t>
      </w:r>
      <w:r w:rsidR="005853A9">
        <w:rPr>
          <w:kern w:val="0"/>
        </w:rPr>
        <w:t xml:space="preserve"> and </w:t>
      </w:r>
      <w:r>
        <w:rPr>
          <w:kern w:val="0"/>
        </w:rPr>
        <w:t>Journal</w:t>
      </w:r>
      <w:r w:rsidR="00427468">
        <w:rPr>
          <w:kern w:val="0"/>
        </w:rPr>
        <w:t xml:space="preserve"> of </w:t>
      </w:r>
      <w:r>
        <w:rPr>
          <w:kern w:val="0"/>
        </w:rPr>
        <w:t>Communication, as well as the ISI citations these articles received</w:t>
      </w:r>
      <w:r w:rsidR="005853A9">
        <w:rPr>
          <w:kern w:val="0"/>
        </w:rPr>
        <w:t xml:space="preserve"> and </w:t>
      </w:r>
      <w:r>
        <w:rPr>
          <w:kern w:val="0"/>
        </w:rPr>
        <w:t xml:space="preserve">the citations these articles included, was conducted. In line with a hypothesized </w:t>
      </w:r>
      <w:r w:rsidR="00B5188C">
        <w:rPr>
          <w:kern w:val="0"/>
        </w:rPr>
        <w:t>“</w:t>
      </w:r>
      <w:r>
        <w:rPr>
          <w:kern w:val="0"/>
        </w:rPr>
        <w:t>Matilda effect</w:t>
      </w:r>
      <w:r w:rsidR="00B5188C">
        <w:rPr>
          <w:kern w:val="0"/>
        </w:rPr>
        <w:t>”</w:t>
      </w:r>
      <w:r>
        <w:rPr>
          <w:kern w:val="0"/>
        </w:rPr>
        <w:t xml:space="preserve"> (underrecognition</w:t>
      </w:r>
      <w:r w:rsidR="00427468">
        <w:rPr>
          <w:kern w:val="0"/>
        </w:rPr>
        <w:t xml:space="preserve"> of </w:t>
      </w:r>
      <w:r>
        <w:rPr>
          <w:kern w:val="0"/>
        </w:rPr>
        <w:t xml:space="preserve">female scientists), articles authored by female communication </w:t>
      </w:r>
      <w:r>
        <w:rPr>
          <w:kern w:val="0"/>
        </w:rPr>
        <w:lastRenderedPageBreak/>
        <w:t>scientists received fewer citations than articles authored by males. Hypotheses on moderating impacts</w:t>
      </w:r>
      <w:r w:rsidR="00427468">
        <w:rPr>
          <w:kern w:val="0"/>
        </w:rPr>
        <w:t xml:space="preserve"> of </w:t>
      </w:r>
      <w:r>
        <w:rPr>
          <w:kern w:val="0"/>
        </w:rPr>
        <w:t>research topic, author productivity,</w:t>
      </w:r>
      <w:r w:rsidR="005853A9">
        <w:rPr>
          <w:kern w:val="0"/>
        </w:rPr>
        <w:t xml:space="preserve"> and </w:t>
      </w:r>
      <w:r>
        <w:rPr>
          <w:kern w:val="0"/>
        </w:rPr>
        <w:t>citing author</w:t>
      </w:r>
      <w:r w:rsidR="0071223E">
        <w:rPr>
          <w:kern w:val="0"/>
        </w:rPr>
        <w:t>’</w:t>
      </w:r>
      <w:r>
        <w:rPr>
          <w:kern w:val="0"/>
        </w:rPr>
        <w:t>s sex, as well as on change in the effect</w:t>
      </w:r>
      <w:r w:rsidR="0071223E">
        <w:rPr>
          <w:kern w:val="0"/>
        </w:rPr>
        <w:t>’</w:t>
      </w:r>
      <w:r>
        <w:rPr>
          <w:kern w:val="0"/>
        </w:rPr>
        <w:t>s extent across time were derived from the theoretical framework. Networking conceptualizations led to an additional hypothesis. Five</w:t>
      </w:r>
      <w:r w:rsidR="00427468">
        <w:rPr>
          <w:kern w:val="0"/>
        </w:rPr>
        <w:t xml:space="preserve"> of </w:t>
      </w:r>
      <w:r>
        <w:rPr>
          <w:kern w:val="0"/>
        </w:rPr>
        <w:t>six hypotheses were supported.</w:t>
      </w:r>
    </w:p>
    <w:p w:rsidR="00D47627" w:rsidRDefault="00D47627" w:rsidP="00D47627">
      <w:pPr>
        <w:pStyle w:val="a3"/>
        <w:rPr>
          <w:kern w:val="0"/>
        </w:rPr>
      </w:pPr>
      <w:r>
        <w:rPr>
          <w:kern w:val="0"/>
        </w:rPr>
        <w:t>Keywords: Analysis, Articles, Author Productivity, Bibliometrics, Citation, Citation Analysis, Citations, College-Students, Communication, Faculty, Female, Framework, Gender, Gender-Differences, Impacts</w:t>
      </w:r>
      <w:r w:rsidR="00D5664A">
        <w:rPr>
          <w:kern w:val="0"/>
        </w:rPr>
        <w:t>, ISI,</w:t>
      </w:r>
      <w:r>
        <w:rPr>
          <w:kern w:val="0"/>
        </w:rPr>
        <w:t xml:space="preserve"> Journal, Librarianship, Men, Productivity, Research, Role, Role Congruity, Science, Science Communication, Scientists, Sex, Sex-Differences, Theoretical, Theory, Women</w:t>
      </w:r>
    </w:p>
    <w:p w:rsidR="003474F2" w:rsidRPr="001A3D2B" w:rsidRDefault="003474F2" w:rsidP="003474F2">
      <w:pPr>
        <w:pStyle w:val="1"/>
      </w:pPr>
      <w:r w:rsidRPr="001A3D2B">
        <w:br w:type="page"/>
      </w:r>
      <w:bookmarkStart w:id="349" w:name="_Toc420815075"/>
      <w:r w:rsidRPr="001A3D2B">
        <w:lastRenderedPageBreak/>
        <w:t>Title: Communication Theory</w:t>
      </w:r>
      <w:bookmarkEnd w:id="349"/>
    </w:p>
    <w:p w:rsidR="003474F2" w:rsidRPr="001A3D2B" w:rsidRDefault="003474F2" w:rsidP="003474F2">
      <w:pPr>
        <w:pStyle w:val="12"/>
      </w:pPr>
      <w:r w:rsidRPr="001A3D2B">
        <w:t>Full Journal Title: Communication Theory</w:t>
      </w:r>
    </w:p>
    <w:p w:rsidR="003474F2" w:rsidRPr="001A3D2B" w:rsidRDefault="003474F2" w:rsidP="003474F2">
      <w:pPr>
        <w:pStyle w:val="12"/>
      </w:pPr>
      <w:r w:rsidRPr="001A3D2B">
        <w:t>ISO Abbre</w:t>
      </w:r>
      <w:bookmarkStart w:id="350" w:name="_Toc81215680"/>
      <w:r w:rsidRPr="001A3D2B">
        <w:t>viated Title: Commun</w:t>
      </w:r>
      <w:r w:rsidR="00A37C1D">
        <w:t>. The</w:t>
      </w:r>
      <w:r w:rsidRPr="001A3D2B">
        <w:t>or</w:t>
      </w:r>
      <w:bookmarkEnd w:id="350"/>
      <w:r w:rsidRPr="001A3D2B">
        <w:t>y</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White, W.J. (2001), A communication model</w:t>
      </w:r>
      <w:r w:rsidR="00427468">
        <w:t xml:space="preserve"> of </w:t>
      </w:r>
      <w:r w:rsidRPr="001A3D2B">
        <w:t xml:space="preserve">conceptual innovation in science. </w:t>
      </w:r>
      <w:r w:rsidRPr="001A3D2B">
        <w:rPr>
          <w:i/>
          <w:iCs/>
        </w:rPr>
        <w:t>Communication Theory</w:t>
      </w:r>
      <w:r w:rsidRPr="001A3D2B">
        <w:t xml:space="preserve">, </w:t>
      </w:r>
      <w:r w:rsidRPr="001A3D2B">
        <w:rPr>
          <w:b/>
        </w:rPr>
        <w:t>11</w:t>
      </w:r>
      <w:r w:rsidRPr="001A3D2B">
        <w:t>, 290-314.</w:t>
      </w:r>
    </w:p>
    <w:p w:rsidR="003474F2" w:rsidRPr="001A3D2B" w:rsidRDefault="003474F2" w:rsidP="003474F2">
      <w:pPr>
        <w:pStyle w:val="a3"/>
      </w:pPr>
      <w:r w:rsidRPr="001A3D2B">
        <w:t xml:space="preserve">Full Text: </w:t>
      </w:r>
      <w:hyperlink r:id="rId944" w:history="1">
        <w:r w:rsidRPr="001A3D2B">
          <w:rPr>
            <w:rStyle w:val="a5"/>
          </w:rPr>
          <w:t>2001\Com The11, 290.pdf</w:t>
        </w:r>
      </w:hyperlink>
    </w:p>
    <w:p w:rsidR="002321EC" w:rsidRPr="00C73C58" w:rsidRDefault="002321EC" w:rsidP="002321EC">
      <w:pPr>
        <w:pStyle w:val="1"/>
      </w:pPr>
      <w:r w:rsidRPr="00C73C58">
        <w:br w:type="page"/>
      </w:r>
      <w:bookmarkStart w:id="351" w:name="_Toc420815076"/>
      <w:r w:rsidRPr="00C73C58">
        <w:lastRenderedPageBreak/>
        <w:t xml:space="preserve">Title: </w:t>
      </w:r>
      <w:r w:rsidRPr="004C6294">
        <w:rPr>
          <w:iCs w:val="0"/>
        </w:rPr>
        <w:t>Communications</w:t>
      </w:r>
      <w:r w:rsidR="00427468">
        <w:rPr>
          <w:iCs w:val="0"/>
        </w:rPr>
        <w:t xml:space="preserve"> of </w:t>
      </w:r>
      <w:r w:rsidR="003A1917">
        <w:rPr>
          <w:iCs w:val="0"/>
        </w:rPr>
        <w:t xml:space="preserve">the </w:t>
      </w:r>
      <w:r w:rsidRPr="004C6294">
        <w:rPr>
          <w:iCs w:val="0"/>
        </w:rPr>
        <w:t>ACM</w:t>
      </w:r>
      <w:bookmarkEnd w:id="351"/>
    </w:p>
    <w:p w:rsidR="0038769F" w:rsidRPr="00C73C58" w:rsidRDefault="0038769F" w:rsidP="0038769F">
      <w:pPr>
        <w:pStyle w:val="12"/>
      </w:pPr>
      <w:r w:rsidRPr="00C73C58">
        <w:t>Full Jou</w:t>
      </w:r>
      <w:r>
        <w:t xml:space="preserve">rnal Title: </w:t>
      </w:r>
      <w:hyperlink r:id="rId945" w:history="1">
        <w:r w:rsidRPr="005918A4">
          <w:rPr>
            <w:rStyle w:val="a5"/>
            <w:iCs/>
          </w:rPr>
          <w:t>Communications</w:t>
        </w:r>
        <w:r w:rsidR="00427468">
          <w:rPr>
            <w:rStyle w:val="a5"/>
            <w:iCs/>
          </w:rPr>
          <w:t xml:space="preserve"> of </w:t>
        </w:r>
        <w:r w:rsidR="003A1917">
          <w:rPr>
            <w:rStyle w:val="a5"/>
            <w:iCs/>
          </w:rPr>
          <w:t xml:space="preserve">the </w:t>
        </w:r>
        <w:r w:rsidRPr="005918A4">
          <w:rPr>
            <w:rStyle w:val="a5"/>
            <w:iCs/>
          </w:rPr>
          <w:t>ACM</w:t>
        </w:r>
      </w:hyperlink>
    </w:p>
    <w:p w:rsidR="002321EC" w:rsidRPr="00C73C58" w:rsidRDefault="002321EC" w:rsidP="002321EC">
      <w:pPr>
        <w:pStyle w:val="12"/>
      </w:pPr>
      <w:r w:rsidRPr="00C73C58">
        <w:t>ISO A</w:t>
      </w:r>
      <w:r>
        <w:t xml:space="preserve">bbreviated Title: </w:t>
      </w:r>
    </w:p>
    <w:p w:rsidR="002321EC" w:rsidRPr="00C73C58" w:rsidRDefault="002321EC" w:rsidP="002321EC">
      <w:pPr>
        <w:pStyle w:val="12"/>
      </w:pPr>
      <w:r w:rsidRPr="00C73C58">
        <w:t xml:space="preserve">JCR Abbreviated Title: </w:t>
      </w:r>
    </w:p>
    <w:p w:rsidR="002321EC" w:rsidRPr="00C73C58" w:rsidRDefault="002321EC" w:rsidP="002321EC">
      <w:pPr>
        <w:pStyle w:val="12"/>
      </w:pPr>
      <w:r w:rsidRPr="00C73C58">
        <w:t xml:space="preserve">ISSN: </w:t>
      </w:r>
    </w:p>
    <w:p w:rsidR="002321EC" w:rsidRPr="00C73C58" w:rsidRDefault="002321EC" w:rsidP="002321EC">
      <w:pPr>
        <w:pStyle w:val="12"/>
      </w:pPr>
      <w:r w:rsidRPr="00C73C58">
        <w:t xml:space="preserve">Issues/Year: </w:t>
      </w:r>
    </w:p>
    <w:p w:rsidR="002321EC" w:rsidRPr="00C73C58" w:rsidRDefault="002321EC" w:rsidP="002321EC">
      <w:pPr>
        <w:pStyle w:val="12"/>
      </w:pPr>
      <w:r w:rsidRPr="00C73C58">
        <w:t xml:space="preserve">Journal Country/Territory: </w:t>
      </w:r>
    </w:p>
    <w:p w:rsidR="002321EC" w:rsidRPr="00C73C58" w:rsidRDefault="002321EC" w:rsidP="002321EC">
      <w:pPr>
        <w:pStyle w:val="12"/>
      </w:pPr>
      <w:r w:rsidRPr="00C73C58">
        <w:t xml:space="preserve">Language: </w:t>
      </w:r>
    </w:p>
    <w:p w:rsidR="002321EC" w:rsidRPr="00C73C58" w:rsidRDefault="002321EC" w:rsidP="002321EC">
      <w:pPr>
        <w:pStyle w:val="12"/>
      </w:pPr>
      <w:r w:rsidRPr="00C73C58">
        <w:t xml:space="preserve">Publisher: </w:t>
      </w:r>
    </w:p>
    <w:p w:rsidR="002321EC" w:rsidRPr="00C73C58" w:rsidRDefault="002321EC" w:rsidP="002321EC">
      <w:pPr>
        <w:pStyle w:val="12"/>
      </w:pPr>
      <w:r w:rsidRPr="00C73C58">
        <w:t xml:space="preserve">Publisher Address: </w:t>
      </w:r>
    </w:p>
    <w:p w:rsidR="002321EC" w:rsidRPr="00C73C58" w:rsidRDefault="002321EC" w:rsidP="002321EC">
      <w:pPr>
        <w:pStyle w:val="12"/>
      </w:pPr>
      <w:r w:rsidRPr="00C73C58">
        <w:t xml:space="preserve">Subject Categories: </w:t>
      </w:r>
    </w:p>
    <w:p w:rsidR="002321EC" w:rsidRPr="00C73C58" w:rsidRDefault="002321EC" w:rsidP="002321EC">
      <w:pPr>
        <w:pStyle w:val="12"/>
      </w:pPr>
      <w:r w:rsidRPr="00C73C58">
        <w:t xml:space="preserve">: Impact Factor </w:t>
      </w:r>
    </w:p>
    <w:p w:rsidR="0038769F" w:rsidRDefault="0038769F" w:rsidP="0038769F">
      <w:pPr>
        <w:pStyle w:val="a3"/>
        <w:rPr>
          <w:kern w:val="0"/>
        </w:rPr>
      </w:pPr>
      <w:r>
        <w:rPr>
          <w:kern w:val="0"/>
        </w:rPr>
        <w:t xml:space="preserve">? </w:t>
      </w:r>
      <w:r>
        <w:t>Samuelson</w:t>
      </w:r>
      <w:r>
        <w:rPr>
          <w:rFonts w:hint="eastAsia"/>
        </w:rPr>
        <w:t>,</w:t>
      </w:r>
      <w:r>
        <w:t xml:space="preserve"> P</w:t>
      </w:r>
      <w:r>
        <w:rPr>
          <w:rFonts w:hint="eastAsia"/>
        </w:rPr>
        <w:t>.</w:t>
      </w:r>
      <w:r>
        <w:rPr>
          <w:kern w:val="0"/>
        </w:rPr>
        <w:t xml:space="preserve"> (</w:t>
      </w:r>
      <w:r>
        <w:rPr>
          <w:rFonts w:hint="eastAsia"/>
          <w:kern w:val="0"/>
        </w:rPr>
        <w:t>199</w:t>
      </w:r>
      <w:r>
        <w:rPr>
          <w:kern w:val="0"/>
        </w:rPr>
        <w:t xml:space="preserve">4), </w:t>
      </w:r>
      <w:r>
        <w:t>Self-plagiarism or fair</w:t>
      </w:r>
      <w:r>
        <w:rPr>
          <w:rFonts w:hint="eastAsia"/>
        </w:rPr>
        <w:t xml:space="preserve"> </w:t>
      </w:r>
      <w:r>
        <w:t>use</w:t>
      </w:r>
      <w:r>
        <w:rPr>
          <w:kern w:val="0"/>
        </w:rPr>
        <w:t xml:space="preserve">. </w:t>
      </w:r>
      <w:r w:rsidRPr="004C6294">
        <w:rPr>
          <w:i/>
          <w:iCs/>
          <w:kern w:val="0"/>
        </w:rPr>
        <w:t>Communications</w:t>
      </w:r>
      <w:r w:rsidR="00427468">
        <w:rPr>
          <w:i/>
          <w:iCs/>
          <w:kern w:val="0"/>
        </w:rPr>
        <w:t xml:space="preserve"> of </w:t>
      </w:r>
      <w:r w:rsidR="003A1917">
        <w:rPr>
          <w:i/>
          <w:iCs/>
          <w:kern w:val="0"/>
        </w:rPr>
        <w:t xml:space="preserve">the </w:t>
      </w:r>
      <w:r w:rsidRPr="004C6294">
        <w:rPr>
          <w:i/>
          <w:iCs/>
          <w:kern w:val="0"/>
        </w:rPr>
        <w:t>ACM</w:t>
      </w:r>
      <w:r>
        <w:rPr>
          <w:kern w:val="0"/>
        </w:rPr>
        <w:t xml:space="preserve">, </w:t>
      </w:r>
      <w:r>
        <w:rPr>
          <w:rFonts w:hint="eastAsia"/>
          <w:b/>
          <w:bCs/>
          <w:kern w:val="0"/>
        </w:rPr>
        <w:t>3</w:t>
      </w:r>
      <w:r>
        <w:rPr>
          <w:b/>
          <w:bCs/>
          <w:kern w:val="0"/>
        </w:rPr>
        <w:t>7</w:t>
      </w:r>
      <w:r>
        <w:rPr>
          <w:kern w:val="0"/>
        </w:rPr>
        <w:t xml:space="preserve"> (</w:t>
      </w:r>
      <w:r>
        <w:rPr>
          <w:rFonts w:hint="eastAsia"/>
          <w:kern w:val="0"/>
        </w:rPr>
        <w:t>8</w:t>
      </w:r>
      <w:r>
        <w:rPr>
          <w:kern w:val="0"/>
        </w:rPr>
        <w:t xml:space="preserve">), </w:t>
      </w:r>
      <w:r>
        <w:t>21-25</w:t>
      </w:r>
      <w:r>
        <w:rPr>
          <w:rFonts w:hint="eastAsia"/>
          <w:kern w:val="0"/>
        </w:rPr>
        <w:t>.</w:t>
      </w:r>
    </w:p>
    <w:p w:rsidR="0038769F" w:rsidRDefault="0038769F" w:rsidP="0038769F">
      <w:pPr>
        <w:pStyle w:val="a3"/>
      </w:pPr>
      <w:r w:rsidRPr="00C73C58">
        <w:t xml:space="preserve">Full Text: </w:t>
      </w:r>
      <w:hyperlink r:id="rId946" w:history="1">
        <w:r w:rsidRPr="0038769F">
          <w:rPr>
            <w:rStyle w:val="a5"/>
          </w:rPr>
          <w:t>1994\Com ACM37, 21.pdf</w:t>
        </w:r>
      </w:hyperlink>
    </w:p>
    <w:p w:rsidR="0038769F" w:rsidRDefault="0038769F" w:rsidP="0038769F">
      <w:pPr>
        <w:pStyle w:val="a3"/>
        <w:rPr>
          <w:kern w:val="0"/>
        </w:rPr>
      </w:pPr>
      <w:r>
        <w:rPr>
          <w:kern w:val="0"/>
        </w:rPr>
        <w:t>? Schwartz, R.B.</w:t>
      </w:r>
      <w:r w:rsidR="005853A9">
        <w:rPr>
          <w:kern w:val="0"/>
        </w:rPr>
        <w:t xml:space="preserve"> and </w:t>
      </w:r>
      <w:r>
        <w:rPr>
          <w:kern w:val="0"/>
        </w:rPr>
        <w:t>Russo, M.C. (2004), How to quickly find articles in</w:t>
      </w:r>
      <w:r w:rsidR="003A1917">
        <w:rPr>
          <w:kern w:val="0"/>
        </w:rPr>
        <w:t xml:space="preserve"> the </w:t>
      </w:r>
      <w:r>
        <w:rPr>
          <w:kern w:val="0"/>
        </w:rPr>
        <w:t xml:space="preserve">top IS journals. </w:t>
      </w:r>
      <w:r w:rsidRPr="004C6294">
        <w:rPr>
          <w:i/>
          <w:iCs/>
          <w:kern w:val="0"/>
        </w:rPr>
        <w:t>Communications</w:t>
      </w:r>
      <w:r w:rsidR="00427468">
        <w:rPr>
          <w:i/>
          <w:iCs/>
          <w:kern w:val="0"/>
        </w:rPr>
        <w:t xml:space="preserve"> of </w:t>
      </w:r>
      <w:r w:rsidR="003A1917">
        <w:rPr>
          <w:i/>
          <w:iCs/>
          <w:kern w:val="0"/>
        </w:rPr>
        <w:t xml:space="preserve">the </w:t>
      </w:r>
      <w:r w:rsidRPr="004C6294">
        <w:rPr>
          <w:i/>
          <w:iCs/>
          <w:kern w:val="0"/>
        </w:rPr>
        <w:t>ACM</w:t>
      </w:r>
      <w:r>
        <w:rPr>
          <w:kern w:val="0"/>
        </w:rPr>
        <w:t xml:space="preserve">, </w:t>
      </w:r>
      <w:r>
        <w:rPr>
          <w:b/>
          <w:bCs/>
          <w:kern w:val="0"/>
        </w:rPr>
        <w:t>47</w:t>
      </w:r>
      <w:r>
        <w:rPr>
          <w:kern w:val="0"/>
        </w:rPr>
        <w:t xml:space="preserve"> (2), 98-101</w:t>
      </w:r>
      <w:r>
        <w:rPr>
          <w:rFonts w:hint="eastAsia"/>
          <w:kern w:val="0"/>
        </w:rPr>
        <w:t>.</w:t>
      </w:r>
    </w:p>
    <w:p w:rsidR="0038769F" w:rsidRPr="00C73C58" w:rsidRDefault="0038769F" w:rsidP="0038769F">
      <w:pPr>
        <w:pStyle w:val="a3"/>
      </w:pPr>
      <w:r w:rsidRPr="00C73C58">
        <w:t xml:space="preserve">Full Text: </w:t>
      </w:r>
      <w:hyperlink r:id="rId947" w:history="1">
        <w:r w:rsidRPr="00E34533">
          <w:rPr>
            <w:rStyle w:val="a5"/>
          </w:rPr>
          <w:t>2004\Com ACM47, 98.pdf</w:t>
        </w:r>
      </w:hyperlink>
    </w:p>
    <w:p w:rsidR="002321EC" w:rsidRDefault="002321EC" w:rsidP="002321EC">
      <w:pPr>
        <w:pStyle w:val="a3"/>
        <w:rPr>
          <w:kern w:val="0"/>
        </w:rPr>
      </w:pPr>
      <w:r>
        <w:rPr>
          <w:kern w:val="0"/>
        </w:rPr>
        <w:t>Keywords: Articles, Journals</w:t>
      </w:r>
    </w:p>
    <w:p w:rsidR="001752AB" w:rsidRDefault="001752AB" w:rsidP="001752AB">
      <w:pPr>
        <w:pStyle w:val="a3"/>
        <w:rPr>
          <w:kern w:val="0"/>
        </w:rPr>
      </w:pPr>
      <w:r>
        <w:rPr>
          <w:rFonts w:hint="eastAsia"/>
          <w:kern w:val="0"/>
        </w:rPr>
        <w:t xml:space="preserve">? </w:t>
      </w:r>
      <w:r>
        <w:rPr>
          <w:kern w:val="0"/>
        </w:rPr>
        <w:t>Collberg, C.</w:t>
      </w:r>
      <w:r w:rsidR="005853A9">
        <w:rPr>
          <w:kern w:val="0"/>
        </w:rPr>
        <w:t xml:space="preserve"> and </w:t>
      </w:r>
      <w:r>
        <w:rPr>
          <w:kern w:val="0"/>
        </w:rPr>
        <w:t xml:space="preserve">Kobourov, S. (2005), Self plagiarism in computer science. </w:t>
      </w:r>
      <w:r>
        <w:rPr>
          <w:i/>
          <w:iCs/>
          <w:kern w:val="0"/>
        </w:rPr>
        <w:t>Communications</w:t>
      </w:r>
      <w:r w:rsidR="00427468">
        <w:rPr>
          <w:i/>
          <w:iCs/>
          <w:kern w:val="0"/>
        </w:rPr>
        <w:t xml:space="preserve"> of </w:t>
      </w:r>
      <w:r w:rsidR="003A1917">
        <w:rPr>
          <w:i/>
          <w:iCs/>
          <w:kern w:val="0"/>
        </w:rPr>
        <w:t xml:space="preserve">the </w:t>
      </w:r>
      <w:r>
        <w:rPr>
          <w:i/>
          <w:iCs/>
          <w:kern w:val="0"/>
        </w:rPr>
        <w:t>ACM</w:t>
      </w:r>
      <w:r>
        <w:rPr>
          <w:kern w:val="0"/>
        </w:rPr>
        <w:t xml:space="preserve">, </w:t>
      </w:r>
      <w:r>
        <w:rPr>
          <w:b/>
          <w:bCs/>
          <w:kern w:val="0"/>
        </w:rPr>
        <w:t>48</w:t>
      </w:r>
      <w:r>
        <w:rPr>
          <w:kern w:val="0"/>
        </w:rPr>
        <w:t xml:space="preserve"> (4), 88-94.</w:t>
      </w:r>
    </w:p>
    <w:p w:rsidR="001752AB" w:rsidRPr="00C73C58" w:rsidRDefault="001752AB" w:rsidP="001752AB">
      <w:pPr>
        <w:pStyle w:val="a3"/>
      </w:pPr>
      <w:r w:rsidRPr="00C73C58">
        <w:t xml:space="preserve">Full Text: </w:t>
      </w:r>
      <w:hyperlink r:id="rId948" w:history="1">
        <w:r w:rsidRPr="001752AB">
          <w:rPr>
            <w:rStyle w:val="a5"/>
          </w:rPr>
          <w:t>2005\Com ACM48, 88.pdf</w:t>
        </w:r>
      </w:hyperlink>
    </w:p>
    <w:p w:rsidR="001752AB" w:rsidRDefault="001752AB" w:rsidP="001752AB">
      <w:pPr>
        <w:pStyle w:val="a3"/>
        <w:rPr>
          <w:kern w:val="0"/>
        </w:rPr>
      </w:pPr>
      <w:r>
        <w:rPr>
          <w:kern w:val="0"/>
        </w:rPr>
        <w:t>Keywords: Plagiarism, Science</w:t>
      </w:r>
    </w:p>
    <w:p w:rsidR="001752AB" w:rsidRDefault="001752AB" w:rsidP="001752AB">
      <w:pPr>
        <w:pStyle w:val="a3"/>
        <w:rPr>
          <w:kern w:val="0"/>
        </w:rPr>
      </w:pPr>
      <w:r>
        <w:rPr>
          <w:rFonts w:hint="eastAsia"/>
          <w:kern w:val="0"/>
        </w:rPr>
        <w:t xml:space="preserve">? </w:t>
      </w:r>
      <w:r>
        <w:rPr>
          <w:kern w:val="0"/>
        </w:rPr>
        <w:t>Wadler, P. (2005), Beware</w:t>
      </w:r>
      <w:r w:rsidR="003A1917">
        <w:rPr>
          <w:kern w:val="0"/>
        </w:rPr>
        <w:t xml:space="preserve"> the </w:t>
      </w:r>
      <w:r>
        <w:rPr>
          <w:kern w:val="0"/>
        </w:rPr>
        <w:t>consequences</w:t>
      </w:r>
      <w:r w:rsidR="00427468">
        <w:rPr>
          <w:kern w:val="0"/>
        </w:rPr>
        <w:t xml:space="preserve"> of </w:t>
      </w:r>
      <w:r>
        <w:rPr>
          <w:kern w:val="0"/>
        </w:rPr>
        <w:t xml:space="preserve">citing self-plagiarism. </w:t>
      </w:r>
      <w:r>
        <w:rPr>
          <w:i/>
          <w:iCs/>
          <w:kern w:val="0"/>
        </w:rPr>
        <w:t>Communications</w:t>
      </w:r>
      <w:r w:rsidR="00427468">
        <w:rPr>
          <w:i/>
          <w:iCs/>
          <w:kern w:val="0"/>
        </w:rPr>
        <w:t xml:space="preserve"> of </w:t>
      </w:r>
      <w:r w:rsidR="003A1917">
        <w:rPr>
          <w:i/>
          <w:iCs/>
          <w:kern w:val="0"/>
        </w:rPr>
        <w:t xml:space="preserve">the </w:t>
      </w:r>
      <w:r>
        <w:rPr>
          <w:i/>
          <w:iCs/>
          <w:kern w:val="0"/>
        </w:rPr>
        <w:t>ACM</w:t>
      </w:r>
      <w:r>
        <w:rPr>
          <w:kern w:val="0"/>
        </w:rPr>
        <w:t xml:space="preserve">, </w:t>
      </w:r>
      <w:r>
        <w:rPr>
          <w:b/>
          <w:bCs/>
          <w:kern w:val="0"/>
        </w:rPr>
        <w:t>48</w:t>
      </w:r>
      <w:r>
        <w:rPr>
          <w:kern w:val="0"/>
        </w:rPr>
        <w:t xml:space="preserve"> (6), 13.</w:t>
      </w:r>
    </w:p>
    <w:p w:rsidR="001752AB" w:rsidRPr="00C73C58" w:rsidRDefault="001752AB" w:rsidP="001752AB">
      <w:pPr>
        <w:pStyle w:val="a3"/>
      </w:pPr>
      <w:r w:rsidRPr="00C73C58">
        <w:t xml:space="preserve">Full Text: </w:t>
      </w:r>
      <w:hyperlink r:id="rId949" w:history="1">
        <w:r w:rsidRPr="00965224">
          <w:rPr>
            <w:rStyle w:val="a5"/>
          </w:rPr>
          <w:t>2005\Com ACM48, 13.pdf</w:t>
        </w:r>
      </w:hyperlink>
    </w:p>
    <w:p w:rsidR="001752AB" w:rsidRDefault="001752AB" w:rsidP="001752AB">
      <w:pPr>
        <w:pStyle w:val="a3"/>
        <w:rPr>
          <w:kern w:val="0"/>
        </w:rPr>
      </w:pPr>
      <w:r>
        <w:rPr>
          <w:kern w:val="0"/>
        </w:rPr>
        <w:t>Keywords: Self-Plagiarism</w:t>
      </w:r>
    </w:p>
    <w:p w:rsidR="001752AB" w:rsidRDefault="001752AB" w:rsidP="001752AB">
      <w:pPr>
        <w:pStyle w:val="a3"/>
        <w:rPr>
          <w:kern w:val="0"/>
        </w:rPr>
      </w:pPr>
      <w:r>
        <w:rPr>
          <w:rFonts w:hint="eastAsia"/>
          <w:kern w:val="0"/>
        </w:rPr>
        <w:t xml:space="preserve">? </w:t>
      </w:r>
      <w:r>
        <w:rPr>
          <w:kern w:val="0"/>
        </w:rPr>
        <w:t>Neville, C.W. (2005), Beware</w:t>
      </w:r>
      <w:r w:rsidR="003A1917">
        <w:rPr>
          <w:kern w:val="0"/>
        </w:rPr>
        <w:t xml:space="preserve"> the </w:t>
      </w:r>
      <w:r>
        <w:rPr>
          <w:kern w:val="0"/>
        </w:rPr>
        <w:t>consequences</w:t>
      </w:r>
      <w:r w:rsidR="00427468">
        <w:rPr>
          <w:kern w:val="0"/>
        </w:rPr>
        <w:t xml:space="preserve"> of </w:t>
      </w:r>
      <w:r>
        <w:rPr>
          <w:kern w:val="0"/>
        </w:rPr>
        <w:t xml:space="preserve">citing self-plagiarism. </w:t>
      </w:r>
      <w:r>
        <w:rPr>
          <w:i/>
          <w:iCs/>
          <w:kern w:val="0"/>
        </w:rPr>
        <w:t>Communications</w:t>
      </w:r>
      <w:r w:rsidR="00427468">
        <w:rPr>
          <w:i/>
          <w:iCs/>
          <w:kern w:val="0"/>
        </w:rPr>
        <w:t xml:space="preserve"> of </w:t>
      </w:r>
      <w:r w:rsidR="003A1917">
        <w:rPr>
          <w:i/>
          <w:iCs/>
          <w:kern w:val="0"/>
        </w:rPr>
        <w:t xml:space="preserve">the </w:t>
      </w:r>
      <w:r>
        <w:rPr>
          <w:i/>
          <w:iCs/>
          <w:kern w:val="0"/>
        </w:rPr>
        <w:t>ACM</w:t>
      </w:r>
      <w:r>
        <w:rPr>
          <w:kern w:val="0"/>
        </w:rPr>
        <w:t xml:space="preserve">, </w:t>
      </w:r>
      <w:r>
        <w:rPr>
          <w:b/>
          <w:bCs/>
          <w:kern w:val="0"/>
        </w:rPr>
        <w:t>48</w:t>
      </w:r>
      <w:r>
        <w:rPr>
          <w:kern w:val="0"/>
        </w:rPr>
        <w:t xml:space="preserve"> (6), 13.</w:t>
      </w:r>
    </w:p>
    <w:p w:rsidR="001752AB" w:rsidRPr="00C73C58" w:rsidRDefault="001752AB" w:rsidP="001752AB">
      <w:pPr>
        <w:pStyle w:val="a3"/>
      </w:pPr>
      <w:r w:rsidRPr="00C73C58">
        <w:t xml:space="preserve">Full Text: </w:t>
      </w:r>
      <w:hyperlink r:id="rId950" w:history="1">
        <w:r w:rsidRPr="00965224">
          <w:rPr>
            <w:rStyle w:val="a5"/>
          </w:rPr>
          <w:t>2005\Com ACM48, 13.pdf</w:t>
        </w:r>
      </w:hyperlink>
    </w:p>
    <w:p w:rsidR="001752AB" w:rsidRDefault="001752AB" w:rsidP="001752AB">
      <w:pPr>
        <w:pStyle w:val="a3"/>
        <w:rPr>
          <w:kern w:val="0"/>
        </w:rPr>
      </w:pPr>
      <w:r>
        <w:rPr>
          <w:kern w:val="0"/>
        </w:rPr>
        <w:t>Keywords: Self-Plagiarism</w:t>
      </w:r>
    </w:p>
    <w:p w:rsidR="0041689F" w:rsidRDefault="0041689F" w:rsidP="0041689F">
      <w:pPr>
        <w:pStyle w:val="a3"/>
        <w:rPr>
          <w:kern w:val="0"/>
        </w:rPr>
      </w:pPr>
      <w:r>
        <w:rPr>
          <w:rFonts w:hint="eastAsia"/>
          <w:kern w:val="0"/>
        </w:rPr>
        <w:t xml:space="preserve">? </w:t>
      </w:r>
      <w:r>
        <w:rPr>
          <w:kern w:val="0"/>
        </w:rPr>
        <w:t>Wainer, J., Goldenstein, S.</w:t>
      </w:r>
      <w:r w:rsidR="005853A9">
        <w:rPr>
          <w:kern w:val="0"/>
        </w:rPr>
        <w:t xml:space="preserve"> and </w:t>
      </w:r>
      <w:r>
        <w:rPr>
          <w:kern w:val="0"/>
        </w:rPr>
        <w:t>Billa, C. (2011), Invisible work in standard bibliometric evaluation</w:t>
      </w:r>
      <w:r w:rsidR="00427468">
        <w:rPr>
          <w:kern w:val="0"/>
        </w:rPr>
        <w:t xml:space="preserve"> of </w:t>
      </w:r>
      <w:r>
        <w:rPr>
          <w:kern w:val="0"/>
        </w:rPr>
        <w:t xml:space="preserve">computer science. </w:t>
      </w:r>
      <w:r>
        <w:rPr>
          <w:i/>
          <w:iCs/>
          <w:kern w:val="0"/>
        </w:rPr>
        <w:t>Communications</w:t>
      </w:r>
      <w:r w:rsidR="00427468">
        <w:rPr>
          <w:i/>
          <w:iCs/>
          <w:kern w:val="0"/>
        </w:rPr>
        <w:t xml:space="preserve"> of </w:t>
      </w:r>
      <w:r w:rsidR="003A1917">
        <w:rPr>
          <w:i/>
          <w:iCs/>
          <w:kern w:val="0"/>
        </w:rPr>
        <w:t xml:space="preserve">the </w:t>
      </w:r>
      <w:r>
        <w:rPr>
          <w:i/>
          <w:iCs/>
          <w:kern w:val="0"/>
        </w:rPr>
        <w:t>ACM</w:t>
      </w:r>
      <w:r>
        <w:rPr>
          <w:kern w:val="0"/>
        </w:rPr>
        <w:t xml:space="preserve">, </w:t>
      </w:r>
      <w:r>
        <w:rPr>
          <w:b/>
          <w:bCs/>
          <w:kern w:val="0"/>
        </w:rPr>
        <w:t>54</w:t>
      </w:r>
      <w:r>
        <w:rPr>
          <w:kern w:val="0"/>
        </w:rPr>
        <w:t xml:space="preserve"> (5), 141-146</w:t>
      </w:r>
    </w:p>
    <w:p w:rsidR="0041689F" w:rsidRPr="00C73C58" w:rsidRDefault="0041689F" w:rsidP="0041689F">
      <w:pPr>
        <w:pStyle w:val="a3"/>
      </w:pPr>
      <w:r w:rsidRPr="00C73C58">
        <w:t xml:space="preserve">Full Text: </w:t>
      </w:r>
      <w:hyperlink r:id="rId951" w:history="1">
        <w:r w:rsidR="007209A6" w:rsidRPr="007209A6">
          <w:rPr>
            <w:rStyle w:val="a5"/>
          </w:rPr>
          <w:t>2011\Com ACM54, 141.pdf</w:t>
        </w:r>
      </w:hyperlink>
    </w:p>
    <w:p w:rsidR="0041689F" w:rsidRDefault="0041689F" w:rsidP="0041689F">
      <w:pPr>
        <w:pStyle w:val="a3"/>
        <w:rPr>
          <w:kern w:val="0"/>
        </w:rPr>
      </w:pPr>
      <w:r>
        <w:rPr>
          <w:kern w:val="0"/>
        </w:rPr>
        <w:t>Keywords: Google Scholar, Scopus</w:t>
      </w:r>
    </w:p>
    <w:p w:rsidR="00E74ABA" w:rsidRDefault="00E74ABA" w:rsidP="00E74ABA">
      <w:pPr>
        <w:pStyle w:val="a3"/>
        <w:rPr>
          <w:kern w:val="0"/>
        </w:rPr>
      </w:pPr>
      <w:r>
        <w:rPr>
          <w:rFonts w:hint="eastAsia"/>
          <w:kern w:val="0"/>
        </w:rPr>
        <w:t xml:space="preserve">? </w:t>
      </w:r>
      <w:r>
        <w:rPr>
          <w:kern w:val="0"/>
        </w:rPr>
        <w:t xml:space="preserve">Nelson, M.J. (2013), Reconciling ACM Bibliometric Numbers. </w:t>
      </w:r>
      <w:r>
        <w:rPr>
          <w:i/>
          <w:iCs/>
          <w:kern w:val="0"/>
        </w:rPr>
        <w:t>Communications</w:t>
      </w:r>
      <w:r w:rsidR="00427468">
        <w:rPr>
          <w:i/>
          <w:iCs/>
          <w:kern w:val="0"/>
        </w:rPr>
        <w:t xml:space="preserve"> of </w:t>
      </w:r>
      <w:r>
        <w:rPr>
          <w:i/>
          <w:iCs/>
          <w:kern w:val="0"/>
        </w:rPr>
        <w:lastRenderedPageBreak/>
        <w:t>the ACM</w:t>
      </w:r>
      <w:r>
        <w:rPr>
          <w:kern w:val="0"/>
        </w:rPr>
        <w:t xml:space="preserve">, </w:t>
      </w:r>
      <w:r>
        <w:rPr>
          <w:b/>
          <w:bCs/>
          <w:kern w:val="0"/>
        </w:rPr>
        <w:t>56</w:t>
      </w:r>
      <w:r>
        <w:rPr>
          <w:kern w:val="0"/>
        </w:rPr>
        <w:t xml:space="preserve"> (8), 9</w:t>
      </w:r>
      <w:r>
        <w:rPr>
          <w:rFonts w:hint="eastAsia"/>
          <w:kern w:val="0"/>
        </w:rPr>
        <w:t>.</w:t>
      </w:r>
    </w:p>
    <w:p w:rsidR="00E74ABA" w:rsidRPr="00C73C58" w:rsidRDefault="00E74ABA" w:rsidP="00E74ABA">
      <w:pPr>
        <w:pStyle w:val="a3"/>
      </w:pPr>
      <w:r w:rsidRPr="00C73C58">
        <w:t xml:space="preserve">Full Text: </w:t>
      </w:r>
      <w:hyperlink r:id="rId952" w:history="1">
        <w:r w:rsidRPr="005F4053">
          <w:rPr>
            <w:rStyle w:val="a5"/>
          </w:rPr>
          <w:t>2013\Com ACM56, 9.pdf</w:t>
        </w:r>
      </w:hyperlink>
    </w:p>
    <w:p w:rsidR="00E74ABA" w:rsidRDefault="00E74ABA" w:rsidP="00E74ABA">
      <w:pPr>
        <w:pStyle w:val="a3"/>
        <w:rPr>
          <w:kern w:val="0"/>
        </w:rPr>
      </w:pPr>
      <w:r>
        <w:rPr>
          <w:kern w:val="0"/>
        </w:rPr>
        <w:t xml:space="preserve">Keywords: Bibliometric, New-York, Science, </w:t>
      </w:r>
      <w:r w:rsidR="00D5664A">
        <w:rPr>
          <w:kern w:val="0"/>
        </w:rPr>
        <w:t>USA</w:t>
      </w:r>
    </w:p>
    <w:p w:rsidR="00E74ABA" w:rsidRDefault="00E74ABA" w:rsidP="00E74ABA">
      <w:pPr>
        <w:pStyle w:val="a3"/>
        <w:rPr>
          <w:kern w:val="0"/>
        </w:rPr>
      </w:pPr>
      <w:r>
        <w:rPr>
          <w:rFonts w:hint="eastAsia"/>
          <w:kern w:val="0"/>
        </w:rPr>
        <w:t>? (</w:t>
      </w:r>
      <w:r>
        <w:rPr>
          <w:kern w:val="0"/>
        </w:rPr>
        <w:t xml:space="preserve">2013), Reconciling ACM Bibliometric Numbers Response. </w:t>
      </w:r>
      <w:r>
        <w:rPr>
          <w:i/>
          <w:iCs/>
          <w:kern w:val="0"/>
        </w:rPr>
        <w:t>Communications</w:t>
      </w:r>
      <w:r w:rsidR="00427468">
        <w:rPr>
          <w:i/>
          <w:iCs/>
          <w:kern w:val="0"/>
        </w:rPr>
        <w:t xml:space="preserve"> of </w:t>
      </w:r>
      <w:r>
        <w:rPr>
          <w:i/>
          <w:iCs/>
          <w:kern w:val="0"/>
        </w:rPr>
        <w:t>the ACM</w:t>
      </w:r>
      <w:r>
        <w:rPr>
          <w:kern w:val="0"/>
        </w:rPr>
        <w:t xml:space="preserve">, </w:t>
      </w:r>
      <w:r>
        <w:rPr>
          <w:b/>
          <w:bCs/>
          <w:kern w:val="0"/>
        </w:rPr>
        <w:t>56</w:t>
      </w:r>
      <w:r>
        <w:rPr>
          <w:kern w:val="0"/>
        </w:rPr>
        <w:t xml:space="preserve"> (8), 9</w:t>
      </w:r>
      <w:r>
        <w:rPr>
          <w:rFonts w:hint="eastAsia"/>
          <w:kern w:val="0"/>
        </w:rPr>
        <w:t>.</w:t>
      </w:r>
    </w:p>
    <w:p w:rsidR="00E74ABA" w:rsidRPr="00C73C58" w:rsidRDefault="00E74ABA" w:rsidP="00E74ABA">
      <w:pPr>
        <w:pStyle w:val="a3"/>
      </w:pPr>
      <w:r w:rsidRPr="00C73C58">
        <w:t xml:space="preserve">Full Text: </w:t>
      </w:r>
      <w:hyperlink r:id="rId953" w:history="1">
        <w:r w:rsidRPr="005F4053">
          <w:rPr>
            <w:rStyle w:val="a5"/>
          </w:rPr>
          <w:t>2013\Com ACM56, 9.pdf</w:t>
        </w:r>
      </w:hyperlink>
    </w:p>
    <w:p w:rsidR="00E74ABA" w:rsidRDefault="00E74ABA" w:rsidP="00E74ABA">
      <w:pPr>
        <w:pStyle w:val="a3"/>
        <w:rPr>
          <w:kern w:val="0"/>
        </w:rPr>
      </w:pPr>
      <w:r>
        <w:rPr>
          <w:kern w:val="0"/>
        </w:rPr>
        <w:t xml:space="preserve">Keywords: Bibliometric, New-York, Science, </w:t>
      </w:r>
      <w:r w:rsidR="00D5664A">
        <w:rPr>
          <w:kern w:val="0"/>
        </w:rPr>
        <w:t>USA</w:t>
      </w:r>
    </w:p>
    <w:p w:rsidR="0013112D" w:rsidRDefault="0013112D" w:rsidP="0013112D">
      <w:pPr>
        <w:pStyle w:val="a3"/>
        <w:rPr>
          <w:kern w:val="0"/>
        </w:rPr>
      </w:pPr>
      <w:r>
        <w:rPr>
          <w:kern w:val="0"/>
        </w:rPr>
        <w:t xml:space="preserve">? Singh, V., Perdigones, A., Garcia, J.L., Canas-Guerroro, I. and Mazarron, F.R. (2015), Analyzing worldwide research in hardware architecture, 1997-2011. </w:t>
      </w:r>
      <w:r>
        <w:rPr>
          <w:i/>
          <w:iCs/>
          <w:kern w:val="0"/>
        </w:rPr>
        <w:t>Communications of the ACM</w:t>
      </w:r>
      <w:r>
        <w:rPr>
          <w:kern w:val="0"/>
        </w:rPr>
        <w:t xml:space="preserve">, </w:t>
      </w:r>
      <w:r>
        <w:rPr>
          <w:b/>
          <w:bCs/>
          <w:kern w:val="0"/>
        </w:rPr>
        <w:t>58</w:t>
      </w:r>
      <w:r>
        <w:rPr>
          <w:kern w:val="0"/>
        </w:rPr>
        <w:t xml:space="preserve"> (1), 76-85.</w:t>
      </w:r>
    </w:p>
    <w:p w:rsidR="0013112D" w:rsidRPr="00C73C58" w:rsidRDefault="0013112D" w:rsidP="0013112D">
      <w:pPr>
        <w:pStyle w:val="a3"/>
      </w:pPr>
      <w:r w:rsidRPr="00C73C58">
        <w:t xml:space="preserve">Full Text: </w:t>
      </w:r>
      <w:hyperlink r:id="rId954" w:history="1">
        <w:r w:rsidRPr="0013112D">
          <w:rPr>
            <w:rStyle w:val="a5"/>
          </w:rPr>
          <w:t>2015\Com ACM58, 76.pdf</w:t>
        </w:r>
      </w:hyperlink>
    </w:p>
    <w:p w:rsidR="0013112D" w:rsidRDefault="0013112D" w:rsidP="0013112D">
      <w:pPr>
        <w:pStyle w:val="a3"/>
        <w:rPr>
          <w:kern w:val="0"/>
        </w:rPr>
      </w:pPr>
      <w:r>
        <w:rPr>
          <w:kern w:val="0"/>
        </w:rPr>
        <w:t>Keywords: Bibliometric Analysis, Category, Computer-Science, Publications, Research, Web</w:t>
      </w:r>
    </w:p>
    <w:p w:rsidR="00506BE4" w:rsidRPr="00C73C58" w:rsidRDefault="00506BE4" w:rsidP="00506BE4">
      <w:pPr>
        <w:pStyle w:val="1"/>
      </w:pPr>
      <w:r w:rsidRPr="00C73C58">
        <w:br w:type="page"/>
      </w:r>
      <w:bookmarkStart w:id="352" w:name="_Toc420815077"/>
      <w:r w:rsidRPr="00C73C58">
        <w:lastRenderedPageBreak/>
        <w:t xml:space="preserve">Title: </w:t>
      </w:r>
      <w:r w:rsidRPr="00506BE4">
        <w:rPr>
          <w:iCs w:val="0"/>
        </w:rPr>
        <w:t>Communications-European Journal</w:t>
      </w:r>
      <w:r w:rsidR="00427468">
        <w:rPr>
          <w:iCs w:val="0"/>
        </w:rPr>
        <w:t xml:space="preserve"> of </w:t>
      </w:r>
      <w:r w:rsidRPr="00506BE4">
        <w:rPr>
          <w:iCs w:val="0"/>
        </w:rPr>
        <w:t>Communication Research</w:t>
      </w:r>
      <w:bookmarkEnd w:id="352"/>
    </w:p>
    <w:p w:rsidR="00506BE4" w:rsidRPr="00C73C58" w:rsidRDefault="00506BE4" w:rsidP="00506BE4">
      <w:pPr>
        <w:pStyle w:val="12"/>
      </w:pPr>
      <w:r w:rsidRPr="00C73C58">
        <w:t>Full Jou</w:t>
      </w:r>
      <w:r>
        <w:t xml:space="preserve">rnal Title: </w:t>
      </w:r>
      <w:r w:rsidRPr="00506BE4">
        <w:rPr>
          <w:iCs/>
          <w:kern w:val="0"/>
        </w:rPr>
        <w:t>Communications-European Journal</w:t>
      </w:r>
      <w:r w:rsidR="00427468">
        <w:rPr>
          <w:iCs/>
          <w:kern w:val="0"/>
        </w:rPr>
        <w:t xml:space="preserve"> of </w:t>
      </w:r>
      <w:r w:rsidRPr="00506BE4">
        <w:rPr>
          <w:iCs/>
          <w:kern w:val="0"/>
        </w:rPr>
        <w:t>Communication Research</w:t>
      </w:r>
    </w:p>
    <w:p w:rsidR="00506BE4" w:rsidRPr="00C73C58" w:rsidRDefault="00506BE4" w:rsidP="00506BE4">
      <w:pPr>
        <w:pStyle w:val="12"/>
      </w:pPr>
      <w:r w:rsidRPr="00C73C58">
        <w:t>ISO A</w:t>
      </w:r>
      <w:r>
        <w:t xml:space="preserve">bbreviated Title: </w:t>
      </w:r>
    </w:p>
    <w:p w:rsidR="00506BE4" w:rsidRPr="00C73C58" w:rsidRDefault="00506BE4" w:rsidP="00506BE4">
      <w:pPr>
        <w:pStyle w:val="12"/>
      </w:pPr>
      <w:r w:rsidRPr="00C73C58">
        <w:t xml:space="preserve">JCR Abbreviated Title: </w:t>
      </w:r>
    </w:p>
    <w:p w:rsidR="00506BE4" w:rsidRPr="00C73C58" w:rsidRDefault="00506BE4" w:rsidP="00506BE4">
      <w:pPr>
        <w:pStyle w:val="12"/>
      </w:pPr>
      <w:r w:rsidRPr="00C73C58">
        <w:t xml:space="preserve">ISSN: </w:t>
      </w:r>
    </w:p>
    <w:p w:rsidR="00506BE4" w:rsidRPr="00C73C58" w:rsidRDefault="00506BE4" w:rsidP="00506BE4">
      <w:pPr>
        <w:pStyle w:val="12"/>
      </w:pPr>
      <w:r w:rsidRPr="00C73C58">
        <w:t xml:space="preserve">Issues/Year: </w:t>
      </w:r>
    </w:p>
    <w:p w:rsidR="00506BE4" w:rsidRPr="00C73C58" w:rsidRDefault="00506BE4" w:rsidP="00506BE4">
      <w:pPr>
        <w:pStyle w:val="12"/>
      </w:pPr>
      <w:r w:rsidRPr="00C73C58">
        <w:t xml:space="preserve">Journal Country/Territory: </w:t>
      </w:r>
    </w:p>
    <w:p w:rsidR="00506BE4" w:rsidRPr="00C73C58" w:rsidRDefault="00506BE4" w:rsidP="00506BE4">
      <w:pPr>
        <w:pStyle w:val="12"/>
      </w:pPr>
      <w:r w:rsidRPr="00C73C58">
        <w:t xml:space="preserve">Language: </w:t>
      </w:r>
    </w:p>
    <w:p w:rsidR="00506BE4" w:rsidRPr="00C73C58" w:rsidRDefault="00506BE4" w:rsidP="00506BE4">
      <w:pPr>
        <w:pStyle w:val="12"/>
      </w:pPr>
      <w:r w:rsidRPr="00C73C58">
        <w:t xml:space="preserve">Publisher: </w:t>
      </w:r>
    </w:p>
    <w:p w:rsidR="00506BE4" w:rsidRPr="00C73C58" w:rsidRDefault="00506BE4" w:rsidP="00506BE4">
      <w:pPr>
        <w:pStyle w:val="12"/>
      </w:pPr>
      <w:r w:rsidRPr="00C73C58">
        <w:t xml:space="preserve">Publisher Address: </w:t>
      </w:r>
    </w:p>
    <w:p w:rsidR="00506BE4" w:rsidRPr="00C73C58" w:rsidRDefault="00506BE4" w:rsidP="00506BE4">
      <w:pPr>
        <w:pStyle w:val="12"/>
      </w:pPr>
      <w:r w:rsidRPr="00C73C58">
        <w:t xml:space="preserve">Subject Categories: </w:t>
      </w:r>
    </w:p>
    <w:p w:rsidR="00506BE4" w:rsidRPr="00C73C58" w:rsidRDefault="00506BE4" w:rsidP="00506BE4">
      <w:pPr>
        <w:pStyle w:val="12"/>
      </w:pPr>
      <w:r w:rsidRPr="00C73C58">
        <w:t xml:space="preserve">: Impact Factor </w:t>
      </w:r>
    </w:p>
    <w:p w:rsidR="00506BE4" w:rsidRDefault="00506BE4" w:rsidP="00506BE4">
      <w:pPr>
        <w:pStyle w:val="a3"/>
        <w:rPr>
          <w:kern w:val="0"/>
        </w:rPr>
      </w:pPr>
      <w:r>
        <w:rPr>
          <w:kern w:val="0"/>
        </w:rPr>
        <w:t>? Krotz, F. (2013), Academic publications in the age</w:t>
      </w:r>
      <w:r w:rsidR="00427468">
        <w:rPr>
          <w:kern w:val="0"/>
        </w:rPr>
        <w:t xml:space="preserve"> of </w:t>
      </w:r>
      <w:r>
        <w:rPr>
          <w:kern w:val="0"/>
        </w:rPr>
        <w:t xml:space="preserve">post-Enlightenment. </w:t>
      </w:r>
      <w:r w:rsidRPr="00506BE4">
        <w:rPr>
          <w:i/>
          <w:iCs/>
          <w:kern w:val="0"/>
        </w:rPr>
        <w:t>Communications-European Journal</w:t>
      </w:r>
      <w:r w:rsidR="00427468">
        <w:rPr>
          <w:i/>
          <w:iCs/>
          <w:kern w:val="0"/>
        </w:rPr>
        <w:t xml:space="preserve"> of </w:t>
      </w:r>
      <w:r w:rsidRPr="00506BE4">
        <w:rPr>
          <w:i/>
          <w:iCs/>
          <w:kern w:val="0"/>
        </w:rPr>
        <w:t>Communication Research</w:t>
      </w:r>
      <w:r>
        <w:rPr>
          <w:kern w:val="0"/>
        </w:rPr>
        <w:t xml:space="preserve">, </w:t>
      </w:r>
      <w:r>
        <w:rPr>
          <w:b/>
          <w:bCs/>
          <w:kern w:val="0"/>
        </w:rPr>
        <w:t>38</w:t>
      </w:r>
      <w:r>
        <w:rPr>
          <w:kern w:val="0"/>
        </w:rPr>
        <w:t xml:space="preserve"> (1), 1-12.</w:t>
      </w:r>
    </w:p>
    <w:p w:rsidR="00506BE4" w:rsidRDefault="00506BE4" w:rsidP="00506BE4">
      <w:pPr>
        <w:pStyle w:val="a3"/>
        <w:rPr>
          <w:kern w:val="0"/>
        </w:rPr>
      </w:pPr>
      <w:r>
        <w:rPr>
          <w:rFonts w:hint="eastAsia"/>
          <w:kern w:val="0"/>
        </w:rPr>
        <w:t xml:space="preserve">Full Text: </w:t>
      </w:r>
      <w:hyperlink r:id="rId955" w:history="1">
        <w:r w:rsidR="00215758" w:rsidRPr="00215758">
          <w:rPr>
            <w:rStyle w:val="a5"/>
            <w:kern w:val="0"/>
          </w:rPr>
          <w:t>2013\Com-Eur Jou Com Res38, 1.pdf</w:t>
        </w:r>
      </w:hyperlink>
    </w:p>
    <w:p w:rsidR="00506BE4" w:rsidRDefault="00506BE4" w:rsidP="00506BE4">
      <w:pPr>
        <w:pStyle w:val="a3"/>
        <w:rPr>
          <w:kern w:val="0"/>
        </w:rPr>
      </w:pPr>
      <w:r>
        <w:rPr>
          <w:kern w:val="0"/>
        </w:rPr>
        <w:t>Abstract: This essay deals with phenomena</w:t>
      </w:r>
      <w:r w:rsidR="00427468">
        <w:rPr>
          <w:kern w:val="0"/>
        </w:rPr>
        <w:t xml:space="preserve"> of </w:t>
      </w:r>
      <w:r>
        <w:rPr>
          <w:kern w:val="0"/>
        </w:rPr>
        <w:t>the publication</w:t>
      </w:r>
      <w:r w:rsidR="00427468">
        <w:rPr>
          <w:kern w:val="0"/>
        </w:rPr>
        <w:t xml:space="preserve"> of </w:t>
      </w:r>
      <w:r>
        <w:rPr>
          <w:kern w:val="0"/>
        </w:rPr>
        <w:t>academic work: the emergence</w:t>
      </w:r>
      <w:r w:rsidR="00427468">
        <w:rPr>
          <w:kern w:val="0"/>
        </w:rPr>
        <w:t xml:space="preserve"> of </w:t>
      </w:r>
      <w:r>
        <w:rPr>
          <w:kern w:val="0"/>
        </w:rPr>
        <w:t>science slams, the transformation</w:t>
      </w:r>
      <w:r w:rsidR="00427468">
        <w:rPr>
          <w:kern w:val="0"/>
        </w:rPr>
        <w:t xml:space="preserve"> of </w:t>
      </w:r>
      <w:r>
        <w:rPr>
          <w:kern w:val="0"/>
        </w:rPr>
        <w:t>open access</w:t>
      </w:r>
      <w:r w:rsidR="005853A9">
        <w:rPr>
          <w:kern w:val="0"/>
        </w:rPr>
        <w:t xml:space="preserve"> and </w:t>
      </w:r>
      <w:r>
        <w:rPr>
          <w:kern w:val="0"/>
        </w:rPr>
        <w:t>the role</w:t>
      </w:r>
      <w:r w:rsidR="00427468">
        <w:rPr>
          <w:kern w:val="0"/>
        </w:rPr>
        <w:t xml:space="preserve"> of </w:t>
      </w:r>
      <w:r>
        <w:rPr>
          <w:kern w:val="0"/>
        </w:rPr>
        <w:t>the Social Science Citation Index. As a result</w:t>
      </w:r>
      <w:r w:rsidR="00427468">
        <w:rPr>
          <w:kern w:val="0"/>
        </w:rPr>
        <w:t xml:space="preserve"> of </w:t>
      </w:r>
      <w:r>
        <w:rPr>
          <w:kern w:val="0"/>
        </w:rPr>
        <w:t>the argumentation it becomes clear that publication</w:t>
      </w:r>
      <w:r w:rsidR="00427468">
        <w:rPr>
          <w:kern w:val="0"/>
        </w:rPr>
        <w:t xml:space="preserve"> of </w:t>
      </w:r>
      <w:r>
        <w:rPr>
          <w:kern w:val="0"/>
        </w:rPr>
        <w:t>scholarly work at least in part becomes an element</w:t>
      </w:r>
      <w:r w:rsidR="00427468">
        <w:rPr>
          <w:kern w:val="0"/>
        </w:rPr>
        <w:t xml:space="preserve"> of </w:t>
      </w:r>
      <w:r>
        <w:rPr>
          <w:kern w:val="0"/>
        </w:rPr>
        <w:t>regulating academic work following interests which come from the outside</w:t>
      </w:r>
      <w:r w:rsidR="00A37C1D">
        <w:rPr>
          <w:kern w:val="0"/>
        </w:rPr>
        <w:t>. The</w:t>
      </w:r>
      <w:r>
        <w:rPr>
          <w:kern w:val="0"/>
        </w:rPr>
        <w:t xml:space="preserve"> question</w:t>
      </w:r>
      <w:r w:rsidR="00427468">
        <w:rPr>
          <w:kern w:val="0"/>
        </w:rPr>
        <w:t xml:space="preserve"> of </w:t>
      </w:r>
      <w:r>
        <w:rPr>
          <w:kern w:val="0"/>
        </w:rPr>
        <w:t>whether a publication marks progress in communication studies is no longer in the focus</w:t>
      </w:r>
      <w:r w:rsidR="00427468">
        <w:rPr>
          <w:kern w:val="0"/>
        </w:rPr>
        <w:t xml:space="preserve"> of </w:t>
      </w:r>
      <w:r>
        <w:rPr>
          <w:kern w:val="0"/>
        </w:rPr>
        <w:t>publication. This is why we speak</w:t>
      </w:r>
      <w:r w:rsidR="00427468">
        <w:rPr>
          <w:kern w:val="0"/>
        </w:rPr>
        <w:t xml:space="preserve"> of </w:t>
      </w:r>
      <w:r>
        <w:rPr>
          <w:kern w:val="0"/>
        </w:rPr>
        <w:t>“post-enlightenment”.</w:t>
      </w:r>
    </w:p>
    <w:p w:rsidR="00506BE4" w:rsidRDefault="00506BE4" w:rsidP="00506BE4">
      <w:pPr>
        <w:pStyle w:val="a3"/>
        <w:rPr>
          <w:kern w:val="0"/>
        </w:rPr>
      </w:pPr>
      <w:r>
        <w:rPr>
          <w:kern w:val="0"/>
        </w:rPr>
        <w:t xml:space="preserve">Keywords: Academic Publications, Access, Age, Citation, Communication, Communication Studies, Enlightenment, Open, Open Access, Progress, Publication, Publications, Role, Science, Science Citation Index, Science Slam, Social Science Citation Index, </w:t>
      </w:r>
      <w:r w:rsidR="00D5664A">
        <w:rPr>
          <w:kern w:val="0"/>
        </w:rPr>
        <w:t>SSCI</w:t>
      </w:r>
      <w:r>
        <w:rPr>
          <w:kern w:val="0"/>
        </w:rPr>
        <w:t>, Transformation, University, Work</w:t>
      </w:r>
    </w:p>
    <w:p w:rsidR="007950AF" w:rsidRPr="00C73C58" w:rsidRDefault="007950AF" w:rsidP="007950AF">
      <w:pPr>
        <w:pStyle w:val="1"/>
      </w:pPr>
      <w:r w:rsidRPr="00C73C58">
        <w:br w:type="page"/>
      </w:r>
      <w:bookmarkStart w:id="353" w:name="_Toc420815078"/>
      <w:r w:rsidRPr="00C73C58">
        <w:lastRenderedPageBreak/>
        <w:t xml:space="preserve">Title: </w:t>
      </w:r>
      <w:r w:rsidRPr="0005324C">
        <w:t>Community Dentistry</w:t>
      </w:r>
      <w:r w:rsidR="005853A9">
        <w:t xml:space="preserve"> and </w:t>
      </w:r>
      <w:r w:rsidRPr="0005324C">
        <w:t>O</w:t>
      </w:r>
      <w:bookmarkStart w:id="354" w:name="_Toc319565866"/>
      <w:r w:rsidRPr="0005324C">
        <w:t>ral Epi</w:t>
      </w:r>
      <w:bookmarkEnd w:id="354"/>
      <w:r w:rsidRPr="0005324C">
        <w:t>demiology</w:t>
      </w:r>
      <w:bookmarkEnd w:id="353"/>
    </w:p>
    <w:p w:rsidR="007950AF" w:rsidRPr="00C73C58" w:rsidRDefault="007950AF" w:rsidP="007950AF">
      <w:pPr>
        <w:pStyle w:val="12"/>
      </w:pPr>
      <w:r w:rsidRPr="00C73C58">
        <w:t>Full Journal Title: Community Dentistry</w:t>
      </w:r>
      <w:r w:rsidR="005853A9">
        <w:t xml:space="preserve"> and </w:t>
      </w:r>
      <w:r w:rsidRPr="00C73C58">
        <w:t>Oral Epidemiology</w:t>
      </w:r>
    </w:p>
    <w:p w:rsidR="007950AF" w:rsidRPr="00C73C58" w:rsidRDefault="007950AF" w:rsidP="007950AF">
      <w:pPr>
        <w:pStyle w:val="12"/>
      </w:pPr>
      <w:r w:rsidRPr="00C73C58">
        <w:t>ISO Abbreviated Title: Community Dentist. Oral Epidemiol.</w:t>
      </w:r>
    </w:p>
    <w:p w:rsidR="007950AF" w:rsidRPr="00C73C58" w:rsidRDefault="007950AF" w:rsidP="007950AF">
      <w:pPr>
        <w:pStyle w:val="12"/>
      </w:pPr>
      <w:r w:rsidRPr="00C73C58">
        <w:t>JCR Abbreviated Title: Community Dent Oral</w:t>
      </w:r>
    </w:p>
    <w:p w:rsidR="007950AF" w:rsidRPr="00C73C58" w:rsidRDefault="007950AF" w:rsidP="007950AF">
      <w:pPr>
        <w:pStyle w:val="12"/>
      </w:pPr>
      <w:r w:rsidRPr="00C73C58">
        <w:t>ISSN: 0301-5661</w:t>
      </w:r>
    </w:p>
    <w:p w:rsidR="007950AF" w:rsidRPr="00C73C58" w:rsidRDefault="007950AF" w:rsidP="007950AF">
      <w:pPr>
        <w:pStyle w:val="12"/>
      </w:pPr>
      <w:r w:rsidRPr="00C73C58">
        <w:t>Issues/Year: 6</w:t>
      </w:r>
    </w:p>
    <w:p w:rsidR="007950AF" w:rsidRPr="00C73C58" w:rsidRDefault="007950AF" w:rsidP="007950AF">
      <w:pPr>
        <w:pStyle w:val="12"/>
      </w:pPr>
      <w:r w:rsidRPr="00C73C58">
        <w:t>Journal Country/Territory: Denmark</w:t>
      </w:r>
    </w:p>
    <w:p w:rsidR="007950AF" w:rsidRPr="00C73C58" w:rsidRDefault="007950AF" w:rsidP="007950AF">
      <w:pPr>
        <w:pStyle w:val="12"/>
      </w:pPr>
      <w:r w:rsidRPr="00C73C58">
        <w:t>Language: English</w:t>
      </w:r>
    </w:p>
    <w:p w:rsidR="007950AF" w:rsidRPr="00C73C58" w:rsidRDefault="007950AF" w:rsidP="007950AF">
      <w:pPr>
        <w:pStyle w:val="12"/>
      </w:pPr>
      <w:r w:rsidRPr="00C73C58">
        <w:t>Publisher: Munksgaard Int Publ Ltd</w:t>
      </w:r>
    </w:p>
    <w:p w:rsidR="007950AF" w:rsidRPr="00C73C58" w:rsidRDefault="007950AF" w:rsidP="007950AF">
      <w:pPr>
        <w:pStyle w:val="12"/>
      </w:pPr>
      <w:r w:rsidRPr="00C73C58">
        <w:t>Publisher Address: 35 Norre Sogade, PO Box 2148, DK-1016 Copenhagen, Denmark</w:t>
      </w:r>
    </w:p>
    <w:p w:rsidR="007950AF" w:rsidRPr="00C73C58" w:rsidRDefault="007950AF" w:rsidP="007950AF">
      <w:pPr>
        <w:pStyle w:val="12"/>
      </w:pPr>
      <w:r w:rsidRPr="00C73C58">
        <w:t xml:space="preserve">Subject Categories: </w:t>
      </w:r>
    </w:p>
    <w:p w:rsidR="007950AF" w:rsidRPr="00C73C58" w:rsidRDefault="007950AF" w:rsidP="007950AF">
      <w:pPr>
        <w:pStyle w:val="12"/>
      </w:pPr>
      <w:r w:rsidRPr="00C73C58">
        <w:t xml:space="preserve">Dentistry, Oral Surgery &amp; Medicine: Impact Factor, 1.196, </w:t>
      </w:r>
    </w:p>
    <w:p w:rsidR="007950AF" w:rsidRPr="00C73C58" w:rsidRDefault="007950AF" w:rsidP="007950AF">
      <w:pPr>
        <w:pStyle w:val="12"/>
      </w:pPr>
      <w:r w:rsidRPr="00C73C58">
        <w:t>Public, Environmental &amp; Occupational Health: Impact Factor, 1.196, 44/85</w:t>
      </w:r>
    </w:p>
    <w:p w:rsidR="007950AF" w:rsidRDefault="007950AF" w:rsidP="007950AF">
      <w:pPr>
        <w:pStyle w:val="a3"/>
        <w:rPr>
          <w:kern w:val="0"/>
        </w:rPr>
      </w:pPr>
      <w:r>
        <w:rPr>
          <w:rFonts w:hint="eastAsia"/>
          <w:kern w:val="0"/>
        </w:rPr>
        <w:t xml:space="preserve">? </w:t>
      </w:r>
      <w:r>
        <w:rPr>
          <w:kern w:val="0"/>
        </w:rPr>
        <w:t>Vahanikkila, H., Miettunen, J., Tjaderhane, L., Larmas, M.</w:t>
      </w:r>
      <w:r w:rsidR="005853A9">
        <w:rPr>
          <w:kern w:val="0"/>
        </w:rPr>
        <w:t xml:space="preserve"> and </w:t>
      </w:r>
      <w:r>
        <w:rPr>
          <w:kern w:val="0"/>
        </w:rPr>
        <w:t>Nieminen, P. (2012</w:t>
      </w:r>
      <w:r w:rsidR="00F42EAC">
        <w:rPr>
          <w:kern w:val="0"/>
        </w:rPr>
        <w:t>), The</w:t>
      </w:r>
      <w:r w:rsidR="003A1917">
        <w:rPr>
          <w:kern w:val="0"/>
        </w:rPr>
        <w:t xml:space="preserve"> </w:t>
      </w:r>
      <w:r>
        <w:rPr>
          <w:kern w:val="0"/>
        </w:rPr>
        <w:t>use</w:t>
      </w:r>
      <w:r w:rsidR="00427468">
        <w:rPr>
          <w:kern w:val="0"/>
        </w:rPr>
        <w:t xml:space="preserve"> of </w:t>
      </w:r>
      <w:r>
        <w:rPr>
          <w:kern w:val="0"/>
        </w:rPr>
        <w:t xml:space="preserve">time-to-event methods in dental research: A comparison based on five dental journals over a 11-year period. </w:t>
      </w:r>
      <w:r>
        <w:rPr>
          <w:i/>
          <w:iCs/>
          <w:kern w:val="0"/>
        </w:rPr>
        <w:t>Community Dentistry</w:t>
      </w:r>
      <w:r w:rsidR="005853A9">
        <w:rPr>
          <w:i/>
          <w:iCs/>
          <w:kern w:val="0"/>
        </w:rPr>
        <w:t xml:space="preserve"> and </w:t>
      </w:r>
      <w:r>
        <w:rPr>
          <w:i/>
          <w:iCs/>
          <w:kern w:val="0"/>
        </w:rPr>
        <w:t>Oral Epidemiology</w:t>
      </w:r>
      <w:r>
        <w:rPr>
          <w:kern w:val="0"/>
        </w:rPr>
        <w:t xml:space="preserve">, </w:t>
      </w:r>
      <w:r>
        <w:rPr>
          <w:b/>
          <w:bCs/>
          <w:kern w:val="0"/>
        </w:rPr>
        <w:t>40</w:t>
      </w:r>
      <w:r>
        <w:rPr>
          <w:kern w:val="0"/>
        </w:rPr>
        <w:t>, 36-42.</w:t>
      </w:r>
    </w:p>
    <w:p w:rsidR="007950AF" w:rsidRPr="00C73C58" w:rsidRDefault="007950AF" w:rsidP="007950AF">
      <w:pPr>
        <w:pStyle w:val="a3"/>
      </w:pPr>
      <w:r w:rsidRPr="00C73C58">
        <w:t xml:space="preserve">Full Text: </w:t>
      </w:r>
      <w:hyperlink r:id="rId956" w:history="1">
        <w:r w:rsidRPr="0005324C">
          <w:rPr>
            <w:rStyle w:val="a5"/>
          </w:rPr>
          <w:t>2012\Com Den Ora Epi40, 36.pdf</w:t>
        </w:r>
      </w:hyperlink>
    </w:p>
    <w:p w:rsidR="007950AF" w:rsidRDefault="007950AF" w:rsidP="007950AF">
      <w:pPr>
        <w:pStyle w:val="a3"/>
        <w:rPr>
          <w:kern w:val="0"/>
        </w:rPr>
      </w:pPr>
      <w:r>
        <w:rPr>
          <w:kern w:val="0"/>
        </w:rPr>
        <w:t>Abstract: Objectives: Time-to-event methods are used in multivariate data analysis to describe</w:t>
      </w:r>
      <w:r w:rsidR="003A1917">
        <w:rPr>
          <w:kern w:val="0"/>
        </w:rPr>
        <w:t xml:space="preserve"> the </w:t>
      </w:r>
      <w:r>
        <w:rPr>
          <w:kern w:val="0"/>
        </w:rPr>
        <w:t>relationship between patient variables</w:t>
      </w:r>
      <w:r w:rsidR="005853A9">
        <w:rPr>
          <w:kern w:val="0"/>
        </w:rPr>
        <w:t xml:space="preserve"> and </w:t>
      </w:r>
      <w:r w:rsidR="003A1917">
        <w:rPr>
          <w:kern w:val="0"/>
        </w:rPr>
        <w:t xml:space="preserve">the </w:t>
      </w:r>
      <w:r>
        <w:rPr>
          <w:kern w:val="0"/>
        </w:rPr>
        <w:t>timing</w:t>
      </w:r>
      <w:r w:rsidR="00427468">
        <w:rPr>
          <w:kern w:val="0"/>
        </w:rPr>
        <w:t xml:space="preserve"> of </w:t>
      </w:r>
      <w:r>
        <w:rPr>
          <w:kern w:val="0"/>
        </w:rPr>
        <w:t>an outcome event</w:t>
      </w:r>
      <w:r w:rsidR="00A37C1D">
        <w:rPr>
          <w:kern w:val="0"/>
        </w:rPr>
        <w:t>. The</w:t>
      </w:r>
      <w:r w:rsidR="003A1917">
        <w:rPr>
          <w:kern w:val="0"/>
        </w:rPr>
        <w:t xml:space="preserve"> </w:t>
      </w:r>
      <w:r>
        <w:rPr>
          <w:kern w:val="0"/>
        </w:rPr>
        <w:t>aims</w:t>
      </w:r>
      <w:r w:rsidR="00427468">
        <w:rPr>
          <w:kern w:val="0"/>
        </w:rPr>
        <w:t xml:space="preserve"> of </w:t>
      </w:r>
      <w:r>
        <w:rPr>
          <w:kern w:val="0"/>
        </w:rPr>
        <w:t>this study were to evaluate</w:t>
      </w:r>
      <w:r w:rsidR="003A1917">
        <w:rPr>
          <w:kern w:val="0"/>
        </w:rPr>
        <w:t xml:space="preserve"> the </w:t>
      </w:r>
      <w:r>
        <w:rPr>
          <w:kern w:val="0"/>
        </w:rPr>
        <w:t>reporting</w:t>
      </w:r>
      <w:r w:rsidR="00427468">
        <w:rPr>
          <w:kern w:val="0"/>
        </w:rPr>
        <w:t xml:space="preserve"> of </w:t>
      </w:r>
      <w:r>
        <w:rPr>
          <w:kern w:val="0"/>
        </w:rPr>
        <w:t>statistical techniques</w:t>
      </w:r>
      <w:r w:rsidR="005853A9">
        <w:rPr>
          <w:kern w:val="0"/>
        </w:rPr>
        <w:t xml:space="preserve"> and </w:t>
      </w:r>
      <w:r>
        <w:rPr>
          <w:kern w:val="0"/>
        </w:rPr>
        <w:t>results in dental research papers with special reference to time-to-event (TTE) methods</w:t>
      </w:r>
      <w:r w:rsidR="005853A9">
        <w:rPr>
          <w:kern w:val="0"/>
        </w:rPr>
        <w:t xml:space="preserve"> and </w:t>
      </w:r>
      <w:r>
        <w:rPr>
          <w:kern w:val="0"/>
        </w:rPr>
        <w:t>to create guidelines for</w:t>
      </w:r>
      <w:r w:rsidR="003A1917">
        <w:rPr>
          <w:kern w:val="0"/>
        </w:rPr>
        <w:t xml:space="preserve"> the </w:t>
      </w:r>
      <w:r>
        <w:rPr>
          <w:kern w:val="0"/>
        </w:rPr>
        <w:t>appropriate reporting</w:t>
      </w:r>
      <w:r w:rsidR="00427468">
        <w:rPr>
          <w:kern w:val="0"/>
        </w:rPr>
        <w:t xml:space="preserve"> of </w:t>
      </w:r>
      <w:r>
        <w:rPr>
          <w:kern w:val="0"/>
        </w:rPr>
        <w:t>these methods. Methods: All</w:t>
      </w:r>
      <w:r w:rsidR="003A1917">
        <w:rPr>
          <w:kern w:val="0"/>
        </w:rPr>
        <w:t xml:space="preserve"> the </w:t>
      </w:r>
      <w:r>
        <w:rPr>
          <w:kern w:val="0"/>
        </w:rPr>
        <w:t>original research reports published in five dental journals in 1996, 2001, 2005, 2006,</w:t>
      </w:r>
      <w:r w:rsidR="005853A9">
        <w:rPr>
          <w:kern w:val="0"/>
        </w:rPr>
        <w:t xml:space="preserve"> and </w:t>
      </w:r>
      <w:r>
        <w:rPr>
          <w:kern w:val="0"/>
        </w:rPr>
        <w:t>2007 were reviewed</w:t>
      </w:r>
      <w:r w:rsidR="00A37C1D">
        <w:rPr>
          <w:kern w:val="0"/>
        </w:rPr>
        <w:t>. The</w:t>
      </w:r>
      <w:r w:rsidR="003A1917">
        <w:rPr>
          <w:kern w:val="0"/>
        </w:rPr>
        <w:t xml:space="preserve"> </w:t>
      </w:r>
      <w:r>
        <w:rPr>
          <w:kern w:val="0"/>
        </w:rPr>
        <w:t>evaluation covered 1985 articles that were based on</w:t>
      </w:r>
      <w:r w:rsidR="003A1917">
        <w:rPr>
          <w:kern w:val="0"/>
        </w:rPr>
        <w:t xml:space="preserve"> the </w:t>
      </w:r>
      <w:r>
        <w:rPr>
          <w:kern w:val="0"/>
        </w:rPr>
        <w:t>systematic collection</w:t>
      </w:r>
      <w:r w:rsidR="005853A9">
        <w:rPr>
          <w:kern w:val="0"/>
        </w:rPr>
        <w:t xml:space="preserve"> and </w:t>
      </w:r>
      <w:r>
        <w:rPr>
          <w:kern w:val="0"/>
        </w:rPr>
        <w:t>statistical analysis</w:t>
      </w:r>
      <w:r w:rsidR="00427468">
        <w:rPr>
          <w:kern w:val="0"/>
        </w:rPr>
        <w:t xml:space="preserve"> of </w:t>
      </w:r>
      <w:r>
        <w:rPr>
          <w:kern w:val="0"/>
        </w:rPr>
        <w:t>research data. Differences between TTE approaches</w:t>
      </w:r>
      <w:r w:rsidR="005853A9">
        <w:rPr>
          <w:kern w:val="0"/>
        </w:rPr>
        <w:t xml:space="preserve"> and </w:t>
      </w:r>
      <w:r>
        <w:rPr>
          <w:kern w:val="0"/>
        </w:rPr>
        <w:t>others were assessed in terms</w:t>
      </w:r>
      <w:r w:rsidR="00427468">
        <w:rPr>
          <w:kern w:val="0"/>
        </w:rPr>
        <w:t xml:space="preserve"> of </w:t>
      </w:r>
      <w:r w:rsidR="003A1917">
        <w:rPr>
          <w:kern w:val="0"/>
        </w:rPr>
        <w:t xml:space="preserve">the </w:t>
      </w:r>
      <w:r>
        <w:rPr>
          <w:kern w:val="0"/>
        </w:rPr>
        <w:t>justification for</w:t>
      </w:r>
      <w:r w:rsidR="003A1917">
        <w:rPr>
          <w:kern w:val="0"/>
        </w:rPr>
        <w:t xml:space="preserve"> the </w:t>
      </w:r>
      <w:r>
        <w:rPr>
          <w:kern w:val="0"/>
        </w:rPr>
        <w:t>number</w:t>
      </w:r>
      <w:r w:rsidR="00427468">
        <w:rPr>
          <w:kern w:val="0"/>
        </w:rPr>
        <w:t xml:space="preserve"> of </w:t>
      </w:r>
      <w:r>
        <w:rPr>
          <w:kern w:val="0"/>
        </w:rPr>
        <w:t>cases, description</w:t>
      </w:r>
      <w:r w:rsidR="00427468">
        <w:rPr>
          <w:kern w:val="0"/>
        </w:rPr>
        <w:t xml:space="preserve"> of </w:t>
      </w:r>
      <w:r>
        <w:rPr>
          <w:kern w:val="0"/>
        </w:rPr>
        <w:t>procedures, statistical references, software used,</w:t>
      </w:r>
      <w:r w:rsidR="005853A9">
        <w:rPr>
          <w:kern w:val="0"/>
        </w:rPr>
        <w:t xml:space="preserve"> and </w:t>
      </w:r>
      <w:r>
        <w:rPr>
          <w:kern w:val="0"/>
        </w:rPr>
        <w:t>statistical figures</w:t>
      </w:r>
      <w:r w:rsidR="005853A9">
        <w:rPr>
          <w:kern w:val="0"/>
        </w:rPr>
        <w:t xml:space="preserve"> and </w:t>
      </w:r>
      <w:r>
        <w:rPr>
          <w:kern w:val="0"/>
        </w:rPr>
        <w:t>tables provided. Results: Fifty-six papers (2.8%</w:t>
      </w:r>
      <w:r w:rsidR="00427468">
        <w:rPr>
          <w:kern w:val="0"/>
        </w:rPr>
        <w:t xml:space="preserve"> of </w:t>
      </w:r>
      <w:r w:rsidR="003A1917">
        <w:rPr>
          <w:kern w:val="0"/>
        </w:rPr>
        <w:t xml:space="preserve">the </w:t>
      </w:r>
      <w:r>
        <w:rPr>
          <w:kern w:val="0"/>
        </w:rPr>
        <w:t>total) used time-to-event methods,</w:t>
      </w:r>
      <w:r w:rsidR="003A1917">
        <w:rPr>
          <w:kern w:val="0"/>
        </w:rPr>
        <w:t xml:space="preserve"> the </w:t>
      </w:r>
      <w:r>
        <w:rPr>
          <w:kern w:val="0"/>
        </w:rPr>
        <w:t>frequency</w:t>
      </w:r>
      <w:r w:rsidR="00427468">
        <w:rPr>
          <w:kern w:val="0"/>
        </w:rPr>
        <w:t xml:space="preserve"> of </w:t>
      </w:r>
      <w:r>
        <w:rPr>
          <w:kern w:val="0"/>
        </w:rPr>
        <w:t>which increased slightly from 1996 to 2007 (P = 0.061). Statistical procedures were described more extensively in</w:t>
      </w:r>
      <w:r w:rsidR="003A1917">
        <w:rPr>
          <w:kern w:val="0"/>
        </w:rPr>
        <w:t xml:space="preserve"> the </w:t>
      </w:r>
      <w:r>
        <w:rPr>
          <w:kern w:val="0"/>
        </w:rPr>
        <w:t>papers, which used TTE methods. Reporting</w:t>
      </w:r>
      <w:r w:rsidR="00427468">
        <w:rPr>
          <w:kern w:val="0"/>
        </w:rPr>
        <w:t xml:space="preserve"> of </w:t>
      </w:r>
      <w:r w:rsidR="003A1917">
        <w:rPr>
          <w:kern w:val="0"/>
        </w:rPr>
        <w:t xml:space="preserve">the </w:t>
      </w:r>
      <w:r>
        <w:rPr>
          <w:kern w:val="0"/>
        </w:rPr>
        <w:t>statistical methodology in papers using other methods was in general inadequate. Conclusions: TTE methods are underused in dental research. Authors could well take heed</w:t>
      </w:r>
      <w:r w:rsidR="00427468">
        <w:rPr>
          <w:kern w:val="0"/>
        </w:rPr>
        <w:t xml:space="preserve"> of </w:t>
      </w:r>
      <w:r>
        <w:rPr>
          <w:kern w:val="0"/>
        </w:rPr>
        <w:t>these results when designing their research, so as to make more use</w:t>
      </w:r>
      <w:r w:rsidR="00427468">
        <w:rPr>
          <w:kern w:val="0"/>
        </w:rPr>
        <w:t xml:space="preserve"> of </w:t>
      </w:r>
      <w:r>
        <w:rPr>
          <w:kern w:val="0"/>
        </w:rPr>
        <w:t>such methods</w:t>
      </w:r>
      <w:r w:rsidR="005853A9">
        <w:rPr>
          <w:kern w:val="0"/>
        </w:rPr>
        <w:t xml:space="preserve"> and </w:t>
      </w:r>
      <w:r>
        <w:rPr>
          <w:kern w:val="0"/>
        </w:rPr>
        <w:t>to present</w:t>
      </w:r>
      <w:r w:rsidR="003A1917">
        <w:rPr>
          <w:kern w:val="0"/>
        </w:rPr>
        <w:t xml:space="preserve"> the </w:t>
      </w:r>
      <w:r>
        <w:rPr>
          <w:kern w:val="0"/>
        </w:rPr>
        <w:t>results in a manner that is in line with</w:t>
      </w:r>
      <w:r w:rsidR="003A1917">
        <w:rPr>
          <w:kern w:val="0"/>
        </w:rPr>
        <w:t xml:space="preserve"> the </w:t>
      </w:r>
      <w:r>
        <w:rPr>
          <w:kern w:val="0"/>
        </w:rPr>
        <w:t>policy</w:t>
      </w:r>
      <w:r w:rsidR="005853A9">
        <w:rPr>
          <w:kern w:val="0"/>
        </w:rPr>
        <w:t xml:space="preserve"> and </w:t>
      </w:r>
      <w:r>
        <w:rPr>
          <w:kern w:val="0"/>
        </w:rPr>
        <w:t>presentation</w:t>
      </w:r>
      <w:r w:rsidR="00427468">
        <w:rPr>
          <w:kern w:val="0"/>
        </w:rPr>
        <w:t xml:space="preserve"> of </w:t>
      </w:r>
      <w:r w:rsidR="003A1917">
        <w:rPr>
          <w:kern w:val="0"/>
        </w:rPr>
        <w:t xml:space="preserve">the </w:t>
      </w:r>
      <w:r>
        <w:rPr>
          <w:kern w:val="0"/>
        </w:rPr>
        <w:t>leading dental journals. Authors could also improve their statistical reporting with</w:t>
      </w:r>
      <w:r w:rsidR="003A1917">
        <w:rPr>
          <w:kern w:val="0"/>
        </w:rPr>
        <w:t xml:space="preserve"> </w:t>
      </w:r>
      <w:r w:rsidR="003A1917">
        <w:rPr>
          <w:kern w:val="0"/>
        </w:rPr>
        <w:lastRenderedPageBreak/>
        <w:t xml:space="preserve">the </w:t>
      </w:r>
      <w:r>
        <w:rPr>
          <w:kern w:val="0"/>
        </w:rPr>
        <w:t>help</w:t>
      </w:r>
      <w:r w:rsidR="00427468">
        <w:rPr>
          <w:kern w:val="0"/>
        </w:rPr>
        <w:t xml:space="preserve"> of </w:t>
      </w:r>
      <w:r w:rsidR="003A1917">
        <w:rPr>
          <w:kern w:val="0"/>
        </w:rPr>
        <w:t xml:space="preserve">the </w:t>
      </w:r>
      <w:r>
        <w:rPr>
          <w:kern w:val="0"/>
        </w:rPr>
        <w:t>guidelines presented here.</w:t>
      </w:r>
    </w:p>
    <w:p w:rsidR="007950AF" w:rsidRDefault="007950AF" w:rsidP="007950AF">
      <w:pPr>
        <w:pStyle w:val="a3"/>
        <w:rPr>
          <w:kern w:val="0"/>
        </w:rPr>
      </w:pPr>
      <w:r>
        <w:rPr>
          <w:kern w:val="0"/>
        </w:rPr>
        <w:t>Keywords: Analysis, Articles, Bibliometrics, Collection, Comparison, Data, Data Analysis, Evaluation, General, Guidelines, Journals, Methodology, Methods, Multivariate, Outcome, P, Papers, Policy, Presentation, Procedures, Reference, References, Regression, Reporting, Research, SI, Software, Statistical Analysis, Statistical-Methods, Statistics, Survival Analysis, Techniques, Time-to-Event Methods, Timing</w:t>
      </w:r>
    </w:p>
    <w:p w:rsidR="003474F2" w:rsidRPr="001A3D2B" w:rsidRDefault="003474F2" w:rsidP="003474F2">
      <w:pPr>
        <w:pStyle w:val="1"/>
      </w:pPr>
      <w:r w:rsidRPr="001A3D2B">
        <w:br w:type="page"/>
      </w:r>
      <w:bookmarkStart w:id="355" w:name="_Toc420815079"/>
      <w:r w:rsidRPr="001A3D2B">
        <w:lastRenderedPageBreak/>
        <w:t>Title: Comparative Biochemistry</w:t>
      </w:r>
      <w:r w:rsidR="005853A9">
        <w:t xml:space="preserve"> and </w:t>
      </w:r>
      <w:r w:rsidRPr="001A3D2B">
        <w:t>Physiology C-Toxicology &amp; Pharmacology</w:t>
      </w:r>
      <w:bookmarkEnd w:id="355"/>
    </w:p>
    <w:p w:rsidR="003474F2" w:rsidRPr="001A3D2B" w:rsidRDefault="003474F2" w:rsidP="003474F2">
      <w:pPr>
        <w:pStyle w:val="12"/>
      </w:pPr>
      <w:r w:rsidRPr="001A3D2B">
        <w:t xml:space="preserve">Full Journal Title: </w:t>
      </w:r>
      <w:hyperlink r:id="rId957" w:history="1">
        <w:r w:rsidRPr="001A3D2B">
          <w:rPr>
            <w:rStyle w:val="a5"/>
            <w:iCs/>
          </w:rPr>
          <w:t>Comparative Biochemistry</w:t>
        </w:r>
        <w:r w:rsidR="005853A9">
          <w:rPr>
            <w:rStyle w:val="a5"/>
            <w:iCs/>
          </w:rPr>
          <w:t xml:space="preserve"> and </w:t>
        </w:r>
        <w:r w:rsidRPr="001A3D2B">
          <w:rPr>
            <w:rStyle w:val="a5"/>
            <w:iCs/>
          </w:rPr>
          <w:t>Physiology C-Toxicology &amp; Pharmacology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Hermes-Lima, M., Alencastro, A.C.R., Santos, N.C.F., Navas, C.A.</w:t>
      </w:r>
      <w:r w:rsidR="005853A9">
        <w:t xml:space="preserve"> and </w:t>
      </w:r>
      <w:r w:rsidRPr="001A3D2B">
        <w:t>Beleboni, R.O. (2007</w:t>
      </w:r>
      <w:r w:rsidR="00F42EAC">
        <w:t>), The</w:t>
      </w:r>
      <w:r w:rsidR="003A1917">
        <w:t xml:space="preserve"> </w:t>
      </w:r>
      <w:r w:rsidRPr="001A3D2B">
        <w:t>relevance</w:t>
      </w:r>
      <w:r w:rsidR="005853A9">
        <w:t xml:space="preserve"> and </w:t>
      </w:r>
      <w:r w:rsidRPr="001A3D2B">
        <w:t>recognition</w:t>
      </w:r>
      <w:r w:rsidR="00427468">
        <w:t xml:space="preserve"> of </w:t>
      </w:r>
      <w:r w:rsidRPr="001A3D2B">
        <w:t>Latin American science. Introduction to</w:t>
      </w:r>
      <w:r w:rsidR="003A1917">
        <w:t xml:space="preserve"> the </w:t>
      </w:r>
      <w:r w:rsidRPr="001A3D2B">
        <w:t>fourth issue</w:t>
      </w:r>
      <w:r w:rsidR="00427468">
        <w:t xml:space="preserve"> of </w:t>
      </w:r>
      <w:r w:rsidRPr="001A3D2B">
        <w:t xml:space="preserve">CBP-Latin America. </w:t>
      </w:r>
      <w:r w:rsidRPr="001A3D2B">
        <w:rPr>
          <w:i/>
          <w:iCs/>
        </w:rPr>
        <w:t>Comparative Biochemistry</w:t>
      </w:r>
      <w:r w:rsidR="005853A9">
        <w:rPr>
          <w:i/>
          <w:iCs/>
        </w:rPr>
        <w:t xml:space="preserve"> and </w:t>
      </w:r>
      <w:r w:rsidRPr="001A3D2B">
        <w:rPr>
          <w:i/>
          <w:iCs/>
        </w:rPr>
        <w:t>Physiology C-Toxicology &amp; Pharmacology</w:t>
      </w:r>
      <w:r w:rsidRPr="001A3D2B">
        <w:t xml:space="preserve">, </w:t>
      </w:r>
      <w:r w:rsidRPr="001A3D2B">
        <w:rPr>
          <w:b/>
          <w:bCs/>
        </w:rPr>
        <w:t>146</w:t>
      </w:r>
      <w:r w:rsidRPr="001A3D2B">
        <w:t>, 1-9.</w:t>
      </w:r>
    </w:p>
    <w:p w:rsidR="003474F2" w:rsidRPr="001A3D2B" w:rsidRDefault="003474F2" w:rsidP="003474F2">
      <w:pPr>
        <w:pStyle w:val="a3"/>
      </w:pPr>
      <w:r w:rsidRPr="001A3D2B">
        <w:t xml:space="preserve">Full Text: </w:t>
      </w:r>
      <w:hyperlink r:id="rId958" w:history="1">
        <w:r w:rsidRPr="001A3D2B">
          <w:rPr>
            <w:rStyle w:val="a5"/>
          </w:rPr>
          <w:t>2007\Com Bio Phy C-Tox Pha146, 1.pdf</w:t>
        </w:r>
      </w:hyperlink>
    </w:p>
    <w:p w:rsidR="003474F2" w:rsidRPr="001A3D2B" w:rsidRDefault="003474F2" w:rsidP="003474F2">
      <w:pPr>
        <w:pStyle w:val="a3"/>
      </w:pPr>
      <w:r w:rsidRPr="001A3D2B">
        <w:t>Abstract: Although</w:t>
      </w:r>
      <w:r w:rsidR="003A1917">
        <w:t xml:space="preserve"> the </w:t>
      </w:r>
      <w:r w:rsidRPr="001A3D2B">
        <w:t>number</w:t>
      </w:r>
      <w:r w:rsidR="00427468">
        <w:t xml:space="preserve"> of </w:t>
      </w:r>
      <w:r w:rsidRPr="001A3D2B">
        <w:t>science</w:t>
      </w:r>
      <w:r w:rsidR="005853A9">
        <w:t xml:space="preserve"> and </w:t>
      </w:r>
      <w:r w:rsidRPr="001A3D2B">
        <w:t>engineering (S&amp;E) publications produced in Latin America grew exponentially over</w:t>
      </w:r>
      <w:r w:rsidR="003A1917">
        <w:t xml:space="preserve"> the </w:t>
      </w:r>
      <w:r w:rsidRPr="001A3D2B">
        <w:t>past 15 years,</w:t>
      </w:r>
      <w:r w:rsidR="003A1917">
        <w:t xml:space="preserve"> the </w:t>
      </w:r>
      <w:r w:rsidRPr="001A3D2B">
        <w:t>investment in science</w:t>
      </w:r>
      <w:r w:rsidR="005853A9">
        <w:t xml:space="preserve"> and </w:t>
      </w:r>
      <w:r w:rsidR="003A1917">
        <w:t xml:space="preserve">the </w:t>
      </w:r>
      <w:r w:rsidRPr="001A3D2B">
        <w:t>number</w:t>
      </w:r>
      <w:r w:rsidR="00427468">
        <w:t xml:space="preserve"> of </w:t>
      </w:r>
      <w:r w:rsidRPr="001A3D2B">
        <w:t>full time researchers did not grow at a comparable rate. Moreover, Latin American science is handicapped by constrained resources</w:t>
      </w:r>
      <w:r w:rsidR="005853A9">
        <w:t xml:space="preserve"> and </w:t>
      </w:r>
      <w:r w:rsidRPr="001A3D2B">
        <w:t>access to information, higher costs</w:t>
      </w:r>
      <w:r w:rsidR="00427468">
        <w:t xml:space="preserve"> of </w:t>
      </w:r>
      <w:r w:rsidRPr="001A3D2B">
        <w:t>research, English-language barriers</w:t>
      </w:r>
      <w:r w:rsidR="005853A9">
        <w:t xml:space="preserve"> and </w:t>
      </w:r>
      <w:r w:rsidRPr="001A3D2B">
        <w:t>brain-drain. One possible explanation for</w:t>
      </w:r>
      <w:r w:rsidR="003A1917">
        <w:t xml:space="preserve"> the </w:t>
      </w:r>
      <w:r w:rsidRPr="001A3D2B">
        <w:t>observed rise in paper numbers, therefore, is that Latin American scientists have increased production, perhaps at</w:t>
      </w:r>
      <w:r w:rsidR="003A1917">
        <w:t xml:space="preserve"> the </w:t>
      </w:r>
      <w:r w:rsidRPr="001A3D2B">
        <w:t>cost</w:t>
      </w:r>
      <w:r w:rsidR="00427468">
        <w:t xml:space="preserve"> of </w:t>
      </w:r>
      <w:r w:rsidRPr="001A3D2B">
        <w:t>quality. As an alternative, Latin America authors may have increased production while maintaining quality (e.g., through creativity, intense work</w:t>
      </w:r>
      <w:r w:rsidR="005853A9">
        <w:t xml:space="preserve"> and </w:t>
      </w:r>
      <w:r w:rsidRPr="001A3D2B">
        <w:t>enhancement</w:t>
      </w:r>
      <w:r w:rsidR="00427468">
        <w:t xml:space="preserve"> of </w:t>
      </w:r>
      <w:r w:rsidRPr="001A3D2B">
        <w:t>international cooperation). Our aim is to verify which</w:t>
      </w:r>
      <w:r w:rsidR="00427468">
        <w:t xml:space="preserve"> of </w:t>
      </w:r>
      <w:r w:rsidRPr="001A3D2B">
        <w:t>these interpretations best applies for</w:t>
      </w:r>
      <w:r w:rsidR="003A1917">
        <w:t xml:space="preserve"> the </w:t>
      </w:r>
      <w:r w:rsidRPr="001A3D2B">
        <w:t>field</w:t>
      </w:r>
      <w:r w:rsidR="00427468">
        <w:t xml:space="preserve"> of </w:t>
      </w:r>
      <w:r w:rsidRPr="001A3D2B">
        <w:t>comparative biochemistry</w:t>
      </w:r>
      <w:r w:rsidR="005853A9">
        <w:t xml:space="preserve"> and </w:t>
      </w:r>
      <w:r w:rsidRPr="001A3D2B">
        <w:t>physiology (CBP). To achieve this goal, we compared</w:t>
      </w:r>
      <w:r w:rsidR="003A1917">
        <w:t xml:space="preserve"> the </w:t>
      </w:r>
      <w:r w:rsidRPr="001A3D2B">
        <w:t>impact indicators</w:t>
      </w:r>
      <w:r w:rsidR="00427468">
        <w:t xml:space="preserve"> of </w:t>
      </w:r>
      <w:r w:rsidRPr="001A3D2B">
        <w:t>two randomly selected samples</w:t>
      </w:r>
      <w:r w:rsidR="00427468">
        <w:t xml:space="preserve"> of </w:t>
      </w:r>
      <w:r w:rsidRPr="001A3D2B">
        <w:t>authors (n = 20; all with 8 to 30 years</w:t>
      </w:r>
      <w:r w:rsidR="00427468">
        <w:t xml:space="preserve"> of </w:t>
      </w:r>
      <w:r w:rsidRPr="001A3D2B">
        <w:t>scientific production), one from Latin America</w:t>
      </w:r>
      <w:r w:rsidR="005853A9">
        <w:t xml:space="preserve"> and </w:t>
      </w:r>
      <w:r w:rsidRPr="001A3D2B">
        <w:t>another from developed countries. For additional comparison, we included also a group</w:t>
      </w:r>
      <w:r w:rsidR="00427468">
        <w:t xml:space="preserve"> of </w:t>
      </w:r>
      <w:r w:rsidRPr="001A3D2B">
        <w:t>twelve highly cited</w:t>
      </w:r>
      <w:r w:rsidR="005853A9">
        <w:t xml:space="preserve"> and </w:t>
      </w:r>
      <w:r w:rsidRPr="001A3D2B">
        <w:t>recognized CBP researchers. We used Hirsch</w:t>
      </w:r>
      <w:r w:rsidR="0071223E">
        <w:t>’</w:t>
      </w:r>
      <w:r w:rsidR="00C13DDC">
        <w:t>s</w:t>
      </w:r>
      <w:r w:rsidRPr="001A3D2B">
        <w:t xml:space="preserve"> indexes (h</w:t>
      </w:r>
      <w:r w:rsidR="005853A9">
        <w:t xml:space="preserve"> and </w:t>
      </w:r>
      <w:r w:rsidRPr="001A3D2B">
        <w:t>m) as main indicators</w:t>
      </w:r>
      <w:r w:rsidR="00427468">
        <w:t xml:space="preserve"> of </w:t>
      </w:r>
      <w:r w:rsidRPr="001A3D2B">
        <w:t>performance, but compared also classical bibliometrie indexes such as total number</w:t>
      </w:r>
      <w:r w:rsidR="00427468">
        <w:t xml:space="preserve"> of </w:t>
      </w:r>
      <w:r w:rsidRPr="001A3D2B">
        <w:t>citations, total number</w:t>
      </w:r>
      <w:r w:rsidR="00427468">
        <w:t xml:space="preserve"> of </w:t>
      </w:r>
      <w:r w:rsidRPr="001A3D2B">
        <w:t>papers</w:t>
      </w:r>
      <w:r w:rsidR="005853A9">
        <w:t xml:space="preserve"> and </w:t>
      </w:r>
      <w:r w:rsidR="003A1917">
        <w:t xml:space="preserve">the </w:t>
      </w:r>
      <w:r w:rsidRPr="001A3D2B">
        <w:t>ratio</w:t>
      </w:r>
      <w:r w:rsidR="00427468">
        <w:t xml:space="preserve"> of </w:t>
      </w:r>
      <w:r w:rsidRPr="001A3D2B">
        <w:t>citation per paper (CpP)</w:t>
      </w:r>
      <w:r w:rsidR="00A37C1D">
        <w:t>. The</w:t>
      </w:r>
      <w:r w:rsidR="003A1917">
        <w:t xml:space="preserve"> </w:t>
      </w:r>
      <w:r w:rsidRPr="001A3D2B">
        <w:t>mean</w:t>
      </w:r>
      <w:r w:rsidR="00427468">
        <w:t xml:space="preserve"> of </w:t>
      </w:r>
      <w:r w:rsidRPr="001A3D2B">
        <w:t xml:space="preserve">most </w:t>
      </w:r>
      <w:r w:rsidRPr="001A3D2B">
        <w:lastRenderedPageBreak/>
        <w:t>indexes were not significantly different between</w:t>
      </w:r>
      <w:r w:rsidR="003A1917">
        <w:t xml:space="preserve"> the </w:t>
      </w:r>
      <w:r w:rsidRPr="001A3D2B">
        <w:t>two groups</w:t>
      </w:r>
      <w:r w:rsidR="00427468">
        <w:t xml:space="preserve"> of </w:t>
      </w:r>
      <w:r w:rsidRPr="001A3D2B">
        <w:t>regular CBP researchers, except for CpP, which was 1.7-fold higher in authors from developed countries. As expected, both groups had mean indicators well below those from</w:t>
      </w:r>
      <w:r w:rsidR="003A1917">
        <w:t xml:space="preserve"> the </w:t>
      </w:r>
      <w:r w:rsidRPr="001A3D2B">
        <w:t>sample</w:t>
      </w:r>
      <w:r w:rsidR="00427468">
        <w:t xml:space="preserve"> of </w:t>
      </w:r>
      <w:r w:rsidRPr="001A3D2B">
        <w:t>highly cited researchers (average h values for top</w:t>
      </w:r>
      <w:r w:rsidR="005853A9">
        <w:t xml:space="preserve"> and </w:t>
      </w:r>
      <w:r w:rsidRPr="001A3D2B">
        <w:t>regular CBP researchers were 37.3±3.0</w:t>
      </w:r>
      <w:r w:rsidR="005853A9">
        <w:t xml:space="preserve"> and </w:t>
      </w:r>
      <w:r w:rsidRPr="001A3D2B">
        <w:t>11.4±0.9, respectively). Considering that Hirsch</w:t>
      </w:r>
      <w:r w:rsidR="0071223E">
        <w:t>’</w:t>
      </w:r>
      <w:r w:rsidR="00C13DDC">
        <w:t>s</w:t>
      </w:r>
      <w:r w:rsidRPr="001A3D2B">
        <w:t xml:space="preserve"> indexes are more suitable indicators</w:t>
      </w:r>
      <w:r w:rsidR="00427468">
        <w:t xml:space="preserve"> of </w:t>
      </w:r>
      <w:r w:rsidRPr="001A3D2B">
        <w:t>performance than CpP, we conclude that Latin American CBP researchers, despite handicaps, perform similarly to those in developed countries</w:t>
      </w:r>
      <w:r w:rsidR="00A37C1D">
        <w:t>. The</w:t>
      </w:r>
      <w:r w:rsidR="003A1917">
        <w:t xml:space="preserve"> </w:t>
      </w:r>
      <w:r w:rsidRPr="001A3D2B">
        <w:t>forth special issue</w:t>
      </w:r>
      <w:r w:rsidR="00427468">
        <w:t xml:space="preserve"> of </w:t>
      </w:r>
      <w:r w:rsidRPr="001A3D2B">
        <w:t>Comparative Biochemistry</w:t>
      </w:r>
      <w:r w:rsidR="005853A9">
        <w:t xml:space="preserve"> and </w:t>
      </w:r>
      <w:r w:rsidRPr="001A3D2B">
        <w:t>Physiology (</w:t>
      </w:r>
      <w:r w:rsidR="00B5188C">
        <w:t>“</w:t>
      </w:r>
      <w:r w:rsidRPr="001A3D2B">
        <w:t>The Face</w:t>
      </w:r>
      <w:r w:rsidR="00427468">
        <w:t xml:space="preserve"> of </w:t>
      </w:r>
      <w:r w:rsidRPr="001A3D2B">
        <w:t>Latin American Comparative Biochemistry</w:t>
      </w:r>
      <w:r w:rsidR="005853A9">
        <w:t xml:space="preserve"> and </w:t>
      </w:r>
      <w:r w:rsidRPr="001A3D2B">
        <w:t>Physiology</w:t>
      </w:r>
      <w:r w:rsidR="00B5188C">
        <w:t>”</w:t>
      </w:r>
      <w:r w:rsidRPr="001A3D2B">
        <w:t>) celebrates, with 24 new manuscripts from Brazil, Mexico, Argentina</w:t>
      </w:r>
      <w:r w:rsidR="005853A9">
        <w:t xml:space="preserve"> and </w:t>
      </w:r>
      <w:r w:rsidRPr="001A3D2B">
        <w:t>Chile,</w:t>
      </w:r>
      <w:r w:rsidR="003A1917">
        <w:t xml:space="preserve"> the </w:t>
      </w:r>
      <w:r w:rsidRPr="001A3D2B">
        <w:t>diversity</w:t>
      </w:r>
      <w:r w:rsidR="00427468">
        <w:t xml:space="preserve"> of </w:t>
      </w:r>
      <w:r w:rsidRPr="001A3D2B">
        <w:t>biological science in Latin America. (c) 2007 Elsevier Inc. All rights reserved.</w:t>
      </w:r>
    </w:p>
    <w:p w:rsidR="003474F2" w:rsidRPr="001A3D2B" w:rsidRDefault="003474F2" w:rsidP="003474F2">
      <w:pPr>
        <w:pStyle w:val="a3"/>
      </w:pPr>
      <w:r w:rsidRPr="001A3D2B">
        <w:t>Keywords: Access, Access To Information, Alternative, Argentina, Barriers, Biochemistry, Biological, Brazil, Chile, Citation, Citations, Comparison, Cooperation, Cost, Costs, Creativity, Diversity, Engineering, Explanation, Field, Impact, Indicators, Information, International, International Cooperation, Latin America, Mexico, Papers, Performance, Physiology, Publications, Quality, Relevance, Research, Rights, Science, Scientific Production, Work</w:t>
      </w:r>
    </w:p>
    <w:p w:rsidR="003474F2" w:rsidRPr="001A3D2B" w:rsidRDefault="003474F2" w:rsidP="003474F2">
      <w:pPr>
        <w:pStyle w:val="1"/>
      </w:pPr>
      <w:r w:rsidRPr="001A3D2B">
        <w:br w:type="page"/>
      </w:r>
      <w:bookmarkStart w:id="356" w:name="_Toc420815080"/>
      <w:r w:rsidRPr="001A3D2B">
        <w:lastRenderedPageBreak/>
        <w:t>Title: Comparative Medicine</w:t>
      </w:r>
      <w:bookmarkEnd w:id="356"/>
    </w:p>
    <w:p w:rsidR="003474F2" w:rsidRPr="001A3D2B" w:rsidRDefault="003474F2" w:rsidP="003474F2">
      <w:pPr>
        <w:pStyle w:val="12"/>
      </w:pPr>
      <w:r w:rsidRPr="001A3D2B">
        <w:t>Full Journal Title: Comparative Medicine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Smith, A.L. (2001), Laboratory Animal Medicine in a time</w:t>
      </w:r>
      <w:r w:rsidR="00427468">
        <w:t xml:space="preserve"> of </w:t>
      </w:r>
      <w:r w:rsidRPr="001A3D2B">
        <w:t xml:space="preserve">crisis. </w:t>
      </w:r>
      <w:r w:rsidRPr="001A3D2B">
        <w:rPr>
          <w:i/>
          <w:iCs/>
        </w:rPr>
        <w:t>Comparative Medicine</w:t>
      </w:r>
      <w:r w:rsidRPr="001A3D2B">
        <w:t xml:space="preserve">, </w:t>
      </w:r>
      <w:r w:rsidRPr="001A3D2B">
        <w:rPr>
          <w:b/>
          <w:bCs/>
        </w:rPr>
        <w:t>51</w:t>
      </w:r>
      <w:r w:rsidRPr="001A3D2B">
        <w:t xml:space="preserve"> (4), 290.</w:t>
      </w:r>
    </w:p>
    <w:p w:rsidR="006D0DCB" w:rsidRPr="00C73C58" w:rsidRDefault="006D0DCB" w:rsidP="006D0DCB">
      <w:pPr>
        <w:pStyle w:val="1"/>
      </w:pPr>
      <w:r w:rsidRPr="00C73C58">
        <w:br w:type="page"/>
      </w:r>
      <w:bookmarkStart w:id="357" w:name="_Toc329533091"/>
      <w:bookmarkStart w:id="358" w:name="_Toc420815081"/>
      <w:r w:rsidRPr="00C73C58">
        <w:lastRenderedPageBreak/>
        <w:t xml:space="preserve">Title: </w:t>
      </w:r>
      <w:bookmarkEnd w:id="357"/>
      <w:r>
        <w:t>Compare</w:t>
      </w:r>
      <w:r>
        <w:rPr>
          <w:rFonts w:hint="eastAsia"/>
        </w:rPr>
        <w:t xml:space="preserve">: </w:t>
      </w:r>
      <w:r>
        <w:t>A Journal</w:t>
      </w:r>
      <w:r w:rsidR="00427468">
        <w:t xml:space="preserve"> of </w:t>
      </w:r>
      <w:r>
        <w:t>Comparative Education</w:t>
      </w:r>
      <w:bookmarkEnd w:id="358"/>
    </w:p>
    <w:p w:rsidR="006D0DCB" w:rsidRPr="00C73C58" w:rsidRDefault="006D0DCB" w:rsidP="006D0DCB">
      <w:pPr>
        <w:pStyle w:val="12"/>
      </w:pPr>
      <w:r w:rsidRPr="00C73C58">
        <w:t xml:space="preserve">Full Journal Title: </w:t>
      </w:r>
      <w:r>
        <w:t>Compare</w:t>
      </w:r>
      <w:r>
        <w:rPr>
          <w:rFonts w:hint="eastAsia"/>
        </w:rPr>
        <w:t xml:space="preserve">: </w:t>
      </w:r>
      <w:r>
        <w:t>A Journal</w:t>
      </w:r>
      <w:r w:rsidR="00427468">
        <w:t xml:space="preserve"> of </w:t>
      </w:r>
      <w:r>
        <w:t>Comparative Education</w:t>
      </w:r>
    </w:p>
    <w:p w:rsidR="006D0DCB" w:rsidRPr="00C73C58" w:rsidRDefault="006D0DCB" w:rsidP="006D0DCB">
      <w:pPr>
        <w:pStyle w:val="12"/>
      </w:pPr>
      <w:r w:rsidRPr="00C73C58">
        <w:t xml:space="preserve">ISO Abbreviated Title: </w:t>
      </w:r>
    </w:p>
    <w:p w:rsidR="006D0DCB" w:rsidRPr="00C73C58" w:rsidRDefault="006D0DCB" w:rsidP="006D0DCB">
      <w:pPr>
        <w:pStyle w:val="12"/>
      </w:pPr>
      <w:r w:rsidRPr="00C73C58">
        <w:t xml:space="preserve">JCR Abbreviated Title: </w:t>
      </w:r>
    </w:p>
    <w:p w:rsidR="006D0DCB" w:rsidRPr="00C73C58" w:rsidRDefault="006D0DCB" w:rsidP="006D0DCB">
      <w:pPr>
        <w:pStyle w:val="12"/>
      </w:pPr>
      <w:r w:rsidRPr="00C73C58">
        <w:t xml:space="preserve">ISSN: </w:t>
      </w:r>
      <w:r w:rsidRPr="00206A3B">
        <w:t>0305-7925</w:t>
      </w:r>
    </w:p>
    <w:p w:rsidR="006D0DCB" w:rsidRPr="00C73C58" w:rsidRDefault="006D0DCB" w:rsidP="006D0DCB">
      <w:pPr>
        <w:pStyle w:val="12"/>
      </w:pPr>
      <w:r w:rsidRPr="00C73C58">
        <w:t xml:space="preserve">Issues/Year: </w:t>
      </w:r>
    </w:p>
    <w:p w:rsidR="006D0DCB" w:rsidRPr="00C73C58" w:rsidRDefault="006D0DCB" w:rsidP="006D0DCB">
      <w:pPr>
        <w:pStyle w:val="12"/>
      </w:pPr>
      <w:r w:rsidRPr="00C73C58">
        <w:t xml:space="preserve">Journal Country/Territory: </w:t>
      </w:r>
    </w:p>
    <w:p w:rsidR="006D0DCB" w:rsidRPr="00C73C58" w:rsidRDefault="006D0DCB" w:rsidP="006D0DCB">
      <w:pPr>
        <w:pStyle w:val="12"/>
      </w:pPr>
      <w:r w:rsidRPr="00C73C58">
        <w:t xml:space="preserve">Language: </w:t>
      </w:r>
    </w:p>
    <w:p w:rsidR="006D0DCB" w:rsidRPr="00C73C58" w:rsidRDefault="006D0DCB" w:rsidP="006D0DCB">
      <w:pPr>
        <w:pStyle w:val="12"/>
      </w:pPr>
      <w:r w:rsidRPr="00C73C58">
        <w:t xml:space="preserve">Publisher: </w:t>
      </w:r>
    </w:p>
    <w:p w:rsidR="006D0DCB" w:rsidRPr="00C73C58" w:rsidRDefault="006D0DCB" w:rsidP="006D0DCB">
      <w:pPr>
        <w:pStyle w:val="12"/>
      </w:pPr>
      <w:r w:rsidRPr="00C73C58">
        <w:t xml:space="preserve">Publisher Address: </w:t>
      </w:r>
    </w:p>
    <w:p w:rsidR="006D0DCB" w:rsidRPr="00C73C58" w:rsidRDefault="006D0DCB" w:rsidP="006D0DCB">
      <w:pPr>
        <w:pStyle w:val="12"/>
      </w:pPr>
      <w:r w:rsidRPr="00C73C58">
        <w:t>Subject Categories:</w:t>
      </w:r>
    </w:p>
    <w:p w:rsidR="006D0DCB" w:rsidRPr="00C73C58" w:rsidRDefault="006D0DCB" w:rsidP="006D0DCB">
      <w:pPr>
        <w:pStyle w:val="12"/>
      </w:pPr>
      <w:r w:rsidRPr="00C73C58">
        <w:t xml:space="preserve">: Impact Factor </w:t>
      </w:r>
    </w:p>
    <w:p w:rsidR="006D0DCB" w:rsidRPr="00C73C58" w:rsidRDefault="006D0DCB" w:rsidP="006D0DCB">
      <w:pPr>
        <w:pStyle w:val="a3"/>
      </w:pPr>
      <w:r w:rsidRPr="00C73C58">
        <w:t xml:space="preserve">? </w:t>
      </w:r>
      <w:r>
        <w:t>Woodhouse, H</w:t>
      </w:r>
      <w:r>
        <w:rPr>
          <w:rFonts w:hint="eastAsia"/>
        </w:rPr>
        <w:t>.</w:t>
      </w:r>
      <w:r>
        <w:t>R</w:t>
      </w:r>
      <w:r>
        <w:rPr>
          <w:rFonts w:hint="eastAsia"/>
        </w:rPr>
        <w:t>.</w:t>
      </w:r>
      <w:r w:rsidRPr="00C73C58">
        <w:t xml:space="preserve"> (</w:t>
      </w:r>
      <w:r>
        <w:rPr>
          <w:rFonts w:hint="eastAsia"/>
        </w:rPr>
        <w:t>1987</w:t>
      </w:r>
      <w:r w:rsidRPr="00C73C58">
        <w:t xml:space="preserve">), </w:t>
      </w:r>
      <w:r>
        <w:t>Knowledge, power</w:t>
      </w:r>
      <w:r w:rsidR="005853A9">
        <w:t xml:space="preserve"> and </w:t>
      </w:r>
      <w:r w:rsidR="003A1917">
        <w:t xml:space="preserve">the </w:t>
      </w:r>
      <w:r>
        <w:t>university in a developing</w:t>
      </w:r>
      <w:r>
        <w:rPr>
          <w:rFonts w:hint="eastAsia"/>
        </w:rPr>
        <w:t xml:space="preserve"> </w:t>
      </w:r>
      <w:r>
        <w:t>country</w:t>
      </w:r>
      <w:r>
        <w:rPr>
          <w:rFonts w:hint="eastAsia"/>
        </w:rPr>
        <w:t>:</w:t>
      </w:r>
      <w:r>
        <w:t xml:space="preserve"> Nigeria</w:t>
      </w:r>
      <w:r w:rsidR="005853A9">
        <w:t xml:space="preserve"> and </w:t>
      </w:r>
      <w:r>
        <w:t>cultural dependency</w:t>
      </w:r>
      <w:r w:rsidRPr="00C73C58">
        <w:t xml:space="preserve">. </w:t>
      </w:r>
      <w:r w:rsidRPr="00206A3B">
        <w:rPr>
          <w:i/>
        </w:rPr>
        <w:t>Compare</w:t>
      </w:r>
      <w:r>
        <w:rPr>
          <w:rFonts w:hint="eastAsia"/>
          <w:i/>
        </w:rPr>
        <w:t xml:space="preserve">: </w:t>
      </w:r>
      <w:r w:rsidRPr="00206A3B">
        <w:rPr>
          <w:i/>
        </w:rPr>
        <w:t>A Journal</w:t>
      </w:r>
      <w:r w:rsidR="00427468">
        <w:rPr>
          <w:i/>
        </w:rPr>
        <w:t xml:space="preserve"> of </w:t>
      </w:r>
      <w:r w:rsidRPr="00206A3B">
        <w:rPr>
          <w:i/>
        </w:rPr>
        <w:t>Comparative Education</w:t>
      </w:r>
      <w:r w:rsidRPr="00C73C58">
        <w:t xml:space="preserve">, </w:t>
      </w:r>
      <w:r>
        <w:rPr>
          <w:rFonts w:hint="eastAsia"/>
          <w:b/>
          <w:bCs/>
        </w:rPr>
        <w:t>17</w:t>
      </w:r>
      <w:r w:rsidRPr="00C73C58">
        <w:t xml:space="preserve"> (</w:t>
      </w:r>
      <w:r>
        <w:rPr>
          <w:rFonts w:hint="eastAsia"/>
        </w:rPr>
        <w:t>2</w:t>
      </w:r>
      <w:r w:rsidRPr="00C73C58">
        <w:t xml:space="preserve">), </w:t>
      </w:r>
      <w:r>
        <w:t>119-136</w:t>
      </w:r>
      <w:r w:rsidRPr="00C73C58">
        <w:t>.</w:t>
      </w:r>
    </w:p>
    <w:p w:rsidR="006D0DCB" w:rsidRDefault="006D0DCB" w:rsidP="006D0DCB">
      <w:pPr>
        <w:pStyle w:val="a3"/>
      </w:pPr>
      <w:r w:rsidRPr="00C73C58">
        <w:t xml:space="preserve">Full Text: </w:t>
      </w:r>
      <w:r w:rsidRPr="00206A3B">
        <w:t>1987\Compare17, 119.pdf</w:t>
      </w:r>
    </w:p>
    <w:p w:rsidR="006D0DCB" w:rsidRPr="00C73C58" w:rsidRDefault="006D0DCB" w:rsidP="006D0DCB">
      <w:pPr>
        <w:pStyle w:val="a3"/>
      </w:pPr>
      <w:r w:rsidRPr="00C73C58">
        <w:t>? Persianis, P. (2000), Conflict between centrality</w:t>
      </w:r>
      <w:r w:rsidR="005853A9">
        <w:t xml:space="preserve"> and </w:t>
      </w:r>
      <w:r w:rsidRPr="00C73C58">
        <w:t>localism</w:t>
      </w:r>
      <w:r w:rsidR="005853A9">
        <w:t xml:space="preserve"> and </w:t>
      </w:r>
      <w:r w:rsidRPr="00C73C58">
        <w:t>its impact on knowledge construction</w:t>
      </w:r>
      <w:r w:rsidR="005853A9">
        <w:t xml:space="preserve"> and </w:t>
      </w:r>
      <w:r w:rsidRPr="00C73C58">
        <w:t>legitimation in peripheral universities:</w:t>
      </w:r>
      <w:r w:rsidR="003A1917">
        <w:t xml:space="preserve"> the </w:t>
      </w:r>
      <w:r w:rsidRPr="00C73C58">
        <w:t>case</w:t>
      </w:r>
      <w:r w:rsidR="00427468">
        <w:t xml:space="preserve"> of </w:t>
      </w:r>
      <w:r w:rsidR="003A1917">
        <w:t xml:space="preserve">the </w:t>
      </w:r>
      <w:r w:rsidRPr="00C73C58">
        <w:t>university</w:t>
      </w:r>
      <w:r w:rsidR="00427468">
        <w:t xml:space="preserve"> of </w:t>
      </w:r>
      <w:r w:rsidRPr="00C73C58">
        <w:t xml:space="preserve">Cyprus. </w:t>
      </w:r>
      <w:r w:rsidRPr="00206A3B">
        <w:rPr>
          <w:i/>
        </w:rPr>
        <w:t>Compare</w:t>
      </w:r>
      <w:r>
        <w:rPr>
          <w:rFonts w:hint="eastAsia"/>
          <w:i/>
        </w:rPr>
        <w:t xml:space="preserve">: </w:t>
      </w:r>
      <w:r w:rsidRPr="00206A3B">
        <w:rPr>
          <w:i/>
        </w:rPr>
        <w:t>A Journal</w:t>
      </w:r>
      <w:r w:rsidR="00427468">
        <w:rPr>
          <w:i/>
        </w:rPr>
        <w:t xml:space="preserve"> of </w:t>
      </w:r>
      <w:r w:rsidRPr="00206A3B">
        <w:rPr>
          <w:i/>
        </w:rPr>
        <w:t>Comparative Education</w:t>
      </w:r>
      <w:r w:rsidRPr="00C73C58">
        <w:t xml:space="preserve">, </w:t>
      </w:r>
      <w:r w:rsidRPr="00C73C58">
        <w:rPr>
          <w:b/>
          <w:bCs/>
        </w:rPr>
        <w:t>30</w:t>
      </w:r>
      <w:r w:rsidRPr="00C73C58">
        <w:t xml:space="preserve"> (1), 35-51.</w:t>
      </w:r>
    </w:p>
    <w:p w:rsidR="006D0DCB" w:rsidRPr="00C73C58" w:rsidRDefault="006D0DCB" w:rsidP="006D0DCB">
      <w:pPr>
        <w:pStyle w:val="a3"/>
      </w:pPr>
      <w:r w:rsidRPr="00C73C58">
        <w:t xml:space="preserve">Full Text: </w:t>
      </w:r>
      <w:hyperlink r:id="rId959" w:history="1">
        <w:r w:rsidRPr="00C73C58">
          <w:rPr>
            <w:rStyle w:val="a5"/>
          </w:rPr>
          <w:t>2000\Compare30, 35.pdf</w:t>
        </w:r>
      </w:hyperlink>
    </w:p>
    <w:p w:rsidR="006D0DCB" w:rsidRPr="00C73C58" w:rsidRDefault="006D0DCB" w:rsidP="006D0DCB">
      <w:pPr>
        <w:pStyle w:val="a3"/>
      </w:pPr>
      <w:r w:rsidRPr="00C73C58">
        <w:t>Abstract: This paper investigates</w:t>
      </w:r>
      <w:r w:rsidR="003A1917">
        <w:t xml:space="preserve"> the </w:t>
      </w:r>
      <w:r w:rsidRPr="00C73C58">
        <w:t>problem</w:t>
      </w:r>
      <w:r w:rsidR="00427468">
        <w:t xml:space="preserve"> of </w:t>
      </w:r>
      <w:r w:rsidRPr="00C73C58">
        <w:t>knowledge production</w:t>
      </w:r>
      <w:r w:rsidR="005853A9">
        <w:t xml:space="preserve"> and </w:t>
      </w:r>
      <w:r w:rsidRPr="00C73C58">
        <w:t>legitimation at</w:t>
      </w:r>
      <w:r w:rsidR="003A1917">
        <w:t xml:space="preserve"> the </w:t>
      </w:r>
      <w:r w:rsidRPr="00C73C58">
        <w:t>University</w:t>
      </w:r>
      <w:r w:rsidR="00427468">
        <w:t xml:space="preserve"> of </w:t>
      </w:r>
      <w:r w:rsidRPr="00C73C58">
        <w:t>Cyprus</w:t>
      </w:r>
      <w:r w:rsidR="00A37C1D">
        <w:t>. The</w:t>
      </w:r>
      <w:r w:rsidR="003A1917">
        <w:t xml:space="preserve"> </w:t>
      </w:r>
      <w:r w:rsidRPr="00C73C58">
        <w:t>problem is examined against</w:t>
      </w:r>
      <w:r w:rsidR="003A1917">
        <w:t xml:space="preserve"> the </w:t>
      </w:r>
      <w:r w:rsidRPr="00C73C58">
        <w:t>background</w:t>
      </w:r>
      <w:r w:rsidR="00427468">
        <w:t xml:space="preserve"> of </w:t>
      </w:r>
      <w:r w:rsidRPr="00C73C58">
        <w:t>extant theory on</w:t>
      </w:r>
      <w:r w:rsidR="003A1917">
        <w:t xml:space="preserve"> the </w:t>
      </w:r>
      <w:r w:rsidRPr="00C73C58">
        <w:t>relationships between universities</w:t>
      </w:r>
      <w:r w:rsidR="00427468">
        <w:t xml:space="preserve"> of </w:t>
      </w:r>
      <w:r w:rsidR="003A1917">
        <w:t xml:space="preserve">the </w:t>
      </w:r>
      <w:r w:rsidR="0071223E">
        <w:t>‘</w:t>
      </w:r>
      <w:r w:rsidRPr="00C73C58">
        <w:t>center</w:t>
      </w:r>
      <w:r w:rsidR="0071223E">
        <w:t>’</w:t>
      </w:r>
      <w:r w:rsidR="005853A9">
        <w:t xml:space="preserve"> and </w:t>
      </w:r>
      <w:r w:rsidRPr="00C73C58">
        <w:t>those</w:t>
      </w:r>
      <w:r w:rsidR="00427468">
        <w:t xml:space="preserve"> of </w:t>
      </w:r>
      <w:r w:rsidR="003A1917">
        <w:t xml:space="preserve">the </w:t>
      </w:r>
      <w:r w:rsidR="0071223E">
        <w:t>‘</w:t>
      </w:r>
      <w:r w:rsidRPr="00C73C58">
        <w:t>periphery</w:t>
      </w:r>
      <w:r w:rsidR="0071223E">
        <w:t>’</w:t>
      </w:r>
      <w:r w:rsidRPr="00C73C58">
        <w:t xml:space="preserve"> and, more specifically,</w:t>
      </w:r>
      <w:r w:rsidR="00427468">
        <w:t xml:space="preserve"> of </w:t>
      </w:r>
      <w:r w:rsidR="003A1917">
        <w:t xml:space="preserve">the </w:t>
      </w:r>
      <w:r w:rsidRPr="00C73C58">
        <w:t>theory about</w:t>
      </w:r>
      <w:r w:rsidR="003A1917">
        <w:t xml:space="preserve"> the </w:t>
      </w:r>
      <w:r w:rsidRPr="00C73C58">
        <w:t>conflict between centrality</w:t>
      </w:r>
      <w:r w:rsidR="005853A9">
        <w:t xml:space="preserve"> and </w:t>
      </w:r>
      <w:r w:rsidRPr="00C73C58">
        <w:t>localism, as this is experienced by peripheral universities that aspire for centrality</w:t>
      </w:r>
      <w:r w:rsidR="00A37C1D">
        <w:t>. The</w:t>
      </w:r>
      <w:r w:rsidR="003A1917">
        <w:t xml:space="preserve"> </w:t>
      </w:r>
      <w:r w:rsidRPr="00C73C58">
        <w:t>theory about</w:t>
      </w:r>
      <w:r w:rsidR="003A1917">
        <w:t xml:space="preserve"> the </w:t>
      </w:r>
      <w:r w:rsidRPr="00C73C58">
        <w:t>specific factors affecting higher education policy in small states also forms part</w:t>
      </w:r>
      <w:r w:rsidR="00427468">
        <w:t xml:space="preserve"> of </w:t>
      </w:r>
      <w:r w:rsidR="003A1917">
        <w:t xml:space="preserve">the </w:t>
      </w:r>
      <w:r w:rsidRPr="00C73C58">
        <w:t>theoretical framework</w:t>
      </w:r>
      <w:r w:rsidR="00427468">
        <w:t xml:space="preserve"> of </w:t>
      </w:r>
      <w:r w:rsidR="003A1917">
        <w:t xml:space="preserve">the </w:t>
      </w:r>
      <w:r w:rsidRPr="00C73C58">
        <w:t>paper</w:t>
      </w:r>
      <w:r w:rsidR="00A37C1D">
        <w:t>. The</w:t>
      </w:r>
      <w:r w:rsidR="003A1917">
        <w:t xml:space="preserve"> </w:t>
      </w:r>
      <w:r w:rsidRPr="00C73C58">
        <w:t>University</w:t>
      </w:r>
      <w:r w:rsidR="00427468">
        <w:t xml:space="preserve"> of </w:t>
      </w:r>
      <w:r w:rsidRPr="00C73C58">
        <w:t>Cyprus is proposed as a case study, as it differs in several important ways from</w:t>
      </w:r>
      <w:r w:rsidR="003A1917">
        <w:t xml:space="preserve"> the </w:t>
      </w:r>
      <w:r w:rsidRPr="00C73C58">
        <w:t>widely studied Asian</w:t>
      </w:r>
      <w:r w:rsidR="005853A9">
        <w:t xml:space="preserve"> and </w:t>
      </w:r>
      <w:r w:rsidRPr="00C73C58">
        <w:t>African universities.</w:t>
      </w:r>
    </w:p>
    <w:p w:rsidR="003474F2" w:rsidRPr="001A3D2B" w:rsidRDefault="003474F2" w:rsidP="003474F2">
      <w:pPr>
        <w:pStyle w:val="1"/>
      </w:pPr>
      <w:r w:rsidRPr="001A3D2B">
        <w:br w:type="page"/>
      </w:r>
      <w:bookmarkStart w:id="359" w:name="_Toc420815082"/>
      <w:r w:rsidRPr="001A3D2B">
        <w:lastRenderedPageBreak/>
        <w:t>Title: Complementary Therapies in Medicine</w:t>
      </w:r>
      <w:bookmarkEnd w:id="359"/>
    </w:p>
    <w:p w:rsidR="00135605" w:rsidRPr="001A3D2B" w:rsidRDefault="00135605" w:rsidP="00135605">
      <w:pPr>
        <w:pStyle w:val="12"/>
      </w:pPr>
      <w:r w:rsidRPr="001A3D2B">
        <w:t xml:space="preserve">Full Journal Title: </w:t>
      </w:r>
      <w:hyperlink r:id="rId960" w:history="1">
        <w:r w:rsidRPr="001A3D2B">
          <w:rPr>
            <w:rStyle w:val="a5"/>
          </w:rPr>
          <w:t>Complementary Therapies in Medicine</w:t>
        </w:r>
      </w:hyperlink>
    </w:p>
    <w:p w:rsidR="00135605" w:rsidRPr="001A3D2B" w:rsidRDefault="00135605" w:rsidP="00135605">
      <w:pPr>
        <w:pStyle w:val="12"/>
      </w:pPr>
      <w:r w:rsidRPr="001A3D2B">
        <w:t>ISO Abbreviated Title: Complement</w:t>
      </w:r>
      <w:r w:rsidR="00A37C1D">
        <w:t>. The</w:t>
      </w:r>
      <w:r w:rsidRPr="001A3D2B">
        <w:t>r. Med.</w:t>
      </w:r>
    </w:p>
    <w:p w:rsidR="00135605" w:rsidRPr="001A3D2B" w:rsidRDefault="00135605" w:rsidP="00135605">
      <w:pPr>
        <w:pStyle w:val="12"/>
      </w:pPr>
      <w:r w:rsidRPr="001A3D2B">
        <w:t>JCR Abbreviated Title: Complement Ther Med</w:t>
      </w:r>
    </w:p>
    <w:p w:rsidR="00135605" w:rsidRPr="001A3D2B" w:rsidRDefault="00135605" w:rsidP="00135605">
      <w:pPr>
        <w:pStyle w:val="12"/>
      </w:pPr>
      <w:r w:rsidRPr="001A3D2B">
        <w:t>ISSN: 0965-2299</w:t>
      </w:r>
    </w:p>
    <w:p w:rsidR="00135605" w:rsidRPr="001A3D2B" w:rsidRDefault="00135605" w:rsidP="00135605">
      <w:pPr>
        <w:pStyle w:val="12"/>
      </w:pPr>
      <w:r w:rsidRPr="001A3D2B">
        <w:t>Issues/Year: 4</w:t>
      </w:r>
    </w:p>
    <w:p w:rsidR="00135605" w:rsidRPr="001A3D2B" w:rsidRDefault="00135605" w:rsidP="00135605">
      <w:pPr>
        <w:pStyle w:val="12"/>
      </w:pPr>
      <w:r w:rsidRPr="001A3D2B">
        <w:t>Journal Country/Territory: England</w:t>
      </w:r>
    </w:p>
    <w:p w:rsidR="00135605" w:rsidRPr="001A3D2B" w:rsidRDefault="00135605" w:rsidP="00135605">
      <w:pPr>
        <w:pStyle w:val="12"/>
      </w:pPr>
      <w:r w:rsidRPr="001A3D2B">
        <w:t>Language: English</w:t>
      </w:r>
    </w:p>
    <w:p w:rsidR="00135605" w:rsidRPr="001A3D2B" w:rsidRDefault="00135605" w:rsidP="00135605">
      <w:pPr>
        <w:pStyle w:val="12"/>
      </w:pPr>
      <w:r w:rsidRPr="001A3D2B">
        <w:t>Publisher: Churchill Livingstone</w:t>
      </w:r>
    </w:p>
    <w:p w:rsidR="00135605" w:rsidRPr="001A3D2B" w:rsidRDefault="00135605" w:rsidP="00135605">
      <w:pPr>
        <w:pStyle w:val="12"/>
      </w:pPr>
      <w:r w:rsidRPr="001A3D2B">
        <w:t>Publisher Address: Journal Production Dept, Robert Stevenson House, 1-3 Baxters Place, Leith Walk, Edinburgh EH1 3AF, Midlothian, Scotland</w:t>
      </w:r>
    </w:p>
    <w:p w:rsidR="00135605" w:rsidRPr="001A3D2B" w:rsidRDefault="00135605" w:rsidP="00135605">
      <w:pPr>
        <w:pStyle w:val="12"/>
      </w:pPr>
      <w:r w:rsidRPr="001A3D2B">
        <w:t xml:space="preserve">Subject Categories: </w:t>
      </w:r>
    </w:p>
    <w:p w:rsidR="00135605" w:rsidRPr="001A3D2B" w:rsidRDefault="00135605" w:rsidP="00135605">
      <w:pPr>
        <w:pStyle w:val="12"/>
      </w:pPr>
      <w:r w:rsidRPr="001A3D2B">
        <w:t>Integrative &amp; Complementary Medicine: Impact Factor 1.507, 1/9 (2002)</w:t>
      </w:r>
    </w:p>
    <w:p w:rsidR="003474F2" w:rsidRPr="001A3D2B" w:rsidRDefault="003474F2" w:rsidP="003474F2">
      <w:pPr>
        <w:pStyle w:val="a3"/>
      </w:pPr>
      <w:r w:rsidRPr="001A3D2B">
        <w:t>? van Haselen, R. (2007</w:t>
      </w:r>
      <w:r w:rsidR="00F42EAC">
        <w:t>), The</w:t>
      </w:r>
      <w:r w:rsidR="003A1917">
        <w:t xml:space="preserve"> </w:t>
      </w:r>
      <w:r w:rsidR="00D5664A">
        <w:t>h-Index</w:t>
      </w:r>
      <w:r w:rsidRPr="001A3D2B">
        <w:t>: A new way</w:t>
      </w:r>
      <w:r w:rsidR="00427468">
        <w:t xml:space="preserve"> of </w:t>
      </w:r>
      <w:r w:rsidRPr="001A3D2B">
        <w:t>assessing</w:t>
      </w:r>
      <w:r w:rsidR="003A1917">
        <w:t xml:space="preserve"> the </w:t>
      </w:r>
      <w:r w:rsidRPr="001A3D2B">
        <w:t>scientific impact</w:t>
      </w:r>
      <w:r w:rsidR="00427468">
        <w:t xml:space="preserve"> of </w:t>
      </w:r>
      <w:r w:rsidRPr="001A3D2B">
        <w:t xml:space="preserve">individual CAM authors. </w:t>
      </w:r>
      <w:r w:rsidRPr="001A3D2B">
        <w:rPr>
          <w:i/>
          <w:iCs/>
        </w:rPr>
        <w:t>Complementary Therapies in Medicine</w:t>
      </w:r>
      <w:r w:rsidRPr="001A3D2B">
        <w:t xml:space="preserve">, </w:t>
      </w:r>
      <w:r w:rsidRPr="001A3D2B">
        <w:rPr>
          <w:b/>
          <w:bCs/>
        </w:rPr>
        <w:t>15</w:t>
      </w:r>
      <w:r w:rsidRPr="001A3D2B">
        <w:t xml:space="preserve"> (4), 225-227</w:t>
      </w:r>
      <w:r w:rsidR="00E34D17">
        <w:rPr>
          <w:rFonts w:hint="eastAsia"/>
        </w:rPr>
        <w:t>.</w:t>
      </w:r>
    </w:p>
    <w:p w:rsidR="003474F2" w:rsidRPr="001A3D2B" w:rsidRDefault="003474F2" w:rsidP="003474F2">
      <w:pPr>
        <w:pStyle w:val="a3"/>
      </w:pPr>
      <w:r w:rsidRPr="001A3D2B">
        <w:t xml:space="preserve">Full Text: </w:t>
      </w:r>
      <w:hyperlink r:id="rId961" w:history="1">
        <w:r w:rsidRPr="001A3D2B">
          <w:rPr>
            <w:rStyle w:val="a5"/>
            <w:szCs w:val="24"/>
          </w:rPr>
          <w:t>2007\Com</w:t>
        </w:r>
        <w:r w:rsidR="003A1917">
          <w:rPr>
            <w:rStyle w:val="a5"/>
            <w:szCs w:val="24"/>
          </w:rPr>
          <w:t xml:space="preserve"> the </w:t>
        </w:r>
        <w:r w:rsidRPr="001A3D2B">
          <w:rPr>
            <w:rStyle w:val="a5"/>
            <w:szCs w:val="24"/>
          </w:rPr>
          <w:t>Med15, 225.pdf</w:t>
        </w:r>
      </w:hyperlink>
    </w:p>
    <w:p w:rsidR="003474F2" w:rsidRPr="001A3D2B" w:rsidRDefault="003474F2" w:rsidP="003474F2">
      <w:pPr>
        <w:pStyle w:val="a3"/>
      </w:pPr>
      <w:r w:rsidRPr="001A3D2B">
        <w:t xml:space="preserve">Keywords: </w:t>
      </w:r>
      <w:r w:rsidR="00D5664A">
        <w:t>h Index</w:t>
      </w:r>
      <w:r w:rsidRPr="001A3D2B">
        <w:t xml:space="preserve">, </w:t>
      </w:r>
      <w:r w:rsidR="00D5664A">
        <w:t>h-Index</w:t>
      </w:r>
    </w:p>
    <w:p w:rsidR="00162B53" w:rsidRDefault="00162B53" w:rsidP="00162B53">
      <w:pPr>
        <w:pStyle w:val="a3"/>
        <w:rPr>
          <w:kern w:val="0"/>
        </w:rPr>
      </w:pPr>
      <w:r>
        <w:rPr>
          <w:rFonts w:hint="eastAsia"/>
          <w:kern w:val="0"/>
        </w:rPr>
        <w:t xml:space="preserve">? </w:t>
      </w:r>
      <w:r>
        <w:rPr>
          <w:kern w:val="0"/>
        </w:rPr>
        <w:t xml:space="preserve">Kamioka, H., Okada, S., Tsutani, K., Park, H., Okuizumi, H., Handa, S., Oshio, T., Park, S.J., Kitayuguchi, J., Abe, T., Honda, T. and Mutoh, Y. (2014), Effectiveness of animal-assisted therapy: A systematic review of randomized controlled trials. </w:t>
      </w:r>
      <w:r>
        <w:rPr>
          <w:i/>
          <w:iCs/>
          <w:kern w:val="0"/>
        </w:rPr>
        <w:t>Complementary Therapies in Medicine</w:t>
      </w:r>
      <w:r>
        <w:rPr>
          <w:kern w:val="0"/>
        </w:rPr>
        <w:t xml:space="preserve">, </w:t>
      </w:r>
      <w:r>
        <w:rPr>
          <w:b/>
          <w:bCs/>
          <w:kern w:val="0"/>
        </w:rPr>
        <w:t>22</w:t>
      </w:r>
      <w:r>
        <w:rPr>
          <w:kern w:val="0"/>
        </w:rPr>
        <w:t xml:space="preserve"> (2), 371-390.</w:t>
      </w:r>
    </w:p>
    <w:p w:rsidR="00162B53" w:rsidRDefault="00162B53" w:rsidP="00162B53">
      <w:pPr>
        <w:pStyle w:val="a3"/>
        <w:rPr>
          <w:kern w:val="0"/>
          <w:szCs w:val="24"/>
        </w:rPr>
      </w:pPr>
      <w:r w:rsidRPr="00C73C58">
        <w:rPr>
          <w:kern w:val="0"/>
          <w:szCs w:val="24"/>
        </w:rPr>
        <w:t xml:space="preserve">Full Text: </w:t>
      </w:r>
      <w:hyperlink r:id="rId962" w:history="1">
        <w:r w:rsidRPr="00035C78">
          <w:rPr>
            <w:rStyle w:val="a5"/>
            <w:kern w:val="0"/>
            <w:szCs w:val="24"/>
          </w:rPr>
          <w:t>2014\Com The Med22, 371.pdf</w:t>
        </w:r>
      </w:hyperlink>
    </w:p>
    <w:p w:rsidR="00162B53" w:rsidRDefault="00162B53" w:rsidP="00162B53">
      <w:pPr>
        <w:pStyle w:val="a3"/>
        <w:rPr>
          <w:kern w:val="0"/>
        </w:rPr>
      </w:pPr>
      <w:r>
        <w:rPr>
          <w:kern w:val="0"/>
        </w:rPr>
        <w:t>Abstract: The objectives of this review were to summarize the evidence from randomized controlled trials (RCTs) on the effects of animal-assisted therapy (AAT). Studies were eligible if they were RCTs. Studies included one treatment group in which AAT was applied. We searched the following databases from 1990 up to October 31, 2012: MEDLINE via PubMed, CINAHL, Web of Science, Ichushi Web, GHL, WPRIM, and PsycINFO. We also searched all Cochrane Database up to October 31, 2012. Eleven RCTs were identified, and seven studies were about “Mental and behavioral disorders”. Types of animal intervention were dog, cat, dolphin, bird, cow, rabbit, ferret, and guinea pig</w:t>
      </w:r>
      <w:r w:rsidR="00A37C1D">
        <w:rPr>
          <w:kern w:val="0"/>
        </w:rPr>
        <w:t>. The</w:t>
      </w:r>
      <w:r>
        <w:rPr>
          <w:kern w:val="0"/>
        </w:rPr>
        <w:t xml:space="preserve"> RCTs conducted have been of relatively low quality. We could not perform meta-analysis because of heterogeneity. In a study environment limited to the people who like animals, AAT may be an effective treatment for mental and behavioral disorders such as depression, schizophrenia, and alcohol/drug addictions, and is based on a holistic approach through interaction with animals in nature. To most effectively assess the potential benefits for AAT, it will be important for further research to utilize and describe (1) </w:t>
      </w:r>
      <w:r>
        <w:rPr>
          <w:kern w:val="0"/>
        </w:rPr>
        <w:lastRenderedPageBreak/>
        <w:t>RCT methodology when appropriate, (2) reasons for non-participation, (3) intervention dose, (4) adverse effects and withdrawals, and (5) cost. (C) 2014 Elsevier Ltd. All rights reserved.</w:t>
      </w:r>
    </w:p>
    <w:p w:rsidR="00162B53" w:rsidRDefault="00162B53" w:rsidP="00162B53">
      <w:pPr>
        <w:pStyle w:val="a3"/>
        <w:rPr>
          <w:kern w:val="0"/>
        </w:rPr>
      </w:pPr>
      <w:r>
        <w:rPr>
          <w:kern w:val="0"/>
        </w:rPr>
        <w:t>Keywords: Abstracts, Adverse Effects, Animal-Assisted Therapy, Animals, Approach, Benefits, Consort, Cost, Cow, Database, Databases, Depression, Dog, Dolphin, Effects, Elaboration, Environment, Evidence, Explanation, Guidelines, Heterogeneity, Holistic, Inpatients, Interaction, Intervention, Interventions, Medline, Meta Analysis, Meta-Analysis, Metaanalysis, Methodology, Potential, Psycinfo, Pubmed, Quality, Randomized, Randomized Controlled Trials, RCT, Recommendations, Research, Review, Rights, Schizophrenia, Science, Systematic, Systematic Review, Therapy, Treatment, Web Of Science</w:t>
      </w:r>
    </w:p>
    <w:p w:rsidR="00162B53" w:rsidRDefault="00162B53" w:rsidP="00162B53">
      <w:pPr>
        <w:pStyle w:val="a3"/>
        <w:rPr>
          <w:kern w:val="0"/>
        </w:rPr>
      </w:pPr>
      <w:r>
        <w:rPr>
          <w:rFonts w:hint="eastAsia"/>
          <w:kern w:val="0"/>
        </w:rPr>
        <w:t xml:space="preserve">? </w:t>
      </w:r>
      <w:r>
        <w:rPr>
          <w:kern w:val="0"/>
        </w:rPr>
        <w:t xml:space="preserve">Moral-Munoz, J.A., Cobo, M.J., Peis, E., Arroyo-Morales, M. and Herrera-Viedma, E. (2014), Analyzing the research in </w:t>
      </w:r>
      <w:r w:rsidRPr="00035C78">
        <w:rPr>
          <w:i/>
          <w:kern w:val="0"/>
        </w:rPr>
        <w:t>Integrative &amp; Complementary Medicine</w:t>
      </w:r>
      <w:r>
        <w:rPr>
          <w:kern w:val="0"/>
        </w:rPr>
        <w:t xml:space="preserve"> by means of science mapping. </w:t>
      </w:r>
      <w:r>
        <w:rPr>
          <w:i/>
          <w:iCs/>
          <w:kern w:val="0"/>
        </w:rPr>
        <w:t>Complementary Therapies in Medicine</w:t>
      </w:r>
      <w:r>
        <w:rPr>
          <w:kern w:val="0"/>
        </w:rPr>
        <w:t xml:space="preserve">, </w:t>
      </w:r>
      <w:r>
        <w:rPr>
          <w:b/>
          <w:bCs/>
          <w:kern w:val="0"/>
        </w:rPr>
        <w:t>22</w:t>
      </w:r>
      <w:r>
        <w:rPr>
          <w:kern w:val="0"/>
        </w:rPr>
        <w:t xml:space="preserve"> (2), 409-418.</w:t>
      </w:r>
    </w:p>
    <w:p w:rsidR="00162B53" w:rsidRDefault="00162B53" w:rsidP="00162B53">
      <w:pPr>
        <w:pStyle w:val="a3"/>
        <w:rPr>
          <w:kern w:val="0"/>
          <w:szCs w:val="24"/>
        </w:rPr>
      </w:pPr>
      <w:r w:rsidRPr="00C73C58">
        <w:rPr>
          <w:kern w:val="0"/>
          <w:szCs w:val="24"/>
        </w:rPr>
        <w:t xml:space="preserve">Full Text: </w:t>
      </w:r>
      <w:hyperlink r:id="rId963" w:history="1">
        <w:r w:rsidRPr="00035C78">
          <w:rPr>
            <w:rStyle w:val="a5"/>
            <w:kern w:val="0"/>
            <w:szCs w:val="24"/>
          </w:rPr>
          <w:t>2014\Com The Med22, 409.pdf</w:t>
        </w:r>
      </w:hyperlink>
    </w:p>
    <w:p w:rsidR="00162B53" w:rsidRDefault="00162B53" w:rsidP="00162B53">
      <w:pPr>
        <w:pStyle w:val="a3"/>
        <w:rPr>
          <w:kern w:val="0"/>
        </w:rPr>
      </w:pPr>
      <w:r>
        <w:rPr>
          <w:kern w:val="0"/>
        </w:rPr>
        <w:t>Abstract: Objectives: The research in the Complementary and Alternative Medicine (CAM) field is analyzed according to the journals indexed in ISI Web of Science. Science Mapping Analysis (SMA) is used to provide and overview of the conceptual evolution of the CAM field. Methods: The software SciMAT is used to detect and visualize the hidden themes and their evolution over a consecutive span of years. It combines SMA and performance analysis. Twenty one journals related to CAM were analyzed, in four consecutive periods from 1974 to 2011. Results: Strategic diagrams and the thematic evolution of CAM, together with performance indicators (h-index), were obtained</w:t>
      </w:r>
      <w:r w:rsidR="00A37C1D">
        <w:rPr>
          <w:kern w:val="0"/>
        </w:rPr>
        <w:t>. The</w:t>
      </w:r>
      <w:r>
        <w:rPr>
          <w:kern w:val="0"/>
        </w:rPr>
        <w:t xml:space="preserve"> results show that CAM research has focused on seven main thematic areas: MEDICINAL-PLANTS, CHIROPRACTIC-AND-LOW-BACK-PAIN, ACUPUNCTURE-AND-PAIN, CELL-PROCESSES-AND-DISEASES, LIPID-PEROXIDATION and DIABETES-AND-INSULIN. Conclusion: The research output could be used by the scientific community to identify thematic areas on which interest is focused. (C) 2014 Elsevier Ltd. All rights reserved.</w:t>
      </w:r>
    </w:p>
    <w:p w:rsidR="00162B53" w:rsidRDefault="00162B53" w:rsidP="00162B53">
      <w:pPr>
        <w:pStyle w:val="a3"/>
        <w:rPr>
          <w:kern w:val="0"/>
        </w:rPr>
      </w:pPr>
      <w:r>
        <w:rPr>
          <w:kern w:val="0"/>
        </w:rPr>
        <w:t>Keywords: Acupuncture, Analysis, China, Citation-Classics, Co-Word Analysis, Community, Complementary Therapy, Evolution, Field, H Index, H-Index, Indicators, Integrative Therapy, ISI, ISI Web Of Science, Journals, Lipid-Peroxidation, Mapping, Medicinal-Plants, Medicine, Methods, Overview, Performance, Performance Indicators, Research, Research Output, Results, Rights, Science, Science Mapping, Science Mapping Analysis, Scientific Community, Software, Tool, Web Of Science</w:t>
      </w:r>
    </w:p>
    <w:p w:rsidR="0035492C" w:rsidRDefault="0035492C" w:rsidP="0035492C">
      <w:pPr>
        <w:pStyle w:val="a3"/>
        <w:rPr>
          <w:kern w:val="0"/>
        </w:rPr>
      </w:pPr>
      <w:r>
        <w:rPr>
          <w:rFonts w:hint="eastAsia"/>
          <w:kern w:val="0"/>
        </w:rPr>
        <w:t xml:space="preserve">? </w:t>
      </w:r>
      <w:r>
        <w:rPr>
          <w:kern w:val="0"/>
        </w:rPr>
        <w:t xml:space="preserve">Li, G.C., Yuan, H. and Zhang, W. (2014), Effects of Tai Chi on health related quality of life in patients with chronic conditions: A systematic review of randomized </w:t>
      </w:r>
      <w:r>
        <w:rPr>
          <w:kern w:val="0"/>
        </w:rPr>
        <w:lastRenderedPageBreak/>
        <w:t xml:space="preserve">controlled trials. </w:t>
      </w:r>
      <w:r>
        <w:rPr>
          <w:i/>
          <w:iCs/>
          <w:kern w:val="0"/>
        </w:rPr>
        <w:t>Complementary Therapies in Medicine</w:t>
      </w:r>
      <w:r>
        <w:rPr>
          <w:kern w:val="0"/>
        </w:rPr>
        <w:t xml:space="preserve">, </w:t>
      </w:r>
      <w:r>
        <w:rPr>
          <w:b/>
          <w:bCs/>
          <w:kern w:val="0"/>
        </w:rPr>
        <w:t>22</w:t>
      </w:r>
      <w:r>
        <w:rPr>
          <w:kern w:val="0"/>
        </w:rPr>
        <w:t xml:space="preserve"> (4), 743-755.</w:t>
      </w:r>
    </w:p>
    <w:p w:rsidR="0035492C" w:rsidRDefault="0035492C" w:rsidP="0035492C">
      <w:pPr>
        <w:pStyle w:val="a3"/>
        <w:rPr>
          <w:kern w:val="0"/>
          <w:szCs w:val="24"/>
        </w:rPr>
      </w:pPr>
      <w:r w:rsidRPr="00C73C58">
        <w:rPr>
          <w:kern w:val="0"/>
          <w:szCs w:val="24"/>
        </w:rPr>
        <w:t xml:space="preserve">Full Text: </w:t>
      </w:r>
      <w:hyperlink r:id="rId964" w:history="1">
        <w:r w:rsidRPr="00261EA7">
          <w:rPr>
            <w:rStyle w:val="a5"/>
            <w:kern w:val="0"/>
            <w:szCs w:val="24"/>
          </w:rPr>
          <w:t>2014\Com The Med22, 743.pdf</w:t>
        </w:r>
      </w:hyperlink>
    </w:p>
    <w:p w:rsidR="0035492C" w:rsidRDefault="0035492C" w:rsidP="0035492C">
      <w:pPr>
        <w:pStyle w:val="a3"/>
        <w:rPr>
          <w:kern w:val="0"/>
        </w:rPr>
      </w:pPr>
      <w:r>
        <w:rPr>
          <w:kern w:val="0"/>
        </w:rPr>
        <w:t>Abstract: Objectives: To determine the effects of Tai Chi practice on health related quality of life in patients with various chronic medical conditions. Background: One of the characters of chronic illness is life-long condition with the deterioration in health related quality of life. Tai Chi has become a popular mind-body exercise and self-management strategy for patients with chronic conditions regarding its various physical and psychological effects. Methods: Eight databases (the Cochrane Library, PubMed, Medline, EBSCO, Web of science and three Chinese databases: CNKI, Wanfang data and VIP) were searched (up to December 2013) for relevant studies. Studies including participants with chronic conditions were selected. All studies were randomized controlled trials reporting the effects of Tai Chi on health related quality of life. Two independent reviewers extracted trial data and assessed risk of bias using the risk of bias tool recommended by the Cochrane Back Review Group. Results: Of the 2021 papers which were screened, 21 studies including 1200 patients met the eligibility criteria. Most studies (18 of 21 studies) found significant improvements on health related quality of life for participants with chronic conditions in Tai Chi group. No evidence was observed to suggest that Tai Chi was more effective than other types of exercise. And objective measures were not always consistent with self-reported quality of life measures. Conclusions: Tai Chi appears to be safe and has positive effects on health related quality of life in patients with chronic conditions, especially for patients with disorders in Cardio-cerebrovascular and respiratory systems, and musculoskeletal system. However, as the delivery mood of Tai Chi provides multiply benefits, which part of the group provides the most benefit in improving quality of life is unclear. Due to the design limitations of previous studies, more larger and well-designed RCTs are needed to confirm the effects. And qualitative researches are warranted to explore how Tai Chi may work exactly from patients</w:t>
      </w:r>
      <w:r w:rsidR="0071223E">
        <w:rPr>
          <w:kern w:val="0"/>
        </w:rPr>
        <w:t>’</w:t>
      </w:r>
      <w:r>
        <w:rPr>
          <w:kern w:val="0"/>
        </w:rPr>
        <w:t xml:space="preserve"> own perspectives. (C) 2014 Elsevier Ltd. All rights reserved.</w:t>
      </w:r>
    </w:p>
    <w:p w:rsidR="0035492C" w:rsidRDefault="0035492C" w:rsidP="0035492C">
      <w:pPr>
        <w:pStyle w:val="a3"/>
        <w:rPr>
          <w:kern w:val="0"/>
        </w:rPr>
      </w:pPr>
      <w:r>
        <w:rPr>
          <w:kern w:val="0"/>
        </w:rPr>
        <w:t>Keywords: Aerobic Exercise, Alternative Medicine, Benefits, Bias, Breast-Cancer Survivors, Cardio-Cerebrovascular, Chinese, Chronic, Chronic Heart-Failure, Chronic Illness, Clinical-Trial, Criteria, Data, Databases, Delivery, Design, Effects, Elderly Individuals, Evidence, Exercise, Health, Knee Osteoarthritis, Life, Measures, Medical, Medline, Methods, Mood, Musculoskeletal, Obstructive Pulmonary-Disease, Older-Adults, Papers, Patients, Physical, Postmenopausal Women, Practice, Psychological, Pubmed, Qualitative, Quality, Quality Of, Quality Of Life, Randomized, Randomized Controlled Trials, Reporting, Results, Review, Reviewers, Rights, Risk, Science, Self Management, Self-Management, Strategy, Systematic, Systematic Review, Systems, Tai Chi, Trial, Web Of Science, Work</w:t>
      </w:r>
    </w:p>
    <w:p w:rsidR="0035492C" w:rsidRDefault="0035492C" w:rsidP="0035492C">
      <w:pPr>
        <w:pStyle w:val="a3"/>
        <w:rPr>
          <w:kern w:val="0"/>
        </w:rPr>
      </w:pPr>
      <w:r>
        <w:rPr>
          <w:rFonts w:hint="eastAsia"/>
          <w:kern w:val="0"/>
        </w:rPr>
        <w:t xml:space="preserve">? </w:t>
      </w:r>
      <w:r>
        <w:rPr>
          <w:kern w:val="0"/>
        </w:rPr>
        <w:t xml:space="preserve">Sliwka, A., Wloch, T., Tynor, D. and Nowobilski, R. (2014), Do asthmatics benefit </w:t>
      </w:r>
      <w:r>
        <w:rPr>
          <w:kern w:val="0"/>
        </w:rPr>
        <w:lastRenderedPageBreak/>
        <w:t xml:space="preserve">from music therapy? A systematic review. </w:t>
      </w:r>
      <w:r>
        <w:rPr>
          <w:i/>
          <w:iCs/>
          <w:kern w:val="0"/>
        </w:rPr>
        <w:t>Complementary Therapies in Medicine</w:t>
      </w:r>
      <w:r>
        <w:rPr>
          <w:kern w:val="0"/>
        </w:rPr>
        <w:t xml:space="preserve">, </w:t>
      </w:r>
      <w:r>
        <w:rPr>
          <w:b/>
          <w:bCs/>
          <w:kern w:val="0"/>
        </w:rPr>
        <w:t>22</w:t>
      </w:r>
      <w:r>
        <w:rPr>
          <w:kern w:val="0"/>
        </w:rPr>
        <w:t xml:space="preserve"> (4), 756-766.</w:t>
      </w:r>
    </w:p>
    <w:p w:rsidR="0035492C" w:rsidRDefault="0035492C" w:rsidP="0035492C">
      <w:pPr>
        <w:pStyle w:val="a3"/>
        <w:rPr>
          <w:kern w:val="0"/>
          <w:szCs w:val="24"/>
        </w:rPr>
      </w:pPr>
      <w:r w:rsidRPr="00C73C58">
        <w:rPr>
          <w:kern w:val="0"/>
          <w:szCs w:val="24"/>
        </w:rPr>
        <w:t xml:space="preserve">Full Text: </w:t>
      </w:r>
      <w:hyperlink r:id="rId965" w:history="1">
        <w:r w:rsidRPr="00261EA7">
          <w:rPr>
            <w:rStyle w:val="a5"/>
            <w:kern w:val="0"/>
            <w:szCs w:val="24"/>
          </w:rPr>
          <w:t>2014\Com The Med22, 756.pdf</w:t>
        </w:r>
      </w:hyperlink>
    </w:p>
    <w:p w:rsidR="0035492C" w:rsidRDefault="0035492C" w:rsidP="0035492C">
      <w:pPr>
        <w:pStyle w:val="a3"/>
        <w:rPr>
          <w:kern w:val="0"/>
        </w:rPr>
      </w:pPr>
      <w:r>
        <w:rPr>
          <w:kern w:val="0"/>
        </w:rPr>
        <w:t>Abstract: Objective: To determine the effectiveness of music therapy in asthma. Methods: Searches for experimental and observational studies published between 01.01.92 and 31.12.13 were conducted through electronic databases: Medline/PubMed, Embase, SportDiscus, Cochrane Library, Teacher Reference Centre, Web of Science, Academic Search Complete, PsycINFO, PsycARTICLES, PEDro and Scopus. The selection criteria included any method of music therapy applied to patients with asthma, with respect to asthma symptoms and lung function. Two reviewers screened the records independently. The risk of bias was assessed using the Cochrane Collaboration</w:t>
      </w:r>
      <w:r w:rsidR="0071223E">
        <w:rPr>
          <w:kern w:val="0"/>
        </w:rPr>
        <w:t>’</w:t>
      </w:r>
      <w:r>
        <w:rPr>
          <w:kern w:val="0"/>
        </w:rPr>
        <w:t>s toot. Strength of recommendation was graded according to GRADE recommendation. Results: The literature search identified 867 citations, from which 8 (three RCTs and five nRCTs) low and high risk of bias studies were included in the review. All RCTs used music listening as a form of complementary treatment. One RCT of the low risk of bias indicated positive effects on lung function in mild asthma. In two others, despite the decrease in asthma symptoms, music was not more effective than the control condition. In two nRCTs a decrease in asthma symptoms was reported as an effect of playing a brass or wind instrument; in two nRCTs the same effect was observed after music assisted vocal breathing exercises and singing. Mood improvement, decrease of depression and anxiety were also observed. Conclusion: The paucity, heterogeneity, and significant methodological limitations of available studies allow for only a weak recommendation for music therapy in asthma. This study highlights the need for further research of mixed methodology. (C) 2014 Elsevier Ltd. All rights reserved.</w:t>
      </w:r>
    </w:p>
    <w:p w:rsidR="0035492C" w:rsidRDefault="0035492C" w:rsidP="0035492C">
      <w:pPr>
        <w:pStyle w:val="a3"/>
        <w:rPr>
          <w:kern w:val="0"/>
        </w:rPr>
      </w:pPr>
      <w:r>
        <w:rPr>
          <w:kern w:val="0"/>
        </w:rPr>
        <w:t>Keywords: Academic, Anxiety, Asthma, Bias, Citations, Complementary, Complementary Medicine, Control, Criteria, Databases, Dementia, Depression, Dyspnea, Effectiveness, Effects, Exercises, Experimental, Function, Grade, Heterogeneity, Improvement, Instrument, Literature, Literature Search, Low Risk, Lung, Lung Function, Management, Methodological Limitations, Methodology, Methods, Mild, Mood, Music Therapy, Observational, Observational Studies, Patients, Psycinfo, Rct, Records, Reference, Relaxation, Research, Results, Review, Reviewers, Rights, Risk, Science, Scopus, Search, Selection, Selection Criteria, Symptoms, Systematic, Systematic Review, Therapy, Treatment, Web Of Science</w:t>
      </w:r>
    </w:p>
    <w:p w:rsidR="00795FC7" w:rsidRDefault="00795FC7" w:rsidP="00795FC7">
      <w:pPr>
        <w:pStyle w:val="a3"/>
        <w:rPr>
          <w:kern w:val="0"/>
        </w:rPr>
      </w:pPr>
      <w:r>
        <w:rPr>
          <w:kern w:val="0"/>
        </w:rPr>
        <w:t xml:space="preserve">? Kamioka, H., Tsutani, K., Yamada, M., Park, H., Okuizumi, H., Honda, T., Okada, S., Park, S.J., Kitayuguchi, J., Abe, T., Handa, S. and Mutoh, Y. (2014), Effectiveness of horticultural therapy: A systematic review of randomized controlled trials. </w:t>
      </w:r>
      <w:r>
        <w:rPr>
          <w:i/>
          <w:iCs/>
          <w:kern w:val="0"/>
        </w:rPr>
        <w:t>Complementary Therapies in Medicine</w:t>
      </w:r>
      <w:r>
        <w:rPr>
          <w:kern w:val="0"/>
        </w:rPr>
        <w:t xml:space="preserve">, </w:t>
      </w:r>
      <w:r>
        <w:rPr>
          <w:b/>
          <w:bCs/>
          <w:kern w:val="0"/>
        </w:rPr>
        <w:t>22</w:t>
      </w:r>
      <w:r>
        <w:rPr>
          <w:kern w:val="0"/>
        </w:rPr>
        <w:t xml:space="preserve"> (5), 930-943.</w:t>
      </w:r>
    </w:p>
    <w:p w:rsidR="00795FC7" w:rsidRDefault="00795FC7" w:rsidP="00795FC7">
      <w:pPr>
        <w:pStyle w:val="a3"/>
        <w:rPr>
          <w:kern w:val="0"/>
          <w:szCs w:val="24"/>
        </w:rPr>
      </w:pPr>
      <w:r w:rsidRPr="00C73C58">
        <w:rPr>
          <w:kern w:val="0"/>
          <w:szCs w:val="24"/>
        </w:rPr>
        <w:t xml:space="preserve">Full Text: </w:t>
      </w:r>
      <w:hyperlink r:id="rId966" w:history="1">
        <w:r w:rsidRPr="00052E32">
          <w:rPr>
            <w:rStyle w:val="a5"/>
            <w:kern w:val="0"/>
            <w:szCs w:val="24"/>
          </w:rPr>
          <w:t>2014\Com The Med22, 930.pdf</w:t>
        </w:r>
      </w:hyperlink>
    </w:p>
    <w:p w:rsidR="00795FC7" w:rsidRDefault="00795FC7" w:rsidP="00795FC7">
      <w:pPr>
        <w:pStyle w:val="a3"/>
        <w:rPr>
          <w:kern w:val="0"/>
        </w:rPr>
      </w:pPr>
      <w:r>
        <w:rPr>
          <w:kern w:val="0"/>
        </w:rPr>
        <w:lastRenderedPageBreak/>
        <w:t>Abstract: Aim: To summarize the evidence from randomized controlled trials (RCTs) on the effects of horticultural therapy (HT). Methods: Studies were eligible if they were RCTs. Studies included one treatment group in which HT was applied. We searched the following databases from 1990 up to August 20, 2013: MEDLINE via PubMed, CINAHL, Web of Science, Ichushi-Web, GHL, WPRIM, and PsycINFO. We also searched all Cochrane Database and Campbell Systematic Reviews up to September 20, 2013. Results: Four studies met all inclusion criteria. The language of all eligible publications was English and Korean. Target diseases and/or symptoms were dementia, severe mental illness such as schizophrenia, bipolar disorder, and major depression, frail elderly in nursing home, and hemiplegic patients after stroke. These studies showed significant effectiveness in one or more outcomes for mental health and behavior. However, our review especially detected omissions of the following descriptions: method used to generate randomization, concealment, blinding, and intention-to-treat analysis. In addition, the results of this study suggested that the RCTs conducted have been of relatively low quality. Conclusion: Although there was insufficient evidence in the studies of HT due to poor methodological and reporting quality and heterogeneity, HT may be an effective treatment for mental and behavioral disorders such as dementia, schizophrenia, depression, and terminal-care for cancer. (C) 2014 Elsevier Ltd. All rights reserved.</w:t>
      </w:r>
    </w:p>
    <w:p w:rsidR="00795FC7" w:rsidRDefault="00795FC7" w:rsidP="00795FC7">
      <w:pPr>
        <w:pStyle w:val="a3"/>
        <w:rPr>
          <w:kern w:val="0"/>
        </w:rPr>
      </w:pPr>
      <w:r>
        <w:rPr>
          <w:kern w:val="0"/>
        </w:rPr>
        <w:t>Keywords: Analysis, Behavior, Bipolar, Bipolar Disorder, Campbell, Cancer, Criteria, Database, Databases, Dementia, Dementia Care Programs, Depression, Diseases, Effectiveness, Effects, Elaboration, Elderly, English, Evidence, Explanation, Feasibility, From, Garden Therapy, Guidelines, Health, Heterogeneity, Horticultural Therapy, Interventions, Language, Medline, Mental Health, Mental Illness, Methods, Nursing, Nursing Home, Outcomes, Patients, Psycinfo, Publications, Pubmed, Quality, Randomization, Randomized, Randomized Controlled Trial, Randomized Controlled Trials, Recommendations, Rehabilitation Effect, Reporting, Results, Review, Rights, Schizophrenia, Science, Severe Mental Illness, Statement, Stroke, Symptoms, Systematic, Systematic Review, Systematic Reviews, Terminal Care, Therapeutic Horticulture, Therapy, Treatment, Web Of Science</w:t>
      </w:r>
    </w:p>
    <w:p w:rsidR="003474F2" w:rsidRPr="001A3D2B" w:rsidRDefault="003474F2" w:rsidP="003474F2">
      <w:pPr>
        <w:pStyle w:val="1"/>
      </w:pPr>
      <w:r w:rsidRPr="001A3D2B">
        <w:br w:type="page"/>
      </w:r>
      <w:bookmarkStart w:id="360" w:name="_Toc420815083"/>
      <w:r w:rsidRPr="001A3D2B">
        <w:lastRenderedPageBreak/>
        <w:t>Title: Complementary Therapies in Nursing</w:t>
      </w:r>
      <w:r w:rsidR="005853A9">
        <w:t xml:space="preserve"> and </w:t>
      </w:r>
      <w:r w:rsidRPr="001A3D2B">
        <w:t>Midwifery</w:t>
      </w:r>
      <w:bookmarkEnd w:id="360"/>
    </w:p>
    <w:p w:rsidR="003474F2" w:rsidRPr="001A3D2B" w:rsidRDefault="003474F2" w:rsidP="003474F2">
      <w:pPr>
        <w:pStyle w:val="12"/>
      </w:pPr>
      <w:r w:rsidRPr="001A3D2B">
        <w:t xml:space="preserve">Full Journal Title: </w:t>
      </w:r>
      <w:hyperlink r:id="rId967" w:history="1">
        <w:r w:rsidRPr="001A3D2B">
          <w:rPr>
            <w:rStyle w:val="a5"/>
          </w:rPr>
          <w:t>Complementary Therapies in Nursing</w:t>
        </w:r>
        <w:r w:rsidR="005853A9">
          <w:rPr>
            <w:rStyle w:val="a5"/>
          </w:rPr>
          <w:t xml:space="preserve"> and </w:t>
        </w:r>
        <w:r w:rsidRPr="001A3D2B">
          <w:rPr>
            <w:rStyle w:val="a5"/>
          </w:rPr>
          <w:t>Midwifery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Weller, K. (2002), Visualising</w:t>
      </w:r>
      <w:r w:rsidR="003A1917">
        <w:t xml:space="preserve"> the </w:t>
      </w:r>
      <w:r w:rsidRPr="001A3D2B">
        <w:t>body in art</w:t>
      </w:r>
      <w:r w:rsidR="005853A9">
        <w:t xml:space="preserve"> and </w:t>
      </w:r>
      <w:r w:rsidRPr="001A3D2B">
        <w:t>medicine: A visual art course for medical students at King</w:t>
      </w:r>
      <w:r w:rsidR="0071223E">
        <w:t>’</w:t>
      </w:r>
      <w:r w:rsidR="00C13DDC">
        <w:t>s</w:t>
      </w:r>
      <w:r w:rsidRPr="001A3D2B">
        <w:t xml:space="preserve"> </w:t>
      </w:r>
      <w:smartTag w:uri="urn:schemas-microsoft-com:office:smarttags" w:element="place">
        <w:smartTag w:uri="urn:schemas-microsoft-com:office:smarttags" w:element="PlaceType">
          <w:r w:rsidRPr="001A3D2B">
            <w:t>College</w:t>
          </w:r>
        </w:smartTag>
        <w:r w:rsidRPr="001A3D2B">
          <w:t xml:space="preserve"> </w:t>
        </w:r>
        <w:smartTag w:uri="urn:schemas-microsoft-com:office:smarttags" w:element="PlaceType">
          <w:r w:rsidRPr="001A3D2B">
            <w:t>Hospital</w:t>
          </w:r>
        </w:smartTag>
      </w:smartTag>
      <w:r w:rsidRPr="001A3D2B">
        <w:t xml:space="preserve"> in 1999. </w:t>
      </w:r>
      <w:r w:rsidRPr="001A3D2B">
        <w:rPr>
          <w:i/>
          <w:iCs/>
        </w:rPr>
        <w:t>Complementary Therapies in Nursing</w:t>
      </w:r>
      <w:r w:rsidR="005853A9">
        <w:rPr>
          <w:i/>
          <w:iCs/>
        </w:rPr>
        <w:t xml:space="preserve"> and </w:t>
      </w:r>
      <w:r w:rsidRPr="001A3D2B">
        <w:rPr>
          <w:i/>
          <w:iCs/>
        </w:rPr>
        <w:t>Midwifery</w:t>
      </w:r>
      <w:r w:rsidRPr="001A3D2B">
        <w:t xml:space="preserve">, </w:t>
      </w:r>
      <w:r w:rsidRPr="001A3D2B">
        <w:rPr>
          <w:b/>
        </w:rPr>
        <w:t>8</w:t>
      </w:r>
      <w:r w:rsidRPr="001A3D2B">
        <w:t xml:space="preserve"> (4), 211-216.</w:t>
      </w:r>
    </w:p>
    <w:p w:rsidR="003474F2" w:rsidRPr="001A3D2B" w:rsidRDefault="003474F2" w:rsidP="003474F2">
      <w:pPr>
        <w:pStyle w:val="a3"/>
      </w:pPr>
      <w:r w:rsidRPr="001A3D2B">
        <w:t xml:space="preserve">Full Text: </w:t>
      </w:r>
      <w:hyperlink r:id="rId968" w:history="1">
        <w:r w:rsidRPr="001A3D2B">
          <w:rPr>
            <w:rStyle w:val="a5"/>
          </w:rPr>
          <w:t>2002\Com</w:t>
        </w:r>
        <w:r w:rsidR="003A1917">
          <w:rPr>
            <w:rStyle w:val="a5"/>
          </w:rPr>
          <w:t xml:space="preserve"> the </w:t>
        </w:r>
        <w:r w:rsidRPr="001A3D2B">
          <w:rPr>
            <w:rStyle w:val="a5"/>
          </w:rPr>
          <w:t>Nur Mid8, 211.pdf</w:t>
        </w:r>
      </w:hyperlink>
    </w:p>
    <w:p w:rsidR="003474F2" w:rsidRPr="001A3D2B" w:rsidRDefault="003474F2" w:rsidP="003474F2">
      <w:pPr>
        <w:pStyle w:val="a3"/>
      </w:pPr>
      <w:r w:rsidRPr="001A3D2B">
        <w:t>Abstract: For many centuries science</w:t>
      </w:r>
      <w:r w:rsidR="005853A9">
        <w:t xml:space="preserve"> and </w:t>
      </w:r>
      <w:r w:rsidRPr="001A3D2B">
        <w:t>art have been studied as completely separate disciplines,</w:t>
      </w:r>
      <w:r w:rsidR="005853A9">
        <w:t xml:space="preserve"> and </w:t>
      </w:r>
      <w:r w:rsidRPr="001A3D2B">
        <w:t>career paths likewise, have diverged. However, in recent years there has been a renewed cultural interest in art/science collaborations, coupled with</w:t>
      </w:r>
      <w:r w:rsidR="003A1917">
        <w:t xml:space="preserve"> the </w:t>
      </w:r>
      <w:r w:rsidRPr="001A3D2B">
        <w:t>perception that a medical education which did not embrace</w:t>
      </w:r>
      <w:r w:rsidR="003A1917">
        <w:t xml:space="preserve"> the </w:t>
      </w:r>
      <w:r w:rsidRPr="001A3D2B">
        <w:t xml:space="preserve">humanities </w:t>
      </w:r>
      <w:r w:rsidR="0071223E">
        <w:t>‘</w:t>
      </w:r>
      <w:r w:rsidRPr="001A3D2B">
        <w:t>tended to brutalize</w:t>
      </w:r>
      <w:r w:rsidR="005853A9">
        <w:t xml:space="preserve"> and </w:t>
      </w:r>
      <w:r w:rsidRPr="001A3D2B">
        <w:t>dehumanize</w:t>
      </w:r>
      <w:r w:rsidR="0071223E">
        <w:t>’</w:t>
      </w:r>
      <w:r w:rsidRPr="001A3D2B">
        <w:t xml:space="preserve"> (Weatherall, British Medical Journal 309 (1994) 1671–1672) future doctors. It was against this background</w:t>
      </w:r>
      <w:r w:rsidR="00427468">
        <w:t xml:space="preserve"> of </w:t>
      </w:r>
      <w:r w:rsidR="003A1917">
        <w:t xml:space="preserve">the </w:t>
      </w:r>
      <w:r w:rsidRPr="001A3D2B">
        <w:t>growth</w:t>
      </w:r>
      <w:r w:rsidR="00427468">
        <w:t xml:space="preserve"> of </w:t>
      </w:r>
      <w:r w:rsidRPr="001A3D2B">
        <w:t>multi-disciplinary collaborative projects</w:t>
      </w:r>
      <w:r w:rsidR="005853A9">
        <w:t xml:space="preserve"> and </w:t>
      </w:r>
      <w:r w:rsidRPr="001A3D2B">
        <w:t xml:space="preserve">a dissatisfaction with an </w:t>
      </w:r>
      <w:r w:rsidR="0071223E">
        <w:t>‘</w:t>
      </w:r>
      <w:r w:rsidRPr="001A3D2B">
        <w:t>incomplete</w:t>
      </w:r>
      <w:r w:rsidR="0071223E">
        <w:t>’</w:t>
      </w:r>
      <w:r w:rsidRPr="001A3D2B">
        <w:t xml:space="preserve"> medical education, that an opportunity arose for a visual arts course to be set up at a </w:t>
      </w:r>
      <w:smartTag w:uri="urn:schemas-microsoft-com:office:smarttags" w:element="place">
        <w:smartTag w:uri="urn:schemas-microsoft-com:office:smarttags" w:element="City">
          <w:r w:rsidRPr="001A3D2B">
            <w:t>London</w:t>
          </w:r>
        </w:smartTag>
      </w:smartTag>
      <w:r w:rsidRPr="001A3D2B">
        <w:t xml:space="preserve"> teaching hospital in 1999</w:t>
      </w:r>
      <w:r w:rsidR="00A37C1D">
        <w:t>. The</w:t>
      </w:r>
      <w:r w:rsidR="003A1917">
        <w:t xml:space="preserve"> </w:t>
      </w:r>
      <w:r w:rsidRPr="001A3D2B">
        <w:t>following dialogue sets out to explore</w:t>
      </w:r>
      <w:r w:rsidR="003A1917">
        <w:t xml:space="preserve"> the </w:t>
      </w:r>
      <w:r w:rsidRPr="001A3D2B">
        <w:t>difficulties,</w:t>
      </w:r>
      <w:r w:rsidR="003A1917">
        <w:t xml:space="preserve"> the </w:t>
      </w:r>
      <w:r w:rsidRPr="001A3D2B">
        <w:t>great joys</w:t>
      </w:r>
      <w:r w:rsidR="005853A9">
        <w:t xml:space="preserve"> and </w:t>
      </w:r>
      <w:r w:rsidR="003A1917">
        <w:t xml:space="preserve">the </w:t>
      </w:r>
      <w:r w:rsidRPr="001A3D2B">
        <w:t xml:space="preserve">emotions generated by a </w:t>
      </w:r>
      <w:r w:rsidR="0071223E">
        <w:t>‘</w:t>
      </w:r>
      <w:r w:rsidR="00C13DDC">
        <w:t>s</w:t>
      </w:r>
      <w:r w:rsidRPr="001A3D2B">
        <w:t>pecial Study Module</w:t>
      </w:r>
      <w:r w:rsidR="0071223E">
        <w:t>’</w:t>
      </w:r>
      <w:r w:rsidRPr="001A3D2B">
        <w:t xml:space="preserve"> created by both artists</w:t>
      </w:r>
      <w:r w:rsidR="005853A9">
        <w:t xml:space="preserve"> and </w:t>
      </w:r>
      <w:r w:rsidRPr="001A3D2B">
        <w:t>clinicians.</w:t>
      </w:r>
    </w:p>
    <w:p w:rsidR="00FF063B" w:rsidRPr="001A3D2B" w:rsidRDefault="00FF063B" w:rsidP="00FF063B">
      <w:pPr>
        <w:pStyle w:val="1"/>
        <w:rPr>
          <w:lang w:val="fr-FR"/>
        </w:rPr>
      </w:pPr>
      <w:r w:rsidRPr="001A3D2B">
        <w:rPr>
          <w:lang w:val="fr-FR"/>
        </w:rPr>
        <w:br w:type="page"/>
      </w:r>
      <w:bookmarkStart w:id="361" w:name="_Toc420815084"/>
      <w:r w:rsidRPr="001A3D2B">
        <w:rPr>
          <w:lang w:val="fr-FR"/>
        </w:rPr>
        <w:lastRenderedPageBreak/>
        <w:t xml:space="preserve">Title: </w:t>
      </w:r>
      <w:r w:rsidRPr="00FF063B">
        <w:t>Comprehensive Evaluation</w:t>
      </w:r>
      <w:r w:rsidR="00427468">
        <w:t xml:space="preserve"> of </w:t>
      </w:r>
      <w:r w:rsidRPr="00FF063B">
        <w:t>Economy</w:t>
      </w:r>
      <w:r w:rsidR="005853A9">
        <w:t xml:space="preserve"> and </w:t>
      </w:r>
      <w:r w:rsidRPr="00FF063B">
        <w:t>Society with Statistical Science</w:t>
      </w:r>
      <w:bookmarkEnd w:id="361"/>
    </w:p>
    <w:p w:rsidR="00FF063B" w:rsidRPr="001A3D2B" w:rsidRDefault="00FF063B" w:rsidP="00FF063B">
      <w:pPr>
        <w:pStyle w:val="12"/>
      </w:pPr>
      <w:r w:rsidRPr="001A3D2B">
        <w:t xml:space="preserve">Full Journal Title: </w:t>
      </w:r>
      <w:r w:rsidRPr="00FF063B">
        <w:rPr>
          <w:iCs/>
          <w:kern w:val="0"/>
        </w:rPr>
        <w:t>Comprehensive Evaluation</w:t>
      </w:r>
      <w:r w:rsidR="00427468">
        <w:rPr>
          <w:iCs/>
          <w:kern w:val="0"/>
        </w:rPr>
        <w:t xml:space="preserve"> of </w:t>
      </w:r>
      <w:r w:rsidRPr="00FF063B">
        <w:rPr>
          <w:iCs/>
          <w:kern w:val="0"/>
        </w:rPr>
        <w:t>Economy</w:t>
      </w:r>
      <w:r w:rsidR="005853A9">
        <w:rPr>
          <w:iCs/>
          <w:kern w:val="0"/>
        </w:rPr>
        <w:t xml:space="preserve"> and </w:t>
      </w:r>
      <w:r w:rsidRPr="00FF063B">
        <w:rPr>
          <w:iCs/>
          <w:kern w:val="0"/>
        </w:rPr>
        <w:t>Society with Statistical Science</w:t>
      </w:r>
    </w:p>
    <w:p w:rsidR="00FF063B" w:rsidRPr="001A3D2B" w:rsidRDefault="00FF063B" w:rsidP="00FF063B">
      <w:pPr>
        <w:pStyle w:val="12"/>
      </w:pPr>
      <w:r w:rsidRPr="001A3D2B">
        <w:t xml:space="preserve">ISO Abbreviated Title: </w:t>
      </w:r>
    </w:p>
    <w:p w:rsidR="00FF063B" w:rsidRPr="001A3D2B" w:rsidRDefault="00FF063B" w:rsidP="00FF063B">
      <w:pPr>
        <w:pStyle w:val="12"/>
      </w:pPr>
      <w:r w:rsidRPr="001A3D2B">
        <w:t xml:space="preserve">JCR Abbreviated Title: </w:t>
      </w:r>
    </w:p>
    <w:p w:rsidR="00FF063B" w:rsidRPr="001A3D2B" w:rsidRDefault="00FF063B" w:rsidP="00FF063B">
      <w:pPr>
        <w:pStyle w:val="12"/>
      </w:pPr>
      <w:r w:rsidRPr="001A3D2B">
        <w:t xml:space="preserve">ISSN: </w:t>
      </w:r>
    </w:p>
    <w:p w:rsidR="00FF063B" w:rsidRPr="001A3D2B" w:rsidRDefault="00FF063B" w:rsidP="00FF063B">
      <w:pPr>
        <w:pStyle w:val="12"/>
      </w:pPr>
      <w:r w:rsidRPr="001A3D2B">
        <w:t xml:space="preserve">Issues/Year: </w:t>
      </w:r>
    </w:p>
    <w:p w:rsidR="00FF063B" w:rsidRPr="001A3D2B" w:rsidRDefault="00FF063B" w:rsidP="00FF063B">
      <w:pPr>
        <w:pStyle w:val="12"/>
      </w:pPr>
      <w:r w:rsidRPr="001A3D2B">
        <w:t xml:space="preserve">Journal Country/Territory: </w:t>
      </w:r>
    </w:p>
    <w:p w:rsidR="00FF063B" w:rsidRPr="001A3D2B" w:rsidRDefault="00FF063B" w:rsidP="00FF063B">
      <w:pPr>
        <w:pStyle w:val="12"/>
      </w:pPr>
      <w:r w:rsidRPr="001A3D2B">
        <w:t xml:space="preserve">Language: </w:t>
      </w:r>
    </w:p>
    <w:p w:rsidR="00FF063B" w:rsidRPr="001A3D2B" w:rsidRDefault="00FF063B" w:rsidP="00FF063B">
      <w:pPr>
        <w:pStyle w:val="12"/>
      </w:pPr>
      <w:r w:rsidRPr="001A3D2B">
        <w:t xml:space="preserve">Publisher: </w:t>
      </w:r>
    </w:p>
    <w:p w:rsidR="00FF063B" w:rsidRPr="001A3D2B" w:rsidRDefault="00FF063B" w:rsidP="00FF063B">
      <w:pPr>
        <w:pStyle w:val="12"/>
      </w:pPr>
      <w:r w:rsidRPr="001A3D2B">
        <w:t xml:space="preserve">Publisher Address: </w:t>
      </w:r>
    </w:p>
    <w:p w:rsidR="00FF063B" w:rsidRPr="001A3D2B" w:rsidRDefault="00FF063B" w:rsidP="00FF063B">
      <w:pPr>
        <w:pStyle w:val="12"/>
      </w:pPr>
      <w:r w:rsidRPr="001A3D2B">
        <w:t xml:space="preserve">Subject Categories: </w:t>
      </w:r>
    </w:p>
    <w:p w:rsidR="00FF063B" w:rsidRPr="001A3D2B" w:rsidRDefault="00FF063B" w:rsidP="00FF063B">
      <w:pPr>
        <w:pStyle w:val="12"/>
      </w:pPr>
      <w:r w:rsidRPr="001A3D2B">
        <w:t xml:space="preserve">: Impact Factor </w:t>
      </w:r>
    </w:p>
    <w:p w:rsidR="00FF063B" w:rsidRDefault="00FF063B" w:rsidP="00FF063B">
      <w:pPr>
        <w:pStyle w:val="a3"/>
        <w:rPr>
          <w:kern w:val="0"/>
        </w:rPr>
      </w:pPr>
      <w:r>
        <w:rPr>
          <w:rFonts w:hint="eastAsia"/>
          <w:kern w:val="0"/>
        </w:rPr>
        <w:t xml:space="preserve">? </w:t>
      </w:r>
      <w:r>
        <w:rPr>
          <w:kern w:val="0"/>
        </w:rPr>
        <w:t>Hu, H.</w:t>
      </w:r>
      <w:r w:rsidR="005853A9">
        <w:rPr>
          <w:kern w:val="0"/>
        </w:rPr>
        <w:t xml:space="preserve"> and </w:t>
      </w:r>
      <w:r>
        <w:rPr>
          <w:kern w:val="0"/>
        </w:rPr>
        <w:t>Zeng, S.L. (2009), A study on</w:t>
      </w:r>
      <w:r w:rsidR="003A1917">
        <w:rPr>
          <w:kern w:val="0"/>
        </w:rPr>
        <w:t xml:space="preserve"> the </w:t>
      </w:r>
      <w:r>
        <w:rPr>
          <w:kern w:val="0"/>
        </w:rPr>
        <w:t>research performance evaluation model</w:t>
      </w:r>
      <w:r w:rsidR="00427468">
        <w:rPr>
          <w:kern w:val="0"/>
        </w:rPr>
        <w:t xml:space="preserve"> of </w:t>
      </w:r>
      <w:r>
        <w:rPr>
          <w:kern w:val="0"/>
        </w:rPr>
        <w:t>university departments</w:t>
      </w:r>
      <w:r w:rsidR="005853A9">
        <w:rPr>
          <w:kern w:val="0"/>
        </w:rPr>
        <w:t xml:space="preserve"> and </w:t>
      </w:r>
      <w:r>
        <w:rPr>
          <w:kern w:val="0"/>
        </w:rPr>
        <w:t xml:space="preserve">its empirical research. </w:t>
      </w:r>
      <w:r w:rsidRPr="00FF063B">
        <w:rPr>
          <w:i/>
          <w:iCs/>
          <w:kern w:val="0"/>
        </w:rPr>
        <w:t>Comprehensive Evaluation</w:t>
      </w:r>
      <w:r w:rsidR="00427468">
        <w:rPr>
          <w:i/>
          <w:iCs/>
          <w:kern w:val="0"/>
        </w:rPr>
        <w:t xml:space="preserve"> of </w:t>
      </w:r>
      <w:r w:rsidRPr="00FF063B">
        <w:rPr>
          <w:i/>
          <w:iCs/>
          <w:kern w:val="0"/>
        </w:rPr>
        <w:t>Economy</w:t>
      </w:r>
      <w:r w:rsidR="005853A9">
        <w:rPr>
          <w:i/>
          <w:iCs/>
          <w:kern w:val="0"/>
        </w:rPr>
        <w:t xml:space="preserve"> and </w:t>
      </w:r>
      <w:r w:rsidRPr="00FF063B">
        <w:rPr>
          <w:i/>
          <w:iCs/>
          <w:kern w:val="0"/>
        </w:rPr>
        <w:t>Society with Statistical Science</w:t>
      </w:r>
      <w:r>
        <w:rPr>
          <w:kern w:val="0"/>
        </w:rPr>
        <w:t>, 1101-1107.</w:t>
      </w:r>
    </w:p>
    <w:p w:rsidR="00FF063B" w:rsidRDefault="00FF063B" w:rsidP="00FF063B">
      <w:pPr>
        <w:pStyle w:val="a3"/>
        <w:rPr>
          <w:kern w:val="0"/>
        </w:rPr>
      </w:pPr>
      <w:r>
        <w:rPr>
          <w:kern w:val="0"/>
        </w:rPr>
        <w:t>Abstract: As</w:t>
      </w:r>
      <w:r w:rsidR="003A1917">
        <w:rPr>
          <w:kern w:val="0"/>
        </w:rPr>
        <w:t xml:space="preserve"> the </w:t>
      </w:r>
      <w:r>
        <w:rPr>
          <w:kern w:val="0"/>
        </w:rPr>
        <w:t>major source</w:t>
      </w:r>
      <w:r w:rsidR="005853A9">
        <w:rPr>
          <w:kern w:val="0"/>
        </w:rPr>
        <w:t xml:space="preserve"> and </w:t>
      </w:r>
      <w:r w:rsidR="003A1917">
        <w:rPr>
          <w:kern w:val="0"/>
        </w:rPr>
        <w:t xml:space="preserve">the </w:t>
      </w:r>
      <w:r>
        <w:rPr>
          <w:kern w:val="0"/>
        </w:rPr>
        <w:t>primary impetus behind</w:t>
      </w:r>
      <w:r w:rsidR="003A1917">
        <w:rPr>
          <w:kern w:val="0"/>
        </w:rPr>
        <w:t xml:space="preserve"> the </w:t>
      </w:r>
      <w:r>
        <w:rPr>
          <w:kern w:val="0"/>
        </w:rPr>
        <w:t>S&amp;T innovation, colleges</w:t>
      </w:r>
      <w:r w:rsidR="005853A9">
        <w:rPr>
          <w:kern w:val="0"/>
        </w:rPr>
        <w:t xml:space="preserve"> and </w:t>
      </w:r>
      <w:r>
        <w:rPr>
          <w:kern w:val="0"/>
        </w:rPr>
        <w:t>universities play a distinctive</w:t>
      </w:r>
      <w:r w:rsidR="005853A9">
        <w:rPr>
          <w:kern w:val="0"/>
        </w:rPr>
        <w:t xml:space="preserve"> and </w:t>
      </w:r>
      <w:r>
        <w:rPr>
          <w:kern w:val="0"/>
        </w:rPr>
        <w:t>important role in</w:t>
      </w:r>
      <w:r w:rsidR="003A1917">
        <w:rPr>
          <w:kern w:val="0"/>
        </w:rPr>
        <w:t xml:space="preserve"> the </w:t>
      </w:r>
      <w:r>
        <w:rPr>
          <w:kern w:val="0"/>
        </w:rPr>
        <w:t>national innovation system. To evaluate</w:t>
      </w:r>
      <w:r w:rsidR="003A1917">
        <w:rPr>
          <w:kern w:val="0"/>
        </w:rPr>
        <w:t xml:space="preserve"> the </w:t>
      </w:r>
      <w:r>
        <w:rPr>
          <w:kern w:val="0"/>
        </w:rPr>
        <w:t>research performance based on scientometric</w:t>
      </w:r>
      <w:r w:rsidR="005853A9">
        <w:rPr>
          <w:kern w:val="0"/>
        </w:rPr>
        <w:t xml:space="preserve"> and </w:t>
      </w:r>
      <w:r>
        <w:rPr>
          <w:kern w:val="0"/>
        </w:rPr>
        <w:t>bibliometric methods is an important part</w:t>
      </w:r>
      <w:r w:rsidR="00427468">
        <w:rPr>
          <w:kern w:val="0"/>
        </w:rPr>
        <w:t xml:space="preserve"> of </w:t>
      </w:r>
      <w:r>
        <w:rPr>
          <w:kern w:val="0"/>
        </w:rPr>
        <w:t>universities</w:t>
      </w:r>
      <w:r w:rsidR="0071223E">
        <w:rPr>
          <w:kern w:val="0"/>
        </w:rPr>
        <w:t>’</w:t>
      </w:r>
      <w:r>
        <w:rPr>
          <w:kern w:val="0"/>
        </w:rPr>
        <w:t xml:space="preserve"> R&amp;D management</w:t>
      </w:r>
      <w:r w:rsidR="005853A9">
        <w:rPr>
          <w:kern w:val="0"/>
        </w:rPr>
        <w:t xml:space="preserve"> and </w:t>
      </w:r>
      <w:r>
        <w:rPr>
          <w:kern w:val="0"/>
        </w:rPr>
        <w:t>also an essential aspect</w:t>
      </w:r>
      <w:r w:rsidR="00427468">
        <w:rPr>
          <w:kern w:val="0"/>
        </w:rPr>
        <w:t xml:space="preserve"> of </w:t>
      </w:r>
      <w:r w:rsidR="003A1917">
        <w:rPr>
          <w:kern w:val="0"/>
        </w:rPr>
        <w:t xml:space="preserve">the </w:t>
      </w:r>
      <w:r>
        <w:rPr>
          <w:kern w:val="0"/>
        </w:rPr>
        <w:t>researches</w:t>
      </w:r>
      <w:r w:rsidR="00427468">
        <w:rPr>
          <w:kern w:val="0"/>
        </w:rPr>
        <w:t xml:space="preserve"> of </w:t>
      </w:r>
      <w:r>
        <w:rPr>
          <w:kern w:val="0"/>
        </w:rPr>
        <w:t>scientometrics</w:t>
      </w:r>
      <w:r w:rsidR="005853A9">
        <w:rPr>
          <w:kern w:val="0"/>
        </w:rPr>
        <w:t xml:space="preserve"> and </w:t>
      </w:r>
      <w:r>
        <w:rPr>
          <w:kern w:val="0"/>
        </w:rPr>
        <w:t>bibliometrics.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classification results</w:t>
      </w:r>
      <w:r w:rsidR="00427468">
        <w:rPr>
          <w:kern w:val="0"/>
        </w:rPr>
        <w:t xml:space="preserve"> of </w:t>
      </w:r>
      <w:r>
        <w:rPr>
          <w:kern w:val="0"/>
        </w:rPr>
        <w:t>academic journals</w:t>
      </w:r>
      <w:r w:rsidR="00427468">
        <w:rPr>
          <w:kern w:val="0"/>
        </w:rPr>
        <w:t xml:space="preserve"> of </w:t>
      </w:r>
      <w:r>
        <w:rPr>
          <w:kern w:val="0"/>
        </w:rPr>
        <w:t>Research Center for China Science Evaluation at Wuhan University, we define</w:t>
      </w:r>
      <w:r w:rsidR="003A1917">
        <w:rPr>
          <w:kern w:val="0"/>
        </w:rPr>
        <w:t xml:space="preserve"> the </w:t>
      </w:r>
      <w:r>
        <w:rPr>
          <w:kern w:val="0"/>
        </w:rPr>
        <w:t>non-academic journals</w:t>
      </w:r>
      <w:r w:rsidR="005853A9">
        <w:rPr>
          <w:kern w:val="0"/>
        </w:rPr>
        <w:t xml:space="preserve"> and </w:t>
      </w:r>
      <w:r>
        <w:rPr>
          <w:kern w:val="0"/>
        </w:rPr>
        <w:t>papers as</w:t>
      </w:r>
      <w:r w:rsidR="003A1917">
        <w:rPr>
          <w:kern w:val="0"/>
        </w:rPr>
        <w:t xml:space="preserve"> the </w:t>
      </w:r>
      <w:r>
        <w:rPr>
          <w:kern w:val="0"/>
        </w:rPr>
        <w:t>negative output (or input) indicators in assessing research performance;</w:t>
      </w:r>
      <w:r w:rsidR="005853A9">
        <w:rPr>
          <w:kern w:val="0"/>
        </w:rPr>
        <w:t xml:space="preserve"> and </w:t>
      </w:r>
      <w:r w:rsidR="003A1917">
        <w:rPr>
          <w:kern w:val="0"/>
        </w:rPr>
        <w:t xml:space="preserve">the </w:t>
      </w:r>
      <w:r>
        <w:rPr>
          <w:kern w:val="0"/>
        </w:rPr>
        <w:t>input-output indicators for</w:t>
      </w:r>
      <w:r w:rsidR="003A1917">
        <w:rPr>
          <w:kern w:val="0"/>
        </w:rPr>
        <w:t xml:space="preserve"> the </w:t>
      </w:r>
      <w:r>
        <w:rPr>
          <w:kern w:val="0"/>
        </w:rPr>
        <w:t>evaluation</w:t>
      </w:r>
      <w:r w:rsidR="00427468">
        <w:rPr>
          <w:kern w:val="0"/>
        </w:rPr>
        <w:t xml:space="preserve"> of </w:t>
      </w:r>
      <w:r>
        <w:rPr>
          <w:kern w:val="0"/>
        </w:rPr>
        <w:t>research performance</w:t>
      </w:r>
      <w:r w:rsidR="00427468">
        <w:rPr>
          <w:kern w:val="0"/>
        </w:rPr>
        <w:t xml:space="preserve"> of </w:t>
      </w:r>
      <w:r>
        <w:rPr>
          <w:kern w:val="0"/>
        </w:rPr>
        <w:t>universities are set up accordingly</w:t>
      </w:r>
      <w:r w:rsidR="00A37C1D">
        <w:rPr>
          <w:kern w:val="0"/>
        </w:rPr>
        <w:t>. The</w:t>
      </w:r>
      <w:r w:rsidR="003A1917">
        <w:rPr>
          <w:kern w:val="0"/>
        </w:rPr>
        <w:t xml:space="preserve"> </w:t>
      </w:r>
      <w:r>
        <w:rPr>
          <w:kern w:val="0"/>
        </w:rPr>
        <w:t>relative efficiency</w:t>
      </w:r>
      <w:r w:rsidR="00427468">
        <w:rPr>
          <w:kern w:val="0"/>
        </w:rPr>
        <w:t xml:space="preserve"> of </w:t>
      </w:r>
      <w:r>
        <w:rPr>
          <w:kern w:val="0"/>
        </w:rPr>
        <w:t>research performance is evaluated with super-efficiency data envelopment analysis (SE-DEA) model,</w:t>
      </w:r>
      <w:r w:rsidR="005853A9">
        <w:rPr>
          <w:kern w:val="0"/>
        </w:rPr>
        <w:t xml:space="preserve"> and </w:t>
      </w:r>
      <w:r w:rsidR="003A1917">
        <w:rPr>
          <w:kern w:val="0"/>
        </w:rPr>
        <w:t xml:space="preserve">the </w:t>
      </w:r>
      <w:r>
        <w:rPr>
          <w:kern w:val="0"/>
        </w:rPr>
        <w:t>empirical study</w:t>
      </w:r>
      <w:r w:rsidR="00427468">
        <w:rPr>
          <w:kern w:val="0"/>
        </w:rPr>
        <w:t xml:space="preserve"> of </w:t>
      </w:r>
      <w:r>
        <w:rPr>
          <w:kern w:val="0"/>
        </w:rPr>
        <w:t>10 schools</w:t>
      </w:r>
      <w:r w:rsidR="00427468">
        <w:rPr>
          <w:kern w:val="0"/>
        </w:rPr>
        <w:t xml:space="preserve"> of </w:t>
      </w:r>
      <w:r>
        <w:rPr>
          <w:kern w:val="0"/>
        </w:rPr>
        <w:t>a university is carried out with field survey data</w:t>
      </w:r>
      <w:r w:rsidR="00A37C1D">
        <w:rPr>
          <w:kern w:val="0"/>
        </w:rPr>
        <w:t>. The</w:t>
      </w:r>
      <w:r w:rsidR="003A1917">
        <w:rPr>
          <w:kern w:val="0"/>
        </w:rPr>
        <w:t xml:space="preserve"> </w:t>
      </w:r>
      <w:r>
        <w:rPr>
          <w:kern w:val="0"/>
        </w:rPr>
        <w:t>result shows that</w:t>
      </w:r>
      <w:r w:rsidR="003A1917">
        <w:rPr>
          <w:kern w:val="0"/>
        </w:rPr>
        <w:t xml:space="preserve"> the </w:t>
      </w:r>
      <w:r>
        <w:rPr>
          <w:kern w:val="0"/>
        </w:rPr>
        <w:t>assessment model based on SE-DEA not only can be used to evaluate</w:t>
      </w:r>
      <w:r w:rsidR="003A1917">
        <w:rPr>
          <w:kern w:val="0"/>
        </w:rPr>
        <w:t xml:space="preserve"> the </w:t>
      </w:r>
      <w:r>
        <w:rPr>
          <w:kern w:val="0"/>
        </w:rPr>
        <w:t>relative efficiency</w:t>
      </w:r>
      <w:r w:rsidR="005853A9">
        <w:rPr>
          <w:kern w:val="0"/>
        </w:rPr>
        <w:t xml:space="preserve"> and </w:t>
      </w:r>
      <w:r w:rsidR="003A1917">
        <w:rPr>
          <w:kern w:val="0"/>
        </w:rPr>
        <w:t xml:space="preserve">the </w:t>
      </w:r>
      <w:r>
        <w:rPr>
          <w:kern w:val="0"/>
        </w:rPr>
        <w:t>performance</w:t>
      </w:r>
      <w:r w:rsidR="00427468">
        <w:rPr>
          <w:kern w:val="0"/>
        </w:rPr>
        <w:t xml:space="preserve"> of </w:t>
      </w:r>
      <w:r>
        <w:rPr>
          <w:kern w:val="0"/>
        </w:rPr>
        <w:t>research performance for different schools or universities, but also may be applied to set up</w:t>
      </w:r>
      <w:r w:rsidR="003A1917">
        <w:rPr>
          <w:kern w:val="0"/>
        </w:rPr>
        <w:t xml:space="preserve"> the </w:t>
      </w:r>
      <w:r>
        <w:rPr>
          <w:kern w:val="0"/>
        </w:rPr>
        <w:t>benchmark</w:t>
      </w:r>
      <w:r w:rsidR="00427468">
        <w:rPr>
          <w:kern w:val="0"/>
        </w:rPr>
        <w:t xml:space="preserve"> of </w:t>
      </w:r>
      <w:r>
        <w:rPr>
          <w:kern w:val="0"/>
        </w:rPr>
        <w:t>R&amp;D management for universities.</w:t>
      </w:r>
    </w:p>
    <w:p w:rsidR="00FF063B" w:rsidRDefault="00FF063B" w:rsidP="00FF063B">
      <w:pPr>
        <w:pStyle w:val="a3"/>
        <w:rPr>
          <w:kern w:val="0"/>
        </w:rPr>
      </w:pPr>
      <w:r>
        <w:rPr>
          <w:kern w:val="0"/>
        </w:rPr>
        <w:t xml:space="preserve">Keywords: Assessment, Benchmarking Management, Bibliometric, Bibliometrics, China, Classification, Data Envelopment Analysis, Efficiency, Evaluation, Indicators, Innovation, Innovation System, Journals, Methods, Model, Negative Output, Primary, R&amp;D, R&amp;D Management, Research, Research Performance, Science, Scientometrics, </w:t>
      </w:r>
      <w:r>
        <w:rPr>
          <w:kern w:val="0"/>
        </w:rPr>
        <w:lastRenderedPageBreak/>
        <w:t>Size, Super-Efficiency Data Envelopment Analysis, System, Undesirable Factors, Units, Universities, University</w:t>
      </w:r>
    </w:p>
    <w:p w:rsidR="003474F2" w:rsidRPr="001A3D2B" w:rsidRDefault="003474F2" w:rsidP="003474F2">
      <w:pPr>
        <w:pStyle w:val="1"/>
        <w:rPr>
          <w:lang w:val="fr-FR"/>
        </w:rPr>
      </w:pPr>
      <w:r w:rsidRPr="001A3D2B">
        <w:rPr>
          <w:lang w:val="fr-FR"/>
        </w:rPr>
        <w:br w:type="page"/>
      </w:r>
      <w:bookmarkStart w:id="362" w:name="_Toc420815085"/>
      <w:r w:rsidRPr="001A3D2B">
        <w:rPr>
          <w:lang w:val="fr-FR"/>
        </w:rPr>
        <w:lastRenderedPageBreak/>
        <w:t xml:space="preserve">Title: </w:t>
      </w:r>
      <w:r w:rsidRPr="001A3D2B">
        <w:t>Comprehensive Gerontology. Section A, Clinical</w:t>
      </w:r>
      <w:r w:rsidR="005853A9">
        <w:t xml:space="preserve"> and </w:t>
      </w:r>
      <w:r w:rsidRPr="001A3D2B">
        <w:t>Laboratory Sciences</w:t>
      </w:r>
      <w:bookmarkEnd w:id="362"/>
    </w:p>
    <w:p w:rsidR="003474F2" w:rsidRPr="001A3D2B" w:rsidRDefault="003474F2" w:rsidP="003474F2">
      <w:pPr>
        <w:pStyle w:val="12"/>
      </w:pPr>
      <w:r w:rsidRPr="001A3D2B">
        <w:t>Full Journal Title: Comprehensive Gerontology. Section A, Clinical</w:t>
      </w:r>
      <w:r w:rsidR="005853A9">
        <w:t xml:space="preserve"> and </w:t>
      </w:r>
      <w:r w:rsidRPr="001A3D2B">
        <w:t>Laboratory Sciences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Compr Gerontol [A]</w:t>
      </w:r>
    </w:p>
    <w:p w:rsidR="003474F2" w:rsidRPr="001A3D2B" w:rsidRDefault="003474F2" w:rsidP="003474F2">
      <w:pPr>
        <w:pStyle w:val="12"/>
      </w:pPr>
      <w:r w:rsidRPr="001A3D2B">
        <w:t>ISSN: 0902-0071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Duplenko, Y.</w:t>
      </w:r>
      <w:r w:rsidR="005853A9">
        <w:t xml:space="preserve"> and </w:t>
      </w:r>
      <w:r w:rsidRPr="001A3D2B">
        <w:t>Burchinsky, S.G. (1989), Quantitative analysis</w:t>
      </w:r>
      <w:r w:rsidR="00427468">
        <w:t xml:space="preserve"> of </w:t>
      </w:r>
      <w:r w:rsidRPr="001A3D2B">
        <w:t>current trends in</w:t>
      </w:r>
      <w:r w:rsidR="003A1917">
        <w:t xml:space="preserve"> the </w:t>
      </w:r>
      <w:r w:rsidRPr="001A3D2B">
        <w:t>development</w:t>
      </w:r>
      <w:r w:rsidR="00427468">
        <w:t xml:space="preserve"> of </w:t>
      </w:r>
      <w:r w:rsidRPr="001A3D2B">
        <w:t>biology</w:t>
      </w:r>
      <w:r w:rsidR="00427468">
        <w:t xml:space="preserve"> of </w:t>
      </w:r>
      <w:r w:rsidRPr="001A3D2B">
        <w:t>aging: Scientometric</w:t>
      </w:r>
      <w:r w:rsidR="005853A9">
        <w:t xml:space="preserve"> and </w:t>
      </w:r>
      <w:r w:rsidRPr="001A3D2B">
        <w:t xml:space="preserve">expert values. </w:t>
      </w:r>
      <w:r w:rsidRPr="001A3D2B">
        <w:rPr>
          <w:i/>
        </w:rPr>
        <w:t>Comprehensive Gerontology. Section A, Clinical</w:t>
      </w:r>
      <w:r w:rsidR="005853A9">
        <w:rPr>
          <w:i/>
        </w:rPr>
        <w:t xml:space="preserve"> and </w:t>
      </w:r>
      <w:r w:rsidRPr="001A3D2B">
        <w:rPr>
          <w:i/>
        </w:rPr>
        <w:t>Laboratory Sciences</w:t>
      </w:r>
      <w:r w:rsidRPr="001A3D2B">
        <w:t xml:space="preserve">, </w:t>
      </w:r>
      <w:r w:rsidRPr="001A3D2B">
        <w:rPr>
          <w:b/>
          <w:bCs/>
        </w:rPr>
        <w:t>3</w:t>
      </w:r>
      <w:r w:rsidRPr="001A3D2B">
        <w:t xml:space="preserve"> (Suppl), 23-27.</w:t>
      </w:r>
    </w:p>
    <w:p w:rsidR="003474F2" w:rsidRPr="001A3D2B" w:rsidRDefault="003474F2" w:rsidP="003474F2">
      <w:pPr>
        <w:pStyle w:val="a3"/>
      </w:pPr>
      <w:r w:rsidRPr="001A3D2B">
        <w:t>Abstract: Modern trends in</w:t>
      </w:r>
      <w:r w:rsidR="003A1917">
        <w:t xml:space="preserve"> the </w:t>
      </w:r>
      <w:r w:rsidRPr="001A3D2B">
        <w:t>development</w:t>
      </w:r>
      <w:r w:rsidR="00427468">
        <w:t xml:space="preserve"> of </w:t>
      </w:r>
      <w:r w:rsidRPr="001A3D2B">
        <w:t>biology</w:t>
      </w:r>
      <w:r w:rsidR="00427468">
        <w:t xml:space="preserve"> of </w:t>
      </w:r>
      <w:r w:rsidRPr="001A3D2B">
        <w:t>aging have been assessed quantitatively by means</w:t>
      </w:r>
      <w:r w:rsidR="00427468">
        <w:t xml:space="preserve"> of </w:t>
      </w:r>
      <w:r w:rsidR="003A1917">
        <w:t xml:space="preserve">the </w:t>
      </w:r>
      <w:r w:rsidRPr="001A3D2B">
        <w:t>scientometric</w:t>
      </w:r>
      <w:r w:rsidR="005853A9">
        <w:t xml:space="preserve"> and </w:t>
      </w:r>
      <w:r w:rsidRPr="001A3D2B">
        <w:t>collective expert values methods as a part</w:t>
      </w:r>
      <w:r w:rsidR="00427468">
        <w:t xml:space="preserve"> of </w:t>
      </w:r>
      <w:r w:rsidR="003A1917">
        <w:t xml:space="preserve">the </w:t>
      </w:r>
      <w:r w:rsidRPr="001A3D2B">
        <w:t>science</w:t>
      </w:r>
      <w:r w:rsidR="00434900">
        <w:t>-of-</w:t>
      </w:r>
      <w:r w:rsidRPr="001A3D2B">
        <w:t>science analysis</w:t>
      </w:r>
      <w:r w:rsidR="00A37C1D">
        <w:t>. The</w:t>
      </w:r>
      <w:r w:rsidR="003A1917">
        <w:t xml:space="preserve"> </w:t>
      </w:r>
      <w:r w:rsidRPr="001A3D2B">
        <w:t>main regularities in</w:t>
      </w:r>
      <w:r w:rsidR="003A1917">
        <w:t xml:space="preserve"> the </w:t>
      </w:r>
      <w:r w:rsidRPr="001A3D2B">
        <w:t>development</w:t>
      </w:r>
      <w:r w:rsidR="00427468">
        <w:t xml:space="preserve"> of </w:t>
      </w:r>
      <w:r w:rsidRPr="001A3D2B">
        <w:t>biology</w:t>
      </w:r>
      <w:r w:rsidR="00427468">
        <w:t xml:space="preserve"> of </w:t>
      </w:r>
      <w:r w:rsidRPr="001A3D2B">
        <w:t>aging during</w:t>
      </w:r>
      <w:r w:rsidR="003A1917">
        <w:t xml:space="preserve"> the </w:t>
      </w:r>
      <w:r w:rsidRPr="001A3D2B">
        <w:t>period 1975 to 1985 are established</w:t>
      </w:r>
      <w:r w:rsidR="005853A9">
        <w:t xml:space="preserve"> and </w:t>
      </w:r>
      <w:r w:rsidRPr="001A3D2B">
        <w:t>their comparative significance determined</w:t>
      </w:r>
      <w:r w:rsidR="00A37C1D">
        <w:t>. The</w:t>
      </w:r>
      <w:r w:rsidR="003A1917">
        <w:t xml:space="preserve"> </w:t>
      </w:r>
      <w:r w:rsidRPr="001A3D2B">
        <w:t>proposed complex approach as part</w:t>
      </w:r>
      <w:r w:rsidR="00427468">
        <w:t xml:space="preserve"> of </w:t>
      </w:r>
      <w:r w:rsidRPr="001A3D2B">
        <w:t>a science</w:t>
      </w:r>
      <w:r w:rsidR="00434900">
        <w:t>-of-</w:t>
      </w:r>
      <w:r w:rsidRPr="001A3D2B">
        <w:t>science analysis allows an objective quantitation</w:t>
      </w:r>
      <w:r w:rsidR="00427468">
        <w:t xml:space="preserve"> of </w:t>
      </w:r>
      <w:r w:rsidR="003A1917">
        <w:t xml:space="preserve">the </w:t>
      </w:r>
      <w:r w:rsidRPr="001A3D2B">
        <w:t>development dynamics</w:t>
      </w:r>
      <w:r w:rsidR="00427468">
        <w:t xml:space="preserve"> of </w:t>
      </w:r>
      <w:r w:rsidRPr="001A3D2B">
        <w:t>present basic research in gerontology.</w:t>
      </w:r>
    </w:p>
    <w:p w:rsidR="003474F2" w:rsidRPr="001A3D2B" w:rsidRDefault="003474F2" w:rsidP="003474F2">
      <w:pPr>
        <w:pStyle w:val="a3"/>
      </w:pPr>
      <w:r w:rsidRPr="001A3D2B">
        <w:t>Keywords: Aging, Analysis, Approach, Biology, Development, Dynamics, Gerontology, Methods, Research, Scientometric, Significance, Trends</w:t>
      </w:r>
    </w:p>
    <w:p w:rsidR="00B31EDC" w:rsidRPr="00C73C58" w:rsidRDefault="00B31EDC" w:rsidP="00B31EDC">
      <w:pPr>
        <w:pStyle w:val="1"/>
        <w:rPr>
          <w:lang w:val="fr-FR"/>
        </w:rPr>
      </w:pPr>
      <w:r w:rsidRPr="00C73C58">
        <w:rPr>
          <w:lang w:val="fr-FR"/>
        </w:rPr>
        <w:br w:type="page"/>
      </w:r>
      <w:bookmarkStart w:id="363" w:name="_Toc420815086"/>
      <w:r w:rsidRPr="00C73C58">
        <w:rPr>
          <w:lang w:val="fr-FR"/>
        </w:rPr>
        <w:lastRenderedPageBreak/>
        <w:t xml:space="preserve">Title: </w:t>
      </w:r>
      <w:r w:rsidRPr="003A2429">
        <w:rPr>
          <w:iCs w:val="0"/>
          <w:szCs w:val="24"/>
        </w:rPr>
        <w:t>Comprehensive Reviews in Food Science</w:t>
      </w:r>
      <w:r w:rsidR="005853A9">
        <w:rPr>
          <w:iCs w:val="0"/>
          <w:szCs w:val="24"/>
        </w:rPr>
        <w:t xml:space="preserve"> and </w:t>
      </w:r>
      <w:r w:rsidRPr="003A2429">
        <w:rPr>
          <w:iCs w:val="0"/>
          <w:szCs w:val="24"/>
        </w:rPr>
        <w:t>Food Safety</w:t>
      </w:r>
      <w:bookmarkEnd w:id="363"/>
    </w:p>
    <w:p w:rsidR="00B31EDC" w:rsidRPr="00C73C58" w:rsidRDefault="00B31EDC" w:rsidP="00B31EDC">
      <w:pPr>
        <w:pStyle w:val="12"/>
        <w:rPr>
          <w:lang w:val="fr-FR"/>
        </w:rPr>
      </w:pPr>
      <w:r w:rsidRPr="00C73C58">
        <w:rPr>
          <w:lang w:val="fr-FR"/>
        </w:rPr>
        <w:t xml:space="preserve">Full Journal Title: </w:t>
      </w:r>
      <w:r w:rsidRPr="003A2429">
        <w:rPr>
          <w:iCs/>
          <w:kern w:val="0"/>
        </w:rPr>
        <w:t>Comprehensive Reviews in Food Science</w:t>
      </w:r>
      <w:r w:rsidR="005853A9">
        <w:rPr>
          <w:iCs/>
          <w:kern w:val="0"/>
        </w:rPr>
        <w:t xml:space="preserve"> and </w:t>
      </w:r>
      <w:r w:rsidRPr="003A2429">
        <w:rPr>
          <w:iCs/>
          <w:kern w:val="0"/>
        </w:rPr>
        <w:t>Food Safety</w:t>
      </w:r>
    </w:p>
    <w:p w:rsidR="00B31EDC" w:rsidRPr="00C73C58" w:rsidRDefault="00B31EDC" w:rsidP="00B31EDC">
      <w:pPr>
        <w:pStyle w:val="12"/>
      </w:pPr>
      <w:r w:rsidRPr="00C73C58">
        <w:t xml:space="preserve">ISO Abbreviated Title: </w:t>
      </w:r>
    </w:p>
    <w:p w:rsidR="00B31EDC" w:rsidRPr="00C73C58" w:rsidRDefault="00B31EDC" w:rsidP="00B31EDC">
      <w:pPr>
        <w:pStyle w:val="12"/>
      </w:pPr>
      <w:r w:rsidRPr="00C73C58">
        <w:t xml:space="preserve">JCR Abbreviated Title: </w:t>
      </w:r>
    </w:p>
    <w:p w:rsidR="00B31EDC" w:rsidRPr="00C73C58" w:rsidRDefault="00B31EDC" w:rsidP="00B31EDC">
      <w:pPr>
        <w:pStyle w:val="12"/>
      </w:pPr>
      <w:r w:rsidRPr="00C73C58">
        <w:t xml:space="preserve">ISSN: </w:t>
      </w:r>
    </w:p>
    <w:p w:rsidR="00B31EDC" w:rsidRPr="00C73C58" w:rsidRDefault="00B31EDC" w:rsidP="00B31EDC">
      <w:pPr>
        <w:pStyle w:val="12"/>
      </w:pPr>
      <w:r w:rsidRPr="00C73C58">
        <w:t xml:space="preserve">Issues/Year: </w:t>
      </w:r>
    </w:p>
    <w:p w:rsidR="00B31EDC" w:rsidRPr="00C73C58" w:rsidRDefault="00B31EDC" w:rsidP="00B31EDC">
      <w:pPr>
        <w:pStyle w:val="12"/>
      </w:pPr>
      <w:r w:rsidRPr="00C73C58">
        <w:t xml:space="preserve">Journal Country/Territory: </w:t>
      </w:r>
    </w:p>
    <w:p w:rsidR="00B31EDC" w:rsidRPr="00C73C58" w:rsidRDefault="00B31EDC" w:rsidP="00B31EDC">
      <w:pPr>
        <w:pStyle w:val="12"/>
      </w:pPr>
      <w:r w:rsidRPr="00C73C58">
        <w:t xml:space="preserve">Language: </w:t>
      </w:r>
    </w:p>
    <w:p w:rsidR="00B31EDC" w:rsidRPr="00C73C58" w:rsidRDefault="00B31EDC" w:rsidP="00B31EDC">
      <w:pPr>
        <w:pStyle w:val="12"/>
      </w:pPr>
      <w:r w:rsidRPr="00C73C58">
        <w:t xml:space="preserve">Publisher: </w:t>
      </w:r>
    </w:p>
    <w:p w:rsidR="00B31EDC" w:rsidRPr="00C73C58" w:rsidRDefault="00B31EDC" w:rsidP="00B31EDC">
      <w:pPr>
        <w:pStyle w:val="12"/>
      </w:pPr>
      <w:r w:rsidRPr="00C73C58">
        <w:t xml:space="preserve">Publisher Address: </w:t>
      </w:r>
    </w:p>
    <w:p w:rsidR="00B31EDC" w:rsidRPr="00C73C58" w:rsidRDefault="00B31EDC" w:rsidP="00B31EDC">
      <w:pPr>
        <w:pStyle w:val="12"/>
      </w:pPr>
      <w:r w:rsidRPr="00C73C58">
        <w:t xml:space="preserve">Subject Categories: </w:t>
      </w:r>
    </w:p>
    <w:p w:rsidR="00B31EDC" w:rsidRPr="00C73C58" w:rsidRDefault="00B31EDC" w:rsidP="00B31EDC">
      <w:pPr>
        <w:pStyle w:val="12"/>
      </w:pPr>
      <w:r w:rsidRPr="00C73C58">
        <w:t xml:space="preserve">: Impact Factor </w:t>
      </w:r>
    </w:p>
    <w:p w:rsidR="00B31EDC" w:rsidRDefault="00B31EDC" w:rsidP="00B31EDC">
      <w:pPr>
        <w:pStyle w:val="a3"/>
        <w:rPr>
          <w:kern w:val="0"/>
          <w:szCs w:val="24"/>
        </w:rPr>
      </w:pPr>
      <w:r>
        <w:rPr>
          <w:rFonts w:hint="eastAsia"/>
          <w:kern w:val="0"/>
          <w:szCs w:val="24"/>
        </w:rPr>
        <w:t xml:space="preserve">? </w:t>
      </w:r>
      <w:r>
        <w:rPr>
          <w:kern w:val="0"/>
          <w:szCs w:val="24"/>
        </w:rPr>
        <w:t xml:space="preserve">Kroger, M. (2010), Editorial: Some thoughts on plagiarism. </w:t>
      </w:r>
      <w:r w:rsidRPr="003A2429">
        <w:rPr>
          <w:i/>
          <w:iCs/>
          <w:kern w:val="0"/>
          <w:szCs w:val="24"/>
        </w:rPr>
        <w:t>Comprehensive Reviews in Food Science</w:t>
      </w:r>
      <w:r w:rsidR="005853A9">
        <w:rPr>
          <w:i/>
          <w:iCs/>
          <w:kern w:val="0"/>
          <w:szCs w:val="24"/>
        </w:rPr>
        <w:t xml:space="preserve"> and </w:t>
      </w:r>
      <w:r w:rsidRPr="003A2429">
        <w:rPr>
          <w:i/>
          <w:iCs/>
          <w:kern w:val="0"/>
          <w:szCs w:val="24"/>
        </w:rPr>
        <w:t>Food Safety</w:t>
      </w:r>
      <w:r>
        <w:rPr>
          <w:kern w:val="0"/>
          <w:szCs w:val="24"/>
        </w:rPr>
        <w:t xml:space="preserve">, </w:t>
      </w:r>
      <w:r>
        <w:rPr>
          <w:b/>
          <w:bCs/>
          <w:kern w:val="0"/>
          <w:szCs w:val="24"/>
        </w:rPr>
        <w:t>9</w:t>
      </w:r>
      <w:r>
        <w:rPr>
          <w:kern w:val="0"/>
          <w:szCs w:val="24"/>
        </w:rPr>
        <w:t xml:space="preserve"> (3), 259-260</w:t>
      </w:r>
      <w:r>
        <w:rPr>
          <w:rFonts w:hint="eastAsia"/>
          <w:kern w:val="0"/>
          <w:szCs w:val="24"/>
        </w:rPr>
        <w:t>.</w:t>
      </w:r>
    </w:p>
    <w:p w:rsidR="00B31EDC" w:rsidRDefault="00B31EDC" w:rsidP="00B31EDC">
      <w:pPr>
        <w:pStyle w:val="a3"/>
        <w:rPr>
          <w:kern w:val="0"/>
          <w:szCs w:val="24"/>
        </w:rPr>
      </w:pPr>
      <w:r>
        <w:rPr>
          <w:rFonts w:hint="eastAsia"/>
          <w:kern w:val="0"/>
          <w:szCs w:val="24"/>
        </w:rPr>
        <w:t xml:space="preserve">Full Text: </w:t>
      </w:r>
      <w:hyperlink r:id="rId969" w:history="1">
        <w:r w:rsidRPr="00CD6AC1">
          <w:rPr>
            <w:rStyle w:val="a5"/>
            <w:kern w:val="0"/>
            <w:szCs w:val="24"/>
          </w:rPr>
          <w:t>2010\Com Rev Foo Sci Foo Saf9, 259.pdf</w:t>
        </w:r>
      </w:hyperlink>
    </w:p>
    <w:p w:rsidR="00B31EDC" w:rsidRDefault="00B31EDC" w:rsidP="00B31EDC">
      <w:pPr>
        <w:pStyle w:val="a3"/>
        <w:rPr>
          <w:kern w:val="0"/>
          <w:szCs w:val="24"/>
        </w:rPr>
      </w:pPr>
      <w:r>
        <w:rPr>
          <w:kern w:val="0"/>
          <w:szCs w:val="24"/>
        </w:rPr>
        <w:t>Keywords: Plagiarism</w:t>
      </w:r>
    </w:p>
    <w:p w:rsidR="003474F2" w:rsidRPr="001A3D2B" w:rsidRDefault="003474F2" w:rsidP="003474F2">
      <w:pPr>
        <w:pStyle w:val="1"/>
      </w:pPr>
      <w:r w:rsidRPr="001A3D2B">
        <w:br w:type="page"/>
      </w:r>
      <w:bookmarkStart w:id="364" w:name="_Toc420815087"/>
      <w:r w:rsidRPr="001A3D2B">
        <w:lastRenderedPageBreak/>
        <w:t>Title: Comptes Rendus Biologies</w:t>
      </w:r>
      <w:bookmarkEnd w:id="364"/>
    </w:p>
    <w:p w:rsidR="004A3BD1" w:rsidRPr="001A3D2B" w:rsidRDefault="004A3BD1" w:rsidP="004A3BD1">
      <w:pPr>
        <w:pStyle w:val="12"/>
      </w:pPr>
      <w:r w:rsidRPr="001A3D2B">
        <w:t xml:space="preserve">Full Journal Title: </w:t>
      </w:r>
      <w:r w:rsidR="00DF61FE">
        <w:fldChar w:fldCharType="begin"/>
      </w:r>
      <w:r w:rsidR="00FD158B">
        <w:instrText>HYPERLINK "http://www.sci</w:instrText>
      </w:r>
      <w:bookmarkStart w:id="365" w:name="_Toc81215681"/>
      <w:r w:rsidR="00FD158B">
        <w:instrText>encedirect.com/science?_ob=Jour</w:instrText>
      </w:r>
      <w:bookmarkEnd w:id="365"/>
      <w:r w:rsidR="00FD158B">
        <w:instrText>nalURL&amp;_cdi=7241&amp;_auth=y&amp;_acct=C000011279&amp;_version=1&amp;_urlVersion=0&amp;_userid=1134284&amp;md5=f24db92e5ee11158edfcfef6ab6cb7aa"</w:instrText>
      </w:r>
      <w:r w:rsidR="00DF61FE">
        <w:fldChar w:fldCharType="separate"/>
      </w:r>
      <w:r w:rsidRPr="001A3D2B">
        <w:rPr>
          <w:rStyle w:val="a5"/>
        </w:rPr>
        <w:t>Comptes Rendus Biologies</w:t>
      </w:r>
      <w:r w:rsidR="00DF61FE">
        <w:fldChar w:fldCharType="end"/>
      </w:r>
    </w:p>
    <w:p w:rsidR="004A3BD1" w:rsidRPr="001A3D2B" w:rsidRDefault="004A3BD1" w:rsidP="004A3BD1">
      <w:pPr>
        <w:pStyle w:val="12"/>
      </w:pPr>
      <w:r w:rsidRPr="001A3D2B">
        <w:t>ISO Abbreviated Title: C. R. Biol.</w:t>
      </w:r>
    </w:p>
    <w:p w:rsidR="004A3BD1" w:rsidRPr="001A3D2B" w:rsidRDefault="004A3BD1" w:rsidP="004A3BD1">
      <w:pPr>
        <w:pStyle w:val="12"/>
      </w:pPr>
      <w:r w:rsidRPr="001A3D2B">
        <w:t>JCR Abbreviated Title: Cr Biol</w:t>
      </w:r>
    </w:p>
    <w:p w:rsidR="004A3BD1" w:rsidRPr="001A3D2B" w:rsidRDefault="004A3BD1" w:rsidP="004A3BD1">
      <w:pPr>
        <w:pStyle w:val="12"/>
      </w:pPr>
      <w:r w:rsidRPr="001A3D2B">
        <w:t>ISSN: 1631-0691</w:t>
      </w:r>
    </w:p>
    <w:p w:rsidR="004A3BD1" w:rsidRPr="001A3D2B" w:rsidRDefault="004A3BD1" w:rsidP="004A3BD1">
      <w:pPr>
        <w:pStyle w:val="12"/>
      </w:pPr>
      <w:r w:rsidRPr="001A3D2B">
        <w:t>Issues/Year: 12</w:t>
      </w:r>
    </w:p>
    <w:p w:rsidR="004A3BD1" w:rsidRPr="001A3D2B" w:rsidRDefault="004A3BD1" w:rsidP="004A3BD1">
      <w:pPr>
        <w:pStyle w:val="12"/>
      </w:pPr>
      <w:r w:rsidRPr="001A3D2B">
        <w:t>Journal Country/Territory: France</w:t>
      </w:r>
    </w:p>
    <w:p w:rsidR="004A3BD1" w:rsidRPr="001A3D2B" w:rsidRDefault="004A3BD1" w:rsidP="004A3BD1">
      <w:pPr>
        <w:pStyle w:val="12"/>
      </w:pPr>
      <w:r w:rsidRPr="001A3D2B">
        <w:t>Language: French</w:t>
      </w:r>
    </w:p>
    <w:p w:rsidR="004A3BD1" w:rsidRPr="001A3D2B" w:rsidRDefault="004A3BD1" w:rsidP="004A3BD1">
      <w:pPr>
        <w:pStyle w:val="12"/>
      </w:pPr>
      <w:r w:rsidRPr="001A3D2B">
        <w:t>Publisher: Editions Scientifiques Medicales Elsevier</w:t>
      </w:r>
    </w:p>
    <w:p w:rsidR="004A3BD1" w:rsidRPr="001A3D2B" w:rsidRDefault="004A3BD1" w:rsidP="004A3BD1">
      <w:pPr>
        <w:pStyle w:val="12"/>
      </w:pPr>
      <w:r w:rsidRPr="001A3D2B">
        <w:t>Publisher Address: 23 Rue Linois, 75724 Paris, France</w:t>
      </w:r>
    </w:p>
    <w:p w:rsidR="004A3BD1" w:rsidRPr="001A3D2B" w:rsidRDefault="004A3BD1" w:rsidP="004A3BD1">
      <w:pPr>
        <w:pStyle w:val="12"/>
      </w:pPr>
      <w:r w:rsidRPr="001A3D2B">
        <w:t xml:space="preserve">Subject Categories: </w:t>
      </w:r>
    </w:p>
    <w:p w:rsidR="004A3BD1" w:rsidRPr="001A3D2B" w:rsidRDefault="004A3BD1" w:rsidP="004A3BD1">
      <w:pPr>
        <w:pStyle w:val="12"/>
      </w:pPr>
      <w:r w:rsidRPr="001A3D2B">
        <w:t>Biology: Impact Factor 0.481 (2003)</w:t>
      </w:r>
    </w:p>
    <w:p w:rsidR="004A3BD1" w:rsidRPr="001A3D2B" w:rsidRDefault="004A3BD1" w:rsidP="004A3BD1">
      <w:pPr>
        <w:pStyle w:val="12"/>
      </w:pPr>
      <w:r w:rsidRPr="001A3D2B">
        <w:t>Multidisciplinary Sciences: Impact Factor 0.481 (2003)</w:t>
      </w:r>
    </w:p>
    <w:p w:rsidR="003474F2" w:rsidRPr="001A3D2B" w:rsidRDefault="003474F2" w:rsidP="003474F2">
      <w:pPr>
        <w:pStyle w:val="a3"/>
        <w:rPr>
          <w:szCs w:val="24"/>
        </w:rPr>
      </w:pPr>
      <w:r w:rsidRPr="001A3D2B">
        <w:rPr>
          <w:szCs w:val="24"/>
        </w:rPr>
        <w:t>Notes: MModel</w:t>
      </w:r>
    </w:p>
    <w:p w:rsidR="003474F2" w:rsidRPr="001A3D2B" w:rsidRDefault="003474F2" w:rsidP="003474F2">
      <w:pPr>
        <w:pStyle w:val="a3"/>
      </w:pPr>
      <w:r w:rsidRPr="001A3D2B">
        <w:t>Ogasawara, O., Kawamoto, S.</w:t>
      </w:r>
      <w:r w:rsidR="005853A9">
        <w:t xml:space="preserve"> and </w:t>
      </w:r>
      <w:r w:rsidRPr="001A3D2B">
        <w:t>Okubo, K. (2003), Zipf</w:t>
      </w:r>
      <w:r w:rsidR="0071223E">
        <w:t>’</w:t>
      </w:r>
      <w:r w:rsidR="00C13DDC">
        <w:t>s</w:t>
      </w:r>
      <w:r w:rsidRPr="001A3D2B">
        <w:t xml:space="preserve"> law</w:t>
      </w:r>
      <w:r w:rsidR="005853A9">
        <w:t xml:space="preserve"> and </w:t>
      </w:r>
      <w:r w:rsidRPr="001A3D2B">
        <w:t xml:space="preserve">human transcriptomes: An explanation with an evolutionary model. </w:t>
      </w:r>
      <w:r w:rsidRPr="001A3D2B">
        <w:rPr>
          <w:i/>
          <w:iCs/>
        </w:rPr>
        <w:t>Comptes Rendus Biologies</w:t>
      </w:r>
      <w:r w:rsidRPr="001A3D2B">
        <w:t xml:space="preserve">, </w:t>
      </w:r>
      <w:r w:rsidRPr="001A3D2B">
        <w:rPr>
          <w:b/>
        </w:rPr>
        <w:t>326</w:t>
      </w:r>
      <w:r w:rsidRPr="001A3D2B">
        <w:t xml:space="preserve"> (10-11), 1097-1101.</w:t>
      </w:r>
    </w:p>
    <w:p w:rsidR="003474F2" w:rsidRPr="001A3D2B" w:rsidRDefault="003474F2" w:rsidP="003474F2">
      <w:pPr>
        <w:pStyle w:val="a3"/>
      </w:pPr>
      <w:r w:rsidRPr="001A3D2B">
        <w:t xml:space="preserve">Full Text: </w:t>
      </w:r>
      <w:hyperlink r:id="rId970" w:history="1">
        <w:r w:rsidRPr="001A3D2B">
          <w:rPr>
            <w:rStyle w:val="a5"/>
          </w:rPr>
          <w:t>2003\Com Ren Bio326, 1097.pdf</w:t>
        </w:r>
      </w:hyperlink>
    </w:p>
    <w:p w:rsidR="003474F2" w:rsidRPr="001A3D2B" w:rsidRDefault="003474F2" w:rsidP="003474F2">
      <w:pPr>
        <w:pStyle w:val="a3"/>
      </w:pPr>
      <w:r w:rsidRPr="001A3D2B">
        <w:t>Abstract: Detailed analysis</w:t>
      </w:r>
      <w:r w:rsidR="00427468">
        <w:t xml:space="preserve"> of </w:t>
      </w:r>
      <w:r w:rsidRPr="001A3D2B">
        <w:t>human gene expression data reveals several patterns</w:t>
      </w:r>
      <w:r w:rsidR="00427468">
        <w:t xml:space="preserve"> of </w:t>
      </w:r>
      <w:r w:rsidRPr="001A3D2B">
        <w:t>relationship between transcript frequency</w:t>
      </w:r>
      <w:r w:rsidR="005853A9">
        <w:t xml:space="preserve"> and </w:t>
      </w:r>
      <w:r w:rsidRPr="001A3D2B">
        <w:t>abundance rank. In muscle</w:t>
      </w:r>
      <w:r w:rsidR="005853A9">
        <w:t xml:space="preserve"> and </w:t>
      </w:r>
      <w:r w:rsidRPr="001A3D2B">
        <w:t>liver, organs composed primarily</w:t>
      </w:r>
      <w:r w:rsidR="00427468">
        <w:t xml:space="preserve"> of </w:t>
      </w:r>
      <w:r w:rsidRPr="001A3D2B">
        <w:t>a homogeneous population</w:t>
      </w:r>
      <w:r w:rsidR="00427468">
        <w:t xml:space="preserve"> of </w:t>
      </w:r>
      <w:r w:rsidRPr="001A3D2B">
        <w:t>differentiated cells, they obey Zipf</w:t>
      </w:r>
      <w:r w:rsidR="0071223E">
        <w:t>’</w:t>
      </w:r>
      <w:r w:rsidR="00C13DDC">
        <w:t>s</w:t>
      </w:r>
      <w:r w:rsidRPr="001A3D2B">
        <w:t xml:space="preserve"> law. In cell lines, epithelial tissue</w:t>
      </w:r>
      <w:r w:rsidR="005853A9">
        <w:t xml:space="preserve"> and </w:t>
      </w:r>
      <w:r w:rsidRPr="001A3D2B">
        <w:t>compiled transcriptome data, only high-rankers deviate from it. We propose an evolutionary process model during which expression level changes stochastically proportionally to its intensity, providing a novel interpretation</w:t>
      </w:r>
      <w:r w:rsidR="00427468">
        <w:t xml:space="preserve"> of </w:t>
      </w:r>
      <w:r w:rsidRPr="001A3D2B">
        <w:t>transcriptome data</w:t>
      </w:r>
      <w:r w:rsidR="005853A9">
        <w:t xml:space="preserve"> and</w:t>
      </w:r>
      <w:r w:rsidR="00427468">
        <w:t xml:space="preserve"> of </w:t>
      </w:r>
      <w:r w:rsidRPr="001A3D2B">
        <w:t>evolutionary constraints on gene expression. To cite this article: O. Ogasawara et al., C. R. Biologies 326 (2003).</w:t>
      </w:r>
    </w:p>
    <w:p w:rsidR="003474F2" w:rsidRPr="001A3D2B" w:rsidRDefault="003474F2" w:rsidP="003474F2">
      <w:pPr>
        <w:pStyle w:val="a3"/>
      </w:pPr>
      <w:r w:rsidRPr="001A3D2B">
        <w:t>Keywords: Abundance, Expression, Frequency, Transcriptome, Zipf</w:t>
      </w:r>
      <w:r w:rsidR="0071223E">
        <w:t>’</w:t>
      </w:r>
      <w:r w:rsidR="00C13DDC">
        <w:t>s</w:t>
      </w:r>
      <w:r w:rsidRPr="001A3D2B">
        <w:t xml:space="preserve"> Law Abondance, Expression, Fréquence, Loi de Zipf, Transcriptome</w:t>
      </w:r>
    </w:p>
    <w:p w:rsidR="00A31C73" w:rsidRPr="00C73C58" w:rsidRDefault="00A31C73" w:rsidP="00A31C73">
      <w:pPr>
        <w:pStyle w:val="1"/>
      </w:pPr>
      <w:r w:rsidRPr="00C73C58">
        <w:br w:type="page"/>
      </w:r>
      <w:bookmarkStart w:id="366" w:name="_Toc420815088"/>
      <w:r w:rsidRPr="00C73C58">
        <w:lastRenderedPageBreak/>
        <w:t xml:space="preserve">Title: </w:t>
      </w:r>
      <w:r w:rsidRPr="00D03058">
        <w:rPr>
          <w:szCs w:val="24"/>
        </w:rPr>
        <w:t>Computational</w:t>
      </w:r>
      <w:r w:rsidR="005853A9">
        <w:rPr>
          <w:szCs w:val="24"/>
        </w:rPr>
        <w:t xml:space="preserve"> and </w:t>
      </w:r>
      <w:r w:rsidRPr="00D03058">
        <w:rPr>
          <w:szCs w:val="24"/>
        </w:rPr>
        <w:t>Mathematical Organization Theory</w:t>
      </w:r>
      <w:bookmarkEnd w:id="366"/>
    </w:p>
    <w:p w:rsidR="00A31C73" w:rsidRPr="00C73C58" w:rsidRDefault="00A31C73" w:rsidP="00A31C73">
      <w:pPr>
        <w:pStyle w:val="12"/>
      </w:pPr>
      <w:r w:rsidRPr="00C73C58">
        <w:t xml:space="preserve">Full Journal Title: </w:t>
      </w:r>
      <w:bookmarkStart w:id="367" w:name="_Toc294278849"/>
      <w:r w:rsidRPr="00D03058">
        <w:t>Computational</w:t>
      </w:r>
      <w:r w:rsidR="005853A9">
        <w:t xml:space="preserve"> and </w:t>
      </w:r>
      <w:r w:rsidRPr="00D03058">
        <w:t>Mathematical Organization Theory</w:t>
      </w:r>
    </w:p>
    <w:p w:rsidR="00A31C73" w:rsidRPr="00C73C58" w:rsidRDefault="00A31C73" w:rsidP="00A31C73">
      <w:pPr>
        <w:pStyle w:val="12"/>
      </w:pPr>
      <w:r w:rsidRPr="00C73C58">
        <w:t>ISO Ab</w:t>
      </w:r>
      <w:bookmarkEnd w:id="367"/>
      <w:r w:rsidRPr="00C73C58">
        <w:t xml:space="preserve">breviated Title: </w:t>
      </w:r>
    </w:p>
    <w:p w:rsidR="00A31C73" w:rsidRPr="00C73C58" w:rsidRDefault="00A31C73" w:rsidP="00A31C73">
      <w:pPr>
        <w:pStyle w:val="12"/>
      </w:pPr>
      <w:r w:rsidRPr="00C73C58">
        <w:t xml:space="preserve">JCR Abbreviated Title: </w:t>
      </w:r>
    </w:p>
    <w:p w:rsidR="00A31C73" w:rsidRPr="00C73C58" w:rsidRDefault="00A31C73" w:rsidP="00A31C73">
      <w:pPr>
        <w:pStyle w:val="12"/>
      </w:pPr>
      <w:r>
        <w:t xml:space="preserve">ISSN: </w:t>
      </w:r>
    </w:p>
    <w:p w:rsidR="00A31C73" w:rsidRPr="00C73C58" w:rsidRDefault="00A31C73" w:rsidP="00A31C73">
      <w:pPr>
        <w:pStyle w:val="12"/>
      </w:pPr>
      <w:r>
        <w:t xml:space="preserve">Issues/Year: </w:t>
      </w:r>
    </w:p>
    <w:p w:rsidR="00A31C73" w:rsidRPr="00C73C58" w:rsidRDefault="00A31C73" w:rsidP="00A31C73">
      <w:pPr>
        <w:pStyle w:val="12"/>
      </w:pPr>
      <w:r w:rsidRPr="00C73C58">
        <w:t xml:space="preserve">Journal Country/Territory: </w:t>
      </w:r>
    </w:p>
    <w:p w:rsidR="00A31C73" w:rsidRPr="00C73C58" w:rsidRDefault="00A31C73" w:rsidP="00A31C73">
      <w:pPr>
        <w:pStyle w:val="12"/>
      </w:pPr>
      <w:r w:rsidRPr="00C73C58">
        <w:t xml:space="preserve">Language: </w:t>
      </w:r>
    </w:p>
    <w:p w:rsidR="00A31C73" w:rsidRPr="00C73C58" w:rsidRDefault="00A31C73" w:rsidP="00A31C73">
      <w:pPr>
        <w:pStyle w:val="12"/>
      </w:pPr>
      <w:r w:rsidRPr="00C73C58">
        <w:t xml:space="preserve">Publisher: </w:t>
      </w:r>
    </w:p>
    <w:p w:rsidR="00A31C73" w:rsidRPr="00C73C58" w:rsidRDefault="00A31C73" w:rsidP="00A31C73">
      <w:pPr>
        <w:pStyle w:val="12"/>
      </w:pPr>
      <w:r w:rsidRPr="00C73C58">
        <w:t xml:space="preserve">Publisher Address: </w:t>
      </w:r>
    </w:p>
    <w:p w:rsidR="00A31C73" w:rsidRPr="00C73C58" w:rsidRDefault="00A31C73" w:rsidP="00A31C73">
      <w:pPr>
        <w:pStyle w:val="12"/>
      </w:pPr>
      <w:r w:rsidRPr="00C73C58">
        <w:t xml:space="preserve">Subject Categories: </w:t>
      </w:r>
    </w:p>
    <w:p w:rsidR="00A31C73" w:rsidRPr="00C73C58" w:rsidRDefault="00A31C73" w:rsidP="00A31C73">
      <w:pPr>
        <w:pStyle w:val="12"/>
      </w:pPr>
      <w:r w:rsidRPr="00C73C58">
        <w:t xml:space="preserve">: Impact Factor </w:t>
      </w:r>
    </w:p>
    <w:p w:rsidR="00A31C73" w:rsidRDefault="00A31C73" w:rsidP="00A31C73">
      <w:pPr>
        <w:pStyle w:val="a3"/>
        <w:rPr>
          <w:szCs w:val="24"/>
        </w:rPr>
      </w:pPr>
      <w:r>
        <w:rPr>
          <w:rFonts w:hint="eastAsia"/>
          <w:szCs w:val="24"/>
        </w:rPr>
        <w:t xml:space="preserve">? </w:t>
      </w:r>
      <w:r w:rsidRPr="00A0768D">
        <w:rPr>
          <w:szCs w:val="24"/>
        </w:rPr>
        <w:t>Meyer, M., Zaggl, M.A.</w:t>
      </w:r>
      <w:r w:rsidR="005853A9">
        <w:rPr>
          <w:szCs w:val="24"/>
        </w:rPr>
        <w:t xml:space="preserve"> and </w:t>
      </w:r>
      <w:r w:rsidRPr="00A0768D">
        <w:rPr>
          <w:szCs w:val="24"/>
        </w:rPr>
        <w:t>Carley, K.M. (2011), Measuring CMOT</w:t>
      </w:r>
      <w:r w:rsidR="0071223E">
        <w:t>’</w:t>
      </w:r>
      <w:r w:rsidR="00C13DDC">
        <w:t>s</w:t>
      </w:r>
      <w:r w:rsidRPr="00A0768D">
        <w:rPr>
          <w:szCs w:val="24"/>
        </w:rPr>
        <w:t xml:space="preserve"> intellectual structure</w:t>
      </w:r>
      <w:r w:rsidR="005853A9">
        <w:rPr>
          <w:szCs w:val="24"/>
        </w:rPr>
        <w:t xml:space="preserve"> and </w:t>
      </w:r>
      <w:r w:rsidRPr="00A0768D">
        <w:rPr>
          <w:szCs w:val="24"/>
        </w:rPr>
        <w:t xml:space="preserve">its development. </w:t>
      </w:r>
      <w:r w:rsidRPr="00D03058">
        <w:rPr>
          <w:i/>
          <w:szCs w:val="24"/>
        </w:rPr>
        <w:t>Computational</w:t>
      </w:r>
      <w:r w:rsidR="005853A9">
        <w:rPr>
          <w:i/>
          <w:szCs w:val="24"/>
        </w:rPr>
        <w:t xml:space="preserve"> and </w:t>
      </w:r>
      <w:r w:rsidRPr="00D03058">
        <w:rPr>
          <w:i/>
          <w:szCs w:val="24"/>
        </w:rPr>
        <w:t>Mathematical Organization Theory</w:t>
      </w:r>
      <w:r w:rsidRPr="00A0768D">
        <w:rPr>
          <w:szCs w:val="24"/>
        </w:rPr>
        <w:t xml:space="preserve">, </w:t>
      </w:r>
      <w:r w:rsidRPr="00A0768D">
        <w:rPr>
          <w:b/>
          <w:szCs w:val="24"/>
        </w:rPr>
        <w:t>17</w:t>
      </w:r>
      <w:r w:rsidRPr="00A0768D">
        <w:rPr>
          <w:szCs w:val="24"/>
        </w:rPr>
        <w:t xml:space="preserve"> (1), 1-34.</w:t>
      </w:r>
    </w:p>
    <w:p w:rsidR="00A31C73" w:rsidRPr="00A0768D" w:rsidRDefault="00A31C73" w:rsidP="00A31C73">
      <w:pPr>
        <w:pStyle w:val="a3"/>
        <w:rPr>
          <w:szCs w:val="24"/>
        </w:rPr>
      </w:pPr>
      <w:r>
        <w:rPr>
          <w:rFonts w:hint="eastAsia"/>
          <w:szCs w:val="24"/>
        </w:rPr>
        <w:t xml:space="preserve">Full Text: </w:t>
      </w:r>
      <w:hyperlink r:id="rId971" w:history="1">
        <w:r w:rsidRPr="00D03058">
          <w:rPr>
            <w:rStyle w:val="a5"/>
            <w:szCs w:val="24"/>
          </w:rPr>
          <w:t>2011\Com Mat Org The17, 1.pdf</w:t>
        </w:r>
      </w:hyperlink>
    </w:p>
    <w:p w:rsidR="00A31C73" w:rsidRPr="00A0768D" w:rsidRDefault="00A31C73" w:rsidP="00A31C73">
      <w:pPr>
        <w:pStyle w:val="a3"/>
        <w:rPr>
          <w:szCs w:val="24"/>
        </w:rPr>
      </w:pPr>
      <w:r w:rsidRPr="00A0768D">
        <w:rPr>
          <w:szCs w:val="24"/>
        </w:rPr>
        <w:t>Abstract: Computational Organization Theory is often described as a multidisciplinary</w:t>
      </w:r>
      <w:r w:rsidR="005853A9">
        <w:rPr>
          <w:szCs w:val="24"/>
        </w:rPr>
        <w:t xml:space="preserve"> and </w:t>
      </w:r>
      <w:r w:rsidRPr="00A0768D">
        <w:rPr>
          <w:szCs w:val="24"/>
        </w:rPr>
        <w:t>fast-moving field which can make it difficult to keep track</w:t>
      </w:r>
      <w:r w:rsidR="00427468">
        <w:rPr>
          <w:szCs w:val="24"/>
        </w:rPr>
        <w:t xml:space="preserve"> of </w:t>
      </w:r>
      <w:r w:rsidRPr="00A0768D">
        <w:rPr>
          <w:szCs w:val="24"/>
        </w:rPr>
        <w:t>it</w:t>
      </w:r>
      <w:r w:rsidR="00A37C1D">
        <w:rPr>
          <w:szCs w:val="24"/>
        </w:rPr>
        <w:t>. The</w:t>
      </w:r>
      <w:r w:rsidR="003A1917">
        <w:rPr>
          <w:szCs w:val="24"/>
        </w:rPr>
        <w:t xml:space="preserve"> </w:t>
      </w:r>
      <w:r w:rsidRPr="00A0768D">
        <w:rPr>
          <w:szCs w:val="24"/>
        </w:rPr>
        <w:t>recent inclusion</w:t>
      </w:r>
      <w:r w:rsidR="00427468">
        <w:rPr>
          <w:szCs w:val="24"/>
        </w:rPr>
        <w:t xml:space="preserve"> of </w:t>
      </w:r>
      <w:r w:rsidRPr="00A0768D">
        <w:rPr>
          <w:szCs w:val="24"/>
        </w:rPr>
        <w:t>Computational</w:t>
      </w:r>
      <w:r w:rsidR="005853A9">
        <w:rPr>
          <w:szCs w:val="24"/>
        </w:rPr>
        <w:t xml:space="preserve"> and </w:t>
      </w:r>
      <w:r w:rsidRPr="00A0768D">
        <w:rPr>
          <w:szCs w:val="24"/>
        </w:rPr>
        <w:t>Mathematical Organization Theory (CMOT) into</w:t>
      </w:r>
      <w:r w:rsidR="003A1917">
        <w:rPr>
          <w:szCs w:val="24"/>
        </w:rPr>
        <w:t xml:space="preserve"> the </w:t>
      </w:r>
      <w:r w:rsidRPr="00A0768D">
        <w:rPr>
          <w:szCs w:val="24"/>
        </w:rPr>
        <w:t>Social Science Citation Index offers a good reason to take stock</w:t>
      </w:r>
      <w:r w:rsidR="00427468">
        <w:rPr>
          <w:szCs w:val="24"/>
        </w:rPr>
        <w:t xml:space="preserve"> of </w:t>
      </w:r>
      <w:r w:rsidRPr="00A0768D">
        <w:rPr>
          <w:szCs w:val="24"/>
        </w:rPr>
        <w:t>what has happened since</w:t>
      </w:r>
      <w:r w:rsidR="003A1917">
        <w:rPr>
          <w:szCs w:val="24"/>
        </w:rPr>
        <w:t xml:space="preserve"> the </w:t>
      </w:r>
      <w:r w:rsidRPr="00A0768D">
        <w:rPr>
          <w:szCs w:val="24"/>
        </w:rPr>
        <w:t>foundation</w:t>
      </w:r>
      <w:r w:rsidR="00427468">
        <w:rPr>
          <w:szCs w:val="24"/>
        </w:rPr>
        <w:t xml:space="preserve"> of </w:t>
      </w:r>
      <w:r w:rsidR="003A1917">
        <w:rPr>
          <w:szCs w:val="24"/>
        </w:rPr>
        <w:t xml:space="preserve">the </w:t>
      </w:r>
      <w:r w:rsidRPr="00A0768D">
        <w:rPr>
          <w:szCs w:val="24"/>
        </w:rPr>
        <w:t>journal</w:t>
      </w:r>
      <w:r w:rsidR="005853A9">
        <w:rPr>
          <w:szCs w:val="24"/>
        </w:rPr>
        <w:t xml:space="preserve"> and </w:t>
      </w:r>
      <w:r w:rsidRPr="00A0768D">
        <w:rPr>
          <w:szCs w:val="24"/>
        </w:rPr>
        <w:t>to analyze its intellectual structure</w:t>
      </w:r>
      <w:r w:rsidR="005853A9">
        <w:rPr>
          <w:szCs w:val="24"/>
        </w:rPr>
        <w:t xml:space="preserve"> and </w:t>
      </w:r>
      <w:r w:rsidRPr="00A0768D">
        <w:rPr>
          <w:szCs w:val="24"/>
        </w:rPr>
        <w:t>development from 1995 to 2008. We identify</w:t>
      </w:r>
      <w:r w:rsidR="003A1917">
        <w:rPr>
          <w:szCs w:val="24"/>
        </w:rPr>
        <w:t xml:space="preserve"> the </w:t>
      </w:r>
      <w:r w:rsidRPr="00A0768D">
        <w:rPr>
          <w:szCs w:val="24"/>
        </w:rPr>
        <w:t>most influential publications by means</w:t>
      </w:r>
      <w:r w:rsidR="00427468">
        <w:rPr>
          <w:szCs w:val="24"/>
        </w:rPr>
        <w:t xml:space="preserve"> of </w:t>
      </w:r>
      <w:r w:rsidRPr="00A0768D">
        <w:rPr>
          <w:szCs w:val="24"/>
        </w:rPr>
        <w:t>citation analysis</w:t>
      </w:r>
      <w:r w:rsidR="005853A9">
        <w:rPr>
          <w:szCs w:val="24"/>
        </w:rPr>
        <w:t xml:space="preserve"> and </w:t>
      </w:r>
      <w:r w:rsidRPr="00A0768D">
        <w:rPr>
          <w:szCs w:val="24"/>
        </w:rPr>
        <w:t>show that a core</w:t>
      </w:r>
      <w:r w:rsidR="00427468">
        <w:rPr>
          <w:szCs w:val="24"/>
        </w:rPr>
        <w:t xml:space="preserve"> of </w:t>
      </w:r>
      <w:r w:rsidRPr="00A0768D">
        <w:rPr>
          <w:szCs w:val="24"/>
        </w:rPr>
        <w:t>codified knowledge has developed over time. Additionally, we provide empirical support for</w:t>
      </w:r>
      <w:r w:rsidR="003A1917">
        <w:rPr>
          <w:szCs w:val="24"/>
        </w:rPr>
        <w:t xml:space="preserve"> the </w:t>
      </w:r>
      <w:r w:rsidRPr="00A0768D">
        <w:rPr>
          <w:szCs w:val="24"/>
        </w:rPr>
        <w:t>characteristics generally ascribed to</w:t>
      </w:r>
      <w:r w:rsidR="003A1917">
        <w:rPr>
          <w:szCs w:val="24"/>
        </w:rPr>
        <w:t xml:space="preserve"> the </w:t>
      </w:r>
      <w:r w:rsidRPr="00A0768D">
        <w:rPr>
          <w:szCs w:val="24"/>
        </w:rPr>
        <w:t>journal such as multidisciplinarity. Finally, we depict</w:t>
      </w:r>
      <w:r w:rsidR="003A1917">
        <w:rPr>
          <w:szCs w:val="24"/>
        </w:rPr>
        <w:t xml:space="preserve"> the </w:t>
      </w:r>
      <w:r w:rsidRPr="00A0768D">
        <w:rPr>
          <w:szCs w:val="24"/>
        </w:rPr>
        <w:t>main research foci in CMOT</w:t>
      </w:r>
      <w:r w:rsidR="0071223E">
        <w:t>’</w:t>
      </w:r>
      <w:r w:rsidR="00C13DDC">
        <w:t>s</w:t>
      </w:r>
      <w:r w:rsidRPr="00A0768D">
        <w:rPr>
          <w:szCs w:val="24"/>
        </w:rPr>
        <w:t xml:space="preserve"> intellectual structure employing a co-citation analysis</w:t>
      </w:r>
      <w:r w:rsidR="00427468">
        <w:rPr>
          <w:szCs w:val="24"/>
        </w:rPr>
        <w:t xml:space="preserve"> of </w:t>
      </w:r>
      <w:r w:rsidRPr="00A0768D">
        <w:rPr>
          <w:szCs w:val="24"/>
        </w:rPr>
        <w:t>publications</w:t>
      </w:r>
      <w:r w:rsidR="005853A9">
        <w:rPr>
          <w:szCs w:val="24"/>
        </w:rPr>
        <w:t xml:space="preserve"> and </w:t>
      </w:r>
      <w:r w:rsidRPr="00A0768D">
        <w:rPr>
          <w:szCs w:val="24"/>
        </w:rPr>
        <w:t>investigate their development over time. Overall, our quantitative review shows CMOT to be thematically focused on organizations, groups</w:t>
      </w:r>
      <w:r w:rsidR="005853A9">
        <w:rPr>
          <w:szCs w:val="24"/>
        </w:rPr>
        <w:t xml:space="preserve"> and </w:t>
      </w:r>
      <w:r w:rsidRPr="00A0768D">
        <w:rPr>
          <w:szCs w:val="24"/>
        </w:rPr>
        <w:t>networks while being remarkably diverse in terms</w:t>
      </w:r>
      <w:r w:rsidR="00427468">
        <w:rPr>
          <w:szCs w:val="24"/>
        </w:rPr>
        <w:t xml:space="preserve"> of </w:t>
      </w:r>
      <w:r w:rsidRPr="00A0768D">
        <w:rPr>
          <w:szCs w:val="24"/>
        </w:rPr>
        <w:t>theoretical approaches</w:t>
      </w:r>
      <w:r w:rsidR="005853A9">
        <w:rPr>
          <w:szCs w:val="24"/>
        </w:rPr>
        <w:t xml:space="preserve"> and </w:t>
      </w:r>
      <w:r w:rsidRPr="00A0768D">
        <w:rPr>
          <w:szCs w:val="24"/>
        </w:rPr>
        <w:t>methods used.</w:t>
      </w:r>
    </w:p>
    <w:p w:rsidR="00A31C73" w:rsidRPr="00A0768D" w:rsidRDefault="00A31C73" w:rsidP="00A31C73">
      <w:pPr>
        <w:pStyle w:val="a3"/>
        <w:rPr>
          <w:szCs w:val="24"/>
        </w:rPr>
      </w:pPr>
      <w:r w:rsidRPr="00A0768D">
        <w:rPr>
          <w:szCs w:val="24"/>
        </w:rPr>
        <w:t>Keywords: Bibliometrics</w:t>
      </w:r>
      <w:r>
        <w:rPr>
          <w:szCs w:val="24"/>
        </w:rPr>
        <w:t xml:space="preserve">, </w:t>
      </w:r>
      <w:r w:rsidRPr="00A0768D">
        <w:rPr>
          <w:szCs w:val="24"/>
        </w:rPr>
        <w:t>Citation</w:t>
      </w:r>
      <w:r>
        <w:rPr>
          <w:szCs w:val="24"/>
        </w:rPr>
        <w:t xml:space="preserve">, </w:t>
      </w:r>
      <w:r w:rsidRPr="00A0768D">
        <w:rPr>
          <w:szCs w:val="24"/>
        </w:rPr>
        <w:t>Citation Analysis</w:t>
      </w:r>
      <w:r>
        <w:rPr>
          <w:szCs w:val="24"/>
        </w:rPr>
        <w:t xml:space="preserve">, </w:t>
      </w:r>
      <w:r w:rsidRPr="00A0768D">
        <w:rPr>
          <w:szCs w:val="24"/>
        </w:rPr>
        <w:t>Citation Analysis</w:t>
      </w:r>
      <w:r>
        <w:rPr>
          <w:szCs w:val="24"/>
        </w:rPr>
        <w:t xml:space="preserve">, </w:t>
      </w:r>
      <w:r w:rsidRPr="00A0768D">
        <w:rPr>
          <w:szCs w:val="24"/>
        </w:rPr>
        <w:t>Co-Citation Analysis</w:t>
      </w:r>
      <w:r>
        <w:rPr>
          <w:szCs w:val="24"/>
        </w:rPr>
        <w:t xml:space="preserve">, </w:t>
      </w:r>
      <w:r w:rsidRPr="00A0768D">
        <w:rPr>
          <w:szCs w:val="24"/>
        </w:rPr>
        <w:t>Cocitation Analysis</w:t>
      </w:r>
      <w:r>
        <w:rPr>
          <w:szCs w:val="24"/>
        </w:rPr>
        <w:t xml:space="preserve">, </w:t>
      </w:r>
      <w:r w:rsidRPr="00A0768D">
        <w:rPr>
          <w:szCs w:val="24"/>
        </w:rPr>
        <w:t>Computational Organization Theory</w:t>
      </w:r>
      <w:r>
        <w:rPr>
          <w:szCs w:val="24"/>
        </w:rPr>
        <w:t xml:space="preserve">, </w:t>
      </w:r>
      <w:r w:rsidRPr="00A0768D">
        <w:rPr>
          <w:szCs w:val="24"/>
        </w:rPr>
        <w:t>Development</w:t>
      </w:r>
      <w:r>
        <w:rPr>
          <w:szCs w:val="24"/>
        </w:rPr>
        <w:t xml:space="preserve">, </w:t>
      </w:r>
      <w:r w:rsidRPr="00A0768D">
        <w:rPr>
          <w:szCs w:val="24"/>
        </w:rPr>
        <w:t>Journal</w:t>
      </w:r>
      <w:r>
        <w:rPr>
          <w:szCs w:val="24"/>
        </w:rPr>
        <w:t xml:space="preserve">, </w:t>
      </w:r>
      <w:r w:rsidRPr="00A0768D">
        <w:rPr>
          <w:szCs w:val="24"/>
        </w:rPr>
        <w:t>Limitations</w:t>
      </w:r>
      <w:r>
        <w:rPr>
          <w:szCs w:val="24"/>
        </w:rPr>
        <w:t xml:space="preserve">, </w:t>
      </w:r>
      <w:r w:rsidRPr="00A0768D">
        <w:rPr>
          <w:szCs w:val="24"/>
        </w:rPr>
        <w:t>Management</w:t>
      </w:r>
      <w:r>
        <w:rPr>
          <w:szCs w:val="24"/>
        </w:rPr>
        <w:t xml:space="preserve">, </w:t>
      </w:r>
      <w:r w:rsidRPr="00A0768D">
        <w:rPr>
          <w:szCs w:val="24"/>
        </w:rPr>
        <w:t>Multidisciplinarity</w:t>
      </w:r>
      <w:r>
        <w:rPr>
          <w:szCs w:val="24"/>
        </w:rPr>
        <w:t xml:space="preserve">, </w:t>
      </w:r>
      <w:r w:rsidRPr="00A0768D">
        <w:rPr>
          <w:szCs w:val="24"/>
        </w:rPr>
        <w:t>Publications</w:t>
      </w:r>
      <w:r>
        <w:rPr>
          <w:szCs w:val="24"/>
        </w:rPr>
        <w:t xml:space="preserve">, </w:t>
      </w:r>
      <w:r w:rsidRPr="00A0768D">
        <w:rPr>
          <w:szCs w:val="24"/>
        </w:rPr>
        <w:t>Research</w:t>
      </w:r>
      <w:r>
        <w:rPr>
          <w:szCs w:val="24"/>
        </w:rPr>
        <w:t xml:space="preserve">, </w:t>
      </w:r>
      <w:r w:rsidRPr="00A0768D">
        <w:rPr>
          <w:szCs w:val="24"/>
        </w:rPr>
        <w:t>Research Foci</w:t>
      </w:r>
      <w:r>
        <w:rPr>
          <w:szCs w:val="24"/>
        </w:rPr>
        <w:t xml:space="preserve">, </w:t>
      </w:r>
      <w:r w:rsidRPr="00A0768D">
        <w:rPr>
          <w:szCs w:val="24"/>
        </w:rPr>
        <w:t>Review</w:t>
      </w:r>
      <w:r>
        <w:rPr>
          <w:szCs w:val="24"/>
        </w:rPr>
        <w:t xml:space="preserve">, </w:t>
      </w:r>
      <w:r w:rsidRPr="00A0768D">
        <w:rPr>
          <w:szCs w:val="24"/>
        </w:rPr>
        <w:t>Science Citation Index</w:t>
      </w:r>
      <w:r>
        <w:rPr>
          <w:szCs w:val="24"/>
        </w:rPr>
        <w:t xml:space="preserve">, </w:t>
      </w:r>
      <w:r w:rsidRPr="00A0768D">
        <w:rPr>
          <w:szCs w:val="24"/>
        </w:rPr>
        <w:t>Science Policy</w:t>
      </w:r>
      <w:r>
        <w:rPr>
          <w:szCs w:val="24"/>
        </w:rPr>
        <w:t xml:space="preserve">, </w:t>
      </w:r>
      <w:r w:rsidRPr="00A0768D">
        <w:rPr>
          <w:szCs w:val="24"/>
        </w:rPr>
        <w:t>Sociology</w:t>
      </w:r>
      <w:r w:rsidR="00427468">
        <w:rPr>
          <w:szCs w:val="24"/>
        </w:rPr>
        <w:t xml:space="preserve"> of </w:t>
      </w:r>
      <w:r w:rsidRPr="00A0768D">
        <w:rPr>
          <w:szCs w:val="24"/>
        </w:rPr>
        <w:t>Science</w:t>
      </w:r>
    </w:p>
    <w:p w:rsidR="00675518" w:rsidRPr="00C73C58" w:rsidRDefault="00675518" w:rsidP="00675518">
      <w:pPr>
        <w:pStyle w:val="1"/>
      </w:pPr>
      <w:r w:rsidRPr="00C73C58">
        <w:br w:type="page"/>
      </w:r>
      <w:bookmarkStart w:id="368" w:name="_Toc420815089"/>
      <w:r w:rsidRPr="00C73C58">
        <w:lastRenderedPageBreak/>
        <w:t xml:space="preserve">Title: </w:t>
      </w:r>
      <w:r w:rsidRPr="009B5FB9">
        <w:rPr>
          <w:iCs w:val="0"/>
        </w:rPr>
        <w:t>Computer Journal</w:t>
      </w:r>
      <w:bookmarkEnd w:id="368"/>
    </w:p>
    <w:p w:rsidR="00675518" w:rsidRPr="00C73C58" w:rsidRDefault="00675518" w:rsidP="00675518">
      <w:pPr>
        <w:pStyle w:val="12"/>
      </w:pPr>
      <w:r w:rsidRPr="00C73C58">
        <w:t xml:space="preserve">Full Journal Title: </w:t>
      </w:r>
      <w:r w:rsidRPr="009B5FB9">
        <w:rPr>
          <w:iCs/>
          <w:kern w:val="0"/>
        </w:rPr>
        <w:t>Computer Journal</w:t>
      </w:r>
    </w:p>
    <w:p w:rsidR="00675518" w:rsidRPr="00C73C58" w:rsidRDefault="00675518" w:rsidP="00675518">
      <w:pPr>
        <w:pStyle w:val="12"/>
      </w:pPr>
      <w:r w:rsidRPr="00C73C58">
        <w:t xml:space="preserve">ISO Abbreviated Title: </w:t>
      </w:r>
    </w:p>
    <w:p w:rsidR="00675518" w:rsidRPr="00C73C58" w:rsidRDefault="00675518" w:rsidP="00675518">
      <w:pPr>
        <w:pStyle w:val="12"/>
      </w:pPr>
      <w:r w:rsidRPr="00C73C58">
        <w:t xml:space="preserve">JCR Abbreviated Title: </w:t>
      </w:r>
    </w:p>
    <w:p w:rsidR="00675518" w:rsidRPr="00C73C58" w:rsidRDefault="00675518" w:rsidP="00675518">
      <w:pPr>
        <w:pStyle w:val="12"/>
      </w:pPr>
      <w:r>
        <w:t xml:space="preserve">ISSN: </w:t>
      </w:r>
    </w:p>
    <w:p w:rsidR="00675518" w:rsidRPr="00C73C58" w:rsidRDefault="00675518" w:rsidP="00675518">
      <w:pPr>
        <w:pStyle w:val="12"/>
      </w:pPr>
      <w:r>
        <w:t xml:space="preserve">Issues/Year: </w:t>
      </w:r>
    </w:p>
    <w:p w:rsidR="00675518" w:rsidRPr="00C73C58" w:rsidRDefault="00675518" w:rsidP="00675518">
      <w:pPr>
        <w:pStyle w:val="12"/>
      </w:pPr>
      <w:r w:rsidRPr="00C73C58">
        <w:t xml:space="preserve">Journal Country/Territory: </w:t>
      </w:r>
    </w:p>
    <w:p w:rsidR="00675518" w:rsidRPr="00C73C58" w:rsidRDefault="00675518" w:rsidP="00675518">
      <w:pPr>
        <w:pStyle w:val="12"/>
      </w:pPr>
      <w:r w:rsidRPr="00C73C58">
        <w:t xml:space="preserve">Language: </w:t>
      </w:r>
    </w:p>
    <w:p w:rsidR="00675518" w:rsidRPr="00C73C58" w:rsidRDefault="00675518" w:rsidP="00675518">
      <w:pPr>
        <w:pStyle w:val="12"/>
      </w:pPr>
      <w:r w:rsidRPr="00C73C58">
        <w:t xml:space="preserve">Publisher: </w:t>
      </w:r>
    </w:p>
    <w:p w:rsidR="00675518" w:rsidRPr="00C73C58" w:rsidRDefault="00675518" w:rsidP="00675518">
      <w:pPr>
        <w:pStyle w:val="12"/>
      </w:pPr>
      <w:r w:rsidRPr="00C73C58">
        <w:t xml:space="preserve">Publisher Address: </w:t>
      </w:r>
    </w:p>
    <w:p w:rsidR="00675518" w:rsidRPr="00C73C58" w:rsidRDefault="00675518" w:rsidP="00675518">
      <w:pPr>
        <w:pStyle w:val="12"/>
      </w:pPr>
      <w:r w:rsidRPr="00C73C58">
        <w:t xml:space="preserve">Subject Categories: </w:t>
      </w:r>
    </w:p>
    <w:p w:rsidR="00675518" w:rsidRPr="00C73C58" w:rsidRDefault="00675518" w:rsidP="00675518">
      <w:pPr>
        <w:pStyle w:val="12"/>
      </w:pPr>
      <w:r w:rsidRPr="00C73C58">
        <w:t xml:space="preserve">: Impact Factor </w:t>
      </w:r>
    </w:p>
    <w:p w:rsidR="000530C2" w:rsidRDefault="000530C2" w:rsidP="000530C2">
      <w:pPr>
        <w:pStyle w:val="a3"/>
        <w:rPr>
          <w:kern w:val="0"/>
        </w:rPr>
      </w:pPr>
      <w:r>
        <w:rPr>
          <w:rFonts w:hint="eastAsia"/>
          <w:kern w:val="0"/>
        </w:rPr>
        <w:t xml:space="preserve">? </w:t>
      </w:r>
      <w:r>
        <w:rPr>
          <w:kern w:val="0"/>
        </w:rPr>
        <w:t xml:space="preserve">Churchho, R.F. (1968), Note on </w:t>
      </w:r>
      <w:r>
        <w:rPr>
          <w:rFonts w:hint="eastAsia"/>
          <w:kern w:val="0"/>
        </w:rPr>
        <w:t>twenty-five</w:t>
      </w:r>
      <w:r>
        <w:rPr>
          <w:kern w:val="0"/>
        </w:rPr>
        <w:t xml:space="preserve"> most cited papers in some leading journals. </w:t>
      </w:r>
      <w:r w:rsidRPr="009B5FB9">
        <w:rPr>
          <w:i/>
          <w:iCs/>
          <w:kern w:val="0"/>
        </w:rPr>
        <w:t>Computer Journal</w:t>
      </w:r>
      <w:r>
        <w:rPr>
          <w:kern w:val="0"/>
        </w:rPr>
        <w:t xml:space="preserve">, </w:t>
      </w:r>
      <w:r>
        <w:rPr>
          <w:b/>
          <w:bCs/>
          <w:kern w:val="0"/>
        </w:rPr>
        <w:t>11</w:t>
      </w:r>
      <w:r>
        <w:rPr>
          <w:kern w:val="0"/>
        </w:rPr>
        <w:t xml:space="preserve"> (1), 116-</w:t>
      </w:r>
      <w:r>
        <w:rPr>
          <w:rFonts w:hint="eastAsia"/>
          <w:kern w:val="0"/>
        </w:rPr>
        <w:t>120.</w:t>
      </w:r>
    </w:p>
    <w:p w:rsidR="000530C2" w:rsidRDefault="000530C2" w:rsidP="000530C2">
      <w:pPr>
        <w:pStyle w:val="a3"/>
        <w:rPr>
          <w:kern w:val="0"/>
        </w:rPr>
      </w:pPr>
      <w:r>
        <w:rPr>
          <w:rFonts w:hint="eastAsia"/>
          <w:kern w:val="0"/>
        </w:rPr>
        <w:t xml:space="preserve">Full Text: </w:t>
      </w:r>
      <w:hyperlink r:id="rId972" w:history="1">
        <w:r w:rsidRPr="00624DF5">
          <w:rPr>
            <w:rStyle w:val="a5"/>
            <w:kern w:val="0"/>
          </w:rPr>
          <w:t>1960-80\Com J11, 116.pdf</w:t>
        </w:r>
      </w:hyperlink>
    </w:p>
    <w:p w:rsidR="00675518" w:rsidRDefault="00675518" w:rsidP="00675518">
      <w:pPr>
        <w:pStyle w:val="a3"/>
        <w:rPr>
          <w:kern w:val="0"/>
        </w:rPr>
      </w:pPr>
      <w:r>
        <w:rPr>
          <w:kern w:val="0"/>
        </w:rPr>
        <w:t>Keywords: Journals</w:t>
      </w:r>
    </w:p>
    <w:p w:rsidR="003474F2" w:rsidRPr="001A3D2B" w:rsidRDefault="003474F2" w:rsidP="003474F2">
      <w:pPr>
        <w:pStyle w:val="1"/>
      </w:pPr>
      <w:r w:rsidRPr="001A3D2B">
        <w:br w:type="page"/>
      </w:r>
      <w:bookmarkStart w:id="369" w:name="_Toc420815090"/>
      <w:r w:rsidRPr="001A3D2B">
        <w:lastRenderedPageBreak/>
        <w:t>Title: Computer Methods</w:t>
      </w:r>
      <w:r w:rsidR="005853A9">
        <w:t xml:space="preserve"> and </w:t>
      </w:r>
      <w:r w:rsidRPr="001A3D2B">
        <w:t>Programs in Biomedicine</w:t>
      </w:r>
      <w:bookmarkEnd w:id="369"/>
    </w:p>
    <w:p w:rsidR="003474F2" w:rsidRPr="001A3D2B" w:rsidRDefault="003474F2" w:rsidP="003474F2">
      <w:pPr>
        <w:pStyle w:val="12"/>
      </w:pPr>
      <w:r w:rsidRPr="001A3D2B">
        <w:t xml:space="preserve">Full Journal Title: </w:t>
      </w:r>
      <w:r w:rsidR="00DF61FE">
        <w:fldChar w:fldCharType="begin"/>
      </w:r>
      <w:r w:rsidR="00FD158B">
        <w:instrText>HYPER</w:instrText>
      </w:r>
      <w:bookmarkStart w:id="370" w:name="_Toc162666895"/>
      <w:bookmarkStart w:id="371" w:name="_Toc164531560"/>
      <w:r w:rsidR="00FD158B">
        <w:instrText>LINK "http://www.sciencedirect.com/science?_ob=Jour</w:instrText>
      </w:r>
      <w:bookmarkEnd w:id="370"/>
      <w:bookmarkEnd w:id="371"/>
      <w:r w:rsidR="00FD158B">
        <w:instrText>nalURL&amp;_cdi=5004&amp;_auth=y&amp;_acct=C000047720&amp;_version=1&amp;_urlVersion=0&amp;_userid=2007471&amp;md5=a3c57d835f1f584c6bef751313d561da"</w:instrText>
      </w:r>
      <w:r w:rsidR="00DF61FE">
        <w:fldChar w:fldCharType="separate"/>
      </w:r>
      <w:r w:rsidRPr="001A3D2B">
        <w:rPr>
          <w:rStyle w:val="a5"/>
        </w:rPr>
        <w:t>Computer Methods</w:t>
      </w:r>
      <w:r w:rsidR="005853A9">
        <w:rPr>
          <w:rStyle w:val="a5"/>
        </w:rPr>
        <w:t xml:space="preserve"> and </w:t>
      </w:r>
      <w:r w:rsidRPr="001A3D2B">
        <w:rPr>
          <w:rStyle w:val="a5"/>
        </w:rPr>
        <w:t>Programs in Biomedicine</w:t>
      </w:r>
      <w:r w:rsidR="00DF61FE">
        <w:fldChar w:fldCharType="end"/>
      </w:r>
    </w:p>
    <w:p w:rsidR="003474F2" w:rsidRPr="001A3D2B" w:rsidRDefault="003474F2" w:rsidP="003474F2">
      <w:pPr>
        <w:pStyle w:val="12"/>
      </w:pPr>
      <w:r w:rsidRPr="001A3D2B">
        <w:t>ISO Abbreviated Title: Comput. Meth. Programs Biomed.</w:t>
      </w:r>
    </w:p>
    <w:p w:rsidR="003474F2" w:rsidRPr="001A3D2B" w:rsidRDefault="003474F2" w:rsidP="003474F2">
      <w:pPr>
        <w:pStyle w:val="12"/>
      </w:pPr>
      <w:r w:rsidRPr="001A3D2B">
        <w:t>JCR Abbreviated Title: Comput Meth Prog Bio</w:t>
      </w:r>
    </w:p>
    <w:p w:rsidR="003474F2" w:rsidRPr="001A3D2B" w:rsidRDefault="003474F2" w:rsidP="003474F2">
      <w:pPr>
        <w:pStyle w:val="12"/>
      </w:pPr>
      <w:r w:rsidRPr="001A3D2B">
        <w:t>ISSN: 0169-2607</w:t>
      </w:r>
    </w:p>
    <w:p w:rsidR="003474F2" w:rsidRPr="001A3D2B" w:rsidRDefault="003474F2" w:rsidP="003474F2">
      <w:pPr>
        <w:pStyle w:val="12"/>
      </w:pPr>
      <w:r w:rsidRPr="001A3D2B">
        <w:t>Issues/Year: 9</w:t>
      </w:r>
    </w:p>
    <w:p w:rsidR="003474F2" w:rsidRPr="001A3D2B" w:rsidRDefault="00AA25A4" w:rsidP="003474F2">
      <w:pPr>
        <w:pStyle w:val="12"/>
      </w:pPr>
      <w:r w:rsidRPr="001A3D2B">
        <w:t>Journal Country/Territory:</w:t>
      </w:r>
      <w:r w:rsidR="008F46E9" w:rsidRPr="001A3D2B">
        <w:t xml:space="preserve"> </w:t>
      </w:r>
      <w:r w:rsidR="003474F2" w:rsidRPr="001A3D2B">
        <w:t>Netherlands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Ireland Ltd</w:t>
      </w:r>
    </w:p>
    <w:p w:rsidR="003474F2" w:rsidRPr="001A3D2B" w:rsidRDefault="003474F2" w:rsidP="003474F2">
      <w:pPr>
        <w:pStyle w:val="12"/>
      </w:pPr>
      <w:r w:rsidRPr="001A3D2B">
        <w:t xml:space="preserve">Publisher Address: Elsevier House, Brookvale Plaza, East Park Shannon, Co, </w:t>
      </w:r>
      <w:smartTag w:uri="urn:schemas-microsoft-com:office:smarttags" w:element="place">
        <w:smartTag w:uri="urn:schemas-microsoft-com:office:smarttags" w:element="City">
          <w:r w:rsidRPr="001A3D2B">
            <w:t>Clare</w:t>
          </w:r>
        </w:smartTag>
        <w:r w:rsidRPr="001A3D2B">
          <w:t xml:space="preserve"> </w:t>
        </w:r>
        <w:smartTag w:uri="urn:schemas-microsoft-com:office:smarttags" w:element="PostalCode">
          <w:r w:rsidRPr="001A3D2B">
            <w:t>00000</w:t>
          </w:r>
        </w:smartTag>
        <w:r w:rsidRPr="001A3D2B">
          <w:t xml:space="preserve">, </w:t>
        </w:r>
        <w:smartTag w:uri="urn:schemas-microsoft-com:office:smarttags" w:element="country-region">
          <w:r w:rsidRPr="001A3D2B">
            <w:t>Ireland</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Computer Science, Interdisciplinary Applications: Impact Factor 0.788, 42/83 (2005)</w:t>
      </w:r>
    </w:p>
    <w:p w:rsidR="003474F2" w:rsidRPr="001A3D2B" w:rsidRDefault="003474F2" w:rsidP="003474F2">
      <w:pPr>
        <w:pStyle w:val="12"/>
      </w:pPr>
      <w:r w:rsidRPr="001A3D2B">
        <w:t>Computer Science, Theory &amp; Methods: Impact Factor 0.788, 39/71 (2005)</w:t>
      </w:r>
    </w:p>
    <w:p w:rsidR="003474F2" w:rsidRPr="001A3D2B" w:rsidRDefault="003474F2" w:rsidP="003474F2">
      <w:pPr>
        <w:pStyle w:val="12"/>
      </w:pPr>
      <w:r w:rsidRPr="001A3D2B">
        <w:t>Engineering, Biomedical: Impact Factor 0.788, 34/41 (2005)</w:t>
      </w:r>
    </w:p>
    <w:p w:rsidR="003474F2" w:rsidRPr="001A3D2B" w:rsidRDefault="003474F2" w:rsidP="003474F2">
      <w:pPr>
        <w:pStyle w:val="12"/>
      </w:pPr>
      <w:r w:rsidRPr="001A3D2B">
        <w:t>Medical Informatics: Impact Factor 0.788, 15/18 (2005)</w:t>
      </w:r>
    </w:p>
    <w:p w:rsidR="003474F2" w:rsidRPr="001A3D2B" w:rsidRDefault="003474F2" w:rsidP="003474F2">
      <w:pPr>
        <w:pStyle w:val="a3"/>
      </w:pPr>
      <w:r w:rsidRPr="001A3D2B">
        <w:t>Notes: TTopic</w:t>
      </w:r>
    </w:p>
    <w:p w:rsidR="003474F2" w:rsidRPr="001A3D2B" w:rsidRDefault="003474F2" w:rsidP="003474F2">
      <w:pPr>
        <w:pStyle w:val="a3"/>
      </w:pPr>
      <w:r w:rsidRPr="001A3D2B">
        <w:t>? Wen, H.C., Ho, Y.S., Jian, W.S., Li, H.C.</w:t>
      </w:r>
      <w:r w:rsidR="005853A9">
        <w:t xml:space="preserve"> and </w:t>
      </w:r>
      <w:r w:rsidRPr="001A3D2B">
        <w:t>Hsu, Y.H.E. (2007), Scientific production</w:t>
      </w:r>
      <w:r w:rsidR="00427468">
        <w:t xml:space="preserve"> of </w:t>
      </w:r>
      <w:r w:rsidRPr="001A3D2B">
        <w:t xml:space="preserve">electronic health record research, 1991–2005. </w:t>
      </w:r>
      <w:r w:rsidRPr="001A3D2B">
        <w:rPr>
          <w:i/>
          <w:iCs/>
        </w:rPr>
        <w:t>Computer Methods</w:t>
      </w:r>
      <w:r w:rsidR="005853A9">
        <w:rPr>
          <w:i/>
          <w:iCs/>
        </w:rPr>
        <w:t xml:space="preserve"> and </w:t>
      </w:r>
      <w:r w:rsidRPr="001A3D2B">
        <w:rPr>
          <w:i/>
          <w:iCs/>
        </w:rPr>
        <w:t>Programs in Biomedicine</w:t>
      </w:r>
      <w:r w:rsidRPr="001A3D2B">
        <w:t xml:space="preserve">, </w:t>
      </w:r>
      <w:r w:rsidRPr="001A3D2B">
        <w:rPr>
          <w:b/>
        </w:rPr>
        <w:t>86</w:t>
      </w:r>
      <w:r w:rsidRPr="001A3D2B">
        <w:t xml:space="preserve"> (2), 191-196.</w:t>
      </w:r>
    </w:p>
    <w:p w:rsidR="003474F2" w:rsidRPr="001A3D2B" w:rsidRDefault="003474F2" w:rsidP="003474F2">
      <w:pPr>
        <w:pStyle w:val="a3"/>
      </w:pPr>
      <w:r w:rsidRPr="001A3D2B">
        <w:t xml:space="preserve">Full Text: </w:t>
      </w:r>
      <w:hyperlink r:id="rId973" w:history="1">
        <w:r w:rsidRPr="001A3D2B">
          <w:rPr>
            <w:rStyle w:val="a5"/>
          </w:rPr>
          <w:t>2007\Com Met Pro Bio86, 191.pdf</w:t>
        </w:r>
      </w:hyperlink>
    </w:p>
    <w:p w:rsidR="003474F2" w:rsidRPr="001A3D2B" w:rsidRDefault="003474F2" w:rsidP="003474F2">
      <w:pPr>
        <w:pStyle w:val="a3"/>
      </w:pPr>
      <w:r w:rsidRPr="001A3D2B">
        <w:t>Abstract: Purpose:</w:t>
      </w:r>
      <w:r w:rsidR="003A1917">
        <w:t xml:space="preserve"> the </w:t>
      </w:r>
      <w:r w:rsidRPr="001A3D2B">
        <w:t>increasing numbers</w:t>
      </w:r>
      <w:r w:rsidR="00427468">
        <w:t xml:space="preserve"> of </w:t>
      </w:r>
      <w:r w:rsidRPr="001A3D2B">
        <w:t>publications on electronic health record (EHR) indicate its increasing importance in</w:t>
      </w:r>
      <w:r w:rsidR="003A1917">
        <w:t xml:space="preserve"> the </w:t>
      </w:r>
      <w:r w:rsidRPr="001A3D2B">
        <w:t>world. This study attempted to quantify</w:t>
      </w:r>
      <w:r w:rsidR="003A1917">
        <w:t xml:space="preserve"> the </w:t>
      </w:r>
      <w:r w:rsidRPr="001A3D2B">
        <w:t>scientific production</w:t>
      </w:r>
      <w:r w:rsidR="00427468">
        <w:t xml:space="preserve"> of </w:t>
      </w:r>
      <w:r w:rsidRPr="001A3D2B">
        <w:t>EHR research articles,</w:t>
      </w:r>
      <w:r w:rsidR="005853A9">
        <w:t xml:space="preserve"> and </w:t>
      </w:r>
      <w:r w:rsidRPr="001A3D2B">
        <w:t>how they have changed over time, in an effort to investigate changes in</w:t>
      </w:r>
      <w:r w:rsidR="003A1917">
        <w:t xml:space="preserve"> the </w:t>
      </w:r>
      <w:r w:rsidRPr="001A3D2B">
        <w:t>trends cited in these critical evaluations. Method:</w:t>
      </w:r>
      <w:r w:rsidR="003A1917">
        <w:t xml:space="preserve"> the </w:t>
      </w:r>
      <w:r w:rsidRPr="001A3D2B">
        <w:t>articles were based on</w:t>
      </w:r>
      <w:r w:rsidR="003A1917">
        <w:t xml:space="preserve"> the </w:t>
      </w:r>
      <w:r w:rsidRPr="001A3D2B">
        <w:t>science citation index (SCI) from 1991 to 2005. A descriptive study was performed using</w:t>
      </w:r>
      <w:r w:rsidR="003A1917">
        <w:t xml:space="preserve"> the </w:t>
      </w:r>
      <w:r w:rsidRPr="001A3D2B">
        <w:t>1803 documents published in</w:t>
      </w:r>
      <w:r w:rsidR="003A1917">
        <w:t xml:space="preserve"> the </w:t>
      </w:r>
      <w:r w:rsidRPr="001A3D2B">
        <w:t xml:space="preserve">SCI from 39 countries in </w:t>
      </w:r>
      <w:smartTag w:uri="urn:schemas-microsoft-com:office:smarttags" w:element="country-region">
        <w:r w:rsidRPr="001A3D2B">
          <w:t>America</w:t>
        </w:r>
      </w:smartTag>
      <w:r w:rsidRPr="001A3D2B">
        <w:t>, Europe, Africa, Asia,</w:t>
      </w:r>
      <w:r w:rsidR="005853A9">
        <w:t xml:space="preserve"> and </w:t>
      </w:r>
      <w:r w:rsidRPr="001A3D2B">
        <w:t>Oceania</w:t>
      </w:r>
      <w:r w:rsidR="00A37C1D">
        <w:t>. The</w:t>
      </w:r>
      <w:r w:rsidR="003A1917">
        <w:t xml:space="preserve"> </w:t>
      </w:r>
      <w:r w:rsidRPr="001A3D2B">
        <w:t>evaluationwas based on parameters including document type, language, first author</w:t>
      </w:r>
      <w:r w:rsidR="0071223E">
        <w:t>’</w:t>
      </w:r>
      <w:r w:rsidR="00C13DDC">
        <w:t>s</w:t>
      </w:r>
      <w:r w:rsidRPr="001A3D2B">
        <w:t xml:space="preserve"> country</w:t>
      </w:r>
      <w:r w:rsidR="00427468">
        <w:t xml:space="preserve"> of </w:t>
      </w:r>
      <w:r w:rsidRPr="001A3D2B">
        <w:t>origin, number</w:t>
      </w:r>
      <w:r w:rsidR="00427468">
        <w:t xml:space="preserve"> of </w:t>
      </w:r>
      <w:r w:rsidRPr="001A3D2B">
        <w:t>citations</w:t>
      </w:r>
      <w:r w:rsidR="005853A9">
        <w:t xml:space="preserve"> and </w:t>
      </w:r>
      <w:r w:rsidRPr="001A3D2B">
        <w:t>citations per publication. Results:</w:t>
      </w:r>
      <w:r w:rsidR="00427468">
        <w:t xml:space="preserve"> of </w:t>
      </w:r>
      <w:r w:rsidRPr="001A3D2B">
        <w:t>all publications, 1455 (80.7%) were articles, followed by meeting abstracts which represented about one-tenth</w:t>
      </w:r>
      <w:r w:rsidR="00427468">
        <w:t xml:space="preserve"> of </w:t>
      </w:r>
      <w:r w:rsidRPr="001A3D2B">
        <w:t>all types</w:t>
      </w:r>
      <w:r w:rsidR="00427468">
        <w:t xml:space="preserve"> of </w:t>
      </w:r>
      <w:r w:rsidRPr="001A3D2B">
        <w:t>EHR publications. Numbers</w:t>
      </w:r>
      <w:r w:rsidR="00427468">
        <w:t xml:space="preserve"> of </w:t>
      </w:r>
      <w:r w:rsidRPr="001A3D2B">
        <w:t>published articles have significantly increased when compared by each 5-year period. Most articles were published in English (98%)</w:t>
      </w:r>
      <w:r w:rsidR="005853A9">
        <w:t xml:space="preserve"> and </w:t>
      </w:r>
      <w:r w:rsidRPr="001A3D2B">
        <w:t>were from</w:t>
      </w:r>
      <w:r w:rsidR="003A1917">
        <w:t xml:space="preserve"> the </w:t>
      </w:r>
      <w:r w:rsidRPr="001A3D2B">
        <w:t>region</w:t>
      </w:r>
      <w:r w:rsidR="00427468">
        <w:t xml:space="preserve"> of </w:t>
      </w:r>
      <w:r w:rsidRPr="001A3D2B">
        <w:t>America (57%)</w:t>
      </w:r>
      <w:r w:rsidR="00A37C1D">
        <w:t>. The</w:t>
      </w:r>
      <w:r w:rsidR="003A1917">
        <w:t xml:space="preserve"> </w:t>
      </w:r>
      <w:r w:rsidRPr="001A3D2B">
        <w:t>top 10</w:t>
      </w:r>
      <w:r w:rsidR="00427468">
        <w:t xml:space="preserve"> of </w:t>
      </w:r>
      <w:r w:rsidR="003A1917">
        <w:t xml:space="preserve">the </w:t>
      </w:r>
      <w:r w:rsidRPr="001A3D2B">
        <w:t>374 journals accounted for 41%</w:t>
      </w:r>
      <w:r w:rsidR="00427468">
        <w:t xml:space="preserve"> of </w:t>
      </w:r>
      <w:r w:rsidR="003A1917">
        <w:t xml:space="preserve">the </w:t>
      </w:r>
      <w:r w:rsidRPr="001A3D2B">
        <w:t>number</w:t>
      </w:r>
      <w:r w:rsidR="00427468">
        <w:t xml:space="preserve"> of </w:t>
      </w:r>
      <w:r w:rsidRPr="001A3D2B">
        <w:t>published articles</w:t>
      </w:r>
      <w:r w:rsidR="00A37C1D">
        <w:t>. The</w:t>
      </w:r>
      <w:r w:rsidR="003A1917">
        <w:t xml:space="preserve"> </w:t>
      </w:r>
      <w:r w:rsidRPr="001A3D2B">
        <w:t>US dominates publication production (57%) with a cumulative impact factor (IF)</w:t>
      </w:r>
      <w:r w:rsidR="00427468">
        <w:t xml:space="preserve"> of </w:t>
      </w:r>
      <w:r w:rsidRPr="001A3D2B">
        <w:t>2227</w:t>
      </w:r>
      <w:r w:rsidR="005853A9">
        <w:t xml:space="preserve"> and </w:t>
      </w:r>
      <w:r w:rsidRPr="001A3D2B">
        <w:t>followed by</w:t>
      </w:r>
      <w:r w:rsidR="003A1917">
        <w:t xml:space="preserve"> the </w:t>
      </w:r>
      <w:r w:rsidRPr="001A3D2B">
        <w:t xml:space="preserve">UK (8.5%, with a </w:t>
      </w:r>
      <w:r w:rsidRPr="001A3D2B">
        <w:lastRenderedPageBreak/>
        <w:t>cumulative IF</w:t>
      </w:r>
      <w:r w:rsidR="00427468">
        <w:t xml:space="preserve"> of </w:t>
      </w:r>
      <w:r w:rsidRPr="001A3D2B">
        <w:t>257.0)</w:t>
      </w:r>
      <w:r w:rsidR="005853A9">
        <w:t xml:space="preserve"> and </w:t>
      </w:r>
      <w:r w:rsidR="003A1917">
        <w:t xml:space="preserve">the </w:t>
      </w:r>
      <w:r w:rsidRPr="001A3D2B">
        <w:t>Netherlands (7.8%, with a cumulative IF</w:t>
      </w:r>
      <w:r w:rsidR="00427468">
        <w:t xml:space="preserve"> of </w:t>
      </w:r>
      <w:r w:rsidRPr="001A3D2B">
        <w:t>211.1). An analysis</w:t>
      </w:r>
      <w:r w:rsidR="00427468">
        <w:t xml:space="preserve"> of </w:t>
      </w:r>
      <w:r w:rsidR="003A1917">
        <w:t xml:space="preserve">the </w:t>
      </w:r>
      <w:r w:rsidRPr="001A3D2B">
        <w:t>number</w:t>
      </w:r>
      <w:r w:rsidR="00427468">
        <w:t xml:space="preserve"> of </w:t>
      </w:r>
      <w:r w:rsidRPr="001A3D2B">
        <w:t xml:space="preserve">articles related to population revealed a high publication output for relative small countries like </w:t>
      </w:r>
      <w:smartTag w:uri="urn:schemas-microsoft-com:office:smarttags" w:element="country-region">
        <w:r w:rsidRPr="001A3D2B">
          <w:t>Switzerland</w:t>
        </w:r>
      </w:smartTag>
      <w:r w:rsidRPr="001A3D2B">
        <w:t>,</w:t>
      </w:r>
      <w:r w:rsidR="003A1917">
        <w:t xml:space="preserve"> the </w:t>
      </w:r>
      <w:r w:rsidRPr="001A3D2B">
        <w:t>Netherlands,</w:t>
      </w:r>
      <w:r w:rsidR="005853A9">
        <w:t xml:space="preserve"> and </w:t>
      </w:r>
      <w:r w:rsidRPr="001A3D2B">
        <w:t>Norway. Conclusions: Research production in EHR showed a considerable increase during 1991–2005</w:t>
      </w:r>
      <w:r w:rsidR="00A37C1D">
        <w:t>. The</w:t>
      </w:r>
      <w:r w:rsidR="003A1917">
        <w:t xml:space="preserve"> </w:t>
      </w:r>
      <w:r w:rsidRPr="001A3D2B">
        <w:t>production was dominated by articles, those from</w:t>
      </w:r>
      <w:r w:rsidR="003A1917">
        <w:t xml:space="preserve"> the </w:t>
      </w:r>
      <w:r w:rsidRPr="001A3D2B">
        <w:t>US,</w:t>
      </w:r>
      <w:r w:rsidR="005853A9">
        <w:t xml:space="preserve"> and </w:t>
      </w:r>
      <w:r w:rsidRPr="001A3D2B">
        <w:t>those published in English</w:t>
      </w:r>
      <w:r w:rsidR="00A37C1D">
        <w:t>. The</w:t>
      </w:r>
      <w:r w:rsidR="003A1917">
        <w:t xml:space="preserve"> </w:t>
      </w:r>
      <w:r w:rsidRPr="001A3D2B">
        <w:t>production came from many countries, denoting</w:t>
      </w:r>
      <w:r w:rsidR="003A1917">
        <w:t xml:space="preserve"> the </w:t>
      </w:r>
      <w:r w:rsidRPr="001A3D2B">
        <w:t>devotion to this field in different areas around</w:t>
      </w:r>
      <w:r w:rsidR="003A1917">
        <w:t xml:space="preserve"> the </w:t>
      </w:r>
      <w:r w:rsidRPr="001A3D2B">
        <w:t>world.</w:t>
      </w:r>
    </w:p>
    <w:p w:rsidR="002377CD" w:rsidRPr="001A3D2B" w:rsidRDefault="002377CD" w:rsidP="002377CD">
      <w:pPr>
        <w:pStyle w:val="a3"/>
        <w:rPr>
          <w:kern w:val="0"/>
          <w:szCs w:val="24"/>
        </w:rPr>
      </w:pPr>
      <w:r w:rsidRPr="001A3D2B">
        <w:rPr>
          <w:kern w:val="0"/>
          <w:szCs w:val="24"/>
        </w:rPr>
        <w:t>Keywords: Abstracts, Africa, America, Analysis, Asia, Bibliometrics, Care, Changes, Citation, Citations, Country, Country</w:t>
      </w:r>
      <w:r w:rsidR="00427468">
        <w:rPr>
          <w:kern w:val="0"/>
          <w:szCs w:val="24"/>
        </w:rPr>
        <w:t xml:space="preserve"> of </w:t>
      </w:r>
      <w:r w:rsidRPr="001A3D2B">
        <w:rPr>
          <w:kern w:val="0"/>
          <w:szCs w:val="24"/>
        </w:rPr>
        <w:t>Origin, Cumulative, Cumulative Impact, Effort, EHR, Electronic Health Records (EHRS), Europe, Evaluation, Field, First, Health, Impact, Impact Factor, Index, Ireland, Journals, Language, Medical-Records, Meeting, Meeting Abstracts, Netherlands, Norway, Origin, Population, Production, Publication, Publications, Record, Research, Rights</w:t>
      </w:r>
      <w:r w:rsidR="00D5664A">
        <w:rPr>
          <w:kern w:val="0"/>
          <w:szCs w:val="24"/>
        </w:rPr>
        <w:t>, SCI,</w:t>
      </w:r>
      <w:r w:rsidRPr="001A3D2B">
        <w:rPr>
          <w:kern w:val="0"/>
          <w:szCs w:val="24"/>
        </w:rPr>
        <w:t xml:space="preserve"> Science, Science Citation Index, Science Citation Index (SCI), Scientific Production, Small, Switzerland,</w:t>
      </w:r>
      <w:r w:rsidR="003A1917">
        <w:rPr>
          <w:kern w:val="0"/>
          <w:szCs w:val="24"/>
        </w:rPr>
        <w:t xml:space="preserve"> the </w:t>
      </w:r>
      <w:r w:rsidRPr="001A3D2B">
        <w:rPr>
          <w:kern w:val="0"/>
          <w:szCs w:val="24"/>
        </w:rPr>
        <w:t>Netherlands, Time, Trends</w:t>
      </w:r>
      <w:r w:rsidR="00D5664A">
        <w:rPr>
          <w:kern w:val="0"/>
          <w:szCs w:val="24"/>
        </w:rPr>
        <w:t>, UK,</w:t>
      </w:r>
      <w:r w:rsidR="008C1C37">
        <w:rPr>
          <w:kern w:val="0"/>
          <w:szCs w:val="24"/>
        </w:rPr>
        <w:t xml:space="preserve"> US,</w:t>
      </w:r>
      <w:r w:rsidRPr="001A3D2B">
        <w:rPr>
          <w:kern w:val="0"/>
          <w:szCs w:val="24"/>
        </w:rPr>
        <w:t xml:space="preserve"> World</w:t>
      </w:r>
    </w:p>
    <w:p w:rsidR="00EA1606" w:rsidRPr="00C73C58" w:rsidRDefault="00EA1606" w:rsidP="00EA1606">
      <w:pPr>
        <w:pStyle w:val="1"/>
      </w:pPr>
      <w:r w:rsidRPr="00C73C58">
        <w:br w:type="page"/>
      </w:r>
      <w:bookmarkStart w:id="372" w:name="_Toc420815091"/>
      <w:r w:rsidRPr="00C73C58">
        <w:lastRenderedPageBreak/>
        <w:t xml:space="preserve">Title: </w:t>
      </w:r>
      <w:r w:rsidRPr="00245A1E">
        <w:rPr>
          <w:iCs w:val="0"/>
        </w:rPr>
        <w:t>Computer Physics Communications</w:t>
      </w:r>
      <w:bookmarkEnd w:id="372"/>
    </w:p>
    <w:p w:rsidR="00EA1606" w:rsidRPr="00C73C58" w:rsidRDefault="00EA1606" w:rsidP="00EA1606">
      <w:pPr>
        <w:pStyle w:val="12"/>
      </w:pPr>
      <w:r w:rsidRPr="00C73C58">
        <w:t>Full Journal Title:</w:t>
      </w:r>
      <w:r>
        <w:rPr>
          <w:rFonts w:hint="eastAsia"/>
        </w:rPr>
        <w:t xml:space="preserve"> </w:t>
      </w:r>
      <w:hyperlink r:id="rId974" w:history="1">
        <w:r w:rsidRPr="00717A00">
          <w:rPr>
            <w:rStyle w:val="a5"/>
            <w:iCs/>
          </w:rPr>
          <w:t>Computer Physics Communications</w:t>
        </w:r>
      </w:hyperlink>
    </w:p>
    <w:p w:rsidR="00EA1606" w:rsidRPr="00C73C58" w:rsidRDefault="00EA1606" w:rsidP="00EA1606">
      <w:pPr>
        <w:pStyle w:val="12"/>
      </w:pPr>
      <w:r w:rsidRPr="00C73C58">
        <w:t xml:space="preserve">ISO Abbreviated Title: </w:t>
      </w:r>
    </w:p>
    <w:p w:rsidR="00EA1606" w:rsidRPr="00C73C58" w:rsidRDefault="00EA1606" w:rsidP="00EA1606">
      <w:pPr>
        <w:pStyle w:val="12"/>
      </w:pPr>
      <w:r w:rsidRPr="00C73C58">
        <w:t xml:space="preserve">JCR Abbreviated Title: </w:t>
      </w:r>
    </w:p>
    <w:p w:rsidR="00EA1606" w:rsidRPr="00C73C58" w:rsidRDefault="00EA1606" w:rsidP="00EA1606">
      <w:pPr>
        <w:pStyle w:val="12"/>
      </w:pPr>
      <w:r w:rsidRPr="00C73C58">
        <w:t xml:space="preserve">ISSN: </w:t>
      </w:r>
    </w:p>
    <w:p w:rsidR="00EA1606" w:rsidRPr="00C73C58" w:rsidRDefault="00EA1606" w:rsidP="00EA1606">
      <w:pPr>
        <w:pStyle w:val="12"/>
      </w:pPr>
      <w:r w:rsidRPr="00C73C58">
        <w:t xml:space="preserve">Issues/Year: </w:t>
      </w:r>
    </w:p>
    <w:p w:rsidR="00EA1606" w:rsidRPr="00C73C58" w:rsidRDefault="00EA1606" w:rsidP="00EA1606">
      <w:pPr>
        <w:pStyle w:val="12"/>
      </w:pPr>
      <w:r w:rsidRPr="00C73C58">
        <w:t xml:space="preserve">Journal Country/Territory: </w:t>
      </w:r>
    </w:p>
    <w:p w:rsidR="00EA1606" w:rsidRPr="00C73C58" w:rsidRDefault="00EA1606" w:rsidP="00EA1606">
      <w:pPr>
        <w:pStyle w:val="12"/>
      </w:pPr>
      <w:r w:rsidRPr="00C73C58">
        <w:t xml:space="preserve">Language: </w:t>
      </w:r>
    </w:p>
    <w:p w:rsidR="00EA1606" w:rsidRPr="00C73C58" w:rsidRDefault="00EA1606" w:rsidP="00EA1606">
      <w:pPr>
        <w:pStyle w:val="12"/>
      </w:pPr>
      <w:r w:rsidRPr="00C73C58">
        <w:t xml:space="preserve">Publisher: </w:t>
      </w:r>
    </w:p>
    <w:p w:rsidR="00EA1606" w:rsidRPr="00C73C58" w:rsidRDefault="00EA1606" w:rsidP="00EA1606">
      <w:pPr>
        <w:pStyle w:val="12"/>
      </w:pPr>
      <w:r w:rsidRPr="00C73C58">
        <w:t xml:space="preserve">Publisher Address: </w:t>
      </w:r>
    </w:p>
    <w:p w:rsidR="00EA1606" w:rsidRPr="00C73C58" w:rsidRDefault="00EA1606" w:rsidP="00EA1606">
      <w:pPr>
        <w:pStyle w:val="12"/>
      </w:pPr>
      <w:r w:rsidRPr="00C73C58">
        <w:t xml:space="preserve">Subject Categories: </w:t>
      </w:r>
    </w:p>
    <w:p w:rsidR="00EA1606" w:rsidRPr="00C73C58" w:rsidRDefault="00EA1606" w:rsidP="00EA1606">
      <w:pPr>
        <w:pStyle w:val="12"/>
      </w:pPr>
      <w:r w:rsidRPr="00C73C58">
        <w:t xml:space="preserve">: Impact Factor </w:t>
      </w:r>
    </w:p>
    <w:p w:rsidR="00EA1606" w:rsidRDefault="00EA1606" w:rsidP="00EA1606">
      <w:pPr>
        <w:pStyle w:val="a3"/>
        <w:rPr>
          <w:kern w:val="0"/>
        </w:rPr>
      </w:pPr>
      <w:r>
        <w:rPr>
          <w:rFonts w:hint="eastAsia"/>
          <w:kern w:val="0"/>
        </w:rPr>
        <w:t xml:space="preserve">? </w:t>
      </w:r>
      <w:r>
        <w:rPr>
          <w:kern w:val="0"/>
        </w:rPr>
        <w:t>Hsu, J.W.</w:t>
      </w:r>
      <w:r w:rsidR="005853A9">
        <w:rPr>
          <w:kern w:val="0"/>
        </w:rPr>
        <w:t xml:space="preserve"> and </w:t>
      </w:r>
      <w:r>
        <w:rPr>
          <w:kern w:val="0"/>
        </w:rPr>
        <w:t>Huang, D.W. (2011), Dynamics</w:t>
      </w:r>
      <w:r w:rsidR="00427468">
        <w:rPr>
          <w:kern w:val="0"/>
        </w:rPr>
        <w:t xml:space="preserve"> of </w:t>
      </w:r>
      <w:r>
        <w:rPr>
          <w:kern w:val="0"/>
        </w:rPr>
        <w:t xml:space="preserve">citation distribution. </w:t>
      </w:r>
      <w:r w:rsidRPr="00245A1E">
        <w:rPr>
          <w:i/>
          <w:iCs/>
          <w:kern w:val="0"/>
        </w:rPr>
        <w:t>Computer Physics Communications</w:t>
      </w:r>
      <w:r>
        <w:rPr>
          <w:kern w:val="0"/>
        </w:rPr>
        <w:t xml:space="preserve">, </w:t>
      </w:r>
      <w:r>
        <w:rPr>
          <w:b/>
          <w:bCs/>
          <w:kern w:val="0"/>
        </w:rPr>
        <w:t>182</w:t>
      </w:r>
      <w:r>
        <w:rPr>
          <w:kern w:val="0"/>
        </w:rPr>
        <w:t xml:space="preserve"> (1), 185-187.</w:t>
      </w:r>
    </w:p>
    <w:p w:rsidR="00EA1606" w:rsidRDefault="00EA1606" w:rsidP="00EA1606">
      <w:pPr>
        <w:pStyle w:val="a3"/>
        <w:rPr>
          <w:kern w:val="0"/>
        </w:rPr>
      </w:pPr>
      <w:r>
        <w:rPr>
          <w:rFonts w:hint="eastAsia"/>
          <w:kern w:val="0"/>
        </w:rPr>
        <w:t xml:space="preserve">Full Text: </w:t>
      </w:r>
      <w:hyperlink r:id="rId975" w:history="1">
        <w:r w:rsidRPr="00717A00">
          <w:rPr>
            <w:rStyle w:val="a5"/>
            <w:kern w:val="0"/>
          </w:rPr>
          <w:t>2011\Com Phy Com182, 185.pdf</w:t>
        </w:r>
      </w:hyperlink>
    </w:p>
    <w:p w:rsidR="00EA1606" w:rsidRDefault="00EA1606" w:rsidP="00EA1606">
      <w:pPr>
        <w:pStyle w:val="a3"/>
        <w:rPr>
          <w:kern w:val="0"/>
        </w:rPr>
      </w:pPr>
      <w:r>
        <w:rPr>
          <w:kern w:val="0"/>
        </w:rPr>
        <w:t>Abstract: We study</w:t>
      </w:r>
      <w:r w:rsidR="003A1917">
        <w:rPr>
          <w:kern w:val="0"/>
        </w:rPr>
        <w:t xml:space="preserve"> the </w:t>
      </w:r>
      <w:r>
        <w:rPr>
          <w:kern w:val="0"/>
        </w:rPr>
        <w:t>citation dynamics</w:t>
      </w:r>
      <w:r w:rsidR="00427468">
        <w:rPr>
          <w:kern w:val="0"/>
        </w:rPr>
        <w:t xml:space="preserve"> of </w:t>
      </w:r>
      <w:r>
        <w:rPr>
          <w:kern w:val="0"/>
        </w:rPr>
        <w:t>scientific publications over</w:t>
      </w:r>
      <w:r w:rsidR="003A1917">
        <w:rPr>
          <w:kern w:val="0"/>
        </w:rPr>
        <w:t xml:space="preserve"> the </w:t>
      </w:r>
      <w:r>
        <w:rPr>
          <w:kern w:val="0"/>
        </w:rPr>
        <w:t>years We propose a simple cellular automaton model featuring a combination</w:t>
      </w:r>
      <w:r w:rsidR="00427468">
        <w:rPr>
          <w:kern w:val="0"/>
        </w:rPr>
        <w:t xml:space="preserve"> of </w:t>
      </w:r>
      <w:r>
        <w:rPr>
          <w:kern w:val="0"/>
        </w:rPr>
        <w:t>two distinct mechanisms i e</w:t>
      </w:r>
      <w:r w:rsidR="003A1917">
        <w:rPr>
          <w:kern w:val="0"/>
        </w:rPr>
        <w:t xml:space="preserve"> the </w:t>
      </w:r>
      <w:r>
        <w:rPr>
          <w:kern w:val="0"/>
        </w:rPr>
        <w:t>random assignment</w:t>
      </w:r>
      <w:r w:rsidR="005853A9">
        <w:rPr>
          <w:kern w:val="0"/>
        </w:rPr>
        <w:t xml:space="preserve"> and </w:t>
      </w:r>
      <w:r w:rsidR="003A1917">
        <w:rPr>
          <w:kern w:val="0"/>
        </w:rPr>
        <w:t xml:space="preserve">the </w:t>
      </w:r>
      <w:r>
        <w:rPr>
          <w:kern w:val="0"/>
        </w:rPr>
        <w:t>preferential attachment to investigate</w:t>
      </w:r>
      <w:r w:rsidR="003A1917">
        <w:rPr>
          <w:kern w:val="0"/>
        </w:rPr>
        <w:t xml:space="preserve"> the </w:t>
      </w:r>
      <w:r>
        <w:rPr>
          <w:kern w:val="0"/>
        </w:rPr>
        <w:t>dynamics</w:t>
      </w:r>
      <w:r w:rsidR="00427468">
        <w:rPr>
          <w:kern w:val="0"/>
        </w:rPr>
        <w:t xml:space="preserve"> of </w:t>
      </w:r>
      <w:r>
        <w:rPr>
          <w:kern w:val="0"/>
        </w:rPr>
        <w:t>journal citation Different from most previous studies focusing on highly cited papers we analyze</w:t>
      </w:r>
      <w:r w:rsidR="003A1917">
        <w:rPr>
          <w:kern w:val="0"/>
        </w:rPr>
        <w:t xml:space="preserve"> the </w:t>
      </w:r>
      <w:r>
        <w:rPr>
          <w:kern w:val="0"/>
        </w:rPr>
        <w:t>time evolution</w:t>
      </w:r>
      <w:r w:rsidR="00427468">
        <w:rPr>
          <w:kern w:val="0"/>
        </w:rPr>
        <w:t xml:space="preserve"> of </w:t>
      </w:r>
      <w:r w:rsidR="003A1917">
        <w:rPr>
          <w:kern w:val="0"/>
        </w:rPr>
        <w:t xml:space="preserve">the </w:t>
      </w:r>
      <w:r>
        <w:rPr>
          <w:kern w:val="0"/>
        </w:rPr>
        <w:t>entire citation distribution Empirical data can be well reproduced by numerical simulations Within</w:t>
      </w:r>
      <w:r w:rsidR="003A1917">
        <w:rPr>
          <w:kern w:val="0"/>
        </w:rPr>
        <w:t xml:space="preserve"> the </w:t>
      </w:r>
      <w:r>
        <w:rPr>
          <w:kern w:val="0"/>
        </w:rPr>
        <w:t>linear regime</w:t>
      </w:r>
      <w:r w:rsidR="00427468">
        <w:rPr>
          <w:kern w:val="0"/>
        </w:rPr>
        <w:t xml:space="preserve"> of </w:t>
      </w:r>
      <w:r w:rsidR="003A1917">
        <w:rPr>
          <w:kern w:val="0"/>
        </w:rPr>
        <w:t xml:space="preserve">the </w:t>
      </w:r>
      <w:r>
        <w:rPr>
          <w:kern w:val="0"/>
        </w:rPr>
        <w:t>Cited Half-Life a steady accumulation</w:t>
      </w:r>
      <w:r w:rsidR="00427468">
        <w:rPr>
          <w:kern w:val="0"/>
        </w:rPr>
        <w:t xml:space="preserve"> of </w:t>
      </w:r>
      <w:r>
        <w:rPr>
          <w:kern w:val="0"/>
        </w:rPr>
        <w:t>citations can be expected Moreover within this linear regime</w:t>
      </w:r>
      <w:r w:rsidR="003A1917">
        <w:rPr>
          <w:kern w:val="0"/>
        </w:rPr>
        <w:t xml:space="preserve"> the </w:t>
      </w:r>
      <w:r>
        <w:rPr>
          <w:kern w:val="0"/>
        </w:rPr>
        <w:t>ratio between</w:t>
      </w:r>
      <w:r w:rsidR="003A1917">
        <w:rPr>
          <w:kern w:val="0"/>
        </w:rPr>
        <w:t xml:space="preserve"> the </w:t>
      </w:r>
      <w:r>
        <w:rPr>
          <w:kern w:val="0"/>
        </w:rPr>
        <w:t>above two mechanisms is a constant Besides</w:t>
      </w:r>
      <w:r w:rsidR="003A1917">
        <w:rPr>
          <w:kern w:val="0"/>
        </w:rPr>
        <w:t xml:space="preserve"> the </w:t>
      </w:r>
      <w:r>
        <w:rPr>
          <w:kern w:val="0"/>
        </w:rPr>
        <w:t>average citation represented by</w:t>
      </w:r>
      <w:r w:rsidR="003A1917">
        <w:rPr>
          <w:kern w:val="0"/>
        </w:rPr>
        <w:t xml:space="preserve"> the </w:t>
      </w:r>
      <w:r>
        <w:rPr>
          <w:kern w:val="0"/>
        </w:rPr>
        <w:t>Impact Factor such a constant ratio can also be a characteristic</w:t>
      </w:r>
      <w:r w:rsidR="00427468">
        <w:rPr>
          <w:kern w:val="0"/>
        </w:rPr>
        <w:t xml:space="preserve"> of </w:t>
      </w:r>
      <w:r w:rsidR="003A1917">
        <w:rPr>
          <w:kern w:val="0"/>
        </w:rPr>
        <w:t xml:space="preserve">the </w:t>
      </w:r>
      <w:r>
        <w:rPr>
          <w:kern w:val="0"/>
        </w:rPr>
        <w:t>journal (C) 2010 Elsevier B V All rights reserved.</w:t>
      </w:r>
    </w:p>
    <w:p w:rsidR="00EA1606" w:rsidRDefault="00EA1606" w:rsidP="00EA1606">
      <w:pPr>
        <w:pStyle w:val="a3"/>
        <w:rPr>
          <w:kern w:val="0"/>
        </w:rPr>
      </w:pPr>
      <w:r>
        <w:rPr>
          <w:kern w:val="0"/>
        </w:rPr>
        <w:t>Keywords: Bibliometrics, Citation, Citation Analysis, Citations, Data, Dynamics, Evolution, Highly-Cited, Impact Factor, Impact-Factor, Journal, Mechanisms, Model, Networks, Publications, Scientific Papers, Scientific Publications, Statistics, Stochastic Processes</w:t>
      </w:r>
    </w:p>
    <w:p w:rsidR="00554DCF" w:rsidRPr="00C73C58" w:rsidRDefault="00554DCF" w:rsidP="00554DCF">
      <w:pPr>
        <w:pStyle w:val="1"/>
      </w:pPr>
      <w:r w:rsidRPr="00C73C58">
        <w:br w:type="page"/>
      </w:r>
      <w:bookmarkStart w:id="373" w:name="_Toc420815092"/>
      <w:r w:rsidRPr="00C73C58">
        <w:lastRenderedPageBreak/>
        <w:t xml:space="preserve">Title: </w:t>
      </w:r>
      <w:r w:rsidRPr="001914EE">
        <w:rPr>
          <w:iCs w:val="0"/>
          <w:szCs w:val="24"/>
        </w:rPr>
        <w:t>Computer Science</w:t>
      </w:r>
      <w:r w:rsidR="005853A9">
        <w:rPr>
          <w:iCs w:val="0"/>
          <w:szCs w:val="24"/>
        </w:rPr>
        <w:t xml:space="preserve"> and </w:t>
      </w:r>
      <w:r w:rsidRPr="001914EE">
        <w:rPr>
          <w:iCs w:val="0"/>
          <w:szCs w:val="24"/>
        </w:rPr>
        <w:t>Information Systems</w:t>
      </w:r>
      <w:bookmarkEnd w:id="373"/>
    </w:p>
    <w:p w:rsidR="00554DCF" w:rsidRPr="00C73C58" w:rsidRDefault="00554DCF" w:rsidP="00554DCF">
      <w:pPr>
        <w:pStyle w:val="12"/>
      </w:pPr>
      <w:r w:rsidRPr="00C73C58">
        <w:t xml:space="preserve">Full Journal Title: </w:t>
      </w:r>
      <w:r w:rsidRPr="001914EE">
        <w:rPr>
          <w:iCs/>
        </w:rPr>
        <w:t>Computer Science</w:t>
      </w:r>
      <w:r w:rsidR="005853A9">
        <w:rPr>
          <w:iCs/>
        </w:rPr>
        <w:t xml:space="preserve"> and </w:t>
      </w:r>
      <w:r w:rsidRPr="001914EE">
        <w:rPr>
          <w:iCs/>
        </w:rPr>
        <w:t>Information Systems</w:t>
      </w:r>
    </w:p>
    <w:p w:rsidR="00554DCF" w:rsidRPr="00C73C58" w:rsidRDefault="00554DCF" w:rsidP="00554DCF">
      <w:pPr>
        <w:pStyle w:val="12"/>
      </w:pPr>
      <w:r w:rsidRPr="00C73C58">
        <w:t xml:space="preserve">ISO Abbreviated Title: </w:t>
      </w:r>
    </w:p>
    <w:p w:rsidR="00554DCF" w:rsidRPr="00C73C58" w:rsidRDefault="00554DCF" w:rsidP="00554DCF">
      <w:pPr>
        <w:pStyle w:val="12"/>
      </w:pPr>
      <w:r w:rsidRPr="00C73C58">
        <w:t xml:space="preserve">JCR Abbreviated Title: </w:t>
      </w:r>
    </w:p>
    <w:p w:rsidR="00554DCF" w:rsidRPr="00C73C58" w:rsidRDefault="00554DCF" w:rsidP="00554DCF">
      <w:pPr>
        <w:pStyle w:val="12"/>
      </w:pPr>
      <w:r w:rsidRPr="00C73C58">
        <w:t xml:space="preserve">ISSN: </w:t>
      </w:r>
    </w:p>
    <w:p w:rsidR="00554DCF" w:rsidRPr="00C73C58" w:rsidRDefault="00554DCF" w:rsidP="00554DCF">
      <w:pPr>
        <w:pStyle w:val="12"/>
      </w:pPr>
      <w:r w:rsidRPr="00C73C58">
        <w:t xml:space="preserve">Issues/Year: </w:t>
      </w:r>
    </w:p>
    <w:p w:rsidR="00554DCF" w:rsidRPr="00C73C58" w:rsidRDefault="00554DCF" w:rsidP="00554DCF">
      <w:pPr>
        <w:pStyle w:val="12"/>
      </w:pPr>
      <w:r w:rsidRPr="00C73C58">
        <w:t xml:space="preserve">Journal Country/Territory: </w:t>
      </w:r>
    </w:p>
    <w:p w:rsidR="00554DCF" w:rsidRPr="00C73C58" w:rsidRDefault="00554DCF" w:rsidP="00554DCF">
      <w:pPr>
        <w:pStyle w:val="12"/>
      </w:pPr>
      <w:r w:rsidRPr="00C73C58">
        <w:t xml:space="preserve">Language: </w:t>
      </w:r>
    </w:p>
    <w:p w:rsidR="00554DCF" w:rsidRPr="00C73C58" w:rsidRDefault="00554DCF" w:rsidP="00554DCF">
      <w:pPr>
        <w:pStyle w:val="12"/>
      </w:pPr>
      <w:r w:rsidRPr="00C73C58">
        <w:t xml:space="preserve">Publisher: </w:t>
      </w:r>
    </w:p>
    <w:p w:rsidR="00554DCF" w:rsidRPr="00C73C58" w:rsidRDefault="00554DCF" w:rsidP="00554DCF">
      <w:pPr>
        <w:pStyle w:val="12"/>
      </w:pPr>
      <w:r w:rsidRPr="00C73C58">
        <w:t xml:space="preserve">Publisher Address: </w:t>
      </w:r>
    </w:p>
    <w:p w:rsidR="00554DCF" w:rsidRPr="00C73C58" w:rsidRDefault="00554DCF" w:rsidP="00554DCF">
      <w:pPr>
        <w:pStyle w:val="12"/>
      </w:pPr>
      <w:r w:rsidRPr="00C73C58">
        <w:t>Subject Categories:</w:t>
      </w:r>
    </w:p>
    <w:p w:rsidR="00554DCF" w:rsidRPr="00C73C58" w:rsidRDefault="00554DCF" w:rsidP="00554DCF">
      <w:pPr>
        <w:pStyle w:val="12"/>
      </w:pPr>
      <w:r w:rsidRPr="00C73C58">
        <w:t xml:space="preserve">: Impact Factor </w:t>
      </w:r>
    </w:p>
    <w:p w:rsidR="00554DCF" w:rsidRDefault="00554DCF" w:rsidP="00554DCF">
      <w:pPr>
        <w:pStyle w:val="a3"/>
        <w:rPr>
          <w:kern w:val="0"/>
          <w:szCs w:val="24"/>
        </w:rPr>
      </w:pPr>
      <w:r>
        <w:rPr>
          <w:rFonts w:hint="eastAsia"/>
          <w:kern w:val="0"/>
          <w:szCs w:val="24"/>
        </w:rPr>
        <w:t xml:space="preserve">? </w:t>
      </w:r>
      <w:r>
        <w:rPr>
          <w:kern w:val="0"/>
          <w:szCs w:val="24"/>
        </w:rPr>
        <w:t>Ivanović, D., Surla, D.</w:t>
      </w:r>
      <w:r w:rsidR="005853A9">
        <w:rPr>
          <w:kern w:val="0"/>
          <w:szCs w:val="24"/>
        </w:rPr>
        <w:t xml:space="preserve"> and </w:t>
      </w:r>
      <w:r>
        <w:rPr>
          <w:kern w:val="0"/>
          <w:szCs w:val="24"/>
        </w:rPr>
        <w:t>Racković, M. (2012), Journal evaluation based on bibliometric indicators</w:t>
      </w:r>
      <w:r w:rsidR="005853A9">
        <w:rPr>
          <w:kern w:val="0"/>
          <w:szCs w:val="24"/>
        </w:rPr>
        <w:t xml:space="preserve"> and </w:t>
      </w:r>
      <w:r w:rsidR="003A1917">
        <w:rPr>
          <w:kern w:val="0"/>
          <w:szCs w:val="24"/>
        </w:rPr>
        <w:t xml:space="preserve">the </w:t>
      </w:r>
      <w:r>
        <w:rPr>
          <w:kern w:val="0"/>
          <w:szCs w:val="24"/>
        </w:rPr>
        <w:t xml:space="preserve">CERIF data model. </w:t>
      </w:r>
      <w:r w:rsidRPr="001914EE">
        <w:rPr>
          <w:i/>
          <w:iCs/>
          <w:kern w:val="0"/>
          <w:szCs w:val="24"/>
        </w:rPr>
        <w:t>Computer Science</w:t>
      </w:r>
      <w:r w:rsidR="005853A9">
        <w:rPr>
          <w:i/>
          <w:iCs/>
          <w:kern w:val="0"/>
          <w:szCs w:val="24"/>
        </w:rPr>
        <w:t xml:space="preserve"> and </w:t>
      </w:r>
      <w:r w:rsidRPr="001914EE">
        <w:rPr>
          <w:i/>
          <w:iCs/>
          <w:kern w:val="0"/>
          <w:szCs w:val="24"/>
        </w:rPr>
        <w:t>Information Systems</w:t>
      </w:r>
      <w:r>
        <w:rPr>
          <w:kern w:val="0"/>
          <w:szCs w:val="24"/>
        </w:rPr>
        <w:t xml:space="preserve">, </w:t>
      </w:r>
      <w:r>
        <w:rPr>
          <w:b/>
          <w:bCs/>
          <w:kern w:val="0"/>
          <w:szCs w:val="24"/>
        </w:rPr>
        <w:t>9</w:t>
      </w:r>
      <w:r>
        <w:rPr>
          <w:kern w:val="0"/>
          <w:szCs w:val="24"/>
        </w:rPr>
        <w:t xml:space="preserve"> (2), 791-811.</w:t>
      </w:r>
    </w:p>
    <w:p w:rsidR="00554DCF" w:rsidRDefault="00554DCF" w:rsidP="00554DCF">
      <w:pPr>
        <w:pStyle w:val="a3"/>
        <w:rPr>
          <w:kern w:val="0"/>
          <w:szCs w:val="24"/>
        </w:rPr>
      </w:pPr>
      <w:r>
        <w:rPr>
          <w:rFonts w:hint="eastAsia"/>
          <w:kern w:val="0"/>
          <w:szCs w:val="24"/>
        </w:rPr>
        <w:t xml:space="preserve">Full Text: </w:t>
      </w:r>
      <w:hyperlink r:id="rId976" w:history="1">
        <w:r w:rsidRPr="00203613">
          <w:rPr>
            <w:rStyle w:val="a5"/>
            <w:kern w:val="0"/>
            <w:szCs w:val="24"/>
          </w:rPr>
          <w:t>2012\Com Sci Inf Sys9, 791.pdf</w:t>
        </w:r>
      </w:hyperlink>
    </w:p>
    <w:p w:rsidR="00554DCF" w:rsidRDefault="00554DCF" w:rsidP="00554DCF">
      <w:pPr>
        <w:pStyle w:val="a3"/>
        <w:rPr>
          <w:kern w:val="0"/>
          <w:szCs w:val="24"/>
        </w:rPr>
      </w:pPr>
      <w:r>
        <w:rPr>
          <w:kern w:val="0"/>
          <w:szCs w:val="24"/>
        </w:rPr>
        <w:t>Abstract: In this paper we propose an application</w:t>
      </w:r>
      <w:r w:rsidR="00427468">
        <w:rPr>
          <w:kern w:val="0"/>
          <w:szCs w:val="24"/>
        </w:rPr>
        <w:t xml:space="preserve"> of </w:t>
      </w:r>
      <w:r>
        <w:rPr>
          <w:kern w:val="0"/>
          <w:szCs w:val="24"/>
        </w:rPr>
        <w:t>extended CERIF data model for storing journal impact factors</w:t>
      </w:r>
      <w:r w:rsidR="005853A9">
        <w:rPr>
          <w:kern w:val="0"/>
          <w:szCs w:val="24"/>
        </w:rPr>
        <w:t xml:space="preserve"> and </w:t>
      </w:r>
      <w:r>
        <w:rPr>
          <w:kern w:val="0"/>
          <w:szCs w:val="24"/>
        </w:rPr>
        <w:t>journal scientific fields</w:t>
      </w:r>
      <w:r w:rsidR="005853A9">
        <w:rPr>
          <w:kern w:val="0"/>
          <w:szCs w:val="24"/>
        </w:rPr>
        <w:t xml:space="preserve"> and </w:t>
      </w:r>
      <w:r>
        <w:rPr>
          <w:kern w:val="0"/>
          <w:szCs w:val="24"/>
        </w:rPr>
        <w:t>also propose a journal evaluation approach based on these data</w:t>
      </w:r>
      <w:r w:rsidR="00A37C1D">
        <w:rPr>
          <w:kern w:val="0"/>
          <w:szCs w:val="24"/>
        </w:rPr>
        <w:t>. The</w:t>
      </w:r>
      <w:r w:rsidR="003A1917">
        <w:rPr>
          <w:kern w:val="0"/>
          <w:szCs w:val="24"/>
        </w:rPr>
        <w:t xml:space="preserve"> </w:t>
      </w:r>
      <w:r>
        <w:rPr>
          <w:kern w:val="0"/>
          <w:szCs w:val="24"/>
        </w:rPr>
        <w:t>approach includes an algorithm for journal evaluation based on one metric for journals ranking that is also stored using</w:t>
      </w:r>
      <w:r w:rsidR="003A1917">
        <w:rPr>
          <w:kern w:val="0"/>
          <w:szCs w:val="24"/>
        </w:rPr>
        <w:t xml:space="preserve"> the </w:t>
      </w:r>
      <w:r>
        <w:rPr>
          <w:kern w:val="0"/>
          <w:szCs w:val="24"/>
        </w:rPr>
        <w:t>CERIF data model</w:t>
      </w:r>
      <w:r w:rsidR="005853A9">
        <w:rPr>
          <w:kern w:val="0"/>
          <w:szCs w:val="24"/>
        </w:rPr>
        <w:t xml:space="preserve"> and </w:t>
      </w:r>
      <w:r>
        <w:rPr>
          <w:kern w:val="0"/>
          <w:szCs w:val="24"/>
        </w:rPr>
        <w:t>that is in accordance with</w:t>
      </w:r>
      <w:r w:rsidR="003A1917">
        <w:rPr>
          <w:kern w:val="0"/>
          <w:szCs w:val="24"/>
        </w:rPr>
        <w:t xml:space="preserve"> the </w:t>
      </w:r>
      <w:r>
        <w:rPr>
          <w:kern w:val="0"/>
          <w:szCs w:val="24"/>
        </w:rPr>
        <w:t>rule book for evaluation</w:t>
      </w:r>
      <w:r w:rsidR="00427468">
        <w:rPr>
          <w:kern w:val="0"/>
          <w:szCs w:val="24"/>
        </w:rPr>
        <w:t xml:space="preserve"> of </w:t>
      </w:r>
      <w:r>
        <w:rPr>
          <w:kern w:val="0"/>
          <w:szCs w:val="24"/>
        </w:rPr>
        <w:t>scientific-research results which is prescribed by</w:t>
      </w:r>
      <w:r w:rsidR="003A1917">
        <w:rPr>
          <w:kern w:val="0"/>
          <w:szCs w:val="24"/>
        </w:rPr>
        <w:t xml:space="preserve"> the </w:t>
      </w:r>
      <w:r>
        <w:rPr>
          <w:kern w:val="0"/>
          <w:szCs w:val="24"/>
        </w:rPr>
        <w:t>Republic</w:t>
      </w:r>
      <w:r w:rsidR="00427468">
        <w:rPr>
          <w:kern w:val="0"/>
          <w:szCs w:val="24"/>
        </w:rPr>
        <w:t xml:space="preserve"> of </w:t>
      </w:r>
      <w:r>
        <w:rPr>
          <w:kern w:val="0"/>
          <w:szCs w:val="24"/>
        </w:rPr>
        <w:t>Serbia</w:t>
      </w:r>
      <w:r w:rsidR="00A37C1D">
        <w:rPr>
          <w:kern w:val="0"/>
          <w:szCs w:val="24"/>
        </w:rPr>
        <w:t>. The</w:t>
      </w:r>
      <w:r w:rsidR="003A1917">
        <w:rPr>
          <w:kern w:val="0"/>
          <w:szCs w:val="24"/>
        </w:rPr>
        <w:t xml:space="preserve"> </w:t>
      </w:r>
      <w:r>
        <w:rPr>
          <w:kern w:val="0"/>
          <w:szCs w:val="24"/>
        </w:rPr>
        <w:t>algorithm does not unambiguously evaluate journal, i.e</w:t>
      </w:r>
      <w:r w:rsidR="00A37C1D">
        <w:rPr>
          <w:kern w:val="0"/>
          <w:szCs w:val="24"/>
        </w:rPr>
        <w:t>. The</w:t>
      </w:r>
      <w:r w:rsidR="003A1917">
        <w:rPr>
          <w:kern w:val="0"/>
          <w:szCs w:val="24"/>
        </w:rPr>
        <w:t xml:space="preserve"> </w:t>
      </w:r>
      <w:r>
        <w:rPr>
          <w:kern w:val="0"/>
          <w:szCs w:val="24"/>
        </w:rPr>
        <w:t>algorithm suggests possibly journal categories according to</w:t>
      </w:r>
      <w:r w:rsidR="003A1917">
        <w:rPr>
          <w:kern w:val="0"/>
          <w:szCs w:val="24"/>
        </w:rPr>
        <w:t xml:space="preserve"> the </w:t>
      </w:r>
      <w:r>
        <w:rPr>
          <w:kern w:val="0"/>
          <w:szCs w:val="24"/>
        </w:rPr>
        <w:t>values</w:t>
      </w:r>
      <w:r w:rsidR="00427468">
        <w:rPr>
          <w:kern w:val="0"/>
          <w:szCs w:val="24"/>
        </w:rPr>
        <w:t xml:space="preserve"> of </w:t>
      </w:r>
      <w:r w:rsidR="003A1917">
        <w:rPr>
          <w:kern w:val="0"/>
          <w:szCs w:val="24"/>
        </w:rPr>
        <w:t xml:space="preserve">the </w:t>
      </w:r>
      <w:r>
        <w:rPr>
          <w:kern w:val="0"/>
          <w:szCs w:val="24"/>
        </w:rPr>
        <w:t>metric, but final decision is made by commission</w:t>
      </w:r>
      <w:r w:rsidR="00A37C1D">
        <w:rPr>
          <w:kern w:val="0"/>
          <w:szCs w:val="24"/>
        </w:rPr>
        <w:t>. The</w:t>
      </w:r>
      <w:r w:rsidR="003A1917">
        <w:rPr>
          <w:kern w:val="0"/>
          <w:szCs w:val="24"/>
        </w:rPr>
        <w:t xml:space="preserve"> </w:t>
      </w:r>
      <w:r>
        <w:rPr>
          <w:kern w:val="0"/>
          <w:szCs w:val="24"/>
        </w:rPr>
        <w:t>proposed evaluation approach is implemented within CRIS UNS</w:t>
      </w:r>
      <w:r w:rsidR="005853A9">
        <w:rPr>
          <w:kern w:val="0"/>
          <w:szCs w:val="24"/>
        </w:rPr>
        <w:t xml:space="preserve"> and </w:t>
      </w:r>
      <w:r>
        <w:rPr>
          <w:kern w:val="0"/>
          <w:szCs w:val="24"/>
        </w:rPr>
        <w:t>verified on scientific-research results</w:t>
      </w:r>
      <w:r w:rsidR="00427468">
        <w:rPr>
          <w:kern w:val="0"/>
          <w:szCs w:val="24"/>
        </w:rPr>
        <w:t xml:space="preserve"> of </w:t>
      </w:r>
      <w:r>
        <w:rPr>
          <w:kern w:val="0"/>
          <w:szCs w:val="24"/>
        </w:rPr>
        <w:t>researchers employed at Department</w:t>
      </w:r>
      <w:r w:rsidR="00427468">
        <w:rPr>
          <w:kern w:val="0"/>
          <w:szCs w:val="24"/>
        </w:rPr>
        <w:t xml:space="preserve"> of </w:t>
      </w:r>
      <w:r>
        <w:rPr>
          <w:kern w:val="0"/>
          <w:szCs w:val="24"/>
        </w:rPr>
        <w:t>Mathematics</w:t>
      </w:r>
      <w:r w:rsidR="005853A9">
        <w:rPr>
          <w:kern w:val="0"/>
          <w:szCs w:val="24"/>
        </w:rPr>
        <w:t xml:space="preserve"> and </w:t>
      </w:r>
      <w:r>
        <w:rPr>
          <w:kern w:val="0"/>
          <w:szCs w:val="24"/>
        </w:rPr>
        <w:t>Informatics, University</w:t>
      </w:r>
      <w:r w:rsidR="00427468">
        <w:rPr>
          <w:kern w:val="0"/>
          <w:szCs w:val="24"/>
        </w:rPr>
        <w:t xml:space="preserve"> of </w:t>
      </w:r>
      <w:r>
        <w:rPr>
          <w:kern w:val="0"/>
          <w:szCs w:val="24"/>
        </w:rPr>
        <w:t>Novi Sad</w:t>
      </w:r>
      <w:r w:rsidR="00A37C1D">
        <w:rPr>
          <w:kern w:val="0"/>
          <w:szCs w:val="24"/>
        </w:rPr>
        <w:t>. The</w:t>
      </w:r>
      <w:r w:rsidR="003A1917">
        <w:rPr>
          <w:kern w:val="0"/>
          <w:szCs w:val="24"/>
        </w:rPr>
        <w:t xml:space="preserve"> </w:t>
      </w:r>
      <w:r>
        <w:rPr>
          <w:kern w:val="0"/>
          <w:szCs w:val="24"/>
        </w:rPr>
        <w:t>complete evaluation approach proposed in this paper is based on</w:t>
      </w:r>
      <w:r w:rsidR="003A1917">
        <w:rPr>
          <w:kern w:val="0"/>
          <w:szCs w:val="24"/>
        </w:rPr>
        <w:t xml:space="preserve"> the </w:t>
      </w:r>
      <w:r>
        <w:rPr>
          <w:kern w:val="0"/>
          <w:szCs w:val="24"/>
        </w:rPr>
        <w:t>CERIF standard that allows an easy application</w:t>
      </w:r>
      <w:r w:rsidR="00427468">
        <w:rPr>
          <w:kern w:val="0"/>
          <w:szCs w:val="24"/>
        </w:rPr>
        <w:t xml:space="preserve"> of </w:t>
      </w:r>
      <w:r>
        <w:rPr>
          <w:kern w:val="0"/>
          <w:szCs w:val="24"/>
        </w:rPr>
        <w:t>this evaluation approach in any CERIF-compatible CRIS system.</w:t>
      </w:r>
    </w:p>
    <w:p w:rsidR="00554DCF" w:rsidRDefault="00554DCF" w:rsidP="00554DCF">
      <w:pPr>
        <w:pStyle w:val="a3"/>
        <w:rPr>
          <w:kern w:val="0"/>
          <w:szCs w:val="24"/>
        </w:rPr>
      </w:pPr>
      <w:r>
        <w:rPr>
          <w:kern w:val="0"/>
          <w:szCs w:val="24"/>
        </w:rPr>
        <w:t>Keywords: Algorithm, Application, Approach, Article, Bibliometric, Bibliometric Indicators, Cerif, Citation-Reports, CRIS UNS, Data, Decision, Evaluation, Evaluation</w:t>
      </w:r>
      <w:r w:rsidR="00427468">
        <w:rPr>
          <w:kern w:val="0"/>
          <w:szCs w:val="24"/>
        </w:rPr>
        <w:t xml:space="preserve"> of </w:t>
      </w:r>
      <w:r>
        <w:rPr>
          <w:kern w:val="0"/>
          <w:szCs w:val="24"/>
        </w:rPr>
        <w:t>Scientific-Research Results, Impact, Impact Factor, Impact Factor, Impact Factors, Index, Indicators, Journal, Journal Evaluation, Journal Impact, Journal Impact Factors, Journals, Marc 21 Format, Model, Performance, Ranking, Research Management-System, Science, Scientific Research, Standard, Unimarc, University</w:t>
      </w:r>
    </w:p>
    <w:p w:rsidR="003474F2" w:rsidRPr="001A3D2B" w:rsidRDefault="003474F2" w:rsidP="003474F2">
      <w:pPr>
        <w:pStyle w:val="1"/>
      </w:pPr>
      <w:r w:rsidRPr="001A3D2B">
        <w:br w:type="page"/>
      </w:r>
      <w:bookmarkStart w:id="374" w:name="_Toc420815093"/>
      <w:r w:rsidRPr="001A3D2B">
        <w:lastRenderedPageBreak/>
        <w:t>Title: Computers</w:t>
      </w:r>
      <w:r w:rsidR="005853A9">
        <w:t xml:space="preserve"> and </w:t>
      </w:r>
      <w:r w:rsidRPr="001A3D2B">
        <w:t>Biomedical Research</w:t>
      </w:r>
      <w:bookmarkEnd w:id="374"/>
    </w:p>
    <w:p w:rsidR="003474F2" w:rsidRPr="001A3D2B" w:rsidRDefault="003474F2" w:rsidP="003474F2">
      <w:pPr>
        <w:pStyle w:val="12"/>
      </w:pPr>
      <w:r w:rsidRPr="001A3D2B">
        <w:t xml:space="preserve">Full Journal Title: </w:t>
      </w:r>
      <w:r w:rsidR="00DF61FE">
        <w:fldChar w:fldCharType="begin"/>
      </w:r>
      <w:r w:rsidR="00FD158B">
        <w:instrText>HYPERLINK "http:</w:instrText>
      </w:r>
      <w:bookmarkStart w:id="375" w:name="_Toc81215682"/>
      <w:r w:rsidR="00FD158B">
        <w:instrText>//www.sciencedirect.com/science?_ob=Jour</w:instrText>
      </w:r>
      <w:bookmarkEnd w:id="375"/>
      <w:r w:rsidR="00FD158B">
        <w:instrText>nalURL&amp;_cdi=6751&amp;_auth=y&amp;_acct=C000011279&amp;_version=1&amp;_urlVersion=0&amp;_userid=1134284&amp;md5=71e72b6da2a98b77f543b613c89f92ee"</w:instrText>
      </w:r>
      <w:r w:rsidR="00DF61FE">
        <w:fldChar w:fldCharType="separate"/>
      </w:r>
      <w:r w:rsidRPr="001A3D2B">
        <w:rPr>
          <w:rStyle w:val="a5"/>
        </w:rPr>
        <w:t>Computers</w:t>
      </w:r>
      <w:r w:rsidR="005853A9">
        <w:rPr>
          <w:rStyle w:val="a5"/>
        </w:rPr>
        <w:t xml:space="preserve"> and </w:t>
      </w:r>
      <w:r w:rsidRPr="001A3D2B">
        <w:rPr>
          <w:rStyle w:val="a5"/>
        </w:rPr>
        <w:t>Biomedical Research</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Pao, M.L. (1993), Perusing</w:t>
      </w:r>
      <w:r w:rsidR="003A1917">
        <w:t xml:space="preserve"> the </w:t>
      </w:r>
      <w:r w:rsidRPr="001A3D2B">
        <w:t xml:space="preserve">Literature via Citation Links. </w:t>
      </w:r>
      <w:r w:rsidRPr="001A3D2B">
        <w:rPr>
          <w:i/>
          <w:iCs/>
        </w:rPr>
        <w:t>Computers</w:t>
      </w:r>
      <w:r w:rsidR="005853A9">
        <w:rPr>
          <w:i/>
          <w:iCs/>
        </w:rPr>
        <w:t xml:space="preserve"> and </w:t>
      </w:r>
      <w:r w:rsidRPr="001A3D2B">
        <w:rPr>
          <w:i/>
          <w:iCs/>
        </w:rPr>
        <w:t>Biomedical Research</w:t>
      </w:r>
      <w:r w:rsidRPr="001A3D2B">
        <w:t xml:space="preserve">, </w:t>
      </w:r>
      <w:r w:rsidRPr="001A3D2B">
        <w:rPr>
          <w:b/>
        </w:rPr>
        <w:t>26</w:t>
      </w:r>
      <w:r w:rsidRPr="001A3D2B">
        <w:t xml:space="preserve"> (2), 143-156.</w:t>
      </w:r>
    </w:p>
    <w:p w:rsidR="003474F2" w:rsidRPr="001A3D2B" w:rsidRDefault="003474F2" w:rsidP="003474F2">
      <w:pPr>
        <w:pStyle w:val="a3"/>
      </w:pPr>
      <w:r w:rsidRPr="001A3D2B">
        <w:t xml:space="preserve">Full Text: </w:t>
      </w:r>
      <w:hyperlink r:id="rId977" w:history="1">
        <w:r w:rsidRPr="001A3D2B">
          <w:rPr>
            <w:rStyle w:val="a5"/>
          </w:rPr>
          <w:t>1993\Com Bio Res26, 143.pdf</w:t>
        </w:r>
      </w:hyperlink>
    </w:p>
    <w:p w:rsidR="003474F2" w:rsidRPr="001A3D2B" w:rsidRDefault="003474F2" w:rsidP="003474F2">
      <w:pPr>
        <w:pStyle w:val="a3"/>
      </w:pPr>
      <w:r w:rsidRPr="001A3D2B">
        <w:t xml:space="preserve">Abstract: While </w:t>
      </w:r>
      <w:r w:rsidR="00D5664A">
        <w:t>MEDLINE</w:t>
      </w:r>
      <w:r w:rsidRPr="001A3D2B">
        <w:t xml:space="preserve"> searching is recognized as</w:t>
      </w:r>
      <w:r w:rsidR="003A1917">
        <w:t xml:space="preserve"> the </w:t>
      </w:r>
      <w:r w:rsidRPr="001A3D2B">
        <w:t>single most effective means to identify relevant items to solve clinical</w:t>
      </w:r>
      <w:r w:rsidR="005853A9">
        <w:t xml:space="preserve"> and </w:t>
      </w:r>
      <w:r w:rsidRPr="001A3D2B">
        <w:t>research problems,</w:t>
      </w:r>
      <w:r w:rsidR="003A1917">
        <w:t xml:space="preserve"> the </w:t>
      </w:r>
      <w:r w:rsidRPr="001A3D2B">
        <w:t>clinician should also consider</w:t>
      </w:r>
      <w:r w:rsidR="003A1917">
        <w:t xml:space="preserve"> the </w:t>
      </w:r>
      <w:r w:rsidRPr="001A3D2B">
        <w:t>complementary strategy to search for relevant items citing a known key paper. This study reports on</w:t>
      </w:r>
      <w:r w:rsidR="003A1917">
        <w:t xml:space="preserve"> the </w:t>
      </w:r>
      <w:r w:rsidRPr="001A3D2B">
        <w:t>usefulness</w:t>
      </w:r>
      <w:r w:rsidR="00427468">
        <w:t xml:space="preserve"> of </w:t>
      </w:r>
      <w:r w:rsidRPr="001A3D2B">
        <w:t>citation searching based on</w:t>
      </w:r>
      <w:r w:rsidR="003A1917">
        <w:t xml:space="preserve"> the </w:t>
      </w:r>
      <w:r w:rsidRPr="001A3D2B">
        <w:t>analysis</w:t>
      </w:r>
      <w:r w:rsidR="00427468">
        <w:t xml:space="preserve"> of </w:t>
      </w:r>
      <w:r w:rsidRPr="001A3D2B">
        <w:t>89 searches. For each topic,</w:t>
      </w:r>
      <w:r w:rsidR="003A1917">
        <w:t xml:space="preserve"> the </w:t>
      </w:r>
      <w:r w:rsidRPr="001A3D2B">
        <w:t>citations linked to an average</w:t>
      </w:r>
      <w:r w:rsidR="00427468">
        <w:t xml:space="preserve"> of </w:t>
      </w:r>
      <w:r w:rsidRPr="001A3D2B">
        <w:t>24% additional relevant materials. At least one relevant item was added to 85%</w:t>
      </w:r>
      <w:r w:rsidR="00427468">
        <w:t xml:space="preserve"> of </w:t>
      </w:r>
      <w:r w:rsidR="003A1917">
        <w:t xml:space="preserve">the </w:t>
      </w:r>
      <w:r w:rsidRPr="001A3D2B">
        <w:t>searches</w:t>
      </w:r>
      <w:r w:rsidR="00A37C1D">
        <w:t>. The</w:t>
      </w:r>
      <w:r w:rsidR="003A1917">
        <w:t xml:space="preserve"> </w:t>
      </w:r>
      <w:r w:rsidRPr="001A3D2B">
        <w:t>additional effort</w:t>
      </w:r>
      <w:r w:rsidR="00427468">
        <w:t xml:space="preserve"> of </w:t>
      </w:r>
      <w:r w:rsidRPr="001A3D2B">
        <w:t>scanning another printout is minimal since citation searching for 42%</w:t>
      </w:r>
      <w:r w:rsidR="00427468">
        <w:t xml:space="preserve"> of </w:t>
      </w:r>
      <w:r w:rsidR="003A1917">
        <w:t xml:space="preserve">the </w:t>
      </w:r>
      <w:r w:rsidRPr="001A3D2B">
        <w:t>searches produced less than 7 additional items, half</w:t>
      </w:r>
      <w:r w:rsidR="00427468">
        <w:t xml:space="preserve"> of </w:t>
      </w:r>
      <w:r w:rsidRPr="001A3D2B">
        <w:t>which were judged to he useful. Duplicate retrievals were mostly</w:t>
      </w:r>
      <w:r w:rsidR="00427468">
        <w:t xml:space="preserve"> of </w:t>
      </w:r>
      <w:r w:rsidRPr="001A3D2B">
        <w:t>definite relevance. This alternate strategy appeared to be effective in interdisciplinary topics. Furthermore,</w:t>
      </w:r>
      <w:r w:rsidR="003A1917">
        <w:t xml:space="preserve"> the </w:t>
      </w:r>
      <w:r w:rsidRPr="001A3D2B">
        <w:t>online version</w:t>
      </w:r>
      <w:r w:rsidR="00427468">
        <w:t xml:space="preserve"> of </w:t>
      </w:r>
      <w:r w:rsidR="003A1917">
        <w:t xml:space="preserve">the </w:t>
      </w:r>
      <w:r w:rsidRPr="001A3D2B">
        <w:t>citation index is known for short turnaround time in processing, a feature important for many rapidly developing specialties.</w:t>
      </w:r>
    </w:p>
    <w:p w:rsidR="00FA71DF" w:rsidRPr="001A3D2B" w:rsidRDefault="00FA71DF" w:rsidP="00FA71DF">
      <w:pPr>
        <w:pStyle w:val="1"/>
      </w:pPr>
      <w:r w:rsidRPr="001A3D2B">
        <w:br w:type="page"/>
      </w:r>
      <w:bookmarkStart w:id="376" w:name="_Toc420815094"/>
      <w:r w:rsidRPr="001A3D2B">
        <w:lastRenderedPageBreak/>
        <w:t>Title: Computers &amp; Education</w:t>
      </w:r>
      <w:bookmarkEnd w:id="376"/>
    </w:p>
    <w:p w:rsidR="00FA71DF" w:rsidRPr="001A3D2B" w:rsidRDefault="00FA71DF" w:rsidP="00FA71DF">
      <w:pPr>
        <w:pStyle w:val="12"/>
      </w:pPr>
      <w:r w:rsidRPr="001A3D2B">
        <w:t xml:space="preserve">Full Journal Title: </w:t>
      </w:r>
      <w:r w:rsidR="00DF61FE">
        <w:fldChar w:fldCharType="begin"/>
      </w:r>
      <w:r w:rsidR="00FD158B">
        <w:instrText>HYPERLINK "http://www.scienc</w:instrText>
      </w:r>
      <w:bookmarkStart w:id="377" w:name="_Toc238324519"/>
      <w:bookmarkStart w:id="378" w:name="_Toc251078283"/>
      <w:r w:rsidR="00FD158B">
        <w:instrText>edirect.com/science/journal/</w:instrText>
      </w:r>
      <w:bookmarkEnd w:id="377"/>
      <w:bookmarkEnd w:id="378"/>
      <w:r w:rsidR="00FD158B">
        <w:instrText>03601315"</w:instrText>
      </w:r>
      <w:r w:rsidR="00DF61FE">
        <w:fldChar w:fldCharType="separate"/>
      </w:r>
      <w:r w:rsidRPr="001A3D2B">
        <w:rPr>
          <w:rStyle w:val="a5"/>
        </w:rPr>
        <w:t>Computers &amp; Education</w:t>
      </w:r>
      <w:r w:rsidR="00DF61FE">
        <w:fldChar w:fldCharType="end"/>
      </w:r>
    </w:p>
    <w:p w:rsidR="00FA71DF" w:rsidRPr="001A3D2B" w:rsidRDefault="00FA71DF" w:rsidP="00FA71DF">
      <w:pPr>
        <w:pStyle w:val="12"/>
      </w:pPr>
      <w:r w:rsidRPr="001A3D2B">
        <w:t xml:space="preserve">ISO Abbreviated Title: </w:t>
      </w:r>
    </w:p>
    <w:p w:rsidR="00FA71DF" w:rsidRPr="001A3D2B" w:rsidRDefault="00FA71DF" w:rsidP="00FA71DF">
      <w:pPr>
        <w:pStyle w:val="12"/>
      </w:pPr>
      <w:r w:rsidRPr="001A3D2B">
        <w:t xml:space="preserve">JCR Abbreviated Title: </w:t>
      </w:r>
    </w:p>
    <w:p w:rsidR="00FA71DF" w:rsidRPr="001A3D2B" w:rsidRDefault="00FA71DF" w:rsidP="00FA71DF">
      <w:pPr>
        <w:pStyle w:val="12"/>
      </w:pPr>
      <w:r w:rsidRPr="001A3D2B">
        <w:t xml:space="preserve">ISSN: </w:t>
      </w:r>
    </w:p>
    <w:p w:rsidR="00FA71DF" w:rsidRPr="001A3D2B" w:rsidRDefault="00FA71DF" w:rsidP="00FA71DF">
      <w:pPr>
        <w:pStyle w:val="12"/>
      </w:pPr>
      <w:r w:rsidRPr="001A3D2B">
        <w:t xml:space="preserve">Issues/Year: </w:t>
      </w:r>
    </w:p>
    <w:p w:rsidR="00FA71DF" w:rsidRPr="001A3D2B" w:rsidRDefault="00FA71DF" w:rsidP="00FA71DF">
      <w:pPr>
        <w:pStyle w:val="12"/>
      </w:pPr>
      <w:r w:rsidRPr="001A3D2B">
        <w:t xml:space="preserve">Journal Country/Territory: </w:t>
      </w:r>
    </w:p>
    <w:p w:rsidR="00FA71DF" w:rsidRPr="001A3D2B" w:rsidRDefault="00FA71DF" w:rsidP="00FA71DF">
      <w:pPr>
        <w:pStyle w:val="12"/>
      </w:pPr>
      <w:r w:rsidRPr="001A3D2B">
        <w:t xml:space="preserve">Language: </w:t>
      </w:r>
    </w:p>
    <w:p w:rsidR="00FA71DF" w:rsidRPr="001A3D2B" w:rsidRDefault="00FA71DF" w:rsidP="00FA71DF">
      <w:pPr>
        <w:pStyle w:val="12"/>
      </w:pPr>
      <w:r w:rsidRPr="001A3D2B">
        <w:t xml:space="preserve">Publisher: </w:t>
      </w:r>
    </w:p>
    <w:p w:rsidR="00FA71DF" w:rsidRPr="001A3D2B" w:rsidRDefault="00FA71DF" w:rsidP="00FA71DF">
      <w:pPr>
        <w:pStyle w:val="12"/>
      </w:pPr>
      <w:r w:rsidRPr="001A3D2B">
        <w:t xml:space="preserve">Publisher Address: </w:t>
      </w:r>
    </w:p>
    <w:p w:rsidR="00FA71DF" w:rsidRPr="001A3D2B" w:rsidRDefault="00FA71DF" w:rsidP="00FA71DF">
      <w:pPr>
        <w:pStyle w:val="12"/>
      </w:pPr>
      <w:r w:rsidRPr="001A3D2B">
        <w:t>Subject Categories:</w:t>
      </w:r>
    </w:p>
    <w:p w:rsidR="00FA71DF" w:rsidRPr="001A3D2B" w:rsidRDefault="00FA71DF" w:rsidP="00FA71DF">
      <w:pPr>
        <w:pStyle w:val="12"/>
      </w:pPr>
      <w:r w:rsidRPr="001A3D2B">
        <w:t xml:space="preserve">: Impact Factor </w:t>
      </w:r>
    </w:p>
    <w:p w:rsidR="00FA71DF" w:rsidRPr="001A3D2B" w:rsidRDefault="00FA71DF" w:rsidP="00FA71DF">
      <w:pPr>
        <w:pStyle w:val="a3"/>
      </w:pPr>
      <w:r w:rsidRPr="001A3D2B">
        <w:t>Notes: TTopic</w:t>
      </w:r>
    </w:p>
    <w:p w:rsidR="00FA71DF" w:rsidRPr="001A3D2B" w:rsidRDefault="00FA71DF" w:rsidP="00FA71DF">
      <w:pPr>
        <w:pStyle w:val="a3"/>
      </w:pPr>
      <w:r w:rsidRPr="001A3D2B">
        <w:t>? Shih, M.L., Feng, J.</w:t>
      </w:r>
      <w:r w:rsidR="005853A9">
        <w:t xml:space="preserve"> and </w:t>
      </w:r>
      <w:r w:rsidRPr="001A3D2B">
        <w:t>Tsai, C.C. (2008), Research</w:t>
      </w:r>
      <w:r w:rsidR="005853A9">
        <w:t xml:space="preserve"> and </w:t>
      </w:r>
      <w:r w:rsidRPr="001A3D2B">
        <w:t>trends in</w:t>
      </w:r>
      <w:r w:rsidR="003A1917">
        <w:t xml:space="preserve"> the </w:t>
      </w:r>
      <w:r w:rsidRPr="001A3D2B">
        <w:t>field</w:t>
      </w:r>
      <w:r w:rsidR="00427468">
        <w:t xml:space="preserve"> of </w:t>
      </w:r>
      <w:r w:rsidRPr="001A3D2B">
        <w:t>e-learning from 2001 to 2005: A content analysis</w:t>
      </w:r>
      <w:r w:rsidR="00427468">
        <w:t xml:space="preserve"> of </w:t>
      </w:r>
      <w:r w:rsidRPr="001A3D2B">
        <w:t xml:space="preserve">cognitive studies in selected journals. </w:t>
      </w:r>
      <w:r w:rsidRPr="001A3D2B">
        <w:rPr>
          <w:i/>
          <w:iCs/>
        </w:rPr>
        <w:t>Computers &amp; Education</w:t>
      </w:r>
      <w:r w:rsidRPr="001A3D2B">
        <w:t xml:space="preserve">, </w:t>
      </w:r>
      <w:r w:rsidRPr="001A3D2B">
        <w:rPr>
          <w:b/>
          <w:bCs/>
        </w:rPr>
        <w:t>51</w:t>
      </w:r>
      <w:r w:rsidRPr="001A3D2B">
        <w:t xml:space="preserve"> (2), 955-967.</w:t>
      </w:r>
    </w:p>
    <w:p w:rsidR="00FA71DF" w:rsidRPr="001A3D2B" w:rsidRDefault="00FA71DF" w:rsidP="00FA71DF">
      <w:pPr>
        <w:pStyle w:val="a3"/>
      </w:pPr>
      <w:r w:rsidRPr="001A3D2B">
        <w:t xml:space="preserve">Full Text: </w:t>
      </w:r>
      <w:hyperlink r:id="rId978" w:history="1">
        <w:r w:rsidRPr="001A3D2B">
          <w:rPr>
            <w:rStyle w:val="a5"/>
          </w:rPr>
          <w:t>2008\Com Edu51, 955.pdf</w:t>
        </w:r>
      </w:hyperlink>
    </w:p>
    <w:p w:rsidR="00FA71DF" w:rsidRPr="001A3D2B" w:rsidRDefault="00FA71DF" w:rsidP="00FA71DF">
      <w:pPr>
        <w:pStyle w:val="a3"/>
      </w:pPr>
      <w:r w:rsidRPr="001A3D2B">
        <w:t>Abstract: This paper provided a content analysis</w:t>
      </w:r>
      <w:r w:rsidR="00427468">
        <w:t xml:space="preserve"> of </w:t>
      </w:r>
      <w:r w:rsidRPr="001A3D2B">
        <w:t>studies in</w:t>
      </w:r>
      <w:r w:rsidR="003A1917">
        <w:t xml:space="preserve"> the </w:t>
      </w:r>
      <w:r w:rsidRPr="001A3D2B">
        <w:t>field</w:t>
      </w:r>
      <w:r w:rsidR="00427468">
        <w:t xml:space="preserve"> of </w:t>
      </w:r>
      <w:r w:rsidRPr="001A3D2B">
        <w:t>cognition in e-learning that were published in five Social Sciences Citation Index (</w:t>
      </w:r>
      <w:r w:rsidR="00D5664A">
        <w:t>SSCI</w:t>
      </w:r>
      <w:r w:rsidRPr="001A3D2B">
        <w:t>) journals (i.e. Computers</w:t>
      </w:r>
      <w:r w:rsidR="005853A9">
        <w:t xml:space="preserve"> and </w:t>
      </w:r>
      <w:r w:rsidRPr="001A3D2B">
        <w:t>Education, British Journal</w:t>
      </w:r>
      <w:r w:rsidR="00427468">
        <w:t xml:space="preserve"> of </w:t>
      </w:r>
      <w:r w:rsidRPr="001A3D2B">
        <w:t>Educational Technology, Innovations in Education</w:t>
      </w:r>
      <w:r w:rsidR="005853A9">
        <w:t xml:space="preserve"> and </w:t>
      </w:r>
      <w:r w:rsidRPr="001A3D2B">
        <w:t>Teaching International, Educational Technology Research &amp; Development,</w:t>
      </w:r>
      <w:r w:rsidR="005853A9">
        <w:t xml:space="preserve"> and </w:t>
      </w:r>
      <w:r w:rsidRPr="001A3D2B">
        <w:t>Journal</w:t>
      </w:r>
      <w:r w:rsidR="00427468">
        <w:t xml:space="preserve"> of </w:t>
      </w:r>
      <w:r w:rsidRPr="001A3D2B">
        <w:t>Computer Assisted Learning) from 2001 to 2005. Among</w:t>
      </w:r>
      <w:r w:rsidR="003A1917">
        <w:t xml:space="preserve"> the </w:t>
      </w:r>
      <w:r w:rsidRPr="001A3D2B">
        <w:t>1027 articles published in these journals from 2001 to 2005, 444 articles were identified as being related to</w:t>
      </w:r>
      <w:r w:rsidR="003A1917">
        <w:t xml:space="preserve"> the </w:t>
      </w:r>
      <w:r w:rsidRPr="001A3D2B">
        <w:t>topic</w:t>
      </w:r>
      <w:r w:rsidR="00427468">
        <w:t xml:space="preserve"> of </w:t>
      </w:r>
      <w:r w:rsidRPr="001A3D2B">
        <w:t>cognition in e-learning</w:t>
      </w:r>
      <w:r w:rsidR="00A37C1D">
        <w:t>. The</w:t>
      </w:r>
      <w:r w:rsidRPr="001A3D2B">
        <w:t>se articles were cross analyzed by published years, journal, research topic,</w:t>
      </w:r>
      <w:r w:rsidR="005853A9">
        <w:t xml:space="preserve"> and </w:t>
      </w:r>
      <w:r w:rsidRPr="001A3D2B">
        <w:t>citation count. Furthermore, 16 highly-cited articles across different topics were chosen for further analysis according to their research settings, participants, research design types,</w:t>
      </w:r>
      <w:r w:rsidR="005853A9">
        <w:t xml:space="preserve"> and </w:t>
      </w:r>
      <w:r w:rsidRPr="001A3D2B">
        <w:t>research methods. It was found from</w:t>
      </w:r>
      <w:r w:rsidR="003A1917">
        <w:t xml:space="preserve"> the </w:t>
      </w:r>
      <w:r w:rsidRPr="001A3D2B">
        <w:t>analysis</w:t>
      </w:r>
      <w:r w:rsidR="00427468">
        <w:t xml:space="preserve"> of </w:t>
      </w:r>
      <w:r w:rsidR="003A1917">
        <w:t xml:space="preserve">the </w:t>
      </w:r>
      <w:r w:rsidRPr="001A3D2B">
        <w:t xml:space="preserve">444 articles that </w:t>
      </w:r>
      <w:r w:rsidR="00B5188C">
        <w:t>“</w:t>
      </w:r>
      <w:r w:rsidRPr="001A3D2B">
        <w:t>Instructional Approaches,</w:t>
      </w:r>
      <w:r w:rsidR="00B5188C">
        <w:t>”</w:t>
      </w:r>
      <w:r w:rsidRPr="001A3D2B">
        <w:t xml:space="preserve"> </w:t>
      </w:r>
      <w:r w:rsidR="00B5188C">
        <w:t>“</w:t>
      </w:r>
      <w:r w:rsidRPr="001A3D2B">
        <w:t>Learning Environment,</w:t>
      </w:r>
      <w:r w:rsidR="00B5188C">
        <w:t>”</w:t>
      </w:r>
      <w:r w:rsidR="005853A9">
        <w:t xml:space="preserve"> and </w:t>
      </w:r>
      <w:r w:rsidR="00B5188C">
        <w:t>“</w:t>
      </w:r>
      <w:r w:rsidRPr="001A3D2B">
        <w:t>Metacognition</w:t>
      </w:r>
      <w:r w:rsidR="00B5188C">
        <w:t>”</w:t>
      </w:r>
      <w:r w:rsidRPr="001A3D2B">
        <w:t xml:space="preserve"> were</w:t>
      </w:r>
      <w:r w:rsidR="003A1917">
        <w:t xml:space="preserve"> the </w:t>
      </w:r>
      <w:r w:rsidRPr="001A3D2B">
        <w:t>three most popular research topics, but</w:t>
      </w:r>
      <w:r w:rsidR="003A1917">
        <w:t xml:space="preserve"> the </w:t>
      </w:r>
      <w:r w:rsidRPr="001A3D2B">
        <w:t>analysis</w:t>
      </w:r>
      <w:r w:rsidR="00427468">
        <w:t xml:space="preserve"> of </w:t>
      </w:r>
      <w:r w:rsidR="003A1917">
        <w:t xml:space="preserve">the </w:t>
      </w:r>
      <w:r w:rsidRPr="001A3D2B">
        <w:t>citation counts suggested that</w:t>
      </w:r>
      <w:r w:rsidR="003A1917">
        <w:t xml:space="preserve"> the </w:t>
      </w:r>
      <w:r w:rsidRPr="001A3D2B">
        <w:t xml:space="preserve">studies related to </w:t>
      </w:r>
      <w:r w:rsidR="00B5188C">
        <w:t>“</w:t>
      </w:r>
      <w:r w:rsidRPr="001A3D2B">
        <w:t>Instructional Approaches,</w:t>
      </w:r>
      <w:r w:rsidR="00B5188C">
        <w:t>”</w:t>
      </w:r>
      <w:r w:rsidRPr="001A3D2B">
        <w:t xml:space="preserve"> </w:t>
      </w:r>
      <w:r w:rsidR="00B5188C">
        <w:t>“</w:t>
      </w:r>
      <w:r w:rsidRPr="001A3D2B">
        <w:t>Information Processing</w:t>
      </w:r>
      <w:r w:rsidR="00B5188C">
        <w:t>”</w:t>
      </w:r>
      <w:r w:rsidR="005853A9">
        <w:t xml:space="preserve"> and </w:t>
      </w:r>
      <w:r w:rsidR="00B5188C">
        <w:t>“</w:t>
      </w:r>
      <w:r w:rsidRPr="001A3D2B">
        <w:t>Motivation</w:t>
      </w:r>
      <w:r w:rsidR="00B5188C">
        <w:t>”</w:t>
      </w:r>
      <w:r w:rsidRPr="001A3D2B">
        <w:t xml:space="preserve"> might have a greater impact on subsequent research. Although</w:t>
      </w:r>
      <w:r w:rsidR="003A1917">
        <w:t xml:space="preserve"> the </w:t>
      </w:r>
      <w:r w:rsidRPr="001A3D2B">
        <w:t>use</w:t>
      </w:r>
      <w:r w:rsidR="00427468">
        <w:t xml:space="preserve"> of </w:t>
      </w:r>
      <w:r w:rsidRPr="001A3D2B">
        <w:t>questionnaires might still be</w:t>
      </w:r>
      <w:r w:rsidR="003A1917">
        <w:t xml:space="preserve"> the </w:t>
      </w:r>
      <w:r w:rsidRPr="001A3D2B">
        <w:t>main method</w:t>
      </w:r>
      <w:r w:rsidR="00427468">
        <w:t xml:space="preserve"> of </w:t>
      </w:r>
      <w:r w:rsidRPr="001A3D2B">
        <w:t>gathering research data in e-learning cognitive studies, a clear trend was observed that more</w:t>
      </w:r>
      <w:r w:rsidR="005853A9">
        <w:t xml:space="preserve"> and </w:t>
      </w:r>
      <w:r w:rsidRPr="001A3D2B">
        <w:t>more studies were utilizing learners</w:t>
      </w:r>
      <w:r w:rsidR="0071223E">
        <w:t>’</w:t>
      </w:r>
      <w:r w:rsidRPr="001A3D2B">
        <w:t xml:space="preserve"> log files or online messages as data sources for analysis</w:t>
      </w:r>
      <w:r w:rsidR="00A37C1D">
        <w:t>. The</w:t>
      </w:r>
      <w:r w:rsidR="003A1917">
        <w:t xml:space="preserve"> </w:t>
      </w:r>
      <w:r w:rsidRPr="001A3D2B">
        <w:t>results</w:t>
      </w:r>
      <w:r w:rsidR="00427468">
        <w:t xml:space="preserve"> of </w:t>
      </w:r>
      <w:r w:rsidR="003A1917">
        <w:t xml:space="preserve">the </w:t>
      </w:r>
      <w:r w:rsidRPr="001A3D2B">
        <w:t>analysis provided insights for educators</w:t>
      </w:r>
      <w:r w:rsidR="005853A9">
        <w:t xml:space="preserve"> and </w:t>
      </w:r>
      <w:r w:rsidRPr="001A3D2B">
        <w:t>researchers into research trends</w:t>
      </w:r>
      <w:r w:rsidR="005853A9">
        <w:t xml:space="preserve"> and </w:t>
      </w:r>
      <w:r w:rsidRPr="001A3D2B">
        <w:t>patterns</w:t>
      </w:r>
      <w:r w:rsidR="00427468">
        <w:t xml:space="preserve"> of </w:t>
      </w:r>
      <w:r w:rsidRPr="001A3D2B">
        <w:t xml:space="preserve">cognition in e-learning. (c) 2007 Elsevier Ltd. All rights </w:t>
      </w:r>
      <w:r w:rsidRPr="001A3D2B">
        <w:lastRenderedPageBreak/>
        <w:t>reserved.</w:t>
      </w:r>
    </w:p>
    <w:p w:rsidR="00FA71DF" w:rsidRPr="001A3D2B" w:rsidRDefault="00FA71DF" w:rsidP="00FA71DF">
      <w:pPr>
        <w:pStyle w:val="a3"/>
      </w:pPr>
      <w:r w:rsidRPr="001A3D2B">
        <w:t>Keywords: Analysis, Citation, Citation Counts, Cognition, Content Analysis, Data, Design, Field, Impact, Journal, Journals, Methods, Questionnaires, Research, Research Design, Rights, Sources,</w:t>
      </w:r>
      <w:r w:rsidR="008E3069">
        <w:t xml:space="preserve"> </w:t>
      </w:r>
      <w:r w:rsidR="00D5664A">
        <w:t>SSCI</w:t>
      </w:r>
      <w:r w:rsidR="008E3069">
        <w:t>,</w:t>
      </w:r>
      <w:r w:rsidRPr="001A3D2B">
        <w:t xml:space="preserve"> Trend, Trends</w:t>
      </w:r>
    </w:p>
    <w:p w:rsidR="00FA71DF" w:rsidRPr="001A3D2B" w:rsidRDefault="00FA71DF" w:rsidP="00FA71DF">
      <w:pPr>
        <w:pStyle w:val="a3"/>
      </w:pPr>
      <w:r w:rsidRPr="001A3D2B">
        <w:t>? Heller, S., Tsai, C.C.</w:t>
      </w:r>
      <w:r w:rsidR="005853A9">
        <w:t xml:space="preserve"> and </w:t>
      </w:r>
      <w:r w:rsidRPr="001A3D2B">
        <w:t xml:space="preserve">Underwood, J. (2010), </w:t>
      </w:r>
      <w:r w:rsidRPr="001A3D2B">
        <w:rPr>
          <w:i/>
        </w:rPr>
        <w:t>Computers &amp; Education</w:t>
      </w:r>
      <w:r w:rsidRPr="001A3D2B">
        <w:t>: Looking back</w:t>
      </w:r>
      <w:r w:rsidR="005853A9">
        <w:t xml:space="preserve"> and </w:t>
      </w:r>
      <w:r w:rsidRPr="001A3D2B">
        <w:t xml:space="preserve">looking forward. </w:t>
      </w:r>
      <w:r w:rsidRPr="001A3D2B">
        <w:rPr>
          <w:i/>
          <w:iCs/>
        </w:rPr>
        <w:t>Computers &amp; Education</w:t>
      </w:r>
      <w:r w:rsidRPr="001A3D2B">
        <w:t xml:space="preserve">, </w:t>
      </w:r>
      <w:r w:rsidRPr="001A3D2B">
        <w:rPr>
          <w:b/>
          <w:bCs/>
        </w:rPr>
        <w:t>54</w:t>
      </w:r>
      <w:r w:rsidRPr="001A3D2B">
        <w:t xml:space="preserve"> (2), 1-2.</w:t>
      </w:r>
    </w:p>
    <w:p w:rsidR="00FA71DF" w:rsidRPr="001A3D2B" w:rsidRDefault="00FA71DF" w:rsidP="00FA71DF">
      <w:pPr>
        <w:pStyle w:val="a3"/>
      </w:pPr>
      <w:r w:rsidRPr="001A3D2B">
        <w:t xml:space="preserve">Full Text: </w:t>
      </w:r>
      <w:hyperlink r:id="rId979" w:history="1">
        <w:r w:rsidRPr="001A3D2B">
          <w:rPr>
            <w:rStyle w:val="a5"/>
          </w:rPr>
          <w:t>2010\Com Edu54, 1.pdf</w:t>
        </w:r>
      </w:hyperlink>
    </w:p>
    <w:p w:rsidR="0041253D" w:rsidRDefault="003310AD" w:rsidP="0041253D">
      <w:pPr>
        <w:pStyle w:val="a3"/>
        <w:rPr>
          <w:kern w:val="0"/>
          <w:szCs w:val="24"/>
        </w:rPr>
      </w:pPr>
      <w:r>
        <w:rPr>
          <w:kern w:val="0"/>
          <w:szCs w:val="24"/>
        </w:rPr>
        <w:t>? Gutié</w:t>
      </w:r>
      <w:r w:rsidR="0041253D">
        <w:rPr>
          <w:kern w:val="0"/>
          <w:szCs w:val="24"/>
        </w:rPr>
        <w:t>rrez, E., Trenas, M.A., Ramos, J., Corbera, F.</w:t>
      </w:r>
      <w:r w:rsidR="005853A9">
        <w:rPr>
          <w:kern w:val="0"/>
          <w:szCs w:val="24"/>
        </w:rPr>
        <w:t xml:space="preserve"> and </w:t>
      </w:r>
      <w:r w:rsidR="0041253D">
        <w:rPr>
          <w:kern w:val="0"/>
          <w:szCs w:val="24"/>
        </w:rPr>
        <w:t xml:space="preserve">Romero, S. (2010), A new </w:t>
      </w:r>
      <w:r w:rsidR="0041253D" w:rsidRPr="00F0673B">
        <w:rPr>
          <w:i/>
          <w:kern w:val="0"/>
          <w:szCs w:val="24"/>
        </w:rPr>
        <w:t>Moodle</w:t>
      </w:r>
      <w:r w:rsidR="0041253D">
        <w:rPr>
          <w:kern w:val="0"/>
          <w:szCs w:val="24"/>
        </w:rPr>
        <w:t xml:space="preserve"> module supporting automatic verification</w:t>
      </w:r>
      <w:r w:rsidR="00427468">
        <w:rPr>
          <w:kern w:val="0"/>
          <w:szCs w:val="24"/>
        </w:rPr>
        <w:t xml:space="preserve"> of </w:t>
      </w:r>
      <w:r w:rsidR="0041253D">
        <w:rPr>
          <w:kern w:val="0"/>
          <w:szCs w:val="24"/>
        </w:rPr>
        <w:t xml:space="preserve">VHDL-based assignments. </w:t>
      </w:r>
      <w:r w:rsidR="0041253D">
        <w:rPr>
          <w:i/>
          <w:iCs/>
          <w:kern w:val="0"/>
          <w:szCs w:val="24"/>
        </w:rPr>
        <w:t>Computers &amp; Education</w:t>
      </w:r>
      <w:r w:rsidR="0041253D">
        <w:rPr>
          <w:kern w:val="0"/>
          <w:szCs w:val="24"/>
        </w:rPr>
        <w:t xml:space="preserve">, </w:t>
      </w:r>
      <w:r w:rsidR="0041253D">
        <w:rPr>
          <w:b/>
          <w:bCs/>
          <w:kern w:val="0"/>
          <w:szCs w:val="24"/>
        </w:rPr>
        <w:t>54</w:t>
      </w:r>
      <w:r w:rsidR="0041253D">
        <w:rPr>
          <w:kern w:val="0"/>
          <w:szCs w:val="24"/>
        </w:rPr>
        <w:t xml:space="preserve"> (2), 562-577.</w:t>
      </w:r>
    </w:p>
    <w:p w:rsidR="0041253D" w:rsidRPr="001A3D2B" w:rsidRDefault="0041253D" w:rsidP="0041253D">
      <w:pPr>
        <w:pStyle w:val="a3"/>
      </w:pPr>
      <w:r w:rsidRPr="001A3D2B">
        <w:t xml:space="preserve">Full Text: </w:t>
      </w:r>
      <w:hyperlink r:id="rId980" w:history="1">
        <w:r w:rsidR="003310AD" w:rsidRPr="003310AD">
          <w:rPr>
            <w:rStyle w:val="a5"/>
          </w:rPr>
          <w:t>2010\Com Edu54, 562.pdf</w:t>
        </w:r>
      </w:hyperlink>
    </w:p>
    <w:p w:rsidR="0041253D" w:rsidRDefault="0041253D" w:rsidP="0041253D">
      <w:pPr>
        <w:pStyle w:val="a3"/>
        <w:rPr>
          <w:kern w:val="0"/>
          <w:szCs w:val="24"/>
        </w:rPr>
      </w:pPr>
      <w:r>
        <w:rPr>
          <w:kern w:val="0"/>
          <w:szCs w:val="24"/>
        </w:rPr>
        <w:t>Abstract: This work describes a new Moodle module developed to give support to</w:t>
      </w:r>
      <w:r w:rsidR="003A1917">
        <w:rPr>
          <w:kern w:val="0"/>
          <w:szCs w:val="24"/>
        </w:rPr>
        <w:t xml:space="preserve"> the </w:t>
      </w:r>
      <w:r>
        <w:rPr>
          <w:kern w:val="0"/>
          <w:szCs w:val="24"/>
        </w:rPr>
        <w:t>practical content</w:t>
      </w:r>
      <w:r w:rsidR="00427468">
        <w:rPr>
          <w:kern w:val="0"/>
          <w:szCs w:val="24"/>
        </w:rPr>
        <w:t xml:space="preserve"> of </w:t>
      </w:r>
      <w:r>
        <w:rPr>
          <w:kern w:val="0"/>
          <w:szCs w:val="24"/>
        </w:rPr>
        <w:t>a basic computer organization course. This module goes beyond</w:t>
      </w:r>
      <w:r w:rsidR="003A1917">
        <w:rPr>
          <w:kern w:val="0"/>
          <w:szCs w:val="24"/>
        </w:rPr>
        <w:t xml:space="preserve"> the </w:t>
      </w:r>
      <w:r>
        <w:rPr>
          <w:kern w:val="0"/>
          <w:szCs w:val="24"/>
        </w:rPr>
        <w:t>mere hosting</w:t>
      </w:r>
      <w:r w:rsidR="00427468">
        <w:rPr>
          <w:kern w:val="0"/>
          <w:szCs w:val="24"/>
        </w:rPr>
        <w:t xml:space="preserve"> of </w:t>
      </w:r>
      <w:r>
        <w:rPr>
          <w:kern w:val="0"/>
          <w:szCs w:val="24"/>
        </w:rPr>
        <w:t>resources</w:t>
      </w:r>
      <w:r w:rsidR="005853A9">
        <w:rPr>
          <w:kern w:val="0"/>
          <w:szCs w:val="24"/>
        </w:rPr>
        <w:t xml:space="preserve"> and </w:t>
      </w:r>
      <w:r>
        <w:rPr>
          <w:kern w:val="0"/>
          <w:szCs w:val="24"/>
        </w:rPr>
        <w:t>assignments. it makes use</w:t>
      </w:r>
      <w:r w:rsidR="00427468">
        <w:rPr>
          <w:kern w:val="0"/>
          <w:szCs w:val="24"/>
        </w:rPr>
        <w:t xml:space="preserve"> of </w:t>
      </w:r>
      <w:r>
        <w:rPr>
          <w:kern w:val="0"/>
          <w:szCs w:val="24"/>
        </w:rPr>
        <w:t>an automatic checking</w:t>
      </w:r>
      <w:r w:rsidR="005853A9">
        <w:rPr>
          <w:kern w:val="0"/>
          <w:szCs w:val="24"/>
        </w:rPr>
        <w:t xml:space="preserve"> and </w:t>
      </w:r>
      <w:r>
        <w:rPr>
          <w:kern w:val="0"/>
          <w:szCs w:val="24"/>
        </w:rPr>
        <w:t>verification engine that works on</w:t>
      </w:r>
      <w:r w:rsidR="003A1917">
        <w:rPr>
          <w:kern w:val="0"/>
          <w:szCs w:val="24"/>
        </w:rPr>
        <w:t xml:space="preserve"> the </w:t>
      </w:r>
      <w:r>
        <w:rPr>
          <w:kern w:val="0"/>
          <w:szCs w:val="24"/>
        </w:rPr>
        <w:t>VHDL designs submitted by</w:t>
      </w:r>
      <w:r w:rsidR="003A1917">
        <w:rPr>
          <w:kern w:val="0"/>
          <w:szCs w:val="24"/>
        </w:rPr>
        <w:t xml:space="preserve"> the </w:t>
      </w:r>
      <w:r>
        <w:rPr>
          <w:kern w:val="0"/>
          <w:szCs w:val="24"/>
        </w:rPr>
        <w:t>students</w:t>
      </w:r>
      <w:r w:rsidR="00A37C1D">
        <w:rPr>
          <w:kern w:val="0"/>
          <w:szCs w:val="24"/>
        </w:rPr>
        <w:t>. The</w:t>
      </w:r>
      <w:r w:rsidR="003A1917">
        <w:rPr>
          <w:kern w:val="0"/>
          <w:szCs w:val="24"/>
        </w:rPr>
        <w:t xml:space="preserve"> </w:t>
      </w:r>
      <w:r>
        <w:rPr>
          <w:kern w:val="0"/>
          <w:szCs w:val="24"/>
        </w:rPr>
        <w:t>module automatically keeps up to date information about their state,</w:t>
      </w:r>
      <w:r w:rsidR="005853A9">
        <w:rPr>
          <w:kern w:val="0"/>
          <w:szCs w:val="24"/>
        </w:rPr>
        <w:t xml:space="preserve"> and </w:t>
      </w:r>
      <w:r>
        <w:rPr>
          <w:kern w:val="0"/>
          <w:szCs w:val="24"/>
        </w:rPr>
        <w:t>significantly reduces</w:t>
      </w:r>
      <w:r w:rsidR="003A1917">
        <w:rPr>
          <w:kern w:val="0"/>
          <w:szCs w:val="24"/>
        </w:rPr>
        <w:t xml:space="preserve"> the </w:t>
      </w:r>
      <w:r>
        <w:rPr>
          <w:kern w:val="0"/>
          <w:szCs w:val="24"/>
        </w:rPr>
        <w:t>overload that a continuous assessment demands to</w:t>
      </w:r>
      <w:r w:rsidR="003A1917">
        <w:rPr>
          <w:kern w:val="0"/>
          <w:szCs w:val="24"/>
        </w:rPr>
        <w:t xml:space="preserve"> the </w:t>
      </w:r>
      <w:r>
        <w:rPr>
          <w:kern w:val="0"/>
          <w:szCs w:val="24"/>
        </w:rPr>
        <w:t>teacher. Additionally, this new module is oriented to promote a collaborative teamwork allowing to define student teams in a more operative way than built-in Moodle groups</w:t>
      </w:r>
      <w:r w:rsidR="00A37C1D">
        <w:rPr>
          <w:kern w:val="0"/>
          <w:szCs w:val="24"/>
        </w:rPr>
        <w:t>. The</w:t>
      </w:r>
      <w:r w:rsidR="003A1917">
        <w:rPr>
          <w:kern w:val="0"/>
          <w:szCs w:val="24"/>
        </w:rPr>
        <w:t xml:space="preserve"> </w:t>
      </w:r>
      <w:r>
        <w:rPr>
          <w:kern w:val="0"/>
          <w:szCs w:val="24"/>
        </w:rPr>
        <w:t>module has been designed according to</w:t>
      </w:r>
      <w:r w:rsidR="003A1917">
        <w:rPr>
          <w:kern w:val="0"/>
          <w:szCs w:val="24"/>
        </w:rPr>
        <w:t xml:space="preserve"> the </w:t>
      </w:r>
      <w:r>
        <w:rPr>
          <w:kern w:val="0"/>
          <w:szCs w:val="24"/>
        </w:rPr>
        <w:t>Moodle philosophy</w:t>
      </w:r>
      <w:r w:rsidR="005853A9">
        <w:rPr>
          <w:kern w:val="0"/>
          <w:szCs w:val="24"/>
        </w:rPr>
        <w:t xml:space="preserve"> and </w:t>
      </w:r>
      <w:r>
        <w:rPr>
          <w:kern w:val="0"/>
          <w:szCs w:val="24"/>
        </w:rPr>
        <w:t>its application can be extended to other similar subjects. (C) 2009 Elsevier Ltd. All rights reserved.</w:t>
      </w:r>
    </w:p>
    <w:p w:rsidR="0041253D" w:rsidRDefault="0041253D" w:rsidP="0041253D">
      <w:pPr>
        <w:pStyle w:val="a3"/>
        <w:rPr>
          <w:kern w:val="0"/>
          <w:szCs w:val="24"/>
        </w:rPr>
      </w:pPr>
      <w:r>
        <w:rPr>
          <w:kern w:val="0"/>
          <w:szCs w:val="24"/>
        </w:rPr>
        <w:t>Keywords: Applications in Subject Areas, Architecture, Assessment, Automatic Assessment, Courses, Design, Distance Education</w:t>
      </w:r>
      <w:r w:rsidR="005853A9">
        <w:rPr>
          <w:kern w:val="0"/>
          <w:szCs w:val="24"/>
        </w:rPr>
        <w:t xml:space="preserve"> and </w:t>
      </w:r>
      <w:r>
        <w:rPr>
          <w:kern w:val="0"/>
          <w:szCs w:val="24"/>
        </w:rPr>
        <w:t>Telelearning, Engineering-Education, Hardware, Learning Management Systems, Learning-Process, Organization, Plagiarism, Simulations, Students</w:t>
      </w:r>
    </w:p>
    <w:p w:rsidR="003310AD" w:rsidRDefault="003310AD" w:rsidP="003310AD">
      <w:pPr>
        <w:pStyle w:val="a3"/>
        <w:rPr>
          <w:kern w:val="0"/>
        </w:rPr>
      </w:pPr>
      <w:r>
        <w:rPr>
          <w:rFonts w:hint="eastAsia"/>
          <w:kern w:val="0"/>
        </w:rPr>
        <w:t xml:space="preserve">? </w:t>
      </w:r>
      <w:r>
        <w:rPr>
          <w:kern w:val="0"/>
        </w:rPr>
        <w:t>Martin, S., Diaz, G., Sancristobal, E., Gil, R., Castro, M.</w:t>
      </w:r>
      <w:r w:rsidR="005853A9">
        <w:rPr>
          <w:kern w:val="0"/>
        </w:rPr>
        <w:t xml:space="preserve"> and </w:t>
      </w:r>
      <w:r>
        <w:rPr>
          <w:kern w:val="0"/>
        </w:rPr>
        <w:t>Peire, J. (2011), New technology trends in education: Seven years</w:t>
      </w:r>
      <w:r w:rsidR="00427468">
        <w:rPr>
          <w:kern w:val="0"/>
        </w:rPr>
        <w:t xml:space="preserve"> of </w:t>
      </w:r>
      <w:r>
        <w:rPr>
          <w:kern w:val="0"/>
        </w:rPr>
        <w:t>forecasts</w:t>
      </w:r>
      <w:r w:rsidR="005853A9">
        <w:rPr>
          <w:kern w:val="0"/>
        </w:rPr>
        <w:t xml:space="preserve"> and </w:t>
      </w:r>
      <w:r>
        <w:rPr>
          <w:kern w:val="0"/>
        </w:rPr>
        <w:t xml:space="preserve">convergence. </w:t>
      </w:r>
      <w:r>
        <w:rPr>
          <w:i/>
          <w:iCs/>
          <w:kern w:val="0"/>
        </w:rPr>
        <w:t>Computers &amp; Education</w:t>
      </w:r>
      <w:r>
        <w:rPr>
          <w:kern w:val="0"/>
        </w:rPr>
        <w:t xml:space="preserve">, </w:t>
      </w:r>
      <w:r>
        <w:rPr>
          <w:b/>
          <w:bCs/>
          <w:kern w:val="0"/>
        </w:rPr>
        <w:t>57</w:t>
      </w:r>
      <w:r>
        <w:rPr>
          <w:kern w:val="0"/>
        </w:rPr>
        <w:t xml:space="preserve"> (3), 1893-1906.</w:t>
      </w:r>
    </w:p>
    <w:p w:rsidR="003310AD" w:rsidRPr="001A3D2B" w:rsidRDefault="003310AD" w:rsidP="003310AD">
      <w:pPr>
        <w:pStyle w:val="a3"/>
      </w:pPr>
      <w:r w:rsidRPr="001A3D2B">
        <w:t xml:space="preserve">Full Text: </w:t>
      </w:r>
      <w:hyperlink r:id="rId981" w:history="1">
        <w:r w:rsidRPr="003310AD">
          <w:rPr>
            <w:rStyle w:val="a5"/>
          </w:rPr>
          <w:t>2011\Com Edu57, 1893.pdf</w:t>
        </w:r>
      </w:hyperlink>
    </w:p>
    <w:p w:rsidR="003310AD" w:rsidRDefault="003310AD" w:rsidP="003310AD">
      <w:pPr>
        <w:pStyle w:val="a3"/>
        <w:rPr>
          <w:kern w:val="0"/>
        </w:rPr>
      </w:pPr>
      <w:r>
        <w:rPr>
          <w:kern w:val="0"/>
        </w:rPr>
        <w:t>Abstract: Each year since 2004, a new Horizon Report has been released. Each edition attempts to forecast</w:t>
      </w:r>
      <w:r w:rsidR="003A1917">
        <w:rPr>
          <w:kern w:val="0"/>
        </w:rPr>
        <w:t xml:space="preserve"> the </w:t>
      </w:r>
      <w:r>
        <w:rPr>
          <w:kern w:val="0"/>
        </w:rPr>
        <w:t>most promising technologies likely to impact on education along three horizons:</w:t>
      </w:r>
      <w:r w:rsidR="003A1917">
        <w:rPr>
          <w:kern w:val="0"/>
        </w:rPr>
        <w:t xml:space="preserve"> the </w:t>
      </w:r>
      <w:r>
        <w:rPr>
          <w:kern w:val="0"/>
        </w:rPr>
        <w:t>short term (the year</w:t>
      </w:r>
      <w:r w:rsidR="00427468">
        <w:rPr>
          <w:kern w:val="0"/>
        </w:rPr>
        <w:t xml:space="preserve"> of </w:t>
      </w:r>
      <w:r w:rsidR="003A1917">
        <w:rPr>
          <w:kern w:val="0"/>
        </w:rPr>
        <w:t xml:space="preserve">the </w:t>
      </w:r>
      <w:r>
        <w:rPr>
          <w:kern w:val="0"/>
        </w:rPr>
        <w:t>report</w:t>
      </w:r>
      <w:r w:rsidR="00F42EAC">
        <w:rPr>
          <w:kern w:val="0"/>
        </w:rPr>
        <w:t>), The</w:t>
      </w:r>
      <w:r w:rsidR="003A1917">
        <w:rPr>
          <w:kern w:val="0"/>
        </w:rPr>
        <w:t xml:space="preserve"> </w:t>
      </w:r>
      <w:r>
        <w:rPr>
          <w:kern w:val="0"/>
        </w:rPr>
        <w:t>mid-term (the next 2 years)</w:t>
      </w:r>
      <w:r w:rsidR="005853A9">
        <w:rPr>
          <w:kern w:val="0"/>
        </w:rPr>
        <w:t xml:space="preserve"> and </w:t>
      </w:r>
      <w:r w:rsidR="003A1917">
        <w:rPr>
          <w:kern w:val="0"/>
        </w:rPr>
        <w:t xml:space="preserve">the </w:t>
      </w:r>
      <w:r>
        <w:rPr>
          <w:kern w:val="0"/>
        </w:rPr>
        <w:t>long term (the next 4 years). This paper analyzes</w:t>
      </w:r>
      <w:r w:rsidR="003A1917">
        <w:rPr>
          <w:kern w:val="0"/>
        </w:rPr>
        <w:t xml:space="preserve"> the </w:t>
      </w:r>
      <w:r>
        <w:rPr>
          <w:kern w:val="0"/>
        </w:rPr>
        <w:t>evolution</w:t>
      </w:r>
      <w:r w:rsidR="00427468">
        <w:rPr>
          <w:kern w:val="0"/>
        </w:rPr>
        <w:t xml:space="preserve"> of </w:t>
      </w:r>
      <w:r>
        <w:rPr>
          <w:kern w:val="0"/>
        </w:rPr>
        <w:t>technology trends from 2004 to 2014 that correspond to</w:t>
      </w:r>
      <w:r w:rsidR="003A1917">
        <w:rPr>
          <w:kern w:val="0"/>
        </w:rPr>
        <w:t xml:space="preserve"> the </w:t>
      </w:r>
      <w:r>
        <w:rPr>
          <w:kern w:val="0"/>
        </w:rPr>
        <w:t>long-term predictions</w:t>
      </w:r>
      <w:r w:rsidR="00427468">
        <w:rPr>
          <w:kern w:val="0"/>
        </w:rPr>
        <w:t xml:space="preserve"> of </w:t>
      </w:r>
      <w:r w:rsidR="003A1917">
        <w:rPr>
          <w:kern w:val="0"/>
        </w:rPr>
        <w:t xml:space="preserve">the </w:t>
      </w:r>
      <w:r>
        <w:rPr>
          <w:kern w:val="0"/>
        </w:rPr>
        <w:t>most recent Horizon Report</w:t>
      </w:r>
      <w:r w:rsidR="00A37C1D">
        <w:rPr>
          <w:kern w:val="0"/>
        </w:rPr>
        <w:t>. The</w:t>
      </w:r>
      <w:r w:rsidR="003A1917">
        <w:rPr>
          <w:kern w:val="0"/>
        </w:rPr>
        <w:t xml:space="preserve"> </w:t>
      </w:r>
      <w:r>
        <w:rPr>
          <w:kern w:val="0"/>
        </w:rPr>
        <w:t>study analyzes through bibliometric analysis which technologies were successful</w:t>
      </w:r>
      <w:r w:rsidR="005853A9">
        <w:rPr>
          <w:kern w:val="0"/>
        </w:rPr>
        <w:t xml:space="preserve"> and </w:t>
      </w:r>
      <w:r>
        <w:rPr>
          <w:kern w:val="0"/>
        </w:rPr>
        <w:t>became a regular part</w:t>
      </w:r>
      <w:r w:rsidR="00427468">
        <w:rPr>
          <w:kern w:val="0"/>
        </w:rPr>
        <w:t xml:space="preserve"> of </w:t>
      </w:r>
      <w:r>
        <w:rPr>
          <w:kern w:val="0"/>
        </w:rPr>
        <w:t>education systems, which ones failed to have</w:t>
      </w:r>
      <w:r w:rsidR="003A1917">
        <w:rPr>
          <w:kern w:val="0"/>
        </w:rPr>
        <w:t xml:space="preserve"> the </w:t>
      </w:r>
      <w:r>
        <w:rPr>
          <w:kern w:val="0"/>
        </w:rPr>
        <w:t>predicted impact</w:t>
      </w:r>
      <w:r w:rsidR="005853A9">
        <w:rPr>
          <w:kern w:val="0"/>
        </w:rPr>
        <w:t xml:space="preserve"> and </w:t>
      </w:r>
      <w:r>
        <w:rPr>
          <w:kern w:val="0"/>
        </w:rPr>
        <w:t>why,</w:t>
      </w:r>
      <w:r w:rsidR="005853A9">
        <w:rPr>
          <w:kern w:val="0"/>
        </w:rPr>
        <w:t xml:space="preserve"> and </w:t>
      </w:r>
      <w:r w:rsidR="003A1917">
        <w:rPr>
          <w:kern w:val="0"/>
        </w:rPr>
        <w:t xml:space="preserve">the </w:t>
      </w:r>
      <w:r>
        <w:rPr>
          <w:kern w:val="0"/>
        </w:rPr>
        <w:t>shape</w:t>
      </w:r>
      <w:r w:rsidR="00427468">
        <w:rPr>
          <w:kern w:val="0"/>
        </w:rPr>
        <w:t xml:space="preserve"> of </w:t>
      </w:r>
      <w:r>
        <w:rPr>
          <w:kern w:val="0"/>
        </w:rPr>
        <w:t>technology flows in recent years</w:t>
      </w:r>
      <w:r w:rsidR="00A37C1D">
        <w:rPr>
          <w:kern w:val="0"/>
        </w:rPr>
        <w:t>. The</w:t>
      </w:r>
      <w:r w:rsidR="003A1917">
        <w:rPr>
          <w:kern w:val="0"/>
        </w:rPr>
        <w:t xml:space="preserve"> </w:t>
      </w:r>
      <w:r>
        <w:rPr>
          <w:kern w:val="0"/>
        </w:rPr>
        <w:t>study also shows how</w:t>
      </w:r>
      <w:r w:rsidR="003A1917">
        <w:rPr>
          <w:kern w:val="0"/>
        </w:rPr>
        <w:t xml:space="preserve"> the </w:t>
      </w:r>
      <w:r>
        <w:rPr>
          <w:kern w:val="0"/>
        </w:rPr>
        <w:t>evolution</w:t>
      </w:r>
      <w:r w:rsidR="005853A9">
        <w:rPr>
          <w:kern w:val="0"/>
        </w:rPr>
        <w:t xml:space="preserve"> and </w:t>
      </w:r>
      <w:r>
        <w:rPr>
          <w:kern w:val="0"/>
        </w:rPr>
        <w:t>maturity</w:t>
      </w:r>
      <w:r w:rsidR="00427468">
        <w:rPr>
          <w:kern w:val="0"/>
        </w:rPr>
        <w:t xml:space="preserve"> of </w:t>
      </w:r>
      <w:r>
        <w:rPr>
          <w:kern w:val="0"/>
        </w:rPr>
        <w:t xml:space="preserve">some </w:t>
      </w:r>
      <w:r>
        <w:rPr>
          <w:kern w:val="0"/>
        </w:rPr>
        <w:lastRenderedPageBreak/>
        <w:t>technologies allowed</w:t>
      </w:r>
      <w:r w:rsidR="003A1917">
        <w:rPr>
          <w:kern w:val="0"/>
        </w:rPr>
        <w:t xml:space="preserve"> the </w:t>
      </w:r>
      <w:r>
        <w:rPr>
          <w:kern w:val="0"/>
        </w:rPr>
        <w:t>revival</w:t>
      </w:r>
      <w:r w:rsidR="00427468">
        <w:rPr>
          <w:kern w:val="0"/>
        </w:rPr>
        <w:t xml:space="preserve"> of </w:t>
      </w:r>
      <w:r>
        <w:rPr>
          <w:kern w:val="0"/>
        </w:rPr>
        <w:t>expectations for others</w:t>
      </w:r>
      <w:r w:rsidR="00A37C1D">
        <w:rPr>
          <w:kern w:val="0"/>
        </w:rPr>
        <w:t>. The</w:t>
      </w:r>
      <w:r w:rsidR="003A1917">
        <w:rPr>
          <w:kern w:val="0"/>
        </w:rPr>
        <w:t xml:space="preserve"> </w:t>
      </w:r>
      <w:r>
        <w:rPr>
          <w:kern w:val="0"/>
        </w:rPr>
        <w:t>analysis here, which focuses on educational applications, offers guidelines that may be helpful to those seeking to invest in new research areas. (C) 2011 Elsevier Ltd. All rights reserved.</w:t>
      </w:r>
    </w:p>
    <w:p w:rsidR="003310AD" w:rsidRDefault="003310AD" w:rsidP="003310AD">
      <w:pPr>
        <w:pStyle w:val="a3"/>
        <w:rPr>
          <w:kern w:val="0"/>
        </w:rPr>
      </w:pPr>
      <w:r>
        <w:rPr>
          <w:kern w:val="0"/>
        </w:rPr>
        <w:t>Keywords: Analysis, Augmented Reality, Bibliometric, Bibliometric Analysis, Bibliometrics, Design, Education, Evolution, Forecasts, Game, Guidelines, Immersive Environments, Impact, Learning Objects, Mobile</w:t>
      </w:r>
      <w:r w:rsidR="005853A9">
        <w:rPr>
          <w:kern w:val="0"/>
        </w:rPr>
        <w:t xml:space="preserve"> and </w:t>
      </w:r>
      <w:r>
        <w:rPr>
          <w:kern w:val="0"/>
        </w:rPr>
        <w:t>Ubiquitous Devices, Patent Analysis, Research, Semantic Web, Social Web, System, Teach, Technology Trends, Trends</w:t>
      </w:r>
    </w:p>
    <w:p w:rsidR="00733443" w:rsidRDefault="00733443" w:rsidP="00733443">
      <w:pPr>
        <w:pStyle w:val="a3"/>
        <w:rPr>
          <w:kern w:val="0"/>
          <w:szCs w:val="24"/>
        </w:rPr>
      </w:pPr>
      <w:r>
        <w:rPr>
          <w:rFonts w:hint="eastAsia"/>
          <w:kern w:val="0"/>
          <w:szCs w:val="24"/>
        </w:rPr>
        <w:t>? Denoyelles, A.</w:t>
      </w:r>
      <w:r w:rsidR="005853A9">
        <w:rPr>
          <w:rFonts w:hint="eastAsia"/>
          <w:kern w:val="0"/>
          <w:szCs w:val="24"/>
        </w:rPr>
        <w:t xml:space="preserve"> and </w:t>
      </w:r>
      <w:r>
        <w:rPr>
          <w:rFonts w:hint="eastAsia"/>
          <w:kern w:val="0"/>
          <w:szCs w:val="24"/>
        </w:rPr>
        <w:t>Seo, K.K.J. (2012), Inspiring equal contribution</w:t>
      </w:r>
      <w:r w:rsidR="005853A9">
        <w:rPr>
          <w:rFonts w:hint="eastAsia"/>
          <w:kern w:val="0"/>
          <w:szCs w:val="24"/>
        </w:rPr>
        <w:t xml:space="preserve"> and </w:t>
      </w:r>
      <w:r>
        <w:rPr>
          <w:rFonts w:hint="eastAsia"/>
          <w:kern w:val="0"/>
          <w:szCs w:val="24"/>
        </w:rPr>
        <w:t>opportunity in a 3d multi-user virtual environment: Bringing together men garners</w:t>
      </w:r>
      <w:r w:rsidR="005853A9">
        <w:rPr>
          <w:rFonts w:hint="eastAsia"/>
          <w:kern w:val="0"/>
          <w:szCs w:val="24"/>
        </w:rPr>
        <w:t xml:space="preserve"> and </w:t>
      </w:r>
      <w:r>
        <w:rPr>
          <w:rFonts w:hint="eastAsia"/>
          <w:kern w:val="0"/>
          <w:szCs w:val="24"/>
        </w:rPr>
        <w:t>women non-gamers in Second Life</w:t>
      </w:r>
      <w:r>
        <w:rPr>
          <w:rFonts w:hint="eastAsia"/>
          <w:kern w:val="0"/>
          <w:szCs w:val="24"/>
        </w:rPr>
        <w:sym w:font="Symbol" w:char="F0D2"/>
      </w:r>
      <w:r>
        <w:rPr>
          <w:rFonts w:hint="eastAsia"/>
          <w:kern w:val="0"/>
          <w:szCs w:val="24"/>
        </w:rPr>
        <w:t xml:space="preserve">. </w:t>
      </w:r>
      <w:r>
        <w:rPr>
          <w:rFonts w:hint="eastAsia"/>
          <w:i/>
          <w:iCs/>
          <w:kern w:val="0"/>
          <w:szCs w:val="24"/>
        </w:rPr>
        <w:t>Computers &amp; Education</w:t>
      </w:r>
      <w:r>
        <w:rPr>
          <w:rFonts w:hint="eastAsia"/>
          <w:kern w:val="0"/>
          <w:szCs w:val="24"/>
        </w:rPr>
        <w:t xml:space="preserve">, </w:t>
      </w:r>
      <w:r>
        <w:rPr>
          <w:rFonts w:hint="eastAsia"/>
          <w:b/>
          <w:bCs/>
          <w:kern w:val="0"/>
          <w:szCs w:val="24"/>
        </w:rPr>
        <w:t>58</w:t>
      </w:r>
      <w:r>
        <w:rPr>
          <w:rFonts w:hint="eastAsia"/>
          <w:kern w:val="0"/>
          <w:szCs w:val="24"/>
        </w:rPr>
        <w:t xml:space="preserve"> (1), 21-29.</w:t>
      </w:r>
    </w:p>
    <w:p w:rsidR="00733443" w:rsidRDefault="00733443" w:rsidP="00733443">
      <w:pPr>
        <w:pStyle w:val="a3"/>
      </w:pPr>
      <w:r>
        <w:rPr>
          <w:rFonts w:hint="eastAsia"/>
        </w:rPr>
        <w:t xml:space="preserve">Full Text: </w:t>
      </w:r>
      <w:hyperlink r:id="rId982" w:history="1">
        <w:r w:rsidRPr="00152D82">
          <w:rPr>
            <w:rStyle w:val="a5"/>
          </w:rPr>
          <w:t>2012\Com Edu58, 21.pdf</w:t>
        </w:r>
      </w:hyperlink>
    </w:p>
    <w:p w:rsidR="00733443" w:rsidRDefault="00733443" w:rsidP="00733443">
      <w:pPr>
        <w:pStyle w:val="a3"/>
        <w:rPr>
          <w:kern w:val="0"/>
          <w:szCs w:val="24"/>
        </w:rPr>
      </w:pPr>
      <w:r>
        <w:rPr>
          <w:rFonts w:hint="eastAsia"/>
          <w:kern w:val="0"/>
          <w:szCs w:val="24"/>
        </w:rPr>
        <w:t>Abstract: A 3D multi-user virtual environment holds promise to support</w:t>
      </w:r>
      <w:r w:rsidR="005853A9">
        <w:rPr>
          <w:rFonts w:hint="eastAsia"/>
          <w:kern w:val="0"/>
          <w:szCs w:val="24"/>
        </w:rPr>
        <w:t xml:space="preserve"> and </w:t>
      </w:r>
      <w:r>
        <w:rPr>
          <w:rFonts w:hint="eastAsia"/>
          <w:kern w:val="0"/>
          <w:szCs w:val="24"/>
        </w:rPr>
        <w:t>enhance student online learning communities due to its ability to promote global synchronous interaction</w:t>
      </w:r>
      <w:r w:rsidR="005853A9">
        <w:rPr>
          <w:rFonts w:hint="eastAsia"/>
          <w:kern w:val="0"/>
          <w:szCs w:val="24"/>
        </w:rPr>
        <w:t xml:space="preserve"> and </w:t>
      </w:r>
      <w:r>
        <w:rPr>
          <w:rFonts w:hint="eastAsia"/>
          <w:kern w:val="0"/>
          <w:szCs w:val="24"/>
        </w:rPr>
        <w:t>collaboration, rich multisensory experience</w:t>
      </w:r>
      <w:r w:rsidR="005853A9">
        <w:rPr>
          <w:rFonts w:hint="eastAsia"/>
          <w:kern w:val="0"/>
          <w:szCs w:val="24"/>
        </w:rPr>
        <w:t xml:space="preserve"> and </w:t>
      </w:r>
      <w:r>
        <w:rPr>
          <w:rFonts w:hint="eastAsia"/>
          <w:kern w:val="0"/>
          <w:szCs w:val="24"/>
        </w:rPr>
        <w:t>expression,</w:t>
      </w:r>
      <w:r w:rsidR="005853A9">
        <w:rPr>
          <w:rFonts w:hint="eastAsia"/>
          <w:kern w:val="0"/>
          <w:szCs w:val="24"/>
        </w:rPr>
        <w:t xml:space="preserve"> and </w:t>
      </w:r>
      <w:r>
        <w:rPr>
          <w:rFonts w:hint="eastAsia"/>
          <w:kern w:val="0"/>
          <w:szCs w:val="24"/>
        </w:rPr>
        <w:t>elaborate design capabilities. Second Life (R), a multi-user virtual environment intended for adult users 18</w:t>
      </w:r>
      <w:r w:rsidR="005853A9">
        <w:rPr>
          <w:rFonts w:hint="eastAsia"/>
          <w:kern w:val="0"/>
          <w:szCs w:val="24"/>
        </w:rPr>
        <w:t xml:space="preserve"> and </w:t>
      </w:r>
      <w:r>
        <w:rPr>
          <w:rFonts w:hint="eastAsia"/>
          <w:kern w:val="0"/>
          <w:szCs w:val="24"/>
        </w:rPr>
        <w:t>older, is</w:t>
      </w:r>
      <w:r w:rsidR="003A1917">
        <w:rPr>
          <w:rFonts w:hint="eastAsia"/>
          <w:kern w:val="0"/>
          <w:szCs w:val="24"/>
        </w:rPr>
        <w:t xml:space="preserve"> the </w:t>
      </w:r>
      <w:r>
        <w:rPr>
          <w:rFonts w:hint="eastAsia"/>
          <w:kern w:val="0"/>
          <w:szCs w:val="24"/>
        </w:rPr>
        <w:t>most cited in educational literature, so it is important to explore how college-aged students are using it to form online learning communities. Previous research suggests that there is unbalanced participation between traditional college-aged men</w:t>
      </w:r>
      <w:r w:rsidR="005853A9">
        <w:rPr>
          <w:rFonts w:hint="eastAsia"/>
          <w:kern w:val="0"/>
          <w:szCs w:val="24"/>
        </w:rPr>
        <w:t xml:space="preserve"> and </w:t>
      </w:r>
      <w:r>
        <w:rPr>
          <w:rFonts w:hint="eastAsia"/>
          <w:kern w:val="0"/>
          <w:szCs w:val="24"/>
        </w:rPr>
        <w:t>women with regards to 3D multi-user video games, which closely resemble Second Life (R). In this research study, we investigated in what manner women</w:t>
      </w:r>
      <w:r w:rsidR="005853A9">
        <w:rPr>
          <w:rFonts w:hint="eastAsia"/>
          <w:kern w:val="0"/>
          <w:szCs w:val="24"/>
        </w:rPr>
        <w:t xml:space="preserve"> and </w:t>
      </w:r>
      <w:r>
        <w:rPr>
          <w:rFonts w:hint="eastAsia"/>
          <w:kern w:val="0"/>
          <w:szCs w:val="24"/>
        </w:rPr>
        <w:t>men college students projected their virtual identities</w:t>
      </w:r>
      <w:r w:rsidR="005853A9">
        <w:rPr>
          <w:rFonts w:hint="eastAsia"/>
          <w:kern w:val="0"/>
          <w:szCs w:val="24"/>
        </w:rPr>
        <w:t xml:space="preserve"> and </w:t>
      </w:r>
      <w:r>
        <w:rPr>
          <w:rFonts w:hint="eastAsia"/>
          <w:kern w:val="0"/>
          <w:szCs w:val="24"/>
        </w:rPr>
        <w:t>engaged in interaction in Second Life (R),</w:t>
      </w:r>
      <w:r w:rsidR="005853A9">
        <w:rPr>
          <w:rFonts w:hint="eastAsia"/>
          <w:kern w:val="0"/>
          <w:szCs w:val="24"/>
        </w:rPr>
        <w:t xml:space="preserve"> and </w:t>
      </w:r>
      <w:r>
        <w:rPr>
          <w:rFonts w:hint="eastAsia"/>
          <w:kern w:val="0"/>
          <w:szCs w:val="24"/>
        </w:rPr>
        <w:t>how this influenced their learning</w:t>
      </w:r>
      <w:r w:rsidR="00427468">
        <w:rPr>
          <w:rFonts w:hint="eastAsia"/>
          <w:kern w:val="0"/>
          <w:szCs w:val="24"/>
        </w:rPr>
        <w:t xml:space="preserve"> of </w:t>
      </w:r>
      <w:r>
        <w:rPr>
          <w:rFonts w:hint="eastAsia"/>
          <w:kern w:val="0"/>
          <w:szCs w:val="24"/>
        </w:rPr>
        <w:t>course content. Analysis</w:t>
      </w:r>
      <w:r w:rsidR="00427468">
        <w:rPr>
          <w:rFonts w:hint="eastAsia"/>
          <w:kern w:val="0"/>
          <w:szCs w:val="24"/>
        </w:rPr>
        <w:t xml:space="preserve"> of </w:t>
      </w:r>
      <w:r>
        <w:rPr>
          <w:rFonts w:hint="eastAsia"/>
          <w:kern w:val="0"/>
          <w:szCs w:val="24"/>
        </w:rPr>
        <w:t>multiple data sources revealed that conceptions</w:t>
      </w:r>
      <w:r w:rsidR="00427468">
        <w:rPr>
          <w:rFonts w:hint="eastAsia"/>
          <w:kern w:val="0"/>
          <w:szCs w:val="24"/>
        </w:rPr>
        <w:t xml:space="preserve"> of </w:t>
      </w:r>
      <w:r>
        <w:rPr>
          <w:rFonts w:hint="eastAsia"/>
          <w:kern w:val="0"/>
          <w:szCs w:val="24"/>
        </w:rPr>
        <w:t>identity, beliefs</w:t>
      </w:r>
      <w:r w:rsidR="00427468">
        <w:rPr>
          <w:rFonts w:hint="eastAsia"/>
          <w:kern w:val="0"/>
          <w:szCs w:val="24"/>
        </w:rPr>
        <w:t xml:space="preserve"> of </w:t>
      </w:r>
      <w:r w:rsidR="003A1917">
        <w:rPr>
          <w:rFonts w:hint="eastAsia"/>
          <w:kern w:val="0"/>
          <w:szCs w:val="24"/>
        </w:rPr>
        <w:t xml:space="preserve">the </w:t>
      </w:r>
      <w:r>
        <w:rPr>
          <w:rFonts w:hint="eastAsia"/>
          <w:kern w:val="0"/>
          <w:szCs w:val="24"/>
        </w:rPr>
        <w:t>nature</w:t>
      </w:r>
      <w:r w:rsidR="00427468">
        <w:rPr>
          <w:rFonts w:hint="eastAsia"/>
          <w:kern w:val="0"/>
          <w:szCs w:val="24"/>
        </w:rPr>
        <w:t xml:space="preserve"> of </w:t>
      </w:r>
      <w:r w:rsidR="003A1917">
        <w:rPr>
          <w:rFonts w:hint="eastAsia"/>
          <w:kern w:val="0"/>
          <w:szCs w:val="24"/>
        </w:rPr>
        <w:t xml:space="preserve">the </w:t>
      </w:r>
      <w:r>
        <w:rPr>
          <w:rFonts w:hint="eastAsia"/>
          <w:kern w:val="0"/>
          <w:szCs w:val="24"/>
        </w:rPr>
        <w:t>virtual world,</w:t>
      </w:r>
      <w:r w:rsidR="005853A9">
        <w:rPr>
          <w:rFonts w:hint="eastAsia"/>
          <w:kern w:val="0"/>
          <w:szCs w:val="24"/>
        </w:rPr>
        <w:t xml:space="preserve"> and </w:t>
      </w:r>
      <w:r>
        <w:rPr>
          <w:rFonts w:hint="eastAsia"/>
          <w:kern w:val="0"/>
          <w:szCs w:val="24"/>
        </w:rPr>
        <w:t>technical skill were primary factors which affected group cohesion</w:t>
      </w:r>
      <w:r w:rsidR="005853A9">
        <w:rPr>
          <w:rFonts w:hint="eastAsia"/>
          <w:kern w:val="0"/>
          <w:szCs w:val="24"/>
        </w:rPr>
        <w:t xml:space="preserve"> and </w:t>
      </w:r>
      <w:r>
        <w:rPr>
          <w:rFonts w:hint="eastAsia"/>
          <w:kern w:val="0"/>
          <w:szCs w:val="24"/>
        </w:rPr>
        <w:t>learning within</w:t>
      </w:r>
      <w:r w:rsidR="003A1917">
        <w:rPr>
          <w:rFonts w:hint="eastAsia"/>
          <w:kern w:val="0"/>
          <w:szCs w:val="24"/>
        </w:rPr>
        <w:t xml:space="preserve"> the </w:t>
      </w:r>
      <w:r>
        <w:rPr>
          <w:rFonts w:hint="eastAsia"/>
          <w:kern w:val="0"/>
          <w:szCs w:val="24"/>
        </w:rPr>
        <w:t>community. Results from this study can provide insight into</w:t>
      </w:r>
      <w:r w:rsidR="003A1917">
        <w:rPr>
          <w:rFonts w:hint="eastAsia"/>
          <w:kern w:val="0"/>
          <w:szCs w:val="24"/>
        </w:rPr>
        <w:t xml:space="preserve"> the </w:t>
      </w:r>
      <w:r>
        <w:rPr>
          <w:rFonts w:hint="eastAsia"/>
          <w:kern w:val="0"/>
          <w:szCs w:val="24"/>
        </w:rPr>
        <w:t>class activities that can support all learners in accessing</w:t>
      </w:r>
      <w:r w:rsidR="005853A9">
        <w:rPr>
          <w:rFonts w:hint="eastAsia"/>
          <w:kern w:val="0"/>
          <w:szCs w:val="24"/>
        </w:rPr>
        <w:t xml:space="preserve"> and </w:t>
      </w:r>
      <w:r>
        <w:rPr>
          <w:rFonts w:hint="eastAsia"/>
          <w:kern w:val="0"/>
          <w:szCs w:val="24"/>
        </w:rPr>
        <w:t>contributing to</w:t>
      </w:r>
      <w:r w:rsidR="003A1917">
        <w:rPr>
          <w:rFonts w:hint="eastAsia"/>
          <w:kern w:val="0"/>
          <w:szCs w:val="24"/>
        </w:rPr>
        <w:t xml:space="preserve"> the </w:t>
      </w:r>
      <w:r>
        <w:rPr>
          <w:rFonts w:hint="eastAsia"/>
          <w:kern w:val="0"/>
          <w:szCs w:val="24"/>
        </w:rPr>
        <w:t>multi-user virtual environment learning community. (C) 2011 Elsevier Ltd. All rights reserved.</w:t>
      </w:r>
    </w:p>
    <w:p w:rsidR="00733443" w:rsidRDefault="00733443" w:rsidP="00733443">
      <w:pPr>
        <w:pStyle w:val="a3"/>
        <w:rPr>
          <w:kern w:val="0"/>
          <w:szCs w:val="24"/>
        </w:rPr>
      </w:pPr>
      <w:r>
        <w:rPr>
          <w:rFonts w:hint="eastAsia"/>
          <w:kern w:val="0"/>
          <w:szCs w:val="24"/>
        </w:rPr>
        <w:t>Keywords: Activities, Adult, Capabilities, Collaboration, College Students, Computer-Mediated Communication, Contribution, Design, Environment, Games, Identity, Insight, Interactive Learning Environments, Learning, Literature, Men, Motivations, Multi-User Virtual Environments, Online Learning, Participation, Primary, Research, Students, Traditional, Virtual Reality, Women</w:t>
      </w:r>
    </w:p>
    <w:p w:rsidR="00CA1A94" w:rsidRDefault="00CA1A94" w:rsidP="00CA1A94">
      <w:pPr>
        <w:pStyle w:val="a3"/>
        <w:rPr>
          <w:kern w:val="0"/>
        </w:rPr>
      </w:pPr>
      <w:r>
        <w:rPr>
          <w:rFonts w:hint="eastAsia"/>
          <w:kern w:val="0"/>
        </w:rPr>
        <w:t xml:space="preserve">? </w:t>
      </w:r>
      <w:r>
        <w:rPr>
          <w:kern w:val="0"/>
        </w:rPr>
        <w:t>Wu, W.H., Wu, Y.C.J., Chen, C.Y., Kao, H.Y., Lin, C.H.</w:t>
      </w:r>
      <w:r w:rsidR="005853A9">
        <w:rPr>
          <w:kern w:val="0"/>
        </w:rPr>
        <w:t xml:space="preserve"> and </w:t>
      </w:r>
      <w:r>
        <w:rPr>
          <w:kern w:val="0"/>
        </w:rPr>
        <w:t>Huang, S.H. (2012), Review</w:t>
      </w:r>
      <w:r w:rsidR="00427468">
        <w:rPr>
          <w:kern w:val="0"/>
        </w:rPr>
        <w:t xml:space="preserve"> of </w:t>
      </w:r>
      <w:r>
        <w:rPr>
          <w:kern w:val="0"/>
        </w:rPr>
        <w:t xml:space="preserve">trends from mobile learning studies: A meta-analysis. </w:t>
      </w:r>
      <w:r>
        <w:rPr>
          <w:i/>
          <w:iCs/>
          <w:kern w:val="0"/>
        </w:rPr>
        <w:t>Computers &amp; Education</w:t>
      </w:r>
      <w:r>
        <w:rPr>
          <w:kern w:val="0"/>
        </w:rPr>
        <w:t xml:space="preserve">, </w:t>
      </w:r>
      <w:r>
        <w:rPr>
          <w:b/>
          <w:bCs/>
          <w:kern w:val="0"/>
        </w:rPr>
        <w:t>59</w:t>
      </w:r>
      <w:r>
        <w:rPr>
          <w:kern w:val="0"/>
        </w:rPr>
        <w:t xml:space="preserve"> (2), 817-827.</w:t>
      </w:r>
    </w:p>
    <w:p w:rsidR="00CA1A94" w:rsidRDefault="00CA1A94" w:rsidP="00CA1A94">
      <w:pPr>
        <w:pStyle w:val="a3"/>
      </w:pPr>
      <w:r>
        <w:rPr>
          <w:rFonts w:hint="eastAsia"/>
        </w:rPr>
        <w:t xml:space="preserve">Full Text: </w:t>
      </w:r>
      <w:hyperlink r:id="rId983" w:history="1">
        <w:r w:rsidRPr="004F45FC">
          <w:rPr>
            <w:rStyle w:val="a5"/>
          </w:rPr>
          <w:t>2012\Com Edu59, 817.pdf</w:t>
        </w:r>
      </w:hyperlink>
    </w:p>
    <w:p w:rsidR="00CA1A94" w:rsidRDefault="00CA1A94" w:rsidP="00CA1A94">
      <w:pPr>
        <w:pStyle w:val="a3"/>
        <w:rPr>
          <w:kern w:val="0"/>
        </w:rPr>
      </w:pPr>
      <w:r>
        <w:rPr>
          <w:kern w:val="0"/>
        </w:rPr>
        <w:t xml:space="preserve">Abstract: Two previous literature review-based studies have provided important insights </w:t>
      </w:r>
      <w:r>
        <w:rPr>
          <w:kern w:val="0"/>
        </w:rPr>
        <w:lastRenderedPageBreak/>
        <w:t>into mobile learning, but</w:t>
      </w:r>
      <w:r w:rsidR="003A1917">
        <w:rPr>
          <w:kern w:val="0"/>
        </w:rPr>
        <w:t xml:space="preserve"> the </w:t>
      </w:r>
      <w:r>
        <w:rPr>
          <w:kern w:val="0"/>
        </w:rPr>
        <w:t>issue still needs to be examined from other directions such as</w:t>
      </w:r>
      <w:r w:rsidR="003A1917">
        <w:rPr>
          <w:kern w:val="0"/>
        </w:rPr>
        <w:t xml:space="preserve"> the </w:t>
      </w:r>
      <w:r>
        <w:rPr>
          <w:kern w:val="0"/>
        </w:rPr>
        <w:t>distribution</w:t>
      </w:r>
      <w:r w:rsidR="00427468">
        <w:rPr>
          <w:kern w:val="0"/>
        </w:rPr>
        <w:t xml:space="preserve"> of </w:t>
      </w:r>
      <w:r>
        <w:rPr>
          <w:kern w:val="0"/>
        </w:rPr>
        <w:t>research purposes. This study takes a meta-analysis approach to systematically reviewing</w:t>
      </w:r>
      <w:r w:rsidR="003A1917">
        <w:rPr>
          <w:kern w:val="0"/>
        </w:rPr>
        <w:t xml:space="preserve"> the </w:t>
      </w:r>
      <w:r>
        <w:rPr>
          <w:kern w:val="0"/>
        </w:rPr>
        <w:t>literature, thus providing a more comprehensive analysis</w:t>
      </w:r>
      <w:r w:rsidR="005853A9">
        <w:rPr>
          <w:kern w:val="0"/>
        </w:rPr>
        <w:t xml:space="preserve"> and </w:t>
      </w:r>
      <w:r>
        <w:rPr>
          <w:kern w:val="0"/>
        </w:rPr>
        <w:t>synthesis</w:t>
      </w:r>
      <w:r w:rsidR="00427468">
        <w:rPr>
          <w:kern w:val="0"/>
        </w:rPr>
        <w:t xml:space="preserve"> of </w:t>
      </w:r>
      <w:r>
        <w:rPr>
          <w:kern w:val="0"/>
        </w:rPr>
        <w:t>164 studies from 2003 to 2010. Major findings include that most studies</w:t>
      </w:r>
      <w:r w:rsidR="00427468">
        <w:rPr>
          <w:kern w:val="0"/>
        </w:rPr>
        <w:t xml:space="preserve"> of </w:t>
      </w:r>
      <w:r>
        <w:rPr>
          <w:kern w:val="0"/>
        </w:rPr>
        <w:t>mobile learning focus on effectiveness, followed by mobile learning system design,</w:t>
      </w:r>
      <w:r w:rsidR="005853A9">
        <w:rPr>
          <w:kern w:val="0"/>
        </w:rPr>
        <w:t xml:space="preserve"> and </w:t>
      </w:r>
      <w:r>
        <w:rPr>
          <w:kern w:val="0"/>
        </w:rPr>
        <w:t>surveys</w:t>
      </w:r>
      <w:r w:rsidR="005853A9">
        <w:rPr>
          <w:kern w:val="0"/>
        </w:rPr>
        <w:t xml:space="preserve"> and </w:t>
      </w:r>
      <w:r>
        <w:rPr>
          <w:kern w:val="0"/>
        </w:rPr>
        <w:t>experiments were used as</w:t>
      </w:r>
      <w:r w:rsidR="003A1917">
        <w:rPr>
          <w:kern w:val="0"/>
        </w:rPr>
        <w:t xml:space="preserve"> the </w:t>
      </w:r>
      <w:r>
        <w:rPr>
          <w:kern w:val="0"/>
        </w:rPr>
        <w:t>primary research methods. Also, mobile phones</w:t>
      </w:r>
      <w:r w:rsidR="005853A9">
        <w:rPr>
          <w:kern w:val="0"/>
        </w:rPr>
        <w:t xml:space="preserve"> and </w:t>
      </w:r>
      <w:r>
        <w:rPr>
          <w:kern w:val="0"/>
        </w:rPr>
        <w:t>PDAs are currently</w:t>
      </w:r>
      <w:r w:rsidR="003A1917">
        <w:rPr>
          <w:kern w:val="0"/>
        </w:rPr>
        <w:t xml:space="preserve"> the </w:t>
      </w:r>
      <w:r>
        <w:rPr>
          <w:kern w:val="0"/>
        </w:rPr>
        <w:t>most widely used devices for mobile learning but these may be displaced by emerging technologies. In addition,</w:t>
      </w:r>
      <w:r w:rsidR="003A1917">
        <w:rPr>
          <w:kern w:val="0"/>
        </w:rPr>
        <w:t xml:space="preserve"> the </w:t>
      </w:r>
      <w:r>
        <w:rPr>
          <w:kern w:val="0"/>
        </w:rPr>
        <w:t>most highly-cited articles are found to focus on mobile learning system design, followed by system effectiveness</w:t>
      </w:r>
      <w:r w:rsidR="00A37C1D">
        <w:rPr>
          <w:kern w:val="0"/>
        </w:rPr>
        <w:t>. The</w:t>
      </w:r>
      <w:r>
        <w:rPr>
          <w:kern w:val="0"/>
        </w:rPr>
        <w:t>se findings may provide insights for researchers</w:t>
      </w:r>
      <w:r w:rsidR="005853A9">
        <w:rPr>
          <w:kern w:val="0"/>
        </w:rPr>
        <w:t xml:space="preserve"> and </w:t>
      </w:r>
      <w:r>
        <w:rPr>
          <w:kern w:val="0"/>
        </w:rPr>
        <w:t>educators into research trends in mobile learning. (C) 2012 Elsevier Ltd. All rights reserved.</w:t>
      </w:r>
    </w:p>
    <w:p w:rsidR="00CA1A94" w:rsidRDefault="00CA1A94" w:rsidP="00CA1A94">
      <w:pPr>
        <w:pStyle w:val="a3"/>
        <w:rPr>
          <w:kern w:val="0"/>
        </w:rPr>
      </w:pPr>
      <w:r>
        <w:rPr>
          <w:kern w:val="0"/>
        </w:rPr>
        <w:t>Keywords: Analysis, Approach, Articles, Design, Distribution, Education, Effectiveness, Emerging Technologies, Environment, Evaluation Methodologies, Experiments, Highly Cited Articles, Learning, Lectures, Literature, M-Learning, Meta-Analysis, Metaanalysis, Methods, Mobile, Needs, Pedagogical Issues, Primary, Primary Research, Research, Research Trends, Review, Rights, Sciences, Students, Surveys, Synthesis, System, System Effectiveness, Technologies, Trends, University</w:t>
      </w:r>
    </w:p>
    <w:p w:rsidR="00997C84" w:rsidRPr="001A3D2B" w:rsidRDefault="00997C84" w:rsidP="00997C84">
      <w:pPr>
        <w:pStyle w:val="1"/>
      </w:pPr>
      <w:r w:rsidRPr="001A3D2B">
        <w:br w:type="page"/>
      </w:r>
      <w:bookmarkStart w:id="379" w:name="_Toc420815095"/>
      <w:r w:rsidRPr="001A3D2B">
        <w:lastRenderedPageBreak/>
        <w:t xml:space="preserve">Title: </w:t>
      </w:r>
      <w:r w:rsidRPr="001A3D2B">
        <w:rPr>
          <w:szCs w:val="24"/>
        </w:rPr>
        <w:t>Computers &amp; Geosciences</w:t>
      </w:r>
      <w:bookmarkEnd w:id="379"/>
    </w:p>
    <w:p w:rsidR="00997C84" w:rsidRPr="001A3D2B" w:rsidRDefault="00997C84" w:rsidP="00997C84">
      <w:pPr>
        <w:pStyle w:val="12"/>
      </w:pPr>
      <w:r w:rsidRPr="001A3D2B">
        <w:t xml:space="preserve">Full Journal Title: </w:t>
      </w:r>
      <w:r w:rsidRPr="001A3D2B">
        <w:rPr>
          <w:kern w:val="0"/>
        </w:rPr>
        <w:t>Computers &amp; Geosciences</w:t>
      </w:r>
    </w:p>
    <w:p w:rsidR="00997C84" w:rsidRPr="001A3D2B" w:rsidRDefault="00997C84" w:rsidP="00997C84">
      <w:pPr>
        <w:pStyle w:val="12"/>
      </w:pPr>
      <w:r w:rsidRPr="001A3D2B">
        <w:t xml:space="preserve">ISO Abbreviated Title: </w:t>
      </w:r>
    </w:p>
    <w:p w:rsidR="00997C84" w:rsidRPr="001A3D2B" w:rsidRDefault="00997C84" w:rsidP="00997C84">
      <w:pPr>
        <w:pStyle w:val="12"/>
      </w:pPr>
      <w:r w:rsidRPr="001A3D2B">
        <w:t xml:space="preserve">JCR Abbreviated Title: </w:t>
      </w:r>
    </w:p>
    <w:p w:rsidR="00997C84" w:rsidRPr="001A3D2B" w:rsidRDefault="00997C84" w:rsidP="00997C84">
      <w:pPr>
        <w:pStyle w:val="12"/>
      </w:pPr>
      <w:r w:rsidRPr="001A3D2B">
        <w:t xml:space="preserve">ISSN: </w:t>
      </w:r>
    </w:p>
    <w:p w:rsidR="00997C84" w:rsidRPr="001A3D2B" w:rsidRDefault="00997C84" w:rsidP="00997C84">
      <w:pPr>
        <w:pStyle w:val="12"/>
      </w:pPr>
      <w:r w:rsidRPr="001A3D2B">
        <w:t xml:space="preserve">Issues/Year: </w:t>
      </w:r>
    </w:p>
    <w:p w:rsidR="00997C84" w:rsidRPr="001A3D2B" w:rsidRDefault="00AA25A4" w:rsidP="00997C84">
      <w:pPr>
        <w:pStyle w:val="12"/>
      </w:pPr>
      <w:r w:rsidRPr="001A3D2B">
        <w:t>Journal Country/Territory:</w:t>
      </w:r>
      <w:r w:rsidR="008F46E9" w:rsidRPr="001A3D2B">
        <w:t xml:space="preserve"> </w:t>
      </w:r>
    </w:p>
    <w:p w:rsidR="00997C84" w:rsidRPr="001A3D2B" w:rsidRDefault="00997C84" w:rsidP="00997C84">
      <w:pPr>
        <w:pStyle w:val="12"/>
      </w:pPr>
      <w:r w:rsidRPr="001A3D2B">
        <w:t xml:space="preserve">Language: </w:t>
      </w:r>
    </w:p>
    <w:p w:rsidR="00997C84" w:rsidRPr="001A3D2B" w:rsidRDefault="00997C84" w:rsidP="00997C84">
      <w:pPr>
        <w:pStyle w:val="12"/>
      </w:pPr>
      <w:r w:rsidRPr="001A3D2B">
        <w:t xml:space="preserve">Publisher: </w:t>
      </w:r>
    </w:p>
    <w:p w:rsidR="00997C84" w:rsidRPr="001A3D2B" w:rsidRDefault="00997C84" w:rsidP="00997C84">
      <w:pPr>
        <w:pStyle w:val="12"/>
      </w:pPr>
      <w:r w:rsidRPr="001A3D2B">
        <w:t xml:space="preserve">Publisher Address: </w:t>
      </w:r>
    </w:p>
    <w:p w:rsidR="00997C84" w:rsidRPr="001A3D2B" w:rsidRDefault="00997C84" w:rsidP="00997C84">
      <w:pPr>
        <w:pStyle w:val="12"/>
      </w:pPr>
      <w:r w:rsidRPr="001A3D2B">
        <w:t>Subject Categories:</w:t>
      </w:r>
    </w:p>
    <w:p w:rsidR="00997C84" w:rsidRPr="001A3D2B" w:rsidRDefault="00997C84" w:rsidP="00997C84">
      <w:pPr>
        <w:pStyle w:val="12"/>
      </w:pPr>
      <w:r w:rsidRPr="001A3D2B">
        <w:t xml:space="preserve">: Impact Factor </w:t>
      </w:r>
    </w:p>
    <w:p w:rsidR="00997C84" w:rsidRPr="001A3D2B" w:rsidRDefault="00997C84" w:rsidP="00997C84">
      <w:pPr>
        <w:pStyle w:val="a3"/>
        <w:rPr>
          <w:kern w:val="0"/>
          <w:szCs w:val="24"/>
        </w:rPr>
      </w:pPr>
      <w:r w:rsidRPr="001A3D2B">
        <w:rPr>
          <w:kern w:val="0"/>
          <w:szCs w:val="24"/>
        </w:rPr>
        <w:t>? Huber, R.</w:t>
      </w:r>
      <w:r w:rsidR="005853A9">
        <w:rPr>
          <w:kern w:val="0"/>
          <w:szCs w:val="24"/>
        </w:rPr>
        <w:t xml:space="preserve"> and </w:t>
      </w:r>
      <w:r w:rsidRPr="001A3D2B">
        <w:rPr>
          <w:kern w:val="0"/>
          <w:szCs w:val="24"/>
        </w:rPr>
        <w:t>Klump, J. (2009), Charting taxonomic knowledge through ontologies</w:t>
      </w:r>
      <w:r w:rsidR="005853A9">
        <w:rPr>
          <w:kern w:val="0"/>
          <w:szCs w:val="24"/>
        </w:rPr>
        <w:t xml:space="preserve"> and </w:t>
      </w:r>
      <w:r w:rsidRPr="001A3D2B">
        <w:rPr>
          <w:kern w:val="0"/>
          <w:szCs w:val="24"/>
        </w:rPr>
        <w:t xml:space="preserve">ranking algorithms. </w:t>
      </w:r>
      <w:r w:rsidRPr="001A3D2B">
        <w:rPr>
          <w:i/>
          <w:iCs/>
          <w:kern w:val="0"/>
          <w:szCs w:val="24"/>
        </w:rPr>
        <w:t>Computers &amp; Geosciences</w:t>
      </w:r>
      <w:r w:rsidRPr="001A3D2B">
        <w:rPr>
          <w:kern w:val="0"/>
          <w:szCs w:val="24"/>
        </w:rPr>
        <w:t xml:space="preserve">, </w:t>
      </w:r>
      <w:r w:rsidRPr="001A3D2B">
        <w:rPr>
          <w:b/>
          <w:bCs/>
          <w:kern w:val="0"/>
          <w:szCs w:val="24"/>
        </w:rPr>
        <w:t>35</w:t>
      </w:r>
      <w:r w:rsidRPr="001A3D2B">
        <w:rPr>
          <w:kern w:val="0"/>
          <w:szCs w:val="24"/>
        </w:rPr>
        <w:t xml:space="preserve"> (4), 862-868.</w:t>
      </w:r>
    </w:p>
    <w:p w:rsidR="00997C84" w:rsidRPr="001A3D2B" w:rsidRDefault="00997C84" w:rsidP="00997C84">
      <w:pPr>
        <w:pStyle w:val="a3"/>
        <w:rPr>
          <w:kern w:val="0"/>
          <w:szCs w:val="24"/>
        </w:rPr>
      </w:pPr>
      <w:r w:rsidRPr="001A3D2B">
        <w:rPr>
          <w:kern w:val="0"/>
          <w:szCs w:val="24"/>
        </w:rPr>
        <w:t xml:space="preserve">Full Text: </w:t>
      </w:r>
      <w:hyperlink r:id="rId984" w:history="1">
        <w:r w:rsidRPr="001A3D2B">
          <w:rPr>
            <w:rStyle w:val="a5"/>
            <w:kern w:val="0"/>
            <w:szCs w:val="24"/>
          </w:rPr>
          <w:t>2009\Com Geo35, 862.pdf</w:t>
        </w:r>
      </w:hyperlink>
    </w:p>
    <w:p w:rsidR="00997C84" w:rsidRPr="001A3D2B" w:rsidRDefault="00997C84" w:rsidP="00997C84">
      <w:pPr>
        <w:pStyle w:val="a3"/>
        <w:rPr>
          <w:kern w:val="0"/>
          <w:szCs w:val="24"/>
        </w:rPr>
      </w:pPr>
      <w:r w:rsidRPr="001A3D2B">
        <w:rPr>
          <w:kern w:val="0"/>
          <w:szCs w:val="24"/>
        </w:rPr>
        <w:t>Abstract: Since</w:t>
      </w:r>
      <w:r w:rsidR="003A1917">
        <w:rPr>
          <w:kern w:val="0"/>
          <w:szCs w:val="24"/>
        </w:rPr>
        <w:t xml:space="preserve"> the </w:t>
      </w:r>
      <w:r w:rsidRPr="001A3D2B">
        <w:rPr>
          <w:kern w:val="0"/>
          <w:szCs w:val="24"/>
        </w:rPr>
        <w:t>inception</w:t>
      </w:r>
      <w:r w:rsidR="00427468">
        <w:rPr>
          <w:kern w:val="0"/>
          <w:szCs w:val="24"/>
        </w:rPr>
        <w:t xml:space="preserve"> of </w:t>
      </w:r>
      <w:r w:rsidRPr="001A3D2B">
        <w:rPr>
          <w:kern w:val="0"/>
          <w:szCs w:val="24"/>
        </w:rPr>
        <w:t>geology as a modern science, paleontologists have described a large number</w:t>
      </w:r>
      <w:r w:rsidR="00427468">
        <w:rPr>
          <w:kern w:val="0"/>
          <w:szCs w:val="24"/>
        </w:rPr>
        <w:t xml:space="preserve"> of </w:t>
      </w:r>
      <w:r w:rsidRPr="001A3D2B">
        <w:rPr>
          <w:kern w:val="0"/>
          <w:szCs w:val="24"/>
        </w:rPr>
        <w:t>fossil species. This makes fossilized organisms an important tool in</w:t>
      </w:r>
      <w:r w:rsidR="003A1917">
        <w:rPr>
          <w:kern w:val="0"/>
          <w:szCs w:val="24"/>
        </w:rPr>
        <w:t xml:space="preserve"> the </w:t>
      </w:r>
      <w:r w:rsidRPr="001A3D2B">
        <w:rPr>
          <w:kern w:val="0"/>
          <w:szCs w:val="24"/>
        </w:rPr>
        <w:t>study</w:t>
      </w:r>
      <w:r w:rsidR="00427468">
        <w:rPr>
          <w:kern w:val="0"/>
          <w:szCs w:val="24"/>
        </w:rPr>
        <w:t xml:space="preserve"> of </w:t>
      </w:r>
      <w:r w:rsidRPr="001A3D2B">
        <w:rPr>
          <w:kern w:val="0"/>
          <w:szCs w:val="24"/>
        </w:rPr>
        <w:t>stratigraphy</w:t>
      </w:r>
      <w:r w:rsidR="005853A9">
        <w:rPr>
          <w:kern w:val="0"/>
          <w:szCs w:val="24"/>
        </w:rPr>
        <w:t xml:space="preserve"> and </w:t>
      </w:r>
      <w:r w:rsidRPr="001A3D2B">
        <w:rPr>
          <w:kern w:val="0"/>
          <w:szCs w:val="24"/>
        </w:rPr>
        <w:t>past environments. Since taxonomic classifications</w:t>
      </w:r>
      <w:r w:rsidR="00427468">
        <w:rPr>
          <w:kern w:val="0"/>
          <w:szCs w:val="24"/>
        </w:rPr>
        <w:t xml:space="preserve"> of </w:t>
      </w:r>
      <w:r w:rsidRPr="001A3D2B">
        <w:rPr>
          <w:kern w:val="0"/>
          <w:szCs w:val="24"/>
        </w:rPr>
        <w:t>organisms,</w:t>
      </w:r>
      <w:r w:rsidR="005853A9">
        <w:rPr>
          <w:kern w:val="0"/>
          <w:szCs w:val="24"/>
        </w:rPr>
        <w:t xml:space="preserve"> and </w:t>
      </w:r>
      <w:r w:rsidRPr="001A3D2B">
        <w:rPr>
          <w:kern w:val="0"/>
          <w:szCs w:val="24"/>
        </w:rPr>
        <w:t>thereby their names, change frequently,</w:t>
      </w:r>
      <w:r w:rsidR="003A1917">
        <w:rPr>
          <w:kern w:val="0"/>
          <w:szCs w:val="24"/>
        </w:rPr>
        <w:t xml:space="preserve"> the </w:t>
      </w:r>
      <w:r w:rsidRPr="001A3D2B">
        <w:rPr>
          <w:kern w:val="0"/>
          <w:szCs w:val="24"/>
        </w:rPr>
        <w:t>correct application</w:t>
      </w:r>
      <w:r w:rsidR="00427468">
        <w:rPr>
          <w:kern w:val="0"/>
          <w:szCs w:val="24"/>
        </w:rPr>
        <w:t xml:space="preserve"> of </w:t>
      </w:r>
      <w:r w:rsidRPr="001A3D2B">
        <w:rPr>
          <w:kern w:val="0"/>
          <w:szCs w:val="24"/>
        </w:rPr>
        <w:t>this tool requires taxonomic expertise in finding correct synonyms for a given species name. Much</w:t>
      </w:r>
      <w:r w:rsidR="00427468">
        <w:rPr>
          <w:kern w:val="0"/>
          <w:szCs w:val="24"/>
        </w:rPr>
        <w:t xml:space="preserve"> of </w:t>
      </w:r>
      <w:r w:rsidRPr="001A3D2B">
        <w:rPr>
          <w:kern w:val="0"/>
          <w:szCs w:val="24"/>
        </w:rPr>
        <w:t>this taxonomic information has already been published in journals</w:t>
      </w:r>
      <w:r w:rsidR="005853A9">
        <w:rPr>
          <w:kern w:val="0"/>
          <w:szCs w:val="24"/>
        </w:rPr>
        <w:t xml:space="preserve"> and </w:t>
      </w:r>
      <w:r w:rsidRPr="001A3D2B">
        <w:rPr>
          <w:kern w:val="0"/>
          <w:szCs w:val="24"/>
        </w:rPr>
        <w:t>books where it is compiled in carefully prepared synonymy lists. Because this information is scattered throughout</w:t>
      </w:r>
      <w:r w:rsidR="003A1917">
        <w:rPr>
          <w:kern w:val="0"/>
          <w:szCs w:val="24"/>
        </w:rPr>
        <w:t xml:space="preserve"> the </w:t>
      </w:r>
      <w:r w:rsidRPr="001A3D2B">
        <w:rPr>
          <w:kern w:val="0"/>
          <w:szCs w:val="24"/>
        </w:rPr>
        <w:t>paleontological literature, it is difficult to find</w:t>
      </w:r>
      <w:r w:rsidR="005853A9">
        <w:rPr>
          <w:kern w:val="0"/>
          <w:szCs w:val="24"/>
        </w:rPr>
        <w:t xml:space="preserve"> and </w:t>
      </w:r>
      <w:r w:rsidRPr="001A3D2B">
        <w:rPr>
          <w:kern w:val="0"/>
          <w:szCs w:val="24"/>
        </w:rPr>
        <w:t>sometimes not accessible. Also, taxonomic information in</w:t>
      </w:r>
      <w:r w:rsidR="003A1917">
        <w:rPr>
          <w:kern w:val="0"/>
          <w:szCs w:val="24"/>
        </w:rPr>
        <w:t xml:space="preserve"> the </w:t>
      </w:r>
      <w:r w:rsidRPr="001A3D2B">
        <w:rPr>
          <w:kern w:val="0"/>
          <w:szCs w:val="24"/>
        </w:rPr>
        <w:t>literature is often difficult to interpret for non-taxonomists looking for taxonomic synonymies as part</w:t>
      </w:r>
      <w:r w:rsidR="00427468">
        <w:rPr>
          <w:kern w:val="0"/>
          <w:szCs w:val="24"/>
        </w:rPr>
        <w:t xml:space="preserve"> of </w:t>
      </w:r>
      <w:r w:rsidRPr="001A3D2B">
        <w:rPr>
          <w:kern w:val="0"/>
          <w:szCs w:val="24"/>
        </w:rPr>
        <w:t>their research</w:t>
      </w:r>
      <w:r w:rsidR="00A37C1D">
        <w:rPr>
          <w:kern w:val="0"/>
          <w:szCs w:val="24"/>
        </w:rPr>
        <w:t>. The</w:t>
      </w:r>
      <w:r w:rsidR="003A1917">
        <w:rPr>
          <w:kern w:val="0"/>
          <w:szCs w:val="24"/>
        </w:rPr>
        <w:t xml:space="preserve"> </w:t>
      </w:r>
      <w:r w:rsidRPr="001A3D2B">
        <w:rPr>
          <w:kern w:val="0"/>
          <w:szCs w:val="24"/>
        </w:rPr>
        <w:t>highly formalized structure makes Open Nomenclature synonymy lists ideally suited for computer aided identification</w:t>
      </w:r>
      <w:r w:rsidR="00427468">
        <w:rPr>
          <w:kern w:val="0"/>
          <w:szCs w:val="24"/>
        </w:rPr>
        <w:t xml:space="preserve"> of </w:t>
      </w:r>
      <w:r w:rsidRPr="001A3D2B">
        <w:rPr>
          <w:kern w:val="0"/>
          <w:szCs w:val="24"/>
        </w:rPr>
        <w:t>taxonomic synonyms. Because a synonymy list is a list</w:t>
      </w:r>
      <w:r w:rsidR="00427468">
        <w:rPr>
          <w:kern w:val="0"/>
          <w:szCs w:val="24"/>
        </w:rPr>
        <w:t xml:space="preserve"> of </w:t>
      </w:r>
      <w:r w:rsidRPr="001A3D2B">
        <w:rPr>
          <w:kern w:val="0"/>
          <w:szCs w:val="24"/>
        </w:rPr>
        <w:t>citations related to a taxon name, its bibliographic nature allows</w:t>
      </w:r>
      <w:r w:rsidR="003A1917">
        <w:rPr>
          <w:kern w:val="0"/>
          <w:szCs w:val="24"/>
        </w:rPr>
        <w:t xml:space="preserve"> the </w:t>
      </w:r>
      <w:r w:rsidRPr="001A3D2B">
        <w:rPr>
          <w:kern w:val="0"/>
          <w:szCs w:val="24"/>
        </w:rPr>
        <w:t>application</w:t>
      </w:r>
      <w:r w:rsidR="00427468">
        <w:rPr>
          <w:kern w:val="0"/>
          <w:szCs w:val="24"/>
        </w:rPr>
        <w:t xml:space="preserve"> of </w:t>
      </w:r>
      <w:r w:rsidRPr="001A3D2B">
        <w:rPr>
          <w:kern w:val="0"/>
          <w:szCs w:val="24"/>
        </w:rPr>
        <w:t>bibliometric techniques to calculate</w:t>
      </w:r>
      <w:r w:rsidR="003A1917">
        <w:rPr>
          <w:kern w:val="0"/>
          <w:szCs w:val="24"/>
        </w:rPr>
        <w:t xml:space="preserve"> the </w:t>
      </w:r>
      <w:r w:rsidRPr="001A3D2B">
        <w:rPr>
          <w:kern w:val="0"/>
          <w:szCs w:val="24"/>
        </w:rPr>
        <w:t>impact</w:t>
      </w:r>
      <w:r w:rsidR="00427468">
        <w:rPr>
          <w:kern w:val="0"/>
          <w:szCs w:val="24"/>
        </w:rPr>
        <w:t xml:space="preserve"> of </w:t>
      </w:r>
      <w:r w:rsidRPr="001A3D2B">
        <w:rPr>
          <w:kern w:val="0"/>
          <w:szCs w:val="24"/>
        </w:rPr>
        <w:t>synonymies</w:t>
      </w:r>
      <w:r w:rsidR="005853A9">
        <w:rPr>
          <w:kern w:val="0"/>
          <w:szCs w:val="24"/>
        </w:rPr>
        <w:t xml:space="preserve"> and </w:t>
      </w:r>
      <w:r w:rsidRPr="001A3D2B">
        <w:rPr>
          <w:kern w:val="0"/>
          <w:szCs w:val="24"/>
        </w:rPr>
        <w:t>taxonomic concepts. TaxonRank is a ranking algorithm based on bibliometric analysis</w:t>
      </w:r>
      <w:r w:rsidR="005853A9">
        <w:rPr>
          <w:kern w:val="0"/>
          <w:szCs w:val="24"/>
        </w:rPr>
        <w:t xml:space="preserve"> and </w:t>
      </w:r>
      <w:r w:rsidRPr="001A3D2B">
        <w:rPr>
          <w:kern w:val="0"/>
          <w:szCs w:val="24"/>
        </w:rPr>
        <w:t>Internet page ranking algorithms. TaxonRank uses published synonymy list data stored in TaxonConcept, a taxonomic information system</w:t>
      </w:r>
      <w:r w:rsidR="00A37C1D">
        <w:rPr>
          <w:kern w:val="0"/>
          <w:szCs w:val="24"/>
        </w:rPr>
        <w:t>. The</w:t>
      </w:r>
      <w:r w:rsidR="003A1917">
        <w:rPr>
          <w:kern w:val="0"/>
          <w:szCs w:val="24"/>
        </w:rPr>
        <w:t xml:space="preserve"> </w:t>
      </w:r>
      <w:r w:rsidRPr="001A3D2B">
        <w:rPr>
          <w:kern w:val="0"/>
          <w:szCs w:val="24"/>
        </w:rPr>
        <w:t>basic ranking algorithm has been modified to include a measure</w:t>
      </w:r>
      <w:r w:rsidR="00427468">
        <w:rPr>
          <w:kern w:val="0"/>
          <w:szCs w:val="24"/>
        </w:rPr>
        <w:t xml:space="preserve"> of </w:t>
      </w:r>
      <w:r w:rsidRPr="001A3D2B">
        <w:rPr>
          <w:kern w:val="0"/>
          <w:szCs w:val="24"/>
        </w:rPr>
        <w:t>confidence on species identification based on</w:t>
      </w:r>
      <w:r w:rsidR="003A1917">
        <w:rPr>
          <w:kern w:val="0"/>
          <w:szCs w:val="24"/>
        </w:rPr>
        <w:t xml:space="preserve"> the </w:t>
      </w:r>
      <w:r w:rsidRPr="001A3D2B">
        <w:rPr>
          <w:kern w:val="0"/>
          <w:szCs w:val="24"/>
        </w:rPr>
        <w:t>Open Nomenclature notation used in synonymy list, as well as other synonymy specific criteria</w:t>
      </w:r>
      <w:r w:rsidR="00A37C1D">
        <w:rPr>
          <w:kern w:val="0"/>
          <w:szCs w:val="24"/>
        </w:rPr>
        <w:t>. The</w:t>
      </w:r>
      <w:r w:rsidR="003A1917">
        <w:rPr>
          <w:kern w:val="0"/>
          <w:szCs w:val="24"/>
        </w:rPr>
        <w:t xml:space="preserve"> </w:t>
      </w:r>
      <w:r w:rsidRPr="001A3D2B">
        <w:rPr>
          <w:kern w:val="0"/>
          <w:szCs w:val="24"/>
        </w:rPr>
        <w:t>results</w:t>
      </w:r>
      <w:r w:rsidR="00427468">
        <w:rPr>
          <w:kern w:val="0"/>
          <w:szCs w:val="24"/>
        </w:rPr>
        <w:t xml:space="preserve"> of </w:t>
      </w:r>
      <w:r w:rsidRPr="001A3D2B">
        <w:rPr>
          <w:kern w:val="0"/>
          <w:szCs w:val="24"/>
        </w:rPr>
        <w:t>our experiments show that</w:t>
      </w:r>
      <w:r w:rsidR="003A1917">
        <w:rPr>
          <w:kern w:val="0"/>
          <w:szCs w:val="24"/>
        </w:rPr>
        <w:t xml:space="preserve"> the </w:t>
      </w:r>
      <w:r w:rsidRPr="001A3D2B">
        <w:rPr>
          <w:kern w:val="0"/>
          <w:szCs w:val="24"/>
        </w:rPr>
        <w:t>output</w:t>
      </w:r>
      <w:r w:rsidR="00427468">
        <w:rPr>
          <w:kern w:val="0"/>
          <w:szCs w:val="24"/>
        </w:rPr>
        <w:t xml:space="preserve"> of </w:t>
      </w:r>
      <w:r w:rsidR="003A1917">
        <w:rPr>
          <w:kern w:val="0"/>
          <w:szCs w:val="24"/>
        </w:rPr>
        <w:t xml:space="preserve">the </w:t>
      </w:r>
      <w:r w:rsidRPr="001A3D2B">
        <w:rPr>
          <w:kern w:val="0"/>
          <w:szCs w:val="24"/>
        </w:rPr>
        <w:t>proposed ranking algorithm gives a good estimate</w:t>
      </w:r>
      <w:r w:rsidR="00427468">
        <w:rPr>
          <w:kern w:val="0"/>
          <w:szCs w:val="24"/>
        </w:rPr>
        <w:t xml:space="preserve"> of </w:t>
      </w:r>
      <w:r w:rsidR="003A1917">
        <w:rPr>
          <w:kern w:val="0"/>
          <w:szCs w:val="24"/>
        </w:rPr>
        <w:t xml:space="preserve">the </w:t>
      </w:r>
      <w:r w:rsidRPr="001A3D2B">
        <w:rPr>
          <w:kern w:val="0"/>
          <w:szCs w:val="24"/>
        </w:rPr>
        <w:t>impact a published taxonomic concept has on</w:t>
      </w:r>
      <w:r w:rsidR="003A1917">
        <w:rPr>
          <w:kern w:val="0"/>
          <w:szCs w:val="24"/>
        </w:rPr>
        <w:t xml:space="preserve"> the </w:t>
      </w:r>
      <w:r w:rsidRPr="001A3D2B">
        <w:rPr>
          <w:kern w:val="0"/>
          <w:szCs w:val="24"/>
        </w:rPr>
        <w:lastRenderedPageBreak/>
        <w:t>taxonomic opinions in</w:t>
      </w:r>
      <w:r w:rsidR="003A1917">
        <w:rPr>
          <w:kern w:val="0"/>
          <w:szCs w:val="24"/>
        </w:rPr>
        <w:t xml:space="preserve"> the </w:t>
      </w:r>
      <w:r w:rsidRPr="001A3D2B">
        <w:rPr>
          <w:kern w:val="0"/>
          <w:szCs w:val="24"/>
        </w:rPr>
        <w:t>geological community. Also, our results show that treating taxonomic synonymies as part</w:t>
      </w:r>
      <w:r w:rsidR="00427468">
        <w:rPr>
          <w:kern w:val="0"/>
          <w:szCs w:val="24"/>
        </w:rPr>
        <w:t xml:space="preserve"> of </w:t>
      </w:r>
      <w:r w:rsidRPr="001A3D2B">
        <w:rPr>
          <w:kern w:val="0"/>
          <w:szCs w:val="24"/>
        </w:rPr>
        <w:t>on an ontology is a way to record</w:t>
      </w:r>
      <w:r w:rsidR="005853A9">
        <w:rPr>
          <w:kern w:val="0"/>
          <w:szCs w:val="24"/>
        </w:rPr>
        <w:t xml:space="preserve"> and </w:t>
      </w:r>
      <w:r w:rsidRPr="001A3D2B">
        <w:rPr>
          <w:kern w:val="0"/>
          <w:szCs w:val="24"/>
        </w:rPr>
        <w:t>manage taxonomic knowledge,</w:t>
      </w:r>
      <w:r w:rsidR="005853A9">
        <w:rPr>
          <w:kern w:val="0"/>
          <w:szCs w:val="24"/>
        </w:rPr>
        <w:t xml:space="preserve"> and </w:t>
      </w:r>
      <w:r w:rsidRPr="001A3D2B">
        <w:rPr>
          <w:kern w:val="0"/>
          <w:szCs w:val="24"/>
        </w:rPr>
        <w:t>thus contribute to</w:t>
      </w:r>
      <w:r w:rsidR="003A1917">
        <w:rPr>
          <w:kern w:val="0"/>
          <w:szCs w:val="24"/>
        </w:rPr>
        <w:t xml:space="preserve"> the </w:t>
      </w:r>
      <w:r w:rsidRPr="001A3D2B">
        <w:rPr>
          <w:kern w:val="0"/>
          <w:szCs w:val="24"/>
        </w:rPr>
        <w:t>preservation our scientific heritage. (C) 2008 Elsevier Ltd. All rights reserved.</w:t>
      </w:r>
    </w:p>
    <w:p w:rsidR="00997C84" w:rsidRPr="001A3D2B" w:rsidRDefault="00997C84" w:rsidP="00997C84">
      <w:pPr>
        <w:pStyle w:val="a3"/>
        <w:rPr>
          <w:kern w:val="0"/>
          <w:szCs w:val="24"/>
        </w:rPr>
      </w:pPr>
      <w:r w:rsidRPr="001A3D2B">
        <w:rPr>
          <w:kern w:val="0"/>
          <w:szCs w:val="24"/>
        </w:rPr>
        <w:t>Keywords: Algorithm, Algorithms, Analysis, Application, Bibliometric, Bibliometric Analysis, Bibliometric Techniques, Change, Citations, Community, Computer, Confidence, Criteria, Data, Experiments, Expertise, Geology, Identification, Impact, Information, Internet, Journals, Knowledge, Knowledge Management, Literature, Measure, Modified, Ontology, Opinions, Paleontology, Preservation, Ranking, Record, Research, Rights, Science, Si, Species, Structure, Taxonomy, Techniques, Tool, Visualization</w:t>
      </w:r>
    </w:p>
    <w:p w:rsidR="00D449B6" w:rsidRPr="00C73C58" w:rsidRDefault="00D449B6" w:rsidP="00D449B6">
      <w:pPr>
        <w:pStyle w:val="1"/>
      </w:pPr>
      <w:r w:rsidRPr="00C73C58">
        <w:br w:type="page"/>
      </w:r>
      <w:bookmarkStart w:id="380" w:name="_Toc420815096"/>
      <w:r w:rsidRPr="00C73C58">
        <w:lastRenderedPageBreak/>
        <w:t xml:space="preserve">Title: </w:t>
      </w:r>
      <w:r w:rsidRPr="00762AE9">
        <w:rPr>
          <w:iCs w:val="0"/>
        </w:rPr>
        <w:t>Computers in Human Behavior</w:t>
      </w:r>
      <w:bookmarkEnd w:id="380"/>
    </w:p>
    <w:p w:rsidR="00D449B6" w:rsidRPr="00C73C58" w:rsidRDefault="00D449B6" w:rsidP="00D449B6">
      <w:pPr>
        <w:pStyle w:val="12"/>
      </w:pPr>
      <w:r w:rsidRPr="00C73C58">
        <w:t xml:space="preserve">Full Journal Title: </w:t>
      </w:r>
      <w:r w:rsidRPr="00762AE9">
        <w:rPr>
          <w:iCs/>
          <w:kern w:val="0"/>
        </w:rPr>
        <w:t>Computers in Human Behavior</w:t>
      </w:r>
    </w:p>
    <w:p w:rsidR="00D449B6" w:rsidRPr="00C73C58" w:rsidRDefault="00D449B6" w:rsidP="00D449B6">
      <w:pPr>
        <w:pStyle w:val="12"/>
      </w:pPr>
      <w:r w:rsidRPr="00C73C58">
        <w:t xml:space="preserve">ISO Abbreviated Title: </w:t>
      </w:r>
    </w:p>
    <w:p w:rsidR="00D449B6" w:rsidRPr="00C73C58" w:rsidRDefault="00D449B6" w:rsidP="00D449B6">
      <w:pPr>
        <w:pStyle w:val="12"/>
      </w:pPr>
      <w:r w:rsidRPr="00C73C58">
        <w:t xml:space="preserve">JCR Abbreviated Title: </w:t>
      </w:r>
    </w:p>
    <w:p w:rsidR="00D449B6" w:rsidRPr="00C73C58" w:rsidRDefault="00D449B6" w:rsidP="00D449B6">
      <w:pPr>
        <w:pStyle w:val="12"/>
      </w:pPr>
      <w:r w:rsidRPr="00C73C58">
        <w:t xml:space="preserve">ISSN: </w:t>
      </w:r>
    </w:p>
    <w:p w:rsidR="00D449B6" w:rsidRPr="00C73C58" w:rsidRDefault="00D449B6" w:rsidP="00D449B6">
      <w:pPr>
        <w:pStyle w:val="12"/>
      </w:pPr>
      <w:r w:rsidRPr="00C73C58">
        <w:t xml:space="preserve">Issues/Year: </w:t>
      </w:r>
    </w:p>
    <w:p w:rsidR="00D449B6" w:rsidRPr="00C73C58" w:rsidRDefault="00D449B6" w:rsidP="00D449B6">
      <w:pPr>
        <w:pStyle w:val="12"/>
      </w:pPr>
      <w:r w:rsidRPr="00C73C58">
        <w:t xml:space="preserve">Journal Country/Territory: </w:t>
      </w:r>
    </w:p>
    <w:p w:rsidR="00D449B6" w:rsidRPr="00C73C58" w:rsidRDefault="00D449B6" w:rsidP="00D449B6">
      <w:pPr>
        <w:pStyle w:val="12"/>
      </w:pPr>
      <w:r w:rsidRPr="00C73C58">
        <w:t xml:space="preserve">Language: </w:t>
      </w:r>
    </w:p>
    <w:p w:rsidR="00D449B6" w:rsidRPr="00C73C58" w:rsidRDefault="00D449B6" w:rsidP="00D449B6">
      <w:pPr>
        <w:pStyle w:val="12"/>
      </w:pPr>
      <w:r w:rsidRPr="00C73C58">
        <w:t xml:space="preserve">Publisher: </w:t>
      </w:r>
    </w:p>
    <w:p w:rsidR="00D449B6" w:rsidRPr="00C73C58" w:rsidRDefault="00D449B6" w:rsidP="00D449B6">
      <w:pPr>
        <w:pStyle w:val="12"/>
      </w:pPr>
      <w:r w:rsidRPr="00C73C58">
        <w:t xml:space="preserve">Publisher Address: </w:t>
      </w:r>
    </w:p>
    <w:p w:rsidR="00D449B6" w:rsidRPr="00C73C58" w:rsidRDefault="00D449B6" w:rsidP="00D449B6">
      <w:pPr>
        <w:pStyle w:val="12"/>
      </w:pPr>
      <w:r w:rsidRPr="00C73C58">
        <w:t>Subject Categories:</w:t>
      </w:r>
    </w:p>
    <w:p w:rsidR="00D449B6" w:rsidRPr="00C73C58" w:rsidRDefault="00D449B6" w:rsidP="00D449B6">
      <w:pPr>
        <w:pStyle w:val="12"/>
      </w:pPr>
      <w:r w:rsidRPr="00C73C58">
        <w:t xml:space="preserve">: Impact Factor </w:t>
      </w:r>
    </w:p>
    <w:p w:rsidR="00D449B6" w:rsidRDefault="00D449B6" w:rsidP="00D449B6">
      <w:pPr>
        <w:pStyle w:val="a3"/>
        <w:rPr>
          <w:kern w:val="0"/>
        </w:rPr>
      </w:pPr>
      <w:r>
        <w:rPr>
          <w:rFonts w:hint="eastAsia"/>
          <w:kern w:val="0"/>
        </w:rPr>
        <w:t xml:space="preserve">? </w:t>
      </w:r>
      <w:r>
        <w:rPr>
          <w:kern w:val="0"/>
        </w:rPr>
        <w:t>Clarebout, G.</w:t>
      </w:r>
      <w:r w:rsidR="005853A9">
        <w:rPr>
          <w:kern w:val="0"/>
        </w:rPr>
        <w:t xml:space="preserve"> and </w:t>
      </w:r>
      <w:r>
        <w:rPr>
          <w:kern w:val="0"/>
        </w:rPr>
        <w:t xml:space="preserve">Elen, J. (2006), Tool use in computer-based learning environments: Towards a research framework. </w:t>
      </w:r>
      <w:r w:rsidRPr="00762AE9">
        <w:rPr>
          <w:i/>
          <w:iCs/>
          <w:kern w:val="0"/>
        </w:rPr>
        <w:t>Computers in Human Behavior</w:t>
      </w:r>
      <w:r>
        <w:rPr>
          <w:kern w:val="0"/>
        </w:rPr>
        <w:t xml:space="preserve">, </w:t>
      </w:r>
      <w:r>
        <w:rPr>
          <w:b/>
          <w:bCs/>
          <w:kern w:val="0"/>
        </w:rPr>
        <w:t>22</w:t>
      </w:r>
      <w:r>
        <w:rPr>
          <w:kern w:val="0"/>
        </w:rPr>
        <w:t xml:space="preserve"> (3), 389-411.</w:t>
      </w:r>
    </w:p>
    <w:p w:rsidR="00D449B6" w:rsidRDefault="00D449B6" w:rsidP="00D449B6">
      <w:pPr>
        <w:pStyle w:val="a3"/>
        <w:rPr>
          <w:kern w:val="0"/>
        </w:rPr>
      </w:pPr>
      <w:r>
        <w:rPr>
          <w:kern w:val="0"/>
        </w:rPr>
        <w:t>Abstract: Computer-based learning environments often confront learners with a number</w:t>
      </w:r>
      <w:r w:rsidR="00427468">
        <w:rPr>
          <w:kern w:val="0"/>
        </w:rPr>
        <w:t xml:space="preserve"> of </w:t>
      </w:r>
      <w:r>
        <w:rPr>
          <w:kern w:val="0"/>
        </w:rPr>
        <w:t>tools, i.e. non-embedded support devices. Such environments assume learners to be good judges</w:t>
      </w:r>
      <w:r w:rsidR="00427468">
        <w:rPr>
          <w:kern w:val="0"/>
        </w:rPr>
        <w:t xml:space="preserve"> of </w:t>
      </w:r>
      <w:r>
        <w:rPr>
          <w:kern w:val="0"/>
        </w:rPr>
        <w:t>their own learning needs. However, research indicates that students do not always make adequate choices for their learning process. This especially becomes an issue with</w:t>
      </w:r>
      <w:r w:rsidR="003A1917">
        <w:rPr>
          <w:kern w:val="0"/>
        </w:rPr>
        <w:t xml:space="preserve"> the </w:t>
      </w:r>
      <w:r>
        <w:rPr>
          <w:kern w:val="0"/>
        </w:rPr>
        <w:t>use</w:t>
      </w:r>
      <w:r w:rsidR="00427468">
        <w:rPr>
          <w:kern w:val="0"/>
        </w:rPr>
        <w:t xml:space="preserve"> of </w:t>
      </w:r>
      <w:r>
        <w:rPr>
          <w:kern w:val="0"/>
        </w:rPr>
        <w:t>open learning environments, which are assumed to foster</w:t>
      </w:r>
      <w:r w:rsidR="003A1917">
        <w:rPr>
          <w:kern w:val="0"/>
        </w:rPr>
        <w:t xml:space="preserve"> the </w:t>
      </w:r>
      <w:r>
        <w:rPr>
          <w:kern w:val="0"/>
        </w:rPr>
        <w:t>acquisition</w:t>
      </w:r>
      <w:r w:rsidR="00427468">
        <w:rPr>
          <w:kern w:val="0"/>
        </w:rPr>
        <w:t xml:space="preserve"> of </w:t>
      </w:r>
      <w:r>
        <w:rPr>
          <w:kern w:val="0"/>
        </w:rPr>
        <w:t>complex problem solving skills. Such open learning environments offer students tools to support their learning. Consequently, it is needed to understand factors that influence tool use acquire insight in learning effects</w:t>
      </w:r>
      <w:r w:rsidR="00427468">
        <w:rPr>
          <w:kern w:val="0"/>
        </w:rPr>
        <w:t xml:space="preserve"> of </w:t>
      </w:r>
      <w:r>
        <w:rPr>
          <w:kern w:val="0"/>
        </w:rPr>
        <w:t>tool use. Both issues are addressed in this contribution. A review</w:t>
      </w:r>
      <w:r w:rsidR="00427468">
        <w:rPr>
          <w:kern w:val="0"/>
        </w:rPr>
        <w:t xml:space="preserve"> of </w:t>
      </w:r>
      <w:r w:rsidR="003A1917">
        <w:rPr>
          <w:kern w:val="0"/>
        </w:rPr>
        <w:t xml:space="preserve">the </w:t>
      </w:r>
      <w:r>
        <w:rPr>
          <w:kern w:val="0"/>
        </w:rPr>
        <w:t>existing literature has been undertaken by performing it search on</w:t>
      </w:r>
      <w:r w:rsidR="003A1917">
        <w:rPr>
          <w:kern w:val="0"/>
        </w:rPr>
        <w:t xml:space="preserve"> the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PsycInfo database. Results indicate that there is some evidence for learner, tool</w:t>
      </w:r>
      <w:r w:rsidR="005853A9">
        <w:rPr>
          <w:kern w:val="0"/>
        </w:rPr>
        <w:t xml:space="preserve"> and </w:t>
      </w:r>
      <w:r>
        <w:rPr>
          <w:kern w:val="0"/>
        </w:rPr>
        <w:t>task characteristics to influence tool use. No clear indication was found for a learning effect</w:t>
      </w:r>
      <w:r w:rsidR="00427468">
        <w:rPr>
          <w:kern w:val="0"/>
        </w:rPr>
        <w:t xml:space="preserve"> of </w:t>
      </w:r>
      <w:r>
        <w:rPr>
          <w:kern w:val="0"/>
        </w:rPr>
        <w:t>tool use</w:t>
      </w:r>
      <w:r w:rsidR="00A37C1D">
        <w:rPr>
          <w:kern w:val="0"/>
        </w:rPr>
        <w:t>. The</w:t>
      </w:r>
      <w:r w:rsidR="003A1917">
        <w:rPr>
          <w:kern w:val="0"/>
        </w:rPr>
        <w:t xml:space="preserve"> </w:t>
      </w:r>
      <w:r>
        <w:rPr>
          <w:kern w:val="0"/>
        </w:rPr>
        <w:t>conclusion proposes a research framework for</w:t>
      </w:r>
      <w:r w:rsidR="003A1917">
        <w:rPr>
          <w:kern w:val="0"/>
        </w:rPr>
        <w:t xml:space="preserve"> the </w:t>
      </w:r>
      <w:r>
        <w:rPr>
          <w:kern w:val="0"/>
        </w:rPr>
        <w:t>systematic study</w:t>
      </w:r>
      <w:r w:rsidR="00427468">
        <w:rPr>
          <w:kern w:val="0"/>
        </w:rPr>
        <w:t xml:space="preserve"> of </w:t>
      </w:r>
      <w:r>
        <w:rPr>
          <w:kern w:val="0"/>
        </w:rPr>
        <w:t>tools. (c) 2004 Elsevier Ltd. All rights reserved.</w:t>
      </w:r>
    </w:p>
    <w:p w:rsidR="00D449B6" w:rsidRDefault="00D449B6" w:rsidP="00D449B6">
      <w:pPr>
        <w:pStyle w:val="a3"/>
        <w:rPr>
          <w:kern w:val="0"/>
        </w:rPr>
      </w:pPr>
      <w:r>
        <w:rPr>
          <w:kern w:val="0"/>
        </w:rPr>
        <w:t xml:space="preserve">Keywords: Computer-Based Learning Environments, Concept Lesson, Contribution, Design, Full, Hypertext, Instructional Options, Learning, Literature, Literature Review, Programs, Research, Review, Science, Strategies, Students, Support, Systematic, Tool Use, Web,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381" w:name="_Toc420815097"/>
      <w:r w:rsidRPr="001A3D2B">
        <w:lastRenderedPageBreak/>
        <w:t>Title: Computers &amp; Industrial Engineering</w:t>
      </w:r>
      <w:bookmarkEnd w:id="381"/>
    </w:p>
    <w:p w:rsidR="003474F2" w:rsidRPr="001A3D2B" w:rsidRDefault="003474F2" w:rsidP="003474F2">
      <w:pPr>
        <w:pStyle w:val="12"/>
      </w:pPr>
      <w:r w:rsidRPr="001A3D2B">
        <w:t xml:space="preserve">Full Journal Title: </w:t>
      </w:r>
      <w:hyperlink r:id="rId985" w:history="1">
        <w:r w:rsidRPr="001A3D2B">
          <w:rPr>
            <w:rStyle w:val="a5"/>
          </w:rPr>
          <w:t>Computers &amp; Industrial Engineering</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Kadidal, M.</w:t>
      </w:r>
      <w:r w:rsidR="005853A9">
        <w:t xml:space="preserve"> and </w:t>
      </w:r>
      <w:r w:rsidRPr="001A3D2B">
        <w:t xml:space="preserve">Bidanda, B. (1993), A castability expert system. </w:t>
      </w:r>
      <w:r w:rsidRPr="001A3D2B">
        <w:rPr>
          <w:i/>
          <w:iCs/>
        </w:rPr>
        <w:t>Computers &amp; Industrial Engineering</w:t>
      </w:r>
      <w:r w:rsidRPr="001A3D2B">
        <w:t xml:space="preserve">, </w:t>
      </w:r>
      <w:r w:rsidRPr="001A3D2B">
        <w:rPr>
          <w:b/>
        </w:rPr>
        <w:t>25</w:t>
      </w:r>
      <w:r w:rsidRPr="001A3D2B">
        <w:t xml:space="preserve"> (1-4), 99-102.</w:t>
      </w:r>
    </w:p>
    <w:p w:rsidR="003474F2" w:rsidRPr="001A3D2B" w:rsidRDefault="003474F2" w:rsidP="003474F2">
      <w:pPr>
        <w:pStyle w:val="a3"/>
      </w:pPr>
      <w:r w:rsidRPr="001A3D2B">
        <w:t xml:space="preserve">Full Text: </w:t>
      </w:r>
      <w:hyperlink r:id="rId986" w:history="1">
        <w:r w:rsidRPr="001A3D2B">
          <w:rPr>
            <w:rStyle w:val="a5"/>
          </w:rPr>
          <w:t>1993\Com Ind Eng25, 99.pdf</w:t>
        </w:r>
      </w:hyperlink>
    </w:p>
    <w:p w:rsidR="003474F2" w:rsidRPr="001A3D2B" w:rsidRDefault="003474F2" w:rsidP="003474F2">
      <w:pPr>
        <w:pStyle w:val="a3"/>
      </w:pPr>
      <w:r w:rsidRPr="001A3D2B">
        <w:t>Abstract:</w:t>
      </w:r>
      <w:r w:rsidR="003A1917">
        <w:t xml:space="preserve"> the </w:t>
      </w:r>
      <w:r w:rsidRPr="001A3D2B">
        <w:t>castability analysis</w:t>
      </w:r>
      <w:r w:rsidR="00427468">
        <w:t xml:space="preserve"> of </w:t>
      </w:r>
      <w:r w:rsidRPr="001A3D2B">
        <w:t>a part, its cost estimation</w:t>
      </w:r>
      <w:r w:rsidR="005853A9">
        <w:t xml:space="preserve"> and </w:t>
      </w:r>
      <w:r w:rsidRPr="001A3D2B">
        <w:t>preparation</w:t>
      </w:r>
      <w:r w:rsidR="00427468">
        <w:t xml:space="preserve"> of </w:t>
      </w:r>
      <w:r w:rsidRPr="001A3D2B">
        <w:t>competitive quotations typically requires years</w:t>
      </w:r>
      <w:r w:rsidR="00427468">
        <w:t xml:space="preserve"> of </w:t>
      </w:r>
      <w:r w:rsidRPr="001A3D2B">
        <w:t>experience, is time consuming</w:t>
      </w:r>
      <w:r w:rsidR="005853A9">
        <w:t xml:space="preserve"> and </w:t>
      </w:r>
      <w:r w:rsidRPr="001A3D2B">
        <w:t>is dependent on</w:t>
      </w:r>
      <w:r w:rsidR="003A1917">
        <w:t xml:space="preserve"> the </w:t>
      </w:r>
      <w:r w:rsidRPr="001A3D2B">
        <w:t>expert personnel available. Considerable amount</w:t>
      </w:r>
      <w:r w:rsidR="00427468">
        <w:t xml:space="preserve"> of </w:t>
      </w:r>
      <w:r w:rsidRPr="001A3D2B">
        <w:t>personnel time is also involved in preparing these quotations. An expert system is ideally suited for this application as it can automate</w:t>
      </w:r>
      <w:r w:rsidR="003A1917">
        <w:t xml:space="preserve"> the </w:t>
      </w:r>
      <w:r w:rsidRPr="001A3D2B">
        <w:t>castability analysis</w:t>
      </w:r>
      <w:r w:rsidR="005853A9">
        <w:t xml:space="preserve"> and </w:t>
      </w:r>
      <w:r w:rsidR="003A1917">
        <w:t xml:space="preserve">the </w:t>
      </w:r>
      <w:r w:rsidRPr="001A3D2B">
        <w:t>quotation preparation process. This will not only substantially improve productivity</w:t>
      </w:r>
      <w:r w:rsidR="005853A9">
        <w:t xml:space="preserve"> and </w:t>
      </w:r>
      <w:r w:rsidRPr="001A3D2B">
        <w:t>consistency, but also</w:t>
      </w:r>
      <w:r w:rsidR="003A1917">
        <w:t xml:space="preserve"> the </w:t>
      </w:r>
      <w:r w:rsidRPr="001A3D2B">
        <w:t>accuracy</w:t>
      </w:r>
      <w:r w:rsidR="00427468">
        <w:t xml:space="preserve"> of </w:t>
      </w:r>
      <w:r w:rsidR="003A1917">
        <w:t xml:space="preserve">the </w:t>
      </w:r>
      <w:r w:rsidRPr="001A3D2B">
        <w:t>process. This paper describes</w:t>
      </w:r>
      <w:r w:rsidR="003A1917">
        <w:t xml:space="preserve"> the </w:t>
      </w:r>
      <w:r w:rsidRPr="001A3D2B">
        <w:t>development</w:t>
      </w:r>
      <w:r w:rsidR="005853A9">
        <w:t xml:space="preserve"> and </w:t>
      </w:r>
      <w:r w:rsidRPr="001A3D2B">
        <w:t>implementation</w:t>
      </w:r>
      <w:r w:rsidR="00427468">
        <w:t xml:space="preserve"> of </w:t>
      </w:r>
      <w:r w:rsidRPr="001A3D2B">
        <w:t>an expert system for a typical medium sized company, which receives approximately tho</w:t>
      </w:r>
      <w:r w:rsidR="00D5664A">
        <w:t>USA</w:t>
      </w:r>
      <w:r w:rsidRPr="001A3D2B">
        <w:t>nd requests for quotations every year. A Castability Expert System apart from reducing time</w:t>
      </w:r>
      <w:r w:rsidR="005853A9">
        <w:t xml:space="preserve"> and </w:t>
      </w:r>
      <w:r w:rsidRPr="001A3D2B">
        <w:t>increasing accuracy, will enable people with little experience to analyze</w:t>
      </w:r>
      <w:r w:rsidR="003A1917">
        <w:t xml:space="preserve"> the </w:t>
      </w:r>
      <w:r w:rsidRPr="001A3D2B">
        <w:t>part, estimate cost</w:t>
      </w:r>
      <w:r w:rsidR="005853A9">
        <w:t xml:space="preserve"> and </w:t>
      </w:r>
      <w:r w:rsidRPr="001A3D2B">
        <w:t>prepare quotations without</w:t>
      </w:r>
      <w:r w:rsidR="003A1917">
        <w:t xml:space="preserve"> the </w:t>
      </w:r>
      <w:r w:rsidRPr="001A3D2B">
        <w:t>assistance</w:t>
      </w:r>
      <w:r w:rsidR="00427468">
        <w:t xml:space="preserve"> of </w:t>
      </w:r>
      <w:r w:rsidRPr="001A3D2B">
        <w:t>an expert, whose time can be better utilized in other areas.</w:t>
      </w:r>
    </w:p>
    <w:p w:rsidR="003474F2" w:rsidRPr="001A3D2B" w:rsidRDefault="003474F2" w:rsidP="003474F2">
      <w:pPr>
        <w:pStyle w:val="a3"/>
      </w:pPr>
      <w:r w:rsidRPr="001A3D2B">
        <w:t>? Morris, S., De Yong, C., Wu, Z., Salman, S.</w:t>
      </w:r>
      <w:r w:rsidR="005853A9">
        <w:t xml:space="preserve"> and </w:t>
      </w:r>
      <w:r w:rsidRPr="001A3D2B">
        <w:t xml:space="preserve">Yemenu, D. (2002), DIVA: A visualization system for exploring document databases for technology forecasting. </w:t>
      </w:r>
      <w:r w:rsidRPr="001A3D2B">
        <w:rPr>
          <w:i/>
          <w:iCs/>
        </w:rPr>
        <w:t>Computers &amp; Industrial Engineering</w:t>
      </w:r>
      <w:r w:rsidRPr="001A3D2B">
        <w:t xml:space="preserve">, </w:t>
      </w:r>
      <w:r w:rsidRPr="001A3D2B">
        <w:rPr>
          <w:b/>
          <w:bCs/>
        </w:rPr>
        <w:t>43</w:t>
      </w:r>
      <w:r w:rsidRPr="001A3D2B">
        <w:t xml:space="preserve"> (4), 841-862.</w:t>
      </w:r>
    </w:p>
    <w:p w:rsidR="003474F2" w:rsidRPr="001A3D2B" w:rsidRDefault="003474F2" w:rsidP="003474F2">
      <w:pPr>
        <w:pStyle w:val="a3"/>
      </w:pPr>
      <w:r w:rsidRPr="001A3D2B">
        <w:t xml:space="preserve">Full Text: </w:t>
      </w:r>
      <w:hyperlink r:id="rId987" w:history="1">
        <w:r w:rsidRPr="001A3D2B">
          <w:rPr>
            <w:rStyle w:val="a5"/>
          </w:rPr>
          <w:t>2002\Com Ind Eng43, 841.pdf</w:t>
        </w:r>
      </w:hyperlink>
    </w:p>
    <w:p w:rsidR="003474F2" w:rsidRPr="001A3D2B" w:rsidRDefault="003474F2" w:rsidP="003474F2">
      <w:pPr>
        <w:pStyle w:val="a3"/>
      </w:pPr>
      <w:r w:rsidRPr="001A3D2B">
        <w:t>Abstract: Database Information Visualization</w:t>
      </w:r>
      <w:r w:rsidR="005853A9">
        <w:t xml:space="preserve"> and </w:t>
      </w:r>
      <w:r w:rsidRPr="001A3D2B">
        <w:t>Analysis system (DIVA) is a computer program that helps perform bibliometric analysis</w:t>
      </w:r>
      <w:r w:rsidR="00427468">
        <w:t xml:space="preserve"> of </w:t>
      </w:r>
      <w:r w:rsidRPr="001A3D2B">
        <w:t>collections</w:t>
      </w:r>
      <w:r w:rsidR="00427468">
        <w:t xml:space="preserve"> of </w:t>
      </w:r>
      <w:r w:rsidRPr="001A3D2B">
        <w:t>scientific literature</w:t>
      </w:r>
      <w:r w:rsidR="005853A9">
        <w:t xml:space="preserve"> and </w:t>
      </w:r>
      <w:r w:rsidRPr="001A3D2B">
        <w:t>patents for technology forecasting. Documents, drawn from</w:t>
      </w:r>
      <w:r w:rsidR="003A1917">
        <w:t xml:space="preserve"> the </w:t>
      </w:r>
      <w:r w:rsidRPr="001A3D2B">
        <w:t>technological field</w:t>
      </w:r>
      <w:r w:rsidR="00427468">
        <w:t xml:space="preserve"> of </w:t>
      </w:r>
      <w:r w:rsidRPr="001A3D2B">
        <w:t>interest, are visualized as clusters on a two dimensional map, permitting exploration</w:t>
      </w:r>
      <w:r w:rsidR="00427468">
        <w:t xml:space="preserve"> of </w:t>
      </w:r>
      <w:r w:rsidR="003A1917">
        <w:t xml:space="preserve">the </w:t>
      </w:r>
      <w:r w:rsidRPr="001A3D2B">
        <w:t>relationships among</w:t>
      </w:r>
      <w:r w:rsidR="003A1917">
        <w:t xml:space="preserve"> the </w:t>
      </w:r>
      <w:r w:rsidRPr="001A3D2B">
        <w:t>documents</w:t>
      </w:r>
      <w:r w:rsidR="005853A9">
        <w:t xml:space="preserve"> and </w:t>
      </w:r>
      <w:r w:rsidRPr="001A3D2B">
        <w:t xml:space="preserve">document </w:t>
      </w:r>
      <w:r w:rsidRPr="001A3D2B">
        <w:lastRenderedPageBreak/>
        <w:t>clusters</w:t>
      </w:r>
      <w:r w:rsidR="005853A9">
        <w:t xml:space="preserve"> and </w:t>
      </w:r>
      <w:r w:rsidRPr="001A3D2B">
        <w:t>also permitting derivation</w:t>
      </w:r>
      <w:r w:rsidR="00427468">
        <w:t xml:space="preserve"> of </w:t>
      </w:r>
      <w:r w:rsidRPr="001A3D2B">
        <w:t>summary data about each document cluster. Such information, when provided to subject matter experts performing a technology forecast, can yield insight into trends in</w:t>
      </w:r>
      <w:r w:rsidR="003A1917">
        <w:t xml:space="preserve"> the </w:t>
      </w:r>
      <w:r w:rsidRPr="001A3D2B">
        <w:t>technological field</w:t>
      </w:r>
      <w:r w:rsidR="00427468">
        <w:t xml:space="preserve"> of </w:t>
      </w:r>
      <w:r w:rsidRPr="001A3D2B">
        <w:t>interest. This paper discusses</w:t>
      </w:r>
      <w:r w:rsidR="003A1917">
        <w:t xml:space="preserve"> the </w:t>
      </w:r>
      <w:r w:rsidRPr="001A3D2B">
        <w:t>document visualization</w:t>
      </w:r>
      <w:r w:rsidR="005853A9">
        <w:t xml:space="preserve"> and </w:t>
      </w:r>
      <w:r w:rsidRPr="001A3D2B">
        <w:t>analysis process: acquisition</w:t>
      </w:r>
      <w:r w:rsidR="00427468">
        <w:t xml:space="preserve"> of </w:t>
      </w:r>
      <w:r w:rsidRPr="001A3D2B">
        <w:t>documents, mapping documents, clustering, exploration</w:t>
      </w:r>
      <w:r w:rsidR="00427468">
        <w:t xml:space="preserve"> of </w:t>
      </w:r>
      <w:r w:rsidRPr="001A3D2B">
        <w:t>relationships,</w:t>
      </w:r>
      <w:r w:rsidR="005853A9">
        <w:t xml:space="preserve"> and </w:t>
      </w:r>
      <w:r w:rsidRPr="001A3D2B">
        <w:t>generation</w:t>
      </w:r>
      <w:r w:rsidR="00427468">
        <w:t xml:space="preserve"> of </w:t>
      </w:r>
      <w:r w:rsidRPr="001A3D2B">
        <w:t>summary</w:t>
      </w:r>
      <w:r w:rsidR="005853A9">
        <w:t xml:space="preserve"> and </w:t>
      </w:r>
      <w:r w:rsidRPr="001A3D2B">
        <w:t>trend information. Detailed discussion</w:t>
      </w:r>
      <w:r w:rsidR="00427468">
        <w:t xml:space="preserve"> of </w:t>
      </w:r>
      <w:r w:rsidRPr="001A3D2B">
        <w:t>DIVA exploration functions is presented</w:t>
      </w:r>
      <w:r w:rsidR="005853A9">
        <w:t xml:space="preserve"> and </w:t>
      </w:r>
      <w:r w:rsidRPr="001A3D2B">
        <w:t>followed by an example</w:t>
      </w:r>
      <w:r w:rsidR="00427468">
        <w:t xml:space="preserve"> of </w:t>
      </w:r>
      <w:r w:rsidRPr="001A3D2B">
        <w:t>visualization</w:t>
      </w:r>
      <w:r w:rsidR="005853A9">
        <w:t xml:space="preserve"> and </w:t>
      </w:r>
      <w:r w:rsidRPr="001A3D2B">
        <w:t>analysis</w:t>
      </w:r>
      <w:r w:rsidR="00427468">
        <w:t xml:space="preserve"> of </w:t>
      </w:r>
      <w:r w:rsidRPr="001A3D2B">
        <w:t>a set</w:t>
      </w:r>
      <w:r w:rsidR="00427468">
        <w:t xml:space="preserve"> of </w:t>
      </w:r>
      <w:r w:rsidRPr="001A3D2B">
        <w:t>documents about chemical sensors. (C) 2002 Published by Elsevier Science Ltd.</w:t>
      </w:r>
    </w:p>
    <w:p w:rsidR="003474F2" w:rsidRPr="001A3D2B" w:rsidRDefault="003474F2" w:rsidP="003474F2">
      <w:pPr>
        <w:pStyle w:val="a3"/>
      </w:pPr>
      <w:r w:rsidRPr="001A3D2B">
        <w:t>Keywords: Analysis, Bibliometric, Bibliometric Analysis, Chemical, Cluster, Clustering, Data, Databases, Experts, Field, Forecast, Forecasting, Functions, Generation, Information, Literature, Mapping, Patents, Scientific Literature, Technology, Trend, Trends, Visualization</w:t>
      </w:r>
    </w:p>
    <w:p w:rsidR="008660E6" w:rsidRPr="00C73C58" w:rsidRDefault="008660E6" w:rsidP="008660E6">
      <w:pPr>
        <w:pStyle w:val="1"/>
      </w:pPr>
      <w:r w:rsidRPr="00C73C58">
        <w:br w:type="page"/>
      </w:r>
      <w:bookmarkStart w:id="382" w:name="_Toc420815098"/>
      <w:r w:rsidRPr="00C73C58">
        <w:lastRenderedPageBreak/>
        <w:t xml:space="preserve">Title: </w:t>
      </w:r>
      <w:r w:rsidRPr="008824E5">
        <w:rPr>
          <w:iCs w:val="0"/>
        </w:rPr>
        <w:t>Computers in Industry</w:t>
      </w:r>
      <w:bookmarkEnd w:id="382"/>
    </w:p>
    <w:p w:rsidR="008660E6" w:rsidRPr="00C73C58" w:rsidRDefault="008660E6" w:rsidP="008660E6">
      <w:pPr>
        <w:pStyle w:val="12"/>
      </w:pPr>
      <w:r w:rsidRPr="00C73C58">
        <w:t xml:space="preserve">Full Journal Title: </w:t>
      </w:r>
      <w:r w:rsidRPr="008824E5">
        <w:rPr>
          <w:iCs/>
          <w:kern w:val="0"/>
        </w:rPr>
        <w:t>Computers in Industry</w:t>
      </w:r>
    </w:p>
    <w:p w:rsidR="008660E6" w:rsidRPr="00C73C58" w:rsidRDefault="008660E6" w:rsidP="008660E6">
      <w:pPr>
        <w:pStyle w:val="12"/>
      </w:pPr>
      <w:r w:rsidRPr="00C73C58">
        <w:t xml:space="preserve">ISO Abbreviated Title: </w:t>
      </w:r>
    </w:p>
    <w:p w:rsidR="008660E6" w:rsidRPr="00C73C58" w:rsidRDefault="008660E6" w:rsidP="008660E6">
      <w:pPr>
        <w:pStyle w:val="12"/>
      </w:pPr>
      <w:r w:rsidRPr="00C73C58">
        <w:t xml:space="preserve">JCR Abbreviated Title: </w:t>
      </w:r>
    </w:p>
    <w:p w:rsidR="008660E6" w:rsidRPr="00C73C58" w:rsidRDefault="008660E6" w:rsidP="008660E6">
      <w:pPr>
        <w:pStyle w:val="12"/>
      </w:pPr>
      <w:r w:rsidRPr="00C73C58">
        <w:t xml:space="preserve">ISSN: </w:t>
      </w:r>
    </w:p>
    <w:p w:rsidR="008660E6" w:rsidRPr="00C73C58" w:rsidRDefault="008660E6" w:rsidP="008660E6">
      <w:pPr>
        <w:pStyle w:val="12"/>
      </w:pPr>
      <w:r w:rsidRPr="00C73C58">
        <w:t xml:space="preserve">Issues/Year: </w:t>
      </w:r>
    </w:p>
    <w:p w:rsidR="008660E6" w:rsidRPr="00C73C58" w:rsidRDefault="008660E6" w:rsidP="008660E6">
      <w:pPr>
        <w:pStyle w:val="12"/>
      </w:pPr>
      <w:r w:rsidRPr="00C73C58">
        <w:t xml:space="preserve">Journal Country/Territory: </w:t>
      </w:r>
    </w:p>
    <w:p w:rsidR="008660E6" w:rsidRPr="00C73C58" w:rsidRDefault="008660E6" w:rsidP="008660E6">
      <w:pPr>
        <w:pStyle w:val="12"/>
      </w:pPr>
      <w:r w:rsidRPr="00C73C58">
        <w:t xml:space="preserve">Language: </w:t>
      </w:r>
    </w:p>
    <w:p w:rsidR="008660E6" w:rsidRPr="00C73C58" w:rsidRDefault="008660E6" w:rsidP="008660E6">
      <w:pPr>
        <w:pStyle w:val="12"/>
      </w:pPr>
      <w:r w:rsidRPr="00C73C58">
        <w:t xml:space="preserve">Publisher: </w:t>
      </w:r>
    </w:p>
    <w:p w:rsidR="008660E6" w:rsidRPr="00C73C58" w:rsidRDefault="008660E6" w:rsidP="008660E6">
      <w:pPr>
        <w:pStyle w:val="12"/>
      </w:pPr>
      <w:r w:rsidRPr="00C73C58">
        <w:t xml:space="preserve">Publisher Address: </w:t>
      </w:r>
    </w:p>
    <w:p w:rsidR="008660E6" w:rsidRPr="00C73C58" w:rsidRDefault="008660E6" w:rsidP="008660E6">
      <w:pPr>
        <w:pStyle w:val="12"/>
      </w:pPr>
      <w:r w:rsidRPr="00C73C58">
        <w:t>Subject Categories:</w:t>
      </w:r>
    </w:p>
    <w:p w:rsidR="008660E6" w:rsidRPr="00C73C58" w:rsidRDefault="008660E6" w:rsidP="008660E6">
      <w:pPr>
        <w:pStyle w:val="12"/>
      </w:pPr>
      <w:r w:rsidRPr="00C73C58">
        <w:t xml:space="preserve">: Impact Factor </w:t>
      </w:r>
    </w:p>
    <w:p w:rsidR="008660E6" w:rsidRDefault="008660E6" w:rsidP="008660E6">
      <w:pPr>
        <w:pStyle w:val="a3"/>
        <w:rPr>
          <w:kern w:val="0"/>
        </w:rPr>
      </w:pPr>
      <w:r>
        <w:rPr>
          <w:rFonts w:hint="eastAsia"/>
          <w:kern w:val="0"/>
        </w:rPr>
        <w:t xml:space="preserve">? </w:t>
      </w:r>
      <w:r>
        <w:rPr>
          <w:kern w:val="0"/>
        </w:rPr>
        <w:t>Dereli, T., Baykasoglu, A., Altun, K., Durmusoglu, A.</w:t>
      </w:r>
      <w:r w:rsidR="005853A9">
        <w:rPr>
          <w:kern w:val="0"/>
        </w:rPr>
        <w:t xml:space="preserve"> and </w:t>
      </w:r>
      <w:r>
        <w:rPr>
          <w:kern w:val="0"/>
        </w:rPr>
        <w:t>Turksen, I.B. (2011), Industrial applications</w:t>
      </w:r>
      <w:r w:rsidR="00427468">
        <w:rPr>
          <w:kern w:val="0"/>
        </w:rPr>
        <w:t xml:space="preserve"> of </w:t>
      </w:r>
      <w:r>
        <w:rPr>
          <w:kern w:val="0"/>
        </w:rPr>
        <w:t xml:space="preserve">type-2 </w:t>
      </w:r>
      <w:r w:rsidR="00DA74ED">
        <w:rPr>
          <w:i/>
          <w:iCs/>
          <w:kern w:val="0"/>
        </w:rPr>
        <w:t>Fuzzy Sets</w:t>
      </w:r>
      <w:r w:rsidR="005853A9">
        <w:rPr>
          <w:i/>
          <w:iCs/>
          <w:kern w:val="0"/>
        </w:rPr>
        <w:t xml:space="preserve"> and </w:t>
      </w:r>
      <w:r w:rsidR="00DA74ED">
        <w:rPr>
          <w:i/>
          <w:iCs/>
          <w:kern w:val="0"/>
        </w:rPr>
        <w:t>Systems</w:t>
      </w:r>
      <w:r>
        <w:rPr>
          <w:kern w:val="0"/>
        </w:rPr>
        <w:t xml:space="preserve">: A concise review. </w:t>
      </w:r>
      <w:r w:rsidRPr="008824E5">
        <w:rPr>
          <w:i/>
          <w:iCs/>
          <w:kern w:val="0"/>
        </w:rPr>
        <w:t>Computers in Industry</w:t>
      </w:r>
      <w:r>
        <w:rPr>
          <w:kern w:val="0"/>
        </w:rPr>
        <w:t xml:space="preserve">, </w:t>
      </w:r>
      <w:r>
        <w:rPr>
          <w:b/>
          <w:bCs/>
          <w:kern w:val="0"/>
        </w:rPr>
        <w:t>62</w:t>
      </w:r>
      <w:r>
        <w:rPr>
          <w:kern w:val="0"/>
        </w:rPr>
        <w:t xml:space="preserve"> (2), 125-137.</w:t>
      </w:r>
    </w:p>
    <w:p w:rsidR="008660E6" w:rsidRDefault="008660E6" w:rsidP="008660E6">
      <w:pPr>
        <w:pStyle w:val="a3"/>
        <w:rPr>
          <w:kern w:val="0"/>
        </w:rPr>
      </w:pPr>
      <w:r>
        <w:rPr>
          <w:kern w:val="0"/>
        </w:rPr>
        <w:t>Abstract: Data, as being</w:t>
      </w:r>
      <w:r w:rsidR="003A1917">
        <w:rPr>
          <w:kern w:val="0"/>
        </w:rPr>
        <w:t xml:space="preserve"> the </w:t>
      </w:r>
      <w:r>
        <w:rPr>
          <w:kern w:val="0"/>
        </w:rPr>
        <w:t>vital input</w:t>
      </w:r>
      <w:r w:rsidR="00427468">
        <w:rPr>
          <w:kern w:val="0"/>
        </w:rPr>
        <w:t xml:space="preserve"> of </w:t>
      </w:r>
      <w:r>
        <w:rPr>
          <w:kern w:val="0"/>
        </w:rPr>
        <w:t>system modelling, contain dissimilar level</w:t>
      </w:r>
      <w:r w:rsidR="00427468">
        <w:rPr>
          <w:kern w:val="0"/>
        </w:rPr>
        <w:t xml:space="preserve"> of </w:t>
      </w:r>
      <w:r>
        <w:rPr>
          <w:kern w:val="0"/>
        </w:rPr>
        <w:t>imprecision that necessitates different modelling approaches for proper analysis</w:t>
      </w:r>
      <w:r w:rsidR="00427468">
        <w:rPr>
          <w:kern w:val="0"/>
        </w:rPr>
        <w:t xml:space="preserve"> of </w:t>
      </w:r>
      <w:r w:rsidR="003A1917">
        <w:rPr>
          <w:kern w:val="0"/>
        </w:rPr>
        <w:t xml:space="preserve">the </w:t>
      </w:r>
      <w:r>
        <w:rPr>
          <w:kern w:val="0"/>
        </w:rPr>
        <w:t>systems. Numbers, words</w:t>
      </w:r>
      <w:r w:rsidR="005853A9">
        <w:rPr>
          <w:kern w:val="0"/>
        </w:rPr>
        <w:t xml:space="preserve"> and </w:t>
      </w:r>
      <w:r>
        <w:rPr>
          <w:kern w:val="0"/>
        </w:rPr>
        <w:t>perceptions are</w:t>
      </w:r>
      <w:r w:rsidR="003A1917">
        <w:rPr>
          <w:kern w:val="0"/>
        </w:rPr>
        <w:t xml:space="preserve"> the </w:t>
      </w:r>
      <w:r>
        <w:rPr>
          <w:kern w:val="0"/>
        </w:rPr>
        <w:t>forms</w:t>
      </w:r>
      <w:r w:rsidR="00427468">
        <w:rPr>
          <w:kern w:val="0"/>
        </w:rPr>
        <w:t xml:space="preserve"> of </w:t>
      </w:r>
      <w:r>
        <w:rPr>
          <w:kern w:val="0"/>
        </w:rPr>
        <w:t>data that has varying levels</w:t>
      </w:r>
      <w:r w:rsidR="00427468">
        <w:rPr>
          <w:kern w:val="0"/>
        </w:rPr>
        <w:t xml:space="preserve"> of </w:t>
      </w:r>
      <w:r>
        <w:rPr>
          <w:kern w:val="0"/>
        </w:rPr>
        <w:t>imprecision. Existing approaches in</w:t>
      </w:r>
      <w:r w:rsidR="003A1917">
        <w:rPr>
          <w:kern w:val="0"/>
        </w:rPr>
        <w:t xml:space="preserve"> the </w:t>
      </w:r>
      <w:r>
        <w:rPr>
          <w:kern w:val="0"/>
        </w:rPr>
        <w:t>literature indicate that, computation</w:t>
      </w:r>
      <w:r w:rsidR="00427468">
        <w:rPr>
          <w:kern w:val="0"/>
        </w:rPr>
        <w:t xml:space="preserve"> of </w:t>
      </w:r>
      <w:r>
        <w:rPr>
          <w:kern w:val="0"/>
        </w:rPr>
        <w:t>different data forms are closely linked with</w:t>
      </w:r>
      <w:r w:rsidR="003A1917">
        <w:rPr>
          <w:kern w:val="0"/>
        </w:rPr>
        <w:t xml:space="preserve"> the </w:t>
      </w:r>
      <w:r>
        <w:rPr>
          <w:kern w:val="0"/>
        </w:rPr>
        <w:t>level</w:t>
      </w:r>
      <w:r w:rsidR="00427468">
        <w:rPr>
          <w:kern w:val="0"/>
        </w:rPr>
        <w:t xml:space="preserve"> of </w:t>
      </w:r>
      <w:r>
        <w:rPr>
          <w:kern w:val="0"/>
        </w:rPr>
        <w:t>imprecision, which</w:t>
      </w:r>
      <w:r w:rsidR="003A1917">
        <w:rPr>
          <w:kern w:val="0"/>
        </w:rPr>
        <w:t xml:space="preserve"> the </w:t>
      </w:r>
      <w:r>
        <w:rPr>
          <w:kern w:val="0"/>
        </w:rPr>
        <w:t>data already have. Traditional mathematical modelling techniques have been used to compute</w:t>
      </w:r>
      <w:r w:rsidR="003A1917">
        <w:rPr>
          <w:kern w:val="0"/>
        </w:rPr>
        <w:t xml:space="preserve"> the </w:t>
      </w:r>
      <w:r>
        <w:rPr>
          <w:kern w:val="0"/>
        </w:rPr>
        <w:t>numbers that have</w:t>
      </w:r>
      <w:r w:rsidR="003A1917">
        <w:rPr>
          <w:kern w:val="0"/>
        </w:rPr>
        <w:t xml:space="preserve"> the </w:t>
      </w:r>
      <w:r>
        <w:rPr>
          <w:kern w:val="0"/>
        </w:rPr>
        <w:t>least imprecision. Type-1 fuzzy sets have been used for words</w:t>
      </w:r>
      <w:r w:rsidR="005853A9">
        <w:rPr>
          <w:kern w:val="0"/>
        </w:rPr>
        <w:t xml:space="preserve"> and </w:t>
      </w:r>
      <w:r>
        <w:rPr>
          <w:kern w:val="0"/>
        </w:rPr>
        <w:t>type-2 fuzzy sets have been employed for perceptions where</w:t>
      </w:r>
      <w:r w:rsidR="003A1917">
        <w:rPr>
          <w:kern w:val="0"/>
        </w:rPr>
        <w:t xml:space="preserve"> the </w:t>
      </w:r>
      <w:r>
        <w:rPr>
          <w:kern w:val="0"/>
        </w:rPr>
        <w:t>level</w:t>
      </w:r>
      <w:r w:rsidR="00427468">
        <w:rPr>
          <w:kern w:val="0"/>
        </w:rPr>
        <w:t xml:space="preserve"> of </w:t>
      </w:r>
      <w:r>
        <w:rPr>
          <w:kern w:val="0"/>
        </w:rPr>
        <w:t>imprecision is relatively high. However, in many cases it has not been easy to decide whether a solution requires a traditional approach, i.e., type-1 fuzzy approach or type-2 fuzzy approach. It has been a difficult matter to decide what types</w:t>
      </w:r>
      <w:r w:rsidR="00427468">
        <w:rPr>
          <w:kern w:val="0"/>
        </w:rPr>
        <w:t xml:space="preserve"> of </w:t>
      </w:r>
      <w:r>
        <w:rPr>
          <w:kern w:val="0"/>
        </w:rPr>
        <w:t>problems really require modelling</w:t>
      </w:r>
      <w:r w:rsidR="005853A9">
        <w:rPr>
          <w:kern w:val="0"/>
        </w:rPr>
        <w:t xml:space="preserve"> and </w:t>
      </w:r>
      <w:r>
        <w:rPr>
          <w:kern w:val="0"/>
        </w:rPr>
        <w:t>solution either with type-1 or type-2 fuzzy approach. It is certain that, without properly distinguishing differences between</w:t>
      </w:r>
      <w:r w:rsidR="003A1917">
        <w:rPr>
          <w:kern w:val="0"/>
        </w:rPr>
        <w:t xml:space="preserve"> the </w:t>
      </w:r>
      <w:r>
        <w:rPr>
          <w:kern w:val="0"/>
        </w:rPr>
        <w:t>two approaches, application</w:t>
      </w:r>
      <w:r w:rsidR="00427468">
        <w:rPr>
          <w:kern w:val="0"/>
        </w:rPr>
        <w:t xml:space="preserve"> of </w:t>
      </w:r>
      <w:r>
        <w:rPr>
          <w:kern w:val="0"/>
        </w:rPr>
        <w:t>type-1</w:t>
      </w:r>
      <w:r w:rsidR="005853A9">
        <w:rPr>
          <w:kern w:val="0"/>
        </w:rPr>
        <w:t xml:space="preserve"> and </w:t>
      </w:r>
      <w:r>
        <w:rPr>
          <w:kern w:val="0"/>
        </w:rPr>
        <w:t xml:space="preserve">type-2 </w:t>
      </w:r>
      <w:r w:rsidR="00DA74ED">
        <w:rPr>
          <w:i/>
          <w:iCs/>
          <w:kern w:val="0"/>
        </w:rPr>
        <w:t>Fuzzy Sets</w:t>
      </w:r>
      <w:r w:rsidR="005853A9">
        <w:rPr>
          <w:i/>
          <w:iCs/>
          <w:kern w:val="0"/>
        </w:rPr>
        <w:t xml:space="preserve"> and </w:t>
      </w:r>
      <w:r w:rsidR="00DA74ED">
        <w:rPr>
          <w:i/>
          <w:iCs/>
          <w:kern w:val="0"/>
        </w:rPr>
        <w:t>Systems</w:t>
      </w:r>
      <w:r>
        <w:rPr>
          <w:kern w:val="0"/>
        </w:rPr>
        <w:t xml:space="preserve"> would probably fail to develop robust</w:t>
      </w:r>
      <w:r w:rsidR="005853A9">
        <w:rPr>
          <w:kern w:val="0"/>
        </w:rPr>
        <w:t xml:space="preserve"> and </w:t>
      </w:r>
      <w:r>
        <w:rPr>
          <w:kern w:val="0"/>
        </w:rPr>
        <w:t>reliable solutions for</w:t>
      </w:r>
      <w:r w:rsidR="003A1917">
        <w:rPr>
          <w:kern w:val="0"/>
        </w:rPr>
        <w:t xml:space="preserve"> the </w:t>
      </w:r>
      <w:r>
        <w:rPr>
          <w:kern w:val="0"/>
        </w:rPr>
        <w:t>problems</w:t>
      </w:r>
      <w:r w:rsidR="00427468">
        <w:rPr>
          <w:kern w:val="0"/>
        </w:rPr>
        <w:t xml:space="preserve"> of </w:t>
      </w:r>
      <w:r>
        <w:rPr>
          <w:kern w:val="0"/>
        </w:rPr>
        <w:t>industry. In this respect, a review</w:t>
      </w:r>
      <w:r w:rsidR="00427468">
        <w:rPr>
          <w:kern w:val="0"/>
        </w:rPr>
        <w:t xml:space="preserve"> of </w:t>
      </w:r>
      <w:r w:rsidR="003A1917">
        <w:rPr>
          <w:kern w:val="0"/>
        </w:rPr>
        <w:t xml:space="preserve">the </w:t>
      </w:r>
      <w:r>
        <w:rPr>
          <w:kern w:val="0"/>
        </w:rPr>
        <w:t>industrial applications</w:t>
      </w:r>
      <w:r w:rsidR="00427468">
        <w:rPr>
          <w:kern w:val="0"/>
        </w:rPr>
        <w:t xml:space="preserve"> of </w:t>
      </w:r>
      <w:r>
        <w:rPr>
          <w:kern w:val="0"/>
        </w:rPr>
        <w:t>type-2 fuzzy sets, which are relatively novel to model imprecision has been considered in this work</w:t>
      </w:r>
      <w:r w:rsidR="00A37C1D">
        <w:rPr>
          <w:kern w:val="0"/>
        </w:rPr>
        <w:t>. The</w:t>
      </w:r>
      <w:r w:rsidR="003A1917">
        <w:rPr>
          <w:kern w:val="0"/>
        </w:rPr>
        <w:t xml:space="preserve"> </w:t>
      </w:r>
      <w:r>
        <w:rPr>
          <w:kern w:val="0"/>
        </w:rPr>
        <w:t>fundamental focus</w:t>
      </w:r>
      <w:r w:rsidR="00427468">
        <w:rPr>
          <w:kern w:val="0"/>
        </w:rPr>
        <w:t xml:space="preserve"> of </w:t>
      </w:r>
      <w:r w:rsidR="003A1917">
        <w:rPr>
          <w:kern w:val="0"/>
        </w:rPr>
        <w:t xml:space="preserve">the </w:t>
      </w:r>
      <w:r>
        <w:rPr>
          <w:kern w:val="0"/>
        </w:rPr>
        <w:t>work has been based on</w:t>
      </w:r>
      <w:r w:rsidR="003A1917">
        <w:rPr>
          <w:kern w:val="0"/>
        </w:rPr>
        <w:t xml:space="preserve"> the </w:t>
      </w:r>
      <w:r>
        <w:rPr>
          <w:kern w:val="0"/>
        </w:rPr>
        <w:t>basic reasons</w:t>
      </w:r>
      <w:r w:rsidR="00427468">
        <w:rPr>
          <w:kern w:val="0"/>
        </w:rPr>
        <w:t xml:space="preserve"> of </w:t>
      </w:r>
      <w:r w:rsidR="003A1917">
        <w:rPr>
          <w:kern w:val="0"/>
        </w:rPr>
        <w:t xml:space="preserve">the </w:t>
      </w:r>
      <w:r>
        <w:rPr>
          <w:kern w:val="0"/>
        </w:rPr>
        <w:t>need for type-2 fuzzy sets for</w:t>
      </w:r>
      <w:r w:rsidR="003A1917">
        <w:rPr>
          <w:kern w:val="0"/>
        </w:rPr>
        <w:t xml:space="preserve"> the </w:t>
      </w:r>
      <w:r>
        <w:rPr>
          <w:kern w:val="0"/>
        </w:rPr>
        <w:t>existing studies. With this purpose in mind, type-2 fuzzy sets articles have been selected from</w:t>
      </w:r>
      <w:r w:rsidR="003A1917">
        <w:rPr>
          <w:kern w:val="0"/>
        </w:rPr>
        <w:t xml:space="preserve"> the </w:t>
      </w:r>
      <w:r>
        <w:rPr>
          <w:kern w:val="0"/>
        </w:rPr>
        <w:t>literature using</w:t>
      </w:r>
      <w:r w:rsidR="003A1917">
        <w:rPr>
          <w:kern w:val="0"/>
        </w:rPr>
        <w:t xml:space="preserve"> the </w:t>
      </w:r>
      <w:r>
        <w:rPr>
          <w:kern w:val="0"/>
        </w:rPr>
        <w:t>online databases</w:t>
      </w:r>
      <w:r w:rsidR="00427468">
        <w:rPr>
          <w:kern w:val="0"/>
        </w:rPr>
        <w:t xml:space="preserve"> of </w:t>
      </w:r>
      <w:r>
        <w:rPr>
          <w:kern w:val="0"/>
        </w:rPr>
        <w:t>ISI-</w:t>
      </w:r>
      <w:r w:rsidR="00D5664A">
        <w:rPr>
          <w:kern w:val="0"/>
        </w:rPr>
        <w:t>Web</w:t>
      </w:r>
      <w:r w:rsidR="00427468">
        <w:rPr>
          <w:kern w:val="0"/>
        </w:rPr>
        <w:t xml:space="preserve"> of </w:t>
      </w:r>
      <w:r w:rsidR="00D5664A">
        <w:rPr>
          <w:kern w:val="0"/>
        </w:rPr>
        <w:t>Science</w:t>
      </w:r>
      <w:r>
        <w:rPr>
          <w:kern w:val="0"/>
        </w:rPr>
        <w:t>, ScienceDirect, SpringerLink, Informaworld, Engineering Village, Emerald</w:t>
      </w:r>
      <w:r w:rsidR="005853A9">
        <w:rPr>
          <w:kern w:val="0"/>
        </w:rPr>
        <w:t xml:space="preserve"> and </w:t>
      </w:r>
      <w:r>
        <w:rPr>
          <w:kern w:val="0"/>
        </w:rPr>
        <w:t>IEEE Xplore. Both</w:t>
      </w:r>
      <w:r w:rsidR="003A1917">
        <w:rPr>
          <w:kern w:val="0"/>
        </w:rPr>
        <w:t xml:space="preserve"> the </w:t>
      </w:r>
      <w:r>
        <w:rPr>
          <w:kern w:val="0"/>
        </w:rPr>
        <w:t xml:space="preserve">terms </w:t>
      </w:r>
      <w:r w:rsidR="00B5188C">
        <w:rPr>
          <w:kern w:val="0"/>
        </w:rPr>
        <w:t>“</w:t>
      </w:r>
      <w:r>
        <w:rPr>
          <w:kern w:val="0"/>
        </w:rPr>
        <w:t>type-2 fuzzy</w:t>
      </w:r>
      <w:r w:rsidR="00B5188C">
        <w:rPr>
          <w:kern w:val="0"/>
        </w:rPr>
        <w:t>”</w:t>
      </w:r>
      <w:r w:rsidR="005853A9">
        <w:rPr>
          <w:kern w:val="0"/>
        </w:rPr>
        <w:t xml:space="preserve"> and </w:t>
      </w:r>
      <w:r w:rsidR="00B5188C">
        <w:rPr>
          <w:kern w:val="0"/>
        </w:rPr>
        <w:t>“</w:t>
      </w:r>
      <w:r>
        <w:rPr>
          <w:kern w:val="0"/>
        </w:rPr>
        <w:t>application</w:t>
      </w:r>
      <w:r w:rsidR="00B5188C">
        <w:rPr>
          <w:kern w:val="0"/>
        </w:rPr>
        <w:t>”</w:t>
      </w:r>
      <w:r>
        <w:rPr>
          <w:kern w:val="0"/>
        </w:rPr>
        <w:t xml:space="preserve"> </w:t>
      </w:r>
      <w:r>
        <w:rPr>
          <w:kern w:val="0"/>
        </w:rPr>
        <w:lastRenderedPageBreak/>
        <w:t>have been searched as</w:t>
      </w:r>
      <w:r w:rsidR="003A1917">
        <w:rPr>
          <w:kern w:val="0"/>
        </w:rPr>
        <w:t xml:space="preserve"> the </w:t>
      </w:r>
      <w:r>
        <w:rPr>
          <w:kern w:val="0"/>
        </w:rPr>
        <w:t>main keywords in</w:t>
      </w:r>
      <w:r w:rsidR="003A1917">
        <w:rPr>
          <w:kern w:val="0"/>
        </w:rPr>
        <w:t xml:space="preserve"> the </w:t>
      </w:r>
      <w:r>
        <w:rPr>
          <w:kern w:val="0"/>
        </w:rPr>
        <w:t>topics</w:t>
      </w:r>
      <w:r w:rsidR="00427468">
        <w:rPr>
          <w:kern w:val="0"/>
        </w:rPr>
        <w:t xml:space="preserve"> of </w:t>
      </w:r>
      <w:r w:rsidR="003A1917">
        <w:rPr>
          <w:kern w:val="0"/>
        </w:rPr>
        <w:t xml:space="preserve">the </w:t>
      </w:r>
      <w:r>
        <w:rPr>
          <w:kern w:val="0"/>
        </w:rPr>
        <w:t>studies to retrieve</w:t>
      </w:r>
      <w:r w:rsidR="003A1917">
        <w:rPr>
          <w:kern w:val="0"/>
        </w:rPr>
        <w:t xml:space="preserve"> the </w:t>
      </w:r>
      <w:r>
        <w:rPr>
          <w:kern w:val="0"/>
        </w:rPr>
        <w:t>relevant works</w:t>
      </w:r>
      <w:r w:rsidR="00A37C1D">
        <w:rPr>
          <w:kern w:val="0"/>
        </w:rPr>
        <w:t>. The</w:t>
      </w:r>
      <w:r w:rsidR="003A1917">
        <w:rPr>
          <w:kern w:val="0"/>
        </w:rPr>
        <w:t xml:space="preserve"> </w:t>
      </w:r>
      <w:r>
        <w:rPr>
          <w:kern w:val="0"/>
        </w:rPr>
        <w:t>analysis on</w:t>
      </w:r>
      <w:r w:rsidR="003A1917">
        <w:rPr>
          <w:kern w:val="0"/>
        </w:rPr>
        <w:t xml:space="preserve"> the </w:t>
      </w:r>
      <w:r>
        <w:rPr>
          <w:kern w:val="0"/>
        </w:rPr>
        <w:t>industrial applications</w:t>
      </w:r>
      <w:r w:rsidR="00427468">
        <w:rPr>
          <w:kern w:val="0"/>
        </w:rPr>
        <w:t xml:space="preserve"> of </w:t>
      </w:r>
      <w:r>
        <w:rPr>
          <w:kern w:val="0"/>
        </w:rPr>
        <w:t>type-2 fuzzy sets/systems (FSs) in different topics allowed us to summarize</w:t>
      </w:r>
      <w:r w:rsidR="003A1917">
        <w:rPr>
          <w:kern w:val="0"/>
        </w:rPr>
        <w:t xml:space="preserve"> the </w:t>
      </w:r>
      <w:r>
        <w:rPr>
          <w:kern w:val="0"/>
        </w:rPr>
        <w:t>existing research areas</w:t>
      </w:r>
      <w:r w:rsidR="005853A9">
        <w:rPr>
          <w:kern w:val="0"/>
        </w:rPr>
        <w:t xml:space="preserve"> and </w:t>
      </w:r>
      <w:r>
        <w:rPr>
          <w:kern w:val="0"/>
        </w:rPr>
        <w:t>therefore it is expected be useful to prioritize future research topics. This review shows that there are still many opportunities for application</w:t>
      </w:r>
      <w:r w:rsidR="00427468">
        <w:rPr>
          <w:kern w:val="0"/>
        </w:rPr>
        <w:t xml:space="preserve"> of </w:t>
      </w:r>
      <w:r>
        <w:rPr>
          <w:kern w:val="0"/>
        </w:rPr>
        <w:t>type-2 FSs for several different problem domains. Shortcomings</w:t>
      </w:r>
      <w:r w:rsidR="00427468">
        <w:rPr>
          <w:kern w:val="0"/>
        </w:rPr>
        <w:t xml:space="preserve"> of </w:t>
      </w:r>
      <w:r>
        <w:rPr>
          <w:kern w:val="0"/>
        </w:rPr>
        <w:t>type-1 FSs can also be considered as an opportunity for</w:t>
      </w:r>
      <w:r w:rsidR="003A1917">
        <w:rPr>
          <w:kern w:val="0"/>
        </w:rPr>
        <w:t xml:space="preserve"> the </w:t>
      </w:r>
      <w:r>
        <w:rPr>
          <w:kern w:val="0"/>
        </w:rPr>
        <w:t>application</w:t>
      </w:r>
      <w:r w:rsidR="00427468">
        <w:rPr>
          <w:kern w:val="0"/>
        </w:rPr>
        <w:t xml:space="preserve"> of </w:t>
      </w:r>
      <w:r>
        <w:rPr>
          <w:kern w:val="0"/>
        </w:rPr>
        <w:t>type-2 FSs in order to provide a better solution approach for industrial problems. (C) 2010 Elsevier B.V. All rights reserved.</w:t>
      </w:r>
    </w:p>
    <w:p w:rsidR="008660E6" w:rsidRDefault="008660E6" w:rsidP="008660E6">
      <w:pPr>
        <w:pStyle w:val="a3"/>
        <w:rPr>
          <w:kern w:val="0"/>
        </w:rPr>
      </w:pPr>
      <w:r>
        <w:rPr>
          <w:kern w:val="0"/>
        </w:rPr>
        <w:t xml:space="preserve">Keywords: Analysis, Autonomous Mobile Robots, Controller, Databases, Engineering Design, Fractal Theory, </w:t>
      </w:r>
      <w:r w:rsidR="00DA74ED">
        <w:rPr>
          <w:i/>
          <w:iCs/>
          <w:kern w:val="0"/>
        </w:rPr>
        <w:t>Fuzzy Sets</w:t>
      </w:r>
      <w:r w:rsidR="005853A9">
        <w:rPr>
          <w:i/>
          <w:iCs/>
          <w:kern w:val="0"/>
        </w:rPr>
        <w:t xml:space="preserve"> and </w:t>
      </w:r>
      <w:r w:rsidR="00DA74ED">
        <w:rPr>
          <w:i/>
          <w:iCs/>
          <w:kern w:val="0"/>
        </w:rPr>
        <w:t>Systems</w:t>
      </w:r>
      <w:r>
        <w:rPr>
          <w:kern w:val="0"/>
        </w:rPr>
        <w:t xml:space="preserve">, Hybrid Approach, Industrial Applications, Industry, Literature, Logic Systems, Mathematical Modelling, Medical Diagnosis, Model, Neural-Networks, Perceptions, Recognition, Research, Research Topics, Review, Science, Temperature, Topics, Traditional, Type 1, Type 2, Type-2 </w:t>
      </w:r>
      <w:r w:rsidR="00DA74ED">
        <w:rPr>
          <w:i/>
          <w:iCs/>
          <w:kern w:val="0"/>
        </w:rPr>
        <w:t>Fuzzy Sets</w:t>
      </w:r>
      <w:r w:rsidR="005853A9">
        <w:rPr>
          <w:i/>
          <w:iCs/>
          <w:kern w:val="0"/>
        </w:rPr>
        <w:t xml:space="preserve"> and </w:t>
      </w:r>
      <w:r w:rsidR="00DA74ED">
        <w:rPr>
          <w:i/>
          <w:iCs/>
          <w:kern w:val="0"/>
        </w:rPr>
        <w:t>Systems</w:t>
      </w:r>
    </w:p>
    <w:p w:rsidR="00997C84" w:rsidRPr="001A3D2B" w:rsidRDefault="00997C84" w:rsidP="00997C84">
      <w:pPr>
        <w:pStyle w:val="1"/>
      </w:pPr>
      <w:r w:rsidRPr="001A3D2B">
        <w:br w:type="page"/>
      </w:r>
      <w:bookmarkStart w:id="383" w:name="_Toc420815099"/>
      <w:r w:rsidRPr="001A3D2B">
        <w:lastRenderedPageBreak/>
        <w:t xml:space="preserve">Title: </w:t>
      </w:r>
      <w:r w:rsidRPr="001A3D2B">
        <w:rPr>
          <w:szCs w:val="24"/>
        </w:rPr>
        <w:t>CIN-Computers Informatics Nursing</w:t>
      </w:r>
      <w:bookmarkEnd w:id="383"/>
    </w:p>
    <w:p w:rsidR="00997C84" w:rsidRPr="001A3D2B" w:rsidRDefault="00997C84" w:rsidP="00997C84">
      <w:pPr>
        <w:pStyle w:val="12"/>
      </w:pPr>
      <w:r w:rsidRPr="001A3D2B">
        <w:t xml:space="preserve">Full Journal Title: </w:t>
      </w:r>
      <w:hyperlink r:id="rId988" w:history="1">
        <w:r w:rsidRPr="001A3D2B">
          <w:rPr>
            <w:rStyle w:val="a5"/>
            <w:kern w:val="0"/>
          </w:rPr>
          <w:t>CIN-Computers Informatics Nursing</w:t>
        </w:r>
      </w:hyperlink>
    </w:p>
    <w:p w:rsidR="00997C84" w:rsidRPr="001A3D2B" w:rsidRDefault="00997C84" w:rsidP="00997C84">
      <w:pPr>
        <w:pStyle w:val="12"/>
      </w:pPr>
      <w:r w:rsidRPr="001A3D2B">
        <w:t xml:space="preserve">ISO Abbreviated Title: </w:t>
      </w:r>
    </w:p>
    <w:p w:rsidR="00997C84" w:rsidRPr="001A3D2B" w:rsidRDefault="00997C84" w:rsidP="00997C84">
      <w:pPr>
        <w:pStyle w:val="12"/>
      </w:pPr>
      <w:r w:rsidRPr="001A3D2B">
        <w:t xml:space="preserve">JCR Abbreviated Title: </w:t>
      </w:r>
    </w:p>
    <w:p w:rsidR="00997C84" w:rsidRPr="001A3D2B" w:rsidRDefault="00997C84" w:rsidP="00997C84">
      <w:pPr>
        <w:pStyle w:val="12"/>
      </w:pPr>
      <w:r w:rsidRPr="001A3D2B">
        <w:t xml:space="preserve">ISSN: </w:t>
      </w:r>
    </w:p>
    <w:p w:rsidR="00997C84" w:rsidRPr="001A3D2B" w:rsidRDefault="00997C84" w:rsidP="00997C84">
      <w:pPr>
        <w:pStyle w:val="12"/>
      </w:pPr>
      <w:r w:rsidRPr="001A3D2B">
        <w:t xml:space="preserve">Issues/Year: </w:t>
      </w:r>
    </w:p>
    <w:p w:rsidR="00997C84" w:rsidRPr="001A3D2B" w:rsidRDefault="00AA25A4" w:rsidP="00997C84">
      <w:pPr>
        <w:pStyle w:val="12"/>
      </w:pPr>
      <w:r w:rsidRPr="001A3D2B">
        <w:t>Journal Country/Territory:</w:t>
      </w:r>
      <w:r w:rsidR="008F46E9" w:rsidRPr="001A3D2B">
        <w:t xml:space="preserve"> </w:t>
      </w:r>
    </w:p>
    <w:p w:rsidR="00997C84" w:rsidRPr="001A3D2B" w:rsidRDefault="00997C84" w:rsidP="00997C84">
      <w:pPr>
        <w:pStyle w:val="12"/>
      </w:pPr>
      <w:r w:rsidRPr="001A3D2B">
        <w:t xml:space="preserve">Language: </w:t>
      </w:r>
    </w:p>
    <w:p w:rsidR="00997C84" w:rsidRPr="001A3D2B" w:rsidRDefault="00997C84" w:rsidP="00997C84">
      <w:pPr>
        <w:pStyle w:val="12"/>
      </w:pPr>
      <w:r w:rsidRPr="001A3D2B">
        <w:t xml:space="preserve">Publisher: </w:t>
      </w:r>
    </w:p>
    <w:p w:rsidR="00997C84" w:rsidRPr="001A3D2B" w:rsidRDefault="00997C84" w:rsidP="00997C84">
      <w:pPr>
        <w:pStyle w:val="12"/>
      </w:pPr>
      <w:r w:rsidRPr="001A3D2B">
        <w:t xml:space="preserve">Publisher Address: </w:t>
      </w:r>
    </w:p>
    <w:p w:rsidR="00997C84" w:rsidRPr="001A3D2B" w:rsidRDefault="00997C84" w:rsidP="00997C84">
      <w:pPr>
        <w:pStyle w:val="12"/>
      </w:pPr>
      <w:r w:rsidRPr="001A3D2B">
        <w:t xml:space="preserve">Subject Categories: </w:t>
      </w:r>
    </w:p>
    <w:p w:rsidR="00997C84" w:rsidRPr="001A3D2B" w:rsidRDefault="00997C84" w:rsidP="00997C84">
      <w:pPr>
        <w:pStyle w:val="12"/>
      </w:pPr>
      <w:r w:rsidRPr="001A3D2B">
        <w:t xml:space="preserve">: Impact Factor </w:t>
      </w:r>
    </w:p>
    <w:p w:rsidR="00997C84" w:rsidRPr="001A3D2B" w:rsidRDefault="00997C84" w:rsidP="00997C84">
      <w:pPr>
        <w:pStyle w:val="a3"/>
        <w:rPr>
          <w:kern w:val="0"/>
          <w:szCs w:val="24"/>
        </w:rPr>
      </w:pPr>
      <w:r w:rsidRPr="001A3D2B">
        <w:rPr>
          <w:kern w:val="0"/>
          <w:szCs w:val="24"/>
        </w:rPr>
        <w:t>? Anderson, C.A., Keenan, G.</w:t>
      </w:r>
      <w:r w:rsidR="005853A9">
        <w:rPr>
          <w:kern w:val="0"/>
          <w:szCs w:val="24"/>
        </w:rPr>
        <w:t xml:space="preserve"> and </w:t>
      </w:r>
      <w:r w:rsidRPr="001A3D2B">
        <w:rPr>
          <w:kern w:val="0"/>
          <w:szCs w:val="24"/>
        </w:rPr>
        <w:t>Jones, J. (2009), Using bibliometrics to support your selection</w:t>
      </w:r>
      <w:r w:rsidR="00427468">
        <w:rPr>
          <w:kern w:val="0"/>
          <w:szCs w:val="24"/>
        </w:rPr>
        <w:t xml:space="preserve"> of </w:t>
      </w:r>
      <w:r w:rsidRPr="001A3D2B">
        <w:rPr>
          <w:kern w:val="0"/>
          <w:szCs w:val="24"/>
        </w:rPr>
        <w:t xml:space="preserve">a nursing terminology set. </w:t>
      </w:r>
      <w:r w:rsidRPr="001A3D2B">
        <w:rPr>
          <w:i/>
          <w:iCs/>
          <w:kern w:val="0"/>
          <w:szCs w:val="24"/>
        </w:rPr>
        <w:t>CIN-Computers Informatics Nursing</w:t>
      </w:r>
      <w:r w:rsidRPr="001A3D2B">
        <w:rPr>
          <w:kern w:val="0"/>
          <w:szCs w:val="24"/>
        </w:rPr>
        <w:t xml:space="preserve">, </w:t>
      </w:r>
      <w:r w:rsidRPr="001A3D2B">
        <w:rPr>
          <w:b/>
          <w:bCs/>
          <w:kern w:val="0"/>
          <w:szCs w:val="24"/>
        </w:rPr>
        <w:t>27</w:t>
      </w:r>
      <w:r w:rsidRPr="001A3D2B">
        <w:rPr>
          <w:kern w:val="0"/>
          <w:szCs w:val="24"/>
        </w:rPr>
        <w:t xml:space="preserve"> (2), 82-90.</w:t>
      </w:r>
    </w:p>
    <w:p w:rsidR="00997C84" w:rsidRPr="001A3D2B" w:rsidRDefault="00997C84" w:rsidP="00997C84">
      <w:pPr>
        <w:pStyle w:val="a3"/>
        <w:rPr>
          <w:kern w:val="0"/>
          <w:szCs w:val="24"/>
        </w:rPr>
      </w:pPr>
      <w:r w:rsidRPr="001A3D2B">
        <w:rPr>
          <w:kern w:val="0"/>
          <w:szCs w:val="24"/>
        </w:rPr>
        <w:t xml:space="preserve">Full Text: </w:t>
      </w:r>
      <w:hyperlink r:id="rId989" w:history="1">
        <w:r w:rsidRPr="001A3D2B">
          <w:rPr>
            <w:rStyle w:val="a5"/>
            <w:kern w:val="0"/>
            <w:szCs w:val="24"/>
          </w:rPr>
          <w:t>2009\CIN-Com Inf Nur27, 82.pdf</w:t>
        </w:r>
      </w:hyperlink>
    </w:p>
    <w:p w:rsidR="00997C84" w:rsidRPr="001A3D2B" w:rsidRDefault="00997C84" w:rsidP="00997C84">
      <w:pPr>
        <w:pStyle w:val="a3"/>
        <w:rPr>
          <w:kern w:val="0"/>
          <w:szCs w:val="24"/>
        </w:rPr>
      </w:pPr>
      <w:r w:rsidRPr="001A3D2B">
        <w:rPr>
          <w:kern w:val="0"/>
          <w:szCs w:val="24"/>
        </w:rPr>
        <w:t>Abstract: Nurses are being pressured to integrate standardized nursing terminology into</w:t>
      </w:r>
      <w:r w:rsidR="003A1917">
        <w:rPr>
          <w:kern w:val="0"/>
          <w:szCs w:val="24"/>
        </w:rPr>
        <w:t xml:space="preserve"> the </w:t>
      </w:r>
      <w:r w:rsidRPr="001A3D2B">
        <w:rPr>
          <w:kern w:val="0"/>
          <w:szCs w:val="24"/>
        </w:rPr>
        <w:t>electronic health record to enable</w:t>
      </w:r>
      <w:r w:rsidR="003A1917">
        <w:rPr>
          <w:kern w:val="0"/>
          <w:szCs w:val="24"/>
        </w:rPr>
        <w:t xml:space="preserve"> the </w:t>
      </w:r>
      <w:r w:rsidRPr="001A3D2B">
        <w:rPr>
          <w:kern w:val="0"/>
          <w:szCs w:val="24"/>
        </w:rPr>
        <w:t>representation</w:t>
      </w:r>
      <w:r w:rsidR="005853A9">
        <w:rPr>
          <w:kern w:val="0"/>
          <w:szCs w:val="24"/>
        </w:rPr>
        <w:t xml:space="preserve"> and </w:t>
      </w:r>
      <w:r w:rsidRPr="001A3D2B">
        <w:rPr>
          <w:kern w:val="0"/>
          <w:szCs w:val="24"/>
        </w:rPr>
        <w:t>evaluation</w:t>
      </w:r>
      <w:r w:rsidR="00427468">
        <w:rPr>
          <w:kern w:val="0"/>
          <w:szCs w:val="24"/>
        </w:rPr>
        <w:t xml:space="preserve"> of </w:t>
      </w:r>
      <w:r w:rsidRPr="001A3D2B">
        <w:rPr>
          <w:kern w:val="0"/>
          <w:szCs w:val="24"/>
        </w:rPr>
        <w:t>nursing practice. Five terminology sets are recognized by</w:t>
      </w:r>
      <w:r w:rsidR="003A1917">
        <w:rPr>
          <w:kern w:val="0"/>
          <w:szCs w:val="24"/>
        </w:rPr>
        <w:t xml:space="preserve"> the </w:t>
      </w:r>
      <w:r w:rsidRPr="001A3D2B">
        <w:rPr>
          <w:kern w:val="0"/>
          <w:szCs w:val="24"/>
        </w:rPr>
        <w:t>American Nurses Association that contain terms to represent nursing diagnoses, outcomes,</w:t>
      </w:r>
      <w:r w:rsidR="005853A9">
        <w:rPr>
          <w:kern w:val="0"/>
          <w:szCs w:val="24"/>
        </w:rPr>
        <w:t xml:space="preserve"> and </w:t>
      </w:r>
      <w:r w:rsidRPr="001A3D2B">
        <w:rPr>
          <w:kern w:val="0"/>
          <w:szCs w:val="24"/>
        </w:rPr>
        <w:t>intervention: CCC, ICNP, NANDA/NOC/NIC, Omaha System,</w:t>
      </w:r>
      <w:r w:rsidR="005853A9">
        <w:rPr>
          <w:kern w:val="0"/>
          <w:szCs w:val="24"/>
        </w:rPr>
        <w:t xml:space="preserve"> and </w:t>
      </w:r>
      <w:r w:rsidRPr="001A3D2B">
        <w:rPr>
          <w:kern w:val="0"/>
          <w:szCs w:val="24"/>
        </w:rPr>
        <w:t>PNDS. Key criteria for choosing</w:t>
      </w:r>
      <w:r w:rsidR="003A1917">
        <w:rPr>
          <w:kern w:val="0"/>
          <w:szCs w:val="24"/>
        </w:rPr>
        <w:t xml:space="preserve"> the </w:t>
      </w:r>
      <w:r w:rsidRPr="001A3D2B">
        <w:rPr>
          <w:kern w:val="0"/>
          <w:szCs w:val="24"/>
        </w:rPr>
        <w:t>most suitable include demonstrated use</w:t>
      </w:r>
      <w:r w:rsidR="005853A9">
        <w:rPr>
          <w:kern w:val="0"/>
          <w:szCs w:val="24"/>
        </w:rPr>
        <w:t xml:space="preserve"> and </w:t>
      </w:r>
      <w:r w:rsidRPr="001A3D2B">
        <w:rPr>
          <w:kern w:val="0"/>
          <w:szCs w:val="24"/>
        </w:rPr>
        <w:t>testing under real-time clinical conditions, scope</w:t>
      </w:r>
      <w:r w:rsidR="00427468">
        <w:rPr>
          <w:kern w:val="0"/>
          <w:szCs w:val="24"/>
        </w:rPr>
        <w:t xml:space="preserve"> of </w:t>
      </w:r>
      <w:r w:rsidRPr="001A3D2B">
        <w:rPr>
          <w:kern w:val="0"/>
          <w:szCs w:val="24"/>
        </w:rPr>
        <w:t>terms, cost,</w:t>
      </w:r>
      <w:r w:rsidR="005853A9">
        <w:rPr>
          <w:kern w:val="0"/>
          <w:szCs w:val="24"/>
        </w:rPr>
        <w:t xml:space="preserve"> and </w:t>
      </w:r>
      <w:r w:rsidR="003A1917">
        <w:rPr>
          <w:kern w:val="0"/>
          <w:szCs w:val="24"/>
        </w:rPr>
        <w:t xml:space="preserve">the </w:t>
      </w:r>
      <w:r w:rsidRPr="001A3D2B">
        <w:rPr>
          <w:kern w:val="0"/>
          <w:szCs w:val="24"/>
        </w:rPr>
        <w:t>administrative infrastructure to sustain</w:t>
      </w:r>
      <w:r w:rsidR="005853A9">
        <w:rPr>
          <w:kern w:val="0"/>
          <w:szCs w:val="24"/>
        </w:rPr>
        <w:t xml:space="preserve"> and </w:t>
      </w:r>
      <w:r w:rsidRPr="001A3D2B">
        <w:rPr>
          <w:kern w:val="0"/>
          <w:szCs w:val="24"/>
        </w:rPr>
        <w:t>evolve</w:t>
      </w:r>
      <w:r w:rsidR="003A1917">
        <w:rPr>
          <w:kern w:val="0"/>
          <w:szCs w:val="24"/>
        </w:rPr>
        <w:t xml:space="preserve"> the </w:t>
      </w:r>
      <w:r w:rsidRPr="001A3D2B">
        <w:rPr>
          <w:kern w:val="0"/>
          <w:szCs w:val="24"/>
        </w:rPr>
        <w:t>terminology. Likelihood</w:t>
      </w:r>
      <w:r w:rsidR="00427468">
        <w:rPr>
          <w:kern w:val="0"/>
          <w:szCs w:val="24"/>
        </w:rPr>
        <w:t xml:space="preserve"> of </w:t>
      </w:r>
      <w:r w:rsidRPr="001A3D2B">
        <w:rPr>
          <w:kern w:val="0"/>
          <w:szCs w:val="24"/>
        </w:rPr>
        <w:t>survival is also critical</w:t>
      </w:r>
      <w:r w:rsidR="005853A9">
        <w:rPr>
          <w:kern w:val="0"/>
          <w:szCs w:val="24"/>
        </w:rPr>
        <w:t xml:space="preserve"> and </w:t>
      </w:r>
      <w:r w:rsidRPr="001A3D2B">
        <w:rPr>
          <w:kern w:val="0"/>
          <w:szCs w:val="24"/>
        </w:rPr>
        <w:t>was evaluated here by examining</w:t>
      </w:r>
      <w:r w:rsidR="003A1917">
        <w:rPr>
          <w:kern w:val="0"/>
          <w:szCs w:val="24"/>
        </w:rPr>
        <w:t xml:space="preserve"> the </w:t>
      </w:r>
      <w:r w:rsidRPr="001A3D2B">
        <w:rPr>
          <w:kern w:val="0"/>
          <w:szCs w:val="24"/>
        </w:rPr>
        <w:t>diffusion pattern</w:t>
      </w:r>
      <w:r w:rsidR="00427468">
        <w:rPr>
          <w:kern w:val="0"/>
          <w:szCs w:val="24"/>
        </w:rPr>
        <w:t xml:space="preserve"> of </w:t>
      </w:r>
      <w:r w:rsidRPr="001A3D2B">
        <w:rPr>
          <w:kern w:val="0"/>
          <w:szCs w:val="24"/>
        </w:rPr>
        <w:t>each terminology set through bibliometric analysis. Each</w:t>
      </w:r>
      <w:r w:rsidR="00427468">
        <w:rPr>
          <w:kern w:val="0"/>
          <w:szCs w:val="24"/>
        </w:rPr>
        <w:t xml:space="preserve"> of </w:t>
      </w:r>
      <w:r w:rsidR="003A1917">
        <w:rPr>
          <w:kern w:val="0"/>
          <w:szCs w:val="24"/>
        </w:rPr>
        <w:t xml:space="preserve">the </w:t>
      </w:r>
      <w:r w:rsidRPr="001A3D2B">
        <w:rPr>
          <w:kern w:val="0"/>
          <w:szCs w:val="24"/>
        </w:rPr>
        <w:t>five sets had a unique diffusion pattern, with NANDA/NOC/NIC demonstrating</w:t>
      </w:r>
      <w:r w:rsidR="003A1917">
        <w:rPr>
          <w:kern w:val="0"/>
          <w:szCs w:val="24"/>
        </w:rPr>
        <w:t xml:space="preserve"> the </w:t>
      </w:r>
      <w:r w:rsidRPr="001A3D2B">
        <w:rPr>
          <w:kern w:val="0"/>
          <w:szCs w:val="24"/>
        </w:rPr>
        <w:t>most extensive penetration</w:t>
      </w:r>
      <w:r w:rsidR="005853A9">
        <w:rPr>
          <w:kern w:val="0"/>
          <w:szCs w:val="24"/>
        </w:rPr>
        <w:t xml:space="preserve"> and </w:t>
      </w:r>
      <w:r w:rsidRPr="001A3D2B">
        <w:rPr>
          <w:kern w:val="0"/>
          <w:szCs w:val="24"/>
        </w:rPr>
        <w:t>author network in</w:t>
      </w:r>
      <w:r w:rsidR="003A1917">
        <w:rPr>
          <w:kern w:val="0"/>
          <w:szCs w:val="24"/>
        </w:rPr>
        <w:t xml:space="preserve"> the </w:t>
      </w:r>
      <w:r w:rsidRPr="001A3D2B">
        <w:rPr>
          <w:kern w:val="0"/>
          <w:szCs w:val="24"/>
        </w:rPr>
        <w:t>CINAHL literature examined from 1982 to 2006.</w:t>
      </w:r>
    </w:p>
    <w:p w:rsidR="00997C84" w:rsidRPr="001A3D2B" w:rsidRDefault="00997C84" w:rsidP="00997C84">
      <w:pPr>
        <w:pStyle w:val="a3"/>
        <w:rPr>
          <w:kern w:val="0"/>
          <w:szCs w:val="24"/>
        </w:rPr>
      </w:pPr>
      <w:r w:rsidRPr="001A3D2B">
        <w:rPr>
          <w:kern w:val="0"/>
          <w:szCs w:val="24"/>
        </w:rPr>
        <w:t>Keywords: American, Analysis, Author, Bibliometric, Bibliometric Analysis, Bibliometrics, Citations, Clinical, Cost, Criteria, Diffusion, Diffusion</w:t>
      </w:r>
      <w:r w:rsidR="00427468">
        <w:rPr>
          <w:kern w:val="0"/>
          <w:szCs w:val="24"/>
        </w:rPr>
        <w:t xml:space="preserve"> of </w:t>
      </w:r>
      <w:r w:rsidRPr="001A3D2B">
        <w:rPr>
          <w:kern w:val="0"/>
          <w:szCs w:val="24"/>
        </w:rPr>
        <w:t>Innovations, Epistemic Origins, Evaluation, Health, Impact Factor, Infrastructure, Intervention, Literature, Mapping Knowledge Domains, Network, Networks, Nursing, Outcomes, Pattern, Penetration, PNAS, Practice, Real Time, Record, Representation, Scope, Standardized Terminology, Survival, Terminology, Testing, US</w:t>
      </w:r>
    </w:p>
    <w:p w:rsidR="003474F2" w:rsidRPr="001A3D2B" w:rsidRDefault="003474F2" w:rsidP="003474F2">
      <w:pPr>
        <w:pStyle w:val="1"/>
      </w:pPr>
      <w:r w:rsidRPr="001A3D2B">
        <w:br w:type="page"/>
      </w:r>
      <w:bookmarkStart w:id="384" w:name="_Toc420815100"/>
      <w:r w:rsidRPr="001A3D2B">
        <w:lastRenderedPageBreak/>
        <w:t>Title: Computer Networks</w:t>
      </w:r>
      <w:bookmarkEnd w:id="384"/>
    </w:p>
    <w:p w:rsidR="003474F2" w:rsidRPr="001A3D2B" w:rsidRDefault="003474F2" w:rsidP="003474F2">
      <w:pPr>
        <w:pStyle w:val="12"/>
      </w:pPr>
      <w:r w:rsidRPr="001A3D2B">
        <w:t>Full Journal Title: Computer Networks</w:t>
      </w:r>
    </w:p>
    <w:p w:rsidR="003474F2" w:rsidRPr="001A3D2B" w:rsidRDefault="003474F2" w:rsidP="003474F2">
      <w:pPr>
        <w:pStyle w:val="12"/>
      </w:pPr>
      <w:r w:rsidRPr="001A3D2B">
        <w:t>ISO Abbreviated</w:t>
      </w:r>
      <w:bookmarkStart w:id="385" w:name="_Toc81215683"/>
      <w:r w:rsidRPr="001A3D2B">
        <w:t xml:space="preserve"> Title: </w:t>
      </w:r>
    </w:p>
    <w:p w:rsidR="003474F2" w:rsidRPr="001A3D2B" w:rsidRDefault="003474F2" w:rsidP="003474F2">
      <w:pPr>
        <w:pStyle w:val="12"/>
      </w:pPr>
      <w:r w:rsidRPr="001A3D2B">
        <w:t>JCR Abbreviated</w:t>
      </w:r>
      <w:bookmarkEnd w:id="385"/>
      <w:r w:rsidRPr="001A3D2B">
        <w:t xml:space="preserve">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MModel</w:t>
      </w:r>
    </w:p>
    <w:p w:rsidR="003474F2" w:rsidRPr="001A3D2B" w:rsidRDefault="003474F2" w:rsidP="003474F2">
      <w:pPr>
        <w:pStyle w:val="a3"/>
      </w:pPr>
      <w:r w:rsidRPr="001A3D2B">
        <w:t>Levene, M., Fenner, T., Loizou, G.</w:t>
      </w:r>
      <w:r w:rsidR="005853A9">
        <w:t xml:space="preserve"> and </w:t>
      </w:r>
      <w:r w:rsidRPr="001A3D2B">
        <w:t>Wheeldon, R. (2002), A stochastic model for</w:t>
      </w:r>
      <w:r w:rsidR="003A1917">
        <w:t xml:space="preserve"> the </w:t>
      </w:r>
      <w:r w:rsidRPr="001A3D2B">
        <w:t>evolution</w:t>
      </w:r>
      <w:r w:rsidR="00427468">
        <w:t xml:space="preserve"> of </w:t>
      </w:r>
      <w:r w:rsidR="003A1917">
        <w:t xml:space="preserve">the </w:t>
      </w:r>
      <w:r w:rsidRPr="001A3D2B">
        <w:t xml:space="preserve">Web. </w:t>
      </w:r>
      <w:r w:rsidRPr="001A3D2B">
        <w:rPr>
          <w:i/>
          <w:iCs/>
        </w:rPr>
        <w:t>Computer Networks</w:t>
      </w:r>
      <w:r w:rsidRPr="001A3D2B">
        <w:t xml:space="preserve">, </w:t>
      </w:r>
      <w:r w:rsidRPr="001A3D2B">
        <w:rPr>
          <w:b/>
        </w:rPr>
        <w:t>39</w:t>
      </w:r>
      <w:r w:rsidRPr="001A3D2B">
        <w:t xml:space="preserve"> (3), 277-287.</w:t>
      </w:r>
    </w:p>
    <w:p w:rsidR="003474F2" w:rsidRPr="001A3D2B" w:rsidRDefault="003474F2" w:rsidP="003474F2">
      <w:pPr>
        <w:pStyle w:val="a3"/>
      </w:pPr>
      <w:r w:rsidRPr="001A3D2B">
        <w:t xml:space="preserve">Full Text: </w:t>
      </w:r>
      <w:hyperlink r:id="rId990" w:history="1">
        <w:r w:rsidRPr="001A3D2B">
          <w:rPr>
            <w:rStyle w:val="a5"/>
          </w:rPr>
          <w:t>2002\Com Net39, 277.pdf</w:t>
        </w:r>
      </w:hyperlink>
    </w:p>
    <w:p w:rsidR="003474F2" w:rsidRPr="001A3D2B" w:rsidRDefault="003474F2" w:rsidP="003474F2">
      <w:pPr>
        <w:pStyle w:val="a3"/>
      </w:pPr>
      <w:r w:rsidRPr="001A3D2B">
        <w:t>Abstract: Recently several authors have proposed stochastic models</w:t>
      </w:r>
      <w:r w:rsidR="00427468">
        <w:t xml:space="preserve"> of </w:t>
      </w:r>
      <w:r w:rsidR="003A1917">
        <w:t xml:space="preserve">the </w:t>
      </w:r>
      <w:r w:rsidRPr="001A3D2B">
        <w:t>growth</w:t>
      </w:r>
      <w:r w:rsidR="00427468">
        <w:t xml:space="preserve"> of </w:t>
      </w:r>
      <w:r w:rsidR="003A1917">
        <w:t xml:space="preserve">the </w:t>
      </w:r>
      <w:r w:rsidRPr="001A3D2B">
        <w:t>Web graph that give rise to power-law distributions</w:t>
      </w:r>
      <w:r w:rsidR="00A37C1D">
        <w:t>. The</w:t>
      </w:r>
      <w:r w:rsidRPr="001A3D2B">
        <w:t>se models are based on</w:t>
      </w:r>
      <w:r w:rsidR="003A1917">
        <w:t xml:space="preserve"> the </w:t>
      </w:r>
      <w:r w:rsidRPr="001A3D2B">
        <w:t>notion</w:t>
      </w:r>
      <w:r w:rsidR="00427468">
        <w:t xml:space="preserve"> of </w:t>
      </w:r>
      <w:r w:rsidRPr="001A3D2B">
        <w:t>preferential attachment leading to</w:t>
      </w:r>
      <w:r w:rsidR="003A1917">
        <w:t xml:space="preserve"> the </w:t>
      </w:r>
      <w:r w:rsidR="0071223E">
        <w:t>‘</w:t>
      </w:r>
      <w:r w:rsidRPr="001A3D2B">
        <w:t>rich get richer</w:t>
      </w:r>
      <w:r w:rsidR="0071223E">
        <w:t>’</w:t>
      </w:r>
      <w:r w:rsidRPr="001A3D2B">
        <w:t xml:space="preserve"> phenomenon. However, these models fail to explain several distributions arising from empirical results, due to</w:t>
      </w:r>
      <w:r w:rsidR="003A1917">
        <w:t xml:space="preserve"> the </w:t>
      </w:r>
      <w:r w:rsidRPr="001A3D2B">
        <w:t>fact that</w:t>
      </w:r>
      <w:r w:rsidR="003A1917">
        <w:t xml:space="preserve"> the </w:t>
      </w:r>
      <w:r w:rsidRPr="001A3D2B">
        <w:t>predicted exponent is not consistent with</w:t>
      </w:r>
      <w:r w:rsidR="003A1917">
        <w:t xml:space="preserve"> the </w:t>
      </w:r>
      <w:r w:rsidRPr="001A3D2B">
        <w:t>data. To address this problem, we extend</w:t>
      </w:r>
      <w:r w:rsidR="003A1917">
        <w:t xml:space="preserve"> the </w:t>
      </w:r>
      <w:r w:rsidRPr="001A3D2B">
        <w:t>evolutionary model</w:t>
      </w:r>
      <w:r w:rsidR="00427468">
        <w:t xml:space="preserve"> of </w:t>
      </w:r>
      <w:r w:rsidR="003A1917">
        <w:t xml:space="preserve">the </w:t>
      </w:r>
      <w:r w:rsidRPr="001A3D2B">
        <w:t>Web graph by including a non-preferential component,</w:t>
      </w:r>
      <w:r w:rsidR="005853A9">
        <w:t xml:space="preserve"> and </w:t>
      </w:r>
      <w:r w:rsidRPr="001A3D2B">
        <w:t>we view</w:t>
      </w:r>
      <w:r w:rsidR="003A1917">
        <w:t xml:space="preserve"> the </w:t>
      </w:r>
      <w:r w:rsidRPr="001A3D2B">
        <w:t>stochastic process in terms</w:t>
      </w:r>
      <w:r w:rsidR="00427468">
        <w:t xml:space="preserve"> of </w:t>
      </w:r>
      <w:r w:rsidRPr="001A3D2B">
        <w:t>an urn transfer model. By making this extension, we can now explain a wider variety</w:t>
      </w:r>
      <w:r w:rsidR="00427468">
        <w:t xml:space="preserve"> of </w:t>
      </w:r>
      <w:r w:rsidRPr="001A3D2B">
        <w:t>empirically discovered power-law distributions provided</w:t>
      </w:r>
      <w:r w:rsidR="003A1917">
        <w:t xml:space="preserve"> the </w:t>
      </w:r>
      <w:r w:rsidRPr="001A3D2B">
        <w:t>exponent is greater than two</w:t>
      </w:r>
      <w:r w:rsidR="00A37C1D">
        <w:t>. The</w:t>
      </w:r>
      <w:r w:rsidRPr="001A3D2B">
        <w:t>se include:</w:t>
      </w:r>
      <w:r w:rsidR="003A1917">
        <w:t xml:space="preserve"> the </w:t>
      </w:r>
      <w:r w:rsidRPr="001A3D2B">
        <w:t>distribution</w:t>
      </w:r>
      <w:r w:rsidR="00427468">
        <w:t xml:space="preserve"> of </w:t>
      </w:r>
      <w:r w:rsidRPr="001A3D2B">
        <w:t>incoming links,</w:t>
      </w:r>
      <w:r w:rsidR="003A1917">
        <w:t xml:space="preserve"> the </w:t>
      </w:r>
      <w:r w:rsidRPr="001A3D2B">
        <w:t>distribution</w:t>
      </w:r>
      <w:r w:rsidR="00427468">
        <w:t xml:space="preserve"> of </w:t>
      </w:r>
      <w:r w:rsidRPr="001A3D2B">
        <w:t>outgoing links,</w:t>
      </w:r>
      <w:r w:rsidR="003A1917">
        <w:t xml:space="preserve"> the </w:t>
      </w:r>
      <w:r w:rsidRPr="001A3D2B">
        <w:t>distribution</w:t>
      </w:r>
      <w:r w:rsidR="00427468">
        <w:t xml:space="preserve"> of </w:t>
      </w:r>
      <w:r w:rsidRPr="001A3D2B">
        <w:t>pages in a Web site</w:t>
      </w:r>
      <w:r w:rsidR="005853A9">
        <w:t xml:space="preserve"> and </w:t>
      </w:r>
      <w:r w:rsidR="003A1917">
        <w:t xml:space="preserve">the </w:t>
      </w:r>
      <w:r w:rsidRPr="001A3D2B">
        <w:t>distribution</w:t>
      </w:r>
      <w:r w:rsidR="00427468">
        <w:t xml:space="preserve"> of </w:t>
      </w:r>
      <w:r w:rsidRPr="001A3D2B">
        <w:t>visitors to a Web site. A by-product</w:t>
      </w:r>
      <w:r w:rsidR="00427468">
        <w:t xml:space="preserve"> of </w:t>
      </w:r>
      <w:r w:rsidRPr="001A3D2B">
        <w:t>our results is a formal proof</w:t>
      </w:r>
      <w:r w:rsidR="00427468">
        <w:t xml:space="preserve"> of </w:t>
      </w:r>
      <w:r w:rsidR="003A1917">
        <w:t xml:space="preserve">the </w:t>
      </w:r>
      <w:r w:rsidRPr="001A3D2B">
        <w:t>convergence</w:t>
      </w:r>
      <w:r w:rsidR="00427468">
        <w:t xml:space="preserve"> of </w:t>
      </w:r>
      <w:r w:rsidR="003A1917">
        <w:t xml:space="preserve">the </w:t>
      </w:r>
      <w:r w:rsidRPr="001A3D2B">
        <w:t>standard stochastic model (first proposed by Simon).</w:t>
      </w:r>
    </w:p>
    <w:p w:rsidR="003474F2" w:rsidRPr="001A3D2B" w:rsidRDefault="003474F2" w:rsidP="003474F2">
      <w:pPr>
        <w:pStyle w:val="a3"/>
      </w:pPr>
      <w:r w:rsidRPr="001A3D2B">
        <w:t>Keywords: Lotka</w:t>
      </w:r>
      <w:r w:rsidR="0071223E">
        <w:t>’</w:t>
      </w:r>
      <w:r w:rsidR="00C13DDC">
        <w:t>s</w:t>
      </w:r>
      <w:r w:rsidRPr="001A3D2B">
        <w:t xml:space="preserve"> Law, Scale-Free Distribution</w:t>
      </w:r>
    </w:p>
    <w:p w:rsidR="003474F2" w:rsidRPr="001A3D2B" w:rsidRDefault="003474F2" w:rsidP="003474F2">
      <w:pPr>
        <w:pStyle w:val="1"/>
      </w:pPr>
      <w:r w:rsidRPr="001A3D2B">
        <w:br w:type="page"/>
      </w:r>
      <w:bookmarkStart w:id="386" w:name="_Toc420815101"/>
      <w:r w:rsidRPr="001A3D2B">
        <w:lastRenderedPageBreak/>
        <w:t>Title: Computers &amp; Structures</w:t>
      </w:r>
      <w:bookmarkEnd w:id="386"/>
    </w:p>
    <w:p w:rsidR="003474F2" w:rsidRPr="001A3D2B" w:rsidRDefault="003474F2" w:rsidP="003474F2">
      <w:pPr>
        <w:pStyle w:val="12"/>
      </w:pPr>
      <w:r w:rsidRPr="001A3D2B">
        <w:t xml:space="preserve">Full Journal Title: </w:t>
      </w:r>
      <w:r w:rsidR="00DF61FE">
        <w:fldChar w:fldCharType="begin"/>
      </w:r>
      <w:r w:rsidR="00FD158B">
        <w:instrText>HYPERLINK "http://www.scien</w:instrText>
      </w:r>
      <w:bookmarkStart w:id="387" w:name="_Toc43634561"/>
      <w:bookmarkStart w:id="388" w:name="_Toc81215684"/>
      <w:r w:rsidR="00FD158B">
        <w:instrText>cedirect.com/science?_ob=Jour</w:instrText>
      </w:r>
      <w:bookmarkEnd w:id="387"/>
      <w:bookmarkEnd w:id="388"/>
      <w:r w:rsidR="00FD158B">
        <w:instrText>nalURL&amp;_cdi=5696&amp;_auth=y&amp;_acct=C000011279&amp;_version=1&amp;_urlVersion=0&amp;_userid=1134284&amp;md5=7ff4173b3ec83ab6085485fac7889881"</w:instrText>
      </w:r>
      <w:r w:rsidR="00DF61FE">
        <w:fldChar w:fldCharType="separate"/>
      </w:r>
      <w:r w:rsidRPr="001A3D2B">
        <w:rPr>
          <w:rStyle w:val="a5"/>
        </w:rPr>
        <w:t>Computers &amp; Structures</w:t>
      </w:r>
      <w:r w:rsidR="00DF61FE">
        <w:fldChar w:fldCharType="end"/>
      </w:r>
    </w:p>
    <w:p w:rsidR="003474F2" w:rsidRPr="001A3D2B" w:rsidRDefault="003474F2" w:rsidP="003474F2">
      <w:pPr>
        <w:pStyle w:val="12"/>
      </w:pPr>
      <w:r w:rsidRPr="001A3D2B">
        <w:t>ISO Abbreviated Title: Comput. Struct.</w:t>
      </w:r>
    </w:p>
    <w:p w:rsidR="003474F2" w:rsidRPr="001A3D2B" w:rsidRDefault="003474F2" w:rsidP="003474F2">
      <w:pPr>
        <w:pStyle w:val="12"/>
      </w:pPr>
      <w:r w:rsidRPr="001A3D2B">
        <w:t>JCR Abbreviated Title: Comput Struct</w:t>
      </w:r>
    </w:p>
    <w:p w:rsidR="003474F2" w:rsidRPr="001A3D2B" w:rsidRDefault="003474F2" w:rsidP="003474F2">
      <w:pPr>
        <w:pStyle w:val="12"/>
      </w:pPr>
      <w:r w:rsidRPr="001A3D2B">
        <w:t>ISSN: 0045-7949</w:t>
      </w:r>
    </w:p>
    <w:p w:rsidR="003474F2" w:rsidRPr="001A3D2B" w:rsidRDefault="003474F2" w:rsidP="003474F2">
      <w:pPr>
        <w:pStyle w:val="12"/>
      </w:pPr>
      <w:r w:rsidRPr="001A3D2B">
        <w:t>Issues/Year: 32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Pergamon-Elsevier Science Ltd</w:t>
      </w:r>
    </w:p>
    <w:p w:rsidR="003474F2" w:rsidRPr="001A3D2B" w:rsidRDefault="003474F2" w:rsidP="003474F2">
      <w:pPr>
        <w:pStyle w:val="12"/>
      </w:pPr>
      <w:r w:rsidRPr="001A3D2B">
        <w:t>Publisher Address:</w:t>
      </w:r>
      <w:r w:rsidR="003A1917">
        <w:t xml:space="preserve"> the </w:t>
      </w:r>
      <w:r w:rsidRPr="001A3D2B">
        <w:t>Boulevard, Langford Lane, Kidlington, Oxford OX5 1GB, England</w:t>
      </w:r>
    </w:p>
    <w:p w:rsidR="003474F2" w:rsidRPr="001A3D2B" w:rsidRDefault="003474F2" w:rsidP="003474F2">
      <w:pPr>
        <w:pStyle w:val="12"/>
      </w:pPr>
      <w:r w:rsidRPr="001A3D2B">
        <w:t>Subject Categories:</w:t>
      </w:r>
    </w:p>
    <w:p w:rsidR="003474F2" w:rsidRPr="001A3D2B" w:rsidRDefault="003474F2" w:rsidP="003474F2">
      <w:pPr>
        <w:pStyle w:val="12"/>
      </w:pPr>
      <w:r w:rsidRPr="001A3D2B">
        <w:t>Computer Science, Interdisciplinary Applications: Impact Factor 0.418,/(2002)</w:t>
      </w:r>
    </w:p>
    <w:p w:rsidR="003474F2" w:rsidRPr="001A3D2B" w:rsidRDefault="003474F2" w:rsidP="003474F2">
      <w:pPr>
        <w:pStyle w:val="12"/>
      </w:pPr>
      <w:r w:rsidRPr="001A3D2B">
        <w:t>Engineering, Civil: Impact Factor 0.418,/(2002)</w:t>
      </w:r>
    </w:p>
    <w:p w:rsidR="003474F2" w:rsidRPr="001A3D2B" w:rsidRDefault="003474F2" w:rsidP="003474F2">
      <w:pPr>
        <w:pStyle w:val="a3"/>
      </w:pPr>
      <w:r w:rsidRPr="001A3D2B">
        <w:t xml:space="preserve">Mackerle, J. (1997), Some remarks on progress with finite elements. </w:t>
      </w:r>
      <w:r w:rsidRPr="001A3D2B">
        <w:rPr>
          <w:i/>
          <w:iCs/>
        </w:rPr>
        <w:t>Computers &amp; Structures</w:t>
      </w:r>
      <w:r w:rsidRPr="001A3D2B">
        <w:t xml:space="preserve">, </w:t>
      </w:r>
      <w:r w:rsidRPr="001A3D2B">
        <w:rPr>
          <w:b/>
        </w:rPr>
        <w:t>55</w:t>
      </w:r>
      <w:r w:rsidRPr="001A3D2B">
        <w:t xml:space="preserve"> (6), 1101-1106.</w:t>
      </w:r>
    </w:p>
    <w:p w:rsidR="003474F2" w:rsidRPr="001A3D2B" w:rsidRDefault="003474F2" w:rsidP="003474F2">
      <w:pPr>
        <w:pStyle w:val="a3"/>
      </w:pPr>
      <w:r w:rsidRPr="001A3D2B">
        <w:t xml:space="preserve">Full Text: </w:t>
      </w:r>
      <w:hyperlink r:id="rId991" w:history="1">
        <w:r w:rsidRPr="001A3D2B">
          <w:rPr>
            <w:rStyle w:val="a5"/>
          </w:rPr>
          <w:t>1997\Com Str55, 1101.pdf</w:t>
        </w:r>
      </w:hyperlink>
    </w:p>
    <w:p w:rsidR="003474F2" w:rsidRPr="001A3D2B" w:rsidRDefault="003474F2" w:rsidP="003474F2">
      <w:pPr>
        <w:pStyle w:val="a3"/>
      </w:pPr>
      <w:r w:rsidRPr="001A3D2B">
        <w:t>Abstract: Information is</w:t>
      </w:r>
      <w:r w:rsidR="003A1917">
        <w:t xml:space="preserve"> the </w:t>
      </w:r>
      <w:r w:rsidRPr="001A3D2B">
        <w:t>most valuable but least valued tool that professionals have</w:t>
      </w:r>
      <w:r w:rsidR="00A37C1D">
        <w:t>. The</w:t>
      </w:r>
      <w:r w:rsidR="003A1917">
        <w:t xml:space="preserve"> </w:t>
      </w:r>
      <w:r w:rsidRPr="001A3D2B">
        <w:t>amount</w:t>
      </w:r>
      <w:r w:rsidR="00427468">
        <w:t xml:space="preserve"> of </w:t>
      </w:r>
      <w:r w:rsidRPr="001A3D2B">
        <w:t>data in science</w:t>
      </w:r>
      <w:r w:rsidR="005853A9">
        <w:t xml:space="preserve"> and </w:t>
      </w:r>
      <w:r w:rsidRPr="001A3D2B">
        <w:t>technology grows so rapidly that broad-coverage compilations cannot be maintained but concentrate on</w:t>
      </w:r>
      <w:r w:rsidR="003A1917">
        <w:t xml:space="preserve"> the </w:t>
      </w:r>
      <w:r w:rsidRPr="001A3D2B">
        <w:t>coverage</w:t>
      </w:r>
      <w:r w:rsidR="00427468">
        <w:t xml:space="preserve"> of </w:t>
      </w:r>
      <w:r w:rsidRPr="001A3D2B">
        <w:t>specialized topics</w:t>
      </w:r>
      <w:r w:rsidR="00A37C1D">
        <w:t>. The</w:t>
      </w:r>
      <w:r w:rsidR="003A1917">
        <w:t xml:space="preserve"> </w:t>
      </w:r>
      <w:r w:rsidRPr="001A3D2B">
        <w:t>volume</w:t>
      </w:r>
      <w:r w:rsidR="00427468">
        <w:t xml:space="preserve"> of </w:t>
      </w:r>
      <w:r w:rsidRPr="001A3D2B">
        <w:t>finite element literature in</w:t>
      </w:r>
      <w:r w:rsidR="003A1917">
        <w:t xml:space="preserve"> the </w:t>
      </w:r>
      <w:r w:rsidRPr="001A3D2B">
        <w:t>form</w:t>
      </w:r>
      <w:r w:rsidR="00427468">
        <w:t xml:space="preserve"> of </w:t>
      </w:r>
      <w:r w:rsidRPr="001A3D2B">
        <w:t>books, conference proceedings</w:t>
      </w:r>
      <w:r w:rsidR="005853A9">
        <w:t xml:space="preserve"> and </w:t>
      </w:r>
      <w:r w:rsidRPr="001A3D2B">
        <w:t>journal papers, as well as a number</w:t>
      </w:r>
      <w:r w:rsidR="00427468">
        <w:t xml:space="preserve"> of </w:t>
      </w:r>
      <w:r w:rsidRPr="001A3D2B">
        <w:t>developed finite element codes, has been growing at a prodigious rate. It is almost impossible to be up to date with all</w:t>
      </w:r>
      <w:r w:rsidR="003A1917">
        <w:t xml:space="preserve"> the </w:t>
      </w:r>
      <w:r w:rsidRPr="001A3D2B">
        <w:t>relevant information. A bibliometric study is presented;</w:t>
      </w:r>
      <w:r w:rsidR="003A1917">
        <w:t xml:space="preserve"> the </w:t>
      </w:r>
      <w:r w:rsidRPr="001A3D2B">
        <w:t>author takes</w:t>
      </w:r>
      <w:r w:rsidR="003A1917">
        <w:t xml:space="preserve"> the </w:t>
      </w:r>
      <w:r w:rsidRPr="001A3D2B">
        <w:t>number</w:t>
      </w:r>
      <w:r w:rsidR="00427468">
        <w:t xml:space="preserve"> of </w:t>
      </w:r>
      <w:r w:rsidRPr="001A3D2B">
        <w:t>published papers on finite elements as a measure</w:t>
      </w:r>
      <w:r w:rsidR="00427468">
        <w:t xml:space="preserve"> of </w:t>
      </w:r>
      <w:r w:rsidR="003A1917">
        <w:t xml:space="preserve">the </w:t>
      </w:r>
      <w:r w:rsidRPr="001A3D2B">
        <w:t>research activity in</w:t>
      </w:r>
      <w:r w:rsidR="003A1917">
        <w:t xml:space="preserve"> the </w:t>
      </w:r>
      <w:r w:rsidRPr="001A3D2B">
        <w:t>field</w:t>
      </w:r>
      <w:r w:rsidR="00427468">
        <w:t xml:space="preserve"> of </w:t>
      </w:r>
      <w:r w:rsidRPr="001A3D2B">
        <w:t>finite element techniques</w:t>
      </w:r>
      <w:r w:rsidR="005853A9">
        <w:t xml:space="preserve"> and </w:t>
      </w:r>
      <w:r w:rsidRPr="001A3D2B">
        <w:t>investigates some engineering fields/topics where these techniques have been/are used.</w:t>
      </w:r>
    </w:p>
    <w:p w:rsidR="003474F2" w:rsidRPr="001A3D2B" w:rsidRDefault="003474F2" w:rsidP="003474F2">
      <w:pPr>
        <w:pStyle w:val="a3"/>
      </w:pPr>
      <w:r w:rsidRPr="001A3D2B">
        <w:t>Keywords: Bibliometric, Bibliometric Study, Concentrate, Coverage, Data, Engineering, Field, Finite Element, Finite Elements, Information, Journal, Literature, Papers, Research, Science, Science</w:t>
      </w:r>
      <w:r w:rsidR="005853A9">
        <w:t xml:space="preserve"> and </w:t>
      </w:r>
      <w:r w:rsidRPr="001A3D2B">
        <w:t>Technology, Techniques, Technology, Volume</w:t>
      </w:r>
    </w:p>
    <w:p w:rsidR="005533F5" w:rsidRPr="001A3D2B" w:rsidRDefault="005533F5" w:rsidP="005533F5">
      <w:pPr>
        <w:pStyle w:val="1"/>
      </w:pPr>
      <w:r w:rsidRPr="001A3D2B">
        <w:br w:type="page"/>
      </w:r>
      <w:bookmarkStart w:id="389" w:name="_Toc420815102"/>
      <w:r w:rsidRPr="001A3D2B">
        <w:lastRenderedPageBreak/>
        <w:t xml:space="preserve">Title: </w:t>
      </w:r>
      <w:r>
        <w:rPr>
          <w:iCs w:val="0"/>
        </w:rPr>
        <w:t>Comunicació</w:t>
      </w:r>
      <w:r w:rsidRPr="005963F7">
        <w:t>n y Sociedad</w:t>
      </w:r>
      <w:bookmarkEnd w:id="389"/>
    </w:p>
    <w:p w:rsidR="005533F5" w:rsidRPr="001A3D2B" w:rsidRDefault="005533F5" w:rsidP="005533F5">
      <w:pPr>
        <w:pStyle w:val="12"/>
      </w:pPr>
      <w:r w:rsidRPr="001A3D2B">
        <w:t xml:space="preserve">Full Journal Title: </w:t>
      </w:r>
      <w:r w:rsidRPr="005963F7">
        <w:rPr>
          <w:iCs/>
          <w:kern w:val="0"/>
        </w:rPr>
        <w:t>Comunicacion y Sociedad</w:t>
      </w:r>
    </w:p>
    <w:p w:rsidR="005533F5" w:rsidRPr="001A3D2B" w:rsidRDefault="005533F5" w:rsidP="005533F5">
      <w:pPr>
        <w:pStyle w:val="12"/>
      </w:pPr>
      <w:r w:rsidRPr="001A3D2B">
        <w:t xml:space="preserve">ISO Abbreviated Title: </w:t>
      </w:r>
    </w:p>
    <w:p w:rsidR="005533F5" w:rsidRPr="001A3D2B" w:rsidRDefault="005533F5" w:rsidP="005533F5">
      <w:pPr>
        <w:pStyle w:val="12"/>
      </w:pPr>
      <w:r w:rsidRPr="001A3D2B">
        <w:t xml:space="preserve">JCR Abbreviated Title: </w:t>
      </w:r>
    </w:p>
    <w:p w:rsidR="005533F5" w:rsidRPr="001A3D2B" w:rsidRDefault="005533F5" w:rsidP="005533F5">
      <w:pPr>
        <w:pStyle w:val="12"/>
      </w:pPr>
      <w:r w:rsidRPr="001A3D2B">
        <w:t xml:space="preserve">ISSN: </w:t>
      </w:r>
      <w:r w:rsidRPr="005963F7">
        <w:t>0214-0039</w:t>
      </w:r>
    </w:p>
    <w:p w:rsidR="005533F5" w:rsidRPr="001A3D2B" w:rsidRDefault="005533F5" w:rsidP="005533F5">
      <w:pPr>
        <w:pStyle w:val="12"/>
      </w:pPr>
      <w:r w:rsidRPr="001A3D2B">
        <w:t xml:space="preserve">Issues/Year: </w:t>
      </w:r>
    </w:p>
    <w:p w:rsidR="005533F5" w:rsidRPr="001A3D2B" w:rsidRDefault="005533F5" w:rsidP="005533F5">
      <w:pPr>
        <w:pStyle w:val="12"/>
      </w:pPr>
      <w:r w:rsidRPr="001A3D2B">
        <w:t xml:space="preserve">Journal Country/Territory: </w:t>
      </w:r>
    </w:p>
    <w:p w:rsidR="005533F5" w:rsidRPr="001A3D2B" w:rsidRDefault="005533F5" w:rsidP="005533F5">
      <w:pPr>
        <w:pStyle w:val="12"/>
      </w:pPr>
      <w:r w:rsidRPr="001A3D2B">
        <w:t xml:space="preserve">Language: </w:t>
      </w:r>
    </w:p>
    <w:p w:rsidR="005533F5" w:rsidRPr="001A3D2B" w:rsidRDefault="005533F5" w:rsidP="005533F5">
      <w:pPr>
        <w:pStyle w:val="12"/>
      </w:pPr>
      <w:r w:rsidRPr="001A3D2B">
        <w:t xml:space="preserve">Publisher: </w:t>
      </w:r>
    </w:p>
    <w:p w:rsidR="005533F5" w:rsidRPr="001A3D2B" w:rsidRDefault="005533F5" w:rsidP="005533F5">
      <w:pPr>
        <w:pStyle w:val="12"/>
      </w:pPr>
      <w:r w:rsidRPr="001A3D2B">
        <w:t xml:space="preserve">Publisher Address: </w:t>
      </w:r>
    </w:p>
    <w:p w:rsidR="005533F5" w:rsidRPr="001A3D2B" w:rsidRDefault="005533F5" w:rsidP="005533F5">
      <w:pPr>
        <w:pStyle w:val="12"/>
      </w:pPr>
      <w:r w:rsidRPr="001A3D2B">
        <w:t xml:space="preserve">Subject Categories: </w:t>
      </w:r>
    </w:p>
    <w:p w:rsidR="005533F5" w:rsidRPr="001A3D2B" w:rsidRDefault="005533F5" w:rsidP="005533F5">
      <w:pPr>
        <w:pStyle w:val="12"/>
      </w:pPr>
      <w:r w:rsidRPr="001A3D2B">
        <w:t>: Impact Factor</w:t>
      </w:r>
    </w:p>
    <w:p w:rsidR="00170662" w:rsidRDefault="00170662" w:rsidP="005533F5">
      <w:pPr>
        <w:pStyle w:val="a3"/>
        <w:rPr>
          <w:kern w:val="0"/>
        </w:rPr>
      </w:pPr>
      <w:r>
        <w:rPr>
          <w:rFonts w:hint="eastAsia"/>
          <w:kern w:val="0"/>
        </w:rPr>
        <w:t>Notes: CCountry</w:t>
      </w:r>
    </w:p>
    <w:p w:rsidR="005533F5" w:rsidRDefault="005533F5" w:rsidP="005533F5">
      <w:pPr>
        <w:pStyle w:val="a3"/>
        <w:rPr>
          <w:kern w:val="0"/>
        </w:rPr>
      </w:pPr>
      <w:r>
        <w:rPr>
          <w:rFonts w:hint="eastAsia"/>
          <w:kern w:val="0"/>
        </w:rPr>
        <w:t xml:space="preserve">? </w:t>
      </w:r>
      <w:r>
        <w:rPr>
          <w:kern w:val="0"/>
        </w:rPr>
        <w:t>Castillo, A.</w:t>
      </w:r>
      <w:r w:rsidR="005853A9">
        <w:rPr>
          <w:kern w:val="0"/>
        </w:rPr>
        <w:t xml:space="preserve"> and </w:t>
      </w:r>
      <w:r>
        <w:rPr>
          <w:kern w:val="0"/>
        </w:rPr>
        <w:t>Carreton, M.C. (2010), Research in communication. Bibliometric study in journals</w:t>
      </w:r>
      <w:r w:rsidR="00427468">
        <w:rPr>
          <w:kern w:val="0"/>
        </w:rPr>
        <w:t xml:space="preserve"> of </w:t>
      </w:r>
      <w:r>
        <w:rPr>
          <w:kern w:val="0"/>
        </w:rPr>
        <w:t xml:space="preserve">communication in Spain. </w:t>
      </w:r>
      <w:r>
        <w:rPr>
          <w:i/>
          <w:iCs/>
          <w:kern w:val="0"/>
        </w:rPr>
        <w:t>Comunicació</w:t>
      </w:r>
      <w:r w:rsidRPr="005963F7">
        <w:rPr>
          <w:i/>
          <w:iCs/>
          <w:kern w:val="0"/>
        </w:rPr>
        <w:t>n y Sociedad</w:t>
      </w:r>
      <w:r>
        <w:rPr>
          <w:kern w:val="0"/>
        </w:rPr>
        <w:t xml:space="preserve">, </w:t>
      </w:r>
      <w:r>
        <w:rPr>
          <w:b/>
          <w:bCs/>
          <w:kern w:val="0"/>
        </w:rPr>
        <w:t>23</w:t>
      </w:r>
      <w:r>
        <w:rPr>
          <w:kern w:val="0"/>
        </w:rPr>
        <w:t xml:space="preserve"> (2), 289-327.</w:t>
      </w:r>
    </w:p>
    <w:p w:rsidR="005533F5" w:rsidRDefault="005533F5" w:rsidP="005533F5">
      <w:pPr>
        <w:pStyle w:val="a3"/>
        <w:rPr>
          <w:kern w:val="0"/>
        </w:rPr>
      </w:pPr>
      <w:r>
        <w:rPr>
          <w:rFonts w:hint="eastAsia"/>
          <w:kern w:val="0"/>
        </w:rPr>
        <w:t xml:space="preserve">Full Text: </w:t>
      </w:r>
      <w:hyperlink r:id="rId992" w:history="1">
        <w:r w:rsidR="00326369" w:rsidRPr="00326369">
          <w:rPr>
            <w:rStyle w:val="a5"/>
            <w:kern w:val="0"/>
          </w:rPr>
          <w:t>2010\Com Soc23, 289.pdf</w:t>
        </w:r>
      </w:hyperlink>
    </w:p>
    <w:p w:rsidR="005533F5" w:rsidRDefault="005533F5" w:rsidP="005533F5">
      <w:pPr>
        <w:pStyle w:val="a3"/>
        <w:rPr>
          <w:kern w:val="0"/>
        </w:rPr>
      </w:pPr>
      <w:r>
        <w:rPr>
          <w:kern w:val="0"/>
        </w:rPr>
        <w:t>Abstract: Research into communication has already produced a considerable number</w:t>
      </w:r>
      <w:r w:rsidR="00427468">
        <w:rPr>
          <w:kern w:val="0"/>
        </w:rPr>
        <w:t xml:space="preserve"> of </w:t>
      </w:r>
      <w:r>
        <w:rPr>
          <w:kern w:val="0"/>
        </w:rPr>
        <w:t>articles</w:t>
      </w:r>
      <w:r w:rsidR="005853A9">
        <w:rPr>
          <w:kern w:val="0"/>
        </w:rPr>
        <w:t xml:space="preserve"> and </w:t>
      </w:r>
      <w:r>
        <w:rPr>
          <w:kern w:val="0"/>
        </w:rPr>
        <w:t>texts which have examined</w:t>
      </w:r>
      <w:r w:rsidR="003A1917">
        <w:rPr>
          <w:kern w:val="0"/>
        </w:rPr>
        <w:t xml:space="preserve"> the </w:t>
      </w:r>
      <w:r>
        <w:rPr>
          <w:kern w:val="0"/>
        </w:rPr>
        <w:t>historical development</w:t>
      </w:r>
      <w:r w:rsidR="005853A9">
        <w:rPr>
          <w:kern w:val="0"/>
        </w:rPr>
        <w:t xml:space="preserve"> and </w:t>
      </w:r>
      <w:r>
        <w:rPr>
          <w:kern w:val="0"/>
        </w:rPr>
        <w:t>main doctrinal approaches, according to</w:t>
      </w:r>
      <w:r w:rsidR="003A1917">
        <w:rPr>
          <w:kern w:val="0"/>
        </w:rPr>
        <w:t xml:space="preserve"> the </w:t>
      </w:r>
      <w:r>
        <w:rPr>
          <w:kern w:val="0"/>
        </w:rPr>
        <w:t>different authors. However, bibliometric studies on research in scientific journals remain scarce. This article comprises an analysis</w:t>
      </w:r>
      <w:r w:rsidR="00427468">
        <w:rPr>
          <w:kern w:val="0"/>
        </w:rPr>
        <w:t xml:space="preserve"> of </w:t>
      </w:r>
      <w:r>
        <w:rPr>
          <w:kern w:val="0"/>
        </w:rPr>
        <w:t>Spanish communication journals with</w:t>
      </w:r>
      <w:r w:rsidR="003A1917">
        <w:rPr>
          <w:kern w:val="0"/>
        </w:rPr>
        <w:t xml:space="preserve"> the </w:t>
      </w:r>
      <w:r>
        <w:rPr>
          <w:kern w:val="0"/>
        </w:rPr>
        <w:t>best impact factor ranking according to</w:t>
      </w:r>
      <w:r w:rsidR="003A1917">
        <w:rPr>
          <w:kern w:val="0"/>
        </w:rPr>
        <w:t xml:space="preserve"> the </w:t>
      </w:r>
      <w:r>
        <w:rPr>
          <w:kern w:val="0"/>
        </w:rPr>
        <w:t>impact factor quantification system established by INRECS (impact factor</w:t>
      </w:r>
      <w:r w:rsidR="00427468">
        <w:rPr>
          <w:kern w:val="0"/>
        </w:rPr>
        <w:t xml:space="preserve"> of </w:t>
      </w:r>
      <w:r>
        <w:rPr>
          <w:kern w:val="0"/>
        </w:rPr>
        <w:t>Spanish Social Sciences journals). Ten journals with</w:t>
      </w:r>
      <w:r w:rsidR="003A1917">
        <w:rPr>
          <w:kern w:val="0"/>
        </w:rPr>
        <w:t xml:space="preserve"> the </w:t>
      </w:r>
      <w:r>
        <w:rPr>
          <w:kern w:val="0"/>
        </w:rPr>
        <w:t>highest impact factor in 2008 were analyzed with</w:t>
      </w:r>
      <w:r w:rsidR="003A1917">
        <w:rPr>
          <w:kern w:val="0"/>
        </w:rPr>
        <w:t xml:space="preserve"> the </w:t>
      </w:r>
      <w:r>
        <w:rPr>
          <w:kern w:val="0"/>
        </w:rPr>
        <w:t>aim</w:t>
      </w:r>
      <w:r w:rsidR="00427468">
        <w:rPr>
          <w:kern w:val="0"/>
        </w:rPr>
        <w:t xml:space="preserve"> of </w:t>
      </w:r>
      <w:r>
        <w:rPr>
          <w:kern w:val="0"/>
        </w:rPr>
        <w:t>investigating</w:t>
      </w:r>
      <w:r w:rsidR="003A1917">
        <w:rPr>
          <w:kern w:val="0"/>
        </w:rPr>
        <w:t xml:space="preserve"> the </w:t>
      </w:r>
      <w:r>
        <w:rPr>
          <w:kern w:val="0"/>
        </w:rPr>
        <w:t>state</w:t>
      </w:r>
      <w:r w:rsidR="00427468">
        <w:rPr>
          <w:kern w:val="0"/>
        </w:rPr>
        <w:t xml:space="preserve"> of </w:t>
      </w:r>
      <w:r>
        <w:rPr>
          <w:kern w:val="0"/>
        </w:rPr>
        <w:t>current research in Spain. Results indicate gender balance, an average</w:t>
      </w:r>
      <w:r w:rsidR="00427468">
        <w:rPr>
          <w:kern w:val="0"/>
        </w:rPr>
        <w:t xml:space="preserve"> of </w:t>
      </w:r>
      <w:r>
        <w:rPr>
          <w:kern w:val="0"/>
        </w:rPr>
        <w:t>two researchers per article</w:t>
      </w:r>
      <w:r w:rsidR="005853A9">
        <w:rPr>
          <w:kern w:val="0"/>
        </w:rPr>
        <w:t xml:space="preserve"> and </w:t>
      </w:r>
      <w:r>
        <w:rPr>
          <w:kern w:val="0"/>
        </w:rPr>
        <w:t>a prevalence</w:t>
      </w:r>
      <w:r w:rsidR="00427468">
        <w:rPr>
          <w:kern w:val="0"/>
        </w:rPr>
        <w:t xml:space="preserve"> of </w:t>
      </w:r>
      <w:r>
        <w:rPr>
          <w:kern w:val="0"/>
        </w:rPr>
        <w:t>quantitative studies.</w:t>
      </w:r>
    </w:p>
    <w:p w:rsidR="005533F5" w:rsidRDefault="005533F5" w:rsidP="005533F5">
      <w:pPr>
        <w:pStyle w:val="a3"/>
        <w:rPr>
          <w:kern w:val="0"/>
        </w:rPr>
      </w:pPr>
      <w:r>
        <w:rPr>
          <w:kern w:val="0"/>
        </w:rPr>
        <w:t>Keywords: Analysis, Authors, Bibliometric, Bibliometric Studies, Communication, Consequences, Development, Gender, Impact, Impact Factor, Journals, Prevalence, Quantification, Ranking, Research, Science, Scientific Journals, Spain, State</w:t>
      </w:r>
    </w:p>
    <w:p w:rsidR="0024417D" w:rsidRPr="001A3D2B" w:rsidRDefault="0024417D" w:rsidP="0024417D">
      <w:pPr>
        <w:pStyle w:val="1"/>
      </w:pPr>
      <w:r w:rsidRPr="001A3D2B">
        <w:br w:type="page"/>
      </w:r>
      <w:bookmarkStart w:id="390" w:name="_Toc420815103"/>
      <w:r w:rsidRPr="001A3D2B">
        <w:lastRenderedPageBreak/>
        <w:t xml:space="preserve">Title: </w:t>
      </w:r>
      <w:r w:rsidRPr="009E2A88">
        <w:t>Comunicar</w:t>
      </w:r>
      <w:bookmarkEnd w:id="390"/>
    </w:p>
    <w:p w:rsidR="0024417D" w:rsidRPr="001A3D2B" w:rsidRDefault="0024417D" w:rsidP="0024417D">
      <w:pPr>
        <w:pStyle w:val="12"/>
      </w:pPr>
      <w:r w:rsidRPr="001A3D2B">
        <w:t xml:space="preserve">Full Journal Title: </w:t>
      </w:r>
      <w:r w:rsidRPr="009E2A88">
        <w:rPr>
          <w:iCs/>
          <w:kern w:val="0"/>
        </w:rPr>
        <w:t>Comunicar</w:t>
      </w:r>
    </w:p>
    <w:p w:rsidR="0024417D" w:rsidRPr="001A3D2B" w:rsidRDefault="0024417D" w:rsidP="0024417D">
      <w:pPr>
        <w:pStyle w:val="12"/>
      </w:pPr>
      <w:r w:rsidRPr="001A3D2B">
        <w:t xml:space="preserve">ISO Abbreviated Title: </w:t>
      </w:r>
      <w:r w:rsidRPr="009E2A88">
        <w:rPr>
          <w:iCs/>
          <w:kern w:val="0"/>
        </w:rPr>
        <w:t>Comunicar</w:t>
      </w:r>
    </w:p>
    <w:p w:rsidR="0024417D" w:rsidRPr="001A3D2B" w:rsidRDefault="0024417D" w:rsidP="0024417D">
      <w:pPr>
        <w:pStyle w:val="12"/>
      </w:pPr>
      <w:r w:rsidRPr="001A3D2B">
        <w:t xml:space="preserve">JCR Abbreviated Title: </w:t>
      </w:r>
      <w:r w:rsidRPr="009E2A88">
        <w:rPr>
          <w:iCs/>
          <w:kern w:val="0"/>
        </w:rPr>
        <w:t>Comunicar</w:t>
      </w:r>
    </w:p>
    <w:p w:rsidR="0024417D" w:rsidRPr="001A3D2B" w:rsidRDefault="0024417D" w:rsidP="0024417D">
      <w:pPr>
        <w:pStyle w:val="12"/>
      </w:pPr>
      <w:r w:rsidRPr="001A3D2B">
        <w:t xml:space="preserve">ISSN: </w:t>
      </w:r>
    </w:p>
    <w:p w:rsidR="0024417D" w:rsidRPr="001A3D2B" w:rsidRDefault="0024417D" w:rsidP="0024417D">
      <w:pPr>
        <w:pStyle w:val="12"/>
      </w:pPr>
      <w:r w:rsidRPr="001A3D2B">
        <w:t xml:space="preserve">Issues/Year: </w:t>
      </w:r>
    </w:p>
    <w:p w:rsidR="0024417D" w:rsidRPr="001A3D2B" w:rsidRDefault="0024417D" w:rsidP="0024417D">
      <w:pPr>
        <w:pStyle w:val="12"/>
      </w:pPr>
      <w:r w:rsidRPr="001A3D2B">
        <w:t xml:space="preserve">Journal Country/Territory: </w:t>
      </w:r>
    </w:p>
    <w:p w:rsidR="0024417D" w:rsidRPr="001A3D2B" w:rsidRDefault="0024417D" w:rsidP="0024417D">
      <w:pPr>
        <w:pStyle w:val="12"/>
      </w:pPr>
      <w:r w:rsidRPr="001A3D2B">
        <w:t xml:space="preserve">Language: </w:t>
      </w:r>
    </w:p>
    <w:p w:rsidR="0024417D" w:rsidRPr="001A3D2B" w:rsidRDefault="0024417D" w:rsidP="0024417D">
      <w:pPr>
        <w:pStyle w:val="12"/>
      </w:pPr>
      <w:r w:rsidRPr="001A3D2B">
        <w:t xml:space="preserve">Publisher: </w:t>
      </w:r>
    </w:p>
    <w:p w:rsidR="0024417D" w:rsidRPr="001A3D2B" w:rsidRDefault="0024417D" w:rsidP="0024417D">
      <w:pPr>
        <w:pStyle w:val="12"/>
      </w:pPr>
      <w:r w:rsidRPr="001A3D2B">
        <w:t xml:space="preserve">Publisher Address: </w:t>
      </w:r>
    </w:p>
    <w:p w:rsidR="0024417D" w:rsidRPr="001A3D2B" w:rsidRDefault="0024417D" w:rsidP="0024417D">
      <w:pPr>
        <w:pStyle w:val="12"/>
      </w:pPr>
      <w:r w:rsidRPr="001A3D2B">
        <w:t xml:space="preserve">Subject Categories: </w:t>
      </w:r>
    </w:p>
    <w:p w:rsidR="0024417D" w:rsidRPr="001A3D2B" w:rsidRDefault="0024417D" w:rsidP="0024417D">
      <w:pPr>
        <w:pStyle w:val="12"/>
      </w:pPr>
      <w:r w:rsidRPr="001A3D2B">
        <w:t>: Impact Factor</w:t>
      </w:r>
    </w:p>
    <w:p w:rsidR="00170662" w:rsidRDefault="00170662" w:rsidP="0024417D">
      <w:pPr>
        <w:pStyle w:val="a3"/>
        <w:rPr>
          <w:kern w:val="0"/>
        </w:rPr>
      </w:pPr>
      <w:r>
        <w:rPr>
          <w:rFonts w:hint="eastAsia"/>
          <w:kern w:val="0"/>
        </w:rPr>
        <w:t>Notes: CCountry</w:t>
      </w:r>
    </w:p>
    <w:p w:rsidR="0024417D" w:rsidRDefault="0024417D" w:rsidP="0024417D">
      <w:pPr>
        <w:pStyle w:val="a3"/>
        <w:rPr>
          <w:kern w:val="0"/>
        </w:rPr>
      </w:pPr>
      <w:r>
        <w:rPr>
          <w:rFonts w:hint="eastAsia"/>
          <w:kern w:val="0"/>
        </w:rPr>
        <w:t xml:space="preserve">? </w:t>
      </w:r>
      <w:r>
        <w:rPr>
          <w:kern w:val="0"/>
        </w:rPr>
        <w:t>Repiso, R., Torres, D.</w:t>
      </w:r>
      <w:r w:rsidR="005853A9">
        <w:rPr>
          <w:kern w:val="0"/>
        </w:rPr>
        <w:t xml:space="preserve"> and </w:t>
      </w:r>
      <w:r>
        <w:rPr>
          <w:kern w:val="0"/>
        </w:rPr>
        <w:t>Delgado, E. (2011), Bibliometric</w:t>
      </w:r>
      <w:r w:rsidR="005853A9">
        <w:rPr>
          <w:kern w:val="0"/>
        </w:rPr>
        <w:t xml:space="preserve"> and </w:t>
      </w:r>
      <w:r>
        <w:rPr>
          <w:kern w:val="0"/>
        </w:rPr>
        <w:t xml:space="preserve">social network analysis applied to television dissertations presented in Spain (1976/2007). </w:t>
      </w:r>
      <w:r>
        <w:rPr>
          <w:i/>
          <w:iCs/>
          <w:kern w:val="0"/>
        </w:rPr>
        <w:t>Comunicar</w:t>
      </w:r>
      <w:r>
        <w:rPr>
          <w:kern w:val="0"/>
        </w:rPr>
        <w:t xml:space="preserve">, </w:t>
      </w:r>
      <w:r>
        <w:rPr>
          <w:rFonts w:hint="eastAsia"/>
          <w:b/>
          <w:kern w:val="0"/>
        </w:rPr>
        <w:t>19</w:t>
      </w:r>
      <w:r>
        <w:rPr>
          <w:rFonts w:hint="eastAsia"/>
          <w:kern w:val="0"/>
        </w:rPr>
        <w:t xml:space="preserve"> (37)</w:t>
      </w:r>
      <w:r>
        <w:rPr>
          <w:kern w:val="0"/>
        </w:rPr>
        <w:t>, 151-159.</w:t>
      </w:r>
    </w:p>
    <w:p w:rsidR="0024417D" w:rsidRDefault="0024417D" w:rsidP="0024417D">
      <w:pPr>
        <w:pStyle w:val="a3"/>
        <w:rPr>
          <w:kern w:val="0"/>
        </w:rPr>
      </w:pPr>
      <w:r>
        <w:rPr>
          <w:rFonts w:hint="eastAsia"/>
          <w:kern w:val="0"/>
        </w:rPr>
        <w:t xml:space="preserve">Full Text: </w:t>
      </w:r>
      <w:hyperlink r:id="rId993" w:history="1">
        <w:r w:rsidR="005E13ED" w:rsidRPr="005E13ED">
          <w:rPr>
            <w:rStyle w:val="a5"/>
            <w:kern w:val="0"/>
          </w:rPr>
          <w:t>2011\Comunicar19, 151.pdf</w:t>
        </w:r>
      </w:hyperlink>
    </w:p>
    <w:p w:rsidR="0024417D" w:rsidRDefault="0024417D" w:rsidP="0024417D">
      <w:pPr>
        <w:pStyle w:val="a3"/>
        <w:rPr>
          <w:kern w:val="0"/>
        </w:rPr>
      </w:pPr>
      <w:r>
        <w:rPr>
          <w:kern w:val="0"/>
        </w:rPr>
        <w:t>Abstract: This paper analyses</w:t>
      </w:r>
      <w:r w:rsidR="003A1917">
        <w:rPr>
          <w:kern w:val="0"/>
        </w:rPr>
        <w:t xml:space="preserve"> the </w:t>
      </w:r>
      <w:r>
        <w:rPr>
          <w:kern w:val="0"/>
        </w:rPr>
        <w:t>productive structure in Spanish television research. Data from theses about Spanish television which had been defended in this country over</w:t>
      </w:r>
      <w:r w:rsidR="003A1917">
        <w:rPr>
          <w:kern w:val="0"/>
        </w:rPr>
        <w:t xml:space="preserve"> the </w:t>
      </w:r>
      <w:r>
        <w:rPr>
          <w:kern w:val="0"/>
        </w:rPr>
        <w:t>period 1976/2007 was extracted. Two methodologies are used within this analysis: a bibliometric analysis</w:t>
      </w:r>
      <w:r w:rsidR="005853A9">
        <w:rPr>
          <w:kern w:val="0"/>
        </w:rPr>
        <w:t xml:space="preserve"> and </w:t>
      </w:r>
      <w:r>
        <w:rPr>
          <w:kern w:val="0"/>
        </w:rPr>
        <w:t>Social Network Analysis (SNA). Results show</w:t>
      </w:r>
      <w:r w:rsidR="003A1917">
        <w:rPr>
          <w:kern w:val="0"/>
        </w:rPr>
        <w:t xml:space="preserve"> the </w:t>
      </w:r>
      <w:r>
        <w:rPr>
          <w:kern w:val="0"/>
        </w:rPr>
        <w:t>production</w:t>
      </w:r>
      <w:r w:rsidR="00427468">
        <w:rPr>
          <w:kern w:val="0"/>
        </w:rPr>
        <w:t xml:space="preserve"> of </w:t>
      </w:r>
      <w:r>
        <w:rPr>
          <w:kern w:val="0"/>
        </w:rPr>
        <w:t>theses by time period, university, these advisors</w:t>
      </w:r>
      <w:r w:rsidR="005853A9">
        <w:rPr>
          <w:kern w:val="0"/>
        </w:rPr>
        <w:t xml:space="preserve"> and </w:t>
      </w:r>
      <w:r>
        <w:rPr>
          <w:kern w:val="0"/>
        </w:rPr>
        <w:t>examination board members</w:t>
      </w:r>
      <w:r w:rsidR="00A37C1D">
        <w:rPr>
          <w:kern w:val="0"/>
        </w:rPr>
        <w:t>. The</w:t>
      </w:r>
      <w:r w:rsidR="003A1917">
        <w:rPr>
          <w:kern w:val="0"/>
        </w:rPr>
        <w:t xml:space="preserve"> </w:t>
      </w:r>
      <w:r>
        <w:rPr>
          <w:kern w:val="0"/>
        </w:rPr>
        <w:t>use</w:t>
      </w:r>
      <w:r w:rsidR="00427468">
        <w:rPr>
          <w:kern w:val="0"/>
        </w:rPr>
        <w:t xml:space="preserve"> of </w:t>
      </w:r>
      <w:r>
        <w:rPr>
          <w:kern w:val="0"/>
        </w:rPr>
        <w:t>social networks leads us in</w:t>
      </w:r>
      <w:r w:rsidR="003A1917">
        <w:rPr>
          <w:kern w:val="0"/>
        </w:rPr>
        <w:t xml:space="preserve"> the </w:t>
      </w:r>
      <w:r>
        <w:rPr>
          <w:kern w:val="0"/>
        </w:rPr>
        <w:t>identification</w:t>
      </w:r>
      <w:r w:rsidR="00427468">
        <w:rPr>
          <w:kern w:val="0"/>
        </w:rPr>
        <w:t xml:space="preserve"> of </w:t>
      </w:r>
      <w:r>
        <w:rPr>
          <w:kern w:val="0"/>
        </w:rPr>
        <w:t>notable academic groups operating in</w:t>
      </w:r>
      <w:r w:rsidR="003A1917">
        <w:rPr>
          <w:kern w:val="0"/>
        </w:rPr>
        <w:t xml:space="preserve"> the </w:t>
      </w:r>
      <w:r>
        <w:rPr>
          <w:kern w:val="0"/>
        </w:rPr>
        <w:t>present period as well as tendencies in</w:t>
      </w:r>
      <w:r w:rsidR="003A1917">
        <w:rPr>
          <w:kern w:val="0"/>
        </w:rPr>
        <w:t xml:space="preserve"> the </w:t>
      </w:r>
      <w:r>
        <w:rPr>
          <w:kern w:val="0"/>
        </w:rPr>
        <w:t>composition</w:t>
      </w:r>
      <w:r w:rsidR="00427468">
        <w:rPr>
          <w:kern w:val="0"/>
        </w:rPr>
        <w:t xml:space="preserve"> of </w:t>
      </w:r>
      <w:r w:rsidR="003A1917">
        <w:rPr>
          <w:kern w:val="0"/>
        </w:rPr>
        <w:t xml:space="preserve">the </w:t>
      </w:r>
      <w:r>
        <w:rPr>
          <w:kern w:val="0"/>
        </w:rPr>
        <w:t>board in terms</w:t>
      </w:r>
      <w:r w:rsidR="00427468">
        <w:rPr>
          <w:kern w:val="0"/>
        </w:rPr>
        <w:t xml:space="preserve"> of </w:t>
      </w:r>
      <w:r>
        <w:rPr>
          <w:kern w:val="0"/>
        </w:rPr>
        <w:t>university</w:t>
      </w:r>
      <w:r w:rsidR="00427468">
        <w:rPr>
          <w:kern w:val="0"/>
        </w:rPr>
        <w:t xml:space="preserve"> of </w:t>
      </w:r>
      <w:r>
        <w:rPr>
          <w:kern w:val="0"/>
        </w:rPr>
        <w:t>origin</w:t>
      </w:r>
      <w:r w:rsidR="005853A9">
        <w:rPr>
          <w:kern w:val="0"/>
        </w:rPr>
        <w:t xml:space="preserve"> and </w:t>
      </w:r>
      <w:r>
        <w:rPr>
          <w:kern w:val="0"/>
        </w:rPr>
        <w:t>thesis advisor</w:t>
      </w:r>
      <w:r w:rsidR="00A37C1D">
        <w:rPr>
          <w:kern w:val="0"/>
        </w:rPr>
        <w:t>. The</w:t>
      </w:r>
      <w:r>
        <w:rPr>
          <w:kern w:val="0"/>
        </w:rPr>
        <w:t>re are 404 theses on television written in this period</w:t>
      </w:r>
      <w:r w:rsidR="00A37C1D">
        <w:rPr>
          <w:kern w:val="0"/>
        </w:rPr>
        <w:t>. The</w:t>
      </w:r>
      <w:r w:rsidR="003A1917">
        <w:rPr>
          <w:kern w:val="0"/>
        </w:rPr>
        <w:t xml:space="preserve"> </w:t>
      </w:r>
      <w:r>
        <w:rPr>
          <w:kern w:val="0"/>
        </w:rPr>
        <w:t>results indicate a general</w:t>
      </w:r>
      <w:r w:rsidR="005853A9">
        <w:rPr>
          <w:kern w:val="0"/>
        </w:rPr>
        <w:t xml:space="preserve"> and </w:t>
      </w:r>
      <w:r>
        <w:rPr>
          <w:kern w:val="0"/>
        </w:rPr>
        <w:t>constant increase in</w:t>
      </w:r>
      <w:r w:rsidR="003A1917">
        <w:rPr>
          <w:kern w:val="0"/>
        </w:rPr>
        <w:t xml:space="preserve"> the </w:t>
      </w:r>
      <w:r>
        <w:rPr>
          <w:kern w:val="0"/>
        </w:rPr>
        <w:t>number</w:t>
      </w:r>
      <w:r w:rsidR="00427468">
        <w:rPr>
          <w:kern w:val="0"/>
        </w:rPr>
        <w:t xml:space="preserve"> of </w:t>
      </w:r>
      <w:r>
        <w:rPr>
          <w:kern w:val="0"/>
        </w:rPr>
        <w:t>theses, especially noticeable over</w:t>
      </w:r>
      <w:r w:rsidR="003A1917">
        <w:rPr>
          <w:kern w:val="0"/>
        </w:rPr>
        <w:t xml:space="preserve"> the </w:t>
      </w:r>
      <w:r>
        <w:rPr>
          <w:kern w:val="0"/>
        </w:rPr>
        <w:t>last 15 years. Regarding scientific production,</w:t>
      </w:r>
      <w:r w:rsidR="003A1917">
        <w:rPr>
          <w:kern w:val="0"/>
        </w:rPr>
        <w:t xml:space="preserve"> the </w:t>
      </w:r>
      <w:r>
        <w:rPr>
          <w:kern w:val="0"/>
        </w:rPr>
        <w:t>Complutense University</w:t>
      </w:r>
      <w:r w:rsidR="00427468">
        <w:rPr>
          <w:kern w:val="0"/>
        </w:rPr>
        <w:t xml:space="preserve"> of </w:t>
      </w:r>
      <w:r>
        <w:rPr>
          <w:kern w:val="0"/>
        </w:rPr>
        <w:t>Madrid stands out as</w:t>
      </w:r>
      <w:r w:rsidR="003A1917">
        <w:rPr>
          <w:kern w:val="0"/>
        </w:rPr>
        <w:t xml:space="preserve"> the </w:t>
      </w:r>
      <w:r>
        <w:rPr>
          <w:kern w:val="0"/>
        </w:rPr>
        <w:t>most productive</w:t>
      </w:r>
      <w:r w:rsidR="00A37C1D">
        <w:rPr>
          <w:kern w:val="0"/>
        </w:rPr>
        <w:t>. The</w:t>
      </w:r>
      <w:r w:rsidR="003A1917">
        <w:rPr>
          <w:kern w:val="0"/>
        </w:rPr>
        <w:t xml:space="preserve"> </w:t>
      </w:r>
      <w:r>
        <w:rPr>
          <w:kern w:val="0"/>
        </w:rPr>
        <w:t>structural analysis shows that only</w:t>
      </w:r>
      <w:r w:rsidR="003A1917">
        <w:rPr>
          <w:kern w:val="0"/>
        </w:rPr>
        <w:t xml:space="preserve"> the </w:t>
      </w:r>
      <w:r>
        <w:rPr>
          <w:kern w:val="0"/>
        </w:rPr>
        <w:t>Complutense University</w:t>
      </w:r>
      <w:r w:rsidR="00427468">
        <w:rPr>
          <w:kern w:val="0"/>
        </w:rPr>
        <w:t xml:space="preserve"> of </w:t>
      </w:r>
      <w:r>
        <w:rPr>
          <w:kern w:val="0"/>
        </w:rPr>
        <w:t>Madrid,</w:t>
      </w:r>
      <w:r w:rsidR="003A1917">
        <w:rPr>
          <w:kern w:val="0"/>
        </w:rPr>
        <w:t xml:space="preserve"> the </w:t>
      </w:r>
      <w:r>
        <w:rPr>
          <w:kern w:val="0"/>
        </w:rPr>
        <w:t>Autonomous University</w:t>
      </w:r>
      <w:r w:rsidR="00427468">
        <w:rPr>
          <w:kern w:val="0"/>
        </w:rPr>
        <w:t xml:space="preserve"> of </w:t>
      </w:r>
      <w:r>
        <w:rPr>
          <w:kern w:val="0"/>
        </w:rPr>
        <w:t>Barcelona, University</w:t>
      </w:r>
      <w:r w:rsidR="00427468">
        <w:rPr>
          <w:kern w:val="0"/>
        </w:rPr>
        <w:t xml:space="preserve"> of </w:t>
      </w:r>
      <w:r>
        <w:rPr>
          <w:kern w:val="0"/>
        </w:rPr>
        <w:t>Navarre</w:t>
      </w:r>
      <w:r w:rsidR="005853A9">
        <w:rPr>
          <w:kern w:val="0"/>
        </w:rPr>
        <w:t xml:space="preserve"> and </w:t>
      </w:r>
      <w:r w:rsidR="003A1917">
        <w:rPr>
          <w:kern w:val="0"/>
        </w:rPr>
        <w:t xml:space="preserve">the </w:t>
      </w:r>
      <w:r>
        <w:rPr>
          <w:kern w:val="0"/>
        </w:rPr>
        <w:t>University</w:t>
      </w:r>
      <w:r w:rsidR="00427468">
        <w:rPr>
          <w:kern w:val="0"/>
        </w:rPr>
        <w:t xml:space="preserve"> of </w:t>
      </w:r>
      <w:r>
        <w:rPr>
          <w:kern w:val="0"/>
        </w:rPr>
        <w:t>La Laguna generate their own research groups. Professors shaping</w:t>
      </w:r>
      <w:r w:rsidR="003A1917">
        <w:rPr>
          <w:kern w:val="0"/>
        </w:rPr>
        <w:t xml:space="preserve"> the </w:t>
      </w:r>
      <w:r>
        <w:rPr>
          <w:kern w:val="0"/>
        </w:rPr>
        <w:t>Spanish research system for television are found through</w:t>
      </w:r>
      <w:r w:rsidR="003A1917">
        <w:rPr>
          <w:kern w:val="0"/>
        </w:rPr>
        <w:t xml:space="preserve"> the </w:t>
      </w:r>
      <w:r>
        <w:rPr>
          <w:kern w:val="0"/>
        </w:rPr>
        <w:t>analysis</w:t>
      </w:r>
      <w:r w:rsidR="00427468">
        <w:rPr>
          <w:kern w:val="0"/>
        </w:rPr>
        <w:t xml:space="preserve"> of </w:t>
      </w:r>
      <w:r>
        <w:rPr>
          <w:kern w:val="0"/>
        </w:rPr>
        <w:t>social networks. Leading positions within</w:t>
      </w:r>
      <w:r w:rsidR="003A1917">
        <w:rPr>
          <w:kern w:val="0"/>
        </w:rPr>
        <w:t xml:space="preserve"> the </w:t>
      </w:r>
      <w:r>
        <w:rPr>
          <w:kern w:val="0"/>
        </w:rPr>
        <w:t>network structure are held by professors</w:t>
      </w:r>
      <w:r w:rsidR="00427468">
        <w:rPr>
          <w:kern w:val="0"/>
        </w:rPr>
        <w:t xml:space="preserve"> of </w:t>
      </w:r>
      <w:r>
        <w:rPr>
          <w:kern w:val="0"/>
        </w:rPr>
        <w:t>communication from</w:t>
      </w:r>
      <w:r w:rsidR="003A1917">
        <w:rPr>
          <w:kern w:val="0"/>
        </w:rPr>
        <w:t xml:space="preserve"> the </w:t>
      </w:r>
      <w:r>
        <w:rPr>
          <w:kern w:val="0"/>
        </w:rPr>
        <w:t>Complutense University</w:t>
      </w:r>
      <w:r w:rsidR="00427468">
        <w:rPr>
          <w:kern w:val="0"/>
        </w:rPr>
        <w:t xml:space="preserve"> of </w:t>
      </w:r>
      <w:r>
        <w:rPr>
          <w:kern w:val="0"/>
        </w:rPr>
        <w:t>Madrid</w:t>
      </w:r>
      <w:r w:rsidR="005853A9">
        <w:rPr>
          <w:kern w:val="0"/>
        </w:rPr>
        <w:t xml:space="preserve"> and </w:t>
      </w:r>
      <w:r w:rsidR="003A1917">
        <w:rPr>
          <w:kern w:val="0"/>
        </w:rPr>
        <w:t xml:space="preserve">the </w:t>
      </w:r>
      <w:r>
        <w:rPr>
          <w:kern w:val="0"/>
        </w:rPr>
        <w:t>Autonomous University</w:t>
      </w:r>
      <w:r w:rsidR="00427468">
        <w:rPr>
          <w:kern w:val="0"/>
        </w:rPr>
        <w:t xml:space="preserve"> of </w:t>
      </w:r>
      <w:r>
        <w:rPr>
          <w:kern w:val="0"/>
        </w:rPr>
        <w:t>Barcelona.</w:t>
      </w:r>
    </w:p>
    <w:p w:rsidR="0024417D" w:rsidRDefault="0024417D" w:rsidP="0024417D">
      <w:pPr>
        <w:pStyle w:val="a3"/>
        <w:rPr>
          <w:kern w:val="0"/>
        </w:rPr>
      </w:pPr>
      <w:r>
        <w:rPr>
          <w:kern w:val="0"/>
        </w:rPr>
        <w:t xml:space="preserve">Keywords: Analysis, Audiovisual Communication, Bibliometric, Bibliometric Analysis, Communication, Dissertations, Interdisciplinarity, Network, Professors, Research, </w:t>
      </w:r>
      <w:r>
        <w:rPr>
          <w:kern w:val="0"/>
        </w:rPr>
        <w:lastRenderedPageBreak/>
        <w:t>Scientific Production, Social, Social Network, Social Networks, Spain, Television, Thesis, University</w:t>
      </w:r>
    </w:p>
    <w:p w:rsidR="005142E2" w:rsidRDefault="005142E2" w:rsidP="005142E2">
      <w:pPr>
        <w:pStyle w:val="a3"/>
        <w:rPr>
          <w:kern w:val="0"/>
        </w:rPr>
      </w:pPr>
      <w:r>
        <w:rPr>
          <w:rFonts w:hint="eastAsia"/>
          <w:kern w:val="0"/>
        </w:rPr>
        <w:t xml:space="preserve">? </w:t>
      </w:r>
      <w:r>
        <w:rPr>
          <w:kern w:val="0"/>
        </w:rPr>
        <w:t>De-Filippo, D. (2013), Spanish scientific output in communication sciences in WOS</w:t>
      </w:r>
      <w:r w:rsidR="00A37C1D">
        <w:rPr>
          <w:kern w:val="0"/>
        </w:rPr>
        <w:t>. The</w:t>
      </w:r>
      <w:r>
        <w:rPr>
          <w:kern w:val="0"/>
        </w:rPr>
        <w:t xml:space="preserve"> scientific journals in </w:t>
      </w:r>
      <w:r w:rsidR="00D5664A">
        <w:rPr>
          <w:kern w:val="0"/>
        </w:rPr>
        <w:t>SSCI</w:t>
      </w:r>
      <w:r>
        <w:rPr>
          <w:kern w:val="0"/>
        </w:rPr>
        <w:t xml:space="preserve"> (2007-12). </w:t>
      </w:r>
      <w:r>
        <w:rPr>
          <w:i/>
          <w:iCs/>
          <w:kern w:val="0"/>
        </w:rPr>
        <w:t>Comunicar</w:t>
      </w:r>
      <w:r>
        <w:rPr>
          <w:kern w:val="0"/>
        </w:rPr>
        <w:t xml:space="preserve">, </w:t>
      </w:r>
      <w:r w:rsidRPr="00F86E75">
        <w:rPr>
          <w:b/>
          <w:kern w:val="0"/>
        </w:rPr>
        <w:t>41</w:t>
      </w:r>
      <w:r>
        <w:rPr>
          <w:kern w:val="0"/>
        </w:rPr>
        <w:t>, 25-34.</w:t>
      </w:r>
    </w:p>
    <w:p w:rsidR="005142E2" w:rsidRDefault="005142E2" w:rsidP="005142E2">
      <w:pPr>
        <w:pStyle w:val="a3"/>
        <w:rPr>
          <w:kern w:val="0"/>
        </w:rPr>
      </w:pPr>
      <w:r>
        <w:rPr>
          <w:rFonts w:hint="eastAsia"/>
          <w:kern w:val="0"/>
        </w:rPr>
        <w:t xml:space="preserve">Full Text: </w:t>
      </w:r>
      <w:hyperlink r:id="rId994" w:history="1">
        <w:r w:rsidRPr="000E42B8">
          <w:rPr>
            <w:rStyle w:val="a5"/>
            <w:kern w:val="0"/>
          </w:rPr>
          <w:t>2013\Comunicar41, 25.pdf</w:t>
        </w:r>
      </w:hyperlink>
    </w:p>
    <w:p w:rsidR="005142E2" w:rsidRDefault="005142E2" w:rsidP="005142E2">
      <w:pPr>
        <w:pStyle w:val="a3"/>
        <w:rPr>
          <w:kern w:val="0"/>
        </w:rPr>
      </w:pPr>
      <w:r>
        <w:rPr>
          <w:kern w:val="0"/>
        </w:rPr>
        <w:t>Abstract: Although the field</w:t>
      </w:r>
      <w:r w:rsidR="00427468">
        <w:rPr>
          <w:kern w:val="0"/>
        </w:rPr>
        <w:t xml:space="preserve"> of </w:t>
      </w:r>
      <w:r>
        <w:rPr>
          <w:kern w:val="0"/>
        </w:rPr>
        <w:t>Communication Sciences has been slower to organize in Spain than in other European countries</w:t>
      </w:r>
      <w:r w:rsidR="005853A9">
        <w:rPr>
          <w:kern w:val="0"/>
        </w:rPr>
        <w:t xml:space="preserve"> and </w:t>
      </w:r>
      <w:r>
        <w:rPr>
          <w:kern w:val="0"/>
        </w:rPr>
        <w:t>the United States, in recent years it has shown a clear tendency to growth. One way to trace this process is by analyzing scientific production,</w:t>
      </w:r>
      <w:r w:rsidR="005853A9">
        <w:rPr>
          <w:kern w:val="0"/>
        </w:rPr>
        <w:t xml:space="preserve"> and </w:t>
      </w:r>
      <w:r>
        <w:rPr>
          <w:kern w:val="0"/>
        </w:rPr>
        <w:t>this paper focuses on this aspect. Using bibliometric methods, we analyze scientific journals</w:t>
      </w:r>
      <w:r w:rsidR="005853A9">
        <w:rPr>
          <w:kern w:val="0"/>
        </w:rPr>
        <w:t xml:space="preserve"> and </w:t>
      </w:r>
      <w:r>
        <w:rPr>
          <w:kern w:val="0"/>
        </w:rPr>
        <w:t>papers indexed in Thomson Reuter</w:t>
      </w:r>
      <w:r w:rsidR="0071223E">
        <w:rPr>
          <w:kern w:val="0"/>
        </w:rPr>
        <w:t>’</w:t>
      </w:r>
      <w:r>
        <w:rPr>
          <w:kern w:val="0"/>
        </w:rPr>
        <w:t>s international database, the Social Science Citation Index (</w:t>
      </w:r>
      <w:r w:rsidR="00D5664A">
        <w:rPr>
          <w:kern w:val="0"/>
        </w:rPr>
        <w:t>SSCI</w:t>
      </w:r>
      <w:r>
        <w:rPr>
          <w:kern w:val="0"/>
        </w:rPr>
        <w:t>) for Communication. While the focus</w:t>
      </w:r>
      <w:r w:rsidR="00427468">
        <w:rPr>
          <w:kern w:val="0"/>
        </w:rPr>
        <w:t xml:space="preserve"> of </w:t>
      </w:r>
      <w:r>
        <w:rPr>
          <w:kern w:val="0"/>
        </w:rPr>
        <w:t>the study is Spanish scientific output, the results are related to international activities in this field</w:t>
      </w:r>
      <w:r w:rsidR="00A37C1D">
        <w:rPr>
          <w:kern w:val="0"/>
        </w:rPr>
        <w:t>. The</w:t>
      </w:r>
      <w:r>
        <w:rPr>
          <w:kern w:val="0"/>
        </w:rPr>
        <w:t xml:space="preserve"> three Spanish journals included in </w:t>
      </w:r>
      <w:r w:rsidR="00D5664A">
        <w:rPr>
          <w:kern w:val="0"/>
        </w:rPr>
        <w:t>SSCI</w:t>
      </w:r>
      <w:r>
        <w:rPr>
          <w:kern w:val="0"/>
        </w:rPr>
        <w:t xml:space="preserve"> in recent years: “Comunicar”, “Comunicacion y Sociedad”</w:t>
      </w:r>
      <w:r w:rsidR="005853A9">
        <w:rPr>
          <w:kern w:val="0"/>
        </w:rPr>
        <w:t xml:space="preserve"> and </w:t>
      </w:r>
      <w:r>
        <w:rPr>
          <w:kern w:val="0"/>
        </w:rPr>
        <w:t>“Estudios sobre el Mensaje Periodistico” were studied in detail</w:t>
      </w:r>
      <w:r w:rsidR="00A37C1D">
        <w:rPr>
          <w:kern w:val="0"/>
        </w:rPr>
        <w:t>. The</w:t>
      </w:r>
      <w:r>
        <w:rPr>
          <w:kern w:val="0"/>
        </w:rPr>
        <w:t xml:space="preserve"> results show that Spain plays an important role in Communcation journal publishing (4th in the world)</w:t>
      </w:r>
      <w:r w:rsidR="005853A9">
        <w:rPr>
          <w:kern w:val="0"/>
        </w:rPr>
        <w:t xml:space="preserve"> and </w:t>
      </w:r>
      <w:r>
        <w:rPr>
          <w:kern w:val="0"/>
        </w:rPr>
        <w:t>as a producer</w:t>
      </w:r>
      <w:r w:rsidR="00427468">
        <w:rPr>
          <w:kern w:val="0"/>
        </w:rPr>
        <w:t xml:space="preserve"> of </w:t>
      </w:r>
      <w:r>
        <w:rPr>
          <w:kern w:val="0"/>
        </w:rPr>
        <w:t>scientific papers (6th in the world), with a remarkable evolution, in quantitative terms, especially in the last five years</w:t>
      </w:r>
      <w:r w:rsidR="00A37C1D">
        <w:rPr>
          <w:kern w:val="0"/>
        </w:rPr>
        <w:t>. The</w:t>
      </w:r>
      <w:r>
        <w:rPr>
          <w:kern w:val="0"/>
        </w:rPr>
        <w:t xml:space="preserve"> inclusion</w:t>
      </w:r>
      <w:r w:rsidR="00427468">
        <w:rPr>
          <w:kern w:val="0"/>
        </w:rPr>
        <w:t xml:space="preserve"> of </w:t>
      </w:r>
      <w:r>
        <w:rPr>
          <w:kern w:val="0"/>
        </w:rPr>
        <w:t>these three Spanish journals in the international database has been an important contribution to the country</w:t>
      </w:r>
      <w:r w:rsidR="0071223E">
        <w:rPr>
          <w:kern w:val="0"/>
        </w:rPr>
        <w:t>’</w:t>
      </w:r>
      <w:r>
        <w:rPr>
          <w:kern w:val="0"/>
        </w:rPr>
        <w:t>s visibility in this field, but there is still a need to promote international collaboration to achieve greater impact</w:t>
      </w:r>
      <w:r w:rsidR="005853A9">
        <w:rPr>
          <w:kern w:val="0"/>
        </w:rPr>
        <w:t xml:space="preserve"> and </w:t>
      </w:r>
      <w:r>
        <w:rPr>
          <w:kern w:val="0"/>
        </w:rPr>
        <w:t>openness in the scientific community.</w:t>
      </w:r>
    </w:p>
    <w:p w:rsidR="005142E2" w:rsidRDefault="005142E2" w:rsidP="005142E2">
      <w:pPr>
        <w:pStyle w:val="a3"/>
        <w:rPr>
          <w:kern w:val="0"/>
        </w:rPr>
      </w:pPr>
      <w:r>
        <w:rPr>
          <w:kern w:val="0"/>
        </w:rPr>
        <w:t xml:space="preserve">Keywords: Article, Bibliometric, Bibliometric Methods, Bibliometric Studies, Bibliometry, Citation, Collaboration, Communication, Community, Database, Education, Evolution, Field, Growth, Impact, International, International Collaboration, Journal, Journals, Madrid, Methods, Networks, Papers, Publishing, Recent, Research, Role, Science, Science Citation Index, Scientific Journals, Scientific Output, Scientific Production, Social Science Citation Index, Spain, Spanish Journals, </w:t>
      </w:r>
      <w:r w:rsidR="00D5664A">
        <w:rPr>
          <w:kern w:val="0"/>
        </w:rPr>
        <w:t>SSCI</w:t>
      </w:r>
      <w:r>
        <w:rPr>
          <w:kern w:val="0"/>
        </w:rPr>
        <w:t xml:space="preserve">, United States, Visibility, </w:t>
      </w:r>
      <w:r w:rsidR="00D5664A">
        <w:rPr>
          <w:kern w:val="0"/>
        </w:rPr>
        <w:t>Web</w:t>
      </w:r>
      <w:r w:rsidR="00427468">
        <w:rPr>
          <w:kern w:val="0"/>
        </w:rPr>
        <w:t xml:space="preserve"> of </w:t>
      </w:r>
      <w:r w:rsidR="00D5664A">
        <w:rPr>
          <w:kern w:val="0"/>
        </w:rPr>
        <w:t>Science</w:t>
      </w:r>
      <w:r>
        <w:rPr>
          <w:kern w:val="0"/>
        </w:rPr>
        <w:t>, World, WOS</w:t>
      </w:r>
    </w:p>
    <w:p w:rsidR="005142E2" w:rsidRDefault="005142E2" w:rsidP="005142E2">
      <w:pPr>
        <w:pStyle w:val="a3"/>
        <w:rPr>
          <w:kern w:val="0"/>
        </w:rPr>
      </w:pPr>
      <w:r>
        <w:rPr>
          <w:rFonts w:hint="eastAsia"/>
          <w:kern w:val="0"/>
        </w:rPr>
        <w:t xml:space="preserve">? </w:t>
      </w:r>
      <w:r>
        <w:rPr>
          <w:kern w:val="0"/>
        </w:rPr>
        <w:t>Delgado, E.</w:t>
      </w:r>
      <w:r w:rsidR="005853A9">
        <w:rPr>
          <w:kern w:val="0"/>
        </w:rPr>
        <w:t xml:space="preserve"> and </w:t>
      </w:r>
      <w:r>
        <w:rPr>
          <w:kern w:val="0"/>
        </w:rPr>
        <w:t>Repiso, R. (2013), The impact</w:t>
      </w:r>
      <w:r w:rsidR="00427468">
        <w:rPr>
          <w:kern w:val="0"/>
        </w:rPr>
        <w:t xml:space="preserve"> of </w:t>
      </w:r>
      <w:r>
        <w:rPr>
          <w:kern w:val="0"/>
        </w:rPr>
        <w:t>scientific journals</w:t>
      </w:r>
      <w:r w:rsidR="00427468">
        <w:rPr>
          <w:kern w:val="0"/>
        </w:rPr>
        <w:t xml:space="preserve"> of </w:t>
      </w:r>
      <w:r>
        <w:rPr>
          <w:kern w:val="0"/>
        </w:rPr>
        <w:t xml:space="preserve">communication: Comparing Google Scholar Metrics,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 xml:space="preserve">Scopus. </w:t>
      </w:r>
      <w:r>
        <w:rPr>
          <w:i/>
          <w:iCs/>
          <w:kern w:val="0"/>
        </w:rPr>
        <w:t>Comunicar</w:t>
      </w:r>
      <w:r>
        <w:rPr>
          <w:kern w:val="0"/>
        </w:rPr>
        <w:t xml:space="preserve">, </w:t>
      </w:r>
      <w:r w:rsidRPr="00F86E75">
        <w:rPr>
          <w:b/>
          <w:kern w:val="0"/>
        </w:rPr>
        <w:t>41</w:t>
      </w:r>
      <w:r>
        <w:rPr>
          <w:kern w:val="0"/>
        </w:rPr>
        <w:t>, 45-52.</w:t>
      </w:r>
    </w:p>
    <w:p w:rsidR="005142E2" w:rsidRDefault="005142E2" w:rsidP="005142E2">
      <w:pPr>
        <w:pStyle w:val="a3"/>
        <w:rPr>
          <w:kern w:val="0"/>
        </w:rPr>
      </w:pPr>
      <w:r>
        <w:rPr>
          <w:rFonts w:hint="eastAsia"/>
          <w:kern w:val="0"/>
        </w:rPr>
        <w:t xml:space="preserve">Full Text: </w:t>
      </w:r>
      <w:hyperlink r:id="rId995" w:history="1">
        <w:r w:rsidRPr="000E42B8">
          <w:rPr>
            <w:rStyle w:val="a5"/>
            <w:kern w:val="0"/>
          </w:rPr>
          <w:t>2013\Comunicar41, 45.pdf</w:t>
        </w:r>
      </w:hyperlink>
    </w:p>
    <w:p w:rsidR="005142E2" w:rsidRDefault="005142E2" w:rsidP="005142E2">
      <w:pPr>
        <w:pStyle w:val="a3"/>
        <w:rPr>
          <w:kern w:val="0"/>
        </w:rPr>
      </w:pPr>
      <w:r>
        <w:rPr>
          <w:kern w:val="0"/>
        </w:rPr>
        <w:t>Abstract: Google Scholar Metrics</w:t>
      </w:r>
      <w:r w:rsidR="0071223E">
        <w:rPr>
          <w:kern w:val="0"/>
        </w:rPr>
        <w:t>’</w:t>
      </w:r>
      <w:r>
        <w:rPr>
          <w:kern w:val="0"/>
        </w:rPr>
        <w:t xml:space="preserve"> launch in April 2012, a new bibliometric tool for the evaluation</w:t>
      </w:r>
      <w:r w:rsidR="00427468">
        <w:rPr>
          <w:kern w:val="0"/>
        </w:rPr>
        <w:t xml:space="preserve"> of </w:t>
      </w:r>
      <w:r>
        <w:rPr>
          <w:kern w:val="0"/>
        </w:rPr>
        <w:t>scientific journals by means</w:t>
      </w:r>
      <w:r w:rsidR="00427468">
        <w:rPr>
          <w:kern w:val="0"/>
        </w:rPr>
        <w:t xml:space="preserve"> of </w:t>
      </w:r>
      <w:r>
        <w:rPr>
          <w:kern w:val="0"/>
        </w:rPr>
        <w:t xml:space="preserve">citation counting, has ended with the duopoly exerted by the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databases. This paper aims at comparing the coverage</w:t>
      </w:r>
      <w:r w:rsidR="00427468">
        <w:rPr>
          <w:kern w:val="0"/>
        </w:rPr>
        <w:t xml:space="preserve"> of </w:t>
      </w:r>
      <w:r>
        <w:rPr>
          <w:kern w:val="0"/>
        </w:rPr>
        <w:t>these three databases</w:t>
      </w:r>
      <w:r w:rsidR="005853A9">
        <w:rPr>
          <w:kern w:val="0"/>
        </w:rPr>
        <w:t xml:space="preserve"> and </w:t>
      </w:r>
      <w:r>
        <w:rPr>
          <w:kern w:val="0"/>
        </w:rPr>
        <w:t>the similarity their journal rankings may have. We selected a sample</w:t>
      </w:r>
      <w:r w:rsidR="00427468">
        <w:rPr>
          <w:kern w:val="0"/>
        </w:rPr>
        <w:t xml:space="preserve"> of </w:t>
      </w:r>
      <w:r>
        <w:rPr>
          <w:kern w:val="0"/>
        </w:rPr>
        <w:t>journals from the field</w:t>
      </w:r>
      <w:r w:rsidR="00427468">
        <w:rPr>
          <w:kern w:val="0"/>
        </w:rPr>
        <w:t xml:space="preserve"> of </w:t>
      </w:r>
      <w:r>
        <w:rPr>
          <w:kern w:val="0"/>
        </w:rPr>
        <w:t xml:space="preserve">Communication Studies indexed in the three databases. Data was recollected on 17-20 November, 2012. 277 journals were identified to which we calculated their </w:t>
      </w:r>
      <w:r w:rsidR="00D5664A">
        <w:rPr>
          <w:kern w:val="0"/>
        </w:rPr>
        <w:lastRenderedPageBreak/>
        <w:t>h-Index</w:t>
      </w:r>
      <w:r w:rsidR="005853A9">
        <w:rPr>
          <w:kern w:val="0"/>
        </w:rPr>
        <w:t xml:space="preserve"> and </w:t>
      </w:r>
      <w:r>
        <w:rPr>
          <w:kern w:val="0"/>
        </w:rPr>
        <w:t>ranked them according to such indicator</w:t>
      </w:r>
      <w:r w:rsidR="00A37C1D">
        <w:rPr>
          <w:kern w:val="0"/>
        </w:rPr>
        <w:t>. The</w:t>
      </w:r>
      <w:r>
        <w:rPr>
          <w:kern w:val="0"/>
        </w:rPr>
        <w:t>n, we analyzed the correlation between the rankings generated. Google Scholar Metrics dobles the coverage</w:t>
      </w:r>
      <w:r w:rsidR="00427468">
        <w:rPr>
          <w:kern w:val="0"/>
        </w:rPr>
        <w:t xml:space="preserve"> of </w:t>
      </w:r>
      <w:r>
        <w:rPr>
          <w:kern w:val="0"/>
        </w:rPr>
        <w:t xml:space="preserve">the other databases, reducing the bias toward English language both; </w:t>
      </w:r>
      <w:r w:rsidR="00D5664A">
        <w:rPr>
          <w:kern w:val="0"/>
        </w:rPr>
        <w:t>Web</w:t>
      </w:r>
      <w:r w:rsidR="00427468">
        <w:rPr>
          <w:kern w:val="0"/>
        </w:rPr>
        <w:t xml:space="preserve"> of </w:t>
      </w:r>
      <w:r w:rsidR="00D5664A">
        <w:rPr>
          <w:kern w:val="0"/>
        </w:rPr>
        <w:t>Science</w:t>
      </w:r>
      <w:r w:rsidR="005853A9">
        <w:rPr>
          <w:kern w:val="0"/>
        </w:rPr>
        <w:t xml:space="preserve"> and </w:t>
      </w:r>
      <w:r>
        <w:rPr>
          <w:kern w:val="0"/>
        </w:rPr>
        <w:t xml:space="preserve">Scopus have. Google Scholar Metrics shows higher </w:t>
      </w:r>
      <w:r w:rsidR="00D5664A">
        <w:rPr>
          <w:kern w:val="0"/>
        </w:rPr>
        <w:t>h-Index</w:t>
      </w:r>
      <w:r>
        <w:rPr>
          <w:kern w:val="0"/>
        </w:rPr>
        <w:t xml:space="preserve"> values (an average 47% higher than Scopus</w:t>
      </w:r>
      <w:r w:rsidR="005853A9">
        <w:rPr>
          <w:kern w:val="0"/>
        </w:rPr>
        <w:t xml:space="preserve"> and </w:t>
      </w:r>
      <w:r>
        <w:rPr>
          <w:kern w:val="0"/>
        </w:rPr>
        <w:t xml:space="preserve">40% higher than </w:t>
      </w:r>
      <w:r w:rsidR="00D5664A">
        <w:rPr>
          <w:kern w:val="0"/>
        </w:rPr>
        <w:t>Web</w:t>
      </w:r>
      <w:r w:rsidR="00427468">
        <w:rPr>
          <w:kern w:val="0"/>
        </w:rPr>
        <w:t xml:space="preserve"> of </w:t>
      </w:r>
      <w:r w:rsidR="00D5664A">
        <w:rPr>
          <w:kern w:val="0"/>
        </w:rPr>
        <w:t>Science</w:t>
      </w:r>
      <w:r>
        <w:rPr>
          <w:kern w:val="0"/>
        </w:rPr>
        <w:t>), allowing to better rank journals. We conclude that Google Scholar Metrics is a tool capable</w:t>
      </w:r>
      <w:r w:rsidR="00427468">
        <w:rPr>
          <w:kern w:val="0"/>
        </w:rPr>
        <w:t xml:space="preserve"> of </w:t>
      </w:r>
      <w:r>
        <w:rPr>
          <w:kern w:val="0"/>
        </w:rPr>
        <w:t>identifying the main journals in Communication Studies offering results as reliable</w:t>
      </w:r>
      <w:r w:rsidR="005853A9">
        <w:rPr>
          <w:kern w:val="0"/>
        </w:rPr>
        <w:t xml:space="preserve"> and </w:t>
      </w:r>
      <w:r>
        <w:rPr>
          <w:kern w:val="0"/>
        </w:rPr>
        <w:t xml:space="preserve">valid as the ones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show.</w:t>
      </w:r>
    </w:p>
    <w:p w:rsidR="005142E2" w:rsidRDefault="005142E2" w:rsidP="005142E2">
      <w:pPr>
        <w:pStyle w:val="a3"/>
        <w:rPr>
          <w:kern w:val="0"/>
        </w:rPr>
      </w:pPr>
      <w:r>
        <w:rPr>
          <w:kern w:val="0"/>
        </w:rPr>
        <w:t xml:space="preserve">Keywords: Article, Bias, Bibliometric, Bibliometrics, Citation, Citations, Citations Analysis, Communication, Correlation, Coverage, Databases, Education, Evaluation, Field, Google, Google Scholar, Google Scholar Metrics, </w:t>
      </w:r>
      <w:r w:rsidR="00D5664A">
        <w:rPr>
          <w:rFonts w:hint="eastAsia"/>
          <w:kern w:val="0"/>
        </w:rPr>
        <w:t>h Index</w:t>
      </w:r>
      <w:r>
        <w:rPr>
          <w:kern w:val="0"/>
        </w:rPr>
        <w:t xml:space="preserve">, </w:t>
      </w:r>
      <w:r w:rsidR="00D5664A">
        <w:rPr>
          <w:rFonts w:hint="eastAsia"/>
          <w:kern w:val="0"/>
        </w:rPr>
        <w:t>h-Index</w:t>
      </w:r>
      <w:r>
        <w:rPr>
          <w:kern w:val="0"/>
        </w:rPr>
        <w:t xml:space="preserve">, Impact, Indicator, Indicators, Journal, Journal Rankings, Journals, Language, Main Journals, Metrics, Rank, Ranking, Rankings, Research, Science, Scientific Journals, Scopus, Similarity, Spain, Web, </w:t>
      </w:r>
      <w:r w:rsidR="00D5664A">
        <w:rPr>
          <w:kern w:val="0"/>
        </w:rPr>
        <w:t>Web</w:t>
      </w:r>
      <w:r w:rsidR="00427468">
        <w:rPr>
          <w:kern w:val="0"/>
        </w:rPr>
        <w:t xml:space="preserve"> of </w:t>
      </w:r>
      <w:r w:rsidR="00D5664A">
        <w:rPr>
          <w:kern w:val="0"/>
        </w:rPr>
        <w:t>Science</w:t>
      </w:r>
    </w:p>
    <w:p w:rsidR="005142E2" w:rsidRDefault="005142E2" w:rsidP="005142E2">
      <w:pPr>
        <w:pStyle w:val="a3"/>
        <w:rPr>
          <w:kern w:val="0"/>
        </w:rPr>
      </w:pPr>
      <w:r>
        <w:rPr>
          <w:rFonts w:hint="eastAsia"/>
          <w:kern w:val="0"/>
        </w:rPr>
        <w:t xml:space="preserve">? </w:t>
      </w:r>
      <w:r>
        <w:rPr>
          <w:kern w:val="0"/>
        </w:rPr>
        <w:t>Torres, D., Cabezas, A.</w:t>
      </w:r>
      <w:r w:rsidR="005853A9">
        <w:rPr>
          <w:kern w:val="0"/>
        </w:rPr>
        <w:t xml:space="preserve"> and </w:t>
      </w:r>
      <w:r>
        <w:rPr>
          <w:kern w:val="0"/>
        </w:rPr>
        <w:t xml:space="preserve">Jimenez, E. (2013), Altmetrics: New indicators for scientific communication in Web 2.0. </w:t>
      </w:r>
      <w:r>
        <w:rPr>
          <w:i/>
          <w:iCs/>
          <w:kern w:val="0"/>
        </w:rPr>
        <w:t>Comunicar</w:t>
      </w:r>
      <w:r>
        <w:rPr>
          <w:kern w:val="0"/>
        </w:rPr>
        <w:t>, (41), 53-60.</w:t>
      </w:r>
    </w:p>
    <w:p w:rsidR="005142E2" w:rsidRDefault="005142E2" w:rsidP="005142E2">
      <w:pPr>
        <w:pStyle w:val="a3"/>
        <w:rPr>
          <w:kern w:val="0"/>
        </w:rPr>
      </w:pPr>
      <w:r>
        <w:rPr>
          <w:rFonts w:hint="eastAsia"/>
          <w:kern w:val="0"/>
        </w:rPr>
        <w:t xml:space="preserve">Full Text: </w:t>
      </w:r>
      <w:hyperlink r:id="rId996" w:history="1">
        <w:r w:rsidRPr="000E42B8">
          <w:rPr>
            <w:rStyle w:val="a5"/>
            <w:kern w:val="0"/>
          </w:rPr>
          <w:t>2013\Comunicar41, 53.pdf</w:t>
        </w:r>
      </w:hyperlink>
    </w:p>
    <w:p w:rsidR="005142E2" w:rsidRDefault="005142E2" w:rsidP="005142E2">
      <w:pPr>
        <w:pStyle w:val="a3"/>
        <w:rPr>
          <w:kern w:val="0"/>
        </w:rPr>
      </w:pPr>
      <w:r>
        <w:rPr>
          <w:kern w:val="0"/>
        </w:rPr>
        <w:t>Abstract: In this paper we review the so-called altmetrics or alternative metrics. This concept raises from the development</w:t>
      </w:r>
      <w:r w:rsidR="00427468">
        <w:rPr>
          <w:kern w:val="0"/>
        </w:rPr>
        <w:t xml:space="preserve"> of </w:t>
      </w:r>
      <w:r>
        <w:rPr>
          <w:kern w:val="0"/>
        </w:rPr>
        <w:t>new indicators based on Web 2.0, for the evaluation</w:t>
      </w:r>
      <w:r w:rsidR="00427468">
        <w:rPr>
          <w:kern w:val="0"/>
        </w:rPr>
        <w:t xml:space="preserve"> of </w:t>
      </w:r>
      <w:r>
        <w:rPr>
          <w:kern w:val="0"/>
        </w:rPr>
        <w:t>the research</w:t>
      </w:r>
      <w:r w:rsidR="005853A9">
        <w:rPr>
          <w:kern w:val="0"/>
        </w:rPr>
        <w:t xml:space="preserve"> and </w:t>
      </w:r>
      <w:r>
        <w:rPr>
          <w:kern w:val="0"/>
        </w:rPr>
        <w:t>academic activity</w:t>
      </w:r>
      <w:r w:rsidR="00A37C1D">
        <w:rPr>
          <w:kern w:val="0"/>
        </w:rPr>
        <w:t>. The</w:t>
      </w:r>
      <w:r>
        <w:rPr>
          <w:kern w:val="0"/>
        </w:rPr>
        <w:t xml:space="preserve"> basic assumption is that variables such as mentions in blogs, number</w:t>
      </w:r>
      <w:r w:rsidR="00427468">
        <w:rPr>
          <w:kern w:val="0"/>
        </w:rPr>
        <w:t xml:space="preserve"> of </w:t>
      </w:r>
      <w:r>
        <w:rPr>
          <w:kern w:val="0"/>
        </w:rPr>
        <w:t>twits or</w:t>
      </w:r>
      <w:r w:rsidR="00427468">
        <w:rPr>
          <w:kern w:val="0"/>
        </w:rPr>
        <w:t xml:space="preserve"> of </w:t>
      </w:r>
      <w:r>
        <w:rPr>
          <w:kern w:val="0"/>
        </w:rPr>
        <w:t>researchers bookmarking a research paper for instance, may be legitimate indicators for measuring the use</w:t>
      </w:r>
      <w:r w:rsidR="005853A9">
        <w:rPr>
          <w:kern w:val="0"/>
        </w:rPr>
        <w:t xml:space="preserve"> and </w:t>
      </w:r>
      <w:r>
        <w:rPr>
          <w:kern w:val="0"/>
        </w:rPr>
        <w:t>impact</w:t>
      </w:r>
      <w:r w:rsidR="00427468">
        <w:rPr>
          <w:kern w:val="0"/>
        </w:rPr>
        <w:t xml:space="preserve"> of </w:t>
      </w:r>
      <w:r>
        <w:rPr>
          <w:kern w:val="0"/>
        </w:rPr>
        <w:t>scientific publications. In this sense, these indicators are currently the focus</w:t>
      </w:r>
      <w:r w:rsidR="00427468">
        <w:rPr>
          <w:kern w:val="0"/>
        </w:rPr>
        <w:t xml:space="preserve"> of </w:t>
      </w:r>
      <w:r>
        <w:rPr>
          <w:kern w:val="0"/>
        </w:rPr>
        <w:t>the bibliometric community</w:t>
      </w:r>
      <w:r w:rsidR="005853A9">
        <w:rPr>
          <w:kern w:val="0"/>
        </w:rPr>
        <w:t xml:space="preserve"> and </w:t>
      </w:r>
      <w:r>
        <w:rPr>
          <w:kern w:val="0"/>
        </w:rPr>
        <w:t>are being discussed</w:t>
      </w:r>
      <w:r w:rsidR="005853A9">
        <w:rPr>
          <w:kern w:val="0"/>
        </w:rPr>
        <w:t xml:space="preserve"> and </w:t>
      </w:r>
      <w:r>
        <w:rPr>
          <w:kern w:val="0"/>
        </w:rPr>
        <w:t>debated. We describe the main platforms</w:t>
      </w:r>
      <w:r w:rsidR="005853A9">
        <w:rPr>
          <w:kern w:val="0"/>
        </w:rPr>
        <w:t xml:space="preserve"> and </w:t>
      </w:r>
      <w:r>
        <w:rPr>
          <w:kern w:val="0"/>
        </w:rPr>
        <w:t>indicators</w:t>
      </w:r>
      <w:r w:rsidR="005853A9">
        <w:rPr>
          <w:kern w:val="0"/>
        </w:rPr>
        <w:t xml:space="preserve"> and </w:t>
      </w:r>
      <w:r>
        <w:rPr>
          <w:kern w:val="0"/>
        </w:rPr>
        <w:t>we analyze as a sample the Spanish research output in Communication Studies. Comparing traditional indicators such as citations with these new indicators</w:t>
      </w:r>
      <w:r w:rsidR="00A37C1D">
        <w:rPr>
          <w:kern w:val="0"/>
        </w:rPr>
        <w:t>. The</w:t>
      </w:r>
      <w:r>
        <w:rPr>
          <w:kern w:val="0"/>
        </w:rPr>
        <w:t xml:space="preserve"> results show that the most cited papers are also the ones with a highest impact according to the altmetrics. We conclude pointing out the main shortcomings these metrics present</w:t>
      </w:r>
      <w:r w:rsidR="005853A9">
        <w:rPr>
          <w:kern w:val="0"/>
        </w:rPr>
        <w:t xml:space="preserve"> and </w:t>
      </w:r>
      <w:r>
        <w:rPr>
          <w:kern w:val="0"/>
        </w:rPr>
        <w:t>the role they may play when measuring the research impact through 2.0 platforms.</w:t>
      </w:r>
    </w:p>
    <w:p w:rsidR="005142E2" w:rsidRDefault="005142E2" w:rsidP="005142E2">
      <w:pPr>
        <w:pStyle w:val="a3"/>
        <w:rPr>
          <w:kern w:val="0"/>
        </w:rPr>
      </w:pPr>
      <w:r>
        <w:rPr>
          <w:kern w:val="0"/>
        </w:rPr>
        <w:t>Keywords: Activity, Alternative, Altmetrics, Article, Bibliometric, Citations, Communication, Community, Development, Education, Evaluation, Impact, Indicators, Information, Internet, Journals, Metrics, Papers, Publications, Quantitative Methods, Research, Research Impact, Research Output, Review, Role, Science, Scientific Communication, Scientific Publications, Social Networks, Social Web, Spain, Web 2.0</w:t>
      </w:r>
    </w:p>
    <w:p w:rsidR="005142E2" w:rsidRDefault="005142E2" w:rsidP="005142E2">
      <w:pPr>
        <w:pStyle w:val="a3"/>
        <w:rPr>
          <w:kern w:val="0"/>
        </w:rPr>
      </w:pPr>
      <w:r>
        <w:rPr>
          <w:rFonts w:hint="eastAsia"/>
          <w:kern w:val="0"/>
        </w:rPr>
        <w:t xml:space="preserve">? </w:t>
      </w:r>
      <w:r>
        <w:rPr>
          <w:kern w:val="0"/>
        </w:rPr>
        <w:t>Casanueva, C.</w:t>
      </w:r>
      <w:r w:rsidR="005853A9">
        <w:rPr>
          <w:kern w:val="0"/>
        </w:rPr>
        <w:t xml:space="preserve"> and </w:t>
      </w:r>
      <w:r>
        <w:rPr>
          <w:kern w:val="0"/>
        </w:rPr>
        <w:t xml:space="preserve">Caro, F.J. (2013), Spanish communication academia: Scientific productivity vs. social activity. </w:t>
      </w:r>
      <w:r>
        <w:rPr>
          <w:i/>
          <w:iCs/>
          <w:kern w:val="0"/>
        </w:rPr>
        <w:t>Comunicar</w:t>
      </w:r>
      <w:r>
        <w:rPr>
          <w:kern w:val="0"/>
        </w:rPr>
        <w:t xml:space="preserve">, </w:t>
      </w:r>
      <w:r w:rsidRPr="00F86E75">
        <w:rPr>
          <w:b/>
          <w:kern w:val="0"/>
        </w:rPr>
        <w:t>41</w:t>
      </w:r>
      <w:r>
        <w:rPr>
          <w:kern w:val="0"/>
        </w:rPr>
        <w:t>, 61-70.</w:t>
      </w:r>
    </w:p>
    <w:p w:rsidR="005142E2" w:rsidRDefault="005142E2" w:rsidP="005142E2">
      <w:pPr>
        <w:pStyle w:val="a3"/>
        <w:rPr>
          <w:kern w:val="0"/>
        </w:rPr>
      </w:pPr>
      <w:r>
        <w:rPr>
          <w:rFonts w:hint="eastAsia"/>
          <w:kern w:val="0"/>
        </w:rPr>
        <w:t xml:space="preserve">Full Text: </w:t>
      </w:r>
      <w:hyperlink r:id="rId997" w:history="1">
        <w:r w:rsidRPr="008F5E75">
          <w:rPr>
            <w:rStyle w:val="a5"/>
            <w:kern w:val="0"/>
          </w:rPr>
          <w:t>2013\Comunicar41, 61.pdf</w:t>
        </w:r>
      </w:hyperlink>
    </w:p>
    <w:p w:rsidR="005142E2" w:rsidRDefault="005142E2" w:rsidP="005142E2">
      <w:pPr>
        <w:pStyle w:val="a3"/>
        <w:rPr>
          <w:kern w:val="0"/>
        </w:rPr>
      </w:pPr>
      <w:r>
        <w:rPr>
          <w:kern w:val="0"/>
        </w:rPr>
        <w:lastRenderedPageBreak/>
        <w:t>Abstract: At a time when academic activity in the area</w:t>
      </w:r>
      <w:r w:rsidR="00427468">
        <w:rPr>
          <w:kern w:val="0"/>
        </w:rPr>
        <w:t xml:space="preserve"> of </w:t>
      </w:r>
      <w:r>
        <w:rPr>
          <w:kern w:val="0"/>
        </w:rPr>
        <w:t>communication is principally assessed by the impact</w:t>
      </w:r>
      <w:r w:rsidR="00427468">
        <w:rPr>
          <w:kern w:val="0"/>
        </w:rPr>
        <w:t xml:space="preserve"> of </w:t>
      </w:r>
      <w:r>
        <w:rPr>
          <w:kern w:val="0"/>
        </w:rPr>
        <w:t>scientific journals, the scientific media</w:t>
      </w:r>
      <w:r w:rsidR="005853A9">
        <w:rPr>
          <w:kern w:val="0"/>
        </w:rPr>
        <w:t xml:space="preserve"> and </w:t>
      </w:r>
      <w:r>
        <w:rPr>
          <w:kern w:val="0"/>
        </w:rPr>
        <w:t>the scientific productivity</w:t>
      </w:r>
      <w:r w:rsidR="00427468">
        <w:rPr>
          <w:kern w:val="0"/>
        </w:rPr>
        <w:t xml:space="preserve"> of </w:t>
      </w:r>
      <w:r>
        <w:rPr>
          <w:kern w:val="0"/>
        </w:rPr>
        <w:t>researchers, the question arises as to whether social factors condition scientific activity as much as these objective elements. This investigation analyzes the influence</w:t>
      </w:r>
      <w:r w:rsidR="00427468">
        <w:rPr>
          <w:kern w:val="0"/>
        </w:rPr>
        <w:t xml:space="preserve"> of </w:t>
      </w:r>
      <w:r>
        <w:rPr>
          <w:kern w:val="0"/>
        </w:rPr>
        <w:t>scientific productivity</w:t>
      </w:r>
      <w:r w:rsidR="005853A9">
        <w:rPr>
          <w:kern w:val="0"/>
        </w:rPr>
        <w:t xml:space="preserve"> and </w:t>
      </w:r>
      <w:r>
        <w:rPr>
          <w:kern w:val="0"/>
        </w:rPr>
        <w:t>social activity in the area</w:t>
      </w:r>
      <w:r w:rsidR="00427468">
        <w:rPr>
          <w:kern w:val="0"/>
        </w:rPr>
        <w:t xml:space="preserve"> of </w:t>
      </w:r>
      <w:r>
        <w:rPr>
          <w:kern w:val="0"/>
        </w:rPr>
        <w:t>communication. We identify a social network</w:t>
      </w:r>
      <w:r w:rsidR="00427468">
        <w:rPr>
          <w:kern w:val="0"/>
        </w:rPr>
        <w:t xml:space="preserve"> of </w:t>
      </w:r>
      <w:r>
        <w:rPr>
          <w:kern w:val="0"/>
        </w:rPr>
        <w:t>researchers from a compilation</w:t>
      </w:r>
      <w:r w:rsidR="00427468">
        <w:rPr>
          <w:kern w:val="0"/>
        </w:rPr>
        <w:t xml:space="preserve"> of </w:t>
      </w:r>
      <w:r>
        <w:rPr>
          <w:kern w:val="0"/>
        </w:rPr>
        <w:t>doctoral theses in communication</w:t>
      </w:r>
      <w:r w:rsidR="005853A9">
        <w:rPr>
          <w:kern w:val="0"/>
        </w:rPr>
        <w:t xml:space="preserve"> and </w:t>
      </w:r>
      <w:r>
        <w:rPr>
          <w:kern w:val="0"/>
        </w:rPr>
        <w:t>calculate the scientific production</w:t>
      </w:r>
      <w:r w:rsidR="00427468">
        <w:rPr>
          <w:kern w:val="0"/>
        </w:rPr>
        <w:t xml:space="preserve"> of </w:t>
      </w:r>
      <w:r>
        <w:rPr>
          <w:kern w:val="0"/>
        </w:rPr>
        <w:t>180</w:t>
      </w:r>
      <w:r w:rsidR="00427468">
        <w:rPr>
          <w:kern w:val="0"/>
        </w:rPr>
        <w:t xml:space="preserve"> of </w:t>
      </w:r>
      <w:r>
        <w:rPr>
          <w:kern w:val="0"/>
        </w:rPr>
        <w:t>the most active researchers who sit on doctoral committees. Social network analysis is then used to study the relations that are formed on these doctoral thesis committees</w:t>
      </w:r>
      <w:r w:rsidR="00A37C1D">
        <w:rPr>
          <w:kern w:val="0"/>
        </w:rPr>
        <w:t>. The</w:t>
      </w:r>
      <w:r>
        <w:rPr>
          <w:kern w:val="0"/>
        </w:rPr>
        <w:t xml:space="preserve"> results suggest that social factors, rather than individual scientific productivity, positively influence such a key academic</w:t>
      </w:r>
      <w:r w:rsidR="005853A9">
        <w:rPr>
          <w:kern w:val="0"/>
        </w:rPr>
        <w:t xml:space="preserve"> and </w:t>
      </w:r>
      <w:r>
        <w:rPr>
          <w:kern w:val="0"/>
        </w:rPr>
        <w:t>scientific activity as the award</w:t>
      </w:r>
      <w:r w:rsidR="00427468">
        <w:rPr>
          <w:kern w:val="0"/>
        </w:rPr>
        <w:t xml:space="preserve"> of </w:t>
      </w:r>
      <w:r>
        <w:rPr>
          <w:kern w:val="0"/>
        </w:rPr>
        <w:t>doctoral degrees. Our conclusions point to a disconnection between scientific productivity</w:t>
      </w:r>
      <w:r w:rsidR="005853A9">
        <w:rPr>
          <w:kern w:val="0"/>
        </w:rPr>
        <w:t xml:space="preserve"> and </w:t>
      </w:r>
      <w:r>
        <w:rPr>
          <w:kern w:val="0"/>
        </w:rPr>
        <w:t>the international scope</w:t>
      </w:r>
      <w:r w:rsidR="00427468">
        <w:rPr>
          <w:kern w:val="0"/>
        </w:rPr>
        <w:t xml:space="preserve"> of </w:t>
      </w:r>
      <w:r>
        <w:rPr>
          <w:kern w:val="0"/>
        </w:rPr>
        <w:t>researchers</w:t>
      </w:r>
      <w:r w:rsidR="005853A9">
        <w:rPr>
          <w:kern w:val="0"/>
        </w:rPr>
        <w:t xml:space="preserve"> and </w:t>
      </w:r>
      <w:r>
        <w:rPr>
          <w:kern w:val="0"/>
        </w:rPr>
        <w:t>their role in the social network. Nevertheless, the consequences</w:t>
      </w:r>
      <w:r w:rsidR="00427468">
        <w:rPr>
          <w:kern w:val="0"/>
        </w:rPr>
        <w:t xml:space="preserve"> of </w:t>
      </w:r>
      <w:r>
        <w:rPr>
          <w:kern w:val="0"/>
        </w:rPr>
        <w:t>this situation are tempered by the non-hierarchical structure</w:t>
      </w:r>
      <w:r w:rsidR="00427468">
        <w:rPr>
          <w:kern w:val="0"/>
        </w:rPr>
        <w:t xml:space="preserve"> of </w:t>
      </w:r>
      <w:r>
        <w:rPr>
          <w:kern w:val="0"/>
        </w:rPr>
        <w:t>relations between communication scientists.</w:t>
      </w:r>
    </w:p>
    <w:p w:rsidR="005142E2" w:rsidRDefault="005142E2" w:rsidP="005142E2">
      <w:pPr>
        <w:pStyle w:val="a3"/>
        <w:rPr>
          <w:kern w:val="0"/>
        </w:rPr>
      </w:pPr>
      <w:r>
        <w:rPr>
          <w:kern w:val="0"/>
        </w:rPr>
        <w:t>Keywords: Activity, Analysis, Article, Bibliometrics, Business, Communication, Communication Research, Doctoral Theses, Education, Finance, Impact, Influence, International, Investigation, Invisible Colleges, Journals, Media, Network, Network Analysis, Productivity, Relations, Research, Role, Science, Scientific Journals, Scientific Production, Scientific Productivity, Scientists, Scope, Social, Social Network, Social Network Analysis, Social Networks, Spain, Structure, Thesis, University</w:t>
      </w:r>
    </w:p>
    <w:p w:rsidR="005142E2" w:rsidRDefault="005142E2" w:rsidP="005142E2">
      <w:pPr>
        <w:pStyle w:val="a3"/>
        <w:rPr>
          <w:kern w:val="0"/>
        </w:rPr>
      </w:pPr>
      <w:r>
        <w:rPr>
          <w:rFonts w:hint="eastAsia"/>
          <w:kern w:val="0"/>
        </w:rPr>
        <w:t xml:space="preserve">? </w:t>
      </w:r>
      <w:r>
        <w:rPr>
          <w:kern w:val="0"/>
        </w:rPr>
        <w:t>Navarro, M.</w:t>
      </w:r>
      <w:r w:rsidR="005853A9">
        <w:rPr>
          <w:kern w:val="0"/>
        </w:rPr>
        <w:t xml:space="preserve"> and </w:t>
      </w:r>
      <w:r>
        <w:rPr>
          <w:kern w:val="0"/>
        </w:rPr>
        <w:t>Martin, M. (2013), Bibliometric analysis</w:t>
      </w:r>
      <w:r w:rsidR="00427468">
        <w:rPr>
          <w:kern w:val="0"/>
        </w:rPr>
        <w:t xml:space="preserve"> of </w:t>
      </w:r>
      <w:r>
        <w:rPr>
          <w:kern w:val="0"/>
        </w:rPr>
        <w:t>research on women</w:t>
      </w:r>
      <w:r w:rsidR="005853A9">
        <w:rPr>
          <w:kern w:val="0"/>
        </w:rPr>
        <w:t xml:space="preserve"> and </w:t>
      </w:r>
      <w:r>
        <w:rPr>
          <w:kern w:val="0"/>
        </w:rPr>
        <w:t>advertising: Differences in print</w:t>
      </w:r>
      <w:r w:rsidR="005853A9">
        <w:rPr>
          <w:kern w:val="0"/>
        </w:rPr>
        <w:t xml:space="preserve"> and </w:t>
      </w:r>
      <w:r>
        <w:rPr>
          <w:kern w:val="0"/>
        </w:rPr>
        <w:t xml:space="preserve">audiovisual media. </w:t>
      </w:r>
      <w:r>
        <w:rPr>
          <w:i/>
          <w:iCs/>
          <w:kern w:val="0"/>
        </w:rPr>
        <w:t>Comunicar</w:t>
      </w:r>
      <w:r>
        <w:rPr>
          <w:kern w:val="0"/>
        </w:rPr>
        <w:t xml:space="preserve">, </w:t>
      </w:r>
      <w:r w:rsidRPr="00F86E75">
        <w:rPr>
          <w:b/>
          <w:kern w:val="0"/>
        </w:rPr>
        <w:t>41</w:t>
      </w:r>
      <w:r>
        <w:rPr>
          <w:kern w:val="0"/>
        </w:rPr>
        <w:t>, 105-114.</w:t>
      </w:r>
    </w:p>
    <w:p w:rsidR="005142E2" w:rsidRDefault="005142E2" w:rsidP="005142E2">
      <w:pPr>
        <w:pStyle w:val="a3"/>
        <w:rPr>
          <w:kern w:val="0"/>
        </w:rPr>
      </w:pPr>
      <w:r>
        <w:rPr>
          <w:rFonts w:hint="eastAsia"/>
          <w:kern w:val="0"/>
        </w:rPr>
        <w:t xml:space="preserve">Full Text: </w:t>
      </w:r>
      <w:hyperlink r:id="rId998" w:history="1">
        <w:r w:rsidRPr="008F5E75">
          <w:rPr>
            <w:rStyle w:val="a5"/>
            <w:kern w:val="0"/>
          </w:rPr>
          <w:t>2013\Comunicar41, 105.pdf</w:t>
        </w:r>
      </w:hyperlink>
    </w:p>
    <w:p w:rsidR="005142E2" w:rsidRDefault="005142E2" w:rsidP="005142E2">
      <w:pPr>
        <w:pStyle w:val="a3"/>
        <w:rPr>
          <w:kern w:val="0"/>
        </w:rPr>
      </w:pPr>
      <w:r>
        <w:rPr>
          <w:kern w:val="0"/>
        </w:rPr>
        <w:t>Abstract: The media in general,</w:t>
      </w:r>
      <w:r w:rsidR="005853A9">
        <w:rPr>
          <w:kern w:val="0"/>
        </w:rPr>
        <w:t xml:space="preserve"> and </w:t>
      </w:r>
      <w:r>
        <w:rPr>
          <w:kern w:val="0"/>
        </w:rPr>
        <w:t>advertising in particular, are considered as important agents</w:t>
      </w:r>
      <w:r w:rsidR="00427468">
        <w:rPr>
          <w:kern w:val="0"/>
        </w:rPr>
        <w:t xml:space="preserve"> of </w:t>
      </w:r>
      <w:r>
        <w:rPr>
          <w:kern w:val="0"/>
        </w:rPr>
        <w:t>socialization, including gender-related issues. Thus the legislator has focused on the regulation</w:t>
      </w:r>
      <w:r w:rsidR="00427468">
        <w:rPr>
          <w:kern w:val="0"/>
        </w:rPr>
        <w:t xml:space="preserve"> of </w:t>
      </w:r>
      <w:r>
        <w:rPr>
          <w:kern w:val="0"/>
        </w:rPr>
        <w:t>the images</w:t>
      </w:r>
      <w:r w:rsidR="00427468">
        <w:rPr>
          <w:kern w:val="0"/>
        </w:rPr>
        <w:t xml:space="preserve"> of </w:t>
      </w:r>
      <w:r>
        <w:rPr>
          <w:kern w:val="0"/>
        </w:rPr>
        <w:t>women</w:t>
      </w:r>
      <w:r w:rsidR="005853A9">
        <w:rPr>
          <w:kern w:val="0"/>
        </w:rPr>
        <w:t xml:space="preserve"> and </w:t>
      </w:r>
      <w:r>
        <w:rPr>
          <w:kern w:val="0"/>
        </w:rPr>
        <w:t>men in advertisements. However, regulations prohibiting sexist advertising in Spain pay specific attention to audiovisual media</w:t>
      </w:r>
      <w:r w:rsidR="00A37C1D">
        <w:rPr>
          <w:kern w:val="0"/>
        </w:rPr>
        <w:t>. The</w:t>
      </w:r>
      <w:r>
        <w:rPr>
          <w:kern w:val="0"/>
        </w:rPr>
        <w:t xml:space="preserve"> objective</w:t>
      </w:r>
      <w:r w:rsidR="00427468">
        <w:rPr>
          <w:kern w:val="0"/>
        </w:rPr>
        <w:t xml:space="preserve"> of </w:t>
      </w:r>
      <w:r>
        <w:rPr>
          <w:kern w:val="0"/>
        </w:rPr>
        <w:t>this study is to check whether this unequal interest also takes place in academic research. This paper analyzes the differences in the scientific literature (national</w:t>
      </w:r>
      <w:r w:rsidR="005853A9">
        <w:rPr>
          <w:kern w:val="0"/>
        </w:rPr>
        <w:t xml:space="preserve"> and </w:t>
      </w:r>
      <w:r>
        <w:rPr>
          <w:kern w:val="0"/>
        </w:rPr>
        <w:t>international) on the sexism in advertising depending on the media. Specifically we examine the methodology, techniques</w:t>
      </w:r>
      <w:r w:rsidR="005853A9">
        <w:rPr>
          <w:kern w:val="0"/>
        </w:rPr>
        <w:t xml:space="preserve"> and </w:t>
      </w:r>
      <w:r>
        <w:rPr>
          <w:kern w:val="0"/>
        </w:rPr>
        <w:t>ways to measure concepts. In order to do this, we conducted a systematic review</w:t>
      </w:r>
      <w:r w:rsidR="00427468">
        <w:rPr>
          <w:kern w:val="0"/>
        </w:rPr>
        <w:t xml:space="preserve"> of </w:t>
      </w:r>
      <w:r>
        <w:rPr>
          <w:kern w:val="0"/>
        </w:rPr>
        <w:t>studies on gender</w:t>
      </w:r>
      <w:r w:rsidR="005853A9">
        <w:rPr>
          <w:kern w:val="0"/>
        </w:rPr>
        <w:t xml:space="preserve"> and </w:t>
      </w:r>
      <w:r>
        <w:rPr>
          <w:kern w:val="0"/>
        </w:rPr>
        <w:t>advertising published in Spanish or English between 1988</w:t>
      </w:r>
      <w:r w:rsidR="005853A9">
        <w:rPr>
          <w:kern w:val="0"/>
        </w:rPr>
        <w:t xml:space="preserve"> and </w:t>
      </w:r>
      <w:r>
        <w:rPr>
          <w:kern w:val="0"/>
        </w:rPr>
        <w:t>2010 in seven databases -Spanish (Dialnet, Compludoc, ISOC), or international (Scopus, Sociological Abstracts, PubMed</w:t>
      </w:r>
      <w:r w:rsidR="005853A9">
        <w:rPr>
          <w:kern w:val="0"/>
        </w:rPr>
        <w:t xml:space="preserve"> and </w:t>
      </w:r>
      <w:r>
        <w:rPr>
          <w:kern w:val="0"/>
        </w:rPr>
        <w:t>Eric)-</w:t>
      </w:r>
      <w:r w:rsidR="00A37C1D">
        <w:rPr>
          <w:kern w:val="0"/>
        </w:rPr>
        <w:t>. The</w:t>
      </w:r>
      <w:r>
        <w:rPr>
          <w:kern w:val="0"/>
        </w:rPr>
        <w:t xml:space="preserve"> main results</w:t>
      </w:r>
      <w:r w:rsidR="00427468">
        <w:rPr>
          <w:kern w:val="0"/>
        </w:rPr>
        <w:t xml:space="preserve"> of </w:t>
      </w:r>
      <w:r>
        <w:rPr>
          <w:kern w:val="0"/>
        </w:rPr>
        <w:t>the 175 texts analyzed show that, unlike legislative controls, the academy has studied mainly sexism in advertising in print media, although interest by analysis</w:t>
      </w:r>
      <w:r w:rsidR="00427468">
        <w:rPr>
          <w:kern w:val="0"/>
        </w:rPr>
        <w:t xml:space="preserve"> of </w:t>
      </w:r>
      <w:r>
        <w:rPr>
          <w:kern w:val="0"/>
        </w:rPr>
        <w:t>the treatment</w:t>
      </w:r>
      <w:r w:rsidR="00427468">
        <w:rPr>
          <w:kern w:val="0"/>
        </w:rPr>
        <w:t xml:space="preserve"> of </w:t>
      </w:r>
      <w:r>
        <w:rPr>
          <w:kern w:val="0"/>
        </w:rPr>
        <w:lastRenderedPageBreak/>
        <w:t>gender in the discourse</w:t>
      </w:r>
      <w:r w:rsidR="00427468">
        <w:rPr>
          <w:kern w:val="0"/>
        </w:rPr>
        <w:t xml:space="preserve"> of </w:t>
      </w:r>
      <w:r>
        <w:rPr>
          <w:kern w:val="0"/>
        </w:rPr>
        <w:t>advertising audiovisual seems to be increasing.</w:t>
      </w:r>
    </w:p>
    <w:p w:rsidR="005142E2" w:rsidRDefault="005142E2" w:rsidP="005142E2">
      <w:pPr>
        <w:pStyle w:val="a3"/>
        <w:rPr>
          <w:kern w:val="0"/>
        </w:rPr>
      </w:pPr>
      <w:r>
        <w:rPr>
          <w:kern w:val="0"/>
        </w:rPr>
        <w:t>Keywords: Advertising, Analysis, Article, Attention, Audiovisual, Bibliometric, Bibliometric Analysis, Business, Communication, Databases, Discourse, Education, Gender, General, International, Legislation, Literature, Magazine, Magazines, Measure, Media, Men, Methodology, Portrayals, Press, Public Policy, Pubmed, Regulation, Regulations, Research, Review, Scientific Literature, Scopus, Sexism, Spain, Systematic Review, Techniques, Television, Treatment, Women</w:t>
      </w:r>
    </w:p>
    <w:p w:rsidR="00710959" w:rsidRDefault="00710959" w:rsidP="00710959">
      <w:pPr>
        <w:pStyle w:val="a3"/>
        <w:rPr>
          <w:kern w:val="0"/>
        </w:rPr>
      </w:pPr>
      <w:r>
        <w:rPr>
          <w:rFonts w:hint="eastAsia"/>
          <w:kern w:val="0"/>
        </w:rPr>
        <w:t xml:space="preserve">? </w:t>
      </w:r>
      <w:r>
        <w:rPr>
          <w:kern w:val="0"/>
        </w:rPr>
        <w:t>Lee, A.Y.L.</w:t>
      </w:r>
      <w:r w:rsidR="005853A9">
        <w:rPr>
          <w:kern w:val="0"/>
        </w:rPr>
        <w:t xml:space="preserve"> and </w:t>
      </w:r>
      <w:r>
        <w:rPr>
          <w:kern w:val="0"/>
        </w:rPr>
        <w:t>So, C.Y.K. (2014), Media literacy</w:t>
      </w:r>
      <w:r w:rsidR="005853A9">
        <w:rPr>
          <w:kern w:val="0"/>
        </w:rPr>
        <w:t xml:space="preserve"> and </w:t>
      </w:r>
      <w:r>
        <w:rPr>
          <w:kern w:val="0"/>
        </w:rPr>
        <w:t>information literacy: Similarities</w:t>
      </w:r>
      <w:r w:rsidR="005853A9">
        <w:rPr>
          <w:kern w:val="0"/>
        </w:rPr>
        <w:t xml:space="preserve"> and </w:t>
      </w:r>
      <w:r>
        <w:rPr>
          <w:kern w:val="0"/>
        </w:rPr>
        <w:t xml:space="preserve">differences. </w:t>
      </w:r>
      <w:r>
        <w:rPr>
          <w:i/>
          <w:iCs/>
          <w:kern w:val="0"/>
        </w:rPr>
        <w:t>Comunicar</w:t>
      </w:r>
      <w:r>
        <w:rPr>
          <w:kern w:val="0"/>
        </w:rPr>
        <w:t xml:space="preserve">, </w:t>
      </w:r>
      <w:r w:rsidRPr="00606E91">
        <w:rPr>
          <w:b/>
          <w:kern w:val="0"/>
        </w:rPr>
        <w:t>42</w:t>
      </w:r>
      <w:r>
        <w:rPr>
          <w:kern w:val="0"/>
        </w:rPr>
        <w:t>, 137-146.</w:t>
      </w:r>
    </w:p>
    <w:p w:rsidR="00710959" w:rsidRDefault="00710959" w:rsidP="00710959">
      <w:pPr>
        <w:pStyle w:val="a3"/>
        <w:rPr>
          <w:kern w:val="0"/>
        </w:rPr>
      </w:pPr>
      <w:r>
        <w:rPr>
          <w:rFonts w:hint="eastAsia"/>
          <w:kern w:val="0"/>
        </w:rPr>
        <w:t xml:space="preserve">Full Text: </w:t>
      </w:r>
      <w:hyperlink r:id="rId999" w:history="1">
        <w:r w:rsidRPr="001325BB">
          <w:rPr>
            <w:rStyle w:val="a5"/>
            <w:kern w:val="0"/>
          </w:rPr>
          <w:t>2014\Comunicar42, 137.pdf</w:t>
        </w:r>
      </w:hyperlink>
    </w:p>
    <w:p w:rsidR="00710959" w:rsidRDefault="00710959" w:rsidP="00710959">
      <w:pPr>
        <w:pStyle w:val="a3"/>
        <w:rPr>
          <w:kern w:val="0"/>
        </w:rPr>
      </w:pPr>
      <w:r>
        <w:rPr>
          <w:kern w:val="0"/>
        </w:rPr>
        <w:t>Abstract: in knowledge society, there is currently a call for cultivating a combination</w:t>
      </w:r>
      <w:r w:rsidR="00427468">
        <w:rPr>
          <w:kern w:val="0"/>
        </w:rPr>
        <w:t xml:space="preserve"> of </w:t>
      </w:r>
      <w:r>
        <w:rPr>
          <w:kern w:val="0"/>
        </w:rPr>
        <w:t>media literacy</w:t>
      </w:r>
      <w:r w:rsidR="005853A9">
        <w:rPr>
          <w:kern w:val="0"/>
        </w:rPr>
        <w:t xml:space="preserve"> and </w:t>
      </w:r>
      <w:r>
        <w:rPr>
          <w:kern w:val="0"/>
        </w:rPr>
        <w:t>information literacy. This, however, requires cooperation from these two separate fields</w:t>
      </w:r>
      <w:r w:rsidR="00427468">
        <w:rPr>
          <w:kern w:val="0"/>
        </w:rPr>
        <w:t xml:space="preserve"> of </w:t>
      </w:r>
      <w:r>
        <w:rPr>
          <w:kern w:val="0"/>
        </w:rPr>
        <w:t>study,</w:t>
      </w:r>
      <w:r w:rsidR="005853A9">
        <w:rPr>
          <w:kern w:val="0"/>
        </w:rPr>
        <w:t xml:space="preserve"> and </w:t>
      </w:r>
      <w:r>
        <w:rPr>
          <w:kern w:val="0"/>
        </w:rPr>
        <w:t>uncertainty regarding their boundaries hinders a smooth merger. It is unclear whether they are subsets</w:t>
      </w:r>
      <w:r w:rsidR="00427468">
        <w:rPr>
          <w:kern w:val="0"/>
        </w:rPr>
        <w:t xml:space="preserve"> of </w:t>
      </w:r>
      <w:r>
        <w:rPr>
          <w:kern w:val="0"/>
        </w:rPr>
        <w:t>each other or separate entities. in this study, we have explored the relationship between these two fields by empirically mapping out their territories</w:t>
      </w:r>
      <w:r w:rsidR="005853A9">
        <w:rPr>
          <w:kern w:val="0"/>
        </w:rPr>
        <w:t xml:space="preserve"> and </w:t>
      </w:r>
      <w:r>
        <w:rPr>
          <w:kern w:val="0"/>
        </w:rPr>
        <w:t>discussing their similarities</w:t>
      </w:r>
      <w:r w:rsidR="005853A9">
        <w:rPr>
          <w:kern w:val="0"/>
        </w:rPr>
        <w:t xml:space="preserve"> and </w:t>
      </w:r>
      <w:r>
        <w:rPr>
          <w:kern w:val="0"/>
        </w:rPr>
        <w:t>differences. We have made use</w:t>
      </w:r>
      <w:r w:rsidR="00427468">
        <w:rPr>
          <w:kern w:val="0"/>
        </w:rPr>
        <w:t xml:space="preserve"> of </w:t>
      </w:r>
      <w:r>
        <w:rPr>
          <w:kern w:val="0"/>
        </w:rPr>
        <w:t>the Web</w:t>
      </w:r>
      <w:r w:rsidR="00427468">
        <w:rPr>
          <w:kern w:val="0"/>
        </w:rPr>
        <w:t xml:space="preserve"> of </w:t>
      </w:r>
      <w:r>
        <w:rPr>
          <w:kern w:val="0"/>
        </w:rPr>
        <w:t>Science database to delineate the content</w:t>
      </w:r>
      <w:r w:rsidR="005853A9">
        <w:rPr>
          <w:kern w:val="0"/>
        </w:rPr>
        <w:t xml:space="preserve"> and </w:t>
      </w:r>
      <w:r>
        <w:rPr>
          <w:kern w:val="0"/>
        </w:rPr>
        <w:t>boundary</w:t>
      </w:r>
      <w:r w:rsidR="00427468">
        <w:rPr>
          <w:kern w:val="0"/>
        </w:rPr>
        <w:t xml:space="preserve"> of </w:t>
      </w:r>
      <w:r>
        <w:rPr>
          <w:kern w:val="0"/>
        </w:rPr>
        <w:t>these two fields. Our findings from 1956 to 2012 show that the two fields have different authors, university affiliations,</w:t>
      </w:r>
      <w:r w:rsidR="005853A9">
        <w:rPr>
          <w:kern w:val="0"/>
        </w:rPr>
        <w:t xml:space="preserve"> and </w:t>
      </w:r>
      <w:r>
        <w:rPr>
          <w:kern w:val="0"/>
        </w:rPr>
        <w:t>journals; they also differ in terms</w:t>
      </w:r>
      <w:r w:rsidR="00427468">
        <w:rPr>
          <w:kern w:val="0"/>
        </w:rPr>
        <w:t xml:space="preserve"> of </w:t>
      </w:r>
      <w:r>
        <w:rPr>
          <w:kern w:val="0"/>
        </w:rPr>
        <w:t>academic origin, scope,</w:t>
      </w:r>
      <w:r w:rsidR="005853A9">
        <w:rPr>
          <w:kern w:val="0"/>
        </w:rPr>
        <w:t xml:space="preserve"> and </w:t>
      </w:r>
      <w:r>
        <w:rPr>
          <w:kern w:val="0"/>
        </w:rPr>
        <w:t>social concern. Information literacy has a closer tie to library science, while media literacy is more related to media content, media industry,</w:t>
      </w:r>
      <w:r w:rsidR="005853A9">
        <w:rPr>
          <w:kern w:val="0"/>
        </w:rPr>
        <w:t xml:space="preserve"> and </w:t>
      </w:r>
      <w:r>
        <w:rPr>
          <w:kern w:val="0"/>
        </w:rPr>
        <w:t>social effects. Due to their different academic orientations, the two fields adopt different analytical approaches. We have found that media literacy is not a subset</w:t>
      </w:r>
      <w:r w:rsidR="00427468">
        <w:rPr>
          <w:kern w:val="0"/>
        </w:rPr>
        <w:t xml:space="preserve"> of </w:t>
      </w:r>
      <w:r>
        <w:rPr>
          <w:kern w:val="0"/>
        </w:rPr>
        <w:t>information literacy as some scholars have suggested, although the two fields have similarities</w:t>
      </w:r>
      <w:r w:rsidR="00A37C1D">
        <w:rPr>
          <w:kern w:val="0"/>
        </w:rPr>
        <w:t>. The</w:t>
      </w:r>
      <w:r>
        <w:rPr>
          <w:kern w:val="0"/>
        </w:rPr>
        <w:t>y share the same goal,</w:t>
      </w:r>
      <w:r w:rsidR="005853A9">
        <w:rPr>
          <w:kern w:val="0"/>
        </w:rPr>
        <w:t xml:space="preserve"> and </w:t>
      </w:r>
      <w:r>
        <w:rPr>
          <w:kern w:val="0"/>
        </w:rPr>
        <w:t>their publications overlap in terms</w:t>
      </w:r>
      <w:r w:rsidR="00427468">
        <w:rPr>
          <w:kern w:val="0"/>
        </w:rPr>
        <w:t xml:space="preserve"> of </w:t>
      </w:r>
      <w:r>
        <w:rPr>
          <w:kern w:val="0"/>
        </w:rPr>
        <w:t>subject areas, countries</w:t>
      </w:r>
      <w:r w:rsidR="00427468">
        <w:rPr>
          <w:kern w:val="0"/>
        </w:rPr>
        <w:t xml:space="preserve"> of </w:t>
      </w:r>
      <w:r>
        <w:rPr>
          <w:kern w:val="0"/>
        </w:rPr>
        <w:t>origin,</w:t>
      </w:r>
      <w:r w:rsidR="005853A9">
        <w:rPr>
          <w:kern w:val="0"/>
        </w:rPr>
        <w:t xml:space="preserve"> and </w:t>
      </w:r>
      <w:r>
        <w:rPr>
          <w:kern w:val="0"/>
        </w:rPr>
        <w:t>titles</w:t>
      </w:r>
      <w:r w:rsidR="00A37C1D">
        <w:rPr>
          <w:kern w:val="0"/>
        </w:rPr>
        <w:t>. The</w:t>
      </w:r>
      <w:r>
        <w:rPr>
          <w:kern w:val="0"/>
        </w:rPr>
        <w:t xml:space="preserve"> two fields could find common ground by cooperating together to contribute to the promotion</w:t>
      </w:r>
      <w:r w:rsidR="00427468">
        <w:rPr>
          <w:kern w:val="0"/>
        </w:rPr>
        <w:t xml:space="preserve"> of </w:t>
      </w:r>
      <w:r>
        <w:rPr>
          <w:kern w:val="0"/>
        </w:rPr>
        <w:t>new literacy in knowledge societies.</w:t>
      </w:r>
    </w:p>
    <w:p w:rsidR="00710959" w:rsidRDefault="00710959" w:rsidP="00710959">
      <w:pPr>
        <w:pStyle w:val="a3"/>
        <w:rPr>
          <w:kern w:val="0"/>
        </w:rPr>
      </w:pPr>
      <w:r>
        <w:rPr>
          <w:kern w:val="0"/>
        </w:rPr>
        <w:t>Keywords: Authors, Boundaries, Boundary Work, Communication Technology Skills, Cooperation, Database, Differences, Effects, Information, Information Literacy, Journals, Knowledge, Knowledge Society, Mapping, Media, Media Literacy, Multiliteracies, Origin, Promotion, Publications, Science, Scope, Social, Society, Territories, Uncertainty, University, Web</w:t>
      </w:r>
      <w:r w:rsidR="00427468">
        <w:rPr>
          <w:kern w:val="0"/>
        </w:rPr>
        <w:t xml:space="preserve"> of </w:t>
      </w:r>
      <w:r>
        <w:rPr>
          <w:kern w:val="0"/>
        </w:rPr>
        <w:t>Science</w:t>
      </w:r>
    </w:p>
    <w:p w:rsidR="0078166C" w:rsidRDefault="0078166C" w:rsidP="0078166C">
      <w:pPr>
        <w:pStyle w:val="a3"/>
        <w:rPr>
          <w:kern w:val="0"/>
        </w:rPr>
      </w:pPr>
      <w:r>
        <w:rPr>
          <w:rFonts w:hint="eastAsia"/>
          <w:kern w:val="0"/>
        </w:rPr>
        <w:t xml:space="preserve">? </w:t>
      </w:r>
      <w:r>
        <w:rPr>
          <w:kern w:val="0"/>
        </w:rPr>
        <w:t xml:space="preserve">Lopez-Meneses, E., Vazquez-Cano, E. and Roman, P. (2015), Analysis and implications of the impact of MOOC movement in the scientific community: JCR and Scopus (2010-13). </w:t>
      </w:r>
      <w:r>
        <w:rPr>
          <w:i/>
          <w:iCs/>
          <w:kern w:val="0"/>
        </w:rPr>
        <w:t>Comunicar</w:t>
      </w:r>
      <w:r>
        <w:rPr>
          <w:kern w:val="0"/>
        </w:rPr>
        <w:t xml:space="preserve">, </w:t>
      </w:r>
      <w:r w:rsidRPr="00240FF3">
        <w:rPr>
          <w:b/>
          <w:kern w:val="0"/>
        </w:rPr>
        <w:t>44</w:t>
      </w:r>
      <w:r>
        <w:rPr>
          <w:kern w:val="0"/>
        </w:rPr>
        <w:t>, 73-80.</w:t>
      </w:r>
    </w:p>
    <w:p w:rsidR="0078166C" w:rsidRDefault="0078166C" w:rsidP="0078166C">
      <w:pPr>
        <w:pStyle w:val="a3"/>
        <w:rPr>
          <w:kern w:val="0"/>
        </w:rPr>
      </w:pPr>
      <w:r>
        <w:rPr>
          <w:rFonts w:hint="eastAsia"/>
          <w:kern w:val="0"/>
        </w:rPr>
        <w:t xml:space="preserve">Full Text: </w:t>
      </w:r>
      <w:hyperlink r:id="rId1000" w:history="1">
        <w:r w:rsidRPr="006348DA">
          <w:rPr>
            <w:rStyle w:val="a5"/>
            <w:kern w:val="0"/>
          </w:rPr>
          <w:t>2015\Comunicar44, 73.pdf</w:t>
        </w:r>
      </w:hyperlink>
    </w:p>
    <w:p w:rsidR="0078166C" w:rsidRDefault="0078166C" w:rsidP="0078166C">
      <w:pPr>
        <w:pStyle w:val="a3"/>
        <w:rPr>
          <w:kern w:val="0"/>
        </w:rPr>
      </w:pPr>
      <w:r>
        <w:rPr>
          <w:kern w:val="0"/>
        </w:rPr>
        <w:t xml:space="preserve">Abstract: The emergence of massive open online course (MOOCs) has been a turning point for the academic world and, especially, in the design and provision of training </w:t>
      </w:r>
      <w:r>
        <w:rPr>
          <w:kern w:val="0"/>
        </w:rPr>
        <w:lastRenderedPageBreak/>
        <w:t>courses in Higher Education. Now that the first moments of the information explosion have passed, a rigorous analysis of the effect of the movement in high-impact scientific world is needed in order to assess the state of the art and future lines of research. This study analyzes the impact of the MOOC movement in the form of scientific article during the birth and explosion period (2010-2013) in two of the most relevant databases: Journal Citation Reports (WoS) and Scopus (Scimago). We present, through a descriptive and quantitative methodology, the most significant bibliometric data according to citation index and database impact. Furthermore, with the use of a methodology based on social network analysis (SNA), an analysis of the article’s keyword co-occurrence is presented through graphs to determine the fields of study and research. The results show that both the number of articles published and the citations received in both databases present a medium-low significant impact, and the conceptual network of relationships in the abstracts and keywords does not reflect the current analysis developed in general educational media.</w:t>
      </w:r>
    </w:p>
    <w:p w:rsidR="0078166C" w:rsidRDefault="0078166C" w:rsidP="0078166C">
      <w:pPr>
        <w:pStyle w:val="a3"/>
        <w:rPr>
          <w:kern w:val="0"/>
        </w:rPr>
      </w:pPr>
      <w:r>
        <w:rPr>
          <w:kern w:val="0"/>
        </w:rPr>
        <w:t>Keywords: Analysis, Art, Article, Articles, Bibliometric, Bibliometric Data, Bibliometrics, Birth, Citation, Citation Index, Citations, Community, Course, Data, Database, Databases, Design, Education, Explosion, First, General, Higher Education, Impact, Index, Indexations, Information, Jcr, Journal, Journal Citation Reports, Media, Methodology, Mooc, Movement, Network, Network Analysis, Online, Open, Research, Science, Scientific Journals, Scopus, Search, Social, Social Network, Social Network Analysis, State, State-Of-The-Art, Training, Web, World, Wos</w:t>
      </w:r>
    </w:p>
    <w:p w:rsidR="00C64B5A" w:rsidRPr="00F219CA" w:rsidRDefault="00C64B5A" w:rsidP="00C64B5A">
      <w:pPr>
        <w:pStyle w:val="1"/>
      </w:pPr>
      <w:r w:rsidRPr="00F219CA">
        <w:br w:type="page"/>
      </w:r>
      <w:bookmarkStart w:id="391" w:name="_Toc420815104"/>
      <w:r w:rsidRPr="00F219CA">
        <w:lastRenderedPageBreak/>
        <w:t xml:space="preserve">Title: </w:t>
      </w:r>
      <w:r w:rsidRPr="00C64B5A">
        <w:rPr>
          <w:szCs w:val="24"/>
        </w:rPr>
        <w:t>Concurrency</w:t>
      </w:r>
      <w:r w:rsidR="005853A9">
        <w:rPr>
          <w:szCs w:val="24"/>
        </w:rPr>
        <w:t xml:space="preserve"> and </w:t>
      </w:r>
      <w:r w:rsidRPr="00C64B5A">
        <w:rPr>
          <w:szCs w:val="24"/>
        </w:rPr>
        <w:t>Computation</w:t>
      </w:r>
      <w:r>
        <w:rPr>
          <w:rFonts w:hint="eastAsia"/>
          <w:szCs w:val="24"/>
        </w:rPr>
        <w:t xml:space="preserve">: </w:t>
      </w:r>
      <w:r w:rsidRPr="00C64B5A">
        <w:rPr>
          <w:szCs w:val="24"/>
        </w:rPr>
        <w:t>Practice &amp; Experience</w:t>
      </w:r>
      <w:bookmarkEnd w:id="391"/>
    </w:p>
    <w:p w:rsidR="00C64B5A" w:rsidRPr="00F219CA" w:rsidRDefault="00C64B5A" w:rsidP="00C64B5A">
      <w:pPr>
        <w:pStyle w:val="12"/>
      </w:pPr>
      <w:r w:rsidRPr="00F219CA">
        <w:t xml:space="preserve">Full Journal Title: </w:t>
      </w:r>
      <w:r w:rsidRPr="00C64B5A">
        <w:rPr>
          <w:iCs/>
          <w:kern w:val="0"/>
        </w:rPr>
        <w:t>Concurrency</w:t>
      </w:r>
      <w:r w:rsidR="005853A9">
        <w:rPr>
          <w:iCs/>
          <w:kern w:val="0"/>
        </w:rPr>
        <w:t xml:space="preserve"> and </w:t>
      </w:r>
      <w:r w:rsidRPr="00C64B5A">
        <w:rPr>
          <w:iCs/>
          <w:kern w:val="0"/>
        </w:rPr>
        <w:t>Computation</w:t>
      </w:r>
      <w:r>
        <w:rPr>
          <w:rFonts w:hint="eastAsia"/>
          <w:iCs/>
          <w:kern w:val="0"/>
        </w:rPr>
        <w:t xml:space="preserve">: </w:t>
      </w:r>
      <w:r w:rsidRPr="00C64B5A">
        <w:rPr>
          <w:iCs/>
          <w:kern w:val="0"/>
        </w:rPr>
        <w:t>Practice &amp; Experience</w:t>
      </w:r>
    </w:p>
    <w:p w:rsidR="00C64B5A" w:rsidRPr="00F219CA" w:rsidRDefault="00C64B5A" w:rsidP="00C64B5A">
      <w:pPr>
        <w:pStyle w:val="12"/>
      </w:pPr>
      <w:r w:rsidRPr="00F219CA">
        <w:t xml:space="preserve">ISO Abbreviated Title: </w:t>
      </w:r>
    </w:p>
    <w:p w:rsidR="00C64B5A" w:rsidRPr="00F219CA" w:rsidRDefault="00C64B5A" w:rsidP="00C64B5A">
      <w:pPr>
        <w:pStyle w:val="12"/>
      </w:pPr>
      <w:r w:rsidRPr="00F219CA">
        <w:t xml:space="preserve">JCR Abbreviated Title: </w:t>
      </w:r>
    </w:p>
    <w:p w:rsidR="00C64B5A" w:rsidRPr="00F219CA" w:rsidRDefault="00C64B5A" w:rsidP="00C64B5A">
      <w:pPr>
        <w:pStyle w:val="12"/>
      </w:pPr>
      <w:r w:rsidRPr="00F219CA">
        <w:t xml:space="preserve">ISSN: </w:t>
      </w:r>
    </w:p>
    <w:p w:rsidR="00C64B5A" w:rsidRPr="00F219CA" w:rsidRDefault="00C64B5A" w:rsidP="00C64B5A">
      <w:pPr>
        <w:pStyle w:val="12"/>
      </w:pPr>
      <w:r w:rsidRPr="00F219CA">
        <w:t xml:space="preserve">Issues/Year: </w:t>
      </w:r>
    </w:p>
    <w:p w:rsidR="00C64B5A" w:rsidRPr="00F219CA" w:rsidRDefault="00C64B5A" w:rsidP="00C64B5A">
      <w:pPr>
        <w:pStyle w:val="12"/>
      </w:pPr>
      <w:r w:rsidRPr="00F219CA">
        <w:t xml:space="preserve">Journal Country/Territory: </w:t>
      </w:r>
    </w:p>
    <w:p w:rsidR="00C64B5A" w:rsidRPr="00F219CA" w:rsidRDefault="00C64B5A" w:rsidP="00C64B5A">
      <w:pPr>
        <w:pStyle w:val="12"/>
      </w:pPr>
      <w:r w:rsidRPr="00F219CA">
        <w:t xml:space="preserve">Language: </w:t>
      </w:r>
    </w:p>
    <w:p w:rsidR="00C64B5A" w:rsidRPr="00F219CA" w:rsidRDefault="00C64B5A" w:rsidP="00C64B5A">
      <w:pPr>
        <w:pStyle w:val="12"/>
      </w:pPr>
      <w:r w:rsidRPr="00F219CA">
        <w:t xml:space="preserve">Publisher: </w:t>
      </w:r>
    </w:p>
    <w:p w:rsidR="00C64B5A" w:rsidRPr="00F219CA" w:rsidRDefault="00C64B5A" w:rsidP="00C64B5A">
      <w:pPr>
        <w:pStyle w:val="12"/>
      </w:pPr>
      <w:r w:rsidRPr="00F219CA">
        <w:t xml:space="preserve">Publisher Address: </w:t>
      </w:r>
    </w:p>
    <w:p w:rsidR="00C64B5A" w:rsidRPr="00F219CA" w:rsidRDefault="00C64B5A" w:rsidP="00C64B5A">
      <w:pPr>
        <w:pStyle w:val="12"/>
      </w:pPr>
      <w:r w:rsidRPr="00F219CA">
        <w:t xml:space="preserve">Subject Categories: </w:t>
      </w:r>
    </w:p>
    <w:p w:rsidR="00C64B5A" w:rsidRPr="00F219CA" w:rsidRDefault="00C64B5A" w:rsidP="00C64B5A">
      <w:pPr>
        <w:pStyle w:val="12"/>
      </w:pPr>
      <w:r w:rsidRPr="00F219CA">
        <w:t>: Impact Factor</w:t>
      </w:r>
    </w:p>
    <w:p w:rsidR="00C64B5A" w:rsidRDefault="00C64B5A" w:rsidP="00C64B5A">
      <w:pPr>
        <w:pStyle w:val="a3"/>
        <w:rPr>
          <w:kern w:val="0"/>
          <w:szCs w:val="24"/>
        </w:rPr>
      </w:pPr>
      <w:r>
        <w:rPr>
          <w:rFonts w:hint="eastAsia"/>
          <w:kern w:val="0"/>
          <w:szCs w:val="24"/>
        </w:rPr>
        <w:t xml:space="preserve">? </w:t>
      </w:r>
      <w:r>
        <w:rPr>
          <w:kern w:val="0"/>
          <w:szCs w:val="24"/>
        </w:rPr>
        <w:t>Fouchal, H.</w:t>
      </w:r>
      <w:r w:rsidR="005853A9">
        <w:rPr>
          <w:kern w:val="0"/>
          <w:szCs w:val="24"/>
        </w:rPr>
        <w:t xml:space="preserve"> and </w:t>
      </w:r>
      <w:r>
        <w:rPr>
          <w:kern w:val="0"/>
          <w:szCs w:val="24"/>
        </w:rPr>
        <w:t xml:space="preserve">Habbas, Z. (2013), Distributed backtracking algorithm based on tree decomposition over wireless sensor networks. </w:t>
      </w:r>
      <w:r w:rsidRPr="00C64B5A">
        <w:rPr>
          <w:i/>
          <w:iCs/>
          <w:kern w:val="0"/>
          <w:szCs w:val="24"/>
        </w:rPr>
        <w:t>Concurrency</w:t>
      </w:r>
      <w:r w:rsidR="005853A9">
        <w:rPr>
          <w:i/>
          <w:iCs/>
          <w:kern w:val="0"/>
          <w:szCs w:val="24"/>
        </w:rPr>
        <w:t xml:space="preserve"> and </w:t>
      </w:r>
      <w:r w:rsidRPr="00C64B5A">
        <w:rPr>
          <w:i/>
          <w:iCs/>
          <w:kern w:val="0"/>
          <w:szCs w:val="24"/>
        </w:rPr>
        <w:t>Computation</w:t>
      </w:r>
      <w:r>
        <w:rPr>
          <w:rFonts w:hint="eastAsia"/>
          <w:i/>
          <w:iCs/>
          <w:kern w:val="0"/>
          <w:szCs w:val="24"/>
        </w:rPr>
        <w:t xml:space="preserve">: </w:t>
      </w:r>
      <w:r w:rsidRPr="00C64B5A">
        <w:rPr>
          <w:i/>
          <w:iCs/>
          <w:kern w:val="0"/>
          <w:szCs w:val="24"/>
        </w:rPr>
        <w:t>Practice &amp; Experience</w:t>
      </w:r>
      <w:r>
        <w:rPr>
          <w:kern w:val="0"/>
          <w:szCs w:val="24"/>
        </w:rPr>
        <w:t xml:space="preserve">, </w:t>
      </w:r>
      <w:r>
        <w:rPr>
          <w:b/>
          <w:bCs/>
          <w:kern w:val="0"/>
          <w:szCs w:val="24"/>
        </w:rPr>
        <w:t>25</w:t>
      </w:r>
      <w:r>
        <w:rPr>
          <w:kern w:val="0"/>
          <w:szCs w:val="24"/>
        </w:rPr>
        <w:t xml:space="preserve"> (5), 728-742.</w:t>
      </w:r>
    </w:p>
    <w:p w:rsidR="00C64B5A" w:rsidRDefault="00C64B5A" w:rsidP="00C64B5A">
      <w:pPr>
        <w:pStyle w:val="a3"/>
        <w:rPr>
          <w:kern w:val="0"/>
          <w:szCs w:val="24"/>
        </w:rPr>
      </w:pPr>
      <w:r>
        <w:rPr>
          <w:rFonts w:hint="eastAsia"/>
          <w:kern w:val="0"/>
          <w:szCs w:val="24"/>
        </w:rPr>
        <w:t xml:space="preserve">Full Text: </w:t>
      </w:r>
      <w:hyperlink r:id="rId1001" w:history="1">
        <w:r w:rsidRPr="00C64B5A">
          <w:rPr>
            <w:rStyle w:val="a5"/>
            <w:kern w:val="0"/>
            <w:szCs w:val="24"/>
          </w:rPr>
          <w:t>2013\Con Com-Pra Exp25, 728.pdf</w:t>
        </w:r>
      </w:hyperlink>
    </w:p>
    <w:p w:rsidR="00C64B5A" w:rsidRDefault="00C64B5A" w:rsidP="00C64B5A">
      <w:pPr>
        <w:pStyle w:val="a3"/>
        <w:rPr>
          <w:kern w:val="0"/>
          <w:szCs w:val="24"/>
        </w:rPr>
      </w:pPr>
      <w:r>
        <w:rPr>
          <w:kern w:val="0"/>
          <w:szCs w:val="24"/>
        </w:rPr>
        <w:t>Abstract: In this paper, we propose a methodological approach to solve distributed nonbinary constraint satisfaction problem (CSP) on wireless sensor networks (WSNs). A distributed CSP is a CSP in which variables</w:t>
      </w:r>
      <w:r w:rsidR="005853A9">
        <w:rPr>
          <w:kern w:val="0"/>
          <w:szCs w:val="24"/>
        </w:rPr>
        <w:t xml:space="preserve"> and </w:t>
      </w:r>
      <w:r>
        <w:rPr>
          <w:kern w:val="0"/>
          <w:szCs w:val="24"/>
        </w:rPr>
        <w:t>constraints are distributed among multiple agents. On WSNs, it is usual to handle applications that need to solve distributed problems. Different real-world applications can be modeled as distributed CSPs,</w:t>
      </w:r>
      <w:r w:rsidR="005853A9">
        <w:rPr>
          <w:kern w:val="0"/>
          <w:szCs w:val="24"/>
        </w:rPr>
        <w:t xml:space="preserve"> and </w:t>
      </w:r>
      <w:r>
        <w:rPr>
          <w:kern w:val="0"/>
          <w:szCs w:val="24"/>
        </w:rPr>
        <w:t>numerous algorithms based on enumerative search have been proposed to solve them</w:t>
      </w:r>
      <w:r w:rsidR="00A37C1D">
        <w:rPr>
          <w:kern w:val="0"/>
          <w:szCs w:val="24"/>
        </w:rPr>
        <w:t>. The</w:t>
      </w:r>
      <w:r>
        <w:rPr>
          <w:kern w:val="0"/>
          <w:szCs w:val="24"/>
        </w:rPr>
        <w:t xml:space="preserve"> most cited one is distributed backtracking algorithm in which each variable is associated to each agent. This algorithm is known as fine-grained distributed algorithm. All the search efforts</w:t>
      </w:r>
      <w:r w:rsidR="00427468">
        <w:rPr>
          <w:kern w:val="0"/>
          <w:szCs w:val="24"/>
        </w:rPr>
        <w:t xml:space="preserve"> of </w:t>
      </w:r>
      <w:r>
        <w:rPr>
          <w:kern w:val="0"/>
          <w:szCs w:val="24"/>
        </w:rPr>
        <w:t>this algorithm concerns the communication between agents that are very expensive. In addition, this approach is not realistic because, in general, an agent might control more than one variable. In this paper, we propose a generic methodology for developing coarse-grained backtracking algorithm. Mainly, a preprocess technique breaks a single large problem into a set</w:t>
      </w:r>
      <w:r w:rsidR="00427468">
        <w:rPr>
          <w:kern w:val="0"/>
          <w:szCs w:val="24"/>
        </w:rPr>
        <w:t xml:space="preserve"> of </w:t>
      </w:r>
      <w:r>
        <w:rPr>
          <w:kern w:val="0"/>
          <w:szCs w:val="24"/>
        </w:rPr>
        <w:t>smaller connected ones</w:t>
      </w:r>
      <w:r w:rsidR="00A37C1D">
        <w:rPr>
          <w:kern w:val="0"/>
          <w:szCs w:val="24"/>
        </w:rPr>
        <w:t>. The</w:t>
      </w:r>
      <w:r>
        <w:rPr>
          <w:kern w:val="0"/>
          <w:szCs w:val="24"/>
        </w:rPr>
        <w:t>se semi-independent CSPs can be efficiently</w:t>
      </w:r>
      <w:r w:rsidR="005853A9">
        <w:rPr>
          <w:kern w:val="0"/>
          <w:szCs w:val="24"/>
        </w:rPr>
        <w:t xml:space="preserve"> and </w:t>
      </w:r>
      <w:r>
        <w:rPr>
          <w:kern w:val="0"/>
          <w:szCs w:val="24"/>
        </w:rPr>
        <w:t>concurrently solved</w:t>
      </w:r>
      <w:r w:rsidR="005853A9">
        <w:rPr>
          <w:kern w:val="0"/>
          <w:szCs w:val="24"/>
        </w:rPr>
        <w:t xml:space="preserve"> and </w:t>
      </w:r>
      <w:r>
        <w:rPr>
          <w:kern w:val="0"/>
          <w:szCs w:val="24"/>
        </w:rPr>
        <w:t>can cooperate to solve the whole problem. We illustrate the preprocess technique by the tree decomposition method for its good theoretical properties</w:t>
      </w:r>
      <w:r w:rsidR="00A37C1D">
        <w:rPr>
          <w:kern w:val="0"/>
          <w:szCs w:val="24"/>
        </w:rPr>
        <w:t>. The</w:t>
      </w:r>
      <w:r>
        <w:rPr>
          <w:kern w:val="0"/>
          <w:szCs w:val="24"/>
        </w:rPr>
        <w:t xml:space="preserve"> aim</w:t>
      </w:r>
      <w:r w:rsidR="00427468">
        <w:rPr>
          <w:kern w:val="0"/>
          <w:szCs w:val="24"/>
        </w:rPr>
        <w:t xml:space="preserve"> of </w:t>
      </w:r>
      <w:r>
        <w:rPr>
          <w:kern w:val="0"/>
          <w:szCs w:val="24"/>
        </w:rPr>
        <w:t>our paper is to present an efficient approach to solve complex distributed CSPs over WSNs. Copyright (c) 2011 John Wiley &amp; Sons, Ltd.</w:t>
      </w:r>
    </w:p>
    <w:p w:rsidR="00C64B5A" w:rsidRDefault="00C64B5A" w:rsidP="00C64B5A">
      <w:pPr>
        <w:pStyle w:val="a3"/>
        <w:rPr>
          <w:kern w:val="0"/>
          <w:szCs w:val="24"/>
        </w:rPr>
      </w:pPr>
      <w:r>
        <w:rPr>
          <w:kern w:val="0"/>
          <w:szCs w:val="24"/>
        </w:rPr>
        <w:t xml:space="preserve">Keywords: Algorithm, Algorithms, Approach, Communication, Constraint Satisfaction Problem (CSP), Control, Decomposition, Developing, Distributed, Distributed </w:t>
      </w:r>
      <w:r>
        <w:rPr>
          <w:kern w:val="0"/>
          <w:szCs w:val="24"/>
        </w:rPr>
        <w:lastRenderedPageBreak/>
        <w:t>Backtracking, General, Medical Care, Methodology, Networks, Nonbinary CSP, Satisfaction, Sensor, Sensor Networks, SI, Theoretical, Tree Decomposition</w:t>
      </w:r>
      <w:r w:rsidR="00427468">
        <w:rPr>
          <w:kern w:val="0"/>
          <w:szCs w:val="24"/>
        </w:rPr>
        <w:t xml:space="preserve"> of </w:t>
      </w:r>
      <w:r>
        <w:rPr>
          <w:kern w:val="0"/>
          <w:szCs w:val="24"/>
        </w:rPr>
        <w:t>CSP, Wireless Sensor Networks</w:t>
      </w:r>
    </w:p>
    <w:p w:rsidR="00EE2C3E" w:rsidRPr="001A3D2B" w:rsidRDefault="00EE2C3E" w:rsidP="00EE2C3E">
      <w:pPr>
        <w:pStyle w:val="1"/>
      </w:pPr>
      <w:r w:rsidRPr="001A3D2B">
        <w:br w:type="page"/>
      </w:r>
      <w:bookmarkStart w:id="392" w:name="_Toc420815105"/>
      <w:r w:rsidRPr="001A3D2B">
        <w:lastRenderedPageBreak/>
        <w:t xml:space="preserve">Title: </w:t>
      </w:r>
      <w:r w:rsidRPr="00EE2C3E">
        <w:rPr>
          <w:iCs w:val="0"/>
        </w:rPr>
        <w:t>Concurrent Engineering-Research and Applications</w:t>
      </w:r>
      <w:bookmarkEnd w:id="392"/>
    </w:p>
    <w:p w:rsidR="00EE2C3E" w:rsidRPr="001A3D2B" w:rsidRDefault="00EE2C3E" w:rsidP="00EE2C3E">
      <w:pPr>
        <w:pStyle w:val="12"/>
      </w:pPr>
      <w:r w:rsidRPr="001A3D2B">
        <w:t xml:space="preserve">Full Journal Title: </w:t>
      </w:r>
      <w:r w:rsidRPr="00EE2C3E">
        <w:rPr>
          <w:iCs/>
          <w:kern w:val="0"/>
        </w:rPr>
        <w:t>Concurrent Engineering-Research and Applications</w:t>
      </w:r>
    </w:p>
    <w:p w:rsidR="00EE2C3E" w:rsidRPr="001A3D2B" w:rsidRDefault="00EE2C3E" w:rsidP="00EE2C3E">
      <w:pPr>
        <w:pStyle w:val="12"/>
      </w:pPr>
      <w:r w:rsidRPr="001A3D2B">
        <w:t xml:space="preserve">ISO Abbreviated Title: </w:t>
      </w:r>
    </w:p>
    <w:p w:rsidR="00EE2C3E" w:rsidRPr="001A3D2B" w:rsidRDefault="00EE2C3E" w:rsidP="00EE2C3E">
      <w:pPr>
        <w:pStyle w:val="12"/>
      </w:pPr>
      <w:r w:rsidRPr="001A3D2B">
        <w:t xml:space="preserve">JCR Abbreviated Title: </w:t>
      </w:r>
    </w:p>
    <w:p w:rsidR="00EE2C3E" w:rsidRPr="001A3D2B" w:rsidRDefault="00EE2C3E" w:rsidP="00EE2C3E">
      <w:pPr>
        <w:pStyle w:val="12"/>
      </w:pPr>
      <w:r w:rsidRPr="001A3D2B">
        <w:t xml:space="preserve">ISSN: </w:t>
      </w:r>
    </w:p>
    <w:p w:rsidR="00EE2C3E" w:rsidRPr="001A3D2B" w:rsidRDefault="00EE2C3E" w:rsidP="00EE2C3E">
      <w:pPr>
        <w:pStyle w:val="12"/>
      </w:pPr>
      <w:r w:rsidRPr="001A3D2B">
        <w:t xml:space="preserve">Issues/Year: </w:t>
      </w:r>
    </w:p>
    <w:p w:rsidR="00EE2C3E" w:rsidRPr="001A3D2B" w:rsidRDefault="00EE2C3E" w:rsidP="00EE2C3E">
      <w:pPr>
        <w:pStyle w:val="12"/>
      </w:pPr>
      <w:r w:rsidRPr="001A3D2B">
        <w:t xml:space="preserve">Journal Country/Territory: </w:t>
      </w:r>
    </w:p>
    <w:p w:rsidR="00EE2C3E" w:rsidRPr="001A3D2B" w:rsidRDefault="00EE2C3E" w:rsidP="00EE2C3E">
      <w:pPr>
        <w:pStyle w:val="12"/>
      </w:pPr>
      <w:r w:rsidRPr="001A3D2B">
        <w:t xml:space="preserve">Language: </w:t>
      </w:r>
    </w:p>
    <w:p w:rsidR="00EE2C3E" w:rsidRPr="001A3D2B" w:rsidRDefault="00EE2C3E" w:rsidP="00EE2C3E">
      <w:pPr>
        <w:pStyle w:val="12"/>
      </w:pPr>
      <w:r w:rsidRPr="001A3D2B">
        <w:t xml:space="preserve">Publisher: </w:t>
      </w:r>
    </w:p>
    <w:p w:rsidR="00EE2C3E" w:rsidRPr="001A3D2B" w:rsidRDefault="00EE2C3E" w:rsidP="00EE2C3E">
      <w:pPr>
        <w:pStyle w:val="12"/>
      </w:pPr>
      <w:r w:rsidRPr="001A3D2B">
        <w:t xml:space="preserve">Publisher Address: </w:t>
      </w:r>
    </w:p>
    <w:p w:rsidR="00EE2C3E" w:rsidRPr="001A3D2B" w:rsidRDefault="00EE2C3E" w:rsidP="00EE2C3E">
      <w:pPr>
        <w:pStyle w:val="12"/>
      </w:pPr>
      <w:r w:rsidRPr="001A3D2B">
        <w:t xml:space="preserve">Subject Categories: </w:t>
      </w:r>
    </w:p>
    <w:p w:rsidR="00EE2C3E" w:rsidRPr="001A3D2B" w:rsidRDefault="00EE2C3E" w:rsidP="00EE2C3E">
      <w:pPr>
        <w:pStyle w:val="12"/>
      </w:pPr>
      <w:r w:rsidRPr="001A3D2B">
        <w:t>: Impact Factor</w:t>
      </w:r>
    </w:p>
    <w:p w:rsidR="00EE2C3E" w:rsidRDefault="00EE2C3E" w:rsidP="00EE2C3E">
      <w:pPr>
        <w:pStyle w:val="a3"/>
        <w:rPr>
          <w:kern w:val="0"/>
        </w:rPr>
      </w:pPr>
      <w:r>
        <w:rPr>
          <w:rFonts w:hint="eastAsia"/>
          <w:kern w:val="0"/>
        </w:rPr>
        <w:t xml:space="preserve">? </w:t>
      </w:r>
      <w:r>
        <w:rPr>
          <w:kern w:val="0"/>
        </w:rPr>
        <w:t xml:space="preserve">Choi, S., Jung, K. and Noh, S.D. (2015), Virtual reality applications in manufacturing industries: Past research, present findings, and future directions. </w:t>
      </w:r>
      <w:r w:rsidRPr="00EE2C3E">
        <w:rPr>
          <w:i/>
          <w:iCs/>
          <w:kern w:val="0"/>
        </w:rPr>
        <w:t>Concurrent Engineering-Research and Applications</w:t>
      </w:r>
      <w:r>
        <w:rPr>
          <w:kern w:val="0"/>
        </w:rPr>
        <w:t xml:space="preserve">, </w:t>
      </w:r>
      <w:r>
        <w:rPr>
          <w:b/>
          <w:bCs/>
          <w:kern w:val="0"/>
        </w:rPr>
        <w:t>23</w:t>
      </w:r>
      <w:r>
        <w:rPr>
          <w:kern w:val="0"/>
        </w:rPr>
        <w:t xml:space="preserve"> (1), 40-63.</w:t>
      </w:r>
    </w:p>
    <w:p w:rsidR="00EE2C3E" w:rsidRDefault="00EE2C3E" w:rsidP="00EE2C3E">
      <w:pPr>
        <w:pStyle w:val="a3"/>
        <w:rPr>
          <w:kern w:val="0"/>
        </w:rPr>
      </w:pPr>
      <w:r>
        <w:rPr>
          <w:rFonts w:hint="eastAsia"/>
          <w:kern w:val="0"/>
        </w:rPr>
        <w:t xml:space="preserve">Full Text: </w:t>
      </w:r>
      <w:hyperlink r:id="rId1002" w:history="1">
        <w:r w:rsidRPr="00EE2C3E">
          <w:rPr>
            <w:rStyle w:val="a5"/>
            <w:kern w:val="0"/>
          </w:rPr>
          <w:t>2015\Con Eng-Res App23, 40.pdf</w:t>
        </w:r>
      </w:hyperlink>
    </w:p>
    <w:p w:rsidR="00EE2C3E" w:rsidRDefault="00EE2C3E" w:rsidP="00EE2C3E">
      <w:pPr>
        <w:pStyle w:val="a3"/>
        <w:rPr>
          <w:kern w:val="0"/>
        </w:rPr>
      </w:pPr>
      <w:r>
        <w:rPr>
          <w:kern w:val="0"/>
        </w:rPr>
        <w:t>Abstract: Today, manufacturing industries are trying to improve their competitiveness by combining manufacturing per se with information technology. Virtual reality is being used in product development processes in manufacturing enterprises as a helpful technology to achieve rapid consolidation of information and decision-making through visualization and experience. In this article, 154 articles relevant to virtual reality’s application to manufacturing were surveyed and analyzed. For this, (1) an analysis map was created, based on a virtual reality technology classification and the new product development process; (2) the articles investigated were located on the map; and (3) bibliometric analyses were carried out. Trends in past and present research were examined and future virtual reality research directions and application plans for manufacturing enterprises are discussed.</w:t>
      </w:r>
    </w:p>
    <w:p w:rsidR="00EE2C3E" w:rsidRDefault="00EE2C3E" w:rsidP="00EE2C3E">
      <w:pPr>
        <w:pStyle w:val="a3"/>
        <w:rPr>
          <w:kern w:val="0"/>
        </w:rPr>
      </w:pPr>
      <w:r>
        <w:rPr>
          <w:kern w:val="0"/>
        </w:rPr>
        <w:t>Keywords: Analyses, Analysis, Application, Article, Articles, Augmented Reality, Bibliometric, Bibliometric Analyses, Classification, Combining, Competitiveness, Cyber-Physical System, Decision Making, Decision-Making, Design Evaluation, Desk-Top, Development, Die-Casting Industry, Enterprises, Environment, Experience, Generation, Information, Information Requirements Analysis, Information Technology, Manufacturing, Mar, Product Development, Research, Simulation, System, Technology, Trends, Virtual Engineering, Virtual Manufacturing, Virtual Prototyping, Virtual Reality, Visualization</w:t>
      </w:r>
    </w:p>
    <w:p w:rsidR="003757F1" w:rsidRPr="001A3D2B" w:rsidRDefault="003757F1" w:rsidP="003757F1">
      <w:pPr>
        <w:pStyle w:val="1"/>
      </w:pPr>
      <w:r w:rsidRPr="001A3D2B">
        <w:br w:type="page"/>
      </w:r>
      <w:bookmarkStart w:id="393" w:name="_Toc420815106"/>
      <w:r w:rsidRPr="001A3D2B">
        <w:lastRenderedPageBreak/>
        <w:t>Title: Conference Record</w:t>
      </w:r>
      <w:r w:rsidR="00427468">
        <w:t xml:space="preserve"> of </w:t>
      </w:r>
      <w:r w:rsidR="003A1917">
        <w:t xml:space="preserve">the </w:t>
      </w:r>
      <w:r w:rsidRPr="001A3D2B">
        <w:t>Thirty-First IEEE Photovoltaic Specialists Conference - 2005</w:t>
      </w:r>
      <w:bookmarkEnd w:id="393"/>
    </w:p>
    <w:p w:rsidR="003757F1" w:rsidRPr="001A3D2B" w:rsidRDefault="003757F1" w:rsidP="003757F1">
      <w:pPr>
        <w:pStyle w:val="12"/>
      </w:pPr>
      <w:r w:rsidRPr="001A3D2B">
        <w:t xml:space="preserve">Full Journal Title: </w:t>
      </w:r>
      <w:r w:rsidRPr="001A3D2B">
        <w:rPr>
          <w:kern w:val="0"/>
        </w:rPr>
        <w:t>Conference Record</w:t>
      </w:r>
      <w:r w:rsidR="00427468">
        <w:rPr>
          <w:kern w:val="0"/>
        </w:rPr>
        <w:t xml:space="preserve"> of </w:t>
      </w:r>
      <w:r w:rsidR="003A1917">
        <w:rPr>
          <w:kern w:val="0"/>
        </w:rPr>
        <w:t xml:space="preserve">the </w:t>
      </w:r>
      <w:r w:rsidRPr="001A3D2B">
        <w:rPr>
          <w:kern w:val="0"/>
        </w:rPr>
        <w:t>Thirty-First IEEE Photovoltaic Specialists Conference - 2005</w:t>
      </w:r>
    </w:p>
    <w:p w:rsidR="003757F1" w:rsidRPr="001A3D2B" w:rsidRDefault="003757F1" w:rsidP="003757F1">
      <w:pPr>
        <w:pStyle w:val="12"/>
      </w:pPr>
      <w:r w:rsidRPr="001A3D2B">
        <w:t xml:space="preserve">ISO Abbreviated Title: </w:t>
      </w:r>
    </w:p>
    <w:p w:rsidR="003757F1" w:rsidRPr="001A3D2B" w:rsidRDefault="003757F1" w:rsidP="003757F1">
      <w:pPr>
        <w:pStyle w:val="12"/>
      </w:pPr>
      <w:r w:rsidRPr="001A3D2B">
        <w:t xml:space="preserve">JCR Abbreviated Title: </w:t>
      </w:r>
    </w:p>
    <w:p w:rsidR="003757F1" w:rsidRPr="001A3D2B" w:rsidRDefault="003757F1" w:rsidP="003757F1">
      <w:pPr>
        <w:pStyle w:val="12"/>
      </w:pPr>
      <w:r w:rsidRPr="001A3D2B">
        <w:t xml:space="preserve">ISSN: </w:t>
      </w:r>
    </w:p>
    <w:p w:rsidR="003757F1" w:rsidRPr="001A3D2B" w:rsidRDefault="003757F1" w:rsidP="003757F1">
      <w:pPr>
        <w:pStyle w:val="12"/>
      </w:pPr>
      <w:r w:rsidRPr="001A3D2B">
        <w:t xml:space="preserve">Issues/Year: </w:t>
      </w:r>
    </w:p>
    <w:p w:rsidR="003757F1" w:rsidRPr="001A3D2B" w:rsidRDefault="003757F1" w:rsidP="003757F1">
      <w:pPr>
        <w:pStyle w:val="12"/>
      </w:pPr>
      <w:r w:rsidRPr="001A3D2B">
        <w:t xml:space="preserve">Journal Country/Territory: </w:t>
      </w:r>
    </w:p>
    <w:p w:rsidR="003757F1" w:rsidRPr="001A3D2B" w:rsidRDefault="003757F1" w:rsidP="003757F1">
      <w:pPr>
        <w:pStyle w:val="12"/>
      </w:pPr>
      <w:r w:rsidRPr="001A3D2B">
        <w:t xml:space="preserve">Language: </w:t>
      </w:r>
    </w:p>
    <w:p w:rsidR="003757F1" w:rsidRPr="001A3D2B" w:rsidRDefault="003757F1" w:rsidP="003757F1">
      <w:pPr>
        <w:pStyle w:val="12"/>
      </w:pPr>
      <w:r w:rsidRPr="001A3D2B">
        <w:t xml:space="preserve">Publisher: </w:t>
      </w:r>
    </w:p>
    <w:p w:rsidR="003757F1" w:rsidRPr="001A3D2B" w:rsidRDefault="003757F1" w:rsidP="003757F1">
      <w:pPr>
        <w:pStyle w:val="12"/>
      </w:pPr>
      <w:r w:rsidRPr="001A3D2B">
        <w:t xml:space="preserve">Publisher Address: </w:t>
      </w:r>
    </w:p>
    <w:p w:rsidR="003757F1" w:rsidRPr="001A3D2B" w:rsidRDefault="003757F1" w:rsidP="003757F1">
      <w:pPr>
        <w:pStyle w:val="12"/>
      </w:pPr>
      <w:r w:rsidRPr="001A3D2B">
        <w:t xml:space="preserve">Subject Categories: </w:t>
      </w:r>
    </w:p>
    <w:p w:rsidR="003757F1" w:rsidRPr="001A3D2B" w:rsidRDefault="003757F1" w:rsidP="003757F1">
      <w:pPr>
        <w:pStyle w:val="12"/>
      </w:pPr>
      <w:r w:rsidRPr="001A3D2B">
        <w:t>: Impact Factor</w:t>
      </w:r>
    </w:p>
    <w:p w:rsidR="003757F1" w:rsidRPr="001A3D2B" w:rsidRDefault="003757F1" w:rsidP="003757F1">
      <w:pPr>
        <w:pStyle w:val="a3"/>
        <w:rPr>
          <w:kern w:val="0"/>
        </w:rPr>
      </w:pPr>
      <w:r w:rsidRPr="001A3D2B">
        <w:rPr>
          <w:kern w:val="0"/>
        </w:rPr>
        <w:t>? Fthenakis, V.M., Alsema, E.A.</w:t>
      </w:r>
      <w:r w:rsidR="005853A9">
        <w:rPr>
          <w:kern w:val="0"/>
        </w:rPr>
        <w:t xml:space="preserve"> and </w:t>
      </w:r>
      <w:r w:rsidRPr="001A3D2B">
        <w:rPr>
          <w:kern w:val="0"/>
        </w:rPr>
        <w:t>de Wild-Scholten, M.J. (2005), Life cycle assessment</w:t>
      </w:r>
      <w:r w:rsidR="00427468">
        <w:rPr>
          <w:kern w:val="0"/>
        </w:rPr>
        <w:t xml:space="preserve"> of </w:t>
      </w:r>
      <w:r w:rsidRPr="001A3D2B">
        <w:rPr>
          <w:kern w:val="0"/>
        </w:rPr>
        <w:t>photovoltaics: Perceptions, needs,</w:t>
      </w:r>
      <w:r w:rsidR="005853A9">
        <w:rPr>
          <w:kern w:val="0"/>
        </w:rPr>
        <w:t xml:space="preserve"> and </w:t>
      </w:r>
      <w:r w:rsidRPr="001A3D2B">
        <w:rPr>
          <w:kern w:val="0"/>
        </w:rPr>
        <w:t xml:space="preserve">challenges. </w:t>
      </w:r>
      <w:r w:rsidRPr="001A3D2B">
        <w:rPr>
          <w:i/>
          <w:iCs/>
          <w:kern w:val="0"/>
        </w:rPr>
        <w:t>Conference Record</w:t>
      </w:r>
      <w:r w:rsidR="00427468">
        <w:rPr>
          <w:i/>
          <w:iCs/>
          <w:kern w:val="0"/>
        </w:rPr>
        <w:t xml:space="preserve"> of </w:t>
      </w:r>
      <w:r w:rsidR="003A1917">
        <w:rPr>
          <w:i/>
          <w:iCs/>
          <w:kern w:val="0"/>
        </w:rPr>
        <w:t xml:space="preserve">the </w:t>
      </w:r>
      <w:r w:rsidRPr="001A3D2B">
        <w:rPr>
          <w:i/>
          <w:iCs/>
          <w:kern w:val="0"/>
        </w:rPr>
        <w:t>Thirty-First IEEE Photovoltaic Specialists Conference - 2005</w:t>
      </w:r>
      <w:r w:rsidRPr="001A3D2B">
        <w:rPr>
          <w:kern w:val="0"/>
        </w:rPr>
        <w:t>, 1655-1658.</w:t>
      </w:r>
    </w:p>
    <w:p w:rsidR="003757F1" w:rsidRPr="001A3D2B" w:rsidRDefault="003757F1" w:rsidP="003757F1">
      <w:pPr>
        <w:pStyle w:val="a3"/>
        <w:rPr>
          <w:kern w:val="0"/>
        </w:rPr>
      </w:pPr>
      <w:r w:rsidRPr="001A3D2B">
        <w:rPr>
          <w:kern w:val="0"/>
        </w:rPr>
        <w:t>Abstract: High impact publications recently depicted PV technologies as having higher external environmental costs than those</w:t>
      </w:r>
      <w:r w:rsidR="00427468">
        <w:rPr>
          <w:kern w:val="0"/>
        </w:rPr>
        <w:t xml:space="preserve"> of </w:t>
      </w:r>
      <w:r w:rsidRPr="001A3D2B">
        <w:rPr>
          <w:kern w:val="0"/>
        </w:rPr>
        <w:t>nuclear energy</w:t>
      </w:r>
      <w:r w:rsidR="005853A9">
        <w:rPr>
          <w:kern w:val="0"/>
        </w:rPr>
        <w:t xml:space="preserve"> and </w:t>
      </w:r>
      <w:r w:rsidRPr="001A3D2B">
        <w:rPr>
          <w:kern w:val="0"/>
        </w:rPr>
        <w:t>natural-gas-fueled power plants</w:t>
      </w:r>
      <w:r w:rsidR="00A37C1D">
        <w:rPr>
          <w:kern w:val="0"/>
        </w:rPr>
        <w:t>. The</w:t>
      </w:r>
      <w:r w:rsidRPr="001A3D2B">
        <w:rPr>
          <w:kern w:val="0"/>
        </w:rPr>
        <w:t>se assessments are based on old data</w:t>
      </w:r>
      <w:r w:rsidR="005853A9">
        <w:rPr>
          <w:kern w:val="0"/>
        </w:rPr>
        <w:t xml:space="preserve"> and </w:t>
      </w:r>
      <w:r w:rsidRPr="001A3D2B">
        <w:rPr>
          <w:kern w:val="0"/>
        </w:rPr>
        <w:t>unbalanced assumptions,</w:t>
      </w:r>
      <w:r w:rsidR="005853A9">
        <w:rPr>
          <w:kern w:val="0"/>
        </w:rPr>
        <w:t xml:space="preserve"> and </w:t>
      </w:r>
      <w:r w:rsidRPr="001A3D2B">
        <w:rPr>
          <w:kern w:val="0"/>
        </w:rPr>
        <w:t>they illustrate</w:t>
      </w:r>
      <w:r w:rsidR="003A1917">
        <w:rPr>
          <w:kern w:val="0"/>
        </w:rPr>
        <w:t xml:space="preserve"> the </w:t>
      </w:r>
      <w:r w:rsidRPr="001A3D2B">
        <w:rPr>
          <w:kern w:val="0"/>
        </w:rPr>
        <w:t>need for LCA data describing</w:t>
      </w:r>
      <w:r w:rsidR="003A1917">
        <w:rPr>
          <w:kern w:val="0"/>
        </w:rPr>
        <w:t xml:space="preserve"> the </w:t>
      </w:r>
      <w:r w:rsidRPr="001A3D2B">
        <w:rPr>
          <w:kern w:val="0"/>
        </w:rPr>
        <w:t>continuously improving photovoltaic systems</w:t>
      </w:r>
      <w:r w:rsidR="005853A9">
        <w:rPr>
          <w:kern w:val="0"/>
        </w:rPr>
        <w:t xml:space="preserve"> and </w:t>
      </w:r>
      <w:r w:rsidR="003A1917">
        <w:rPr>
          <w:kern w:val="0"/>
        </w:rPr>
        <w:t xml:space="preserve">the </w:t>
      </w:r>
      <w:r w:rsidRPr="001A3D2B">
        <w:rPr>
          <w:kern w:val="0"/>
        </w:rPr>
        <w:t>inclusion</w:t>
      </w:r>
      <w:r w:rsidR="00427468">
        <w:rPr>
          <w:kern w:val="0"/>
        </w:rPr>
        <w:t xml:space="preserve"> of </w:t>
      </w:r>
      <w:r w:rsidRPr="001A3D2B">
        <w:rPr>
          <w:kern w:val="0"/>
        </w:rPr>
        <w:t>social benefits in this comparison.</w:t>
      </w:r>
    </w:p>
    <w:p w:rsidR="003757F1" w:rsidRPr="001A3D2B" w:rsidRDefault="003757F1" w:rsidP="003757F1">
      <w:pPr>
        <w:pStyle w:val="a3"/>
        <w:rPr>
          <w:kern w:val="0"/>
        </w:rPr>
      </w:pPr>
      <w:r w:rsidRPr="001A3D2B">
        <w:rPr>
          <w:kern w:val="0"/>
        </w:rPr>
        <w:t>Keywords: Assessment, Energy, Module, Publications, Time</w:t>
      </w:r>
    </w:p>
    <w:p w:rsidR="003474F2" w:rsidRPr="001A3D2B" w:rsidRDefault="003474F2" w:rsidP="003474F2">
      <w:pPr>
        <w:pStyle w:val="1"/>
      </w:pPr>
      <w:r w:rsidRPr="001A3D2B">
        <w:br w:type="page"/>
      </w:r>
      <w:bookmarkStart w:id="394" w:name="_Toc420815107"/>
      <w:r w:rsidRPr="001A3D2B">
        <w:lastRenderedPageBreak/>
        <w:t>Title: Conservation Biology</w:t>
      </w:r>
      <w:bookmarkEnd w:id="394"/>
    </w:p>
    <w:p w:rsidR="003474F2" w:rsidRPr="001A3D2B" w:rsidRDefault="003474F2" w:rsidP="003474F2">
      <w:pPr>
        <w:pStyle w:val="12"/>
      </w:pPr>
      <w:r w:rsidRPr="001A3D2B">
        <w:t xml:space="preserve">Full Journal Title: </w:t>
      </w:r>
      <w:hyperlink r:id="rId1003" w:history="1">
        <w:r w:rsidRPr="001A3D2B">
          <w:rPr>
            <w:rStyle w:val="a5"/>
            <w:iCs/>
          </w:rPr>
          <w:t>Conservation Biology</w:t>
        </w:r>
      </w:hyperlink>
      <w:r w:rsidRPr="001A3D2B">
        <w:t xml:space="preserve">; </w:t>
      </w:r>
      <w:hyperlink r:id="rId1004" w:history="1">
        <w:r w:rsidRPr="001A3D2B">
          <w:rPr>
            <w:rStyle w:val="a5"/>
            <w:iCs/>
          </w:rPr>
          <w:t>Conservation Biology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0888-8892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C85F7F" w:rsidRDefault="00C85F7F" w:rsidP="00C85F7F">
      <w:pPr>
        <w:pStyle w:val="a3"/>
      </w:pPr>
      <w:r>
        <w:rPr>
          <w:rFonts w:hint="eastAsia"/>
        </w:rPr>
        <w:t>Notes: highly cited</w:t>
      </w:r>
    </w:p>
    <w:p w:rsidR="00C85F7F" w:rsidRDefault="00C85F7F" w:rsidP="00C85F7F">
      <w:pPr>
        <w:pStyle w:val="a3"/>
        <w:rPr>
          <w:kern w:val="0"/>
          <w:szCs w:val="24"/>
        </w:rPr>
      </w:pPr>
      <w:r>
        <w:rPr>
          <w:rFonts w:hint="eastAsia"/>
          <w:kern w:val="0"/>
          <w:szCs w:val="24"/>
        </w:rPr>
        <w:t xml:space="preserve">? </w:t>
      </w:r>
      <w:r>
        <w:rPr>
          <w:kern w:val="0"/>
          <w:szCs w:val="24"/>
        </w:rPr>
        <w:t xml:space="preserve">Noss, R.F. (1990), Indicators for monitoring biodiversity - A hierarchical approach. </w:t>
      </w:r>
      <w:r>
        <w:rPr>
          <w:i/>
          <w:iCs/>
          <w:kern w:val="0"/>
          <w:szCs w:val="24"/>
        </w:rPr>
        <w:t>Conservation Biology</w:t>
      </w:r>
      <w:r>
        <w:rPr>
          <w:kern w:val="0"/>
          <w:szCs w:val="24"/>
        </w:rPr>
        <w:t xml:space="preserve">, </w:t>
      </w:r>
      <w:r>
        <w:rPr>
          <w:b/>
          <w:bCs/>
          <w:kern w:val="0"/>
          <w:szCs w:val="24"/>
        </w:rPr>
        <w:t>4</w:t>
      </w:r>
      <w:r>
        <w:rPr>
          <w:kern w:val="0"/>
          <w:szCs w:val="24"/>
        </w:rPr>
        <w:t xml:space="preserve"> (4), 355-364.</w:t>
      </w:r>
    </w:p>
    <w:p w:rsidR="00C85F7F" w:rsidRPr="00C73C58" w:rsidRDefault="00C85F7F" w:rsidP="00C85F7F">
      <w:pPr>
        <w:pStyle w:val="a3"/>
        <w:rPr>
          <w:kern w:val="0"/>
        </w:rPr>
      </w:pPr>
      <w:r w:rsidRPr="00C73C58">
        <w:rPr>
          <w:kern w:val="0"/>
        </w:rPr>
        <w:t xml:space="preserve">Full Text: </w:t>
      </w:r>
      <w:hyperlink r:id="rId1005" w:history="1">
        <w:r w:rsidRPr="00F13114">
          <w:rPr>
            <w:rStyle w:val="a5"/>
            <w:kern w:val="0"/>
          </w:rPr>
          <w:t>1990\Con Bio4, 355.pdf</w:t>
        </w:r>
      </w:hyperlink>
    </w:p>
    <w:p w:rsidR="00C85F7F" w:rsidRDefault="00C85F7F" w:rsidP="00C85F7F">
      <w:pPr>
        <w:pStyle w:val="a3"/>
        <w:rPr>
          <w:kern w:val="0"/>
          <w:szCs w:val="24"/>
        </w:rPr>
      </w:pPr>
      <w:r>
        <w:rPr>
          <w:kern w:val="0"/>
          <w:szCs w:val="24"/>
        </w:rPr>
        <w:t>Abstract: Biodiversity is presently a minor consideration in environmental policy. It has been regarded as too broad</w:t>
      </w:r>
      <w:r w:rsidR="005853A9">
        <w:rPr>
          <w:kern w:val="0"/>
          <w:szCs w:val="24"/>
        </w:rPr>
        <w:t xml:space="preserve"> and </w:t>
      </w:r>
      <w:r>
        <w:rPr>
          <w:kern w:val="0"/>
          <w:szCs w:val="24"/>
        </w:rPr>
        <w:t>vague a concept to be applied to real-world regulatory</w:t>
      </w:r>
      <w:r w:rsidR="005853A9">
        <w:rPr>
          <w:kern w:val="0"/>
          <w:szCs w:val="24"/>
        </w:rPr>
        <w:t xml:space="preserve"> and </w:t>
      </w:r>
      <w:r>
        <w:rPr>
          <w:kern w:val="0"/>
          <w:szCs w:val="24"/>
        </w:rPr>
        <w:t>management problems. This problem can be corrected if biodiversity is recognized as an end in itself,</w:t>
      </w:r>
      <w:r w:rsidR="005853A9">
        <w:rPr>
          <w:kern w:val="0"/>
          <w:szCs w:val="24"/>
        </w:rPr>
        <w:t xml:space="preserve"> and </w:t>
      </w:r>
      <w:r>
        <w:rPr>
          <w:kern w:val="0"/>
          <w:szCs w:val="24"/>
        </w:rPr>
        <w:t>if measurable indicators can be selected to assess</w:t>
      </w:r>
      <w:r w:rsidR="003A1917">
        <w:rPr>
          <w:kern w:val="0"/>
          <w:szCs w:val="24"/>
        </w:rPr>
        <w:t xml:space="preserve"> the </w:t>
      </w:r>
      <w:r>
        <w:rPr>
          <w:kern w:val="0"/>
          <w:szCs w:val="24"/>
        </w:rPr>
        <w:t>status</w:t>
      </w:r>
      <w:r w:rsidR="00427468">
        <w:rPr>
          <w:kern w:val="0"/>
          <w:szCs w:val="24"/>
        </w:rPr>
        <w:t xml:space="preserve"> of </w:t>
      </w:r>
      <w:r>
        <w:rPr>
          <w:kern w:val="0"/>
          <w:szCs w:val="24"/>
        </w:rPr>
        <w:t>biodiversity over time. Biodiversity, as presently understood, encompasses multiple levels</w:t>
      </w:r>
      <w:r w:rsidR="00427468">
        <w:rPr>
          <w:kern w:val="0"/>
          <w:szCs w:val="24"/>
        </w:rPr>
        <w:t xml:space="preserve"> of </w:t>
      </w:r>
      <w:r>
        <w:rPr>
          <w:kern w:val="0"/>
          <w:szCs w:val="24"/>
        </w:rPr>
        <w:t>biological organization. In this paper, I expand</w:t>
      </w:r>
      <w:r w:rsidR="003A1917">
        <w:rPr>
          <w:kern w:val="0"/>
          <w:szCs w:val="24"/>
        </w:rPr>
        <w:t xml:space="preserve"> the </w:t>
      </w:r>
      <w:r>
        <w:rPr>
          <w:kern w:val="0"/>
          <w:szCs w:val="24"/>
        </w:rPr>
        <w:t>three primary attributes</w:t>
      </w:r>
      <w:r w:rsidR="00427468">
        <w:rPr>
          <w:kern w:val="0"/>
          <w:szCs w:val="24"/>
        </w:rPr>
        <w:t xml:space="preserve"> of </w:t>
      </w:r>
      <w:r>
        <w:rPr>
          <w:kern w:val="0"/>
          <w:szCs w:val="24"/>
        </w:rPr>
        <w:t>biodiversity recognized by Jerry Franklin - composition, structure,</w:t>
      </w:r>
      <w:r w:rsidR="005853A9">
        <w:rPr>
          <w:kern w:val="0"/>
          <w:szCs w:val="24"/>
        </w:rPr>
        <w:t xml:space="preserve"> and </w:t>
      </w:r>
      <w:r>
        <w:rPr>
          <w:kern w:val="0"/>
          <w:szCs w:val="24"/>
        </w:rPr>
        <w:t>function - into a nested hierarchy that incorporates elements</w:t>
      </w:r>
      <w:r w:rsidR="00427468">
        <w:rPr>
          <w:kern w:val="0"/>
          <w:szCs w:val="24"/>
        </w:rPr>
        <w:t xml:space="preserve"> of </w:t>
      </w:r>
      <w:r>
        <w:rPr>
          <w:kern w:val="0"/>
          <w:szCs w:val="24"/>
        </w:rPr>
        <w:t>each attribute at four levels</w:t>
      </w:r>
      <w:r w:rsidR="00427468">
        <w:rPr>
          <w:kern w:val="0"/>
          <w:szCs w:val="24"/>
        </w:rPr>
        <w:t xml:space="preserve"> of </w:t>
      </w:r>
      <w:r>
        <w:rPr>
          <w:kern w:val="0"/>
          <w:szCs w:val="24"/>
        </w:rPr>
        <w:t>organization: regional landscape, community-ecosystem, population-species,</w:t>
      </w:r>
      <w:r w:rsidR="005853A9">
        <w:rPr>
          <w:kern w:val="0"/>
          <w:szCs w:val="24"/>
        </w:rPr>
        <w:t xml:space="preserve"> and </w:t>
      </w:r>
      <w:r>
        <w:rPr>
          <w:kern w:val="0"/>
          <w:szCs w:val="24"/>
        </w:rPr>
        <w:t>genetic. Indicators</w:t>
      </w:r>
      <w:r w:rsidR="00427468">
        <w:rPr>
          <w:kern w:val="0"/>
          <w:szCs w:val="24"/>
        </w:rPr>
        <w:t xml:space="preserve"> of </w:t>
      </w:r>
      <w:r>
        <w:rPr>
          <w:kern w:val="0"/>
          <w:szCs w:val="24"/>
        </w:rPr>
        <w:t>each attribute in terrestrial ecosystems, at</w:t>
      </w:r>
      <w:r w:rsidR="003A1917">
        <w:rPr>
          <w:kern w:val="0"/>
          <w:szCs w:val="24"/>
        </w:rPr>
        <w:t xml:space="preserve"> the </w:t>
      </w:r>
      <w:r>
        <w:rPr>
          <w:kern w:val="0"/>
          <w:szCs w:val="24"/>
        </w:rPr>
        <w:t>four levels</w:t>
      </w:r>
      <w:r w:rsidR="00427468">
        <w:rPr>
          <w:kern w:val="0"/>
          <w:szCs w:val="24"/>
        </w:rPr>
        <w:t xml:space="preserve"> of </w:t>
      </w:r>
      <w:r>
        <w:rPr>
          <w:kern w:val="0"/>
          <w:szCs w:val="24"/>
        </w:rPr>
        <w:t>organization, are identified for environmental monitoring purposes. Projects to monitor biodiversity will benefit from a direct linkage to long-term ecological research</w:t>
      </w:r>
      <w:r w:rsidR="005853A9">
        <w:rPr>
          <w:kern w:val="0"/>
          <w:szCs w:val="24"/>
        </w:rPr>
        <w:t xml:space="preserve"> and </w:t>
      </w:r>
      <w:r>
        <w:rPr>
          <w:kern w:val="0"/>
          <w:szCs w:val="24"/>
        </w:rPr>
        <w:t>a commitment to test hypotheses relevant to biodiversity conservation. A general guideline is to proceed from</w:t>
      </w:r>
      <w:r w:rsidR="003A1917">
        <w:rPr>
          <w:kern w:val="0"/>
          <w:szCs w:val="24"/>
        </w:rPr>
        <w:t xml:space="preserve"> the </w:t>
      </w:r>
      <w:r>
        <w:rPr>
          <w:kern w:val="0"/>
          <w:szCs w:val="24"/>
        </w:rPr>
        <w:t>top down, beginning with a coarse-scale inventory</w:t>
      </w:r>
      <w:r w:rsidR="00427468">
        <w:rPr>
          <w:kern w:val="0"/>
          <w:szCs w:val="24"/>
        </w:rPr>
        <w:t xml:space="preserve"> of </w:t>
      </w:r>
      <w:r>
        <w:rPr>
          <w:kern w:val="0"/>
          <w:szCs w:val="24"/>
        </w:rPr>
        <w:t>landscape pattern, vegetation, habitat structure,</w:t>
      </w:r>
      <w:r w:rsidR="005853A9">
        <w:rPr>
          <w:kern w:val="0"/>
          <w:szCs w:val="24"/>
        </w:rPr>
        <w:t xml:space="preserve"> and </w:t>
      </w:r>
      <w:r>
        <w:rPr>
          <w:kern w:val="0"/>
          <w:szCs w:val="24"/>
        </w:rPr>
        <w:t>species distributions, then overlaying data on stress levels to identify biologically significant areas at high risk</w:t>
      </w:r>
      <w:r w:rsidR="00427468">
        <w:rPr>
          <w:kern w:val="0"/>
          <w:szCs w:val="24"/>
        </w:rPr>
        <w:t xml:space="preserve"> of </w:t>
      </w:r>
      <w:r>
        <w:rPr>
          <w:kern w:val="0"/>
          <w:szCs w:val="24"/>
        </w:rPr>
        <w:t>impoverishment. Intensive research</w:t>
      </w:r>
      <w:r w:rsidR="005853A9">
        <w:rPr>
          <w:kern w:val="0"/>
          <w:szCs w:val="24"/>
        </w:rPr>
        <w:t xml:space="preserve"> and </w:t>
      </w:r>
      <w:r>
        <w:rPr>
          <w:kern w:val="0"/>
          <w:szCs w:val="24"/>
        </w:rPr>
        <w:t>monitoring can be directed to high-risk ecosystems</w:t>
      </w:r>
      <w:r w:rsidR="005853A9">
        <w:rPr>
          <w:kern w:val="0"/>
          <w:szCs w:val="24"/>
        </w:rPr>
        <w:t xml:space="preserve"> and </w:t>
      </w:r>
      <w:r>
        <w:rPr>
          <w:kern w:val="0"/>
          <w:szCs w:val="24"/>
        </w:rPr>
        <w:t>elements</w:t>
      </w:r>
      <w:r w:rsidR="00427468">
        <w:rPr>
          <w:kern w:val="0"/>
          <w:szCs w:val="24"/>
        </w:rPr>
        <w:t xml:space="preserve"> of </w:t>
      </w:r>
      <w:r>
        <w:rPr>
          <w:kern w:val="0"/>
          <w:szCs w:val="24"/>
        </w:rPr>
        <w:t>biodiversity, while less intensive monitoring is directed to</w:t>
      </w:r>
      <w:r w:rsidR="003A1917">
        <w:rPr>
          <w:kern w:val="0"/>
          <w:szCs w:val="24"/>
        </w:rPr>
        <w:t xml:space="preserve"> the </w:t>
      </w:r>
      <w:r>
        <w:rPr>
          <w:kern w:val="0"/>
          <w:szCs w:val="24"/>
        </w:rPr>
        <w:t>total landscape (or samples thereof). In any monitoring program, particular attention should be paid to specifying</w:t>
      </w:r>
      <w:r w:rsidR="003A1917">
        <w:rPr>
          <w:kern w:val="0"/>
          <w:szCs w:val="24"/>
        </w:rPr>
        <w:t xml:space="preserve"> the </w:t>
      </w:r>
      <w:r>
        <w:rPr>
          <w:kern w:val="0"/>
          <w:szCs w:val="24"/>
        </w:rPr>
        <w:t>questions that monitoring is intended to answer</w:t>
      </w:r>
      <w:r w:rsidR="005853A9">
        <w:rPr>
          <w:kern w:val="0"/>
          <w:szCs w:val="24"/>
        </w:rPr>
        <w:t xml:space="preserve"> and </w:t>
      </w:r>
      <w:r>
        <w:rPr>
          <w:kern w:val="0"/>
          <w:szCs w:val="24"/>
        </w:rPr>
        <w:t>validating</w:t>
      </w:r>
      <w:r w:rsidR="003A1917">
        <w:rPr>
          <w:kern w:val="0"/>
          <w:szCs w:val="24"/>
        </w:rPr>
        <w:t xml:space="preserve"> the </w:t>
      </w:r>
      <w:r>
        <w:rPr>
          <w:kern w:val="0"/>
          <w:szCs w:val="24"/>
        </w:rPr>
        <w:t xml:space="preserve">relationships </w:t>
      </w:r>
      <w:r>
        <w:rPr>
          <w:kern w:val="0"/>
          <w:szCs w:val="24"/>
        </w:rPr>
        <w:lastRenderedPageBreak/>
        <w:t>between indicators</w:t>
      </w:r>
      <w:r w:rsidR="005853A9">
        <w:rPr>
          <w:kern w:val="0"/>
          <w:szCs w:val="24"/>
        </w:rPr>
        <w:t xml:space="preserve"> and </w:t>
      </w:r>
      <w:r w:rsidR="003A1917">
        <w:rPr>
          <w:kern w:val="0"/>
          <w:szCs w:val="24"/>
        </w:rPr>
        <w:t xml:space="preserve">the </w:t>
      </w:r>
      <w:r>
        <w:rPr>
          <w:kern w:val="0"/>
          <w:szCs w:val="24"/>
        </w:rPr>
        <w:t>components</w:t>
      </w:r>
      <w:r w:rsidR="00427468">
        <w:rPr>
          <w:kern w:val="0"/>
          <w:szCs w:val="24"/>
        </w:rPr>
        <w:t xml:space="preserve"> of </w:t>
      </w:r>
      <w:r>
        <w:rPr>
          <w:kern w:val="0"/>
          <w:szCs w:val="24"/>
        </w:rPr>
        <w:t>biodiversity they represent.</w:t>
      </w:r>
    </w:p>
    <w:p w:rsidR="00C85F7F" w:rsidRDefault="00C85F7F" w:rsidP="00C85F7F">
      <w:pPr>
        <w:pStyle w:val="a3"/>
        <w:rPr>
          <w:kern w:val="0"/>
          <w:szCs w:val="24"/>
        </w:rPr>
      </w:pPr>
      <w:r>
        <w:rPr>
          <w:kern w:val="0"/>
          <w:szCs w:val="24"/>
        </w:rPr>
        <w:t>Keywords: Approach, Biodiversity, Biodiversity Conservation, Biological, Commitment, Composition, Conservation, Data, Ecosystems, Environmental, Environmental Monitoring, Environmental Policy, Function, General, Genetic, Guideline, Habitat, Indicators, Inventory, Landscape, Landscape Pattern, Linkage, Long Term, Long-Term, Management, Minor, Monitoring, Monitoring Program, Nested, Organization, Pattern, Policy, Primary, Regional, Research, Risk, Species, Stress, Structure, Vegetation</w:t>
      </w:r>
    </w:p>
    <w:p w:rsidR="00C85F7F" w:rsidRDefault="00C85F7F" w:rsidP="00C85F7F">
      <w:pPr>
        <w:pStyle w:val="a3"/>
      </w:pPr>
      <w:r>
        <w:rPr>
          <w:rFonts w:hint="eastAsia"/>
        </w:rPr>
        <w:t>Notes: highly cited</w:t>
      </w:r>
    </w:p>
    <w:p w:rsidR="00C85F7F" w:rsidRDefault="00C85F7F" w:rsidP="00C85F7F">
      <w:pPr>
        <w:pStyle w:val="a3"/>
        <w:rPr>
          <w:kern w:val="0"/>
          <w:szCs w:val="24"/>
        </w:rPr>
      </w:pPr>
      <w:r>
        <w:rPr>
          <w:rFonts w:hint="eastAsia"/>
          <w:kern w:val="0"/>
          <w:szCs w:val="24"/>
        </w:rPr>
        <w:t xml:space="preserve">? </w:t>
      </w:r>
      <w:r>
        <w:rPr>
          <w:kern w:val="0"/>
          <w:szCs w:val="24"/>
        </w:rPr>
        <w:t>Saunders, D.A., Hobbs, R.J.</w:t>
      </w:r>
      <w:r w:rsidR="005853A9">
        <w:rPr>
          <w:kern w:val="0"/>
          <w:szCs w:val="24"/>
        </w:rPr>
        <w:t xml:space="preserve"> and </w:t>
      </w:r>
      <w:r>
        <w:rPr>
          <w:kern w:val="0"/>
          <w:szCs w:val="24"/>
        </w:rPr>
        <w:t>Margules, C.R. (1991), Biological consequences</w:t>
      </w:r>
      <w:r w:rsidR="00427468">
        <w:rPr>
          <w:kern w:val="0"/>
          <w:szCs w:val="24"/>
        </w:rPr>
        <w:t xml:space="preserve"> of </w:t>
      </w:r>
      <w:r>
        <w:rPr>
          <w:kern w:val="0"/>
          <w:szCs w:val="24"/>
        </w:rPr>
        <w:t>ecosystem fragmentation</w:t>
      </w:r>
      <w:r>
        <w:rPr>
          <w:rFonts w:hint="eastAsia"/>
          <w:kern w:val="0"/>
          <w:szCs w:val="24"/>
        </w:rPr>
        <w:t>:</w:t>
      </w:r>
      <w:r>
        <w:rPr>
          <w:kern w:val="0"/>
          <w:szCs w:val="24"/>
        </w:rPr>
        <w:t xml:space="preserve"> A review. </w:t>
      </w:r>
      <w:r>
        <w:rPr>
          <w:i/>
          <w:iCs/>
          <w:kern w:val="0"/>
          <w:szCs w:val="24"/>
        </w:rPr>
        <w:t>Conservation Biology</w:t>
      </w:r>
      <w:r>
        <w:rPr>
          <w:kern w:val="0"/>
          <w:szCs w:val="24"/>
        </w:rPr>
        <w:t xml:space="preserve">, </w:t>
      </w:r>
      <w:r>
        <w:rPr>
          <w:b/>
          <w:bCs/>
          <w:kern w:val="0"/>
          <w:szCs w:val="24"/>
        </w:rPr>
        <w:t>5</w:t>
      </w:r>
      <w:r>
        <w:rPr>
          <w:kern w:val="0"/>
          <w:szCs w:val="24"/>
        </w:rPr>
        <w:t xml:space="preserve"> (1), 18-32.</w:t>
      </w:r>
    </w:p>
    <w:p w:rsidR="00C85F7F" w:rsidRPr="00C73C58" w:rsidRDefault="00C85F7F" w:rsidP="00C85F7F">
      <w:pPr>
        <w:pStyle w:val="a3"/>
        <w:rPr>
          <w:kern w:val="0"/>
        </w:rPr>
      </w:pPr>
      <w:r w:rsidRPr="00C73C58">
        <w:rPr>
          <w:kern w:val="0"/>
        </w:rPr>
        <w:t xml:space="preserve">Full Text: </w:t>
      </w:r>
      <w:hyperlink r:id="rId1006" w:history="1">
        <w:r w:rsidRPr="009E12B6">
          <w:rPr>
            <w:rStyle w:val="a5"/>
            <w:kern w:val="0"/>
          </w:rPr>
          <w:t>1991\Con Bio5, 18.pdf</w:t>
        </w:r>
      </w:hyperlink>
    </w:p>
    <w:p w:rsidR="00C85F7F" w:rsidRDefault="00C85F7F" w:rsidP="00C85F7F">
      <w:pPr>
        <w:pStyle w:val="a3"/>
        <w:rPr>
          <w:kern w:val="0"/>
          <w:szCs w:val="24"/>
        </w:rPr>
      </w:pPr>
      <w:r>
        <w:rPr>
          <w:kern w:val="0"/>
          <w:szCs w:val="24"/>
        </w:rPr>
        <w:t>Abstract: Research on fragmented ecosystems has focused mostly on</w:t>
      </w:r>
      <w:r w:rsidR="003A1917">
        <w:rPr>
          <w:kern w:val="0"/>
          <w:szCs w:val="24"/>
        </w:rPr>
        <w:t xml:space="preserve"> the </w:t>
      </w:r>
      <w:r>
        <w:rPr>
          <w:kern w:val="0"/>
          <w:szCs w:val="24"/>
        </w:rPr>
        <w:t>biogeographic consequences</w:t>
      </w:r>
      <w:r w:rsidR="00427468">
        <w:rPr>
          <w:kern w:val="0"/>
          <w:szCs w:val="24"/>
        </w:rPr>
        <w:t xml:space="preserve"> of </w:t>
      </w:r>
      <w:r w:rsidR="003A1917">
        <w:rPr>
          <w:kern w:val="0"/>
          <w:szCs w:val="24"/>
        </w:rPr>
        <w:t xml:space="preserve">the </w:t>
      </w:r>
      <w:r>
        <w:rPr>
          <w:kern w:val="0"/>
          <w:szCs w:val="24"/>
        </w:rPr>
        <w:t>creation</w:t>
      </w:r>
      <w:r w:rsidR="00427468">
        <w:rPr>
          <w:kern w:val="0"/>
          <w:szCs w:val="24"/>
        </w:rPr>
        <w:t xml:space="preserve"> of </w:t>
      </w:r>
      <w:r>
        <w:rPr>
          <w:kern w:val="0"/>
          <w:szCs w:val="24"/>
        </w:rPr>
        <w:t xml:space="preserve">habitat </w:t>
      </w:r>
      <w:r w:rsidR="00B5188C">
        <w:rPr>
          <w:kern w:val="0"/>
          <w:szCs w:val="24"/>
        </w:rPr>
        <w:t>“</w:t>
      </w:r>
      <w:r>
        <w:rPr>
          <w:kern w:val="0"/>
          <w:szCs w:val="24"/>
        </w:rPr>
        <w:t>islands</w:t>
      </w:r>
      <w:r w:rsidR="00B5188C">
        <w:rPr>
          <w:kern w:val="0"/>
          <w:szCs w:val="24"/>
        </w:rPr>
        <w:t>”</w:t>
      </w:r>
      <w:r w:rsidR="00427468">
        <w:rPr>
          <w:kern w:val="0"/>
          <w:szCs w:val="24"/>
        </w:rPr>
        <w:t xml:space="preserve"> of </w:t>
      </w:r>
      <w:r>
        <w:rPr>
          <w:kern w:val="0"/>
          <w:szCs w:val="24"/>
        </w:rPr>
        <w:t>different sizes,</w:t>
      </w:r>
      <w:r w:rsidR="005853A9">
        <w:rPr>
          <w:kern w:val="0"/>
          <w:szCs w:val="24"/>
        </w:rPr>
        <w:t xml:space="preserve"> and </w:t>
      </w:r>
      <w:r>
        <w:rPr>
          <w:kern w:val="0"/>
          <w:szCs w:val="24"/>
        </w:rPr>
        <w:t>has provided little</w:t>
      </w:r>
      <w:r w:rsidR="00427468">
        <w:rPr>
          <w:kern w:val="0"/>
          <w:szCs w:val="24"/>
        </w:rPr>
        <w:t xml:space="preserve"> of </w:t>
      </w:r>
      <w:r>
        <w:rPr>
          <w:kern w:val="0"/>
          <w:szCs w:val="24"/>
        </w:rPr>
        <w:t>practical value to managers. However, ecosystem fragmentation causes large changes in</w:t>
      </w:r>
      <w:r w:rsidR="003A1917">
        <w:rPr>
          <w:kern w:val="0"/>
          <w:szCs w:val="24"/>
        </w:rPr>
        <w:t xml:space="preserve"> the </w:t>
      </w:r>
      <w:r>
        <w:rPr>
          <w:kern w:val="0"/>
          <w:szCs w:val="24"/>
        </w:rPr>
        <w:t>physical environment as well as biogeographic changes. Fragmentation generally results in a landscape that consists</w:t>
      </w:r>
      <w:r w:rsidR="00427468">
        <w:rPr>
          <w:kern w:val="0"/>
          <w:szCs w:val="24"/>
        </w:rPr>
        <w:t xml:space="preserve"> of </w:t>
      </w:r>
      <w:r>
        <w:rPr>
          <w:kern w:val="0"/>
          <w:szCs w:val="24"/>
        </w:rPr>
        <w:t>remnant areas</w:t>
      </w:r>
      <w:r w:rsidR="00427468">
        <w:rPr>
          <w:kern w:val="0"/>
          <w:szCs w:val="24"/>
        </w:rPr>
        <w:t xml:space="preserve"> of </w:t>
      </w:r>
      <w:r>
        <w:rPr>
          <w:kern w:val="0"/>
          <w:szCs w:val="24"/>
        </w:rPr>
        <w:t>native vegetation surrounded by a matrix</w:t>
      </w:r>
      <w:r w:rsidR="00427468">
        <w:rPr>
          <w:kern w:val="0"/>
          <w:szCs w:val="24"/>
        </w:rPr>
        <w:t xml:space="preserve"> of </w:t>
      </w:r>
      <w:r>
        <w:rPr>
          <w:kern w:val="0"/>
          <w:szCs w:val="24"/>
        </w:rPr>
        <w:t>agricultural or other developed land. As a result, fluxes</w:t>
      </w:r>
      <w:r w:rsidR="00427468">
        <w:rPr>
          <w:kern w:val="0"/>
          <w:szCs w:val="24"/>
        </w:rPr>
        <w:t xml:space="preserve"> of </w:t>
      </w:r>
      <w:r>
        <w:rPr>
          <w:kern w:val="0"/>
          <w:szCs w:val="24"/>
        </w:rPr>
        <w:t>radiation, momentum (i.e., wind), water,</w:t>
      </w:r>
      <w:r w:rsidR="005853A9">
        <w:rPr>
          <w:kern w:val="0"/>
          <w:szCs w:val="24"/>
        </w:rPr>
        <w:t xml:space="preserve"> and </w:t>
      </w:r>
      <w:r>
        <w:rPr>
          <w:kern w:val="0"/>
          <w:szCs w:val="24"/>
        </w:rPr>
        <w:t>nutrients across</w:t>
      </w:r>
      <w:r w:rsidR="003A1917">
        <w:rPr>
          <w:kern w:val="0"/>
          <w:szCs w:val="24"/>
        </w:rPr>
        <w:t xml:space="preserve"> the </w:t>
      </w:r>
      <w:r>
        <w:rPr>
          <w:kern w:val="0"/>
          <w:szCs w:val="24"/>
        </w:rPr>
        <w:t>landscape are altered significantly</w:t>
      </w:r>
      <w:r w:rsidR="00A37C1D">
        <w:rPr>
          <w:kern w:val="0"/>
          <w:szCs w:val="24"/>
        </w:rPr>
        <w:t>. The</w:t>
      </w:r>
      <w:r>
        <w:rPr>
          <w:kern w:val="0"/>
          <w:szCs w:val="24"/>
        </w:rPr>
        <w:t>se in turn can have important influences on</w:t>
      </w:r>
      <w:r w:rsidR="003A1917">
        <w:rPr>
          <w:kern w:val="0"/>
          <w:szCs w:val="24"/>
        </w:rPr>
        <w:t xml:space="preserve"> the </w:t>
      </w:r>
      <w:r>
        <w:rPr>
          <w:kern w:val="0"/>
          <w:szCs w:val="24"/>
        </w:rPr>
        <w:t>biota within remnant areas, especially at or near</w:t>
      </w:r>
      <w:r w:rsidR="003A1917">
        <w:rPr>
          <w:kern w:val="0"/>
          <w:szCs w:val="24"/>
        </w:rPr>
        <w:t xml:space="preserve"> the </w:t>
      </w:r>
      <w:r>
        <w:rPr>
          <w:kern w:val="0"/>
          <w:szCs w:val="24"/>
        </w:rPr>
        <w:t>edge between</w:t>
      </w:r>
      <w:r w:rsidR="003A1917">
        <w:rPr>
          <w:kern w:val="0"/>
          <w:szCs w:val="24"/>
        </w:rPr>
        <w:t xml:space="preserve"> the </w:t>
      </w:r>
      <w:r>
        <w:rPr>
          <w:kern w:val="0"/>
          <w:szCs w:val="24"/>
        </w:rPr>
        <w:t>remnant</w:t>
      </w:r>
      <w:r w:rsidR="005853A9">
        <w:rPr>
          <w:kern w:val="0"/>
          <w:szCs w:val="24"/>
        </w:rPr>
        <w:t xml:space="preserve"> and </w:t>
      </w:r>
      <w:r w:rsidR="003A1917">
        <w:rPr>
          <w:kern w:val="0"/>
          <w:szCs w:val="24"/>
        </w:rPr>
        <w:t xml:space="preserve">the </w:t>
      </w:r>
      <w:r>
        <w:rPr>
          <w:kern w:val="0"/>
          <w:szCs w:val="24"/>
        </w:rPr>
        <w:t>surrounding matrix</w:t>
      </w:r>
      <w:r w:rsidR="00A37C1D">
        <w:rPr>
          <w:kern w:val="0"/>
          <w:szCs w:val="24"/>
        </w:rPr>
        <w:t>. The</w:t>
      </w:r>
      <w:r w:rsidR="003A1917">
        <w:rPr>
          <w:kern w:val="0"/>
          <w:szCs w:val="24"/>
        </w:rPr>
        <w:t xml:space="preserve"> </w:t>
      </w:r>
      <w:r>
        <w:rPr>
          <w:kern w:val="0"/>
          <w:szCs w:val="24"/>
        </w:rPr>
        <w:t>isolation</w:t>
      </w:r>
      <w:r w:rsidR="00427468">
        <w:rPr>
          <w:kern w:val="0"/>
          <w:szCs w:val="24"/>
        </w:rPr>
        <w:t xml:space="preserve"> of </w:t>
      </w:r>
      <w:r>
        <w:rPr>
          <w:kern w:val="0"/>
          <w:szCs w:val="24"/>
        </w:rPr>
        <w:t>remnant areas by clearing also has important consequences for</w:t>
      </w:r>
      <w:r w:rsidR="003A1917">
        <w:rPr>
          <w:kern w:val="0"/>
          <w:szCs w:val="24"/>
        </w:rPr>
        <w:t xml:space="preserve"> the </w:t>
      </w:r>
      <w:r>
        <w:rPr>
          <w:kern w:val="0"/>
          <w:szCs w:val="24"/>
        </w:rPr>
        <w:t>biota</w:t>
      </w:r>
      <w:r w:rsidR="00A37C1D">
        <w:rPr>
          <w:kern w:val="0"/>
          <w:szCs w:val="24"/>
        </w:rPr>
        <w:t>. The</w:t>
      </w:r>
      <w:r>
        <w:rPr>
          <w:kern w:val="0"/>
          <w:szCs w:val="24"/>
        </w:rPr>
        <w:t>se consequences vary with</w:t>
      </w:r>
      <w:r w:rsidR="003A1917">
        <w:rPr>
          <w:kern w:val="0"/>
          <w:szCs w:val="24"/>
        </w:rPr>
        <w:t xml:space="preserve"> the </w:t>
      </w:r>
      <w:r>
        <w:rPr>
          <w:kern w:val="0"/>
          <w:szCs w:val="24"/>
        </w:rPr>
        <w:t>time since isolation, distance from other remnants,</w:t>
      </w:r>
      <w:r w:rsidR="005853A9">
        <w:rPr>
          <w:kern w:val="0"/>
          <w:szCs w:val="24"/>
        </w:rPr>
        <w:t xml:space="preserve"> and </w:t>
      </w:r>
      <w:r>
        <w:rPr>
          <w:kern w:val="0"/>
          <w:szCs w:val="24"/>
        </w:rPr>
        <w:t>degree</w:t>
      </w:r>
      <w:r w:rsidR="00427468">
        <w:rPr>
          <w:kern w:val="0"/>
          <w:szCs w:val="24"/>
        </w:rPr>
        <w:t xml:space="preserve"> of </w:t>
      </w:r>
      <w:r>
        <w:rPr>
          <w:kern w:val="0"/>
          <w:szCs w:val="24"/>
        </w:rPr>
        <w:t>connectivity with other remnants</w:t>
      </w:r>
      <w:r w:rsidR="00A37C1D">
        <w:rPr>
          <w:kern w:val="0"/>
          <w:szCs w:val="24"/>
        </w:rPr>
        <w:t>. The</w:t>
      </w:r>
      <w:r w:rsidR="003A1917">
        <w:rPr>
          <w:kern w:val="0"/>
          <w:szCs w:val="24"/>
        </w:rPr>
        <w:t xml:space="preserve"> </w:t>
      </w:r>
      <w:r>
        <w:rPr>
          <w:kern w:val="0"/>
          <w:szCs w:val="24"/>
        </w:rPr>
        <w:t>influences</w:t>
      </w:r>
      <w:r w:rsidR="00427468">
        <w:rPr>
          <w:kern w:val="0"/>
          <w:szCs w:val="24"/>
        </w:rPr>
        <w:t xml:space="preserve"> of </w:t>
      </w:r>
      <w:r>
        <w:rPr>
          <w:kern w:val="0"/>
          <w:szCs w:val="24"/>
        </w:rPr>
        <w:t>physical</w:t>
      </w:r>
      <w:r w:rsidR="005853A9">
        <w:rPr>
          <w:kern w:val="0"/>
          <w:szCs w:val="24"/>
        </w:rPr>
        <w:t xml:space="preserve"> and </w:t>
      </w:r>
      <w:r>
        <w:rPr>
          <w:kern w:val="0"/>
          <w:szCs w:val="24"/>
        </w:rPr>
        <w:t>biogeographic changes are modified by</w:t>
      </w:r>
      <w:r w:rsidR="003A1917">
        <w:rPr>
          <w:kern w:val="0"/>
          <w:szCs w:val="24"/>
        </w:rPr>
        <w:t xml:space="preserve"> the </w:t>
      </w:r>
      <w:r>
        <w:rPr>
          <w:kern w:val="0"/>
          <w:szCs w:val="24"/>
        </w:rPr>
        <w:t>size, shape,</w:t>
      </w:r>
      <w:r w:rsidR="005853A9">
        <w:rPr>
          <w:kern w:val="0"/>
          <w:szCs w:val="24"/>
        </w:rPr>
        <w:t xml:space="preserve"> and </w:t>
      </w:r>
      <w:r>
        <w:rPr>
          <w:kern w:val="0"/>
          <w:szCs w:val="24"/>
        </w:rPr>
        <w:t>position in</w:t>
      </w:r>
      <w:r w:rsidR="003A1917">
        <w:rPr>
          <w:kern w:val="0"/>
          <w:szCs w:val="24"/>
        </w:rPr>
        <w:t xml:space="preserve"> the </w:t>
      </w:r>
      <w:r>
        <w:rPr>
          <w:kern w:val="0"/>
          <w:szCs w:val="24"/>
        </w:rPr>
        <w:t>landscape</w:t>
      </w:r>
      <w:r w:rsidR="00427468">
        <w:rPr>
          <w:kern w:val="0"/>
          <w:szCs w:val="24"/>
        </w:rPr>
        <w:t xml:space="preserve"> of </w:t>
      </w:r>
      <w:r>
        <w:rPr>
          <w:kern w:val="0"/>
          <w:szCs w:val="24"/>
        </w:rPr>
        <w:t>individual remnants, with larger remnants being less adversely affected by</w:t>
      </w:r>
      <w:r w:rsidR="003A1917">
        <w:rPr>
          <w:kern w:val="0"/>
          <w:szCs w:val="24"/>
        </w:rPr>
        <w:t xml:space="preserve"> the </w:t>
      </w:r>
      <w:r>
        <w:rPr>
          <w:kern w:val="0"/>
          <w:szCs w:val="24"/>
        </w:rPr>
        <w:t>fragmentation process</w:t>
      </w:r>
      <w:r w:rsidR="00A37C1D">
        <w:rPr>
          <w:kern w:val="0"/>
          <w:szCs w:val="24"/>
        </w:rPr>
        <w:t>. The</w:t>
      </w:r>
      <w:r w:rsidR="003A1917">
        <w:rPr>
          <w:kern w:val="0"/>
          <w:szCs w:val="24"/>
        </w:rPr>
        <w:t xml:space="preserve"> </w:t>
      </w:r>
      <w:r>
        <w:rPr>
          <w:kern w:val="0"/>
          <w:szCs w:val="24"/>
        </w:rPr>
        <w:t>dynamics</w:t>
      </w:r>
      <w:r w:rsidR="00427468">
        <w:rPr>
          <w:kern w:val="0"/>
          <w:szCs w:val="24"/>
        </w:rPr>
        <w:t xml:space="preserve"> of </w:t>
      </w:r>
      <w:r>
        <w:rPr>
          <w:kern w:val="0"/>
          <w:szCs w:val="24"/>
        </w:rPr>
        <w:t>remnant areas are predominantly driven by factors arising in</w:t>
      </w:r>
      <w:r w:rsidR="003A1917">
        <w:rPr>
          <w:kern w:val="0"/>
          <w:szCs w:val="24"/>
        </w:rPr>
        <w:t xml:space="preserve"> the </w:t>
      </w:r>
      <w:r>
        <w:rPr>
          <w:kern w:val="0"/>
          <w:szCs w:val="24"/>
        </w:rPr>
        <w:t>surrounding landscape. Management of,</w:t>
      </w:r>
      <w:r w:rsidR="005853A9">
        <w:rPr>
          <w:kern w:val="0"/>
          <w:szCs w:val="24"/>
        </w:rPr>
        <w:t xml:space="preserve"> and </w:t>
      </w:r>
      <w:r>
        <w:rPr>
          <w:kern w:val="0"/>
          <w:szCs w:val="24"/>
        </w:rPr>
        <w:t>research on, fragmented ecosystems should be directed at understanding</w:t>
      </w:r>
      <w:r w:rsidR="005853A9">
        <w:rPr>
          <w:kern w:val="0"/>
          <w:szCs w:val="24"/>
        </w:rPr>
        <w:t xml:space="preserve"> and </w:t>
      </w:r>
      <w:r>
        <w:rPr>
          <w:kern w:val="0"/>
          <w:szCs w:val="24"/>
        </w:rPr>
        <w:t>controlling these external influences as much as at</w:t>
      </w:r>
      <w:r w:rsidR="003A1917">
        <w:rPr>
          <w:kern w:val="0"/>
          <w:szCs w:val="24"/>
        </w:rPr>
        <w:t xml:space="preserve"> the </w:t>
      </w:r>
      <w:r>
        <w:rPr>
          <w:kern w:val="0"/>
          <w:szCs w:val="24"/>
        </w:rPr>
        <w:t>biota</w:t>
      </w:r>
      <w:r w:rsidR="00427468">
        <w:rPr>
          <w:kern w:val="0"/>
          <w:szCs w:val="24"/>
        </w:rPr>
        <w:t xml:space="preserve"> of </w:t>
      </w:r>
      <w:r w:rsidR="003A1917">
        <w:rPr>
          <w:kern w:val="0"/>
          <w:szCs w:val="24"/>
        </w:rPr>
        <w:t xml:space="preserve">the </w:t>
      </w:r>
      <w:r>
        <w:rPr>
          <w:kern w:val="0"/>
          <w:szCs w:val="24"/>
        </w:rPr>
        <w:t>remnants themselves</w:t>
      </w:r>
      <w:r w:rsidR="00A37C1D">
        <w:rPr>
          <w:kern w:val="0"/>
          <w:szCs w:val="24"/>
        </w:rPr>
        <w:t>. The</w:t>
      </w:r>
      <w:r>
        <w:rPr>
          <w:kern w:val="0"/>
          <w:szCs w:val="24"/>
        </w:rPr>
        <w:t>re is a strong need to develop an integrated approach to landscape management that places conservation reserves in</w:t>
      </w:r>
      <w:r w:rsidR="003A1917">
        <w:rPr>
          <w:kern w:val="0"/>
          <w:szCs w:val="24"/>
        </w:rPr>
        <w:t xml:space="preserve"> the </w:t>
      </w:r>
      <w:r>
        <w:rPr>
          <w:kern w:val="0"/>
          <w:szCs w:val="24"/>
        </w:rPr>
        <w:t>context</w:t>
      </w:r>
      <w:r w:rsidR="00427468">
        <w:rPr>
          <w:kern w:val="0"/>
          <w:szCs w:val="24"/>
        </w:rPr>
        <w:t xml:space="preserve"> of </w:t>
      </w:r>
      <w:r w:rsidR="003A1917">
        <w:rPr>
          <w:kern w:val="0"/>
          <w:szCs w:val="24"/>
        </w:rPr>
        <w:t xml:space="preserve">the </w:t>
      </w:r>
      <w:r>
        <w:rPr>
          <w:kern w:val="0"/>
          <w:szCs w:val="24"/>
        </w:rPr>
        <w:t>overall landscape.</w:t>
      </w:r>
    </w:p>
    <w:p w:rsidR="00C85F7F" w:rsidRDefault="00C85F7F" w:rsidP="00C85F7F">
      <w:pPr>
        <w:pStyle w:val="a3"/>
        <w:rPr>
          <w:kern w:val="0"/>
          <w:szCs w:val="24"/>
        </w:rPr>
      </w:pPr>
      <w:r>
        <w:rPr>
          <w:kern w:val="0"/>
          <w:szCs w:val="24"/>
        </w:rPr>
        <w:t>Keywords: Agricultural, Approach, Biota, Changes, Connectivity, Conservation, Context, Dynamics, Ecosystem, Ecosystems, Environment, Fluxes, Fragmentation, Habitat, Landscape, Management, Mar, Matrix, Modified, Nutrients, Physical, Radiation, Research, Size, Understanding, Value, Vegetation, Water</w:t>
      </w:r>
    </w:p>
    <w:p w:rsidR="003474F2" w:rsidRPr="001A3D2B" w:rsidRDefault="003474F2" w:rsidP="003474F2">
      <w:pPr>
        <w:pStyle w:val="a3"/>
      </w:pPr>
      <w:r w:rsidRPr="001A3D2B">
        <w:t>Bini, L.M., Diniz, J.A.F., Carvalho, P., Pinto, M.P.</w:t>
      </w:r>
      <w:r w:rsidR="005853A9">
        <w:t xml:space="preserve"> and </w:t>
      </w:r>
      <w:r w:rsidRPr="001A3D2B">
        <w:t>Rangel, T.F.L.V. (2005), Lomborg</w:t>
      </w:r>
      <w:r w:rsidR="005853A9">
        <w:t xml:space="preserve"> and </w:t>
      </w:r>
      <w:r w:rsidR="003A1917">
        <w:t xml:space="preserve">the </w:t>
      </w:r>
      <w:r w:rsidRPr="001A3D2B">
        <w:t>litany</w:t>
      </w:r>
      <w:r w:rsidR="00427468">
        <w:t xml:space="preserve"> of </w:t>
      </w:r>
      <w:r w:rsidRPr="001A3D2B">
        <w:t>biodiversity crisis: What</w:t>
      </w:r>
      <w:r w:rsidR="003A1917">
        <w:t xml:space="preserve"> the </w:t>
      </w:r>
      <w:r w:rsidRPr="001A3D2B">
        <w:t xml:space="preserve">peer-reviewed literature says. </w:t>
      </w:r>
      <w:r w:rsidRPr="001A3D2B">
        <w:rPr>
          <w:i/>
          <w:iCs/>
        </w:rPr>
        <w:lastRenderedPageBreak/>
        <w:t>Conservation Biology</w:t>
      </w:r>
      <w:r w:rsidRPr="001A3D2B">
        <w:t xml:space="preserve">, </w:t>
      </w:r>
      <w:r w:rsidRPr="001A3D2B">
        <w:rPr>
          <w:b/>
          <w:bCs/>
        </w:rPr>
        <w:t>19</w:t>
      </w:r>
      <w:r w:rsidRPr="001A3D2B">
        <w:t xml:space="preserve"> (4), 1301-1305.</w:t>
      </w:r>
    </w:p>
    <w:p w:rsidR="003474F2" w:rsidRPr="001A3D2B" w:rsidRDefault="003474F2" w:rsidP="003474F2">
      <w:pPr>
        <w:pStyle w:val="a3"/>
      </w:pPr>
      <w:r w:rsidRPr="001A3D2B">
        <w:t xml:space="preserve">Full Text: </w:t>
      </w:r>
      <w:hyperlink r:id="rId1007" w:history="1">
        <w:r w:rsidRPr="001A3D2B">
          <w:rPr>
            <w:rStyle w:val="a5"/>
          </w:rPr>
          <w:t>2005\Con Bio19, 1301.pdf</w:t>
        </w:r>
      </w:hyperlink>
    </w:p>
    <w:p w:rsidR="003474F2" w:rsidRPr="001A3D2B" w:rsidRDefault="003474F2" w:rsidP="003474F2">
      <w:pPr>
        <w:pStyle w:val="a3"/>
      </w:pPr>
      <w:r w:rsidRPr="001A3D2B">
        <w:t>Abstract: Lomborg</w:t>
      </w:r>
      <w:r w:rsidR="0071223E">
        <w:t>’</w:t>
      </w:r>
      <w:r w:rsidR="00C13DDC">
        <w:t>s</w:t>
      </w:r>
      <w:r w:rsidRPr="001A3D2B">
        <w:t xml:space="preserve"> (2001) book has generated passionate discussion about</w:t>
      </w:r>
      <w:r w:rsidR="003A1917">
        <w:t xml:space="preserve"> the </w:t>
      </w:r>
      <w:r w:rsidRPr="001A3D2B">
        <w:t>state</w:t>
      </w:r>
      <w:r w:rsidR="00427468">
        <w:t xml:space="preserve"> of </w:t>
      </w:r>
      <w:r w:rsidR="003A1917">
        <w:t xml:space="preserve">the </w:t>
      </w:r>
      <w:r w:rsidRPr="001A3D2B">
        <w:t>global environment. Wee performed a bibliometric evaluation</w:t>
      </w:r>
      <w:r w:rsidR="00427468">
        <w:t xml:space="preserve"> of </w:t>
      </w:r>
      <w:r w:rsidR="003A1917">
        <w:t xml:space="preserve">the </w:t>
      </w:r>
      <w:r w:rsidRPr="001A3D2B">
        <w:t xml:space="preserve">peer-reviewed primary scientific. literature to determine whether there is any consistent evidence that </w:t>
      </w:r>
      <w:r w:rsidR="0071223E">
        <w:t>‘</w:t>
      </w:r>
      <w:r w:rsidRPr="001A3D2B">
        <w:t>things are getting better.</w:t>
      </w:r>
      <w:r w:rsidR="0071223E">
        <w:t>’</w:t>
      </w:r>
      <w:r w:rsidR="003A1917">
        <w:t xml:space="preserve"> the </w:t>
      </w:r>
      <w:r w:rsidRPr="001A3D2B">
        <w:t xml:space="preserve">global literature primarily reported negative impacts on biodiversity caused by human actions, although </w:t>
      </w:r>
      <w:smartTag w:uri="urn:schemas-microsoft-com:office:smarttags" w:element="place">
        <w:r w:rsidRPr="001A3D2B">
          <w:t>Europe</w:t>
        </w:r>
      </w:smartTag>
      <w:r w:rsidRPr="001A3D2B">
        <w:t xml:space="preserve"> appeared to be doing better than</w:t>
      </w:r>
      <w:r w:rsidR="003A1917">
        <w:t xml:space="preserve"> the </w:t>
      </w:r>
      <w:r w:rsidRPr="001A3D2B">
        <w:t>rest</w:t>
      </w:r>
      <w:r w:rsidR="00427468">
        <w:t xml:space="preserve"> of </w:t>
      </w:r>
      <w:r w:rsidR="003A1917">
        <w:t xml:space="preserve">the </w:t>
      </w:r>
      <w:r w:rsidRPr="001A3D2B">
        <w:t>world</w:t>
      </w:r>
      <w:r w:rsidR="00A37C1D">
        <w:t>. The</w:t>
      </w:r>
      <w:r w:rsidRPr="001A3D2B">
        <w:t>se results cannot be explained by publication bias alone because rejection rates</w:t>
      </w:r>
      <w:r w:rsidR="00427468">
        <w:t xml:space="preserve"> of </w:t>
      </w:r>
      <w:r w:rsidRPr="001A3D2B">
        <w:t>papers indicating improvements in</w:t>
      </w:r>
      <w:r w:rsidR="003A1917">
        <w:t xml:space="preserve"> the </w:t>
      </w:r>
      <w:r w:rsidRPr="001A3D2B">
        <w:t>environment would have to be unrealistically high to change our results</w:t>
      </w:r>
      <w:r w:rsidR="00A37C1D">
        <w:t>. The</w:t>
      </w:r>
      <w:r w:rsidRPr="001A3D2B">
        <w:t>re were nonrandom distributions</w:t>
      </w:r>
      <w:r w:rsidR="00427468">
        <w:t xml:space="preserve"> of </w:t>
      </w:r>
      <w:r w:rsidRPr="001A3D2B">
        <w:t>papers showing environmental recovery in developed countries</w:t>
      </w:r>
      <w:r w:rsidR="005853A9">
        <w:t xml:space="preserve"> and </w:t>
      </w:r>
      <w:r w:rsidRPr="001A3D2B">
        <w:t>for ecosystems not strongly subjected to conservation-development conflicts. Although</w:t>
      </w:r>
      <w:r w:rsidR="003A1917">
        <w:t xml:space="preserve"> the </w:t>
      </w:r>
      <w:r w:rsidRPr="001A3D2B">
        <w:t>literature did not paint a picture</w:t>
      </w:r>
      <w:r w:rsidR="00427468">
        <w:t xml:space="preserve"> of </w:t>
      </w:r>
      <w:r w:rsidRPr="001A3D2B">
        <w:t>universal gloom,</w:t>
      </w:r>
      <w:r w:rsidR="003A1917">
        <w:t xml:space="preserve"> the </w:t>
      </w:r>
      <w:r w:rsidRPr="001A3D2B">
        <w:t>empirical evidence clearly showed growing environmental crises.</w:t>
      </w:r>
    </w:p>
    <w:p w:rsidR="003474F2" w:rsidRPr="001A3D2B" w:rsidRDefault="003474F2" w:rsidP="003474F2">
      <w:pPr>
        <w:pStyle w:val="a3"/>
      </w:pPr>
      <w:r w:rsidRPr="001A3D2B">
        <w:t>Keywords: Biodiversity, Environmental Crisis, Impact Factors, Journals, Population-Growth, Publication, Science, Skeptical-Environmentalist</w:t>
      </w:r>
    </w:p>
    <w:p w:rsidR="003474F2" w:rsidRPr="001A3D2B" w:rsidRDefault="003474F2" w:rsidP="003474F2">
      <w:pPr>
        <w:pStyle w:val="a3"/>
      </w:pPr>
      <w:r w:rsidRPr="001A3D2B">
        <w:t>Harrison, A.L. (2006), Who</w:t>
      </w:r>
      <w:r w:rsidR="0071223E">
        <w:t>’</w:t>
      </w:r>
      <w:r w:rsidR="00C13DDC">
        <w:t>s</w:t>
      </w:r>
      <w:r w:rsidRPr="001A3D2B">
        <w:t xml:space="preserve"> who in </w:t>
      </w:r>
      <w:r w:rsidRPr="00C85F7F">
        <w:rPr>
          <w:i/>
        </w:rPr>
        <w:t xml:space="preserve">Conservation </w:t>
      </w:r>
      <w:r w:rsidR="00C85F7F" w:rsidRPr="00C85F7F">
        <w:rPr>
          <w:i/>
        </w:rPr>
        <w:t>Biology</w:t>
      </w:r>
      <w:r w:rsidR="00C85F7F" w:rsidRPr="001A3D2B">
        <w:t xml:space="preserve"> </w:t>
      </w:r>
      <w:r w:rsidRPr="001A3D2B">
        <w:t xml:space="preserve">- An authorship analysis. </w:t>
      </w:r>
      <w:r w:rsidRPr="001A3D2B">
        <w:rPr>
          <w:i/>
          <w:iCs/>
        </w:rPr>
        <w:t>Conservation Biology</w:t>
      </w:r>
      <w:r w:rsidRPr="001A3D2B">
        <w:t xml:space="preserve">, </w:t>
      </w:r>
      <w:r w:rsidRPr="001A3D2B">
        <w:rPr>
          <w:b/>
          <w:bCs/>
        </w:rPr>
        <w:t>20</w:t>
      </w:r>
      <w:r w:rsidRPr="001A3D2B">
        <w:t xml:space="preserve"> (3), 652-657.</w:t>
      </w:r>
    </w:p>
    <w:p w:rsidR="003474F2" w:rsidRPr="001A3D2B" w:rsidRDefault="003474F2" w:rsidP="003474F2">
      <w:pPr>
        <w:pStyle w:val="a3"/>
      </w:pPr>
      <w:r w:rsidRPr="001A3D2B">
        <w:t xml:space="preserve">Full Text: </w:t>
      </w:r>
      <w:hyperlink r:id="rId1008" w:history="1">
        <w:r w:rsidRPr="001A3D2B">
          <w:rPr>
            <w:rStyle w:val="a5"/>
          </w:rPr>
          <w:t>2006\Con Bio20, 652.pdf</w:t>
        </w:r>
      </w:hyperlink>
    </w:p>
    <w:p w:rsidR="003474F2" w:rsidRPr="001A3D2B" w:rsidRDefault="003474F2" w:rsidP="003474F2">
      <w:pPr>
        <w:pStyle w:val="a3"/>
      </w:pPr>
      <w:r w:rsidRPr="001A3D2B">
        <w:t>Abstract: As</w:t>
      </w:r>
      <w:r w:rsidR="003A1917">
        <w:t xml:space="preserve"> the </w:t>
      </w:r>
      <w:r w:rsidRPr="001A3D2B">
        <w:t>flagship journal</w:t>
      </w:r>
      <w:r w:rsidR="00427468">
        <w:t xml:space="preserve"> of </w:t>
      </w:r>
      <w:r w:rsidR="003A1917">
        <w:t xml:space="preserve">the </w:t>
      </w:r>
      <w:r w:rsidRPr="001A3D2B">
        <w:t>field, Conservation Biology represents a multidisciplinary, global constituency</w:t>
      </w:r>
      <w:r w:rsidR="00427468">
        <w:t xml:space="preserve"> of </w:t>
      </w:r>
      <w:r w:rsidRPr="001A3D2B">
        <w:t>conservation professionals-a constituency composed</w:t>
      </w:r>
      <w:r w:rsidR="00427468">
        <w:t xml:space="preserve"> of </w:t>
      </w:r>
      <w:r w:rsidRPr="001A3D2B">
        <w:t>more than 5200 authors representing 1500 organizations</w:t>
      </w:r>
      <w:r w:rsidR="005853A9">
        <w:t xml:space="preserve"> and </w:t>
      </w:r>
      <w:r w:rsidRPr="001A3D2B">
        <w:t>89 countries. Using bibliometric records</w:t>
      </w:r>
      <w:r w:rsidR="00427468">
        <w:t xml:space="preserve"> of </w:t>
      </w:r>
      <w:r w:rsidRPr="001A3D2B">
        <w:t>research published in Conservation Biology, I evaluated trends in authorship</w:t>
      </w:r>
      <w:r w:rsidR="00427468">
        <w:t xml:space="preserve"> of </w:t>
      </w:r>
      <w:r w:rsidRPr="001A3D2B">
        <w:t>research papers from 1987 to 2005. Authorship diversified</w:t>
      </w:r>
      <w:r w:rsidR="005853A9">
        <w:t xml:space="preserve"> and </w:t>
      </w:r>
      <w:r w:rsidRPr="001A3D2B">
        <w:t>became increasingly collaborative over time. North Americans now compose one-half</w:t>
      </w:r>
      <w:r w:rsidR="00427468">
        <w:t xml:space="preserve"> of </w:t>
      </w:r>
      <w:r w:rsidRPr="001A3D2B">
        <w:t>primary authorship, down from 75% in</w:t>
      </w:r>
      <w:r w:rsidR="003A1917">
        <w:t xml:space="preserve"> the </w:t>
      </w:r>
      <w:r w:rsidRPr="001A3D2B">
        <w:t>1990s,</w:t>
      </w:r>
      <w:r w:rsidR="005853A9">
        <w:t xml:space="preserve"> and </w:t>
      </w:r>
      <w:r w:rsidRPr="001A3D2B">
        <w:t>European primary authors contribute a quarter</w:t>
      </w:r>
      <w:r w:rsidR="00427468">
        <w:t xml:space="preserve"> of </w:t>
      </w:r>
      <w:r w:rsidR="003A1917">
        <w:t xml:space="preserve">the </w:t>
      </w:r>
      <w:r w:rsidRPr="001A3D2B">
        <w:t>journal</w:t>
      </w:r>
      <w:r w:rsidR="0071223E">
        <w:t>’</w:t>
      </w:r>
      <w:r w:rsidR="00C13DDC">
        <w:t>s</w:t>
      </w:r>
      <w:r w:rsidRPr="001A3D2B">
        <w:t xml:space="preserve"> contributed research. Forty-five countries were represented in volume 19</w:t>
      </w:r>
      <w:r w:rsidR="00427468">
        <w:t xml:space="preserve"> of </w:t>
      </w:r>
      <w:r w:rsidR="003A1917">
        <w:t xml:space="preserve">the </w:t>
      </w:r>
      <w:r w:rsidRPr="001A3D2B">
        <w:t>journal</w:t>
      </w:r>
      <w:r w:rsidR="00A37C1D">
        <w:t>. The</w:t>
      </w:r>
      <w:r w:rsidR="003A1917">
        <w:t xml:space="preserve"> </w:t>
      </w:r>
      <w:r w:rsidRPr="001A3D2B">
        <w:t>top three most-cited authors are Australian</w:t>
      </w:r>
      <w:r w:rsidR="00A37C1D">
        <w:t>. The</w:t>
      </w:r>
      <w:r w:rsidR="003A1917">
        <w:t xml:space="preserve"> </w:t>
      </w:r>
      <w:r w:rsidRPr="001A3D2B">
        <w:t>percentage</w:t>
      </w:r>
      <w:r w:rsidR="00427468">
        <w:t xml:space="preserve"> of </w:t>
      </w:r>
      <w:r w:rsidRPr="001A3D2B">
        <w:t>single-authored papers declined from 57% in 1987 to 18% in 2005. Collectively, academic institutions contribute</w:t>
      </w:r>
      <w:r w:rsidR="003A1917">
        <w:t xml:space="preserve"> the </w:t>
      </w:r>
      <w:r w:rsidRPr="001A3D2B">
        <w:t>most research to Conservation Biology, although a government agency,</w:t>
      </w:r>
      <w:r w:rsidR="003A1917">
        <w:t xml:space="preserve"> the </w:t>
      </w:r>
      <w:r w:rsidRPr="001A3D2B">
        <w:t>US. Department</w:t>
      </w:r>
      <w:r w:rsidR="00427468">
        <w:t xml:space="preserve"> of </w:t>
      </w:r>
      <w:r w:rsidRPr="001A3D2B">
        <w:t>Agriculture Forest Service, was</w:t>
      </w:r>
      <w:r w:rsidR="003A1917">
        <w:t xml:space="preserve"> the </w:t>
      </w:r>
      <w:r w:rsidRPr="001A3D2B">
        <w:t>single most-productive organization</w:t>
      </w:r>
      <w:r w:rsidR="00A37C1D">
        <w:t>. The</w:t>
      </w:r>
      <w:r w:rsidR="003A1917">
        <w:t xml:space="preserve"> </w:t>
      </w:r>
      <w:r w:rsidRPr="001A3D2B">
        <w:t>maturing</w:t>
      </w:r>
      <w:r w:rsidR="00427468">
        <w:t xml:space="preserve"> of </w:t>
      </w:r>
      <w:r w:rsidRPr="001A3D2B">
        <w:t>conservation biology as a discipline,</w:t>
      </w:r>
      <w:r w:rsidR="003A1917">
        <w:t xml:space="preserve"> the </w:t>
      </w:r>
      <w:r w:rsidRPr="001A3D2B">
        <w:t>complex geographic</w:t>
      </w:r>
      <w:r w:rsidR="005853A9">
        <w:t xml:space="preserve"> and </w:t>
      </w:r>
      <w:r w:rsidRPr="001A3D2B">
        <w:t>multidisciplinary nature</w:t>
      </w:r>
      <w:r w:rsidR="00427468">
        <w:t xml:space="preserve"> of </w:t>
      </w:r>
      <w:r w:rsidRPr="001A3D2B">
        <w:t>conservation questions,</w:t>
      </w:r>
      <w:r w:rsidR="005853A9">
        <w:t xml:space="preserve"> and </w:t>
      </w:r>
      <w:r w:rsidR="003A1917">
        <w:t xml:space="preserve">the </w:t>
      </w:r>
      <w:r w:rsidRPr="001A3D2B">
        <w:t>increased ease</w:t>
      </w:r>
      <w:r w:rsidR="00427468">
        <w:t xml:space="preserve"> of </w:t>
      </w:r>
      <w:r w:rsidRPr="001A3D2B">
        <w:t>communication in a technologically connected world contribute to</w:t>
      </w:r>
      <w:r w:rsidR="003A1917">
        <w:t xml:space="preserve"> the </w:t>
      </w:r>
      <w:r w:rsidRPr="001A3D2B">
        <w:t>increasingly diverse</w:t>
      </w:r>
      <w:r w:rsidR="005853A9">
        <w:t xml:space="preserve"> and </w:t>
      </w:r>
      <w:r w:rsidRPr="001A3D2B">
        <w:t>collaborative Conservation Biology authorship.</w:t>
      </w:r>
    </w:p>
    <w:p w:rsidR="003474F2" w:rsidRPr="001A3D2B" w:rsidRDefault="003474F2" w:rsidP="003474F2">
      <w:pPr>
        <w:pStyle w:val="a3"/>
      </w:pPr>
      <w:r w:rsidRPr="001A3D2B">
        <w:t xml:space="preserve">Keywords: Analysis, Australian, Authorship, Bibliometric, Biology, Communication, Conservation, Conservation Biology, Field, Institutions, Journal, Multidisciplinary, </w:t>
      </w:r>
      <w:r w:rsidRPr="001A3D2B">
        <w:lastRenderedPageBreak/>
        <w:t>North, Organization, Papers, Primary, Records, Research, Trends</w:t>
      </w:r>
      <w:r w:rsidR="008C1C37">
        <w:t>, US,</w:t>
      </w:r>
      <w:r w:rsidRPr="001A3D2B">
        <w:t xml:space="preserve"> Volume, World</w:t>
      </w:r>
    </w:p>
    <w:p w:rsidR="003474F2" w:rsidRPr="001A3D2B" w:rsidRDefault="003474F2" w:rsidP="003474F2">
      <w:pPr>
        <w:pStyle w:val="a3"/>
      </w:pPr>
      <w:r w:rsidRPr="001A3D2B">
        <w:t>? Scott, J.M., Rachlow, J.L., Lackey, R.T., Pidgorna, A.B., Aycrigg, J.L., Feldman, G.R., Svancara, L.K., Rupp, D.A., Stanish, D.I.</w:t>
      </w:r>
      <w:r w:rsidR="005853A9">
        <w:t xml:space="preserve"> and </w:t>
      </w:r>
      <w:r w:rsidRPr="001A3D2B">
        <w:t>Steinhorst, R.K. (2007), Policy advocacy in science: Prevalence, perspectives,</w:t>
      </w:r>
      <w:r w:rsidR="005853A9">
        <w:t xml:space="preserve"> and </w:t>
      </w:r>
      <w:r w:rsidRPr="001A3D2B">
        <w:t xml:space="preserve">implications for conservation biologists. </w:t>
      </w:r>
      <w:r w:rsidRPr="001A3D2B">
        <w:rPr>
          <w:i/>
          <w:iCs/>
        </w:rPr>
        <w:t>Conservation Biology</w:t>
      </w:r>
      <w:r w:rsidRPr="001A3D2B">
        <w:t xml:space="preserve">, </w:t>
      </w:r>
      <w:r w:rsidRPr="001A3D2B">
        <w:rPr>
          <w:b/>
          <w:bCs/>
        </w:rPr>
        <w:t>21</w:t>
      </w:r>
      <w:r w:rsidRPr="001A3D2B">
        <w:t xml:space="preserve"> (1), 29-35.</w:t>
      </w:r>
    </w:p>
    <w:p w:rsidR="003474F2" w:rsidRPr="001A3D2B" w:rsidRDefault="003474F2" w:rsidP="003474F2">
      <w:pPr>
        <w:pStyle w:val="a3"/>
      </w:pPr>
      <w:r w:rsidRPr="001A3D2B">
        <w:t xml:space="preserve">Full Text: </w:t>
      </w:r>
      <w:hyperlink r:id="rId1009" w:history="1">
        <w:r w:rsidRPr="001A3D2B">
          <w:rPr>
            <w:rStyle w:val="a5"/>
          </w:rPr>
          <w:t>2007\Con Bio21, 29.pdf</w:t>
        </w:r>
      </w:hyperlink>
    </w:p>
    <w:p w:rsidR="003474F2" w:rsidRPr="001A3D2B" w:rsidRDefault="003474F2" w:rsidP="003474F2">
      <w:pPr>
        <w:pStyle w:val="a3"/>
      </w:pPr>
      <w:r w:rsidRPr="001A3D2B">
        <w:t>Keywords: Advocacy, Conservation, Science</w:t>
      </w:r>
    </w:p>
    <w:p w:rsidR="00F0789E" w:rsidRDefault="00F0789E" w:rsidP="00F0789E">
      <w:pPr>
        <w:pStyle w:val="a3"/>
        <w:rPr>
          <w:kern w:val="0"/>
        </w:rPr>
      </w:pPr>
      <w:r>
        <w:rPr>
          <w:rFonts w:hint="eastAsia"/>
          <w:kern w:val="0"/>
        </w:rPr>
        <w:t xml:space="preserve">? </w:t>
      </w:r>
      <w:r>
        <w:rPr>
          <w:kern w:val="0"/>
        </w:rPr>
        <w:t>Kingsford, R.T., Watson, J.E.M., Lundquist, C.J., Venter, O., Hughes, L., Johnston, E.L., Atherton, J., Gawel, M., Keith, D.A., Mackey, B.G., Morley, C., Possingham, H.P., Raynor, B., Recher, H.F.</w:t>
      </w:r>
      <w:r w:rsidR="005853A9">
        <w:rPr>
          <w:kern w:val="0"/>
        </w:rPr>
        <w:t xml:space="preserve"> and </w:t>
      </w:r>
      <w:r>
        <w:rPr>
          <w:kern w:val="0"/>
        </w:rPr>
        <w:t xml:space="preserve">Wilson, K.A. (2009), Major conservation policy issues for biodiversity in oceania. </w:t>
      </w:r>
      <w:r>
        <w:rPr>
          <w:i/>
          <w:iCs/>
          <w:kern w:val="0"/>
        </w:rPr>
        <w:t>Conservation Biology</w:t>
      </w:r>
      <w:r>
        <w:rPr>
          <w:kern w:val="0"/>
        </w:rPr>
        <w:t xml:space="preserve">, </w:t>
      </w:r>
      <w:r>
        <w:rPr>
          <w:b/>
          <w:bCs/>
          <w:kern w:val="0"/>
        </w:rPr>
        <w:t>23</w:t>
      </w:r>
      <w:r>
        <w:rPr>
          <w:kern w:val="0"/>
        </w:rPr>
        <w:t xml:space="preserve"> (4), 834-840.</w:t>
      </w:r>
    </w:p>
    <w:p w:rsidR="00F0789E" w:rsidRPr="001A3D2B" w:rsidRDefault="00F0789E" w:rsidP="00F0789E">
      <w:pPr>
        <w:pStyle w:val="a3"/>
      </w:pPr>
      <w:r w:rsidRPr="001A3D2B">
        <w:t xml:space="preserve">Full Text: </w:t>
      </w:r>
      <w:hyperlink r:id="rId1010" w:history="1">
        <w:r w:rsidR="00504EDE" w:rsidRPr="00504EDE">
          <w:rPr>
            <w:rStyle w:val="a5"/>
          </w:rPr>
          <w:t>2009\Con Bio23, 834.pdf</w:t>
        </w:r>
      </w:hyperlink>
    </w:p>
    <w:p w:rsidR="00F0789E" w:rsidRDefault="00F0789E" w:rsidP="00F0789E">
      <w:pPr>
        <w:pStyle w:val="a3"/>
        <w:rPr>
          <w:kern w:val="0"/>
        </w:rPr>
      </w:pPr>
      <w:r>
        <w:rPr>
          <w:kern w:val="0"/>
        </w:rPr>
        <w:t>Abstract: Oceania is a diverse region encompassing Australia, Melanesia, Micronesia, New Zealand,</w:t>
      </w:r>
      <w:r w:rsidR="005853A9">
        <w:rPr>
          <w:kern w:val="0"/>
        </w:rPr>
        <w:t xml:space="preserve"> and </w:t>
      </w:r>
      <w:r>
        <w:rPr>
          <w:kern w:val="0"/>
        </w:rPr>
        <w:t>Polynesia,</w:t>
      </w:r>
      <w:r w:rsidR="005853A9">
        <w:rPr>
          <w:kern w:val="0"/>
        </w:rPr>
        <w:t xml:space="preserve"> and </w:t>
      </w:r>
      <w:r>
        <w:rPr>
          <w:kern w:val="0"/>
        </w:rPr>
        <w:t>it contains six</w:t>
      </w:r>
      <w:r w:rsidR="00427468">
        <w:rPr>
          <w:kern w:val="0"/>
        </w:rPr>
        <w:t xml:space="preserve"> of </w:t>
      </w:r>
      <w:r w:rsidR="003A1917">
        <w:rPr>
          <w:kern w:val="0"/>
        </w:rPr>
        <w:t xml:space="preserve">the </w:t>
      </w:r>
      <w:r>
        <w:rPr>
          <w:kern w:val="0"/>
        </w:rPr>
        <w:t>world</w:t>
      </w:r>
      <w:r w:rsidR="0071223E">
        <w:rPr>
          <w:kern w:val="0"/>
        </w:rPr>
        <w:t>’</w:t>
      </w:r>
      <w:r w:rsidR="00C13DDC">
        <w:rPr>
          <w:kern w:val="0"/>
        </w:rPr>
        <w:t>s</w:t>
      </w:r>
      <w:r>
        <w:rPr>
          <w:kern w:val="0"/>
        </w:rPr>
        <w:t xml:space="preserve"> 39 hotspots</w:t>
      </w:r>
      <w:r w:rsidR="00427468">
        <w:rPr>
          <w:kern w:val="0"/>
        </w:rPr>
        <w:t xml:space="preserve"> of </w:t>
      </w:r>
      <w:r>
        <w:rPr>
          <w:kern w:val="0"/>
        </w:rPr>
        <w:t>diversity. It has a poor record for extinctions, particularly for birds on islands</w:t>
      </w:r>
      <w:r w:rsidR="005853A9">
        <w:rPr>
          <w:kern w:val="0"/>
        </w:rPr>
        <w:t xml:space="preserve"> and </w:t>
      </w:r>
      <w:r>
        <w:rPr>
          <w:kern w:val="0"/>
        </w:rPr>
        <w:t>mammals. Major causes include habitat loss</w:t>
      </w:r>
      <w:r w:rsidR="005853A9">
        <w:rPr>
          <w:kern w:val="0"/>
        </w:rPr>
        <w:t xml:space="preserve"> and </w:t>
      </w:r>
      <w:r>
        <w:rPr>
          <w:kern w:val="0"/>
        </w:rPr>
        <w:t>degradation, invasive species,</w:t>
      </w:r>
      <w:r w:rsidR="005853A9">
        <w:rPr>
          <w:kern w:val="0"/>
        </w:rPr>
        <w:t xml:space="preserve"> and </w:t>
      </w:r>
      <w:r>
        <w:rPr>
          <w:kern w:val="0"/>
        </w:rPr>
        <w:t>overexploitation. We identified six major threatening processes (habitat loss</w:t>
      </w:r>
      <w:r w:rsidR="005853A9">
        <w:rPr>
          <w:kern w:val="0"/>
        </w:rPr>
        <w:t xml:space="preserve"> and </w:t>
      </w:r>
      <w:r>
        <w:rPr>
          <w:kern w:val="0"/>
        </w:rPr>
        <w:t>degradation, invasive species, climate change, overexploitation, pollution,</w:t>
      </w:r>
      <w:r w:rsidR="005853A9">
        <w:rPr>
          <w:kern w:val="0"/>
        </w:rPr>
        <w:t xml:space="preserve"> and </w:t>
      </w:r>
      <w:r>
        <w:rPr>
          <w:kern w:val="0"/>
        </w:rPr>
        <w:t>disease) based on a comprehensive review</w:t>
      </w:r>
      <w:r w:rsidR="00427468">
        <w:rPr>
          <w:kern w:val="0"/>
        </w:rPr>
        <w:t xml:space="preserve"> of </w:t>
      </w:r>
      <w:r w:rsidR="003A1917">
        <w:rPr>
          <w:kern w:val="0"/>
        </w:rPr>
        <w:t xml:space="preserve">the </w:t>
      </w:r>
      <w:r>
        <w:rPr>
          <w:kern w:val="0"/>
        </w:rPr>
        <w:t>literature</w:t>
      </w:r>
      <w:r w:rsidR="005853A9">
        <w:rPr>
          <w:kern w:val="0"/>
        </w:rPr>
        <w:t xml:space="preserve"> and </w:t>
      </w:r>
      <w:r>
        <w:rPr>
          <w:kern w:val="0"/>
        </w:rPr>
        <w:t>for each developed a set</w:t>
      </w:r>
      <w:r w:rsidR="00427468">
        <w:rPr>
          <w:kern w:val="0"/>
        </w:rPr>
        <w:t xml:space="preserve"> of </w:t>
      </w:r>
      <w:r>
        <w:rPr>
          <w:kern w:val="0"/>
        </w:rPr>
        <w:t>conservation policies. Many policies reflect</w:t>
      </w:r>
      <w:r w:rsidR="003A1917">
        <w:rPr>
          <w:kern w:val="0"/>
        </w:rPr>
        <w:t xml:space="preserve"> the </w:t>
      </w:r>
      <w:r>
        <w:rPr>
          <w:kern w:val="0"/>
        </w:rPr>
        <w:t>urgent need to deal with</w:t>
      </w:r>
      <w:r w:rsidR="003A1917">
        <w:rPr>
          <w:kern w:val="0"/>
        </w:rPr>
        <w:t xml:space="preserve"> the </w:t>
      </w:r>
      <w:r>
        <w:rPr>
          <w:kern w:val="0"/>
        </w:rPr>
        <w:t>effects</w:t>
      </w:r>
      <w:r w:rsidR="00427468">
        <w:rPr>
          <w:kern w:val="0"/>
        </w:rPr>
        <w:t xml:space="preserve"> of </w:t>
      </w:r>
      <w:r>
        <w:rPr>
          <w:kern w:val="0"/>
        </w:rPr>
        <w:t>burgeoning human populations (expected to increase significantly in</w:t>
      </w:r>
      <w:r w:rsidR="003A1917">
        <w:rPr>
          <w:kern w:val="0"/>
        </w:rPr>
        <w:t xml:space="preserve"> the </w:t>
      </w:r>
      <w:r>
        <w:rPr>
          <w:kern w:val="0"/>
        </w:rPr>
        <w:t>region) on biodiversity</w:t>
      </w:r>
      <w:r w:rsidR="00A37C1D">
        <w:rPr>
          <w:kern w:val="0"/>
        </w:rPr>
        <w:t>. The</w:t>
      </w:r>
      <w:r>
        <w:rPr>
          <w:kern w:val="0"/>
        </w:rPr>
        <w:t>re is considerable difference in resources for conservation, including people</w:t>
      </w:r>
      <w:r w:rsidR="005853A9">
        <w:rPr>
          <w:kern w:val="0"/>
        </w:rPr>
        <w:t xml:space="preserve"> and </w:t>
      </w:r>
      <w:r>
        <w:rPr>
          <w:kern w:val="0"/>
        </w:rPr>
        <w:t>available scientific information, which are heavily biased toward more developed countries in Oceania. Most scientific publications analyzed for four threats (habitat loss, invasive species, overexploitation,</w:t>
      </w:r>
      <w:r w:rsidR="005853A9">
        <w:rPr>
          <w:kern w:val="0"/>
        </w:rPr>
        <w:t xml:space="preserve"> and </w:t>
      </w:r>
      <w:r>
        <w:rPr>
          <w:kern w:val="0"/>
        </w:rPr>
        <w:t>pollution) are from developed countries: 88.6%</w:t>
      </w:r>
      <w:r w:rsidR="00427468">
        <w:rPr>
          <w:kern w:val="0"/>
        </w:rPr>
        <w:t xml:space="preserve"> of </w:t>
      </w:r>
      <w:r w:rsidR="00D5664A">
        <w:rPr>
          <w:kern w:val="0"/>
        </w:rPr>
        <w:t>Web</w:t>
      </w:r>
      <w:r w:rsidR="00427468">
        <w:rPr>
          <w:kern w:val="0"/>
        </w:rPr>
        <w:t xml:space="preserve"> of </w:t>
      </w:r>
      <w:r w:rsidR="00D5664A">
        <w:rPr>
          <w:kern w:val="0"/>
        </w:rPr>
        <w:t>Science</w:t>
      </w:r>
      <w:r>
        <w:rPr>
          <w:kern w:val="0"/>
        </w:rPr>
        <w:t xml:space="preserve"> publications were from Australia (53.7%), New Zealand (24.3%),</w:t>
      </w:r>
      <w:r w:rsidR="005853A9">
        <w:rPr>
          <w:kern w:val="0"/>
        </w:rPr>
        <w:t xml:space="preserve"> and </w:t>
      </w:r>
      <w:r>
        <w:rPr>
          <w:kern w:val="0"/>
        </w:rPr>
        <w:t>Hawaiian Islands (10.5%). Many island states have limited resources or expertise. Even countries that do (e.g., Australia, New Zealand) have ongoing</w:t>
      </w:r>
      <w:r w:rsidR="005853A9">
        <w:rPr>
          <w:kern w:val="0"/>
        </w:rPr>
        <w:t xml:space="preserve"> and </w:t>
      </w:r>
      <w:r>
        <w:rPr>
          <w:kern w:val="0"/>
        </w:rPr>
        <w:t>emerging significant challenges, particularly with</w:t>
      </w:r>
      <w:r w:rsidR="003A1917">
        <w:rPr>
          <w:kern w:val="0"/>
        </w:rPr>
        <w:t xml:space="preserve"> the </w:t>
      </w:r>
      <w:r>
        <w:rPr>
          <w:kern w:val="0"/>
        </w:rPr>
        <w:t>interactive effects</w:t>
      </w:r>
      <w:r w:rsidR="00427468">
        <w:rPr>
          <w:kern w:val="0"/>
        </w:rPr>
        <w:t xml:space="preserve"> of </w:t>
      </w:r>
      <w:r>
        <w:rPr>
          <w:kern w:val="0"/>
        </w:rPr>
        <w:t>climate change. Oceania will require</w:t>
      </w:r>
      <w:r w:rsidR="003A1917">
        <w:rPr>
          <w:kern w:val="0"/>
        </w:rPr>
        <w:t xml:space="preserve"> the </w:t>
      </w:r>
      <w:r>
        <w:rPr>
          <w:kern w:val="0"/>
        </w:rPr>
        <w:t>implementation</w:t>
      </w:r>
      <w:r w:rsidR="00427468">
        <w:rPr>
          <w:kern w:val="0"/>
        </w:rPr>
        <w:t xml:space="preserve"> of </w:t>
      </w:r>
      <w:r>
        <w:rPr>
          <w:kern w:val="0"/>
        </w:rPr>
        <w:t>effective policies for conservation if</w:t>
      </w:r>
      <w:r w:rsidR="003A1917">
        <w:rPr>
          <w:kern w:val="0"/>
        </w:rPr>
        <w:t xml:space="preserve"> the </w:t>
      </w:r>
      <w:r>
        <w:rPr>
          <w:kern w:val="0"/>
        </w:rPr>
        <w:t>region</w:t>
      </w:r>
      <w:r w:rsidR="0071223E">
        <w:rPr>
          <w:kern w:val="0"/>
        </w:rPr>
        <w:t>’</w:t>
      </w:r>
      <w:r w:rsidR="00C13DDC">
        <w:rPr>
          <w:kern w:val="0"/>
        </w:rPr>
        <w:t>s</w:t>
      </w:r>
      <w:r>
        <w:rPr>
          <w:kern w:val="0"/>
        </w:rPr>
        <w:t xml:space="preserve"> poor record on extinctions is not to continue.</w:t>
      </w:r>
    </w:p>
    <w:p w:rsidR="00F0789E" w:rsidRDefault="00F0789E" w:rsidP="00F0789E">
      <w:pPr>
        <w:pStyle w:val="a3"/>
        <w:rPr>
          <w:kern w:val="0"/>
        </w:rPr>
      </w:pPr>
      <w:r>
        <w:rPr>
          <w:kern w:val="0"/>
        </w:rPr>
        <w:t xml:space="preserve">Keywords: Australia, Biodiversity, Climate Change, Consequences, Conservation, Conservation Policy, Coral-Reefs, Disease, Diversity, Extinction Causes, Extinctions, Hotspot, Hotspots, Human, Impacts, Information, Islands, Literature, Management, New Zealand, New-South-Wales, Oceania, Policies, Policy, Publications, Review, Science, Scientific Information, Scientific Publications, </w:t>
      </w:r>
      <w:r w:rsidR="00D5664A">
        <w:rPr>
          <w:kern w:val="0"/>
        </w:rPr>
        <w:t>Web</w:t>
      </w:r>
      <w:r w:rsidR="00427468">
        <w:rPr>
          <w:kern w:val="0"/>
        </w:rPr>
        <w:t xml:space="preserve"> of </w:t>
      </w:r>
      <w:r w:rsidR="00D5664A">
        <w:rPr>
          <w:kern w:val="0"/>
        </w:rPr>
        <w:t>Science</w:t>
      </w:r>
      <w:r>
        <w:rPr>
          <w:kern w:val="0"/>
        </w:rPr>
        <w:t>, Wetlands</w:t>
      </w:r>
    </w:p>
    <w:p w:rsidR="00504EDE" w:rsidRDefault="00504EDE" w:rsidP="00504EDE">
      <w:pPr>
        <w:pStyle w:val="a3"/>
        <w:rPr>
          <w:kern w:val="0"/>
        </w:rPr>
      </w:pPr>
      <w:r>
        <w:rPr>
          <w:rFonts w:hint="eastAsia"/>
          <w:kern w:val="0"/>
        </w:rPr>
        <w:t xml:space="preserve">? </w:t>
      </w:r>
      <w:r>
        <w:rPr>
          <w:kern w:val="0"/>
        </w:rPr>
        <w:t>Calver, M.C.</w:t>
      </w:r>
      <w:r w:rsidR="005853A9">
        <w:rPr>
          <w:kern w:val="0"/>
        </w:rPr>
        <w:t xml:space="preserve"> and </w:t>
      </w:r>
      <w:r>
        <w:rPr>
          <w:kern w:val="0"/>
        </w:rPr>
        <w:t>Bradley, J.S. (2010), Patterns</w:t>
      </w:r>
      <w:r w:rsidR="00427468">
        <w:rPr>
          <w:kern w:val="0"/>
        </w:rPr>
        <w:t xml:space="preserve"> of </w:t>
      </w:r>
      <w:r>
        <w:rPr>
          <w:kern w:val="0"/>
        </w:rPr>
        <w:t>citations</w:t>
      </w:r>
      <w:r w:rsidR="00427468">
        <w:rPr>
          <w:kern w:val="0"/>
        </w:rPr>
        <w:t xml:space="preserve"> of </w:t>
      </w:r>
      <w:r>
        <w:rPr>
          <w:kern w:val="0"/>
        </w:rPr>
        <w:t>open access</w:t>
      </w:r>
      <w:r w:rsidR="005853A9">
        <w:rPr>
          <w:kern w:val="0"/>
        </w:rPr>
        <w:t xml:space="preserve"> and </w:t>
      </w:r>
      <w:r>
        <w:rPr>
          <w:kern w:val="0"/>
        </w:rPr>
        <w:lastRenderedPageBreak/>
        <w:t>non-open access conservation biology journal papers</w:t>
      </w:r>
      <w:r w:rsidR="005853A9">
        <w:rPr>
          <w:kern w:val="0"/>
        </w:rPr>
        <w:t xml:space="preserve"> and </w:t>
      </w:r>
      <w:r>
        <w:rPr>
          <w:kern w:val="0"/>
        </w:rPr>
        <w:t xml:space="preserve">book chapters. </w:t>
      </w:r>
      <w:r>
        <w:rPr>
          <w:i/>
          <w:iCs/>
          <w:kern w:val="0"/>
        </w:rPr>
        <w:t>Conservation Biology</w:t>
      </w:r>
      <w:r>
        <w:rPr>
          <w:kern w:val="0"/>
        </w:rPr>
        <w:t xml:space="preserve">, </w:t>
      </w:r>
      <w:r>
        <w:rPr>
          <w:b/>
          <w:bCs/>
          <w:kern w:val="0"/>
        </w:rPr>
        <w:t>24</w:t>
      </w:r>
      <w:r>
        <w:rPr>
          <w:kern w:val="0"/>
        </w:rPr>
        <w:t xml:space="preserve"> (3), 872-880.</w:t>
      </w:r>
    </w:p>
    <w:p w:rsidR="00504EDE" w:rsidRPr="001A3D2B" w:rsidRDefault="00504EDE" w:rsidP="00504EDE">
      <w:pPr>
        <w:pStyle w:val="a3"/>
      </w:pPr>
      <w:r w:rsidRPr="001A3D2B">
        <w:t xml:space="preserve">Full Text: </w:t>
      </w:r>
      <w:hyperlink r:id="rId1011" w:history="1">
        <w:r w:rsidRPr="00014BBF">
          <w:rPr>
            <w:rStyle w:val="a5"/>
          </w:rPr>
          <w:t>2010\Con Bio24, 872.pdf</w:t>
        </w:r>
      </w:hyperlink>
    </w:p>
    <w:p w:rsidR="00504EDE" w:rsidRDefault="00504EDE" w:rsidP="00504EDE">
      <w:pPr>
        <w:pStyle w:val="a3"/>
        <w:rPr>
          <w:kern w:val="0"/>
        </w:rPr>
      </w:pPr>
      <w:r>
        <w:rPr>
          <w:kern w:val="0"/>
        </w:rPr>
        <w:t>Abstract: Open access (OA) publishing, whereby authors, their institutions, or their granting bodies pay or provide a repository through which peer-reviewed work is available online for free, is championed as a model to increase</w:t>
      </w:r>
      <w:r w:rsidR="003A1917">
        <w:rPr>
          <w:kern w:val="0"/>
        </w:rPr>
        <w:t xml:space="preserve"> the </w:t>
      </w:r>
      <w:r>
        <w:rPr>
          <w:kern w:val="0"/>
        </w:rPr>
        <w:t>number</w:t>
      </w:r>
      <w:r w:rsidR="00427468">
        <w:rPr>
          <w:kern w:val="0"/>
        </w:rPr>
        <w:t xml:space="preserve"> of </w:t>
      </w:r>
      <w:r>
        <w:rPr>
          <w:kern w:val="0"/>
        </w:rPr>
        <w:t>citations per paper</w:t>
      </w:r>
      <w:r w:rsidR="005853A9">
        <w:rPr>
          <w:kern w:val="0"/>
        </w:rPr>
        <w:t xml:space="preserve"> and </w:t>
      </w:r>
      <w:r>
        <w:rPr>
          <w:kern w:val="0"/>
        </w:rPr>
        <w:t>disseminate results widely, especially to researchers in developing countries. We compared</w:t>
      </w:r>
      <w:r w:rsidR="003A1917">
        <w:rPr>
          <w:kern w:val="0"/>
        </w:rPr>
        <w:t xml:space="preserve"> the </w:t>
      </w:r>
      <w:r>
        <w:rPr>
          <w:kern w:val="0"/>
        </w:rPr>
        <w:t>number</w:t>
      </w:r>
      <w:r w:rsidR="00427468">
        <w:rPr>
          <w:kern w:val="0"/>
        </w:rPr>
        <w:t xml:space="preserve"> of </w:t>
      </w:r>
      <w:r>
        <w:rPr>
          <w:kern w:val="0"/>
        </w:rPr>
        <w:t>citations</w:t>
      </w:r>
      <w:r w:rsidR="00427468">
        <w:rPr>
          <w:kern w:val="0"/>
        </w:rPr>
        <w:t xml:space="preserve"> of </w:t>
      </w:r>
      <w:r>
        <w:rPr>
          <w:kern w:val="0"/>
        </w:rPr>
        <w:t>OA</w:t>
      </w:r>
      <w:r w:rsidR="005853A9">
        <w:rPr>
          <w:kern w:val="0"/>
        </w:rPr>
        <w:t xml:space="preserve"> and </w:t>
      </w:r>
      <w:r>
        <w:rPr>
          <w:kern w:val="0"/>
        </w:rPr>
        <w:t>non-OA papers in six journals</w:t>
      </w:r>
      <w:r w:rsidR="005853A9">
        <w:rPr>
          <w:kern w:val="0"/>
        </w:rPr>
        <w:t xml:space="preserve"> and </w:t>
      </w:r>
      <w:r>
        <w:rPr>
          <w:kern w:val="0"/>
        </w:rPr>
        <w:t>four books published since 2000 to test whether OA increases number</w:t>
      </w:r>
      <w:r w:rsidR="00427468">
        <w:rPr>
          <w:kern w:val="0"/>
        </w:rPr>
        <w:t xml:space="preserve"> of </w:t>
      </w:r>
      <w:r>
        <w:rPr>
          <w:kern w:val="0"/>
        </w:rPr>
        <w:t>citations overall</w:t>
      </w:r>
      <w:r w:rsidR="005853A9">
        <w:rPr>
          <w:kern w:val="0"/>
        </w:rPr>
        <w:t xml:space="preserve"> and </w:t>
      </w:r>
      <w:r>
        <w:rPr>
          <w:kern w:val="0"/>
        </w:rPr>
        <w:t>increases citations made by authors in developing countries. After controlling for type</w:t>
      </w:r>
      <w:r w:rsidR="00427468">
        <w:rPr>
          <w:kern w:val="0"/>
        </w:rPr>
        <w:t xml:space="preserve"> of </w:t>
      </w:r>
      <w:r>
        <w:rPr>
          <w:kern w:val="0"/>
        </w:rPr>
        <w:t>paper (e. g., review or research paper), length</w:t>
      </w:r>
      <w:r w:rsidR="00427468">
        <w:rPr>
          <w:kern w:val="0"/>
        </w:rPr>
        <w:t xml:space="preserve"> of </w:t>
      </w:r>
      <w:r>
        <w:rPr>
          <w:kern w:val="0"/>
        </w:rPr>
        <w:t>paper, authors</w:t>
      </w:r>
      <w:r w:rsidR="0071223E">
        <w:rPr>
          <w:kern w:val="0"/>
        </w:rPr>
        <w:t>’</w:t>
      </w:r>
      <w:r>
        <w:rPr>
          <w:kern w:val="0"/>
        </w:rPr>
        <w:t xml:space="preserve"> citation profiles, number</w:t>
      </w:r>
      <w:r w:rsidR="00427468">
        <w:rPr>
          <w:kern w:val="0"/>
        </w:rPr>
        <w:t xml:space="preserve"> of </w:t>
      </w:r>
      <w:r>
        <w:rPr>
          <w:kern w:val="0"/>
        </w:rPr>
        <w:t>authors per paper,</w:t>
      </w:r>
      <w:r w:rsidR="005853A9">
        <w:rPr>
          <w:kern w:val="0"/>
        </w:rPr>
        <w:t xml:space="preserve"> and </w:t>
      </w:r>
      <w:r>
        <w:rPr>
          <w:kern w:val="0"/>
        </w:rPr>
        <w:t>whether</w:t>
      </w:r>
      <w:r w:rsidR="003A1917">
        <w:rPr>
          <w:kern w:val="0"/>
        </w:rPr>
        <w:t xml:space="preserve"> the </w:t>
      </w:r>
      <w:r>
        <w:rPr>
          <w:kern w:val="0"/>
        </w:rPr>
        <w:t>author or</w:t>
      </w:r>
      <w:r w:rsidR="003A1917">
        <w:rPr>
          <w:kern w:val="0"/>
        </w:rPr>
        <w:t xml:space="preserve"> the </w:t>
      </w:r>
      <w:r>
        <w:rPr>
          <w:kern w:val="0"/>
        </w:rPr>
        <w:t>publisher released</w:t>
      </w:r>
      <w:r w:rsidR="003A1917">
        <w:rPr>
          <w:kern w:val="0"/>
        </w:rPr>
        <w:t xml:space="preserve"> the </w:t>
      </w:r>
      <w:r>
        <w:rPr>
          <w:kern w:val="0"/>
        </w:rPr>
        <w:t>paper in OA, OA had no statistically significant influence on</w:t>
      </w:r>
      <w:r w:rsidR="003A1917">
        <w:rPr>
          <w:kern w:val="0"/>
        </w:rPr>
        <w:t xml:space="preserve"> the </w:t>
      </w:r>
      <w:r>
        <w:rPr>
          <w:kern w:val="0"/>
        </w:rPr>
        <w:t>overall number</w:t>
      </w:r>
      <w:r w:rsidR="00427468">
        <w:rPr>
          <w:kern w:val="0"/>
        </w:rPr>
        <w:t xml:space="preserve"> of </w:t>
      </w:r>
      <w:r>
        <w:rPr>
          <w:kern w:val="0"/>
        </w:rPr>
        <w:t>citations per journal paper. Journal papers were cited more frequently if</w:t>
      </w:r>
      <w:r w:rsidR="003A1917">
        <w:rPr>
          <w:kern w:val="0"/>
        </w:rPr>
        <w:t xml:space="preserve"> the </w:t>
      </w:r>
      <w:r>
        <w:rPr>
          <w:kern w:val="0"/>
        </w:rPr>
        <w:t>authors had published highly cited papers previously, were members</w:t>
      </w:r>
      <w:r w:rsidR="00427468">
        <w:rPr>
          <w:kern w:val="0"/>
        </w:rPr>
        <w:t xml:space="preserve"> of </w:t>
      </w:r>
      <w:r>
        <w:rPr>
          <w:kern w:val="0"/>
        </w:rPr>
        <w:t>large teams</w:t>
      </w:r>
      <w:r w:rsidR="00427468">
        <w:rPr>
          <w:kern w:val="0"/>
        </w:rPr>
        <w:t xml:space="preserve"> of </w:t>
      </w:r>
      <w:r>
        <w:rPr>
          <w:kern w:val="0"/>
        </w:rPr>
        <w:t>authors, or published relatively long papers, but papers were not cited more frequently if they were published in an OA source. Nevertheless, author-archived OA book chapters accrued up to eight times more citations than chapters in</w:t>
      </w:r>
      <w:r w:rsidR="003A1917">
        <w:rPr>
          <w:kern w:val="0"/>
        </w:rPr>
        <w:t xml:space="preserve"> the </w:t>
      </w:r>
      <w:r>
        <w:rPr>
          <w:kern w:val="0"/>
        </w:rPr>
        <w:t>same book that were not available through OA, perhaps because there is no online abstracting service for book chapters</w:t>
      </w:r>
      <w:r w:rsidR="00A37C1D">
        <w:rPr>
          <w:kern w:val="0"/>
        </w:rPr>
        <w:t>. The</w:t>
      </w:r>
      <w:r>
        <w:rPr>
          <w:kern w:val="0"/>
        </w:rPr>
        <w:t>re was also little evidence that journal papers or book chapters published in OA received more citations from authors in developing countries relative to those journal papers or book chapters not published in OA. For scholarly publications in conservation biology, only book chapters had an OA citation advantage,</w:t>
      </w:r>
      <w:r w:rsidR="005853A9">
        <w:rPr>
          <w:kern w:val="0"/>
        </w:rPr>
        <w:t xml:space="preserve"> and </w:t>
      </w:r>
      <w:r>
        <w:rPr>
          <w:kern w:val="0"/>
        </w:rPr>
        <w:t>OA did not increase</w:t>
      </w:r>
      <w:r w:rsidR="003A1917">
        <w:rPr>
          <w:kern w:val="0"/>
        </w:rPr>
        <w:t xml:space="preserve"> the </w:t>
      </w:r>
      <w:r>
        <w:rPr>
          <w:kern w:val="0"/>
        </w:rPr>
        <w:t>number</w:t>
      </w:r>
      <w:r w:rsidR="00427468">
        <w:rPr>
          <w:kern w:val="0"/>
        </w:rPr>
        <w:t xml:space="preserve"> of </w:t>
      </w:r>
      <w:r>
        <w:rPr>
          <w:kern w:val="0"/>
        </w:rPr>
        <w:t>citations papers or chapters received from authors in developing countries.</w:t>
      </w:r>
    </w:p>
    <w:p w:rsidR="00504EDE" w:rsidRDefault="00504EDE" w:rsidP="00504EDE">
      <w:pPr>
        <w:pStyle w:val="a3"/>
        <w:rPr>
          <w:kern w:val="0"/>
        </w:rPr>
      </w:pPr>
      <w:r>
        <w:rPr>
          <w:kern w:val="0"/>
        </w:rPr>
        <w:t xml:space="preserve">Keywords: Access, Authors, Biology, Bodies, Books, Citation, Citation Advantage, Citations, Conservation, Conservation Biology, Countries, Developing, Developing Countries, Developing Country, Evidence, Google Scholar, </w:t>
      </w:r>
      <w:r w:rsidR="00D5664A">
        <w:rPr>
          <w:rFonts w:hint="eastAsia"/>
          <w:kern w:val="0"/>
        </w:rPr>
        <w:t>h-Index</w:t>
      </w:r>
      <w:r>
        <w:rPr>
          <w:kern w:val="0"/>
        </w:rPr>
        <w:t>, HDI, Highly Cited Papers, Human Development Index, Impact, Institutions, Journal, Journals, Length, Model, Open Access, Papers, Peer-Reviewed, Profiles, Publications, Publishing, Research, Review, Scopus, Service, Source, Work</w:t>
      </w:r>
    </w:p>
    <w:p w:rsidR="0047226D" w:rsidRDefault="0047226D" w:rsidP="0047226D">
      <w:pPr>
        <w:pStyle w:val="a3"/>
        <w:rPr>
          <w:kern w:val="0"/>
        </w:rPr>
      </w:pPr>
      <w:r>
        <w:rPr>
          <w:rFonts w:hint="eastAsia"/>
          <w:kern w:val="0"/>
        </w:rPr>
        <w:t xml:space="preserve">? </w:t>
      </w:r>
      <w:r>
        <w:rPr>
          <w:kern w:val="0"/>
        </w:rPr>
        <w:t>Godet, L., Zelnio, K.A.</w:t>
      </w:r>
      <w:r w:rsidR="005853A9">
        <w:rPr>
          <w:kern w:val="0"/>
        </w:rPr>
        <w:t xml:space="preserve"> and </w:t>
      </w:r>
      <w:r>
        <w:rPr>
          <w:kern w:val="0"/>
        </w:rPr>
        <w:t>Van Dover, C.L. (2011), Scientists as stakeholders in conservation</w:t>
      </w:r>
      <w:r w:rsidR="00427468">
        <w:rPr>
          <w:kern w:val="0"/>
        </w:rPr>
        <w:t xml:space="preserve"> of </w:t>
      </w:r>
      <w:r>
        <w:rPr>
          <w:kern w:val="0"/>
        </w:rPr>
        <w:t xml:space="preserve">hydrothermal vents. </w:t>
      </w:r>
      <w:r>
        <w:rPr>
          <w:i/>
          <w:iCs/>
          <w:kern w:val="0"/>
        </w:rPr>
        <w:t>Conservation Biology</w:t>
      </w:r>
      <w:r>
        <w:rPr>
          <w:kern w:val="0"/>
        </w:rPr>
        <w:t xml:space="preserve">, </w:t>
      </w:r>
      <w:r>
        <w:rPr>
          <w:b/>
          <w:bCs/>
          <w:kern w:val="0"/>
        </w:rPr>
        <w:t>25</w:t>
      </w:r>
      <w:r>
        <w:rPr>
          <w:kern w:val="0"/>
        </w:rPr>
        <w:t xml:space="preserve"> (2), 214-222.</w:t>
      </w:r>
    </w:p>
    <w:p w:rsidR="0047226D" w:rsidRPr="001A3D2B" w:rsidRDefault="0047226D" w:rsidP="0047226D">
      <w:pPr>
        <w:pStyle w:val="a3"/>
      </w:pPr>
      <w:r w:rsidRPr="001A3D2B">
        <w:t xml:space="preserve">Full Text: </w:t>
      </w:r>
      <w:hyperlink r:id="rId1012" w:history="1">
        <w:r w:rsidRPr="00683D50">
          <w:rPr>
            <w:rStyle w:val="a5"/>
          </w:rPr>
          <w:t>2011\Con Bio25, 214.pdf</w:t>
        </w:r>
      </w:hyperlink>
    </w:p>
    <w:p w:rsidR="0047226D" w:rsidRDefault="0047226D" w:rsidP="0047226D">
      <w:pPr>
        <w:pStyle w:val="a3"/>
        <w:rPr>
          <w:kern w:val="0"/>
        </w:rPr>
      </w:pPr>
      <w:r>
        <w:rPr>
          <w:kern w:val="0"/>
        </w:rPr>
        <w:t>Abstract: Hydrothermal vents are deep-sea ecosystems that are almost exclusively known</w:t>
      </w:r>
      <w:r w:rsidR="005853A9">
        <w:rPr>
          <w:kern w:val="0"/>
        </w:rPr>
        <w:t xml:space="preserve"> and </w:t>
      </w:r>
      <w:r>
        <w:rPr>
          <w:kern w:val="0"/>
        </w:rPr>
        <w:t>explored by scientists rather than</w:t>
      </w:r>
      <w:r w:rsidR="003A1917">
        <w:rPr>
          <w:kern w:val="0"/>
        </w:rPr>
        <w:t xml:space="preserve"> the </w:t>
      </w:r>
      <w:r>
        <w:rPr>
          <w:kern w:val="0"/>
        </w:rPr>
        <w:t>general public. Continuing scientific discoveries arising from study</w:t>
      </w:r>
      <w:r w:rsidR="00427468">
        <w:rPr>
          <w:kern w:val="0"/>
        </w:rPr>
        <w:t xml:space="preserve"> of </w:t>
      </w:r>
      <w:r>
        <w:rPr>
          <w:kern w:val="0"/>
        </w:rPr>
        <w:t>hydrothermal vents are concommitant with</w:t>
      </w:r>
      <w:r w:rsidR="003A1917">
        <w:rPr>
          <w:kern w:val="0"/>
        </w:rPr>
        <w:t xml:space="preserve"> the </w:t>
      </w:r>
      <w:r>
        <w:rPr>
          <w:kern w:val="0"/>
        </w:rPr>
        <w:t>increased number</w:t>
      </w:r>
      <w:r w:rsidR="00427468">
        <w:rPr>
          <w:kern w:val="0"/>
        </w:rPr>
        <w:t xml:space="preserve"> of </w:t>
      </w:r>
      <w:r>
        <w:rPr>
          <w:kern w:val="0"/>
        </w:rPr>
        <w:t>scientific cruises visiting</w:t>
      </w:r>
      <w:r w:rsidR="005853A9">
        <w:rPr>
          <w:kern w:val="0"/>
        </w:rPr>
        <w:t xml:space="preserve"> and </w:t>
      </w:r>
      <w:r>
        <w:rPr>
          <w:kern w:val="0"/>
        </w:rPr>
        <w:t xml:space="preserve">sampling vent ecosystems. </w:t>
      </w:r>
      <w:r>
        <w:rPr>
          <w:kern w:val="0"/>
        </w:rPr>
        <w:lastRenderedPageBreak/>
        <w:t>Through a bibliometric analysis, we assessed</w:t>
      </w:r>
      <w:r w:rsidR="003A1917">
        <w:rPr>
          <w:kern w:val="0"/>
        </w:rPr>
        <w:t xml:space="preserve"> the </w:t>
      </w:r>
      <w:r>
        <w:rPr>
          <w:kern w:val="0"/>
        </w:rPr>
        <w:t>scientific value</w:t>
      </w:r>
      <w:r w:rsidR="00427468">
        <w:rPr>
          <w:kern w:val="0"/>
        </w:rPr>
        <w:t xml:space="preserve"> of </w:t>
      </w:r>
      <w:r>
        <w:rPr>
          <w:kern w:val="0"/>
        </w:rPr>
        <w:t>hydrothermal vents relative to two</w:t>
      </w:r>
      <w:r w:rsidR="00427468">
        <w:rPr>
          <w:kern w:val="0"/>
        </w:rPr>
        <w:t xml:space="preserve"> of </w:t>
      </w:r>
      <w:r w:rsidR="003A1917">
        <w:rPr>
          <w:kern w:val="0"/>
        </w:rPr>
        <w:t xml:space="preserve">the </w:t>
      </w:r>
      <w:r>
        <w:rPr>
          <w:kern w:val="0"/>
        </w:rPr>
        <w:t>most well-studied marine ecosystems, coral reefs</w:t>
      </w:r>
      <w:r w:rsidR="005853A9">
        <w:rPr>
          <w:kern w:val="0"/>
        </w:rPr>
        <w:t xml:space="preserve"> and </w:t>
      </w:r>
      <w:r>
        <w:rPr>
          <w:kern w:val="0"/>
        </w:rPr>
        <w:t>seagrass beds. Scientific literature on hydrothermal vents is abundant,</w:t>
      </w:r>
      <w:r w:rsidR="00427468">
        <w:rPr>
          <w:kern w:val="0"/>
        </w:rPr>
        <w:t xml:space="preserve"> of </w:t>
      </w:r>
      <w:r>
        <w:rPr>
          <w:kern w:val="0"/>
        </w:rPr>
        <w:t>high impact, international,</w:t>
      </w:r>
      <w:r w:rsidR="005853A9">
        <w:rPr>
          <w:kern w:val="0"/>
        </w:rPr>
        <w:t xml:space="preserve"> and </w:t>
      </w:r>
      <w:r>
        <w:rPr>
          <w:kern w:val="0"/>
        </w:rPr>
        <w:t>interdisciplinary</w:t>
      </w:r>
      <w:r w:rsidR="005853A9">
        <w:rPr>
          <w:kern w:val="0"/>
        </w:rPr>
        <w:t xml:space="preserve"> and </w:t>
      </w:r>
      <w:r>
        <w:rPr>
          <w:kern w:val="0"/>
        </w:rPr>
        <w:t>is comparable in these regards with literature on coral reefs</w:t>
      </w:r>
      <w:r w:rsidR="005853A9">
        <w:rPr>
          <w:kern w:val="0"/>
        </w:rPr>
        <w:t xml:space="preserve"> and </w:t>
      </w:r>
      <w:r>
        <w:rPr>
          <w:kern w:val="0"/>
        </w:rPr>
        <w:t>seagrass beds. Scientists may affect hydrothermal vents because their activities are intense</w:t>
      </w:r>
      <w:r w:rsidR="005853A9">
        <w:rPr>
          <w:kern w:val="0"/>
        </w:rPr>
        <w:t xml:space="preserve"> and </w:t>
      </w:r>
      <w:r>
        <w:rPr>
          <w:kern w:val="0"/>
        </w:rPr>
        <w:t>spatially</w:t>
      </w:r>
      <w:r w:rsidR="005853A9">
        <w:rPr>
          <w:kern w:val="0"/>
        </w:rPr>
        <w:t xml:space="preserve"> and </w:t>
      </w:r>
      <w:r>
        <w:rPr>
          <w:kern w:val="0"/>
        </w:rPr>
        <w:t>temporally concentrated in these small systems</w:t>
      </w:r>
      <w:r w:rsidR="00A37C1D">
        <w:rPr>
          <w:kern w:val="0"/>
        </w:rPr>
        <w:t>. The</w:t>
      </w:r>
      <w:r w:rsidR="003A1917">
        <w:rPr>
          <w:kern w:val="0"/>
        </w:rPr>
        <w:t xml:space="preserve"> </w:t>
      </w:r>
      <w:r>
        <w:rPr>
          <w:kern w:val="0"/>
        </w:rPr>
        <w:t>potential for undesirable effects from scientific enterprise motivated</w:t>
      </w:r>
      <w:r w:rsidR="003A1917">
        <w:rPr>
          <w:kern w:val="0"/>
        </w:rPr>
        <w:t xml:space="preserve"> the </w:t>
      </w:r>
      <w:r>
        <w:rPr>
          <w:kern w:val="0"/>
        </w:rPr>
        <w:t>creation</w:t>
      </w:r>
      <w:r w:rsidR="00427468">
        <w:rPr>
          <w:kern w:val="0"/>
        </w:rPr>
        <w:t xml:space="preserve"> of </w:t>
      </w:r>
      <w:r>
        <w:rPr>
          <w:kern w:val="0"/>
        </w:rPr>
        <w:t>a code</w:t>
      </w:r>
      <w:r w:rsidR="00427468">
        <w:rPr>
          <w:kern w:val="0"/>
        </w:rPr>
        <w:t xml:space="preserve"> of </w:t>
      </w:r>
      <w:r>
        <w:rPr>
          <w:kern w:val="0"/>
        </w:rPr>
        <w:t>conduct for environmentally</w:t>
      </w:r>
      <w:r w:rsidR="005853A9">
        <w:rPr>
          <w:kern w:val="0"/>
        </w:rPr>
        <w:t xml:space="preserve"> and </w:t>
      </w:r>
      <w:r>
        <w:rPr>
          <w:kern w:val="0"/>
        </w:rPr>
        <w:t>scientifically benign use</w:t>
      </w:r>
      <w:r w:rsidR="00427468">
        <w:rPr>
          <w:kern w:val="0"/>
        </w:rPr>
        <w:t xml:space="preserve"> of </w:t>
      </w:r>
      <w:r>
        <w:rPr>
          <w:kern w:val="0"/>
        </w:rPr>
        <w:t>hydrothermal vents for research. We surveyed scientists worldwide engaged in deep-sea research</w:t>
      </w:r>
      <w:r w:rsidR="005853A9">
        <w:rPr>
          <w:kern w:val="0"/>
        </w:rPr>
        <w:t xml:space="preserve"> and </w:t>
      </w:r>
      <w:r>
        <w:rPr>
          <w:kern w:val="0"/>
        </w:rPr>
        <w:t>found that scientists were aware</w:t>
      </w:r>
      <w:r w:rsidR="00427468">
        <w:rPr>
          <w:kern w:val="0"/>
        </w:rPr>
        <w:t xml:space="preserve"> of </w:t>
      </w:r>
      <w:r w:rsidR="003A1917">
        <w:rPr>
          <w:kern w:val="0"/>
        </w:rPr>
        <w:t xml:space="preserve">the </w:t>
      </w:r>
      <w:r>
        <w:rPr>
          <w:kern w:val="0"/>
        </w:rPr>
        <w:t>code</w:t>
      </w:r>
      <w:r w:rsidR="00427468">
        <w:rPr>
          <w:kern w:val="0"/>
        </w:rPr>
        <w:t xml:space="preserve"> of </w:t>
      </w:r>
      <w:r>
        <w:rPr>
          <w:kern w:val="0"/>
        </w:rPr>
        <w:t>conduct</w:t>
      </w:r>
      <w:r w:rsidR="005853A9">
        <w:rPr>
          <w:kern w:val="0"/>
        </w:rPr>
        <w:t xml:space="preserve"> and </w:t>
      </w:r>
      <w:r>
        <w:rPr>
          <w:kern w:val="0"/>
        </w:rPr>
        <w:t>thought it was relevant to conservation, but they did not feel informed or confident about</w:t>
      </w:r>
      <w:r w:rsidR="003A1917">
        <w:rPr>
          <w:kern w:val="0"/>
        </w:rPr>
        <w:t xml:space="preserve"> the </w:t>
      </w:r>
      <w:r>
        <w:rPr>
          <w:kern w:val="0"/>
        </w:rPr>
        <w:t>respect other researchers have for</w:t>
      </w:r>
      <w:r w:rsidR="003A1917">
        <w:rPr>
          <w:kern w:val="0"/>
        </w:rPr>
        <w:t xml:space="preserve"> the </w:t>
      </w:r>
      <w:r>
        <w:rPr>
          <w:kern w:val="0"/>
        </w:rPr>
        <w:t>code. Although this code may serve as a reminder</w:t>
      </w:r>
      <w:r w:rsidR="00427468">
        <w:rPr>
          <w:kern w:val="0"/>
        </w:rPr>
        <w:t xml:space="preserve"> of </w:t>
      </w:r>
      <w:r>
        <w:rPr>
          <w:kern w:val="0"/>
        </w:rPr>
        <w:t>scientists</w:t>
      </w:r>
      <w:r w:rsidR="0071223E">
        <w:rPr>
          <w:kern w:val="0"/>
        </w:rPr>
        <w:t>’</w:t>
      </w:r>
      <w:r>
        <w:rPr>
          <w:kern w:val="0"/>
        </w:rPr>
        <w:t xml:space="preserve"> environmental responsibilities, conservation</w:t>
      </w:r>
      <w:r w:rsidR="00427468">
        <w:rPr>
          <w:kern w:val="0"/>
        </w:rPr>
        <w:t xml:space="preserve"> of </w:t>
      </w:r>
      <w:r>
        <w:rPr>
          <w:kern w:val="0"/>
        </w:rPr>
        <w:t>particular vents (e.g., closures to human activity, specific human management) may effectively ensure sustainable use</w:t>
      </w:r>
      <w:r w:rsidR="00427468">
        <w:rPr>
          <w:kern w:val="0"/>
        </w:rPr>
        <w:t xml:space="preserve"> of </w:t>
      </w:r>
      <w:r>
        <w:rPr>
          <w:kern w:val="0"/>
        </w:rPr>
        <w:t>vent ecosystems for all stakeholders.</w:t>
      </w:r>
    </w:p>
    <w:p w:rsidR="0047226D" w:rsidRDefault="0047226D" w:rsidP="0047226D">
      <w:pPr>
        <w:pStyle w:val="a3"/>
        <w:rPr>
          <w:kern w:val="0"/>
        </w:rPr>
      </w:pPr>
      <w:r>
        <w:rPr>
          <w:kern w:val="0"/>
        </w:rPr>
        <w:t>Keywords: Actividades Cientificas, Analysis, Bibliometric, Bibliometric Analysis, Code</w:t>
      </w:r>
      <w:r w:rsidR="00427468">
        <w:rPr>
          <w:kern w:val="0"/>
        </w:rPr>
        <w:t xml:space="preserve"> of </w:t>
      </w:r>
      <w:r>
        <w:rPr>
          <w:kern w:val="0"/>
        </w:rPr>
        <w:t>Conduct, Conservation, Coral Reefs, Deep Sea, Ecosystems, Environmental, Fuentes Hidrotermales, General, Human, Hydrothermal Vents, Impact, Interdisciplinary, International, Knowledge Value, Literature, Management, Mar Profundo, Odigo de Conducta, Potential, Public, Research, Responsibilities, Sampling, Science, Scientific Activities, Small, Stakeholders, Sustainable, Systems, Valor de Conocimiento, Value</w:t>
      </w:r>
    </w:p>
    <w:p w:rsidR="005D224E" w:rsidRDefault="005D224E" w:rsidP="005D224E">
      <w:pPr>
        <w:pStyle w:val="a3"/>
        <w:rPr>
          <w:kern w:val="0"/>
        </w:rPr>
      </w:pPr>
      <w:r>
        <w:rPr>
          <w:rFonts w:hint="eastAsia"/>
          <w:kern w:val="0"/>
        </w:rPr>
        <w:t xml:space="preserve">? </w:t>
      </w:r>
      <w:r>
        <w:rPr>
          <w:kern w:val="0"/>
        </w:rPr>
        <w:t xml:space="preserve">Estevez, R.A., Anderson, C.B., Pizarro, J.C. and Burgman, M.A. (2015), Clarifying values, risk perceptions, and attitudes to resolve or avoid social conflicts in invasive species management. </w:t>
      </w:r>
      <w:r>
        <w:rPr>
          <w:i/>
          <w:iCs/>
          <w:kern w:val="0"/>
        </w:rPr>
        <w:t>Conservation Biology</w:t>
      </w:r>
      <w:r>
        <w:rPr>
          <w:kern w:val="0"/>
        </w:rPr>
        <w:t xml:space="preserve">, </w:t>
      </w:r>
      <w:r>
        <w:rPr>
          <w:b/>
          <w:bCs/>
          <w:kern w:val="0"/>
        </w:rPr>
        <w:t>29</w:t>
      </w:r>
      <w:r>
        <w:rPr>
          <w:kern w:val="0"/>
        </w:rPr>
        <w:t xml:space="preserve"> (1), 19-30.</w:t>
      </w:r>
    </w:p>
    <w:p w:rsidR="005D224E" w:rsidRPr="001A3D2B" w:rsidRDefault="005D224E" w:rsidP="005D224E">
      <w:pPr>
        <w:pStyle w:val="a3"/>
      </w:pPr>
      <w:r w:rsidRPr="001A3D2B">
        <w:t xml:space="preserve">Full Text: </w:t>
      </w:r>
      <w:hyperlink r:id="rId1013" w:history="1">
        <w:r w:rsidRPr="00693CA5">
          <w:rPr>
            <w:rStyle w:val="a5"/>
          </w:rPr>
          <w:t>2015\Con Bio29, 19.pdf</w:t>
        </w:r>
      </w:hyperlink>
    </w:p>
    <w:p w:rsidR="005D224E" w:rsidRDefault="005D224E" w:rsidP="005D224E">
      <w:pPr>
        <w:pStyle w:val="a3"/>
        <w:rPr>
          <w:kern w:val="0"/>
        </w:rPr>
      </w:pPr>
      <w:r>
        <w:rPr>
          <w:kern w:val="0"/>
        </w:rPr>
        <w:t xml:space="preserve">Abstract: Decision makers and researchers recognize the need to effectively confront the social dimensions and conflicts inherent to invasive species research and management. Yet, despite numerous contentious situations that have arisen, no systematic evaluation of the literature has examined the commonalities in the patterns and types of these emergent social issues. Using social and ecological keywords, we reviewed trends in the social dimensions of invasive species research and management and the sources and potential solutions to problems and conflicts that arise around invasive species. We integrated components of cognitive hierarchy theory and risk perceptions theory to provide a conceptual framework to identify, distinguish, and provide understanding of the driving factors underlying disputes associated with invasive species. In the ISI Web of Science database, we found 15,915 peer-reviewed publications on biological invasions, 124 of which included social dimensions of this phenomenon. Of these 124, 28 studies described specific </w:t>
      </w:r>
      <w:r>
        <w:rPr>
          <w:kern w:val="0"/>
        </w:rPr>
        <w:lastRenderedPageBreak/>
        <w:t xml:space="preserve">contentious situations. Social approaches to biological invasions have emerged largely in the last decade and have focused on both environmental social sciences and resource management. Despite being distributed in a range of journals, these 124 articles were concentrated mostly in ecology and conservation-oriented outlets. We found that conflicts surrounding invasive species arose based largely on differences in value systems and to a lesser extent stakeholder and decision maker’s risk perceptions. To confront or avoid such situations, we suggest integrating the plurality of environmental values into invasive species research and management via structured decision making techniques, which enhance effective risk communication that promotes trust and confidence between stakeholders and decision makers. Clarificar los Valores, Percepciones de Riesgo y Actitudes para Resolver o Evitar Conflictos Sociales en el Manejo de Especies Invasoras Resumen Las personas que toman las decisiones y los investigadores reconocen que existe una necesidad para enfrentar efectivamente las dimensiones sociales y los conflictos inherentes a la investigacion y el manejo de las especies invasoras. Sin embargo, pese a numerosas situaciones conflictivas que han surgido, ninguna evaluacion sistematica de la literatura ha examinado los aspectos de la gente comun en los patrones y tipos de estos problemas sociales emergentes. Al usar palabras clave de los campos sociales y ecologicos, revisamos las tendencias en las dimensiones sociales en la investigacion y manejo de las especies invasoras, y en las fuentes y soluciones potenciales a los problemas y conflictos que surgen alrededor de las especies invasoras. Integramos componentes de la teoria de la jerarquia cognitiva y la teoria de la percepcion del riesgo para proporcionar un marco de trabajo conceptual que permita identificar, distinguir y proporcionar un entendimiento de los factores que conducen a disputas subyacentes asociadas con las especies invasoras. En la base de datos ISI Web of Science, encontramos 15,915 publicaciones revisadas por colegas sobre invasiones biologicas, 124 de las cuales incluyeron a las dimensiones sociales de este fenomeno. De estas 12,428 estudios describieron situaciones conflictivas especificas. Han emergido estrategias sociales para las invasiones biologicas, en su mayoria en la ultima decada, que se han enfocado tanto en las ciencias sociales ambientales y como en el manejo de recursos. A pesar de estar distribuidas en una gama de revistas, estos 124 articulos se concentraron en su mayoria en medios orientados a la ecologia y la conservacion. Encontramos que los conflictos que rodean a las especies invasoras, en su mayoria, surgieron con base en las diferencias en los sistemas de valuacion y en un menor grado, en las percepciones de los accionistas y quienes toman las decisiones. Para enfrentar o evitar dichas situaciones, sugerimos integrar la pluralidad de los valores ambientales a la investigacion y el manejo de las especies invasoras por medio de tecnicas de toma de decisiones, las cuales mejoran la comunicacion efectiva de riesgo, que promociona confianza y seguridad entre los </w:t>
      </w:r>
      <w:r>
        <w:rPr>
          <w:kern w:val="0"/>
        </w:rPr>
        <w:lastRenderedPageBreak/>
        <w:t>accionistas y quienes toman las decisiones.</w:t>
      </w:r>
    </w:p>
    <w:p w:rsidR="005D224E" w:rsidRDefault="005D224E" w:rsidP="005D224E">
      <w:pPr>
        <w:pStyle w:val="a3"/>
        <w:rPr>
          <w:kern w:val="0"/>
        </w:rPr>
      </w:pPr>
      <w:r>
        <w:rPr>
          <w:kern w:val="0"/>
        </w:rPr>
        <w:t>Keywords: Alien-Plant, Analisis De Riesgo, Articles, Attitudes, Biological, Biological Invasions, Cht, Ciencia Y Sociedad, Cognitive, Cognitive Hierarchy Theory, Communication, Confidence, Database, Decision, Decision Making, Decision-Making, Dimensiones Sociales, Distributed, Driving, Ecology, Environmental, Environmental Values, Especies No-Nativas, Evaluation, Factors, Framework, Grey Squirrel, Hydrilla-Verticillata, Impacts, Integrated, Invasiones Biologicas, Invasive, Isi, Isi Web Of Science, Issues, Journals, Literature, Management, Multicriteria Evaluation, National-Park, Non-Native Species, Peer-Reviewed, Peer-Reviewed Publications, Potential, Publication Trends, Publications, Research, Researchers, Resource Management, Risk, Risk Analysis, Science, Science And Society, Sciences, Social, Social Dimensions, Social Sciences, Solutions, Sources, South-Africa, Species, Stakeholders, Systematic, Systems, Techniques, Tendencias De Publicacion, Teoria De La Jerarquia Cognitiva, Theory, Trade-Offs, Trends, Trust, Understanding, United-States, Value, Web, Web Of Science</w:t>
      </w:r>
    </w:p>
    <w:p w:rsidR="000B08BB" w:rsidRPr="00C73C58" w:rsidRDefault="000B08BB" w:rsidP="000B08BB">
      <w:pPr>
        <w:pStyle w:val="1"/>
      </w:pPr>
      <w:r w:rsidRPr="00C73C58">
        <w:br w:type="page"/>
      </w:r>
      <w:bookmarkStart w:id="395" w:name="_Toc420815108"/>
      <w:r w:rsidRPr="00C73C58">
        <w:lastRenderedPageBreak/>
        <w:t xml:space="preserve">Title: </w:t>
      </w:r>
      <w:r w:rsidRPr="009A08BA">
        <w:t>Conservation Letters</w:t>
      </w:r>
      <w:bookmarkEnd w:id="395"/>
    </w:p>
    <w:p w:rsidR="000B08BB" w:rsidRPr="00C73C58" w:rsidRDefault="000B08BB" w:rsidP="000B08BB">
      <w:pPr>
        <w:pStyle w:val="12"/>
      </w:pPr>
      <w:r w:rsidRPr="00C73C58">
        <w:t xml:space="preserve">Full Journal Title: </w:t>
      </w:r>
      <w:r w:rsidRPr="009A08BA">
        <w:rPr>
          <w:iCs/>
          <w:kern w:val="0"/>
        </w:rPr>
        <w:t>Conservation Letters</w:t>
      </w:r>
    </w:p>
    <w:p w:rsidR="000B08BB" w:rsidRPr="00C73C58" w:rsidRDefault="000B08BB" w:rsidP="000B08BB">
      <w:pPr>
        <w:pStyle w:val="12"/>
      </w:pPr>
      <w:r w:rsidRPr="00C73C58">
        <w:t xml:space="preserve">ISO Abbreviated Title: </w:t>
      </w:r>
    </w:p>
    <w:p w:rsidR="000B08BB" w:rsidRPr="00C73C58" w:rsidRDefault="000B08BB" w:rsidP="000B08BB">
      <w:pPr>
        <w:pStyle w:val="12"/>
      </w:pPr>
      <w:r w:rsidRPr="00C73C58">
        <w:t xml:space="preserve">JCR Abbreviated Title: </w:t>
      </w:r>
    </w:p>
    <w:p w:rsidR="000B08BB" w:rsidRPr="00C73C58" w:rsidRDefault="000B08BB" w:rsidP="000B08BB">
      <w:pPr>
        <w:pStyle w:val="12"/>
      </w:pPr>
      <w:r w:rsidRPr="00C73C58">
        <w:t xml:space="preserve">ISSN: </w:t>
      </w:r>
    </w:p>
    <w:p w:rsidR="000B08BB" w:rsidRPr="00C73C58" w:rsidRDefault="000B08BB" w:rsidP="000B08BB">
      <w:pPr>
        <w:pStyle w:val="12"/>
      </w:pPr>
      <w:r w:rsidRPr="00C73C58">
        <w:t xml:space="preserve">Issues/Year: </w:t>
      </w:r>
    </w:p>
    <w:p w:rsidR="000B08BB" w:rsidRPr="00C73C58" w:rsidRDefault="000B08BB" w:rsidP="000B08BB">
      <w:pPr>
        <w:pStyle w:val="12"/>
      </w:pPr>
      <w:r w:rsidRPr="00C73C58">
        <w:t xml:space="preserve">Journal Country/Territory: </w:t>
      </w:r>
    </w:p>
    <w:p w:rsidR="000B08BB" w:rsidRPr="00C73C58" w:rsidRDefault="000B08BB" w:rsidP="000B08BB">
      <w:pPr>
        <w:pStyle w:val="12"/>
      </w:pPr>
      <w:r w:rsidRPr="00C73C58">
        <w:t xml:space="preserve">Language: </w:t>
      </w:r>
    </w:p>
    <w:p w:rsidR="000B08BB" w:rsidRPr="00C73C58" w:rsidRDefault="000B08BB" w:rsidP="000B08BB">
      <w:pPr>
        <w:pStyle w:val="12"/>
      </w:pPr>
      <w:r w:rsidRPr="00C73C58">
        <w:t xml:space="preserve">Publisher: </w:t>
      </w:r>
    </w:p>
    <w:p w:rsidR="000B08BB" w:rsidRPr="00C73C58" w:rsidRDefault="000B08BB" w:rsidP="000B08BB">
      <w:pPr>
        <w:pStyle w:val="12"/>
      </w:pPr>
      <w:r w:rsidRPr="00C73C58">
        <w:t xml:space="preserve">Publisher Address: </w:t>
      </w:r>
    </w:p>
    <w:p w:rsidR="000B08BB" w:rsidRPr="00C73C58" w:rsidRDefault="000B08BB" w:rsidP="000B08BB">
      <w:pPr>
        <w:pStyle w:val="12"/>
      </w:pPr>
      <w:r w:rsidRPr="00C73C58">
        <w:t xml:space="preserve">Subject Categories: </w:t>
      </w:r>
    </w:p>
    <w:p w:rsidR="000B08BB" w:rsidRPr="00C73C58" w:rsidRDefault="000B08BB" w:rsidP="000B08BB">
      <w:pPr>
        <w:pStyle w:val="12"/>
      </w:pPr>
      <w:r w:rsidRPr="00C73C58">
        <w:t>: Impact Factor</w:t>
      </w:r>
    </w:p>
    <w:p w:rsidR="000B08BB" w:rsidRDefault="000B08BB" w:rsidP="000B08BB">
      <w:pPr>
        <w:pStyle w:val="a3"/>
        <w:rPr>
          <w:kern w:val="0"/>
        </w:rPr>
      </w:pPr>
      <w:r>
        <w:rPr>
          <w:rFonts w:hint="eastAsia"/>
          <w:kern w:val="0"/>
        </w:rPr>
        <w:t xml:space="preserve">? </w:t>
      </w:r>
      <w:r>
        <w:rPr>
          <w:kern w:val="0"/>
        </w:rPr>
        <w:t>Phillis, C.C., O</w:t>
      </w:r>
      <w:r w:rsidR="0071223E">
        <w:rPr>
          <w:kern w:val="0"/>
        </w:rPr>
        <w:t>’</w:t>
      </w:r>
      <w:r>
        <w:rPr>
          <w:kern w:val="0"/>
        </w:rPr>
        <w:t>Regan, S.M., Green, S.J., Bruce, J.E.B., Anderson, S.C., Linton, J.N.</w:t>
      </w:r>
      <w:r w:rsidR="005853A9">
        <w:rPr>
          <w:kern w:val="0"/>
        </w:rPr>
        <w:t xml:space="preserve"> and </w:t>
      </w:r>
      <w:r>
        <w:rPr>
          <w:kern w:val="0"/>
        </w:rPr>
        <w:t xml:space="preserve">Favaro, B. (2013), Multiple pathways to conservation success. </w:t>
      </w:r>
      <w:r w:rsidRPr="009A08BA">
        <w:rPr>
          <w:i/>
          <w:iCs/>
          <w:kern w:val="0"/>
        </w:rPr>
        <w:t>Conservation Letters</w:t>
      </w:r>
      <w:r>
        <w:rPr>
          <w:kern w:val="0"/>
        </w:rPr>
        <w:t xml:space="preserve">, </w:t>
      </w:r>
      <w:r>
        <w:rPr>
          <w:b/>
          <w:bCs/>
          <w:kern w:val="0"/>
        </w:rPr>
        <w:t>6</w:t>
      </w:r>
      <w:r>
        <w:rPr>
          <w:kern w:val="0"/>
        </w:rPr>
        <w:t xml:space="preserve"> (2), 98-106.</w:t>
      </w:r>
    </w:p>
    <w:p w:rsidR="000B08BB" w:rsidRDefault="000B08BB" w:rsidP="000B08BB">
      <w:pPr>
        <w:pStyle w:val="a3"/>
        <w:rPr>
          <w:kern w:val="0"/>
        </w:rPr>
      </w:pPr>
      <w:r>
        <w:rPr>
          <w:rFonts w:hint="eastAsia"/>
          <w:kern w:val="0"/>
        </w:rPr>
        <w:t xml:space="preserve">Full Text: </w:t>
      </w:r>
      <w:hyperlink r:id="rId1014" w:history="1">
        <w:r w:rsidR="007E790C" w:rsidRPr="007E790C">
          <w:rPr>
            <w:rStyle w:val="a5"/>
            <w:kern w:val="0"/>
          </w:rPr>
          <w:t>2013\Con Let6, 98.pdf</w:t>
        </w:r>
      </w:hyperlink>
    </w:p>
    <w:p w:rsidR="000B08BB" w:rsidRDefault="000B08BB" w:rsidP="000B08BB">
      <w:pPr>
        <w:pStyle w:val="a3"/>
        <w:rPr>
          <w:kern w:val="0"/>
        </w:rPr>
      </w:pPr>
      <w:r>
        <w:rPr>
          <w:kern w:val="0"/>
        </w:rPr>
        <w:t>Abstract: Conservation successes can</w:t>
      </w:r>
      <w:r w:rsidR="005853A9">
        <w:rPr>
          <w:kern w:val="0"/>
        </w:rPr>
        <w:t xml:space="preserve"> and </w:t>
      </w:r>
      <w:r>
        <w:rPr>
          <w:kern w:val="0"/>
        </w:rPr>
        <w:t xml:space="preserve">do happen, however, the process by which society achieves them remains unclear. Using a novel culturomics approach, we analyse word </w:t>
      </w:r>
      <w:r w:rsidR="00D5664A">
        <w:rPr>
          <w:kern w:val="0"/>
        </w:rPr>
        <w:t>USA</w:t>
      </w:r>
      <w:r>
        <w:rPr>
          <w:kern w:val="0"/>
        </w:rPr>
        <w:t>ge within digitized texts to assess the chronological order in which scientists, the public,</w:t>
      </w:r>
      <w:r w:rsidR="005853A9">
        <w:rPr>
          <w:kern w:val="0"/>
        </w:rPr>
        <w:t xml:space="preserve"> and </w:t>
      </w:r>
      <w:r>
        <w:rPr>
          <w:kern w:val="0"/>
        </w:rPr>
        <w:t>policymakers engage in the conservation process for three prominent conservation issues: acid rain in North America, global DDT contamination,</w:t>
      </w:r>
      <w:r w:rsidR="005853A9">
        <w:rPr>
          <w:kern w:val="0"/>
        </w:rPr>
        <w:t xml:space="preserve"> and </w:t>
      </w:r>
      <w:r>
        <w:rPr>
          <w:kern w:val="0"/>
        </w:rPr>
        <w:t>the overexploitation</w:t>
      </w:r>
      <w:r w:rsidR="00427468">
        <w:rPr>
          <w:kern w:val="0"/>
        </w:rPr>
        <w:t xml:space="preserve"> of </w:t>
      </w:r>
      <w:r>
        <w:rPr>
          <w:kern w:val="0"/>
        </w:rPr>
        <w:t>African elephants for ivory. Variation in the order</w:t>
      </w:r>
      <w:r w:rsidR="005853A9">
        <w:rPr>
          <w:kern w:val="0"/>
        </w:rPr>
        <w:t xml:space="preserve"> and </w:t>
      </w:r>
      <w:r>
        <w:rPr>
          <w:kern w:val="0"/>
        </w:rPr>
        <w:t>magnitude</w:t>
      </w:r>
      <w:r w:rsidR="00427468">
        <w:rPr>
          <w:kern w:val="0"/>
        </w:rPr>
        <w:t xml:space="preserve"> of </w:t>
      </w:r>
      <w:r>
        <w:rPr>
          <w:kern w:val="0"/>
        </w:rPr>
        <w:t>sector responses among the three issues emphasizes that there are multiple pathways to conservation success</w:t>
      </w:r>
      <w:r w:rsidR="005853A9">
        <w:rPr>
          <w:kern w:val="0"/>
        </w:rPr>
        <w:t xml:space="preserve"> and </w:t>
      </w:r>
      <w:r>
        <w:rPr>
          <w:kern w:val="0"/>
        </w:rPr>
        <w:t>that science is just one component. Our study highlights that while scientists can initiate the process, policy change does not occur in the absence</w:t>
      </w:r>
      <w:r w:rsidR="00427468">
        <w:rPr>
          <w:kern w:val="0"/>
        </w:rPr>
        <w:t xml:space="preserve"> of </w:t>
      </w:r>
      <w:r>
        <w:rPr>
          <w:kern w:val="0"/>
        </w:rPr>
        <w:t>public interest. We suggest that the fate</w:t>
      </w:r>
      <w:r w:rsidR="00427468">
        <w:rPr>
          <w:kern w:val="0"/>
        </w:rPr>
        <w:t xml:space="preserve"> of </w:t>
      </w:r>
      <w:r>
        <w:rPr>
          <w:kern w:val="0"/>
        </w:rPr>
        <w:t>conservation action is not solely determined by the scientific soundness</w:t>
      </w:r>
      <w:r w:rsidR="00427468">
        <w:rPr>
          <w:kern w:val="0"/>
        </w:rPr>
        <w:t xml:space="preserve"> of </w:t>
      </w:r>
      <w:r>
        <w:rPr>
          <w:kern w:val="0"/>
        </w:rPr>
        <w:t>the conservation plan, but rather requires the engagement</w:t>
      </w:r>
      <w:r w:rsidR="00427468">
        <w:rPr>
          <w:kern w:val="0"/>
        </w:rPr>
        <w:t xml:space="preserve"> of </w:t>
      </w:r>
      <w:r>
        <w:rPr>
          <w:kern w:val="0"/>
        </w:rPr>
        <w:t>scientists, public,</w:t>
      </w:r>
      <w:r w:rsidR="005853A9">
        <w:rPr>
          <w:kern w:val="0"/>
        </w:rPr>
        <w:t xml:space="preserve"> and </w:t>
      </w:r>
      <w:r>
        <w:rPr>
          <w:kern w:val="0"/>
        </w:rPr>
        <w:t>policy makers alike.</w:t>
      </w:r>
    </w:p>
    <w:p w:rsidR="000B08BB" w:rsidRDefault="000B08BB" w:rsidP="000B08BB">
      <w:pPr>
        <w:pStyle w:val="a3"/>
        <w:rPr>
          <w:kern w:val="0"/>
        </w:rPr>
      </w:pPr>
      <w:r>
        <w:rPr>
          <w:kern w:val="0"/>
        </w:rPr>
        <w:t>Keywords: Acid Rain, Approach, Bibliometrics, Conservation, Contamination, Culturomics, DDT, Dichlorodiphenyltrichloroethane, Elephant, Elephants, Engagement, Fate, Global, Hexachlorocyclohexanes, Ivory Trade, Magnitude, Media, North, North America, Overexploitation, Pathways, Persistent Organic Pollutants, Policy, Public, Rain, Science, Scientists, Sector, Society, Trends</w:t>
      </w:r>
    </w:p>
    <w:p w:rsidR="005E3F0A" w:rsidRPr="00C73C58" w:rsidRDefault="005E3F0A" w:rsidP="005E3F0A">
      <w:pPr>
        <w:pStyle w:val="1"/>
      </w:pPr>
      <w:r w:rsidRPr="00C73C58">
        <w:br w:type="page"/>
      </w:r>
      <w:bookmarkStart w:id="396" w:name="_Toc386298984"/>
      <w:bookmarkStart w:id="397" w:name="_Toc420815109"/>
      <w:r w:rsidRPr="00C73C58">
        <w:lastRenderedPageBreak/>
        <w:t xml:space="preserve">Title: </w:t>
      </w:r>
      <w:r w:rsidRPr="005D725D">
        <w:t>Construction</w:t>
      </w:r>
      <w:r>
        <w:t xml:space="preserve"> and </w:t>
      </w:r>
      <w:r w:rsidRPr="005D725D">
        <w:t>Building Materials</w:t>
      </w:r>
      <w:bookmarkEnd w:id="396"/>
      <w:bookmarkEnd w:id="397"/>
    </w:p>
    <w:p w:rsidR="005E3F0A" w:rsidRDefault="005E3F0A" w:rsidP="005E3F0A">
      <w:pPr>
        <w:pStyle w:val="12"/>
      </w:pPr>
      <w:r>
        <w:t>Full Journal Title: Construction and Building Materials</w:t>
      </w:r>
    </w:p>
    <w:p w:rsidR="005E3F0A" w:rsidRDefault="005E3F0A" w:rsidP="005E3F0A">
      <w:pPr>
        <w:pStyle w:val="12"/>
      </w:pPr>
      <w:r>
        <w:t>ISO Abbrev. Title: Constr. Build. Mater.</w:t>
      </w:r>
    </w:p>
    <w:p w:rsidR="005E3F0A" w:rsidRDefault="005E3F0A" w:rsidP="005E3F0A">
      <w:pPr>
        <w:pStyle w:val="12"/>
      </w:pPr>
      <w:r>
        <w:t>JCR Abbrev. Title: Constr Build Mater</w:t>
      </w:r>
    </w:p>
    <w:p w:rsidR="005E3F0A" w:rsidRDefault="005E3F0A" w:rsidP="005E3F0A">
      <w:pPr>
        <w:pStyle w:val="12"/>
      </w:pPr>
      <w:r>
        <w:t>ISSN: 0950-0618</w:t>
      </w:r>
    </w:p>
    <w:p w:rsidR="005E3F0A" w:rsidRDefault="005E3F0A" w:rsidP="005E3F0A">
      <w:pPr>
        <w:pStyle w:val="12"/>
      </w:pPr>
      <w:r>
        <w:t>Issues/Year: 8</w:t>
      </w:r>
    </w:p>
    <w:p w:rsidR="005E3F0A" w:rsidRDefault="005E3F0A" w:rsidP="005E3F0A">
      <w:pPr>
        <w:pStyle w:val="12"/>
      </w:pPr>
      <w:r>
        <w:t>Language: English</w:t>
      </w:r>
    </w:p>
    <w:p w:rsidR="005E3F0A" w:rsidRDefault="005E3F0A" w:rsidP="005E3F0A">
      <w:pPr>
        <w:pStyle w:val="12"/>
      </w:pPr>
      <w:r>
        <w:t>Journal Country/Territory: England</w:t>
      </w:r>
    </w:p>
    <w:p w:rsidR="005E3F0A" w:rsidRDefault="005E3F0A" w:rsidP="005E3F0A">
      <w:pPr>
        <w:pStyle w:val="12"/>
      </w:pPr>
      <w:r>
        <w:t>Publisher: Elsevier Sci Ltd</w:t>
      </w:r>
    </w:p>
    <w:p w:rsidR="005E3F0A" w:rsidRDefault="005E3F0A" w:rsidP="005E3F0A">
      <w:pPr>
        <w:pStyle w:val="12"/>
      </w:pPr>
      <w:r>
        <w:t>Publisher Address: The Boulevard, Langford Lane, Kidlington, Oxford OX5 1GB, Oxon, England</w:t>
      </w:r>
    </w:p>
    <w:p w:rsidR="005E3F0A" w:rsidRDefault="005E3F0A" w:rsidP="005E3F0A">
      <w:pPr>
        <w:pStyle w:val="12"/>
      </w:pPr>
      <w:r>
        <w:t>Subject Categories:</w:t>
      </w:r>
    </w:p>
    <w:p w:rsidR="005E3F0A" w:rsidRDefault="005E3F0A" w:rsidP="005E3F0A">
      <w:pPr>
        <w:pStyle w:val="12"/>
      </w:pPr>
      <w:r>
        <w:t>Construction &amp; Building Technology</w:t>
      </w:r>
      <w:r w:rsidRPr="00C73C58">
        <w:t>: Impact Factor</w:t>
      </w:r>
      <w:r>
        <w:rPr>
          <w:rFonts w:hint="eastAsia"/>
        </w:rPr>
        <w:t xml:space="preserve"> 1.834, 8/56 (2011)</w:t>
      </w:r>
    </w:p>
    <w:p w:rsidR="005E3F0A" w:rsidRPr="00C73C58" w:rsidRDefault="005E3F0A" w:rsidP="005E3F0A">
      <w:pPr>
        <w:pStyle w:val="12"/>
      </w:pPr>
      <w:r>
        <w:t>Materials Science, Multidisciplinary</w:t>
      </w:r>
      <w:r>
        <w:rPr>
          <w:rFonts w:hint="eastAsia"/>
        </w:rPr>
        <w:t>:</w:t>
      </w:r>
      <w:r w:rsidRPr="005D725D">
        <w:t xml:space="preserve"> </w:t>
      </w:r>
      <w:r w:rsidRPr="00C73C58">
        <w:t>Impact Factor</w:t>
      </w:r>
      <w:r>
        <w:rPr>
          <w:rFonts w:hint="eastAsia"/>
        </w:rPr>
        <w:t>1.834, 71/232 (2011)</w:t>
      </w:r>
    </w:p>
    <w:p w:rsidR="00D62F75" w:rsidRDefault="00D62F75" w:rsidP="00D62F75">
      <w:pPr>
        <w:pStyle w:val="a3"/>
        <w:rPr>
          <w:kern w:val="0"/>
        </w:rPr>
      </w:pPr>
      <w:r>
        <w:rPr>
          <w:kern w:val="0"/>
        </w:rPr>
        <w:t xml:space="preserve">? Cañas-Guerrero, I., Mazarrón, F.R., Calleja-Perucho, C. and Pou-Merina, A. (2014), Bibliometric analysis in the international context of the “Construction &amp; Building Technology” category from the Web of Science database. </w:t>
      </w:r>
      <w:r>
        <w:rPr>
          <w:i/>
          <w:iCs/>
          <w:kern w:val="0"/>
        </w:rPr>
        <w:t>Construction and Building Materials</w:t>
      </w:r>
      <w:r>
        <w:rPr>
          <w:kern w:val="0"/>
        </w:rPr>
        <w:t xml:space="preserve">, </w:t>
      </w:r>
      <w:r>
        <w:rPr>
          <w:b/>
          <w:bCs/>
          <w:kern w:val="0"/>
        </w:rPr>
        <w:t>53</w:t>
      </w:r>
      <w:r>
        <w:rPr>
          <w:kern w:val="0"/>
        </w:rPr>
        <w:t>, 13-25.</w:t>
      </w:r>
    </w:p>
    <w:p w:rsidR="00D62F75" w:rsidRDefault="00D62F75" w:rsidP="00D62F75">
      <w:pPr>
        <w:pStyle w:val="a3"/>
        <w:rPr>
          <w:kern w:val="0"/>
        </w:rPr>
      </w:pPr>
      <w:r>
        <w:rPr>
          <w:kern w:val="0"/>
        </w:rPr>
        <w:t xml:space="preserve">Full Text: </w:t>
      </w:r>
      <w:hyperlink r:id="rId1015" w:history="1">
        <w:r w:rsidRPr="009032CE">
          <w:rPr>
            <w:rStyle w:val="a5"/>
            <w:kern w:val="0"/>
          </w:rPr>
          <w:t>2014\Con Bui Mat53, 13.pdf</w:t>
        </w:r>
      </w:hyperlink>
    </w:p>
    <w:p w:rsidR="00D62F75" w:rsidRDefault="00D62F75" w:rsidP="00D62F75">
      <w:pPr>
        <w:pStyle w:val="a3"/>
        <w:rPr>
          <w:kern w:val="0"/>
        </w:rPr>
      </w:pPr>
      <w:r>
        <w:rPr>
          <w:kern w:val="0"/>
        </w:rPr>
        <w:t>Abstract: This study analyzes the evolution of publications in the category of “Construction &amp; Building Technology”, the research activity carried out by countries and the most productive research institutions, and the internationalization and diffusion of the journals of this category. Reference levels have been designated for productivity indicators, diffusion, and impact, which must be taken into account for the evaluation of the merits of researchers and research institutions. Research trends within this category have also been identified, allowing us to identify current themes, as well as those that have ceased to arouse the interest of journals and researchers</w:t>
      </w:r>
      <w:r w:rsidR="00A37C1D">
        <w:rPr>
          <w:kern w:val="0"/>
        </w:rPr>
        <w:t>. The</w:t>
      </w:r>
      <w:r>
        <w:rPr>
          <w:kern w:val="0"/>
        </w:rPr>
        <w:t xml:space="preserve"> characterization of productivity and publication quality of each country makes it possible to compare the importance of each study in the construction sector to other countries. This may be useful for evaluation of the effectiveness of national policies and investment in this sector</w:t>
      </w:r>
      <w:r w:rsidR="00A37C1D">
        <w:rPr>
          <w:kern w:val="0"/>
        </w:rPr>
        <w:t>. The</w:t>
      </w:r>
      <w:r>
        <w:rPr>
          <w:kern w:val="0"/>
        </w:rPr>
        <w:t xml:space="preserve"> characterization of productivity and quality of the research institutions could prove to be highly useful in analyzing the effectiveness of the strategies being carried out by each center. Moreover, this will help researchers in selecting quality research institutions for collaboration and work. journal analysis could be useful for editors when comparing their effectiveness of diffusion and internationalization to the work of other journals. (C) 2013 Elsevier Ltd. All rights reserved.</w:t>
      </w:r>
    </w:p>
    <w:p w:rsidR="00D62F75" w:rsidRDefault="00D62F75" w:rsidP="00D62F75">
      <w:pPr>
        <w:pStyle w:val="a3"/>
        <w:rPr>
          <w:kern w:val="0"/>
        </w:rPr>
      </w:pPr>
      <w:r>
        <w:rPr>
          <w:kern w:val="0"/>
        </w:rPr>
        <w:lastRenderedPageBreak/>
        <w:t>Keywords: Activity, Analysis, Bibliometric, Bibliometric Analysis, Building Technology, Characterization, Citation-Index, Collaboration, Construction, Construction Technology, Context, Country, Database, Diffusion, Effectiveness, Evaluation, Evolution, Impact, Indicators, Institutions, International, Internationalization, Journal, Journals, Policies, Productivity, Publication, Publications, Quality, Quality Of, Reference, Research, Research Activity, Research Institutions, Research Trends, Rights, Science, Sector, Trends, Web of Science, Work</w:t>
      </w:r>
    </w:p>
    <w:p w:rsidR="003474F2" w:rsidRPr="001A3D2B" w:rsidRDefault="003474F2" w:rsidP="003474F2">
      <w:pPr>
        <w:pStyle w:val="1"/>
      </w:pPr>
      <w:r w:rsidRPr="001A3D2B">
        <w:br w:type="page"/>
      </w:r>
      <w:bookmarkStart w:id="398" w:name="_Toc420815110"/>
      <w:r w:rsidRPr="001A3D2B">
        <w:lastRenderedPageBreak/>
        <w:t>Title: Contact Dermatitis</w:t>
      </w:r>
      <w:bookmarkEnd w:id="398"/>
    </w:p>
    <w:p w:rsidR="003474F2" w:rsidRPr="001A3D2B" w:rsidRDefault="003474F2" w:rsidP="003474F2">
      <w:pPr>
        <w:pStyle w:val="12"/>
      </w:pPr>
      <w:r w:rsidRPr="001A3D2B">
        <w:t xml:space="preserve">Full Journal Title: </w:t>
      </w:r>
      <w:r w:rsidR="00DF61FE">
        <w:fldChar w:fldCharType="begin"/>
      </w:r>
      <w:r w:rsidR="00FD158B">
        <w:instrText>HYPERLINK "http://www.blackwell</w:instrText>
      </w:r>
      <w:bookmarkStart w:id="399" w:name="_Toc211616515"/>
      <w:r w:rsidR="00FD158B">
        <w:instrText>-synergy.com/loi/cod"</w:instrText>
      </w:r>
      <w:r w:rsidR="00DF61FE">
        <w:fldChar w:fldCharType="separate"/>
      </w:r>
      <w:r w:rsidRPr="001A3D2B">
        <w:rPr>
          <w:rStyle w:val="a5"/>
        </w:rPr>
        <w:t>Con</w:t>
      </w:r>
      <w:bookmarkEnd w:id="399"/>
      <w:r w:rsidRPr="001A3D2B">
        <w:rPr>
          <w:rStyle w:val="a5"/>
        </w:rPr>
        <w:t>tact Dermatitis</w:t>
      </w:r>
      <w:r w:rsidR="00DF61FE">
        <w:fldChar w:fldCharType="end"/>
      </w:r>
      <w:r w:rsidRPr="001A3D2B">
        <w:t xml:space="preserve">; </w:t>
      </w:r>
      <w:hyperlink r:id="rId1016" w:history="1">
        <w:r w:rsidRPr="001A3D2B">
          <w:rPr>
            <w:rStyle w:val="a5"/>
          </w:rPr>
          <w:t>Contact Dermatitis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0105-1873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Smith, D.R. (2008), Impact factors</w:t>
      </w:r>
      <w:r w:rsidR="005853A9">
        <w:t xml:space="preserve"> and </w:t>
      </w:r>
      <w:r w:rsidRPr="001A3D2B">
        <w:t xml:space="preserve">contact dermatitis. </w:t>
      </w:r>
      <w:r w:rsidRPr="001A3D2B">
        <w:rPr>
          <w:i/>
          <w:iCs/>
        </w:rPr>
        <w:t>Contact Dermatitis</w:t>
      </w:r>
      <w:r w:rsidRPr="001A3D2B">
        <w:t xml:space="preserve">, </w:t>
      </w:r>
      <w:r w:rsidRPr="001A3D2B">
        <w:rPr>
          <w:b/>
          <w:bCs/>
        </w:rPr>
        <w:t>58</w:t>
      </w:r>
      <w:r w:rsidRPr="001A3D2B">
        <w:t xml:space="preserve"> (4), 191-192.</w:t>
      </w:r>
    </w:p>
    <w:p w:rsidR="003474F2" w:rsidRPr="001A3D2B" w:rsidRDefault="003474F2" w:rsidP="003474F2">
      <w:pPr>
        <w:pStyle w:val="a3"/>
      </w:pPr>
      <w:r w:rsidRPr="001A3D2B">
        <w:t xml:space="preserve">Full Text: </w:t>
      </w:r>
      <w:hyperlink r:id="rId1017" w:history="1">
        <w:r w:rsidRPr="001A3D2B">
          <w:rPr>
            <w:rStyle w:val="a5"/>
          </w:rPr>
          <w:t>2008\Con Der58, 191.pdf</w:t>
        </w:r>
      </w:hyperlink>
    </w:p>
    <w:p w:rsidR="003474F2" w:rsidRPr="001A3D2B" w:rsidRDefault="003474F2" w:rsidP="003474F2">
      <w:pPr>
        <w:pStyle w:val="a3"/>
      </w:pPr>
      <w:r w:rsidRPr="001A3D2B">
        <w:t>? Smith, D.R. (2008), Bibliometrics, dermatology</w:t>
      </w:r>
      <w:r w:rsidR="005853A9">
        <w:t xml:space="preserve"> and </w:t>
      </w:r>
      <w:r w:rsidRPr="001A3D2B">
        <w:t xml:space="preserve">contact dermatitis. </w:t>
      </w:r>
      <w:r w:rsidRPr="001A3D2B">
        <w:rPr>
          <w:i/>
          <w:iCs/>
        </w:rPr>
        <w:t>Contact Dermatitis</w:t>
      </w:r>
      <w:r w:rsidRPr="001A3D2B">
        <w:t xml:space="preserve">, </w:t>
      </w:r>
      <w:r w:rsidRPr="001A3D2B">
        <w:rPr>
          <w:b/>
          <w:bCs/>
        </w:rPr>
        <w:t>59</w:t>
      </w:r>
      <w:r w:rsidRPr="001A3D2B">
        <w:t xml:space="preserve"> (3), 133-136.</w:t>
      </w:r>
    </w:p>
    <w:p w:rsidR="003474F2" w:rsidRPr="001A3D2B" w:rsidRDefault="003474F2" w:rsidP="003474F2">
      <w:pPr>
        <w:pStyle w:val="a3"/>
      </w:pPr>
      <w:r w:rsidRPr="001A3D2B">
        <w:t xml:space="preserve">Full Text: </w:t>
      </w:r>
      <w:hyperlink r:id="rId1018" w:history="1">
        <w:r w:rsidRPr="001A3D2B">
          <w:rPr>
            <w:rStyle w:val="a5"/>
          </w:rPr>
          <w:t>2008\Con Der59, 133.pdf</w:t>
        </w:r>
      </w:hyperlink>
    </w:p>
    <w:p w:rsidR="003474F2" w:rsidRPr="001A3D2B" w:rsidRDefault="003474F2" w:rsidP="003474F2">
      <w:pPr>
        <w:pStyle w:val="a3"/>
      </w:pPr>
      <w:r w:rsidRPr="001A3D2B">
        <w:t>Abstract: Although</w:t>
      </w:r>
      <w:r w:rsidR="003A1917">
        <w:t xml:space="preserve"> the </w:t>
      </w:r>
      <w:r w:rsidRPr="001A3D2B">
        <w:t>fields</w:t>
      </w:r>
      <w:r w:rsidR="00427468">
        <w:t xml:space="preserve"> of </w:t>
      </w:r>
      <w:r w:rsidRPr="001A3D2B">
        <w:t>bibliometrics</w:t>
      </w:r>
      <w:r w:rsidR="005853A9">
        <w:t xml:space="preserve"> and </w:t>
      </w:r>
      <w:r w:rsidRPr="001A3D2B">
        <w:t>citation analysis have existed for many years, relatively few studies have specifically focused on</w:t>
      </w:r>
      <w:r w:rsidR="003A1917">
        <w:t xml:space="preserve"> the </w:t>
      </w:r>
      <w:r w:rsidRPr="001A3D2B">
        <w:t>dermatological literature. This article reviews citation-based research in</w:t>
      </w:r>
      <w:r w:rsidR="003A1917">
        <w:t xml:space="preserve"> the </w:t>
      </w:r>
      <w:r w:rsidRPr="001A3D2B">
        <w:t>dermatology journals, with a particular interest in manuscripts that have included Contact Dermatitis as part</w:t>
      </w:r>
      <w:r w:rsidR="00427468">
        <w:t xml:space="preserve"> of </w:t>
      </w:r>
      <w:r w:rsidRPr="001A3D2B">
        <w:t>their analysis. Overall, it can be seen that</w:t>
      </w:r>
      <w:r w:rsidR="003A1917">
        <w:t xml:space="preserve"> the </w:t>
      </w:r>
      <w:r w:rsidRPr="001A3D2B">
        <w:t>rise</w:t>
      </w:r>
      <w:r w:rsidR="00427468">
        <w:t xml:space="preserve"> of </w:t>
      </w:r>
      <w:r w:rsidRPr="001A3D2B">
        <w:t>bibliometrics during</w:t>
      </w:r>
      <w:r w:rsidR="003A1917">
        <w:t xml:space="preserve"> the </w:t>
      </w:r>
      <w:r w:rsidRPr="001A3D2B">
        <w:t>mid-20th century</w:t>
      </w:r>
      <w:r w:rsidR="005853A9">
        <w:t xml:space="preserve"> and </w:t>
      </w:r>
      <w:r w:rsidRPr="001A3D2B">
        <w:t>its subsequent application to dermatology has provided an interesting insight into</w:t>
      </w:r>
      <w:r w:rsidR="003A1917">
        <w:t xml:space="preserve"> the </w:t>
      </w:r>
      <w:r w:rsidRPr="001A3D2B">
        <w:t>progression</w:t>
      </w:r>
      <w:r w:rsidR="00427468">
        <w:t xml:space="preserve"> of </w:t>
      </w:r>
      <w:r w:rsidRPr="001A3D2B">
        <w:t>research within our discipline. Further investigation</w:t>
      </w:r>
      <w:r w:rsidR="00427468">
        <w:t xml:space="preserve"> of </w:t>
      </w:r>
      <w:r w:rsidRPr="001A3D2B">
        <w:t>citation trends</w:t>
      </w:r>
      <w:r w:rsidR="005853A9">
        <w:t xml:space="preserve"> and </w:t>
      </w:r>
      <w:r w:rsidRPr="001A3D2B">
        <w:t>top-cited papers in skin research periodicals would certainly help complement</w:t>
      </w:r>
      <w:r w:rsidR="003A1917">
        <w:t xml:space="preserve"> the </w:t>
      </w:r>
      <w:r w:rsidRPr="001A3D2B">
        <w:t>current body</w:t>
      </w:r>
      <w:r w:rsidR="00427468">
        <w:t xml:space="preserve"> of </w:t>
      </w:r>
      <w:r w:rsidRPr="001A3D2B">
        <w:t>knowledge.</w:t>
      </w:r>
    </w:p>
    <w:p w:rsidR="0005086E" w:rsidRPr="001A3D2B" w:rsidRDefault="0005086E" w:rsidP="0005086E">
      <w:pPr>
        <w:pStyle w:val="a3"/>
        <w:rPr>
          <w:kern w:val="0"/>
        </w:rPr>
      </w:pPr>
      <w:r w:rsidRPr="001A3D2B">
        <w:rPr>
          <w:kern w:val="0"/>
        </w:rPr>
        <w:t>Keywords: Analysis, Articles, Authors, Bibliometrics, Citation, Citation Analysis, Citation Trends, Citation-Index, Contact Dermatitis, Dermatology, History, Impact Factor, Impact Factor, Journal Impact, Of-Investigative-Dermatology, Publications, Reference Accuracy, Relevance</w:t>
      </w:r>
    </w:p>
    <w:p w:rsidR="00CE1EEC" w:rsidRDefault="00CE1EEC" w:rsidP="00CE1EEC">
      <w:pPr>
        <w:pStyle w:val="a3"/>
        <w:rPr>
          <w:kern w:val="0"/>
        </w:rPr>
      </w:pPr>
      <w:r>
        <w:rPr>
          <w:rFonts w:hint="eastAsia"/>
          <w:kern w:val="0"/>
        </w:rPr>
        <w:t xml:space="preserve">? </w:t>
      </w:r>
      <w:r>
        <w:rPr>
          <w:kern w:val="0"/>
        </w:rPr>
        <w:t>Smith, D.R. (2009</w:t>
      </w:r>
      <w:r w:rsidR="00F42EAC">
        <w:rPr>
          <w:kern w:val="0"/>
        </w:rPr>
        <w:t>), The</w:t>
      </w:r>
      <w:r w:rsidR="003A1917">
        <w:rPr>
          <w:kern w:val="0"/>
        </w:rPr>
        <w:t xml:space="preserve"> </w:t>
      </w:r>
      <w:r>
        <w:rPr>
          <w:kern w:val="0"/>
        </w:rPr>
        <w:t>continuing rise</w:t>
      </w:r>
      <w:r w:rsidR="00427468">
        <w:rPr>
          <w:kern w:val="0"/>
        </w:rPr>
        <w:t xml:space="preserve"> of </w:t>
      </w:r>
      <w:r>
        <w:rPr>
          <w:kern w:val="0"/>
        </w:rPr>
        <w:t>contact dermatitis, Part 1:</w:t>
      </w:r>
      <w:r w:rsidR="003A1917">
        <w:rPr>
          <w:kern w:val="0"/>
        </w:rPr>
        <w:t xml:space="preserve"> the </w:t>
      </w:r>
      <w:r>
        <w:rPr>
          <w:kern w:val="0"/>
        </w:rPr>
        <w:t xml:space="preserve">academic discipline. </w:t>
      </w:r>
      <w:r>
        <w:rPr>
          <w:i/>
          <w:iCs/>
          <w:kern w:val="0"/>
        </w:rPr>
        <w:t>Contact Dermatitis</w:t>
      </w:r>
      <w:r>
        <w:rPr>
          <w:kern w:val="0"/>
        </w:rPr>
        <w:t xml:space="preserve">, </w:t>
      </w:r>
      <w:r>
        <w:rPr>
          <w:b/>
          <w:bCs/>
          <w:kern w:val="0"/>
        </w:rPr>
        <w:t>61</w:t>
      </w:r>
      <w:r>
        <w:rPr>
          <w:kern w:val="0"/>
        </w:rPr>
        <w:t xml:space="preserve"> (4), 189-193.</w:t>
      </w:r>
    </w:p>
    <w:p w:rsidR="003A5D2A" w:rsidRPr="001A3D2B" w:rsidRDefault="003A5D2A" w:rsidP="003A5D2A">
      <w:pPr>
        <w:pStyle w:val="a3"/>
      </w:pPr>
      <w:r w:rsidRPr="001A3D2B">
        <w:t xml:space="preserve">Full Text: </w:t>
      </w:r>
      <w:hyperlink r:id="rId1019" w:history="1">
        <w:r w:rsidRPr="00094CB5">
          <w:rPr>
            <w:rStyle w:val="a5"/>
          </w:rPr>
          <w:t>2009\Con Der61, 189.pdf</w:t>
        </w:r>
      </w:hyperlink>
    </w:p>
    <w:p w:rsidR="00CE1EEC" w:rsidRDefault="00CE1EEC" w:rsidP="00CE1EEC">
      <w:pPr>
        <w:pStyle w:val="a3"/>
        <w:rPr>
          <w:kern w:val="0"/>
        </w:rPr>
      </w:pPr>
      <w:r>
        <w:rPr>
          <w:kern w:val="0"/>
        </w:rPr>
        <w:t>Abstract: This article describes</w:t>
      </w:r>
      <w:r w:rsidR="003A1917">
        <w:rPr>
          <w:kern w:val="0"/>
        </w:rPr>
        <w:t xml:space="preserve"> the </w:t>
      </w:r>
      <w:r>
        <w:rPr>
          <w:kern w:val="0"/>
        </w:rPr>
        <w:t>history</w:t>
      </w:r>
      <w:r w:rsidR="005853A9">
        <w:rPr>
          <w:kern w:val="0"/>
        </w:rPr>
        <w:t xml:space="preserve"> and </w:t>
      </w:r>
      <w:r>
        <w:rPr>
          <w:kern w:val="0"/>
        </w:rPr>
        <w:t>development</w:t>
      </w:r>
      <w:r w:rsidR="00427468">
        <w:rPr>
          <w:kern w:val="0"/>
        </w:rPr>
        <w:t xml:space="preserve"> of </w:t>
      </w:r>
      <w:r>
        <w:rPr>
          <w:kern w:val="0"/>
        </w:rPr>
        <w:t>contact dermatitis as an academic discipline, from early observations documented in ancient Egypt</w:t>
      </w:r>
      <w:r w:rsidR="005853A9">
        <w:rPr>
          <w:kern w:val="0"/>
        </w:rPr>
        <w:t xml:space="preserve"> and </w:t>
      </w:r>
      <w:r>
        <w:rPr>
          <w:kern w:val="0"/>
        </w:rPr>
        <w:t>Greece, to</w:t>
      </w:r>
      <w:r w:rsidR="003A1917">
        <w:rPr>
          <w:kern w:val="0"/>
        </w:rPr>
        <w:t xml:space="preserve"> the </w:t>
      </w:r>
      <w:r>
        <w:rPr>
          <w:kern w:val="0"/>
        </w:rPr>
        <w:t xml:space="preserve">current medical specialization we know today. Given its essential role </w:t>
      </w:r>
      <w:r>
        <w:rPr>
          <w:kern w:val="0"/>
        </w:rPr>
        <w:lastRenderedPageBreak/>
        <w:t>in clinical diagnosis,</w:t>
      </w:r>
      <w:r w:rsidR="003A1917">
        <w:rPr>
          <w:kern w:val="0"/>
        </w:rPr>
        <w:t xml:space="preserve"> the </w:t>
      </w:r>
      <w:r>
        <w:rPr>
          <w:kern w:val="0"/>
        </w:rPr>
        <w:t>history</w:t>
      </w:r>
      <w:r w:rsidR="00427468">
        <w:rPr>
          <w:kern w:val="0"/>
        </w:rPr>
        <w:t xml:space="preserve"> of </w:t>
      </w:r>
      <w:r>
        <w:rPr>
          <w:kern w:val="0"/>
        </w:rPr>
        <w:t>patch testing is also discussed, including</w:t>
      </w:r>
      <w:r w:rsidR="003A1917">
        <w:rPr>
          <w:kern w:val="0"/>
        </w:rPr>
        <w:t xml:space="preserve"> the </w:t>
      </w:r>
      <w:r>
        <w:rPr>
          <w:kern w:val="0"/>
        </w:rPr>
        <w:t>pioneering work</w:t>
      </w:r>
      <w:r w:rsidR="00427468">
        <w:rPr>
          <w:kern w:val="0"/>
        </w:rPr>
        <w:t xml:space="preserve"> of </w:t>
      </w:r>
      <w:r>
        <w:rPr>
          <w:kern w:val="0"/>
        </w:rPr>
        <w:t>Stadeler, von Hebra, Jadassohn,</w:t>
      </w:r>
      <w:r w:rsidR="005853A9">
        <w:rPr>
          <w:kern w:val="0"/>
        </w:rPr>
        <w:t xml:space="preserve"> and </w:t>
      </w:r>
      <w:r>
        <w:rPr>
          <w:kern w:val="0"/>
        </w:rPr>
        <w:t>others</w:t>
      </w:r>
      <w:r w:rsidR="00A37C1D">
        <w:rPr>
          <w:kern w:val="0"/>
        </w:rPr>
        <w:t>. The</w:t>
      </w:r>
      <w:r w:rsidR="003A1917">
        <w:rPr>
          <w:kern w:val="0"/>
        </w:rPr>
        <w:t xml:space="preserve"> </w:t>
      </w:r>
      <w:r>
        <w:rPr>
          <w:kern w:val="0"/>
        </w:rPr>
        <w:t>historical development</w:t>
      </w:r>
      <w:r w:rsidR="00427468">
        <w:rPr>
          <w:kern w:val="0"/>
        </w:rPr>
        <w:t xml:space="preserve"> of </w:t>
      </w:r>
      <w:r>
        <w:rPr>
          <w:kern w:val="0"/>
        </w:rPr>
        <w:t>some international societies for contact dermatitis is provided, along with some discussion on bibliometric performance in this field. Overall, it can be seen that from humble beginnings, contact dermatitis is now thriving as a specialized field in clinical dermatology.</w:t>
      </w:r>
    </w:p>
    <w:p w:rsidR="00CE1EEC" w:rsidRDefault="00CE1EEC" w:rsidP="00CE1EEC">
      <w:pPr>
        <w:pStyle w:val="a3"/>
        <w:rPr>
          <w:kern w:val="0"/>
        </w:rPr>
      </w:pPr>
      <w:r>
        <w:rPr>
          <w:kern w:val="0"/>
        </w:rPr>
        <w:t>Keywords: Bibliometric, Contact Dermatitis, Dermatology, Dermatology, Diagnosis, History, History, Impact Factors, Medical, Occupational-Medicine, Origins, Patch Testing</w:t>
      </w:r>
    </w:p>
    <w:p w:rsidR="0032265B" w:rsidRDefault="0032265B" w:rsidP="0032265B">
      <w:pPr>
        <w:pStyle w:val="a3"/>
        <w:rPr>
          <w:kern w:val="0"/>
        </w:rPr>
      </w:pPr>
      <w:r>
        <w:rPr>
          <w:rFonts w:hint="eastAsia"/>
          <w:kern w:val="0"/>
        </w:rPr>
        <w:t xml:space="preserve">? </w:t>
      </w:r>
      <w:r>
        <w:rPr>
          <w:kern w:val="0"/>
        </w:rPr>
        <w:t xml:space="preserve">Smith, D.R. (2009), The continuing rise of contact dermatitis, Part 2: The scientific journal. </w:t>
      </w:r>
      <w:r>
        <w:rPr>
          <w:i/>
          <w:iCs/>
          <w:kern w:val="0"/>
        </w:rPr>
        <w:t>Contact Dermatitis</w:t>
      </w:r>
      <w:r>
        <w:rPr>
          <w:kern w:val="0"/>
        </w:rPr>
        <w:t xml:space="preserve">, </w:t>
      </w:r>
      <w:r>
        <w:rPr>
          <w:b/>
          <w:bCs/>
          <w:kern w:val="0"/>
        </w:rPr>
        <w:t>61</w:t>
      </w:r>
      <w:r>
        <w:rPr>
          <w:kern w:val="0"/>
        </w:rPr>
        <w:t xml:space="preserve"> (4), 194-200.</w:t>
      </w:r>
    </w:p>
    <w:p w:rsidR="0032265B" w:rsidRPr="001A3D2B" w:rsidRDefault="0032265B" w:rsidP="0032265B">
      <w:pPr>
        <w:pStyle w:val="a3"/>
      </w:pPr>
      <w:r w:rsidRPr="001A3D2B">
        <w:t xml:space="preserve">Full Text: </w:t>
      </w:r>
      <w:hyperlink r:id="rId1020" w:history="1">
        <w:r w:rsidRPr="0032265B">
          <w:rPr>
            <w:rStyle w:val="a5"/>
          </w:rPr>
          <w:t>2009\Con Der61, 194.pdf</w:t>
        </w:r>
      </w:hyperlink>
    </w:p>
    <w:p w:rsidR="0032265B" w:rsidRDefault="0032265B" w:rsidP="0032265B">
      <w:pPr>
        <w:pStyle w:val="a3"/>
        <w:rPr>
          <w:kern w:val="0"/>
        </w:rPr>
      </w:pPr>
      <w:r>
        <w:rPr>
          <w:kern w:val="0"/>
        </w:rPr>
        <w:t>Abstract: Background Although citation analysis represents an increasingly common method for examining the performance of scientific journals, few longitudinal studies have been conducted in the specialist fields of dermatology. Objectives The objective of this study was to provide the first comprehensive bibliometric analysis of Contact Dermatitis for the 30-year period between 1977 and 2006. Materials and Methods Detailed historical data were extracted from the Thomson Reuters Journal Citation Reports (R) and systematically analysed. The most highly cited articles published in the journal were also identified and then examined for citation frequency and lag time. Results Citation analysis showed that the impact factor of Contact Dermatitis has increased significantly over the past 30 years, experiencing a sixfold improvement between 1977 and 2006. Conclusions Bibliometric trends as identified in the current study clearly demonstrate the ongoing rise of Contact Dermatitis, from early beginnings in the mid-1970s, into the leading scientific periodical we know today.</w:t>
      </w:r>
    </w:p>
    <w:p w:rsidR="0032265B" w:rsidRDefault="0032265B" w:rsidP="0032265B">
      <w:pPr>
        <w:pStyle w:val="a3"/>
        <w:rPr>
          <w:kern w:val="0"/>
        </w:rPr>
      </w:pPr>
      <w:r>
        <w:rPr>
          <w:kern w:val="0"/>
        </w:rPr>
        <w:t>Keywords: Analysis, Articles, Bibliometric, Bibliometric Analysis, Bibliometrics, Bibliometrics, Citation, Citation Analysis, Citation Frequency, Citation-Classics, Contact Dermatitis, Data, Dermatological Literature, Dermatology, Editors, First, Health, Highly Cited, Highly Cited Articles, Highly-Cited, Historical Data, Impact, Impact Factor, Impact Factor Trends, Improvement, Journal, Journal Citation Reports, Journals, Longitudinal, Longitudinal Studies, Materials, Methods, Occupational-Medicine, Performance, Periodical, R, Relevance, Results, Science, Scientific Journal, Scientific Journals, Thomson Reuters, Thomson-Reuters, Trends</w:t>
      </w:r>
    </w:p>
    <w:p w:rsidR="00530DDC" w:rsidRDefault="00530DDC" w:rsidP="00530DDC">
      <w:pPr>
        <w:pStyle w:val="a3"/>
        <w:rPr>
          <w:kern w:val="0"/>
        </w:rPr>
      </w:pPr>
      <w:r>
        <w:rPr>
          <w:rFonts w:hint="eastAsia"/>
          <w:kern w:val="0"/>
        </w:rPr>
        <w:t xml:space="preserve">? </w:t>
      </w:r>
      <w:r>
        <w:rPr>
          <w:kern w:val="0"/>
        </w:rPr>
        <w:t>Thyssen, J.P., Johansen, J.D., Linneberg, A.</w:t>
      </w:r>
      <w:r w:rsidR="005853A9">
        <w:rPr>
          <w:kern w:val="0"/>
        </w:rPr>
        <w:t xml:space="preserve"> and </w:t>
      </w:r>
      <w:r>
        <w:rPr>
          <w:kern w:val="0"/>
        </w:rPr>
        <w:t>Menne, T. (2010</w:t>
      </w:r>
      <w:r w:rsidR="00F42EAC">
        <w:rPr>
          <w:kern w:val="0"/>
        </w:rPr>
        <w:t>), The</w:t>
      </w:r>
      <w:r w:rsidR="003A1917">
        <w:rPr>
          <w:kern w:val="0"/>
        </w:rPr>
        <w:t xml:space="preserve"> </w:t>
      </w:r>
      <w:r>
        <w:rPr>
          <w:kern w:val="0"/>
        </w:rPr>
        <w:t>epidemiology</w:t>
      </w:r>
      <w:r w:rsidR="00427468">
        <w:rPr>
          <w:kern w:val="0"/>
        </w:rPr>
        <w:t xml:space="preserve"> of </w:t>
      </w:r>
      <w:r>
        <w:rPr>
          <w:kern w:val="0"/>
        </w:rPr>
        <w:t>hand eczema in</w:t>
      </w:r>
      <w:r w:rsidR="003A1917">
        <w:rPr>
          <w:kern w:val="0"/>
        </w:rPr>
        <w:t xml:space="preserve"> the </w:t>
      </w:r>
      <w:r>
        <w:rPr>
          <w:kern w:val="0"/>
        </w:rPr>
        <w:t>general population - prevalence</w:t>
      </w:r>
      <w:r w:rsidR="005853A9">
        <w:rPr>
          <w:kern w:val="0"/>
        </w:rPr>
        <w:t xml:space="preserve"> and </w:t>
      </w:r>
      <w:r>
        <w:rPr>
          <w:kern w:val="0"/>
        </w:rPr>
        <w:t xml:space="preserve">main findings. </w:t>
      </w:r>
      <w:r>
        <w:rPr>
          <w:i/>
          <w:iCs/>
          <w:kern w:val="0"/>
        </w:rPr>
        <w:t>Contact Dermatitis</w:t>
      </w:r>
      <w:r>
        <w:rPr>
          <w:kern w:val="0"/>
        </w:rPr>
        <w:t xml:space="preserve">, </w:t>
      </w:r>
      <w:r>
        <w:rPr>
          <w:b/>
          <w:bCs/>
          <w:kern w:val="0"/>
        </w:rPr>
        <w:t>62</w:t>
      </w:r>
      <w:r>
        <w:rPr>
          <w:kern w:val="0"/>
        </w:rPr>
        <w:t xml:space="preserve"> (2), 75-87.</w:t>
      </w:r>
    </w:p>
    <w:p w:rsidR="00530DDC" w:rsidRPr="001A3D2B" w:rsidRDefault="00530DDC" w:rsidP="00530DDC">
      <w:pPr>
        <w:pStyle w:val="a3"/>
      </w:pPr>
      <w:r w:rsidRPr="001A3D2B">
        <w:t xml:space="preserve">Full Text: </w:t>
      </w:r>
      <w:hyperlink r:id="rId1021" w:history="1">
        <w:r w:rsidRPr="00BA0411">
          <w:rPr>
            <w:rStyle w:val="a5"/>
          </w:rPr>
          <w:t>2010\Con Der62, 75.pdf</w:t>
        </w:r>
      </w:hyperlink>
    </w:p>
    <w:p w:rsidR="00530DDC" w:rsidRDefault="00530DDC" w:rsidP="00530DDC">
      <w:pPr>
        <w:pStyle w:val="a3"/>
        <w:rPr>
          <w:kern w:val="0"/>
        </w:rPr>
      </w:pPr>
      <w:r>
        <w:rPr>
          <w:kern w:val="0"/>
        </w:rPr>
        <w:t>Abstract: Numerous studies have investigated</w:t>
      </w:r>
      <w:r w:rsidR="003A1917">
        <w:rPr>
          <w:kern w:val="0"/>
        </w:rPr>
        <w:t xml:space="preserve"> the </w:t>
      </w:r>
      <w:r>
        <w:rPr>
          <w:kern w:val="0"/>
        </w:rPr>
        <w:t>prevalence</w:t>
      </w:r>
      <w:r w:rsidR="005853A9">
        <w:rPr>
          <w:kern w:val="0"/>
        </w:rPr>
        <w:t xml:space="preserve"> and </w:t>
      </w:r>
      <w:r>
        <w:rPr>
          <w:kern w:val="0"/>
        </w:rPr>
        <w:t>risk factors</w:t>
      </w:r>
      <w:r w:rsidR="00427468">
        <w:rPr>
          <w:kern w:val="0"/>
        </w:rPr>
        <w:t xml:space="preserve"> of </w:t>
      </w:r>
      <w:r>
        <w:rPr>
          <w:kern w:val="0"/>
        </w:rPr>
        <w:t xml:space="preserve">hand </w:t>
      </w:r>
      <w:r>
        <w:rPr>
          <w:kern w:val="0"/>
        </w:rPr>
        <w:lastRenderedPageBreak/>
        <w:t>eczema in</w:t>
      </w:r>
      <w:r w:rsidR="003A1917">
        <w:rPr>
          <w:kern w:val="0"/>
        </w:rPr>
        <w:t xml:space="preserve"> the </w:t>
      </w:r>
      <w:r>
        <w:rPr>
          <w:kern w:val="0"/>
        </w:rPr>
        <w:t>general population</w:t>
      </w:r>
      <w:r w:rsidR="00A37C1D">
        <w:rPr>
          <w:kern w:val="0"/>
        </w:rPr>
        <w:t>. The</w:t>
      </w:r>
      <w:r>
        <w:rPr>
          <w:kern w:val="0"/>
        </w:rPr>
        <w:t>se studies are</w:t>
      </w:r>
      <w:r w:rsidR="00427468">
        <w:rPr>
          <w:kern w:val="0"/>
        </w:rPr>
        <w:t xml:space="preserve"> of </w:t>
      </w:r>
      <w:r>
        <w:rPr>
          <w:kern w:val="0"/>
        </w:rPr>
        <w:t>high value as they tend to be less biased than studies using clinical populations</w:t>
      </w:r>
      <w:r w:rsidR="005853A9">
        <w:rPr>
          <w:kern w:val="0"/>
        </w:rPr>
        <w:t xml:space="preserve"> and </w:t>
      </w:r>
      <w:r>
        <w:rPr>
          <w:kern w:val="0"/>
        </w:rPr>
        <w:t>as they are important for healthcare decision makers when they allocate resources. This study aimed to review</w:t>
      </w:r>
      <w:r w:rsidR="003A1917">
        <w:rPr>
          <w:kern w:val="0"/>
        </w:rPr>
        <w:t xml:space="preserve"> the </w:t>
      </w:r>
      <w:r>
        <w:rPr>
          <w:kern w:val="0"/>
        </w:rPr>
        <w:t>epidemiology</w:t>
      </w:r>
      <w:r w:rsidR="00427468">
        <w:rPr>
          <w:kern w:val="0"/>
        </w:rPr>
        <w:t xml:space="preserve"> of </w:t>
      </w:r>
      <w:r>
        <w:rPr>
          <w:kern w:val="0"/>
        </w:rPr>
        <w:t>hand eczema in</w:t>
      </w:r>
      <w:r w:rsidR="003A1917">
        <w:rPr>
          <w:kern w:val="0"/>
        </w:rPr>
        <w:t xml:space="preserve"> the </w:t>
      </w:r>
      <w:r>
        <w:rPr>
          <w:kern w:val="0"/>
        </w:rPr>
        <w:t xml:space="preserve">general population. Literature was examined using </w:t>
      </w:r>
      <w:r w:rsidR="002C12F0">
        <w:rPr>
          <w:kern w:val="0"/>
        </w:rPr>
        <w:t>PUBMED</w:t>
      </w:r>
      <w:r>
        <w:rPr>
          <w:kern w:val="0"/>
        </w:rPr>
        <w:t>-</w:t>
      </w:r>
      <w:r w:rsidR="00D5664A">
        <w:rPr>
          <w:kern w:val="0"/>
        </w:rPr>
        <w:t>MEDLINE</w:t>
      </w:r>
      <w:r>
        <w:rPr>
          <w:kern w:val="0"/>
        </w:rPr>
        <w:t>, Biosis, Science Citation Index,</w:t>
      </w:r>
      <w:r w:rsidR="005853A9">
        <w:rPr>
          <w:kern w:val="0"/>
        </w:rPr>
        <w:t xml:space="preserve"> and </w:t>
      </w:r>
      <w:r>
        <w:rPr>
          <w:kern w:val="0"/>
        </w:rPr>
        <w:t>dermatology text books. On</w:t>
      </w:r>
      <w:r w:rsidR="003A1917">
        <w:rPr>
          <w:kern w:val="0"/>
        </w:rPr>
        <w:t xml:space="preserve"> the </w:t>
      </w:r>
      <w:r>
        <w:rPr>
          <w:kern w:val="0"/>
        </w:rPr>
        <w:t>basis</w:t>
      </w:r>
      <w:r w:rsidR="00427468">
        <w:rPr>
          <w:kern w:val="0"/>
        </w:rPr>
        <w:t xml:space="preserve"> of </w:t>
      </w:r>
      <w:r>
        <w:rPr>
          <w:kern w:val="0"/>
        </w:rPr>
        <w:t>studies performed between 1964</w:t>
      </w:r>
      <w:r w:rsidR="005853A9">
        <w:rPr>
          <w:kern w:val="0"/>
        </w:rPr>
        <w:t xml:space="preserve"> and </w:t>
      </w:r>
      <w:r>
        <w:rPr>
          <w:kern w:val="0"/>
        </w:rPr>
        <w:t>2007,</w:t>
      </w:r>
      <w:r w:rsidR="003A1917">
        <w:rPr>
          <w:kern w:val="0"/>
        </w:rPr>
        <w:t xml:space="preserve"> the </w:t>
      </w:r>
      <w:r>
        <w:rPr>
          <w:kern w:val="0"/>
        </w:rPr>
        <w:t>point prevalence</w:t>
      </w:r>
      <w:r w:rsidR="00427468">
        <w:rPr>
          <w:kern w:val="0"/>
        </w:rPr>
        <w:t xml:space="preserve"> of </w:t>
      </w:r>
      <w:r>
        <w:rPr>
          <w:kern w:val="0"/>
        </w:rPr>
        <w:t>hand eczema was around 4%,</w:t>
      </w:r>
      <w:r w:rsidR="003A1917">
        <w:rPr>
          <w:kern w:val="0"/>
        </w:rPr>
        <w:t xml:space="preserve"> the </w:t>
      </w:r>
      <w:r>
        <w:rPr>
          <w:kern w:val="0"/>
        </w:rPr>
        <w:t>1-year prevalence nearly 10%, whereas</w:t>
      </w:r>
      <w:r w:rsidR="003A1917">
        <w:rPr>
          <w:kern w:val="0"/>
        </w:rPr>
        <w:t xml:space="preserve"> the </w:t>
      </w:r>
      <w:r>
        <w:rPr>
          <w:kern w:val="0"/>
        </w:rPr>
        <w:t>lifetime prevalence reached 15%. Based on seven studies,</w:t>
      </w:r>
      <w:r w:rsidR="003A1917">
        <w:rPr>
          <w:kern w:val="0"/>
        </w:rPr>
        <w:t xml:space="preserve"> the </w:t>
      </w:r>
      <w:r>
        <w:rPr>
          <w:kern w:val="0"/>
        </w:rPr>
        <w:t>median incidence rate</w:t>
      </w:r>
      <w:r w:rsidR="00427468">
        <w:rPr>
          <w:kern w:val="0"/>
        </w:rPr>
        <w:t xml:space="preserve"> of </w:t>
      </w:r>
      <w:r>
        <w:rPr>
          <w:kern w:val="0"/>
        </w:rPr>
        <w:t>hand eczema was 5.5 cases/1000 person-years (women = 9.6</w:t>
      </w:r>
      <w:r w:rsidR="005853A9">
        <w:rPr>
          <w:kern w:val="0"/>
        </w:rPr>
        <w:t xml:space="preserve"> and </w:t>
      </w:r>
      <w:r>
        <w:rPr>
          <w:kern w:val="0"/>
        </w:rPr>
        <w:t>men = 4.0). A high incidence rate was associated with female sex, contact allergy, atopic dermatitis,</w:t>
      </w:r>
      <w:r w:rsidR="005853A9">
        <w:rPr>
          <w:kern w:val="0"/>
        </w:rPr>
        <w:t xml:space="preserve"> and </w:t>
      </w:r>
      <w:r>
        <w:rPr>
          <w:kern w:val="0"/>
        </w:rPr>
        <w:t>wet work. Atopic dermatitis was</w:t>
      </w:r>
      <w:r w:rsidR="003A1917">
        <w:rPr>
          <w:kern w:val="0"/>
        </w:rPr>
        <w:t xml:space="preserve"> the </w:t>
      </w:r>
      <w:r>
        <w:rPr>
          <w:kern w:val="0"/>
        </w:rPr>
        <w:t>single most important risk factor for hand eczema. Hand eczema resulted in medical consultations in 70%, sick leave (&gt; 7 days) in about 20%,</w:t>
      </w:r>
      <w:r w:rsidR="005853A9">
        <w:rPr>
          <w:kern w:val="0"/>
        </w:rPr>
        <w:t xml:space="preserve"> and </w:t>
      </w:r>
      <w:r>
        <w:rPr>
          <w:kern w:val="0"/>
        </w:rPr>
        <w:t>job change in about 10%. Mean sick time was longer among those with allergic hand eczema than those with atopic</w:t>
      </w:r>
      <w:r w:rsidR="005853A9">
        <w:rPr>
          <w:kern w:val="0"/>
        </w:rPr>
        <w:t xml:space="preserve"> and </w:t>
      </w:r>
      <w:r>
        <w:rPr>
          <w:kern w:val="0"/>
        </w:rPr>
        <w:t>irritant hand eczema. Moderate to severe extension</w:t>
      </w:r>
      <w:r w:rsidR="00427468">
        <w:rPr>
          <w:kern w:val="0"/>
        </w:rPr>
        <w:t xml:space="preserve"> of </w:t>
      </w:r>
      <w:r>
        <w:rPr>
          <w:kern w:val="0"/>
        </w:rPr>
        <w:t>hand eczema was</w:t>
      </w:r>
      <w:r w:rsidR="003A1917">
        <w:rPr>
          <w:kern w:val="0"/>
        </w:rPr>
        <w:t xml:space="preserve"> the </w:t>
      </w:r>
      <w:r>
        <w:rPr>
          <w:kern w:val="0"/>
        </w:rPr>
        <w:t>strongest risk factor for persistence</w:t>
      </w:r>
      <w:r w:rsidR="00427468">
        <w:rPr>
          <w:kern w:val="0"/>
        </w:rPr>
        <w:t xml:space="preserve"> of </w:t>
      </w:r>
      <w:r>
        <w:rPr>
          <w:kern w:val="0"/>
        </w:rPr>
        <w:t>hand eczema. Other risk factors included early onset</w:t>
      </w:r>
      <w:r w:rsidR="00427468">
        <w:rPr>
          <w:kern w:val="0"/>
        </w:rPr>
        <w:t xml:space="preserve"> of </w:t>
      </w:r>
      <w:r>
        <w:rPr>
          <w:kern w:val="0"/>
        </w:rPr>
        <w:t>hand eczema</w:t>
      </w:r>
      <w:r w:rsidR="005853A9">
        <w:rPr>
          <w:kern w:val="0"/>
        </w:rPr>
        <w:t xml:space="preserve"> and </w:t>
      </w:r>
      <w:r>
        <w:rPr>
          <w:kern w:val="0"/>
        </w:rPr>
        <w:t>childhood eczema</w:t>
      </w:r>
      <w:r w:rsidR="00A37C1D">
        <w:rPr>
          <w:kern w:val="0"/>
        </w:rPr>
        <w:t>. The</w:t>
      </w:r>
      <w:r w:rsidR="003A1917">
        <w:rPr>
          <w:kern w:val="0"/>
        </w:rPr>
        <w:t xml:space="preserve"> </w:t>
      </w:r>
      <w:r>
        <w:rPr>
          <w:kern w:val="0"/>
        </w:rPr>
        <w:t>aetiology</w:t>
      </w:r>
      <w:r w:rsidR="00427468">
        <w:rPr>
          <w:kern w:val="0"/>
        </w:rPr>
        <w:t xml:space="preserve"> of </w:t>
      </w:r>
      <w:r>
        <w:rPr>
          <w:kern w:val="0"/>
        </w:rPr>
        <w:t>hand eczema is multifactorial</w:t>
      </w:r>
      <w:r w:rsidR="005853A9">
        <w:rPr>
          <w:kern w:val="0"/>
        </w:rPr>
        <w:t xml:space="preserve"> and </w:t>
      </w:r>
      <w:r>
        <w:rPr>
          <w:kern w:val="0"/>
        </w:rPr>
        <w:t>includes environmental as well as genetic factors. Future studies should focus on unresolved areas</w:t>
      </w:r>
      <w:r w:rsidR="00427468">
        <w:rPr>
          <w:kern w:val="0"/>
        </w:rPr>
        <w:t xml:space="preserve"> of </w:t>
      </w:r>
      <w:r>
        <w:rPr>
          <w:kern w:val="0"/>
        </w:rPr>
        <w:t>hand eczema, for example, genetic predisposition.</w:t>
      </w:r>
    </w:p>
    <w:p w:rsidR="00530DDC" w:rsidRDefault="00530DDC" w:rsidP="00530DDC">
      <w:pPr>
        <w:pStyle w:val="a3"/>
        <w:rPr>
          <w:kern w:val="0"/>
        </w:rPr>
      </w:pPr>
      <w:r>
        <w:rPr>
          <w:kern w:val="0"/>
        </w:rPr>
        <w:t>Keywords: 15-Year Follow</w:t>
      </w:r>
      <w:r w:rsidR="0062028A">
        <w:rPr>
          <w:kern w:val="0"/>
        </w:rPr>
        <w:t>-up,</w:t>
      </w:r>
      <w:r>
        <w:rPr>
          <w:kern w:val="0"/>
        </w:rPr>
        <w:t xml:space="preserve"> Atopic-Dermatitis, Books, Citation, Dermatology, Epidemiology, Filaggrin Mutations, General Population, Hand Dermatitis, Hand Eczema, Industrial-City, Irritant Contact-Dermatitis, Literature, Medical, Nickel Allergy, Nickel Allergy, Odense Adolescence Cohort, Public Health, Regulation, Review, Risk Factors, Science, Science Citation Index, Secondary-School Pupils, Skin Exposure, Swedish Population</w:t>
      </w:r>
    </w:p>
    <w:p w:rsidR="003474F2" w:rsidRPr="001A3D2B" w:rsidRDefault="003474F2" w:rsidP="003474F2">
      <w:pPr>
        <w:pStyle w:val="1"/>
      </w:pPr>
      <w:r w:rsidRPr="001A3D2B">
        <w:br w:type="page"/>
      </w:r>
      <w:bookmarkStart w:id="400" w:name="_Toc420815111"/>
      <w:r w:rsidRPr="001A3D2B">
        <w:lastRenderedPageBreak/>
        <w:t>Title: Contemporary Clinical Trials</w:t>
      </w:r>
      <w:bookmarkEnd w:id="400"/>
    </w:p>
    <w:p w:rsidR="003474F2" w:rsidRPr="001A3D2B" w:rsidRDefault="003474F2" w:rsidP="003474F2">
      <w:pPr>
        <w:pStyle w:val="12"/>
      </w:pPr>
      <w:r w:rsidRPr="001A3D2B">
        <w:t xml:space="preserve">Full Journal Title: </w:t>
      </w:r>
      <w:hyperlink r:id="rId1022" w:history="1">
        <w:r w:rsidRPr="001A3D2B">
          <w:rPr>
            <w:rStyle w:val="a5"/>
            <w:iCs/>
          </w:rPr>
          <w:t>Contemporary Clinical Trials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Rahman, M., Saito, M.</w:t>
      </w:r>
      <w:r w:rsidR="005853A9">
        <w:t xml:space="preserve"> and </w:t>
      </w:r>
      <w:r w:rsidRPr="001A3D2B">
        <w:t>Fukui, T. (2005), Articles with high-grade evidence: Trend in</w:t>
      </w:r>
      <w:r w:rsidR="003A1917">
        <w:t xml:space="preserve"> the </w:t>
      </w:r>
      <w:r w:rsidRPr="001A3D2B">
        <w:t xml:space="preserve">last decade. </w:t>
      </w:r>
      <w:r w:rsidRPr="001A3D2B">
        <w:rPr>
          <w:i/>
          <w:iCs/>
        </w:rPr>
        <w:t>Contemporary Clinical Trials</w:t>
      </w:r>
      <w:r w:rsidRPr="001A3D2B">
        <w:t xml:space="preserve">, </w:t>
      </w:r>
      <w:r w:rsidRPr="001A3D2B">
        <w:rPr>
          <w:b/>
          <w:bCs/>
        </w:rPr>
        <w:t>26</w:t>
      </w:r>
      <w:r w:rsidRPr="001A3D2B">
        <w:t xml:space="preserve"> (4), 510-511.</w:t>
      </w:r>
    </w:p>
    <w:p w:rsidR="003474F2" w:rsidRPr="001A3D2B" w:rsidRDefault="003474F2" w:rsidP="003474F2">
      <w:pPr>
        <w:pStyle w:val="a3"/>
      </w:pPr>
      <w:r w:rsidRPr="001A3D2B">
        <w:t xml:space="preserve">Full Text: </w:t>
      </w:r>
      <w:hyperlink r:id="rId1023" w:history="1">
        <w:r w:rsidRPr="001A3D2B">
          <w:rPr>
            <w:rStyle w:val="a5"/>
            <w:iCs/>
          </w:rPr>
          <w:t>2005\Con Cli Tri26, 510.pdf</w:t>
        </w:r>
      </w:hyperlink>
    </w:p>
    <w:p w:rsidR="003474F2" w:rsidRPr="001A3D2B" w:rsidRDefault="003474F2" w:rsidP="003474F2">
      <w:pPr>
        <w:pStyle w:val="a3"/>
      </w:pPr>
      <w:r w:rsidRPr="001A3D2B">
        <w:t>Keywords: Evidence</w:t>
      </w:r>
    </w:p>
    <w:p w:rsidR="007B3821" w:rsidRDefault="007B3821" w:rsidP="007B3821">
      <w:pPr>
        <w:pStyle w:val="a3"/>
        <w:rPr>
          <w:kern w:val="0"/>
        </w:rPr>
      </w:pPr>
      <w:r>
        <w:rPr>
          <w:rFonts w:hint="eastAsia"/>
          <w:kern w:val="0"/>
        </w:rPr>
        <w:t xml:space="preserve">? </w:t>
      </w:r>
      <w:r>
        <w:rPr>
          <w:kern w:val="0"/>
        </w:rPr>
        <w:t>Dumville, J.C., Hahn, S., Miles, J.N.V.</w:t>
      </w:r>
      <w:r w:rsidR="005853A9">
        <w:rPr>
          <w:kern w:val="0"/>
        </w:rPr>
        <w:t xml:space="preserve"> and </w:t>
      </w:r>
      <w:r>
        <w:rPr>
          <w:kern w:val="0"/>
        </w:rPr>
        <w:t>Torgerson, D.J. (2006</w:t>
      </w:r>
      <w:r w:rsidR="00F42EAC">
        <w:rPr>
          <w:kern w:val="0"/>
        </w:rPr>
        <w:t>), The</w:t>
      </w:r>
      <w:r w:rsidR="003A1917">
        <w:rPr>
          <w:kern w:val="0"/>
        </w:rPr>
        <w:t xml:space="preserve"> </w:t>
      </w:r>
      <w:r>
        <w:rPr>
          <w:kern w:val="0"/>
        </w:rPr>
        <w:t>use</w:t>
      </w:r>
      <w:r w:rsidR="00427468">
        <w:rPr>
          <w:kern w:val="0"/>
        </w:rPr>
        <w:t xml:space="preserve"> of </w:t>
      </w:r>
      <w:r>
        <w:rPr>
          <w:kern w:val="0"/>
        </w:rPr>
        <w:t xml:space="preserve">unequal randomisation ratios in clinical trials: A review. </w:t>
      </w:r>
      <w:r>
        <w:rPr>
          <w:i/>
          <w:iCs/>
          <w:kern w:val="0"/>
        </w:rPr>
        <w:t>Contemporary Clinical Trials</w:t>
      </w:r>
      <w:r>
        <w:rPr>
          <w:kern w:val="0"/>
        </w:rPr>
        <w:t xml:space="preserve">, </w:t>
      </w:r>
      <w:r>
        <w:rPr>
          <w:b/>
          <w:bCs/>
          <w:kern w:val="0"/>
        </w:rPr>
        <w:t>27</w:t>
      </w:r>
      <w:r>
        <w:rPr>
          <w:kern w:val="0"/>
        </w:rPr>
        <w:t xml:space="preserve"> (1), 1-12.</w:t>
      </w:r>
    </w:p>
    <w:p w:rsidR="007B3821" w:rsidRPr="001A3D2B" w:rsidRDefault="007B3821" w:rsidP="007B3821">
      <w:pPr>
        <w:pStyle w:val="a3"/>
      </w:pPr>
      <w:r w:rsidRPr="001A3D2B">
        <w:t xml:space="preserve">Full Text: </w:t>
      </w:r>
      <w:hyperlink r:id="rId1024" w:history="1">
        <w:r w:rsidRPr="004746E6">
          <w:rPr>
            <w:rStyle w:val="a5"/>
          </w:rPr>
          <w:t>2006\Con Cli Tri27, 1.pdf</w:t>
        </w:r>
      </w:hyperlink>
    </w:p>
    <w:p w:rsidR="007B3821" w:rsidRDefault="007B3821" w:rsidP="007B3821">
      <w:pPr>
        <w:pStyle w:val="a3"/>
        <w:rPr>
          <w:kern w:val="0"/>
        </w:rPr>
      </w:pPr>
      <w:r>
        <w:rPr>
          <w:kern w:val="0"/>
        </w:rPr>
        <w:t>Abstract: Objective: To examine reasons given for</w:t>
      </w:r>
      <w:r w:rsidR="003A1917">
        <w:rPr>
          <w:kern w:val="0"/>
        </w:rPr>
        <w:t xml:space="preserve"> the </w:t>
      </w:r>
      <w:r>
        <w:rPr>
          <w:kern w:val="0"/>
        </w:rPr>
        <w:t>use</w:t>
      </w:r>
      <w:r w:rsidR="00427468">
        <w:rPr>
          <w:kern w:val="0"/>
        </w:rPr>
        <w:t xml:space="preserve"> of </w:t>
      </w:r>
      <w:r>
        <w:rPr>
          <w:kern w:val="0"/>
        </w:rPr>
        <w:t>unequal randomisation in randomised controlled trials (RCTs). Main Measures: Setting</w:t>
      </w:r>
      <w:r w:rsidR="00427468">
        <w:rPr>
          <w:kern w:val="0"/>
        </w:rPr>
        <w:t xml:space="preserve"> of </w:t>
      </w:r>
      <w:r w:rsidR="003A1917">
        <w:rPr>
          <w:kern w:val="0"/>
        </w:rPr>
        <w:t xml:space="preserve">the </w:t>
      </w:r>
      <w:r>
        <w:rPr>
          <w:kern w:val="0"/>
        </w:rPr>
        <w:t>trial; intervention being tested; randomisation ratio; sample size calculation; reason given for randomisation. Methods: Review</w:t>
      </w:r>
      <w:r w:rsidR="00427468">
        <w:rPr>
          <w:kern w:val="0"/>
        </w:rPr>
        <w:t xml:space="preserve"> of </w:t>
      </w:r>
      <w:r>
        <w:rPr>
          <w:kern w:val="0"/>
        </w:rPr>
        <w:t>trials using unequal randomisation. Databases</w:t>
      </w:r>
      <w:r w:rsidR="005853A9">
        <w:rPr>
          <w:kern w:val="0"/>
        </w:rPr>
        <w:t xml:space="preserve"> and </w:t>
      </w:r>
      <w:r>
        <w:rPr>
          <w:kern w:val="0"/>
        </w:rPr>
        <w:t xml:space="preserve">sources: Cochrane library, </w:t>
      </w:r>
      <w:r w:rsidR="00D5664A">
        <w:rPr>
          <w:kern w:val="0"/>
        </w:rPr>
        <w:t>MEDLINE</w:t>
      </w:r>
      <w:r>
        <w:rPr>
          <w:kern w:val="0"/>
        </w:rPr>
        <w:t>, Pub Med</w:t>
      </w:r>
      <w:r w:rsidR="005853A9">
        <w:rPr>
          <w:kern w:val="0"/>
        </w:rPr>
        <w:t xml:space="preserve"> and </w:t>
      </w:r>
      <w:r>
        <w:rPr>
          <w:kern w:val="0"/>
        </w:rPr>
        <w:t>Science Citation Index. Results: A total</w:t>
      </w:r>
      <w:r w:rsidR="00427468">
        <w:rPr>
          <w:kern w:val="0"/>
        </w:rPr>
        <w:t xml:space="preserve"> of </w:t>
      </w:r>
      <w:r>
        <w:rPr>
          <w:kern w:val="0"/>
        </w:rPr>
        <w:t>65 trials were identified; 56 were two-armed trials</w:t>
      </w:r>
      <w:r w:rsidR="005853A9">
        <w:rPr>
          <w:kern w:val="0"/>
        </w:rPr>
        <w:t xml:space="preserve"> and </w:t>
      </w:r>
      <w:r>
        <w:rPr>
          <w:kern w:val="0"/>
        </w:rPr>
        <w:t>nine trials had more than two arms.</w:t>
      </w:r>
      <w:r w:rsidR="00427468">
        <w:rPr>
          <w:kern w:val="0"/>
        </w:rPr>
        <w:t xml:space="preserve"> of </w:t>
      </w:r>
      <w:r w:rsidR="003A1917">
        <w:rPr>
          <w:kern w:val="0"/>
        </w:rPr>
        <w:t xml:space="preserve">the </w:t>
      </w:r>
      <w:r>
        <w:rPr>
          <w:kern w:val="0"/>
        </w:rPr>
        <w:t>two-arm trials, 50 trials recruited patients in favour</w:t>
      </w:r>
      <w:r w:rsidR="00427468">
        <w:rPr>
          <w:kern w:val="0"/>
        </w:rPr>
        <w:t xml:space="preserve"> of </w:t>
      </w:r>
      <w:r w:rsidR="003A1917">
        <w:rPr>
          <w:kern w:val="0"/>
        </w:rPr>
        <w:t xml:space="preserve">the </w:t>
      </w:r>
      <w:r>
        <w:rPr>
          <w:kern w:val="0"/>
        </w:rPr>
        <w:t>experimental group. Various reasons for</w:t>
      </w:r>
      <w:r w:rsidR="003A1917">
        <w:rPr>
          <w:kern w:val="0"/>
        </w:rPr>
        <w:t xml:space="preserve"> the </w:t>
      </w:r>
      <w:r>
        <w:rPr>
          <w:kern w:val="0"/>
        </w:rPr>
        <w:t>use</w:t>
      </w:r>
      <w:r w:rsidR="00427468">
        <w:rPr>
          <w:kern w:val="0"/>
        </w:rPr>
        <w:t xml:space="preserve"> of </w:t>
      </w:r>
      <w:r>
        <w:rPr>
          <w:kern w:val="0"/>
        </w:rPr>
        <w:t>unequal randomisation were given. Six studies stated that they used unequal randomisation to reduce</w:t>
      </w:r>
      <w:r w:rsidR="003A1917">
        <w:rPr>
          <w:kern w:val="0"/>
        </w:rPr>
        <w:t xml:space="preserve"> the </w:t>
      </w:r>
      <w:r>
        <w:rPr>
          <w:kern w:val="0"/>
        </w:rPr>
        <w:t>cost</w:t>
      </w:r>
      <w:r w:rsidR="00427468">
        <w:rPr>
          <w:kern w:val="0"/>
        </w:rPr>
        <w:t xml:space="preserve"> of </w:t>
      </w:r>
      <w:r w:rsidR="003A1917">
        <w:rPr>
          <w:kern w:val="0"/>
        </w:rPr>
        <w:t xml:space="preserve">the </w:t>
      </w:r>
      <w:r>
        <w:rPr>
          <w:kern w:val="0"/>
        </w:rPr>
        <w:t>trial, with one screening trial limited by</w:t>
      </w:r>
      <w:r w:rsidR="003A1917">
        <w:rPr>
          <w:kern w:val="0"/>
        </w:rPr>
        <w:t xml:space="preserve"> the </w:t>
      </w:r>
      <w:r>
        <w:rPr>
          <w:kern w:val="0"/>
        </w:rPr>
        <w:t>availability</w:t>
      </w:r>
      <w:r w:rsidR="00427468">
        <w:rPr>
          <w:kern w:val="0"/>
        </w:rPr>
        <w:t xml:space="preserve"> of </w:t>
      </w:r>
      <w:r w:rsidR="003A1917">
        <w:rPr>
          <w:kern w:val="0"/>
        </w:rPr>
        <w:t xml:space="preserve">the </w:t>
      </w:r>
      <w:r>
        <w:rPr>
          <w:kern w:val="0"/>
        </w:rPr>
        <w:t>intervention. Other reasons for using unequal allocation were: avoiding loss</w:t>
      </w:r>
      <w:r w:rsidR="00427468">
        <w:rPr>
          <w:kern w:val="0"/>
        </w:rPr>
        <w:t xml:space="preserve"> of </w:t>
      </w:r>
      <w:r>
        <w:rPr>
          <w:kern w:val="0"/>
        </w:rPr>
        <w:t>power from drop-out or crossover, ethics</w:t>
      </w:r>
      <w:r w:rsidR="005853A9">
        <w:rPr>
          <w:kern w:val="0"/>
        </w:rPr>
        <w:t xml:space="preserve"> and </w:t>
      </w:r>
      <w:r w:rsidR="003A1917">
        <w:rPr>
          <w:kern w:val="0"/>
        </w:rPr>
        <w:t xml:space="preserve">the </w:t>
      </w:r>
      <w:r>
        <w:rPr>
          <w:kern w:val="0"/>
        </w:rPr>
        <w:t>gaining</w:t>
      </w:r>
      <w:r w:rsidR="00427468">
        <w:rPr>
          <w:kern w:val="0"/>
        </w:rPr>
        <w:t xml:space="preserve"> of </w:t>
      </w:r>
      <w:r>
        <w:rPr>
          <w:kern w:val="0"/>
        </w:rPr>
        <w:t>additional information on</w:t>
      </w:r>
      <w:r w:rsidR="003A1917">
        <w:rPr>
          <w:kern w:val="0"/>
        </w:rPr>
        <w:t xml:space="preserve"> the </w:t>
      </w:r>
      <w:r>
        <w:rPr>
          <w:kern w:val="0"/>
        </w:rPr>
        <w:t>treatment. Thirty seven trials papers (57%) did not state why they had used unequal randomisation</w:t>
      </w:r>
      <w:r w:rsidR="005853A9">
        <w:rPr>
          <w:kern w:val="0"/>
        </w:rPr>
        <w:t xml:space="preserve"> and </w:t>
      </w:r>
      <w:r>
        <w:rPr>
          <w:kern w:val="0"/>
        </w:rPr>
        <w:t>only 14 trials (22%) appeared to have taken</w:t>
      </w:r>
      <w:r w:rsidR="003A1917">
        <w:rPr>
          <w:kern w:val="0"/>
        </w:rPr>
        <w:t xml:space="preserve"> the </w:t>
      </w:r>
      <w:r>
        <w:rPr>
          <w:kern w:val="0"/>
        </w:rPr>
        <w:t>unequal randomisation into account in their sample size calculation. Conclusion: Although unequal randomisation offers a number</w:t>
      </w:r>
      <w:r w:rsidR="00427468">
        <w:rPr>
          <w:kern w:val="0"/>
        </w:rPr>
        <w:t xml:space="preserve"> of </w:t>
      </w:r>
      <w:r>
        <w:rPr>
          <w:kern w:val="0"/>
        </w:rPr>
        <w:t>advantages to trials</w:t>
      </w:r>
      <w:r w:rsidR="003A1917">
        <w:rPr>
          <w:kern w:val="0"/>
        </w:rPr>
        <w:t xml:space="preserve"> the </w:t>
      </w:r>
      <w:r>
        <w:rPr>
          <w:kern w:val="0"/>
        </w:rPr>
        <w:t>method is rarely used</w:t>
      </w:r>
      <w:r w:rsidR="005853A9">
        <w:rPr>
          <w:kern w:val="0"/>
        </w:rPr>
        <w:t xml:space="preserve"> and </w:t>
      </w:r>
      <w:r>
        <w:rPr>
          <w:kern w:val="0"/>
        </w:rPr>
        <w:t xml:space="preserve">is especially under-utilised to reduce trial costs. Unequal randomisation </w:t>
      </w:r>
      <w:r>
        <w:rPr>
          <w:kern w:val="0"/>
        </w:rPr>
        <w:lastRenderedPageBreak/>
        <w:t>should be considered more in trial design especially where there are large differences between treatment costs. (c) 2005 Elsevier Inc. All rights reserved.</w:t>
      </w:r>
    </w:p>
    <w:p w:rsidR="007B3821" w:rsidRDefault="007B3821" w:rsidP="007B3821">
      <w:pPr>
        <w:pStyle w:val="a3"/>
        <w:rPr>
          <w:kern w:val="0"/>
        </w:rPr>
      </w:pPr>
      <w:r>
        <w:rPr>
          <w:kern w:val="0"/>
        </w:rPr>
        <w:t xml:space="preserve">Keywords: Abdominal Hysterectomy, Alzheimers-Disease, Children, Chronic Hepatitis-C, Citation, Clinical Trials, Colorectal-Cancer, Combination Therapy, Costs, Databases, Double-Blind, Efficacy, Elsevier, Ethics, Hypertensive Patients, Intervention, </w:t>
      </w:r>
      <w:r w:rsidR="00D5664A">
        <w:rPr>
          <w:kern w:val="0"/>
        </w:rPr>
        <w:t>MEDLINE</w:t>
      </w:r>
      <w:r>
        <w:rPr>
          <w:kern w:val="0"/>
        </w:rPr>
        <w:t>, Multicenter Trial, Randomised Controlled Trials, Review, Science, Science Citation Index, Screening, State, Treatment, Unequal Randomisation</w:t>
      </w:r>
    </w:p>
    <w:p w:rsidR="00E008E0" w:rsidRDefault="00E008E0" w:rsidP="00E008E0">
      <w:pPr>
        <w:pStyle w:val="a3"/>
        <w:rPr>
          <w:kern w:val="0"/>
          <w:szCs w:val="24"/>
        </w:rPr>
      </w:pPr>
      <w:r>
        <w:rPr>
          <w:rFonts w:hint="eastAsia"/>
          <w:kern w:val="0"/>
          <w:szCs w:val="24"/>
        </w:rPr>
        <w:t xml:space="preserve">? </w:t>
      </w:r>
      <w:r>
        <w:rPr>
          <w:kern w:val="0"/>
          <w:szCs w:val="24"/>
        </w:rPr>
        <w:t>Schellings, R., Kessels, A.G., ter Riet, G., Knottnerus, J.A.</w:t>
      </w:r>
      <w:r w:rsidR="005853A9">
        <w:rPr>
          <w:kern w:val="0"/>
          <w:szCs w:val="24"/>
        </w:rPr>
        <w:t xml:space="preserve"> and </w:t>
      </w:r>
      <w:r>
        <w:rPr>
          <w:kern w:val="0"/>
          <w:szCs w:val="24"/>
        </w:rPr>
        <w:t xml:space="preserve">Sturmans, F. (2006), Randomized consent designs in randomized controlled trials: Systematic literature search. </w:t>
      </w:r>
      <w:r>
        <w:rPr>
          <w:i/>
          <w:iCs/>
          <w:kern w:val="0"/>
          <w:szCs w:val="24"/>
        </w:rPr>
        <w:t>Contemporary Clinical Trials</w:t>
      </w:r>
      <w:r>
        <w:rPr>
          <w:kern w:val="0"/>
          <w:szCs w:val="24"/>
        </w:rPr>
        <w:t xml:space="preserve">, </w:t>
      </w:r>
      <w:r>
        <w:rPr>
          <w:b/>
          <w:bCs/>
          <w:kern w:val="0"/>
          <w:szCs w:val="24"/>
        </w:rPr>
        <w:t>27</w:t>
      </w:r>
      <w:r>
        <w:rPr>
          <w:kern w:val="0"/>
          <w:szCs w:val="24"/>
        </w:rPr>
        <w:t xml:space="preserve"> (4), 320-332.</w:t>
      </w:r>
    </w:p>
    <w:p w:rsidR="00F1350C" w:rsidRPr="001A3D2B" w:rsidRDefault="00F1350C" w:rsidP="00F1350C">
      <w:pPr>
        <w:pStyle w:val="a3"/>
      </w:pPr>
      <w:r w:rsidRPr="001A3D2B">
        <w:t xml:space="preserve">Full Text: </w:t>
      </w:r>
      <w:hyperlink r:id="rId1025" w:history="1">
        <w:r w:rsidRPr="00D9478F">
          <w:rPr>
            <w:rStyle w:val="a5"/>
          </w:rPr>
          <w:t>2006\Con Cli Tri27, 320.pdf</w:t>
        </w:r>
      </w:hyperlink>
    </w:p>
    <w:p w:rsidR="00E008E0" w:rsidRDefault="00E008E0" w:rsidP="00E008E0">
      <w:pPr>
        <w:pStyle w:val="a3"/>
        <w:rPr>
          <w:kern w:val="0"/>
          <w:szCs w:val="24"/>
        </w:rPr>
      </w:pPr>
      <w:r>
        <w:rPr>
          <w:kern w:val="0"/>
          <w:szCs w:val="24"/>
        </w:rPr>
        <w:t>Abstract: Background: Three types</w:t>
      </w:r>
      <w:r w:rsidR="00427468">
        <w:rPr>
          <w:kern w:val="0"/>
          <w:szCs w:val="24"/>
        </w:rPr>
        <w:t xml:space="preserve"> of </w:t>
      </w:r>
      <w:r>
        <w:rPr>
          <w:kern w:val="0"/>
          <w:szCs w:val="24"/>
        </w:rPr>
        <w:t>randomized consent designs are distinguished</w:t>
      </w:r>
      <w:r w:rsidR="005853A9">
        <w:rPr>
          <w:kern w:val="0"/>
          <w:szCs w:val="24"/>
        </w:rPr>
        <w:t xml:space="preserve"> and </w:t>
      </w:r>
      <w:r>
        <w:rPr>
          <w:kern w:val="0"/>
          <w:szCs w:val="24"/>
        </w:rPr>
        <w:t>ranked according to</w:t>
      </w:r>
      <w:r w:rsidR="003A1917">
        <w:rPr>
          <w:kern w:val="0"/>
          <w:szCs w:val="24"/>
        </w:rPr>
        <w:t xml:space="preserve"> the </w:t>
      </w:r>
      <w:r>
        <w:rPr>
          <w:kern w:val="0"/>
          <w:szCs w:val="24"/>
        </w:rPr>
        <w:t>extent to which participants are informed about treatment options: single-consent (those in</w:t>
      </w:r>
      <w:r w:rsidR="003A1917">
        <w:rPr>
          <w:kern w:val="0"/>
          <w:szCs w:val="24"/>
        </w:rPr>
        <w:t xml:space="preserve"> the </w:t>
      </w:r>
      <w:r>
        <w:rPr>
          <w:kern w:val="0"/>
          <w:szCs w:val="24"/>
        </w:rPr>
        <w:t>experimental group learn about their assigned treatment), incomplete-double-consent (all participants learn about their assigned treatment),</w:t>
      </w:r>
      <w:r w:rsidR="005853A9">
        <w:rPr>
          <w:kern w:val="0"/>
          <w:szCs w:val="24"/>
        </w:rPr>
        <w:t xml:space="preserve"> and </w:t>
      </w:r>
      <w:r>
        <w:rPr>
          <w:kern w:val="0"/>
          <w:szCs w:val="24"/>
        </w:rPr>
        <w:t>complete-double-consent (all participants team about all treatments studied). All are methodologically, ethically,</w:t>
      </w:r>
      <w:r w:rsidR="005853A9">
        <w:rPr>
          <w:kern w:val="0"/>
          <w:szCs w:val="24"/>
        </w:rPr>
        <w:t xml:space="preserve"> and </w:t>
      </w:r>
      <w:r>
        <w:rPr>
          <w:kern w:val="0"/>
          <w:szCs w:val="24"/>
        </w:rPr>
        <w:t>judicially controversial. Even so, their use is justified if blinding is deemed necessary, but impossible to achieve by sham procedures (placebo),</w:t>
      </w:r>
      <w:r w:rsidR="005853A9">
        <w:rPr>
          <w:kern w:val="0"/>
          <w:szCs w:val="24"/>
        </w:rPr>
        <w:t xml:space="preserve"> and </w:t>
      </w:r>
      <w:r>
        <w:rPr>
          <w:kern w:val="0"/>
          <w:szCs w:val="24"/>
        </w:rPr>
        <w:t>experimental treatment seems attractive to potential participants. Objective:</w:t>
      </w:r>
      <w:r w:rsidR="003A1917">
        <w:rPr>
          <w:kern w:val="0"/>
          <w:szCs w:val="24"/>
        </w:rPr>
        <w:t xml:space="preserve"> the </w:t>
      </w:r>
      <w:r>
        <w:rPr>
          <w:kern w:val="0"/>
          <w:szCs w:val="24"/>
        </w:rPr>
        <w:t>aim</w:t>
      </w:r>
      <w:r w:rsidR="00427468">
        <w:rPr>
          <w:kern w:val="0"/>
          <w:szCs w:val="24"/>
        </w:rPr>
        <w:t xml:space="preserve"> of </w:t>
      </w:r>
      <w:r>
        <w:rPr>
          <w:kern w:val="0"/>
          <w:szCs w:val="24"/>
        </w:rPr>
        <w:t>this study is to give a comprehensive overview</w:t>
      </w:r>
      <w:r w:rsidR="00427468">
        <w:rPr>
          <w:kern w:val="0"/>
          <w:szCs w:val="24"/>
        </w:rPr>
        <w:t xml:space="preserve"> of </w:t>
      </w:r>
      <w:r w:rsidR="003A1917">
        <w:rPr>
          <w:kern w:val="0"/>
          <w:szCs w:val="24"/>
        </w:rPr>
        <w:t xml:space="preserve">the </w:t>
      </w:r>
      <w:r>
        <w:rPr>
          <w:kern w:val="0"/>
          <w:szCs w:val="24"/>
        </w:rPr>
        <w:t>use</w:t>
      </w:r>
      <w:r w:rsidR="00427468">
        <w:rPr>
          <w:kern w:val="0"/>
          <w:szCs w:val="24"/>
        </w:rPr>
        <w:t xml:space="preserve"> of </w:t>
      </w:r>
      <w:r>
        <w:rPr>
          <w:kern w:val="0"/>
          <w:szCs w:val="24"/>
        </w:rPr>
        <w:t xml:space="preserve">randomized consent designs. Data sources are </w:t>
      </w:r>
      <w:r w:rsidR="00D5664A">
        <w:rPr>
          <w:kern w:val="0"/>
          <w:szCs w:val="24"/>
        </w:rPr>
        <w:t>MEDLINE</w:t>
      </w:r>
      <w:r>
        <w:rPr>
          <w:kern w:val="0"/>
          <w:szCs w:val="24"/>
        </w:rPr>
        <w:t xml:space="preserve"> (1/1977-2/2003), EMBASE (1/1984-2/2003), PsycINFO (1/1996-2/2003</w:t>
      </w:r>
      <w:r w:rsidR="00F42EAC">
        <w:rPr>
          <w:kern w:val="0"/>
          <w:szCs w:val="24"/>
        </w:rPr>
        <w:t>), The</w:t>
      </w:r>
      <w:r w:rsidR="003A1917">
        <w:rPr>
          <w:kern w:val="0"/>
          <w:szCs w:val="24"/>
        </w:rPr>
        <w:t xml:space="preserve"> </w:t>
      </w:r>
      <w:r>
        <w:rPr>
          <w:kern w:val="0"/>
          <w:szCs w:val="24"/>
        </w:rPr>
        <w:t>Cochrane Library,</w:t>
      </w:r>
      <w:r w:rsidR="005853A9">
        <w:rPr>
          <w:kern w:val="0"/>
          <w:szCs w:val="24"/>
        </w:rPr>
        <w:t xml:space="preserve"> and </w:t>
      </w:r>
      <w:r w:rsidR="003A1917">
        <w:rPr>
          <w:kern w:val="0"/>
          <w:szCs w:val="24"/>
        </w:rPr>
        <w:t xml:space="preserve">the </w:t>
      </w:r>
      <w:r>
        <w:rPr>
          <w:kern w:val="0"/>
          <w:szCs w:val="24"/>
        </w:rPr>
        <w:t>Science Citation Index database. Review methods: Eligible were studies using a randomized consent design. Cluster randomized trials were excluded. One reviewer selected</w:t>
      </w:r>
      <w:r w:rsidR="005853A9">
        <w:rPr>
          <w:kern w:val="0"/>
          <w:szCs w:val="24"/>
        </w:rPr>
        <w:t xml:space="preserve"> and </w:t>
      </w:r>
      <w:r>
        <w:rPr>
          <w:kern w:val="0"/>
          <w:szCs w:val="24"/>
        </w:rPr>
        <w:t>data-extracted eligible papers. A second reviewer independently data-extracted 10%</w:t>
      </w:r>
      <w:r w:rsidR="00427468">
        <w:rPr>
          <w:kern w:val="0"/>
          <w:szCs w:val="24"/>
        </w:rPr>
        <w:t xml:space="preserve"> of </w:t>
      </w:r>
      <w:r w:rsidR="003A1917">
        <w:rPr>
          <w:kern w:val="0"/>
          <w:szCs w:val="24"/>
        </w:rPr>
        <w:t xml:space="preserve">the </w:t>
      </w:r>
      <w:r>
        <w:rPr>
          <w:kern w:val="0"/>
          <w:szCs w:val="24"/>
        </w:rPr>
        <w:t>papers. Data on country</w:t>
      </w:r>
      <w:r w:rsidR="00427468">
        <w:rPr>
          <w:kern w:val="0"/>
          <w:szCs w:val="24"/>
        </w:rPr>
        <w:t xml:space="preserve"> of </w:t>
      </w:r>
      <w:r>
        <w:rPr>
          <w:kern w:val="0"/>
          <w:szCs w:val="24"/>
        </w:rPr>
        <w:t>study conduct, year</w:t>
      </w:r>
      <w:r w:rsidR="00427468">
        <w:rPr>
          <w:kern w:val="0"/>
          <w:szCs w:val="24"/>
        </w:rPr>
        <w:t xml:space="preserve"> of </w:t>
      </w:r>
      <w:r>
        <w:rPr>
          <w:kern w:val="0"/>
          <w:szCs w:val="24"/>
        </w:rPr>
        <w:t>commencement, area</w:t>
      </w:r>
      <w:r w:rsidR="00427468">
        <w:rPr>
          <w:kern w:val="0"/>
          <w:szCs w:val="24"/>
        </w:rPr>
        <w:t xml:space="preserve"> of </w:t>
      </w:r>
      <w:r>
        <w:rPr>
          <w:kern w:val="0"/>
          <w:szCs w:val="24"/>
        </w:rPr>
        <w:t>medicine, type</w:t>
      </w:r>
      <w:r w:rsidR="00427468">
        <w:rPr>
          <w:kern w:val="0"/>
          <w:szCs w:val="24"/>
        </w:rPr>
        <w:t xml:space="preserve"> of </w:t>
      </w:r>
      <w:r>
        <w:rPr>
          <w:kern w:val="0"/>
          <w:szCs w:val="24"/>
        </w:rPr>
        <w:t>design, reason(s) for use, details on approval by a research ethics committee,</w:t>
      </w:r>
      <w:r w:rsidR="003A1917">
        <w:rPr>
          <w:kern w:val="0"/>
          <w:szCs w:val="24"/>
        </w:rPr>
        <w:t xml:space="preserve"> the </w:t>
      </w:r>
      <w:r>
        <w:rPr>
          <w:kern w:val="0"/>
          <w:szCs w:val="24"/>
        </w:rPr>
        <w:t>index</w:t>
      </w:r>
      <w:r w:rsidR="005853A9">
        <w:rPr>
          <w:kern w:val="0"/>
          <w:szCs w:val="24"/>
        </w:rPr>
        <w:t xml:space="preserve"> and </w:t>
      </w:r>
      <w:r>
        <w:rPr>
          <w:kern w:val="0"/>
          <w:szCs w:val="24"/>
        </w:rPr>
        <w:t>reference intervention, nature</w:t>
      </w:r>
      <w:r w:rsidR="00427468">
        <w:rPr>
          <w:kern w:val="0"/>
          <w:szCs w:val="24"/>
        </w:rPr>
        <w:t xml:space="preserve"> of </w:t>
      </w:r>
      <w:r>
        <w:rPr>
          <w:kern w:val="0"/>
          <w:szCs w:val="24"/>
        </w:rPr>
        <w:t>endpoints,</w:t>
      </w:r>
      <w:r w:rsidR="005853A9">
        <w:rPr>
          <w:kern w:val="0"/>
          <w:szCs w:val="24"/>
        </w:rPr>
        <w:t xml:space="preserve"> and </w:t>
      </w:r>
      <w:r>
        <w:rPr>
          <w:kern w:val="0"/>
          <w:szCs w:val="24"/>
        </w:rPr>
        <w:t>details on collection</w:t>
      </w:r>
      <w:r w:rsidR="00427468">
        <w:rPr>
          <w:kern w:val="0"/>
          <w:szCs w:val="24"/>
        </w:rPr>
        <w:t xml:space="preserve"> of </w:t>
      </w:r>
      <w:r>
        <w:rPr>
          <w:kern w:val="0"/>
          <w:szCs w:val="24"/>
        </w:rPr>
        <w:t>data were extracted. Furthermore, for each trial,</w:t>
      </w:r>
      <w:r w:rsidR="003A1917">
        <w:rPr>
          <w:kern w:val="0"/>
          <w:szCs w:val="24"/>
        </w:rPr>
        <w:t xml:space="preserve"> the </w:t>
      </w:r>
      <w:r>
        <w:rPr>
          <w:kern w:val="0"/>
          <w:szCs w:val="24"/>
        </w:rPr>
        <w:t>rates</w:t>
      </w:r>
      <w:r w:rsidR="00427468">
        <w:rPr>
          <w:kern w:val="0"/>
          <w:szCs w:val="24"/>
        </w:rPr>
        <w:t xml:space="preserve"> of </w:t>
      </w:r>
      <w:r>
        <w:rPr>
          <w:kern w:val="0"/>
          <w:szCs w:val="24"/>
        </w:rPr>
        <w:t>non-compliance</w:t>
      </w:r>
      <w:r w:rsidR="005853A9">
        <w:rPr>
          <w:kern w:val="0"/>
          <w:szCs w:val="24"/>
        </w:rPr>
        <w:t xml:space="preserve"> and </w:t>
      </w:r>
      <w:r>
        <w:rPr>
          <w:kern w:val="0"/>
          <w:szCs w:val="24"/>
        </w:rPr>
        <w:t>loss to follow-up were registered by treatment arm</w:t>
      </w:r>
      <w:r w:rsidR="00A37C1D">
        <w:rPr>
          <w:kern w:val="0"/>
          <w:szCs w:val="24"/>
        </w:rPr>
        <w:t>. The</w:t>
      </w:r>
      <w:r w:rsidR="003A1917">
        <w:rPr>
          <w:kern w:val="0"/>
          <w:szCs w:val="24"/>
        </w:rPr>
        <w:t xml:space="preserve"> </w:t>
      </w:r>
      <w:r>
        <w:rPr>
          <w:kern w:val="0"/>
          <w:szCs w:val="24"/>
        </w:rPr>
        <w:t>three types</w:t>
      </w:r>
      <w:r w:rsidR="00427468">
        <w:rPr>
          <w:kern w:val="0"/>
          <w:szCs w:val="24"/>
        </w:rPr>
        <w:t xml:space="preserve"> of </w:t>
      </w:r>
      <w:r>
        <w:rPr>
          <w:kern w:val="0"/>
          <w:szCs w:val="24"/>
        </w:rPr>
        <w:t>randomized consent designs were compared as to differences between</w:t>
      </w:r>
      <w:r w:rsidR="003A1917">
        <w:rPr>
          <w:kern w:val="0"/>
          <w:szCs w:val="24"/>
        </w:rPr>
        <w:t xml:space="preserve"> the </w:t>
      </w:r>
      <w:r>
        <w:rPr>
          <w:kern w:val="0"/>
          <w:szCs w:val="24"/>
        </w:rPr>
        <w:t>rates</w:t>
      </w:r>
      <w:r w:rsidR="00427468">
        <w:rPr>
          <w:kern w:val="0"/>
          <w:szCs w:val="24"/>
        </w:rPr>
        <w:t xml:space="preserve"> of </w:t>
      </w:r>
      <w:r>
        <w:rPr>
          <w:kern w:val="0"/>
          <w:szCs w:val="24"/>
        </w:rPr>
        <w:t>non-compliance</w:t>
      </w:r>
      <w:r w:rsidR="005853A9">
        <w:rPr>
          <w:kern w:val="0"/>
          <w:szCs w:val="24"/>
        </w:rPr>
        <w:t xml:space="preserve"> and </w:t>
      </w:r>
      <w:r>
        <w:rPr>
          <w:kern w:val="0"/>
          <w:szCs w:val="24"/>
        </w:rPr>
        <w:t>loss to follow-up in</w:t>
      </w:r>
      <w:r w:rsidR="003A1917">
        <w:rPr>
          <w:kern w:val="0"/>
          <w:szCs w:val="24"/>
        </w:rPr>
        <w:t xml:space="preserve"> the </w:t>
      </w:r>
      <w:r>
        <w:rPr>
          <w:kern w:val="0"/>
          <w:szCs w:val="24"/>
        </w:rPr>
        <w:t>separate trial arms. Results: Randomized consent designs are seldom used (n = 50). When used, they have often been used in</w:t>
      </w:r>
      <w:r w:rsidR="003A1917">
        <w:rPr>
          <w:kern w:val="0"/>
          <w:szCs w:val="24"/>
        </w:rPr>
        <w:t xml:space="preserve"> the </w:t>
      </w:r>
      <w:r>
        <w:rPr>
          <w:kern w:val="0"/>
          <w:szCs w:val="24"/>
        </w:rPr>
        <w:t>wrong circumstances (misuse). In 65%</w:t>
      </w:r>
      <w:r w:rsidR="00427468">
        <w:rPr>
          <w:kern w:val="0"/>
          <w:szCs w:val="24"/>
        </w:rPr>
        <w:t xml:space="preserve"> of </w:t>
      </w:r>
      <w:r w:rsidR="003A1917">
        <w:rPr>
          <w:kern w:val="0"/>
          <w:szCs w:val="24"/>
        </w:rPr>
        <w:t xml:space="preserve">the </w:t>
      </w:r>
      <w:r>
        <w:rPr>
          <w:kern w:val="0"/>
          <w:szCs w:val="24"/>
        </w:rPr>
        <w:t>studies</w:t>
      </w:r>
      <w:r w:rsidR="003A1917">
        <w:rPr>
          <w:kern w:val="0"/>
          <w:szCs w:val="24"/>
        </w:rPr>
        <w:t xml:space="preserve"> the </w:t>
      </w:r>
      <w:r>
        <w:rPr>
          <w:kern w:val="0"/>
          <w:szCs w:val="24"/>
        </w:rPr>
        <w:t>non-compliance in</w:t>
      </w:r>
      <w:r w:rsidR="003A1917">
        <w:rPr>
          <w:kern w:val="0"/>
          <w:szCs w:val="24"/>
        </w:rPr>
        <w:t xml:space="preserve"> the </w:t>
      </w:r>
      <w:r>
        <w:rPr>
          <w:kern w:val="0"/>
          <w:szCs w:val="24"/>
        </w:rPr>
        <w:t>index group is larger than in</w:t>
      </w:r>
      <w:r w:rsidR="003A1917">
        <w:rPr>
          <w:kern w:val="0"/>
          <w:szCs w:val="24"/>
        </w:rPr>
        <w:t xml:space="preserve"> the </w:t>
      </w:r>
      <w:r>
        <w:rPr>
          <w:kern w:val="0"/>
          <w:szCs w:val="24"/>
        </w:rPr>
        <w:t>reference group. Contrary toexpectation, trials using</w:t>
      </w:r>
      <w:r w:rsidR="003A1917">
        <w:rPr>
          <w:kern w:val="0"/>
          <w:szCs w:val="24"/>
        </w:rPr>
        <w:t xml:space="preserve"> the </w:t>
      </w:r>
      <w:r>
        <w:rPr>
          <w:kern w:val="0"/>
          <w:szCs w:val="24"/>
        </w:rPr>
        <w:t>incomplete-double design were associated with significantly higher rates</w:t>
      </w:r>
      <w:r w:rsidR="00427468">
        <w:rPr>
          <w:kern w:val="0"/>
          <w:szCs w:val="24"/>
        </w:rPr>
        <w:t xml:space="preserve"> of </w:t>
      </w:r>
      <w:r>
        <w:rPr>
          <w:kern w:val="0"/>
          <w:szCs w:val="24"/>
        </w:rPr>
        <w:t>non-compliance</w:t>
      </w:r>
      <w:r w:rsidR="005853A9">
        <w:rPr>
          <w:kern w:val="0"/>
          <w:szCs w:val="24"/>
        </w:rPr>
        <w:t xml:space="preserve"> and </w:t>
      </w:r>
      <w:r>
        <w:rPr>
          <w:kern w:val="0"/>
          <w:szCs w:val="24"/>
        </w:rPr>
        <w:t>loss to follow-up in</w:t>
      </w:r>
      <w:r w:rsidR="003A1917">
        <w:rPr>
          <w:kern w:val="0"/>
          <w:szCs w:val="24"/>
        </w:rPr>
        <w:t xml:space="preserve"> the </w:t>
      </w:r>
      <w:r>
        <w:rPr>
          <w:kern w:val="0"/>
          <w:szCs w:val="24"/>
        </w:rPr>
        <w:t>reference groups than trials employing</w:t>
      </w:r>
      <w:r w:rsidR="003A1917">
        <w:rPr>
          <w:kern w:val="0"/>
          <w:szCs w:val="24"/>
        </w:rPr>
        <w:t xml:space="preserve"> the </w:t>
      </w:r>
      <w:r>
        <w:rPr>
          <w:kern w:val="0"/>
          <w:szCs w:val="24"/>
        </w:rPr>
        <w:t>other two versions. Conclusion: Trialists</w:t>
      </w:r>
      <w:r w:rsidR="005853A9">
        <w:rPr>
          <w:kern w:val="0"/>
          <w:szCs w:val="24"/>
        </w:rPr>
        <w:t xml:space="preserve"> and </w:t>
      </w:r>
      <w:r>
        <w:rPr>
          <w:kern w:val="0"/>
          <w:szCs w:val="24"/>
        </w:rPr>
        <w:lastRenderedPageBreak/>
        <w:t>physicians should be aware</w:t>
      </w:r>
      <w:r w:rsidR="00427468">
        <w:rPr>
          <w:kern w:val="0"/>
          <w:szCs w:val="24"/>
        </w:rPr>
        <w:t xml:space="preserve"> of </w:t>
      </w:r>
      <w:r w:rsidR="003A1917">
        <w:rPr>
          <w:kern w:val="0"/>
          <w:szCs w:val="24"/>
        </w:rPr>
        <w:t xml:space="preserve">the </w:t>
      </w:r>
      <w:r>
        <w:rPr>
          <w:kern w:val="0"/>
          <w:szCs w:val="24"/>
        </w:rPr>
        <w:t>proper indication for</w:t>
      </w:r>
      <w:r w:rsidR="003A1917">
        <w:rPr>
          <w:kern w:val="0"/>
          <w:szCs w:val="24"/>
        </w:rPr>
        <w:t xml:space="preserve"> the </w:t>
      </w:r>
      <w:r>
        <w:rPr>
          <w:kern w:val="0"/>
          <w:szCs w:val="24"/>
        </w:rPr>
        <w:t>use</w:t>
      </w:r>
      <w:r w:rsidR="00427468">
        <w:rPr>
          <w:kern w:val="0"/>
          <w:szCs w:val="24"/>
        </w:rPr>
        <w:t xml:space="preserve"> of </w:t>
      </w:r>
      <w:r>
        <w:rPr>
          <w:kern w:val="0"/>
          <w:szCs w:val="24"/>
        </w:rPr>
        <w:t>randomized consent designs. (c) 2005 Elsevier Inc. All rights reserved.</w:t>
      </w:r>
    </w:p>
    <w:p w:rsidR="00E008E0" w:rsidRDefault="00E008E0" w:rsidP="00E008E0">
      <w:pPr>
        <w:pStyle w:val="a3"/>
        <w:rPr>
          <w:kern w:val="0"/>
          <w:szCs w:val="24"/>
        </w:rPr>
      </w:pPr>
      <w:r>
        <w:rPr>
          <w:kern w:val="0"/>
          <w:szCs w:val="24"/>
        </w:rPr>
        <w:t>Keywords: Active Rheumatoid-Arthritis, Advanced Breast-Cancer, Cancer Cooperative Group, Citation, Clinical-Trials, Collection, Colorectal-Cancer, Comparing Total Mastectomy, Consent, Country, Data, Database, Design, Ethics, Ethics Committee, Experimental, Experimental Treatment, Follow</w:t>
      </w:r>
      <w:r w:rsidR="0062028A">
        <w:rPr>
          <w:kern w:val="0"/>
          <w:szCs w:val="24"/>
        </w:rPr>
        <w:t>-up,</w:t>
      </w:r>
      <w:r>
        <w:rPr>
          <w:kern w:val="0"/>
          <w:szCs w:val="24"/>
        </w:rPr>
        <w:t xml:space="preserve"> Index, Indication, Informed Consent, Intervention, Literature, Medicine, </w:t>
      </w:r>
      <w:r w:rsidR="00D5664A">
        <w:rPr>
          <w:kern w:val="0"/>
          <w:szCs w:val="24"/>
        </w:rPr>
        <w:t>MEDLINE</w:t>
      </w:r>
      <w:r>
        <w:rPr>
          <w:kern w:val="0"/>
          <w:szCs w:val="24"/>
        </w:rPr>
        <w:t>, Methods, Options, Papers, Patient Education, Physicians, Placebo, Postoperative Adjuvant Chemotherapy, Potential, Pre-Randomization, Primary-Care, Procedures, Prostate-Cancer, Psycinfo, Randomized, Randomized Consent Design, Randomized Controlled Trials, Rates, Reference, Research, Research Ethics, Review Research Ethics, Rights, Science, Science Citation Index, Sources, Systematic Literature Search, Treatment, Trial, Zelen Design</w:t>
      </w:r>
    </w:p>
    <w:p w:rsidR="00C87883" w:rsidRPr="00185FC5" w:rsidRDefault="00C87883" w:rsidP="00C87883">
      <w:pPr>
        <w:pStyle w:val="a3"/>
      </w:pPr>
      <w:r>
        <w:rPr>
          <w:rFonts w:hint="eastAsia"/>
        </w:rPr>
        <w:t xml:space="preserve">? </w:t>
      </w:r>
      <w:r w:rsidRPr="00185FC5">
        <w:t xml:space="preserve">Tan, M.H., Thomas, M. and MacEachern, M.P. (2015), Using registries to recruit subjects for clinical trials. </w:t>
      </w:r>
      <w:r w:rsidRPr="00185FC5">
        <w:rPr>
          <w:i/>
          <w:iCs/>
        </w:rPr>
        <w:t>Contemporary Clinical Trials</w:t>
      </w:r>
      <w:r w:rsidRPr="00185FC5">
        <w:t xml:space="preserve">, </w:t>
      </w:r>
      <w:r w:rsidRPr="00185FC5">
        <w:rPr>
          <w:b/>
          <w:bCs/>
        </w:rPr>
        <w:t>41</w:t>
      </w:r>
      <w:r w:rsidRPr="00185FC5">
        <w:t>, 31-38.</w:t>
      </w:r>
    </w:p>
    <w:p w:rsidR="00C87883" w:rsidRDefault="00C87883" w:rsidP="00C87883">
      <w:pPr>
        <w:pStyle w:val="a3"/>
      </w:pPr>
      <w:r w:rsidRPr="001A3D2B">
        <w:t xml:space="preserve">Full Text: </w:t>
      </w:r>
      <w:hyperlink r:id="rId1026" w:history="1">
        <w:r w:rsidRPr="00C87883">
          <w:rPr>
            <w:rStyle w:val="a5"/>
          </w:rPr>
          <w:t>2015\Con Cli Tri41, 31.pdf</w:t>
        </w:r>
      </w:hyperlink>
    </w:p>
    <w:p w:rsidR="00C87883" w:rsidRPr="00185FC5" w:rsidRDefault="00C87883" w:rsidP="00C87883">
      <w:pPr>
        <w:pStyle w:val="a3"/>
      </w:pPr>
      <w:r w:rsidRPr="00185FC5">
        <w:t>Abstract: Aim: We studied the use of patient/disease registries to recruit potential subjects for prospective clinical trials describing the number, types and major benefits of using this approach. Methods: In December 2013, we conducted a focused database search in PubMed, EMBASE, and Web of Science for studies (English language only) that used registries to recruit subjects for clinical trials published in 2004-2013. Of the 233 unique citations identified, 21 used registries to recruit subjects 10 papers and 11 abstracts. Pearling and search for subsequent full papers of the abstracts identified 4 more papers. Results: Our analysis, based on these 25 citations, showed that 14 are related to cancer, 3 to diabetes mellitus, 1 each to stroke, asthma, and celiac disease and 5 are disease neutral. Many types of registries (population-based cancer, quality improvement, disease-specific, web-based disease-neutral registries, local general practice registers, and national health database) are used to recruit subjects for clinical trials and uncover new knowledge. Overall, 16 registries are in the US, 4 in UK, 1 each in Canada, Spain, and Australia and I involved in many countries. Registries can identify very large number of subjects for screening for eligibility for clinical trials, especially in very large trials, rare disease trials, and trials involving minority patients. Conclusions: Registries can retrospectively identify very large numbers of potential subjects for screening for eligibility and enrollment in prospective clinical trials. This matching can lead to more timely recruitment and help solve a major problem in conducting clinical trials. (C) 2014 Elsevier Inc. All rights reserved.</w:t>
      </w:r>
    </w:p>
    <w:p w:rsidR="00C87883" w:rsidRPr="00185FC5" w:rsidRDefault="00C87883" w:rsidP="00C87883">
      <w:pPr>
        <w:pStyle w:val="a3"/>
      </w:pPr>
      <w:r w:rsidRPr="00185FC5">
        <w:t>Keywords: Analysis</w:t>
      </w:r>
      <w:r>
        <w:t xml:space="preserve">, </w:t>
      </w:r>
      <w:r w:rsidRPr="00185FC5">
        <w:t>Approach</w:t>
      </w:r>
      <w:r>
        <w:t xml:space="preserve">, </w:t>
      </w:r>
      <w:r w:rsidRPr="00185FC5">
        <w:t>Asthma</w:t>
      </w:r>
      <w:r>
        <w:t xml:space="preserve">, </w:t>
      </w:r>
      <w:r w:rsidRPr="00185FC5">
        <w:t>Australia</w:t>
      </w:r>
      <w:r>
        <w:t xml:space="preserve">, </w:t>
      </w:r>
      <w:r w:rsidRPr="00185FC5">
        <w:t>Breast-Cancer Survivors</w:t>
      </w:r>
      <w:r>
        <w:t xml:space="preserve">, </w:t>
      </w:r>
      <w:r w:rsidRPr="00185FC5">
        <w:t>Canada</w:t>
      </w:r>
      <w:r>
        <w:t xml:space="preserve">, </w:t>
      </w:r>
      <w:r w:rsidRPr="00185FC5">
        <w:t>Cancer</w:t>
      </w:r>
      <w:r>
        <w:t xml:space="preserve">, </w:t>
      </w:r>
      <w:r w:rsidRPr="00185FC5">
        <w:t>Citations</w:t>
      </w:r>
      <w:r>
        <w:t xml:space="preserve">, </w:t>
      </w:r>
      <w:r w:rsidRPr="00185FC5">
        <w:t>Clinical</w:t>
      </w:r>
      <w:r>
        <w:t xml:space="preserve">, </w:t>
      </w:r>
      <w:r w:rsidRPr="00185FC5">
        <w:t>Clinical Trials</w:t>
      </w:r>
      <w:r>
        <w:t xml:space="preserve">, </w:t>
      </w:r>
      <w:r w:rsidRPr="00185FC5">
        <w:t>Contact Registry</w:t>
      </w:r>
      <w:r>
        <w:t xml:space="preserve">, </w:t>
      </w:r>
      <w:r w:rsidRPr="00185FC5">
        <w:t>Database</w:t>
      </w:r>
      <w:r>
        <w:t xml:space="preserve">, </w:t>
      </w:r>
      <w:r w:rsidRPr="00185FC5">
        <w:t>Diabetes</w:t>
      </w:r>
      <w:r>
        <w:t xml:space="preserve">, </w:t>
      </w:r>
      <w:r w:rsidRPr="00185FC5">
        <w:lastRenderedPageBreak/>
        <w:t>Diabetes Mellitus</w:t>
      </w:r>
      <w:r>
        <w:t xml:space="preserve">, </w:t>
      </w:r>
      <w:r w:rsidRPr="00185FC5">
        <w:t>Disease</w:t>
      </w:r>
      <w:r>
        <w:t xml:space="preserve">, </w:t>
      </w:r>
      <w:r w:rsidRPr="00185FC5">
        <w:t>Exercise Trial</w:t>
      </w:r>
      <w:r>
        <w:t xml:space="preserve">, </w:t>
      </w:r>
      <w:r w:rsidRPr="00185FC5">
        <w:t>General</w:t>
      </w:r>
      <w:r>
        <w:t xml:space="preserve">, </w:t>
      </w:r>
      <w:r w:rsidRPr="00185FC5">
        <w:t>General Practice</w:t>
      </w:r>
      <w:r>
        <w:t xml:space="preserve">, </w:t>
      </w:r>
      <w:r w:rsidRPr="00185FC5">
        <w:t>Health</w:t>
      </w:r>
      <w:r>
        <w:t xml:space="preserve">, </w:t>
      </w:r>
      <w:r w:rsidRPr="00185FC5">
        <w:t>Improvement</w:t>
      </w:r>
      <w:r>
        <w:t xml:space="preserve">, </w:t>
      </w:r>
      <w:r w:rsidRPr="00185FC5">
        <w:t>Knowledge</w:t>
      </w:r>
      <w:r>
        <w:t xml:space="preserve">, </w:t>
      </w:r>
      <w:r w:rsidRPr="00185FC5">
        <w:t>Lead</w:t>
      </w:r>
      <w:r>
        <w:t xml:space="preserve">, </w:t>
      </w:r>
      <w:r w:rsidRPr="00185FC5">
        <w:t>Local</w:t>
      </w:r>
      <w:r>
        <w:t xml:space="preserve">, </w:t>
      </w:r>
      <w:r w:rsidRPr="00185FC5">
        <w:t>Mar</w:t>
      </w:r>
      <w:r>
        <w:t xml:space="preserve">, </w:t>
      </w:r>
      <w:r w:rsidRPr="00185FC5">
        <w:t>Papers</w:t>
      </w:r>
      <w:r>
        <w:t xml:space="preserve">, </w:t>
      </w:r>
      <w:r w:rsidRPr="00185FC5">
        <w:t>Participants</w:t>
      </w:r>
      <w:r>
        <w:t xml:space="preserve">, </w:t>
      </w:r>
      <w:r w:rsidRPr="00185FC5">
        <w:t>Patient Registries</w:t>
      </w:r>
      <w:r>
        <w:t xml:space="preserve">, </w:t>
      </w:r>
      <w:r w:rsidRPr="00185FC5">
        <w:t>Patients</w:t>
      </w:r>
      <w:r>
        <w:t xml:space="preserve">, </w:t>
      </w:r>
      <w:r w:rsidRPr="00185FC5">
        <w:t>Population Based</w:t>
      </w:r>
      <w:r>
        <w:t xml:space="preserve">, </w:t>
      </w:r>
      <w:r w:rsidRPr="00185FC5">
        <w:t>Population-Based</w:t>
      </w:r>
      <w:r>
        <w:t xml:space="preserve">, </w:t>
      </w:r>
      <w:r w:rsidRPr="00185FC5">
        <w:t>Potential</w:t>
      </w:r>
      <w:r>
        <w:t xml:space="preserve">, </w:t>
      </w:r>
      <w:r w:rsidRPr="00185FC5">
        <w:t>Practice</w:t>
      </w:r>
      <w:r>
        <w:t xml:space="preserve">, </w:t>
      </w:r>
      <w:r w:rsidRPr="00185FC5">
        <w:t>Prospective</w:t>
      </w:r>
      <w:r>
        <w:t xml:space="preserve">, </w:t>
      </w:r>
      <w:r w:rsidRPr="00185FC5">
        <w:t>Pubmed</w:t>
      </w:r>
      <w:r>
        <w:t xml:space="preserve">, </w:t>
      </w:r>
      <w:r w:rsidRPr="00185FC5">
        <w:t>Quality</w:t>
      </w:r>
      <w:r>
        <w:t xml:space="preserve">, </w:t>
      </w:r>
      <w:r w:rsidRPr="00185FC5">
        <w:t>Quality Improvement</w:t>
      </w:r>
      <w:r>
        <w:t xml:space="preserve">, </w:t>
      </w:r>
      <w:r w:rsidRPr="00185FC5">
        <w:t>Randomized Controlled-Trial</w:t>
      </w:r>
      <w:r>
        <w:t xml:space="preserve">, </w:t>
      </w:r>
      <w:r w:rsidRPr="00185FC5">
        <w:t>Recruitment</w:t>
      </w:r>
      <w:r>
        <w:t xml:space="preserve">, </w:t>
      </w:r>
      <w:r w:rsidRPr="00185FC5">
        <w:t>Recruitment Of Subjects</w:t>
      </w:r>
      <w:r>
        <w:t xml:space="preserve">, </w:t>
      </w:r>
      <w:r w:rsidRPr="00185FC5">
        <w:t>Registries</w:t>
      </w:r>
      <w:r>
        <w:t xml:space="preserve">, </w:t>
      </w:r>
      <w:r w:rsidRPr="00185FC5">
        <w:t>Retention</w:t>
      </w:r>
      <w:r>
        <w:t xml:space="preserve">, </w:t>
      </w:r>
      <w:r w:rsidRPr="00185FC5">
        <w:t>Rights</w:t>
      </w:r>
      <w:r>
        <w:t xml:space="preserve">, </w:t>
      </w:r>
      <w:r w:rsidRPr="00185FC5">
        <w:t>Science</w:t>
      </w:r>
      <w:r>
        <w:t xml:space="preserve">, </w:t>
      </w:r>
      <w:r w:rsidRPr="00185FC5">
        <w:t>Screening</w:t>
      </w:r>
      <w:r>
        <w:t xml:space="preserve">, </w:t>
      </w:r>
      <w:r w:rsidRPr="00185FC5">
        <w:t>Spain</w:t>
      </w:r>
      <w:r>
        <w:t xml:space="preserve">, </w:t>
      </w:r>
      <w:r w:rsidRPr="00185FC5">
        <w:t>Stroke</w:t>
      </w:r>
      <w:r>
        <w:t xml:space="preserve">, </w:t>
      </w:r>
      <w:r w:rsidRPr="00185FC5">
        <w:t>UK</w:t>
      </w:r>
      <w:r>
        <w:t xml:space="preserve">, </w:t>
      </w:r>
      <w:r w:rsidRPr="00185FC5">
        <w:t>US</w:t>
      </w:r>
      <w:r>
        <w:t xml:space="preserve">, </w:t>
      </w:r>
      <w:r w:rsidRPr="00185FC5">
        <w:t>Volunteers</w:t>
      </w:r>
      <w:r>
        <w:t xml:space="preserve">, </w:t>
      </w:r>
      <w:r w:rsidRPr="00185FC5">
        <w:t>Web Of Science</w:t>
      </w:r>
    </w:p>
    <w:p w:rsidR="0041253D" w:rsidRPr="001A3D2B" w:rsidRDefault="0041253D" w:rsidP="0041253D">
      <w:pPr>
        <w:pStyle w:val="1"/>
      </w:pPr>
      <w:r w:rsidRPr="001A3D2B">
        <w:br w:type="page"/>
      </w:r>
      <w:bookmarkStart w:id="401" w:name="_Toc420815112"/>
      <w:r w:rsidRPr="001A3D2B">
        <w:lastRenderedPageBreak/>
        <w:t xml:space="preserve">Title: </w:t>
      </w:r>
      <w:r w:rsidRPr="0041253D">
        <w:rPr>
          <w:iCs w:val="0"/>
          <w:szCs w:val="24"/>
        </w:rPr>
        <w:t>Contemporary Educational Psychology</w:t>
      </w:r>
      <w:bookmarkEnd w:id="401"/>
    </w:p>
    <w:p w:rsidR="0041253D" w:rsidRPr="001A3D2B" w:rsidRDefault="0041253D" w:rsidP="0041253D">
      <w:pPr>
        <w:pStyle w:val="12"/>
      </w:pPr>
      <w:r w:rsidRPr="001A3D2B">
        <w:t xml:space="preserve">Full Journal Title: </w:t>
      </w:r>
      <w:r w:rsidRPr="0041253D">
        <w:rPr>
          <w:iCs/>
          <w:kern w:val="0"/>
        </w:rPr>
        <w:t>Contemporary Educational Psychology</w:t>
      </w:r>
    </w:p>
    <w:p w:rsidR="0041253D" w:rsidRPr="001A3D2B" w:rsidRDefault="0041253D" w:rsidP="0041253D">
      <w:pPr>
        <w:pStyle w:val="12"/>
      </w:pPr>
      <w:r w:rsidRPr="001A3D2B">
        <w:t xml:space="preserve">ISO Abbreviated Title: </w:t>
      </w:r>
    </w:p>
    <w:p w:rsidR="0041253D" w:rsidRPr="001A3D2B" w:rsidRDefault="0041253D" w:rsidP="0041253D">
      <w:pPr>
        <w:pStyle w:val="12"/>
      </w:pPr>
      <w:r w:rsidRPr="001A3D2B">
        <w:t xml:space="preserve">JCR Abbreviated Title: </w:t>
      </w:r>
    </w:p>
    <w:p w:rsidR="0041253D" w:rsidRPr="001A3D2B" w:rsidRDefault="0041253D" w:rsidP="0041253D">
      <w:pPr>
        <w:pStyle w:val="12"/>
      </w:pPr>
      <w:r w:rsidRPr="001A3D2B">
        <w:t xml:space="preserve">ISSN: </w:t>
      </w:r>
    </w:p>
    <w:p w:rsidR="0041253D" w:rsidRPr="001A3D2B" w:rsidRDefault="0041253D" w:rsidP="0041253D">
      <w:pPr>
        <w:pStyle w:val="12"/>
      </w:pPr>
      <w:r w:rsidRPr="001A3D2B">
        <w:t xml:space="preserve">Issues/Year: </w:t>
      </w:r>
    </w:p>
    <w:p w:rsidR="0041253D" w:rsidRPr="001A3D2B" w:rsidRDefault="0041253D" w:rsidP="0041253D">
      <w:pPr>
        <w:pStyle w:val="12"/>
      </w:pPr>
      <w:r w:rsidRPr="001A3D2B">
        <w:t xml:space="preserve">Journal Country/Territory: </w:t>
      </w:r>
    </w:p>
    <w:p w:rsidR="0041253D" w:rsidRPr="001A3D2B" w:rsidRDefault="0041253D" w:rsidP="0041253D">
      <w:pPr>
        <w:pStyle w:val="12"/>
      </w:pPr>
      <w:r w:rsidRPr="001A3D2B">
        <w:t xml:space="preserve">Language: </w:t>
      </w:r>
    </w:p>
    <w:p w:rsidR="0041253D" w:rsidRPr="001A3D2B" w:rsidRDefault="0041253D" w:rsidP="0041253D">
      <w:pPr>
        <w:pStyle w:val="12"/>
      </w:pPr>
      <w:r w:rsidRPr="001A3D2B">
        <w:t xml:space="preserve">Publisher: </w:t>
      </w:r>
    </w:p>
    <w:p w:rsidR="0041253D" w:rsidRPr="001A3D2B" w:rsidRDefault="0041253D" w:rsidP="0041253D">
      <w:pPr>
        <w:pStyle w:val="12"/>
      </w:pPr>
      <w:r w:rsidRPr="001A3D2B">
        <w:t xml:space="preserve">Publisher Address: </w:t>
      </w:r>
    </w:p>
    <w:p w:rsidR="0041253D" w:rsidRPr="001A3D2B" w:rsidRDefault="0041253D" w:rsidP="0041253D">
      <w:pPr>
        <w:pStyle w:val="12"/>
      </w:pPr>
      <w:r w:rsidRPr="001A3D2B">
        <w:t xml:space="preserve">Subject Categories: </w:t>
      </w:r>
    </w:p>
    <w:p w:rsidR="0041253D" w:rsidRPr="001A3D2B" w:rsidRDefault="0041253D" w:rsidP="0041253D">
      <w:pPr>
        <w:pStyle w:val="12"/>
      </w:pPr>
      <w:r w:rsidRPr="001A3D2B">
        <w:t>: Impact Factor</w:t>
      </w:r>
    </w:p>
    <w:p w:rsidR="0041253D" w:rsidRDefault="0041253D" w:rsidP="0041253D">
      <w:pPr>
        <w:pStyle w:val="a3"/>
        <w:rPr>
          <w:kern w:val="0"/>
          <w:szCs w:val="24"/>
        </w:rPr>
      </w:pPr>
      <w:r>
        <w:rPr>
          <w:rFonts w:hint="eastAsia"/>
          <w:kern w:val="0"/>
          <w:szCs w:val="24"/>
        </w:rPr>
        <w:t xml:space="preserve">? </w:t>
      </w:r>
      <w:r>
        <w:rPr>
          <w:kern w:val="0"/>
          <w:szCs w:val="24"/>
        </w:rPr>
        <w:t>Chambliss, M., Bong, M., Greene, B., Kauffman, D., Loyens, S.</w:t>
      </w:r>
      <w:r w:rsidR="005853A9">
        <w:rPr>
          <w:kern w:val="0"/>
          <w:szCs w:val="24"/>
        </w:rPr>
        <w:t xml:space="preserve"> and </w:t>
      </w:r>
      <w:r>
        <w:rPr>
          <w:kern w:val="0"/>
          <w:szCs w:val="24"/>
        </w:rPr>
        <w:t>Van Meter, P. (2010), Building trust by eliminating plagiarism: White paper from</w:t>
      </w:r>
      <w:r w:rsidR="003A1917">
        <w:rPr>
          <w:kern w:val="0"/>
          <w:szCs w:val="24"/>
        </w:rPr>
        <w:t xml:space="preserve"> the </w:t>
      </w:r>
      <w:r>
        <w:rPr>
          <w:kern w:val="0"/>
          <w:szCs w:val="24"/>
        </w:rPr>
        <w:t xml:space="preserve">AD HOC committee on plagiarism. </w:t>
      </w:r>
      <w:r w:rsidRPr="0041253D">
        <w:rPr>
          <w:i/>
          <w:iCs/>
          <w:kern w:val="0"/>
          <w:szCs w:val="24"/>
        </w:rPr>
        <w:t>Contemporary Educational Psychology</w:t>
      </w:r>
      <w:r>
        <w:rPr>
          <w:kern w:val="0"/>
          <w:szCs w:val="24"/>
        </w:rPr>
        <w:t xml:space="preserve">, </w:t>
      </w:r>
      <w:r>
        <w:rPr>
          <w:b/>
          <w:bCs/>
          <w:kern w:val="0"/>
          <w:szCs w:val="24"/>
        </w:rPr>
        <w:t>35</w:t>
      </w:r>
      <w:r>
        <w:rPr>
          <w:kern w:val="0"/>
          <w:szCs w:val="24"/>
        </w:rPr>
        <w:t xml:space="preserve"> (2), 103-107</w:t>
      </w:r>
      <w:r>
        <w:rPr>
          <w:rFonts w:hint="eastAsia"/>
          <w:kern w:val="0"/>
          <w:szCs w:val="24"/>
        </w:rPr>
        <w:t>.</w:t>
      </w:r>
    </w:p>
    <w:p w:rsidR="0041253D" w:rsidRDefault="0041253D" w:rsidP="0041253D">
      <w:pPr>
        <w:pStyle w:val="a3"/>
        <w:rPr>
          <w:kern w:val="0"/>
          <w:szCs w:val="24"/>
        </w:rPr>
      </w:pPr>
      <w:r>
        <w:rPr>
          <w:kern w:val="0"/>
          <w:szCs w:val="24"/>
        </w:rPr>
        <w:t>Keywords: Plagiarism</w:t>
      </w:r>
    </w:p>
    <w:p w:rsidR="00F97A63" w:rsidRPr="001A3D2B" w:rsidRDefault="00F97A63" w:rsidP="00F97A63">
      <w:pPr>
        <w:pStyle w:val="1"/>
      </w:pPr>
      <w:r w:rsidRPr="001A3D2B">
        <w:br w:type="page"/>
      </w:r>
      <w:bookmarkStart w:id="402" w:name="_Toc420815113"/>
      <w:r w:rsidRPr="001A3D2B">
        <w:lastRenderedPageBreak/>
        <w:t xml:space="preserve">Title: </w:t>
      </w:r>
      <w:r w:rsidRPr="00FC5EFC">
        <w:t>Contemporary Physics</w:t>
      </w:r>
      <w:bookmarkEnd w:id="402"/>
    </w:p>
    <w:p w:rsidR="00F97A63" w:rsidRPr="001A3D2B" w:rsidRDefault="00F97A63" w:rsidP="00F97A63">
      <w:pPr>
        <w:pStyle w:val="12"/>
      </w:pPr>
      <w:r w:rsidRPr="001A3D2B">
        <w:t xml:space="preserve">Full Journal Title: </w:t>
      </w:r>
      <w:r w:rsidRPr="00FC5EFC">
        <w:rPr>
          <w:iCs/>
          <w:kern w:val="0"/>
        </w:rPr>
        <w:t>Contemporary Physics</w:t>
      </w:r>
    </w:p>
    <w:p w:rsidR="00F97A63" w:rsidRPr="001A3D2B" w:rsidRDefault="00F97A63" w:rsidP="00F97A63">
      <w:pPr>
        <w:pStyle w:val="12"/>
      </w:pPr>
      <w:r w:rsidRPr="001A3D2B">
        <w:t xml:space="preserve">ISO Abbreviated Title: </w:t>
      </w:r>
    </w:p>
    <w:p w:rsidR="00F97A63" w:rsidRPr="001A3D2B" w:rsidRDefault="00F97A63" w:rsidP="00F97A63">
      <w:pPr>
        <w:pStyle w:val="12"/>
      </w:pPr>
      <w:r w:rsidRPr="001A3D2B">
        <w:t xml:space="preserve">JCR Abbreviated Title: </w:t>
      </w:r>
    </w:p>
    <w:p w:rsidR="00F97A63" w:rsidRPr="001A3D2B" w:rsidRDefault="00F97A63" w:rsidP="00F97A63">
      <w:pPr>
        <w:pStyle w:val="12"/>
      </w:pPr>
      <w:r w:rsidRPr="001A3D2B">
        <w:t xml:space="preserve">ISSN: </w:t>
      </w:r>
    </w:p>
    <w:p w:rsidR="00F97A63" w:rsidRPr="001A3D2B" w:rsidRDefault="00F97A63" w:rsidP="00F97A63">
      <w:pPr>
        <w:pStyle w:val="12"/>
      </w:pPr>
      <w:r w:rsidRPr="001A3D2B">
        <w:t xml:space="preserve">Issues/Year: </w:t>
      </w:r>
    </w:p>
    <w:p w:rsidR="00F97A63" w:rsidRPr="001A3D2B" w:rsidRDefault="00F97A63" w:rsidP="00F97A63">
      <w:pPr>
        <w:pStyle w:val="12"/>
      </w:pPr>
      <w:r w:rsidRPr="001A3D2B">
        <w:t xml:space="preserve">Journal Country/Territory: </w:t>
      </w:r>
    </w:p>
    <w:p w:rsidR="00F97A63" w:rsidRPr="001A3D2B" w:rsidRDefault="00F97A63" w:rsidP="00F97A63">
      <w:pPr>
        <w:pStyle w:val="12"/>
      </w:pPr>
      <w:r w:rsidRPr="001A3D2B">
        <w:t xml:space="preserve">Language: </w:t>
      </w:r>
    </w:p>
    <w:p w:rsidR="00F97A63" w:rsidRPr="001A3D2B" w:rsidRDefault="00F97A63" w:rsidP="00F97A63">
      <w:pPr>
        <w:pStyle w:val="12"/>
      </w:pPr>
      <w:r w:rsidRPr="001A3D2B">
        <w:t xml:space="preserve">Publisher: </w:t>
      </w:r>
    </w:p>
    <w:p w:rsidR="00F97A63" w:rsidRPr="001A3D2B" w:rsidRDefault="00F97A63" w:rsidP="00F97A63">
      <w:pPr>
        <w:pStyle w:val="12"/>
      </w:pPr>
      <w:r w:rsidRPr="001A3D2B">
        <w:t xml:space="preserve">Publisher Address: </w:t>
      </w:r>
    </w:p>
    <w:p w:rsidR="00F97A63" w:rsidRPr="001A3D2B" w:rsidRDefault="00F97A63" w:rsidP="00F97A63">
      <w:pPr>
        <w:pStyle w:val="12"/>
      </w:pPr>
      <w:r w:rsidRPr="001A3D2B">
        <w:t xml:space="preserve">Subject Categories: </w:t>
      </w:r>
    </w:p>
    <w:p w:rsidR="00F97A63" w:rsidRPr="001A3D2B" w:rsidRDefault="00F97A63" w:rsidP="00F97A63">
      <w:pPr>
        <w:pStyle w:val="12"/>
      </w:pPr>
      <w:r w:rsidRPr="001A3D2B">
        <w:t>: Impact Factor</w:t>
      </w:r>
    </w:p>
    <w:p w:rsidR="00F97A63" w:rsidRDefault="00F97A63" w:rsidP="00F97A63">
      <w:pPr>
        <w:pStyle w:val="a3"/>
        <w:rPr>
          <w:kern w:val="0"/>
        </w:rPr>
      </w:pPr>
      <w:r>
        <w:rPr>
          <w:rFonts w:hint="eastAsia"/>
          <w:kern w:val="0"/>
        </w:rPr>
        <w:t xml:space="preserve">? </w:t>
      </w:r>
      <w:r>
        <w:rPr>
          <w:kern w:val="0"/>
        </w:rPr>
        <w:t>Newman, M.E.J. (2005), Power laws, Pareto distributions</w:t>
      </w:r>
      <w:r w:rsidR="005853A9">
        <w:rPr>
          <w:kern w:val="0"/>
        </w:rPr>
        <w:t xml:space="preserve"> and </w:t>
      </w:r>
      <w:r>
        <w:rPr>
          <w:kern w:val="0"/>
        </w:rPr>
        <w:t>Zipf</w:t>
      </w:r>
      <w:r w:rsidR="0071223E">
        <w:rPr>
          <w:kern w:val="0"/>
        </w:rPr>
        <w:t>’</w:t>
      </w:r>
      <w:r>
        <w:rPr>
          <w:kern w:val="0"/>
        </w:rPr>
        <w:t xml:space="preserve">s law. </w:t>
      </w:r>
      <w:r w:rsidRPr="00FC5EFC">
        <w:rPr>
          <w:i/>
          <w:iCs/>
          <w:kern w:val="0"/>
        </w:rPr>
        <w:t>Contemporary Physics</w:t>
      </w:r>
      <w:r>
        <w:rPr>
          <w:kern w:val="0"/>
        </w:rPr>
        <w:t xml:space="preserve">, </w:t>
      </w:r>
      <w:r>
        <w:rPr>
          <w:b/>
          <w:bCs/>
          <w:kern w:val="0"/>
        </w:rPr>
        <w:t>46</w:t>
      </w:r>
      <w:r>
        <w:rPr>
          <w:kern w:val="0"/>
        </w:rPr>
        <w:t xml:space="preserve"> (5), 323-351.</w:t>
      </w:r>
    </w:p>
    <w:p w:rsidR="00F97A63" w:rsidRDefault="00F97A63" w:rsidP="00F97A63">
      <w:pPr>
        <w:pStyle w:val="a3"/>
        <w:rPr>
          <w:kern w:val="0"/>
        </w:rPr>
      </w:pPr>
      <w:r>
        <w:rPr>
          <w:rFonts w:hint="eastAsia"/>
          <w:kern w:val="0"/>
        </w:rPr>
        <w:t xml:space="preserve">Full Text: </w:t>
      </w:r>
      <w:hyperlink r:id="rId1027" w:history="1">
        <w:r w:rsidRPr="00FC5EFC">
          <w:rPr>
            <w:rStyle w:val="a5"/>
            <w:kern w:val="0"/>
          </w:rPr>
          <w:t>2005\Con Phy46, 323.pdf</w:t>
        </w:r>
      </w:hyperlink>
    </w:p>
    <w:p w:rsidR="00F97A63" w:rsidRDefault="00F97A63" w:rsidP="00F97A63">
      <w:pPr>
        <w:pStyle w:val="a3"/>
        <w:rPr>
          <w:kern w:val="0"/>
        </w:rPr>
      </w:pPr>
      <w:r>
        <w:rPr>
          <w:kern w:val="0"/>
        </w:rPr>
        <w:t>Abstract: When</w:t>
      </w:r>
      <w:r w:rsidR="003A1917">
        <w:rPr>
          <w:kern w:val="0"/>
        </w:rPr>
        <w:t xml:space="preserve"> the </w:t>
      </w:r>
      <w:r>
        <w:rPr>
          <w:kern w:val="0"/>
        </w:rPr>
        <w:t>probability</w:t>
      </w:r>
      <w:r w:rsidR="00427468">
        <w:rPr>
          <w:kern w:val="0"/>
        </w:rPr>
        <w:t xml:space="preserve"> of </w:t>
      </w:r>
      <w:r>
        <w:rPr>
          <w:kern w:val="0"/>
        </w:rPr>
        <w:t>measuring a particular value</w:t>
      </w:r>
      <w:r w:rsidR="00427468">
        <w:rPr>
          <w:kern w:val="0"/>
        </w:rPr>
        <w:t xml:space="preserve"> of </w:t>
      </w:r>
      <w:r>
        <w:rPr>
          <w:kern w:val="0"/>
        </w:rPr>
        <w:t>some quantity varies inversely as a power</w:t>
      </w:r>
      <w:r w:rsidR="00427468">
        <w:rPr>
          <w:kern w:val="0"/>
        </w:rPr>
        <w:t xml:space="preserve"> of </w:t>
      </w:r>
      <w:r>
        <w:rPr>
          <w:kern w:val="0"/>
        </w:rPr>
        <w:t>that value,</w:t>
      </w:r>
      <w:r w:rsidR="003A1917">
        <w:rPr>
          <w:kern w:val="0"/>
        </w:rPr>
        <w:t xml:space="preserve"> the </w:t>
      </w:r>
      <w:r>
        <w:rPr>
          <w:kern w:val="0"/>
        </w:rPr>
        <w:t>quantity is said to follow a power law, also known variously as Zipf</w:t>
      </w:r>
      <w:r w:rsidR="0071223E">
        <w:rPr>
          <w:kern w:val="0"/>
        </w:rPr>
        <w:t>’</w:t>
      </w:r>
      <w:r>
        <w:rPr>
          <w:kern w:val="0"/>
        </w:rPr>
        <w:t>s law or</w:t>
      </w:r>
      <w:r w:rsidR="003A1917">
        <w:rPr>
          <w:kern w:val="0"/>
        </w:rPr>
        <w:t xml:space="preserve"> the </w:t>
      </w:r>
      <w:r>
        <w:rPr>
          <w:kern w:val="0"/>
        </w:rPr>
        <w:t>Pareto distribution. Power laws appear widely in physics, biology, earth</w:t>
      </w:r>
      <w:r w:rsidR="005853A9">
        <w:rPr>
          <w:kern w:val="0"/>
        </w:rPr>
        <w:t xml:space="preserve"> and </w:t>
      </w:r>
      <w:r>
        <w:rPr>
          <w:kern w:val="0"/>
        </w:rPr>
        <w:t>planetary sciences, economics</w:t>
      </w:r>
      <w:r w:rsidR="005853A9">
        <w:rPr>
          <w:kern w:val="0"/>
        </w:rPr>
        <w:t xml:space="preserve"> and </w:t>
      </w:r>
      <w:r>
        <w:rPr>
          <w:kern w:val="0"/>
        </w:rPr>
        <w:t>finance, computer science, demography</w:t>
      </w:r>
      <w:r w:rsidR="005853A9">
        <w:rPr>
          <w:kern w:val="0"/>
        </w:rPr>
        <w:t xml:space="preserve"> and </w:t>
      </w:r>
      <w:r w:rsidR="003A1917">
        <w:rPr>
          <w:kern w:val="0"/>
        </w:rPr>
        <w:t xml:space="preserve">the </w:t>
      </w:r>
      <w:r>
        <w:rPr>
          <w:kern w:val="0"/>
        </w:rPr>
        <w:t>social sciences. For instance,</w:t>
      </w:r>
      <w:r w:rsidR="003A1917">
        <w:rPr>
          <w:kern w:val="0"/>
        </w:rPr>
        <w:t xml:space="preserve"> the </w:t>
      </w:r>
      <w:r>
        <w:rPr>
          <w:kern w:val="0"/>
        </w:rPr>
        <w:t>distributions</w:t>
      </w:r>
      <w:r w:rsidR="00427468">
        <w:rPr>
          <w:kern w:val="0"/>
        </w:rPr>
        <w:t xml:space="preserve"> of </w:t>
      </w:r>
      <w:r w:rsidR="003A1917">
        <w:rPr>
          <w:kern w:val="0"/>
        </w:rPr>
        <w:t xml:space="preserve">the </w:t>
      </w:r>
      <w:r>
        <w:rPr>
          <w:kern w:val="0"/>
        </w:rPr>
        <w:t>sizes</w:t>
      </w:r>
      <w:r w:rsidR="00427468">
        <w:rPr>
          <w:kern w:val="0"/>
        </w:rPr>
        <w:t xml:space="preserve"> of </w:t>
      </w:r>
      <w:r>
        <w:rPr>
          <w:kern w:val="0"/>
        </w:rPr>
        <w:t>cities, earthquakes, forest. res, solar flares, moon craters</w:t>
      </w:r>
      <w:r w:rsidR="005853A9">
        <w:rPr>
          <w:kern w:val="0"/>
        </w:rPr>
        <w:t xml:space="preserve"> and </w:t>
      </w:r>
      <w:r>
        <w:rPr>
          <w:kern w:val="0"/>
        </w:rPr>
        <w:t>people</w:t>
      </w:r>
      <w:r w:rsidR="0071223E">
        <w:rPr>
          <w:kern w:val="0"/>
        </w:rPr>
        <w:t>’</w:t>
      </w:r>
      <w:r>
        <w:rPr>
          <w:kern w:val="0"/>
        </w:rPr>
        <w:t>s personal fortunes all appear to follow power laws</w:t>
      </w:r>
      <w:r w:rsidR="00A37C1D">
        <w:rPr>
          <w:kern w:val="0"/>
        </w:rPr>
        <w:t>. The</w:t>
      </w:r>
      <w:r w:rsidR="003A1917">
        <w:rPr>
          <w:kern w:val="0"/>
        </w:rPr>
        <w:t xml:space="preserve"> </w:t>
      </w:r>
      <w:r>
        <w:rPr>
          <w:kern w:val="0"/>
        </w:rPr>
        <w:t>origin</w:t>
      </w:r>
      <w:r w:rsidR="00427468">
        <w:rPr>
          <w:kern w:val="0"/>
        </w:rPr>
        <w:t xml:space="preserve"> of </w:t>
      </w:r>
      <w:r>
        <w:rPr>
          <w:kern w:val="0"/>
        </w:rPr>
        <w:t>power-law behaviour has been a topic</w:t>
      </w:r>
      <w:r w:rsidR="00427468">
        <w:rPr>
          <w:kern w:val="0"/>
        </w:rPr>
        <w:t xml:space="preserve"> of </w:t>
      </w:r>
      <w:r>
        <w:rPr>
          <w:kern w:val="0"/>
        </w:rPr>
        <w:t>debate in</w:t>
      </w:r>
      <w:r w:rsidR="003A1917">
        <w:rPr>
          <w:kern w:val="0"/>
        </w:rPr>
        <w:t xml:space="preserve"> the </w:t>
      </w:r>
      <w:r>
        <w:rPr>
          <w:kern w:val="0"/>
        </w:rPr>
        <w:t>scientific community for more than a century. Here we review some</w:t>
      </w:r>
      <w:r w:rsidR="00427468">
        <w:rPr>
          <w:kern w:val="0"/>
        </w:rPr>
        <w:t xml:space="preserve"> of </w:t>
      </w:r>
      <w:r w:rsidR="003A1917">
        <w:rPr>
          <w:kern w:val="0"/>
        </w:rPr>
        <w:t xml:space="preserve">the </w:t>
      </w:r>
      <w:r>
        <w:rPr>
          <w:kern w:val="0"/>
        </w:rPr>
        <w:t>empirical evidence for</w:t>
      </w:r>
      <w:r w:rsidR="003A1917">
        <w:rPr>
          <w:kern w:val="0"/>
        </w:rPr>
        <w:t xml:space="preserve"> the </w:t>
      </w:r>
      <w:r>
        <w:rPr>
          <w:kern w:val="0"/>
        </w:rPr>
        <w:t>existence</w:t>
      </w:r>
      <w:r w:rsidR="00427468">
        <w:rPr>
          <w:kern w:val="0"/>
        </w:rPr>
        <w:t xml:space="preserve"> of </w:t>
      </w:r>
      <w:r>
        <w:rPr>
          <w:kern w:val="0"/>
        </w:rPr>
        <w:t>power-law forms</w:t>
      </w:r>
      <w:r w:rsidR="005853A9">
        <w:rPr>
          <w:kern w:val="0"/>
        </w:rPr>
        <w:t xml:space="preserve"> and </w:t>
      </w:r>
      <w:r w:rsidR="003A1917">
        <w:rPr>
          <w:kern w:val="0"/>
        </w:rPr>
        <w:t xml:space="preserve">the </w:t>
      </w:r>
      <w:r>
        <w:rPr>
          <w:kern w:val="0"/>
        </w:rPr>
        <w:t>theories proposed to explain them.</w:t>
      </w:r>
    </w:p>
    <w:p w:rsidR="00F97A63" w:rsidRDefault="00F97A63" w:rsidP="00F97A63">
      <w:pPr>
        <w:pStyle w:val="a3"/>
        <w:rPr>
          <w:kern w:val="0"/>
        </w:rPr>
      </w:pPr>
      <w:r>
        <w:rPr>
          <w:kern w:val="0"/>
        </w:rPr>
        <w:t>Keywords: Behaviour, Biology, Cities, Community, Demography, Distribution, Economics, Evidence, Forest, Forms, Law, Laws, Origin, Pareto, Pareto Distribution, Power, Power Law, Power Laws, Power-Laws, Review, Science, Sciences, Social, Social Sciences, Value, Zipf</w:t>
      </w:r>
      <w:r w:rsidR="0071223E">
        <w:rPr>
          <w:kern w:val="0"/>
        </w:rPr>
        <w:t>’</w:t>
      </w:r>
      <w:r>
        <w:rPr>
          <w:rFonts w:hint="eastAsia"/>
          <w:kern w:val="0"/>
        </w:rPr>
        <w:t>s</w:t>
      </w:r>
      <w:r>
        <w:rPr>
          <w:kern w:val="0"/>
        </w:rPr>
        <w:t xml:space="preserve"> Law</w:t>
      </w:r>
    </w:p>
    <w:p w:rsidR="00F0789E" w:rsidRPr="001A3D2B" w:rsidRDefault="00F0789E" w:rsidP="00F0789E">
      <w:pPr>
        <w:pStyle w:val="1"/>
      </w:pPr>
      <w:r w:rsidRPr="001A3D2B">
        <w:br w:type="page"/>
      </w:r>
      <w:bookmarkStart w:id="403" w:name="_Toc420815114"/>
      <w:r w:rsidRPr="001A3D2B">
        <w:lastRenderedPageBreak/>
        <w:t xml:space="preserve">Title: </w:t>
      </w:r>
      <w:r w:rsidRPr="00F0789E">
        <w:rPr>
          <w:iCs w:val="0"/>
        </w:rPr>
        <w:t>Contraception</w:t>
      </w:r>
      <w:bookmarkEnd w:id="403"/>
    </w:p>
    <w:p w:rsidR="00F0789E" w:rsidRPr="001A3D2B" w:rsidRDefault="00F0789E" w:rsidP="00F0789E">
      <w:pPr>
        <w:pStyle w:val="12"/>
      </w:pPr>
      <w:r w:rsidRPr="001A3D2B">
        <w:t xml:space="preserve">Full Journal Title: </w:t>
      </w:r>
      <w:r w:rsidRPr="00F0789E">
        <w:rPr>
          <w:iCs/>
          <w:kern w:val="0"/>
        </w:rPr>
        <w:t>Contraception</w:t>
      </w:r>
    </w:p>
    <w:p w:rsidR="00F0789E" w:rsidRPr="001A3D2B" w:rsidRDefault="00F0789E" w:rsidP="00F0789E">
      <w:pPr>
        <w:pStyle w:val="12"/>
      </w:pPr>
      <w:r w:rsidRPr="001A3D2B">
        <w:t xml:space="preserve">ISO Abbreviated Title: </w:t>
      </w:r>
      <w:r w:rsidR="00F97A63" w:rsidRPr="00F0789E">
        <w:rPr>
          <w:iCs/>
          <w:kern w:val="0"/>
        </w:rPr>
        <w:t>Contraception</w:t>
      </w:r>
    </w:p>
    <w:p w:rsidR="00F0789E" w:rsidRPr="001A3D2B" w:rsidRDefault="00F0789E" w:rsidP="00F0789E">
      <w:pPr>
        <w:pStyle w:val="12"/>
      </w:pPr>
      <w:r w:rsidRPr="001A3D2B">
        <w:t xml:space="preserve">JCR Abbreviated Title: </w:t>
      </w:r>
      <w:r w:rsidR="00F97A63" w:rsidRPr="00F0789E">
        <w:rPr>
          <w:iCs/>
          <w:kern w:val="0"/>
        </w:rPr>
        <w:t>Contraception</w:t>
      </w:r>
    </w:p>
    <w:p w:rsidR="00F0789E" w:rsidRPr="001A3D2B" w:rsidRDefault="00F0789E" w:rsidP="00F0789E">
      <w:pPr>
        <w:pStyle w:val="12"/>
      </w:pPr>
      <w:r w:rsidRPr="001A3D2B">
        <w:t xml:space="preserve">ISSN: </w:t>
      </w:r>
    </w:p>
    <w:p w:rsidR="00F0789E" w:rsidRPr="001A3D2B" w:rsidRDefault="00F0789E" w:rsidP="00F0789E">
      <w:pPr>
        <w:pStyle w:val="12"/>
      </w:pPr>
      <w:r w:rsidRPr="001A3D2B">
        <w:t xml:space="preserve">Issues/Year: </w:t>
      </w:r>
    </w:p>
    <w:p w:rsidR="00F0789E" w:rsidRPr="001A3D2B" w:rsidRDefault="00F0789E" w:rsidP="00F0789E">
      <w:pPr>
        <w:pStyle w:val="12"/>
      </w:pPr>
      <w:r w:rsidRPr="001A3D2B">
        <w:t xml:space="preserve">Journal Country/Territory: </w:t>
      </w:r>
    </w:p>
    <w:p w:rsidR="00F0789E" w:rsidRPr="001A3D2B" w:rsidRDefault="00F0789E" w:rsidP="00F0789E">
      <w:pPr>
        <w:pStyle w:val="12"/>
      </w:pPr>
      <w:r w:rsidRPr="001A3D2B">
        <w:t xml:space="preserve">Language: </w:t>
      </w:r>
    </w:p>
    <w:p w:rsidR="00F0789E" w:rsidRPr="001A3D2B" w:rsidRDefault="00F0789E" w:rsidP="00F0789E">
      <w:pPr>
        <w:pStyle w:val="12"/>
      </w:pPr>
      <w:r w:rsidRPr="001A3D2B">
        <w:t xml:space="preserve">Publisher: </w:t>
      </w:r>
    </w:p>
    <w:p w:rsidR="00F0789E" w:rsidRPr="001A3D2B" w:rsidRDefault="00F0789E" w:rsidP="00F0789E">
      <w:pPr>
        <w:pStyle w:val="12"/>
      </w:pPr>
      <w:r w:rsidRPr="001A3D2B">
        <w:t xml:space="preserve">Publisher Address: </w:t>
      </w:r>
    </w:p>
    <w:p w:rsidR="00F0789E" w:rsidRPr="001A3D2B" w:rsidRDefault="00F0789E" w:rsidP="00F0789E">
      <w:pPr>
        <w:pStyle w:val="12"/>
      </w:pPr>
      <w:r w:rsidRPr="001A3D2B">
        <w:t xml:space="preserve">Subject Categories: </w:t>
      </w:r>
    </w:p>
    <w:p w:rsidR="00F0789E" w:rsidRPr="001A3D2B" w:rsidRDefault="00F0789E" w:rsidP="00F0789E">
      <w:pPr>
        <w:pStyle w:val="12"/>
      </w:pPr>
      <w:r w:rsidRPr="001A3D2B">
        <w:t>: Impact Factor</w:t>
      </w:r>
    </w:p>
    <w:p w:rsidR="00F0789E" w:rsidRDefault="00F0789E" w:rsidP="00F0789E">
      <w:pPr>
        <w:pStyle w:val="a3"/>
        <w:rPr>
          <w:kern w:val="0"/>
        </w:rPr>
      </w:pPr>
      <w:r>
        <w:rPr>
          <w:rFonts w:hint="eastAsia"/>
          <w:kern w:val="0"/>
        </w:rPr>
        <w:t xml:space="preserve">? </w:t>
      </w:r>
      <w:r>
        <w:rPr>
          <w:kern w:val="0"/>
        </w:rPr>
        <w:t xml:space="preserve">Hopkins, M.R., </w:t>
      </w:r>
      <w:r>
        <w:rPr>
          <w:rFonts w:hint="eastAsia"/>
          <w:kern w:val="0"/>
        </w:rPr>
        <w:t>A</w:t>
      </w:r>
      <w:r>
        <w:rPr>
          <w:kern w:val="0"/>
        </w:rPr>
        <w:t>gudelo-Suarez, P., El-Nashar, S.A., Creedon, D.J., Rose, C.H.</w:t>
      </w:r>
      <w:r w:rsidR="005853A9">
        <w:rPr>
          <w:kern w:val="0"/>
        </w:rPr>
        <w:t xml:space="preserve"> and </w:t>
      </w:r>
      <w:r>
        <w:rPr>
          <w:kern w:val="0"/>
        </w:rPr>
        <w:t>Famuyide, A.O. (2009), Term pregnancy with intraperitoneal levonorgestrel intrauterine system: A case report</w:t>
      </w:r>
      <w:r w:rsidR="005853A9">
        <w:rPr>
          <w:kern w:val="0"/>
        </w:rPr>
        <w:t xml:space="preserve"> and </w:t>
      </w:r>
      <w:r>
        <w:rPr>
          <w:kern w:val="0"/>
        </w:rPr>
        <w:t>review</w:t>
      </w:r>
      <w:r w:rsidR="00427468">
        <w:rPr>
          <w:kern w:val="0"/>
        </w:rPr>
        <w:t xml:space="preserve"> of </w:t>
      </w:r>
      <w:r w:rsidR="003A1917">
        <w:rPr>
          <w:kern w:val="0"/>
        </w:rPr>
        <w:t xml:space="preserve">the </w:t>
      </w:r>
      <w:r>
        <w:rPr>
          <w:kern w:val="0"/>
        </w:rPr>
        <w:t xml:space="preserve">literature. </w:t>
      </w:r>
      <w:r w:rsidRPr="00F0789E">
        <w:rPr>
          <w:i/>
          <w:iCs/>
          <w:kern w:val="0"/>
        </w:rPr>
        <w:t>Contraception</w:t>
      </w:r>
      <w:r>
        <w:rPr>
          <w:kern w:val="0"/>
        </w:rPr>
        <w:t xml:space="preserve">, </w:t>
      </w:r>
      <w:r>
        <w:rPr>
          <w:b/>
          <w:bCs/>
          <w:kern w:val="0"/>
        </w:rPr>
        <w:t>79</w:t>
      </w:r>
      <w:r>
        <w:rPr>
          <w:kern w:val="0"/>
        </w:rPr>
        <w:t xml:space="preserve"> (4), 323-327.</w:t>
      </w:r>
    </w:p>
    <w:p w:rsidR="00F0789E" w:rsidRDefault="00F0789E" w:rsidP="00F0789E">
      <w:pPr>
        <w:pStyle w:val="a3"/>
        <w:rPr>
          <w:kern w:val="0"/>
        </w:rPr>
      </w:pPr>
      <w:r>
        <w:rPr>
          <w:rFonts w:hint="eastAsia"/>
          <w:kern w:val="0"/>
        </w:rPr>
        <w:t xml:space="preserve">Full Text: </w:t>
      </w:r>
      <w:hyperlink r:id="rId1028" w:history="1">
        <w:r w:rsidRPr="001F4689">
          <w:rPr>
            <w:rStyle w:val="a5"/>
            <w:kern w:val="0"/>
          </w:rPr>
          <w:t>2009\Contraception79, 323.pdf</w:t>
        </w:r>
      </w:hyperlink>
    </w:p>
    <w:p w:rsidR="00F0789E" w:rsidRDefault="00F0789E" w:rsidP="00F0789E">
      <w:pPr>
        <w:pStyle w:val="a3"/>
        <w:rPr>
          <w:kern w:val="0"/>
        </w:rPr>
      </w:pPr>
      <w:r>
        <w:rPr>
          <w:kern w:val="0"/>
        </w:rPr>
        <w:t>Abstract: Background:</w:t>
      </w:r>
      <w:r w:rsidR="003A1917">
        <w:rPr>
          <w:kern w:val="0"/>
        </w:rPr>
        <w:t xml:space="preserve"> the </w:t>
      </w:r>
      <w:r>
        <w:rPr>
          <w:kern w:val="0"/>
        </w:rPr>
        <w:t>risk</w:t>
      </w:r>
      <w:r w:rsidR="00427468">
        <w:rPr>
          <w:kern w:val="0"/>
        </w:rPr>
        <w:t xml:space="preserve"> of </w:t>
      </w:r>
      <w:r>
        <w:rPr>
          <w:kern w:val="0"/>
        </w:rPr>
        <w:t>adverse effects</w:t>
      </w:r>
      <w:r w:rsidR="00427468">
        <w:rPr>
          <w:kern w:val="0"/>
        </w:rPr>
        <w:t xml:space="preserve"> of </w:t>
      </w:r>
      <w:r>
        <w:rPr>
          <w:kern w:val="0"/>
        </w:rPr>
        <w:t>fetal exposure to</w:t>
      </w:r>
      <w:r w:rsidR="003A1917">
        <w:rPr>
          <w:kern w:val="0"/>
        </w:rPr>
        <w:t xml:space="preserve"> the </w:t>
      </w:r>
      <w:r>
        <w:rPr>
          <w:kern w:val="0"/>
        </w:rPr>
        <w:t>levonorgestrel intrauterine system (LNG-IUS) has not been established. Study Design: In this case report</w:t>
      </w:r>
      <w:r w:rsidR="005853A9">
        <w:rPr>
          <w:kern w:val="0"/>
        </w:rPr>
        <w:t xml:space="preserve"> and </w:t>
      </w:r>
      <w:r>
        <w:rPr>
          <w:kern w:val="0"/>
        </w:rPr>
        <w:t>literature review, we describe a pregnant patient with an intraperitoneal LNG-IUS</w:t>
      </w:r>
      <w:r w:rsidR="005853A9">
        <w:rPr>
          <w:kern w:val="0"/>
        </w:rPr>
        <w:t xml:space="preserve"> and </w:t>
      </w:r>
      <w:r w:rsidR="003A1917">
        <w:rPr>
          <w:kern w:val="0"/>
        </w:rPr>
        <w:t xml:space="preserve">the </w:t>
      </w:r>
      <w:r>
        <w:rPr>
          <w:kern w:val="0"/>
        </w:rPr>
        <w:t>subsequent maternal</w:t>
      </w:r>
      <w:r w:rsidR="005853A9">
        <w:rPr>
          <w:kern w:val="0"/>
        </w:rPr>
        <w:t xml:space="preserve"> and </w:t>
      </w:r>
      <w:r>
        <w:rPr>
          <w:kern w:val="0"/>
        </w:rPr>
        <w:t>neonatal outcomes. A systematic literature search was performed to identify similar clinical reports</w:t>
      </w:r>
      <w:r w:rsidR="00A37C1D">
        <w:rPr>
          <w:kern w:val="0"/>
        </w:rPr>
        <w:t>. The</w:t>
      </w:r>
      <w:r w:rsidR="003A1917">
        <w:rPr>
          <w:kern w:val="0"/>
        </w:rPr>
        <w:t xml:space="preserve"> </w:t>
      </w:r>
      <w:r w:rsidR="00D5664A">
        <w:rPr>
          <w:kern w:val="0"/>
        </w:rPr>
        <w:t>MEDLINE</w:t>
      </w:r>
      <w:r>
        <w:rPr>
          <w:kern w:val="0"/>
        </w:rPr>
        <w:t>, EMBASE, Cochrane Database</w:t>
      </w:r>
      <w:r w:rsidR="00427468">
        <w:rPr>
          <w:kern w:val="0"/>
        </w:rPr>
        <w:t xml:space="preserve"> of </w:t>
      </w:r>
      <w:r>
        <w:rPr>
          <w:kern w:val="0"/>
        </w:rPr>
        <w:t xml:space="preserve">Systematic Reviews, CENTRAL,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databases were searched from inception through March 2007. Results:</w:t>
      </w:r>
      <w:r w:rsidR="003A1917">
        <w:rPr>
          <w:kern w:val="0"/>
        </w:rPr>
        <w:t xml:space="preserve"> the </w:t>
      </w:r>
      <w:r>
        <w:rPr>
          <w:kern w:val="0"/>
        </w:rPr>
        <w:t>pregnancy progressed uneventfully End culminated in</w:t>
      </w:r>
      <w:r w:rsidR="003A1917">
        <w:rPr>
          <w:kern w:val="0"/>
        </w:rPr>
        <w:t xml:space="preserve"> the </w:t>
      </w:r>
      <w:r>
        <w:rPr>
          <w:kern w:val="0"/>
        </w:rPr>
        <w:t>elective cesarean delivery</w:t>
      </w:r>
      <w:r w:rsidR="00427468">
        <w:rPr>
          <w:kern w:val="0"/>
        </w:rPr>
        <w:t xml:space="preserve"> of </w:t>
      </w:r>
      <w:r>
        <w:rPr>
          <w:kern w:val="0"/>
        </w:rPr>
        <w:t>a full-term healthy boy.</w:t>
      </w:r>
      <w:r w:rsidR="00427468">
        <w:rPr>
          <w:kern w:val="0"/>
        </w:rPr>
        <w:t xml:space="preserve"> of </w:t>
      </w:r>
      <w:r w:rsidR="003A1917">
        <w:rPr>
          <w:kern w:val="0"/>
        </w:rPr>
        <w:t xml:space="preserve">the </w:t>
      </w:r>
      <w:r>
        <w:rPr>
          <w:kern w:val="0"/>
        </w:rPr>
        <w:t>35 pregnancies identified in</w:t>
      </w:r>
      <w:r w:rsidR="003A1917">
        <w:rPr>
          <w:kern w:val="0"/>
        </w:rPr>
        <w:t xml:space="preserve"> the </w:t>
      </w:r>
      <w:r>
        <w:rPr>
          <w:kern w:val="0"/>
        </w:rPr>
        <w:t>literature review (34 pregnancies with intrauterine LNG-IUS</w:t>
      </w:r>
      <w:r w:rsidR="005853A9">
        <w:rPr>
          <w:kern w:val="0"/>
        </w:rPr>
        <w:t xml:space="preserve"> and </w:t>
      </w:r>
      <w:r>
        <w:rPr>
          <w:kern w:val="0"/>
        </w:rPr>
        <w:t>1 term delivery with intraperitoneal LNG-IUS), congenital anomalies were reported in 2 infants (6%). Conclusions: Fetal exposure to LNG-IUS is associated with a low frequency</w:t>
      </w:r>
      <w:r w:rsidR="00427468">
        <w:rPr>
          <w:kern w:val="0"/>
        </w:rPr>
        <w:t xml:space="preserve"> of </w:t>
      </w:r>
      <w:r>
        <w:rPr>
          <w:kern w:val="0"/>
        </w:rPr>
        <w:t>congenital anomalies. (c) 2009 Elsevier Inc. All rights reserved.</w:t>
      </w:r>
    </w:p>
    <w:p w:rsidR="00F0789E" w:rsidRDefault="00F0789E" w:rsidP="00F0789E">
      <w:pPr>
        <w:pStyle w:val="a3"/>
        <w:rPr>
          <w:kern w:val="0"/>
        </w:rPr>
      </w:pPr>
      <w:r>
        <w:rPr>
          <w:kern w:val="0"/>
        </w:rPr>
        <w:t xml:space="preserve">Keywords: Adverse Effects, Cochrane, Congenital Heart-Disease, Contraception, Contraceptives, Databases, Devices, Embase, Exposure, Female Sex-Hormones, Frequency, Hypospadias, Infants, IUD, Levonorgestrel, Literature, Literature Review, Lng-Ius, Management, </w:t>
      </w:r>
      <w:r w:rsidR="00D5664A">
        <w:rPr>
          <w:kern w:val="0"/>
        </w:rPr>
        <w:t>MEDLINE</w:t>
      </w:r>
      <w:r>
        <w:rPr>
          <w:kern w:val="0"/>
        </w:rPr>
        <w:t xml:space="preserve">, Outcomes, Perforation, Pregnancy, Progestogens, Review, Risk, Science, Scopus, Systematic, Uterine Perforation, </w:t>
      </w:r>
      <w:r w:rsidR="00D5664A">
        <w:rPr>
          <w:kern w:val="0"/>
        </w:rPr>
        <w:t>Web</w:t>
      </w:r>
      <w:r w:rsidR="00427468">
        <w:rPr>
          <w:kern w:val="0"/>
        </w:rPr>
        <w:t xml:space="preserve"> of </w:t>
      </w:r>
      <w:r w:rsidR="00D5664A">
        <w:rPr>
          <w:kern w:val="0"/>
        </w:rPr>
        <w:t>Science</w:t>
      </w:r>
      <w:r>
        <w:rPr>
          <w:kern w:val="0"/>
        </w:rPr>
        <w:t>, Women</w:t>
      </w:r>
    </w:p>
    <w:p w:rsidR="00D356F0" w:rsidRPr="00C73C58" w:rsidRDefault="00D356F0" w:rsidP="00D356F0">
      <w:pPr>
        <w:pStyle w:val="1"/>
      </w:pPr>
      <w:r w:rsidRPr="00C73C58">
        <w:br w:type="page"/>
      </w:r>
      <w:bookmarkStart w:id="404" w:name="_Toc420815115"/>
      <w:r w:rsidRPr="00C73C58">
        <w:lastRenderedPageBreak/>
        <w:t>Title: Control Engineering</w:t>
      </w:r>
      <w:bookmarkEnd w:id="404"/>
    </w:p>
    <w:p w:rsidR="00D356F0" w:rsidRPr="00C73C58" w:rsidRDefault="00D356F0" w:rsidP="00D356F0">
      <w:pPr>
        <w:pStyle w:val="12"/>
      </w:pPr>
      <w:r w:rsidRPr="00C73C58">
        <w:t>Full Journal Title: Control Engineering</w:t>
      </w:r>
    </w:p>
    <w:p w:rsidR="00D356F0" w:rsidRPr="00C73C58" w:rsidRDefault="00D356F0" w:rsidP="00D356F0">
      <w:pPr>
        <w:pStyle w:val="12"/>
      </w:pPr>
      <w:r w:rsidRPr="00C73C58">
        <w:t>ISO Abbrevi</w:t>
      </w:r>
      <w:bookmarkStart w:id="405" w:name="_Toc265234296"/>
      <w:r w:rsidRPr="00C73C58">
        <w:t xml:space="preserve">ated Title: Control </w:t>
      </w:r>
      <w:smartTag w:uri="urn:schemas-microsoft-com:office:smarttags" w:element="place">
        <w:smartTag w:uri="urn:schemas-microsoft-com:office:smarttags" w:element="country-region">
          <w:r w:rsidRPr="00C73C58">
            <w:t>Eng.</w:t>
          </w:r>
        </w:smartTag>
      </w:smartTag>
    </w:p>
    <w:p w:rsidR="00D356F0" w:rsidRPr="00C73C58" w:rsidRDefault="00D356F0" w:rsidP="00D356F0">
      <w:pPr>
        <w:pStyle w:val="12"/>
      </w:pPr>
      <w:r w:rsidRPr="00C73C58">
        <w:t>J</w:t>
      </w:r>
      <w:bookmarkEnd w:id="405"/>
      <w:r w:rsidRPr="00C73C58">
        <w:t>CR Abbreviated Title: Control Eng</w:t>
      </w:r>
    </w:p>
    <w:p w:rsidR="00D356F0" w:rsidRPr="00C73C58" w:rsidRDefault="00D356F0" w:rsidP="00D356F0">
      <w:pPr>
        <w:pStyle w:val="12"/>
      </w:pPr>
      <w:r w:rsidRPr="00C73C58">
        <w:t>ISSN: 0010-8049</w:t>
      </w:r>
    </w:p>
    <w:p w:rsidR="00D356F0" w:rsidRPr="00C73C58" w:rsidRDefault="00D356F0" w:rsidP="00D356F0">
      <w:pPr>
        <w:pStyle w:val="12"/>
      </w:pPr>
      <w:r w:rsidRPr="00C73C58">
        <w:t>Issues/Year: 13</w:t>
      </w:r>
    </w:p>
    <w:p w:rsidR="00D356F0" w:rsidRPr="00C73C58" w:rsidRDefault="00D356F0" w:rsidP="00D356F0">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D356F0" w:rsidRPr="00C73C58" w:rsidRDefault="00D356F0" w:rsidP="00D356F0">
      <w:pPr>
        <w:pStyle w:val="12"/>
      </w:pPr>
      <w:r w:rsidRPr="00C73C58">
        <w:t>Language: English</w:t>
      </w:r>
    </w:p>
    <w:p w:rsidR="00D356F0" w:rsidRPr="00C73C58" w:rsidRDefault="00D356F0" w:rsidP="00D356F0">
      <w:pPr>
        <w:pStyle w:val="12"/>
      </w:pPr>
      <w:r w:rsidRPr="00C73C58">
        <w:t>Publisher: Cahners-Denver Publishing Co</w:t>
      </w:r>
    </w:p>
    <w:p w:rsidR="00D356F0" w:rsidRPr="00C73C58" w:rsidRDefault="00D356F0" w:rsidP="00D356F0">
      <w:pPr>
        <w:pStyle w:val="12"/>
      </w:pPr>
      <w:r w:rsidRPr="00C73C58">
        <w:t xml:space="preserve">Publisher Address: 2000 Clearwater Dr, Oak Brook, IL </w:t>
      </w:r>
      <w:smartTag w:uri="urn:schemas-microsoft-com:office:smarttags" w:element="PostalCode">
        <w:r w:rsidRPr="00C73C58">
          <w:t>60523-8809</w:t>
        </w:r>
      </w:smartTag>
    </w:p>
    <w:p w:rsidR="00D356F0" w:rsidRPr="00C73C58" w:rsidRDefault="00D356F0" w:rsidP="00D356F0">
      <w:pPr>
        <w:pStyle w:val="12"/>
      </w:pPr>
      <w:r w:rsidRPr="00C73C58">
        <w:t xml:space="preserve">Subject Categories: </w:t>
      </w:r>
    </w:p>
    <w:p w:rsidR="00D356F0" w:rsidRPr="00C73C58" w:rsidRDefault="00D356F0" w:rsidP="00D356F0">
      <w:pPr>
        <w:pStyle w:val="12"/>
      </w:pPr>
      <w:r w:rsidRPr="00C73C58">
        <w:t xml:space="preserve">Robotics &amp; Automatic Control Engineering, Electrical &amp; Electronic Instruments &amp; Instrumentation: Impact Factor </w:t>
      </w:r>
    </w:p>
    <w:p w:rsidR="00D356F0" w:rsidRDefault="00D356F0" w:rsidP="00D356F0">
      <w:pPr>
        <w:pStyle w:val="a3"/>
        <w:rPr>
          <w:kern w:val="0"/>
        </w:rPr>
      </w:pPr>
      <w:r>
        <w:rPr>
          <w:kern w:val="0"/>
        </w:rPr>
        <w:t>? Hoske, M.T. (2004), Top articles</w:t>
      </w:r>
      <w:r w:rsidR="00427468">
        <w:rPr>
          <w:kern w:val="0"/>
        </w:rPr>
        <w:t xml:space="preserve"> of </w:t>
      </w:r>
      <w:r>
        <w:rPr>
          <w:kern w:val="0"/>
        </w:rPr>
        <w:t xml:space="preserve">2003. </w:t>
      </w:r>
      <w:r>
        <w:rPr>
          <w:i/>
          <w:iCs/>
          <w:kern w:val="0"/>
        </w:rPr>
        <w:t>Control Engineering</w:t>
      </w:r>
      <w:r>
        <w:rPr>
          <w:kern w:val="0"/>
        </w:rPr>
        <w:t xml:space="preserve">, </w:t>
      </w:r>
      <w:r>
        <w:rPr>
          <w:b/>
          <w:bCs/>
          <w:kern w:val="0"/>
        </w:rPr>
        <w:t>51</w:t>
      </w:r>
      <w:r>
        <w:rPr>
          <w:kern w:val="0"/>
        </w:rPr>
        <w:t xml:space="preserve"> (2), 31</w:t>
      </w:r>
    </w:p>
    <w:p w:rsidR="00D356F0" w:rsidRDefault="00D356F0" w:rsidP="00D356F0">
      <w:pPr>
        <w:pStyle w:val="a3"/>
        <w:rPr>
          <w:kern w:val="0"/>
        </w:rPr>
      </w:pPr>
      <w:r>
        <w:rPr>
          <w:kern w:val="0"/>
        </w:rPr>
        <w:t>Keywords: Articles</w:t>
      </w:r>
    </w:p>
    <w:p w:rsidR="00D356F0" w:rsidRDefault="00D356F0" w:rsidP="00D356F0">
      <w:pPr>
        <w:pStyle w:val="a3"/>
        <w:rPr>
          <w:kern w:val="0"/>
        </w:rPr>
      </w:pPr>
      <w:r>
        <w:rPr>
          <w:kern w:val="0"/>
        </w:rPr>
        <w:t>? Hoske, M.T. (2006), Top 10 articles</w:t>
      </w:r>
      <w:r w:rsidR="00427468">
        <w:rPr>
          <w:kern w:val="0"/>
        </w:rPr>
        <w:t xml:space="preserve"> of </w:t>
      </w:r>
      <w:r w:rsidR="0071223E">
        <w:rPr>
          <w:kern w:val="0"/>
        </w:rPr>
        <w:t>‘</w:t>
      </w:r>
      <w:r>
        <w:rPr>
          <w:kern w:val="0"/>
        </w:rPr>
        <w:t xml:space="preserve">05. </w:t>
      </w:r>
      <w:r>
        <w:rPr>
          <w:i/>
          <w:iCs/>
          <w:kern w:val="0"/>
        </w:rPr>
        <w:t>Control Engineering</w:t>
      </w:r>
      <w:r>
        <w:rPr>
          <w:kern w:val="0"/>
        </w:rPr>
        <w:t xml:space="preserve">, </w:t>
      </w:r>
      <w:r>
        <w:rPr>
          <w:b/>
          <w:bCs/>
          <w:kern w:val="0"/>
        </w:rPr>
        <w:t>53</w:t>
      </w:r>
      <w:r>
        <w:rPr>
          <w:kern w:val="0"/>
        </w:rPr>
        <w:t xml:space="preserve"> (2), 33</w:t>
      </w:r>
    </w:p>
    <w:p w:rsidR="00D356F0" w:rsidRDefault="00D356F0" w:rsidP="00D356F0">
      <w:pPr>
        <w:pStyle w:val="a3"/>
        <w:rPr>
          <w:kern w:val="0"/>
        </w:rPr>
      </w:pPr>
      <w:r>
        <w:rPr>
          <w:kern w:val="0"/>
        </w:rPr>
        <w:t>Keywords: Articles</w:t>
      </w:r>
    </w:p>
    <w:p w:rsidR="005E3F0A" w:rsidRPr="001A3D2B" w:rsidRDefault="005E3F0A" w:rsidP="005E3F0A">
      <w:pPr>
        <w:pStyle w:val="1"/>
      </w:pPr>
      <w:r w:rsidRPr="001A3D2B">
        <w:br w:type="page"/>
      </w:r>
      <w:bookmarkStart w:id="406" w:name="_Toc420815116"/>
      <w:r w:rsidRPr="001A3D2B">
        <w:lastRenderedPageBreak/>
        <w:t xml:space="preserve">Title: </w:t>
      </w:r>
      <w:r w:rsidRPr="005E3F0A">
        <w:t>Control Engineering and Applied Informatics</w:t>
      </w:r>
      <w:bookmarkEnd w:id="406"/>
    </w:p>
    <w:p w:rsidR="005E3F0A" w:rsidRPr="001A3D2B" w:rsidRDefault="005E3F0A" w:rsidP="005E3F0A">
      <w:pPr>
        <w:pStyle w:val="12"/>
      </w:pPr>
      <w:r w:rsidRPr="001A3D2B">
        <w:t xml:space="preserve">Full Journal Title: </w:t>
      </w:r>
      <w:r w:rsidRPr="005E3F0A">
        <w:rPr>
          <w:iCs/>
          <w:kern w:val="0"/>
        </w:rPr>
        <w:t>Control Engineering and Applied Informatics</w:t>
      </w:r>
    </w:p>
    <w:p w:rsidR="005E3F0A" w:rsidRPr="001A3D2B" w:rsidRDefault="005E3F0A" w:rsidP="005E3F0A">
      <w:pPr>
        <w:pStyle w:val="12"/>
      </w:pPr>
      <w:r w:rsidRPr="001A3D2B">
        <w:t xml:space="preserve">ISO Abbreviated Title: </w:t>
      </w:r>
    </w:p>
    <w:p w:rsidR="005E3F0A" w:rsidRPr="001A3D2B" w:rsidRDefault="005E3F0A" w:rsidP="005E3F0A">
      <w:pPr>
        <w:pStyle w:val="12"/>
      </w:pPr>
      <w:r w:rsidRPr="001A3D2B">
        <w:t xml:space="preserve">JCR Abbreviated Title: </w:t>
      </w:r>
    </w:p>
    <w:p w:rsidR="005E3F0A" w:rsidRPr="001A3D2B" w:rsidRDefault="005E3F0A" w:rsidP="005E3F0A">
      <w:pPr>
        <w:pStyle w:val="12"/>
      </w:pPr>
      <w:r w:rsidRPr="001A3D2B">
        <w:t xml:space="preserve">ISSN: </w:t>
      </w:r>
    </w:p>
    <w:p w:rsidR="005E3F0A" w:rsidRPr="001A3D2B" w:rsidRDefault="005E3F0A" w:rsidP="005E3F0A">
      <w:pPr>
        <w:pStyle w:val="12"/>
      </w:pPr>
      <w:r w:rsidRPr="001A3D2B">
        <w:t xml:space="preserve">Issues/Year: </w:t>
      </w:r>
    </w:p>
    <w:p w:rsidR="005E3F0A" w:rsidRPr="001A3D2B" w:rsidRDefault="005E3F0A" w:rsidP="005E3F0A">
      <w:pPr>
        <w:pStyle w:val="12"/>
      </w:pPr>
      <w:r w:rsidRPr="001A3D2B">
        <w:t xml:space="preserve">Journal Country/Territory: </w:t>
      </w:r>
    </w:p>
    <w:p w:rsidR="005E3F0A" w:rsidRPr="001A3D2B" w:rsidRDefault="005E3F0A" w:rsidP="005E3F0A">
      <w:pPr>
        <w:pStyle w:val="12"/>
      </w:pPr>
      <w:r w:rsidRPr="001A3D2B">
        <w:t xml:space="preserve">Language: </w:t>
      </w:r>
    </w:p>
    <w:p w:rsidR="005E3F0A" w:rsidRPr="001A3D2B" w:rsidRDefault="005E3F0A" w:rsidP="005E3F0A">
      <w:pPr>
        <w:pStyle w:val="12"/>
      </w:pPr>
      <w:r w:rsidRPr="001A3D2B">
        <w:t xml:space="preserve">Publisher: </w:t>
      </w:r>
    </w:p>
    <w:p w:rsidR="005E3F0A" w:rsidRPr="001A3D2B" w:rsidRDefault="005E3F0A" w:rsidP="005E3F0A">
      <w:pPr>
        <w:pStyle w:val="12"/>
      </w:pPr>
      <w:r w:rsidRPr="001A3D2B">
        <w:t xml:space="preserve">Publisher Address: </w:t>
      </w:r>
    </w:p>
    <w:p w:rsidR="005E3F0A" w:rsidRPr="001A3D2B" w:rsidRDefault="005E3F0A" w:rsidP="005E3F0A">
      <w:pPr>
        <w:pStyle w:val="12"/>
      </w:pPr>
      <w:r w:rsidRPr="001A3D2B">
        <w:t xml:space="preserve">Subject Categories: </w:t>
      </w:r>
    </w:p>
    <w:p w:rsidR="005E3F0A" w:rsidRPr="001A3D2B" w:rsidRDefault="005E3F0A" w:rsidP="005E3F0A">
      <w:pPr>
        <w:pStyle w:val="12"/>
      </w:pPr>
      <w:r w:rsidRPr="001A3D2B">
        <w:t>: Impact Factor</w:t>
      </w:r>
    </w:p>
    <w:p w:rsidR="00F53C19" w:rsidRDefault="00F53C19" w:rsidP="00F53C19">
      <w:pPr>
        <w:pStyle w:val="a3"/>
        <w:rPr>
          <w:kern w:val="0"/>
        </w:rPr>
      </w:pPr>
      <w:r>
        <w:rPr>
          <w:kern w:val="0"/>
        </w:rPr>
        <w:t xml:space="preserve">? Avram, S., Velter, V. and Dumitrache, I. (2014), Semantic analysis applications in computational bibliometrics. </w:t>
      </w:r>
      <w:r>
        <w:rPr>
          <w:i/>
          <w:iCs/>
          <w:kern w:val="0"/>
        </w:rPr>
        <w:t>Control Engineering and Applied Informatics</w:t>
      </w:r>
      <w:r>
        <w:rPr>
          <w:kern w:val="0"/>
        </w:rPr>
        <w:t xml:space="preserve">, </w:t>
      </w:r>
      <w:r>
        <w:rPr>
          <w:b/>
          <w:bCs/>
          <w:kern w:val="0"/>
        </w:rPr>
        <w:t>16</w:t>
      </w:r>
      <w:r>
        <w:rPr>
          <w:kern w:val="0"/>
        </w:rPr>
        <w:t xml:space="preserve"> (1), 62-69.</w:t>
      </w:r>
    </w:p>
    <w:p w:rsidR="00F53C19" w:rsidRDefault="00F53C19" w:rsidP="00F53C19">
      <w:pPr>
        <w:pStyle w:val="a3"/>
        <w:rPr>
          <w:kern w:val="0"/>
        </w:rPr>
      </w:pPr>
      <w:r>
        <w:rPr>
          <w:kern w:val="0"/>
        </w:rPr>
        <w:t>Full Text: 2014\</w:t>
      </w:r>
      <w:r w:rsidRPr="00363CEF">
        <w:rPr>
          <w:iCs/>
          <w:kern w:val="0"/>
        </w:rPr>
        <w:t>Con Eng App Inf</w:t>
      </w:r>
      <w:r w:rsidRPr="00363CEF">
        <w:rPr>
          <w:bCs/>
          <w:kern w:val="0"/>
        </w:rPr>
        <w:t>16</w:t>
      </w:r>
      <w:r>
        <w:rPr>
          <w:kern w:val="0"/>
        </w:rPr>
        <w:t>, 62.pdf</w:t>
      </w:r>
    </w:p>
    <w:p w:rsidR="00F53C19" w:rsidRDefault="00F53C19" w:rsidP="00F53C19">
      <w:pPr>
        <w:pStyle w:val="a3"/>
        <w:rPr>
          <w:kern w:val="0"/>
        </w:rPr>
      </w:pPr>
      <w:r>
        <w:rPr>
          <w:kern w:val="0"/>
        </w:rPr>
        <w:t>Abstract: Continuing a previous theoretical research in bibliometrics, this study aims to conclude a bibliometric endeavor, in the quest of finding an adapted impact measure for scientific papers. Its main objective is to define a technological solution capable to interpret both citations and papers</w:t>
      </w:r>
      <w:r w:rsidR="0071223E">
        <w:rPr>
          <w:kern w:val="0"/>
        </w:rPr>
        <w:t>’</w:t>
      </w:r>
      <w:r>
        <w:rPr>
          <w:kern w:val="0"/>
        </w:rPr>
        <w:t xml:space="preserve"> content, in an integrative approach</w:t>
      </w:r>
      <w:r w:rsidR="00A37C1D">
        <w:rPr>
          <w:kern w:val="0"/>
        </w:rPr>
        <w:t>. The</w:t>
      </w:r>
      <w:r>
        <w:rPr>
          <w:kern w:val="0"/>
        </w:rPr>
        <w:t xml:space="preserve"> solution employs natural language processors, similarity measures and graph computation algorithms, while integrating them in a software prototype. Describing the design and implementation phases, the research underlines specific solutions and optimizations for relevance computing in citation networks.</w:t>
      </w:r>
    </w:p>
    <w:p w:rsidR="00F53C19" w:rsidRDefault="00F53C19" w:rsidP="00F53C19">
      <w:pPr>
        <w:pStyle w:val="a3"/>
        <w:rPr>
          <w:kern w:val="0"/>
        </w:rPr>
      </w:pPr>
      <w:r>
        <w:rPr>
          <w:kern w:val="0"/>
        </w:rPr>
        <w:t>Keywords: Algorithms, Analysis, Approach, Bibliometric, Bibliometrics, Citation, Citation Weighting, Citations, Computation, Design, Impact, Implementation, Integrative, Language, Mar, Measure, Measures, Natural, Natural Language Processing, Networks, Papers, Relevance, Research, Similarity, Software, Solution, Solutions, Text Similarity, Theoretical, Vector-Space Model</w:t>
      </w:r>
    </w:p>
    <w:p w:rsidR="00524370" w:rsidRPr="001A3D2B" w:rsidRDefault="00524370" w:rsidP="00524370">
      <w:pPr>
        <w:pStyle w:val="1"/>
      </w:pPr>
      <w:r w:rsidRPr="001A3D2B">
        <w:br w:type="page"/>
      </w:r>
      <w:bookmarkStart w:id="407" w:name="_Toc420815117"/>
      <w:r w:rsidRPr="001A3D2B">
        <w:lastRenderedPageBreak/>
        <w:t xml:space="preserve">Title: </w:t>
      </w:r>
      <w:r w:rsidRPr="00524370">
        <w:t>Cornea</w:t>
      </w:r>
      <w:bookmarkEnd w:id="407"/>
    </w:p>
    <w:p w:rsidR="00524370" w:rsidRPr="001A3D2B" w:rsidRDefault="00524370" w:rsidP="00524370">
      <w:pPr>
        <w:pStyle w:val="12"/>
      </w:pPr>
      <w:r w:rsidRPr="001A3D2B">
        <w:t xml:space="preserve">Full Journal Title: </w:t>
      </w:r>
      <w:r w:rsidRPr="00524370">
        <w:rPr>
          <w:iCs/>
          <w:kern w:val="0"/>
        </w:rPr>
        <w:t>Cornea</w:t>
      </w:r>
    </w:p>
    <w:p w:rsidR="00524370" w:rsidRPr="001A3D2B" w:rsidRDefault="00524370" w:rsidP="00524370">
      <w:pPr>
        <w:pStyle w:val="12"/>
      </w:pPr>
      <w:r w:rsidRPr="001A3D2B">
        <w:t xml:space="preserve">ISO Abbreviated Title: </w:t>
      </w:r>
    </w:p>
    <w:p w:rsidR="00524370" w:rsidRPr="001A3D2B" w:rsidRDefault="00524370" w:rsidP="00524370">
      <w:pPr>
        <w:pStyle w:val="12"/>
      </w:pPr>
      <w:r w:rsidRPr="001A3D2B">
        <w:t xml:space="preserve">JCR Abbreviated Title: </w:t>
      </w:r>
    </w:p>
    <w:p w:rsidR="00524370" w:rsidRPr="001A3D2B" w:rsidRDefault="00524370" w:rsidP="00524370">
      <w:pPr>
        <w:pStyle w:val="12"/>
      </w:pPr>
      <w:r w:rsidRPr="001A3D2B">
        <w:t xml:space="preserve">ISSN: </w:t>
      </w:r>
    </w:p>
    <w:p w:rsidR="00524370" w:rsidRPr="001A3D2B" w:rsidRDefault="00524370" w:rsidP="00524370">
      <w:pPr>
        <w:pStyle w:val="12"/>
      </w:pPr>
      <w:r w:rsidRPr="001A3D2B">
        <w:t xml:space="preserve">Issues/Year: </w:t>
      </w:r>
    </w:p>
    <w:p w:rsidR="00524370" w:rsidRPr="001A3D2B" w:rsidRDefault="00524370" w:rsidP="00524370">
      <w:pPr>
        <w:pStyle w:val="12"/>
      </w:pPr>
      <w:r w:rsidRPr="001A3D2B">
        <w:t xml:space="preserve">Journal Country/Territory: </w:t>
      </w:r>
    </w:p>
    <w:p w:rsidR="00524370" w:rsidRPr="001A3D2B" w:rsidRDefault="00524370" w:rsidP="00524370">
      <w:pPr>
        <w:pStyle w:val="12"/>
      </w:pPr>
      <w:r w:rsidRPr="001A3D2B">
        <w:t xml:space="preserve">Language: </w:t>
      </w:r>
    </w:p>
    <w:p w:rsidR="00524370" w:rsidRPr="001A3D2B" w:rsidRDefault="00524370" w:rsidP="00524370">
      <w:pPr>
        <w:pStyle w:val="12"/>
      </w:pPr>
      <w:r w:rsidRPr="001A3D2B">
        <w:t xml:space="preserve">Publisher: </w:t>
      </w:r>
    </w:p>
    <w:p w:rsidR="00524370" w:rsidRPr="001A3D2B" w:rsidRDefault="00524370" w:rsidP="00524370">
      <w:pPr>
        <w:pStyle w:val="12"/>
      </w:pPr>
      <w:r w:rsidRPr="001A3D2B">
        <w:t xml:space="preserve">Publisher Address: </w:t>
      </w:r>
    </w:p>
    <w:p w:rsidR="00524370" w:rsidRPr="001A3D2B" w:rsidRDefault="00524370" w:rsidP="00524370">
      <w:pPr>
        <w:pStyle w:val="12"/>
      </w:pPr>
      <w:r w:rsidRPr="001A3D2B">
        <w:t xml:space="preserve">Subject Categories: </w:t>
      </w:r>
    </w:p>
    <w:p w:rsidR="00524370" w:rsidRPr="001A3D2B" w:rsidRDefault="00524370" w:rsidP="00524370">
      <w:pPr>
        <w:pStyle w:val="12"/>
      </w:pPr>
      <w:r w:rsidRPr="001A3D2B">
        <w:t>: Impact Factor</w:t>
      </w:r>
    </w:p>
    <w:p w:rsidR="00524370" w:rsidRDefault="00524370" w:rsidP="00524370">
      <w:pPr>
        <w:pStyle w:val="a3"/>
        <w:rPr>
          <w:kern w:val="0"/>
        </w:rPr>
      </w:pPr>
      <w:r>
        <w:rPr>
          <w:rFonts w:hint="eastAsia"/>
          <w:kern w:val="0"/>
        </w:rPr>
        <w:t xml:space="preserve">? </w:t>
      </w:r>
      <w:r>
        <w:rPr>
          <w:kern w:val="0"/>
        </w:rPr>
        <w:t>Hu, Q.W., Qiao, Y.B., Nie, X., Cheng, X.C.</w:t>
      </w:r>
      <w:r w:rsidR="005853A9">
        <w:rPr>
          <w:kern w:val="0"/>
        </w:rPr>
        <w:t xml:space="preserve"> and </w:t>
      </w:r>
      <w:r>
        <w:rPr>
          <w:kern w:val="0"/>
        </w:rPr>
        <w:t>Ma, Y.P. (2014), Bevacizumab in the treatment</w:t>
      </w:r>
      <w:r w:rsidR="00427468">
        <w:rPr>
          <w:kern w:val="0"/>
        </w:rPr>
        <w:t xml:space="preserve"> of </w:t>
      </w:r>
      <w:r>
        <w:rPr>
          <w:kern w:val="0"/>
        </w:rPr>
        <w:t xml:space="preserve">pterygium: A meta-analysis. </w:t>
      </w:r>
      <w:r w:rsidRPr="00524370">
        <w:rPr>
          <w:i/>
          <w:iCs/>
          <w:kern w:val="0"/>
        </w:rPr>
        <w:t>Cornea</w:t>
      </w:r>
      <w:r>
        <w:rPr>
          <w:kern w:val="0"/>
        </w:rPr>
        <w:t xml:space="preserve">, </w:t>
      </w:r>
      <w:r>
        <w:rPr>
          <w:b/>
          <w:bCs/>
          <w:kern w:val="0"/>
        </w:rPr>
        <w:t>33</w:t>
      </w:r>
      <w:r>
        <w:rPr>
          <w:kern w:val="0"/>
        </w:rPr>
        <w:t xml:space="preserve"> (2), 154-160.</w:t>
      </w:r>
    </w:p>
    <w:p w:rsidR="00524370" w:rsidRDefault="00524370" w:rsidP="00524370">
      <w:pPr>
        <w:pStyle w:val="a3"/>
        <w:rPr>
          <w:kern w:val="0"/>
        </w:rPr>
      </w:pPr>
      <w:r>
        <w:rPr>
          <w:rFonts w:hint="eastAsia"/>
          <w:kern w:val="0"/>
        </w:rPr>
        <w:t xml:space="preserve">Full Text: </w:t>
      </w:r>
      <w:hyperlink r:id="rId1029" w:history="1">
        <w:r w:rsidRPr="00524370">
          <w:rPr>
            <w:rStyle w:val="a5"/>
            <w:kern w:val="0"/>
          </w:rPr>
          <w:t>2014\Cornea33, 154.pdf</w:t>
        </w:r>
      </w:hyperlink>
    </w:p>
    <w:p w:rsidR="00524370" w:rsidRDefault="00524370" w:rsidP="00524370">
      <w:pPr>
        <w:pStyle w:val="a3"/>
        <w:rPr>
          <w:kern w:val="0"/>
        </w:rPr>
      </w:pPr>
      <w:r>
        <w:rPr>
          <w:kern w:val="0"/>
        </w:rPr>
        <w:t>Abstract: Purpose:The aim</w:t>
      </w:r>
      <w:r w:rsidR="00427468">
        <w:rPr>
          <w:kern w:val="0"/>
        </w:rPr>
        <w:t xml:space="preserve"> of </w:t>
      </w:r>
      <w:r>
        <w:rPr>
          <w:kern w:val="0"/>
        </w:rPr>
        <w:t>this study was to assess the efficacy</w:t>
      </w:r>
      <w:r w:rsidR="005853A9">
        <w:rPr>
          <w:kern w:val="0"/>
        </w:rPr>
        <w:t xml:space="preserve"> and </w:t>
      </w:r>
      <w:r>
        <w:rPr>
          <w:kern w:val="0"/>
        </w:rPr>
        <w:t>safety</w:t>
      </w:r>
      <w:r w:rsidR="00427468">
        <w:rPr>
          <w:kern w:val="0"/>
        </w:rPr>
        <w:t xml:space="preserve"> of </w:t>
      </w:r>
      <w:r>
        <w:rPr>
          <w:kern w:val="0"/>
        </w:rPr>
        <w:t>bevacizumab in the treatment</w:t>
      </w:r>
      <w:r w:rsidR="00427468">
        <w:rPr>
          <w:kern w:val="0"/>
        </w:rPr>
        <w:t xml:space="preserve"> of </w:t>
      </w:r>
      <w:r>
        <w:rPr>
          <w:kern w:val="0"/>
        </w:rPr>
        <w:t>pterygium</w:t>
      </w:r>
      <w:r w:rsidR="005853A9">
        <w:rPr>
          <w:kern w:val="0"/>
        </w:rPr>
        <w:t xml:space="preserve"> and </w:t>
      </w:r>
      <w:r>
        <w:rPr>
          <w:kern w:val="0"/>
        </w:rPr>
        <w:t>to mainly explore its effects on recurrence rate</w:t>
      </w:r>
      <w:r w:rsidR="005853A9">
        <w:rPr>
          <w:kern w:val="0"/>
        </w:rPr>
        <w:t xml:space="preserve"> and </w:t>
      </w:r>
      <w:r>
        <w:rPr>
          <w:kern w:val="0"/>
        </w:rPr>
        <w:t>complications.Methods:We searched MEDLINE, EMBASE, Web</w:t>
      </w:r>
      <w:r w:rsidR="00427468">
        <w:rPr>
          <w:kern w:val="0"/>
        </w:rPr>
        <w:t xml:space="preserve"> of </w:t>
      </w:r>
      <w:r>
        <w:rPr>
          <w:kern w:val="0"/>
        </w:rPr>
        <w:t>Science,</w:t>
      </w:r>
      <w:r w:rsidR="005853A9">
        <w:rPr>
          <w:kern w:val="0"/>
        </w:rPr>
        <w:t xml:space="preserve"> and </w:t>
      </w:r>
      <w:r>
        <w:rPr>
          <w:kern w:val="0"/>
        </w:rPr>
        <w:t>Cochrane Central Register from the inception to July 2013 for relevant randomized controlled trials that examined bevacizumab therapy for pterygium. Data concerning study design, patient characteristics, treatment,</w:t>
      </w:r>
      <w:r w:rsidR="005853A9">
        <w:rPr>
          <w:kern w:val="0"/>
        </w:rPr>
        <w:t xml:space="preserve"> and </w:t>
      </w:r>
      <w:r>
        <w:rPr>
          <w:kern w:val="0"/>
        </w:rPr>
        <w:t>outcomes were extracted</w:t>
      </w:r>
      <w:r w:rsidR="00A37C1D">
        <w:rPr>
          <w:kern w:val="0"/>
        </w:rPr>
        <w:t>. The</w:t>
      </w:r>
      <w:r>
        <w:rPr>
          <w:kern w:val="0"/>
        </w:rPr>
        <w:t xml:space="preserve"> methodological quality</w:t>
      </w:r>
      <w:r w:rsidR="00427468">
        <w:rPr>
          <w:kern w:val="0"/>
        </w:rPr>
        <w:t xml:space="preserve"> of </w:t>
      </w:r>
      <w:r>
        <w:rPr>
          <w:kern w:val="0"/>
        </w:rPr>
        <w:t>the studies included was assessed using the Jadad score. Relative risk (RR) was calculated for recurrence rate</w:t>
      </w:r>
      <w:r w:rsidR="005853A9">
        <w:rPr>
          <w:kern w:val="0"/>
        </w:rPr>
        <w:t xml:space="preserve"> and </w:t>
      </w:r>
      <w:r>
        <w:rPr>
          <w:kern w:val="0"/>
        </w:rPr>
        <w:t>complications.Results:A total</w:t>
      </w:r>
      <w:r w:rsidR="00427468">
        <w:rPr>
          <w:kern w:val="0"/>
        </w:rPr>
        <w:t xml:space="preserve"> of </w:t>
      </w:r>
      <w:r>
        <w:rPr>
          <w:kern w:val="0"/>
        </w:rPr>
        <w:t>474 patients with 482 eyes in 9 randomized controlled trials were analyzed</w:t>
      </w:r>
      <w:r w:rsidR="00A37C1D">
        <w:rPr>
          <w:kern w:val="0"/>
        </w:rPr>
        <w:t>. The</w:t>
      </w:r>
      <w:r>
        <w:rPr>
          <w:kern w:val="0"/>
        </w:rPr>
        <w:t xml:space="preserve"> pooled estimate showed that bevacizumab had no statistically significant effect on preventing pterygium recurrence [RR 0.90, 95% confidence interval (CI) 0.77-1.07, P = 0.23]. None</w:t>
      </w:r>
      <w:r w:rsidR="00427468">
        <w:rPr>
          <w:kern w:val="0"/>
        </w:rPr>
        <w:t xml:space="preserve"> of </w:t>
      </w:r>
      <w:r>
        <w:rPr>
          <w:kern w:val="0"/>
        </w:rPr>
        <w:t>the subgroup analyses yielded significant results in favor</w:t>
      </w:r>
      <w:r w:rsidR="00427468">
        <w:rPr>
          <w:kern w:val="0"/>
        </w:rPr>
        <w:t xml:space="preserve"> of </w:t>
      </w:r>
      <w:r>
        <w:rPr>
          <w:kern w:val="0"/>
        </w:rPr>
        <w:t>bevacizumab (surgery group: RR 0.77, 95% CI 0.50-1.18, P = 0.23; nonsurgery group: RR 0.98, 95% CI 0.86-1.11, P = 0.76; primary pterygium group: RR 0.82, 95% CI 0.53-1.26, P = 0.36; recurrent pterygium group: RR 0.95, 95% CI 0.82-1.09, P = 0.44)</w:t>
      </w:r>
      <w:r w:rsidR="00A37C1D">
        <w:rPr>
          <w:kern w:val="0"/>
        </w:rPr>
        <w:t>. The</w:t>
      </w:r>
      <w:r>
        <w:rPr>
          <w:kern w:val="0"/>
        </w:rPr>
        <w:t>re were no statistically significant differences in the complications between the 2 groups (RR 1.00, 95% CI 0.73-1.37, P = 1.00). However, the bevacizumab group was associated with a higher risk</w:t>
      </w:r>
      <w:r w:rsidR="00427468">
        <w:rPr>
          <w:kern w:val="0"/>
        </w:rPr>
        <w:t xml:space="preserve"> of </w:t>
      </w:r>
      <w:r>
        <w:rPr>
          <w:kern w:val="0"/>
        </w:rPr>
        <w:t>developing subconjunctival hemorrhage (RR 3.34, 95% CI 1.07-10.43, P = 0.04).Conclusions:Topical or subconjunctival bevacizumab was relatively safe</w:t>
      </w:r>
      <w:r w:rsidR="005853A9">
        <w:rPr>
          <w:kern w:val="0"/>
        </w:rPr>
        <w:t xml:space="preserve"> and </w:t>
      </w:r>
      <w:r>
        <w:rPr>
          <w:kern w:val="0"/>
        </w:rPr>
        <w:t>well tolerated, but it had no statistically significant effect on preventing pterygium recurrence. A large-scale trial with a suitable dosage</w:t>
      </w:r>
      <w:r w:rsidR="005853A9">
        <w:rPr>
          <w:kern w:val="0"/>
        </w:rPr>
        <w:t xml:space="preserve"> and </w:t>
      </w:r>
      <w:r>
        <w:rPr>
          <w:kern w:val="0"/>
        </w:rPr>
        <w:t xml:space="preserve">a longer follow-up would </w:t>
      </w:r>
      <w:r>
        <w:rPr>
          <w:kern w:val="0"/>
        </w:rPr>
        <w:lastRenderedPageBreak/>
        <w:t>be required to rule out the possibility</w:t>
      </w:r>
      <w:r w:rsidR="00427468">
        <w:rPr>
          <w:kern w:val="0"/>
        </w:rPr>
        <w:t xml:space="preserve"> of </w:t>
      </w:r>
      <w:r>
        <w:rPr>
          <w:kern w:val="0"/>
        </w:rPr>
        <w:t>any treatment benefit.</w:t>
      </w:r>
    </w:p>
    <w:p w:rsidR="00524370" w:rsidRDefault="00524370" w:rsidP="00524370">
      <w:pPr>
        <w:pStyle w:val="a3"/>
        <w:rPr>
          <w:kern w:val="0"/>
        </w:rPr>
      </w:pPr>
      <w:r>
        <w:rPr>
          <w:kern w:val="0"/>
        </w:rPr>
        <w:t>Keywords: Analyses, Bevacizumab, Characteristics, Complications, Confidence, Design, Developing, Effects, Efficacy, Embase, Follow-Up, Groups, Hemorrhage, Interval, Medline, Outcomes, P, Patients, Primary, Pterygium, Quality, Quality Of, Randomized, Randomized Controlled Trials, Recurrence, Recurrent, Risk, Safety, Science, Study Design, Surgery, Therapy, Treatment, Trial, Web</w:t>
      </w:r>
      <w:r w:rsidR="00427468">
        <w:rPr>
          <w:kern w:val="0"/>
        </w:rPr>
        <w:t xml:space="preserve"> of </w:t>
      </w:r>
      <w:r>
        <w:rPr>
          <w:kern w:val="0"/>
        </w:rPr>
        <w:t>Science</w:t>
      </w:r>
    </w:p>
    <w:p w:rsidR="00C921D0" w:rsidRPr="001A3D2B" w:rsidRDefault="00C921D0" w:rsidP="00C921D0">
      <w:pPr>
        <w:pStyle w:val="1"/>
      </w:pPr>
      <w:r w:rsidRPr="001A3D2B">
        <w:br w:type="page"/>
      </w:r>
      <w:bookmarkStart w:id="408" w:name="_Toc420815118"/>
      <w:r w:rsidRPr="001A3D2B">
        <w:lastRenderedPageBreak/>
        <w:t xml:space="preserve">Title: </w:t>
      </w:r>
      <w:r w:rsidRPr="00C921D0">
        <w:t>Coronary Artery Disease</w:t>
      </w:r>
      <w:bookmarkEnd w:id="408"/>
    </w:p>
    <w:p w:rsidR="00C921D0" w:rsidRPr="001A3D2B" w:rsidRDefault="00C921D0" w:rsidP="00C921D0">
      <w:pPr>
        <w:pStyle w:val="12"/>
      </w:pPr>
      <w:r w:rsidRPr="001A3D2B">
        <w:t xml:space="preserve">Full Journal Title: </w:t>
      </w:r>
      <w:r w:rsidRPr="00C921D0">
        <w:rPr>
          <w:iCs/>
          <w:kern w:val="0"/>
        </w:rPr>
        <w:t>Coronary Artery Disease</w:t>
      </w:r>
    </w:p>
    <w:p w:rsidR="00C921D0" w:rsidRPr="001A3D2B" w:rsidRDefault="00C921D0" w:rsidP="00C921D0">
      <w:pPr>
        <w:pStyle w:val="12"/>
      </w:pPr>
      <w:r w:rsidRPr="001A3D2B">
        <w:t xml:space="preserve">ISO Abbreviated Title: </w:t>
      </w:r>
    </w:p>
    <w:p w:rsidR="00C921D0" w:rsidRPr="001A3D2B" w:rsidRDefault="00C921D0" w:rsidP="00C921D0">
      <w:pPr>
        <w:pStyle w:val="12"/>
      </w:pPr>
      <w:r w:rsidRPr="001A3D2B">
        <w:t xml:space="preserve">JCR Abbreviated Title: </w:t>
      </w:r>
    </w:p>
    <w:p w:rsidR="00C921D0" w:rsidRPr="001A3D2B" w:rsidRDefault="00C921D0" w:rsidP="00C921D0">
      <w:pPr>
        <w:pStyle w:val="12"/>
      </w:pPr>
      <w:r w:rsidRPr="001A3D2B">
        <w:t xml:space="preserve">ISSN: </w:t>
      </w:r>
    </w:p>
    <w:p w:rsidR="00C921D0" w:rsidRPr="001A3D2B" w:rsidRDefault="00C921D0" w:rsidP="00C921D0">
      <w:pPr>
        <w:pStyle w:val="12"/>
      </w:pPr>
      <w:r w:rsidRPr="001A3D2B">
        <w:t xml:space="preserve">Issues/Year: </w:t>
      </w:r>
    </w:p>
    <w:p w:rsidR="00C921D0" w:rsidRPr="001A3D2B" w:rsidRDefault="00C921D0" w:rsidP="00C921D0">
      <w:pPr>
        <w:pStyle w:val="12"/>
      </w:pPr>
      <w:r w:rsidRPr="001A3D2B">
        <w:t xml:space="preserve">Journal Country/Territory: </w:t>
      </w:r>
    </w:p>
    <w:p w:rsidR="00C921D0" w:rsidRPr="001A3D2B" w:rsidRDefault="00C921D0" w:rsidP="00C921D0">
      <w:pPr>
        <w:pStyle w:val="12"/>
      </w:pPr>
      <w:r w:rsidRPr="001A3D2B">
        <w:t xml:space="preserve">Language: </w:t>
      </w:r>
    </w:p>
    <w:p w:rsidR="00C921D0" w:rsidRPr="001A3D2B" w:rsidRDefault="00C921D0" w:rsidP="00C921D0">
      <w:pPr>
        <w:pStyle w:val="12"/>
      </w:pPr>
      <w:r w:rsidRPr="001A3D2B">
        <w:t xml:space="preserve">Publisher: </w:t>
      </w:r>
    </w:p>
    <w:p w:rsidR="00C921D0" w:rsidRPr="001A3D2B" w:rsidRDefault="00C921D0" w:rsidP="00C921D0">
      <w:pPr>
        <w:pStyle w:val="12"/>
      </w:pPr>
      <w:r w:rsidRPr="001A3D2B">
        <w:t xml:space="preserve">Publisher Address: </w:t>
      </w:r>
    </w:p>
    <w:p w:rsidR="00C921D0" w:rsidRPr="001A3D2B" w:rsidRDefault="00C921D0" w:rsidP="00C921D0">
      <w:pPr>
        <w:pStyle w:val="12"/>
      </w:pPr>
      <w:r w:rsidRPr="001A3D2B">
        <w:t xml:space="preserve">Subject Categories: </w:t>
      </w:r>
    </w:p>
    <w:p w:rsidR="00C921D0" w:rsidRPr="001A3D2B" w:rsidRDefault="00C921D0" w:rsidP="00C921D0">
      <w:pPr>
        <w:pStyle w:val="12"/>
      </w:pPr>
      <w:r w:rsidRPr="001A3D2B">
        <w:t>: Impact Factor</w:t>
      </w:r>
    </w:p>
    <w:p w:rsidR="00C921D0" w:rsidRDefault="00C921D0" w:rsidP="00C921D0">
      <w:pPr>
        <w:pStyle w:val="a3"/>
        <w:rPr>
          <w:kern w:val="0"/>
        </w:rPr>
      </w:pPr>
      <w:r>
        <w:rPr>
          <w:rFonts w:hint="eastAsia"/>
          <w:kern w:val="0"/>
        </w:rPr>
        <w:t xml:space="preserve">? </w:t>
      </w:r>
      <w:r>
        <w:rPr>
          <w:kern w:val="0"/>
        </w:rPr>
        <w:t>Kang, S., Yang, Y.J., Li, C.J.</w:t>
      </w:r>
      <w:r w:rsidR="005853A9">
        <w:rPr>
          <w:kern w:val="0"/>
        </w:rPr>
        <w:t xml:space="preserve"> and </w:t>
      </w:r>
      <w:r>
        <w:rPr>
          <w:kern w:val="0"/>
        </w:rPr>
        <w:t>Gao, R.L. (2008), Effects</w:t>
      </w:r>
      <w:r w:rsidR="00427468">
        <w:rPr>
          <w:kern w:val="0"/>
        </w:rPr>
        <w:t xml:space="preserve"> of </w:t>
      </w:r>
      <w:r>
        <w:rPr>
          <w:kern w:val="0"/>
        </w:rPr>
        <w:t>intracoronary autologous bone marrow cells on left ventricular function in acute myocardial infarction: A systematic review</w:t>
      </w:r>
      <w:r w:rsidR="005853A9">
        <w:rPr>
          <w:kern w:val="0"/>
        </w:rPr>
        <w:t xml:space="preserve"> and </w:t>
      </w:r>
      <w:r>
        <w:rPr>
          <w:kern w:val="0"/>
        </w:rPr>
        <w:t xml:space="preserve">meta-analysis for randomized controlled trials. </w:t>
      </w:r>
      <w:r w:rsidRPr="00C921D0">
        <w:rPr>
          <w:i/>
          <w:iCs/>
          <w:kern w:val="0"/>
        </w:rPr>
        <w:t>Coronary Artery Disease</w:t>
      </w:r>
      <w:r>
        <w:rPr>
          <w:kern w:val="0"/>
        </w:rPr>
        <w:t xml:space="preserve">, </w:t>
      </w:r>
      <w:r>
        <w:rPr>
          <w:b/>
          <w:bCs/>
          <w:kern w:val="0"/>
        </w:rPr>
        <w:t>19</w:t>
      </w:r>
      <w:r>
        <w:rPr>
          <w:kern w:val="0"/>
        </w:rPr>
        <w:t xml:space="preserve"> (5), 327-335.</w:t>
      </w:r>
    </w:p>
    <w:p w:rsidR="00C31CD1" w:rsidRDefault="00C31CD1" w:rsidP="00C31CD1">
      <w:pPr>
        <w:pStyle w:val="a3"/>
        <w:rPr>
          <w:kern w:val="0"/>
        </w:rPr>
      </w:pPr>
      <w:r>
        <w:rPr>
          <w:rFonts w:hint="eastAsia"/>
          <w:kern w:val="0"/>
        </w:rPr>
        <w:t xml:space="preserve">Full Text: </w:t>
      </w:r>
      <w:hyperlink r:id="rId1030" w:history="1">
        <w:r w:rsidRPr="002876F4">
          <w:rPr>
            <w:rStyle w:val="a5"/>
            <w:kern w:val="0"/>
          </w:rPr>
          <w:t>2008\Cor Art Dis19, 327.pdf</w:t>
        </w:r>
      </w:hyperlink>
    </w:p>
    <w:p w:rsidR="00C921D0" w:rsidRDefault="00C921D0" w:rsidP="00C921D0">
      <w:pPr>
        <w:pStyle w:val="a3"/>
        <w:rPr>
          <w:kern w:val="0"/>
        </w:rPr>
      </w:pPr>
      <w:r>
        <w:rPr>
          <w:kern w:val="0"/>
        </w:rPr>
        <w:t>Abstract: Background Experimental</w:t>
      </w:r>
      <w:r w:rsidR="005853A9">
        <w:rPr>
          <w:kern w:val="0"/>
        </w:rPr>
        <w:t xml:space="preserve"> and </w:t>
      </w:r>
      <w:r>
        <w:rPr>
          <w:kern w:val="0"/>
        </w:rPr>
        <w:t>clinical studies have suggested that intracoronary infusion</w:t>
      </w:r>
      <w:r w:rsidR="00427468">
        <w:rPr>
          <w:kern w:val="0"/>
        </w:rPr>
        <w:t xml:space="preserve"> of </w:t>
      </w:r>
      <w:r>
        <w:rPr>
          <w:kern w:val="0"/>
        </w:rPr>
        <w:t>bone marrow-derived stem/progenitor cells (BMC) may improve left ventricular function after acute myocardial infarction (AMI). We conducted a systematic review</w:t>
      </w:r>
      <w:r w:rsidR="005853A9">
        <w:rPr>
          <w:kern w:val="0"/>
        </w:rPr>
        <w:t xml:space="preserve"> and </w:t>
      </w:r>
      <w:r>
        <w:rPr>
          <w:kern w:val="0"/>
        </w:rPr>
        <w:t>meta-analysis to investigate the efficacy</w:t>
      </w:r>
      <w:r w:rsidR="005853A9">
        <w:rPr>
          <w:kern w:val="0"/>
        </w:rPr>
        <w:t xml:space="preserve"> and </w:t>
      </w:r>
      <w:r>
        <w:rPr>
          <w:kern w:val="0"/>
        </w:rPr>
        <w:t>safety</w:t>
      </w:r>
      <w:r w:rsidR="00427468">
        <w:rPr>
          <w:kern w:val="0"/>
        </w:rPr>
        <w:t xml:space="preserve"> of </w:t>
      </w:r>
      <w:r>
        <w:rPr>
          <w:kern w:val="0"/>
        </w:rPr>
        <w:t>BMC therapy on global left ventricular function in AMI. Methods A systematic literature search</w:t>
      </w:r>
      <w:r w:rsidR="00427468">
        <w:rPr>
          <w:kern w:val="0"/>
        </w:rPr>
        <w:t xml:space="preserve"> of </w:t>
      </w:r>
      <w:r w:rsidR="00D5664A">
        <w:rPr>
          <w:kern w:val="0"/>
        </w:rPr>
        <w:t>MEDLINE</w:t>
      </w:r>
      <w:r>
        <w:rPr>
          <w:kern w:val="0"/>
        </w:rPr>
        <w:t>, Cochrane Controlled Trials Register, EMBASE, Science Citation Index,</w:t>
      </w:r>
      <w:r w:rsidR="005853A9">
        <w:rPr>
          <w:kern w:val="0"/>
        </w:rPr>
        <w:t xml:space="preserve"> and </w:t>
      </w:r>
      <w:r>
        <w:rPr>
          <w:kern w:val="0"/>
        </w:rPr>
        <w:t>PUBMED from their inception to March 2007 was conducted using specific search terms. Reference lists</w:t>
      </w:r>
      <w:r w:rsidR="00427468">
        <w:rPr>
          <w:kern w:val="0"/>
        </w:rPr>
        <w:t xml:space="preserve"> of </w:t>
      </w:r>
      <w:r>
        <w:rPr>
          <w:kern w:val="0"/>
        </w:rPr>
        <w:t>papers</w:t>
      </w:r>
      <w:r w:rsidR="005853A9">
        <w:rPr>
          <w:kern w:val="0"/>
        </w:rPr>
        <w:t xml:space="preserve"> and </w:t>
      </w:r>
      <w:r>
        <w:rPr>
          <w:kern w:val="0"/>
        </w:rPr>
        <w:t>reviews on the topic were further searched. Finally, six randomized controlled trials that comprised 517 patients were eligible for further meta-analysis. We used a standardized protocol to extract information on the included studies. Results Compared with the control groups, BMC therapy produced a slight improvement</w:t>
      </w:r>
      <w:r w:rsidR="00427468">
        <w:rPr>
          <w:kern w:val="0"/>
        </w:rPr>
        <w:t xml:space="preserve"> of </w:t>
      </w:r>
      <w:r>
        <w:rPr>
          <w:kern w:val="0"/>
        </w:rPr>
        <w:t>the follow-up left ventricular ejection fraction (LVEF) [2.53%, 95% confidence interval (CO: 0.67-4.39, P= 0.0081 between 3</w:t>
      </w:r>
      <w:r w:rsidR="005853A9">
        <w:rPr>
          <w:kern w:val="0"/>
        </w:rPr>
        <w:t xml:space="preserve"> and </w:t>
      </w:r>
      <w:r>
        <w:rPr>
          <w:kern w:val="0"/>
        </w:rPr>
        <w:t>6 months. Similarly, BMC therapy also significantly improved the LVEF change from baseline to follow-up [2.88%, 95%CI: 1.69-4.08, P=0.0001 compared to control groups,</w:t>
      </w:r>
      <w:r w:rsidR="005853A9">
        <w:rPr>
          <w:kern w:val="0"/>
        </w:rPr>
        <w:t xml:space="preserve"> and </w:t>
      </w:r>
      <w:r>
        <w:rPr>
          <w:kern w:val="0"/>
        </w:rPr>
        <w:t>the heterogeneity across the studies with regards to the follow-up LVEF (P=0.696)</w:t>
      </w:r>
      <w:r w:rsidR="005853A9">
        <w:rPr>
          <w:kern w:val="0"/>
        </w:rPr>
        <w:t xml:space="preserve"> and </w:t>
      </w:r>
      <w:r>
        <w:rPr>
          <w:kern w:val="0"/>
        </w:rPr>
        <w:t>the LVEF change (P=0.1 79). Major adverse cardiovascular events, including ventricular arrhythmia, rehospitalization for heart failure,</w:t>
      </w:r>
      <w:r w:rsidR="005853A9">
        <w:rPr>
          <w:kern w:val="0"/>
        </w:rPr>
        <w:t xml:space="preserve"> and </w:t>
      </w:r>
      <w:r>
        <w:rPr>
          <w:kern w:val="0"/>
        </w:rPr>
        <w:t>the composite</w:t>
      </w:r>
      <w:r w:rsidR="00427468">
        <w:rPr>
          <w:kern w:val="0"/>
        </w:rPr>
        <w:t xml:space="preserve"> of </w:t>
      </w:r>
      <w:r>
        <w:rPr>
          <w:kern w:val="0"/>
        </w:rPr>
        <w:t xml:space="preserve">other cardiovascular events (cardiac death, recurrent myocardial infarction, infarct-vessel </w:t>
      </w:r>
      <w:r>
        <w:rPr>
          <w:kern w:val="0"/>
        </w:rPr>
        <w:lastRenderedPageBreak/>
        <w:t>revascularization procedure,</w:t>
      </w:r>
      <w:r w:rsidR="005853A9">
        <w:rPr>
          <w:kern w:val="0"/>
        </w:rPr>
        <w:t xml:space="preserve"> and </w:t>
      </w:r>
      <w:r>
        <w:rPr>
          <w:kern w:val="0"/>
        </w:rPr>
        <w:t>stroke), were not significantly different between BMC therapy</w:t>
      </w:r>
      <w:r w:rsidR="005853A9">
        <w:rPr>
          <w:kern w:val="0"/>
        </w:rPr>
        <w:t xml:space="preserve"> and </w:t>
      </w:r>
      <w:r>
        <w:rPr>
          <w:kern w:val="0"/>
        </w:rPr>
        <w:t>control groups [relative risk (RR): 1.19, 95%CI: 0.68-2.06; RR: 1.79, 95%CI: 0.62-5.17;</w:t>
      </w:r>
      <w:r w:rsidR="005853A9">
        <w:rPr>
          <w:kern w:val="0"/>
        </w:rPr>
        <w:t xml:space="preserve"> and </w:t>
      </w:r>
      <w:r>
        <w:rPr>
          <w:kern w:val="0"/>
        </w:rPr>
        <w:t>RR: 1.05, 95%CI: 0.81-1.35, respectively]. Conclusion On the basis</w:t>
      </w:r>
      <w:r w:rsidR="00427468">
        <w:rPr>
          <w:kern w:val="0"/>
        </w:rPr>
        <w:t xml:space="preserve"> of </w:t>
      </w:r>
      <w:r>
        <w:rPr>
          <w:kern w:val="0"/>
        </w:rPr>
        <w:t>present evidence, intracoronary BMC infusion in patients with AMI seems to be safe</w:t>
      </w:r>
      <w:r w:rsidR="005853A9">
        <w:rPr>
          <w:kern w:val="0"/>
        </w:rPr>
        <w:t xml:space="preserve"> and </w:t>
      </w:r>
      <w:r>
        <w:rPr>
          <w:kern w:val="0"/>
        </w:rPr>
        <w:t>associated with slight improvement</w:t>
      </w:r>
      <w:r w:rsidR="00427468">
        <w:rPr>
          <w:kern w:val="0"/>
        </w:rPr>
        <w:t xml:space="preserve"> of </w:t>
      </w:r>
      <w:r>
        <w:rPr>
          <w:kern w:val="0"/>
        </w:rPr>
        <w:t>the left ventricular ejection fraction at 3-6 months</w:t>
      </w:r>
      <w:r w:rsidR="0071223E">
        <w:rPr>
          <w:kern w:val="0"/>
        </w:rPr>
        <w:t>’</w:t>
      </w:r>
      <w:r>
        <w:rPr>
          <w:kern w:val="0"/>
        </w:rPr>
        <w:t xml:space="preserve"> follow-up.</w:t>
      </w:r>
    </w:p>
    <w:p w:rsidR="00C921D0" w:rsidRDefault="00C921D0" w:rsidP="00C921D0">
      <w:pPr>
        <w:pStyle w:val="a3"/>
        <w:rPr>
          <w:kern w:val="0"/>
        </w:rPr>
      </w:pPr>
      <w:r>
        <w:rPr>
          <w:kern w:val="0"/>
        </w:rPr>
        <w:t xml:space="preserve">Keywords: Acute Myocardial Infarction, Arrhythmia, Bone, Bone Marrow, Bone Marrow-Derived Stem, Progenitor Cells, Cardiovascular, Citation, Clinical, Clinical Studies, Co, Composite, Confidence, Control, Control Groups, Death, Design, Efficacy, Embase, Events, Evidence, Failure, Follow-Up, Function, Global, Global Left Ventricular Function, Groups, Heart, Heart Failure, Heterogeneity, Improvement, Infarction, Information, Infusion, Interval, Left Ventricular Ejection Fraction, Literature, </w:t>
      </w:r>
      <w:r w:rsidR="00D5664A">
        <w:rPr>
          <w:kern w:val="0"/>
        </w:rPr>
        <w:t>MEDLINE</w:t>
      </w:r>
      <w:r>
        <w:rPr>
          <w:kern w:val="0"/>
        </w:rPr>
        <w:t>, Meta Analysis, Meta-Analysis, Metaanalysis, Myocardial Infarction, Papers, Patients, Procedure, Progenitor Cells, Randomized, Randomized Controlled Trials, Recurrent, Reference Lists, Regeneration Enhancement, Rehospitalization, Results, Revascularization, Review, Reviews, Risk, Safety, Science, Science Citation Index, Stem-Cells, Stroke, Systematic Literature Search, Systematic Review, Therapy, Topcare-Ami, Topic, Transplantation</w:t>
      </w:r>
    </w:p>
    <w:p w:rsidR="008A3BC8" w:rsidRDefault="008A3BC8" w:rsidP="008A3BC8">
      <w:pPr>
        <w:pStyle w:val="a3"/>
        <w:rPr>
          <w:kern w:val="0"/>
          <w:szCs w:val="24"/>
        </w:rPr>
      </w:pPr>
      <w:r>
        <w:rPr>
          <w:rFonts w:hint="eastAsia"/>
          <w:kern w:val="0"/>
          <w:szCs w:val="24"/>
        </w:rPr>
        <w:t xml:space="preserve">? </w:t>
      </w:r>
      <w:r>
        <w:rPr>
          <w:kern w:val="0"/>
          <w:szCs w:val="24"/>
        </w:rPr>
        <w:t>Chatterjee, S., Sharma, A., Uchino, K., Biondi-Zoccai, G., Lichstein, E.</w:t>
      </w:r>
      <w:r w:rsidR="005853A9">
        <w:rPr>
          <w:kern w:val="0"/>
          <w:szCs w:val="24"/>
        </w:rPr>
        <w:t xml:space="preserve"> and </w:t>
      </w:r>
      <w:r>
        <w:rPr>
          <w:kern w:val="0"/>
          <w:szCs w:val="24"/>
        </w:rPr>
        <w:t>Mukherjee, D. (2013), Rivaroxaban</w:t>
      </w:r>
      <w:r w:rsidR="005853A9">
        <w:rPr>
          <w:kern w:val="0"/>
          <w:szCs w:val="24"/>
        </w:rPr>
        <w:t xml:space="preserve"> and </w:t>
      </w:r>
      <w:r>
        <w:rPr>
          <w:kern w:val="0"/>
          <w:szCs w:val="24"/>
        </w:rPr>
        <w:t>risk</w:t>
      </w:r>
      <w:r w:rsidR="00427468">
        <w:rPr>
          <w:kern w:val="0"/>
          <w:szCs w:val="24"/>
        </w:rPr>
        <w:t xml:space="preserve"> of </w:t>
      </w:r>
      <w:r>
        <w:rPr>
          <w:kern w:val="0"/>
          <w:szCs w:val="24"/>
        </w:rPr>
        <w:t>myocardial infarction: Insights from a meta- analysis</w:t>
      </w:r>
      <w:r w:rsidR="005853A9">
        <w:rPr>
          <w:kern w:val="0"/>
          <w:szCs w:val="24"/>
        </w:rPr>
        <w:t xml:space="preserve"> and </w:t>
      </w:r>
      <w:r>
        <w:rPr>
          <w:kern w:val="0"/>
          <w:szCs w:val="24"/>
        </w:rPr>
        <w:t>trial sequential analysis</w:t>
      </w:r>
      <w:r w:rsidR="00427468">
        <w:rPr>
          <w:kern w:val="0"/>
          <w:szCs w:val="24"/>
        </w:rPr>
        <w:t xml:space="preserve"> of </w:t>
      </w:r>
      <w:r>
        <w:rPr>
          <w:kern w:val="0"/>
          <w:szCs w:val="24"/>
        </w:rPr>
        <w:t xml:space="preserve">randomized clinical trials. </w:t>
      </w:r>
      <w:r>
        <w:rPr>
          <w:i/>
          <w:iCs/>
          <w:kern w:val="0"/>
          <w:szCs w:val="24"/>
        </w:rPr>
        <w:t>Coronary Artery Disease</w:t>
      </w:r>
      <w:r>
        <w:rPr>
          <w:kern w:val="0"/>
          <w:szCs w:val="24"/>
        </w:rPr>
        <w:t xml:space="preserve">, </w:t>
      </w:r>
      <w:r>
        <w:rPr>
          <w:b/>
          <w:bCs/>
          <w:kern w:val="0"/>
          <w:szCs w:val="24"/>
        </w:rPr>
        <w:t>24</w:t>
      </w:r>
      <w:r>
        <w:rPr>
          <w:kern w:val="0"/>
          <w:szCs w:val="24"/>
        </w:rPr>
        <w:t xml:space="preserve"> (8), 628-635.</w:t>
      </w:r>
    </w:p>
    <w:p w:rsidR="00C31CD1" w:rsidRDefault="00C31CD1" w:rsidP="00C31CD1">
      <w:pPr>
        <w:pStyle w:val="a3"/>
        <w:rPr>
          <w:kern w:val="0"/>
        </w:rPr>
      </w:pPr>
      <w:r>
        <w:rPr>
          <w:rFonts w:hint="eastAsia"/>
          <w:kern w:val="0"/>
        </w:rPr>
        <w:t xml:space="preserve">Full Text: </w:t>
      </w:r>
      <w:hyperlink r:id="rId1031" w:history="1">
        <w:r w:rsidRPr="002876F4">
          <w:rPr>
            <w:rStyle w:val="a5"/>
            <w:kern w:val="0"/>
          </w:rPr>
          <w:t>2013\Cor Art Dis24, 628.pdf</w:t>
        </w:r>
      </w:hyperlink>
    </w:p>
    <w:p w:rsidR="008A3BC8" w:rsidRDefault="008A3BC8" w:rsidP="008A3BC8">
      <w:pPr>
        <w:pStyle w:val="a3"/>
        <w:rPr>
          <w:kern w:val="0"/>
          <w:szCs w:val="24"/>
        </w:rPr>
      </w:pPr>
      <w:r>
        <w:rPr>
          <w:kern w:val="0"/>
          <w:szCs w:val="24"/>
        </w:rPr>
        <w:t>Abstract: ObjectiveTo evaluate the risk</w:t>
      </w:r>
      <w:r w:rsidR="00427468">
        <w:rPr>
          <w:kern w:val="0"/>
          <w:szCs w:val="24"/>
        </w:rPr>
        <w:t xml:space="preserve"> of </w:t>
      </w:r>
      <w:r>
        <w:rPr>
          <w:kern w:val="0"/>
          <w:szCs w:val="24"/>
        </w:rPr>
        <w:t>myocardial infarction (MI) associated with the use</w:t>
      </w:r>
      <w:r w:rsidR="00427468">
        <w:rPr>
          <w:kern w:val="0"/>
          <w:szCs w:val="24"/>
        </w:rPr>
        <w:t xml:space="preserve"> of </w:t>
      </w:r>
      <w:r>
        <w:rPr>
          <w:kern w:val="0"/>
          <w:szCs w:val="24"/>
        </w:rPr>
        <w:t>rivaroxaban.MethodsWe searched PubMed, CINAHL, Cochrane CENTRAL, Scopus,</w:t>
      </w:r>
      <w:r w:rsidR="005853A9">
        <w:rPr>
          <w:kern w:val="0"/>
          <w:szCs w:val="24"/>
        </w:rPr>
        <w:t xml:space="preserve"> and </w:t>
      </w:r>
      <w:r>
        <w:rPr>
          <w:kern w:val="0"/>
          <w:szCs w:val="24"/>
        </w:rPr>
        <w:t xml:space="preserve">the </w:t>
      </w:r>
      <w:r w:rsidR="00D5664A">
        <w:rPr>
          <w:kern w:val="0"/>
          <w:szCs w:val="24"/>
        </w:rPr>
        <w:t>Web</w:t>
      </w:r>
      <w:r w:rsidR="00427468">
        <w:rPr>
          <w:kern w:val="0"/>
          <w:szCs w:val="24"/>
        </w:rPr>
        <w:t xml:space="preserve"> of </w:t>
      </w:r>
      <w:r w:rsidR="00D5664A">
        <w:rPr>
          <w:kern w:val="0"/>
          <w:szCs w:val="24"/>
        </w:rPr>
        <w:t>Science</w:t>
      </w:r>
      <w:r>
        <w:rPr>
          <w:kern w:val="0"/>
          <w:szCs w:val="24"/>
        </w:rPr>
        <w:t xml:space="preserve"> for randomized controlled trials</w:t>
      </w:r>
      <w:r w:rsidR="00427468">
        <w:rPr>
          <w:kern w:val="0"/>
          <w:szCs w:val="24"/>
        </w:rPr>
        <w:t xml:space="preserve"> of </w:t>
      </w:r>
      <w:r>
        <w:rPr>
          <w:kern w:val="0"/>
          <w:szCs w:val="24"/>
        </w:rPr>
        <w:t>rivaroxaban that reported on MI as clinical outcomes. We express the associations as odds ratios</w:t>
      </w:r>
      <w:r w:rsidR="005853A9">
        <w:rPr>
          <w:kern w:val="0"/>
          <w:szCs w:val="24"/>
        </w:rPr>
        <w:t xml:space="preserve"> and </w:t>
      </w:r>
      <w:r>
        <w:rPr>
          <w:kern w:val="0"/>
          <w:szCs w:val="24"/>
        </w:rPr>
        <w:t>their 95% confidence intervals. A trial sequential analysis was carried out to ensure validity</w:t>
      </w:r>
      <w:r w:rsidR="00427468">
        <w:rPr>
          <w:kern w:val="0"/>
          <w:szCs w:val="24"/>
        </w:rPr>
        <w:t xml:space="preserve"> of </w:t>
      </w:r>
      <w:r>
        <w:rPr>
          <w:kern w:val="0"/>
          <w:szCs w:val="24"/>
        </w:rPr>
        <w:t>our findings.ResultsNine trials were selected (N=53 827), including one study on stroke prophylaxis in atrial fibrillation, two in acute coronary syndrome, four</w:t>
      </w:r>
      <w:r w:rsidR="00427468">
        <w:rPr>
          <w:kern w:val="0"/>
          <w:szCs w:val="24"/>
        </w:rPr>
        <w:t xml:space="preserve"> of </w:t>
      </w:r>
      <w:r>
        <w:rPr>
          <w:kern w:val="0"/>
          <w:szCs w:val="24"/>
        </w:rPr>
        <w:t>short-term prophylaxis</w:t>
      </w:r>
      <w:r w:rsidR="00427468">
        <w:rPr>
          <w:kern w:val="0"/>
          <w:szCs w:val="24"/>
        </w:rPr>
        <w:t xml:space="preserve"> of </w:t>
      </w:r>
      <w:r>
        <w:rPr>
          <w:kern w:val="0"/>
          <w:szCs w:val="24"/>
        </w:rPr>
        <w:t>deep venous thrombosis,</w:t>
      </w:r>
      <w:r w:rsidR="005853A9">
        <w:rPr>
          <w:kern w:val="0"/>
          <w:szCs w:val="24"/>
        </w:rPr>
        <w:t xml:space="preserve"> and </w:t>
      </w:r>
      <w:r>
        <w:rPr>
          <w:kern w:val="0"/>
          <w:szCs w:val="24"/>
        </w:rPr>
        <w:t>two for treatment</w:t>
      </w:r>
      <w:r w:rsidR="00427468">
        <w:rPr>
          <w:kern w:val="0"/>
          <w:szCs w:val="24"/>
        </w:rPr>
        <w:t xml:space="preserve"> of </w:t>
      </w:r>
      <w:r>
        <w:rPr>
          <w:kern w:val="0"/>
          <w:szCs w:val="24"/>
        </w:rPr>
        <w:t>deep venous thrombosis/pulmonary embolism. Control arms included warfarin, enoxaparin, or placebo administration. Rivaroxaban was associated with a significantly lower risk</w:t>
      </w:r>
      <w:r w:rsidR="00427468">
        <w:rPr>
          <w:kern w:val="0"/>
          <w:szCs w:val="24"/>
        </w:rPr>
        <w:t xml:space="preserve"> of </w:t>
      </w:r>
      <w:r>
        <w:rPr>
          <w:kern w:val="0"/>
          <w:szCs w:val="24"/>
        </w:rPr>
        <w:t>MI compared with the agents used in the control group (odds ratio, 0.82; 95% confidence interval, 0.72-0.94; P=0.004). No heterogeneity was noted in the risk (I-2=0%; P=0.55); trial sequential analysis reinforced the validity</w:t>
      </w:r>
      <w:r w:rsidR="00427468">
        <w:rPr>
          <w:kern w:val="0"/>
          <w:szCs w:val="24"/>
        </w:rPr>
        <w:t xml:space="preserve"> of </w:t>
      </w:r>
      <w:r>
        <w:rPr>
          <w:kern w:val="0"/>
          <w:szCs w:val="24"/>
        </w:rPr>
        <w:t>our findings.ConclusionRivaroxaban is associated with a significantly lower risk</w:t>
      </w:r>
      <w:r w:rsidR="00427468">
        <w:rPr>
          <w:kern w:val="0"/>
          <w:szCs w:val="24"/>
        </w:rPr>
        <w:t xml:space="preserve"> of </w:t>
      </w:r>
      <w:r>
        <w:rPr>
          <w:kern w:val="0"/>
          <w:szCs w:val="24"/>
        </w:rPr>
        <w:t>MI in a broad spectrum</w:t>
      </w:r>
      <w:r w:rsidR="00427468">
        <w:rPr>
          <w:kern w:val="0"/>
          <w:szCs w:val="24"/>
        </w:rPr>
        <w:t xml:space="preserve"> of </w:t>
      </w:r>
      <w:r>
        <w:rPr>
          <w:kern w:val="0"/>
          <w:szCs w:val="24"/>
        </w:rPr>
        <w:t>patients when tested against different controls.</w:t>
      </w:r>
    </w:p>
    <w:p w:rsidR="008A3BC8" w:rsidRDefault="008A3BC8" w:rsidP="008A3BC8">
      <w:pPr>
        <w:pStyle w:val="a3"/>
        <w:rPr>
          <w:kern w:val="0"/>
          <w:szCs w:val="24"/>
        </w:rPr>
      </w:pPr>
      <w:r>
        <w:rPr>
          <w:kern w:val="0"/>
          <w:szCs w:val="24"/>
        </w:rPr>
        <w:lastRenderedPageBreak/>
        <w:t xml:space="preserve">Keywords: Acute Coronary Syndrome, Administration, Analysis, Antiplatelet Therapy, Arteries, Artery, Article, Atrial Fibrillation, Atrial-Fibrillation, Clinical, Clinical Outcomes, Clinical Trials, Confidence, Confidence Intervals, Control, Coronary, Coronary-Arteries, Cumulative Metaanalysis, Deep Venous Thrombosis, Double-Blind, Embolism, Enoxaparin, Factor-Xa Inhibitor, Heterogeneity, Infarction, Information Size, Interval, Intervals, Meta Analysis, Meta-Analysis, Myocardial Infarction, New York, Odds Ratio, Outcomes, Patients, Placebo, Prophylaxis, Pubmed, Randomized, Randomized Controlled Trials, Risk, Rivaroxaban, Science, Scopus, St-Segment Elevation, Stroke, Syndrome, Thrombosis, Total Knee Arthroplasty, Treatment, Trial, </w:t>
      </w:r>
      <w:r w:rsidR="00D5664A">
        <w:rPr>
          <w:kern w:val="0"/>
          <w:szCs w:val="24"/>
        </w:rPr>
        <w:t>USA</w:t>
      </w:r>
      <w:r>
        <w:rPr>
          <w:kern w:val="0"/>
          <w:szCs w:val="24"/>
        </w:rPr>
        <w:t xml:space="preserve">, Validity, Venous Thromboembolism, Venous Thrombosis, Warfarin, </w:t>
      </w:r>
      <w:r w:rsidR="00D5664A">
        <w:rPr>
          <w:kern w:val="0"/>
          <w:szCs w:val="24"/>
        </w:rPr>
        <w:t>Web</w:t>
      </w:r>
      <w:r w:rsidR="00427468">
        <w:rPr>
          <w:kern w:val="0"/>
          <w:szCs w:val="24"/>
        </w:rPr>
        <w:t xml:space="preserve"> of </w:t>
      </w:r>
      <w:r w:rsidR="00D5664A">
        <w:rPr>
          <w:kern w:val="0"/>
          <w:szCs w:val="24"/>
        </w:rPr>
        <w:t>Science</w:t>
      </w:r>
    </w:p>
    <w:p w:rsidR="00B6701C" w:rsidRDefault="00B6701C" w:rsidP="00B6701C">
      <w:pPr>
        <w:pStyle w:val="a3"/>
        <w:rPr>
          <w:kern w:val="0"/>
          <w:szCs w:val="24"/>
        </w:rPr>
      </w:pPr>
      <w:r>
        <w:rPr>
          <w:kern w:val="0"/>
          <w:szCs w:val="24"/>
        </w:rPr>
        <w:t xml:space="preserve">? Li, D.L., Qu, C.S. and Dong, P.S. (2014), The ICAM-1 K469E polymorphism is associated with the risk of coronary artery disease: A meta-analysis. </w:t>
      </w:r>
      <w:r>
        <w:rPr>
          <w:i/>
          <w:iCs/>
          <w:kern w:val="0"/>
          <w:szCs w:val="24"/>
        </w:rPr>
        <w:t>Coronary Artery Disease</w:t>
      </w:r>
      <w:r>
        <w:rPr>
          <w:kern w:val="0"/>
          <w:szCs w:val="24"/>
        </w:rPr>
        <w:t xml:space="preserve">, </w:t>
      </w:r>
      <w:r>
        <w:rPr>
          <w:b/>
          <w:bCs/>
          <w:kern w:val="0"/>
          <w:szCs w:val="24"/>
        </w:rPr>
        <w:t>25</w:t>
      </w:r>
      <w:r>
        <w:rPr>
          <w:kern w:val="0"/>
          <w:szCs w:val="24"/>
        </w:rPr>
        <w:t xml:space="preserve"> (8), 665-670.</w:t>
      </w:r>
    </w:p>
    <w:p w:rsidR="00C31CD1" w:rsidRDefault="00C31CD1" w:rsidP="00C31CD1">
      <w:pPr>
        <w:pStyle w:val="a3"/>
        <w:rPr>
          <w:kern w:val="0"/>
        </w:rPr>
      </w:pPr>
      <w:r>
        <w:rPr>
          <w:kern w:val="0"/>
        </w:rPr>
        <w:t xml:space="preserve">Full Text: </w:t>
      </w:r>
      <w:hyperlink r:id="rId1032" w:history="1">
        <w:r w:rsidRPr="002876F4">
          <w:rPr>
            <w:rStyle w:val="a5"/>
            <w:kern w:val="0"/>
          </w:rPr>
          <w:t>2014\Cor Art Dis25, 665.pdf</w:t>
        </w:r>
      </w:hyperlink>
    </w:p>
    <w:p w:rsidR="00B6701C" w:rsidRDefault="00B6701C" w:rsidP="00B6701C">
      <w:pPr>
        <w:pStyle w:val="a3"/>
        <w:rPr>
          <w:kern w:val="0"/>
          <w:szCs w:val="24"/>
        </w:rPr>
      </w:pPr>
      <w:r>
        <w:rPr>
          <w:kern w:val="0"/>
          <w:szCs w:val="24"/>
        </w:rPr>
        <w:t>Abstract: BackgroundThe intercellular adhesion molecule-1 (ICAM-1) K469E polymorphism has been indicated to be correlated with coronary artery disease (CAD) susceptibility, but the results of studies are still debatable. Thus, a meta-analysis was carried out.MethodsDatabases including PubMed, Embase, Web of Science, and CNKI were searched. Data were extracted and pooled odds ratios (OR) with 95% confidence intervals (CI) were calculated.ResultsEighteen studies with 3546 cases and 3852 controls were included in this meta-analysis. The association between the ICAM-1 K469E polymorphism and the risk of CAD was significant (OR=1.77; 95% CI, 1.52-2.05; P&lt;0.01; I-2=27%). This result remained statistically significant when the adjusted ORs were combined (OR=1.95; 95% CI, 1.78-2.14; P&lt;0.01; I-2=0%). When stratified by ethnicity, a significantly increased risk was observed in Whites (OR=1.75; 95% CI, 1.37-2.23; P&lt;0.01; I-2=58%) and in Asians (OR=1.80; 95% CI, 1.45-2.24; P&lt;0.01; I-2=0%). A significantly increased risk of myocardial infarction was observed (OR=2.24; 95% CI, 1.72-2.92; P&lt;0.01; I-2=38%).ConclusionIn conclusion, this meta-analysis suggested that the ICAM-1 K469E polymorphism was a risk factor for CAD.</w:t>
      </w:r>
    </w:p>
    <w:p w:rsidR="00B6701C" w:rsidRDefault="00B6701C" w:rsidP="00B6701C">
      <w:pPr>
        <w:pStyle w:val="a3"/>
        <w:rPr>
          <w:kern w:val="0"/>
          <w:szCs w:val="24"/>
        </w:rPr>
      </w:pPr>
      <w:r>
        <w:rPr>
          <w:kern w:val="0"/>
          <w:szCs w:val="24"/>
        </w:rPr>
        <w:t>Keywords: Adhesion, Artery, Asians, Association, Atherosclerosis, Cad, Cardiovascular-Disease, Confidence, Confidence Intervals, Coronary Artery, Coronary Artery Disease, Data, Disease, Ethnicity, Genetics, Heart-Disease, Icam-1, Infarction, Intercellular Adhesion Molecule-1, Intercellular-Adhesion Molecule-1, Intervals, Meta Analysis, Meta-Analysis, Metaanalysis, Myocardial Infarction, Myocardial-Infarction, P-Selectin, Polymorphism, Pubmed, Risk, Risk Factor, Science, Susceptibility, Web, Web Of Science</w:t>
      </w:r>
    </w:p>
    <w:p w:rsidR="00806353" w:rsidRDefault="00806353" w:rsidP="00806353">
      <w:pPr>
        <w:pStyle w:val="a3"/>
        <w:rPr>
          <w:kern w:val="0"/>
        </w:rPr>
      </w:pPr>
      <w:r>
        <w:rPr>
          <w:kern w:val="0"/>
        </w:rPr>
        <w:t xml:space="preserve">? Wang, H.X. and Dong, P.S. (2015), Thrombomodulin-33G/A and Ala455Val </w:t>
      </w:r>
      <w:r>
        <w:rPr>
          <w:kern w:val="0"/>
        </w:rPr>
        <w:lastRenderedPageBreak/>
        <w:t xml:space="preserve">polymorphisms are associated with the risk of coronary artery disease: A meta-analysis including 12 584 patients. </w:t>
      </w:r>
      <w:r>
        <w:rPr>
          <w:i/>
          <w:iCs/>
          <w:kern w:val="0"/>
        </w:rPr>
        <w:t>Coronary Artery Disease</w:t>
      </w:r>
      <w:r>
        <w:rPr>
          <w:kern w:val="0"/>
        </w:rPr>
        <w:t xml:space="preserve">, </w:t>
      </w:r>
      <w:r>
        <w:rPr>
          <w:b/>
          <w:bCs/>
          <w:kern w:val="0"/>
        </w:rPr>
        <w:t>26</w:t>
      </w:r>
      <w:r>
        <w:rPr>
          <w:kern w:val="0"/>
        </w:rPr>
        <w:t xml:space="preserve"> (1), 72-77.</w:t>
      </w:r>
    </w:p>
    <w:p w:rsidR="00806353" w:rsidRDefault="00806353" w:rsidP="00806353">
      <w:pPr>
        <w:pStyle w:val="a3"/>
        <w:rPr>
          <w:kern w:val="0"/>
        </w:rPr>
      </w:pPr>
      <w:r>
        <w:rPr>
          <w:kern w:val="0"/>
        </w:rPr>
        <w:t xml:space="preserve">Full Text: </w:t>
      </w:r>
      <w:hyperlink r:id="rId1033" w:history="1">
        <w:r w:rsidRPr="002876F4">
          <w:rPr>
            <w:rStyle w:val="a5"/>
            <w:kern w:val="0"/>
          </w:rPr>
          <w:t>2015\Cor Art Dis26, 72.pdf</w:t>
        </w:r>
      </w:hyperlink>
    </w:p>
    <w:p w:rsidR="00806353" w:rsidRDefault="00806353" w:rsidP="00806353">
      <w:pPr>
        <w:pStyle w:val="a3"/>
        <w:rPr>
          <w:kern w:val="0"/>
        </w:rPr>
      </w:pPr>
      <w:r>
        <w:rPr>
          <w:kern w:val="0"/>
        </w:rPr>
        <w:t>Abstract: Background Thrombomodulin (TM) -33G/A and Ala455Val polymorphisms have been indicated to be correlated with the risk of coronary artery disease (CAD), but study results are still inclusive. Thus, a meta-analysis was carried out. Materials and methods Databases including PubMed, Embase, CNKI, and Web of Science (ISI) were searched. Data were extracted and pooled odds ratios (ORs) with 95% confidence intervals (CIs) were calculated. Results Thirteen case-control studies on the relationship between TM - 33G/A and Ala455Val polymorphisms and the risk of CAD were included in this meta-analysis. The association between the TM -33G/A polymorphism and the risk of CAD was significant (OR = 1.65; 95% CI, 1.35-2.02; P &lt; 0.01; I-2 = 15%). This result remained statistically significant when the adjusted ORs were combined (OR = 1.50; 95% CI, 1.23-1.84; P &lt; 0.01; I-2 = 0%). The association between the TM Ala455Val polymorphism and the risk of CAD was also significant (OR = 1.14; 95% CI, 1.05-1.24; P &lt; 0.01; I-2 = 0%). This result remained statistically significant when the adjusted ORs were combined (OR = 1.57; 95% CI, 1.05-2.34; P = 0.03; I-2 = 32%). Conclusion This meta-analysis suggested that TM -33G/A and Ala455Val polymorphisms were risk factors for CAD. Coron Artery Dis 26:72-77 (C) 2014 Wolters Kluwer Health vertical bar Lippincott Williams &amp; Wilkins.</w:t>
      </w:r>
    </w:p>
    <w:p w:rsidR="00806353" w:rsidRDefault="00806353" w:rsidP="00806353">
      <w:pPr>
        <w:pStyle w:val="a3"/>
        <w:rPr>
          <w:kern w:val="0"/>
        </w:rPr>
      </w:pPr>
      <w:r>
        <w:rPr>
          <w:kern w:val="0"/>
        </w:rPr>
        <w:t>Keywords: Acute Myocardial-Infarction, Artery, Association, Cad, Case-Control, Case-Control Studies, Confidence, Confidence Intervals, Coronary Artery, Coronary Artery Disease, Data, Databases, Disease, Factors, Gene Polymorphisms, Genetic, Health, Heart-Disease, Intervals, Isi, Materials, Meta Analysis, Meta-Analysis, Metaanalysis, Methods, Onset, P, Patients, Polymorphism, Polymorphisms, Population, Pubmed, Region, Results, Risk, Risk Factors, Science, Thrombomodulin, Variants, Vertical, Web, Web Of Science</w:t>
      </w:r>
    </w:p>
    <w:p w:rsidR="0005086E" w:rsidRPr="001A3D2B" w:rsidRDefault="0005086E" w:rsidP="0005086E">
      <w:pPr>
        <w:pStyle w:val="1"/>
      </w:pPr>
      <w:r w:rsidRPr="001A3D2B">
        <w:br w:type="page"/>
      </w:r>
      <w:bookmarkStart w:id="409" w:name="_Toc420815119"/>
      <w:r w:rsidRPr="001A3D2B">
        <w:lastRenderedPageBreak/>
        <w:t>Title: Corporate Governance-An International Review</w:t>
      </w:r>
      <w:bookmarkEnd w:id="409"/>
    </w:p>
    <w:p w:rsidR="0005086E" w:rsidRPr="001A3D2B" w:rsidRDefault="0005086E" w:rsidP="0005086E">
      <w:pPr>
        <w:pStyle w:val="12"/>
      </w:pPr>
      <w:r w:rsidRPr="001A3D2B">
        <w:t xml:space="preserve">Full Journal Title: </w:t>
      </w:r>
      <w:hyperlink r:id="rId1034" w:history="1">
        <w:r w:rsidRPr="001A3D2B">
          <w:rPr>
            <w:rStyle w:val="a5"/>
            <w:kern w:val="0"/>
          </w:rPr>
          <w:t>Corporate Governance-An International Review</w:t>
        </w:r>
      </w:hyperlink>
    </w:p>
    <w:p w:rsidR="0005086E" w:rsidRPr="001A3D2B" w:rsidRDefault="0005086E" w:rsidP="0005086E">
      <w:pPr>
        <w:pStyle w:val="12"/>
      </w:pPr>
      <w:r w:rsidRPr="001A3D2B">
        <w:t xml:space="preserve">ISO Abbreviated Title: </w:t>
      </w:r>
    </w:p>
    <w:p w:rsidR="0005086E" w:rsidRPr="001A3D2B" w:rsidRDefault="0005086E" w:rsidP="0005086E">
      <w:pPr>
        <w:pStyle w:val="12"/>
      </w:pPr>
      <w:r w:rsidRPr="001A3D2B">
        <w:t xml:space="preserve">JCR Abbreviated Title: </w:t>
      </w:r>
    </w:p>
    <w:p w:rsidR="0005086E" w:rsidRPr="001A3D2B" w:rsidRDefault="0005086E" w:rsidP="0005086E">
      <w:pPr>
        <w:pStyle w:val="12"/>
      </w:pPr>
      <w:r w:rsidRPr="001A3D2B">
        <w:t xml:space="preserve">ISSN: </w:t>
      </w:r>
    </w:p>
    <w:p w:rsidR="0005086E" w:rsidRPr="001A3D2B" w:rsidRDefault="0005086E" w:rsidP="0005086E">
      <w:pPr>
        <w:pStyle w:val="12"/>
      </w:pPr>
      <w:r w:rsidRPr="001A3D2B">
        <w:t xml:space="preserve">Issues/Year: </w:t>
      </w:r>
    </w:p>
    <w:p w:rsidR="0005086E" w:rsidRPr="001A3D2B" w:rsidRDefault="00AA25A4" w:rsidP="0005086E">
      <w:pPr>
        <w:pStyle w:val="12"/>
      </w:pPr>
      <w:r w:rsidRPr="001A3D2B">
        <w:t>Journal Country/Territory:</w:t>
      </w:r>
      <w:r w:rsidR="0005086E" w:rsidRPr="001A3D2B">
        <w:t xml:space="preserve"> </w:t>
      </w:r>
    </w:p>
    <w:p w:rsidR="0005086E" w:rsidRPr="001A3D2B" w:rsidRDefault="0005086E" w:rsidP="0005086E">
      <w:pPr>
        <w:pStyle w:val="12"/>
      </w:pPr>
      <w:r w:rsidRPr="001A3D2B">
        <w:t xml:space="preserve">Language: </w:t>
      </w:r>
    </w:p>
    <w:p w:rsidR="0005086E" w:rsidRPr="001A3D2B" w:rsidRDefault="0005086E" w:rsidP="0005086E">
      <w:pPr>
        <w:pStyle w:val="12"/>
      </w:pPr>
      <w:r w:rsidRPr="001A3D2B">
        <w:t xml:space="preserve">Publisher: </w:t>
      </w:r>
    </w:p>
    <w:p w:rsidR="0005086E" w:rsidRPr="001A3D2B" w:rsidRDefault="0005086E" w:rsidP="0005086E">
      <w:pPr>
        <w:pStyle w:val="12"/>
      </w:pPr>
      <w:r w:rsidRPr="001A3D2B">
        <w:t xml:space="preserve">Publisher Address: </w:t>
      </w:r>
    </w:p>
    <w:p w:rsidR="0005086E" w:rsidRPr="001A3D2B" w:rsidRDefault="0005086E" w:rsidP="0005086E">
      <w:pPr>
        <w:pStyle w:val="12"/>
      </w:pPr>
      <w:r w:rsidRPr="001A3D2B">
        <w:t xml:space="preserve">Subject Categories: </w:t>
      </w:r>
    </w:p>
    <w:p w:rsidR="0005086E" w:rsidRPr="001A3D2B" w:rsidRDefault="0005086E" w:rsidP="0005086E">
      <w:pPr>
        <w:pStyle w:val="12"/>
      </w:pPr>
      <w:r w:rsidRPr="001A3D2B">
        <w:t>: Impact Factor</w:t>
      </w:r>
    </w:p>
    <w:p w:rsidR="00D84460" w:rsidRDefault="00D84460" w:rsidP="0005086E">
      <w:pPr>
        <w:pStyle w:val="a3"/>
        <w:rPr>
          <w:kern w:val="0"/>
        </w:rPr>
      </w:pPr>
      <w:r>
        <w:rPr>
          <w:rFonts w:hint="eastAsia"/>
          <w:kern w:val="0"/>
        </w:rPr>
        <w:t>Notes: JJournal</w:t>
      </w:r>
    </w:p>
    <w:p w:rsidR="0005086E" w:rsidRPr="001A3D2B" w:rsidRDefault="0005086E" w:rsidP="0005086E">
      <w:pPr>
        <w:pStyle w:val="a3"/>
        <w:rPr>
          <w:kern w:val="0"/>
        </w:rPr>
      </w:pPr>
      <w:r w:rsidRPr="001A3D2B">
        <w:rPr>
          <w:kern w:val="0"/>
        </w:rPr>
        <w:t>? Durisin, B.</w:t>
      </w:r>
      <w:r w:rsidR="005853A9">
        <w:rPr>
          <w:kern w:val="0"/>
        </w:rPr>
        <w:t xml:space="preserve"> and </w:t>
      </w:r>
      <w:r w:rsidRPr="001A3D2B">
        <w:rPr>
          <w:kern w:val="0"/>
        </w:rPr>
        <w:t>Puzone, F. (2009), Maturation</w:t>
      </w:r>
      <w:r w:rsidR="00427468">
        <w:rPr>
          <w:kern w:val="0"/>
        </w:rPr>
        <w:t xml:space="preserve"> of </w:t>
      </w:r>
      <w:r w:rsidRPr="001A3D2B">
        <w:rPr>
          <w:kern w:val="0"/>
        </w:rPr>
        <w:t xml:space="preserve">Corporate Governance Research, 1993-2007: An assessment. </w:t>
      </w:r>
      <w:r w:rsidRPr="001A3D2B">
        <w:rPr>
          <w:i/>
          <w:iCs/>
          <w:kern w:val="0"/>
        </w:rPr>
        <w:t>Corporate Governance-An International Review</w:t>
      </w:r>
      <w:r w:rsidRPr="001A3D2B">
        <w:rPr>
          <w:kern w:val="0"/>
        </w:rPr>
        <w:t xml:space="preserve">, </w:t>
      </w:r>
      <w:r w:rsidRPr="001A3D2B">
        <w:rPr>
          <w:b/>
          <w:bCs/>
          <w:kern w:val="0"/>
        </w:rPr>
        <w:t>17</w:t>
      </w:r>
      <w:r w:rsidRPr="001A3D2B">
        <w:rPr>
          <w:kern w:val="0"/>
        </w:rPr>
        <w:t xml:space="preserve"> (3), 266-291.</w:t>
      </w:r>
    </w:p>
    <w:p w:rsidR="0005086E" w:rsidRPr="001A3D2B" w:rsidRDefault="0005086E" w:rsidP="0005086E">
      <w:pPr>
        <w:pStyle w:val="a3"/>
        <w:rPr>
          <w:kern w:val="0"/>
        </w:rPr>
      </w:pPr>
      <w:r w:rsidRPr="001A3D2B">
        <w:rPr>
          <w:kern w:val="0"/>
        </w:rPr>
        <w:t xml:space="preserve">Full Text: </w:t>
      </w:r>
      <w:hyperlink r:id="rId1035" w:history="1">
        <w:r w:rsidRPr="001A3D2B">
          <w:rPr>
            <w:rStyle w:val="a5"/>
            <w:kern w:val="0"/>
          </w:rPr>
          <w:t>2009\Cor Gov- Int Rev17, 266.pdf</w:t>
        </w:r>
      </w:hyperlink>
    </w:p>
    <w:p w:rsidR="0005086E" w:rsidRPr="001A3D2B" w:rsidRDefault="0005086E" w:rsidP="0005086E">
      <w:pPr>
        <w:pStyle w:val="a3"/>
        <w:rPr>
          <w:kern w:val="0"/>
        </w:rPr>
      </w:pPr>
      <w:r w:rsidRPr="001A3D2B">
        <w:rPr>
          <w:kern w:val="0"/>
        </w:rPr>
        <w:t>Abstract: Review This study seeks to investigate whether governance research in fact is a discipline or whether it is rather</w:t>
      </w:r>
      <w:r w:rsidR="003A1917">
        <w:rPr>
          <w:kern w:val="0"/>
        </w:rPr>
        <w:t xml:space="preserve"> the </w:t>
      </w:r>
      <w:r w:rsidRPr="001A3D2B">
        <w:rPr>
          <w:kern w:val="0"/>
        </w:rPr>
        <w:t>subject</w:t>
      </w:r>
      <w:r w:rsidR="00427468">
        <w:rPr>
          <w:kern w:val="0"/>
        </w:rPr>
        <w:t xml:space="preserve"> of </w:t>
      </w:r>
      <w:r w:rsidRPr="001A3D2B">
        <w:rPr>
          <w:kern w:val="0"/>
        </w:rPr>
        <w:t>multi-disciplinary research. We map</w:t>
      </w:r>
      <w:r w:rsidR="003A1917">
        <w:rPr>
          <w:kern w:val="0"/>
        </w:rPr>
        <w:t xml:space="preserve"> the </w:t>
      </w:r>
      <w:r w:rsidRPr="001A3D2B">
        <w:rPr>
          <w:kern w:val="0"/>
        </w:rPr>
        <w:t>intellectual structure</w:t>
      </w:r>
      <w:r w:rsidR="00427468">
        <w:rPr>
          <w:kern w:val="0"/>
        </w:rPr>
        <w:t xml:space="preserve"> of </w:t>
      </w:r>
      <w:r w:rsidRPr="001A3D2B">
        <w:rPr>
          <w:kern w:val="0"/>
        </w:rPr>
        <w:t>corporate governance research</w:t>
      </w:r>
      <w:r w:rsidR="005853A9">
        <w:rPr>
          <w:kern w:val="0"/>
        </w:rPr>
        <w:t xml:space="preserve"> and </w:t>
      </w:r>
      <w:r w:rsidRPr="001A3D2B">
        <w:rPr>
          <w:kern w:val="0"/>
        </w:rPr>
        <w:t>its evolution from 1993-2007. Based on</w:t>
      </w:r>
      <w:r w:rsidR="003A1917">
        <w:rPr>
          <w:kern w:val="0"/>
        </w:rPr>
        <w:t xml:space="preserve"> the </w:t>
      </w:r>
      <w:r w:rsidRPr="001A3D2B">
        <w:rPr>
          <w:kern w:val="0"/>
        </w:rPr>
        <w:t>analysis</w:t>
      </w:r>
      <w:r w:rsidR="00427468">
        <w:rPr>
          <w:kern w:val="0"/>
        </w:rPr>
        <w:t xml:space="preserve"> of </w:t>
      </w:r>
      <w:r w:rsidRPr="001A3D2B">
        <w:rPr>
          <w:kern w:val="0"/>
        </w:rPr>
        <w:t>more than 1,000 publications</w:t>
      </w:r>
      <w:r w:rsidR="005853A9">
        <w:rPr>
          <w:kern w:val="0"/>
        </w:rPr>
        <w:t xml:space="preserve"> and </w:t>
      </w:r>
      <w:r w:rsidRPr="001A3D2B">
        <w:rPr>
          <w:kern w:val="0"/>
        </w:rPr>
        <w:t>48,000 citations in Corporate Goverance: An International Review (CGIR)</w:t>
      </w:r>
      <w:r w:rsidR="005853A9">
        <w:rPr>
          <w:kern w:val="0"/>
        </w:rPr>
        <w:t xml:space="preserve"> and </w:t>
      </w:r>
      <w:r w:rsidRPr="001A3D2B">
        <w:rPr>
          <w:kern w:val="0"/>
        </w:rPr>
        <w:t>other academic journals, our study identifies</w:t>
      </w:r>
      <w:r w:rsidR="003A1917">
        <w:rPr>
          <w:kern w:val="0"/>
        </w:rPr>
        <w:t xml:space="preserve"> the </w:t>
      </w:r>
      <w:r w:rsidRPr="001A3D2B">
        <w:rPr>
          <w:kern w:val="0"/>
        </w:rPr>
        <w:t>most influential works,</w:t>
      </w:r>
      <w:r w:rsidR="003A1917">
        <w:rPr>
          <w:kern w:val="0"/>
        </w:rPr>
        <w:t xml:space="preserve"> the </w:t>
      </w:r>
      <w:r w:rsidRPr="001A3D2B">
        <w:rPr>
          <w:kern w:val="0"/>
        </w:rPr>
        <w:t>dominant subfields,</w:t>
      </w:r>
      <w:r w:rsidR="005853A9">
        <w:rPr>
          <w:kern w:val="0"/>
        </w:rPr>
        <w:t xml:space="preserve"> and </w:t>
      </w:r>
      <w:r w:rsidRPr="001A3D2B">
        <w:rPr>
          <w:kern w:val="0"/>
        </w:rPr>
        <w:t>their evolution. Our study assesses</w:t>
      </w:r>
      <w:r w:rsidR="003A1917">
        <w:rPr>
          <w:kern w:val="0"/>
        </w:rPr>
        <w:t xml:space="preserve"> the </w:t>
      </w:r>
      <w:r w:rsidRPr="001A3D2B">
        <w:rPr>
          <w:kern w:val="0"/>
        </w:rPr>
        <w:t>maturation</w:t>
      </w:r>
      <w:r w:rsidR="00427468">
        <w:rPr>
          <w:kern w:val="0"/>
        </w:rPr>
        <w:t xml:space="preserve"> of </w:t>
      </w:r>
      <w:r w:rsidRPr="001A3D2B">
        <w:rPr>
          <w:kern w:val="0"/>
        </w:rPr>
        <w:t>corporate governance research as a discipline; it finds increasing sophistication, depth</w:t>
      </w:r>
      <w:r w:rsidR="005853A9">
        <w:rPr>
          <w:kern w:val="0"/>
        </w:rPr>
        <w:t xml:space="preserve"> and </w:t>
      </w:r>
      <w:r w:rsidRPr="001A3D2B">
        <w:rPr>
          <w:kern w:val="0"/>
        </w:rPr>
        <w:t>rigor,</w:t>
      </w:r>
      <w:r w:rsidR="005853A9">
        <w:rPr>
          <w:kern w:val="0"/>
        </w:rPr>
        <w:t xml:space="preserve"> and </w:t>
      </w:r>
      <w:r w:rsidRPr="001A3D2B">
        <w:rPr>
          <w:kern w:val="0"/>
        </w:rPr>
        <w:t>consistency in its intellectual structure</w:t>
      </w:r>
      <w:r w:rsidR="00A37C1D">
        <w:rPr>
          <w:kern w:val="0"/>
        </w:rPr>
        <w:t>. The</w:t>
      </w:r>
      <w:r w:rsidRPr="001A3D2B">
        <w:rPr>
          <w:kern w:val="0"/>
        </w:rPr>
        <w:t>re is a large body</w:t>
      </w:r>
      <w:r w:rsidR="00427468">
        <w:rPr>
          <w:kern w:val="0"/>
        </w:rPr>
        <w:t xml:space="preserve"> of </w:t>
      </w:r>
      <w:r w:rsidRPr="001A3D2B">
        <w:rPr>
          <w:kern w:val="0"/>
        </w:rPr>
        <w:t>accumulated corporate governance research in</w:t>
      </w:r>
      <w:r w:rsidR="003A1917">
        <w:rPr>
          <w:kern w:val="0"/>
        </w:rPr>
        <w:t xml:space="preserve"> the </w:t>
      </w:r>
      <w:r w:rsidRPr="001A3D2B">
        <w:rPr>
          <w:kern w:val="0"/>
        </w:rPr>
        <w:t>US, yet there is an empirical gap on cross-national studies in</w:t>
      </w:r>
      <w:r w:rsidR="003A1917">
        <w:rPr>
          <w:kern w:val="0"/>
        </w:rPr>
        <w:t xml:space="preserve"> the </w:t>
      </w:r>
      <w:r w:rsidRPr="001A3D2B">
        <w:rPr>
          <w:kern w:val="0"/>
        </w:rPr>
        <w:t>literature. Furthermore, hardly any</w:t>
      </w:r>
      <w:r w:rsidR="00427468">
        <w:rPr>
          <w:kern w:val="0"/>
        </w:rPr>
        <w:t xml:space="preserve"> of </w:t>
      </w:r>
      <w:r w:rsidR="003A1917">
        <w:rPr>
          <w:kern w:val="0"/>
        </w:rPr>
        <w:t xml:space="preserve">the </w:t>
      </w:r>
      <w:r w:rsidRPr="001A3D2B">
        <w:rPr>
          <w:kern w:val="0"/>
        </w:rPr>
        <w:t>top cited works undertake their study in a cross-national setting. Thus, corporate governance research</w:t>
      </w:r>
      <w:r w:rsidR="005853A9">
        <w:rPr>
          <w:kern w:val="0"/>
        </w:rPr>
        <w:t xml:space="preserve"> and </w:t>
      </w:r>
      <w:r w:rsidRPr="001A3D2B">
        <w:rPr>
          <w:kern w:val="0"/>
        </w:rPr>
        <w:t>CGIR in its quest to contribute to a global theory</w:t>
      </w:r>
      <w:r w:rsidR="00427468">
        <w:rPr>
          <w:kern w:val="0"/>
        </w:rPr>
        <w:t xml:space="preserve"> of </w:t>
      </w:r>
      <w:r w:rsidRPr="001A3D2B">
        <w:rPr>
          <w:kern w:val="0"/>
        </w:rPr>
        <w:t>corporate governance might benefit if articles have a cross-national methodological approach</w:t>
      </w:r>
      <w:r w:rsidR="005853A9">
        <w:rPr>
          <w:kern w:val="0"/>
        </w:rPr>
        <w:t xml:space="preserve"> and </w:t>
      </w:r>
      <w:r w:rsidRPr="001A3D2B">
        <w:rPr>
          <w:kern w:val="0"/>
        </w:rPr>
        <w:t>empirical grounding in their research design</w:t>
      </w:r>
      <w:r w:rsidR="005853A9">
        <w:rPr>
          <w:kern w:val="0"/>
        </w:rPr>
        <w:t xml:space="preserve"> and </w:t>
      </w:r>
      <w:r w:rsidRPr="001A3D2B">
        <w:rPr>
          <w:kern w:val="0"/>
        </w:rPr>
        <w:t>if articles explicitly aim at stating</w:t>
      </w:r>
      <w:r w:rsidR="003A1917">
        <w:rPr>
          <w:kern w:val="0"/>
        </w:rPr>
        <w:t xml:space="preserve"> the </w:t>
      </w:r>
      <w:r w:rsidRPr="001A3D2B">
        <w:rPr>
          <w:kern w:val="0"/>
        </w:rPr>
        <w:t>theoretical underpinnings they draw on. Globalists find in CGIR an outlet addressing economics</w:t>
      </w:r>
      <w:r w:rsidR="005853A9">
        <w:rPr>
          <w:kern w:val="0"/>
        </w:rPr>
        <w:t xml:space="preserve"> and </w:t>
      </w:r>
      <w:r w:rsidRPr="001A3D2B">
        <w:rPr>
          <w:kern w:val="0"/>
        </w:rPr>
        <w:t>finance (e.g., whether</w:t>
      </w:r>
      <w:r w:rsidR="005853A9">
        <w:rPr>
          <w:kern w:val="0"/>
        </w:rPr>
        <w:t xml:space="preserve"> and </w:t>
      </w:r>
      <w:r w:rsidRPr="001A3D2B">
        <w:rPr>
          <w:kern w:val="0"/>
        </w:rPr>
        <w:t>how compensation or dismissal</w:t>
      </w:r>
      <w:r w:rsidR="00427468">
        <w:rPr>
          <w:kern w:val="0"/>
        </w:rPr>
        <w:t xml:space="preserve"> of </w:t>
      </w:r>
      <w:r w:rsidRPr="001A3D2B">
        <w:rPr>
          <w:kern w:val="0"/>
        </w:rPr>
        <w:t>CEOs is related to board characteristics), management (e.g., whether</w:t>
      </w:r>
      <w:r w:rsidR="005853A9">
        <w:rPr>
          <w:kern w:val="0"/>
        </w:rPr>
        <w:t xml:space="preserve"> and </w:t>
      </w:r>
      <w:r w:rsidRPr="001A3D2B">
        <w:rPr>
          <w:kern w:val="0"/>
        </w:rPr>
        <w:t>how best practice codes adoption is related to board characteristics</w:t>
      </w:r>
      <w:r w:rsidR="005853A9">
        <w:rPr>
          <w:kern w:val="0"/>
        </w:rPr>
        <w:t xml:space="preserve"> and </w:t>
      </w:r>
      <w:r w:rsidRPr="001A3D2B">
        <w:rPr>
          <w:kern w:val="0"/>
        </w:rPr>
        <w:t>performance),</w:t>
      </w:r>
      <w:r w:rsidR="005853A9">
        <w:rPr>
          <w:kern w:val="0"/>
        </w:rPr>
        <w:t xml:space="preserve"> and </w:t>
      </w:r>
      <w:r w:rsidRPr="001A3D2B">
        <w:rPr>
          <w:kern w:val="0"/>
        </w:rPr>
        <w:t>accounting (e.g., whether</w:t>
      </w:r>
      <w:r w:rsidR="005853A9">
        <w:rPr>
          <w:kern w:val="0"/>
        </w:rPr>
        <w:t xml:space="preserve"> and </w:t>
      </w:r>
      <w:r w:rsidRPr="001A3D2B">
        <w:rPr>
          <w:kern w:val="0"/>
        </w:rPr>
        <w:t xml:space="preserve">how earnings manipulations is related to board characteristics) </w:t>
      </w:r>
      <w:r w:rsidRPr="001A3D2B">
        <w:rPr>
          <w:kern w:val="0"/>
        </w:rPr>
        <w:lastRenderedPageBreak/>
        <w:t>issues globally.</w:t>
      </w:r>
    </w:p>
    <w:p w:rsidR="0005086E" w:rsidRPr="001A3D2B" w:rsidRDefault="0005086E" w:rsidP="0005086E">
      <w:pPr>
        <w:pStyle w:val="a3"/>
        <w:rPr>
          <w:kern w:val="0"/>
        </w:rPr>
      </w:pPr>
      <w:r w:rsidRPr="001A3D2B">
        <w:rPr>
          <w:kern w:val="0"/>
        </w:rPr>
        <w:t>Keywords: Analysis, Asian Financial Crisis, Bibliometrics, Board Composition, Citations, Co-Citation Analysis, Cocitation Analysis, Consumer Research, Corporate Governance, Earnings Management, Executive-Compensation, Firm Performance, Intellectual Structure, Journal Influence, Ownership Structure, Strategic-Management, US</w:t>
      </w:r>
    </w:p>
    <w:p w:rsidR="00905BDE" w:rsidRPr="00C73C58" w:rsidRDefault="00905BDE" w:rsidP="00905BDE">
      <w:pPr>
        <w:pStyle w:val="1"/>
        <w:rPr>
          <w:lang w:val="fr-FR"/>
        </w:rPr>
      </w:pPr>
      <w:r w:rsidRPr="00C73C58">
        <w:br w:type="page"/>
      </w:r>
      <w:bookmarkStart w:id="410" w:name="_Toc420815120"/>
      <w:r w:rsidRPr="00C73C58">
        <w:rPr>
          <w:lang w:val="fr-FR"/>
        </w:rPr>
        <w:lastRenderedPageBreak/>
        <w:t xml:space="preserve">Title: </w:t>
      </w:r>
      <w:r w:rsidRPr="005F108C">
        <w:t>Corporate Social Responsibility and Environmental Management</w:t>
      </w:r>
      <w:bookmarkEnd w:id="410"/>
    </w:p>
    <w:p w:rsidR="00905BDE" w:rsidRPr="00C73C58" w:rsidRDefault="00905BDE" w:rsidP="00905BDE">
      <w:pPr>
        <w:pStyle w:val="12"/>
        <w:rPr>
          <w:lang w:val="fr-FR"/>
        </w:rPr>
      </w:pPr>
      <w:r w:rsidRPr="00C73C58">
        <w:rPr>
          <w:lang w:val="fr-FR"/>
        </w:rPr>
        <w:t xml:space="preserve">Full Journal Title: </w:t>
      </w:r>
      <w:r w:rsidRPr="005F108C">
        <w:rPr>
          <w:iCs/>
          <w:kern w:val="0"/>
        </w:rPr>
        <w:t>Corporate Social Responsibility and Environmental Management</w:t>
      </w:r>
    </w:p>
    <w:p w:rsidR="00905BDE" w:rsidRPr="00C73C58" w:rsidRDefault="00905BDE" w:rsidP="00905BDE">
      <w:pPr>
        <w:pStyle w:val="12"/>
      </w:pPr>
      <w:r w:rsidRPr="00C73C58">
        <w:t xml:space="preserve">ISO Abbreviated Title: </w:t>
      </w:r>
    </w:p>
    <w:p w:rsidR="00905BDE" w:rsidRPr="00C73C58" w:rsidRDefault="00905BDE" w:rsidP="00905BDE">
      <w:pPr>
        <w:pStyle w:val="12"/>
      </w:pPr>
      <w:r w:rsidRPr="00C73C58">
        <w:t xml:space="preserve">JCR Abbreviated Title: </w:t>
      </w:r>
    </w:p>
    <w:p w:rsidR="00905BDE" w:rsidRPr="00C73C58" w:rsidRDefault="00905BDE" w:rsidP="00905BDE">
      <w:pPr>
        <w:pStyle w:val="12"/>
      </w:pPr>
      <w:r w:rsidRPr="00C73C58">
        <w:t xml:space="preserve">ISSN: </w:t>
      </w:r>
    </w:p>
    <w:p w:rsidR="00905BDE" w:rsidRPr="00C73C58" w:rsidRDefault="00905BDE" w:rsidP="00905BDE">
      <w:pPr>
        <w:pStyle w:val="12"/>
      </w:pPr>
      <w:r w:rsidRPr="00C73C58">
        <w:t xml:space="preserve">Issues/Year: </w:t>
      </w:r>
    </w:p>
    <w:p w:rsidR="00905BDE" w:rsidRPr="00C73C58" w:rsidRDefault="00905BDE" w:rsidP="00905BDE">
      <w:pPr>
        <w:pStyle w:val="12"/>
      </w:pPr>
      <w:r w:rsidRPr="00C73C58">
        <w:t xml:space="preserve">Journal Country/Territory: </w:t>
      </w:r>
    </w:p>
    <w:p w:rsidR="00905BDE" w:rsidRPr="00C73C58" w:rsidRDefault="00905BDE" w:rsidP="00905BDE">
      <w:pPr>
        <w:pStyle w:val="12"/>
      </w:pPr>
      <w:r w:rsidRPr="00C73C58">
        <w:t xml:space="preserve">Language: </w:t>
      </w:r>
    </w:p>
    <w:p w:rsidR="00905BDE" w:rsidRPr="00C73C58" w:rsidRDefault="00905BDE" w:rsidP="00905BDE">
      <w:pPr>
        <w:pStyle w:val="12"/>
      </w:pPr>
      <w:r w:rsidRPr="00C73C58">
        <w:t xml:space="preserve">Publisher: </w:t>
      </w:r>
    </w:p>
    <w:p w:rsidR="00905BDE" w:rsidRPr="00C73C58" w:rsidRDefault="00905BDE" w:rsidP="00905BDE">
      <w:pPr>
        <w:pStyle w:val="12"/>
      </w:pPr>
      <w:r w:rsidRPr="00C73C58">
        <w:t xml:space="preserve">Publisher Address: </w:t>
      </w:r>
    </w:p>
    <w:p w:rsidR="00905BDE" w:rsidRPr="00C73C58" w:rsidRDefault="00905BDE" w:rsidP="00905BDE">
      <w:pPr>
        <w:pStyle w:val="12"/>
      </w:pPr>
      <w:r w:rsidRPr="00C73C58">
        <w:t xml:space="preserve">Subject Categories: </w:t>
      </w:r>
    </w:p>
    <w:p w:rsidR="00905BDE" w:rsidRPr="00C73C58" w:rsidRDefault="00905BDE" w:rsidP="00905BDE">
      <w:pPr>
        <w:pStyle w:val="12"/>
      </w:pPr>
      <w:r w:rsidRPr="00C73C58">
        <w:t>: Impact Factor</w:t>
      </w:r>
    </w:p>
    <w:p w:rsidR="00905BDE" w:rsidRDefault="00905BDE" w:rsidP="00905BDE">
      <w:pPr>
        <w:pStyle w:val="a3"/>
        <w:rPr>
          <w:kern w:val="0"/>
        </w:rPr>
      </w:pPr>
      <w:r>
        <w:rPr>
          <w:rFonts w:hint="eastAsia"/>
          <w:kern w:val="0"/>
        </w:rPr>
        <w:t xml:space="preserve">? </w:t>
      </w:r>
      <w:r>
        <w:rPr>
          <w:kern w:val="0"/>
        </w:rPr>
        <w:t xml:space="preserve">Lu, L.Y.Y. and Liu, J.S. (2014), The knowledge diffusion paths of corporate social responsibility - From 1970 to 2011. </w:t>
      </w:r>
      <w:r w:rsidRPr="005F108C">
        <w:rPr>
          <w:i/>
          <w:iCs/>
          <w:kern w:val="0"/>
        </w:rPr>
        <w:t>Corporate Social Responsibility and Environmental Management</w:t>
      </w:r>
      <w:r>
        <w:rPr>
          <w:kern w:val="0"/>
        </w:rPr>
        <w:t xml:space="preserve">, </w:t>
      </w:r>
      <w:r>
        <w:rPr>
          <w:b/>
          <w:bCs/>
          <w:kern w:val="0"/>
        </w:rPr>
        <w:t>21</w:t>
      </w:r>
      <w:r>
        <w:rPr>
          <w:kern w:val="0"/>
        </w:rPr>
        <w:t xml:space="preserve"> (2), 113-128.</w:t>
      </w:r>
    </w:p>
    <w:p w:rsidR="00905BDE" w:rsidRDefault="00905BDE" w:rsidP="00905BDE">
      <w:pPr>
        <w:pStyle w:val="a3"/>
        <w:rPr>
          <w:kern w:val="0"/>
        </w:rPr>
      </w:pPr>
      <w:r>
        <w:rPr>
          <w:rFonts w:hint="eastAsia"/>
          <w:kern w:val="0"/>
        </w:rPr>
        <w:t xml:space="preserve">Full Text: </w:t>
      </w:r>
      <w:hyperlink r:id="rId1036" w:history="1">
        <w:r w:rsidRPr="005F108C">
          <w:rPr>
            <w:rStyle w:val="a5"/>
            <w:kern w:val="0"/>
          </w:rPr>
          <w:t>2014\Cor Soc Res Env Man21, 113.pdf</w:t>
        </w:r>
      </w:hyperlink>
    </w:p>
    <w:p w:rsidR="00905BDE" w:rsidRDefault="00905BDE" w:rsidP="00905BDE">
      <w:pPr>
        <w:pStyle w:val="a3"/>
        <w:rPr>
          <w:kern w:val="0"/>
        </w:rPr>
      </w:pPr>
      <w:r>
        <w:rPr>
          <w:kern w:val="0"/>
        </w:rPr>
        <w:t>Abstract: This paper presents a unique approach to translating a complex citation network into simple main paths. We apply this approach to explore the knowledge diffusion paths of corporate social responsibility (CSR) literature over the past 40 years. ISI Web of Science (WOS) is used as the data source for retrieving the CSR papers and their citation data. We then apply main path analysis to identify and visualize the local, global, and key-route main paths</w:t>
      </w:r>
      <w:r w:rsidR="00A37C1D">
        <w:rPr>
          <w:kern w:val="0"/>
        </w:rPr>
        <w:t>. The</w:t>
      </w:r>
      <w:r>
        <w:rPr>
          <w:kern w:val="0"/>
        </w:rPr>
        <w:t xml:space="preserve"> local and global main paths identify those papers that play a key role in the knowledge diffusion of CSR</w:t>
      </w:r>
      <w:r w:rsidR="00A37C1D">
        <w:rPr>
          <w:kern w:val="0"/>
        </w:rPr>
        <w:t>. The</w:t>
      </w:r>
      <w:r>
        <w:rPr>
          <w:kern w:val="0"/>
        </w:rPr>
        <w:t xml:space="preserve"> key-route main path clearly exhibits the divergence-convergence pattern of CSR development. Although the divergence-convergence pattern of a theory</w:t>
      </w:r>
      <w:r w:rsidR="0071223E">
        <w:rPr>
          <w:kern w:val="0"/>
        </w:rPr>
        <w:t>’</w:t>
      </w:r>
      <w:r>
        <w:rPr>
          <w:kern w:val="0"/>
        </w:rPr>
        <w:t>s development has been hinted at in previous literature, we propose the key-route main path to systematically identify and exhibit it. This approach provides a useful method for researchers to figure out the development cycles of a target field. Copyright (c) 2013 John Wiley &amp; Sons, Ltd and ERP Environment.</w:t>
      </w:r>
    </w:p>
    <w:p w:rsidR="00905BDE" w:rsidRDefault="00905BDE" w:rsidP="00905BDE">
      <w:pPr>
        <w:pStyle w:val="a3"/>
        <w:rPr>
          <w:kern w:val="0"/>
        </w:rPr>
      </w:pPr>
      <w:r>
        <w:rPr>
          <w:kern w:val="0"/>
        </w:rPr>
        <w:t xml:space="preserve">Keywords: Analysis, Approach, Business, Citation, Citation Analysis, Citation Network, Corporate Social Initiatives, Corporate Social Responsibility, Countries, Data, Development, Diffusion, Empirical-Examination, Environment, Environmental Policy, Field, Financial Performance, Firm Perspective, Global, Index, Isi, Isi Web Of Science, Knowledge, Literature, Local, Main Path Analysis, Mar, Network, Papers, Path Analysis, Pattern, Responsibility, Role, Science, Social, Social Responsibility, Source, Stakeholder Engagement, Stakeholder Theory, Sustainable </w:t>
      </w:r>
      <w:r>
        <w:rPr>
          <w:kern w:val="0"/>
        </w:rPr>
        <w:lastRenderedPageBreak/>
        <w:t>Development, United-States, Web Of Science, Wos</w:t>
      </w:r>
    </w:p>
    <w:p w:rsidR="002C0FA4" w:rsidRDefault="002C0FA4" w:rsidP="002C0FA4">
      <w:pPr>
        <w:pStyle w:val="a3"/>
      </w:pPr>
      <w:r>
        <w:rPr>
          <w:rFonts w:hint="eastAsia"/>
        </w:rPr>
        <w:t xml:space="preserve">? </w:t>
      </w:r>
      <w:r>
        <w:t xml:space="preserve">Danilovic, M., Hensbergen, M., Hoveskog, M. and Zadayannaya, L. (2015), Exploring diffusion and dynamics of corporate social responsibility. </w:t>
      </w:r>
      <w:r>
        <w:rPr>
          <w:i/>
          <w:iCs/>
        </w:rPr>
        <w:t>Corporate Social Responsibility and Environmental Management</w:t>
      </w:r>
      <w:r>
        <w:t xml:space="preserve">, </w:t>
      </w:r>
      <w:r>
        <w:rPr>
          <w:b/>
          <w:bCs/>
        </w:rPr>
        <w:t>22</w:t>
      </w:r>
      <w:r>
        <w:t xml:space="preserve"> (3), 129-141.</w:t>
      </w:r>
    </w:p>
    <w:p w:rsidR="002C0FA4" w:rsidRDefault="002C0FA4" w:rsidP="002C0FA4">
      <w:pPr>
        <w:pStyle w:val="a3"/>
        <w:rPr>
          <w:kern w:val="0"/>
        </w:rPr>
      </w:pPr>
      <w:r>
        <w:rPr>
          <w:rFonts w:hint="eastAsia"/>
          <w:kern w:val="0"/>
        </w:rPr>
        <w:t xml:space="preserve">Full Text: </w:t>
      </w:r>
      <w:hyperlink r:id="rId1037" w:history="1">
        <w:r w:rsidRPr="007F5569">
          <w:rPr>
            <w:rStyle w:val="a5"/>
            <w:kern w:val="0"/>
          </w:rPr>
          <w:t>2015\Cor Soc Res Env Man22, 129.pdf</w:t>
        </w:r>
      </w:hyperlink>
    </w:p>
    <w:p w:rsidR="002C0FA4" w:rsidRDefault="002C0FA4" w:rsidP="002C0FA4">
      <w:pPr>
        <w:pStyle w:val="a3"/>
      </w:pPr>
      <w:r>
        <w:t>Abstract: The purpose of this paper is to explore the evolution of the concept of corporate social responsibility (CSR) in academia. The process of evolution is conceptualised to consist of diffusion and dynamics. Bibliometrics were applied for data collection and visualisation of the evolution of CSR. The findings show increasing complexity and progression in the research on the concept of CSR fuelled not only by the efforts for intellectual refinement in the field but also reflecting the changing priorities of society and businesses. The growth of this field of research both in number of publications (i.e. diffusion) and in terms of different fields in academic usage (i.e. dynamics), is an indicator for growing complexity and widening acceptance of the CSR concept across various academic disciplines in the future. Copyright (c) 2013 John Wiley &amp; Sons, Ltd and ERP Environment.</w:t>
      </w:r>
    </w:p>
    <w:p w:rsidR="002C0FA4" w:rsidRDefault="002C0FA4" w:rsidP="002C0FA4">
      <w:pPr>
        <w:pStyle w:val="a3"/>
      </w:pPr>
      <w:r>
        <w:t>Keywords: Acceptance, Bibliometrics, Collection, Complexity, Copyright, Corporate Social Responsibility, Data, Data Collection, Diffusion, Dynamics, Environment, Environmental Policy, Evolution, Field, Growth, Ideas, Indicator, Innovation, Management, Publications, Purpose, Research, Responsibility, Social, Social Responsibility, Society, Stakeholder Engagement, Sustainable Development</w:t>
      </w:r>
    </w:p>
    <w:p w:rsidR="003474F2" w:rsidRPr="001A3D2B" w:rsidRDefault="003474F2" w:rsidP="003474F2">
      <w:pPr>
        <w:pStyle w:val="1"/>
      </w:pPr>
      <w:r w:rsidRPr="001A3D2B">
        <w:br w:type="page"/>
      </w:r>
      <w:bookmarkStart w:id="411" w:name="_Toc420815121"/>
      <w:r w:rsidRPr="001A3D2B">
        <w:lastRenderedPageBreak/>
        <w:t>Title: Cortex</w:t>
      </w:r>
      <w:bookmarkEnd w:id="411"/>
    </w:p>
    <w:p w:rsidR="003474F2" w:rsidRPr="001A3D2B" w:rsidRDefault="003474F2" w:rsidP="003474F2">
      <w:pPr>
        <w:pStyle w:val="12"/>
      </w:pPr>
      <w:r w:rsidRPr="001A3D2B">
        <w:t xml:space="preserve">Full Journal Title: </w:t>
      </w:r>
      <w:r w:rsidR="00DF61FE">
        <w:fldChar w:fldCharType="begin"/>
      </w:r>
      <w:r w:rsidR="00FD158B">
        <w:instrText>HYPERLINK "http://www.sciencedirect.com/sci</w:instrText>
      </w:r>
      <w:bookmarkStart w:id="412" w:name="_Toc43634562"/>
      <w:bookmarkStart w:id="413" w:name="_Toc81215685"/>
      <w:r w:rsidR="00FD158B">
        <w:instrText>ence/journal/</w:instrText>
      </w:r>
      <w:bookmarkEnd w:id="412"/>
      <w:bookmarkEnd w:id="413"/>
      <w:r w:rsidR="00FD158B">
        <w:instrText>00109452"</w:instrText>
      </w:r>
      <w:r w:rsidR="00DF61FE">
        <w:fldChar w:fldCharType="separate"/>
      </w:r>
      <w:r w:rsidRPr="001A3D2B">
        <w:rPr>
          <w:rStyle w:val="a5"/>
        </w:rPr>
        <w:t>Cortex</w:t>
      </w:r>
      <w:r w:rsidR="00DF61FE">
        <w:fldChar w:fldCharType="end"/>
      </w:r>
    </w:p>
    <w:p w:rsidR="003474F2" w:rsidRPr="001A3D2B" w:rsidRDefault="003474F2" w:rsidP="003474F2">
      <w:pPr>
        <w:pStyle w:val="12"/>
      </w:pPr>
      <w:r w:rsidRPr="001A3D2B">
        <w:t>ISO Abbreviated Title: Cortex</w:t>
      </w:r>
    </w:p>
    <w:p w:rsidR="003474F2" w:rsidRPr="001A3D2B" w:rsidRDefault="003474F2" w:rsidP="003474F2">
      <w:pPr>
        <w:pStyle w:val="12"/>
      </w:pPr>
      <w:r w:rsidRPr="001A3D2B">
        <w:t>JCR Abbreviated Title: Cortex</w:t>
      </w:r>
    </w:p>
    <w:p w:rsidR="003474F2" w:rsidRPr="001A3D2B" w:rsidRDefault="003474F2" w:rsidP="003474F2">
      <w:pPr>
        <w:pStyle w:val="12"/>
      </w:pPr>
      <w:r w:rsidRPr="001A3D2B">
        <w:t>ISSN: 0010-9452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Masson Divisione Periodici, </w:t>
      </w:r>
      <w:smartTag w:uri="urn:schemas-microsoft-com:office:smarttags" w:element="place">
        <w:smartTag w:uri="urn:schemas-microsoft-com:office:smarttags" w:element="City">
          <w:r w:rsidRPr="001A3D2B">
            <w:t>Milan</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 0.276,/(2000)</w:t>
      </w:r>
    </w:p>
    <w:p w:rsidR="003474F2" w:rsidRPr="001A3D2B" w:rsidRDefault="003474F2" w:rsidP="003474F2">
      <w:pPr>
        <w:pStyle w:val="a3"/>
      </w:pPr>
      <w:r w:rsidRPr="001A3D2B">
        <w:t>? Garfield, E. (2001), Interview with Eugene Garfield, Chairman Emeritus</w:t>
      </w:r>
      <w:r w:rsidR="00427468">
        <w:t xml:space="preserve"> of </w:t>
      </w:r>
      <w:r w:rsidR="003A1917">
        <w:t xml:space="preserve">the </w:t>
      </w:r>
      <w:r w:rsidRPr="001A3D2B">
        <w:t xml:space="preserve">Institute for Scientific Information (ISI). </w:t>
      </w:r>
      <w:r w:rsidRPr="001A3D2B">
        <w:rPr>
          <w:i/>
          <w:iCs/>
        </w:rPr>
        <w:t>Cortex</w:t>
      </w:r>
      <w:r w:rsidRPr="001A3D2B">
        <w:t xml:space="preserve">, </w:t>
      </w:r>
      <w:r w:rsidRPr="001A3D2B">
        <w:rPr>
          <w:b/>
        </w:rPr>
        <w:t>37</w:t>
      </w:r>
      <w:r w:rsidRPr="001A3D2B">
        <w:t xml:space="preserve"> (4), 575-577.</w:t>
      </w:r>
    </w:p>
    <w:p w:rsidR="003474F2" w:rsidRPr="001A3D2B" w:rsidRDefault="003474F2" w:rsidP="003474F2">
      <w:pPr>
        <w:pStyle w:val="a3"/>
      </w:pPr>
      <w:r w:rsidRPr="001A3D2B">
        <w:t xml:space="preserve">Full Text: </w:t>
      </w:r>
      <w:hyperlink r:id="rId1038" w:history="1">
        <w:r w:rsidRPr="001A3D2B">
          <w:rPr>
            <w:rStyle w:val="a5"/>
          </w:rPr>
          <w:t>2001\Cortex37, 575.pdf</w:t>
        </w:r>
      </w:hyperlink>
    </w:p>
    <w:p w:rsidR="003474F2" w:rsidRPr="001A3D2B" w:rsidRDefault="003474F2" w:rsidP="003474F2">
      <w:pPr>
        <w:pStyle w:val="a3"/>
      </w:pPr>
      <w:r w:rsidRPr="001A3D2B">
        <w:t>? Kostoff, R.N., Buchtel, H.A., Andrews, J.</w:t>
      </w:r>
      <w:r w:rsidR="005853A9">
        <w:t xml:space="preserve"> and </w:t>
      </w:r>
      <w:r w:rsidRPr="001A3D2B">
        <w:t>Pfeil, K.M. (2005</w:t>
      </w:r>
      <w:r w:rsidR="00F42EAC">
        <w:t>), The</w:t>
      </w:r>
      <w:r w:rsidR="003A1917">
        <w:t xml:space="preserve"> </w:t>
      </w:r>
      <w:r w:rsidRPr="001A3D2B">
        <w:t>hidden structure</w:t>
      </w:r>
      <w:r w:rsidR="00427468">
        <w:t xml:space="preserve"> of </w:t>
      </w:r>
      <w:r w:rsidRPr="001A3D2B">
        <w:t>neuropsychology: Text mining</w:t>
      </w:r>
      <w:r w:rsidR="00427468">
        <w:t xml:space="preserve"> of </w:t>
      </w:r>
      <w:r w:rsidR="003A1917">
        <w:t xml:space="preserve">the </w:t>
      </w:r>
      <w:r w:rsidRPr="001A3D2B">
        <w:t xml:space="preserve">journal </w:t>
      </w:r>
      <w:r w:rsidRPr="001A3D2B">
        <w:rPr>
          <w:i/>
          <w:iCs/>
        </w:rPr>
        <w:t>Cortex</w:t>
      </w:r>
      <w:r w:rsidRPr="001A3D2B">
        <w:t xml:space="preserve">: 1991-2001. </w:t>
      </w:r>
      <w:r w:rsidRPr="001A3D2B">
        <w:rPr>
          <w:i/>
          <w:iCs/>
        </w:rPr>
        <w:t>Cortex</w:t>
      </w:r>
      <w:r w:rsidRPr="001A3D2B">
        <w:t xml:space="preserve">, </w:t>
      </w:r>
      <w:r w:rsidRPr="001A3D2B">
        <w:rPr>
          <w:b/>
          <w:bCs/>
        </w:rPr>
        <w:t>41</w:t>
      </w:r>
      <w:r w:rsidRPr="001A3D2B">
        <w:t xml:space="preserve"> (2), 103-115.</w:t>
      </w:r>
    </w:p>
    <w:p w:rsidR="003474F2" w:rsidRPr="001A3D2B" w:rsidRDefault="003474F2" w:rsidP="003474F2">
      <w:pPr>
        <w:pStyle w:val="a3"/>
      </w:pPr>
      <w:r w:rsidRPr="001A3D2B">
        <w:t xml:space="preserve">Full Text: </w:t>
      </w:r>
      <w:hyperlink r:id="rId1039" w:history="1">
        <w:r w:rsidRPr="001A3D2B">
          <w:rPr>
            <w:rStyle w:val="a5"/>
          </w:rPr>
          <w:t>2005\Cortex41, 103.pdf</w:t>
        </w:r>
      </w:hyperlink>
    </w:p>
    <w:p w:rsidR="003474F2" w:rsidRPr="001A3D2B" w:rsidRDefault="003474F2" w:rsidP="003474F2">
      <w:pPr>
        <w:pStyle w:val="a3"/>
      </w:pPr>
      <w:r w:rsidRPr="001A3D2B">
        <w:t>Abstract: Background:</w:t>
      </w:r>
      <w:r w:rsidR="003A1917">
        <w:t xml:space="preserve"> the </w:t>
      </w:r>
      <w:r w:rsidRPr="001A3D2B">
        <w:t>stated mission</w:t>
      </w:r>
      <w:r w:rsidR="00427468">
        <w:t xml:space="preserve"> of </w:t>
      </w:r>
      <w:r w:rsidRPr="001A3D2B">
        <w:t xml:space="preserve">Cortex is </w:t>
      </w:r>
      <w:r w:rsidR="00B5188C">
        <w:t>“</w:t>
      </w:r>
      <w:r w:rsidRPr="001A3D2B">
        <w:t>the study</w:t>
      </w:r>
      <w:r w:rsidR="00427468">
        <w:t xml:space="preserve"> of </w:t>
      </w:r>
      <w:r w:rsidR="003A1917">
        <w:t xml:space="preserve">the </w:t>
      </w:r>
      <w:r w:rsidRPr="001A3D2B">
        <w:t>inter-relations</w:t>
      </w:r>
      <w:r w:rsidR="00427468">
        <w:t xml:space="preserve"> of </w:t>
      </w:r>
      <w:r w:rsidR="003A1917">
        <w:t xml:space="preserve">the </w:t>
      </w:r>
      <w:r w:rsidRPr="001A3D2B">
        <w:t>nervous system</w:t>
      </w:r>
      <w:r w:rsidR="005853A9">
        <w:t xml:space="preserve"> and </w:t>
      </w:r>
      <w:r w:rsidRPr="001A3D2B">
        <w:t>behavior, particularly as these are reflected in</w:t>
      </w:r>
      <w:r w:rsidR="003A1917">
        <w:t xml:space="preserve"> the </w:t>
      </w:r>
      <w:r w:rsidRPr="001A3D2B">
        <w:t>effects</w:t>
      </w:r>
      <w:r w:rsidR="00427468">
        <w:t xml:space="preserve"> of </w:t>
      </w:r>
      <w:r w:rsidRPr="001A3D2B">
        <w:t>brain lesions on cognitive functions.</w:t>
      </w:r>
      <w:r w:rsidR="00B5188C">
        <w:t>”</w:t>
      </w:r>
      <w:r w:rsidR="003A1917">
        <w:t xml:space="preserve"> the </w:t>
      </w:r>
      <w:r w:rsidRPr="001A3D2B">
        <w:t>purpose</w:t>
      </w:r>
      <w:r w:rsidR="00427468">
        <w:t xml:space="preserve"> of </w:t>
      </w:r>
      <w:r w:rsidRPr="001A3D2B">
        <w:t>this paper is to explore</w:t>
      </w:r>
      <w:r w:rsidR="003A1917">
        <w:t xml:space="preserve"> the </w:t>
      </w:r>
      <w:r w:rsidRPr="001A3D2B">
        <w:t>relationship between</w:t>
      </w:r>
      <w:r w:rsidR="003A1917">
        <w:t xml:space="preserve"> the </w:t>
      </w:r>
      <w:r w:rsidRPr="001A3D2B">
        <w:t>stated mission</w:t>
      </w:r>
      <w:r w:rsidR="005853A9">
        <w:t xml:space="preserve"> and </w:t>
      </w:r>
      <w:r w:rsidR="003A1917">
        <w:t xml:space="preserve">the </w:t>
      </w:r>
      <w:r w:rsidRPr="001A3D2B">
        <w:t>executed mission as reflected by</w:t>
      </w:r>
      <w:r w:rsidR="003A1917">
        <w:t xml:space="preserve"> the </w:t>
      </w:r>
      <w:r w:rsidRPr="001A3D2B">
        <w:t>characteristics</w:t>
      </w:r>
      <w:r w:rsidR="00427468">
        <w:t xml:space="preserve"> of </w:t>
      </w:r>
      <w:r w:rsidRPr="001A3D2B">
        <w:t>papers published in Cortex. In addition, we examine whether</w:t>
      </w:r>
      <w:r w:rsidR="003A1917">
        <w:t xml:space="preserve"> the </w:t>
      </w:r>
      <w:r w:rsidRPr="001A3D2B">
        <w:t>results</w:t>
      </w:r>
      <w:r w:rsidR="005853A9">
        <w:t xml:space="preserve"> and </w:t>
      </w:r>
      <w:r w:rsidRPr="001A3D2B">
        <w:t>conclusions</w:t>
      </w:r>
      <w:r w:rsidR="00427468">
        <w:t xml:space="preserve"> of </w:t>
      </w:r>
      <w:r w:rsidRPr="001A3D2B">
        <w:t>an analysis</w:t>
      </w:r>
      <w:r w:rsidR="00427468">
        <w:t xml:space="preserve"> of </w:t>
      </w:r>
      <w:r w:rsidRPr="001A3D2B">
        <w:t>this kind are affected by</w:t>
      </w:r>
      <w:r w:rsidR="003A1917">
        <w:t xml:space="preserve"> the </w:t>
      </w:r>
      <w:r w:rsidRPr="001A3D2B">
        <w:t>level</w:t>
      </w:r>
      <w:r w:rsidR="00427468">
        <w:t xml:space="preserve"> of </w:t>
      </w:r>
      <w:r w:rsidRPr="001A3D2B">
        <w:t>description</w:t>
      </w:r>
      <w:r w:rsidR="00427468">
        <w:t xml:space="preserve"> of </w:t>
      </w:r>
      <w:r w:rsidR="003A1917">
        <w:t xml:space="preserve">the </w:t>
      </w:r>
      <w:r w:rsidRPr="001A3D2B">
        <w:t>published papers. Objectives: A) Identify characteristics</w:t>
      </w:r>
      <w:r w:rsidR="00427468">
        <w:t xml:space="preserve"> of </w:t>
      </w:r>
      <w:r w:rsidRPr="001A3D2B">
        <w:t>contributors to Cortex; B) Identify characteristics</w:t>
      </w:r>
      <w:r w:rsidR="00427468">
        <w:t xml:space="preserve"> of </w:t>
      </w:r>
      <w:r w:rsidRPr="001A3D2B">
        <w:t>those who cite Cortex; C) Identify recurring themes; D) Identify</w:t>
      </w:r>
      <w:r w:rsidR="003A1917">
        <w:t xml:space="preserve"> the </w:t>
      </w:r>
      <w:r w:rsidRPr="001A3D2B">
        <w:t>relationships among</w:t>
      </w:r>
      <w:r w:rsidR="003A1917">
        <w:t xml:space="preserve"> the </w:t>
      </w:r>
      <w:r w:rsidRPr="001A3D2B">
        <w:t>recurring themes; E) Compare recurring themes</w:t>
      </w:r>
      <w:r w:rsidR="005853A9">
        <w:t xml:space="preserve"> and </w:t>
      </w:r>
      <w:r w:rsidRPr="001A3D2B">
        <w:t>determine their relationships to</w:t>
      </w:r>
      <w:r w:rsidR="003A1917">
        <w:t xml:space="preserve"> the </w:t>
      </w:r>
      <w:r w:rsidRPr="001A3D2B">
        <w:t>mission</w:t>
      </w:r>
      <w:r w:rsidR="00427468">
        <w:t xml:space="preserve"> of </w:t>
      </w:r>
      <w:r w:rsidRPr="001A3D2B">
        <w:t>Cortex; F) Identify</w:t>
      </w:r>
      <w:r w:rsidR="003A1917">
        <w:t xml:space="preserve"> the </w:t>
      </w:r>
      <w:r w:rsidRPr="001A3D2B">
        <w:t>sensitivity</w:t>
      </w:r>
      <w:r w:rsidR="00427468">
        <w:t xml:space="preserve"> of </w:t>
      </w:r>
      <w:r w:rsidRPr="001A3D2B">
        <w:t>these results to</w:t>
      </w:r>
      <w:r w:rsidR="003A1917">
        <w:t xml:space="preserve"> the </w:t>
      </w:r>
      <w:r w:rsidRPr="001A3D2B">
        <w:t>level</w:t>
      </w:r>
      <w:r w:rsidR="00427468">
        <w:t xml:space="preserve"> of </w:t>
      </w:r>
      <w:r w:rsidRPr="001A3D2B">
        <w:t>description</w:t>
      </w:r>
      <w:r w:rsidR="00427468">
        <w:t xml:space="preserve"> of </w:t>
      </w:r>
      <w:r w:rsidR="003A1917">
        <w:t xml:space="preserve">the </w:t>
      </w:r>
      <w:r w:rsidRPr="001A3D2B">
        <w:t>Cortex papers used as</w:t>
      </w:r>
      <w:r w:rsidR="003A1917">
        <w:t xml:space="preserve"> the </w:t>
      </w:r>
      <w:r w:rsidRPr="001A3D2B">
        <w:t>source database. G) Compare Cortex characteristics with those</w:t>
      </w:r>
      <w:r w:rsidR="00427468">
        <w:t xml:space="preserve"> of </w:t>
      </w:r>
      <w:r w:rsidRPr="001A3D2B">
        <w:t>Neuropsychologia, another Europe-based international neuropsychology journal. Methods: Text mining (extraction</w:t>
      </w:r>
      <w:r w:rsidR="00427468">
        <w:t xml:space="preserve"> of </w:t>
      </w:r>
      <w:r w:rsidRPr="001A3D2B">
        <w:t>useful information from text) was used to generate</w:t>
      </w:r>
      <w:r w:rsidR="003A1917">
        <w:t xml:space="preserve"> the </w:t>
      </w:r>
      <w:r w:rsidRPr="001A3D2B">
        <w:t>characteristics</w:t>
      </w:r>
      <w:r w:rsidR="00427468">
        <w:t xml:space="preserve"> of </w:t>
      </w:r>
      <w:r w:rsidR="003A1917">
        <w:t xml:space="preserve">the </w:t>
      </w:r>
      <w:r w:rsidRPr="001A3D2B">
        <w:t>journal Cortex. Bibliometrics provided</w:t>
      </w:r>
      <w:r w:rsidR="003A1917">
        <w:t xml:space="preserve"> the </w:t>
      </w:r>
      <w:r w:rsidRPr="001A3D2B">
        <w:t>Cortex contributor infrastructure (author/organization/country/citation distributions),</w:t>
      </w:r>
      <w:r w:rsidR="005853A9">
        <w:t xml:space="preserve"> and </w:t>
      </w:r>
      <w:r w:rsidRPr="001A3D2B">
        <w:t>computational linguistics identified</w:t>
      </w:r>
      <w:r w:rsidR="003A1917">
        <w:t xml:space="preserve"> the </w:t>
      </w:r>
      <w:r w:rsidRPr="001A3D2B">
        <w:t>recurring technical themes</w:t>
      </w:r>
      <w:r w:rsidR="005853A9">
        <w:t xml:space="preserve"> and </w:t>
      </w:r>
      <w:r w:rsidRPr="001A3D2B">
        <w:t>their inter-relationships. Citation mining (the integration</w:t>
      </w:r>
      <w:r w:rsidR="00427468">
        <w:t xml:space="preserve"> of </w:t>
      </w:r>
      <w:r w:rsidRPr="001A3D2B">
        <w:t>citation bibliometrics</w:t>
      </w:r>
      <w:r w:rsidR="005853A9">
        <w:t xml:space="preserve"> and </w:t>
      </w:r>
      <w:r w:rsidRPr="001A3D2B">
        <w:t xml:space="preserve">text </w:t>
      </w:r>
      <w:r w:rsidRPr="001A3D2B">
        <w:lastRenderedPageBreak/>
        <w:t>mining) was used to profile</w:t>
      </w:r>
      <w:r w:rsidR="003A1917">
        <w:t xml:space="preserve"> the </w:t>
      </w:r>
      <w:r w:rsidRPr="001A3D2B">
        <w:t>research user community. Four levels</w:t>
      </w:r>
      <w:r w:rsidR="00427468">
        <w:t xml:space="preserve"> of </w:t>
      </w:r>
      <w:r w:rsidRPr="001A3D2B">
        <w:t>published article description were compared for</w:t>
      </w:r>
      <w:r w:rsidR="003A1917">
        <w:t xml:space="preserve"> the </w:t>
      </w:r>
      <w:r w:rsidRPr="001A3D2B">
        <w:t>analysis: Full Text, Abstract, Title, Keywords. Results</w:t>
      </w:r>
      <w:r w:rsidR="005853A9">
        <w:t xml:space="preserve"> and </w:t>
      </w:r>
      <w:r w:rsidRPr="001A3D2B">
        <w:t>Conclusions: Highly cited documents were compared among Cortex, Neuropsychologia,</w:t>
      </w:r>
      <w:r w:rsidR="005853A9">
        <w:t xml:space="preserve"> and </w:t>
      </w:r>
      <w:r w:rsidRPr="001A3D2B">
        <w:t>Brain,</w:t>
      </w:r>
      <w:r w:rsidR="005853A9">
        <w:t xml:space="preserve"> and </w:t>
      </w:r>
      <w:r w:rsidRPr="001A3D2B">
        <w:t>a number</w:t>
      </w:r>
      <w:r w:rsidR="00427468">
        <w:t xml:space="preserve"> of </w:t>
      </w:r>
      <w:r w:rsidRPr="001A3D2B">
        <w:t>interesting parametric trends were observed</w:t>
      </w:r>
      <w:r w:rsidR="00A37C1D">
        <w:t>. The</w:t>
      </w:r>
      <w:r w:rsidR="003A1917">
        <w:t xml:space="preserve"> </w:t>
      </w:r>
      <w:r w:rsidRPr="001A3D2B">
        <w:t>characteristics</w:t>
      </w:r>
      <w:r w:rsidR="00427468">
        <w:t xml:space="preserve"> of </w:t>
      </w:r>
      <w:r w:rsidR="003A1917">
        <w:t xml:space="preserve">the </w:t>
      </w:r>
      <w:r w:rsidRPr="001A3D2B">
        <w:t>papers that cite Cortex papers were examined,</w:t>
      </w:r>
      <w:r w:rsidR="005853A9">
        <w:t xml:space="preserve"> and </w:t>
      </w:r>
      <w:r w:rsidRPr="001A3D2B">
        <w:t>some interesting insights were generated. Finally,</w:t>
      </w:r>
      <w:r w:rsidR="003A1917">
        <w:t xml:space="preserve"> the </w:t>
      </w:r>
      <w:r w:rsidRPr="001A3D2B">
        <w:t>document clustering taxonomy showed that papers in y Cortex can be reasonably divided into four categories (papers in each category in parenthesis): Semantic Memory (151); Handedness (145): Amnesia (119);</w:t>
      </w:r>
      <w:r w:rsidR="005853A9">
        <w:t xml:space="preserve"> and </w:t>
      </w:r>
      <w:r w:rsidRPr="001A3D2B">
        <w:t>Neglect (66). It is concluded that Cortex needs to take steps to attract a more diverse group</w:t>
      </w:r>
      <w:r w:rsidR="00427468">
        <w:t xml:space="preserve"> of </w:t>
      </w:r>
      <w:r w:rsidRPr="001A3D2B">
        <w:t>contributors outside its continental Western European base if it wishes to capture a greater share</w:t>
      </w:r>
      <w:r w:rsidR="00427468">
        <w:t xml:space="preserve"> of </w:t>
      </w:r>
      <w:r w:rsidRPr="001A3D2B">
        <w:t>seminal neuropsychology papers. Further investigation</w:t>
      </w:r>
      <w:r w:rsidR="00427468">
        <w:t xml:space="preserve"> of </w:t>
      </w:r>
      <w:r w:rsidR="003A1917">
        <w:t xml:space="preserve">the </w:t>
      </w:r>
      <w:r w:rsidRPr="001A3D2B">
        <w:t>critical citation differences reported in</w:t>
      </w:r>
      <w:r w:rsidR="003A1917">
        <w:t xml:space="preserve"> the </w:t>
      </w:r>
      <w:r w:rsidRPr="001A3D2B">
        <w:t>paper is recommended.</w:t>
      </w:r>
    </w:p>
    <w:p w:rsidR="003474F2" w:rsidRPr="001A3D2B" w:rsidRDefault="003474F2" w:rsidP="003474F2">
      <w:pPr>
        <w:pStyle w:val="a3"/>
      </w:pPr>
      <w:r w:rsidRPr="001A3D2B">
        <w:t>Keywords: Analysis, Behavior, Bibliometrics, Brain, Characteristics, Citation, Clustering, Community, Computational Linguistics, Database, Document Clustering, Extraction, Information, Infrastructure, Integration, International, Investigation, Journal, Mining, Needs, Papers, Purpose, Research, Sensitivity, Source, Structure, Taxonomy, Text Mining, Trends</w:t>
      </w:r>
    </w:p>
    <w:p w:rsidR="003474F2" w:rsidRPr="001A3D2B" w:rsidRDefault="003474F2" w:rsidP="003474F2">
      <w:pPr>
        <w:pStyle w:val="a3"/>
      </w:pPr>
      <w:r w:rsidRPr="001A3D2B">
        <w:t>? Della Sala, S.</w:t>
      </w:r>
      <w:r w:rsidR="005853A9">
        <w:t xml:space="preserve"> and </w:t>
      </w:r>
      <w:r w:rsidRPr="001A3D2B">
        <w:t>Crawford, J.R. (2007), A double dissociation between impact factor</w:t>
      </w:r>
      <w:r w:rsidR="005853A9">
        <w:t xml:space="preserve"> and </w:t>
      </w:r>
      <w:r w:rsidRPr="001A3D2B">
        <w:t xml:space="preserve">cited half life. </w:t>
      </w:r>
      <w:r w:rsidRPr="001A3D2B">
        <w:rPr>
          <w:i/>
          <w:iCs/>
        </w:rPr>
        <w:t>Cortex</w:t>
      </w:r>
      <w:r w:rsidRPr="001A3D2B">
        <w:t xml:space="preserve">, </w:t>
      </w:r>
      <w:r w:rsidRPr="001A3D2B">
        <w:rPr>
          <w:b/>
          <w:bCs/>
        </w:rPr>
        <w:t>43</w:t>
      </w:r>
      <w:r w:rsidRPr="001A3D2B">
        <w:t xml:space="preserve"> (2), 174-175.</w:t>
      </w:r>
    </w:p>
    <w:p w:rsidR="003474F2" w:rsidRPr="001A3D2B" w:rsidRDefault="003474F2" w:rsidP="003474F2">
      <w:pPr>
        <w:pStyle w:val="a3"/>
      </w:pPr>
      <w:r w:rsidRPr="001A3D2B">
        <w:t xml:space="preserve">Full Text: </w:t>
      </w:r>
      <w:hyperlink r:id="rId1040" w:history="1">
        <w:r w:rsidRPr="001A3D2B">
          <w:rPr>
            <w:rStyle w:val="a5"/>
          </w:rPr>
          <w:t>2007\Cortex43, 174.pdf</w:t>
        </w:r>
      </w:hyperlink>
    </w:p>
    <w:p w:rsidR="003474F2" w:rsidRPr="001A3D2B" w:rsidRDefault="003474F2" w:rsidP="003474F2">
      <w:pPr>
        <w:pStyle w:val="a3"/>
      </w:pPr>
      <w:r w:rsidRPr="001A3D2B">
        <w:t>Keywords: Half-Life, Impact, Impact Factor, Life</w:t>
      </w:r>
    </w:p>
    <w:p w:rsidR="00290805" w:rsidRDefault="00290805" w:rsidP="00290805">
      <w:pPr>
        <w:pStyle w:val="a3"/>
        <w:rPr>
          <w:kern w:val="0"/>
        </w:rPr>
      </w:pPr>
      <w:r>
        <w:rPr>
          <w:rFonts w:hint="eastAsia"/>
          <w:kern w:val="0"/>
        </w:rPr>
        <w:t xml:space="preserve">? </w:t>
      </w:r>
      <w:r>
        <w:rPr>
          <w:kern w:val="0"/>
        </w:rPr>
        <w:t>Sala, S.D.</w:t>
      </w:r>
      <w:r w:rsidR="005853A9">
        <w:rPr>
          <w:kern w:val="0"/>
        </w:rPr>
        <w:t xml:space="preserve"> and </w:t>
      </w:r>
      <w:r>
        <w:rPr>
          <w:kern w:val="0"/>
        </w:rPr>
        <w:t>Brooks, J. (2008), Multi-authors</w:t>
      </w:r>
      <w:r w:rsidR="0071223E">
        <w:rPr>
          <w:kern w:val="0"/>
        </w:rPr>
        <w:t>’</w:t>
      </w:r>
      <w:r>
        <w:rPr>
          <w:kern w:val="0"/>
        </w:rPr>
        <w:t xml:space="preserve"> self-citation: A further impact factor bias? </w:t>
      </w:r>
      <w:r>
        <w:rPr>
          <w:i/>
          <w:iCs/>
          <w:kern w:val="0"/>
        </w:rPr>
        <w:t>Cortex</w:t>
      </w:r>
      <w:r>
        <w:rPr>
          <w:kern w:val="0"/>
        </w:rPr>
        <w:t xml:space="preserve">, </w:t>
      </w:r>
      <w:r>
        <w:rPr>
          <w:b/>
          <w:bCs/>
          <w:kern w:val="0"/>
        </w:rPr>
        <w:t>44</w:t>
      </w:r>
      <w:r>
        <w:rPr>
          <w:kern w:val="0"/>
        </w:rPr>
        <w:t xml:space="preserve"> (9), 1139-1145</w:t>
      </w:r>
    </w:p>
    <w:p w:rsidR="00290805" w:rsidRPr="001A3D2B" w:rsidRDefault="00290805" w:rsidP="00290805">
      <w:pPr>
        <w:pStyle w:val="a3"/>
      </w:pPr>
      <w:r w:rsidRPr="001A3D2B">
        <w:t xml:space="preserve">Full Text: </w:t>
      </w:r>
      <w:hyperlink r:id="rId1041" w:history="1">
        <w:r w:rsidRPr="00290805">
          <w:rPr>
            <w:rStyle w:val="a5"/>
          </w:rPr>
          <w:t>2008\Cortex44, 1139.pdf</w:t>
        </w:r>
      </w:hyperlink>
    </w:p>
    <w:p w:rsidR="00290805" w:rsidRDefault="00290805" w:rsidP="00290805">
      <w:pPr>
        <w:pStyle w:val="a3"/>
        <w:rPr>
          <w:kern w:val="0"/>
        </w:rPr>
      </w:pPr>
      <w:r>
        <w:rPr>
          <w:kern w:val="0"/>
        </w:rPr>
        <w:t>Keywords: Alzheimers Type Dementia, Brocas Area, Event-Related Potentials, Frontal-Lobe Lesions, Grapheme-Color Synaesthesia, Language Impairment, Posterior Parietal Cortex, Synesthetic Colors, Ventral Premotor Cortex, Williams-Syndrome</w:t>
      </w:r>
    </w:p>
    <w:p w:rsidR="00290805" w:rsidRDefault="00290805" w:rsidP="00290805">
      <w:pPr>
        <w:pStyle w:val="a3"/>
        <w:rPr>
          <w:kern w:val="0"/>
        </w:rPr>
      </w:pPr>
      <w:r>
        <w:rPr>
          <w:rFonts w:hint="eastAsia"/>
          <w:kern w:val="0"/>
        </w:rPr>
        <w:t xml:space="preserve">? </w:t>
      </w:r>
      <w:r>
        <w:rPr>
          <w:kern w:val="0"/>
        </w:rPr>
        <w:t>Foley, J.A.</w:t>
      </w:r>
      <w:r w:rsidR="005853A9">
        <w:rPr>
          <w:kern w:val="0"/>
        </w:rPr>
        <w:t xml:space="preserve"> and </w:t>
      </w:r>
      <w:r>
        <w:rPr>
          <w:kern w:val="0"/>
        </w:rPr>
        <w:t>la Sala, S. (2010</w:t>
      </w:r>
      <w:r w:rsidR="00F42EAC">
        <w:rPr>
          <w:kern w:val="0"/>
        </w:rPr>
        <w:t>), The</w:t>
      </w:r>
      <w:r w:rsidR="003A1917">
        <w:rPr>
          <w:kern w:val="0"/>
        </w:rPr>
        <w:t xml:space="preserve"> </w:t>
      </w:r>
      <w:r>
        <w:rPr>
          <w:kern w:val="0"/>
        </w:rPr>
        <w:t>impact</w:t>
      </w:r>
      <w:r w:rsidR="00427468">
        <w:rPr>
          <w:kern w:val="0"/>
        </w:rPr>
        <w:t xml:space="preserve"> of </w:t>
      </w:r>
      <w:r>
        <w:rPr>
          <w:kern w:val="0"/>
        </w:rPr>
        <w:t xml:space="preserve">self-citation. </w:t>
      </w:r>
      <w:r>
        <w:rPr>
          <w:i/>
          <w:iCs/>
          <w:kern w:val="0"/>
        </w:rPr>
        <w:t>Cortex</w:t>
      </w:r>
      <w:r>
        <w:rPr>
          <w:kern w:val="0"/>
        </w:rPr>
        <w:t xml:space="preserve">, </w:t>
      </w:r>
      <w:r>
        <w:rPr>
          <w:b/>
          <w:bCs/>
          <w:kern w:val="0"/>
        </w:rPr>
        <w:t>46</w:t>
      </w:r>
      <w:r>
        <w:rPr>
          <w:kern w:val="0"/>
        </w:rPr>
        <w:t xml:space="preserve"> (6), 802-810</w:t>
      </w:r>
      <w:r>
        <w:rPr>
          <w:rFonts w:hint="eastAsia"/>
          <w:kern w:val="0"/>
        </w:rPr>
        <w:t>.</w:t>
      </w:r>
    </w:p>
    <w:p w:rsidR="00290805" w:rsidRPr="001A3D2B" w:rsidRDefault="00290805" w:rsidP="00290805">
      <w:pPr>
        <w:pStyle w:val="a3"/>
      </w:pPr>
      <w:r w:rsidRPr="001A3D2B">
        <w:t xml:space="preserve">Full Text: </w:t>
      </w:r>
      <w:hyperlink r:id="rId1042" w:history="1">
        <w:r w:rsidRPr="00290805">
          <w:rPr>
            <w:rStyle w:val="a5"/>
          </w:rPr>
          <w:t>2010\Cortex46, 802.pdf</w:t>
        </w:r>
      </w:hyperlink>
    </w:p>
    <w:p w:rsidR="00290805" w:rsidRDefault="00290805" w:rsidP="00290805">
      <w:pPr>
        <w:pStyle w:val="a3"/>
        <w:rPr>
          <w:kern w:val="0"/>
        </w:rPr>
      </w:pPr>
      <w:r>
        <w:rPr>
          <w:kern w:val="0"/>
        </w:rPr>
        <w:t>Keywords: Alzheimers-Disease, Cerebral-Blood-Flow, Frontotemporal Degeneration, Left Intraparietal Sulcus, Mild Cognitive Impairment, of-Body Experiences, Parkinsons-Disease Patients, Semantic Dementia, Spatial Representations, Transcranial Magnetic Stimulation</w:t>
      </w:r>
    </w:p>
    <w:p w:rsidR="00A377B1" w:rsidRDefault="00A377B1" w:rsidP="00A377B1">
      <w:pPr>
        <w:pStyle w:val="a3"/>
        <w:rPr>
          <w:kern w:val="0"/>
        </w:rPr>
      </w:pPr>
      <w:r>
        <w:rPr>
          <w:rFonts w:hint="eastAsia"/>
          <w:kern w:val="0"/>
        </w:rPr>
        <w:t xml:space="preserve">? </w:t>
      </w:r>
      <w:r>
        <w:rPr>
          <w:kern w:val="0"/>
        </w:rPr>
        <w:t>Brooks, J.</w:t>
      </w:r>
      <w:r w:rsidR="005853A9">
        <w:rPr>
          <w:kern w:val="0"/>
        </w:rPr>
        <w:t xml:space="preserve"> and </w:t>
      </w:r>
      <w:r>
        <w:rPr>
          <w:kern w:val="0"/>
        </w:rPr>
        <w:t xml:space="preserve">la Sala, S. (2010), Are special issue papers more cited? </w:t>
      </w:r>
      <w:r>
        <w:rPr>
          <w:i/>
          <w:iCs/>
          <w:kern w:val="0"/>
        </w:rPr>
        <w:t>Cortex</w:t>
      </w:r>
      <w:r>
        <w:rPr>
          <w:kern w:val="0"/>
        </w:rPr>
        <w:t xml:space="preserve">, </w:t>
      </w:r>
      <w:r>
        <w:rPr>
          <w:b/>
          <w:bCs/>
          <w:kern w:val="0"/>
        </w:rPr>
        <w:t>46</w:t>
      </w:r>
      <w:r>
        <w:rPr>
          <w:kern w:val="0"/>
        </w:rPr>
        <w:t xml:space="preserve"> (8), 1060-1064</w:t>
      </w:r>
    </w:p>
    <w:p w:rsidR="00A377B1" w:rsidRPr="001A3D2B" w:rsidRDefault="00A377B1" w:rsidP="00A377B1">
      <w:pPr>
        <w:pStyle w:val="a3"/>
      </w:pPr>
      <w:r w:rsidRPr="001A3D2B">
        <w:t xml:space="preserve">Full Text: </w:t>
      </w:r>
      <w:hyperlink r:id="rId1043" w:history="1">
        <w:r w:rsidRPr="00A377B1">
          <w:rPr>
            <w:rStyle w:val="a5"/>
          </w:rPr>
          <w:t>2010\Cortex46, 1060.pdf</w:t>
        </w:r>
      </w:hyperlink>
    </w:p>
    <w:p w:rsidR="00A377B1" w:rsidRDefault="00A377B1" w:rsidP="00A377B1">
      <w:pPr>
        <w:pStyle w:val="a3"/>
        <w:rPr>
          <w:kern w:val="0"/>
        </w:rPr>
      </w:pPr>
      <w:r>
        <w:rPr>
          <w:kern w:val="0"/>
        </w:rPr>
        <w:t xml:space="preserve">Keywords: Alzheimers-Disease, Brain, Disconnection Syndromes, Frontotemporal </w:t>
      </w:r>
      <w:r>
        <w:rPr>
          <w:kern w:val="0"/>
        </w:rPr>
        <w:lastRenderedPageBreak/>
        <w:t>Degeneration, Left Intraparietal Sulcus, Memory, Neglect, Papers, Spatial Representations, Transcranial Magnetic Stimulation, Unusual Experiences</w:t>
      </w:r>
    </w:p>
    <w:p w:rsidR="003474F2" w:rsidRPr="001A3D2B" w:rsidRDefault="003474F2" w:rsidP="003474F2">
      <w:pPr>
        <w:pStyle w:val="1"/>
      </w:pPr>
      <w:r w:rsidRPr="001A3D2B">
        <w:br w:type="page"/>
      </w:r>
      <w:bookmarkStart w:id="414" w:name="_Toc420815122"/>
      <w:r w:rsidRPr="001A3D2B">
        <w:lastRenderedPageBreak/>
        <w:t>Title: Counseling Psychology</w:t>
      </w:r>
      <w:bookmarkEnd w:id="414"/>
    </w:p>
    <w:p w:rsidR="003474F2" w:rsidRPr="001A3D2B" w:rsidRDefault="003474F2" w:rsidP="003474F2">
      <w:pPr>
        <w:pStyle w:val="12"/>
      </w:pPr>
      <w:r w:rsidRPr="001A3D2B">
        <w:t>Full Journal Title: Counseling Psychology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Howard, G.S.</w:t>
      </w:r>
      <w:r w:rsidR="005853A9">
        <w:t xml:space="preserve"> and </w:t>
      </w:r>
      <w:r w:rsidRPr="001A3D2B">
        <w:t>Curtin, T.D. (1993), Individual productivity</w:t>
      </w:r>
      <w:r w:rsidR="005853A9">
        <w:t xml:space="preserve"> and </w:t>
      </w:r>
      <w:r w:rsidRPr="001A3D2B">
        <w:t xml:space="preserve">impact in </w:t>
      </w:r>
      <w:r w:rsidRPr="001A3D2B">
        <w:rPr>
          <w:i/>
          <w:iCs/>
        </w:rPr>
        <w:t>Counseling Psychology</w:t>
      </w:r>
      <w:r w:rsidRPr="001A3D2B">
        <w:t xml:space="preserve">. </w:t>
      </w:r>
      <w:r w:rsidRPr="001A3D2B">
        <w:rPr>
          <w:i/>
          <w:iCs/>
        </w:rPr>
        <w:t>Counseling Psychologist</w:t>
      </w:r>
      <w:r w:rsidRPr="001A3D2B">
        <w:t xml:space="preserve">, </w:t>
      </w:r>
      <w:r w:rsidRPr="001A3D2B">
        <w:rPr>
          <w:b/>
          <w:bCs/>
        </w:rPr>
        <w:t>21</w:t>
      </w:r>
      <w:r w:rsidRPr="001A3D2B">
        <w:t xml:space="preserve"> (2), 288-302.</w:t>
      </w:r>
    </w:p>
    <w:p w:rsidR="003474F2" w:rsidRPr="001A3D2B" w:rsidRDefault="003474F2" w:rsidP="003474F2">
      <w:pPr>
        <w:pStyle w:val="a3"/>
      </w:pPr>
      <w:r w:rsidRPr="001A3D2B">
        <w:t>Abstract: Individual eminence in counseling psychology was examined through a textbook citation analysis conducted on four current textbooks</w:t>
      </w:r>
      <w:r w:rsidR="005853A9">
        <w:t xml:space="preserve"> and </w:t>
      </w:r>
      <w:r w:rsidR="003A1917">
        <w:t xml:space="preserve">the </w:t>
      </w:r>
      <w:r w:rsidRPr="001A3D2B">
        <w:t>three most recent Annual Review</w:t>
      </w:r>
      <w:r w:rsidR="00427468">
        <w:t xml:space="preserve"> of </w:t>
      </w:r>
      <w:r w:rsidRPr="001A3D2B">
        <w:t>Psychology chapters on counseling psychology. For</w:t>
      </w:r>
      <w:r w:rsidR="003A1917">
        <w:t xml:space="preserve"> the </w:t>
      </w:r>
      <w:r w:rsidRPr="001A3D2B">
        <w:t>223 leading authors in this textbook citation study, data on individual research productivity in psychology (from 1980 to 1990),</w:t>
      </w:r>
      <w:r w:rsidR="005853A9">
        <w:t xml:space="preserve"> and </w:t>
      </w:r>
      <w:r w:rsidRPr="001A3D2B">
        <w:t>on a subset</w:t>
      </w:r>
      <w:r w:rsidR="00427468">
        <w:t xml:space="preserve"> of </w:t>
      </w:r>
      <w:r w:rsidRPr="001A3D2B">
        <w:t>eight journals</w:t>
      </w:r>
      <w:r w:rsidR="00427468">
        <w:t xml:space="preserve"> of </w:t>
      </w:r>
      <w:r w:rsidRPr="001A3D2B">
        <w:t>special importance for counseling psychology (also from 1980-1990) was obtained from</w:t>
      </w:r>
      <w:r w:rsidR="003A1917">
        <w:t xml:space="preserve"> the </w:t>
      </w:r>
      <w:r w:rsidRPr="001A3D2B">
        <w:t>PsycLIT data base. An estimate</w:t>
      </w:r>
      <w:r w:rsidR="00427468">
        <w:t xml:space="preserve"> of </w:t>
      </w:r>
      <w:r w:rsidR="003A1917">
        <w:t xml:space="preserve">the </w:t>
      </w:r>
      <w:r w:rsidRPr="001A3D2B">
        <w:t>scholarly impact</w:t>
      </w:r>
      <w:r w:rsidR="00427468">
        <w:t xml:space="preserve"> of </w:t>
      </w:r>
      <w:r w:rsidRPr="001A3D2B">
        <w:t>these authors was obtained from citation counts from</w:t>
      </w:r>
      <w:r w:rsidR="003A1917">
        <w:t xml:space="preserve"> the </w:t>
      </w:r>
      <w:r w:rsidRPr="001A3D2B">
        <w:t>1987 through 1990 volumes</w:t>
      </w:r>
      <w:r w:rsidR="00427468">
        <w:t xml:space="preserve"> of </w:t>
      </w:r>
      <w:r w:rsidR="003A1917">
        <w:t xml:space="preserve">the </w:t>
      </w:r>
      <w:r w:rsidRPr="001A3D2B">
        <w:t>Social Sciences Citation Index.</w:t>
      </w:r>
    </w:p>
    <w:p w:rsidR="003474F2" w:rsidRPr="001A3D2B" w:rsidRDefault="003474F2" w:rsidP="003474F2">
      <w:pPr>
        <w:pStyle w:val="a3"/>
      </w:pPr>
      <w:r w:rsidRPr="001A3D2B">
        <w:t>Keywords: Analysis, Citation, Citation Analysis, Citation Counts, Data, Data Base, Impact, Journals, Productivity, Psychology, Research, Research Productivity, Scholarly Impact, Textbooks</w:t>
      </w:r>
    </w:p>
    <w:p w:rsidR="00154658" w:rsidRPr="001A3D2B" w:rsidRDefault="00154658" w:rsidP="00154658">
      <w:pPr>
        <w:pStyle w:val="1"/>
      </w:pPr>
      <w:r w:rsidRPr="001A3D2B">
        <w:br w:type="page"/>
      </w:r>
      <w:bookmarkStart w:id="415" w:name="_Toc420815123"/>
      <w:r w:rsidRPr="001A3D2B">
        <w:lastRenderedPageBreak/>
        <w:t xml:space="preserve">Title: </w:t>
      </w:r>
      <w:r>
        <w:t>Creativity Research Journal</w:t>
      </w:r>
      <w:bookmarkEnd w:id="415"/>
    </w:p>
    <w:p w:rsidR="00154658" w:rsidRPr="001A3D2B" w:rsidRDefault="00154658" w:rsidP="00154658">
      <w:pPr>
        <w:pStyle w:val="12"/>
      </w:pPr>
      <w:r w:rsidRPr="001A3D2B">
        <w:t xml:space="preserve">Full Journal Title: </w:t>
      </w:r>
      <w:r>
        <w:t>Creativity Research Journal</w:t>
      </w:r>
    </w:p>
    <w:p w:rsidR="00154658" w:rsidRPr="001A3D2B" w:rsidRDefault="00154658" w:rsidP="00154658">
      <w:pPr>
        <w:pStyle w:val="12"/>
      </w:pPr>
      <w:r w:rsidRPr="001A3D2B">
        <w:t xml:space="preserve">ISO Abbreviated Title: </w:t>
      </w:r>
    </w:p>
    <w:p w:rsidR="00154658" w:rsidRPr="001A3D2B" w:rsidRDefault="00154658" w:rsidP="00154658">
      <w:pPr>
        <w:pStyle w:val="12"/>
      </w:pPr>
      <w:r w:rsidRPr="001A3D2B">
        <w:t xml:space="preserve">JCR Abbreviated Title: </w:t>
      </w:r>
    </w:p>
    <w:p w:rsidR="00154658" w:rsidRPr="001A3D2B" w:rsidRDefault="00154658" w:rsidP="00154658">
      <w:pPr>
        <w:pStyle w:val="12"/>
      </w:pPr>
      <w:r w:rsidRPr="001A3D2B">
        <w:t xml:space="preserve">ISSN: </w:t>
      </w:r>
    </w:p>
    <w:p w:rsidR="00154658" w:rsidRPr="001A3D2B" w:rsidRDefault="00154658" w:rsidP="00154658">
      <w:pPr>
        <w:pStyle w:val="12"/>
      </w:pPr>
      <w:r w:rsidRPr="001A3D2B">
        <w:t xml:space="preserve">Issues/Year: </w:t>
      </w:r>
    </w:p>
    <w:p w:rsidR="00154658" w:rsidRPr="001A3D2B" w:rsidRDefault="00154658" w:rsidP="00154658">
      <w:pPr>
        <w:pStyle w:val="12"/>
      </w:pPr>
      <w:r w:rsidRPr="001A3D2B">
        <w:t xml:space="preserve">Journal Country/Territory: </w:t>
      </w:r>
    </w:p>
    <w:p w:rsidR="00154658" w:rsidRPr="001A3D2B" w:rsidRDefault="00154658" w:rsidP="00154658">
      <w:pPr>
        <w:pStyle w:val="12"/>
      </w:pPr>
      <w:r w:rsidRPr="001A3D2B">
        <w:t xml:space="preserve">Language: </w:t>
      </w:r>
    </w:p>
    <w:p w:rsidR="00154658" w:rsidRPr="001A3D2B" w:rsidRDefault="00154658" w:rsidP="00154658">
      <w:pPr>
        <w:pStyle w:val="12"/>
      </w:pPr>
      <w:r w:rsidRPr="001A3D2B">
        <w:t xml:space="preserve">Publisher: </w:t>
      </w:r>
    </w:p>
    <w:p w:rsidR="00154658" w:rsidRPr="001A3D2B" w:rsidRDefault="00154658" w:rsidP="00154658">
      <w:pPr>
        <w:pStyle w:val="12"/>
      </w:pPr>
      <w:r w:rsidRPr="001A3D2B">
        <w:t xml:space="preserve">Publisher Address: </w:t>
      </w:r>
    </w:p>
    <w:p w:rsidR="00154658" w:rsidRPr="001A3D2B" w:rsidRDefault="00154658" w:rsidP="00154658">
      <w:pPr>
        <w:pStyle w:val="12"/>
      </w:pPr>
      <w:r w:rsidRPr="001A3D2B">
        <w:t>Subject Categories:</w:t>
      </w:r>
    </w:p>
    <w:p w:rsidR="00154658" w:rsidRPr="001A3D2B" w:rsidRDefault="00154658" w:rsidP="00154658">
      <w:pPr>
        <w:pStyle w:val="12"/>
      </w:pPr>
      <w:r w:rsidRPr="001A3D2B">
        <w:t xml:space="preserve">: Impact Factor </w:t>
      </w:r>
    </w:p>
    <w:p w:rsidR="00154658" w:rsidRDefault="00154658" w:rsidP="00154658">
      <w:pPr>
        <w:pStyle w:val="a3"/>
      </w:pPr>
      <w:r w:rsidRPr="001A3D2B">
        <w:t xml:space="preserve">? </w:t>
      </w:r>
      <w:r>
        <w:t>Nemeth</w:t>
      </w:r>
      <w:r>
        <w:rPr>
          <w:rFonts w:hint="eastAsia"/>
        </w:rPr>
        <w:t>,</w:t>
      </w:r>
      <w:r>
        <w:t xml:space="preserve"> C</w:t>
      </w:r>
      <w:r>
        <w:rPr>
          <w:rFonts w:hint="eastAsia"/>
        </w:rPr>
        <w:t>.</w:t>
      </w:r>
      <w:r>
        <w:t>J</w:t>
      </w:r>
      <w:r>
        <w:rPr>
          <w:rFonts w:hint="eastAsia"/>
        </w:rPr>
        <w:t>.</w:t>
      </w:r>
      <w:r w:rsidR="005853A9">
        <w:rPr>
          <w:rFonts w:hint="eastAsia"/>
        </w:rPr>
        <w:t xml:space="preserve"> and </w:t>
      </w:r>
      <w:r>
        <w:t>Goncalo</w:t>
      </w:r>
      <w:r>
        <w:rPr>
          <w:rFonts w:hint="eastAsia"/>
        </w:rPr>
        <w:t>,</w:t>
      </w:r>
      <w:r>
        <w:t xml:space="preserve"> J</w:t>
      </w:r>
      <w:r>
        <w:rPr>
          <w:rFonts w:hint="eastAsia"/>
        </w:rPr>
        <w:t>.</w:t>
      </w:r>
      <w:r>
        <w:t>A</w:t>
      </w:r>
      <w:r>
        <w:rPr>
          <w:rFonts w:hint="eastAsia"/>
        </w:rPr>
        <w:t>.</w:t>
      </w:r>
      <w:r w:rsidRPr="001A3D2B">
        <w:t xml:space="preserve"> (</w:t>
      </w:r>
      <w:r>
        <w:rPr>
          <w:rFonts w:hint="eastAsia"/>
        </w:rPr>
        <w:t>2005</w:t>
      </w:r>
      <w:r w:rsidRPr="001A3D2B">
        <w:t xml:space="preserve">), </w:t>
      </w:r>
      <w:r>
        <w:t>Creative collaborations from afar:</w:t>
      </w:r>
      <w:r w:rsidR="003A1917">
        <w:t xml:space="preserve"> the </w:t>
      </w:r>
      <w:r>
        <w:t>benefits</w:t>
      </w:r>
      <w:r w:rsidR="00427468">
        <w:t xml:space="preserve"> of </w:t>
      </w:r>
      <w:r>
        <w:t>independent authors</w:t>
      </w:r>
      <w:r w:rsidRPr="001A3D2B">
        <w:t xml:space="preserve">. </w:t>
      </w:r>
      <w:r w:rsidRPr="00154658">
        <w:rPr>
          <w:i/>
        </w:rPr>
        <w:t>Creativity Research Journal</w:t>
      </w:r>
      <w:r w:rsidRPr="001A3D2B">
        <w:t xml:space="preserve">, </w:t>
      </w:r>
      <w:r>
        <w:rPr>
          <w:rFonts w:hint="eastAsia"/>
          <w:b/>
          <w:bCs/>
        </w:rPr>
        <w:t>17</w:t>
      </w:r>
      <w:r>
        <w:rPr>
          <w:rFonts w:hint="eastAsia"/>
        </w:rPr>
        <w:t xml:space="preserve"> (1),</w:t>
      </w:r>
      <w:r w:rsidRPr="001A3D2B">
        <w:t xml:space="preserve"> </w:t>
      </w:r>
      <w:r>
        <w:rPr>
          <w:rFonts w:hint="eastAsia"/>
        </w:rPr>
        <w:t>1-8</w:t>
      </w:r>
      <w:r w:rsidRPr="001A3D2B">
        <w:t>.</w:t>
      </w:r>
    </w:p>
    <w:p w:rsidR="00154658" w:rsidRDefault="00154658" w:rsidP="00154658">
      <w:pPr>
        <w:pStyle w:val="a3"/>
      </w:pPr>
      <w:r>
        <w:rPr>
          <w:rFonts w:hint="eastAsia"/>
        </w:rPr>
        <w:t xml:space="preserve">Full Text: </w:t>
      </w:r>
      <w:hyperlink r:id="rId1044" w:history="1">
        <w:r w:rsidRPr="00BA772F">
          <w:rPr>
            <w:rStyle w:val="a5"/>
          </w:rPr>
          <w:t>2005\Cre Res J17, 1.pdf</w:t>
        </w:r>
      </w:hyperlink>
    </w:p>
    <w:p w:rsidR="00154658" w:rsidRDefault="00154658" w:rsidP="00154658">
      <w:pPr>
        <w:pStyle w:val="a3"/>
      </w:pPr>
      <w:r>
        <w:t>Abstract:</w:t>
      </w:r>
      <w:r w:rsidR="003A1917">
        <w:t xml:space="preserve"> the </w:t>
      </w:r>
      <w:r>
        <w:t>number</w:t>
      </w:r>
      <w:r w:rsidR="00427468">
        <w:t xml:space="preserve"> of </w:t>
      </w:r>
      <w:r>
        <w:t>times that an article is cited has served as an indicator</w:t>
      </w:r>
      <w:r w:rsidR="00427468">
        <w:t xml:space="preserve"> of </w:t>
      </w:r>
      <w:r>
        <w:t>both its creativity</w:t>
      </w:r>
      <w:r w:rsidR="005853A9">
        <w:t xml:space="preserve"> and </w:t>
      </w:r>
      <w:r>
        <w:t>impact. In this study, we investigated</w:t>
      </w:r>
      <w:r w:rsidR="003A1917">
        <w:t xml:space="preserve"> the </w:t>
      </w:r>
      <w:r>
        <w:t>relationship between citations</w:t>
      </w:r>
      <w:r w:rsidR="005853A9">
        <w:t xml:space="preserve"> and </w:t>
      </w:r>
      <w:r>
        <w:t>2 very simple variables-the number</w:t>
      </w:r>
      <w:r w:rsidR="00427468">
        <w:t xml:space="preserve"> of </w:t>
      </w:r>
      <w:r>
        <w:t>authors</w:t>
      </w:r>
      <w:r w:rsidR="005853A9">
        <w:t xml:space="preserve"> and </w:t>
      </w:r>
      <w:r w:rsidR="003A1917">
        <w:t xml:space="preserve">the </w:t>
      </w:r>
      <w:r>
        <w:t>number</w:t>
      </w:r>
      <w:r w:rsidR="00427468">
        <w:t xml:space="preserve"> of </w:t>
      </w:r>
      <w:r>
        <w:t>separate locations. Previous research, on balance, would support</w:t>
      </w:r>
      <w:r w:rsidR="003A1917">
        <w:t xml:space="preserve"> the </w:t>
      </w:r>
      <w:r>
        <w:t>notion that an increased number</w:t>
      </w:r>
      <w:r w:rsidR="00427468">
        <w:t xml:space="preserve"> of </w:t>
      </w:r>
      <w:r>
        <w:t>collaborators would increase</w:t>
      </w:r>
      <w:r w:rsidR="003A1917">
        <w:t xml:space="preserve"> the </w:t>
      </w:r>
      <w:r>
        <w:t>quality</w:t>
      </w:r>
      <w:r w:rsidR="00427468">
        <w:t xml:space="preserve"> of </w:t>
      </w:r>
      <w:r w:rsidR="003A1917">
        <w:t xml:space="preserve">the </w:t>
      </w:r>
      <w:r>
        <w:t>product, at least to some asymptote. Research on</w:t>
      </w:r>
      <w:r w:rsidR="003A1917">
        <w:t xml:space="preserve"> the </w:t>
      </w:r>
      <w:r>
        <w:t>effect</w:t>
      </w:r>
      <w:r w:rsidR="00427468">
        <w:t xml:space="preserve"> of </w:t>
      </w:r>
      <w:r>
        <w:t>separate locations is more sparse. Most work favors collaborations at</w:t>
      </w:r>
      <w:r w:rsidR="003A1917">
        <w:t xml:space="preserve"> the </w:t>
      </w:r>
      <w:r>
        <w:t>same locale, given a sharing</w:t>
      </w:r>
      <w:r w:rsidR="00427468">
        <w:t xml:space="preserve"> of </w:t>
      </w:r>
      <w:r>
        <w:t>perspective</w:t>
      </w:r>
      <w:r w:rsidR="005853A9">
        <w:t xml:space="preserve"> and </w:t>
      </w:r>
      <w:r>
        <w:t>benefits in terms</w:t>
      </w:r>
      <w:r w:rsidR="00427468">
        <w:t xml:space="preserve"> of </w:t>
      </w:r>
      <w:r>
        <w:t>coordination</w:t>
      </w:r>
      <w:r w:rsidR="005853A9">
        <w:t xml:space="preserve"> and </w:t>
      </w:r>
      <w:r>
        <w:t>motivation. However research from</w:t>
      </w:r>
      <w:r w:rsidR="003A1917">
        <w:t xml:space="preserve"> the </w:t>
      </w:r>
      <w:r>
        <w:t>minority influence literature documents</w:t>
      </w:r>
      <w:r w:rsidR="003A1917">
        <w:t xml:space="preserve"> the </w:t>
      </w:r>
      <w:r>
        <w:t>stimulating effects</w:t>
      </w:r>
      <w:r w:rsidR="00427468">
        <w:t xml:space="preserve"> of </w:t>
      </w:r>
      <w:r>
        <w:t>independent</w:t>
      </w:r>
      <w:r w:rsidR="005853A9">
        <w:t xml:space="preserve"> and </w:t>
      </w:r>
      <w:r>
        <w:t>differing views, leading to</w:t>
      </w:r>
      <w:r w:rsidR="003A1917">
        <w:t xml:space="preserve"> the </w:t>
      </w:r>
      <w:r>
        <w:t>conclusion that independent locations would be an asset. Results from an analysis</w:t>
      </w:r>
      <w:r w:rsidR="00427468">
        <w:t xml:space="preserve"> of </w:t>
      </w:r>
      <w:r>
        <w:t>6 journals</w:t>
      </w:r>
      <w:r w:rsidR="005853A9">
        <w:t xml:space="preserve"> and </w:t>
      </w:r>
      <w:r>
        <w:t>5,113 articles over a 10-year period show</w:t>
      </w:r>
      <w:r w:rsidR="003A1917">
        <w:t xml:space="preserve"> the </w:t>
      </w:r>
      <w:r>
        <w:t>benefit</w:t>
      </w:r>
      <w:r w:rsidR="00427468">
        <w:t xml:space="preserve"> of </w:t>
      </w:r>
      <w:r>
        <w:t>both</w:t>
      </w:r>
      <w:r w:rsidR="003A1917">
        <w:t xml:space="preserve"> the </w:t>
      </w:r>
      <w:r>
        <w:t>number</w:t>
      </w:r>
      <w:r w:rsidR="00427468">
        <w:t xml:space="preserve"> of </w:t>
      </w:r>
      <w:r>
        <w:t>authors</w:t>
      </w:r>
      <w:r w:rsidR="005853A9">
        <w:t xml:space="preserve"> and </w:t>
      </w:r>
      <w:r w:rsidR="003A1917">
        <w:t xml:space="preserve">the </w:t>
      </w:r>
      <w:r>
        <w:t>number</w:t>
      </w:r>
      <w:r w:rsidR="00427468">
        <w:t xml:space="preserve"> of </w:t>
      </w:r>
      <w:r>
        <w:t>independent locations. Journals also differed in their citation average, Psychological Review being cited significantly more often than any</w:t>
      </w:r>
      <w:r w:rsidR="00427468">
        <w:t xml:space="preserve"> of </w:t>
      </w:r>
      <w:r w:rsidR="003A1917">
        <w:t xml:space="preserve">the </w:t>
      </w:r>
      <w:r>
        <w:t>other 5 journals.</w:t>
      </w:r>
    </w:p>
    <w:p w:rsidR="00154658" w:rsidRPr="001A3D2B" w:rsidRDefault="00154658" w:rsidP="00154658">
      <w:pPr>
        <w:pStyle w:val="a3"/>
      </w:pPr>
      <w:r>
        <w:t>Keywords: Group-Size, Virtual Organization, Social Dilemmas, Communication, Decision, Personality, Perception, Psychology, Efficacy, Behavior</w:t>
      </w:r>
    </w:p>
    <w:p w:rsidR="0013351F" w:rsidRDefault="0013351F" w:rsidP="0013351F">
      <w:pPr>
        <w:pStyle w:val="a3"/>
        <w:rPr>
          <w:kern w:val="0"/>
        </w:rPr>
      </w:pPr>
      <w:r>
        <w:rPr>
          <w:rFonts w:hint="eastAsia"/>
          <w:kern w:val="0"/>
        </w:rPr>
        <w:t xml:space="preserve">? </w:t>
      </w:r>
      <w:r>
        <w:rPr>
          <w:kern w:val="0"/>
        </w:rPr>
        <w:t xml:space="preserve">Long, H.Y., Plucker, J.A., Yu, Q., Ding, Y. and Kaufman, J.C. (2014), Research productivity and performance of journals in the creativity sciences: A bibliometric analysis. </w:t>
      </w:r>
      <w:r>
        <w:rPr>
          <w:i/>
          <w:iCs/>
          <w:kern w:val="0"/>
        </w:rPr>
        <w:t>Creativity Research Journal</w:t>
      </w:r>
      <w:r>
        <w:rPr>
          <w:kern w:val="0"/>
        </w:rPr>
        <w:t xml:space="preserve">, </w:t>
      </w:r>
      <w:r>
        <w:rPr>
          <w:b/>
          <w:bCs/>
          <w:kern w:val="0"/>
        </w:rPr>
        <w:t>26</w:t>
      </w:r>
      <w:r>
        <w:rPr>
          <w:kern w:val="0"/>
        </w:rPr>
        <w:t xml:space="preserve"> (3), 353-360.</w:t>
      </w:r>
    </w:p>
    <w:p w:rsidR="0013351F" w:rsidRDefault="0013351F" w:rsidP="0013351F">
      <w:pPr>
        <w:pStyle w:val="a3"/>
      </w:pPr>
      <w:r>
        <w:rPr>
          <w:rFonts w:hint="eastAsia"/>
        </w:rPr>
        <w:t xml:space="preserve">Full Text: </w:t>
      </w:r>
      <w:hyperlink r:id="rId1045" w:history="1">
        <w:r w:rsidRPr="003313A6">
          <w:rPr>
            <w:rStyle w:val="a5"/>
          </w:rPr>
          <w:t>2014\Cre Res J26, 353.pdf</w:t>
        </w:r>
      </w:hyperlink>
    </w:p>
    <w:p w:rsidR="0013351F" w:rsidRDefault="0013351F" w:rsidP="0013351F">
      <w:pPr>
        <w:pStyle w:val="a3"/>
        <w:rPr>
          <w:kern w:val="0"/>
        </w:rPr>
      </w:pPr>
      <w:r>
        <w:rPr>
          <w:kern w:val="0"/>
        </w:rPr>
        <w:t xml:space="preserve">Abstract: A bibliometric approach was employed to analyze the research productivity and performance of creativity studies between 1965 and 2012. A dataset was </w:t>
      </w:r>
      <w:r>
        <w:rPr>
          <w:kern w:val="0"/>
        </w:rPr>
        <w:lastRenderedPageBreak/>
        <w:t>constructed using all publications and citations retrieved from four key journals that publish creativity research: Journal of Creative Behavior (JCB), Gifted Child Quarterly (GCQ), Creativity Research Journal (CRJ), and Psychology of Aesthetics, Creativity, and the Arts (PACA). Major findings in this study include: (a) During the study period, the four journals have published 1,891 articles on creativity and they have been cited 11,709 times; (b) the impact factors of the four journals increased from lower than .50 in 2002 to over 1.0 in 2012; in 2012 PACA had the highest impact factor, followed by CRJ; (c) JCB published the most creativity papers and CRJ had the most citations; (d) about a third of the articles published in the four journals have never been cited. Implications for the field of creativity are discussed.</w:t>
      </w:r>
    </w:p>
    <w:p w:rsidR="0013351F" w:rsidRDefault="0013351F" w:rsidP="0013351F">
      <w:pPr>
        <w:pStyle w:val="a3"/>
        <w:rPr>
          <w:kern w:val="0"/>
        </w:rPr>
      </w:pPr>
      <w:r>
        <w:rPr>
          <w:kern w:val="0"/>
        </w:rPr>
        <w:t>Keywords: Analysis, Approach, Articles, Behavior, Bibliometric, Bibliometric Analysis, Child, Citation Analysis, Citations, Constructed, Creativity, Field, From, Impact, Impact Factor, Impact Factors, Indicators, Journal, Journals, Papers, Performance, Productivity, Psychology, Publications, Research, Research Productivity, Sciences</w:t>
      </w:r>
    </w:p>
    <w:p w:rsidR="003474F2" w:rsidRPr="001A3D2B" w:rsidRDefault="003474F2" w:rsidP="003474F2">
      <w:pPr>
        <w:pStyle w:val="1"/>
      </w:pPr>
      <w:r w:rsidRPr="001A3D2B">
        <w:br w:type="page"/>
      </w:r>
      <w:bookmarkStart w:id="416" w:name="_Toc420815124"/>
      <w:r w:rsidRPr="001A3D2B">
        <w:lastRenderedPageBreak/>
        <w:t xml:space="preserve">Title: </w:t>
      </w:r>
      <w:r w:rsidRPr="001A3D2B">
        <w:rPr>
          <w:iCs w:val="0"/>
        </w:rPr>
        <w:t>Crime</w:t>
      </w:r>
      <w:r w:rsidR="005853A9">
        <w:rPr>
          <w:iCs w:val="0"/>
        </w:rPr>
        <w:t xml:space="preserve"> and </w:t>
      </w:r>
      <w:r w:rsidRPr="001A3D2B">
        <w:rPr>
          <w:iCs w:val="0"/>
        </w:rPr>
        <w:t>Justice: A Review</w:t>
      </w:r>
      <w:r w:rsidR="00427468">
        <w:rPr>
          <w:iCs w:val="0"/>
        </w:rPr>
        <w:t xml:space="preserve"> of </w:t>
      </w:r>
      <w:r w:rsidRPr="001A3D2B">
        <w:rPr>
          <w:iCs w:val="0"/>
        </w:rPr>
        <w:t>Research</w:t>
      </w:r>
      <w:bookmarkEnd w:id="416"/>
    </w:p>
    <w:p w:rsidR="003474F2" w:rsidRPr="001A3D2B" w:rsidRDefault="003474F2" w:rsidP="003474F2">
      <w:pPr>
        <w:pStyle w:val="12"/>
      </w:pPr>
      <w:r w:rsidRPr="001A3D2B">
        <w:t>Full Journal Title: Crime</w:t>
      </w:r>
      <w:r w:rsidR="005853A9">
        <w:t xml:space="preserve"> and </w:t>
      </w:r>
      <w:r w:rsidRPr="001A3D2B">
        <w:t>Justice: A Review</w:t>
      </w:r>
      <w:r w:rsidR="00427468">
        <w:t xml:space="preserve"> of </w:t>
      </w:r>
      <w:r w:rsidRPr="001A3D2B">
        <w:t>Research</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Cohn, E.G.</w:t>
      </w:r>
      <w:r w:rsidR="005853A9">
        <w:t xml:space="preserve"> and </w:t>
      </w:r>
      <w:r w:rsidRPr="001A3D2B">
        <w:t>Farrington, D.P. (1996), Crime</w:t>
      </w:r>
      <w:r w:rsidR="005853A9">
        <w:t xml:space="preserve"> and </w:t>
      </w:r>
      <w:r w:rsidRPr="001A3D2B">
        <w:t>justice</w:t>
      </w:r>
      <w:r w:rsidR="005853A9">
        <w:t xml:space="preserve"> and </w:t>
      </w:r>
      <w:r w:rsidR="003A1917">
        <w:t xml:space="preserve">the </w:t>
      </w:r>
      <w:r w:rsidRPr="001A3D2B">
        <w:t>criminal justice</w:t>
      </w:r>
      <w:r w:rsidR="005853A9">
        <w:t xml:space="preserve"> and </w:t>
      </w:r>
      <w:r w:rsidRPr="001A3D2B">
        <w:t xml:space="preserve">criminology literature. </w:t>
      </w:r>
      <w:r w:rsidRPr="001A3D2B">
        <w:rPr>
          <w:i/>
          <w:iCs/>
        </w:rPr>
        <w:t>Crime</w:t>
      </w:r>
      <w:r w:rsidR="005853A9">
        <w:rPr>
          <w:i/>
          <w:iCs/>
        </w:rPr>
        <w:t xml:space="preserve"> and </w:t>
      </w:r>
      <w:r w:rsidRPr="001A3D2B">
        <w:rPr>
          <w:i/>
          <w:iCs/>
        </w:rPr>
        <w:t>Justice: A Review</w:t>
      </w:r>
      <w:r w:rsidR="00427468">
        <w:rPr>
          <w:i/>
          <w:iCs/>
        </w:rPr>
        <w:t xml:space="preserve"> of </w:t>
      </w:r>
      <w:r w:rsidRPr="001A3D2B">
        <w:rPr>
          <w:i/>
          <w:iCs/>
        </w:rPr>
        <w:t>Research</w:t>
      </w:r>
      <w:r w:rsidRPr="001A3D2B">
        <w:t xml:space="preserve">, </w:t>
      </w:r>
      <w:r w:rsidRPr="001A3D2B">
        <w:rPr>
          <w:b/>
          <w:bCs/>
        </w:rPr>
        <w:t>20</w:t>
      </w:r>
      <w:r w:rsidRPr="001A3D2B">
        <w:t>, 265-300.</w:t>
      </w:r>
    </w:p>
    <w:p w:rsidR="003474F2" w:rsidRPr="001A3D2B" w:rsidRDefault="003474F2" w:rsidP="003474F2">
      <w:pPr>
        <w:pStyle w:val="a3"/>
      </w:pPr>
      <w:r w:rsidRPr="001A3D2B">
        <w:t>Abstract:</w:t>
      </w:r>
      <w:r w:rsidR="003A1917">
        <w:t xml:space="preserve"> the </w:t>
      </w:r>
      <w:r w:rsidRPr="001A3D2B">
        <w:t>most-cited scholars in state</w:t>
      </w:r>
      <w:r w:rsidR="00434900">
        <w:t>-of-</w:t>
      </w:r>
      <w:r w:rsidRPr="001A3D2B">
        <w:t>the-art literature reviews in general volumes</w:t>
      </w:r>
      <w:r w:rsidR="00427468">
        <w:t xml:space="preserve"> of </w:t>
      </w:r>
      <w:r w:rsidRPr="001A3D2B">
        <w:t>Crime</w:t>
      </w:r>
      <w:r w:rsidR="005853A9">
        <w:t xml:space="preserve"> and </w:t>
      </w:r>
      <w:r w:rsidRPr="001A3D2B">
        <w:t>Justice: A Review</w:t>
      </w:r>
      <w:r w:rsidR="00427468">
        <w:t xml:space="preserve"> of </w:t>
      </w:r>
      <w:r w:rsidRPr="001A3D2B">
        <w:t>Research between 1986</w:t>
      </w:r>
      <w:r w:rsidR="005853A9">
        <w:t xml:space="preserve"> and </w:t>
      </w:r>
      <w:r w:rsidRPr="001A3D2B">
        <w:t>1993 were significantly correlated with</w:t>
      </w:r>
      <w:r w:rsidR="003A1917">
        <w:t xml:space="preserve"> the </w:t>
      </w:r>
      <w:r w:rsidRPr="001A3D2B">
        <w:t>most-cited scholars in three major American criminology journals, three major American criminal justice journals,</w:t>
      </w:r>
      <w:r w:rsidR="005853A9">
        <w:t xml:space="preserve"> and </w:t>
      </w:r>
      <w:r w:rsidRPr="001A3D2B">
        <w:t>three international criminology journals between 1986</w:t>
      </w:r>
      <w:r w:rsidR="005853A9">
        <w:t xml:space="preserve"> and </w:t>
      </w:r>
      <w:r w:rsidRPr="001A3D2B">
        <w:t>1990</w:t>
      </w:r>
      <w:r w:rsidR="00A37C1D">
        <w:t>. The</w:t>
      </w:r>
      <w:r w:rsidRPr="001A3D2B">
        <w:t>re was also substantial overlap between</w:t>
      </w:r>
      <w:r w:rsidR="003A1917">
        <w:t xml:space="preserve"> the </w:t>
      </w:r>
      <w:r w:rsidRPr="001A3D2B">
        <w:t>most-cited works in Crime</w:t>
      </w:r>
      <w:r w:rsidR="005853A9">
        <w:t xml:space="preserve"> and </w:t>
      </w:r>
      <w:r w:rsidRPr="001A3D2B">
        <w:t>Justice</w:t>
      </w:r>
      <w:r w:rsidR="005853A9">
        <w:t xml:space="preserve"> and </w:t>
      </w:r>
      <w:r w:rsidR="003A1917">
        <w:t xml:space="preserve">the </w:t>
      </w:r>
      <w:r w:rsidRPr="001A3D2B">
        <w:t>most-cited crime</w:t>
      </w:r>
      <w:r w:rsidR="005853A9">
        <w:t xml:space="preserve"> and </w:t>
      </w:r>
      <w:r w:rsidRPr="001A3D2B">
        <w:t>justice works in</w:t>
      </w:r>
      <w:r w:rsidR="003A1917">
        <w:t xml:space="preserve"> the </w:t>
      </w:r>
      <w:r w:rsidRPr="001A3D2B">
        <w:t>Social Sciences Citation Index between 1979</w:t>
      </w:r>
      <w:r w:rsidR="005853A9">
        <w:t xml:space="preserve"> and </w:t>
      </w:r>
      <w:r w:rsidRPr="001A3D2B">
        <w:t>1993. Concepts developed in criminal career research can be used to enrich citation analysis</w:t>
      </w:r>
      <w:r w:rsidR="00A37C1D">
        <w:t>. The</w:t>
      </w:r>
      <w:r w:rsidR="003A1917">
        <w:t xml:space="preserve"> </w:t>
      </w:r>
      <w:r w:rsidRPr="001A3D2B">
        <w:t>prevalence</w:t>
      </w:r>
      <w:r w:rsidR="00427468">
        <w:t xml:space="preserve"> of </w:t>
      </w:r>
      <w:r w:rsidRPr="001A3D2B">
        <w:t>citations (the number</w:t>
      </w:r>
      <w:r w:rsidR="00427468">
        <w:t xml:space="preserve"> of </w:t>
      </w:r>
      <w:r w:rsidRPr="001A3D2B">
        <w:t>different articles in which an author was cited) can be distinguished from</w:t>
      </w:r>
      <w:r w:rsidR="003A1917">
        <w:t xml:space="preserve"> the </w:t>
      </w:r>
      <w:r w:rsidRPr="001A3D2B">
        <w:t>individual citation frequency (the average number</w:t>
      </w:r>
      <w:r w:rsidR="00427468">
        <w:t xml:space="preserve"> of </w:t>
      </w:r>
      <w:r w:rsidRPr="001A3D2B">
        <w:t>an author</w:t>
      </w:r>
      <w:r w:rsidR="0071223E">
        <w:t>’</w:t>
      </w:r>
      <w:r w:rsidR="00C13DDC">
        <w:t>s</w:t>
      </w:r>
      <w:r w:rsidRPr="001A3D2B">
        <w:t xml:space="preserve"> works cited whenever that author was cited). Mathematical models</w:t>
      </w:r>
      <w:r w:rsidR="00427468">
        <w:t xml:space="preserve"> of </w:t>
      </w:r>
      <w:r w:rsidRPr="001A3D2B">
        <w:t>citation careers can be developed.</w:t>
      </w:r>
    </w:p>
    <w:p w:rsidR="003474F2" w:rsidRPr="001A3D2B" w:rsidRDefault="003474F2" w:rsidP="003474F2">
      <w:pPr>
        <w:pStyle w:val="a3"/>
      </w:pPr>
      <w:r w:rsidRPr="001A3D2B">
        <w:t>Keywords: Analysis, Careers, Citation, Citation Analysis, Citation Frequency, Citations, Crime, General, International, Journals, Justice, Literature, Models, Prevalence, Research, Reviews</w:t>
      </w:r>
    </w:p>
    <w:p w:rsidR="003010E0" w:rsidRPr="00C73C58" w:rsidRDefault="003010E0" w:rsidP="003010E0">
      <w:pPr>
        <w:pStyle w:val="1"/>
      </w:pPr>
      <w:r>
        <w:br w:type="page"/>
      </w:r>
      <w:bookmarkStart w:id="417" w:name="_Toc420815125"/>
      <w:r>
        <w:lastRenderedPageBreak/>
        <w:t xml:space="preserve">Title: </w:t>
      </w:r>
      <w:r w:rsidRPr="003010E0">
        <w:rPr>
          <w:iCs w:val="0"/>
        </w:rPr>
        <w:t>Crisis-the Journal</w:t>
      </w:r>
      <w:r w:rsidR="00427468">
        <w:rPr>
          <w:iCs w:val="0"/>
        </w:rPr>
        <w:t xml:space="preserve"> of </w:t>
      </w:r>
      <w:r w:rsidRPr="003010E0">
        <w:rPr>
          <w:iCs w:val="0"/>
        </w:rPr>
        <w:t>Crisis Intervention</w:t>
      </w:r>
      <w:r w:rsidR="005853A9">
        <w:rPr>
          <w:iCs w:val="0"/>
        </w:rPr>
        <w:t xml:space="preserve"> and </w:t>
      </w:r>
      <w:r w:rsidRPr="003010E0">
        <w:rPr>
          <w:iCs w:val="0"/>
        </w:rPr>
        <w:t>Suicide Prevention</w:t>
      </w:r>
      <w:bookmarkEnd w:id="417"/>
    </w:p>
    <w:p w:rsidR="003010E0" w:rsidRPr="001A3D2B" w:rsidRDefault="003010E0" w:rsidP="003010E0">
      <w:pPr>
        <w:pStyle w:val="12"/>
      </w:pPr>
      <w:r w:rsidRPr="001A3D2B">
        <w:t xml:space="preserve">Full Journal Title: </w:t>
      </w:r>
      <w:r w:rsidRPr="003010E0">
        <w:rPr>
          <w:iCs/>
          <w:kern w:val="0"/>
        </w:rPr>
        <w:t>Crisis-the Journal</w:t>
      </w:r>
      <w:r w:rsidR="00427468">
        <w:rPr>
          <w:iCs/>
          <w:kern w:val="0"/>
        </w:rPr>
        <w:t xml:space="preserve"> of </w:t>
      </w:r>
      <w:r w:rsidRPr="003010E0">
        <w:rPr>
          <w:iCs/>
          <w:kern w:val="0"/>
        </w:rPr>
        <w:t>Crisis Intervention</w:t>
      </w:r>
      <w:r w:rsidR="005853A9">
        <w:rPr>
          <w:iCs/>
          <w:kern w:val="0"/>
        </w:rPr>
        <w:t xml:space="preserve"> and </w:t>
      </w:r>
      <w:r w:rsidRPr="003010E0">
        <w:rPr>
          <w:iCs/>
          <w:kern w:val="0"/>
        </w:rPr>
        <w:t>Suicide Prevention</w:t>
      </w:r>
    </w:p>
    <w:p w:rsidR="003010E0" w:rsidRPr="00C73C58" w:rsidRDefault="003010E0" w:rsidP="003010E0">
      <w:pPr>
        <w:pStyle w:val="12"/>
      </w:pPr>
      <w:r w:rsidRPr="00C73C58">
        <w:t xml:space="preserve">ISO Abbreviated Title: </w:t>
      </w:r>
    </w:p>
    <w:p w:rsidR="003010E0" w:rsidRPr="00C73C58" w:rsidRDefault="003010E0" w:rsidP="003010E0">
      <w:pPr>
        <w:pStyle w:val="12"/>
      </w:pPr>
      <w:r w:rsidRPr="00C73C58">
        <w:t xml:space="preserve">JCR Abbreviated Title: </w:t>
      </w:r>
    </w:p>
    <w:p w:rsidR="003010E0" w:rsidRPr="00C73C58" w:rsidRDefault="003010E0" w:rsidP="003010E0">
      <w:pPr>
        <w:pStyle w:val="12"/>
      </w:pPr>
      <w:r w:rsidRPr="00C73C58">
        <w:t xml:space="preserve">ISSN: </w:t>
      </w:r>
    </w:p>
    <w:p w:rsidR="003010E0" w:rsidRPr="00C73C58" w:rsidRDefault="003010E0" w:rsidP="003010E0">
      <w:pPr>
        <w:pStyle w:val="12"/>
      </w:pPr>
      <w:r w:rsidRPr="00C73C58">
        <w:t xml:space="preserve">Issues/Year: </w:t>
      </w:r>
    </w:p>
    <w:p w:rsidR="003010E0" w:rsidRPr="00C73C58" w:rsidRDefault="003010E0" w:rsidP="003010E0">
      <w:pPr>
        <w:pStyle w:val="12"/>
      </w:pPr>
      <w:r w:rsidRPr="00C73C58">
        <w:t xml:space="preserve">Journal Country/Territory: </w:t>
      </w:r>
    </w:p>
    <w:p w:rsidR="003010E0" w:rsidRPr="00C73C58" w:rsidRDefault="003010E0" w:rsidP="003010E0">
      <w:pPr>
        <w:pStyle w:val="12"/>
      </w:pPr>
      <w:r w:rsidRPr="00C73C58">
        <w:t xml:space="preserve">Language: </w:t>
      </w:r>
    </w:p>
    <w:p w:rsidR="003010E0" w:rsidRPr="00C73C58" w:rsidRDefault="003010E0" w:rsidP="003010E0">
      <w:pPr>
        <w:pStyle w:val="12"/>
      </w:pPr>
      <w:r w:rsidRPr="00C73C58">
        <w:t xml:space="preserve">Publisher: </w:t>
      </w:r>
    </w:p>
    <w:p w:rsidR="003010E0" w:rsidRPr="00C73C58" w:rsidRDefault="003010E0" w:rsidP="003010E0">
      <w:pPr>
        <w:pStyle w:val="12"/>
      </w:pPr>
      <w:r w:rsidRPr="00C73C58">
        <w:t xml:space="preserve">Publisher Address: </w:t>
      </w:r>
    </w:p>
    <w:p w:rsidR="003010E0" w:rsidRPr="00C73C58" w:rsidRDefault="003010E0" w:rsidP="003010E0">
      <w:pPr>
        <w:pStyle w:val="12"/>
      </w:pPr>
      <w:r w:rsidRPr="00C73C58">
        <w:t xml:space="preserve">Subject Categories: </w:t>
      </w:r>
    </w:p>
    <w:p w:rsidR="003010E0" w:rsidRPr="00C73C58" w:rsidRDefault="003010E0" w:rsidP="003010E0">
      <w:pPr>
        <w:pStyle w:val="12"/>
      </w:pPr>
      <w:r w:rsidRPr="00C73C58">
        <w:t xml:space="preserve">: Impact Factor </w:t>
      </w:r>
    </w:p>
    <w:p w:rsidR="003010E0" w:rsidRDefault="003010E0" w:rsidP="003010E0">
      <w:pPr>
        <w:pStyle w:val="a3"/>
        <w:rPr>
          <w:kern w:val="0"/>
        </w:rPr>
      </w:pPr>
      <w:r>
        <w:rPr>
          <w:rFonts w:hint="eastAsia"/>
          <w:kern w:val="0"/>
        </w:rPr>
        <w:t xml:space="preserve">? </w:t>
      </w:r>
      <w:r>
        <w:rPr>
          <w:kern w:val="0"/>
        </w:rPr>
        <w:t>Goldblatt, M.J., Schechter, M., Maltsberger, J.T.</w:t>
      </w:r>
      <w:r w:rsidR="005853A9">
        <w:rPr>
          <w:kern w:val="0"/>
        </w:rPr>
        <w:t xml:space="preserve"> and </w:t>
      </w:r>
      <w:r>
        <w:rPr>
          <w:kern w:val="0"/>
        </w:rPr>
        <w:t>Ronningstam, E. (2012), Comparison</w:t>
      </w:r>
      <w:r w:rsidR="00427468">
        <w:rPr>
          <w:kern w:val="0"/>
        </w:rPr>
        <w:t xml:space="preserve"> of </w:t>
      </w:r>
      <w:r>
        <w:rPr>
          <w:kern w:val="0"/>
        </w:rPr>
        <w:t>journals</w:t>
      </w:r>
      <w:r w:rsidR="00427468">
        <w:rPr>
          <w:kern w:val="0"/>
        </w:rPr>
        <w:t xml:space="preserve"> of </w:t>
      </w:r>
      <w:r>
        <w:rPr>
          <w:kern w:val="0"/>
        </w:rPr>
        <w:t>suicidology</w:t>
      </w:r>
      <w:r>
        <w:rPr>
          <w:rFonts w:hint="eastAsia"/>
          <w:kern w:val="0"/>
        </w:rPr>
        <w:t>:</w:t>
      </w:r>
      <w:r>
        <w:rPr>
          <w:kern w:val="0"/>
        </w:rPr>
        <w:t xml:space="preserve"> A bibliometric study from 2006-2010. </w:t>
      </w:r>
      <w:r w:rsidRPr="003010E0">
        <w:rPr>
          <w:i/>
          <w:iCs/>
          <w:kern w:val="0"/>
        </w:rPr>
        <w:t>Crisis-the Journal</w:t>
      </w:r>
      <w:r w:rsidR="00427468">
        <w:rPr>
          <w:i/>
          <w:iCs/>
          <w:kern w:val="0"/>
        </w:rPr>
        <w:t xml:space="preserve"> of </w:t>
      </w:r>
      <w:r w:rsidRPr="003010E0">
        <w:rPr>
          <w:i/>
          <w:iCs/>
          <w:kern w:val="0"/>
        </w:rPr>
        <w:t>Crisis Intervention</w:t>
      </w:r>
      <w:r w:rsidR="005853A9">
        <w:rPr>
          <w:i/>
          <w:iCs/>
          <w:kern w:val="0"/>
        </w:rPr>
        <w:t xml:space="preserve"> and </w:t>
      </w:r>
      <w:r w:rsidRPr="003010E0">
        <w:rPr>
          <w:i/>
          <w:iCs/>
          <w:kern w:val="0"/>
        </w:rPr>
        <w:t>Suicide Prevention</w:t>
      </w:r>
      <w:r>
        <w:rPr>
          <w:kern w:val="0"/>
        </w:rPr>
        <w:t xml:space="preserve">, </w:t>
      </w:r>
      <w:r>
        <w:rPr>
          <w:b/>
          <w:bCs/>
          <w:kern w:val="0"/>
        </w:rPr>
        <w:t>33</w:t>
      </w:r>
      <w:r>
        <w:rPr>
          <w:kern w:val="0"/>
        </w:rPr>
        <w:t xml:space="preserve"> (5), 301-305.</w:t>
      </w:r>
    </w:p>
    <w:p w:rsidR="003010E0" w:rsidRDefault="003010E0" w:rsidP="003010E0">
      <w:pPr>
        <w:pStyle w:val="a3"/>
        <w:rPr>
          <w:kern w:val="0"/>
        </w:rPr>
      </w:pPr>
      <w:r>
        <w:rPr>
          <w:rFonts w:hint="eastAsia"/>
          <w:kern w:val="0"/>
        </w:rPr>
        <w:t xml:space="preserve">Full Text: </w:t>
      </w:r>
      <w:hyperlink r:id="rId1046" w:history="1">
        <w:r w:rsidRPr="003010E0">
          <w:rPr>
            <w:rStyle w:val="a5"/>
            <w:kern w:val="0"/>
          </w:rPr>
          <w:t>2012\Cri-J Cri Int Sui Pre33, 301.pdf</w:t>
        </w:r>
      </w:hyperlink>
    </w:p>
    <w:p w:rsidR="003010E0" w:rsidRDefault="003010E0" w:rsidP="003010E0">
      <w:pPr>
        <w:pStyle w:val="a3"/>
        <w:rPr>
          <w:kern w:val="0"/>
        </w:rPr>
      </w:pPr>
      <w:r>
        <w:rPr>
          <w:kern w:val="0"/>
        </w:rPr>
        <w:t>Abstract: Background: Three English-language journals deal explicitly with suicide phenomena. To</w:t>
      </w:r>
      <w:r w:rsidR="003A1917">
        <w:rPr>
          <w:kern w:val="0"/>
        </w:rPr>
        <w:t xml:space="preserve"> the </w:t>
      </w:r>
      <w:r>
        <w:rPr>
          <w:kern w:val="0"/>
        </w:rPr>
        <w:t>best</w:t>
      </w:r>
      <w:r w:rsidR="00427468">
        <w:rPr>
          <w:kern w:val="0"/>
        </w:rPr>
        <w:t xml:space="preserve"> of </w:t>
      </w:r>
      <w:r>
        <w:rPr>
          <w:kern w:val="0"/>
        </w:rPr>
        <w:t>our knowledge, no previous study has analyzed</w:t>
      </w:r>
      <w:r w:rsidR="003A1917">
        <w:rPr>
          <w:kern w:val="0"/>
        </w:rPr>
        <w:t xml:space="preserve"> the </w:t>
      </w:r>
      <w:r>
        <w:rPr>
          <w:kern w:val="0"/>
        </w:rPr>
        <w:t>subject content</w:t>
      </w:r>
      <w:r w:rsidR="00427468">
        <w:rPr>
          <w:kern w:val="0"/>
        </w:rPr>
        <w:t xml:space="preserve"> of </w:t>
      </w:r>
      <w:r>
        <w:rPr>
          <w:kern w:val="0"/>
        </w:rPr>
        <w:t>these three journals. Aims: To review</w:t>
      </w:r>
      <w:r w:rsidR="003A1917">
        <w:rPr>
          <w:kern w:val="0"/>
        </w:rPr>
        <w:t xml:space="preserve"> the </w:t>
      </w:r>
      <w:r>
        <w:rPr>
          <w:kern w:val="0"/>
        </w:rPr>
        <w:t>abstracts</w:t>
      </w:r>
      <w:r w:rsidR="00427468">
        <w:rPr>
          <w:kern w:val="0"/>
        </w:rPr>
        <w:t xml:space="preserve"> of </w:t>
      </w:r>
      <w:r w:rsidR="003A1917">
        <w:rPr>
          <w:kern w:val="0"/>
        </w:rPr>
        <w:t xml:space="preserve">the </w:t>
      </w:r>
      <w:r>
        <w:rPr>
          <w:kern w:val="0"/>
        </w:rPr>
        <w:t>three suicide-related journals in order to clarify</w:t>
      </w:r>
      <w:r w:rsidR="003A1917">
        <w:rPr>
          <w:kern w:val="0"/>
        </w:rPr>
        <w:t xml:space="preserve"> the </w:t>
      </w:r>
      <w:r>
        <w:rPr>
          <w:kern w:val="0"/>
        </w:rPr>
        <w:t>subjects</w:t>
      </w:r>
      <w:r w:rsidR="00427468">
        <w:rPr>
          <w:kern w:val="0"/>
        </w:rPr>
        <w:t xml:space="preserve"> of </w:t>
      </w:r>
      <w:r w:rsidR="003A1917">
        <w:rPr>
          <w:kern w:val="0"/>
        </w:rPr>
        <w:t xml:space="preserve">the </w:t>
      </w:r>
      <w:r>
        <w:rPr>
          <w:kern w:val="0"/>
        </w:rPr>
        <w:t>papers. Methods: We examined all abstracts</w:t>
      </w:r>
      <w:r w:rsidR="00427468">
        <w:rPr>
          <w:kern w:val="0"/>
        </w:rPr>
        <w:t xml:space="preserve"> of </w:t>
      </w:r>
      <w:r>
        <w:rPr>
          <w:kern w:val="0"/>
        </w:rPr>
        <w:t>every paper published in Crisis:</w:t>
      </w:r>
      <w:r w:rsidR="003A1917">
        <w:rPr>
          <w:kern w:val="0"/>
        </w:rPr>
        <w:t xml:space="preserve"> the </w:t>
      </w:r>
      <w:r>
        <w:rPr>
          <w:kern w:val="0"/>
        </w:rPr>
        <w:t>Journal</w:t>
      </w:r>
      <w:r w:rsidR="00427468">
        <w:rPr>
          <w:kern w:val="0"/>
        </w:rPr>
        <w:t xml:space="preserve"> of </w:t>
      </w:r>
      <w:r>
        <w:rPr>
          <w:kern w:val="0"/>
        </w:rPr>
        <w:t>Crisis Intervention</w:t>
      </w:r>
      <w:r w:rsidR="005853A9">
        <w:rPr>
          <w:kern w:val="0"/>
        </w:rPr>
        <w:t xml:space="preserve"> and </w:t>
      </w:r>
      <w:r>
        <w:rPr>
          <w:kern w:val="0"/>
        </w:rPr>
        <w:t>Suicide Prevention, Archives</w:t>
      </w:r>
      <w:r w:rsidR="00427468">
        <w:rPr>
          <w:kern w:val="0"/>
        </w:rPr>
        <w:t xml:space="preserve"> of </w:t>
      </w:r>
      <w:r>
        <w:rPr>
          <w:kern w:val="0"/>
        </w:rPr>
        <w:t>Suicide Research,</w:t>
      </w:r>
      <w:r w:rsidR="005853A9">
        <w:rPr>
          <w:kern w:val="0"/>
        </w:rPr>
        <w:t xml:space="preserve"> and </w:t>
      </w:r>
      <w:r>
        <w:rPr>
          <w:kern w:val="0"/>
        </w:rPr>
        <w:t>Suicide</w:t>
      </w:r>
      <w:r w:rsidR="005853A9">
        <w:rPr>
          <w:kern w:val="0"/>
        </w:rPr>
        <w:t xml:space="preserve"> and </w:t>
      </w:r>
      <w:r>
        <w:rPr>
          <w:kern w:val="0"/>
        </w:rPr>
        <w:t>Life-Threatening Behavior for</w:t>
      </w:r>
      <w:r w:rsidR="003A1917">
        <w:rPr>
          <w:kern w:val="0"/>
        </w:rPr>
        <w:t xml:space="preserve"> the </w:t>
      </w:r>
      <w:r>
        <w:rPr>
          <w:kern w:val="0"/>
        </w:rPr>
        <w:t>5 years between 2006</w:t>
      </w:r>
      <w:r w:rsidR="005853A9">
        <w:rPr>
          <w:kern w:val="0"/>
        </w:rPr>
        <w:t xml:space="preserve"> and </w:t>
      </w:r>
      <w:r>
        <w:rPr>
          <w:kern w:val="0"/>
        </w:rPr>
        <w:t>2010,</w:t>
      </w:r>
      <w:r w:rsidR="005853A9">
        <w:rPr>
          <w:kern w:val="0"/>
        </w:rPr>
        <w:t xml:space="preserve"> and </w:t>
      </w:r>
      <w:r>
        <w:rPr>
          <w:kern w:val="0"/>
        </w:rPr>
        <w:t>categorized each paper by subject. Results: We found that</w:t>
      </w:r>
      <w:r w:rsidR="003A1917">
        <w:rPr>
          <w:kern w:val="0"/>
        </w:rPr>
        <w:t xml:space="preserve"> the </w:t>
      </w:r>
      <w:r>
        <w:rPr>
          <w:kern w:val="0"/>
        </w:rPr>
        <w:t>journals were similar with respect to subject allocation. Most papers dealt with epidemiological issues (32.7-40.1%</w:t>
      </w:r>
      <w:r w:rsidR="00427468">
        <w:rPr>
          <w:kern w:val="0"/>
        </w:rPr>
        <w:t xml:space="preserve"> of </w:t>
      </w:r>
      <w:r>
        <w:rPr>
          <w:kern w:val="0"/>
        </w:rPr>
        <w:t>abstracts); prevention (5.8%-15.3%)</w:t>
      </w:r>
      <w:r w:rsidR="005853A9">
        <w:rPr>
          <w:kern w:val="0"/>
        </w:rPr>
        <w:t xml:space="preserve"> and </w:t>
      </w:r>
      <w:r>
        <w:rPr>
          <w:kern w:val="0"/>
        </w:rPr>
        <w:t>research (8.3%-10.6%) were next best represented subjects. Clinical papers comprised from 2.8% to 8.2%</w:t>
      </w:r>
      <w:r w:rsidR="00427468">
        <w:rPr>
          <w:kern w:val="0"/>
        </w:rPr>
        <w:t xml:space="preserve"> of </w:t>
      </w:r>
      <w:r w:rsidR="003A1917">
        <w:rPr>
          <w:kern w:val="0"/>
        </w:rPr>
        <w:t xml:space="preserve">the </w:t>
      </w:r>
      <w:r>
        <w:rPr>
          <w:kern w:val="0"/>
        </w:rPr>
        <w:t>studies published. Conclusions: English-language suicide journals publish a preponderance</w:t>
      </w:r>
      <w:r w:rsidR="00427468">
        <w:rPr>
          <w:kern w:val="0"/>
        </w:rPr>
        <w:t xml:space="preserve"> of </w:t>
      </w:r>
      <w:r>
        <w:rPr>
          <w:kern w:val="0"/>
        </w:rPr>
        <w:t>epidemiological studies. Clinical studies are relatively underrepresented.</w:t>
      </w:r>
    </w:p>
    <w:p w:rsidR="003010E0" w:rsidRDefault="003010E0" w:rsidP="003010E0">
      <w:pPr>
        <w:pStyle w:val="a3"/>
        <w:rPr>
          <w:kern w:val="0"/>
        </w:rPr>
      </w:pPr>
      <w:r>
        <w:rPr>
          <w:kern w:val="0"/>
        </w:rPr>
        <w:t>Keywords: Allocation, Bibliometric, Bibliometric Study, Journal, Journals, Knowledge, Papers, Prevention, Published Articles on Suicide, Research, Review, Suicide</w:t>
      </w:r>
    </w:p>
    <w:p w:rsidR="00506D61" w:rsidRDefault="00506D61" w:rsidP="00506D61">
      <w:pPr>
        <w:pStyle w:val="a3"/>
        <w:rPr>
          <w:kern w:val="0"/>
        </w:rPr>
      </w:pPr>
      <w:r>
        <w:rPr>
          <w:rFonts w:hint="eastAsia"/>
          <w:kern w:val="0"/>
        </w:rPr>
        <w:t xml:space="preserve">? </w:t>
      </w:r>
      <w:r>
        <w:rPr>
          <w:kern w:val="0"/>
        </w:rPr>
        <w:t xml:space="preserve">Ghoncheh, R., Koot, H.M. and Kerkhof, A.J.F.M. (2014), Suicide prevention E-learning modules designed for gatekeepers a descriptive review. </w:t>
      </w:r>
      <w:r>
        <w:rPr>
          <w:i/>
          <w:iCs/>
          <w:kern w:val="0"/>
        </w:rPr>
        <w:t>Crisis-the Journal of Crisis Intervention and Suicide Prevention</w:t>
      </w:r>
      <w:r>
        <w:rPr>
          <w:kern w:val="0"/>
        </w:rPr>
        <w:t xml:space="preserve">, </w:t>
      </w:r>
      <w:r>
        <w:rPr>
          <w:b/>
          <w:bCs/>
          <w:kern w:val="0"/>
        </w:rPr>
        <w:t>35</w:t>
      </w:r>
      <w:r>
        <w:rPr>
          <w:kern w:val="0"/>
        </w:rPr>
        <w:t xml:space="preserve"> (3), 176-185.</w:t>
      </w:r>
    </w:p>
    <w:p w:rsidR="00506D61" w:rsidRDefault="00506D61" w:rsidP="00506D61">
      <w:pPr>
        <w:pStyle w:val="a3"/>
        <w:rPr>
          <w:kern w:val="0"/>
        </w:rPr>
      </w:pPr>
      <w:r>
        <w:rPr>
          <w:rFonts w:hint="eastAsia"/>
          <w:kern w:val="0"/>
        </w:rPr>
        <w:t xml:space="preserve">Full Text: </w:t>
      </w:r>
      <w:hyperlink r:id="rId1047" w:history="1">
        <w:r w:rsidRPr="00506D61">
          <w:rPr>
            <w:rStyle w:val="a5"/>
            <w:kern w:val="0"/>
          </w:rPr>
          <w:t>201</w:t>
        </w:r>
        <w:r w:rsidRPr="00506D61">
          <w:rPr>
            <w:rStyle w:val="a5"/>
            <w:rFonts w:hint="eastAsia"/>
            <w:kern w:val="0"/>
          </w:rPr>
          <w:t>4</w:t>
        </w:r>
        <w:r w:rsidRPr="00506D61">
          <w:rPr>
            <w:rStyle w:val="a5"/>
            <w:kern w:val="0"/>
          </w:rPr>
          <w:t>\Cri-J Cri Int Sui Pre3</w:t>
        </w:r>
        <w:r w:rsidRPr="00506D61">
          <w:rPr>
            <w:rStyle w:val="a5"/>
            <w:rFonts w:hint="eastAsia"/>
            <w:kern w:val="0"/>
          </w:rPr>
          <w:t>5</w:t>
        </w:r>
        <w:r w:rsidRPr="00506D61">
          <w:rPr>
            <w:rStyle w:val="a5"/>
            <w:kern w:val="0"/>
          </w:rPr>
          <w:t xml:space="preserve">, </w:t>
        </w:r>
        <w:r w:rsidRPr="00506D61">
          <w:rPr>
            <w:rStyle w:val="a5"/>
            <w:rFonts w:hint="eastAsia"/>
            <w:kern w:val="0"/>
          </w:rPr>
          <w:t>176</w:t>
        </w:r>
        <w:r w:rsidRPr="00506D61">
          <w:rPr>
            <w:rStyle w:val="a5"/>
            <w:kern w:val="0"/>
          </w:rPr>
          <w:t>.pdf</w:t>
        </w:r>
      </w:hyperlink>
    </w:p>
    <w:p w:rsidR="00506D61" w:rsidRDefault="00506D61" w:rsidP="00506D61">
      <w:pPr>
        <w:pStyle w:val="a3"/>
        <w:rPr>
          <w:kern w:val="0"/>
        </w:rPr>
      </w:pPr>
      <w:r>
        <w:rPr>
          <w:kern w:val="0"/>
        </w:rPr>
        <w:t xml:space="preserve">Abstract: Background: E-learning modules can be a useful method for educating </w:t>
      </w:r>
      <w:r>
        <w:rPr>
          <w:kern w:val="0"/>
        </w:rPr>
        <w:lastRenderedPageBreak/>
        <w:t>gatekeepers in suicide prevention and awareness. Aims: To review and provide an overview of e-learning modules on suicide prevention designed for gatekeepers and assess their effectiveness. Method: Two strategies were used. First, articles were systematically searched in databases of PubMed, Web of Science, and PsycINFO. Second, Google search was used to find e-learning modules on the Web. Results: The literature search resulted in 448 papers, of which none met the inclusion criteria of this study. The Google search resulted in 130 hits, of which 23 met the inclusion criteria of this review. Organizations that owned the modules were contacted, of which 13 responded and nine were included in this study. The effectiveness of two e-learning modules is currently being tested in a randomized controlled trial (RCT), one organization is planning to test the effectiveness of their module, and one organization has compared their face-to-face training with their online training. Furthermore, the included modules have different characteristics. Conclusion: There is a need for RCTs to study the effectiveness of online modules in this area and to understand which characteristics are essential to create effective e-learning modules to educate gatekeepers in suicide prevention.</w:t>
      </w:r>
    </w:p>
    <w:p w:rsidR="00506D61" w:rsidRDefault="00506D61" w:rsidP="00506D61">
      <w:pPr>
        <w:pStyle w:val="a3"/>
        <w:rPr>
          <w:kern w:val="0"/>
        </w:rPr>
      </w:pPr>
      <w:r>
        <w:rPr>
          <w:kern w:val="0"/>
        </w:rPr>
        <w:t>Keywords: Articles, Awareness, Characteristics, Controlled Trial, Criteria, Databases, E-Learning, Education, Effectiveness, Gatekeepers, Google, Health-Professions, Literature, Literature Search, Metaanalysis, Modules, Online, Organization, Overview, Papers, Planning, Prevention, Psycinfo, Pubmed, Randomized, Randomized Controlled Trial, RCT, Results, Review, Science, Strategies, Suicide, Suicide Prevention, Training, Trial, Web Of Science</w:t>
      </w:r>
    </w:p>
    <w:p w:rsidR="006F2D64" w:rsidRPr="00C73C58" w:rsidRDefault="006F2D64" w:rsidP="006F2D64">
      <w:pPr>
        <w:pStyle w:val="1"/>
      </w:pPr>
      <w:r>
        <w:br w:type="page"/>
      </w:r>
      <w:bookmarkStart w:id="418" w:name="_Toc420815126"/>
      <w:r>
        <w:lastRenderedPageBreak/>
        <w:t>Title: Critical Care</w:t>
      </w:r>
      <w:bookmarkEnd w:id="418"/>
    </w:p>
    <w:p w:rsidR="006F2D64" w:rsidRPr="001A3D2B" w:rsidRDefault="006F2D64" w:rsidP="006F2D64">
      <w:pPr>
        <w:pStyle w:val="12"/>
      </w:pPr>
      <w:r w:rsidRPr="001A3D2B">
        <w:t xml:space="preserve">Full Journal Title: </w:t>
      </w:r>
      <w:r>
        <w:t>Critical Care</w:t>
      </w:r>
    </w:p>
    <w:p w:rsidR="006F2D64" w:rsidRPr="00C73C58" w:rsidRDefault="006F2D64" w:rsidP="006F2D64">
      <w:pPr>
        <w:pStyle w:val="12"/>
      </w:pPr>
      <w:r w:rsidRPr="00C73C58">
        <w:t xml:space="preserve">ISO Abbreviated Title: </w:t>
      </w:r>
    </w:p>
    <w:p w:rsidR="006F2D64" w:rsidRPr="00C73C58" w:rsidRDefault="006F2D64" w:rsidP="006F2D64">
      <w:pPr>
        <w:pStyle w:val="12"/>
      </w:pPr>
      <w:r w:rsidRPr="00C73C58">
        <w:t xml:space="preserve">JCR Abbreviated Title: </w:t>
      </w:r>
    </w:p>
    <w:p w:rsidR="006F2D64" w:rsidRPr="00C73C58" w:rsidRDefault="006F2D64" w:rsidP="006F2D64">
      <w:pPr>
        <w:pStyle w:val="12"/>
      </w:pPr>
      <w:r w:rsidRPr="00C73C58">
        <w:t xml:space="preserve">ISSN: </w:t>
      </w:r>
    </w:p>
    <w:p w:rsidR="006F2D64" w:rsidRPr="00C73C58" w:rsidRDefault="006F2D64" w:rsidP="006F2D64">
      <w:pPr>
        <w:pStyle w:val="12"/>
      </w:pPr>
      <w:r w:rsidRPr="00C73C58">
        <w:t xml:space="preserve">Issues/Year: </w:t>
      </w:r>
    </w:p>
    <w:p w:rsidR="006F2D64" w:rsidRPr="00C73C58" w:rsidRDefault="006F2D64" w:rsidP="006F2D64">
      <w:pPr>
        <w:pStyle w:val="12"/>
      </w:pPr>
      <w:r w:rsidRPr="00C73C58">
        <w:t xml:space="preserve">Journal Country/Territory: </w:t>
      </w:r>
    </w:p>
    <w:p w:rsidR="006F2D64" w:rsidRPr="00C73C58" w:rsidRDefault="006F2D64" w:rsidP="006F2D64">
      <w:pPr>
        <w:pStyle w:val="12"/>
      </w:pPr>
      <w:r w:rsidRPr="00C73C58">
        <w:t xml:space="preserve">Language: </w:t>
      </w:r>
    </w:p>
    <w:p w:rsidR="006F2D64" w:rsidRPr="00C73C58" w:rsidRDefault="006F2D64" w:rsidP="006F2D64">
      <w:pPr>
        <w:pStyle w:val="12"/>
      </w:pPr>
      <w:r w:rsidRPr="00C73C58">
        <w:t xml:space="preserve">Publisher: </w:t>
      </w:r>
    </w:p>
    <w:p w:rsidR="006F2D64" w:rsidRPr="00C73C58" w:rsidRDefault="006F2D64" w:rsidP="006F2D64">
      <w:pPr>
        <w:pStyle w:val="12"/>
      </w:pPr>
      <w:r w:rsidRPr="00C73C58">
        <w:t xml:space="preserve">Publisher Address: </w:t>
      </w:r>
    </w:p>
    <w:p w:rsidR="006F2D64" w:rsidRPr="00C73C58" w:rsidRDefault="006F2D64" w:rsidP="006F2D64">
      <w:pPr>
        <w:pStyle w:val="12"/>
      </w:pPr>
      <w:r w:rsidRPr="00C73C58">
        <w:t xml:space="preserve">Subject Categories: </w:t>
      </w:r>
    </w:p>
    <w:p w:rsidR="006F2D64" w:rsidRPr="00C73C58" w:rsidRDefault="006F2D64" w:rsidP="006F2D64">
      <w:pPr>
        <w:pStyle w:val="12"/>
      </w:pPr>
      <w:r w:rsidRPr="00C73C58">
        <w:t xml:space="preserve">: Impact Factor </w:t>
      </w:r>
    </w:p>
    <w:p w:rsidR="000157D0" w:rsidRDefault="000157D0" w:rsidP="000157D0">
      <w:pPr>
        <w:pStyle w:val="a3"/>
        <w:rPr>
          <w:kern w:val="0"/>
        </w:rPr>
      </w:pPr>
      <w:r>
        <w:rPr>
          <w:rFonts w:hint="eastAsia"/>
          <w:kern w:val="0"/>
        </w:rPr>
        <w:t xml:space="preserve">? </w:t>
      </w:r>
      <w:r>
        <w:rPr>
          <w:kern w:val="0"/>
        </w:rPr>
        <w:t>Fan, E., MacDonald, D., Adhikari, N.K.J., Scales, D.C., Wax, R.S., Stewart, T.E.</w:t>
      </w:r>
      <w:r w:rsidR="005853A9">
        <w:rPr>
          <w:kern w:val="0"/>
        </w:rPr>
        <w:t xml:space="preserve"> and </w:t>
      </w:r>
      <w:r>
        <w:rPr>
          <w:kern w:val="0"/>
        </w:rPr>
        <w:t>Ferguson, D. (2006), Outcomes</w:t>
      </w:r>
      <w:r w:rsidR="00427468">
        <w:rPr>
          <w:kern w:val="0"/>
        </w:rPr>
        <w:t xml:space="preserve"> of </w:t>
      </w:r>
      <w:r>
        <w:rPr>
          <w:kern w:val="0"/>
        </w:rPr>
        <w:t xml:space="preserve">interfacility critical care adult patient transport: A systematic review. </w:t>
      </w:r>
      <w:r>
        <w:rPr>
          <w:i/>
          <w:iCs/>
          <w:kern w:val="0"/>
        </w:rPr>
        <w:t>Critical Care</w:t>
      </w:r>
      <w:r>
        <w:rPr>
          <w:kern w:val="0"/>
        </w:rPr>
        <w:t xml:space="preserve">, </w:t>
      </w:r>
      <w:r>
        <w:rPr>
          <w:b/>
          <w:bCs/>
          <w:kern w:val="0"/>
        </w:rPr>
        <w:t>10</w:t>
      </w:r>
      <w:r>
        <w:rPr>
          <w:kern w:val="0"/>
        </w:rPr>
        <w:t xml:space="preserve"> (1</w:t>
      </w:r>
      <w:r>
        <w:rPr>
          <w:rFonts w:hint="eastAsia"/>
          <w:kern w:val="0"/>
        </w:rPr>
        <w:t xml:space="preserve">), </w:t>
      </w:r>
      <w:r w:rsidRPr="00F8758D">
        <w:rPr>
          <w:kern w:val="0"/>
        </w:rPr>
        <w:t>Article Number: R6</w:t>
      </w:r>
      <w:r>
        <w:rPr>
          <w:kern w:val="0"/>
        </w:rPr>
        <w:t>.</w:t>
      </w:r>
    </w:p>
    <w:p w:rsidR="000157D0" w:rsidRDefault="000157D0" w:rsidP="000157D0">
      <w:pPr>
        <w:pStyle w:val="a3"/>
        <w:rPr>
          <w:kern w:val="0"/>
          <w:szCs w:val="24"/>
        </w:rPr>
      </w:pPr>
      <w:r>
        <w:rPr>
          <w:rFonts w:hint="eastAsia"/>
          <w:kern w:val="0"/>
          <w:szCs w:val="24"/>
        </w:rPr>
        <w:t xml:space="preserve">Full Text: </w:t>
      </w:r>
      <w:hyperlink r:id="rId1048" w:history="1">
        <w:r w:rsidRPr="001D5456">
          <w:rPr>
            <w:rStyle w:val="a5"/>
            <w:kern w:val="0"/>
            <w:szCs w:val="24"/>
          </w:rPr>
          <w:t>2006\Cri Car10, R6.pdf</w:t>
        </w:r>
      </w:hyperlink>
    </w:p>
    <w:p w:rsidR="000157D0" w:rsidRDefault="000157D0" w:rsidP="000157D0">
      <w:pPr>
        <w:pStyle w:val="a3"/>
        <w:rPr>
          <w:kern w:val="0"/>
        </w:rPr>
      </w:pPr>
      <w:r>
        <w:rPr>
          <w:kern w:val="0"/>
        </w:rPr>
        <w:t>Abstract: Introduction We aimed to determine</w:t>
      </w:r>
      <w:r w:rsidR="003A1917">
        <w:rPr>
          <w:kern w:val="0"/>
        </w:rPr>
        <w:t xml:space="preserve"> the </w:t>
      </w:r>
      <w:r>
        <w:rPr>
          <w:kern w:val="0"/>
        </w:rPr>
        <w:t>adverse events</w:t>
      </w:r>
      <w:r w:rsidR="005853A9">
        <w:rPr>
          <w:kern w:val="0"/>
        </w:rPr>
        <w:t xml:space="preserve"> and </w:t>
      </w:r>
      <w:r>
        <w:rPr>
          <w:kern w:val="0"/>
        </w:rPr>
        <w:t>important prognostic factors associated with interfacility transport</w:t>
      </w:r>
      <w:r w:rsidR="00427468">
        <w:rPr>
          <w:kern w:val="0"/>
        </w:rPr>
        <w:t xml:space="preserve"> of </w:t>
      </w:r>
      <w:r>
        <w:rPr>
          <w:kern w:val="0"/>
        </w:rPr>
        <w:t>intubated</w:t>
      </w:r>
      <w:r w:rsidR="005853A9">
        <w:rPr>
          <w:kern w:val="0"/>
        </w:rPr>
        <w:t xml:space="preserve"> and </w:t>
      </w:r>
      <w:r>
        <w:rPr>
          <w:kern w:val="0"/>
        </w:rPr>
        <w:t>mechanically ventilated adult patients. Methods We performed a systematic review</w:t>
      </w:r>
      <w:r w:rsidR="00427468">
        <w:rPr>
          <w:kern w:val="0"/>
        </w:rPr>
        <w:t xml:space="preserve"> of </w:t>
      </w:r>
      <w:r w:rsidR="00D5664A">
        <w:rPr>
          <w:kern w:val="0"/>
        </w:rPr>
        <w:t>MEDLINE</w:t>
      </w:r>
      <w:r>
        <w:rPr>
          <w:kern w:val="0"/>
        </w:rPr>
        <w:t>, CENTRAL, EMBASE, CINAHL, HEALTHSTAR,</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inception until 10 January 2005) for all clinical studies describing</w:t>
      </w:r>
      <w:r w:rsidR="003A1917">
        <w:rPr>
          <w:kern w:val="0"/>
        </w:rPr>
        <w:t xml:space="preserve"> the </w:t>
      </w:r>
      <w:r>
        <w:rPr>
          <w:kern w:val="0"/>
        </w:rPr>
        <w:t>incidence</w:t>
      </w:r>
      <w:r w:rsidR="005853A9">
        <w:rPr>
          <w:kern w:val="0"/>
        </w:rPr>
        <w:t xml:space="preserve"> and </w:t>
      </w:r>
      <w:r>
        <w:rPr>
          <w:kern w:val="0"/>
        </w:rPr>
        <w:t>predictors</w:t>
      </w:r>
      <w:r w:rsidR="00427468">
        <w:rPr>
          <w:kern w:val="0"/>
        </w:rPr>
        <w:t xml:space="preserve"> of </w:t>
      </w:r>
      <w:r>
        <w:rPr>
          <w:kern w:val="0"/>
        </w:rPr>
        <w:t>adverse events in intubated</w:t>
      </w:r>
      <w:r w:rsidR="005853A9">
        <w:rPr>
          <w:kern w:val="0"/>
        </w:rPr>
        <w:t xml:space="preserve"> and </w:t>
      </w:r>
      <w:r>
        <w:rPr>
          <w:kern w:val="0"/>
        </w:rPr>
        <w:t>mechanically ventilated adult patients undergoing interfacility transport</w:t>
      </w:r>
      <w:r w:rsidR="00A37C1D">
        <w:rPr>
          <w:kern w:val="0"/>
        </w:rPr>
        <w:t>. The</w:t>
      </w:r>
      <w:r w:rsidR="003A1917">
        <w:rPr>
          <w:kern w:val="0"/>
        </w:rPr>
        <w:t xml:space="preserve"> </w:t>
      </w:r>
      <w:r>
        <w:rPr>
          <w:kern w:val="0"/>
        </w:rPr>
        <w:t>bibliographies</w:t>
      </w:r>
      <w:r w:rsidR="00427468">
        <w:rPr>
          <w:kern w:val="0"/>
        </w:rPr>
        <w:t xml:space="preserve"> of </w:t>
      </w:r>
      <w:r>
        <w:rPr>
          <w:kern w:val="0"/>
        </w:rPr>
        <w:t>selected articles were also examined. Results Five studies (245 patients) met</w:t>
      </w:r>
      <w:r w:rsidR="003A1917">
        <w:rPr>
          <w:kern w:val="0"/>
        </w:rPr>
        <w:t xml:space="preserve"> the </w:t>
      </w:r>
      <w:r>
        <w:rPr>
          <w:kern w:val="0"/>
        </w:rPr>
        <w:t>inclusion criteria. All were case-series</w:t>
      </w:r>
      <w:r w:rsidR="005853A9">
        <w:rPr>
          <w:kern w:val="0"/>
        </w:rPr>
        <w:t xml:space="preserve"> and </w:t>
      </w:r>
      <w:r>
        <w:rPr>
          <w:kern w:val="0"/>
        </w:rPr>
        <w:t>two were prospective in design. Due to</w:t>
      </w:r>
      <w:r w:rsidR="003A1917">
        <w:rPr>
          <w:kern w:val="0"/>
        </w:rPr>
        <w:t xml:space="preserve"> the </w:t>
      </w:r>
      <w:r>
        <w:rPr>
          <w:kern w:val="0"/>
        </w:rPr>
        <w:t>paucity</w:t>
      </w:r>
      <w:r w:rsidR="00427468">
        <w:rPr>
          <w:kern w:val="0"/>
        </w:rPr>
        <w:t xml:space="preserve"> of </w:t>
      </w:r>
      <w:r>
        <w:rPr>
          <w:kern w:val="0"/>
        </w:rPr>
        <w:t>studies</w:t>
      </w:r>
      <w:r w:rsidR="005853A9">
        <w:rPr>
          <w:kern w:val="0"/>
        </w:rPr>
        <w:t xml:space="preserve"> and </w:t>
      </w:r>
      <w:r>
        <w:rPr>
          <w:kern w:val="0"/>
        </w:rPr>
        <w:t>significant heterogeneity in study population, outcome events,</w:t>
      </w:r>
      <w:r w:rsidR="005853A9">
        <w:rPr>
          <w:kern w:val="0"/>
        </w:rPr>
        <w:t xml:space="preserve"> and </w:t>
      </w:r>
      <w:r>
        <w:rPr>
          <w:kern w:val="0"/>
        </w:rPr>
        <w:t>results, we synthesized data in a qualitative manner. Pre-transport severity</w:t>
      </w:r>
      <w:r w:rsidR="00427468">
        <w:rPr>
          <w:kern w:val="0"/>
        </w:rPr>
        <w:t xml:space="preserve"> of </w:t>
      </w:r>
      <w:r>
        <w:rPr>
          <w:kern w:val="0"/>
        </w:rPr>
        <w:t>illness was reported in only one study</w:t>
      </w:r>
      <w:r w:rsidR="00A37C1D">
        <w:rPr>
          <w:kern w:val="0"/>
        </w:rPr>
        <w:t>. The</w:t>
      </w:r>
      <w:r w:rsidR="003A1917">
        <w:rPr>
          <w:kern w:val="0"/>
        </w:rPr>
        <w:t xml:space="preserve"> </w:t>
      </w:r>
      <w:r>
        <w:rPr>
          <w:kern w:val="0"/>
        </w:rPr>
        <w:t>most common indication for transport was a need for investigations and/or specialist care three studies, 220 patients). Transport modalities included air (fixed or rotor wing; 66%</w:t>
      </w:r>
      <w:r w:rsidR="00427468">
        <w:rPr>
          <w:kern w:val="0"/>
        </w:rPr>
        <w:t xml:space="preserve"> of </w:t>
      </w:r>
      <w:r>
        <w:rPr>
          <w:kern w:val="0"/>
        </w:rPr>
        <w:t>patients)</w:t>
      </w:r>
      <w:r w:rsidR="005853A9">
        <w:rPr>
          <w:kern w:val="0"/>
        </w:rPr>
        <w:t xml:space="preserve"> and </w:t>
      </w:r>
      <w:r>
        <w:rPr>
          <w:kern w:val="0"/>
        </w:rPr>
        <w:t>ground (31%) ambulance,</w:t>
      </w:r>
      <w:r w:rsidR="005853A9">
        <w:rPr>
          <w:kern w:val="0"/>
        </w:rPr>
        <w:t xml:space="preserve"> and </w:t>
      </w:r>
      <w:r>
        <w:rPr>
          <w:kern w:val="0"/>
        </w:rPr>
        <w:t>commercial aircraft (3%). Transport teams included a physician in three studies (220 patients). Death during transfer was rare (n = 1). No other adverse events or significant therapeutic interventions during transport were reported. One study reported a 19% (28/145) incidence</w:t>
      </w:r>
      <w:r w:rsidR="00427468">
        <w:rPr>
          <w:kern w:val="0"/>
        </w:rPr>
        <w:t xml:space="preserve"> of </w:t>
      </w:r>
      <w:r>
        <w:rPr>
          <w:kern w:val="0"/>
        </w:rPr>
        <w:t>respiratory alkalosis on arrival</w:t>
      </w:r>
      <w:r w:rsidR="005853A9">
        <w:rPr>
          <w:kern w:val="0"/>
        </w:rPr>
        <w:t xml:space="preserve"> and </w:t>
      </w:r>
      <w:r>
        <w:rPr>
          <w:kern w:val="0"/>
        </w:rPr>
        <w:t>another study documented a 30% overall intensive care unit mortality, while no adverse events or outcomes were reported after arrival in</w:t>
      </w:r>
      <w:r w:rsidR="003A1917">
        <w:rPr>
          <w:kern w:val="0"/>
        </w:rPr>
        <w:t xml:space="preserve"> the </w:t>
      </w:r>
      <w:r>
        <w:rPr>
          <w:kern w:val="0"/>
        </w:rPr>
        <w:t>three other studies. Conclusion Insufficient data exist to draw firm conclusions regarding</w:t>
      </w:r>
      <w:r w:rsidR="003A1917">
        <w:rPr>
          <w:kern w:val="0"/>
        </w:rPr>
        <w:t xml:space="preserve"> the </w:t>
      </w:r>
      <w:r>
        <w:rPr>
          <w:kern w:val="0"/>
        </w:rPr>
        <w:t xml:space="preserve">mortality, </w:t>
      </w:r>
      <w:r>
        <w:rPr>
          <w:kern w:val="0"/>
        </w:rPr>
        <w:lastRenderedPageBreak/>
        <w:t>morbidity, or risk factors associated with</w:t>
      </w:r>
      <w:r w:rsidR="003A1917">
        <w:rPr>
          <w:kern w:val="0"/>
        </w:rPr>
        <w:t xml:space="preserve"> the </w:t>
      </w:r>
      <w:r>
        <w:rPr>
          <w:kern w:val="0"/>
        </w:rPr>
        <w:t>interfacility transport</w:t>
      </w:r>
      <w:r w:rsidR="00427468">
        <w:rPr>
          <w:kern w:val="0"/>
        </w:rPr>
        <w:t xml:space="preserve"> of </w:t>
      </w:r>
      <w:r>
        <w:rPr>
          <w:kern w:val="0"/>
        </w:rPr>
        <w:t>intubated</w:t>
      </w:r>
      <w:r w:rsidR="005853A9">
        <w:rPr>
          <w:kern w:val="0"/>
        </w:rPr>
        <w:t xml:space="preserve"> and </w:t>
      </w:r>
      <w:r>
        <w:rPr>
          <w:kern w:val="0"/>
        </w:rPr>
        <w:t>mechanically ventilated adult patients. Further study is required to define</w:t>
      </w:r>
      <w:r w:rsidR="003A1917">
        <w:rPr>
          <w:kern w:val="0"/>
        </w:rPr>
        <w:t xml:space="preserve"> the </w:t>
      </w:r>
      <w:r>
        <w:rPr>
          <w:kern w:val="0"/>
        </w:rPr>
        <w:t>risks</w:t>
      </w:r>
      <w:r w:rsidR="005853A9">
        <w:rPr>
          <w:kern w:val="0"/>
        </w:rPr>
        <w:t xml:space="preserve"> and </w:t>
      </w:r>
      <w:r>
        <w:rPr>
          <w:kern w:val="0"/>
        </w:rPr>
        <w:t>benefits</w:t>
      </w:r>
      <w:r w:rsidR="00427468">
        <w:rPr>
          <w:kern w:val="0"/>
        </w:rPr>
        <w:t xml:space="preserve"> of </w:t>
      </w:r>
      <w:r>
        <w:rPr>
          <w:kern w:val="0"/>
        </w:rPr>
        <w:t>interfacility transfer in this patient population. Such information is important for</w:t>
      </w:r>
      <w:r w:rsidR="003A1917">
        <w:rPr>
          <w:kern w:val="0"/>
        </w:rPr>
        <w:t xml:space="preserve"> the </w:t>
      </w:r>
      <w:r>
        <w:rPr>
          <w:kern w:val="0"/>
        </w:rPr>
        <w:t>planning</w:t>
      </w:r>
      <w:r w:rsidR="005853A9">
        <w:rPr>
          <w:kern w:val="0"/>
        </w:rPr>
        <w:t xml:space="preserve"> and </w:t>
      </w:r>
      <w:r>
        <w:rPr>
          <w:kern w:val="0"/>
        </w:rPr>
        <w:t>allocation</w:t>
      </w:r>
      <w:r w:rsidR="00427468">
        <w:rPr>
          <w:kern w:val="0"/>
        </w:rPr>
        <w:t xml:space="preserve"> of </w:t>
      </w:r>
      <w:r>
        <w:rPr>
          <w:kern w:val="0"/>
        </w:rPr>
        <w:t>resources related to transporting critically ill adults.</w:t>
      </w:r>
    </w:p>
    <w:p w:rsidR="000157D0" w:rsidRDefault="000157D0" w:rsidP="000157D0">
      <w:pPr>
        <w:pStyle w:val="a3"/>
        <w:rPr>
          <w:kern w:val="0"/>
        </w:rPr>
      </w:pPr>
      <w:r>
        <w:rPr>
          <w:kern w:val="0"/>
        </w:rPr>
        <w:t xml:space="preserve">Keywords: Adult, Adults, Case Series, Complications, Critical Care, Embase, Failure, Ill Patients, Information, Injured Patients, Intensive Care, Intensive Care Unit, Intensive-Care, Interhospital Transport, Interventions, Intrahospital Transport, </w:t>
      </w:r>
      <w:r w:rsidR="00D5664A">
        <w:rPr>
          <w:kern w:val="0"/>
        </w:rPr>
        <w:t>MEDLINE</w:t>
      </w:r>
      <w:r>
        <w:rPr>
          <w:kern w:val="0"/>
        </w:rPr>
        <w:t xml:space="preserve">, Methods, Morbidity, Mortality, Outcome, Outcomes, Review, Risk, Risk Factors, Science, Severity, Systematic, Systematic Review, Transfers, Unit, </w:t>
      </w:r>
      <w:r w:rsidR="00D5664A">
        <w:rPr>
          <w:kern w:val="0"/>
        </w:rPr>
        <w:t>Web</w:t>
      </w:r>
      <w:r w:rsidR="00427468">
        <w:rPr>
          <w:kern w:val="0"/>
        </w:rPr>
        <w:t xml:space="preserve"> of </w:t>
      </w:r>
      <w:r w:rsidR="00D5664A">
        <w:rPr>
          <w:kern w:val="0"/>
        </w:rPr>
        <w:t>Science</w:t>
      </w:r>
    </w:p>
    <w:p w:rsidR="006F2D64" w:rsidRDefault="006F2D64" w:rsidP="006F2D64">
      <w:pPr>
        <w:pStyle w:val="a3"/>
        <w:rPr>
          <w:kern w:val="0"/>
          <w:szCs w:val="24"/>
        </w:rPr>
      </w:pPr>
      <w:r>
        <w:rPr>
          <w:rFonts w:hint="eastAsia"/>
          <w:kern w:val="0"/>
          <w:szCs w:val="24"/>
        </w:rPr>
        <w:t xml:space="preserve">? </w:t>
      </w:r>
      <w:r>
        <w:rPr>
          <w:kern w:val="0"/>
          <w:szCs w:val="24"/>
        </w:rPr>
        <w:t>Brusselaers, N., Monstrey, S., Vogelaers, D., Hoste, E.</w:t>
      </w:r>
      <w:r w:rsidR="005853A9">
        <w:rPr>
          <w:kern w:val="0"/>
          <w:szCs w:val="24"/>
        </w:rPr>
        <w:t xml:space="preserve"> and </w:t>
      </w:r>
      <w:r>
        <w:rPr>
          <w:kern w:val="0"/>
          <w:szCs w:val="24"/>
        </w:rPr>
        <w:t>Blot, S. (2010), Severe burn injury in Europe: A systematic review</w:t>
      </w:r>
      <w:r w:rsidR="00427468">
        <w:rPr>
          <w:kern w:val="0"/>
          <w:szCs w:val="24"/>
        </w:rPr>
        <w:t xml:space="preserve"> of </w:t>
      </w:r>
      <w:r w:rsidR="003A1917">
        <w:rPr>
          <w:kern w:val="0"/>
          <w:szCs w:val="24"/>
        </w:rPr>
        <w:t xml:space="preserve">the </w:t>
      </w:r>
      <w:r>
        <w:rPr>
          <w:kern w:val="0"/>
          <w:szCs w:val="24"/>
        </w:rPr>
        <w:t>incidence, etiology, morbidity,</w:t>
      </w:r>
      <w:r w:rsidR="005853A9">
        <w:rPr>
          <w:kern w:val="0"/>
          <w:szCs w:val="24"/>
        </w:rPr>
        <w:t xml:space="preserve"> and </w:t>
      </w:r>
      <w:r>
        <w:rPr>
          <w:kern w:val="0"/>
          <w:szCs w:val="24"/>
        </w:rPr>
        <w:t xml:space="preserve">mortality. </w:t>
      </w:r>
      <w:r>
        <w:rPr>
          <w:i/>
          <w:iCs/>
          <w:kern w:val="0"/>
          <w:szCs w:val="24"/>
        </w:rPr>
        <w:t>Critical Care</w:t>
      </w:r>
      <w:r>
        <w:rPr>
          <w:kern w:val="0"/>
          <w:szCs w:val="24"/>
        </w:rPr>
        <w:t xml:space="preserve">, </w:t>
      </w:r>
      <w:r>
        <w:rPr>
          <w:b/>
          <w:bCs/>
          <w:kern w:val="0"/>
          <w:szCs w:val="24"/>
        </w:rPr>
        <w:t>14</w:t>
      </w:r>
      <w:r>
        <w:rPr>
          <w:kern w:val="0"/>
          <w:szCs w:val="24"/>
        </w:rPr>
        <w:t xml:space="preserve"> (5</w:t>
      </w:r>
      <w:r>
        <w:rPr>
          <w:rFonts w:hint="eastAsia"/>
          <w:kern w:val="0"/>
          <w:szCs w:val="24"/>
        </w:rPr>
        <w:t xml:space="preserve">), </w:t>
      </w:r>
      <w:r>
        <w:rPr>
          <w:kern w:val="0"/>
          <w:szCs w:val="24"/>
        </w:rPr>
        <w:t>Article Number: R188.</w:t>
      </w:r>
    </w:p>
    <w:p w:rsidR="006F2D64" w:rsidRDefault="006F2D64" w:rsidP="006F2D64">
      <w:pPr>
        <w:pStyle w:val="a3"/>
        <w:rPr>
          <w:kern w:val="0"/>
          <w:szCs w:val="24"/>
        </w:rPr>
      </w:pPr>
      <w:r>
        <w:rPr>
          <w:rFonts w:hint="eastAsia"/>
          <w:kern w:val="0"/>
          <w:szCs w:val="24"/>
        </w:rPr>
        <w:t xml:space="preserve">Full Text: </w:t>
      </w:r>
      <w:hyperlink r:id="rId1049" w:history="1">
        <w:r w:rsidRPr="00F134A2">
          <w:rPr>
            <w:rStyle w:val="a5"/>
            <w:kern w:val="0"/>
            <w:szCs w:val="24"/>
          </w:rPr>
          <w:t>2010\Cri Car14, R188.pdf</w:t>
        </w:r>
      </w:hyperlink>
    </w:p>
    <w:p w:rsidR="006F2D64" w:rsidRDefault="006F2D64" w:rsidP="006F2D64">
      <w:pPr>
        <w:pStyle w:val="a3"/>
        <w:rPr>
          <w:kern w:val="0"/>
          <w:szCs w:val="24"/>
        </w:rPr>
      </w:pPr>
      <w:r>
        <w:rPr>
          <w:kern w:val="0"/>
          <w:szCs w:val="24"/>
        </w:rPr>
        <w:t>Abstract: Introduction: Burn injury is a serious pathology, potentially leading to severe morbidity</w:t>
      </w:r>
      <w:r w:rsidR="005853A9">
        <w:rPr>
          <w:kern w:val="0"/>
          <w:szCs w:val="24"/>
        </w:rPr>
        <w:t xml:space="preserve"> and </w:t>
      </w:r>
      <w:r>
        <w:rPr>
          <w:kern w:val="0"/>
          <w:szCs w:val="24"/>
        </w:rPr>
        <w:t>significant mortality, but it also has a considerable health-economic impact</w:t>
      </w:r>
      <w:r w:rsidR="00A37C1D">
        <w:rPr>
          <w:kern w:val="0"/>
          <w:szCs w:val="24"/>
        </w:rPr>
        <w:t>. The</w:t>
      </w:r>
      <w:r w:rsidR="003A1917">
        <w:rPr>
          <w:kern w:val="0"/>
          <w:szCs w:val="24"/>
        </w:rPr>
        <w:t xml:space="preserve"> </w:t>
      </w:r>
      <w:r>
        <w:rPr>
          <w:kern w:val="0"/>
          <w:szCs w:val="24"/>
        </w:rPr>
        <w:t>aim</w:t>
      </w:r>
      <w:r w:rsidR="00427468">
        <w:rPr>
          <w:kern w:val="0"/>
          <w:szCs w:val="24"/>
        </w:rPr>
        <w:t xml:space="preserve"> of </w:t>
      </w:r>
      <w:r>
        <w:rPr>
          <w:kern w:val="0"/>
          <w:szCs w:val="24"/>
        </w:rPr>
        <w:t>this study was to describe</w:t>
      </w:r>
      <w:r w:rsidR="003A1917">
        <w:rPr>
          <w:kern w:val="0"/>
          <w:szCs w:val="24"/>
        </w:rPr>
        <w:t xml:space="preserve"> the </w:t>
      </w:r>
      <w:r>
        <w:rPr>
          <w:kern w:val="0"/>
          <w:szCs w:val="24"/>
        </w:rPr>
        <w:t>European hospitalized population with severe burn injury, including</w:t>
      </w:r>
      <w:r w:rsidR="003A1917">
        <w:rPr>
          <w:kern w:val="0"/>
          <w:szCs w:val="24"/>
        </w:rPr>
        <w:t xml:space="preserve"> the </w:t>
      </w:r>
      <w:r>
        <w:rPr>
          <w:kern w:val="0"/>
          <w:szCs w:val="24"/>
        </w:rPr>
        <w:t>incidence, etiology, risk factors, mortality,</w:t>
      </w:r>
      <w:r w:rsidR="005853A9">
        <w:rPr>
          <w:kern w:val="0"/>
          <w:szCs w:val="24"/>
        </w:rPr>
        <w:t xml:space="preserve"> and </w:t>
      </w:r>
      <w:r>
        <w:rPr>
          <w:kern w:val="0"/>
          <w:szCs w:val="24"/>
        </w:rPr>
        <w:t>causes</w:t>
      </w:r>
      <w:r w:rsidR="00427468">
        <w:rPr>
          <w:kern w:val="0"/>
          <w:szCs w:val="24"/>
        </w:rPr>
        <w:t xml:space="preserve"> of </w:t>
      </w:r>
      <w:r>
        <w:rPr>
          <w:kern w:val="0"/>
          <w:szCs w:val="24"/>
        </w:rPr>
        <w:t>death. Methods:</w:t>
      </w:r>
      <w:r w:rsidR="003A1917">
        <w:rPr>
          <w:kern w:val="0"/>
          <w:szCs w:val="24"/>
        </w:rPr>
        <w:t xml:space="preserve"> the </w:t>
      </w:r>
      <w:r>
        <w:rPr>
          <w:kern w:val="0"/>
          <w:szCs w:val="24"/>
        </w:rPr>
        <w:t xml:space="preserve">systematic literature search (1985 to 2009) involved </w:t>
      </w:r>
      <w:r w:rsidR="002C12F0">
        <w:rPr>
          <w:kern w:val="0"/>
          <w:szCs w:val="24"/>
        </w:rPr>
        <w:t>PUBMED</w:t>
      </w:r>
      <w:r>
        <w:rPr>
          <w:kern w:val="0"/>
          <w:szCs w:val="24"/>
        </w:rPr>
        <w:t>,</w:t>
      </w:r>
      <w:r w:rsidR="003A1917">
        <w:rPr>
          <w:kern w:val="0"/>
          <w:szCs w:val="24"/>
        </w:rPr>
        <w:t xml:space="preserve"> the </w:t>
      </w:r>
      <w:r w:rsidR="00D5664A">
        <w:rPr>
          <w:kern w:val="0"/>
          <w:szCs w:val="24"/>
        </w:rPr>
        <w:t>Web</w:t>
      </w:r>
      <w:r w:rsidR="00427468">
        <w:rPr>
          <w:kern w:val="0"/>
          <w:szCs w:val="24"/>
        </w:rPr>
        <w:t xml:space="preserve"> of </w:t>
      </w:r>
      <w:r w:rsidR="00D5664A">
        <w:rPr>
          <w:kern w:val="0"/>
          <w:szCs w:val="24"/>
        </w:rPr>
        <w:t>Science</w:t>
      </w:r>
      <w:r>
        <w:rPr>
          <w:kern w:val="0"/>
          <w:szCs w:val="24"/>
        </w:rPr>
        <w:t>,</w:t>
      </w:r>
      <w:r w:rsidR="005853A9">
        <w:rPr>
          <w:kern w:val="0"/>
          <w:szCs w:val="24"/>
        </w:rPr>
        <w:t xml:space="preserve"> and </w:t>
      </w:r>
      <w:r w:rsidR="003A1917">
        <w:rPr>
          <w:kern w:val="0"/>
          <w:szCs w:val="24"/>
        </w:rPr>
        <w:t xml:space="preserve">the </w:t>
      </w:r>
      <w:r>
        <w:rPr>
          <w:kern w:val="0"/>
          <w:szCs w:val="24"/>
        </w:rPr>
        <w:t>search engine Google</w:t>
      </w:r>
      <w:r w:rsidR="00A37C1D">
        <w:rPr>
          <w:kern w:val="0"/>
          <w:szCs w:val="24"/>
        </w:rPr>
        <w:t>. The</w:t>
      </w:r>
      <w:r w:rsidR="003A1917">
        <w:rPr>
          <w:kern w:val="0"/>
          <w:szCs w:val="24"/>
        </w:rPr>
        <w:t xml:space="preserve"> </w:t>
      </w:r>
      <w:r>
        <w:rPr>
          <w:kern w:val="0"/>
          <w:szCs w:val="24"/>
        </w:rPr>
        <w:t>reference lists</w:t>
      </w:r>
      <w:r w:rsidR="005853A9">
        <w:rPr>
          <w:kern w:val="0"/>
          <w:szCs w:val="24"/>
        </w:rPr>
        <w:t xml:space="preserve"> and </w:t>
      </w:r>
      <w:r w:rsidR="003A1917">
        <w:rPr>
          <w:kern w:val="0"/>
          <w:szCs w:val="24"/>
        </w:rPr>
        <w:t xml:space="preserve">the </w:t>
      </w:r>
      <w:r>
        <w:rPr>
          <w:kern w:val="0"/>
          <w:szCs w:val="24"/>
        </w:rPr>
        <w:t>Science Citation Index were used for hand searching (snowballing). Only studies dealing with epidemiologic issues (for example, incidence</w:t>
      </w:r>
      <w:r w:rsidR="005853A9">
        <w:rPr>
          <w:kern w:val="0"/>
          <w:szCs w:val="24"/>
        </w:rPr>
        <w:t xml:space="preserve"> and </w:t>
      </w:r>
      <w:r>
        <w:rPr>
          <w:kern w:val="0"/>
          <w:szCs w:val="24"/>
        </w:rPr>
        <w:t>outcome) as their major topic, on hospitalized populations with severe burn injury (in secondary</w:t>
      </w:r>
      <w:r w:rsidR="005853A9">
        <w:rPr>
          <w:kern w:val="0"/>
          <w:szCs w:val="24"/>
        </w:rPr>
        <w:t xml:space="preserve"> and </w:t>
      </w:r>
      <w:r>
        <w:rPr>
          <w:kern w:val="0"/>
          <w:szCs w:val="24"/>
        </w:rPr>
        <w:t>tertiary care) in Europe were included. Language restrictions were set on English, French,</w:t>
      </w:r>
      <w:r w:rsidR="005853A9">
        <w:rPr>
          <w:kern w:val="0"/>
          <w:szCs w:val="24"/>
        </w:rPr>
        <w:t xml:space="preserve"> and </w:t>
      </w:r>
      <w:r>
        <w:rPr>
          <w:kern w:val="0"/>
          <w:szCs w:val="24"/>
        </w:rPr>
        <w:t>Dutch. Results:</w:t>
      </w:r>
      <w:r w:rsidR="003A1917">
        <w:rPr>
          <w:kern w:val="0"/>
          <w:szCs w:val="24"/>
        </w:rPr>
        <w:t xml:space="preserve"> the </w:t>
      </w:r>
      <w:r>
        <w:rPr>
          <w:kern w:val="0"/>
          <w:szCs w:val="24"/>
        </w:rPr>
        <w:t>search led to 76 eligible studies, including more than 186,500 patients in total</w:t>
      </w:r>
      <w:r w:rsidR="00A37C1D">
        <w:rPr>
          <w:kern w:val="0"/>
          <w:szCs w:val="24"/>
        </w:rPr>
        <w:t>. The</w:t>
      </w:r>
      <w:r w:rsidR="003A1917">
        <w:rPr>
          <w:kern w:val="0"/>
          <w:szCs w:val="24"/>
        </w:rPr>
        <w:t xml:space="preserve"> </w:t>
      </w:r>
      <w:r>
        <w:rPr>
          <w:kern w:val="0"/>
          <w:szCs w:val="24"/>
        </w:rPr>
        <w:t>annual incidence</w:t>
      </w:r>
      <w:r w:rsidR="00427468">
        <w:rPr>
          <w:kern w:val="0"/>
          <w:szCs w:val="24"/>
        </w:rPr>
        <w:t xml:space="preserve"> of </w:t>
      </w:r>
      <w:r>
        <w:rPr>
          <w:kern w:val="0"/>
          <w:szCs w:val="24"/>
        </w:rPr>
        <w:t>severe burns was 0.2 to 2.9/10,000 inhabitants with a decreasing trend in time. Almost 50%</w:t>
      </w:r>
      <w:r w:rsidR="00427468">
        <w:rPr>
          <w:kern w:val="0"/>
          <w:szCs w:val="24"/>
        </w:rPr>
        <w:t xml:space="preserve"> of </w:t>
      </w:r>
      <w:r>
        <w:rPr>
          <w:kern w:val="0"/>
          <w:szCs w:val="24"/>
        </w:rPr>
        <w:t>patients were younger than 16 years,</w:t>
      </w:r>
      <w:r w:rsidR="005853A9">
        <w:rPr>
          <w:kern w:val="0"/>
          <w:szCs w:val="24"/>
        </w:rPr>
        <w:t xml:space="preserve"> and </w:t>
      </w:r>
      <w:r>
        <w:rPr>
          <w:kern w:val="0"/>
          <w:szCs w:val="24"/>
        </w:rPr>
        <w:t>similar to 60% were male patients. Flames, scalds,</w:t>
      </w:r>
      <w:r w:rsidR="005853A9">
        <w:rPr>
          <w:kern w:val="0"/>
          <w:szCs w:val="24"/>
        </w:rPr>
        <w:t xml:space="preserve"> and </w:t>
      </w:r>
      <w:r>
        <w:rPr>
          <w:kern w:val="0"/>
          <w:szCs w:val="24"/>
        </w:rPr>
        <w:t>contact burns were</w:t>
      </w:r>
      <w:r w:rsidR="003A1917">
        <w:rPr>
          <w:kern w:val="0"/>
          <w:szCs w:val="24"/>
        </w:rPr>
        <w:t xml:space="preserve"> the </w:t>
      </w:r>
      <w:r>
        <w:rPr>
          <w:kern w:val="0"/>
          <w:szCs w:val="24"/>
        </w:rPr>
        <w:t>most prevalent causes in</w:t>
      </w:r>
      <w:r w:rsidR="003A1917">
        <w:rPr>
          <w:kern w:val="0"/>
          <w:szCs w:val="24"/>
        </w:rPr>
        <w:t xml:space="preserve"> the </w:t>
      </w:r>
      <w:r>
        <w:rPr>
          <w:kern w:val="0"/>
          <w:szCs w:val="24"/>
        </w:rPr>
        <w:t>total population, but in children, scalds clearly dominated. Mortality was usually between 1.4%</w:t>
      </w:r>
      <w:r w:rsidR="005853A9">
        <w:rPr>
          <w:kern w:val="0"/>
          <w:szCs w:val="24"/>
        </w:rPr>
        <w:t xml:space="preserve"> and </w:t>
      </w:r>
      <w:r>
        <w:rPr>
          <w:kern w:val="0"/>
          <w:szCs w:val="24"/>
        </w:rPr>
        <w:t>18%</w:t>
      </w:r>
      <w:r w:rsidR="005853A9">
        <w:rPr>
          <w:kern w:val="0"/>
          <w:szCs w:val="24"/>
        </w:rPr>
        <w:t xml:space="preserve"> and </w:t>
      </w:r>
      <w:r>
        <w:rPr>
          <w:kern w:val="0"/>
          <w:szCs w:val="24"/>
        </w:rPr>
        <w:t>is decreasing in time. Major risk factors for death were older age</w:t>
      </w:r>
      <w:r w:rsidR="005853A9">
        <w:rPr>
          <w:kern w:val="0"/>
          <w:szCs w:val="24"/>
        </w:rPr>
        <w:t xml:space="preserve"> and </w:t>
      </w:r>
      <w:r>
        <w:rPr>
          <w:kern w:val="0"/>
          <w:szCs w:val="24"/>
        </w:rPr>
        <w:t>a higher total percentage</w:t>
      </w:r>
      <w:r w:rsidR="00427468">
        <w:rPr>
          <w:kern w:val="0"/>
          <w:szCs w:val="24"/>
        </w:rPr>
        <w:t xml:space="preserve"> of </w:t>
      </w:r>
      <w:r>
        <w:rPr>
          <w:kern w:val="0"/>
          <w:szCs w:val="24"/>
        </w:rPr>
        <w:t>burned surface area, as well as chronic diseases. (Multi) organ failure</w:t>
      </w:r>
      <w:r w:rsidR="005853A9">
        <w:rPr>
          <w:kern w:val="0"/>
          <w:szCs w:val="24"/>
        </w:rPr>
        <w:t xml:space="preserve"> and </w:t>
      </w:r>
      <w:r>
        <w:rPr>
          <w:kern w:val="0"/>
          <w:szCs w:val="24"/>
        </w:rPr>
        <w:t>sepsis were</w:t>
      </w:r>
      <w:r w:rsidR="003A1917">
        <w:rPr>
          <w:kern w:val="0"/>
          <w:szCs w:val="24"/>
        </w:rPr>
        <w:t xml:space="preserve"> the </w:t>
      </w:r>
      <w:r>
        <w:rPr>
          <w:kern w:val="0"/>
          <w:szCs w:val="24"/>
        </w:rPr>
        <w:t>most frequently reported causes</w:t>
      </w:r>
      <w:r w:rsidR="00427468">
        <w:rPr>
          <w:kern w:val="0"/>
          <w:szCs w:val="24"/>
        </w:rPr>
        <w:t xml:space="preserve"> of </w:t>
      </w:r>
      <w:r>
        <w:rPr>
          <w:kern w:val="0"/>
          <w:szCs w:val="24"/>
        </w:rPr>
        <w:t>death</w:t>
      </w:r>
      <w:r w:rsidR="00A37C1D">
        <w:rPr>
          <w:kern w:val="0"/>
          <w:szCs w:val="24"/>
        </w:rPr>
        <w:t>. The</w:t>
      </w:r>
      <w:r w:rsidR="003A1917">
        <w:rPr>
          <w:kern w:val="0"/>
          <w:szCs w:val="24"/>
        </w:rPr>
        <w:t xml:space="preserve"> </w:t>
      </w:r>
      <w:r>
        <w:rPr>
          <w:kern w:val="0"/>
          <w:szCs w:val="24"/>
        </w:rPr>
        <w:t>main causes</w:t>
      </w:r>
      <w:r w:rsidR="00427468">
        <w:rPr>
          <w:kern w:val="0"/>
          <w:szCs w:val="24"/>
        </w:rPr>
        <w:t xml:space="preserve"> of </w:t>
      </w:r>
      <w:r>
        <w:rPr>
          <w:kern w:val="0"/>
          <w:szCs w:val="24"/>
        </w:rPr>
        <w:t>early death (&lt;48 hours) were burn shock</w:t>
      </w:r>
      <w:r w:rsidR="005853A9">
        <w:rPr>
          <w:kern w:val="0"/>
          <w:szCs w:val="24"/>
        </w:rPr>
        <w:t xml:space="preserve"> and </w:t>
      </w:r>
      <w:r>
        <w:rPr>
          <w:kern w:val="0"/>
          <w:szCs w:val="24"/>
        </w:rPr>
        <w:t>inhalation injury. Conclusions: Despite</w:t>
      </w:r>
      <w:r w:rsidR="003A1917">
        <w:rPr>
          <w:kern w:val="0"/>
          <w:szCs w:val="24"/>
        </w:rPr>
        <w:t xml:space="preserve"> the </w:t>
      </w:r>
      <w:r>
        <w:rPr>
          <w:kern w:val="0"/>
          <w:szCs w:val="24"/>
        </w:rPr>
        <w:t>lack</w:t>
      </w:r>
      <w:r w:rsidR="00427468">
        <w:rPr>
          <w:kern w:val="0"/>
          <w:szCs w:val="24"/>
        </w:rPr>
        <w:t xml:space="preserve"> of </w:t>
      </w:r>
      <w:r>
        <w:rPr>
          <w:kern w:val="0"/>
          <w:szCs w:val="24"/>
        </w:rPr>
        <w:t>a large-scale European registration</w:t>
      </w:r>
      <w:r w:rsidR="00427468">
        <w:rPr>
          <w:kern w:val="0"/>
          <w:szCs w:val="24"/>
        </w:rPr>
        <w:t xml:space="preserve"> of </w:t>
      </w:r>
      <w:r>
        <w:rPr>
          <w:kern w:val="0"/>
          <w:szCs w:val="24"/>
        </w:rPr>
        <w:t>burn injury, more epidemiologic information is available about</w:t>
      </w:r>
      <w:r w:rsidR="003A1917">
        <w:rPr>
          <w:kern w:val="0"/>
          <w:szCs w:val="24"/>
        </w:rPr>
        <w:t xml:space="preserve"> the </w:t>
      </w:r>
      <w:r>
        <w:rPr>
          <w:kern w:val="0"/>
          <w:szCs w:val="24"/>
        </w:rPr>
        <w:t>hospitalized population with severe burn injury than is generally presumed. National</w:t>
      </w:r>
      <w:r w:rsidR="005853A9">
        <w:rPr>
          <w:kern w:val="0"/>
          <w:szCs w:val="24"/>
        </w:rPr>
        <w:t xml:space="preserve"> and </w:t>
      </w:r>
      <w:r>
        <w:rPr>
          <w:kern w:val="0"/>
          <w:szCs w:val="24"/>
        </w:rPr>
        <w:t>international registration systems nevertheless remain necessary to allow better targeting</w:t>
      </w:r>
      <w:r w:rsidR="00427468">
        <w:rPr>
          <w:kern w:val="0"/>
          <w:szCs w:val="24"/>
        </w:rPr>
        <w:t xml:space="preserve"> of </w:t>
      </w:r>
      <w:r>
        <w:rPr>
          <w:kern w:val="0"/>
          <w:szCs w:val="24"/>
        </w:rPr>
        <w:t>prevention campaigns</w:t>
      </w:r>
      <w:r w:rsidR="005853A9">
        <w:rPr>
          <w:kern w:val="0"/>
          <w:szCs w:val="24"/>
        </w:rPr>
        <w:t xml:space="preserve"> and </w:t>
      </w:r>
      <w:r>
        <w:rPr>
          <w:kern w:val="0"/>
          <w:szCs w:val="24"/>
        </w:rPr>
        <w:t>further improvement</w:t>
      </w:r>
      <w:r w:rsidR="00427468">
        <w:rPr>
          <w:kern w:val="0"/>
          <w:szCs w:val="24"/>
        </w:rPr>
        <w:t xml:space="preserve"> </w:t>
      </w:r>
      <w:r w:rsidR="00427468">
        <w:rPr>
          <w:kern w:val="0"/>
          <w:szCs w:val="24"/>
        </w:rPr>
        <w:lastRenderedPageBreak/>
        <w:t xml:space="preserve">of </w:t>
      </w:r>
      <w:r>
        <w:rPr>
          <w:kern w:val="0"/>
          <w:szCs w:val="24"/>
        </w:rPr>
        <w:t>cost-effectiveness in total burn care.</w:t>
      </w:r>
    </w:p>
    <w:p w:rsidR="006F2D64" w:rsidRDefault="006F2D64" w:rsidP="006F2D64">
      <w:pPr>
        <w:pStyle w:val="a3"/>
        <w:rPr>
          <w:kern w:val="0"/>
          <w:szCs w:val="24"/>
        </w:rPr>
      </w:pPr>
      <w:r>
        <w:rPr>
          <w:kern w:val="0"/>
          <w:szCs w:val="24"/>
        </w:rPr>
        <w:t xml:space="preserve">Keywords: 1083 Turkish Patients, Admissions, Childhood Burns, Children, Citation, Death, English, Epidemiologic Data, Europe, French, Language, Literature, Mortality, Pediatric Burns, Population, Prognostic Indexes, </w:t>
      </w:r>
      <w:r w:rsidR="002C12F0">
        <w:rPr>
          <w:kern w:val="0"/>
          <w:szCs w:val="24"/>
        </w:rPr>
        <w:t>PUBMED</w:t>
      </w:r>
      <w:r>
        <w:rPr>
          <w:kern w:val="0"/>
          <w:szCs w:val="24"/>
        </w:rPr>
        <w:t xml:space="preserve">, Retrospective Analysis, Risk-Factors, Science, Science Citation Index, Serious Burns, Surface Area, Systematic Review, Trend, </w:t>
      </w:r>
      <w:r w:rsidR="00D5664A">
        <w:rPr>
          <w:kern w:val="0"/>
          <w:szCs w:val="24"/>
        </w:rPr>
        <w:t>Web</w:t>
      </w:r>
      <w:r w:rsidR="00427468">
        <w:rPr>
          <w:kern w:val="0"/>
          <w:szCs w:val="24"/>
        </w:rPr>
        <w:t xml:space="preserve"> of </w:t>
      </w:r>
      <w:r w:rsidR="00D5664A">
        <w:rPr>
          <w:kern w:val="0"/>
          <w:szCs w:val="24"/>
        </w:rPr>
        <w:t>Science</w:t>
      </w:r>
    </w:p>
    <w:p w:rsidR="00700AE5" w:rsidRDefault="00700AE5" w:rsidP="00700AE5">
      <w:pPr>
        <w:pStyle w:val="a3"/>
        <w:rPr>
          <w:kern w:val="0"/>
        </w:rPr>
      </w:pPr>
      <w:r>
        <w:rPr>
          <w:rFonts w:hint="eastAsia"/>
          <w:kern w:val="0"/>
        </w:rPr>
        <w:t xml:space="preserve">? </w:t>
      </w:r>
      <w:r>
        <w:rPr>
          <w:kern w:val="0"/>
        </w:rPr>
        <w:t>Huang, J.H., Cao, Y.F., Liao, C., Wu, L.C.</w:t>
      </w:r>
      <w:r w:rsidR="005853A9">
        <w:rPr>
          <w:kern w:val="0"/>
        </w:rPr>
        <w:t xml:space="preserve"> and </w:t>
      </w:r>
      <w:r>
        <w:rPr>
          <w:kern w:val="0"/>
        </w:rPr>
        <w:t>Gao, F. (2010), Effect</w:t>
      </w:r>
      <w:r w:rsidR="00427468">
        <w:rPr>
          <w:kern w:val="0"/>
        </w:rPr>
        <w:t xml:space="preserve"> of </w:t>
      </w:r>
      <w:r>
        <w:rPr>
          <w:kern w:val="0"/>
        </w:rPr>
        <w:t>histamine-2-receptor antagonists versus sucralfate on stress ulcer prophylaxis in mechanically ventilated patients: A meta-analysis</w:t>
      </w:r>
      <w:r w:rsidR="00427468">
        <w:rPr>
          <w:kern w:val="0"/>
        </w:rPr>
        <w:t xml:space="preserve"> of </w:t>
      </w:r>
      <w:r>
        <w:rPr>
          <w:kern w:val="0"/>
        </w:rPr>
        <w:t xml:space="preserve">10 randomized controlled trials. </w:t>
      </w:r>
      <w:r>
        <w:rPr>
          <w:i/>
          <w:iCs/>
          <w:kern w:val="0"/>
        </w:rPr>
        <w:t>Critical Care</w:t>
      </w:r>
      <w:r>
        <w:rPr>
          <w:kern w:val="0"/>
        </w:rPr>
        <w:t xml:space="preserve">, </w:t>
      </w:r>
      <w:r>
        <w:rPr>
          <w:b/>
          <w:bCs/>
          <w:kern w:val="0"/>
        </w:rPr>
        <w:t>14</w:t>
      </w:r>
      <w:r>
        <w:rPr>
          <w:kern w:val="0"/>
        </w:rPr>
        <w:t xml:space="preserve"> (5</w:t>
      </w:r>
      <w:r>
        <w:rPr>
          <w:rFonts w:hint="eastAsia"/>
          <w:kern w:val="0"/>
        </w:rPr>
        <w:t xml:space="preserve">), </w:t>
      </w:r>
      <w:r>
        <w:rPr>
          <w:kern w:val="0"/>
        </w:rPr>
        <w:t>Article Number: R194.</w:t>
      </w:r>
    </w:p>
    <w:p w:rsidR="00700AE5" w:rsidRDefault="00700AE5" w:rsidP="00700AE5">
      <w:pPr>
        <w:pStyle w:val="a3"/>
        <w:rPr>
          <w:kern w:val="0"/>
          <w:szCs w:val="24"/>
        </w:rPr>
      </w:pPr>
      <w:r>
        <w:rPr>
          <w:rFonts w:hint="eastAsia"/>
          <w:kern w:val="0"/>
          <w:szCs w:val="24"/>
        </w:rPr>
        <w:t xml:space="preserve">Full Text: </w:t>
      </w:r>
      <w:hyperlink r:id="rId1050" w:history="1">
        <w:r w:rsidRPr="007547E5">
          <w:rPr>
            <w:rStyle w:val="a5"/>
            <w:kern w:val="0"/>
            <w:szCs w:val="24"/>
          </w:rPr>
          <w:t>2010\Cri Car14, R194.pdf</w:t>
        </w:r>
      </w:hyperlink>
    </w:p>
    <w:p w:rsidR="00700AE5" w:rsidRDefault="00700AE5" w:rsidP="00700AE5">
      <w:pPr>
        <w:pStyle w:val="a3"/>
        <w:rPr>
          <w:kern w:val="0"/>
        </w:rPr>
      </w:pPr>
      <w:r>
        <w:rPr>
          <w:kern w:val="0"/>
        </w:rPr>
        <w:t>Abstract: Introduction: We conducted a meta-analysis in order to investigate</w:t>
      </w:r>
      <w:r w:rsidR="003A1917">
        <w:rPr>
          <w:kern w:val="0"/>
        </w:rPr>
        <w:t xml:space="preserve"> the </w:t>
      </w:r>
      <w:r>
        <w:rPr>
          <w:kern w:val="0"/>
        </w:rPr>
        <w:t>effect</w:t>
      </w:r>
      <w:r w:rsidR="00427468">
        <w:rPr>
          <w:kern w:val="0"/>
        </w:rPr>
        <w:t xml:space="preserve"> of </w:t>
      </w:r>
      <w:r>
        <w:rPr>
          <w:kern w:val="0"/>
        </w:rPr>
        <w:t>histamine-2-receptor antagonists (H(2)RA) versus sucralfate on stress ulcer prophylaxis in mechanically ventilated patients in</w:t>
      </w:r>
      <w:r w:rsidR="003A1917">
        <w:rPr>
          <w:kern w:val="0"/>
        </w:rPr>
        <w:t xml:space="preserve"> the </w:t>
      </w:r>
      <w:r>
        <w:rPr>
          <w:kern w:val="0"/>
        </w:rPr>
        <w:t>intensive care unit (ICU). Methods: A systematic literature search</w:t>
      </w:r>
      <w:r w:rsidR="00427468">
        <w:rPr>
          <w:kern w:val="0"/>
        </w:rPr>
        <w:t xml:space="preserve"> of </w:t>
      </w:r>
      <w:r w:rsidR="00D5664A">
        <w:rPr>
          <w:kern w:val="0"/>
        </w:rPr>
        <w:t>MEDLINE</w:t>
      </w:r>
      <w:r>
        <w:rPr>
          <w:kern w:val="0"/>
        </w:rPr>
        <w:t>, EMBASE, Cochrane Central Register</w:t>
      </w:r>
      <w:r w:rsidR="00427468">
        <w:rPr>
          <w:kern w:val="0"/>
        </w:rPr>
        <w:t xml:space="preserve"> of </w:t>
      </w:r>
      <w:r>
        <w:rPr>
          <w:kern w:val="0"/>
        </w:rPr>
        <w:t>Controlled Trials (1966 to January 2010) was conducted using specific search terms. A review</w:t>
      </w:r>
      <w:r w:rsidR="00427468">
        <w:rPr>
          <w:kern w:val="0"/>
        </w:rPr>
        <w:t xml:space="preserve"> of </w:t>
      </w:r>
      <w:r w:rsidR="00D5664A">
        <w:rPr>
          <w:kern w:val="0"/>
        </w:rPr>
        <w:t>Web</w:t>
      </w:r>
      <w:r w:rsidR="00427468">
        <w:rPr>
          <w:kern w:val="0"/>
        </w:rPr>
        <w:t xml:space="preserve"> of </w:t>
      </w:r>
      <w:r w:rsidR="00D5664A">
        <w:rPr>
          <w:kern w:val="0"/>
        </w:rPr>
        <w:t>Science</w:t>
      </w:r>
      <w:r w:rsidR="005853A9">
        <w:rPr>
          <w:kern w:val="0"/>
        </w:rPr>
        <w:t xml:space="preserve"> and </w:t>
      </w:r>
      <w:r>
        <w:rPr>
          <w:kern w:val="0"/>
        </w:rPr>
        <w:t>a manual review</w:t>
      </w:r>
      <w:r w:rsidR="00427468">
        <w:rPr>
          <w:kern w:val="0"/>
        </w:rPr>
        <w:t xml:space="preserve"> of </w:t>
      </w:r>
      <w:r>
        <w:rPr>
          <w:kern w:val="0"/>
        </w:rPr>
        <w:t>references were also performed. Eligible studies were randomized control trials (RCTs) that compared H(2)RA</w:t>
      </w:r>
      <w:r w:rsidR="005853A9">
        <w:rPr>
          <w:kern w:val="0"/>
        </w:rPr>
        <w:t xml:space="preserve"> and </w:t>
      </w:r>
      <w:r>
        <w:rPr>
          <w:kern w:val="0"/>
        </w:rPr>
        <w:t>sucralfate for</w:t>
      </w:r>
      <w:r w:rsidR="003A1917">
        <w:rPr>
          <w:kern w:val="0"/>
        </w:rPr>
        <w:t xml:space="preserve"> the </w:t>
      </w:r>
      <w:r>
        <w:rPr>
          <w:kern w:val="0"/>
        </w:rPr>
        <w:t>prevention</w:t>
      </w:r>
      <w:r w:rsidR="00427468">
        <w:rPr>
          <w:kern w:val="0"/>
        </w:rPr>
        <w:t xml:space="preserve"> of </w:t>
      </w:r>
      <w:r>
        <w:rPr>
          <w:kern w:val="0"/>
        </w:rPr>
        <w:t>stress ulcer in mechanically ventilated patients. Main outcome measures were rates</w:t>
      </w:r>
      <w:r w:rsidR="00427468">
        <w:rPr>
          <w:kern w:val="0"/>
        </w:rPr>
        <w:t xml:space="preserve"> of </w:t>
      </w:r>
      <w:r>
        <w:rPr>
          <w:kern w:val="0"/>
        </w:rPr>
        <w:t>overt bleeding, clinically important gastrointestinal (GI) bleeding, ventilator-associated pneumonia, gastric colonization</w:t>
      </w:r>
      <w:r w:rsidR="005853A9">
        <w:rPr>
          <w:kern w:val="0"/>
        </w:rPr>
        <w:t xml:space="preserve"> and </w:t>
      </w:r>
      <w:r>
        <w:rPr>
          <w:kern w:val="0"/>
        </w:rPr>
        <w:t>ICU mortality. Results: Ten RCTs with 2,092 participants on mechanical ventilation were identified. Meta-analysis showed there was a trend toward decreased overt bleeding when H(2)RA was compared with sucralfate (OR = 0.87, 95% CI: 0.49 to 1.53). A total</w:t>
      </w:r>
      <w:r w:rsidR="00427468">
        <w:rPr>
          <w:kern w:val="0"/>
        </w:rPr>
        <w:t xml:space="preserve"> of </w:t>
      </w:r>
      <w:r>
        <w:rPr>
          <w:kern w:val="0"/>
        </w:rPr>
        <w:t>12 clinically important GI bleeding events occurred among 667 patients (1.8%) in</w:t>
      </w:r>
      <w:r w:rsidR="003A1917">
        <w:rPr>
          <w:kern w:val="0"/>
        </w:rPr>
        <w:t xml:space="preserve"> the </w:t>
      </w:r>
      <w:r>
        <w:rPr>
          <w:kern w:val="0"/>
        </w:rPr>
        <w:t>H(2)RA group compared with 26 events among 673 patients (3.9%) in</w:t>
      </w:r>
      <w:r w:rsidR="003A1917">
        <w:rPr>
          <w:kern w:val="0"/>
        </w:rPr>
        <w:t xml:space="preserve"> the </w:t>
      </w:r>
      <w:r>
        <w:rPr>
          <w:kern w:val="0"/>
        </w:rPr>
        <w:t>sucralfate groups. Prophylaxis with sucralfate decreased</w:t>
      </w:r>
      <w:r w:rsidR="003A1917">
        <w:rPr>
          <w:kern w:val="0"/>
        </w:rPr>
        <w:t xml:space="preserve"> the </w:t>
      </w:r>
      <w:r>
        <w:rPr>
          <w:kern w:val="0"/>
        </w:rPr>
        <w:t>incidence</w:t>
      </w:r>
      <w:r w:rsidR="00427468">
        <w:rPr>
          <w:kern w:val="0"/>
        </w:rPr>
        <w:t xml:space="preserve"> of </w:t>
      </w:r>
      <w:r>
        <w:rPr>
          <w:kern w:val="0"/>
        </w:rPr>
        <w:t>gastric colonization (OR = 2.03, 95% CI: 1.29 to 3.19)</w:t>
      </w:r>
      <w:r w:rsidR="005853A9">
        <w:rPr>
          <w:kern w:val="0"/>
        </w:rPr>
        <w:t xml:space="preserve"> and </w:t>
      </w:r>
      <w:r>
        <w:rPr>
          <w:kern w:val="0"/>
        </w:rPr>
        <w:t>ventilator-associated pneumonia (OR = 1.32, 95% CI: 1.07 to 1.64). Subgroup analysis showed H(2)RA was not superior to sucralfate in reducing early-onset pneumonia (OR = 0.62, 95% CI: 0.36 to 1.07) but had a higher late-onset pneumonia rate (OR = 4.36, 95% CI: 2.09 to 9.09) relative to sucralfate. No statistically significant reduction was observed in mortality</w:t>
      </w:r>
      <w:r w:rsidR="00427468">
        <w:rPr>
          <w:kern w:val="0"/>
        </w:rPr>
        <w:t xml:space="preserve"> of </w:t>
      </w:r>
      <w:r>
        <w:rPr>
          <w:kern w:val="0"/>
        </w:rPr>
        <w:t>ICU between groups (OR = 1.08, 95% CI: 0.86 to 1.34). Conclusions: In patients with mechanical ventilation, H(2)RA resulted in no differential effectiveness in treating overt bleeding, but had higher rates</w:t>
      </w:r>
      <w:r w:rsidR="00427468">
        <w:rPr>
          <w:kern w:val="0"/>
        </w:rPr>
        <w:t xml:space="preserve"> of </w:t>
      </w:r>
      <w:r>
        <w:rPr>
          <w:kern w:val="0"/>
        </w:rPr>
        <w:t>gastric colonization</w:t>
      </w:r>
      <w:r w:rsidR="005853A9">
        <w:rPr>
          <w:kern w:val="0"/>
        </w:rPr>
        <w:t xml:space="preserve"> and </w:t>
      </w:r>
      <w:r>
        <w:rPr>
          <w:kern w:val="0"/>
        </w:rPr>
        <w:t>ventilator-associated pneumonia. Additional RCTs</w:t>
      </w:r>
      <w:r w:rsidR="00427468">
        <w:rPr>
          <w:kern w:val="0"/>
        </w:rPr>
        <w:t xml:space="preserve"> of </w:t>
      </w:r>
      <w:r>
        <w:rPr>
          <w:kern w:val="0"/>
        </w:rPr>
        <w:t>stress ulcer prophylaxis with H(2)RA</w:t>
      </w:r>
      <w:r w:rsidR="005853A9">
        <w:rPr>
          <w:kern w:val="0"/>
        </w:rPr>
        <w:t xml:space="preserve"> and </w:t>
      </w:r>
      <w:r>
        <w:rPr>
          <w:kern w:val="0"/>
        </w:rPr>
        <w:t>sucralfate are needed to establish</w:t>
      </w:r>
      <w:r w:rsidR="003A1917">
        <w:rPr>
          <w:kern w:val="0"/>
        </w:rPr>
        <w:t xml:space="preserve"> the </w:t>
      </w:r>
      <w:r>
        <w:rPr>
          <w:kern w:val="0"/>
        </w:rPr>
        <w:t>net benefit</w:t>
      </w:r>
      <w:r w:rsidR="005853A9">
        <w:rPr>
          <w:kern w:val="0"/>
        </w:rPr>
        <w:t xml:space="preserve"> and </w:t>
      </w:r>
      <w:r>
        <w:rPr>
          <w:kern w:val="0"/>
        </w:rPr>
        <w:t>risks</w:t>
      </w:r>
      <w:r w:rsidR="00427468">
        <w:rPr>
          <w:kern w:val="0"/>
        </w:rPr>
        <w:t xml:space="preserve"> of </w:t>
      </w:r>
      <w:r>
        <w:rPr>
          <w:kern w:val="0"/>
        </w:rPr>
        <w:t>adverse effect in mechanically ventilated patients.</w:t>
      </w:r>
    </w:p>
    <w:p w:rsidR="00700AE5" w:rsidRDefault="00700AE5" w:rsidP="00700AE5">
      <w:pPr>
        <w:pStyle w:val="a3"/>
        <w:rPr>
          <w:kern w:val="0"/>
        </w:rPr>
      </w:pPr>
      <w:r>
        <w:rPr>
          <w:kern w:val="0"/>
        </w:rPr>
        <w:t xml:space="preserve">Keywords: Analysis, Cimetidine, Cochrane, Colonization, Control, Critically-Ill </w:t>
      </w:r>
      <w:r>
        <w:rPr>
          <w:kern w:val="0"/>
        </w:rPr>
        <w:lastRenderedPageBreak/>
        <w:t xml:space="preserve">Patients, Effectiveness, Embase, Frequency, Gastrointestinal, Icu, Intensive Care, Intensive Care Unit, Intensive-Care-Unit, Literature, Mechanical Ventilation, Meta Analysis, Meta-Analysis, Methods, Mortality, Nosocomial Pneumonia, Outcome, Prevention, Randomized Controlled Trials, Ranitidine, Review, Risk-Factors, Science, Stress, Systematic, Trauma Patients, Trend, </w:t>
      </w:r>
      <w:r w:rsidR="00D5664A">
        <w:rPr>
          <w:kern w:val="0"/>
        </w:rPr>
        <w:t>Web</w:t>
      </w:r>
      <w:r w:rsidR="00427468">
        <w:rPr>
          <w:kern w:val="0"/>
        </w:rPr>
        <w:t xml:space="preserve"> of </w:t>
      </w:r>
      <w:r w:rsidR="00D5664A">
        <w:rPr>
          <w:kern w:val="0"/>
        </w:rPr>
        <w:t>Science</w:t>
      </w:r>
    </w:p>
    <w:p w:rsidR="00700AE5" w:rsidRDefault="00700AE5" w:rsidP="00700AE5">
      <w:pPr>
        <w:pStyle w:val="a3"/>
        <w:rPr>
          <w:kern w:val="0"/>
        </w:rPr>
      </w:pPr>
      <w:r>
        <w:rPr>
          <w:rFonts w:hint="eastAsia"/>
          <w:kern w:val="0"/>
        </w:rPr>
        <w:t xml:space="preserve">? </w:t>
      </w:r>
      <w:r>
        <w:rPr>
          <w:kern w:val="0"/>
        </w:rPr>
        <w:t>Karvellas, C.J., Farhat, M.R., Sajjad, I., Mogensen, S.S., Leung, A.A., Wald, R.</w:t>
      </w:r>
      <w:r w:rsidR="005853A9">
        <w:rPr>
          <w:kern w:val="0"/>
        </w:rPr>
        <w:t xml:space="preserve"> and </w:t>
      </w:r>
      <w:r>
        <w:rPr>
          <w:kern w:val="0"/>
        </w:rPr>
        <w:t>Bagshaw, S.M. (2011), A comparison</w:t>
      </w:r>
      <w:r w:rsidR="00427468">
        <w:rPr>
          <w:kern w:val="0"/>
        </w:rPr>
        <w:t xml:space="preserve"> of </w:t>
      </w:r>
      <w:r>
        <w:rPr>
          <w:kern w:val="0"/>
        </w:rPr>
        <w:t>early versus late initiation</w:t>
      </w:r>
      <w:r w:rsidR="00427468">
        <w:rPr>
          <w:kern w:val="0"/>
        </w:rPr>
        <w:t xml:space="preserve"> of </w:t>
      </w:r>
      <w:r>
        <w:rPr>
          <w:kern w:val="0"/>
        </w:rPr>
        <w:t>renal replacement therapy in critically ill patients with acute kidney injury: A systematic review</w:t>
      </w:r>
      <w:r w:rsidR="005853A9">
        <w:rPr>
          <w:kern w:val="0"/>
        </w:rPr>
        <w:t xml:space="preserve"> and </w:t>
      </w:r>
      <w:r>
        <w:rPr>
          <w:kern w:val="0"/>
        </w:rPr>
        <w:t xml:space="preserve">meta-analysis. </w:t>
      </w:r>
      <w:r>
        <w:rPr>
          <w:i/>
          <w:iCs/>
          <w:kern w:val="0"/>
        </w:rPr>
        <w:t>Critical Care</w:t>
      </w:r>
      <w:r>
        <w:rPr>
          <w:kern w:val="0"/>
        </w:rPr>
        <w:t xml:space="preserve">, </w:t>
      </w:r>
      <w:r>
        <w:rPr>
          <w:b/>
          <w:bCs/>
          <w:kern w:val="0"/>
        </w:rPr>
        <w:t>15</w:t>
      </w:r>
      <w:r>
        <w:rPr>
          <w:kern w:val="0"/>
        </w:rPr>
        <w:t xml:space="preserve"> (1</w:t>
      </w:r>
      <w:r>
        <w:rPr>
          <w:rFonts w:hint="eastAsia"/>
          <w:kern w:val="0"/>
        </w:rPr>
        <w:t xml:space="preserve">), </w:t>
      </w:r>
      <w:r>
        <w:t>Article Number: R72</w:t>
      </w:r>
      <w:r>
        <w:rPr>
          <w:kern w:val="0"/>
        </w:rPr>
        <w:t>.</w:t>
      </w:r>
    </w:p>
    <w:p w:rsidR="00700AE5" w:rsidRDefault="00700AE5" w:rsidP="00700AE5">
      <w:pPr>
        <w:pStyle w:val="a3"/>
        <w:rPr>
          <w:kern w:val="0"/>
          <w:szCs w:val="24"/>
        </w:rPr>
      </w:pPr>
      <w:r>
        <w:rPr>
          <w:rFonts w:hint="eastAsia"/>
          <w:kern w:val="0"/>
          <w:szCs w:val="24"/>
        </w:rPr>
        <w:t xml:space="preserve">Full Text: </w:t>
      </w:r>
      <w:hyperlink r:id="rId1051" w:history="1">
        <w:r w:rsidRPr="007547E5">
          <w:rPr>
            <w:rStyle w:val="a5"/>
            <w:kern w:val="0"/>
            <w:szCs w:val="24"/>
          </w:rPr>
          <w:t>2011\Cri Car15, R72.pdf</w:t>
        </w:r>
      </w:hyperlink>
    </w:p>
    <w:p w:rsidR="00700AE5" w:rsidRDefault="00700AE5" w:rsidP="00700AE5">
      <w:pPr>
        <w:pStyle w:val="a3"/>
        <w:rPr>
          <w:kern w:val="0"/>
        </w:rPr>
      </w:pPr>
      <w:r>
        <w:rPr>
          <w:kern w:val="0"/>
        </w:rPr>
        <w:t>Abstract: Introduction: Our aim was to investigate</w:t>
      </w:r>
      <w:r w:rsidR="003A1917">
        <w:rPr>
          <w:kern w:val="0"/>
        </w:rPr>
        <w:t xml:space="preserve"> the </w:t>
      </w:r>
      <w:r>
        <w:rPr>
          <w:kern w:val="0"/>
        </w:rPr>
        <w:t>impact</w:t>
      </w:r>
      <w:r w:rsidR="00427468">
        <w:rPr>
          <w:kern w:val="0"/>
        </w:rPr>
        <w:t xml:space="preserve"> of </w:t>
      </w:r>
      <w:r>
        <w:rPr>
          <w:kern w:val="0"/>
        </w:rPr>
        <w:t>early versus late initiation</w:t>
      </w:r>
      <w:r w:rsidR="00427468">
        <w:rPr>
          <w:kern w:val="0"/>
        </w:rPr>
        <w:t xml:space="preserve"> of </w:t>
      </w:r>
      <w:r>
        <w:rPr>
          <w:kern w:val="0"/>
        </w:rPr>
        <w:t>renal replacement therapy (RRT) on clinical outcomes in critically ill patients with acute kidney injury (AKI). Methods: Systematic review</w:t>
      </w:r>
      <w:r w:rsidR="005853A9">
        <w:rPr>
          <w:kern w:val="0"/>
        </w:rPr>
        <w:t xml:space="preserve"> and </w:t>
      </w:r>
      <w:r>
        <w:rPr>
          <w:kern w:val="0"/>
        </w:rPr>
        <w:t xml:space="preserve">meta-analysis were used in this study. PUBMED, EMBASE, SCOPUS,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Cochrane Central Registry</w:t>
      </w:r>
      <w:r w:rsidR="00427468">
        <w:rPr>
          <w:kern w:val="0"/>
        </w:rPr>
        <w:t xml:space="preserve"> of </w:t>
      </w:r>
      <w:r>
        <w:rPr>
          <w:kern w:val="0"/>
        </w:rPr>
        <w:t>Controlled Clinical Trials,</w:t>
      </w:r>
      <w:r w:rsidR="005853A9">
        <w:rPr>
          <w:kern w:val="0"/>
        </w:rPr>
        <w:t xml:space="preserve"> and </w:t>
      </w:r>
      <w:r>
        <w:rPr>
          <w:kern w:val="0"/>
        </w:rPr>
        <w:t>other sources were searched in July 2010. Eligible studies selected were cohort</w:t>
      </w:r>
      <w:r w:rsidR="005853A9">
        <w:rPr>
          <w:kern w:val="0"/>
        </w:rPr>
        <w:t xml:space="preserve"> and </w:t>
      </w:r>
      <w:r>
        <w:rPr>
          <w:kern w:val="0"/>
        </w:rPr>
        <w:t>randomised trials that assessed timing</w:t>
      </w:r>
      <w:r w:rsidR="00427468">
        <w:rPr>
          <w:kern w:val="0"/>
        </w:rPr>
        <w:t xml:space="preserve"> of </w:t>
      </w:r>
      <w:r>
        <w:rPr>
          <w:kern w:val="0"/>
        </w:rPr>
        <w:t>initiation</w:t>
      </w:r>
      <w:r w:rsidR="00427468">
        <w:rPr>
          <w:kern w:val="0"/>
        </w:rPr>
        <w:t xml:space="preserve"> of </w:t>
      </w:r>
      <w:r>
        <w:rPr>
          <w:kern w:val="0"/>
        </w:rPr>
        <w:t>RRT in critically ill adults with AKI. Results: We identified 15 unique studies (2 randomised, 4 prospective cohort, 9 retrospective cohort) out</w:t>
      </w:r>
      <w:r w:rsidR="00427468">
        <w:rPr>
          <w:kern w:val="0"/>
        </w:rPr>
        <w:t xml:space="preserve"> of </w:t>
      </w:r>
      <w:r>
        <w:rPr>
          <w:kern w:val="0"/>
        </w:rPr>
        <w:t>1,494 citations</w:t>
      </w:r>
      <w:r w:rsidR="00A37C1D">
        <w:rPr>
          <w:kern w:val="0"/>
        </w:rPr>
        <w:t>. The</w:t>
      </w:r>
      <w:r w:rsidR="003A1917">
        <w:rPr>
          <w:kern w:val="0"/>
        </w:rPr>
        <w:t xml:space="preserve"> </w:t>
      </w:r>
      <w:r>
        <w:rPr>
          <w:kern w:val="0"/>
        </w:rPr>
        <w:t>overall methodological quality was low. Early, compared with late therapy, was associated with a significant improvement in 28-day mortality (odds ratio (OR) 0.45; 95% confidence interval (CI), 0.28 to 0.72)</w:t>
      </w:r>
      <w:r w:rsidR="00A37C1D">
        <w:rPr>
          <w:kern w:val="0"/>
        </w:rPr>
        <w:t>. The</w:t>
      </w:r>
      <w:r>
        <w:rPr>
          <w:kern w:val="0"/>
        </w:rPr>
        <w:t>re was significant heterogeneity among</w:t>
      </w:r>
      <w:r w:rsidR="003A1917">
        <w:rPr>
          <w:kern w:val="0"/>
        </w:rPr>
        <w:t xml:space="preserve"> the </w:t>
      </w:r>
      <w:r>
        <w:rPr>
          <w:kern w:val="0"/>
        </w:rPr>
        <w:t>15 pooled studies (I(2) = 78%). In subgroup analyses, stratifying by patient population (surgical, n = 8 vs. mixed, n = 7) or study design (prospective, n = 10 vs. retrospective, n = 5</w:t>
      </w:r>
      <w:r w:rsidR="00F42EAC">
        <w:rPr>
          <w:kern w:val="0"/>
        </w:rPr>
        <w:t>), The</w:t>
      </w:r>
      <w:r>
        <w:rPr>
          <w:kern w:val="0"/>
        </w:rPr>
        <w:t>re was no impact on</w:t>
      </w:r>
      <w:r w:rsidR="003A1917">
        <w:rPr>
          <w:kern w:val="0"/>
        </w:rPr>
        <w:t xml:space="preserve"> the </w:t>
      </w:r>
      <w:r>
        <w:rPr>
          <w:kern w:val="0"/>
        </w:rPr>
        <w:t>overall summary estimate for mortality. Meta-regression controlling for illness severity (Acute Physiology</w:t>
      </w:r>
      <w:r w:rsidR="005853A9">
        <w:rPr>
          <w:kern w:val="0"/>
        </w:rPr>
        <w:t xml:space="preserve"> and </w:t>
      </w:r>
      <w:r>
        <w:rPr>
          <w:kern w:val="0"/>
        </w:rPr>
        <w:t>Chronic Health Evaluation II (APACHE II)), baseline creatinine</w:t>
      </w:r>
      <w:r w:rsidR="005853A9">
        <w:rPr>
          <w:kern w:val="0"/>
        </w:rPr>
        <w:t xml:space="preserve"> and </w:t>
      </w:r>
      <w:r>
        <w:rPr>
          <w:kern w:val="0"/>
        </w:rPr>
        <w:t>urea did not impact</w:t>
      </w:r>
      <w:r w:rsidR="003A1917">
        <w:rPr>
          <w:kern w:val="0"/>
        </w:rPr>
        <w:t xml:space="preserve"> the </w:t>
      </w:r>
      <w:r>
        <w:rPr>
          <w:kern w:val="0"/>
        </w:rPr>
        <w:t>overall summary estimate for mortality.</w:t>
      </w:r>
      <w:r w:rsidR="00427468">
        <w:rPr>
          <w:kern w:val="0"/>
        </w:rPr>
        <w:t xml:space="preserve"> of </w:t>
      </w:r>
      <w:r>
        <w:rPr>
          <w:kern w:val="0"/>
        </w:rPr>
        <w:t>studies reporting secondary outcomes, five studies (out</w:t>
      </w:r>
      <w:r w:rsidR="00427468">
        <w:rPr>
          <w:kern w:val="0"/>
        </w:rPr>
        <w:t xml:space="preserve"> of </w:t>
      </w:r>
      <w:r>
        <w:rPr>
          <w:kern w:val="0"/>
        </w:rPr>
        <w:t>seven) reported greater renal recovery, seven (out</w:t>
      </w:r>
      <w:r w:rsidR="00427468">
        <w:rPr>
          <w:kern w:val="0"/>
        </w:rPr>
        <w:t xml:space="preserve"> of </w:t>
      </w:r>
      <w:r>
        <w:rPr>
          <w:kern w:val="0"/>
        </w:rPr>
        <w:t>eight) studies showed decreased duration</w:t>
      </w:r>
      <w:r w:rsidR="00427468">
        <w:rPr>
          <w:kern w:val="0"/>
        </w:rPr>
        <w:t xml:space="preserve"> of </w:t>
      </w:r>
      <w:r>
        <w:rPr>
          <w:kern w:val="0"/>
        </w:rPr>
        <w:t>RRT</w:t>
      </w:r>
      <w:r w:rsidR="005853A9">
        <w:rPr>
          <w:kern w:val="0"/>
        </w:rPr>
        <w:t xml:space="preserve"> and </w:t>
      </w:r>
      <w:r>
        <w:rPr>
          <w:kern w:val="0"/>
        </w:rPr>
        <w:t>five (out</w:t>
      </w:r>
      <w:r w:rsidR="00427468">
        <w:rPr>
          <w:kern w:val="0"/>
        </w:rPr>
        <w:t xml:space="preserve"> of </w:t>
      </w:r>
      <w:r>
        <w:rPr>
          <w:kern w:val="0"/>
        </w:rPr>
        <w:t>six) studies showed decreased ICU length</w:t>
      </w:r>
      <w:r w:rsidR="00427468">
        <w:rPr>
          <w:kern w:val="0"/>
        </w:rPr>
        <w:t xml:space="preserve"> of </w:t>
      </w:r>
      <w:r>
        <w:rPr>
          <w:kern w:val="0"/>
        </w:rPr>
        <w:t>stay in</w:t>
      </w:r>
      <w:r w:rsidR="003A1917">
        <w:rPr>
          <w:kern w:val="0"/>
        </w:rPr>
        <w:t xml:space="preserve"> the </w:t>
      </w:r>
      <w:r>
        <w:rPr>
          <w:kern w:val="0"/>
        </w:rPr>
        <w:t>early, compared with late, RRT group. Early RRT did not; however, significantly affect</w:t>
      </w:r>
      <w:r w:rsidR="003A1917">
        <w:rPr>
          <w:kern w:val="0"/>
        </w:rPr>
        <w:t xml:space="preserve"> the </w:t>
      </w:r>
      <w:r>
        <w:rPr>
          <w:kern w:val="0"/>
        </w:rPr>
        <w:t>odds</w:t>
      </w:r>
      <w:r w:rsidR="00427468">
        <w:rPr>
          <w:kern w:val="0"/>
        </w:rPr>
        <w:t xml:space="preserve"> of </w:t>
      </w:r>
      <w:r>
        <w:rPr>
          <w:kern w:val="0"/>
        </w:rPr>
        <w:t>dialysis dependence beyond hospitalization (OR 0.62 0.34 to 1.13, I(2) = 69.6%). Conclusions: Earlier institution</w:t>
      </w:r>
      <w:r w:rsidR="00427468">
        <w:rPr>
          <w:kern w:val="0"/>
        </w:rPr>
        <w:t xml:space="preserve"> of </w:t>
      </w:r>
      <w:r>
        <w:rPr>
          <w:kern w:val="0"/>
        </w:rPr>
        <w:t>RRT in critically ill patients with AKI may have a beneficial impact on survival. However, this conclusion is based on heterogeneous studies</w:t>
      </w:r>
      <w:r w:rsidR="00427468">
        <w:rPr>
          <w:kern w:val="0"/>
        </w:rPr>
        <w:t xml:space="preserve"> of </w:t>
      </w:r>
      <w:r>
        <w:rPr>
          <w:kern w:val="0"/>
        </w:rPr>
        <w:t>variable quality</w:t>
      </w:r>
      <w:r w:rsidR="005853A9">
        <w:rPr>
          <w:kern w:val="0"/>
        </w:rPr>
        <w:t xml:space="preserve"> and </w:t>
      </w:r>
      <w:r>
        <w:rPr>
          <w:kern w:val="0"/>
        </w:rPr>
        <w:t>only two randomised trials. In</w:t>
      </w:r>
      <w:r w:rsidR="003A1917">
        <w:rPr>
          <w:kern w:val="0"/>
        </w:rPr>
        <w:t xml:space="preserve"> the </w:t>
      </w:r>
      <w:r>
        <w:rPr>
          <w:kern w:val="0"/>
        </w:rPr>
        <w:t>absence</w:t>
      </w:r>
      <w:r w:rsidR="00427468">
        <w:rPr>
          <w:kern w:val="0"/>
        </w:rPr>
        <w:t xml:space="preserve"> of </w:t>
      </w:r>
      <w:r>
        <w:rPr>
          <w:kern w:val="0"/>
        </w:rPr>
        <w:t>new evidence from suitably-designed randomised trials, a definitive treatment recommendation cannot be made.</w:t>
      </w:r>
    </w:p>
    <w:p w:rsidR="00700AE5" w:rsidRDefault="00700AE5" w:rsidP="00700AE5">
      <w:pPr>
        <w:pStyle w:val="a3"/>
        <w:rPr>
          <w:kern w:val="0"/>
        </w:rPr>
      </w:pPr>
      <w:r>
        <w:rPr>
          <w:kern w:val="0"/>
        </w:rPr>
        <w:t xml:space="preserve">Keywords: Adults, Cardiac-Surgery, Citations, Cochrane, Continuous Venovenous Hemofiltration, Critically Ill Patients, Dialysis, Embase, Evaluation, Failure </w:t>
      </w:r>
      <w:r>
        <w:rPr>
          <w:kern w:val="0"/>
        </w:rPr>
        <w:lastRenderedPageBreak/>
        <w:t xml:space="preserve">Requiring Dialysis, Health, Hospitalization, </w:t>
      </w:r>
      <w:r w:rsidR="00E41718">
        <w:rPr>
          <w:kern w:val="0"/>
        </w:rPr>
        <w:t>ICU</w:t>
      </w:r>
      <w:r>
        <w:rPr>
          <w:kern w:val="0"/>
        </w:rPr>
        <w:t>, Impact, Injury, Intensive-Care, Length</w:t>
      </w:r>
      <w:r w:rsidR="00427468">
        <w:rPr>
          <w:kern w:val="0"/>
        </w:rPr>
        <w:t xml:space="preserve"> of </w:t>
      </w:r>
      <w:r>
        <w:rPr>
          <w:kern w:val="0"/>
        </w:rPr>
        <w:t>Stay, Meta-Analysis, Methods, Mortality, Open-Heart-Surgery, Outcomes, Prognosis, Prophylactic Dialysis, Quality</w:t>
      </w:r>
      <w:r w:rsidR="00434900">
        <w:rPr>
          <w:kern w:val="0"/>
        </w:rPr>
        <w:t>-of-</w:t>
      </w:r>
      <w:r>
        <w:rPr>
          <w:kern w:val="0"/>
        </w:rPr>
        <w:t xml:space="preserve">Life, Ratio, Review, Science, Scopus, Surgical, Survival, Systematic, Systematic Review, Therapy, Treatment, </w:t>
      </w:r>
      <w:r w:rsidR="00D5664A">
        <w:rPr>
          <w:kern w:val="0"/>
        </w:rPr>
        <w:t>Web</w:t>
      </w:r>
      <w:r w:rsidR="00427468">
        <w:rPr>
          <w:kern w:val="0"/>
        </w:rPr>
        <w:t xml:space="preserve"> of </w:t>
      </w:r>
      <w:r w:rsidR="00D5664A">
        <w:rPr>
          <w:kern w:val="0"/>
        </w:rPr>
        <w:t>Science</w:t>
      </w:r>
    </w:p>
    <w:p w:rsidR="00FE64E0" w:rsidRDefault="00FE64E0" w:rsidP="00FE64E0">
      <w:pPr>
        <w:pStyle w:val="a3"/>
        <w:rPr>
          <w:kern w:val="0"/>
        </w:rPr>
      </w:pPr>
      <w:r>
        <w:rPr>
          <w:rFonts w:hint="eastAsia"/>
          <w:kern w:val="0"/>
        </w:rPr>
        <w:t xml:space="preserve">? </w:t>
      </w:r>
      <w:r w:rsidRPr="00840EE0">
        <w:rPr>
          <w:kern w:val="0"/>
          <w:szCs w:val="24"/>
        </w:rPr>
        <w:t>Tao</w:t>
      </w:r>
      <w:r>
        <w:rPr>
          <w:rFonts w:hint="eastAsia"/>
          <w:kern w:val="0"/>
          <w:szCs w:val="24"/>
        </w:rPr>
        <w:t>,</w:t>
      </w:r>
      <w:r w:rsidRPr="00840EE0">
        <w:rPr>
          <w:kern w:val="0"/>
          <w:szCs w:val="24"/>
        </w:rPr>
        <w:t xml:space="preserve"> T</w:t>
      </w:r>
      <w:r>
        <w:rPr>
          <w:rFonts w:hint="eastAsia"/>
          <w:kern w:val="0"/>
          <w:szCs w:val="24"/>
        </w:rPr>
        <w:t>.</w:t>
      </w:r>
      <w:r w:rsidRPr="00840EE0">
        <w:rPr>
          <w:kern w:val="0"/>
          <w:szCs w:val="24"/>
        </w:rPr>
        <w:t>Z</w:t>
      </w:r>
      <w:r>
        <w:rPr>
          <w:rFonts w:hint="eastAsia"/>
          <w:kern w:val="0"/>
          <w:szCs w:val="24"/>
        </w:rPr>
        <w:t>.,</w:t>
      </w:r>
      <w:r w:rsidRPr="00840EE0">
        <w:rPr>
          <w:kern w:val="0"/>
          <w:szCs w:val="24"/>
        </w:rPr>
        <w:t xml:space="preserve"> Zhao</w:t>
      </w:r>
      <w:r>
        <w:rPr>
          <w:rFonts w:hint="eastAsia"/>
          <w:kern w:val="0"/>
          <w:szCs w:val="24"/>
        </w:rPr>
        <w:t>,</w:t>
      </w:r>
      <w:r w:rsidRPr="00840EE0">
        <w:rPr>
          <w:kern w:val="0"/>
          <w:szCs w:val="24"/>
        </w:rPr>
        <w:t xml:space="preserve"> X</w:t>
      </w:r>
      <w:r>
        <w:rPr>
          <w:rFonts w:hint="eastAsia"/>
          <w:kern w:val="0"/>
          <w:szCs w:val="24"/>
        </w:rPr>
        <w:t>.</w:t>
      </w:r>
      <w:r w:rsidRPr="00840EE0">
        <w:rPr>
          <w:kern w:val="0"/>
          <w:szCs w:val="24"/>
        </w:rPr>
        <w:t>H</w:t>
      </w:r>
      <w:r>
        <w:rPr>
          <w:rFonts w:hint="eastAsia"/>
          <w:kern w:val="0"/>
          <w:szCs w:val="24"/>
        </w:rPr>
        <w:t>.,</w:t>
      </w:r>
      <w:r w:rsidRPr="00840EE0">
        <w:rPr>
          <w:kern w:val="0"/>
          <w:szCs w:val="24"/>
        </w:rPr>
        <w:t xml:space="preserve"> Lou</w:t>
      </w:r>
      <w:r>
        <w:rPr>
          <w:rFonts w:hint="eastAsia"/>
          <w:kern w:val="0"/>
          <w:szCs w:val="24"/>
        </w:rPr>
        <w:t>,</w:t>
      </w:r>
      <w:r w:rsidRPr="00840EE0">
        <w:rPr>
          <w:kern w:val="0"/>
          <w:szCs w:val="24"/>
        </w:rPr>
        <w:t xml:space="preserve"> J</w:t>
      </w:r>
      <w:r>
        <w:rPr>
          <w:rFonts w:hint="eastAsia"/>
          <w:kern w:val="0"/>
          <w:szCs w:val="24"/>
        </w:rPr>
        <w:t>.</w:t>
      </w:r>
      <w:r w:rsidRPr="00840EE0">
        <w:rPr>
          <w:kern w:val="0"/>
          <w:szCs w:val="24"/>
        </w:rPr>
        <w:t>S</w:t>
      </w:r>
      <w:r>
        <w:rPr>
          <w:rFonts w:hint="eastAsia"/>
          <w:kern w:val="0"/>
          <w:szCs w:val="24"/>
        </w:rPr>
        <w:t>.,</w:t>
      </w:r>
      <w:r w:rsidRPr="00840EE0">
        <w:rPr>
          <w:kern w:val="0"/>
          <w:szCs w:val="24"/>
        </w:rPr>
        <w:t xml:space="preserve"> Bo</w:t>
      </w:r>
      <w:r>
        <w:rPr>
          <w:rFonts w:hint="eastAsia"/>
          <w:kern w:val="0"/>
          <w:szCs w:val="24"/>
        </w:rPr>
        <w:t>,</w:t>
      </w:r>
      <w:r w:rsidRPr="00840EE0">
        <w:rPr>
          <w:kern w:val="0"/>
          <w:szCs w:val="24"/>
        </w:rPr>
        <w:t xml:space="preserve"> L</w:t>
      </w:r>
      <w:r>
        <w:rPr>
          <w:rFonts w:hint="eastAsia"/>
          <w:kern w:val="0"/>
          <w:szCs w:val="24"/>
        </w:rPr>
        <w:t>.</w:t>
      </w:r>
      <w:r w:rsidRPr="00840EE0">
        <w:rPr>
          <w:kern w:val="0"/>
          <w:szCs w:val="24"/>
        </w:rPr>
        <w:t>L</w:t>
      </w:r>
      <w:r>
        <w:rPr>
          <w:rFonts w:hint="eastAsia"/>
          <w:kern w:val="0"/>
          <w:szCs w:val="24"/>
        </w:rPr>
        <w:t>.,</w:t>
      </w:r>
      <w:r w:rsidRPr="00840EE0">
        <w:rPr>
          <w:kern w:val="0"/>
          <w:szCs w:val="24"/>
        </w:rPr>
        <w:t xml:space="preserve"> Wang</w:t>
      </w:r>
      <w:r>
        <w:rPr>
          <w:rFonts w:hint="eastAsia"/>
          <w:kern w:val="0"/>
          <w:szCs w:val="24"/>
        </w:rPr>
        <w:t>,</w:t>
      </w:r>
      <w:r w:rsidRPr="00840EE0">
        <w:rPr>
          <w:kern w:val="0"/>
          <w:szCs w:val="24"/>
        </w:rPr>
        <w:t xml:space="preserve"> F</w:t>
      </w:r>
      <w:r>
        <w:rPr>
          <w:rFonts w:hint="eastAsia"/>
          <w:kern w:val="0"/>
          <w:szCs w:val="24"/>
        </w:rPr>
        <w:t>.,</w:t>
      </w:r>
      <w:r w:rsidRPr="00840EE0">
        <w:rPr>
          <w:kern w:val="0"/>
          <w:szCs w:val="24"/>
        </w:rPr>
        <w:t xml:space="preserve"> Li</w:t>
      </w:r>
      <w:r>
        <w:rPr>
          <w:rFonts w:hint="eastAsia"/>
          <w:kern w:val="0"/>
          <w:szCs w:val="24"/>
        </w:rPr>
        <w:t>,</w:t>
      </w:r>
      <w:r w:rsidRPr="00840EE0">
        <w:rPr>
          <w:kern w:val="0"/>
          <w:szCs w:val="24"/>
        </w:rPr>
        <w:t xml:space="preserve"> J</w:t>
      </w:r>
      <w:r>
        <w:rPr>
          <w:rFonts w:hint="eastAsia"/>
          <w:kern w:val="0"/>
          <w:szCs w:val="24"/>
        </w:rPr>
        <w:t>.</w:t>
      </w:r>
      <w:r w:rsidRPr="00840EE0">
        <w:rPr>
          <w:kern w:val="0"/>
          <w:szCs w:val="24"/>
        </w:rPr>
        <w:t>B</w:t>
      </w:r>
      <w:r>
        <w:rPr>
          <w:rFonts w:hint="eastAsia"/>
          <w:kern w:val="0"/>
          <w:szCs w:val="24"/>
        </w:rPr>
        <w:t>.</w:t>
      </w:r>
      <w:r w:rsidR="005853A9">
        <w:rPr>
          <w:rFonts w:hint="eastAsia"/>
          <w:kern w:val="0"/>
          <w:szCs w:val="24"/>
        </w:rPr>
        <w:t xml:space="preserve"> and </w:t>
      </w:r>
      <w:r w:rsidRPr="00840EE0">
        <w:rPr>
          <w:kern w:val="0"/>
          <w:szCs w:val="24"/>
        </w:rPr>
        <w:t>Deng</w:t>
      </w:r>
      <w:r>
        <w:rPr>
          <w:rFonts w:hint="eastAsia"/>
          <w:kern w:val="0"/>
          <w:szCs w:val="24"/>
        </w:rPr>
        <w:t>,</w:t>
      </w:r>
      <w:r>
        <w:rPr>
          <w:kern w:val="0"/>
          <w:szCs w:val="24"/>
        </w:rPr>
        <w:t xml:space="preserve"> X</w:t>
      </w:r>
      <w:r>
        <w:rPr>
          <w:rFonts w:hint="eastAsia"/>
          <w:kern w:val="0"/>
          <w:szCs w:val="24"/>
        </w:rPr>
        <w:t>.</w:t>
      </w:r>
      <w:r w:rsidRPr="00840EE0">
        <w:rPr>
          <w:kern w:val="0"/>
          <w:szCs w:val="24"/>
        </w:rPr>
        <w:t>M</w:t>
      </w:r>
      <w:r>
        <w:rPr>
          <w:rFonts w:hint="eastAsia"/>
          <w:kern w:val="0"/>
          <w:szCs w:val="24"/>
        </w:rPr>
        <w:t>.</w:t>
      </w:r>
      <w:r>
        <w:rPr>
          <w:kern w:val="0"/>
        </w:rPr>
        <w:t xml:space="preserve"> (201</w:t>
      </w:r>
      <w:r>
        <w:rPr>
          <w:rFonts w:hint="eastAsia"/>
          <w:kern w:val="0"/>
        </w:rPr>
        <w:t>2</w:t>
      </w:r>
      <w:r w:rsidR="00F42EAC">
        <w:rPr>
          <w:kern w:val="0"/>
        </w:rPr>
        <w:t>), The</w:t>
      </w:r>
      <w:r w:rsidR="003A1917">
        <w:rPr>
          <w:kern w:val="0"/>
        </w:rPr>
        <w:t xml:space="preserve"> </w:t>
      </w:r>
      <w:r w:rsidRPr="00840EE0">
        <w:rPr>
          <w:kern w:val="0"/>
          <w:szCs w:val="24"/>
        </w:rPr>
        <w:t>top cited clinical research articles on sepsis: A bibliometric analysis</w:t>
      </w:r>
      <w:r>
        <w:rPr>
          <w:kern w:val="0"/>
        </w:rPr>
        <w:t xml:space="preserve">. </w:t>
      </w:r>
      <w:r>
        <w:rPr>
          <w:i/>
          <w:iCs/>
          <w:kern w:val="0"/>
        </w:rPr>
        <w:t>Critical Care</w:t>
      </w:r>
      <w:r>
        <w:rPr>
          <w:kern w:val="0"/>
        </w:rPr>
        <w:t xml:space="preserve">, </w:t>
      </w:r>
      <w:r>
        <w:rPr>
          <w:b/>
          <w:bCs/>
          <w:kern w:val="0"/>
        </w:rPr>
        <w:t>1</w:t>
      </w:r>
      <w:r>
        <w:rPr>
          <w:rFonts w:hint="eastAsia"/>
          <w:b/>
          <w:bCs/>
          <w:kern w:val="0"/>
        </w:rPr>
        <w:t>6</w:t>
      </w:r>
      <w:r>
        <w:rPr>
          <w:kern w:val="0"/>
        </w:rPr>
        <w:t xml:space="preserve"> (</w:t>
      </w:r>
      <w:r>
        <w:rPr>
          <w:rFonts w:hint="eastAsia"/>
          <w:kern w:val="0"/>
        </w:rPr>
        <w:t xml:space="preserve">3), </w:t>
      </w:r>
      <w:r>
        <w:t xml:space="preserve">Article Number: </w:t>
      </w:r>
      <w:r w:rsidRPr="00840EE0">
        <w:rPr>
          <w:kern w:val="0"/>
          <w:szCs w:val="24"/>
        </w:rPr>
        <w:t>R110</w:t>
      </w:r>
      <w:r>
        <w:rPr>
          <w:kern w:val="0"/>
        </w:rPr>
        <w:t>.</w:t>
      </w:r>
    </w:p>
    <w:p w:rsidR="00FE64E0" w:rsidRDefault="00FE64E0" w:rsidP="00FE64E0">
      <w:pPr>
        <w:pStyle w:val="a3"/>
        <w:rPr>
          <w:kern w:val="0"/>
          <w:szCs w:val="24"/>
        </w:rPr>
      </w:pPr>
      <w:r>
        <w:rPr>
          <w:rFonts w:hint="eastAsia"/>
          <w:kern w:val="0"/>
          <w:szCs w:val="24"/>
        </w:rPr>
        <w:t xml:space="preserve">Full Text: </w:t>
      </w:r>
      <w:hyperlink r:id="rId1052" w:history="1">
        <w:r w:rsidRPr="00840EE0">
          <w:rPr>
            <w:rStyle w:val="a5"/>
            <w:kern w:val="0"/>
            <w:szCs w:val="24"/>
          </w:rPr>
          <w:t>2012\Cri Car16, R110.pdf</w:t>
        </w:r>
      </w:hyperlink>
    </w:p>
    <w:p w:rsidR="00FE64E0" w:rsidRDefault="00FE64E0" w:rsidP="00FE64E0">
      <w:pPr>
        <w:pStyle w:val="a3"/>
        <w:rPr>
          <w:kern w:val="0"/>
          <w:szCs w:val="24"/>
        </w:rPr>
      </w:pPr>
      <w:r w:rsidRPr="00840EE0">
        <w:rPr>
          <w:kern w:val="0"/>
          <w:szCs w:val="24"/>
        </w:rPr>
        <w:t>Abstract: Introduction:</w:t>
      </w:r>
      <w:r w:rsidR="003A1917">
        <w:rPr>
          <w:kern w:val="0"/>
          <w:szCs w:val="24"/>
        </w:rPr>
        <w:t xml:space="preserve"> the </w:t>
      </w:r>
      <w:r w:rsidRPr="00840EE0">
        <w:rPr>
          <w:kern w:val="0"/>
          <w:szCs w:val="24"/>
        </w:rPr>
        <w:t>objective</w:t>
      </w:r>
      <w:r w:rsidR="00427468">
        <w:rPr>
          <w:kern w:val="0"/>
          <w:szCs w:val="24"/>
        </w:rPr>
        <w:t xml:space="preserve"> of </w:t>
      </w:r>
      <w:r w:rsidRPr="00840EE0">
        <w:rPr>
          <w:kern w:val="0"/>
          <w:szCs w:val="24"/>
        </w:rPr>
        <w:t>this study was to identify</w:t>
      </w:r>
      <w:r w:rsidR="005853A9">
        <w:rPr>
          <w:kern w:val="0"/>
          <w:szCs w:val="24"/>
        </w:rPr>
        <w:t xml:space="preserve"> and </w:t>
      </w:r>
      <w:r w:rsidRPr="00840EE0">
        <w:rPr>
          <w:kern w:val="0"/>
          <w:szCs w:val="24"/>
        </w:rPr>
        <w:t>characterize</w:t>
      </w:r>
      <w:r w:rsidR="003A1917">
        <w:rPr>
          <w:kern w:val="0"/>
          <w:szCs w:val="24"/>
        </w:rPr>
        <w:t xml:space="preserve"> the </w:t>
      </w:r>
      <w:r w:rsidRPr="00840EE0">
        <w:rPr>
          <w:kern w:val="0"/>
          <w:szCs w:val="24"/>
        </w:rPr>
        <w:t>most highly cited clinical research articles published on sepsis. Methods: A comprehensive list</w:t>
      </w:r>
      <w:r w:rsidR="00427468">
        <w:rPr>
          <w:kern w:val="0"/>
          <w:szCs w:val="24"/>
        </w:rPr>
        <w:t xml:space="preserve"> of </w:t>
      </w:r>
      <w:r w:rsidRPr="00840EE0">
        <w:rPr>
          <w:kern w:val="0"/>
          <w:szCs w:val="24"/>
        </w:rPr>
        <w:t>citation classics in sepsis was generated by searching</w:t>
      </w:r>
      <w:r w:rsidR="003A1917">
        <w:rPr>
          <w:kern w:val="0"/>
          <w:szCs w:val="24"/>
        </w:rPr>
        <w:t xml:space="preserve"> the </w:t>
      </w:r>
      <w:r w:rsidRPr="00840EE0">
        <w:rPr>
          <w:kern w:val="0"/>
          <w:szCs w:val="24"/>
        </w:rPr>
        <w:t>database</w:t>
      </w:r>
      <w:r w:rsidR="00427468">
        <w:rPr>
          <w:kern w:val="0"/>
          <w:szCs w:val="24"/>
        </w:rPr>
        <w:t xml:space="preserve"> of </w:t>
      </w:r>
      <w:r w:rsidR="00D5664A">
        <w:rPr>
          <w:kern w:val="0"/>
          <w:szCs w:val="24"/>
        </w:rPr>
        <w:t>Web</w:t>
      </w:r>
      <w:r w:rsidR="00427468">
        <w:rPr>
          <w:kern w:val="0"/>
          <w:szCs w:val="24"/>
        </w:rPr>
        <w:t xml:space="preserve"> of </w:t>
      </w:r>
      <w:r w:rsidR="00D5664A">
        <w:rPr>
          <w:kern w:val="0"/>
          <w:szCs w:val="24"/>
        </w:rPr>
        <w:t>Science</w:t>
      </w:r>
      <w:r w:rsidRPr="00840EE0">
        <w:rPr>
          <w:kern w:val="0"/>
          <w:szCs w:val="24"/>
        </w:rPr>
        <w:t xml:space="preserve">-Expanded (1970 to present) using keywords </w:t>
      </w:r>
      <w:r w:rsidR="0071223E">
        <w:rPr>
          <w:kern w:val="0"/>
          <w:szCs w:val="24"/>
        </w:rPr>
        <w:t>‘</w:t>
      </w:r>
      <w:r w:rsidRPr="00840EE0">
        <w:rPr>
          <w:kern w:val="0"/>
          <w:szCs w:val="24"/>
        </w:rPr>
        <w:t>sepsis</w:t>
      </w:r>
      <w:r w:rsidR="0071223E">
        <w:rPr>
          <w:kern w:val="0"/>
          <w:szCs w:val="24"/>
        </w:rPr>
        <w:t>’</w:t>
      </w:r>
      <w:r w:rsidRPr="00840EE0">
        <w:rPr>
          <w:kern w:val="0"/>
          <w:szCs w:val="24"/>
        </w:rPr>
        <w:t xml:space="preserve"> or </w:t>
      </w:r>
      <w:r w:rsidR="0071223E">
        <w:rPr>
          <w:kern w:val="0"/>
          <w:szCs w:val="24"/>
        </w:rPr>
        <w:t>‘</w:t>
      </w:r>
      <w:r w:rsidRPr="00840EE0">
        <w:rPr>
          <w:kern w:val="0"/>
          <w:szCs w:val="24"/>
        </w:rPr>
        <w:t>septic shock</w:t>
      </w:r>
      <w:r w:rsidR="0071223E">
        <w:rPr>
          <w:kern w:val="0"/>
          <w:szCs w:val="24"/>
        </w:rPr>
        <w:t>’</w:t>
      </w:r>
      <w:r w:rsidR="00A37C1D">
        <w:rPr>
          <w:kern w:val="0"/>
          <w:szCs w:val="24"/>
        </w:rPr>
        <w:t>. The</w:t>
      </w:r>
      <w:r w:rsidR="003A1917">
        <w:rPr>
          <w:kern w:val="0"/>
          <w:szCs w:val="24"/>
        </w:rPr>
        <w:t xml:space="preserve"> </w:t>
      </w:r>
      <w:r w:rsidRPr="00840EE0">
        <w:rPr>
          <w:kern w:val="0"/>
          <w:szCs w:val="24"/>
        </w:rPr>
        <w:t>top 50 cited clinical research papers were retrieved by reading</w:t>
      </w:r>
      <w:r w:rsidR="003A1917">
        <w:rPr>
          <w:kern w:val="0"/>
          <w:szCs w:val="24"/>
        </w:rPr>
        <w:t xml:space="preserve"> the </w:t>
      </w:r>
      <w:r w:rsidRPr="00840EE0">
        <w:rPr>
          <w:kern w:val="0"/>
          <w:szCs w:val="24"/>
        </w:rPr>
        <w:t>abstract or full text if needed. Each eligible article was reviewed for basic information, including country</w:t>
      </w:r>
      <w:r w:rsidR="00427468">
        <w:rPr>
          <w:kern w:val="0"/>
          <w:szCs w:val="24"/>
        </w:rPr>
        <w:t xml:space="preserve"> of </w:t>
      </w:r>
      <w:r w:rsidRPr="00840EE0">
        <w:rPr>
          <w:kern w:val="0"/>
          <w:szCs w:val="24"/>
        </w:rPr>
        <w:t>origin, article type, journals, authors,</w:t>
      </w:r>
      <w:r w:rsidR="005853A9">
        <w:rPr>
          <w:kern w:val="0"/>
          <w:szCs w:val="24"/>
        </w:rPr>
        <w:t xml:space="preserve"> and </w:t>
      </w:r>
      <w:r w:rsidRPr="00840EE0">
        <w:rPr>
          <w:kern w:val="0"/>
          <w:szCs w:val="24"/>
        </w:rPr>
        <w:t>funding sources. Results: A total</w:t>
      </w:r>
      <w:r w:rsidR="00427468">
        <w:rPr>
          <w:kern w:val="0"/>
          <w:szCs w:val="24"/>
        </w:rPr>
        <w:t xml:space="preserve"> of </w:t>
      </w:r>
      <w:r w:rsidRPr="00840EE0">
        <w:rPr>
          <w:kern w:val="0"/>
          <w:szCs w:val="24"/>
        </w:rPr>
        <w:t>2,151 articles were cited more than 100 times;</w:t>
      </w:r>
      <w:r w:rsidR="003A1917">
        <w:rPr>
          <w:kern w:val="0"/>
          <w:szCs w:val="24"/>
        </w:rPr>
        <w:t xml:space="preserve"> the </w:t>
      </w:r>
      <w:r w:rsidRPr="00840EE0">
        <w:rPr>
          <w:kern w:val="0"/>
          <w:szCs w:val="24"/>
        </w:rPr>
        <w:t>50 top-cited clinical articles were published between 1974</w:t>
      </w:r>
      <w:r w:rsidR="005853A9">
        <w:rPr>
          <w:kern w:val="0"/>
          <w:szCs w:val="24"/>
        </w:rPr>
        <w:t xml:space="preserve"> and </w:t>
      </w:r>
      <w:r w:rsidRPr="00840EE0">
        <w:rPr>
          <w:kern w:val="0"/>
          <w:szCs w:val="24"/>
        </w:rPr>
        <w:t>2008</w:t>
      </w:r>
      <w:r w:rsidR="00A37C1D">
        <w:rPr>
          <w:kern w:val="0"/>
          <w:szCs w:val="24"/>
        </w:rPr>
        <w:t>. The</w:t>
      </w:r>
      <w:r w:rsidR="003A1917">
        <w:rPr>
          <w:kern w:val="0"/>
          <w:szCs w:val="24"/>
        </w:rPr>
        <w:t xml:space="preserve"> </w:t>
      </w:r>
      <w:r w:rsidRPr="00840EE0">
        <w:rPr>
          <w:kern w:val="0"/>
          <w:szCs w:val="24"/>
        </w:rPr>
        <w:t>number</w:t>
      </w:r>
      <w:r w:rsidR="00427468">
        <w:rPr>
          <w:kern w:val="0"/>
          <w:szCs w:val="24"/>
        </w:rPr>
        <w:t xml:space="preserve"> of </w:t>
      </w:r>
      <w:r w:rsidRPr="00840EE0">
        <w:rPr>
          <w:kern w:val="0"/>
          <w:szCs w:val="24"/>
        </w:rPr>
        <w:t>citations ranged from 372 to 2,932, with a mean</w:t>
      </w:r>
      <w:r w:rsidR="00427468">
        <w:rPr>
          <w:kern w:val="0"/>
          <w:szCs w:val="24"/>
        </w:rPr>
        <w:t xml:space="preserve"> of </w:t>
      </w:r>
      <w:r w:rsidRPr="00840EE0">
        <w:rPr>
          <w:kern w:val="0"/>
          <w:szCs w:val="24"/>
        </w:rPr>
        <w:t>678 citations per article</w:t>
      </w:r>
      <w:r w:rsidR="00A37C1D">
        <w:rPr>
          <w:kern w:val="0"/>
          <w:szCs w:val="24"/>
        </w:rPr>
        <w:t>. The</w:t>
      </w:r>
      <w:r w:rsidRPr="00840EE0">
        <w:rPr>
          <w:kern w:val="0"/>
          <w:szCs w:val="24"/>
        </w:rPr>
        <w:t>se citation classics came from nine countries,</w:t>
      </w:r>
      <w:r w:rsidR="00427468">
        <w:rPr>
          <w:kern w:val="0"/>
          <w:szCs w:val="24"/>
        </w:rPr>
        <w:t xml:space="preserve"> of </w:t>
      </w:r>
      <w:r w:rsidRPr="00840EE0">
        <w:rPr>
          <w:kern w:val="0"/>
          <w:szCs w:val="24"/>
        </w:rPr>
        <w:t>which 26 articles came from</w:t>
      </w:r>
      <w:r w:rsidR="003A1917">
        <w:rPr>
          <w:kern w:val="0"/>
          <w:szCs w:val="24"/>
        </w:rPr>
        <w:t xml:space="preserve"> the </w:t>
      </w:r>
      <w:r w:rsidRPr="00840EE0">
        <w:rPr>
          <w:kern w:val="0"/>
          <w:szCs w:val="24"/>
        </w:rPr>
        <w:t>United States. Rush University</w:t>
      </w:r>
      <w:r w:rsidR="005853A9">
        <w:rPr>
          <w:kern w:val="0"/>
          <w:szCs w:val="24"/>
        </w:rPr>
        <w:t xml:space="preserve"> and </w:t>
      </w:r>
      <w:r w:rsidR="003A1917">
        <w:rPr>
          <w:kern w:val="0"/>
          <w:szCs w:val="24"/>
        </w:rPr>
        <w:t xml:space="preserve">the </w:t>
      </w:r>
      <w:r w:rsidRPr="00840EE0">
        <w:rPr>
          <w:kern w:val="0"/>
          <w:szCs w:val="24"/>
        </w:rPr>
        <w:t>University</w:t>
      </w:r>
      <w:r w:rsidR="00427468">
        <w:rPr>
          <w:kern w:val="0"/>
          <w:szCs w:val="24"/>
        </w:rPr>
        <w:t xml:space="preserve"> of </w:t>
      </w:r>
      <w:r w:rsidRPr="00840EE0">
        <w:rPr>
          <w:kern w:val="0"/>
          <w:szCs w:val="24"/>
        </w:rPr>
        <w:t>Pittsburgh lead</w:t>
      </w:r>
      <w:r w:rsidR="003A1917">
        <w:rPr>
          <w:kern w:val="0"/>
          <w:szCs w:val="24"/>
        </w:rPr>
        <w:t xml:space="preserve"> the </w:t>
      </w:r>
      <w:r w:rsidRPr="00840EE0">
        <w:rPr>
          <w:kern w:val="0"/>
          <w:szCs w:val="24"/>
        </w:rPr>
        <w:t>list</w:t>
      </w:r>
      <w:r w:rsidR="00427468">
        <w:rPr>
          <w:kern w:val="0"/>
          <w:szCs w:val="24"/>
        </w:rPr>
        <w:t xml:space="preserve"> of </w:t>
      </w:r>
      <w:r w:rsidRPr="00840EE0">
        <w:rPr>
          <w:kern w:val="0"/>
          <w:szCs w:val="24"/>
        </w:rPr>
        <w:t>classics with six papers each</w:t>
      </w:r>
      <w:r w:rsidR="00A37C1D">
        <w:rPr>
          <w:kern w:val="0"/>
          <w:szCs w:val="24"/>
        </w:rPr>
        <w:t>. The</w:t>
      </w:r>
      <w:r w:rsidR="003A1917">
        <w:rPr>
          <w:kern w:val="0"/>
          <w:szCs w:val="24"/>
        </w:rPr>
        <w:t xml:space="preserve"> </w:t>
      </w:r>
      <w:r w:rsidRPr="00840EE0">
        <w:rPr>
          <w:kern w:val="0"/>
          <w:szCs w:val="24"/>
        </w:rPr>
        <w:t>50 top-cited articles were published in 17 journals, with</w:t>
      </w:r>
      <w:r w:rsidR="003A1917">
        <w:rPr>
          <w:kern w:val="0"/>
          <w:szCs w:val="24"/>
        </w:rPr>
        <w:t xml:space="preserve"> the </w:t>
      </w:r>
      <w:r w:rsidRPr="00840EE0">
        <w:rPr>
          <w:kern w:val="0"/>
          <w:szCs w:val="24"/>
        </w:rPr>
        <w:t>New England Journal</w:t>
      </w:r>
      <w:r w:rsidR="00427468">
        <w:rPr>
          <w:kern w:val="0"/>
          <w:szCs w:val="24"/>
        </w:rPr>
        <w:t xml:space="preserve"> of </w:t>
      </w:r>
      <w:r w:rsidRPr="00840EE0">
        <w:rPr>
          <w:kern w:val="0"/>
          <w:szCs w:val="24"/>
        </w:rPr>
        <w:t>Medicine</w:t>
      </w:r>
      <w:r w:rsidR="005853A9">
        <w:rPr>
          <w:kern w:val="0"/>
          <w:szCs w:val="24"/>
        </w:rPr>
        <w:t xml:space="preserve"> and </w:t>
      </w:r>
      <w:r w:rsidRPr="00840EE0">
        <w:rPr>
          <w:kern w:val="0"/>
          <w:szCs w:val="24"/>
        </w:rPr>
        <w:t>Journal</w:t>
      </w:r>
      <w:r w:rsidR="00427468">
        <w:rPr>
          <w:kern w:val="0"/>
          <w:szCs w:val="24"/>
        </w:rPr>
        <w:t xml:space="preserve"> of </w:t>
      </w:r>
      <w:r w:rsidR="003A1917">
        <w:rPr>
          <w:kern w:val="0"/>
          <w:szCs w:val="24"/>
        </w:rPr>
        <w:t xml:space="preserve">the </w:t>
      </w:r>
      <w:r w:rsidRPr="00840EE0">
        <w:rPr>
          <w:kern w:val="0"/>
          <w:szCs w:val="24"/>
        </w:rPr>
        <w:t>American Medical Association topping</w:t>
      </w:r>
      <w:r w:rsidR="003A1917">
        <w:rPr>
          <w:kern w:val="0"/>
          <w:szCs w:val="24"/>
        </w:rPr>
        <w:t xml:space="preserve"> the </w:t>
      </w:r>
      <w:r w:rsidRPr="00840EE0">
        <w:rPr>
          <w:kern w:val="0"/>
          <w:szCs w:val="24"/>
        </w:rPr>
        <w:t>list</w:t>
      </w:r>
      <w:r w:rsidR="00A37C1D">
        <w:rPr>
          <w:kern w:val="0"/>
          <w:szCs w:val="24"/>
        </w:rPr>
        <w:t>. The</w:t>
      </w:r>
      <w:r w:rsidR="003A1917">
        <w:rPr>
          <w:kern w:val="0"/>
          <w:szCs w:val="24"/>
        </w:rPr>
        <w:t xml:space="preserve"> </w:t>
      </w:r>
      <w:r w:rsidRPr="00840EE0">
        <w:rPr>
          <w:kern w:val="0"/>
          <w:szCs w:val="24"/>
        </w:rPr>
        <w:t>top 50 articles consisted</w:t>
      </w:r>
      <w:r w:rsidR="00427468">
        <w:rPr>
          <w:kern w:val="0"/>
          <w:szCs w:val="24"/>
        </w:rPr>
        <w:t xml:space="preserve"> of </w:t>
      </w:r>
      <w:r w:rsidRPr="00840EE0">
        <w:rPr>
          <w:kern w:val="0"/>
          <w:szCs w:val="24"/>
        </w:rPr>
        <w:t>21 clinical trials</w:t>
      </w:r>
      <w:r w:rsidR="005853A9">
        <w:rPr>
          <w:kern w:val="0"/>
          <w:szCs w:val="24"/>
        </w:rPr>
        <w:t xml:space="preserve"> and </w:t>
      </w:r>
      <w:r w:rsidRPr="00840EE0">
        <w:rPr>
          <w:kern w:val="0"/>
          <w:szCs w:val="24"/>
        </w:rPr>
        <w:t>29 observational studies. Conclusions: Our bibliometric analysis provides a historical perspective on</w:t>
      </w:r>
      <w:r w:rsidR="003A1917">
        <w:rPr>
          <w:kern w:val="0"/>
          <w:szCs w:val="24"/>
        </w:rPr>
        <w:t xml:space="preserve"> the </w:t>
      </w:r>
      <w:r w:rsidRPr="00840EE0">
        <w:rPr>
          <w:kern w:val="0"/>
          <w:szCs w:val="24"/>
        </w:rPr>
        <w:t>progress</w:t>
      </w:r>
      <w:r w:rsidR="00427468">
        <w:rPr>
          <w:kern w:val="0"/>
          <w:szCs w:val="24"/>
        </w:rPr>
        <w:t xml:space="preserve"> of </w:t>
      </w:r>
      <w:r w:rsidRPr="00840EE0">
        <w:rPr>
          <w:kern w:val="0"/>
          <w:szCs w:val="24"/>
        </w:rPr>
        <w:t>clinical research on sepsis. Articles originating from</w:t>
      </w:r>
      <w:r w:rsidR="003A1917">
        <w:rPr>
          <w:kern w:val="0"/>
          <w:szCs w:val="24"/>
        </w:rPr>
        <w:t xml:space="preserve"> the </w:t>
      </w:r>
      <w:r w:rsidRPr="00840EE0">
        <w:rPr>
          <w:kern w:val="0"/>
          <w:szCs w:val="24"/>
        </w:rPr>
        <w:t>United States</w:t>
      </w:r>
      <w:r w:rsidR="005853A9">
        <w:rPr>
          <w:kern w:val="0"/>
          <w:szCs w:val="24"/>
        </w:rPr>
        <w:t xml:space="preserve"> and </w:t>
      </w:r>
      <w:r w:rsidRPr="00840EE0">
        <w:rPr>
          <w:kern w:val="0"/>
          <w:szCs w:val="24"/>
        </w:rPr>
        <w:t>published in high-impact journals are most likely to be cited in</w:t>
      </w:r>
      <w:r w:rsidR="003A1917">
        <w:rPr>
          <w:kern w:val="0"/>
          <w:szCs w:val="24"/>
        </w:rPr>
        <w:t xml:space="preserve"> the </w:t>
      </w:r>
      <w:r>
        <w:rPr>
          <w:kern w:val="0"/>
          <w:szCs w:val="24"/>
        </w:rPr>
        <w:t>field</w:t>
      </w:r>
      <w:r w:rsidR="00427468">
        <w:rPr>
          <w:kern w:val="0"/>
          <w:szCs w:val="24"/>
        </w:rPr>
        <w:t xml:space="preserve"> of </w:t>
      </w:r>
      <w:r>
        <w:rPr>
          <w:kern w:val="0"/>
          <w:szCs w:val="24"/>
        </w:rPr>
        <w:t>sepsis research.</w:t>
      </w:r>
    </w:p>
    <w:p w:rsidR="000B08BB" w:rsidRDefault="000B08BB" w:rsidP="000B08BB">
      <w:pPr>
        <w:pStyle w:val="a3"/>
        <w:rPr>
          <w:kern w:val="0"/>
        </w:rPr>
      </w:pPr>
      <w:r>
        <w:rPr>
          <w:rFonts w:hint="eastAsia"/>
          <w:kern w:val="0"/>
        </w:rPr>
        <w:t xml:space="preserve">? </w:t>
      </w:r>
      <w:r>
        <w:rPr>
          <w:kern w:val="0"/>
        </w:rPr>
        <w:t>Lin, Y.Y., He, B., Chen, J.</w:t>
      </w:r>
      <w:r w:rsidR="005853A9">
        <w:rPr>
          <w:kern w:val="0"/>
        </w:rPr>
        <w:t xml:space="preserve"> and </w:t>
      </w:r>
      <w:r>
        <w:rPr>
          <w:kern w:val="0"/>
        </w:rPr>
        <w:t>Wang, Z.N. (2012), Can dexmedetomidine be a safe</w:t>
      </w:r>
      <w:r w:rsidR="005853A9">
        <w:rPr>
          <w:kern w:val="0"/>
        </w:rPr>
        <w:t xml:space="preserve"> and </w:t>
      </w:r>
      <w:r>
        <w:rPr>
          <w:kern w:val="0"/>
        </w:rPr>
        <w:t xml:space="preserve">efficacious sedative agent in post-cardiac surgery patients? A meta-analysis. </w:t>
      </w:r>
      <w:r>
        <w:rPr>
          <w:i/>
          <w:iCs/>
          <w:kern w:val="0"/>
        </w:rPr>
        <w:t>Critical Care</w:t>
      </w:r>
      <w:r>
        <w:rPr>
          <w:kern w:val="0"/>
        </w:rPr>
        <w:t xml:space="preserve">, </w:t>
      </w:r>
      <w:r>
        <w:rPr>
          <w:b/>
          <w:bCs/>
          <w:kern w:val="0"/>
        </w:rPr>
        <w:t>16</w:t>
      </w:r>
      <w:r>
        <w:rPr>
          <w:kern w:val="0"/>
        </w:rPr>
        <w:t xml:space="preserve"> (5</w:t>
      </w:r>
      <w:r>
        <w:rPr>
          <w:rFonts w:hint="eastAsia"/>
          <w:kern w:val="0"/>
        </w:rPr>
        <w:t xml:space="preserve">), </w:t>
      </w:r>
      <w:r w:rsidRPr="00300841">
        <w:rPr>
          <w:kern w:val="0"/>
        </w:rPr>
        <w:t>Article Number: R169</w:t>
      </w:r>
      <w:r>
        <w:rPr>
          <w:kern w:val="0"/>
        </w:rPr>
        <w:t>.</w:t>
      </w:r>
    </w:p>
    <w:p w:rsidR="000B08BB" w:rsidRDefault="000B08BB" w:rsidP="000B08BB">
      <w:pPr>
        <w:pStyle w:val="a3"/>
        <w:rPr>
          <w:kern w:val="0"/>
          <w:szCs w:val="24"/>
        </w:rPr>
      </w:pPr>
      <w:r>
        <w:rPr>
          <w:rFonts w:hint="eastAsia"/>
          <w:kern w:val="0"/>
          <w:szCs w:val="24"/>
        </w:rPr>
        <w:t xml:space="preserve">Full Text: </w:t>
      </w:r>
      <w:hyperlink r:id="rId1053" w:history="1">
        <w:r w:rsidRPr="009A08BA">
          <w:rPr>
            <w:rStyle w:val="a5"/>
            <w:kern w:val="0"/>
            <w:szCs w:val="24"/>
          </w:rPr>
          <w:t>2012\Cri Car16, R169.pdf</w:t>
        </w:r>
      </w:hyperlink>
    </w:p>
    <w:p w:rsidR="000B08BB" w:rsidRDefault="000B08BB" w:rsidP="000B08BB">
      <w:pPr>
        <w:pStyle w:val="a3"/>
        <w:rPr>
          <w:kern w:val="0"/>
        </w:rPr>
      </w:pPr>
      <w:r>
        <w:rPr>
          <w:kern w:val="0"/>
        </w:rPr>
        <w:t>Abstract: Introduction: The aim</w:t>
      </w:r>
      <w:r w:rsidR="00427468">
        <w:rPr>
          <w:kern w:val="0"/>
        </w:rPr>
        <w:t xml:space="preserve"> of </w:t>
      </w:r>
      <w:r>
        <w:rPr>
          <w:kern w:val="0"/>
        </w:rPr>
        <w:t>this study was to explore the use</w:t>
      </w:r>
      <w:r w:rsidR="00427468">
        <w:rPr>
          <w:kern w:val="0"/>
        </w:rPr>
        <w:t xml:space="preserve"> of </w:t>
      </w:r>
      <w:r>
        <w:rPr>
          <w:kern w:val="0"/>
        </w:rPr>
        <w:t>dexmedetomidine as a safe</w:t>
      </w:r>
      <w:r w:rsidR="005853A9">
        <w:rPr>
          <w:kern w:val="0"/>
        </w:rPr>
        <w:t xml:space="preserve"> and </w:t>
      </w:r>
      <w:r>
        <w:rPr>
          <w:kern w:val="0"/>
        </w:rPr>
        <w:t>efficacious sedative agent in post-cardiac surgery patients. Methods: A systematic literature search</w:t>
      </w:r>
      <w:r w:rsidR="00427468">
        <w:rPr>
          <w:kern w:val="0"/>
        </w:rPr>
        <w:t xml:space="preserve"> of </w:t>
      </w:r>
      <w:r w:rsidR="00D5664A">
        <w:rPr>
          <w:kern w:val="0"/>
        </w:rPr>
        <w:t>MEDLINE</w:t>
      </w:r>
      <w:r>
        <w:rPr>
          <w:kern w:val="0"/>
        </w:rPr>
        <w:t>, EMBASE, the Cochrane Library</w:t>
      </w:r>
      <w:r w:rsidR="005853A9">
        <w:rPr>
          <w:kern w:val="0"/>
        </w:rPr>
        <w:t xml:space="preserve"> and </w:t>
      </w:r>
      <w:r>
        <w:rPr>
          <w:kern w:val="0"/>
        </w:rPr>
        <w:t>Science Citation Index until January 2012</w:t>
      </w:r>
      <w:r w:rsidR="005853A9">
        <w:rPr>
          <w:kern w:val="0"/>
        </w:rPr>
        <w:t xml:space="preserve"> and </w:t>
      </w:r>
      <w:r>
        <w:rPr>
          <w:kern w:val="0"/>
        </w:rPr>
        <w:t>review</w:t>
      </w:r>
      <w:r w:rsidR="00427468">
        <w:rPr>
          <w:kern w:val="0"/>
        </w:rPr>
        <w:t xml:space="preserve"> of </w:t>
      </w:r>
      <w:r>
        <w:rPr>
          <w:kern w:val="0"/>
        </w:rPr>
        <w:t>studies was conducted. Eligible studies were</w:t>
      </w:r>
      <w:r w:rsidR="00427468">
        <w:rPr>
          <w:kern w:val="0"/>
        </w:rPr>
        <w:t xml:space="preserve"> of </w:t>
      </w:r>
      <w:r>
        <w:rPr>
          <w:kern w:val="0"/>
        </w:rPr>
        <w:t>randomized controlled trials or cohort studies, comparing dexmedetomidine with a placebo or an alternative sedative agent in elective cardiac surgery, using dexmedetomidine for postoperative sedation</w:t>
      </w:r>
      <w:r w:rsidR="005853A9">
        <w:rPr>
          <w:kern w:val="0"/>
        </w:rPr>
        <w:t xml:space="preserve"> </w:t>
      </w:r>
      <w:r w:rsidR="005853A9">
        <w:rPr>
          <w:kern w:val="0"/>
        </w:rPr>
        <w:lastRenderedPageBreak/>
        <w:t xml:space="preserve">and </w:t>
      </w:r>
      <w:r>
        <w:rPr>
          <w:kern w:val="0"/>
        </w:rPr>
        <w:t>available in full text. Two reviewers independently performed study selection, quality assessment,</w:t>
      </w:r>
      <w:r w:rsidR="005853A9">
        <w:rPr>
          <w:kern w:val="0"/>
        </w:rPr>
        <w:t xml:space="preserve"> and </w:t>
      </w:r>
      <w:r>
        <w:rPr>
          <w:kern w:val="0"/>
        </w:rPr>
        <w:t>data extraction. Results: The search identified 530 potentially relevant publications; 11 met selection criteria in this meta-analysis. Our results revealed that dexmedetomidine was associated with a shorter length</w:t>
      </w:r>
      <w:r w:rsidR="00427468">
        <w:rPr>
          <w:kern w:val="0"/>
        </w:rPr>
        <w:t xml:space="preserve"> of </w:t>
      </w:r>
      <w:r>
        <w:rPr>
          <w:kern w:val="0"/>
        </w:rPr>
        <w:t>mechanical ventilation (mean difference -2.70 [-5.05, -0.35]), a lower risk</w:t>
      </w:r>
      <w:r w:rsidR="00427468">
        <w:rPr>
          <w:kern w:val="0"/>
        </w:rPr>
        <w:t xml:space="preserve"> of </w:t>
      </w:r>
      <w:r>
        <w:rPr>
          <w:kern w:val="0"/>
        </w:rPr>
        <w:t>delirium (risk ratio 0.36 [0.21, 0.64]), ventricular tachycardia (risk ratio 0.27 [0.08, 0.97])</w:t>
      </w:r>
      <w:r w:rsidR="005853A9">
        <w:rPr>
          <w:kern w:val="0"/>
        </w:rPr>
        <w:t xml:space="preserve"> and </w:t>
      </w:r>
      <w:r>
        <w:rPr>
          <w:kern w:val="0"/>
        </w:rPr>
        <w:t>hyperglycemia (risk ratio 0.78 [0.61, 0.99]), but may increase the risk</w:t>
      </w:r>
      <w:r w:rsidR="00427468">
        <w:rPr>
          <w:kern w:val="0"/>
        </w:rPr>
        <w:t xml:space="preserve"> of </w:t>
      </w:r>
      <w:r>
        <w:rPr>
          <w:kern w:val="0"/>
        </w:rPr>
        <w:t>bradycardia (risk ratio 2.08 [1.16, 3.74]). But there was no significant difference in ICU stay, hospital stay,</w:t>
      </w:r>
      <w:r w:rsidR="005853A9">
        <w:rPr>
          <w:kern w:val="0"/>
        </w:rPr>
        <w:t xml:space="preserve"> and </w:t>
      </w:r>
      <w:r>
        <w:rPr>
          <w:kern w:val="0"/>
        </w:rPr>
        <w:t>morphine equivalents between the included studies. Dexmedetomidine may not increase the risk</w:t>
      </w:r>
      <w:r w:rsidR="00427468">
        <w:rPr>
          <w:kern w:val="0"/>
        </w:rPr>
        <w:t xml:space="preserve"> of </w:t>
      </w:r>
      <w:r>
        <w:rPr>
          <w:kern w:val="0"/>
        </w:rPr>
        <w:t>hypotension, atrial fibrillation, postoperative nausea</w:t>
      </w:r>
      <w:r w:rsidR="005853A9">
        <w:rPr>
          <w:kern w:val="0"/>
        </w:rPr>
        <w:t xml:space="preserve"> and </w:t>
      </w:r>
      <w:r>
        <w:rPr>
          <w:kern w:val="0"/>
        </w:rPr>
        <w:t>vomiting, reintubation within 5 days, cardiovascular complications, postoperative infection or hospital mortality. Conclusions: Dexmedetomidine was associated with shorter length</w:t>
      </w:r>
      <w:r w:rsidR="00427468">
        <w:rPr>
          <w:kern w:val="0"/>
        </w:rPr>
        <w:t xml:space="preserve"> of </w:t>
      </w:r>
      <w:r>
        <w:rPr>
          <w:kern w:val="0"/>
        </w:rPr>
        <w:t>mechanical ventilation</w:t>
      </w:r>
      <w:r w:rsidR="005853A9">
        <w:rPr>
          <w:kern w:val="0"/>
        </w:rPr>
        <w:t xml:space="preserve"> and </w:t>
      </w:r>
      <w:r>
        <w:rPr>
          <w:kern w:val="0"/>
        </w:rPr>
        <w:t>lower risk</w:t>
      </w:r>
      <w:r w:rsidR="00427468">
        <w:rPr>
          <w:kern w:val="0"/>
        </w:rPr>
        <w:t xml:space="preserve"> of </w:t>
      </w:r>
      <w:r>
        <w:rPr>
          <w:kern w:val="0"/>
        </w:rPr>
        <w:t>delirium following cardiac surgery. Although the risk</w:t>
      </w:r>
      <w:r w:rsidR="00427468">
        <w:rPr>
          <w:kern w:val="0"/>
        </w:rPr>
        <w:t xml:space="preserve"> of </w:t>
      </w:r>
      <w:r>
        <w:rPr>
          <w:kern w:val="0"/>
        </w:rPr>
        <w:t>bradycardia was significantly higher compared with traditional sedatives, it may not increase length</w:t>
      </w:r>
      <w:r w:rsidR="00427468">
        <w:rPr>
          <w:kern w:val="0"/>
        </w:rPr>
        <w:t xml:space="preserve"> of </w:t>
      </w:r>
      <w:r>
        <w:rPr>
          <w:kern w:val="0"/>
        </w:rPr>
        <w:t>hospital stay</w:t>
      </w:r>
      <w:r w:rsidR="005853A9">
        <w:rPr>
          <w:kern w:val="0"/>
        </w:rPr>
        <w:t xml:space="preserve"> and </w:t>
      </w:r>
      <w:r>
        <w:rPr>
          <w:kern w:val="0"/>
        </w:rPr>
        <w:t>hospital mortality. Moreover, dexmedetomidine may decrease the risk</w:t>
      </w:r>
      <w:r w:rsidR="00427468">
        <w:rPr>
          <w:kern w:val="0"/>
        </w:rPr>
        <w:t xml:space="preserve"> of </w:t>
      </w:r>
      <w:r>
        <w:rPr>
          <w:kern w:val="0"/>
        </w:rPr>
        <w:t>ventricular tachycardia</w:t>
      </w:r>
      <w:r w:rsidR="005853A9">
        <w:rPr>
          <w:kern w:val="0"/>
        </w:rPr>
        <w:t xml:space="preserve"> and </w:t>
      </w:r>
      <w:r>
        <w:rPr>
          <w:kern w:val="0"/>
        </w:rPr>
        <w:t>hyperglycemia. Thus, dexmedetomidine could be a safe</w:t>
      </w:r>
      <w:r w:rsidR="005853A9">
        <w:rPr>
          <w:kern w:val="0"/>
        </w:rPr>
        <w:t xml:space="preserve"> and </w:t>
      </w:r>
      <w:r>
        <w:rPr>
          <w:kern w:val="0"/>
        </w:rPr>
        <w:t>efficacious sedative agent in cardiac surgical patients.</w:t>
      </w:r>
    </w:p>
    <w:p w:rsidR="000B08BB" w:rsidRDefault="000B08BB" w:rsidP="000B08BB">
      <w:pPr>
        <w:pStyle w:val="a3"/>
        <w:rPr>
          <w:kern w:val="0"/>
        </w:rPr>
      </w:pPr>
      <w:r>
        <w:rPr>
          <w:kern w:val="0"/>
        </w:rPr>
        <w:t xml:space="preserve">Keywords: Alternative, Arrest, Assessment, Atrial Fibrillation, Bradycardia, Bypass Graft-Surgery, Cardiac Surgery, Cardiovascular, Citation, Cohort, Complications, Criteria, Data, Delirium, Delirium, Elective, Embase, Extraction, Hospital, Hospital Stay, Hyperglycemia, Hypotension, Icu, Impact, Infection, Intensive Care Unit, Intensive-Care-Unit, Length, Literature, Mechanical Ventilation, Mechanically Ventilated Patients, </w:t>
      </w:r>
      <w:r w:rsidR="00D5664A">
        <w:rPr>
          <w:kern w:val="0"/>
        </w:rPr>
        <w:t>MEDLINE</w:t>
      </w:r>
      <w:r>
        <w:rPr>
          <w:kern w:val="0"/>
        </w:rPr>
        <w:t>, Meta Analysis, Meta-Analysis, Metaanalysis, Methods, Morphine, Mortality, Nausea, Nausea</w:t>
      </w:r>
      <w:r w:rsidR="005853A9">
        <w:rPr>
          <w:kern w:val="0"/>
        </w:rPr>
        <w:t xml:space="preserve"> and </w:t>
      </w:r>
      <w:r>
        <w:rPr>
          <w:kern w:val="0"/>
        </w:rPr>
        <w:t>Vomiting, Patients, Placebo, Postoperative, Postoperative Nausea</w:t>
      </w:r>
      <w:r w:rsidR="005853A9">
        <w:rPr>
          <w:kern w:val="0"/>
        </w:rPr>
        <w:t xml:space="preserve"> and </w:t>
      </w:r>
      <w:r>
        <w:rPr>
          <w:kern w:val="0"/>
        </w:rPr>
        <w:t>Vomiting, Propofol, Publications, Quality, Randomized, Randomized Controlled Trials, Randomized Controlled-Trial, Regimens, Results, Review, Risk, Science, Science Citation Index, Sedation, Selection, Selection Criteria, Surgery, Systematic Literature Search, Tachycardia, Ventilation, Vomiting</w:t>
      </w:r>
    </w:p>
    <w:p w:rsidR="0097422C" w:rsidRDefault="0097422C" w:rsidP="0097422C">
      <w:pPr>
        <w:pStyle w:val="a3"/>
        <w:rPr>
          <w:kern w:val="0"/>
        </w:rPr>
      </w:pPr>
      <w:r>
        <w:rPr>
          <w:rFonts w:hint="eastAsia"/>
          <w:kern w:val="0"/>
        </w:rPr>
        <w:t xml:space="preserve">? </w:t>
      </w:r>
      <w:r>
        <w:rPr>
          <w:kern w:val="0"/>
        </w:rPr>
        <w:t>Childs, C.</w:t>
      </w:r>
      <w:r w:rsidR="005853A9">
        <w:rPr>
          <w:kern w:val="0"/>
        </w:rPr>
        <w:t xml:space="preserve"> and </w:t>
      </w:r>
      <w:r>
        <w:rPr>
          <w:kern w:val="0"/>
        </w:rPr>
        <w:t xml:space="preserve">Lunn, K.W. (2013), Clinical review: Brain-body temperature differences in adults with severe traumatic brain injury. </w:t>
      </w:r>
      <w:r>
        <w:rPr>
          <w:i/>
          <w:iCs/>
          <w:kern w:val="0"/>
        </w:rPr>
        <w:t>Critical Care</w:t>
      </w:r>
      <w:r>
        <w:rPr>
          <w:kern w:val="0"/>
        </w:rPr>
        <w:t xml:space="preserve">, </w:t>
      </w:r>
      <w:r>
        <w:rPr>
          <w:b/>
          <w:bCs/>
          <w:kern w:val="0"/>
        </w:rPr>
        <w:t>17</w:t>
      </w:r>
      <w:r>
        <w:rPr>
          <w:kern w:val="0"/>
        </w:rPr>
        <w:t xml:space="preserve"> (2</w:t>
      </w:r>
      <w:r>
        <w:rPr>
          <w:rFonts w:hint="eastAsia"/>
          <w:kern w:val="0"/>
        </w:rPr>
        <w:t xml:space="preserve">), </w:t>
      </w:r>
      <w:r w:rsidRPr="0074333A">
        <w:rPr>
          <w:kern w:val="0"/>
        </w:rPr>
        <w:t>Article Number: 222</w:t>
      </w:r>
      <w:r>
        <w:rPr>
          <w:kern w:val="0"/>
        </w:rPr>
        <w:t>.</w:t>
      </w:r>
    </w:p>
    <w:p w:rsidR="0097422C" w:rsidRDefault="0097422C" w:rsidP="0097422C">
      <w:pPr>
        <w:pStyle w:val="a3"/>
        <w:rPr>
          <w:kern w:val="0"/>
          <w:szCs w:val="24"/>
        </w:rPr>
      </w:pPr>
      <w:r>
        <w:rPr>
          <w:rFonts w:hint="eastAsia"/>
          <w:kern w:val="0"/>
          <w:szCs w:val="24"/>
        </w:rPr>
        <w:t xml:space="preserve">Full Text: </w:t>
      </w:r>
      <w:r w:rsidRPr="0074333A">
        <w:rPr>
          <w:kern w:val="0"/>
          <w:szCs w:val="24"/>
        </w:rPr>
        <w:t>201</w:t>
      </w:r>
      <w:r>
        <w:rPr>
          <w:rFonts w:hint="eastAsia"/>
          <w:kern w:val="0"/>
          <w:szCs w:val="24"/>
        </w:rPr>
        <w:t>3</w:t>
      </w:r>
      <w:r w:rsidRPr="0074333A">
        <w:rPr>
          <w:kern w:val="0"/>
          <w:szCs w:val="24"/>
        </w:rPr>
        <w:t>\Cri Car1</w:t>
      </w:r>
      <w:r>
        <w:rPr>
          <w:rFonts w:hint="eastAsia"/>
          <w:kern w:val="0"/>
          <w:szCs w:val="24"/>
        </w:rPr>
        <w:t>7</w:t>
      </w:r>
      <w:r w:rsidRPr="0074333A">
        <w:rPr>
          <w:kern w:val="0"/>
          <w:szCs w:val="24"/>
        </w:rPr>
        <w:t xml:space="preserve">, </w:t>
      </w:r>
      <w:r>
        <w:rPr>
          <w:rFonts w:hint="eastAsia"/>
          <w:kern w:val="0"/>
          <w:szCs w:val="24"/>
        </w:rPr>
        <w:t>222</w:t>
      </w:r>
      <w:r w:rsidRPr="0074333A">
        <w:rPr>
          <w:kern w:val="0"/>
          <w:szCs w:val="24"/>
        </w:rPr>
        <w:t>.pdf</w:t>
      </w:r>
    </w:p>
    <w:p w:rsidR="0097422C" w:rsidRDefault="0097422C" w:rsidP="0097422C">
      <w:pPr>
        <w:pStyle w:val="a3"/>
        <w:rPr>
          <w:kern w:val="0"/>
        </w:rPr>
      </w:pPr>
      <w:r>
        <w:rPr>
          <w:kern w:val="0"/>
        </w:rPr>
        <w:t xml:space="preserve">Abstract: Surrogate or </w:t>
      </w:r>
      <w:r w:rsidR="0071223E">
        <w:rPr>
          <w:kern w:val="0"/>
        </w:rPr>
        <w:t>‘</w:t>
      </w:r>
      <w:r>
        <w:rPr>
          <w:kern w:val="0"/>
        </w:rPr>
        <w:t>proxy</w:t>
      </w:r>
      <w:r w:rsidR="0071223E">
        <w:rPr>
          <w:kern w:val="0"/>
        </w:rPr>
        <w:t>’</w:t>
      </w:r>
      <w:r>
        <w:rPr>
          <w:kern w:val="0"/>
        </w:rPr>
        <w:t xml:space="preserve"> measures</w:t>
      </w:r>
      <w:r w:rsidR="00427468">
        <w:rPr>
          <w:kern w:val="0"/>
        </w:rPr>
        <w:t xml:space="preserve"> of </w:t>
      </w:r>
      <w:r>
        <w:rPr>
          <w:kern w:val="0"/>
        </w:rPr>
        <w:t>brain temperature are used in the routine management</w:t>
      </w:r>
      <w:r w:rsidR="00427468">
        <w:rPr>
          <w:kern w:val="0"/>
        </w:rPr>
        <w:t xml:space="preserve"> of </w:t>
      </w:r>
      <w:r>
        <w:rPr>
          <w:kern w:val="0"/>
        </w:rPr>
        <w:t>patients with brain damage</w:t>
      </w:r>
      <w:r w:rsidR="00A37C1D">
        <w:rPr>
          <w:kern w:val="0"/>
        </w:rPr>
        <w:t>. The</w:t>
      </w:r>
      <w:r>
        <w:rPr>
          <w:kern w:val="0"/>
        </w:rPr>
        <w:t xml:space="preserve"> prevailing view is that the brain is </w:t>
      </w:r>
      <w:r w:rsidR="0071223E">
        <w:rPr>
          <w:kern w:val="0"/>
        </w:rPr>
        <w:t>‘</w:t>
      </w:r>
      <w:r>
        <w:rPr>
          <w:kern w:val="0"/>
        </w:rPr>
        <w:t>hotter</w:t>
      </w:r>
      <w:r w:rsidR="0071223E">
        <w:rPr>
          <w:kern w:val="0"/>
        </w:rPr>
        <w:t>’</w:t>
      </w:r>
      <w:r>
        <w:rPr>
          <w:kern w:val="0"/>
        </w:rPr>
        <w:t xml:space="preserve"> than the body</w:t>
      </w:r>
      <w:r w:rsidR="00A37C1D">
        <w:rPr>
          <w:kern w:val="0"/>
        </w:rPr>
        <w:t>. The</w:t>
      </w:r>
      <w:r>
        <w:rPr>
          <w:kern w:val="0"/>
        </w:rPr>
        <w:t xml:space="preserve"> polarity</w:t>
      </w:r>
      <w:r w:rsidR="005853A9">
        <w:rPr>
          <w:kern w:val="0"/>
        </w:rPr>
        <w:t xml:space="preserve"> and </w:t>
      </w:r>
      <w:r>
        <w:rPr>
          <w:kern w:val="0"/>
        </w:rPr>
        <w:t>magnitude</w:t>
      </w:r>
      <w:r w:rsidR="00427468">
        <w:rPr>
          <w:kern w:val="0"/>
        </w:rPr>
        <w:t xml:space="preserve"> of </w:t>
      </w:r>
      <w:r>
        <w:rPr>
          <w:kern w:val="0"/>
        </w:rPr>
        <w:t>temperature differences between brain</w:t>
      </w:r>
      <w:r w:rsidR="005853A9">
        <w:rPr>
          <w:kern w:val="0"/>
        </w:rPr>
        <w:t xml:space="preserve"> and </w:t>
      </w:r>
      <w:r>
        <w:rPr>
          <w:kern w:val="0"/>
        </w:rPr>
        <w:t xml:space="preserve">body, however, remains unclear after severe traumatic brain injury </w:t>
      </w:r>
      <w:r>
        <w:rPr>
          <w:kern w:val="0"/>
        </w:rPr>
        <w:lastRenderedPageBreak/>
        <w:t>(TBI)</w:t>
      </w:r>
      <w:r w:rsidR="00A37C1D">
        <w:rPr>
          <w:kern w:val="0"/>
        </w:rPr>
        <w:t>. The</w:t>
      </w:r>
      <w:r>
        <w:rPr>
          <w:kern w:val="0"/>
        </w:rPr>
        <w:t xml:space="preserve"> focus</w:t>
      </w:r>
      <w:r w:rsidR="00427468">
        <w:rPr>
          <w:kern w:val="0"/>
        </w:rPr>
        <w:t xml:space="preserve"> of </w:t>
      </w:r>
      <w:r>
        <w:rPr>
          <w:kern w:val="0"/>
        </w:rPr>
        <w:t>this systematic review is on the adult patient admitted to intensive/neurocritical care with a diagnosis</w:t>
      </w:r>
      <w:r w:rsidR="00427468">
        <w:rPr>
          <w:kern w:val="0"/>
        </w:rPr>
        <w:t xml:space="preserve"> of </w:t>
      </w:r>
      <w:r>
        <w:rPr>
          <w:kern w:val="0"/>
        </w:rPr>
        <w:t>severe TBI (Glasgow Coma Scale score</w:t>
      </w:r>
      <w:r w:rsidR="00427468">
        <w:rPr>
          <w:kern w:val="0"/>
        </w:rPr>
        <w:t xml:space="preserve"> of </w:t>
      </w:r>
      <w:r>
        <w:rPr>
          <w:kern w:val="0"/>
        </w:rPr>
        <w:t>less than 8)</w:t>
      </w:r>
      <w:r w:rsidR="00A37C1D">
        <w:rPr>
          <w:kern w:val="0"/>
        </w:rPr>
        <w:t>. The</w:t>
      </w:r>
      <w:r>
        <w:rPr>
          <w:kern w:val="0"/>
        </w:rPr>
        <w:t xml:space="preserve"> review considered studies that measured brain temperature</w:t>
      </w:r>
      <w:r w:rsidR="005853A9">
        <w:rPr>
          <w:kern w:val="0"/>
        </w:rPr>
        <w:t xml:space="preserve"> and </w:t>
      </w:r>
      <w:r>
        <w:rPr>
          <w:kern w:val="0"/>
        </w:rPr>
        <w:t xml:space="preserve">core body temperature. Articles published in English from the years 1980 to 2012 were searched in databases, CINAHL, PubMed, Scopus, </w:t>
      </w:r>
      <w:r w:rsidR="00D5664A">
        <w:rPr>
          <w:kern w:val="0"/>
        </w:rPr>
        <w:t>Web</w:t>
      </w:r>
      <w:r w:rsidR="00427468">
        <w:rPr>
          <w:kern w:val="0"/>
        </w:rPr>
        <w:t xml:space="preserve"> of </w:t>
      </w:r>
      <w:r w:rsidR="00D5664A">
        <w:rPr>
          <w:kern w:val="0"/>
        </w:rPr>
        <w:t>Science</w:t>
      </w:r>
      <w:r>
        <w:rPr>
          <w:kern w:val="0"/>
        </w:rPr>
        <w:t>, Science Direct, Ovid SP, Mednar</w:t>
      </w:r>
      <w:r w:rsidR="005853A9">
        <w:rPr>
          <w:kern w:val="0"/>
        </w:rPr>
        <w:t xml:space="preserve"> and </w:t>
      </w:r>
      <w:r>
        <w:rPr>
          <w:kern w:val="0"/>
        </w:rPr>
        <w:t>ProQuest Dissertations &amp; Theses Database. For the review, publications</w:t>
      </w:r>
      <w:r w:rsidR="00427468">
        <w:rPr>
          <w:kern w:val="0"/>
        </w:rPr>
        <w:t xml:space="preserve"> of </w:t>
      </w:r>
      <w:r>
        <w:rPr>
          <w:kern w:val="0"/>
        </w:rPr>
        <w:t>randomised controlled trials, non-randomised controlled trials, before</w:t>
      </w:r>
      <w:r w:rsidR="005853A9">
        <w:rPr>
          <w:kern w:val="0"/>
        </w:rPr>
        <w:t xml:space="preserve"> and </w:t>
      </w:r>
      <w:r>
        <w:rPr>
          <w:kern w:val="0"/>
        </w:rPr>
        <w:t>after studies, cohort studies, case-control studies</w:t>
      </w:r>
      <w:r w:rsidR="005853A9">
        <w:rPr>
          <w:kern w:val="0"/>
        </w:rPr>
        <w:t xml:space="preserve"> and </w:t>
      </w:r>
      <w:r>
        <w:rPr>
          <w:kern w:val="0"/>
        </w:rPr>
        <w:t>descriptive studies were considered for inclusion.</w:t>
      </w:r>
      <w:r w:rsidR="00427468">
        <w:rPr>
          <w:kern w:val="0"/>
        </w:rPr>
        <w:t xml:space="preserve"> of </w:t>
      </w:r>
      <w:r>
        <w:rPr>
          <w:kern w:val="0"/>
        </w:rPr>
        <w:t>2,391 records identified via the search strategies, 37 were retrieved for detailed examination (including two via hand searching). Fifteen were reviewed</w:t>
      </w:r>
      <w:r w:rsidR="005853A9">
        <w:rPr>
          <w:kern w:val="0"/>
        </w:rPr>
        <w:t xml:space="preserve"> and </w:t>
      </w:r>
      <w:r>
        <w:rPr>
          <w:kern w:val="0"/>
        </w:rPr>
        <w:t>assessed for methodological quality. Eleven studies were included in the systematic review providing 15 brain-core body temperature comparisons</w:t>
      </w:r>
      <w:r w:rsidR="00A37C1D">
        <w:rPr>
          <w:kern w:val="0"/>
        </w:rPr>
        <w:t>. The</w:t>
      </w:r>
      <w:r>
        <w:rPr>
          <w:kern w:val="0"/>
        </w:rPr>
        <w:t xml:space="preserve"> direction</w:t>
      </w:r>
      <w:r w:rsidR="00427468">
        <w:rPr>
          <w:kern w:val="0"/>
        </w:rPr>
        <w:t xml:space="preserve"> of </w:t>
      </w:r>
      <w:r>
        <w:rPr>
          <w:kern w:val="0"/>
        </w:rPr>
        <w:t>mean brain-body temperature differences was positive (brain higher than body temperature)</w:t>
      </w:r>
      <w:r w:rsidR="005853A9">
        <w:rPr>
          <w:kern w:val="0"/>
        </w:rPr>
        <w:t xml:space="preserve"> and </w:t>
      </w:r>
      <w:r>
        <w:rPr>
          <w:kern w:val="0"/>
        </w:rPr>
        <w:t>negative (brain lower than body temperature). Hypothermia is associated with large brain-body temperature differences. Brain temperature cannot be predicted reliably from core body temperature. Concurrent monitoring</w:t>
      </w:r>
      <w:r w:rsidR="00427468">
        <w:rPr>
          <w:kern w:val="0"/>
        </w:rPr>
        <w:t xml:space="preserve"> of </w:t>
      </w:r>
      <w:r>
        <w:rPr>
          <w:kern w:val="0"/>
        </w:rPr>
        <w:t>brain</w:t>
      </w:r>
      <w:r w:rsidR="005853A9">
        <w:rPr>
          <w:kern w:val="0"/>
        </w:rPr>
        <w:t xml:space="preserve"> and </w:t>
      </w:r>
      <w:r>
        <w:rPr>
          <w:kern w:val="0"/>
        </w:rPr>
        <w:t>body temperature is recommended in patients where risk</w:t>
      </w:r>
      <w:r w:rsidR="00427468">
        <w:rPr>
          <w:kern w:val="0"/>
        </w:rPr>
        <w:t xml:space="preserve"> of </w:t>
      </w:r>
      <w:r>
        <w:rPr>
          <w:kern w:val="0"/>
        </w:rPr>
        <w:t>temperature-related neuronal damage is a cause for clinical concern</w:t>
      </w:r>
      <w:r w:rsidR="005853A9">
        <w:rPr>
          <w:kern w:val="0"/>
        </w:rPr>
        <w:t xml:space="preserve"> and </w:t>
      </w:r>
      <w:r>
        <w:rPr>
          <w:kern w:val="0"/>
        </w:rPr>
        <w:t>when deliberate induction</w:t>
      </w:r>
      <w:r w:rsidR="00427468">
        <w:rPr>
          <w:kern w:val="0"/>
        </w:rPr>
        <w:t xml:space="preserve"> of </w:t>
      </w:r>
      <w:r>
        <w:rPr>
          <w:kern w:val="0"/>
        </w:rPr>
        <w:t>below-normal body temperature is instituted.</w:t>
      </w:r>
    </w:p>
    <w:p w:rsidR="0097422C" w:rsidRDefault="0097422C" w:rsidP="0097422C">
      <w:pPr>
        <w:pStyle w:val="a3"/>
        <w:rPr>
          <w:kern w:val="0"/>
        </w:rPr>
      </w:pPr>
      <w:r>
        <w:rPr>
          <w:kern w:val="0"/>
        </w:rPr>
        <w:t xml:space="preserve">Keywords: Adult, Articles, Brain, Brain Injury, Care, Case-Control, Case-Control Studies, Clinical, Cohort, Damage, Database, Databases, Diagnosis, Dissertations, Examination, Induction, Injury, Intracerebral Temperature, Intracranial-Pressure, Magnitude, Management, Measures, Mild Hypothermia, Monitoring, Neurosurgical Patients, Normothermia, Patients, Publications, Pubmed, Quality, Randomised, Randomised Controlled Trials, Records, Rectal Temperatures, Review, Risk, Scale, Science, Scopus, Search Strategies, Severe Head-Injury, Systematic Review, Temperature, Theses, Traumatic, Traumatic Brain Injury, </w:t>
      </w:r>
      <w:r w:rsidR="00D5664A">
        <w:rPr>
          <w:kern w:val="0"/>
        </w:rPr>
        <w:t>Web</w:t>
      </w:r>
      <w:r w:rsidR="00427468">
        <w:rPr>
          <w:kern w:val="0"/>
        </w:rPr>
        <w:t xml:space="preserve"> of </w:t>
      </w:r>
      <w:r w:rsidR="00D5664A">
        <w:rPr>
          <w:kern w:val="0"/>
        </w:rPr>
        <w:t>Science</w:t>
      </w:r>
    </w:p>
    <w:p w:rsidR="00D150F8" w:rsidRDefault="00D150F8" w:rsidP="00D150F8">
      <w:pPr>
        <w:pStyle w:val="a3"/>
        <w:rPr>
          <w:kern w:val="0"/>
        </w:rPr>
      </w:pPr>
      <w:r>
        <w:rPr>
          <w:rFonts w:hint="eastAsia"/>
          <w:kern w:val="0"/>
          <w:szCs w:val="24"/>
        </w:rPr>
        <w:t xml:space="preserve">? </w:t>
      </w:r>
      <w:r>
        <w:rPr>
          <w:kern w:val="0"/>
          <w:szCs w:val="24"/>
        </w:rPr>
        <w:t xml:space="preserve">Chen, Q.H., Yang, Y., He, H.L., Xie, J.F., Cai, S.X., Liu, A.R., Wang, H.L. and Qiu, H.B. (2014), The effect of glutamine therapy on outcomes in critically ill patients: a meta-analysis of randomized controlled trials. </w:t>
      </w:r>
      <w:r>
        <w:rPr>
          <w:i/>
          <w:iCs/>
          <w:kern w:val="0"/>
          <w:szCs w:val="24"/>
        </w:rPr>
        <w:t>Critical Care</w:t>
      </w:r>
      <w:r>
        <w:rPr>
          <w:kern w:val="0"/>
          <w:szCs w:val="24"/>
        </w:rPr>
        <w:t xml:space="preserve">, </w:t>
      </w:r>
      <w:r>
        <w:rPr>
          <w:b/>
          <w:bCs/>
          <w:kern w:val="0"/>
          <w:szCs w:val="24"/>
        </w:rPr>
        <w:t>18</w:t>
      </w:r>
      <w:r>
        <w:rPr>
          <w:kern w:val="0"/>
          <w:szCs w:val="24"/>
        </w:rPr>
        <w:t xml:space="preserve"> (1</w:t>
      </w:r>
      <w:r>
        <w:rPr>
          <w:rFonts w:hint="eastAsia"/>
          <w:kern w:val="0"/>
          <w:szCs w:val="24"/>
        </w:rPr>
        <w:t>)</w:t>
      </w:r>
      <w:r>
        <w:rPr>
          <w:rFonts w:hint="eastAsia"/>
          <w:kern w:val="0"/>
        </w:rPr>
        <w:t xml:space="preserve">, </w:t>
      </w:r>
      <w:r w:rsidRPr="0074333A">
        <w:rPr>
          <w:kern w:val="0"/>
        </w:rPr>
        <w:t xml:space="preserve">Article Number: </w:t>
      </w:r>
      <w:r>
        <w:rPr>
          <w:rFonts w:hint="eastAsia"/>
          <w:kern w:val="0"/>
        </w:rPr>
        <w:t>R8</w:t>
      </w:r>
      <w:r>
        <w:rPr>
          <w:kern w:val="0"/>
        </w:rPr>
        <w:t>.</w:t>
      </w:r>
    </w:p>
    <w:p w:rsidR="00D150F8" w:rsidRDefault="00D150F8" w:rsidP="00D150F8">
      <w:pPr>
        <w:pStyle w:val="a3"/>
        <w:rPr>
          <w:kern w:val="0"/>
          <w:szCs w:val="24"/>
        </w:rPr>
      </w:pPr>
      <w:r>
        <w:rPr>
          <w:rFonts w:hint="eastAsia"/>
          <w:kern w:val="0"/>
          <w:szCs w:val="24"/>
        </w:rPr>
        <w:t xml:space="preserve">Full Text: </w:t>
      </w:r>
      <w:hyperlink r:id="rId1054" w:history="1">
        <w:r w:rsidRPr="00A069CA">
          <w:rPr>
            <w:rStyle w:val="a5"/>
            <w:kern w:val="0"/>
            <w:szCs w:val="24"/>
          </w:rPr>
          <w:t>2014\Cri Car18, R8.pdf</w:t>
        </w:r>
      </w:hyperlink>
    </w:p>
    <w:p w:rsidR="00D150F8" w:rsidRDefault="00D150F8" w:rsidP="00D150F8">
      <w:pPr>
        <w:pStyle w:val="a3"/>
        <w:rPr>
          <w:kern w:val="0"/>
          <w:szCs w:val="24"/>
        </w:rPr>
      </w:pPr>
      <w:r>
        <w:rPr>
          <w:kern w:val="0"/>
          <w:szCs w:val="24"/>
        </w:rPr>
        <w:t xml:space="preserve">Abstract: Introduction: Glutamine supplementation is supposed to reduce mortality and nosocomial infections in critically ill patients. However, the recently published reducing deaths due to oxidative stress (REDOX) trials did not provide evidence supporting this. This study investigated the impact of glutamine-supplemented nutrition on the outcomes of critically ill patients using a meta-analysis. Methods: We searched for and gathered data from the Cochrane Central Register of Controlled </w:t>
      </w:r>
      <w:r>
        <w:rPr>
          <w:kern w:val="0"/>
          <w:szCs w:val="24"/>
        </w:rPr>
        <w:lastRenderedPageBreak/>
        <w:t>Trials, MEDLINE, Elsevier, Web of Science and ClinicalTrials.gov databases reporting the effects of glutamine supplementation on outcomes in critically ill patients. We produced subgroup analyses of the trials according to specific patient populations, modes of nutrition and glutamine dosages. Results: Among 823 related articles, eighteen Randomized Controlled Trials (RCTs) met all inclusion criteria. Mortality events among 3,383 patients were reported in 17 RCTs. Mortality showed no significant difference between glutamine group and control group. In the high dosage subgroup (above 0.5 g/kg/d), the mortality rate in the glutamine group was significantly higher than that of the control group (relative risk (RR) 1.18; 95% confidence interval (CI), 1.02 to 1.38; P = 0.03). In 15 trials, which included a total of 2,862 patients, glutamine supplementation reportedly affected the incidence of nosocomial infections in the critically ill patients observed. The incidence of nosocomial infections in the glutamine group was significantly lower than that of the control group (RR 0.85; 95% CI, 0.74 to 0.97; P = 0.02). In the surgical ICU subgroup, glutamine supplementation statistically reduced the rate of nosocomial infections (RR 0.70; 95% CI, 0.52 to 0.94; P = 0.04). In the parental nutrition subgroup, glutamine supplementation statistically reduced the rate of nosocomial infections (RR 0.83; 95% CI, 0.70 to 0.98; P = 0.03). The length of hospital stay was reported in 14 trials, in which a total of 2,777 patients were enrolled; however, the patient length of stay was not affected by glutamine supplementation. Conclusions: Glutamine supplementation conferred no overall mortality and length of hospital stay benefit in critically ill patients. However, this therapy reduced nosocomial infections among critically ill patients, which differed according to patient populations, modes of nutrition and glutamine dosages.</w:t>
      </w:r>
    </w:p>
    <w:p w:rsidR="00D150F8" w:rsidRDefault="00D150F8" w:rsidP="00D150F8">
      <w:pPr>
        <w:pStyle w:val="a3"/>
        <w:rPr>
          <w:kern w:val="0"/>
          <w:szCs w:val="24"/>
        </w:rPr>
      </w:pPr>
      <w:r>
        <w:rPr>
          <w:kern w:val="0"/>
          <w:szCs w:val="24"/>
        </w:rPr>
        <w:t>Keywords: Analyses, Articles, Confidence, Control, Criteria, Critical Illness, Data, Databases, Double-Blind, Effects, Enteral Nutrition, Events, Evidence, Hospital, Hospital Stay, Icu, Immune-System, Impact, Incidence, Infections, Infectious Morbidity, Intensive-Care-Unit, Interval, Length, Length Of Stay, Medline, Meta Analysis, Meta-Analysis, Metaanalysis, Methods, Mortality, Mortality Rate, Multicenter, Nosocomial Infections, Nutrition, Outcomes, Oxidative Stress, P, Patients, Permeability, Populations, Randomized, Randomized Controlled Trials, Redox, Relative Risk, Reporting, Results, Risk, Science, Stress, Supplemented Parenteral-Nutrition, Therapy, Trauma Patients, Web Of Science</w:t>
      </w:r>
    </w:p>
    <w:p w:rsidR="005B6453" w:rsidRDefault="005B6453" w:rsidP="005B6453">
      <w:pPr>
        <w:pStyle w:val="a3"/>
        <w:rPr>
          <w:kern w:val="0"/>
        </w:rPr>
      </w:pPr>
      <w:r>
        <w:rPr>
          <w:rFonts w:hint="eastAsia"/>
          <w:kern w:val="0"/>
        </w:rPr>
        <w:t xml:space="preserve">? </w:t>
      </w:r>
      <w:r>
        <w:rPr>
          <w:kern w:val="0"/>
        </w:rPr>
        <w:t xml:space="preserve">Ruan, S.Y., Lin, H.H., Huang, C.T., Kuo, P.H., Wu, H.D. and Yu, C.J. (2014), Exploring the heterogeneity of effects of corticosteroids on acute respiratory distress syndrome: A systematic review and meta-analysis. </w:t>
      </w:r>
      <w:r>
        <w:rPr>
          <w:i/>
          <w:iCs/>
          <w:kern w:val="0"/>
        </w:rPr>
        <w:t>Critical Care</w:t>
      </w:r>
      <w:r>
        <w:rPr>
          <w:kern w:val="0"/>
        </w:rPr>
        <w:t xml:space="preserve">, </w:t>
      </w:r>
      <w:r>
        <w:rPr>
          <w:b/>
          <w:bCs/>
          <w:kern w:val="0"/>
        </w:rPr>
        <w:t>18</w:t>
      </w:r>
      <w:r>
        <w:rPr>
          <w:kern w:val="0"/>
        </w:rPr>
        <w:t xml:space="preserve"> (2</w:t>
      </w:r>
      <w:r>
        <w:rPr>
          <w:rFonts w:hint="eastAsia"/>
          <w:kern w:val="0"/>
        </w:rPr>
        <w:t xml:space="preserve">), </w:t>
      </w:r>
      <w:r w:rsidRPr="0074333A">
        <w:rPr>
          <w:kern w:val="0"/>
        </w:rPr>
        <w:t xml:space="preserve">Article Number: </w:t>
      </w:r>
      <w:r>
        <w:rPr>
          <w:rFonts w:hint="eastAsia"/>
          <w:kern w:val="0"/>
        </w:rPr>
        <w:t>R63</w:t>
      </w:r>
      <w:r>
        <w:rPr>
          <w:kern w:val="0"/>
        </w:rPr>
        <w:t>.</w:t>
      </w:r>
    </w:p>
    <w:p w:rsidR="005B6453" w:rsidRDefault="005B6453" w:rsidP="005B6453">
      <w:pPr>
        <w:pStyle w:val="a3"/>
        <w:rPr>
          <w:kern w:val="0"/>
          <w:szCs w:val="24"/>
        </w:rPr>
      </w:pPr>
      <w:r>
        <w:rPr>
          <w:rFonts w:hint="eastAsia"/>
          <w:kern w:val="0"/>
          <w:szCs w:val="24"/>
        </w:rPr>
        <w:t xml:space="preserve">Full Text: </w:t>
      </w:r>
      <w:hyperlink r:id="rId1055" w:history="1">
        <w:r w:rsidRPr="005B6453">
          <w:rPr>
            <w:rStyle w:val="a5"/>
            <w:kern w:val="0"/>
            <w:szCs w:val="24"/>
          </w:rPr>
          <w:t>2014\Cri Car18, R63.pdf</w:t>
        </w:r>
      </w:hyperlink>
    </w:p>
    <w:p w:rsidR="005B6453" w:rsidRDefault="005B6453" w:rsidP="005B6453">
      <w:pPr>
        <w:pStyle w:val="a3"/>
        <w:rPr>
          <w:kern w:val="0"/>
        </w:rPr>
      </w:pPr>
      <w:r>
        <w:rPr>
          <w:kern w:val="0"/>
        </w:rPr>
        <w:t xml:space="preserve">Abstract: Introduction: The effectiveness of corticosteroid therapy on the mortality of </w:t>
      </w:r>
      <w:r>
        <w:rPr>
          <w:kern w:val="0"/>
        </w:rPr>
        <w:lastRenderedPageBreak/>
        <w:t>acute respiratory distress syndrome (ARDS) remains under debate. We aimed to explore the grounds for the inconsistent results in previous studies and update the evidence. Methods: We searched MEDLINE, Cochrane Central Register of Controlled Trials and Web of Science up to December 2013. Eligible studies included randomized clinical trials (RCTs) and cohort studies that reported mortality and that had corticosteroid nonusers for comparison. The effect of corticosteroids on ARDS mortality was assessed by relative risk (RR) and risk difference (RD) for ICU, hospital, and 60-day mortality using a random-effects model. Results: Eight RCTs and 10 cohort studies were included for analysis. In RCTs, corticosteroids had a possible but statistically insignificant effect on ICU mortality (RD, -0.28; 95% confidence interval (CI), -0.53 to -0.03 and RR, 0.55; 95% CI, 0.24 to 1.25) but no effect on 60-day mortality (RD, -0.01; 95% CI, -0.12 to 0.10 and RR, 0.97; 95% CI, 0.75 to 1.26). In cohort studies, corticosteroids had no effect on ICU mortality (RR, 1.05; 95% CI, 0.74 to 1.49) but non-significantly increased 60-day mortality (RR, 1.30; 95% CI, 0.96 to 1.78). In the subgroup analysis by ARDS etiology, corticosteroids significantly increased mortality in influenza-related ARDS (three cohort studies, RR, 2.45, 95% CI, 1.40 to 4.27). Conclusions: The effects of corticosteroids on the mortality of ARDS differed by duration of outcome measures and etiologies. Corticosteroids did not improve longer-term outcomes and may cause harm in certain subgroups. Current data do not support routine use of corticosteroids in ARDS. More clinical trials are needed to specify the favorable and unfavorable subgroups for corticosteroid therapy.</w:t>
      </w:r>
    </w:p>
    <w:p w:rsidR="005B6453" w:rsidRDefault="005B6453" w:rsidP="005B6453">
      <w:pPr>
        <w:pStyle w:val="a3"/>
        <w:rPr>
          <w:kern w:val="0"/>
        </w:rPr>
      </w:pPr>
      <w:r>
        <w:rPr>
          <w:kern w:val="0"/>
        </w:rPr>
        <w:t>Keywords: Acute Lung Injury, Acute Respiratory Distress Syndrome, Analysis, Ards, Clinical, Clinical Trials, Cohort, Comparison, Confidence, Corticosteroids, Data, Distress, Duration, Effectiveness, Effects, Etiology, Evidence, Glucocorticoid Therapy, Heterogeneity, Hospital, Icu, Infection, Inflammation, Influenza, Interval, Measures, Medline, Meta Analysis, Meta-Analysis, Metaanalysis, Methods, Methylprednisolone Infusion, Model, Mortality, Outcome, Outcome Measures, Outcomes, Random Effects Model, Randomized, Randomized Controlled-Trial, Relative Risk, Respiratory Distress Syndrome, Results, Review, Risk, Science, Septic Shock, Steroid-Therapy, Support, Syndrome, Systematic, Systematic Review, Therapy, Web Of Science</w:t>
      </w:r>
    </w:p>
    <w:p w:rsidR="00115317" w:rsidRDefault="00115317" w:rsidP="00115317">
      <w:pPr>
        <w:pStyle w:val="a3"/>
        <w:rPr>
          <w:kern w:val="0"/>
        </w:rPr>
      </w:pPr>
      <w:r>
        <w:rPr>
          <w:rFonts w:hint="eastAsia"/>
          <w:kern w:val="0"/>
        </w:rPr>
        <w:t xml:space="preserve">? </w:t>
      </w:r>
      <w:r>
        <w:rPr>
          <w:kern w:val="0"/>
        </w:rPr>
        <w:t xml:space="preserve">Fitzgerald, M., Millar, J., Blackwood, B., Davies, A., Brett, S.J., McAuley, D.F. and McNamee, J.J. (2014), Extracorporeal carbon dioxide removal for patients with acute respiratory failure secondary to the acute respiratory distress syndrome: A systematic review. </w:t>
      </w:r>
      <w:r>
        <w:rPr>
          <w:i/>
          <w:iCs/>
          <w:kern w:val="0"/>
        </w:rPr>
        <w:t>Critical Care</w:t>
      </w:r>
      <w:r>
        <w:rPr>
          <w:kern w:val="0"/>
        </w:rPr>
        <w:t xml:space="preserve">, </w:t>
      </w:r>
      <w:r>
        <w:rPr>
          <w:b/>
          <w:bCs/>
          <w:kern w:val="0"/>
        </w:rPr>
        <w:t>18</w:t>
      </w:r>
      <w:r>
        <w:rPr>
          <w:kern w:val="0"/>
        </w:rPr>
        <w:t xml:space="preserve"> (3</w:t>
      </w:r>
      <w:r>
        <w:rPr>
          <w:rFonts w:hint="eastAsia"/>
          <w:kern w:val="0"/>
        </w:rPr>
        <w:t xml:space="preserve">), </w:t>
      </w:r>
      <w:r w:rsidRPr="0074333A">
        <w:rPr>
          <w:kern w:val="0"/>
        </w:rPr>
        <w:t xml:space="preserve">Article Number: </w:t>
      </w:r>
      <w:r>
        <w:rPr>
          <w:rFonts w:hint="eastAsia"/>
          <w:kern w:val="0"/>
        </w:rPr>
        <w:t>222</w:t>
      </w:r>
      <w:r>
        <w:rPr>
          <w:kern w:val="0"/>
        </w:rPr>
        <w:t>.</w:t>
      </w:r>
    </w:p>
    <w:p w:rsidR="00115317" w:rsidRDefault="00115317" w:rsidP="00115317">
      <w:pPr>
        <w:pStyle w:val="a3"/>
        <w:rPr>
          <w:kern w:val="0"/>
          <w:szCs w:val="24"/>
        </w:rPr>
      </w:pPr>
      <w:r>
        <w:rPr>
          <w:rFonts w:hint="eastAsia"/>
          <w:kern w:val="0"/>
          <w:szCs w:val="24"/>
        </w:rPr>
        <w:t xml:space="preserve">Full Text: </w:t>
      </w:r>
      <w:r w:rsidRPr="00A97EF0">
        <w:rPr>
          <w:kern w:val="0"/>
          <w:szCs w:val="24"/>
        </w:rPr>
        <w:t xml:space="preserve">2014\Cri Car18, </w:t>
      </w:r>
      <w:r>
        <w:rPr>
          <w:rFonts w:hint="eastAsia"/>
          <w:kern w:val="0"/>
          <w:szCs w:val="24"/>
        </w:rPr>
        <w:t>222</w:t>
      </w:r>
      <w:r w:rsidRPr="00A97EF0">
        <w:rPr>
          <w:kern w:val="0"/>
          <w:szCs w:val="24"/>
        </w:rPr>
        <w:t>.pdf</w:t>
      </w:r>
    </w:p>
    <w:p w:rsidR="00115317" w:rsidRDefault="00115317" w:rsidP="00115317">
      <w:pPr>
        <w:pStyle w:val="a3"/>
        <w:rPr>
          <w:kern w:val="0"/>
        </w:rPr>
      </w:pPr>
      <w:r>
        <w:rPr>
          <w:kern w:val="0"/>
        </w:rPr>
        <w:t xml:space="preserve">Abstract: Acute respiratory distress syndrome (ARDS) continues to have significant mortality and morbidity. The only intervention proven to reduce mortality is the use </w:t>
      </w:r>
      <w:r>
        <w:rPr>
          <w:kern w:val="0"/>
        </w:rPr>
        <w:lastRenderedPageBreak/>
        <w:t>of lung-protective mechanical ventilation strategies, although such a strategy may lead to problematic hypercapnia. Extracorporeal carbon dioxide removal (ECCO2R) devices allow uncoupling of ventilation from oxygenation, thereby removing carbon dioxide and facilitating lower tidal volume ventilation. We performed a systematic review to assess efficacy, complication rates, and utility of ECCO2R devices. We included randomised controlled trials (RCTs), case-control studies and case series with 10 or more patients. We searched MEDLINE, Embase, LILACS (Literatura Latino Americana em Ciencias da Saude), and ISI Web of Science, in addition to grey literature and clinical trials registries. Data were independently extracted by two reviewers against predefined criteria and agreement was reached by consensus. Outcomes of interest included mortality, intensive care and hospital lengths of stay, respiratory parameters and complications. The review included 14 studies with 495 patients (two RCTs and 12 observational studies). Arteriovenous ECCO2R was used in seven studies, and venovenous ECCO2R in seven studies. Available evidence suggests no mortality benefit to ECCO2R, although post hoc analysis of data from the most recent RCT showed an improvement in ventilator-free days in more severe ARDS. Organ failure-free days or ICU stay have not been shown to decrease with ECCO2R. Carbon dioxide removal was widely demonstrated as feasible, facilitating the use of lower tidal volume ventilation. Complication rates varied greatly across the included studies, representing technological advances. There was a general paucity of high-quality data and significant variation in both practice and technology used among studies, which confounded analysis. ECCO2R is a rapidly evolving technology and is an efficacious treatment to enable protective lung ventilation. Evidence for a positive effect on mortality and other important clinical outcomes is lacking. Rapid technological advances have led to major changes in these devices and together with variation in study design have limited applicability of analysis. Further well-designed adequately powered RCTs are needed.</w:t>
      </w:r>
    </w:p>
    <w:p w:rsidR="00115317" w:rsidRDefault="00115317" w:rsidP="00115317">
      <w:pPr>
        <w:pStyle w:val="a3"/>
        <w:rPr>
          <w:kern w:val="0"/>
        </w:rPr>
      </w:pPr>
      <w:r>
        <w:rPr>
          <w:kern w:val="0"/>
        </w:rPr>
        <w:t xml:space="preserve">Keywords: 6 Ml, Kg, Acute Respiratory Distress Syndrome, Advances, Analysis, Ards, Carbon, Carbon Dioxide, Care, Case-Control, Case-Control Studies, Changes, Clinical, Clinical Outcomes, Clinical Trials, Co2 Removal, Complication, Complication Rates, Complications, Consensus, Controlled Clinical-Trial, Criteria, Critically-Ill Patients, Data, Design, Distress, Efficacy, Evidence, Failure, General, Hospital, Icu, Improvement, Injury, Intensive Care, Intervention, Interventional Lung Assist, ISI, ISI Web Of Science, Lead, Literature, Lung, Mechanical Ventilation, Medline, Morbidity, Mortality, Observational, Observational Studies, Outcomes, Oxygenation, Patients, Positive-Pressure Ventilation, Practice, Protective Ventilation, Randomised, Randomised Controlled Trials, Rates, Rct, Recent, Registries, Removal, Respiratory Distress Syndrome, Respiratory Failure, Review, Reviewers, Science, Severe Ards, Strategy, Study Design, Syndrome, Systematic, Systematic Review, </w:t>
      </w:r>
      <w:r>
        <w:rPr>
          <w:kern w:val="0"/>
        </w:rPr>
        <w:lastRenderedPageBreak/>
        <w:t>Technology, Treatment, Utility, Ventilation, Ventilator-Free Days, Volume, Web Of Science</w:t>
      </w:r>
    </w:p>
    <w:p w:rsidR="00115317" w:rsidRDefault="00115317" w:rsidP="00115317">
      <w:pPr>
        <w:pStyle w:val="a3"/>
        <w:rPr>
          <w:kern w:val="0"/>
        </w:rPr>
      </w:pPr>
      <w:r>
        <w:rPr>
          <w:rFonts w:hint="eastAsia"/>
          <w:kern w:val="0"/>
        </w:rPr>
        <w:t xml:space="preserve">? </w:t>
      </w:r>
      <w:r>
        <w:rPr>
          <w:kern w:val="0"/>
        </w:rPr>
        <w:t xml:space="preserve">Hu, S.L., He, H.L., Pan, C., Liu, A.R., Liu, S.Q., Liu, L., Huang, Y.Z., Guo, F.M., Yang, Y. and Qiu, H.B. (2014), The effect of prone positioning on mortality in patients with acute respiratory distress syndrome: A meta-analysis of randomized controlled trials. </w:t>
      </w:r>
      <w:r>
        <w:rPr>
          <w:i/>
          <w:iCs/>
          <w:kern w:val="0"/>
        </w:rPr>
        <w:t>Critical Care</w:t>
      </w:r>
      <w:r>
        <w:rPr>
          <w:kern w:val="0"/>
        </w:rPr>
        <w:t xml:space="preserve">, </w:t>
      </w:r>
      <w:r>
        <w:rPr>
          <w:b/>
          <w:bCs/>
          <w:kern w:val="0"/>
        </w:rPr>
        <w:t>18</w:t>
      </w:r>
      <w:r>
        <w:rPr>
          <w:kern w:val="0"/>
        </w:rPr>
        <w:t xml:space="preserve"> (3</w:t>
      </w:r>
      <w:r>
        <w:rPr>
          <w:rFonts w:hint="eastAsia"/>
          <w:kern w:val="0"/>
        </w:rPr>
        <w:t xml:space="preserve">), </w:t>
      </w:r>
      <w:r w:rsidRPr="0074333A">
        <w:rPr>
          <w:kern w:val="0"/>
        </w:rPr>
        <w:t xml:space="preserve">Article Number: </w:t>
      </w:r>
      <w:r w:rsidRPr="00D661EB">
        <w:rPr>
          <w:kern w:val="0"/>
        </w:rPr>
        <w:t>R109</w:t>
      </w:r>
      <w:r>
        <w:rPr>
          <w:kern w:val="0"/>
        </w:rPr>
        <w:t>.</w:t>
      </w:r>
    </w:p>
    <w:p w:rsidR="00115317" w:rsidRDefault="00115317" w:rsidP="00115317">
      <w:pPr>
        <w:pStyle w:val="a3"/>
        <w:rPr>
          <w:kern w:val="0"/>
          <w:szCs w:val="24"/>
        </w:rPr>
      </w:pPr>
      <w:r>
        <w:rPr>
          <w:rFonts w:hint="eastAsia"/>
          <w:kern w:val="0"/>
          <w:szCs w:val="24"/>
        </w:rPr>
        <w:t xml:space="preserve">Full Text: </w:t>
      </w:r>
      <w:hyperlink r:id="rId1056" w:history="1">
        <w:r w:rsidRPr="00490403">
          <w:rPr>
            <w:rStyle w:val="a5"/>
            <w:kern w:val="0"/>
            <w:szCs w:val="24"/>
          </w:rPr>
          <w:t>2014\Cri Car18, R109.pdf</w:t>
        </w:r>
      </w:hyperlink>
    </w:p>
    <w:p w:rsidR="00115317" w:rsidRDefault="00115317" w:rsidP="00115317">
      <w:pPr>
        <w:pStyle w:val="a3"/>
        <w:rPr>
          <w:kern w:val="0"/>
        </w:rPr>
      </w:pPr>
      <w:r>
        <w:rPr>
          <w:kern w:val="0"/>
        </w:rPr>
        <w:t>Abstract: Introduction: Prone positioning (PP) has been reported to improve the survival of patients with severe acute respiratory distress syndrome (ARDS). However, it is uncertain whether the beneficial effects of PP are associated with positive end-expiratory pressure (PEEP) levels and long durations of PP. In this meta-analysis, we aimed to evaluate whether the effects of PP on mortality could be affected by PEEP level and PP duration and to identify which patients might benefit the most from PP. Methods: Publications describing randomized controlled trials (RCTs) in which investigators have compared prone and supine ventilation were retrieved by searching the following electronic databases: PubMed/MEDLINE, the Cochrane Library, the Web of Science and Elsevier Science (inception to May 2013). Two investigators independently selected RCTs and assessed their quality. The data extracted from the RCTs were combined in a cumulative meta-analysis and analyzed using methods recommended by the Cochrane Collaboration. Results: A total of nine RCTs with an aggregate of 2,242 patients were included. All of the studies received scores of up to three points using the methods recommended by Jadad et al. One trial did not conceal allocation. This meta-analysis revealed that, compared with supine positioning, PP decreased the 28- to 30-day mortality of ARDS patients with a ratio of partial pressure of arterial oxygen/fraction of inspired oxygen &lt;= 100 mmHg (n = 508, risk ratio (RR) = 0.71, 95 confidence interval (CI) = 0.57 to 0.89; P = 0.003). PP was shown to reduce both 60-day mortality (n = 518, RR = 0.82, 95% CI = 0.68 to 0.99; P = 0.04) and 90-day mortality (n = 516, RR = 0.57, 95% CI = 0.43 to 0.75; P &lt; 0.0001) in ARDS patients ventilated with PEEP &gt;= 10 cmH(2)O. Moreover, PP reduced 28- to 30-day mortality when the PP duration was &gt;12 h/day (n = 1,067, RR = 0.73, 95% CI = 0.54 to 0.99; P = 0.04). Conclusions: PP reduced mortality among patients with severe ARDS and patients receiving relatively high PEEP levels. Moreover, long-term PP improved the survival of ARDS patients.</w:t>
      </w:r>
    </w:p>
    <w:p w:rsidR="00115317" w:rsidRDefault="00115317" w:rsidP="00115317">
      <w:pPr>
        <w:pStyle w:val="a3"/>
        <w:rPr>
          <w:kern w:val="0"/>
        </w:rPr>
      </w:pPr>
      <w:r>
        <w:rPr>
          <w:kern w:val="0"/>
        </w:rPr>
        <w:t xml:space="preserve">Keywords: Acute Lung Injury, Acute Respiratory Distress Syndrome, Allocation, Ards, Bias, Cochrane Collaboration, Collaboration, Confidence, Cumulative, Data, Databases, Distress, Duration, Effects, Failure, Interval, Long Term, Long-Term, Meta Analysis, Meta-Analysis, Metaanalysis, Methods, Mortality, Multicenter, Oxygen, Oxygenation, P, Patients, Positioning, Pressure, Publications, Quality, Randomized, Randomized Controlled Trials, Respiratory Distress Syndrome, Results, </w:t>
      </w:r>
      <w:r>
        <w:rPr>
          <w:kern w:val="0"/>
        </w:rPr>
        <w:lastRenderedPageBreak/>
        <w:t>Risk, Science, Survival, Syndrome, Trial, Ventilation, Web Of Science</w:t>
      </w:r>
    </w:p>
    <w:p w:rsidR="00F25A2A" w:rsidRDefault="00F25A2A" w:rsidP="00F25A2A">
      <w:pPr>
        <w:pStyle w:val="a3"/>
        <w:rPr>
          <w:kern w:val="0"/>
        </w:rPr>
      </w:pPr>
      <w:r>
        <w:rPr>
          <w:kern w:val="0"/>
        </w:rPr>
        <w:t xml:space="preserve">? Tie, H.T., Luo, M.Z., Luo, M.J., Zhang, M., Wu, Q.C. and Wan, J.Y. (2014), Sodium bicarbonate in the prevention of cardiac surgery-associated acute kidney injury: A systematic review and meta-analysis. </w:t>
      </w:r>
      <w:r>
        <w:rPr>
          <w:i/>
          <w:iCs/>
          <w:kern w:val="0"/>
        </w:rPr>
        <w:t>Critical Care</w:t>
      </w:r>
      <w:r>
        <w:rPr>
          <w:kern w:val="0"/>
        </w:rPr>
        <w:t xml:space="preserve">, </w:t>
      </w:r>
      <w:r>
        <w:rPr>
          <w:b/>
          <w:bCs/>
          <w:kern w:val="0"/>
        </w:rPr>
        <w:t>18</w:t>
      </w:r>
      <w:r>
        <w:rPr>
          <w:kern w:val="0"/>
        </w:rPr>
        <w:t xml:space="preserve"> (5)</w:t>
      </w:r>
      <w:r>
        <w:rPr>
          <w:rFonts w:hint="eastAsia"/>
          <w:kern w:val="0"/>
        </w:rPr>
        <w:t xml:space="preserve">, </w:t>
      </w:r>
      <w:r w:rsidRPr="0074333A">
        <w:rPr>
          <w:kern w:val="0"/>
        </w:rPr>
        <w:t xml:space="preserve">Article Number: </w:t>
      </w:r>
      <w:r>
        <w:rPr>
          <w:rFonts w:hint="eastAsia"/>
          <w:kern w:val="0"/>
        </w:rPr>
        <w:t>517</w:t>
      </w:r>
      <w:r>
        <w:rPr>
          <w:kern w:val="0"/>
        </w:rPr>
        <w:t>.</w:t>
      </w:r>
    </w:p>
    <w:p w:rsidR="00F25A2A" w:rsidRDefault="00F25A2A" w:rsidP="00F25A2A">
      <w:pPr>
        <w:pStyle w:val="a3"/>
        <w:rPr>
          <w:kern w:val="0"/>
          <w:szCs w:val="24"/>
        </w:rPr>
      </w:pPr>
      <w:r>
        <w:rPr>
          <w:rFonts w:hint="eastAsia"/>
          <w:kern w:val="0"/>
          <w:szCs w:val="24"/>
        </w:rPr>
        <w:t xml:space="preserve">Full Text: </w:t>
      </w:r>
      <w:hyperlink r:id="rId1057" w:history="1">
        <w:r w:rsidRPr="0072083C">
          <w:rPr>
            <w:rStyle w:val="a5"/>
            <w:kern w:val="0"/>
            <w:szCs w:val="24"/>
          </w:rPr>
          <w:t>2014\Cri Car18, 517.pdf</w:t>
        </w:r>
      </w:hyperlink>
    </w:p>
    <w:p w:rsidR="00F25A2A" w:rsidRDefault="00F25A2A" w:rsidP="00F25A2A">
      <w:pPr>
        <w:pStyle w:val="a3"/>
        <w:rPr>
          <w:kern w:val="0"/>
        </w:rPr>
      </w:pPr>
      <w:r>
        <w:rPr>
          <w:kern w:val="0"/>
        </w:rPr>
        <w:t>Abstract: Introduction: Sodium bicarbonate (SBIC) was reported to be a promising approach to prevent cardiac surgery-associated acute kidney injury (CSA-AKI). However, the results remain controversial. We conducted a systematic review and meta-analysis to evaluate the efficacy and safety of SBIC on the prevention of CSA-AKI in adult patients undergoing cardiac surgery. Methods: PubMed, EMbase, Web of science, EBSCO, and Cochrane library databases were systematically searched. Randomized controlled trials (RCTs) assessing the effect of SBIC versus placebo on the prevention of CSA-AKI in adult patients undergoing cardiac surgery were included. Two investigators independently searched articles, extracted data, and assessed the quality of included studies. The primary outcome was the incidence of CSA-AKI. Meta-analysis was performed using random-effects models. Results: Five RCTs involving 1079 patients were included in the meta-analysis. Overall, compared with placebo, SBIC was not associated with a reduced risk of CSA-AKI (relative risk [RR] 0.99; 95% confidence interval [CI] 0.78 to 1.24; P = 0.911). SBIC failed to alter the clinical outcomes of hospital length of stay (weighted mean difference [WMD] 0.23 days; 95% CI -0.88 to 1.33 days; P = 0.688), renal replacement therapy (RR 0.94; 95% CI 0.49 to 1.82; P = 0.861), hospital mortality (RR 1.37; 95% CI 0.46 to 4.13; P = 0.572), postoperative atrial fibrillation (RR 1.02; 95% CI 0.65 to 1.61; P = 0.915). However, SBIC was associated with significant increased risks in longer duration of ventilation (WMD 0.64 hours; 95% CI 0.16 to 1.11 hours; P = 0.008), longer ICU length of stay (WMD 2.06 days; 95% CI 0.54 to 3.58 days; P = 0.008), and increased incidence of alkalemia (RR 2.21; 95% CI 1.42 to 3.42; P &lt; 0.001). Conclusions: SBIC could not reduce the incidence of CSA-AKI. Contrarily, SBIC prolongs the duration of ventilation and ICU length of stay, and increases the risk of alkalemia. Thus, SBIC should not be recommended for the prevention of CSA-AKI and perioperative SBIC infusion should be administrated with caution.</w:t>
      </w:r>
    </w:p>
    <w:p w:rsidR="00F25A2A" w:rsidRDefault="00F25A2A" w:rsidP="00F25A2A">
      <w:pPr>
        <w:pStyle w:val="a3"/>
        <w:rPr>
          <w:kern w:val="0"/>
        </w:rPr>
      </w:pPr>
      <w:r>
        <w:rPr>
          <w:kern w:val="0"/>
        </w:rPr>
        <w:t xml:space="preserve">Keywords: Acute Kidney Injury, Adult, Aki, Approach, Articles, Assessing, Atrial Fibrillation, Cardiac Surgery, Cardiopulmonary Bypass, Clinical, Clinical Outcomes, Cohort, Confidence, Data, Databases, Double-Blind, Duration, Efficacy, Efficacy And Safety, Free-Radicals, Hospital, Icu, Incidence, Infusion, Injury, Interval, Introduction, Kidney, Length, Length Of Stay, Meta Analysis, Meta-Analysis, Metaanalysis, Methods, Models, Mortality, Outcome, Outcomes, P, Patients, Placebo, Postoperative, Prevent, Prevention, Primary, Pubmed, Quality, Quality Of, Randomized, Randomized Controlled Trials, Randomized Controlled-Trial, Relative </w:t>
      </w:r>
      <w:r>
        <w:rPr>
          <w:kern w:val="0"/>
        </w:rPr>
        <w:lastRenderedPageBreak/>
        <w:t>Risk, Renal, Renal Replacement Therapy, Renal-Function, Replacement Therapy, Results, Review, Risk, Risks, Safety, Science, Sodium, Surgery, Systematic, Systematic Review, Therapy, Ventilation, Web, Web Of Science</w:t>
      </w:r>
    </w:p>
    <w:p w:rsidR="003D3D2A" w:rsidRDefault="003D3D2A" w:rsidP="003D3D2A">
      <w:pPr>
        <w:pStyle w:val="a3"/>
        <w:rPr>
          <w:kern w:val="0"/>
        </w:rPr>
      </w:pPr>
      <w:r>
        <w:rPr>
          <w:rFonts w:hint="eastAsia"/>
          <w:kern w:val="0"/>
        </w:rPr>
        <w:t xml:space="preserve">? </w:t>
      </w:r>
      <w:r>
        <w:rPr>
          <w:kern w:val="0"/>
        </w:rPr>
        <w:t xml:space="preserve">Wang, C.S., Guo, L.B., Chi, C.J., Wang, X.Y., Guo, L., Wang, W.W., Zhao, N.N., Wang, Y.B., Zhang, Z.D. and Li, E.Y. (2015), Mechanical ventilation modes for respiratory distress syndrome in infants: A systematic review and network meta-analysis. </w:t>
      </w:r>
      <w:r>
        <w:rPr>
          <w:i/>
          <w:iCs/>
          <w:kern w:val="0"/>
        </w:rPr>
        <w:t>Critical Care</w:t>
      </w:r>
      <w:r>
        <w:rPr>
          <w:kern w:val="0"/>
        </w:rPr>
        <w:t xml:space="preserve">, </w:t>
      </w:r>
      <w:r>
        <w:rPr>
          <w:b/>
          <w:bCs/>
          <w:kern w:val="0"/>
        </w:rPr>
        <w:t>19</w:t>
      </w:r>
      <w:r>
        <w:rPr>
          <w:rFonts w:hint="eastAsia"/>
          <w:kern w:val="0"/>
        </w:rPr>
        <w:t xml:space="preserve">, </w:t>
      </w:r>
      <w:r w:rsidRPr="0074333A">
        <w:rPr>
          <w:kern w:val="0"/>
        </w:rPr>
        <w:t xml:space="preserve">Article Number: </w:t>
      </w:r>
      <w:r>
        <w:rPr>
          <w:rFonts w:hint="eastAsia"/>
          <w:kern w:val="0"/>
        </w:rPr>
        <w:t>108</w:t>
      </w:r>
      <w:r>
        <w:rPr>
          <w:kern w:val="0"/>
        </w:rPr>
        <w:t>.</w:t>
      </w:r>
    </w:p>
    <w:p w:rsidR="003D3D2A" w:rsidRDefault="003D3D2A" w:rsidP="003D3D2A">
      <w:pPr>
        <w:pStyle w:val="a3"/>
        <w:rPr>
          <w:kern w:val="0"/>
          <w:szCs w:val="24"/>
        </w:rPr>
      </w:pPr>
      <w:r>
        <w:rPr>
          <w:rFonts w:hint="eastAsia"/>
          <w:kern w:val="0"/>
          <w:szCs w:val="24"/>
        </w:rPr>
        <w:t xml:space="preserve">Full Text: </w:t>
      </w:r>
      <w:hyperlink r:id="rId1058" w:history="1">
        <w:r w:rsidRPr="00B47223">
          <w:rPr>
            <w:rStyle w:val="a5"/>
            <w:kern w:val="0"/>
            <w:szCs w:val="24"/>
          </w:rPr>
          <w:t>2015\Cri Car19, 108.pdf</w:t>
        </w:r>
      </w:hyperlink>
    </w:p>
    <w:p w:rsidR="003D3D2A" w:rsidRDefault="003D3D2A" w:rsidP="003D3D2A">
      <w:pPr>
        <w:pStyle w:val="a3"/>
        <w:rPr>
          <w:kern w:val="0"/>
        </w:rPr>
      </w:pPr>
      <w:r>
        <w:rPr>
          <w:kern w:val="0"/>
        </w:rPr>
        <w:t>Abstract: Introduction: The effects of different mechanical ventilation (MV) modes on mortality outcome in infants with respiratory distress syndrome (RDS) are not well known. Methods: We searched the Cochrane Central Register of Controlled Trials (CENTRAL) in the Cochrane Library, EMBASE, MEDLINE, CINAHL, and Web of Science for studies published through April 2014 that assessed mortality in infants with RDS given different MV modes. We assessed studies for eligibility, extracted data, and subsequently pooled the data. A Bayesian fixed-effects model was used to combine direct comparisons with indirect evidence. We also performed sensitivity analyses and rankings of the competing treatment modes. Results: In total, 20 randomized controlled trials were included for the network meta-analysis, which consisted of 2,832 patients who received one of 16 ventilation modes. Compared with synchronized intermittent mandatory ventilation (SIMV) + pressure support ventilation (PSV), time-cycled pressure-limited ventilation (TCPL) (hazard ratio (HR) 0.290; 95% confidence interval (CI) 0.071 to 0.972), high-frequency oscillatory ventilation (HFOV) (HR 0.294; 95% CI 0.080 to 0.852), SIMV + volume-guarantee (VG) (HR 0.122; 95% CI 0.014 to 0.858), and volume-controlled (V-C) (HR 0.139; 95% CI 0.024 to 0.677) ventilation modes are associated with lower mortality. The combined results of available ventilation modes were not significantly different in regard to the incidences of patent ductus arteriosus and intraventricular hemorrhage. Conclusion: Compared with the SIMV + PSV ventilation mode, the TCPL, HFOV, SIMV + VG, and V-C ventilation modes are associated with lower mortality.</w:t>
      </w:r>
    </w:p>
    <w:p w:rsidR="003D3D2A" w:rsidRDefault="003D3D2A" w:rsidP="003D3D2A">
      <w:pPr>
        <w:pStyle w:val="a3"/>
        <w:rPr>
          <w:kern w:val="0"/>
        </w:rPr>
      </w:pPr>
      <w:r>
        <w:rPr>
          <w:kern w:val="0"/>
        </w:rPr>
        <w:t xml:space="preserve">Keywords: Analyses, Confidence, Data, Distress, Ductus Arteriosus, Effects, Embase, European Consensus Guidelines, Evidence, Fixed Effects Model, Frequency Oscillatory Ventilation, Hazard, Hazard Ratio, Hemorrhage, Hyaline-Membrane Disease, Infants, Intermittent Mandatory Ventilation, Interval, Intraventricular Hemorrhage, Introduction, Jet Ventilation, Library, Mandatory, Mar, Mechanical Ventilation, Medline, Meta Analysis, Meta-Analysis, Metaanalysis, Methods, Mode, Model, Mortality, Network, Outcome, Patent, Patent Ductus Arteriosus, Patients, Pressure, Pressure Support, Preterm Infants, Randomized, Randomized Controlled Trials, Randomized Controlled-Trial, Rankings, Rds, Respiratory Distress Syndrome, Results, Review, Science, Sensitivity, Support, Synchronized Ventilation, Syndrome, </w:t>
      </w:r>
      <w:r>
        <w:rPr>
          <w:kern w:val="0"/>
        </w:rPr>
        <w:lastRenderedPageBreak/>
        <w:t>Systematic, Systematic Review, Treatment, Ventilation, Volume Guarantee, Web, Web Of Science</w:t>
      </w:r>
    </w:p>
    <w:p w:rsidR="003474F2" w:rsidRPr="001A3D2B" w:rsidRDefault="003474F2" w:rsidP="003474F2">
      <w:pPr>
        <w:pStyle w:val="1"/>
      </w:pPr>
      <w:r w:rsidRPr="001A3D2B">
        <w:br w:type="page"/>
      </w:r>
      <w:bookmarkStart w:id="419" w:name="_Toc420815127"/>
      <w:r w:rsidRPr="001A3D2B">
        <w:lastRenderedPageBreak/>
        <w:t>Title: Critical Care Medicine</w:t>
      </w:r>
      <w:bookmarkEnd w:id="419"/>
    </w:p>
    <w:p w:rsidR="003474F2" w:rsidRPr="001A3D2B" w:rsidRDefault="003474F2" w:rsidP="003474F2">
      <w:pPr>
        <w:pStyle w:val="12"/>
      </w:pPr>
      <w:r w:rsidRPr="001A3D2B">
        <w:t xml:space="preserve">Full Journal Title: </w:t>
      </w:r>
      <w:r w:rsidR="00DF61FE">
        <w:fldChar w:fldCharType="begin"/>
      </w:r>
      <w:r w:rsidR="00FD158B">
        <w:instrText>HYPERLINK "http://www.ccmjo</w:instrText>
      </w:r>
      <w:bookmarkStart w:id="420" w:name="_Toc81215686"/>
      <w:r w:rsidR="00FD158B">
        <w:instrText>urnal.com/pt/re/ccm/issuelist</w:instrText>
      </w:r>
      <w:bookmarkEnd w:id="420"/>
      <w:r w:rsidR="00FD158B">
        <w:instrText>.htm;jsessionid=Lz2GK7xk7pbLD2qgYMK4x2TVJTnhnn111r2KSJjPJXvFFvdx1KQT!-966548442!181195628!8091!-1"</w:instrText>
      </w:r>
      <w:r w:rsidR="00DF61FE">
        <w:fldChar w:fldCharType="separate"/>
      </w:r>
      <w:r w:rsidRPr="001A3D2B">
        <w:rPr>
          <w:rStyle w:val="a5"/>
        </w:rPr>
        <w:t>Critical Care Medicine</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0090-3493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 0.276, / (2000)</w:t>
      </w:r>
    </w:p>
    <w:p w:rsidR="003474F2" w:rsidRPr="001A3D2B" w:rsidRDefault="003474F2" w:rsidP="003474F2">
      <w:pPr>
        <w:pStyle w:val="a3"/>
      </w:pPr>
      <w:r w:rsidRPr="001A3D2B">
        <w:t>? Cronin, L., Cook, D.J., Carlet, J., Heyland, D.K., King, D., Lansang, M.A.D.</w:t>
      </w:r>
      <w:r w:rsidR="005853A9">
        <w:t xml:space="preserve"> and </w:t>
      </w:r>
      <w:r w:rsidRPr="001A3D2B">
        <w:t>Fisher, C.J. (1995), Corticosteroid treatment for sepsis: A critical-appraisal</w:t>
      </w:r>
      <w:r w:rsidR="005853A9">
        <w:t xml:space="preserve"> and </w:t>
      </w:r>
      <w:r w:rsidRPr="001A3D2B">
        <w:t>metaanalysis</w:t>
      </w:r>
      <w:r w:rsidR="00427468">
        <w:t xml:space="preserve"> of </w:t>
      </w:r>
      <w:r w:rsidR="003A1917">
        <w:t xml:space="preserve">the </w:t>
      </w:r>
      <w:r w:rsidRPr="001A3D2B">
        <w:t xml:space="preserve">literature. </w:t>
      </w:r>
      <w:r w:rsidRPr="001A3D2B">
        <w:rPr>
          <w:i/>
          <w:iCs/>
        </w:rPr>
        <w:t>Critical Care Medicine</w:t>
      </w:r>
      <w:r w:rsidRPr="001A3D2B">
        <w:t xml:space="preserve">, </w:t>
      </w:r>
      <w:r w:rsidRPr="001A3D2B">
        <w:rPr>
          <w:b/>
        </w:rPr>
        <w:t>23</w:t>
      </w:r>
      <w:r w:rsidRPr="001A3D2B">
        <w:t xml:space="preserve"> (8), 1430-1439.</w:t>
      </w:r>
    </w:p>
    <w:p w:rsidR="003474F2" w:rsidRPr="001A3D2B" w:rsidRDefault="003474F2" w:rsidP="003474F2">
      <w:pPr>
        <w:pStyle w:val="a3"/>
      </w:pPr>
      <w:r w:rsidRPr="001A3D2B">
        <w:t xml:space="preserve">Full Text: </w:t>
      </w:r>
      <w:hyperlink r:id="rId1059" w:history="1">
        <w:r w:rsidRPr="001A3D2B">
          <w:rPr>
            <w:rStyle w:val="a5"/>
          </w:rPr>
          <w:t>1995\Cri Car Med23, 1430.pdf</w:t>
        </w:r>
      </w:hyperlink>
    </w:p>
    <w:p w:rsidR="003474F2" w:rsidRPr="001A3D2B" w:rsidRDefault="003474F2" w:rsidP="003474F2">
      <w:pPr>
        <w:pStyle w:val="a3"/>
      </w:pPr>
      <w:r w:rsidRPr="001A3D2B">
        <w:t>Abstract: Objective: To determine</w:t>
      </w:r>
      <w:r w:rsidR="003A1917">
        <w:t xml:space="preserve"> the </w:t>
      </w:r>
      <w:r w:rsidRPr="001A3D2B">
        <w:t>effect</w:t>
      </w:r>
      <w:r w:rsidR="00427468">
        <w:t xml:space="preserve"> of </w:t>
      </w:r>
      <w:r w:rsidRPr="001A3D2B">
        <w:t>corticosteroid therapy on morbidity</w:t>
      </w:r>
      <w:r w:rsidR="005853A9">
        <w:t xml:space="preserve"> and </w:t>
      </w:r>
      <w:r w:rsidRPr="001A3D2B">
        <w:t>mortality in patients with sepsis.</w:t>
      </w:r>
    </w:p>
    <w:p w:rsidR="003474F2" w:rsidRPr="001A3D2B" w:rsidRDefault="003474F2" w:rsidP="003474F2">
      <w:pPr>
        <w:pStyle w:val="a3"/>
      </w:pPr>
      <w:r w:rsidRPr="001A3D2B">
        <w:t>Data Sources: We searched for published</w:t>
      </w:r>
      <w:r w:rsidR="005853A9">
        <w:t xml:space="preserve"> and </w:t>
      </w:r>
      <w:r w:rsidRPr="001A3D2B">
        <w:t xml:space="preserve">unpublished research using </w:t>
      </w:r>
      <w:r w:rsidR="00D5664A">
        <w:t>MEDLINE</w:t>
      </w:r>
      <w:r w:rsidRPr="001A3D2B">
        <w:t>, EMBASE,</w:t>
      </w:r>
      <w:r w:rsidR="005853A9">
        <w:t xml:space="preserve"> and </w:t>
      </w:r>
      <w:r w:rsidR="003A1917">
        <w:t xml:space="preserve">the </w:t>
      </w:r>
      <w:r w:rsidRPr="001A3D2B">
        <w:t>Science Citation Index, manual searching</w:t>
      </w:r>
      <w:r w:rsidR="00427468">
        <w:t xml:space="preserve"> of </w:t>
      </w:r>
      <w:r w:rsidRPr="001A3D2B">
        <w:t>Index Medicus, citation review</w:t>
      </w:r>
      <w:r w:rsidR="00427468">
        <w:t xml:space="preserve"> of </w:t>
      </w:r>
      <w:r w:rsidRPr="001A3D2B">
        <w:t>relevant primary</w:t>
      </w:r>
      <w:r w:rsidR="005853A9">
        <w:t xml:space="preserve"> and </w:t>
      </w:r>
      <w:r w:rsidRPr="001A3D2B">
        <w:t>review articles, personal files,</w:t>
      </w:r>
      <w:r w:rsidR="005853A9">
        <w:t xml:space="preserve"> and </w:t>
      </w:r>
      <w:r w:rsidRPr="001A3D2B">
        <w:t>contact with primary investigators.</w:t>
      </w:r>
    </w:p>
    <w:p w:rsidR="003474F2" w:rsidRPr="001A3D2B" w:rsidRDefault="003474F2" w:rsidP="003474F2">
      <w:pPr>
        <w:pStyle w:val="a3"/>
      </w:pPr>
      <w:r w:rsidRPr="001A3D2B">
        <w:t>Study Selection: From a pool</w:t>
      </w:r>
      <w:r w:rsidR="00427468">
        <w:t xml:space="preserve"> of </w:t>
      </w:r>
      <w:r w:rsidRPr="001A3D2B">
        <w:t>124 potentially relevant articles, duplicate independent review identified nine relevant, randomized, controlled trials</w:t>
      </w:r>
      <w:r w:rsidR="00427468">
        <w:t xml:space="preserve"> of </w:t>
      </w:r>
      <w:r w:rsidRPr="001A3D2B">
        <w:t>corticosteroid therapy in sepsis</w:t>
      </w:r>
      <w:r w:rsidR="005853A9">
        <w:t xml:space="preserve"> and </w:t>
      </w:r>
      <w:r w:rsidRPr="001A3D2B">
        <w:t>septic shock among critically ill adults.</w:t>
      </w:r>
    </w:p>
    <w:p w:rsidR="003474F2" w:rsidRPr="001A3D2B" w:rsidRDefault="003474F2" w:rsidP="003474F2">
      <w:pPr>
        <w:pStyle w:val="a3"/>
      </w:pPr>
      <w:r w:rsidRPr="001A3D2B">
        <w:t>Data Extraction: In duplicate, independently, we abstracted key data on population, intervention, outcome,</w:t>
      </w:r>
      <w:r w:rsidR="005853A9">
        <w:t xml:space="preserve"> and </w:t>
      </w:r>
      <w:r w:rsidRPr="001A3D2B">
        <w:t>methodologic quality</w:t>
      </w:r>
      <w:r w:rsidR="00427468">
        <w:t xml:space="preserve"> of </w:t>
      </w:r>
      <w:r w:rsidR="003A1917">
        <w:t xml:space="preserve">the </w:t>
      </w:r>
      <w:r w:rsidRPr="001A3D2B">
        <w:t>randomized controlled trials.</w:t>
      </w:r>
    </w:p>
    <w:p w:rsidR="003474F2" w:rsidRPr="001A3D2B" w:rsidRDefault="003474F2" w:rsidP="003474F2">
      <w:pPr>
        <w:pStyle w:val="a3"/>
      </w:pPr>
      <w:r w:rsidRPr="001A3D2B">
        <w:t>Data Synthesis: Corticosteroids appear to increase mortality in patients with overwhelming infection (relative risk 1.13, 95% confidence interval 0.99 to 1.29),</w:t>
      </w:r>
      <w:r w:rsidR="005853A9">
        <w:t xml:space="preserve"> and </w:t>
      </w:r>
      <w:r w:rsidRPr="001A3D2B">
        <w:t>have no beneficial effect in</w:t>
      </w:r>
      <w:r w:rsidR="003A1917">
        <w:t xml:space="preserve"> the </w:t>
      </w:r>
      <w:r w:rsidRPr="001A3D2B">
        <w:t>subgroup</w:t>
      </w:r>
      <w:r w:rsidR="00427468">
        <w:t xml:space="preserve"> of </w:t>
      </w:r>
      <w:r w:rsidRPr="001A3D2B">
        <w:t>patients with septic shock (relative risk 1.07, 95% confidence interval 0.91 to 1.26). Studies with</w:t>
      </w:r>
      <w:r w:rsidR="003A1917">
        <w:t xml:space="preserve"> the </w:t>
      </w:r>
      <w:r w:rsidRPr="001A3D2B">
        <w:t xml:space="preserve">highest methodologic quality scores also suggest a trend toward increased mortality overall (relative risk 1.10, 95% confidence interval 0.94 to 1.29). A similar trend was observed for patients with septic shock (relative risk 1.12, 95% confidence interval 0.95 to 1.32). No difference in secondary infection rates was demonstrated in corticosteroid-treated patients with sepsis or septic shock. However, there was a trend toward increased mortality from secondary infections in patients receiving </w:t>
      </w:r>
      <w:r w:rsidRPr="001A3D2B">
        <w:lastRenderedPageBreak/>
        <w:t>corticosteroids (relative risk 1.70, 95% confidence interval 0.70 to 4.12)</w:t>
      </w:r>
      <w:r w:rsidR="00A37C1D">
        <w:t>. The</w:t>
      </w:r>
      <w:r w:rsidR="003A1917">
        <w:t xml:space="preserve"> </w:t>
      </w:r>
      <w:r w:rsidRPr="001A3D2B">
        <w:t>occurrence rate</w:t>
      </w:r>
      <w:r w:rsidR="00427468">
        <w:t xml:space="preserve"> of </w:t>
      </w:r>
      <w:r w:rsidRPr="001A3D2B">
        <w:t>gastrointestinal bleeding was increased slightly in</w:t>
      </w:r>
      <w:r w:rsidR="003A1917">
        <w:t xml:space="preserve"> the </w:t>
      </w:r>
      <w:r w:rsidRPr="001A3D2B">
        <w:t>treatment group (relative risk 1.17, 95% confidence interval 0.79 to 1.73).</w:t>
      </w:r>
    </w:p>
    <w:p w:rsidR="003474F2" w:rsidRPr="001A3D2B" w:rsidRDefault="003474F2" w:rsidP="003474F2">
      <w:pPr>
        <w:pStyle w:val="a3"/>
      </w:pPr>
      <w:r w:rsidRPr="001A3D2B">
        <w:t>Conclusions: Current evidence provides no support for</w:t>
      </w:r>
      <w:r w:rsidR="003A1917">
        <w:t xml:space="preserve"> the </w:t>
      </w:r>
      <w:r w:rsidRPr="001A3D2B">
        <w:t>use</w:t>
      </w:r>
      <w:r w:rsidR="00427468">
        <w:t xml:space="preserve"> of </w:t>
      </w:r>
      <w:r w:rsidRPr="001A3D2B">
        <w:t>corticosteroids in patients with sepsis or septic shock,</w:t>
      </w:r>
      <w:r w:rsidR="005853A9">
        <w:t xml:space="preserve"> and </w:t>
      </w:r>
      <w:r w:rsidRPr="001A3D2B">
        <w:t>suggests that their use may be harmful</w:t>
      </w:r>
      <w:r w:rsidR="00A37C1D">
        <w:t>. The</w:t>
      </w:r>
      <w:r w:rsidRPr="001A3D2B">
        <w:t>se trials underscore</w:t>
      </w:r>
      <w:r w:rsidR="003A1917">
        <w:t xml:space="preserve"> the </w:t>
      </w:r>
      <w:r w:rsidRPr="001A3D2B">
        <w:t>need for future methodologically rigorous trials evaluating new immune-modulating therapies in well-defined critically ill patients with overwhelming infection.</w:t>
      </w:r>
    </w:p>
    <w:p w:rsidR="003474F2" w:rsidRPr="001A3D2B" w:rsidRDefault="003474F2" w:rsidP="003474F2">
      <w:pPr>
        <w:pStyle w:val="a3"/>
      </w:pPr>
      <w:r w:rsidRPr="001A3D2B">
        <w:t>Keywords: Corticosteroids, Steroids, Sepsis, Septic Shock, Bacterial Infection, Critical Illness, Antiinflammatory Agents, Respiratory-Distress Syndrome, High-Dose Methylprednisolone, Controlled Clinical-Trial, Gram-Negative Sepsis, Septic Shock, Double-Blind, Monoclonal-Antibody, Bacterial-Infections, Endotoxin, Steroids</w:t>
      </w:r>
    </w:p>
    <w:p w:rsidR="003474F2" w:rsidRPr="001A3D2B" w:rsidRDefault="003474F2" w:rsidP="003474F2">
      <w:pPr>
        <w:pStyle w:val="a3"/>
      </w:pPr>
      <w:r w:rsidRPr="001A3D2B">
        <w:t xml:space="preserve">? Parrillo, J.E. (2005), Our Journal, </w:t>
      </w:r>
      <w:r w:rsidRPr="001A3D2B">
        <w:rPr>
          <w:i/>
          <w:iCs/>
        </w:rPr>
        <w:t>Critical Care Medicine</w:t>
      </w:r>
      <w:r w:rsidRPr="001A3D2B">
        <w:t>, in 2005: High impact factor, rapid manuscript review, growing submissions,</w:t>
      </w:r>
      <w:r w:rsidR="005853A9">
        <w:t xml:space="preserve"> and </w:t>
      </w:r>
      <w:r w:rsidRPr="001A3D2B">
        <w:t xml:space="preserve">widespread distribution. </w:t>
      </w:r>
      <w:r w:rsidRPr="001A3D2B">
        <w:rPr>
          <w:i/>
        </w:rPr>
        <w:t>Critical Care Medicine</w:t>
      </w:r>
      <w:r w:rsidRPr="001A3D2B">
        <w:t xml:space="preserve">, </w:t>
      </w:r>
      <w:r w:rsidRPr="001A3D2B">
        <w:rPr>
          <w:b/>
          <w:bCs/>
        </w:rPr>
        <w:t>33</w:t>
      </w:r>
      <w:r w:rsidRPr="001A3D2B">
        <w:t xml:space="preserve"> (5), 923-924.</w:t>
      </w:r>
    </w:p>
    <w:p w:rsidR="003474F2" w:rsidRPr="001A3D2B" w:rsidRDefault="003474F2" w:rsidP="003474F2">
      <w:pPr>
        <w:pStyle w:val="a3"/>
      </w:pPr>
      <w:r w:rsidRPr="001A3D2B">
        <w:t xml:space="preserve">Full Text: </w:t>
      </w:r>
      <w:hyperlink r:id="rId1060" w:history="1">
        <w:r w:rsidRPr="001A3D2B">
          <w:rPr>
            <w:rStyle w:val="a5"/>
          </w:rPr>
          <w:t>2005\Cri Car Med33, 923.pdf</w:t>
        </w:r>
      </w:hyperlink>
    </w:p>
    <w:p w:rsidR="003474F2" w:rsidRPr="001A3D2B" w:rsidRDefault="003474F2" w:rsidP="003474F2">
      <w:pPr>
        <w:pStyle w:val="a3"/>
      </w:pPr>
      <w:r w:rsidRPr="001A3D2B">
        <w:t>Keywords: Distribution, Impact, Impact Factor, Review</w:t>
      </w:r>
    </w:p>
    <w:p w:rsidR="00B8706F" w:rsidRDefault="00B8706F" w:rsidP="00B8706F">
      <w:pPr>
        <w:pStyle w:val="a3"/>
        <w:rPr>
          <w:kern w:val="0"/>
        </w:rPr>
      </w:pPr>
      <w:r>
        <w:rPr>
          <w:rFonts w:hint="eastAsia"/>
          <w:kern w:val="0"/>
        </w:rPr>
        <w:t xml:space="preserve">? </w:t>
      </w:r>
      <w:r>
        <w:rPr>
          <w:kern w:val="0"/>
        </w:rPr>
        <w:t>De-Souza, D.A.</w:t>
      </w:r>
      <w:r w:rsidR="005853A9">
        <w:rPr>
          <w:kern w:val="0"/>
        </w:rPr>
        <w:t xml:space="preserve"> and </w:t>
      </w:r>
      <w:r>
        <w:rPr>
          <w:kern w:val="0"/>
        </w:rPr>
        <w:t>Greene, L.J. (2005), Intestinal permeability</w:t>
      </w:r>
      <w:r w:rsidR="005853A9">
        <w:rPr>
          <w:kern w:val="0"/>
        </w:rPr>
        <w:t xml:space="preserve"> and </w:t>
      </w:r>
      <w:r>
        <w:rPr>
          <w:kern w:val="0"/>
        </w:rPr>
        <w:t>systemic infections in critically ill patients: Effect</w:t>
      </w:r>
      <w:r w:rsidR="00427468">
        <w:rPr>
          <w:kern w:val="0"/>
        </w:rPr>
        <w:t xml:space="preserve"> of </w:t>
      </w:r>
      <w:r>
        <w:rPr>
          <w:kern w:val="0"/>
        </w:rPr>
        <w:t xml:space="preserve">glutamine. </w:t>
      </w:r>
      <w:r>
        <w:rPr>
          <w:i/>
          <w:iCs/>
          <w:kern w:val="0"/>
        </w:rPr>
        <w:t>Critical Care Medicine</w:t>
      </w:r>
      <w:r>
        <w:rPr>
          <w:kern w:val="0"/>
        </w:rPr>
        <w:t xml:space="preserve">, </w:t>
      </w:r>
      <w:r>
        <w:rPr>
          <w:b/>
          <w:bCs/>
          <w:kern w:val="0"/>
        </w:rPr>
        <w:t>33</w:t>
      </w:r>
      <w:r>
        <w:rPr>
          <w:kern w:val="0"/>
        </w:rPr>
        <w:t xml:space="preserve"> (5), 1125-1135.</w:t>
      </w:r>
    </w:p>
    <w:p w:rsidR="00B8706F" w:rsidRPr="001A3D2B" w:rsidRDefault="00B8706F" w:rsidP="00B8706F">
      <w:pPr>
        <w:pStyle w:val="a3"/>
      </w:pPr>
      <w:r w:rsidRPr="001A3D2B">
        <w:t xml:space="preserve">Full Text: </w:t>
      </w:r>
      <w:hyperlink r:id="rId1061" w:history="1">
        <w:r w:rsidR="00E42BB3" w:rsidRPr="00E42BB3">
          <w:rPr>
            <w:rStyle w:val="a5"/>
          </w:rPr>
          <w:t>2005\Cri Car Med33, 1125.pdf</w:t>
        </w:r>
      </w:hyperlink>
    </w:p>
    <w:p w:rsidR="00B8706F" w:rsidRDefault="00B8706F" w:rsidP="00B8706F">
      <w:pPr>
        <w:pStyle w:val="a3"/>
        <w:rPr>
          <w:kern w:val="0"/>
        </w:rPr>
      </w:pPr>
      <w:r>
        <w:rPr>
          <w:kern w:val="0"/>
        </w:rPr>
        <w:t>Abstract: Objective: This article provides a critical review</w:t>
      </w:r>
      <w:r w:rsidR="00427468">
        <w:rPr>
          <w:kern w:val="0"/>
        </w:rPr>
        <w:t xml:space="preserve"> of </w:t>
      </w:r>
      <w:r w:rsidR="003A1917">
        <w:rPr>
          <w:kern w:val="0"/>
        </w:rPr>
        <w:t xml:space="preserve">the </w:t>
      </w:r>
      <w:r>
        <w:rPr>
          <w:kern w:val="0"/>
        </w:rPr>
        <w:t>evidence indicating that an increase in intestinal permeability is associated with</w:t>
      </w:r>
      <w:r w:rsidR="003A1917">
        <w:rPr>
          <w:kern w:val="0"/>
        </w:rPr>
        <w:t xml:space="preserve"> the </w:t>
      </w:r>
      <w:r>
        <w:rPr>
          <w:kern w:val="0"/>
        </w:rPr>
        <w:t>installation</w:t>
      </w:r>
      <w:r w:rsidR="00427468">
        <w:rPr>
          <w:kern w:val="0"/>
        </w:rPr>
        <w:t xml:space="preserve"> of </w:t>
      </w:r>
      <w:r>
        <w:rPr>
          <w:kern w:val="0"/>
        </w:rPr>
        <w:t>bacteremia, sepsis,</w:t>
      </w:r>
      <w:r w:rsidR="005853A9">
        <w:rPr>
          <w:kern w:val="0"/>
        </w:rPr>
        <w:t xml:space="preserve"> and </w:t>
      </w:r>
      <w:r w:rsidR="003A1917">
        <w:rPr>
          <w:kern w:val="0"/>
        </w:rPr>
        <w:t xml:space="preserve">the </w:t>
      </w:r>
      <w:r>
        <w:rPr>
          <w:kern w:val="0"/>
        </w:rPr>
        <w:t>multiple organ failure syndrome</w:t>
      </w:r>
      <w:r w:rsidR="005853A9">
        <w:rPr>
          <w:kern w:val="0"/>
        </w:rPr>
        <w:t xml:space="preserve"> and </w:t>
      </w:r>
      <w:r>
        <w:rPr>
          <w:kern w:val="0"/>
        </w:rPr>
        <w:t>that glutamine in pharmacologic doses reduces</w:t>
      </w:r>
      <w:r w:rsidR="003A1917">
        <w:rPr>
          <w:kern w:val="0"/>
        </w:rPr>
        <w:t xml:space="preserve"> the </w:t>
      </w:r>
      <w:r>
        <w:rPr>
          <w:kern w:val="0"/>
        </w:rPr>
        <w:t>acute increase</w:t>
      </w:r>
      <w:r w:rsidR="00427468">
        <w:rPr>
          <w:kern w:val="0"/>
        </w:rPr>
        <w:t xml:space="preserve"> of </w:t>
      </w:r>
      <w:r>
        <w:rPr>
          <w:kern w:val="0"/>
        </w:rPr>
        <w:t>intestinal permeability</w:t>
      </w:r>
      <w:r w:rsidR="005853A9">
        <w:rPr>
          <w:kern w:val="0"/>
        </w:rPr>
        <w:t xml:space="preserve"> and </w:t>
      </w:r>
      <w:r w:rsidR="003A1917">
        <w:rPr>
          <w:kern w:val="0"/>
        </w:rPr>
        <w:t xml:space="preserve">the </w:t>
      </w:r>
      <w:r>
        <w:rPr>
          <w:kern w:val="0"/>
        </w:rPr>
        <w:t>infection frequency in critically ill patients. Data Source. All studies published until December 2004 about intestinal permeability, bacterial translocation,</w:t>
      </w:r>
      <w:r w:rsidR="005853A9">
        <w:rPr>
          <w:kern w:val="0"/>
        </w:rPr>
        <w:t xml:space="preserve"> and </w:t>
      </w:r>
      <w:r>
        <w:rPr>
          <w:kern w:val="0"/>
        </w:rPr>
        <w:t>glutamine were located by search</w:t>
      </w:r>
      <w:r w:rsidR="00427468">
        <w:rPr>
          <w:kern w:val="0"/>
        </w:rPr>
        <w:t xml:space="preserve"> of </w:t>
      </w:r>
      <w:r>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reference lists</w:t>
      </w:r>
      <w:r w:rsidR="00427468">
        <w:rPr>
          <w:kern w:val="0"/>
        </w:rPr>
        <w:t xml:space="preserve"> of </w:t>
      </w:r>
      <w:r>
        <w:rPr>
          <w:kern w:val="0"/>
        </w:rPr>
        <w:t>review articles</w:t>
      </w:r>
      <w:r w:rsidR="005853A9">
        <w:rPr>
          <w:kern w:val="0"/>
        </w:rPr>
        <w:t xml:space="preserve"> and </w:t>
      </w:r>
      <w:r>
        <w:rPr>
          <w:kern w:val="0"/>
        </w:rPr>
        <w:t>primary publications were also examined to identify references not detected in</w:t>
      </w:r>
      <w:r w:rsidR="003A1917">
        <w:rPr>
          <w:kern w:val="0"/>
        </w:rPr>
        <w:t xml:space="preserve"> the </w:t>
      </w:r>
      <w:r>
        <w:rPr>
          <w:kern w:val="0"/>
        </w:rPr>
        <w:t>computer search. Study Selection. Clinical</w:t>
      </w:r>
      <w:r w:rsidR="005853A9">
        <w:rPr>
          <w:kern w:val="0"/>
        </w:rPr>
        <w:t xml:space="preserve"> and </w:t>
      </w:r>
      <w:r>
        <w:rPr>
          <w:kern w:val="0"/>
        </w:rPr>
        <w:t>experimental studies investigating</w:t>
      </w:r>
      <w:r w:rsidR="003A1917">
        <w:rPr>
          <w:kern w:val="0"/>
        </w:rPr>
        <w:t xml:space="preserve"> the </w:t>
      </w:r>
      <w:r>
        <w:rPr>
          <w:kern w:val="0"/>
        </w:rPr>
        <w:t>correlation between intestinal permeability, bacterial translocation,</w:t>
      </w:r>
      <w:r w:rsidR="005853A9">
        <w:rPr>
          <w:kern w:val="0"/>
        </w:rPr>
        <w:t xml:space="preserve"> and </w:t>
      </w:r>
      <w:r>
        <w:rPr>
          <w:kern w:val="0"/>
        </w:rPr>
        <w:t>frequency</w:t>
      </w:r>
      <w:r w:rsidR="00427468">
        <w:rPr>
          <w:kern w:val="0"/>
        </w:rPr>
        <w:t xml:space="preserve"> of </w:t>
      </w:r>
      <w:r>
        <w:rPr>
          <w:kern w:val="0"/>
        </w:rPr>
        <w:t>infections, associated or not with</w:t>
      </w:r>
      <w:r w:rsidR="003A1917">
        <w:rPr>
          <w:kern w:val="0"/>
        </w:rPr>
        <w:t xml:space="preserve"> the </w:t>
      </w:r>
      <w:r>
        <w:rPr>
          <w:kern w:val="0"/>
        </w:rPr>
        <w:t>effect</w:t>
      </w:r>
      <w:r w:rsidR="00427468">
        <w:rPr>
          <w:kern w:val="0"/>
        </w:rPr>
        <w:t xml:space="preserve"> of </w:t>
      </w:r>
      <w:r>
        <w:rPr>
          <w:kern w:val="0"/>
        </w:rPr>
        <w:t>glutamine administration. Data Extraction: Information regarding patient population, experimental design, glutamine doses</w:t>
      </w:r>
      <w:r w:rsidR="005853A9">
        <w:rPr>
          <w:kern w:val="0"/>
        </w:rPr>
        <w:t xml:space="preserve"> and </w:t>
      </w:r>
      <w:r>
        <w:rPr>
          <w:kern w:val="0"/>
        </w:rPr>
        <w:t>routes</w:t>
      </w:r>
      <w:r w:rsidR="00427468">
        <w:rPr>
          <w:kern w:val="0"/>
        </w:rPr>
        <w:t xml:space="preserve"> of </w:t>
      </w:r>
      <w:r>
        <w:rPr>
          <w:kern w:val="0"/>
        </w:rPr>
        <w:t>administration, nutritional therapy prescribed, methods used to assess intestinal permeability, metabolic variables,</w:t>
      </w:r>
      <w:r w:rsidR="005853A9">
        <w:rPr>
          <w:kern w:val="0"/>
        </w:rPr>
        <w:t xml:space="preserve"> and </w:t>
      </w:r>
      <w:r w:rsidR="003A1917">
        <w:rPr>
          <w:kern w:val="0"/>
        </w:rPr>
        <w:t xml:space="preserve">the </w:t>
      </w:r>
      <w:r>
        <w:rPr>
          <w:kern w:val="0"/>
        </w:rPr>
        <w:t>frequency</w:t>
      </w:r>
      <w:r w:rsidR="00427468">
        <w:rPr>
          <w:kern w:val="0"/>
        </w:rPr>
        <w:t xml:space="preserve"> of </w:t>
      </w:r>
      <w:r>
        <w:rPr>
          <w:kern w:val="0"/>
        </w:rPr>
        <w:t>infections were obtained from</w:t>
      </w:r>
      <w:r w:rsidR="003A1917">
        <w:rPr>
          <w:kern w:val="0"/>
        </w:rPr>
        <w:t xml:space="preserve"> the </w:t>
      </w:r>
      <w:r>
        <w:rPr>
          <w:kern w:val="0"/>
        </w:rPr>
        <w:t>primary literature. Data Synthesis. Intestinal permeability is increased in critically ill patients</w:t>
      </w:r>
      <w:r w:rsidR="00A37C1D">
        <w:rPr>
          <w:kern w:val="0"/>
        </w:rPr>
        <w:t>. The</w:t>
      </w:r>
      <w:r w:rsidR="003A1917">
        <w:rPr>
          <w:kern w:val="0"/>
        </w:rPr>
        <w:t xml:space="preserve"> </w:t>
      </w:r>
      <w:r>
        <w:rPr>
          <w:kern w:val="0"/>
        </w:rPr>
        <w:t>results have not always been consistent, but</w:t>
      </w:r>
      <w:r w:rsidR="003A1917">
        <w:rPr>
          <w:kern w:val="0"/>
        </w:rPr>
        <w:t xml:space="preserve"> the </w:t>
      </w:r>
      <w:r>
        <w:rPr>
          <w:kern w:val="0"/>
        </w:rPr>
        <w:t>studies whose results support</w:t>
      </w:r>
      <w:r w:rsidR="003A1917">
        <w:rPr>
          <w:kern w:val="0"/>
        </w:rPr>
        <w:t xml:space="preserve"> the </w:t>
      </w:r>
      <w:r>
        <w:rPr>
          <w:kern w:val="0"/>
        </w:rPr>
        <w:t>association between intestinal permeability</w:t>
      </w:r>
      <w:r w:rsidR="005853A9">
        <w:rPr>
          <w:kern w:val="0"/>
        </w:rPr>
        <w:t xml:space="preserve"> and </w:t>
      </w:r>
      <w:r>
        <w:rPr>
          <w:kern w:val="0"/>
        </w:rPr>
        <w:t xml:space="preserve">systemic infections have had better </w:t>
      </w:r>
      <w:r>
        <w:rPr>
          <w:kern w:val="0"/>
        </w:rPr>
        <w:lastRenderedPageBreak/>
        <w:t>design</w:t>
      </w:r>
      <w:r w:rsidR="005853A9">
        <w:rPr>
          <w:kern w:val="0"/>
        </w:rPr>
        <w:t xml:space="preserve"> and </w:t>
      </w:r>
      <w:r>
        <w:rPr>
          <w:kern w:val="0"/>
        </w:rPr>
        <w:t>more appropriate controls</w:t>
      </w:r>
      <w:r w:rsidR="00A37C1D">
        <w:rPr>
          <w:kern w:val="0"/>
        </w:rPr>
        <w:t>. The</w:t>
      </w:r>
      <w:r w:rsidR="003A1917">
        <w:rPr>
          <w:kern w:val="0"/>
        </w:rPr>
        <w:t xml:space="preserve"> </w:t>
      </w:r>
      <w:r>
        <w:rPr>
          <w:kern w:val="0"/>
        </w:rPr>
        <w:t>administration</w:t>
      </w:r>
      <w:r w:rsidR="00427468">
        <w:rPr>
          <w:kern w:val="0"/>
        </w:rPr>
        <w:t xml:space="preserve"> of </w:t>
      </w:r>
      <w:r>
        <w:rPr>
          <w:kern w:val="0"/>
        </w:rPr>
        <w:t>glutamine by</w:t>
      </w:r>
      <w:r w:rsidR="003A1917">
        <w:rPr>
          <w:kern w:val="0"/>
        </w:rPr>
        <w:t xml:space="preserve"> the </w:t>
      </w:r>
      <w:r>
        <w:rPr>
          <w:kern w:val="0"/>
        </w:rPr>
        <w:t>intravenous or oral route</w:t>
      </w:r>
      <w:r w:rsidR="005853A9">
        <w:rPr>
          <w:kern w:val="0"/>
        </w:rPr>
        <w:t xml:space="preserve"> and </w:t>
      </w:r>
      <w:r>
        <w:rPr>
          <w:kern w:val="0"/>
        </w:rPr>
        <w:t>at</w:t>
      </w:r>
      <w:r w:rsidR="003A1917">
        <w:rPr>
          <w:kern w:val="0"/>
        </w:rPr>
        <w:t xml:space="preserve"> the </w:t>
      </w:r>
      <w:r>
        <w:rPr>
          <w:kern w:val="0"/>
        </w:rPr>
        <w:t>doses recommended before or immediately after surgery, burns, or</w:t>
      </w:r>
      <w:r w:rsidR="003A1917">
        <w:rPr>
          <w:kern w:val="0"/>
        </w:rPr>
        <w:t xml:space="preserve"> the </w:t>
      </w:r>
      <w:r>
        <w:rPr>
          <w:kern w:val="0"/>
        </w:rPr>
        <w:t>administration</w:t>
      </w:r>
      <w:r w:rsidR="00427468">
        <w:rPr>
          <w:kern w:val="0"/>
        </w:rPr>
        <w:t xml:space="preserve"> of </w:t>
      </w:r>
      <w:r>
        <w:rPr>
          <w:kern w:val="0"/>
        </w:rPr>
        <w:t>parenteral nutrition has a protective effect that prevents or reduces</w:t>
      </w:r>
      <w:r w:rsidR="003A1917">
        <w:rPr>
          <w:kern w:val="0"/>
        </w:rPr>
        <w:t xml:space="preserve"> the </w:t>
      </w:r>
      <w:r>
        <w:rPr>
          <w:kern w:val="0"/>
        </w:rPr>
        <w:t>intensity</w:t>
      </w:r>
      <w:r w:rsidR="00427468">
        <w:rPr>
          <w:kern w:val="0"/>
        </w:rPr>
        <w:t xml:space="preserve"> of </w:t>
      </w:r>
      <w:r w:rsidR="003A1917">
        <w:rPr>
          <w:kern w:val="0"/>
        </w:rPr>
        <w:t xml:space="preserve">the </w:t>
      </w:r>
      <w:r>
        <w:rPr>
          <w:kern w:val="0"/>
        </w:rPr>
        <w:t>increase in intestinal permeability. Glutamine reduces</w:t>
      </w:r>
      <w:r w:rsidR="003A1917">
        <w:rPr>
          <w:kern w:val="0"/>
        </w:rPr>
        <w:t xml:space="preserve"> the </w:t>
      </w:r>
      <w:r>
        <w:rPr>
          <w:kern w:val="0"/>
        </w:rPr>
        <w:t>frequency</w:t>
      </w:r>
      <w:r w:rsidR="00427468">
        <w:rPr>
          <w:kern w:val="0"/>
        </w:rPr>
        <w:t xml:space="preserve"> of </w:t>
      </w:r>
      <w:r>
        <w:rPr>
          <w:kern w:val="0"/>
        </w:rPr>
        <w:t>systemic infections</w:t>
      </w:r>
      <w:r w:rsidR="005853A9">
        <w:rPr>
          <w:kern w:val="0"/>
        </w:rPr>
        <w:t xml:space="preserve"> and </w:t>
      </w:r>
      <w:r>
        <w:rPr>
          <w:kern w:val="0"/>
        </w:rPr>
        <w:t>may also reduce</w:t>
      </w:r>
      <w:r w:rsidR="003A1917">
        <w:rPr>
          <w:kern w:val="0"/>
        </w:rPr>
        <w:t xml:space="preserve"> the </w:t>
      </w:r>
      <w:r>
        <w:rPr>
          <w:kern w:val="0"/>
        </w:rPr>
        <w:t>translocation</w:t>
      </w:r>
      <w:r w:rsidR="00427468">
        <w:rPr>
          <w:kern w:val="0"/>
        </w:rPr>
        <w:t xml:space="preserve"> of </w:t>
      </w:r>
      <w:r>
        <w:rPr>
          <w:kern w:val="0"/>
        </w:rPr>
        <w:t>intestinal bacteria</w:t>
      </w:r>
      <w:r w:rsidR="005853A9">
        <w:rPr>
          <w:kern w:val="0"/>
        </w:rPr>
        <w:t xml:space="preserve"> and </w:t>
      </w:r>
      <w:r>
        <w:rPr>
          <w:kern w:val="0"/>
        </w:rPr>
        <w:t>toxins, but this has not been demonstrated. Conclusions. Glutamine administration improves</w:t>
      </w:r>
      <w:r w:rsidR="003A1917">
        <w:rPr>
          <w:kern w:val="0"/>
        </w:rPr>
        <w:t xml:space="preserve"> the </w:t>
      </w:r>
      <w:r>
        <w:rPr>
          <w:kern w:val="0"/>
        </w:rPr>
        <w:t>prognosis</w:t>
      </w:r>
      <w:r w:rsidR="00427468">
        <w:rPr>
          <w:kern w:val="0"/>
        </w:rPr>
        <w:t xml:space="preserve"> of </w:t>
      </w:r>
      <w:r>
        <w:rPr>
          <w:kern w:val="0"/>
        </w:rPr>
        <w:t>critically ill patients presumably by maintaining</w:t>
      </w:r>
      <w:r w:rsidR="003A1917">
        <w:rPr>
          <w:kern w:val="0"/>
        </w:rPr>
        <w:t xml:space="preserve"> the </w:t>
      </w:r>
      <w:r>
        <w:rPr>
          <w:kern w:val="0"/>
        </w:rPr>
        <w:t>physiologic intestinal barrier</w:t>
      </w:r>
      <w:r w:rsidR="005853A9">
        <w:rPr>
          <w:kern w:val="0"/>
        </w:rPr>
        <w:t xml:space="preserve"> and </w:t>
      </w:r>
      <w:r>
        <w:rPr>
          <w:kern w:val="0"/>
        </w:rPr>
        <w:t>by reducing</w:t>
      </w:r>
      <w:r w:rsidR="003A1917">
        <w:rPr>
          <w:kern w:val="0"/>
        </w:rPr>
        <w:t xml:space="preserve"> the </w:t>
      </w:r>
      <w:r>
        <w:rPr>
          <w:kern w:val="0"/>
        </w:rPr>
        <w:t>frequency</w:t>
      </w:r>
      <w:r w:rsidR="00427468">
        <w:rPr>
          <w:kern w:val="0"/>
        </w:rPr>
        <w:t xml:space="preserve"> of </w:t>
      </w:r>
      <w:r>
        <w:rPr>
          <w:kern w:val="0"/>
        </w:rPr>
        <w:t>infections.</w:t>
      </w:r>
    </w:p>
    <w:p w:rsidR="00B8706F" w:rsidRDefault="00B8706F" w:rsidP="00B8706F">
      <w:pPr>
        <w:pStyle w:val="a3"/>
        <w:rPr>
          <w:kern w:val="0"/>
        </w:rPr>
      </w:pPr>
      <w:r>
        <w:rPr>
          <w:kern w:val="0"/>
        </w:rPr>
        <w:t xml:space="preserve">Keywords: Bacteria, Bacterial Translocation, Bacterial Translocation, Clostridium-Difficile Toxins, Critically Ill Patients, Extraction, Frequency, Gastric Intramucosal Ph, Glutamine, Gut Barrier Function, Increased Inos Activity, Infection, Intensive-Care Unit, Intestinal Permeability, Literature, Multiple Organ Failure Syndrome, Multiple-Organ Failure, Nutrition, Parenteral Nutrition, Permeability, Primary, Prognosis, Publications, Pubmed, Randomized Controlled-Trials, Review, Science, Supplemented Parenteral-Nutrition, Surgery, Systemic Infections, Therapy, Tight Junction Dysfunction, </w:t>
      </w:r>
      <w:r w:rsidR="00D5664A">
        <w:rPr>
          <w:kern w:val="0"/>
        </w:rPr>
        <w:t>Web</w:t>
      </w:r>
      <w:r w:rsidR="00427468">
        <w:rPr>
          <w:kern w:val="0"/>
        </w:rPr>
        <w:t xml:space="preserve"> of </w:t>
      </w:r>
      <w:r w:rsidR="00D5664A">
        <w:rPr>
          <w:kern w:val="0"/>
        </w:rPr>
        <w:t>Science</w:t>
      </w:r>
    </w:p>
    <w:p w:rsidR="00B8706F" w:rsidRDefault="00B8706F" w:rsidP="00B8706F">
      <w:pPr>
        <w:pStyle w:val="a3"/>
        <w:rPr>
          <w:kern w:val="0"/>
        </w:rPr>
      </w:pPr>
      <w:r>
        <w:rPr>
          <w:rFonts w:hint="eastAsia"/>
          <w:kern w:val="0"/>
        </w:rPr>
        <w:t xml:space="preserve">? </w:t>
      </w:r>
      <w:r>
        <w:rPr>
          <w:kern w:val="0"/>
        </w:rPr>
        <w:t>Caples, S.M.</w:t>
      </w:r>
      <w:r w:rsidR="005853A9">
        <w:rPr>
          <w:kern w:val="0"/>
        </w:rPr>
        <w:t xml:space="preserve"> and </w:t>
      </w:r>
      <w:r>
        <w:rPr>
          <w:kern w:val="0"/>
        </w:rPr>
        <w:t>Gay, P.C. (2005), Noninvasive positive pressure ventilation in</w:t>
      </w:r>
      <w:r w:rsidR="003A1917">
        <w:rPr>
          <w:kern w:val="0"/>
        </w:rPr>
        <w:t xml:space="preserve"> the </w:t>
      </w:r>
      <w:r>
        <w:rPr>
          <w:kern w:val="0"/>
        </w:rPr>
        <w:t xml:space="preserve">intensive care unit: A concise review. </w:t>
      </w:r>
      <w:r>
        <w:rPr>
          <w:i/>
          <w:iCs/>
          <w:kern w:val="0"/>
        </w:rPr>
        <w:t>Critical Care Medicine</w:t>
      </w:r>
      <w:r>
        <w:rPr>
          <w:kern w:val="0"/>
        </w:rPr>
        <w:t xml:space="preserve">, </w:t>
      </w:r>
      <w:r>
        <w:rPr>
          <w:b/>
          <w:bCs/>
          <w:kern w:val="0"/>
        </w:rPr>
        <w:t>33</w:t>
      </w:r>
      <w:r>
        <w:rPr>
          <w:kern w:val="0"/>
        </w:rPr>
        <w:t xml:space="preserve"> (11), 2651-2658.</w:t>
      </w:r>
    </w:p>
    <w:p w:rsidR="00B8706F" w:rsidRPr="001A3D2B" w:rsidRDefault="00B8706F" w:rsidP="00B8706F">
      <w:pPr>
        <w:pStyle w:val="a3"/>
      </w:pPr>
      <w:r w:rsidRPr="001A3D2B">
        <w:t xml:space="preserve">Full Text: </w:t>
      </w:r>
      <w:hyperlink r:id="rId1062" w:history="1">
        <w:r w:rsidR="002144DD" w:rsidRPr="002144DD">
          <w:rPr>
            <w:rStyle w:val="a5"/>
          </w:rPr>
          <w:t>2005\Cri Car Med33, 2651.pdf</w:t>
        </w:r>
      </w:hyperlink>
    </w:p>
    <w:p w:rsidR="00B8706F" w:rsidRDefault="00B8706F" w:rsidP="00B8706F">
      <w:pPr>
        <w:pStyle w:val="a3"/>
        <w:rPr>
          <w:kern w:val="0"/>
        </w:rPr>
      </w:pPr>
      <w:r>
        <w:rPr>
          <w:kern w:val="0"/>
        </w:rPr>
        <w:t>Abstract: Objective: To critically assess available high-level clinical studies regarding use</w:t>
      </w:r>
      <w:r w:rsidR="00427468">
        <w:rPr>
          <w:kern w:val="0"/>
        </w:rPr>
        <w:t xml:space="preserve"> of </w:t>
      </w:r>
      <w:r>
        <w:rPr>
          <w:kern w:val="0"/>
        </w:rPr>
        <w:t>noninvasive positive pressure ventilation in varied intensive care unit settings. Data Source: Search</w:t>
      </w:r>
      <w:r w:rsidR="00427468">
        <w:rPr>
          <w:kern w:val="0"/>
        </w:rPr>
        <w:t xml:space="preserve"> of </w:t>
      </w:r>
      <w:r>
        <w:rPr>
          <w:kern w:val="0"/>
        </w:rPr>
        <w:t xml:space="preserve">pertinent articles within Ovid </w:t>
      </w:r>
      <w:r w:rsidR="00D5664A">
        <w:rPr>
          <w:kern w:val="0"/>
        </w:rPr>
        <w:t>MEDLINE</w:t>
      </w:r>
      <w:r>
        <w:rPr>
          <w:kern w:val="0"/>
        </w:rPr>
        <w:t xml:space="preserve"> from 1975 to 2005, CINAHL from 1982 to 2005, EMBASE from 1988 to 2005,</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1993 to 2005. Study Selection: Randomized, controlled clinical trials</w:t>
      </w:r>
      <w:r w:rsidR="005853A9">
        <w:rPr>
          <w:kern w:val="0"/>
        </w:rPr>
        <w:t xml:space="preserve"> and </w:t>
      </w:r>
      <w:r>
        <w:rPr>
          <w:kern w:val="0"/>
        </w:rPr>
        <w:t>cohort studies</w:t>
      </w:r>
      <w:r w:rsidR="005853A9">
        <w:rPr>
          <w:kern w:val="0"/>
        </w:rPr>
        <w:t xml:space="preserve"> and </w:t>
      </w:r>
      <w:r>
        <w:rPr>
          <w:kern w:val="0"/>
        </w:rPr>
        <w:t>observational studies</w:t>
      </w:r>
      <w:r w:rsidR="003A1917">
        <w:rPr>
          <w:kern w:val="0"/>
        </w:rPr>
        <w:t xml:space="preserve"> the </w:t>
      </w:r>
      <w:r>
        <w:rPr>
          <w:kern w:val="0"/>
        </w:rPr>
        <w:t>authors consider important or novel. Data Extraction/Synthesis: Performed equally by both authors with</w:t>
      </w:r>
      <w:r w:rsidR="003A1917">
        <w:rPr>
          <w:kern w:val="0"/>
        </w:rPr>
        <w:t xml:space="preserve"> the </w:t>
      </w:r>
      <w:r>
        <w:rPr>
          <w:kern w:val="0"/>
        </w:rPr>
        <w:t>use</w:t>
      </w:r>
      <w:r w:rsidR="00427468">
        <w:rPr>
          <w:kern w:val="0"/>
        </w:rPr>
        <w:t xml:space="preserve"> of </w:t>
      </w:r>
      <w:r>
        <w:rPr>
          <w:kern w:val="0"/>
        </w:rPr>
        <w:t>an Excel data spreadsheet. Conclusion: There is abundant level I evidence supporting</w:t>
      </w:r>
      <w:r w:rsidR="003A1917">
        <w:rPr>
          <w:kern w:val="0"/>
        </w:rPr>
        <w:t xml:space="preserve"> the </w:t>
      </w:r>
      <w:r>
        <w:rPr>
          <w:kern w:val="0"/>
        </w:rPr>
        <w:t>use</w:t>
      </w:r>
      <w:r w:rsidR="00427468">
        <w:rPr>
          <w:kern w:val="0"/>
        </w:rPr>
        <w:t xml:space="preserve"> of </w:t>
      </w:r>
      <w:r>
        <w:rPr>
          <w:kern w:val="0"/>
        </w:rPr>
        <w:t>noninvasive positive pressure ventilation in such critical care settings as acute hypercapnic respiratory failure, particularly related to chronic obstructive pulmonary disease,</w:t>
      </w:r>
      <w:r w:rsidR="005853A9">
        <w:rPr>
          <w:kern w:val="0"/>
        </w:rPr>
        <w:t xml:space="preserve"> and </w:t>
      </w:r>
      <w:r>
        <w:rPr>
          <w:kern w:val="0"/>
        </w:rPr>
        <w:t>acute cardiogenic pulmonary edema. We also report on other clinical scenarios in which</w:t>
      </w:r>
      <w:r w:rsidR="003A1917">
        <w:rPr>
          <w:kern w:val="0"/>
        </w:rPr>
        <w:t xml:space="preserve"> the </w:t>
      </w:r>
      <w:r>
        <w:rPr>
          <w:kern w:val="0"/>
        </w:rPr>
        <w:t>data may be somewhat less compelling, but evidence favors a noninvasive positive pressure ventilation trial. Some well designed studies suggest that noninvasive positive pressure ventilation is not an appropriate intervention for patients who have failed endotracheal extubation.</w:t>
      </w:r>
    </w:p>
    <w:p w:rsidR="00B8706F" w:rsidRDefault="00B8706F" w:rsidP="00B8706F">
      <w:pPr>
        <w:pStyle w:val="a3"/>
        <w:rPr>
          <w:kern w:val="0"/>
        </w:rPr>
      </w:pPr>
      <w:r>
        <w:rPr>
          <w:kern w:val="0"/>
        </w:rPr>
        <w:t xml:space="preserve">Keywords: Acute Exacerbations, Acute Respiratory Failure, Acute Respiratory-Failure, Airway Pressure, Authors, Cardiogenic Pulmonary-Edema, Chronic Obstructive Pulmonary Disease, Clinical Trials, Clinical-Trial, Cohort Studies, Controlled Clinical Trials, Conventional Mechanical Ventilation, Critical Care, Disease, Embase, </w:t>
      </w:r>
      <w:r>
        <w:rPr>
          <w:kern w:val="0"/>
        </w:rPr>
        <w:lastRenderedPageBreak/>
        <w:t xml:space="preserve">Face Mask, Hypercapnic Respiratory Failure, Intensive Care, Intensive Care Unit, Intervention, Mechanical Ventilation, </w:t>
      </w:r>
      <w:r w:rsidR="00D5664A">
        <w:rPr>
          <w:kern w:val="0"/>
        </w:rPr>
        <w:t>MEDLINE</w:t>
      </w:r>
      <w:r>
        <w:rPr>
          <w:kern w:val="0"/>
        </w:rPr>
        <w:t xml:space="preserve">, Nasal Ventilation, Noninvasive Positive Pressure Ventilation, Observational Studies, Positive Airway Pressure, Pressure, Randomized Controlled-Trial, Review, Science, Support Ventilation, </w:t>
      </w:r>
      <w:r w:rsidR="00D5664A">
        <w:rPr>
          <w:kern w:val="0"/>
        </w:rPr>
        <w:t>Web</w:t>
      </w:r>
      <w:r w:rsidR="00427468">
        <w:rPr>
          <w:kern w:val="0"/>
        </w:rPr>
        <w:t xml:space="preserve"> of </w:t>
      </w:r>
      <w:r w:rsidR="00D5664A">
        <w:rPr>
          <w:kern w:val="0"/>
        </w:rPr>
        <w:t>Science</w:t>
      </w:r>
    </w:p>
    <w:p w:rsidR="00B8706F" w:rsidRDefault="00B8706F" w:rsidP="00B8706F">
      <w:pPr>
        <w:pStyle w:val="a3"/>
        <w:rPr>
          <w:kern w:val="0"/>
        </w:rPr>
      </w:pPr>
      <w:r>
        <w:rPr>
          <w:rFonts w:hint="eastAsia"/>
          <w:kern w:val="0"/>
        </w:rPr>
        <w:t xml:space="preserve">? </w:t>
      </w:r>
      <w:r>
        <w:rPr>
          <w:kern w:val="0"/>
        </w:rPr>
        <w:t>Hockenhull, J.C., Dwan, K.M., Smith, G.W., Gamble, C.L., Boland, A., Walley, T.J.</w:t>
      </w:r>
      <w:r w:rsidR="005853A9">
        <w:rPr>
          <w:kern w:val="0"/>
        </w:rPr>
        <w:t xml:space="preserve"> and </w:t>
      </w:r>
      <w:r>
        <w:rPr>
          <w:kern w:val="0"/>
        </w:rPr>
        <w:t>Dickson, R.C. (2009</w:t>
      </w:r>
      <w:r w:rsidR="00F42EAC">
        <w:rPr>
          <w:kern w:val="0"/>
        </w:rPr>
        <w:t>), The</w:t>
      </w:r>
      <w:r w:rsidR="003A1917">
        <w:rPr>
          <w:kern w:val="0"/>
        </w:rPr>
        <w:t xml:space="preserve"> </w:t>
      </w:r>
      <w:r>
        <w:rPr>
          <w:kern w:val="0"/>
        </w:rPr>
        <w:t>clinical effectiveness</w:t>
      </w:r>
      <w:r w:rsidR="00427468">
        <w:rPr>
          <w:kern w:val="0"/>
        </w:rPr>
        <w:t xml:space="preserve"> of </w:t>
      </w:r>
      <w:r>
        <w:rPr>
          <w:kern w:val="0"/>
        </w:rPr>
        <w:t xml:space="preserve">central venous catheters treated with anti-infective agents in preventing catheter-related bloodstream infections: A systematic review. </w:t>
      </w:r>
      <w:r>
        <w:rPr>
          <w:i/>
          <w:iCs/>
          <w:kern w:val="0"/>
        </w:rPr>
        <w:t>Critical Care Medicine</w:t>
      </w:r>
      <w:r>
        <w:rPr>
          <w:kern w:val="0"/>
        </w:rPr>
        <w:t xml:space="preserve">, </w:t>
      </w:r>
      <w:r>
        <w:rPr>
          <w:b/>
          <w:bCs/>
          <w:kern w:val="0"/>
        </w:rPr>
        <w:t>37</w:t>
      </w:r>
      <w:r>
        <w:rPr>
          <w:kern w:val="0"/>
        </w:rPr>
        <w:t xml:space="preserve"> (2), 702-712.</w:t>
      </w:r>
    </w:p>
    <w:p w:rsidR="00B8706F" w:rsidRPr="001A3D2B" w:rsidRDefault="00B8706F" w:rsidP="00B8706F">
      <w:pPr>
        <w:pStyle w:val="a3"/>
      </w:pPr>
      <w:r w:rsidRPr="001A3D2B">
        <w:t xml:space="preserve">Full Text: </w:t>
      </w:r>
      <w:hyperlink r:id="rId1063" w:history="1">
        <w:r w:rsidR="002144DD" w:rsidRPr="002144DD">
          <w:rPr>
            <w:rStyle w:val="a5"/>
          </w:rPr>
          <w:t>2009\Cri Car Med37, 702.pdf</w:t>
        </w:r>
      </w:hyperlink>
    </w:p>
    <w:p w:rsidR="00B8706F" w:rsidRDefault="00B8706F" w:rsidP="00B8706F">
      <w:pPr>
        <w:pStyle w:val="a3"/>
        <w:rPr>
          <w:kern w:val="0"/>
        </w:rPr>
      </w:pPr>
      <w:r>
        <w:rPr>
          <w:kern w:val="0"/>
        </w:rPr>
        <w:t>Abstract: Objectives. To assess</w:t>
      </w:r>
      <w:r w:rsidR="003A1917">
        <w:rPr>
          <w:kern w:val="0"/>
        </w:rPr>
        <w:t xml:space="preserve"> the </w:t>
      </w:r>
      <w:r>
        <w:rPr>
          <w:kern w:val="0"/>
        </w:rPr>
        <w:t>clinical effectiveness</w:t>
      </w:r>
      <w:r w:rsidR="00427468">
        <w:rPr>
          <w:kern w:val="0"/>
        </w:rPr>
        <w:t xml:space="preserve"> of </w:t>
      </w:r>
      <w:r>
        <w:rPr>
          <w:kern w:val="0"/>
        </w:rPr>
        <w:t xml:space="preserve">central venous catheters (CVCs) treated with anti-infective agents (AI-CVCs) in preventing catheter-related bloodstream infections (CRBSI). Data Sources. </w:t>
      </w:r>
      <w:r w:rsidR="00D5664A">
        <w:rPr>
          <w:kern w:val="0"/>
        </w:rPr>
        <w:t>MEDLINE</w:t>
      </w:r>
      <w:r>
        <w:rPr>
          <w:kern w:val="0"/>
        </w:rPr>
        <w:t xml:space="preserve"> (OVID), EMBASE, SCI//</w:t>
      </w:r>
      <w:r w:rsidR="00D5664A">
        <w:rPr>
          <w:kern w:val="0"/>
        </w:rPr>
        <w:t>Web</w:t>
      </w:r>
      <w:r w:rsidR="00427468">
        <w:rPr>
          <w:kern w:val="0"/>
        </w:rPr>
        <w:t xml:space="preserve"> of </w:t>
      </w:r>
      <w:r w:rsidR="00D5664A">
        <w:rPr>
          <w:kern w:val="0"/>
        </w:rPr>
        <w:t>Science</w:t>
      </w:r>
      <w:r>
        <w:rPr>
          <w:kern w:val="0"/>
        </w:rPr>
        <w:t>, SCI/ISI Proceedings,</w:t>
      </w:r>
      <w:r w:rsidR="005853A9">
        <w:rPr>
          <w:kern w:val="0"/>
        </w:rPr>
        <w:t xml:space="preserve"> and </w:t>
      </w:r>
      <w:r w:rsidR="003A1917">
        <w:rPr>
          <w:kern w:val="0"/>
        </w:rPr>
        <w:t xml:space="preserve">the </w:t>
      </w:r>
      <w:r>
        <w:rPr>
          <w:kern w:val="0"/>
        </w:rPr>
        <w:t>Cochrane Library. Study Selection: A systematic review</w:t>
      </w:r>
      <w:r w:rsidR="00427468">
        <w:rPr>
          <w:kern w:val="0"/>
        </w:rPr>
        <w:t xml:space="preserve"> of </w:t>
      </w:r>
      <w:r w:rsidR="003A1917">
        <w:rPr>
          <w:kern w:val="0"/>
        </w:rPr>
        <w:t xml:space="preserve">the </w:t>
      </w:r>
      <w:r>
        <w:rPr>
          <w:kern w:val="0"/>
        </w:rPr>
        <w:t>literature was conducted using internationally recognized methodology. All included articles were reports</w:t>
      </w:r>
      <w:r w:rsidR="00427468">
        <w:rPr>
          <w:kern w:val="0"/>
        </w:rPr>
        <w:t xml:space="preserve"> of </w:t>
      </w:r>
      <w:r>
        <w:rPr>
          <w:kern w:val="0"/>
        </w:rPr>
        <w:t>randomized controlled trials comparing</w:t>
      </w:r>
      <w:r w:rsidR="003A1917">
        <w:rPr>
          <w:kern w:val="0"/>
        </w:rPr>
        <w:t xml:space="preserve"> the </w:t>
      </w:r>
      <w:r>
        <w:rPr>
          <w:kern w:val="0"/>
        </w:rPr>
        <w:t>clinical effectiveness</w:t>
      </w:r>
      <w:r w:rsidR="00427468">
        <w:rPr>
          <w:kern w:val="0"/>
        </w:rPr>
        <w:t xml:space="preserve"> of </w:t>
      </w:r>
      <w:r>
        <w:rPr>
          <w:kern w:val="0"/>
        </w:rPr>
        <w:t>CVCs treated with AI-CVCs with either standard CVCs or another anti-infective treated catheter. Articles requiring in-house preparation</w:t>
      </w:r>
      <w:r w:rsidR="00427468">
        <w:rPr>
          <w:kern w:val="0"/>
        </w:rPr>
        <w:t xml:space="preserve"> of </w:t>
      </w:r>
      <w:r>
        <w:rPr>
          <w:kern w:val="0"/>
        </w:rPr>
        <w:t>catheters or that only reported interim data were excluded. Data Extraction, Data extraction was carried out independently</w:t>
      </w:r>
      <w:r w:rsidR="005853A9">
        <w:rPr>
          <w:kern w:val="0"/>
        </w:rPr>
        <w:t xml:space="preserve"> and </w:t>
      </w:r>
      <w:r>
        <w:rPr>
          <w:kern w:val="0"/>
        </w:rPr>
        <w:t>crosschecked by two reviewers using a pretested data extraction form. Data Synthesis: Meta-analyses were conducted to assess</w:t>
      </w:r>
      <w:r w:rsidR="003A1917">
        <w:rPr>
          <w:kern w:val="0"/>
        </w:rPr>
        <w:t xml:space="preserve"> the </w:t>
      </w:r>
      <w:r>
        <w:rPr>
          <w:kern w:val="0"/>
        </w:rPr>
        <w:t>effectiveness</w:t>
      </w:r>
      <w:r w:rsidR="00427468">
        <w:rPr>
          <w:kern w:val="0"/>
        </w:rPr>
        <w:t xml:space="preserve"> of </w:t>
      </w:r>
      <w:r>
        <w:rPr>
          <w:kern w:val="0"/>
        </w:rPr>
        <w:t>AI-CVCs in preventing CRBSI, compared with standard CVCs. Results are presented in forest plots with 95% confidence intervals. Results: Thirty-eight randomized controlled trials met</w:t>
      </w:r>
      <w:r w:rsidR="003A1917">
        <w:rPr>
          <w:kern w:val="0"/>
        </w:rPr>
        <w:t xml:space="preserve"> the </w:t>
      </w:r>
      <w:r>
        <w:rPr>
          <w:kern w:val="0"/>
        </w:rPr>
        <w:t>inclusion criteria. Methodologic quality was generally poor. Metaanalyses</w:t>
      </w:r>
      <w:r w:rsidR="00427468">
        <w:rPr>
          <w:kern w:val="0"/>
        </w:rPr>
        <w:t xml:space="preserve"> of </w:t>
      </w:r>
      <w:r>
        <w:rPr>
          <w:kern w:val="0"/>
        </w:rPr>
        <w:t>data from 27 trials assessing CRBSI showed a strong treatment effect in favor</w:t>
      </w:r>
      <w:r w:rsidR="00427468">
        <w:rPr>
          <w:kern w:val="0"/>
        </w:rPr>
        <w:t xml:space="preserve"> of </w:t>
      </w:r>
      <w:r>
        <w:rPr>
          <w:kern w:val="0"/>
        </w:rPr>
        <w:t>AI-CVCs (odds ratio 0.49 (95% confidence interval 0.37-0.64) fixed effects, test for heterogeneity, chi-square = 28.78, df = 26, p = 0.321, I(2) = 9.7). Results subgrouped by</w:t>
      </w:r>
      <w:r w:rsidR="003A1917">
        <w:rPr>
          <w:kern w:val="0"/>
        </w:rPr>
        <w:t xml:space="preserve"> the </w:t>
      </w:r>
      <w:r>
        <w:rPr>
          <w:kern w:val="0"/>
        </w:rPr>
        <w:t>different types</w:t>
      </w:r>
      <w:r w:rsidR="00427468">
        <w:rPr>
          <w:kern w:val="0"/>
        </w:rPr>
        <w:t xml:space="preserve"> of </w:t>
      </w:r>
      <w:r>
        <w:rPr>
          <w:kern w:val="0"/>
        </w:rPr>
        <w:t>anti-infective treatments generally demonstrated treatment effects favoring</w:t>
      </w:r>
      <w:r w:rsidR="003A1917">
        <w:rPr>
          <w:kern w:val="0"/>
        </w:rPr>
        <w:t xml:space="preserve"> the </w:t>
      </w:r>
      <w:r>
        <w:rPr>
          <w:kern w:val="0"/>
        </w:rPr>
        <w:t>treated catheters. Sensitivity analyses investigating</w:t>
      </w:r>
      <w:r w:rsidR="003A1917">
        <w:rPr>
          <w:kern w:val="0"/>
        </w:rPr>
        <w:t xml:space="preserve"> the </w:t>
      </w:r>
      <w:r>
        <w:rPr>
          <w:kern w:val="0"/>
        </w:rPr>
        <w:t>effects</w:t>
      </w:r>
      <w:r w:rsidR="00427468">
        <w:rPr>
          <w:kern w:val="0"/>
        </w:rPr>
        <w:t xml:space="preserve"> of </w:t>
      </w:r>
      <w:r>
        <w:rPr>
          <w:kern w:val="0"/>
        </w:rPr>
        <w:t>methodologic differences showed no differences to</w:t>
      </w:r>
      <w:r w:rsidR="003A1917">
        <w:rPr>
          <w:kern w:val="0"/>
        </w:rPr>
        <w:t xml:space="preserve"> the </w:t>
      </w:r>
      <w:r>
        <w:rPr>
          <w:kern w:val="0"/>
        </w:rPr>
        <w:t>overall conclusions</w:t>
      </w:r>
      <w:r w:rsidR="00427468">
        <w:rPr>
          <w:kern w:val="0"/>
        </w:rPr>
        <w:t xml:space="preserve"> of </w:t>
      </w:r>
      <w:r w:rsidR="003A1917">
        <w:rPr>
          <w:kern w:val="0"/>
        </w:rPr>
        <w:t xml:space="preserve">the </w:t>
      </w:r>
      <w:r>
        <w:rPr>
          <w:kern w:val="0"/>
        </w:rPr>
        <w:t>primary analysis. Conclusion: Al-CVCs appear to be effective in reducing CRBSI compared with standard CVCs. However, it is important to establish whether this effect remains in settings where infectionprevention bundles</w:t>
      </w:r>
      <w:r w:rsidR="00427468">
        <w:rPr>
          <w:kern w:val="0"/>
        </w:rPr>
        <w:t xml:space="preserve"> of </w:t>
      </w:r>
      <w:r>
        <w:rPr>
          <w:kern w:val="0"/>
        </w:rPr>
        <w:t>care are established as routine practice. This review does not address this question</w:t>
      </w:r>
      <w:r w:rsidR="005853A9">
        <w:rPr>
          <w:kern w:val="0"/>
        </w:rPr>
        <w:t xml:space="preserve"> and </w:t>
      </w:r>
      <w:r>
        <w:rPr>
          <w:kern w:val="0"/>
        </w:rPr>
        <w:t>further research is required. (Crit Care Med 2009; 37:702-712).</w:t>
      </w:r>
    </w:p>
    <w:p w:rsidR="00B8706F" w:rsidRDefault="00B8706F" w:rsidP="00B8706F">
      <w:pPr>
        <w:pStyle w:val="a3"/>
        <w:rPr>
          <w:kern w:val="0"/>
        </w:rPr>
      </w:pPr>
      <w:r>
        <w:rPr>
          <w:kern w:val="0"/>
        </w:rPr>
        <w:t xml:space="preserve">Keywords: Analysis, Anti-Infective Agents, Antiseptic-Impregnated Catheters, Articles, Bacterial-Colonization, Benzalkonium Chloride, Cancer-Patients, Care, Catheterization, Central Venous, Clinical Effectiveness, Coated Catheter, Cochrane, </w:t>
      </w:r>
      <w:r>
        <w:rPr>
          <w:kern w:val="0"/>
        </w:rPr>
        <w:lastRenderedPageBreak/>
        <w:t xml:space="preserve">Confidence Intervals, Critically-Ill Patients, Double-Blind, Effectiveness, Embase, Extraction, Infection, Infection Control, Intensive-Care-Unit, Literature, </w:t>
      </w:r>
      <w:r w:rsidR="00D5664A">
        <w:rPr>
          <w:kern w:val="0"/>
        </w:rPr>
        <w:t>MEDLINE</w:t>
      </w:r>
      <w:r>
        <w:rPr>
          <w:kern w:val="0"/>
        </w:rPr>
        <w:t>, Methodology, Practice, Preparation, Primary, Randomized Controlled Trials, Randomized Controlled-Trial, Ratio, Research, Review, Review [Publication Type], Science, Silver-Sulfadiazine, Sources, Systematic, Systematic Review, Treatment, Treatment Outcome</w:t>
      </w:r>
    </w:p>
    <w:p w:rsidR="00B8706F" w:rsidRDefault="00B8706F" w:rsidP="00B8706F">
      <w:pPr>
        <w:pStyle w:val="a3"/>
        <w:rPr>
          <w:kern w:val="0"/>
        </w:rPr>
      </w:pPr>
      <w:r>
        <w:rPr>
          <w:rFonts w:hint="eastAsia"/>
          <w:kern w:val="0"/>
        </w:rPr>
        <w:t xml:space="preserve">? </w:t>
      </w:r>
      <w:r>
        <w:rPr>
          <w:kern w:val="0"/>
        </w:rPr>
        <w:t>Melsen, W.G., Rovers, M.M.</w:t>
      </w:r>
      <w:r w:rsidR="005853A9">
        <w:rPr>
          <w:kern w:val="0"/>
        </w:rPr>
        <w:t xml:space="preserve"> and </w:t>
      </w:r>
      <w:r>
        <w:rPr>
          <w:kern w:val="0"/>
        </w:rPr>
        <w:t>Bonten, M.J.M. (2009), Ventilator-associated pneumonia</w:t>
      </w:r>
      <w:r w:rsidR="005853A9">
        <w:rPr>
          <w:kern w:val="0"/>
        </w:rPr>
        <w:t xml:space="preserve"> and </w:t>
      </w:r>
      <w:r>
        <w:rPr>
          <w:kern w:val="0"/>
        </w:rPr>
        <w:t>mortality: A systematic review</w:t>
      </w:r>
      <w:r w:rsidR="00427468">
        <w:rPr>
          <w:kern w:val="0"/>
        </w:rPr>
        <w:t xml:space="preserve"> of </w:t>
      </w:r>
      <w:r>
        <w:rPr>
          <w:kern w:val="0"/>
        </w:rPr>
        <w:t xml:space="preserve">observational studies. </w:t>
      </w:r>
      <w:r>
        <w:rPr>
          <w:i/>
          <w:iCs/>
          <w:kern w:val="0"/>
        </w:rPr>
        <w:t>Critical Care Medicine</w:t>
      </w:r>
      <w:r>
        <w:rPr>
          <w:kern w:val="0"/>
        </w:rPr>
        <w:t xml:space="preserve">, </w:t>
      </w:r>
      <w:r>
        <w:rPr>
          <w:b/>
          <w:bCs/>
          <w:kern w:val="0"/>
        </w:rPr>
        <w:t>37</w:t>
      </w:r>
      <w:r>
        <w:rPr>
          <w:kern w:val="0"/>
        </w:rPr>
        <w:t xml:space="preserve"> (10), 2709-2718.</w:t>
      </w:r>
    </w:p>
    <w:p w:rsidR="00B8706F" w:rsidRPr="001A3D2B" w:rsidRDefault="00B8706F" w:rsidP="00B8706F">
      <w:pPr>
        <w:pStyle w:val="a3"/>
      </w:pPr>
      <w:r w:rsidRPr="001A3D2B">
        <w:t xml:space="preserve">Full Text: </w:t>
      </w:r>
      <w:hyperlink r:id="rId1064" w:history="1">
        <w:r w:rsidR="002144DD" w:rsidRPr="002144DD">
          <w:rPr>
            <w:rStyle w:val="a5"/>
          </w:rPr>
          <w:t>2009\Cri Car Med37, 2709.pdf</w:t>
        </w:r>
      </w:hyperlink>
    </w:p>
    <w:p w:rsidR="00B8706F" w:rsidRDefault="00B8706F" w:rsidP="00B8706F">
      <w:pPr>
        <w:pStyle w:val="a3"/>
        <w:rPr>
          <w:kern w:val="0"/>
        </w:rPr>
      </w:pPr>
      <w:r>
        <w:rPr>
          <w:kern w:val="0"/>
        </w:rPr>
        <w:t>Abstract: Objective., To determine</w:t>
      </w:r>
      <w:r w:rsidR="003A1917">
        <w:rPr>
          <w:kern w:val="0"/>
        </w:rPr>
        <w:t xml:space="preserve"> the </w:t>
      </w:r>
      <w:r>
        <w:rPr>
          <w:kern w:val="0"/>
        </w:rPr>
        <w:t>attributable mortality</w:t>
      </w:r>
      <w:r w:rsidR="00427468">
        <w:rPr>
          <w:kern w:val="0"/>
        </w:rPr>
        <w:t xml:space="preserve"> of </w:t>
      </w:r>
      <w:r>
        <w:rPr>
          <w:kern w:val="0"/>
        </w:rPr>
        <w:t>ventilator-associated pneumonia in a systematic review</w:t>
      </w:r>
      <w:r w:rsidR="005853A9">
        <w:rPr>
          <w:kern w:val="0"/>
        </w:rPr>
        <w:t xml:space="preserve"> and </w:t>
      </w:r>
      <w:r>
        <w:rPr>
          <w:kern w:val="0"/>
        </w:rPr>
        <w:t>meta-analysis</w:t>
      </w:r>
      <w:r w:rsidR="00427468">
        <w:rPr>
          <w:kern w:val="0"/>
        </w:rPr>
        <w:t xml:space="preserve"> of </w:t>
      </w:r>
      <w:r>
        <w:rPr>
          <w:kern w:val="0"/>
        </w:rPr>
        <w:t>observational studies. Ventilator-associated pneumonia is generally believed to increase</w:t>
      </w:r>
      <w:r w:rsidR="003A1917">
        <w:rPr>
          <w:kern w:val="0"/>
        </w:rPr>
        <w:t xml:space="preserve"> the </w:t>
      </w:r>
      <w:r>
        <w:rPr>
          <w:kern w:val="0"/>
        </w:rPr>
        <w:t>mortality</w:t>
      </w:r>
      <w:r w:rsidR="00427468">
        <w:rPr>
          <w:kern w:val="0"/>
        </w:rPr>
        <w:t xml:space="preserve"> of </w:t>
      </w:r>
      <w:r>
        <w:rPr>
          <w:kern w:val="0"/>
        </w:rPr>
        <w:t>patients. This notion is predominantly based on</w:t>
      </w:r>
      <w:r w:rsidR="003A1917">
        <w:rPr>
          <w:kern w:val="0"/>
        </w:rPr>
        <w:t xml:space="preserve"> the </w:t>
      </w:r>
      <w:r>
        <w:rPr>
          <w:kern w:val="0"/>
        </w:rPr>
        <w:t>results</w:t>
      </w:r>
      <w:r w:rsidR="00427468">
        <w:rPr>
          <w:kern w:val="0"/>
        </w:rPr>
        <w:t xml:space="preserve"> of </w:t>
      </w:r>
      <w:r>
        <w:rPr>
          <w:kern w:val="0"/>
        </w:rPr>
        <w:t xml:space="preserve">observational studies. Data Source. We performed a systematic search strategy using PUBMED,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EMBASE from their inception through February 2007. In addition, a reference</w:t>
      </w:r>
      <w:r w:rsidR="005853A9">
        <w:rPr>
          <w:kern w:val="0"/>
        </w:rPr>
        <w:t xml:space="preserve"> and </w:t>
      </w:r>
      <w:r>
        <w:rPr>
          <w:kern w:val="0"/>
        </w:rPr>
        <w:t>related article search was performed. Study Selection. Studies were included if they reported mortality rates</w:t>
      </w:r>
      <w:r w:rsidR="00427468">
        <w:rPr>
          <w:kern w:val="0"/>
        </w:rPr>
        <w:t xml:space="preserve"> of </w:t>
      </w:r>
      <w:r>
        <w:rPr>
          <w:kern w:val="0"/>
        </w:rPr>
        <w:t>patients with</w:t>
      </w:r>
      <w:r w:rsidR="005853A9">
        <w:rPr>
          <w:kern w:val="0"/>
        </w:rPr>
        <w:t xml:space="preserve"> and </w:t>
      </w:r>
      <w:r>
        <w:rPr>
          <w:kern w:val="0"/>
        </w:rPr>
        <w:t>without ventilator-associated pneumonia. Data Extraction</w:t>
      </w:r>
      <w:r w:rsidR="005853A9">
        <w:rPr>
          <w:kern w:val="0"/>
        </w:rPr>
        <w:t xml:space="preserve"> and </w:t>
      </w:r>
      <w:r>
        <w:rPr>
          <w:kern w:val="0"/>
        </w:rPr>
        <w:t>Synthesis. Fifty-two studies with a total</w:t>
      </w:r>
      <w:r w:rsidR="00427468">
        <w:rPr>
          <w:kern w:val="0"/>
        </w:rPr>
        <w:t xml:space="preserve"> of </w:t>
      </w:r>
      <w:r>
        <w:rPr>
          <w:kern w:val="0"/>
        </w:rPr>
        <w:t>17,347 patients met</w:t>
      </w:r>
      <w:r w:rsidR="003A1917">
        <w:rPr>
          <w:kern w:val="0"/>
        </w:rPr>
        <w:t xml:space="preserve"> the </w:t>
      </w:r>
      <w:r>
        <w:rPr>
          <w:kern w:val="0"/>
        </w:rPr>
        <w:t>inclusion criteria. Pooling</w:t>
      </w:r>
      <w:r w:rsidR="00427468">
        <w:rPr>
          <w:kern w:val="0"/>
        </w:rPr>
        <w:t xml:space="preserve"> of </w:t>
      </w:r>
      <w:r>
        <w:rPr>
          <w:kern w:val="0"/>
        </w:rPr>
        <w:t>all studies resulted in relative risk</w:t>
      </w:r>
      <w:r w:rsidR="00427468">
        <w:rPr>
          <w:kern w:val="0"/>
        </w:rPr>
        <w:t xml:space="preserve"> of </w:t>
      </w:r>
      <w:r>
        <w:rPr>
          <w:kern w:val="0"/>
        </w:rPr>
        <w:t>1.27 (95% Confidence Interval = 1.15-1.39), but heterogeneity was considerable (12 statistic = 69%)</w:t>
      </w:r>
      <w:r w:rsidR="00A37C1D">
        <w:rPr>
          <w:kern w:val="0"/>
        </w:rPr>
        <w:t>. The</w:t>
      </w:r>
      <w:r w:rsidR="003A1917">
        <w:rPr>
          <w:kern w:val="0"/>
        </w:rPr>
        <w:t xml:space="preserve"> </w:t>
      </w:r>
      <w:r>
        <w:rPr>
          <w:kern w:val="0"/>
        </w:rPr>
        <w:t>origin</w:t>
      </w:r>
      <w:r w:rsidR="00427468">
        <w:rPr>
          <w:kern w:val="0"/>
        </w:rPr>
        <w:t xml:space="preserve"> of </w:t>
      </w:r>
      <w:r>
        <w:rPr>
          <w:kern w:val="0"/>
        </w:rPr>
        <w:t>heterogeneity could not be explained by differences in study design, study quality,</w:t>
      </w:r>
      <w:r w:rsidR="005853A9">
        <w:rPr>
          <w:kern w:val="0"/>
        </w:rPr>
        <w:t xml:space="preserve"> and </w:t>
      </w:r>
      <w:r>
        <w:rPr>
          <w:kern w:val="0"/>
        </w:rPr>
        <w:t>diagnostic approach. However, heterogeneity was limited for studies investigating only trauma patients (I(2) = 1.3%) or patients with acute respiratory distress syndrome (I(2) = 0%), with estimated relative risk</w:t>
      </w:r>
      <w:r w:rsidR="00427468">
        <w:rPr>
          <w:kern w:val="0"/>
        </w:rPr>
        <w:t xml:space="preserve"> of </w:t>
      </w:r>
      <w:r>
        <w:rPr>
          <w:kern w:val="0"/>
        </w:rPr>
        <w:t>1.09 (95% Confidence Interval = 0.87-1.37) among trauma patients</w:t>
      </w:r>
      <w:r w:rsidR="005853A9">
        <w:rPr>
          <w:kern w:val="0"/>
        </w:rPr>
        <w:t xml:space="preserve"> and </w:t>
      </w:r>
      <w:r>
        <w:rPr>
          <w:kern w:val="0"/>
        </w:rPr>
        <w:t>0.86 (95% Confidence Interval = 0.72-1.04) among patients with acute respiratory distress syndrome. Conclusions: There is no evidence</w:t>
      </w:r>
      <w:r w:rsidR="00427468">
        <w:rPr>
          <w:kern w:val="0"/>
        </w:rPr>
        <w:t xml:space="preserve"> of </w:t>
      </w:r>
      <w:r>
        <w:rPr>
          <w:kern w:val="0"/>
        </w:rPr>
        <w:t>attributable mortality due to ventilator-associated pneumonia in patients with trauma or acute respiratory distress syndrome. However, in other nonspecified patient groups, there is evidence for attributable mortality due to ventilator-associated pneumonia, but this could not be quantified due to heterogeneity in study results. More detailed studies, allowing subgroup analyses, are needed to determine</w:t>
      </w:r>
      <w:r w:rsidR="003A1917">
        <w:rPr>
          <w:kern w:val="0"/>
        </w:rPr>
        <w:t xml:space="preserve"> the </w:t>
      </w:r>
      <w:r>
        <w:rPr>
          <w:kern w:val="0"/>
        </w:rPr>
        <w:t>attributable mortality</w:t>
      </w:r>
      <w:r w:rsidR="00427468">
        <w:rPr>
          <w:kern w:val="0"/>
        </w:rPr>
        <w:t xml:space="preserve"> of </w:t>
      </w:r>
      <w:r>
        <w:rPr>
          <w:kern w:val="0"/>
        </w:rPr>
        <w:t>ventilator-associated pneumonia in these patient populations. (Crit Care Med 2009; 37:2709-2718).</w:t>
      </w:r>
    </w:p>
    <w:p w:rsidR="00B8706F" w:rsidRDefault="00B8706F" w:rsidP="00B8706F">
      <w:pPr>
        <w:pStyle w:val="a3"/>
        <w:rPr>
          <w:kern w:val="0"/>
        </w:rPr>
      </w:pPr>
      <w:r>
        <w:rPr>
          <w:kern w:val="0"/>
        </w:rPr>
        <w:t xml:space="preserve">Keywords: Adult Patients, Care, Developing-Country, Distress, Double-Blind, Extraction, Intensive Care, Intensive-Care-Unit, Mechanical Ventilation, Mechanical Ventilation, Meta-Analysis, Mortality, Multiple Trauma Patients, Nosocomial Pneumonia, Nosocomial Pneumonia, Observational Studies, Outcome, Pubmed, </w:t>
      </w:r>
      <w:r>
        <w:rPr>
          <w:kern w:val="0"/>
        </w:rPr>
        <w:lastRenderedPageBreak/>
        <w:t xml:space="preserve">Relative Risk, Respiratory-Distress-Syndrome, Review, Risk, Risk-Factors, Science, Selective Decontamination, Strategy, Systematic, Systematic Review, Trauma, </w:t>
      </w:r>
      <w:r w:rsidR="00D5664A">
        <w:rPr>
          <w:kern w:val="0"/>
        </w:rPr>
        <w:t>Web</w:t>
      </w:r>
      <w:r w:rsidR="00427468">
        <w:rPr>
          <w:kern w:val="0"/>
        </w:rPr>
        <w:t xml:space="preserve"> of </w:t>
      </w:r>
      <w:r w:rsidR="00D5664A">
        <w:rPr>
          <w:kern w:val="0"/>
        </w:rPr>
        <w:t>Science</w:t>
      </w:r>
    </w:p>
    <w:p w:rsidR="00B8706F" w:rsidRDefault="00B8706F" w:rsidP="00B8706F">
      <w:pPr>
        <w:pStyle w:val="a3"/>
        <w:rPr>
          <w:kern w:val="0"/>
        </w:rPr>
      </w:pPr>
      <w:r>
        <w:rPr>
          <w:rFonts w:hint="eastAsia"/>
          <w:kern w:val="0"/>
        </w:rPr>
        <w:t xml:space="preserve">? </w:t>
      </w:r>
      <w:r>
        <w:rPr>
          <w:kern w:val="0"/>
        </w:rPr>
        <w:t>Oeyen, S.G., Vandijck, D.M., Benoit, D.D., Annemans, L.</w:t>
      </w:r>
      <w:r w:rsidR="005853A9">
        <w:rPr>
          <w:kern w:val="0"/>
        </w:rPr>
        <w:t xml:space="preserve"> and </w:t>
      </w:r>
      <w:r>
        <w:rPr>
          <w:kern w:val="0"/>
        </w:rPr>
        <w:t>Decruyenaere, J.M. (2010), Quality</w:t>
      </w:r>
      <w:r w:rsidR="00427468">
        <w:rPr>
          <w:kern w:val="0"/>
        </w:rPr>
        <w:t xml:space="preserve"> of </w:t>
      </w:r>
      <w:r>
        <w:rPr>
          <w:kern w:val="0"/>
        </w:rPr>
        <w:t>life after intensive care: A systematic review</w:t>
      </w:r>
      <w:r w:rsidR="00427468">
        <w:rPr>
          <w:kern w:val="0"/>
        </w:rPr>
        <w:t xml:space="preserve"> of </w:t>
      </w:r>
      <w:r w:rsidR="003A1917">
        <w:rPr>
          <w:kern w:val="0"/>
        </w:rPr>
        <w:t xml:space="preserve">the </w:t>
      </w:r>
      <w:r>
        <w:rPr>
          <w:kern w:val="0"/>
        </w:rPr>
        <w:t xml:space="preserve">literature. </w:t>
      </w:r>
      <w:r>
        <w:rPr>
          <w:i/>
          <w:iCs/>
          <w:kern w:val="0"/>
        </w:rPr>
        <w:t>Critical Care Medicine</w:t>
      </w:r>
      <w:r>
        <w:rPr>
          <w:kern w:val="0"/>
        </w:rPr>
        <w:t xml:space="preserve">, </w:t>
      </w:r>
      <w:r>
        <w:rPr>
          <w:b/>
          <w:bCs/>
          <w:kern w:val="0"/>
        </w:rPr>
        <w:t>38</w:t>
      </w:r>
      <w:r>
        <w:rPr>
          <w:kern w:val="0"/>
        </w:rPr>
        <w:t xml:space="preserve"> (12), 2386-2400.</w:t>
      </w:r>
    </w:p>
    <w:p w:rsidR="00B8706F" w:rsidRPr="001A3D2B" w:rsidRDefault="00B8706F" w:rsidP="00B8706F">
      <w:pPr>
        <w:pStyle w:val="a3"/>
      </w:pPr>
      <w:r w:rsidRPr="001A3D2B">
        <w:t xml:space="preserve">Full Text: </w:t>
      </w:r>
      <w:hyperlink r:id="rId1065" w:history="1">
        <w:r w:rsidR="002144DD" w:rsidRPr="002144DD">
          <w:rPr>
            <w:rStyle w:val="a5"/>
          </w:rPr>
          <w:t>2010\Cri Car Med38, 2386.pdf</w:t>
        </w:r>
      </w:hyperlink>
    </w:p>
    <w:p w:rsidR="00B8706F" w:rsidRDefault="00B8706F" w:rsidP="00B8706F">
      <w:pPr>
        <w:pStyle w:val="a3"/>
        <w:rPr>
          <w:kern w:val="0"/>
        </w:rPr>
      </w:pPr>
      <w:r>
        <w:rPr>
          <w:kern w:val="0"/>
        </w:rPr>
        <w:t>Abstract: Objectives: To evaluate quality</w:t>
      </w:r>
      <w:r w:rsidR="00427468">
        <w:rPr>
          <w:kern w:val="0"/>
        </w:rPr>
        <w:t xml:space="preserve"> of </w:t>
      </w:r>
      <w:r>
        <w:rPr>
          <w:kern w:val="0"/>
        </w:rPr>
        <w:t>life at least 12 months after discharge from</w:t>
      </w:r>
      <w:r w:rsidR="003A1917">
        <w:rPr>
          <w:kern w:val="0"/>
        </w:rPr>
        <w:t xml:space="preserve"> the </w:t>
      </w:r>
      <w:r>
        <w:rPr>
          <w:kern w:val="0"/>
        </w:rPr>
        <w:t>intensive care unit</w:t>
      </w:r>
      <w:r w:rsidR="00427468">
        <w:rPr>
          <w:kern w:val="0"/>
        </w:rPr>
        <w:t xml:space="preserve"> of </w:t>
      </w:r>
      <w:r>
        <w:rPr>
          <w:kern w:val="0"/>
        </w:rPr>
        <w:t>adult critically ill patients, to evaluate</w:t>
      </w:r>
      <w:r w:rsidR="003A1917">
        <w:rPr>
          <w:kern w:val="0"/>
        </w:rPr>
        <w:t xml:space="preserve"> the </w:t>
      </w:r>
      <w:r>
        <w:rPr>
          <w:kern w:val="0"/>
        </w:rPr>
        <w:t>methodology used to assess long-term quality</w:t>
      </w:r>
      <w:r w:rsidR="00427468">
        <w:rPr>
          <w:kern w:val="0"/>
        </w:rPr>
        <w:t xml:space="preserve"> of </w:t>
      </w:r>
      <w:r>
        <w:rPr>
          <w:kern w:val="0"/>
        </w:rPr>
        <w:t>life,</w:t>
      </w:r>
      <w:r w:rsidR="005853A9">
        <w:rPr>
          <w:kern w:val="0"/>
        </w:rPr>
        <w:t xml:space="preserve"> and </w:t>
      </w:r>
      <w:r>
        <w:rPr>
          <w:kern w:val="0"/>
        </w:rPr>
        <w:t>to give an overview</w:t>
      </w:r>
      <w:r w:rsidR="00427468">
        <w:rPr>
          <w:kern w:val="0"/>
        </w:rPr>
        <w:t xml:space="preserve"> of </w:t>
      </w:r>
      <w:r>
        <w:rPr>
          <w:kern w:val="0"/>
        </w:rPr>
        <w:t>factors influencing quality</w:t>
      </w:r>
      <w:r w:rsidR="00427468">
        <w:rPr>
          <w:kern w:val="0"/>
        </w:rPr>
        <w:t xml:space="preserve"> of </w:t>
      </w:r>
      <w:r>
        <w:rPr>
          <w:kern w:val="0"/>
        </w:rPr>
        <w:t xml:space="preserve">life. Data Sources: EMBASE-PUBMED, </w:t>
      </w:r>
      <w:r w:rsidR="00D5664A">
        <w:rPr>
          <w:kern w:val="0"/>
        </w:rPr>
        <w:t>MEDLINE</w:t>
      </w:r>
      <w:r>
        <w:rPr>
          <w:kern w:val="0"/>
        </w:rPr>
        <w:t xml:space="preserve"> (OVID), SCI/</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 Google Scholar,</w:t>
      </w:r>
      <w:r w:rsidR="005853A9">
        <w:rPr>
          <w:kern w:val="0"/>
        </w:rPr>
        <w:t xml:space="preserve"> and </w:t>
      </w:r>
      <w:r>
        <w:rPr>
          <w:kern w:val="0"/>
        </w:rPr>
        <w:t>personal files. Data Extraction: Data extraction was performed independently</w:t>
      </w:r>
      <w:r w:rsidR="005853A9">
        <w:rPr>
          <w:kern w:val="0"/>
        </w:rPr>
        <w:t xml:space="preserve"> and </w:t>
      </w:r>
      <w:r>
        <w:rPr>
          <w:kern w:val="0"/>
        </w:rPr>
        <w:t>cross-checked by two reviewers using a predefined data extraction form. Eligible studies were published between 1999</w:t>
      </w:r>
      <w:r w:rsidR="005853A9">
        <w:rPr>
          <w:kern w:val="0"/>
        </w:rPr>
        <w:t xml:space="preserve"> and </w:t>
      </w:r>
      <w:r>
        <w:rPr>
          <w:kern w:val="0"/>
        </w:rPr>
        <w:t>2009</w:t>
      </w:r>
      <w:r w:rsidR="005853A9">
        <w:rPr>
          <w:kern w:val="0"/>
        </w:rPr>
        <w:t xml:space="preserve"> and </w:t>
      </w:r>
      <w:r>
        <w:rPr>
          <w:kern w:val="0"/>
        </w:rPr>
        <w:t>assessed quality</w:t>
      </w:r>
      <w:r w:rsidR="00427468">
        <w:rPr>
          <w:kern w:val="0"/>
        </w:rPr>
        <w:t xml:space="preserve"> of </w:t>
      </w:r>
      <w:r>
        <w:rPr>
          <w:kern w:val="0"/>
        </w:rPr>
        <w:t>life &gt;= 12 months after intensive care unit discharge by means</w:t>
      </w:r>
      <w:r w:rsidR="00427468">
        <w:rPr>
          <w:kern w:val="0"/>
        </w:rPr>
        <w:t xml:space="preserve"> of </w:t>
      </w:r>
      <w:r w:rsidR="003A1917">
        <w:rPr>
          <w:kern w:val="0"/>
        </w:rPr>
        <w:t xml:space="preserve">the </w:t>
      </w:r>
      <w:r>
        <w:rPr>
          <w:kern w:val="0"/>
        </w:rPr>
        <w:t>Medical Outcomes Study 36-Item Short Form Health Survey,</w:t>
      </w:r>
      <w:r w:rsidR="003A1917">
        <w:rPr>
          <w:kern w:val="0"/>
        </w:rPr>
        <w:t xml:space="preserve"> the </w:t>
      </w:r>
      <w:r>
        <w:rPr>
          <w:kern w:val="0"/>
        </w:rPr>
        <w:t>RAND 36-Item Health Survey, EuroQol-5D, and/or</w:t>
      </w:r>
      <w:r w:rsidR="003A1917">
        <w:rPr>
          <w:kern w:val="0"/>
        </w:rPr>
        <w:t xml:space="preserve"> the </w:t>
      </w:r>
      <w:r>
        <w:rPr>
          <w:kern w:val="0"/>
        </w:rPr>
        <w:t>Nottingham Health Profile in adult intensive care unit patients. Data Synthesis: Fifty-three articles (10 multicenters) were included, with</w:t>
      </w:r>
      <w:r w:rsidR="003A1917">
        <w:rPr>
          <w:kern w:val="0"/>
        </w:rPr>
        <w:t xml:space="preserve"> the </w:t>
      </w:r>
      <w:r>
        <w:rPr>
          <w:kern w:val="0"/>
        </w:rPr>
        <w:t>majority</w:t>
      </w:r>
      <w:r w:rsidR="00427468">
        <w:rPr>
          <w:kern w:val="0"/>
        </w:rPr>
        <w:t xml:space="preserve"> of </w:t>
      </w:r>
      <w:r>
        <w:rPr>
          <w:kern w:val="0"/>
        </w:rPr>
        <w:t>studies performed in Europe (68%)</w:t>
      </w:r>
      <w:r w:rsidR="00A37C1D">
        <w:rPr>
          <w:kern w:val="0"/>
        </w:rPr>
        <w:t>. The</w:t>
      </w:r>
      <w:r w:rsidR="003A1917">
        <w:rPr>
          <w:kern w:val="0"/>
        </w:rPr>
        <w:t xml:space="preserve"> </w:t>
      </w:r>
      <w:r>
        <w:rPr>
          <w:kern w:val="0"/>
        </w:rPr>
        <w:t>Medical Outcomes Study 36-Item Short Form Health Survey was used in 55%,</w:t>
      </w:r>
      <w:r w:rsidR="005853A9">
        <w:rPr>
          <w:kern w:val="0"/>
        </w:rPr>
        <w:t xml:space="preserve"> and </w:t>
      </w:r>
      <w:r w:rsidR="003A1917">
        <w:rPr>
          <w:kern w:val="0"/>
        </w:rPr>
        <w:t xml:space="preserve">the </w:t>
      </w:r>
      <w:r>
        <w:rPr>
          <w:kern w:val="0"/>
        </w:rPr>
        <w:t>EuroQol-5D,</w:t>
      </w:r>
      <w:r w:rsidR="003A1917">
        <w:rPr>
          <w:kern w:val="0"/>
        </w:rPr>
        <w:t xml:space="preserve"> the </w:t>
      </w:r>
      <w:r>
        <w:rPr>
          <w:kern w:val="0"/>
        </w:rPr>
        <w:t>Nottingham Health Profile,</w:t>
      </w:r>
      <w:r w:rsidR="003A1917">
        <w:rPr>
          <w:kern w:val="0"/>
        </w:rPr>
        <w:t xml:space="preserve"> the </w:t>
      </w:r>
      <w:r>
        <w:rPr>
          <w:kern w:val="0"/>
        </w:rPr>
        <w:t>RAND 36-Item Health Survey, or a combination was used in 21%, 9%, 8%, or 8%, respectively. A response rate</w:t>
      </w:r>
      <w:r w:rsidR="00427468">
        <w:rPr>
          <w:kern w:val="0"/>
        </w:rPr>
        <w:t xml:space="preserve"> of </w:t>
      </w:r>
      <w:r>
        <w:rPr>
          <w:kern w:val="0"/>
        </w:rPr>
        <w:t>&gt;= 80% was attained in 26 studies (49%). Critically ill patients had a lower quality</w:t>
      </w:r>
      <w:r w:rsidR="00427468">
        <w:rPr>
          <w:kern w:val="0"/>
        </w:rPr>
        <w:t xml:space="preserve"> of </w:t>
      </w:r>
      <w:r>
        <w:rPr>
          <w:kern w:val="0"/>
        </w:rPr>
        <w:t>life than an age-and gender-matched population, but quality</w:t>
      </w:r>
      <w:r w:rsidR="00427468">
        <w:rPr>
          <w:kern w:val="0"/>
        </w:rPr>
        <w:t xml:space="preserve"> of </w:t>
      </w:r>
      <w:r>
        <w:rPr>
          <w:kern w:val="0"/>
        </w:rPr>
        <w:t>life tended to improve over years</w:t>
      </w:r>
      <w:r w:rsidR="00A37C1D">
        <w:rPr>
          <w:kern w:val="0"/>
        </w:rPr>
        <w:t>. The</w:t>
      </w:r>
      <w:r w:rsidR="003A1917">
        <w:rPr>
          <w:kern w:val="0"/>
        </w:rPr>
        <w:t xml:space="preserve"> </w:t>
      </w:r>
      <w:r>
        <w:rPr>
          <w:kern w:val="0"/>
        </w:rPr>
        <w:t>worst reductions in quality</w:t>
      </w:r>
      <w:r w:rsidR="00427468">
        <w:rPr>
          <w:kern w:val="0"/>
        </w:rPr>
        <w:t xml:space="preserve"> of </w:t>
      </w:r>
      <w:r>
        <w:rPr>
          <w:kern w:val="0"/>
        </w:rPr>
        <w:t>life were seen in cases</w:t>
      </w:r>
      <w:r w:rsidR="00427468">
        <w:rPr>
          <w:kern w:val="0"/>
        </w:rPr>
        <w:t xml:space="preserve"> of </w:t>
      </w:r>
      <w:r>
        <w:rPr>
          <w:kern w:val="0"/>
        </w:rPr>
        <w:t>severe acute respiratory distress syndrome, prolonged mechanical ventilation, severe trauma,</w:t>
      </w:r>
      <w:r w:rsidR="005853A9">
        <w:rPr>
          <w:kern w:val="0"/>
        </w:rPr>
        <w:t xml:space="preserve"> and </w:t>
      </w:r>
      <w:r>
        <w:rPr>
          <w:kern w:val="0"/>
        </w:rPr>
        <w:t>severe sepsis. Study quality criteria, defined as a baseline quality</w:t>
      </w:r>
      <w:r w:rsidR="00427468">
        <w:rPr>
          <w:kern w:val="0"/>
        </w:rPr>
        <w:t xml:space="preserve"> of </w:t>
      </w:r>
      <w:r>
        <w:rPr>
          <w:kern w:val="0"/>
        </w:rPr>
        <w:t>life assessment,</w:t>
      </w:r>
      <w:r w:rsidR="003A1917">
        <w:rPr>
          <w:kern w:val="0"/>
        </w:rPr>
        <w:t xml:space="preserve"> the </w:t>
      </w:r>
      <w:r>
        <w:rPr>
          <w:kern w:val="0"/>
        </w:rPr>
        <w:t>absence</w:t>
      </w:r>
      <w:r w:rsidR="00427468">
        <w:rPr>
          <w:kern w:val="0"/>
        </w:rPr>
        <w:t xml:space="preserve"> of </w:t>
      </w:r>
      <w:r>
        <w:rPr>
          <w:kern w:val="0"/>
        </w:rPr>
        <w:t>major exclusion criteria, a description</w:t>
      </w:r>
      <w:r w:rsidR="00427468">
        <w:rPr>
          <w:kern w:val="0"/>
        </w:rPr>
        <w:t xml:space="preserve"> of </w:t>
      </w:r>
      <w:r>
        <w:rPr>
          <w:kern w:val="0"/>
        </w:rPr>
        <w:t>nonresponders,</w:t>
      </w:r>
      <w:r w:rsidR="005853A9">
        <w:rPr>
          <w:kern w:val="0"/>
        </w:rPr>
        <w:t xml:space="preserve"> and </w:t>
      </w:r>
      <w:r>
        <w:rPr>
          <w:kern w:val="0"/>
        </w:rPr>
        <w:t>a comparison with a reference population were met in only four studies (8%). Results concerning</w:t>
      </w:r>
      <w:r w:rsidR="003A1917">
        <w:rPr>
          <w:kern w:val="0"/>
        </w:rPr>
        <w:t xml:space="preserve"> the </w:t>
      </w:r>
      <w:r>
        <w:rPr>
          <w:kern w:val="0"/>
        </w:rPr>
        <w:t>influence</w:t>
      </w:r>
      <w:r w:rsidR="00427468">
        <w:rPr>
          <w:kern w:val="0"/>
        </w:rPr>
        <w:t xml:space="preserve"> of </w:t>
      </w:r>
      <w:r>
        <w:rPr>
          <w:kern w:val="0"/>
        </w:rPr>
        <w:t>severity</w:t>
      </w:r>
      <w:r w:rsidR="00427468">
        <w:rPr>
          <w:kern w:val="0"/>
        </w:rPr>
        <w:t xml:space="preserve"> of </w:t>
      </w:r>
      <w:r>
        <w:rPr>
          <w:kern w:val="0"/>
        </w:rPr>
        <w:t>illness, comorbidity, preadmission quality</w:t>
      </w:r>
      <w:r w:rsidR="00427468">
        <w:rPr>
          <w:kern w:val="0"/>
        </w:rPr>
        <w:t xml:space="preserve"> of </w:t>
      </w:r>
      <w:r>
        <w:rPr>
          <w:kern w:val="0"/>
        </w:rPr>
        <w:t>life, age, gender, or acquired complications were conflicting. Conclusions: Quality</w:t>
      </w:r>
      <w:r w:rsidR="00427468">
        <w:rPr>
          <w:kern w:val="0"/>
        </w:rPr>
        <w:t xml:space="preserve"> of </w:t>
      </w:r>
      <w:r>
        <w:rPr>
          <w:kern w:val="0"/>
        </w:rPr>
        <w:t>life differed on diagnostic category but, overall, critically ill patients had a lower quality</w:t>
      </w:r>
      <w:r w:rsidR="00427468">
        <w:rPr>
          <w:kern w:val="0"/>
        </w:rPr>
        <w:t xml:space="preserve"> of </w:t>
      </w:r>
      <w:r>
        <w:rPr>
          <w:kern w:val="0"/>
        </w:rPr>
        <w:t>life than an age-and gender-matched population. A minority</w:t>
      </w:r>
      <w:r w:rsidR="00427468">
        <w:rPr>
          <w:kern w:val="0"/>
        </w:rPr>
        <w:t xml:space="preserve"> of </w:t>
      </w:r>
      <w:r>
        <w:rPr>
          <w:kern w:val="0"/>
        </w:rPr>
        <w:t>studies met</w:t>
      </w:r>
      <w:r w:rsidR="003A1917">
        <w:rPr>
          <w:kern w:val="0"/>
        </w:rPr>
        <w:t xml:space="preserve"> the </w:t>
      </w:r>
      <w:r>
        <w:rPr>
          <w:kern w:val="0"/>
        </w:rPr>
        <w:t>predefined methodologic quality criteria. Results concerning</w:t>
      </w:r>
      <w:r w:rsidR="003A1917">
        <w:rPr>
          <w:kern w:val="0"/>
        </w:rPr>
        <w:t xml:space="preserve"> the </w:t>
      </w:r>
      <w:r>
        <w:rPr>
          <w:kern w:val="0"/>
        </w:rPr>
        <w:t>influence</w:t>
      </w:r>
      <w:r w:rsidR="00427468">
        <w:rPr>
          <w:kern w:val="0"/>
        </w:rPr>
        <w:t xml:space="preserve"> of </w:t>
      </w:r>
      <w:r w:rsidR="003A1917">
        <w:rPr>
          <w:kern w:val="0"/>
        </w:rPr>
        <w:t xml:space="preserve">the </w:t>
      </w:r>
      <w:r>
        <w:rPr>
          <w:kern w:val="0"/>
        </w:rPr>
        <w:t>patients</w:t>
      </w:r>
      <w:r w:rsidR="0071223E">
        <w:rPr>
          <w:kern w:val="0"/>
        </w:rPr>
        <w:t>’</w:t>
      </w:r>
      <w:r>
        <w:rPr>
          <w:kern w:val="0"/>
        </w:rPr>
        <w:t xml:space="preserve"> characteristics</w:t>
      </w:r>
      <w:r w:rsidR="005853A9">
        <w:rPr>
          <w:kern w:val="0"/>
        </w:rPr>
        <w:t xml:space="preserve"> and </w:t>
      </w:r>
      <w:r>
        <w:rPr>
          <w:kern w:val="0"/>
        </w:rPr>
        <w:t>illnesses on long-term quality</w:t>
      </w:r>
      <w:r w:rsidR="00427468">
        <w:rPr>
          <w:kern w:val="0"/>
        </w:rPr>
        <w:t xml:space="preserve"> of </w:t>
      </w:r>
      <w:r>
        <w:rPr>
          <w:kern w:val="0"/>
        </w:rPr>
        <w:t>life were conflicting. (Crit Care Med 2010; 38:2386-2400).</w:t>
      </w:r>
    </w:p>
    <w:p w:rsidR="00B8706F" w:rsidRDefault="00B8706F" w:rsidP="00B8706F">
      <w:pPr>
        <w:pStyle w:val="a3"/>
        <w:rPr>
          <w:kern w:val="0"/>
        </w:rPr>
      </w:pPr>
      <w:r>
        <w:rPr>
          <w:kern w:val="0"/>
        </w:rPr>
        <w:t xml:space="preserve">Keywords: Acute-Pancreatitis, Adult, Assessment, Care, Cochrane, Comorbidity, Critically Ill Patients, Critically-Ill Patients, Distress, Elderly-Patients, Europe, </w:t>
      </w:r>
      <w:r>
        <w:rPr>
          <w:kern w:val="0"/>
        </w:rPr>
        <w:lastRenderedPageBreak/>
        <w:t xml:space="preserve">Extraction, Gender, Google Scholar, Health, Hospital Cardiac-Arrest, Intensive Care, Intensive Care Unit, Literature, Long-Term Outcome, Long-Term Survivors, Major Trauma, Mechanical Ventilation, </w:t>
      </w:r>
      <w:r w:rsidR="00D5664A">
        <w:rPr>
          <w:kern w:val="0"/>
        </w:rPr>
        <w:t>MEDLINE</w:t>
      </w:r>
      <w:r>
        <w:rPr>
          <w:kern w:val="0"/>
        </w:rPr>
        <w:t>, Methodology, Nottingham Health Profile, Outcomes, Overview, Profile, Prolonged Mechanical Ventilation, Pulmonary-Function, Quality, Quality</w:t>
      </w:r>
      <w:r w:rsidR="00427468">
        <w:rPr>
          <w:kern w:val="0"/>
        </w:rPr>
        <w:t xml:space="preserve"> of </w:t>
      </w:r>
      <w:r>
        <w:rPr>
          <w:kern w:val="0"/>
        </w:rPr>
        <w:t>Life, Respiratory-Distress-Syndrome, Review, Science, Sources, Systematic, Systematic Review, Trauma</w:t>
      </w:r>
    </w:p>
    <w:p w:rsidR="00B8706F" w:rsidRDefault="00B8706F" w:rsidP="00B8706F">
      <w:pPr>
        <w:pStyle w:val="a3"/>
        <w:rPr>
          <w:kern w:val="0"/>
        </w:rPr>
      </w:pPr>
      <w:r>
        <w:rPr>
          <w:rFonts w:hint="eastAsia"/>
          <w:kern w:val="0"/>
        </w:rPr>
        <w:t xml:space="preserve">? </w:t>
      </w:r>
      <w:r>
        <w:rPr>
          <w:kern w:val="0"/>
        </w:rPr>
        <w:t>Rajasekhar, A., Gowing, R., Zarychanski, R., Arnold, D.M., Lim, W., Crowther, M.A.</w:t>
      </w:r>
      <w:r w:rsidR="005853A9">
        <w:rPr>
          <w:kern w:val="0"/>
        </w:rPr>
        <w:t xml:space="preserve"> and </w:t>
      </w:r>
      <w:r>
        <w:rPr>
          <w:kern w:val="0"/>
        </w:rPr>
        <w:t>Lottenberg, R. (2011), Survival</w:t>
      </w:r>
      <w:r w:rsidR="00427468">
        <w:rPr>
          <w:kern w:val="0"/>
        </w:rPr>
        <w:t xml:space="preserve"> of </w:t>
      </w:r>
      <w:r>
        <w:rPr>
          <w:kern w:val="0"/>
        </w:rPr>
        <w:t xml:space="preserve">trauma patients after massive red blood cell transfusion using a high or low red blood cell to plasma transfusion ratio. </w:t>
      </w:r>
      <w:r>
        <w:rPr>
          <w:i/>
          <w:iCs/>
          <w:kern w:val="0"/>
        </w:rPr>
        <w:t>Critical Care Medicine</w:t>
      </w:r>
      <w:r>
        <w:rPr>
          <w:kern w:val="0"/>
        </w:rPr>
        <w:t xml:space="preserve">, </w:t>
      </w:r>
      <w:r>
        <w:rPr>
          <w:b/>
          <w:bCs/>
          <w:kern w:val="0"/>
        </w:rPr>
        <w:t>39</w:t>
      </w:r>
      <w:r>
        <w:rPr>
          <w:kern w:val="0"/>
        </w:rPr>
        <w:t xml:space="preserve"> (6), 1507-1513.</w:t>
      </w:r>
    </w:p>
    <w:p w:rsidR="002144DD" w:rsidRPr="001A3D2B" w:rsidRDefault="002144DD" w:rsidP="002144DD">
      <w:pPr>
        <w:pStyle w:val="a3"/>
      </w:pPr>
      <w:r w:rsidRPr="001A3D2B">
        <w:t xml:space="preserve">Full Text: </w:t>
      </w:r>
      <w:hyperlink r:id="rId1066" w:history="1">
        <w:r w:rsidRPr="0040169E">
          <w:rPr>
            <w:rStyle w:val="a5"/>
          </w:rPr>
          <w:t>2011\Cri Car Med39, 1507.pdf</w:t>
        </w:r>
      </w:hyperlink>
    </w:p>
    <w:p w:rsidR="00B8706F" w:rsidRDefault="00B8706F" w:rsidP="00B8706F">
      <w:pPr>
        <w:pStyle w:val="a3"/>
        <w:rPr>
          <w:kern w:val="0"/>
        </w:rPr>
      </w:pPr>
      <w:r>
        <w:rPr>
          <w:kern w:val="0"/>
        </w:rPr>
        <w:t>Abstract: Objective: Early</w:t>
      </w:r>
      <w:r w:rsidR="005853A9">
        <w:rPr>
          <w:kern w:val="0"/>
        </w:rPr>
        <w:t xml:space="preserve"> and </w:t>
      </w:r>
      <w:r>
        <w:rPr>
          <w:kern w:val="0"/>
        </w:rPr>
        <w:t>aggressive treatment</w:t>
      </w:r>
      <w:r w:rsidR="00427468">
        <w:rPr>
          <w:kern w:val="0"/>
        </w:rPr>
        <w:t xml:space="preserve"> of </w:t>
      </w:r>
      <w:r>
        <w:rPr>
          <w:kern w:val="0"/>
        </w:rPr>
        <w:t>trauma-associated coagulopathy through transfusion</w:t>
      </w:r>
      <w:r w:rsidR="00427468">
        <w:rPr>
          <w:kern w:val="0"/>
        </w:rPr>
        <w:t xml:space="preserve"> of </w:t>
      </w:r>
      <w:r>
        <w:rPr>
          <w:kern w:val="0"/>
        </w:rPr>
        <w:t xml:space="preserve">high plasma to packed red blood cell ratios is gaining favor. Whether this strategy is associated with improved survival is unclear. We performed a systematic review to determine whether higher plasma to packed red blood cell ratios compared with lower plasma to packed red blood cell ratios were associated with a survival advantage. Data Sources: We searched electronic databases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1950 to February 2010 for studies comparing mortality in massively transfused trauma cohorts receiving different plasma to packed red blood cell ratios. Study Selection: Two reviewers independently performed study selection. Discrepancies in study selection were resolved by discussion</w:t>
      </w:r>
      <w:r w:rsidR="005853A9">
        <w:rPr>
          <w:kern w:val="0"/>
        </w:rPr>
        <w:t xml:space="preserve"> and </w:t>
      </w:r>
      <w:r>
        <w:rPr>
          <w:kern w:val="0"/>
        </w:rPr>
        <w:t>consensus. Data Extraction: Two reviewers independently extracted data from each study using a standardized form. Two authors independently assessed study quality using</w:t>
      </w:r>
      <w:r w:rsidR="003A1917">
        <w:rPr>
          <w:kern w:val="0"/>
        </w:rPr>
        <w:t xml:space="preserve"> the </w:t>
      </w:r>
      <w:r>
        <w:rPr>
          <w:kern w:val="0"/>
        </w:rPr>
        <w:t>Newcastle-Ottawa Scale. Data Synthesis: Eleven observational studies</w:t>
      </w:r>
      <w:r w:rsidR="005853A9">
        <w:rPr>
          <w:kern w:val="0"/>
        </w:rPr>
        <w:t xml:space="preserve"> and </w:t>
      </w:r>
      <w:r>
        <w:rPr>
          <w:kern w:val="0"/>
        </w:rPr>
        <w:t>no randomized controlled trials were identified. Three studies found a survival benefit with a 1: 1 plasma to packed red blood cell transfusion ratio compared with either higher or lower ratios. Six studies did not examine a 1: 1 ratio but concluded that higher plasma to packed red blood cell ratios improved survival. Secondary outcomes, including multiorgan system failure, packed red blood cell transfusion, respiratory outcomes,</w:t>
      </w:r>
      <w:r w:rsidR="005853A9">
        <w:rPr>
          <w:kern w:val="0"/>
        </w:rPr>
        <w:t xml:space="preserve"> and </w:t>
      </w:r>
      <w:r>
        <w:rPr>
          <w:kern w:val="0"/>
        </w:rPr>
        <w:t>coagulation variables, did not uniformly favor 1: 1 or higher plasma to packed red blood cell ratios. Conclusions: Methodological flaws, including survival bias,</w:t>
      </w:r>
      <w:r w:rsidR="005853A9">
        <w:rPr>
          <w:kern w:val="0"/>
        </w:rPr>
        <w:t xml:space="preserve"> and </w:t>
      </w:r>
      <w:r>
        <w:rPr>
          <w:kern w:val="0"/>
        </w:rPr>
        <w:t>heterogeneity between studies preclude statistical comparisons concerning</w:t>
      </w:r>
      <w:r w:rsidR="003A1917">
        <w:rPr>
          <w:kern w:val="0"/>
        </w:rPr>
        <w:t xml:space="preserve"> the </w:t>
      </w:r>
      <w:r>
        <w:rPr>
          <w:kern w:val="0"/>
        </w:rPr>
        <w:t>effects</w:t>
      </w:r>
      <w:r w:rsidR="00427468">
        <w:rPr>
          <w:kern w:val="0"/>
        </w:rPr>
        <w:t xml:space="preserve"> of </w:t>
      </w:r>
      <w:r>
        <w:rPr>
          <w:kern w:val="0"/>
        </w:rPr>
        <w:t>a 1: 1 plasma to packed red blood cell transfusion ratio</w:t>
      </w:r>
      <w:r w:rsidR="00A37C1D">
        <w:rPr>
          <w:kern w:val="0"/>
        </w:rPr>
        <w:t>. The</w:t>
      </w:r>
      <w:r>
        <w:rPr>
          <w:kern w:val="0"/>
        </w:rPr>
        <w:t>re is insufficient evidence to support a survival advantage with a 1: 1 plasma to packed red blood cell transfusion strategy. Randomized controlled trials evaluating safety</w:t>
      </w:r>
      <w:r w:rsidR="005853A9">
        <w:rPr>
          <w:kern w:val="0"/>
        </w:rPr>
        <w:t xml:space="preserve"> and </w:t>
      </w:r>
      <w:r>
        <w:rPr>
          <w:kern w:val="0"/>
        </w:rPr>
        <w:t>efficacy are warranted before a high plasma to packed red blood cell transfusion ratio can be recommended. (Crit Care Med 2011; 39: 1507-1513).</w:t>
      </w:r>
    </w:p>
    <w:p w:rsidR="00B8706F" w:rsidRDefault="00B8706F" w:rsidP="00B8706F">
      <w:pPr>
        <w:pStyle w:val="a3"/>
        <w:rPr>
          <w:kern w:val="0"/>
        </w:rPr>
      </w:pPr>
      <w:r>
        <w:rPr>
          <w:kern w:val="0"/>
        </w:rPr>
        <w:t xml:space="preserve">Keywords: Activated Factor-VII, Authors, Bias, Blood, Care, Databases, Efficacy, </w:t>
      </w:r>
      <w:r>
        <w:rPr>
          <w:kern w:val="0"/>
        </w:rPr>
        <w:lastRenderedPageBreak/>
        <w:t xml:space="preserve">Extraction, Fresh-Frozen Plasma, Hypothermia, Impact, Life-Threatening Coagulopathy, Management, Massive Transfusion, </w:t>
      </w:r>
      <w:r w:rsidR="00D5664A">
        <w:rPr>
          <w:kern w:val="0"/>
        </w:rPr>
        <w:t>MEDLINE</w:t>
      </w:r>
      <w:r>
        <w:rPr>
          <w:kern w:val="0"/>
        </w:rPr>
        <w:t xml:space="preserve">, Mortality, Observational Studies, Outcomes, Packed Red Blood Cells, Plasma, Products, Randomized Controlled Trials, Ratio, Resuscitation, Review, Safety, Scale, Science, Sources, Statistical, Strategy, Survival, Systematic, Systematic Review, Trauma, Treatment, </w:t>
      </w:r>
      <w:r w:rsidR="00D5664A">
        <w:rPr>
          <w:kern w:val="0"/>
        </w:rPr>
        <w:t>Web</w:t>
      </w:r>
      <w:r w:rsidR="00427468">
        <w:rPr>
          <w:kern w:val="0"/>
        </w:rPr>
        <w:t xml:space="preserve"> of </w:t>
      </w:r>
      <w:r w:rsidR="00D5664A">
        <w:rPr>
          <w:kern w:val="0"/>
        </w:rPr>
        <w:t>Science</w:t>
      </w:r>
    </w:p>
    <w:p w:rsidR="00EF7768" w:rsidRDefault="00EF7768" w:rsidP="00EF7768">
      <w:pPr>
        <w:pStyle w:val="a3"/>
        <w:rPr>
          <w:kern w:val="0"/>
        </w:rPr>
      </w:pPr>
      <w:r>
        <w:rPr>
          <w:rFonts w:hint="eastAsia"/>
          <w:kern w:val="0"/>
        </w:rPr>
        <w:t xml:space="preserve">? </w:t>
      </w:r>
      <w:r>
        <w:rPr>
          <w:kern w:val="0"/>
        </w:rPr>
        <w:t>Melsen, W.G., Rovers, M.M., Koeman, M.</w:t>
      </w:r>
      <w:r w:rsidR="005853A9">
        <w:rPr>
          <w:kern w:val="0"/>
        </w:rPr>
        <w:t xml:space="preserve"> and </w:t>
      </w:r>
      <w:r>
        <w:rPr>
          <w:kern w:val="0"/>
        </w:rPr>
        <w:t>Bonten, M.J.M. (2011), Estimating</w:t>
      </w:r>
      <w:r w:rsidR="003A1917">
        <w:rPr>
          <w:kern w:val="0"/>
        </w:rPr>
        <w:t xml:space="preserve"> the </w:t>
      </w:r>
      <w:r>
        <w:rPr>
          <w:kern w:val="0"/>
        </w:rPr>
        <w:t>attributable mortality</w:t>
      </w:r>
      <w:r w:rsidR="00427468">
        <w:rPr>
          <w:kern w:val="0"/>
        </w:rPr>
        <w:t xml:space="preserve"> of </w:t>
      </w:r>
      <w:r>
        <w:rPr>
          <w:kern w:val="0"/>
        </w:rPr>
        <w:t xml:space="preserve">ventilator-associated pneumonia from randomized prevention studies. </w:t>
      </w:r>
      <w:r>
        <w:rPr>
          <w:i/>
          <w:iCs/>
          <w:kern w:val="0"/>
        </w:rPr>
        <w:t>Critical Care Medicine</w:t>
      </w:r>
      <w:r>
        <w:rPr>
          <w:kern w:val="0"/>
        </w:rPr>
        <w:t xml:space="preserve">, </w:t>
      </w:r>
      <w:r>
        <w:rPr>
          <w:b/>
          <w:bCs/>
          <w:kern w:val="0"/>
        </w:rPr>
        <w:t>39</w:t>
      </w:r>
      <w:r>
        <w:rPr>
          <w:kern w:val="0"/>
        </w:rPr>
        <w:t xml:space="preserve"> (12), 2736-2742.</w:t>
      </w:r>
    </w:p>
    <w:p w:rsidR="00EF7768" w:rsidRDefault="00EF7768" w:rsidP="00EF7768">
      <w:pPr>
        <w:pStyle w:val="a3"/>
        <w:rPr>
          <w:kern w:val="0"/>
        </w:rPr>
      </w:pPr>
      <w:r>
        <w:rPr>
          <w:rFonts w:hint="eastAsia"/>
          <w:kern w:val="0"/>
        </w:rPr>
        <w:t xml:space="preserve">Full Text: </w:t>
      </w:r>
      <w:hyperlink r:id="rId1067" w:history="1">
        <w:r w:rsidRPr="00EF7768">
          <w:rPr>
            <w:rStyle w:val="a5"/>
            <w:kern w:val="0"/>
          </w:rPr>
          <w:t>2011\Cri Car Med39, 2736.pdf</w:t>
        </w:r>
      </w:hyperlink>
    </w:p>
    <w:p w:rsidR="00EF7768" w:rsidRDefault="00EF7768" w:rsidP="00EF7768">
      <w:pPr>
        <w:pStyle w:val="a3"/>
        <w:rPr>
          <w:kern w:val="0"/>
        </w:rPr>
      </w:pPr>
      <w:r>
        <w:rPr>
          <w:kern w:val="0"/>
        </w:rPr>
        <w:t>Abstract: Objective: To assess</w:t>
      </w:r>
      <w:r w:rsidR="003A1917">
        <w:rPr>
          <w:kern w:val="0"/>
        </w:rPr>
        <w:t xml:space="preserve"> the </w:t>
      </w:r>
      <w:r>
        <w:rPr>
          <w:kern w:val="0"/>
        </w:rPr>
        <w:t>attributable mortality</w:t>
      </w:r>
      <w:r w:rsidR="00427468">
        <w:rPr>
          <w:kern w:val="0"/>
        </w:rPr>
        <w:t xml:space="preserve"> of </w:t>
      </w:r>
      <w:r>
        <w:rPr>
          <w:kern w:val="0"/>
        </w:rPr>
        <w:t xml:space="preserve">ventilator-associated pneumonia using results from randomized controlled trials on ventilator-associated pneumonia prevention. Data Sources: A systematic search was performed in PubMed,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Library from their inception until July 2010. In addition, a reference</w:t>
      </w:r>
      <w:r w:rsidR="005853A9">
        <w:rPr>
          <w:kern w:val="0"/>
        </w:rPr>
        <w:t xml:space="preserve"> and </w:t>
      </w:r>
      <w:r>
        <w:rPr>
          <w:kern w:val="0"/>
        </w:rPr>
        <w:t>related article search was performed. Study Selection: Randomized ventilator-associated pneumonia prevention studies in which all patients were mechanically ventilated</w:t>
      </w:r>
      <w:r w:rsidR="005853A9">
        <w:rPr>
          <w:kern w:val="0"/>
        </w:rPr>
        <w:t xml:space="preserve"> and </w:t>
      </w:r>
      <w:r>
        <w:rPr>
          <w:kern w:val="0"/>
        </w:rPr>
        <w:t>from which ventilator-associated pneumonia</w:t>
      </w:r>
      <w:r w:rsidR="005853A9">
        <w:rPr>
          <w:kern w:val="0"/>
        </w:rPr>
        <w:t xml:space="preserve"> and </w:t>
      </w:r>
      <w:r>
        <w:rPr>
          <w:kern w:val="0"/>
        </w:rPr>
        <w:t>mortality rates</w:t>
      </w:r>
      <w:r w:rsidR="00427468">
        <w:rPr>
          <w:kern w:val="0"/>
        </w:rPr>
        <w:t xml:space="preserve"> of </w:t>
      </w:r>
      <w:r>
        <w:rPr>
          <w:kern w:val="0"/>
        </w:rPr>
        <w:t>intervention</w:t>
      </w:r>
      <w:r w:rsidR="005853A9">
        <w:rPr>
          <w:kern w:val="0"/>
        </w:rPr>
        <w:t xml:space="preserve"> and </w:t>
      </w:r>
      <w:r>
        <w:rPr>
          <w:kern w:val="0"/>
        </w:rPr>
        <w:t>control group could be extracted were included. Data Extraction/Synthesis: Fifty-three papers were identified describing 58 comparisons. Statistical significant reductions in ventilator-associated pneumonia incidences were reported in 20</w:t>
      </w:r>
      <w:r w:rsidR="00427468">
        <w:rPr>
          <w:kern w:val="0"/>
        </w:rPr>
        <w:t xml:space="preserve"> of </w:t>
      </w:r>
      <w:r w:rsidR="003A1917">
        <w:rPr>
          <w:kern w:val="0"/>
        </w:rPr>
        <w:t xml:space="preserve">the </w:t>
      </w:r>
      <w:r>
        <w:rPr>
          <w:kern w:val="0"/>
        </w:rPr>
        <w:t>58 comparisons, whereas none</w:t>
      </w:r>
      <w:r w:rsidR="00427468">
        <w:rPr>
          <w:kern w:val="0"/>
        </w:rPr>
        <w:t xml:space="preserve"> of </w:t>
      </w:r>
      <w:r>
        <w:rPr>
          <w:kern w:val="0"/>
        </w:rPr>
        <w:t>these trials reported a significant reduction</w:t>
      </w:r>
      <w:r w:rsidR="00427468">
        <w:rPr>
          <w:kern w:val="0"/>
        </w:rPr>
        <w:t xml:space="preserve"> of </w:t>
      </w:r>
      <w:r>
        <w:rPr>
          <w:kern w:val="0"/>
        </w:rPr>
        <w:t>mortality. Pooled estimates</w:t>
      </w:r>
      <w:r w:rsidR="00427468">
        <w:rPr>
          <w:kern w:val="0"/>
        </w:rPr>
        <w:t xml:space="preserve"> of </w:t>
      </w:r>
      <w:r w:rsidR="003A1917">
        <w:rPr>
          <w:kern w:val="0"/>
        </w:rPr>
        <w:t xml:space="preserve">the </w:t>
      </w:r>
      <w:r>
        <w:rPr>
          <w:kern w:val="0"/>
        </w:rPr>
        <w:t>relative risk reductions</w:t>
      </w:r>
      <w:r w:rsidR="00427468">
        <w:rPr>
          <w:kern w:val="0"/>
        </w:rPr>
        <w:t xml:space="preserve"> of </w:t>
      </w:r>
      <w:r>
        <w:rPr>
          <w:kern w:val="0"/>
        </w:rPr>
        <w:t>both ventilator-associated pneumonia</w:t>
      </w:r>
      <w:r w:rsidR="005853A9">
        <w:rPr>
          <w:kern w:val="0"/>
        </w:rPr>
        <w:t xml:space="preserve"> and </w:t>
      </w:r>
      <w:r>
        <w:rPr>
          <w:kern w:val="0"/>
        </w:rPr>
        <w:t>mortality were calculated</w:t>
      </w:r>
      <w:r w:rsidR="005853A9">
        <w:rPr>
          <w:kern w:val="0"/>
        </w:rPr>
        <w:t xml:space="preserve"> and </w:t>
      </w:r>
      <w:r w:rsidR="003A1917">
        <w:rPr>
          <w:kern w:val="0"/>
        </w:rPr>
        <w:t xml:space="preserve">the </w:t>
      </w:r>
      <w:r>
        <w:rPr>
          <w:kern w:val="0"/>
        </w:rPr>
        <w:t>attributable mortality was estimated as</w:t>
      </w:r>
      <w:r w:rsidR="003A1917">
        <w:rPr>
          <w:kern w:val="0"/>
        </w:rPr>
        <w:t xml:space="preserve"> the </w:t>
      </w:r>
      <w:r>
        <w:rPr>
          <w:kern w:val="0"/>
        </w:rPr>
        <w:t>ratio between</w:t>
      </w:r>
      <w:r w:rsidR="003A1917">
        <w:rPr>
          <w:kern w:val="0"/>
        </w:rPr>
        <w:t xml:space="preserve"> the </w:t>
      </w:r>
      <w:r>
        <w:rPr>
          <w:kern w:val="0"/>
        </w:rPr>
        <w:t>relative risk reductions</w:t>
      </w:r>
      <w:r w:rsidR="00427468">
        <w:rPr>
          <w:kern w:val="0"/>
        </w:rPr>
        <w:t xml:space="preserve"> of </w:t>
      </w:r>
      <w:r>
        <w:rPr>
          <w:kern w:val="0"/>
        </w:rPr>
        <w:t>mortality</w:t>
      </w:r>
      <w:r w:rsidR="005853A9">
        <w:rPr>
          <w:kern w:val="0"/>
        </w:rPr>
        <w:t xml:space="preserve"> and </w:t>
      </w:r>
      <w:r>
        <w:rPr>
          <w:kern w:val="0"/>
        </w:rPr>
        <w:t>ventilator-associated pneumonia. Effects</w:t>
      </w:r>
      <w:r w:rsidR="00427468">
        <w:rPr>
          <w:kern w:val="0"/>
        </w:rPr>
        <w:t xml:space="preserve"> of </w:t>
      </w:r>
      <w:r>
        <w:rPr>
          <w:kern w:val="0"/>
        </w:rPr>
        <w:t>study quality, diagnostic methods used,</w:t>
      </w:r>
      <w:r w:rsidR="005853A9">
        <w:rPr>
          <w:kern w:val="0"/>
        </w:rPr>
        <w:t xml:space="preserve"> and </w:t>
      </w:r>
      <w:r>
        <w:rPr>
          <w:kern w:val="0"/>
        </w:rPr>
        <w:t>effectiveness</w:t>
      </w:r>
      <w:r w:rsidR="00427468">
        <w:rPr>
          <w:kern w:val="0"/>
        </w:rPr>
        <w:t xml:space="preserve"> of </w:t>
      </w:r>
      <w:r>
        <w:rPr>
          <w:kern w:val="0"/>
        </w:rPr>
        <w:t>preventing ventilator-associated pneumonia on</w:t>
      </w:r>
      <w:r w:rsidR="003A1917">
        <w:rPr>
          <w:kern w:val="0"/>
        </w:rPr>
        <w:t xml:space="preserve"> the </w:t>
      </w:r>
      <w:r>
        <w:rPr>
          <w:kern w:val="0"/>
        </w:rPr>
        <w:t>mortality rate</w:t>
      </w:r>
      <w:r w:rsidR="00427468">
        <w:rPr>
          <w:kern w:val="0"/>
        </w:rPr>
        <w:t xml:space="preserve"> of </w:t>
      </w:r>
      <w:r>
        <w:rPr>
          <w:kern w:val="0"/>
        </w:rPr>
        <w:t>ventilator-associated pneumonia were assessed in subgroup analyses</w:t>
      </w:r>
      <w:r w:rsidR="00A37C1D">
        <w:rPr>
          <w:kern w:val="0"/>
        </w:rPr>
        <w:t>. The</w:t>
      </w:r>
      <w:r w:rsidR="003A1917">
        <w:rPr>
          <w:kern w:val="0"/>
        </w:rPr>
        <w:t xml:space="preserve"> </w:t>
      </w:r>
      <w:r>
        <w:rPr>
          <w:kern w:val="0"/>
        </w:rPr>
        <w:t>overall attributable mortality</w:t>
      </w:r>
      <w:r w:rsidR="00427468">
        <w:rPr>
          <w:kern w:val="0"/>
        </w:rPr>
        <w:t xml:space="preserve"> of </w:t>
      </w:r>
      <w:r>
        <w:rPr>
          <w:kern w:val="0"/>
        </w:rPr>
        <w:t>ventilator-associated pneumonia was estimated as 9%. In subgroup analyses,</w:t>
      </w:r>
      <w:r w:rsidR="003A1917">
        <w:rPr>
          <w:kern w:val="0"/>
        </w:rPr>
        <w:t xml:space="preserve"> the </w:t>
      </w:r>
      <w:r>
        <w:rPr>
          <w:kern w:val="0"/>
        </w:rPr>
        <w:t>attributable mortality varied between 3%</w:t>
      </w:r>
      <w:r w:rsidR="005853A9">
        <w:rPr>
          <w:kern w:val="0"/>
        </w:rPr>
        <w:t xml:space="preserve"> and </w:t>
      </w:r>
      <w:r>
        <w:rPr>
          <w:kern w:val="0"/>
        </w:rPr>
        <w:t>17%. Conclusion: Based on</w:t>
      </w:r>
      <w:r w:rsidR="003A1917">
        <w:rPr>
          <w:kern w:val="0"/>
        </w:rPr>
        <w:t xml:space="preserve"> the </w:t>
      </w:r>
      <w:r>
        <w:rPr>
          <w:kern w:val="0"/>
        </w:rPr>
        <w:t>results</w:t>
      </w:r>
      <w:r w:rsidR="00427468">
        <w:rPr>
          <w:kern w:val="0"/>
        </w:rPr>
        <w:t xml:space="preserve"> of </w:t>
      </w:r>
      <w:r>
        <w:rPr>
          <w:kern w:val="0"/>
        </w:rPr>
        <w:t>58 randomized studies on ventilator-associated pneumonia prevention,</w:t>
      </w:r>
      <w:r w:rsidR="003A1917">
        <w:rPr>
          <w:kern w:val="0"/>
        </w:rPr>
        <w:t xml:space="preserve"> the </w:t>
      </w:r>
      <w:r>
        <w:rPr>
          <w:kern w:val="0"/>
        </w:rPr>
        <w:t>attributable mortality rate</w:t>
      </w:r>
      <w:r w:rsidR="00427468">
        <w:rPr>
          <w:kern w:val="0"/>
        </w:rPr>
        <w:t xml:space="preserve"> of </w:t>
      </w:r>
      <w:r>
        <w:rPr>
          <w:kern w:val="0"/>
        </w:rPr>
        <w:t>ventilator-associated pneumonia was estimated to be 9%</w:t>
      </w:r>
      <w:r w:rsidR="005853A9">
        <w:rPr>
          <w:kern w:val="0"/>
        </w:rPr>
        <w:t xml:space="preserve"> and </w:t>
      </w:r>
      <w:r>
        <w:rPr>
          <w:kern w:val="0"/>
        </w:rPr>
        <w:t>ranged between 3%</w:t>
      </w:r>
      <w:r w:rsidR="005853A9">
        <w:rPr>
          <w:kern w:val="0"/>
        </w:rPr>
        <w:t xml:space="preserve"> and </w:t>
      </w:r>
      <w:r>
        <w:rPr>
          <w:kern w:val="0"/>
        </w:rPr>
        <w:t>17% in subgroup analyses. Together with</w:t>
      </w:r>
      <w:r w:rsidR="003A1917">
        <w:rPr>
          <w:kern w:val="0"/>
        </w:rPr>
        <w:t xml:space="preserve"> the </w:t>
      </w:r>
      <w:r>
        <w:rPr>
          <w:kern w:val="0"/>
        </w:rPr>
        <w:t>results</w:t>
      </w:r>
      <w:r w:rsidR="00427468">
        <w:rPr>
          <w:kern w:val="0"/>
        </w:rPr>
        <w:t xml:space="preserve"> of </w:t>
      </w:r>
      <w:r>
        <w:rPr>
          <w:kern w:val="0"/>
        </w:rPr>
        <w:t>other recent studies, there is cumulative evidence that</w:t>
      </w:r>
      <w:r w:rsidR="003A1917">
        <w:rPr>
          <w:kern w:val="0"/>
        </w:rPr>
        <w:t xml:space="preserve"> the </w:t>
      </w:r>
      <w:r>
        <w:rPr>
          <w:kern w:val="0"/>
        </w:rPr>
        <w:t>attributable mortality resulting from ventilator-associated pneumonia is approximately 10%. (Crit Care Med 2011; 39:2736-2742).</w:t>
      </w:r>
    </w:p>
    <w:p w:rsidR="00EF7768" w:rsidRDefault="00EF7768" w:rsidP="00EF7768">
      <w:pPr>
        <w:pStyle w:val="a3"/>
        <w:rPr>
          <w:kern w:val="0"/>
        </w:rPr>
      </w:pPr>
      <w:r>
        <w:rPr>
          <w:kern w:val="0"/>
        </w:rPr>
        <w:t xml:space="preserve">Keywords: Care, Cochrane, Control, Critically-Ill Patients, Double-Blind, Effectiveness, Intensive Care, Intensive-Care-Unit, Intervention, Intubated Patients, Mechanical Ventilation, Meta-Analysis, Mortality, Nosocomial Pneumonia, Nosocomial </w:t>
      </w:r>
      <w:r>
        <w:rPr>
          <w:kern w:val="0"/>
        </w:rPr>
        <w:lastRenderedPageBreak/>
        <w:t xml:space="preserve">Pneumonia, Outcome, Papers, Patients, Placebo-Controlled Trial, Pneumonia, Prevention, Pubmed, Quality, Randomized Controlled Trials, Ratio, Reduction, Relative Risk, Risk, Science, Selection, Selective Digestive Decontamination, Sources, Stress-Ulcer Prophylaxis, Subglottic Secretion Drainage, Systematic, Trauma Patients, </w:t>
      </w:r>
      <w:r w:rsidR="00D5664A">
        <w:rPr>
          <w:kern w:val="0"/>
        </w:rPr>
        <w:t>Web</w:t>
      </w:r>
      <w:r w:rsidR="00427468">
        <w:rPr>
          <w:kern w:val="0"/>
        </w:rPr>
        <w:t xml:space="preserve"> of </w:t>
      </w:r>
      <w:r w:rsidR="00D5664A">
        <w:rPr>
          <w:kern w:val="0"/>
        </w:rPr>
        <w:t>Science</w:t>
      </w:r>
    </w:p>
    <w:p w:rsidR="00B5188C" w:rsidRDefault="00B5188C" w:rsidP="00B5188C">
      <w:pPr>
        <w:pStyle w:val="a3"/>
        <w:rPr>
          <w:kern w:val="0"/>
        </w:rPr>
      </w:pPr>
      <w:r>
        <w:rPr>
          <w:rFonts w:hint="eastAsia"/>
          <w:kern w:val="0"/>
        </w:rPr>
        <w:t xml:space="preserve">? </w:t>
      </w:r>
      <w:r w:rsidRPr="00B5188C">
        <w:rPr>
          <w:kern w:val="0"/>
        </w:rPr>
        <w:t>Wang, F</w:t>
      </w:r>
      <w:r>
        <w:rPr>
          <w:rFonts w:hint="eastAsia"/>
          <w:kern w:val="0"/>
        </w:rPr>
        <w:t>.,</w:t>
      </w:r>
      <w:r w:rsidRPr="00B5188C">
        <w:rPr>
          <w:kern w:val="0"/>
        </w:rPr>
        <w:t xml:space="preserve"> Tang, L</w:t>
      </w:r>
      <w:r>
        <w:rPr>
          <w:rFonts w:hint="eastAsia"/>
          <w:kern w:val="0"/>
        </w:rPr>
        <w:t xml:space="preserve">., </w:t>
      </w:r>
      <w:r w:rsidRPr="00B5188C">
        <w:rPr>
          <w:kern w:val="0"/>
        </w:rPr>
        <w:t>Bo, L</w:t>
      </w:r>
      <w:r>
        <w:rPr>
          <w:rFonts w:hint="eastAsia"/>
          <w:kern w:val="0"/>
        </w:rPr>
        <w:t>.</w:t>
      </w:r>
      <w:r w:rsidRPr="00B5188C">
        <w:rPr>
          <w:kern w:val="0"/>
        </w:rPr>
        <w:t>L</w:t>
      </w:r>
      <w:r>
        <w:rPr>
          <w:rFonts w:hint="eastAsia"/>
          <w:kern w:val="0"/>
        </w:rPr>
        <w:t>.,</w:t>
      </w:r>
      <w:r w:rsidRPr="00B5188C">
        <w:rPr>
          <w:kern w:val="0"/>
        </w:rPr>
        <w:t xml:space="preserve"> Li, J</w:t>
      </w:r>
      <w:r>
        <w:rPr>
          <w:rFonts w:hint="eastAsia"/>
          <w:kern w:val="0"/>
        </w:rPr>
        <w:t>.</w:t>
      </w:r>
      <w:r w:rsidRPr="00B5188C">
        <w:rPr>
          <w:kern w:val="0"/>
        </w:rPr>
        <w:t>B</w:t>
      </w:r>
      <w:r>
        <w:rPr>
          <w:rFonts w:hint="eastAsia"/>
          <w:kern w:val="0"/>
        </w:rPr>
        <w:t>.</w:t>
      </w:r>
      <w:r w:rsidR="005853A9">
        <w:rPr>
          <w:rFonts w:hint="eastAsia"/>
          <w:kern w:val="0"/>
        </w:rPr>
        <w:t xml:space="preserve"> and </w:t>
      </w:r>
      <w:r w:rsidRPr="00B5188C">
        <w:rPr>
          <w:kern w:val="0"/>
        </w:rPr>
        <w:t>Deng, X</w:t>
      </w:r>
      <w:r>
        <w:rPr>
          <w:rFonts w:hint="eastAsia"/>
          <w:kern w:val="0"/>
        </w:rPr>
        <w:t>.</w:t>
      </w:r>
      <w:r w:rsidRPr="00B5188C">
        <w:rPr>
          <w:kern w:val="0"/>
        </w:rPr>
        <w:t>M</w:t>
      </w:r>
      <w:r>
        <w:rPr>
          <w:rFonts w:hint="eastAsia"/>
          <w:kern w:val="0"/>
        </w:rPr>
        <w:t>.</w:t>
      </w:r>
      <w:r>
        <w:rPr>
          <w:kern w:val="0"/>
        </w:rPr>
        <w:t xml:space="preserve"> (201</w:t>
      </w:r>
      <w:r>
        <w:rPr>
          <w:rFonts w:hint="eastAsia"/>
          <w:kern w:val="0"/>
        </w:rPr>
        <w:t>2</w:t>
      </w:r>
      <w:r>
        <w:rPr>
          <w:kern w:val="0"/>
        </w:rPr>
        <w:t xml:space="preserve">), </w:t>
      </w:r>
      <w:r w:rsidRPr="00B5188C">
        <w:rPr>
          <w:kern w:val="0"/>
        </w:rPr>
        <w:t>Equal contributions</w:t>
      </w:r>
      <w:r w:rsidR="005853A9">
        <w:rPr>
          <w:kern w:val="0"/>
        </w:rPr>
        <w:t xml:space="preserve"> and </w:t>
      </w:r>
      <w:r w:rsidRPr="00B5188C">
        <w:rPr>
          <w:kern w:val="0"/>
        </w:rPr>
        <w:t>credit given to authors in critical care medicine journals during a 10-yr period</w:t>
      </w:r>
      <w:r>
        <w:rPr>
          <w:kern w:val="0"/>
        </w:rPr>
        <w:t xml:space="preserve">. </w:t>
      </w:r>
      <w:r>
        <w:rPr>
          <w:i/>
          <w:iCs/>
          <w:kern w:val="0"/>
        </w:rPr>
        <w:t>Critical Care Medicine</w:t>
      </w:r>
      <w:r>
        <w:rPr>
          <w:kern w:val="0"/>
        </w:rPr>
        <w:t xml:space="preserve">, </w:t>
      </w:r>
      <w:r>
        <w:rPr>
          <w:rFonts w:hint="eastAsia"/>
          <w:b/>
          <w:bCs/>
          <w:kern w:val="0"/>
        </w:rPr>
        <w:t>40</w:t>
      </w:r>
      <w:r>
        <w:rPr>
          <w:kern w:val="0"/>
        </w:rPr>
        <w:t xml:space="preserve"> (</w:t>
      </w:r>
      <w:r>
        <w:rPr>
          <w:rFonts w:hint="eastAsia"/>
          <w:kern w:val="0"/>
        </w:rPr>
        <w:t>3</w:t>
      </w:r>
      <w:r>
        <w:rPr>
          <w:kern w:val="0"/>
        </w:rPr>
        <w:t xml:space="preserve">), </w:t>
      </w:r>
      <w:r w:rsidRPr="00B5188C">
        <w:rPr>
          <w:kern w:val="0"/>
        </w:rPr>
        <w:t>967-969</w:t>
      </w:r>
      <w:r>
        <w:rPr>
          <w:kern w:val="0"/>
        </w:rPr>
        <w:t>.</w:t>
      </w:r>
    </w:p>
    <w:p w:rsidR="00B5188C" w:rsidRDefault="00B5188C" w:rsidP="00B5188C">
      <w:pPr>
        <w:pStyle w:val="a3"/>
        <w:rPr>
          <w:kern w:val="0"/>
        </w:rPr>
      </w:pPr>
      <w:r>
        <w:rPr>
          <w:rFonts w:hint="eastAsia"/>
          <w:kern w:val="0"/>
        </w:rPr>
        <w:t xml:space="preserve">Full Text: </w:t>
      </w:r>
      <w:hyperlink r:id="rId1068" w:history="1">
        <w:r w:rsidR="000D22CC" w:rsidRPr="000D22CC">
          <w:rPr>
            <w:rStyle w:val="a5"/>
            <w:kern w:val="0"/>
          </w:rPr>
          <w:t>2012\Cri Car Med40, 967.pdf</w:t>
        </w:r>
      </w:hyperlink>
    </w:p>
    <w:p w:rsidR="00B5188C" w:rsidRPr="00B5188C" w:rsidRDefault="00B5188C" w:rsidP="00B5188C">
      <w:pPr>
        <w:pStyle w:val="a3"/>
        <w:rPr>
          <w:kern w:val="0"/>
        </w:rPr>
      </w:pPr>
      <w:r w:rsidRPr="00B5188C">
        <w:rPr>
          <w:kern w:val="0"/>
        </w:rPr>
        <w:t>Abstract: Objective: To investigate the prevalence</w:t>
      </w:r>
      <w:r w:rsidR="005853A9">
        <w:rPr>
          <w:kern w:val="0"/>
        </w:rPr>
        <w:t xml:space="preserve"> and </w:t>
      </w:r>
      <w:r w:rsidRPr="00B5188C">
        <w:rPr>
          <w:kern w:val="0"/>
        </w:rPr>
        <w:t>characteristics</w:t>
      </w:r>
      <w:r w:rsidR="00427468">
        <w:rPr>
          <w:kern w:val="0"/>
        </w:rPr>
        <w:t xml:space="preserve"> of </w:t>
      </w:r>
      <w:r w:rsidRPr="00B5188C">
        <w:rPr>
          <w:kern w:val="0"/>
        </w:rPr>
        <w:t>the practice</w:t>
      </w:r>
      <w:r w:rsidR="00427468">
        <w:rPr>
          <w:kern w:val="0"/>
        </w:rPr>
        <w:t xml:space="preserve"> of </w:t>
      </w:r>
      <w:r w:rsidRPr="00B5188C">
        <w:rPr>
          <w:kern w:val="0"/>
        </w:rPr>
        <w:t>explicitly giving authors equal credit in publications</w:t>
      </w:r>
      <w:r w:rsidR="00427468">
        <w:rPr>
          <w:kern w:val="0"/>
        </w:rPr>
        <w:t xml:space="preserve"> of </w:t>
      </w:r>
      <w:r w:rsidRPr="00B5188C">
        <w:rPr>
          <w:kern w:val="0"/>
        </w:rPr>
        <w:t>major jour</w:t>
      </w:r>
      <w:r>
        <w:rPr>
          <w:kern w:val="0"/>
        </w:rPr>
        <w:t>nals</w:t>
      </w:r>
      <w:r w:rsidR="00427468">
        <w:rPr>
          <w:kern w:val="0"/>
        </w:rPr>
        <w:t xml:space="preserve"> of </w:t>
      </w:r>
      <w:r>
        <w:rPr>
          <w:kern w:val="0"/>
        </w:rPr>
        <w:t>critical care medicine.</w:t>
      </w:r>
    </w:p>
    <w:p w:rsidR="00B5188C" w:rsidRPr="00B5188C" w:rsidRDefault="00B5188C" w:rsidP="00B5188C">
      <w:pPr>
        <w:pStyle w:val="a3"/>
        <w:rPr>
          <w:kern w:val="0"/>
        </w:rPr>
      </w:pPr>
      <w:r w:rsidRPr="00B5188C">
        <w:rPr>
          <w:kern w:val="0"/>
        </w:rPr>
        <w:t>Methods: Manual searches were conducted to indentify original research articles with equally credited authors published between January 1, 2001</w:t>
      </w:r>
      <w:r w:rsidR="005853A9">
        <w:rPr>
          <w:kern w:val="0"/>
        </w:rPr>
        <w:t xml:space="preserve"> and </w:t>
      </w:r>
      <w:r w:rsidRPr="00B5188C">
        <w:rPr>
          <w:kern w:val="0"/>
        </w:rPr>
        <w:t>December 31, 2010 in four major journals</w:t>
      </w:r>
      <w:r w:rsidR="00427468">
        <w:rPr>
          <w:kern w:val="0"/>
        </w:rPr>
        <w:t xml:space="preserve"> of </w:t>
      </w:r>
      <w:r w:rsidRPr="00B5188C">
        <w:rPr>
          <w:kern w:val="0"/>
        </w:rPr>
        <w:t>critical care medicine (American Journal</w:t>
      </w:r>
      <w:r w:rsidR="00427468">
        <w:rPr>
          <w:kern w:val="0"/>
        </w:rPr>
        <w:t xml:space="preserve"> of </w:t>
      </w:r>
      <w:r w:rsidRPr="00B5188C">
        <w:rPr>
          <w:kern w:val="0"/>
        </w:rPr>
        <w:t>Respiratory</w:t>
      </w:r>
      <w:r w:rsidR="005853A9">
        <w:rPr>
          <w:kern w:val="0"/>
        </w:rPr>
        <w:t xml:space="preserve"> and </w:t>
      </w:r>
      <w:r w:rsidRPr="00B5188C">
        <w:rPr>
          <w:kern w:val="0"/>
        </w:rPr>
        <w:t>Critical Care Medicine, Critical Care Medicine, Intensive Car</w:t>
      </w:r>
      <w:r>
        <w:rPr>
          <w:kern w:val="0"/>
        </w:rPr>
        <w:t>e Medicine,</w:t>
      </w:r>
      <w:r w:rsidR="005853A9">
        <w:rPr>
          <w:kern w:val="0"/>
        </w:rPr>
        <w:t xml:space="preserve"> and </w:t>
      </w:r>
      <w:r>
        <w:rPr>
          <w:kern w:val="0"/>
        </w:rPr>
        <w:t>Critical Care).</w:t>
      </w:r>
    </w:p>
    <w:p w:rsidR="00B5188C" w:rsidRPr="00B5188C" w:rsidRDefault="00B5188C" w:rsidP="00B5188C">
      <w:pPr>
        <w:pStyle w:val="a3"/>
        <w:rPr>
          <w:kern w:val="0"/>
        </w:rPr>
      </w:pPr>
      <w:r w:rsidRPr="00B5188C">
        <w:rPr>
          <w:kern w:val="0"/>
        </w:rPr>
        <w:t>Results: The practice</w:t>
      </w:r>
      <w:r w:rsidR="00427468">
        <w:rPr>
          <w:kern w:val="0"/>
        </w:rPr>
        <w:t xml:space="preserve"> of </w:t>
      </w:r>
      <w:r w:rsidRPr="00B5188C">
        <w:rPr>
          <w:kern w:val="0"/>
        </w:rPr>
        <w:t>explicitly giving authors equal credit was found in all four journals. Articles with equally credited authors formed a greater proportion</w:t>
      </w:r>
      <w:r w:rsidR="00427468">
        <w:rPr>
          <w:kern w:val="0"/>
        </w:rPr>
        <w:t xml:space="preserve"> of </w:t>
      </w:r>
      <w:r w:rsidRPr="00B5188C">
        <w:rPr>
          <w:kern w:val="0"/>
        </w:rPr>
        <w:t>the total number</w:t>
      </w:r>
      <w:r w:rsidR="00427468">
        <w:rPr>
          <w:kern w:val="0"/>
        </w:rPr>
        <w:t xml:space="preserve"> of </w:t>
      </w:r>
      <w:r w:rsidRPr="00B5188C">
        <w:rPr>
          <w:kern w:val="0"/>
        </w:rPr>
        <w:t>articles published in each journal in 2010 vs. in 2000 (American Journal</w:t>
      </w:r>
      <w:r w:rsidR="00427468">
        <w:rPr>
          <w:kern w:val="0"/>
        </w:rPr>
        <w:t xml:space="preserve"> of </w:t>
      </w:r>
      <w:r w:rsidRPr="00B5188C">
        <w:rPr>
          <w:kern w:val="0"/>
        </w:rPr>
        <w:t>Respiratory</w:t>
      </w:r>
      <w:r w:rsidR="005853A9">
        <w:rPr>
          <w:kern w:val="0"/>
        </w:rPr>
        <w:t xml:space="preserve"> and </w:t>
      </w:r>
      <w:r w:rsidRPr="00B5188C">
        <w:rPr>
          <w:kern w:val="0"/>
        </w:rPr>
        <w:t>Critical Care Medicine 19.9% vs. 0%; Critical Care Medicine 10.6% vs. 1.3%; Intensive Care Medicine: 5.3% vs. 0%;</w:t>
      </w:r>
      <w:r w:rsidR="005853A9">
        <w:rPr>
          <w:kern w:val="0"/>
        </w:rPr>
        <w:t xml:space="preserve"> and </w:t>
      </w:r>
      <w:r w:rsidRPr="00B5188C">
        <w:rPr>
          <w:kern w:val="0"/>
        </w:rPr>
        <w:t>Critical Care 11.7% vs. 0%)</w:t>
      </w:r>
      <w:r w:rsidR="00A37C1D">
        <w:rPr>
          <w:kern w:val="0"/>
        </w:rPr>
        <w:t>. The</w:t>
      </w:r>
      <w:r w:rsidRPr="00B5188C">
        <w:rPr>
          <w:kern w:val="0"/>
        </w:rPr>
        <w:t>re was a significantly increasing trend in yearly prevalence</w:t>
      </w:r>
      <w:r w:rsidR="00427468">
        <w:rPr>
          <w:kern w:val="0"/>
        </w:rPr>
        <w:t xml:space="preserve"> of </w:t>
      </w:r>
      <w:r w:rsidRPr="00B5188C">
        <w:rPr>
          <w:kern w:val="0"/>
        </w:rPr>
        <w:t>equally credited author articles for all the journals (p &lt; .0001 for all four journals)</w:t>
      </w:r>
      <w:r w:rsidR="00A37C1D">
        <w:rPr>
          <w:kern w:val="0"/>
        </w:rPr>
        <w:t>. The</w:t>
      </w:r>
      <w:r w:rsidRPr="00B5188C">
        <w:rPr>
          <w:kern w:val="0"/>
        </w:rPr>
        <w:t xml:space="preserve"> first two authors received equal credit in most cases,</w:t>
      </w:r>
      <w:r w:rsidR="005853A9">
        <w:rPr>
          <w:kern w:val="0"/>
        </w:rPr>
        <w:t xml:space="preserve"> and </w:t>
      </w:r>
      <w:r w:rsidRPr="00B5188C">
        <w:rPr>
          <w:kern w:val="0"/>
        </w:rPr>
        <w:t>the practice was also found in nearly every position in the byline</w:t>
      </w:r>
      <w:r w:rsidR="00A37C1D">
        <w:rPr>
          <w:kern w:val="0"/>
        </w:rPr>
        <w:t>. The</w:t>
      </w:r>
      <w:r w:rsidRPr="00B5188C">
        <w:rPr>
          <w:kern w:val="0"/>
        </w:rPr>
        <w:t xml:space="preserve"> research institutions among the equally credited author articles were from various countries</w:t>
      </w:r>
      <w:r w:rsidR="005853A9">
        <w:rPr>
          <w:kern w:val="0"/>
        </w:rPr>
        <w:t xml:space="preserve"> and </w:t>
      </w:r>
      <w:r w:rsidRPr="00B5188C">
        <w:rPr>
          <w:kern w:val="0"/>
        </w:rPr>
        <w:t>regions around the world. Finally, none</w:t>
      </w:r>
      <w:r w:rsidR="00427468">
        <w:rPr>
          <w:kern w:val="0"/>
        </w:rPr>
        <w:t xml:space="preserve"> of </w:t>
      </w:r>
      <w:r w:rsidRPr="00B5188C">
        <w:rPr>
          <w:kern w:val="0"/>
        </w:rPr>
        <w:t>the four journals provided specific guidance regarding this practice in</w:t>
      </w:r>
      <w:r>
        <w:rPr>
          <w:kern w:val="0"/>
        </w:rPr>
        <w:t xml:space="preserve"> their instructions to authors.</w:t>
      </w:r>
    </w:p>
    <w:p w:rsidR="00B5188C" w:rsidRPr="00B5188C" w:rsidRDefault="00B5188C" w:rsidP="00B5188C">
      <w:pPr>
        <w:pStyle w:val="a3"/>
        <w:rPr>
          <w:kern w:val="0"/>
        </w:rPr>
      </w:pPr>
      <w:r w:rsidRPr="00B5188C">
        <w:rPr>
          <w:kern w:val="0"/>
        </w:rPr>
        <w:t>Conclusions: It is increasingly common to give authors equal credit in original research articles in the major four journals</w:t>
      </w:r>
      <w:r w:rsidR="00427468">
        <w:rPr>
          <w:kern w:val="0"/>
        </w:rPr>
        <w:t xml:space="preserve"> of </w:t>
      </w:r>
      <w:r w:rsidRPr="00B5188C">
        <w:rPr>
          <w:kern w:val="0"/>
        </w:rPr>
        <w:t xml:space="preserve">critical care medicine. A guideline for authors regarding when (and how) </w:t>
      </w:r>
      <w:r>
        <w:rPr>
          <w:kern w:val="0"/>
        </w:rPr>
        <w:t>“</w:t>
      </w:r>
      <w:r w:rsidRPr="00B5188C">
        <w:rPr>
          <w:kern w:val="0"/>
        </w:rPr>
        <w:t>equal</w:t>
      </w:r>
      <w:r>
        <w:rPr>
          <w:kern w:val="0"/>
        </w:rPr>
        <w:t>”</w:t>
      </w:r>
      <w:r w:rsidRPr="00B5188C">
        <w:rPr>
          <w:kern w:val="0"/>
        </w:rPr>
        <w:t xml:space="preserve"> authorship should be assigned is warranted in future. (C</w:t>
      </w:r>
      <w:r>
        <w:rPr>
          <w:kern w:val="0"/>
        </w:rPr>
        <w:t>rit Care Med 2012; 40:967-969)</w:t>
      </w:r>
    </w:p>
    <w:p w:rsidR="00B5188C" w:rsidRDefault="00B5188C" w:rsidP="00B5188C">
      <w:pPr>
        <w:pStyle w:val="a3"/>
        <w:rPr>
          <w:kern w:val="0"/>
        </w:rPr>
      </w:pPr>
      <w:r w:rsidRPr="00B5188C">
        <w:rPr>
          <w:kern w:val="0"/>
        </w:rPr>
        <w:t>Keywords: Authorship</w:t>
      </w:r>
      <w:r>
        <w:rPr>
          <w:kern w:val="0"/>
        </w:rPr>
        <w:t>,</w:t>
      </w:r>
      <w:r w:rsidRPr="00B5188C">
        <w:rPr>
          <w:kern w:val="0"/>
        </w:rPr>
        <w:t xml:space="preserve"> Contributions</w:t>
      </w:r>
      <w:r>
        <w:rPr>
          <w:kern w:val="0"/>
        </w:rPr>
        <w:t>,</w:t>
      </w:r>
      <w:r w:rsidRPr="00B5188C">
        <w:rPr>
          <w:kern w:val="0"/>
        </w:rPr>
        <w:t xml:space="preserve"> Credit</w:t>
      </w:r>
      <w:r>
        <w:rPr>
          <w:kern w:val="0"/>
        </w:rPr>
        <w:t>,</w:t>
      </w:r>
      <w:r w:rsidRPr="00B5188C">
        <w:rPr>
          <w:kern w:val="0"/>
        </w:rPr>
        <w:t xml:space="preserve"> Critical Care Medicine</w:t>
      </w:r>
      <w:r>
        <w:rPr>
          <w:kern w:val="0"/>
        </w:rPr>
        <w:t>,</w:t>
      </w:r>
      <w:r w:rsidRPr="00B5188C">
        <w:rPr>
          <w:kern w:val="0"/>
        </w:rPr>
        <w:t xml:space="preserve"> Equal</w:t>
      </w:r>
      <w:r>
        <w:rPr>
          <w:kern w:val="0"/>
        </w:rPr>
        <w:t>,</w:t>
      </w:r>
      <w:r w:rsidRPr="00B5188C">
        <w:rPr>
          <w:kern w:val="0"/>
        </w:rPr>
        <w:t xml:space="preserve"> Practice</w:t>
      </w:r>
      <w:r>
        <w:rPr>
          <w:kern w:val="0"/>
        </w:rPr>
        <w:t>, Articles</w:t>
      </w:r>
    </w:p>
    <w:p w:rsidR="001910E9" w:rsidRDefault="001910E9" w:rsidP="001910E9">
      <w:pPr>
        <w:pStyle w:val="a3"/>
        <w:rPr>
          <w:kern w:val="0"/>
        </w:rPr>
      </w:pPr>
      <w:r>
        <w:rPr>
          <w:kern w:val="0"/>
        </w:rPr>
        <w:t>? Robinson, B.R.H., Berube, M., Barr, J., Riker, R. and Gelinas, C. (2013), Psychometric analysis</w:t>
      </w:r>
      <w:r w:rsidR="00427468">
        <w:rPr>
          <w:kern w:val="0"/>
        </w:rPr>
        <w:t xml:space="preserve"> of </w:t>
      </w:r>
      <w:r>
        <w:rPr>
          <w:kern w:val="0"/>
        </w:rPr>
        <w:t xml:space="preserve">subjective sedation scales in critically ill adults. </w:t>
      </w:r>
      <w:r>
        <w:rPr>
          <w:i/>
          <w:iCs/>
          <w:kern w:val="0"/>
        </w:rPr>
        <w:t>Critical Care Medicine</w:t>
      </w:r>
      <w:r>
        <w:rPr>
          <w:kern w:val="0"/>
        </w:rPr>
        <w:t xml:space="preserve">, </w:t>
      </w:r>
      <w:r>
        <w:rPr>
          <w:b/>
          <w:bCs/>
          <w:kern w:val="0"/>
        </w:rPr>
        <w:t>41</w:t>
      </w:r>
      <w:r>
        <w:rPr>
          <w:kern w:val="0"/>
        </w:rPr>
        <w:t xml:space="preserve"> (9), S16-S29.</w:t>
      </w:r>
    </w:p>
    <w:p w:rsidR="001910E9" w:rsidRDefault="001910E9" w:rsidP="001910E9">
      <w:pPr>
        <w:pStyle w:val="a3"/>
        <w:rPr>
          <w:kern w:val="0"/>
        </w:rPr>
      </w:pPr>
      <w:r>
        <w:rPr>
          <w:rFonts w:hint="eastAsia"/>
          <w:kern w:val="0"/>
        </w:rPr>
        <w:t xml:space="preserve">Full Text: </w:t>
      </w:r>
      <w:r w:rsidRPr="00641171">
        <w:rPr>
          <w:kern w:val="0"/>
        </w:rPr>
        <w:t>201</w:t>
      </w:r>
      <w:r>
        <w:rPr>
          <w:rFonts w:hint="eastAsia"/>
          <w:kern w:val="0"/>
        </w:rPr>
        <w:t>3</w:t>
      </w:r>
      <w:r w:rsidRPr="00641171">
        <w:rPr>
          <w:kern w:val="0"/>
        </w:rPr>
        <w:t>\Cri Car Med4</w:t>
      </w:r>
      <w:r>
        <w:rPr>
          <w:rFonts w:hint="eastAsia"/>
          <w:kern w:val="0"/>
        </w:rPr>
        <w:t>1</w:t>
      </w:r>
      <w:r w:rsidRPr="00641171">
        <w:rPr>
          <w:kern w:val="0"/>
        </w:rPr>
        <w:t xml:space="preserve">, </w:t>
      </w:r>
      <w:r>
        <w:rPr>
          <w:kern w:val="0"/>
        </w:rPr>
        <w:t>S16</w:t>
      </w:r>
      <w:r w:rsidRPr="00641171">
        <w:rPr>
          <w:kern w:val="0"/>
        </w:rPr>
        <w:t>.pdf</w:t>
      </w:r>
    </w:p>
    <w:p w:rsidR="001910E9" w:rsidRDefault="001910E9" w:rsidP="001910E9">
      <w:pPr>
        <w:pStyle w:val="a3"/>
        <w:rPr>
          <w:kern w:val="0"/>
        </w:rPr>
      </w:pPr>
      <w:r>
        <w:rPr>
          <w:kern w:val="0"/>
        </w:rPr>
        <w:lastRenderedPageBreak/>
        <w:t>Abstract: Objective: To describe and analyze the development and psychometric properties</w:t>
      </w:r>
      <w:r w:rsidR="00427468">
        <w:rPr>
          <w:kern w:val="0"/>
        </w:rPr>
        <w:t xml:space="preserve"> of </w:t>
      </w:r>
      <w:r>
        <w:rPr>
          <w:kern w:val="0"/>
        </w:rPr>
        <w:t>subjective sedation scales developed for critically ill adult patients. Data Sources: PubMed, MEDLINE, Cochrane Database</w:t>
      </w:r>
      <w:r w:rsidR="00427468">
        <w:rPr>
          <w:kern w:val="0"/>
        </w:rPr>
        <w:t xml:space="preserve"> of </w:t>
      </w:r>
      <w:r>
        <w:rPr>
          <w:kern w:val="0"/>
        </w:rPr>
        <w:t>Systematic Reviews, Cochrane Central Register</w:t>
      </w:r>
      <w:r w:rsidR="00427468">
        <w:rPr>
          <w:kern w:val="0"/>
        </w:rPr>
        <w:t xml:space="preserve"> of </w:t>
      </w:r>
      <w:r>
        <w:rPr>
          <w:kern w:val="0"/>
        </w:rPr>
        <w:t>Controlled Trials, CINAHL, Scopus, ISI Web</w:t>
      </w:r>
      <w:r w:rsidR="00427468">
        <w:rPr>
          <w:kern w:val="0"/>
        </w:rPr>
        <w:t xml:space="preserve"> of </w:t>
      </w:r>
      <w:r>
        <w:rPr>
          <w:kern w:val="0"/>
        </w:rPr>
        <w:t>Science, and the International Pharmaceutical Abstracts. Study Selection: English-only publications through December 2012 with at least 30 patients older than 18 years, which included the key words</w:t>
      </w:r>
      <w:r w:rsidR="00427468">
        <w:rPr>
          <w:kern w:val="0"/>
        </w:rPr>
        <w:t xml:space="preserve"> of </w:t>
      </w:r>
      <w:r>
        <w:rPr>
          <w:kern w:val="0"/>
        </w:rPr>
        <w:t>adult, critically ill, subjective sedation scale, sedation scale, validity, and reliability. Data Extraction: Two independent reviewers evaluated the psychometric properties using a standardized sedation scale psychometric scoring system. Data Synthesis: Among the 19,000+ citations extracted for the 2013 Society</w:t>
      </w:r>
      <w:r w:rsidR="00427468">
        <w:rPr>
          <w:kern w:val="0"/>
        </w:rPr>
        <w:t xml:space="preserve"> of </w:t>
      </w:r>
      <w:r>
        <w:rPr>
          <w:kern w:val="0"/>
        </w:rPr>
        <w:t>Critical Care Medicine</w:t>
      </w:r>
      <w:r w:rsidR="0071223E">
        <w:rPr>
          <w:kern w:val="0"/>
        </w:rPr>
        <w:t>’</w:t>
      </w:r>
      <w:r>
        <w:rPr>
          <w:kern w:val="0"/>
        </w:rPr>
        <w:t>s Clinical Practice Guidelines for the Management</w:t>
      </w:r>
      <w:r w:rsidR="00427468">
        <w:rPr>
          <w:kern w:val="0"/>
        </w:rPr>
        <w:t xml:space="preserve"> of </w:t>
      </w:r>
      <w:r>
        <w:rPr>
          <w:kern w:val="0"/>
        </w:rPr>
        <w:t>Pain, Agitation and Delirium and from December 2010 to 2012, 36 articles were identified compassing 11 sedation scales</w:t>
      </w:r>
      <w:r w:rsidR="00A37C1D">
        <w:rPr>
          <w:kern w:val="0"/>
        </w:rPr>
        <w:t>. The</w:t>
      </w:r>
      <w:r>
        <w:rPr>
          <w:kern w:val="0"/>
        </w:rPr>
        <w:t xml:space="preserve"> scale development process, psychometric properties, feasibility, and implementation</w:t>
      </w:r>
      <w:r w:rsidR="00427468">
        <w:rPr>
          <w:kern w:val="0"/>
        </w:rPr>
        <w:t xml:space="preserve"> of </w:t>
      </w:r>
      <w:r>
        <w:rPr>
          <w:kern w:val="0"/>
        </w:rPr>
        <w:t>sedation scales were analyzed using a 0-20 scoring system. Two scales demonstrated scores indicating “very good” published psychometric properties: Richmond Agitation-Sedation Scale (19.5) and the Sedation-Agitation Scale (19). Scores with “moderate” properties include the Vancouver Interaction and Calmness Scale (14.3), Adaptation to the Intensive Care Environment (13.7), Ramsay Sedation Scale (13.2), Minnesota Sedation Assessment Tool (13), and the Nursing Instrument for the Communication</w:t>
      </w:r>
      <w:r w:rsidR="00427468">
        <w:rPr>
          <w:kern w:val="0"/>
        </w:rPr>
        <w:t xml:space="preserve"> of </w:t>
      </w:r>
      <w:r>
        <w:rPr>
          <w:kern w:val="0"/>
        </w:rPr>
        <w:t>Sedation (12.8). Scales with “low” properties included the Motor Activity Assessment Scale (11.5) and the Sedation Intensive Care Score (10.5)</w:t>
      </w:r>
      <w:r w:rsidR="00A37C1D">
        <w:rPr>
          <w:kern w:val="0"/>
        </w:rPr>
        <w:t>. The</w:t>
      </w:r>
      <w:r>
        <w:rPr>
          <w:kern w:val="0"/>
        </w:rPr>
        <w:t xml:space="preserve"> New Sheffield Sedation Scale (8.5) and the Observer</w:t>
      </w:r>
      <w:r w:rsidR="0071223E">
        <w:rPr>
          <w:kern w:val="0"/>
        </w:rPr>
        <w:t>’</w:t>
      </w:r>
      <w:r>
        <w:rPr>
          <w:kern w:val="0"/>
        </w:rPr>
        <w:t>s Assessment</w:t>
      </w:r>
      <w:r w:rsidR="00427468">
        <w:rPr>
          <w:kern w:val="0"/>
        </w:rPr>
        <w:t xml:space="preserve"> of </w:t>
      </w:r>
      <w:r>
        <w:rPr>
          <w:kern w:val="0"/>
        </w:rPr>
        <w:t>Alertness/Sedation Scale (3.7) demonstrated “very low” published properties. Conclusions: Based on the current literature, and using a predetermined psychometric scoring system, the Richmond Agitation-Sedation Scale and the Sedation-Agitation Scale are the most valid and reliable subjective sedation scales for use in critically ill adult patients.</w:t>
      </w:r>
    </w:p>
    <w:p w:rsidR="001910E9" w:rsidRDefault="001910E9" w:rsidP="001910E9">
      <w:pPr>
        <w:pStyle w:val="a3"/>
        <w:rPr>
          <w:kern w:val="0"/>
        </w:rPr>
      </w:pPr>
      <w:r>
        <w:rPr>
          <w:kern w:val="0"/>
        </w:rPr>
        <w:t>Keywords: Activity, Adaptation, Adult, Adults, Agitation, Analysis, Assessment, Citations, Communication, Database, Delirium, Development, Environment, Extraction, Feasibility, Guidelines, Implementation, Instrument, ISI, ISI Web</w:t>
      </w:r>
      <w:r w:rsidR="00427468">
        <w:rPr>
          <w:kern w:val="0"/>
        </w:rPr>
        <w:t xml:space="preserve"> of </w:t>
      </w:r>
      <w:r>
        <w:rPr>
          <w:kern w:val="0"/>
        </w:rPr>
        <w:t>Science, Literature, Management, Medline, Nursing, Pain, Patients, Pharmaceutical, Properties, Publications, Pubmed, Reliability, Scale, Scales, Science, Scopus, Scoring System, Sedation, Synthesis, Systematic Reviews, Validity, Web</w:t>
      </w:r>
      <w:r w:rsidR="00427468">
        <w:rPr>
          <w:kern w:val="0"/>
        </w:rPr>
        <w:t xml:space="preserve"> of </w:t>
      </w:r>
      <w:r>
        <w:rPr>
          <w:kern w:val="0"/>
        </w:rPr>
        <w:t>Science</w:t>
      </w:r>
    </w:p>
    <w:p w:rsidR="001910E9" w:rsidRDefault="001910E9" w:rsidP="001910E9">
      <w:pPr>
        <w:pStyle w:val="a3"/>
        <w:rPr>
          <w:kern w:val="0"/>
        </w:rPr>
      </w:pPr>
      <w:r>
        <w:rPr>
          <w:kern w:val="0"/>
        </w:rPr>
        <w:t>? Hallet, J., Lauzier, F., Mailloux, O., Trottier, V., Archambault, P., Zarychanski, R. and Turgeon, A.F. (2013), The use</w:t>
      </w:r>
      <w:r w:rsidR="00427468">
        <w:rPr>
          <w:kern w:val="0"/>
        </w:rPr>
        <w:t xml:space="preserve"> of </w:t>
      </w:r>
      <w:r>
        <w:rPr>
          <w:kern w:val="0"/>
        </w:rPr>
        <w:t>higher platelet: RBC transfusion ratio in the acute phase</w:t>
      </w:r>
      <w:r w:rsidR="00427468">
        <w:rPr>
          <w:kern w:val="0"/>
        </w:rPr>
        <w:t xml:space="preserve"> of </w:t>
      </w:r>
      <w:r>
        <w:rPr>
          <w:kern w:val="0"/>
        </w:rPr>
        <w:t xml:space="preserve">trauma resuscitation: A systematic review. </w:t>
      </w:r>
      <w:r>
        <w:rPr>
          <w:i/>
          <w:iCs/>
          <w:kern w:val="0"/>
        </w:rPr>
        <w:t>Critical Care Medicine</w:t>
      </w:r>
      <w:r>
        <w:rPr>
          <w:kern w:val="0"/>
        </w:rPr>
        <w:t xml:space="preserve">, </w:t>
      </w:r>
      <w:r>
        <w:rPr>
          <w:b/>
          <w:bCs/>
          <w:kern w:val="0"/>
        </w:rPr>
        <w:t>41</w:t>
      </w:r>
      <w:r>
        <w:rPr>
          <w:kern w:val="0"/>
        </w:rPr>
        <w:t xml:space="preserve"> (12), 2800-2811.</w:t>
      </w:r>
    </w:p>
    <w:p w:rsidR="001910E9" w:rsidRDefault="001910E9" w:rsidP="001910E9">
      <w:pPr>
        <w:pStyle w:val="a3"/>
        <w:rPr>
          <w:kern w:val="0"/>
        </w:rPr>
      </w:pPr>
      <w:r>
        <w:rPr>
          <w:rFonts w:hint="eastAsia"/>
          <w:kern w:val="0"/>
        </w:rPr>
        <w:t xml:space="preserve">Full Text: </w:t>
      </w:r>
      <w:r w:rsidRPr="00641171">
        <w:rPr>
          <w:kern w:val="0"/>
        </w:rPr>
        <w:t>201</w:t>
      </w:r>
      <w:r>
        <w:rPr>
          <w:rFonts w:hint="eastAsia"/>
          <w:kern w:val="0"/>
        </w:rPr>
        <w:t>3</w:t>
      </w:r>
      <w:r w:rsidRPr="00641171">
        <w:rPr>
          <w:kern w:val="0"/>
        </w:rPr>
        <w:t>\Cri Car Med4</w:t>
      </w:r>
      <w:r>
        <w:rPr>
          <w:rFonts w:hint="eastAsia"/>
          <w:kern w:val="0"/>
        </w:rPr>
        <w:t>1</w:t>
      </w:r>
      <w:r w:rsidRPr="00641171">
        <w:rPr>
          <w:kern w:val="0"/>
        </w:rPr>
        <w:t xml:space="preserve">, </w:t>
      </w:r>
      <w:r>
        <w:rPr>
          <w:kern w:val="0"/>
        </w:rPr>
        <w:t>2800</w:t>
      </w:r>
      <w:r w:rsidRPr="00641171">
        <w:rPr>
          <w:kern w:val="0"/>
        </w:rPr>
        <w:t>.pdf</w:t>
      </w:r>
    </w:p>
    <w:p w:rsidR="001910E9" w:rsidRDefault="001910E9" w:rsidP="001910E9">
      <w:pPr>
        <w:pStyle w:val="a3"/>
        <w:rPr>
          <w:kern w:val="0"/>
        </w:rPr>
      </w:pPr>
      <w:r>
        <w:rPr>
          <w:kern w:val="0"/>
        </w:rPr>
        <w:lastRenderedPageBreak/>
        <w:t>Abstract: Objective: With the recognition</w:t>
      </w:r>
      <w:r w:rsidR="00427468">
        <w:rPr>
          <w:kern w:val="0"/>
        </w:rPr>
        <w:t xml:space="preserve"> of </w:t>
      </w:r>
      <w:r>
        <w:rPr>
          <w:kern w:val="0"/>
        </w:rPr>
        <w:t>early coagulopathy, trauma resuscitation has shifted toward liberal platelet transfusions</w:t>
      </w:r>
      <w:r w:rsidR="00A37C1D">
        <w:rPr>
          <w:kern w:val="0"/>
        </w:rPr>
        <w:t>. The</w:t>
      </w:r>
      <w:r>
        <w:rPr>
          <w:kern w:val="0"/>
        </w:rPr>
        <w:t xml:space="preserve"> overall benefit</w:t>
      </w:r>
      <w:r w:rsidR="00427468">
        <w:rPr>
          <w:kern w:val="0"/>
        </w:rPr>
        <w:t xml:space="preserve"> of </w:t>
      </w:r>
      <w:r>
        <w:rPr>
          <w:kern w:val="0"/>
        </w:rPr>
        <w:t>this strategy remains controversial. Our objective was to compare the effects</w:t>
      </w:r>
      <w:r w:rsidR="00427468">
        <w:rPr>
          <w:kern w:val="0"/>
        </w:rPr>
        <w:t xml:space="preserve"> of </w:t>
      </w:r>
      <w:r>
        <w:rPr>
          <w:kern w:val="0"/>
        </w:rPr>
        <w:t>a liberal use</w:t>
      </w:r>
      <w:r w:rsidR="00427468">
        <w:rPr>
          <w:kern w:val="0"/>
        </w:rPr>
        <w:t xml:space="preserve"> of </w:t>
      </w:r>
      <w:r>
        <w:rPr>
          <w:kern w:val="0"/>
        </w:rPr>
        <w:t>platelet (higher platelet: RBC ratios) with a conservative approach (lower ratios) in trauma resuscitation. Data Sources: We systematically searched Medline, Embase, Web</w:t>
      </w:r>
      <w:r w:rsidR="00427468">
        <w:rPr>
          <w:kern w:val="0"/>
        </w:rPr>
        <w:t xml:space="preserve"> of </w:t>
      </w:r>
      <w:r>
        <w:rPr>
          <w:kern w:val="0"/>
        </w:rPr>
        <w:t>Science, Biosis, Cochrane Central, and Scopus. Study Selection: Two independent reviewers selected randomized controlled trials and observational studies comparing two or more platelet: RBC ratios in trauma resuscitation. We excluded studies investigating the use</w:t>
      </w:r>
      <w:r w:rsidR="00427468">
        <w:rPr>
          <w:kern w:val="0"/>
        </w:rPr>
        <w:t xml:space="preserve"> of </w:t>
      </w:r>
      <w:r>
        <w:rPr>
          <w:kern w:val="0"/>
        </w:rPr>
        <w:t>whole blood or hemostatic products. Data Extraction: Two independent reviewers extracted data and assessed the risk</w:t>
      </w:r>
      <w:r w:rsidR="00427468">
        <w:rPr>
          <w:kern w:val="0"/>
        </w:rPr>
        <w:t xml:space="preserve"> of </w:t>
      </w:r>
      <w:r>
        <w:rPr>
          <w:kern w:val="0"/>
        </w:rPr>
        <w:t>bias. Primary outcomes were early (in ICU or within 30 d) and late (in hospital or after 30 d) mortality. Secondary outcomes were multiple organ failure, lung injury, and sepsis. Data Synthesis: From 6,123 citations, no randomized controlled trials were identified. We included seven observational studies (4,230 patients) addressing confounders through multivariable regression or propensity scores. Heterogeneity</w:t>
      </w:r>
      <w:r w:rsidR="00427468">
        <w:rPr>
          <w:kern w:val="0"/>
        </w:rPr>
        <w:t xml:space="preserve"> of </w:t>
      </w:r>
      <w:r>
        <w:rPr>
          <w:kern w:val="0"/>
        </w:rPr>
        <w:t>studies precluded meta-analysis. Among the five studies including exclusively patients requiring massive transfusions, four observed a lower mortality with higher ratios. Two studies considering nonmassively bleeding patients observed no benefit</w:t>
      </w:r>
      <w:r w:rsidR="00427468">
        <w:rPr>
          <w:kern w:val="0"/>
        </w:rPr>
        <w:t xml:space="preserve"> of </w:t>
      </w:r>
      <w:r>
        <w:rPr>
          <w:kern w:val="0"/>
        </w:rPr>
        <w:t>using higher ratios. Two studies evaluated the implementation</w:t>
      </w:r>
      <w:r w:rsidR="00427468">
        <w:rPr>
          <w:kern w:val="0"/>
        </w:rPr>
        <w:t xml:space="preserve"> of </w:t>
      </w:r>
      <w:r>
        <w:rPr>
          <w:kern w:val="0"/>
        </w:rPr>
        <w:t>a massive transfusion protocol; only one study observed a decrease in mortality with higher ratios.</w:t>
      </w:r>
      <w:r w:rsidR="00427468">
        <w:rPr>
          <w:kern w:val="0"/>
        </w:rPr>
        <w:t xml:space="preserve"> of </w:t>
      </w:r>
      <w:r>
        <w:rPr>
          <w:kern w:val="0"/>
        </w:rPr>
        <w:t>the two studies at low risk</w:t>
      </w:r>
      <w:r w:rsidR="00427468">
        <w:rPr>
          <w:kern w:val="0"/>
        </w:rPr>
        <w:t xml:space="preserve"> of </w:t>
      </w:r>
      <w:r>
        <w:rPr>
          <w:kern w:val="0"/>
        </w:rPr>
        <w:t>survival bias, one study observed a survival benefit. Three studies assessed secondary outcomes. One study observed an increase in multiple organ failure with higher ratios, whereas no study demonstrated an increased risk in lung injury or sepsis. Conclusions: There is insufficient evidence to strongly support the use</w:t>
      </w:r>
      <w:r w:rsidR="00427468">
        <w:rPr>
          <w:kern w:val="0"/>
        </w:rPr>
        <w:t xml:space="preserve"> of </w:t>
      </w:r>
      <w:r>
        <w:rPr>
          <w:kern w:val="0"/>
        </w:rPr>
        <w:t>a precise platelet: RBC ratio for trauma resuscitation, especially in nonmassively bleeding patients. Randomized controlled trials evaluating both the safety and efficacy</w:t>
      </w:r>
      <w:r w:rsidR="00427468">
        <w:rPr>
          <w:kern w:val="0"/>
        </w:rPr>
        <w:t xml:space="preserve"> of </w:t>
      </w:r>
      <w:r>
        <w:rPr>
          <w:kern w:val="0"/>
        </w:rPr>
        <w:t>liberal platelet transfusions are warranted.</w:t>
      </w:r>
    </w:p>
    <w:p w:rsidR="001910E9" w:rsidRDefault="001910E9" w:rsidP="001910E9">
      <w:pPr>
        <w:pStyle w:val="a3"/>
        <w:rPr>
          <w:kern w:val="0"/>
        </w:rPr>
      </w:pPr>
      <w:r>
        <w:rPr>
          <w:kern w:val="0"/>
        </w:rPr>
        <w:t>Keywords: Approach, Bias, Biosis, Bleeding, Blood, Citations, Coagulopathy, Conservative, Data, Effects, Efficacy, Evidence, Extraction, Failure, Hospital, Icu, Implementation, Injury, Low Risk, Lung, Medline, Meta Analysis, Meta-Analysis, Metaanalysis, Mortality, Observational, Observational Studies, Outcomes, Patients, Propensity Scores, Protocol, Randomized, Randomized Controlled Trials, Regression, Resuscitation, Review, Risk, Safety, Science, Scopus, Sepsis, Strategy, Support, Survival, Synthesis, Transfusion, Trauma, Web</w:t>
      </w:r>
      <w:r w:rsidR="00427468">
        <w:rPr>
          <w:kern w:val="0"/>
        </w:rPr>
        <w:t xml:space="preserve"> of </w:t>
      </w:r>
      <w:r>
        <w:rPr>
          <w:kern w:val="0"/>
        </w:rPr>
        <w:t>Science</w:t>
      </w:r>
    </w:p>
    <w:p w:rsidR="00270256" w:rsidRDefault="00270256" w:rsidP="00270256">
      <w:pPr>
        <w:pStyle w:val="a3"/>
        <w:rPr>
          <w:kern w:val="0"/>
        </w:rPr>
      </w:pPr>
      <w:r>
        <w:rPr>
          <w:rFonts w:hint="eastAsia"/>
          <w:kern w:val="0"/>
        </w:rPr>
        <w:t xml:space="preserve">? </w:t>
      </w:r>
      <w:r>
        <w:rPr>
          <w:kern w:val="0"/>
        </w:rPr>
        <w:t>Kennedy, C.C., Cannon, E.K., Warner, D.O.</w:t>
      </w:r>
      <w:r w:rsidR="005853A9">
        <w:rPr>
          <w:kern w:val="0"/>
        </w:rPr>
        <w:t xml:space="preserve"> and </w:t>
      </w:r>
      <w:r>
        <w:rPr>
          <w:kern w:val="0"/>
        </w:rPr>
        <w:t>Cook, D.A. (2014), Advanced airway management simulation training in medical education: A systematic review</w:t>
      </w:r>
      <w:r w:rsidR="005853A9">
        <w:rPr>
          <w:kern w:val="0"/>
        </w:rPr>
        <w:t xml:space="preserve"> and </w:t>
      </w:r>
      <w:r>
        <w:rPr>
          <w:kern w:val="0"/>
        </w:rPr>
        <w:t xml:space="preserve">meta-analysis. </w:t>
      </w:r>
      <w:r>
        <w:rPr>
          <w:i/>
          <w:iCs/>
          <w:kern w:val="0"/>
        </w:rPr>
        <w:t>Critical Care Medicine</w:t>
      </w:r>
      <w:r>
        <w:rPr>
          <w:kern w:val="0"/>
        </w:rPr>
        <w:t xml:space="preserve">, </w:t>
      </w:r>
      <w:r>
        <w:rPr>
          <w:b/>
          <w:bCs/>
          <w:kern w:val="0"/>
        </w:rPr>
        <w:t>42</w:t>
      </w:r>
      <w:r>
        <w:rPr>
          <w:kern w:val="0"/>
        </w:rPr>
        <w:t xml:space="preserve"> (1), 169-178.</w:t>
      </w:r>
    </w:p>
    <w:p w:rsidR="00270256" w:rsidRDefault="00270256" w:rsidP="00270256">
      <w:pPr>
        <w:pStyle w:val="a3"/>
        <w:rPr>
          <w:kern w:val="0"/>
        </w:rPr>
      </w:pPr>
      <w:r>
        <w:rPr>
          <w:rFonts w:hint="eastAsia"/>
          <w:kern w:val="0"/>
        </w:rPr>
        <w:t xml:space="preserve">Full Text: </w:t>
      </w:r>
      <w:r w:rsidRPr="00641171">
        <w:rPr>
          <w:kern w:val="0"/>
        </w:rPr>
        <w:t>201</w:t>
      </w:r>
      <w:r>
        <w:rPr>
          <w:rFonts w:hint="eastAsia"/>
          <w:kern w:val="0"/>
        </w:rPr>
        <w:t>4</w:t>
      </w:r>
      <w:r w:rsidRPr="00641171">
        <w:rPr>
          <w:kern w:val="0"/>
        </w:rPr>
        <w:t>\Cri Car Med4</w:t>
      </w:r>
      <w:r>
        <w:rPr>
          <w:rFonts w:hint="eastAsia"/>
          <w:kern w:val="0"/>
        </w:rPr>
        <w:t>2</w:t>
      </w:r>
      <w:r w:rsidRPr="00641171">
        <w:rPr>
          <w:kern w:val="0"/>
        </w:rPr>
        <w:t xml:space="preserve">, </w:t>
      </w:r>
      <w:r>
        <w:rPr>
          <w:rFonts w:hint="eastAsia"/>
          <w:kern w:val="0"/>
        </w:rPr>
        <w:t>169</w:t>
      </w:r>
      <w:r w:rsidRPr="00641171">
        <w:rPr>
          <w:kern w:val="0"/>
        </w:rPr>
        <w:t>.pdf</w:t>
      </w:r>
    </w:p>
    <w:p w:rsidR="00270256" w:rsidRDefault="00270256" w:rsidP="00270256">
      <w:pPr>
        <w:pStyle w:val="a3"/>
        <w:rPr>
          <w:kern w:val="0"/>
        </w:rPr>
      </w:pPr>
      <w:r>
        <w:rPr>
          <w:kern w:val="0"/>
        </w:rPr>
        <w:t>Abstract: Objective: To perform a systematic review</w:t>
      </w:r>
      <w:r w:rsidR="005853A9">
        <w:rPr>
          <w:kern w:val="0"/>
        </w:rPr>
        <w:t xml:space="preserve"> and </w:t>
      </w:r>
      <w:r>
        <w:rPr>
          <w:kern w:val="0"/>
        </w:rPr>
        <w:t>meta-analysis</w:t>
      </w:r>
      <w:r w:rsidR="00427468">
        <w:rPr>
          <w:kern w:val="0"/>
        </w:rPr>
        <w:t xml:space="preserve"> of </w:t>
      </w:r>
      <w:r>
        <w:rPr>
          <w:kern w:val="0"/>
        </w:rPr>
        <w:t xml:space="preserve">the literature </w:t>
      </w:r>
      <w:r>
        <w:rPr>
          <w:kern w:val="0"/>
        </w:rPr>
        <w:lastRenderedPageBreak/>
        <w:t>on teaching airway management using technology-enhanced simulation. Data Sources: We searched MEDLINE, EMBASE, CINAHL, PsycINFO, ERIC, Web</w:t>
      </w:r>
      <w:r w:rsidR="00427468">
        <w:rPr>
          <w:kern w:val="0"/>
        </w:rPr>
        <w:t xml:space="preserve"> of </w:t>
      </w:r>
      <w:r>
        <w:rPr>
          <w:kern w:val="0"/>
        </w:rPr>
        <w:t>Science,</w:t>
      </w:r>
      <w:r w:rsidR="005853A9">
        <w:rPr>
          <w:kern w:val="0"/>
        </w:rPr>
        <w:t xml:space="preserve"> and </w:t>
      </w:r>
      <w:r>
        <w:rPr>
          <w:kern w:val="0"/>
        </w:rPr>
        <w:t>Scopus for eligible articles through May 11, 2011. Study Selection: Observational or controlled trials instructing medical professionals in direct or fiberoptic intubation, surgical airway, and/or supraglottic airway using technology-enhanced simulation were included. Two reviewers determined eligibility. Data Extraction: Study quality, instructional design,</w:t>
      </w:r>
      <w:r w:rsidR="005853A9">
        <w:rPr>
          <w:kern w:val="0"/>
        </w:rPr>
        <w:t xml:space="preserve"> and </w:t>
      </w:r>
      <w:r>
        <w:rPr>
          <w:kern w:val="0"/>
        </w:rPr>
        <w:t>outcome data were abstracted independently</w:t>
      </w:r>
      <w:r w:rsidR="005853A9">
        <w:rPr>
          <w:kern w:val="0"/>
        </w:rPr>
        <w:t xml:space="preserve"> and </w:t>
      </w:r>
      <w:r>
        <w:rPr>
          <w:kern w:val="0"/>
        </w:rPr>
        <w:t>in duplicate. Data Synthesis:</w:t>
      </w:r>
      <w:r w:rsidR="00427468">
        <w:rPr>
          <w:kern w:val="0"/>
        </w:rPr>
        <w:t xml:space="preserve"> of </w:t>
      </w:r>
      <w:r>
        <w:rPr>
          <w:kern w:val="0"/>
        </w:rPr>
        <w:t>10,904 articles screened, 76 studies were included (n = 5,226 participants). We used random effects meta-analysis to pool results. In comparison with no intervention, simulation training was associated with improved outcomes for knowledge (standardized mean difference, 0.77 [95% CI, 0.19-1.35]; n = 7 studies)</w:t>
      </w:r>
      <w:r w:rsidR="005853A9">
        <w:rPr>
          <w:kern w:val="0"/>
        </w:rPr>
        <w:t xml:space="preserve"> and </w:t>
      </w:r>
      <w:r>
        <w:rPr>
          <w:kern w:val="0"/>
        </w:rPr>
        <w:t>skill (1.01 [0.68-1.34]; n = 28) but not for behavior (0.52 [-0.30 to 1.34]; n = 4) or patient outcomes (-0.12 [-0.41 to 0.16]; n = 4). In comparison with nonsimulation interventions, simulation training was associated with increased learner satisfaction (0.54 [0.37-0.71]; n = 2), improved skills (0.64 [0.12-1.16]; n = 5),</w:t>
      </w:r>
      <w:r w:rsidR="005853A9">
        <w:rPr>
          <w:kern w:val="0"/>
        </w:rPr>
        <w:t xml:space="preserve"> and </w:t>
      </w:r>
      <w:r>
        <w:rPr>
          <w:kern w:val="0"/>
        </w:rPr>
        <w:t>patient outcomes (0.86 [0.12-1.59]; n = 3) but not knowledge (0.29 [-0.28 to 0.86]; n = 4). We found few comparative effectiveness studies exploring how to optimize the use</w:t>
      </w:r>
      <w:r w:rsidR="00427468">
        <w:rPr>
          <w:kern w:val="0"/>
        </w:rPr>
        <w:t xml:space="preserve"> of </w:t>
      </w:r>
      <w:r>
        <w:rPr>
          <w:kern w:val="0"/>
        </w:rPr>
        <w:t>simulation-based training,</w:t>
      </w:r>
      <w:r w:rsidR="005853A9">
        <w:rPr>
          <w:kern w:val="0"/>
        </w:rPr>
        <w:t xml:space="preserve"> and </w:t>
      </w:r>
      <w:r>
        <w:rPr>
          <w:kern w:val="0"/>
        </w:rPr>
        <w:t>these revealed inconsistent results. For example, animal models were found superior to manikins in one study (p = 0.004) using outcome</w:t>
      </w:r>
      <w:r w:rsidR="00427468">
        <w:rPr>
          <w:kern w:val="0"/>
        </w:rPr>
        <w:t xml:space="preserve"> of </w:t>
      </w:r>
      <w:r>
        <w:rPr>
          <w:kern w:val="0"/>
        </w:rPr>
        <w:t>task speed but inferior in another study in terms</w:t>
      </w:r>
      <w:r w:rsidR="00427468">
        <w:rPr>
          <w:kern w:val="0"/>
        </w:rPr>
        <w:t xml:space="preserve"> of </w:t>
      </w:r>
      <w:r>
        <w:rPr>
          <w:kern w:val="0"/>
        </w:rPr>
        <w:t>skill ratings (p = 0.02). Five studies comparing simulators</w:t>
      </w:r>
      <w:r w:rsidR="00427468">
        <w:rPr>
          <w:kern w:val="0"/>
        </w:rPr>
        <w:t xml:space="preserve"> of </w:t>
      </w:r>
      <w:r>
        <w:rPr>
          <w:kern w:val="0"/>
        </w:rPr>
        <w:t>high versus low technical sophistication found no significant difference in skill outcomes (p &gt; 0.31). Limitations</w:t>
      </w:r>
      <w:r w:rsidR="00427468">
        <w:rPr>
          <w:kern w:val="0"/>
        </w:rPr>
        <w:t xml:space="preserve"> of </w:t>
      </w:r>
      <w:r>
        <w:rPr>
          <w:kern w:val="0"/>
        </w:rPr>
        <w:t>this review include heterogeneity (I-2 &gt; 50% for most analysis)</w:t>
      </w:r>
      <w:r w:rsidR="005853A9">
        <w:rPr>
          <w:kern w:val="0"/>
        </w:rPr>
        <w:t xml:space="preserve"> and </w:t>
      </w:r>
      <w:r>
        <w:rPr>
          <w:kern w:val="0"/>
        </w:rPr>
        <w:t>variation in quality among primary studies. Conclusions: Simulation-based airway management curriculum is superior to no intervention</w:t>
      </w:r>
      <w:r w:rsidR="005853A9">
        <w:rPr>
          <w:kern w:val="0"/>
        </w:rPr>
        <w:t xml:space="preserve"> and </w:t>
      </w:r>
      <w:r>
        <w:rPr>
          <w:kern w:val="0"/>
        </w:rPr>
        <w:t>nonsimulation intervention for important education outcomes. Further research is required to fine-tune optimal curricular design.</w:t>
      </w:r>
    </w:p>
    <w:p w:rsidR="00270256" w:rsidRDefault="00270256" w:rsidP="00270256">
      <w:pPr>
        <w:pStyle w:val="a3"/>
        <w:rPr>
          <w:kern w:val="0"/>
        </w:rPr>
      </w:pPr>
      <w:r>
        <w:rPr>
          <w:kern w:val="0"/>
        </w:rPr>
        <w:t>Keywords: Airway Management, Analysis, Anesthesia, Behavior, Care, Comparison, Curriculum, Data, Design, Education, Effectiveness, Effects, Embase, Endotracheal Intubation, Extraction, Health-Professions, Heterogeneity, Human-Patient Simulation, Intervention, Interventions, Intubation, Knowledge, Laryngeal Mask Airway, Laryngeal Mask Airway, Literature, Management, Medical, Medical Education, Medicine, Medline, Meta Analysis, Meta-Analysis, Metaanalysis, Mn, Model Fidelity, Models, Orotracheal Intubation, Outcome, Outcomes, Outcomes Research, Primary, Psycinfo, Quality, Research, Review, Satisfaction, Science, Scopus, Simulation, Simulation Training, Skill Retention, Students, Study Quality, Synthesis, Systematic Review, Teaching, Technology-Enhanced Simulation, Training, USA, Web</w:t>
      </w:r>
      <w:r w:rsidR="00427468">
        <w:rPr>
          <w:kern w:val="0"/>
        </w:rPr>
        <w:t xml:space="preserve"> of </w:t>
      </w:r>
      <w:r>
        <w:rPr>
          <w:kern w:val="0"/>
        </w:rPr>
        <w:t>Science</w:t>
      </w:r>
    </w:p>
    <w:p w:rsidR="00524370" w:rsidRDefault="00524370" w:rsidP="00524370">
      <w:pPr>
        <w:pStyle w:val="a3"/>
        <w:rPr>
          <w:kern w:val="0"/>
        </w:rPr>
      </w:pPr>
      <w:r>
        <w:rPr>
          <w:rFonts w:hint="eastAsia"/>
          <w:kern w:val="0"/>
        </w:rPr>
        <w:t xml:space="preserve">? </w:t>
      </w:r>
      <w:r>
        <w:rPr>
          <w:kern w:val="0"/>
        </w:rPr>
        <w:t>Miller, A.C., Elamin, E.M.</w:t>
      </w:r>
      <w:r w:rsidR="005853A9">
        <w:rPr>
          <w:kern w:val="0"/>
        </w:rPr>
        <w:t xml:space="preserve"> and </w:t>
      </w:r>
      <w:r>
        <w:rPr>
          <w:kern w:val="0"/>
        </w:rPr>
        <w:t xml:space="preserve">Suffredini, A.F. (2014), Inhaled anticoagulation </w:t>
      </w:r>
      <w:r>
        <w:rPr>
          <w:kern w:val="0"/>
        </w:rPr>
        <w:lastRenderedPageBreak/>
        <w:t>regimens for the treatment</w:t>
      </w:r>
      <w:r w:rsidR="00427468">
        <w:rPr>
          <w:kern w:val="0"/>
        </w:rPr>
        <w:t xml:space="preserve"> of </w:t>
      </w:r>
      <w:r>
        <w:rPr>
          <w:kern w:val="0"/>
        </w:rPr>
        <w:t xml:space="preserve">smoke inhalation-associated acute lung injury: A systematic review. </w:t>
      </w:r>
      <w:r>
        <w:rPr>
          <w:i/>
          <w:iCs/>
          <w:kern w:val="0"/>
        </w:rPr>
        <w:t>Critical Care Medicine</w:t>
      </w:r>
      <w:r>
        <w:rPr>
          <w:kern w:val="0"/>
        </w:rPr>
        <w:t xml:space="preserve">, </w:t>
      </w:r>
      <w:r>
        <w:rPr>
          <w:b/>
          <w:bCs/>
          <w:kern w:val="0"/>
        </w:rPr>
        <w:t>42</w:t>
      </w:r>
      <w:r>
        <w:rPr>
          <w:kern w:val="0"/>
        </w:rPr>
        <w:t xml:space="preserve"> (2), 413-419.</w:t>
      </w:r>
    </w:p>
    <w:p w:rsidR="00524370" w:rsidRDefault="00524370" w:rsidP="00524370">
      <w:pPr>
        <w:pStyle w:val="a3"/>
        <w:rPr>
          <w:kern w:val="0"/>
        </w:rPr>
      </w:pPr>
      <w:r>
        <w:rPr>
          <w:rFonts w:hint="eastAsia"/>
          <w:kern w:val="0"/>
        </w:rPr>
        <w:t xml:space="preserve">Full Text: </w:t>
      </w:r>
      <w:r w:rsidRPr="00641171">
        <w:rPr>
          <w:kern w:val="0"/>
        </w:rPr>
        <w:t>201</w:t>
      </w:r>
      <w:r>
        <w:rPr>
          <w:rFonts w:hint="eastAsia"/>
          <w:kern w:val="0"/>
        </w:rPr>
        <w:t>4</w:t>
      </w:r>
      <w:r w:rsidRPr="00641171">
        <w:rPr>
          <w:kern w:val="0"/>
        </w:rPr>
        <w:t>\Cri Car Med4</w:t>
      </w:r>
      <w:r>
        <w:rPr>
          <w:rFonts w:hint="eastAsia"/>
          <w:kern w:val="0"/>
        </w:rPr>
        <w:t>2</w:t>
      </w:r>
      <w:r w:rsidRPr="00641171">
        <w:rPr>
          <w:kern w:val="0"/>
        </w:rPr>
        <w:t xml:space="preserve">, </w:t>
      </w:r>
      <w:r>
        <w:rPr>
          <w:kern w:val="0"/>
        </w:rPr>
        <w:t>413</w:t>
      </w:r>
      <w:r w:rsidRPr="00641171">
        <w:rPr>
          <w:kern w:val="0"/>
        </w:rPr>
        <w:t>.pdf</w:t>
      </w:r>
    </w:p>
    <w:p w:rsidR="00524370" w:rsidRDefault="00524370" w:rsidP="00524370">
      <w:pPr>
        <w:pStyle w:val="a3"/>
        <w:rPr>
          <w:kern w:val="0"/>
        </w:rPr>
      </w:pPr>
      <w:r>
        <w:rPr>
          <w:kern w:val="0"/>
        </w:rPr>
        <w:t>Abstract: Objective: Inhaled anticoagulation regimens are increasingly being used to manage smoke inhalation-associated acute lung injury. We systematically reviewed published</w:t>
      </w:r>
      <w:r w:rsidR="005853A9">
        <w:rPr>
          <w:kern w:val="0"/>
        </w:rPr>
        <w:t xml:space="preserve"> and </w:t>
      </w:r>
      <w:r>
        <w:rPr>
          <w:kern w:val="0"/>
        </w:rPr>
        <w:t>unpublished preclinical</w:t>
      </w:r>
      <w:r w:rsidR="005853A9">
        <w:rPr>
          <w:kern w:val="0"/>
        </w:rPr>
        <w:t xml:space="preserve"> and </w:t>
      </w:r>
      <w:r>
        <w:rPr>
          <w:kern w:val="0"/>
        </w:rPr>
        <w:t>clinical trial data to elucidate the effects</w:t>
      </w:r>
      <w:r w:rsidR="00427468">
        <w:rPr>
          <w:kern w:val="0"/>
        </w:rPr>
        <w:t xml:space="preserve"> of </w:t>
      </w:r>
      <w:r>
        <w:rPr>
          <w:kern w:val="0"/>
        </w:rPr>
        <w:t>these regimens on lung injury severity, airway obstruction, ventilation, oxygenation, pulmonary infections, bleeding complications,</w:t>
      </w:r>
      <w:r w:rsidR="005853A9">
        <w:rPr>
          <w:kern w:val="0"/>
        </w:rPr>
        <w:t xml:space="preserve"> and </w:t>
      </w:r>
      <w:r>
        <w:rPr>
          <w:kern w:val="0"/>
        </w:rPr>
        <w:t>survival. Data Sources: PubMed, Scopus, EMBASE,</w:t>
      </w:r>
      <w:r w:rsidR="005853A9">
        <w:rPr>
          <w:kern w:val="0"/>
        </w:rPr>
        <w:t xml:space="preserve"> and </w:t>
      </w:r>
      <w:r>
        <w:rPr>
          <w:kern w:val="0"/>
        </w:rPr>
        <w:t>Web</w:t>
      </w:r>
      <w:r w:rsidR="00427468">
        <w:rPr>
          <w:kern w:val="0"/>
        </w:rPr>
        <w:t xml:space="preserve"> of </w:t>
      </w:r>
      <w:r>
        <w:rPr>
          <w:kern w:val="0"/>
        </w:rPr>
        <w:t>Science were searched to identify relevant published studies. Relevant unpublished studies were identified by searching the Australian</w:t>
      </w:r>
      <w:r w:rsidR="005853A9">
        <w:rPr>
          <w:kern w:val="0"/>
        </w:rPr>
        <w:t xml:space="preserve"> and </w:t>
      </w:r>
      <w:r>
        <w:rPr>
          <w:kern w:val="0"/>
        </w:rPr>
        <w:t>New Zealand Clinical Trials Registry, World Health Organization International Clinical Trials Registry Platform, Cochrane Library, ClinicalTrials.gov, MINDCULL.com, Current Controlled Trials,</w:t>
      </w:r>
      <w:r w:rsidR="005853A9">
        <w:rPr>
          <w:kern w:val="0"/>
        </w:rPr>
        <w:t xml:space="preserve"> and </w:t>
      </w:r>
      <w:r>
        <w:rPr>
          <w:kern w:val="0"/>
        </w:rPr>
        <w:t>Google. Study Selection: Inclusion criteria were any preclinical or clinical study in which 1) animals or subjects experienced smoke inhalation exposure, 2) they were treated with nebulized or aerosolized anticoagulation regimens, including heparin, heparinoids, antithrombins, or fibrinolytics (e.g., tissue plasminogen activator), 3) a control and/or sham group was described for preclinical studies,</w:t>
      </w:r>
      <w:r w:rsidR="005853A9">
        <w:rPr>
          <w:kern w:val="0"/>
        </w:rPr>
        <w:t xml:space="preserve"> and </w:t>
      </w:r>
      <w:r>
        <w:rPr>
          <w:kern w:val="0"/>
        </w:rPr>
        <w:t>4) a concurrent or historical control group described for clinical studies. Exclusion criteria were 1) the absence</w:t>
      </w:r>
      <w:r w:rsidR="00427468">
        <w:rPr>
          <w:kern w:val="0"/>
        </w:rPr>
        <w:t xml:space="preserve"> of </w:t>
      </w:r>
      <w:r>
        <w:rPr>
          <w:kern w:val="0"/>
        </w:rPr>
        <w:t>a group treated with a nebulized or aerosolized anticoagulation regimen, 2) the absence</w:t>
      </w:r>
      <w:r w:rsidR="00427468">
        <w:rPr>
          <w:kern w:val="0"/>
        </w:rPr>
        <w:t xml:space="preserve"> of </w:t>
      </w:r>
      <w:r>
        <w:rPr>
          <w:kern w:val="0"/>
        </w:rPr>
        <w:t>a control or sham group,</w:t>
      </w:r>
      <w:r w:rsidR="005853A9">
        <w:rPr>
          <w:kern w:val="0"/>
        </w:rPr>
        <w:t xml:space="preserve"> and </w:t>
      </w:r>
      <w:r>
        <w:rPr>
          <w:kern w:val="0"/>
        </w:rPr>
        <w:t>3) case reports. Data Extraction: Ninety-nine potentially relevant references were identified. Twenty-seven references met inclusion criteria including 19 preclinical references reporting 18 studies</w:t>
      </w:r>
      <w:r w:rsidR="005853A9">
        <w:rPr>
          <w:kern w:val="0"/>
        </w:rPr>
        <w:t xml:space="preserve"> and </w:t>
      </w:r>
      <w:r>
        <w:rPr>
          <w:kern w:val="0"/>
        </w:rPr>
        <w:t>eight clinical references reporting five clinical studies. Data Synthesis: A systematic review</w:t>
      </w:r>
      <w:r w:rsidR="00427468">
        <w:rPr>
          <w:kern w:val="0"/>
        </w:rPr>
        <w:t xml:space="preserve"> of </w:t>
      </w:r>
      <w:r>
        <w:rPr>
          <w:kern w:val="0"/>
        </w:rPr>
        <w:t>the literature is provided. Both clinical</w:t>
      </w:r>
      <w:r w:rsidR="005853A9">
        <w:rPr>
          <w:kern w:val="0"/>
        </w:rPr>
        <w:t xml:space="preserve"> and </w:t>
      </w:r>
      <w:r>
        <w:rPr>
          <w:kern w:val="0"/>
        </w:rPr>
        <w:t>methodological diversity precluded combining these studies in a meta-analysis. Conclusions: The high mortality associated with smoke inhalation-associated acute lung injury results from airway damage, mucosal dysfunction, neutrophil infiltration, airway coagulopathy with cast formation, ventilation-perfusion mismatching with shunt,</w:t>
      </w:r>
      <w:r w:rsidR="005853A9">
        <w:rPr>
          <w:kern w:val="0"/>
        </w:rPr>
        <w:t xml:space="preserve"> and </w:t>
      </w:r>
      <w:r>
        <w:rPr>
          <w:kern w:val="0"/>
        </w:rPr>
        <w:t>barotrauma. Inhaled anticoagulation regimens in both preclinical</w:t>
      </w:r>
      <w:r w:rsidR="005853A9">
        <w:rPr>
          <w:kern w:val="0"/>
        </w:rPr>
        <w:t xml:space="preserve"> and </w:t>
      </w:r>
      <w:r>
        <w:rPr>
          <w:kern w:val="0"/>
        </w:rPr>
        <w:t>clinical studies improve survival</w:t>
      </w:r>
      <w:r w:rsidR="005853A9">
        <w:rPr>
          <w:kern w:val="0"/>
        </w:rPr>
        <w:t xml:space="preserve"> and </w:t>
      </w:r>
      <w:r>
        <w:rPr>
          <w:kern w:val="0"/>
        </w:rPr>
        <w:t>decrease morbidity without altering systemic markers</w:t>
      </w:r>
      <w:r w:rsidR="00427468">
        <w:rPr>
          <w:kern w:val="0"/>
        </w:rPr>
        <w:t xml:space="preserve"> of </w:t>
      </w:r>
      <w:r>
        <w:rPr>
          <w:kern w:val="0"/>
        </w:rPr>
        <w:t>clotting</w:t>
      </w:r>
      <w:r w:rsidR="005853A9">
        <w:rPr>
          <w:kern w:val="0"/>
        </w:rPr>
        <w:t xml:space="preserve"> and </w:t>
      </w:r>
      <w:r>
        <w:rPr>
          <w:kern w:val="0"/>
        </w:rPr>
        <w:t>anticoagulation. In some preclinical</w:t>
      </w:r>
      <w:r w:rsidR="005853A9">
        <w:rPr>
          <w:kern w:val="0"/>
        </w:rPr>
        <w:t xml:space="preserve"> and </w:t>
      </w:r>
      <w:r>
        <w:rPr>
          <w:kern w:val="0"/>
        </w:rPr>
        <w:t>clinical studies, inhaled anticoagulants were associated with a favorable effect on survival. This approach appears sufficiently promising to merit a well-designed prospective study to validate its use in patients with severe smoke inhalation-associated acute lung injury requiring mechanical ventilation.</w:t>
      </w:r>
    </w:p>
    <w:p w:rsidR="00524370" w:rsidRDefault="00524370" w:rsidP="00524370">
      <w:pPr>
        <w:pStyle w:val="a3"/>
        <w:rPr>
          <w:kern w:val="0"/>
        </w:rPr>
      </w:pPr>
      <w:r>
        <w:rPr>
          <w:kern w:val="0"/>
        </w:rPr>
        <w:t xml:space="preserve">Keywords: Activator, Airway Obstruction, Animals, Anticoagulation, Approach, Australian, Barotrauma, Bleeding, Case Reports, Clinical, Clinical Studies, Clinical Study, Clinical Trial, Clinical Trials, Coagulopathy, Combining, Complications, </w:t>
      </w:r>
      <w:r>
        <w:rPr>
          <w:kern w:val="0"/>
        </w:rPr>
        <w:lastRenderedPageBreak/>
        <w:t>Control, Criteria, Damage, Data, Diversity, Effects, Embase, Exposure, Extraction, Google, Health, Heparin, Infections, Infiltration, Inhalation, Injury, Injury Severity, Literature, Lung, Mechanical Ventilation, Meta Analysis, Meta-Analysis, Metaanalysis, Morbidity, Mortality, Mucosal, Neutrophil, New Zealand, Oxygenation, Patients, Prospective, Prospective Study, Pubmed, References, Reporting, Review, Science, Scopus, Survival, Synthesis, Systematic Review, Treatment, Trial, Ventilation, Web</w:t>
      </w:r>
      <w:r w:rsidR="00427468">
        <w:rPr>
          <w:kern w:val="0"/>
        </w:rPr>
        <w:t xml:space="preserve"> of </w:t>
      </w:r>
      <w:r>
        <w:rPr>
          <w:kern w:val="0"/>
        </w:rPr>
        <w:t>Science, World Health Organization</w:t>
      </w:r>
    </w:p>
    <w:p w:rsidR="00162B53" w:rsidRDefault="00162B53" w:rsidP="00162B53">
      <w:pPr>
        <w:pStyle w:val="a3"/>
        <w:rPr>
          <w:kern w:val="0"/>
        </w:rPr>
      </w:pPr>
      <w:r>
        <w:rPr>
          <w:rFonts w:hint="eastAsia"/>
          <w:kern w:val="0"/>
        </w:rPr>
        <w:t xml:space="preserve">? </w:t>
      </w:r>
      <w:r>
        <w:rPr>
          <w:kern w:val="0"/>
        </w:rPr>
        <w:t>O</w:t>
      </w:r>
      <w:r w:rsidR="0071223E">
        <w:rPr>
          <w:kern w:val="0"/>
        </w:rPr>
        <w:t>’</w:t>
      </w:r>
      <w:r>
        <w:rPr>
          <w:kern w:val="0"/>
        </w:rPr>
        <w:t xml:space="preserve">Horo, J.C., Maki, D.G., Krupp, A.E. and Safdar, N. (2014), Arterial catheters as a source of bloodstream infection: A systematic review and meta-analysis. </w:t>
      </w:r>
      <w:r>
        <w:rPr>
          <w:i/>
          <w:iCs/>
          <w:kern w:val="0"/>
        </w:rPr>
        <w:t>Critical Care Medicine</w:t>
      </w:r>
      <w:r>
        <w:rPr>
          <w:kern w:val="0"/>
        </w:rPr>
        <w:t xml:space="preserve">, </w:t>
      </w:r>
      <w:r>
        <w:rPr>
          <w:b/>
          <w:bCs/>
          <w:kern w:val="0"/>
        </w:rPr>
        <w:t>42</w:t>
      </w:r>
      <w:r>
        <w:rPr>
          <w:kern w:val="0"/>
        </w:rPr>
        <w:t xml:space="preserve"> (6), 1334-1339.</w:t>
      </w:r>
    </w:p>
    <w:p w:rsidR="00162B53" w:rsidRDefault="00162B53" w:rsidP="00162B53">
      <w:pPr>
        <w:pStyle w:val="a3"/>
        <w:rPr>
          <w:kern w:val="0"/>
        </w:rPr>
      </w:pPr>
      <w:r>
        <w:rPr>
          <w:rFonts w:hint="eastAsia"/>
          <w:kern w:val="0"/>
        </w:rPr>
        <w:t xml:space="preserve">Full Text: </w:t>
      </w:r>
      <w:r w:rsidRPr="00641171">
        <w:rPr>
          <w:kern w:val="0"/>
        </w:rPr>
        <w:t>201</w:t>
      </w:r>
      <w:r>
        <w:rPr>
          <w:rFonts w:hint="eastAsia"/>
          <w:kern w:val="0"/>
        </w:rPr>
        <w:t>4</w:t>
      </w:r>
      <w:r w:rsidRPr="00641171">
        <w:rPr>
          <w:kern w:val="0"/>
        </w:rPr>
        <w:t>\Cri Car Med4</w:t>
      </w:r>
      <w:r>
        <w:rPr>
          <w:rFonts w:hint="eastAsia"/>
          <w:kern w:val="0"/>
        </w:rPr>
        <w:t>2</w:t>
      </w:r>
      <w:r w:rsidRPr="00641171">
        <w:rPr>
          <w:kern w:val="0"/>
        </w:rPr>
        <w:t xml:space="preserve">, </w:t>
      </w:r>
      <w:r>
        <w:rPr>
          <w:kern w:val="0"/>
        </w:rPr>
        <w:t>1334</w:t>
      </w:r>
      <w:r w:rsidRPr="00641171">
        <w:rPr>
          <w:kern w:val="0"/>
        </w:rPr>
        <w:t>.pdf</w:t>
      </w:r>
    </w:p>
    <w:p w:rsidR="00162B53" w:rsidRDefault="00162B53" w:rsidP="00162B53">
      <w:pPr>
        <w:pStyle w:val="a3"/>
        <w:rPr>
          <w:kern w:val="0"/>
        </w:rPr>
      </w:pPr>
      <w:r>
        <w:rPr>
          <w:kern w:val="0"/>
        </w:rPr>
        <w:t xml:space="preserve">Abstract: Objective: Catheter-related bloodstream infections are associated with significant costs and adverse consequences. Arterial catheters are commonly used in the critical care setting and are among the most heavily manipulated vascular access devices. We sought to evaluate the prevalence of arterial catheter-related bloodstream infection. Data Sources: PubMed, CinAHL, EMBASE, and Web of Science. Study Selection: Included studies reported prevalence rate of catheter-related bloodstream infection for arterial catheters used for critical illness or postoperative monitoring. For the purposes of this study, catheter-related bloodstream infection was defined as positive blood culture collected from an arterial catheter and from the periphery with the same organism in a patient demonstrating systemic signs of sepsis. Data Extraction: The study population, site of insertion, antiseptic preparation, catheter days, and prevalence of catheter-related bloodstream infection were abstracted. When data were not available, authors were contacted for further information. Data Synthesis: Forty-nine studies met criteria including 222 cases of arterial catheter-related bloodstream infection in 30,841 catheters. Pooled incidence was 3.40/1,000 catheters or 0.96/1,000 catheter days. Prevalence was considerably higher in the subgroup of studies that cultured all catheters (1.26/1,000 catheter days) compared with those studies that cultured only when the arterial catheter was suspected as the source for the catheter-related bloodstream infection (0.70/1,000 catheter days). Pooled data also found a significantly increased risk of infection for femoral site of insertion compared with radial artery for arterial catheter placement (relative risk, 1.93; 95% CI, 1.32-2.84; p = 0.001) Conclusions: Arterial catheters are an underrecognized cause of catheter-related bloodstream infection. Pooled incidence when catheters were systematically cultured and correlated to blood culture results indicated a substantial burden of arterial catheter-related bloodstream infection. Selection of a radial site over a femoral site will help reduce the risk of arterial catheter-related bloodstream infection. Future studies should evaluate technologies applied to preventing central venous catheter-related </w:t>
      </w:r>
      <w:r>
        <w:rPr>
          <w:kern w:val="0"/>
        </w:rPr>
        <w:lastRenderedPageBreak/>
        <w:t>bloodstream infection to arterial catheters as well.</w:t>
      </w:r>
    </w:p>
    <w:p w:rsidR="00162B53" w:rsidRDefault="00162B53" w:rsidP="00162B53">
      <w:pPr>
        <w:pStyle w:val="a3"/>
        <w:rPr>
          <w:kern w:val="0"/>
        </w:rPr>
      </w:pPr>
      <w:r>
        <w:rPr>
          <w:kern w:val="0"/>
        </w:rPr>
        <w:t>Keywords: Access, Arterial Catheterization, Artery, Authors, Blood, Bloodstream Infections, Burden, Cannulation, Cardiac-Surgery, Care, Catheter, Catheter-Related Infections, Catheters, Central Venous Catheters, Colonization, Costs, Criteria, Critical Care, Critical Illness, Critically-Ill Patients, Culture, Data, Embase, Extraction, Femoral-Artery, Incidence, Infection, Infections, Information, Intensive-Care Units, Meta-Analysis, Monitoring, Nosocomial Infections, Peripheral, Placement, Population, Postoperative, Preparation, Prevalence, Pubmed, Radial-Artery, Randomized Controlled-Trial, Relative Risk, Review, Risk, Science, Sepsis, Site, Source, Synthesis, Systematic Review, Technologies, Vascular Access, Web Of Science</w:t>
      </w:r>
    </w:p>
    <w:p w:rsidR="007C49DB" w:rsidRDefault="007C49DB" w:rsidP="007C49DB">
      <w:pPr>
        <w:pStyle w:val="a3"/>
        <w:rPr>
          <w:kern w:val="0"/>
        </w:rPr>
      </w:pPr>
      <w:r>
        <w:rPr>
          <w:kern w:val="0"/>
        </w:rPr>
        <w:t xml:space="preserve">? Mu, J.L., Lee, A. and Joynt, G.M. (2015), Pharmacologic agents for the prevention and treatment of delirium in patients undergoing cardiac surgery: Systematic review and metaanalysis. </w:t>
      </w:r>
      <w:r>
        <w:rPr>
          <w:i/>
          <w:iCs/>
          <w:kern w:val="0"/>
        </w:rPr>
        <w:t>Critical Care Medicine</w:t>
      </w:r>
      <w:r>
        <w:rPr>
          <w:kern w:val="0"/>
        </w:rPr>
        <w:t xml:space="preserve">, </w:t>
      </w:r>
      <w:r>
        <w:rPr>
          <w:b/>
          <w:bCs/>
          <w:kern w:val="0"/>
        </w:rPr>
        <w:t>43</w:t>
      </w:r>
      <w:r>
        <w:rPr>
          <w:kern w:val="0"/>
        </w:rPr>
        <w:t xml:space="preserve"> (1), 194-204.</w:t>
      </w:r>
    </w:p>
    <w:p w:rsidR="007C49DB" w:rsidRDefault="007C49DB" w:rsidP="007C49DB">
      <w:pPr>
        <w:pStyle w:val="a3"/>
        <w:rPr>
          <w:kern w:val="0"/>
        </w:rPr>
      </w:pPr>
      <w:r>
        <w:rPr>
          <w:rFonts w:hint="eastAsia"/>
          <w:kern w:val="0"/>
        </w:rPr>
        <w:t xml:space="preserve">Full Text: </w:t>
      </w:r>
      <w:r w:rsidRPr="00641171">
        <w:rPr>
          <w:kern w:val="0"/>
        </w:rPr>
        <w:t>201</w:t>
      </w:r>
      <w:r>
        <w:rPr>
          <w:rFonts w:hint="eastAsia"/>
          <w:kern w:val="0"/>
        </w:rPr>
        <w:t>5</w:t>
      </w:r>
      <w:r w:rsidRPr="00641171">
        <w:rPr>
          <w:kern w:val="0"/>
        </w:rPr>
        <w:t>\Cri Car Med4</w:t>
      </w:r>
      <w:r>
        <w:rPr>
          <w:rFonts w:hint="eastAsia"/>
          <w:kern w:val="0"/>
        </w:rPr>
        <w:t>3</w:t>
      </w:r>
      <w:r w:rsidRPr="00641171">
        <w:rPr>
          <w:kern w:val="0"/>
        </w:rPr>
        <w:t xml:space="preserve">, </w:t>
      </w:r>
      <w:r>
        <w:rPr>
          <w:kern w:val="0"/>
        </w:rPr>
        <w:t>194</w:t>
      </w:r>
      <w:r w:rsidRPr="00641171">
        <w:rPr>
          <w:kern w:val="0"/>
        </w:rPr>
        <w:t>.pdf</w:t>
      </w:r>
    </w:p>
    <w:p w:rsidR="007C49DB" w:rsidRDefault="007C49DB" w:rsidP="007C49DB">
      <w:pPr>
        <w:pStyle w:val="a3"/>
        <w:rPr>
          <w:kern w:val="0"/>
        </w:rPr>
      </w:pPr>
      <w:r>
        <w:rPr>
          <w:kern w:val="0"/>
        </w:rPr>
        <w:t xml:space="preserve">Abstract: Objectives: Postcardiac surgery delirium is associated with increased risks of morbidity, cognitive decline, poor health-related quality of life and mortality, and higher healthcare costs. We performed a systematic review of randomized controlled trials to examine the effect of pharmacologic agents for the prevention and the treatment of delirium after cardiac surgery. Data Sources: Electronic search on PubMed, Medline, Embase, Cochrane Central Register of Controlled Trials, ISI Web of Science, and CINAHL up to December 2013. Study Selection: Randomized controlled trials of pharmacologic agents used for the prevention and the treatment of delirium after emergency or elective cardiac surgery in adults. Data Extraction: We extracted data on patient population, pharmacologic agents, delirium characteristics, rescue treatment, length of stays in the ICU and hospital, and mortality. For each trial, we assessed the risk of bias domains and rated the quality of evidence using the Grading of Recommendations Assessment, Development and Evaluation approach. Data Synthesis: Of the 13 studies (10 prevention and three treatment) involving 5,848 patients, one multicentered randomized controlled trial on prophylactic dexamethasone made up 77% of the total sample size. The use of pharmacologic agents (dexamethasone, rivastigmine, risperidone, ketamine, dexmedetomidine, propofol, and clonidine) reduced the risk of delirium (relative risk, 0.57; 95% CI, 0.40-0.80) with quality of evidence rated as moderate. There was high quality of evidence for no increased risk of mortality (relative risk, 0.89; 95% CI, 0.57-1.38) associated with the use of prophylactic pharmacologic agents. Metaanalysis of treatment trials was not undertaken because of high heterogeneity. In two small trials (total number of patients = 133), haloperidol did not appear to be effective in treating delirium. Conclusions: Moderate to high-quality evidence supports the use of </w:t>
      </w:r>
      <w:r>
        <w:rPr>
          <w:kern w:val="0"/>
        </w:rPr>
        <w:lastRenderedPageBreak/>
        <w:t>pharmacologic agents for the prevention of delirium, but results are based largely on one randomized controlled trial. The evidence for treating postcardiac surgery delirium with pharmacologic agents is inconclusive.</w:t>
      </w:r>
    </w:p>
    <w:p w:rsidR="007C49DB" w:rsidRDefault="007C49DB" w:rsidP="007C49DB">
      <w:pPr>
        <w:pStyle w:val="a3"/>
        <w:rPr>
          <w:kern w:val="0"/>
        </w:rPr>
      </w:pPr>
      <w:r>
        <w:rPr>
          <w:kern w:val="0"/>
        </w:rPr>
        <w:t>Keywords: Approach, Assessment, Bias, Cardiac Surgery, Cardiac Surgical Procedures, Characteristics, Clonidine, Cognitive, Controlled Trial, Costs, Data, Delirium, Delirium, Drug Therapy, Development, Dexamethasone, Dexmedetomidine, Elective, Emergency, Evaluation, Evidence, Extraction, Haloperidol, Health-Related Quality Of Life, Healthcare Costs, Heterogeneity, Hospital, Icu, Impact, Intensive Care, Intensive-Care-Unit, Isi, Isi Web of Science, Ketamine, Length, Life, Medline, Metaanalysis, Morbidity, Mortality, Patients, Population, Postoperative Complications, Postoperative Delirium, Prevention, Prophylactic, Propofol, Pubmed, Quality, Quality Of, Quality Of Life, Randomized, Randomized Controlled Trial, Randomized Controlled Trials, Randomized Controlled-Trial, Relative Risk, Review, Risk, Risk-Factors, Risks, Risperidone, Sample Size, Science, Size, Small, Surgery, Synthesis, Systematic, Systematic Review, Treatment, Trial, Validation, Web, Web of Science</w:t>
      </w:r>
    </w:p>
    <w:p w:rsidR="00E02224" w:rsidRDefault="00E02224" w:rsidP="00E02224">
      <w:pPr>
        <w:pStyle w:val="a3"/>
        <w:rPr>
          <w:kern w:val="0"/>
        </w:rPr>
      </w:pPr>
      <w:r>
        <w:rPr>
          <w:rFonts w:hint="eastAsia"/>
          <w:kern w:val="0"/>
        </w:rPr>
        <w:t xml:space="preserve">? </w:t>
      </w:r>
      <w:r>
        <w:rPr>
          <w:kern w:val="0"/>
        </w:rPr>
        <w:t xml:space="preserve">Connolly, B., MacBean, V., Crowley, C., Lunt, A., Moxham, J., Rafferty, G.F. and Hart, N. (2015), Ultrasound for the assessment of peripheral skeletal muscle architecture in critical illness: A systematic review. </w:t>
      </w:r>
      <w:r>
        <w:rPr>
          <w:i/>
          <w:iCs/>
          <w:kern w:val="0"/>
        </w:rPr>
        <w:t>Critical Care Medicine</w:t>
      </w:r>
      <w:r>
        <w:rPr>
          <w:kern w:val="0"/>
        </w:rPr>
        <w:t xml:space="preserve">, </w:t>
      </w:r>
      <w:r>
        <w:rPr>
          <w:b/>
          <w:bCs/>
          <w:kern w:val="0"/>
        </w:rPr>
        <w:t>43</w:t>
      </w:r>
      <w:r>
        <w:rPr>
          <w:kern w:val="0"/>
        </w:rPr>
        <w:t xml:space="preserve"> (4), 897-905.</w:t>
      </w:r>
    </w:p>
    <w:p w:rsidR="00E02224" w:rsidRDefault="00E02224" w:rsidP="00E02224">
      <w:pPr>
        <w:pStyle w:val="a3"/>
        <w:rPr>
          <w:kern w:val="0"/>
        </w:rPr>
      </w:pPr>
      <w:r>
        <w:rPr>
          <w:rFonts w:hint="eastAsia"/>
          <w:kern w:val="0"/>
        </w:rPr>
        <w:t xml:space="preserve">Full Text: </w:t>
      </w:r>
      <w:r w:rsidRPr="00641171">
        <w:rPr>
          <w:kern w:val="0"/>
        </w:rPr>
        <w:t>201</w:t>
      </w:r>
      <w:r>
        <w:rPr>
          <w:rFonts w:hint="eastAsia"/>
          <w:kern w:val="0"/>
        </w:rPr>
        <w:t>5</w:t>
      </w:r>
      <w:r w:rsidRPr="00641171">
        <w:rPr>
          <w:kern w:val="0"/>
        </w:rPr>
        <w:t>\Cri Car Med4</w:t>
      </w:r>
      <w:r>
        <w:rPr>
          <w:rFonts w:hint="eastAsia"/>
          <w:kern w:val="0"/>
        </w:rPr>
        <w:t>3</w:t>
      </w:r>
      <w:r w:rsidRPr="00641171">
        <w:rPr>
          <w:kern w:val="0"/>
        </w:rPr>
        <w:t xml:space="preserve">, </w:t>
      </w:r>
      <w:r>
        <w:rPr>
          <w:kern w:val="0"/>
        </w:rPr>
        <w:t>897</w:t>
      </w:r>
      <w:r w:rsidRPr="00641171">
        <w:rPr>
          <w:kern w:val="0"/>
        </w:rPr>
        <w:t>.pdf</w:t>
      </w:r>
    </w:p>
    <w:p w:rsidR="00E02224" w:rsidRDefault="00E02224" w:rsidP="00E02224">
      <w:pPr>
        <w:pStyle w:val="a3"/>
        <w:rPr>
          <w:kern w:val="0"/>
        </w:rPr>
      </w:pPr>
      <w:r>
        <w:rPr>
          <w:kern w:val="0"/>
        </w:rPr>
        <w:t xml:space="preserve">Abstract: Objectives: To critically evaluate and summarize identified evidence for the use of ultrasound to measure peripheral skeletal muscle architecture during critical illness. Data Sources: Seven electronic databases (Medline, Cumulative Index to Nursing and Allied Health Literature, Cochrane Library, Physiotherapy Evidence Database, Scopus, Excerpta Medica Database, and Web of Science [including Science Citations and Conference Proceedings]) and personal libraries were searched for relevant articles. Cross-referencing further identified references. Study Selection: Quantitative study designs excluding abstracts, published in English, including adult critically ill patients in the ICU, evaluating peripheral skeletal muscle architecture during critical illness with ultrasound were included. Studies using ultrasonographic muscle data as outcome measures in interventional trials were excluded. Data Extraction: Performed by one reviewer using a standardized data extraction form and cross-checked by a second reviewer. Quality appraisal was undertaken by two independent reviewers-studies were classified, graded, and appraised according to standardized algorithms and checklists. Preferred Reporting Items for Systematic Reviews and Meta-Analyses guidelines were adhered to. Data Synthesis: Seven studies with independent patient cohorts totaling 300 participants were included. One study adopted a case-control design, and the remainder were case series. Ultrasound </w:t>
      </w:r>
      <w:r>
        <w:rPr>
          <w:kern w:val="0"/>
        </w:rPr>
        <w:lastRenderedPageBreak/>
        <w:t>data demonstrated deficits in a variety of peripheral skeletal muscle architecture variables across a range of muscle groups associated with critical illness. Ultrasound offered more accurate data compared to limb circumference measurement and has excellent reported reliability, but underestimated data acquired via more invasive muscle biopsy. Conclusion: Ultrasound provides clinical utility for assessing the trajectory of change in peripheral skeletal muscle architecture during critical illness, supplementing more detailed characterization, albeit rarely used, from muscle biopsy analysis. Adoption of standardized operating protocols for measurement will facilitate future meta-analysis of data.</w:t>
      </w:r>
    </w:p>
    <w:p w:rsidR="00E02224" w:rsidRDefault="00E02224" w:rsidP="00E02224">
      <w:pPr>
        <w:pStyle w:val="a3"/>
        <w:rPr>
          <w:kern w:val="0"/>
        </w:rPr>
      </w:pPr>
      <w:r>
        <w:rPr>
          <w:kern w:val="0"/>
        </w:rPr>
        <w:t>Keywords: Abstracts, Acquired Weakness, Adoption, Adult, Algorithms, Analysis, Architecture, Articles, Assessing, Assessment, Biopsy, Case-Control, Characterization, Citations, Clinical, Conference, Critical Illness, Cross-Sectional Area, Data, Database, Databases, Design, English, Evidence, Extraction, From, Groups, Guidelines, Health, Icu, Ill Patients, Intensive Care, Intensive-Care-Unit, Invasive, Knee Extensor Muscles, Literature, Magnetic Stimulation, Measure, Measurement, Measures, Mechanical Ventilation, Medline, Meta Analysis, Meta-Analysis, Metaanalysis, Muscle, Muscle Biopsy, Nerve, Neuromuscular Ultrasound, Nursing, Outcome, Outcome Measures, Patient, Patients, Peripheral, Physiotherapy, Protocols, Quadriceps Strength, Quality, Quantitative, Quantitative Study, References, Reliability, Review, Science, Scopus, Skeletal Muscle Architecture, Skeletal Muscle Wasting, Synthesis, Systematic, Systematic Review, Systematic Reviews, Trajectory, Ultrasound, Utility, Web, Web Of Science</w:t>
      </w:r>
    </w:p>
    <w:p w:rsidR="003474F2" w:rsidRPr="001A3D2B" w:rsidRDefault="003474F2" w:rsidP="003474F2">
      <w:pPr>
        <w:pStyle w:val="1"/>
      </w:pPr>
      <w:r w:rsidRPr="001A3D2B">
        <w:br w:type="page"/>
      </w:r>
      <w:bookmarkStart w:id="421" w:name="_Toc420815128"/>
      <w:r w:rsidRPr="001A3D2B">
        <w:lastRenderedPageBreak/>
        <w:t>Title: Critical Perspectives on International Business</w:t>
      </w:r>
      <w:bookmarkEnd w:id="421"/>
    </w:p>
    <w:p w:rsidR="003474F2" w:rsidRPr="001A3D2B" w:rsidRDefault="003474F2" w:rsidP="003474F2">
      <w:pPr>
        <w:pStyle w:val="12"/>
      </w:pPr>
      <w:r w:rsidRPr="001A3D2B">
        <w:t xml:space="preserve">Full Journal Title: </w:t>
      </w:r>
      <w:hyperlink r:id="rId1069" w:tooltip="Go to this journal's page" w:history="1">
        <w:r w:rsidRPr="001A3D2B">
          <w:t>Critical Perspectives on International Business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Gantman, E.R.</w:t>
      </w:r>
      <w:r w:rsidR="005853A9">
        <w:t xml:space="preserve"> and </w:t>
      </w:r>
      <w:r w:rsidRPr="001A3D2B">
        <w:t xml:space="preserve">Parker, M. (2006), Comprador management? </w:t>
      </w:r>
      <w:hyperlink r:id="rId1070" w:tooltip="Go to this journal's page" w:history="1">
        <w:r w:rsidRPr="001A3D2B">
          <w:rPr>
            <w:i/>
          </w:rPr>
          <w:t>Critical Perspectives on International Business</w:t>
        </w:r>
      </w:hyperlink>
      <w:r w:rsidRPr="001A3D2B">
        <w:t xml:space="preserve">, </w:t>
      </w:r>
      <w:r w:rsidRPr="001A3D2B">
        <w:rPr>
          <w:b/>
        </w:rPr>
        <w:t>2</w:t>
      </w:r>
      <w:r w:rsidRPr="001A3D2B">
        <w:t xml:space="preserve"> (1), 25-40.</w:t>
      </w:r>
    </w:p>
    <w:p w:rsidR="003474F2" w:rsidRPr="001A3D2B" w:rsidRDefault="003474F2" w:rsidP="003474F2">
      <w:pPr>
        <w:pStyle w:val="a3"/>
      </w:pPr>
      <w:r w:rsidRPr="001A3D2B">
        <w:t>Abstract: Purpose -</w:t>
      </w:r>
      <w:r w:rsidR="003A1917">
        <w:t xml:space="preserve"> the </w:t>
      </w:r>
      <w:r w:rsidRPr="001A3D2B">
        <w:t>purpose</w:t>
      </w:r>
      <w:r w:rsidR="00427468">
        <w:t xml:space="preserve"> of </w:t>
      </w:r>
      <w:r w:rsidRPr="001A3D2B">
        <w:t>this paper is to explore</w:t>
      </w:r>
      <w:r w:rsidR="003A1917">
        <w:t xml:space="preserve"> the </w:t>
      </w:r>
      <w:r w:rsidRPr="001A3D2B">
        <w:t>production</w:t>
      </w:r>
      <w:r w:rsidR="00427468">
        <w:t xml:space="preserve"> of </w:t>
      </w:r>
      <w:r w:rsidRPr="001A3D2B">
        <w:t xml:space="preserve">management knowledge in </w:t>
      </w:r>
      <w:smartTag w:uri="urn:schemas-microsoft-com:office:smarttags" w:element="place">
        <w:smartTag w:uri="urn:schemas-microsoft-com:office:smarttags" w:element="country-region">
          <w:r w:rsidRPr="001A3D2B">
            <w:t>Argentina</w:t>
          </w:r>
        </w:smartTag>
      </w:smartTag>
      <w:r w:rsidRPr="001A3D2B">
        <w:t>. Design/methodology/approach - Based on a qualitative research strategy that draws on one</w:t>
      </w:r>
      <w:r w:rsidR="00427468">
        <w:t xml:space="preserve"> of </w:t>
      </w:r>
      <w:r w:rsidR="003A1917">
        <w:t xml:space="preserve">the </w:t>
      </w:r>
      <w:r w:rsidRPr="001A3D2B">
        <w:t>authors</w:t>
      </w:r>
      <w:r w:rsidR="0071223E">
        <w:t>’</w:t>
      </w:r>
      <w:r w:rsidRPr="001A3D2B">
        <w:t xml:space="preserve"> participant observation in</w:t>
      </w:r>
      <w:r w:rsidR="003A1917">
        <w:t xml:space="preserve"> the </w:t>
      </w:r>
      <w:r w:rsidRPr="001A3D2B">
        <w:t>field</w:t>
      </w:r>
      <w:r w:rsidR="00427468">
        <w:t xml:space="preserve"> of </w:t>
      </w:r>
      <w:r w:rsidRPr="001A3D2B">
        <w:t>Argentine management education, selected data from Argentine universities,</w:t>
      </w:r>
      <w:r w:rsidR="005853A9">
        <w:t xml:space="preserve"> and </w:t>
      </w:r>
      <w:r w:rsidRPr="001A3D2B">
        <w:t>a bibliometric study</w:t>
      </w:r>
      <w:r w:rsidR="00427468">
        <w:t xml:space="preserve"> of </w:t>
      </w:r>
      <w:r w:rsidRPr="001A3D2B">
        <w:t>local</w:t>
      </w:r>
      <w:r w:rsidR="005853A9">
        <w:t xml:space="preserve"> and </w:t>
      </w:r>
      <w:r w:rsidRPr="001A3D2B">
        <w:t>foreign management journals. Findings - Suggests that local academics are mainly engaged in</w:t>
      </w:r>
      <w:r w:rsidR="003A1917">
        <w:t xml:space="preserve"> the </w:t>
      </w:r>
      <w:r w:rsidRPr="001A3D2B">
        <w:t>production</w:t>
      </w:r>
      <w:r w:rsidR="00427468">
        <w:t xml:space="preserve"> of </w:t>
      </w:r>
      <w:r w:rsidRPr="001A3D2B">
        <w:t xml:space="preserve">practitioner-oriented management knowledge that is highly influenced by </w:t>
      </w:r>
      <w:smartTag w:uri="urn:schemas-microsoft-com:office:smarttags" w:element="place">
        <w:smartTag w:uri="urn:schemas-microsoft-com:office:smarttags" w:element="country-region">
          <w:r w:rsidRPr="001A3D2B">
            <w:t>US</w:t>
          </w:r>
        </w:smartTag>
      </w:smartTag>
      <w:r w:rsidRPr="001A3D2B">
        <w:t xml:space="preserve"> popular market managerialism. Analyses</w:t>
      </w:r>
      <w:r w:rsidR="003A1917">
        <w:t xml:space="preserve"> the </w:t>
      </w:r>
      <w:r w:rsidRPr="001A3D2B">
        <w:t>causes</w:t>
      </w:r>
      <w:r w:rsidR="00427468">
        <w:t xml:space="preserve"> of </w:t>
      </w:r>
      <w:r w:rsidR="003A1917">
        <w:t xml:space="preserve">the </w:t>
      </w:r>
      <w:r w:rsidRPr="001A3D2B">
        <w:t>low level</w:t>
      </w:r>
      <w:r w:rsidR="00427468">
        <w:t xml:space="preserve"> of </w:t>
      </w:r>
      <w:r w:rsidRPr="001A3D2B">
        <w:t>production</w:t>
      </w:r>
      <w:r w:rsidR="00427468">
        <w:t xml:space="preserve"> of </w:t>
      </w:r>
      <w:r w:rsidRPr="001A3D2B">
        <w:t>indigenous academic knowledge, concluding that it can be explained by three related factors:</w:t>
      </w:r>
      <w:r w:rsidR="003A1917">
        <w:t xml:space="preserve"> the </w:t>
      </w:r>
      <w:r w:rsidRPr="001A3D2B">
        <w:t>lack</w:t>
      </w:r>
      <w:r w:rsidR="00427468">
        <w:t xml:space="preserve"> of </w:t>
      </w:r>
      <w:r w:rsidRPr="001A3D2B">
        <w:t>financial resources to pursue independent scholarly research;</w:t>
      </w:r>
      <w:r w:rsidR="003A1917">
        <w:t xml:space="preserve"> the </w:t>
      </w:r>
      <w:r w:rsidRPr="001A3D2B">
        <w:t>academic elite</w:t>
      </w:r>
      <w:r w:rsidR="0071223E">
        <w:t>’</w:t>
      </w:r>
      <w:r w:rsidR="00C13DDC">
        <w:t>s</w:t>
      </w:r>
      <w:r w:rsidRPr="001A3D2B">
        <w:t xml:space="preserve"> lack</w:t>
      </w:r>
      <w:r w:rsidR="00427468">
        <w:t xml:space="preserve"> of </w:t>
      </w:r>
      <w:r w:rsidRPr="001A3D2B">
        <w:t>independence relative to</w:t>
      </w:r>
      <w:r w:rsidR="003A1917">
        <w:t xml:space="preserve"> the </w:t>
      </w:r>
      <w:r w:rsidRPr="001A3D2B">
        <w:t>consulting elite;</w:t>
      </w:r>
      <w:r w:rsidR="005853A9">
        <w:t xml:space="preserve"> and </w:t>
      </w:r>
      <w:r w:rsidR="003A1917">
        <w:t xml:space="preserve">the </w:t>
      </w:r>
      <w:r w:rsidRPr="001A3D2B">
        <w:t>resulting patterns</w:t>
      </w:r>
      <w:r w:rsidR="00427468">
        <w:t xml:space="preserve"> of </w:t>
      </w:r>
      <w:r w:rsidRPr="001A3D2B">
        <w:t>cultural</w:t>
      </w:r>
      <w:r w:rsidR="005853A9">
        <w:t xml:space="preserve"> and </w:t>
      </w:r>
      <w:r w:rsidRPr="001A3D2B">
        <w:t>social capital</w:t>
      </w:r>
      <w:r w:rsidR="00427468">
        <w:t xml:space="preserve"> of </w:t>
      </w:r>
      <w:r w:rsidRPr="001A3D2B">
        <w:t xml:space="preserve">Argentine management scholars. Concludes that that this situation might not be unique to </w:t>
      </w:r>
      <w:smartTag w:uri="urn:schemas-microsoft-com:office:smarttags" w:element="place">
        <w:smartTag w:uri="urn:schemas-microsoft-com:office:smarttags" w:element="country-region">
          <w:r w:rsidRPr="001A3D2B">
            <w:t>Argentina</w:t>
          </w:r>
        </w:smartTag>
      </w:smartTag>
      <w:r w:rsidRPr="001A3D2B">
        <w:t>,</w:t>
      </w:r>
      <w:r w:rsidR="005853A9">
        <w:t xml:space="preserve"> and </w:t>
      </w:r>
      <w:r w:rsidRPr="001A3D2B">
        <w:t>that</w:t>
      </w:r>
      <w:r w:rsidR="003A1917">
        <w:t xml:space="preserve"> the </w:t>
      </w:r>
      <w:r w:rsidRPr="001A3D2B">
        <w:t>hegemonic position</w:t>
      </w:r>
      <w:r w:rsidR="00427468">
        <w:t xml:space="preserve"> of </w:t>
      </w:r>
      <w:r w:rsidRPr="001A3D2B">
        <w:t>popular management discourse in developing countries is useful for those interest groups who benefit from managerialism. Originality/value - Contributes to</w:t>
      </w:r>
      <w:r w:rsidR="003A1917">
        <w:t xml:space="preserve"> the </w:t>
      </w:r>
      <w:r w:rsidRPr="001A3D2B">
        <w:t>largely neglected study</w:t>
      </w:r>
      <w:r w:rsidR="00427468">
        <w:t xml:space="preserve"> of </w:t>
      </w:r>
      <w:r w:rsidR="003A1917">
        <w:t xml:space="preserve">the </w:t>
      </w:r>
      <w:r w:rsidRPr="001A3D2B">
        <w:t>processes</w:t>
      </w:r>
      <w:r w:rsidR="00427468">
        <w:t xml:space="preserve"> of </w:t>
      </w:r>
      <w:r w:rsidRPr="001A3D2B">
        <w:t>creation diffusion</w:t>
      </w:r>
      <w:r w:rsidR="005853A9">
        <w:t xml:space="preserve"> and </w:t>
      </w:r>
      <w:r w:rsidRPr="001A3D2B">
        <w:t>consumption</w:t>
      </w:r>
      <w:r w:rsidR="00427468">
        <w:t xml:space="preserve"> of </w:t>
      </w:r>
      <w:r w:rsidRPr="001A3D2B">
        <w:t>management knowledge in developing countries. © Emerald Group Publishing Limited.</w:t>
      </w:r>
    </w:p>
    <w:p w:rsidR="003474F2" w:rsidRPr="001A3D2B" w:rsidRDefault="003474F2" w:rsidP="003474F2">
      <w:pPr>
        <w:pStyle w:val="a3"/>
      </w:pPr>
      <w:r w:rsidRPr="001A3D2B">
        <w:t xml:space="preserve">Keywords: Academic </w:t>
      </w:r>
      <w:smartTag w:uri="urn:schemas-microsoft-com:office:smarttags" w:element="place">
        <w:smartTag w:uri="urn:schemas-microsoft-com:office:smarttags" w:element="City">
          <w:r w:rsidRPr="001A3D2B">
            <w:t>Staff</w:t>
          </w:r>
        </w:smartTag>
        <w:r w:rsidRPr="001A3D2B">
          <w:t xml:space="preserve">, </w:t>
        </w:r>
        <w:smartTag w:uri="urn:schemas-microsoft-com:office:smarttags" w:element="country-region">
          <w:r w:rsidRPr="001A3D2B">
            <w:t>Argentina</w:t>
          </w:r>
        </w:smartTag>
      </w:smartTag>
      <w:r w:rsidRPr="001A3D2B">
        <w:t>, Consultants, Developing Countries, Knowledge Management</w:t>
      </w:r>
    </w:p>
    <w:p w:rsidR="006E0A45" w:rsidRPr="001A3D2B" w:rsidRDefault="006E0A45" w:rsidP="006E0A45">
      <w:pPr>
        <w:pStyle w:val="1"/>
      </w:pPr>
      <w:r w:rsidRPr="001A3D2B">
        <w:br w:type="page"/>
      </w:r>
      <w:bookmarkStart w:id="422" w:name="_Toc420815129"/>
      <w:r w:rsidRPr="001A3D2B">
        <w:lastRenderedPageBreak/>
        <w:t xml:space="preserve">Title: </w:t>
      </w:r>
      <w:r w:rsidR="002E06E1" w:rsidRPr="006E0A45">
        <w:rPr>
          <w:iCs w:val="0"/>
        </w:rPr>
        <w:t>Critical Public Health</w:t>
      </w:r>
      <w:bookmarkEnd w:id="422"/>
    </w:p>
    <w:p w:rsidR="006E0A45" w:rsidRPr="001A3D2B" w:rsidRDefault="006E0A45" w:rsidP="006E0A45">
      <w:pPr>
        <w:pStyle w:val="12"/>
      </w:pPr>
      <w:r w:rsidRPr="001A3D2B">
        <w:t xml:space="preserve">Full Journal Title: </w:t>
      </w:r>
      <w:r w:rsidR="002E06E1" w:rsidRPr="006E0A45">
        <w:rPr>
          <w:iCs/>
          <w:kern w:val="0"/>
        </w:rPr>
        <w:t>Critical Public Health</w:t>
      </w:r>
    </w:p>
    <w:p w:rsidR="006E0A45" w:rsidRPr="001A3D2B" w:rsidRDefault="006E0A45" w:rsidP="006E0A45">
      <w:pPr>
        <w:pStyle w:val="12"/>
      </w:pPr>
      <w:r w:rsidRPr="001A3D2B">
        <w:t xml:space="preserve">ISO Abbreviated Title: </w:t>
      </w:r>
    </w:p>
    <w:p w:rsidR="006E0A45" w:rsidRPr="001A3D2B" w:rsidRDefault="006E0A45" w:rsidP="006E0A45">
      <w:pPr>
        <w:pStyle w:val="12"/>
      </w:pPr>
      <w:r w:rsidRPr="001A3D2B">
        <w:t>JCR Abbreviated Title:</w:t>
      </w:r>
    </w:p>
    <w:p w:rsidR="006E0A45" w:rsidRPr="001A3D2B" w:rsidRDefault="006E0A45" w:rsidP="006E0A45">
      <w:pPr>
        <w:pStyle w:val="12"/>
      </w:pPr>
      <w:r w:rsidRPr="001A3D2B">
        <w:t xml:space="preserve">ISSN: </w:t>
      </w:r>
    </w:p>
    <w:p w:rsidR="006E0A45" w:rsidRPr="001A3D2B" w:rsidRDefault="006E0A45" w:rsidP="006E0A45">
      <w:pPr>
        <w:pStyle w:val="12"/>
      </w:pPr>
      <w:r w:rsidRPr="001A3D2B">
        <w:t xml:space="preserve">Issues/Year: </w:t>
      </w:r>
    </w:p>
    <w:p w:rsidR="006E0A45" w:rsidRPr="001A3D2B" w:rsidRDefault="006E0A45" w:rsidP="006E0A45">
      <w:pPr>
        <w:pStyle w:val="12"/>
      </w:pPr>
      <w:r w:rsidRPr="001A3D2B">
        <w:t xml:space="preserve">Journal Country/Territory: </w:t>
      </w:r>
    </w:p>
    <w:p w:rsidR="006E0A45" w:rsidRPr="001A3D2B" w:rsidRDefault="006E0A45" w:rsidP="006E0A45">
      <w:pPr>
        <w:pStyle w:val="12"/>
      </w:pPr>
      <w:r w:rsidRPr="001A3D2B">
        <w:t xml:space="preserve">Language: </w:t>
      </w:r>
    </w:p>
    <w:p w:rsidR="006E0A45" w:rsidRPr="001A3D2B" w:rsidRDefault="006E0A45" w:rsidP="006E0A45">
      <w:pPr>
        <w:pStyle w:val="12"/>
      </w:pPr>
      <w:r w:rsidRPr="001A3D2B">
        <w:t xml:space="preserve">Publisher: </w:t>
      </w:r>
    </w:p>
    <w:p w:rsidR="006E0A45" w:rsidRPr="001A3D2B" w:rsidRDefault="006E0A45" w:rsidP="006E0A45">
      <w:pPr>
        <w:pStyle w:val="12"/>
      </w:pPr>
      <w:r w:rsidRPr="001A3D2B">
        <w:t xml:space="preserve">Publisher Address: </w:t>
      </w:r>
    </w:p>
    <w:p w:rsidR="006E0A45" w:rsidRPr="001A3D2B" w:rsidRDefault="006E0A45" w:rsidP="006E0A45">
      <w:pPr>
        <w:pStyle w:val="12"/>
      </w:pPr>
      <w:r w:rsidRPr="001A3D2B">
        <w:t xml:space="preserve">Subject Categories: </w:t>
      </w:r>
    </w:p>
    <w:p w:rsidR="006E0A45" w:rsidRPr="001A3D2B" w:rsidRDefault="006E0A45" w:rsidP="006E0A45">
      <w:pPr>
        <w:pStyle w:val="12"/>
      </w:pPr>
      <w:r w:rsidRPr="001A3D2B">
        <w:t xml:space="preserve">: Impact Factor </w:t>
      </w:r>
    </w:p>
    <w:p w:rsidR="006E0A45" w:rsidRDefault="006E0A45" w:rsidP="006E0A45">
      <w:pPr>
        <w:pStyle w:val="a3"/>
        <w:rPr>
          <w:kern w:val="0"/>
        </w:rPr>
      </w:pPr>
      <w:r>
        <w:rPr>
          <w:kern w:val="0"/>
        </w:rPr>
        <w:t xml:space="preserve">? Chircop, A., Bassett, R. and Taylor, E. (2015), Evidence on how to practice intersectoral collaboration for health equity: A scoping review. </w:t>
      </w:r>
      <w:r w:rsidRPr="006E0A45">
        <w:rPr>
          <w:i/>
          <w:iCs/>
          <w:kern w:val="0"/>
        </w:rPr>
        <w:t>Critical Public Health</w:t>
      </w:r>
      <w:r>
        <w:rPr>
          <w:kern w:val="0"/>
        </w:rPr>
        <w:t xml:space="preserve">, </w:t>
      </w:r>
      <w:r>
        <w:rPr>
          <w:b/>
          <w:bCs/>
          <w:kern w:val="0"/>
        </w:rPr>
        <w:t>25</w:t>
      </w:r>
      <w:r>
        <w:rPr>
          <w:kern w:val="0"/>
        </w:rPr>
        <w:t xml:space="preserve"> (2), 178-191.</w:t>
      </w:r>
    </w:p>
    <w:p w:rsidR="006E0A45" w:rsidRDefault="006E0A45" w:rsidP="006E0A45">
      <w:pPr>
        <w:pStyle w:val="a3"/>
        <w:rPr>
          <w:kern w:val="0"/>
        </w:rPr>
      </w:pPr>
      <w:r>
        <w:rPr>
          <w:rFonts w:hint="eastAsia"/>
          <w:kern w:val="0"/>
        </w:rPr>
        <w:t>Full Text:</w:t>
      </w:r>
      <w:r w:rsidRPr="00741FFB">
        <w:rPr>
          <w:rFonts w:hint="eastAsia"/>
          <w:kern w:val="0"/>
        </w:rPr>
        <w:t xml:space="preserve"> </w:t>
      </w:r>
      <w:hyperlink r:id="rId1071" w:history="1">
        <w:r w:rsidR="002E06E1" w:rsidRPr="002E06E1">
          <w:rPr>
            <w:rStyle w:val="a5"/>
            <w:kern w:val="0"/>
          </w:rPr>
          <w:t>2015\Cri Pub Hea25, 178.pdf</w:t>
        </w:r>
      </w:hyperlink>
    </w:p>
    <w:p w:rsidR="006E0A45" w:rsidRDefault="006E0A45" w:rsidP="006E0A45">
      <w:pPr>
        <w:pStyle w:val="a3"/>
        <w:rPr>
          <w:kern w:val="0"/>
        </w:rPr>
      </w:pPr>
      <w:r>
        <w:rPr>
          <w:kern w:val="0"/>
        </w:rPr>
        <w:t xml:space="preserve">Abstract: The persistence of health inequities is reflected in repeated calls for intersectoral collaboration on the social determinants of health, specifically through public policy action. Yet, how to do intersectoral collaboration specifically for policy action toward health equity is articulated rather scarcely in the scientific literature. With this scoping review, we intended to generate insight into current peer-reviewed literature to identify gaps about evidence-based approaches to practices of intersectoral collaboration for health equity-oriented policy action. Seven search engines were used: Proquest, Web of Science, CINAHL, Pubmed, Sociological Abstracts, Project Muse and ERIC. Social determinants of health, including public policy and intersectoral collaboration, are related concepts for the health equity agenda and were used as a conceptual framework to map selected literature. Out of 227 articles, our review identified 64 articles describing intersectoral collaboration specifically in relation to public policy. Of those articles with a policy topic, 10 had a focus on broad public policy areas, while 51 publications articulated specific policies relevant to the determinants of health and only three articles examined effective practices of intersectoral collaboration in public policy through phenomenology, literature review and case study research. The majority of policy-focused publications described that collaboration was used as a strategy to address intersectoral public policy issues, but failed to report how the process of collaboration unfolded. Perhaps it is time to re-direct the gaze onto collaborative teams to generate evidence of effective intersectoral collaboration practices in public </w:t>
      </w:r>
      <w:r>
        <w:rPr>
          <w:kern w:val="0"/>
        </w:rPr>
        <w:lastRenderedPageBreak/>
        <w:t>policy.</w:t>
      </w:r>
    </w:p>
    <w:p w:rsidR="006E0A45" w:rsidRDefault="006E0A45" w:rsidP="006E0A45">
      <w:pPr>
        <w:pStyle w:val="a3"/>
        <w:rPr>
          <w:kern w:val="0"/>
        </w:rPr>
      </w:pPr>
      <w:r>
        <w:rPr>
          <w:kern w:val="0"/>
        </w:rPr>
        <w:t>Keywords: Articles, Canada, Case Study, Collaboration, Determinants Of Health, Equity, Evidence, Evidence Based, Evidence-Based, Framework, Governance, Health, Health Equity, Intersectoral Collaboration, Issues, Literature, Literature Review, Mar, Nursing, Partnerships, Peer-Reviewed, Persistence, Policies, Policy, Practice, Practices, Public, Public Policy, Publications, Research, Review, Science, Scientific Literature, Scoping Review, Sector, Social, Social Determinants, Social Determinants Of Health, Strategy, Topic, Web, Web Of Science</w:t>
      </w:r>
    </w:p>
    <w:p w:rsidR="003474F2" w:rsidRPr="001A3D2B" w:rsidRDefault="003474F2" w:rsidP="003474F2">
      <w:pPr>
        <w:pStyle w:val="1"/>
      </w:pPr>
      <w:r w:rsidRPr="001A3D2B">
        <w:br w:type="page"/>
      </w:r>
      <w:bookmarkStart w:id="423" w:name="_Toc420815130"/>
      <w:r w:rsidRPr="001A3D2B">
        <w:lastRenderedPageBreak/>
        <w:t>Title: Critical Reviews in Analytical Chemistry</w:t>
      </w:r>
      <w:bookmarkEnd w:id="423"/>
    </w:p>
    <w:p w:rsidR="003474F2" w:rsidRPr="001A3D2B" w:rsidRDefault="003474F2" w:rsidP="003474F2">
      <w:pPr>
        <w:pStyle w:val="12"/>
      </w:pPr>
      <w:r w:rsidRPr="001A3D2B">
        <w:t xml:space="preserve">Full Journal Title: </w:t>
      </w:r>
      <w:r w:rsidR="00DF61FE">
        <w:fldChar w:fldCharType="begin"/>
      </w:r>
      <w:r w:rsidR="00FD158B">
        <w:instrText>HYPERLINK</w:instrText>
      </w:r>
      <w:bookmarkStart w:id="424" w:name="_Toc31527887"/>
      <w:bookmarkStart w:id="425" w:name="_Toc43634563"/>
      <w:bookmarkStart w:id="426" w:name="_Toc81215687"/>
      <w:r w:rsidR="00FD158B">
        <w:instrText xml:space="preserve"> "http://www.sciencedirect.com/science?_ob=Jour</w:instrText>
      </w:r>
      <w:bookmarkEnd w:id="424"/>
      <w:bookmarkEnd w:id="425"/>
      <w:bookmarkEnd w:id="426"/>
      <w:r w:rsidR="00FD158B">
        <w:instrText>nalURL&amp;_cdi=7013&amp;_auth=y&amp;_acct=C000050221&amp;_version=1&amp;_urlVersion=0&amp;_userid=10&amp;md5=d054456a0c1061f36054a6d5dc6bdf15"</w:instrText>
      </w:r>
      <w:r w:rsidR="00DF61FE">
        <w:fldChar w:fldCharType="separate"/>
      </w:r>
      <w:r w:rsidRPr="001A3D2B">
        <w:rPr>
          <w:rStyle w:val="a5"/>
        </w:rPr>
        <w:t>Critical Reviews in Analytical Chemistry</w:t>
      </w:r>
      <w:r w:rsidR="00DF61FE">
        <w:fldChar w:fldCharType="end"/>
      </w:r>
    </w:p>
    <w:p w:rsidR="003474F2" w:rsidRPr="001A3D2B" w:rsidRDefault="003474F2" w:rsidP="003474F2">
      <w:pPr>
        <w:pStyle w:val="12"/>
      </w:pPr>
      <w:r w:rsidRPr="001A3D2B">
        <w:t>ISO Abbreviated Title: Crit. Rev. Anal. Chem.</w:t>
      </w:r>
    </w:p>
    <w:p w:rsidR="003474F2" w:rsidRPr="001A3D2B" w:rsidRDefault="003474F2" w:rsidP="003474F2">
      <w:pPr>
        <w:pStyle w:val="12"/>
      </w:pPr>
      <w:r w:rsidRPr="001A3D2B">
        <w:t>JCR Abbreviated Title: Crit Rev Anal Chem</w:t>
      </w:r>
    </w:p>
    <w:p w:rsidR="003474F2" w:rsidRPr="001A3D2B" w:rsidRDefault="003474F2" w:rsidP="003474F2">
      <w:pPr>
        <w:pStyle w:val="12"/>
      </w:pPr>
      <w:r w:rsidRPr="001A3D2B">
        <w:t>ISSN: 1040-8347</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Crc Press Llc</w:t>
      </w:r>
    </w:p>
    <w:p w:rsidR="003474F2" w:rsidRPr="001A3D2B" w:rsidRDefault="003474F2" w:rsidP="003474F2">
      <w:pPr>
        <w:pStyle w:val="12"/>
      </w:pPr>
      <w:r w:rsidRPr="001A3D2B">
        <w:t xml:space="preserve">Publisher Address: 2000 Corporate Blvd Nw, Journals Customer Service, </w:t>
      </w:r>
      <w:smartTag w:uri="urn:schemas-microsoft-com:office:smarttags" w:element="place">
        <w:smartTag w:uri="urn:schemas-microsoft-com:office:smarttags" w:element="City">
          <w:r w:rsidRPr="001A3D2B">
            <w:t>Boca Raton</w:t>
          </w:r>
        </w:smartTag>
      </w:smartTag>
      <w:r w:rsidRPr="001A3D2B">
        <w:t>, Fl 33431</w:t>
      </w:r>
    </w:p>
    <w:p w:rsidR="003474F2" w:rsidRPr="001A3D2B" w:rsidRDefault="003474F2" w:rsidP="003474F2">
      <w:pPr>
        <w:pStyle w:val="12"/>
      </w:pPr>
      <w:r w:rsidRPr="001A3D2B">
        <w:t>Subject Categories:</w:t>
      </w:r>
    </w:p>
    <w:p w:rsidR="003474F2" w:rsidRPr="001A3D2B" w:rsidRDefault="003474F2" w:rsidP="003474F2">
      <w:pPr>
        <w:pStyle w:val="12"/>
      </w:pPr>
      <w:r w:rsidRPr="001A3D2B">
        <w:t>Chemistry, Analytical: Impact Factor 0.276,/(2000)</w:t>
      </w:r>
    </w:p>
    <w:p w:rsidR="003474F2" w:rsidRPr="001A3D2B" w:rsidRDefault="003474F2" w:rsidP="003474F2">
      <w:pPr>
        <w:pStyle w:val="a3"/>
      </w:pPr>
      <w:r w:rsidRPr="001A3D2B">
        <w:t>? Braun, T.</w:t>
      </w:r>
      <w:r w:rsidR="005853A9">
        <w:t xml:space="preserve"> and </w:t>
      </w:r>
      <w:r w:rsidRPr="001A3D2B">
        <w:t>Bujdoso, E. (1982</w:t>
      </w:r>
      <w:r w:rsidR="00F42EAC">
        <w:t>), The</w:t>
      </w:r>
      <w:r w:rsidR="003A1917">
        <w:t xml:space="preserve"> </w:t>
      </w:r>
      <w:r w:rsidRPr="001A3D2B">
        <w:t>growth</w:t>
      </w:r>
      <w:r w:rsidR="00427468">
        <w:t xml:space="preserve"> of </w:t>
      </w:r>
      <w:r w:rsidRPr="001A3D2B">
        <w:t>modern analytical-chemistry as reflected in</w:t>
      </w:r>
      <w:r w:rsidR="003A1917">
        <w:t xml:space="preserve"> the </w:t>
      </w:r>
      <w:r w:rsidRPr="001A3D2B">
        <w:t>statistical evaluation</w:t>
      </w:r>
      <w:r w:rsidR="00427468">
        <w:t xml:space="preserve"> of </w:t>
      </w:r>
      <w:r w:rsidRPr="001A3D2B">
        <w:t xml:space="preserve">its subject literature. </w:t>
      </w:r>
      <w:r w:rsidRPr="001A3D2B">
        <w:rPr>
          <w:i/>
        </w:rPr>
        <w:t>CRC</w:t>
      </w:r>
      <w:r w:rsidRPr="001A3D2B">
        <w:rPr>
          <w:i/>
          <w:iCs/>
        </w:rPr>
        <w:t xml:space="preserve"> Critical Reviews in Analytical Chemistry</w:t>
      </w:r>
      <w:r w:rsidRPr="001A3D2B">
        <w:t xml:space="preserve">, </w:t>
      </w:r>
      <w:r w:rsidRPr="001A3D2B">
        <w:rPr>
          <w:b/>
        </w:rPr>
        <w:t>13</w:t>
      </w:r>
      <w:r w:rsidRPr="001A3D2B">
        <w:t xml:space="preserve"> (3), 223-312.</w:t>
      </w:r>
    </w:p>
    <w:p w:rsidR="003474F2" w:rsidRPr="001A3D2B" w:rsidRDefault="003474F2" w:rsidP="003474F2">
      <w:pPr>
        <w:pStyle w:val="a3"/>
      </w:pPr>
      <w:r w:rsidRPr="001A3D2B">
        <w:t>Notes: TTopic</w:t>
      </w:r>
    </w:p>
    <w:p w:rsidR="003474F2" w:rsidRPr="001A3D2B" w:rsidRDefault="003474F2" w:rsidP="003474F2">
      <w:pPr>
        <w:pStyle w:val="a3"/>
      </w:pPr>
      <w:r w:rsidRPr="001A3D2B">
        <w:t>? Volynets, M.P.</w:t>
      </w:r>
      <w:r w:rsidR="005853A9">
        <w:t xml:space="preserve"> and </w:t>
      </w:r>
      <w:r w:rsidRPr="001A3D2B">
        <w:t>Myasoedov, B.F. (1996), Application</w:t>
      </w:r>
      <w:r w:rsidR="00427468">
        <w:t xml:space="preserve"> of </w:t>
      </w:r>
      <w:r w:rsidRPr="001A3D2B">
        <w:t>thin-layer chromatography in quantitative inorganic analysis</w:t>
      </w:r>
      <w:r w:rsidR="005853A9">
        <w:t xml:space="preserve"> and </w:t>
      </w:r>
      <w:r w:rsidRPr="001A3D2B">
        <w:t xml:space="preserve">in radiochemical studies. </w:t>
      </w:r>
      <w:r w:rsidRPr="001A3D2B">
        <w:rPr>
          <w:i/>
          <w:iCs/>
        </w:rPr>
        <w:t>Critical Reviews in Analytical Chemistry</w:t>
      </w:r>
      <w:r w:rsidRPr="001A3D2B">
        <w:t xml:space="preserve">, </w:t>
      </w:r>
      <w:r w:rsidRPr="001A3D2B">
        <w:rPr>
          <w:b/>
        </w:rPr>
        <w:t>25</w:t>
      </w:r>
      <w:r w:rsidRPr="001A3D2B">
        <w:t xml:space="preserve"> (4), 247-312.</w:t>
      </w:r>
    </w:p>
    <w:p w:rsidR="003474F2" w:rsidRPr="001A3D2B" w:rsidRDefault="003474F2" w:rsidP="003474F2">
      <w:pPr>
        <w:pStyle w:val="a3"/>
      </w:pPr>
      <w:r w:rsidRPr="001A3D2B">
        <w:t>Abstract: Thin-layer chromatography (TLC) or chromatography on planar beds finds many applications in</w:t>
      </w:r>
      <w:r w:rsidR="003A1917">
        <w:t xml:space="preserve"> the </w:t>
      </w:r>
      <w:r w:rsidRPr="001A3D2B">
        <w:t>synthesis</w:t>
      </w:r>
      <w:r w:rsidR="005853A9">
        <w:t xml:space="preserve"> and </w:t>
      </w:r>
      <w:r w:rsidRPr="001A3D2B">
        <w:t>determination</w:t>
      </w:r>
      <w:r w:rsidR="00427468">
        <w:t xml:space="preserve"> of </w:t>
      </w:r>
      <w:r w:rsidRPr="001A3D2B">
        <w:t>organic molecules. This review is devoted to an area</w:t>
      </w:r>
      <w:r w:rsidR="00427468">
        <w:t xml:space="preserve"> of </w:t>
      </w:r>
      <w:r w:rsidRPr="001A3D2B">
        <w:t>application at least as important but perhaps not as widely known - analysis</w:t>
      </w:r>
      <w:r w:rsidR="00427468">
        <w:t xml:space="preserve"> of </w:t>
      </w:r>
      <w:r w:rsidRPr="001A3D2B">
        <w:t>inorganic</w:t>
      </w:r>
      <w:r w:rsidR="005853A9">
        <w:t xml:space="preserve"> and </w:t>
      </w:r>
      <w:r w:rsidRPr="001A3D2B">
        <w:t>radioactive substances. Information about</w:t>
      </w:r>
      <w:r w:rsidR="003A1917">
        <w:t xml:space="preserve"> the </w:t>
      </w:r>
      <w:r w:rsidRPr="001A3D2B">
        <w:t>historical development, recent advances in both methodological</w:t>
      </w:r>
      <w:r w:rsidR="005853A9">
        <w:t xml:space="preserve"> and </w:t>
      </w:r>
      <w:r w:rsidRPr="001A3D2B">
        <w:t>instrumental aspects</w:t>
      </w:r>
      <w:r w:rsidR="005853A9">
        <w:t xml:space="preserve"> and </w:t>
      </w:r>
      <w:r w:rsidRPr="001A3D2B">
        <w:t>a scientometric analysis</w:t>
      </w:r>
      <w:r w:rsidR="00427468">
        <w:t xml:space="preserve"> of </w:t>
      </w:r>
      <w:r w:rsidR="003A1917">
        <w:t xml:space="preserve">the </w:t>
      </w:r>
      <w:r w:rsidRPr="001A3D2B">
        <w:t>use</w:t>
      </w:r>
      <w:r w:rsidR="00427468">
        <w:t xml:space="preserve"> of </w:t>
      </w:r>
      <w:r w:rsidRPr="001A3D2B">
        <w:t>TLC for inorganic determinations in various fields is provided. Considerable space is devoted to description</w:t>
      </w:r>
      <w:r w:rsidR="00427468">
        <w:t xml:space="preserve"> of </w:t>
      </w:r>
      <w:r w:rsidR="003A1917">
        <w:t xml:space="preserve">the </w:t>
      </w:r>
      <w:r w:rsidRPr="001A3D2B">
        <w:t>instrumental methods known to be successful in</w:t>
      </w:r>
      <w:r w:rsidR="003A1917">
        <w:t xml:space="preserve"> the </w:t>
      </w:r>
      <w:r w:rsidRPr="001A3D2B">
        <w:t>determination</w:t>
      </w:r>
      <w:r w:rsidR="00427468">
        <w:t xml:space="preserve"> of </w:t>
      </w:r>
      <w:r w:rsidR="005853A9">
        <w:t xml:space="preserve">and </w:t>
      </w:r>
      <w:r w:rsidRPr="001A3D2B">
        <w:t>quantitative estimation</w:t>
      </w:r>
      <w:r w:rsidR="00427468">
        <w:t xml:space="preserve"> of </w:t>
      </w:r>
      <w:r w:rsidRPr="001A3D2B">
        <w:t>inorganic TLC zones directly on</w:t>
      </w:r>
      <w:r w:rsidR="003A1917">
        <w:t xml:space="preserve"> the </w:t>
      </w:r>
      <w:r w:rsidRPr="001A3D2B">
        <w:t>plate (densitometry, fluorimetry, radiometry, planimetry, visual methods, etc.)</w:t>
      </w:r>
      <w:r w:rsidR="005853A9">
        <w:t xml:space="preserve"> and </w:t>
      </w:r>
      <w:r w:rsidRPr="001A3D2B">
        <w:t>after elution</w:t>
      </w:r>
      <w:r w:rsidR="00427468">
        <w:t xml:space="preserve"> of </w:t>
      </w:r>
      <w:r w:rsidR="003A1917">
        <w:t xml:space="preserve">the </w:t>
      </w:r>
      <w:r w:rsidRPr="001A3D2B">
        <w:t>material from</w:t>
      </w:r>
      <w:r w:rsidR="003A1917">
        <w:t xml:space="preserve"> the </w:t>
      </w:r>
      <w:r w:rsidRPr="001A3D2B">
        <w:t>developed zones. Methods applicable to most</w:t>
      </w:r>
      <w:r w:rsidR="00427468">
        <w:t xml:space="preserve"> of </w:t>
      </w:r>
      <w:r w:rsidR="003A1917">
        <w:t xml:space="preserve">the </w:t>
      </w:r>
      <w:r w:rsidRPr="001A3D2B">
        <w:t>elements</w:t>
      </w:r>
      <w:r w:rsidR="00427468">
        <w:t xml:space="preserve"> of </w:t>
      </w:r>
      <w:r w:rsidR="003A1917">
        <w:t xml:space="preserve">the </w:t>
      </w:r>
      <w:r w:rsidRPr="001A3D2B">
        <w:t>Periodic Table are summarized as are those for various natural</w:t>
      </w:r>
      <w:r w:rsidR="005853A9">
        <w:t xml:space="preserve"> and </w:t>
      </w:r>
      <w:r w:rsidRPr="001A3D2B">
        <w:t>industrial samples including minerals, ores, rocks, waters, metals, salts, biological samples, botanical materials, foodstuffs, drugs</w:t>
      </w:r>
      <w:r w:rsidR="005853A9">
        <w:t xml:space="preserve"> and </w:t>
      </w:r>
      <w:r w:rsidRPr="001A3D2B">
        <w:t>cosmetics.</w:t>
      </w:r>
    </w:p>
    <w:p w:rsidR="0078166C" w:rsidRPr="00C73C58" w:rsidRDefault="0078166C" w:rsidP="0078166C">
      <w:pPr>
        <w:pStyle w:val="1"/>
      </w:pPr>
      <w:r w:rsidRPr="00C73C58">
        <w:br w:type="page"/>
      </w:r>
      <w:bookmarkStart w:id="427" w:name="_Toc410119338"/>
      <w:bookmarkStart w:id="428" w:name="_Toc420815131"/>
      <w:r w:rsidRPr="00C73C58">
        <w:lastRenderedPageBreak/>
        <w:t>Title: Critical Reviews in Environmental Science</w:t>
      </w:r>
      <w:r>
        <w:t xml:space="preserve"> and </w:t>
      </w:r>
      <w:r w:rsidRPr="00C73C58">
        <w:t>Technology</w:t>
      </w:r>
      <w:bookmarkEnd w:id="427"/>
      <w:bookmarkEnd w:id="428"/>
    </w:p>
    <w:p w:rsidR="0078166C" w:rsidRPr="00C73C58" w:rsidRDefault="0078166C" w:rsidP="0078166C">
      <w:pPr>
        <w:pStyle w:val="12"/>
      </w:pPr>
      <w:r w:rsidRPr="00C73C58">
        <w:t xml:space="preserve">Full Journal Title: </w:t>
      </w:r>
      <w:hyperlink r:id="rId1072" w:anchor="A2" w:history="1">
        <w:r w:rsidRPr="00C73C58">
          <w:rPr>
            <w:rStyle w:val="a5"/>
          </w:rPr>
          <w:t>Critical Reviews in Environmental Science</w:t>
        </w:r>
        <w:r>
          <w:rPr>
            <w:rStyle w:val="a5"/>
          </w:rPr>
          <w:t xml:space="preserve"> and </w:t>
        </w:r>
        <w:r w:rsidRPr="00C73C58">
          <w:rPr>
            <w:rStyle w:val="a5"/>
          </w:rPr>
          <w:t>Technology</w:t>
        </w:r>
      </w:hyperlink>
    </w:p>
    <w:p w:rsidR="0078166C" w:rsidRPr="00C73C58" w:rsidRDefault="0078166C" w:rsidP="0078166C">
      <w:pPr>
        <w:pStyle w:val="12"/>
      </w:pPr>
      <w:r w:rsidRPr="00C73C58">
        <w:t>ISO Abbreviated Title: Crit. Rev. Environ. Sci. Technol.</w:t>
      </w:r>
    </w:p>
    <w:p w:rsidR="0078166C" w:rsidRPr="00C73C58" w:rsidRDefault="0078166C" w:rsidP="0078166C">
      <w:pPr>
        <w:pStyle w:val="12"/>
      </w:pPr>
      <w:r w:rsidRPr="00C73C58">
        <w:t>JCR Abbreviated Title: Crit Rev Env Sci Tec</w:t>
      </w:r>
    </w:p>
    <w:p w:rsidR="0078166C" w:rsidRPr="00C73C58" w:rsidRDefault="0078166C" w:rsidP="0078166C">
      <w:pPr>
        <w:pStyle w:val="12"/>
      </w:pPr>
      <w:r w:rsidRPr="00C73C58">
        <w:t>ISSN: 1064-3389</w:t>
      </w:r>
    </w:p>
    <w:p w:rsidR="0078166C" w:rsidRPr="00C73C58" w:rsidRDefault="0078166C" w:rsidP="0078166C">
      <w:pPr>
        <w:pStyle w:val="12"/>
      </w:pPr>
      <w:r w:rsidRPr="00C73C58">
        <w:t>Issues/Year: 4</w:t>
      </w:r>
    </w:p>
    <w:p w:rsidR="0078166C" w:rsidRPr="00C73C58" w:rsidRDefault="0078166C" w:rsidP="0078166C">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78166C" w:rsidRPr="00C73C58" w:rsidRDefault="0078166C" w:rsidP="0078166C">
      <w:pPr>
        <w:pStyle w:val="12"/>
      </w:pPr>
      <w:r w:rsidRPr="00C73C58">
        <w:t>Language: English</w:t>
      </w:r>
    </w:p>
    <w:p w:rsidR="0078166C" w:rsidRPr="00C73C58" w:rsidRDefault="0078166C" w:rsidP="0078166C">
      <w:pPr>
        <w:pStyle w:val="12"/>
      </w:pPr>
      <w:r w:rsidRPr="00C73C58">
        <w:t>Publisher: Crc Press Inc</w:t>
      </w:r>
    </w:p>
    <w:p w:rsidR="0078166C" w:rsidRPr="00C73C58" w:rsidRDefault="0078166C" w:rsidP="0078166C">
      <w:pPr>
        <w:pStyle w:val="12"/>
      </w:pPr>
      <w:r w:rsidRPr="00C73C58">
        <w:t xml:space="preserve">Publisher Address: 2000 Corporate Blvd NW, Journals Customer Service, Boca Raton, FL </w:t>
      </w:r>
      <w:smartTag w:uri="urn:schemas-microsoft-com:office:smarttags" w:element="PostalCode">
        <w:r w:rsidRPr="00C73C58">
          <w:t>33431</w:t>
        </w:r>
      </w:smartTag>
    </w:p>
    <w:p w:rsidR="0078166C" w:rsidRPr="00C73C58" w:rsidRDefault="0078166C" w:rsidP="0078166C">
      <w:pPr>
        <w:pStyle w:val="12"/>
      </w:pPr>
      <w:r w:rsidRPr="00C73C58">
        <w:t xml:space="preserve">Subject Categories: </w:t>
      </w:r>
    </w:p>
    <w:p w:rsidR="0078166C" w:rsidRPr="00C73C58" w:rsidRDefault="0078166C" w:rsidP="0078166C">
      <w:pPr>
        <w:pStyle w:val="12"/>
      </w:pPr>
      <w:r w:rsidRPr="00C73C58">
        <w:t>Environmental Sciences: Impact Factor 0.651, 73/126 (1999); Impact Factor 1.421, 28/127 (2000)</w:t>
      </w:r>
    </w:p>
    <w:p w:rsidR="001F5C15" w:rsidRDefault="001F5C15" w:rsidP="001F5C15">
      <w:pPr>
        <w:pStyle w:val="a3"/>
        <w:rPr>
          <w:kern w:val="0"/>
        </w:rPr>
      </w:pPr>
      <w:r>
        <w:rPr>
          <w:rFonts w:hint="eastAsia"/>
          <w:kern w:val="0"/>
        </w:rPr>
        <w:t xml:space="preserve">? </w:t>
      </w:r>
      <w:r>
        <w:rPr>
          <w:kern w:val="0"/>
        </w:rPr>
        <w:t xml:space="preserve">Yu, W.W., Mengersen, K., Dale, P., Ye, X.F., Guo, Y.M., Turner, L., Wang, X.Y., Bi, Y., Mcbride, W.J.H., Mackenzie, J.S. and Tong, S.L. (2015), Projecting future transmission of malaria under climate change scenarios: Challenges and research needs. </w:t>
      </w:r>
      <w:r>
        <w:rPr>
          <w:i/>
          <w:iCs/>
          <w:kern w:val="0"/>
        </w:rPr>
        <w:t>Critical Reviews in Environmental Science and Technology</w:t>
      </w:r>
      <w:r>
        <w:rPr>
          <w:kern w:val="0"/>
        </w:rPr>
        <w:t xml:space="preserve">, </w:t>
      </w:r>
      <w:r>
        <w:rPr>
          <w:b/>
          <w:bCs/>
          <w:kern w:val="0"/>
        </w:rPr>
        <w:t>45</w:t>
      </w:r>
      <w:r>
        <w:rPr>
          <w:kern w:val="0"/>
        </w:rPr>
        <w:t xml:space="preserve"> (7), 777-811.</w:t>
      </w:r>
    </w:p>
    <w:p w:rsidR="001F5C15" w:rsidRDefault="001F5C15" w:rsidP="001F5C15">
      <w:pPr>
        <w:pStyle w:val="a3"/>
      </w:pPr>
      <w:r w:rsidRPr="00C73C58">
        <w:t xml:space="preserve">Full Text: </w:t>
      </w:r>
      <w:hyperlink r:id="rId1073" w:history="1">
        <w:r w:rsidRPr="006348DA">
          <w:rPr>
            <w:rStyle w:val="a5"/>
          </w:rPr>
          <w:t>2015\Cri Rev Env Sci Tec45, 777.pdf</w:t>
        </w:r>
      </w:hyperlink>
    </w:p>
    <w:p w:rsidR="001F5C15" w:rsidRDefault="001F5C15" w:rsidP="001F5C15">
      <w:pPr>
        <w:pStyle w:val="a3"/>
        <w:rPr>
          <w:kern w:val="0"/>
        </w:rPr>
      </w:pPr>
      <w:r>
        <w:rPr>
          <w:kern w:val="0"/>
        </w:rPr>
        <w:t>Abstract: There has been an intense debate about climatic impacts on the transmission of malaria. It is vitally important to accurately project future impacts of climate change on malaria to support effective policy-making and intervention activity concerning malaria control and prevention. This paper critically reviewed the published literature and examined both key findings and methodological issues in projecting future impacts of climate change on malaria transmission. A literature search was conducted using the electronic databases MEDLINE, Web of Science, and PubMed. The projected impacts of climate change on malaria transmission were spatially heterogeneous and somewhat inconsistent. The variation in results may be explained by the interaction of climatic factors and malaria transmission cycles, variations in projection frameworks, and uncertainties of future socioecological (including climate) changes. Current knowledge gaps are identified, future research directions are proposed, and public health implications are assessed. Improving the understanding of the dynamic effects of climate on malaria transmission cycles, the advancement of modeling techniques and the incorporation of uncertainties in future socioecological changes are critical factors for projecting the impact of climate change on malaria transmission.</w:t>
      </w:r>
    </w:p>
    <w:p w:rsidR="001F5C15" w:rsidRDefault="001F5C15" w:rsidP="001F5C15">
      <w:pPr>
        <w:pStyle w:val="a3"/>
        <w:rPr>
          <w:kern w:val="0"/>
        </w:rPr>
      </w:pPr>
      <w:r>
        <w:rPr>
          <w:kern w:val="0"/>
        </w:rPr>
        <w:lastRenderedPageBreak/>
        <w:t>Keywords: Activity, Changes, Climate, Climate Change, Control, Databases, Dynamic, Effects, Factors, Geosentinel Surveillance Network, Health, Human Health, Impact, Impacts, Interaction, Intervention, Issues, Knowledge, Literature, Literature Search, Malaria, Medline, Modeling, Needs, Policy Making, Prevention, Projection, Public, Public Health, Pubmed, Rainfall, Research, Risk, Scenarios, Science, Socioecological Factors, Sub-Saharan Africa, Support, Techniques, Temperature, Temperature, Transmission, Uncertainties, Understanding, Urbanization, Vector-Borne Diseases, Vulnerability, Web, Web Of Science, World-Population</w:t>
      </w:r>
    </w:p>
    <w:p w:rsidR="008A3BC8" w:rsidRPr="00A428C3" w:rsidRDefault="008A3BC8" w:rsidP="008A3BC8">
      <w:pPr>
        <w:pStyle w:val="1"/>
      </w:pPr>
      <w:r w:rsidRPr="00586CD8">
        <w:br w:type="page"/>
      </w:r>
      <w:bookmarkStart w:id="429" w:name="_Toc420815132"/>
      <w:r w:rsidRPr="00A428C3">
        <w:lastRenderedPageBreak/>
        <w:t xml:space="preserve">Title: </w:t>
      </w:r>
      <w:r w:rsidRPr="00022023">
        <w:rPr>
          <w:szCs w:val="24"/>
        </w:rPr>
        <w:t>Critical Reviews in Eukaryotic Gene Expression</w:t>
      </w:r>
      <w:bookmarkEnd w:id="429"/>
    </w:p>
    <w:p w:rsidR="008A3BC8" w:rsidRPr="00240EFC" w:rsidRDefault="008A3BC8" w:rsidP="008A3BC8">
      <w:pPr>
        <w:pStyle w:val="12"/>
      </w:pPr>
      <w:r w:rsidRPr="00240EFC">
        <w:t xml:space="preserve">Full Journal Title: </w:t>
      </w:r>
      <w:r w:rsidRPr="00022023">
        <w:rPr>
          <w:iCs/>
          <w:kern w:val="0"/>
        </w:rPr>
        <w:t>Critical Reviews in Eukaryotic Gene Expression</w:t>
      </w:r>
    </w:p>
    <w:p w:rsidR="008A3BC8" w:rsidRPr="00240EFC" w:rsidRDefault="008A3BC8" w:rsidP="008A3BC8">
      <w:pPr>
        <w:pStyle w:val="12"/>
      </w:pPr>
      <w:r w:rsidRPr="00240EFC">
        <w:t xml:space="preserve">ISO Abbreviated Title: </w:t>
      </w:r>
    </w:p>
    <w:p w:rsidR="008A3BC8" w:rsidRPr="00240EFC" w:rsidRDefault="008A3BC8" w:rsidP="008A3BC8">
      <w:pPr>
        <w:pStyle w:val="12"/>
      </w:pPr>
      <w:r w:rsidRPr="00240EFC">
        <w:t xml:space="preserve">JCR Abbreviated Title: </w:t>
      </w:r>
    </w:p>
    <w:p w:rsidR="008A3BC8" w:rsidRPr="00240EFC" w:rsidRDefault="008A3BC8" w:rsidP="008A3BC8">
      <w:pPr>
        <w:pStyle w:val="12"/>
      </w:pPr>
      <w:r w:rsidRPr="00240EFC">
        <w:t xml:space="preserve">ISSN: </w:t>
      </w:r>
    </w:p>
    <w:p w:rsidR="008A3BC8" w:rsidRPr="00240EFC" w:rsidRDefault="008A3BC8" w:rsidP="008A3BC8">
      <w:pPr>
        <w:pStyle w:val="12"/>
      </w:pPr>
      <w:r w:rsidRPr="00240EFC">
        <w:t xml:space="preserve">Issues/Year: </w:t>
      </w:r>
    </w:p>
    <w:p w:rsidR="008A3BC8" w:rsidRPr="00240EFC" w:rsidRDefault="008A3BC8" w:rsidP="008A3BC8">
      <w:pPr>
        <w:pStyle w:val="12"/>
      </w:pPr>
      <w:r w:rsidRPr="00240EFC">
        <w:t xml:space="preserve">Journal Country/Territory: </w:t>
      </w:r>
    </w:p>
    <w:p w:rsidR="008A3BC8" w:rsidRPr="00240EFC" w:rsidRDefault="008A3BC8" w:rsidP="008A3BC8">
      <w:pPr>
        <w:pStyle w:val="12"/>
      </w:pPr>
      <w:r w:rsidRPr="00240EFC">
        <w:t xml:space="preserve">Language: </w:t>
      </w:r>
    </w:p>
    <w:p w:rsidR="008A3BC8" w:rsidRPr="00240EFC" w:rsidRDefault="008A3BC8" w:rsidP="008A3BC8">
      <w:pPr>
        <w:pStyle w:val="12"/>
      </w:pPr>
      <w:r w:rsidRPr="00240EFC">
        <w:t xml:space="preserve">Publisher: </w:t>
      </w:r>
    </w:p>
    <w:p w:rsidR="008A3BC8" w:rsidRPr="00240EFC" w:rsidRDefault="008A3BC8" w:rsidP="008A3BC8">
      <w:pPr>
        <w:pStyle w:val="12"/>
      </w:pPr>
      <w:r w:rsidRPr="00240EFC">
        <w:t xml:space="preserve">Publisher Address: </w:t>
      </w:r>
    </w:p>
    <w:p w:rsidR="008A3BC8" w:rsidRPr="00240EFC" w:rsidRDefault="008A3BC8" w:rsidP="008A3BC8">
      <w:pPr>
        <w:pStyle w:val="12"/>
      </w:pPr>
      <w:r w:rsidRPr="00240EFC">
        <w:t xml:space="preserve">Subject Categories: </w:t>
      </w:r>
    </w:p>
    <w:p w:rsidR="008A3BC8" w:rsidRPr="00240EFC" w:rsidRDefault="008A3BC8" w:rsidP="008A3BC8">
      <w:pPr>
        <w:pStyle w:val="12"/>
      </w:pPr>
      <w:r w:rsidRPr="00240EFC">
        <w:t>: Impact Factor</w:t>
      </w:r>
    </w:p>
    <w:p w:rsidR="008A3BC8" w:rsidRDefault="008A3BC8" w:rsidP="008A3BC8">
      <w:pPr>
        <w:pStyle w:val="a3"/>
        <w:rPr>
          <w:kern w:val="0"/>
          <w:szCs w:val="24"/>
        </w:rPr>
      </w:pPr>
      <w:r>
        <w:rPr>
          <w:rFonts w:hint="eastAsia"/>
          <w:kern w:val="0"/>
          <w:szCs w:val="24"/>
        </w:rPr>
        <w:t xml:space="preserve">? </w:t>
      </w:r>
      <w:r>
        <w:rPr>
          <w:kern w:val="0"/>
          <w:szCs w:val="24"/>
        </w:rPr>
        <w:t>Liu, C., Yin, Q.H., Li, L., Jiao, G.J., Wang, M.</w:t>
      </w:r>
      <w:r w:rsidR="005853A9">
        <w:rPr>
          <w:kern w:val="0"/>
          <w:szCs w:val="24"/>
        </w:rPr>
        <w:t xml:space="preserve"> and </w:t>
      </w:r>
      <w:r>
        <w:rPr>
          <w:kern w:val="0"/>
          <w:szCs w:val="24"/>
        </w:rPr>
        <w:t>Wang, Y.J. (2013), XRCC1 Arg194Trp</w:t>
      </w:r>
      <w:r w:rsidR="005853A9">
        <w:rPr>
          <w:kern w:val="0"/>
          <w:szCs w:val="24"/>
        </w:rPr>
        <w:t xml:space="preserve"> and </w:t>
      </w:r>
      <w:r>
        <w:rPr>
          <w:kern w:val="0"/>
          <w:szCs w:val="24"/>
        </w:rPr>
        <w:t xml:space="preserve">Arg280His polymorphisms in bladder cancer susceptibility: A meta-analysis. </w:t>
      </w:r>
      <w:r w:rsidRPr="00022023">
        <w:rPr>
          <w:i/>
          <w:iCs/>
          <w:kern w:val="0"/>
          <w:szCs w:val="24"/>
        </w:rPr>
        <w:t>Critical Reviews in Eukaryotic Gene Expression</w:t>
      </w:r>
      <w:r>
        <w:rPr>
          <w:kern w:val="0"/>
          <w:szCs w:val="24"/>
        </w:rPr>
        <w:t xml:space="preserve">, </w:t>
      </w:r>
      <w:r>
        <w:rPr>
          <w:b/>
          <w:bCs/>
          <w:kern w:val="0"/>
          <w:szCs w:val="24"/>
        </w:rPr>
        <w:t>23</w:t>
      </w:r>
      <w:r>
        <w:rPr>
          <w:kern w:val="0"/>
          <w:szCs w:val="24"/>
        </w:rPr>
        <w:t xml:space="preserve"> (4), 339-354.</w:t>
      </w:r>
    </w:p>
    <w:p w:rsidR="008A3BC8" w:rsidRDefault="008A3BC8" w:rsidP="008A3BC8">
      <w:pPr>
        <w:pStyle w:val="a3"/>
        <w:rPr>
          <w:kern w:val="0"/>
          <w:szCs w:val="24"/>
        </w:rPr>
      </w:pPr>
      <w:r>
        <w:rPr>
          <w:rFonts w:hint="eastAsia"/>
          <w:kern w:val="0"/>
          <w:szCs w:val="24"/>
        </w:rPr>
        <w:t>Full Text: 2013\</w:t>
      </w:r>
      <w:r>
        <w:rPr>
          <w:iCs/>
          <w:kern w:val="0"/>
          <w:szCs w:val="24"/>
        </w:rPr>
        <w:t>Cri Rev Euk Gen Exp</w:t>
      </w:r>
      <w:r w:rsidRPr="00AB44A4">
        <w:rPr>
          <w:bCs/>
          <w:kern w:val="0"/>
          <w:szCs w:val="24"/>
        </w:rPr>
        <w:t>23</w:t>
      </w:r>
      <w:r>
        <w:rPr>
          <w:kern w:val="0"/>
          <w:szCs w:val="24"/>
        </w:rPr>
        <w:t>, 339</w:t>
      </w:r>
      <w:r>
        <w:rPr>
          <w:rFonts w:hint="eastAsia"/>
          <w:kern w:val="0"/>
          <w:szCs w:val="24"/>
        </w:rPr>
        <w:t>.pdf</w:t>
      </w:r>
    </w:p>
    <w:p w:rsidR="008A3BC8" w:rsidRDefault="008A3BC8" w:rsidP="008A3BC8">
      <w:pPr>
        <w:pStyle w:val="a3"/>
        <w:rPr>
          <w:kern w:val="0"/>
          <w:szCs w:val="24"/>
        </w:rPr>
      </w:pPr>
      <w:r>
        <w:rPr>
          <w:kern w:val="0"/>
          <w:szCs w:val="24"/>
        </w:rPr>
        <w:t>Abstract: The XRCC1 Arg194Trp</w:t>
      </w:r>
      <w:r w:rsidR="005853A9">
        <w:rPr>
          <w:kern w:val="0"/>
          <w:szCs w:val="24"/>
        </w:rPr>
        <w:t xml:space="preserve"> and </w:t>
      </w:r>
      <w:r>
        <w:rPr>
          <w:kern w:val="0"/>
          <w:szCs w:val="24"/>
        </w:rPr>
        <w:t>Arg280His polymorphisms were likely to be involved with the development</w:t>
      </w:r>
      <w:r w:rsidR="00427468">
        <w:rPr>
          <w:kern w:val="0"/>
          <w:szCs w:val="24"/>
        </w:rPr>
        <w:t xml:space="preserve"> of </w:t>
      </w:r>
      <w:r>
        <w:rPr>
          <w:kern w:val="0"/>
          <w:szCs w:val="24"/>
        </w:rPr>
        <w:t>bladder cancer. However, there had been inconsistent reports</w:t>
      </w:r>
      <w:r w:rsidR="00427468">
        <w:rPr>
          <w:kern w:val="0"/>
          <w:szCs w:val="24"/>
        </w:rPr>
        <w:t xml:space="preserve"> of </w:t>
      </w:r>
      <w:r>
        <w:rPr>
          <w:kern w:val="0"/>
          <w:szCs w:val="24"/>
        </w:rPr>
        <w:t>association. This meta-analysis</w:t>
      </w:r>
      <w:r w:rsidR="00427468">
        <w:rPr>
          <w:kern w:val="0"/>
          <w:szCs w:val="24"/>
        </w:rPr>
        <w:t xml:space="preserve"> of </w:t>
      </w:r>
      <w:r>
        <w:rPr>
          <w:kern w:val="0"/>
          <w:szCs w:val="24"/>
        </w:rPr>
        <w:t>literatures was performed to draw a more precise estimation</w:t>
      </w:r>
      <w:r w:rsidR="00427468">
        <w:rPr>
          <w:kern w:val="0"/>
          <w:szCs w:val="24"/>
        </w:rPr>
        <w:t xml:space="preserve"> of </w:t>
      </w:r>
      <w:r>
        <w:rPr>
          <w:kern w:val="0"/>
          <w:szCs w:val="24"/>
        </w:rPr>
        <w:t>the relationship. We systematically searched PubMed, Embase,</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Pr>
          <w:kern w:val="0"/>
          <w:szCs w:val="24"/>
        </w:rPr>
        <w:t xml:space="preserve"> for relevant articles with a time limit</w:t>
      </w:r>
      <w:r w:rsidR="00427468">
        <w:rPr>
          <w:kern w:val="0"/>
          <w:szCs w:val="24"/>
        </w:rPr>
        <w:t xml:space="preserve"> of </w:t>
      </w:r>
      <w:r>
        <w:rPr>
          <w:kern w:val="0"/>
          <w:szCs w:val="24"/>
        </w:rPr>
        <w:t>April 25, 2013. Summary odds ratios (ORs) with 95% confidence intervals (CIs) were used to assess the strength</w:t>
      </w:r>
      <w:r w:rsidR="00427468">
        <w:rPr>
          <w:kern w:val="0"/>
          <w:szCs w:val="24"/>
        </w:rPr>
        <w:t xml:space="preserve"> of </w:t>
      </w:r>
      <w:r>
        <w:rPr>
          <w:kern w:val="0"/>
          <w:szCs w:val="24"/>
        </w:rPr>
        <w:t>association between the two polymorphisms</w:t>
      </w:r>
      <w:r w:rsidR="005853A9">
        <w:rPr>
          <w:kern w:val="0"/>
          <w:szCs w:val="24"/>
        </w:rPr>
        <w:t xml:space="preserve"> and </w:t>
      </w:r>
      <w:r>
        <w:rPr>
          <w:kern w:val="0"/>
          <w:szCs w:val="24"/>
        </w:rPr>
        <w:t>bladder cancer susceptibility using a random-effects model. This meta-analysis including 14 case-control studies evaluated the associations between the two XRCC1 polymorphisms</w:t>
      </w:r>
      <w:r w:rsidR="005853A9">
        <w:rPr>
          <w:kern w:val="0"/>
          <w:szCs w:val="24"/>
        </w:rPr>
        <w:t xml:space="preserve"> and </w:t>
      </w:r>
      <w:r>
        <w:rPr>
          <w:kern w:val="0"/>
          <w:szCs w:val="24"/>
        </w:rPr>
        <w:t>bladder cancer susceptibility. Overall, for Arg194Trp, significant associations were found in TT versus CC (OR = 1.78, 95% CI = 1.12-2.82)</w:t>
      </w:r>
      <w:r w:rsidR="005853A9">
        <w:rPr>
          <w:kern w:val="0"/>
          <w:szCs w:val="24"/>
        </w:rPr>
        <w:t xml:space="preserve"> and </w:t>
      </w:r>
      <w:r>
        <w:rPr>
          <w:kern w:val="0"/>
          <w:szCs w:val="24"/>
        </w:rPr>
        <w:t>the recessive model (OR = 1.71, 95% CI = 1.11-2.65); for Arg280His, significant associations were also found in AG versus GG (OR = 1.63, 95% CI =1.24-2.13)</w:t>
      </w:r>
      <w:r w:rsidR="005853A9">
        <w:rPr>
          <w:kern w:val="0"/>
          <w:szCs w:val="24"/>
        </w:rPr>
        <w:t xml:space="preserve"> and </w:t>
      </w:r>
      <w:r>
        <w:rPr>
          <w:kern w:val="0"/>
          <w:szCs w:val="24"/>
        </w:rPr>
        <w:t>the dominant model (OR =1.39, 95% CI = 1.07-1.82). When stratified by ethnicity, in Asian population, significant associations were found for Arg194Trp polymorphism in TT versus CC (OR = 2.99, 95% CI = 1.48-6.06), the dominant model (OR = 1.33, 95% CI = 1.03-1.72)</w:t>
      </w:r>
      <w:r w:rsidR="005853A9">
        <w:rPr>
          <w:kern w:val="0"/>
          <w:szCs w:val="24"/>
        </w:rPr>
        <w:t xml:space="preserve"> and </w:t>
      </w:r>
      <w:r>
        <w:rPr>
          <w:kern w:val="0"/>
          <w:szCs w:val="24"/>
        </w:rPr>
        <w:t>the recessive model (OR = 2.72, 95% CI = 1.36-5.45),</w:t>
      </w:r>
      <w:r w:rsidR="005853A9">
        <w:rPr>
          <w:kern w:val="0"/>
          <w:szCs w:val="24"/>
        </w:rPr>
        <w:t xml:space="preserve"> and </w:t>
      </w:r>
      <w:r>
        <w:rPr>
          <w:kern w:val="0"/>
          <w:szCs w:val="24"/>
        </w:rPr>
        <w:t>for Arg280His in GA versus GG (OR = 2.13, 95% CI = 1.63-2.97), but no significant associations were found in no-Asian population. This meta-analysis suggested that XRCC1 Arg194Trp</w:t>
      </w:r>
      <w:r w:rsidR="005853A9">
        <w:rPr>
          <w:kern w:val="0"/>
          <w:szCs w:val="24"/>
        </w:rPr>
        <w:t xml:space="preserve"> and </w:t>
      </w:r>
      <w:r>
        <w:rPr>
          <w:kern w:val="0"/>
          <w:szCs w:val="24"/>
        </w:rPr>
        <w:t>Arg280His polymorphisms were risk factors for increasing bladder cancer in Asian population.</w:t>
      </w:r>
    </w:p>
    <w:p w:rsidR="008A3BC8" w:rsidRDefault="008A3BC8" w:rsidP="008A3BC8">
      <w:pPr>
        <w:pStyle w:val="a3"/>
        <w:rPr>
          <w:kern w:val="0"/>
          <w:szCs w:val="24"/>
        </w:rPr>
      </w:pPr>
      <w:r>
        <w:rPr>
          <w:kern w:val="0"/>
          <w:szCs w:val="24"/>
        </w:rPr>
        <w:lastRenderedPageBreak/>
        <w:t xml:space="preserve">Keywords: AG, Arg194Trp, Arg280His, Article, Asian, Association, Associations, Biotechnology, Bladder, Bladder Cancer, Cancer, Case-Control, Case-Control Studies, China, Confidence, Confidence Intervals, Ct, Development, Dna-Repair, Esophageal, Ethnicity, Excision-Repair Pathway, Gastric-Cancer, Gene, Genetic Polymorphisms, Highway, House, Intervals, Meta Analysis, Meta-Analysis, Metaanalysis, Model, Polymorphism, Polymorphisms, Population, Protein, Pubmed, R, Random Effects Model, Risk, Risk Factors, Science, Shanghai, Smoking, Strength, </w:t>
      </w:r>
      <w:r w:rsidR="00D5664A">
        <w:rPr>
          <w:kern w:val="0"/>
          <w:szCs w:val="24"/>
        </w:rPr>
        <w:t>USA</w:t>
      </w:r>
      <w:r>
        <w:rPr>
          <w:kern w:val="0"/>
          <w:szCs w:val="24"/>
        </w:rPr>
        <w:t xml:space="preserve">, Variants, </w:t>
      </w:r>
      <w:r w:rsidR="00D5664A">
        <w:rPr>
          <w:kern w:val="0"/>
          <w:szCs w:val="24"/>
        </w:rPr>
        <w:t>Web</w:t>
      </w:r>
      <w:r w:rsidR="00427468">
        <w:rPr>
          <w:kern w:val="0"/>
          <w:szCs w:val="24"/>
        </w:rPr>
        <w:t xml:space="preserve"> of </w:t>
      </w:r>
      <w:r w:rsidR="00D5664A">
        <w:rPr>
          <w:kern w:val="0"/>
          <w:szCs w:val="24"/>
        </w:rPr>
        <w:t>Science</w:t>
      </w:r>
      <w:r>
        <w:rPr>
          <w:kern w:val="0"/>
          <w:szCs w:val="24"/>
        </w:rPr>
        <w:t>, XRCC1</w:t>
      </w:r>
    </w:p>
    <w:p w:rsidR="001579B9" w:rsidRPr="00A428C3" w:rsidRDefault="001579B9" w:rsidP="001579B9">
      <w:pPr>
        <w:pStyle w:val="1"/>
      </w:pPr>
      <w:r w:rsidRPr="00586CD8">
        <w:br w:type="page"/>
      </w:r>
      <w:bookmarkStart w:id="430" w:name="_Toc420815133"/>
      <w:r w:rsidRPr="00A428C3">
        <w:lastRenderedPageBreak/>
        <w:t xml:space="preserve">Title: </w:t>
      </w:r>
      <w:r w:rsidRPr="004E008C">
        <w:rPr>
          <w:iCs w:val="0"/>
        </w:rPr>
        <w:t>Critical Reviews in Food Science</w:t>
      </w:r>
      <w:r w:rsidR="005853A9">
        <w:rPr>
          <w:iCs w:val="0"/>
        </w:rPr>
        <w:t xml:space="preserve"> and </w:t>
      </w:r>
      <w:r w:rsidRPr="004E008C">
        <w:rPr>
          <w:iCs w:val="0"/>
        </w:rPr>
        <w:t>Nutrition</w:t>
      </w:r>
      <w:bookmarkEnd w:id="430"/>
    </w:p>
    <w:p w:rsidR="001579B9" w:rsidRPr="00240EFC" w:rsidRDefault="001579B9" w:rsidP="001579B9">
      <w:pPr>
        <w:pStyle w:val="12"/>
      </w:pPr>
      <w:r w:rsidRPr="00240EFC">
        <w:t xml:space="preserve">Full Journal Title: </w:t>
      </w:r>
      <w:r w:rsidRPr="004E008C">
        <w:rPr>
          <w:iCs/>
          <w:kern w:val="0"/>
        </w:rPr>
        <w:t>Critical Reviews in Food Science</w:t>
      </w:r>
      <w:r w:rsidR="005853A9">
        <w:rPr>
          <w:iCs/>
          <w:kern w:val="0"/>
        </w:rPr>
        <w:t xml:space="preserve"> and </w:t>
      </w:r>
      <w:r w:rsidRPr="004E008C">
        <w:rPr>
          <w:iCs/>
          <w:kern w:val="0"/>
        </w:rPr>
        <w:t>Nutrition</w:t>
      </w:r>
    </w:p>
    <w:p w:rsidR="001579B9" w:rsidRPr="00240EFC" w:rsidRDefault="001579B9" w:rsidP="001579B9">
      <w:pPr>
        <w:pStyle w:val="12"/>
      </w:pPr>
      <w:r w:rsidRPr="00240EFC">
        <w:t xml:space="preserve">ISO Abbreviated Title: </w:t>
      </w:r>
    </w:p>
    <w:p w:rsidR="001579B9" w:rsidRPr="00240EFC" w:rsidRDefault="001579B9" w:rsidP="001579B9">
      <w:pPr>
        <w:pStyle w:val="12"/>
      </w:pPr>
      <w:r w:rsidRPr="00240EFC">
        <w:t xml:space="preserve">JCR Abbreviated Title: </w:t>
      </w:r>
    </w:p>
    <w:p w:rsidR="001579B9" w:rsidRPr="00240EFC" w:rsidRDefault="001579B9" w:rsidP="001579B9">
      <w:pPr>
        <w:pStyle w:val="12"/>
      </w:pPr>
      <w:r w:rsidRPr="00240EFC">
        <w:t xml:space="preserve">ISSN: </w:t>
      </w:r>
    </w:p>
    <w:p w:rsidR="001579B9" w:rsidRPr="00240EFC" w:rsidRDefault="001579B9" w:rsidP="001579B9">
      <w:pPr>
        <w:pStyle w:val="12"/>
      </w:pPr>
      <w:r w:rsidRPr="00240EFC">
        <w:t xml:space="preserve">Issues/Year: </w:t>
      </w:r>
    </w:p>
    <w:p w:rsidR="001579B9" w:rsidRPr="00240EFC" w:rsidRDefault="001579B9" w:rsidP="001579B9">
      <w:pPr>
        <w:pStyle w:val="12"/>
      </w:pPr>
      <w:r w:rsidRPr="00240EFC">
        <w:t xml:space="preserve">Journal Country/Territory: </w:t>
      </w:r>
    </w:p>
    <w:p w:rsidR="001579B9" w:rsidRPr="00240EFC" w:rsidRDefault="001579B9" w:rsidP="001579B9">
      <w:pPr>
        <w:pStyle w:val="12"/>
      </w:pPr>
      <w:r w:rsidRPr="00240EFC">
        <w:t xml:space="preserve">Language: </w:t>
      </w:r>
    </w:p>
    <w:p w:rsidR="001579B9" w:rsidRPr="00240EFC" w:rsidRDefault="001579B9" w:rsidP="001579B9">
      <w:pPr>
        <w:pStyle w:val="12"/>
      </w:pPr>
      <w:r w:rsidRPr="00240EFC">
        <w:t xml:space="preserve">Publisher: </w:t>
      </w:r>
    </w:p>
    <w:p w:rsidR="001579B9" w:rsidRPr="00240EFC" w:rsidRDefault="001579B9" w:rsidP="001579B9">
      <w:pPr>
        <w:pStyle w:val="12"/>
      </w:pPr>
      <w:r w:rsidRPr="00240EFC">
        <w:t xml:space="preserve">Publisher Address: </w:t>
      </w:r>
    </w:p>
    <w:p w:rsidR="001579B9" w:rsidRPr="00240EFC" w:rsidRDefault="001579B9" w:rsidP="001579B9">
      <w:pPr>
        <w:pStyle w:val="12"/>
      </w:pPr>
      <w:r w:rsidRPr="00240EFC">
        <w:t xml:space="preserve">Subject Categories: </w:t>
      </w:r>
    </w:p>
    <w:p w:rsidR="001579B9" w:rsidRPr="00240EFC" w:rsidRDefault="001579B9" w:rsidP="001579B9">
      <w:pPr>
        <w:pStyle w:val="12"/>
      </w:pPr>
      <w:r w:rsidRPr="00240EFC">
        <w:t>: Impact Factor</w:t>
      </w:r>
    </w:p>
    <w:p w:rsidR="001579B9" w:rsidRDefault="001579B9" w:rsidP="001579B9">
      <w:pPr>
        <w:pStyle w:val="a3"/>
        <w:rPr>
          <w:kern w:val="0"/>
        </w:rPr>
      </w:pPr>
      <w:r>
        <w:rPr>
          <w:rFonts w:hint="eastAsia"/>
          <w:kern w:val="0"/>
        </w:rPr>
        <w:t xml:space="preserve">? </w:t>
      </w:r>
      <w:r>
        <w:rPr>
          <w:kern w:val="0"/>
        </w:rPr>
        <w:t>Bathaie, S.Z.</w:t>
      </w:r>
      <w:r w:rsidR="005853A9">
        <w:rPr>
          <w:kern w:val="0"/>
        </w:rPr>
        <w:t xml:space="preserve"> and </w:t>
      </w:r>
      <w:r>
        <w:rPr>
          <w:kern w:val="0"/>
        </w:rPr>
        <w:t>Mo</w:t>
      </w:r>
      <w:r w:rsidR="00D5664A">
        <w:rPr>
          <w:kern w:val="0"/>
        </w:rPr>
        <w:t>USA</w:t>
      </w:r>
      <w:r>
        <w:rPr>
          <w:kern w:val="0"/>
        </w:rPr>
        <w:t>vi, S.Z. (2010), New applications</w:t>
      </w:r>
      <w:r w:rsidR="005853A9">
        <w:rPr>
          <w:kern w:val="0"/>
        </w:rPr>
        <w:t xml:space="preserve"> and </w:t>
      </w:r>
      <w:r>
        <w:rPr>
          <w:kern w:val="0"/>
        </w:rPr>
        <w:t>mechanisms</w:t>
      </w:r>
      <w:r w:rsidR="00427468">
        <w:rPr>
          <w:kern w:val="0"/>
        </w:rPr>
        <w:t xml:space="preserve"> of </w:t>
      </w:r>
      <w:r>
        <w:rPr>
          <w:kern w:val="0"/>
        </w:rPr>
        <w:t>action</w:t>
      </w:r>
      <w:r w:rsidR="00427468">
        <w:rPr>
          <w:kern w:val="0"/>
        </w:rPr>
        <w:t xml:space="preserve"> of </w:t>
      </w:r>
      <w:r>
        <w:rPr>
          <w:kern w:val="0"/>
        </w:rPr>
        <w:t>saffron</w:t>
      </w:r>
      <w:r w:rsidR="005853A9">
        <w:rPr>
          <w:kern w:val="0"/>
        </w:rPr>
        <w:t xml:space="preserve"> and </w:t>
      </w:r>
      <w:r>
        <w:rPr>
          <w:kern w:val="0"/>
        </w:rPr>
        <w:t xml:space="preserve">its important ingredients. </w:t>
      </w:r>
      <w:r w:rsidRPr="004E008C">
        <w:rPr>
          <w:i/>
          <w:iCs/>
          <w:kern w:val="0"/>
        </w:rPr>
        <w:t>Critical Reviews in Food Science</w:t>
      </w:r>
      <w:r w:rsidR="005853A9">
        <w:rPr>
          <w:i/>
          <w:iCs/>
          <w:kern w:val="0"/>
        </w:rPr>
        <w:t xml:space="preserve"> and </w:t>
      </w:r>
      <w:r w:rsidRPr="004E008C">
        <w:rPr>
          <w:i/>
          <w:iCs/>
          <w:kern w:val="0"/>
        </w:rPr>
        <w:t>Nutrition</w:t>
      </w:r>
      <w:r>
        <w:rPr>
          <w:kern w:val="0"/>
        </w:rPr>
        <w:t xml:space="preserve">, </w:t>
      </w:r>
      <w:r>
        <w:rPr>
          <w:b/>
          <w:bCs/>
          <w:kern w:val="0"/>
        </w:rPr>
        <w:t>50</w:t>
      </w:r>
      <w:r>
        <w:rPr>
          <w:kern w:val="0"/>
        </w:rPr>
        <w:t xml:space="preserve"> (8), 761-786.</w:t>
      </w:r>
    </w:p>
    <w:p w:rsidR="001579B9" w:rsidRDefault="001579B9" w:rsidP="001579B9">
      <w:pPr>
        <w:pStyle w:val="a3"/>
        <w:rPr>
          <w:kern w:val="0"/>
        </w:rPr>
      </w:pPr>
      <w:r>
        <w:rPr>
          <w:kern w:val="0"/>
        </w:rPr>
        <w:t>Abstract: Saffron (Crocus sativus L.) has been an important subject</w:t>
      </w:r>
      <w:r w:rsidR="00427468">
        <w:rPr>
          <w:kern w:val="0"/>
        </w:rPr>
        <w:t xml:space="preserve"> of </w:t>
      </w:r>
      <w:r>
        <w:rPr>
          <w:kern w:val="0"/>
        </w:rPr>
        <w:t>interest for research teams in</w:t>
      </w:r>
      <w:r w:rsidR="003A1917">
        <w:rPr>
          <w:kern w:val="0"/>
        </w:rPr>
        <w:t xml:space="preserve"> the </w:t>
      </w:r>
      <w:r>
        <w:rPr>
          <w:kern w:val="0"/>
        </w:rPr>
        <w:t>past two decades because</w:t>
      </w:r>
      <w:r w:rsidR="00427468">
        <w:rPr>
          <w:kern w:val="0"/>
        </w:rPr>
        <w:t xml:space="preserve"> of </w:t>
      </w:r>
      <w:r>
        <w:rPr>
          <w:kern w:val="0"/>
        </w:rPr>
        <w:t>its various biological properties. Chemical analysis has shown</w:t>
      </w:r>
      <w:r w:rsidR="003A1917">
        <w:rPr>
          <w:kern w:val="0"/>
        </w:rPr>
        <w:t xml:space="preserve"> the </w:t>
      </w:r>
      <w:r>
        <w:rPr>
          <w:kern w:val="0"/>
        </w:rPr>
        <w:t>presence</w:t>
      </w:r>
      <w:r w:rsidR="00427468">
        <w:rPr>
          <w:kern w:val="0"/>
        </w:rPr>
        <w:t xml:space="preserve"> of </w:t>
      </w:r>
      <w:r>
        <w:rPr>
          <w:kern w:val="0"/>
        </w:rPr>
        <w:t>more than 150 components in saffron.stigmas. Here, we review</w:t>
      </w:r>
      <w:r w:rsidR="003A1917">
        <w:rPr>
          <w:kern w:val="0"/>
        </w:rPr>
        <w:t xml:space="preserve"> the </w:t>
      </w:r>
      <w:r>
        <w:rPr>
          <w:kern w:val="0"/>
        </w:rPr>
        <w:t>medicinal</w:t>
      </w:r>
      <w:r w:rsidR="005853A9">
        <w:rPr>
          <w:kern w:val="0"/>
        </w:rPr>
        <w:t xml:space="preserve"> and </w:t>
      </w:r>
      <w:r>
        <w:rPr>
          <w:kern w:val="0"/>
        </w:rPr>
        <w:t>industrial applications</w:t>
      </w:r>
      <w:r w:rsidR="00427468">
        <w:rPr>
          <w:kern w:val="0"/>
        </w:rPr>
        <w:t xml:space="preserve"> of </w:t>
      </w:r>
      <w:r>
        <w:rPr>
          <w:kern w:val="0"/>
        </w:rPr>
        <w:t>saffron</w:t>
      </w:r>
      <w:r w:rsidR="00A37C1D">
        <w:rPr>
          <w:kern w:val="0"/>
        </w:rPr>
        <w:t>. The</w:t>
      </w:r>
      <w:r>
        <w:rPr>
          <w:kern w:val="0"/>
        </w:rPr>
        <w:t>n,</w:t>
      </w:r>
      <w:r w:rsidR="003A1917">
        <w:rPr>
          <w:kern w:val="0"/>
        </w:rPr>
        <w:t xml:space="preserve"> the </w:t>
      </w:r>
      <w:r>
        <w:rPr>
          <w:kern w:val="0"/>
        </w:rPr>
        <w:t>new findings from different research groups about its medicinal properties</w:t>
      </w:r>
      <w:r w:rsidR="005853A9">
        <w:rPr>
          <w:kern w:val="0"/>
        </w:rPr>
        <w:t xml:space="preserve"> and </w:t>
      </w:r>
      <w:r>
        <w:rPr>
          <w:kern w:val="0"/>
        </w:rPr>
        <w:t>various cellular</w:t>
      </w:r>
      <w:r w:rsidR="005853A9">
        <w:rPr>
          <w:kern w:val="0"/>
        </w:rPr>
        <w:t xml:space="preserve"> and </w:t>
      </w:r>
      <w:r>
        <w:rPr>
          <w:kern w:val="0"/>
        </w:rPr>
        <w:t>molecular mechanisms</w:t>
      </w:r>
      <w:r w:rsidR="00427468">
        <w:rPr>
          <w:kern w:val="0"/>
        </w:rPr>
        <w:t xml:space="preserve"> of </w:t>
      </w:r>
      <w:r>
        <w:rPr>
          <w:kern w:val="0"/>
        </w:rPr>
        <w:t>action will be discussed</w:t>
      </w:r>
      <w:r w:rsidR="00A37C1D">
        <w:rPr>
          <w:kern w:val="0"/>
        </w:rPr>
        <w:t>. The</w:t>
      </w:r>
      <w:r w:rsidR="003A1917">
        <w:rPr>
          <w:kern w:val="0"/>
        </w:rPr>
        <w:t xml:space="preserve"> </w:t>
      </w:r>
      <w:r>
        <w:rPr>
          <w:kern w:val="0"/>
        </w:rPr>
        <w:t xml:space="preserve">methods used for this study included searching </w:t>
      </w:r>
      <w:r w:rsidR="00D5664A">
        <w:rPr>
          <w:kern w:val="0"/>
        </w:rPr>
        <w:t>Web</w:t>
      </w:r>
      <w:r w:rsidR="00427468">
        <w:rPr>
          <w:kern w:val="0"/>
        </w:rPr>
        <w:t xml:space="preserve"> of </w:t>
      </w:r>
      <w:r w:rsidR="00D5664A">
        <w:rPr>
          <w:kern w:val="0"/>
        </w:rPr>
        <w:t>Science</w:t>
      </w:r>
      <w:r w:rsidR="005853A9">
        <w:rPr>
          <w:kern w:val="0"/>
        </w:rPr>
        <w:t xml:space="preserve"> and </w:t>
      </w:r>
      <w:r w:rsidR="00D5664A">
        <w:rPr>
          <w:kern w:val="0"/>
        </w:rPr>
        <w:t>MEDLINE</w:t>
      </w:r>
      <w:r>
        <w:rPr>
          <w:kern w:val="0"/>
        </w:rPr>
        <w:t xml:space="preserve"> for saffron</w:t>
      </w:r>
      <w:r w:rsidR="005853A9">
        <w:rPr>
          <w:kern w:val="0"/>
        </w:rPr>
        <w:t xml:space="preserve"> and </w:t>
      </w:r>
      <w:r>
        <w:rPr>
          <w:kern w:val="0"/>
        </w:rPr>
        <w:t>its constituent</w:t>
      </w:r>
      <w:r w:rsidR="0071223E">
        <w:rPr>
          <w:kern w:val="0"/>
        </w:rPr>
        <w:t>’</w:t>
      </w:r>
      <w:r w:rsidR="00C13DDC">
        <w:rPr>
          <w:kern w:val="0"/>
        </w:rPr>
        <w:t>s</w:t>
      </w:r>
      <w:r>
        <w:rPr>
          <w:kern w:val="0"/>
        </w:rPr>
        <w:t xml:space="preserve"> applications</w:t>
      </w:r>
      <w:r w:rsidR="00A37C1D">
        <w:rPr>
          <w:kern w:val="0"/>
        </w:rPr>
        <w:t>. The</w:t>
      </w:r>
      <w:r w:rsidR="003A1917">
        <w:rPr>
          <w:kern w:val="0"/>
        </w:rPr>
        <w:t xml:space="preserve"> </w:t>
      </w:r>
      <w:r>
        <w:rPr>
          <w:kern w:val="0"/>
        </w:rPr>
        <w:t>results show that in recent years saffron</w:t>
      </w:r>
      <w:r w:rsidR="0071223E">
        <w:rPr>
          <w:kern w:val="0"/>
        </w:rPr>
        <w:t>’</w:t>
      </w:r>
      <w:r w:rsidR="00C13DDC">
        <w:rPr>
          <w:kern w:val="0"/>
        </w:rPr>
        <w:t>s</w:t>
      </w:r>
      <w:r>
        <w:rPr>
          <w:kern w:val="0"/>
        </w:rPr>
        <w:t xml:space="preserve"> application in a variety</w:t>
      </w:r>
      <w:r w:rsidR="00427468">
        <w:rPr>
          <w:kern w:val="0"/>
        </w:rPr>
        <w:t xml:space="preserve"> of </w:t>
      </w:r>
      <w:r>
        <w:rPr>
          <w:kern w:val="0"/>
        </w:rPr>
        <w:t>disorders involving neuronal, cardiovascular</w:t>
      </w:r>
      <w:r w:rsidR="005853A9">
        <w:rPr>
          <w:kern w:val="0"/>
        </w:rPr>
        <w:t xml:space="preserve"> and </w:t>
      </w:r>
      <w:r>
        <w:rPr>
          <w:kern w:val="0"/>
        </w:rPr>
        <w:t>other systems, as. well as cancer have been investigated</w:t>
      </w:r>
      <w:r w:rsidR="00A37C1D">
        <w:rPr>
          <w:kern w:val="0"/>
        </w:rPr>
        <w:t>. The</w:t>
      </w:r>
      <w:r w:rsidR="003A1917">
        <w:rPr>
          <w:kern w:val="0"/>
        </w:rPr>
        <w:t xml:space="preserve"> </w:t>
      </w:r>
      <w:r>
        <w:rPr>
          <w:kern w:val="0"/>
        </w:rPr>
        <w:t>cellular</w:t>
      </w:r>
      <w:r w:rsidR="005853A9">
        <w:rPr>
          <w:kern w:val="0"/>
        </w:rPr>
        <w:t xml:space="preserve"> and </w:t>
      </w:r>
      <w:r>
        <w:rPr>
          <w:kern w:val="0"/>
        </w:rPr>
        <w:t>molecular mechanisms</w:t>
      </w:r>
      <w:r w:rsidR="00427468">
        <w:rPr>
          <w:kern w:val="0"/>
        </w:rPr>
        <w:t xml:space="preserve"> of </w:t>
      </w:r>
      <w:r>
        <w:rPr>
          <w:kern w:val="0"/>
        </w:rPr>
        <w:t>its action are also under study</w:t>
      </w:r>
      <w:r w:rsidR="003A1917">
        <w:rPr>
          <w:kern w:val="0"/>
        </w:rPr>
        <w:t xml:space="preserve"> the </w:t>
      </w:r>
      <w:r>
        <w:rPr>
          <w:kern w:val="0"/>
        </w:rPr>
        <w:t>more powerful components</w:t>
      </w:r>
      <w:r w:rsidR="00427468">
        <w:rPr>
          <w:kern w:val="0"/>
        </w:rPr>
        <w:t xml:space="preserve"> of </w:t>
      </w:r>
      <w:r>
        <w:rPr>
          <w:kern w:val="0"/>
        </w:rPr>
        <w:t>saffron are carotenoids</w:t>
      </w:r>
      <w:r w:rsidR="005853A9">
        <w:rPr>
          <w:kern w:val="0"/>
        </w:rPr>
        <w:t xml:space="preserve"> and </w:t>
      </w:r>
      <w:r>
        <w:rPr>
          <w:kern w:val="0"/>
        </w:rPr>
        <w:t>monoterpene aldehydes. Structure-function relationship studies show that some properties are related to deglycosylated derivatives, while others belong to more glycosylated ones. Our study concludes that saffron has a wide range</w:t>
      </w:r>
      <w:r w:rsidR="00427468">
        <w:rPr>
          <w:kern w:val="0"/>
        </w:rPr>
        <w:t xml:space="preserve"> of </w:t>
      </w:r>
      <w:r>
        <w:rPr>
          <w:kern w:val="0"/>
        </w:rPr>
        <w:t>usefulness in medicine, cosmetics,</w:t>
      </w:r>
      <w:r w:rsidR="005853A9">
        <w:rPr>
          <w:kern w:val="0"/>
        </w:rPr>
        <w:t xml:space="preserve"> and </w:t>
      </w:r>
      <w:r>
        <w:rPr>
          <w:kern w:val="0"/>
        </w:rPr>
        <w:t>coloring industries, so it can be used for new drug designs. However, more research about its mechanism</w:t>
      </w:r>
      <w:r w:rsidR="00427468">
        <w:rPr>
          <w:kern w:val="0"/>
        </w:rPr>
        <w:t xml:space="preserve"> of </w:t>
      </w:r>
      <w:r>
        <w:rPr>
          <w:kern w:val="0"/>
        </w:rPr>
        <w:t>action is needed.</w:t>
      </w:r>
    </w:p>
    <w:p w:rsidR="001579B9" w:rsidRDefault="001579B9" w:rsidP="001579B9">
      <w:pPr>
        <w:pStyle w:val="a3"/>
        <w:rPr>
          <w:kern w:val="0"/>
        </w:rPr>
      </w:pPr>
      <w:r>
        <w:rPr>
          <w:kern w:val="0"/>
        </w:rPr>
        <w:t>Keywords: Analysis, Cancer, Cardiovascular, Carotenoids, Crocetin, Crocin, Crocus-Sativus l., Drug, Gardenia Jasminoides Ellis, Interest, Long-Term Potentiation, Mechanism, Mechanism</w:t>
      </w:r>
      <w:r w:rsidR="00427468">
        <w:rPr>
          <w:kern w:val="0"/>
        </w:rPr>
        <w:t xml:space="preserve"> of </w:t>
      </w:r>
      <w:r>
        <w:rPr>
          <w:kern w:val="0"/>
        </w:rPr>
        <w:t xml:space="preserve">Action, Medicinal Properties, Medicine, Molecular, Monoterpene Aldehydes, Muscle-Cell Proliferation, Necrosis-Factor-Alpha, Performance Liquid-Chromatography, Picrocrocin, Radical </w:t>
      </w:r>
      <w:r>
        <w:rPr>
          <w:kern w:val="0"/>
        </w:rPr>
        <w:lastRenderedPageBreak/>
        <w:t xml:space="preserve">Scavenging Activity, Research, Review, Saffron, Safranal, Science, Structure-Functional Relationship, To-Moderate Depression, Trans-Sodium Crocetinate, Tyrosinase Inhibitory-Activity, </w:t>
      </w:r>
      <w:r w:rsidR="00D5664A">
        <w:rPr>
          <w:kern w:val="0"/>
        </w:rPr>
        <w:t>Web</w:t>
      </w:r>
      <w:r w:rsidR="00427468">
        <w:rPr>
          <w:kern w:val="0"/>
        </w:rPr>
        <w:t xml:space="preserve"> of </w:t>
      </w:r>
      <w:r w:rsidR="00D5664A">
        <w:rPr>
          <w:kern w:val="0"/>
        </w:rPr>
        <w:t>Science</w:t>
      </w:r>
    </w:p>
    <w:p w:rsidR="00F73486" w:rsidRPr="00A428C3" w:rsidRDefault="00F73486" w:rsidP="00F73486">
      <w:pPr>
        <w:pStyle w:val="1"/>
      </w:pPr>
      <w:r w:rsidRPr="00586CD8">
        <w:br w:type="page"/>
      </w:r>
      <w:bookmarkStart w:id="431" w:name="_Toc420815134"/>
      <w:r w:rsidRPr="00A428C3">
        <w:lastRenderedPageBreak/>
        <w:t xml:space="preserve">Title: </w:t>
      </w:r>
      <w:r w:rsidRPr="007017EA">
        <w:rPr>
          <w:iCs w:val="0"/>
        </w:rPr>
        <w:t>Critical Reviews in Microbiology</w:t>
      </w:r>
      <w:bookmarkEnd w:id="431"/>
    </w:p>
    <w:p w:rsidR="00F73486" w:rsidRPr="00240EFC" w:rsidRDefault="00F73486" w:rsidP="00F73486">
      <w:pPr>
        <w:pStyle w:val="12"/>
      </w:pPr>
      <w:r w:rsidRPr="00240EFC">
        <w:t xml:space="preserve">Full Journal Title: </w:t>
      </w:r>
      <w:r w:rsidRPr="007017EA">
        <w:rPr>
          <w:iCs/>
        </w:rPr>
        <w:t>Critical Reviews in Microbiology</w:t>
      </w:r>
    </w:p>
    <w:p w:rsidR="00F73486" w:rsidRPr="00240EFC" w:rsidRDefault="00F73486" w:rsidP="00F73486">
      <w:pPr>
        <w:pStyle w:val="12"/>
      </w:pPr>
      <w:r w:rsidRPr="00240EFC">
        <w:t xml:space="preserve">ISO Abbreviated Title: </w:t>
      </w:r>
    </w:p>
    <w:p w:rsidR="00F73486" w:rsidRPr="00240EFC" w:rsidRDefault="00F73486" w:rsidP="00F73486">
      <w:pPr>
        <w:pStyle w:val="12"/>
      </w:pPr>
      <w:r w:rsidRPr="00240EFC">
        <w:t xml:space="preserve">JCR Abbreviated Title: </w:t>
      </w:r>
    </w:p>
    <w:p w:rsidR="00F73486" w:rsidRPr="00240EFC" w:rsidRDefault="00F73486" w:rsidP="00F73486">
      <w:pPr>
        <w:pStyle w:val="12"/>
      </w:pPr>
      <w:r w:rsidRPr="00240EFC">
        <w:t xml:space="preserve">ISSN: </w:t>
      </w:r>
    </w:p>
    <w:p w:rsidR="00F73486" w:rsidRPr="00240EFC" w:rsidRDefault="00F73486" w:rsidP="00F73486">
      <w:pPr>
        <w:pStyle w:val="12"/>
      </w:pPr>
      <w:r w:rsidRPr="00240EFC">
        <w:t xml:space="preserve">Issues/Year: </w:t>
      </w:r>
    </w:p>
    <w:p w:rsidR="00F73486" w:rsidRPr="00240EFC" w:rsidRDefault="00F73486" w:rsidP="00F73486">
      <w:pPr>
        <w:pStyle w:val="12"/>
      </w:pPr>
      <w:r w:rsidRPr="00240EFC">
        <w:t xml:space="preserve">Journal Country/Territory: </w:t>
      </w:r>
    </w:p>
    <w:p w:rsidR="00F73486" w:rsidRPr="00240EFC" w:rsidRDefault="00F73486" w:rsidP="00F73486">
      <w:pPr>
        <w:pStyle w:val="12"/>
      </w:pPr>
      <w:r w:rsidRPr="00240EFC">
        <w:t xml:space="preserve">Language: </w:t>
      </w:r>
    </w:p>
    <w:p w:rsidR="00F73486" w:rsidRPr="00240EFC" w:rsidRDefault="00F73486" w:rsidP="00F73486">
      <w:pPr>
        <w:pStyle w:val="12"/>
      </w:pPr>
      <w:r w:rsidRPr="00240EFC">
        <w:t xml:space="preserve">Publisher: </w:t>
      </w:r>
    </w:p>
    <w:p w:rsidR="00F73486" w:rsidRPr="00240EFC" w:rsidRDefault="00F73486" w:rsidP="00F73486">
      <w:pPr>
        <w:pStyle w:val="12"/>
      </w:pPr>
      <w:r w:rsidRPr="00240EFC">
        <w:t xml:space="preserve">Publisher Address: </w:t>
      </w:r>
    </w:p>
    <w:p w:rsidR="00F73486" w:rsidRPr="00240EFC" w:rsidRDefault="00F73486" w:rsidP="00F73486">
      <w:pPr>
        <w:pStyle w:val="12"/>
      </w:pPr>
      <w:r w:rsidRPr="00240EFC">
        <w:t xml:space="preserve">Subject Categories: </w:t>
      </w:r>
    </w:p>
    <w:p w:rsidR="00F73486" w:rsidRPr="00240EFC" w:rsidRDefault="00F73486" w:rsidP="00F73486">
      <w:pPr>
        <w:pStyle w:val="12"/>
      </w:pPr>
      <w:r w:rsidRPr="00240EFC">
        <w:t>: Impact Factor</w:t>
      </w:r>
    </w:p>
    <w:p w:rsidR="00F73486" w:rsidRDefault="00F73486" w:rsidP="00F73486">
      <w:pPr>
        <w:pStyle w:val="a3"/>
        <w:rPr>
          <w:kern w:val="0"/>
        </w:rPr>
      </w:pPr>
      <w:r>
        <w:rPr>
          <w:rFonts w:hint="eastAsia"/>
          <w:kern w:val="0"/>
        </w:rPr>
        <w:t xml:space="preserve">? </w:t>
      </w:r>
      <w:r>
        <w:rPr>
          <w:kern w:val="0"/>
        </w:rPr>
        <w:t>Kostoff, R.N. (2010</w:t>
      </w:r>
      <w:r w:rsidR="00F42EAC">
        <w:rPr>
          <w:kern w:val="0"/>
        </w:rPr>
        <w:t>), The</w:t>
      </w:r>
      <w:r w:rsidR="003A1917">
        <w:rPr>
          <w:kern w:val="0"/>
        </w:rPr>
        <w:t xml:space="preserve"> </w:t>
      </w:r>
      <w:r>
        <w:rPr>
          <w:kern w:val="0"/>
        </w:rPr>
        <w:t xml:space="preserve">highly cited SARS research literature. </w:t>
      </w:r>
      <w:r w:rsidRPr="007017EA">
        <w:rPr>
          <w:i/>
          <w:iCs/>
          <w:kern w:val="0"/>
        </w:rPr>
        <w:t>Critical Reviews in Microbiology</w:t>
      </w:r>
      <w:r>
        <w:rPr>
          <w:kern w:val="0"/>
        </w:rPr>
        <w:t xml:space="preserve">, </w:t>
      </w:r>
      <w:r>
        <w:rPr>
          <w:b/>
          <w:bCs/>
          <w:kern w:val="0"/>
        </w:rPr>
        <w:t>36</w:t>
      </w:r>
      <w:r>
        <w:rPr>
          <w:kern w:val="0"/>
        </w:rPr>
        <w:t xml:space="preserve"> (4), 299-317.</w:t>
      </w:r>
    </w:p>
    <w:p w:rsidR="00F73486" w:rsidRDefault="00F73486" w:rsidP="00F73486">
      <w:pPr>
        <w:pStyle w:val="a3"/>
        <w:rPr>
          <w:kern w:val="0"/>
        </w:rPr>
      </w:pPr>
      <w:r>
        <w:rPr>
          <w:rFonts w:hint="eastAsia"/>
          <w:kern w:val="0"/>
        </w:rPr>
        <w:t xml:space="preserve">Full Text: </w:t>
      </w:r>
      <w:hyperlink r:id="rId1074" w:history="1">
        <w:r w:rsidRPr="0054558C">
          <w:rPr>
            <w:rStyle w:val="a5"/>
            <w:kern w:val="0"/>
          </w:rPr>
          <w:t>2010\Cri Rev Mic36, 299.pdf</w:t>
        </w:r>
      </w:hyperlink>
    </w:p>
    <w:p w:rsidR="00F73486" w:rsidRDefault="00F73486" w:rsidP="00F73486">
      <w:pPr>
        <w:pStyle w:val="a3"/>
        <w:rPr>
          <w:kern w:val="0"/>
        </w:rPr>
      </w:pPr>
      <w:r>
        <w:rPr>
          <w:kern w:val="0"/>
        </w:rPr>
        <w:t>Abstract: A chronically weak area in research papers, reports,</w:t>
      </w:r>
      <w:r w:rsidR="005853A9">
        <w:rPr>
          <w:kern w:val="0"/>
        </w:rPr>
        <w:t xml:space="preserve"> and </w:t>
      </w:r>
      <w:r>
        <w:rPr>
          <w:kern w:val="0"/>
        </w:rPr>
        <w:t>reviews is</w:t>
      </w:r>
      <w:r w:rsidR="003A1917">
        <w:rPr>
          <w:kern w:val="0"/>
        </w:rPr>
        <w:t xml:space="preserve"> the </w:t>
      </w:r>
      <w:r>
        <w:rPr>
          <w:kern w:val="0"/>
        </w:rPr>
        <w:t>complete identification</w:t>
      </w:r>
      <w:r w:rsidR="00427468">
        <w:rPr>
          <w:kern w:val="0"/>
        </w:rPr>
        <w:t xml:space="preserve"> of </w:t>
      </w:r>
      <w:r>
        <w:rPr>
          <w:kern w:val="0"/>
        </w:rPr>
        <w:t>important background reference documents that formed</w:t>
      </w:r>
      <w:r w:rsidR="003A1917">
        <w:rPr>
          <w:kern w:val="0"/>
        </w:rPr>
        <w:t xml:space="preserve"> the </w:t>
      </w:r>
      <w:r>
        <w:rPr>
          <w:kern w:val="0"/>
        </w:rPr>
        <w:t>building blocks for</w:t>
      </w:r>
      <w:r w:rsidR="003A1917">
        <w:rPr>
          <w:kern w:val="0"/>
        </w:rPr>
        <w:t xml:space="preserve"> the </w:t>
      </w:r>
      <w:r>
        <w:rPr>
          <w:kern w:val="0"/>
        </w:rPr>
        <w:t>research. A method for systematically determining these important references is presented. Citation-Assisted Background (CAB) is based on</w:t>
      </w:r>
      <w:r w:rsidR="003A1917">
        <w:rPr>
          <w:kern w:val="0"/>
        </w:rPr>
        <w:t xml:space="preserve"> the </w:t>
      </w:r>
      <w:r>
        <w:rPr>
          <w:kern w:val="0"/>
        </w:rPr>
        <w:t>assumption that important documents tend to be highly cited. Application</w:t>
      </w:r>
      <w:r w:rsidR="00427468">
        <w:rPr>
          <w:kern w:val="0"/>
        </w:rPr>
        <w:t xml:space="preserve"> of </w:t>
      </w:r>
      <w:r>
        <w:rPr>
          <w:kern w:val="0"/>
        </w:rPr>
        <w:t>CAB to</w:t>
      </w:r>
      <w:r w:rsidR="003A1917">
        <w:rPr>
          <w:kern w:val="0"/>
        </w:rPr>
        <w:t xml:space="preserve"> the </w:t>
      </w:r>
      <w:r>
        <w:rPr>
          <w:kern w:val="0"/>
        </w:rPr>
        <w:t>field</w:t>
      </w:r>
      <w:r w:rsidR="00427468">
        <w:rPr>
          <w:kern w:val="0"/>
        </w:rPr>
        <w:t xml:space="preserve"> of </w:t>
      </w:r>
      <w:r>
        <w:rPr>
          <w:kern w:val="0"/>
        </w:rPr>
        <w:t>Severe Acute Respiratory Syndrome (SARS) research is presented. While CAB is a highly systematic approach for identifying highly cited references, it is not a substitute for</w:t>
      </w:r>
      <w:r w:rsidR="003A1917">
        <w:rPr>
          <w:kern w:val="0"/>
        </w:rPr>
        <w:t xml:space="preserve"> the </w:t>
      </w:r>
      <w:r>
        <w:rPr>
          <w:kern w:val="0"/>
        </w:rPr>
        <w:t>judgment</w:t>
      </w:r>
      <w:r w:rsidR="00427468">
        <w:rPr>
          <w:kern w:val="0"/>
        </w:rPr>
        <w:t xml:space="preserve"> of </w:t>
      </w:r>
      <w:r w:rsidR="003A1917">
        <w:rPr>
          <w:kern w:val="0"/>
        </w:rPr>
        <w:t xml:space="preserve">the </w:t>
      </w:r>
      <w:r>
        <w:rPr>
          <w:kern w:val="0"/>
        </w:rPr>
        <w:t>researchers,</w:t>
      </w:r>
      <w:r w:rsidR="005853A9">
        <w:rPr>
          <w:kern w:val="0"/>
        </w:rPr>
        <w:t xml:space="preserve"> and </w:t>
      </w:r>
      <w:r>
        <w:rPr>
          <w:kern w:val="0"/>
        </w:rPr>
        <w:t>serves as a supplement.</w:t>
      </w:r>
    </w:p>
    <w:p w:rsidR="00F73486" w:rsidRDefault="00F73486" w:rsidP="00F73486">
      <w:pPr>
        <w:pStyle w:val="a3"/>
        <w:rPr>
          <w:kern w:val="0"/>
        </w:rPr>
      </w:pPr>
      <w:r>
        <w:rPr>
          <w:kern w:val="0"/>
        </w:rPr>
        <w:t>Keywords: Acute Respiratory Syndrome, Angiotensin-Converting Enzyme-2, Coronavirus Spike Protein, Feline Infectious Peritonitis, Genome Sequence, Hong-Kong, Host Gene-Expression, Literature, Mouse Hepatitis-Virus, Murine Coronavirus, Papers, Recombinant Vaccinia Virus, Research</w:t>
      </w:r>
    </w:p>
    <w:p w:rsidR="001579B9" w:rsidRPr="00C73C58" w:rsidRDefault="001579B9" w:rsidP="001579B9">
      <w:pPr>
        <w:pStyle w:val="1"/>
      </w:pPr>
      <w:r w:rsidRPr="00C73C58">
        <w:br w:type="page"/>
      </w:r>
      <w:bookmarkStart w:id="432" w:name="_Toc420815135"/>
      <w:r w:rsidRPr="00C73C58">
        <w:lastRenderedPageBreak/>
        <w:t>Title: Critical Reviews in Oncology Hematology</w:t>
      </w:r>
      <w:bookmarkEnd w:id="432"/>
    </w:p>
    <w:p w:rsidR="001579B9" w:rsidRPr="00C73C58" w:rsidRDefault="001579B9" w:rsidP="001579B9">
      <w:pPr>
        <w:pStyle w:val="12"/>
      </w:pPr>
      <w:r w:rsidRPr="00C73C58">
        <w:t xml:space="preserve">Full Journal Title: </w:t>
      </w:r>
      <w:r w:rsidR="00DF61FE">
        <w:fldChar w:fldCharType="begin"/>
      </w:r>
      <w:r w:rsidR="00FD158B">
        <w:instrText xml:space="preserve">HYPERLINK </w:instrText>
      </w:r>
      <w:bookmarkStart w:id="433" w:name="_Toc302845792"/>
      <w:r w:rsidR="00FD158B">
        <w:instrText>"http://www.sciencedirect.com/science?_ob=Jour</w:instrText>
      </w:r>
      <w:bookmarkEnd w:id="433"/>
      <w:r w:rsidR="00FD158B">
        <w:instrText>nalURL&amp;_cdi=5010&amp;_auth=y&amp;_acct=C000011279&amp;_version=1&amp;_urlVersion=0&amp;_userid=1134284&amp;md5=4c9ae5aad196ac934e90f74beb7ae9af"</w:instrText>
      </w:r>
      <w:r w:rsidR="00DF61FE">
        <w:fldChar w:fldCharType="separate"/>
      </w:r>
      <w:r w:rsidRPr="00C73C58">
        <w:rPr>
          <w:rStyle w:val="a5"/>
        </w:rPr>
        <w:t>Critical Reviews in Oncology Hematology</w:t>
      </w:r>
      <w:r w:rsidR="00DF61FE">
        <w:fldChar w:fldCharType="end"/>
      </w:r>
    </w:p>
    <w:p w:rsidR="001579B9" w:rsidRPr="00C73C58" w:rsidRDefault="001579B9" w:rsidP="001579B9">
      <w:pPr>
        <w:pStyle w:val="12"/>
      </w:pPr>
      <w:r w:rsidRPr="00C73C58">
        <w:t>ISO Abbreviated Title:</w:t>
      </w:r>
    </w:p>
    <w:p w:rsidR="001579B9" w:rsidRPr="00C73C58" w:rsidRDefault="001579B9" w:rsidP="001579B9">
      <w:pPr>
        <w:pStyle w:val="12"/>
      </w:pPr>
      <w:r w:rsidRPr="00C73C58">
        <w:t xml:space="preserve">JCR Abbreviated Title: </w:t>
      </w:r>
    </w:p>
    <w:p w:rsidR="001579B9" w:rsidRPr="00C73C58" w:rsidRDefault="001579B9" w:rsidP="001579B9">
      <w:pPr>
        <w:pStyle w:val="12"/>
      </w:pPr>
      <w:r w:rsidRPr="00C73C58">
        <w:t>ISSN: 1040-8428</w:t>
      </w:r>
    </w:p>
    <w:p w:rsidR="001579B9" w:rsidRPr="00C73C58" w:rsidRDefault="001579B9" w:rsidP="001579B9">
      <w:pPr>
        <w:pStyle w:val="12"/>
      </w:pPr>
      <w:r w:rsidRPr="00C73C58">
        <w:t xml:space="preserve">Issues/Year: </w:t>
      </w:r>
    </w:p>
    <w:p w:rsidR="001579B9" w:rsidRPr="00C73C58" w:rsidRDefault="001579B9" w:rsidP="001579B9">
      <w:pPr>
        <w:pStyle w:val="12"/>
      </w:pPr>
      <w:r w:rsidRPr="00C73C58">
        <w:t xml:space="preserve">Journal Country/Territory: </w:t>
      </w:r>
    </w:p>
    <w:p w:rsidR="001579B9" w:rsidRPr="00C73C58" w:rsidRDefault="001579B9" w:rsidP="001579B9">
      <w:pPr>
        <w:pStyle w:val="12"/>
      </w:pPr>
      <w:r w:rsidRPr="00C73C58">
        <w:t xml:space="preserve">Language: </w:t>
      </w:r>
    </w:p>
    <w:p w:rsidR="001579B9" w:rsidRPr="00C73C58" w:rsidRDefault="001579B9" w:rsidP="001579B9">
      <w:pPr>
        <w:pStyle w:val="12"/>
      </w:pPr>
      <w:r w:rsidRPr="00C73C58">
        <w:t xml:space="preserve">Publisher: </w:t>
      </w:r>
    </w:p>
    <w:p w:rsidR="001579B9" w:rsidRPr="00C73C58" w:rsidRDefault="001579B9" w:rsidP="001579B9">
      <w:pPr>
        <w:pStyle w:val="12"/>
      </w:pPr>
      <w:r w:rsidRPr="00C73C58">
        <w:t>Publisher Address:</w:t>
      </w:r>
    </w:p>
    <w:p w:rsidR="001579B9" w:rsidRPr="00C73C58" w:rsidRDefault="001579B9" w:rsidP="001579B9">
      <w:pPr>
        <w:pStyle w:val="12"/>
      </w:pPr>
      <w:r w:rsidRPr="00C73C58">
        <w:t xml:space="preserve">Subject Categories: </w:t>
      </w:r>
    </w:p>
    <w:p w:rsidR="001579B9" w:rsidRPr="00C73C58" w:rsidRDefault="001579B9" w:rsidP="001579B9">
      <w:pPr>
        <w:pStyle w:val="12"/>
      </w:pPr>
      <w:r w:rsidRPr="00C73C58">
        <w:t xml:space="preserve">: Impact Factor </w:t>
      </w:r>
    </w:p>
    <w:p w:rsidR="001579B9" w:rsidRDefault="001579B9" w:rsidP="001579B9">
      <w:pPr>
        <w:pStyle w:val="a3"/>
        <w:rPr>
          <w:kern w:val="0"/>
        </w:rPr>
      </w:pPr>
      <w:r>
        <w:rPr>
          <w:rFonts w:hint="eastAsia"/>
          <w:kern w:val="0"/>
        </w:rPr>
        <w:t xml:space="preserve">? </w:t>
      </w:r>
      <w:r>
        <w:rPr>
          <w:kern w:val="0"/>
        </w:rPr>
        <w:t>Borry, P., Stultiens, L., Nys, H.</w:t>
      </w:r>
      <w:r w:rsidR="005853A9">
        <w:rPr>
          <w:kern w:val="0"/>
        </w:rPr>
        <w:t xml:space="preserve"> and </w:t>
      </w:r>
      <w:r>
        <w:rPr>
          <w:kern w:val="0"/>
        </w:rPr>
        <w:t xml:space="preserve">Dierickx, K. (2007), Attitudes towards predictive genetic testing in minors for familial breast cancer: A systematic review. </w:t>
      </w:r>
      <w:r>
        <w:rPr>
          <w:i/>
          <w:iCs/>
          <w:kern w:val="0"/>
        </w:rPr>
        <w:t>Critical Reviews in Oncology Hematology</w:t>
      </w:r>
      <w:r>
        <w:rPr>
          <w:kern w:val="0"/>
        </w:rPr>
        <w:t xml:space="preserve">, </w:t>
      </w:r>
      <w:r>
        <w:rPr>
          <w:b/>
          <w:bCs/>
          <w:kern w:val="0"/>
        </w:rPr>
        <w:t>64</w:t>
      </w:r>
      <w:r>
        <w:rPr>
          <w:kern w:val="0"/>
        </w:rPr>
        <w:t xml:space="preserve"> (3), 173-181.</w:t>
      </w:r>
    </w:p>
    <w:p w:rsidR="001579B9" w:rsidRPr="00C73C58" w:rsidRDefault="001579B9" w:rsidP="001579B9">
      <w:pPr>
        <w:pStyle w:val="a3"/>
      </w:pPr>
      <w:r w:rsidRPr="00C73C58">
        <w:t xml:space="preserve">Full Text: </w:t>
      </w:r>
      <w:hyperlink r:id="rId1075" w:history="1">
        <w:r w:rsidR="00992D07" w:rsidRPr="00992D07">
          <w:rPr>
            <w:rStyle w:val="a5"/>
          </w:rPr>
          <w:t>2007\Cri Rev On Hem64, 173.pdf</w:t>
        </w:r>
      </w:hyperlink>
    </w:p>
    <w:p w:rsidR="001579B9" w:rsidRDefault="001579B9" w:rsidP="001579B9">
      <w:pPr>
        <w:pStyle w:val="a3"/>
        <w:rPr>
          <w:kern w:val="0"/>
        </w:rPr>
      </w:pPr>
      <w:r>
        <w:rPr>
          <w:kern w:val="0"/>
        </w:rPr>
        <w:t>Abstract: Objectives:</w:t>
      </w:r>
      <w:r w:rsidR="003A1917">
        <w:rPr>
          <w:kern w:val="0"/>
        </w:rPr>
        <w:t xml:space="preserve"> the </w:t>
      </w:r>
      <w:r>
        <w:rPr>
          <w:kern w:val="0"/>
        </w:rPr>
        <w:t>objective</w:t>
      </w:r>
      <w:r w:rsidR="00427468">
        <w:rPr>
          <w:kern w:val="0"/>
        </w:rPr>
        <w:t xml:space="preserve"> of </w:t>
      </w:r>
      <w:r>
        <w:rPr>
          <w:kern w:val="0"/>
        </w:rPr>
        <w:t>this article is to review</w:t>
      </w:r>
      <w:r w:rsidR="003A1917">
        <w:rPr>
          <w:kern w:val="0"/>
        </w:rPr>
        <w:t xml:space="preserve"> the </w:t>
      </w:r>
      <w:r>
        <w:rPr>
          <w:kern w:val="0"/>
        </w:rPr>
        <w:t>attitudes</w:t>
      </w:r>
      <w:r w:rsidR="00427468">
        <w:rPr>
          <w:kern w:val="0"/>
        </w:rPr>
        <w:t xml:space="preserve"> of </w:t>
      </w:r>
      <w:r>
        <w:rPr>
          <w:kern w:val="0"/>
        </w:rPr>
        <w:t>different stakeholders (minors, parents, healthcare professionals,</w:t>
      </w:r>
      <w:r w:rsidR="005853A9">
        <w:rPr>
          <w:kern w:val="0"/>
        </w:rPr>
        <w:t xml:space="preserve"> and </w:t>
      </w:r>
      <w:r>
        <w:rPr>
          <w:kern w:val="0"/>
        </w:rPr>
        <w:t>relatives</w:t>
      </w:r>
      <w:r w:rsidR="00427468">
        <w:rPr>
          <w:kern w:val="0"/>
        </w:rPr>
        <w:t xml:space="preserve"> of </w:t>
      </w:r>
      <w:r>
        <w:rPr>
          <w:kern w:val="0"/>
        </w:rPr>
        <w:t>affected individuals) towards predictive genetic testing</w:t>
      </w:r>
      <w:r w:rsidR="00427468">
        <w:rPr>
          <w:kern w:val="0"/>
        </w:rPr>
        <w:t xml:space="preserve"> of </w:t>
      </w:r>
      <w:r>
        <w:rPr>
          <w:kern w:val="0"/>
        </w:rPr>
        <w:t>minors for familial breast cancer. Design:</w:t>
      </w:r>
      <w:r w:rsidR="003A1917">
        <w:rPr>
          <w:kern w:val="0"/>
        </w:rPr>
        <w:t xml:space="preserve"> the </w:t>
      </w:r>
      <w:r>
        <w:rPr>
          <w:kern w:val="0"/>
        </w:rPr>
        <w:t xml:space="preserve">databases PUBMED, Google Scholar, Psychinfo, Biological Abstracts, Francis, Anthropological Index online,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Sociological Abstracts were searched using relevant key words; literature indexed up to May 2006 was considered. Studies were included if they were published in a peer-reviewed journal written in English</w:t>
      </w:r>
      <w:r w:rsidR="005853A9">
        <w:rPr>
          <w:kern w:val="0"/>
        </w:rPr>
        <w:t xml:space="preserve"> and </w:t>
      </w:r>
      <w:r>
        <w:rPr>
          <w:kern w:val="0"/>
        </w:rPr>
        <w:t>if they described</w:t>
      </w:r>
      <w:r w:rsidR="003A1917">
        <w:rPr>
          <w:kern w:val="0"/>
        </w:rPr>
        <w:t xml:space="preserve"> the </w:t>
      </w:r>
      <w:r>
        <w:rPr>
          <w:kern w:val="0"/>
        </w:rPr>
        <w:t>attitudes</w:t>
      </w:r>
      <w:r w:rsidR="00427468">
        <w:rPr>
          <w:kern w:val="0"/>
        </w:rPr>
        <w:t xml:space="preserve"> of </w:t>
      </w:r>
      <w:r w:rsidR="003A1917">
        <w:rPr>
          <w:kern w:val="0"/>
        </w:rPr>
        <w:t xml:space="preserve">the </w:t>
      </w:r>
      <w:r>
        <w:rPr>
          <w:kern w:val="0"/>
        </w:rPr>
        <w:t>different stakeholders towards predictive genetic testing</w:t>
      </w:r>
      <w:r w:rsidR="00427468">
        <w:rPr>
          <w:kern w:val="0"/>
        </w:rPr>
        <w:t xml:space="preserve"> of </w:t>
      </w:r>
      <w:r>
        <w:rPr>
          <w:kern w:val="0"/>
        </w:rPr>
        <w:t>minors for familial breast cancer</w:t>
      </w:r>
      <w:r w:rsidR="00A37C1D">
        <w:rPr>
          <w:kern w:val="0"/>
        </w:rPr>
        <w:t>. The</w:t>
      </w:r>
      <w:r w:rsidR="003A1917">
        <w:rPr>
          <w:kern w:val="0"/>
        </w:rPr>
        <w:t xml:space="preserve"> </w:t>
      </w:r>
      <w:r>
        <w:rPr>
          <w:kern w:val="0"/>
        </w:rPr>
        <w:t>results are presented in a summary form. Results: A total</w:t>
      </w:r>
      <w:r w:rsidR="00427468">
        <w:rPr>
          <w:kern w:val="0"/>
        </w:rPr>
        <w:t xml:space="preserve"> of </w:t>
      </w:r>
      <w:r>
        <w:rPr>
          <w:kern w:val="0"/>
        </w:rPr>
        <w:t>14 studies were included</w:t>
      </w:r>
      <w:r w:rsidR="00A37C1D">
        <w:rPr>
          <w:kern w:val="0"/>
        </w:rPr>
        <w:t>. The</w:t>
      </w:r>
      <w:r w:rsidR="003A1917">
        <w:rPr>
          <w:kern w:val="0"/>
        </w:rPr>
        <w:t xml:space="preserve"> </w:t>
      </w:r>
      <w:r>
        <w:rPr>
          <w:kern w:val="0"/>
        </w:rPr>
        <w:t>studies were very heterogeneous, using a variety</w:t>
      </w:r>
      <w:r w:rsidR="00427468">
        <w:rPr>
          <w:kern w:val="0"/>
        </w:rPr>
        <w:t xml:space="preserve"> of </w:t>
      </w:r>
      <w:r>
        <w:rPr>
          <w:kern w:val="0"/>
        </w:rPr>
        <w:t>study populations, study designs, sample sizes,</w:t>
      </w:r>
      <w:r w:rsidR="005853A9">
        <w:rPr>
          <w:kern w:val="0"/>
        </w:rPr>
        <w:t xml:space="preserve"> and </w:t>
      </w:r>
      <w:r>
        <w:rPr>
          <w:kern w:val="0"/>
        </w:rPr>
        <w:t>study measures. Substantial proportions</w:t>
      </w:r>
      <w:r w:rsidR="00427468">
        <w:rPr>
          <w:kern w:val="0"/>
        </w:rPr>
        <w:t xml:space="preserve"> of </w:t>
      </w:r>
      <w:r>
        <w:rPr>
          <w:kern w:val="0"/>
        </w:rPr>
        <w:t>adolescents were interested in learning whether they were at risk for familial breast cancer</w:t>
      </w:r>
      <w:r w:rsidR="00A37C1D">
        <w:rPr>
          <w:kern w:val="0"/>
        </w:rPr>
        <w:t>. The</w:t>
      </w:r>
      <w:r w:rsidR="003A1917">
        <w:rPr>
          <w:kern w:val="0"/>
        </w:rPr>
        <w:t xml:space="preserve"> </w:t>
      </w:r>
      <w:r>
        <w:rPr>
          <w:kern w:val="0"/>
        </w:rPr>
        <w:t>attitudes</w:t>
      </w:r>
      <w:r w:rsidR="00427468">
        <w:rPr>
          <w:kern w:val="0"/>
        </w:rPr>
        <w:t xml:space="preserve"> of </w:t>
      </w:r>
      <w:r>
        <w:rPr>
          <w:kern w:val="0"/>
        </w:rPr>
        <w:t>healthcare professionals about testing minors diverged. Conclusion: Our review has made clear that many respondents fail to understand potential risks related to predictive genetic testing in minors. Respondents might have overly positive expectations about possibilities for genetic testing. This emphasizes</w:t>
      </w:r>
      <w:r w:rsidR="003A1917">
        <w:rPr>
          <w:kern w:val="0"/>
        </w:rPr>
        <w:t xml:space="preserve"> the </w:t>
      </w:r>
      <w:r>
        <w:rPr>
          <w:kern w:val="0"/>
        </w:rPr>
        <w:t>need for genetic education</w:t>
      </w:r>
      <w:r w:rsidR="005853A9">
        <w:rPr>
          <w:kern w:val="0"/>
        </w:rPr>
        <w:t xml:space="preserve"> and </w:t>
      </w:r>
      <w:r>
        <w:rPr>
          <w:kern w:val="0"/>
        </w:rPr>
        <w:t>counselling about genetic testing in minors. (C) 2007 Elsevier Ireland Ltd. All rights reserved.</w:t>
      </w:r>
    </w:p>
    <w:p w:rsidR="001579B9" w:rsidRDefault="001579B9" w:rsidP="001579B9">
      <w:pPr>
        <w:pStyle w:val="a3"/>
        <w:rPr>
          <w:kern w:val="0"/>
        </w:rPr>
      </w:pPr>
      <w:r>
        <w:rPr>
          <w:kern w:val="0"/>
        </w:rPr>
        <w:t xml:space="preserve">Keywords: Adolescents, Attitudes, Breast Cancer, Cancer, Children, Confidentiality, Databases, Decision-Making, Education, Expectations, Experiences, Genetic, </w:t>
      </w:r>
      <w:r>
        <w:rPr>
          <w:kern w:val="0"/>
        </w:rPr>
        <w:lastRenderedPageBreak/>
        <w:t xml:space="preserve">Genetic Testing, Google Scholar, Healthcare Professionals, Journal, Learning, Literature, Medical-Students, Minors, Oncology, Ovarian-Cancer, Parents, Predictive Genetic Testing, Pubmed, Review, Review no Competing Interests, Risk, Science, Susceptibility, Systematic, Systematic Review, </w:t>
      </w:r>
      <w:r w:rsidR="00D5664A">
        <w:rPr>
          <w:kern w:val="0"/>
        </w:rPr>
        <w:t>Web</w:t>
      </w:r>
      <w:r w:rsidR="00427468">
        <w:rPr>
          <w:kern w:val="0"/>
        </w:rPr>
        <w:t xml:space="preserve"> of </w:t>
      </w:r>
      <w:r w:rsidR="00D5664A">
        <w:rPr>
          <w:kern w:val="0"/>
        </w:rPr>
        <w:t>Science</w:t>
      </w:r>
    </w:p>
    <w:p w:rsidR="00992D07" w:rsidRDefault="00992D07" w:rsidP="00992D07">
      <w:pPr>
        <w:pStyle w:val="a3"/>
        <w:rPr>
          <w:kern w:val="0"/>
          <w:szCs w:val="24"/>
        </w:rPr>
      </w:pPr>
      <w:r>
        <w:rPr>
          <w:rFonts w:hint="eastAsia"/>
          <w:kern w:val="0"/>
          <w:szCs w:val="24"/>
        </w:rPr>
        <w:t>? Grunhagen, D., Jones, R.P., Treasure, T., Vasilakis, C.</w:t>
      </w:r>
      <w:r w:rsidR="005853A9">
        <w:rPr>
          <w:rFonts w:hint="eastAsia"/>
          <w:kern w:val="0"/>
          <w:szCs w:val="24"/>
        </w:rPr>
        <w:t xml:space="preserve"> and </w:t>
      </w:r>
      <w:r>
        <w:rPr>
          <w:rFonts w:hint="eastAsia"/>
          <w:kern w:val="0"/>
          <w:szCs w:val="24"/>
        </w:rPr>
        <w:t>Poston, G.J. (2013), The history</w:t>
      </w:r>
      <w:r w:rsidR="00427468">
        <w:rPr>
          <w:rFonts w:hint="eastAsia"/>
          <w:kern w:val="0"/>
          <w:szCs w:val="24"/>
        </w:rPr>
        <w:t xml:space="preserve"> of </w:t>
      </w:r>
      <w:r>
        <w:rPr>
          <w:rFonts w:hint="eastAsia"/>
          <w:kern w:val="0"/>
          <w:szCs w:val="24"/>
        </w:rPr>
        <w:t>adoption</w:t>
      </w:r>
      <w:r w:rsidR="00427468">
        <w:rPr>
          <w:rFonts w:hint="eastAsia"/>
          <w:kern w:val="0"/>
          <w:szCs w:val="24"/>
        </w:rPr>
        <w:t xml:space="preserve"> of </w:t>
      </w:r>
      <w:r>
        <w:rPr>
          <w:rFonts w:hint="eastAsia"/>
          <w:kern w:val="0"/>
          <w:szCs w:val="24"/>
        </w:rPr>
        <w:t xml:space="preserve">hepatic resection for metastatic colorectal cancer: 1984-95. </w:t>
      </w:r>
      <w:r>
        <w:rPr>
          <w:rFonts w:hint="eastAsia"/>
          <w:i/>
          <w:iCs/>
          <w:kern w:val="0"/>
          <w:szCs w:val="24"/>
        </w:rPr>
        <w:t>Critical Reviews in Oncology Hematology</w:t>
      </w:r>
      <w:r>
        <w:rPr>
          <w:rFonts w:hint="eastAsia"/>
          <w:kern w:val="0"/>
          <w:szCs w:val="24"/>
        </w:rPr>
        <w:t xml:space="preserve">, </w:t>
      </w:r>
      <w:r>
        <w:rPr>
          <w:rFonts w:hint="eastAsia"/>
          <w:b/>
          <w:bCs/>
          <w:kern w:val="0"/>
          <w:szCs w:val="24"/>
        </w:rPr>
        <w:t>86</w:t>
      </w:r>
      <w:r>
        <w:rPr>
          <w:rFonts w:hint="eastAsia"/>
          <w:kern w:val="0"/>
          <w:szCs w:val="24"/>
        </w:rPr>
        <w:t xml:space="preserve"> (3), 222-231.</w:t>
      </w:r>
    </w:p>
    <w:p w:rsidR="00992D07" w:rsidRDefault="00992D07" w:rsidP="00992D07">
      <w:pPr>
        <w:pStyle w:val="a3"/>
      </w:pPr>
      <w:r>
        <w:rPr>
          <w:rFonts w:hint="eastAsia"/>
        </w:rPr>
        <w:t xml:space="preserve">Full Text: </w:t>
      </w:r>
      <w:hyperlink r:id="rId1076" w:history="1">
        <w:r w:rsidRPr="00992D07">
          <w:rPr>
            <w:rStyle w:val="a5"/>
          </w:rPr>
          <w:t>2013\Cri Rev On Hem86, 222.pdf</w:t>
        </w:r>
      </w:hyperlink>
    </w:p>
    <w:p w:rsidR="00992D07" w:rsidRDefault="00992D07" w:rsidP="00992D07">
      <w:pPr>
        <w:pStyle w:val="a3"/>
        <w:rPr>
          <w:kern w:val="0"/>
          <w:szCs w:val="24"/>
        </w:rPr>
      </w:pPr>
      <w:r>
        <w:rPr>
          <w:rFonts w:hint="eastAsia"/>
          <w:kern w:val="0"/>
          <w:szCs w:val="24"/>
        </w:rPr>
        <w:t>Abstract: Background: Liver resection for metastatic colorectal cancer became established without randomized trials. Proponents</w:t>
      </w:r>
      <w:r w:rsidR="00427468">
        <w:rPr>
          <w:rFonts w:hint="eastAsia"/>
          <w:kern w:val="0"/>
          <w:szCs w:val="24"/>
        </w:rPr>
        <w:t xml:space="preserve"> of </w:t>
      </w:r>
      <w:r>
        <w:rPr>
          <w:rFonts w:hint="eastAsia"/>
          <w:kern w:val="0"/>
          <w:szCs w:val="24"/>
        </w:rPr>
        <w:t>surgical resection point out 5-year survival approaching 50% whilst critics question how much</w:t>
      </w:r>
      <w:r w:rsidR="00427468">
        <w:rPr>
          <w:rFonts w:hint="eastAsia"/>
          <w:kern w:val="0"/>
          <w:szCs w:val="24"/>
        </w:rPr>
        <w:t xml:space="preserve"> of </w:t>
      </w:r>
      <w:r>
        <w:rPr>
          <w:rFonts w:hint="eastAsia"/>
          <w:kern w:val="0"/>
          <w:szCs w:val="24"/>
        </w:rPr>
        <w:t>the apparent effect is due to patient selection. Method: A 2006 systematic review</w:t>
      </w:r>
      <w:r w:rsidR="00427468">
        <w:rPr>
          <w:rFonts w:hint="eastAsia"/>
          <w:kern w:val="0"/>
          <w:szCs w:val="24"/>
        </w:rPr>
        <w:t xml:space="preserve"> of </w:t>
      </w:r>
      <w:r>
        <w:rPr>
          <w:rFonts w:hint="eastAsia"/>
          <w:kern w:val="0"/>
          <w:szCs w:val="24"/>
        </w:rPr>
        <w:t>reported outcomes provided the starting point for citation analysis followed by thematic analysis</w:t>
      </w:r>
      <w:r w:rsidR="00427468">
        <w:rPr>
          <w:rFonts w:hint="eastAsia"/>
          <w:kern w:val="0"/>
          <w:szCs w:val="24"/>
        </w:rPr>
        <w:t xml:space="preserve"> of </w:t>
      </w:r>
      <w:r>
        <w:rPr>
          <w:rFonts w:hint="eastAsia"/>
          <w:kern w:val="0"/>
          <w:szCs w:val="24"/>
        </w:rPr>
        <w:t>the texts</w:t>
      </w:r>
      <w:r w:rsidR="00427468">
        <w:rPr>
          <w:rFonts w:hint="eastAsia"/>
          <w:kern w:val="0"/>
          <w:szCs w:val="24"/>
        </w:rPr>
        <w:t xml:space="preserve"> of </w:t>
      </w:r>
      <w:r>
        <w:rPr>
          <w:rFonts w:hint="eastAsia"/>
          <w:kern w:val="0"/>
          <w:szCs w:val="24"/>
        </w:rPr>
        <w:t>the most cited papers. Results: 54 reports from 1988 to 2002 cited 709 unique publications a total</w:t>
      </w:r>
      <w:r w:rsidR="00427468">
        <w:rPr>
          <w:rFonts w:hint="eastAsia"/>
          <w:kern w:val="0"/>
          <w:szCs w:val="24"/>
        </w:rPr>
        <w:t xml:space="preserve"> of </w:t>
      </w:r>
      <w:r>
        <w:rPr>
          <w:rFonts w:hint="eastAsia"/>
          <w:kern w:val="0"/>
          <w:szCs w:val="24"/>
        </w:rPr>
        <w:t>1714 times</w:t>
      </w:r>
      <w:r w:rsidR="00A37C1D">
        <w:rPr>
          <w:rFonts w:hint="eastAsia"/>
          <w:kern w:val="0"/>
          <w:szCs w:val="24"/>
        </w:rPr>
        <w:t>. The</w:t>
      </w:r>
      <w:r>
        <w:rPr>
          <w:rFonts w:hint="eastAsia"/>
          <w:kern w:val="0"/>
          <w:szCs w:val="24"/>
        </w:rPr>
        <w:t xml:space="preserve"> 15 most cited papers were explored in detail,</w:t>
      </w:r>
      <w:r w:rsidR="005853A9">
        <w:rPr>
          <w:rFonts w:hint="eastAsia"/>
          <w:kern w:val="0"/>
          <w:szCs w:val="24"/>
        </w:rPr>
        <w:t xml:space="preserve"> and </w:t>
      </w:r>
      <w:r>
        <w:rPr>
          <w:rFonts w:hint="eastAsia"/>
          <w:kern w:val="0"/>
          <w:szCs w:val="24"/>
        </w:rPr>
        <w:t>showed clear examples</w:t>
      </w:r>
      <w:r w:rsidR="00427468">
        <w:rPr>
          <w:rFonts w:hint="eastAsia"/>
          <w:kern w:val="0"/>
          <w:szCs w:val="24"/>
        </w:rPr>
        <w:t xml:space="preserve"> of </w:t>
      </w:r>
      <w:r>
        <w:rPr>
          <w:rFonts w:hint="eastAsia"/>
          <w:kern w:val="0"/>
          <w:szCs w:val="24"/>
        </w:rPr>
        <w:t>duplicate reporting</w:t>
      </w:r>
      <w:r w:rsidR="005853A9">
        <w:rPr>
          <w:rFonts w:hint="eastAsia"/>
          <w:kern w:val="0"/>
          <w:szCs w:val="24"/>
        </w:rPr>
        <w:t xml:space="preserve"> and </w:t>
      </w:r>
      <w:r>
        <w:rPr>
          <w:rFonts w:hint="eastAsia"/>
          <w:kern w:val="0"/>
          <w:szCs w:val="24"/>
        </w:rPr>
        <w:t>overlapping data sets. Textual analysis revealed proposals for a randomized controlled trial, but this was argued to be unethical by others,</w:t>
      </w:r>
      <w:r w:rsidR="005853A9">
        <w:rPr>
          <w:rFonts w:hint="eastAsia"/>
          <w:kern w:val="0"/>
          <w:szCs w:val="24"/>
        </w:rPr>
        <w:t xml:space="preserve"> and </w:t>
      </w:r>
      <w:r>
        <w:rPr>
          <w:rFonts w:hint="eastAsia"/>
          <w:kern w:val="0"/>
          <w:szCs w:val="24"/>
        </w:rPr>
        <w:t>no trial was undertaken. Conclusions: This critical review reveals how the case for this surgery was made,</w:t>
      </w:r>
      <w:r w:rsidR="005853A9">
        <w:rPr>
          <w:rFonts w:hint="eastAsia"/>
          <w:kern w:val="0"/>
          <w:szCs w:val="24"/>
        </w:rPr>
        <w:t xml:space="preserve"> and </w:t>
      </w:r>
      <w:r>
        <w:rPr>
          <w:rFonts w:hint="eastAsia"/>
          <w:kern w:val="0"/>
          <w:szCs w:val="24"/>
        </w:rPr>
        <w:t>examines the arguments that influenced acceptance</w:t>
      </w:r>
      <w:r w:rsidR="005853A9">
        <w:rPr>
          <w:rFonts w:hint="eastAsia"/>
          <w:kern w:val="0"/>
          <w:szCs w:val="24"/>
        </w:rPr>
        <w:t xml:space="preserve"> and </w:t>
      </w:r>
      <w:r>
        <w:rPr>
          <w:rFonts w:hint="eastAsia"/>
          <w:kern w:val="0"/>
          <w:szCs w:val="24"/>
        </w:rPr>
        <w:t>adoption</w:t>
      </w:r>
      <w:r w:rsidR="00427468">
        <w:rPr>
          <w:rFonts w:hint="eastAsia"/>
          <w:kern w:val="0"/>
          <w:szCs w:val="24"/>
        </w:rPr>
        <w:t xml:space="preserve"> of </w:t>
      </w:r>
      <w:r>
        <w:rPr>
          <w:rFonts w:hint="eastAsia"/>
          <w:kern w:val="0"/>
          <w:szCs w:val="24"/>
        </w:rPr>
        <w:t>this surgery. (c) 2012 Elsevier Ireland Ltd. All rights reserved.</w:t>
      </w:r>
    </w:p>
    <w:p w:rsidR="00992D07" w:rsidRDefault="00992D07" w:rsidP="00992D07">
      <w:pPr>
        <w:pStyle w:val="a3"/>
        <w:rPr>
          <w:kern w:val="0"/>
          <w:szCs w:val="24"/>
        </w:rPr>
      </w:pPr>
      <w:r>
        <w:rPr>
          <w:rFonts w:hint="eastAsia"/>
          <w:kern w:val="0"/>
          <w:szCs w:val="24"/>
        </w:rPr>
        <w:t>Keywords: Acceptance, Adoption, Analysis, Cancer, Carcinoma Metastases, Chemotherapy, Citation, Citation Analysis, Colorectal, Colorectal Cancer, Controlled Trial, Data, Determinants, Evidence, History, Ireland, Liver, Liver Metastases, Mesothelioma, Natural-History, Outcomes, Overlapping, Papers, Patient Selection, Publications, Pulmonary Metastasectomy, Randomized, Randomized Controlled Trial, Reporting, Results, Review, Rights, Secondaries, Selection, Surgery, Surgical Resection, Survival, Systematic Review, Textual Analysis, Trial</w:t>
      </w:r>
    </w:p>
    <w:p w:rsidR="00AF6059" w:rsidRDefault="00AF6059" w:rsidP="00AF6059">
      <w:pPr>
        <w:pStyle w:val="a3"/>
        <w:rPr>
          <w:kern w:val="0"/>
        </w:rPr>
      </w:pPr>
      <w:r>
        <w:rPr>
          <w:rFonts w:hint="eastAsia"/>
          <w:kern w:val="0"/>
        </w:rPr>
        <w:t xml:space="preserve">? </w:t>
      </w:r>
      <w:r>
        <w:rPr>
          <w:kern w:val="0"/>
        </w:rPr>
        <w:t>Qi, W.X., Sun, Y.J., Tang, L.N., Shen, Z. and Yao, Y. (2014), Risk</w:t>
      </w:r>
      <w:r w:rsidR="00427468">
        <w:rPr>
          <w:kern w:val="0"/>
        </w:rPr>
        <w:t xml:space="preserve"> of </w:t>
      </w:r>
      <w:r>
        <w:rPr>
          <w:kern w:val="0"/>
        </w:rPr>
        <w:t xml:space="preserve">gastrointestinal perforation in cancer patients treated with vascular endothelial growth factor receptor tyrosine kinase inhibitors: A systematic review and meta-analysis. </w:t>
      </w:r>
      <w:r>
        <w:rPr>
          <w:i/>
          <w:iCs/>
          <w:kern w:val="0"/>
        </w:rPr>
        <w:t>Critical Reviews in Oncology Hematology</w:t>
      </w:r>
      <w:r>
        <w:rPr>
          <w:kern w:val="0"/>
        </w:rPr>
        <w:t xml:space="preserve">, </w:t>
      </w:r>
      <w:r>
        <w:rPr>
          <w:b/>
          <w:bCs/>
          <w:kern w:val="0"/>
        </w:rPr>
        <w:t>89</w:t>
      </w:r>
      <w:r>
        <w:rPr>
          <w:kern w:val="0"/>
        </w:rPr>
        <w:t xml:space="preserve"> (3), 394-403.</w:t>
      </w:r>
    </w:p>
    <w:p w:rsidR="00AF6059" w:rsidRDefault="00AF6059" w:rsidP="00AF6059">
      <w:pPr>
        <w:pStyle w:val="a3"/>
      </w:pPr>
      <w:r>
        <w:rPr>
          <w:rFonts w:hint="eastAsia"/>
        </w:rPr>
        <w:t xml:space="preserve">Full Text: </w:t>
      </w:r>
      <w:hyperlink r:id="rId1077" w:history="1">
        <w:r w:rsidRPr="009A29F5">
          <w:rPr>
            <w:rStyle w:val="a5"/>
          </w:rPr>
          <w:t>2014\Cri Rev On Hem89, 394.pdf</w:t>
        </w:r>
      </w:hyperlink>
    </w:p>
    <w:p w:rsidR="00AF6059" w:rsidRDefault="00AF6059" w:rsidP="00AF6059">
      <w:pPr>
        <w:pStyle w:val="a3"/>
        <w:rPr>
          <w:kern w:val="0"/>
        </w:rPr>
      </w:pPr>
      <w:r>
        <w:rPr>
          <w:kern w:val="0"/>
        </w:rPr>
        <w:t>Abstract: Background: The use</w:t>
      </w:r>
      <w:r w:rsidR="00427468">
        <w:rPr>
          <w:kern w:val="0"/>
        </w:rPr>
        <w:t xml:space="preserve"> of </w:t>
      </w:r>
      <w:r>
        <w:rPr>
          <w:kern w:val="0"/>
        </w:rPr>
        <w:t>vascular-endothelial growth factor (VEGF) antibody bevacizumab is associated with an increased risk</w:t>
      </w:r>
      <w:r w:rsidR="00427468">
        <w:rPr>
          <w:kern w:val="0"/>
        </w:rPr>
        <w:t xml:space="preserve"> of </w:t>
      </w:r>
      <w:r>
        <w:rPr>
          <w:kern w:val="0"/>
        </w:rPr>
        <w:t>gastrointestinal (GI) perforation, but the incidence and risk</w:t>
      </w:r>
      <w:r w:rsidR="00427468">
        <w:rPr>
          <w:kern w:val="0"/>
        </w:rPr>
        <w:t xml:space="preserve"> of </w:t>
      </w:r>
      <w:r>
        <w:rPr>
          <w:kern w:val="0"/>
        </w:rPr>
        <w:t>GI perforation associated with vascular endothelial growth factor tyrosine-kinase inhibitors (VEGFR-TKIs) has not been well described. We conduct a systematic review and meta-analysis</w:t>
      </w:r>
      <w:r w:rsidR="00427468">
        <w:rPr>
          <w:kern w:val="0"/>
        </w:rPr>
        <w:t xml:space="preserve"> of </w:t>
      </w:r>
      <w:r>
        <w:rPr>
          <w:kern w:val="0"/>
        </w:rPr>
        <w:t>published trials to evaluate the overall incidence and risk</w:t>
      </w:r>
      <w:r w:rsidR="00427468">
        <w:rPr>
          <w:kern w:val="0"/>
        </w:rPr>
        <w:t xml:space="preserve"> of </w:t>
      </w:r>
      <w:r>
        <w:rPr>
          <w:kern w:val="0"/>
        </w:rPr>
        <w:t xml:space="preserve">GI perforation associated with VEGFR-TKIs. Methods: </w:t>
      </w:r>
      <w:r>
        <w:rPr>
          <w:kern w:val="0"/>
        </w:rPr>
        <w:lastRenderedPageBreak/>
        <w:t>Databases from PubMed, Web</w:t>
      </w:r>
      <w:r w:rsidR="00427468">
        <w:rPr>
          <w:kern w:val="0"/>
        </w:rPr>
        <w:t xml:space="preserve"> of </w:t>
      </w:r>
      <w:r>
        <w:rPr>
          <w:kern w:val="0"/>
        </w:rPr>
        <w:t>Science and abstracts presented at ASCO meeting up to March 31, 2013 were searched to identify relevant studies. Eligible studies included prospective phase II and III trials evaluating VEGFR-TKIs in cancer patients with adequate data on GI perforation. Statistical analyses were conducted to calculate the summary incidence, odds ratio (OR) and 95% confidence intervals (CIs) by using either random effects or fixed effect models according to the heterogeneity</w:t>
      </w:r>
      <w:r w:rsidR="00427468">
        <w:rPr>
          <w:kern w:val="0"/>
        </w:rPr>
        <w:t xml:space="preserve"> of </w:t>
      </w:r>
      <w:r>
        <w:rPr>
          <w:kern w:val="0"/>
        </w:rPr>
        <w:t>included studies. Results: A total</w:t>
      </w:r>
      <w:r w:rsidR="00427468">
        <w:rPr>
          <w:kern w:val="0"/>
        </w:rPr>
        <w:t xml:space="preserve"> of </w:t>
      </w:r>
      <w:r>
        <w:rPr>
          <w:kern w:val="0"/>
        </w:rPr>
        <w:t>5352 patients with a variety</w:t>
      </w:r>
      <w:r w:rsidR="00427468">
        <w:rPr>
          <w:kern w:val="0"/>
        </w:rPr>
        <w:t xml:space="preserve"> of </w:t>
      </w:r>
      <w:r>
        <w:rPr>
          <w:kern w:val="0"/>
        </w:rPr>
        <w:t>solid tumors from 20 clinical trials were included in our analysis</w:t>
      </w:r>
      <w:r w:rsidR="00A37C1D">
        <w:rPr>
          <w:kern w:val="0"/>
        </w:rPr>
        <w:t>. The</w:t>
      </w:r>
      <w:r>
        <w:rPr>
          <w:kern w:val="0"/>
        </w:rPr>
        <w:t xml:space="preserve"> incidence</w:t>
      </w:r>
      <w:r w:rsidR="00427468">
        <w:rPr>
          <w:kern w:val="0"/>
        </w:rPr>
        <w:t xml:space="preserve"> of </w:t>
      </w:r>
      <w:r>
        <w:rPr>
          <w:kern w:val="0"/>
        </w:rPr>
        <w:t>GI perforation was 1.3% (95%CI: 0.8-2.0%) among patients receiving VEGFR-TKIs, with a mortality</w:t>
      </w:r>
      <w:r w:rsidR="00427468">
        <w:rPr>
          <w:kern w:val="0"/>
        </w:rPr>
        <w:t xml:space="preserve"> of </w:t>
      </w:r>
      <w:r>
        <w:rPr>
          <w:kern w:val="0"/>
        </w:rPr>
        <w:t>28.6% (15.0-47.6%). Patients treated with VEGFR-TKIs did not significantly increase the risk</w:t>
      </w:r>
      <w:r w:rsidR="00427468">
        <w:rPr>
          <w:kern w:val="0"/>
        </w:rPr>
        <w:t xml:space="preserve"> of </w:t>
      </w:r>
      <w:r>
        <w:rPr>
          <w:kern w:val="0"/>
        </w:rPr>
        <w:t>GI perforation compared with patients treated with control medication, with an OR</w:t>
      </w:r>
      <w:r w:rsidR="00427468">
        <w:rPr>
          <w:kern w:val="0"/>
        </w:rPr>
        <w:t xml:space="preserve"> of </w:t>
      </w:r>
      <w:r>
        <w:rPr>
          <w:kern w:val="0"/>
        </w:rPr>
        <w:t>2.99 (95%CI: 0.85-10.53, p = 0.089). Sub-group analysis showed that the incidence</w:t>
      </w:r>
      <w:r w:rsidR="00427468">
        <w:rPr>
          <w:kern w:val="0"/>
        </w:rPr>
        <w:t xml:space="preserve"> of </w:t>
      </w:r>
      <w:r>
        <w:rPr>
          <w:kern w:val="0"/>
        </w:rPr>
        <w:t>GI perforation did not significantly vary with tumor types, VEGFR-TMs and treatments regimens. No evidence</w:t>
      </w:r>
      <w:r w:rsidR="00427468">
        <w:rPr>
          <w:kern w:val="0"/>
        </w:rPr>
        <w:t xml:space="preserve"> of </w:t>
      </w:r>
      <w:r>
        <w:rPr>
          <w:kern w:val="0"/>
        </w:rPr>
        <w:t>publication bias was observed. Conclusions: The use</w:t>
      </w:r>
      <w:r w:rsidR="00427468">
        <w:rPr>
          <w:kern w:val="0"/>
        </w:rPr>
        <w:t xml:space="preserve"> of </w:t>
      </w:r>
      <w:r>
        <w:rPr>
          <w:kern w:val="0"/>
        </w:rPr>
        <w:t>VEGFR-TKIs dose not significantly increase the risk</w:t>
      </w:r>
      <w:r w:rsidR="00427468">
        <w:rPr>
          <w:kern w:val="0"/>
        </w:rPr>
        <w:t xml:space="preserve"> of </w:t>
      </w:r>
      <w:r>
        <w:rPr>
          <w:kern w:val="0"/>
        </w:rPr>
        <w:t>GI perforation in comparison with the controls. Further studies are recommended to investigate this association and the risk differences among different tumor types, VEGFK-TKIs or treatment regimens. (C) 2013 Elsevier Ireland Ltd. All rights reserved.</w:t>
      </w:r>
    </w:p>
    <w:p w:rsidR="00AF6059" w:rsidRDefault="00AF6059" w:rsidP="00AF6059">
      <w:pPr>
        <w:pStyle w:val="a3"/>
        <w:rPr>
          <w:kern w:val="0"/>
        </w:rPr>
      </w:pPr>
      <w:r>
        <w:rPr>
          <w:kern w:val="0"/>
        </w:rPr>
        <w:t>Keywords: 1st-Line Treatment, Analyses, Analysis, Angiogenesis Inhibitor, Antibody, Association, Axitinib, Bias, Bowel Perforation, Cancer, Cediranib, Clinical, Clinical Trials, Comparison, Confidence, Confidence Intervals, Control, Data, Databases, Double-Blind, Effects, Evidence, Gastrointestinal Perforation, Gi, Growth, Growth Factor, Heterogeneity, Incidence, Inhibitors, Intervals, Ireland, Mar, Meta Analysis, Meta-Analysis, Metaanalysis, Metastatic Breast-Cancer, Methods, Models, Mortality, Odds Ratio, Patients, Pazopanib, Phase II, Prospective, Publication, Publication Bias, Pubmed, Randomized Phase-II, Renal-Cell Carcinoma, Results, Review, Rights, Risk, Science, Soft-Tissue Sarcoma, Sorafenib, Sunitinib, Systematic Review, Treatment, Tumor, Tumor Angiogenesis, Vandetanib, Vascular Endothelial Growth Factor, VEGF, Venous Thromboembolic Events, Web</w:t>
      </w:r>
      <w:r w:rsidR="00427468">
        <w:rPr>
          <w:kern w:val="0"/>
        </w:rPr>
        <w:t xml:space="preserve"> of </w:t>
      </w:r>
      <w:r>
        <w:rPr>
          <w:kern w:val="0"/>
        </w:rPr>
        <w:t>Science</w:t>
      </w:r>
    </w:p>
    <w:p w:rsidR="00795FC7" w:rsidRDefault="00795FC7" w:rsidP="00795FC7">
      <w:pPr>
        <w:pStyle w:val="a3"/>
        <w:rPr>
          <w:kern w:val="0"/>
        </w:rPr>
      </w:pPr>
      <w:r>
        <w:rPr>
          <w:kern w:val="0"/>
        </w:rPr>
        <w:t xml:space="preserve">? Qi, W.X., Shen, Z., Tang, L.N. and Yao, Y. (2014), Risk of arterial thromboembolic events with vascular endothelial growth factor receptor tyrosine kinase inhibitors: An up-to-date meta-analysis. </w:t>
      </w:r>
      <w:r>
        <w:rPr>
          <w:i/>
          <w:iCs/>
          <w:kern w:val="0"/>
        </w:rPr>
        <w:t>Critical Reviews in Oncology Hematology</w:t>
      </w:r>
      <w:r>
        <w:rPr>
          <w:kern w:val="0"/>
        </w:rPr>
        <w:t xml:space="preserve">, </w:t>
      </w:r>
      <w:r>
        <w:rPr>
          <w:b/>
          <w:bCs/>
          <w:kern w:val="0"/>
        </w:rPr>
        <w:t>92</w:t>
      </w:r>
      <w:r>
        <w:rPr>
          <w:kern w:val="0"/>
        </w:rPr>
        <w:t xml:space="preserve"> (2), 71-82.</w:t>
      </w:r>
    </w:p>
    <w:p w:rsidR="00795FC7" w:rsidRDefault="00795FC7" w:rsidP="00795FC7">
      <w:pPr>
        <w:pStyle w:val="a3"/>
      </w:pPr>
      <w:r>
        <w:rPr>
          <w:rFonts w:hint="eastAsia"/>
        </w:rPr>
        <w:t xml:space="preserve">Full Text: </w:t>
      </w:r>
      <w:hyperlink r:id="rId1078" w:history="1">
        <w:r w:rsidRPr="00052E32">
          <w:rPr>
            <w:rStyle w:val="a5"/>
          </w:rPr>
          <w:t>2014\Cri Rev On Hem92, 71.pdf</w:t>
        </w:r>
      </w:hyperlink>
    </w:p>
    <w:p w:rsidR="00795FC7" w:rsidRDefault="00795FC7" w:rsidP="00795FC7">
      <w:pPr>
        <w:pStyle w:val="a3"/>
        <w:rPr>
          <w:kern w:val="0"/>
        </w:rPr>
      </w:pPr>
      <w:r>
        <w:rPr>
          <w:kern w:val="0"/>
        </w:rPr>
        <w:t xml:space="preserve">Abstract: Purpose: Arterial thromboembolic events (ATEs) with vascular endothelial growth factor receptor tyrosine kinase inhibitors (VEGFR-TKIs) have emerged as a serious concern, we perform a meta-analysis of randomized controlled trials (RCTs) to determine the incidence and risk of ATEs in cancer patients treated with these agents. Methods: The databases of PubMed and Web of Science were searched for </w:t>
      </w:r>
      <w:r>
        <w:rPr>
          <w:kern w:val="0"/>
        </w:rPr>
        <w:lastRenderedPageBreak/>
        <w:t>relevant articles. Statistical analyses were conducted to calculate the summary incidence, odds ratio (OR), and 95% confidence intervals (CIs) by using either random effects or fixed effect models according to the heterogeneity of included studies. Results: A total of 9711 patients from 19 RCTs were included. The overall incidence of ATEs was 1.5% (95%CI: 1.0-2.3%). The use of VEGFR-TKIs significantly increased the risk of developing ATEs when compared with controls (OR 2.26, 95%CI: 1.38-3.68, p = 0.001). Sensitivity analysis indicated that the significance estimate of pooled ORs was not significantly influenced by omitting any single study. In subgroup analyses, the odds ratio of ATEs did not significantly vary with tumor types (p = 0.70), VEGFR-TKIs (p = 0.32), treatment regimens (p = 0.76), phase of trials (p = 0.37) and sample size (p = 0.89). Additionally, the most common events for ATEs were cardiac ischemia/infarction (67.4%), CNS ischemia (7.9%) and cerebrovascular accident (6.7%). Conclusion: In this largest meta-analysis to date, we find that treatment with VEGFR-TKIs significantly increase the risk of developing ATEs. Further studies are still needed to investigate this association. In the appropriate clinical scenario, the use of these drugs remains justified in their approved indications. (C) 2014 Elsevier Ireland Ltd. All rights reserved.</w:t>
      </w:r>
    </w:p>
    <w:p w:rsidR="00795FC7" w:rsidRDefault="00795FC7" w:rsidP="00795FC7">
      <w:pPr>
        <w:pStyle w:val="a3"/>
        <w:rPr>
          <w:kern w:val="0"/>
        </w:rPr>
      </w:pPr>
      <w:r>
        <w:rPr>
          <w:kern w:val="0"/>
        </w:rPr>
        <w:t>Keywords: 1st-Line Therapy, Accident, Advanced Hepatocellular-Carcinoma, Advanced Pancreatic-Cancer, Analyses, Analysis, Angiogenesis Inhibitors, Arterial Thromboembolic Events, Articles, Association, Cancer, Cerebrovascular Accident, Clinical, Clinical-Trials, Cns, Confidence, Confidence Intervals, Databases, Developing, Double-Blind, Drugs, Effects, Events, From, Gastrointestinal Perforation, Growth, Growth Factor, Heterogeneity, Incidence, Indications, Inhibitors, Intervals, Ireland, Ischemia, Meta Analysis, Meta-Analysis, Metaanalysis, Methods, Models, Nov, Odds Ratio, Patients, Plus Sorafenib, Pubmed, Randomized, Randomized Controlled Trials, Randomized Phase-Ii, Renal-Cell Carcinoma, Results, Rights, Risk, Sample Size, Scenario, Science, Sensitivity, Sensitivity Analysis, Significance, Size, Treatment, Tumor, Tyrosine Kinase Inhibitors, Vascular Endothelial Growth Factor, Vegfr-Tkis, Venous Thromboembolism, Web Of Science</w:t>
      </w:r>
    </w:p>
    <w:p w:rsidR="003A1917" w:rsidRPr="001A3D2B" w:rsidRDefault="003A1917" w:rsidP="003A1917">
      <w:pPr>
        <w:pStyle w:val="1"/>
      </w:pPr>
      <w:r w:rsidRPr="001A3D2B">
        <w:br w:type="page"/>
      </w:r>
      <w:bookmarkStart w:id="434" w:name="_Toc420815136"/>
      <w:r w:rsidRPr="001A3D2B">
        <w:lastRenderedPageBreak/>
        <w:t xml:space="preserve">Title: </w:t>
      </w:r>
      <w:r w:rsidRPr="003A1917">
        <w:rPr>
          <w:szCs w:val="24"/>
        </w:rPr>
        <w:t>Cryptogamie Algologie</w:t>
      </w:r>
      <w:bookmarkEnd w:id="434"/>
    </w:p>
    <w:p w:rsidR="003A1917" w:rsidRPr="001A3D2B" w:rsidRDefault="003A1917" w:rsidP="003A1917">
      <w:pPr>
        <w:pStyle w:val="12"/>
      </w:pPr>
      <w:r w:rsidRPr="001A3D2B">
        <w:t xml:space="preserve">Full Journal Title: </w:t>
      </w:r>
      <w:r w:rsidRPr="003A1917">
        <w:rPr>
          <w:iCs/>
          <w:kern w:val="0"/>
        </w:rPr>
        <w:t>Cryptogamie Algologie</w:t>
      </w:r>
    </w:p>
    <w:p w:rsidR="003A1917" w:rsidRPr="001A3D2B" w:rsidRDefault="003A1917" w:rsidP="003A1917">
      <w:pPr>
        <w:pStyle w:val="12"/>
      </w:pPr>
      <w:r w:rsidRPr="001A3D2B">
        <w:t xml:space="preserve">ISO Abbreviated Title: </w:t>
      </w:r>
    </w:p>
    <w:p w:rsidR="003A1917" w:rsidRPr="001A3D2B" w:rsidRDefault="003A1917" w:rsidP="003A1917">
      <w:pPr>
        <w:pStyle w:val="12"/>
      </w:pPr>
      <w:r w:rsidRPr="001A3D2B">
        <w:t xml:space="preserve">JCR Abbreviated Title: </w:t>
      </w:r>
    </w:p>
    <w:p w:rsidR="003A1917" w:rsidRPr="001A3D2B" w:rsidRDefault="003A1917" w:rsidP="003A1917">
      <w:pPr>
        <w:pStyle w:val="12"/>
      </w:pPr>
      <w:r w:rsidRPr="001A3D2B">
        <w:t>ISSN: 0353-9504</w:t>
      </w:r>
    </w:p>
    <w:p w:rsidR="003A1917" w:rsidRPr="001A3D2B" w:rsidRDefault="003A1917" w:rsidP="003A1917">
      <w:pPr>
        <w:pStyle w:val="12"/>
      </w:pPr>
      <w:r w:rsidRPr="001A3D2B">
        <w:t xml:space="preserve">Issues/Year: </w:t>
      </w:r>
    </w:p>
    <w:p w:rsidR="003A1917" w:rsidRPr="001A3D2B" w:rsidRDefault="003A1917" w:rsidP="003A1917">
      <w:pPr>
        <w:pStyle w:val="12"/>
      </w:pPr>
      <w:r w:rsidRPr="001A3D2B">
        <w:t xml:space="preserve">Journal </w:t>
      </w:r>
    </w:p>
    <w:p w:rsidR="003A1917" w:rsidRPr="001A3D2B" w:rsidRDefault="003A1917" w:rsidP="003A1917">
      <w:pPr>
        <w:pStyle w:val="12"/>
      </w:pPr>
      <w:r w:rsidRPr="001A3D2B">
        <w:t xml:space="preserve">Language: </w:t>
      </w:r>
    </w:p>
    <w:p w:rsidR="003A1917" w:rsidRPr="001A3D2B" w:rsidRDefault="003A1917" w:rsidP="003A1917">
      <w:pPr>
        <w:pStyle w:val="12"/>
      </w:pPr>
      <w:r w:rsidRPr="001A3D2B">
        <w:t xml:space="preserve">Publisher: </w:t>
      </w:r>
    </w:p>
    <w:p w:rsidR="003A1917" w:rsidRPr="001A3D2B" w:rsidRDefault="003A1917" w:rsidP="003A1917">
      <w:pPr>
        <w:pStyle w:val="12"/>
      </w:pPr>
      <w:r w:rsidRPr="001A3D2B">
        <w:t xml:space="preserve">Publisher Address: </w:t>
      </w:r>
    </w:p>
    <w:p w:rsidR="003A1917" w:rsidRPr="001A3D2B" w:rsidRDefault="003A1917" w:rsidP="003A1917">
      <w:pPr>
        <w:pStyle w:val="12"/>
      </w:pPr>
      <w:r w:rsidRPr="001A3D2B">
        <w:t>Subject Categories:</w:t>
      </w:r>
    </w:p>
    <w:p w:rsidR="003A1917" w:rsidRPr="001A3D2B" w:rsidRDefault="003A1917" w:rsidP="003A1917">
      <w:pPr>
        <w:pStyle w:val="12"/>
      </w:pPr>
      <w:r w:rsidRPr="001A3D2B">
        <w:t>: Impact Factor</w:t>
      </w:r>
    </w:p>
    <w:p w:rsidR="003A1917" w:rsidRDefault="003A1917" w:rsidP="003A1917">
      <w:pPr>
        <w:pStyle w:val="a3"/>
        <w:rPr>
          <w:kern w:val="0"/>
          <w:szCs w:val="24"/>
        </w:rPr>
      </w:pPr>
      <w:r>
        <w:rPr>
          <w:rFonts w:hint="eastAsia"/>
          <w:kern w:val="0"/>
          <w:szCs w:val="24"/>
        </w:rPr>
        <w:t xml:space="preserve">? </w:t>
      </w:r>
      <w:r>
        <w:rPr>
          <w:kern w:val="0"/>
          <w:szCs w:val="24"/>
        </w:rPr>
        <w:t>Aguirre, J., Braga, J.C., de Reviers, B.</w:t>
      </w:r>
      <w:r w:rsidR="005853A9">
        <w:rPr>
          <w:kern w:val="0"/>
          <w:szCs w:val="24"/>
        </w:rPr>
        <w:t xml:space="preserve"> and </w:t>
      </w:r>
      <w:r>
        <w:rPr>
          <w:kern w:val="0"/>
          <w:szCs w:val="24"/>
        </w:rPr>
        <w:t>Woelkerling, W.J. (2012), Reassessment</w:t>
      </w:r>
      <w:r w:rsidR="00427468">
        <w:rPr>
          <w:kern w:val="0"/>
          <w:szCs w:val="24"/>
        </w:rPr>
        <w:t xml:space="preserve"> of </w:t>
      </w:r>
      <w:r>
        <w:rPr>
          <w:kern w:val="0"/>
          <w:szCs w:val="24"/>
        </w:rPr>
        <w:t>Lemoine</w:t>
      </w:r>
      <w:r w:rsidR="0071223E">
        <w:rPr>
          <w:kern w:val="0"/>
          <w:szCs w:val="24"/>
        </w:rPr>
        <w:t>’</w:t>
      </w:r>
      <w:r>
        <w:rPr>
          <w:kern w:val="0"/>
          <w:szCs w:val="24"/>
        </w:rPr>
        <w:t>s newly discovered types</w:t>
      </w:r>
      <w:r w:rsidR="00427468">
        <w:rPr>
          <w:kern w:val="0"/>
          <w:szCs w:val="24"/>
        </w:rPr>
        <w:t xml:space="preserve"> of </w:t>
      </w:r>
      <w:r>
        <w:rPr>
          <w:kern w:val="0"/>
          <w:szCs w:val="24"/>
        </w:rPr>
        <w:t>fossil corallines (Corallinales, R</w:t>
      </w:r>
      <w:r w:rsidR="00D13747">
        <w:rPr>
          <w:kern w:val="0"/>
          <w:szCs w:val="24"/>
        </w:rPr>
        <w:t>hodophyta) preserved at the Musé</w:t>
      </w:r>
      <w:r>
        <w:rPr>
          <w:kern w:val="0"/>
          <w:szCs w:val="24"/>
        </w:rPr>
        <w:t>um national d</w:t>
      </w:r>
      <w:r w:rsidR="0071223E">
        <w:rPr>
          <w:kern w:val="0"/>
          <w:szCs w:val="24"/>
        </w:rPr>
        <w:t>’</w:t>
      </w:r>
      <w:r>
        <w:rPr>
          <w:kern w:val="0"/>
          <w:szCs w:val="24"/>
        </w:rPr>
        <w:t xml:space="preserve">histoire naturelle, Paris. </w:t>
      </w:r>
      <w:r w:rsidRPr="003A1917">
        <w:rPr>
          <w:i/>
          <w:iCs/>
          <w:kern w:val="0"/>
          <w:szCs w:val="24"/>
        </w:rPr>
        <w:t>Cryptogamie Algologie</w:t>
      </w:r>
      <w:r>
        <w:rPr>
          <w:kern w:val="0"/>
          <w:szCs w:val="24"/>
        </w:rPr>
        <w:t xml:space="preserve">, </w:t>
      </w:r>
      <w:r>
        <w:rPr>
          <w:b/>
          <w:bCs/>
          <w:kern w:val="0"/>
          <w:szCs w:val="24"/>
        </w:rPr>
        <w:t>33</w:t>
      </w:r>
      <w:r>
        <w:rPr>
          <w:kern w:val="0"/>
          <w:szCs w:val="24"/>
        </w:rPr>
        <w:t xml:space="preserve"> (3), 289-326.</w:t>
      </w:r>
    </w:p>
    <w:p w:rsidR="003A1917" w:rsidRDefault="003A1917" w:rsidP="003A1917">
      <w:pPr>
        <w:pStyle w:val="a3"/>
        <w:rPr>
          <w:kern w:val="0"/>
          <w:szCs w:val="24"/>
        </w:rPr>
      </w:pPr>
      <w:r>
        <w:rPr>
          <w:rFonts w:hint="eastAsia"/>
          <w:kern w:val="0"/>
          <w:szCs w:val="24"/>
        </w:rPr>
        <w:t xml:space="preserve">Full Text: </w:t>
      </w:r>
      <w:hyperlink r:id="rId1079" w:history="1">
        <w:r w:rsidR="00D13747" w:rsidRPr="00D13747">
          <w:rPr>
            <w:rStyle w:val="a5"/>
            <w:kern w:val="0"/>
            <w:szCs w:val="24"/>
          </w:rPr>
          <w:t>2012\Cry Alg33, 289.pdf</w:t>
        </w:r>
      </w:hyperlink>
    </w:p>
    <w:p w:rsidR="003A1917" w:rsidRDefault="003A1917" w:rsidP="003A1917">
      <w:pPr>
        <w:pStyle w:val="a3"/>
        <w:rPr>
          <w:kern w:val="0"/>
          <w:szCs w:val="24"/>
        </w:rPr>
      </w:pPr>
      <w:r>
        <w:rPr>
          <w:kern w:val="0"/>
          <w:szCs w:val="24"/>
        </w:rPr>
        <w:t>Abstract: Madame Marie Lemoine was one</w:t>
      </w:r>
      <w:r w:rsidR="00427468">
        <w:rPr>
          <w:kern w:val="0"/>
          <w:szCs w:val="24"/>
        </w:rPr>
        <w:t xml:space="preserve"> of </w:t>
      </w:r>
      <w:r>
        <w:rPr>
          <w:kern w:val="0"/>
          <w:szCs w:val="24"/>
        </w:rPr>
        <w:t>the most prolific taxonomists on fossil coralline red algae (Corallinales. Rhodophyta) during the 20115 Century. She described three non-geniculate genera</w:t>
      </w:r>
      <w:r w:rsidR="005853A9">
        <w:rPr>
          <w:kern w:val="0"/>
          <w:szCs w:val="24"/>
        </w:rPr>
        <w:t xml:space="preserve"> and </w:t>
      </w:r>
      <w:r>
        <w:rPr>
          <w:kern w:val="0"/>
          <w:szCs w:val="24"/>
        </w:rPr>
        <w:t>over 90 species. Samples from all over the world were sent to her,</w:t>
      </w:r>
      <w:r w:rsidR="005853A9">
        <w:rPr>
          <w:kern w:val="0"/>
          <w:szCs w:val="24"/>
        </w:rPr>
        <w:t xml:space="preserve"> and </w:t>
      </w:r>
      <w:r>
        <w:rPr>
          <w:kern w:val="0"/>
          <w:szCs w:val="24"/>
        </w:rPr>
        <w:t>she usually sent them back to the collectors. Thus, a significant number</w:t>
      </w:r>
      <w:r w:rsidR="00427468">
        <w:rPr>
          <w:kern w:val="0"/>
          <w:szCs w:val="24"/>
        </w:rPr>
        <w:t xml:space="preserve"> of </w:t>
      </w:r>
      <w:r>
        <w:rPr>
          <w:kern w:val="0"/>
          <w:szCs w:val="24"/>
        </w:rPr>
        <w:t>her types are housed in different institutions or might be lost. Some, however, are housed in the herbarium at the Museum national d</w:t>
      </w:r>
      <w:r w:rsidR="0071223E">
        <w:rPr>
          <w:kern w:val="0"/>
          <w:szCs w:val="24"/>
        </w:rPr>
        <w:t>’</w:t>
      </w:r>
      <w:r>
        <w:rPr>
          <w:kern w:val="0"/>
          <w:szCs w:val="24"/>
        </w:rPr>
        <w:t>histoire naturelle in Paris (PC) where she worked for most</w:t>
      </w:r>
      <w:r w:rsidR="00427468">
        <w:rPr>
          <w:kern w:val="0"/>
          <w:szCs w:val="24"/>
        </w:rPr>
        <w:t xml:space="preserve"> of </w:t>
      </w:r>
      <w:r>
        <w:rPr>
          <w:kern w:val="0"/>
          <w:szCs w:val="24"/>
        </w:rPr>
        <w:t>her life. We found the original material</w:t>
      </w:r>
      <w:r w:rsidR="00427468">
        <w:rPr>
          <w:kern w:val="0"/>
          <w:szCs w:val="24"/>
        </w:rPr>
        <w:t xml:space="preserve"> of </w:t>
      </w:r>
      <w:r>
        <w:rPr>
          <w:kern w:val="0"/>
          <w:szCs w:val="24"/>
        </w:rPr>
        <w:t>nine fossil coralline species at PC: 1) three species from Haute-Savoie (France) [Lithothanmium moretii, Lithophyllum simplex</w:t>
      </w:r>
      <w:r w:rsidR="005853A9">
        <w:rPr>
          <w:kern w:val="0"/>
          <w:szCs w:val="24"/>
        </w:rPr>
        <w:t xml:space="preserve"> and </w:t>
      </w:r>
      <w:r>
        <w:rPr>
          <w:kern w:val="0"/>
          <w:szCs w:val="24"/>
        </w:rPr>
        <w:t>Jania nummulitica]; 2) five species from Albania [Lithothamnium corallinaeforme, Lithothamnium bourcartii, Lithophyllum koritzae, Lithophyllum sphaeroides</w:t>
      </w:r>
      <w:r w:rsidR="005853A9">
        <w:rPr>
          <w:kern w:val="0"/>
          <w:szCs w:val="24"/>
        </w:rPr>
        <w:t xml:space="preserve"> and </w:t>
      </w:r>
      <w:r>
        <w:rPr>
          <w:kern w:val="0"/>
          <w:szCs w:val="24"/>
        </w:rPr>
        <w:t>Lithophyllum (?) albanense];</w:t>
      </w:r>
      <w:r w:rsidR="005853A9">
        <w:rPr>
          <w:kern w:val="0"/>
          <w:szCs w:val="24"/>
        </w:rPr>
        <w:t xml:space="preserve"> and </w:t>
      </w:r>
      <w:r>
        <w:rPr>
          <w:kern w:val="0"/>
          <w:szCs w:val="24"/>
        </w:rPr>
        <w:t>3) one species from SW France but originally described from the Carpathian Mountains [Lithothamnium abrardii]</w:t>
      </w:r>
      <w:r w:rsidR="00A37C1D">
        <w:rPr>
          <w:kern w:val="0"/>
          <w:szCs w:val="24"/>
        </w:rPr>
        <w:t>. The</w:t>
      </w:r>
      <w:r>
        <w:rPr>
          <w:kern w:val="0"/>
          <w:szCs w:val="24"/>
        </w:rPr>
        <w:t xml:space="preserve"> aim</w:t>
      </w:r>
      <w:r w:rsidR="00427468">
        <w:rPr>
          <w:kern w:val="0"/>
          <w:szCs w:val="24"/>
        </w:rPr>
        <w:t xml:space="preserve"> of </w:t>
      </w:r>
      <w:r>
        <w:rPr>
          <w:kern w:val="0"/>
          <w:szCs w:val="24"/>
        </w:rPr>
        <w:t>this paper is to reassess the newly discovered original material in a modern taxonomic perspective</w:t>
      </w:r>
      <w:r w:rsidR="005853A9">
        <w:rPr>
          <w:kern w:val="0"/>
          <w:szCs w:val="24"/>
        </w:rPr>
        <w:t xml:space="preserve"> and </w:t>
      </w:r>
      <w:r>
        <w:rPr>
          <w:kern w:val="0"/>
          <w:szCs w:val="24"/>
        </w:rPr>
        <w:t>to typify the species for which Marie Lemoine did not establish a holotype. Several</w:t>
      </w:r>
      <w:r w:rsidR="00427468">
        <w:rPr>
          <w:kern w:val="0"/>
          <w:szCs w:val="24"/>
        </w:rPr>
        <w:t xml:space="preserve"> of </w:t>
      </w:r>
      <w:r>
        <w:rPr>
          <w:kern w:val="0"/>
          <w:szCs w:val="24"/>
        </w:rPr>
        <w:t>these species have been frequently reported by palaeophycologists</w:t>
      </w:r>
      <w:r w:rsidR="00A37C1D">
        <w:rPr>
          <w:kern w:val="0"/>
          <w:szCs w:val="24"/>
        </w:rPr>
        <w:t>. The</w:t>
      </w:r>
      <w:r>
        <w:rPr>
          <w:kern w:val="0"/>
          <w:szCs w:val="24"/>
        </w:rPr>
        <w:t xml:space="preserve"> species albanensis, either within Lithophyllum or Spongites,</w:t>
      </w:r>
      <w:r w:rsidR="005853A9">
        <w:rPr>
          <w:kern w:val="0"/>
          <w:szCs w:val="24"/>
        </w:rPr>
        <w:t xml:space="preserve"> and </w:t>
      </w:r>
      <w:r>
        <w:rPr>
          <w:kern w:val="0"/>
          <w:szCs w:val="24"/>
        </w:rPr>
        <w:t>Lithothamnion moretii are among the five most cited species</w:t>
      </w:r>
      <w:r w:rsidR="00427468">
        <w:rPr>
          <w:kern w:val="0"/>
          <w:szCs w:val="24"/>
        </w:rPr>
        <w:t xml:space="preserve"> of </w:t>
      </w:r>
      <w:r>
        <w:rPr>
          <w:kern w:val="0"/>
          <w:szCs w:val="24"/>
        </w:rPr>
        <w:t xml:space="preserve">fossil corallines in the literature published during the XX century. Lithophyllum simplex is among the nine most cited fossil coralline species but its taxonomic circumscription cannot be confidently established </w:t>
      </w:r>
      <w:r>
        <w:rPr>
          <w:kern w:val="0"/>
          <w:szCs w:val="24"/>
        </w:rPr>
        <w:lastRenderedPageBreak/>
        <w:t>because no reproductive structures can be identified in the type.</w:t>
      </w:r>
    </w:p>
    <w:p w:rsidR="003A1917" w:rsidRDefault="003A1917" w:rsidP="003A1917">
      <w:pPr>
        <w:pStyle w:val="a3"/>
        <w:rPr>
          <w:kern w:val="0"/>
          <w:szCs w:val="24"/>
        </w:rPr>
      </w:pPr>
      <w:r>
        <w:rPr>
          <w:kern w:val="0"/>
          <w:szCs w:val="24"/>
        </w:rPr>
        <w:t>Keywords: Algae, Fossil, Fossil Corallines, France, Genera, Institutions, Lemoine, Life, Literature, Lithophyllum, Museum National D</w:t>
      </w:r>
      <w:r w:rsidR="0071223E">
        <w:rPr>
          <w:kern w:val="0"/>
          <w:szCs w:val="24"/>
        </w:rPr>
        <w:t>’</w:t>
      </w:r>
      <w:r>
        <w:rPr>
          <w:kern w:val="0"/>
          <w:szCs w:val="24"/>
        </w:rPr>
        <w:t>Histoire Naturelle,</w:t>
      </w:r>
      <w:r>
        <w:rPr>
          <w:rFonts w:hint="eastAsia"/>
          <w:kern w:val="0"/>
          <w:szCs w:val="24"/>
        </w:rPr>
        <w:t xml:space="preserve"> </w:t>
      </w:r>
      <w:r>
        <w:rPr>
          <w:kern w:val="0"/>
          <w:szCs w:val="24"/>
        </w:rPr>
        <w:t>Paris, Neogoniolithon, Philippi,</w:t>
      </w:r>
      <w:r>
        <w:rPr>
          <w:rFonts w:hint="eastAsia"/>
          <w:kern w:val="0"/>
          <w:szCs w:val="24"/>
        </w:rPr>
        <w:t xml:space="preserve"> </w:t>
      </w:r>
      <w:r>
        <w:rPr>
          <w:kern w:val="0"/>
          <w:szCs w:val="24"/>
        </w:rPr>
        <w:t>R.A.</w:t>
      </w:r>
      <w:r>
        <w:rPr>
          <w:rFonts w:hint="eastAsia"/>
          <w:kern w:val="0"/>
          <w:szCs w:val="24"/>
        </w:rPr>
        <w:t xml:space="preserve"> </w:t>
      </w:r>
      <w:r>
        <w:rPr>
          <w:kern w:val="0"/>
          <w:szCs w:val="24"/>
        </w:rPr>
        <w:t>Original Collections, Re-Documentation, Redescription, Revision, Southern Australia, Species, Taxonomic Reassessment, Tertiary Piedmont Basin, Type Collections, World</w:t>
      </w:r>
    </w:p>
    <w:p w:rsidR="003474F2" w:rsidRPr="001A3D2B" w:rsidRDefault="003474F2" w:rsidP="003474F2">
      <w:pPr>
        <w:pStyle w:val="1"/>
      </w:pPr>
      <w:r w:rsidRPr="001A3D2B">
        <w:br w:type="page"/>
      </w:r>
      <w:bookmarkStart w:id="435" w:name="_Toc420815137"/>
      <w:r w:rsidRPr="001A3D2B">
        <w:lastRenderedPageBreak/>
        <w:t>Title: Croatian Medical Journal</w:t>
      </w:r>
      <w:bookmarkEnd w:id="435"/>
    </w:p>
    <w:p w:rsidR="003474F2" w:rsidRPr="001A3D2B" w:rsidRDefault="003474F2" w:rsidP="003474F2">
      <w:pPr>
        <w:pStyle w:val="12"/>
      </w:pPr>
      <w:r w:rsidRPr="001A3D2B">
        <w:t xml:space="preserve">Full Journal Title: </w:t>
      </w:r>
      <w:r w:rsidR="00DF61FE">
        <w:fldChar w:fldCharType="begin"/>
      </w:r>
      <w:r w:rsidR="00FD158B">
        <w:instrText>HYPERLINK "http://www.cmj</w:instrText>
      </w:r>
      <w:bookmarkStart w:id="436" w:name="_Toc43634564"/>
      <w:bookmarkStart w:id="437" w:name="_Toc81215688"/>
      <w:r w:rsidR="00FD158B">
        <w:instrText>.hr/"</w:instrText>
      </w:r>
      <w:r w:rsidR="00DF61FE">
        <w:fldChar w:fldCharType="separate"/>
      </w:r>
      <w:r w:rsidRPr="001A3D2B">
        <w:rPr>
          <w:rStyle w:val="a5"/>
        </w:rPr>
        <w:t>Croatian Medical Journal</w:t>
      </w:r>
      <w:r w:rsidR="00DF61FE">
        <w:fldChar w:fldCharType="end"/>
      </w:r>
      <w:bookmarkEnd w:id="436"/>
      <w:bookmarkEnd w:id="437"/>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0353-9504</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 xml:space="preserve">Journal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Garfield, E. (2000), Use</w:t>
      </w:r>
      <w:r w:rsidR="00427468">
        <w:t xml:space="preserve"> of </w:t>
      </w:r>
      <w:r w:rsidRPr="001A3D2B">
        <w:t>Journal Citation Reports</w:t>
      </w:r>
      <w:r w:rsidR="005853A9">
        <w:t xml:space="preserve"> and </w:t>
      </w:r>
      <w:r w:rsidRPr="001A3D2B">
        <w:t>Journal Performance Indicators in measuring short</w:t>
      </w:r>
      <w:r w:rsidR="005853A9">
        <w:t xml:space="preserve"> and </w:t>
      </w:r>
      <w:r w:rsidRPr="001A3D2B">
        <w:t xml:space="preserve">long term journal impact. </w:t>
      </w:r>
      <w:r w:rsidRPr="001A3D2B">
        <w:rPr>
          <w:i/>
          <w:iCs/>
        </w:rPr>
        <w:t>Croatian Medical Journal</w:t>
      </w:r>
      <w:r w:rsidRPr="001A3D2B">
        <w:t xml:space="preserve">, </w:t>
      </w:r>
      <w:r w:rsidRPr="001A3D2B">
        <w:rPr>
          <w:b/>
          <w:bCs/>
        </w:rPr>
        <w:t>41</w:t>
      </w:r>
      <w:r w:rsidRPr="001A3D2B">
        <w:t xml:space="preserve"> (4), 368-374.</w:t>
      </w:r>
    </w:p>
    <w:p w:rsidR="003474F2" w:rsidRPr="001A3D2B" w:rsidRDefault="003474F2" w:rsidP="003474F2">
      <w:pPr>
        <w:pStyle w:val="a3"/>
      </w:pPr>
      <w:r w:rsidRPr="001A3D2B">
        <w:t xml:space="preserve">Full Text: </w:t>
      </w:r>
      <w:hyperlink r:id="rId1080" w:history="1">
        <w:r w:rsidRPr="001A3D2B">
          <w:rPr>
            <w:rStyle w:val="a5"/>
          </w:rPr>
          <w:t>2000\Cro Med J41, 368.pdf</w:t>
        </w:r>
      </w:hyperlink>
    </w:p>
    <w:p w:rsidR="003474F2" w:rsidRPr="001A3D2B" w:rsidRDefault="003474F2" w:rsidP="003474F2">
      <w:pPr>
        <w:pStyle w:val="a3"/>
      </w:pPr>
      <w:r w:rsidRPr="001A3D2B">
        <w:t>Abstract:</w:t>
      </w:r>
      <w:r w:rsidR="003A1917">
        <w:t xml:space="preserve"> the </w:t>
      </w:r>
      <w:r w:rsidRPr="001A3D2B">
        <w:t>impact factor has become</w:t>
      </w:r>
      <w:r w:rsidR="003A1917">
        <w:t xml:space="preserve"> the </w:t>
      </w:r>
      <w:r w:rsidRPr="001A3D2B">
        <w:t>subject</w:t>
      </w:r>
      <w:r w:rsidR="00427468">
        <w:t xml:space="preserve"> of </w:t>
      </w:r>
      <w:r w:rsidRPr="001A3D2B">
        <w:t>widespread controversy. It has gradually developed to mean both journal</w:t>
      </w:r>
      <w:r w:rsidR="005853A9">
        <w:t xml:space="preserve"> and </w:t>
      </w:r>
      <w:r w:rsidRPr="001A3D2B">
        <w:t>author impact</w:t>
      </w:r>
      <w:r w:rsidR="00A37C1D">
        <w:t>. The</w:t>
      </w:r>
      <w:r w:rsidR="003A1917">
        <w:t xml:space="preserve"> </w:t>
      </w:r>
      <w:r w:rsidRPr="001A3D2B">
        <w:t>emphasis on impact factors obscures</w:t>
      </w:r>
      <w:r w:rsidR="003A1917">
        <w:t xml:space="preserve"> the </w:t>
      </w:r>
      <w:r w:rsidRPr="001A3D2B">
        <w:t>main purpose</w:t>
      </w:r>
      <w:r w:rsidR="00427468">
        <w:t xml:space="preserve"> of </w:t>
      </w:r>
      <w:r w:rsidRPr="001A3D2B">
        <w:t>bibliographic databases created at</w:t>
      </w:r>
      <w:r w:rsidR="003A1917">
        <w:t xml:space="preserve"> the </w:t>
      </w:r>
      <w:r w:rsidRPr="001A3D2B">
        <w:t>Institute for Scientific Information. I will here show how two</w:t>
      </w:r>
      <w:r w:rsidR="00427468">
        <w:t xml:space="preserve"> of </w:t>
      </w:r>
      <w:r w:rsidRPr="001A3D2B">
        <w:t>these databases, Journal Citation Reports</w:t>
      </w:r>
      <w:r w:rsidR="005853A9">
        <w:t xml:space="preserve"> and </w:t>
      </w:r>
      <w:r w:rsidR="003A1917">
        <w:t xml:space="preserve">the </w:t>
      </w:r>
      <w:r w:rsidRPr="001A3D2B">
        <w:t>Journal Performance Indicators, can be used to study scientific journals</w:t>
      </w:r>
      <w:r w:rsidR="005853A9">
        <w:t xml:space="preserve"> and </w:t>
      </w:r>
      <w:r w:rsidR="003A1917">
        <w:t xml:space="preserve">the </w:t>
      </w:r>
      <w:r w:rsidRPr="001A3D2B">
        <w:t>articles they publish, as well as</w:t>
      </w:r>
      <w:r w:rsidR="003A1917">
        <w:t xml:space="preserve"> the </w:t>
      </w:r>
      <w:r w:rsidRPr="001A3D2B">
        <w:t>evolution</w:t>
      </w:r>
      <w:r w:rsidR="00427468">
        <w:t xml:space="preserve"> of </w:t>
      </w:r>
      <w:r w:rsidRPr="001A3D2B">
        <w:t>scientific fields.</w:t>
      </w:r>
    </w:p>
    <w:p w:rsidR="003474F2" w:rsidRPr="001A3D2B" w:rsidRDefault="003474F2" w:rsidP="003474F2">
      <w:pPr>
        <w:pStyle w:val="a3"/>
      </w:pPr>
      <w:r w:rsidRPr="001A3D2B">
        <w:t>Keywords: Bibliometrics, Citation Analysis, Impact Factor, journal Article, Library Science, Medical Informatics, Medical Literature Analysis</w:t>
      </w:r>
      <w:r w:rsidR="005853A9">
        <w:t xml:space="preserve"> and </w:t>
      </w:r>
      <w:r w:rsidRPr="001A3D2B">
        <w:t>Retrieval System</w:t>
      </w:r>
    </w:p>
    <w:p w:rsidR="003474F2" w:rsidRPr="001A3D2B" w:rsidRDefault="003474F2" w:rsidP="003474F2">
      <w:pPr>
        <w:pStyle w:val="a3"/>
      </w:pPr>
      <w:r w:rsidRPr="001A3D2B">
        <w:t>? Huth, E.J. (2001), Authors, editors, policy makers,</w:t>
      </w:r>
      <w:r w:rsidR="005853A9">
        <w:t xml:space="preserve"> and </w:t>
      </w:r>
      <w:r w:rsidR="003A1917">
        <w:t xml:space="preserve">the </w:t>
      </w:r>
      <w:r w:rsidRPr="001A3D2B">
        <w:t xml:space="preserve">impact factor. </w:t>
      </w:r>
      <w:r w:rsidRPr="001A3D2B">
        <w:rPr>
          <w:i/>
          <w:iCs/>
        </w:rPr>
        <w:t>Croatian Medical Journal</w:t>
      </w:r>
      <w:r w:rsidRPr="001A3D2B">
        <w:t xml:space="preserve">, </w:t>
      </w:r>
      <w:r w:rsidRPr="001A3D2B">
        <w:rPr>
          <w:b/>
          <w:bCs/>
        </w:rPr>
        <w:t>42</w:t>
      </w:r>
      <w:r w:rsidRPr="001A3D2B">
        <w:t xml:space="preserve"> (1), 14-17.</w:t>
      </w:r>
    </w:p>
    <w:p w:rsidR="003474F2" w:rsidRPr="001A3D2B" w:rsidRDefault="003474F2" w:rsidP="003474F2">
      <w:pPr>
        <w:pStyle w:val="a3"/>
      </w:pPr>
      <w:r w:rsidRPr="001A3D2B">
        <w:t xml:space="preserve">Full Text: </w:t>
      </w:r>
      <w:hyperlink r:id="rId1081" w:history="1">
        <w:r w:rsidRPr="001A3D2B">
          <w:rPr>
            <w:rStyle w:val="a5"/>
          </w:rPr>
          <w:t>2001\Cro Med J42, 14.pdf</w:t>
        </w:r>
      </w:hyperlink>
    </w:p>
    <w:p w:rsidR="003474F2" w:rsidRPr="001A3D2B" w:rsidRDefault="003474F2" w:rsidP="003474F2">
      <w:pPr>
        <w:pStyle w:val="a3"/>
      </w:pPr>
      <w:r w:rsidRPr="001A3D2B">
        <w:t>Abstract: Some aspects</w:t>
      </w:r>
      <w:r w:rsidR="00427468">
        <w:t xml:space="preserve"> of </w:t>
      </w:r>
      <w:r w:rsidR="003A1917">
        <w:t xml:space="preserve">the </w:t>
      </w:r>
      <w:r w:rsidR="0071223E">
        <w:t>‘</w:t>
      </w:r>
      <w:r w:rsidRPr="001A3D2B">
        <w:t>impact factor</w:t>
      </w:r>
      <w:r w:rsidR="0071223E">
        <w:t>’</w:t>
      </w:r>
      <w:r w:rsidRPr="001A3D2B">
        <w:t>, a quantitative measure</w:t>
      </w:r>
      <w:r w:rsidR="00427468">
        <w:t xml:space="preserve"> of </w:t>
      </w:r>
      <w:r w:rsidRPr="001A3D2B">
        <w:t>journals</w:t>
      </w:r>
      <w:r w:rsidR="0071223E">
        <w:t>’</w:t>
      </w:r>
      <w:r w:rsidRPr="001A3D2B">
        <w:t xml:space="preserve"> influence on journals in scientific fields, was discussed in</w:t>
      </w:r>
      <w:r w:rsidR="003A1917">
        <w:t xml:space="preserve"> the </w:t>
      </w:r>
      <w:r w:rsidRPr="001A3D2B">
        <w:t>preceding issue</w:t>
      </w:r>
      <w:r w:rsidR="00427468">
        <w:t xml:space="preserve"> of </w:t>
      </w:r>
      <w:r w:rsidR="003A1917">
        <w:t xml:space="preserve">the </w:t>
      </w:r>
      <w:r w:rsidRPr="001A3D2B">
        <w:t>Croatian Medical Journal by Dr Eugene Garfield, one</w:t>
      </w:r>
      <w:r w:rsidR="00427468">
        <w:t xml:space="preserve"> of </w:t>
      </w:r>
      <w:r w:rsidRPr="001A3D2B">
        <w:t>its devisers. This factor can be</w:t>
      </w:r>
      <w:r w:rsidR="00427468">
        <w:t xml:space="preserve"> of </w:t>
      </w:r>
      <w:r w:rsidRPr="001A3D2B">
        <w:t>interest to authors, journal editors,</w:t>
      </w:r>
      <w:r w:rsidR="005853A9">
        <w:t xml:space="preserve"> and </w:t>
      </w:r>
      <w:r w:rsidRPr="001A3D2B">
        <w:t>policy makers, but they should keep in mind</w:t>
      </w:r>
      <w:r w:rsidR="003A1917">
        <w:t xml:space="preserve"> the </w:t>
      </w:r>
      <w:r w:rsidRPr="001A3D2B">
        <w:t>complexity</w:t>
      </w:r>
      <w:r w:rsidR="00427468">
        <w:t xml:space="preserve"> of </w:t>
      </w:r>
      <w:r w:rsidR="003A1917">
        <w:t xml:space="preserve">the </w:t>
      </w:r>
      <w:r w:rsidRPr="001A3D2B">
        <w:t>determinants</w:t>
      </w:r>
      <w:r w:rsidR="00427468">
        <w:t xml:space="preserve"> of </w:t>
      </w:r>
      <w:r w:rsidRPr="001A3D2B">
        <w:t>impact factors while using them in coming to their particular kinds</w:t>
      </w:r>
      <w:r w:rsidR="00427468">
        <w:t xml:space="preserve"> of </w:t>
      </w:r>
      <w:r w:rsidRPr="001A3D2B">
        <w:t>decisions. A clearer picture</w:t>
      </w:r>
      <w:r w:rsidR="00427468">
        <w:t xml:space="preserve"> of </w:t>
      </w:r>
      <w:r w:rsidR="003A1917">
        <w:t xml:space="preserve">the </w:t>
      </w:r>
      <w:r w:rsidRPr="001A3D2B">
        <w:t>influence a journal may have in its own scientific field rather than among all scientific journals could come from a variant</w:t>
      </w:r>
      <w:r w:rsidR="00427468">
        <w:t xml:space="preserve"> of </w:t>
      </w:r>
      <w:r w:rsidR="003A1917">
        <w:t xml:space="preserve">the </w:t>
      </w:r>
      <w:r w:rsidRPr="001A3D2B">
        <w:t xml:space="preserve">impact factor, </w:t>
      </w:r>
      <w:r w:rsidR="0071223E">
        <w:t>‘</w:t>
      </w:r>
      <w:r w:rsidRPr="001A3D2B">
        <w:t>the scope-adjusted impact factor</w:t>
      </w:r>
      <w:r w:rsidR="0071223E">
        <w:t>’</w:t>
      </w:r>
      <w:r w:rsidR="00A37C1D">
        <w:t>. The</w:t>
      </w:r>
      <w:r w:rsidR="003A1917">
        <w:t xml:space="preserve"> </w:t>
      </w:r>
      <w:r w:rsidRPr="001A3D2B">
        <w:t>calculation</w:t>
      </w:r>
      <w:r w:rsidR="00427468">
        <w:t xml:space="preserve"> of </w:t>
      </w:r>
      <w:r w:rsidRPr="001A3D2B">
        <w:t xml:space="preserve">this variant impact factor is described. A table presents some </w:t>
      </w:r>
      <w:r w:rsidRPr="001A3D2B">
        <w:lastRenderedPageBreak/>
        <w:t>sample data from this calculation</w:t>
      </w:r>
      <w:r w:rsidR="005853A9">
        <w:t xml:space="preserve"> and </w:t>
      </w:r>
      <w:r w:rsidRPr="001A3D2B">
        <w:t>shows how</w:t>
      </w:r>
      <w:r w:rsidR="003A1917">
        <w:t xml:space="preserve"> the </w:t>
      </w:r>
      <w:r w:rsidRPr="001A3D2B">
        <w:t>relative positions</w:t>
      </w:r>
      <w:r w:rsidR="00427468">
        <w:t xml:space="preserve"> of </w:t>
      </w:r>
      <w:r w:rsidRPr="001A3D2B">
        <w:t>some major journals shift when they are ranked by this factor rather than</w:t>
      </w:r>
      <w:r w:rsidR="003A1917">
        <w:t xml:space="preserve"> the </w:t>
      </w:r>
      <w:r w:rsidRPr="001A3D2B">
        <w:t>unadjusted impact factor</w:t>
      </w:r>
      <w:r w:rsidR="00A37C1D">
        <w:t>. The</w:t>
      </w:r>
      <w:r w:rsidR="003A1917">
        <w:t xml:space="preserve"> </w:t>
      </w:r>
      <w:r w:rsidRPr="001A3D2B">
        <w:t>possible value</w:t>
      </w:r>
      <w:r w:rsidR="00427468">
        <w:t xml:space="preserve"> of </w:t>
      </w:r>
      <w:r w:rsidRPr="001A3D2B">
        <w:t>this variant factor may merit further testing.</w:t>
      </w:r>
    </w:p>
    <w:p w:rsidR="003474F2" w:rsidRPr="001A3D2B" w:rsidRDefault="003474F2" w:rsidP="003474F2">
      <w:pPr>
        <w:pStyle w:val="a3"/>
      </w:pPr>
      <w:r w:rsidRPr="001A3D2B">
        <w:t>Keywords: Bibliometrics, Citation Analysis, Impact Factor, Journal Article, Library Science, Medical Informatics, Periodicals, Publishing</w:t>
      </w:r>
    </w:p>
    <w:p w:rsidR="00DC3D00" w:rsidRPr="00C73C58" w:rsidRDefault="00DC3D00" w:rsidP="00DC3D00">
      <w:pPr>
        <w:pStyle w:val="a3"/>
      </w:pPr>
      <w:r>
        <w:t>? Marušić, M.</w:t>
      </w:r>
      <w:r w:rsidR="005853A9">
        <w:t xml:space="preserve"> and </w:t>
      </w:r>
      <w:r>
        <w:t>Marušić</w:t>
      </w:r>
      <w:r w:rsidRPr="00C73C58">
        <w:t xml:space="preserve">, A. (2001), Good editorial practice: Editors as educators. </w:t>
      </w:r>
      <w:r w:rsidRPr="00C73C58">
        <w:rPr>
          <w:i/>
          <w:iCs/>
        </w:rPr>
        <w:t>Croatian Medical Journal</w:t>
      </w:r>
      <w:r w:rsidRPr="00C73C58">
        <w:t xml:space="preserve">, </w:t>
      </w:r>
      <w:r w:rsidRPr="00C73C58">
        <w:rPr>
          <w:b/>
          <w:bCs/>
        </w:rPr>
        <w:t>42</w:t>
      </w:r>
      <w:r w:rsidRPr="00C73C58">
        <w:t xml:space="preserve"> (2), 113-120.</w:t>
      </w:r>
    </w:p>
    <w:p w:rsidR="003474F2" w:rsidRPr="001A3D2B" w:rsidRDefault="003474F2" w:rsidP="003474F2">
      <w:pPr>
        <w:pStyle w:val="a3"/>
      </w:pPr>
      <w:r w:rsidRPr="001A3D2B">
        <w:t xml:space="preserve">Full Text: </w:t>
      </w:r>
      <w:hyperlink r:id="rId1082" w:history="1">
        <w:r w:rsidRPr="001A3D2B">
          <w:rPr>
            <w:rStyle w:val="a5"/>
          </w:rPr>
          <w:t>2001\Cro Med J42, 113.pdf</w:t>
        </w:r>
      </w:hyperlink>
    </w:p>
    <w:p w:rsidR="003474F2" w:rsidRPr="001A3D2B" w:rsidRDefault="003474F2" w:rsidP="003474F2">
      <w:pPr>
        <w:pStyle w:val="a3"/>
      </w:pPr>
      <w:r w:rsidRPr="001A3D2B">
        <w:t>Abstract: There may be valuable research going on in</w:t>
      </w:r>
      <w:r w:rsidR="003A1917">
        <w:t xml:space="preserve"> the </w:t>
      </w:r>
      <w:r w:rsidRPr="001A3D2B">
        <w:t>developing</w:t>
      </w:r>
      <w:r w:rsidR="005853A9">
        <w:t xml:space="preserve"> and </w:t>
      </w:r>
      <w:r w:rsidRPr="001A3D2B">
        <w:t>financially less-privileged countries, but it usually does not reach international visibility, in spite</w:t>
      </w:r>
      <w:r w:rsidR="00427468">
        <w:t xml:space="preserve"> of </w:t>
      </w:r>
      <w:r w:rsidRPr="001A3D2B">
        <w:t>a large number</w:t>
      </w:r>
      <w:r w:rsidR="00427468">
        <w:t xml:space="preserve"> of </w:t>
      </w:r>
      <w:r w:rsidRPr="001A3D2B">
        <w:t>scientific journals in these countries. Such journals are not only invisible but, by perpetuating a vicious circle</w:t>
      </w:r>
      <w:r w:rsidR="00427468">
        <w:t xml:space="preserve"> of </w:t>
      </w:r>
      <w:r w:rsidRPr="001A3D2B">
        <w:t>inadequacy, may be directly damaging to</w:t>
      </w:r>
      <w:r w:rsidR="003A1917">
        <w:t xml:space="preserve"> the </w:t>
      </w:r>
      <w:r w:rsidRPr="001A3D2B">
        <w:t>local science</w:t>
      </w:r>
      <w:r w:rsidR="005853A9">
        <w:t xml:space="preserve"> and </w:t>
      </w:r>
      <w:r w:rsidRPr="001A3D2B">
        <w:t>research culture. We call for an international action to help journal editors in less privileged countries. International associations</w:t>
      </w:r>
      <w:r w:rsidR="00427468">
        <w:t xml:space="preserve"> of </w:t>
      </w:r>
      <w:r w:rsidRPr="001A3D2B">
        <w:t>editors may be leaders</w:t>
      </w:r>
      <w:r w:rsidR="00427468">
        <w:t xml:space="preserve"> of </w:t>
      </w:r>
      <w:r w:rsidRPr="001A3D2B">
        <w:t>these activities by defining, promoting,</w:t>
      </w:r>
      <w:r w:rsidR="005853A9">
        <w:t xml:space="preserve"> and </w:t>
      </w:r>
      <w:r w:rsidRPr="001A3D2B">
        <w:t>perhaps controlling good editorial practice, as a main criterion for international recognition</w:t>
      </w:r>
      <w:r w:rsidR="00427468">
        <w:t xml:space="preserve"> of </w:t>
      </w:r>
      <w:r w:rsidRPr="001A3D2B">
        <w:t>a journal. However,</w:t>
      </w:r>
      <w:r w:rsidR="003A1917">
        <w:t xml:space="preserve"> the </w:t>
      </w:r>
      <w:r w:rsidRPr="001A3D2B">
        <w:t>editors</w:t>
      </w:r>
      <w:r w:rsidR="00427468">
        <w:t xml:space="preserve"> of </w:t>
      </w:r>
      <w:r w:rsidRPr="001A3D2B">
        <w:t>small journals have</w:t>
      </w:r>
      <w:r w:rsidR="003A1917">
        <w:t xml:space="preserve"> the </w:t>
      </w:r>
      <w:r w:rsidRPr="001A3D2B">
        <w:t>power</w:t>
      </w:r>
      <w:r w:rsidR="005853A9">
        <w:t xml:space="preserve"> and </w:t>
      </w:r>
      <w:r w:rsidRPr="001A3D2B">
        <w:t>moral obligation to become a stronghold</w:t>
      </w:r>
      <w:r w:rsidR="00427468">
        <w:t xml:space="preserve"> of </w:t>
      </w:r>
      <w:r w:rsidRPr="001A3D2B">
        <w:t>quality</w:t>
      </w:r>
      <w:r w:rsidR="005853A9">
        <w:t xml:space="preserve"> and </w:t>
      </w:r>
      <w:r w:rsidRPr="001A3D2B">
        <w:t>advancement in their scientific community</w:t>
      </w:r>
      <w:r w:rsidR="00A37C1D">
        <w:t>. The</w:t>
      </w:r>
      <w:r w:rsidRPr="001A3D2B">
        <w:t xml:space="preserve">ir educational </w:t>
      </w:r>
      <w:r w:rsidR="0071223E">
        <w:t>‘</w:t>
      </w:r>
      <w:r w:rsidRPr="001A3D2B">
        <w:t>tools</w:t>
      </w:r>
      <w:r w:rsidR="0071223E">
        <w:t>’</w:t>
      </w:r>
      <w:r w:rsidRPr="001A3D2B">
        <w:t xml:space="preserve"> are editorial integrity</w:t>
      </w:r>
      <w:r w:rsidR="005853A9">
        <w:t xml:space="preserve"> and </w:t>
      </w:r>
      <w:r w:rsidRPr="001A3D2B">
        <w:t>author-friendly policy. Editors can teach</w:t>
      </w:r>
      <w:r w:rsidR="003A1917">
        <w:t xml:space="preserve"> the </w:t>
      </w:r>
      <w:r w:rsidRPr="001A3D2B">
        <w:t>authors study design statistical analysis, precision, punctuality, research integrity, style</w:t>
      </w:r>
      <w:r w:rsidR="005853A9">
        <w:t xml:space="preserve"> and </w:t>
      </w:r>
      <w:r w:rsidRPr="001A3D2B">
        <w:t>format</w:t>
      </w:r>
      <w:r w:rsidR="00427468">
        <w:t xml:space="preserve"> of </w:t>
      </w:r>
      <w:r w:rsidRPr="001A3D2B">
        <w:t>writing,</w:t>
      </w:r>
      <w:r w:rsidR="005853A9">
        <w:t xml:space="preserve"> and </w:t>
      </w:r>
      <w:r w:rsidRPr="001A3D2B">
        <w:t>other aspects</w:t>
      </w:r>
      <w:r w:rsidR="00427468">
        <w:t xml:space="preserve"> of </w:t>
      </w:r>
      <w:r w:rsidRPr="001A3D2B">
        <w:t>scientific communication</w:t>
      </w:r>
      <w:r w:rsidR="00A37C1D">
        <w:t>. The</w:t>
      </w:r>
      <w:r w:rsidR="003A1917">
        <w:t xml:space="preserve"> </w:t>
      </w:r>
      <w:r w:rsidRPr="001A3D2B">
        <w:t>editors</w:t>
      </w:r>
      <w:r w:rsidR="00427468">
        <w:t xml:space="preserve"> of </w:t>
      </w:r>
      <w:r w:rsidR="0071223E">
        <w:t>‘</w:t>
      </w:r>
      <w:r w:rsidRPr="001A3D2B">
        <w:t>big</w:t>
      </w:r>
      <w:r w:rsidR="0071223E">
        <w:t>’</w:t>
      </w:r>
      <w:r w:rsidRPr="001A3D2B">
        <w:t>, mainstream scientific journals can act as global educators, teaching</w:t>
      </w:r>
      <w:r w:rsidR="005853A9">
        <w:t xml:space="preserve"> and </w:t>
      </w:r>
      <w:r w:rsidRPr="001A3D2B">
        <w:t>providing guidance to editors</w:t>
      </w:r>
      <w:r w:rsidR="00427468">
        <w:t xml:space="preserve"> of </w:t>
      </w:r>
      <w:r w:rsidRPr="001A3D2B">
        <w:t>small journals</w:t>
      </w:r>
      <w:r w:rsidR="00A37C1D">
        <w:t>. The</w:t>
      </w:r>
      <w:r w:rsidR="003A1917">
        <w:t xml:space="preserve"> </w:t>
      </w:r>
      <w:r w:rsidRPr="001A3D2B">
        <w:t>editors from developed countries as leaders,</w:t>
      </w:r>
      <w:r w:rsidR="005853A9">
        <w:t xml:space="preserve"> and </w:t>
      </w:r>
      <w:r w:rsidRPr="001A3D2B">
        <w:t>editors from less advantageous environments as teachers are</w:t>
      </w:r>
      <w:r w:rsidR="003A1917">
        <w:t xml:space="preserve"> the </w:t>
      </w:r>
      <w:r w:rsidRPr="001A3D2B">
        <w:t>key figures in shaping research communication in less privileged scientific communities.</w:t>
      </w:r>
    </w:p>
    <w:p w:rsidR="003474F2" w:rsidRPr="001A3D2B" w:rsidRDefault="003474F2" w:rsidP="003474F2">
      <w:pPr>
        <w:pStyle w:val="a3"/>
      </w:pPr>
      <w:r w:rsidRPr="001A3D2B">
        <w:t>Keywords: Bibliometrics, Cross-Cultural Comparison, Education, Professional, Retraining, Indexing, Journals, Periodicals, Practice Guidelines, Practice Patterns, Professional, Publishing, Training Support, Journals, Publication, Countries</w:t>
      </w:r>
    </w:p>
    <w:p w:rsidR="003474F2" w:rsidRPr="001A3D2B" w:rsidRDefault="003474F2" w:rsidP="003474F2">
      <w:pPr>
        <w:pStyle w:val="a3"/>
      </w:pPr>
      <w:r w:rsidRPr="001A3D2B">
        <w:t>? Bashchinskiy, S., Callaham, M., Chalmers, I., El-Badawi, M., Fletcher, R.H., Fletcher, S.W., Godlee, F., Marusic, A., Ncayiyana, D., Nylenna, M., Overbeke, J., Pini, P., Pitkin, R., Qian, S.C., Rennie, D., Reyes, H., Sahni, P., Squire, B., Utiger, T.</w:t>
      </w:r>
      <w:r w:rsidR="005853A9">
        <w:t xml:space="preserve"> and </w:t>
      </w:r>
      <w:r w:rsidRPr="001A3D2B">
        <w:t>Winker, M. (2001), Report</w:t>
      </w:r>
      <w:r w:rsidR="00427468">
        <w:t xml:space="preserve"> of </w:t>
      </w:r>
      <w:r w:rsidR="003A1917">
        <w:t xml:space="preserve">the </w:t>
      </w:r>
      <w:r w:rsidRPr="001A3D2B">
        <w:t>World Association</w:t>
      </w:r>
      <w:r w:rsidR="00427468">
        <w:t xml:space="preserve"> of </w:t>
      </w:r>
      <w:r w:rsidRPr="001A3D2B">
        <w:t>Medical Editors: Agenda for</w:t>
      </w:r>
      <w:r w:rsidR="003A1917">
        <w:t xml:space="preserve"> the </w:t>
      </w:r>
      <w:r w:rsidRPr="001A3D2B">
        <w:t xml:space="preserve">future. </w:t>
      </w:r>
      <w:r w:rsidRPr="001A3D2B">
        <w:rPr>
          <w:i/>
          <w:iCs/>
        </w:rPr>
        <w:t>Croatian Medical Journal</w:t>
      </w:r>
      <w:r w:rsidRPr="001A3D2B">
        <w:t xml:space="preserve">, </w:t>
      </w:r>
      <w:r w:rsidRPr="001A3D2B">
        <w:rPr>
          <w:b/>
          <w:bCs/>
        </w:rPr>
        <w:t>42</w:t>
      </w:r>
      <w:r w:rsidRPr="001A3D2B">
        <w:t xml:space="preserve"> (2), 121-126.</w:t>
      </w:r>
    </w:p>
    <w:p w:rsidR="003474F2" w:rsidRPr="001A3D2B" w:rsidRDefault="003474F2" w:rsidP="003474F2">
      <w:pPr>
        <w:pStyle w:val="a3"/>
      </w:pPr>
      <w:r w:rsidRPr="001A3D2B">
        <w:t xml:space="preserve">Full Text: </w:t>
      </w:r>
      <w:hyperlink r:id="rId1083" w:history="1">
        <w:r w:rsidRPr="001A3D2B">
          <w:rPr>
            <w:rStyle w:val="a5"/>
          </w:rPr>
          <w:t>2001\Cro Med J42, 121.pdf</w:t>
        </w:r>
      </w:hyperlink>
    </w:p>
    <w:p w:rsidR="003474F2" w:rsidRPr="001A3D2B" w:rsidRDefault="003474F2" w:rsidP="003474F2">
      <w:pPr>
        <w:pStyle w:val="a3"/>
      </w:pPr>
      <w:r w:rsidRPr="001A3D2B">
        <w:t>Abstract: During a 3-day meeting at Bellagio in January 2001, a group</w:t>
      </w:r>
      <w:r w:rsidR="00427468">
        <w:t xml:space="preserve"> of </w:t>
      </w:r>
      <w:r w:rsidRPr="001A3D2B">
        <w:t>20 editors from 12 countries in 5 continents met to map out a strategy for</w:t>
      </w:r>
      <w:r w:rsidR="003A1917">
        <w:t xml:space="preserve"> the </w:t>
      </w:r>
      <w:r w:rsidRPr="001A3D2B">
        <w:t>World Association</w:t>
      </w:r>
      <w:r w:rsidR="00427468">
        <w:t xml:space="preserve"> of </w:t>
      </w:r>
      <w:r w:rsidRPr="001A3D2B">
        <w:t>Medical Editors (WAME)</w:t>
      </w:r>
      <w:r w:rsidR="0071223E">
        <w:t>’</w:t>
      </w:r>
      <w:r w:rsidR="00C13DDC">
        <w:t>s</w:t>
      </w:r>
      <w:r w:rsidRPr="001A3D2B">
        <w:t xml:space="preserve"> continued development in</w:t>
      </w:r>
      <w:r w:rsidR="003A1917">
        <w:t xml:space="preserve"> the </w:t>
      </w:r>
      <w:r w:rsidRPr="001A3D2B">
        <w:t>service</w:t>
      </w:r>
      <w:r w:rsidR="00427468">
        <w:t xml:space="preserve"> of </w:t>
      </w:r>
      <w:r w:rsidRPr="001A3D2B">
        <w:t>medical editors over</w:t>
      </w:r>
      <w:r w:rsidR="003A1917">
        <w:t xml:space="preserve"> the </w:t>
      </w:r>
      <w:r w:rsidRPr="001A3D2B">
        <w:t>next several years</w:t>
      </w:r>
      <w:r w:rsidR="00A37C1D">
        <w:t>. The</w:t>
      </w:r>
      <w:r w:rsidR="003A1917">
        <w:t xml:space="preserve"> </w:t>
      </w:r>
      <w:r w:rsidRPr="001A3D2B">
        <w:t>group: 1) Developed a statement</w:t>
      </w:r>
      <w:r w:rsidR="00427468">
        <w:t xml:space="preserve"> of </w:t>
      </w:r>
      <w:r w:rsidRPr="001A3D2B">
        <w:lastRenderedPageBreak/>
        <w:t>principles on</w:t>
      </w:r>
      <w:r w:rsidR="003A1917">
        <w:t xml:space="preserve"> the </w:t>
      </w:r>
      <w:r w:rsidRPr="001A3D2B">
        <w:t>standards</w:t>
      </w:r>
      <w:r w:rsidR="00427468">
        <w:t xml:space="preserve"> of </w:t>
      </w:r>
      <w:r w:rsidRPr="001A3D2B">
        <w:t>professionalism</w:t>
      </w:r>
      <w:r w:rsidR="005853A9">
        <w:t xml:space="preserve"> and </w:t>
      </w:r>
      <w:r w:rsidRPr="001A3D2B">
        <w:t>responsibilities</w:t>
      </w:r>
      <w:r w:rsidR="00427468">
        <w:t xml:space="preserve"> of </w:t>
      </w:r>
      <w:r w:rsidRPr="001A3D2B">
        <w:t>editors (this statement will be posted on</w:t>
      </w:r>
      <w:r w:rsidR="003A1917">
        <w:t xml:space="preserve"> the </w:t>
      </w:r>
      <w:r w:rsidRPr="001A3D2B">
        <w:t>Web site after electronic consultation with</w:t>
      </w:r>
      <w:r w:rsidR="005853A9">
        <w:t xml:space="preserve"> and </w:t>
      </w:r>
      <w:r w:rsidRPr="001A3D2B">
        <w:t>comment by WAME editors); 2) Agreed to assess</w:t>
      </w:r>
      <w:r w:rsidR="003A1917">
        <w:t xml:space="preserve"> the </w:t>
      </w:r>
      <w:r w:rsidRPr="001A3D2B">
        <w:t>extent to which these principles are reflected in practice</w:t>
      </w:r>
      <w:r w:rsidR="005853A9">
        <w:t xml:space="preserve"> and </w:t>
      </w:r>
      <w:r w:rsidRPr="001A3D2B">
        <w:t>to explore barriers to their adoption, using data from a survey</w:t>
      </w:r>
      <w:r w:rsidR="005853A9">
        <w:t xml:space="preserve"> and </w:t>
      </w:r>
      <w:r w:rsidRPr="001A3D2B">
        <w:t>focus groups; 3) Developed</w:t>
      </w:r>
      <w:r w:rsidR="005853A9">
        <w:t xml:space="preserve"> and </w:t>
      </w:r>
      <w:r w:rsidRPr="001A3D2B">
        <w:t>outlined an on-line program for distance learning, targeted at new editors; 4) Planned for formal evaluation</w:t>
      </w:r>
      <w:r w:rsidR="00427468">
        <w:t xml:space="preserve"> of </w:t>
      </w:r>
      <w:r w:rsidR="003A1917">
        <w:t xml:space="preserve">the </w:t>
      </w:r>
      <w:r w:rsidRPr="001A3D2B">
        <w:t>educational outreach program;</w:t>
      </w:r>
      <w:r w:rsidR="005853A9">
        <w:t xml:space="preserve"> and </w:t>
      </w:r>
      <w:r w:rsidRPr="001A3D2B">
        <w:t>5) Agreed to support regional initiatives to strengthen local editorial capacity. Underpinning all past</w:t>
      </w:r>
      <w:r w:rsidR="005853A9">
        <w:t xml:space="preserve"> and </w:t>
      </w:r>
      <w:r w:rsidRPr="001A3D2B">
        <w:t>proposed future activities is</w:t>
      </w:r>
      <w:r w:rsidR="003A1917">
        <w:t xml:space="preserve"> the </w:t>
      </w:r>
      <w:r w:rsidRPr="001A3D2B">
        <w:t>WAME Web site</w:t>
      </w:r>
      <w:r w:rsidR="00A37C1D">
        <w:t>. The</w:t>
      </w:r>
      <w:r w:rsidR="003A1917">
        <w:t xml:space="preserve"> </w:t>
      </w:r>
      <w:r w:rsidRPr="001A3D2B">
        <w:t>ambitious plans outlined above will require extensive development</w:t>
      </w:r>
      <w:r w:rsidR="00427468">
        <w:t xml:space="preserve"> of </w:t>
      </w:r>
      <w:r w:rsidR="003A1917">
        <w:t xml:space="preserve">the </w:t>
      </w:r>
      <w:r w:rsidRPr="001A3D2B">
        <w:t>site, plans for which were made at</w:t>
      </w:r>
      <w:r w:rsidR="003A1917">
        <w:t xml:space="preserve"> the </w:t>
      </w:r>
      <w:r w:rsidRPr="001A3D2B">
        <w:t>Bellagio meeting.</w:t>
      </w:r>
    </w:p>
    <w:p w:rsidR="003474F2" w:rsidRPr="001A3D2B" w:rsidRDefault="003474F2" w:rsidP="003474F2">
      <w:pPr>
        <w:pStyle w:val="a3"/>
      </w:pPr>
      <w:r w:rsidRPr="001A3D2B">
        <w:t>Keywords: Bibliometrics, Education, Professional, Refraining, Journalism, Medical, Manuscripts, Medical, Periodicals, Practice Guidelines, Practice Patterns, Professional, Publishing, Training Support</w:t>
      </w:r>
    </w:p>
    <w:p w:rsidR="003474F2" w:rsidRPr="001A3D2B" w:rsidRDefault="003474F2" w:rsidP="003474F2">
      <w:pPr>
        <w:pStyle w:val="a3"/>
      </w:pPr>
      <w:r w:rsidRPr="001A3D2B">
        <w:t>? Sharp, D. (2002), Kipling</w:t>
      </w:r>
      <w:r w:rsidR="0071223E">
        <w:t>’</w:t>
      </w:r>
      <w:r w:rsidR="00C13DDC">
        <w:t>s</w:t>
      </w:r>
      <w:r w:rsidRPr="001A3D2B">
        <w:t xml:space="preserve"> guide to writing a scientific paper. </w:t>
      </w:r>
      <w:r w:rsidRPr="001A3D2B">
        <w:rPr>
          <w:i/>
          <w:iCs/>
        </w:rPr>
        <w:t>Croatian Medical Journal</w:t>
      </w:r>
      <w:r w:rsidRPr="001A3D2B">
        <w:t xml:space="preserve">, </w:t>
      </w:r>
      <w:r w:rsidRPr="001A3D2B">
        <w:rPr>
          <w:b/>
          <w:bCs/>
        </w:rPr>
        <w:t>43</w:t>
      </w:r>
      <w:r w:rsidRPr="001A3D2B">
        <w:t xml:space="preserve"> (3), 262-267.</w:t>
      </w:r>
    </w:p>
    <w:p w:rsidR="003474F2" w:rsidRPr="001A3D2B" w:rsidRDefault="003474F2" w:rsidP="003474F2">
      <w:pPr>
        <w:pStyle w:val="a3"/>
      </w:pPr>
      <w:r w:rsidRPr="001A3D2B">
        <w:t xml:space="preserve">Full Text: </w:t>
      </w:r>
      <w:hyperlink r:id="rId1084" w:history="1">
        <w:r w:rsidRPr="001A3D2B">
          <w:rPr>
            <w:rStyle w:val="a5"/>
          </w:rPr>
          <w:t>2002\Cro Med J43, 262.pdf</w:t>
        </w:r>
      </w:hyperlink>
    </w:p>
    <w:p w:rsidR="003474F2" w:rsidRPr="001A3D2B" w:rsidRDefault="003474F2" w:rsidP="003474F2">
      <w:pPr>
        <w:pStyle w:val="a3"/>
      </w:pPr>
      <w:r w:rsidRPr="001A3D2B">
        <w:t>Abstract:</w:t>
      </w:r>
      <w:r w:rsidR="003A1917">
        <w:t xml:space="preserve"> the </w:t>
      </w:r>
      <w:r w:rsidRPr="001A3D2B">
        <w:t>generally accepted structure</w:t>
      </w:r>
      <w:r w:rsidR="00427468">
        <w:t xml:space="preserve"> of </w:t>
      </w:r>
      <w:r w:rsidRPr="001A3D2B">
        <w:t>a scientific paper is four sections, an introduction, a methods section,</w:t>
      </w:r>
      <w:r w:rsidR="003A1917">
        <w:t xml:space="preserve"> the </w:t>
      </w:r>
      <w:r w:rsidRPr="001A3D2B">
        <w:t>results,</w:t>
      </w:r>
      <w:r w:rsidR="005853A9">
        <w:t xml:space="preserve"> and </w:t>
      </w:r>
      <w:r w:rsidRPr="001A3D2B">
        <w:t>a discussion. This so-called IMRaD format is, with a few small variations, found in most research articles in biomedical journals. However, as a guide for someone writing up research data for</w:t>
      </w:r>
      <w:r w:rsidR="003A1917">
        <w:t xml:space="preserve"> the </w:t>
      </w:r>
      <w:r w:rsidRPr="001A3D2B">
        <w:t>first time, it is far from complete for example, there is no T for title or even S for summary. Nor does IMRaD explain what belongs in which section</w:t>
      </w:r>
      <w:r w:rsidR="005853A9">
        <w:t xml:space="preserve"> and </w:t>
      </w:r>
      <w:r w:rsidRPr="001A3D2B">
        <w:t>how much should be included in or excluded from any section. As a supplement to, but nota replacement for, IMRaD research-workers could bear in mind</w:t>
      </w:r>
      <w:r w:rsidR="003A1917">
        <w:t xml:space="preserve"> the </w:t>
      </w:r>
      <w:r w:rsidR="0071223E">
        <w:t>‘</w:t>
      </w:r>
      <w:r w:rsidR="00C13DDC">
        <w:t>s</w:t>
      </w:r>
      <w:r w:rsidRPr="001A3D2B">
        <w:t>ix honest serving-men</w:t>
      </w:r>
      <w:r w:rsidR="0071223E">
        <w:t>’</w:t>
      </w:r>
      <w:r w:rsidR="00427468">
        <w:t xml:space="preserve"> of </w:t>
      </w:r>
      <w:r w:rsidR="003A1917">
        <w:t xml:space="preserve">the </w:t>
      </w:r>
      <w:r w:rsidRPr="001A3D2B">
        <w:t>poet Rudyard Kipling</w:t>
      </w:r>
      <w:r w:rsidR="00A37C1D">
        <w:t>. The</w:t>
      </w:r>
      <w:r w:rsidRPr="001A3D2B">
        <w:t>se writer</w:t>
      </w:r>
      <w:r w:rsidR="0071223E">
        <w:t>’</w:t>
      </w:r>
      <w:r w:rsidR="00C13DDC">
        <w:t>s</w:t>
      </w:r>
      <w:r w:rsidRPr="001A3D2B">
        <w:t xml:space="preserve"> servants are called What, Why, When, How, Where,</w:t>
      </w:r>
      <w:r w:rsidR="005853A9">
        <w:t xml:space="preserve"> and </w:t>
      </w:r>
      <w:r w:rsidRPr="001A3D2B">
        <w:t>Who,</w:t>
      </w:r>
      <w:r w:rsidR="005853A9">
        <w:t xml:space="preserve"> and </w:t>
      </w:r>
      <w:r w:rsidRPr="001A3D2B">
        <w:t>they can be applied to all parts</w:t>
      </w:r>
      <w:r w:rsidR="00427468">
        <w:t xml:space="preserve"> of </w:t>
      </w:r>
      <w:r w:rsidR="003A1917">
        <w:t xml:space="preserve">the </w:t>
      </w:r>
      <w:r w:rsidRPr="001A3D2B">
        <w:t>paper from its title down to</w:t>
      </w:r>
      <w:r w:rsidR="003A1917">
        <w:t xml:space="preserve"> the </w:t>
      </w:r>
      <w:r w:rsidRPr="001A3D2B">
        <w:t>tables.</w:t>
      </w:r>
    </w:p>
    <w:p w:rsidR="003474F2" w:rsidRPr="001A3D2B" w:rsidRDefault="003474F2" w:rsidP="003474F2">
      <w:pPr>
        <w:pStyle w:val="a3"/>
      </w:pPr>
      <w:r w:rsidRPr="001A3D2B">
        <w:t>Keywords: Authorship, Journal Article, Journalism, Medical, Periodicals, Science, Writing</w:t>
      </w:r>
    </w:p>
    <w:p w:rsidR="00DC3D00" w:rsidRDefault="00DC3D00" w:rsidP="00DC3D00">
      <w:pPr>
        <w:pStyle w:val="a3"/>
        <w:rPr>
          <w:kern w:val="0"/>
        </w:rPr>
      </w:pPr>
      <w:r>
        <w:rPr>
          <w:rFonts w:hint="eastAsia"/>
          <w:kern w:val="0"/>
        </w:rPr>
        <w:t xml:space="preserve">? </w:t>
      </w:r>
      <w:r>
        <w:rPr>
          <w:kern w:val="0"/>
        </w:rPr>
        <w:t>Petrak, J.</w:t>
      </w:r>
      <w:r w:rsidR="005853A9">
        <w:rPr>
          <w:kern w:val="0"/>
        </w:rPr>
        <w:t xml:space="preserve"> and </w:t>
      </w:r>
      <w:r>
        <w:rPr>
          <w:kern w:val="0"/>
        </w:rPr>
        <w:t xml:space="preserve">Božikov, J. (2003), Journal publications from Zagreb University Medical School in 1995-1999. </w:t>
      </w:r>
      <w:r>
        <w:rPr>
          <w:i/>
          <w:iCs/>
          <w:kern w:val="0"/>
        </w:rPr>
        <w:t>Croatian Medical Journal</w:t>
      </w:r>
      <w:r>
        <w:rPr>
          <w:kern w:val="0"/>
        </w:rPr>
        <w:t xml:space="preserve">, </w:t>
      </w:r>
      <w:r>
        <w:rPr>
          <w:b/>
          <w:bCs/>
          <w:kern w:val="0"/>
        </w:rPr>
        <w:t>44</w:t>
      </w:r>
      <w:r>
        <w:rPr>
          <w:kern w:val="0"/>
        </w:rPr>
        <w:t xml:space="preserve"> (6), 681-689.</w:t>
      </w:r>
    </w:p>
    <w:p w:rsidR="00DC3D00" w:rsidRPr="001A3D2B" w:rsidRDefault="00DC3D00" w:rsidP="00DC3D00">
      <w:pPr>
        <w:pStyle w:val="a3"/>
      </w:pPr>
      <w:r w:rsidRPr="001A3D2B">
        <w:t xml:space="preserve">Full Text: </w:t>
      </w:r>
      <w:hyperlink r:id="rId1085" w:history="1">
        <w:r w:rsidRPr="00DC3D00">
          <w:rPr>
            <w:rStyle w:val="a5"/>
          </w:rPr>
          <w:t>2003\Cro Med J44, 681.pdf</w:t>
        </w:r>
      </w:hyperlink>
    </w:p>
    <w:p w:rsidR="00DC3D00" w:rsidRDefault="00DC3D00" w:rsidP="00DC3D00">
      <w:pPr>
        <w:pStyle w:val="a3"/>
        <w:rPr>
          <w:kern w:val="0"/>
        </w:rPr>
      </w:pPr>
      <w:r>
        <w:rPr>
          <w:kern w:val="0"/>
        </w:rPr>
        <w:t>Abstract: Aim. To analyze a five-year publication output</w:t>
      </w:r>
      <w:r w:rsidR="00427468">
        <w:rPr>
          <w:kern w:val="0"/>
        </w:rPr>
        <w:t xml:space="preserve"> of </w:t>
      </w:r>
      <w:r w:rsidR="003A1917">
        <w:rPr>
          <w:kern w:val="0"/>
        </w:rPr>
        <w:t xml:space="preserve">the </w:t>
      </w:r>
      <w:r>
        <w:rPr>
          <w:kern w:val="0"/>
        </w:rPr>
        <w:t>Zagreb University Medical School in scientific journals, especially in</w:t>
      </w:r>
      <w:r w:rsidR="003A1917">
        <w:rPr>
          <w:kern w:val="0"/>
        </w:rPr>
        <w:t xml:space="preserve"> the </w:t>
      </w:r>
      <w:r>
        <w:rPr>
          <w:kern w:val="0"/>
        </w:rPr>
        <w:t>journals covered by</w:t>
      </w:r>
      <w:r w:rsidR="003A1917">
        <w:rPr>
          <w:kern w:val="0"/>
        </w:rPr>
        <w:t xml:space="preserve"> the </w:t>
      </w:r>
      <w:r>
        <w:rPr>
          <w:kern w:val="0"/>
        </w:rPr>
        <w:t>Current Contents (CC), bibliographic database</w:t>
      </w:r>
      <w:r w:rsidR="00427468">
        <w:rPr>
          <w:kern w:val="0"/>
        </w:rPr>
        <w:t xml:space="preserve"> of </w:t>
      </w:r>
      <w:r w:rsidR="003A1917">
        <w:rPr>
          <w:kern w:val="0"/>
        </w:rPr>
        <w:t xml:space="preserve">the </w:t>
      </w:r>
      <w:r>
        <w:rPr>
          <w:kern w:val="0"/>
        </w:rPr>
        <w:t>Institute for Scientific Information. Methods. Medical School</w:t>
      </w:r>
      <w:r w:rsidR="00427468">
        <w:rPr>
          <w:kern w:val="0"/>
        </w:rPr>
        <w:t xml:space="preserve"> of </w:t>
      </w:r>
      <w:r w:rsidR="003A1917">
        <w:rPr>
          <w:kern w:val="0"/>
        </w:rPr>
        <w:t xml:space="preserve">the </w:t>
      </w:r>
      <w:r>
        <w:rPr>
          <w:kern w:val="0"/>
        </w:rPr>
        <w:t>Zagreb University is organized in 10 preclinical, 6 public health,</w:t>
      </w:r>
      <w:r w:rsidR="005853A9">
        <w:rPr>
          <w:kern w:val="0"/>
        </w:rPr>
        <w:t xml:space="preserve"> and </w:t>
      </w:r>
      <w:r>
        <w:rPr>
          <w:kern w:val="0"/>
        </w:rPr>
        <w:t>17 clinical departments, with 359 faculty members. Research activity is important for</w:t>
      </w:r>
      <w:r w:rsidR="003A1917">
        <w:rPr>
          <w:kern w:val="0"/>
        </w:rPr>
        <w:t xml:space="preserve"> the </w:t>
      </w:r>
      <w:r>
        <w:rPr>
          <w:kern w:val="0"/>
        </w:rPr>
        <w:t>academic promotion, with</w:t>
      </w:r>
      <w:r w:rsidR="003A1917">
        <w:rPr>
          <w:kern w:val="0"/>
        </w:rPr>
        <w:t xml:space="preserve"> the </w:t>
      </w:r>
      <w:r>
        <w:rPr>
          <w:kern w:val="0"/>
        </w:rPr>
        <w:t>number</w:t>
      </w:r>
      <w:r w:rsidR="00427468">
        <w:rPr>
          <w:kern w:val="0"/>
        </w:rPr>
        <w:t xml:space="preserve"> of </w:t>
      </w:r>
      <w:r>
        <w:rPr>
          <w:kern w:val="0"/>
        </w:rPr>
        <w:lastRenderedPageBreak/>
        <w:t>publications (especially in journals covered by CC)</w:t>
      </w:r>
      <w:r w:rsidR="005853A9">
        <w:rPr>
          <w:kern w:val="0"/>
        </w:rPr>
        <w:t xml:space="preserve"> and </w:t>
      </w:r>
      <w:r>
        <w:rPr>
          <w:kern w:val="0"/>
        </w:rPr>
        <w:t>their impact as a key element. Bibliographic data on</w:t>
      </w:r>
      <w:r w:rsidR="003A1917">
        <w:rPr>
          <w:kern w:val="0"/>
        </w:rPr>
        <w:t xml:space="preserve"> the </w:t>
      </w:r>
      <w:r>
        <w:rPr>
          <w:kern w:val="0"/>
        </w:rPr>
        <w:t>published papers by</w:t>
      </w:r>
      <w:r w:rsidR="003A1917">
        <w:rPr>
          <w:kern w:val="0"/>
        </w:rPr>
        <w:t xml:space="preserve"> the </w:t>
      </w:r>
      <w:r>
        <w:rPr>
          <w:kern w:val="0"/>
        </w:rPr>
        <w:t>authors affiliated to</w:t>
      </w:r>
      <w:r w:rsidR="003A1917">
        <w:rPr>
          <w:kern w:val="0"/>
        </w:rPr>
        <w:t xml:space="preserve"> the </w:t>
      </w:r>
      <w:r>
        <w:rPr>
          <w:kern w:val="0"/>
        </w:rPr>
        <w:t>Zagreb University Medical School in</w:t>
      </w:r>
      <w:r w:rsidR="003A1917">
        <w:rPr>
          <w:kern w:val="0"/>
        </w:rPr>
        <w:t xml:space="preserve"> the </w:t>
      </w:r>
      <w:r>
        <w:rPr>
          <w:kern w:val="0"/>
        </w:rPr>
        <w:t>1995-1999 period were searched in</w:t>
      </w:r>
      <w:r w:rsidR="003A1917">
        <w:rPr>
          <w:kern w:val="0"/>
        </w:rPr>
        <w:t xml:space="preserve"> the </w:t>
      </w:r>
      <w:r>
        <w:rPr>
          <w:kern w:val="0"/>
        </w:rPr>
        <w:t>CC</w:t>
      </w:r>
      <w:r w:rsidR="005853A9">
        <w:rPr>
          <w:kern w:val="0"/>
        </w:rPr>
        <w:t xml:space="preserve"> and </w:t>
      </w:r>
      <w:r>
        <w:rPr>
          <w:kern w:val="0"/>
        </w:rPr>
        <w:t>Biomedicina Croatica databases, according to</w:t>
      </w:r>
      <w:r w:rsidR="003A1917">
        <w:rPr>
          <w:kern w:val="0"/>
        </w:rPr>
        <w:t xml:space="preserve"> the </w:t>
      </w:r>
      <w:r>
        <w:rPr>
          <w:kern w:val="0"/>
        </w:rPr>
        <w:t>official faculty name list</w:t>
      </w:r>
      <w:r w:rsidR="00A37C1D">
        <w:rPr>
          <w:kern w:val="0"/>
        </w:rPr>
        <w:t>. The</w:t>
      </w:r>
      <w:r w:rsidR="003A1917">
        <w:rPr>
          <w:kern w:val="0"/>
        </w:rPr>
        <w:t xml:space="preserve"> </w:t>
      </w:r>
      <w:r>
        <w:rPr>
          <w:kern w:val="0"/>
        </w:rPr>
        <w:t>collected data were classified into three groups according to</w:t>
      </w:r>
      <w:r w:rsidR="003A1917">
        <w:rPr>
          <w:kern w:val="0"/>
        </w:rPr>
        <w:t xml:space="preserve"> the </w:t>
      </w:r>
      <w:r>
        <w:rPr>
          <w:kern w:val="0"/>
        </w:rPr>
        <w:t>source journals: papers published in international journals covered by</w:t>
      </w:r>
      <w:r w:rsidR="003A1917">
        <w:rPr>
          <w:kern w:val="0"/>
        </w:rPr>
        <w:t xml:space="preserve"> the </w:t>
      </w:r>
      <w:r>
        <w:rPr>
          <w:kern w:val="0"/>
        </w:rPr>
        <w:t>CC, Croatian journals covered by</w:t>
      </w:r>
      <w:r w:rsidR="003A1917">
        <w:rPr>
          <w:kern w:val="0"/>
        </w:rPr>
        <w:t xml:space="preserve"> the </w:t>
      </w:r>
      <w:r>
        <w:rPr>
          <w:kern w:val="0"/>
        </w:rPr>
        <w:t>CC,</w:t>
      </w:r>
      <w:r w:rsidR="005853A9">
        <w:rPr>
          <w:kern w:val="0"/>
        </w:rPr>
        <w:t xml:space="preserve"> and </w:t>
      </w:r>
      <w:r>
        <w:rPr>
          <w:kern w:val="0"/>
        </w:rPr>
        <w:t>Croatian journals not covered by</w:t>
      </w:r>
      <w:r w:rsidR="003A1917">
        <w:rPr>
          <w:kern w:val="0"/>
        </w:rPr>
        <w:t xml:space="preserve"> the </w:t>
      </w:r>
      <w:r>
        <w:rPr>
          <w:kern w:val="0"/>
        </w:rPr>
        <w:t>CC</w:t>
      </w:r>
      <w:r w:rsidR="00A37C1D">
        <w:rPr>
          <w:kern w:val="0"/>
        </w:rPr>
        <w:t>. The</w:t>
      </w:r>
      <w:r w:rsidR="003A1917">
        <w:rPr>
          <w:kern w:val="0"/>
        </w:rPr>
        <w:t xml:space="preserve"> </w:t>
      </w:r>
      <w:r>
        <w:rPr>
          <w:kern w:val="0"/>
        </w:rPr>
        <w:t>publication production was measured on individual</w:t>
      </w:r>
      <w:r w:rsidR="005853A9">
        <w:rPr>
          <w:kern w:val="0"/>
        </w:rPr>
        <w:t xml:space="preserve"> and </w:t>
      </w:r>
      <w:r>
        <w:rPr>
          <w:kern w:val="0"/>
        </w:rPr>
        <w:t>departmental levels by using two counting schemes: a) full publication to each author/department;</w:t>
      </w:r>
      <w:r w:rsidR="005853A9">
        <w:rPr>
          <w:kern w:val="0"/>
        </w:rPr>
        <w:t xml:space="preserve"> and </w:t>
      </w:r>
      <w:r>
        <w:rPr>
          <w:kern w:val="0"/>
        </w:rPr>
        <w:t>b) an equal fraction</w:t>
      </w:r>
      <w:r w:rsidR="00427468">
        <w:rPr>
          <w:kern w:val="0"/>
        </w:rPr>
        <w:t xml:space="preserve"> of </w:t>
      </w:r>
      <w:r>
        <w:rPr>
          <w:kern w:val="0"/>
        </w:rPr>
        <w:t>a publication (1/n) to each author/department. Results. In</w:t>
      </w:r>
      <w:r w:rsidR="003A1917">
        <w:rPr>
          <w:kern w:val="0"/>
        </w:rPr>
        <w:t xml:space="preserve"> the </w:t>
      </w:r>
      <w:r>
        <w:rPr>
          <w:kern w:val="0"/>
        </w:rPr>
        <w:t>1995-1999 period,</w:t>
      </w:r>
      <w:r w:rsidR="003A1917">
        <w:rPr>
          <w:kern w:val="0"/>
        </w:rPr>
        <w:t xml:space="preserve"> the </w:t>
      </w:r>
      <w:r>
        <w:rPr>
          <w:kern w:val="0"/>
        </w:rPr>
        <w:t>faculty published 578 papers in</w:t>
      </w:r>
      <w:r w:rsidR="003A1917">
        <w:rPr>
          <w:kern w:val="0"/>
        </w:rPr>
        <w:t xml:space="preserve"> the </w:t>
      </w:r>
      <w:r>
        <w:rPr>
          <w:kern w:val="0"/>
        </w:rPr>
        <w:t>journals covered by</w:t>
      </w:r>
      <w:r w:rsidR="003A1917">
        <w:rPr>
          <w:kern w:val="0"/>
        </w:rPr>
        <w:t xml:space="preserve"> the </w:t>
      </w:r>
      <w:r>
        <w:rPr>
          <w:kern w:val="0"/>
        </w:rPr>
        <w:t>CC, 22.6%</w:t>
      </w:r>
      <w:r w:rsidR="00427468">
        <w:rPr>
          <w:kern w:val="0"/>
        </w:rPr>
        <w:t xml:space="preserve"> of </w:t>
      </w:r>
      <w:r>
        <w:rPr>
          <w:kern w:val="0"/>
        </w:rPr>
        <w:t>them in</w:t>
      </w:r>
      <w:r w:rsidR="003A1917">
        <w:rPr>
          <w:kern w:val="0"/>
        </w:rPr>
        <w:t xml:space="preserve"> the </w:t>
      </w:r>
      <w:r>
        <w:rPr>
          <w:kern w:val="0"/>
        </w:rPr>
        <w:t>subset</w:t>
      </w:r>
      <w:r w:rsidR="00427468">
        <w:rPr>
          <w:kern w:val="0"/>
        </w:rPr>
        <w:t xml:space="preserve"> of </w:t>
      </w:r>
      <w:r>
        <w:rPr>
          <w:kern w:val="0"/>
        </w:rPr>
        <w:t>Croatian journals</w:t>
      </w:r>
      <w:r w:rsidR="00A37C1D">
        <w:rPr>
          <w:kern w:val="0"/>
        </w:rPr>
        <w:t>. The</w:t>
      </w:r>
      <w:r w:rsidR="003A1917">
        <w:rPr>
          <w:kern w:val="0"/>
        </w:rPr>
        <w:t xml:space="preserve"> </w:t>
      </w:r>
      <w:r>
        <w:rPr>
          <w:kern w:val="0"/>
        </w:rPr>
        <w:t>differences among departments were considerable, with publishing activity per faculty member varying from 0.25 to 6.23 papers in CC journals</w:t>
      </w:r>
      <w:r w:rsidR="005853A9">
        <w:rPr>
          <w:kern w:val="0"/>
        </w:rPr>
        <w:t xml:space="preserve"> and </w:t>
      </w:r>
      <w:r>
        <w:rPr>
          <w:kern w:val="0"/>
        </w:rPr>
        <w:t>from 0.0 to 15.8 in Croatian non-CC journals. Preclinical departments published significantly less in</w:t>
      </w:r>
      <w:r w:rsidR="003A1917">
        <w:rPr>
          <w:kern w:val="0"/>
        </w:rPr>
        <w:t xml:space="preserve"> the </w:t>
      </w:r>
      <w:r>
        <w:rPr>
          <w:kern w:val="0"/>
        </w:rPr>
        <w:t>Croatian journals indexed in</w:t>
      </w:r>
      <w:r w:rsidR="003A1917">
        <w:rPr>
          <w:kern w:val="0"/>
        </w:rPr>
        <w:t xml:space="preserve"> the </w:t>
      </w:r>
      <w:r>
        <w:rPr>
          <w:kern w:val="0"/>
        </w:rPr>
        <w:t>CC then public health</w:t>
      </w:r>
      <w:r w:rsidR="005853A9">
        <w:rPr>
          <w:kern w:val="0"/>
        </w:rPr>
        <w:t xml:space="preserve"> and </w:t>
      </w:r>
      <w:r>
        <w:rPr>
          <w:kern w:val="0"/>
        </w:rPr>
        <w:t>clinical departments</w:t>
      </w:r>
      <w:r w:rsidR="00A37C1D">
        <w:rPr>
          <w:kern w:val="0"/>
        </w:rPr>
        <w:t>. The</w:t>
      </w:r>
      <w:r>
        <w:rPr>
          <w:kern w:val="0"/>
        </w:rPr>
        <w:t>re was a high variance in</w:t>
      </w:r>
      <w:r w:rsidR="003A1917">
        <w:rPr>
          <w:kern w:val="0"/>
        </w:rPr>
        <w:t xml:space="preserve"> the </w:t>
      </w:r>
      <w:r>
        <w:rPr>
          <w:kern w:val="0"/>
        </w:rPr>
        <w:t>number</w:t>
      </w:r>
      <w:r w:rsidR="00427468">
        <w:rPr>
          <w:kern w:val="0"/>
        </w:rPr>
        <w:t xml:space="preserve"> of </w:t>
      </w:r>
      <w:r>
        <w:rPr>
          <w:kern w:val="0"/>
        </w:rPr>
        <w:t>publications on</w:t>
      </w:r>
      <w:r w:rsidR="003A1917">
        <w:rPr>
          <w:kern w:val="0"/>
        </w:rPr>
        <w:t xml:space="preserve"> the </w:t>
      </w:r>
      <w:r>
        <w:rPr>
          <w:kern w:val="0"/>
        </w:rPr>
        <w:t>individual level, with I he 15.4%</w:t>
      </w:r>
      <w:r w:rsidR="00427468">
        <w:rPr>
          <w:kern w:val="0"/>
        </w:rPr>
        <w:t xml:space="preserve"> of </w:t>
      </w:r>
      <w:r w:rsidR="003A1917">
        <w:rPr>
          <w:kern w:val="0"/>
        </w:rPr>
        <w:t xml:space="preserve">the </w:t>
      </w:r>
      <w:r>
        <w:rPr>
          <w:kern w:val="0"/>
        </w:rPr>
        <w:t>faculty in</w:t>
      </w:r>
      <w:r w:rsidR="003A1917">
        <w:rPr>
          <w:kern w:val="0"/>
        </w:rPr>
        <w:t xml:space="preserve"> the </w:t>
      </w:r>
      <w:r>
        <w:rPr>
          <w:kern w:val="0"/>
        </w:rPr>
        <w:t>professor rank</w:t>
      </w:r>
      <w:r w:rsidR="005853A9">
        <w:rPr>
          <w:kern w:val="0"/>
        </w:rPr>
        <w:t xml:space="preserve"> and </w:t>
      </w:r>
      <w:r>
        <w:rPr>
          <w:kern w:val="0"/>
        </w:rPr>
        <w:t>45% in</w:t>
      </w:r>
      <w:r w:rsidR="003A1917">
        <w:rPr>
          <w:kern w:val="0"/>
        </w:rPr>
        <w:t xml:space="preserve"> the </w:t>
      </w:r>
      <w:r>
        <w:rPr>
          <w:kern w:val="0"/>
        </w:rPr>
        <w:t>assistant rank who did not publish a single paper in journals covered by</w:t>
      </w:r>
      <w:r w:rsidR="003A1917">
        <w:rPr>
          <w:kern w:val="0"/>
        </w:rPr>
        <w:t xml:space="preserve"> the </w:t>
      </w:r>
      <w:r>
        <w:rPr>
          <w:kern w:val="0"/>
        </w:rPr>
        <w:t>CC in</w:t>
      </w:r>
      <w:r w:rsidR="003A1917">
        <w:rPr>
          <w:kern w:val="0"/>
        </w:rPr>
        <w:t xml:space="preserve"> the </w:t>
      </w:r>
      <w:r>
        <w:rPr>
          <w:kern w:val="0"/>
        </w:rPr>
        <w:t>analyzed period. On</w:t>
      </w:r>
      <w:r w:rsidR="003A1917">
        <w:rPr>
          <w:kern w:val="0"/>
        </w:rPr>
        <w:t xml:space="preserve"> the </w:t>
      </w:r>
      <w:r>
        <w:rPr>
          <w:kern w:val="0"/>
        </w:rPr>
        <w:t>contrary, 10.1%</w:t>
      </w:r>
      <w:r w:rsidR="00427468">
        <w:rPr>
          <w:kern w:val="0"/>
        </w:rPr>
        <w:t xml:space="preserve"> of </w:t>
      </w:r>
      <w:r>
        <w:rPr>
          <w:kern w:val="0"/>
        </w:rPr>
        <w:t>professors</w:t>
      </w:r>
      <w:r w:rsidR="005853A9">
        <w:rPr>
          <w:kern w:val="0"/>
        </w:rPr>
        <w:t xml:space="preserve"> and </w:t>
      </w:r>
      <w:r>
        <w:rPr>
          <w:kern w:val="0"/>
        </w:rPr>
        <w:t>6.0%</w:t>
      </w:r>
      <w:r w:rsidR="00427468">
        <w:rPr>
          <w:kern w:val="0"/>
        </w:rPr>
        <w:t xml:space="preserve"> of </w:t>
      </w:r>
      <w:r>
        <w:rPr>
          <w:kern w:val="0"/>
        </w:rPr>
        <w:t>assistants published more than 10</w:t>
      </w:r>
      <w:r w:rsidR="005853A9">
        <w:rPr>
          <w:kern w:val="0"/>
        </w:rPr>
        <w:t xml:space="preserve"> and </w:t>
      </w:r>
      <w:r>
        <w:rPr>
          <w:kern w:val="0"/>
        </w:rPr>
        <w:t>more than 4 CC-indexed papers, respectively. A number</w:t>
      </w:r>
      <w:r w:rsidR="00427468">
        <w:rPr>
          <w:kern w:val="0"/>
        </w:rPr>
        <w:t xml:space="preserve"> of </w:t>
      </w:r>
      <w:r>
        <w:rPr>
          <w:kern w:val="0"/>
        </w:rPr>
        <w:t>authors who have been very productive in international journals indexed in</w:t>
      </w:r>
      <w:r w:rsidR="003A1917">
        <w:rPr>
          <w:kern w:val="0"/>
        </w:rPr>
        <w:t xml:space="preserve"> the </w:t>
      </w:r>
      <w:r>
        <w:rPr>
          <w:kern w:val="0"/>
        </w:rPr>
        <w:t>CC (11 or more papers) did not publish in Croatian journals indexed in</w:t>
      </w:r>
      <w:r w:rsidR="003A1917">
        <w:rPr>
          <w:kern w:val="0"/>
        </w:rPr>
        <w:t xml:space="preserve"> the </w:t>
      </w:r>
      <w:r>
        <w:rPr>
          <w:kern w:val="0"/>
        </w:rPr>
        <w:t>same database,</w:t>
      </w:r>
      <w:r w:rsidR="005853A9">
        <w:rPr>
          <w:kern w:val="0"/>
        </w:rPr>
        <w:t xml:space="preserve"> and </w:t>
      </w:r>
      <w:r>
        <w:rPr>
          <w:kern w:val="0"/>
        </w:rPr>
        <w:t>vice versa. Conclusion. Publication output</w:t>
      </w:r>
      <w:r w:rsidR="00427468">
        <w:rPr>
          <w:kern w:val="0"/>
        </w:rPr>
        <w:t xml:space="preserve"> of </w:t>
      </w:r>
      <w:r w:rsidR="003A1917">
        <w:rPr>
          <w:kern w:val="0"/>
        </w:rPr>
        <w:t xml:space="preserve">the </w:t>
      </w:r>
      <w:r>
        <w:rPr>
          <w:kern w:val="0"/>
        </w:rPr>
        <w:t>Zagreb University Medical School shows imbalances characteristic</w:t>
      </w:r>
      <w:r w:rsidR="00427468">
        <w:rPr>
          <w:kern w:val="0"/>
        </w:rPr>
        <w:t xml:space="preserve"> of </w:t>
      </w:r>
      <w:r>
        <w:rPr>
          <w:kern w:val="0"/>
        </w:rPr>
        <w:t>a small scientific community: productivity with extreme values, relatively unsatisfactory number</w:t>
      </w:r>
      <w:r w:rsidR="00427468">
        <w:rPr>
          <w:kern w:val="0"/>
        </w:rPr>
        <w:t xml:space="preserve"> of </w:t>
      </w:r>
      <w:r>
        <w:rPr>
          <w:kern w:val="0"/>
        </w:rPr>
        <w:t>papers published in</w:t>
      </w:r>
      <w:r w:rsidR="003A1917">
        <w:rPr>
          <w:kern w:val="0"/>
        </w:rPr>
        <w:t xml:space="preserve"> the </w:t>
      </w:r>
      <w:r>
        <w:rPr>
          <w:kern w:val="0"/>
        </w:rPr>
        <w:t>international journals covered by</w:t>
      </w:r>
      <w:r w:rsidR="003A1917">
        <w:rPr>
          <w:kern w:val="0"/>
        </w:rPr>
        <w:t xml:space="preserve"> the </w:t>
      </w:r>
      <w:r>
        <w:rPr>
          <w:kern w:val="0"/>
        </w:rPr>
        <w:t>CC database as compared to their importance in</w:t>
      </w:r>
      <w:r w:rsidR="003A1917">
        <w:rPr>
          <w:kern w:val="0"/>
        </w:rPr>
        <w:t xml:space="preserve"> the </w:t>
      </w:r>
      <w:r>
        <w:rPr>
          <w:kern w:val="0"/>
        </w:rPr>
        <w:t>process</w:t>
      </w:r>
      <w:r w:rsidR="00427468">
        <w:rPr>
          <w:kern w:val="0"/>
        </w:rPr>
        <w:t xml:space="preserve"> of </w:t>
      </w:r>
      <w:r w:rsidR="003A1917">
        <w:rPr>
          <w:kern w:val="0"/>
        </w:rPr>
        <w:t xml:space="preserve">the </w:t>
      </w:r>
      <w:r>
        <w:rPr>
          <w:kern w:val="0"/>
        </w:rPr>
        <w:t>academic promotion,</w:t>
      </w:r>
      <w:r w:rsidR="005853A9">
        <w:rPr>
          <w:kern w:val="0"/>
        </w:rPr>
        <w:t xml:space="preserve"> and </w:t>
      </w:r>
      <w:r>
        <w:rPr>
          <w:kern w:val="0"/>
        </w:rPr>
        <w:t>disproportional role</w:t>
      </w:r>
      <w:r w:rsidR="00427468">
        <w:rPr>
          <w:kern w:val="0"/>
        </w:rPr>
        <w:t xml:space="preserve"> of </w:t>
      </w:r>
      <w:r>
        <w:rPr>
          <w:kern w:val="0"/>
        </w:rPr>
        <w:t>certain domestic journals covered by</w:t>
      </w:r>
      <w:r w:rsidR="003A1917">
        <w:rPr>
          <w:kern w:val="0"/>
        </w:rPr>
        <w:t xml:space="preserve"> the </w:t>
      </w:r>
      <w:r>
        <w:rPr>
          <w:kern w:val="0"/>
        </w:rPr>
        <w:t>CC.</w:t>
      </w:r>
    </w:p>
    <w:p w:rsidR="00DC3D00" w:rsidRDefault="00DC3D00" w:rsidP="00DC3D00">
      <w:pPr>
        <w:pStyle w:val="a3"/>
        <w:rPr>
          <w:kern w:val="0"/>
        </w:rPr>
      </w:pPr>
      <w:r>
        <w:rPr>
          <w:kern w:val="0"/>
        </w:rPr>
        <w:t>Keywords: Authors, Bibliographic, Bibliometrics, Croatia, Databases, Faculty, Journals, Medical, Papers, Periodicals, Public Health, Publication, Publications, Publishing, Research, Research Performance, Schools, University</w:t>
      </w:r>
    </w:p>
    <w:p w:rsidR="003474F2" w:rsidRPr="001A3D2B" w:rsidRDefault="003474F2" w:rsidP="003474F2">
      <w:pPr>
        <w:pStyle w:val="a3"/>
      </w:pPr>
      <w:r w:rsidRPr="001A3D2B">
        <w:t>? Kovačić, N. (2004), Structure</w:t>
      </w:r>
      <w:r w:rsidR="00427468">
        <w:t xml:space="preserve"> of </w:t>
      </w:r>
      <w:r w:rsidR="003A1917">
        <w:t xml:space="preserve">the </w:t>
      </w:r>
      <w:r w:rsidRPr="001A3D2B">
        <w:t xml:space="preserve">2003 impact factor for </w:t>
      </w:r>
      <w:r w:rsidRPr="001A3D2B">
        <w:rPr>
          <w:i/>
          <w:iCs/>
        </w:rPr>
        <w:t>Croatian Medical Journal</w:t>
      </w:r>
      <w:r w:rsidRPr="001A3D2B">
        <w:t xml:space="preserve">. </w:t>
      </w:r>
      <w:r w:rsidRPr="001A3D2B">
        <w:rPr>
          <w:i/>
          <w:iCs/>
        </w:rPr>
        <w:t>Croatian Medical Journal</w:t>
      </w:r>
      <w:r w:rsidRPr="001A3D2B">
        <w:t xml:space="preserve">, </w:t>
      </w:r>
      <w:r w:rsidRPr="001A3D2B">
        <w:rPr>
          <w:b/>
          <w:bCs/>
        </w:rPr>
        <w:t>45</w:t>
      </w:r>
      <w:r w:rsidRPr="001A3D2B">
        <w:t xml:space="preserve"> (6), 671-673.</w:t>
      </w:r>
    </w:p>
    <w:p w:rsidR="003474F2" w:rsidRPr="001A3D2B" w:rsidRDefault="003474F2" w:rsidP="003474F2">
      <w:pPr>
        <w:pStyle w:val="a3"/>
      </w:pPr>
      <w:r w:rsidRPr="001A3D2B">
        <w:t xml:space="preserve">Full Text: </w:t>
      </w:r>
      <w:hyperlink r:id="rId1086" w:history="1">
        <w:r w:rsidRPr="001A3D2B">
          <w:rPr>
            <w:rStyle w:val="a5"/>
          </w:rPr>
          <w:t>2004\Cro Med J45, 671.pdf</w:t>
        </w:r>
      </w:hyperlink>
    </w:p>
    <w:p w:rsidR="003474F2" w:rsidRPr="001A3D2B" w:rsidRDefault="003474F2" w:rsidP="003474F2">
      <w:pPr>
        <w:pStyle w:val="a3"/>
      </w:pPr>
      <w:r w:rsidRPr="001A3D2B">
        <w:t>Abstract: According to</w:t>
      </w:r>
      <w:r w:rsidR="003A1917">
        <w:t xml:space="preserve"> the </w:t>
      </w:r>
      <w:r w:rsidRPr="001A3D2B">
        <w:t>Journal Citation Report from</w:t>
      </w:r>
      <w:r w:rsidR="003A1917">
        <w:t xml:space="preserve"> the </w:t>
      </w:r>
      <w:r w:rsidRPr="001A3D2B">
        <w:t>Institute for Scientific Information (ISI</w:t>
      </w:r>
      <w:r w:rsidR="00F42EAC">
        <w:t>), The</w:t>
      </w:r>
      <w:r w:rsidR="003A1917">
        <w:t xml:space="preserve"> </w:t>
      </w:r>
      <w:r w:rsidRPr="001A3D2B">
        <w:t>last year</w:t>
      </w:r>
      <w:r w:rsidR="0071223E">
        <w:t>’</w:t>
      </w:r>
      <w:r w:rsidR="00C13DDC">
        <w:t>s</w:t>
      </w:r>
      <w:r w:rsidRPr="001A3D2B">
        <w:t xml:space="preserve"> (2003) impact factor (IF)</w:t>
      </w:r>
      <w:r w:rsidR="00427468">
        <w:t xml:space="preserve"> of </w:t>
      </w:r>
      <w:r w:rsidR="003A1917">
        <w:t xml:space="preserve">the </w:t>
      </w:r>
      <w:r w:rsidRPr="001A3D2B">
        <w:t>Croatian Medical Journal (CMJ) was 0.943. To determine</w:t>
      </w:r>
      <w:r w:rsidR="003A1917">
        <w:t xml:space="preserve"> the </w:t>
      </w:r>
      <w:r w:rsidRPr="001A3D2B">
        <w:t>factors that contributed to this significant increase in</w:t>
      </w:r>
      <w:r w:rsidR="003A1917">
        <w:t xml:space="preserve"> the </w:t>
      </w:r>
      <w:r w:rsidRPr="001A3D2B">
        <w:t>IF, we analyzed</w:t>
      </w:r>
      <w:r w:rsidR="003A1917">
        <w:t xml:space="preserve"> the </w:t>
      </w:r>
      <w:r w:rsidRPr="001A3D2B">
        <w:t>structure</w:t>
      </w:r>
      <w:r w:rsidR="00427468">
        <w:t xml:space="preserve"> of </w:t>
      </w:r>
      <w:r w:rsidRPr="001A3D2B">
        <w:t>citations to CMJ in</w:t>
      </w:r>
      <w:r w:rsidR="003A1917">
        <w:t xml:space="preserve"> the </w:t>
      </w:r>
      <w:r w:rsidRPr="001A3D2B">
        <w:t>ISI</w:t>
      </w:r>
      <w:r w:rsidR="0071223E">
        <w:t>’</w:t>
      </w:r>
      <w:r w:rsidR="00C13DDC">
        <w:t>s</w:t>
      </w:r>
      <w:r w:rsidRPr="001A3D2B">
        <w:t xml:space="preserve"> publications, Science Citation Index (SCI),</w:t>
      </w:r>
      <w:r w:rsidR="005853A9">
        <w:t xml:space="preserve"> and </w:t>
      </w:r>
      <w:r w:rsidRPr="001A3D2B">
        <w:t>Social Science Citation Index (</w:t>
      </w:r>
      <w:r w:rsidR="00D5664A">
        <w:t>SSCI</w:t>
      </w:r>
      <w:r w:rsidRPr="001A3D2B">
        <w:t>)</w:t>
      </w:r>
      <w:r w:rsidR="00A37C1D">
        <w:t xml:space="preserve">. </w:t>
      </w:r>
      <w:r w:rsidR="00A37C1D">
        <w:lastRenderedPageBreak/>
        <w:t>The</w:t>
      </w:r>
      <w:r w:rsidRPr="001A3D2B">
        <w:t>matic issues generally acquired more citations than regular issues. Furthermore, citation number varied for different article types</w:t>
      </w:r>
      <w:r w:rsidR="00A37C1D">
        <w:t>. The</w:t>
      </w:r>
      <w:r w:rsidR="003A1917">
        <w:t xml:space="preserve"> </w:t>
      </w:r>
      <w:r w:rsidRPr="001A3D2B">
        <w:t>citations to</w:t>
      </w:r>
      <w:r w:rsidR="003A1917">
        <w:t xml:space="preserve"> the </w:t>
      </w:r>
      <w:r w:rsidRPr="001A3D2B">
        <w:t>original scientific articles corresponded to</w:t>
      </w:r>
      <w:r w:rsidR="003A1917">
        <w:t xml:space="preserve"> the </w:t>
      </w:r>
      <w:r w:rsidRPr="001A3D2B">
        <w:t>average number</w:t>
      </w:r>
      <w:r w:rsidR="00427468">
        <w:t xml:space="preserve"> of </w:t>
      </w:r>
      <w:r w:rsidRPr="001A3D2B">
        <w:t>citations for</w:t>
      </w:r>
      <w:r w:rsidR="003A1917">
        <w:t xml:space="preserve"> the </w:t>
      </w:r>
      <w:r w:rsidRPr="001A3D2B">
        <w:t>current IF value, whereas reviews</w:t>
      </w:r>
      <w:r w:rsidR="005853A9">
        <w:t xml:space="preserve"> and </w:t>
      </w:r>
      <w:r w:rsidRPr="001A3D2B">
        <w:t>especially case reports were cited less frequently,</w:t>
      </w:r>
      <w:r w:rsidR="005853A9">
        <w:t xml:space="preserve"> and </w:t>
      </w:r>
      <w:r w:rsidRPr="001A3D2B">
        <w:t>negatively contributed to</w:t>
      </w:r>
      <w:r w:rsidR="003A1917">
        <w:t xml:space="preserve"> the </w:t>
      </w:r>
      <w:r w:rsidRPr="001A3D2B">
        <w:t>IF</w:t>
      </w:r>
      <w:r w:rsidR="00427468">
        <w:t xml:space="preserve"> of </w:t>
      </w:r>
      <w:r w:rsidR="003A1917">
        <w:t xml:space="preserve">the </w:t>
      </w:r>
      <w:r w:rsidRPr="001A3D2B">
        <w:t>journal. Only half</w:t>
      </w:r>
      <w:r w:rsidR="00427468">
        <w:t xml:space="preserve"> of </w:t>
      </w:r>
      <w:r w:rsidRPr="001A3D2B">
        <w:t>all articles published in two previous years were cited in 2003</w:t>
      </w:r>
      <w:r w:rsidR="00A37C1D">
        <w:t>. The</w:t>
      </w:r>
      <w:r w:rsidR="003A1917">
        <w:t xml:space="preserve"> </w:t>
      </w:r>
      <w:r w:rsidRPr="001A3D2B">
        <w:t>majority</w:t>
      </w:r>
      <w:r w:rsidR="00427468">
        <w:t xml:space="preserve"> of </w:t>
      </w:r>
      <w:r w:rsidRPr="001A3D2B">
        <w:t>these articles were cited once or twice, whereas only 4 5 articles received more than three citations. journal self-citations are still an important contributor to</w:t>
      </w:r>
      <w:r w:rsidR="003A1917">
        <w:t xml:space="preserve"> the </w:t>
      </w:r>
      <w:r w:rsidRPr="001A3D2B">
        <w:t>CMJ</w:t>
      </w:r>
      <w:r w:rsidR="0071223E">
        <w:t>’</w:t>
      </w:r>
      <w:r w:rsidR="00C13DDC">
        <w:t>s</w:t>
      </w:r>
      <w:r w:rsidRPr="001A3D2B">
        <w:t xml:space="preserve"> IF (39.6%)</w:t>
      </w:r>
      <w:r w:rsidR="00A37C1D">
        <w:t>. The</w:t>
      </w:r>
      <w:r w:rsidRPr="001A3D2B">
        <w:t>ir proportion may decrease in time, by further improving</w:t>
      </w:r>
      <w:r w:rsidR="003A1917">
        <w:t xml:space="preserve"> the </w:t>
      </w:r>
      <w:r w:rsidRPr="001A3D2B">
        <w:t>visibility</w:t>
      </w:r>
      <w:r w:rsidR="00427468">
        <w:t xml:space="preserve"> of </w:t>
      </w:r>
      <w:r w:rsidR="003A1917">
        <w:t xml:space="preserve">the </w:t>
      </w:r>
      <w:r w:rsidRPr="001A3D2B">
        <w:t>journal,</w:t>
      </w:r>
      <w:r w:rsidR="005853A9">
        <w:t xml:space="preserve"> and </w:t>
      </w:r>
      <w:r w:rsidRPr="001A3D2B">
        <w:t>thus acquiring greater number</w:t>
      </w:r>
      <w:r w:rsidR="00427468">
        <w:t xml:space="preserve"> of </w:t>
      </w:r>
      <w:r w:rsidRPr="001A3D2B">
        <w:t>independent citations. In future, we can expect year-to-year variations in</w:t>
      </w:r>
      <w:r w:rsidR="003A1917">
        <w:t xml:space="preserve"> the </w:t>
      </w:r>
      <w:r w:rsidRPr="001A3D2B">
        <w:t>journals IF. This trend may be positive on a long-term basis, but expectation</w:t>
      </w:r>
      <w:r w:rsidR="00427468">
        <w:t xml:space="preserve"> of </w:t>
      </w:r>
      <w:r w:rsidRPr="001A3D2B">
        <w:t>a value significantly higher than 1 is unrealistic. CMJ is small general medical journal whose quality-oriented editorial policy may in</w:t>
      </w:r>
      <w:r w:rsidR="003A1917">
        <w:t xml:space="preserve"> the </w:t>
      </w:r>
      <w:r w:rsidRPr="001A3D2B">
        <w:t>long-term result in</w:t>
      </w:r>
      <w:r w:rsidR="003A1917">
        <w:t xml:space="preserve"> the </w:t>
      </w:r>
      <w:r w:rsidRPr="001A3D2B">
        <w:t>increase in</w:t>
      </w:r>
      <w:r w:rsidR="003A1917">
        <w:t xml:space="preserve"> the </w:t>
      </w:r>
      <w:r w:rsidRPr="001A3D2B">
        <w:t>IF.</w:t>
      </w:r>
    </w:p>
    <w:p w:rsidR="003474F2" w:rsidRPr="001A3D2B" w:rsidRDefault="003474F2" w:rsidP="003474F2">
      <w:pPr>
        <w:pStyle w:val="a3"/>
      </w:pPr>
      <w:r w:rsidRPr="001A3D2B">
        <w:t>Keywords: Case Reports, Citation, Citations, General, Impact, Impact Factor, Institute For Scientific Information</w:t>
      </w:r>
      <w:r w:rsidR="00D5664A">
        <w:t>, ISI,</w:t>
      </w:r>
      <w:r w:rsidRPr="001A3D2B">
        <w:t xml:space="preserve"> Journal, Journals, Long Term, Long-Term, Medical, Policy, Publications, Reviews</w:t>
      </w:r>
      <w:r w:rsidR="00D5664A">
        <w:t>, SCI,</w:t>
      </w:r>
      <w:r w:rsidRPr="001A3D2B">
        <w:t xml:space="preserve"> Science Citation Index, Self-Citations, Small, Social Science Citation Index,</w:t>
      </w:r>
      <w:r w:rsidR="008E3069">
        <w:t xml:space="preserve"> </w:t>
      </w:r>
      <w:r w:rsidR="00D5664A">
        <w:t>SSCI</w:t>
      </w:r>
      <w:r w:rsidR="008E3069">
        <w:t>,</w:t>
      </w:r>
      <w:r w:rsidRPr="001A3D2B">
        <w:t xml:space="preserve"> Structure, Trend, Value, Visibility</w:t>
      </w:r>
    </w:p>
    <w:p w:rsidR="003474F2" w:rsidRPr="001A3D2B" w:rsidRDefault="003474F2" w:rsidP="003474F2">
      <w:pPr>
        <w:pStyle w:val="a3"/>
      </w:pPr>
      <w:r w:rsidRPr="001A3D2B">
        <w:t>? Lukenda, J., Kolarić, B., Kolčić, I., Pažur, V.</w:t>
      </w:r>
      <w:r w:rsidR="005853A9">
        <w:t xml:space="preserve"> and </w:t>
      </w:r>
      <w:r w:rsidRPr="001A3D2B">
        <w:t>Biloglav, Z. (2005), Cardiovascular diseases in Croatia</w:t>
      </w:r>
      <w:r w:rsidR="005853A9">
        <w:t xml:space="preserve"> and </w:t>
      </w:r>
      <w:r w:rsidRPr="001A3D2B">
        <w:t>other transitional countries: Comparative study</w:t>
      </w:r>
      <w:r w:rsidR="00427468">
        <w:t xml:space="preserve"> of </w:t>
      </w:r>
      <w:r w:rsidRPr="001A3D2B">
        <w:t>publications, clinical interventions,</w:t>
      </w:r>
      <w:r w:rsidR="005853A9">
        <w:t xml:space="preserve"> and </w:t>
      </w:r>
      <w:r w:rsidRPr="001A3D2B">
        <w:t>burden</w:t>
      </w:r>
      <w:r w:rsidR="00427468">
        <w:t xml:space="preserve"> of </w:t>
      </w:r>
      <w:r w:rsidRPr="001A3D2B">
        <w:t xml:space="preserve">disease. </w:t>
      </w:r>
      <w:r w:rsidRPr="001A3D2B">
        <w:rPr>
          <w:i/>
          <w:iCs/>
        </w:rPr>
        <w:t>Croatian Medical Journal</w:t>
      </w:r>
      <w:r w:rsidRPr="001A3D2B">
        <w:t xml:space="preserve">, </w:t>
      </w:r>
      <w:r w:rsidRPr="001A3D2B">
        <w:rPr>
          <w:b/>
          <w:bCs/>
        </w:rPr>
        <w:t>46</w:t>
      </w:r>
      <w:r w:rsidRPr="001A3D2B">
        <w:t xml:space="preserve"> (6), 865-874.</w:t>
      </w:r>
    </w:p>
    <w:p w:rsidR="003474F2" w:rsidRPr="001A3D2B" w:rsidRDefault="003474F2" w:rsidP="003474F2">
      <w:pPr>
        <w:pStyle w:val="a3"/>
      </w:pPr>
      <w:r w:rsidRPr="001A3D2B">
        <w:t xml:space="preserve">Full Text: </w:t>
      </w:r>
      <w:hyperlink r:id="rId1087" w:history="1">
        <w:r w:rsidRPr="001A3D2B">
          <w:rPr>
            <w:rStyle w:val="a5"/>
          </w:rPr>
          <w:t>2005\Cro Med J46, 865.pdf</w:t>
        </w:r>
      </w:hyperlink>
    </w:p>
    <w:p w:rsidR="003474F2" w:rsidRPr="001A3D2B" w:rsidRDefault="003474F2" w:rsidP="003474F2">
      <w:pPr>
        <w:pStyle w:val="a3"/>
      </w:pPr>
      <w:r w:rsidRPr="001A3D2B">
        <w:t>Abstract: Aim To determine</w:t>
      </w:r>
      <w:r w:rsidR="003A1917">
        <w:t xml:space="preserve"> the </w:t>
      </w:r>
      <w:r w:rsidRPr="001A3D2B">
        <w:t>number</w:t>
      </w:r>
      <w:r w:rsidR="00427468">
        <w:t xml:space="preserve"> of </w:t>
      </w:r>
      <w:r w:rsidRPr="001A3D2B">
        <w:t>publications on cardiovascular diseases in</w:t>
      </w:r>
      <w:r w:rsidR="003A1917">
        <w:t xml:space="preserve"> the </w:t>
      </w:r>
      <w:r w:rsidR="00D5664A">
        <w:t>MEDLINE</w:t>
      </w:r>
      <w:r w:rsidRPr="001A3D2B">
        <w:t xml:space="preserve"> database,</w:t>
      </w:r>
      <w:r w:rsidR="003A1917">
        <w:t xml:space="preserve"> the </w:t>
      </w:r>
      <w:r w:rsidRPr="001A3D2B">
        <w:t>rate</w:t>
      </w:r>
      <w:r w:rsidR="00427468">
        <w:t xml:space="preserve"> of </w:t>
      </w:r>
      <w:r w:rsidRPr="001A3D2B">
        <w:t>medical doctors</w:t>
      </w:r>
      <w:r w:rsidR="005853A9">
        <w:t xml:space="preserve"> and </w:t>
      </w:r>
      <w:r w:rsidRPr="001A3D2B">
        <w:t>clinical interventions in cardiology,</w:t>
      </w:r>
      <w:r w:rsidR="005853A9">
        <w:t xml:space="preserve"> and </w:t>
      </w:r>
      <w:r w:rsidRPr="001A3D2B">
        <w:t>health</w:t>
      </w:r>
      <w:r w:rsidR="005853A9">
        <w:t xml:space="preserve"> and </w:t>
      </w:r>
      <w:r w:rsidRPr="001A3D2B">
        <w:t>socioeconomic indicators for Croatia,</w:t>
      </w:r>
      <w:r w:rsidR="005853A9">
        <w:t xml:space="preserve"> and </w:t>
      </w:r>
      <w:r w:rsidRPr="001A3D2B">
        <w:t>to compare them with those for Slovenia, Hungary,</w:t>
      </w:r>
      <w:r w:rsidR="003A1917">
        <w:t xml:space="preserve"> the </w:t>
      </w:r>
      <w:r w:rsidRPr="001A3D2B">
        <w:t>Czech Republic,</w:t>
      </w:r>
      <w:r w:rsidR="005853A9">
        <w:t xml:space="preserve"> and </w:t>
      </w:r>
      <w:r w:rsidRPr="001A3D2B">
        <w:t xml:space="preserve">Austria. Methods </w:t>
      </w:r>
      <w:r w:rsidR="002C12F0">
        <w:t>PUBMED</w:t>
      </w:r>
      <w:r w:rsidRPr="001A3D2B">
        <w:t xml:space="preserve"> was used in search for publications on cardiovascular diseases published in 1991-2004. Rates per million population</w:t>
      </w:r>
      <w:r w:rsidR="005853A9">
        <w:t xml:space="preserve"> and </w:t>
      </w:r>
      <w:r w:rsidRPr="001A3D2B">
        <w:t>proportions</w:t>
      </w:r>
      <w:r w:rsidR="00427468">
        <w:t xml:space="preserve"> of </w:t>
      </w:r>
      <w:r w:rsidRPr="001A3D2B">
        <w:t>publications on cardiovascular diseases in</w:t>
      </w:r>
      <w:r w:rsidR="003A1917">
        <w:t xml:space="preserve"> the </w:t>
      </w:r>
      <w:r w:rsidR="00D5664A">
        <w:t>MEDLINE</w:t>
      </w:r>
      <w:r w:rsidRPr="001A3D2B">
        <w:t xml:space="preserve"> database were calculated. Gross domestic product (GDP) per capita was used as a socioeconomic indicator, whereas human resources in medicine were presented as</w:t>
      </w:r>
      <w:r w:rsidR="003A1917">
        <w:t xml:space="preserve"> the </w:t>
      </w:r>
      <w:r w:rsidRPr="001A3D2B">
        <w:t>rate</w:t>
      </w:r>
      <w:r w:rsidR="00427468">
        <w:t xml:space="preserve"> of </w:t>
      </w:r>
      <w:r w:rsidRPr="001A3D2B">
        <w:t>medical doctors per million population. Standardized death rates from cardiovascular diseases</w:t>
      </w:r>
      <w:r w:rsidR="005853A9">
        <w:t xml:space="preserve"> and </w:t>
      </w:r>
      <w:r w:rsidRPr="001A3D2B">
        <w:t>ischemic heart disease were used as indicators</w:t>
      </w:r>
      <w:r w:rsidR="00427468">
        <w:t xml:space="preserve"> of </w:t>
      </w:r>
      <w:r w:rsidRPr="001A3D2B">
        <w:t>cardiovascular health. Clinical interventions in cardiology, such as coronary angiograms, percutaneous transluminal coronary angioplasties (PTCA),</w:t>
      </w:r>
      <w:r w:rsidR="005853A9">
        <w:t xml:space="preserve"> and </w:t>
      </w:r>
      <w:r w:rsidRPr="001A3D2B">
        <w:t>coronary bypass surgeries (CABG) were expressed per million population per year. Results Croatia had</w:t>
      </w:r>
      <w:r w:rsidR="003A1917">
        <w:t xml:space="preserve"> the </w:t>
      </w:r>
      <w:r w:rsidRPr="001A3D2B">
        <w:t>lowest GDP per capita among</w:t>
      </w:r>
      <w:r w:rsidR="003A1917">
        <w:t xml:space="preserve"> the </w:t>
      </w:r>
      <w:r w:rsidRPr="001A3D2B">
        <w:t>analyzed countries</w:t>
      </w:r>
      <w:r w:rsidR="00A37C1D">
        <w:t>. The</w:t>
      </w:r>
      <w:r w:rsidR="003A1917">
        <w:t xml:space="preserve"> </w:t>
      </w:r>
      <w:r w:rsidRPr="001A3D2B">
        <w:t xml:space="preserve">standardized death rate from cardiovascular diseases in Croatia was 91.7 per 100,000 population aged 0-64 in 2001, which was higher than </w:t>
      </w:r>
      <w:r w:rsidRPr="001A3D2B">
        <w:lastRenderedPageBreak/>
        <w:t>that in Slovenia</w:t>
      </w:r>
      <w:r w:rsidR="005853A9">
        <w:t xml:space="preserve"> and </w:t>
      </w:r>
      <w:r w:rsidRPr="001A3D2B">
        <w:t>Austria (P &lt; 0.001), similar to that in</w:t>
      </w:r>
      <w:r w:rsidR="003A1917">
        <w:t xml:space="preserve"> the </w:t>
      </w:r>
      <w:r w:rsidRPr="001A3D2B">
        <w:t>Czech Republic,</w:t>
      </w:r>
      <w:r w:rsidR="005853A9">
        <w:t xml:space="preserve"> and </w:t>
      </w:r>
      <w:r w:rsidRPr="001A3D2B">
        <w:t>lower than that in Hungary (P &lt; 0.001). Cardiovascular scientific output in Croatia was</w:t>
      </w:r>
      <w:r w:rsidR="003A1917">
        <w:t xml:space="preserve"> the </w:t>
      </w:r>
      <w:r w:rsidRPr="001A3D2B">
        <w:t>lowest among investigated countries, ie, 1.1 per million population in 2003 (P &lt; 0.001). Despite a significantly lower number</w:t>
      </w:r>
      <w:r w:rsidR="00427468">
        <w:t xml:space="preserve"> of </w:t>
      </w:r>
      <w:r w:rsidRPr="001A3D2B">
        <w:t>medical doctors in comparison with Hungary</w:t>
      </w:r>
      <w:r w:rsidR="005853A9">
        <w:t xml:space="preserve"> and </w:t>
      </w:r>
      <w:r w:rsidR="003A1917">
        <w:t xml:space="preserve">the </w:t>
      </w:r>
      <w:r w:rsidRPr="001A3D2B">
        <w:t>Czech Republic (P &lt; 0.001), Croatia experienced a similar increment in</w:t>
      </w:r>
      <w:r w:rsidR="003A1917">
        <w:t xml:space="preserve"> the </w:t>
      </w:r>
      <w:r w:rsidRPr="001A3D2B">
        <w:t>amount</w:t>
      </w:r>
      <w:r w:rsidR="00427468">
        <w:t xml:space="preserve"> of </w:t>
      </w:r>
      <w:r w:rsidRPr="001A3D2B">
        <w:t>clinical interventions in cardiology. Conclusion In contrast to high cardiovascular mortality rates, cardiovascular scientific production in Croatia was significantly lower than in other investigated Countries. A positive trend in cardiovascular medicine was recorded in clinical practice, but has yet to be followed by scientific production.</w:t>
      </w:r>
    </w:p>
    <w:p w:rsidR="003474F2" w:rsidRPr="001A3D2B" w:rsidRDefault="003474F2" w:rsidP="003474F2">
      <w:pPr>
        <w:pStyle w:val="a3"/>
      </w:pPr>
      <w:r w:rsidRPr="001A3D2B">
        <w:t xml:space="preserve">Keywords: Aged, Austria, Burden, Cardiovascular, Clinical, Clinical Practice, Comparison, Croatia, Czech Republic, Database, Death, Diseases, Doctors, GDP per Capita, Health, Heart, Human, Hungary, Indicator, Indicators, Interventions, Ischemic Heart Disease, Medical, Medicine, </w:t>
      </w:r>
      <w:r w:rsidR="00D5664A">
        <w:t>MEDLINE</w:t>
      </w:r>
      <w:r w:rsidRPr="001A3D2B">
        <w:t xml:space="preserve">, Mortality, P, Population, Practice, Publications, </w:t>
      </w:r>
      <w:r w:rsidR="002C12F0">
        <w:t>PUBMED</w:t>
      </w:r>
      <w:r w:rsidRPr="001A3D2B">
        <w:t>, Rates, Scientific Output, Scientific Production, Slovenia, Trend</w:t>
      </w:r>
    </w:p>
    <w:p w:rsidR="0041253D" w:rsidRDefault="0041253D" w:rsidP="0041253D">
      <w:pPr>
        <w:pStyle w:val="a3"/>
        <w:rPr>
          <w:kern w:val="0"/>
          <w:szCs w:val="24"/>
        </w:rPr>
      </w:pPr>
      <w:r>
        <w:rPr>
          <w:rFonts w:hint="eastAsia"/>
          <w:kern w:val="0"/>
          <w:szCs w:val="24"/>
        </w:rPr>
        <w:t xml:space="preserve">? </w:t>
      </w:r>
      <w:r>
        <w:rPr>
          <w:kern w:val="0"/>
          <w:szCs w:val="24"/>
        </w:rPr>
        <w:t>Marcovitch, H., Barbour, V., Borrell, C., Bosch, F., Fernandez, E., Macdonald, H., Marusic, A.</w:t>
      </w:r>
      <w:r w:rsidR="005853A9">
        <w:rPr>
          <w:kern w:val="0"/>
          <w:szCs w:val="24"/>
        </w:rPr>
        <w:t xml:space="preserve"> and </w:t>
      </w:r>
      <w:r>
        <w:rPr>
          <w:kern w:val="0"/>
          <w:szCs w:val="24"/>
        </w:rPr>
        <w:t>Nylenna, M. (2010), Conflict</w:t>
      </w:r>
      <w:r w:rsidR="00427468">
        <w:rPr>
          <w:kern w:val="0"/>
          <w:szCs w:val="24"/>
        </w:rPr>
        <w:t xml:space="preserve"> of </w:t>
      </w:r>
      <w:r>
        <w:rPr>
          <w:kern w:val="0"/>
          <w:szCs w:val="24"/>
        </w:rPr>
        <w:t xml:space="preserve">interest in science communication: more than a financial issue report from Esteve Foundation Discussion Group, April 2009. </w:t>
      </w:r>
      <w:r>
        <w:rPr>
          <w:i/>
          <w:iCs/>
          <w:kern w:val="0"/>
          <w:szCs w:val="24"/>
        </w:rPr>
        <w:t>Croatian Medical Journal</w:t>
      </w:r>
      <w:r>
        <w:rPr>
          <w:kern w:val="0"/>
          <w:szCs w:val="24"/>
        </w:rPr>
        <w:t xml:space="preserve">, </w:t>
      </w:r>
      <w:r>
        <w:rPr>
          <w:b/>
          <w:bCs/>
          <w:kern w:val="0"/>
          <w:szCs w:val="24"/>
        </w:rPr>
        <w:t>51</w:t>
      </w:r>
      <w:r>
        <w:rPr>
          <w:kern w:val="0"/>
          <w:szCs w:val="24"/>
        </w:rPr>
        <w:t xml:space="preserve"> (1), 7-15.</w:t>
      </w:r>
    </w:p>
    <w:p w:rsidR="0041253D" w:rsidRPr="001A3D2B" w:rsidRDefault="0041253D" w:rsidP="0041253D">
      <w:pPr>
        <w:pStyle w:val="a3"/>
      </w:pPr>
      <w:r w:rsidRPr="001A3D2B">
        <w:t xml:space="preserve">Full Text: </w:t>
      </w:r>
      <w:r>
        <w:t xml:space="preserve">2010\Cro Med J51, </w:t>
      </w:r>
      <w:r>
        <w:rPr>
          <w:rFonts w:hint="eastAsia"/>
        </w:rPr>
        <w:t>7</w:t>
      </w:r>
      <w:r w:rsidRPr="00437367">
        <w:t>.pdf</w:t>
      </w:r>
    </w:p>
    <w:p w:rsidR="0041253D" w:rsidRDefault="0041253D" w:rsidP="0041253D">
      <w:pPr>
        <w:pStyle w:val="a3"/>
        <w:rPr>
          <w:kern w:val="0"/>
          <w:szCs w:val="24"/>
        </w:rPr>
      </w:pPr>
      <w:r>
        <w:rPr>
          <w:kern w:val="0"/>
          <w:szCs w:val="24"/>
        </w:rPr>
        <w:t>Abstract: A systematic review</w:t>
      </w:r>
      <w:r w:rsidR="005853A9">
        <w:rPr>
          <w:kern w:val="0"/>
          <w:szCs w:val="24"/>
        </w:rPr>
        <w:t xml:space="preserve"> and </w:t>
      </w:r>
      <w:r>
        <w:rPr>
          <w:kern w:val="0"/>
          <w:szCs w:val="24"/>
        </w:rPr>
        <w:t>meta-analysis suggests that around 2%</w:t>
      </w:r>
      <w:r w:rsidR="00427468">
        <w:rPr>
          <w:kern w:val="0"/>
          <w:szCs w:val="24"/>
        </w:rPr>
        <w:t xml:space="preserve"> of </w:t>
      </w:r>
      <w:r>
        <w:rPr>
          <w:kern w:val="0"/>
          <w:szCs w:val="24"/>
        </w:rPr>
        <w:t>scientists admit to have falsified research at least once (1). Up to 33% admit other questionable practices such as plagiarism, duplicate publication, undisclosed changes in pre-research protocols or dubious ethical behavior (1)</w:t>
      </w:r>
      <w:r w:rsidR="00A37C1D">
        <w:rPr>
          <w:kern w:val="0"/>
          <w:szCs w:val="24"/>
        </w:rPr>
        <w:t>. The</w:t>
      </w:r>
      <w:r>
        <w:rPr>
          <w:kern w:val="0"/>
          <w:szCs w:val="24"/>
        </w:rPr>
        <w:t>re can be no doubt that discovered cases</w:t>
      </w:r>
      <w:r w:rsidR="00427468">
        <w:rPr>
          <w:kern w:val="0"/>
          <w:szCs w:val="24"/>
        </w:rPr>
        <w:t xml:space="preserve"> of </w:t>
      </w:r>
      <w:r>
        <w:rPr>
          <w:kern w:val="0"/>
          <w:szCs w:val="24"/>
        </w:rPr>
        <w:t>research</w:t>
      </w:r>
      <w:r w:rsidR="005853A9">
        <w:rPr>
          <w:kern w:val="0"/>
          <w:szCs w:val="24"/>
        </w:rPr>
        <w:t xml:space="preserve"> and </w:t>
      </w:r>
      <w:r>
        <w:rPr>
          <w:kern w:val="0"/>
          <w:szCs w:val="24"/>
        </w:rPr>
        <w:t>publication misconduct represent a tip</w:t>
      </w:r>
      <w:r w:rsidR="00427468">
        <w:rPr>
          <w:kern w:val="0"/>
          <w:szCs w:val="24"/>
        </w:rPr>
        <w:t xml:space="preserve"> of </w:t>
      </w:r>
      <w:r>
        <w:rPr>
          <w:kern w:val="0"/>
          <w:szCs w:val="24"/>
        </w:rPr>
        <w:t>an iceberg</w:t>
      </w:r>
      <w:r w:rsidR="005853A9">
        <w:rPr>
          <w:kern w:val="0"/>
          <w:szCs w:val="24"/>
        </w:rPr>
        <w:t xml:space="preserve"> and </w:t>
      </w:r>
      <w:r>
        <w:rPr>
          <w:kern w:val="0"/>
          <w:szCs w:val="24"/>
        </w:rPr>
        <w:t>many cases go unreported (2). Experienced biomedical journal editors are aware</w:t>
      </w:r>
      <w:r w:rsidR="00427468">
        <w:rPr>
          <w:kern w:val="0"/>
          <w:szCs w:val="24"/>
        </w:rPr>
        <w:t xml:space="preserve"> of </w:t>
      </w:r>
      <w:r>
        <w:rPr>
          <w:kern w:val="0"/>
          <w:szCs w:val="24"/>
        </w:rPr>
        <w:t xml:space="preserve">a </w:t>
      </w:r>
      <w:r w:rsidR="00B5188C">
        <w:rPr>
          <w:kern w:val="0"/>
          <w:szCs w:val="24"/>
        </w:rPr>
        <w:t>“</w:t>
      </w:r>
      <w:r>
        <w:rPr>
          <w:kern w:val="0"/>
          <w:szCs w:val="24"/>
        </w:rPr>
        <w:t>rogues</w:t>
      </w:r>
      <w:r w:rsidR="0071223E">
        <w:rPr>
          <w:kern w:val="0"/>
          <w:szCs w:val="24"/>
        </w:rPr>
        <w:t>’</w:t>
      </w:r>
      <w:r>
        <w:rPr>
          <w:kern w:val="0"/>
          <w:szCs w:val="24"/>
        </w:rPr>
        <w:t xml:space="preserve"> gallery</w:t>
      </w:r>
      <w:r w:rsidR="00B5188C">
        <w:rPr>
          <w:kern w:val="0"/>
          <w:szCs w:val="24"/>
        </w:rPr>
        <w:t>”</w:t>
      </w:r>
      <w:r w:rsidR="00427468">
        <w:rPr>
          <w:kern w:val="0"/>
          <w:szCs w:val="24"/>
        </w:rPr>
        <w:t xml:space="preserve"> of </w:t>
      </w:r>
      <w:r>
        <w:rPr>
          <w:kern w:val="0"/>
          <w:szCs w:val="24"/>
        </w:rPr>
        <w:t>major fraudsters, such as Schoen, Hwang, Sudbo, Poehlman, Singh,</w:t>
      </w:r>
      <w:r w:rsidR="005853A9">
        <w:rPr>
          <w:kern w:val="0"/>
          <w:szCs w:val="24"/>
        </w:rPr>
        <w:t xml:space="preserve"> and </w:t>
      </w:r>
      <w:r>
        <w:rPr>
          <w:kern w:val="0"/>
          <w:szCs w:val="24"/>
        </w:rPr>
        <w:t>Chandra (3-8). Much more common are</w:t>
      </w:r>
      <w:r w:rsidR="003A1917">
        <w:rPr>
          <w:kern w:val="0"/>
          <w:szCs w:val="24"/>
        </w:rPr>
        <w:t xml:space="preserve"> the </w:t>
      </w:r>
      <w:r>
        <w:rPr>
          <w:kern w:val="0"/>
          <w:szCs w:val="24"/>
        </w:rPr>
        <w:t>less dramatic, because more subtle but probably more dangerous, examples; these are more dangerous because they remain undiscovered so may feed into meta-analyses</w:t>
      </w:r>
      <w:r w:rsidR="005853A9">
        <w:rPr>
          <w:kern w:val="0"/>
          <w:szCs w:val="24"/>
        </w:rPr>
        <w:t xml:space="preserve"> and </w:t>
      </w:r>
      <w:r>
        <w:rPr>
          <w:kern w:val="0"/>
          <w:szCs w:val="24"/>
        </w:rPr>
        <w:t>guidelines. A seminar organized by</w:t>
      </w:r>
      <w:r w:rsidR="003A1917">
        <w:rPr>
          <w:kern w:val="0"/>
          <w:szCs w:val="24"/>
        </w:rPr>
        <w:t xml:space="preserve"> the </w:t>
      </w:r>
      <w:r>
        <w:rPr>
          <w:kern w:val="0"/>
          <w:szCs w:val="24"/>
        </w:rPr>
        <w:t>Esteve Foundation, held in Sitges in April 2009, concentrated on conflicts</w:t>
      </w:r>
      <w:r w:rsidR="00427468">
        <w:rPr>
          <w:kern w:val="0"/>
          <w:szCs w:val="24"/>
        </w:rPr>
        <w:t xml:space="preserve"> of </w:t>
      </w:r>
      <w:r>
        <w:rPr>
          <w:kern w:val="0"/>
          <w:szCs w:val="24"/>
        </w:rPr>
        <w:t>interest (COI, sometimes also referred to as Competing Interests, CI), which underlie so much research</w:t>
      </w:r>
      <w:r w:rsidR="005853A9">
        <w:rPr>
          <w:kern w:val="0"/>
          <w:szCs w:val="24"/>
        </w:rPr>
        <w:t xml:space="preserve"> and </w:t>
      </w:r>
      <w:r>
        <w:rPr>
          <w:kern w:val="0"/>
          <w:szCs w:val="24"/>
        </w:rPr>
        <w:t>publication misconduct. All attendants</w:t>
      </w:r>
      <w:r w:rsidR="00427468">
        <w:rPr>
          <w:kern w:val="0"/>
          <w:szCs w:val="24"/>
        </w:rPr>
        <w:t xml:space="preserve"> of </w:t>
      </w:r>
      <w:r w:rsidR="003A1917">
        <w:rPr>
          <w:kern w:val="0"/>
          <w:szCs w:val="24"/>
        </w:rPr>
        <w:t xml:space="preserve">the </w:t>
      </w:r>
      <w:r>
        <w:rPr>
          <w:kern w:val="0"/>
          <w:szCs w:val="24"/>
        </w:rPr>
        <w:t>meeting agreed that there were many sources</w:t>
      </w:r>
      <w:r w:rsidR="00427468">
        <w:rPr>
          <w:kern w:val="0"/>
          <w:szCs w:val="24"/>
        </w:rPr>
        <w:t xml:space="preserve"> of </w:t>
      </w:r>
      <w:r>
        <w:rPr>
          <w:kern w:val="0"/>
          <w:szCs w:val="24"/>
        </w:rPr>
        <w:t>COI in</w:t>
      </w:r>
      <w:r w:rsidR="003A1917">
        <w:rPr>
          <w:kern w:val="0"/>
          <w:szCs w:val="24"/>
        </w:rPr>
        <w:t xml:space="preserve"> the </w:t>
      </w:r>
      <w:r>
        <w:rPr>
          <w:kern w:val="0"/>
          <w:szCs w:val="24"/>
        </w:rPr>
        <w:t>general process</w:t>
      </w:r>
      <w:r w:rsidR="00427468">
        <w:rPr>
          <w:kern w:val="0"/>
          <w:szCs w:val="24"/>
        </w:rPr>
        <w:t xml:space="preserve"> of </w:t>
      </w:r>
      <w:r>
        <w:rPr>
          <w:kern w:val="0"/>
          <w:szCs w:val="24"/>
        </w:rPr>
        <w:t>scientific communication (Figure 1)</w:t>
      </w:r>
      <w:r w:rsidR="00A37C1D">
        <w:rPr>
          <w:kern w:val="0"/>
          <w:szCs w:val="24"/>
        </w:rPr>
        <w:t>. The</w:t>
      </w:r>
      <w:r w:rsidR="003A1917">
        <w:rPr>
          <w:kern w:val="0"/>
          <w:szCs w:val="24"/>
        </w:rPr>
        <w:t xml:space="preserve"> </w:t>
      </w:r>
      <w:r>
        <w:rPr>
          <w:kern w:val="0"/>
          <w:szCs w:val="24"/>
        </w:rPr>
        <w:t>meeting was mainly focused on non-financial COI. Three introductory presentations highlighted some</w:t>
      </w:r>
      <w:r w:rsidR="00427468">
        <w:rPr>
          <w:kern w:val="0"/>
          <w:szCs w:val="24"/>
        </w:rPr>
        <w:t xml:space="preserve"> of </w:t>
      </w:r>
      <w:r w:rsidR="003A1917">
        <w:rPr>
          <w:kern w:val="0"/>
          <w:szCs w:val="24"/>
        </w:rPr>
        <w:t xml:space="preserve">the </w:t>
      </w:r>
      <w:r>
        <w:rPr>
          <w:kern w:val="0"/>
          <w:szCs w:val="24"/>
        </w:rPr>
        <w:t>topics related to COI in</w:t>
      </w:r>
      <w:r w:rsidR="003A1917">
        <w:rPr>
          <w:kern w:val="0"/>
          <w:szCs w:val="24"/>
        </w:rPr>
        <w:t xml:space="preserve"> the </w:t>
      </w:r>
      <w:r>
        <w:rPr>
          <w:kern w:val="0"/>
          <w:szCs w:val="24"/>
        </w:rPr>
        <w:t>contemporary scientific publishing enterprise.</w:t>
      </w:r>
    </w:p>
    <w:p w:rsidR="0041253D" w:rsidRDefault="0041253D" w:rsidP="0041253D">
      <w:pPr>
        <w:pStyle w:val="a3"/>
        <w:rPr>
          <w:kern w:val="0"/>
          <w:szCs w:val="24"/>
        </w:rPr>
      </w:pPr>
      <w:r>
        <w:rPr>
          <w:kern w:val="0"/>
          <w:szCs w:val="24"/>
        </w:rPr>
        <w:t xml:space="preserve">Keywords: Biomedical, Could Disclosure, Duplicate Publication, Epidemiology, </w:t>
      </w:r>
      <w:r>
        <w:rPr>
          <w:kern w:val="0"/>
          <w:szCs w:val="24"/>
        </w:rPr>
        <w:lastRenderedPageBreak/>
        <w:t>Industry, Journal, Journal Editors, Medicine, Meta-Analysis, Metaanalysis, Plagiarism, Public-Health, Publication, Publishing, Research, Review, Systematic Review, Work</w:t>
      </w:r>
    </w:p>
    <w:p w:rsidR="006040FA" w:rsidRDefault="006040FA" w:rsidP="006040FA">
      <w:pPr>
        <w:pStyle w:val="a3"/>
        <w:rPr>
          <w:kern w:val="0"/>
        </w:rPr>
      </w:pPr>
      <w:r>
        <w:rPr>
          <w:rFonts w:hint="eastAsia"/>
          <w:kern w:val="0"/>
        </w:rPr>
        <w:t xml:space="preserve">? </w:t>
      </w:r>
      <w:r>
        <w:rPr>
          <w:kern w:val="0"/>
        </w:rPr>
        <w:t>Sember, M., Utrobicic, A.</w:t>
      </w:r>
      <w:r w:rsidR="005853A9">
        <w:rPr>
          <w:kern w:val="0"/>
        </w:rPr>
        <w:t xml:space="preserve"> and </w:t>
      </w:r>
      <w:r>
        <w:rPr>
          <w:kern w:val="0"/>
        </w:rPr>
        <w:t xml:space="preserve">Petrak, J. (2010), </w:t>
      </w:r>
      <w:r w:rsidRPr="00FD3C7D">
        <w:rPr>
          <w:i/>
          <w:kern w:val="0"/>
        </w:rPr>
        <w:t>Croatian Medical Journal</w:t>
      </w:r>
      <w:r>
        <w:rPr>
          <w:kern w:val="0"/>
        </w:rPr>
        <w:t xml:space="preserve"> citation score in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Pr>
          <w:kern w:val="0"/>
        </w:rPr>
        <w:t xml:space="preserve">Google Scholar. </w:t>
      </w:r>
      <w:r>
        <w:rPr>
          <w:i/>
          <w:iCs/>
          <w:kern w:val="0"/>
        </w:rPr>
        <w:t>Croatian Medical Journal</w:t>
      </w:r>
      <w:r>
        <w:rPr>
          <w:kern w:val="0"/>
        </w:rPr>
        <w:t xml:space="preserve">, </w:t>
      </w:r>
      <w:r>
        <w:rPr>
          <w:b/>
          <w:bCs/>
          <w:kern w:val="0"/>
        </w:rPr>
        <w:t>51</w:t>
      </w:r>
      <w:r>
        <w:rPr>
          <w:kern w:val="0"/>
        </w:rPr>
        <w:t xml:space="preserve"> (2), 99-103.</w:t>
      </w:r>
    </w:p>
    <w:p w:rsidR="006040FA" w:rsidRPr="001A3D2B" w:rsidRDefault="006040FA" w:rsidP="006040FA">
      <w:pPr>
        <w:pStyle w:val="a3"/>
      </w:pPr>
      <w:r w:rsidRPr="001A3D2B">
        <w:t xml:space="preserve">Full Text: </w:t>
      </w:r>
      <w:hyperlink r:id="rId1088" w:history="1">
        <w:r w:rsidRPr="006040FA">
          <w:rPr>
            <w:rStyle w:val="a5"/>
          </w:rPr>
          <w:t>2010\Cro Med J51, 99.pdf</w:t>
        </w:r>
      </w:hyperlink>
    </w:p>
    <w:p w:rsidR="006040FA" w:rsidRDefault="006040FA" w:rsidP="006040FA">
      <w:pPr>
        <w:pStyle w:val="a3"/>
        <w:rPr>
          <w:kern w:val="0"/>
        </w:rPr>
      </w:pPr>
      <w:r>
        <w:rPr>
          <w:kern w:val="0"/>
        </w:rPr>
        <w:t>Abstract: Aim To analyze</w:t>
      </w:r>
      <w:r w:rsidR="003A1917">
        <w:rPr>
          <w:kern w:val="0"/>
        </w:rPr>
        <w:t xml:space="preserve"> the </w:t>
      </w:r>
      <w:r>
        <w:rPr>
          <w:kern w:val="0"/>
        </w:rPr>
        <w:t>2007 citation count</w:t>
      </w:r>
      <w:r w:rsidR="00427468">
        <w:rPr>
          <w:kern w:val="0"/>
        </w:rPr>
        <w:t xml:space="preserve"> of </w:t>
      </w:r>
      <w:r>
        <w:rPr>
          <w:kern w:val="0"/>
        </w:rPr>
        <w:t>articles published by</w:t>
      </w:r>
      <w:r w:rsidR="003A1917">
        <w:rPr>
          <w:kern w:val="0"/>
        </w:rPr>
        <w:t xml:space="preserve"> the </w:t>
      </w:r>
      <w:r>
        <w:rPr>
          <w:kern w:val="0"/>
        </w:rPr>
        <w:t>Croatian Medical Journal in 2005-2006 based on data from</w:t>
      </w:r>
      <w:r w:rsidR="003A1917">
        <w:rPr>
          <w:kern w:val="0"/>
        </w:rPr>
        <w:t xml:space="preserve"> the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Pr>
          <w:kern w:val="0"/>
        </w:rPr>
        <w:t xml:space="preserve">Google Scholar. Methods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were searched for</w:t>
      </w:r>
      <w:r w:rsidR="003A1917">
        <w:rPr>
          <w:kern w:val="0"/>
        </w:rPr>
        <w:t xml:space="preserve"> the </w:t>
      </w:r>
      <w:r>
        <w:rPr>
          <w:kern w:val="0"/>
        </w:rPr>
        <w:t xml:space="preserve">articles published in 2005-2006. As all articles returned by Scopus were included in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latter list was</w:t>
      </w:r>
      <w:r w:rsidR="003A1917">
        <w:rPr>
          <w:kern w:val="0"/>
        </w:rPr>
        <w:t xml:space="preserve"> the </w:t>
      </w:r>
      <w:r>
        <w:rPr>
          <w:kern w:val="0"/>
        </w:rPr>
        <w:t>sample for further analysis. Total citation counts for each article on</w:t>
      </w:r>
      <w:r w:rsidR="003A1917">
        <w:rPr>
          <w:kern w:val="0"/>
        </w:rPr>
        <w:t xml:space="preserve"> the </w:t>
      </w:r>
      <w:r>
        <w:rPr>
          <w:kern w:val="0"/>
        </w:rPr>
        <w:t xml:space="preserve">list were retrieved from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Pr>
          <w:kern w:val="0"/>
        </w:rPr>
        <w:t>Google Scholar</w:t>
      </w:r>
      <w:r w:rsidR="00A37C1D">
        <w:rPr>
          <w:kern w:val="0"/>
        </w:rPr>
        <w:t>. The</w:t>
      </w:r>
      <w:r w:rsidR="003A1917">
        <w:rPr>
          <w:kern w:val="0"/>
        </w:rPr>
        <w:t xml:space="preserve"> </w:t>
      </w:r>
      <w:r>
        <w:rPr>
          <w:kern w:val="0"/>
        </w:rPr>
        <w:t>overlap</w:t>
      </w:r>
      <w:r w:rsidR="005853A9">
        <w:rPr>
          <w:kern w:val="0"/>
        </w:rPr>
        <w:t xml:space="preserve"> and </w:t>
      </w:r>
      <w:r>
        <w:rPr>
          <w:kern w:val="0"/>
        </w:rPr>
        <w:t>unique citations were compared</w:t>
      </w:r>
      <w:r w:rsidR="005853A9">
        <w:rPr>
          <w:kern w:val="0"/>
        </w:rPr>
        <w:t xml:space="preserve"> and </w:t>
      </w:r>
      <w:r>
        <w:rPr>
          <w:kern w:val="0"/>
        </w:rPr>
        <w:t>analyzed. Proportions were compared using chi(2)-test. Results Google Scholar returned</w:t>
      </w:r>
      <w:r w:rsidR="003A1917">
        <w:rPr>
          <w:kern w:val="0"/>
        </w:rPr>
        <w:t xml:space="preserve"> the </w:t>
      </w:r>
      <w:r>
        <w:rPr>
          <w:kern w:val="0"/>
        </w:rPr>
        <w:t>greatest proportion</w:t>
      </w:r>
      <w:r w:rsidR="00427468">
        <w:rPr>
          <w:kern w:val="0"/>
        </w:rPr>
        <w:t xml:space="preserve"> of </w:t>
      </w:r>
      <w:r>
        <w:rPr>
          <w:kern w:val="0"/>
        </w:rPr>
        <w:t>articles with citations (45%), followed by Scopus (42%),</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(38%). Almost a half (49%)</w:t>
      </w:r>
      <w:r w:rsidR="00427468">
        <w:rPr>
          <w:kern w:val="0"/>
        </w:rPr>
        <w:t xml:space="preserve"> of </w:t>
      </w:r>
      <w:r>
        <w:rPr>
          <w:kern w:val="0"/>
        </w:rPr>
        <w:t>articles had no citations</w:t>
      </w:r>
      <w:r w:rsidR="005853A9">
        <w:rPr>
          <w:kern w:val="0"/>
        </w:rPr>
        <w:t xml:space="preserve"> and </w:t>
      </w:r>
      <w:r>
        <w:rPr>
          <w:kern w:val="0"/>
        </w:rPr>
        <w:t>11% had an equal number</w:t>
      </w:r>
      <w:r w:rsidR="00427468">
        <w:rPr>
          <w:kern w:val="0"/>
        </w:rPr>
        <w:t xml:space="preserve"> of </w:t>
      </w:r>
      <w:r>
        <w:rPr>
          <w:kern w:val="0"/>
        </w:rPr>
        <w:t>identical citations in all 3 databases</w:t>
      </w:r>
      <w:r w:rsidR="00A37C1D">
        <w:rPr>
          <w:kern w:val="0"/>
        </w:rPr>
        <w:t>. The</w:t>
      </w:r>
      <w:r w:rsidR="003A1917">
        <w:rPr>
          <w:kern w:val="0"/>
        </w:rPr>
        <w:t xml:space="preserve"> </w:t>
      </w:r>
      <w:r>
        <w:rPr>
          <w:kern w:val="0"/>
        </w:rPr>
        <w:t xml:space="preserve">greatest overlap was found between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(54%), followed by Scopus</w:t>
      </w:r>
      <w:r w:rsidR="005853A9">
        <w:rPr>
          <w:kern w:val="0"/>
        </w:rPr>
        <w:t xml:space="preserve"> and </w:t>
      </w:r>
      <w:r>
        <w:rPr>
          <w:kern w:val="0"/>
        </w:rPr>
        <w:t>Google Scholar (51%),</w:t>
      </w:r>
      <w:r w:rsidR="005853A9">
        <w:rPr>
          <w:kern w:val="0"/>
        </w:rPr>
        <w:t xml:space="preserve"> and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Google Scholar (44%)</w:t>
      </w:r>
      <w:r w:rsidR="00A37C1D">
        <w:rPr>
          <w:kern w:val="0"/>
        </w:rPr>
        <w:t>. The</w:t>
      </w:r>
      <w:r w:rsidR="003A1917">
        <w:rPr>
          <w:kern w:val="0"/>
        </w:rPr>
        <w:t xml:space="preserve"> </w:t>
      </w:r>
      <w:r>
        <w:rPr>
          <w:kern w:val="0"/>
        </w:rPr>
        <w:t>greatest number</w:t>
      </w:r>
      <w:r w:rsidR="00427468">
        <w:rPr>
          <w:kern w:val="0"/>
        </w:rPr>
        <w:t xml:space="preserve"> of </w:t>
      </w:r>
      <w:r>
        <w:rPr>
          <w:kern w:val="0"/>
        </w:rPr>
        <w:t>unique citations was found by Google Scholar (n = 86)</w:t>
      </w:r>
      <w:r w:rsidR="00A37C1D">
        <w:rPr>
          <w:kern w:val="0"/>
        </w:rPr>
        <w:t>. The</w:t>
      </w:r>
      <w:r w:rsidR="003A1917">
        <w:rPr>
          <w:kern w:val="0"/>
        </w:rPr>
        <w:t xml:space="preserve"> </w:t>
      </w:r>
      <w:r>
        <w:rPr>
          <w:kern w:val="0"/>
        </w:rPr>
        <w:t>majority</w:t>
      </w:r>
      <w:r w:rsidR="00427468">
        <w:rPr>
          <w:kern w:val="0"/>
        </w:rPr>
        <w:t xml:space="preserve"> of </w:t>
      </w:r>
      <w:r>
        <w:rPr>
          <w:kern w:val="0"/>
        </w:rPr>
        <w:t>these citations (64%) came from journals, followed by books</w:t>
      </w:r>
      <w:r w:rsidR="005853A9">
        <w:rPr>
          <w:kern w:val="0"/>
        </w:rPr>
        <w:t xml:space="preserve"> and </w:t>
      </w:r>
      <w:r>
        <w:rPr>
          <w:kern w:val="0"/>
        </w:rPr>
        <w:t>PhD theses. Approximately 55%</w:t>
      </w:r>
      <w:r w:rsidR="00427468">
        <w:rPr>
          <w:kern w:val="0"/>
        </w:rPr>
        <w:t xml:space="preserve"> of </w:t>
      </w:r>
      <w:r>
        <w:rPr>
          <w:kern w:val="0"/>
        </w:rPr>
        <w:t>all citing documents were full-text resources in open access</w:t>
      </w:r>
      <w:r w:rsidR="00A37C1D">
        <w:rPr>
          <w:kern w:val="0"/>
        </w:rPr>
        <w:t>. The</w:t>
      </w:r>
      <w:r w:rsidR="003A1917">
        <w:rPr>
          <w:kern w:val="0"/>
        </w:rPr>
        <w:t xml:space="preserve"> </w:t>
      </w:r>
      <w:r>
        <w:rPr>
          <w:kern w:val="0"/>
        </w:rPr>
        <w:t>language</w:t>
      </w:r>
      <w:r w:rsidR="00427468">
        <w:rPr>
          <w:kern w:val="0"/>
        </w:rPr>
        <w:t xml:space="preserve"> of </w:t>
      </w:r>
      <w:r>
        <w:rPr>
          <w:kern w:val="0"/>
        </w:rPr>
        <w:t>citing documents was mostly English, but as many as 25 citing documents (29%) were in Chinese. Conclusion Google Scholar shares a total</w:t>
      </w:r>
      <w:r w:rsidR="00427468">
        <w:rPr>
          <w:kern w:val="0"/>
        </w:rPr>
        <w:t xml:space="preserve"> of </w:t>
      </w:r>
      <w:r>
        <w:rPr>
          <w:kern w:val="0"/>
        </w:rPr>
        <w:t>42% citations returned by two others, more influential, bibliographic resources</w:t>
      </w:r>
      <w:r w:rsidR="00A37C1D">
        <w:rPr>
          <w:kern w:val="0"/>
        </w:rPr>
        <w:t>. The</w:t>
      </w:r>
      <w:r w:rsidR="003A1917">
        <w:rPr>
          <w:kern w:val="0"/>
        </w:rPr>
        <w:t xml:space="preserve"> </w:t>
      </w:r>
      <w:r>
        <w:rPr>
          <w:kern w:val="0"/>
        </w:rPr>
        <w:t>list</w:t>
      </w:r>
      <w:r w:rsidR="00427468">
        <w:rPr>
          <w:kern w:val="0"/>
        </w:rPr>
        <w:t xml:space="preserve"> of </w:t>
      </w:r>
      <w:r>
        <w:rPr>
          <w:kern w:val="0"/>
        </w:rPr>
        <w:t>unique citations in Google Scholar is predominantly journal based, but these journals are mainly</w:t>
      </w:r>
      <w:r w:rsidR="00427468">
        <w:rPr>
          <w:kern w:val="0"/>
        </w:rPr>
        <w:t xml:space="preserve"> of </w:t>
      </w:r>
      <w:r>
        <w:rPr>
          <w:kern w:val="0"/>
        </w:rPr>
        <w:t>local character. Citations received by internationally recognized medical journals are crucial for increasing</w:t>
      </w:r>
      <w:r w:rsidR="003A1917">
        <w:rPr>
          <w:kern w:val="0"/>
        </w:rPr>
        <w:t xml:space="preserve"> the </w:t>
      </w:r>
      <w:r>
        <w:rPr>
          <w:kern w:val="0"/>
        </w:rPr>
        <w:t>visibility</w:t>
      </w:r>
      <w:r w:rsidR="00427468">
        <w:rPr>
          <w:kern w:val="0"/>
        </w:rPr>
        <w:t xml:space="preserve"> of </w:t>
      </w:r>
      <w:r>
        <w:rPr>
          <w:kern w:val="0"/>
        </w:rPr>
        <w:t>small medical journals but Google Scholar may serve as an alternative bibliometric tool for an orientational citation insight.</w:t>
      </w:r>
    </w:p>
    <w:p w:rsidR="006040FA" w:rsidRDefault="006040FA" w:rsidP="006040FA">
      <w:pPr>
        <w:pStyle w:val="a3"/>
        <w:rPr>
          <w:kern w:val="0"/>
        </w:rPr>
      </w:pPr>
      <w:r>
        <w:rPr>
          <w:kern w:val="0"/>
        </w:rPr>
        <w:t xml:space="preserve">Keywords: Articles, Bibliometric, Books, Citation, Citation Count, Citation Counts, Citations, Databases, English, Google Scholar, Journal, Journals, Language, Local, Medical, Science, Scopus, Visibility, </w:t>
      </w:r>
      <w:r w:rsidR="00D5664A">
        <w:rPr>
          <w:kern w:val="0"/>
        </w:rPr>
        <w:t>Web</w:t>
      </w:r>
      <w:r w:rsidR="00427468">
        <w:rPr>
          <w:kern w:val="0"/>
        </w:rPr>
        <w:t xml:space="preserve"> of </w:t>
      </w:r>
      <w:r w:rsidR="00D5664A">
        <w:rPr>
          <w:kern w:val="0"/>
        </w:rPr>
        <w:t>Science</w:t>
      </w:r>
    </w:p>
    <w:p w:rsidR="0041253D" w:rsidRDefault="0041253D" w:rsidP="0041253D">
      <w:pPr>
        <w:pStyle w:val="a3"/>
        <w:rPr>
          <w:kern w:val="0"/>
          <w:szCs w:val="24"/>
        </w:rPr>
      </w:pPr>
      <w:r>
        <w:rPr>
          <w:rFonts w:hint="eastAsia"/>
          <w:kern w:val="0"/>
          <w:szCs w:val="24"/>
        </w:rPr>
        <w:t xml:space="preserve">? </w:t>
      </w:r>
      <w:r>
        <w:rPr>
          <w:kern w:val="0"/>
          <w:szCs w:val="24"/>
        </w:rPr>
        <w:t>Mavrinac, M., Brumini, G., Bilic-Zulle, L.</w:t>
      </w:r>
      <w:r w:rsidR="005853A9">
        <w:rPr>
          <w:kern w:val="0"/>
          <w:szCs w:val="24"/>
        </w:rPr>
        <w:t xml:space="preserve"> and </w:t>
      </w:r>
      <w:r>
        <w:rPr>
          <w:kern w:val="0"/>
          <w:szCs w:val="24"/>
        </w:rPr>
        <w:t>Petrovecki, M. (2010), Construction</w:t>
      </w:r>
      <w:r w:rsidR="005853A9">
        <w:rPr>
          <w:kern w:val="0"/>
          <w:szCs w:val="24"/>
        </w:rPr>
        <w:t xml:space="preserve"> and </w:t>
      </w:r>
      <w:r>
        <w:rPr>
          <w:kern w:val="0"/>
          <w:szCs w:val="24"/>
        </w:rPr>
        <w:t>validation</w:t>
      </w:r>
      <w:r w:rsidR="00427468">
        <w:rPr>
          <w:kern w:val="0"/>
          <w:szCs w:val="24"/>
        </w:rPr>
        <w:t xml:space="preserve"> of </w:t>
      </w:r>
      <w:r>
        <w:rPr>
          <w:kern w:val="0"/>
          <w:szCs w:val="24"/>
        </w:rPr>
        <w:t xml:space="preserve">attitudes toward plagiarism questionnaire. </w:t>
      </w:r>
      <w:r>
        <w:rPr>
          <w:i/>
          <w:iCs/>
          <w:kern w:val="0"/>
          <w:szCs w:val="24"/>
        </w:rPr>
        <w:t>Croatian Medical Journal</w:t>
      </w:r>
      <w:r>
        <w:rPr>
          <w:kern w:val="0"/>
          <w:szCs w:val="24"/>
        </w:rPr>
        <w:t xml:space="preserve">, </w:t>
      </w:r>
      <w:r>
        <w:rPr>
          <w:b/>
          <w:bCs/>
          <w:kern w:val="0"/>
          <w:szCs w:val="24"/>
        </w:rPr>
        <w:t>51</w:t>
      </w:r>
      <w:r>
        <w:rPr>
          <w:kern w:val="0"/>
          <w:szCs w:val="24"/>
        </w:rPr>
        <w:t xml:space="preserve"> (3), 195-201.</w:t>
      </w:r>
    </w:p>
    <w:p w:rsidR="0041253D" w:rsidRPr="001A3D2B" w:rsidRDefault="0041253D" w:rsidP="0041253D">
      <w:pPr>
        <w:pStyle w:val="a3"/>
      </w:pPr>
      <w:r w:rsidRPr="001A3D2B">
        <w:t xml:space="preserve">Full Text: </w:t>
      </w:r>
      <w:r>
        <w:t xml:space="preserve">2010\Cro Med J51, </w:t>
      </w:r>
      <w:r>
        <w:rPr>
          <w:rFonts w:hint="eastAsia"/>
        </w:rPr>
        <w:t>195</w:t>
      </w:r>
      <w:r w:rsidRPr="00437367">
        <w:t>.pdf</w:t>
      </w:r>
    </w:p>
    <w:p w:rsidR="0041253D" w:rsidRDefault="0041253D" w:rsidP="0041253D">
      <w:pPr>
        <w:pStyle w:val="a3"/>
        <w:rPr>
          <w:kern w:val="0"/>
          <w:szCs w:val="24"/>
        </w:rPr>
      </w:pPr>
      <w:r>
        <w:rPr>
          <w:kern w:val="0"/>
          <w:szCs w:val="24"/>
        </w:rPr>
        <w:t>Abstract: Aim To develop</w:t>
      </w:r>
      <w:r w:rsidR="005853A9">
        <w:rPr>
          <w:kern w:val="0"/>
          <w:szCs w:val="24"/>
        </w:rPr>
        <w:t xml:space="preserve"> and </w:t>
      </w:r>
      <w:r>
        <w:rPr>
          <w:kern w:val="0"/>
          <w:szCs w:val="24"/>
        </w:rPr>
        <w:t>test</w:t>
      </w:r>
      <w:r w:rsidR="003A1917">
        <w:rPr>
          <w:kern w:val="0"/>
          <w:szCs w:val="24"/>
        </w:rPr>
        <w:t xml:space="preserve"> the </w:t>
      </w:r>
      <w:r>
        <w:rPr>
          <w:kern w:val="0"/>
          <w:szCs w:val="24"/>
        </w:rPr>
        <w:t>psychometric characteristics</w:t>
      </w:r>
      <w:r w:rsidR="00427468">
        <w:rPr>
          <w:kern w:val="0"/>
          <w:szCs w:val="24"/>
        </w:rPr>
        <w:t xml:space="preserve"> of </w:t>
      </w:r>
      <w:r>
        <w:rPr>
          <w:kern w:val="0"/>
          <w:szCs w:val="24"/>
        </w:rPr>
        <w:t xml:space="preserve">a questionnaire </w:t>
      </w:r>
      <w:r>
        <w:rPr>
          <w:kern w:val="0"/>
          <w:szCs w:val="24"/>
        </w:rPr>
        <w:lastRenderedPageBreak/>
        <w:t>measuring attitudes toward plagiarism. Methods Participants were 227 undergraduates</w:t>
      </w:r>
      <w:r w:rsidR="005853A9">
        <w:rPr>
          <w:kern w:val="0"/>
          <w:szCs w:val="24"/>
        </w:rPr>
        <w:t xml:space="preserve"> and </w:t>
      </w:r>
      <w:r>
        <w:rPr>
          <w:kern w:val="0"/>
          <w:szCs w:val="24"/>
        </w:rPr>
        <w:t>graduate students (128 women</w:t>
      </w:r>
      <w:r w:rsidR="005853A9">
        <w:rPr>
          <w:kern w:val="0"/>
          <w:szCs w:val="24"/>
        </w:rPr>
        <w:t xml:space="preserve"> and </w:t>
      </w:r>
      <w:r>
        <w:rPr>
          <w:kern w:val="0"/>
          <w:szCs w:val="24"/>
        </w:rPr>
        <w:t>99 men) from three Croatian universities, with a median age</w:t>
      </w:r>
      <w:r w:rsidR="00427468">
        <w:rPr>
          <w:kern w:val="0"/>
          <w:szCs w:val="24"/>
        </w:rPr>
        <w:t xml:space="preserve"> of </w:t>
      </w:r>
      <w:r>
        <w:rPr>
          <w:kern w:val="0"/>
          <w:szCs w:val="24"/>
        </w:rPr>
        <w:t>21 years (range 18 to 48). Research was conducted from March to June 2009. For</w:t>
      </w:r>
      <w:r w:rsidR="003A1917">
        <w:rPr>
          <w:kern w:val="0"/>
          <w:szCs w:val="24"/>
        </w:rPr>
        <w:t xml:space="preserve"> the </w:t>
      </w:r>
      <w:r>
        <w:rPr>
          <w:kern w:val="0"/>
          <w:szCs w:val="24"/>
        </w:rPr>
        <w:t>purpose</w:t>
      </w:r>
      <w:r w:rsidR="00427468">
        <w:rPr>
          <w:kern w:val="0"/>
          <w:szCs w:val="24"/>
        </w:rPr>
        <w:t xml:space="preserve"> of </w:t>
      </w:r>
      <w:r>
        <w:rPr>
          <w:kern w:val="0"/>
          <w:szCs w:val="24"/>
        </w:rPr>
        <w:t>construction</w:t>
      </w:r>
      <w:r w:rsidR="00427468">
        <w:rPr>
          <w:kern w:val="0"/>
          <w:szCs w:val="24"/>
        </w:rPr>
        <w:t xml:space="preserve"> of </w:t>
      </w:r>
      <w:r w:rsidR="003A1917">
        <w:rPr>
          <w:kern w:val="0"/>
          <w:szCs w:val="24"/>
        </w:rPr>
        <w:t xml:space="preserve">the </w:t>
      </w:r>
      <w:r>
        <w:rPr>
          <w:kern w:val="0"/>
          <w:szCs w:val="24"/>
        </w:rPr>
        <w:t>first version</w:t>
      </w:r>
      <w:r w:rsidR="00427468">
        <w:rPr>
          <w:kern w:val="0"/>
          <w:szCs w:val="24"/>
        </w:rPr>
        <w:t xml:space="preserve"> of </w:t>
      </w:r>
      <w:r w:rsidR="003A1917">
        <w:rPr>
          <w:kern w:val="0"/>
          <w:szCs w:val="24"/>
        </w:rPr>
        <w:t xml:space="preserve">the </w:t>
      </w:r>
      <w:r>
        <w:rPr>
          <w:kern w:val="0"/>
          <w:szCs w:val="24"/>
        </w:rPr>
        <w:t>questionnaire, 67 statements (items) were developed</w:t>
      </w:r>
      <w:r w:rsidR="00A37C1D">
        <w:rPr>
          <w:kern w:val="0"/>
          <w:szCs w:val="24"/>
        </w:rPr>
        <w:t>. The</w:t>
      </w:r>
      <w:r w:rsidR="003A1917">
        <w:rPr>
          <w:kern w:val="0"/>
          <w:szCs w:val="24"/>
        </w:rPr>
        <w:t xml:space="preserve"> </w:t>
      </w:r>
      <w:r>
        <w:rPr>
          <w:kern w:val="0"/>
          <w:szCs w:val="24"/>
        </w:rPr>
        <w:t>statements were based on</w:t>
      </w:r>
      <w:r w:rsidR="003A1917">
        <w:rPr>
          <w:kern w:val="0"/>
          <w:szCs w:val="24"/>
        </w:rPr>
        <w:t xml:space="preserve"> the </w:t>
      </w:r>
      <w:r>
        <w:rPr>
          <w:kern w:val="0"/>
          <w:szCs w:val="24"/>
        </w:rPr>
        <w:t>relevant literature</w:t>
      </w:r>
      <w:r w:rsidR="005853A9">
        <w:rPr>
          <w:kern w:val="0"/>
          <w:szCs w:val="24"/>
        </w:rPr>
        <w:t xml:space="preserve"> and </w:t>
      </w:r>
      <w:r>
        <w:rPr>
          <w:kern w:val="0"/>
          <w:szCs w:val="24"/>
        </w:rPr>
        <w:t>were developed following rules</w:t>
      </w:r>
      <w:r w:rsidR="005853A9">
        <w:rPr>
          <w:kern w:val="0"/>
          <w:szCs w:val="24"/>
        </w:rPr>
        <w:t xml:space="preserve"> and </w:t>
      </w:r>
      <w:r>
        <w:rPr>
          <w:kern w:val="0"/>
          <w:szCs w:val="24"/>
        </w:rPr>
        <w:t>recommendations for questionnaire writing,</w:t>
      </w:r>
      <w:r w:rsidR="005853A9">
        <w:rPr>
          <w:kern w:val="0"/>
          <w:szCs w:val="24"/>
        </w:rPr>
        <w:t xml:space="preserve"> and </w:t>
      </w:r>
      <w:r>
        <w:rPr>
          <w:kern w:val="0"/>
          <w:szCs w:val="24"/>
        </w:rPr>
        <w:t>36 items were chosen for final validation. Factor analysis was used to find out</w:t>
      </w:r>
      <w:r w:rsidR="003A1917">
        <w:rPr>
          <w:kern w:val="0"/>
          <w:szCs w:val="24"/>
        </w:rPr>
        <w:t xml:space="preserve"> the </w:t>
      </w:r>
      <w:r>
        <w:rPr>
          <w:kern w:val="0"/>
          <w:szCs w:val="24"/>
        </w:rPr>
        <w:t>factor structure</w:t>
      </w:r>
      <w:r w:rsidR="00427468">
        <w:rPr>
          <w:kern w:val="0"/>
          <w:szCs w:val="24"/>
        </w:rPr>
        <w:t xml:space="preserve"> of </w:t>
      </w:r>
      <w:r w:rsidR="003A1917">
        <w:rPr>
          <w:kern w:val="0"/>
          <w:szCs w:val="24"/>
        </w:rPr>
        <w:t xml:space="preserve">the </w:t>
      </w:r>
      <w:r>
        <w:rPr>
          <w:kern w:val="0"/>
          <w:szCs w:val="24"/>
        </w:rPr>
        <w:t>questionnaire</w:t>
      </w:r>
      <w:r w:rsidR="005853A9">
        <w:rPr>
          <w:kern w:val="0"/>
          <w:szCs w:val="24"/>
        </w:rPr>
        <w:t xml:space="preserve"> and </w:t>
      </w:r>
      <w:r>
        <w:rPr>
          <w:kern w:val="0"/>
          <w:szCs w:val="24"/>
        </w:rPr>
        <w:t>to measure construct validity. Results</w:t>
      </w:r>
      <w:r w:rsidR="003A1917">
        <w:rPr>
          <w:kern w:val="0"/>
          <w:szCs w:val="24"/>
        </w:rPr>
        <w:t xml:space="preserve"> the </w:t>
      </w:r>
      <w:r>
        <w:rPr>
          <w:kern w:val="0"/>
          <w:szCs w:val="24"/>
        </w:rPr>
        <w:t>final version</w:t>
      </w:r>
      <w:r w:rsidR="00427468">
        <w:rPr>
          <w:kern w:val="0"/>
          <w:szCs w:val="24"/>
        </w:rPr>
        <w:t xml:space="preserve"> of </w:t>
      </w:r>
      <w:r w:rsidR="003A1917">
        <w:rPr>
          <w:kern w:val="0"/>
          <w:szCs w:val="24"/>
        </w:rPr>
        <w:t xml:space="preserve">the </w:t>
      </w:r>
      <w:r>
        <w:rPr>
          <w:kern w:val="0"/>
          <w:szCs w:val="24"/>
        </w:rPr>
        <w:t>questionnaire consisted</w:t>
      </w:r>
      <w:r w:rsidR="00427468">
        <w:rPr>
          <w:kern w:val="0"/>
          <w:szCs w:val="24"/>
        </w:rPr>
        <w:t xml:space="preserve"> of </w:t>
      </w:r>
      <w:r>
        <w:rPr>
          <w:kern w:val="0"/>
          <w:szCs w:val="24"/>
        </w:rPr>
        <w:t>29 items divided into a three-factor structure: factor I -positive attitude toward plagiarism (12 items); factor II - negative attitude toward plagiarism (7 items);</w:t>
      </w:r>
      <w:r w:rsidR="005853A9">
        <w:rPr>
          <w:kern w:val="0"/>
          <w:szCs w:val="24"/>
        </w:rPr>
        <w:t xml:space="preserve"> and </w:t>
      </w:r>
      <w:r>
        <w:rPr>
          <w:kern w:val="0"/>
          <w:szCs w:val="24"/>
        </w:rPr>
        <w:t>factor</w:t>
      </w:r>
      <w:r w:rsidR="008C1C37">
        <w:rPr>
          <w:kern w:val="0"/>
          <w:szCs w:val="24"/>
        </w:rPr>
        <w:t xml:space="preserve"> III </w:t>
      </w:r>
      <w:r>
        <w:rPr>
          <w:kern w:val="0"/>
          <w:szCs w:val="24"/>
        </w:rPr>
        <w:t>-subjective norms toward plagiarism (10 items). Cronbach a was calculated to confirm</w:t>
      </w:r>
      <w:r w:rsidR="003A1917">
        <w:rPr>
          <w:kern w:val="0"/>
          <w:szCs w:val="24"/>
        </w:rPr>
        <w:t xml:space="preserve"> the </w:t>
      </w:r>
      <w:r>
        <w:rPr>
          <w:kern w:val="0"/>
          <w:szCs w:val="24"/>
        </w:rPr>
        <w:t>reliability</w:t>
      </w:r>
      <w:r w:rsidR="00427468">
        <w:rPr>
          <w:kern w:val="0"/>
          <w:szCs w:val="24"/>
        </w:rPr>
        <w:t xml:space="preserve"> of </w:t>
      </w:r>
      <w:r w:rsidR="003A1917">
        <w:rPr>
          <w:kern w:val="0"/>
          <w:szCs w:val="24"/>
        </w:rPr>
        <w:t xml:space="preserve">the </w:t>
      </w:r>
      <w:r>
        <w:rPr>
          <w:kern w:val="0"/>
          <w:szCs w:val="24"/>
        </w:rPr>
        <w:t>scale: factor I a = 0.83; factor II a = 0.79;</w:t>
      </w:r>
      <w:r w:rsidR="005853A9">
        <w:rPr>
          <w:kern w:val="0"/>
          <w:szCs w:val="24"/>
        </w:rPr>
        <w:t xml:space="preserve"> and </w:t>
      </w:r>
      <w:r>
        <w:rPr>
          <w:kern w:val="0"/>
          <w:szCs w:val="24"/>
        </w:rPr>
        <w:t>factor</w:t>
      </w:r>
      <w:r w:rsidR="008C1C37">
        <w:rPr>
          <w:kern w:val="0"/>
          <w:szCs w:val="24"/>
        </w:rPr>
        <w:t xml:space="preserve"> III </w:t>
      </w:r>
      <w:r>
        <w:rPr>
          <w:kern w:val="0"/>
          <w:szCs w:val="24"/>
        </w:rPr>
        <w:t>a = 0.85. Correlations between factors were: -0.37 between I</w:t>
      </w:r>
      <w:r w:rsidR="005853A9">
        <w:rPr>
          <w:kern w:val="0"/>
          <w:szCs w:val="24"/>
        </w:rPr>
        <w:t xml:space="preserve"> and </w:t>
      </w:r>
      <w:r>
        <w:rPr>
          <w:kern w:val="0"/>
          <w:szCs w:val="24"/>
        </w:rPr>
        <w:t>II, -0.41 between I</w:t>
      </w:r>
      <w:r w:rsidR="005853A9">
        <w:rPr>
          <w:kern w:val="0"/>
          <w:szCs w:val="24"/>
        </w:rPr>
        <w:t xml:space="preserve"> and </w:t>
      </w:r>
      <w:r>
        <w:rPr>
          <w:kern w:val="0"/>
          <w:szCs w:val="24"/>
        </w:rPr>
        <w:t>III,</w:t>
      </w:r>
      <w:r w:rsidR="005853A9">
        <w:rPr>
          <w:kern w:val="0"/>
          <w:szCs w:val="24"/>
        </w:rPr>
        <w:t xml:space="preserve"> and </w:t>
      </w:r>
      <w:r>
        <w:rPr>
          <w:kern w:val="0"/>
          <w:szCs w:val="24"/>
        </w:rPr>
        <w:t>+0.31 between II</w:t>
      </w:r>
      <w:r w:rsidR="005853A9">
        <w:rPr>
          <w:kern w:val="0"/>
          <w:szCs w:val="24"/>
        </w:rPr>
        <w:t xml:space="preserve"> and </w:t>
      </w:r>
      <w:r>
        <w:rPr>
          <w:kern w:val="0"/>
          <w:szCs w:val="24"/>
        </w:rPr>
        <w:t>III. Conclusion Attitudes Toward Plagiarism questionnaire was developed, with good psychometric characteristics. It will be used in future research as a standardized tool for measuring attitudes toward plagiarism.</w:t>
      </w:r>
    </w:p>
    <w:p w:rsidR="0041253D" w:rsidRDefault="0041253D" w:rsidP="0041253D">
      <w:pPr>
        <w:pStyle w:val="a3"/>
        <w:rPr>
          <w:kern w:val="0"/>
          <w:szCs w:val="24"/>
        </w:rPr>
      </w:pPr>
      <w:r>
        <w:rPr>
          <w:kern w:val="0"/>
          <w:szCs w:val="24"/>
        </w:rPr>
        <w:t>Keywords: Ethics, Literature, Medical-Students, Plagiarism, Planned Behavior, Publication, Questionnaire, Research, Research Integrity, Students, Writing</w:t>
      </w:r>
    </w:p>
    <w:p w:rsidR="001579B9" w:rsidRDefault="001579B9" w:rsidP="001579B9">
      <w:pPr>
        <w:pStyle w:val="a3"/>
        <w:rPr>
          <w:kern w:val="0"/>
        </w:rPr>
      </w:pPr>
      <w:r>
        <w:rPr>
          <w:rFonts w:hint="eastAsia"/>
          <w:kern w:val="0"/>
        </w:rPr>
        <w:t xml:space="preserve">? </w:t>
      </w:r>
      <w:r>
        <w:rPr>
          <w:kern w:val="0"/>
        </w:rPr>
        <w:t>Budimir, D., Polasek, O., Marusic, A., Kolcic, I., Zemunik, T., Boraska, V., Jeroncic, A., Boban, M., Campbell, H.</w:t>
      </w:r>
      <w:r w:rsidR="005853A9">
        <w:rPr>
          <w:kern w:val="0"/>
        </w:rPr>
        <w:t xml:space="preserve"> and </w:t>
      </w:r>
      <w:r>
        <w:rPr>
          <w:kern w:val="0"/>
        </w:rPr>
        <w:t>Rudan, I. (2011), Ethical aspects</w:t>
      </w:r>
      <w:r w:rsidR="00427468">
        <w:rPr>
          <w:kern w:val="0"/>
        </w:rPr>
        <w:t xml:space="preserve"> of </w:t>
      </w:r>
      <w:r>
        <w:rPr>
          <w:kern w:val="0"/>
        </w:rPr>
        <w:t xml:space="preserve">human biobanks: A systematic review. </w:t>
      </w:r>
      <w:r>
        <w:rPr>
          <w:i/>
          <w:iCs/>
          <w:kern w:val="0"/>
        </w:rPr>
        <w:t>Croatian Medical Journal</w:t>
      </w:r>
      <w:r>
        <w:rPr>
          <w:kern w:val="0"/>
        </w:rPr>
        <w:t xml:space="preserve">, </w:t>
      </w:r>
      <w:r>
        <w:rPr>
          <w:b/>
          <w:bCs/>
          <w:kern w:val="0"/>
        </w:rPr>
        <w:t>52</w:t>
      </w:r>
      <w:r>
        <w:rPr>
          <w:kern w:val="0"/>
        </w:rPr>
        <w:t xml:space="preserve"> (3), 262-279.</w:t>
      </w:r>
    </w:p>
    <w:p w:rsidR="001579B9" w:rsidRPr="001A3D2B" w:rsidRDefault="001579B9" w:rsidP="001579B9">
      <w:pPr>
        <w:pStyle w:val="a3"/>
      </w:pPr>
      <w:r w:rsidRPr="001A3D2B">
        <w:t xml:space="preserve">Full Text: </w:t>
      </w:r>
      <w:r>
        <w:t>201</w:t>
      </w:r>
      <w:r>
        <w:rPr>
          <w:rFonts w:hint="eastAsia"/>
        </w:rPr>
        <w:t>1</w:t>
      </w:r>
      <w:r>
        <w:t>\Cro Med J5</w:t>
      </w:r>
      <w:r>
        <w:rPr>
          <w:rFonts w:hint="eastAsia"/>
        </w:rPr>
        <w:t>2</w:t>
      </w:r>
      <w:r>
        <w:t xml:space="preserve">, </w:t>
      </w:r>
      <w:r>
        <w:rPr>
          <w:rFonts w:hint="eastAsia"/>
        </w:rPr>
        <w:t>262</w:t>
      </w:r>
      <w:r w:rsidRPr="00437367">
        <w:t>.pdf</w:t>
      </w:r>
    </w:p>
    <w:p w:rsidR="001579B9" w:rsidRDefault="001579B9" w:rsidP="001579B9">
      <w:pPr>
        <w:pStyle w:val="a3"/>
        <w:rPr>
          <w:kern w:val="0"/>
        </w:rPr>
      </w:pPr>
      <w:r>
        <w:rPr>
          <w:kern w:val="0"/>
        </w:rPr>
        <w:t>Abstract: Aim To systematically assess</w:t>
      </w:r>
      <w:r w:rsidR="003A1917">
        <w:rPr>
          <w:kern w:val="0"/>
        </w:rPr>
        <w:t xml:space="preserve"> the </w:t>
      </w:r>
      <w:r>
        <w:rPr>
          <w:kern w:val="0"/>
        </w:rPr>
        <w:t>existing literature on ethical aspects</w:t>
      </w:r>
      <w:r w:rsidR="00427468">
        <w:rPr>
          <w:kern w:val="0"/>
        </w:rPr>
        <w:t xml:space="preserve"> of </w:t>
      </w:r>
      <w:r>
        <w:rPr>
          <w:kern w:val="0"/>
        </w:rPr>
        <w:t>human biobanks. Method We searched</w:t>
      </w:r>
      <w:r w:rsidR="003A1917">
        <w:rPr>
          <w:kern w:val="0"/>
        </w:rPr>
        <w:t xml:space="preserve"> the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PUBMED databases to find studies addressing ethical problems in biobanks with no limits set (study design, study population, time period, or language</w:t>
      </w:r>
      <w:r w:rsidR="00427468">
        <w:rPr>
          <w:kern w:val="0"/>
        </w:rPr>
        <w:t xml:space="preserve"> of </w:t>
      </w:r>
      <w:r>
        <w:rPr>
          <w:kern w:val="0"/>
        </w:rPr>
        <w:t>publication). All identified articles published until November 2010 were included. We analyzed</w:t>
      </w:r>
      <w:r w:rsidR="003A1917">
        <w:rPr>
          <w:kern w:val="0"/>
        </w:rPr>
        <w:t xml:space="preserve"> the </w:t>
      </w:r>
      <w:r>
        <w:rPr>
          <w:kern w:val="0"/>
        </w:rPr>
        <w:t>type</w:t>
      </w:r>
      <w:r w:rsidR="00427468">
        <w:rPr>
          <w:kern w:val="0"/>
        </w:rPr>
        <w:t xml:space="preserve"> of </w:t>
      </w:r>
      <w:r>
        <w:rPr>
          <w:kern w:val="0"/>
        </w:rPr>
        <w:t>published articles, journals publishing them, involvement</w:t>
      </w:r>
      <w:r w:rsidR="00427468">
        <w:rPr>
          <w:kern w:val="0"/>
        </w:rPr>
        <w:t xml:space="preserve"> of </w:t>
      </w:r>
      <w:r>
        <w:rPr>
          <w:kern w:val="0"/>
        </w:rPr>
        <w:t>countries/institutions, year</w:t>
      </w:r>
      <w:r w:rsidR="00427468">
        <w:rPr>
          <w:kern w:val="0"/>
        </w:rPr>
        <w:t xml:space="preserve"> of </w:t>
      </w:r>
      <w:r>
        <w:rPr>
          <w:kern w:val="0"/>
        </w:rPr>
        <w:t>publication,</w:t>
      </w:r>
      <w:r w:rsidR="005853A9">
        <w:rPr>
          <w:kern w:val="0"/>
        </w:rPr>
        <w:t xml:space="preserve"> and </w:t>
      </w:r>
      <w:r>
        <w:rPr>
          <w:kern w:val="0"/>
        </w:rPr>
        <w:t>citations received,</w:t>
      </w:r>
      <w:r w:rsidR="005853A9">
        <w:rPr>
          <w:kern w:val="0"/>
        </w:rPr>
        <w:t xml:space="preserve"> and </w:t>
      </w:r>
      <w:r>
        <w:rPr>
          <w:kern w:val="0"/>
        </w:rPr>
        <w:t>qualitatively assessed every article in order to identify ethical issues addressed by</w:t>
      </w:r>
      <w:r w:rsidR="003A1917">
        <w:rPr>
          <w:kern w:val="0"/>
        </w:rPr>
        <w:t xml:space="preserve"> the </w:t>
      </w:r>
      <w:r>
        <w:rPr>
          <w:kern w:val="0"/>
        </w:rPr>
        <w:t>majority</w:t>
      </w:r>
      <w:r w:rsidR="00427468">
        <w:rPr>
          <w:kern w:val="0"/>
        </w:rPr>
        <w:t xml:space="preserve"> of </w:t>
      </w:r>
      <w:r>
        <w:rPr>
          <w:kern w:val="0"/>
        </w:rPr>
        <w:t>published research on human biobanking. Results Hundred</w:t>
      </w:r>
      <w:r w:rsidR="005853A9">
        <w:rPr>
          <w:kern w:val="0"/>
        </w:rPr>
        <w:t xml:space="preserve"> and </w:t>
      </w:r>
      <w:r>
        <w:rPr>
          <w:kern w:val="0"/>
        </w:rPr>
        <w:t>fifty four studies satisfied our review criteria</w:t>
      </w:r>
      <w:r w:rsidR="00A37C1D">
        <w:rPr>
          <w:kern w:val="0"/>
        </w:rPr>
        <w:t>. The</w:t>
      </w:r>
      <w:r w:rsidR="003A1917">
        <w:rPr>
          <w:kern w:val="0"/>
        </w:rPr>
        <w:t xml:space="preserve"> </w:t>
      </w:r>
      <w:r>
        <w:rPr>
          <w:kern w:val="0"/>
        </w:rPr>
        <w:t>studies mainly came from highly developed countries</w:t>
      </w:r>
      <w:r w:rsidR="005853A9">
        <w:rPr>
          <w:kern w:val="0"/>
        </w:rPr>
        <w:t xml:space="preserve"> and </w:t>
      </w:r>
      <w:r>
        <w:rPr>
          <w:kern w:val="0"/>
        </w:rPr>
        <w:t>were all published in</w:t>
      </w:r>
      <w:r w:rsidR="003A1917">
        <w:rPr>
          <w:kern w:val="0"/>
        </w:rPr>
        <w:t xml:space="preserve"> the </w:t>
      </w:r>
      <w:r>
        <w:rPr>
          <w:kern w:val="0"/>
        </w:rPr>
        <w:t>last two decades, with over half</w:t>
      </w:r>
      <w:r w:rsidR="00427468">
        <w:rPr>
          <w:kern w:val="0"/>
        </w:rPr>
        <w:t xml:space="preserve"> of </w:t>
      </w:r>
      <w:r>
        <w:rPr>
          <w:kern w:val="0"/>
        </w:rPr>
        <w:t>them published in 2009 or 2010</w:t>
      </w:r>
      <w:r w:rsidR="00A37C1D">
        <w:rPr>
          <w:kern w:val="0"/>
        </w:rPr>
        <w:t>. The</w:t>
      </w:r>
      <w:r>
        <w:rPr>
          <w:kern w:val="0"/>
        </w:rPr>
        <w:t>y most commonly discussed</w:t>
      </w:r>
      <w:r w:rsidR="003A1917">
        <w:rPr>
          <w:kern w:val="0"/>
        </w:rPr>
        <w:t xml:space="preserve"> the </w:t>
      </w:r>
      <w:r>
        <w:rPr>
          <w:kern w:val="0"/>
        </w:rPr>
        <w:t>informed consent, privacy</w:t>
      </w:r>
      <w:r w:rsidR="005853A9">
        <w:rPr>
          <w:kern w:val="0"/>
        </w:rPr>
        <w:t xml:space="preserve"> and </w:t>
      </w:r>
      <w:r>
        <w:rPr>
          <w:kern w:val="0"/>
        </w:rPr>
        <w:t>identifiability, return</w:t>
      </w:r>
      <w:r w:rsidR="00427468">
        <w:rPr>
          <w:kern w:val="0"/>
        </w:rPr>
        <w:t xml:space="preserve"> of </w:t>
      </w:r>
      <w:r>
        <w:rPr>
          <w:kern w:val="0"/>
        </w:rPr>
        <w:t>results to participants, importance</w:t>
      </w:r>
      <w:r w:rsidR="00427468">
        <w:rPr>
          <w:kern w:val="0"/>
        </w:rPr>
        <w:t xml:space="preserve"> of </w:t>
      </w:r>
      <w:r>
        <w:rPr>
          <w:kern w:val="0"/>
        </w:rPr>
        <w:t>public trust, involvement</w:t>
      </w:r>
      <w:r w:rsidR="00427468">
        <w:rPr>
          <w:kern w:val="0"/>
        </w:rPr>
        <w:t xml:space="preserve"> of </w:t>
      </w:r>
      <w:r>
        <w:rPr>
          <w:kern w:val="0"/>
        </w:rPr>
        <w:t>children, commercialization,</w:t>
      </w:r>
      <w:r w:rsidR="003A1917">
        <w:rPr>
          <w:kern w:val="0"/>
        </w:rPr>
        <w:t xml:space="preserve"> the </w:t>
      </w:r>
      <w:r>
        <w:rPr>
          <w:kern w:val="0"/>
        </w:rPr>
        <w:t>role</w:t>
      </w:r>
      <w:r w:rsidR="00427468">
        <w:rPr>
          <w:kern w:val="0"/>
        </w:rPr>
        <w:t xml:space="preserve"> of </w:t>
      </w:r>
      <w:r>
        <w:rPr>
          <w:kern w:val="0"/>
        </w:rPr>
        <w:t>ethics boards, international data exchange, ownership</w:t>
      </w:r>
      <w:r w:rsidR="00427468">
        <w:rPr>
          <w:kern w:val="0"/>
        </w:rPr>
        <w:t xml:space="preserve"> of </w:t>
      </w:r>
      <w:r>
        <w:rPr>
          <w:kern w:val="0"/>
        </w:rPr>
        <w:t>samples,</w:t>
      </w:r>
      <w:r w:rsidR="005853A9">
        <w:rPr>
          <w:kern w:val="0"/>
        </w:rPr>
        <w:t xml:space="preserve"> and </w:t>
      </w:r>
      <w:r>
        <w:rPr>
          <w:kern w:val="0"/>
        </w:rPr>
        <w:t>benefit sharing. Conclusions</w:t>
      </w:r>
      <w:r w:rsidR="003A1917">
        <w:rPr>
          <w:kern w:val="0"/>
        </w:rPr>
        <w:t xml:space="preserve"> the </w:t>
      </w:r>
      <w:r>
        <w:rPr>
          <w:kern w:val="0"/>
        </w:rPr>
        <w:t>focus on ethical aspects is strongly present through</w:t>
      </w:r>
      <w:r w:rsidR="003A1917">
        <w:rPr>
          <w:kern w:val="0"/>
        </w:rPr>
        <w:t xml:space="preserve"> the </w:t>
      </w:r>
      <w:r>
        <w:rPr>
          <w:kern w:val="0"/>
        </w:rPr>
        <w:t xml:space="preserve">whole biobanking research field. Although there is a consensus </w:t>
      </w:r>
      <w:r>
        <w:rPr>
          <w:kern w:val="0"/>
        </w:rPr>
        <w:lastRenderedPageBreak/>
        <w:t>on</w:t>
      </w:r>
      <w:r w:rsidR="003A1917">
        <w:rPr>
          <w:kern w:val="0"/>
        </w:rPr>
        <w:t xml:space="preserve"> the </w:t>
      </w:r>
      <w:r>
        <w:rPr>
          <w:kern w:val="0"/>
        </w:rPr>
        <w:t>old</w:t>
      </w:r>
      <w:r w:rsidR="005853A9">
        <w:rPr>
          <w:kern w:val="0"/>
        </w:rPr>
        <w:t xml:space="preserve"> and </w:t>
      </w:r>
      <w:r>
        <w:rPr>
          <w:kern w:val="0"/>
        </w:rPr>
        <w:t>most typical ethical issues, with further development</w:t>
      </w:r>
      <w:r w:rsidR="00427468">
        <w:rPr>
          <w:kern w:val="0"/>
        </w:rPr>
        <w:t xml:space="preserve"> of </w:t>
      </w:r>
      <w:r w:rsidR="003A1917">
        <w:rPr>
          <w:kern w:val="0"/>
        </w:rPr>
        <w:t xml:space="preserve">the </w:t>
      </w:r>
      <w:r>
        <w:rPr>
          <w:kern w:val="0"/>
        </w:rPr>
        <w:t>field</w:t>
      </w:r>
      <w:r w:rsidR="005853A9">
        <w:rPr>
          <w:kern w:val="0"/>
        </w:rPr>
        <w:t xml:space="preserve"> and </w:t>
      </w:r>
      <w:r>
        <w:rPr>
          <w:kern w:val="0"/>
        </w:rPr>
        <w:t>increasingly complex structure</w:t>
      </w:r>
      <w:r w:rsidR="00427468">
        <w:rPr>
          <w:kern w:val="0"/>
        </w:rPr>
        <w:t xml:space="preserve"> of </w:t>
      </w:r>
      <w:r>
        <w:rPr>
          <w:kern w:val="0"/>
        </w:rPr>
        <w:t>human biobanks, these issues will likely continue to arise</w:t>
      </w:r>
      <w:r w:rsidR="005853A9">
        <w:rPr>
          <w:kern w:val="0"/>
        </w:rPr>
        <w:t xml:space="preserve"> and </w:t>
      </w:r>
      <w:r>
        <w:rPr>
          <w:kern w:val="0"/>
        </w:rPr>
        <w:t>accumulate, hence requiring constant re-appraisal</w:t>
      </w:r>
      <w:r w:rsidR="005853A9">
        <w:rPr>
          <w:kern w:val="0"/>
        </w:rPr>
        <w:t xml:space="preserve"> and </w:t>
      </w:r>
      <w:r>
        <w:rPr>
          <w:kern w:val="0"/>
        </w:rPr>
        <w:t>continuing discussion.</w:t>
      </w:r>
    </w:p>
    <w:p w:rsidR="001579B9" w:rsidRDefault="001579B9" w:rsidP="001579B9">
      <w:pPr>
        <w:pStyle w:val="a3"/>
        <w:rPr>
          <w:kern w:val="0"/>
        </w:rPr>
      </w:pPr>
      <w:r>
        <w:rPr>
          <w:kern w:val="0"/>
        </w:rPr>
        <w:t xml:space="preserve">Keywords: Charitable Trust, Children, Citations, Databases, Development, Empirical-Data, Epidemiologic Research, Ethics, Genetic Research, Genomic Biobanks, Human, Human Tissue, Informed Consent, Informed-Consent, Involvement, Issues, Journals, Literature, Publication, Publishing, Pubmed, Research, Review, Science, Systematic, Systematic Review, UK Biobank, </w:t>
      </w:r>
      <w:r w:rsidR="00D5664A">
        <w:rPr>
          <w:kern w:val="0"/>
        </w:rPr>
        <w:t>Web</w:t>
      </w:r>
      <w:r w:rsidR="00427468">
        <w:rPr>
          <w:kern w:val="0"/>
        </w:rPr>
        <w:t xml:space="preserve"> of </w:t>
      </w:r>
      <w:r w:rsidR="00D5664A">
        <w:rPr>
          <w:kern w:val="0"/>
        </w:rPr>
        <w:t>Science</w:t>
      </w:r>
      <w:r>
        <w:rPr>
          <w:kern w:val="0"/>
        </w:rPr>
        <w:t>, Womens Attitudes</w:t>
      </w:r>
    </w:p>
    <w:p w:rsidR="003474F2" w:rsidRPr="001A3D2B" w:rsidRDefault="003474F2" w:rsidP="003474F2">
      <w:pPr>
        <w:pStyle w:val="1"/>
      </w:pPr>
      <w:r w:rsidRPr="001A3D2B">
        <w:br w:type="page"/>
      </w:r>
      <w:bookmarkStart w:id="438" w:name="_Toc420815138"/>
      <w:r w:rsidRPr="001A3D2B">
        <w:lastRenderedPageBreak/>
        <w:t>Title: Croatica Chemica Acta</w:t>
      </w:r>
      <w:bookmarkEnd w:id="438"/>
    </w:p>
    <w:p w:rsidR="003474F2" w:rsidRPr="001A3D2B" w:rsidRDefault="003474F2" w:rsidP="003474F2">
      <w:pPr>
        <w:pStyle w:val="12"/>
      </w:pPr>
      <w:r w:rsidRPr="001A3D2B">
        <w:t xml:space="preserve">Full Journal Title: </w:t>
      </w:r>
      <w:r w:rsidR="00DF61FE">
        <w:fldChar w:fldCharType="begin"/>
      </w:r>
      <w:r w:rsidR="00FD158B">
        <w:instrText>HYPERLINK "http://public.car</w:instrText>
      </w:r>
      <w:bookmarkStart w:id="439" w:name="_Toc31527892"/>
      <w:bookmarkStart w:id="440" w:name="_Toc43634565"/>
      <w:bookmarkStart w:id="441" w:name="_Toc81215689"/>
      <w:r w:rsidR="00FD158B">
        <w:instrText>net.hr/ccacaa/prev.html"</w:instrText>
      </w:r>
      <w:r w:rsidR="00DF61FE">
        <w:fldChar w:fldCharType="separate"/>
      </w:r>
      <w:r w:rsidRPr="001A3D2B">
        <w:rPr>
          <w:rStyle w:val="a5"/>
        </w:rPr>
        <w:t>Cro</w:t>
      </w:r>
      <w:bookmarkEnd w:id="439"/>
      <w:bookmarkEnd w:id="440"/>
      <w:bookmarkEnd w:id="441"/>
      <w:r w:rsidRPr="001A3D2B">
        <w:rPr>
          <w:rStyle w:val="a5"/>
        </w:rPr>
        <w:t>atica Chemica Acta</w:t>
      </w:r>
      <w:r w:rsidR="00DF61FE">
        <w:fldChar w:fldCharType="end"/>
      </w:r>
    </w:p>
    <w:p w:rsidR="003474F2" w:rsidRPr="001A3D2B" w:rsidRDefault="003474F2" w:rsidP="003474F2">
      <w:pPr>
        <w:pStyle w:val="12"/>
      </w:pPr>
      <w:r w:rsidRPr="001A3D2B">
        <w:t>ISO Abbreviated Title: Croat. Chem. Acta.</w:t>
      </w:r>
    </w:p>
    <w:p w:rsidR="003474F2" w:rsidRPr="001A3D2B" w:rsidRDefault="003474F2" w:rsidP="003474F2">
      <w:pPr>
        <w:pStyle w:val="12"/>
      </w:pPr>
      <w:r w:rsidRPr="001A3D2B">
        <w:t>JCR Abbreviated Title: Croat Chem Acta</w:t>
      </w:r>
    </w:p>
    <w:p w:rsidR="003474F2" w:rsidRPr="001A3D2B" w:rsidRDefault="003474F2" w:rsidP="003474F2">
      <w:pPr>
        <w:pStyle w:val="12"/>
      </w:pPr>
      <w:r w:rsidRPr="001A3D2B">
        <w:t>ISSN: 0011-1643</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Croatia</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Croatian Chemical Soc</w:t>
      </w:r>
    </w:p>
    <w:p w:rsidR="003474F2" w:rsidRPr="001A3D2B" w:rsidRDefault="003474F2" w:rsidP="003474F2">
      <w:pPr>
        <w:pStyle w:val="12"/>
      </w:pPr>
      <w:r w:rsidRPr="001A3D2B">
        <w:t xml:space="preserve">Publisher Address: Marulicev Trg 19/II, 41001 </w:t>
      </w:r>
      <w:smartTag w:uri="urn:schemas-microsoft-com:office:smarttags" w:element="place">
        <w:smartTag w:uri="urn:schemas-microsoft-com:office:smarttags" w:element="City">
          <w:r w:rsidRPr="001A3D2B">
            <w:t>Zagreb</w:t>
          </w:r>
        </w:smartTag>
        <w:r w:rsidRPr="001A3D2B">
          <w:t xml:space="preserve">, </w:t>
        </w:r>
        <w:smartTag w:uri="urn:schemas-microsoft-com:office:smarttags" w:element="country-region">
          <w:r w:rsidRPr="001A3D2B">
            <w:t>Croatia</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Multidisciplinary: Impact Factor 0.701,/</w:t>
      </w:r>
    </w:p>
    <w:p w:rsidR="003474F2" w:rsidRPr="001A3D2B" w:rsidRDefault="003474F2" w:rsidP="003474F2">
      <w:pPr>
        <w:pStyle w:val="a3"/>
      </w:pPr>
      <w:r w:rsidRPr="001A3D2B">
        <w:t>Notes: TTopic</w:t>
      </w:r>
    </w:p>
    <w:p w:rsidR="000373CF" w:rsidRPr="001A3D2B" w:rsidRDefault="000373CF" w:rsidP="000373CF">
      <w:pPr>
        <w:pStyle w:val="a3"/>
      </w:pPr>
      <w:r w:rsidRPr="001A3D2B">
        <w:t>? Kaštelan-Macan, M.</w:t>
      </w:r>
      <w:r w:rsidR="005853A9">
        <w:t xml:space="preserve"> and </w:t>
      </w:r>
      <w:r w:rsidRPr="001A3D2B">
        <w:t xml:space="preserve">Klaić, B. (2000), Analytical chemistry in </w:t>
      </w:r>
      <w:smartTag w:uri="urn:schemas-microsoft-com:office:smarttags" w:element="place">
        <w:smartTag w:uri="urn:schemas-microsoft-com:office:smarttags" w:element="country-region">
          <w:r w:rsidRPr="001A3D2B">
            <w:t>Croatia</w:t>
          </w:r>
        </w:smartTag>
      </w:smartTag>
      <w:r w:rsidRPr="001A3D2B">
        <w:t xml:space="preserve">. </w:t>
      </w:r>
      <w:r w:rsidRPr="001A3D2B">
        <w:rPr>
          <w:i/>
          <w:iCs/>
        </w:rPr>
        <w:t>Croatica Chemica Acta</w:t>
      </w:r>
      <w:r w:rsidRPr="001A3D2B">
        <w:t xml:space="preserve">, </w:t>
      </w:r>
      <w:r w:rsidRPr="001A3D2B">
        <w:rPr>
          <w:b/>
          <w:bCs/>
        </w:rPr>
        <w:t>73</w:t>
      </w:r>
      <w:r w:rsidRPr="001A3D2B">
        <w:t xml:space="preserve"> (1), 1-21.</w:t>
      </w:r>
    </w:p>
    <w:p w:rsidR="003474F2" w:rsidRPr="001A3D2B" w:rsidRDefault="003474F2" w:rsidP="003474F2">
      <w:pPr>
        <w:pStyle w:val="a3"/>
      </w:pPr>
      <w:r w:rsidRPr="001A3D2B">
        <w:t xml:space="preserve">Full Text: </w:t>
      </w:r>
      <w:hyperlink r:id="rId1089" w:history="1">
        <w:r w:rsidRPr="001A3D2B">
          <w:rPr>
            <w:rStyle w:val="a5"/>
          </w:rPr>
          <w:t>2000\Cro Che Act73, 1.pdf</w:t>
        </w:r>
      </w:hyperlink>
    </w:p>
    <w:p w:rsidR="003474F2" w:rsidRPr="001A3D2B" w:rsidRDefault="003474F2" w:rsidP="003474F2">
      <w:pPr>
        <w:pStyle w:val="a3"/>
      </w:pPr>
      <w:r w:rsidRPr="001A3D2B">
        <w:t>Abstract: Analytical chemistry started to develop in Croatia as an independent scientific discipline at</w:t>
      </w:r>
      <w:r w:rsidR="003A1917">
        <w:t xml:space="preserve"> the </w:t>
      </w:r>
      <w:r w:rsidRPr="001A3D2B">
        <w:t>Royal Agricultural</w:t>
      </w:r>
      <w:r w:rsidR="005853A9">
        <w:t xml:space="preserve"> and </w:t>
      </w:r>
      <w:r w:rsidRPr="001A3D2B">
        <w:t>Forestry College in Krizevci (1860). Lectures in analytical chemistry began at</w:t>
      </w:r>
      <w:r w:rsidR="003A1917">
        <w:t xml:space="preserve"> the </w:t>
      </w:r>
      <w:r w:rsidRPr="001A3D2B">
        <w:t>University</w:t>
      </w:r>
      <w:r w:rsidR="00427468">
        <w:t xml:space="preserve"> of </w:t>
      </w:r>
      <w:r w:rsidRPr="001A3D2B">
        <w:t>Zagreb in</w:t>
      </w:r>
      <w:r w:rsidR="003A1917">
        <w:t xml:space="preserve"> the </w:t>
      </w:r>
      <w:r w:rsidRPr="001A3D2B">
        <w:t>school year 1875/76 within</w:t>
      </w:r>
      <w:r w:rsidR="003A1917">
        <w:t xml:space="preserve"> the </w:t>
      </w:r>
      <w:r w:rsidRPr="001A3D2B">
        <w:t>University Institute</w:t>
      </w:r>
      <w:r w:rsidR="00427468">
        <w:t xml:space="preserve"> of </w:t>
      </w:r>
      <w:r w:rsidRPr="001A3D2B">
        <w:t xml:space="preserve">Chemistry. Today, analytical chemistry is taught as an independent course at eleven university faculties, in </w:t>
      </w:r>
      <w:smartTag w:uri="urn:schemas-microsoft-com:office:smarttags" w:element="City">
        <w:r w:rsidRPr="001A3D2B">
          <w:t>Zagreb</w:t>
        </w:r>
      </w:smartTag>
      <w:r w:rsidRPr="001A3D2B">
        <w:t xml:space="preserve">, </w:t>
      </w:r>
      <w:smartTag w:uri="urn:schemas-microsoft-com:office:smarttags" w:element="City">
        <w:r w:rsidRPr="001A3D2B">
          <w:t>Split</w:t>
        </w:r>
      </w:smartTag>
      <w:r w:rsidRPr="001A3D2B">
        <w:t>, Osijek</w:t>
      </w:r>
      <w:r w:rsidR="005853A9">
        <w:t xml:space="preserve"> and </w:t>
      </w:r>
      <w:r w:rsidRPr="001A3D2B">
        <w:t>Rijeka. This paper presents a comparison</w:t>
      </w:r>
      <w:r w:rsidR="00427468">
        <w:t xml:space="preserve"> of </w:t>
      </w:r>
      <w:r w:rsidR="003A1917">
        <w:t xml:space="preserve">the </w:t>
      </w:r>
      <w:r w:rsidRPr="001A3D2B">
        <w:t>compulsory contents</w:t>
      </w:r>
      <w:r w:rsidR="00427468">
        <w:t xml:space="preserve"> of </w:t>
      </w:r>
      <w:r w:rsidRPr="001A3D2B">
        <w:t xml:space="preserve">basic curricula in analytical chemistry in </w:t>
      </w:r>
      <w:smartTag w:uri="urn:schemas-microsoft-com:office:smarttags" w:element="place">
        <w:smartTag w:uri="urn:schemas-microsoft-com:office:smarttags" w:element="country-region">
          <w:r w:rsidRPr="001A3D2B">
            <w:t>Croatia</w:t>
          </w:r>
        </w:smartTag>
      </w:smartTag>
      <w:r w:rsidRPr="001A3D2B">
        <w:t xml:space="preserve"> with</w:t>
      </w:r>
      <w:r w:rsidR="003A1917">
        <w:t xml:space="preserve"> the </w:t>
      </w:r>
      <w:r w:rsidRPr="001A3D2B">
        <w:t>WPAC Eurocurriculum. Scientometric analysis</w:t>
      </w:r>
      <w:r w:rsidR="00427468">
        <w:t xml:space="preserve"> of </w:t>
      </w:r>
      <w:r w:rsidR="003A1917">
        <w:t xml:space="preserve">the </w:t>
      </w:r>
      <w:r w:rsidRPr="001A3D2B">
        <w:t>Croatian scientific output covered by</w:t>
      </w:r>
      <w:r w:rsidR="003A1917">
        <w:t xml:space="preserve"> the </w:t>
      </w:r>
      <w:r w:rsidRPr="001A3D2B">
        <w:t>Analytical Abstracts shows that during</w:t>
      </w:r>
      <w:r w:rsidR="003A1917">
        <w:t xml:space="preserve"> the </w:t>
      </w:r>
      <w:r w:rsidRPr="001A3D2B">
        <w:t>1980-1996 period Croatian analytical chemistry scientists published 442 papers, 89.6%</w:t>
      </w:r>
      <w:r w:rsidR="00427468">
        <w:t xml:space="preserve"> of </w:t>
      </w:r>
      <w:r w:rsidRPr="001A3D2B">
        <w:t>which were also indexed in SCI. Croatian analytical chemists most frequently deal with spectroscopic, chromatographic</w:t>
      </w:r>
      <w:r w:rsidR="005853A9">
        <w:t xml:space="preserve"> and </w:t>
      </w:r>
      <w:r w:rsidRPr="001A3D2B">
        <w:t>electroanalytical methods. Distribution</w:t>
      </w:r>
      <w:r w:rsidR="00427468">
        <w:t xml:space="preserve"> of </w:t>
      </w:r>
      <w:r w:rsidR="003A1917">
        <w:t xml:space="preserve">the </w:t>
      </w:r>
      <w:r w:rsidRPr="001A3D2B">
        <w:t>scientific analytical publications with respect to</w:t>
      </w:r>
      <w:r w:rsidR="003A1917">
        <w:t xml:space="preserve"> the </w:t>
      </w:r>
      <w:r w:rsidRPr="001A3D2B">
        <w:t>number</w:t>
      </w:r>
      <w:r w:rsidR="00427468">
        <w:t xml:space="preserve"> of </w:t>
      </w:r>
      <w:r w:rsidRPr="001A3D2B">
        <w:t>authors, analytical method used</w:t>
      </w:r>
      <w:r w:rsidR="005853A9">
        <w:t xml:space="preserve"> and </w:t>
      </w:r>
      <w:r w:rsidR="003A1917">
        <w:t xml:space="preserve">the </w:t>
      </w:r>
      <w:r w:rsidRPr="001A3D2B">
        <w:t>number</w:t>
      </w:r>
      <w:r w:rsidR="00427468">
        <w:t xml:space="preserve"> of </w:t>
      </w:r>
      <w:r w:rsidRPr="001A3D2B">
        <w:t>total</w:t>
      </w:r>
      <w:r w:rsidR="005853A9">
        <w:t xml:space="preserve"> and </w:t>
      </w:r>
      <w:r w:rsidRPr="001A3D2B">
        <w:t>independent citations is graphically presented.</w:t>
      </w:r>
    </w:p>
    <w:p w:rsidR="003474F2" w:rsidRPr="001A3D2B" w:rsidRDefault="003474F2" w:rsidP="003474F2">
      <w:pPr>
        <w:pStyle w:val="a3"/>
      </w:pPr>
      <w:r w:rsidRPr="001A3D2B">
        <w:t xml:space="preserve">Keywords: Analysis, Analytical Chemistry </w:t>
      </w:r>
      <w:r w:rsidR="00BA5227" w:rsidRPr="001A3D2B">
        <w:t xml:space="preserve">in </w:t>
      </w:r>
      <w:r w:rsidRPr="001A3D2B">
        <w:t>Croatia, Authors, Chemistry, Citations, Comparison, Course, Croatia, Curricula, Education, Forestry, Historical Review, Methods, Papers, Publications, Respect, School</w:t>
      </w:r>
      <w:r w:rsidR="00D5664A">
        <w:t>, SCI,</w:t>
      </w:r>
      <w:r w:rsidRPr="001A3D2B">
        <w:t xml:space="preserve"> Scientific Output, Scientometric Analysis, University, University Faculties</w:t>
      </w:r>
    </w:p>
    <w:p w:rsidR="00CC754E" w:rsidRPr="001A3D2B" w:rsidRDefault="00CC754E" w:rsidP="00CC754E">
      <w:pPr>
        <w:pStyle w:val="a3"/>
      </w:pPr>
      <w:r w:rsidRPr="001A3D2B">
        <w:t>Notes: TTopic</w:t>
      </w:r>
    </w:p>
    <w:p w:rsidR="00CC754E" w:rsidRPr="001A3D2B" w:rsidRDefault="00CC754E" w:rsidP="00CC754E">
      <w:pPr>
        <w:pStyle w:val="a3"/>
      </w:pPr>
      <w:r w:rsidRPr="001A3D2B">
        <w:t>? Li, J.F., Zhang, Y.H., Wang, X.S.</w:t>
      </w:r>
      <w:r w:rsidR="005853A9">
        <w:t xml:space="preserve"> and </w:t>
      </w:r>
      <w:r w:rsidRPr="001A3D2B">
        <w:rPr>
          <w:bCs/>
        </w:rPr>
        <w:t>Ho, Y.S.</w:t>
      </w:r>
      <w:r w:rsidRPr="001A3D2B">
        <w:t xml:space="preserve"> (2009), Bibliometric analysis</w:t>
      </w:r>
      <w:r w:rsidR="00427468">
        <w:t xml:space="preserve"> of </w:t>
      </w:r>
      <w:r w:rsidRPr="001A3D2B">
        <w:t>atmospheric simulation trends in meteorology</w:t>
      </w:r>
      <w:r w:rsidR="005853A9">
        <w:t xml:space="preserve"> and </w:t>
      </w:r>
      <w:r w:rsidRPr="001A3D2B">
        <w:t xml:space="preserve">atmospheric science journals. </w:t>
      </w:r>
      <w:r w:rsidRPr="001A3D2B">
        <w:rPr>
          <w:i/>
        </w:rPr>
        <w:lastRenderedPageBreak/>
        <w:t>Croatica Chemica Acta</w:t>
      </w:r>
      <w:r w:rsidRPr="001A3D2B">
        <w:t xml:space="preserve">, </w:t>
      </w:r>
      <w:r w:rsidRPr="001A3D2B">
        <w:rPr>
          <w:b/>
          <w:bCs/>
        </w:rPr>
        <w:t>82</w:t>
      </w:r>
      <w:r w:rsidRPr="001A3D2B">
        <w:t xml:space="preserve"> (3), 695-705.</w:t>
      </w:r>
    </w:p>
    <w:p w:rsidR="00331531" w:rsidRDefault="00331531" w:rsidP="00331531">
      <w:pPr>
        <w:pStyle w:val="a3"/>
      </w:pPr>
      <w:r>
        <w:rPr>
          <w:rFonts w:hint="eastAsia"/>
        </w:rPr>
        <w:t>Full Text:</w:t>
      </w:r>
      <w:r w:rsidR="000B443A">
        <w:rPr>
          <w:rFonts w:hint="eastAsia"/>
        </w:rPr>
        <w:t xml:space="preserve"> </w:t>
      </w:r>
      <w:hyperlink r:id="rId1090" w:history="1">
        <w:r w:rsidR="00B563DB" w:rsidRPr="00B563DB">
          <w:rPr>
            <w:rStyle w:val="a5"/>
          </w:rPr>
          <w:t>2009\Cro Che Act82, 695.pdf</w:t>
        </w:r>
      </w:hyperlink>
    </w:p>
    <w:p w:rsidR="00CC754E" w:rsidRPr="001A3D2B" w:rsidRDefault="00CC754E" w:rsidP="00CC754E">
      <w:pPr>
        <w:pStyle w:val="a3"/>
      </w:pPr>
      <w:r w:rsidRPr="001A3D2B">
        <w:t>Abstract: This study was designed to evaluate</w:t>
      </w:r>
      <w:r w:rsidR="003A1917">
        <w:t xml:space="preserve"> the </w:t>
      </w:r>
      <w:r w:rsidRPr="001A3D2B">
        <w:t>global scientific output</w:t>
      </w:r>
      <w:r w:rsidR="00427468">
        <w:t xml:space="preserve"> of </w:t>
      </w:r>
      <w:r w:rsidRPr="001A3D2B">
        <w:t xml:space="preserve">simulation research in </w:t>
      </w:r>
      <w:r w:rsidR="00B5188C">
        <w:t>“</w:t>
      </w:r>
      <w:r w:rsidRPr="001A3D2B">
        <w:t>meteorology</w:t>
      </w:r>
      <w:r w:rsidR="005853A9">
        <w:t xml:space="preserve"> and </w:t>
      </w:r>
      <w:r w:rsidRPr="001A3D2B">
        <w:t>atmospheric sciences</w:t>
      </w:r>
      <w:r w:rsidR="00B5188C">
        <w:t>”</w:t>
      </w:r>
      <w:r w:rsidRPr="001A3D2B">
        <w:t xml:space="preserve"> for</w:t>
      </w:r>
      <w:r w:rsidR="003A1917">
        <w:t xml:space="preserve"> the </w:t>
      </w:r>
      <w:r w:rsidRPr="001A3D2B">
        <w:t>past 16 years</w:t>
      </w:r>
      <w:r w:rsidR="005853A9">
        <w:t xml:space="preserve"> and </w:t>
      </w:r>
      <w:r w:rsidRPr="001A3D2B">
        <w:t>to assess</w:t>
      </w:r>
      <w:r w:rsidR="003A1917">
        <w:t xml:space="preserve"> the </w:t>
      </w:r>
      <w:r w:rsidRPr="001A3D2B">
        <w:t>characteristics</w:t>
      </w:r>
      <w:r w:rsidR="00427468">
        <w:t xml:space="preserve"> of </w:t>
      </w:r>
      <w:r w:rsidR="003A1917">
        <w:t xml:space="preserve">the </w:t>
      </w:r>
      <w:r w:rsidRPr="001A3D2B">
        <w:t>atmospheric simulation research patterns, tendencies</w:t>
      </w:r>
      <w:r w:rsidR="005853A9">
        <w:t xml:space="preserve"> and </w:t>
      </w:r>
      <w:r w:rsidRPr="001A3D2B">
        <w:t>methods in</w:t>
      </w:r>
      <w:r w:rsidR="003A1917">
        <w:t xml:space="preserve"> the </w:t>
      </w:r>
      <w:r w:rsidRPr="001A3D2B">
        <w:t>papers, from leading countries</w:t>
      </w:r>
      <w:r w:rsidR="005853A9">
        <w:t xml:space="preserve"> and </w:t>
      </w:r>
      <w:r w:rsidRPr="001A3D2B">
        <w:t>institutes. Data were based on</w:t>
      </w:r>
      <w:r w:rsidR="003A1917">
        <w:t xml:space="preserve"> the </w:t>
      </w:r>
      <w:r w:rsidRPr="001A3D2B">
        <w:t>online version</w:t>
      </w:r>
      <w:r w:rsidR="00427468">
        <w:t xml:space="preserve"> of </w:t>
      </w:r>
      <w:r w:rsidRPr="001A3D2B">
        <w:t xml:space="preserve">Science Citation Index, </w:t>
      </w:r>
      <w:r w:rsidR="00D5664A">
        <w:t>Web</w:t>
      </w:r>
      <w:r w:rsidR="00427468">
        <w:t xml:space="preserve"> of </w:t>
      </w:r>
      <w:r w:rsidR="00D5664A">
        <w:t>Science</w:t>
      </w:r>
      <w:r w:rsidRPr="001A3D2B">
        <w:t xml:space="preserve"> from 1992 to 2007. Articles referring to atmospheric simulation were assessed by exponential regression fitting</w:t>
      </w:r>
      <w:r w:rsidR="003A1917">
        <w:t xml:space="preserve"> the </w:t>
      </w:r>
      <w:r w:rsidRPr="001A3D2B">
        <w:t>trend</w:t>
      </w:r>
      <w:r w:rsidR="00427468">
        <w:t xml:space="preserve"> of </w:t>
      </w:r>
      <w:r w:rsidRPr="001A3D2B">
        <w:t>publication outputs with r2 = 0.9996, distribution</w:t>
      </w:r>
      <w:r w:rsidR="00427468">
        <w:t xml:space="preserve"> of </w:t>
      </w:r>
      <w:r w:rsidRPr="001A3D2B">
        <w:t>source countries, source institutes, source titles, author keywords,</w:t>
      </w:r>
      <w:r w:rsidR="005853A9">
        <w:t xml:space="preserve"> and </w:t>
      </w:r>
      <w:r w:rsidRPr="001A3D2B">
        <w:t>keywords plus,</w:t>
      </w:r>
      <w:r w:rsidR="005853A9">
        <w:t xml:space="preserve"> and </w:t>
      </w:r>
      <w:r w:rsidR="003A1917">
        <w:t xml:space="preserve">the </w:t>
      </w:r>
      <w:r w:rsidRPr="001A3D2B">
        <w:t>four most cited articles in these years. By synthetic analysis</w:t>
      </w:r>
      <w:r w:rsidR="00427468">
        <w:t xml:space="preserve"> of </w:t>
      </w:r>
      <w:r w:rsidR="003A1917">
        <w:t xml:space="preserve">the </w:t>
      </w:r>
      <w:r w:rsidRPr="001A3D2B">
        <w:t>three kinds</w:t>
      </w:r>
      <w:r w:rsidR="00427468">
        <w:t xml:space="preserve"> of </w:t>
      </w:r>
      <w:r w:rsidRPr="001A3D2B">
        <w:t xml:space="preserve">keywords, it was concluded that atmospheric simulation research related to </w:t>
      </w:r>
      <w:r w:rsidR="00B5188C">
        <w:t>“</w:t>
      </w:r>
      <w:r w:rsidRPr="001A3D2B">
        <w:t>ozone</w:t>
      </w:r>
      <w:r w:rsidR="00B5188C">
        <w:t>”</w:t>
      </w:r>
      <w:r w:rsidRPr="001A3D2B">
        <w:t xml:space="preserve">, </w:t>
      </w:r>
      <w:r w:rsidR="00B5188C">
        <w:t>“</w:t>
      </w:r>
      <w:r w:rsidRPr="001A3D2B">
        <w:t>climate</w:t>
      </w:r>
      <w:r w:rsidR="00B5188C">
        <w:t>”</w:t>
      </w:r>
      <w:r w:rsidRPr="001A3D2B">
        <w:t xml:space="preserve">, </w:t>
      </w:r>
      <w:r w:rsidR="00B5188C">
        <w:t>“</w:t>
      </w:r>
      <w:r w:rsidRPr="001A3D2B">
        <w:t>circulation</w:t>
      </w:r>
      <w:r w:rsidR="00B5188C">
        <w:t>”</w:t>
      </w:r>
      <w:r w:rsidRPr="001A3D2B">
        <w:t xml:space="preserve">, </w:t>
      </w:r>
      <w:r w:rsidR="00B5188C">
        <w:t>“</w:t>
      </w:r>
      <w:r w:rsidRPr="001A3D2B">
        <w:t>transport</w:t>
      </w:r>
      <w:r w:rsidR="00B5188C">
        <w:t>”</w:t>
      </w:r>
      <w:r w:rsidRPr="001A3D2B">
        <w:t xml:space="preserve">, </w:t>
      </w:r>
      <w:r w:rsidR="00B5188C">
        <w:t>“</w:t>
      </w:r>
      <w:r w:rsidRPr="001A3D2B">
        <w:t>parameterization</w:t>
      </w:r>
      <w:r w:rsidR="00B5188C">
        <w:t>”</w:t>
      </w:r>
      <w:r w:rsidR="005853A9">
        <w:t xml:space="preserve"> and </w:t>
      </w:r>
      <w:r w:rsidR="00B5188C">
        <w:t>“</w:t>
      </w:r>
      <w:r w:rsidRPr="001A3D2B">
        <w:t>assimilation</w:t>
      </w:r>
      <w:r w:rsidR="00B5188C">
        <w:t>”</w:t>
      </w:r>
      <w:r w:rsidRPr="001A3D2B">
        <w:t xml:space="preserve"> will be foci</w:t>
      </w:r>
      <w:r w:rsidR="00427468">
        <w:t xml:space="preserve"> of </w:t>
      </w:r>
      <w:r w:rsidRPr="001A3D2B">
        <w:t>atmospheric simulation research in</w:t>
      </w:r>
      <w:r w:rsidR="003A1917">
        <w:t xml:space="preserve"> the </w:t>
      </w:r>
      <w:r w:rsidRPr="001A3D2B">
        <w:t>21st century.</w:t>
      </w:r>
    </w:p>
    <w:p w:rsidR="003938AD" w:rsidRDefault="003938AD" w:rsidP="003938AD">
      <w:pPr>
        <w:pStyle w:val="a3"/>
        <w:rPr>
          <w:kern w:val="0"/>
          <w:szCs w:val="24"/>
        </w:rPr>
      </w:pPr>
      <w:r>
        <w:rPr>
          <w:kern w:val="0"/>
          <w:szCs w:val="24"/>
        </w:rPr>
        <w:t>Keywords: Acid Deposition, Aerosol, Air-Quality, Articles, Atmospheric Simulation, Author Keywords, Bibliometric, Bibliometric Analysis, Characteristics, Chemical-Characterization, Citation, Climate-Change, Distribution, Exponential Model, Forecast Model, Global, Journals, Largest US Cities, Methods, Modeling System, Pollution, Publication, Regression, Research, Research Trend</w:t>
      </w:r>
      <w:r w:rsidR="00D5664A">
        <w:rPr>
          <w:kern w:val="0"/>
          <w:szCs w:val="24"/>
        </w:rPr>
        <w:t>, SCI,</w:t>
      </w:r>
      <w:r>
        <w:rPr>
          <w:kern w:val="0"/>
          <w:szCs w:val="24"/>
        </w:rPr>
        <w:t xml:space="preserve"> Science, Science Citation Index, Scientific Output, Scientometrics, Simulation, Trend, Trends, United-States, </w:t>
      </w:r>
      <w:r w:rsidR="00D5664A">
        <w:rPr>
          <w:kern w:val="0"/>
          <w:szCs w:val="24"/>
        </w:rPr>
        <w:t>Web</w:t>
      </w:r>
      <w:r w:rsidR="00427468">
        <w:rPr>
          <w:kern w:val="0"/>
          <w:szCs w:val="24"/>
        </w:rPr>
        <w:t xml:space="preserve"> of </w:t>
      </w:r>
      <w:r w:rsidR="00D5664A">
        <w:rPr>
          <w:kern w:val="0"/>
          <w:szCs w:val="24"/>
        </w:rPr>
        <w:t>Science</w:t>
      </w:r>
    </w:p>
    <w:p w:rsidR="0078166C" w:rsidRDefault="0078166C" w:rsidP="0078166C">
      <w:pPr>
        <w:pStyle w:val="a3"/>
        <w:rPr>
          <w:kern w:val="0"/>
        </w:rPr>
      </w:pPr>
      <w:r>
        <w:rPr>
          <w:rFonts w:hint="eastAsia"/>
          <w:kern w:val="0"/>
        </w:rPr>
        <w:t xml:space="preserve">? </w:t>
      </w:r>
      <w:r>
        <w:rPr>
          <w:kern w:val="0"/>
        </w:rPr>
        <w:t xml:space="preserve">Li, H.N., Shi, Z.W. and Zhu, C.X. (2014), Trends in research on electrochemical oxidation. </w:t>
      </w:r>
      <w:r>
        <w:rPr>
          <w:i/>
          <w:iCs/>
          <w:kern w:val="0"/>
        </w:rPr>
        <w:t>Croatica Chemica Acta</w:t>
      </w:r>
      <w:r>
        <w:rPr>
          <w:kern w:val="0"/>
        </w:rPr>
        <w:t xml:space="preserve">, </w:t>
      </w:r>
      <w:r>
        <w:rPr>
          <w:b/>
          <w:bCs/>
          <w:kern w:val="0"/>
        </w:rPr>
        <w:t>87</w:t>
      </w:r>
      <w:r>
        <w:rPr>
          <w:kern w:val="0"/>
        </w:rPr>
        <w:t xml:space="preserve"> (2), 185-194.</w:t>
      </w:r>
    </w:p>
    <w:p w:rsidR="0078166C" w:rsidRPr="00C73C58" w:rsidRDefault="0078166C" w:rsidP="0078166C">
      <w:pPr>
        <w:pStyle w:val="a3"/>
      </w:pPr>
      <w:r w:rsidRPr="00C73C58">
        <w:t xml:space="preserve">Full Text: </w:t>
      </w:r>
      <w:hyperlink r:id="rId1091" w:history="1">
        <w:r w:rsidRPr="00B018D9">
          <w:rPr>
            <w:rStyle w:val="a5"/>
          </w:rPr>
          <w:t>2014\Cro Che Act87, 185.pdf</w:t>
        </w:r>
      </w:hyperlink>
    </w:p>
    <w:p w:rsidR="0078166C" w:rsidRDefault="0078166C" w:rsidP="0078166C">
      <w:pPr>
        <w:pStyle w:val="a3"/>
        <w:rPr>
          <w:kern w:val="0"/>
        </w:rPr>
      </w:pPr>
      <w:r>
        <w:rPr>
          <w:kern w:val="0"/>
        </w:rPr>
        <w:t>Abstract: This paper presented a detailed chronological survey of scientific output related to electrochemical oxidation in SCI categories of “environmental sciences, environmental engineering and water resources” from 1975 to 2012. Publications were analyzed by distribution of the number of publications and times cited, source categories, source journals, author keywords, Key Words Plus, and the most cited publications in these years. It was concluded that Pt, boron-doped diamond, TiO2 were currently and would continue to be the predominant focused electrode materials at least over the next decade. And the foci of studied pollutants in the electrochemical oxidation were mainly concentrated in dyes and phenols popularly existing in the practical wastewaters. What’s more, electrochemical degradation, wastewater treatment, electrochemical determination and fuel cell would be the key research topics currently and recently. Fenton, photocatalysis and coagulation were the most-frequent combination technology with electrochemical oxidation based on the bibliometric results. Contribution of Croatian chemists to the field is mentioned.</w:t>
      </w:r>
    </w:p>
    <w:p w:rsidR="0078166C" w:rsidRDefault="0078166C" w:rsidP="0078166C">
      <w:pPr>
        <w:pStyle w:val="a3"/>
        <w:rPr>
          <w:kern w:val="0"/>
        </w:rPr>
      </w:pPr>
      <w:r>
        <w:rPr>
          <w:kern w:val="0"/>
        </w:rPr>
        <w:t xml:space="preserve">Keywords: Activated Carbon, Adsorption, Bibliometric, Bibliometric Analysis, </w:t>
      </w:r>
      <w:r>
        <w:rPr>
          <w:kern w:val="0"/>
        </w:rPr>
        <w:lastRenderedPageBreak/>
        <w:t>Boron-Doped Diamond, By-Products, Cell, Coagulation, Coking Waste-Water, Contribution, Degradation, Diamond, Disinfection, Distribution, Dyes, Electrochemical, Electrochemical Degradation, Electrochemical Oxidation, Electrode Materials, Electrodes, Engineering, Environmental, Environmental Engineering, Fenton, Field, From, Fuel Cell, Inactivation, Journals, Oxidation, Phenols, Photocatalysis, Pollutants, Publications, Research, Research Trends, SCI, Sciences, Scientific Output, Source, Survey, Technology, TiO2, Treatment, Trends, Wastewater, Wastewater Treatment, Wastewaters, Water</w:t>
      </w:r>
    </w:p>
    <w:p w:rsidR="00D7231D" w:rsidRPr="001A3D2B" w:rsidRDefault="00D7231D" w:rsidP="00D7231D">
      <w:pPr>
        <w:pStyle w:val="1"/>
      </w:pPr>
      <w:r w:rsidRPr="001A3D2B">
        <w:br w:type="page"/>
      </w:r>
      <w:bookmarkStart w:id="442" w:name="_Toc420815139"/>
      <w:r w:rsidRPr="001A3D2B">
        <w:lastRenderedPageBreak/>
        <w:t xml:space="preserve">Title: </w:t>
      </w:r>
      <w:r w:rsidRPr="0008247B">
        <w:t>Corrosion Engineering Science</w:t>
      </w:r>
      <w:r w:rsidR="005853A9">
        <w:t xml:space="preserve"> and </w:t>
      </w:r>
      <w:r w:rsidRPr="0008247B">
        <w:t>Technology</w:t>
      </w:r>
      <w:bookmarkEnd w:id="442"/>
    </w:p>
    <w:p w:rsidR="00D7231D" w:rsidRPr="001A3D2B" w:rsidRDefault="00D7231D" w:rsidP="00D7231D">
      <w:pPr>
        <w:pStyle w:val="12"/>
      </w:pPr>
      <w:r w:rsidRPr="001A3D2B">
        <w:t xml:space="preserve">Full Journal Title: </w:t>
      </w:r>
      <w:r w:rsidRPr="0008247B">
        <w:rPr>
          <w:iCs/>
          <w:kern w:val="0"/>
        </w:rPr>
        <w:t>Corrosion Engineering Science</w:t>
      </w:r>
      <w:r w:rsidR="005853A9">
        <w:rPr>
          <w:iCs/>
          <w:kern w:val="0"/>
        </w:rPr>
        <w:t xml:space="preserve"> and </w:t>
      </w:r>
      <w:r w:rsidRPr="0008247B">
        <w:rPr>
          <w:iCs/>
          <w:kern w:val="0"/>
        </w:rPr>
        <w:t>Technology</w:t>
      </w:r>
    </w:p>
    <w:p w:rsidR="00D7231D" w:rsidRPr="001A3D2B" w:rsidRDefault="00D7231D" w:rsidP="00D7231D">
      <w:pPr>
        <w:pStyle w:val="12"/>
      </w:pPr>
      <w:r w:rsidRPr="001A3D2B">
        <w:t xml:space="preserve">ISO Abbreviated Title: </w:t>
      </w:r>
    </w:p>
    <w:p w:rsidR="00D7231D" w:rsidRPr="001A3D2B" w:rsidRDefault="00D7231D" w:rsidP="00D7231D">
      <w:pPr>
        <w:pStyle w:val="12"/>
      </w:pPr>
      <w:r w:rsidRPr="001A3D2B">
        <w:t xml:space="preserve">JCR Abbreviated Title: </w:t>
      </w:r>
    </w:p>
    <w:p w:rsidR="00D7231D" w:rsidRPr="001A3D2B" w:rsidRDefault="00D7231D" w:rsidP="00D7231D">
      <w:pPr>
        <w:pStyle w:val="12"/>
      </w:pPr>
      <w:r w:rsidRPr="001A3D2B">
        <w:t xml:space="preserve">ISSN: </w:t>
      </w:r>
    </w:p>
    <w:p w:rsidR="00D7231D" w:rsidRPr="001A3D2B" w:rsidRDefault="00D7231D" w:rsidP="00D7231D">
      <w:pPr>
        <w:pStyle w:val="12"/>
      </w:pPr>
      <w:r w:rsidRPr="001A3D2B">
        <w:t xml:space="preserve">Issues/Year: </w:t>
      </w:r>
    </w:p>
    <w:p w:rsidR="00D7231D" w:rsidRPr="001A3D2B" w:rsidRDefault="00D7231D" w:rsidP="00D7231D">
      <w:pPr>
        <w:pStyle w:val="12"/>
      </w:pPr>
      <w:r w:rsidRPr="001A3D2B">
        <w:t xml:space="preserve">Journal Country/Territory: </w:t>
      </w:r>
    </w:p>
    <w:p w:rsidR="00D7231D" w:rsidRPr="001A3D2B" w:rsidRDefault="00D7231D" w:rsidP="00D7231D">
      <w:pPr>
        <w:pStyle w:val="12"/>
      </w:pPr>
      <w:r w:rsidRPr="001A3D2B">
        <w:t xml:space="preserve">Language: </w:t>
      </w:r>
    </w:p>
    <w:p w:rsidR="00D7231D" w:rsidRPr="001A3D2B" w:rsidRDefault="00D7231D" w:rsidP="00D7231D">
      <w:pPr>
        <w:pStyle w:val="12"/>
      </w:pPr>
      <w:r w:rsidRPr="001A3D2B">
        <w:t xml:space="preserve">Publisher: </w:t>
      </w:r>
    </w:p>
    <w:p w:rsidR="00D7231D" w:rsidRPr="001A3D2B" w:rsidRDefault="00D7231D" w:rsidP="00D7231D">
      <w:pPr>
        <w:pStyle w:val="12"/>
      </w:pPr>
      <w:r w:rsidRPr="001A3D2B">
        <w:t xml:space="preserve">Publisher Address: </w:t>
      </w:r>
    </w:p>
    <w:p w:rsidR="00D7231D" w:rsidRPr="001A3D2B" w:rsidRDefault="00D7231D" w:rsidP="00D7231D">
      <w:pPr>
        <w:pStyle w:val="12"/>
      </w:pPr>
      <w:r w:rsidRPr="001A3D2B">
        <w:t>Subject Categories:</w:t>
      </w:r>
    </w:p>
    <w:p w:rsidR="00D7231D" w:rsidRPr="001A3D2B" w:rsidRDefault="00D7231D" w:rsidP="00D7231D">
      <w:pPr>
        <w:pStyle w:val="12"/>
      </w:pPr>
      <w:r w:rsidRPr="001A3D2B">
        <w:t xml:space="preserve">: Impact Factor </w:t>
      </w:r>
    </w:p>
    <w:p w:rsidR="00D7231D" w:rsidRDefault="00D7231D" w:rsidP="00D7231D">
      <w:pPr>
        <w:pStyle w:val="a3"/>
        <w:rPr>
          <w:kern w:val="0"/>
        </w:rPr>
      </w:pPr>
      <w:r>
        <w:rPr>
          <w:rFonts w:hint="eastAsia"/>
          <w:kern w:val="0"/>
        </w:rPr>
        <w:t xml:space="preserve">? </w:t>
      </w:r>
      <w:r>
        <w:rPr>
          <w:kern w:val="0"/>
        </w:rPr>
        <w:t>Lyon, S. (2012), Launch</w:t>
      </w:r>
      <w:r w:rsidR="00427468">
        <w:rPr>
          <w:kern w:val="0"/>
        </w:rPr>
        <w:t xml:space="preserve"> of </w:t>
      </w:r>
      <w:r>
        <w:rPr>
          <w:kern w:val="0"/>
        </w:rPr>
        <w:t xml:space="preserve">British Corrosion Journal online archive broadens access to classic papers. </w:t>
      </w:r>
      <w:r w:rsidRPr="0008247B">
        <w:rPr>
          <w:i/>
          <w:iCs/>
          <w:kern w:val="0"/>
        </w:rPr>
        <w:t>Corrosion Engineering Science</w:t>
      </w:r>
      <w:r w:rsidR="005853A9">
        <w:rPr>
          <w:i/>
          <w:iCs/>
          <w:kern w:val="0"/>
        </w:rPr>
        <w:t xml:space="preserve"> and </w:t>
      </w:r>
      <w:r w:rsidRPr="0008247B">
        <w:rPr>
          <w:i/>
          <w:iCs/>
          <w:kern w:val="0"/>
        </w:rPr>
        <w:t>Technology</w:t>
      </w:r>
      <w:r>
        <w:rPr>
          <w:kern w:val="0"/>
        </w:rPr>
        <w:t xml:space="preserve">, </w:t>
      </w:r>
      <w:r>
        <w:rPr>
          <w:b/>
          <w:bCs/>
          <w:kern w:val="0"/>
        </w:rPr>
        <w:t>47</w:t>
      </w:r>
      <w:r>
        <w:rPr>
          <w:kern w:val="0"/>
        </w:rPr>
        <w:t xml:space="preserve"> (4), 241-244</w:t>
      </w:r>
      <w:r>
        <w:rPr>
          <w:rFonts w:hint="eastAsia"/>
          <w:kern w:val="0"/>
        </w:rPr>
        <w:t>.</w:t>
      </w:r>
    </w:p>
    <w:p w:rsidR="00D7231D" w:rsidRDefault="00D7231D" w:rsidP="00D7231D">
      <w:pPr>
        <w:pStyle w:val="a3"/>
        <w:rPr>
          <w:kern w:val="0"/>
        </w:rPr>
      </w:pPr>
      <w:r>
        <w:rPr>
          <w:rFonts w:hint="eastAsia"/>
          <w:kern w:val="0"/>
        </w:rPr>
        <w:t>Full Text: 2012\</w:t>
      </w:r>
      <w:r>
        <w:rPr>
          <w:iCs/>
          <w:kern w:val="0"/>
        </w:rPr>
        <w:t>Cor</w:t>
      </w:r>
      <w:r w:rsidRPr="007110B6">
        <w:rPr>
          <w:iCs/>
          <w:kern w:val="0"/>
        </w:rPr>
        <w:t xml:space="preserve"> En</w:t>
      </w:r>
      <w:r>
        <w:rPr>
          <w:iCs/>
          <w:kern w:val="0"/>
        </w:rPr>
        <w:t>g Sci Tec</w:t>
      </w:r>
      <w:r w:rsidRPr="007110B6">
        <w:rPr>
          <w:bCs/>
          <w:kern w:val="0"/>
        </w:rPr>
        <w:t>47</w:t>
      </w:r>
      <w:r>
        <w:rPr>
          <w:kern w:val="0"/>
        </w:rPr>
        <w:t>, 241</w:t>
      </w:r>
      <w:r>
        <w:rPr>
          <w:rFonts w:hint="eastAsia"/>
          <w:kern w:val="0"/>
        </w:rPr>
        <w:t>.pdf</w:t>
      </w:r>
    </w:p>
    <w:p w:rsidR="00D7231D" w:rsidRDefault="00D7231D" w:rsidP="00D7231D">
      <w:pPr>
        <w:pStyle w:val="a3"/>
        <w:rPr>
          <w:kern w:val="0"/>
        </w:rPr>
      </w:pPr>
      <w:r>
        <w:rPr>
          <w:kern w:val="0"/>
        </w:rPr>
        <w:t>Keywords: Access, Chloride Solutions, Classic Papers, Copper-Alloys, Corrosion, Crevice Corrosion, Journal, Microbially Influenced Corrosion, Mild-Steel, Papers, Passive Film, Resistance, Sea-Water, Stainless-Steels, Water Treatment Plants</w:t>
      </w:r>
    </w:p>
    <w:p w:rsidR="00612FD6" w:rsidRPr="00C73C58" w:rsidRDefault="00612FD6" w:rsidP="00612FD6">
      <w:pPr>
        <w:pStyle w:val="1"/>
      </w:pPr>
      <w:r w:rsidRPr="00C73C58">
        <w:br w:type="page"/>
      </w:r>
      <w:bookmarkStart w:id="443" w:name="_Toc420815140"/>
      <w:r w:rsidRPr="00C73C58">
        <w:lastRenderedPageBreak/>
        <w:t xml:space="preserve">Title: </w:t>
      </w:r>
      <w:r w:rsidRPr="001727CA">
        <w:rPr>
          <w:iCs w:val="0"/>
        </w:rPr>
        <w:t>Corrosion Reviews</w:t>
      </w:r>
      <w:bookmarkEnd w:id="443"/>
    </w:p>
    <w:p w:rsidR="00612FD6" w:rsidRPr="00C73C58" w:rsidRDefault="00612FD6" w:rsidP="00612FD6">
      <w:pPr>
        <w:pStyle w:val="12"/>
      </w:pPr>
      <w:r w:rsidRPr="00C73C58">
        <w:t xml:space="preserve">Full Journal Title: </w:t>
      </w:r>
      <w:hyperlink r:id="rId1092" w:history="1">
        <w:r w:rsidRPr="00750B17">
          <w:rPr>
            <w:rStyle w:val="a5"/>
            <w:iCs/>
            <w:kern w:val="0"/>
          </w:rPr>
          <w:t>Corrosion Reviews</w:t>
        </w:r>
      </w:hyperlink>
    </w:p>
    <w:p w:rsidR="00612FD6" w:rsidRPr="00C73C58" w:rsidRDefault="00612FD6" w:rsidP="00612FD6">
      <w:pPr>
        <w:pStyle w:val="12"/>
      </w:pPr>
      <w:r w:rsidRPr="00C73C58">
        <w:t xml:space="preserve">ISO Abbreviated Title: </w:t>
      </w:r>
    </w:p>
    <w:p w:rsidR="00612FD6" w:rsidRPr="00C73C58" w:rsidRDefault="00612FD6" w:rsidP="00612FD6">
      <w:pPr>
        <w:pStyle w:val="12"/>
      </w:pPr>
      <w:r w:rsidRPr="00C73C58">
        <w:t xml:space="preserve">JCR Abbreviated Title: </w:t>
      </w:r>
    </w:p>
    <w:p w:rsidR="00612FD6" w:rsidRPr="00C73C58" w:rsidRDefault="00612FD6" w:rsidP="00612FD6">
      <w:pPr>
        <w:pStyle w:val="12"/>
      </w:pPr>
      <w:r w:rsidRPr="00C73C58">
        <w:t xml:space="preserve">ISSN: </w:t>
      </w:r>
      <w:r w:rsidR="00557EC3" w:rsidRPr="00557EC3">
        <w:t>0334-6005</w:t>
      </w:r>
    </w:p>
    <w:p w:rsidR="00612FD6" w:rsidRPr="00C73C58" w:rsidRDefault="00612FD6" w:rsidP="00612FD6">
      <w:pPr>
        <w:pStyle w:val="12"/>
      </w:pPr>
      <w:r w:rsidRPr="00C73C58">
        <w:t xml:space="preserve">Issues/Year: </w:t>
      </w:r>
    </w:p>
    <w:p w:rsidR="00612FD6" w:rsidRPr="00C73C58" w:rsidRDefault="00612FD6" w:rsidP="00612FD6">
      <w:pPr>
        <w:pStyle w:val="12"/>
      </w:pPr>
      <w:r w:rsidRPr="00C73C58">
        <w:t xml:space="preserve">Journal Country/Territory: </w:t>
      </w:r>
    </w:p>
    <w:p w:rsidR="00612FD6" w:rsidRPr="00C73C58" w:rsidRDefault="00612FD6" w:rsidP="00612FD6">
      <w:pPr>
        <w:pStyle w:val="12"/>
      </w:pPr>
      <w:r w:rsidRPr="00C73C58">
        <w:t xml:space="preserve">Language: </w:t>
      </w:r>
    </w:p>
    <w:p w:rsidR="00612FD6" w:rsidRPr="00C73C58" w:rsidRDefault="00612FD6" w:rsidP="00612FD6">
      <w:pPr>
        <w:pStyle w:val="12"/>
      </w:pPr>
      <w:r w:rsidRPr="00C73C58">
        <w:t xml:space="preserve">Publisher: </w:t>
      </w:r>
    </w:p>
    <w:p w:rsidR="00612FD6" w:rsidRPr="00C73C58" w:rsidRDefault="00612FD6" w:rsidP="00612FD6">
      <w:pPr>
        <w:pStyle w:val="12"/>
      </w:pPr>
      <w:r w:rsidRPr="00C73C58">
        <w:t xml:space="preserve">Publisher Address: </w:t>
      </w:r>
    </w:p>
    <w:p w:rsidR="00612FD6" w:rsidRPr="00C73C58" w:rsidRDefault="00612FD6" w:rsidP="00612FD6">
      <w:pPr>
        <w:pStyle w:val="12"/>
      </w:pPr>
      <w:r w:rsidRPr="00C73C58">
        <w:t xml:space="preserve">Subject Categories: </w:t>
      </w:r>
    </w:p>
    <w:p w:rsidR="00612FD6" w:rsidRPr="00C73C58" w:rsidRDefault="00612FD6" w:rsidP="00612FD6">
      <w:pPr>
        <w:pStyle w:val="12"/>
      </w:pPr>
      <w:r w:rsidRPr="00C73C58">
        <w:t>: Impact Factor</w:t>
      </w:r>
    </w:p>
    <w:p w:rsidR="00612FD6" w:rsidRDefault="00612FD6" w:rsidP="00612FD6">
      <w:pPr>
        <w:pStyle w:val="a3"/>
        <w:rPr>
          <w:kern w:val="0"/>
        </w:rPr>
      </w:pPr>
      <w:r>
        <w:rPr>
          <w:rFonts w:hint="eastAsia"/>
          <w:kern w:val="0"/>
        </w:rPr>
        <w:t xml:space="preserve">? </w:t>
      </w:r>
      <w:r>
        <w:rPr>
          <w:kern w:val="0"/>
        </w:rPr>
        <w:t>Fang, D.J., Mao, X.H., Zhang, Y.M., Zhang, S.Y., Qiao, Y.J.</w:t>
      </w:r>
      <w:r w:rsidR="005853A9">
        <w:rPr>
          <w:kern w:val="0"/>
        </w:rPr>
        <w:t xml:space="preserve"> and </w:t>
      </w:r>
      <w:r>
        <w:rPr>
          <w:kern w:val="0"/>
        </w:rPr>
        <w:t>Gan, F.X. (2009), A bibliometric analysis</w:t>
      </w:r>
      <w:r w:rsidR="00427468">
        <w:rPr>
          <w:kern w:val="0"/>
        </w:rPr>
        <w:t xml:space="preserve"> of </w:t>
      </w:r>
      <w:r w:rsidR="003A1917">
        <w:rPr>
          <w:kern w:val="0"/>
        </w:rPr>
        <w:t xml:space="preserve">the </w:t>
      </w:r>
      <w:r>
        <w:rPr>
          <w:kern w:val="0"/>
        </w:rPr>
        <w:t>global literature in</w:t>
      </w:r>
      <w:r w:rsidR="003A1917">
        <w:rPr>
          <w:kern w:val="0"/>
        </w:rPr>
        <w:t xml:space="preserve"> the </w:t>
      </w:r>
      <w:r>
        <w:rPr>
          <w:kern w:val="0"/>
        </w:rPr>
        <w:t xml:space="preserve">corrosion field from 1992 to 2007. </w:t>
      </w:r>
      <w:r w:rsidRPr="001727CA">
        <w:rPr>
          <w:i/>
          <w:iCs/>
          <w:kern w:val="0"/>
        </w:rPr>
        <w:t>Corrosion Reviews</w:t>
      </w:r>
      <w:r>
        <w:rPr>
          <w:kern w:val="0"/>
        </w:rPr>
        <w:t xml:space="preserve">, </w:t>
      </w:r>
      <w:r>
        <w:rPr>
          <w:b/>
          <w:bCs/>
          <w:kern w:val="0"/>
        </w:rPr>
        <w:t>27</w:t>
      </w:r>
      <w:r>
        <w:rPr>
          <w:kern w:val="0"/>
        </w:rPr>
        <w:t xml:space="preserve"> (6), 381-397.</w:t>
      </w:r>
    </w:p>
    <w:p w:rsidR="00612FD6" w:rsidRPr="00C73C58" w:rsidRDefault="00612FD6" w:rsidP="00612FD6">
      <w:pPr>
        <w:pStyle w:val="a3"/>
      </w:pPr>
      <w:r w:rsidRPr="00C73C58">
        <w:t xml:space="preserve">Full Text: </w:t>
      </w:r>
      <w:hyperlink r:id="rId1093" w:history="1">
        <w:r w:rsidR="00170EBA" w:rsidRPr="00170EBA">
          <w:rPr>
            <w:rStyle w:val="a5"/>
          </w:rPr>
          <w:t>2009\Cor Rev27, 381.pdf</w:t>
        </w:r>
      </w:hyperlink>
    </w:p>
    <w:p w:rsidR="00612FD6" w:rsidRDefault="00612FD6" w:rsidP="00612FD6">
      <w:pPr>
        <w:pStyle w:val="a3"/>
        <w:rPr>
          <w:kern w:val="0"/>
        </w:rPr>
      </w:pPr>
      <w:r>
        <w:rPr>
          <w:kern w:val="0"/>
        </w:rPr>
        <w:t>Abstract:</w:t>
      </w:r>
      <w:r w:rsidR="003A1917">
        <w:rPr>
          <w:kern w:val="0"/>
        </w:rPr>
        <w:t xml:space="preserve"> the </w:t>
      </w:r>
      <w:r>
        <w:rPr>
          <w:kern w:val="0"/>
        </w:rPr>
        <w:t>corrosion field experienced a rapid growth in knowledge</w:t>
      </w:r>
      <w:r w:rsidR="005853A9">
        <w:rPr>
          <w:kern w:val="0"/>
        </w:rPr>
        <w:t xml:space="preserve"> and </w:t>
      </w:r>
      <w:r>
        <w:rPr>
          <w:kern w:val="0"/>
        </w:rPr>
        <w:t>innovations in</w:t>
      </w:r>
      <w:r w:rsidR="003A1917">
        <w:rPr>
          <w:kern w:val="0"/>
        </w:rPr>
        <w:t xml:space="preserve"> the </w:t>
      </w:r>
      <w:r>
        <w:rPr>
          <w:kern w:val="0"/>
        </w:rPr>
        <w:t>last decade. In this paper, a bibliometric analysis was applied to evaluate</w:t>
      </w:r>
      <w:r w:rsidR="003A1917">
        <w:rPr>
          <w:kern w:val="0"/>
        </w:rPr>
        <w:t xml:space="preserve"> the </w:t>
      </w:r>
      <w:r>
        <w:rPr>
          <w:kern w:val="0"/>
        </w:rPr>
        <w:t>global scientific production</w:t>
      </w:r>
      <w:r w:rsidR="00427468">
        <w:rPr>
          <w:kern w:val="0"/>
        </w:rPr>
        <w:t xml:space="preserve"> of </w:t>
      </w:r>
      <w:r>
        <w:rPr>
          <w:kern w:val="0"/>
        </w:rPr>
        <w:t>corrosion papers (46,384 pieces) front 1992 to 2007 in all journals</w:t>
      </w:r>
      <w:r w:rsidR="00427468">
        <w:rPr>
          <w:kern w:val="0"/>
        </w:rPr>
        <w:t xml:space="preserve"> of </w:t>
      </w:r>
      <w:r>
        <w:rPr>
          <w:kern w:val="0"/>
        </w:rPr>
        <w:t>all</w:t>
      </w:r>
      <w:r w:rsidR="003A1917">
        <w:rPr>
          <w:kern w:val="0"/>
        </w:rPr>
        <w:t xml:space="preserve"> the </w:t>
      </w:r>
      <w:r>
        <w:rPr>
          <w:kern w:val="0"/>
        </w:rPr>
        <w:t>subject categories</w:t>
      </w:r>
      <w:r w:rsidR="00427468">
        <w:rPr>
          <w:kern w:val="0"/>
        </w:rPr>
        <w:t xml:space="preserve"> of </w:t>
      </w:r>
      <w:r w:rsidR="003A1917">
        <w:rPr>
          <w:kern w:val="0"/>
        </w:rPr>
        <w:t xml:space="preserve">the </w:t>
      </w:r>
      <w:r>
        <w:rPr>
          <w:kern w:val="0"/>
        </w:rPr>
        <w:t>Science Citation Index Expanded (SCIE) compiled by</w:t>
      </w:r>
      <w:r w:rsidR="003A1917">
        <w:rPr>
          <w:kern w:val="0"/>
        </w:rPr>
        <w:t xml:space="preserve"> the </w:t>
      </w:r>
      <w:r>
        <w:rPr>
          <w:kern w:val="0"/>
        </w:rPr>
        <w:t xml:space="preserve">Institute for Scientific Information (ISI), Philadelphia, </w:t>
      </w:r>
      <w:r w:rsidR="00D5664A">
        <w:rPr>
          <w:kern w:val="0"/>
        </w:rPr>
        <w:t>USA</w:t>
      </w:r>
      <w:r w:rsidR="00A37C1D">
        <w:rPr>
          <w:kern w:val="0"/>
        </w:rPr>
        <w:t>. The</w:t>
      </w:r>
      <w:r w:rsidR="003A1917">
        <w:rPr>
          <w:kern w:val="0"/>
        </w:rPr>
        <w:t xml:space="preserve"> </w:t>
      </w:r>
      <w:r>
        <w:rPr>
          <w:kern w:val="0"/>
        </w:rPr>
        <w:t>analysis</w:t>
      </w:r>
      <w:r w:rsidR="00427468">
        <w:rPr>
          <w:kern w:val="0"/>
        </w:rPr>
        <w:t xml:space="preserve"> of </w:t>
      </w:r>
      <w:r w:rsidR="003A1917">
        <w:rPr>
          <w:kern w:val="0"/>
        </w:rPr>
        <w:t xml:space="preserve">the </w:t>
      </w:r>
      <w:r>
        <w:rPr>
          <w:kern w:val="0"/>
        </w:rPr>
        <w:t>published Outputs showed that research on corrosion increased steadily over</w:t>
      </w:r>
      <w:r w:rsidR="003A1917">
        <w:rPr>
          <w:kern w:val="0"/>
        </w:rPr>
        <w:t xml:space="preserve"> the </w:t>
      </w:r>
      <w:r>
        <w:rPr>
          <w:kern w:val="0"/>
        </w:rPr>
        <w:t>past 16 years</w:t>
      </w:r>
      <w:r w:rsidR="005853A9">
        <w:rPr>
          <w:kern w:val="0"/>
        </w:rPr>
        <w:t xml:space="preserve"> and </w:t>
      </w:r>
      <w:r w:rsidR="003A1917">
        <w:rPr>
          <w:kern w:val="0"/>
        </w:rPr>
        <w:t xml:space="preserve">the </w:t>
      </w:r>
      <w:r>
        <w:rPr>
          <w:kern w:val="0"/>
        </w:rPr>
        <w:t>researchers from</w:t>
      </w:r>
      <w:r w:rsidR="003A1917">
        <w:rPr>
          <w:kern w:val="0"/>
        </w:rPr>
        <w:t xml:space="preserve"> the </w:t>
      </w:r>
      <w:r>
        <w:rPr>
          <w:kern w:val="0"/>
        </w:rPr>
        <w:t>EU,</w:t>
      </w:r>
      <w:r w:rsidR="003A1917">
        <w:rPr>
          <w:kern w:val="0"/>
        </w:rPr>
        <w:t xml:space="preserve"> the </w:t>
      </w:r>
      <w:r w:rsidR="00D5664A">
        <w:rPr>
          <w:kern w:val="0"/>
        </w:rPr>
        <w:t>USA</w:t>
      </w:r>
      <w:r w:rsidR="005853A9">
        <w:rPr>
          <w:kern w:val="0"/>
        </w:rPr>
        <w:t xml:space="preserve"> and </w:t>
      </w:r>
      <w:r>
        <w:rPr>
          <w:kern w:val="0"/>
        </w:rPr>
        <w:t>China contributed greatly to</w:t>
      </w:r>
      <w:r w:rsidR="003A1917">
        <w:rPr>
          <w:kern w:val="0"/>
        </w:rPr>
        <w:t xml:space="preserve"> the </w:t>
      </w:r>
      <w:r>
        <w:rPr>
          <w:kern w:val="0"/>
        </w:rPr>
        <w:t>rise in publications. Synthetically analyzing</w:t>
      </w:r>
      <w:r w:rsidR="003A1917">
        <w:rPr>
          <w:kern w:val="0"/>
        </w:rPr>
        <w:t xml:space="preserve"> the </w:t>
      </w:r>
      <w:r>
        <w:rPr>
          <w:kern w:val="0"/>
        </w:rPr>
        <w:t>information including international cooperation, subject category, distribution</w:t>
      </w:r>
      <w:r w:rsidR="00427468">
        <w:rPr>
          <w:kern w:val="0"/>
        </w:rPr>
        <w:t xml:space="preserve"> of </w:t>
      </w:r>
      <w:r>
        <w:rPr>
          <w:kern w:val="0"/>
        </w:rPr>
        <w:t>journals, document type, document language</w:t>
      </w:r>
      <w:r w:rsidR="005853A9">
        <w:rPr>
          <w:kern w:val="0"/>
        </w:rPr>
        <w:t xml:space="preserve"> and </w:t>
      </w:r>
      <w:r>
        <w:rPr>
          <w:kern w:val="0"/>
        </w:rPr>
        <w:t>author keywords,</w:t>
      </w:r>
      <w:r w:rsidR="003A1917">
        <w:rPr>
          <w:kern w:val="0"/>
        </w:rPr>
        <w:t xml:space="preserve"> the </w:t>
      </w:r>
      <w:r>
        <w:rPr>
          <w:kern w:val="0"/>
        </w:rPr>
        <w:t>development</w:t>
      </w:r>
      <w:r w:rsidR="00427468">
        <w:rPr>
          <w:kern w:val="0"/>
        </w:rPr>
        <w:t xml:space="preserve"> of </w:t>
      </w:r>
      <w:r>
        <w:rPr>
          <w:kern w:val="0"/>
        </w:rPr>
        <w:t>corrosion research over</w:t>
      </w:r>
      <w:r w:rsidR="003A1917">
        <w:rPr>
          <w:kern w:val="0"/>
        </w:rPr>
        <w:t xml:space="preserve"> the </w:t>
      </w:r>
      <w:r>
        <w:rPr>
          <w:kern w:val="0"/>
        </w:rPr>
        <w:t>past 16 years has been visualized</w:t>
      </w:r>
      <w:r w:rsidR="005853A9">
        <w:rPr>
          <w:kern w:val="0"/>
        </w:rPr>
        <w:t xml:space="preserve"> and </w:t>
      </w:r>
      <w:r>
        <w:rPr>
          <w:kern w:val="0"/>
        </w:rPr>
        <w:t>several key findings were provided. This bibliometric method can help relevant researchers realize</w:t>
      </w:r>
      <w:r w:rsidR="003A1917">
        <w:rPr>
          <w:kern w:val="0"/>
        </w:rPr>
        <w:t xml:space="preserve"> the </w:t>
      </w:r>
      <w:r>
        <w:rPr>
          <w:kern w:val="0"/>
        </w:rPr>
        <w:t>panorama</w:t>
      </w:r>
      <w:r w:rsidR="00427468">
        <w:rPr>
          <w:kern w:val="0"/>
        </w:rPr>
        <w:t xml:space="preserve"> of </w:t>
      </w:r>
      <w:r>
        <w:rPr>
          <w:kern w:val="0"/>
        </w:rPr>
        <w:t>global corrosion research,</w:t>
      </w:r>
      <w:r w:rsidR="005853A9">
        <w:rPr>
          <w:kern w:val="0"/>
        </w:rPr>
        <w:t xml:space="preserve"> and </w:t>
      </w:r>
      <w:r>
        <w:rPr>
          <w:kern w:val="0"/>
        </w:rPr>
        <w:t>establish</w:t>
      </w:r>
      <w:r w:rsidR="003A1917">
        <w:rPr>
          <w:kern w:val="0"/>
        </w:rPr>
        <w:t xml:space="preserve"> the </w:t>
      </w:r>
      <w:r>
        <w:rPr>
          <w:kern w:val="0"/>
        </w:rPr>
        <w:t>further research direction.</w:t>
      </w:r>
    </w:p>
    <w:p w:rsidR="00612FD6" w:rsidRDefault="00612FD6" w:rsidP="00612FD6">
      <w:pPr>
        <w:pStyle w:val="a3"/>
        <w:rPr>
          <w:kern w:val="0"/>
        </w:rPr>
      </w:pPr>
      <w:r>
        <w:rPr>
          <w:kern w:val="0"/>
        </w:rPr>
        <w:t>Keywords: Bibliometric, Bibliometric Analysis, Bibliometrics, China, Citation, Corrosion, EU, Field, Global, Institute for Scientific Information, International Cooperation</w:t>
      </w:r>
      <w:r w:rsidR="00D5664A">
        <w:rPr>
          <w:kern w:val="0"/>
        </w:rPr>
        <w:t>, ISI,</w:t>
      </w:r>
      <w:r>
        <w:rPr>
          <w:kern w:val="0"/>
        </w:rPr>
        <w:t xml:space="preserve"> Journals, Literature, Publications, Research, Research Trends, Researchers, Science, Science Citation Index, Scientific Production, </w:t>
      </w:r>
      <w:r w:rsidR="00D5664A">
        <w:rPr>
          <w:kern w:val="0"/>
        </w:rPr>
        <w:t>USA</w:t>
      </w:r>
    </w:p>
    <w:p w:rsidR="00647F62" w:rsidRPr="001A3D2B" w:rsidRDefault="003474F2" w:rsidP="00647F62">
      <w:pPr>
        <w:pStyle w:val="1"/>
      </w:pPr>
      <w:r w:rsidRPr="001A3D2B">
        <w:br w:type="page"/>
      </w:r>
      <w:bookmarkStart w:id="444" w:name="_Toc420815141"/>
      <w:r w:rsidR="00647F62" w:rsidRPr="001A3D2B">
        <w:lastRenderedPageBreak/>
        <w:t xml:space="preserve">Title: </w:t>
      </w:r>
      <w:r w:rsidR="00647F62" w:rsidRPr="001A3D2B">
        <w:rPr>
          <w:iCs w:val="0"/>
        </w:rPr>
        <w:t>Crustacean Issues, History</w:t>
      </w:r>
      <w:r w:rsidR="00427468">
        <w:rPr>
          <w:iCs w:val="0"/>
        </w:rPr>
        <w:t xml:space="preserve"> of </w:t>
      </w:r>
      <w:r w:rsidR="00647F62" w:rsidRPr="001A3D2B">
        <w:rPr>
          <w:iCs w:val="0"/>
        </w:rPr>
        <w:t>Carcinology</w:t>
      </w:r>
      <w:bookmarkEnd w:id="444"/>
    </w:p>
    <w:p w:rsidR="00647F62" w:rsidRPr="001A3D2B" w:rsidRDefault="00647F62" w:rsidP="00647F62">
      <w:pPr>
        <w:pStyle w:val="12"/>
      </w:pPr>
      <w:r w:rsidRPr="001A3D2B">
        <w:t>Full Journal Title: Crustacea</w:t>
      </w:r>
      <w:bookmarkStart w:id="445" w:name="_Toc238853511"/>
      <w:r w:rsidRPr="001A3D2B">
        <w:t>n Issues, History</w:t>
      </w:r>
      <w:r w:rsidR="00427468">
        <w:t xml:space="preserve"> of </w:t>
      </w:r>
      <w:r w:rsidRPr="001A3D2B">
        <w:t>Carcinology</w:t>
      </w:r>
    </w:p>
    <w:p w:rsidR="00647F62" w:rsidRPr="001A3D2B" w:rsidRDefault="00647F62" w:rsidP="00647F62">
      <w:pPr>
        <w:pStyle w:val="12"/>
      </w:pPr>
      <w:r w:rsidRPr="001A3D2B">
        <w:t>ISO Abbreviated</w:t>
      </w:r>
      <w:bookmarkEnd w:id="445"/>
      <w:r w:rsidRPr="001A3D2B">
        <w:t xml:space="preserve"> Title: </w:t>
      </w:r>
    </w:p>
    <w:p w:rsidR="00647F62" w:rsidRPr="001A3D2B" w:rsidRDefault="00647F62" w:rsidP="00647F62">
      <w:pPr>
        <w:pStyle w:val="12"/>
      </w:pPr>
      <w:r w:rsidRPr="001A3D2B">
        <w:t xml:space="preserve">JCR Abbreviated Title: </w:t>
      </w:r>
    </w:p>
    <w:p w:rsidR="00647F62" w:rsidRPr="001A3D2B" w:rsidRDefault="00647F62" w:rsidP="00647F62">
      <w:pPr>
        <w:pStyle w:val="12"/>
      </w:pPr>
      <w:r w:rsidRPr="001A3D2B">
        <w:t xml:space="preserve">ISSN: </w:t>
      </w:r>
      <w:r w:rsidRPr="001A3D2B">
        <w:rPr>
          <w:szCs w:val="19"/>
        </w:rPr>
        <w:t>0168-6356</w:t>
      </w:r>
    </w:p>
    <w:p w:rsidR="003474F2" w:rsidRPr="001A3D2B" w:rsidRDefault="003474F2" w:rsidP="00647F62">
      <w:pPr>
        <w:pStyle w:val="12"/>
      </w:pPr>
      <w:r w:rsidRPr="001A3D2B">
        <w:t xml:space="preserve">IDS Number: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Inst Sci Inform Inc, </w:t>
      </w:r>
      <w:smartTag w:uri="urn:schemas-microsoft-com:office:smarttags" w:element="place">
        <w:smartTag w:uri="urn:schemas-microsoft-com:office:smarttags" w:element="City">
          <w:r w:rsidRPr="001A3D2B">
            <w:t>Philadelphia</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Rice, A. (1993), Two centuries</w:t>
      </w:r>
      <w:r w:rsidR="00427468">
        <w:t xml:space="preserve"> of </w:t>
      </w:r>
      <w:r w:rsidRPr="001A3D2B">
        <w:t xml:space="preserve">larval crab papers: A preliminary analysis. </w:t>
      </w:r>
      <w:r w:rsidRPr="001A3D2B">
        <w:rPr>
          <w:i/>
          <w:iCs/>
        </w:rPr>
        <w:t>Crustacean Issues; History</w:t>
      </w:r>
      <w:r w:rsidR="00427468">
        <w:rPr>
          <w:i/>
          <w:iCs/>
        </w:rPr>
        <w:t xml:space="preserve"> of </w:t>
      </w:r>
      <w:r w:rsidRPr="001A3D2B">
        <w:rPr>
          <w:i/>
          <w:iCs/>
        </w:rPr>
        <w:t>Carcinology</w:t>
      </w:r>
      <w:r w:rsidRPr="001A3D2B">
        <w:t>, 285-292.</w:t>
      </w:r>
    </w:p>
    <w:p w:rsidR="003C7B23" w:rsidRPr="00A428C3" w:rsidRDefault="003C7B23" w:rsidP="003C7B23">
      <w:pPr>
        <w:pStyle w:val="1"/>
      </w:pPr>
      <w:r w:rsidRPr="00A428C3">
        <w:br w:type="page"/>
      </w:r>
      <w:bookmarkStart w:id="446" w:name="_Toc420815142"/>
      <w:r w:rsidRPr="00A428C3">
        <w:lastRenderedPageBreak/>
        <w:t xml:space="preserve">Title: </w:t>
      </w:r>
      <w:r w:rsidRPr="003C7B23">
        <w:t>Cuadernos de Economia y Direccion de la Empresa</w:t>
      </w:r>
      <w:bookmarkEnd w:id="446"/>
    </w:p>
    <w:p w:rsidR="003C7B23" w:rsidRDefault="003C7B23" w:rsidP="003C7B23">
      <w:pPr>
        <w:pStyle w:val="12"/>
      </w:pPr>
      <w:r>
        <w:t xml:space="preserve">Full Journal Title: </w:t>
      </w:r>
      <w:r w:rsidRPr="003C7B23">
        <w:rPr>
          <w:iCs/>
          <w:kern w:val="0"/>
        </w:rPr>
        <w:t>Cuadernos de Economia y Direccion de la Empresa</w:t>
      </w:r>
    </w:p>
    <w:p w:rsidR="003C7B23" w:rsidRPr="00A428C3" w:rsidRDefault="003C7B23" w:rsidP="003C7B23">
      <w:pPr>
        <w:pStyle w:val="12"/>
      </w:pPr>
      <w:r w:rsidRPr="00A428C3">
        <w:t xml:space="preserve">ISO Abbreviated Title: </w:t>
      </w:r>
    </w:p>
    <w:p w:rsidR="003C7B23" w:rsidRPr="00A428C3" w:rsidRDefault="003C7B23" w:rsidP="003C7B23">
      <w:pPr>
        <w:pStyle w:val="12"/>
      </w:pPr>
      <w:r w:rsidRPr="00A428C3">
        <w:t>JCR Abbreviated Title</w:t>
      </w:r>
      <w:r>
        <w:t>:</w:t>
      </w:r>
      <w:r w:rsidRPr="00A428C3">
        <w:t xml:space="preserve"> </w:t>
      </w:r>
    </w:p>
    <w:p w:rsidR="003C7B23" w:rsidRPr="00A428C3" w:rsidRDefault="003C7B23" w:rsidP="003C7B23">
      <w:pPr>
        <w:pStyle w:val="12"/>
      </w:pPr>
      <w:r>
        <w:t>ISSN:</w:t>
      </w:r>
      <w:r>
        <w:rPr>
          <w:rFonts w:hint="eastAsia"/>
        </w:rPr>
        <w:t xml:space="preserve"> </w:t>
      </w:r>
    </w:p>
    <w:p w:rsidR="003C7B23" w:rsidRPr="00A428C3" w:rsidRDefault="003C7B23" w:rsidP="003C7B23">
      <w:pPr>
        <w:pStyle w:val="12"/>
      </w:pPr>
      <w:r w:rsidRPr="00A428C3">
        <w:t xml:space="preserve">Issues/Year: </w:t>
      </w:r>
    </w:p>
    <w:p w:rsidR="003C7B23" w:rsidRPr="00A428C3" w:rsidRDefault="003C7B23" w:rsidP="003C7B23">
      <w:pPr>
        <w:pStyle w:val="12"/>
      </w:pPr>
      <w:r>
        <w:t xml:space="preserve">Journal Country/Territory: </w:t>
      </w:r>
    </w:p>
    <w:p w:rsidR="003C7B23" w:rsidRPr="00A428C3" w:rsidRDefault="003C7B23" w:rsidP="003C7B23">
      <w:pPr>
        <w:pStyle w:val="12"/>
      </w:pPr>
      <w:r w:rsidRPr="00A428C3">
        <w:t xml:space="preserve">Language: </w:t>
      </w:r>
    </w:p>
    <w:p w:rsidR="003C7B23" w:rsidRPr="00A428C3" w:rsidRDefault="003C7B23" w:rsidP="003C7B23">
      <w:pPr>
        <w:pStyle w:val="12"/>
      </w:pPr>
      <w:r w:rsidRPr="00A428C3">
        <w:t xml:space="preserve">Publisher: </w:t>
      </w:r>
    </w:p>
    <w:p w:rsidR="003C7B23" w:rsidRPr="00A428C3" w:rsidRDefault="003C7B23" w:rsidP="003C7B23">
      <w:pPr>
        <w:pStyle w:val="12"/>
      </w:pPr>
      <w:r w:rsidRPr="00A428C3">
        <w:t xml:space="preserve">Publisher Address: </w:t>
      </w:r>
    </w:p>
    <w:p w:rsidR="003C7B23" w:rsidRPr="00A428C3" w:rsidRDefault="003C7B23" w:rsidP="003C7B23">
      <w:pPr>
        <w:pStyle w:val="12"/>
      </w:pPr>
      <w:r w:rsidRPr="00A428C3">
        <w:t>Subject Categories:</w:t>
      </w:r>
    </w:p>
    <w:p w:rsidR="003C7B23" w:rsidRPr="00A428C3" w:rsidRDefault="003C7B23" w:rsidP="003C7B23">
      <w:pPr>
        <w:pStyle w:val="12"/>
      </w:pPr>
      <w:r w:rsidRPr="00A428C3">
        <w:t xml:space="preserve">: Impact Factor </w:t>
      </w:r>
    </w:p>
    <w:p w:rsidR="003C7B23" w:rsidRDefault="003C7B23" w:rsidP="003C7B23">
      <w:pPr>
        <w:pStyle w:val="a3"/>
        <w:rPr>
          <w:kern w:val="0"/>
        </w:rPr>
      </w:pPr>
      <w:r>
        <w:rPr>
          <w:rFonts w:hint="eastAsia"/>
          <w:kern w:val="0"/>
        </w:rPr>
        <w:t xml:space="preserve">? </w:t>
      </w:r>
      <w:r>
        <w:rPr>
          <w:kern w:val="0"/>
        </w:rPr>
        <w:t>Velasco, C.A.B., Parra, V.F.G.</w:t>
      </w:r>
      <w:r w:rsidR="005853A9">
        <w:rPr>
          <w:kern w:val="0"/>
        </w:rPr>
        <w:t xml:space="preserve"> and </w:t>
      </w:r>
      <w:r>
        <w:rPr>
          <w:kern w:val="0"/>
        </w:rPr>
        <w:t>Garcia, C.Q. (2011</w:t>
      </w:r>
      <w:r w:rsidR="00F42EAC">
        <w:rPr>
          <w:kern w:val="0"/>
        </w:rPr>
        <w:t>), The</w:t>
      </w:r>
      <w:r w:rsidR="003A1917">
        <w:rPr>
          <w:kern w:val="0"/>
        </w:rPr>
        <w:t xml:space="preserve"> </w:t>
      </w:r>
      <w:r>
        <w:rPr>
          <w:kern w:val="0"/>
        </w:rPr>
        <w:t>evolution</w:t>
      </w:r>
      <w:r w:rsidR="00427468">
        <w:rPr>
          <w:kern w:val="0"/>
        </w:rPr>
        <w:t xml:space="preserve"> of </w:t>
      </w:r>
      <w:r>
        <w:rPr>
          <w:kern w:val="0"/>
        </w:rPr>
        <w:t xml:space="preserve">Family Firm literature as a research discipline. </w:t>
      </w:r>
      <w:r w:rsidRPr="003C7B23">
        <w:rPr>
          <w:i/>
          <w:iCs/>
          <w:kern w:val="0"/>
        </w:rPr>
        <w:t>Cuadernos de Economia y Direccion de la Empresa</w:t>
      </w:r>
      <w:r>
        <w:rPr>
          <w:kern w:val="0"/>
        </w:rPr>
        <w:t xml:space="preserve">, </w:t>
      </w:r>
      <w:r>
        <w:rPr>
          <w:b/>
          <w:bCs/>
          <w:kern w:val="0"/>
        </w:rPr>
        <w:t>14</w:t>
      </w:r>
      <w:r>
        <w:rPr>
          <w:kern w:val="0"/>
        </w:rPr>
        <w:t xml:space="preserve"> (2), 78-90.</w:t>
      </w:r>
    </w:p>
    <w:p w:rsidR="003C7B23" w:rsidRPr="001A3D2B" w:rsidRDefault="003C7B23" w:rsidP="003C7B23">
      <w:pPr>
        <w:pStyle w:val="a3"/>
      </w:pPr>
      <w:r w:rsidRPr="001A3D2B">
        <w:t xml:space="preserve">Full Text: </w:t>
      </w:r>
      <w:r w:rsidRPr="006E644A">
        <w:t>201</w:t>
      </w:r>
      <w:r>
        <w:rPr>
          <w:rFonts w:hint="eastAsia"/>
        </w:rPr>
        <w:t>1</w:t>
      </w:r>
      <w:r w:rsidRPr="006E644A">
        <w:t>\</w:t>
      </w:r>
      <w:r>
        <w:rPr>
          <w:iCs/>
          <w:kern w:val="0"/>
        </w:rPr>
        <w:t>Cua</w:t>
      </w:r>
      <w:r w:rsidRPr="00E5089F">
        <w:rPr>
          <w:iCs/>
          <w:kern w:val="0"/>
        </w:rPr>
        <w:t xml:space="preserve"> Ec</w:t>
      </w:r>
      <w:r>
        <w:rPr>
          <w:iCs/>
          <w:kern w:val="0"/>
        </w:rPr>
        <w:t>o Dir Emp</w:t>
      </w:r>
      <w:r w:rsidRPr="00E5089F">
        <w:rPr>
          <w:bCs/>
          <w:kern w:val="0"/>
        </w:rPr>
        <w:t>14</w:t>
      </w:r>
      <w:r>
        <w:rPr>
          <w:kern w:val="0"/>
        </w:rPr>
        <w:t>, 78</w:t>
      </w:r>
      <w:r w:rsidRPr="006E644A">
        <w:t>.pdf</w:t>
      </w:r>
    </w:p>
    <w:p w:rsidR="003C7B23" w:rsidRDefault="003C7B23" w:rsidP="003C7B23">
      <w:pPr>
        <w:pStyle w:val="a3"/>
        <w:rPr>
          <w:kern w:val="0"/>
        </w:rPr>
      </w:pPr>
      <w:r>
        <w:rPr>
          <w:kern w:val="0"/>
        </w:rPr>
        <w:t>Abstract: This paper describes</w:t>
      </w:r>
      <w:r w:rsidR="003A1917">
        <w:rPr>
          <w:kern w:val="0"/>
        </w:rPr>
        <w:t xml:space="preserve"> the </w:t>
      </w:r>
      <w:r>
        <w:rPr>
          <w:kern w:val="0"/>
        </w:rPr>
        <w:t>evolution</w:t>
      </w:r>
      <w:r w:rsidR="00427468">
        <w:rPr>
          <w:kern w:val="0"/>
        </w:rPr>
        <w:t xml:space="preserve"> of </w:t>
      </w:r>
      <w:r w:rsidR="003A1917">
        <w:rPr>
          <w:kern w:val="0"/>
        </w:rPr>
        <w:t xml:space="preserve">the </w:t>
      </w:r>
      <w:r>
        <w:rPr>
          <w:kern w:val="0"/>
        </w:rPr>
        <w:t>family firm research over</w:t>
      </w:r>
      <w:r w:rsidR="003A1917">
        <w:rPr>
          <w:kern w:val="0"/>
        </w:rPr>
        <w:t xml:space="preserve"> the </w:t>
      </w:r>
      <w:r>
        <w:rPr>
          <w:kern w:val="0"/>
        </w:rPr>
        <w:t>1961-2008 time period. We have compiled a database</w:t>
      </w:r>
      <w:r w:rsidR="00427468">
        <w:rPr>
          <w:kern w:val="0"/>
        </w:rPr>
        <w:t xml:space="preserve"> of </w:t>
      </w:r>
      <w:r w:rsidR="003A1917">
        <w:rPr>
          <w:kern w:val="0"/>
        </w:rPr>
        <w:t xml:space="preserve">the </w:t>
      </w:r>
      <w:r>
        <w:rPr>
          <w:kern w:val="0"/>
        </w:rPr>
        <w:t>684 articles focused on</w:t>
      </w:r>
      <w:r w:rsidR="003A1917">
        <w:rPr>
          <w:kern w:val="0"/>
        </w:rPr>
        <w:t xml:space="preserve"> the </w:t>
      </w:r>
      <w:r>
        <w:rPr>
          <w:kern w:val="0"/>
        </w:rPr>
        <w:t>field published in journals included in</w:t>
      </w:r>
      <w:r w:rsidR="003A1917">
        <w:rPr>
          <w:kern w:val="0"/>
        </w:rPr>
        <w:t xml:space="preserve"> the </w:t>
      </w:r>
      <w:r>
        <w:rPr>
          <w:kern w:val="0"/>
        </w:rPr>
        <w:t>Social Science Citation Index. Bibliometric methods</w:t>
      </w:r>
      <w:r w:rsidR="005853A9">
        <w:rPr>
          <w:kern w:val="0"/>
        </w:rPr>
        <w:t xml:space="preserve"> and </w:t>
      </w:r>
      <w:r>
        <w:rPr>
          <w:kern w:val="0"/>
        </w:rPr>
        <w:t>techniques are used to describe</w:t>
      </w:r>
      <w:r w:rsidR="003A1917">
        <w:rPr>
          <w:kern w:val="0"/>
        </w:rPr>
        <w:t xml:space="preserve"> the </w:t>
      </w:r>
      <w:r>
        <w:rPr>
          <w:kern w:val="0"/>
        </w:rPr>
        <w:t>evolution</w:t>
      </w:r>
      <w:r w:rsidR="00427468">
        <w:rPr>
          <w:kern w:val="0"/>
        </w:rPr>
        <w:t xml:space="preserve"> of </w:t>
      </w:r>
      <w:r>
        <w:rPr>
          <w:kern w:val="0"/>
        </w:rPr>
        <w:t>publication activity,</w:t>
      </w:r>
      <w:r w:rsidR="003A1917">
        <w:rPr>
          <w:kern w:val="0"/>
        </w:rPr>
        <w:t xml:space="preserve"> the </w:t>
      </w:r>
      <w:r>
        <w:rPr>
          <w:kern w:val="0"/>
        </w:rPr>
        <w:t>most active institutions,</w:t>
      </w:r>
      <w:r w:rsidR="003A1917">
        <w:rPr>
          <w:kern w:val="0"/>
        </w:rPr>
        <w:t xml:space="preserve"> the </w:t>
      </w:r>
      <w:r>
        <w:rPr>
          <w:kern w:val="0"/>
        </w:rPr>
        <w:t>methodologies applied,</w:t>
      </w:r>
      <w:r w:rsidR="005853A9">
        <w:rPr>
          <w:kern w:val="0"/>
        </w:rPr>
        <w:t xml:space="preserve"> and </w:t>
      </w:r>
      <w:r w:rsidR="003A1917">
        <w:rPr>
          <w:kern w:val="0"/>
        </w:rPr>
        <w:t xml:space="preserve">the </w:t>
      </w:r>
      <w:r>
        <w:rPr>
          <w:kern w:val="0"/>
        </w:rPr>
        <w:t>main subjects researched. Based on these analyses, potential avenues for future research are proposed to advance in</w:t>
      </w:r>
      <w:r w:rsidR="003A1917">
        <w:rPr>
          <w:kern w:val="0"/>
        </w:rPr>
        <w:t xml:space="preserve"> the </w:t>
      </w:r>
      <w:r>
        <w:rPr>
          <w:kern w:val="0"/>
        </w:rPr>
        <w:t>consolidation</w:t>
      </w:r>
      <w:r w:rsidR="00427468">
        <w:rPr>
          <w:kern w:val="0"/>
        </w:rPr>
        <w:t xml:space="preserve"> of </w:t>
      </w:r>
      <w:r w:rsidR="003A1917">
        <w:rPr>
          <w:kern w:val="0"/>
        </w:rPr>
        <w:t xml:space="preserve">the </w:t>
      </w:r>
      <w:r>
        <w:rPr>
          <w:kern w:val="0"/>
        </w:rPr>
        <w:t>field as a scientific discipline. (C) 2009 ACEDE. Published by Elsevier Espana, S.L. All rights reserved.</w:t>
      </w:r>
    </w:p>
    <w:p w:rsidR="003C7B23" w:rsidRDefault="003C7B23" w:rsidP="003C7B23">
      <w:pPr>
        <w:pStyle w:val="a3"/>
        <w:rPr>
          <w:kern w:val="0"/>
        </w:rPr>
      </w:pPr>
      <w:r>
        <w:rPr>
          <w:kern w:val="0"/>
        </w:rPr>
        <w:t>Keywords: Activity Indicators, Agency, Bibliometric, Bibliometric Methods, Bibliometrics, Business, Citation, Co-Words, Dynamic Capabilities, Family Firm, Governance, Journals, Literature, Methodology, Ownership, Performance, Perspective, Publication, Research, Resource-Based View, Science, Science Citation Index, Strategic Management, Succession</w:t>
      </w:r>
    </w:p>
    <w:p w:rsidR="001F4090" w:rsidRDefault="001F4090" w:rsidP="001F4090">
      <w:pPr>
        <w:pStyle w:val="a3"/>
        <w:rPr>
          <w:kern w:val="0"/>
        </w:rPr>
      </w:pPr>
      <w:r>
        <w:rPr>
          <w:rFonts w:hint="eastAsia"/>
          <w:kern w:val="0"/>
        </w:rPr>
        <w:t xml:space="preserve">? </w:t>
      </w:r>
      <w:r>
        <w:rPr>
          <w:kern w:val="0"/>
        </w:rPr>
        <w:t>Ronda-Pupo, G.A.</w:t>
      </w:r>
      <w:r w:rsidR="005853A9">
        <w:rPr>
          <w:kern w:val="0"/>
        </w:rPr>
        <w:t xml:space="preserve"> and </w:t>
      </w:r>
      <w:r>
        <w:rPr>
          <w:kern w:val="0"/>
        </w:rPr>
        <w:t xml:space="preserve">Guerras-Martín, L.A. (2013), Institutional cooperation research network in management in Spain through the CEDE Journal: 1998-2010. </w:t>
      </w:r>
      <w:r>
        <w:rPr>
          <w:i/>
          <w:iCs/>
          <w:kern w:val="0"/>
        </w:rPr>
        <w:t>Cuadernos de Economia y Direccion de la Empresa</w:t>
      </w:r>
      <w:r>
        <w:rPr>
          <w:kern w:val="0"/>
        </w:rPr>
        <w:t xml:space="preserve">, </w:t>
      </w:r>
      <w:r>
        <w:rPr>
          <w:b/>
          <w:bCs/>
          <w:kern w:val="0"/>
        </w:rPr>
        <w:t>16</w:t>
      </w:r>
      <w:r>
        <w:rPr>
          <w:kern w:val="0"/>
        </w:rPr>
        <w:t xml:space="preserve"> (1), 1-16.</w:t>
      </w:r>
    </w:p>
    <w:p w:rsidR="00F37971" w:rsidRPr="001A3D2B" w:rsidRDefault="00F37971" w:rsidP="00F37971">
      <w:pPr>
        <w:pStyle w:val="a3"/>
      </w:pPr>
      <w:r w:rsidRPr="001A3D2B">
        <w:t xml:space="preserve">Full Text: </w:t>
      </w:r>
      <w:hyperlink r:id="rId1094" w:history="1">
        <w:r w:rsidRPr="00996D3A">
          <w:rPr>
            <w:rStyle w:val="a5"/>
          </w:rPr>
          <w:t>2013\Cua Eco Dir Emp16, 1.pdf</w:t>
        </w:r>
      </w:hyperlink>
    </w:p>
    <w:p w:rsidR="00982BA5" w:rsidRDefault="00982BA5" w:rsidP="00982BA5">
      <w:pPr>
        <w:pStyle w:val="a3"/>
        <w:rPr>
          <w:kern w:val="0"/>
        </w:rPr>
      </w:pPr>
      <w:r>
        <w:rPr>
          <w:kern w:val="0"/>
        </w:rPr>
        <w:t>Abstract: The paper analyzes the dynamics, from 1998 to 2010,</w:t>
      </w:r>
      <w:r w:rsidR="00427468">
        <w:rPr>
          <w:kern w:val="0"/>
        </w:rPr>
        <w:t xml:space="preserve"> of </w:t>
      </w:r>
      <w:r>
        <w:rPr>
          <w:kern w:val="0"/>
        </w:rPr>
        <w:t>the institutional cooperation network</w:t>
      </w:r>
      <w:r w:rsidR="00427468">
        <w:rPr>
          <w:kern w:val="0"/>
        </w:rPr>
        <w:t xml:space="preserve"> of </w:t>
      </w:r>
      <w:r>
        <w:rPr>
          <w:kern w:val="0"/>
        </w:rPr>
        <w:t>the scientific community researching the management field in Spain through the journal Cuadernos tie Economia y Direccion de la Empresa (CEDE). Both the scientific output</w:t>
      </w:r>
      <w:r w:rsidR="005853A9">
        <w:rPr>
          <w:kern w:val="0"/>
        </w:rPr>
        <w:t xml:space="preserve"> and </w:t>
      </w:r>
      <w:r>
        <w:rPr>
          <w:kern w:val="0"/>
        </w:rPr>
        <w:t>the degree</w:t>
      </w:r>
      <w:r w:rsidR="00427468">
        <w:rPr>
          <w:kern w:val="0"/>
        </w:rPr>
        <w:t xml:space="preserve"> of </w:t>
      </w:r>
      <w:r>
        <w:rPr>
          <w:kern w:val="0"/>
        </w:rPr>
        <w:t>centrality</w:t>
      </w:r>
      <w:r w:rsidR="00427468">
        <w:rPr>
          <w:kern w:val="0"/>
        </w:rPr>
        <w:t xml:space="preserve"> of </w:t>
      </w:r>
      <w:r>
        <w:rPr>
          <w:kern w:val="0"/>
        </w:rPr>
        <w:t xml:space="preserve">each institution are </w:t>
      </w:r>
      <w:r>
        <w:rPr>
          <w:kern w:val="0"/>
        </w:rPr>
        <w:lastRenderedPageBreak/>
        <w:t>measured</w:t>
      </w:r>
      <w:r w:rsidR="005853A9">
        <w:rPr>
          <w:kern w:val="0"/>
        </w:rPr>
        <w:t xml:space="preserve"> and </w:t>
      </w:r>
      <w:r>
        <w:rPr>
          <w:kern w:val="0"/>
        </w:rPr>
        <w:t>analyzed</w:t>
      </w:r>
      <w:r w:rsidR="00A37C1D">
        <w:rPr>
          <w:kern w:val="0"/>
        </w:rPr>
        <w:t>. The</w:t>
      </w:r>
      <w:r>
        <w:rPr>
          <w:kern w:val="0"/>
        </w:rPr>
        <w:t xml:space="preserve"> study also covers the way in which the level</w:t>
      </w:r>
      <w:r w:rsidR="00427468">
        <w:rPr>
          <w:kern w:val="0"/>
        </w:rPr>
        <w:t xml:space="preserve"> of </w:t>
      </w:r>
      <w:r>
        <w:rPr>
          <w:kern w:val="0"/>
        </w:rPr>
        <w:t>betweenness centrality</w:t>
      </w:r>
      <w:r w:rsidR="00427468">
        <w:rPr>
          <w:kern w:val="0"/>
        </w:rPr>
        <w:t xml:space="preserve"> of </w:t>
      </w:r>
      <w:r>
        <w:rPr>
          <w:kern w:val="0"/>
        </w:rPr>
        <w:t>the institutions involved in the network influenced the increase in scientific output during the development</w:t>
      </w:r>
      <w:r w:rsidR="005853A9">
        <w:rPr>
          <w:kern w:val="0"/>
        </w:rPr>
        <w:t xml:space="preserve"> and </w:t>
      </w:r>
      <w:r>
        <w:rPr>
          <w:kern w:val="0"/>
        </w:rPr>
        <w:t>progress</w:t>
      </w:r>
      <w:r w:rsidR="00427468">
        <w:rPr>
          <w:kern w:val="0"/>
        </w:rPr>
        <w:t xml:space="preserve"> of </w:t>
      </w:r>
      <w:r>
        <w:rPr>
          <w:kern w:val="0"/>
        </w:rPr>
        <w:t>the academic community. Finally, the paper presents the ranking</w:t>
      </w:r>
      <w:r w:rsidR="00427468">
        <w:rPr>
          <w:kern w:val="0"/>
        </w:rPr>
        <w:t xml:space="preserve"> of </w:t>
      </w:r>
      <w:r>
        <w:rPr>
          <w:kern w:val="0"/>
        </w:rPr>
        <w:t>the top 10 universities in terms</w:t>
      </w:r>
      <w:r w:rsidR="00427468">
        <w:rPr>
          <w:kern w:val="0"/>
        </w:rPr>
        <w:t xml:space="preserve"> of </w:t>
      </w:r>
      <w:r>
        <w:rPr>
          <w:kern w:val="0"/>
        </w:rPr>
        <w:t>betweenness centrality. (C) 2011 ACEDE. Published by Elsevier Espana, S.L. All rights reserved.</w:t>
      </w:r>
    </w:p>
    <w:p w:rsidR="00982BA5" w:rsidRDefault="00982BA5" w:rsidP="00982BA5">
      <w:pPr>
        <w:pStyle w:val="a3"/>
        <w:rPr>
          <w:kern w:val="0"/>
        </w:rPr>
      </w:pPr>
      <w:r>
        <w:rPr>
          <w:kern w:val="0"/>
        </w:rPr>
        <w:t>Keywords: Centrality, Citation, Co-Institution Analysis, Collaboration, Community, Cooperation, Development, Dynamics, Field, Index, Institutional Cooperation, Institutions, Journal, Management, Management Studies, Map, Network, Patterns, Progress, Ranking, Research, Rights, Sciences, Scientific Output, Scientometrics, Social Network Analysis, Spain, Strategic Management, Universities, Virtual Communities</w:t>
      </w:r>
    </w:p>
    <w:p w:rsidR="00E07E2F" w:rsidRDefault="00E07E2F" w:rsidP="00E07E2F">
      <w:pPr>
        <w:pStyle w:val="a3"/>
        <w:rPr>
          <w:kern w:val="0"/>
        </w:rPr>
      </w:pPr>
      <w:r>
        <w:rPr>
          <w:rFonts w:hint="eastAsia"/>
          <w:kern w:val="0"/>
        </w:rPr>
        <w:t xml:space="preserve">? </w:t>
      </w:r>
      <w:r>
        <w:rPr>
          <w:kern w:val="0"/>
        </w:rPr>
        <w:t xml:space="preserve">Sáez, C.A.A., Fuentes, M.D.F. and Haro-Domínguez, M.C. (2013), Spanish research into tourism with an international impact (1997-2011). A perspective from the economy and company management. </w:t>
      </w:r>
      <w:r>
        <w:rPr>
          <w:i/>
          <w:iCs/>
          <w:kern w:val="0"/>
        </w:rPr>
        <w:t>Cuadernos de Economia y Direccion de la Empresa</w:t>
      </w:r>
      <w:r>
        <w:rPr>
          <w:kern w:val="0"/>
        </w:rPr>
        <w:t xml:space="preserve">, </w:t>
      </w:r>
      <w:r>
        <w:rPr>
          <w:b/>
          <w:bCs/>
          <w:kern w:val="0"/>
        </w:rPr>
        <w:t>16</w:t>
      </w:r>
      <w:r>
        <w:rPr>
          <w:kern w:val="0"/>
        </w:rPr>
        <w:t xml:space="preserve"> (1), 17-28.</w:t>
      </w:r>
    </w:p>
    <w:p w:rsidR="00F37971" w:rsidRPr="001A3D2B" w:rsidRDefault="00F37971" w:rsidP="00F37971">
      <w:pPr>
        <w:pStyle w:val="a3"/>
      </w:pPr>
      <w:r w:rsidRPr="001A3D2B">
        <w:t xml:space="preserve">Full Text: </w:t>
      </w:r>
      <w:hyperlink r:id="rId1095" w:history="1">
        <w:r w:rsidRPr="00996D3A">
          <w:rPr>
            <w:rStyle w:val="a5"/>
          </w:rPr>
          <w:t>2013\Cua Eco Dir Emp16, 17.pdf</w:t>
        </w:r>
      </w:hyperlink>
    </w:p>
    <w:p w:rsidR="00982BA5" w:rsidRDefault="00982BA5" w:rsidP="00982BA5">
      <w:pPr>
        <w:pStyle w:val="a3"/>
        <w:rPr>
          <w:kern w:val="0"/>
        </w:rPr>
      </w:pPr>
      <w:r>
        <w:rPr>
          <w:kern w:val="0"/>
        </w:rPr>
        <w:t>Abstract: The relevance</w:t>
      </w:r>
      <w:r w:rsidR="00427468">
        <w:rPr>
          <w:kern w:val="0"/>
        </w:rPr>
        <w:t xml:space="preserve"> of </w:t>
      </w:r>
      <w:r>
        <w:rPr>
          <w:kern w:val="0"/>
        </w:rPr>
        <w:t>tourism for the economy</w:t>
      </w:r>
      <w:r w:rsidR="005853A9">
        <w:rPr>
          <w:kern w:val="0"/>
        </w:rPr>
        <w:t xml:space="preserve"> and </w:t>
      </w:r>
      <w:r>
        <w:rPr>
          <w:kern w:val="0"/>
        </w:rPr>
        <w:t>development in Spain has motivated academic research on the tourist sector. Our study analyzes the international impact</w:t>
      </w:r>
      <w:r w:rsidR="00427468">
        <w:rPr>
          <w:kern w:val="0"/>
        </w:rPr>
        <w:t xml:space="preserve"> of </w:t>
      </w:r>
      <w:r>
        <w:rPr>
          <w:kern w:val="0"/>
        </w:rPr>
        <w:t>this scholarship</w:t>
      </w:r>
      <w:r w:rsidR="005853A9">
        <w:rPr>
          <w:kern w:val="0"/>
        </w:rPr>
        <w:t xml:space="preserve"> and </w:t>
      </w:r>
      <w:r>
        <w:rPr>
          <w:kern w:val="0"/>
        </w:rPr>
        <w:t>provides researchers connected to the economy</w:t>
      </w:r>
      <w:r w:rsidR="005853A9">
        <w:rPr>
          <w:kern w:val="0"/>
        </w:rPr>
        <w:t xml:space="preserve"> and </w:t>
      </w:r>
      <w:r>
        <w:rPr>
          <w:kern w:val="0"/>
        </w:rPr>
        <w:t>business management with an examination</w:t>
      </w:r>
      <w:r w:rsidR="00427468">
        <w:rPr>
          <w:kern w:val="0"/>
        </w:rPr>
        <w:t xml:space="preserve"> of </w:t>
      </w:r>
      <w:r>
        <w:rPr>
          <w:kern w:val="0"/>
        </w:rPr>
        <w:t>the main topics researched in this discipline. To do so, we perform a bibliometric study</w:t>
      </w:r>
      <w:r w:rsidR="00427468">
        <w:rPr>
          <w:kern w:val="0"/>
        </w:rPr>
        <w:t xml:space="preserve"> of </w:t>
      </w:r>
      <w:r>
        <w:rPr>
          <w:kern w:val="0"/>
        </w:rPr>
        <w:t>Spanish scholarship from 1997 to 2011 in the 26 most important international journals on tourism</w:t>
      </w:r>
      <w:r w:rsidR="005853A9">
        <w:rPr>
          <w:kern w:val="0"/>
        </w:rPr>
        <w:t xml:space="preserve"> and </w:t>
      </w:r>
      <w:r>
        <w:rPr>
          <w:kern w:val="0"/>
        </w:rPr>
        <w:t>hospitality. We find that tourism scholars have made a greater than average contribution to economics</w:t>
      </w:r>
      <w:r w:rsidR="005853A9">
        <w:rPr>
          <w:kern w:val="0"/>
        </w:rPr>
        <w:t xml:space="preserve"> and </w:t>
      </w:r>
      <w:r>
        <w:rPr>
          <w:kern w:val="0"/>
        </w:rPr>
        <w:t>business, as well as to the total</w:t>
      </w:r>
      <w:r w:rsidR="00427468">
        <w:rPr>
          <w:kern w:val="0"/>
        </w:rPr>
        <w:t xml:space="preserve"> of </w:t>
      </w:r>
      <w:r>
        <w:rPr>
          <w:kern w:val="0"/>
        </w:rPr>
        <w:t>scholarly disciplines. Economics, marketing,</w:t>
      </w:r>
      <w:r w:rsidR="005853A9">
        <w:rPr>
          <w:kern w:val="0"/>
        </w:rPr>
        <w:t xml:space="preserve"> and </w:t>
      </w:r>
      <w:r>
        <w:rPr>
          <w:kern w:val="0"/>
        </w:rPr>
        <w:t>business administration are the areas with the greatest weight,</w:t>
      </w:r>
      <w:r w:rsidR="005853A9">
        <w:rPr>
          <w:kern w:val="0"/>
        </w:rPr>
        <w:t xml:space="preserve"> and </w:t>
      </w:r>
      <w:r>
        <w:rPr>
          <w:kern w:val="0"/>
        </w:rPr>
        <w:t>marketing</w:t>
      </w:r>
      <w:r w:rsidR="005853A9">
        <w:rPr>
          <w:kern w:val="0"/>
        </w:rPr>
        <w:t xml:space="preserve"> and </w:t>
      </w:r>
      <w:r>
        <w:rPr>
          <w:kern w:val="0"/>
        </w:rPr>
        <w:t>business administration provide promising lines</w:t>
      </w:r>
      <w:r w:rsidR="00427468">
        <w:rPr>
          <w:kern w:val="0"/>
        </w:rPr>
        <w:t xml:space="preserve"> of </w:t>
      </w:r>
      <w:r>
        <w:rPr>
          <w:kern w:val="0"/>
        </w:rPr>
        <w:t>research that can contribute to increasing the number</w:t>
      </w:r>
      <w:r w:rsidR="00427468">
        <w:rPr>
          <w:kern w:val="0"/>
        </w:rPr>
        <w:t xml:space="preserve"> of </w:t>
      </w:r>
      <w:r>
        <w:rPr>
          <w:kern w:val="0"/>
        </w:rPr>
        <w:t>studies</w:t>
      </w:r>
      <w:r w:rsidR="00427468">
        <w:rPr>
          <w:kern w:val="0"/>
        </w:rPr>
        <w:t xml:space="preserve"> of </w:t>
      </w:r>
      <w:r>
        <w:rPr>
          <w:kern w:val="0"/>
        </w:rPr>
        <w:t>tourism. (C) 2011 ACEDE. Published by Elsevier Espana, S.L. All rights reserved.</w:t>
      </w:r>
    </w:p>
    <w:p w:rsidR="00982BA5" w:rsidRDefault="00982BA5" w:rsidP="00982BA5">
      <w:pPr>
        <w:pStyle w:val="a3"/>
        <w:rPr>
          <w:kern w:val="0"/>
        </w:rPr>
      </w:pPr>
      <w:r>
        <w:rPr>
          <w:kern w:val="0"/>
        </w:rPr>
        <w:t>Keywords: Administration, Author Analysis, Bibliometric, Bibliometric Study, Business, Challenges, Citations, Content Analysis, Development, Economics, Economy, Economy</w:t>
      </w:r>
      <w:r w:rsidR="005853A9">
        <w:rPr>
          <w:kern w:val="0"/>
        </w:rPr>
        <w:t xml:space="preserve"> and </w:t>
      </w:r>
      <w:r>
        <w:rPr>
          <w:kern w:val="0"/>
        </w:rPr>
        <w:t>Company Management, Examination, Hospitality, Impact, Institutional Analysis, Institutional Contributors, International, Journals, Management, Marketing, Performance, Ranking, Relevance, Research, Rights, Scholarship, Sector, Spain, Spanish Research Into Tourism, Tourism, Trends</w:t>
      </w:r>
    </w:p>
    <w:p w:rsidR="00B06811" w:rsidRPr="00A428C3" w:rsidRDefault="00B06811" w:rsidP="00B06811">
      <w:pPr>
        <w:pStyle w:val="1"/>
      </w:pPr>
      <w:r w:rsidRPr="00A428C3">
        <w:br w:type="page"/>
      </w:r>
      <w:bookmarkStart w:id="447" w:name="_Toc420815143"/>
      <w:r w:rsidRPr="00A428C3">
        <w:lastRenderedPageBreak/>
        <w:t xml:space="preserve">Title: </w:t>
      </w:r>
      <w:r w:rsidRPr="005E44BA">
        <w:rPr>
          <w:szCs w:val="24"/>
        </w:rPr>
        <w:t>Cultura y Educacion</w:t>
      </w:r>
      <w:bookmarkEnd w:id="447"/>
    </w:p>
    <w:p w:rsidR="00B06811" w:rsidRDefault="00B06811" w:rsidP="00B06811">
      <w:pPr>
        <w:pStyle w:val="12"/>
      </w:pPr>
      <w:r>
        <w:t xml:space="preserve">Full Journal Title: </w:t>
      </w:r>
      <w:r w:rsidRPr="005E44BA">
        <w:rPr>
          <w:iCs/>
          <w:kern w:val="0"/>
        </w:rPr>
        <w:t>Cultura y Educacion</w:t>
      </w:r>
    </w:p>
    <w:p w:rsidR="00B06811" w:rsidRPr="00A428C3" w:rsidRDefault="00B06811" w:rsidP="00B06811">
      <w:pPr>
        <w:pStyle w:val="12"/>
      </w:pPr>
      <w:r w:rsidRPr="00A428C3">
        <w:t>ISO Abbrevi</w:t>
      </w:r>
      <w:bookmarkStart w:id="448" w:name="_Toc296655322"/>
      <w:r w:rsidRPr="00A428C3">
        <w:t>ated Ti</w:t>
      </w:r>
      <w:bookmarkEnd w:id="448"/>
      <w:r w:rsidRPr="00A428C3">
        <w:t xml:space="preserve">tle: </w:t>
      </w:r>
    </w:p>
    <w:p w:rsidR="00B06811" w:rsidRPr="00A428C3" w:rsidRDefault="00B06811" w:rsidP="00B06811">
      <w:pPr>
        <w:pStyle w:val="12"/>
      </w:pPr>
      <w:r w:rsidRPr="00A428C3">
        <w:t>JCR Abbreviated Title</w:t>
      </w:r>
      <w:r>
        <w:t>:</w:t>
      </w:r>
      <w:r w:rsidRPr="00A428C3">
        <w:t xml:space="preserve"> </w:t>
      </w:r>
    </w:p>
    <w:p w:rsidR="00B06811" w:rsidRPr="00A428C3" w:rsidRDefault="00B06811" w:rsidP="00B06811">
      <w:pPr>
        <w:pStyle w:val="12"/>
      </w:pPr>
      <w:r>
        <w:t>ISSN:</w:t>
      </w:r>
      <w:r>
        <w:rPr>
          <w:rFonts w:hint="eastAsia"/>
        </w:rPr>
        <w:t xml:space="preserve"> </w:t>
      </w:r>
    </w:p>
    <w:p w:rsidR="00B06811" w:rsidRPr="00A428C3" w:rsidRDefault="00B06811" w:rsidP="00B06811">
      <w:pPr>
        <w:pStyle w:val="12"/>
      </w:pPr>
      <w:r w:rsidRPr="00A428C3">
        <w:t xml:space="preserve">Issues/Year: </w:t>
      </w:r>
    </w:p>
    <w:p w:rsidR="00B06811" w:rsidRPr="00A428C3" w:rsidRDefault="00B06811" w:rsidP="00B06811">
      <w:pPr>
        <w:pStyle w:val="12"/>
      </w:pPr>
      <w:r>
        <w:t xml:space="preserve">Journal Country/Territory: </w:t>
      </w:r>
    </w:p>
    <w:p w:rsidR="00B06811" w:rsidRPr="00A428C3" w:rsidRDefault="00B06811" w:rsidP="00B06811">
      <w:pPr>
        <w:pStyle w:val="12"/>
      </w:pPr>
      <w:r w:rsidRPr="00A428C3">
        <w:t xml:space="preserve">Language: </w:t>
      </w:r>
    </w:p>
    <w:p w:rsidR="00B06811" w:rsidRPr="00A428C3" w:rsidRDefault="00B06811" w:rsidP="00B06811">
      <w:pPr>
        <w:pStyle w:val="12"/>
      </w:pPr>
      <w:r w:rsidRPr="00A428C3">
        <w:t xml:space="preserve">Publisher: </w:t>
      </w:r>
    </w:p>
    <w:p w:rsidR="00B06811" w:rsidRPr="00A428C3" w:rsidRDefault="00B06811" w:rsidP="00B06811">
      <w:pPr>
        <w:pStyle w:val="12"/>
      </w:pPr>
      <w:r w:rsidRPr="00A428C3">
        <w:t xml:space="preserve">Publisher Address: </w:t>
      </w:r>
    </w:p>
    <w:p w:rsidR="00B06811" w:rsidRPr="00A428C3" w:rsidRDefault="00B06811" w:rsidP="00B06811">
      <w:pPr>
        <w:pStyle w:val="12"/>
      </w:pPr>
      <w:r w:rsidRPr="00A428C3">
        <w:t>Subject Categories:</w:t>
      </w:r>
    </w:p>
    <w:p w:rsidR="00B06811" w:rsidRPr="00A428C3" w:rsidRDefault="00B06811" w:rsidP="00B06811">
      <w:pPr>
        <w:pStyle w:val="12"/>
      </w:pPr>
      <w:r w:rsidRPr="00A428C3">
        <w:t xml:space="preserve">: Impact Factor </w:t>
      </w:r>
    </w:p>
    <w:p w:rsidR="0005625C" w:rsidRDefault="0005625C" w:rsidP="0005625C">
      <w:pPr>
        <w:pStyle w:val="a3"/>
        <w:rPr>
          <w:kern w:val="0"/>
          <w:szCs w:val="24"/>
        </w:rPr>
      </w:pPr>
      <w:r>
        <w:rPr>
          <w:rFonts w:hint="eastAsia"/>
          <w:kern w:val="0"/>
          <w:szCs w:val="24"/>
        </w:rPr>
        <w:t xml:space="preserve">? </w:t>
      </w:r>
      <w:r>
        <w:rPr>
          <w:kern w:val="0"/>
          <w:szCs w:val="24"/>
        </w:rPr>
        <w:t>Dorta-González, P.</w:t>
      </w:r>
      <w:r w:rsidR="005853A9">
        <w:rPr>
          <w:kern w:val="0"/>
          <w:szCs w:val="24"/>
        </w:rPr>
        <w:t xml:space="preserve"> and </w:t>
      </w:r>
      <w:r>
        <w:rPr>
          <w:kern w:val="0"/>
          <w:szCs w:val="24"/>
        </w:rPr>
        <w:t>Dorta-González, M.I. (2011), Empirical application</w:t>
      </w:r>
      <w:r w:rsidR="00427468">
        <w:rPr>
          <w:kern w:val="0"/>
          <w:szCs w:val="24"/>
        </w:rPr>
        <w:t xml:space="preserve"> of </w:t>
      </w:r>
      <w:r>
        <w:rPr>
          <w:kern w:val="0"/>
          <w:szCs w:val="24"/>
        </w:rPr>
        <w:t>a bibliometric indicator based on</w:t>
      </w:r>
      <w:r w:rsidR="003A1917">
        <w:rPr>
          <w:kern w:val="0"/>
          <w:szCs w:val="24"/>
        </w:rPr>
        <w:t xml:space="preserve"> the </w:t>
      </w:r>
      <w:r w:rsidR="00D5664A">
        <w:rPr>
          <w:kern w:val="0"/>
          <w:szCs w:val="24"/>
        </w:rPr>
        <w:t>h-Index</w:t>
      </w:r>
      <w:r>
        <w:rPr>
          <w:kern w:val="0"/>
          <w:szCs w:val="24"/>
        </w:rPr>
        <w:t xml:space="preserve">. </w:t>
      </w:r>
      <w:r w:rsidRPr="005E44BA">
        <w:rPr>
          <w:i/>
          <w:iCs/>
          <w:kern w:val="0"/>
          <w:szCs w:val="24"/>
        </w:rPr>
        <w:t>Cultura y Educacion</w:t>
      </w:r>
      <w:r>
        <w:rPr>
          <w:kern w:val="0"/>
          <w:szCs w:val="24"/>
        </w:rPr>
        <w:t xml:space="preserve">, </w:t>
      </w:r>
      <w:r>
        <w:rPr>
          <w:b/>
          <w:bCs/>
          <w:kern w:val="0"/>
          <w:szCs w:val="24"/>
        </w:rPr>
        <w:t>23</w:t>
      </w:r>
      <w:r>
        <w:rPr>
          <w:kern w:val="0"/>
          <w:szCs w:val="24"/>
        </w:rPr>
        <w:t xml:space="preserve"> (2), 297-313.</w:t>
      </w:r>
    </w:p>
    <w:p w:rsidR="00B06811" w:rsidRDefault="00B06811" w:rsidP="00B06811">
      <w:pPr>
        <w:pStyle w:val="a3"/>
        <w:rPr>
          <w:kern w:val="0"/>
          <w:szCs w:val="24"/>
        </w:rPr>
      </w:pPr>
      <w:r>
        <w:rPr>
          <w:rFonts w:hint="eastAsia"/>
          <w:kern w:val="0"/>
          <w:szCs w:val="24"/>
        </w:rPr>
        <w:t xml:space="preserve">Full Text: </w:t>
      </w:r>
      <w:hyperlink r:id="rId1096" w:history="1">
        <w:r w:rsidR="0005625C" w:rsidRPr="0005625C">
          <w:rPr>
            <w:rStyle w:val="a5"/>
            <w:kern w:val="0"/>
            <w:szCs w:val="24"/>
          </w:rPr>
          <w:t>2011\Cul Edu23, 297.pdf</w:t>
        </w:r>
      </w:hyperlink>
    </w:p>
    <w:p w:rsidR="00B06811" w:rsidRDefault="00B06811" w:rsidP="00B06811">
      <w:pPr>
        <w:pStyle w:val="a3"/>
        <w:rPr>
          <w:kern w:val="0"/>
          <w:szCs w:val="24"/>
        </w:rPr>
      </w:pPr>
      <w:r>
        <w:rPr>
          <w:kern w:val="0"/>
          <w:szCs w:val="24"/>
        </w:rPr>
        <w:t>Abstract:</w:t>
      </w:r>
      <w:r w:rsidR="003A1917">
        <w:rPr>
          <w:kern w:val="0"/>
          <w:szCs w:val="24"/>
        </w:rPr>
        <w:t xml:space="preserve"> the </w:t>
      </w:r>
      <w:r w:rsidR="00D5664A">
        <w:rPr>
          <w:kern w:val="0"/>
          <w:szCs w:val="24"/>
        </w:rPr>
        <w:t>h-Index</w:t>
      </w:r>
      <w:r>
        <w:rPr>
          <w:kern w:val="0"/>
          <w:szCs w:val="24"/>
        </w:rPr>
        <w:t xml:space="preserve"> is one</w:t>
      </w:r>
      <w:r w:rsidR="00427468">
        <w:rPr>
          <w:kern w:val="0"/>
          <w:szCs w:val="24"/>
        </w:rPr>
        <w:t xml:space="preserve"> of </w:t>
      </w:r>
      <w:r w:rsidR="003A1917">
        <w:rPr>
          <w:kern w:val="0"/>
          <w:szCs w:val="24"/>
        </w:rPr>
        <w:t xml:space="preserve">the </w:t>
      </w:r>
      <w:r>
        <w:rPr>
          <w:kern w:val="0"/>
          <w:szCs w:val="24"/>
        </w:rPr>
        <w:t>bibliometric indicators used to estimate</w:t>
      </w:r>
      <w:r w:rsidR="003A1917">
        <w:rPr>
          <w:kern w:val="0"/>
          <w:szCs w:val="24"/>
        </w:rPr>
        <w:t xml:space="preserve"> the </w:t>
      </w:r>
      <w:r>
        <w:rPr>
          <w:kern w:val="0"/>
          <w:szCs w:val="24"/>
        </w:rPr>
        <w:t>success</w:t>
      </w:r>
      <w:r w:rsidR="00427468">
        <w:rPr>
          <w:kern w:val="0"/>
          <w:szCs w:val="24"/>
        </w:rPr>
        <w:t xml:space="preserve"> of </w:t>
      </w:r>
      <w:r>
        <w:rPr>
          <w:kern w:val="0"/>
          <w:szCs w:val="24"/>
        </w:rPr>
        <w:t>a researcher. This indicator combines production</w:t>
      </w:r>
      <w:r w:rsidR="005853A9">
        <w:rPr>
          <w:kern w:val="0"/>
          <w:szCs w:val="24"/>
        </w:rPr>
        <w:t xml:space="preserve"> and </w:t>
      </w:r>
      <w:r>
        <w:rPr>
          <w:kern w:val="0"/>
          <w:szCs w:val="24"/>
        </w:rPr>
        <w:t>impact,</w:t>
      </w:r>
      <w:r w:rsidR="005853A9">
        <w:rPr>
          <w:kern w:val="0"/>
          <w:szCs w:val="24"/>
        </w:rPr>
        <w:t xml:space="preserve"> and </w:t>
      </w:r>
      <w:r>
        <w:rPr>
          <w:kern w:val="0"/>
          <w:szCs w:val="24"/>
        </w:rPr>
        <w:t>eliminates biases caused by</w:t>
      </w:r>
      <w:r w:rsidR="003A1917">
        <w:rPr>
          <w:kern w:val="0"/>
          <w:szCs w:val="24"/>
        </w:rPr>
        <w:t xml:space="preserve"> the </w:t>
      </w:r>
      <w:r>
        <w:rPr>
          <w:kern w:val="0"/>
          <w:szCs w:val="24"/>
        </w:rPr>
        <w:t>tails</w:t>
      </w:r>
      <w:r w:rsidR="00427468">
        <w:rPr>
          <w:kern w:val="0"/>
          <w:szCs w:val="24"/>
        </w:rPr>
        <w:t xml:space="preserve"> of </w:t>
      </w:r>
      <w:r w:rsidR="003A1917">
        <w:rPr>
          <w:kern w:val="0"/>
          <w:szCs w:val="24"/>
        </w:rPr>
        <w:t xml:space="preserve">the </w:t>
      </w:r>
      <w:r>
        <w:rPr>
          <w:kern w:val="0"/>
          <w:szCs w:val="24"/>
        </w:rPr>
        <w:t xml:space="preserve">citations distribution. However, this indicator has limitations in discriminating between researchers with different publication habits, penalising in </w:t>
      </w:r>
      <w:r w:rsidR="00D5664A">
        <w:rPr>
          <w:kern w:val="0"/>
          <w:szCs w:val="24"/>
        </w:rPr>
        <w:t>h-Index</w:t>
      </w:r>
      <w:r>
        <w:rPr>
          <w:kern w:val="0"/>
          <w:szCs w:val="24"/>
        </w:rPr>
        <w:t xml:space="preserve"> based evaluations those who follow a more selective publication strategy</w:t>
      </w:r>
      <w:r w:rsidR="005853A9">
        <w:rPr>
          <w:kern w:val="0"/>
          <w:szCs w:val="24"/>
        </w:rPr>
        <w:t xml:space="preserve"> and </w:t>
      </w:r>
      <w:r>
        <w:rPr>
          <w:kern w:val="0"/>
          <w:szCs w:val="24"/>
        </w:rPr>
        <w:t>publish a relatively low number</w:t>
      </w:r>
      <w:r w:rsidR="00427468">
        <w:rPr>
          <w:kern w:val="0"/>
          <w:szCs w:val="24"/>
        </w:rPr>
        <w:t xml:space="preserve"> of </w:t>
      </w:r>
      <w:r>
        <w:rPr>
          <w:kern w:val="0"/>
          <w:szCs w:val="24"/>
        </w:rPr>
        <w:t>documents that are frequently cited. This paper presents an empirical application</w:t>
      </w:r>
      <w:r w:rsidR="00427468">
        <w:rPr>
          <w:kern w:val="0"/>
          <w:szCs w:val="24"/>
        </w:rPr>
        <w:t xml:space="preserve"> of </w:t>
      </w:r>
      <w:r>
        <w:rPr>
          <w:kern w:val="0"/>
          <w:szCs w:val="24"/>
        </w:rPr>
        <w:t>environment indicators, an addition to</w:t>
      </w:r>
      <w:r w:rsidR="003A1917">
        <w:rPr>
          <w:kern w:val="0"/>
          <w:szCs w:val="24"/>
        </w:rPr>
        <w:t xml:space="preserve"> the </w:t>
      </w:r>
      <w:r w:rsidR="00D5664A">
        <w:rPr>
          <w:kern w:val="0"/>
          <w:szCs w:val="24"/>
        </w:rPr>
        <w:t>h-Index</w:t>
      </w:r>
      <w:r>
        <w:rPr>
          <w:kern w:val="0"/>
          <w:szCs w:val="24"/>
        </w:rPr>
        <w:t xml:space="preserve"> that considers</w:t>
      </w:r>
      <w:r w:rsidR="003A1917">
        <w:rPr>
          <w:kern w:val="0"/>
          <w:szCs w:val="24"/>
        </w:rPr>
        <w:t xml:space="preserve"> the </w:t>
      </w:r>
      <w:r>
        <w:rPr>
          <w:kern w:val="0"/>
          <w:szCs w:val="24"/>
        </w:rPr>
        <w:t>intermediate zone</w:t>
      </w:r>
      <w:r w:rsidR="00427468">
        <w:rPr>
          <w:kern w:val="0"/>
          <w:szCs w:val="24"/>
        </w:rPr>
        <w:t xml:space="preserve"> of </w:t>
      </w:r>
      <w:r w:rsidR="003A1917">
        <w:rPr>
          <w:kern w:val="0"/>
          <w:szCs w:val="24"/>
        </w:rPr>
        <w:t xml:space="preserve">the </w:t>
      </w:r>
      <w:r>
        <w:rPr>
          <w:kern w:val="0"/>
          <w:szCs w:val="24"/>
        </w:rPr>
        <w:t>citations distribution.</w:t>
      </w:r>
    </w:p>
    <w:p w:rsidR="00B06811" w:rsidRDefault="00B06811" w:rsidP="00B06811">
      <w:pPr>
        <w:pStyle w:val="a3"/>
        <w:rPr>
          <w:kern w:val="0"/>
          <w:szCs w:val="24"/>
        </w:rPr>
      </w:pPr>
      <w:r>
        <w:rPr>
          <w:kern w:val="0"/>
          <w:szCs w:val="24"/>
        </w:rPr>
        <w:t xml:space="preserve">Keywords: Bibliometric, Bibliometric Indicators, Citation Analysis, Citations, Education, Environment, </w:t>
      </w:r>
      <w:r w:rsidR="00D5664A">
        <w:rPr>
          <w:rFonts w:hint="eastAsia"/>
          <w:kern w:val="0"/>
          <w:szCs w:val="24"/>
        </w:rPr>
        <w:t>h Index</w:t>
      </w:r>
      <w:r>
        <w:rPr>
          <w:kern w:val="0"/>
          <w:szCs w:val="24"/>
        </w:rPr>
        <w:t xml:space="preserve">, </w:t>
      </w:r>
      <w:r w:rsidR="00D5664A">
        <w:rPr>
          <w:rFonts w:hint="eastAsia"/>
          <w:kern w:val="0"/>
          <w:szCs w:val="24"/>
        </w:rPr>
        <w:t>h-Index</w:t>
      </w:r>
      <w:r>
        <w:rPr>
          <w:kern w:val="0"/>
          <w:szCs w:val="24"/>
        </w:rPr>
        <w:t>, Publication, Research, Research Evaluation, Scientific-Research, Spain</w:t>
      </w:r>
    </w:p>
    <w:p w:rsidR="003474F2" w:rsidRPr="001A3D2B" w:rsidRDefault="003474F2" w:rsidP="003474F2">
      <w:pPr>
        <w:pStyle w:val="1"/>
      </w:pPr>
      <w:r w:rsidRPr="001A3D2B">
        <w:br w:type="page"/>
      </w:r>
      <w:bookmarkStart w:id="449" w:name="_Toc420815144"/>
      <w:r w:rsidRPr="001A3D2B">
        <w:lastRenderedPageBreak/>
        <w:t>Title: Cultural Diversity &amp; Ethnic Minority Psychology</w:t>
      </w:r>
      <w:bookmarkEnd w:id="449"/>
    </w:p>
    <w:p w:rsidR="003474F2" w:rsidRPr="001A3D2B" w:rsidRDefault="003474F2" w:rsidP="003474F2">
      <w:pPr>
        <w:pStyle w:val="12"/>
      </w:pPr>
      <w:r w:rsidRPr="001A3D2B">
        <w:t>Full Journal Title: Cultural Diversity &amp; Ethnic Minority Psychology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Cultur Divers Ethnic Minor Psychol</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Hall, G.C.</w:t>
      </w:r>
      <w:r w:rsidR="005853A9">
        <w:t xml:space="preserve"> and </w:t>
      </w:r>
      <w:r w:rsidRPr="001A3D2B">
        <w:t>Maramba, G.G. (2001), In search</w:t>
      </w:r>
      <w:r w:rsidR="00427468">
        <w:t xml:space="preserve"> of </w:t>
      </w:r>
      <w:r w:rsidRPr="001A3D2B">
        <w:t>cultural diversity: Recent literature in cross-cultural</w:t>
      </w:r>
      <w:r w:rsidR="005853A9">
        <w:t xml:space="preserve"> and </w:t>
      </w:r>
      <w:r w:rsidRPr="001A3D2B">
        <w:t xml:space="preserve">ethnic minority psychology. </w:t>
      </w:r>
      <w:r w:rsidRPr="001A3D2B">
        <w:rPr>
          <w:i/>
          <w:iCs/>
        </w:rPr>
        <w:t>Cultural Diversity &amp; Ethnic Minority Psychology</w:t>
      </w:r>
      <w:r w:rsidRPr="001A3D2B">
        <w:t xml:space="preserve">, </w:t>
      </w:r>
      <w:r w:rsidRPr="001A3D2B">
        <w:rPr>
          <w:b/>
          <w:bCs/>
        </w:rPr>
        <w:t>7</w:t>
      </w:r>
      <w:r w:rsidRPr="001A3D2B">
        <w:t xml:space="preserve"> (1), 12-26.</w:t>
      </w:r>
    </w:p>
    <w:p w:rsidR="003474F2" w:rsidRPr="001A3D2B" w:rsidRDefault="003474F2" w:rsidP="003474F2">
      <w:pPr>
        <w:pStyle w:val="a3"/>
      </w:pPr>
      <w:r w:rsidRPr="001A3D2B">
        <w:t>Abstract:</w:t>
      </w:r>
      <w:r w:rsidR="003A1917">
        <w:t xml:space="preserve"> the </w:t>
      </w:r>
      <w:r w:rsidRPr="001A3D2B">
        <w:t>purpose</w:t>
      </w:r>
      <w:r w:rsidR="00427468">
        <w:t xml:space="preserve"> of </w:t>
      </w:r>
      <w:r w:rsidRPr="001A3D2B">
        <w:t>this study was to identify where</w:t>
      </w:r>
      <w:r w:rsidR="003A1917">
        <w:t xml:space="preserve"> the </w:t>
      </w:r>
      <w:r w:rsidRPr="001A3D2B">
        <w:t>most work on cross-cultural</w:t>
      </w:r>
      <w:r w:rsidR="005853A9">
        <w:t xml:space="preserve"> and </w:t>
      </w:r>
      <w:r w:rsidRPr="001A3D2B">
        <w:t>ethnic minority psychology is being published</w:t>
      </w:r>
      <w:r w:rsidR="005853A9">
        <w:t xml:space="preserve"> and </w:t>
      </w:r>
      <w:r w:rsidRPr="001A3D2B">
        <w:t>who</w:t>
      </w:r>
      <w:r w:rsidR="003A1917">
        <w:t xml:space="preserve"> the </w:t>
      </w:r>
      <w:r w:rsidRPr="001A3D2B">
        <w:t>most productive authors are</w:t>
      </w:r>
      <w:r w:rsidR="00A37C1D">
        <w:t>. The</w:t>
      </w:r>
      <w:r w:rsidR="003A1917">
        <w:t xml:space="preserve"> </w:t>
      </w:r>
      <w:r w:rsidRPr="001A3D2B">
        <w:t>journals that published</w:t>
      </w:r>
      <w:r w:rsidR="003A1917">
        <w:t xml:space="preserve"> the </w:t>
      </w:r>
      <w:r w:rsidRPr="001A3D2B">
        <w:t>most articles on cross-cultural</w:t>
      </w:r>
      <w:r w:rsidR="005853A9">
        <w:t xml:space="preserve"> and </w:t>
      </w:r>
      <w:r w:rsidRPr="001A3D2B">
        <w:t>ethnic minority issues from 1993 to 1999</w:t>
      </w:r>
      <w:r w:rsidR="005853A9">
        <w:t xml:space="preserve"> and </w:t>
      </w:r>
      <w:r w:rsidR="003A1917">
        <w:t xml:space="preserve">the </w:t>
      </w:r>
      <w:r w:rsidRPr="001A3D2B">
        <w:t>most prolific authors on these issues were identified by PsycINFO. Cross-cultural research is cross-national, whereas ethnic minority research involves groups</w:t>
      </w:r>
      <w:r w:rsidR="00427468">
        <w:t xml:space="preserve"> of </w:t>
      </w:r>
      <w:r w:rsidRPr="001A3D2B">
        <w:t>color within</w:t>
      </w:r>
      <w:r w:rsidR="003A1917">
        <w:t xml:space="preserve"> the </w:t>
      </w:r>
      <w:r w:rsidRPr="001A3D2B">
        <w:t>United States</w:t>
      </w:r>
      <w:r w:rsidR="00A37C1D">
        <w:t>. The</w:t>
      </w:r>
      <w:r w:rsidR="003A1917">
        <w:t xml:space="preserve"> </w:t>
      </w:r>
      <w:r w:rsidRPr="001A3D2B">
        <w:t>citation impact</w:t>
      </w:r>
      <w:r w:rsidR="00427468">
        <w:t xml:space="preserve"> of </w:t>
      </w:r>
      <w:r w:rsidRPr="001A3D2B">
        <w:t>these journals</w:t>
      </w:r>
      <w:r w:rsidR="005853A9">
        <w:t xml:space="preserve"> and </w:t>
      </w:r>
      <w:r w:rsidRPr="001A3D2B">
        <w:t>authors was determined from</w:t>
      </w:r>
      <w:r w:rsidR="003A1917">
        <w:t xml:space="preserve"> the </w:t>
      </w:r>
      <w:r w:rsidRPr="001A3D2B">
        <w:t>1997 Social Sciences Citation Index</w:t>
      </w:r>
      <w:r w:rsidR="00A37C1D">
        <w:t>. The</w:t>
      </w:r>
      <w:r w:rsidR="003A1917">
        <w:t xml:space="preserve"> </w:t>
      </w:r>
      <w:r w:rsidRPr="001A3D2B">
        <w:t>results suggest that there is very limited overlap between</w:t>
      </w:r>
      <w:r w:rsidR="003A1917">
        <w:t xml:space="preserve"> the </w:t>
      </w:r>
      <w:r w:rsidRPr="001A3D2B">
        <w:t>literatures in cross-cultural</w:t>
      </w:r>
      <w:r w:rsidR="005853A9">
        <w:t xml:space="preserve"> and </w:t>
      </w:r>
      <w:r w:rsidRPr="001A3D2B">
        <w:t>ethnic minority psychology. Most</w:t>
      </w:r>
      <w:r w:rsidR="00427468">
        <w:t xml:space="preserve"> of </w:t>
      </w:r>
      <w:r w:rsidR="003A1917">
        <w:t xml:space="preserve">the </w:t>
      </w:r>
      <w:r w:rsidRPr="001A3D2B">
        <w:t>research in these areas is published in specialty journals,</w:t>
      </w:r>
      <w:r w:rsidR="005853A9">
        <w:t xml:space="preserve"> and </w:t>
      </w:r>
      <w:r w:rsidRPr="001A3D2B">
        <w:t>there is a paucity</w:t>
      </w:r>
      <w:r w:rsidR="00427468">
        <w:t xml:space="preserve"> of </w:t>
      </w:r>
      <w:r w:rsidRPr="001A3D2B">
        <w:t>this research in prestigious journals. Perceived or actual barriers to publication in prestigious journals may cause some to seek specialty journals as outlets for research on cultural diversity</w:t>
      </w:r>
      <w:r w:rsidR="00A37C1D">
        <w:t>. The</w:t>
      </w:r>
      <w:r w:rsidR="003A1917">
        <w:t xml:space="preserve"> </w:t>
      </w:r>
      <w:r w:rsidRPr="001A3D2B">
        <w:t>top scholars in cross-cultural psychology are primarily men</w:t>
      </w:r>
      <w:r w:rsidR="00427468">
        <w:t xml:space="preserve"> of </w:t>
      </w:r>
      <w:r w:rsidRPr="001A3D2B">
        <w:t>European ancestry, whereas most</w:t>
      </w:r>
      <w:r w:rsidR="00427468">
        <w:t xml:space="preserve"> of </w:t>
      </w:r>
      <w:r w:rsidR="003A1917">
        <w:t xml:space="preserve">the </w:t>
      </w:r>
      <w:r w:rsidRPr="001A3D2B">
        <w:t>top scholars in ethnic minority psychology are ethnic minority men</w:t>
      </w:r>
      <w:r w:rsidR="005853A9">
        <w:t xml:space="preserve"> and </w:t>
      </w:r>
      <w:r w:rsidRPr="001A3D2B">
        <w:t>women. Strategies to increase</w:t>
      </w:r>
      <w:r w:rsidR="003A1917">
        <w:t xml:space="preserve"> the </w:t>
      </w:r>
      <w:r w:rsidRPr="001A3D2B">
        <w:t>prominence</w:t>
      </w:r>
      <w:r w:rsidR="00427468">
        <w:t xml:space="preserve"> of </w:t>
      </w:r>
      <w:r w:rsidRPr="001A3D2B">
        <w:t>cultural diversity in</w:t>
      </w:r>
      <w:r w:rsidR="003A1917">
        <w:t xml:space="preserve"> the </w:t>
      </w:r>
      <w:r w:rsidRPr="001A3D2B">
        <w:t>psychology literature include combining cross-cultural</w:t>
      </w:r>
      <w:r w:rsidR="005853A9">
        <w:t xml:space="preserve"> and </w:t>
      </w:r>
      <w:r w:rsidRPr="001A3D2B">
        <w:t>ethnic minority psychology, increasing</w:t>
      </w:r>
      <w:r w:rsidR="003A1917">
        <w:t xml:space="preserve"> the </w:t>
      </w:r>
      <w:r w:rsidRPr="001A3D2B">
        <w:t>number</w:t>
      </w:r>
      <w:r w:rsidR="00427468">
        <w:t xml:space="preserve"> of </w:t>
      </w:r>
      <w:r w:rsidRPr="001A3D2B">
        <w:t>editorial board members</w:t>
      </w:r>
      <w:r w:rsidR="00427468">
        <w:t xml:space="preserve"> of </w:t>
      </w:r>
      <w:r w:rsidRPr="001A3D2B">
        <w:t>prestigious journals having expertise in cultural diversity,</w:t>
      </w:r>
      <w:r w:rsidR="005853A9">
        <w:t xml:space="preserve"> and </w:t>
      </w:r>
      <w:r w:rsidRPr="001A3D2B">
        <w:t>increasing</w:t>
      </w:r>
      <w:r w:rsidR="003A1917">
        <w:t xml:space="preserve"> the </w:t>
      </w:r>
      <w:r w:rsidRPr="001A3D2B">
        <w:t>quality</w:t>
      </w:r>
      <w:r w:rsidR="00427468">
        <w:t xml:space="preserve"> of </w:t>
      </w:r>
      <w:r w:rsidRPr="001A3D2B">
        <w:t>specialty journals. Psychology will remain ill-equipped to face</w:t>
      </w:r>
      <w:r w:rsidR="003A1917">
        <w:t xml:space="preserve"> the </w:t>
      </w:r>
      <w:r w:rsidRPr="001A3D2B">
        <w:t>challenges</w:t>
      </w:r>
      <w:r w:rsidR="00427468">
        <w:t xml:space="preserve"> of </w:t>
      </w:r>
      <w:r w:rsidR="003A1917">
        <w:t xml:space="preserve">the </w:t>
      </w:r>
      <w:r w:rsidRPr="001A3D2B">
        <w:t>new millennium without increased attention to cultural diversity.</w:t>
      </w:r>
    </w:p>
    <w:p w:rsidR="003474F2" w:rsidRPr="001A3D2B" w:rsidRDefault="003474F2" w:rsidP="003474F2">
      <w:pPr>
        <w:pStyle w:val="a3"/>
      </w:pPr>
      <w:r w:rsidRPr="001A3D2B">
        <w:t xml:space="preserve">Keywords: Barriers, Citation, Cultural, Diversity, Ethnic Minority, Impact, Journals, </w:t>
      </w:r>
      <w:r w:rsidRPr="001A3D2B">
        <w:lastRenderedPageBreak/>
        <w:t>Literature, Men, Psychology, PsycINFO, Publication, Purpose, Quality, Quality of, Research, Specialty, United States, Women, Work</w:t>
      </w:r>
    </w:p>
    <w:p w:rsidR="0041253D" w:rsidRPr="001A3D2B" w:rsidRDefault="0041253D" w:rsidP="0041253D">
      <w:pPr>
        <w:pStyle w:val="1"/>
      </w:pPr>
      <w:r w:rsidRPr="001A3D2B">
        <w:br w:type="page"/>
      </w:r>
      <w:bookmarkStart w:id="450" w:name="_Toc420815145"/>
      <w:r w:rsidRPr="001A3D2B">
        <w:lastRenderedPageBreak/>
        <w:t xml:space="preserve">Title: </w:t>
      </w:r>
      <w:r w:rsidRPr="0041253D">
        <w:rPr>
          <w:iCs w:val="0"/>
          <w:szCs w:val="24"/>
        </w:rPr>
        <w:t>Culture</w:t>
      </w:r>
      <w:r w:rsidR="005853A9">
        <w:rPr>
          <w:iCs w:val="0"/>
          <w:szCs w:val="24"/>
        </w:rPr>
        <w:t xml:space="preserve"> and </w:t>
      </w:r>
      <w:r w:rsidRPr="0041253D">
        <w:rPr>
          <w:iCs w:val="0"/>
          <w:szCs w:val="24"/>
        </w:rPr>
        <w:t>Organization</w:t>
      </w:r>
      <w:bookmarkEnd w:id="450"/>
    </w:p>
    <w:p w:rsidR="0041253D" w:rsidRPr="001A3D2B" w:rsidRDefault="0041253D" w:rsidP="0041253D">
      <w:pPr>
        <w:pStyle w:val="12"/>
      </w:pPr>
      <w:r w:rsidRPr="001A3D2B">
        <w:t xml:space="preserve">Full Journal Title: </w:t>
      </w:r>
      <w:r w:rsidRPr="0041253D">
        <w:rPr>
          <w:iCs/>
          <w:kern w:val="0"/>
        </w:rPr>
        <w:t>Culture</w:t>
      </w:r>
      <w:r w:rsidR="005853A9">
        <w:rPr>
          <w:iCs/>
          <w:kern w:val="0"/>
        </w:rPr>
        <w:t xml:space="preserve"> and </w:t>
      </w:r>
      <w:r w:rsidRPr="0041253D">
        <w:rPr>
          <w:iCs/>
          <w:kern w:val="0"/>
        </w:rPr>
        <w:t>Organization</w:t>
      </w:r>
    </w:p>
    <w:p w:rsidR="0041253D" w:rsidRPr="001A3D2B" w:rsidRDefault="0041253D" w:rsidP="0041253D">
      <w:pPr>
        <w:pStyle w:val="12"/>
      </w:pPr>
      <w:r w:rsidRPr="001A3D2B">
        <w:t xml:space="preserve">ISO Abbreviated Title: </w:t>
      </w:r>
    </w:p>
    <w:p w:rsidR="0041253D" w:rsidRPr="001A3D2B" w:rsidRDefault="0041253D" w:rsidP="0041253D">
      <w:pPr>
        <w:pStyle w:val="12"/>
      </w:pPr>
      <w:r w:rsidRPr="001A3D2B">
        <w:t xml:space="preserve">JCR Abbreviated Title: </w:t>
      </w:r>
    </w:p>
    <w:p w:rsidR="0041253D" w:rsidRPr="001A3D2B" w:rsidRDefault="0041253D" w:rsidP="0041253D">
      <w:pPr>
        <w:pStyle w:val="12"/>
      </w:pPr>
      <w:r w:rsidRPr="001A3D2B">
        <w:t xml:space="preserve">ISSN: </w:t>
      </w:r>
    </w:p>
    <w:p w:rsidR="0041253D" w:rsidRPr="001A3D2B" w:rsidRDefault="0041253D" w:rsidP="0041253D">
      <w:pPr>
        <w:pStyle w:val="12"/>
      </w:pPr>
      <w:r w:rsidRPr="001A3D2B">
        <w:t xml:space="preserve">Issues/Year: </w:t>
      </w:r>
    </w:p>
    <w:p w:rsidR="0041253D" w:rsidRPr="001A3D2B" w:rsidRDefault="0041253D" w:rsidP="0041253D">
      <w:pPr>
        <w:pStyle w:val="12"/>
      </w:pPr>
      <w:r w:rsidRPr="001A3D2B">
        <w:t xml:space="preserve">Journal Country/Territory: </w:t>
      </w:r>
    </w:p>
    <w:p w:rsidR="0041253D" w:rsidRPr="001A3D2B" w:rsidRDefault="0041253D" w:rsidP="0041253D">
      <w:pPr>
        <w:pStyle w:val="12"/>
      </w:pPr>
      <w:r w:rsidRPr="001A3D2B">
        <w:t xml:space="preserve">Language: </w:t>
      </w:r>
    </w:p>
    <w:p w:rsidR="0041253D" w:rsidRPr="001A3D2B" w:rsidRDefault="0041253D" w:rsidP="0041253D">
      <w:pPr>
        <w:pStyle w:val="12"/>
      </w:pPr>
      <w:r w:rsidRPr="001A3D2B">
        <w:t xml:space="preserve">Publisher: </w:t>
      </w:r>
    </w:p>
    <w:p w:rsidR="0041253D" w:rsidRPr="001A3D2B" w:rsidRDefault="0041253D" w:rsidP="0041253D">
      <w:pPr>
        <w:pStyle w:val="12"/>
      </w:pPr>
      <w:r w:rsidRPr="001A3D2B">
        <w:t xml:space="preserve">Publisher Address: </w:t>
      </w:r>
    </w:p>
    <w:p w:rsidR="0041253D" w:rsidRPr="001A3D2B" w:rsidRDefault="0041253D" w:rsidP="0041253D">
      <w:pPr>
        <w:pStyle w:val="12"/>
      </w:pPr>
      <w:r w:rsidRPr="001A3D2B">
        <w:t>Subject Categories:</w:t>
      </w:r>
    </w:p>
    <w:p w:rsidR="0041253D" w:rsidRPr="001A3D2B" w:rsidRDefault="0041253D" w:rsidP="0041253D">
      <w:pPr>
        <w:pStyle w:val="12"/>
      </w:pPr>
      <w:r w:rsidRPr="001A3D2B">
        <w:t xml:space="preserve">: Impact Factor </w:t>
      </w:r>
    </w:p>
    <w:p w:rsidR="0041253D" w:rsidRDefault="0041253D" w:rsidP="0041253D">
      <w:pPr>
        <w:pStyle w:val="a3"/>
        <w:rPr>
          <w:kern w:val="0"/>
          <w:szCs w:val="24"/>
        </w:rPr>
      </w:pPr>
      <w:r>
        <w:rPr>
          <w:rFonts w:hint="eastAsia"/>
          <w:kern w:val="0"/>
          <w:szCs w:val="24"/>
        </w:rPr>
        <w:t xml:space="preserve">? </w:t>
      </w:r>
      <w:r>
        <w:rPr>
          <w:kern w:val="0"/>
          <w:szCs w:val="24"/>
        </w:rPr>
        <w:t>Basboll, T. (2010), Softly constrained imagination: Plagiarism</w:t>
      </w:r>
      <w:r w:rsidR="005853A9">
        <w:rPr>
          <w:kern w:val="0"/>
          <w:szCs w:val="24"/>
        </w:rPr>
        <w:t xml:space="preserve"> and </w:t>
      </w:r>
      <w:r>
        <w:rPr>
          <w:kern w:val="0"/>
          <w:szCs w:val="24"/>
        </w:rPr>
        <w:t>misprision in</w:t>
      </w:r>
      <w:r w:rsidR="003A1917">
        <w:rPr>
          <w:kern w:val="0"/>
          <w:szCs w:val="24"/>
        </w:rPr>
        <w:t xml:space="preserve"> the </w:t>
      </w:r>
      <w:r>
        <w:rPr>
          <w:kern w:val="0"/>
          <w:szCs w:val="24"/>
        </w:rPr>
        <w:t>theory</w:t>
      </w:r>
      <w:r w:rsidR="00427468">
        <w:rPr>
          <w:kern w:val="0"/>
          <w:szCs w:val="24"/>
        </w:rPr>
        <w:t xml:space="preserve"> of </w:t>
      </w:r>
      <w:r>
        <w:rPr>
          <w:kern w:val="0"/>
          <w:szCs w:val="24"/>
        </w:rPr>
        <w:t xml:space="preserve">organizational sensemaking. </w:t>
      </w:r>
      <w:r w:rsidRPr="0041253D">
        <w:rPr>
          <w:i/>
          <w:iCs/>
          <w:kern w:val="0"/>
          <w:szCs w:val="24"/>
        </w:rPr>
        <w:t>Culture</w:t>
      </w:r>
      <w:r w:rsidR="005853A9">
        <w:rPr>
          <w:i/>
          <w:iCs/>
          <w:kern w:val="0"/>
          <w:szCs w:val="24"/>
        </w:rPr>
        <w:t xml:space="preserve"> and </w:t>
      </w:r>
      <w:r w:rsidRPr="0041253D">
        <w:rPr>
          <w:i/>
          <w:iCs/>
          <w:kern w:val="0"/>
          <w:szCs w:val="24"/>
        </w:rPr>
        <w:t>Organization</w:t>
      </w:r>
      <w:r>
        <w:rPr>
          <w:kern w:val="0"/>
          <w:szCs w:val="24"/>
        </w:rPr>
        <w:t xml:space="preserve">, </w:t>
      </w:r>
      <w:r>
        <w:rPr>
          <w:b/>
          <w:bCs/>
          <w:kern w:val="0"/>
          <w:szCs w:val="24"/>
        </w:rPr>
        <w:t>16</w:t>
      </w:r>
      <w:r>
        <w:rPr>
          <w:kern w:val="0"/>
          <w:szCs w:val="24"/>
        </w:rPr>
        <w:t xml:space="preserve"> (2), 163-178.</w:t>
      </w:r>
    </w:p>
    <w:p w:rsidR="0041253D" w:rsidRDefault="0041253D" w:rsidP="0041253D">
      <w:pPr>
        <w:pStyle w:val="a3"/>
        <w:rPr>
          <w:kern w:val="0"/>
          <w:szCs w:val="24"/>
        </w:rPr>
      </w:pPr>
      <w:r>
        <w:rPr>
          <w:kern w:val="0"/>
          <w:szCs w:val="24"/>
        </w:rPr>
        <w:t>Abstract: While Karl Weick</w:t>
      </w:r>
      <w:r w:rsidR="0071223E">
        <w:rPr>
          <w:kern w:val="0"/>
          <w:szCs w:val="24"/>
        </w:rPr>
        <w:t>’</w:t>
      </w:r>
      <w:r w:rsidR="00C13DDC">
        <w:rPr>
          <w:kern w:val="0"/>
          <w:szCs w:val="24"/>
        </w:rPr>
        <w:t>s</w:t>
      </w:r>
      <w:r>
        <w:rPr>
          <w:kern w:val="0"/>
          <w:szCs w:val="24"/>
        </w:rPr>
        <w:t xml:space="preserve"> writings have been very influential in contemporary work on organizations, his scholarship is rarely subjected to critical scrutiny. Indeed, despite its open </w:t>
      </w:r>
      <w:r w:rsidR="0071223E">
        <w:rPr>
          <w:kern w:val="0"/>
          <w:szCs w:val="24"/>
        </w:rPr>
        <w:t>‘</w:t>
      </w:r>
      <w:r>
        <w:rPr>
          <w:kern w:val="0"/>
          <w:szCs w:val="24"/>
        </w:rPr>
        <w:t>breaching</w:t>
      </w:r>
      <w:r w:rsidR="0071223E">
        <w:rPr>
          <w:kern w:val="0"/>
          <w:szCs w:val="24"/>
        </w:rPr>
        <w:t>’</w:t>
      </w:r>
      <w:r w:rsidR="00427468">
        <w:rPr>
          <w:kern w:val="0"/>
          <w:szCs w:val="24"/>
        </w:rPr>
        <w:t xml:space="preserve"> of </w:t>
      </w:r>
      <w:r w:rsidR="003A1917">
        <w:rPr>
          <w:kern w:val="0"/>
          <w:szCs w:val="24"/>
        </w:rPr>
        <w:t xml:space="preserve">the </w:t>
      </w:r>
      <w:r>
        <w:rPr>
          <w:kern w:val="0"/>
          <w:szCs w:val="24"/>
        </w:rPr>
        <w:t>conventions</w:t>
      </w:r>
      <w:r w:rsidR="00427468">
        <w:rPr>
          <w:kern w:val="0"/>
          <w:szCs w:val="24"/>
        </w:rPr>
        <w:t xml:space="preserve"> of </w:t>
      </w:r>
      <w:r>
        <w:rPr>
          <w:kern w:val="0"/>
          <w:szCs w:val="24"/>
        </w:rPr>
        <w:t>much academic writing, Weick</w:t>
      </w:r>
      <w:r w:rsidR="0071223E">
        <w:rPr>
          <w:kern w:val="0"/>
          <w:szCs w:val="24"/>
        </w:rPr>
        <w:t>’</w:t>
      </w:r>
      <w:r w:rsidR="00C13DDC">
        <w:rPr>
          <w:kern w:val="0"/>
          <w:szCs w:val="24"/>
        </w:rPr>
        <w:t>s</w:t>
      </w:r>
      <w:r>
        <w:rPr>
          <w:kern w:val="0"/>
          <w:szCs w:val="24"/>
        </w:rPr>
        <w:t xml:space="preserve"> work has been widely celebrated as </w:t>
      </w:r>
      <w:r w:rsidR="0071223E">
        <w:rPr>
          <w:kern w:val="0"/>
          <w:szCs w:val="24"/>
        </w:rPr>
        <w:t>‘</w:t>
      </w:r>
      <w:r>
        <w:rPr>
          <w:kern w:val="0"/>
          <w:szCs w:val="24"/>
        </w:rPr>
        <w:t>first-rate scholarship.</w:t>
      </w:r>
      <w:r w:rsidR="0071223E">
        <w:rPr>
          <w:kern w:val="0"/>
          <w:szCs w:val="24"/>
        </w:rPr>
        <w:t>’</w:t>
      </w:r>
      <w:r>
        <w:rPr>
          <w:kern w:val="0"/>
          <w:szCs w:val="24"/>
        </w:rPr>
        <w:t xml:space="preserve"> As it turns out, however, his </w:t>
      </w:r>
      <w:r w:rsidR="0071223E">
        <w:rPr>
          <w:kern w:val="0"/>
          <w:szCs w:val="24"/>
        </w:rPr>
        <w:t>‘</w:t>
      </w:r>
      <w:r w:rsidR="00C13DDC">
        <w:rPr>
          <w:kern w:val="0"/>
          <w:szCs w:val="24"/>
        </w:rPr>
        <w:t>s</w:t>
      </w:r>
      <w:r>
        <w:rPr>
          <w:kern w:val="0"/>
          <w:szCs w:val="24"/>
        </w:rPr>
        <w:t>oftly constrained</w:t>
      </w:r>
      <w:r w:rsidR="0071223E">
        <w:rPr>
          <w:kern w:val="0"/>
          <w:szCs w:val="24"/>
        </w:rPr>
        <w:t>’</w:t>
      </w:r>
      <w:r>
        <w:rPr>
          <w:kern w:val="0"/>
          <w:szCs w:val="24"/>
        </w:rPr>
        <w:t xml:space="preserve"> textual practices are rendered doubtful by both misreading</w:t>
      </w:r>
      <w:r w:rsidR="005853A9">
        <w:rPr>
          <w:kern w:val="0"/>
          <w:szCs w:val="24"/>
        </w:rPr>
        <w:t xml:space="preserve"> and </w:t>
      </w:r>
      <w:r>
        <w:rPr>
          <w:kern w:val="0"/>
          <w:szCs w:val="24"/>
        </w:rPr>
        <w:t xml:space="preserve">plagiarism, which makes his work resemble </w:t>
      </w:r>
      <w:r w:rsidR="0071223E">
        <w:rPr>
          <w:kern w:val="0"/>
          <w:szCs w:val="24"/>
        </w:rPr>
        <w:t>‘</w:t>
      </w:r>
      <w:r>
        <w:rPr>
          <w:kern w:val="0"/>
          <w:szCs w:val="24"/>
        </w:rPr>
        <w:t>poetry</w:t>
      </w:r>
      <w:r w:rsidR="0071223E">
        <w:rPr>
          <w:kern w:val="0"/>
          <w:szCs w:val="24"/>
        </w:rPr>
        <w:t>’</w:t>
      </w:r>
      <w:r>
        <w:rPr>
          <w:kern w:val="0"/>
          <w:szCs w:val="24"/>
        </w:rPr>
        <w:t xml:space="preserve"> in a much stronger sense than perhaps originally intended. This paper draws inspiration from literary theory to analyze three cases</w:t>
      </w:r>
      <w:r w:rsidR="00427468">
        <w:rPr>
          <w:kern w:val="0"/>
          <w:szCs w:val="24"/>
        </w:rPr>
        <w:t xml:space="preserve"> of </w:t>
      </w:r>
      <w:r>
        <w:rPr>
          <w:kern w:val="0"/>
          <w:szCs w:val="24"/>
        </w:rPr>
        <w:t>questionable scholarship in Weick</w:t>
      </w:r>
      <w:r w:rsidR="0071223E">
        <w:rPr>
          <w:kern w:val="0"/>
          <w:szCs w:val="24"/>
        </w:rPr>
        <w:t>’</w:t>
      </w:r>
      <w:r w:rsidR="00C13DDC">
        <w:rPr>
          <w:kern w:val="0"/>
          <w:szCs w:val="24"/>
        </w:rPr>
        <w:t>s</w:t>
      </w:r>
      <w:r>
        <w:rPr>
          <w:kern w:val="0"/>
          <w:szCs w:val="24"/>
        </w:rPr>
        <w:t xml:space="preserve"> 1995 book Sensemaking in organizations, framing them in</w:t>
      </w:r>
      <w:r w:rsidR="003A1917">
        <w:rPr>
          <w:kern w:val="0"/>
          <w:szCs w:val="24"/>
        </w:rPr>
        <w:t xml:space="preserve"> the </w:t>
      </w:r>
      <w:r>
        <w:rPr>
          <w:kern w:val="0"/>
          <w:szCs w:val="24"/>
        </w:rPr>
        <w:t>context</w:t>
      </w:r>
      <w:r w:rsidR="00427468">
        <w:rPr>
          <w:kern w:val="0"/>
          <w:szCs w:val="24"/>
        </w:rPr>
        <w:t xml:space="preserve"> of </w:t>
      </w:r>
      <w:r>
        <w:rPr>
          <w:kern w:val="0"/>
          <w:szCs w:val="24"/>
        </w:rPr>
        <w:t>standard formulations</w:t>
      </w:r>
      <w:r w:rsidR="00427468">
        <w:rPr>
          <w:kern w:val="0"/>
          <w:szCs w:val="24"/>
        </w:rPr>
        <w:t xml:space="preserve"> of </w:t>
      </w:r>
      <w:r w:rsidR="003A1917">
        <w:rPr>
          <w:kern w:val="0"/>
          <w:szCs w:val="24"/>
        </w:rPr>
        <w:t xml:space="preserve">the </w:t>
      </w:r>
      <w:r>
        <w:rPr>
          <w:kern w:val="0"/>
          <w:szCs w:val="24"/>
        </w:rPr>
        <w:t>methodology</w:t>
      </w:r>
      <w:r w:rsidR="00427468">
        <w:rPr>
          <w:kern w:val="0"/>
          <w:szCs w:val="24"/>
        </w:rPr>
        <w:t xml:space="preserve"> of </w:t>
      </w:r>
      <w:r>
        <w:rPr>
          <w:kern w:val="0"/>
          <w:szCs w:val="24"/>
        </w:rPr>
        <w:t>sensemaking drawn from</w:t>
      </w:r>
      <w:r w:rsidR="003A1917">
        <w:rPr>
          <w:kern w:val="0"/>
          <w:szCs w:val="24"/>
        </w:rPr>
        <w:t xml:space="preserve"> the </w:t>
      </w:r>
      <w:r>
        <w:rPr>
          <w:kern w:val="0"/>
          <w:szCs w:val="24"/>
        </w:rPr>
        <w:t>literature. It concludes that we need to rethink our tolerance</w:t>
      </w:r>
      <w:r w:rsidR="00427468">
        <w:rPr>
          <w:kern w:val="0"/>
          <w:szCs w:val="24"/>
        </w:rPr>
        <w:t xml:space="preserve"> of </w:t>
      </w:r>
      <w:r w:rsidR="003A1917">
        <w:rPr>
          <w:kern w:val="0"/>
          <w:szCs w:val="24"/>
        </w:rPr>
        <w:t xml:space="preserve">the </w:t>
      </w:r>
      <w:r>
        <w:rPr>
          <w:kern w:val="0"/>
          <w:szCs w:val="24"/>
        </w:rPr>
        <w:t>sensemaking style</w:t>
      </w:r>
      <w:r w:rsidR="005853A9">
        <w:rPr>
          <w:kern w:val="0"/>
          <w:szCs w:val="24"/>
        </w:rPr>
        <w:t xml:space="preserve"> and </w:t>
      </w:r>
      <w:r>
        <w:rPr>
          <w:kern w:val="0"/>
          <w:szCs w:val="24"/>
        </w:rPr>
        <w:t>reaffirm a commitment to more traditional academic constraints.</w:t>
      </w:r>
    </w:p>
    <w:p w:rsidR="0041253D" w:rsidRDefault="0041253D" w:rsidP="0041253D">
      <w:pPr>
        <w:pStyle w:val="a3"/>
        <w:rPr>
          <w:kern w:val="0"/>
          <w:szCs w:val="24"/>
        </w:rPr>
      </w:pPr>
      <w:r>
        <w:rPr>
          <w:kern w:val="0"/>
          <w:szCs w:val="24"/>
        </w:rPr>
        <w:t>Keywords: Anecdote</w:t>
      </w:r>
      <w:r w:rsidR="00427468">
        <w:rPr>
          <w:kern w:val="0"/>
          <w:szCs w:val="24"/>
        </w:rPr>
        <w:t xml:space="preserve"> of </w:t>
      </w:r>
      <w:r w:rsidR="003A1917">
        <w:rPr>
          <w:kern w:val="0"/>
          <w:szCs w:val="24"/>
        </w:rPr>
        <w:t xml:space="preserve">the </w:t>
      </w:r>
      <w:r>
        <w:rPr>
          <w:kern w:val="0"/>
          <w:szCs w:val="24"/>
        </w:rPr>
        <w:t>Map, Battered Child Syndrome, Disaster, Interpretation, Literature, Methodology, Plagiarism, Poetry, Sensemaking, Style As Theory, Weick,</w:t>
      </w:r>
      <w:r>
        <w:rPr>
          <w:rFonts w:hint="eastAsia"/>
          <w:kern w:val="0"/>
          <w:szCs w:val="24"/>
        </w:rPr>
        <w:t xml:space="preserve"> </w:t>
      </w:r>
      <w:r>
        <w:rPr>
          <w:kern w:val="0"/>
          <w:szCs w:val="24"/>
        </w:rPr>
        <w:t>Karl, Writing</w:t>
      </w:r>
    </w:p>
    <w:p w:rsidR="00270256" w:rsidRDefault="00270256" w:rsidP="00270256">
      <w:pPr>
        <w:pStyle w:val="a3"/>
        <w:rPr>
          <w:kern w:val="0"/>
        </w:rPr>
      </w:pPr>
      <w:r>
        <w:rPr>
          <w:rFonts w:hint="eastAsia"/>
          <w:kern w:val="0"/>
        </w:rPr>
        <w:t xml:space="preserve">? </w:t>
      </w:r>
      <w:r>
        <w:rPr>
          <w:kern w:val="0"/>
        </w:rPr>
        <w:t xml:space="preserve">Cullen, J.G. (2014), Towards an organisational suicidology. </w:t>
      </w:r>
      <w:r>
        <w:rPr>
          <w:i/>
          <w:iCs/>
          <w:kern w:val="0"/>
        </w:rPr>
        <w:t>Culture</w:t>
      </w:r>
      <w:r w:rsidR="005853A9">
        <w:rPr>
          <w:i/>
          <w:iCs/>
          <w:kern w:val="0"/>
        </w:rPr>
        <w:t xml:space="preserve"> and </w:t>
      </w:r>
      <w:r>
        <w:rPr>
          <w:i/>
          <w:iCs/>
          <w:kern w:val="0"/>
        </w:rPr>
        <w:t>Organization</w:t>
      </w:r>
      <w:r>
        <w:rPr>
          <w:kern w:val="0"/>
        </w:rPr>
        <w:t xml:space="preserve">, </w:t>
      </w:r>
      <w:r>
        <w:rPr>
          <w:b/>
          <w:bCs/>
          <w:kern w:val="0"/>
        </w:rPr>
        <w:t>20</w:t>
      </w:r>
      <w:r>
        <w:rPr>
          <w:kern w:val="0"/>
        </w:rPr>
        <w:t xml:space="preserve"> (1), 40-52.</w:t>
      </w:r>
    </w:p>
    <w:p w:rsidR="00270256" w:rsidRDefault="00270256" w:rsidP="00270256">
      <w:pPr>
        <w:pStyle w:val="a3"/>
        <w:rPr>
          <w:kern w:val="0"/>
        </w:rPr>
      </w:pPr>
      <w:r>
        <w:rPr>
          <w:rFonts w:hint="eastAsia"/>
          <w:kern w:val="0"/>
        </w:rPr>
        <w:t xml:space="preserve">Full Text: </w:t>
      </w:r>
      <w:hyperlink r:id="rId1097" w:history="1">
        <w:r w:rsidRPr="00A63A60">
          <w:rPr>
            <w:rStyle w:val="a5"/>
            <w:kern w:val="0"/>
          </w:rPr>
          <w:t>2014\Cul Org20, 40.pdf</w:t>
        </w:r>
      </w:hyperlink>
    </w:p>
    <w:p w:rsidR="00270256" w:rsidRDefault="00270256" w:rsidP="00270256">
      <w:pPr>
        <w:pStyle w:val="a3"/>
        <w:rPr>
          <w:kern w:val="0"/>
        </w:rPr>
      </w:pPr>
      <w:r>
        <w:rPr>
          <w:kern w:val="0"/>
        </w:rPr>
        <w:t>Abstract: Suicide is often presented in contemporary popular discourse as an individualistic act</w:t>
      </w:r>
      <w:r w:rsidR="00427468">
        <w:rPr>
          <w:kern w:val="0"/>
        </w:rPr>
        <w:t xml:space="preserve"> of </w:t>
      </w:r>
      <w:r>
        <w:rPr>
          <w:kern w:val="0"/>
        </w:rPr>
        <w:t>self-destruction, but when academic sociology emerged as a discipline in the nineteenth century, it was initially studied as a cultural phenomenon. Contemporary studies</w:t>
      </w:r>
      <w:r w:rsidR="00427468">
        <w:rPr>
          <w:kern w:val="0"/>
        </w:rPr>
        <w:t xml:space="preserve"> of </w:t>
      </w:r>
      <w:r>
        <w:rPr>
          <w:kern w:val="0"/>
        </w:rPr>
        <w:t>suicide in the context</w:t>
      </w:r>
      <w:r w:rsidR="00427468">
        <w:rPr>
          <w:kern w:val="0"/>
        </w:rPr>
        <w:t xml:space="preserve"> of </w:t>
      </w:r>
      <w:r>
        <w:rPr>
          <w:kern w:val="0"/>
        </w:rPr>
        <w:t>organised work, however, have taken a psychologistic turn</w:t>
      </w:r>
      <w:r w:rsidR="005853A9">
        <w:rPr>
          <w:kern w:val="0"/>
        </w:rPr>
        <w:t xml:space="preserve"> and </w:t>
      </w:r>
      <w:r>
        <w:rPr>
          <w:kern w:val="0"/>
        </w:rPr>
        <w:t>increasingly disregard the tradition</w:t>
      </w:r>
      <w:r w:rsidR="00427468">
        <w:rPr>
          <w:kern w:val="0"/>
        </w:rPr>
        <w:t xml:space="preserve"> of </w:t>
      </w:r>
      <w:r>
        <w:rPr>
          <w:kern w:val="0"/>
        </w:rPr>
        <w:t xml:space="preserve">studying </w:t>
      </w:r>
      <w:r>
        <w:rPr>
          <w:kern w:val="0"/>
        </w:rPr>
        <w:lastRenderedPageBreak/>
        <w:t>suicide from cultural perspectives. A culturally informed organisational suicidology has the potential to provide new understandings</w:t>
      </w:r>
      <w:r w:rsidR="00427468">
        <w:rPr>
          <w:kern w:val="0"/>
        </w:rPr>
        <w:t xml:space="preserve"> of </w:t>
      </w:r>
      <w:r>
        <w:rPr>
          <w:kern w:val="0"/>
        </w:rPr>
        <w:t>how people relate to organisations</w:t>
      </w:r>
      <w:r w:rsidR="005853A9">
        <w:rPr>
          <w:kern w:val="0"/>
        </w:rPr>
        <w:t xml:space="preserve"> and </w:t>
      </w:r>
      <w:r>
        <w:rPr>
          <w:kern w:val="0"/>
        </w:rPr>
        <w:t>work in contemporary societies, as well as providing resources to assist individuals affected by this issue. This article utilises a bibliometric analysis to inform how the research literature has treated suicide as an organisational phenomenon. A definition</w:t>
      </w:r>
      <w:r w:rsidR="00427468">
        <w:rPr>
          <w:kern w:val="0"/>
        </w:rPr>
        <w:t xml:space="preserve"> of </w:t>
      </w:r>
      <w:r>
        <w:rPr>
          <w:kern w:val="0"/>
        </w:rPr>
        <w:t>organisational suicidology is proposed</w:t>
      </w:r>
      <w:r w:rsidR="005853A9">
        <w:rPr>
          <w:kern w:val="0"/>
        </w:rPr>
        <w:t xml:space="preserve"> and </w:t>
      </w:r>
      <w:r>
        <w:rPr>
          <w:kern w:val="0"/>
        </w:rPr>
        <w:t>future research is suggested with a view to assisting the development</w:t>
      </w:r>
      <w:r w:rsidR="00427468">
        <w:rPr>
          <w:kern w:val="0"/>
        </w:rPr>
        <w:t xml:space="preserve"> of </w:t>
      </w:r>
      <w:r>
        <w:rPr>
          <w:kern w:val="0"/>
        </w:rPr>
        <w:t>the field.</w:t>
      </w:r>
    </w:p>
    <w:p w:rsidR="00270256" w:rsidRDefault="00270256" w:rsidP="00270256">
      <w:pPr>
        <w:pStyle w:val="a3"/>
        <w:rPr>
          <w:kern w:val="0"/>
        </w:rPr>
      </w:pPr>
      <w:r>
        <w:rPr>
          <w:kern w:val="0"/>
        </w:rPr>
        <w:t>Keywords: Analysis, Article, Bibliometric, Bibliometric Analysis, Business, Context, Cultural, Culture, Death, Depressive Symptoms, Development, Discourse, Economics, England, Environment, Experience, Field, Health, Impact, Ireland, Journals, Literature, Management Development, Nineteenth Century, Occupation, Organ, Organisational Suicidology, Park, Potential, Research, Resources, Si, Sociology, Stress, Suicide, Unemployment, Work, Work Organization</w:t>
      </w:r>
    </w:p>
    <w:p w:rsidR="003474F2" w:rsidRPr="001A3D2B" w:rsidRDefault="003474F2" w:rsidP="003474F2">
      <w:pPr>
        <w:pStyle w:val="1"/>
      </w:pPr>
      <w:r w:rsidRPr="001A3D2B">
        <w:br w:type="page"/>
      </w:r>
      <w:bookmarkStart w:id="451" w:name="_Toc420815146"/>
      <w:r w:rsidRPr="001A3D2B">
        <w:lastRenderedPageBreak/>
        <w:t xml:space="preserve">Title: </w:t>
      </w:r>
      <w:r w:rsidRPr="001A3D2B">
        <w:rPr>
          <w:iCs w:val="0"/>
          <w:szCs w:val="24"/>
        </w:rPr>
        <w:t>Current Comments</w:t>
      </w:r>
      <w:bookmarkEnd w:id="451"/>
    </w:p>
    <w:p w:rsidR="003474F2" w:rsidRPr="001A3D2B" w:rsidRDefault="003474F2" w:rsidP="003474F2">
      <w:pPr>
        <w:pStyle w:val="12"/>
      </w:pPr>
      <w:r w:rsidRPr="001A3D2B">
        <w:t>Full Journal Title: Current Comments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Garfield, E. (1990</w:t>
      </w:r>
      <w:r w:rsidR="00F42EAC">
        <w:t>), The</w:t>
      </w:r>
      <w:r w:rsidR="003A1917">
        <w:t xml:space="preserve"> </w:t>
      </w:r>
      <w:r w:rsidRPr="001A3D2B">
        <w:t>most cited physical sciences publications in</w:t>
      </w:r>
      <w:r w:rsidR="003A1917">
        <w:t xml:space="preserve"> the </w:t>
      </w:r>
      <w:r w:rsidRPr="001A3D2B">
        <w:t>1945-1954 Science Citation Index. 1. 52 Citation classics in physics</w:t>
      </w:r>
      <w:r w:rsidR="005853A9">
        <w:t xml:space="preserve"> and </w:t>
      </w:r>
      <w:r w:rsidRPr="001A3D2B">
        <w:t xml:space="preserve">chemistry. </w:t>
      </w:r>
      <w:r w:rsidRPr="001A3D2B">
        <w:rPr>
          <w:i/>
          <w:iCs/>
        </w:rPr>
        <w:t>Current Comments</w:t>
      </w:r>
      <w:r w:rsidRPr="001A3D2B">
        <w:t xml:space="preserve">, </w:t>
      </w:r>
      <w:r w:rsidRPr="001A3D2B">
        <w:rPr>
          <w:b/>
          <w:bCs/>
        </w:rPr>
        <w:t>20</w:t>
      </w:r>
      <w:r w:rsidRPr="001A3D2B">
        <w:t>, 3-??.</w:t>
      </w:r>
    </w:p>
    <w:p w:rsidR="003474F2" w:rsidRPr="001A3D2B" w:rsidRDefault="003474F2" w:rsidP="003474F2">
      <w:pPr>
        <w:pStyle w:val="a3"/>
      </w:pPr>
      <w:r w:rsidRPr="001A3D2B">
        <w:t>Keywords: Chemistry, Citation, Science Citation Index</w:t>
      </w:r>
    </w:p>
    <w:p w:rsidR="003474F2" w:rsidRPr="001A3D2B" w:rsidRDefault="003474F2" w:rsidP="003474F2">
      <w:pPr>
        <w:pStyle w:val="a3"/>
      </w:pPr>
      <w:r w:rsidRPr="001A3D2B">
        <w:t>? Garfield, E. (1990</w:t>
      </w:r>
      <w:r w:rsidR="00F42EAC">
        <w:t>), The</w:t>
      </w:r>
      <w:r w:rsidR="003A1917">
        <w:t xml:space="preserve"> </w:t>
      </w:r>
      <w:r w:rsidRPr="001A3D2B">
        <w:t>Russian are coming. 2</w:t>
      </w:r>
      <w:r w:rsidR="00A37C1D">
        <w:t>. The</w:t>
      </w:r>
      <w:r w:rsidR="003A1917">
        <w:t xml:space="preserve"> </w:t>
      </w:r>
      <w:r w:rsidRPr="001A3D2B">
        <w:t>top 50 Soviet papers most cited in</w:t>
      </w:r>
      <w:r w:rsidR="003A1917">
        <w:t xml:space="preserve"> the </w:t>
      </w:r>
      <w:r w:rsidRPr="001A3D2B">
        <w:t>1973-1988 Science Citation Index</w:t>
      </w:r>
      <w:r w:rsidR="005853A9">
        <w:t xml:space="preserve"> and </w:t>
      </w:r>
      <w:r w:rsidRPr="001A3D2B">
        <w:t xml:space="preserve">a look at 1988 research fronts. </w:t>
      </w:r>
      <w:r w:rsidRPr="001A3D2B">
        <w:rPr>
          <w:i/>
          <w:iCs/>
        </w:rPr>
        <w:t>Current Comments</w:t>
      </w:r>
      <w:r w:rsidRPr="001A3D2B">
        <w:t xml:space="preserve">, </w:t>
      </w:r>
      <w:r w:rsidRPr="001A3D2B">
        <w:rPr>
          <w:b/>
          <w:bCs/>
        </w:rPr>
        <w:t>25</w:t>
      </w:r>
      <w:r w:rsidRPr="001A3D2B">
        <w:t>, 3-??.</w:t>
      </w:r>
    </w:p>
    <w:p w:rsidR="003474F2" w:rsidRPr="001A3D2B" w:rsidRDefault="003474F2" w:rsidP="003474F2">
      <w:pPr>
        <w:pStyle w:val="a3"/>
      </w:pPr>
      <w:r w:rsidRPr="001A3D2B">
        <w:t>Keywords: Jun, Russian, Science Citation Index, Soviet</w:t>
      </w:r>
    </w:p>
    <w:p w:rsidR="00675518" w:rsidRDefault="00675518" w:rsidP="00675518">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most-cited papers</w:t>
      </w:r>
      <w:r w:rsidR="00427468">
        <w:rPr>
          <w:kern w:val="0"/>
        </w:rPr>
        <w:t xml:space="preserve"> of </w:t>
      </w:r>
      <w:r>
        <w:rPr>
          <w:kern w:val="0"/>
        </w:rPr>
        <w:t>all time, SCI 1945-1988.</w:t>
      </w:r>
      <w:r>
        <w:rPr>
          <w:rFonts w:hint="eastAsia"/>
          <w:kern w:val="0"/>
        </w:rPr>
        <w:t xml:space="preserve"> </w:t>
      </w:r>
      <w:r>
        <w:rPr>
          <w:kern w:val="0"/>
        </w:rPr>
        <w:t>2</w:t>
      </w:r>
      <w:r w:rsidR="00A37C1D">
        <w:rPr>
          <w:kern w:val="0"/>
        </w:rPr>
        <w:t>. The</w:t>
      </w:r>
      <w:r w:rsidR="003A1917">
        <w:rPr>
          <w:kern w:val="0"/>
        </w:rPr>
        <w:t xml:space="preserve"> </w:t>
      </w:r>
      <w:r>
        <w:rPr>
          <w:kern w:val="0"/>
        </w:rPr>
        <w:t>2</w:t>
      </w:r>
      <w:r>
        <w:rPr>
          <w:rFonts w:hint="eastAsia"/>
          <w:kern w:val="0"/>
        </w:rPr>
        <w:t>n</w:t>
      </w:r>
      <w:r>
        <w:rPr>
          <w:kern w:val="0"/>
        </w:rPr>
        <w:t xml:space="preserve">d 100 citation-classics. </w:t>
      </w:r>
      <w:r>
        <w:rPr>
          <w:i/>
          <w:iCs/>
          <w:kern w:val="0"/>
        </w:rPr>
        <w:t>Current Comments</w:t>
      </w:r>
      <w:r>
        <w:rPr>
          <w:kern w:val="0"/>
        </w:rPr>
        <w:t xml:space="preserve">, </w:t>
      </w:r>
      <w:r w:rsidRPr="00AF7567">
        <w:rPr>
          <w:b/>
          <w:kern w:val="0"/>
        </w:rPr>
        <w:t>26</w:t>
      </w:r>
      <w:r>
        <w:rPr>
          <w:kern w:val="0"/>
        </w:rPr>
        <w:t>, 3-</w:t>
      </w:r>
      <w:r>
        <w:rPr>
          <w:rFonts w:hint="eastAsia"/>
          <w:kern w:val="0"/>
        </w:rPr>
        <w:t>??.</w:t>
      </w:r>
    </w:p>
    <w:p w:rsidR="00675518" w:rsidRDefault="00675518" w:rsidP="00675518">
      <w:pPr>
        <w:pStyle w:val="a3"/>
        <w:rPr>
          <w:kern w:val="0"/>
        </w:rPr>
      </w:pPr>
      <w:r>
        <w:rPr>
          <w:kern w:val="0"/>
        </w:rPr>
        <w:t>Keywords: Time</w:t>
      </w:r>
    </w:p>
    <w:p w:rsidR="00270256" w:rsidRPr="001A3D2B" w:rsidRDefault="00270256" w:rsidP="00270256">
      <w:pPr>
        <w:pStyle w:val="1"/>
      </w:pPr>
      <w:r w:rsidRPr="001A3D2B">
        <w:br w:type="page"/>
      </w:r>
      <w:bookmarkStart w:id="452" w:name="_Toc420815147"/>
      <w:r w:rsidRPr="001A3D2B">
        <w:lastRenderedPageBreak/>
        <w:t xml:space="preserve">Title: </w:t>
      </w:r>
      <w:r w:rsidRPr="00270256">
        <w:t>Current Computer-Aided Drug Design</w:t>
      </w:r>
      <w:bookmarkEnd w:id="452"/>
    </w:p>
    <w:p w:rsidR="00270256" w:rsidRPr="001A3D2B" w:rsidRDefault="00270256" w:rsidP="00270256">
      <w:pPr>
        <w:pStyle w:val="12"/>
      </w:pPr>
      <w:r w:rsidRPr="001A3D2B">
        <w:t xml:space="preserve">Full Journal Title: </w:t>
      </w:r>
      <w:r w:rsidRPr="00270256">
        <w:rPr>
          <w:iCs/>
          <w:kern w:val="0"/>
        </w:rPr>
        <w:t>Current Computer-Aided Drug Design</w:t>
      </w:r>
    </w:p>
    <w:p w:rsidR="00270256" w:rsidRPr="001A3D2B" w:rsidRDefault="00270256" w:rsidP="00270256">
      <w:pPr>
        <w:pStyle w:val="12"/>
      </w:pPr>
      <w:r w:rsidRPr="001A3D2B">
        <w:t xml:space="preserve">ISO Abbreviated Title: </w:t>
      </w:r>
    </w:p>
    <w:p w:rsidR="00270256" w:rsidRPr="001A3D2B" w:rsidRDefault="00270256" w:rsidP="00270256">
      <w:pPr>
        <w:pStyle w:val="12"/>
      </w:pPr>
      <w:r w:rsidRPr="001A3D2B">
        <w:t xml:space="preserve">JCR Abbreviated Title: </w:t>
      </w:r>
    </w:p>
    <w:p w:rsidR="00270256" w:rsidRPr="001A3D2B" w:rsidRDefault="00270256" w:rsidP="00270256">
      <w:pPr>
        <w:pStyle w:val="12"/>
      </w:pPr>
      <w:r w:rsidRPr="001A3D2B">
        <w:t xml:space="preserve">ISSN: </w:t>
      </w:r>
    </w:p>
    <w:p w:rsidR="00270256" w:rsidRPr="001A3D2B" w:rsidRDefault="00270256" w:rsidP="00270256">
      <w:pPr>
        <w:pStyle w:val="12"/>
      </w:pPr>
      <w:r w:rsidRPr="001A3D2B">
        <w:t xml:space="preserve">Issues/Year: </w:t>
      </w:r>
    </w:p>
    <w:p w:rsidR="00270256" w:rsidRPr="001A3D2B" w:rsidRDefault="00270256" w:rsidP="00270256">
      <w:pPr>
        <w:pStyle w:val="12"/>
      </w:pPr>
      <w:r w:rsidRPr="001A3D2B">
        <w:t xml:space="preserve">Journal Country/Territory: </w:t>
      </w:r>
    </w:p>
    <w:p w:rsidR="00270256" w:rsidRPr="001A3D2B" w:rsidRDefault="00270256" w:rsidP="00270256">
      <w:pPr>
        <w:pStyle w:val="12"/>
      </w:pPr>
      <w:r w:rsidRPr="001A3D2B">
        <w:t xml:space="preserve">Language: </w:t>
      </w:r>
    </w:p>
    <w:p w:rsidR="00270256" w:rsidRPr="001A3D2B" w:rsidRDefault="00270256" w:rsidP="00270256">
      <w:pPr>
        <w:pStyle w:val="12"/>
      </w:pPr>
      <w:r w:rsidRPr="001A3D2B">
        <w:t xml:space="preserve">Publisher: </w:t>
      </w:r>
    </w:p>
    <w:p w:rsidR="00270256" w:rsidRPr="001A3D2B" w:rsidRDefault="00270256" w:rsidP="00270256">
      <w:pPr>
        <w:pStyle w:val="12"/>
      </w:pPr>
      <w:r w:rsidRPr="001A3D2B">
        <w:t xml:space="preserve">Publisher Address: </w:t>
      </w:r>
    </w:p>
    <w:p w:rsidR="00270256" w:rsidRPr="001A3D2B" w:rsidRDefault="00270256" w:rsidP="00270256">
      <w:pPr>
        <w:pStyle w:val="12"/>
      </w:pPr>
      <w:r w:rsidRPr="001A3D2B">
        <w:t>Subject Categories:</w:t>
      </w:r>
    </w:p>
    <w:p w:rsidR="00270256" w:rsidRPr="001A3D2B" w:rsidRDefault="00270256" w:rsidP="00270256">
      <w:pPr>
        <w:pStyle w:val="12"/>
      </w:pPr>
      <w:r w:rsidRPr="001A3D2B">
        <w:t xml:space="preserve">: Impact Factor </w:t>
      </w:r>
    </w:p>
    <w:p w:rsidR="00270256" w:rsidRDefault="00270256" w:rsidP="00270256">
      <w:pPr>
        <w:pStyle w:val="a3"/>
        <w:rPr>
          <w:kern w:val="0"/>
        </w:rPr>
      </w:pPr>
      <w:r>
        <w:rPr>
          <w:rFonts w:hint="eastAsia"/>
          <w:kern w:val="0"/>
        </w:rPr>
        <w:t xml:space="preserve">? </w:t>
      </w:r>
      <w:r>
        <w:rPr>
          <w:kern w:val="0"/>
        </w:rPr>
        <w:t>Restrepo, G., Llanos, E.J.</w:t>
      </w:r>
      <w:r w:rsidR="005853A9">
        <w:rPr>
          <w:kern w:val="0"/>
        </w:rPr>
        <w:t xml:space="preserve"> and </w:t>
      </w:r>
      <w:r>
        <w:rPr>
          <w:kern w:val="0"/>
        </w:rPr>
        <w:t>Silva, A.E. (2013), Lemont B. Kier: A bibliometric exploration</w:t>
      </w:r>
      <w:r w:rsidR="00427468">
        <w:rPr>
          <w:kern w:val="0"/>
        </w:rPr>
        <w:t xml:space="preserve"> of </w:t>
      </w:r>
      <w:r>
        <w:rPr>
          <w:kern w:val="0"/>
        </w:rPr>
        <w:t>his scientific production</w:t>
      </w:r>
      <w:r w:rsidR="005853A9">
        <w:rPr>
          <w:kern w:val="0"/>
        </w:rPr>
        <w:t xml:space="preserve"> and </w:t>
      </w:r>
      <w:r>
        <w:rPr>
          <w:kern w:val="0"/>
        </w:rPr>
        <w:t xml:space="preserve">its use. </w:t>
      </w:r>
      <w:r w:rsidRPr="00270256">
        <w:rPr>
          <w:i/>
          <w:iCs/>
          <w:kern w:val="0"/>
        </w:rPr>
        <w:t>Current Computer-Aided Drug Design</w:t>
      </w:r>
      <w:r>
        <w:rPr>
          <w:kern w:val="0"/>
        </w:rPr>
        <w:t xml:space="preserve">, </w:t>
      </w:r>
      <w:r>
        <w:rPr>
          <w:b/>
          <w:bCs/>
          <w:kern w:val="0"/>
        </w:rPr>
        <w:t>9</w:t>
      </w:r>
      <w:r>
        <w:rPr>
          <w:kern w:val="0"/>
        </w:rPr>
        <w:t xml:space="preserve"> (4), 491-505.</w:t>
      </w:r>
    </w:p>
    <w:p w:rsidR="00270256" w:rsidRDefault="00270256" w:rsidP="00270256">
      <w:pPr>
        <w:pStyle w:val="a3"/>
        <w:rPr>
          <w:kern w:val="0"/>
        </w:rPr>
      </w:pPr>
      <w:r>
        <w:rPr>
          <w:rFonts w:hint="eastAsia"/>
          <w:kern w:val="0"/>
        </w:rPr>
        <w:t>Full Text: 2013\</w:t>
      </w:r>
      <w:r w:rsidRPr="005C5A19">
        <w:rPr>
          <w:iCs/>
          <w:kern w:val="0"/>
        </w:rPr>
        <w:t>Cu</w:t>
      </w:r>
      <w:r>
        <w:rPr>
          <w:iCs/>
          <w:kern w:val="0"/>
        </w:rPr>
        <w:t>r Com-Aid Dru Des</w:t>
      </w:r>
      <w:r w:rsidRPr="005C5A19">
        <w:rPr>
          <w:bCs/>
          <w:kern w:val="0"/>
        </w:rPr>
        <w:t>9</w:t>
      </w:r>
      <w:r>
        <w:rPr>
          <w:kern w:val="0"/>
        </w:rPr>
        <w:t>, 491</w:t>
      </w:r>
      <w:r>
        <w:rPr>
          <w:rFonts w:hint="eastAsia"/>
          <w:kern w:val="0"/>
        </w:rPr>
        <w:t>.pdf</w:t>
      </w:r>
    </w:p>
    <w:p w:rsidR="00270256" w:rsidRDefault="00270256" w:rsidP="00270256">
      <w:pPr>
        <w:pStyle w:val="a3"/>
        <w:rPr>
          <w:kern w:val="0"/>
        </w:rPr>
      </w:pPr>
      <w:r>
        <w:rPr>
          <w:kern w:val="0"/>
        </w:rPr>
        <w:t>Abstract: We thought an appropriate way to celebrate the seminal contribution</w:t>
      </w:r>
      <w:r w:rsidR="00427468">
        <w:rPr>
          <w:kern w:val="0"/>
        </w:rPr>
        <w:t xml:space="preserve"> of </w:t>
      </w:r>
      <w:r>
        <w:rPr>
          <w:kern w:val="0"/>
        </w:rPr>
        <w:t>Kier is to explore his influence on science, looking for the impact</w:t>
      </w:r>
      <w:r w:rsidR="00427468">
        <w:rPr>
          <w:kern w:val="0"/>
        </w:rPr>
        <w:t xml:space="preserve"> of </w:t>
      </w:r>
      <w:r>
        <w:rPr>
          <w:kern w:val="0"/>
        </w:rPr>
        <w:t>his research through the citation</w:t>
      </w:r>
      <w:r w:rsidR="00427468">
        <w:rPr>
          <w:kern w:val="0"/>
        </w:rPr>
        <w:t xml:space="preserve"> of </w:t>
      </w:r>
      <w:r>
        <w:rPr>
          <w:kern w:val="0"/>
        </w:rPr>
        <w:t>his scientific production. From a bibliometric approach the impact</w:t>
      </w:r>
      <w:r w:rsidR="00427468">
        <w:rPr>
          <w:kern w:val="0"/>
        </w:rPr>
        <w:t xml:space="preserve"> of </w:t>
      </w:r>
      <w:r>
        <w:rPr>
          <w:kern w:val="0"/>
        </w:rPr>
        <w:t>Kier</w:t>
      </w:r>
      <w:r w:rsidR="0071223E">
        <w:rPr>
          <w:kern w:val="0"/>
        </w:rPr>
        <w:t>’</w:t>
      </w:r>
      <w:r>
        <w:rPr>
          <w:kern w:val="0"/>
        </w:rPr>
        <w:t>s work is addressed as an individual within a community. Reviewing data from his curriculum vitae, as well as from the ISI Web</w:t>
      </w:r>
      <w:r w:rsidR="00427468">
        <w:rPr>
          <w:kern w:val="0"/>
        </w:rPr>
        <w:t xml:space="preserve"> of </w:t>
      </w:r>
      <w:r>
        <w:rPr>
          <w:kern w:val="0"/>
        </w:rPr>
        <w:t>Knowledge (ISI), his role within the scientific community is established</w:t>
      </w:r>
      <w:r w:rsidR="005853A9">
        <w:rPr>
          <w:kern w:val="0"/>
        </w:rPr>
        <w:t xml:space="preserve"> and </w:t>
      </w:r>
      <w:r>
        <w:rPr>
          <w:kern w:val="0"/>
        </w:rPr>
        <w:t>the way his scientific results circulate is studied. His curriculum vitae is explored emphasising the approaches he used in his research activities</w:t>
      </w:r>
      <w:r w:rsidR="005853A9">
        <w:rPr>
          <w:kern w:val="0"/>
        </w:rPr>
        <w:t xml:space="preserve"> and </w:t>
      </w:r>
      <w:r>
        <w:rPr>
          <w:kern w:val="0"/>
        </w:rPr>
        <w:t>the social ties with other actors</w:t>
      </w:r>
      <w:r w:rsidR="00427468">
        <w:rPr>
          <w:kern w:val="0"/>
        </w:rPr>
        <w:t xml:space="preserve"> of </w:t>
      </w:r>
      <w:r>
        <w:rPr>
          <w:kern w:val="0"/>
        </w:rPr>
        <w:t>the community</w:t>
      </w:r>
      <w:r w:rsidR="00A37C1D">
        <w:rPr>
          <w:kern w:val="0"/>
        </w:rPr>
        <w:t>. The</w:t>
      </w:r>
      <w:r>
        <w:rPr>
          <w:kern w:val="0"/>
        </w:rPr>
        <w:t xml:space="preserve"> circulation</w:t>
      </w:r>
      <w:r w:rsidR="00427468">
        <w:rPr>
          <w:kern w:val="0"/>
        </w:rPr>
        <w:t xml:space="preserve"> of </w:t>
      </w:r>
      <w:r>
        <w:rPr>
          <w:kern w:val="0"/>
        </w:rPr>
        <w:t>Kier</w:t>
      </w:r>
      <w:r w:rsidR="0071223E">
        <w:rPr>
          <w:kern w:val="0"/>
        </w:rPr>
        <w:t>’</w:t>
      </w:r>
      <w:r>
        <w:rPr>
          <w:kern w:val="0"/>
        </w:rPr>
        <w:t>s publications in the ISI is studied as a means for spreading</w:t>
      </w:r>
      <w:r w:rsidR="005853A9">
        <w:rPr>
          <w:kern w:val="0"/>
        </w:rPr>
        <w:t xml:space="preserve"> and </w:t>
      </w:r>
      <w:r>
        <w:rPr>
          <w:kern w:val="0"/>
        </w:rPr>
        <w:t>installing his discourse within the community</w:t>
      </w:r>
      <w:r w:rsidR="00A37C1D">
        <w:rPr>
          <w:kern w:val="0"/>
        </w:rPr>
        <w:t>. The</w:t>
      </w:r>
      <w:r>
        <w:rPr>
          <w:kern w:val="0"/>
        </w:rPr>
        <w:t xml:space="preserve"> citation patterns found not only show the usage</w:t>
      </w:r>
      <w:r w:rsidR="00427468">
        <w:rPr>
          <w:kern w:val="0"/>
        </w:rPr>
        <w:t xml:space="preserve"> of </w:t>
      </w:r>
      <w:r>
        <w:rPr>
          <w:kern w:val="0"/>
        </w:rPr>
        <w:t>Kier</w:t>
      </w:r>
      <w:r w:rsidR="0071223E">
        <w:rPr>
          <w:kern w:val="0"/>
        </w:rPr>
        <w:t>’</w:t>
      </w:r>
      <w:r>
        <w:rPr>
          <w:kern w:val="0"/>
        </w:rPr>
        <w:t>s scientific results, but also open the possibility to identify some characteristics</w:t>
      </w:r>
      <w:r w:rsidR="00427468">
        <w:rPr>
          <w:kern w:val="0"/>
        </w:rPr>
        <w:t xml:space="preserve"> of </w:t>
      </w:r>
      <w:r>
        <w:rPr>
          <w:kern w:val="0"/>
        </w:rPr>
        <w:t>this discursive community, such as a common vocabulary</w:t>
      </w:r>
      <w:r w:rsidR="005853A9">
        <w:rPr>
          <w:kern w:val="0"/>
        </w:rPr>
        <w:t xml:space="preserve"> and </w:t>
      </w:r>
      <w:r>
        <w:rPr>
          <w:kern w:val="0"/>
        </w:rPr>
        <w:t>common research goals</w:t>
      </w:r>
      <w:r w:rsidR="00A37C1D">
        <w:rPr>
          <w:kern w:val="0"/>
        </w:rPr>
        <w:t>. The</w:t>
      </w:r>
      <w:r>
        <w:rPr>
          <w:kern w:val="0"/>
        </w:rPr>
        <w:t xml:space="preserve"> results show an interdisciplinary research work that consolidates a scientific community on the topic</w:t>
      </w:r>
      <w:r w:rsidR="00427468">
        <w:rPr>
          <w:kern w:val="0"/>
        </w:rPr>
        <w:t xml:space="preserve"> of </w:t>
      </w:r>
      <w:r>
        <w:rPr>
          <w:kern w:val="0"/>
        </w:rPr>
        <w:t>drug discovery.</w:t>
      </w:r>
    </w:p>
    <w:p w:rsidR="00270256" w:rsidRDefault="00270256" w:rsidP="00270256">
      <w:pPr>
        <w:pStyle w:val="a3"/>
        <w:rPr>
          <w:kern w:val="0"/>
        </w:rPr>
      </w:pPr>
      <w:r>
        <w:rPr>
          <w:kern w:val="0"/>
        </w:rPr>
        <w:t>Keywords: Approach, Article, Bibliometric, Bibliometrics, Characteristics, Chemistry, Citation, Citation Patterns, Colombia, Community, Computer Science, Curriculum, Data, Discourse, Discourse Community, Discovery, Drug, Drug Design, Drug Discovery, Impact, Influence, Interdisciplinary, Interdisciplinary Research, Isi, Knowledge, Lemont B.Kier, Molecular Connectivity, Open, Pharmacy, Production, Publications, Research, Research Work, Role, Science, Scientific Community, Scientific Production, Social, Topic, Topological Descriptors, U, Web</w:t>
      </w:r>
      <w:r w:rsidR="00427468">
        <w:rPr>
          <w:kern w:val="0"/>
        </w:rPr>
        <w:t xml:space="preserve"> of </w:t>
      </w:r>
      <w:r>
        <w:rPr>
          <w:kern w:val="0"/>
        </w:rPr>
        <w:t xml:space="preserve">Knowledge, </w:t>
      </w:r>
      <w:r>
        <w:rPr>
          <w:kern w:val="0"/>
        </w:rPr>
        <w:lastRenderedPageBreak/>
        <w:t>Work, Zone</w:t>
      </w:r>
    </w:p>
    <w:p w:rsidR="003474F2" w:rsidRPr="001A3D2B" w:rsidRDefault="003474F2" w:rsidP="003474F2">
      <w:pPr>
        <w:pStyle w:val="1"/>
      </w:pPr>
      <w:r w:rsidRPr="001A3D2B">
        <w:br w:type="page"/>
      </w:r>
      <w:bookmarkStart w:id="453" w:name="_Toc420815148"/>
      <w:r w:rsidRPr="001A3D2B">
        <w:lastRenderedPageBreak/>
        <w:t>Title: Current Contents</w:t>
      </w:r>
      <w:bookmarkEnd w:id="453"/>
    </w:p>
    <w:p w:rsidR="003474F2" w:rsidRPr="001A3D2B" w:rsidRDefault="003474F2" w:rsidP="003474F2">
      <w:pPr>
        <w:pStyle w:val="12"/>
      </w:pPr>
      <w:r w:rsidRPr="001A3D2B">
        <w:t>Full Journal Title: Current Contents</w:t>
      </w:r>
    </w:p>
    <w:p w:rsidR="003474F2" w:rsidRPr="001A3D2B" w:rsidRDefault="003474F2" w:rsidP="003474F2">
      <w:pPr>
        <w:pStyle w:val="12"/>
      </w:pPr>
      <w:r w:rsidRPr="001A3D2B">
        <w:t>ISO Abbreviated T</w:t>
      </w:r>
      <w:bookmarkStart w:id="454" w:name="_Toc7177647"/>
      <w:bookmarkStart w:id="455" w:name="_Toc42499446"/>
      <w:bookmarkStart w:id="456" w:name="_Toc43634566"/>
      <w:bookmarkStart w:id="457" w:name="_Toc81215690"/>
      <w:r w:rsidRPr="001A3D2B">
        <w:t>itle: Curr. Contents</w:t>
      </w:r>
    </w:p>
    <w:p w:rsidR="003474F2" w:rsidRPr="001A3D2B" w:rsidRDefault="003474F2" w:rsidP="003474F2">
      <w:pPr>
        <w:pStyle w:val="12"/>
      </w:pPr>
      <w:r w:rsidRPr="001A3D2B">
        <w:t>JC</w:t>
      </w:r>
      <w:bookmarkEnd w:id="454"/>
      <w:bookmarkEnd w:id="455"/>
      <w:bookmarkEnd w:id="456"/>
      <w:bookmarkEnd w:id="457"/>
      <w:r w:rsidRPr="001A3D2B">
        <w:t>R Abbreviated Title: Curr Contents</w:t>
      </w:r>
    </w:p>
    <w:p w:rsidR="003474F2" w:rsidRPr="001A3D2B" w:rsidRDefault="003474F2" w:rsidP="003474F2">
      <w:pPr>
        <w:pStyle w:val="12"/>
      </w:pPr>
      <w:r w:rsidRPr="001A3D2B">
        <w:t xml:space="preserve">ISSN: </w:t>
      </w:r>
    </w:p>
    <w:p w:rsidR="003474F2" w:rsidRPr="001A3D2B" w:rsidRDefault="003474F2" w:rsidP="003474F2">
      <w:pPr>
        <w:pStyle w:val="12"/>
      </w:pPr>
      <w:r w:rsidRPr="001A3D2B">
        <w:t>IDS Number: R8189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Inst Sci Inform Inc, </w:t>
      </w:r>
      <w:smartTag w:uri="urn:schemas-microsoft-com:office:smarttags" w:element="place">
        <w:smartTag w:uri="urn:schemas-microsoft-com:office:smarttags" w:element="City">
          <w:r w:rsidRPr="001A3D2B">
            <w:t>Philadelphia</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Garfield, E. (1972), Introducing Schroeder, M - I</w:t>
      </w:r>
      <w:r w:rsidR="00DA41AD" w:rsidRPr="001A3D2B">
        <w:t>SI</w:t>
      </w:r>
      <w:r w:rsidRPr="001A3D2B">
        <w:t xml:space="preserve">s Treasurer. </w:t>
      </w:r>
      <w:r w:rsidRPr="001A3D2B">
        <w:rPr>
          <w:i/>
          <w:iCs/>
        </w:rPr>
        <w:t>Current Contents</w:t>
      </w:r>
      <w:r w:rsidRPr="001A3D2B">
        <w:t xml:space="preserve">, </w:t>
      </w:r>
      <w:r w:rsidRPr="001A3D2B">
        <w:rPr>
          <w:b/>
          <w:bCs/>
        </w:rPr>
        <w:t>15</w:t>
      </w:r>
      <w:r w:rsidRPr="001A3D2B">
        <w:t xml:space="preserve"> (51), 5-??.</w:t>
      </w:r>
    </w:p>
    <w:p w:rsidR="00675518" w:rsidRDefault="00675518" w:rsidP="00675518">
      <w:pPr>
        <w:pStyle w:val="a3"/>
        <w:rPr>
          <w:kern w:val="0"/>
        </w:rPr>
      </w:pPr>
      <w:r>
        <w:rPr>
          <w:rFonts w:hint="eastAsia"/>
          <w:kern w:val="0"/>
        </w:rPr>
        <w:t xml:space="preserve">? </w:t>
      </w:r>
      <w:r>
        <w:rPr>
          <w:kern w:val="0"/>
        </w:rPr>
        <w:t xml:space="preserve">Garfield, E. (1973), Core research library for developing graduate schools - 100 books most-cited by researchers. </w:t>
      </w:r>
      <w:r>
        <w:rPr>
          <w:i/>
          <w:iCs/>
          <w:kern w:val="0"/>
        </w:rPr>
        <w:t>Current Contents</w:t>
      </w:r>
      <w:r>
        <w:rPr>
          <w:kern w:val="0"/>
        </w:rPr>
        <w:t xml:space="preserve">, </w:t>
      </w:r>
      <w:r w:rsidRPr="005B248E">
        <w:rPr>
          <w:b/>
          <w:kern w:val="0"/>
        </w:rPr>
        <w:t>1</w:t>
      </w:r>
      <w:r>
        <w:rPr>
          <w:kern w:val="0"/>
        </w:rPr>
        <w:t>, 5-9</w:t>
      </w:r>
      <w:r>
        <w:rPr>
          <w:rFonts w:hint="eastAsia"/>
          <w:kern w:val="0"/>
        </w:rPr>
        <w:t>.</w:t>
      </w:r>
    </w:p>
    <w:p w:rsidR="00675518" w:rsidRDefault="00675518" w:rsidP="00675518">
      <w:pPr>
        <w:pStyle w:val="a3"/>
        <w:rPr>
          <w:kern w:val="0"/>
        </w:rPr>
      </w:pPr>
      <w:r>
        <w:rPr>
          <w:kern w:val="0"/>
        </w:rPr>
        <w:t>Keywords: Books</w:t>
      </w:r>
      <w:r>
        <w:rPr>
          <w:rFonts w:hint="eastAsia"/>
          <w:kern w:val="0"/>
        </w:rPr>
        <w:t xml:space="preserve">, </w:t>
      </w:r>
      <w:r>
        <w:rPr>
          <w:kern w:val="0"/>
        </w:rPr>
        <w:t>Research</w:t>
      </w:r>
      <w:r>
        <w:rPr>
          <w:rFonts w:hint="eastAsia"/>
          <w:kern w:val="0"/>
        </w:rPr>
        <w:t xml:space="preserve">, </w:t>
      </w:r>
      <w:r>
        <w:rPr>
          <w:kern w:val="0"/>
        </w:rPr>
        <w:t>Researchers</w:t>
      </w:r>
    </w:p>
    <w:p w:rsidR="0005086E" w:rsidRPr="001A3D2B" w:rsidRDefault="0005086E" w:rsidP="003474F2">
      <w:pPr>
        <w:pStyle w:val="a3"/>
        <w:rPr>
          <w:kern w:val="0"/>
        </w:rPr>
      </w:pPr>
      <w:r w:rsidRPr="001A3D2B">
        <w:rPr>
          <w:kern w:val="0"/>
        </w:rPr>
        <w:t xml:space="preserve">? Garfield, E. (1973), Which journals attract most frequently cited articles </w:t>
      </w:r>
      <w:r w:rsidR="00F0168D">
        <w:rPr>
          <w:kern w:val="0"/>
        </w:rPr>
        <w:t>–</w:t>
      </w:r>
      <w:r w:rsidRPr="001A3D2B">
        <w:rPr>
          <w:kern w:val="0"/>
        </w:rPr>
        <w:t xml:space="preserve"> Here</w:t>
      </w:r>
      <w:r w:rsidR="0071223E">
        <w:rPr>
          <w:kern w:val="0"/>
        </w:rPr>
        <w:t>’</w:t>
      </w:r>
      <w:r w:rsidRPr="001A3D2B">
        <w:rPr>
          <w:kern w:val="0"/>
        </w:rPr>
        <w:t>s a list</w:t>
      </w:r>
      <w:r w:rsidR="00427468">
        <w:rPr>
          <w:kern w:val="0"/>
        </w:rPr>
        <w:t xml:space="preserve"> of </w:t>
      </w:r>
      <w:r w:rsidRPr="001A3D2B">
        <w:rPr>
          <w:kern w:val="0"/>
        </w:rPr>
        <w:t xml:space="preserve">top 15. </w:t>
      </w:r>
      <w:r w:rsidRPr="001A3D2B">
        <w:rPr>
          <w:i/>
          <w:iCs/>
          <w:kern w:val="0"/>
        </w:rPr>
        <w:t>Current Contents</w:t>
      </w:r>
      <w:r w:rsidR="00675518">
        <w:rPr>
          <w:kern w:val="0"/>
        </w:rPr>
        <w:t xml:space="preserve">, </w:t>
      </w:r>
      <w:r w:rsidRPr="00675518">
        <w:rPr>
          <w:b/>
          <w:kern w:val="0"/>
        </w:rPr>
        <w:t>39</w:t>
      </w:r>
      <w:r w:rsidRPr="001A3D2B">
        <w:rPr>
          <w:kern w:val="0"/>
        </w:rPr>
        <w:t>, 5-6.</w:t>
      </w:r>
    </w:p>
    <w:p w:rsidR="00675518" w:rsidRDefault="00675518" w:rsidP="00675518">
      <w:pPr>
        <w:pStyle w:val="a3"/>
        <w:rPr>
          <w:kern w:val="0"/>
        </w:rPr>
      </w:pPr>
      <w:r>
        <w:rPr>
          <w:rFonts w:hint="eastAsia"/>
          <w:kern w:val="0"/>
        </w:rPr>
        <w:t xml:space="preserve">? </w:t>
      </w:r>
      <w:r>
        <w:rPr>
          <w:kern w:val="0"/>
        </w:rPr>
        <w:t>Garfield, E. (1973), More on forecasting Nobel-Prizes</w:t>
      </w:r>
      <w:r w:rsidR="005853A9">
        <w:rPr>
          <w:kern w:val="0"/>
        </w:rPr>
        <w:t xml:space="preserve"> and </w:t>
      </w:r>
      <w:r>
        <w:rPr>
          <w:kern w:val="0"/>
        </w:rPr>
        <w:t>most cited scientists</w:t>
      </w:r>
      <w:r w:rsidR="00427468">
        <w:rPr>
          <w:kern w:val="0"/>
        </w:rPr>
        <w:t xml:space="preserve"> of </w:t>
      </w:r>
      <w:r>
        <w:rPr>
          <w:kern w:val="0"/>
        </w:rPr>
        <w:t xml:space="preserve">1972. </w:t>
      </w:r>
      <w:r>
        <w:rPr>
          <w:i/>
          <w:iCs/>
          <w:kern w:val="0"/>
        </w:rPr>
        <w:t>Current Contents</w:t>
      </w:r>
      <w:r>
        <w:rPr>
          <w:kern w:val="0"/>
        </w:rPr>
        <w:t xml:space="preserve">, </w:t>
      </w:r>
      <w:r w:rsidRPr="00AF7567">
        <w:rPr>
          <w:b/>
          <w:kern w:val="0"/>
        </w:rPr>
        <w:t>40</w:t>
      </w:r>
      <w:r>
        <w:rPr>
          <w:kern w:val="0"/>
        </w:rPr>
        <w:t>, 5-7</w:t>
      </w:r>
      <w:r>
        <w:rPr>
          <w:rFonts w:hint="eastAsia"/>
          <w:kern w:val="0"/>
        </w:rPr>
        <w:t>.</w:t>
      </w:r>
    </w:p>
    <w:p w:rsidR="001421FE" w:rsidRDefault="001421FE" w:rsidP="001421FE">
      <w:pPr>
        <w:pStyle w:val="a3"/>
        <w:rPr>
          <w:kern w:val="0"/>
        </w:rPr>
      </w:pPr>
      <w:r>
        <w:rPr>
          <w:rFonts w:hint="eastAsia"/>
          <w:kern w:val="0"/>
        </w:rPr>
        <w:t xml:space="preserve">Full Text: </w:t>
      </w:r>
      <w:hyperlink r:id="rId1098" w:history="1">
        <w:r w:rsidRPr="00FD4C32">
          <w:rPr>
            <w:rStyle w:val="a5"/>
            <w:kern w:val="0"/>
          </w:rPr>
          <w:t>1960-80\Cur Con40, 5.pdf</w:t>
        </w:r>
      </w:hyperlink>
    </w:p>
    <w:p w:rsidR="00675518" w:rsidRDefault="00675518" w:rsidP="00675518">
      <w:pPr>
        <w:pStyle w:val="a3"/>
        <w:rPr>
          <w:kern w:val="0"/>
        </w:rPr>
      </w:pPr>
      <w:r>
        <w:rPr>
          <w:kern w:val="0"/>
        </w:rPr>
        <w:t>Keywords: Scientists</w:t>
      </w:r>
    </w:p>
    <w:p w:rsidR="00675518" w:rsidRDefault="00675518" w:rsidP="00675518">
      <w:pPr>
        <w:pStyle w:val="a3"/>
        <w:rPr>
          <w:kern w:val="0"/>
        </w:rPr>
      </w:pPr>
      <w:r>
        <w:rPr>
          <w:rFonts w:hint="eastAsia"/>
          <w:kern w:val="0"/>
        </w:rPr>
        <w:t xml:space="preserve">? </w:t>
      </w:r>
      <w:r>
        <w:rPr>
          <w:kern w:val="0"/>
        </w:rPr>
        <w:t xml:space="preserve">Garfield, E. (1973), Were 1972 papers most cited in 1972 most significant. </w:t>
      </w:r>
      <w:r>
        <w:rPr>
          <w:i/>
          <w:iCs/>
          <w:kern w:val="0"/>
        </w:rPr>
        <w:t>Current Contents</w:t>
      </w:r>
      <w:r>
        <w:rPr>
          <w:kern w:val="0"/>
        </w:rPr>
        <w:t xml:space="preserve">, </w:t>
      </w:r>
      <w:r w:rsidRPr="005B248E">
        <w:rPr>
          <w:b/>
          <w:kern w:val="0"/>
        </w:rPr>
        <w:t>42</w:t>
      </w:r>
      <w:r>
        <w:rPr>
          <w:kern w:val="0"/>
        </w:rPr>
        <w:t>, 5-7</w:t>
      </w:r>
      <w:r>
        <w:rPr>
          <w:rFonts w:hint="eastAsia"/>
          <w:kern w:val="0"/>
        </w:rPr>
        <w:t>.</w:t>
      </w:r>
    </w:p>
    <w:p w:rsidR="00675518" w:rsidRDefault="00675518" w:rsidP="00675518">
      <w:pPr>
        <w:pStyle w:val="a3"/>
        <w:rPr>
          <w:kern w:val="0"/>
        </w:rPr>
      </w:pPr>
      <w:r>
        <w:rPr>
          <w:kern w:val="0"/>
        </w:rPr>
        <w:t>Keywords: Significant</w:t>
      </w:r>
    </w:p>
    <w:p w:rsidR="00675518" w:rsidRDefault="00675518" w:rsidP="00675518">
      <w:pPr>
        <w:pStyle w:val="a3"/>
        <w:rPr>
          <w:kern w:val="0"/>
        </w:rPr>
      </w:pPr>
      <w:r>
        <w:rPr>
          <w:rFonts w:hint="eastAsia"/>
          <w:kern w:val="0"/>
        </w:rPr>
        <w:t xml:space="preserve">? </w:t>
      </w:r>
      <w:r>
        <w:rPr>
          <w:kern w:val="0"/>
        </w:rPr>
        <w:t xml:space="preserve">Garfield, E. (1973), 25 most cited 1971 papers reveal a great deal about research in 1971. </w:t>
      </w:r>
      <w:r>
        <w:rPr>
          <w:i/>
          <w:iCs/>
          <w:kern w:val="0"/>
        </w:rPr>
        <w:t>Current Contents</w:t>
      </w:r>
      <w:r>
        <w:rPr>
          <w:kern w:val="0"/>
        </w:rPr>
        <w:t xml:space="preserve">, </w:t>
      </w:r>
      <w:r>
        <w:rPr>
          <w:rFonts w:hint="eastAsia"/>
          <w:b/>
          <w:kern w:val="0"/>
        </w:rPr>
        <w:t>44</w:t>
      </w:r>
      <w:r>
        <w:rPr>
          <w:kern w:val="0"/>
        </w:rPr>
        <w:t>, 5-8</w:t>
      </w:r>
      <w:r>
        <w:rPr>
          <w:rFonts w:hint="eastAsia"/>
          <w:kern w:val="0"/>
        </w:rPr>
        <w:t>.</w:t>
      </w:r>
    </w:p>
    <w:p w:rsidR="00675518" w:rsidRDefault="00675518" w:rsidP="00675518">
      <w:pPr>
        <w:pStyle w:val="a3"/>
        <w:rPr>
          <w:kern w:val="0"/>
        </w:rPr>
      </w:pPr>
      <w:r>
        <w:rPr>
          <w:kern w:val="0"/>
        </w:rPr>
        <w:t>Keywords: Research</w:t>
      </w:r>
    </w:p>
    <w:p w:rsidR="00675518" w:rsidRDefault="00675518" w:rsidP="00675518">
      <w:pPr>
        <w:pStyle w:val="a3"/>
        <w:rPr>
          <w:kern w:val="0"/>
        </w:rPr>
      </w:pPr>
      <w:r>
        <w:rPr>
          <w:rFonts w:hint="eastAsia"/>
          <w:kern w:val="0"/>
        </w:rPr>
        <w:t xml:space="preserve">? </w:t>
      </w:r>
      <w:r>
        <w:rPr>
          <w:kern w:val="0"/>
        </w:rPr>
        <w:t xml:space="preserve">Garfield, E. (1974), Selecting all-time citation classics - Here are 50 most cited papers for 1961-1972. </w:t>
      </w:r>
      <w:r>
        <w:rPr>
          <w:i/>
          <w:iCs/>
          <w:kern w:val="0"/>
        </w:rPr>
        <w:t>Current Contents</w:t>
      </w:r>
      <w:r>
        <w:rPr>
          <w:kern w:val="0"/>
        </w:rPr>
        <w:t xml:space="preserve">, </w:t>
      </w:r>
      <w:r w:rsidRPr="005B248E">
        <w:rPr>
          <w:b/>
          <w:kern w:val="0"/>
        </w:rPr>
        <w:t>2</w:t>
      </w:r>
      <w:r>
        <w:rPr>
          <w:kern w:val="0"/>
        </w:rPr>
        <w:t>, 5-8</w:t>
      </w:r>
      <w:r>
        <w:rPr>
          <w:rFonts w:hint="eastAsia"/>
          <w:kern w:val="0"/>
        </w:rPr>
        <w:t>.</w:t>
      </w:r>
    </w:p>
    <w:p w:rsidR="00675518" w:rsidRDefault="00675518" w:rsidP="00675518">
      <w:pPr>
        <w:pStyle w:val="a3"/>
        <w:rPr>
          <w:kern w:val="0"/>
        </w:rPr>
      </w:pPr>
      <w:r>
        <w:rPr>
          <w:kern w:val="0"/>
        </w:rPr>
        <w:t>Keywords: Citation</w:t>
      </w:r>
    </w:p>
    <w:p w:rsidR="00675518" w:rsidRDefault="00675518" w:rsidP="00675518">
      <w:pPr>
        <w:pStyle w:val="a3"/>
        <w:rPr>
          <w:kern w:val="0"/>
        </w:rPr>
      </w:pPr>
      <w:r>
        <w:rPr>
          <w:rFonts w:hint="eastAsia"/>
          <w:kern w:val="0"/>
        </w:rPr>
        <w:t xml:space="preserve">? </w:t>
      </w:r>
      <w:r>
        <w:rPr>
          <w:kern w:val="0"/>
        </w:rPr>
        <w:t xml:space="preserve">Garfield, E. (1974), Second 50 papers most cited from 1961-1972. </w:t>
      </w:r>
      <w:r>
        <w:rPr>
          <w:i/>
          <w:iCs/>
          <w:kern w:val="0"/>
        </w:rPr>
        <w:t>Current Contents</w:t>
      </w:r>
      <w:r>
        <w:rPr>
          <w:kern w:val="0"/>
        </w:rPr>
        <w:t xml:space="preserve">, </w:t>
      </w:r>
      <w:r w:rsidRPr="005B248E">
        <w:rPr>
          <w:b/>
          <w:kern w:val="0"/>
        </w:rPr>
        <w:t>6</w:t>
      </w:r>
      <w:r>
        <w:rPr>
          <w:kern w:val="0"/>
        </w:rPr>
        <w:t>, 5-9</w:t>
      </w:r>
      <w:r>
        <w:rPr>
          <w:rFonts w:hint="eastAsia"/>
          <w:kern w:val="0"/>
        </w:rPr>
        <w:t>.</w:t>
      </w:r>
    </w:p>
    <w:p w:rsidR="00675518" w:rsidRDefault="00675518" w:rsidP="00675518">
      <w:pPr>
        <w:pStyle w:val="a3"/>
        <w:rPr>
          <w:kern w:val="0"/>
        </w:rPr>
      </w:pPr>
      <w:r>
        <w:rPr>
          <w:rFonts w:hint="eastAsia"/>
          <w:kern w:val="0"/>
        </w:rPr>
        <w:t xml:space="preserve">? </w:t>
      </w:r>
      <w:r>
        <w:rPr>
          <w:kern w:val="0"/>
        </w:rPr>
        <w:t>Garfield, E. (1974), List</w:t>
      </w:r>
      <w:r w:rsidR="00427468">
        <w:rPr>
          <w:kern w:val="0"/>
        </w:rPr>
        <w:t xml:space="preserve"> of </w:t>
      </w:r>
      <w:r>
        <w:rPr>
          <w:kern w:val="0"/>
        </w:rPr>
        <w:t xml:space="preserve">100 most cited chemical articles. </w:t>
      </w:r>
      <w:r>
        <w:rPr>
          <w:i/>
          <w:iCs/>
          <w:kern w:val="0"/>
        </w:rPr>
        <w:t>Current Contents</w:t>
      </w:r>
      <w:r>
        <w:rPr>
          <w:kern w:val="0"/>
        </w:rPr>
        <w:t xml:space="preserve">, </w:t>
      </w:r>
      <w:r>
        <w:rPr>
          <w:rFonts w:hint="eastAsia"/>
          <w:b/>
          <w:kern w:val="0"/>
        </w:rPr>
        <w:t>10</w:t>
      </w:r>
      <w:r>
        <w:rPr>
          <w:kern w:val="0"/>
        </w:rPr>
        <w:t>, 5-12</w:t>
      </w:r>
      <w:r>
        <w:rPr>
          <w:rFonts w:hint="eastAsia"/>
          <w:kern w:val="0"/>
        </w:rPr>
        <w:t>.</w:t>
      </w:r>
    </w:p>
    <w:p w:rsidR="00675518" w:rsidRDefault="00675518" w:rsidP="00675518">
      <w:pPr>
        <w:pStyle w:val="a3"/>
        <w:rPr>
          <w:kern w:val="0"/>
        </w:rPr>
      </w:pPr>
      <w:r>
        <w:rPr>
          <w:kern w:val="0"/>
        </w:rPr>
        <w:lastRenderedPageBreak/>
        <w:t>Keywords: Articles</w:t>
      </w:r>
    </w:p>
    <w:p w:rsidR="00F64D2A" w:rsidRDefault="00F64D2A" w:rsidP="00F64D2A">
      <w:pPr>
        <w:pStyle w:val="a3"/>
      </w:pPr>
      <w:r>
        <w:rPr>
          <w:rFonts w:hint="eastAsia"/>
        </w:rPr>
        <w:t>Notes: highly cited</w:t>
      </w:r>
    </w:p>
    <w:p w:rsidR="00F64D2A" w:rsidRDefault="00F64D2A" w:rsidP="00F64D2A">
      <w:pPr>
        <w:pStyle w:val="a3"/>
      </w:pPr>
      <w:r w:rsidRPr="00C73C58">
        <w:t xml:space="preserve">? Garfield, E. (1974), </w:t>
      </w:r>
      <w:r>
        <w:t>Journal citation studies.</w:t>
      </w:r>
      <w:r>
        <w:rPr>
          <w:rFonts w:hint="eastAsia"/>
        </w:rPr>
        <w:t xml:space="preserve"> </w:t>
      </w:r>
      <w:r>
        <w:t xml:space="preserve">8. Some </w:t>
      </w:r>
      <w:r w:rsidR="00F66BDB">
        <w:t>Highly cited articles</w:t>
      </w:r>
      <w:r>
        <w:t xml:space="preserve"> from highly cited general medical</w:t>
      </w:r>
      <w:r w:rsidR="005853A9">
        <w:t xml:space="preserve"> and </w:t>
      </w:r>
      <w:r>
        <w:t>clinical journals</w:t>
      </w:r>
      <w:r w:rsidRPr="00C73C58">
        <w:t xml:space="preserve">. </w:t>
      </w:r>
      <w:r w:rsidRPr="00C73C58">
        <w:rPr>
          <w:i/>
          <w:iCs/>
        </w:rPr>
        <w:t>Current Contents</w:t>
      </w:r>
      <w:r w:rsidRPr="00C73C58">
        <w:t xml:space="preserve">, </w:t>
      </w:r>
      <w:r>
        <w:rPr>
          <w:rFonts w:hint="eastAsia"/>
          <w:b/>
          <w:bCs/>
        </w:rPr>
        <w:t>27</w:t>
      </w:r>
      <w:r w:rsidRPr="00C73C58">
        <w:t xml:space="preserve">, </w:t>
      </w:r>
      <w:r>
        <w:t>5-12</w:t>
      </w:r>
      <w:r w:rsidRPr="00C73C58">
        <w:t>.</w:t>
      </w:r>
    </w:p>
    <w:p w:rsidR="00DA41AD" w:rsidRDefault="00DA41AD" w:rsidP="00DA41AD">
      <w:pPr>
        <w:pStyle w:val="a3"/>
      </w:pPr>
      <w:r>
        <w:rPr>
          <w:rFonts w:hint="eastAsia"/>
        </w:rPr>
        <w:t>Notes: highly cited</w:t>
      </w:r>
    </w:p>
    <w:p w:rsidR="003474F2" w:rsidRPr="001A3D2B" w:rsidRDefault="003474F2" w:rsidP="003474F2">
      <w:pPr>
        <w:pStyle w:val="a3"/>
      </w:pPr>
      <w:r w:rsidRPr="001A3D2B">
        <w:t xml:space="preserve">? Garfield, E. (1974), Was Science Citation Index concept inevitable. </w:t>
      </w:r>
      <w:r w:rsidRPr="001A3D2B">
        <w:rPr>
          <w:i/>
          <w:iCs/>
        </w:rPr>
        <w:t>Current Contents</w:t>
      </w:r>
      <w:r w:rsidRPr="001A3D2B">
        <w:t xml:space="preserve">, </w:t>
      </w:r>
      <w:r w:rsidRPr="001A3D2B">
        <w:rPr>
          <w:b/>
          <w:bCs/>
        </w:rPr>
        <w:t>50</w:t>
      </w:r>
      <w:r w:rsidRPr="001A3D2B">
        <w:t>, 5-6.</w:t>
      </w:r>
    </w:p>
    <w:p w:rsidR="00DA41AD" w:rsidRPr="00C73C58" w:rsidRDefault="00DA41AD" w:rsidP="00DA41AD">
      <w:pPr>
        <w:pStyle w:val="a3"/>
      </w:pPr>
      <w:r>
        <w:rPr>
          <w:rFonts w:hint="eastAsia"/>
        </w:rPr>
        <w:t xml:space="preserve">Full Text: </w:t>
      </w:r>
      <w:r>
        <w:rPr>
          <w:iCs/>
        </w:rPr>
        <w:t>Cur Con</w:t>
      </w:r>
      <w:r w:rsidRPr="00C24C4E">
        <w:rPr>
          <w:bCs/>
        </w:rPr>
        <w:t>50</w:t>
      </w:r>
      <w:r w:rsidRPr="00C73C58">
        <w:t>, 5</w:t>
      </w:r>
      <w:r>
        <w:rPr>
          <w:rFonts w:hint="eastAsia"/>
        </w:rPr>
        <w:t>.pdf</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xml:space="preserve">? Garfield, E. (1975), Journal Citation Studies. 18. Highly </w:t>
      </w:r>
      <w:r w:rsidR="00DA41AD" w:rsidRPr="001A3D2B">
        <w:t>cited botany jo</w:t>
      </w:r>
      <w:r w:rsidRPr="001A3D2B">
        <w:t xml:space="preserve">urnals. </w:t>
      </w:r>
      <w:r w:rsidRPr="001A3D2B">
        <w:rPr>
          <w:i/>
          <w:iCs/>
        </w:rPr>
        <w:t>Current Contents</w:t>
      </w:r>
      <w:r w:rsidRPr="001A3D2B">
        <w:t xml:space="preserve">, </w:t>
      </w:r>
      <w:r w:rsidRPr="001A3D2B">
        <w:rPr>
          <w:b/>
          <w:bCs/>
        </w:rPr>
        <w:t>2</w:t>
      </w:r>
      <w:r w:rsidRPr="001A3D2B">
        <w:t>, 5-9.</w:t>
      </w:r>
    </w:p>
    <w:p w:rsidR="00F66BDB" w:rsidRDefault="00F66BDB" w:rsidP="00F66BDB">
      <w:pPr>
        <w:pStyle w:val="a3"/>
      </w:pPr>
      <w:r>
        <w:rPr>
          <w:rFonts w:hint="eastAsia"/>
        </w:rPr>
        <w:t>Notes: highly cited</w:t>
      </w:r>
    </w:p>
    <w:p w:rsidR="00F66BDB" w:rsidRDefault="00F66BDB" w:rsidP="00F66BDB">
      <w:pPr>
        <w:pStyle w:val="a3"/>
      </w:pPr>
      <w:r w:rsidRPr="00C73C58">
        <w:t xml:space="preserve">? </w:t>
      </w:r>
      <w:r>
        <w:t>Garfield, E</w:t>
      </w:r>
      <w:r>
        <w:rPr>
          <w:rFonts w:hint="eastAsia"/>
        </w:rPr>
        <w:t>.</w:t>
      </w:r>
      <w:r w:rsidRPr="00C73C58">
        <w:t xml:space="preserve"> (1975), </w:t>
      </w:r>
      <w:r>
        <w:t>Highly cited articles from plant physiology journals</w:t>
      </w:r>
      <w:r w:rsidRPr="00C73C58">
        <w:t xml:space="preserve">. </w:t>
      </w:r>
      <w:r w:rsidRPr="00C73C58">
        <w:rPr>
          <w:i/>
          <w:iCs/>
        </w:rPr>
        <w:t>Current Contents</w:t>
      </w:r>
      <w:r w:rsidRPr="00C73C58">
        <w:t xml:space="preserve">, </w:t>
      </w:r>
      <w:r>
        <w:rPr>
          <w:rFonts w:hint="eastAsia"/>
          <w:b/>
          <w:bCs/>
        </w:rPr>
        <w:t>3</w:t>
      </w:r>
      <w:r w:rsidRPr="00C73C58">
        <w:t>, 5-</w:t>
      </w:r>
      <w:r>
        <w:rPr>
          <w:rFonts w:hint="eastAsia"/>
        </w:rPr>
        <w:t>10</w:t>
      </w:r>
      <w:r w:rsidRPr="00C73C58">
        <w:t>.</w:t>
      </w:r>
    </w:p>
    <w:p w:rsidR="00DA41AD" w:rsidRDefault="00DA41AD" w:rsidP="00DA41AD">
      <w:pPr>
        <w:pStyle w:val="a3"/>
      </w:pPr>
      <w:r>
        <w:rPr>
          <w:rFonts w:hint="eastAsia"/>
        </w:rPr>
        <w:t>Notes: highly cited</w:t>
      </w:r>
    </w:p>
    <w:p w:rsidR="00DA41AD" w:rsidRDefault="00DA41AD" w:rsidP="00DA41AD">
      <w:pPr>
        <w:pStyle w:val="a3"/>
      </w:pPr>
      <w:r w:rsidRPr="00C73C58">
        <w:t xml:space="preserve">? </w:t>
      </w:r>
      <w:r>
        <w:t>Garfield, E</w:t>
      </w:r>
      <w:r>
        <w:rPr>
          <w:rFonts w:hint="eastAsia"/>
        </w:rPr>
        <w:t>.</w:t>
      </w:r>
      <w:r w:rsidRPr="00C73C58">
        <w:t xml:space="preserve"> (1975), </w:t>
      </w:r>
      <w:r>
        <w:t>Come blow your horn</w:t>
      </w:r>
      <w:r>
        <w:rPr>
          <w:rFonts w:hint="eastAsia"/>
        </w:rPr>
        <w:t>:</w:t>
      </w:r>
      <w:r>
        <w:t xml:space="preserve"> Why were proud</w:t>
      </w:r>
      <w:r w:rsidR="00427468">
        <w:t xml:space="preserve"> of </w:t>
      </w:r>
      <w:r>
        <w:t>Social</w:t>
      </w:r>
      <w:r>
        <w:rPr>
          <w:rFonts w:hint="eastAsia"/>
        </w:rPr>
        <w:t xml:space="preserve"> </w:t>
      </w:r>
      <w:r>
        <w:t>Sciences Citation</w:t>
      </w:r>
      <w:r>
        <w:rPr>
          <w:rFonts w:hint="eastAsia"/>
        </w:rPr>
        <w:t xml:space="preserve"> </w:t>
      </w:r>
      <w:r>
        <w:t>Index</w:t>
      </w:r>
      <w:r w:rsidRPr="00C73C58">
        <w:t xml:space="preserve">. </w:t>
      </w:r>
      <w:r w:rsidRPr="00C73C58">
        <w:rPr>
          <w:i/>
          <w:iCs/>
        </w:rPr>
        <w:t>Current Contents</w:t>
      </w:r>
      <w:r w:rsidRPr="00C73C58">
        <w:t xml:space="preserve">, </w:t>
      </w:r>
      <w:r>
        <w:rPr>
          <w:rFonts w:hint="eastAsia"/>
          <w:b/>
          <w:bCs/>
        </w:rPr>
        <w:t>12</w:t>
      </w:r>
      <w:r w:rsidRPr="00C73C58">
        <w:t>, 5-9.</w:t>
      </w:r>
    </w:p>
    <w:p w:rsidR="00DA41AD" w:rsidRPr="00C73C58" w:rsidRDefault="00DA41AD" w:rsidP="00DA41AD">
      <w:pPr>
        <w:pStyle w:val="a3"/>
      </w:pPr>
      <w:r>
        <w:rPr>
          <w:rFonts w:hint="eastAsia"/>
        </w:rPr>
        <w:t xml:space="preserve">Full Text: </w:t>
      </w:r>
      <w:r>
        <w:rPr>
          <w:iCs/>
        </w:rPr>
        <w:t>Cur Con</w:t>
      </w:r>
      <w:r>
        <w:rPr>
          <w:rFonts w:hint="eastAsia"/>
          <w:bCs/>
        </w:rPr>
        <w:t>12</w:t>
      </w:r>
      <w:r w:rsidRPr="00C73C58">
        <w:t>, 5</w:t>
      </w:r>
      <w:r>
        <w:rPr>
          <w:rFonts w:hint="eastAsia"/>
        </w:rPr>
        <w:t>.pdf</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(1975), Highly cited articles. 18. Physiologic Psychology</w:t>
      </w:r>
      <w:r w:rsidR="005853A9">
        <w:rPr>
          <w:kern w:val="0"/>
          <w:szCs w:val="24"/>
        </w:rPr>
        <w:t xml:space="preserve"> and </w:t>
      </w:r>
      <w:r>
        <w:rPr>
          <w:kern w:val="0"/>
          <w:szCs w:val="24"/>
        </w:rPr>
        <w:t xml:space="preserve">Animal Behavior. </w:t>
      </w:r>
      <w:r>
        <w:rPr>
          <w:i/>
          <w:iCs/>
          <w:kern w:val="0"/>
          <w:szCs w:val="24"/>
        </w:rPr>
        <w:t>Current Contents</w:t>
      </w:r>
      <w:r>
        <w:rPr>
          <w:kern w:val="0"/>
          <w:szCs w:val="24"/>
        </w:rPr>
        <w:t xml:space="preserve">, </w:t>
      </w:r>
      <w:r>
        <w:rPr>
          <w:rFonts w:hint="eastAsia"/>
          <w:b/>
          <w:kern w:val="0"/>
          <w:szCs w:val="24"/>
        </w:rPr>
        <w:t>17</w:t>
      </w:r>
      <w:r>
        <w:rPr>
          <w:kern w:val="0"/>
          <w:szCs w:val="24"/>
        </w:rPr>
        <w:t>, 5-9</w:t>
      </w:r>
      <w:r>
        <w:rPr>
          <w:rFonts w:hint="eastAsia"/>
          <w:kern w:val="0"/>
          <w:szCs w:val="24"/>
        </w:rPr>
        <w:t>.</w:t>
      </w:r>
    </w:p>
    <w:p w:rsidR="001C74EC" w:rsidRDefault="001C74EC" w:rsidP="001C74EC">
      <w:pPr>
        <w:pStyle w:val="a3"/>
        <w:rPr>
          <w:kern w:val="0"/>
          <w:szCs w:val="24"/>
        </w:rPr>
      </w:pPr>
      <w:r>
        <w:rPr>
          <w:kern w:val="0"/>
          <w:szCs w:val="24"/>
        </w:rPr>
        <w:t>Keywords: Articles, Psychology</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(1975), Highly cited articles. 19. Human Psychology</w:t>
      </w:r>
      <w:r w:rsidR="005853A9">
        <w:rPr>
          <w:kern w:val="0"/>
          <w:szCs w:val="24"/>
        </w:rPr>
        <w:t xml:space="preserve"> and </w:t>
      </w:r>
      <w:r>
        <w:rPr>
          <w:kern w:val="0"/>
          <w:szCs w:val="24"/>
        </w:rPr>
        <w:t xml:space="preserve">Behavior. </w:t>
      </w:r>
      <w:r>
        <w:rPr>
          <w:i/>
          <w:iCs/>
          <w:kern w:val="0"/>
          <w:szCs w:val="24"/>
        </w:rPr>
        <w:t>Current Contents</w:t>
      </w:r>
      <w:r>
        <w:rPr>
          <w:kern w:val="0"/>
          <w:szCs w:val="24"/>
        </w:rPr>
        <w:t xml:space="preserve">, </w:t>
      </w:r>
      <w:r w:rsidRPr="009E7960">
        <w:rPr>
          <w:b/>
          <w:kern w:val="0"/>
          <w:szCs w:val="24"/>
        </w:rPr>
        <w:t>18</w:t>
      </w:r>
      <w:r>
        <w:rPr>
          <w:kern w:val="0"/>
          <w:szCs w:val="24"/>
        </w:rPr>
        <w:t>, 5-11</w:t>
      </w:r>
      <w:r>
        <w:rPr>
          <w:rFonts w:hint="eastAsia"/>
          <w:kern w:val="0"/>
          <w:szCs w:val="24"/>
        </w:rPr>
        <w:t>.</w:t>
      </w:r>
    </w:p>
    <w:p w:rsidR="001C74EC" w:rsidRDefault="001C74EC" w:rsidP="001C74EC">
      <w:pPr>
        <w:pStyle w:val="a3"/>
        <w:rPr>
          <w:kern w:val="0"/>
          <w:szCs w:val="24"/>
        </w:rPr>
      </w:pPr>
      <w:r>
        <w:rPr>
          <w:kern w:val="0"/>
          <w:szCs w:val="24"/>
        </w:rPr>
        <w:t>Keywords: Articles</w:t>
      </w:r>
      <w:r>
        <w:rPr>
          <w:rFonts w:hint="eastAsia"/>
          <w:kern w:val="0"/>
          <w:szCs w:val="24"/>
        </w:rPr>
        <w:t xml:space="preserve">, </w:t>
      </w:r>
      <w:r>
        <w:rPr>
          <w:kern w:val="0"/>
          <w:szCs w:val="24"/>
        </w:rPr>
        <w:t>Psychology</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(1975), Highly cited articles. 20. Articles from Russian Journals. </w:t>
      </w:r>
      <w:r>
        <w:rPr>
          <w:i/>
          <w:iCs/>
          <w:kern w:val="0"/>
          <w:szCs w:val="24"/>
        </w:rPr>
        <w:t>Current Contents</w:t>
      </w:r>
      <w:r>
        <w:rPr>
          <w:kern w:val="0"/>
          <w:szCs w:val="24"/>
        </w:rPr>
        <w:t xml:space="preserve">, </w:t>
      </w:r>
      <w:r>
        <w:rPr>
          <w:rFonts w:hint="eastAsia"/>
          <w:b/>
          <w:kern w:val="0"/>
          <w:szCs w:val="24"/>
        </w:rPr>
        <w:t>45</w:t>
      </w:r>
      <w:r>
        <w:rPr>
          <w:kern w:val="0"/>
          <w:szCs w:val="24"/>
        </w:rPr>
        <w:t>, 7-10</w:t>
      </w:r>
      <w:r>
        <w:rPr>
          <w:rFonts w:hint="eastAsia"/>
          <w:kern w:val="0"/>
          <w:szCs w:val="24"/>
        </w:rPr>
        <w:t>.</w:t>
      </w:r>
    </w:p>
    <w:p w:rsidR="001C74EC" w:rsidRDefault="001C74EC" w:rsidP="001C74EC">
      <w:pPr>
        <w:pStyle w:val="a3"/>
        <w:rPr>
          <w:kern w:val="0"/>
          <w:szCs w:val="24"/>
        </w:rPr>
      </w:pPr>
      <w:r>
        <w:rPr>
          <w:kern w:val="0"/>
          <w:szCs w:val="24"/>
        </w:rPr>
        <w:t>Keywords: Articles, Journals</w:t>
      </w:r>
    </w:p>
    <w:p w:rsidR="00FD5BC4" w:rsidRDefault="00FD5BC4" w:rsidP="00FD5BC4">
      <w:pPr>
        <w:pStyle w:val="a3"/>
      </w:pPr>
      <w:r>
        <w:rPr>
          <w:rFonts w:eastAsia="新細明體" w:hint="eastAsia"/>
        </w:rPr>
        <w:t xml:space="preserve">? </w:t>
      </w:r>
      <w:r w:rsidRPr="0051264D">
        <w:t xml:space="preserve">Garfield, E. (1975), </w:t>
      </w:r>
      <w:bookmarkStart w:id="458" w:name="OLE_LINK37"/>
      <w:bookmarkStart w:id="459" w:name="OLE_LINK38"/>
      <w:r w:rsidRPr="0051264D">
        <w:t>Obliteration phenomenon in science and advantage</w:t>
      </w:r>
      <w:r w:rsidR="00427468">
        <w:t xml:space="preserve"> of </w:t>
      </w:r>
      <w:r w:rsidRPr="0051264D">
        <w:t>being obliterated</w:t>
      </w:r>
      <w:bookmarkEnd w:id="458"/>
      <w:bookmarkEnd w:id="459"/>
      <w:r w:rsidRPr="0051264D">
        <w:t xml:space="preserve">. </w:t>
      </w:r>
      <w:r w:rsidRPr="0008535E">
        <w:rPr>
          <w:i/>
        </w:rPr>
        <w:t>Current Contents</w:t>
      </w:r>
      <w:r w:rsidRPr="0051264D">
        <w:t>,</w:t>
      </w:r>
      <w:r>
        <w:t xml:space="preserve"> </w:t>
      </w:r>
      <w:r w:rsidRPr="00AE2934">
        <w:rPr>
          <w:b/>
        </w:rPr>
        <w:t>51</w:t>
      </w:r>
      <w:r w:rsidRPr="0051264D">
        <w:t>, 5-</w:t>
      </w:r>
      <w:r>
        <w:t>8</w:t>
      </w:r>
      <w:r w:rsidRPr="0051264D">
        <w:t>.</w:t>
      </w:r>
    </w:p>
    <w:p w:rsidR="00FD5BC4" w:rsidRPr="00122CD5" w:rsidRDefault="00FD5BC4" w:rsidP="00FD5BC4">
      <w:pPr>
        <w:pStyle w:val="a3"/>
      </w:pPr>
      <w:r w:rsidRPr="0051264D">
        <w:t xml:space="preserve">Full Text: </w:t>
      </w:r>
      <w:hyperlink r:id="rId1099" w:history="1">
        <w:r w:rsidRPr="00FD5BC4">
          <w:rPr>
            <w:rStyle w:val="a5"/>
          </w:rPr>
          <w:t>1960-80\Cur Con51, 5.pdf</w:t>
        </w:r>
      </w:hyperlink>
    </w:p>
    <w:p w:rsidR="00675518" w:rsidRDefault="00675518" w:rsidP="00675518">
      <w:pPr>
        <w:pStyle w:val="a3"/>
        <w:rPr>
          <w:kern w:val="0"/>
        </w:rPr>
      </w:pPr>
      <w:r>
        <w:rPr>
          <w:rFonts w:hint="eastAsia"/>
          <w:kern w:val="0"/>
        </w:rPr>
        <w:t xml:space="preserve">? </w:t>
      </w:r>
      <w:r>
        <w:rPr>
          <w:kern w:val="0"/>
        </w:rPr>
        <w:t xml:space="preserve">Garfield, E. (1976), 1973 papers most cited in 1973. </w:t>
      </w:r>
      <w:r>
        <w:rPr>
          <w:i/>
          <w:iCs/>
          <w:kern w:val="0"/>
        </w:rPr>
        <w:t>Current Contents</w:t>
      </w:r>
      <w:r>
        <w:rPr>
          <w:kern w:val="0"/>
        </w:rPr>
        <w:t xml:space="preserve">, </w:t>
      </w:r>
      <w:r>
        <w:rPr>
          <w:rFonts w:hint="eastAsia"/>
          <w:b/>
          <w:kern w:val="0"/>
        </w:rPr>
        <w:t>7</w:t>
      </w:r>
      <w:r>
        <w:rPr>
          <w:kern w:val="0"/>
        </w:rPr>
        <w:t>, 5-8</w:t>
      </w:r>
      <w:r>
        <w:rPr>
          <w:rFonts w:hint="eastAsia"/>
          <w:kern w:val="0"/>
        </w:rPr>
        <w:t>.</w:t>
      </w:r>
    </w:p>
    <w:p w:rsidR="00675518" w:rsidRDefault="00675518" w:rsidP="00675518">
      <w:pPr>
        <w:pStyle w:val="a3"/>
        <w:rPr>
          <w:kern w:val="0"/>
        </w:rPr>
      </w:pPr>
      <w:r>
        <w:rPr>
          <w:rFonts w:hint="eastAsia"/>
          <w:kern w:val="0"/>
        </w:rPr>
        <w:t xml:space="preserve">? </w:t>
      </w:r>
      <w:r>
        <w:rPr>
          <w:kern w:val="0"/>
        </w:rPr>
        <w:t xml:space="preserve">Garfield, E. (1976), 1974 articles most cited in 1974. </w:t>
      </w:r>
      <w:r>
        <w:rPr>
          <w:i/>
          <w:iCs/>
          <w:kern w:val="0"/>
        </w:rPr>
        <w:t>Current Contents</w:t>
      </w:r>
      <w:r>
        <w:rPr>
          <w:kern w:val="0"/>
        </w:rPr>
        <w:t xml:space="preserve">, </w:t>
      </w:r>
      <w:r w:rsidRPr="005B248E">
        <w:rPr>
          <w:b/>
          <w:kern w:val="0"/>
        </w:rPr>
        <w:t>8</w:t>
      </w:r>
      <w:r>
        <w:rPr>
          <w:kern w:val="0"/>
        </w:rPr>
        <w:t>, 5-8</w:t>
      </w:r>
      <w:r>
        <w:rPr>
          <w:rFonts w:hint="eastAsia"/>
          <w:kern w:val="0"/>
        </w:rPr>
        <w:t>.</w:t>
      </w:r>
    </w:p>
    <w:p w:rsidR="00675518" w:rsidRDefault="00675518" w:rsidP="00675518">
      <w:pPr>
        <w:pStyle w:val="a3"/>
        <w:rPr>
          <w:kern w:val="0"/>
        </w:rPr>
      </w:pPr>
      <w:r>
        <w:rPr>
          <w:kern w:val="0"/>
        </w:rPr>
        <w:t>Keywords: Articles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(1976), Characteristics</w:t>
      </w:r>
      <w:r w:rsidR="00427468">
        <w:rPr>
          <w:kern w:val="0"/>
          <w:szCs w:val="24"/>
        </w:rPr>
        <w:t xml:space="preserve"> of </w:t>
      </w:r>
      <w:r w:rsidR="00753D15">
        <w:rPr>
          <w:kern w:val="0"/>
          <w:szCs w:val="24"/>
        </w:rPr>
        <w:t>highly cited publications in engineering scienc</w:t>
      </w:r>
      <w:r>
        <w:rPr>
          <w:kern w:val="0"/>
          <w:szCs w:val="24"/>
        </w:rPr>
        <w:t xml:space="preserve">es. </w:t>
      </w:r>
      <w:r>
        <w:rPr>
          <w:i/>
          <w:iCs/>
          <w:kern w:val="0"/>
          <w:szCs w:val="24"/>
        </w:rPr>
        <w:t>Current Contents</w:t>
      </w:r>
      <w:r>
        <w:rPr>
          <w:kern w:val="0"/>
          <w:szCs w:val="24"/>
        </w:rPr>
        <w:t xml:space="preserve">, </w:t>
      </w:r>
      <w:r>
        <w:rPr>
          <w:rFonts w:hint="eastAsia"/>
          <w:b/>
          <w:kern w:val="0"/>
          <w:szCs w:val="24"/>
        </w:rPr>
        <w:t>12</w:t>
      </w:r>
      <w:r>
        <w:rPr>
          <w:kern w:val="0"/>
          <w:szCs w:val="24"/>
        </w:rPr>
        <w:t>, 5-10</w:t>
      </w:r>
      <w:r>
        <w:rPr>
          <w:rFonts w:hint="eastAsia"/>
          <w:kern w:val="0"/>
          <w:szCs w:val="24"/>
        </w:rPr>
        <w:t>.</w:t>
      </w:r>
    </w:p>
    <w:p w:rsidR="001C74EC" w:rsidRDefault="001C74EC" w:rsidP="001C74EC">
      <w:pPr>
        <w:pStyle w:val="a3"/>
        <w:rPr>
          <w:kern w:val="0"/>
          <w:szCs w:val="24"/>
        </w:rPr>
      </w:pPr>
      <w:r>
        <w:rPr>
          <w:kern w:val="0"/>
          <w:szCs w:val="24"/>
        </w:rPr>
        <w:lastRenderedPageBreak/>
        <w:t>Keywords: Publications</w:t>
      </w:r>
    </w:p>
    <w:p w:rsidR="004832FF" w:rsidRPr="001A3D2B" w:rsidRDefault="004832FF" w:rsidP="004832FF">
      <w:pPr>
        <w:pStyle w:val="a3"/>
      </w:pPr>
      <w:r w:rsidRPr="001A3D2B">
        <w:t xml:space="preserve">? Garfield, E. (1976), More on Jazz Transcriptions. </w:t>
      </w:r>
      <w:r w:rsidRPr="001A3D2B">
        <w:rPr>
          <w:i/>
          <w:iCs/>
        </w:rPr>
        <w:t>Current Contents</w:t>
      </w:r>
      <w:r w:rsidRPr="001A3D2B">
        <w:t xml:space="preserve">, </w:t>
      </w:r>
      <w:r w:rsidRPr="001A3D2B">
        <w:rPr>
          <w:b/>
          <w:bCs/>
        </w:rPr>
        <w:t>17</w:t>
      </w:r>
      <w:r w:rsidRPr="001A3D2B">
        <w:t>, 5-10.</w:t>
      </w:r>
    </w:p>
    <w:p w:rsidR="00F0168D" w:rsidRDefault="00F0168D" w:rsidP="00F0168D">
      <w:pPr>
        <w:pStyle w:val="a3"/>
      </w:pPr>
      <w:r>
        <w:rPr>
          <w:rFonts w:hint="eastAsia"/>
        </w:rPr>
        <w:t>Notes: highly cited</w:t>
      </w:r>
    </w:p>
    <w:p w:rsidR="00F0168D" w:rsidRPr="001A3D2B" w:rsidRDefault="00F0168D" w:rsidP="00F0168D">
      <w:pPr>
        <w:pStyle w:val="a3"/>
      </w:pPr>
      <w:r w:rsidRPr="001A3D2B">
        <w:t xml:space="preserve">? Garfield, E. (1976), </w:t>
      </w:r>
      <w:r w:rsidR="00F66BDB">
        <w:t>Highly cited articles</w:t>
      </w:r>
      <w:r>
        <w:t>.</w:t>
      </w:r>
      <w:r>
        <w:rPr>
          <w:rFonts w:hint="eastAsia"/>
        </w:rPr>
        <w:t xml:space="preserve"> </w:t>
      </w:r>
      <w:r>
        <w:t>26. Some classic papers</w:t>
      </w:r>
      <w:r w:rsidR="00427468">
        <w:t xml:space="preserve"> of </w:t>
      </w:r>
      <w:r>
        <w:t>late 19th</w:t>
      </w:r>
      <w:r w:rsidR="005853A9">
        <w:t xml:space="preserve"> and </w:t>
      </w:r>
      <w:r>
        <w:t>early 20th centuries</w:t>
      </w:r>
      <w:r w:rsidRPr="001A3D2B">
        <w:t xml:space="preserve">. </w:t>
      </w:r>
      <w:r w:rsidRPr="001A3D2B">
        <w:rPr>
          <w:i/>
          <w:iCs/>
        </w:rPr>
        <w:t>Current Contents</w:t>
      </w:r>
      <w:r w:rsidRPr="001A3D2B">
        <w:t xml:space="preserve">, </w:t>
      </w:r>
      <w:r>
        <w:rPr>
          <w:rFonts w:hint="eastAsia"/>
          <w:b/>
          <w:bCs/>
        </w:rPr>
        <w:t>21</w:t>
      </w:r>
      <w:r w:rsidRPr="001A3D2B">
        <w:t>, 5-</w:t>
      </w:r>
      <w:r>
        <w:rPr>
          <w:rFonts w:hint="eastAsia"/>
        </w:rPr>
        <w:t>9</w:t>
      </w:r>
      <w:r w:rsidRPr="001A3D2B">
        <w:t>.</w:t>
      </w:r>
    </w:p>
    <w:p w:rsidR="001C74EC" w:rsidRDefault="001C74EC" w:rsidP="001C74EC">
      <w:pPr>
        <w:pStyle w:val="a3"/>
        <w:rPr>
          <w:kern w:val="0"/>
          <w:szCs w:val="24"/>
        </w:rPr>
      </w:pPr>
      <w:r>
        <w:rPr>
          <w:kern w:val="0"/>
          <w:szCs w:val="24"/>
        </w:rPr>
        <w:t>Keywords: Articles, Papers</w:t>
      </w:r>
    </w:p>
    <w:p w:rsidR="004832FF" w:rsidRDefault="004832FF" w:rsidP="004832FF">
      <w:pPr>
        <w:pStyle w:val="a3"/>
      </w:pPr>
      <w:r>
        <w:rPr>
          <w:rFonts w:hint="eastAsia"/>
        </w:rPr>
        <w:t>Notes: highly cited</w:t>
      </w:r>
    </w:p>
    <w:p w:rsidR="004832FF" w:rsidRPr="001A3D2B" w:rsidRDefault="004832FF" w:rsidP="004832FF">
      <w:pPr>
        <w:pStyle w:val="a3"/>
      </w:pPr>
      <w:r w:rsidRPr="001A3D2B">
        <w:t xml:space="preserve">? Garfield, E. (1976), </w:t>
      </w:r>
      <w:r>
        <w:t>Social Sciences Citation Index clusters</w:t>
      </w:r>
      <w:r w:rsidRPr="001A3D2B">
        <w:t xml:space="preserve">. </w:t>
      </w:r>
      <w:r w:rsidRPr="001A3D2B">
        <w:rPr>
          <w:i/>
          <w:iCs/>
        </w:rPr>
        <w:t>Current Contents</w:t>
      </w:r>
      <w:r w:rsidRPr="001A3D2B">
        <w:t xml:space="preserve">, </w:t>
      </w:r>
      <w:r>
        <w:rPr>
          <w:rFonts w:hint="eastAsia"/>
          <w:b/>
          <w:bCs/>
        </w:rPr>
        <w:t>2</w:t>
      </w:r>
      <w:r w:rsidRPr="001A3D2B">
        <w:rPr>
          <w:b/>
          <w:bCs/>
        </w:rPr>
        <w:t>7</w:t>
      </w:r>
      <w:r w:rsidRPr="001A3D2B">
        <w:t>, 5-1</w:t>
      </w:r>
      <w:r>
        <w:rPr>
          <w:rFonts w:hint="eastAsia"/>
        </w:rPr>
        <w:t>1</w:t>
      </w:r>
      <w:r w:rsidRPr="001A3D2B">
        <w:t>.</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(1976), Highly cited articles. 26. Articles from German Journals. </w:t>
      </w:r>
      <w:r>
        <w:rPr>
          <w:i/>
          <w:iCs/>
          <w:kern w:val="0"/>
          <w:szCs w:val="24"/>
        </w:rPr>
        <w:t>Current Contents</w:t>
      </w:r>
      <w:r>
        <w:rPr>
          <w:kern w:val="0"/>
          <w:szCs w:val="24"/>
        </w:rPr>
        <w:t xml:space="preserve">, </w:t>
      </w:r>
      <w:r>
        <w:rPr>
          <w:rFonts w:hint="eastAsia"/>
          <w:b/>
          <w:kern w:val="0"/>
          <w:szCs w:val="24"/>
        </w:rPr>
        <w:t>28</w:t>
      </w:r>
      <w:r>
        <w:rPr>
          <w:kern w:val="0"/>
          <w:szCs w:val="24"/>
        </w:rPr>
        <w:t>, 5-12</w:t>
      </w:r>
      <w:r>
        <w:rPr>
          <w:rFonts w:hint="eastAsia"/>
          <w:kern w:val="0"/>
          <w:szCs w:val="24"/>
        </w:rPr>
        <w:t>.</w:t>
      </w:r>
    </w:p>
    <w:p w:rsidR="001C74EC" w:rsidRDefault="001C74EC" w:rsidP="001C74EC">
      <w:pPr>
        <w:pStyle w:val="a3"/>
        <w:rPr>
          <w:kern w:val="0"/>
          <w:szCs w:val="24"/>
        </w:rPr>
      </w:pPr>
      <w:r>
        <w:rPr>
          <w:kern w:val="0"/>
          <w:szCs w:val="24"/>
        </w:rPr>
        <w:t>Keywords: Articles, Journals</w:t>
      </w:r>
    </w:p>
    <w:p w:rsidR="004832FF" w:rsidRDefault="004832FF" w:rsidP="004832FF">
      <w:pPr>
        <w:pStyle w:val="a3"/>
      </w:pPr>
      <w:r>
        <w:rPr>
          <w:rFonts w:hint="eastAsia"/>
        </w:rPr>
        <w:t>Notes: highly cited</w:t>
      </w:r>
    </w:p>
    <w:p w:rsidR="004832FF" w:rsidRPr="001A3D2B" w:rsidRDefault="004832FF" w:rsidP="004832FF">
      <w:pPr>
        <w:pStyle w:val="a3"/>
      </w:pPr>
      <w:r w:rsidRPr="001A3D2B">
        <w:t xml:space="preserve">? Garfield, E. (1976), </w:t>
      </w:r>
      <w:r>
        <w:t>Literature</w:t>
      </w:r>
      <w:r w:rsidR="00427468">
        <w:t xml:space="preserve"> of </w:t>
      </w:r>
      <w:r>
        <w:t>socia</w:t>
      </w:r>
      <w:r>
        <w:rPr>
          <w:rFonts w:hint="eastAsia"/>
        </w:rPr>
        <w:t xml:space="preserve">l </w:t>
      </w:r>
      <w:r>
        <w:t>sciences</w:t>
      </w:r>
      <w:r w:rsidR="005853A9">
        <w:t xml:space="preserve"> and </w:t>
      </w:r>
      <w:r w:rsidR="00D5664A">
        <w:t>USA</w:t>
      </w:r>
      <w:r>
        <w:t>ge</w:t>
      </w:r>
      <w:r w:rsidR="005853A9">
        <w:t xml:space="preserve"> and </w:t>
      </w:r>
      <w:r>
        <w:t>effectiveness</w:t>
      </w:r>
      <w:r w:rsidR="00427468">
        <w:t xml:space="preserve"> of </w:t>
      </w:r>
      <w:r>
        <w:t>Social Sciences Citation Index</w:t>
      </w:r>
      <w:r w:rsidRPr="001A3D2B">
        <w:t xml:space="preserve">. </w:t>
      </w:r>
      <w:r w:rsidRPr="001A3D2B">
        <w:rPr>
          <w:i/>
          <w:iCs/>
        </w:rPr>
        <w:t>Current Contents</w:t>
      </w:r>
      <w:r w:rsidRPr="001A3D2B">
        <w:t xml:space="preserve">, </w:t>
      </w:r>
      <w:r>
        <w:rPr>
          <w:rFonts w:hint="eastAsia"/>
          <w:b/>
          <w:bCs/>
        </w:rPr>
        <w:t>34</w:t>
      </w:r>
      <w:r w:rsidRPr="001A3D2B">
        <w:t>, 5-10.</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(1976), Highly cited articles. 27. Articles from Australian</w:t>
      </w:r>
      <w:r w:rsidR="005853A9">
        <w:rPr>
          <w:kern w:val="0"/>
          <w:szCs w:val="24"/>
        </w:rPr>
        <w:t xml:space="preserve"> and </w:t>
      </w:r>
      <w:r>
        <w:rPr>
          <w:kern w:val="0"/>
          <w:szCs w:val="24"/>
        </w:rPr>
        <w:t xml:space="preserve">New-Zealand Journals. </w:t>
      </w:r>
      <w:r>
        <w:rPr>
          <w:i/>
          <w:iCs/>
          <w:kern w:val="0"/>
          <w:szCs w:val="24"/>
        </w:rPr>
        <w:t>Current Contents</w:t>
      </w:r>
      <w:r>
        <w:rPr>
          <w:kern w:val="0"/>
          <w:szCs w:val="24"/>
        </w:rPr>
        <w:t xml:space="preserve">, </w:t>
      </w:r>
      <w:r>
        <w:rPr>
          <w:rFonts w:hint="eastAsia"/>
          <w:b/>
          <w:kern w:val="0"/>
          <w:szCs w:val="24"/>
        </w:rPr>
        <w:t>40</w:t>
      </w:r>
      <w:r>
        <w:rPr>
          <w:kern w:val="0"/>
          <w:szCs w:val="24"/>
        </w:rPr>
        <w:t>, 5-10</w:t>
      </w:r>
      <w:r>
        <w:rPr>
          <w:rFonts w:hint="eastAsia"/>
          <w:kern w:val="0"/>
          <w:szCs w:val="24"/>
        </w:rPr>
        <w:t>.</w:t>
      </w:r>
    </w:p>
    <w:p w:rsidR="001C74EC" w:rsidRDefault="001C74EC" w:rsidP="001C74EC">
      <w:pPr>
        <w:pStyle w:val="a3"/>
        <w:rPr>
          <w:kern w:val="0"/>
          <w:szCs w:val="24"/>
        </w:rPr>
      </w:pPr>
      <w:r>
        <w:rPr>
          <w:kern w:val="0"/>
          <w:szCs w:val="24"/>
        </w:rPr>
        <w:t>Keywords: Articles, Australian, Journals, New Zealand</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(1976), Highly cited articles. 29. Articles from Scandinavian Journals. </w:t>
      </w:r>
      <w:r>
        <w:rPr>
          <w:i/>
          <w:iCs/>
          <w:kern w:val="0"/>
          <w:szCs w:val="24"/>
        </w:rPr>
        <w:t>Current Contents</w:t>
      </w:r>
      <w:r>
        <w:rPr>
          <w:kern w:val="0"/>
          <w:szCs w:val="24"/>
        </w:rPr>
        <w:t xml:space="preserve">, </w:t>
      </w:r>
      <w:r>
        <w:rPr>
          <w:rFonts w:hint="eastAsia"/>
          <w:b/>
          <w:kern w:val="0"/>
          <w:szCs w:val="24"/>
        </w:rPr>
        <w:t>42</w:t>
      </w:r>
      <w:r>
        <w:rPr>
          <w:kern w:val="0"/>
          <w:szCs w:val="24"/>
        </w:rPr>
        <w:t>, 5-9</w:t>
      </w:r>
      <w:r>
        <w:rPr>
          <w:rFonts w:hint="eastAsia"/>
          <w:kern w:val="0"/>
          <w:szCs w:val="24"/>
        </w:rPr>
        <w:t>.</w:t>
      </w:r>
    </w:p>
    <w:p w:rsidR="001C74EC" w:rsidRDefault="001C74EC" w:rsidP="001C74EC">
      <w:pPr>
        <w:pStyle w:val="a3"/>
        <w:rPr>
          <w:kern w:val="0"/>
          <w:szCs w:val="24"/>
        </w:rPr>
      </w:pPr>
      <w:r>
        <w:rPr>
          <w:kern w:val="0"/>
          <w:szCs w:val="24"/>
        </w:rPr>
        <w:t>Keywords: Articles, Journals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(1976), Highly cited articles. 32. Articles from East European Journals. </w:t>
      </w:r>
      <w:r>
        <w:rPr>
          <w:i/>
          <w:iCs/>
          <w:kern w:val="0"/>
          <w:szCs w:val="24"/>
        </w:rPr>
        <w:t>Current Contents</w:t>
      </w:r>
      <w:r>
        <w:rPr>
          <w:kern w:val="0"/>
          <w:szCs w:val="24"/>
        </w:rPr>
        <w:t xml:space="preserve">, </w:t>
      </w:r>
      <w:r>
        <w:rPr>
          <w:rFonts w:hint="eastAsia"/>
          <w:b/>
          <w:kern w:val="0"/>
          <w:szCs w:val="24"/>
        </w:rPr>
        <w:t>46</w:t>
      </w:r>
      <w:r>
        <w:rPr>
          <w:kern w:val="0"/>
          <w:szCs w:val="24"/>
        </w:rPr>
        <w:t>, 5-9</w:t>
      </w:r>
      <w:r>
        <w:rPr>
          <w:rFonts w:hint="eastAsia"/>
          <w:kern w:val="0"/>
          <w:szCs w:val="24"/>
        </w:rPr>
        <w:t>.</w:t>
      </w:r>
    </w:p>
    <w:p w:rsidR="001C74EC" w:rsidRDefault="001C74EC" w:rsidP="001C74EC">
      <w:pPr>
        <w:pStyle w:val="a3"/>
        <w:rPr>
          <w:kern w:val="0"/>
          <w:szCs w:val="24"/>
        </w:rPr>
      </w:pPr>
      <w:r>
        <w:rPr>
          <w:kern w:val="0"/>
          <w:szCs w:val="24"/>
        </w:rPr>
        <w:t>Keywords: Articles, Journals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(1976), Highly cited articles. 33. 100 Articles from Pathology Journals. </w:t>
      </w:r>
      <w:r>
        <w:rPr>
          <w:i/>
          <w:iCs/>
          <w:kern w:val="0"/>
          <w:szCs w:val="24"/>
        </w:rPr>
        <w:t>Current Contents</w:t>
      </w:r>
      <w:r>
        <w:rPr>
          <w:kern w:val="0"/>
          <w:szCs w:val="24"/>
        </w:rPr>
        <w:t xml:space="preserve">, </w:t>
      </w:r>
      <w:r>
        <w:rPr>
          <w:rFonts w:hint="eastAsia"/>
          <w:b/>
          <w:kern w:val="0"/>
          <w:szCs w:val="24"/>
        </w:rPr>
        <w:t>50</w:t>
      </w:r>
      <w:r>
        <w:rPr>
          <w:kern w:val="0"/>
          <w:szCs w:val="24"/>
        </w:rPr>
        <w:t>, 5-10</w:t>
      </w:r>
      <w:r>
        <w:rPr>
          <w:rFonts w:hint="eastAsia"/>
          <w:kern w:val="0"/>
          <w:szCs w:val="24"/>
        </w:rPr>
        <w:t>.</w:t>
      </w:r>
    </w:p>
    <w:p w:rsidR="001C74EC" w:rsidRDefault="001C74EC" w:rsidP="001C74EC">
      <w:pPr>
        <w:pStyle w:val="a3"/>
        <w:rPr>
          <w:kern w:val="0"/>
          <w:szCs w:val="24"/>
        </w:rPr>
      </w:pPr>
      <w:r>
        <w:rPr>
          <w:kern w:val="0"/>
          <w:szCs w:val="24"/>
        </w:rPr>
        <w:t>Keywords: Articles, Journals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(1977), Highly cited articles. 33. Articles from Italian Journals</w:t>
      </w:r>
      <w:r w:rsidR="005853A9">
        <w:rPr>
          <w:kern w:val="0"/>
          <w:szCs w:val="24"/>
        </w:rPr>
        <w:t xml:space="preserve"> and </w:t>
      </w:r>
      <w:r>
        <w:rPr>
          <w:kern w:val="0"/>
          <w:szCs w:val="24"/>
        </w:rPr>
        <w:t xml:space="preserve">from Italian Laboratories. </w:t>
      </w:r>
      <w:r>
        <w:rPr>
          <w:i/>
          <w:iCs/>
          <w:kern w:val="0"/>
          <w:szCs w:val="24"/>
        </w:rPr>
        <w:t>Current Contents</w:t>
      </w:r>
      <w:r>
        <w:rPr>
          <w:kern w:val="0"/>
          <w:szCs w:val="24"/>
        </w:rPr>
        <w:t xml:space="preserve">, </w:t>
      </w:r>
      <w:r>
        <w:rPr>
          <w:rFonts w:hint="eastAsia"/>
          <w:b/>
          <w:kern w:val="0"/>
          <w:szCs w:val="24"/>
        </w:rPr>
        <w:t>6</w:t>
      </w:r>
      <w:r>
        <w:rPr>
          <w:kern w:val="0"/>
          <w:szCs w:val="24"/>
        </w:rPr>
        <w:t>, 5-12</w:t>
      </w:r>
      <w:r>
        <w:rPr>
          <w:rFonts w:hint="eastAsia"/>
          <w:kern w:val="0"/>
          <w:szCs w:val="24"/>
        </w:rPr>
        <w:t>.</w:t>
      </w:r>
    </w:p>
    <w:p w:rsidR="001C74EC" w:rsidRDefault="001C74EC" w:rsidP="001C74EC">
      <w:pPr>
        <w:pStyle w:val="a3"/>
        <w:rPr>
          <w:kern w:val="0"/>
          <w:szCs w:val="24"/>
        </w:rPr>
      </w:pPr>
      <w:r>
        <w:rPr>
          <w:kern w:val="0"/>
          <w:szCs w:val="24"/>
        </w:rPr>
        <w:t>Keywords: Articles, Journals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(1977), Highly cited articles. 35. Biochemistry Papers Published in 1940S. </w:t>
      </w:r>
      <w:r>
        <w:rPr>
          <w:i/>
          <w:iCs/>
          <w:kern w:val="0"/>
          <w:szCs w:val="24"/>
        </w:rPr>
        <w:t>Current Contents</w:t>
      </w:r>
      <w:r>
        <w:rPr>
          <w:kern w:val="0"/>
          <w:szCs w:val="24"/>
        </w:rPr>
        <w:t xml:space="preserve">, </w:t>
      </w:r>
      <w:r>
        <w:rPr>
          <w:rFonts w:hint="eastAsia"/>
          <w:b/>
          <w:kern w:val="0"/>
          <w:szCs w:val="24"/>
        </w:rPr>
        <w:t>8</w:t>
      </w:r>
      <w:r>
        <w:rPr>
          <w:kern w:val="0"/>
          <w:szCs w:val="24"/>
        </w:rPr>
        <w:t>, 5-11</w:t>
      </w:r>
      <w:r>
        <w:rPr>
          <w:rFonts w:hint="eastAsia"/>
          <w:kern w:val="0"/>
          <w:szCs w:val="24"/>
        </w:rPr>
        <w:t>.</w:t>
      </w:r>
    </w:p>
    <w:p w:rsidR="001C74EC" w:rsidRDefault="001C74EC" w:rsidP="001C74EC">
      <w:pPr>
        <w:pStyle w:val="a3"/>
        <w:rPr>
          <w:kern w:val="0"/>
          <w:szCs w:val="24"/>
        </w:rPr>
      </w:pPr>
      <w:r>
        <w:rPr>
          <w:kern w:val="0"/>
          <w:szCs w:val="24"/>
        </w:rPr>
        <w:lastRenderedPageBreak/>
        <w:t>Keywords: Articles, Papers</w:t>
      </w:r>
    </w:p>
    <w:p w:rsidR="003474F2" w:rsidRPr="001A3D2B" w:rsidRDefault="003474F2" w:rsidP="003474F2">
      <w:pPr>
        <w:pStyle w:val="a3"/>
      </w:pPr>
      <w:r w:rsidRPr="001A3D2B">
        <w:t xml:space="preserve">? Garfield, E. (1977), ISI adds non-journal material to 1977 Science Citation Index. </w:t>
      </w:r>
      <w:r w:rsidRPr="001A3D2B">
        <w:rPr>
          <w:i/>
          <w:iCs/>
        </w:rPr>
        <w:t>Current Contents</w:t>
      </w:r>
      <w:r w:rsidRPr="001A3D2B">
        <w:t xml:space="preserve">, </w:t>
      </w:r>
      <w:r w:rsidRPr="001A3D2B">
        <w:rPr>
          <w:b/>
          <w:bCs/>
        </w:rPr>
        <w:t>9</w:t>
      </w:r>
      <w:r w:rsidRPr="001A3D2B">
        <w:t>, 5-6.</w:t>
      </w:r>
    </w:p>
    <w:p w:rsidR="003474F2" w:rsidRPr="001A3D2B" w:rsidRDefault="003474F2" w:rsidP="003474F2">
      <w:pPr>
        <w:pStyle w:val="a3"/>
      </w:pPr>
      <w:r w:rsidRPr="001A3D2B">
        <w:t>Keywords: Science Citation Index</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(1977), Highly cited articles. 36. Physics, Chemistry</w:t>
      </w:r>
      <w:r w:rsidR="005853A9">
        <w:rPr>
          <w:kern w:val="0"/>
          <w:szCs w:val="24"/>
        </w:rPr>
        <w:t xml:space="preserve"> and </w:t>
      </w:r>
      <w:r>
        <w:rPr>
          <w:kern w:val="0"/>
          <w:szCs w:val="24"/>
        </w:rPr>
        <w:t>Mathematics Papers Published in 1940</w:t>
      </w:r>
      <w:r>
        <w:rPr>
          <w:rFonts w:hint="eastAsia"/>
          <w:kern w:val="0"/>
          <w:szCs w:val="24"/>
        </w:rPr>
        <w:t>s</w:t>
      </w:r>
      <w:r>
        <w:rPr>
          <w:kern w:val="0"/>
          <w:szCs w:val="24"/>
        </w:rPr>
        <w:t xml:space="preserve">. </w:t>
      </w:r>
      <w:r>
        <w:rPr>
          <w:i/>
          <w:iCs/>
          <w:kern w:val="0"/>
          <w:szCs w:val="24"/>
        </w:rPr>
        <w:t>Current Contents</w:t>
      </w:r>
      <w:r>
        <w:rPr>
          <w:kern w:val="0"/>
          <w:szCs w:val="24"/>
        </w:rPr>
        <w:t xml:space="preserve">, </w:t>
      </w:r>
      <w:r>
        <w:rPr>
          <w:rFonts w:hint="eastAsia"/>
          <w:b/>
          <w:kern w:val="0"/>
          <w:szCs w:val="24"/>
        </w:rPr>
        <w:t>10</w:t>
      </w:r>
      <w:r>
        <w:rPr>
          <w:kern w:val="0"/>
          <w:szCs w:val="24"/>
        </w:rPr>
        <w:t>, 5-11</w:t>
      </w:r>
      <w:r>
        <w:rPr>
          <w:rFonts w:hint="eastAsia"/>
          <w:kern w:val="0"/>
          <w:szCs w:val="24"/>
        </w:rPr>
        <w:t>.</w:t>
      </w:r>
    </w:p>
    <w:p w:rsidR="001C74EC" w:rsidRDefault="001C74EC" w:rsidP="001C74EC">
      <w:pPr>
        <w:pStyle w:val="a3"/>
        <w:rPr>
          <w:kern w:val="0"/>
          <w:szCs w:val="24"/>
        </w:rPr>
      </w:pPr>
      <w:r>
        <w:rPr>
          <w:kern w:val="0"/>
          <w:szCs w:val="24"/>
        </w:rPr>
        <w:t>Keywords: Articles, Papers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(1977), Highly cited articles. </w:t>
      </w:r>
      <w:r w:rsidRPr="009E7960">
        <w:rPr>
          <w:kern w:val="0"/>
          <w:szCs w:val="24"/>
        </w:rPr>
        <w:t>37</w:t>
      </w:r>
      <w:r>
        <w:rPr>
          <w:kern w:val="0"/>
          <w:szCs w:val="24"/>
        </w:rPr>
        <w:t xml:space="preserve">. Biomedical Articles Published in 1940S. </w:t>
      </w:r>
      <w:r>
        <w:rPr>
          <w:i/>
          <w:iCs/>
          <w:kern w:val="0"/>
          <w:szCs w:val="24"/>
        </w:rPr>
        <w:t>Current Contents</w:t>
      </w:r>
      <w:r>
        <w:rPr>
          <w:kern w:val="0"/>
          <w:szCs w:val="24"/>
        </w:rPr>
        <w:t xml:space="preserve">, </w:t>
      </w:r>
      <w:r>
        <w:rPr>
          <w:rFonts w:hint="eastAsia"/>
          <w:b/>
          <w:kern w:val="0"/>
          <w:szCs w:val="24"/>
        </w:rPr>
        <w:t>13</w:t>
      </w:r>
      <w:r>
        <w:rPr>
          <w:kern w:val="0"/>
          <w:szCs w:val="24"/>
        </w:rPr>
        <w:t>, 5-12</w:t>
      </w:r>
      <w:r>
        <w:rPr>
          <w:rFonts w:hint="eastAsia"/>
          <w:kern w:val="0"/>
          <w:szCs w:val="24"/>
        </w:rPr>
        <w:t>.</w:t>
      </w:r>
    </w:p>
    <w:p w:rsidR="001C74EC" w:rsidRDefault="001C74EC" w:rsidP="001C74EC">
      <w:pPr>
        <w:pStyle w:val="a3"/>
        <w:rPr>
          <w:kern w:val="0"/>
          <w:szCs w:val="24"/>
        </w:rPr>
      </w:pPr>
      <w:r>
        <w:rPr>
          <w:kern w:val="0"/>
          <w:szCs w:val="24"/>
        </w:rPr>
        <w:t>Keywords: Articles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 xml:space="preserve">Garfield, E. (1977), Highly cited articles. 39. Biochemistry papers published in 1950S. </w:t>
      </w:r>
      <w:r>
        <w:rPr>
          <w:i/>
          <w:iCs/>
          <w:kern w:val="0"/>
          <w:szCs w:val="24"/>
        </w:rPr>
        <w:t>Current Contents</w:t>
      </w:r>
      <w:r>
        <w:rPr>
          <w:kern w:val="0"/>
          <w:szCs w:val="24"/>
        </w:rPr>
        <w:t xml:space="preserve">, </w:t>
      </w:r>
      <w:r>
        <w:rPr>
          <w:rFonts w:hint="eastAsia"/>
          <w:b/>
          <w:kern w:val="0"/>
          <w:szCs w:val="24"/>
        </w:rPr>
        <w:t>25</w:t>
      </w:r>
      <w:r>
        <w:rPr>
          <w:kern w:val="0"/>
          <w:szCs w:val="24"/>
        </w:rPr>
        <w:t>, 5-12</w:t>
      </w:r>
      <w:r>
        <w:rPr>
          <w:rFonts w:hint="eastAsia"/>
          <w:kern w:val="0"/>
          <w:szCs w:val="24"/>
        </w:rPr>
        <w:t>.</w:t>
      </w:r>
    </w:p>
    <w:p w:rsidR="001C74EC" w:rsidRDefault="001C74EC" w:rsidP="001C74EC">
      <w:pPr>
        <w:pStyle w:val="a3"/>
        <w:rPr>
          <w:kern w:val="0"/>
          <w:szCs w:val="24"/>
        </w:rPr>
      </w:pPr>
      <w:r>
        <w:rPr>
          <w:kern w:val="0"/>
          <w:szCs w:val="24"/>
        </w:rPr>
        <w:t>Keywords: Articles, Papers</w:t>
      </w:r>
    </w:p>
    <w:p w:rsidR="001C74EC" w:rsidRDefault="001C74EC" w:rsidP="001C74EC">
      <w:pPr>
        <w:pStyle w:val="a3"/>
      </w:pPr>
      <w:r>
        <w:rPr>
          <w:rFonts w:hint="eastAsia"/>
        </w:rPr>
        <w:t>Notes: highly cited</w:t>
      </w:r>
    </w:p>
    <w:p w:rsidR="001C74EC" w:rsidRDefault="001C74EC" w:rsidP="001C74EC">
      <w:pPr>
        <w:pStyle w:val="a3"/>
        <w:rPr>
          <w:kern w:val="0"/>
          <w:szCs w:val="24"/>
        </w:rPr>
      </w:pPr>
      <w:r>
        <w:rPr>
          <w:rFonts w:hint="eastAsia"/>
          <w:kern w:val="0"/>
          <w:szCs w:val="24"/>
        </w:rPr>
        <w:t xml:space="preserve">? </w:t>
      </w:r>
      <w:r>
        <w:rPr>
          <w:kern w:val="0"/>
          <w:szCs w:val="24"/>
        </w:rPr>
        <w:t>Garfield, E. (1977), Highly cited articles. 40. Biomedical</w:t>
      </w:r>
      <w:r w:rsidR="005853A9">
        <w:rPr>
          <w:kern w:val="0"/>
          <w:szCs w:val="24"/>
        </w:rPr>
        <w:t xml:space="preserve"> and </w:t>
      </w:r>
      <w:r>
        <w:rPr>
          <w:kern w:val="0"/>
          <w:szCs w:val="24"/>
        </w:rPr>
        <w:t>behavioral papers published in 1950</w:t>
      </w:r>
      <w:r>
        <w:rPr>
          <w:rFonts w:hint="eastAsia"/>
          <w:kern w:val="0"/>
          <w:szCs w:val="24"/>
        </w:rPr>
        <w:t>s</w:t>
      </w:r>
      <w:r>
        <w:rPr>
          <w:kern w:val="0"/>
          <w:szCs w:val="24"/>
        </w:rPr>
        <w:t xml:space="preserve">. </w:t>
      </w:r>
      <w:r>
        <w:rPr>
          <w:i/>
          <w:iCs/>
          <w:kern w:val="0"/>
          <w:szCs w:val="24"/>
        </w:rPr>
        <w:t>Current Contents</w:t>
      </w:r>
      <w:r>
        <w:rPr>
          <w:kern w:val="0"/>
          <w:szCs w:val="24"/>
        </w:rPr>
        <w:t xml:space="preserve">, </w:t>
      </w:r>
      <w:r>
        <w:rPr>
          <w:rFonts w:hint="eastAsia"/>
          <w:b/>
          <w:kern w:val="0"/>
          <w:szCs w:val="24"/>
        </w:rPr>
        <w:t>29</w:t>
      </w:r>
      <w:r>
        <w:rPr>
          <w:kern w:val="0"/>
          <w:szCs w:val="24"/>
        </w:rPr>
        <w:t>, 5-12</w:t>
      </w:r>
      <w:r>
        <w:rPr>
          <w:rFonts w:hint="eastAsia"/>
          <w:kern w:val="0"/>
          <w:szCs w:val="24"/>
        </w:rPr>
        <w:t>.</w:t>
      </w:r>
    </w:p>
    <w:p w:rsidR="001C74EC" w:rsidRDefault="001C74EC" w:rsidP="001C74EC">
      <w:pPr>
        <w:pStyle w:val="a3"/>
        <w:rPr>
          <w:kern w:val="0"/>
          <w:szCs w:val="24"/>
        </w:rPr>
      </w:pPr>
      <w:r>
        <w:rPr>
          <w:kern w:val="0"/>
          <w:szCs w:val="24"/>
        </w:rPr>
        <w:t>Keywords: Articles, Papers</w:t>
      </w:r>
    </w:p>
    <w:p w:rsidR="00D17A03" w:rsidRDefault="00D17A03" w:rsidP="00D17A03">
      <w:pPr>
        <w:pStyle w:val="a3"/>
        <w:rPr>
          <w:kern w:val="0"/>
        </w:rPr>
      </w:pPr>
      <w:r>
        <w:rPr>
          <w:rFonts w:hint="eastAsia"/>
          <w:kern w:val="0"/>
        </w:rPr>
        <w:t xml:space="preserve">? </w:t>
      </w:r>
      <w:r>
        <w:rPr>
          <w:kern w:val="0"/>
        </w:rPr>
        <w:t xml:space="preserve">Garfield, E. (1977), </w:t>
      </w:r>
      <w:r w:rsidRPr="00D17A03">
        <w:rPr>
          <w:kern w:val="0"/>
        </w:rPr>
        <w:t>Will ISI</w:t>
      </w:r>
      <w:r>
        <w:rPr>
          <w:kern w:val="0"/>
        </w:rPr>
        <w:t>’</w:t>
      </w:r>
      <w:r w:rsidRPr="00D17A03">
        <w:rPr>
          <w:kern w:val="0"/>
        </w:rPr>
        <w:t>s Arts and Humanities Citation Index revolutionize scholarship</w:t>
      </w:r>
      <w:r>
        <w:rPr>
          <w:rFonts w:hint="eastAsia"/>
          <w:kern w:val="0"/>
        </w:rPr>
        <w:t>?</w:t>
      </w:r>
      <w:r>
        <w:rPr>
          <w:kern w:val="0"/>
        </w:rPr>
        <w:t xml:space="preserve"> </w:t>
      </w:r>
      <w:r>
        <w:rPr>
          <w:i/>
          <w:iCs/>
          <w:kern w:val="0"/>
        </w:rPr>
        <w:t>Current Contents</w:t>
      </w:r>
      <w:r>
        <w:rPr>
          <w:kern w:val="0"/>
        </w:rPr>
        <w:t xml:space="preserve">, </w:t>
      </w:r>
      <w:r>
        <w:rPr>
          <w:rFonts w:hint="eastAsia"/>
          <w:b/>
          <w:kern w:val="0"/>
        </w:rPr>
        <w:t>32</w:t>
      </w:r>
      <w:r>
        <w:rPr>
          <w:kern w:val="0"/>
        </w:rPr>
        <w:t xml:space="preserve">, </w:t>
      </w:r>
      <w:r w:rsidRPr="00D17A03">
        <w:rPr>
          <w:kern w:val="0"/>
        </w:rPr>
        <w:t>5-9</w:t>
      </w:r>
      <w:r>
        <w:rPr>
          <w:rFonts w:hint="eastAsia"/>
          <w:kern w:val="0"/>
        </w:rPr>
        <w:t>.</w:t>
      </w:r>
    </w:p>
    <w:p w:rsidR="00D17A03" w:rsidRDefault="00D17A03" w:rsidP="00D17A03">
      <w:pPr>
        <w:pStyle w:val="a3"/>
        <w:rPr>
          <w:kern w:val="0"/>
        </w:rPr>
      </w:pPr>
      <w:r>
        <w:rPr>
          <w:rFonts w:hint="eastAsia"/>
          <w:kern w:val="0"/>
        </w:rPr>
        <w:t>Full Text: 1960-80\Cur Con32, 5.pdf</w:t>
      </w:r>
    </w:p>
    <w:p w:rsidR="00D17A03" w:rsidRDefault="00D17A03" w:rsidP="00D17A03">
      <w:pPr>
        <w:pStyle w:val="a3"/>
        <w:rPr>
          <w:kern w:val="0"/>
        </w:rPr>
      </w:pPr>
      <w:r>
        <w:rPr>
          <w:rFonts w:hint="eastAsia"/>
          <w:kern w:val="0"/>
        </w:rPr>
        <w:t xml:space="preserve">? </w:t>
      </w:r>
      <w:r>
        <w:rPr>
          <w:kern w:val="0"/>
        </w:rPr>
        <w:t>Garfield, E. (1977), 250 most cited primary authors, 1961-1975.</w:t>
      </w:r>
      <w:r>
        <w:rPr>
          <w:rFonts w:hint="eastAsia"/>
          <w:kern w:val="0"/>
        </w:rPr>
        <w:t xml:space="preserve"> </w:t>
      </w:r>
      <w:r>
        <w:rPr>
          <w:kern w:val="0"/>
        </w:rPr>
        <w:t xml:space="preserve">1. How names were selected. </w:t>
      </w:r>
      <w:r>
        <w:rPr>
          <w:i/>
          <w:iCs/>
          <w:kern w:val="0"/>
        </w:rPr>
        <w:t>Current Contents</w:t>
      </w:r>
      <w:r>
        <w:rPr>
          <w:kern w:val="0"/>
        </w:rPr>
        <w:t xml:space="preserve">, </w:t>
      </w:r>
      <w:r>
        <w:rPr>
          <w:rFonts w:hint="eastAsia"/>
          <w:b/>
          <w:kern w:val="0"/>
        </w:rPr>
        <w:t>49</w:t>
      </w:r>
      <w:r>
        <w:rPr>
          <w:kern w:val="0"/>
        </w:rPr>
        <w:t>, 5-15</w:t>
      </w:r>
      <w:r>
        <w:rPr>
          <w:rFonts w:hint="eastAsia"/>
          <w:kern w:val="0"/>
        </w:rPr>
        <w:t>.</w:t>
      </w:r>
    </w:p>
    <w:p w:rsidR="00675518" w:rsidRDefault="00675518" w:rsidP="00675518">
      <w:pPr>
        <w:pStyle w:val="a3"/>
        <w:rPr>
          <w:kern w:val="0"/>
        </w:rPr>
      </w:pPr>
      <w:r>
        <w:rPr>
          <w:kern w:val="0"/>
        </w:rPr>
        <w:t>Keywords: Authors</w:t>
      </w:r>
      <w:r>
        <w:rPr>
          <w:rFonts w:hint="eastAsia"/>
          <w:kern w:val="0"/>
        </w:rPr>
        <w:t xml:space="preserve">, </w:t>
      </w:r>
      <w:r>
        <w:rPr>
          <w:kern w:val="0"/>
        </w:rPr>
        <w:t>Primary</w:t>
      </w:r>
    </w:p>
    <w:p w:rsidR="00675518" w:rsidRDefault="00675518" w:rsidP="00675518">
      <w:pPr>
        <w:pStyle w:val="a3"/>
        <w:rPr>
          <w:kern w:val="0"/>
        </w:rPr>
      </w:pPr>
      <w:r>
        <w:rPr>
          <w:rFonts w:hint="eastAsia"/>
          <w:kern w:val="0"/>
        </w:rPr>
        <w:t xml:space="preserve">? </w:t>
      </w:r>
      <w:r>
        <w:rPr>
          <w:kern w:val="0"/>
        </w:rPr>
        <w:t>Garfield, E. (1977), 250 most-cited primary authors, 1961-1975.</w:t>
      </w:r>
      <w:r>
        <w:rPr>
          <w:rFonts w:hint="eastAsia"/>
          <w:kern w:val="0"/>
        </w:rPr>
        <w:t xml:space="preserve"> </w:t>
      </w:r>
      <w:r>
        <w:rPr>
          <w:kern w:val="0"/>
        </w:rPr>
        <w:t>2. Correlation between citedness, Nobel-Prizes,</w:t>
      </w:r>
      <w:r w:rsidR="005853A9">
        <w:rPr>
          <w:kern w:val="0"/>
        </w:rPr>
        <w:t xml:space="preserve"> and </w:t>
      </w:r>
      <w:r>
        <w:rPr>
          <w:kern w:val="0"/>
        </w:rPr>
        <w:t xml:space="preserve">academy memberships. </w:t>
      </w:r>
      <w:r>
        <w:rPr>
          <w:i/>
          <w:iCs/>
          <w:kern w:val="0"/>
        </w:rPr>
        <w:t>Current Contents</w:t>
      </w:r>
      <w:r>
        <w:rPr>
          <w:kern w:val="0"/>
        </w:rPr>
        <w:t xml:space="preserve">, </w:t>
      </w:r>
      <w:r>
        <w:rPr>
          <w:rFonts w:hint="eastAsia"/>
          <w:b/>
          <w:kern w:val="0"/>
        </w:rPr>
        <w:t>50</w:t>
      </w:r>
      <w:r>
        <w:rPr>
          <w:kern w:val="0"/>
        </w:rPr>
        <w:t>, 5-15</w:t>
      </w:r>
      <w:r>
        <w:rPr>
          <w:rFonts w:hint="eastAsia"/>
          <w:kern w:val="0"/>
        </w:rPr>
        <w:t>.</w:t>
      </w:r>
    </w:p>
    <w:p w:rsidR="00675518" w:rsidRDefault="00675518" w:rsidP="00675518">
      <w:pPr>
        <w:pStyle w:val="a3"/>
        <w:rPr>
          <w:kern w:val="0"/>
        </w:rPr>
      </w:pPr>
      <w:r>
        <w:rPr>
          <w:kern w:val="0"/>
        </w:rPr>
        <w:t>Keywords: Authors, Correlation, Primary</w:t>
      </w:r>
    </w:p>
    <w:p w:rsidR="00675518" w:rsidRDefault="00675518" w:rsidP="00675518">
      <w:pPr>
        <w:pStyle w:val="a3"/>
        <w:rPr>
          <w:kern w:val="0"/>
        </w:rPr>
      </w:pPr>
      <w:r>
        <w:rPr>
          <w:rFonts w:hint="eastAsia"/>
          <w:kern w:val="0"/>
        </w:rPr>
        <w:t xml:space="preserve">? </w:t>
      </w:r>
      <w:r>
        <w:rPr>
          <w:kern w:val="0"/>
        </w:rPr>
        <w:t>Garfield, E. (1977), 250 most-cited primary authors, 1961-1975.</w:t>
      </w:r>
      <w:r>
        <w:rPr>
          <w:rFonts w:hint="eastAsia"/>
          <w:kern w:val="0"/>
        </w:rPr>
        <w:t xml:space="preserve"> </w:t>
      </w:r>
      <w:r>
        <w:rPr>
          <w:kern w:val="0"/>
        </w:rPr>
        <w:t xml:space="preserve">3. Each authors most-cited publication. </w:t>
      </w:r>
      <w:r>
        <w:rPr>
          <w:i/>
          <w:iCs/>
          <w:kern w:val="0"/>
        </w:rPr>
        <w:t>Current Contents</w:t>
      </w:r>
      <w:r>
        <w:rPr>
          <w:kern w:val="0"/>
        </w:rPr>
        <w:t xml:space="preserve">, </w:t>
      </w:r>
      <w:r>
        <w:rPr>
          <w:rFonts w:hint="eastAsia"/>
          <w:b/>
          <w:kern w:val="0"/>
        </w:rPr>
        <w:t>51</w:t>
      </w:r>
      <w:r>
        <w:rPr>
          <w:kern w:val="0"/>
        </w:rPr>
        <w:t>, 5-20</w:t>
      </w:r>
      <w:r>
        <w:rPr>
          <w:rFonts w:hint="eastAsia"/>
          <w:kern w:val="0"/>
        </w:rPr>
        <w:t>.</w:t>
      </w:r>
    </w:p>
    <w:p w:rsidR="00675518" w:rsidRDefault="00675518" w:rsidP="00675518">
      <w:pPr>
        <w:pStyle w:val="a3"/>
        <w:rPr>
          <w:kern w:val="0"/>
        </w:rPr>
      </w:pPr>
      <w:r>
        <w:rPr>
          <w:kern w:val="0"/>
        </w:rPr>
        <w:t>Keywords: Authors, Primary, Publication</w:t>
      </w:r>
    </w:p>
    <w:p w:rsidR="00664410" w:rsidRDefault="00664410" w:rsidP="00664410">
      <w:pPr>
        <w:pStyle w:val="a3"/>
      </w:pPr>
      <w:r>
        <w:rPr>
          <w:rFonts w:hint="eastAsia"/>
        </w:rPr>
        <w:t>Notes: highly cited</w:t>
      </w:r>
    </w:p>
    <w:p w:rsidR="00675518" w:rsidRDefault="00675518" w:rsidP="00675518">
      <w:pPr>
        <w:pStyle w:val="a3"/>
        <w:rPr>
          <w:kern w:val="0"/>
        </w:rPr>
      </w:pPr>
      <w:r>
        <w:rPr>
          <w:rFonts w:hint="eastAsia"/>
          <w:kern w:val="0"/>
        </w:rPr>
        <w:t xml:space="preserve">? </w:t>
      </w:r>
      <w:r>
        <w:rPr>
          <w:kern w:val="0"/>
        </w:rPr>
        <w:t>Garfield, E. (1978), So Whos perfect - Corrections</w:t>
      </w:r>
      <w:r w:rsidR="005853A9">
        <w:rPr>
          <w:kern w:val="0"/>
        </w:rPr>
        <w:t xml:space="preserve"> and </w:t>
      </w:r>
      <w:r>
        <w:rPr>
          <w:kern w:val="0"/>
        </w:rPr>
        <w:t xml:space="preserve">additions to 250 most-cited authors list. </w:t>
      </w:r>
      <w:r>
        <w:rPr>
          <w:i/>
          <w:iCs/>
          <w:kern w:val="0"/>
        </w:rPr>
        <w:t>Current Contents</w:t>
      </w:r>
      <w:r>
        <w:rPr>
          <w:kern w:val="0"/>
        </w:rPr>
        <w:t xml:space="preserve">, </w:t>
      </w:r>
      <w:r>
        <w:rPr>
          <w:rFonts w:hint="eastAsia"/>
          <w:b/>
          <w:kern w:val="0"/>
        </w:rPr>
        <w:t>21</w:t>
      </w:r>
      <w:r>
        <w:rPr>
          <w:kern w:val="0"/>
        </w:rPr>
        <w:t>, 5-10</w:t>
      </w:r>
      <w:r>
        <w:rPr>
          <w:rFonts w:hint="eastAsia"/>
          <w:kern w:val="0"/>
        </w:rPr>
        <w:t>.</w:t>
      </w:r>
    </w:p>
    <w:p w:rsidR="00675518" w:rsidRDefault="00675518" w:rsidP="00675518">
      <w:pPr>
        <w:pStyle w:val="a3"/>
        <w:rPr>
          <w:kern w:val="0"/>
        </w:rPr>
      </w:pPr>
      <w:r>
        <w:rPr>
          <w:kern w:val="0"/>
        </w:rPr>
        <w:t>Keywords: Authors</w:t>
      </w:r>
    </w:p>
    <w:p w:rsidR="00675518" w:rsidRDefault="00675518" w:rsidP="00675518">
      <w:pPr>
        <w:pStyle w:val="a3"/>
        <w:rPr>
          <w:kern w:val="0"/>
        </w:rPr>
      </w:pPr>
      <w:r>
        <w:rPr>
          <w:rFonts w:hint="eastAsia"/>
          <w:kern w:val="0"/>
        </w:rPr>
        <w:t xml:space="preserve">? </w:t>
      </w:r>
      <w:r>
        <w:rPr>
          <w:kern w:val="0"/>
        </w:rPr>
        <w:t>Garfield, E. (1978), 300 most-cited authors, 1961-1976, including co-authors at last.</w:t>
      </w:r>
      <w:r>
        <w:rPr>
          <w:rFonts w:hint="eastAsia"/>
          <w:kern w:val="0"/>
        </w:rPr>
        <w:t xml:space="preserve"> </w:t>
      </w:r>
      <w:r>
        <w:rPr>
          <w:kern w:val="0"/>
        </w:rPr>
        <w:t xml:space="preserve">1. How names were selected. </w:t>
      </w:r>
      <w:r>
        <w:rPr>
          <w:i/>
          <w:iCs/>
          <w:kern w:val="0"/>
        </w:rPr>
        <w:t>Current Contents</w:t>
      </w:r>
      <w:r>
        <w:rPr>
          <w:kern w:val="0"/>
        </w:rPr>
        <w:t xml:space="preserve">, </w:t>
      </w:r>
      <w:r>
        <w:rPr>
          <w:rFonts w:hint="eastAsia"/>
          <w:b/>
          <w:kern w:val="0"/>
        </w:rPr>
        <w:t>28</w:t>
      </w:r>
      <w:r>
        <w:rPr>
          <w:kern w:val="0"/>
        </w:rPr>
        <w:t>, 5-17</w:t>
      </w:r>
      <w:r>
        <w:rPr>
          <w:rFonts w:hint="eastAsia"/>
          <w:kern w:val="0"/>
        </w:rPr>
        <w:t>.</w:t>
      </w:r>
    </w:p>
    <w:p w:rsidR="00675518" w:rsidRDefault="00675518" w:rsidP="00675518">
      <w:pPr>
        <w:pStyle w:val="a3"/>
        <w:rPr>
          <w:kern w:val="0"/>
        </w:rPr>
      </w:pPr>
      <w:r>
        <w:rPr>
          <w:kern w:val="0"/>
        </w:rPr>
        <w:lastRenderedPageBreak/>
        <w:t>Keywords: Authors</w:t>
      </w:r>
    </w:p>
    <w:p w:rsidR="003474F2" w:rsidRPr="001A3D2B" w:rsidRDefault="003474F2" w:rsidP="003474F2">
      <w:pPr>
        <w:pStyle w:val="a3"/>
      </w:pPr>
      <w:r w:rsidRPr="001A3D2B">
        <w:t xml:space="preserve">? Garfield, E. (1978), Endless quest for timeliness - 4th Quarterly-Science Citation Index. </w:t>
      </w:r>
      <w:r w:rsidRPr="001A3D2B">
        <w:rPr>
          <w:i/>
          <w:iCs/>
        </w:rPr>
        <w:t>Current Contents</w:t>
      </w:r>
      <w:r w:rsidRPr="001A3D2B">
        <w:t xml:space="preserve">, </w:t>
      </w:r>
      <w:r w:rsidRPr="001A3D2B">
        <w:rPr>
          <w:b/>
          <w:bCs/>
        </w:rPr>
        <w:t>31</w:t>
      </w:r>
      <w:r w:rsidRPr="001A3D2B">
        <w:t>, 5-8.</w:t>
      </w:r>
    </w:p>
    <w:p w:rsidR="003B2D6E" w:rsidRDefault="003B2D6E" w:rsidP="003B2D6E">
      <w:pPr>
        <w:pStyle w:val="a3"/>
      </w:pPr>
      <w:r w:rsidRPr="00C73C58">
        <w:t xml:space="preserve">? Garfield, E. (1978), </w:t>
      </w:r>
      <w:r>
        <w:t>300 most-cited authors, 1961-1976, including co-authors.</w:t>
      </w:r>
      <w:r>
        <w:rPr>
          <w:rFonts w:hint="eastAsia"/>
        </w:rPr>
        <w:t xml:space="preserve"> </w:t>
      </w:r>
      <w:r>
        <w:t>3B</w:t>
      </w:r>
      <w:r w:rsidR="00A37C1D">
        <w:t>. The</w:t>
      </w:r>
      <w:r>
        <w:t>ir most-cited papers</w:t>
      </w:r>
      <w:r w:rsidR="005853A9">
        <w:t xml:space="preserve"> and </w:t>
      </w:r>
      <w:r>
        <w:t>a correction note</w:t>
      </w:r>
      <w:r w:rsidRPr="00C73C58">
        <w:t xml:space="preserve">. </w:t>
      </w:r>
      <w:r w:rsidRPr="00C73C58">
        <w:rPr>
          <w:i/>
          <w:iCs/>
        </w:rPr>
        <w:t>Current Contents</w:t>
      </w:r>
      <w:r w:rsidRPr="00C73C58">
        <w:t xml:space="preserve">, </w:t>
      </w:r>
      <w:r>
        <w:rPr>
          <w:rFonts w:hint="eastAsia"/>
          <w:b/>
          <w:bCs/>
        </w:rPr>
        <w:t>48</w:t>
      </w:r>
      <w:r w:rsidRPr="00C73C58">
        <w:t>, 5-</w:t>
      </w:r>
      <w:r>
        <w:rPr>
          <w:rFonts w:hint="eastAsia"/>
        </w:rPr>
        <w:t>12</w:t>
      </w:r>
      <w:r w:rsidRPr="00C73C58">
        <w:t>.</w:t>
      </w:r>
    </w:p>
    <w:p w:rsidR="00675518" w:rsidRDefault="00675518" w:rsidP="00675518">
      <w:pPr>
        <w:pStyle w:val="a3"/>
        <w:rPr>
          <w:kern w:val="0"/>
        </w:rPr>
      </w:pPr>
      <w:r>
        <w:rPr>
          <w:rFonts w:hint="eastAsia"/>
          <w:kern w:val="0"/>
        </w:rPr>
        <w:t xml:space="preserve">? </w:t>
      </w:r>
      <w:r>
        <w:rPr>
          <w:kern w:val="0"/>
        </w:rPr>
        <w:t>Garfield, E. (1978), 300 most-cited authors, 1961-1976, including co-authors.</w:t>
      </w:r>
      <w:r>
        <w:rPr>
          <w:rFonts w:hint="eastAsia"/>
          <w:kern w:val="0"/>
        </w:rPr>
        <w:t xml:space="preserve"> </w:t>
      </w:r>
      <w:r>
        <w:rPr>
          <w:kern w:val="0"/>
        </w:rPr>
        <w:t>3C</w:t>
      </w:r>
      <w:r w:rsidR="00A37C1D">
        <w:rPr>
          <w:kern w:val="0"/>
        </w:rPr>
        <w:t>. The</w:t>
      </w:r>
      <w:r>
        <w:rPr>
          <w:kern w:val="0"/>
        </w:rPr>
        <w:t>ir most-cited papers</w:t>
      </w:r>
      <w:r w:rsidR="005853A9">
        <w:rPr>
          <w:kern w:val="0"/>
        </w:rPr>
        <w:t xml:space="preserve"> and </w:t>
      </w:r>
      <w:r>
        <w:rPr>
          <w:kern w:val="0"/>
        </w:rPr>
        <w:t xml:space="preserve">affiliation data. </w:t>
      </w:r>
      <w:r>
        <w:rPr>
          <w:i/>
          <w:iCs/>
          <w:kern w:val="0"/>
        </w:rPr>
        <w:t>Current Contents</w:t>
      </w:r>
      <w:r>
        <w:rPr>
          <w:kern w:val="0"/>
        </w:rPr>
        <w:t xml:space="preserve">, </w:t>
      </w:r>
      <w:r>
        <w:rPr>
          <w:rFonts w:hint="eastAsia"/>
          <w:b/>
          <w:kern w:val="0"/>
        </w:rPr>
        <w:t>49</w:t>
      </w:r>
      <w:r>
        <w:rPr>
          <w:kern w:val="0"/>
        </w:rPr>
        <w:t>, 5-16</w:t>
      </w:r>
      <w:r>
        <w:rPr>
          <w:rFonts w:hint="eastAsia"/>
          <w:kern w:val="0"/>
        </w:rPr>
        <w:t>.</w:t>
      </w:r>
    </w:p>
    <w:p w:rsidR="00675518" w:rsidRDefault="00675518" w:rsidP="00675518">
      <w:pPr>
        <w:pStyle w:val="a3"/>
        <w:rPr>
          <w:kern w:val="0"/>
        </w:rPr>
      </w:pPr>
      <w:r>
        <w:rPr>
          <w:kern w:val="0"/>
        </w:rPr>
        <w:t>Keywords: Authors</w:t>
      </w:r>
    </w:p>
    <w:p w:rsidR="00675518" w:rsidRDefault="00675518" w:rsidP="00675518">
      <w:pPr>
        <w:pStyle w:val="a3"/>
        <w:rPr>
          <w:kern w:val="0"/>
        </w:rPr>
      </w:pPr>
      <w:r>
        <w:rPr>
          <w:rFonts w:hint="eastAsia"/>
          <w:kern w:val="0"/>
        </w:rPr>
        <w:t xml:space="preserve">? </w:t>
      </w:r>
      <w:r>
        <w:rPr>
          <w:kern w:val="0"/>
        </w:rPr>
        <w:t>Garfield, E. (1979), 1976 articles most cited in 1976</w:t>
      </w:r>
      <w:r w:rsidR="005853A9">
        <w:rPr>
          <w:kern w:val="0"/>
        </w:rPr>
        <w:t xml:space="preserve"> and </w:t>
      </w:r>
      <w:r>
        <w:rPr>
          <w:kern w:val="0"/>
        </w:rPr>
        <w:t>1977.</w:t>
      </w:r>
      <w:r>
        <w:rPr>
          <w:rFonts w:hint="eastAsia"/>
          <w:kern w:val="0"/>
        </w:rPr>
        <w:t xml:space="preserve"> </w:t>
      </w:r>
      <w:r>
        <w:rPr>
          <w:kern w:val="0"/>
        </w:rPr>
        <w:t xml:space="preserve">1. Life sciences. </w:t>
      </w:r>
      <w:r>
        <w:rPr>
          <w:i/>
          <w:iCs/>
          <w:kern w:val="0"/>
        </w:rPr>
        <w:t>Current Contents</w:t>
      </w:r>
      <w:r>
        <w:rPr>
          <w:kern w:val="0"/>
        </w:rPr>
        <w:t xml:space="preserve">, </w:t>
      </w:r>
      <w:r>
        <w:rPr>
          <w:rFonts w:hint="eastAsia"/>
          <w:b/>
          <w:kern w:val="0"/>
        </w:rPr>
        <w:t>13</w:t>
      </w:r>
      <w:r>
        <w:rPr>
          <w:kern w:val="0"/>
        </w:rPr>
        <w:t>, 5-23</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(1979), 1976 articles most cited in 1976</w:t>
      </w:r>
      <w:r w:rsidR="005853A9">
        <w:rPr>
          <w:kern w:val="0"/>
        </w:rPr>
        <w:t xml:space="preserve"> and </w:t>
      </w:r>
      <w:r>
        <w:rPr>
          <w:kern w:val="0"/>
        </w:rPr>
        <w:t>1977.</w:t>
      </w:r>
      <w:r>
        <w:rPr>
          <w:rFonts w:hint="eastAsia"/>
          <w:kern w:val="0"/>
        </w:rPr>
        <w:t xml:space="preserve"> </w:t>
      </w:r>
      <w:r>
        <w:rPr>
          <w:kern w:val="0"/>
        </w:rPr>
        <w:t xml:space="preserve">2. Physical sciences. </w:t>
      </w:r>
      <w:r>
        <w:rPr>
          <w:i/>
          <w:iCs/>
          <w:kern w:val="0"/>
        </w:rPr>
        <w:t>Current Contents</w:t>
      </w:r>
      <w:r>
        <w:rPr>
          <w:kern w:val="0"/>
        </w:rPr>
        <w:t xml:space="preserve">, </w:t>
      </w:r>
      <w:r>
        <w:rPr>
          <w:rFonts w:hint="eastAsia"/>
          <w:b/>
          <w:kern w:val="0"/>
        </w:rPr>
        <w:t>17</w:t>
      </w:r>
      <w:r>
        <w:rPr>
          <w:kern w:val="0"/>
        </w:rPr>
        <w:t>, 5-16</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(1979), Most-cited articles</w:t>
      </w:r>
      <w:r w:rsidR="00427468">
        <w:rPr>
          <w:kern w:val="0"/>
        </w:rPr>
        <w:t xml:space="preserve"> of </w:t>
      </w:r>
      <w:r w:rsidR="003A1917">
        <w:rPr>
          <w:kern w:val="0"/>
        </w:rPr>
        <w:t xml:space="preserve">the </w:t>
      </w:r>
      <w:r>
        <w:rPr>
          <w:kern w:val="0"/>
        </w:rPr>
        <w:t>1960s.</w:t>
      </w:r>
      <w:r>
        <w:rPr>
          <w:rFonts w:hint="eastAsia"/>
          <w:kern w:val="0"/>
        </w:rPr>
        <w:t xml:space="preserve"> </w:t>
      </w:r>
      <w:r>
        <w:rPr>
          <w:kern w:val="0"/>
        </w:rPr>
        <w:t xml:space="preserve">1. Physical sciences. </w:t>
      </w:r>
      <w:r>
        <w:rPr>
          <w:i/>
          <w:iCs/>
          <w:kern w:val="0"/>
        </w:rPr>
        <w:t>Current Contents</w:t>
      </w:r>
      <w:r>
        <w:rPr>
          <w:kern w:val="0"/>
        </w:rPr>
        <w:t xml:space="preserve">, </w:t>
      </w:r>
      <w:r>
        <w:rPr>
          <w:rFonts w:hint="eastAsia"/>
          <w:b/>
          <w:kern w:val="0"/>
        </w:rPr>
        <w:t>21</w:t>
      </w:r>
      <w:r>
        <w:rPr>
          <w:kern w:val="0"/>
        </w:rPr>
        <w:t>, 5-15</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(1979), Most-cited authors in</w:t>
      </w:r>
      <w:r w:rsidR="003A1917">
        <w:rPr>
          <w:kern w:val="0"/>
        </w:rPr>
        <w:t xml:space="preserve"> the </w:t>
      </w:r>
      <w:r>
        <w:rPr>
          <w:kern w:val="0"/>
        </w:rPr>
        <w:t>Arts</w:t>
      </w:r>
      <w:r w:rsidR="005853A9">
        <w:rPr>
          <w:kern w:val="0"/>
        </w:rPr>
        <w:t xml:space="preserve"> and </w:t>
      </w:r>
      <w:r>
        <w:rPr>
          <w:kern w:val="0"/>
        </w:rPr>
        <w:t xml:space="preserve">Humanities, 1977-1978. </w:t>
      </w:r>
      <w:r>
        <w:rPr>
          <w:i/>
          <w:iCs/>
          <w:kern w:val="0"/>
        </w:rPr>
        <w:t>Current Contents</w:t>
      </w:r>
      <w:r>
        <w:rPr>
          <w:kern w:val="0"/>
        </w:rPr>
        <w:t xml:space="preserve">, </w:t>
      </w:r>
      <w:r>
        <w:rPr>
          <w:rFonts w:hint="eastAsia"/>
          <w:b/>
          <w:kern w:val="0"/>
        </w:rPr>
        <w:t>32</w:t>
      </w:r>
      <w:r>
        <w:rPr>
          <w:kern w:val="0"/>
        </w:rPr>
        <w:t>, 5-10</w:t>
      </w:r>
      <w:r>
        <w:rPr>
          <w:rFonts w:hint="eastAsia"/>
          <w:kern w:val="0"/>
        </w:rPr>
        <w:t>.</w:t>
      </w:r>
    </w:p>
    <w:p w:rsidR="00675518" w:rsidRDefault="00675518" w:rsidP="00675518">
      <w:pPr>
        <w:pStyle w:val="a3"/>
        <w:rPr>
          <w:kern w:val="0"/>
        </w:rPr>
      </w:pPr>
      <w:r>
        <w:rPr>
          <w:kern w:val="0"/>
        </w:rPr>
        <w:t>Keywords: Arts, Authors, Humanities</w:t>
      </w:r>
    </w:p>
    <w:p w:rsidR="00675518" w:rsidRDefault="00675518" w:rsidP="00675518">
      <w:pPr>
        <w:pStyle w:val="a3"/>
        <w:rPr>
          <w:kern w:val="0"/>
        </w:rPr>
      </w:pPr>
      <w:r>
        <w:rPr>
          <w:rFonts w:hint="eastAsia"/>
          <w:kern w:val="0"/>
        </w:rPr>
        <w:t xml:space="preserve">? </w:t>
      </w:r>
      <w:r>
        <w:rPr>
          <w:kern w:val="0"/>
        </w:rPr>
        <w:t>Garfield, E. (1979), Most-cited articles</w:t>
      </w:r>
      <w:r w:rsidR="00427468">
        <w:rPr>
          <w:kern w:val="0"/>
        </w:rPr>
        <w:t xml:space="preserve"> of </w:t>
      </w:r>
      <w:r w:rsidR="003A1917">
        <w:rPr>
          <w:kern w:val="0"/>
        </w:rPr>
        <w:t xml:space="preserve">the </w:t>
      </w:r>
      <w:r>
        <w:rPr>
          <w:kern w:val="0"/>
        </w:rPr>
        <w:t>1960</w:t>
      </w:r>
      <w:r>
        <w:rPr>
          <w:rFonts w:hint="eastAsia"/>
          <w:kern w:val="0"/>
        </w:rPr>
        <w:t>s</w:t>
      </w:r>
      <w:r>
        <w:rPr>
          <w:kern w:val="0"/>
        </w:rPr>
        <w:t>.</w:t>
      </w:r>
      <w:r>
        <w:rPr>
          <w:rFonts w:hint="eastAsia"/>
          <w:kern w:val="0"/>
        </w:rPr>
        <w:t xml:space="preserve"> </w:t>
      </w:r>
      <w:r>
        <w:rPr>
          <w:kern w:val="0"/>
        </w:rPr>
        <w:t>2. Biochemistry</w:t>
      </w:r>
      <w:r w:rsidR="005853A9">
        <w:rPr>
          <w:kern w:val="0"/>
        </w:rPr>
        <w:t xml:space="preserve"> and </w:t>
      </w:r>
      <w:r>
        <w:rPr>
          <w:kern w:val="0"/>
        </w:rPr>
        <w:t xml:space="preserve">molecular-biology. </w:t>
      </w:r>
      <w:r>
        <w:rPr>
          <w:i/>
          <w:iCs/>
          <w:kern w:val="0"/>
        </w:rPr>
        <w:t>Current Contents</w:t>
      </w:r>
      <w:r>
        <w:rPr>
          <w:kern w:val="0"/>
        </w:rPr>
        <w:t xml:space="preserve">, </w:t>
      </w:r>
      <w:r>
        <w:rPr>
          <w:rFonts w:hint="eastAsia"/>
          <w:b/>
          <w:kern w:val="0"/>
        </w:rPr>
        <w:t>35</w:t>
      </w:r>
      <w:r>
        <w:rPr>
          <w:kern w:val="0"/>
        </w:rPr>
        <w:t>, 5-14</w:t>
      </w:r>
      <w:r>
        <w:rPr>
          <w:rFonts w:hint="eastAsia"/>
          <w:kern w:val="0"/>
        </w:rPr>
        <w:t>.</w:t>
      </w:r>
    </w:p>
    <w:p w:rsidR="00675518" w:rsidRDefault="00675518" w:rsidP="00675518">
      <w:pPr>
        <w:pStyle w:val="a3"/>
        <w:rPr>
          <w:kern w:val="0"/>
        </w:rPr>
      </w:pPr>
      <w:r>
        <w:rPr>
          <w:kern w:val="0"/>
        </w:rPr>
        <w:t>Keywords: Articles</w:t>
      </w:r>
    </w:p>
    <w:p w:rsidR="00664410" w:rsidRDefault="00664410" w:rsidP="00664410">
      <w:pPr>
        <w:pStyle w:val="a3"/>
      </w:pPr>
      <w:r>
        <w:rPr>
          <w:rFonts w:hint="eastAsia"/>
        </w:rPr>
        <w:t>Notes: highly cited</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Garfield</w:t>
          </w:r>
        </w:smartTag>
      </w:smartTag>
      <w:r w:rsidRPr="001A3D2B">
        <w:t>, E. (1979), Scientometrics comes</w:t>
      </w:r>
      <w:r w:rsidR="00427468">
        <w:t xml:space="preserve"> of </w:t>
      </w:r>
      <w:r w:rsidRPr="001A3D2B">
        <w:t xml:space="preserve">age. </w:t>
      </w:r>
      <w:r w:rsidRPr="001A3D2B">
        <w:rPr>
          <w:i/>
          <w:iCs/>
        </w:rPr>
        <w:t>Current Contents</w:t>
      </w:r>
      <w:r w:rsidRPr="001A3D2B">
        <w:t xml:space="preserve">, </w:t>
      </w:r>
      <w:r w:rsidRPr="001A3D2B">
        <w:rPr>
          <w:b/>
          <w:bCs/>
        </w:rPr>
        <w:t>46</w:t>
      </w:r>
      <w:r w:rsidRPr="001A3D2B">
        <w:t>, 5-10</w:t>
      </w:r>
    </w:p>
    <w:p w:rsidR="003474F2" w:rsidRPr="001A3D2B" w:rsidRDefault="003474F2" w:rsidP="003474F2">
      <w:pPr>
        <w:pStyle w:val="a3"/>
      </w:pPr>
      <w:r w:rsidRPr="001A3D2B">
        <w:t>Notes: highly cited</w:t>
      </w:r>
    </w:p>
    <w:p w:rsidR="003474F2" w:rsidRPr="001A3D2B" w:rsidRDefault="003474F2" w:rsidP="003474F2">
      <w:pPr>
        <w:pStyle w:val="a3"/>
      </w:pPr>
      <w:r w:rsidRPr="001A3D2B">
        <w:t>? Garfield, E. (1979), Psychedelic art</w:t>
      </w:r>
      <w:r w:rsidR="00427468">
        <w:t xml:space="preserve"> of </w:t>
      </w:r>
      <w:r w:rsidR="003A1917">
        <w:t xml:space="preserve">the </w:t>
      </w:r>
      <w:r w:rsidRPr="001A3D2B">
        <w:t xml:space="preserve">huichol Indians. </w:t>
      </w:r>
      <w:r w:rsidRPr="001A3D2B">
        <w:rPr>
          <w:i/>
          <w:iCs/>
        </w:rPr>
        <w:t>Current Contents</w:t>
      </w:r>
      <w:r w:rsidRPr="001A3D2B">
        <w:t xml:space="preserve">, </w:t>
      </w:r>
      <w:r w:rsidRPr="001A3D2B">
        <w:rPr>
          <w:b/>
          <w:bCs/>
        </w:rPr>
        <w:t>52</w:t>
      </w:r>
      <w:r w:rsidRPr="001A3D2B">
        <w:t>, 5-7.</w:t>
      </w:r>
    </w:p>
    <w:p w:rsidR="007005B7" w:rsidRPr="001A3D2B" w:rsidRDefault="007005B7" w:rsidP="007005B7">
      <w:pPr>
        <w:pStyle w:val="a3"/>
      </w:pPr>
      <w:r w:rsidRPr="001A3D2B">
        <w:t>Notes: highly cited</w:t>
      </w:r>
    </w:p>
    <w:p w:rsidR="00675518" w:rsidRDefault="00675518" w:rsidP="00675518">
      <w:pPr>
        <w:pStyle w:val="a3"/>
        <w:rPr>
          <w:kern w:val="0"/>
        </w:rPr>
      </w:pPr>
      <w:r>
        <w:rPr>
          <w:rFonts w:hint="eastAsia"/>
          <w:kern w:val="0"/>
        </w:rPr>
        <w:t xml:space="preserve">? </w:t>
      </w:r>
      <w:r>
        <w:rPr>
          <w:kern w:val="0"/>
        </w:rPr>
        <w:t>Garfield, E. (1980), 100 most-cited authors</w:t>
      </w:r>
      <w:r w:rsidR="00427468">
        <w:rPr>
          <w:kern w:val="0"/>
        </w:rPr>
        <w:t xml:space="preserve"> of </w:t>
      </w:r>
      <w:r>
        <w:rPr>
          <w:kern w:val="0"/>
        </w:rPr>
        <w:t>20th-century literature - Can citation data forecast</w:t>
      </w:r>
      <w:r w:rsidR="003A1917">
        <w:rPr>
          <w:kern w:val="0"/>
        </w:rPr>
        <w:t xml:space="preserve"> the </w:t>
      </w:r>
      <w:r>
        <w:rPr>
          <w:kern w:val="0"/>
        </w:rPr>
        <w:t xml:space="preserve">Nobel-Prize in literature. </w:t>
      </w:r>
      <w:r>
        <w:rPr>
          <w:i/>
          <w:iCs/>
          <w:kern w:val="0"/>
        </w:rPr>
        <w:t>Current Contents</w:t>
      </w:r>
      <w:r>
        <w:rPr>
          <w:kern w:val="0"/>
        </w:rPr>
        <w:t xml:space="preserve">, </w:t>
      </w:r>
      <w:r>
        <w:rPr>
          <w:rFonts w:hint="eastAsia"/>
          <w:b/>
          <w:kern w:val="0"/>
        </w:rPr>
        <w:t>4</w:t>
      </w:r>
      <w:r>
        <w:rPr>
          <w:kern w:val="0"/>
        </w:rPr>
        <w:t>, 5-11</w:t>
      </w:r>
      <w:r>
        <w:rPr>
          <w:rFonts w:hint="eastAsia"/>
          <w:kern w:val="0"/>
        </w:rPr>
        <w:t>.</w:t>
      </w:r>
    </w:p>
    <w:p w:rsidR="00675518" w:rsidRDefault="00675518" w:rsidP="00675518">
      <w:pPr>
        <w:pStyle w:val="a3"/>
        <w:rPr>
          <w:kern w:val="0"/>
        </w:rPr>
      </w:pPr>
      <w:r>
        <w:rPr>
          <w:kern w:val="0"/>
        </w:rPr>
        <w:t>Keywords: Authors, Citation, Literature, Nobel Prize</w:t>
      </w:r>
    </w:p>
    <w:p w:rsidR="00675518" w:rsidRDefault="00675518" w:rsidP="00675518">
      <w:pPr>
        <w:pStyle w:val="a3"/>
        <w:rPr>
          <w:kern w:val="0"/>
        </w:rPr>
      </w:pPr>
      <w:r>
        <w:rPr>
          <w:rFonts w:hint="eastAsia"/>
          <w:kern w:val="0"/>
        </w:rPr>
        <w:t xml:space="preserve">? </w:t>
      </w:r>
      <w:r>
        <w:rPr>
          <w:kern w:val="0"/>
        </w:rPr>
        <w:t>Garfield, E. (1980), Most-cited articles</w:t>
      </w:r>
      <w:r w:rsidR="00427468">
        <w:rPr>
          <w:kern w:val="0"/>
        </w:rPr>
        <w:t xml:space="preserve"> of </w:t>
      </w:r>
      <w:r w:rsidR="003A1917">
        <w:rPr>
          <w:kern w:val="0"/>
        </w:rPr>
        <w:t xml:space="preserve">the </w:t>
      </w:r>
      <w:r>
        <w:rPr>
          <w:kern w:val="0"/>
        </w:rPr>
        <w:t>1960S.</w:t>
      </w:r>
      <w:r>
        <w:rPr>
          <w:rFonts w:hint="eastAsia"/>
          <w:kern w:val="0"/>
        </w:rPr>
        <w:t xml:space="preserve"> </w:t>
      </w:r>
      <w:r>
        <w:rPr>
          <w:kern w:val="0"/>
        </w:rPr>
        <w:t xml:space="preserve">3. Pre-clinical basic research. </w:t>
      </w:r>
      <w:r>
        <w:rPr>
          <w:i/>
          <w:iCs/>
          <w:kern w:val="0"/>
        </w:rPr>
        <w:t>Current Contents</w:t>
      </w:r>
      <w:r>
        <w:rPr>
          <w:kern w:val="0"/>
        </w:rPr>
        <w:t xml:space="preserve">, </w:t>
      </w:r>
      <w:r>
        <w:rPr>
          <w:rFonts w:hint="eastAsia"/>
          <w:b/>
          <w:kern w:val="0"/>
        </w:rPr>
        <w:t>5</w:t>
      </w:r>
      <w:r>
        <w:rPr>
          <w:kern w:val="0"/>
        </w:rPr>
        <w:t>, 5-13</w:t>
      </w:r>
      <w:r>
        <w:rPr>
          <w:rFonts w:hint="eastAsia"/>
          <w:kern w:val="0"/>
        </w:rPr>
        <w:t>.</w:t>
      </w:r>
    </w:p>
    <w:p w:rsidR="00675518" w:rsidRDefault="00675518" w:rsidP="00675518">
      <w:pPr>
        <w:pStyle w:val="a3"/>
        <w:rPr>
          <w:kern w:val="0"/>
        </w:rPr>
      </w:pPr>
      <w:r>
        <w:rPr>
          <w:kern w:val="0"/>
        </w:rPr>
        <w:t>Keywords: Articles, Research</w:t>
      </w:r>
    </w:p>
    <w:p w:rsidR="00675518" w:rsidRDefault="00675518" w:rsidP="00675518">
      <w:pPr>
        <w:pStyle w:val="a3"/>
        <w:rPr>
          <w:kern w:val="0"/>
        </w:rPr>
      </w:pPr>
      <w:r>
        <w:rPr>
          <w:rFonts w:hint="eastAsia"/>
          <w:kern w:val="0"/>
        </w:rPr>
        <w:t xml:space="preserve">? </w:t>
      </w:r>
      <w:r>
        <w:rPr>
          <w:kern w:val="0"/>
        </w:rPr>
        <w:t>Garfield, E. (1980), Most-cited articles</w:t>
      </w:r>
      <w:r w:rsidR="00427468">
        <w:rPr>
          <w:kern w:val="0"/>
        </w:rPr>
        <w:t xml:space="preserve"> of </w:t>
      </w:r>
      <w:r w:rsidR="003A1917">
        <w:rPr>
          <w:kern w:val="0"/>
        </w:rPr>
        <w:t xml:space="preserve">the </w:t>
      </w:r>
      <w:r>
        <w:rPr>
          <w:kern w:val="0"/>
        </w:rPr>
        <w:t>1960</w:t>
      </w:r>
      <w:r>
        <w:rPr>
          <w:rFonts w:hint="eastAsia"/>
          <w:kern w:val="0"/>
        </w:rPr>
        <w:t>s</w:t>
      </w:r>
      <w:r>
        <w:rPr>
          <w:kern w:val="0"/>
        </w:rPr>
        <w:t>.</w:t>
      </w:r>
      <w:r>
        <w:rPr>
          <w:rFonts w:hint="eastAsia"/>
          <w:kern w:val="0"/>
        </w:rPr>
        <w:t xml:space="preserve"> </w:t>
      </w:r>
      <w:r>
        <w:rPr>
          <w:kern w:val="0"/>
        </w:rPr>
        <w:t xml:space="preserve">4. Clinical research. </w:t>
      </w:r>
      <w:r>
        <w:rPr>
          <w:i/>
          <w:iCs/>
          <w:kern w:val="0"/>
        </w:rPr>
        <w:t>Current Contents</w:t>
      </w:r>
      <w:r>
        <w:rPr>
          <w:kern w:val="0"/>
        </w:rPr>
        <w:t xml:space="preserve">, </w:t>
      </w:r>
      <w:r>
        <w:rPr>
          <w:rFonts w:hint="eastAsia"/>
          <w:b/>
          <w:kern w:val="0"/>
        </w:rPr>
        <w:t>6</w:t>
      </w:r>
      <w:r>
        <w:rPr>
          <w:kern w:val="0"/>
        </w:rPr>
        <w:t>, 5-14</w:t>
      </w:r>
      <w:r>
        <w:rPr>
          <w:rFonts w:hint="eastAsia"/>
          <w:kern w:val="0"/>
        </w:rPr>
        <w:t>.</w:t>
      </w:r>
    </w:p>
    <w:p w:rsidR="00675518" w:rsidRDefault="00675518" w:rsidP="00675518">
      <w:pPr>
        <w:pStyle w:val="a3"/>
        <w:rPr>
          <w:kern w:val="0"/>
        </w:rPr>
      </w:pPr>
      <w:r>
        <w:rPr>
          <w:kern w:val="0"/>
        </w:rPr>
        <w:t>Keywords: Articles, Research</w:t>
      </w:r>
    </w:p>
    <w:p w:rsidR="00CC557A" w:rsidRDefault="00CC557A" w:rsidP="00CC557A">
      <w:pPr>
        <w:pStyle w:val="a3"/>
      </w:pPr>
      <w:r w:rsidRPr="00C73C58">
        <w:t>? Garfield, E. (19</w:t>
      </w:r>
      <w:r>
        <w:rPr>
          <w:rFonts w:hint="eastAsia"/>
        </w:rPr>
        <w:t>80</w:t>
      </w:r>
      <w:r w:rsidRPr="00C73C58">
        <w:t xml:space="preserve">), </w:t>
      </w:r>
      <w:r>
        <w:t>From citation amnesia to bibliographic plagiarism</w:t>
      </w:r>
      <w:r w:rsidRPr="00C73C58">
        <w:t xml:space="preserve">. </w:t>
      </w:r>
      <w:r w:rsidRPr="00C73C58">
        <w:rPr>
          <w:i/>
          <w:iCs/>
        </w:rPr>
        <w:t>Current Contents</w:t>
      </w:r>
      <w:r w:rsidRPr="00C73C58">
        <w:t xml:space="preserve">, </w:t>
      </w:r>
      <w:r>
        <w:rPr>
          <w:rFonts w:hint="eastAsia"/>
          <w:b/>
          <w:bCs/>
        </w:rPr>
        <w:t>23</w:t>
      </w:r>
      <w:r w:rsidRPr="00C73C58">
        <w:t xml:space="preserve">, </w:t>
      </w:r>
      <w:r>
        <w:t>5-9</w:t>
      </w:r>
      <w:r w:rsidRPr="00C73C58">
        <w:t>.</w:t>
      </w:r>
    </w:p>
    <w:p w:rsidR="00675518" w:rsidRDefault="00675518" w:rsidP="00675518">
      <w:pPr>
        <w:pStyle w:val="a3"/>
        <w:rPr>
          <w:kern w:val="0"/>
        </w:rPr>
      </w:pPr>
      <w:r>
        <w:rPr>
          <w:rFonts w:hint="eastAsia"/>
          <w:kern w:val="0"/>
        </w:rPr>
        <w:lastRenderedPageBreak/>
        <w:t xml:space="preserve">? </w:t>
      </w:r>
      <w:r>
        <w:rPr>
          <w:kern w:val="0"/>
        </w:rPr>
        <w:t>Garfield, E. (1980</w:t>
      </w:r>
      <w:r w:rsidR="00F42EAC">
        <w:rPr>
          <w:kern w:val="0"/>
        </w:rPr>
        <w:t>), The</w:t>
      </w:r>
      <w:r w:rsidR="003A1917">
        <w:rPr>
          <w:kern w:val="0"/>
        </w:rPr>
        <w:t xml:space="preserve"> </w:t>
      </w:r>
      <w:r>
        <w:rPr>
          <w:kern w:val="0"/>
        </w:rPr>
        <w:t>1977 articles most cited from 1977 to 1979.</w:t>
      </w:r>
      <w:r>
        <w:rPr>
          <w:rFonts w:hint="eastAsia"/>
          <w:kern w:val="0"/>
        </w:rPr>
        <w:t xml:space="preserve"> </w:t>
      </w:r>
      <w:r>
        <w:rPr>
          <w:kern w:val="0"/>
        </w:rPr>
        <w:t xml:space="preserve">1. Life SCIENCES. </w:t>
      </w:r>
      <w:r>
        <w:rPr>
          <w:i/>
          <w:iCs/>
          <w:kern w:val="0"/>
        </w:rPr>
        <w:t>Current Contents</w:t>
      </w:r>
      <w:r>
        <w:rPr>
          <w:kern w:val="0"/>
        </w:rPr>
        <w:t xml:space="preserve">, </w:t>
      </w:r>
      <w:r>
        <w:rPr>
          <w:rFonts w:hint="eastAsia"/>
          <w:b/>
          <w:kern w:val="0"/>
        </w:rPr>
        <w:t>29</w:t>
      </w:r>
      <w:r>
        <w:rPr>
          <w:kern w:val="0"/>
        </w:rPr>
        <w:t>, 5-18</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(1980</w:t>
      </w:r>
      <w:r w:rsidR="00F42EAC">
        <w:rPr>
          <w:kern w:val="0"/>
        </w:rPr>
        <w:t>), The</w:t>
      </w:r>
      <w:r w:rsidR="003A1917">
        <w:rPr>
          <w:kern w:val="0"/>
        </w:rPr>
        <w:t xml:space="preserve"> </w:t>
      </w:r>
      <w:r>
        <w:rPr>
          <w:kern w:val="0"/>
        </w:rPr>
        <w:t>1977 articles most cited from 1977 to 1979.</w:t>
      </w:r>
      <w:r>
        <w:rPr>
          <w:rFonts w:hint="eastAsia"/>
          <w:kern w:val="0"/>
        </w:rPr>
        <w:t xml:space="preserve"> </w:t>
      </w:r>
      <w:r>
        <w:rPr>
          <w:kern w:val="0"/>
        </w:rPr>
        <w:t xml:space="preserve">2. Physical sciences. </w:t>
      </w:r>
      <w:r>
        <w:rPr>
          <w:i/>
          <w:iCs/>
          <w:kern w:val="0"/>
        </w:rPr>
        <w:t>Current Contents</w:t>
      </w:r>
      <w:r>
        <w:rPr>
          <w:kern w:val="0"/>
        </w:rPr>
        <w:t xml:space="preserve">, </w:t>
      </w:r>
      <w:r>
        <w:rPr>
          <w:rFonts w:hint="eastAsia"/>
          <w:b/>
          <w:kern w:val="0"/>
        </w:rPr>
        <w:t>30</w:t>
      </w:r>
      <w:r>
        <w:rPr>
          <w:kern w:val="0"/>
        </w:rPr>
        <w:t>, 5-17</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(1980), 1978 Articles most cited in 1978</w:t>
      </w:r>
      <w:r w:rsidR="005853A9">
        <w:rPr>
          <w:kern w:val="0"/>
        </w:rPr>
        <w:t xml:space="preserve"> and </w:t>
      </w:r>
      <w:r>
        <w:rPr>
          <w:kern w:val="0"/>
        </w:rPr>
        <w:t>1979.</w:t>
      </w:r>
      <w:r>
        <w:rPr>
          <w:rFonts w:hint="eastAsia"/>
          <w:kern w:val="0"/>
        </w:rPr>
        <w:t xml:space="preserve"> </w:t>
      </w:r>
      <w:r>
        <w:rPr>
          <w:kern w:val="0"/>
        </w:rPr>
        <w:t xml:space="preserve">1. Physical sciences. </w:t>
      </w:r>
      <w:r>
        <w:rPr>
          <w:i/>
          <w:iCs/>
          <w:kern w:val="0"/>
        </w:rPr>
        <w:t>Current Contents</w:t>
      </w:r>
      <w:r>
        <w:rPr>
          <w:kern w:val="0"/>
        </w:rPr>
        <w:t xml:space="preserve">, </w:t>
      </w:r>
      <w:r>
        <w:rPr>
          <w:rFonts w:hint="eastAsia"/>
          <w:b/>
          <w:kern w:val="0"/>
        </w:rPr>
        <w:t>46</w:t>
      </w:r>
      <w:r>
        <w:rPr>
          <w:kern w:val="0"/>
        </w:rPr>
        <w:t>, 5-16</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(1980</w:t>
      </w:r>
      <w:r w:rsidR="00F42EAC">
        <w:rPr>
          <w:kern w:val="0"/>
        </w:rPr>
        <w:t>), The</w:t>
      </w:r>
      <w:r w:rsidR="003A1917">
        <w:rPr>
          <w:kern w:val="0"/>
        </w:rPr>
        <w:t xml:space="preserve"> </w:t>
      </w:r>
      <w:r>
        <w:rPr>
          <w:kern w:val="0"/>
        </w:rPr>
        <w:t>1978 articles most cited in 1978</w:t>
      </w:r>
      <w:r w:rsidR="005853A9">
        <w:rPr>
          <w:kern w:val="0"/>
        </w:rPr>
        <w:t xml:space="preserve"> and </w:t>
      </w:r>
      <w:r>
        <w:rPr>
          <w:kern w:val="0"/>
        </w:rPr>
        <w:t>1979.</w:t>
      </w:r>
      <w:r>
        <w:rPr>
          <w:rFonts w:hint="eastAsia"/>
          <w:kern w:val="0"/>
        </w:rPr>
        <w:t xml:space="preserve"> </w:t>
      </w:r>
      <w:r>
        <w:rPr>
          <w:kern w:val="0"/>
        </w:rPr>
        <w:t xml:space="preserve">2. Life sciences. </w:t>
      </w:r>
      <w:r>
        <w:rPr>
          <w:i/>
          <w:iCs/>
          <w:kern w:val="0"/>
        </w:rPr>
        <w:t>Current Contents</w:t>
      </w:r>
      <w:r>
        <w:rPr>
          <w:kern w:val="0"/>
        </w:rPr>
        <w:t xml:space="preserve">, </w:t>
      </w:r>
      <w:r>
        <w:rPr>
          <w:rFonts w:hint="eastAsia"/>
          <w:b/>
          <w:kern w:val="0"/>
        </w:rPr>
        <w:t>47</w:t>
      </w:r>
      <w:r>
        <w:rPr>
          <w:kern w:val="0"/>
        </w:rPr>
        <w:t>, 5-14</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(1981</w:t>
      </w:r>
      <w:r w:rsidR="00F42EAC">
        <w:rPr>
          <w:kern w:val="0"/>
        </w:rPr>
        <w:t>), The</w:t>
      </w:r>
      <w:r w:rsidR="003A1917">
        <w:rPr>
          <w:kern w:val="0"/>
        </w:rPr>
        <w:t xml:space="preserve"> </w:t>
      </w:r>
      <w:r>
        <w:rPr>
          <w:kern w:val="0"/>
        </w:rPr>
        <w:t>1,000 contemporary scientists most-cited 1965-1978.</w:t>
      </w:r>
      <w:r>
        <w:rPr>
          <w:rFonts w:hint="eastAsia"/>
          <w:kern w:val="0"/>
        </w:rPr>
        <w:t xml:space="preserve"> </w:t>
      </w:r>
      <w:r>
        <w:rPr>
          <w:kern w:val="0"/>
        </w:rPr>
        <w:t>1</w:t>
      </w:r>
      <w:r w:rsidR="00A37C1D">
        <w:rPr>
          <w:kern w:val="0"/>
        </w:rPr>
        <w:t>. The</w:t>
      </w:r>
      <w:r w:rsidR="003A1917">
        <w:rPr>
          <w:kern w:val="0"/>
        </w:rPr>
        <w:t xml:space="preserve"> </w:t>
      </w:r>
      <w:r>
        <w:rPr>
          <w:kern w:val="0"/>
        </w:rPr>
        <w:t>basic list</w:t>
      </w:r>
      <w:r w:rsidR="005853A9">
        <w:rPr>
          <w:kern w:val="0"/>
        </w:rPr>
        <w:t xml:space="preserve"> and </w:t>
      </w:r>
      <w:r>
        <w:rPr>
          <w:kern w:val="0"/>
        </w:rPr>
        <w:t xml:space="preserve">introduction. </w:t>
      </w:r>
      <w:r>
        <w:rPr>
          <w:i/>
          <w:iCs/>
          <w:kern w:val="0"/>
        </w:rPr>
        <w:t>Current Contents</w:t>
      </w:r>
      <w:r>
        <w:rPr>
          <w:kern w:val="0"/>
        </w:rPr>
        <w:t xml:space="preserve">, </w:t>
      </w:r>
      <w:r>
        <w:rPr>
          <w:rFonts w:hint="eastAsia"/>
          <w:b/>
          <w:kern w:val="0"/>
        </w:rPr>
        <w:t>41</w:t>
      </w:r>
      <w:r>
        <w:rPr>
          <w:kern w:val="0"/>
        </w:rPr>
        <w:t>, 5-14</w:t>
      </w:r>
      <w:r>
        <w:rPr>
          <w:rFonts w:hint="eastAsia"/>
          <w:kern w:val="0"/>
        </w:rPr>
        <w:t>.</w:t>
      </w:r>
    </w:p>
    <w:p w:rsidR="00675518" w:rsidRDefault="00675518" w:rsidP="00675518">
      <w:pPr>
        <w:pStyle w:val="a3"/>
        <w:rPr>
          <w:kern w:val="0"/>
        </w:rPr>
      </w:pPr>
      <w:r>
        <w:rPr>
          <w:kern w:val="0"/>
        </w:rPr>
        <w:t>Keywords: Scientists</w:t>
      </w:r>
    </w:p>
    <w:p w:rsidR="00E27A6F" w:rsidRPr="001A3D2B" w:rsidRDefault="00E27A6F" w:rsidP="00E27A6F">
      <w:pPr>
        <w:pStyle w:val="a3"/>
      </w:pPr>
      <w:r w:rsidRPr="001A3D2B">
        <w:t>Notes: highly cited</w:t>
      </w:r>
    </w:p>
    <w:p w:rsidR="00E27A6F" w:rsidRDefault="00E27A6F" w:rsidP="00E27A6F">
      <w:pPr>
        <w:pStyle w:val="a3"/>
      </w:pPr>
      <w:r w:rsidRPr="001A3D2B">
        <w:t xml:space="preserve">? Garfield, E. (1982), </w:t>
      </w:r>
      <w:r>
        <w:t>In tribute to Nalimov,</w:t>
      </w:r>
      <w:r>
        <w:rPr>
          <w:rFonts w:hint="eastAsia"/>
        </w:rPr>
        <w:t xml:space="preserve"> </w:t>
      </w:r>
      <w:r>
        <w:t>V.V. - Renaissance scholar</w:t>
      </w:r>
      <w:r w:rsidR="005853A9">
        <w:t xml:space="preserve"> and </w:t>
      </w:r>
      <w:r>
        <w:t>scientometrician par excellence</w:t>
      </w:r>
      <w:r w:rsidRPr="001A3D2B">
        <w:t xml:space="preserve">. </w:t>
      </w:r>
      <w:r w:rsidRPr="001A3D2B">
        <w:rPr>
          <w:i/>
          <w:iCs/>
        </w:rPr>
        <w:t>Current Contents</w:t>
      </w:r>
      <w:r w:rsidRPr="001A3D2B">
        <w:t xml:space="preserve">, </w:t>
      </w:r>
      <w:r>
        <w:rPr>
          <w:rFonts w:hint="eastAsia"/>
          <w:b/>
          <w:bCs/>
        </w:rPr>
        <w:t>8</w:t>
      </w:r>
      <w:r w:rsidRPr="001A3D2B">
        <w:t>, 5-1</w:t>
      </w:r>
      <w:r>
        <w:rPr>
          <w:rFonts w:hint="eastAsia"/>
        </w:rPr>
        <w:t>5</w:t>
      </w:r>
      <w:r w:rsidRPr="001A3D2B">
        <w:t>.</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1,000 most-cited contemporary authors.</w:t>
      </w:r>
      <w:r>
        <w:rPr>
          <w:rFonts w:hint="eastAsia"/>
          <w:kern w:val="0"/>
        </w:rPr>
        <w:t xml:space="preserve"> </w:t>
      </w:r>
      <w:r>
        <w:rPr>
          <w:kern w:val="0"/>
        </w:rPr>
        <w:t>2A. Details on authors in</w:t>
      </w:r>
      <w:r w:rsidR="003A1917">
        <w:rPr>
          <w:kern w:val="0"/>
        </w:rPr>
        <w:t xml:space="preserve"> the </w:t>
      </w:r>
      <w:r>
        <w:rPr>
          <w:kern w:val="0"/>
        </w:rPr>
        <w:t>physical</w:t>
      </w:r>
      <w:r w:rsidR="005853A9">
        <w:rPr>
          <w:kern w:val="0"/>
        </w:rPr>
        <w:t xml:space="preserve"> and </w:t>
      </w:r>
      <w:r>
        <w:rPr>
          <w:kern w:val="0"/>
        </w:rPr>
        <w:t>chemical sciences</w:t>
      </w:r>
      <w:r w:rsidR="005853A9">
        <w:rPr>
          <w:kern w:val="0"/>
        </w:rPr>
        <w:t xml:space="preserve"> and </w:t>
      </w:r>
      <w:r>
        <w:rPr>
          <w:kern w:val="0"/>
        </w:rPr>
        <w:t>some comments about Nobels</w:t>
      </w:r>
      <w:r w:rsidR="005853A9">
        <w:rPr>
          <w:kern w:val="0"/>
        </w:rPr>
        <w:t xml:space="preserve"> and </w:t>
      </w:r>
      <w:r>
        <w:rPr>
          <w:kern w:val="0"/>
        </w:rPr>
        <w:t xml:space="preserve">academy memberships. </w:t>
      </w:r>
      <w:r>
        <w:rPr>
          <w:i/>
          <w:iCs/>
          <w:kern w:val="0"/>
        </w:rPr>
        <w:t>Current Contents</w:t>
      </w:r>
      <w:r>
        <w:rPr>
          <w:kern w:val="0"/>
        </w:rPr>
        <w:t xml:space="preserve">, </w:t>
      </w:r>
      <w:r>
        <w:rPr>
          <w:rFonts w:hint="eastAsia"/>
          <w:b/>
          <w:kern w:val="0"/>
        </w:rPr>
        <w:t>9</w:t>
      </w:r>
      <w:r>
        <w:rPr>
          <w:kern w:val="0"/>
        </w:rPr>
        <w:t>, 5-13</w:t>
      </w:r>
      <w:r>
        <w:rPr>
          <w:rFonts w:hint="eastAsia"/>
          <w:kern w:val="0"/>
        </w:rPr>
        <w:t>.</w:t>
      </w:r>
    </w:p>
    <w:p w:rsidR="00675518" w:rsidRDefault="00675518" w:rsidP="00675518">
      <w:pPr>
        <w:pStyle w:val="a3"/>
        <w:rPr>
          <w:kern w:val="0"/>
        </w:rPr>
      </w:pPr>
      <w:r>
        <w:rPr>
          <w:kern w:val="0"/>
        </w:rPr>
        <w:t>Keywords: Authors, Sciences</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1,000 most-cited contemporary authors.</w:t>
      </w:r>
      <w:r>
        <w:rPr>
          <w:rFonts w:hint="eastAsia"/>
          <w:kern w:val="0"/>
        </w:rPr>
        <w:t xml:space="preserve"> </w:t>
      </w:r>
      <w:r>
        <w:rPr>
          <w:kern w:val="0"/>
        </w:rPr>
        <w:t>2B. Details on authors in biochemistry, biophysics, cell biology, enzymology, genetics, molecular-biology,</w:t>
      </w:r>
      <w:r w:rsidR="005853A9">
        <w:rPr>
          <w:kern w:val="0"/>
        </w:rPr>
        <w:t xml:space="preserve"> and </w:t>
      </w:r>
      <w:r>
        <w:rPr>
          <w:kern w:val="0"/>
        </w:rPr>
        <w:t xml:space="preserve">plant sciences. </w:t>
      </w:r>
      <w:r>
        <w:rPr>
          <w:i/>
          <w:iCs/>
          <w:kern w:val="0"/>
        </w:rPr>
        <w:t>Current Contents</w:t>
      </w:r>
      <w:r>
        <w:rPr>
          <w:kern w:val="0"/>
        </w:rPr>
        <w:t xml:space="preserve">, </w:t>
      </w:r>
      <w:r>
        <w:rPr>
          <w:rFonts w:hint="eastAsia"/>
          <w:b/>
          <w:kern w:val="0"/>
        </w:rPr>
        <w:t>21</w:t>
      </w:r>
      <w:r>
        <w:rPr>
          <w:kern w:val="0"/>
        </w:rPr>
        <w:t>, 5-13</w:t>
      </w:r>
      <w:r>
        <w:rPr>
          <w:rFonts w:hint="eastAsia"/>
          <w:kern w:val="0"/>
        </w:rPr>
        <w:t>.</w:t>
      </w:r>
    </w:p>
    <w:p w:rsidR="00675518" w:rsidRDefault="00675518" w:rsidP="00675518">
      <w:pPr>
        <w:pStyle w:val="a3"/>
        <w:rPr>
          <w:kern w:val="0"/>
        </w:rPr>
      </w:pPr>
      <w:r>
        <w:rPr>
          <w:kern w:val="0"/>
        </w:rPr>
        <w:t>Keywords: Authors, Genetics, Sciences</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1,000 most-cited contemporary authors.</w:t>
      </w:r>
      <w:r>
        <w:rPr>
          <w:rFonts w:hint="eastAsia"/>
          <w:kern w:val="0"/>
        </w:rPr>
        <w:t xml:space="preserve"> </w:t>
      </w:r>
      <w:r>
        <w:rPr>
          <w:kern w:val="0"/>
        </w:rPr>
        <w:t>2C. Details on authors in hematology, histology, immunology, microbiology, physiology,</w:t>
      </w:r>
      <w:r w:rsidR="005853A9">
        <w:rPr>
          <w:kern w:val="0"/>
        </w:rPr>
        <w:t xml:space="preserve"> and </w:t>
      </w:r>
      <w:r>
        <w:rPr>
          <w:kern w:val="0"/>
        </w:rPr>
        <w:t xml:space="preserve">virology. </w:t>
      </w:r>
      <w:r>
        <w:rPr>
          <w:i/>
          <w:iCs/>
          <w:kern w:val="0"/>
        </w:rPr>
        <w:t>Current Contents</w:t>
      </w:r>
      <w:r>
        <w:rPr>
          <w:kern w:val="0"/>
        </w:rPr>
        <w:t xml:space="preserve">, </w:t>
      </w:r>
      <w:r>
        <w:rPr>
          <w:rFonts w:hint="eastAsia"/>
          <w:b/>
          <w:kern w:val="0"/>
        </w:rPr>
        <w:t>22</w:t>
      </w:r>
      <w:r>
        <w:rPr>
          <w:kern w:val="0"/>
        </w:rPr>
        <w:t>, 5-13</w:t>
      </w:r>
      <w:r>
        <w:rPr>
          <w:rFonts w:hint="eastAsia"/>
          <w:kern w:val="0"/>
        </w:rPr>
        <w:t>.</w:t>
      </w:r>
    </w:p>
    <w:p w:rsidR="00675518" w:rsidRDefault="00675518" w:rsidP="00675518">
      <w:pPr>
        <w:pStyle w:val="a3"/>
        <w:rPr>
          <w:kern w:val="0"/>
        </w:rPr>
      </w:pPr>
      <w:r>
        <w:rPr>
          <w:kern w:val="0"/>
        </w:rPr>
        <w:t>Keywords: Authors</w:t>
      </w:r>
    </w:p>
    <w:p w:rsidR="00B23BEB" w:rsidRPr="001A3D2B" w:rsidRDefault="00B23BEB" w:rsidP="00B23BEB">
      <w:pPr>
        <w:pStyle w:val="a3"/>
      </w:pPr>
      <w:r w:rsidRPr="001A3D2B">
        <w:t>Notes: highly cited</w:t>
      </w:r>
    </w:p>
    <w:p w:rsidR="00B23BEB" w:rsidRDefault="00B23BEB" w:rsidP="00B23BEB">
      <w:pPr>
        <w:pStyle w:val="a3"/>
        <w:rPr>
          <w:kern w:val="0"/>
        </w:rPr>
      </w:pPr>
      <w:r>
        <w:rPr>
          <w:rFonts w:hint="eastAsia"/>
          <w:kern w:val="0"/>
        </w:rPr>
        <w:t xml:space="preserve">? </w:t>
      </w:r>
      <w:r>
        <w:rPr>
          <w:kern w:val="0"/>
        </w:rPr>
        <w:t xml:space="preserve">Garfield, E. (1982), </w:t>
      </w:r>
      <w:r w:rsidRPr="006E441D">
        <w:rPr>
          <w:kern w:val="0"/>
        </w:rPr>
        <w:t>Were</w:t>
      </w:r>
      <w:r w:rsidR="003A1917">
        <w:rPr>
          <w:kern w:val="0"/>
        </w:rPr>
        <w:t xml:space="preserve"> the </w:t>
      </w:r>
      <w:r w:rsidRPr="006E441D">
        <w:rPr>
          <w:kern w:val="0"/>
        </w:rPr>
        <w:t>1981 Nobel prizewinners in science, economics,</w:t>
      </w:r>
      <w:r w:rsidR="005853A9">
        <w:rPr>
          <w:kern w:val="0"/>
        </w:rPr>
        <w:t xml:space="preserve"> and </w:t>
      </w:r>
      <w:r w:rsidRPr="006E441D">
        <w:rPr>
          <w:kern w:val="0"/>
        </w:rPr>
        <w:t>literature anticipated by citation analysis</w:t>
      </w:r>
      <w:r>
        <w:rPr>
          <w:kern w:val="0"/>
        </w:rPr>
        <w:t xml:space="preserve">. </w:t>
      </w:r>
      <w:r>
        <w:rPr>
          <w:i/>
          <w:iCs/>
          <w:kern w:val="0"/>
        </w:rPr>
        <w:t>Current Contents</w:t>
      </w:r>
      <w:r>
        <w:rPr>
          <w:kern w:val="0"/>
        </w:rPr>
        <w:t xml:space="preserve">, </w:t>
      </w:r>
      <w:r>
        <w:rPr>
          <w:rFonts w:hint="eastAsia"/>
          <w:b/>
          <w:kern w:val="0"/>
        </w:rPr>
        <w:t>23</w:t>
      </w:r>
      <w:r>
        <w:rPr>
          <w:kern w:val="0"/>
        </w:rPr>
        <w:t>, 5-1</w:t>
      </w:r>
      <w:r>
        <w:rPr>
          <w:rFonts w:hint="eastAsia"/>
          <w:kern w:val="0"/>
        </w:rPr>
        <w:t>5.</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1,000 most-cited contemporary authors.</w:t>
      </w:r>
      <w:r>
        <w:rPr>
          <w:rFonts w:hint="eastAsia"/>
          <w:kern w:val="0"/>
        </w:rPr>
        <w:t xml:space="preserve"> </w:t>
      </w:r>
      <w:r>
        <w:rPr>
          <w:kern w:val="0"/>
        </w:rPr>
        <w:t>2D. Details on authors in cardiology, endocrinology, gastroenterology, nephrology, neurobiology, neurology, neuropharmacology, nuclear-medicine, oncology, pathology, pharmacology, psychiatry,</w:t>
      </w:r>
      <w:r w:rsidR="005853A9">
        <w:rPr>
          <w:kern w:val="0"/>
        </w:rPr>
        <w:t xml:space="preserve"> and </w:t>
      </w:r>
      <w:r>
        <w:rPr>
          <w:kern w:val="0"/>
        </w:rPr>
        <w:t xml:space="preserve">surgery. </w:t>
      </w:r>
      <w:r>
        <w:rPr>
          <w:i/>
          <w:iCs/>
          <w:kern w:val="0"/>
        </w:rPr>
        <w:t>Current Contents</w:t>
      </w:r>
      <w:r>
        <w:rPr>
          <w:kern w:val="0"/>
        </w:rPr>
        <w:t xml:space="preserve">, </w:t>
      </w:r>
      <w:r>
        <w:rPr>
          <w:rFonts w:hint="eastAsia"/>
          <w:b/>
          <w:kern w:val="0"/>
        </w:rPr>
        <w:t>24</w:t>
      </w:r>
      <w:r>
        <w:rPr>
          <w:kern w:val="0"/>
        </w:rPr>
        <w:t>, 5-13</w:t>
      </w:r>
      <w:r>
        <w:rPr>
          <w:rFonts w:hint="eastAsia"/>
          <w:kern w:val="0"/>
        </w:rPr>
        <w:t>.</w:t>
      </w:r>
    </w:p>
    <w:p w:rsidR="00675518" w:rsidRDefault="00675518" w:rsidP="00675518">
      <w:pPr>
        <w:pStyle w:val="a3"/>
        <w:rPr>
          <w:kern w:val="0"/>
        </w:rPr>
      </w:pPr>
      <w:r>
        <w:rPr>
          <w:kern w:val="0"/>
        </w:rPr>
        <w:t>Keywords: Authors, Cardiology, Neurobiology, Oncology, Pharmacology, Psychiatry, Surgery</w:t>
      </w:r>
    </w:p>
    <w:p w:rsidR="00675518" w:rsidRDefault="00675518" w:rsidP="00675518">
      <w:pPr>
        <w:pStyle w:val="a3"/>
        <w:rPr>
          <w:kern w:val="0"/>
        </w:rPr>
      </w:pPr>
      <w:r>
        <w:rPr>
          <w:rFonts w:hint="eastAsia"/>
          <w:kern w:val="0"/>
        </w:rPr>
        <w:lastRenderedPageBreak/>
        <w:t xml:space="preserve">? </w:t>
      </w:r>
      <w:r>
        <w:rPr>
          <w:kern w:val="0"/>
        </w:rPr>
        <w:t>Garfield, E. (1982</w:t>
      </w:r>
      <w:r w:rsidR="00F42EAC">
        <w:rPr>
          <w:kern w:val="0"/>
        </w:rPr>
        <w:t>), The</w:t>
      </w:r>
      <w:r w:rsidR="003A1917">
        <w:rPr>
          <w:kern w:val="0"/>
        </w:rPr>
        <w:t xml:space="preserve"> </w:t>
      </w:r>
      <w:r>
        <w:rPr>
          <w:kern w:val="0"/>
        </w:rPr>
        <w:t>1979 articles most cited from 1979 to 1981.</w:t>
      </w:r>
      <w:r>
        <w:rPr>
          <w:rFonts w:hint="eastAsia"/>
          <w:kern w:val="0"/>
        </w:rPr>
        <w:t xml:space="preserve"> </w:t>
      </w:r>
      <w:r>
        <w:rPr>
          <w:kern w:val="0"/>
        </w:rPr>
        <w:t xml:space="preserve">1. Life sciences. </w:t>
      </w:r>
      <w:r>
        <w:rPr>
          <w:i/>
          <w:iCs/>
          <w:kern w:val="0"/>
        </w:rPr>
        <w:t>Current Contents</w:t>
      </w:r>
      <w:r>
        <w:rPr>
          <w:kern w:val="0"/>
        </w:rPr>
        <w:t xml:space="preserve">, </w:t>
      </w:r>
      <w:r>
        <w:rPr>
          <w:rFonts w:hint="eastAsia"/>
          <w:b/>
          <w:kern w:val="0"/>
        </w:rPr>
        <w:t>26</w:t>
      </w:r>
      <w:r>
        <w:rPr>
          <w:kern w:val="0"/>
        </w:rPr>
        <w:t>, 5-20</w:t>
      </w:r>
      <w:r>
        <w:rPr>
          <w:rFonts w:hint="eastAsia"/>
          <w:kern w:val="0"/>
        </w:rPr>
        <w:t>.</w:t>
      </w:r>
    </w:p>
    <w:p w:rsidR="00675518" w:rsidRDefault="00675518" w:rsidP="00675518">
      <w:pPr>
        <w:pStyle w:val="a3"/>
        <w:rPr>
          <w:kern w:val="0"/>
        </w:rPr>
      </w:pPr>
      <w:r>
        <w:rPr>
          <w:kern w:val="0"/>
        </w:rPr>
        <w:t>Keywords: Articles</w:t>
      </w:r>
      <w:r>
        <w:rPr>
          <w:rFonts w:hint="eastAsia"/>
          <w:kern w:val="0"/>
        </w:rPr>
        <w:t xml:space="preserve">, </w:t>
      </w:r>
      <w:r>
        <w:rPr>
          <w:kern w:val="0"/>
        </w:rPr>
        <w:t>Sciences</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1,000 most-cited contemporary scientists.</w:t>
      </w:r>
      <w:r>
        <w:rPr>
          <w:rFonts w:hint="eastAsia"/>
          <w:kern w:val="0"/>
        </w:rPr>
        <w:t xml:space="preserve"> </w:t>
      </w:r>
      <w:r>
        <w:rPr>
          <w:kern w:val="0"/>
        </w:rPr>
        <w:t xml:space="preserve">3. Details on their current institutional affiliations. </w:t>
      </w:r>
      <w:r>
        <w:rPr>
          <w:i/>
          <w:iCs/>
          <w:kern w:val="0"/>
        </w:rPr>
        <w:t>Current Contents</w:t>
      </w:r>
      <w:r>
        <w:rPr>
          <w:kern w:val="0"/>
        </w:rPr>
        <w:t xml:space="preserve">, </w:t>
      </w:r>
      <w:r>
        <w:rPr>
          <w:rFonts w:hint="eastAsia"/>
          <w:b/>
          <w:kern w:val="0"/>
        </w:rPr>
        <w:t>27</w:t>
      </w:r>
      <w:r>
        <w:rPr>
          <w:kern w:val="0"/>
        </w:rPr>
        <w:t>, 5-20</w:t>
      </w:r>
      <w:r>
        <w:rPr>
          <w:rFonts w:hint="eastAsia"/>
          <w:kern w:val="0"/>
        </w:rPr>
        <w:t>.</w:t>
      </w:r>
    </w:p>
    <w:p w:rsidR="00675518" w:rsidRDefault="00675518" w:rsidP="00675518">
      <w:pPr>
        <w:pStyle w:val="a3"/>
        <w:rPr>
          <w:kern w:val="0"/>
        </w:rPr>
      </w:pPr>
      <w:r>
        <w:rPr>
          <w:kern w:val="0"/>
        </w:rPr>
        <w:t>Keywords: Scientists</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1979 articles most cited from 1979 to 1981.</w:t>
      </w:r>
      <w:r>
        <w:rPr>
          <w:rFonts w:hint="eastAsia"/>
          <w:kern w:val="0"/>
        </w:rPr>
        <w:t xml:space="preserve"> </w:t>
      </w:r>
      <w:r>
        <w:rPr>
          <w:kern w:val="0"/>
        </w:rPr>
        <w:t xml:space="preserve">2. Physical sciences. </w:t>
      </w:r>
      <w:r>
        <w:rPr>
          <w:i/>
          <w:iCs/>
          <w:kern w:val="0"/>
        </w:rPr>
        <w:t>Current Contents</w:t>
      </w:r>
      <w:r>
        <w:rPr>
          <w:kern w:val="0"/>
        </w:rPr>
        <w:t xml:space="preserve">, </w:t>
      </w:r>
      <w:r>
        <w:rPr>
          <w:rFonts w:hint="eastAsia"/>
          <w:b/>
          <w:kern w:val="0"/>
        </w:rPr>
        <w:t>32</w:t>
      </w:r>
      <w:r>
        <w:rPr>
          <w:kern w:val="0"/>
        </w:rPr>
        <w:t>, 5-13</w:t>
      </w:r>
      <w:r>
        <w:rPr>
          <w:rFonts w:hint="eastAsia"/>
          <w:kern w:val="0"/>
        </w:rPr>
        <w:t>.</w:t>
      </w:r>
    </w:p>
    <w:p w:rsidR="00675518" w:rsidRDefault="00675518" w:rsidP="00675518">
      <w:pPr>
        <w:pStyle w:val="a3"/>
        <w:rPr>
          <w:kern w:val="0"/>
        </w:rPr>
      </w:pPr>
      <w:r>
        <w:rPr>
          <w:kern w:val="0"/>
        </w:rPr>
        <w:t>Keywords: Articles, Sciences</w:t>
      </w:r>
    </w:p>
    <w:p w:rsidR="00675518" w:rsidRDefault="00675518" w:rsidP="00675518">
      <w:pPr>
        <w:pStyle w:val="a3"/>
        <w:rPr>
          <w:kern w:val="0"/>
        </w:rPr>
      </w:pPr>
      <w:r>
        <w:rPr>
          <w:rFonts w:hint="eastAsia"/>
          <w:kern w:val="0"/>
        </w:rPr>
        <w:t xml:space="preserve">? </w:t>
      </w:r>
      <w:r>
        <w:rPr>
          <w:kern w:val="0"/>
        </w:rPr>
        <w:t>Garfield, E. (1982</w:t>
      </w:r>
      <w:r w:rsidR="00F42EAC">
        <w:rPr>
          <w:kern w:val="0"/>
        </w:rPr>
        <w:t>), The</w:t>
      </w:r>
      <w:r w:rsidR="003A1917">
        <w:rPr>
          <w:kern w:val="0"/>
        </w:rPr>
        <w:t xml:space="preserve"> </w:t>
      </w:r>
      <w:r>
        <w:rPr>
          <w:kern w:val="0"/>
        </w:rPr>
        <w:t>200 pure mathematicians most cited in 1978</w:t>
      </w:r>
      <w:r w:rsidR="005853A9">
        <w:rPr>
          <w:kern w:val="0"/>
        </w:rPr>
        <w:t xml:space="preserve"> and </w:t>
      </w:r>
      <w:r>
        <w:rPr>
          <w:kern w:val="0"/>
        </w:rPr>
        <w:t>1979, including a list</w:t>
      </w:r>
      <w:r w:rsidR="00427468">
        <w:rPr>
          <w:kern w:val="0"/>
        </w:rPr>
        <w:t xml:space="preserve"> of </w:t>
      </w:r>
      <w:r>
        <w:rPr>
          <w:kern w:val="0"/>
        </w:rPr>
        <w:t>most-cited publications for</w:t>
      </w:r>
      <w:r w:rsidR="003A1917">
        <w:rPr>
          <w:kern w:val="0"/>
        </w:rPr>
        <w:t xml:space="preserve"> the </w:t>
      </w:r>
      <w:r>
        <w:rPr>
          <w:kern w:val="0"/>
        </w:rPr>
        <w:t xml:space="preserve">top 100. </w:t>
      </w:r>
      <w:r>
        <w:rPr>
          <w:i/>
          <w:iCs/>
          <w:kern w:val="0"/>
        </w:rPr>
        <w:t>Current Contents</w:t>
      </w:r>
      <w:r>
        <w:rPr>
          <w:kern w:val="0"/>
        </w:rPr>
        <w:t xml:space="preserve">, </w:t>
      </w:r>
      <w:r>
        <w:rPr>
          <w:rFonts w:hint="eastAsia"/>
          <w:b/>
          <w:kern w:val="0"/>
        </w:rPr>
        <w:t>36</w:t>
      </w:r>
      <w:r>
        <w:rPr>
          <w:kern w:val="0"/>
        </w:rPr>
        <w:t>, 5-14</w:t>
      </w:r>
      <w:r>
        <w:rPr>
          <w:rFonts w:hint="eastAsia"/>
          <w:kern w:val="0"/>
        </w:rPr>
        <w:t>.</w:t>
      </w:r>
    </w:p>
    <w:p w:rsidR="00675518" w:rsidRDefault="00675518" w:rsidP="00675518">
      <w:pPr>
        <w:pStyle w:val="a3"/>
        <w:rPr>
          <w:kern w:val="0"/>
        </w:rPr>
      </w:pPr>
      <w:r>
        <w:rPr>
          <w:kern w:val="0"/>
        </w:rPr>
        <w:t>Keywords: Publications</w:t>
      </w:r>
    </w:p>
    <w:p w:rsidR="003474F2" w:rsidRPr="001A3D2B" w:rsidRDefault="003474F2" w:rsidP="003474F2">
      <w:pPr>
        <w:pStyle w:val="a3"/>
      </w:pPr>
      <w:r w:rsidRPr="001A3D2B">
        <w:t>? Garfield, E. (1982), Data from Arts-and-Humanities-Citation-Index reveal</w:t>
      </w:r>
      <w:r w:rsidR="003A1917">
        <w:t xml:space="preserve"> the </w:t>
      </w:r>
      <w:r w:rsidRPr="001A3D2B">
        <w:t>interrelationships</w:t>
      </w:r>
      <w:r w:rsidR="00427468">
        <w:t xml:space="preserve"> of </w:t>
      </w:r>
      <w:r w:rsidRPr="001A3D2B">
        <w:t>science</w:t>
      </w:r>
      <w:r w:rsidR="005853A9">
        <w:t xml:space="preserve"> and </w:t>
      </w:r>
      <w:r w:rsidRPr="001A3D2B">
        <w:t xml:space="preserve">humanities. </w:t>
      </w:r>
      <w:r w:rsidRPr="001A3D2B">
        <w:rPr>
          <w:i/>
          <w:iCs/>
        </w:rPr>
        <w:t>Current Contents</w:t>
      </w:r>
      <w:r w:rsidRPr="001A3D2B">
        <w:t xml:space="preserve">, </w:t>
      </w:r>
      <w:r w:rsidRPr="001A3D2B">
        <w:rPr>
          <w:b/>
          <w:bCs/>
        </w:rPr>
        <w:t>46</w:t>
      </w:r>
      <w:r w:rsidRPr="001A3D2B">
        <w:t>, 5-7.</w:t>
      </w:r>
    </w:p>
    <w:p w:rsidR="003474F2" w:rsidRPr="001A3D2B" w:rsidRDefault="003474F2" w:rsidP="003474F2">
      <w:pPr>
        <w:pStyle w:val="a3"/>
      </w:pPr>
      <w:r w:rsidRPr="001A3D2B">
        <w:t>Notes: highly cited</w:t>
      </w:r>
    </w:p>
    <w:p w:rsidR="003474F2" w:rsidRPr="001A3D2B" w:rsidRDefault="003474F2" w:rsidP="003474F2">
      <w:pPr>
        <w:pStyle w:val="a3"/>
      </w:pPr>
      <w:r w:rsidRPr="001A3D2B">
        <w:t>? Garfield, E. (1982), Journal citation studies. 38. Earth sciences journals - What they cite</w:t>
      </w:r>
      <w:r w:rsidR="005853A9">
        <w:t xml:space="preserve"> and </w:t>
      </w:r>
      <w:r w:rsidRPr="001A3D2B">
        <w:t xml:space="preserve">what cites them. </w:t>
      </w:r>
      <w:r w:rsidRPr="001A3D2B">
        <w:rPr>
          <w:i/>
          <w:iCs/>
        </w:rPr>
        <w:t>Current Contents</w:t>
      </w:r>
      <w:r w:rsidRPr="001A3D2B">
        <w:t xml:space="preserve">, </w:t>
      </w:r>
      <w:r w:rsidRPr="001A3D2B">
        <w:rPr>
          <w:b/>
          <w:bCs/>
        </w:rPr>
        <w:t>52</w:t>
      </w:r>
      <w:r w:rsidRPr="001A3D2B">
        <w:t>, 5-14.</w:t>
      </w:r>
    </w:p>
    <w:p w:rsidR="00664410" w:rsidRDefault="00664410" w:rsidP="00664410">
      <w:pPr>
        <w:pStyle w:val="a3"/>
      </w:pPr>
      <w:r>
        <w:rPr>
          <w:rFonts w:hint="eastAsia"/>
        </w:rPr>
        <w:t>Notes: highly cited</w:t>
      </w:r>
    </w:p>
    <w:p w:rsidR="003474F2" w:rsidRPr="001A3D2B" w:rsidRDefault="003474F2" w:rsidP="003474F2">
      <w:pPr>
        <w:pStyle w:val="a3"/>
      </w:pPr>
      <w:r w:rsidRPr="001A3D2B">
        <w:t>? Garfield, E. (1983</w:t>
      </w:r>
      <w:r w:rsidR="00F42EAC">
        <w:t>), The</w:t>
      </w:r>
      <w:r w:rsidR="003A1917">
        <w:t xml:space="preserve"> </w:t>
      </w:r>
      <w:r w:rsidRPr="001A3D2B">
        <w:t>1955-1964 Science Citation Index Cumulation - A major new bibliographic tool for historians</w:t>
      </w:r>
      <w:r w:rsidR="00427468">
        <w:t xml:space="preserve"> of </w:t>
      </w:r>
      <w:r w:rsidRPr="001A3D2B">
        <w:t>science</w:t>
      </w:r>
      <w:r w:rsidR="005853A9">
        <w:t xml:space="preserve"> and </w:t>
      </w:r>
      <w:r w:rsidRPr="001A3D2B">
        <w:t>all others who need precise information-retrieval for</w:t>
      </w:r>
      <w:r w:rsidR="003A1917">
        <w:t xml:space="preserve"> the </w:t>
      </w:r>
      <w:r w:rsidRPr="001A3D2B">
        <w:t>age</w:t>
      </w:r>
      <w:r w:rsidR="00427468">
        <w:t xml:space="preserve"> of </w:t>
      </w:r>
      <w:r w:rsidRPr="001A3D2B">
        <w:t>space</w:t>
      </w:r>
      <w:r w:rsidR="005853A9">
        <w:t xml:space="preserve"> and </w:t>
      </w:r>
      <w:r w:rsidRPr="001A3D2B">
        <w:t xml:space="preserve">molecular biology. </w:t>
      </w:r>
      <w:r w:rsidRPr="001A3D2B">
        <w:rPr>
          <w:i/>
          <w:iCs/>
        </w:rPr>
        <w:t>Current Contents</w:t>
      </w:r>
      <w:r w:rsidRPr="001A3D2B">
        <w:t xml:space="preserve">, </w:t>
      </w:r>
      <w:r w:rsidRPr="001A3D2B">
        <w:rPr>
          <w:b/>
          <w:bCs/>
        </w:rPr>
        <w:t>5</w:t>
      </w:r>
      <w:r w:rsidRPr="001A3D2B">
        <w:t>, 5-8.</w:t>
      </w:r>
    </w:p>
    <w:p w:rsidR="003474F2" w:rsidRPr="001A3D2B" w:rsidRDefault="003474F2" w:rsidP="003474F2">
      <w:pPr>
        <w:pStyle w:val="a3"/>
      </w:pPr>
      <w:r w:rsidRPr="001A3D2B">
        <w:t>Keywords: Citation, Science Citation Index</w:t>
      </w:r>
    </w:p>
    <w:p w:rsidR="00664410" w:rsidRDefault="00664410" w:rsidP="00664410">
      <w:pPr>
        <w:pStyle w:val="a3"/>
      </w:pPr>
      <w:r>
        <w:rPr>
          <w:rFonts w:hint="eastAsia"/>
        </w:rPr>
        <w:t>Notes: highly cited</w:t>
      </w:r>
    </w:p>
    <w:p w:rsidR="003474F2" w:rsidRPr="001A3D2B" w:rsidRDefault="003474F2" w:rsidP="003474F2">
      <w:pPr>
        <w:pStyle w:val="a3"/>
      </w:pPr>
      <w:r w:rsidRPr="001A3D2B">
        <w:t xml:space="preserve">? Garfield, E. (1983), How to use Science Citation Index (SCI). </w:t>
      </w:r>
      <w:r w:rsidRPr="001A3D2B">
        <w:rPr>
          <w:i/>
          <w:iCs/>
        </w:rPr>
        <w:t>Current Contents</w:t>
      </w:r>
      <w:r w:rsidRPr="001A3D2B">
        <w:t xml:space="preserve">, </w:t>
      </w:r>
      <w:r w:rsidRPr="001A3D2B">
        <w:rPr>
          <w:b/>
          <w:bCs/>
        </w:rPr>
        <w:t>9</w:t>
      </w:r>
      <w:r w:rsidR="00A971EC">
        <w:t>, 5-14</w:t>
      </w:r>
      <w:r w:rsidR="00A971EC">
        <w:rPr>
          <w:rFonts w:hint="eastAsia"/>
        </w:rPr>
        <w:t>.</w:t>
      </w:r>
    </w:p>
    <w:p w:rsidR="003474F2" w:rsidRPr="001A3D2B" w:rsidRDefault="003474F2" w:rsidP="003474F2">
      <w:pPr>
        <w:pStyle w:val="a3"/>
      </w:pPr>
      <w:r w:rsidRPr="001A3D2B">
        <w:t>Keywords: Citation, Science Citation Index</w:t>
      </w:r>
    </w:p>
    <w:p w:rsidR="00D90001" w:rsidRDefault="00D90001" w:rsidP="00D90001">
      <w:pPr>
        <w:pStyle w:val="a3"/>
        <w:rPr>
          <w:kern w:val="0"/>
        </w:rPr>
      </w:pPr>
      <w:r>
        <w:rPr>
          <w:kern w:val="0"/>
        </w:rPr>
        <w:t>? Garfield, E. (1983</w:t>
      </w:r>
      <w:r w:rsidR="00F42EAC">
        <w:rPr>
          <w:kern w:val="0"/>
        </w:rPr>
        <w:t>), The</w:t>
      </w:r>
      <w:r w:rsidR="003A1917">
        <w:rPr>
          <w:kern w:val="0"/>
        </w:rPr>
        <w:t xml:space="preserve"> </w:t>
      </w:r>
      <w:r>
        <w:rPr>
          <w:kern w:val="0"/>
        </w:rPr>
        <w:t>1980 articles most cited in 1980</w:t>
      </w:r>
      <w:r w:rsidR="005853A9">
        <w:rPr>
          <w:kern w:val="0"/>
        </w:rPr>
        <w:t xml:space="preserve"> and </w:t>
      </w:r>
      <w:r>
        <w:rPr>
          <w:kern w:val="0"/>
        </w:rPr>
        <w:t xml:space="preserve">1981. 1. Life sciences. </w:t>
      </w:r>
      <w:r>
        <w:rPr>
          <w:i/>
          <w:iCs/>
          <w:kern w:val="0"/>
        </w:rPr>
        <w:t>Current Contents</w:t>
      </w:r>
      <w:r>
        <w:rPr>
          <w:kern w:val="0"/>
        </w:rPr>
        <w:t xml:space="preserve">, </w:t>
      </w:r>
      <w:r>
        <w:rPr>
          <w:b/>
          <w:kern w:val="0"/>
        </w:rPr>
        <w:t>10</w:t>
      </w:r>
      <w:r>
        <w:rPr>
          <w:kern w:val="0"/>
        </w:rPr>
        <w:t>, 5-15.</w:t>
      </w:r>
    </w:p>
    <w:p w:rsidR="00D90001" w:rsidRDefault="00D90001" w:rsidP="00D90001">
      <w:pPr>
        <w:pStyle w:val="a3"/>
        <w:rPr>
          <w:kern w:val="0"/>
        </w:rPr>
      </w:pPr>
      <w:r>
        <w:rPr>
          <w:kern w:val="0"/>
        </w:rPr>
        <w:t>Keywords: Articles, Sciences</w:t>
      </w:r>
    </w:p>
    <w:p w:rsidR="00D90001" w:rsidRDefault="00D90001" w:rsidP="00D90001">
      <w:pPr>
        <w:pStyle w:val="a3"/>
        <w:rPr>
          <w:kern w:val="0"/>
        </w:rPr>
      </w:pPr>
      <w:r>
        <w:rPr>
          <w:kern w:val="0"/>
        </w:rPr>
        <w:t>? Garfield, E. (1983</w:t>
      </w:r>
      <w:r w:rsidR="00F42EAC">
        <w:rPr>
          <w:kern w:val="0"/>
        </w:rPr>
        <w:t>), The</w:t>
      </w:r>
      <w:r w:rsidR="003A1917">
        <w:rPr>
          <w:kern w:val="0"/>
        </w:rPr>
        <w:t xml:space="preserve"> </w:t>
      </w:r>
      <w:r>
        <w:rPr>
          <w:kern w:val="0"/>
        </w:rPr>
        <w:t>1980 articles most cited in 1980</w:t>
      </w:r>
      <w:r w:rsidR="005853A9">
        <w:rPr>
          <w:kern w:val="0"/>
        </w:rPr>
        <w:t xml:space="preserve"> and </w:t>
      </w:r>
      <w:r>
        <w:rPr>
          <w:kern w:val="0"/>
        </w:rPr>
        <w:t xml:space="preserve">1981. 2. Physical sciences. </w:t>
      </w:r>
      <w:r>
        <w:rPr>
          <w:i/>
          <w:iCs/>
          <w:kern w:val="0"/>
        </w:rPr>
        <w:t>Current Contents</w:t>
      </w:r>
      <w:r>
        <w:rPr>
          <w:kern w:val="0"/>
        </w:rPr>
        <w:t xml:space="preserve">, </w:t>
      </w:r>
      <w:r>
        <w:rPr>
          <w:b/>
          <w:kern w:val="0"/>
        </w:rPr>
        <w:t>20</w:t>
      </w:r>
      <w:r>
        <w:rPr>
          <w:kern w:val="0"/>
        </w:rPr>
        <w:t>, 5-16.</w:t>
      </w:r>
    </w:p>
    <w:p w:rsidR="00D90001" w:rsidRDefault="00D90001" w:rsidP="00D90001">
      <w:pPr>
        <w:pStyle w:val="a3"/>
        <w:rPr>
          <w:kern w:val="0"/>
        </w:rPr>
      </w:pPr>
      <w:r>
        <w:rPr>
          <w:kern w:val="0"/>
        </w:rPr>
        <w:t>Keywords: Articles, Sciences</w:t>
      </w:r>
    </w:p>
    <w:p w:rsidR="00A971EC" w:rsidRDefault="00A971EC" w:rsidP="00A971EC">
      <w:pPr>
        <w:pStyle w:val="a3"/>
      </w:pPr>
      <w:r w:rsidRPr="001A3D2B">
        <w:t xml:space="preserve">? </w:t>
      </w:r>
      <w:r w:rsidRPr="00A971EC">
        <w:t>Price, D.J.D.</w:t>
      </w:r>
      <w:r w:rsidRPr="001A3D2B">
        <w:t xml:space="preserve"> (1983), </w:t>
      </w:r>
      <w:r w:rsidRPr="00A971EC">
        <w:t xml:space="preserve">This </w:t>
      </w:r>
      <w:r w:rsidR="00DA41AD" w:rsidRPr="00A971EC">
        <w:t>week</w:t>
      </w:r>
      <w:r w:rsidR="0071223E">
        <w:t>’</w:t>
      </w:r>
      <w:r w:rsidR="00DA41AD">
        <w:t>s</w:t>
      </w:r>
      <w:r w:rsidR="00DA41AD" w:rsidRPr="00A971EC">
        <w:t xml:space="preserve"> citation classic</w:t>
      </w:r>
      <w:r w:rsidRPr="001A3D2B">
        <w:t xml:space="preserve">. </w:t>
      </w:r>
      <w:r w:rsidRPr="001A3D2B">
        <w:rPr>
          <w:i/>
          <w:iCs/>
        </w:rPr>
        <w:t>Current Contents</w:t>
      </w:r>
      <w:r w:rsidRPr="001A3D2B">
        <w:t xml:space="preserve">, </w:t>
      </w:r>
      <w:r>
        <w:rPr>
          <w:rFonts w:hint="eastAsia"/>
          <w:b/>
          <w:bCs/>
        </w:rPr>
        <w:t>29</w:t>
      </w:r>
      <w:r w:rsidRPr="001A3D2B">
        <w:t xml:space="preserve">, </w:t>
      </w:r>
      <w:r>
        <w:rPr>
          <w:rFonts w:hint="eastAsia"/>
        </w:rPr>
        <w:t>18.</w:t>
      </w:r>
    </w:p>
    <w:p w:rsidR="00A971EC" w:rsidRPr="00A971EC" w:rsidRDefault="00A971EC" w:rsidP="00A971EC">
      <w:pPr>
        <w:pStyle w:val="a3"/>
      </w:pPr>
      <w:r w:rsidRPr="00A971EC">
        <w:rPr>
          <w:rFonts w:hint="eastAsia"/>
        </w:rPr>
        <w:t>Full Text:</w:t>
      </w:r>
      <w:r w:rsidRPr="00A971EC">
        <w:rPr>
          <w:iCs/>
        </w:rPr>
        <w:t xml:space="preserve"> </w:t>
      </w:r>
      <w:hyperlink r:id="rId1100" w:history="1">
        <w:r w:rsidRPr="00A971EC">
          <w:rPr>
            <w:rStyle w:val="a5"/>
            <w:iCs/>
          </w:rPr>
          <w:t>1983\Cur Con29, 18.pdf</w:t>
        </w:r>
      </w:hyperlink>
    </w:p>
    <w:p w:rsidR="00D90001" w:rsidRDefault="00D90001" w:rsidP="00D90001">
      <w:pPr>
        <w:pStyle w:val="a3"/>
        <w:rPr>
          <w:kern w:val="0"/>
        </w:rPr>
      </w:pPr>
      <w:r>
        <w:rPr>
          <w:kern w:val="0"/>
        </w:rPr>
        <w:t>? Garfield, E. (1983), Third-world research. 2. High-impact journals, most-cited articles,</w:t>
      </w:r>
      <w:r w:rsidR="005853A9">
        <w:rPr>
          <w:kern w:val="0"/>
        </w:rPr>
        <w:t xml:space="preserve"> and </w:t>
      </w:r>
      <w:r>
        <w:rPr>
          <w:kern w:val="0"/>
        </w:rPr>
        <w:t>most active areas</w:t>
      </w:r>
      <w:r w:rsidR="00427468">
        <w:rPr>
          <w:kern w:val="0"/>
        </w:rPr>
        <w:t xml:space="preserve"> of </w:t>
      </w:r>
      <w:r>
        <w:rPr>
          <w:kern w:val="0"/>
        </w:rPr>
        <w:t xml:space="preserve">research. </w:t>
      </w:r>
      <w:r>
        <w:rPr>
          <w:i/>
          <w:iCs/>
          <w:kern w:val="0"/>
        </w:rPr>
        <w:t>Current Contents</w:t>
      </w:r>
      <w:r>
        <w:rPr>
          <w:kern w:val="0"/>
        </w:rPr>
        <w:t xml:space="preserve">, </w:t>
      </w:r>
      <w:r>
        <w:rPr>
          <w:b/>
          <w:kern w:val="0"/>
        </w:rPr>
        <w:t>34</w:t>
      </w:r>
      <w:r>
        <w:rPr>
          <w:kern w:val="0"/>
        </w:rPr>
        <w:t>, 5-16.</w:t>
      </w:r>
    </w:p>
    <w:p w:rsidR="00D90001" w:rsidRDefault="00D90001" w:rsidP="00D90001">
      <w:pPr>
        <w:pStyle w:val="a3"/>
        <w:rPr>
          <w:kern w:val="0"/>
        </w:rPr>
      </w:pPr>
      <w:r>
        <w:rPr>
          <w:kern w:val="0"/>
        </w:rPr>
        <w:t>Keywords: Articles, Journals, Research</w:t>
      </w:r>
    </w:p>
    <w:p w:rsidR="00D90001" w:rsidRDefault="00D90001" w:rsidP="00D90001">
      <w:pPr>
        <w:pStyle w:val="a3"/>
        <w:rPr>
          <w:kern w:val="0"/>
        </w:rPr>
      </w:pPr>
      <w:r>
        <w:rPr>
          <w:kern w:val="0"/>
        </w:rPr>
        <w:lastRenderedPageBreak/>
        <w:t>? Garfield, E. (1983</w:t>
      </w:r>
      <w:r w:rsidR="00F42EAC">
        <w:rPr>
          <w:kern w:val="0"/>
        </w:rPr>
        <w:t>), The</w:t>
      </w:r>
      <w:r w:rsidR="003A1917">
        <w:rPr>
          <w:kern w:val="0"/>
        </w:rPr>
        <w:t xml:space="preserve"> </w:t>
      </w:r>
      <w:r>
        <w:rPr>
          <w:kern w:val="0"/>
        </w:rPr>
        <w:t xml:space="preserve">1980 chemistry articles most cited in 1980-1982. </w:t>
      </w:r>
      <w:r>
        <w:rPr>
          <w:i/>
          <w:iCs/>
          <w:kern w:val="0"/>
        </w:rPr>
        <w:t>Current Contents</w:t>
      </w:r>
      <w:r>
        <w:rPr>
          <w:kern w:val="0"/>
        </w:rPr>
        <w:t xml:space="preserve">, </w:t>
      </w:r>
      <w:r>
        <w:rPr>
          <w:b/>
          <w:kern w:val="0"/>
        </w:rPr>
        <w:t>35</w:t>
      </w:r>
      <w:r>
        <w:rPr>
          <w:kern w:val="0"/>
        </w:rPr>
        <w:t>, 5-15.</w:t>
      </w:r>
    </w:p>
    <w:p w:rsidR="00D90001" w:rsidRDefault="00D90001" w:rsidP="00D90001">
      <w:pPr>
        <w:pStyle w:val="a3"/>
        <w:rPr>
          <w:kern w:val="0"/>
        </w:rPr>
      </w:pPr>
      <w:r>
        <w:rPr>
          <w:kern w:val="0"/>
        </w:rPr>
        <w:t>Keywords: Articles, Chemistry</w:t>
      </w:r>
    </w:p>
    <w:p w:rsidR="00D90001" w:rsidRDefault="00D90001" w:rsidP="00D90001">
      <w:pPr>
        <w:pStyle w:val="a3"/>
        <w:rPr>
          <w:kern w:val="0"/>
        </w:rPr>
      </w:pPr>
      <w:r>
        <w:rPr>
          <w:kern w:val="0"/>
        </w:rPr>
        <w:t>? Garfield, E. (1983</w:t>
      </w:r>
      <w:r w:rsidR="00F42EAC">
        <w:rPr>
          <w:kern w:val="0"/>
        </w:rPr>
        <w:t>), The</w:t>
      </w:r>
      <w:r w:rsidR="003A1917">
        <w:rPr>
          <w:kern w:val="0"/>
        </w:rPr>
        <w:t xml:space="preserve"> </w:t>
      </w:r>
      <w:r>
        <w:rPr>
          <w:kern w:val="0"/>
        </w:rPr>
        <w:t>1981 articles most cited in 1981</w:t>
      </w:r>
      <w:r w:rsidR="005853A9">
        <w:rPr>
          <w:kern w:val="0"/>
        </w:rPr>
        <w:t xml:space="preserve"> and </w:t>
      </w:r>
      <w:r>
        <w:rPr>
          <w:kern w:val="0"/>
        </w:rPr>
        <w:t xml:space="preserve">1982. 1. Life sciences. </w:t>
      </w:r>
      <w:r>
        <w:rPr>
          <w:i/>
          <w:iCs/>
          <w:kern w:val="0"/>
        </w:rPr>
        <w:t>Current Contents</w:t>
      </w:r>
      <w:r>
        <w:rPr>
          <w:kern w:val="0"/>
        </w:rPr>
        <w:t xml:space="preserve">, </w:t>
      </w:r>
      <w:r>
        <w:rPr>
          <w:b/>
          <w:kern w:val="0"/>
        </w:rPr>
        <w:t>38</w:t>
      </w:r>
      <w:r>
        <w:rPr>
          <w:kern w:val="0"/>
        </w:rPr>
        <w:t>, 5-15.</w:t>
      </w:r>
    </w:p>
    <w:p w:rsidR="00D90001" w:rsidRDefault="00D90001" w:rsidP="00D90001">
      <w:pPr>
        <w:pStyle w:val="a3"/>
        <w:rPr>
          <w:kern w:val="0"/>
        </w:rPr>
      </w:pPr>
      <w:r>
        <w:rPr>
          <w:kern w:val="0"/>
        </w:rPr>
        <w:t>Keywords: Articles, Sciences</w:t>
      </w:r>
    </w:p>
    <w:p w:rsidR="00D90001" w:rsidRDefault="00D90001" w:rsidP="00D90001">
      <w:pPr>
        <w:pStyle w:val="a3"/>
        <w:rPr>
          <w:kern w:val="0"/>
        </w:rPr>
      </w:pPr>
      <w:r>
        <w:rPr>
          <w:kern w:val="0"/>
        </w:rPr>
        <w:t>? Garfield, E. (1983</w:t>
      </w:r>
      <w:r w:rsidR="00F42EAC">
        <w:rPr>
          <w:kern w:val="0"/>
        </w:rPr>
        <w:t>), The</w:t>
      </w:r>
      <w:r w:rsidR="003A1917">
        <w:rPr>
          <w:kern w:val="0"/>
        </w:rPr>
        <w:t xml:space="preserve"> </w:t>
      </w:r>
      <w:r>
        <w:rPr>
          <w:kern w:val="0"/>
        </w:rPr>
        <w:t>1981 articles most cited in 1981</w:t>
      </w:r>
      <w:r w:rsidR="005853A9">
        <w:rPr>
          <w:kern w:val="0"/>
        </w:rPr>
        <w:t xml:space="preserve"> and </w:t>
      </w:r>
      <w:r>
        <w:rPr>
          <w:kern w:val="0"/>
        </w:rPr>
        <w:t xml:space="preserve">1982. 2. Physical sciences. </w:t>
      </w:r>
      <w:r>
        <w:rPr>
          <w:i/>
          <w:iCs/>
          <w:kern w:val="0"/>
        </w:rPr>
        <w:t>Current Contents</w:t>
      </w:r>
      <w:r>
        <w:rPr>
          <w:kern w:val="0"/>
        </w:rPr>
        <w:t xml:space="preserve">, </w:t>
      </w:r>
      <w:r>
        <w:rPr>
          <w:b/>
          <w:kern w:val="0"/>
        </w:rPr>
        <w:t>46</w:t>
      </w:r>
      <w:r>
        <w:rPr>
          <w:kern w:val="0"/>
        </w:rPr>
        <w:t>, 5-15.</w:t>
      </w:r>
    </w:p>
    <w:p w:rsidR="00D90001" w:rsidRDefault="00D90001" w:rsidP="00D90001">
      <w:pPr>
        <w:pStyle w:val="a3"/>
        <w:rPr>
          <w:kern w:val="0"/>
        </w:rPr>
      </w:pPr>
      <w:r>
        <w:rPr>
          <w:kern w:val="0"/>
        </w:rPr>
        <w:t>Keywords: Articles, Sciences</w:t>
      </w:r>
    </w:p>
    <w:p w:rsidR="00664410" w:rsidRDefault="00664410" w:rsidP="00664410">
      <w:pPr>
        <w:pStyle w:val="a3"/>
      </w:pPr>
      <w:r>
        <w:rPr>
          <w:rFonts w:hint="eastAsia"/>
        </w:rPr>
        <w:t>Notes: highly cited</w:t>
      </w:r>
    </w:p>
    <w:p w:rsidR="003474F2" w:rsidRPr="001A3D2B" w:rsidRDefault="003474F2" w:rsidP="003474F2">
      <w:pPr>
        <w:pStyle w:val="a3"/>
      </w:pPr>
      <w:r w:rsidRPr="001A3D2B">
        <w:t xml:space="preserve">? Garfield, E. (1984), Introducing Science Citation Index, abridged edition - A professional quality search tool for science students. </w:t>
      </w:r>
      <w:r w:rsidRPr="001A3D2B">
        <w:rPr>
          <w:i/>
          <w:iCs/>
        </w:rPr>
        <w:t>Current Contents</w:t>
      </w:r>
      <w:r w:rsidRPr="001A3D2B">
        <w:t xml:space="preserve">, </w:t>
      </w:r>
      <w:r w:rsidRPr="001A3D2B">
        <w:rPr>
          <w:b/>
          <w:bCs/>
        </w:rPr>
        <w:t>9</w:t>
      </w:r>
      <w:r w:rsidRPr="001A3D2B">
        <w:t>, 3-9.</w:t>
      </w:r>
    </w:p>
    <w:p w:rsidR="003474F2" w:rsidRPr="001A3D2B" w:rsidRDefault="003474F2" w:rsidP="003474F2">
      <w:pPr>
        <w:pStyle w:val="a3"/>
      </w:pPr>
      <w:r w:rsidRPr="001A3D2B">
        <w:t>Keywords: Citation, Science Citation Index</w:t>
      </w:r>
    </w:p>
    <w:p w:rsidR="00D90001" w:rsidRDefault="00D90001" w:rsidP="00D90001">
      <w:pPr>
        <w:pStyle w:val="a3"/>
        <w:rPr>
          <w:kern w:val="0"/>
        </w:rPr>
      </w:pPr>
      <w:r>
        <w:rPr>
          <w:kern w:val="0"/>
        </w:rPr>
        <w:t>? Garfield, E. (1984), Latin-american research. 2. Most-cited articles, discipline orientation,</w:t>
      </w:r>
      <w:r w:rsidR="005853A9">
        <w:rPr>
          <w:kern w:val="0"/>
        </w:rPr>
        <w:t xml:space="preserve"> and </w:t>
      </w:r>
      <w:r>
        <w:rPr>
          <w:kern w:val="0"/>
        </w:rPr>
        <w:t xml:space="preserve">research front concentration. </w:t>
      </w:r>
      <w:r>
        <w:rPr>
          <w:i/>
          <w:iCs/>
          <w:kern w:val="0"/>
        </w:rPr>
        <w:t>Current Contents</w:t>
      </w:r>
      <w:r>
        <w:rPr>
          <w:kern w:val="0"/>
        </w:rPr>
        <w:t xml:space="preserve">, </w:t>
      </w:r>
      <w:r>
        <w:rPr>
          <w:b/>
          <w:kern w:val="0"/>
        </w:rPr>
        <w:t>20</w:t>
      </w:r>
      <w:r>
        <w:rPr>
          <w:kern w:val="0"/>
        </w:rPr>
        <w:t>, 3-10.</w:t>
      </w:r>
    </w:p>
    <w:p w:rsidR="00D90001" w:rsidRDefault="00D90001" w:rsidP="00D90001">
      <w:pPr>
        <w:pStyle w:val="a3"/>
        <w:rPr>
          <w:kern w:val="0"/>
        </w:rPr>
      </w:pPr>
      <w:r>
        <w:rPr>
          <w:kern w:val="0"/>
        </w:rPr>
        <w:t>Keywords: Articles, Latin American, Research</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100 most-cited papers ever</w:t>
      </w:r>
      <w:r w:rsidR="005853A9">
        <w:rPr>
          <w:kern w:val="0"/>
        </w:rPr>
        <w:t xml:space="preserve"> and </w:t>
      </w:r>
      <w:r>
        <w:rPr>
          <w:kern w:val="0"/>
        </w:rPr>
        <w:t xml:space="preserve">how we select citation-classics. </w:t>
      </w:r>
      <w:r>
        <w:rPr>
          <w:i/>
          <w:iCs/>
          <w:kern w:val="0"/>
        </w:rPr>
        <w:t>Current Contents</w:t>
      </w:r>
      <w:r>
        <w:rPr>
          <w:kern w:val="0"/>
        </w:rPr>
        <w:t xml:space="preserve">, </w:t>
      </w:r>
      <w:r>
        <w:rPr>
          <w:b/>
          <w:kern w:val="0"/>
        </w:rPr>
        <w:t>23</w:t>
      </w:r>
      <w:r>
        <w:rPr>
          <w:kern w:val="0"/>
        </w:rPr>
        <w:t>, 3-9.</w:t>
      </w:r>
    </w:p>
    <w:p w:rsidR="00664410" w:rsidRDefault="00664410" w:rsidP="00664410">
      <w:pPr>
        <w:pStyle w:val="a3"/>
      </w:pPr>
      <w:r>
        <w:rPr>
          <w:rFonts w:hint="eastAsia"/>
        </w:rPr>
        <w:t>Notes: highly cited</w:t>
      </w:r>
    </w:p>
    <w:p w:rsidR="00664410" w:rsidRPr="00C73C58" w:rsidRDefault="00664410" w:rsidP="00664410">
      <w:pPr>
        <w:pStyle w:val="a3"/>
      </w:pPr>
      <w:r w:rsidRPr="00C73C58">
        <w:t xml:space="preserve">? Garfield, E. (1984), </w:t>
      </w:r>
      <w:r>
        <w:t>How to use</w:t>
      </w:r>
      <w:r w:rsidR="003A1917">
        <w:t xml:space="preserve"> the </w:t>
      </w:r>
      <w:r>
        <w:t>Social Sciences Citation Index (</w:t>
      </w:r>
      <w:r w:rsidR="00D5664A">
        <w:t>SSCI</w:t>
      </w:r>
      <w:r>
        <w:t>)</w:t>
      </w:r>
      <w:r>
        <w:rPr>
          <w:rFonts w:hint="eastAsia"/>
        </w:rPr>
        <w:t>?</w:t>
      </w:r>
      <w:r w:rsidRPr="00C73C58">
        <w:t xml:space="preserve"> </w:t>
      </w:r>
      <w:r w:rsidRPr="00C73C58">
        <w:rPr>
          <w:i/>
          <w:iCs/>
        </w:rPr>
        <w:t>Current Contents</w:t>
      </w:r>
      <w:r w:rsidRPr="00C73C58">
        <w:t xml:space="preserve">, </w:t>
      </w:r>
      <w:r>
        <w:rPr>
          <w:rFonts w:hint="eastAsia"/>
          <w:b/>
          <w:bCs/>
        </w:rPr>
        <w:t>27</w:t>
      </w:r>
      <w:r w:rsidRPr="00C73C58">
        <w:t>, 3-1</w:t>
      </w:r>
      <w:r>
        <w:rPr>
          <w:rFonts w:hint="eastAsia"/>
        </w:rPr>
        <w:t>3</w:t>
      </w:r>
      <w:r w:rsidRPr="00C73C58">
        <w:t>.</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articles most cited in 1961-1982. 2. Another 100 citation classics highlight</w:t>
      </w:r>
      <w:r w:rsidR="003A1917">
        <w:rPr>
          <w:kern w:val="0"/>
        </w:rPr>
        <w:t xml:space="preserve"> the </w:t>
      </w:r>
      <w:r>
        <w:rPr>
          <w:kern w:val="0"/>
        </w:rPr>
        <w:t>technology</w:t>
      </w:r>
      <w:r w:rsidR="00427468">
        <w:rPr>
          <w:kern w:val="0"/>
        </w:rPr>
        <w:t xml:space="preserve"> of </w:t>
      </w:r>
      <w:r>
        <w:rPr>
          <w:kern w:val="0"/>
        </w:rPr>
        <w:t xml:space="preserve">science. </w:t>
      </w:r>
      <w:r>
        <w:rPr>
          <w:i/>
          <w:iCs/>
          <w:kern w:val="0"/>
        </w:rPr>
        <w:t>Current Contents</w:t>
      </w:r>
      <w:r>
        <w:rPr>
          <w:kern w:val="0"/>
        </w:rPr>
        <w:t xml:space="preserve">, </w:t>
      </w:r>
      <w:r>
        <w:rPr>
          <w:b/>
          <w:kern w:val="0"/>
        </w:rPr>
        <w:t>29</w:t>
      </w:r>
      <w:r>
        <w:rPr>
          <w:kern w:val="0"/>
        </w:rPr>
        <w:t>, 3-12.</w:t>
      </w:r>
    </w:p>
    <w:p w:rsidR="00D90001" w:rsidRDefault="00D90001" w:rsidP="00D90001">
      <w:pPr>
        <w:pStyle w:val="a3"/>
        <w:rPr>
          <w:kern w:val="0"/>
        </w:rPr>
      </w:pPr>
      <w:r>
        <w:rPr>
          <w:kern w:val="0"/>
        </w:rPr>
        <w:t>Keywords: Articles, Citation, Science, Technology</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multidisciplinary impact</w:t>
      </w:r>
      <w:r w:rsidR="00427468">
        <w:rPr>
          <w:kern w:val="0"/>
        </w:rPr>
        <w:t xml:space="preserve"> of </w:t>
      </w:r>
      <w:r>
        <w:rPr>
          <w:kern w:val="0"/>
        </w:rPr>
        <w:t>math</w:t>
      </w:r>
      <w:r w:rsidR="005853A9">
        <w:rPr>
          <w:kern w:val="0"/>
        </w:rPr>
        <w:t xml:space="preserve"> and </w:t>
      </w:r>
      <w:r>
        <w:rPr>
          <w:kern w:val="0"/>
        </w:rPr>
        <w:t>computer-science is reflected in</w:t>
      </w:r>
      <w:r w:rsidR="003A1917">
        <w:rPr>
          <w:kern w:val="0"/>
        </w:rPr>
        <w:t xml:space="preserve"> the </w:t>
      </w:r>
      <w:r>
        <w:rPr>
          <w:kern w:val="0"/>
        </w:rPr>
        <w:t xml:space="preserve">100 most-cited articles in compumath citation index, 1976-1980. </w:t>
      </w:r>
      <w:r>
        <w:rPr>
          <w:i/>
          <w:iCs/>
          <w:kern w:val="0"/>
        </w:rPr>
        <w:t>Current Contents</w:t>
      </w:r>
      <w:r>
        <w:rPr>
          <w:kern w:val="0"/>
        </w:rPr>
        <w:t xml:space="preserve">, </w:t>
      </w:r>
      <w:r>
        <w:rPr>
          <w:b/>
          <w:kern w:val="0"/>
        </w:rPr>
        <w:t>31</w:t>
      </w:r>
      <w:r>
        <w:rPr>
          <w:kern w:val="0"/>
        </w:rPr>
        <w:t>, 3-10.</w:t>
      </w:r>
    </w:p>
    <w:p w:rsidR="00D90001" w:rsidRDefault="00D90001" w:rsidP="00D90001">
      <w:pPr>
        <w:pStyle w:val="a3"/>
        <w:rPr>
          <w:kern w:val="0"/>
        </w:rPr>
      </w:pPr>
      <w:r>
        <w:rPr>
          <w:kern w:val="0"/>
        </w:rPr>
        <w:t>Keywords: Articles, Citation, Impact, Multidisciplinary</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 xml:space="preserve">1981 geosciences articles most cited from 1981 through 1983. </w:t>
      </w:r>
      <w:r>
        <w:rPr>
          <w:i/>
          <w:iCs/>
          <w:kern w:val="0"/>
        </w:rPr>
        <w:t>Current Contents</w:t>
      </w:r>
      <w:r>
        <w:rPr>
          <w:kern w:val="0"/>
        </w:rPr>
        <w:t xml:space="preserve">, </w:t>
      </w:r>
      <w:r>
        <w:rPr>
          <w:b/>
          <w:kern w:val="0"/>
        </w:rPr>
        <w:t>33</w:t>
      </w:r>
      <w:r>
        <w:rPr>
          <w:kern w:val="0"/>
        </w:rPr>
        <w:t>, 3-15.</w:t>
      </w:r>
    </w:p>
    <w:p w:rsidR="00D90001" w:rsidRDefault="00D90001" w:rsidP="00D90001">
      <w:pPr>
        <w:pStyle w:val="a3"/>
        <w:rPr>
          <w:kern w:val="0"/>
        </w:rPr>
      </w:pPr>
      <w:r>
        <w:rPr>
          <w:kern w:val="0"/>
        </w:rPr>
        <w:t>Keywords: Articles</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100 most-cited books in</w:t>
      </w:r>
      <w:r w:rsidR="003A1917">
        <w:rPr>
          <w:kern w:val="0"/>
        </w:rPr>
        <w:t xml:space="preserve"> the </w:t>
      </w:r>
      <w:r>
        <w:rPr>
          <w:kern w:val="0"/>
        </w:rPr>
        <w:t xml:space="preserve">compumath citation index, 1976-1980. </w:t>
      </w:r>
      <w:r>
        <w:rPr>
          <w:i/>
          <w:iCs/>
          <w:kern w:val="0"/>
        </w:rPr>
        <w:t>Current Contents</w:t>
      </w:r>
      <w:r>
        <w:rPr>
          <w:kern w:val="0"/>
        </w:rPr>
        <w:t xml:space="preserve">, </w:t>
      </w:r>
      <w:r>
        <w:rPr>
          <w:b/>
          <w:kern w:val="0"/>
        </w:rPr>
        <w:t>34</w:t>
      </w:r>
      <w:r>
        <w:rPr>
          <w:kern w:val="0"/>
        </w:rPr>
        <w:t>, 3-8.</w:t>
      </w:r>
    </w:p>
    <w:p w:rsidR="00D90001" w:rsidRDefault="00D90001" w:rsidP="00D90001">
      <w:pPr>
        <w:pStyle w:val="a3"/>
        <w:rPr>
          <w:kern w:val="0"/>
        </w:rPr>
      </w:pPr>
      <w:r>
        <w:rPr>
          <w:kern w:val="0"/>
        </w:rPr>
        <w:t>Keywords: Books, Citation</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 xml:space="preserve">articles most cited in 1961-1982. 3. Another 100 all-time citation-classics. </w:t>
      </w:r>
      <w:r>
        <w:rPr>
          <w:i/>
          <w:iCs/>
          <w:kern w:val="0"/>
        </w:rPr>
        <w:t>Current Contents</w:t>
      </w:r>
      <w:r>
        <w:rPr>
          <w:kern w:val="0"/>
        </w:rPr>
        <w:t xml:space="preserve">, </w:t>
      </w:r>
      <w:r>
        <w:rPr>
          <w:b/>
          <w:kern w:val="0"/>
        </w:rPr>
        <w:t>35</w:t>
      </w:r>
      <w:r>
        <w:rPr>
          <w:kern w:val="0"/>
        </w:rPr>
        <w:t>, 3-9.</w:t>
      </w:r>
    </w:p>
    <w:p w:rsidR="00D90001" w:rsidRDefault="00D90001" w:rsidP="00D90001">
      <w:pPr>
        <w:pStyle w:val="a3"/>
        <w:rPr>
          <w:kern w:val="0"/>
        </w:rPr>
      </w:pPr>
      <w:r>
        <w:rPr>
          <w:kern w:val="0"/>
        </w:rPr>
        <w:t>Keywords: Articles</w:t>
      </w:r>
    </w:p>
    <w:p w:rsidR="009B3D0B" w:rsidRDefault="009B3D0B" w:rsidP="009B3D0B">
      <w:pPr>
        <w:pStyle w:val="a3"/>
        <w:rPr>
          <w:kern w:val="0"/>
        </w:rPr>
      </w:pPr>
      <w:r>
        <w:rPr>
          <w:rFonts w:hint="eastAsia"/>
          <w:kern w:val="0"/>
        </w:rPr>
        <w:t>Notes: highly cited</w:t>
      </w:r>
    </w:p>
    <w:p w:rsidR="009B3D0B" w:rsidRDefault="009B3D0B" w:rsidP="009B3D0B">
      <w:pPr>
        <w:pStyle w:val="a3"/>
        <w:rPr>
          <w:kern w:val="0"/>
        </w:rPr>
      </w:pPr>
      <w:r>
        <w:rPr>
          <w:kern w:val="0"/>
        </w:rPr>
        <w:t xml:space="preserve">? Garfield, E. (1984), </w:t>
      </w:r>
      <w:r w:rsidRPr="009B3D0B">
        <w:rPr>
          <w:kern w:val="0"/>
        </w:rPr>
        <w:t>100 Classics from</w:t>
      </w:r>
      <w:r w:rsidR="003A1917">
        <w:rPr>
          <w:kern w:val="0"/>
        </w:rPr>
        <w:t xml:space="preserve"> the </w:t>
      </w:r>
      <w:r w:rsidRPr="009B3D0B">
        <w:rPr>
          <w:kern w:val="0"/>
        </w:rPr>
        <w:t>Lancet</w:t>
      </w:r>
      <w:r>
        <w:rPr>
          <w:kern w:val="0"/>
        </w:rPr>
        <w:t xml:space="preserve">. </w:t>
      </w:r>
      <w:r>
        <w:rPr>
          <w:i/>
          <w:iCs/>
          <w:kern w:val="0"/>
        </w:rPr>
        <w:t>Current Contents</w:t>
      </w:r>
      <w:r>
        <w:rPr>
          <w:kern w:val="0"/>
        </w:rPr>
        <w:t xml:space="preserve">, </w:t>
      </w:r>
      <w:r>
        <w:rPr>
          <w:rFonts w:hint="eastAsia"/>
          <w:b/>
          <w:kern w:val="0"/>
        </w:rPr>
        <w:t>39</w:t>
      </w:r>
      <w:r>
        <w:rPr>
          <w:kern w:val="0"/>
        </w:rPr>
        <w:t>, 3-</w:t>
      </w:r>
      <w:r>
        <w:rPr>
          <w:rFonts w:hint="eastAsia"/>
          <w:kern w:val="0"/>
        </w:rPr>
        <w:t>13</w:t>
      </w:r>
      <w:r>
        <w:rPr>
          <w:kern w:val="0"/>
        </w:rPr>
        <w:t>.</w:t>
      </w:r>
    </w:p>
    <w:p w:rsidR="009B3D0B" w:rsidRDefault="009B3D0B" w:rsidP="009B3D0B">
      <w:pPr>
        <w:pStyle w:val="a3"/>
        <w:rPr>
          <w:kern w:val="0"/>
        </w:rPr>
      </w:pPr>
      <w:r>
        <w:rPr>
          <w:kern w:val="0"/>
        </w:rPr>
        <w:lastRenderedPageBreak/>
        <w:t>? Garfield, E. (1984</w:t>
      </w:r>
      <w:r w:rsidR="00F42EAC">
        <w:rPr>
          <w:kern w:val="0"/>
        </w:rPr>
        <w:t>), The</w:t>
      </w:r>
      <w:r w:rsidR="003A1917">
        <w:rPr>
          <w:kern w:val="0"/>
        </w:rPr>
        <w:t xml:space="preserve"> </w:t>
      </w:r>
      <w:r>
        <w:rPr>
          <w:kern w:val="0"/>
        </w:rPr>
        <w:t xml:space="preserve">articles most cited in 1961-1982. 4. 100 additional citation classics. </w:t>
      </w:r>
      <w:r>
        <w:rPr>
          <w:i/>
          <w:iCs/>
          <w:kern w:val="0"/>
        </w:rPr>
        <w:t>Current Contents</w:t>
      </w:r>
      <w:r>
        <w:rPr>
          <w:kern w:val="0"/>
        </w:rPr>
        <w:t xml:space="preserve">, </w:t>
      </w:r>
      <w:r>
        <w:rPr>
          <w:b/>
          <w:kern w:val="0"/>
        </w:rPr>
        <w:t>40</w:t>
      </w:r>
      <w:r>
        <w:rPr>
          <w:kern w:val="0"/>
        </w:rPr>
        <w:t>, 3-9.</w:t>
      </w:r>
    </w:p>
    <w:p w:rsidR="00D90001" w:rsidRDefault="00D90001" w:rsidP="00D90001">
      <w:pPr>
        <w:pStyle w:val="a3"/>
        <w:rPr>
          <w:kern w:val="0"/>
        </w:rPr>
      </w:pPr>
      <w:r>
        <w:rPr>
          <w:kern w:val="0"/>
        </w:rPr>
        <w:t>Keywords: Articles, Citation</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articles most cited in 1961-1982. 5. Another 100 citation-classics</w:t>
      </w:r>
      <w:r w:rsidR="005853A9">
        <w:rPr>
          <w:kern w:val="0"/>
        </w:rPr>
        <w:t xml:space="preserve"> and </w:t>
      </w:r>
      <w:r>
        <w:rPr>
          <w:kern w:val="0"/>
        </w:rPr>
        <w:t>a summary</w:t>
      </w:r>
      <w:r w:rsidR="00427468">
        <w:rPr>
          <w:kern w:val="0"/>
        </w:rPr>
        <w:t xml:space="preserve"> of </w:t>
      </w:r>
      <w:r w:rsidR="003A1917">
        <w:rPr>
          <w:kern w:val="0"/>
        </w:rPr>
        <w:t xml:space="preserve">the </w:t>
      </w:r>
      <w:r>
        <w:rPr>
          <w:kern w:val="0"/>
        </w:rPr>
        <w:t xml:space="preserve">500 papers identified to date. </w:t>
      </w:r>
      <w:r>
        <w:rPr>
          <w:i/>
          <w:iCs/>
          <w:kern w:val="0"/>
        </w:rPr>
        <w:t>Current Contents</w:t>
      </w:r>
      <w:r>
        <w:rPr>
          <w:kern w:val="0"/>
        </w:rPr>
        <w:t xml:space="preserve">, </w:t>
      </w:r>
      <w:r>
        <w:rPr>
          <w:b/>
          <w:kern w:val="0"/>
        </w:rPr>
        <w:t>42</w:t>
      </w:r>
      <w:r>
        <w:rPr>
          <w:kern w:val="0"/>
        </w:rPr>
        <w:t>, 3-12.</w:t>
      </w:r>
    </w:p>
    <w:p w:rsidR="00D90001" w:rsidRDefault="00D90001" w:rsidP="00D90001">
      <w:pPr>
        <w:pStyle w:val="a3"/>
        <w:rPr>
          <w:kern w:val="0"/>
        </w:rPr>
      </w:pPr>
      <w:r>
        <w:rPr>
          <w:kern w:val="0"/>
        </w:rPr>
        <w:t>Keywords: Articles</w:t>
      </w:r>
    </w:p>
    <w:p w:rsidR="00D90001" w:rsidRDefault="00D90001" w:rsidP="00D90001">
      <w:pPr>
        <w:pStyle w:val="a3"/>
        <w:rPr>
          <w:kern w:val="0"/>
        </w:rPr>
      </w:pPr>
      <w:r>
        <w:rPr>
          <w:kern w:val="0"/>
        </w:rPr>
        <w:t>? Garfield, E. (1984), Journal citation studies. 44. Citation patterns in nursing journals,</w:t>
      </w:r>
      <w:r w:rsidR="005853A9">
        <w:rPr>
          <w:kern w:val="0"/>
        </w:rPr>
        <w:t xml:space="preserve"> and </w:t>
      </w:r>
      <w:r>
        <w:rPr>
          <w:kern w:val="0"/>
        </w:rPr>
        <w:t xml:space="preserve">their most-cited articles. </w:t>
      </w:r>
      <w:r>
        <w:rPr>
          <w:i/>
          <w:iCs/>
          <w:kern w:val="0"/>
        </w:rPr>
        <w:t>Current Contents</w:t>
      </w:r>
      <w:r>
        <w:rPr>
          <w:kern w:val="0"/>
        </w:rPr>
        <w:t xml:space="preserve">, </w:t>
      </w:r>
      <w:r>
        <w:rPr>
          <w:b/>
          <w:kern w:val="0"/>
        </w:rPr>
        <w:t>43</w:t>
      </w:r>
      <w:r>
        <w:rPr>
          <w:kern w:val="0"/>
        </w:rPr>
        <w:t>, 3-12.</w:t>
      </w:r>
    </w:p>
    <w:p w:rsidR="00D90001" w:rsidRDefault="00D90001" w:rsidP="00D90001">
      <w:pPr>
        <w:pStyle w:val="a3"/>
        <w:rPr>
          <w:kern w:val="0"/>
        </w:rPr>
      </w:pPr>
      <w:r>
        <w:rPr>
          <w:kern w:val="0"/>
        </w:rPr>
        <w:t>Keywords: Articles, Citation, Journal, Journals, Nursing</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1982 articles most cited in 1982</w:t>
      </w:r>
      <w:r w:rsidR="005853A9">
        <w:rPr>
          <w:kern w:val="0"/>
        </w:rPr>
        <w:t xml:space="preserve"> and </w:t>
      </w:r>
      <w:r>
        <w:rPr>
          <w:kern w:val="0"/>
        </w:rPr>
        <w:t xml:space="preserve">1983. 1. Life sciences. </w:t>
      </w:r>
      <w:r>
        <w:rPr>
          <w:i/>
          <w:iCs/>
          <w:kern w:val="0"/>
        </w:rPr>
        <w:t>Current Contents</w:t>
      </w:r>
      <w:r>
        <w:rPr>
          <w:kern w:val="0"/>
        </w:rPr>
        <w:t xml:space="preserve">, </w:t>
      </w:r>
      <w:r>
        <w:rPr>
          <w:b/>
          <w:kern w:val="0"/>
        </w:rPr>
        <w:t>45</w:t>
      </w:r>
      <w:r>
        <w:rPr>
          <w:kern w:val="0"/>
        </w:rPr>
        <w:t>, 3-15.</w:t>
      </w:r>
    </w:p>
    <w:p w:rsidR="00D90001" w:rsidRDefault="00D90001" w:rsidP="00D90001">
      <w:pPr>
        <w:pStyle w:val="a3"/>
        <w:rPr>
          <w:kern w:val="0"/>
        </w:rPr>
      </w:pPr>
      <w:r>
        <w:rPr>
          <w:kern w:val="0"/>
        </w:rPr>
        <w:t>Keywords: Articles, Sciences</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1982 articles most cited in 1982</w:t>
      </w:r>
      <w:r w:rsidR="005853A9">
        <w:rPr>
          <w:kern w:val="0"/>
        </w:rPr>
        <w:t xml:space="preserve"> and </w:t>
      </w:r>
      <w:r>
        <w:rPr>
          <w:kern w:val="0"/>
        </w:rPr>
        <w:t xml:space="preserve">1983. 2. Physical sciences. </w:t>
      </w:r>
      <w:r>
        <w:rPr>
          <w:i/>
          <w:iCs/>
          <w:kern w:val="0"/>
        </w:rPr>
        <w:t>Current Contents</w:t>
      </w:r>
      <w:r>
        <w:rPr>
          <w:kern w:val="0"/>
        </w:rPr>
        <w:t xml:space="preserve">, </w:t>
      </w:r>
      <w:r>
        <w:rPr>
          <w:b/>
          <w:kern w:val="0"/>
        </w:rPr>
        <w:t>48</w:t>
      </w:r>
      <w:r>
        <w:rPr>
          <w:kern w:val="0"/>
        </w:rPr>
        <w:t>, 3-14.</w:t>
      </w:r>
    </w:p>
    <w:p w:rsidR="00D90001" w:rsidRDefault="00D90001" w:rsidP="00D90001">
      <w:pPr>
        <w:pStyle w:val="a3"/>
        <w:rPr>
          <w:kern w:val="0"/>
        </w:rPr>
      </w:pPr>
      <w:r>
        <w:rPr>
          <w:kern w:val="0"/>
        </w:rPr>
        <w:t>Keywords: Articles, Sciences</w:t>
      </w:r>
    </w:p>
    <w:p w:rsidR="00D90001" w:rsidRDefault="00D90001" w:rsidP="00D90001">
      <w:pPr>
        <w:pStyle w:val="a3"/>
        <w:rPr>
          <w:kern w:val="0"/>
        </w:rPr>
      </w:pPr>
      <w:r>
        <w:rPr>
          <w:kern w:val="0"/>
        </w:rPr>
        <w:t>? Garfield, E. (1984</w:t>
      </w:r>
      <w:r w:rsidR="00F42EAC">
        <w:rPr>
          <w:kern w:val="0"/>
        </w:rPr>
        <w:t>), The</w:t>
      </w:r>
      <w:r w:rsidR="003A1917">
        <w:rPr>
          <w:kern w:val="0"/>
        </w:rPr>
        <w:t xml:space="preserve"> </w:t>
      </w:r>
      <w:r>
        <w:rPr>
          <w:kern w:val="0"/>
        </w:rPr>
        <w:t>awards</w:t>
      </w:r>
      <w:r w:rsidR="00427468">
        <w:rPr>
          <w:kern w:val="0"/>
        </w:rPr>
        <w:t xml:space="preserve"> of </w:t>
      </w:r>
      <w:r>
        <w:rPr>
          <w:kern w:val="0"/>
        </w:rPr>
        <w:t>science - Beyond</w:t>
      </w:r>
      <w:r w:rsidR="003A1917">
        <w:rPr>
          <w:kern w:val="0"/>
        </w:rPr>
        <w:t xml:space="preserve"> the </w:t>
      </w:r>
      <w:r>
        <w:rPr>
          <w:kern w:val="0"/>
        </w:rPr>
        <w:t>Nobel-Prize. 2</w:t>
      </w:r>
      <w:r w:rsidR="00A37C1D">
        <w:rPr>
          <w:kern w:val="0"/>
        </w:rPr>
        <w:t>. The</w:t>
      </w:r>
      <w:r w:rsidR="003A1917">
        <w:rPr>
          <w:kern w:val="0"/>
        </w:rPr>
        <w:t xml:space="preserve"> </w:t>
      </w:r>
      <w:r>
        <w:rPr>
          <w:kern w:val="0"/>
        </w:rPr>
        <w:t>winners</w:t>
      </w:r>
      <w:r w:rsidR="005853A9">
        <w:rPr>
          <w:kern w:val="0"/>
        </w:rPr>
        <w:t xml:space="preserve"> and </w:t>
      </w:r>
      <w:r>
        <w:rPr>
          <w:kern w:val="0"/>
        </w:rPr>
        <w:t xml:space="preserve">their most-cited papers. </w:t>
      </w:r>
      <w:r>
        <w:rPr>
          <w:i/>
          <w:iCs/>
          <w:kern w:val="0"/>
        </w:rPr>
        <w:t>Current Contents</w:t>
      </w:r>
      <w:r>
        <w:rPr>
          <w:kern w:val="0"/>
        </w:rPr>
        <w:t xml:space="preserve">, </w:t>
      </w:r>
      <w:r>
        <w:rPr>
          <w:b/>
          <w:kern w:val="0"/>
        </w:rPr>
        <w:t>50</w:t>
      </w:r>
      <w:r>
        <w:rPr>
          <w:kern w:val="0"/>
        </w:rPr>
        <w:t>, 3-17.</w:t>
      </w:r>
    </w:p>
    <w:p w:rsidR="00D90001" w:rsidRDefault="00D90001" w:rsidP="00D90001">
      <w:pPr>
        <w:pStyle w:val="a3"/>
        <w:rPr>
          <w:kern w:val="0"/>
        </w:rPr>
      </w:pPr>
      <w:r>
        <w:rPr>
          <w:kern w:val="0"/>
        </w:rPr>
        <w:t>Keywords: Nobel Prize, Science</w:t>
      </w:r>
    </w:p>
    <w:p w:rsidR="003474F2" w:rsidRPr="001A3D2B" w:rsidRDefault="003474F2" w:rsidP="003474F2">
      <w:pPr>
        <w:pStyle w:val="a3"/>
      </w:pPr>
      <w:r w:rsidRPr="001A3D2B">
        <w:t xml:space="preserve">? Garfield, E. (1984), Science books for children. </w:t>
      </w:r>
      <w:r w:rsidRPr="001A3D2B">
        <w:rPr>
          <w:i/>
          <w:iCs/>
        </w:rPr>
        <w:t>Current Contents</w:t>
      </w:r>
      <w:r w:rsidRPr="001A3D2B">
        <w:t xml:space="preserve">, </w:t>
      </w:r>
      <w:r w:rsidRPr="001A3D2B">
        <w:rPr>
          <w:b/>
          <w:bCs/>
        </w:rPr>
        <w:t>52</w:t>
      </w:r>
      <w:r w:rsidRPr="001A3D2B">
        <w:t>, 3-11.</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250 most-cited citation-classics from</w:t>
      </w:r>
      <w:r w:rsidR="003A1917">
        <w:rPr>
          <w:kern w:val="0"/>
        </w:rPr>
        <w:t xml:space="preserve"> the </w:t>
      </w:r>
      <w:r>
        <w:rPr>
          <w:kern w:val="0"/>
        </w:rPr>
        <w:t xml:space="preserve">essential decade 1955-1964. </w:t>
      </w:r>
      <w:r>
        <w:rPr>
          <w:i/>
          <w:iCs/>
          <w:kern w:val="0"/>
        </w:rPr>
        <w:t>Current Contents</w:t>
      </w:r>
      <w:r>
        <w:rPr>
          <w:kern w:val="0"/>
        </w:rPr>
        <w:t xml:space="preserve">, </w:t>
      </w:r>
      <w:r>
        <w:rPr>
          <w:rFonts w:hint="eastAsia"/>
          <w:b/>
          <w:kern w:val="0"/>
        </w:rPr>
        <w:t>5</w:t>
      </w:r>
      <w:r>
        <w:rPr>
          <w:kern w:val="0"/>
        </w:rPr>
        <w:t>, 3-15</w:t>
      </w:r>
      <w:r>
        <w:rPr>
          <w:rFonts w:hint="eastAsia"/>
          <w:kern w:val="0"/>
        </w:rPr>
        <w:t>.</w:t>
      </w:r>
    </w:p>
    <w:p w:rsidR="003474F2" w:rsidRPr="001A3D2B" w:rsidRDefault="003474F2" w:rsidP="003474F2">
      <w:pPr>
        <w:pStyle w:val="a3"/>
      </w:pPr>
      <w:r w:rsidRPr="001A3D2B">
        <w:t>? Garfield, E. (1985), How to use</w:t>
      </w:r>
      <w:r w:rsidR="003A1917">
        <w:t xml:space="preserve"> the </w:t>
      </w:r>
      <w:r w:rsidRPr="001A3D2B">
        <w:t>Arts</w:t>
      </w:r>
      <w:r w:rsidR="005853A9">
        <w:t xml:space="preserve"> and </w:t>
      </w:r>
      <w:r w:rsidRPr="001A3D2B">
        <w:t>Humanities Citation Index (A</w:t>
      </w:r>
      <w:r w:rsidR="00EA4951">
        <w:rPr>
          <w:rFonts w:hint="eastAsia"/>
        </w:rPr>
        <w:t>&amp;</w:t>
      </w:r>
      <w:r w:rsidRPr="001A3D2B">
        <w:t>HCI)</w:t>
      </w:r>
      <w:r w:rsidR="005853A9">
        <w:t xml:space="preserve"> and </w:t>
      </w:r>
      <w:r w:rsidRPr="001A3D2B">
        <w:t>whats in it for you</w:t>
      </w:r>
      <w:r w:rsidR="005853A9">
        <w:t xml:space="preserve"> and </w:t>
      </w:r>
      <w:r w:rsidRPr="001A3D2B">
        <w:t xml:space="preserve">your mate. </w:t>
      </w:r>
      <w:r w:rsidRPr="001A3D2B">
        <w:rPr>
          <w:i/>
          <w:iCs/>
        </w:rPr>
        <w:t>Current Contents</w:t>
      </w:r>
      <w:r w:rsidRPr="001A3D2B">
        <w:t xml:space="preserve">, </w:t>
      </w:r>
      <w:r w:rsidRPr="001A3D2B">
        <w:rPr>
          <w:b/>
          <w:bCs/>
        </w:rPr>
        <w:t>6</w:t>
      </w:r>
      <w:r w:rsidRPr="001A3D2B">
        <w:t>, 3-12.</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1981 most-cited chemistry papers. 1. Pure</w:t>
      </w:r>
      <w:r w:rsidR="005853A9">
        <w:rPr>
          <w:kern w:val="0"/>
        </w:rPr>
        <w:t xml:space="preserve"> and </w:t>
      </w:r>
      <w:r>
        <w:rPr>
          <w:kern w:val="0"/>
        </w:rPr>
        <w:t>synthetic chemistry - or, should I say, most-cited papers published in 1981 in</w:t>
      </w:r>
      <w:r w:rsidR="003A1917">
        <w:rPr>
          <w:kern w:val="0"/>
        </w:rPr>
        <w:t xml:space="preserve"> the </w:t>
      </w:r>
      <w:r w:rsidRPr="00502770">
        <w:rPr>
          <w:i/>
          <w:kern w:val="0"/>
        </w:rPr>
        <w:t>Journal</w:t>
      </w:r>
      <w:r w:rsidR="00427468">
        <w:rPr>
          <w:i/>
          <w:kern w:val="0"/>
        </w:rPr>
        <w:t xml:space="preserve"> of </w:t>
      </w:r>
      <w:r w:rsidR="003A1917">
        <w:rPr>
          <w:i/>
          <w:kern w:val="0"/>
        </w:rPr>
        <w:t xml:space="preserve">the </w:t>
      </w:r>
      <w:r w:rsidRPr="00502770">
        <w:rPr>
          <w:i/>
          <w:kern w:val="0"/>
        </w:rPr>
        <w:t>American</w:t>
      </w:r>
      <w:r w:rsidRPr="00502770">
        <w:rPr>
          <w:rFonts w:hint="eastAsia"/>
          <w:i/>
          <w:kern w:val="0"/>
        </w:rPr>
        <w:t xml:space="preserve"> </w:t>
      </w:r>
      <w:r w:rsidRPr="00502770">
        <w:rPr>
          <w:i/>
          <w:kern w:val="0"/>
        </w:rPr>
        <w:t>Chemical Society</w:t>
      </w:r>
      <w:r>
        <w:rPr>
          <w:kern w:val="0"/>
        </w:rPr>
        <w:t xml:space="preserve">. </w:t>
      </w:r>
      <w:r>
        <w:rPr>
          <w:i/>
          <w:iCs/>
          <w:kern w:val="0"/>
        </w:rPr>
        <w:t>Current Contents</w:t>
      </w:r>
      <w:r>
        <w:rPr>
          <w:kern w:val="0"/>
        </w:rPr>
        <w:t xml:space="preserve">, </w:t>
      </w:r>
      <w:r>
        <w:rPr>
          <w:rFonts w:hint="eastAsia"/>
          <w:b/>
          <w:kern w:val="0"/>
        </w:rPr>
        <w:t>12</w:t>
      </w:r>
      <w:r>
        <w:rPr>
          <w:kern w:val="0"/>
        </w:rPr>
        <w:t>, 3-16</w:t>
      </w:r>
      <w:r>
        <w:rPr>
          <w:rFonts w:hint="eastAsia"/>
          <w:kern w:val="0"/>
        </w:rPr>
        <w:t>.</w:t>
      </w:r>
    </w:p>
    <w:p w:rsidR="00FF6A74" w:rsidRDefault="00FF6A74" w:rsidP="00FF6A74">
      <w:pPr>
        <w:pStyle w:val="a3"/>
        <w:rPr>
          <w:kern w:val="0"/>
        </w:rPr>
      </w:pPr>
      <w:r>
        <w:rPr>
          <w:kern w:val="0"/>
        </w:rPr>
        <w:t>Keywords: Chemistry</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articles most cited in</w:t>
      </w:r>
      <w:r w:rsidR="003A1917">
        <w:rPr>
          <w:kern w:val="0"/>
        </w:rPr>
        <w:t xml:space="preserve"> the </w:t>
      </w:r>
      <w:r>
        <w:rPr>
          <w:kern w:val="0"/>
        </w:rPr>
        <w:t xml:space="preserve">SCI from 1961 to 1982. 6. More citation-classics to think about. </w:t>
      </w:r>
      <w:r>
        <w:rPr>
          <w:i/>
          <w:iCs/>
          <w:kern w:val="0"/>
        </w:rPr>
        <w:t>Current Contents</w:t>
      </w:r>
      <w:r>
        <w:rPr>
          <w:kern w:val="0"/>
        </w:rPr>
        <w:t xml:space="preserve">, </w:t>
      </w:r>
      <w:r>
        <w:rPr>
          <w:rFonts w:hint="eastAsia"/>
          <w:b/>
          <w:kern w:val="0"/>
        </w:rPr>
        <w:t>14</w:t>
      </w:r>
      <w:r>
        <w:rPr>
          <w:kern w:val="0"/>
        </w:rPr>
        <w:t>, 3-10</w:t>
      </w:r>
      <w:r>
        <w:rPr>
          <w:rFonts w:hint="eastAsia"/>
          <w:kern w:val="0"/>
        </w:rPr>
        <w:t>.</w:t>
      </w:r>
    </w:p>
    <w:p w:rsidR="00FF6A74" w:rsidRDefault="00FF6A74" w:rsidP="00FF6A74">
      <w:pPr>
        <w:pStyle w:val="a3"/>
        <w:rPr>
          <w:kern w:val="0"/>
        </w:rPr>
      </w:pPr>
      <w:r>
        <w:rPr>
          <w:kern w:val="0"/>
        </w:rPr>
        <w:t>Keywords: Articles</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articles most cited in</w:t>
      </w:r>
      <w:r w:rsidR="003A1917">
        <w:rPr>
          <w:kern w:val="0"/>
        </w:rPr>
        <w:t xml:space="preserve"> the </w:t>
      </w:r>
      <w:r>
        <w:rPr>
          <w:kern w:val="0"/>
        </w:rPr>
        <w:t>SCI from 1961 to 1982. 7. Another 100 citation-classics -</w:t>
      </w:r>
      <w:r w:rsidR="003A1917">
        <w:rPr>
          <w:kern w:val="0"/>
        </w:rPr>
        <w:t xml:space="preserve"> the </w:t>
      </w:r>
      <w:r>
        <w:rPr>
          <w:kern w:val="0"/>
        </w:rPr>
        <w:t xml:space="preserve">Watson-crick double helix has its turn. </w:t>
      </w:r>
      <w:r>
        <w:rPr>
          <w:i/>
          <w:iCs/>
          <w:kern w:val="0"/>
        </w:rPr>
        <w:t>Current Contents</w:t>
      </w:r>
      <w:r>
        <w:rPr>
          <w:kern w:val="0"/>
        </w:rPr>
        <w:t xml:space="preserve">, </w:t>
      </w:r>
      <w:r>
        <w:rPr>
          <w:rFonts w:hint="eastAsia"/>
          <w:b/>
          <w:kern w:val="0"/>
        </w:rPr>
        <w:t>20</w:t>
      </w:r>
      <w:r>
        <w:rPr>
          <w:kern w:val="0"/>
        </w:rPr>
        <w:t>, 3-12</w:t>
      </w:r>
      <w:r>
        <w:rPr>
          <w:rFonts w:hint="eastAsia"/>
          <w:kern w:val="0"/>
        </w:rPr>
        <w:t>.</w:t>
      </w:r>
    </w:p>
    <w:p w:rsidR="00FF6A74" w:rsidRDefault="00FF6A74" w:rsidP="00FF6A74">
      <w:pPr>
        <w:pStyle w:val="a3"/>
        <w:rPr>
          <w:kern w:val="0"/>
        </w:rPr>
      </w:pPr>
      <w:r>
        <w:rPr>
          <w:kern w:val="0"/>
        </w:rPr>
        <w:t>Keywords: Articles</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articles most cited in</w:t>
      </w:r>
      <w:r w:rsidR="003A1917">
        <w:rPr>
          <w:kern w:val="0"/>
        </w:rPr>
        <w:t xml:space="preserve"> the </w:t>
      </w:r>
      <w:r>
        <w:rPr>
          <w:kern w:val="0"/>
        </w:rPr>
        <w:t>SCI from 1961 to 1982. 8. Ninety-eight more classic papers from unimolecular reaction velocities to natural opiates -</w:t>
      </w:r>
      <w:r w:rsidR="003A1917">
        <w:rPr>
          <w:kern w:val="0"/>
        </w:rPr>
        <w:t xml:space="preserve"> the </w:t>
      </w:r>
      <w:r>
        <w:rPr>
          <w:kern w:val="0"/>
        </w:rPr>
        <w:t>changing frontiers</w:t>
      </w:r>
      <w:r w:rsidR="00427468">
        <w:rPr>
          <w:kern w:val="0"/>
        </w:rPr>
        <w:t xml:space="preserve"> of </w:t>
      </w:r>
      <w:r>
        <w:rPr>
          <w:kern w:val="0"/>
        </w:rPr>
        <w:t xml:space="preserve">science. </w:t>
      </w:r>
      <w:r>
        <w:rPr>
          <w:i/>
          <w:iCs/>
          <w:kern w:val="0"/>
        </w:rPr>
        <w:t>Current Contents</w:t>
      </w:r>
      <w:r>
        <w:rPr>
          <w:kern w:val="0"/>
        </w:rPr>
        <w:t xml:space="preserve">, </w:t>
      </w:r>
      <w:r>
        <w:rPr>
          <w:rFonts w:hint="eastAsia"/>
          <w:b/>
          <w:kern w:val="0"/>
        </w:rPr>
        <w:t>33</w:t>
      </w:r>
      <w:r>
        <w:rPr>
          <w:kern w:val="0"/>
        </w:rPr>
        <w:t>, 3-11</w:t>
      </w:r>
      <w:r>
        <w:rPr>
          <w:rFonts w:hint="eastAsia"/>
          <w:kern w:val="0"/>
        </w:rPr>
        <w:t>.</w:t>
      </w:r>
    </w:p>
    <w:p w:rsidR="00FF6A74" w:rsidRDefault="00FF6A74" w:rsidP="00FF6A74">
      <w:pPr>
        <w:pStyle w:val="a3"/>
        <w:rPr>
          <w:kern w:val="0"/>
        </w:rPr>
      </w:pPr>
      <w:r>
        <w:rPr>
          <w:kern w:val="0"/>
        </w:rPr>
        <w:t>Keywords: Articles</w:t>
      </w:r>
      <w:r>
        <w:rPr>
          <w:rFonts w:hint="eastAsia"/>
          <w:kern w:val="0"/>
        </w:rPr>
        <w:t xml:space="preserve">, </w:t>
      </w:r>
      <w:r>
        <w:rPr>
          <w:kern w:val="0"/>
        </w:rPr>
        <w:t>Science</w:t>
      </w:r>
    </w:p>
    <w:p w:rsidR="00FF6A74" w:rsidRDefault="00FF6A74" w:rsidP="00FF6A74">
      <w:pPr>
        <w:pStyle w:val="a3"/>
        <w:rPr>
          <w:kern w:val="0"/>
        </w:rPr>
      </w:pPr>
      <w:r>
        <w:rPr>
          <w:rFonts w:hint="eastAsia"/>
          <w:kern w:val="0"/>
        </w:rPr>
        <w:lastRenderedPageBreak/>
        <w:t xml:space="preserve">? </w:t>
      </w:r>
      <w:r>
        <w:rPr>
          <w:kern w:val="0"/>
        </w:rPr>
        <w:t>Garfield, E. (1985</w:t>
      </w:r>
      <w:r w:rsidR="00F42EAC">
        <w:rPr>
          <w:kern w:val="0"/>
        </w:rPr>
        <w:t>), The</w:t>
      </w:r>
      <w:r w:rsidR="003A1917">
        <w:rPr>
          <w:kern w:val="0"/>
        </w:rPr>
        <w:t xml:space="preserve"> </w:t>
      </w:r>
      <w:r>
        <w:rPr>
          <w:kern w:val="0"/>
        </w:rPr>
        <w:t>1981 most-cited chemistry papers. 2. Highlighting</w:t>
      </w:r>
      <w:r w:rsidR="003A1917">
        <w:rPr>
          <w:kern w:val="0"/>
        </w:rPr>
        <w:t xml:space="preserve"> the </w:t>
      </w:r>
      <w:r>
        <w:rPr>
          <w:kern w:val="0"/>
        </w:rPr>
        <w:t>arbitrary boundaries between chemistry</w:t>
      </w:r>
      <w:r w:rsidR="005853A9">
        <w:rPr>
          <w:kern w:val="0"/>
        </w:rPr>
        <w:t xml:space="preserve"> and </w:t>
      </w:r>
      <w:r>
        <w:rPr>
          <w:kern w:val="0"/>
        </w:rPr>
        <w:t xml:space="preserve">physics. </w:t>
      </w:r>
      <w:r>
        <w:rPr>
          <w:i/>
          <w:iCs/>
          <w:kern w:val="0"/>
        </w:rPr>
        <w:t>Current Contents</w:t>
      </w:r>
      <w:r>
        <w:rPr>
          <w:kern w:val="0"/>
        </w:rPr>
        <w:t xml:space="preserve">, </w:t>
      </w:r>
      <w:r>
        <w:rPr>
          <w:rFonts w:hint="eastAsia"/>
          <w:b/>
          <w:kern w:val="0"/>
        </w:rPr>
        <w:t>35</w:t>
      </w:r>
      <w:r>
        <w:rPr>
          <w:kern w:val="0"/>
        </w:rPr>
        <w:t>, 3-14</w:t>
      </w:r>
      <w:r>
        <w:rPr>
          <w:rFonts w:hint="eastAsia"/>
          <w:kern w:val="0"/>
        </w:rPr>
        <w:t>.</w:t>
      </w:r>
    </w:p>
    <w:p w:rsidR="00FF6A74" w:rsidRDefault="00FF6A74" w:rsidP="00FF6A74">
      <w:pPr>
        <w:pStyle w:val="a3"/>
        <w:rPr>
          <w:kern w:val="0"/>
        </w:rPr>
      </w:pPr>
      <w:r>
        <w:rPr>
          <w:kern w:val="0"/>
        </w:rPr>
        <w:t>Keywords: Chemistry</w:t>
      </w:r>
      <w:r>
        <w:rPr>
          <w:rFonts w:hint="eastAsia"/>
          <w:kern w:val="0"/>
        </w:rPr>
        <w:t xml:space="preserve">, </w:t>
      </w:r>
      <w:r>
        <w:rPr>
          <w:kern w:val="0"/>
        </w:rPr>
        <w:t>Physics</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1983 articles most cited in 1983</w:t>
      </w:r>
      <w:r w:rsidR="005853A9">
        <w:rPr>
          <w:kern w:val="0"/>
        </w:rPr>
        <w:t xml:space="preserve"> and </w:t>
      </w:r>
      <w:r>
        <w:rPr>
          <w:kern w:val="0"/>
        </w:rPr>
        <w:t xml:space="preserve">1984. 1. Life sciences. </w:t>
      </w:r>
      <w:r>
        <w:rPr>
          <w:i/>
          <w:iCs/>
          <w:kern w:val="0"/>
        </w:rPr>
        <w:t>Current Contents</w:t>
      </w:r>
      <w:r>
        <w:rPr>
          <w:kern w:val="0"/>
        </w:rPr>
        <w:t xml:space="preserve">, </w:t>
      </w:r>
      <w:r>
        <w:rPr>
          <w:rFonts w:hint="eastAsia"/>
          <w:b/>
          <w:kern w:val="0"/>
        </w:rPr>
        <w:t>47</w:t>
      </w:r>
      <w:r>
        <w:rPr>
          <w:kern w:val="0"/>
        </w:rPr>
        <w:t>, 3-18</w:t>
      </w:r>
      <w:r>
        <w:rPr>
          <w:rFonts w:hint="eastAsia"/>
          <w:kern w:val="0"/>
        </w:rPr>
        <w:t>.</w:t>
      </w:r>
    </w:p>
    <w:p w:rsidR="00FF6A74" w:rsidRDefault="00FF6A74" w:rsidP="00FF6A74">
      <w:pPr>
        <w:pStyle w:val="a3"/>
        <w:rPr>
          <w:kern w:val="0"/>
        </w:rPr>
      </w:pPr>
      <w:r>
        <w:rPr>
          <w:kern w:val="0"/>
        </w:rPr>
        <w:t>Keywords: Articles</w:t>
      </w:r>
      <w:r>
        <w:rPr>
          <w:rFonts w:hint="eastAsia"/>
          <w:kern w:val="0"/>
        </w:rPr>
        <w:t xml:space="preserve">, </w:t>
      </w:r>
      <w:r>
        <w:rPr>
          <w:kern w:val="0"/>
        </w:rPr>
        <w:t>Sciences</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1983 articles most cited in 1983</w:t>
      </w:r>
      <w:r w:rsidR="005853A9">
        <w:rPr>
          <w:kern w:val="0"/>
        </w:rPr>
        <w:t xml:space="preserve"> and </w:t>
      </w:r>
      <w:r>
        <w:rPr>
          <w:kern w:val="0"/>
        </w:rPr>
        <w:t xml:space="preserve">1984. 2. Physical sciences. </w:t>
      </w:r>
      <w:r>
        <w:rPr>
          <w:i/>
          <w:iCs/>
          <w:kern w:val="0"/>
        </w:rPr>
        <w:t>Current Contents</w:t>
      </w:r>
      <w:r>
        <w:rPr>
          <w:kern w:val="0"/>
        </w:rPr>
        <w:t xml:space="preserve">, </w:t>
      </w:r>
      <w:r>
        <w:rPr>
          <w:rFonts w:hint="eastAsia"/>
          <w:b/>
          <w:kern w:val="0"/>
        </w:rPr>
        <w:t>50</w:t>
      </w:r>
      <w:r>
        <w:rPr>
          <w:kern w:val="0"/>
        </w:rPr>
        <w:t>, 3-19</w:t>
      </w:r>
      <w:r>
        <w:rPr>
          <w:rFonts w:hint="eastAsia"/>
          <w:kern w:val="0"/>
        </w:rPr>
        <w:t>.</w:t>
      </w:r>
    </w:p>
    <w:p w:rsidR="00FF6A74" w:rsidRDefault="00FF6A74" w:rsidP="00FF6A74">
      <w:pPr>
        <w:pStyle w:val="a3"/>
        <w:rPr>
          <w:kern w:val="0"/>
        </w:rPr>
      </w:pPr>
      <w:r>
        <w:rPr>
          <w:kern w:val="0"/>
        </w:rPr>
        <w:t>Keywords: Articles</w:t>
      </w:r>
      <w:r>
        <w:rPr>
          <w:rFonts w:hint="eastAsia"/>
          <w:kern w:val="0"/>
        </w:rPr>
        <w:t xml:space="preserve">, </w:t>
      </w:r>
      <w:r>
        <w:rPr>
          <w:kern w:val="0"/>
        </w:rPr>
        <w:t>Sciences</w:t>
      </w:r>
    </w:p>
    <w:p w:rsidR="00FF6A74" w:rsidRDefault="00FF6A74" w:rsidP="00FF6A74">
      <w:pPr>
        <w:pStyle w:val="a3"/>
        <w:rPr>
          <w:kern w:val="0"/>
        </w:rPr>
      </w:pPr>
      <w:r>
        <w:rPr>
          <w:rFonts w:hint="eastAsia"/>
          <w:kern w:val="0"/>
        </w:rPr>
        <w:t xml:space="preserve">? </w:t>
      </w:r>
      <w:r>
        <w:rPr>
          <w:kern w:val="0"/>
        </w:rPr>
        <w:t>Garfield, E. (1985</w:t>
      </w:r>
      <w:r w:rsidR="00F42EAC">
        <w:rPr>
          <w:kern w:val="0"/>
        </w:rPr>
        <w:t>), The</w:t>
      </w:r>
      <w:r w:rsidR="003A1917">
        <w:rPr>
          <w:kern w:val="0"/>
        </w:rPr>
        <w:t xml:space="preserve"> </w:t>
      </w:r>
      <w:r>
        <w:rPr>
          <w:kern w:val="0"/>
        </w:rPr>
        <w:t xml:space="preserve">1982 chemistry articles most cited, 1982-1984. </w:t>
      </w:r>
      <w:r>
        <w:rPr>
          <w:i/>
          <w:iCs/>
          <w:kern w:val="0"/>
        </w:rPr>
        <w:t>Current Contents</w:t>
      </w:r>
      <w:r>
        <w:rPr>
          <w:kern w:val="0"/>
        </w:rPr>
        <w:t xml:space="preserve">, </w:t>
      </w:r>
      <w:r>
        <w:rPr>
          <w:rFonts w:hint="eastAsia"/>
          <w:b/>
          <w:kern w:val="0"/>
        </w:rPr>
        <w:t>51-5</w:t>
      </w:r>
      <w:r>
        <w:rPr>
          <w:kern w:val="0"/>
        </w:rPr>
        <w:t>, 3-17</w:t>
      </w:r>
      <w:r>
        <w:rPr>
          <w:rFonts w:hint="eastAsia"/>
          <w:kern w:val="0"/>
        </w:rPr>
        <w:t>.</w:t>
      </w:r>
    </w:p>
    <w:p w:rsidR="00FF6A74" w:rsidRDefault="00FF6A74" w:rsidP="00FF6A74">
      <w:pPr>
        <w:pStyle w:val="a3"/>
        <w:rPr>
          <w:kern w:val="0"/>
        </w:rPr>
      </w:pPr>
      <w:r>
        <w:rPr>
          <w:kern w:val="0"/>
        </w:rPr>
        <w:t>Keywords: Articles</w:t>
      </w:r>
      <w:r>
        <w:rPr>
          <w:rFonts w:hint="eastAsia"/>
          <w:kern w:val="0"/>
        </w:rPr>
        <w:t xml:space="preserve">, </w:t>
      </w:r>
      <w:r>
        <w:rPr>
          <w:kern w:val="0"/>
        </w:rPr>
        <w:t>Chemistry</w:t>
      </w:r>
    </w:p>
    <w:p w:rsidR="00FF6A74" w:rsidRDefault="00FF6A74" w:rsidP="00FF6A74">
      <w:pPr>
        <w:pStyle w:val="a3"/>
        <w:rPr>
          <w:kern w:val="0"/>
        </w:rPr>
      </w:pPr>
      <w:r>
        <w:rPr>
          <w:rFonts w:hint="eastAsia"/>
          <w:kern w:val="0"/>
        </w:rPr>
        <w:t xml:space="preserve">? </w:t>
      </w:r>
      <w:r>
        <w:rPr>
          <w:kern w:val="0"/>
        </w:rPr>
        <w:t>Garfield, E. (1986), Journal citation studies.</w:t>
      </w:r>
      <w:r>
        <w:rPr>
          <w:rFonts w:hint="eastAsia"/>
          <w:kern w:val="0"/>
        </w:rPr>
        <w:t xml:space="preserve"> </w:t>
      </w:r>
      <w:r>
        <w:rPr>
          <w:kern w:val="0"/>
        </w:rPr>
        <w:t>46. Physical-chemistry</w:t>
      </w:r>
      <w:r w:rsidR="005853A9">
        <w:rPr>
          <w:kern w:val="0"/>
        </w:rPr>
        <w:t xml:space="preserve"> and </w:t>
      </w:r>
      <w:r>
        <w:rPr>
          <w:kern w:val="0"/>
        </w:rPr>
        <w:t>chemical physics journals. 2. Core journals</w:t>
      </w:r>
      <w:r w:rsidR="005853A9">
        <w:rPr>
          <w:kern w:val="0"/>
        </w:rPr>
        <w:t xml:space="preserve"> and </w:t>
      </w:r>
      <w:r>
        <w:rPr>
          <w:kern w:val="0"/>
        </w:rPr>
        <w:t xml:space="preserve">most-cited papers. </w:t>
      </w:r>
      <w:r>
        <w:rPr>
          <w:i/>
          <w:iCs/>
          <w:kern w:val="0"/>
        </w:rPr>
        <w:t>Current Contents</w:t>
      </w:r>
      <w:r>
        <w:rPr>
          <w:kern w:val="0"/>
        </w:rPr>
        <w:t xml:space="preserve">, </w:t>
      </w:r>
      <w:r>
        <w:rPr>
          <w:rFonts w:hint="eastAsia"/>
          <w:b/>
          <w:kern w:val="0"/>
        </w:rPr>
        <w:t>2</w:t>
      </w:r>
      <w:r>
        <w:rPr>
          <w:kern w:val="0"/>
        </w:rPr>
        <w:t>, 3-10</w:t>
      </w:r>
      <w:r>
        <w:rPr>
          <w:rFonts w:hint="eastAsia"/>
          <w:kern w:val="0"/>
        </w:rPr>
        <w:t>.</w:t>
      </w:r>
    </w:p>
    <w:p w:rsidR="00FF6A74" w:rsidRDefault="00FF6A74" w:rsidP="00FF6A74">
      <w:pPr>
        <w:pStyle w:val="a3"/>
        <w:rPr>
          <w:kern w:val="0"/>
        </w:rPr>
      </w:pPr>
      <w:r>
        <w:rPr>
          <w:kern w:val="0"/>
        </w:rPr>
        <w:t>Keywords: Citation, Journal, Journals, Physics</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articles most cited in</w:t>
      </w:r>
      <w:r w:rsidR="003A1917">
        <w:rPr>
          <w:kern w:val="0"/>
        </w:rPr>
        <w:t xml:space="preserve"> the </w:t>
      </w:r>
      <w:r w:rsidR="008E3069">
        <w:rPr>
          <w:kern w:val="0"/>
        </w:rPr>
        <w:t>SCI,</w:t>
      </w:r>
      <w:r>
        <w:rPr>
          <w:kern w:val="0"/>
        </w:rPr>
        <w:t xml:space="preserve"> 1961-1982. 9. More contemporary classics</w:t>
      </w:r>
      <w:r w:rsidR="00427468">
        <w:rPr>
          <w:kern w:val="0"/>
        </w:rPr>
        <w:t xml:space="preserve"> of </w:t>
      </w:r>
      <w:r>
        <w:rPr>
          <w:kern w:val="0"/>
        </w:rPr>
        <w:t xml:space="preserve">science. </w:t>
      </w:r>
      <w:r>
        <w:rPr>
          <w:i/>
          <w:iCs/>
          <w:kern w:val="0"/>
        </w:rPr>
        <w:t>Current Contents</w:t>
      </w:r>
      <w:r>
        <w:rPr>
          <w:kern w:val="0"/>
        </w:rPr>
        <w:t xml:space="preserve">, </w:t>
      </w:r>
      <w:r>
        <w:rPr>
          <w:rFonts w:hint="eastAsia"/>
          <w:b/>
          <w:kern w:val="0"/>
        </w:rPr>
        <w:t>8</w:t>
      </w:r>
      <w:r>
        <w:rPr>
          <w:kern w:val="0"/>
        </w:rPr>
        <w:t>, 3-12</w:t>
      </w:r>
      <w:r>
        <w:rPr>
          <w:rFonts w:hint="eastAsia"/>
          <w:kern w:val="0"/>
        </w:rPr>
        <w:t>.</w:t>
      </w:r>
    </w:p>
    <w:p w:rsidR="00FF6A74" w:rsidRDefault="00FF6A74" w:rsidP="00FF6A74">
      <w:pPr>
        <w:pStyle w:val="a3"/>
        <w:rPr>
          <w:kern w:val="0"/>
        </w:rPr>
      </w:pPr>
      <w:r>
        <w:rPr>
          <w:kern w:val="0"/>
        </w:rPr>
        <w:t>Keywords: Articles, Science</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1,000 articles most cited in 1961-1982. 10. Another 100 citation-classics cap</w:t>
      </w:r>
      <w:r w:rsidR="003A1917">
        <w:rPr>
          <w:kern w:val="0"/>
        </w:rPr>
        <w:t xml:space="preserve"> the </w:t>
      </w:r>
      <w:r>
        <w:rPr>
          <w:kern w:val="0"/>
        </w:rPr>
        <w:t xml:space="preserve">millenary. </w:t>
      </w:r>
      <w:r>
        <w:rPr>
          <w:i/>
          <w:iCs/>
          <w:kern w:val="0"/>
        </w:rPr>
        <w:t>Current Contents</w:t>
      </w:r>
      <w:r>
        <w:rPr>
          <w:kern w:val="0"/>
        </w:rPr>
        <w:t xml:space="preserve">, </w:t>
      </w:r>
      <w:r>
        <w:rPr>
          <w:rFonts w:hint="eastAsia"/>
          <w:b/>
          <w:kern w:val="0"/>
        </w:rPr>
        <w:t>16</w:t>
      </w:r>
      <w:r>
        <w:rPr>
          <w:kern w:val="0"/>
        </w:rPr>
        <w:t>, 3-14</w:t>
      </w:r>
      <w:r>
        <w:rPr>
          <w:rFonts w:hint="eastAsia"/>
          <w:kern w:val="0"/>
        </w:rPr>
        <w:t>.</w:t>
      </w:r>
    </w:p>
    <w:p w:rsidR="00FF6A74" w:rsidRDefault="00FF6A74" w:rsidP="00FF6A74">
      <w:pPr>
        <w:pStyle w:val="a3"/>
        <w:rPr>
          <w:kern w:val="0"/>
        </w:rPr>
      </w:pPr>
      <w:r>
        <w:rPr>
          <w:kern w:val="0"/>
        </w:rPr>
        <w:t>Keywords: Articles</w:t>
      </w:r>
    </w:p>
    <w:p w:rsidR="00B23BEB" w:rsidRDefault="00B23BEB" w:rsidP="00B23BEB">
      <w:pPr>
        <w:pStyle w:val="a3"/>
        <w:rPr>
          <w:kern w:val="0"/>
        </w:rPr>
      </w:pPr>
      <w:r>
        <w:rPr>
          <w:rFonts w:hint="eastAsia"/>
          <w:kern w:val="0"/>
        </w:rPr>
        <w:t>Notes: highly cited</w:t>
      </w:r>
    </w:p>
    <w:p w:rsidR="00B23BEB" w:rsidRDefault="00B23BEB" w:rsidP="00B23BEB">
      <w:pPr>
        <w:pStyle w:val="a3"/>
        <w:rPr>
          <w:kern w:val="0"/>
        </w:rPr>
      </w:pPr>
      <w:r>
        <w:rPr>
          <w:rFonts w:hint="eastAsia"/>
          <w:kern w:val="0"/>
        </w:rPr>
        <w:t xml:space="preserve">? </w:t>
      </w:r>
      <w:r>
        <w:rPr>
          <w:kern w:val="0"/>
        </w:rPr>
        <w:t xml:space="preserve">Garfield, E. (1986), </w:t>
      </w:r>
      <w:r w:rsidRPr="009D03EF">
        <w:rPr>
          <w:kern w:val="0"/>
        </w:rPr>
        <w:t>Do Nobel-Prize winners write citation-classics</w:t>
      </w:r>
      <w:r>
        <w:rPr>
          <w:kern w:val="0"/>
        </w:rPr>
        <w:t xml:space="preserve">. </w:t>
      </w:r>
      <w:r>
        <w:rPr>
          <w:i/>
          <w:iCs/>
          <w:kern w:val="0"/>
        </w:rPr>
        <w:t>Current Contents</w:t>
      </w:r>
      <w:r>
        <w:rPr>
          <w:kern w:val="0"/>
        </w:rPr>
        <w:t xml:space="preserve">, </w:t>
      </w:r>
      <w:r>
        <w:rPr>
          <w:rFonts w:hint="eastAsia"/>
          <w:b/>
          <w:kern w:val="0"/>
        </w:rPr>
        <w:t>23</w:t>
      </w:r>
      <w:r>
        <w:rPr>
          <w:kern w:val="0"/>
        </w:rPr>
        <w:t>, 3-</w:t>
      </w:r>
      <w:r>
        <w:rPr>
          <w:rFonts w:hint="eastAsia"/>
          <w:kern w:val="0"/>
        </w:rPr>
        <w:t>8.</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250 most-cited primary authors in</w:t>
      </w:r>
      <w:r w:rsidR="003A1917">
        <w:rPr>
          <w:kern w:val="0"/>
        </w:rPr>
        <w:t xml:space="preserve"> the </w:t>
      </w:r>
      <w:r>
        <w:rPr>
          <w:kern w:val="0"/>
        </w:rPr>
        <w:t>1984 SCI. 1. Names, ranks,</w:t>
      </w:r>
      <w:r w:rsidR="005853A9">
        <w:rPr>
          <w:kern w:val="0"/>
        </w:rPr>
        <w:t xml:space="preserve"> and </w:t>
      </w:r>
      <w:r>
        <w:rPr>
          <w:kern w:val="0"/>
        </w:rPr>
        <w:t xml:space="preserve">citation numbers. </w:t>
      </w:r>
      <w:r>
        <w:rPr>
          <w:i/>
          <w:iCs/>
          <w:kern w:val="0"/>
        </w:rPr>
        <w:t>Current Contents</w:t>
      </w:r>
      <w:r>
        <w:rPr>
          <w:kern w:val="0"/>
        </w:rPr>
        <w:t xml:space="preserve">, </w:t>
      </w:r>
      <w:r>
        <w:rPr>
          <w:rFonts w:hint="eastAsia"/>
          <w:b/>
          <w:kern w:val="0"/>
        </w:rPr>
        <w:t>45</w:t>
      </w:r>
      <w:r>
        <w:rPr>
          <w:kern w:val="0"/>
        </w:rPr>
        <w:t>, 3-11</w:t>
      </w:r>
      <w:r>
        <w:rPr>
          <w:rFonts w:hint="eastAsia"/>
          <w:kern w:val="0"/>
        </w:rPr>
        <w:t>.</w:t>
      </w:r>
    </w:p>
    <w:p w:rsidR="00FF6A74" w:rsidRDefault="00FF6A74" w:rsidP="00FF6A74">
      <w:pPr>
        <w:pStyle w:val="a3"/>
        <w:rPr>
          <w:kern w:val="0"/>
        </w:rPr>
      </w:pPr>
      <w:r>
        <w:rPr>
          <w:kern w:val="0"/>
        </w:rPr>
        <w:t>Keywords: Authors, Citation, Primary</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250 most-cited primary authors in</w:t>
      </w:r>
      <w:r w:rsidR="003A1917">
        <w:rPr>
          <w:kern w:val="0"/>
        </w:rPr>
        <w:t xml:space="preserve"> the </w:t>
      </w:r>
      <w:r>
        <w:rPr>
          <w:kern w:val="0"/>
        </w:rPr>
        <w:t xml:space="preserve">1984 SCI. 2. Most-cited works, 1955-1985. </w:t>
      </w:r>
      <w:r>
        <w:rPr>
          <w:i/>
          <w:iCs/>
          <w:kern w:val="0"/>
        </w:rPr>
        <w:t>Current Contents</w:t>
      </w:r>
      <w:r>
        <w:rPr>
          <w:kern w:val="0"/>
        </w:rPr>
        <w:t xml:space="preserve">, </w:t>
      </w:r>
      <w:r>
        <w:rPr>
          <w:rFonts w:hint="eastAsia"/>
          <w:b/>
          <w:kern w:val="0"/>
        </w:rPr>
        <w:t>46</w:t>
      </w:r>
      <w:r>
        <w:rPr>
          <w:kern w:val="0"/>
        </w:rPr>
        <w:t>, 3-13</w:t>
      </w:r>
      <w:r>
        <w:rPr>
          <w:rFonts w:hint="eastAsia"/>
          <w:kern w:val="0"/>
        </w:rPr>
        <w:t>.</w:t>
      </w:r>
    </w:p>
    <w:p w:rsidR="00FF6A74" w:rsidRDefault="00FF6A74" w:rsidP="00FF6A74">
      <w:pPr>
        <w:pStyle w:val="a3"/>
        <w:rPr>
          <w:kern w:val="0"/>
        </w:rPr>
      </w:pPr>
      <w:r>
        <w:rPr>
          <w:kern w:val="0"/>
        </w:rPr>
        <w:t>Keywords: Authors, Primary</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 xml:space="preserve">most-cited 1984 physical-sciences articles - High-energy physics dominates. </w:t>
      </w:r>
      <w:r>
        <w:rPr>
          <w:i/>
          <w:iCs/>
          <w:kern w:val="0"/>
        </w:rPr>
        <w:t>Current Contents</w:t>
      </w:r>
      <w:r>
        <w:rPr>
          <w:kern w:val="0"/>
        </w:rPr>
        <w:t xml:space="preserve">, </w:t>
      </w:r>
      <w:r>
        <w:rPr>
          <w:rFonts w:hint="eastAsia"/>
          <w:b/>
          <w:kern w:val="0"/>
        </w:rPr>
        <w:t>47</w:t>
      </w:r>
      <w:r>
        <w:rPr>
          <w:kern w:val="0"/>
        </w:rPr>
        <w:t>, 3-17</w:t>
      </w:r>
      <w:r>
        <w:rPr>
          <w:rFonts w:hint="eastAsia"/>
          <w:kern w:val="0"/>
        </w:rPr>
        <w:t>.</w:t>
      </w:r>
    </w:p>
    <w:p w:rsidR="00FF6A74" w:rsidRDefault="00FF6A74" w:rsidP="00FF6A74">
      <w:pPr>
        <w:pStyle w:val="a3"/>
        <w:rPr>
          <w:kern w:val="0"/>
        </w:rPr>
      </w:pPr>
      <w:r>
        <w:rPr>
          <w:kern w:val="0"/>
        </w:rPr>
        <w:t>Keywords: Articles, Physics</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Garfield</w:t>
          </w:r>
        </w:smartTag>
      </w:smartTag>
      <w:r w:rsidRPr="001A3D2B">
        <w:t>, E. (1986</w:t>
      </w:r>
      <w:r w:rsidR="00F42EAC">
        <w:t>), The</w:t>
      </w:r>
      <w:r w:rsidR="003A1917">
        <w:t xml:space="preserve"> </w:t>
      </w:r>
      <w:r w:rsidRPr="001A3D2B">
        <w:t>250 most-cited authors in</w:t>
      </w:r>
      <w:r w:rsidR="003A1917">
        <w:t xml:space="preserve"> the </w:t>
      </w:r>
      <w:r w:rsidRPr="001A3D2B">
        <w:t xml:space="preserve">Arts-and-Humanities Citation Index, 1976-1983. </w:t>
      </w:r>
      <w:r w:rsidRPr="001A3D2B">
        <w:rPr>
          <w:i/>
          <w:iCs/>
        </w:rPr>
        <w:t>Current Contents</w:t>
      </w:r>
      <w:r w:rsidRPr="001A3D2B">
        <w:t xml:space="preserve">, </w:t>
      </w:r>
      <w:r w:rsidRPr="001A3D2B">
        <w:rPr>
          <w:b/>
          <w:bCs/>
        </w:rPr>
        <w:t>48</w:t>
      </w:r>
      <w:r w:rsidRPr="001A3D2B">
        <w:t>, 3-10.</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 xml:space="preserve">most-cited 1984 life-sciences articles highlight AIDS research. </w:t>
      </w:r>
      <w:r>
        <w:rPr>
          <w:i/>
          <w:iCs/>
          <w:kern w:val="0"/>
        </w:rPr>
        <w:t>Current Contents</w:t>
      </w:r>
      <w:r>
        <w:rPr>
          <w:kern w:val="0"/>
        </w:rPr>
        <w:t xml:space="preserve">, </w:t>
      </w:r>
      <w:r>
        <w:rPr>
          <w:rFonts w:hint="eastAsia"/>
          <w:b/>
          <w:kern w:val="0"/>
        </w:rPr>
        <w:t>49</w:t>
      </w:r>
      <w:r>
        <w:rPr>
          <w:kern w:val="0"/>
        </w:rPr>
        <w:t>, 3-17</w:t>
      </w:r>
      <w:r>
        <w:rPr>
          <w:rFonts w:hint="eastAsia"/>
          <w:kern w:val="0"/>
        </w:rPr>
        <w:t>.</w:t>
      </w:r>
    </w:p>
    <w:p w:rsidR="00FF6A74" w:rsidRDefault="00FF6A74" w:rsidP="00FF6A74">
      <w:pPr>
        <w:pStyle w:val="a3"/>
        <w:rPr>
          <w:kern w:val="0"/>
        </w:rPr>
      </w:pPr>
      <w:r>
        <w:rPr>
          <w:kern w:val="0"/>
        </w:rPr>
        <w:t>Keywords: Articles, Research</w:t>
      </w:r>
    </w:p>
    <w:p w:rsidR="00FF6A74" w:rsidRDefault="00FF6A74" w:rsidP="00FF6A74">
      <w:pPr>
        <w:pStyle w:val="a3"/>
        <w:rPr>
          <w:kern w:val="0"/>
        </w:rPr>
      </w:pPr>
      <w:r>
        <w:rPr>
          <w:rFonts w:hint="eastAsia"/>
          <w:kern w:val="0"/>
        </w:rPr>
        <w:t xml:space="preserve">? </w:t>
      </w:r>
      <w:r>
        <w:rPr>
          <w:kern w:val="0"/>
        </w:rPr>
        <w:t>Garfield, E. (1986</w:t>
      </w:r>
      <w:r w:rsidR="00F42EAC">
        <w:rPr>
          <w:kern w:val="0"/>
        </w:rPr>
        <w:t>), The</w:t>
      </w:r>
      <w:r w:rsidR="003A1917">
        <w:rPr>
          <w:kern w:val="0"/>
        </w:rPr>
        <w:t xml:space="preserve"> </w:t>
      </w:r>
      <w:r>
        <w:rPr>
          <w:kern w:val="0"/>
        </w:rPr>
        <w:t>most-cited 1983 chemistry articles focus on NMR but</w:t>
      </w:r>
      <w:r w:rsidR="003A1917">
        <w:rPr>
          <w:kern w:val="0"/>
        </w:rPr>
        <w:t xml:space="preserve"> the </w:t>
      </w:r>
      <w:r>
        <w:rPr>
          <w:kern w:val="0"/>
        </w:rPr>
        <w:lastRenderedPageBreak/>
        <w:t>increasing impact</w:t>
      </w:r>
      <w:r w:rsidR="00427468">
        <w:rPr>
          <w:kern w:val="0"/>
        </w:rPr>
        <w:t xml:space="preserve"> of </w:t>
      </w:r>
      <w:r>
        <w:rPr>
          <w:kern w:val="0"/>
        </w:rPr>
        <w:t>materials science</w:t>
      </w:r>
      <w:r w:rsidR="005853A9">
        <w:rPr>
          <w:kern w:val="0"/>
        </w:rPr>
        <w:t xml:space="preserve"> and </w:t>
      </w:r>
      <w:r>
        <w:rPr>
          <w:kern w:val="0"/>
        </w:rPr>
        <w:t xml:space="preserve">computer methods is evident. </w:t>
      </w:r>
      <w:r>
        <w:rPr>
          <w:i/>
          <w:iCs/>
          <w:kern w:val="0"/>
        </w:rPr>
        <w:t>Current Contents</w:t>
      </w:r>
      <w:r>
        <w:rPr>
          <w:kern w:val="0"/>
        </w:rPr>
        <w:t xml:space="preserve">, </w:t>
      </w:r>
      <w:r>
        <w:rPr>
          <w:rFonts w:hint="eastAsia"/>
          <w:b/>
          <w:kern w:val="0"/>
        </w:rPr>
        <w:t>51-52</w:t>
      </w:r>
      <w:r>
        <w:rPr>
          <w:kern w:val="0"/>
        </w:rPr>
        <w:t>, 3-18</w:t>
      </w:r>
      <w:r>
        <w:rPr>
          <w:rFonts w:hint="eastAsia"/>
          <w:kern w:val="0"/>
        </w:rPr>
        <w:t>.</w:t>
      </w:r>
    </w:p>
    <w:p w:rsidR="00FF6A74" w:rsidRDefault="00FF6A74" w:rsidP="00FF6A74">
      <w:pPr>
        <w:pStyle w:val="a3"/>
        <w:rPr>
          <w:kern w:val="0"/>
        </w:rPr>
      </w:pPr>
      <w:r>
        <w:rPr>
          <w:kern w:val="0"/>
        </w:rPr>
        <w:t>Keywords: Articles, Chemistry, Impact, Methods, Science</w:t>
      </w:r>
    </w:p>
    <w:p w:rsidR="003474F2" w:rsidRPr="001A3D2B" w:rsidRDefault="003474F2" w:rsidP="003474F2">
      <w:pPr>
        <w:pStyle w:val="a3"/>
      </w:pPr>
      <w:r w:rsidRPr="001A3D2B">
        <w:t>Garfield, E. (1987), Why are</w:t>
      </w:r>
      <w:r w:rsidR="003A1917">
        <w:t xml:space="preserve"> the </w:t>
      </w:r>
      <w:r w:rsidRPr="001A3D2B">
        <w:t>impacts</w:t>
      </w:r>
      <w:r w:rsidR="00427468">
        <w:t xml:space="preserve"> of </w:t>
      </w:r>
      <w:r w:rsidR="003A1917">
        <w:t xml:space="preserve">the </w:t>
      </w:r>
      <w:r w:rsidRPr="001A3D2B">
        <w:t>leading medical journals so similar</w:t>
      </w:r>
      <w:r w:rsidR="005853A9">
        <w:t xml:space="preserve"> and </w:t>
      </w:r>
      <w:r w:rsidRPr="001A3D2B">
        <w:t>yet so different - item-by-item audits reveal a diversity</w:t>
      </w:r>
      <w:r w:rsidR="00427468">
        <w:t xml:space="preserve"> of </w:t>
      </w:r>
      <w:r w:rsidRPr="001A3D2B">
        <w:t xml:space="preserve">editorial material. </w:t>
      </w:r>
      <w:r w:rsidRPr="001A3D2B">
        <w:rPr>
          <w:i/>
          <w:iCs/>
        </w:rPr>
        <w:t>Current Contents</w:t>
      </w:r>
      <w:r w:rsidRPr="001A3D2B">
        <w:t xml:space="preserve">, </w:t>
      </w:r>
      <w:r w:rsidRPr="001A3D2B">
        <w:rPr>
          <w:b/>
          <w:bCs/>
        </w:rPr>
        <w:t>2</w:t>
      </w:r>
      <w:r w:rsidRPr="001A3D2B">
        <w:t>, 3.</w:t>
      </w:r>
    </w:p>
    <w:p w:rsidR="003474F2" w:rsidRPr="001A3D2B" w:rsidRDefault="003474F2" w:rsidP="003474F2">
      <w:pPr>
        <w:pStyle w:val="a3"/>
      </w:pPr>
      <w:r w:rsidRPr="001A3D2B">
        <w:t xml:space="preserve">Full Text: </w:t>
      </w:r>
      <w:hyperlink r:id="rId1101" w:history="1">
        <w:r w:rsidRPr="001A3D2B">
          <w:rPr>
            <w:rStyle w:val="a5"/>
          </w:rPr>
          <w:t>1987\Cur Con2, 3.pdf</w:t>
        </w:r>
      </w:hyperlink>
    </w:p>
    <w:p w:rsidR="003474F2" w:rsidRPr="001A3D2B" w:rsidRDefault="003474F2" w:rsidP="003474F2">
      <w:pPr>
        <w:pStyle w:val="a3"/>
      </w:pPr>
      <w:r w:rsidRPr="001A3D2B">
        <w:t>? Garfield, E. (1987), Which medical journals have</w:t>
      </w:r>
      <w:r w:rsidR="003A1917">
        <w:t xml:space="preserve"> the </w:t>
      </w:r>
      <w:r w:rsidRPr="001A3D2B">
        <w:t xml:space="preserve">greatest impact. </w:t>
      </w:r>
      <w:r w:rsidRPr="001A3D2B">
        <w:rPr>
          <w:i/>
          <w:iCs/>
        </w:rPr>
        <w:t>Current Contents</w:t>
      </w:r>
      <w:r w:rsidRPr="001A3D2B">
        <w:t xml:space="preserve">, </w:t>
      </w:r>
      <w:r w:rsidRPr="001A3D2B">
        <w:rPr>
          <w:b/>
          <w:bCs/>
        </w:rPr>
        <w:t>2</w:t>
      </w:r>
      <w:r w:rsidRPr="001A3D2B">
        <w:t>, 3-9.</w:t>
      </w:r>
    </w:p>
    <w:p w:rsidR="003474F2" w:rsidRPr="001A3D2B" w:rsidRDefault="003474F2" w:rsidP="003474F2">
      <w:pPr>
        <w:pStyle w:val="a3"/>
      </w:pPr>
      <w:r w:rsidRPr="001A3D2B">
        <w:t>? Fairthorne, R.A. (1987), Citation classic - Empirical hyperbolic distributions (Bradford-Zipf-Mandelbrot) for bibliometric description</w:t>
      </w:r>
      <w:r w:rsidR="005853A9">
        <w:t xml:space="preserve"> and </w:t>
      </w:r>
      <w:r w:rsidRPr="001A3D2B">
        <w:t xml:space="preserve">prediction. </w:t>
      </w:r>
      <w:r w:rsidRPr="001A3D2B">
        <w:rPr>
          <w:i/>
          <w:iCs/>
        </w:rPr>
        <w:t>Current Contents/Arts &amp; Humanities</w:t>
      </w:r>
      <w:r w:rsidRPr="001A3D2B">
        <w:t xml:space="preserve">, </w:t>
      </w:r>
      <w:r w:rsidR="00FF6A74">
        <w:rPr>
          <w:rFonts w:hint="eastAsia"/>
          <w:b/>
        </w:rPr>
        <w:t>3</w:t>
      </w:r>
      <w:r w:rsidRPr="001A3D2B">
        <w:t>, 16.</w:t>
      </w:r>
    </w:p>
    <w:p w:rsidR="003474F2" w:rsidRPr="001A3D2B" w:rsidRDefault="003474F2" w:rsidP="003474F2">
      <w:pPr>
        <w:pStyle w:val="a3"/>
      </w:pPr>
      <w:r w:rsidRPr="001A3D2B">
        <w:t>Keywords: Bibliometric, Citation</w:t>
      </w:r>
    </w:p>
    <w:p w:rsidR="00FF6A74" w:rsidRDefault="00FF6A74" w:rsidP="00FF6A74">
      <w:pPr>
        <w:pStyle w:val="a3"/>
        <w:rPr>
          <w:kern w:val="0"/>
        </w:rPr>
      </w:pPr>
      <w:r>
        <w:rPr>
          <w:rFonts w:hint="eastAsia"/>
          <w:kern w:val="0"/>
        </w:rPr>
        <w:t xml:space="preserve">? </w:t>
      </w:r>
      <w:r>
        <w:rPr>
          <w:kern w:val="0"/>
        </w:rPr>
        <w:t>Garfield, E. (1987</w:t>
      </w:r>
      <w:r w:rsidR="00F42EAC">
        <w:rPr>
          <w:kern w:val="0"/>
        </w:rPr>
        <w:t>), The</w:t>
      </w:r>
      <w:r w:rsidR="003A1917">
        <w:rPr>
          <w:kern w:val="0"/>
        </w:rPr>
        <w:t xml:space="preserve"> </w:t>
      </w:r>
      <w:r>
        <w:rPr>
          <w:kern w:val="0"/>
        </w:rPr>
        <w:t>101 most-cited papers from</w:t>
      </w:r>
      <w:r w:rsidR="003A1917">
        <w:rPr>
          <w:kern w:val="0"/>
        </w:rPr>
        <w:t xml:space="preserve"> the </w:t>
      </w:r>
      <w:r w:rsidRPr="00502770">
        <w:rPr>
          <w:i/>
          <w:kern w:val="0"/>
        </w:rPr>
        <w:t>British</w:t>
      </w:r>
      <w:r w:rsidRPr="00502770">
        <w:rPr>
          <w:rFonts w:hint="eastAsia"/>
          <w:i/>
          <w:kern w:val="0"/>
        </w:rPr>
        <w:t xml:space="preserve"> </w:t>
      </w:r>
      <w:r w:rsidRPr="00502770">
        <w:rPr>
          <w:i/>
          <w:kern w:val="0"/>
        </w:rPr>
        <w:t>Medical</w:t>
      </w:r>
      <w:r w:rsidRPr="00502770">
        <w:rPr>
          <w:rFonts w:hint="eastAsia"/>
          <w:i/>
          <w:kern w:val="0"/>
        </w:rPr>
        <w:t xml:space="preserve"> </w:t>
      </w:r>
      <w:r w:rsidRPr="00502770">
        <w:rPr>
          <w:i/>
          <w:kern w:val="0"/>
        </w:rPr>
        <w:t>Journal</w:t>
      </w:r>
      <w:r>
        <w:rPr>
          <w:kern w:val="0"/>
        </w:rPr>
        <w:t xml:space="preserve"> highlight</w:t>
      </w:r>
      <w:r w:rsidR="003A1917">
        <w:rPr>
          <w:kern w:val="0"/>
        </w:rPr>
        <w:t xml:space="preserve"> the </w:t>
      </w:r>
      <w:r>
        <w:rPr>
          <w:kern w:val="0"/>
        </w:rPr>
        <w:t>important role</w:t>
      </w:r>
      <w:r w:rsidR="00427468">
        <w:rPr>
          <w:kern w:val="0"/>
        </w:rPr>
        <w:t xml:space="preserve"> of </w:t>
      </w:r>
      <w:r>
        <w:rPr>
          <w:kern w:val="0"/>
        </w:rPr>
        <w:t xml:space="preserve">epidemiology in medicine. </w:t>
      </w:r>
      <w:r>
        <w:rPr>
          <w:i/>
          <w:iCs/>
          <w:kern w:val="0"/>
        </w:rPr>
        <w:t>Current Contents</w:t>
      </w:r>
      <w:r>
        <w:rPr>
          <w:kern w:val="0"/>
        </w:rPr>
        <w:t xml:space="preserve">, </w:t>
      </w:r>
      <w:r>
        <w:rPr>
          <w:rFonts w:hint="eastAsia"/>
          <w:b/>
          <w:kern w:val="0"/>
        </w:rPr>
        <w:t>7</w:t>
      </w:r>
      <w:r>
        <w:rPr>
          <w:kern w:val="0"/>
        </w:rPr>
        <w:t>, 3-12</w:t>
      </w:r>
      <w:r>
        <w:rPr>
          <w:rFonts w:hint="eastAsia"/>
          <w:kern w:val="0"/>
        </w:rPr>
        <w:t>.</w:t>
      </w:r>
    </w:p>
    <w:p w:rsidR="00FF6A74" w:rsidRDefault="00FF6A74" w:rsidP="00FF6A74">
      <w:pPr>
        <w:pStyle w:val="a3"/>
        <w:rPr>
          <w:kern w:val="0"/>
        </w:rPr>
      </w:pPr>
      <w:r>
        <w:rPr>
          <w:kern w:val="0"/>
        </w:rPr>
        <w:t>Keywords: Epidemiology</w:t>
      </w:r>
    </w:p>
    <w:p w:rsidR="00B51CAF" w:rsidRDefault="00B51CAF" w:rsidP="00B51CAF">
      <w:pPr>
        <w:pStyle w:val="a3"/>
      </w:pPr>
      <w:r w:rsidRPr="00C73C58">
        <w:t xml:space="preserve">? Garfield, E. (1987), </w:t>
      </w:r>
      <w:r>
        <w:t>Little science, big science ...</w:t>
      </w:r>
      <w:r w:rsidR="005853A9">
        <w:t xml:space="preserve"> and </w:t>
      </w:r>
      <w:r>
        <w:t>beyond gathers together the major works</w:t>
      </w:r>
      <w:r w:rsidR="00427468">
        <w:t xml:space="preserve"> of </w:t>
      </w:r>
      <w:r>
        <w:t>Price,</w:t>
      </w:r>
      <w:r>
        <w:rPr>
          <w:rFonts w:hint="eastAsia"/>
        </w:rPr>
        <w:t xml:space="preserve"> </w:t>
      </w:r>
      <w:r>
        <w:t>Derek,</w:t>
      </w:r>
      <w:r>
        <w:rPr>
          <w:rFonts w:hint="eastAsia"/>
        </w:rPr>
        <w:t xml:space="preserve"> </w:t>
      </w:r>
      <w:r>
        <w:t>Desolla</w:t>
      </w:r>
      <w:r w:rsidRPr="00C73C58">
        <w:t xml:space="preserve">. </w:t>
      </w:r>
      <w:r w:rsidRPr="00C73C58">
        <w:rPr>
          <w:i/>
          <w:iCs/>
        </w:rPr>
        <w:t>Current Contents</w:t>
      </w:r>
      <w:r w:rsidRPr="00C73C58">
        <w:t xml:space="preserve">, </w:t>
      </w:r>
      <w:r w:rsidRPr="00C73C58">
        <w:rPr>
          <w:b/>
          <w:bCs/>
        </w:rPr>
        <w:t>1</w:t>
      </w:r>
      <w:r>
        <w:rPr>
          <w:rFonts w:hint="eastAsia"/>
          <w:b/>
          <w:bCs/>
        </w:rPr>
        <w:t>1</w:t>
      </w:r>
      <w:r w:rsidRPr="00C73C58">
        <w:t>, 3-</w:t>
      </w:r>
      <w:r>
        <w:rPr>
          <w:rFonts w:hint="eastAsia"/>
        </w:rPr>
        <w:t>6</w:t>
      </w:r>
      <w:r w:rsidRPr="00C73C58">
        <w:t>.</w:t>
      </w:r>
    </w:p>
    <w:p w:rsidR="00B51CAF" w:rsidRDefault="00B51CAF" w:rsidP="00B51CAF">
      <w:pPr>
        <w:pStyle w:val="a3"/>
      </w:pPr>
      <w:r>
        <w:rPr>
          <w:rFonts w:hint="eastAsia"/>
        </w:rPr>
        <w:t xml:space="preserve">Full Text: </w:t>
      </w:r>
      <w:hyperlink r:id="rId1102" w:history="1">
        <w:r w:rsidRPr="00022573">
          <w:rPr>
            <w:rStyle w:val="a5"/>
          </w:rPr>
          <w:t>1987\Cur Con11, 3.pdf</w:t>
        </w:r>
      </w:hyperlink>
    </w:p>
    <w:p w:rsidR="003474F2" w:rsidRPr="001A3D2B" w:rsidRDefault="003474F2" w:rsidP="003474F2">
      <w:pPr>
        <w:pStyle w:val="a3"/>
      </w:pPr>
      <w:r w:rsidRPr="001A3D2B">
        <w:t>? Garfield, E. (1987), A different sort</w:t>
      </w:r>
      <w:r w:rsidR="00427468">
        <w:t xml:space="preserve"> of </w:t>
      </w:r>
      <w:r w:rsidRPr="001A3D2B">
        <w:t>great-books list -</w:t>
      </w:r>
      <w:r w:rsidR="003A1917">
        <w:t xml:space="preserve"> the </w:t>
      </w:r>
      <w:r w:rsidRPr="001A3D2B">
        <w:t>50 20th-century works most cited in</w:t>
      </w:r>
      <w:r w:rsidR="003A1917">
        <w:t xml:space="preserve"> the </w:t>
      </w:r>
      <w:r w:rsidRPr="001A3D2B">
        <w:t xml:space="preserve">Arts-and-Humanities-Citation-Index, 1976-1983. </w:t>
      </w:r>
      <w:r w:rsidRPr="001A3D2B">
        <w:rPr>
          <w:i/>
          <w:iCs/>
        </w:rPr>
        <w:t>Current Contents</w:t>
      </w:r>
      <w:r w:rsidRPr="001A3D2B">
        <w:t xml:space="preserve">, </w:t>
      </w:r>
      <w:r w:rsidRPr="001A3D2B">
        <w:rPr>
          <w:b/>
          <w:bCs/>
        </w:rPr>
        <w:t>16</w:t>
      </w:r>
      <w:r w:rsidRPr="001A3D2B">
        <w:t>, 3-7.</w:t>
      </w:r>
    </w:p>
    <w:p w:rsidR="00FF6A74" w:rsidRDefault="00FF6A74" w:rsidP="00FF6A74">
      <w:pPr>
        <w:pStyle w:val="a3"/>
        <w:rPr>
          <w:kern w:val="0"/>
        </w:rPr>
      </w:pPr>
      <w:r>
        <w:rPr>
          <w:rFonts w:hint="eastAsia"/>
          <w:kern w:val="0"/>
        </w:rPr>
        <w:t xml:space="preserve">? </w:t>
      </w:r>
      <w:r>
        <w:rPr>
          <w:kern w:val="0"/>
        </w:rPr>
        <w:t>Garfield, E. (1987), Classic papers from</w:t>
      </w:r>
      <w:r w:rsidR="003A1917">
        <w:rPr>
          <w:kern w:val="0"/>
        </w:rPr>
        <w:t xml:space="preserve"> the </w:t>
      </w:r>
      <w:r>
        <w:rPr>
          <w:kern w:val="0"/>
        </w:rPr>
        <w:t>proceedings</w:t>
      </w:r>
      <w:r w:rsidR="00427468">
        <w:rPr>
          <w:kern w:val="0"/>
        </w:rPr>
        <w:t xml:space="preserve"> of </w:t>
      </w:r>
      <w:r w:rsidR="003A1917">
        <w:rPr>
          <w:kern w:val="0"/>
        </w:rPr>
        <w:t xml:space="preserve">the </w:t>
      </w:r>
      <w:r>
        <w:rPr>
          <w:kern w:val="0"/>
        </w:rPr>
        <w:t>national academy</w:t>
      </w:r>
      <w:r w:rsidR="00427468">
        <w:rPr>
          <w:kern w:val="0"/>
        </w:rPr>
        <w:t xml:space="preserve"> of </w:t>
      </w:r>
      <w:r>
        <w:rPr>
          <w:kern w:val="0"/>
        </w:rPr>
        <w:t>sciences. 1. Each years most-cited paper, 1955-1984 -</w:t>
      </w:r>
      <w:r w:rsidR="005853A9">
        <w:rPr>
          <w:kern w:val="0"/>
        </w:rPr>
        <w:t xml:space="preserve"> and </w:t>
      </w:r>
      <w:r>
        <w:rPr>
          <w:kern w:val="0"/>
        </w:rPr>
        <w:t xml:space="preserve">then some. </w:t>
      </w:r>
      <w:r>
        <w:rPr>
          <w:i/>
          <w:iCs/>
          <w:kern w:val="0"/>
        </w:rPr>
        <w:t>Current Contents</w:t>
      </w:r>
      <w:r>
        <w:rPr>
          <w:kern w:val="0"/>
        </w:rPr>
        <w:t xml:space="preserve">, </w:t>
      </w:r>
      <w:r>
        <w:rPr>
          <w:rFonts w:hint="eastAsia"/>
          <w:b/>
          <w:kern w:val="0"/>
        </w:rPr>
        <w:t>36</w:t>
      </w:r>
      <w:r>
        <w:rPr>
          <w:kern w:val="0"/>
        </w:rPr>
        <w:t>, 3-11</w:t>
      </w:r>
      <w:r>
        <w:rPr>
          <w:rFonts w:hint="eastAsia"/>
          <w:kern w:val="0"/>
        </w:rPr>
        <w:t>.</w:t>
      </w:r>
    </w:p>
    <w:p w:rsidR="00FF6A74" w:rsidRDefault="00FF6A74" w:rsidP="00FF6A74">
      <w:pPr>
        <w:pStyle w:val="a3"/>
        <w:rPr>
          <w:kern w:val="0"/>
        </w:rPr>
      </w:pPr>
      <w:r>
        <w:rPr>
          <w:kern w:val="0"/>
        </w:rPr>
        <w:t>Keywords: Sciences</w:t>
      </w:r>
    </w:p>
    <w:p w:rsidR="00FF6A74" w:rsidRDefault="00FF6A74" w:rsidP="00FF6A74">
      <w:pPr>
        <w:pStyle w:val="a3"/>
        <w:rPr>
          <w:kern w:val="0"/>
        </w:rPr>
      </w:pPr>
      <w:r>
        <w:rPr>
          <w:rFonts w:hint="eastAsia"/>
          <w:kern w:val="0"/>
        </w:rPr>
        <w:t xml:space="preserve">? </w:t>
      </w:r>
      <w:r>
        <w:rPr>
          <w:kern w:val="0"/>
        </w:rPr>
        <w:t>Garfield, E. (1987), Classic papers from</w:t>
      </w:r>
      <w:r w:rsidR="003A1917">
        <w:rPr>
          <w:kern w:val="0"/>
        </w:rPr>
        <w:t xml:space="preserve"> the </w:t>
      </w:r>
      <w:r>
        <w:rPr>
          <w:kern w:val="0"/>
        </w:rPr>
        <w:t>proceedings</w:t>
      </w:r>
      <w:r w:rsidR="00427468">
        <w:rPr>
          <w:kern w:val="0"/>
        </w:rPr>
        <w:t xml:space="preserve"> of </w:t>
      </w:r>
      <w:r w:rsidR="003A1917">
        <w:rPr>
          <w:kern w:val="0"/>
        </w:rPr>
        <w:t xml:space="preserve">the </w:t>
      </w:r>
      <w:r>
        <w:rPr>
          <w:kern w:val="0"/>
        </w:rPr>
        <w:t>National Academy</w:t>
      </w:r>
      <w:r w:rsidR="00427468">
        <w:rPr>
          <w:rFonts w:hint="eastAsia"/>
          <w:kern w:val="0"/>
        </w:rPr>
        <w:t xml:space="preserve"> of </w:t>
      </w:r>
      <w:r>
        <w:rPr>
          <w:kern w:val="0"/>
        </w:rPr>
        <w:t>Sciences. 2. Absolutely,</w:t>
      </w:r>
      <w:r w:rsidR="003A1917">
        <w:rPr>
          <w:kern w:val="0"/>
        </w:rPr>
        <w:t xml:space="preserve"> the </w:t>
      </w:r>
      <w:r>
        <w:rPr>
          <w:kern w:val="0"/>
        </w:rPr>
        <w:t xml:space="preserve">50 most cited almost. </w:t>
      </w:r>
      <w:r>
        <w:rPr>
          <w:i/>
          <w:iCs/>
          <w:kern w:val="0"/>
        </w:rPr>
        <w:t>Current Contents</w:t>
      </w:r>
      <w:r>
        <w:rPr>
          <w:kern w:val="0"/>
        </w:rPr>
        <w:t xml:space="preserve">, </w:t>
      </w:r>
      <w:r>
        <w:rPr>
          <w:rFonts w:hint="eastAsia"/>
          <w:b/>
          <w:kern w:val="0"/>
        </w:rPr>
        <w:t>37</w:t>
      </w:r>
      <w:r>
        <w:rPr>
          <w:kern w:val="0"/>
        </w:rPr>
        <w:t>, 3-9</w:t>
      </w:r>
      <w:r>
        <w:rPr>
          <w:rFonts w:hint="eastAsia"/>
          <w:kern w:val="0"/>
        </w:rPr>
        <w:t>.</w:t>
      </w:r>
    </w:p>
    <w:p w:rsidR="003474F2" w:rsidRPr="001A3D2B" w:rsidRDefault="003474F2" w:rsidP="003474F2">
      <w:pPr>
        <w:pStyle w:val="a3"/>
      </w:pPr>
      <w:r w:rsidRPr="001A3D2B">
        <w:t>Garfield, E. (1987), Prestige versus impact: Established images</w:t>
      </w:r>
      <w:r w:rsidR="00427468">
        <w:t xml:space="preserve"> of </w:t>
      </w:r>
      <w:r w:rsidRPr="001A3D2B">
        <w:t xml:space="preserve">journals, like institutions, are resistant to change. </w:t>
      </w:r>
      <w:r w:rsidRPr="001A3D2B">
        <w:rPr>
          <w:i/>
          <w:iCs/>
        </w:rPr>
        <w:t>Current Contents</w:t>
      </w:r>
      <w:r w:rsidRPr="001A3D2B">
        <w:t xml:space="preserve">, </w:t>
      </w:r>
      <w:r w:rsidRPr="001A3D2B">
        <w:rPr>
          <w:b/>
        </w:rPr>
        <w:t>38</w:t>
      </w:r>
      <w:r w:rsidRPr="001A3D2B">
        <w:t>, 3-11.</w:t>
      </w:r>
    </w:p>
    <w:p w:rsidR="003474F2" w:rsidRPr="001A3D2B" w:rsidRDefault="003474F2" w:rsidP="003474F2">
      <w:pPr>
        <w:pStyle w:val="a3"/>
      </w:pPr>
      <w:r w:rsidRPr="001A3D2B">
        <w:t xml:space="preserve">Full Text: </w:t>
      </w:r>
      <w:hyperlink r:id="rId1103" w:history="1">
        <w:r w:rsidRPr="001A3D2B">
          <w:rPr>
            <w:rStyle w:val="a5"/>
          </w:rPr>
          <w:t>1987\Cur Con38, 3.pdf</w:t>
        </w:r>
      </w:hyperlink>
    </w:p>
    <w:p w:rsidR="00FF6A74" w:rsidRDefault="00FF6A74" w:rsidP="00FF6A74">
      <w:pPr>
        <w:pStyle w:val="a3"/>
        <w:rPr>
          <w:kern w:val="0"/>
        </w:rPr>
      </w:pPr>
      <w:r>
        <w:rPr>
          <w:rFonts w:hint="eastAsia"/>
          <w:kern w:val="0"/>
        </w:rPr>
        <w:t xml:space="preserve">? </w:t>
      </w:r>
      <w:r>
        <w:rPr>
          <w:kern w:val="0"/>
        </w:rPr>
        <w:t>Garfield, E. (1987</w:t>
      </w:r>
      <w:r w:rsidR="00F42EAC">
        <w:rPr>
          <w:kern w:val="0"/>
        </w:rPr>
        <w:t>), The</w:t>
      </w:r>
      <w:r w:rsidR="003A1917">
        <w:rPr>
          <w:kern w:val="0"/>
        </w:rPr>
        <w:t xml:space="preserve"> </w:t>
      </w:r>
      <w:r>
        <w:rPr>
          <w:kern w:val="0"/>
        </w:rPr>
        <w:t>most-cited 1985 life-sciences articles highlight signal transduction, Atrial-Natriuretic-Factor,</w:t>
      </w:r>
      <w:r w:rsidR="005853A9">
        <w:rPr>
          <w:kern w:val="0"/>
        </w:rPr>
        <w:t xml:space="preserve"> and </w:t>
      </w:r>
      <w:r>
        <w:rPr>
          <w:kern w:val="0"/>
        </w:rPr>
        <w:t xml:space="preserve">AIDS research. </w:t>
      </w:r>
      <w:r>
        <w:rPr>
          <w:i/>
          <w:iCs/>
          <w:kern w:val="0"/>
        </w:rPr>
        <w:t>Current Contents</w:t>
      </w:r>
      <w:r>
        <w:rPr>
          <w:kern w:val="0"/>
        </w:rPr>
        <w:t xml:space="preserve">, </w:t>
      </w:r>
      <w:r>
        <w:rPr>
          <w:rFonts w:hint="eastAsia"/>
          <w:b/>
          <w:kern w:val="0"/>
        </w:rPr>
        <w:t>41</w:t>
      </w:r>
      <w:r>
        <w:rPr>
          <w:kern w:val="0"/>
        </w:rPr>
        <w:t>, 3-12</w:t>
      </w:r>
    </w:p>
    <w:p w:rsidR="00FF6A74" w:rsidRDefault="00FF6A74" w:rsidP="00FF6A74">
      <w:pPr>
        <w:pStyle w:val="a3"/>
        <w:rPr>
          <w:kern w:val="0"/>
        </w:rPr>
      </w:pPr>
      <w:r>
        <w:rPr>
          <w:kern w:val="0"/>
        </w:rPr>
        <w:t>Keywords: Articles</w:t>
      </w:r>
      <w:r>
        <w:rPr>
          <w:rFonts w:hint="eastAsia"/>
          <w:kern w:val="0"/>
        </w:rPr>
        <w:t xml:space="preserve">, </w:t>
      </w:r>
      <w:r>
        <w:rPr>
          <w:kern w:val="0"/>
        </w:rPr>
        <w:t>Research</w:t>
      </w:r>
    </w:p>
    <w:p w:rsidR="00FF6A74" w:rsidRDefault="00FF6A74" w:rsidP="00FF6A74">
      <w:pPr>
        <w:pStyle w:val="a3"/>
        <w:rPr>
          <w:kern w:val="0"/>
        </w:rPr>
      </w:pPr>
      <w:r>
        <w:rPr>
          <w:rFonts w:hint="eastAsia"/>
          <w:kern w:val="0"/>
        </w:rPr>
        <w:t xml:space="preserve">? </w:t>
      </w:r>
      <w:r>
        <w:rPr>
          <w:kern w:val="0"/>
        </w:rPr>
        <w:t>Garfield, E. (1987</w:t>
      </w:r>
      <w:r w:rsidR="00F42EAC">
        <w:rPr>
          <w:kern w:val="0"/>
        </w:rPr>
        <w:t>), The</w:t>
      </w:r>
      <w:r w:rsidR="003A1917">
        <w:rPr>
          <w:kern w:val="0"/>
        </w:rPr>
        <w:t xml:space="preserve"> </w:t>
      </w:r>
      <w:r>
        <w:rPr>
          <w:kern w:val="0"/>
        </w:rPr>
        <w:t>1983 articles most cited in</w:t>
      </w:r>
      <w:r w:rsidR="003A1917">
        <w:rPr>
          <w:kern w:val="0"/>
        </w:rPr>
        <w:t xml:space="preserve"> the </w:t>
      </w:r>
      <w:r w:rsidR="00D5664A">
        <w:rPr>
          <w:kern w:val="0"/>
        </w:rPr>
        <w:t>SSCI</w:t>
      </w:r>
      <w:r w:rsidR="008E3069">
        <w:rPr>
          <w:kern w:val="0"/>
        </w:rPr>
        <w:t>,</w:t>
      </w:r>
      <w:r>
        <w:rPr>
          <w:kern w:val="0"/>
        </w:rPr>
        <w:t xml:space="preserve"> 1983-1985. 1. 53 papers highlight studies</w:t>
      </w:r>
      <w:r w:rsidR="00427468">
        <w:rPr>
          <w:kern w:val="0"/>
        </w:rPr>
        <w:t xml:space="preserve"> of </w:t>
      </w:r>
      <w:r>
        <w:rPr>
          <w:kern w:val="0"/>
        </w:rPr>
        <w:t>law, nuclear winter,</w:t>
      </w:r>
      <w:r w:rsidR="005853A9">
        <w:rPr>
          <w:kern w:val="0"/>
        </w:rPr>
        <w:t xml:space="preserve"> and </w:t>
      </w:r>
      <w:r>
        <w:rPr>
          <w:kern w:val="0"/>
        </w:rPr>
        <w:t xml:space="preserve">eating disorders. </w:t>
      </w:r>
      <w:r>
        <w:rPr>
          <w:i/>
          <w:iCs/>
          <w:kern w:val="0"/>
        </w:rPr>
        <w:t>Current Contents</w:t>
      </w:r>
      <w:r>
        <w:rPr>
          <w:kern w:val="0"/>
        </w:rPr>
        <w:t xml:space="preserve">, </w:t>
      </w:r>
      <w:r>
        <w:rPr>
          <w:rFonts w:hint="eastAsia"/>
          <w:b/>
          <w:kern w:val="0"/>
        </w:rPr>
        <w:t>43</w:t>
      </w:r>
      <w:r>
        <w:rPr>
          <w:kern w:val="0"/>
        </w:rPr>
        <w:t>, 3-11</w:t>
      </w:r>
      <w:r>
        <w:rPr>
          <w:rFonts w:hint="eastAsia"/>
          <w:kern w:val="0"/>
        </w:rPr>
        <w:t>.</w:t>
      </w:r>
    </w:p>
    <w:p w:rsidR="00FF6A74" w:rsidRDefault="00FF6A74" w:rsidP="00FF6A74">
      <w:pPr>
        <w:pStyle w:val="a3"/>
        <w:rPr>
          <w:kern w:val="0"/>
        </w:rPr>
      </w:pPr>
      <w:r>
        <w:rPr>
          <w:kern w:val="0"/>
        </w:rPr>
        <w:t>Keywords: Articles</w:t>
      </w:r>
      <w:r>
        <w:rPr>
          <w:rFonts w:hint="eastAsia"/>
          <w:kern w:val="0"/>
        </w:rPr>
        <w:t xml:space="preserve">, </w:t>
      </w:r>
      <w:r>
        <w:rPr>
          <w:kern w:val="0"/>
        </w:rPr>
        <w:t>Law</w:t>
      </w:r>
    </w:p>
    <w:p w:rsidR="00FF6A74" w:rsidRDefault="00FF6A74" w:rsidP="00FF6A74">
      <w:pPr>
        <w:pStyle w:val="a3"/>
        <w:rPr>
          <w:kern w:val="0"/>
        </w:rPr>
      </w:pPr>
      <w:r>
        <w:rPr>
          <w:rFonts w:hint="eastAsia"/>
          <w:kern w:val="0"/>
        </w:rPr>
        <w:lastRenderedPageBreak/>
        <w:t xml:space="preserve">? </w:t>
      </w:r>
      <w:r>
        <w:rPr>
          <w:kern w:val="0"/>
        </w:rPr>
        <w:t>Garfield, E. (1987</w:t>
      </w:r>
      <w:r w:rsidR="00F42EAC">
        <w:rPr>
          <w:kern w:val="0"/>
        </w:rPr>
        <w:t>), The</w:t>
      </w:r>
      <w:r w:rsidR="003A1917">
        <w:rPr>
          <w:kern w:val="0"/>
        </w:rPr>
        <w:t xml:space="preserve"> </w:t>
      </w:r>
      <w:r>
        <w:rPr>
          <w:kern w:val="0"/>
        </w:rPr>
        <w:t>1983 articles most cited in</w:t>
      </w:r>
      <w:r w:rsidR="003A1917">
        <w:rPr>
          <w:kern w:val="0"/>
        </w:rPr>
        <w:t xml:space="preserve"> the </w:t>
      </w:r>
      <w:r w:rsidR="00D5664A">
        <w:rPr>
          <w:kern w:val="0"/>
        </w:rPr>
        <w:t>SSCI</w:t>
      </w:r>
      <w:r w:rsidR="008E3069">
        <w:rPr>
          <w:kern w:val="0"/>
        </w:rPr>
        <w:t>,</w:t>
      </w:r>
      <w:r>
        <w:rPr>
          <w:kern w:val="0"/>
        </w:rPr>
        <w:t xml:space="preserve"> 1983-1985. 2. From anthropology to urban studies - A 2nd group</w:t>
      </w:r>
      <w:r w:rsidR="00427468">
        <w:rPr>
          <w:kern w:val="0"/>
        </w:rPr>
        <w:t xml:space="preserve"> of </w:t>
      </w:r>
      <w:r>
        <w:rPr>
          <w:kern w:val="0"/>
        </w:rPr>
        <w:t>papers represents 30</w:t>
      </w:r>
      <w:r w:rsidR="00427468">
        <w:rPr>
          <w:kern w:val="0"/>
        </w:rPr>
        <w:t xml:space="preserve"> of </w:t>
      </w:r>
      <w:r w:rsidR="003A1917">
        <w:rPr>
          <w:kern w:val="0"/>
        </w:rPr>
        <w:t xml:space="preserve">the </w:t>
      </w:r>
      <w:r>
        <w:rPr>
          <w:kern w:val="0"/>
        </w:rPr>
        <w:t xml:space="preserve">54 </w:t>
      </w:r>
      <w:r w:rsidR="00D5664A">
        <w:rPr>
          <w:kern w:val="0"/>
        </w:rPr>
        <w:t>SSCI</w:t>
      </w:r>
      <w:r>
        <w:rPr>
          <w:kern w:val="0"/>
        </w:rPr>
        <w:t xml:space="preserve"> subject categories, including sociology, education,</w:t>
      </w:r>
      <w:r w:rsidR="005853A9">
        <w:rPr>
          <w:kern w:val="0"/>
        </w:rPr>
        <w:t xml:space="preserve"> and </w:t>
      </w:r>
      <w:r>
        <w:rPr>
          <w:kern w:val="0"/>
        </w:rPr>
        <w:t xml:space="preserve">public-health. </w:t>
      </w:r>
      <w:r>
        <w:rPr>
          <w:i/>
          <w:iCs/>
          <w:kern w:val="0"/>
        </w:rPr>
        <w:t>Current Contents</w:t>
      </w:r>
      <w:r>
        <w:rPr>
          <w:kern w:val="0"/>
        </w:rPr>
        <w:t xml:space="preserve">, </w:t>
      </w:r>
      <w:r>
        <w:rPr>
          <w:rFonts w:hint="eastAsia"/>
          <w:b/>
          <w:kern w:val="0"/>
        </w:rPr>
        <w:t>44</w:t>
      </w:r>
      <w:r>
        <w:rPr>
          <w:kern w:val="0"/>
        </w:rPr>
        <w:t>, 3-11</w:t>
      </w:r>
      <w:r>
        <w:rPr>
          <w:rFonts w:hint="eastAsia"/>
          <w:kern w:val="0"/>
        </w:rPr>
        <w:t>.</w:t>
      </w:r>
    </w:p>
    <w:p w:rsidR="00FF6A74" w:rsidRDefault="00FF6A74" w:rsidP="00FF6A74">
      <w:pPr>
        <w:pStyle w:val="a3"/>
        <w:rPr>
          <w:kern w:val="0"/>
        </w:rPr>
      </w:pPr>
      <w:r>
        <w:rPr>
          <w:kern w:val="0"/>
        </w:rPr>
        <w:t>Keywords: Articles, Education, Public Health</w:t>
      </w:r>
    </w:p>
    <w:p w:rsidR="00FF6A74" w:rsidRDefault="00FF6A74" w:rsidP="00FF6A74">
      <w:pPr>
        <w:pStyle w:val="a3"/>
        <w:rPr>
          <w:kern w:val="0"/>
        </w:rPr>
      </w:pPr>
      <w:r>
        <w:rPr>
          <w:rFonts w:hint="eastAsia"/>
          <w:kern w:val="0"/>
        </w:rPr>
        <w:t xml:space="preserve">? </w:t>
      </w:r>
      <w:r>
        <w:rPr>
          <w:kern w:val="0"/>
        </w:rPr>
        <w:t>Garfield, E. (1987</w:t>
      </w:r>
      <w:r w:rsidR="00F42EAC">
        <w:rPr>
          <w:kern w:val="0"/>
        </w:rPr>
        <w:t>), The</w:t>
      </w:r>
      <w:r w:rsidR="003A1917">
        <w:rPr>
          <w:kern w:val="0"/>
        </w:rPr>
        <w:t xml:space="preserve"> </w:t>
      </w:r>
      <w:r>
        <w:rPr>
          <w:kern w:val="0"/>
        </w:rPr>
        <w:t>most-cited 1985 physical-sciences articles - some knots in superstrings untied</w:t>
      </w:r>
      <w:r w:rsidR="005853A9">
        <w:rPr>
          <w:kern w:val="0"/>
        </w:rPr>
        <w:t xml:space="preserve"> and </w:t>
      </w:r>
      <w:r>
        <w:rPr>
          <w:kern w:val="0"/>
        </w:rPr>
        <w:t xml:space="preserve">quasi-crystals not so quasi anymore. </w:t>
      </w:r>
      <w:r>
        <w:rPr>
          <w:i/>
          <w:iCs/>
          <w:kern w:val="0"/>
        </w:rPr>
        <w:t>Current Contents</w:t>
      </w:r>
      <w:r>
        <w:rPr>
          <w:kern w:val="0"/>
        </w:rPr>
        <w:t xml:space="preserve">, </w:t>
      </w:r>
      <w:r>
        <w:rPr>
          <w:rFonts w:hint="eastAsia"/>
          <w:b/>
          <w:kern w:val="0"/>
        </w:rPr>
        <w:t>45</w:t>
      </w:r>
      <w:r>
        <w:rPr>
          <w:kern w:val="0"/>
        </w:rPr>
        <w:t>, 3-16</w:t>
      </w:r>
      <w:r>
        <w:rPr>
          <w:rFonts w:hint="eastAsia"/>
          <w:kern w:val="0"/>
        </w:rPr>
        <w:t>.</w:t>
      </w:r>
    </w:p>
    <w:p w:rsidR="00FF6A74" w:rsidRDefault="00FF6A74" w:rsidP="00FF6A74">
      <w:pPr>
        <w:pStyle w:val="a3"/>
        <w:rPr>
          <w:kern w:val="0"/>
        </w:rPr>
      </w:pPr>
      <w:r>
        <w:rPr>
          <w:kern w:val="0"/>
        </w:rPr>
        <w:t>Keywords: Articles</w:t>
      </w:r>
    </w:p>
    <w:p w:rsidR="008B638D" w:rsidRDefault="008B638D" w:rsidP="008B638D">
      <w:pPr>
        <w:pStyle w:val="a3"/>
        <w:rPr>
          <w:kern w:val="0"/>
        </w:rPr>
      </w:pPr>
      <w:r>
        <w:rPr>
          <w:rFonts w:hint="eastAsia"/>
          <w:kern w:val="0"/>
        </w:rPr>
        <w:t xml:space="preserve">? </w:t>
      </w:r>
      <w:r>
        <w:rPr>
          <w:kern w:val="0"/>
        </w:rPr>
        <w:t>Garfield, E. (1988), Update on</w:t>
      </w:r>
      <w:r w:rsidR="003A1917">
        <w:rPr>
          <w:kern w:val="0"/>
        </w:rPr>
        <w:t xml:space="preserve"> the </w:t>
      </w:r>
      <w:r>
        <w:rPr>
          <w:kern w:val="0"/>
        </w:rPr>
        <w:t>most-cited papers in</w:t>
      </w:r>
      <w:r w:rsidR="003A1917">
        <w:rPr>
          <w:kern w:val="0"/>
        </w:rPr>
        <w:t xml:space="preserve"> the </w:t>
      </w:r>
      <w:r w:rsidR="008E3069">
        <w:rPr>
          <w:kern w:val="0"/>
        </w:rPr>
        <w:t>SCI,</w:t>
      </w:r>
      <w:r>
        <w:rPr>
          <w:kern w:val="0"/>
        </w:rPr>
        <w:t xml:space="preserve"> 1955-1986. 1. Highlighting another 100 citation-classics. </w:t>
      </w:r>
      <w:r>
        <w:rPr>
          <w:i/>
          <w:iCs/>
          <w:kern w:val="0"/>
        </w:rPr>
        <w:t>Current Contents</w:t>
      </w:r>
      <w:r>
        <w:rPr>
          <w:kern w:val="0"/>
        </w:rPr>
        <w:t xml:space="preserve">, </w:t>
      </w:r>
      <w:r>
        <w:rPr>
          <w:rFonts w:hint="eastAsia"/>
          <w:b/>
          <w:kern w:val="0"/>
        </w:rPr>
        <w:t>12</w:t>
      </w:r>
      <w:r>
        <w:rPr>
          <w:kern w:val="0"/>
        </w:rPr>
        <w:t>, 3-12</w:t>
      </w:r>
      <w:r>
        <w:rPr>
          <w:rFonts w:hint="eastAsia"/>
          <w:kern w:val="0"/>
        </w:rPr>
        <w:t>.</w:t>
      </w:r>
    </w:p>
    <w:p w:rsidR="008B638D" w:rsidRDefault="008B638D" w:rsidP="008B638D">
      <w:pPr>
        <w:pStyle w:val="a3"/>
        <w:rPr>
          <w:kern w:val="0"/>
        </w:rPr>
      </w:pPr>
      <w:r>
        <w:rPr>
          <w:rFonts w:hint="eastAsia"/>
          <w:kern w:val="0"/>
        </w:rPr>
        <w:t xml:space="preserve">? </w:t>
      </w:r>
      <w:r>
        <w:rPr>
          <w:kern w:val="0"/>
        </w:rPr>
        <w:t>Garfield, E. (1988), Update on</w:t>
      </w:r>
      <w:r w:rsidR="003A1917">
        <w:rPr>
          <w:kern w:val="0"/>
        </w:rPr>
        <w:t xml:space="preserve"> the </w:t>
      </w:r>
      <w:r>
        <w:rPr>
          <w:kern w:val="0"/>
        </w:rPr>
        <w:t>most-cited papers in</w:t>
      </w:r>
      <w:r w:rsidR="003A1917">
        <w:rPr>
          <w:kern w:val="0"/>
        </w:rPr>
        <w:t xml:space="preserve"> the </w:t>
      </w:r>
      <w:r w:rsidR="008E3069">
        <w:rPr>
          <w:kern w:val="0"/>
        </w:rPr>
        <w:t>SCI,</w:t>
      </w:r>
      <w:r>
        <w:rPr>
          <w:kern w:val="0"/>
        </w:rPr>
        <w:t xml:space="preserve"> 1955-1986. 2. 60 years</w:t>
      </w:r>
      <w:r w:rsidR="00427468">
        <w:rPr>
          <w:kern w:val="0"/>
        </w:rPr>
        <w:t xml:space="preserve"> of </w:t>
      </w:r>
      <w:r>
        <w:rPr>
          <w:kern w:val="0"/>
        </w:rPr>
        <w:t xml:space="preserve">research, from insecticides to AIDS. </w:t>
      </w:r>
      <w:r>
        <w:rPr>
          <w:i/>
          <w:iCs/>
          <w:kern w:val="0"/>
        </w:rPr>
        <w:t>Current Contents</w:t>
      </w:r>
      <w:r>
        <w:rPr>
          <w:kern w:val="0"/>
        </w:rPr>
        <w:t xml:space="preserve">, </w:t>
      </w:r>
      <w:r>
        <w:rPr>
          <w:rFonts w:hint="eastAsia"/>
          <w:b/>
          <w:kern w:val="0"/>
        </w:rPr>
        <w:t>13</w:t>
      </w:r>
      <w:r>
        <w:rPr>
          <w:kern w:val="0"/>
        </w:rPr>
        <w:t>, 3-10</w:t>
      </w:r>
      <w:r>
        <w:rPr>
          <w:rFonts w:hint="eastAsia"/>
          <w:kern w:val="0"/>
        </w:rPr>
        <w:t>.</w:t>
      </w:r>
    </w:p>
    <w:p w:rsidR="008B638D" w:rsidRDefault="008B638D" w:rsidP="008B638D">
      <w:pPr>
        <w:pStyle w:val="a3"/>
        <w:rPr>
          <w:kern w:val="0"/>
        </w:rPr>
      </w:pPr>
      <w:r>
        <w:rPr>
          <w:kern w:val="0"/>
        </w:rPr>
        <w:t>Keywords: Research</w:t>
      </w:r>
    </w:p>
    <w:p w:rsidR="0004612E" w:rsidRDefault="0004612E" w:rsidP="0004612E">
      <w:pPr>
        <w:pStyle w:val="a3"/>
        <w:rPr>
          <w:kern w:val="0"/>
        </w:rPr>
      </w:pPr>
      <w:r>
        <w:rPr>
          <w:rFonts w:hint="eastAsia"/>
          <w:kern w:val="0"/>
        </w:rPr>
        <w:t xml:space="preserve">? </w:t>
      </w:r>
      <w:r>
        <w:rPr>
          <w:kern w:val="0"/>
        </w:rPr>
        <w:t xml:space="preserve">Garfield, E. (1988), </w:t>
      </w:r>
      <w:r w:rsidRPr="008D0A8D">
        <w:rPr>
          <w:kern w:val="0"/>
        </w:rPr>
        <w:t>Citation analysis highlights</w:t>
      </w:r>
      <w:r w:rsidR="003A1917">
        <w:rPr>
          <w:kern w:val="0"/>
        </w:rPr>
        <w:t xml:space="preserve"> the </w:t>
      </w:r>
      <w:r w:rsidRPr="008D0A8D">
        <w:rPr>
          <w:kern w:val="0"/>
        </w:rPr>
        <w:t>key role in antibody diversity research played by Tonegawa,</w:t>
      </w:r>
      <w:r>
        <w:rPr>
          <w:rFonts w:hint="eastAsia"/>
          <w:kern w:val="0"/>
        </w:rPr>
        <w:t xml:space="preserve"> </w:t>
      </w:r>
      <w:r w:rsidRPr="008D0A8D">
        <w:rPr>
          <w:kern w:val="0"/>
        </w:rPr>
        <w:t>Susumu,</w:t>
      </w:r>
      <w:r w:rsidR="003A1917">
        <w:rPr>
          <w:kern w:val="0"/>
        </w:rPr>
        <w:t xml:space="preserve"> the </w:t>
      </w:r>
      <w:r w:rsidRPr="008D0A8D">
        <w:rPr>
          <w:kern w:val="0"/>
        </w:rPr>
        <w:t>1987 Nobel laureate in medicine</w:t>
      </w:r>
      <w:r>
        <w:rPr>
          <w:kern w:val="0"/>
        </w:rPr>
        <w:t xml:space="preserve">. </w:t>
      </w:r>
      <w:r>
        <w:rPr>
          <w:i/>
          <w:iCs/>
          <w:kern w:val="0"/>
        </w:rPr>
        <w:t>Current Contents</w:t>
      </w:r>
      <w:r>
        <w:rPr>
          <w:kern w:val="0"/>
        </w:rPr>
        <w:t xml:space="preserve">, </w:t>
      </w:r>
      <w:r>
        <w:rPr>
          <w:rFonts w:hint="eastAsia"/>
          <w:b/>
          <w:kern w:val="0"/>
        </w:rPr>
        <w:t>14</w:t>
      </w:r>
      <w:r>
        <w:rPr>
          <w:kern w:val="0"/>
        </w:rPr>
        <w:t xml:space="preserve">, </w:t>
      </w:r>
      <w:r w:rsidRPr="008D0A8D">
        <w:rPr>
          <w:kern w:val="0"/>
        </w:rPr>
        <w:t>3-10</w:t>
      </w:r>
      <w:r>
        <w:rPr>
          <w:rFonts w:hint="eastAsia"/>
          <w:kern w:val="0"/>
        </w:rPr>
        <w:t>.</w:t>
      </w:r>
    </w:p>
    <w:p w:rsidR="008B638D" w:rsidRDefault="008B638D" w:rsidP="008B638D">
      <w:pPr>
        <w:pStyle w:val="a3"/>
        <w:rPr>
          <w:kern w:val="0"/>
        </w:rPr>
      </w:pPr>
      <w:r>
        <w:rPr>
          <w:rFonts w:hint="eastAsia"/>
          <w:kern w:val="0"/>
        </w:rPr>
        <w:t xml:space="preserve">? </w:t>
      </w:r>
      <w:r>
        <w:rPr>
          <w:kern w:val="0"/>
        </w:rPr>
        <w:t>Garfield, E. (1988), More than a mere physical attraction -</w:t>
      </w:r>
      <w:r w:rsidR="003A1917">
        <w:rPr>
          <w:kern w:val="0"/>
        </w:rPr>
        <w:t xml:space="preserve"> the </w:t>
      </w:r>
      <w:r>
        <w:rPr>
          <w:kern w:val="0"/>
        </w:rPr>
        <w:t>100 most-cited papers from</w:t>
      </w:r>
      <w:r w:rsidR="003A1917">
        <w:rPr>
          <w:kern w:val="0"/>
        </w:rPr>
        <w:t xml:space="preserve"> the </w:t>
      </w:r>
      <w:r>
        <w:rPr>
          <w:kern w:val="0"/>
        </w:rPr>
        <w:t>reviews</w:t>
      </w:r>
      <w:r w:rsidR="00427468">
        <w:rPr>
          <w:kern w:val="0"/>
        </w:rPr>
        <w:t xml:space="preserve"> of </w:t>
      </w:r>
      <w:r>
        <w:rPr>
          <w:kern w:val="0"/>
        </w:rPr>
        <w:t xml:space="preserve">modern physics. </w:t>
      </w:r>
      <w:r>
        <w:rPr>
          <w:i/>
          <w:iCs/>
          <w:kern w:val="0"/>
        </w:rPr>
        <w:t>Current Contents</w:t>
      </w:r>
      <w:r>
        <w:rPr>
          <w:kern w:val="0"/>
        </w:rPr>
        <w:t xml:space="preserve">, </w:t>
      </w:r>
      <w:r>
        <w:rPr>
          <w:rFonts w:hint="eastAsia"/>
          <w:b/>
          <w:kern w:val="0"/>
        </w:rPr>
        <w:t>26</w:t>
      </w:r>
      <w:r>
        <w:rPr>
          <w:kern w:val="0"/>
        </w:rPr>
        <w:t>, 3-14</w:t>
      </w:r>
      <w:r>
        <w:rPr>
          <w:rFonts w:hint="eastAsia"/>
          <w:kern w:val="0"/>
        </w:rPr>
        <w:t>.</w:t>
      </w:r>
    </w:p>
    <w:p w:rsidR="008B638D" w:rsidRDefault="008B638D" w:rsidP="008B638D">
      <w:pPr>
        <w:pStyle w:val="a3"/>
        <w:rPr>
          <w:kern w:val="0"/>
        </w:rPr>
      </w:pPr>
      <w:r>
        <w:rPr>
          <w:kern w:val="0"/>
        </w:rPr>
        <w:t>Keywords: Physics</w:t>
      </w:r>
    </w:p>
    <w:p w:rsidR="00B81A3C" w:rsidRDefault="00B81A3C" w:rsidP="00B81A3C">
      <w:pPr>
        <w:pStyle w:val="a3"/>
      </w:pPr>
      <w:r>
        <w:rPr>
          <w:rFonts w:hint="eastAsia"/>
        </w:rPr>
        <w:t>Notes: highly cited</w:t>
      </w:r>
    </w:p>
    <w:p w:rsidR="00B81A3C" w:rsidRDefault="00B81A3C" w:rsidP="00B81A3C">
      <w:pPr>
        <w:pStyle w:val="a3"/>
      </w:pPr>
      <w:r w:rsidRPr="00C73C58">
        <w:t xml:space="preserve">? Garfield, E. (1988), </w:t>
      </w:r>
      <w:r>
        <w:t>Measuring R-and-D productivity through scientometrics</w:t>
      </w:r>
      <w:r w:rsidRPr="00C73C58">
        <w:t xml:space="preserve">. </w:t>
      </w:r>
      <w:r w:rsidRPr="00C73C58">
        <w:rPr>
          <w:i/>
          <w:iCs/>
        </w:rPr>
        <w:t>Current Contents</w:t>
      </w:r>
      <w:r w:rsidRPr="00C73C58">
        <w:t xml:space="preserve">, </w:t>
      </w:r>
      <w:r>
        <w:rPr>
          <w:rFonts w:hint="eastAsia"/>
          <w:b/>
        </w:rPr>
        <w:t>30</w:t>
      </w:r>
      <w:r w:rsidRPr="00C73C58">
        <w:t>, 3-</w:t>
      </w:r>
      <w:r>
        <w:rPr>
          <w:rFonts w:hint="eastAsia"/>
        </w:rPr>
        <w:t>9</w:t>
      </w:r>
      <w:r w:rsidRPr="00C73C58">
        <w:t>.</w:t>
      </w:r>
    </w:p>
    <w:p w:rsidR="008B638D" w:rsidRDefault="008B638D" w:rsidP="008B638D">
      <w:pPr>
        <w:pStyle w:val="a3"/>
        <w:rPr>
          <w:kern w:val="0"/>
        </w:rPr>
      </w:pPr>
      <w:r>
        <w:rPr>
          <w:rFonts w:hint="eastAsia"/>
          <w:kern w:val="0"/>
        </w:rPr>
        <w:t xml:space="preserve">? </w:t>
      </w:r>
      <w:r>
        <w:rPr>
          <w:kern w:val="0"/>
        </w:rPr>
        <w:t>Garfield, E. (1988</w:t>
      </w:r>
      <w:r w:rsidR="00F42EAC">
        <w:rPr>
          <w:kern w:val="0"/>
        </w:rPr>
        <w:t>), The</w:t>
      </w:r>
      <w:r w:rsidR="003A1917">
        <w:rPr>
          <w:kern w:val="0"/>
        </w:rPr>
        <w:t xml:space="preserve"> </w:t>
      </w:r>
      <w:r>
        <w:rPr>
          <w:kern w:val="0"/>
        </w:rPr>
        <w:t>most-cited 1984 chemistry articles 1984-1986 - organic superconductors</w:t>
      </w:r>
      <w:r w:rsidR="005853A9">
        <w:rPr>
          <w:kern w:val="0"/>
        </w:rPr>
        <w:t xml:space="preserve"> and </w:t>
      </w:r>
      <w:r>
        <w:rPr>
          <w:kern w:val="0"/>
        </w:rPr>
        <w:t>a potpourri</w:t>
      </w:r>
      <w:r w:rsidR="00427468">
        <w:rPr>
          <w:kern w:val="0"/>
        </w:rPr>
        <w:t xml:space="preserve"> of </w:t>
      </w:r>
      <w:r>
        <w:rPr>
          <w:kern w:val="0"/>
        </w:rPr>
        <w:t>chirality, fractals,</w:t>
      </w:r>
      <w:r w:rsidR="005853A9">
        <w:rPr>
          <w:kern w:val="0"/>
        </w:rPr>
        <w:t xml:space="preserve"> and </w:t>
      </w:r>
      <w:r>
        <w:rPr>
          <w:kern w:val="0"/>
        </w:rPr>
        <w:t xml:space="preserve">smog. </w:t>
      </w:r>
      <w:r>
        <w:rPr>
          <w:i/>
          <w:iCs/>
          <w:kern w:val="0"/>
        </w:rPr>
        <w:t>Current Contents</w:t>
      </w:r>
      <w:r>
        <w:rPr>
          <w:kern w:val="0"/>
        </w:rPr>
        <w:t xml:space="preserve">, </w:t>
      </w:r>
      <w:r>
        <w:rPr>
          <w:rFonts w:hint="eastAsia"/>
          <w:b/>
          <w:kern w:val="0"/>
        </w:rPr>
        <w:t>38</w:t>
      </w:r>
      <w:r>
        <w:rPr>
          <w:kern w:val="0"/>
        </w:rPr>
        <w:t>, 3-14</w:t>
      </w:r>
      <w:r>
        <w:rPr>
          <w:rFonts w:hint="eastAsia"/>
          <w:kern w:val="0"/>
        </w:rPr>
        <w:t>.</w:t>
      </w:r>
    </w:p>
    <w:p w:rsidR="008B638D" w:rsidRDefault="008B638D" w:rsidP="008B638D">
      <w:pPr>
        <w:pStyle w:val="a3"/>
        <w:rPr>
          <w:kern w:val="0"/>
        </w:rPr>
      </w:pPr>
      <w:r>
        <w:rPr>
          <w:kern w:val="0"/>
        </w:rPr>
        <w:t>Keywords: Articles, Chemistry</w:t>
      </w:r>
    </w:p>
    <w:p w:rsidR="008B638D" w:rsidRDefault="008B638D" w:rsidP="008B638D">
      <w:pPr>
        <w:pStyle w:val="a3"/>
        <w:rPr>
          <w:kern w:val="0"/>
        </w:rPr>
      </w:pPr>
      <w:r>
        <w:rPr>
          <w:rFonts w:hint="eastAsia"/>
          <w:kern w:val="0"/>
        </w:rPr>
        <w:t xml:space="preserve">? </w:t>
      </w:r>
      <w:r>
        <w:rPr>
          <w:kern w:val="0"/>
        </w:rPr>
        <w:t>Garfield, E. (1988</w:t>
      </w:r>
      <w:r w:rsidR="00F42EAC">
        <w:rPr>
          <w:kern w:val="0"/>
        </w:rPr>
        <w:t>), The</w:t>
      </w:r>
      <w:r w:rsidR="003A1917">
        <w:rPr>
          <w:kern w:val="0"/>
        </w:rPr>
        <w:t xml:space="preserve"> </w:t>
      </w:r>
      <w:r>
        <w:rPr>
          <w:kern w:val="0"/>
        </w:rPr>
        <w:t>1985 chemistry articles most cited in 1985-1987 - quantum-mechanics, superconductivity,</w:t>
      </w:r>
      <w:r w:rsidR="005853A9">
        <w:rPr>
          <w:kern w:val="0"/>
        </w:rPr>
        <w:t xml:space="preserve"> and </w:t>
      </w:r>
      <w:r>
        <w:rPr>
          <w:kern w:val="0"/>
        </w:rPr>
        <w:t>... Fuller,</w:t>
      </w:r>
      <w:r>
        <w:rPr>
          <w:rFonts w:hint="eastAsia"/>
          <w:kern w:val="0"/>
        </w:rPr>
        <w:t xml:space="preserve"> </w:t>
      </w:r>
      <w:r>
        <w:rPr>
          <w:kern w:val="0"/>
        </w:rPr>
        <w:t xml:space="preserve">Buckminster. </w:t>
      </w:r>
      <w:r>
        <w:rPr>
          <w:i/>
          <w:iCs/>
          <w:kern w:val="0"/>
        </w:rPr>
        <w:t>Current Contents</w:t>
      </w:r>
      <w:r>
        <w:rPr>
          <w:kern w:val="0"/>
        </w:rPr>
        <w:t xml:space="preserve">, </w:t>
      </w:r>
      <w:r>
        <w:rPr>
          <w:rFonts w:hint="eastAsia"/>
          <w:b/>
          <w:kern w:val="0"/>
        </w:rPr>
        <w:t>48</w:t>
      </w:r>
      <w:r>
        <w:rPr>
          <w:kern w:val="0"/>
        </w:rPr>
        <w:t>, 3-13</w:t>
      </w:r>
      <w:r>
        <w:rPr>
          <w:rFonts w:hint="eastAsia"/>
          <w:kern w:val="0"/>
        </w:rPr>
        <w:t>.</w:t>
      </w:r>
    </w:p>
    <w:p w:rsidR="008B638D" w:rsidRDefault="008B638D" w:rsidP="008B638D">
      <w:pPr>
        <w:pStyle w:val="a3"/>
        <w:rPr>
          <w:kern w:val="0"/>
        </w:rPr>
      </w:pPr>
      <w:r>
        <w:rPr>
          <w:kern w:val="0"/>
        </w:rPr>
        <w:t>Keywords: Articles, Chemistry, Superconductivity</w:t>
      </w:r>
    </w:p>
    <w:p w:rsidR="008B638D" w:rsidRDefault="008B638D" w:rsidP="008B638D">
      <w:pPr>
        <w:pStyle w:val="a3"/>
        <w:rPr>
          <w:kern w:val="0"/>
        </w:rPr>
      </w:pPr>
      <w:r>
        <w:rPr>
          <w:rFonts w:hint="eastAsia"/>
          <w:kern w:val="0"/>
        </w:rPr>
        <w:t xml:space="preserve">? </w:t>
      </w:r>
      <w:r>
        <w:rPr>
          <w:kern w:val="0"/>
        </w:rPr>
        <w:t>Garfield, E. (1988</w:t>
      </w:r>
      <w:r w:rsidR="00F42EAC">
        <w:rPr>
          <w:kern w:val="0"/>
        </w:rPr>
        <w:t>), The</w:t>
      </w:r>
      <w:r w:rsidR="003A1917">
        <w:rPr>
          <w:kern w:val="0"/>
        </w:rPr>
        <w:t xml:space="preserve"> </w:t>
      </w:r>
      <w:r>
        <w:rPr>
          <w:kern w:val="0"/>
        </w:rPr>
        <w:t>most-cited 1986 life-sciences articles highlight cell-surface receptors, tumor necrosis factor,</w:t>
      </w:r>
      <w:r w:rsidR="005853A9">
        <w:rPr>
          <w:kern w:val="0"/>
        </w:rPr>
        <w:t xml:space="preserve"> and </w:t>
      </w:r>
      <w:r>
        <w:rPr>
          <w:kern w:val="0"/>
        </w:rPr>
        <w:t xml:space="preserve">AIDS research. </w:t>
      </w:r>
      <w:r>
        <w:rPr>
          <w:i/>
          <w:iCs/>
          <w:kern w:val="0"/>
        </w:rPr>
        <w:t>Current Contents</w:t>
      </w:r>
      <w:r>
        <w:rPr>
          <w:kern w:val="0"/>
        </w:rPr>
        <w:t xml:space="preserve">, </w:t>
      </w:r>
      <w:r>
        <w:rPr>
          <w:rFonts w:hint="eastAsia"/>
          <w:b/>
          <w:kern w:val="0"/>
        </w:rPr>
        <w:t>50</w:t>
      </w:r>
      <w:r>
        <w:rPr>
          <w:kern w:val="0"/>
        </w:rPr>
        <w:t>, 3-16</w:t>
      </w:r>
      <w:r>
        <w:rPr>
          <w:rFonts w:hint="eastAsia"/>
          <w:kern w:val="0"/>
        </w:rPr>
        <w:t>.</w:t>
      </w:r>
    </w:p>
    <w:p w:rsidR="008B638D" w:rsidRDefault="008B638D" w:rsidP="008B638D">
      <w:pPr>
        <w:pStyle w:val="a3"/>
        <w:rPr>
          <w:kern w:val="0"/>
        </w:rPr>
      </w:pPr>
      <w:r>
        <w:rPr>
          <w:kern w:val="0"/>
        </w:rPr>
        <w:t>Keywords: Articles, Research</w:t>
      </w:r>
    </w:p>
    <w:p w:rsidR="003474F2" w:rsidRPr="001A3D2B" w:rsidRDefault="003474F2" w:rsidP="003474F2">
      <w:pPr>
        <w:pStyle w:val="a3"/>
      </w:pPr>
      <w:r w:rsidRPr="001A3D2B">
        <w:t xml:space="preserve">? Garfield, E. (1988), Science-technology policy. 2. International perspectives. </w:t>
      </w:r>
      <w:r w:rsidRPr="001A3D2B">
        <w:rPr>
          <w:i/>
          <w:iCs/>
        </w:rPr>
        <w:t>Current Contents</w:t>
      </w:r>
      <w:r w:rsidRPr="001A3D2B">
        <w:t xml:space="preserve">, </w:t>
      </w:r>
      <w:r w:rsidRPr="001A3D2B">
        <w:rPr>
          <w:b/>
        </w:rPr>
        <w:t>51-52</w:t>
      </w:r>
      <w:r w:rsidRPr="001A3D2B">
        <w:t>, 3-13.</w:t>
      </w:r>
    </w:p>
    <w:p w:rsidR="008B638D" w:rsidRDefault="008B638D" w:rsidP="008B638D">
      <w:pPr>
        <w:pStyle w:val="a3"/>
        <w:rPr>
          <w:kern w:val="0"/>
        </w:rPr>
      </w:pPr>
      <w:r>
        <w:rPr>
          <w:rFonts w:hint="eastAsia"/>
          <w:kern w:val="0"/>
        </w:rPr>
        <w:t xml:space="preserve">? </w:t>
      </w:r>
      <w:r>
        <w:rPr>
          <w:kern w:val="0"/>
        </w:rPr>
        <w:t>Garfield, E. (1989), Journal citation studies.</w:t>
      </w:r>
      <w:r>
        <w:rPr>
          <w:rFonts w:hint="eastAsia"/>
          <w:kern w:val="0"/>
        </w:rPr>
        <w:t xml:space="preserve"> </w:t>
      </w:r>
      <w:r>
        <w:rPr>
          <w:kern w:val="0"/>
        </w:rPr>
        <w:t>50.2. Most-cited economics papers</w:t>
      </w:r>
      <w:r w:rsidR="005853A9">
        <w:rPr>
          <w:kern w:val="0"/>
        </w:rPr>
        <w:t xml:space="preserve"> and </w:t>
      </w:r>
      <w:r>
        <w:rPr>
          <w:kern w:val="0"/>
        </w:rPr>
        <w:t xml:space="preserve">current research fronts. </w:t>
      </w:r>
      <w:r>
        <w:rPr>
          <w:i/>
          <w:iCs/>
          <w:kern w:val="0"/>
        </w:rPr>
        <w:t>Current Contents</w:t>
      </w:r>
      <w:r>
        <w:rPr>
          <w:kern w:val="0"/>
        </w:rPr>
        <w:t xml:space="preserve">, </w:t>
      </w:r>
      <w:r>
        <w:rPr>
          <w:b/>
          <w:bCs/>
          <w:kern w:val="0"/>
        </w:rPr>
        <w:t>2</w:t>
      </w:r>
      <w:r>
        <w:rPr>
          <w:kern w:val="0"/>
        </w:rPr>
        <w:t>, 3-8</w:t>
      </w:r>
      <w:r>
        <w:rPr>
          <w:rFonts w:hint="eastAsia"/>
          <w:kern w:val="0"/>
        </w:rPr>
        <w:t>.</w:t>
      </w:r>
    </w:p>
    <w:p w:rsidR="008B638D" w:rsidRDefault="008B638D" w:rsidP="008B638D">
      <w:pPr>
        <w:pStyle w:val="a3"/>
        <w:rPr>
          <w:kern w:val="0"/>
        </w:rPr>
      </w:pPr>
      <w:r>
        <w:rPr>
          <w:kern w:val="0"/>
        </w:rPr>
        <w:t>Keywords: Citation, Economics, Journal, Research</w:t>
      </w:r>
    </w:p>
    <w:p w:rsidR="003474F2" w:rsidRPr="001A3D2B" w:rsidRDefault="003474F2" w:rsidP="003474F2">
      <w:pPr>
        <w:pStyle w:val="a3"/>
      </w:pPr>
      <w:r w:rsidRPr="001A3D2B">
        <w:lastRenderedPageBreak/>
        <w:t>? Garfield, E. (1989), Citation: Classics</w:t>
      </w:r>
      <w:r w:rsidR="005853A9">
        <w:t xml:space="preserve"> and </w:t>
      </w:r>
      <w:r w:rsidRPr="001A3D2B">
        <w:t xml:space="preserve">citation behavior revisited. </w:t>
      </w:r>
      <w:r w:rsidRPr="001A3D2B">
        <w:rPr>
          <w:i/>
          <w:iCs/>
        </w:rPr>
        <w:t>Current Contents</w:t>
      </w:r>
      <w:r w:rsidRPr="001A3D2B">
        <w:t xml:space="preserve">, </w:t>
      </w:r>
      <w:r w:rsidRPr="001A3D2B">
        <w:rPr>
          <w:b/>
          <w:bCs/>
        </w:rPr>
        <w:t>5</w:t>
      </w:r>
      <w:r w:rsidRPr="001A3D2B">
        <w:t>, 3-8.</w:t>
      </w:r>
    </w:p>
    <w:p w:rsidR="008B638D" w:rsidRDefault="008B638D" w:rsidP="008B638D">
      <w:pPr>
        <w:pStyle w:val="a3"/>
        <w:rPr>
          <w:kern w:val="0"/>
        </w:rPr>
      </w:pPr>
      <w:r>
        <w:rPr>
          <w:rFonts w:hint="eastAsia"/>
          <w:kern w:val="0"/>
        </w:rPr>
        <w:t xml:space="preserve">? </w:t>
      </w:r>
      <w:r>
        <w:rPr>
          <w:kern w:val="0"/>
        </w:rPr>
        <w:t>Garfield, E. (1989</w:t>
      </w:r>
      <w:r w:rsidR="00F42EAC">
        <w:rPr>
          <w:kern w:val="0"/>
        </w:rPr>
        <w:t>), The</w:t>
      </w:r>
      <w:r w:rsidR="003A1917">
        <w:rPr>
          <w:kern w:val="0"/>
        </w:rPr>
        <w:t xml:space="preserve"> </w:t>
      </w:r>
      <w:r>
        <w:rPr>
          <w:kern w:val="0"/>
        </w:rPr>
        <w:t>most-cited 1986 physical-sciences articles - ozone, comet halley,</w:t>
      </w:r>
      <w:r w:rsidR="005853A9">
        <w:rPr>
          <w:kern w:val="0"/>
        </w:rPr>
        <w:t xml:space="preserve"> and </w:t>
      </w:r>
      <w:r>
        <w:rPr>
          <w:kern w:val="0"/>
        </w:rPr>
        <w:t>continued interest in superstrings</w:t>
      </w:r>
      <w:r w:rsidR="005853A9">
        <w:rPr>
          <w:kern w:val="0"/>
        </w:rPr>
        <w:t xml:space="preserve"> and </w:t>
      </w:r>
      <w:r>
        <w:rPr>
          <w:kern w:val="0"/>
        </w:rPr>
        <w:t xml:space="preserve">superconductivity. </w:t>
      </w:r>
      <w:r>
        <w:rPr>
          <w:i/>
          <w:iCs/>
          <w:kern w:val="0"/>
        </w:rPr>
        <w:t>Current Contents</w:t>
      </w:r>
      <w:r>
        <w:rPr>
          <w:kern w:val="0"/>
        </w:rPr>
        <w:t xml:space="preserve">, </w:t>
      </w:r>
      <w:r>
        <w:rPr>
          <w:b/>
          <w:bCs/>
          <w:kern w:val="0"/>
        </w:rPr>
        <w:t>6</w:t>
      </w:r>
      <w:r>
        <w:rPr>
          <w:kern w:val="0"/>
        </w:rPr>
        <w:t>, 3-14</w:t>
      </w:r>
      <w:r>
        <w:rPr>
          <w:rFonts w:hint="eastAsia"/>
          <w:kern w:val="0"/>
        </w:rPr>
        <w:t>.</w:t>
      </w:r>
    </w:p>
    <w:p w:rsidR="008B638D" w:rsidRDefault="008B638D" w:rsidP="008B638D">
      <w:pPr>
        <w:pStyle w:val="a3"/>
        <w:rPr>
          <w:kern w:val="0"/>
        </w:rPr>
      </w:pPr>
      <w:r>
        <w:rPr>
          <w:kern w:val="0"/>
        </w:rPr>
        <w:t>Keywords: Articles, Superconductivity</w:t>
      </w:r>
    </w:p>
    <w:p w:rsidR="003474F2" w:rsidRPr="001A3D2B" w:rsidRDefault="003474F2" w:rsidP="003474F2">
      <w:pPr>
        <w:pStyle w:val="a3"/>
      </w:pPr>
      <w:r w:rsidRPr="001A3D2B">
        <w:t>Garfield, E. (1989), Evaluating research - do bibliometric indicators provide</w:t>
      </w:r>
      <w:r w:rsidR="003A1917">
        <w:t xml:space="preserve"> the </w:t>
      </w:r>
      <w:r w:rsidRPr="001A3D2B">
        <w:t>best measures - introduction to a review</w:t>
      </w:r>
      <w:r w:rsidR="00427468">
        <w:t xml:space="preserve"> of </w:t>
      </w:r>
      <w:r w:rsidRPr="001A3D2B">
        <w:t>bibliometric</w:t>
      </w:r>
      <w:r w:rsidR="005853A9">
        <w:t xml:space="preserve"> and </w:t>
      </w:r>
      <w:r w:rsidRPr="001A3D2B">
        <w:t>other science indicators</w:t>
      </w:r>
      <w:r w:rsidR="005853A9">
        <w:t xml:space="preserve"> and </w:t>
      </w:r>
      <w:r w:rsidRPr="001A3D2B">
        <w:t xml:space="preserve">their role in research evaluation (Reprinted). </w:t>
      </w:r>
      <w:r w:rsidRPr="001A3D2B">
        <w:rPr>
          <w:i/>
          <w:iCs/>
        </w:rPr>
        <w:t>Current Contents</w:t>
      </w:r>
      <w:r w:rsidRPr="001A3D2B">
        <w:t xml:space="preserve">, </w:t>
      </w:r>
      <w:r w:rsidRPr="001A3D2B">
        <w:rPr>
          <w:b/>
          <w:bCs/>
        </w:rPr>
        <w:t>14</w:t>
      </w:r>
      <w:r w:rsidRPr="001A3D2B">
        <w:t>, 3-10.</w:t>
      </w:r>
    </w:p>
    <w:p w:rsidR="003474F2" w:rsidRPr="001A3D2B" w:rsidRDefault="003474F2" w:rsidP="003474F2">
      <w:pPr>
        <w:pStyle w:val="a3"/>
      </w:pPr>
      <w:r w:rsidRPr="001A3D2B">
        <w:t>? Garfield, E. (1989), An introduction to</w:t>
      </w:r>
      <w:r w:rsidR="003A1917">
        <w:t xml:space="preserve"> the </w:t>
      </w:r>
      <w:r w:rsidRPr="001A3D2B">
        <w:t>102 most cited life sciences publications in</w:t>
      </w:r>
      <w:r w:rsidR="003A1917">
        <w:t xml:space="preserve"> the </w:t>
      </w:r>
      <w:r w:rsidRPr="001A3D2B">
        <w:t>new 1945-1954 Science Citation Index. 1. Titles, journals,</w:t>
      </w:r>
      <w:r w:rsidR="005853A9">
        <w:t xml:space="preserve"> and </w:t>
      </w:r>
      <w:r w:rsidRPr="001A3D2B">
        <w:t xml:space="preserve">research fronts by Dixon, Bernard. </w:t>
      </w:r>
      <w:r w:rsidRPr="001A3D2B">
        <w:rPr>
          <w:i/>
          <w:iCs/>
        </w:rPr>
        <w:t>Current Contents</w:t>
      </w:r>
      <w:r w:rsidRPr="001A3D2B">
        <w:t xml:space="preserve">, </w:t>
      </w:r>
      <w:r w:rsidRPr="001A3D2B">
        <w:rPr>
          <w:b/>
          <w:bCs/>
        </w:rPr>
        <w:t>15</w:t>
      </w:r>
      <w:r w:rsidRPr="001A3D2B">
        <w:t>, 3-10.</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Dixon, B. (1989</w:t>
      </w:r>
      <w:r w:rsidR="00F42EAC">
        <w:t>), The</w:t>
      </w:r>
      <w:r w:rsidR="003A1917">
        <w:t xml:space="preserve"> </w:t>
      </w:r>
      <w:r w:rsidRPr="001A3D2B">
        <w:t>102 most cited life sciences publications in</w:t>
      </w:r>
      <w:r w:rsidR="003A1917">
        <w:t xml:space="preserve"> the </w:t>
      </w:r>
      <w:r w:rsidRPr="001A3D2B">
        <w:t>new 1945-1954 Science Citation Index. 1. Titles, journals,</w:t>
      </w:r>
      <w:r w:rsidR="005853A9">
        <w:t xml:space="preserve"> and </w:t>
      </w:r>
      <w:r w:rsidRPr="001A3D2B">
        <w:t xml:space="preserve">research fronts. </w:t>
      </w:r>
      <w:r w:rsidRPr="001A3D2B">
        <w:rPr>
          <w:i/>
          <w:iCs/>
        </w:rPr>
        <w:t>Current Contents</w:t>
      </w:r>
      <w:r w:rsidRPr="001A3D2B">
        <w:t xml:space="preserve">, </w:t>
      </w:r>
      <w:r w:rsidRPr="001A3D2B">
        <w:rPr>
          <w:b/>
          <w:bCs/>
        </w:rPr>
        <w:t>15</w:t>
      </w:r>
      <w:r w:rsidRPr="001A3D2B">
        <w:t>, 4-10.</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Garfield, E. (1989), An introduction to</w:t>
      </w:r>
      <w:r w:rsidR="003A1917">
        <w:t xml:space="preserve"> the </w:t>
      </w:r>
      <w:r w:rsidRPr="001A3D2B">
        <w:t>102 most cited life sciences publications in</w:t>
      </w:r>
      <w:r w:rsidR="003A1917">
        <w:t xml:space="preserve"> the </w:t>
      </w:r>
      <w:r w:rsidRPr="001A3D2B">
        <w:t>new 1945-1954 Science Citation Index. 2. Wonder drugs, cell biochemistry, separation techniques highlight major trends</w:t>
      </w:r>
      <w:r w:rsidR="00427468">
        <w:t xml:space="preserve"> of </w:t>
      </w:r>
      <w:r w:rsidRPr="001A3D2B">
        <w:t xml:space="preserve">post-world-war-2 decade by Dixon, Bernard. Current Contents, </w:t>
      </w:r>
      <w:r w:rsidRPr="001A3D2B">
        <w:rPr>
          <w:b/>
          <w:bCs/>
        </w:rPr>
        <w:t>16</w:t>
      </w:r>
      <w:r w:rsidRPr="001A3D2B">
        <w:t>, 3-10.</w:t>
      </w:r>
    </w:p>
    <w:p w:rsidR="003474F2" w:rsidRPr="001A3D2B" w:rsidRDefault="003474F2" w:rsidP="003474F2">
      <w:pPr>
        <w:pStyle w:val="a3"/>
      </w:pPr>
      <w:r w:rsidRPr="001A3D2B">
        <w:t>Keywords: Science Citation Index, Separation</w:t>
      </w:r>
    </w:p>
    <w:p w:rsidR="003474F2" w:rsidRPr="001A3D2B" w:rsidRDefault="003474F2" w:rsidP="003474F2">
      <w:pPr>
        <w:pStyle w:val="a3"/>
      </w:pPr>
      <w:r w:rsidRPr="001A3D2B">
        <w:t>? Dixon, B. (1989</w:t>
      </w:r>
      <w:r w:rsidR="00F42EAC">
        <w:t>), The</w:t>
      </w:r>
      <w:r w:rsidR="003A1917">
        <w:t xml:space="preserve"> </w:t>
      </w:r>
      <w:r w:rsidRPr="001A3D2B">
        <w:t>102 most cited life sciences publications in</w:t>
      </w:r>
      <w:r w:rsidR="003A1917">
        <w:t xml:space="preserve"> the </w:t>
      </w:r>
      <w:r w:rsidRPr="001A3D2B">
        <w:t>new 1945-1954 Science Citation Index. 2. Wonder drugs, cell biochemistry, separation techniques highlight major trends</w:t>
      </w:r>
      <w:r w:rsidR="00427468">
        <w:t xml:space="preserve"> of </w:t>
      </w:r>
      <w:r w:rsidRPr="001A3D2B">
        <w:t xml:space="preserve">post-world-war-2 decade. </w:t>
      </w:r>
      <w:r w:rsidRPr="001A3D2B">
        <w:rPr>
          <w:i/>
          <w:iCs/>
        </w:rPr>
        <w:t>Current Contents</w:t>
      </w:r>
      <w:r w:rsidRPr="001A3D2B">
        <w:t xml:space="preserve">, </w:t>
      </w:r>
      <w:r w:rsidRPr="001A3D2B">
        <w:rPr>
          <w:b/>
          <w:bCs/>
        </w:rPr>
        <w:t>16</w:t>
      </w:r>
      <w:r w:rsidRPr="001A3D2B">
        <w:t>, 3-10.</w:t>
      </w:r>
    </w:p>
    <w:p w:rsidR="003474F2" w:rsidRPr="001A3D2B" w:rsidRDefault="003474F2" w:rsidP="003474F2">
      <w:pPr>
        <w:pStyle w:val="a3"/>
      </w:pPr>
      <w:r w:rsidRPr="001A3D2B">
        <w:t>Keywords: Science Citation Index, Separation</w:t>
      </w:r>
    </w:p>
    <w:p w:rsidR="003474F2" w:rsidRPr="001A3D2B" w:rsidRDefault="003474F2" w:rsidP="003474F2">
      <w:pPr>
        <w:pStyle w:val="a3"/>
      </w:pPr>
      <w:r w:rsidRPr="001A3D2B">
        <w:t xml:space="preserve">? Garfield, E. (1989), Citation behavior: An aid or a hindrance to information-retrieval. </w:t>
      </w:r>
      <w:r w:rsidRPr="001A3D2B">
        <w:rPr>
          <w:i/>
          <w:iCs/>
        </w:rPr>
        <w:t>Current Contents</w:t>
      </w:r>
      <w:r w:rsidRPr="001A3D2B">
        <w:t xml:space="preserve">, </w:t>
      </w:r>
      <w:r w:rsidRPr="001A3D2B">
        <w:rPr>
          <w:b/>
          <w:bCs/>
        </w:rPr>
        <w:t>18</w:t>
      </w:r>
      <w:r w:rsidRPr="001A3D2B">
        <w:t>, 3-8.</w:t>
      </w:r>
    </w:p>
    <w:p w:rsidR="003474F2" w:rsidRPr="001A3D2B" w:rsidRDefault="003474F2" w:rsidP="003474F2">
      <w:pPr>
        <w:pStyle w:val="a3"/>
      </w:pPr>
      <w:r w:rsidRPr="001A3D2B">
        <w:t>? Garfield, E. (1989), Expanding</w:t>
      </w:r>
      <w:r w:rsidR="003A1917">
        <w:t xml:space="preserve"> the </w:t>
      </w:r>
      <w:r w:rsidRPr="001A3D2B">
        <w:t>Searching Power</w:t>
      </w:r>
      <w:r w:rsidR="00427468">
        <w:t xml:space="preserve"> of </w:t>
      </w:r>
      <w:r w:rsidRPr="001A3D2B">
        <w:t>CD-ROM - ISI New Social-Sciences-Citation-Index Compact Disk Edition Is Compatible with</w:t>
      </w:r>
      <w:r w:rsidR="003A1917">
        <w:t xml:space="preserve"> the </w:t>
      </w:r>
      <w:r w:rsidRPr="001A3D2B">
        <w:t xml:space="preserve">Science Citation Index on Compact Disk - New Software Streamlines Searching. </w:t>
      </w:r>
      <w:r w:rsidRPr="001A3D2B">
        <w:rPr>
          <w:i/>
          <w:iCs/>
        </w:rPr>
        <w:t>Current Contents</w:t>
      </w:r>
      <w:r w:rsidRPr="001A3D2B">
        <w:t xml:space="preserve">, </w:t>
      </w:r>
      <w:r w:rsidRPr="001A3D2B">
        <w:rPr>
          <w:b/>
          <w:bCs/>
        </w:rPr>
        <w:t>37</w:t>
      </w:r>
      <w:r w:rsidRPr="001A3D2B">
        <w:t>, 3-10.</w:t>
      </w:r>
    </w:p>
    <w:p w:rsidR="003474F2" w:rsidRPr="001A3D2B" w:rsidRDefault="003474F2" w:rsidP="003474F2">
      <w:pPr>
        <w:pStyle w:val="a3"/>
      </w:pPr>
      <w:r w:rsidRPr="001A3D2B">
        <w:t>Keywords: Science Citation Index, Software</w:t>
      </w:r>
    </w:p>
    <w:p w:rsidR="003474F2" w:rsidRPr="001A3D2B" w:rsidRDefault="003474F2" w:rsidP="003474F2">
      <w:pPr>
        <w:pStyle w:val="a3"/>
      </w:pPr>
      <w:r w:rsidRPr="001A3D2B">
        <w:t>? Garfield, E. (1989</w:t>
      </w:r>
      <w:r w:rsidR="00F42EAC">
        <w:t>), The</w:t>
      </w:r>
      <w:r w:rsidR="003A1917">
        <w:t xml:space="preserve"> </w:t>
      </w:r>
      <w:r w:rsidRPr="001A3D2B">
        <w:t>New 1956-1965 Social-Sciences Citation Index. 1. Analysis</w:t>
      </w:r>
      <w:r w:rsidR="00427468">
        <w:t xml:space="preserve"> of </w:t>
      </w:r>
      <w:r w:rsidRPr="001A3D2B">
        <w:t>1988 research fronts</w:t>
      </w:r>
      <w:r w:rsidR="005853A9">
        <w:t xml:space="preserve"> and </w:t>
      </w:r>
      <w:r w:rsidR="003A1917">
        <w:t xml:space="preserve">the </w:t>
      </w:r>
      <w:r w:rsidRPr="001A3D2B">
        <w:t xml:space="preserve">citation-classics that made them possible. </w:t>
      </w:r>
      <w:r w:rsidRPr="001A3D2B">
        <w:rPr>
          <w:i/>
          <w:iCs/>
        </w:rPr>
        <w:t>Current Contents</w:t>
      </w:r>
      <w:r w:rsidRPr="001A3D2B">
        <w:t xml:space="preserve">, </w:t>
      </w:r>
      <w:r w:rsidRPr="001A3D2B">
        <w:rPr>
          <w:b/>
          <w:bCs/>
        </w:rPr>
        <w:t>41</w:t>
      </w:r>
      <w:r w:rsidRPr="001A3D2B">
        <w:t>, 2-8.</w:t>
      </w:r>
    </w:p>
    <w:p w:rsidR="008B638D" w:rsidRDefault="008B638D" w:rsidP="008B638D">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most-cited papers</w:t>
      </w:r>
      <w:r w:rsidR="00427468">
        <w:rPr>
          <w:kern w:val="0"/>
        </w:rPr>
        <w:t xml:space="preserve"> of </w:t>
      </w:r>
      <w:r>
        <w:rPr>
          <w:kern w:val="0"/>
        </w:rPr>
        <w:t>all time, SCI 1945-1988. 1A</w:t>
      </w:r>
      <w:r w:rsidR="00A37C1D">
        <w:rPr>
          <w:kern w:val="0"/>
        </w:rPr>
        <w:t>. The</w:t>
      </w:r>
      <w:r w:rsidR="003A1917">
        <w:rPr>
          <w:kern w:val="0"/>
        </w:rPr>
        <w:t xml:space="preserve"> </w:t>
      </w:r>
      <w:r>
        <w:rPr>
          <w:kern w:val="0"/>
        </w:rPr>
        <w:t>SCI top 100 - will</w:t>
      </w:r>
      <w:r w:rsidR="003A1917">
        <w:rPr>
          <w:kern w:val="0"/>
        </w:rPr>
        <w:t xml:space="preserve"> the </w:t>
      </w:r>
      <w:r>
        <w:rPr>
          <w:kern w:val="0"/>
        </w:rPr>
        <w:t xml:space="preserve">lowry method ever be obliterated. </w:t>
      </w:r>
      <w:r>
        <w:rPr>
          <w:i/>
          <w:iCs/>
          <w:kern w:val="0"/>
        </w:rPr>
        <w:t>Current Contents</w:t>
      </w:r>
      <w:r>
        <w:rPr>
          <w:kern w:val="0"/>
        </w:rPr>
        <w:t xml:space="preserve">, </w:t>
      </w:r>
      <w:r>
        <w:rPr>
          <w:b/>
          <w:bCs/>
          <w:kern w:val="0"/>
        </w:rPr>
        <w:t>7</w:t>
      </w:r>
      <w:r>
        <w:rPr>
          <w:kern w:val="0"/>
        </w:rPr>
        <w:t>, 3-14</w:t>
      </w:r>
      <w:r>
        <w:rPr>
          <w:rFonts w:hint="eastAsia"/>
          <w:kern w:val="0"/>
        </w:rPr>
        <w:t>.</w:t>
      </w:r>
    </w:p>
    <w:p w:rsidR="008B638D" w:rsidRDefault="008B638D" w:rsidP="008B638D">
      <w:pPr>
        <w:pStyle w:val="a3"/>
        <w:rPr>
          <w:kern w:val="0"/>
        </w:rPr>
      </w:pPr>
      <w:r>
        <w:rPr>
          <w:kern w:val="0"/>
        </w:rPr>
        <w:t>Keywords: Time</w:t>
      </w:r>
    </w:p>
    <w:p w:rsidR="008B638D" w:rsidRDefault="008B638D" w:rsidP="008B638D">
      <w:pPr>
        <w:pStyle w:val="a3"/>
        <w:rPr>
          <w:kern w:val="0"/>
        </w:rPr>
      </w:pPr>
      <w:r>
        <w:rPr>
          <w:rFonts w:hint="eastAsia"/>
          <w:kern w:val="0"/>
        </w:rPr>
        <w:lastRenderedPageBreak/>
        <w:t xml:space="preserve">? </w:t>
      </w:r>
      <w:r>
        <w:rPr>
          <w:kern w:val="0"/>
        </w:rPr>
        <w:t>Garfield, E. (1990</w:t>
      </w:r>
      <w:r w:rsidR="00F42EAC">
        <w:rPr>
          <w:kern w:val="0"/>
        </w:rPr>
        <w:t>), The</w:t>
      </w:r>
      <w:r w:rsidR="003A1917">
        <w:rPr>
          <w:kern w:val="0"/>
        </w:rPr>
        <w:t xml:space="preserve"> </w:t>
      </w:r>
      <w:r>
        <w:rPr>
          <w:kern w:val="0"/>
        </w:rPr>
        <w:t>most-cited papers</w:t>
      </w:r>
      <w:r w:rsidR="00427468">
        <w:rPr>
          <w:kern w:val="0"/>
        </w:rPr>
        <w:t xml:space="preserve"> of </w:t>
      </w:r>
      <w:r>
        <w:rPr>
          <w:kern w:val="0"/>
        </w:rPr>
        <w:t>all time, SCI 1945-1988. 1B. Superstars new to</w:t>
      </w:r>
      <w:r w:rsidR="003A1917">
        <w:rPr>
          <w:kern w:val="0"/>
        </w:rPr>
        <w:t xml:space="preserve"> the </w:t>
      </w:r>
      <w:r>
        <w:rPr>
          <w:kern w:val="0"/>
        </w:rPr>
        <w:t xml:space="preserve">SCI Top 100. </w:t>
      </w:r>
      <w:r>
        <w:rPr>
          <w:i/>
          <w:iCs/>
          <w:kern w:val="0"/>
        </w:rPr>
        <w:t>Current Contents</w:t>
      </w:r>
      <w:r>
        <w:rPr>
          <w:kern w:val="0"/>
        </w:rPr>
        <w:t xml:space="preserve">, </w:t>
      </w:r>
      <w:r>
        <w:rPr>
          <w:b/>
          <w:bCs/>
          <w:kern w:val="0"/>
        </w:rPr>
        <w:t>8</w:t>
      </w:r>
      <w:r>
        <w:rPr>
          <w:kern w:val="0"/>
        </w:rPr>
        <w:t>, 3-13</w:t>
      </w:r>
      <w:r>
        <w:rPr>
          <w:rFonts w:hint="eastAsia"/>
          <w:kern w:val="0"/>
        </w:rPr>
        <w:t>.</w:t>
      </w:r>
    </w:p>
    <w:p w:rsidR="008B638D" w:rsidRDefault="008B638D" w:rsidP="008B638D">
      <w:pPr>
        <w:pStyle w:val="a3"/>
        <w:rPr>
          <w:kern w:val="0"/>
        </w:rPr>
      </w:pPr>
      <w:r>
        <w:rPr>
          <w:kern w:val="0"/>
        </w:rPr>
        <w:t>Keywords: Time</w:t>
      </w:r>
    </w:p>
    <w:p w:rsidR="008B638D" w:rsidRDefault="008B638D" w:rsidP="008B638D">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1987 life-sciences articles most cited in 1987</w:t>
      </w:r>
      <w:r w:rsidR="005853A9">
        <w:rPr>
          <w:kern w:val="0"/>
        </w:rPr>
        <w:t xml:space="preserve"> and </w:t>
      </w:r>
      <w:r>
        <w:rPr>
          <w:kern w:val="0"/>
        </w:rPr>
        <w:t>1988 - an introduction to cell signaling,</w:t>
      </w:r>
      <w:r w:rsidR="003A1917">
        <w:rPr>
          <w:kern w:val="0"/>
        </w:rPr>
        <w:t xml:space="preserve"> the </w:t>
      </w:r>
      <w:r>
        <w:rPr>
          <w:kern w:val="0"/>
        </w:rPr>
        <w:t>immune-response,</w:t>
      </w:r>
      <w:r w:rsidR="003A1917">
        <w:rPr>
          <w:kern w:val="0"/>
        </w:rPr>
        <w:t xml:space="preserve"> the </w:t>
      </w:r>
      <w:r>
        <w:rPr>
          <w:kern w:val="0"/>
        </w:rPr>
        <w:t>genetic-basis</w:t>
      </w:r>
      <w:r w:rsidR="00427468">
        <w:rPr>
          <w:kern w:val="0"/>
        </w:rPr>
        <w:t xml:space="preserve"> of </w:t>
      </w:r>
      <w:r>
        <w:rPr>
          <w:kern w:val="0"/>
        </w:rPr>
        <w:t>cancer,</w:t>
      </w:r>
      <w:r w:rsidR="005853A9">
        <w:rPr>
          <w:kern w:val="0"/>
        </w:rPr>
        <w:t xml:space="preserve"> and </w:t>
      </w:r>
      <w:r>
        <w:rPr>
          <w:kern w:val="0"/>
        </w:rPr>
        <w:t>efforts to pinpoint</w:t>
      </w:r>
      <w:r w:rsidR="003A1917">
        <w:rPr>
          <w:kern w:val="0"/>
        </w:rPr>
        <w:t xml:space="preserve"> the </w:t>
      </w:r>
      <w:r>
        <w:rPr>
          <w:kern w:val="0"/>
        </w:rPr>
        <w:t xml:space="preserve">genes for </w:t>
      </w:r>
      <w:r w:rsidR="00B07325">
        <w:rPr>
          <w:kern w:val="0"/>
        </w:rPr>
        <w:t>Alzheimers</w:t>
      </w:r>
      <w:r>
        <w:rPr>
          <w:kern w:val="0"/>
        </w:rPr>
        <w:t>-disease, cystic-fibrosis,</w:t>
      </w:r>
      <w:r w:rsidR="005853A9">
        <w:rPr>
          <w:kern w:val="0"/>
        </w:rPr>
        <w:t xml:space="preserve"> and </w:t>
      </w:r>
      <w:r>
        <w:rPr>
          <w:kern w:val="0"/>
        </w:rPr>
        <w:t>manic-depressive illness are highlighted in 1987 life-sciences research by Dixon,</w:t>
      </w:r>
      <w:r>
        <w:rPr>
          <w:rFonts w:hint="eastAsia"/>
          <w:kern w:val="0"/>
        </w:rPr>
        <w:t xml:space="preserve"> </w:t>
      </w:r>
      <w:r>
        <w:rPr>
          <w:kern w:val="0"/>
        </w:rPr>
        <w:t xml:space="preserve">Bernard. </w:t>
      </w:r>
      <w:r>
        <w:rPr>
          <w:i/>
          <w:iCs/>
          <w:kern w:val="0"/>
        </w:rPr>
        <w:t>Current Contents</w:t>
      </w:r>
      <w:r>
        <w:rPr>
          <w:kern w:val="0"/>
        </w:rPr>
        <w:t xml:space="preserve">, </w:t>
      </w:r>
      <w:r>
        <w:rPr>
          <w:b/>
          <w:bCs/>
          <w:kern w:val="0"/>
        </w:rPr>
        <w:t>17</w:t>
      </w:r>
      <w:r>
        <w:rPr>
          <w:kern w:val="0"/>
        </w:rPr>
        <w:t>, 3</w:t>
      </w:r>
      <w:r>
        <w:rPr>
          <w:rFonts w:hint="eastAsia"/>
          <w:kern w:val="0"/>
        </w:rPr>
        <w:t>.</w:t>
      </w:r>
    </w:p>
    <w:p w:rsidR="008B638D" w:rsidRDefault="008B638D" w:rsidP="008B638D">
      <w:pPr>
        <w:pStyle w:val="a3"/>
        <w:rPr>
          <w:kern w:val="0"/>
        </w:rPr>
      </w:pPr>
      <w:r>
        <w:rPr>
          <w:kern w:val="0"/>
        </w:rPr>
        <w:t>Keywords: Articles, Cancer, Research</w:t>
      </w:r>
    </w:p>
    <w:p w:rsidR="008B638D" w:rsidRDefault="008B638D" w:rsidP="008B638D">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 xml:space="preserve">most-cited 1987 physical-sciences articles - superconductivity supersedes superstrings. </w:t>
      </w:r>
      <w:r>
        <w:rPr>
          <w:i/>
          <w:iCs/>
          <w:kern w:val="0"/>
        </w:rPr>
        <w:t>Current Contents</w:t>
      </w:r>
      <w:r>
        <w:rPr>
          <w:kern w:val="0"/>
        </w:rPr>
        <w:t xml:space="preserve">, </w:t>
      </w:r>
      <w:r>
        <w:rPr>
          <w:b/>
          <w:bCs/>
          <w:kern w:val="0"/>
        </w:rPr>
        <w:t>18</w:t>
      </w:r>
      <w:r>
        <w:rPr>
          <w:kern w:val="0"/>
        </w:rPr>
        <w:t>, 3-14</w:t>
      </w:r>
      <w:r>
        <w:rPr>
          <w:rFonts w:hint="eastAsia"/>
          <w:kern w:val="0"/>
        </w:rPr>
        <w:t>.</w:t>
      </w:r>
    </w:p>
    <w:p w:rsidR="008B638D" w:rsidRDefault="008B638D" w:rsidP="008B638D">
      <w:pPr>
        <w:pStyle w:val="a3"/>
        <w:rPr>
          <w:kern w:val="0"/>
        </w:rPr>
      </w:pPr>
      <w:r>
        <w:rPr>
          <w:kern w:val="0"/>
        </w:rPr>
        <w:t>Keywords: Articles</w:t>
      </w:r>
      <w:r>
        <w:rPr>
          <w:rFonts w:hint="eastAsia"/>
          <w:kern w:val="0"/>
        </w:rPr>
        <w:t xml:space="preserve">, </w:t>
      </w:r>
      <w:r>
        <w:rPr>
          <w:kern w:val="0"/>
        </w:rPr>
        <w:t>Superconductivity</w:t>
      </w:r>
    </w:p>
    <w:p w:rsidR="003474F2" w:rsidRPr="001A3D2B" w:rsidRDefault="003474F2" w:rsidP="003474F2">
      <w:pPr>
        <w:pStyle w:val="a3"/>
      </w:pPr>
      <w:r w:rsidRPr="001A3D2B">
        <w:t>? Garfield, E. (1990</w:t>
      </w:r>
      <w:r w:rsidR="00F42EAC">
        <w:t>), The</w:t>
      </w:r>
      <w:r w:rsidR="003A1917">
        <w:t xml:space="preserve"> </w:t>
      </w:r>
      <w:r w:rsidRPr="001A3D2B">
        <w:t>most cited physical sciences publications in</w:t>
      </w:r>
      <w:r w:rsidR="003A1917">
        <w:t xml:space="preserve"> the </w:t>
      </w:r>
      <w:r w:rsidRPr="001A3D2B">
        <w:t>1945-1954 Science Citation Index. 1. 52 Citation classics in physics</w:t>
      </w:r>
      <w:r w:rsidR="005853A9">
        <w:t xml:space="preserve"> and </w:t>
      </w:r>
      <w:r w:rsidRPr="001A3D2B">
        <w:t>chemistry - An introduction to</w:t>
      </w:r>
      <w:r w:rsidR="003A1917">
        <w:t xml:space="preserve"> the </w:t>
      </w:r>
      <w:r w:rsidRPr="001A3D2B">
        <w:t>most cited physical sciences publications in</w:t>
      </w:r>
      <w:r w:rsidR="003A1917">
        <w:t xml:space="preserve"> the </w:t>
      </w:r>
      <w:r w:rsidRPr="001A3D2B">
        <w:t xml:space="preserve">1945-1954 Science Citation Index by Brush, Stephen, G. </w:t>
      </w:r>
      <w:r w:rsidRPr="001A3D2B">
        <w:rPr>
          <w:i/>
          <w:iCs/>
        </w:rPr>
        <w:t>Current Contents</w:t>
      </w:r>
      <w:r w:rsidRPr="001A3D2B">
        <w:t xml:space="preserve">, </w:t>
      </w:r>
      <w:r w:rsidRPr="001A3D2B">
        <w:rPr>
          <w:b/>
          <w:bCs/>
        </w:rPr>
        <w:t>20</w:t>
      </w:r>
      <w:r w:rsidRPr="001A3D2B">
        <w:t>, 5-6.</w:t>
      </w:r>
    </w:p>
    <w:p w:rsidR="003474F2" w:rsidRPr="001A3D2B" w:rsidRDefault="003474F2" w:rsidP="003474F2">
      <w:pPr>
        <w:pStyle w:val="a3"/>
      </w:pPr>
      <w:r w:rsidRPr="001A3D2B">
        <w:t>Keywords: Chemistry, Science Citation Index</w:t>
      </w:r>
    </w:p>
    <w:p w:rsidR="003474F2" w:rsidRDefault="003474F2" w:rsidP="003474F2">
      <w:pPr>
        <w:pStyle w:val="a3"/>
      </w:pPr>
      <w:r w:rsidRPr="001A3D2B">
        <w:t>? Brush, S.G. (1990</w:t>
      </w:r>
      <w:r w:rsidR="00F42EAC">
        <w:t>), The</w:t>
      </w:r>
      <w:r w:rsidR="003A1917">
        <w:t xml:space="preserve"> </w:t>
      </w:r>
      <w:r w:rsidRPr="001A3D2B">
        <w:t>most cited physical sciences publications in</w:t>
      </w:r>
      <w:r w:rsidR="003A1917">
        <w:t xml:space="preserve"> the </w:t>
      </w:r>
      <w:r w:rsidRPr="001A3D2B">
        <w:t xml:space="preserve">1945-1954 Science Citation Index. </w:t>
      </w:r>
      <w:r w:rsidRPr="001A3D2B">
        <w:rPr>
          <w:i/>
          <w:iCs/>
        </w:rPr>
        <w:t>Current Contents</w:t>
      </w:r>
      <w:r w:rsidRPr="001A3D2B">
        <w:t xml:space="preserve">, </w:t>
      </w:r>
      <w:r w:rsidRPr="001A3D2B">
        <w:rPr>
          <w:b/>
          <w:bCs/>
        </w:rPr>
        <w:t>20</w:t>
      </w:r>
      <w:r w:rsidRPr="001A3D2B">
        <w:t>, 7-17.</w:t>
      </w:r>
    </w:p>
    <w:p w:rsidR="000B075C" w:rsidRPr="001A3D2B" w:rsidRDefault="000B075C" w:rsidP="000B075C">
      <w:pPr>
        <w:pStyle w:val="a3"/>
      </w:pPr>
      <w:r>
        <w:rPr>
          <w:rFonts w:hint="eastAsia"/>
        </w:rPr>
        <w:t xml:space="preserve">Abstract: </w:t>
      </w:r>
      <w:r>
        <w:t>This essay examines</w:t>
      </w:r>
      <w:r w:rsidR="003A1917">
        <w:t xml:space="preserve"> the </w:t>
      </w:r>
      <w:r>
        <w:t>52 most highly cited papers</w:t>
      </w:r>
      <w:r w:rsidR="005853A9">
        <w:t xml:space="preserve"> and </w:t>
      </w:r>
      <w:r>
        <w:t>books in</w:t>
      </w:r>
      <w:r w:rsidR="003A1917">
        <w:t xml:space="preserve"> the </w:t>
      </w:r>
      <w:r>
        <w:t>physical sciences, 1945-1954,</w:t>
      </w:r>
      <w:r>
        <w:rPr>
          <w:rFonts w:hint="eastAsia"/>
        </w:rPr>
        <w:t xml:space="preserve"> </w:t>
      </w:r>
      <w:r>
        <w:t>based on</w:t>
      </w:r>
      <w:r w:rsidR="003A1917">
        <w:t xml:space="preserve"> the </w:t>
      </w:r>
      <w:r>
        <w:t>Science Citation</w:t>
      </w:r>
      <w:r>
        <w:rPr>
          <w:rFonts w:hint="eastAsia"/>
        </w:rPr>
        <w:t xml:space="preserve"> </w:t>
      </w:r>
      <w:r>
        <w:t xml:space="preserve">Index </w:t>
      </w:r>
      <w:r w:rsidRPr="000046DA">
        <w:t>cumulatio</w:t>
      </w:r>
      <w:r>
        <w:rPr>
          <w:rFonts w:hint="eastAsia"/>
        </w:rPr>
        <w:t xml:space="preserve">n </w:t>
      </w:r>
      <w:r>
        <w:t>for that decade. It discusses</w:t>
      </w:r>
      <w:r>
        <w:rPr>
          <w:rFonts w:hint="eastAsia"/>
        </w:rPr>
        <w:t xml:space="preserve"> some</w:t>
      </w:r>
      <w:r w:rsidR="00427468">
        <w:rPr>
          <w:rFonts w:hint="eastAsia"/>
        </w:rPr>
        <w:t xml:space="preserve"> of </w:t>
      </w:r>
      <w:r w:rsidR="003A1917">
        <w:rPr>
          <w:rFonts w:hint="eastAsia"/>
        </w:rPr>
        <w:t xml:space="preserve">the </w:t>
      </w:r>
      <w:r>
        <w:t>major trends,</w:t>
      </w:r>
      <w:r>
        <w:rPr>
          <w:rFonts w:hint="eastAsia"/>
        </w:rPr>
        <w:t xml:space="preserve"> </w:t>
      </w:r>
      <w:r>
        <w:t>achievements,</w:t>
      </w:r>
      <w:r w:rsidR="005853A9">
        <w:t xml:space="preserve"> and </w:t>
      </w:r>
      <w:r>
        <w:t>researchers in</w:t>
      </w:r>
      <w:r w:rsidR="003A1917">
        <w:t xml:space="preserve"> the </w:t>
      </w:r>
      <w:r>
        <w:t>physica</w:t>
      </w:r>
      <w:r>
        <w:rPr>
          <w:rFonts w:hint="eastAsia"/>
        </w:rPr>
        <w:t>l</w:t>
      </w:r>
      <w:r>
        <w:t xml:space="preserve"> sciences in</w:t>
      </w:r>
      <w:r w:rsidR="003A1917">
        <w:t xml:space="preserve"> the </w:t>
      </w:r>
      <w:r>
        <w:t>period including World War II. Comparisons</w:t>
      </w:r>
      <w:r>
        <w:rPr>
          <w:rFonts w:hint="eastAsia"/>
        </w:rPr>
        <w:t xml:space="preserve"> </w:t>
      </w:r>
      <w:r>
        <w:t>are made between citation frequency</w:t>
      </w:r>
      <w:r w:rsidR="005853A9">
        <w:t xml:space="preserve"> and </w:t>
      </w:r>
      <w:r>
        <w:t>other measures</w:t>
      </w:r>
      <w:r w:rsidR="00427468">
        <w:t xml:space="preserve"> of </w:t>
      </w:r>
      <w:r>
        <w:t>importance, such as Nobel Prizes</w:t>
      </w:r>
      <w:r w:rsidR="005853A9">
        <w:rPr>
          <w:rFonts w:hint="eastAsia"/>
        </w:rPr>
        <w:t xml:space="preserve"> and </w:t>
      </w:r>
      <w:r>
        <w:t>judgments by historians</w:t>
      </w:r>
      <w:r w:rsidR="00427468">
        <w:t xml:space="preserve"> of </w:t>
      </w:r>
      <w:r>
        <w:t>science. Virtually</w:t>
      </w:r>
      <w:r>
        <w:rPr>
          <w:rFonts w:hint="eastAsia"/>
        </w:rPr>
        <w:t xml:space="preserve"> </w:t>
      </w:r>
      <w:r>
        <w:t>a</w:t>
      </w:r>
      <w:r>
        <w:rPr>
          <w:rFonts w:hint="eastAsia"/>
        </w:rPr>
        <w:t>l</w:t>
      </w:r>
      <w:r>
        <w:t>l</w:t>
      </w:r>
      <w:r w:rsidR="00427468">
        <w:t xml:space="preserve"> of </w:t>
      </w:r>
      <w:r w:rsidR="003A1917">
        <w:t xml:space="preserve">the </w:t>
      </w:r>
      <w:r>
        <w:t>52 most-cited</w:t>
      </w:r>
      <w:r>
        <w:rPr>
          <w:rFonts w:hint="eastAsia"/>
        </w:rPr>
        <w:t xml:space="preserve"> </w:t>
      </w:r>
      <w:r>
        <w:t>physic</w:t>
      </w:r>
      <w:r>
        <w:rPr>
          <w:rFonts w:hint="eastAsia"/>
        </w:rPr>
        <w:t>al</w:t>
      </w:r>
      <w:r>
        <w:t>-sciences</w:t>
      </w:r>
      <w:r>
        <w:rPr>
          <w:rFonts w:hint="eastAsia"/>
        </w:rPr>
        <w:t xml:space="preserve"> </w:t>
      </w:r>
      <w:r>
        <w:t>publications</w:t>
      </w:r>
      <w:r>
        <w:rPr>
          <w:rFonts w:hint="eastAsia"/>
        </w:rPr>
        <w:t xml:space="preserve"> </w:t>
      </w:r>
      <w:r>
        <w:t>presented</w:t>
      </w:r>
      <w:r>
        <w:rPr>
          <w:rFonts w:hint="eastAsia"/>
        </w:rPr>
        <w:t xml:space="preserve"> </w:t>
      </w:r>
      <w:r>
        <w:t>in</w:t>
      </w:r>
      <w:r w:rsidR="003A1917">
        <w:rPr>
          <w:rFonts w:hint="eastAsia"/>
        </w:rPr>
        <w:t xml:space="preserve"> the </w:t>
      </w:r>
      <w:r>
        <w:t>Bibliography at</w:t>
      </w:r>
      <w:r w:rsidR="003A1917">
        <w:t xml:space="preserve"> the </w:t>
      </w:r>
      <w:r>
        <w:t>end</w:t>
      </w:r>
      <w:r w:rsidR="00427468">
        <w:t xml:space="preserve"> of </w:t>
      </w:r>
      <w:r>
        <w:t xml:space="preserve">this essay are in physics or chemistry. </w:t>
      </w:r>
      <w:r>
        <w:rPr>
          <w:rFonts w:hint="eastAsia"/>
        </w:rPr>
        <w:t>Smaller</w:t>
      </w:r>
      <w:r>
        <w:t xml:space="preserve"> fields</w:t>
      </w:r>
      <w:r>
        <w:rPr>
          <w:rFonts w:hint="eastAsia"/>
        </w:rPr>
        <w:t xml:space="preserve"> </w:t>
      </w:r>
      <w:r>
        <w:t>with lower citation frequencies, such as mathematics, geosciences,</w:t>
      </w:r>
      <w:r w:rsidR="005853A9">
        <w:t xml:space="preserve"> and </w:t>
      </w:r>
      <w:r>
        <w:t>astronomy/astrophysics, are</w:t>
      </w:r>
      <w:r>
        <w:rPr>
          <w:rFonts w:hint="eastAsia"/>
        </w:rPr>
        <w:t xml:space="preserve"> </w:t>
      </w:r>
      <w:r>
        <w:t>not well represented. In Part 2, we will identify</w:t>
      </w:r>
      <w:r w:rsidR="005853A9">
        <w:t xml:space="preserve"> and </w:t>
      </w:r>
      <w:r>
        <w:t>discuss high-impact works from these fields.</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Garfield, E. (1990</w:t>
      </w:r>
      <w:r w:rsidR="00F42EAC">
        <w:t>), The</w:t>
      </w:r>
      <w:r w:rsidR="003A1917">
        <w:t xml:space="preserve"> </w:t>
      </w:r>
      <w:r w:rsidRPr="001A3D2B">
        <w:t>Russians are coming. 2</w:t>
      </w:r>
      <w:r w:rsidR="00A37C1D">
        <w:t>. The</w:t>
      </w:r>
      <w:r w:rsidR="003A1917">
        <w:t xml:space="preserve"> </w:t>
      </w:r>
      <w:r w:rsidRPr="001A3D2B">
        <w:t>top 50 soviet papers most cited in</w:t>
      </w:r>
      <w:r w:rsidR="003A1917">
        <w:t xml:space="preserve"> the </w:t>
      </w:r>
      <w:r w:rsidRPr="001A3D2B">
        <w:t>1973-1988 Science Citation Index</w:t>
      </w:r>
      <w:r w:rsidR="005853A9">
        <w:t xml:space="preserve"> and </w:t>
      </w:r>
      <w:r w:rsidRPr="001A3D2B">
        <w:t xml:space="preserve">a look at 1988 research fronts. </w:t>
      </w:r>
      <w:r w:rsidRPr="001A3D2B">
        <w:rPr>
          <w:i/>
          <w:iCs/>
        </w:rPr>
        <w:t>Current Contents</w:t>
      </w:r>
      <w:r w:rsidRPr="001A3D2B">
        <w:t xml:space="preserve">, </w:t>
      </w:r>
      <w:r w:rsidRPr="001A3D2B">
        <w:rPr>
          <w:b/>
          <w:bCs/>
        </w:rPr>
        <w:t>25</w:t>
      </w:r>
      <w:r w:rsidRPr="001A3D2B">
        <w:t>, 3-13.</w:t>
      </w:r>
    </w:p>
    <w:p w:rsidR="003474F2" w:rsidRPr="001A3D2B" w:rsidRDefault="003474F2" w:rsidP="003474F2">
      <w:pPr>
        <w:pStyle w:val="a3"/>
      </w:pPr>
      <w:r w:rsidRPr="001A3D2B">
        <w:t>Keywords: Citation, Jun, Science Citation Index, Soviet</w:t>
      </w:r>
    </w:p>
    <w:p w:rsidR="008B638D" w:rsidRDefault="008B638D" w:rsidP="008B638D">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most-cited papers</w:t>
      </w:r>
      <w:r w:rsidR="00427468">
        <w:rPr>
          <w:kern w:val="0"/>
        </w:rPr>
        <w:t xml:space="preserve"> of </w:t>
      </w:r>
      <w:r>
        <w:rPr>
          <w:kern w:val="0"/>
        </w:rPr>
        <w:t>all time, SCI 1945-1988. 2</w:t>
      </w:r>
      <w:r w:rsidR="00A37C1D">
        <w:rPr>
          <w:kern w:val="0"/>
        </w:rPr>
        <w:t>. The</w:t>
      </w:r>
      <w:r w:rsidR="003A1917">
        <w:rPr>
          <w:kern w:val="0"/>
        </w:rPr>
        <w:t xml:space="preserve"> </w:t>
      </w:r>
      <w:r>
        <w:rPr>
          <w:kern w:val="0"/>
        </w:rPr>
        <w:t xml:space="preserve">2nd 100 citation classics. </w:t>
      </w:r>
      <w:r>
        <w:rPr>
          <w:i/>
          <w:iCs/>
          <w:kern w:val="0"/>
        </w:rPr>
        <w:t>Current Contents</w:t>
      </w:r>
      <w:r>
        <w:rPr>
          <w:kern w:val="0"/>
        </w:rPr>
        <w:t xml:space="preserve">, </w:t>
      </w:r>
      <w:r>
        <w:rPr>
          <w:b/>
          <w:bCs/>
          <w:kern w:val="0"/>
        </w:rPr>
        <w:t>26</w:t>
      </w:r>
      <w:r>
        <w:rPr>
          <w:kern w:val="0"/>
        </w:rPr>
        <w:t>, 5-17</w:t>
      </w:r>
      <w:r>
        <w:rPr>
          <w:rFonts w:hint="eastAsia"/>
          <w:kern w:val="0"/>
        </w:rPr>
        <w:t>.</w:t>
      </w:r>
    </w:p>
    <w:p w:rsidR="008B638D" w:rsidRDefault="008B638D" w:rsidP="008B638D">
      <w:pPr>
        <w:pStyle w:val="a3"/>
        <w:rPr>
          <w:kern w:val="0"/>
        </w:rPr>
      </w:pPr>
      <w:r>
        <w:rPr>
          <w:kern w:val="0"/>
        </w:rPr>
        <w:t>Keywords: Citation, Time</w:t>
      </w:r>
    </w:p>
    <w:p w:rsidR="008B638D" w:rsidRDefault="008B638D" w:rsidP="008B638D">
      <w:pPr>
        <w:pStyle w:val="a3"/>
        <w:rPr>
          <w:kern w:val="0"/>
        </w:rPr>
      </w:pPr>
      <w:r>
        <w:rPr>
          <w:rFonts w:hint="eastAsia"/>
          <w:kern w:val="0"/>
        </w:rPr>
        <w:t xml:space="preserve">? </w:t>
      </w:r>
      <w:r>
        <w:rPr>
          <w:kern w:val="0"/>
        </w:rPr>
        <w:t>Garfield, E. (1990), A tribute to cold-spring-harbor-laboratory on its 100th birthday - Witkowski,</w:t>
      </w:r>
      <w:r>
        <w:rPr>
          <w:rFonts w:hint="eastAsia"/>
          <w:kern w:val="0"/>
        </w:rPr>
        <w:t xml:space="preserve"> </w:t>
      </w:r>
      <w:r>
        <w:rPr>
          <w:kern w:val="0"/>
        </w:rPr>
        <w:t>Jan,</w:t>
      </w:r>
      <w:r>
        <w:rPr>
          <w:rFonts w:hint="eastAsia"/>
          <w:kern w:val="0"/>
        </w:rPr>
        <w:t xml:space="preserve"> </w:t>
      </w:r>
      <w:r>
        <w:rPr>
          <w:kern w:val="0"/>
        </w:rPr>
        <w:t>A. reviews its history</w:t>
      </w:r>
      <w:r w:rsidR="005853A9">
        <w:rPr>
          <w:kern w:val="0"/>
        </w:rPr>
        <w:t xml:space="preserve"> and </w:t>
      </w:r>
      <w:r w:rsidR="003A1917">
        <w:rPr>
          <w:kern w:val="0"/>
        </w:rPr>
        <w:t xml:space="preserve">the </w:t>
      </w:r>
      <w:r>
        <w:rPr>
          <w:kern w:val="0"/>
        </w:rPr>
        <w:t xml:space="preserve">highest impact symposia publications </w:t>
      </w:r>
      <w:r>
        <w:rPr>
          <w:kern w:val="0"/>
        </w:rPr>
        <w:lastRenderedPageBreak/>
        <w:t>- an introduction to</w:t>
      </w:r>
      <w:r w:rsidR="003A1917">
        <w:rPr>
          <w:kern w:val="0"/>
        </w:rPr>
        <w:t xml:space="preserve"> the </w:t>
      </w:r>
      <w:r>
        <w:rPr>
          <w:kern w:val="0"/>
        </w:rPr>
        <w:t>51 most-cited articles in</w:t>
      </w:r>
      <w:r w:rsidR="003A1917">
        <w:rPr>
          <w:kern w:val="0"/>
        </w:rPr>
        <w:t xml:space="preserve"> the </w:t>
      </w:r>
      <w:r>
        <w:rPr>
          <w:kern w:val="0"/>
        </w:rPr>
        <w:t xml:space="preserve">cold-spring-harbor-symposia-on-quantitative-biology. </w:t>
      </w:r>
      <w:r>
        <w:rPr>
          <w:i/>
          <w:iCs/>
          <w:kern w:val="0"/>
        </w:rPr>
        <w:t>Current Contents</w:t>
      </w:r>
      <w:r>
        <w:rPr>
          <w:kern w:val="0"/>
        </w:rPr>
        <w:t xml:space="preserve">, </w:t>
      </w:r>
      <w:r>
        <w:rPr>
          <w:b/>
          <w:bCs/>
          <w:kern w:val="0"/>
        </w:rPr>
        <w:t>28</w:t>
      </w:r>
      <w:r>
        <w:rPr>
          <w:kern w:val="0"/>
        </w:rPr>
        <w:t>, 5-7</w:t>
      </w:r>
      <w:r>
        <w:rPr>
          <w:rFonts w:hint="eastAsia"/>
          <w:kern w:val="0"/>
        </w:rPr>
        <w:t>.</w:t>
      </w:r>
    </w:p>
    <w:p w:rsidR="008B638D" w:rsidRDefault="008B638D" w:rsidP="008B638D">
      <w:pPr>
        <w:pStyle w:val="a3"/>
        <w:rPr>
          <w:kern w:val="0"/>
        </w:rPr>
      </w:pPr>
      <w:r>
        <w:rPr>
          <w:kern w:val="0"/>
        </w:rPr>
        <w:t>Keywords: Articles, History, Impact, Publications</w:t>
      </w:r>
    </w:p>
    <w:p w:rsidR="008B638D" w:rsidRDefault="008B638D" w:rsidP="008B638D">
      <w:pPr>
        <w:pStyle w:val="a3"/>
        <w:rPr>
          <w:kern w:val="0"/>
        </w:rPr>
      </w:pPr>
      <w:r>
        <w:rPr>
          <w:rFonts w:hint="eastAsia"/>
          <w:kern w:val="0"/>
        </w:rPr>
        <w:t xml:space="preserve">? </w:t>
      </w:r>
      <w:r>
        <w:rPr>
          <w:kern w:val="0"/>
        </w:rPr>
        <w:t>Witkowski, J.A. (1990</w:t>
      </w:r>
      <w:r w:rsidR="00F42EAC">
        <w:rPr>
          <w:kern w:val="0"/>
        </w:rPr>
        <w:t>), The</w:t>
      </w:r>
      <w:r w:rsidR="003A1917">
        <w:rPr>
          <w:kern w:val="0"/>
        </w:rPr>
        <w:t xml:space="preserve"> </w:t>
      </w:r>
      <w:r>
        <w:rPr>
          <w:kern w:val="0"/>
        </w:rPr>
        <w:t>51 most-cited articles in</w:t>
      </w:r>
      <w:r w:rsidR="003A1917">
        <w:rPr>
          <w:kern w:val="0"/>
        </w:rPr>
        <w:t xml:space="preserve"> the </w:t>
      </w:r>
      <w:r>
        <w:rPr>
          <w:kern w:val="0"/>
        </w:rPr>
        <w:t xml:space="preserve">cold-spring-harbor-symposia-on-quantitative-biology. </w:t>
      </w:r>
      <w:r>
        <w:rPr>
          <w:i/>
          <w:iCs/>
          <w:kern w:val="0"/>
        </w:rPr>
        <w:t>Current Contents</w:t>
      </w:r>
      <w:r>
        <w:rPr>
          <w:kern w:val="0"/>
        </w:rPr>
        <w:t xml:space="preserve">, </w:t>
      </w:r>
      <w:r>
        <w:rPr>
          <w:b/>
          <w:bCs/>
          <w:kern w:val="0"/>
        </w:rPr>
        <w:t>28</w:t>
      </w:r>
      <w:r>
        <w:rPr>
          <w:kern w:val="0"/>
        </w:rPr>
        <w:t>, 7-17</w:t>
      </w:r>
      <w:r>
        <w:rPr>
          <w:rFonts w:hint="eastAsia"/>
          <w:kern w:val="0"/>
        </w:rPr>
        <w:t>.</w:t>
      </w:r>
    </w:p>
    <w:p w:rsidR="008B638D" w:rsidRDefault="008B638D" w:rsidP="008B638D">
      <w:pPr>
        <w:pStyle w:val="a3"/>
        <w:rPr>
          <w:kern w:val="0"/>
        </w:rPr>
      </w:pPr>
      <w:r>
        <w:rPr>
          <w:kern w:val="0"/>
        </w:rPr>
        <w:t>Keywords: Articles</w:t>
      </w:r>
    </w:p>
    <w:p w:rsidR="00814D80" w:rsidRPr="001A3D2B" w:rsidRDefault="00814D80" w:rsidP="00814D80">
      <w:pPr>
        <w:pStyle w:val="a3"/>
      </w:pPr>
      <w:r w:rsidRPr="001A3D2B">
        <w:t xml:space="preserve">? Garfield, E. (1990), </w:t>
      </w:r>
      <w:r w:rsidRPr="009274D0">
        <w:rPr>
          <w:i/>
        </w:rPr>
        <w:t>KeyWords Plus</w:t>
      </w:r>
      <w:r>
        <w:rPr>
          <w:rFonts w:hint="eastAsia"/>
          <w:szCs w:val="19"/>
        </w:rPr>
        <w:t>:</w:t>
      </w:r>
      <w:r w:rsidRPr="001A3D2B">
        <w:rPr>
          <w:szCs w:val="19"/>
        </w:rPr>
        <w:t xml:space="preserve"> ISI</w:t>
      </w:r>
      <w:r w:rsidR="0071223E">
        <w:rPr>
          <w:szCs w:val="19"/>
        </w:rPr>
        <w:t>’</w:t>
      </w:r>
      <w:r>
        <w:rPr>
          <w:rFonts w:hint="eastAsia"/>
          <w:szCs w:val="19"/>
        </w:rPr>
        <w:t>s</w:t>
      </w:r>
      <w:r w:rsidRPr="001A3D2B">
        <w:rPr>
          <w:szCs w:val="19"/>
        </w:rPr>
        <w:t xml:space="preserve"> breakthrough retrieval method. </w:t>
      </w:r>
      <w:r>
        <w:rPr>
          <w:rFonts w:hint="eastAsia"/>
          <w:szCs w:val="19"/>
        </w:rPr>
        <w:t xml:space="preserve">Part </w:t>
      </w:r>
      <w:r w:rsidRPr="001A3D2B">
        <w:rPr>
          <w:szCs w:val="19"/>
        </w:rPr>
        <w:t xml:space="preserve">1. Expanding your searching power on </w:t>
      </w:r>
      <w:r w:rsidRPr="00814D80">
        <w:rPr>
          <w:i/>
          <w:szCs w:val="19"/>
        </w:rPr>
        <w:t>Current Contents on Diskette</w:t>
      </w:r>
      <w:r w:rsidRPr="001A3D2B">
        <w:t xml:space="preserve">. </w:t>
      </w:r>
      <w:r w:rsidRPr="001A3D2B">
        <w:rPr>
          <w:i/>
          <w:iCs/>
        </w:rPr>
        <w:t>Current Contents</w:t>
      </w:r>
      <w:r w:rsidRPr="001A3D2B">
        <w:t xml:space="preserve">, </w:t>
      </w:r>
      <w:r w:rsidRPr="001A3D2B">
        <w:rPr>
          <w:b/>
          <w:bCs/>
        </w:rPr>
        <w:t>32</w:t>
      </w:r>
      <w:r w:rsidRPr="001A3D2B">
        <w:t xml:space="preserve">, </w:t>
      </w:r>
      <w:r w:rsidRPr="001A3D2B">
        <w:rPr>
          <w:szCs w:val="19"/>
        </w:rPr>
        <w:t>5-9</w:t>
      </w:r>
      <w:r w:rsidRPr="001A3D2B">
        <w:t>.</w:t>
      </w:r>
    </w:p>
    <w:p w:rsidR="00814D80" w:rsidRPr="00C73C58" w:rsidRDefault="00814D80" w:rsidP="00814D80">
      <w:pPr>
        <w:pStyle w:val="a3"/>
      </w:pPr>
      <w:r w:rsidRPr="00C73C58">
        <w:t xml:space="preserve">Full Text: </w:t>
      </w:r>
      <w:hyperlink r:id="rId1104" w:history="1">
        <w:r w:rsidRPr="00C73C58">
          <w:rPr>
            <w:rStyle w:val="a5"/>
          </w:rPr>
          <w:t>1990\Cur Con32, 5.pdf</w:t>
        </w:r>
      </w:hyperlink>
    </w:p>
    <w:p w:rsidR="00814D80" w:rsidRPr="00C73C58" w:rsidRDefault="00814D80" w:rsidP="00814D80">
      <w:pPr>
        <w:pStyle w:val="a3"/>
      </w:pPr>
      <w:r w:rsidRPr="00C73C58">
        <w:t xml:space="preserve">? Garfield, E. (1990), </w:t>
      </w:r>
      <w:r w:rsidRPr="009274D0">
        <w:rPr>
          <w:i/>
        </w:rPr>
        <w:t>KeyWords Plus</w:t>
      </w:r>
      <w:r w:rsidRPr="00C73C58">
        <w:t xml:space="preserve"> takes you beyond title words. </w:t>
      </w:r>
      <w:r>
        <w:rPr>
          <w:rFonts w:hint="eastAsia"/>
        </w:rPr>
        <w:t xml:space="preserve">Part </w:t>
      </w:r>
      <w:r w:rsidRPr="00C73C58">
        <w:t xml:space="preserve">2. Expanded journal coverage for </w:t>
      </w:r>
      <w:r w:rsidRPr="00814D80">
        <w:rPr>
          <w:i/>
          <w:szCs w:val="19"/>
        </w:rPr>
        <w:t>Current Contents on Diskette</w:t>
      </w:r>
      <w:r w:rsidRPr="00C73C58">
        <w:t>, includes social</w:t>
      </w:r>
      <w:r w:rsidR="005853A9">
        <w:t xml:space="preserve"> and </w:t>
      </w:r>
      <w:r w:rsidRPr="00C73C58">
        <w:t xml:space="preserve">behavioral sciences. </w:t>
      </w:r>
      <w:r w:rsidRPr="00C73C58">
        <w:rPr>
          <w:i/>
          <w:iCs/>
        </w:rPr>
        <w:t>Current Contents</w:t>
      </w:r>
      <w:r w:rsidRPr="00C73C58">
        <w:t xml:space="preserve">, </w:t>
      </w:r>
      <w:r w:rsidRPr="00C73C58">
        <w:rPr>
          <w:b/>
          <w:bCs/>
        </w:rPr>
        <w:t>33</w:t>
      </w:r>
      <w:r w:rsidRPr="00C73C58">
        <w:t xml:space="preserve">, </w:t>
      </w:r>
      <w:r w:rsidRPr="00C73C58">
        <w:rPr>
          <w:szCs w:val="19"/>
        </w:rPr>
        <w:t>5-9</w:t>
      </w:r>
      <w:r w:rsidRPr="00C73C58">
        <w:t>.</w:t>
      </w:r>
    </w:p>
    <w:p w:rsidR="003474F2" w:rsidRPr="001A3D2B" w:rsidRDefault="003474F2" w:rsidP="003474F2">
      <w:pPr>
        <w:pStyle w:val="a3"/>
      </w:pPr>
      <w:r w:rsidRPr="001A3D2B">
        <w:t xml:space="preserve">Full Text: </w:t>
      </w:r>
      <w:hyperlink r:id="rId1105" w:history="1">
        <w:r w:rsidRPr="001A3D2B">
          <w:rPr>
            <w:rStyle w:val="a5"/>
          </w:rPr>
          <w:t>1990\Cur Con33, 5.pdf</w:t>
        </w:r>
      </w:hyperlink>
    </w:p>
    <w:p w:rsidR="008B638D" w:rsidRDefault="008B638D" w:rsidP="008B638D">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most-cited papers</w:t>
      </w:r>
      <w:r w:rsidR="00427468">
        <w:rPr>
          <w:kern w:val="0"/>
        </w:rPr>
        <w:t xml:space="preserve"> of </w:t>
      </w:r>
      <w:r>
        <w:rPr>
          <w:kern w:val="0"/>
        </w:rPr>
        <w:t>all time, SCI 1945-1988. 3. Another 100 from</w:t>
      </w:r>
      <w:r w:rsidR="003A1917">
        <w:rPr>
          <w:kern w:val="0"/>
        </w:rPr>
        <w:t xml:space="preserve"> the </w:t>
      </w:r>
      <w:r>
        <w:rPr>
          <w:kern w:val="0"/>
        </w:rPr>
        <w:t>citation-classics hall</w:t>
      </w:r>
      <w:r w:rsidR="00434900">
        <w:rPr>
          <w:kern w:val="0"/>
        </w:rPr>
        <w:t>-of-</w:t>
      </w:r>
      <w:r>
        <w:rPr>
          <w:kern w:val="0"/>
        </w:rPr>
        <w:t xml:space="preserve">fame. </w:t>
      </w:r>
      <w:r>
        <w:rPr>
          <w:i/>
          <w:iCs/>
          <w:kern w:val="0"/>
        </w:rPr>
        <w:t>Current Contents</w:t>
      </w:r>
      <w:r>
        <w:rPr>
          <w:kern w:val="0"/>
        </w:rPr>
        <w:t xml:space="preserve">, </w:t>
      </w:r>
      <w:r>
        <w:rPr>
          <w:b/>
          <w:bCs/>
          <w:kern w:val="0"/>
        </w:rPr>
        <w:t>34</w:t>
      </w:r>
      <w:r>
        <w:rPr>
          <w:kern w:val="0"/>
        </w:rPr>
        <w:t>, 3-13</w:t>
      </w:r>
      <w:r>
        <w:rPr>
          <w:rFonts w:hint="eastAsia"/>
          <w:kern w:val="0"/>
        </w:rPr>
        <w:t>.</w:t>
      </w:r>
    </w:p>
    <w:p w:rsidR="008B638D" w:rsidRDefault="008B638D" w:rsidP="008B638D">
      <w:pPr>
        <w:pStyle w:val="a3"/>
        <w:rPr>
          <w:kern w:val="0"/>
        </w:rPr>
      </w:pPr>
      <w:r>
        <w:rPr>
          <w:kern w:val="0"/>
        </w:rPr>
        <w:t>Keywords: Time</w:t>
      </w:r>
    </w:p>
    <w:p w:rsidR="00124FC2" w:rsidRPr="001A3D2B" w:rsidRDefault="00124FC2" w:rsidP="00124FC2">
      <w:pPr>
        <w:pStyle w:val="a3"/>
        <w:rPr>
          <w:kern w:val="0"/>
        </w:rPr>
      </w:pPr>
      <w:r w:rsidRPr="001A3D2B">
        <w:rPr>
          <w:kern w:val="0"/>
        </w:rPr>
        <w:t>? Garfield, E. (1990), Journal citation studies. 52</w:t>
      </w:r>
      <w:r w:rsidR="00A37C1D">
        <w:rPr>
          <w:kern w:val="0"/>
        </w:rPr>
        <w:t>. The</w:t>
      </w:r>
      <w:r w:rsidR="003A1917">
        <w:rPr>
          <w:kern w:val="0"/>
        </w:rPr>
        <w:t xml:space="preserve"> </w:t>
      </w:r>
      <w:r w:rsidRPr="001A3D2B">
        <w:rPr>
          <w:kern w:val="0"/>
        </w:rPr>
        <w:t>multifaceted structure</w:t>
      </w:r>
      <w:r w:rsidR="00427468">
        <w:rPr>
          <w:kern w:val="0"/>
        </w:rPr>
        <w:t xml:space="preserve"> of </w:t>
      </w:r>
      <w:r w:rsidRPr="001A3D2B">
        <w:rPr>
          <w:kern w:val="0"/>
        </w:rPr>
        <w:t xml:space="preserve">crystallography research. </w:t>
      </w:r>
      <w:r w:rsidR="000A49C1">
        <w:rPr>
          <w:rFonts w:hint="eastAsia"/>
          <w:kern w:val="0"/>
        </w:rPr>
        <w:t xml:space="preserve">Part </w:t>
      </w:r>
      <w:r w:rsidRPr="001A3D2B">
        <w:rPr>
          <w:kern w:val="0"/>
        </w:rPr>
        <w:t>1. Core journals, high-impact papers,</w:t>
      </w:r>
      <w:r w:rsidR="005853A9">
        <w:rPr>
          <w:kern w:val="0"/>
        </w:rPr>
        <w:t xml:space="preserve"> and </w:t>
      </w:r>
      <w:r w:rsidRPr="001A3D2B">
        <w:rPr>
          <w:kern w:val="0"/>
        </w:rPr>
        <w:t xml:space="preserve">current research fronts. </w:t>
      </w:r>
      <w:r w:rsidRPr="001A3D2B">
        <w:rPr>
          <w:i/>
          <w:iCs/>
          <w:kern w:val="0"/>
        </w:rPr>
        <w:t>Current Contents</w:t>
      </w:r>
      <w:r w:rsidRPr="001A3D2B">
        <w:rPr>
          <w:kern w:val="0"/>
        </w:rPr>
        <w:t xml:space="preserve">, </w:t>
      </w:r>
      <w:r w:rsidRPr="001A3D2B">
        <w:rPr>
          <w:b/>
          <w:bCs/>
          <w:kern w:val="0"/>
        </w:rPr>
        <w:t>36</w:t>
      </w:r>
      <w:r w:rsidRPr="001A3D2B">
        <w:rPr>
          <w:kern w:val="0"/>
        </w:rPr>
        <w:t>, 5-6.</w:t>
      </w:r>
    </w:p>
    <w:p w:rsidR="003757F1" w:rsidRPr="001A3D2B" w:rsidRDefault="003757F1" w:rsidP="003757F1">
      <w:pPr>
        <w:pStyle w:val="a3"/>
        <w:rPr>
          <w:kern w:val="0"/>
        </w:rPr>
      </w:pPr>
      <w:r w:rsidRPr="001A3D2B">
        <w:rPr>
          <w:kern w:val="0"/>
        </w:rPr>
        <w:t xml:space="preserve">? Garfield, E. (1990), </w:t>
      </w:r>
      <w:r w:rsidRPr="001A3D2B">
        <w:rPr>
          <w:kern w:val="0"/>
          <w:szCs w:val="24"/>
        </w:rPr>
        <w:t>Journal citation studies. 52</w:t>
      </w:r>
      <w:r w:rsidR="00A37C1D">
        <w:rPr>
          <w:kern w:val="0"/>
          <w:szCs w:val="24"/>
        </w:rPr>
        <w:t>. The</w:t>
      </w:r>
      <w:r w:rsidR="003A1917">
        <w:rPr>
          <w:kern w:val="0"/>
          <w:szCs w:val="24"/>
        </w:rPr>
        <w:t xml:space="preserve"> </w:t>
      </w:r>
      <w:r w:rsidRPr="001A3D2B">
        <w:rPr>
          <w:kern w:val="0"/>
          <w:szCs w:val="24"/>
        </w:rPr>
        <w:t>multifaceted structure</w:t>
      </w:r>
      <w:r w:rsidR="00427468">
        <w:rPr>
          <w:kern w:val="0"/>
          <w:szCs w:val="24"/>
        </w:rPr>
        <w:t xml:space="preserve"> of </w:t>
      </w:r>
      <w:r w:rsidRPr="001A3D2B">
        <w:rPr>
          <w:kern w:val="0"/>
          <w:szCs w:val="24"/>
        </w:rPr>
        <w:t>crystallography research. Part 2. A global perspective</w:t>
      </w:r>
      <w:r w:rsidRPr="001A3D2B">
        <w:rPr>
          <w:kern w:val="0"/>
        </w:rPr>
        <w:t xml:space="preserve">. </w:t>
      </w:r>
      <w:r w:rsidRPr="001A3D2B">
        <w:rPr>
          <w:i/>
          <w:iCs/>
          <w:kern w:val="0"/>
        </w:rPr>
        <w:t>Current Contents</w:t>
      </w:r>
      <w:r w:rsidRPr="001A3D2B">
        <w:rPr>
          <w:kern w:val="0"/>
        </w:rPr>
        <w:t xml:space="preserve">, </w:t>
      </w:r>
      <w:r w:rsidRPr="001A3D2B">
        <w:rPr>
          <w:b/>
          <w:bCs/>
          <w:kern w:val="0"/>
        </w:rPr>
        <w:t>37</w:t>
      </w:r>
      <w:r w:rsidRPr="001A3D2B">
        <w:rPr>
          <w:kern w:val="0"/>
        </w:rPr>
        <w:t>, 5.</w:t>
      </w:r>
    </w:p>
    <w:p w:rsidR="003757F1" w:rsidRPr="001A3D2B" w:rsidRDefault="003757F1" w:rsidP="003757F1">
      <w:pPr>
        <w:pStyle w:val="a3"/>
      </w:pPr>
      <w:r w:rsidRPr="001A3D2B">
        <w:t xml:space="preserve">Full Text: </w:t>
      </w:r>
      <w:hyperlink r:id="rId1106" w:history="1">
        <w:r w:rsidRPr="001A3D2B">
          <w:rPr>
            <w:rStyle w:val="a5"/>
          </w:rPr>
          <w:t>1990\Cur Con37, 5.pdf</w:t>
        </w:r>
      </w:hyperlink>
    </w:p>
    <w:p w:rsidR="007C4AA2" w:rsidRDefault="007C4AA2" w:rsidP="007C4AA2">
      <w:pPr>
        <w:pStyle w:val="a3"/>
        <w:rPr>
          <w:kern w:val="0"/>
          <w:szCs w:val="24"/>
        </w:rPr>
      </w:pPr>
      <w:r>
        <w:rPr>
          <w:rFonts w:hint="eastAsia"/>
          <w:kern w:val="0"/>
          <w:szCs w:val="24"/>
        </w:rPr>
        <w:t xml:space="preserve">? </w:t>
      </w:r>
      <w:r>
        <w:rPr>
          <w:kern w:val="0"/>
          <w:szCs w:val="24"/>
        </w:rPr>
        <w:t>Garfield, E. (1990), Journal editors awaken to</w:t>
      </w:r>
      <w:r w:rsidR="003A1917">
        <w:rPr>
          <w:kern w:val="0"/>
          <w:szCs w:val="24"/>
        </w:rPr>
        <w:t xml:space="preserve"> the </w:t>
      </w:r>
      <w:r>
        <w:rPr>
          <w:kern w:val="0"/>
          <w:szCs w:val="24"/>
        </w:rPr>
        <w:t>impact</w:t>
      </w:r>
      <w:r w:rsidR="00427468">
        <w:rPr>
          <w:kern w:val="0"/>
          <w:szCs w:val="24"/>
        </w:rPr>
        <w:t xml:space="preserve"> of </w:t>
      </w:r>
      <w:r>
        <w:rPr>
          <w:kern w:val="0"/>
          <w:szCs w:val="24"/>
        </w:rPr>
        <w:t xml:space="preserve">citation errors - How we control them at ISI. </w:t>
      </w:r>
      <w:r>
        <w:rPr>
          <w:i/>
          <w:iCs/>
          <w:kern w:val="0"/>
          <w:szCs w:val="24"/>
        </w:rPr>
        <w:t>Current Contents</w:t>
      </w:r>
      <w:r>
        <w:rPr>
          <w:kern w:val="0"/>
          <w:szCs w:val="24"/>
        </w:rPr>
        <w:t xml:space="preserve">, </w:t>
      </w:r>
      <w:r>
        <w:rPr>
          <w:b/>
          <w:bCs/>
          <w:kern w:val="0"/>
          <w:szCs w:val="24"/>
        </w:rPr>
        <w:t>41</w:t>
      </w:r>
      <w:r>
        <w:rPr>
          <w:kern w:val="0"/>
          <w:szCs w:val="24"/>
        </w:rPr>
        <w:t>, 5-13</w:t>
      </w:r>
    </w:p>
    <w:p w:rsidR="007C4AA2" w:rsidRPr="00C73C58" w:rsidRDefault="007C4AA2" w:rsidP="007C4AA2">
      <w:pPr>
        <w:pStyle w:val="a3"/>
      </w:pPr>
      <w:r w:rsidRPr="00C73C58">
        <w:t xml:space="preserve">Full Text: </w:t>
      </w:r>
      <w:r>
        <w:t>1990\Cur Con</w:t>
      </w:r>
      <w:r>
        <w:rPr>
          <w:rFonts w:hint="eastAsia"/>
        </w:rPr>
        <w:t>41</w:t>
      </w:r>
      <w:r w:rsidRPr="002A7764">
        <w:t>, 5.pdf</w:t>
      </w:r>
    </w:p>
    <w:p w:rsidR="007C4AA2" w:rsidRDefault="007C4AA2" w:rsidP="007C4AA2">
      <w:pPr>
        <w:pStyle w:val="a3"/>
        <w:rPr>
          <w:kern w:val="0"/>
          <w:szCs w:val="24"/>
        </w:rPr>
      </w:pPr>
      <w:r>
        <w:rPr>
          <w:kern w:val="0"/>
          <w:szCs w:val="24"/>
        </w:rPr>
        <w:t>Keywords: Citation, Control, Editors, Impact, Journal</w:t>
      </w:r>
    </w:p>
    <w:p w:rsidR="003474F2" w:rsidRPr="001A3D2B" w:rsidRDefault="003474F2" w:rsidP="003474F2">
      <w:pPr>
        <w:pStyle w:val="a3"/>
      </w:pPr>
      <w:r w:rsidRPr="001A3D2B">
        <w:t>? Garfield, E. (1990</w:t>
      </w:r>
      <w:r w:rsidR="00F42EAC">
        <w:t>), The</w:t>
      </w:r>
      <w:r w:rsidR="003A1917">
        <w:t xml:space="preserve"> </w:t>
      </w:r>
      <w:r w:rsidRPr="001A3D2B">
        <w:t>most cited physical sciences publications in</w:t>
      </w:r>
      <w:r w:rsidR="003A1917">
        <w:t xml:space="preserve"> the </w:t>
      </w:r>
      <w:r w:rsidRPr="001A3D2B">
        <w:t>1945-1954 Science Citation Index. 2. 20 citation classics in mathematics - Introduction to</w:t>
      </w:r>
      <w:r w:rsidR="003A1917">
        <w:t xml:space="preserve"> the </w:t>
      </w:r>
      <w:r w:rsidRPr="001A3D2B">
        <w:t>most cited physical sciences publications in</w:t>
      </w:r>
      <w:r w:rsidR="003A1917">
        <w:t xml:space="preserve"> the </w:t>
      </w:r>
      <w:r w:rsidRPr="001A3D2B">
        <w:t xml:space="preserve">1945-1954 Science Citation Index. 2. Mathematics by Brush, Stephen, G. </w:t>
      </w:r>
      <w:r w:rsidRPr="001A3D2B">
        <w:rPr>
          <w:i/>
          <w:iCs/>
        </w:rPr>
        <w:t>Current Contents</w:t>
      </w:r>
      <w:r w:rsidRPr="001A3D2B">
        <w:t xml:space="preserve">, </w:t>
      </w:r>
      <w:r w:rsidRPr="001A3D2B">
        <w:rPr>
          <w:b/>
          <w:bCs/>
        </w:rPr>
        <w:t>42</w:t>
      </w:r>
      <w:r w:rsidRPr="001A3D2B">
        <w:t>, 3-8.</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Brush, S.G. (1990</w:t>
      </w:r>
      <w:r w:rsidR="00F42EAC">
        <w:t>), The</w:t>
      </w:r>
      <w:r w:rsidR="003A1917">
        <w:t xml:space="preserve"> </w:t>
      </w:r>
      <w:r w:rsidRPr="001A3D2B">
        <w:t>most cited physical sciences publications in</w:t>
      </w:r>
      <w:r w:rsidR="003A1917">
        <w:t xml:space="preserve"> the </w:t>
      </w:r>
      <w:r w:rsidRPr="001A3D2B">
        <w:t xml:space="preserve">1945-1954 Science Citation Index. 2. Mathematics. </w:t>
      </w:r>
      <w:r w:rsidRPr="001A3D2B">
        <w:rPr>
          <w:i/>
          <w:iCs/>
        </w:rPr>
        <w:t>Current Contents</w:t>
      </w:r>
      <w:r w:rsidRPr="001A3D2B">
        <w:t xml:space="preserve">, </w:t>
      </w:r>
      <w:r w:rsidRPr="001A3D2B">
        <w:rPr>
          <w:b/>
          <w:bCs/>
        </w:rPr>
        <w:t>42</w:t>
      </w:r>
      <w:r w:rsidRPr="001A3D2B">
        <w:t>, 8-13.</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Garfield, E. (1990</w:t>
      </w:r>
      <w:r w:rsidR="00F42EAC">
        <w:t>), The</w:t>
      </w:r>
      <w:r w:rsidR="003A1917">
        <w:t xml:space="preserve"> </w:t>
      </w:r>
      <w:r w:rsidRPr="001A3D2B">
        <w:t>most cited physical sciences publications in</w:t>
      </w:r>
      <w:r w:rsidR="003A1917">
        <w:t xml:space="preserve"> the </w:t>
      </w:r>
      <w:r w:rsidRPr="001A3D2B">
        <w:t>1945-1954 Science Citation Index. 3. 42 citation classics in astronomy</w:t>
      </w:r>
      <w:r w:rsidR="005853A9">
        <w:t xml:space="preserve"> and </w:t>
      </w:r>
      <w:r w:rsidR="003A1917">
        <w:t xml:space="preserve">the </w:t>
      </w:r>
      <w:r w:rsidRPr="001A3D2B">
        <w:t>earth sciences - An introduction to</w:t>
      </w:r>
      <w:r w:rsidR="003A1917">
        <w:t xml:space="preserve"> the </w:t>
      </w:r>
      <w:r w:rsidRPr="001A3D2B">
        <w:t>most cited physical sciences publications in</w:t>
      </w:r>
      <w:r w:rsidR="003A1917">
        <w:t xml:space="preserve"> the </w:t>
      </w:r>
      <w:r w:rsidRPr="001A3D2B">
        <w:t>1945-1954 Science Citation Index. 3. Astronomy</w:t>
      </w:r>
      <w:r w:rsidR="005853A9">
        <w:t xml:space="preserve"> and </w:t>
      </w:r>
      <w:r w:rsidRPr="001A3D2B">
        <w:t xml:space="preserve">earth sciences, by Brush, S.G. </w:t>
      </w:r>
      <w:r w:rsidRPr="001A3D2B">
        <w:rPr>
          <w:i/>
          <w:iCs/>
        </w:rPr>
        <w:t xml:space="preserve">Current </w:t>
      </w:r>
      <w:r w:rsidRPr="001A3D2B">
        <w:rPr>
          <w:i/>
          <w:iCs/>
        </w:rPr>
        <w:lastRenderedPageBreak/>
        <w:t>Contents</w:t>
      </w:r>
      <w:r w:rsidRPr="001A3D2B">
        <w:t xml:space="preserve">, </w:t>
      </w:r>
      <w:r w:rsidRPr="001A3D2B">
        <w:rPr>
          <w:b/>
          <w:bCs/>
        </w:rPr>
        <w:t>43</w:t>
      </w:r>
      <w:r w:rsidRPr="001A3D2B">
        <w:t>, 5-16.</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Brush, S.G. (1990</w:t>
      </w:r>
      <w:r w:rsidR="00F42EAC">
        <w:t>), The</w:t>
      </w:r>
      <w:r w:rsidR="003A1917">
        <w:t xml:space="preserve"> </w:t>
      </w:r>
      <w:r w:rsidRPr="001A3D2B">
        <w:t>most cited physical sciences publications in</w:t>
      </w:r>
      <w:r w:rsidR="003A1917">
        <w:t xml:space="preserve"> the </w:t>
      </w:r>
      <w:r w:rsidRPr="001A3D2B">
        <w:t>1945-1954 Science Citation Index. 3. Astronomy</w:t>
      </w:r>
      <w:r w:rsidR="005853A9">
        <w:t xml:space="preserve"> and </w:t>
      </w:r>
      <w:r w:rsidRPr="001A3D2B">
        <w:t xml:space="preserve">earth sciences. </w:t>
      </w:r>
      <w:r w:rsidRPr="001A3D2B">
        <w:rPr>
          <w:i/>
          <w:iCs/>
        </w:rPr>
        <w:t>Current Contents</w:t>
      </w:r>
      <w:r w:rsidRPr="001A3D2B">
        <w:t xml:space="preserve">, </w:t>
      </w:r>
      <w:r w:rsidRPr="001A3D2B">
        <w:rPr>
          <w:b/>
          <w:bCs/>
        </w:rPr>
        <w:t>43</w:t>
      </w:r>
      <w:r w:rsidRPr="001A3D2B">
        <w:t>, 7-16.</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Garfield, E. (1990), In honor</w:t>
      </w:r>
      <w:r w:rsidR="00427468">
        <w:t xml:space="preserve"> of </w:t>
      </w:r>
      <w:r w:rsidRPr="001A3D2B">
        <w:t>150 Years - Classic papers from</w:t>
      </w:r>
      <w:r w:rsidR="003A1917">
        <w:t xml:space="preserve"> the </w:t>
      </w:r>
      <w:r w:rsidRPr="001A3D2B">
        <w:rPr>
          <w:i/>
          <w:iCs/>
        </w:rPr>
        <w:t>British Medical Journal</w:t>
      </w:r>
      <w:r w:rsidRPr="001A3D2B">
        <w:t>, highly cited from 1945 to 1989 - Introduction to</w:t>
      </w:r>
      <w:r w:rsidR="003A1917">
        <w:t xml:space="preserve"> the </w:t>
      </w:r>
      <w:r w:rsidRPr="001A3D2B">
        <w:t>top 50 - A perspective on</w:t>
      </w:r>
      <w:r w:rsidR="003A1917">
        <w:t xml:space="preserve"> the </w:t>
      </w:r>
      <w:r w:rsidRPr="001A3D2B">
        <w:rPr>
          <w:i/>
          <w:iCs/>
        </w:rPr>
        <w:t>BMJ</w:t>
      </w:r>
      <w:r w:rsidRPr="001A3D2B">
        <w:t xml:space="preserve"> drawn from</w:t>
      </w:r>
      <w:r w:rsidR="003A1917">
        <w:t xml:space="preserve"> the </w:t>
      </w:r>
      <w:r w:rsidRPr="001A3D2B">
        <w:t xml:space="preserve">Science Citation Index (Reprinted from BMJ, Vol 301, Pg 747-751, 1990). </w:t>
      </w:r>
      <w:r w:rsidRPr="001A3D2B">
        <w:rPr>
          <w:i/>
          <w:iCs/>
        </w:rPr>
        <w:t>Current Contents</w:t>
      </w:r>
      <w:r w:rsidRPr="001A3D2B">
        <w:t xml:space="preserve">, </w:t>
      </w:r>
      <w:r w:rsidRPr="001A3D2B">
        <w:rPr>
          <w:b/>
          <w:bCs/>
        </w:rPr>
        <w:t>44</w:t>
      </w:r>
      <w:r w:rsidRPr="001A3D2B">
        <w:t>, 5-12.</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Garfield, E. (1990), Journal editors awaken to</w:t>
      </w:r>
      <w:r w:rsidR="003A1917">
        <w:t xml:space="preserve"> the </w:t>
      </w:r>
      <w:r w:rsidRPr="001A3D2B">
        <w:t>impact</w:t>
      </w:r>
      <w:r w:rsidR="00427468">
        <w:t xml:space="preserve"> of </w:t>
      </w:r>
      <w:r w:rsidRPr="001A3D2B">
        <w:t xml:space="preserve">citation errors: How we control them at ISI. </w:t>
      </w:r>
      <w:r w:rsidRPr="001A3D2B">
        <w:rPr>
          <w:i/>
          <w:iCs/>
        </w:rPr>
        <w:t>Current Contents</w:t>
      </w:r>
      <w:r w:rsidRPr="001A3D2B">
        <w:t xml:space="preserve">, </w:t>
      </w:r>
      <w:r w:rsidRPr="001A3D2B">
        <w:rPr>
          <w:b/>
          <w:bCs/>
        </w:rPr>
        <w:t>47</w:t>
      </w:r>
      <w:r w:rsidRPr="001A3D2B">
        <w:t>, 5-13.</w:t>
      </w:r>
    </w:p>
    <w:p w:rsidR="008B638D" w:rsidRDefault="008B638D" w:rsidP="008B638D">
      <w:pPr>
        <w:pStyle w:val="a3"/>
        <w:rPr>
          <w:kern w:val="0"/>
        </w:rPr>
      </w:pPr>
      <w:r>
        <w:rPr>
          <w:rFonts w:hint="eastAsia"/>
          <w:kern w:val="0"/>
        </w:rPr>
        <w:t xml:space="preserve">? </w:t>
      </w:r>
      <w:r>
        <w:rPr>
          <w:kern w:val="0"/>
        </w:rPr>
        <w:t>Garfield, E. (1990</w:t>
      </w:r>
      <w:r w:rsidR="00F42EAC">
        <w:rPr>
          <w:kern w:val="0"/>
        </w:rPr>
        <w:t>), The</w:t>
      </w:r>
      <w:r w:rsidR="003A1917">
        <w:rPr>
          <w:kern w:val="0"/>
        </w:rPr>
        <w:t xml:space="preserve"> </w:t>
      </w:r>
      <w:r>
        <w:rPr>
          <w:kern w:val="0"/>
        </w:rPr>
        <w:t>1988 life-sciences articles most cited in 1988</w:t>
      </w:r>
      <w:r w:rsidR="005853A9">
        <w:rPr>
          <w:kern w:val="0"/>
        </w:rPr>
        <w:t xml:space="preserve"> and </w:t>
      </w:r>
      <w:r>
        <w:rPr>
          <w:kern w:val="0"/>
        </w:rPr>
        <w:t>1989 - an introduction to</w:t>
      </w:r>
      <w:r w:rsidR="003A1917">
        <w:rPr>
          <w:kern w:val="0"/>
        </w:rPr>
        <w:t xml:space="preserve"> the </w:t>
      </w:r>
      <w:r>
        <w:rPr>
          <w:kern w:val="0"/>
        </w:rPr>
        <w:t>most-cited 1988 life-sciences papers highlight</w:t>
      </w:r>
      <w:r w:rsidR="003A1917">
        <w:rPr>
          <w:kern w:val="0"/>
        </w:rPr>
        <w:t xml:space="preserve"> the </w:t>
      </w:r>
      <w:r>
        <w:rPr>
          <w:kern w:val="0"/>
        </w:rPr>
        <w:t>polymerase chain-reaction, cell signaling, aids</w:t>
      </w:r>
      <w:r w:rsidR="005853A9">
        <w:rPr>
          <w:kern w:val="0"/>
        </w:rPr>
        <w:t xml:space="preserve"> and </w:t>
      </w:r>
      <w:r>
        <w:rPr>
          <w:kern w:val="0"/>
        </w:rPr>
        <w:t>hiv-infection,</w:t>
      </w:r>
      <w:r w:rsidR="005853A9">
        <w:rPr>
          <w:kern w:val="0"/>
        </w:rPr>
        <w:t xml:space="preserve"> and </w:t>
      </w:r>
      <w:r>
        <w:rPr>
          <w:kern w:val="0"/>
        </w:rPr>
        <w:t>oncogenes</w:t>
      </w:r>
      <w:r w:rsidR="005853A9">
        <w:rPr>
          <w:kern w:val="0"/>
        </w:rPr>
        <w:t xml:space="preserve"> and </w:t>
      </w:r>
      <w:r w:rsidR="003A1917">
        <w:rPr>
          <w:kern w:val="0"/>
        </w:rPr>
        <w:t xml:space="preserve">the </w:t>
      </w:r>
      <w:r>
        <w:rPr>
          <w:kern w:val="0"/>
        </w:rPr>
        <w:t>molecular-basis</w:t>
      </w:r>
      <w:r w:rsidR="00427468">
        <w:rPr>
          <w:kern w:val="0"/>
        </w:rPr>
        <w:t xml:space="preserve"> of </w:t>
      </w:r>
      <w:r>
        <w:rPr>
          <w:kern w:val="0"/>
        </w:rPr>
        <w:t>cancer - reviews were very strongly represented by Dixon,</w:t>
      </w:r>
      <w:r>
        <w:rPr>
          <w:rFonts w:hint="eastAsia"/>
          <w:kern w:val="0"/>
        </w:rPr>
        <w:t xml:space="preserve"> </w:t>
      </w:r>
      <w:r>
        <w:rPr>
          <w:kern w:val="0"/>
        </w:rPr>
        <w:t xml:space="preserve">Bernard. </w:t>
      </w:r>
      <w:r>
        <w:rPr>
          <w:i/>
          <w:iCs/>
          <w:kern w:val="0"/>
        </w:rPr>
        <w:t>Current Contents</w:t>
      </w:r>
      <w:r>
        <w:rPr>
          <w:kern w:val="0"/>
        </w:rPr>
        <w:t xml:space="preserve">, </w:t>
      </w:r>
      <w:r>
        <w:rPr>
          <w:b/>
          <w:bCs/>
          <w:kern w:val="0"/>
        </w:rPr>
        <w:t>48</w:t>
      </w:r>
      <w:r>
        <w:rPr>
          <w:kern w:val="0"/>
        </w:rPr>
        <w:t>, 5-19</w:t>
      </w:r>
      <w:r>
        <w:rPr>
          <w:rFonts w:hint="eastAsia"/>
          <w:kern w:val="0"/>
        </w:rPr>
        <w:t>.</w:t>
      </w:r>
    </w:p>
    <w:p w:rsidR="008B638D" w:rsidRDefault="008B638D" w:rsidP="008B638D">
      <w:pPr>
        <w:pStyle w:val="a3"/>
        <w:rPr>
          <w:kern w:val="0"/>
        </w:rPr>
      </w:pPr>
      <w:r>
        <w:rPr>
          <w:kern w:val="0"/>
        </w:rPr>
        <w:t>Keywords: Articles</w:t>
      </w:r>
      <w:r>
        <w:rPr>
          <w:rFonts w:hint="eastAsia"/>
          <w:kern w:val="0"/>
        </w:rPr>
        <w:t xml:space="preserve">, </w:t>
      </w:r>
      <w:r>
        <w:rPr>
          <w:kern w:val="0"/>
        </w:rPr>
        <w:t>Cancer</w:t>
      </w:r>
    </w:p>
    <w:p w:rsidR="008B638D" w:rsidRDefault="008B638D" w:rsidP="008B638D">
      <w:pPr>
        <w:pStyle w:val="a3"/>
        <w:rPr>
          <w:kern w:val="0"/>
        </w:rPr>
      </w:pPr>
      <w:r>
        <w:rPr>
          <w:rFonts w:hint="eastAsia"/>
          <w:kern w:val="0"/>
        </w:rPr>
        <w:t xml:space="preserve">? </w:t>
      </w:r>
      <w:r>
        <w:rPr>
          <w:kern w:val="0"/>
        </w:rPr>
        <w:t>Dixon, B. (1990</w:t>
      </w:r>
      <w:r w:rsidR="00F42EAC">
        <w:rPr>
          <w:kern w:val="0"/>
        </w:rPr>
        <w:t>), The</w:t>
      </w:r>
      <w:r w:rsidR="003A1917">
        <w:rPr>
          <w:kern w:val="0"/>
        </w:rPr>
        <w:t xml:space="preserve"> </w:t>
      </w:r>
      <w:r>
        <w:rPr>
          <w:kern w:val="0"/>
        </w:rPr>
        <w:t>most-cited 1988 life-sciences papers highlight</w:t>
      </w:r>
      <w:r w:rsidR="003A1917">
        <w:rPr>
          <w:kern w:val="0"/>
        </w:rPr>
        <w:t xml:space="preserve"> the </w:t>
      </w:r>
      <w:r>
        <w:rPr>
          <w:kern w:val="0"/>
        </w:rPr>
        <w:t>polymerase chain-reaction, cell signaling, aids</w:t>
      </w:r>
      <w:r w:rsidR="005853A9">
        <w:rPr>
          <w:kern w:val="0"/>
        </w:rPr>
        <w:t xml:space="preserve"> and </w:t>
      </w:r>
      <w:r>
        <w:rPr>
          <w:kern w:val="0"/>
        </w:rPr>
        <w:t>HIV-infection,</w:t>
      </w:r>
      <w:r w:rsidR="005853A9">
        <w:rPr>
          <w:kern w:val="0"/>
        </w:rPr>
        <w:t xml:space="preserve"> and </w:t>
      </w:r>
      <w:r>
        <w:rPr>
          <w:kern w:val="0"/>
        </w:rPr>
        <w:t>oncogenes</w:t>
      </w:r>
      <w:r w:rsidR="005853A9">
        <w:rPr>
          <w:kern w:val="0"/>
        </w:rPr>
        <w:t xml:space="preserve"> and </w:t>
      </w:r>
      <w:r w:rsidR="003A1917">
        <w:rPr>
          <w:kern w:val="0"/>
        </w:rPr>
        <w:t xml:space="preserve">the </w:t>
      </w:r>
      <w:r>
        <w:rPr>
          <w:kern w:val="0"/>
        </w:rPr>
        <w:t>molecular-basis</w:t>
      </w:r>
      <w:r w:rsidR="00427468">
        <w:rPr>
          <w:kern w:val="0"/>
        </w:rPr>
        <w:t xml:space="preserve"> of </w:t>
      </w:r>
      <w:r>
        <w:rPr>
          <w:kern w:val="0"/>
        </w:rPr>
        <w:t xml:space="preserve">cancer - reviews were very strongly represented. </w:t>
      </w:r>
      <w:r>
        <w:rPr>
          <w:i/>
          <w:iCs/>
          <w:kern w:val="0"/>
        </w:rPr>
        <w:t>Current Contents</w:t>
      </w:r>
      <w:r>
        <w:rPr>
          <w:kern w:val="0"/>
        </w:rPr>
        <w:t xml:space="preserve">, </w:t>
      </w:r>
      <w:r>
        <w:rPr>
          <w:b/>
          <w:bCs/>
          <w:kern w:val="0"/>
        </w:rPr>
        <w:t>48</w:t>
      </w:r>
      <w:r>
        <w:rPr>
          <w:kern w:val="0"/>
        </w:rPr>
        <w:t>, 6-19</w:t>
      </w:r>
      <w:r>
        <w:rPr>
          <w:rFonts w:hint="eastAsia"/>
          <w:kern w:val="0"/>
        </w:rPr>
        <w:t>.</w:t>
      </w:r>
    </w:p>
    <w:p w:rsidR="008B638D" w:rsidRDefault="008B638D" w:rsidP="008B638D">
      <w:pPr>
        <w:pStyle w:val="a3"/>
        <w:rPr>
          <w:kern w:val="0"/>
        </w:rPr>
      </w:pPr>
      <w:r>
        <w:rPr>
          <w:kern w:val="0"/>
        </w:rPr>
        <w:t>Keywords: Cancer</w:t>
      </w:r>
    </w:p>
    <w:p w:rsidR="008B638D" w:rsidRDefault="008B638D" w:rsidP="008B638D">
      <w:pPr>
        <w:pStyle w:val="a3"/>
        <w:rPr>
          <w:kern w:val="0"/>
        </w:rPr>
      </w:pPr>
      <w:r>
        <w:rPr>
          <w:rFonts w:hint="eastAsia"/>
          <w:kern w:val="0"/>
        </w:rPr>
        <w:t xml:space="preserve">? </w:t>
      </w:r>
      <w:r>
        <w:rPr>
          <w:kern w:val="0"/>
        </w:rPr>
        <w:t>Garfield, E. (1991</w:t>
      </w:r>
      <w:r w:rsidR="00F42EAC">
        <w:rPr>
          <w:kern w:val="0"/>
        </w:rPr>
        <w:t>), The</w:t>
      </w:r>
      <w:r w:rsidR="003A1917">
        <w:rPr>
          <w:kern w:val="0"/>
        </w:rPr>
        <w:t xml:space="preserve"> </w:t>
      </w:r>
      <w:r>
        <w:rPr>
          <w:kern w:val="0"/>
        </w:rPr>
        <w:t>most-cited papers</w:t>
      </w:r>
      <w:r w:rsidR="00427468">
        <w:rPr>
          <w:kern w:val="0"/>
        </w:rPr>
        <w:t xml:space="preserve"> of </w:t>
      </w:r>
      <w:r>
        <w:rPr>
          <w:kern w:val="0"/>
        </w:rPr>
        <w:t>all time, SCI 1945-1988. 4</w:t>
      </w:r>
      <w:r w:rsidR="00A37C1D">
        <w:rPr>
          <w:kern w:val="0"/>
        </w:rPr>
        <w:t>. The</w:t>
      </w:r>
      <w:r w:rsidR="003A1917">
        <w:rPr>
          <w:kern w:val="0"/>
        </w:rPr>
        <w:t xml:space="preserve"> </w:t>
      </w:r>
      <w:r>
        <w:rPr>
          <w:kern w:val="0"/>
        </w:rPr>
        <w:t xml:space="preserve">papers ranked 301-400. </w:t>
      </w:r>
      <w:r>
        <w:rPr>
          <w:i/>
          <w:iCs/>
          <w:kern w:val="0"/>
        </w:rPr>
        <w:t>Current Contents</w:t>
      </w:r>
      <w:r>
        <w:rPr>
          <w:kern w:val="0"/>
        </w:rPr>
        <w:t xml:space="preserve">, </w:t>
      </w:r>
      <w:r>
        <w:rPr>
          <w:b/>
          <w:bCs/>
          <w:kern w:val="0"/>
        </w:rPr>
        <w:t>21</w:t>
      </w:r>
      <w:r>
        <w:rPr>
          <w:kern w:val="0"/>
        </w:rPr>
        <w:t>, 5-16</w:t>
      </w:r>
      <w:r>
        <w:rPr>
          <w:rFonts w:hint="eastAsia"/>
          <w:kern w:val="0"/>
        </w:rPr>
        <w:t>.</w:t>
      </w:r>
    </w:p>
    <w:p w:rsidR="008B638D" w:rsidRDefault="008B638D" w:rsidP="008B638D">
      <w:pPr>
        <w:pStyle w:val="a3"/>
        <w:rPr>
          <w:kern w:val="0"/>
        </w:rPr>
      </w:pPr>
      <w:r>
        <w:rPr>
          <w:kern w:val="0"/>
        </w:rPr>
        <w:t>Keywords: Deficiency Syndrome AIDS, DNA, Lipoprotein, Molecules, Patient, Proteins, Risk, System, T-Lymphotropic Retrovirus, Time</w:t>
      </w:r>
    </w:p>
    <w:p w:rsidR="008B638D" w:rsidRDefault="008B638D" w:rsidP="008B638D">
      <w:pPr>
        <w:pStyle w:val="a3"/>
        <w:rPr>
          <w:kern w:val="0"/>
        </w:rPr>
      </w:pPr>
      <w:r>
        <w:rPr>
          <w:rFonts w:hint="eastAsia"/>
          <w:kern w:val="0"/>
        </w:rPr>
        <w:t xml:space="preserve">? </w:t>
      </w:r>
      <w:r>
        <w:rPr>
          <w:kern w:val="0"/>
        </w:rPr>
        <w:t>Garfield, E. (1991</w:t>
      </w:r>
      <w:r w:rsidR="00F42EAC">
        <w:rPr>
          <w:kern w:val="0"/>
        </w:rPr>
        <w:t>), The</w:t>
      </w:r>
      <w:r w:rsidR="003A1917">
        <w:rPr>
          <w:kern w:val="0"/>
        </w:rPr>
        <w:t xml:space="preserve"> </w:t>
      </w:r>
      <w:r>
        <w:rPr>
          <w:kern w:val="0"/>
        </w:rPr>
        <w:t>1986 most-cited chemistry articles - Enzymes in organic-synthesis</w:t>
      </w:r>
      <w:r w:rsidR="005853A9">
        <w:rPr>
          <w:kern w:val="0"/>
        </w:rPr>
        <w:t xml:space="preserve"> and </w:t>
      </w:r>
      <w:r>
        <w:rPr>
          <w:kern w:val="0"/>
        </w:rPr>
        <w:t>odd-cluster soot up, while superconductivity disappears (for now) - Introduction to</w:t>
      </w:r>
      <w:r w:rsidR="003A1917">
        <w:rPr>
          <w:kern w:val="0"/>
        </w:rPr>
        <w:t xml:space="preserve"> the </w:t>
      </w:r>
      <w:r>
        <w:rPr>
          <w:kern w:val="0"/>
        </w:rPr>
        <w:t>1986 chemistry articles most cited 1986-1988, plus 1989-1990 data - catalysts, clusters, kinetics,</w:t>
      </w:r>
      <w:r w:rsidR="005853A9">
        <w:rPr>
          <w:kern w:val="0"/>
        </w:rPr>
        <w:t xml:space="preserve"> and </w:t>
      </w:r>
      <w:r>
        <w:rPr>
          <w:kern w:val="0"/>
        </w:rPr>
        <w:t>theory - by Szafran,</w:t>
      </w:r>
      <w:r>
        <w:rPr>
          <w:rFonts w:hint="eastAsia"/>
          <w:kern w:val="0"/>
        </w:rPr>
        <w:t xml:space="preserve"> </w:t>
      </w:r>
      <w:r>
        <w:rPr>
          <w:kern w:val="0"/>
        </w:rPr>
        <w:t xml:space="preserve">Zvi. </w:t>
      </w:r>
      <w:r>
        <w:rPr>
          <w:i/>
          <w:iCs/>
          <w:kern w:val="0"/>
        </w:rPr>
        <w:t>Current Contents</w:t>
      </w:r>
      <w:r>
        <w:rPr>
          <w:kern w:val="0"/>
        </w:rPr>
        <w:t xml:space="preserve">, </w:t>
      </w:r>
      <w:r>
        <w:rPr>
          <w:b/>
          <w:bCs/>
          <w:kern w:val="0"/>
        </w:rPr>
        <w:t>27</w:t>
      </w:r>
      <w:r>
        <w:rPr>
          <w:kern w:val="0"/>
        </w:rPr>
        <w:t>, 3-15</w:t>
      </w:r>
      <w:r>
        <w:rPr>
          <w:rFonts w:hint="eastAsia"/>
          <w:kern w:val="0"/>
        </w:rPr>
        <w:t>.</w:t>
      </w:r>
    </w:p>
    <w:p w:rsidR="008B638D" w:rsidRDefault="008B638D" w:rsidP="008B638D">
      <w:pPr>
        <w:pStyle w:val="a3"/>
        <w:rPr>
          <w:kern w:val="0"/>
        </w:rPr>
      </w:pPr>
      <w:r>
        <w:rPr>
          <w:kern w:val="0"/>
        </w:rPr>
        <w:t>Keywords: Articles, Catalysts, Chemistry, Clusters, Kinetics, Superconductivity, Theory</w:t>
      </w:r>
    </w:p>
    <w:p w:rsidR="008B638D" w:rsidRDefault="008B638D" w:rsidP="008B638D">
      <w:pPr>
        <w:pStyle w:val="a3"/>
        <w:rPr>
          <w:kern w:val="0"/>
        </w:rPr>
      </w:pPr>
      <w:r>
        <w:rPr>
          <w:rFonts w:hint="eastAsia"/>
          <w:kern w:val="0"/>
        </w:rPr>
        <w:t xml:space="preserve">? </w:t>
      </w:r>
      <w:r>
        <w:rPr>
          <w:kern w:val="0"/>
        </w:rPr>
        <w:t>Szafran, Z. (1991</w:t>
      </w:r>
      <w:r w:rsidR="00F42EAC">
        <w:rPr>
          <w:kern w:val="0"/>
        </w:rPr>
        <w:t>), The</w:t>
      </w:r>
      <w:r w:rsidR="003A1917">
        <w:rPr>
          <w:kern w:val="0"/>
        </w:rPr>
        <w:t xml:space="preserve"> </w:t>
      </w:r>
      <w:r>
        <w:rPr>
          <w:kern w:val="0"/>
        </w:rPr>
        <w:t>1986 chemistry articles most cited 1986-1988, plus 1989-1990 data - catalysts, clusters, kinetics,</w:t>
      </w:r>
      <w:r w:rsidR="005853A9">
        <w:rPr>
          <w:kern w:val="0"/>
        </w:rPr>
        <w:t xml:space="preserve"> and </w:t>
      </w:r>
      <w:r>
        <w:rPr>
          <w:kern w:val="0"/>
        </w:rPr>
        <w:t xml:space="preserve">theory. </w:t>
      </w:r>
      <w:r>
        <w:rPr>
          <w:i/>
          <w:iCs/>
          <w:kern w:val="0"/>
        </w:rPr>
        <w:t>Current Contents</w:t>
      </w:r>
      <w:r>
        <w:rPr>
          <w:kern w:val="0"/>
        </w:rPr>
        <w:t xml:space="preserve">, </w:t>
      </w:r>
      <w:r>
        <w:rPr>
          <w:b/>
          <w:bCs/>
          <w:kern w:val="0"/>
        </w:rPr>
        <w:t>27</w:t>
      </w:r>
      <w:r>
        <w:rPr>
          <w:kern w:val="0"/>
        </w:rPr>
        <w:t>, 4-15</w:t>
      </w:r>
      <w:r>
        <w:rPr>
          <w:rFonts w:hint="eastAsia"/>
          <w:kern w:val="0"/>
        </w:rPr>
        <w:t>.</w:t>
      </w:r>
    </w:p>
    <w:p w:rsidR="008B638D" w:rsidRDefault="008B638D" w:rsidP="008B638D">
      <w:pPr>
        <w:pStyle w:val="a3"/>
        <w:rPr>
          <w:kern w:val="0"/>
        </w:rPr>
      </w:pPr>
      <w:r>
        <w:rPr>
          <w:kern w:val="0"/>
        </w:rPr>
        <w:t>Keywords: Articles, Binding, Catalysts, Chemistry, Clusters, H-2, Iron Clusters, Kinetics, Molecular-Hydrogen Complexes, Reactivity, Theory</w:t>
      </w:r>
    </w:p>
    <w:p w:rsidR="00FD5BC4" w:rsidRPr="00656CFB" w:rsidRDefault="00FD5BC4" w:rsidP="00FD5BC4">
      <w:pPr>
        <w:pStyle w:val="a3"/>
      </w:pPr>
      <w:r>
        <w:rPr>
          <w:rFonts w:eastAsia="新細明體" w:hint="eastAsia"/>
        </w:rPr>
        <w:t xml:space="preserve">? </w:t>
      </w:r>
      <w:r w:rsidRPr="00656CFB">
        <w:t xml:space="preserve">Garfield, E. (1992), </w:t>
      </w:r>
      <w:bookmarkStart w:id="460" w:name="OLE_LINK12"/>
      <w:bookmarkStart w:id="461" w:name="OLE_LINK13"/>
      <w:bookmarkStart w:id="462" w:name="OLE_LINK36"/>
      <w:r w:rsidRPr="00656CFB">
        <w:t xml:space="preserve">Contract research services at ISI-citation analysis for </w:t>
      </w:r>
      <w:r w:rsidRPr="00656CFB">
        <w:lastRenderedPageBreak/>
        <w:t>governmental, industrial, and academic clients</w:t>
      </w:r>
      <w:bookmarkEnd w:id="460"/>
      <w:bookmarkEnd w:id="461"/>
      <w:bookmarkEnd w:id="462"/>
      <w:r w:rsidRPr="00656CFB">
        <w:t xml:space="preserve">. </w:t>
      </w:r>
      <w:bookmarkStart w:id="463" w:name="OLE_LINK19"/>
      <w:bookmarkStart w:id="464" w:name="OLE_LINK20"/>
      <w:r w:rsidRPr="00975EA1">
        <w:rPr>
          <w:i/>
        </w:rPr>
        <w:t>Current Contents</w:t>
      </w:r>
      <w:r w:rsidRPr="00656CFB">
        <w:t>,</w:t>
      </w:r>
      <w:bookmarkEnd w:id="463"/>
      <w:bookmarkEnd w:id="464"/>
      <w:r w:rsidRPr="00656CFB">
        <w:t xml:space="preserve"> </w:t>
      </w:r>
      <w:r w:rsidRPr="00975EA1">
        <w:rPr>
          <w:b/>
        </w:rPr>
        <w:t>23</w:t>
      </w:r>
      <w:r w:rsidRPr="00656CFB">
        <w:t>, 5-</w:t>
      </w:r>
      <w:r>
        <w:t>7</w:t>
      </w:r>
      <w:r w:rsidRPr="00656CFB">
        <w:t>.</w:t>
      </w:r>
    </w:p>
    <w:p w:rsidR="00FD5BC4" w:rsidRPr="00122CD5" w:rsidRDefault="00FD5BC4" w:rsidP="00FD5BC4">
      <w:pPr>
        <w:pStyle w:val="a3"/>
        <w:rPr>
          <w:rFonts w:eastAsia="新細明體"/>
        </w:rPr>
      </w:pPr>
      <w:r w:rsidRPr="0051264D">
        <w:t xml:space="preserve">Full Text: </w:t>
      </w:r>
      <w:hyperlink r:id="rId1107" w:history="1">
        <w:r w:rsidRPr="0008535E">
          <w:rPr>
            <w:rStyle w:val="a5"/>
          </w:rPr>
          <w:t>1992\Cur Con23, 5.pdf</w:t>
        </w:r>
      </w:hyperlink>
    </w:p>
    <w:p w:rsidR="003474F2" w:rsidRPr="001A3D2B" w:rsidRDefault="003474F2" w:rsidP="003474F2">
      <w:pPr>
        <w:pStyle w:val="a3"/>
      </w:pPr>
      <w:r w:rsidRPr="001A3D2B">
        <w:t>? Garfield, E. (1992</w:t>
      </w:r>
      <w:r w:rsidR="00F42EAC">
        <w:t>), The</w:t>
      </w:r>
      <w:r w:rsidR="003A1917">
        <w:t xml:space="preserve"> </w:t>
      </w:r>
      <w:r w:rsidRPr="001A3D2B">
        <w:t>new materials science citation index on CD-ROM, with abstracts, related records,</w:t>
      </w:r>
      <w:r w:rsidR="005853A9">
        <w:t xml:space="preserve"> and </w:t>
      </w:r>
      <w:r w:rsidRPr="001A3D2B">
        <w:t xml:space="preserve">Key-Words Plus. </w:t>
      </w:r>
      <w:r w:rsidRPr="001A3D2B">
        <w:rPr>
          <w:i/>
          <w:iCs/>
        </w:rPr>
        <w:t>Current Contents</w:t>
      </w:r>
      <w:r w:rsidRPr="001A3D2B">
        <w:t xml:space="preserve">, </w:t>
      </w:r>
      <w:r w:rsidRPr="001A3D2B">
        <w:rPr>
          <w:b/>
          <w:bCs/>
        </w:rPr>
        <w:t>31</w:t>
      </w:r>
      <w:r w:rsidRPr="001A3D2B">
        <w:t>, 3-11.</w:t>
      </w:r>
    </w:p>
    <w:p w:rsidR="003474F2" w:rsidRPr="001A3D2B" w:rsidRDefault="003474F2" w:rsidP="003474F2">
      <w:pPr>
        <w:pStyle w:val="a3"/>
      </w:pPr>
      <w:r w:rsidRPr="001A3D2B">
        <w:t>Keywords: Science Citation Index</w:t>
      </w:r>
    </w:p>
    <w:p w:rsidR="00AC4A8C" w:rsidRDefault="00AC4A8C" w:rsidP="00AC4A8C">
      <w:pPr>
        <w:pStyle w:val="a3"/>
        <w:rPr>
          <w:kern w:val="0"/>
        </w:rPr>
      </w:pPr>
      <w:r>
        <w:rPr>
          <w:rFonts w:hint="eastAsia"/>
          <w:kern w:val="0"/>
        </w:rPr>
        <w:t xml:space="preserve">? </w:t>
      </w:r>
      <w:r>
        <w:rPr>
          <w:kern w:val="0"/>
        </w:rPr>
        <w:t>Garfield, E. (1992),</w:t>
      </w:r>
      <w:r w:rsidR="00427468">
        <w:rPr>
          <w:kern w:val="0"/>
        </w:rPr>
        <w:t xml:space="preserve"> of </w:t>
      </w:r>
      <w:r>
        <w:rPr>
          <w:kern w:val="0"/>
        </w:rPr>
        <w:t>Nobel class.</w:t>
      </w:r>
      <w:r>
        <w:rPr>
          <w:rFonts w:hint="eastAsia"/>
          <w:kern w:val="0"/>
        </w:rPr>
        <w:t xml:space="preserve"> </w:t>
      </w:r>
      <w:r>
        <w:rPr>
          <w:kern w:val="0"/>
        </w:rPr>
        <w:t>1. An overview</w:t>
      </w:r>
      <w:r w:rsidR="00427468">
        <w:rPr>
          <w:kern w:val="0"/>
        </w:rPr>
        <w:t xml:space="preserve"> of </w:t>
      </w:r>
      <w:r>
        <w:rPr>
          <w:kern w:val="0"/>
        </w:rPr>
        <w:t>ISI studies on highly cited authors</w:t>
      </w:r>
      <w:r w:rsidR="005853A9">
        <w:rPr>
          <w:kern w:val="0"/>
        </w:rPr>
        <w:t xml:space="preserve"> and </w:t>
      </w:r>
      <w:r>
        <w:rPr>
          <w:kern w:val="0"/>
        </w:rPr>
        <w:t>Nobel laureates - Introduction to</w:t>
      </w:r>
      <w:r w:rsidR="00427468">
        <w:rPr>
          <w:kern w:val="0"/>
        </w:rPr>
        <w:t xml:space="preserve"> of </w:t>
      </w:r>
      <w:r>
        <w:rPr>
          <w:kern w:val="0"/>
        </w:rPr>
        <w:t>Nobel class - A citation perspective on high-impact research authors by Garfield,</w:t>
      </w:r>
      <w:r>
        <w:rPr>
          <w:rFonts w:hint="eastAsia"/>
          <w:kern w:val="0"/>
        </w:rPr>
        <w:t xml:space="preserve"> </w:t>
      </w:r>
      <w:r>
        <w:rPr>
          <w:kern w:val="0"/>
        </w:rPr>
        <w:t>Eugene</w:t>
      </w:r>
      <w:r w:rsidR="005853A9">
        <w:rPr>
          <w:kern w:val="0"/>
        </w:rPr>
        <w:t xml:space="preserve"> and </w:t>
      </w:r>
      <w:r>
        <w:rPr>
          <w:kern w:val="0"/>
        </w:rPr>
        <w:t>Welljamsdorof,</w:t>
      </w:r>
      <w:r>
        <w:rPr>
          <w:rFonts w:hint="eastAsia"/>
          <w:kern w:val="0"/>
        </w:rPr>
        <w:t xml:space="preserve"> </w:t>
      </w:r>
      <w:r>
        <w:rPr>
          <w:kern w:val="0"/>
        </w:rPr>
        <w:t xml:space="preserve">Alfred (Reprinted from Theoretical Medicine, Vol 13, 1992). </w:t>
      </w:r>
      <w:r>
        <w:rPr>
          <w:i/>
          <w:iCs/>
          <w:kern w:val="0"/>
        </w:rPr>
        <w:t>Current Contents</w:t>
      </w:r>
      <w:r>
        <w:rPr>
          <w:kern w:val="0"/>
        </w:rPr>
        <w:t xml:space="preserve">, </w:t>
      </w:r>
      <w:r>
        <w:rPr>
          <w:b/>
          <w:bCs/>
          <w:kern w:val="0"/>
        </w:rPr>
        <w:t>33</w:t>
      </w:r>
      <w:r>
        <w:rPr>
          <w:kern w:val="0"/>
        </w:rPr>
        <w:t>, 3-13</w:t>
      </w:r>
    </w:p>
    <w:p w:rsidR="00AC4A8C" w:rsidRDefault="00AC4A8C" w:rsidP="00AC4A8C">
      <w:pPr>
        <w:pStyle w:val="a3"/>
        <w:rPr>
          <w:kern w:val="0"/>
        </w:rPr>
      </w:pPr>
      <w:r>
        <w:rPr>
          <w:kern w:val="0"/>
        </w:rPr>
        <w:t>Keywords: Authors, Citation, Research</w:t>
      </w:r>
    </w:p>
    <w:p w:rsidR="00C4436C" w:rsidRDefault="00C4436C" w:rsidP="00C4436C">
      <w:pPr>
        <w:pStyle w:val="a3"/>
        <w:rPr>
          <w:kern w:val="0"/>
          <w:szCs w:val="24"/>
        </w:rPr>
      </w:pPr>
      <w:r>
        <w:rPr>
          <w:rFonts w:hint="eastAsia"/>
          <w:kern w:val="0"/>
          <w:szCs w:val="24"/>
        </w:rPr>
        <w:t xml:space="preserve">? </w:t>
      </w:r>
      <w:r>
        <w:rPr>
          <w:kern w:val="0"/>
          <w:szCs w:val="24"/>
        </w:rPr>
        <w:t>Garfield, E.</w:t>
      </w:r>
      <w:r w:rsidR="005853A9">
        <w:rPr>
          <w:kern w:val="0"/>
          <w:szCs w:val="24"/>
        </w:rPr>
        <w:t xml:space="preserve"> and </w:t>
      </w:r>
      <w:r>
        <w:rPr>
          <w:kern w:val="0"/>
          <w:szCs w:val="24"/>
        </w:rPr>
        <w:t>Welljamsdorof, A. (1992),</w:t>
      </w:r>
      <w:r w:rsidR="00427468">
        <w:rPr>
          <w:kern w:val="0"/>
          <w:szCs w:val="24"/>
        </w:rPr>
        <w:t xml:space="preserve"> of </w:t>
      </w:r>
      <w:r>
        <w:rPr>
          <w:kern w:val="0"/>
          <w:szCs w:val="24"/>
        </w:rPr>
        <w:t xml:space="preserve">Nobel </w:t>
      </w:r>
      <w:r w:rsidR="000A49C1">
        <w:rPr>
          <w:kern w:val="0"/>
          <w:szCs w:val="24"/>
        </w:rPr>
        <w:t xml:space="preserve">class </w:t>
      </w:r>
      <w:r>
        <w:rPr>
          <w:kern w:val="0"/>
          <w:szCs w:val="24"/>
        </w:rPr>
        <w:t xml:space="preserve">- A </w:t>
      </w:r>
      <w:r w:rsidR="000A49C1">
        <w:rPr>
          <w:kern w:val="0"/>
          <w:szCs w:val="24"/>
        </w:rPr>
        <w:t>citation perspective on high-impact research authors</w:t>
      </w:r>
      <w:r>
        <w:rPr>
          <w:kern w:val="0"/>
          <w:szCs w:val="24"/>
        </w:rPr>
        <w:t xml:space="preserve"> (Reprinted from Theoretical Medicine, Vol 13, 1992). </w:t>
      </w:r>
      <w:r>
        <w:rPr>
          <w:i/>
          <w:iCs/>
          <w:kern w:val="0"/>
          <w:szCs w:val="24"/>
        </w:rPr>
        <w:t>Current Contents</w:t>
      </w:r>
      <w:r>
        <w:rPr>
          <w:kern w:val="0"/>
          <w:szCs w:val="24"/>
        </w:rPr>
        <w:t xml:space="preserve">, </w:t>
      </w:r>
      <w:r>
        <w:rPr>
          <w:b/>
          <w:bCs/>
          <w:kern w:val="0"/>
          <w:szCs w:val="24"/>
        </w:rPr>
        <w:t>33</w:t>
      </w:r>
      <w:r>
        <w:rPr>
          <w:kern w:val="0"/>
          <w:szCs w:val="24"/>
        </w:rPr>
        <w:t>, 5-13.</w:t>
      </w:r>
    </w:p>
    <w:p w:rsidR="00C4436C" w:rsidRDefault="00C4436C" w:rsidP="00C4436C">
      <w:pPr>
        <w:pStyle w:val="a3"/>
        <w:rPr>
          <w:kern w:val="0"/>
          <w:szCs w:val="24"/>
        </w:rPr>
      </w:pPr>
      <w:r>
        <w:rPr>
          <w:kern w:val="0"/>
          <w:szCs w:val="24"/>
        </w:rPr>
        <w:t>Abstract:</w:t>
      </w:r>
      <w:r w:rsidR="003A1917">
        <w:rPr>
          <w:kern w:val="0"/>
          <w:szCs w:val="24"/>
        </w:rPr>
        <w:t xml:space="preserve"> the </w:t>
      </w:r>
      <w:r>
        <w:rPr>
          <w:kern w:val="0"/>
          <w:szCs w:val="24"/>
        </w:rPr>
        <w:t>purpose</w:t>
      </w:r>
      <w:r w:rsidR="00427468">
        <w:rPr>
          <w:kern w:val="0"/>
          <w:szCs w:val="24"/>
        </w:rPr>
        <w:t xml:space="preserve"> of </w:t>
      </w:r>
      <w:r>
        <w:rPr>
          <w:kern w:val="0"/>
          <w:szCs w:val="24"/>
        </w:rPr>
        <w:t>this paper was to determine if quantitative rankings</w:t>
      </w:r>
      <w:r w:rsidR="00427468">
        <w:rPr>
          <w:kern w:val="0"/>
          <w:szCs w:val="24"/>
        </w:rPr>
        <w:t xml:space="preserve"> of </w:t>
      </w:r>
      <w:r>
        <w:rPr>
          <w:kern w:val="0"/>
          <w:szCs w:val="24"/>
        </w:rPr>
        <w:t>highly cited research authors confirm Nobel prize awards. Six studies covering different time periods</w:t>
      </w:r>
      <w:r w:rsidR="005853A9">
        <w:rPr>
          <w:kern w:val="0"/>
          <w:szCs w:val="24"/>
        </w:rPr>
        <w:t xml:space="preserve"> and </w:t>
      </w:r>
      <w:r>
        <w:rPr>
          <w:kern w:val="0"/>
          <w:szCs w:val="24"/>
        </w:rPr>
        <w:t>author sample sizes were reviewed</w:t>
      </w:r>
      <w:r w:rsidR="00A37C1D">
        <w:rPr>
          <w:kern w:val="0"/>
          <w:szCs w:val="24"/>
        </w:rPr>
        <w:t>. The</w:t>
      </w:r>
      <w:r w:rsidR="003A1917">
        <w:rPr>
          <w:kern w:val="0"/>
          <w:szCs w:val="24"/>
        </w:rPr>
        <w:t xml:space="preserve"> </w:t>
      </w:r>
      <w:r>
        <w:rPr>
          <w:kern w:val="0"/>
          <w:szCs w:val="24"/>
        </w:rPr>
        <w:t>number</w:t>
      </w:r>
      <w:r w:rsidR="00427468">
        <w:rPr>
          <w:kern w:val="0"/>
          <w:szCs w:val="24"/>
        </w:rPr>
        <w:t xml:space="preserve"> of </w:t>
      </w:r>
      <w:r>
        <w:rPr>
          <w:kern w:val="0"/>
          <w:szCs w:val="24"/>
        </w:rPr>
        <w:t>Nobel laureates at</w:t>
      </w:r>
      <w:r w:rsidR="003A1917">
        <w:rPr>
          <w:kern w:val="0"/>
          <w:szCs w:val="24"/>
        </w:rPr>
        <w:t xml:space="preserve"> the </w:t>
      </w:r>
      <w:r>
        <w:rPr>
          <w:kern w:val="0"/>
          <w:szCs w:val="24"/>
        </w:rPr>
        <w:t>time each study was published was tabulated, as was</w:t>
      </w:r>
      <w:r w:rsidR="003A1917">
        <w:rPr>
          <w:kern w:val="0"/>
          <w:szCs w:val="24"/>
        </w:rPr>
        <w:t xml:space="preserve"> the </w:t>
      </w:r>
      <w:r>
        <w:rPr>
          <w:kern w:val="0"/>
          <w:szCs w:val="24"/>
        </w:rPr>
        <w:t>number</w:t>
      </w:r>
      <w:r w:rsidR="00427468">
        <w:rPr>
          <w:kern w:val="0"/>
          <w:szCs w:val="24"/>
        </w:rPr>
        <w:t xml:space="preserve"> of </w:t>
      </w:r>
      <w:r>
        <w:rPr>
          <w:kern w:val="0"/>
          <w:szCs w:val="24"/>
        </w:rPr>
        <w:t>high impact authors who later became laureates</w:t>
      </w:r>
      <w:r w:rsidR="00A37C1D">
        <w:rPr>
          <w:kern w:val="0"/>
          <w:szCs w:val="24"/>
        </w:rPr>
        <w:t>. The</w:t>
      </w:r>
      <w:r w:rsidR="003A1917">
        <w:rPr>
          <w:kern w:val="0"/>
          <w:szCs w:val="24"/>
        </w:rPr>
        <w:t xml:space="preserve"> </w:t>
      </w:r>
      <w:r>
        <w:rPr>
          <w:kern w:val="0"/>
          <w:szCs w:val="24"/>
        </w:rPr>
        <w:t>Nobelists</w:t>
      </w:r>
      <w:r w:rsidR="005853A9">
        <w:rPr>
          <w:kern w:val="0"/>
          <w:szCs w:val="24"/>
        </w:rPr>
        <w:t xml:space="preserve"> and </w:t>
      </w:r>
      <w:r>
        <w:rPr>
          <w:kern w:val="0"/>
          <w:szCs w:val="24"/>
        </w:rPr>
        <w:t>laureates-to-be were also compared with non-Nobelists to see if they differed in terms</w:t>
      </w:r>
      <w:r w:rsidR="00427468">
        <w:rPr>
          <w:kern w:val="0"/>
          <w:szCs w:val="24"/>
        </w:rPr>
        <w:t xml:space="preserve"> of </w:t>
      </w:r>
      <w:r>
        <w:rPr>
          <w:kern w:val="0"/>
          <w:szCs w:val="24"/>
        </w:rPr>
        <w:t>impact</w:t>
      </w:r>
      <w:r w:rsidR="005853A9">
        <w:rPr>
          <w:kern w:val="0"/>
          <w:szCs w:val="24"/>
        </w:rPr>
        <w:t xml:space="preserve"> and </w:t>
      </w:r>
      <w:r>
        <w:rPr>
          <w:kern w:val="0"/>
          <w:szCs w:val="24"/>
        </w:rPr>
        <w:t>productivity</w:t>
      </w:r>
      <w:r w:rsidR="00A37C1D">
        <w:rPr>
          <w:kern w:val="0"/>
          <w:szCs w:val="24"/>
        </w:rPr>
        <w:t>. The</w:t>
      </w:r>
      <w:r w:rsidR="003A1917">
        <w:rPr>
          <w:kern w:val="0"/>
          <w:szCs w:val="24"/>
        </w:rPr>
        <w:t xml:space="preserve"> </w:t>
      </w:r>
      <w:r>
        <w:rPr>
          <w:kern w:val="0"/>
          <w:szCs w:val="24"/>
        </w:rPr>
        <w:t>results indicate that high rankings by citation frequency identify researchers</w:t>
      </w:r>
      <w:r w:rsidR="00427468">
        <w:rPr>
          <w:kern w:val="0"/>
          <w:szCs w:val="24"/>
        </w:rPr>
        <w:t xml:space="preserve"> of </w:t>
      </w:r>
      <w:r>
        <w:rPr>
          <w:kern w:val="0"/>
          <w:szCs w:val="24"/>
        </w:rPr>
        <w:t>Nobel class-that is, a small set</w:t>
      </w:r>
      <w:r w:rsidR="00427468">
        <w:rPr>
          <w:kern w:val="0"/>
          <w:szCs w:val="24"/>
        </w:rPr>
        <w:t xml:space="preserve"> of </w:t>
      </w:r>
      <w:r>
        <w:rPr>
          <w:kern w:val="0"/>
          <w:szCs w:val="24"/>
        </w:rPr>
        <w:t>authors that includes a high proportion</w:t>
      </w:r>
      <w:r w:rsidR="00427468">
        <w:rPr>
          <w:kern w:val="0"/>
          <w:szCs w:val="24"/>
        </w:rPr>
        <w:t xml:space="preserve"> of </w:t>
      </w:r>
      <w:r>
        <w:rPr>
          <w:kern w:val="0"/>
          <w:szCs w:val="24"/>
        </w:rPr>
        <w:t>actual Nobelists</w:t>
      </w:r>
      <w:r w:rsidR="005853A9">
        <w:rPr>
          <w:kern w:val="0"/>
          <w:szCs w:val="24"/>
        </w:rPr>
        <w:t xml:space="preserve"> and </w:t>
      </w:r>
      <w:r>
        <w:rPr>
          <w:kern w:val="0"/>
          <w:szCs w:val="24"/>
        </w:rPr>
        <w:t>laureates-to-be. Also,</w:t>
      </w:r>
      <w:r w:rsidR="003A1917">
        <w:rPr>
          <w:kern w:val="0"/>
          <w:szCs w:val="24"/>
        </w:rPr>
        <w:t xml:space="preserve"> the </w:t>
      </w:r>
      <w:r>
        <w:rPr>
          <w:kern w:val="0"/>
          <w:szCs w:val="24"/>
        </w:rPr>
        <w:t>average impact (citations per author)</w:t>
      </w:r>
      <w:r w:rsidR="00427468">
        <w:rPr>
          <w:kern w:val="0"/>
          <w:szCs w:val="24"/>
        </w:rPr>
        <w:t xml:space="preserve"> of </w:t>
      </w:r>
      <w:r>
        <w:rPr>
          <w:kern w:val="0"/>
          <w:szCs w:val="24"/>
        </w:rPr>
        <w:t>Nobelists</w:t>
      </w:r>
      <w:r w:rsidR="005853A9">
        <w:rPr>
          <w:kern w:val="0"/>
          <w:szCs w:val="24"/>
        </w:rPr>
        <w:t xml:space="preserve"> and </w:t>
      </w:r>
      <w:r>
        <w:rPr>
          <w:kern w:val="0"/>
          <w:szCs w:val="24"/>
        </w:rPr>
        <w:t>laureates-to-be is sufficiently high to distinguish them from non-Nobelists in these rankings. In conclusion, a simple, quantitative,</w:t>
      </w:r>
      <w:r w:rsidR="005853A9">
        <w:rPr>
          <w:kern w:val="0"/>
          <w:szCs w:val="24"/>
        </w:rPr>
        <w:t xml:space="preserve"> and </w:t>
      </w:r>
      <w:r>
        <w:rPr>
          <w:kern w:val="0"/>
          <w:szCs w:val="24"/>
        </w:rPr>
        <w:t>objective algorithm based on citation data can effectively corroborate-and even forecast-a complex, qualitative,</w:t>
      </w:r>
      <w:r w:rsidR="005853A9">
        <w:rPr>
          <w:kern w:val="0"/>
          <w:szCs w:val="24"/>
        </w:rPr>
        <w:t xml:space="preserve"> and </w:t>
      </w:r>
      <w:r>
        <w:rPr>
          <w:kern w:val="0"/>
          <w:szCs w:val="24"/>
        </w:rPr>
        <w:t>subjective selection process based on human judgement.</w:t>
      </w:r>
    </w:p>
    <w:p w:rsidR="00C4436C" w:rsidRDefault="00C4436C" w:rsidP="00C4436C">
      <w:pPr>
        <w:pStyle w:val="a3"/>
        <w:rPr>
          <w:kern w:val="0"/>
          <w:szCs w:val="24"/>
        </w:rPr>
      </w:pPr>
      <w:r>
        <w:rPr>
          <w:kern w:val="0"/>
          <w:szCs w:val="24"/>
        </w:rPr>
        <w:t>Keywords: Authors, Citation, Citation Analysis, Citation Frequency, Citation Impact, Citations, Complex, Impact, Nobel Prize, Productivity, Quantitative, Rankings, Research, Researchers, Science-Citation-Index, Scientometrics, Selection</w:t>
      </w:r>
    </w:p>
    <w:p w:rsidR="00124FC2" w:rsidRPr="001A3D2B" w:rsidRDefault="00124FC2" w:rsidP="00124FC2">
      <w:pPr>
        <w:pStyle w:val="a3"/>
        <w:rPr>
          <w:kern w:val="0"/>
        </w:rPr>
      </w:pPr>
      <w:r w:rsidRPr="001A3D2B">
        <w:rPr>
          <w:kern w:val="0"/>
        </w:rPr>
        <w:t>? Garfield, E. (1992), Psychology research, 1986-1990 - A citationist perspective on</w:t>
      </w:r>
      <w:r w:rsidR="003A1917">
        <w:rPr>
          <w:kern w:val="0"/>
        </w:rPr>
        <w:t xml:space="preserve"> the </w:t>
      </w:r>
      <w:r w:rsidRPr="001A3D2B">
        <w:rPr>
          <w:kern w:val="0"/>
        </w:rPr>
        <w:t>highest impact papers, institutions,</w:t>
      </w:r>
      <w:r w:rsidR="005853A9">
        <w:rPr>
          <w:kern w:val="0"/>
        </w:rPr>
        <w:t xml:space="preserve"> and </w:t>
      </w:r>
      <w:r w:rsidRPr="001A3D2B">
        <w:rPr>
          <w:kern w:val="0"/>
        </w:rPr>
        <w:t xml:space="preserve">authors. </w:t>
      </w:r>
      <w:r w:rsidRPr="001A3D2B">
        <w:rPr>
          <w:i/>
          <w:iCs/>
          <w:kern w:val="0"/>
        </w:rPr>
        <w:t>Current Contents</w:t>
      </w:r>
      <w:r w:rsidRPr="001A3D2B">
        <w:rPr>
          <w:kern w:val="0"/>
        </w:rPr>
        <w:t xml:space="preserve">, </w:t>
      </w:r>
      <w:r w:rsidRPr="001A3D2B">
        <w:rPr>
          <w:b/>
          <w:bCs/>
          <w:kern w:val="0"/>
        </w:rPr>
        <w:t>41</w:t>
      </w:r>
      <w:r w:rsidRPr="001A3D2B">
        <w:rPr>
          <w:kern w:val="0"/>
        </w:rPr>
        <w:t>, 5-13</w:t>
      </w:r>
    </w:p>
    <w:p w:rsidR="003474F2" w:rsidRPr="001A3D2B" w:rsidRDefault="003474F2" w:rsidP="003474F2">
      <w:pPr>
        <w:pStyle w:val="a3"/>
      </w:pPr>
      <w:r w:rsidRPr="001A3D2B">
        <w:t>? Garfield, E. (1992</w:t>
      </w:r>
      <w:r w:rsidR="00F42EAC">
        <w:t>), The</w:t>
      </w:r>
      <w:r w:rsidR="003A1917">
        <w:t xml:space="preserve"> </w:t>
      </w:r>
      <w:r w:rsidRPr="001A3D2B">
        <w:t>languages</w:t>
      </w:r>
      <w:r w:rsidR="00427468">
        <w:t xml:space="preserve"> of </w:t>
      </w:r>
      <w:r w:rsidRPr="001A3D2B">
        <w:t>science revisited - a focus on microbiology, 1981-1991 - an introduction to</w:t>
      </w:r>
      <w:r w:rsidR="003A1917">
        <w:t xml:space="preserve"> the </w:t>
      </w:r>
      <w:r w:rsidRPr="001A3D2B">
        <w:t>microbiology literature - languages</w:t>
      </w:r>
      <w:r w:rsidR="00427468">
        <w:t xml:space="preserve"> of </w:t>
      </w:r>
      <w:r w:rsidRPr="001A3D2B">
        <w:t>publication</w:t>
      </w:r>
      <w:r w:rsidR="005853A9">
        <w:t xml:space="preserve"> and </w:t>
      </w:r>
      <w:r w:rsidRPr="001A3D2B">
        <w:t xml:space="preserve">their relative citation impact by garfield, </w:t>
      </w:r>
      <w:smartTag w:uri="urn:schemas-microsoft-com:office:smarttags" w:element="City">
        <w:smartTag w:uri="urn:schemas-microsoft-com:office:smarttags" w:element="place">
          <w:r w:rsidRPr="001A3D2B">
            <w:t>eugene</w:t>
          </w:r>
        </w:smartTag>
      </w:smartTag>
      <w:r w:rsidRPr="001A3D2B">
        <w:t>,</w:t>
      </w:r>
      <w:r w:rsidR="005853A9">
        <w:t xml:space="preserve"> and </w:t>
      </w:r>
      <w:r w:rsidRPr="001A3D2B">
        <w:t xml:space="preserve">welljamsdorof, alfred (reprinted from fems microbiology letters, vol 100, pg 33-37, 1992). </w:t>
      </w:r>
      <w:r w:rsidRPr="001A3D2B">
        <w:rPr>
          <w:i/>
          <w:iCs/>
        </w:rPr>
        <w:t>Current Contents</w:t>
      </w:r>
      <w:r w:rsidRPr="001A3D2B">
        <w:t xml:space="preserve">, </w:t>
      </w:r>
      <w:r w:rsidRPr="001A3D2B">
        <w:rPr>
          <w:b/>
          <w:bCs/>
        </w:rPr>
        <w:t>47</w:t>
      </w:r>
      <w:r w:rsidRPr="001A3D2B">
        <w:t>, 3-10.</w:t>
      </w:r>
    </w:p>
    <w:p w:rsidR="003474F2" w:rsidRPr="001A3D2B" w:rsidRDefault="003474F2" w:rsidP="003474F2">
      <w:pPr>
        <w:pStyle w:val="a3"/>
      </w:pPr>
      <w:r w:rsidRPr="001A3D2B">
        <w:t>? Garfield, E.</w:t>
      </w:r>
      <w:r w:rsidR="005853A9">
        <w:t xml:space="preserve"> and </w:t>
      </w:r>
      <w:r w:rsidRPr="001A3D2B">
        <w:t>Welljamsdorof, A. (1992</w:t>
      </w:r>
      <w:r w:rsidR="00F42EAC">
        <w:t>), The</w:t>
      </w:r>
      <w:r w:rsidR="003A1917">
        <w:t xml:space="preserve"> </w:t>
      </w:r>
      <w:r w:rsidRPr="001A3D2B">
        <w:t>microbiology literature - languages</w:t>
      </w:r>
      <w:r w:rsidR="00427468">
        <w:t xml:space="preserve"> of </w:t>
      </w:r>
      <w:r w:rsidRPr="001A3D2B">
        <w:t>publication</w:t>
      </w:r>
      <w:r w:rsidR="005853A9">
        <w:t xml:space="preserve"> and </w:t>
      </w:r>
      <w:r w:rsidRPr="001A3D2B">
        <w:t xml:space="preserve">their relative citation impact (reprinted from fems microbiology </w:t>
      </w:r>
      <w:r w:rsidRPr="001A3D2B">
        <w:lastRenderedPageBreak/>
        <w:t xml:space="preserve">letters, vol 100, pg 33-37, 1992). </w:t>
      </w:r>
      <w:r w:rsidRPr="001A3D2B">
        <w:rPr>
          <w:i/>
          <w:iCs/>
        </w:rPr>
        <w:t>Current Contents</w:t>
      </w:r>
      <w:r w:rsidRPr="001A3D2B">
        <w:t xml:space="preserve">, </w:t>
      </w:r>
      <w:r w:rsidRPr="001A3D2B">
        <w:rPr>
          <w:b/>
          <w:bCs/>
        </w:rPr>
        <w:t>47</w:t>
      </w:r>
      <w:r w:rsidRPr="001A3D2B">
        <w:t>, 6-10.</w:t>
      </w:r>
    </w:p>
    <w:p w:rsidR="003474F2" w:rsidRPr="001A3D2B" w:rsidRDefault="003474F2" w:rsidP="003474F2">
      <w:pPr>
        <w:pStyle w:val="a3"/>
      </w:pPr>
      <w:r w:rsidRPr="001A3D2B">
        <w:t>Abstract: This study examined trends in</w:t>
      </w:r>
      <w:r w:rsidR="003A1917">
        <w:t xml:space="preserve"> the </w:t>
      </w:r>
      <w:r w:rsidRPr="001A3D2B">
        <w:t>number</w:t>
      </w:r>
      <w:r w:rsidR="00427468">
        <w:t xml:space="preserve"> of </w:t>
      </w:r>
      <w:r w:rsidRPr="001A3D2B">
        <w:t>papers published annually in various languages in 78 microbiology journals indexed in</w:t>
      </w:r>
      <w:r w:rsidR="003A1917">
        <w:t xml:space="preserve"> the </w:t>
      </w:r>
      <w:r w:rsidRPr="001A3D2B">
        <w:t>Science Citation Index(R) (SCI(R)), 1981-1991. Trends in</w:t>
      </w:r>
      <w:r w:rsidR="003A1917">
        <w:t xml:space="preserve"> the </w:t>
      </w:r>
      <w:r w:rsidRPr="001A3D2B">
        <w:t>average number</w:t>
      </w:r>
      <w:r w:rsidR="00427468">
        <w:t xml:space="preserve"> of </w:t>
      </w:r>
      <w:r w:rsidRPr="001A3D2B">
        <w:t>citations per paper (impact) for each language were also tracked. In addition, interlingual citation patterns were examined</w:t>
      </w:r>
      <w:r w:rsidR="00A37C1D">
        <w:t>. The</w:t>
      </w:r>
      <w:r w:rsidR="003A1917">
        <w:t xml:space="preserve"> </w:t>
      </w:r>
      <w:r w:rsidRPr="001A3D2B">
        <w:t>results showed that English is</w:t>
      </w:r>
      <w:r w:rsidR="003A1917">
        <w:t xml:space="preserve"> the </w:t>
      </w:r>
      <w:r w:rsidRPr="001A3D2B">
        <w:t>lingua franca</w:t>
      </w:r>
      <w:r w:rsidR="00427468">
        <w:t xml:space="preserve"> of </w:t>
      </w:r>
      <w:r w:rsidRPr="001A3D2B">
        <w:t>microbiology research, accounting for 90-95 percent</w:t>
      </w:r>
      <w:r w:rsidR="00427468">
        <w:t xml:space="preserve"> of </w:t>
      </w:r>
      <w:r w:rsidRPr="001A3D2B">
        <w:t>all SCI-indexed papers in this time period. Also,</w:t>
      </w:r>
      <w:r w:rsidR="003A1917">
        <w:t xml:space="preserve"> the </w:t>
      </w:r>
      <w:r w:rsidRPr="001A3D2B">
        <w:t>impact</w:t>
      </w:r>
      <w:r w:rsidR="00427468">
        <w:t xml:space="preserve"> of </w:t>
      </w:r>
      <w:r w:rsidRPr="001A3D2B">
        <w:t>English-language papers was greater than that</w:t>
      </w:r>
      <w:r w:rsidR="00427468">
        <w:t xml:space="preserve"> of </w:t>
      </w:r>
      <w:r w:rsidRPr="001A3D2B">
        <w:t>other languages by factors ranging from 2.4 to 14.4. Lastly,</w:t>
      </w:r>
      <w:r w:rsidR="003A1917">
        <w:t xml:space="preserve"> the </w:t>
      </w:r>
      <w:r w:rsidRPr="001A3D2B">
        <w:t>majority</w:t>
      </w:r>
      <w:r w:rsidR="00427468">
        <w:t xml:space="preserve"> of </w:t>
      </w:r>
      <w:r w:rsidRPr="001A3D2B">
        <w:t>citations to papers published in English, German, French, or Italian were from English-language papers</w:t>
      </w:r>
      <w:r w:rsidR="00A37C1D">
        <w:t>. The</w:t>
      </w:r>
      <w:r w:rsidR="003A1917">
        <w:t xml:space="preserve"> </w:t>
      </w:r>
      <w:r w:rsidRPr="001A3D2B">
        <w:t>exception was papers in Russian-more than 90 percent</w:t>
      </w:r>
      <w:r w:rsidR="00427468">
        <w:t xml:space="preserve"> of </w:t>
      </w:r>
      <w:r w:rsidRPr="001A3D2B">
        <w:t>citations they received were from Russian-language papers.</w:t>
      </w:r>
    </w:p>
    <w:p w:rsidR="003474F2" w:rsidRPr="001A3D2B" w:rsidRDefault="003474F2" w:rsidP="003474F2">
      <w:pPr>
        <w:pStyle w:val="a3"/>
      </w:pPr>
      <w:r w:rsidRPr="001A3D2B">
        <w:t>Keywords: Citation, Citation Patterns, Citations, Impact, Journals, Languages, Microbiology, Papers, Research, Trends</w:t>
      </w:r>
    </w:p>
    <w:p w:rsidR="00FD5BC4" w:rsidRDefault="00FD5BC4" w:rsidP="00FD5BC4">
      <w:pPr>
        <w:pStyle w:val="a3"/>
      </w:pPr>
      <w:r>
        <w:rPr>
          <w:rFonts w:eastAsia="新細明體" w:hint="eastAsia"/>
        </w:rPr>
        <w:t xml:space="preserve">? </w:t>
      </w:r>
      <w:r w:rsidRPr="0051264D">
        <w:t>Garfield, E. (1992), The uses and limitations</w:t>
      </w:r>
      <w:r w:rsidR="00427468">
        <w:t xml:space="preserve"> of </w:t>
      </w:r>
      <w:r w:rsidRPr="0051264D">
        <w:t xml:space="preserve">citation data as science indicators - an overview for students and nonspecialists (Reprinted from </w:t>
      </w:r>
      <w:r w:rsidRPr="00B479C9">
        <w:rPr>
          <w:i/>
        </w:rPr>
        <w:t>Science and Public-Policy</w:t>
      </w:r>
      <w:r w:rsidRPr="0051264D">
        <w:t xml:space="preserve">, Vol 19, Pg 321-327, 1992). </w:t>
      </w:r>
      <w:r w:rsidRPr="0051264D">
        <w:rPr>
          <w:i/>
        </w:rPr>
        <w:t>Current Contents</w:t>
      </w:r>
      <w:r w:rsidRPr="0051264D">
        <w:t xml:space="preserve">, </w:t>
      </w:r>
      <w:r w:rsidRPr="00AE2934">
        <w:rPr>
          <w:b/>
        </w:rPr>
        <w:t>49</w:t>
      </w:r>
      <w:r w:rsidRPr="0051264D">
        <w:t>, 3-</w:t>
      </w:r>
      <w:r>
        <w:t>4</w:t>
      </w:r>
      <w:r w:rsidRPr="0051264D">
        <w:t>.</w:t>
      </w:r>
    </w:p>
    <w:p w:rsidR="00FD5BC4" w:rsidRPr="00122CD5" w:rsidRDefault="00FD5BC4" w:rsidP="00FD5BC4">
      <w:pPr>
        <w:pStyle w:val="a3"/>
        <w:rPr>
          <w:rFonts w:eastAsia="新細明體"/>
        </w:rPr>
      </w:pPr>
      <w:bookmarkStart w:id="465" w:name="OLE_LINK25"/>
      <w:bookmarkStart w:id="466" w:name="OLE_LINK26"/>
      <w:r w:rsidRPr="0051264D">
        <w:t xml:space="preserve">Full Text: </w:t>
      </w:r>
      <w:hyperlink r:id="rId1108" w:history="1">
        <w:r w:rsidRPr="0008535E">
          <w:rPr>
            <w:rStyle w:val="a5"/>
          </w:rPr>
          <w:t>1992\Cur Con49, 3.pdf</w:t>
        </w:r>
        <w:bookmarkStart w:id="467" w:name="OLE_LINK11"/>
        <w:bookmarkEnd w:id="465"/>
        <w:bookmarkEnd w:id="466"/>
      </w:hyperlink>
      <w:bookmarkEnd w:id="467"/>
    </w:p>
    <w:p w:rsidR="00FD5BC4" w:rsidRDefault="00FD5BC4" w:rsidP="00FD5BC4">
      <w:pPr>
        <w:pStyle w:val="a3"/>
      </w:pPr>
      <w:r>
        <w:rPr>
          <w:rFonts w:eastAsia="新細明體" w:hint="eastAsia"/>
        </w:rPr>
        <w:t xml:space="preserve">? </w:t>
      </w:r>
      <w:r w:rsidRPr="0051264D">
        <w:t>Garfield, E. and Welljams</w:t>
      </w:r>
      <w:r>
        <w:t>-</w:t>
      </w:r>
      <w:r w:rsidRPr="0051264D">
        <w:t xml:space="preserve">Dorof, A. (1992), </w:t>
      </w:r>
      <w:r w:rsidRPr="00B479C9">
        <w:t>The uses and limitations</w:t>
      </w:r>
      <w:r w:rsidR="00427468">
        <w:t xml:space="preserve"> of </w:t>
      </w:r>
      <w:r w:rsidRPr="00B479C9">
        <w:t>citation data as science indicators - an overview for students and nonspecialists - Introduction to citation data - Their use as quantitative indicators for science and technology evaluation and policy making by Garfield,</w:t>
      </w:r>
      <w:r>
        <w:t xml:space="preserve"> </w:t>
      </w:r>
      <w:r w:rsidRPr="00B479C9">
        <w:t>Eugene and Welljams-Dorof,</w:t>
      </w:r>
      <w:r>
        <w:t xml:space="preserve"> </w:t>
      </w:r>
      <w:r w:rsidRPr="00B479C9">
        <w:t xml:space="preserve">Alfred (Reprinted from </w:t>
      </w:r>
      <w:r w:rsidRPr="00AE2934">
        <w:rPr>
          <w:i/>
        </w:rPr>
        <w:t>Science and Public-Policy</w:t>
      </w:r>
      <w:r w:rsidRPr="00B479C9">
        <w:t>, Vol 19, Pg 321-327, 1992)</w:t>
      </w:r>
      <w:r w:rsidRPr="0051264D">
        <w:t xml:space="preserve">. </w:t>
      </w:r>
      <w:r w:rsidRPr="0008535E">
        <w:rPr>
          <w:i/>
        </w:rPr>
        <w:t>Current Contents</w:t>
      </w:r>
      <w:r w:rsidRPr="0051264D">
        <w:t xml:space="preserve">, </w:t>
      </w:r>
      <w:r w:rsidRPr="00AE2934">
        <w:rPr>
          <w:b/>
        </w:rPr>
        <w:t>49</w:t>
      </w:r>
      <w:r w:rsidRPr="0051264D">
        <w:t>, 5-13.</w:t>
      </w:r>
    </w:p>
    <w:p w:rsidR="00FD5BC4" w:rsidRPr="0051264D" w:rsidRDefault="00FD5BC4" w:rsidP="00FD5BC4">
      <w:pPr>
        <w:pStyle w:val="a3"/>
      </w:pPr>
      <w:r w:rsidRPr="0051264D">
        <w:t xml:space="preserve">Full Text: </w:t>
      </w:r>
      <w:hyperlink r:id="rId1109" w:history="1">
        <w:r w:rsidRPr="0008535E">
          <w:rPr>
            <w:rStyle w:val="a5"/>
          </w:rPr>
          <w:t>1992\Cur Con49, 5.pdf</w:t>
        </w:r>
      </w:hyperlink>
    </w:p>
    <w:p w:rsidR="00FD5BC4" w:rsidRPr="00D72732" w:rsidRDefault="00FD5BC4" w:rsidP="00FD5BC4">
      <w:pPr>
        <w:pStyle w:val="a3"/>
      </w:pPr>
      <w:r>
        <w:t xml:space="preserve">Abstract: </w:t>
      </w:r>
      <w:r w:rsidRPr="0051264D">
        <w:t>Publication and citation data offer the potential to develop new quantitative, objective indicators</w:t>
      </w:r>
      <w:r w:rsidR="00427468">
        <w:t xml:space="preserve"> of </w:t>
      </w:r>
      <w:r w:rsidRPr="0051264D">
        <w:t>S&amp;T performance</w:t>
      </w:r>
      <w:r w:rsidR="00A37C1D">
        <w:t>. The</w:t>
      </w:r>
      <w:r w:rsidRPr="0051264D">
        <w:t xml:space="preserve"> limitations</w:t>
      </w:r>
      <w:r w:rsidR="00427468">
        <w:t xml:space="preserve"> of </w:t>
      </w:r>
      <w:r w:rsidRPr="0051264D">
        <w:t>these indicators is discussed</w:t>
      </w:r>
      <w:r w:rsidR="00A37C1D">
        <w:t>. The</w:t>
      </w:r>
      <w:r w:rsidRPr="0051264D">
        <w:t xml:space="preserve"> conclusion is that they provide a valuable and revealing addition to conventional methods</w:t>
      </w:r>
      <w:r w:rsidR="00427468">
        <w:t xml:space="preserve"> of </w:t>
      </w:r>
      <w:r w:rsidRPr="0051264D">
        <w:t>S&amp;T evaluation.</w:t>
      </w:r>
    </w:p>
    <w:p w:rsidR="00124FC2" w:rsidRPr="001A3D2B" w:rsidRDefault="00124FC2" w:rsidP="00124FC2">
      <w:pPr>
        <w:pStyle w:val="a3"/>
        <w:rPr>
          <w:kern w:val="0"/>
        </w:rPr>
      </w:pPr>
      <w:r w:rsidRPr="001A3D2B">
        <w:rPr>
          <w:kern w:val="0"/>
        </w:rPr>
        <w:t xml:space="preserve">? Garfield, E. (1993), A </w:t>
      </w:r>
      <w:r w:rsidR="008B638D" w:rsidRPr="001A3D2B">
        <w:rPr>
          <w:kern w:val="0"/>
        </w:rPr>
        <w:t>citationist p</w:t>
      </w:r>
      <w:r w:rsidRPr="001A3D2B">
        <w:rPr>
          <w:kern w:val="0"/>
        </w:rPr>
        <w:t xml:space="preserve">erspective on Xenobiotics </w:t>
      </w:r>
      <w:r w:rsidR="008B638D" w:rsidRPr="001A3D2B">
        <w:rPr>
          <w:kern w:val="0"/>
        </w:rPr>
        <w:t>research</w:t>
      </w:r>
      <w:r w:rsidRPr="001A3D2B">
        <w:rPr>
          <w:kern w:val="0"/>
        </w:rPr>
        <w:t>, 1981-1992 -</w:t>
      </w:r>
      <w:r w:rsidR="003A1917">
        <w:rPr>
          <w:kern w:val="0"/>
        </w:rPr>
        <w:t xml:space="preserve"> the </w:t>
      </w:r>
      <w:r w:rsidRPr="001A3D2B">
        <w:rPr>
          <w:kern w:val="0"/>
        </w:rPr>
        <w:t>highest impact papers, institutions,</w:t>
      </w:r>
      <w:r w:rsidR="005853A9">
        <w:rPr>
          <w:kern w:val="0"/>
        </w:rPr>
        <w:t xml:space="preserve"> and </w:t>
      </w:r>
      <w:r w:rsidRPr="001A3D2B">
        <w:rPr>
          <w:kern w:val="0"/>
        </w:rPr>
        <w:t xml:space="preserve">authors. </w:t>
      </w:r>
      <w:r w:rsidRPr="001A3D2B">
        <w:rPr>
          <w:i/>
          <w:iCs/>
          <w:kern w:val="0"/>
        </w:rPr>
        <w:t>Current Contents</w:t>
      </w:r>
      <w:r w:rsidRPr="001A3D2B">
        <w:rPr>
          <w:kern w:val="0"/>
        </w:rPr>
        <w:t xml:space="preserve">, </w:t>
      </w:r>
      <w:r w:rsidRPr="001A3D2B">
        <w:rPr>
          <w:b/>
          <w:bCs/>
          <w:kern w:val="0"/>
        </w:rPr>
        <w:t>3</w:t>
      </w:r>
      <w:r w:rsidRPr="001A3D2B">
        <w:rPr>
          <w:kern w:val="0"/>
        </w:rPr>
        <w:t>, 3-14.</w:t>
      </w:r>
    </w:p>
    <w:p w:rsidR="00124FC2" w:rsidRPr="001A3D2B" w:rsidRDefault="00124FC2" w:rsidP="00124FC2">
      <w:pPr>
        <w:pStyle w:val="a3"/>
        <w:rPr>
          <w:kern w:val="0"/>
        </w:rPr>
      </w:pPr>
      <w:r w:rsidRPr="001A3D2B">
        <w:rPr>
          <w:kern w:val="0"/>
        </w:rPr>
        <w:t>Abstract: A citation analysis</w:t>
      </w:r>
      <w:r w:rsidR="00427468">
        <w:rPr>
          <w:kern w:val="0"/>
        </w:rPr>
        <w:t xml:space="preserve"> of </w:t>
      </w:r>
      <w:r w:rsidR="003A1917">
        <w:rPr>
          <w:kern w:val="0"/>
        </w:rPr>
        <w:t xml:space="preserve">the </w:t>
      </w:r>
      <w:r w:rsidRPr="001A3D2B">
        <w:rPr>
          <w:kern w:val="0"/>
        </w:rPr>
        <w:t>xenobiotics literature published</w:t>
      </w:r>
      <w:r w:rsidR="005853A9">
        <w:rPr>
          <w:kern w:val="0"/>
        </w:rPr>
        <w:t xml:space="preserve"> and </w:t>
      </w:r>
      <w:r w:rsidRPr="001A3D2B">
        <w:rPr>
          <w:kern w:val="0"/>
        </w:rPr>
        <w:t>cited from 1981 through 1992 is presented. It is based on 45 ISI(R) indexed journals, representing 123,063 research papers, reviews.</w:t>
      </w:r>
      <w:r w:rsidR="005853A9">
        <w:rPr>
          <w:kern w:val="0"/>
        </w:rPr>
        <w:t xml:space="preserve"> and </w:t>
      </w:r>
      <w:r w:rsidRPr="001A3D2B">
        <w:rPr>
          <w:kern w:val="0"/>
        </w:rPr>
        <w:t>technical notes that received 986,375 citations</w:t>
      </w:r>
      <w:r w:rsidR="00A37C1D">
        <w:rPr>
          <w:kern w:val="0"/>
        </w:rPr>
        <w:t>. The</w:t>
      </w:r>
      <w:r w:rsidR="003A1917">
        <w:rPr>
          <w:kern w:val="0"/>
        </w:rPr>
        <w:t xml:space="preserve"> </w:t>
      </w:r>
      <w:r w:rsidRPr="001A3D2B">
        <w:rPr>
          <w:kern w:val="0"/>
        </w:rPr>
        <w:t>papers, institutions,</w:t>
      </w:r>
      <w:r w:rsidR="005853A9">
        <w:rPr>
          <w:kern w:val="0"/>
        </w:rPr>
        <w:t xml:space="preserve"> and </w:t>
      </w:r>
      <w:r w:rsidRPr="001A3D2B">
        <w:rPr>
          <w:kern w:val="0"/>
        </w:rPr>
        <w:t>authors with</w:t>
      </w:r>
      <w:r w:rsidR="003A1917">
        <w:rPr>
          <w:kern w:val="0"/>
        </w:rPr>
        <w:t xml:space="preserve"> the </w:t>
      </w:r>
      <w:r w:rsidRPr="001A3D2B">
        <w:rPr>
          <w:kern w:val="0"/>
        </w:rPr>
        <w:t>highest current impact on xenobiotics research are identified.</w:t>
      </w:r>
    </w:p>
    <w:p w:rsidR="00124FC2" w:rsidRPr="001A3D2B" w:rsidRDefault="00124FC2" w:rsidP="00124FC2">
      <w:pPr>
        <w:pStyle w:val="a3"/>
        <w:rPr>
          <w:kern w:val="0"/>
        </w:rPr>
      </w:pPr>
      <w:r w:rsidRPr="001A3D2B">
        <w:rPr>
          <w:kern w:val="0"/>
        </w:rPr>
        <w:t>Keywords: Analysis, Authors, Citation, Citation Analysis, Citations, Journals, Research</w:t>
      </w:r>
    </w:p>
    <w:p w:rsidR="003474F2" w:rsidRPr="001A3D2B" w:rsidRDefault="003474F2" w:rsidP="003474F2">
      <w:pPr>
        <w:pStyle w:val="a3"/>
      </w:pPr>
      <w:r w:rsidRPr="001A3D2B">
        <w:t>? Garfield, E. (1993), New SCI (Tm)</w:t>
      </w:r>
      <w:r w:rsidR="005853A9">
        <w:t xml:space="preserve"> and </w:t>
      </w:r>
      <w:r w:rsidR="00D5664A">
        <w:t>SSCI</w:t>
      </w:r>
      <w:r w:rsidRPr="001A3D2B">
        <w:t xml:space="preserve"> (Tm) CD ROM editions include abstracts, key words plus (Tm),</w:t>
      </w:r>
      <w:r w:rsidR="005853A9">
        <w:t xml:space="preserve"> and </w:t>
      </w:r>
      <w:r w:rsidRPr="001A3D2B">
        <w:t xml:space="preserve">monthly updates - An introduction to Science </w:t>
      </w:r>
      <w:r w:rsidRPr="001A3D2B">
        <w:lastRenderedPageBreak/>
        <w:t xml:space="preserve">Citation Index/Science Citation Index with abstracts on CD-ROM by Tomaivolo, Nicholas, G., Trolley, Jacqueline (Reprinted from CD-ROM Librarian, Vol 7, Pg 34, 1992). </w:t>
      </w:r>
      <w:r w:rsidRPr="001A3D2B">
        <w:rPr>
          <w:i/>
          <w:iCs/>
        </w:rPr>
        <w:t>Current Contents</w:t>
      </w:r>
      <w:r w:rsidRPr="001A3D2B">
        <w:t xml:space="preserve">, </w:t>
      </w:r>
      <w:r w:rsidRPr="001A3D2B">
        <w:rPr>
          <w:b/>
          <w:bCs/>
        </w:rPr>
        <w:t>7</w:t>
      </w:r>
      <w:r w:rsidRPr="001A3D2B">
        <w:t>, 3-12.</w:t>
      </w:r>
    </w:p>
    <w:p w:rsidR="003474F2" w:rsidRPr="001A3D2B" w:rsidRDefault="003474F2" w:rsidP="003474F2">
      <w:pPr>
        <w:pStyle w:val="a3"/>
      </w:pPr>
      <w:r w:rsidRPr="001A3D2B">
        <w:t>Keywords: CD</w:t>
      </w:r>
    </w:p>
    <w:p w:rsidR="003474F2" w:rsidRPr="001A3D2B" w:rsidRDefault="003474F2" w:rsidP="003474F2">
      <w:pPr>
        <w:pStyle w:val="a3"/>
      </w:pPr>
      <w:r w:rsidRPr="001A3D2B">
        <w:t>? Tomaiuolo, N.G.</w:t>
      </w:r>
      <w:r w:rsidR="005853A9">
        <w:t xml:space="preserve"> and </w:t>
      </w:r>
      <w:r w:rsidRPr="001A3D2B">
        <w:t xml:space="preserve">Trolley, J. (1993), Science Citation Index/Science Citation Index with abstracts on CD-ROM (Reprinted from CD-ROM-Librarian, Vol 7, Pg 34, 2 1992). </w:t>
      </w:r>
      <w:r w:rsidRPr="001A3D2B">
        <w:rPr>
          <w:i/>
          <w:iCs/>
        </w:rPr>
        <w:t>Current Contents</w:t>
      </w:r>
      <w:r w:rsidRPr="001A3D2B">
        <w:t xml:space="preserve">, </w:t>
      </w:r>
      <w:r w:rsidRPr="001A3D2B">
        <w:rPr>
          <w:b/>
          <w:bCs/>
        </w:rPr>
        <w:t>7</w:t>
      </w:r>
      <w:r w:rsidRPr="001A3D2B">
        <w:t>, 7-12.</w:t>
      </w:r>
    </w:p>
    <w:p w:rsidR="00F52791" w:rsidRDefault="00F52791" w:rsidP="00F52791">
      <w:pPr>
        <w:pStyle w:val="a3"/>
        <w:rPr>
          <w:kern w:val="0"/>
        </w:rPr>
      </w:pPr>
      <w:r>
        <w:rPr>
          <w:rFonts w:hint="eastAsia"/>
          <w:kern w:val="0"/>
        </w:rPr>
        <w:t xml:space="preserve">? </w:t>
      </w:r>
      <w:r>
        <w:rPr>
          <w:kern w:val="0"/>
        </w:rPr>
        <w:t>Garfield, E. (1993), A citationist perspective on science in Taiwan - Most cited papers, institutions,</w:t>
      </w:r>
      <w:r w:rsidR="005853A9">
        <w:rPr>
          <w:kern w:val="0"/>
        </w:rPr>
        <w:t xml:space="preserve"> and </w:t>
      </w:r>
      <w:r>
        <w:rPr>
          <w:kern w:val="0"/>
        </w:rPr>
        <w:t xml:space="preserve">authors, 1981-1992. </w:t>
      </w:r>
      <w:r>
        <w:rPr>
          <w:i/>
          <w:iCs/>
          <w:kern w:val="0"/>
        </w:rPr>
        <w:t>Current Contents</w:t>
      </w:r>
      <w:r>
        <w:rPr>
          <w:kern w:val="0"/>
        </w:rPr>
        <w:t xml:space="preserve">, </w:t>
      </w:r>
      <w:r>
        <w:rPr>
          <w:b/>
          <w:bCs/>
          <w:kern w:val="0"/>
        </w:rPr>
        <w:t>17</w:t>
      </w:r>
      <w:r>
        <w:rPr>
          <w:kern w:val="0"/>
        </w:rPr>
        <w:t>, 3-12.</w:t>
      </w:r>
    </w:p>
    <w:p w:rsidR="00F52791" w:rsidRDefault="00F52791" w:rsidP="00F52791">
      <w:pPr>
        <w:pStyle w:val="a3"/>
        <w:rPr>
          <w:kern w:val="0"/>
        </w:rPr>
      </w:pPr>
      <w:r>
        <w:rPr>
          <w:kern w:val="0"/>
        </w:rPr>
        <w:t>Abstract: A citation analysis</w:t>
      </w:r>
      <w:r w:rsidR="00427468">
        <w:rPr>
          <w:kern w:val="0"/>
        </w:rPr>
        <w:t xml:space="preserve"> of </w:t>
      </w:r>
      <w:r>
        <w:rPr>
          <w:kern w:val="0"/>
        </w:rPr>
        <w:t>current scientific research in Taiwan is presented, based on papers published</w:t>
      </w:r>
      <w:r w:rsidR="005853A9">
        <w:rPr>
          <w:kern w:val="0"/>
        </w:rPr>
        <w:t xml:space="preserve"> and </w:t>
      </w:r>
      <w:r>
        <w:rPr>
          <w:kern w:val="0"/>
        </w:rPr>
        <w:t>cited from 1981 through 1992</w:t>
      </w:r>
      <w:r w:rsidR="00A37C1D">
        <w:rPr>
          <w:kern w:val="0"/>
        </w:rPr>
        <w:t>. The</w:t>
      </w:r>
      <w:r w:rsidR="003A1917">
        <w:rPr>
          <w:kern w:val="0"/>
        </w:rPr>
        <w:t xml:space="preserve"> </w:t>
      </w:r>
      <w:r>
        <w:rPr>
          <w:kern w:val="0"/>
        </w:rPr>
        <w:t>data are drawn from 20,986 papers with at least one author based in Taiwan indexed in</w:t>
      </w:r>
      <w:r w:rsidR="003A1917">
        <w:rPr>
          <w:kern w:val="0"/>
        </w:rPr>
        <w:t xml:space="preserve"> the </w:t>
      </w:r>
      <w:r>
        <w:rPr>
          <w:kern w:val="0"/>
        </w:rPr>
        <w:t>Science Citation Index(R) (SCI(R))</w:t>
      </w:r>
      <w:r w:rsidR="00A37C1D">
        <w:rPr>
          <w:kern w:val="0"/>
        </w:rPr>
        <w:t>. The</w:t>
      </w:r>
      <w:r w:rsidR="003A1917">
        <w:rPr>
          <w:kern w:val="0"/>
        </w:rPr>
        <w:t xml:space="preserve"> </w:t>
      </w:r>
      <w:r>
        <w:rPr>
          <w:kern w:val="0"/>
        </w:rPr>
        <w:t>papers, institutions,</w:t>
      </w:r>
      <w:r w:rsidR="005853A9">
        <w:rPr>
          <w:kern w:val="0"/>
        </w:rPr>
        <w:t xml:space="preserve"> and </w:t>
      </w:r>
      <w:r>
        <w:rPr>
          <w:kern w:val="0"/>
        </w:rPr>
        <w:t>authors with</w:t>
      </w:r>
      <w:r w:rsidR="003A1917">
        <w:rPr>
          <w:kern w:val="0"/>
        </w:rPr>
        <w:t xml:space="preserve"> the </w:t>
      </w:r>
      <w:r>
        <w:rPr>
          <w:kern w:val="0"/>
        </w:rPr>
        <w:t>highest citation frequency</w:t>
      </w:r>
      <w:r w:rsidR="005853A9">
        <w:rPr>
          <w:kern w:val="0"/>
        </w:rPr>
        <w:t xml:space="preserve"> and </w:t>
      </w:r>
      <w:r>
        <w:rPr>
          <w:kern w:val="0"/>
        </w:rPr>
        <w:t>impact are identified.</w:t>
      </w:r>
    </w:p>
    <w:p w:rsidR="00F52791" w:rsidRDefault="00F52791" w:rsidP="00F52791">
      <w:pPr>
        <w:pStyle w:val="a3"/>
        <w:rPr>
          <w:kern w:val="0"/>
        </w:rPr>
      </w:pPr>
      <w:r>
        <w:rPr>
          <w:kern w:val="0"/>
        </w:rPr>
        <w:t>Keywords: Analysis, Author, Authors, Citation, Citation Analysis, Frequency, Impact, Institutions, Papers, Research, Science, Scientific Research, Taiwan</w:t>
      </w:r>
    </w:p>
    <w:p w:rsidR="003474F2" w:rsidRPr="001A3D2B" w:rsidRDefault="003474F2" w:rsidP="003474F2">
      <w:pPr>
        <w:pStyle w:val="a3"/>
      </w:pPr>
      <w:r w:rsidRPr="001A3D2B">
        <w:t>? Small, H. (1993), Macrolevel Changes in</w:t>
      </w:r>
      <w:r w:rsidR="003A1917">
        <w:t xml:space="preserve"> the </w:t>
      </w:r>
      <w:r w:rsidRPr="001A3D2B">
        <w:t>Structure</w:t>
      </w:r>
      <w:r w:rsidR="00427468">
        <w:t xml:space="preserve"> of </w:t>
      </w:r>
      <w:r w:rsidRPr="001A3D2B">
        <w:t xml:space="preserve">Cocitation Clusters - 1983-1989 (Reprinted from Scientometrics, Vol 26, Pg 5-20, 1993). </w:t>
      </w:r>
      <w:r w:rsidRPr="001A3D2B">
        <w:rPr>
          <w:i/>
          <w:iCs/>
        </w:rPr>
        <w:t>Current Contents</w:t>
      </w:r>
      <w:r w:rsidRPr="001A3D2B">
        <w:t xml:space="preserve">, </w:t>
      </w:r>
      <w:r w:rsidRPr="001A3D2B">
        <w:rPr>
          <w:b/>
          <w:bCs/>
        </w:rPr>
        <w:t>19</w:t>
      </w:r>
      <w:r w:rsidRPr="001A3D2B">
        <w:t>, 5-13.</w:t>
      </w:r>
    </w:p>
    <w:p w:rsidR="003474F2" w:rsidRPr="001A3D2B" w:rsidRDefault="003474F2" w:rsidP="003474F2">
      <w:pPr>
        <w:pStyle w:val="a3"/>
      </w:pPr>
      <w:r w:rsidRPr="001A3D2B">
        <w:t>Abstract: At ISI(R) we have used a consistent method for</w:t>
      </w:r>
      <w:r w:rsidR="003A1917">
        <w:t xml:space="preserve"> the </w:t>
      </w:r>
      <w:r w:rsidRPr="001A3D2B">
        <w:t>clustering</w:t>
      </w:r>
      <w:r w:rsidR="003A1917">
        <w:t xml:space="preserve"> the </w:t>
      </w:r>
      <w:r w:rsidRPr="001A3D2B">
        <w:t>combined Science Citation Index(R)</w:t>
      </w:r>
      <w:r w:rsidR="005853A9">
        <w:t xml:space="preserve"> and </w:t>
      </w:r>
      <w:r w:rsidRPr="001A3D2B">
        <w:t>Social Sciences Citation Index(R) for</w:t>
      </w:r>
      <w:r w:rsidR="003A1917">
        <w:t xml:space="preserve"> the </w:t>
      </w:r>
      <w:r w:rsidRPr="001A3D2B">
        <w:t>last seven years (1983 to 1989). This method involves clustering highly cited documents by single-link clustering</w:t>
      </w:r>
      <w:r w:rsidR="005853A9">
        <w:t xml:space="preserve"> and </w:t>
      </w:r>
      <w:r w:rsidRPr="001A3D2B">
        <w:t>then clustering</w:t>
      </w:r>
      <w:r w:rsidR="003A1917">
        <w:t xml:space="preserve"> the </w:t>
      </w:r>
      <w:r w:rsidRPr="001A3D2B">
        <w:t>resultant clusters, a total</w:t>
      </w:r>
      <w:r w:rsidR="00427468">
        <w:t xml:space="preserve"> of </w:t>
      </w:r>
      <w:r w:rsidRPr="001A3D2B">
        <w:t>four times. This gives a hierarchical or nested structure</w:t>
      </w:r>
      <w:r w:rsidR="00427468">
        <w:t xml:space="preserve"> of </w:t>
      </w:r>
      <w:r w:rsidRPr="001A3D2B">
        <w:t>clusters four levels deep. Relationships among clusters at a given level can be depicted by multidimensional scaling,</w:t>
      </w:r>
      <w:r w:rsidR="005853A9">
        <w:t xml:space="preserve"> and </w:t>
      </w:r>
      <w:r w:rsidRPr="001A3D2B">
        <w:t>by comparing successive year maps we can see how</w:t>
      </w:r>
      <w:r w:rsidR="003A1917">
        <w:t xml:space="preserve"> the </w:t>
      </w:r>
      <w:r w:rsidRPr="001A3D2B">
        <w:t>relationships</w:t>
      </w:r>
      <w:r w:rsidR="00427468">
        <w:t xml:space="preserve"> of </w:t>
      </w:r>
      <w:r w:rsidRPr="001A3D2B">
        <w:t>major disciplines have changed from year to year. We focus mainly on</w:t>
      </w:r>
      <w:r w:rsidR="003A1917">
        <w:t xml:space="preserve"> the </w:t>
      </w:r>
      <w:r w:rsidRPr="001A3D2B">
        <w:t>two highest levels</w:t>
      </w:r>
      <w:r w:rsidR="00427468">
        <w:t xml:space="preserve"> of </w:t>
      </w:r>
      <w:r w:rsidRPr="001A3D2B">
        <w:t>aggregation, C4</w:t>
      </w:r>
      <w:r w:rsidR="005853A9">
        <w:t xml:space="preserve"> and </w:t>
      </w:r>
      <w:r w:rsidRPr="001A3D2B">
        <w:t>C5, to make observations about structural changes in science involving</w:t>
      </w:r>
      <w:r w:rsidR="003A1917">
        <w:t xml:space="preserve"> the </w:t>
      </w:r>
      <w:r w:rsidRPr="001A3D2B">
        <w:t>major disciplines. Distinction is made between changes which appear to be cyclic or oscillatory in nature</w:t>
      </w:r>
      <w:r w:rsidR="005853A9">
        <w:t xml:space="preserve"> and </w:t>
      </w:r>
      <w:r w:rsidRPr="001A3D2B">
        <w:t>those which appear to be more permanent or unidirectional.</w:t>
      </w:r>
    </w:p>
    <w:p w:rsidR="003474F2" w:rsidRPr="001A3D2B" w:rsidRDefault="003474F2" w:rsidP="003474F2">
      <w:pPr>
        <w:pStyle w:val="a3"/>
      </w:pPr>
      <w:r w:rsidRPr="001A3D2B">
        <w:t>Keywords: Aggregation, Changes, Clustering, Multidimensional, Multidimensional Scaling, Nested, Permanent, Scaling, Science, Scientometrics, Structure</w:t>
      </w:r>
    </w:p>
    <w:p w:rsidR="00F52791" w:rsidRDefault="00F52791" w:rsidP="00F52791">
      <w:pPr>
        <w:pStyle w:val="a3"/>
        <w:rPr>
          <w:kern w:val="0"/>
        </w:rPr>
      </w:pPr>
      <w:r>
        <w:rPr>
          <w:rFonts w:hint="eastAsia"/>
          <w:kern w:val="0"/>
        </w:rPr>
        <w:t xml:space="preserve">? </w:t>
      </w:r>
      <w:r>
        <w:rPr>
          <w:kern w:val="0"/>
        </w:rPr>
        <w:t>Garfield, E. (1993</w:t>
      </w:r>
      <w:r w:rsidR="00F42EAC">
        <w:rPr>
          <w:kern w:val="0"/>
        </w:rPr>
        <w:t>), The</w:t>
      </w:r>
      <w:r w:rsidR="003A1917">
        <w:rPr>
          <w:kern w:val="0"/>
        </w:rPr>
        <w:t xml:space="preserve"> </w:t>
      </w:r>
      <w:r>
        <w:rPr>
          <w:kern w:val="0"/>
        </w:rPr>
        <w:t>role</w:t>
      </w:r>
      <w:r w:rsidR="00427468">
        <w:rPr>
          <w:kern w:val="0"/>
        </w:rPr>
        <w:t xml:space="preserve"> of </w:t>
      </w:r>
      <w:r>
        <w:rPr>
          <w:kern w:val="0"/>
        </w:rPr>
        <w:t>undergraduate colleges in research. 1. Highest output, most-cited,</w:t>
      </w:r>
      <w:r w:rsidR="005853A9">
        <w:rPr>
          <w:kern w:val="0"/>
        </w:rPr>
        <w:t xml:space="preserve"> and </w:t>
      </w:r>
      <w:r>
        <w:rPr>
          <w:kern w:val="0"/>
        </w:rPr>
        <w:t xml:space="preserve">highest impact institutions, 1981-1992. </w:t>
      </w:r>
      <w:r>
        <w:rPr>
          <w:i/>
          <w:iCs/>
          <w:kern w:val="0"/>
        </w:rPr>
        <w:t>Current Contents</w:t>
      </w:r>
      <w:r>
        <w:rPr>
          <w:kern w:val="0"/>
        </w:rPr>
        <w:t xml:space="preserve">, </w:t>
      </w:r>
      <w:r>
        <w:rPr>
          <w:b/>
          <w:bCs/>
          <w:kern w:val="0"/>
        </w:rPr>
        <w:t>23</w:t>
      </w:r>
      <w:r>
        <w:rPr>
          <w:kern w:val="0"/>
        </w:rPr>
        <w:t>, 5-11</w:t>
      </w:r>
      <w:r>
        <w:rPr>
          <w:rFonts w:hint="eastAsia"/>
          <w:kern w:val="0"/>
        </w:rPr>
        <w:t>.</w:t>
      </w:r>
    </w:p>
    <w:p w:rsidR="00F52791" w:rsidRDefault="00F52791" w:rsidP="00F52791">
      <w:pPr>
        <w:pStyle w:val="a3"/>
        <w:rPr>
          <w:kern w:val="0"/>
        </w:rPr>
      </w:pPr>
      <w:r>
        <w:rPr>
          <w:kern w:val="0"/>
        </w:rPr>
        <w:t>Keywords: Impact, Institutions, Research</w:t>
      </w:r>
    </w:p>
    <w:p w:rsidR="00F52791" w:rsidRDefault="00F52791" w:rsidP="00F52791">
      <w:pPr>
        <w:pStyle w:val="a3"/>
        <w:rPr>
          <w:kern w:val="0"/>
        </w:rPr>
      </w:pPr>
      <w:r>
        <w:rPr>
          <w:rFonts w:hint="eastAsia"/>
          <w:kern w:val="0"/>
        </w:rPr>
        <w:t xml:space="preserve">? </w:t>
      </w:r>
      <w:r>
        <w:rPr>
          <w:kern w:val="0"/>
        </w:rPr>
        <w:t>Garfield, E. (1993</w:t>
      </w:r>
      <w:r w:rsidR="00F42EAC">
        <w:rPr>
          <w:kern w:val="0"/>
        </w:rPr>
        <w:t>), The</w:t>
      </w:r>
      <w:r w:rsidR="003A1917">
        <w:rPr>
          <w:kern w:val="0"/>
        </w:rPr>
        <w:t xml:space="preserve"> </w:t>
      </w:r>
      <w:r>
        <w:rPr>
          <w:kern w:val="0"/>
        </w:rPr>
        <w:t>role</w:t>
      </w:r>
      <w:r w:rsidR="00427468">
        <w:rPr>
          <w:kern w:val="0"/>
        </w:rPr>
        <w:t xml:space="preserve"> of </w:t>
      </w:r>
      <w:r>
        <w:rPr>
          <w:kern w:val="0"/>
        </w:rPr>
        <w:t>undergraduate colleges in research. 2. Highest impact institutions</w:t>
      </w:r>
      <w:r w:rsidR="005853A9">
        <w:rPr>
          <w:kern w:val="0"/>
        </w:rPr>
        <w:t xml:space="preserve"> and </w:t>
      </w:r>
      <w:r>
        <w:rPr>
          <w:kern w:val="0"/>
        </w:rPr>
        <w:t xml:space="preserve">most-cited papers, 1981-1992. </w:t>
      </w:r>
      <w:r>
        <w:rPr>
          <w:i/>
          <w:iCs/>
          <w:kern w:val="0"/>
        </w:rPr>
        <w:t>Current Contents</w:t>
      </w:r>
      <w:r>
        <w:rPr>
          <w:kern w:val="0"/>
        </w:rPr>
        <w:t xml:space="preserve">, </w:t>
      </w:r>
      <w:r>
        <w:rPr>
          <w:b/>
          <w:bCs/>
          <w:kern w:val="0"/>
        </w:rPr>
        <w:t>25</w:t>
      </w:r>
      <w:r>
        <w:rPr>
          <w:kern w:val="0"/>
        </w:rPr>
        <w:t>, 3-9</w:t>
      </w:r>
      <w:r>
        <w:rPr>
          <w:rFonts w:hint="eastAsia"/>
          <w:kern w:val="0"/>
        </w:rPr>
        <w:t>.</w:t>
      </w:r>
    </w:p>
    <w:p w:rsidR="00F52791" w:rsidRDefault="00F52791" w:rsidP="00F52791">
      <w:pPr>
        <w:pStyle w:val="a3"/>
        <w:rPr>
          <w:kern w:val="0"/>
        </w:rPr>
      </w:pPr>
      <w:r>
        <w:rPr>
          <w:kern w:val="0"/>
        </w:rPr>
        <w:t>Keywords: Impact, Institutions, Research</w:t>
      </w:r>
    </w:p>
    <w:p w:rsidR="003474F2" w:rsidRPr="001A3D2B" w:rsidRDefault="003474F2" w:rsidP="003474F2">
      <w:pPr>
        <w:pStyle w:val="1"/>
      </w:pPr>
      <w:r w:rsidRPr="001A3D2B">
        <w:lastRenderedPageBreak/>
        <w:br w:type="page"/>
      </w:r>
      <w:bookmarkStart w:id="468" w:name="_Toc420815149"/>
      <w:r w:rsidRPr="001A3D2B">
        <w:lastRenderedPageBreak/>
        <w:t>Title: Current Contents/Agriculture Biology &amp; Environmental Sciences</w:t>
      </w:r>
      <w:bookmarkEnd w:id="468"/>
    </w:p>
    <w:p w:rsidR="003474F2" w:rsidRPr="001A3D2B" w:rsidRDefault="003474F2" w:rsidP="003474F2">
      <w:pPr>
        <w:pStyle w:val="12"/>
      </w:pPr>
      <w:r w:rsidRPr="001A3D2B">
        <w:t>Full Jour</w:t>
      </w:r>
      <w:bookmarkStart w:id="469" w:name="_Toc97332330"/>
      <w:r w:rsidRPr="001A3D2B">
        <w:t>nal Tit</w:t>
      </w:r>
      <w:bookmarkEnd w:id="469"/>
      <w:r w:rsidRPr="001A3D2B">
        <w:t>le: Current Contents/Agriculture Biology &amp; Environmental Sciences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0090-0508</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Inst Sci Inform Inc, </w:t>
      </w:r>
      <w:smartTag w:uri="urn:schemas-microsoft-com:office:smarttags" w:element="place">
        <w:smartTag w:uri="urn:schemas-microsoft-com:office:smarttags" w:element="City">
          <w:r w:rsidRPr="001A3D2B">
            <w:t>Philadelphia</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Ball, J.N. (1984), Citation classic:</w:t>
      </w:r>
      <w:r w:rsidR="003A1917">
        <w:t xml:space="preserve"> the </w:t>
      </w:r>
      <w:r w:rsidRPr="001A3D2B">
        <w:t>pituitary-gland - anatomy</w:t>
      </w:r>
      <w:r w:rsidR="005853A9">
        <w:t xml:space="preserve"> and </w:t>
      </w:r>
      <w:r w:rsidRPr="001A3D2B">
        <w:t xml:space="preserve">histophysiology. </w:t>
      </w:r>
      <w:r w:rsidRPr="001A3D2B">
        <w:rPr>
          <w:i/>
          <w:iCs/>
        </w:rPr>
        <w:t>Current Contents/Agriculture Biology &amp; Environmental Sciences</w:t>
      </w:r>
      <w:r w:rsidRPr="001A3D2B">
        <w:t>, (51), 18.</w:t>
      </w:r>
    </w:p>
    <w:p w:rsidR="003474F2" w:rsidRPr="001A3D2B" w:rsidRDefault="003474F2" w:rsidP="003474F2">
      <w:pPr>
        <w:pStyle w:val="1"/>
      </w:pPr>
      <w:r w:rsidRPr="001A3D2B">
        <w:br w:type="page"/>
      </w:r>
      <w:bookmarkStart w:id="470" w:name="_Toc420815150"/>
      <w:r w:rsidRPr="001A3D2B">
        <w:lastRenderedPageBreak/>
        <w:t xml:space="preserve">Title: </w:t>
      </w:r>
      <w:r w:rsidRPr="001A3D2B">
        <w:rPr>
          <w:iCs w:val="0"/>
          <w:szCs w:val="24"/>
        </w:rPr>
        <w:t>Current Contents/Life Sciences</w:t>
      </w:r>
      <w:bookmarkEnd w:id="470"/>
    </w:p>
    <w:p w:rsidR="003474F2" w:rsidRPr="001A3D2B" w:rsidRDefault="003474F2" w:rsidP="003474F2">
      <w:pPr>
        <w:pStyle w:val="12"/>
      </w:pPr>
      <w:r w:rsidRPr="001A3D2B">
        <w:t>Full Journal Title: Current Contents/Life Sciences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Cawkell, A.E. (1969), Search strategies using Science Citation Index. </w:t>
      </w:r>
      <w:r w:rsidRPr="001A3D2B">
        <w:rPr>
          <w:i/>
          <w:iCs/>
        </w:rPr>
        <w:t>Current Contents/Life Sciences</w:t>
      </w:r>
      <w:r w:rsidRPr="001A3D2B">
        <w:t xml:space="preserve">, </w:t>
      </w:r>
      <w:r w:rsidRPr="001A3D2B">
        <w:rPr>
          <w:b/>
          <w:bCs/>
        </w:rPr>
        <w:t>12</w:t>
      </w:r>
      <w:r w:rsidRPr="001A3D2B">
        <w:t xml:space="preserve"> (44), 90-??.</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xml:space="preserve">? Garfield, E. (1969), Search strategies using Science Citation Index. </w:t>
      </w:r>
      <w:r w:rsidRPr="001A3D2B">
        <w:rPr>
          <w:i/>
          <w:iCs/>
        </w:rPr>
        <w:t>Current Contents/Life Sciences</w:t>
      </w:r>
      <w:r w:rsidRPr="001A3D2B">
        <w:t xml:space="preserve">, </w:t>
      </w:r>
      <w:r w:rsidRPr="001A3D2B">
        <w:rPr>
          <w:b/>
          <w:bCs/>
        </w:rPr>
        <w:t>12</w:t>
      </w:r>
      <w:r w:rsidRPr="001A3D2B">
        <w:t xml:space="preserve"> (44), 89-??.</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xml:space="preserve">? Garfield, E. (1969), Would Mendels work have been ignored if Science Citation Index was available 100 years ago. </w:t>
      </w:r>
      <w:r w:rsidRPr="001A3D2B">
        <w:rPr>
          <w:i/>
          <w:iCs/>
        </w:rPr>
        <w:t>Current Contents/Life Sciences</w:t>
      </w:r>
      <w:r w:rsidRPr="001A3D2B">
        <w:t xml:space="preserve">, </w:t>
      </w:r>
      <w:r w:rsidRPr="001A3D2B">
        <w:rPr>
          <w:b/>
          <w:bCs/>
        </w:rPr>
        <w:t>12</w:t>
      </w:r>
      <w:r w:rsidRPr="001A3D2B">
        <w:t xml:space="preserve"> (47), 5-??.</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xml:space="preserve">? Garfield, E. (1970), Trained scientists use Science Citation Index to complete bibliographic citations </w:t>
      </w:r>
      <w:r w:rsidR="00745B29">
        <w:rPr>
          <w:rFonts w:hint="eastAsia"/>
        </w:rPr>
        <w:t>&amp;</w:t>
      </w:r>
      <w:r w:rsidRPr="001A3D2B">
        <w:t xml:space="preserve"> update searches. </w:t>
      </w:r>
      <w:r w:rsidRPr="001A3D2B">
        <w:rPr>
          <w:i/>
          <w:iCs/>
        </w:rPr>
        <w:t>Current Contents/Life Sciences</w:t>
      </w:r>
      <w:r w:rsidRPr="001A3D2B">
        <w:t xml:space="preserve">, </w:t>
      </w:r>
      <w:r w:rsidRPr="001A3D2B">
        <w:rPr>
          <w:b/>
          <w:bCs/>
        </w:rPr>
        <w:t>13</w:t>
      </w:r>
      <w:r w:rsidRPr="001A3D2B">
        <w:t xml:space="preserve"> (33), 5-??.</w:t>
      </w:r>
    </w:p>
    <w:p w:rsidR="003474F2" w:rsidRPr="001A3D2B" w:rsidRDefault="00745B29" w:rsidP="003474F2">
      <w:pPr>
        <w:pStyle w:val="a3"/>
      </w:pPr>
      <w:r>
        <w:t>Keywords: Citations</w:t>
      </w:r>
      <w:r>
        <w:rPr>
          <w:rFonts w:hint="eastAsia"/>
        </w:rPr>
        <w:t xml:space="preserve">, </w:t>
      </w:r>
      <w:r w:rsidR="003474F2" w:rsidRPr="001A3D2B">
        <w:t>Science Citation Index</w:t>
      </w:r>
    </w:p>
    <w:p w:rsidR="003474F2" w:rsidRPr="001A3D2B" w:rsidRDefault="003474F2" w:rsidP="003474F2">
      <w:pPr>
        <w:pStyle w:val="a3"/>
      </w:pPr>
      <w:r w:rsidRPr="001A3D2B">
        <w:t xml:space="preserve">? Garfield, E. (1970), Precise bibliographical verification with Science Citation Index. </w:t>
      </w:r>
      <w:r w:rsidRPr="001A3D2B">
        <w:rPr>
          <w:i/>
          <w:iCs/>
        </w:rPr>
        <w:t>Current Contents/Life Sciences</w:t>
      </w:r>
      <w:r w:rsidRPr="001A3D2B">
        <w:t xml:space="preserve">, </w:t>
      </w:r>
      <w:r w:rsidRPr="001A3D2B">
        <w:rPr>
          <w:b/>
          <w:bCs/>
        </w:rPr>
        <w:t>13</w:t>
      </w:r>
      <w:r w:rsidRPr="001A3D2B">
        <w:t xml:space="preserve"> (35), 4-??.</w:t>
      </w:r>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Garfield, E. (1971), How Science Citation Index overcomes linguistic</w:t>
      </w:r>
      <w:r w:rsidR="005853A9">
        <w:t xml:space="preserve"> and </w:t>
      </w:r>
      <w:r w:rsidRPr="001A3D2B">
        <w:t xml:space="preserve">terminological barrier to precise information retrieval. </w:t>
      </w:r>
      <w:r w:rsidRPr="001A3D2B">
        <w:rPr>
          <w:i/>
          <w:iCs/>
        </w:rPr>
        <w:t>Current Contents/Life Sciences</w:t>
      </w:r>
      <w:r w:rsidRPr="001A3D2B">
        <w:t xml:space="preserve">, </w:t>
      </w:r>
      <w:r w:rsidRPr="001A3D2B">
        <w:rPr>
          <w:b/>
          <w:bCs/>
        </w:rPr>
        <w:t>14</w:t>
      </w:r>
      <w:r w:rsidRPr="001A3D2B">
        <w:t xml:space="preserve"> (6), M1-??.</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Garfield, E. (1971), ISI Announces A 5-Year Cumulation</w:t>
      </w:r>
      <w:r w:rsidR="00427468">
        <w:t xml:space="preserve"> of </w:t>
      </w:r>
      <w:r w:rsidRPr="001A3D2B">
        <w:t xml:space="preserve">Science Citation Index. </w:t>
      </w:r>
      <w:r w:rsidRPr="001A3D2B">
        <w:rPr>
          <w:i/>
          <w:iCs/>
        </w:rPr>
        <w:t>Current Contents/Life Sciences</w:t>
      </w:r>
      <w:r w:rsidRPr="001A3D2B">
        <w:t xml:space="preserve">, </w:t>
      </w:r>
      <w:r w:rsidRPr="001A3D2B">
        <w:rPr>
          <w:b/>
          <w:bCs/>
        </w:rPr>
        <w:t>14</w:t>
      </w:r>
      <w:r w:rsidRPr="001A3D2B">
        <w:t xml:space="preserve"> (25), 5-??.</w:t>
      </w:r>
    </w:p>
    <w:p w:rsidR="00807EB0" w:rsidRDefault="00807EB0" w:rsidP="00807EB0">
      <w:pPr>
        <w:pStyle w:val="a3"/>
        <w:rPr>
          <w:szCs w:val="24"/>
        </w:rPr>
      </w:pPr>
      <w:r>
        <w:rPr>
          <w:rFonts w:hint="eastAsia"/>
          <w:szCs w:val="24"/>
        </w:rPr>
        <w:t xml:space="preserve">Full Text: </w:t>
      </w:r>
      <w:r w:rsidR="00B5119E">
        <w:rPr>
          <w:szCs w:val="24"/>
        </w:rPr>
        <w:t>1960-</w:t>
      </w:r>
      <w:r w:rsidRPr="00807EB0">
        <w:rPr>
          <w:szCs w:val="24"/>
        </w:rPr>
        <w:t>80\Cur Con Lif Sci14, 5</w:t>
      </w:r>
      <w:r>
        <w:rPr>
          <w:rFonts w:hint="eastAsia"/>
          <w:szCs w:val="24"/>
        </w:rPr>
        <w:t>-1</w:t>
      </w:r>
      <w:r w:rsidRPr="00807EB0">
        <w:rPr>
          <w:szCs w:val="24"/>
        </w:rPr>
        <w:t>.pdf</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Garfield, E. (1971), New C</w:t>
      </w:r>
      <w:r w:rsidR="00807EB0" w:rsidRPr="001A3D2B">
        <w:t>C/LS</w:t>
      </w:r>
      <w:r w:rsidR="00807EB0">
        <w:t xml:space="preserve"> </w:t>
      </w:r>
      <w:r w:rsidR="00807EB0" w:rsidRPr="001A3D2B">
        <w:t>weekly</w:t>
      </w:r>
      <w:r w:rsidR="00807EB0">
        <w:t xml:space="preserve"> </w:t>
      </w:r>
      <w:r w:rsidR="00807EB0" w:rsidRPr="001A3D2B">
        <w:t>subject</w:t>
      </w:r>
      <w:r w:rsidR="00807EB0">
        <w:t xml:space="preserve"> </w:t>
      </w:r>
      <w:r w:rsidR="00807EB0" w:rsidRPr="001A3D2B">
        <w:t>index means even greater cove</w:t>
      </w:r>
      <w:r w:rsidRPr="001A3D2B">
        <w:t xml:space="preserve">rage in </w:t>
      </w:r>
      <w:r w:rsidRPr="001A3D2B">
        <w:lastRenderedPageBreak/>
        <w:t xml:space="preserve">Science Citation Index. </w:t>
      </w:r>
      <w:r w:rsidRPr="001A3D2B">
        <w:rPr>
          <w:i/>
          <w:iCs/>
        </w:rPr>
        <w:t>Current Contents/Life Sciences</w:t>
      </w:r>
      <w:r w:rsidRPr="001A3D2B">
        <w:t xml:space="preserve">, </w:t>
      </w:r>
      <w:r w:rsidRPr="001A3D2B">
        <w:rPr>
          <w:b/>
          <w:bCs/>
        </w:rPr>
        <w:t>14</w:t>
      </w:r>
      <w:r w:rsidRPr="001A3D2B">
        <w:t xml:space="preserve"> (52), 5-??.</w:t>
      </w:r>
    </w:p>
    <w:p w:rsidR="00B5119E" w:rsidRDefault="00B5119E" w:rsidP="00B5119E">
      <w:pPr>
        <w:pStyle w:val="a3"/>
        <w:rPr>
          <w:szCs w:val="24"/>
        </w:rPr>
      </w:pPr>
      <w:r>
        <w:rPr>
          <w:rFonts w:hint="eastAsia"/>
          <w:szCs w:val="24"/>
        </w:rPr>
        <w:t xml:space="preserve">Full Text: </w:t>
      </w:r>
      <w:hyperlink r:id="rId1110" w:history="1">
        <w:r w:rsidRPr="00A41946">
          <w:rPr>
            <w:rStyle w:val="a5"/>
            <w:szCs w:val="24"/>
          </w:rPr>
          <w:t>1960-80\Cur Con Lif Sci14, 5.pdf</w:t>
        </w:r>
      </w:hyperlink>
    </w:p>
    <w:p w:rsidR="003474F2" w:rsidRPr="001A3D2B" w:rsidRDefault="003474F2" w:rsidP="003474F2">
      <w:pPr>
        <w:pStyle w:val="a3"/>
      </w:pPr>
      <w:r w:rsidRPr="001A3D2B">
        <w:t>Keywords: Science Citation Index</w:t>
      </w:r>
    </w:p>
    <w:p w:rsidR="006A1B90" w:rsidRDefault="006A1B90" w:rsidP="006A1B90">
      <w:pPr>
        <w:pStyle w:val="a3"/>
        <w:rPr>
          <w:kern w:val="0"/>
        </w:rPr>
      </w:pPr>
      <w:r>
        <w:rPr>
          <w:rFonts w:hint="eastAsia"/>
          <w:kern w:val="0"/>
        </w:rPr>
        <w:t xml:space="preserve">? </w:t>
      </w:r>
      <w:r>
        <w:rPr>
          <w:kern w:val="0"/>
        </w:rPr>
        <w:t>Garfield, E. (1972), Basic journal collection - ISI lists 50 most-cited scientific</w:t>
      </w:r>
      <w:r w:rsidR="005853A9">
        <w:rPr>
          <w:kern w:val="0"/>
        </w:rPr>
        <w:t xml:space="preserve"> and </w:t>
      </w:r>
      <w:r>
        <w:rPr>
          <w:kern w:val="0"/>
        </w:rPr>
        <w:t xml:space="preserve">technical journals. </w:t>
      </w:r>
      <w:r>
        <w:rPr>
          <w:i/>
          <w:iCs/>
          <w:kern w:val="0"/>
        </w:rPr>
        <w:t>Current Contents/Life Sciences</w:t>
      </w:r>
      <w:r>
        <w:rPr>
          <w:kern w:val="0"/>
        </w:rPr>
        <w:t xml:space="preserve">, </w:t>
      </w:r>
      <w:r>
        <w:rPr>
          <w:b/>
          <w:bCs/>
          <w:kern w:val="0"/>
        </w:rPr>
        <w:t>15</w:t>
      </w:r>
      <w:r>
        <w:rPr>
          <w:kern w:val="0"/>
        </w:rPr>
        <w:t xml:space="preserve"> (2), 3-</w:t>
      </w:r>
      <w:r>
        <w:rPr>
          <w:rFonts w:hint="eastAsia"/>
          <w:kern w:val="0"/>
        </w:rPr>
        <w:t>??.</w:t>
      </w:r>
    </w:p>
    <w:p w:rsidR="006A1B90" w:rsidRDefault="006A1B90" w:rsidP="006A1B90">
      <w:pPr>
        <w:pStyle w:val="a3"/>
        <w:rPr>
          <w:szCs w:val="24"/>
        </w:rPr>
      </w:pPr>
      <w:r>
        <w:rPr>
          <w:rFonts w:hint="eastAsia"/>
          <w:szCs w:val="24"/>
        </w:rPr>
        <w:t xml:space="preserve">Full Text: </w:t>
      </w:r>
      <w:r>
        <w:rPr>
          <w:szCs w:val="24"/>
        </w:rPr>
        <w:t>1960-80\Cur Con Lif Sci1</w:t>
      </w:r>
      <w:r>
        <w:rPr>
          <w:rFonts w:hint="eastAsia"/>
          <w:szCs w:val="24"/>
        </w:rPr>
        <w:t>5</w:t>
      </w:r>
      <w:r w:rsidRPr="00BC2993">
        <w:rPr>
          <w:szCs w:val="24"/>
        </w:rPr>
        <w:t xml:space="preserve">, </w:t>
      </w:r>
      <w:r>
        <w:rPr>
          <w:rFonts w:hint="eastAsia"/>
          <w:szCs w:val="24"/>
        </w:rPr>
        <w:t>3</w:t>
      </w:r>
      <w:r w:rsidRPr="00BC2993">
        <w:rPr>
          <w:szCs w:val="24"/>
        </w:rPr>
        <w:t>.pdf</w:t>
      </w:r>
    </w:p>
    <w:p w:rsidR="006A1B90" w:rsidRDefault="006A1B90" w:rsidP="006A1B90">
      <w:pPr>
        <w:pStyle w:val="a3"/>
        <w:rPr>
          <w:kern w:val="0"/>
        </w:rPr>
      </w:pPr>
      <w:r>
        <w:rPr>
          <w:kern w:val="0"/>
        </w:rPr>
        <w:t>Keywords: Journal, Journals</w:t>
      </w:r>
    </w:p>
    <w:p w:rsidR="003474F2" w:rsidRPr="001A3D2B" w:rsidRDefault="003474F2" w:rsidP="003474F2">
      <w:pPr>
        <w:pStyle w:val="a3"/>
        <w:rPr>
          <w:szCs w:val="24"/>
        </w:rPr>
      </w:pPr>
      <w:r w:rsidRPr="001A3D2B">
        <w:t>? Garfield, E. (1972), Information, power</w:t>
      </w:r>
      <w:r w:rsidR="005853A9">
        <w:t xml:space="preserve"> and </w:t>
      </w:r>
      <w:r w:rsidRPr="001A3D2B">
        <w:t xml:space="preserve">Science Citation Index. </w:t>
      </w:r>
      <w:r w:rsidRPr="001A3D2B">
        <w:rPr>
          <w:i/>
          <w:iCs/>
        </w:rPr>
        <w:t>Current Contents/Life Sciences</w:t>
      </w:r>
      <w:r w:rsidRPr="001A3D2B">
        <w:t xml:space="preserve">, </w:t>
      </w:r>
      <w:r w:rsidRPr="001A3D2B">
        <w:rPr>
          <w:b/>
          <w:bCs/>
        </w:rPr>
        <w:t>15</w:t>
      </w:r>
      <w:r w:rsidRPr="001A3D2B">
        <w:rPr>
          <w:szCs w:val="24"/>
        </w:rPr>
        <w:t xml:space="preserve"> (6), 5-??.</w:t>
      </w:r>
    </w:p>
    <w:p w:rsidR="003474F2" w:rsidRPr="001A3D2B" w:rsidRDefault="003474F2" w:rsidP="003474F2">
      <w:pPr>
        <w:pStyle w:val="a3"/>
        <w:rPr>
          <w:szCs w:val="24"/>
        </w:rPr>
      </w:pPr>
      <w:r w:rsidRPr="001A3D2B">
        <w:rPr>
          <w:szCs w:val="24"/>
        </w:rPr>
        <w:t>Keywords: Science Citation Index</w:t>
      </w:r>
    </w:p>
    <w:p w:rsidR="00B5119E" w:rsidRDefault="00B5119E" w:rsidP="00B5119E">
      <w:pPr>
        <w:pStyle w:val="a3"/>
        <w:rPr>
          <w:szCs w:val="24"/>
        </w:rPr>
      </w:pPr>
      <w:r>
        <w:rPr>
          <w:rFonts w:hint="eastAsia"/>
          <w:szCs w:val="24"/>
        </w:rPr>
        <w:t xml:space="preserve">Full Text: </w:t>
      </w:r>
      <w:hyperlink r:id="rId1111" w:history="1">
        <w:r w:rsidRPr="00A41946">
          <w:rPr>
            <w:rStyle w:val="a5"/>
            <w:szCs w:val="24"/>
          </w:rPr>
          <w:t>1960-80\Cur Con Lif Sci15, 5.pdf</w:t>
        </w:r>
      </w:hyperlink>
    </w:p>
    <w:p w:rsidR="00807EB0" w:rsidRDefault="00807EB0" w:rsidP="00807EB0">
      <w:pPr>
        <w:pStyle w:val="a3"/>
        <w:rPr>
          <w:szCs w:val="24"/>
        </w:rPr>
      </w:pPr>
      <w:r w:rsidRPr="001A3D2B">
        <w:t xml:space="preserve">? Garfield, E. (1972), </w:t>
      </w:r>
      <w:r w:rsidRPr="00807EB0">
        <w:rPr>
          <w:szCs w:val="24"/>
        </w:rPr>
        <w:t>Citations-to divided by items-published gives journal impact factor - ISI lists top 50 high-impact journals</w:t>
      </w:r>
      <w:r w:rsidR="00427468">
        <w:rPr>
          <w:szCs w:val="24"/>
        </w:rPr>
        <w:t xml:space="preserve"> of </w:t>
      </w:r>
      <w:r w:rsidRPr="00807EB0">
        <w:rPr>
          <w:szCs w:val="24"/>
        </w:rPr>
        <w:t>science</w:t>
      </w:r>
      <w:r w:rsidRPr="001A3D2B">
        <w:t xml:space="preserve">. </w:t>
      </w:r>
      <w:r w:rsidRPr="001A3D2B">
        <w:rPr>
          <w:i/>
          <w:iCs/>
        </w:rPr>
        <w:t>Current Contents/Life Sciences</w:t>
      </w:r>
      <w:r w:rsidRPr="001A3D2B">
        <w:t xml:space="preserve">, </w:t>
      </w:r>
      <w:r w:rsidRPr="001A3D2B">
        <w:rPr>
          <w:b/>
          <w:bCs/>
        </w:rPr>
        <w:t>15</w:t>
      </w:r>
      <w:r w:rsidRPr="001A3D2B">
        <w:rPr>
          <w:szCs w:val="24"/>
        </w:rPr>
        <w:t xml:space="preserve"> (</w:t>
      </w:r>
      <w:r>
        <w:rPr>
          <w:rFonts w:hint="eastAsia"/>
          <w:szCs w:val="24"/>
        </w:rPr>
        <w:t>8</w:t>
      </w:r>
      <w:r w:rsidRPr="001A3D2B">
        <w:rPr>
          <w:szCs w:val="24"/>
        </w:rPr>
        <w:t xml:space="preserve">), </w:t>
      </w:r>
      <w:r>
        <w:rPr>
          <w:rFonts w:hint="eastAsia"/>
          <w:szCs w:val="24"/>
        </w:rPr>
        <w:t>6</w:t>
      </w:r>
      <w:r w:rsidRPr="001A3D2B">
        <w:rPr>
          <w:szCs w:val="24"/>
        </w:rPr>
        <w:t>-??.</w:t>
      </w:r>
    </w:p>
    <w:p w:rsidR="00B5119E" w:rsidRDefault="00B5119E" w:rsidP="00B5119E">
      <w:pPr>
        <w:pStyle w:val="a3"/>
        <w:rPr>
          <w:szCs w:val="24"/>
        </w:rPr>
      </w:pPr>
      <w:r>
        <w:rPr>
          <w:rFonts w:hint="eastAsia"/>
          <w:szCs w:val="24"/>
        </w:rPr>
        <w:t xml:space="preserve">Full Text: </w:t>
      </w:r>
      <w:hyperlink r:id="rId1112" w:history="1">
        <w:r w:rsidRPr="00A41946">
          <w:rPr>
            <w:rStyle w:val="a5"/>
            <w:szCs w:val="24"/>
          </w:rPr>
          <w:t>1960-80\Cur Con Lif Sci15, 6.pdf</w:t>
        </w:r>
      </w:hyperlink>
    </w:p>
    <w:p w:rsidR="006B0869" w:rsidRPr="00C73C58" w:rsidRDefault="006B0869" w:rsidP="006B0869">
      <w:pPr>
        <w:pStyle w:val="1"/>
      </w:pPr>
      <w:r w:rsidRPr="00C73C58">
        <w:br w:type="page"/>
      </w:r>
      <w:bookmarkStart w:id="471" w:name="_Toc420815151"/>
      <w:r w:rsidRPr="00C73C58">
        <w:lastRenderedPageBreak/>
        <w:t xml:space="preserve">Title: </w:t>
      </w:r>
      <w:r w:rsidRPr="002321E5">
        <w:t>Current Drug Metabolism</w:t>
      </w:r>
      <w:bookmarkEnd w:id="471"/>
    </w:p>
    <w:p w:rsidR="006F2EBB" w:rsidRPr="00C73C58" w:rsidRDefault="006F2EBB" w:rsidP="006F2EBB">
      <w:pPr>
        <w:pStyle w:val="12"/>
      </w:pPr>
      <w:r w:rsidRPr="00C73C58">
        <w:t xml:space="preserve">Full Journal Title: </w:t>
      </w:r>
      <w:hyperlink r:id="rId1113" w:history="1">
        <w:r w:rsidRPr="008D3295">
          <w:rPr>
            <w:rStyle w:val="a5"/>
            <w:iCs/>
          </w:rPr>
          <w:t>Current Drug Metabolism</w:t>
        </w:r>
      </w:hyperlink>
    </w:p>
    <w:p w:rsidR="006B0869" w:rsidRPr="00C73C58" w:rsidRDefault="006B0869" w:rsidP="006B0869">
      <w:pPr>
        <w:pStyle w:val="12"/>
      </w:pPr>
      <w:r w:rsidRPr="00C73C58">
        <w:t xml:space="preserve">ISO Abbreviated Title: </w:t>
      </w:r>
    </w:p>
    <w:p w:rsidR="006B0869" w:rsidRPr="00C73C58" w:rsidRDefault="006B0869" w:rsidP="006B0869">
      <w:pPr>
        <w:pStyle w:val="12"/>
      </w:pPr>
      <w:r w:rsidRPr="00C73C58">
        <w:t xml:space="preserve">JCR Abbreviated Title: </w:t>
      </w:r>
    </w:p>
    <w:p w:rsidR="006B0869" w:rsidRPr="00C73C58" w:rsidRDefault="006B0869" w:rsidP="006B0869">
      <w:pPr>
        <w:pStyle w:val="12"/>
      </w:pPr>
      <w:r>
        <w:t xml:space="preserve">ISSN: </w:t>
      </w:r>
    </w:p>
    <w:p w:rsidR="006B0869" w:rsidRPr="00C73C58" w:rsidRDefault="006B0869" w:rsidP="006B0869">
      <w:pPr>
        <w:pStyle w:val="12"/>
      </w:pPr>
      <w:r w:rsidRPr="00C73C58">
        <w:t xml:space="preserve">Issues/Year: </w:t>
      </w:r>
    </w:p>
    <w:p w:rsidR="006B0869" w:rsidRPr="00C73C58" w:rsidRDefault="006B0869" w:rsidP="006B0869">
      <w:pPr>
        <w:pStyle w:val="12"/>
      </w:pPr>
      <w:r w:rsidRPr="00C73C58">
        <w:t xml:space="preserve">Journal Country/Territory: </w:t>
      </w:r>
    </w:p>
    <w:p w:rsidR="006B0869" w:rsidRPr="00C73C58" w:rsidRDefault="006B0869" w:rsidP="006B0869">
      <w:pPr>
        <w:pStyle w:val="12"/>
      </w:pPr>
      <w:r w:rsidRPr="00C73C58">
        <w:t xml:space="preserve">Language: </w:t>
      </w:r>
    </w:p>
    <w:p w:rsidR="006B0869" w:rsidRPr="00C73C58" w:rsidRDefault="006B0869" w:rsidP="006B0869">
      <w:pPr>
        <w:pStyle w:val="12"/>
      </w:pPr>
      <w:r w:rsidRPr="00C73C58">
        <w:t xml:space="preserve">Publisher: </w:t>
      </w:r>
    </w:p>
    <w:p w:rsidR="006B0869" w:rsidRPr="00C73C58" w:rsidRDefault="006B0869" w:rsidP="006B0869">
      <w:pPr>
        <w:pStyle w:val="12"/>
      </w:pPr>
      <w:r w:rsidRPr="00C73C58">
        <w:t xml:space="preserve">Publisher Address: </w:t>
      </w:r>
    </w:p>
    <w:p w:rsidR="006B0869" w:rsidRPr="00C73C58" w:rsidRDefault="006B0869" w:rsidP="006B0869">
      <w:pPr>
        <w:pStyle w:val="12"/>
      </w:pPr>
      <w:r w:rsidRPr="00C73C58">
        <w:t xml:space="preserve">Subject Categories: </w:t>
      </w:r>
    </w:p>
    <w:p w:rsidR="006B0869" w:rsidRPr="00C73C58" w:rsidRDefault="006B0869" w:rsidP="006B0869">
      <w:pPr>
        <w:pStyle w:val="12"/>
      </w:pPr>
      <w:r w:rsidRPr="00C73C58">
        <w:t xml:space="preserve">: Impact Factor </w:t>
      </w:r>
    </w:p>
    <w:p w:rsidR="006F2EBB" w:rsidRDefault="006F2EBB" w:rsidP="006B0869">
      <w:pPr>
        <w:pStyle w:val="a3"/>
        <w:rPr>
          <w:kern w:val="0"/>
        </w:rPr>
      </w:pPr>
      <w:r>
        <w:rPr>
          <w:rFonts w:hint="eastAsia"/>
          <w:kern w:val="0"/>
        </w:rPr>
        <w:t>Notes: TTopic</w:t>
      </w:r>
    </w:p>
    <w:p w:rsidR="006B0869" w:rsidRDefault="006B0869" w:rsidP="006B0869">
      <w:pPr>
        <w:pStyle w:val="a3"/>
        <w:rPr>
          <w:kern w:val="0"/>
        </w:rPr>
      </w:pPr>
      <w:r>
        <w:rPr>
          <w:rFonts w:hint="eastAsia"/>
          <w:kern w:val="0"/>
        </w:rPr>
        <w:t xml:space="preserve">? </w:t>
      </w:r>
      <w:r>
        <w:rPr>
          <w:kern w:val="0"/>
        </w:rPr>
        <w:t>Robert, C., Wilson, C.S., Guengerich, F.P.</w:t>
      </w:r>
      <w:r w:rsidR="005853A9">
        <w:rPr>
          <w:kern w:val="0"/>
        </w:rPr>
        <w:t xml:space="preserve"> and </w:t>
      </w:r>
      <w:r>
        <w:rPr>
          <w:kern w:val="0"/>
        </w:rPr>
        <w:t>Arreto, C.D. (2010), Evolution</w:t>
      </w:r>
      <w:r w:rsidR="00427468">
        <w:rPr>
          <w:kern w:val="0"/>
        </w:rPr>
        <w:t xml:space="preserve"> of </w:t>
      </w:r>
      <w:r w:rsidR="003A1917">
        <w:rPr>
          <w:kern w:val="0"/>
        </w:rPr>
        <w:t xml:space="preserve">the </w:t>
      </w:r>
      <w:r>
        <w:rPr>
          <w:kern w:val="0"/>
        </w:rPr>
        <w:t>scientific literature</w:t>
      </w:r>
      <w:r w:rsidR="00427468">
        <w:rPr>
          <w:kern w:val="0"/>
        </w:rPr>
        <w:t xml:space="preserve"> of </w:t>
      </w:r>
      <w:r>
        <w:rPr>
          <w:kern w:val="0"/>
        </w:rPr>
        <w:t xml:space="preserve">cytochrome P450 from 1977 to 2008. </w:t>
      </w:r>
      <w:r w:rsidRPr="002321E5">
        <w:rPr>
          <w:i/>
          <w:iCs/>
          <w:kern w:val="0"/>
        </w:rPr>
        <w:t>Current Drug Metabolism</w:t>
      </w:r>
      <w:r>
        <w:rPr>
          <w:kern w:val="0"/>
        </w:rPr>
        <w:t xml:space="preserve">, </w:t>
      </w:r>
      <w:r>
        <w:rPr>
          <w:b/>
          <w:bCs/>
          <w:kern w:val="0"/>
        </w:rPr>
        <w:t>11</w:t>
      </w:r>
      <w:r>
        <w:rPr>
          <w:kern w:val="0"/>
        </w:rPr>
        <w:t xml:space="preserve"> (2), 162-170.</w:t>
      </w:r>
    </w:p>
    <w:p w:rsidR="00A20347" w:rsidRDefault="00A20347" w:rsidP="00A20347">
      <w:pPr>
        <w:pStyle w:val="a3"/>
        <w:rPr>
          <w:kern w:val="0"/>
        </w:rPr>
      </w:pPr>
      <w:r>
        <w:rPr>
          <w:rFonts w:hint="eastAsia"/>
          <w:kern w:val="0"/>
        </w:rPr>
        <w:t>Full Text: 2010\</w:t>
      </w:r>
      <w:r>
        <w:rPr>
          <w:iCs/>
          <w:kern w:val="0"/>
        </w:rPr>
        <w:t>Cur Dru Met</w:t>
      </w:r>
      <w:r w:rsidRPr="002321E5">
        <w:rPr>
          <w:bCs/>
          <w:kern w:val="0"/>
        </w:rPr>
        <w:t>11</w:t>
      </w:r>
      <w:r>
        <w:rPr>
          <w:kern w:val="0"/>
        </w:rPr>
        <w:t>, 162</w:t>
      </w:r>
      <w:r>
        <w:rPr>
          <w:rFonts w:hint="eastAsia"/>
          <w:kern w:val="0"/>
        </w:rPr>
        <w:t>.pdf</w:t>
      </w:r>
    </w:p>
    <w:p w:rsidR="006B0869" w:rsidRDefault="006B0869" w:rsidP="006B0869">
      <w:pPr>
        <w:pStyle w:val="a3"/>
        <w:rPr>
          <w:kern w:val="0"/>
        </w:rPr>
      </w:pPr>
      <w:r>
        <w:rPr>
          <w:kern w:val="0"/>
        </w:rPr>
        <w:t>Abstract: This study traces</w:t>
      </w:r>
      <w:r w:rsidR="003A1917">
        <w:rPr>
          <w:kern w:val="0"/>
        </w:rPr>
        <w:t xml:space="preserve"> the </w:t>
      </w:r>
      <w:r>
        <w:rPr>
          <w:kern w:val="0"/>
        </w:rPr>
        <w:t>evolution</w:t>
      </w:r>
      <w:r w:rsidR="00427468">
        <w:rPr>
          <w:kern w:val="0"/>
        </w:rPr>
        <w:t xml:space="preserve"> of </w:t>
      </w:r>
      <w:r w:rsidR="003A1917">
        <w:rPr>
          <w:kern w:val="0"/>
        </w:rPr>
        <w:t xml:space="preserve">the </w:t>
      </w:r>
      <w:r>
        <w:rPr>
          <w:kern w:val="0"/>
        </w:rPr>
        <w:t>scientific literature on cytochrome P450 (P450) published during</w:t>
      </w:r>
      <w:r w:rsidR="003A1917">
        <w:rPr>
          <w:kern w:val="0"/>
        </w:rPr>
        <w:t xml:space="preserve"> the </w:t>
      </w:r>
      <w:r>
        <w:rPr>
          <w:kern w:val="0"/>
        </w:rPr>
        <w:t>last 30+ years (1977-2008). Using</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(R), P450 articles from</w:t>
      </w:r>
      <w:r w:rsidR="003A1917">
        <w:rPr>
          <w:kern w:val="0"/>
        </w:rPr>
        <w:t xml:space="preserve"> the </w:t>
      </w:r>
      <w:r>
        <w:rPr>
          <w:kern w:val="0"/>
        </w:rPr>
        <w:t>Science Citation Index Expanded (TM) published from 1977 to 2008 were retrieved</w:t>
      </w:r>
      <w:r w:rsidR="005853A9">
        <w:rPr>
          <w:kern w:val="0"/>
        </w:rPr>
        <w:t xml:space="preserve"> and </w:t>
      </w:r>
      <w:r>
        <w:rPr>
          <w:kern w:val="0"/>
        </w:rPr>
        <w:t>analyzed</w:t>
      </w:r>
      <w:r w:rsidR="00A37C1D">
        <w:rPr>
          <w:kern w:val="0"/>
        </w:rPr>
        <w:t>. The</w:t>
      </w:r>
      <w:r w:rsidR="003A1917">
        <w:rPr>
          <w:kern w:val="0"/>
        </w:rPr>
        <w:t xml:space="preserve"> </w:t>
      </w:r>
      <w:r>
        <w:rPr>
          <w:kern w:val="0"/>
        </w:rPr>
        <w:t>number</w:t>
      </w:r>
      <w:r w:rsidR="00427468">
        <w:rPr>
          <w:kern w:val="0"/>
        </w:rPr>
        <w:t xml:space="preserve"> of </w:t>
      </w:r>
      <w:r>
        <w:rPr>
          <w:kern w:val="0"/>
        </w:rPr>
        <w:t>P450 papers has increased from 342 articles in 1977-1978 to 2,357 in 2007-2008,</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contributing countries has grown from 23 countries for 1977-1978 to 76 for 2007-2008. While</w:t>
      </w:r>
      <w:r w:rsidR="003A1917">
        <w:rPr>
          <w:kern w:val="0"/>
        </w:rPr>
        <w:t xml:space="preserve"> the </w:t>
      </w:r>
      <w:r w:rsidR="00D5664A">
        <w:rPr>
          <w:kern w:val="0"/>
        </w:rPr>
        <w:t>USA</w:t>
      </w:r>
      <w:r w:rsidR="005853A9">
        <w:rPr>
          <w:kern w:val="0"/>
        </w:rPr>
        <w:t xml:space="preserve"> and </w:t>
      </w:r>
      <w:r>
        <w:rPr>
          <w:kern w:val="0"/>
        </w:rPr>
        <w:t>Japan were</w:t>
      </w:r>
      <w:r w:rsidR="003A1917">
        <w:rPr>
          <w:kern w:val="0"/>
        </w:rPr>
        <w:t xml:space="preserve"> the </w:t>
      </w:r>
      <w:r>
        <w:rPr>
          <w:kern w:val="0"/>
        </w:rPr>
        <w:t>most productive countries, along with several industrialized countries (e. g.</w:t>
      </w:r>
      <w:r w:rsidR="008E3069">
        <w:rPr>
          <w:kern w:val="0"/>
        </w:rPr>
        <w:t xml:space="preserve"> UK,</w:t>
      </w:r>
      <w:r>
        <w:rPr>
          <w:kern w:val="0"/>
        </w:rPr>
        <w:t xml:space="preserve"> Germany</w:t>
      </w:r>
      <w:r w:rsidR="005853A9">
        <w:rPr>
          <w:kern w:val="0"/>
        </w:rPr>
        <w:t xml:space="preserve"> and </w:t>
      </w:r>
      <w:r>
        <w:rPr>
          <w:kern w:val="0"/>
        </w:rPr>
        <w:t>Canada), two Asian countries have recently joined</w:t>
      </w:r>
      <w:r w:rsidR="003A1917">
        <w:rPr>
          <w:kern w:val="0"/>
        </w:rPr>
        <w:t xml:space="preserve"> the </w:t>
      </w:r>
      <w:r>
        <w:rPr>
          <w:kern w:val="0"/>
        </w:rPr>
        <w:t>group</w:t>
      </w:r>
      <w:r w:rsidR="00427468">
        <w:rPr>
          <w:kern w:val="0"/>
        </w:rPr>
        <w:t xml:space="preserve"> of </w:t>
      </w:r>
      <w:r>
        <w:rPr>
          <w:kern w:val="0"/>
        </w:rPr>
        <w:t>leading countries (in 2007-2008 China ranked 4(th)</w:t>
      </w:r>
      <w:r w:rsidR="005853A9">
        <w:rPr>
          <w:kern w:val="0"/>
        </w:rPr>
        <w:t xml:space="preserve"> and </w:t>
      </w:r>
      <w:r>
        <w:rPr>
          <w:kern w:val="0"/>
        </w:rPr>
        <w:t>South Korea, 7(th)). During 1977-2008,</w:t>
      </w:r>
      <w:r w:rsidR="003A1917">
        <w:rPr>
          <w:kern w:val="0"/>
        </w:rPr>
        <w:t xml:space="preserve"> the </w:t>
      </w:r>
      <w:r>
        <w:rPr>
          <w:kern w:val="0"/>
        </w:rPr>
        <w:t>number</w:t>
      </w:r>
      <w:r w:rsidR="00427468">
        <w:rPr>
          <w:kern w:val="0"/>
        </w:rPr>
        <w:t xml:space="preserve"> of </w:t>
      </w:r>
      <w:r>
        <w:rPr>
          <w:kern w:val="0"/>
        </w:rPr>
        <w:t>journals publishing papers in P450 research increased more than seven-fold (7.7): 94 journals in 1977-1978</w:t>
      </w:r>
      <w:r w:rsidR="005853A9">
        <w:rPr>
          <w:kern w:val="0"/>
        </w:rPr>
        <w:t xml:space="preserve"> and </w:t>
      </w:r>
      <w:r>
        <w:rPr>
          <w:kern w:val="0"/>
        </w:rPr>
        <w:t>724 in 2007-2008; however, citation by readers (as measured by</w:t>
      </w:r>
      <w:r w:rsidR="003A1917">
        <w:rPr>
          <w:kern w:val="0"/>
        </w:rPr>
        <w:t xml:space="preserve"> the </w:t>
      </w:r>
      <w:r>
        <w:rPr>
          <w:kern w:val="0"/>
        </w:rPr>
        <w:t>journal impact factor)</w:t>
      </w:r>
      <w:r w:rsidR="00427468">
        <w:rPr>
          <w:kern w:val="0"/>
        </w:rPr>
        <w:t xml:space="preserve"> of </w:t>
      </w:r>
      <w:r w:rsidR="003A1917">
        <w:rPr>
          <w:kern w:val="0"/>
        </w:rPr>
        <w:t xml:space="preserve">the </w:t>
      </w:r>
      <w:r>
        <w:rPr>
          <w:kern w:val="0"/>
        </w:rPr>
        <w:t>top-ten leading journals increased only slightly from 3.25 for 1977-1978 to 3.81 for 2007-2008. While Biochemistry &amp; Molecular Biology</w:t>
      </w:r>
      <w:r w:rsidR="005853A9">
        <w:rPr>
          <w:kern w:val="0"/>
        </w:rPr>
        <w:t xml:space="preserve"> and </w:t>
      </w:r>
      <w:r>
        <w:rPr>
          <w:kern w:val="0"/>
        </w:rPr>
        <w:t>Pharmacology</w:t>
      </w:r>
      <w:r w:rsidR="005853A9">
        <w:rPr>
          <w:kern w:val="0"/>
        </w:rPr>
        <w:t xml:space="preserve"> and </w:t>
      </w:r>
      <w:r>
        <w:rPr>
          <w:kern w:val="0"/>
        </w:rPr>
        <w:t>Pharmacy are</w:t>
      </w:r>
      <w:r w:rsidR="003A1917">
        <w:rPr>
          <w:kern w:val="0"/>
        </w:rPr>
        <w:t xml:space="preserve"> the </w:t>
      </w:r>
      <w:r>
        <w:rPr>
          <w:kern w:val="0"/>
        </w:rPr>
        <w:t>two main targeted subject areas for P450 research during</w:t>
      </w:r>
      <w:r w:rsidR="003A1917">
        <w:rPr>
          <w:kern w:val="0"/>
        </w:rPr>
        <w:t xml:space="preserve"> the </w:t>
      </w:r>
      <w:r>
        <w:rPr>
          <w:kern w:val="0"/>
        </w:rPr>
        <w:t>period considered, there has been a gradual shift from</w:t>
      </w:r>
      <w:r w:rsidR="003A1917">
        <w:rPr>
          <w:kern w:val="0"/>
        </w:rPr>
        <w:t xml:space="preserve"> the </w:t>
      </w:r>
      <w:r>
        <w:rPr>
          <w:kern w:val="0"/>
        </w:rPr>
        <w:t>biophysical</w:t>
      </w:r>
      <w:r w:rsidR="005853A9">
        <w:rPr>
          <w:kern w:val="0"/>
        </w:rPr>
        <w:t xml:space="preserve"> and </w:t>
      </w:r>
      <w:r>
        <w:rPr>
          <w:kern w:val="0"/>
        </w:rPr>
        <w:t>biochemical fields</w:t>
      </w:r>
      <w:r w:rsidR="00427468">
        <w:rPr>
          <w:kern w:val="0"/>
        </w:rPr>
        <w:t xml:space="preserve"> of </w:t>
      </w:r>
      <w:r>
        <w:rPr>
          <w:kern w:val="0"/>
        </w:rPr>
        <w:t>interest to aspects</w:t>
      </w:r>
      <w:r w:rsidR="00427468">
        <w:rPr>
          <w:kern w:val="0"/>
        </w:rPr>
        <w:t xml:space="preserve"> of </w:t>
      </w:r>
      <w:r>
        <w:rPr>
          <w:kern w:val="0"/>
        </w:rPr>
        <w:t>genomics</w:t>
      </w:r>
      <w:r w:rsidR="005853A9">
        <w:rPr>
          <w:kern w:val="0"/>
        </w:rPr>
        <w:t xml:space="preserve"> and </w:t>
      </w:r>
      <w:r>
        <w:rPr>
          <w:kern w:val="0"/>
        </w:rPr>
        <w:t>clinical approaches</w:t>
      </w:r>
      <w:r w:rsidR="00A37C1D">
        <w:rPr>
          <w:kern w:val="0"/>
        </w:rPr>
        <w:t>. The</w:t>
      </w:r>
      <w:r w:rsidR="003A1917">
        <w:rPr>
          <w:kern w:val="0"/>
        </w:rPr>
        <w:t xml:space="preserve"> </w:t>
      </w:r>
      <w:r>
        <w:rPr>
          <w:kern w:val="0"/>
        </w:rPr>
        <w:t>rapid evolution</w:t>
      </w:r>
      <w:r w:rsidR="00427468">
        <w:rPr>
          <w:kern w:val="0"/>
        </w:rPr>
        <w:t xml:space="preserve"> of </w:t>
      </w:r>
      <w:r>
        <w:rPr>
          <w:kern w:val="0"/>
        </w:rPr>
        <w:t>P450 research in</w:t>
      </w:r>
      <w:r w:rsidR="003A1917">
        <w:rPr>
          <w:kern w:val="0"/>
        </w:rPr>
        <w:t xml:space="preserve"> the </w:t>
      </w:r>
      <w:r>
        <w:rPr>
          <w:kern w:val="0"/>
        </w:rPr>
        <w:t>last 30+ years was accompanied by important changes in</w:t>
      </w:r>
      <w:r w:rsidR="003A1917">
        <w:rPr>
          <w:kern w:val="0"/>
        </w:rPr>
        <w:t xml:space="preserve"> the </w:t>
      </w:r>
      <w:r>
        <w:rPr>
          <w:kern w:val="0"/>
        </w:rPr>
        <w:t>landscape</w:t>
      </w:r>
      <w:r w:rsidR="00427468">
        <w:rPr>
          <w:kern w:val="0"/>
        </w:rPr>
        <w:t xml:space="preserve"> of </w:t>
      </w:r>
      <w:r w:rsidR="003A1917">
        <w:rPr>
          <w:kern w:val="0"/>
        </w:rPr>
        <w:t xml:space="preserve">the </w:t>
      </w:r>
      <w:r>
        <w:rPr>
          <w:kern w:val="0"/>
        </w:rPr>
        <w:t>contributing countries, in</w:t>
      </w:r>
      <w:r w:rsidR="003A1917">
        <w:rPr>
          <w:kern w:val="0"/>
        </w:rPr>
        <w:t xml:space="preserve"> the </w:t>
      </w:r>
      <w:r>
        <w:rPr>
          <w:kern w:val="0"/>
        </w:rPr>
        <w:t>subject domains,</w:t>
      </w:r>
      <w:r w:rsidR="005853A9">
        <w:rPr>
          <w:kern w:val="0"/>
        </w:rPr>
        <w:t xml:space="preserve"> and </w:t>
      </w:r>
      <w:r>
        <w:rPr>
          <w:kern w:val="0"/>
        </w:rPr>
        <w:t>consequently in</w:t>
      </w:r>
      <w:r w:rsidR="003A1917">
        <w:rPr>
          <w:kern w:val="0"/>
        </w:rPr>
        <w:t xml:space="preserve"> the </w:t>
      </w:r>
      <w:r>
        <w:rPr>
          <w:kern w:val="0"/>
        </w:rPr>
        <w:t xml:space="preserve">scientific journals targeted by </w:t>
      </w:r>
      <w:r>
        <w:rPr>
          <w:kern w:val="0"/>
        </w:rPr>
        <w:lastRenderedPageBreak/>
        <w:t>researchers.</w:t>
      </w:r>
    </w:p>
    <w:p w:rsidR="006B0869" w:rsidRDefault="006B0869" w:rsidP="006B0869">
      <w:pPr>
        <w:pStyle w:val="a3"/>
        <w:rPr>
          <w:kern w:val="0"/>
        </w:rPr>
      </w:pPr>
      <w:r>
        <w:rPr>
          <w:kern w:val="0"/>
        </w:rPr>
        <w:t>Keywords: Articles, Basic Research, Bibliometric Analysis, Bibliometrics, Canada, China, Chinese Populations, Citation, Country Analysis, Cytochrome P450, Evolution, Germany, History, Impact, Impact Factor, Interethnic Differences, Journal, Journal Analysis, Journal Impact, Journal Impact Factor, Journals, Korea, Landscape, Literature, Liver-Microsomes, Monoxide-Binding Pigment, P450, Pharmacokinetics, Publication Trends, Publishing, Research, Researchers, Science, Science Citation Index, Scientific Journals, Scientific Literature</w:t>
      </w:r>
      <w:r w:rsidR="00D5664A">
        <w:rPr>
          <w:kern w:val="0"/>
        </w:rPr>
        <w:t>, UK,</w:t>
      </w:r>
      <w:r>
        <w:rPr>
          <w:kern w:val="0"/>
        </w:rPr>
        <w:t xml:space="preserve">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p>
    <w:p w:rsidR="00171A00" w:rsidRPr="001A3D2B" w:rsidRDefault="00171A00" w:rsidP="00171A00">
      <w:pPr>
        <w:pStyle w:val="1"/>
      </w:pPr>
      <w:r w:rsidRPr="001A3D2B">
        <w:br w:type="page"/>
      </w:r>
      <w:bookmarkStart w:id="472" w:name="_Toc420815152"/>
      <w:r w:rsidRPr="001A3D2B">
        <w:lastRenderedPageBreak/>
        <w:t xml:space="preserve">Title: </w:t>
      </w:r>
      <w:r w:rsidRPr="00171A00">
        <w:t>Current Drug Targets</w:t>
      </w:r>
      <w:bookmarkEnd w:id="472"/>
    </w:p>
    <w:p w:rsidR="00171A00" w:rsidRPr="001A3D2B" w:rsidRDefault="00171A00" w:rsidP="00171A00">
      <w:pPr>
        <w:pStyle w:val="12"/>
      </w:pPr>
      <w:r w:rsidRPr="001A3D2B">
        <w:t xml:space="preserve">Full Journal Title: </w:t>
      </w:r>
      <w:r w:rsidRPr="00171A00">
        <w:rPr>
          <w:iCs/>
          <w:kern w:val="0"/>
        </w:rPr>
        <w:t>Current Drug Targets</w:t>
      </w:r>
    </w:p>
    <w:p w:rsidR="00171A00" w:rsidRPr="001A3D2B" w:rsidRDefault="00171A00" w:rsidP="00171A00">
      <w:pPr>
        <w:pStyle w:val="12"/>
      </w:pPr>
      <w:r w:rsidRPr="001A3D2B">
        <w:t xml:space="preserve">ISO Abbreviated Title: </w:t>
      </w:r>
    </w:p>
    <w:p w:rsidR="00171A00" w:rsidRPr="001A3D2B" w:rsidRDefault="00171A00" w:rsidP="00171A00">
      <w:pPr>
        <w:pStyle w:val="12"/>
      </w:pPr>
      <w:r w:rsidRPr="001A3D2B">
        <w:t xml:space="preserve">JCR Abbreviated Title: </w:t>
      </w:r>
    </w:p>
    <w:p w:rsidR="00171A00" w:rsidRPr="001A3D2B" w:rsidRDefault="00171A00" w:rsidP="00171A00">
      <w:pPr>
        <w:pStyle w:val="12"/>
      </w:pPr>
      <w:r w:rsidRPr="001A3D2B">
        <w:t xml:space="preserve">ISSN: </w:t>
      </w:r>
    </w:p>
    <w:p w:rsidR="00171A00" w:rsidRPr="001A3D2B" w:rsidRDefault="00171A00" w:rsidP="00171A00">
      <w:pPr>
        <w:pStyle w:val="12"/>
      </w:pPr>
      <w:r w:rsidRPr="001A3D2B">
        <w:t xml:space="preserve">Issues/Year: </w:t>
      </w:r>
    </w:p>
    <w:p w:rsidR="00171A00" w:rsidRPr="001A3D2B" w:rsidRDefault="00171A00" w:rsidP="00171A00">
      <w:pPr>
        <w:pStyle w:val="12"/>
      </w:pPr>
      <w:r w:rsidRPr="001A3D2B">
        <w:t xml:space="preserve">Journal Country/Territory: </w:t>
      </w:r>
    </w:p>
    <w:p w:rsidR="00171A00" w:rsidRPr="001A3D2B" w:rsidRDefault="00171A00" w:rsidP="00171A00">
      <w:pPr>
        <w:pStyle w:val="12"/>
      </w:pPr>
      <w:r w:rsidRPr="001A3D2B">
        <w:t xml:space="preserve">Language: </w:t>
      </w:r>
    </w:p>
    <w:p w:rsidR="00171A00" w:rsidRPr="001A3D2B" w:rsidRDefault="00171A00" w:rsidP="00171A00">
      <w:pPr>
        <w:pStyle w:val="12"/>
      </w:pPr>
      <w:r w:rsidRPr="001A3D2B">
        <w:t xml:space="preserve">Publisher: </w:t>
      </w:r>
    </w:p>
    <w:p w:rsidR="00171A00" w:rsidRPr="001A3D2B" w:rsidRDefault="00171A00" w:rsidP="00171A00">
      <w:pPr>
        <w:pStyle w:val="12"/>
      </w:pPr>
      <w:r w:rsidRPr="001A3D2B">
        <w:t xml:space="preserve">Publisher Address: </w:t>
      </w:r>
    </w:p>
    <w:p w:rsidR="00171A00" w:rsidRPr="001A3D2B" w:rsidRDefault="00171A00" w:rsidP="00171A00">
      <w:pPr>
        <w:pStyle w:val="12"/>
      </w:pPr>
      <w:r w:rsidRPr="001A3D2B">
        <w:t>Subject Categories:</w:t>
      </w:r>
    </w:p>
    <w:p w:rsidR="00171A00" w:rsidRPr="001A3D2B" w:rsidRDefault="00171A00" w:rsidP="00171A00">
      <w:pPr>
        <w:pStyle w:val="12"/>
      </w:pPr>
      <w:r w:rsidRPr="001A3D2B">
        <w:t xml:space="preserve">: Impact Factor </w:t>
      </w:r>
    </w:p>
    <w:p w:rsidR="00171A00" w:rsidRDefault="00171A00" w:rsidP="00171A00">
      <w:pPr>
        <w:pStyle w:val="a3"/>
        <w:rPr>
          <w:kern w:val="0"/>
        </w:rPr>
      </w:pPr>
      <w:r>
        <w:rPr>
          <w:rFonts w:hint="eastAsia"/>
          <w:kern w:val="0"/>
        </w:rPr>
        <w:t xml:space="preserve">? </w:t>
      </w:r>
      <w:r>
        <w:rPr>
          <w:kern w:val="0"/>
        </w:rPr>
        <w:t>Das, S.</w:t>
      </w:r>
      <w:r w:rsidR="005853A9">
        <w:rPr>
          <w:kern w:val="0"/>
        </w:rPr>
        <w:t xml:space="preserve"> and </w:t>
      </w:r>
      <w:r>
        <w:rPr>
          <w:kern w:val="0"/>
        </w:rPr>
        <w:t>Sakthiswary, R. (2013), Bone metabolism</w:t>
      </w:r>
      <w:r w:rsidR="005853A9">
        <w:rPr>
          <w:kern w:val="0"/>
        </w:rPr>
        <w:t xml:space="preserve"> and </w:t>
      </w:r>
      <w:r>
        <w:rPr>
          <w:kern w:val="0"/>
        </w:rPr>
        <w:t xml:space="preserve">histomorphometric changes in murine models treated with sclerostin antibody: A systematic review. </w:t>
      </w:r>
      <w:r w:rsidRPr="00171A00">
        <w:rPr>
          <w:i/>
          <w:iCs/>
          <w:kern w:val="0"/>
        </w:rPr>
        <w:t>Current Drug Targets</w:t>
      </w:r>
      <w:r>
        <w:rPr>
          <w:kern w:val="0"/>
        </w:rPr>
        <w:t xml:space="preserve">, </w:t>
      </w:r>
      <w:r>
        <w:rPr>
          <w:b/>
          <w:bCs/>
          <w:kern w:val="0"/>
        </w:rPr>
        <w:t>14</w:t>
      </w:r>
      <w:r>
        <w:rPr>
          <w:kern w:val="0"/>
        </w:rPr>
        <w:t xml:space="preserve"> (14), 1667-1674.</w:t>
      </w:r>
    </w:p>
    <w:p w:rsidR="00171A00" w:rsidRDefault="00171A00" w:rsidP="00171A00">
      <w:pPr>
        <w:pStyle w:val="a3"/>
        <w:rPr>
          <w:kern w:val="0"/>
        </w:rPr>
      </w:pPr>
      <w:r>
        <w:rPr>
          <w:rFonts w:hint="eastAsia"/>
          <w:kern w:val="0"/>
        </w:rPr>
        <w:t>Full Text: 2013\</w:t>
      </w:r>
      <w:r>
        <w:rPr>
          <w:iCs/>
          <w:kern w:val="0"/>
        </w:rPr>
        <w:t>Cur Dru Tar</w:t>
      </w:r>
      <w:r w:rsidRPr="00C43060">
        <w:rPr>
          <w:bCs/>
          <w:kern w:val="0"/>
        </w:rPr>
        <w:t>14</w:t>
      </w:r>
      <w:r>
        <w:rPr>
          <w:kern w:val="0"/>
        </w:rPr>
        <w:t>, 1667</w:t>
      </w:r>
      <w:r>
        <w:rPr>
          <w:rFonts w:hint="eastAsia"/>
          <w:kern w:val="0"/>
        </w:rPr>
        <w:t>.pdf</w:t>
      </w:r>
    </w:p>
    <w:p w:rsidR="00171A00" w:rsidRDefault="00171A00" w:rsidP="00171A00">
      <w:pPr>
        <w:pStyle w:val="a3"/>
        <w:rPr>
          <w:kern w:val="0"/>
        </w:rPr>
      </w:pPr>
      <w:r>
        <w:rPr>
          <w:kern w:val="0"/>
        </w:rPr>
        <w:t>Abstract: Preventing osteoporotic fractures in millions</w:t>
      </w:r>
      <w:r w:rsidR="00427468">
        <w:rPr>
          <w:kern w:val="0"/>
        </w:rPr>
        <w:t xml:space="preserve"> of </w:t>
      </w:r>
      <w:r>
        <w:rPr>
          <w:kern w:val="0"/>
        </w:rPr>
        <w:t>individuals may significantly reduce the associated morbidity</w:t>
      </w:r>
      <w:r w:rsidR="005853A9">
        <w:rPr>
          <w:kern w:val="0"/>
        </w:rPr>
        <w:t xml:space="preserve"> and </w:t>
      </w:r>
      <w:r>
        <w:rPr>
          <w:kern w:val="0"/>
        </w:rPr>
        <w:t>health-care expenditures incurred. As such, the search for newer anti-osteoporotic agents has been ongoing for years. Genetic studies have proven that the secreted protein sclerostin is one</w:t>
      </w:r>
      <w:r w:rsidR="00427468">
        <w:rPr>
          <w:kern w:val="0"/>
        </w:rPr>
        <w:t xml:space="preserve"> of </w:t>
      </w:r>
      <w:r>
        <w:rPr>
          <w:kern w:val="0"/>
        </w:rPr>
        <w:t>the main culprits, which negatively regulates the bone formation. Recently, sclerostin-neutralizing monoclonal antibodies (Scl-Ab) in rodent studies have shown positive effects on bone homeostasis. An extensive search</w:t>
      </w:r>
      <w:r w:rsidR="00427468">
        <w:rPr>
          <w:kern w:val="0"/>
        </w:rPr>
        <w:t xml:space="preserve"> of </w:t>
      </w:r>
      <w:r>
        <w:rPr>
          <w:kern w:val="0"/>
        </w:rPr>
        <w:t>the literature was performed in the BIOSIS, Cinahl, EMBASE, PubMed, Web</w:t>
      </w:r>
      <w:r w:rsidR="00427468">
        <w:rPr>
          <w:kern w:val="0"/>
        </w:rPr>
        <w:t xml:space="preserve"> of </w:t>
      </w:r>
      <w:r>
        <w:rPr>
          <w:kern w:val="0"/>
        </w:rPr>
        <w:t>Science</w:t>
      </w:r>
      <w:r w:rsidR="005853A9">
        <w:rPr>
          <w:kern w:val="0"/>
        </w:rPr>
        <w:t xml:space="preserve"> and </w:t>
      </w:r>
      <w:r>
        <w:rPr>
          <w:kern w:val="0"/>
        </w:rPr>
        <w:t>Cochrane Library databases to evaluate the published murine studies on the effects</w:t>
      </w:r>
      <w:r w:rsidR="00427468">
        <w:rPr>
          <w:kern w:val="0"/>
        </w:rPr>
        <w:t xml:space="preserve"> of </w:t>
      </w:r>
      <w:r>
        <w:rPr>
          <w:kern w:val="0"/>
        </w:rPr>
        <w:t>Scl-Ab on the bone metabolism</w:t>
      </w:r>
      <w:r w:rsidR="005853A9">
        <w:rPr>
          <w:kern w:val="0"/>
        </w:rPr>
        <w:t xml:space="preserve"> and </w:t>
      </w:r>
      <w:r>
        <w:rPr>
          <w:kern w:val="0"/>
        </w:rPr>
        <w:t>histomorphometric parameters. Our systematic review depicts a significant association between Scl-Ab administration</w:t>
      </w:r>
      <w:r w:rsidR="005853A9">
        <w:rPr>
          <w:kern w:val="0"/>
        </w:rPr>
        <w:t xml:space="preserve"> and </w:t>
      </w:r>
      <w:r>
        <w:rPr>
          <w:kern w:val="0"/>
        </w:rPr>
        <w:t>improvement in bone formation, bone density, bone volume</w:t>
      </w:r>
      <w:r w:rsidR="005853A9">
        <w:rPr>
          <w:kern w:val="0"/>
        </w:rPr>
        <w:t xml:space="preserve"> and </w:t>
      </w:r>
      <w:r>
        <w:rPr>
          <w:kern w:val="0"/>
        </w:rPr>
        <w:t>trabecular thickness.</w:t>
      </w:r>
    </w:p>
    <w:p w:rsidR="00171A00" w:rsidRDefault="00171A00" w:rsidP="00171A00">
      <w:pPr>
        <w:pStyle w:val="a3"/>
        <w:rPr>
          <w:kern w:val="0"/>
        </w:rPr>
      </w:pPr>
      <w:r>
        <w:rPr>
          <w:kern w:val="0"/>
        </w:rPr>
        <w:t>Keywords: Administration, Antibodies, Association, Bone, Bone Density, Bone Formation, Bone Histomorphometry, Bone Metabolism, Databases, Defect, Effects, Embase, Expenditures, Health Care, Improvement, Literature, Mass, Metabolism, Models, Morbidity, Osteoporosis, Protein, Pubmed, Rat Model, Review, Science, Sclerostin Antibody, Strength, Systematic Review, Volume, Web</w:t>
      </w:r>
      <w:r w:rsidR="00427468">
        <w:rPr>
          <w:kern w:val="0"/>
        </w:rPr>
        <w:t xml:space="preserve"> of </w:t>
      </w:r>
      <w:r>
        <w:rPr>
          <w:kern w:val="0"/>
        </w:rPr>
        <w:t>Science</w:t>
      </w:r>
    </w:p>
    <w:p w:rsidR="005311BC" w:rsidRPr="001A3D2B" w:rsidRDefault="005311BC" w:rsidP="005311BC">
      <w:pPr>
        <w:pStyle w:val="1"/>
      </w:pPr>
      <w:r w:rsidRPr="001A3D2B">
        <w:br w:type="page"/>
      </w:r>
      <w:bookmarkStart w:id="473" w:name="_Toc400023502"/>
      <w:bookmarkStart w:id="474" w:name="_Toc420815153"/>
      <w:r w:rsidRPr="001A3D2B">
        <w:lastRenderedPageBreak/>
        <w:t xml:space="preserve">Title: </w:t>
      </w:r>
      <w:r w:rsidRPr="0050296E">
        <w:t>Current HIV/AIDS Reports</w:t>
      </w:r>
      <w:bookmarkEnd w:id="473"/>
      <w:bookmarkEnd w:id="474"/>
    </w:p>
    <w:p w:rsidR="005311BC" w:rsidRPr="001A3D2B" w:rsidRDefault="005311BC" w:rsidP="005311BC">
      <w:pPr>
        <w:pStyle w:val="12"/>
      </w:pPr>
      <w:r w:rsidRPr="001A3D2B">
        <w:t xml:space="preserve">Full Journal Title: </w:t>
      </w:r>
      <w:r w:rsidRPr="0050296E">
        <w:rPr>
          <w:iCs/>
        </w:rPr>
        <w:t>Current HIV/AIDS Reports</w:t>
      </w:r>
    </w:p>
    <w:p w:rsidR="005311BC" w:rsidRPr="001A3D2B" w:rsidRDefault="005311BC" w:rsidP="005311BC">
      <w:pPr>
        <w:pStyle w:val="12"/>
      </w:pPr>
      <w:r w:rsidRPr="001A3D2B">
        <w:t xml:space="preserve">ISO Abbreviated Title: </w:t>
      </w:r>
    </w:p>
    <w:p w:rsidR="005311BC" w:rsidRPr="001A3D2B" w:rsidRDefault="005311BC" w:rsidP="005311BC">
      <w:pPr>
        <w:pStyle w:val="12"/>
      </w:pPr>
      <w:r w:rsidRPr="001A3D2B">
        <w:t xml:space="preserve">JCR Abbreviated Title: </w:t>
      </w:r>
    </w:p>
    <w:p w:rsidR="005311BC" w:rsidRPr="001A3D2B" w:rsidRDefault="005311BC" w:rsidP="005311BC">
      <w:pPr>
        <w:pStyle w:val="12"/>
      </w:pPr>
      <w:r w:rsidRPr="001A3D2B">
        <w:t xml:space="preserve">ISSN: </w:t>
      </w:r>
    </w:p>
    <w:p w:rsidR="005311BC" w:rsidRPr="001A3D2B" w:rsidRDefault="005311BC" w:rsidP="005311BC">
      <w:pPr>
        <w:pStyle w:val="12"/>
      </w:pPr>
      <w:r w:rsidRPr="001A3D2B">
        <w:t xml:space="preserve">Issues/Year: </w:t>
      </w:r>
    </w:p>
    <w:p w:rsidR="005311BC" w:rsidRPr="001A3D2B" w:rsidRDefault="005311BC" w:rsidP="005311BC">
      <w:pPr>
        <w:pStyle w:val="12"/>
      </w:pPr>
      <w:r w:rsidRPr="001A3D2B">
        <w:t xml:space="preserve">Journal Country/Territory: </w:t>
      </w:r>
    </w:p>
    <w:p w:rsidR="005311BC" w:rsidRPr="001A3D2B" w:rsidRDefault="005311BC" w:rsidP="005311BC">
      <w:pPr>
        <w:pStyle w:val="12"/>
      </w:pPr>
      <w:r w:rsidRPr="001A3D2B">
        <w:t xml:space="preserve">Language: </w:t>
      </w:r>
    </w:p>
    <w:p w:rsidR="005311BC" w:rsidRPr="001A3D2B" w:rsidRDefault="005311BC" w:rsidP="005311BC">
      <w:pPr>
        <w:pStyle w:val="12"/>
      </w:pPr>
      <w:r w:rsidRPr="001A3D2B">
        <w:t xml:space="preserve">Publisher: </w:t>
      </w:r>
    </w:p>
    <w:p w:rsidR="005311BC" w:rsidRPr="001A3D2B" w:rsidRDefault="005311BC" w:rsidP="005311BC">
      <w:pPr>
        <w:pStyle w:val="12"/>
      </w:pPr>
      <w:r w:rsidRPr="001A3D2B">
        <w:t xml:space="preserve">Publisher Address: </w:t>
      </w:r>
    </w:p>
    <w:p w:rsidR="005311BC" w:rsidRPr="001A3D2B" w:rsidRDefault="005311BC" w:rsidP="005311BC">
      <w:pPr>
        <w:pStyle w:val="12"/>
      </w:pPr>
      <w:r w:rsidRPr="001A3D2B">
        <w:t>Subject Categories:</w:t>
      </w:r>
    </w:p>
    <w:p w:rsidR="005311BC" w:rsidRPr="001A3D2B" w:rsidRDefault="005311BC" w:rsidP="005311BC">
      <w:pPr>
        <w:pStyle w:val="12"/>
      </w:pPr>
      <w:r w:rsidRPr="001A3D2B">
        <w:t xml:space="preserve">: Impact Factor </w:t>
      </w:r>
    </w:p>
    <w:p w:rsidR="005311BC" w:rsidRDefault="005311BC" w:rsidP="005311BC">
      <w:pPr>
        <w:pStyle w:val="a3"/>
        <w:rPr>
          <w:kern w:val="0"/>
        </w:rPr>
      </w:pPr>
      <w:r>
        <w:rPr>
          <w:rFonts w:hint="eastAsia"/>
          <w:kern w:val="0"/>
        </w:rPr>
        <w:t xml:space="preserve">? </w:t>
      </w:r>
      <w:r w:rsidRPr="00921CDD">
        <w:rPr>
          <w:kern w:val="0"/>
        </w:rPr>
        <w:t>Uthman, O</w:t>
      </w:r>
      <w:r>
        <w:rPr>
          <w:rFonts w:hint="eastAsia"/>
          <w:kern w:val="0"/>
        </w:rPr>
        <w:t>.</w:t>
      </w:r>
      <w:r w:rsidRPr="00921CDD">
        <w:rPr>
          <w:kern w:val="0"/>
        </w:rPr>
        <w:t>A</w:t>
      </w:r>
      <w:r>
        <w:rPr>
          <w:rFonts w:hint="eastAsia"/>
          <w:kern w:val="0"/>
        </w:rPr>
        <w:t>.,</w:t>
      </w:r>
      <w:r w:rsidRPr="00921CDD">
        <w:rPr>
          <w:kern w:val="0"/>
        </w:rPr>
        <w:t xml:space="preserve"> Magidson, J</w:t>
      </w:r>
      <w:r>
        <w:rPr>
          <w:rFonts w:hint="eastAsia"/>
          <w:kern w:val="0"/>
        </w:rPr>
        <w:t>.</w:t>
      </w:r>
      <w:r w:rsidRPr="00921CDD">
        <w:rPr>
          <w:kern w:val="0"/>
        </w:rPr>
        <w:t>F</w:t>
      </w:r>
      <w:r>
        <w:rPr>
          <w:rFonts w:hint="eastAsia"/>
          <w:kern w:val="0"/>
        </w:rPr>
        <w:t>.,</w:t>
      </w:r>
      <w:r w:rsidRPr="00921CDD">
        <w:rPr>
          <w:kern w:val="0"/>
        </w:rPr>
        <w:t xml:space="preserve"> Safren, S</w:t>
      </w:r>
      <w:r>
        <w:rPr>
          <w:rFonts w:hint="eastAsia"/>
          <w:kern w:val="0"/>
        </w:rPr>
        <w:t>.</w:t>
      </w:r>
      <w:r w:rsidRPr="00921CDD">
        <w:rPr>
          <w:kern w:val="0"/>
        </w:rPr>
        <w:t>A</w:t>
      </w:r>
      <w:r>
        <w:rPr>
          <w:rFonts w:hint="eastAsia"/>
          <w:kern w:val="0"/>
        </w:rPr>
        <w:t>. and</w:t>
      </w:r>
      <w:r w:rsidRPr="00921CDD">
        <w:rPr>
          <w:kern w:val="0"/>
        </w:rPr>
        <w:t xml:space="preserve"> Nachega, J</w:t>
      </w:r>
      <w:r>
        <w:rPr>
          <w:rFonts w:hint="eastAsia"/>
          <w:kern w:val="0"/>
        </w:rPr>
        <w:t>.</w:t>
      </w:r>
      <w:r w:rsidRPr="00921CDD">
        <w:rPr>
          <w:kern w:val="0"/>
        </w:rPr>
        <w:t>B</w:t>
      </w:r>
      <w:r>
        <w:rPr>
          <w:rFonts w:hint="eastAsia"/>
          <w:kern w:val="0"/>
        </w:rPr>
        <w:t>.</w:t>
      </w:r>
      <w:r>
        <w:rPr>
          <w:kern w:val="0"/>
        </w:rPr>
        <w:t xml:space="preserve"> (201</w:t>
      </w:r>
      <w:r>
        <w:rPr>
          <w:rFonts w:hint="eastAsia"/>
          <w:kern w:val="0"/>
        </w:rPr>
        <w:t>4</w:t>
      </w:r>
      <w:r>
        <w:rPr>
          <w:kern w:val="0"/>
        </w:rPr>
        <w:t xml:space="preserve">), </w:t>
      </w:r>
      <w:r w:rsidRPr="00921CDD">
        <w:rPr>
          <w:kern w:val="0"/>
        </w:rPr>
        <w:t>Depression and adherence to antiretroviral therapy in low-, middle- and high-income countries: A systematic review and meta-analysis</w:t>
      </w:r>
      <w:r>
        <w:rPr>
          <w:kern w:val="0"/>
        </w:rPr>
        <w:t xml:space="preserve">. </w:t>
      </w:r>
      <w:r w:rsidRPr="0050296E">
        <w:rPr>
          <w:i/>
          <w:iCs/>
          <w:kern w:val="0"/>
        </w:rPr>
        <w:t>Current HIV/AIDS Reports</w:t>
      </w:r>
      <w:r>
        <w:rPr>
          <w:kern w:val="0"/>
        </w:rPr>
        <w:t xml:space="preserve">, </w:t>
      </w:r>
      <w:r>
        <w:rPr>
          <w:b/>
          <w:bCs/>
          <w:kern w:val="0"/>
        </w:rPr>
        <w:t>1</w:t>
      </w:r>
      <w:r>
        <w:rPr>
          <w:rFonts w:hint="eastAsia"/>
          <w:b/>
          <w:bCs/>
          <w:kern w:val="0"/>
        </w:rPr>
        <w:t>1</w:t>
      </w:r>
      <w:r>
        <w:rPr>
          <w:kern w:val="0"/>
        </w:rPr>
        <w:t xml:space="preserve"> (</w:t>
      </w:r>
      <w:r>
        <w:rPr>
          <w:rFonts w:hint="eastAsia"/>
          <w:kern w:val="0"/>
        </w:rPr>
        <w:t>3</w:t>
      </w:r>
      <w:r>
        <w:rPr>
          <w:kern w:val="0"/>
        </w:rPr>
        <w:t xml:space="preserve">), </w:t>
      </w:r>
      <w:r w:rsidRPr="00921CDD">
        <w:rPr>
          <w:kern w:val="0"/>
        </w:rPr>
        <w:t>291-307</w:t>
      </w:r>
      <w:r>
        <w:rPr>
          <w:rFonts w:hint="eastAsia"/>
          <w:kern w:val="0"/>
        </w:rPr>
        <w:t>.</w:t>
      </w:r>
    </w:p>
    <w:p w:rsidR="005311BC" w:rsidRDefault="005311BC" w:rsidP="005311BC">
      <w:pPr>
        <w:pStyle w:val="a3"/>
        <w:rPr>
          <w:kern w:val="0"/>
        </w:rPr>
      </w:pPr>
      <w:r>
        <w:rPr>
          <w:rFonts w:hint="eastAsia"/>
          <w:kern w:val="0"/>
        </w:rPr>
        <w:t xml:space="preserve">Full Text: </w:t>
      </w:r>
      <w:hyperlink r:id="rId1114" w:history="1">
        <w:r w:rsidRPr="00921CDD">
          <w:rPr>
            <w:rStyle w:val="a5"/>
            <w:kern w:val="0"/>
          </w:rPr>
          <w:t>2014\Cur HIV AID Rep11, 291.pdf</w:t>
        </w:r>
      </w:hyperlink>
    </w:p>
    <w:p w:rsidR="005311BC" w:rsidRPr="00921CDD" w:rsidRDefault="005311BC" w:rsidP="005311BC">
      <w:pPr>
        <w:pStyle w:val="a3"/>
        <w:rPr>
          <w:kern w:val="0"/>
        </w:rPr>
      </w:pPr>
      <w:r w:rsidRPr="00921CDD">
        <w:rPr>
          <w:kern w:val="0"/>
        </w:rPr>
        <w:t>Abstract</w:t>
      </w:r>
      <w:r>
        <w:rPr>
          <w:rFonts w:hint="eastAsia"/>
          <w:kern w:val="0"/>
        </w:rPr>
        <w:t xml:space="preserve">: </w:t>
      </w:r>
      <w:r w:rsidRPr="00921CDD">
        <w:rPr>
          <w:kern w:val="0"/>
        </w:rPr>
        <w:t>We investigated the associations between depressive symptoms and adherence to antiretroviral therapy (ART) among people living with HIV (PLHIV). We searched the PubMed, EMBASE and Cochrane CENTRAL databases for studies that reported an association between depression and adherence to ART as a primary or secondary outcome. We used a random-effect model to pool the risk estimates from the individual studies. The odds ratio (OR) with their 95 % CIs were used as summary estimates. Of 2861 citations, 111 studies that recruited 42,366 PLHIV met our inclusion criteria. When reported, the rate of PLHIV with depressive symptoms ranged from 12.8 to 78 % and the proportion of PLHIV who achieved good adherence (&gt;= 80 %) ranged from 20 to 98 %. There were no significant differences in rate of depressive symptoms in PLHIV by country income group; however, the proportion of PLHIV who achieved good adherence was significantly higher in lower-income countries (as defined in the 2012 World Bank Country Income Groups) (pooled rate = 86 %) compared to higher-income countries (pooled rate = 67.5 %; p &lt; .05). We found that the likelihood of achieving good ART adherence was 42 % lower among those with depressive symptoms compared to those without (pooled OR = 0.58, 95 % CI 0.55 to 0.62). The relationship between depressive symptoms and adherence to ART was consistent across the country</w:t>
      </w:r>
      <w:r w:rsidR="0071223E">
        <w:rPr>
          <w:kern w:val="0"/>
        </w:rPr>
        <w:t>’</w:t>
      </w:r>
      <w:r w:rsidRPr="00921CDD">
        <w:rPr>
          <w:kern w:val="0"/>
        </w:rPr>
        <w:t xml:space="preserve">s income group, study design and adherence rates. We found that the magnitude of the association significantly decreases with more recent publications and increasing study sample size. The higher the prevalence of depressive symptoms of PLHIV recruited in the </w:t>
      </w:r>
      <w:r w:rsidRPr="00921CDD">
        <w:rPr>
          <w:kern w:val="0"/>
        </w:rPr>
        <w:lastRenderedPageBreak/>
        <w:t>studies, the lower the likelihood of achieving good adherence to ART. In conclusion, the likelihood of achieving good adherence was lower among those with depressive symptoms compared to those without.</w:t>
      </w:r>
    </w:p>
    <w:p w:rsidR="005311BC" w:rsidRDefault="005311BC" w:rsidP="005311BC">
      <w:pPr>
        <w:pStyle w:val="a3"/>
        <w:rPr>
          <w:kern w:val="0"/>
        </w:rPr>
      </w:pPr>
      <w:r w:rsidRPr="00921CDD">
        <w:rPr>
          <w:kern w:val="0"/>
        </w:rPr>
        <w:t>Keywords:</w:t>
      </w:r>
      <w:r>
        <w:rPr>
          <w:rFonts w:hint="eastAsia"/>
          <w:kern w:val="0"/>
        </w:rPr>
        <w:t xml:space="preserve"> </w:t>
      </w:r>
      <w:r w:rsidRPr="00921CDD">
        <w:rPr>
          <w:kern w:val="0"/>
        </w:rPr>
        <w:t>HIV</w:t>
      </w:r>
      <w:r>
        <w:rPr>
          <w:kern w:val="0"/>
        </w:rPr>
        <w:t>,</w:t>
      </w:r>
      <w:r w:rsidRPr="00921CDD">
        <w:rPr>
          <w:kern w:val="0"/>
        </w:rPr>
        <w:t xml:space="preserve"> Art</w:t>
      </w:r>
      <w:r>
        <w:rPr>
          <w:kern w:val="0"/>
        </w:rPr>
        <w:t>,</w:t>
      </w:r>
      <w:r w:rsidRPr="00921CDD">
        <w:rPr>
          <w:kern w:val="0"/>
        </w:rPr>
        <w:t xml:space="preserve"> Depression</w:t>
      </w:r>
      <w:r>
        <w:rPr>
          <w:kern w:val="0"/>
        </w:rPr>
        <w:t>,</w:t>
      </w:r>
      <w:r w:rsidRPr="00921CDD">
        <w:rPr>
          <w:kern w:val="0"/>
        </w:rPr>
        <w:t xml:space="preserve"> Adherence</w:t>
      </w:r>
      <w:r>
        <w:rPr>
          <w:kern w:val="0"/>
        </w:rPr>
        <w:t>,</w:t>
      </w:r>
      <w:r w:rsidRPr="00921CDD">
        <w:rPr>
          <w:kern w:val="0"/>
        </w:rPr>
        <w:t xml:space="preserve"> Co-Infections And Comorbidity</w:t>
      </w:r>
      <w:r>
        <w:rPr>
          <w:kern w:val="0"/>
        </w:rPr>
        <w:t xml:space="preserve">, </w:t>
      </w:r>
      <w:r w:rsidRPr="00921CDD">
        <w:rPr>
          <w:kern w:val="0"/>
        </w:rPr>
        <w:t>HIV-Infected Patients</w:t>
      </w:r>
      <w:r>
        <w:rPr>
          <w:kern w:val="0"/>
        </w:rPr>
        <w:t>,</w:t>
      </w:r>
      <w:r w:rsidRPr="00921CDD">
        <w:rPr>
          <w:kern w:val="0"/>
        </w:rPr>
        <w:t xml:space="preserve"> Human-Immunodeficiency-Virus</w:t>
      </w:r>
      <w:r>
        <w:rPr>
          <w:kern w:val="0"/>
        </w:rPr>
        <w:t>,</w:t>
      </w:r>
      <w:r w:rsidRPr="00921CDD">
        <w:rPr>
          <w:kern w:val="0"/>
        </w:rPr>
        <w:t xml:space="preserve"> Posttraumatic-Stress-Disorder</w:t>
      </w:r>
      <w:r>
        <w:rPr>
          <w:kern w:val="0"/>
        </w:rPr>
        <w:t>,</w:t>
      </w:r>
      <w:r w:rsidRPr="00921CDD">
        <w:rPr>
          <w:kern w:val="0"/>
        </w:rPr>
        <w:t xml:space="preserve"> Cognitive-Behavioral Therapy</w:t>
      </w:r>
      <w:r>
        <w:rPr>
          <w:kern w:val="0"/>
        </w:rPr>
        <w:t>,</w:t>
      </w:r>
      <w:r w:rsidRPr="00921CDD">
        <w:rPr>
          <w:kern w:val="0"/>
        </w:rPr>
        <w:t xml:space="preserve"> Randomized Controlled-Trial</w:t>
      </w:r>
      <w:r>
        <w:rPr>
          <w:kern w:val="0"/>
        </w:rPr>
        <w:t>,</w:t>
      </w:r>
      <w:r w:rsidRPr="00921CDD">
        <w:rPr>
          <w:kern w:val="0"/>
        </w:rPr>
        <w:t xml:space="preserve"> Multicenter Aids Cohort</w:t>
      </w:r>
      <w:r>
        <w:rPr>
          <w:kern w:val="0"/>
        </w:rPr>
        <w:t>,</w:t>
      </w:r>
      <w:r w:rsidRPr="00921CDD">
        <w:rPr>
          <w:kern w:val="0"/>
        </w:rPr>
        <w:t xml:space="preserve"> Injection-Drug Users</w:t>
      </w:r>
      <w:r>
        <w:rPr>
          <w:kern w:val="0"/>
        </w:rPr>
        <w:t>,</w:t>
      </w:r>
      <w:r w:rsidRPr="00921CDD">
        <w:rPr>
          <w:kern w:val="0"/>
        </w:rPr>
        <w:t xml:space="preserve"> Quality-Of-Life</w:t>
      </w:r>
      <w:r>
        <w:rPr>
          <w:kern w:val="0"/>
        </w:rPr>
        <w:t>,</w:t>
      </w:r>
      <w:r w:rsidRPr="00921CDD">
        <w:rPr>
          <w:kern w:val="0"/>
        </w:rPr>
        <w:t xml:space="preserve"> Medication Adherence</w:t>
      </w:r>
      <w:r>
        <w:rPr>
          <w:kern w:val="0"/>
        </w:rPr>
        <w:t>,</w:t>
      </w:r>
      <w:r w:rsidRPr="00921CDD">
        <w:rPr>
          <w:kern w:val="0"/>
        </w:rPr>
        <w:t xml:space="preserve"> Substance-Abuse</w:t>
      </w:r>
    </w:p>
    <w:p w:rsidR="00D8726F" w:rsidRPr="001A3D2B" w:rsidRDefault="00D8726F" w:rsidP="00D8726F">
      <w:pPr>
        <w:pStyle w:val="1"/>
      </w:pPr>
      <w:r w:rsidRPr="001A3D2B">
        <w:br w:type="page"/>
      </w:r>
      <w:bookmarkStart w:id="475" w:name="_Toc384887569"/>
      <w:bookmarkStart w:id="476" w:name="_Toc420815154"/>
      <w:r w:rsidRPr="001A3D2B">
        <w:lastRenderedPageBreak/>
        <w:t xml:space="preserve">Title: </w:t>
      </w:r>
      <w:r w:rsidRPr="00D06308">
        <w:t>Current HIV Research</w:t>
      </w:r>
      <w:bookmarkEnd w:id="475"/>
      <w:bookmarkEnd w:id="476"/>
    </w:p>
    <w:p w:rsidR="00D8726F" w:rsidRPr="001A3D2B" w:rsidRDefault="00D8726F" w:rsidP="00D8726F">
      <w:pPr>
        <w:pStyle w:val="12"/>
      </w:pPr>
      <w:r w:rsidRPr="001A3D2B">
        <w:t xml:space="preserve">Full Journal Title: </w:t>
      </w:r>
      <w:r w:rsidRPr="00D06308">
        <w:rPr>
          <w:iCs/>
        </w:rPr>
        <w:t>Current HIV Research</w:t>
      </w:r>
    </w:p>
    <w:p w:rsidR="00D8726F" w:rsidRPr="001A3D2B" w:rsidRDefault="00D8726F" w:rsidP="00D8726F">
      <w:pPr>
        <w:pStyle w:val="12"/>
      </w:pPr>
      <w:r w:rsidRPr="001A3D2B">
        <w:t xml:space="preserve">ISO Abbreviated Title: </w:t>
      </w:r>
    </w:p>
    <w:p w:rsidR="00D8726F" w:rsidRPr="001A3D2B" w:rsidRDefault="00D8726F" w:rsidP="00D8726F">
      <w:pPr>
        <w:pStyle w:val="12"/>
      </w:pPr>
      <w:r w:rsidRPr="001A3D2B">
        <w:t xml:space="preserve">JCR Abbreviated Title: </w:t>
      </w:r>
    </w:p>
    <w:p w:rsidR="00D8726F" w:rsidRPr="001A3D2B" w:rsidRDefault="00D8726F" w:rsidP="00D8726F">
      <w:pPr>
        <w:pStyle w:val="12"/>
      </w:pPr>
      <w:r w:rsidRPr="001A3D2B">
        <w:t xml:space="preserve">ISSN: </w:t>
      </w:r>
    </w:p>
    <w:p w:rsidR="00D8726F" w:rsidRPr="001A3D2B" w:rsidRDefault="00D8726F" w:rsidP="00D8726F">
      <w:pPr>
        <w:pStyle w:val="12"/>
      </w:pPr>
      <w:r w:rsidRPr="001A3D2B">
        <w:t xml:space="preserve">Issues/Year: </w:t>
      </w:r>
    </w:p>
    <w:p w:rsidR="00D8726F" w:rsidRPr="001A3D2B" w:rsidRDefault="00D8726F" w:rsidP="00D8726F">
      <w:pPr>
        <w:pStyle w:val="12"/>
      </w:pPr>
      <w:r w:rsidRPr="001A3D2B">
        <w:t xml:space="preserve">Journal Country/Territory: </w:t>
      </w:r>
    </w:p>
    <w:p w:rsidR="00D8726F" w:rsidRPr="001A3D2B" w:rsidRDefault="00D8726F" w:rsidP="00D8726F">
      <w:pPr>
        <w:pStyle w:val="12"/>
      </w:pPr>
      <w:r w:rsidRPr="001A3D2B">
        <w:t xml:space="preserve">Language: </w:t>
      </w:r>
    </w:p>
    <w:p w:rsidR="00D8726F" w:rsidRPr="001A3D2B" w:rsidRDefault="00D8726F" w:rsidP="00D8726F">
      <w:pPr>
        <w:pStyle w:val="12"/>
      </w:pPr>
      <w:r w:rsidRPr="001A3D2B">
        <w:t xml:space="preserve">Publisher: </w:t>
      </w:r>
    </w:p>
    <w:p w:rsidR="00D8726F" w:rsidRPr="001A3D2B" w:rsidRDefault="00D8726F" w:rsidP="00D8726F">
      <w:pPr>
        <w:pStyle w:val="12"/>
      </w:pPr>
      <w:r w:rsidRPr="001A3D2B">
        <w:t xml:space="preserve">Publisher Address: </w:t>
      </w:r>
    </w:p>
    <w:p w:rsidR="00D8726F" w:rsidRPr="001A3D2B" w:rsidRDefault="00D8726F" w:rsidP="00D8726F">
      <w:pPr>
        <w:pStyle w:val="12"/>
      </w:pPr>
      <w:r w:rsidRPr="001A3D2B">
        <w:t>Subject Categories:</w:t>
      </w:r>
    </w:p>
    <w:p w:rsidR="00D8726F" w:rsidRPr="001A3D2B" w:rsidRDefault="00D8726F" w:rsidP="00D8726F">
      <w:pPr>
        <w:pStyle w:val="12"/>
      </w:pPr>
      <w:r w:rsidRPr="001A3D2B">
        <w:t xml:space="preserve">: Impact Factor </w:t>
      </w:r>
    </w:p>
    <w:p w:rsidR="00D8726F" w:rsidRDefault="00D8726F" w:rsidP="00D8726F">
      <w:pPr>
        <w:pStyle w:val="a3"/>
        <w:rPr>
          <w:kern w:val="0"/>
        </w:rPr>
      </w:pPr>
      <w:r>
        <w:rPr>
          <w:rFonts w:hint="eastAsia"/>
          <w:kern w:val="0"/>
        </w:rPr>
        <w:t xml:space="preserve">? </w:t>
      </w:r>
      <w:r>
        <w:rPr>
          <w:kern w:val="0"/>
        </w:rPr>
        <w:t>Seth, P., DiClemente, R.J. and Lovvorn, A.E. (2014), State</w:t>
      </w:r>
      <w:r w:rsidR="00427468">
        <w:rPr>
          <w:kern w:val="0"/>
        </w:rPr>
        <w:t xml:space="preserve"> of </w:t>
      </w:r>
      <w:r>
        <w:rPr>
          <w:kern w:val="0"/>
        </w:rPr>
        <w:t xml:space="preserve">the evidence: Intimate partner violence and HIV/STI risk among adolescents. </w:t>
      </w:r>
      <w:r>
        <w:rPr>
          <w:i/>
          <w:iCs/>
          <w:kern w:val="0"/>
        </w:rPr>
        <w:t>Current HIV Research</w:t>
      </w:r>
      <w:r>
        <w:rPr>
          <w:kern w:val="0"/>
        </w:rPr>
        <w:t xml:space="preserve">, </w:t>
      </w:r>
      <w:r>
        <w:rPr>
          <w:b/>
          <w:bCs/>
          <w:kern w:val="0"/>
        </w:rPr>
        <w:t>11</w:t>
      </w:r>
      <w:r>
        <w:rPr>
          <w:kern w:val="0"/>
        </w:rPr>
        <w:t xml:space="preserve"> (7), 528-535.</w:t>
      </w:r>
    </w:p>
    <w:p w:rsidR="00D8726F" w:rsidRDefault="00D8726F" w:rsidP="00D8726F">
      <w:pPr>
        <w:pStyle w:val="a3"/>
        <w:rPr>
          <w:kern w:val="0"/>
        </w:rPr>
      </w:pPr>
      <w:r>
        <w:rPr>
          <w:rFonts w:hint="eastAsia"/>
        </w:rPr>
        <w:t>Full Text: 2013\</w:t>
      </w:r>
      <w:r>
        <w:rPr>
          <w:iCs/>
        </w:rPr>
        <w:t>Cur</w:t>
      </w:r>
      <w:r w:rsidRPr="006A222D">
        <w:rPr>
          <w:iCs/>
          <w:kern w:val="0"/>
        </w:rPr>
        <w:t xml:space="preserve"> </w:t>
      </w:r>
      <w:r w:rsidRPr="006A222D">
        <w:rPr>
          <w:iCs/>
        </w:rPr>
        <w:t xml:space="preserve">HIV </w:t>
      </w:r>
      <w:r>
        <w:rPr>
          <w:iCs/>
        </w:rPr>
        <w:t>Res</w:t>
      </w:r>
      <w:r w:rsidRPr="006A222D">
        <w:rPr>
          <w:bCs/>
          <w:kern w:val="0"/>
        </w:rPr>
        <w:t>11</w:t>
      </w:r>
      <w:r>
        <w:rPr>
          <w:kern w:val="0"/>
        </w:rPr>
        <w:t xml:space="preserve">, </w:t>
      </w:r>
      <w:r>
        <w:rPr>
          <w:rFonts w:hint="eastAsia"/>
          <w:kern w:val="0"/>
        </w:rPr>
        <w:t>528</w:t>
      </w:r>
      <w:r>
        <w:rPr>
          <w:rFonts w:hint="eastAsia"/>
        </w:rPr>
        <w:t>.pdf</w:t>
      </w:r>
    </w:p>
    <w:p w:rsidR="00D8726F" w:rsidRDefault="00D8726F" w:rsidP="00D8726F">
      <w:pPr>
        <w:pStyle w:val="a3"/>
        <w:rPr>
          <w:kern w:val="0"/>
        </w:rPr>
      </w:pPr>
      <w:r>
        <w:rPr>
          <w:kern w:val="0"/>
        </w:rPr>
        <w:t>Abstract: This paper provides a critical narrative review</w:t>
      </w:r>
      <w:r w:rsidR="00427468">
        <w:rPr>
          <w:kern w:val="0"/>
        </w:rPr>
        <w:t xml:space="preserve"> of </w:t>
      </w:r>
      <w:r>
        <w:rPr>
          <w:kern w:val="0"/>
        </w:rPr>
        <w:t>the scientific literature on intimate partner violence (IPV) and risky sexual behavior as well as sexually transmitted infections (STIs) among adolescents, aged 14-24 years. Intimate partner violence has been associated with a number</w:t>
      </w:r>
      <w:r w:rsidR="00427468">
        <w:rPr>
          <w:kern w:val="0"/>
        </w:rPr>
        <w:t xml:space="preserve"> of </w:t>
      </w:r>
      <w:r>
        <w:rPr>
          <w:kern w:val="0"/>
        </w:rPr>
        <w:t>high risk sexual behavior, including inconsistent condom use, multiple sexual partners, earlier sexual debut, consuming substances while engaging in sexual behavior, and sexually transmitted infections among adolescents. An electronic search</w:t>
      </w:r>
      <w:r w:rsidR="00427468">
        <w:rPr>
          <w:kern w:val="0"/>
        </w:rPr>
        <w:t xml:space="preserve"> of </w:t>
      </w:r>
      <w:r>
        <w:rPr>
          <w:kern w:val="0"/>
        </w:rPr>
        <w:t>the literature was performed using PubMed/MEDLINE, PsycINFO, and Web</w:t>
      </w:r>
      <w:r w:rsidR="00427468">
        <w:rPr>
          <w:kern w:val="0"/>
        </w:rPr>
        <w:t xml:space="preserve"> of </w:t>
      </w:r>
      <w:r>
        <w:rPr>
          <w:kern w:val="0"/>
        </w:rPr>
        <w:t>Science and articles from January 2000 - June 2013 were reviewed. Search terms included a combination</w:t>
      </w:r>
      <w:r w:rsidR="00427468">
        <w:rPr>
          <w:kern w:val="0"/>
        </w:rPr>
        <w:t xml:space="preserve"> of </w:t>
      </w:r>
      <w:r>
        <w:rPr>
          <w:kern w:val="0"/>
        </w:rPr>
        <w:t>keywords for IPV, HIV/STI risk, and adolescents</w:t>
      </w:r>
      <w:r w:rsidR="00A37C1D">
        <w:rPr>
          <w:kern w:val="0"/>
        </w:rPr>
        <w:t>. The</w:t>
      </w:r>
      <w:r>
        <w:rPr>
          <w:kern w:val="0"/>
        </w:rPr>
        <w:t xml:space="preserve"> findings from the review indicated that IPV was associated with inconsistent condom use, STIs, early sexual debut, multiple sexual partners, and other HIV/STI-associated risk factors among adolescents. HIV/STI interventions for female adolescents often focus on increasing behavioral and cognitive skills, specifically condom negotiation. However, within the context</w:t>
      </w:r>
      <w:r w:rsidR="00427468">
        <w:rPr>
          <w:kern w:val="0"/>
        </w:rPr>
        <w:t xml:space="preserve"> of </w:t>
      </w:r>
      <w:r>
        <w:rPr>
          <w:kern w:val="0"/>
        </w:rPr>
        <w:t>an abusive relationship, it becomes challenging for adolescents to enact these skills, where this behavior could potentially place them at greater risk. Components that address violence are necessary within HIV prevention programming. Additionally, integration</w:t>
      </w:r>
      <w:r w:rsidR="00427468">
        <w:rPr>
          <w:kern w:val="0"/>
        </w:rPr>
        <w:t xml:space="preserve"> of </w:t>
      </w:r>
      <w:r>
        <w:rPr>
          <w:kern w:val="0"/>
        </w:rPr>
        <w:t>IPV screening within healthcare settings is important along with a combined approach that merges resources from healthcare, social, and community-level settings.</w:t>
      </w:r>
    </w:p>
    <w:p w:rsidR="00D8726F" w:rsidRDefault="00D8726F" w:rsidP="00D8726F">
      <w:pPr>
        <w:pStyle w:val="a3"/>
        <w:rPr>
          <w:kern w:val="0"/>
        </w:rPr>
      </w:pPr>
      <w:r>
        <w:rPr>
          <w:kern w:val="0"/>
        </w:rPr>
        <w:t xml:space="preserve">Keywords: Adolescents, African-American Women, Aged, Approach, Behavior, </w:t>
      </w:r>
      <w:r>
        <w:rPr>
          <w:kern w:val="0"/>
        </w:rPr>
        <w:lastRenderedPageBreak/>
        <w:t xml:space="preserve">Condom, Context, Dating Violence, Evidence, Female, Female Adolescents, Health-Care Settings, High-School-Students, </w:t>
      </w:r>
      <w:r w:rsidR="00C925A9">
        <w:rPr>
          <w:kern w:val="0"/>
        </w:rPr>
        <w:t>HIV, HIV</w:t>
      </w:r>
      <w:r>
        <w:rPr>
          <w:kern w:val="0"/>
        </w:rPr>
        <w:t xml:space="preserve"> Risk, </w:t>
      </w:r>
      <w:r w:rsidR="00C925A9">
        <w:rPr>
          <w:kern w:val="0"/>
        </w:rPr>
        <w:t>HIV, AIDS</w:t>
      </w:r>
      <w:r>
        <w:rPr>
          <w:kern w:val="0"/>
        </w:rPr>
        <w:t>, Human-Immunodeficiency-Virus, Infections, Integration, Interventions, Intimate Partner Violence, Literature, Negotiation, Partner, Prevention, Programming, Psycinfo, Resources, Review, Risk, Risk Factors, Risky Sexual Behavior, Science, Scientific Literature, Screening, Search, Sexual Behavior, Sexually Transmitted Infections, Sexually-Transmitted-Diseases, Si, Social, United-States, Violence, Web</w:t>
      </w:r>
      <w:r w:rsidR="00427468">
        <w:rPr>
          <w:kern w:val="0"/>
        </w:rPr>
        <w:t xml:space="preserve"> of </w:t>
      </w:r>
      <w:r>
        <w:rPr>
          <w:kern w:val="0"/>
        </w:rPr>
        <w:t>Science, Young-Adults</w:t>
      </w:r>
    </w:p>
    <w:p w:rsidR="00344677" w:rsidRPr="001A3D2B" w:rsidRDefault="00344677" w:rsidP="00344677">
      <w:pPr>
        <w:pStyle w:val="1"/>
      </w:pPr>
      <w:r w:rsidRPr="001A3D2B">
        <w:br w:type="page"/>
      </w:r>
      <w:bookmarkStart w:id="477" w:name="_Toc420815155"/>
      <w:r w:rsidRPr="001A3D2B">
        <w:lastRenderedPageBreak/>
        <w:t xml:space="preserve">Title: </w:t>
      </w:r>
      <w:r w:rsidRPr="00D92400">
        <w:rPr>
          <w:iCs w:val="0"/>
        </w:rPr>
        <w:t>Current Medicinal Chemistry</w:t>
      </w:r>
      <w:bookmarkEnd w:id="477"/>
    </w:p>
    <w:p w:rsidR="00344677" w:rsidRPr="001A3D2B" w:rsidRDefault="00344677" w:rsidP="00344677">
      <w:pPr>
        <w:pStyle w:val="12"/>
      </w:pPr>
      <w:r w:rsidRPr="001A3D2B">
        <w:t xml:space="preserve">Full Journal Title: </w:t>
      </w:r>
      <w:r w:rsidRPr="00D92400">
        <w:rPr>
          <w:iCs/>
          <w:kern w:val="0"/>
        </w:rPr>
        <w:t>Current Medicinal Chemistry</w:t>
      </w:r>
    </w:p>
    <w:p w:rsidR="00344677" w:rsidRPr="001A3D2B" w:rsidRDefault="00344677" w:rsidP="00344677">
      <w:pPr>
        <w:pStyle w:val="12"/>
      </w:pPr>
      <w:r w:rsidRPr="001A3D2B">
        <w:t xml:space="preserve">ISO Abbreviated Title: </w:t>
      </w:r>
    </w:p>
    <w:p w:rsidR="00344677" w:rsidRPr="001A3D2B" w:rsidRDefault="00344677" w:rsidP="00344677">
      <w:pPr>
        <w:pStyle w:val="12"/>
      </w:pPr>
      <w:r w:rsidRPr="001A3D2B">
        <w:t xml:space="preserve">JCR Abbreviated Title: </w:t>
      </w:r>
    </w:p>
    <w:p w:rsidR="00344677" w:rsidRPr="001A3D2B" w:rsidRDefault="00344677" w:rsidP="00344677">
      <w:pPr>
        <w:pStyle w:val="12"/>
      </w:pPr>
      <w:r w:rsidRPr="001A3D2B">
        <w:t xml:space="preserve">ISSN: </w:t>
      </w:r>
    </w:p>
    <w:p w:rsidR="00344677" w:rsidRPr="001A3D2B" w:rsidRDefault="00344677" w:rsidP="00344677">
      <w:pPr>
        <w:pStyle w:val="12"/>
      </w:pPr>
      <w:r w:rsidRPr="001A3D2B">
        <w:t xml:space="preserve">Issues/Year: </w:t>
      </w:r>
    </w:p>
    <w:p w:rsidR="00344677" w:rsidRPr="001A3D2B" w:rsidRDefault="00344677" w:rsidP="00344677">
      <w:pPr>
        <w:pStyle w:val="12"/>
      </w:pPr>
      <w:r w:rsidRPr="001A3D2B">
        <w:t xml:space="preserve">Journal Country/Territory: </w:t>
      </w:r>
    </w:p>
    <w:p w:rsidR="00344677" w:rsidRPr="001A3D2B" w:rsidRDefault="00344677" w:rsidP="00344677">
      <w:pPr>
        <w:pStyle w:val="12"/>
      </w:pPr>
      <w:r w:rsidRPr="001A3D2B">
        <w:t xml:space="preserve">Language: </w:t>
      </w:r>
    </w:p>
    <w:p w:rsidR="00344677" w:rsidRPr="001A3D2B" w:rsidRDefault="00344677" w:rsidP="00344677">
      <w:pPr>
        <w:pStyle w:val="12"/>
      </w:pPr>
      <w:r w:rsidRPr="001A3D2B">
        <w:t xml:space="preserve">Publisher: </w:t>
      </w:r>
    </w:p>
    <w:p w:rsidR="00344677" w:rsidRPr="001A3D2B" w:rsidRDefault="00344677" w:rsidP="00344677">
      <w:pPr>
        <w:pStyle w:val="12"/>
      </w:pPr>
      <w:r w:rsidRPr="001A3D2B">
        <w:t xml:space="preserve">Publisher Address: </w:t>
      </w:r>
    </w:p>
    <w:p w:rsidR="00344677" w:rsidRPr="001A3D2B" w:rsidRDefault="00344677" w:rsidP="00344677">
      <w:pPr>
        <w:pStyle w:val="12"/>
      </w:pPr>
      <w:r w:rsidRPr="001A3D2B">
        <w:t>Subject Categories:</w:t>
      </w:r>
    </w:p>
    <w:p w:rsidR="00344677" w:rsidRPr="001A3D2B" w:rsidRDefault="00344677" w:rsidP="00344677">
      <w:pPr>
        <w:pStyle w:val="12"/>
      </w:pPr>
      <w:r w:rsidRPr="001A3D2B">
        <w:t xml:space="preserve">: Impact Factor </w:t>
      </w:r>
    </w:p>
    <w:p w:rsidR="00344677" w:rsidRDefault="00344677" w:rsidP="00344677">
      <w:pPr>
        <w:pStyle w:val="a3"/>
        <w:rPr>
          <w:kern w:val="0"/>
        </w:rPr>
      </w:pPr>
      <w:r>
        <w:rPr>
          <w:rFonts w:hint="eastAsia"/>
          <w:kern w:val="0"/>
        </w:rPr>
        <w:t xml:space="preserve">? </w:t>
      </w:r>
      <w:r>
        <w:rPr>
          <w:kern w:val="0"/>
        </w:rPr>
        <w:t>Heneberg, P. (2012), Pharmacotherapeutic implications</w:t>
      </w:r>
      <w:r w:rsidR="00427468">
        <w:rPr>
          <w:kern w:val="0"/>
        </w:rPr>
        <w:t xml:space="preserve"> of </w:t>
      </w:r>
      <w:r>
        <w:rPr>
          <w:kern w:val="0"/>
        </w:rPr>
        <w:t xml:space="preserve">host-pathogen interactions: Emerging concepts. </w:t>
      </w:r>
      <w:r w:rsidRPr="00D92400">
        <w:rPr>
          <w:i/>
          <w:iCs/>
          <w:kern w:val="0"/>
        </w:rPr>
        <w:t>Current Medicinal Chemistry</w:t>
      </w:r>
      <w:r>
        <w:rPr>
          <w:kern w:val="0"/>
        </w:rPr>
        <w:t xml:space="preserve">, </w:t>
      </w:r>
      <w:r>
        <w:rPr>
          <w:b/>
          <w:bCs/>
          <w:kern w:val="0"/>
        </w:rPr>
        <w:t>19</w:t>
      </w:r>
      <w:r>
        <w:rPr>
          <w:kern w:val="0"/>
        </w:rPr>
        <w:t xml:space="preserve"> (10), 1421-1423.</w:t>
      </w:r>
    </w:p>
    <w:p w:rsidR="00344677" w:rsidRDefault="00344677" w:rsidP="00344677">
      <w:pPr>
        <w:pStyle w:val="a3"/>
        <w:rPr>
          <w:kern w:val="0"/>
        </w:rPr>
      </w:pPr>
      <w:r>
        <w:rPr>
          <w:rFonts w:hint="eastAsia"/>
          <w:kern w:val="0"/>
        </w:rPr>
        <w:t xml:space="preserve">Full Text: </w:t>
      </w:r>
      <w:hyperlink r:id="rId1115" w:history="1">
        <w:r w:rsidRPr="00D92400">
          <w:rPr>
            <w:rStyle w:val="a5"/>
            <w:kern w:val="0"/>
          </w:rPr>
          <w:t>2012\Cur Med Che19, 1421.pdf</w:t>
        </w:r>
      </w:hyperlink>
    </w:p>
    <w:p w:rsidR="00344677" w:rsidRDefault="00344677" w:rsidP="00344677">
      <w:pPr>
        <w:pStyle w:val="a3"/>
        <w:rPr>
          <w:kern w:val="0"/>
        </w:rPr>
      </w:pPr>
      <w:r>
        <w:rPr>
          <w:kern w:val="0"/>
        </w:rPr>
        <w:t>Abstract: Although</w:t>
      </w:r>
      <w:r w:rsidR="003A1917">
        <w:rPr>
          <w:kern w:val="0"/>
        </w:rPr>
        <w:t xml:space="preserve"> the </w:t>
      </w:r>
      <w:r>
        <w:rPr>
          <w:kern w:val="0"/>
        </w:rPr>
        <w:t>parasitology belongs to one</w:t>
      </w:r>
      <w:r w:rsidR="00427468">
        <w:rPr>
          <w:kern w:val="0"/>
        </w:rPr>
        <w:t xml:space="preserve"> of </w:t>
      </w:r>
      <w:r w:rsidR="003A1917">
        <w:rPr>
          <w:kern w:val="0"/>
        </w:rPr>
        <w:t xml:space="preserve">the </w:t>
      </w:r>
      <w:r>
        <w:rPr>
          <w:kern w:val="0"/>
        </w:rPr>
        <w:t>longest established disciplines,</w:t>
      </w:r>
      <w:r w:rsidR="003A1917">
        <w:rPr>
          <w:kern w:val="0"/>
        </w:rPr>
        <w:t xml:space="preserve"> the </w:t>
      </w:r>
      <w:r>
        <w:rPr>
          <w:kern w:val="0"/>
        </w:rPr>
        <w:t>recent methodical advances led to</w:t>
      </w:r>
      <w:r w:rsidR="003A1917">
        <w:rPr>
          <w:kern w:val="0"/>
        </w:rPr>
        <w:t xml:space="preserve"> the </w:t>
      </w:r>
      <w:r>
        <w:rPr>
          <w:kern w:val="0"/>
        </w:rPr>
        <w:t>substantial broadening</w:t>
      </w:r>
      <w:r w:rsidR="00427468">
        <w:rPr>
          <w:kern w:val="0"/>
        </w:rPr>
        <w:t xml:space="preserve"> of </w:t>
      </w:r>
      <w:r w:rsidR="003A1917">
        <w:rPr>
          <w:kern w:val="0"/>
        </w:rPr>
        <w:t xml:space="preserve">the </w:t>
      </w:r>
      <w:r>
        <w:rPr>
          <w:kern w:val="0"/>
        </w:rPr>
        <w:t>possibilities for</w:t>
      </w:r>
      <w:r w:rsidR="003A1917">
        <w:rPr>
          <w:kern w:val="0"/>
        </w:rPr>
        <w:t xml:space="preserve"> the </w:t>
      </w:r>
      <w:r>
        <w:rPr>
          <w:kern w:val="0"/>
        </w:rPr>
        <w:t>detection</w:t>
      </w:r>
      <w:r w:rsidR="005853A9">
        <w:rPr>
          <w:kern w:val="0"/>
        </w:rPr>
        <w:t xml:space="preserve"> and </w:t>
      </w:r>
      <w:r>
        <w:rPr>
          <w:kern w:val="0"/>
        </w:rPr>
        <w:t>treatment</w:t>
      </w:r>
      <w:r w:rsidR="00427468">
        <w:rPr>
          <w:kern w:val="0"/>
        </w:rPr>
        <w:t xml:space="preserve"> of </w:t>
      </w:r>
      <w:r>
        <w:rPr>
          <w:kern w:val="0"/>
        </w:rPr>
        <w:t>parasitic diseases. However,</w:t>
      </w:r>
      <w:r w:rsidR="003A1917">
        <w:rPr>
          <w:kern w:val="0"/>
        </w:rPr>
        <w:t xml:space="preserve"> the </w:t>
      </w:r>
      <w:r>
        <w:rPr>
          <w:kern w:val="0"/>
        </w:rPr>
        <w:t>exact mechanisms involved in</w:t>
      </w:r>
      <w:r w:rsidR="003A1917">
        <w:rPr>
          <w:kern w:val="0"/>
        </w:rPr>
        <w:t xml:space="preserve"> the </w:t>
      </w:r>
      <w:r>
        <w:rPr>
          <w:kern w:val="0"/>
        </w:rPr>
        <w:t>parasite establishment</w:t>
      </w:r>
      <w:r w:rsidR="005853A9">
        <w:rPr>
          <w:kern w:val="0"/>
        </w:rPr>
        <w:t xml:space="preserve"> and </w:t>
      </w:r>
      <w:r>
        <w:rPr>
          <w:kern w:val="0"/>
        </w:rPr>
        <w:t>survival are frequently unclear</w:t>
      </w:r>
      <w:r w:rsidR="005853A9">
        <w:rPr>
          <w:kern w:val="0"/>
        </w:rPr>
        <w:t xml:space="preserve"> and </w:t>
      </w:r>
      <w:r>
        <w:rPr>
          <w:kern w:val="0"/>
        </w:rPr>
        <w:t>only recently uncovered. At</w:t>
      </w:r>
      <w:r w:rsidR="003A1917">
        <w:rPr>
          <w:kern w:val="0"/>
        </w:rPr>
        <w:t xml:space="preserve"> the </w:t>
      </w:r>
      <w:r>
        <w:rPr>
          <w:kern w:val="0"/>
        </w:rPr>
        <w:t>cellular level,</w:t>
      </w:r>
      <w:r w:rsidR="003A1917">
        <w:rPr>
          <w:kern w:val="0"/>
        </w:rPr>
        <w:t xml:space="preserve"> the </w:t>
      </w:r>
      <w:r>
        <w:rPr>
          <w:kern w:val="0"/>
        </w:rPr>
        <w:t>emerging mechanisms, discussed in this journal issue, include</w:t>
      </w:r>
      <w:r w:rsidR="003A1917">
        <w:rPr>
          <w:kern w:val="0"/>
        </w:rPr>
        <w:t xml:space="preserve"> the </w:t>
      </w:r>
      <w:r>
        <w:rPr>
          <w:kern w:val="0"/>
        </w:rPr>
        <w:t>newly recognized role</w:t>
      </w:r>
      <w:r w:rsidR="00427468">
        <w:rPr>
          <w:kern w:val="0"/>
        </w:rPr>
        <w:t xml:space="preserve"> of </w:t>
      </w:r>
      <w:r>
        <w:rPr>
          <w:kern w:val="0"/>
        </w:rPr>
        <w:t>mast cells in</w:t>
      </w:r>
      <w:r w:rsidR="003A1917">
        <w:rPr>
          <w:kern w:val="0"/>
        </w:rPr>
        <w:t xml:space="preserve"> the </w:t>
      </w:r>
      <w:r>
        <w:rPr>
          <w:kern w:val="0"/>
        </w:rPr>
        <w:t>host defense against bacterial pathogens,</w:t>
      </w:r>
      <w:r w:rsidR="005853A9">
        <w:rPr>
          <w:kern w:val="0"/>
        </w:rPr>
        <w:t xml:space="preserve"> and </w:t>
      </w:r>
      <w:r w:rsidR="003A1917">
        <w:rPr>
          <w:kern w:val="0"/>
        </w:rPr>
        <w:t xml:space="preserve">the </w:t>
      </w:r>
      <w:r>
        <w:rPr>
          <w:kern w:val="0"/>
        </w:rPr>
        <w:t>role</w:t>
      </w:r>
      <w:r w:rsidR="00427468">
        <w:rPr>
          <w:kern w:val="0"/>
        </w:rPr>
        <w:t xml:space="preserve"> of </w:t>
      </w:r>
      <w:r>
        <w:rPr>
          <w:kern w:val="0"/>
        </w:rPr>
        <w:t>granulocytes in</w:t>
      </w:r>
      <w:r w:rsidR="003A1917">
        <w:rPr>
          <w:kern w:val="0"/>
        </w:rPr>
        <w:t xml:space="preserve"> the </w:t>
      </w:r>
      <w:r>
        <w:rPr>
          <w:kern w:val="0"/>
        </w:rPr>
        <w:t>host defense against helminths. At</w:t>
      </w:r>
      <w:r w:rsidR="003A1917">
        <w:rPr>
          <w:kern w:val="0"/>
        </w:rPr>
        <w:t xml:space="preserve"> the </w:t>
      </w:r>
      <w:r>
        <w:rPr>
          <w:kern w:val="0"/>
        </w:rPr>
        <w:t>protein level, we discuss here</w:t>
      </w:r>
      <w:r w:rsidR="003A1917">
        <w:rPr>
          <w:kern w:val="0"/>
        </w:rPr>
        <w:t xml:space="preserve"> the </w:t>
      </w:r>
      <w:r>
        <w:rPr>
          <w:kern w:val="0"/>
        </w:rPr>
        <w:t>emerging role</w:t>
      </w:r>
      <w:r w:rsidR="00427468">
        <w:rPr>
          <w:kern w:val="0"/>
        </w:rPr>
        <w:t xml:space="preserve"> of </w:t>
      </w:r>
      <w:r>
        <w:rPr>
          <w:kern w:val="0"/>
        </w:rPr>
        <w:t>protein tyrosine phosphatases as both targets</w:t>
      </w:r>
      <w:r w:rsidR="005853A9">
        <w:rPr>
          <w:kern w:val="0"/>
        </w:rPr>
        <w:t xml:space="preserve"> and </w:t>
      </w:r>
      <w:r>
        <w:rPr>
          <w:kern w:val="0"/>
        </w:rPr>
        <w:t>tools</w:t>
      </w:r>
      <w:r w:rsidR="00427468">
        <w:rPr>
          <w:kern w:val="0"/>
        </w:rPr>
        <w:t xml:space="preserve"> of </w:t>
      </w:r>
      <w:r>
        <w:rPr>
          <w:kern w:val="0"/>
        </w:rPr>
        <w:t>nonmetazoan pathogens</w:t>
      </w:r>
      <w:r w:rsidR="005853A9">
        <w:rPr>
          <w:kern w:val="0"/>
        </w:rPr>
        <w:t xml:space="preserve"> and </w:t>
      </w:r>
      <w:r>
        <w:rPr>
          <w:kern w:val="0"/>
        </w:rPr>
        <w:t>viruses. At</w:t>
      </w:r>
      <w:r w:rsidR="003A1917">
        <w:rPr>
          <w:kern w:val="0"/>
        </w:rPr>
        <w:t xml:space="preserve"> the </w:t>
      </w:r>
      <w:r>
        <w:rPr>
          <w:kern w:val="0"/>
        </w:rPr>
        <w:t>level</w:t>
      </w:r>
      <w:r w:rsidR="00427468">
        <w:rPr>
          <w:kern w:val="0"/>
        </w:rPr>
        <w:t xml:space="preserve"> of </w:t>
      </w:r>
      <w:r>
        <w:rPr>
          <w:kern w:val="0"/>
        </w:rPr>
        <w:t>small signaling molecules, we attempt here to highlight</w:t>
      </w:r>
      <w:r w:rsidR="003A1917">
        <w:rPr>
          <w:kern w:val="0"/>
        </w:rPr>
        <w:t xml:space="preserve"> the </w:t>
      </w:r>
      <w:r>
        <w:rPr>
          <w:kern w:val="0"/>
        </w:rPr>
        <w:t>role</w:t>
      </w:r>
      <w:r w:rsidR="00427468">
        <w:rPr>
          <w:kern w:val="0"/>
        </w:rPr>
        <w:t xml:space="preserve"> of </w:t>
      </w:r>
      <w:r>
        <w:rPr>
          <w:kern w:val="0"/>
        </w:rPr>
        <w:t>reactive oxygen species as molecules involved both in</w:t>
      </w:r>
      <w:r w:rsidR="003A1917">
        <w:rPr>
          <w:kern w:val="0"/>
        </w:rPr>
        <w:t xml:space="preserve"> the </w:t>
      </w:r>
      <w:r>
        <w:rPr>
          <w:kern w:val="0"/>
        </w:rPr>
        <w:t>host defense, but also produced by some human pathogens</w:t>
      </w:r>
      <w:r w:rsidR="005853A9">
        <w:rPr>
          <w:kern w:val="0"/>
        </w:rPr>
        <w:t xml:space="preserve"> and </w:t>
      </w:r>
      <w:r>
        <w:rPr>
          <w:kern w:val="0"/>
        </w:rPr>
        <w:t>commensals. Scientometric analysis</w:t>
      </w:r>
      <w:r w:rsidR="00427468">
        <w:rPr>
          <w:kern w:val="0"/>
        </w:rPr>
        <w:t xml:space="preserve"> of </w:t>
      </w:r>
      <w:r w:rsidR="003A1917">
        <w:rPr>
          <w:kern w:val="0"/>
        </w:rPr>
        <w:t xml:space="preserve">the </w:t>
      </w:r>
      <w:r>
        <w:rPr>
          <w:kern w:val="0"/>
        </w:rPr>
        <w:t>fields covered by this journal issue is provided.</w:t>
      </w:r>
    </w:p>
    <w:p w:rsidR="00344677" w:rsidRDefault="00344677" w:rsidP="00344677">
      <w:pPr>
        <w:pStyle w:val="a3"/>
        <w:rPr>
          <w:kern w:val="0"/>
        </w:rPr>
      </w:pPr>
      <w:r>
        <w:rPr>
          <w:kern w:val="0"/>
        </w:rPr>
        <w:t>Keywords: Advances, Analysis, Basophils, Defense, Diseases, Granulocytes, Host, Human, Immune Cells, Journal, Leukocytes, Mast Cells, Mast-Cells, Mechanisms, Myeloid Cells, Oxygen, Parasitology, Pathogens, Polydnavirus, Protein, Reactive Oxygen Species, Recent, Role, Scientometric, Signal Transduction, Signaling, Small, Species, Survival, Treatment, White Blood Cells</w:t>
      </w:r>
    </w:p>
    <w:p w:rsidR="00A934AB" w:rsidRDefault="00A934AB" w:rsidP="00A934AB">
      <w:pPr>
        <w:pStyle w:val="a3"/>
        <w:rPr>
          <w:kern w:val="0"/>
        </w:rPr>
      </w:pPr>
      <w:r>
        <w:rPr>
          <w:rFonts w:hint="eastAsia"/>
          <w:kern w:val="0"/>
        </w:rPr>
        <w:t xml:space="preserve">? </w:t>
      </w:r>
      <w:r>
        <w:rPr>
          <w:kern w:val="0"/>
        </w:rPr>
        <w:t>Arany, A., Bolgar, B., Balogh, B., Antal, P.</w:t>
      </w:r>
      <w:r w:rsidR="005853A9">
        <w:rPr>
          <w:kern w:val="0"/>
        </w:rPr>
        <w:t xml:space="preserve"> and </w:t>
      </w:r>
      <w:r>
        <w:rPr>
          <w:kern w:val="0"/>
        </w:rPr>
        <w:t xml:space="preserve">Matyus, P. (2013), Multi-aspect candidates for repositioning: Data fusion methods using heterogeneous information sources. </w:t>
      </w:r>
      <w:r>
        <w:rPr>
          <w:i/>
          <w:iCs/>
          <w:kern w:val="0"/>
        </w:rPr>
        <w:t>Current Medicinal Chemistry</w:t>
      </w:r>
      <w:r>
        <w:rPr>
          <w:kern w:val="0"/>
        </w:rPr>
        <w:t xml:space="preserve">, </w:t>
      </w:r>
      <w:r>
        <w:rPr>
          <w:b/>
          <w:bCs/>
          <w:kern w:val="0"/>
        </w:rPr>
        <w:t>20</w:t>
      </w:r>
      <w:r>
        <w:rPr>
          <w:kern w:val="0"/>
        </w:rPr>
        <w:t xml:space="preserve"> (1), 95-107.</w:t>
      </w:r>
    </w:p>
    <w:p w:rsidR="00A934AB" w:rsidRDefault="00A934AB" w:rsidP="00A934AB">
      <w:pPr>
        <w:pStyle w:val="a3"/>
        <w:rPr>
          <w:kern w:val="0"/>
        </w:rPr>
      </w:pPr>
      <w:r>
        <w:rPr>
          <w:rFonts w:hint="eastAsia"/>
          <w:kern w:val="0"/>
        </w:rPr>
        <w:t xml:space="preserve">Full Text: </w:t>
      </w:r>
      <w:r>
        <w:rPr>
          <w:kern w:val="0"/>
        </w:rPr>
        <w:t>201</w:t>
      </w:r>
      <w:r>
        <w:rPr>
          <w:rFonts w:hint="eastAsia"/>
          <w:kern w:val="0"/>
        </w:rPr>
        <w:t>3</w:t>
      </w:r>
      <w:r>
        <w:rPr>
          <w:kern w:val="0"/>
        </w:rPr>
        <w:t>\Cur Med Che</w:t>
      </w:r>
      <w:r>
        <w:rPr>
          <w:rFonts w:hint="eastAsia"/>
          <w:kern w:val="0"/>
        </w:rPr>
        <w:t>20</w:t>
      </w:r>
      <w:r>
        <w:rPr>
          <w:kern w:val="0"/>
        </w:rPr>
        <w:t xml:space="preserve">, </w:t>
      </w:r>
      <w:r>
        <w:rPr>
          <w:rFonts w:hint="eastAsia"/>
          <w:kern w:val="0"/>
        </w:rPr>
        <w:t>95</w:t>
      </w:r>
      <w:r w:rsidRPr="00682611">
        <w:rPr>
          <w:kern w:val="0"/>
        </w:rPr>
        <w:t>.pdf</w:t>
      </w:r>
    </w:p>
    <w:p w:rsidR="00A934AB" w:rsidRDefault="00A934AB" w:rsidP="00A934AB">
      <w:pPr>
        <w:pStyle w:val="a3"/>
        <w:rPr>
          <w:kern w:val="0"/>
        </w:rPr>
      </w:pPr>
      <w:r>
        <w:rPr>
          <w:kern w:val="0"/>
        </w:rPr>
        <w:lastRenderedPageBreak/>
        <w:t>Abstract: Drug repositioning, an innovative therapeutic application</w:t>
      </w:r>
      <w:r w:rsidR="00427468">
        <w:rPr>
          <w:kern w:val="0"/>
        </w:rPr>
        <w:t xml:space="preserve"> of </w:t>
      </w:r>
      <w:r>
        <w:rPr>
          <w:kern w:val="0"/>
        </w:rPr>
        <w:t>an old drug, has received much attention as a particularly cost-effective strategy in drug R&amp;D. Recent work has indicated that repositioning can be promoted by utilizing a wide range</w:t>
      </w:r>
      <w:r w:rsidR="00427468">
        <w:rPr>
          <w:kern w:val="0"/>
        </w:rPr>
        <w:t xml:space="preserve"> of </w:t>
      </w:r>
      <w:r>
        <w:rPr>
          <w:kern w:val="0"/>
        </w:rPr>
        <w:t>information sources, including medicinal chemical, target, mechanism, main</w:t>
      </w:r>
      <w:r w:rsidR="005853A9">
        <w:rPr>
          <w:kern w:val="0"/>
        </w:rPr>
        <w:t xml:space="preserve"> and </w:t>
      </w:r>
      <w:r>
        <w:rPr>
          <w:kern w:val="0"/>
        </w:rPr>
        <w:t>side-effect-related information,</w:t>
      </w:r>
      <w:r w:rsidR="005853A9">
        <w:rPr>
          <w:kern w:val="0"/>
        </w:rPr>
        <w:t xml:space="preserve"> and </w:t>
      </w:r>
      <w:r>
        <w:rPr>
          <w:kern w:val="0"/>
        </w:rPr>
        <w:t>also bibliometric</w:t>
      </w:r>
      <w:r w:rsidR="005853A9">
        <w:rPr>
          <w:kern w:val="0"/>
        </w:rPr>
        <w:t xml:space="preserve"> and </w:t>
      </w:r>
      <w:r>
        <w:rPr>
          <w:kern w:val="0"/>
        </w:rPr>
        <w:t>taxonomical fingerprints, signatures</w:t>
      </w:r>
      <w:r w:rsidR="005853A9">
        <w:rPr>
          <w:kern w:val="0"/>
        </w:rPr>
        <w:t xml:space="preserve"> and </w:t>
      </w:r>
      <w:r>
        <w:rPr>
          <w:kern w:val="0"/>
        </w:rPr>
        <w:t>knowledge bases. This article describes the adaptation</w:t>
      </w:r>
      <w:r w:rsidR="00427468">
        <w:rPr>
          <w:kern w:val="0"/>
        </w:rPr>
        <w:t xml:space="preserve"> of </w:t>
      </w:r>
      <w:r>
        <w:rPr>
          <w:kern w:val="0"/>
        </w:rPr>
        <w:t>a conceptually novel, more efficient approach for the identification</w:t>
      </w:r>
      <w:r w:rsidR="00427468">
        <w:rPr>
          <w:kern w:val="0"/>
        </w:rPr>
        <w:t xml:space="preserve"> of </w:t>
      </w:r>
      <w:r>
        <w:rPr>
          <w:kern w:val="0"/>
        </w:rPr>
        <w:t>new possible therapeutic applications</w:t>
      </w:r>
      <w:r w:rsidR="00427468">
        <w:rPr>
          <w:kern w:val="0"/>
        </w:rPr>
        <w:t xml:space="preserve"> of </w:t>
      </w:r>
      <w:r>
        <w:rPr>
          <w:kern w:val="0"/>
        </w:rPr>
        <w:t>approved drugs</w:t>
      </w:r>
      <w:r w:rsidR="005853A9">
        <w:rPr>
          <w:kern w:val="0"/>
        </w:rPr>
        <w:t xml:space="preserve"> and </w:t>
      </w:r>
      <w:r>
        <w:rPr>
          <w:kern w:val="0"/>
        </w:rPr>
        <w:t>drug candidates, based on a kernel-based data fusion method. This strategy includes (1) the potentially multiple representation</w:t>
      </w:r>
      <w:r w:rsidR="00427468">
        <w:rPr>
          <w:kern w:val="0"/>
        </w:rPr>
        <w:t xml:space="preserve"> of </w:t>
      </w:r>
      <w:r>
        <w:rPr>
          <w:kern w:val="0"/>
        </w:rPr>
        <w:t>information sources, (2) the automated weighting</w:t>
      </w:r>
      <w:r w:rsidR="005853A9">
        <w:rPr>
          <w:kern w:val="0"/>
        </w:rPr>
        <w:t xml:space="preserve"> and </w:t>
      </w:r>
      <w:r>
        <w:rPr>
          <w:kern w:val="0"/>
        </w:rPr>
        <w:t>statistically optimal combination</w:t>
      </w:r>
      <w:r w:rsidR="00427468">
        <w:rPr>
          <w:kern w:val="0"/>
        </w:rPr>
        <w:t xml:space="preserve"> of </w:t>
      </w:r>
      <w:r>
        <w:rPr>
          <w:kern w:val="0"/>
        </w:rPr>
        <w:t>information sources,</w:t>
      </w:r>
      <w:r w:rsidR="005853A9">
        <w:rPr>
          <w:kern w:val="0"/>
        </w:rPr>
        <w:t xml:space="preserve"> and </w:t>
      </w:r>
      <w:r>
        <w:rPr>
          <w:kern w:val="0"/>
        </w:rPr>
        <w:t>(3) the automated weighting</w:t>
      </w:r>
      <w:r w:rsidR="00427468">
        <w:rPr>
          <w:kern w:val="0"/>
        </w:rPr>
        <w:t xml:space="preserve"> of </w:t>
      </w:r>
      <w:r>
        <w:rPr>
          <w:kern w:val="0"/>
        </w:rPr>
        <w:t>parts</w:t>
      </w:r>
      <w:r w:rsidR="00427468">
        <w:rPr>
          <w:kern w:val="0"/>
        </w:rPr>
        <w:t xml:space="preserve"> of </w:t>
      </w:r>
      <w:r>
        <w:rPr>
          <w:kern w:val="0"/>
        </w:rPr>
        <w:t>the query compounds</w:t>
      </w:r>
      <w:r w:rsidR="00A37C1D">
        <w:rPr>
          <w:kern w:val="0"/>
        </w:rPr>
        <w:t>. The</w:t>
      </w:r>
      <w:r>
        <w:rPr>
          <w:kern w:val="0"/>
        </w:rPr>
        <w:t xml:space="preserve"> performance was systematically evaluated by using Anatomical Therapeutic Chemical Classification System classes in a cross-validation framework</w:t>
      </w:r>
      <w:r w:rsidR="00A37C1D">
        <w:rPr>
          <w:kern w:val="0"/>
        </w:rPr>
        <w:t>. The</w:t>
      </w:r>
      <w:r>
        <w:rPr>
          <w:kern w:val="0"/>
        </w:rPr>
        <w:t xml:space="preserve"> results confirmed that kernel-based data fusion can integrate heterogeneous information sources significantly better than standard rank-based fusion can,</w:t>
      </w:r>
      <w:r w:rsidR="005853A9">
        <w:rPr>
          <w:kern w:val="0"/>
        </w:rPr>
        <w:t xml:space="preserve"> and </w:t>
      </w:r>
      <w:r>
        <w:rPr>
          <w:kern w:val="0"/>
        </w:rPr>
        <w:t>this method provides a unique solution for repositioning; it can also be utilized for de novo drug discovery</w:t>
      </w:r>
      <w:r w:rsidR="00A37C1D">
        <w:rPr>
          <w:kern w:val="0"/>
        </w:rPr>
        <w:t>. The</w:t>
      </w:r>
      <w:r>
        <w:rPr>
          <w:kern w:val="0"/>
        </w:rPr>
        <w:t xml:space="preserve"> advantages</w:t>
      </w:r>
      <w:r w:rsidR="00427468">
        <w:rPr>
          <w:kern w:val="0"/>
        </w:rPr>
        <w:t xml:space="preserve"> of </w:t>
      </w:r>
      <w:r>
        <w:rPr>
          <w:kern w:val="0"/>
        </w:rPr>
        <w:t>kernel-based data fusion are illustrated with examples</w:t>
      </w:r>
      <w:r w:rsidR="005853A9">
        <w:rPr>
          <w:kern w:val="0"/>
        </w:rPr>
        <w:t xml:space="preserve"> and </w:t>
      </w:r>
      <w:r>
        <w:rPr>
          <w:kern w:val="0"/>
        </w:rPr>
        <w:t>open problems that are particularly relevant for pharmaceutical applications.</w:t>
      </w:r>
    </w:p>
    <w:p w:rsidR="00A934AB" w:rsidRDefault="00A934AB" w:rsidP="00A934AB">
      <w:pPr>
        <w:pStyle w:val="a3"/>
        <w:rPr>
          <w:kern w:val="0"/>
        </w:rPr>
      </w:pPr>
      <w:r>
        <w:rPr>
          <w:kern w:val="0"/>
        </w:rPr>
        <w:t>Keywords: Adaptation, Application, Approach, Bibliometric, Chemical, Classification, Combination, Connectivity Map, Cost-Effective, Data, Data Fusion, Discovery, Discovery Process, Domain, Drug, Drug Discovery, Drug Repositioning, Drug-Disease Relationships, Drugs, Framework, Fusion, Genes, Identification, In Silico Drug Discovery, Information, Kernel Fusion, Knowledge, Mechanism, Network, Open, Performance, Pharmacology, R&amp;D, Recent, Representation, Side-Effect, Similarity, Similarity Search, Solution, Sources, Standard, Strategy, Support Vector Machine, Support Vector Machines, Therapeutic, Weighting, Work</w:t>
      </w:r>
    </w:p>
    <w:p w:rsidR="00F07F84" w:rsidRPr="001A3D2B" w:rsidRDefault="00F07F84" w:rsidP="00F07F84">
      <w:pPr>
        <w:pStyle w:val="1"/>
      </w:pPr>
      <w:r w:rsidRPr="001A3D2B">
        <w:br w:type="page"/>
      </w:r>
      <w:bookmarkStart w:id="478" w:name="_Toc420815156"/>
      <w:r w:rsidRPr="001A3D2B">
        <w:lastRenderedPageBreak/>
        <w:t xml:space="preserve">Title: </w:t>
      </w:r>
      <w:r w:rsidR="003E4A87" w:rsidRPr="003E4A87">
        <w:t>Current Medical Research</w:t>
      </w:r>
      <w:r w:rsidR="005853A9">
        <w:t xml:space="preserve"> and </w:t>
      </w:r>
      <w:r w:rsidR="003E4A87" w:rsidRPr="003E4A87">
        <w:t>Opinion</w:t>
      </w:r>
      <w:bookmarkEnd w:id="478"/>
    </w:p>
    <w:p w:rsidR="00F07F84" w:rsidRPr="001A3D2B" w:rsidRDefault="00F07F84" w:rsidP="00F07F84">
      <w:pPr>
        <w:pStyle w:val="12"/>
      </w:pPr>
      <w:r w:rsidRPr="001A3D2B">
        <w:t xml:space="preserve">Full Journal Title: </w:t>
      </w:r>
      <w:hyperlink r:id="rId1116" w:history="1">
        <w:r w:rsidR="003E4A87" w:rsidRPr="003E4A87">
          <w:rPr>
            <w:rStyle w:val="a5"/>
            <w:iCs/>
            <w:kern w:val="0"/>
          </w:rPr>
          <w:t>Current Medical Research</w:t>
        </w:r>
        <w:r w:rsidR="005853A9">
          <w:rPr>
            <w:rStyle w:val="a5"/>
            <w:iCs/>
            <w:kern w:val="0"/>
          </w:rPr>
          <w:t xml:space="preserve"> and </w:t>
        </w:r>
        <w:r w:rsidR="003E4A87" w:rsidRPr="003E4A87">
          <w:rPr>
            <w:rStyle w:val="a5"/>
            <w:iCs/>
            <w:kern w:val="0"/>
          </w:rPr>
          <w:t>Opinion</w:t>
        </w:r>
      </w:hyperlink>
    </w:p>
    <w:p w:rsidR="00F07F84" w:rsidRPr="001A3D2B" w:rsidRDefault="00F07F84" w:rsidP="00F07F84">
      <w:pPr>
        <w:pStyle w:val="12"/>
      </w:pPr>
      <w:r w:rsidRPr="001A3D2B">
        <w:t xml:space="preserve">ISO Abbreviated Title: </w:t>
      </w:r>
    </w:p>
    <w:p w:rsidR="00F07F84" w:rsidRPr="001A3D2B" w:rsidRDefault="00F07F84" w:rsidP="00F07F84">
      <w:pPr>
        <w:pStyle w:val="12"/>
      </w:pPr>
      <w:r w:rsidRPr="001A3D2B">
        <w:t xml:space="preserve">JCR Abbreviated Title: </w:t>
      </w:r>
    </w:p>
    <w:p w:rsidR="00F07F84" w:rsidRPr="001A3D2B" w:rsidRDefault="00F07F84" w:rsidP="00F07F84">
      <w:pPr>
        <w:pStyle w:val="12"/>
      </w:pPr>
      <w:r w:rsidRPr="001A3D2B">
        <w:t xml:space="preserve">ISSN: </w:t>
      </w:r>
    </w:p>
    <w:p w:rsidR="00F07F84" w:rsidRPr="001A3D2B" w:rsidRDefault="00F07F84" w:rsidP="00F07F84">
      <w:pPr>
        <w:pStyle w:val="12"/>
      </w:pPr>
      <w:r w:rsidRPr="001A3D2B">
        <w:t xml:space="preserve">Issues/Year: </w:t>
      </w:r>
    </w:p>
    <w:p w:rsidR="00F07F84" w:rsidRPr="001A3D2B" w:rsidRDefault="00F07F84" w:rsidP="00F07F84">
      <w:pPr>
        <w:pStyle w:val="12"/>
      </w:pPr>
      <w:r w:rsidRPr="001A3D2B">
        <w:t xml:space="preserve">Journal Country/Territory: </w:t>
      </w:r>
    </w:p>
    <w:p w:rsidR="00F07F84" w:rsidRPr="001A3D2B" w:rsidRDefault="00F07F84" w:rsidP="00F07F84">
      <w:pPr>
        <w:pStyle w:val="12"/>
      </w:pPr>
      <w:r w:rsidRPr="001A3D2B">
        <w:t xml:space="preserve">Language: </w:t>
      </w:r>
    </w:p>
    <w:p w:rsidR="00F07F84" w:rsidRPr="001A3D2B" w:rsidRDefault="00F07F84" w:rsidP="00F07F84">
      <w:pPr>
        <w:pStyle w:val="12"/>
      </w:pPr>
      <w:r w:rsidRPr="001A3D2B">
        <w:t xml:space="preserve">Publisher: </w:t>
      </w:r>
    </w:p>
    <w:p w:rsidR="00F07F84" w:rsidRPr="001A3D2B" w:rsidRDefault="00F07F84" w:rsidP="00F07F84">
      <w:pPr>
        <w:pStyle w:val="12"/>
      </w:pPr>
      <w:r w:rsidRPr="001A3D2B">
        <w:t xml:space="preserve">Publisher Address: </w:t>
      </w:r>
    </w:p>
    <w:p w:rsidR="00F07F84" w:rsidRPr="001A3D2B" w:rsidRDefault="00F07F84" w:rsidP="00F07F84">
      <w:pPr>
        <w:pStyle w:val="12"/>
      </w:pPr>
      <w:r w:rsidRPr="001A3D2B">
        <w:t>Subject Categories:</w:t>
      </w:r>
    </w:p>
    <w:p w:rsidR="00F07F84" w:rsidRPr="001A3D2B" w:rsidRDefault="00F07F84" w:rsidP="00F07F84">
      <w:pPr>
        <w:pStyle w:val="12"/>
      </w:pPr>
      <w:r w:rsidRPr="001A3D2B">
        <w:t xml:space="preserve">: Impact Factor </w:t>
      </w:r>
    </w:p>
    <w:p w:rsidR="00A20347" w:rsidRDefault="00A20347" w:rsidP="00A20347">
      <w:pPr>
        <w:pStyle w:val="a3"/>
        <w:rPr>
          <w:kern w:val="0"/>
        </w:rPr>
      </w:pPr>
      <w:r>
        <w:rPr>
          <w:rFonts w:hint="eastAsia"/>
          <w:kern w:val="0"/>
        </w:rPr>
        <w:t xml:space="preserve">? </w:t>
      </w:r>
      <w:r>
        <w:rPr>
          <w:kern w:val="0"/>
        </w:rPr>
        <w:t>Yu, A.P., Cabanilla, L.A., Wu, E.Q., Mulani, P.M.</w:t>
      </w:r>
      <w:r w:rsidR="005853A9">
        <w:rPr>
          <w:kern w:val="0"/>
        </w:rPr>
        <w:t xml:space="preserve"> and </w:t>
      </w:r>
      <w:r>
        <w:rPr>
          <w:kern w:val="0"/>
        </w:rPr>
        <w:t>Chao, J.D. (2008</w:t>
      </w:r>
      <w:r w:rsidR="00F42EAC">
        <w:rPr>
          <w:kern w:val="0"/>
        </w:rPr>
        <w:t>), The</w:t>
      </w:r>
      <w:r w:rsidR="003A1917">
        <w:rPr>
          <w:kern w:val="0"/>
        </w:rPr>
        <w:t xml:space="preserve"> </w:t>
      </w:r>
      <w:r>
        <w:rPr>
          <w:kern w:val="0"/>
        </w:rPr>
        <w:t>costs</w:t>
      </w:r>
      <w:r w:rsidR="00427468">
        <w:rPr>
          <w:kern w:val="0"/>
        </w:rPr>
        <w:t xml:space="preserve"> of </w:t>
      </w:r>
      <w:r>
        <w:rPr>
          <w:kern w:val="0"/>
        </w:rPr>
        <w:t>Crohn</w:t>
      </w:r>
      <w:r w:rsidR="0071223E">
        <w:rPr>
          <w:kern w:val="0"/>
        </w:rPr>
        <w:t>’</w:t>
      </w:r>
      <w:r w:rsidR="00C13DDC">
        <w:rPr>
          <w:kern w:val="0"/>
        </w:rPr>
        <w:t>s</w:t>
      </w:r>
      <w:r>
        <w:rPr>
          <w:kern w:val="0"/>
        </w:rPr>
        <w:t xml:space="preserve"> disease in</w:t>
      </w:r>
      <w:r w:rsidR="003A1917">
        <w:rPr>
          <w:kern w:val="0"/>
        </w:rPr>
        <w:t xml:space="preserve"> the </w:t>
      </w:r>
      <w:r>
        <w:rPr>
          <w:kern w:val="0"/>
        </w:rPr>
        <w:t>United States</w:t>
      </w:r>
      <w:r w:rsidR="005853A9">
        <w:rPr>
          <w:kern w:val="0"/>
        </w:rPr>
        <w:t xml:space="preserve"> and </w:t>
      </w:r>
      <w:r>
        <w:rPr>
          <w:kern w:val="0"/>
        </w:rPr>
        <w:t xml:space="preserve">other Western countries: A systematic review.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24</w:t>
      </w:r>
      <w:r>
        <w:rPr>
          <w:kern w:val="0"/>
        </w:rPr>
        <w:t xml:space="preserve"> (2), 319-328.</w:t>
      </w:r>
    </w:p>
    <w:p w:rsidR="00A20347" w:rsidRDefault="00A20347" w:rsidP="00A20347">
      <w:pPr>
        <w:pStyle w:val="a3"/>
        <w:rPr>
          <w:kern w:val="0"/>
        </w:rPr>
      </w:pPr>
      <w:r>
        <w:rPr>
          <w:rFonts w:hint="eastAsia"/>
          <w:kern w:val="0"/>
        </w:rPr>
        <w:t>Full Text: 2008\</w:t>
      </w:r>
      <w:r>
        <w:rPr>
          <w:iCs/>
          <w:kern w:val="0"/>
        </w:rPr>
        <w:t>Cur Med Res Opi</w:t>
      </w:r>
      <w:r w:rsidRPr="008155DE">
        <w:rPr>
          <w:bCs/>
          <w:kern w:val="0"/>
        </w:rPr>
        <w:t>2</w:t>
      </w:r>
      <w:r>
        <w:rPr>
          <w:rFonts w:hint="eastAsia"/>
          <w:bCs/>
          <w:kern w:val="0"/>
        </w:rPr>
        <w:t>4</w:t>
      </w:r>
      <w:r>
        <w:rPr>
          <w:kern w:val="0"/>
        </w:rPr>
        <w:t xml:space="preserve">, </w:t>
      </w:r>
      <w:r>
        <w:rPr>
          <w:rFonts w:hint="eastAsia"/>
          <w:kern w:val="0"/>
        </w:rPr>
        <w:t>319.pdf</w:t>
      </w:r>
    </w:p>
    <w:p w:rsidR="00A20347" w:rsidRDefault="00A20347" w:rsidP="00A20347">
      <w:pPr>
        <w:pStyle w:val="a3"/>
        <w:rPr>
          <w:kern w:val="0"/>
        </w:rPr>
      </w:pPr>
      <w:r>
        <w:rPr>
          <w:kern w:val="0"/>
        </w:rPr>
        <w:t>Abstract: Objective: To conduct a critical</w:t>
      </w:r>
      <w:r w:rsidR="005853A9">
        <w:rPr>
          <w:kern w:val="0"/>
        </w:rPr>
        <w:t xml:space="preserve"> and </w:t>
      </w:r>
      <w:r>
        <w:rPr>
          <w:kern w:val="0"/>
        </w:rPr>
        <w:t>systematic literature review</w:t>
      </w:r>
      <w:r w:rsidR="00427468">
        <w:rPr>
          <w:kern w:val="0"/>
        </w:rPr>
        <w:t xml:space="preserve"> of </w:t>
      </w:r>
      <w:r w:rsidR="003A1917">
        <w:rPr>
          <w:kern w:val="0"/>
        </w:rPr>
        <w:t xml:space="preserve">the </w:t>
      </w:r>
      <w:r>
        <w:rPr>
          <w:kern w:val="0"/>
        </w:rPr>
        <w:t>costs</w:t>
      </w:r>
      <w:r w:rsidR="00427468">
        <w:rPr>
          <w:kern w:val="0"/>
        </w:rPr>
        <w:t xml:space="preserve"> of </w:t>
      </w:r>
      <w:r>
        <w:rPr>
          <w:kern w:val="0"/>
        </w:rPr>
        <w:t>Crohn</w:t>
      </w:r>
      <w:r w:rsidR="0071223E">
        <w:rPr>
          <w:kern w:val="0"/>
        </w:rPr>
        <w:t>’</w:t>
      </w:r>
      <w:r w:rsidR="00C13DDC">
        <w:rPr>
          <w:kern w:val="0"/>
        </w:rPr>
        <w:t>s</w:t>
      </w:r>
      <w:r>
        <w:rPr>
          <w:kern w:val="0"/>
        </w:rPr>
        <w:t xml:space="preserve"> disease (CD) in Western industrialized countries. Research design</w:t>
      </w:r>
      <w:r w:rsidR="005853A9">
        <w:rPr>
          <w:kern w:val="0"/>
        </w:rPr>
        <w:t xml:space="preserve"> and </w:t>
      </w:r>
      <w:r>
        <w:rPr>
          <w:kern w:val="0"/>
        </w:rPr>
        <w:t>methods: Studies published in English that described</w:t>
      </w:r>
      <w:r w:rsidR="003A1917">
        <w:rPr>
          <w:kern w:val="0"/>
        </w:rPr>
        <w:t xml:space="preserve"> the </w:t>
      </w:r>
      <w:r>
        <w:rPr>
          <w:kern w:val="0"/>
        </w:rPr>
        <w:t>cost</w:t>
      </w:r>
      <w:r w:rsidR="00427468">
        <w:rPr>
          <w:kern w:val="0"/>
        </w:rPr>
        <w:t xml:space="preserve"> of </w:t>
      </w:r>
      <w:r>
        <w:rPr>
          <w:kern w:val="0"/>
        </w:rPr>
        <w:t>CD in Western industrialized countries were identified using three major databases (</w:t>
      </w:r>
      <w:r w:rsidR="00D5664A">
        <w:rPr>
          <w:kern w:val="0"/>
        </w:rPr>
        <w:t>MEDLINE</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Studies were reviewed</w:t>
      </w:r>
      <w:r w:rsidR="005853A9">
        <w:rPr>
          <w:kern w:val="0"/>
        </w:rPr>
        <w:t xml:space="preserve"> and </w:t>
      </w:r>
      <w:r>
        <w:rPr>
          <w:kern w:val="0"/>
        </w:rPr>
        <w:t>rated based on their relevance to cost</w:t>
      </w:r>
      <w:r w:rsidR="00427468">
        <w:rPr>
          <w:kern w:val="0"/>
        </w:rPr>
        <w:t xml:space="preserve"> of </w:t>
      </w:r>
      <w:r>
        <w:rPr>
          <w:kern w:val="0"/>
        </w:rPr>
        <w:t>illness</w:t>
      </w:r>
      <w:r w:rsidR="005853A9">
        <w:rPr>
          <w:kern w:val="0"/>
        </w:rPr>
        <w:t xml:space="preserve"> and </w:t>
      </w:r>
      <w:r w:rsidR="003A1917">
        <w:rPr>
          <w:kern w:val="0"/>
        </w:rPr>
        <w:t xml:space="preserve">the </w:t>
      </w:r>
      <w:r>
        <w:rPr>
          <w:kern w:val="0"/>
        </w:rPr>
        <w:t>reliability</w:t>
      </w:r>
      <w:r w:rsidR="00427468">
        <w:rPr>
          <w:kern w:val="0"/>
        </w:rPr>
        <w:t xml:space="preserve"> of </w:t>
      </w:r>
      <w:r w:rsidR="003A1917">
        <w:rPr>
          <w:kern w:val="0"/>
        </w:rPr>
        <w:t xml:space="preserve">the </w:t>
      </w:r>
      <w:r>
        <w:rPr>
          <w:kern w:val="0"/>
        </w:rPr>
        <w:t>estimates. All costs were adjusted for inflation to 2006 values. Results: Estimated direct medical costs were $18 022-18 932 per patient with CD per year in</w:t>
      </w:r>
      <w:r w:rsidR="003A1917">
        <w:rPr>
          <w:kern w:val="0"/>
        </w:rPr>
        <w:t xml:space="preserve"> the </w:t>
      </w:r>
      <w:r>
        <w:rPr>
          <w:kern w:val="0"/>
        </w:rPr>
        <w:t>United States,</w:t>
      </w:r>
      <w:r w:rsidR="005853A9">
        <w:rPr>
          <w:kern w:val="0"/>
        </w:rPr>
        <w:t xml:space="preserve"> and </w:t>
      </w:r>
      <w:r>
        <w:rPr>
          <w:kern w:val="0"/>
        </w:rPr>
        <w:t>(sic)2898-6960 in other Western countries. Hospitalizations accounted for 53-66%</w:t>
      </w:r>
      <w:r w:rsidR="00427468">
        <w:rPr>
          <w:kern w:val="0"/>
        </w:rPr>
        <w:t xml:space="preserve"> of </w:t>
      </w:r>
      <w:r>
        <w:rPr>
          <w:kern w:val="0"/>
        </w:rPr>
        <w:t>direct medical costs, with an average cost-per-hospitalization</w:t>
      </w:r>
      <w:r w:rsidR="00427468">
        <w:rPr>
          <w:kern w:val="0"/>
        </w:rPr>
        <w:t xml:space="preserve"> of </w:t>
      </w:r>
      <w:r>
        <w:rPr>
          <w:kern w:val="0"/>
        </w:rPr>
        <w:t>$37459 in</w:t>
      </w:r>
      <w:r w:rsidR="003A1917">
        <w:rPr>
          <w:kern w:val="0"/>
        </w:rPr>
        <w:t xml:space="preserve"> the </w:t>
      </w:r>
      <w:r>
        <w:rPr>
          <w:kern w:val="0"/>
        </w:rPr>
        <w:t>United States. Estimated indirect costs accounted for 28%</w:t>
      </w:r>
      <w:r w:rsidR="00427468">
        <w:rPr>
          <w:kern w:val="0"/>
        </w:rPr>
        <w:t xml:space="preserve"> of </w:t>
      </w:r>
      <w:r w:rsidR="003A1917">
        <w:rPr>
          <w:kern w:val="0"/>
        </w:rPr>
        <w:t xml:space="preserve">the </w:t>
      </w:r>
      <w:r>
        <w:rPr>
          <w:kern w:val="0"/>
        </w:rPr>
        <w:t>total cost in</w:t>
      </w:r>
      <w:r w:rsidR="003A1917">
        <w:rPr>
          <w:kern w:val="0"/>
        </w:rPr>
        <w:t xml:space="preserve"> the </w:t>
      </w:r>
      <w:r>
        <w:rPr>
          <w:kern w:val="0"/>
        </w:rPr>
        <w:t>United States</w:t>
      </w:r>
      <w:r w:rsidR="005853A9">
        <w:rPr>
          <w:kern w:val="0"/>
        </w:rPr>
        <w:t xml:space="preserve"> and </w:t>
      </w:r>
      <w:r>
        <w:rPr>
          <w:kern w:val="0"/>
        </w:rPr>
        <w:t>64-69% in Europe. Costs differed greatly by disease severity. Costs</w:t>
      </w:r>
      <w:r w:rsidR="00427468">
        <w:rPr>
          <w:kern w:val="0"/>
        </w:rPr>
        <w:t xml:space="preserve"> of </w:t>
      </w:r>
      <w:r>
        <w:rPr>
          <w:kern w:val="0"/>
        </w:rPr>
        <w:t>patients with severe disease were 3- to 9-fold higher than patients in remission. Direct medical costs in</w:t>
      </w:r>
      <w:r w:rsidR="003A1917">
        <w:rPr>
          <w:kern w:val="0"/>
        </w:rPr>
        <w:t xml:space="preserve"> the </w:t>
      </w:r>
      <w:r>
        <w:rPr>
          <w:kern w:val="0"/>
        </w:rPr>
        <w:t>United States for patients in</w:t>
      </w:r>
      <w:r w:rsidR="003A1917">
        <w:rPr>
          <w:kern w:val="0"/>
        </w:rPr>
        <w:t xml:space="preserve"> the </w:t>
      </w:r>
      <w:r>
        <w:rPr>
          <w:kern w:val="0"/>
        </w:rPr>
        <w:t>top 25%</w:t>
      </w:r>
      <w:r w:rsidR="00427468">
        <w:rPr>
          <w:kern w:val="0"/>
        </w:rPr>
        <w:t xml:space="preserve"> of </w:t>
      </w:r>
      <w:r>
        <w:rPr>
          <w:kern w:val="0"/>
        </w:rPr>
        <w:t>total costs averaged $60 582 per year; costs</w:t>
      </w:r>
      <w:r w:rsidR="00427468">
        <w:rPr>
          <w:kern w:val="0"/>
        </w:rPr>
        <w:t xml:space="preserve"> of </w:t>
      </w:r>
      <w:r>
        <w:rPr>
          <w:kern w:val="0"/>
        </w:rPr>
        <w:t>patients in</w:t>
      </w:r>
      <w:r w:rsidR="003A1917">
        <w:rPr>
          <w:kern w:val="0"/>
        </w:rPr>
        <w:t xml:space="preserve"> the </w:t>
      </w:r>
      <w:r>
        <w:rPr>
          <w:kern w:val="0"/>
        </w:rPr>
        <w:t>top 2% averaged more than $300000 per year. Combining prevalence rates,</w:t>
      </w:r>
      <w:r w:rsidR="003A1917">
        <w:rPr>
          <w:kern w:val="0"/>
        </w:rPr>
        <w:t xml:space="preserve"> the </w:t>
      </w:r>
      <w:r>
        <w:rPr>
          <w:kern w:val="0"/>
        </w:rPr>
        <w:t>total economic burden</w:t>
      </w:r>
      <w:r w:rsidR="00427468">
        <w:rPr>
          <w:kern w:val="0"/>
        </w:rPr>
        <w:t xml:space="preserve"> of </w:t>
      </w:r>
      <w:r>
        <w:rPr>
          <w:kern w:val="0"/>
        </w:rPr>
        <w:t>CD was $10.9-15.5 billion in</w:t>
      </w:r>
      <w:r w:rsidR="003A1917">
        <w:rPr>
          <w:kern w:val="0"/>
        </w:rPr>
        <w:t xml:space="preserve"> the </w:t>
      </w:r>
      <w:r>
        <w:rPr>
          <w:kern w:val="0"/>
        </w:rPr>
        <w:t>United States</w:t>
      </w:r>
      <w:r w:rsidR="005853A9">
        <w:rPr>
          <w:kern w:val="0"/>
        </w:rPr>
        <w:t xml:space="preserve"> and </w:t>
      </w:r>
      <w:r>
        <w:rPr>
          <w:kern w:val="0"/>
        </w:rPr>
        <w:t>(sic)2.1-16.7 billion in Europe. Limitations: This review is limited by</w:t>
      </w:r>
      <w:r w:rsidR="003A1917">
        <w:rPr>
          <w:kern w:val="0"/>
        </w:rPr>
        <w:t xml:space="preserve"> the </w:t>
      </w:r>
      <w:r>
        <w:rPr>
          <w:kern w:val="0"/>
        </w:rPr>
        <w:t>research quality</w:t>
      </w:r>
      <w:r w:rsidR="005853A9">
        <w:rPr>
          <w:kern w:val="0"/>
        </w:rPr>
        <w:t xml:space="preserve"> and </w:t>
      </w:r>
      <w:r>
        <w:rPr>
          <w:kern w:val="0"/>
        </w:rPr>
        <w:t>variations</w:t>
      </w:r>
      <w:r w:rsidR="00427468">
        <w:rPr>
          <w:kern w:val="0"/>
        </w:rPr>
        <w:t xml:space="preserve"> of </w:t>
      </w:r>
      <w:r w:rsidR="003A1917">
        <w:rPr>
          <w:kern w:val="0"/>
        </w:rPr>
        <w:t xml:space="preserve">the </w:t>
      </w:r>
      <w:r>
        <w:rPr>
          <w:kern w:val="0"/>
        </w:rPr>
        <w:t>individual studies reviewed,</w:t>
      </w:r>
      <w:r w:rsidR="005853A9">
        <w:rPr>
          <w:kern w:val="0"/>
        </w:rPr>
        <w:t xml:space="preserve"> and </w:t>
      </w:r>
      <w:r>
        <w:rPr>
          <w:kern w:val="0"/>
        </w:rPr>
        <w:t>only includes English articles. Conclusions: This updated literature synthesis demonstrated</w:t>
      </w:r>
      <w:r w:rsidR="003A1917">
        <w:rPr>
          <w:kern w:val="0"/>
        </w:rPr>
        <w:t xml:space="preserve"> the </w:t>
      </w:r>
      <w:r>
        <w:rPr>
          <w:kern w:val="0"/>
        </w:rPr>
        <w:t>substantial total cost burden</w:t>
      </w:r>
      <w:r w:rsidR="00427468">
        <w:rPr>
          <w:kern w:val="0"/>
        </w:rPr>
        <w:t xml:space="preserve"> of </w:t>
      </w:r>
      <w:r>
        <w:rPr>
          <w:kern w:val="0"/>
        </w:rPr>
        <w:t>CD,</w:t>
      </w:r>
      <w:r w:rsidR="00427468">
        <w:rPr>
          <w:kern w:val="0"/>
        </w:rPr>
        <w:t xml:space="preserve"> of </w:t>
      </w:r>
      <w:r>
        <w:rPr>
          <w:kern w:val="0"/>
        </w:rPr>
        <w:t>which hospitalizations accounted for more than half</w:t>
      </w:r>
      <w:r w:rsidR="00427468">
        <w:rPr>
          <w:kern w:val="0"/>
        </w:rPr>
        <w:t xml:space="preserve"> of </w:t>
      </w:r>
      <w:r>
        <w:rPr>
          <w:kern w:val="0"/>
        </w:rPr>
        <w:t>direct medical costs.</w:t>
      </w:r>
    </w:p>
    <w:p w:rsidR="00A20347" w:rsidRDefault="00A20347" w:rsidP="00A20347">
      <w:pPr>
        <w:pStyle w:val="a3"/>
        <w:rPr>
          <w:kern w:val="0"/>
        </w:rPr>
      </w:pPr>
      <w:r>
        <w:rPr>
          <w:kern w:val="0"/>
        </w:rPr>
        <w:lastRenderedPageBreak/>
        <w:t>Keywords: Burden, Care, Cd, Cohort, Cost</w:t>
      </w:r>
      <w:r w:rsidR="00427468">
        <w:rPr>
          <w:kern w:val="0"/>
        </w:rPr>
        <w:t xml:space="preserve"> of </w:t>
      </w:r>
      <w:r>
        <w:rPr>
          <w:kern w:val="0"/>
        </w:rPr>
        <w:t>Illness, Costs, Crohn</w:t>
      </w:r>
      <w:r w:rsidR="0071223E">
        <w:rPr>
          <w:kern w:val="0"/>
        </w:rPr>
        <w:t>’</w:t>
      </w:r>
      <w:r w:rsidR="00C13DDC">
        <w:rPr>
          <w:kern w:val="0"/>
        </w:rPr>
        <w:t>s</w:t>
      </w:r>
      <w:r>
        <w:rPr>
          <w:kern w:val="0"/>
        </w:rPr>
        <w:t xml:space="preserve"> Disease, Databases, Direct Medical Costs, Disease, Economic Burden, Embase, Epidemiology, Europe, Follow-Up, Hospitalization, Hospitalizations, Illness, Inflammatory-Bowel-Disease</w:t>
      </w:r>
      <w:r w:rsidR="00D5664A">
        <w:rPr>
          <w:kern w:val="0"/>
        </w:rPr>
        <w:t>, ISI,</w:t>
      </w:r>
      <w:r>
        <w:rPr>
          <w:kern w:val="0"/>
        </w:rPr>
        <w:t xml:space="preserve"> Literature, Literature Review, Medical, Natural-History, Population, Prevalence, Reliability, Remission, Research, Review, Science, Systematic, Systematic Literature Review, Systematic Review, Ulcerative-Colitis, </w:t>
      </w:r>
      <w:r w:rsidR="00D5664A">
        <w:rPr>
          <w:kern w:val="0"/>
        </w:rPr>
        <w:t>Web</w:t>
      </w:r>
      <w:r w:rsidR="00427468">
        <w:rPr>
          <w:kern w:val="0"/>
        </w:rPr>
        <w:t xml:space="preserve"> of </w:t>
      </w:r>
      <w:r w:rsidR="00D5664A">
        <w:rPr>
          <w:kern w:val="0"/>
        </w:rPr>
        <w:t>Science</w:t>
      </w:r>
    </w:p>
    <w:p w:rsidR="003E4A87" w:rsidRDefault="003E4A87" w:rsidP="003E4A87">
      <w:pPr>
        <w:pStyle w:val="a3"/>
        <w:rPr>
          <w:kern w:val="0"/>
        </w:rPr>
      </w:pPr>
      <w:r>
        <w:rPr>
          <w:rFonts w:hint="eastAsia"/>
          <w:kern w:val="0"/>
        </w:rPr>
        <w:t xml:space="preserve">? </w:t>
      </w:r>
      <w:r>
        <w:rPr>
          <w:kern w:val="0"/>
        </w:rPr>
        <w:t>Korpela, K.M. (2010), How long does it take for</w:t>
      </w:r>
      <w:r w:rsidR="003A1917">
        <w:rPr>
          <w:kern w:val="0"/>
        </w:rPr>
        <w:t xml:space="preserve"> the </w:t>
      </w:r>
      <w:r>
        <w:rPr>
          <w:kern w:val="0"/>
        </w:rPr>
        <w:t>scientific literature to purge itself</w:t>
      </w:r>
      <w:r w:rsidR="00427468">
        <w:rPr>
          <w:kern w:val="0"/>
        </w:rPr>
        <w:t xml:space="preserve"> of </w:t>
      </w:r>
      <w:r>
        <w:rPr>
          <w:kern w:val="0"/>
        </w:rPr>
        <w:t>fraudulent material?</w:t>
      </w:r>
      <w:r w:rsidR="003A1917">
        <w:rPr>
          <w:kern w:val="0"/>
        </w:rPr>
        <w:t xml:space="preserve"> the </w:t>
      </w:r>
      <w:r>
        <w:rPr>
          <w:kern w:val="0"/>
        </w:rPr>
        <w:t xml:space="preserve">Breuning case revisited. </w:t>
      </w:r>
      <w:r w:rsidRPr="003E4A87">
        <w:rPr>
          <w:i/>
          <w:iCs/>
          <w:kern w:val="0"/>
        </w:rPr>
        <w:t>Current Medical Research</w:t>
      </w:r>
      <w:r w:rsidR="005853A9">
        <w:rPr>
          <w:i/>
          <w:iCs/>
          <w:kern w:val="0"/>
        </w:rPr>
        <w:t xml:space="preserve"> and </w:t>
      </w:r>
      <w:r w:rsidRPr="003E4A87">
        <w:rPr>
          <w:i/>
          <w:iCs/>
          <w:kern w:val="0"/>
        </w:rPr>
        <w:t>Opinion</w:t>
      </w:r>
      <w:r>
        <w:rPr>
          <w:kern w:val="0"/>
        </w:rPr>
        <w:t xml:space="preserve">, </w:t>
      </w:r>
      <w:r>
        <w:rPr>
          <w:b/>
          <w:bCs/>
          <w:kern w:val="0"/>
        </w:rPr>
        <w:t>26</w:t>
      </w:r>
      <w:r>
        <w:rPr>
          <w:kern w:val="0"/>
        </w:rPr>
        <w:t xml:space="preserve"> (4), 843-847.</w:t>
      </w:r>
    </w:p>
    <w:p w:rsidR="003E4A87" w:rsidRDefault="003E4A87" w:rsidP="003E4A87">
      <w:pPr>
        <w:pStyle w:val="a3"/>
        <w:rPr>
          <w:kern w:val="0"/>
        </w:rPr>
      </w:pPr>
      <w:r>
        <w:rPr>
          <w:rFonts w:hint="eastAsia"/>
          <w:kern w:val="0"/>
        </w:rPr>
        <w:t xml:space="preserve">Full Text: </w:t>
      </w:r>
      <w:r w:rsidR="006C19D0">
        <w:rPr>
          <w:rFonts w:hint="eastAsia"/>
          <w:kern w:val="0"/>
        </w:rPr>
        <w:t>2010\</w:t>
      </w:r>
      <w:r>
        <w:rPr>
          <w:iCs/>
          <w:kern w:val="0"/>
        </w:rPr>
        <w:t>Cur Med Res Opi</w:t>
      </w:r>
      <w:r w:rsidRPr="008155DE">
        <w:rPr>
          <w:bCs/>
          <w:kern w:val="0"/>
        </w:rPr>
        <w:t>26</w:t>
      </w:r>
      <w:r>
        <w:rPr>
          <w:kern w:val="0"/>
        </w:rPr>
        <w:t>, 843</w:t>
      </w:r>
      <w:r>
        <w:rPr>
          <w:rFonts w:hint="eastAsia"/>
          <w:kern w:val="0"/>
        </w:rPr>
        <w:t>.pdf</w:t>
      </w:r>
    </w:p>
    <w:p w:rsidR="003E4A87" w:rsidRDefault="003E4A87" w:rsidP="003E4A87">
      <w:pPr>
        <w:pStyle w:val="a3"/>
        <w:rPr>
          <w:kern w:val="0"/>
        </w:rPr>
      </w:pPr>
      <w:r>
        <w:rPr>
          <w:kern w:val="0"/>
        </w:rPr>
        <w:t>Abstract: It has been proposed that</w:t>
      </w:r>
      <w:r w:rsidR="003A1917">
        <w:rPr>
          <w:kern w:val="0"/>
        </w:rPr>
        <w:t xml:space="preserve"> the </w:t>
      </w:r>
      <w:r>
        <w:rPr>
          <w:kern w:val="0"/>
        </w:rPr>
        <w:t>scientific literature purges itself</w:t>
      </w:r>
      <w:r w:rsidR="00427468">
        <w:rPr>
          <w:kern w:val="0"/>
        </w:rPr>
        <w:t xml:space="preserve"> of </w:t>
      </w:r>
      <w:r>
        <w:rPr>
          <w:kern w:val="0"/>
        </w:rPr>
        <w:t>articles known to be fraudulent. To test this, an investigation was carried out</w:t>
      </w:r>
      <w:r w:rsidR="00427468">
        <w:rPr>
          <w:kern w:val="0"/>
        </w:rPr>
        <w:t xml:space="preserve"> of </w:t>
      </w:r>
      <w:r>
        <w:rPr>
          <w:kern w:val="0"/>
        </w:rPr>
        <w:t>post-retraction citations over a 19-year period in</w:t>
      </w:r>
      <w:r w:rsidR="003A1917">
        <w:rPr>
          <w:kern w:val="0"/>
        </w:rPr>
        <w:t xml:space="preserve"> the </w:t>
      </w:r>
      <w:r>
        <w:rPr>
          <w:kern w:val="0"/>
        </w:rPr>
        <w:t>Breuning case. On 10 March 2008 a cited reference search was conducted (all languages, all document types) using</w:t>
      </w:r>
      <w:r w:rsidR="003A1917">
        <w:rPr>
          <w:kern w:val="0"/>
        </w:rPr>
        <w:t xml:space="preserve"> the </w:t>
      </w:r>
      <w:r>
        <w:rPr>
          <w:kern w:val="0"/>
        </w:rPr>
        <w:t xml:space="preserve">name </w:t>
      </w:r>
      <w:r w:rsidR="0071223E">
        <w:rPr>
          <w:kern w:val="0"/>
        </w:rPr>
        <w:t>‘</w:t>
      </w:r>
      <w:r>
        <w:rPr>
          <w:kern w:val="0"/>
        </w:rPr>
        <w:t>Breuning SE*</w:t>
      </w:r>
      <w:r w:rsidR="0071223E">
        <w:rPr>
          <w:kern w:val="0"/>
        </w:rPr>
        <w:t>’</w:t>
      </w:r>
      <w:r w:rsidR="00A37C1D">
        <w:rPr>
          <w:kern w:val="0"/>
        </w:rPr>
        <w:t>. The</w:t>
      </w:r>
      <w:r w:rsidR="003A1917">
        <w:rPr>
          <w:kern w:val="0"/>
        </w:rPr>
        <w:t xml:space="preserve"> </w:t>
      </w:r>
      <w:r>
        <w:rPr>
          <w:kern w:val="0"/>
        </w:rPr>
        <w:t>time limit was 1989-2007 with an option to exclude self-citations</w:t>
      </w:r>
      <w:r w:rsidR="00A37C1D">
        <w:rPr>
          <w:kern w:val="0"/>
        </w:rPr>
        <w:t>. The</w:t>
      </w:r>
      <w:r w:rsidR="003A1917">
        <w:rPr>
          <w:kern w:val="0"/>
        </w:rPr>
        <w:t xml:space="preserve"> </w:t>
      </w:r>
      <w:r>
        <w:rPr>
          <w:kern w:val="0"/>
        </w:rPr>
        <w:t>search included</w:t>
      </w:r>
      <w:r w:rsidR="003A1917">
        <w:rPr>
          <w:kern w:val="0"/>
        </w:rPr>
        <w:t xml:space="preserve"> 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 including</w:t>
      </w:r>
      <w:r w:rsidR="003A1917">
        <w:rPr>
          <w:kern w:val="0"/>
        </w:rPr>
        <w:t xml:space="preserve"> the </w:t>
      </w:r>
      <w:r>
        <w:rPr>
          <w:kern w:val="0"/>
        </w:rPr>
        <w:t>Science Citation Index Expanded,</w:t>
      </w:r>
      <w:r w:rsidR="003A1917">
        <w:rPr>
          <w:kern w:val="0"/>
        </w:rPr>
        <w:t xml:space="preserve"> the </w:t>
      </w:r>
      <w:r>
        <w:rPr>
          <w:kern w:val="0"/>
        </w:rPr>
        <w:t>Social Sciences Citations Index</w:t>
      </w:r>
      <w:r w:rsidR="005853A9">
        <w:rPr>
          <w:kern w:val="0"/>
        </w:rPr>
        <w:t xml:space="preserve"> and </w:t>
      </w:r>
      <w:r w:rsidR="003A1917">
        <w:rPr>
          <w:kern w:val="0"/>
        </w:rPr>
        <w:t xml:space="preserve">the </w:t>
      </w:r>
      <w:r>
        <w:rPr>
          <w:kern w:val="0"/>
        </w:rPr>
        <w:t>Arts &amp; Humanities Citation Index. To ascertain</w:t>
      </w:r>
      <w:r w:rsidR="003A1917">
        <w:rPr>
          <w:kern w:val="0"/>
        </w:rPr>
        <w:t xml:space="preserve"> the </w:t>
      </w:r>
      <w:r>
        <w:rPr>
          <w:kern w:val="0"/>
        </w:rPr>
        <w:t>citation context, citations</w:t>
      </w:r>
      <w:r w:rsidR="00427468">
        <w:rPr>
          <w:kern w:val="0"/>
        </w:rPr>
        <w:t xml:space="preserve"> of </w:t>
      </w:r>
      <w:r>
        <w:rPr>
          <w:kern w:val="0"/>
        </w:rPr>
        <w:t>Breuning were classified by two raters as affirmative, negative or neutral. For</w:t>
      </w:r>
      <w:r w:rsidR="003A1917">
        <w:rPr>
          <w:kern w:val="0"/>
        </w:rPr>
        <w:t xml:space="preserve"> the </w:t>
      </w:r>
      <w:r>
        <w:rPr>
          <w:kern w:val="0"/>
        </w:rPr>
        <w:t>period 1989-2000 both negative</w:t>
      </w:r>
      <w:r w:rsidR="005853A9">
        <w:rPr>
          <w:kern w:val="0"/>
        </w:rPr>
        <w:t xml:space="preserve"> and </w:t>
      </w:r>
      <w:r>
        <w:rPr>
          <w:kern w:val="0"/>
        </w:rPr>
        <w:t>affirmative citations were found. For</w:t>
      </w:r>
      <w:r w:rsidR="003A1917">
        <w:rPr>
          <w:kern w:val="0"/>
        </w:rPr>
        <w:t xml:space="preserve"> the </w:t>
      </w:r>
      <w:r>
        <w:rPr>
          <w:kern w:val="0"/>
        </w:rPr>
        <w:t>period 2001-2006 only affirmative citations (even to retracted articles) were found, some in journals with higher impact factors than those citing</w:t>
      </w:r>
      <w:r w:rsidR="003A1917">
        <w:rPr>
          <w:kern w:val="0"/>
        </w:rPr>
        <w:t xml:space="preserve"> the </w:t>
      </w:r>
      <w:r>
        <w:rPr>
          <w:kern w:val="0"/>
        </w:rPr>
        <w:t>case as fraudulent. In spite</w:t>
      </w:r>
      <w:r w:rsidR="00427468">
        <w:rPr>
          <w:kern w:val="0"/>
        </w:rPr>
        <w:t xml:space="preserve"> of </w:t>
      </w:r>
      <w:r w:rsidR="003A1917">
        <w:rPr>
          <w:kern w:val="0"/>
        </w:rPr>
        <w:t xml:space="preserve">the </w:t>
      </w:r>
      <w:r>
        <w:rPr>
          <w:kern w:val="0"/>
        </w:rPr>
        <w:t>small number</w:t>
      </w:r>
      <w:r w:rsidR="00427468">
        <w:rPr>
          <w:kern w:val="0"/>
        </w:rPr>
        <w:t xml:space="preserve"> of </w:t>
      </w:r>
      <w:r>
        <w:rPr>
          <w:kern w:val="0"/>
        </w:rPr>
        <w:t>citations</w:t>
      </w:r>
      <w:r w:rsidR="00427468">
        <w:rPr>
          <w:kern w:val="0"/>
        </w:rPr>
        <w:t xml:space="preserve"> of </w:t>
      </w:r>
      <w:r>
        <w:rPr>
          <w:kern w:val="0"/>
        </w:rPr>
        <w:t>Breuning</w:t>
      </w:r>
      <w:r w:rsidR="0071223E">
        <w:rPr>
          <w:kern w:val="0"/>
        </w:rPr>
        <w:t>’</w:t>
      </w:r>
      <w:r w:rsidR="00C13DDC">
        <w:rPr>
          <w:kern w:val="0"/>
        </w:rPr>
        <w:t>s</w:t>
      </w:r>
      <w:r>
        <w:rPr>
          <w:kern w:val="0"/>
        </w:rPr>
        <w:t xml:space="preserve"> articles, it is alarming that</w:t>
      </w:r>
      <w:r w:rsidR="003A1917">
        <w:rPr>
          <w:kern w:val="0"/>
        </w:rPr>
        <w:t xml:space="preserve"> the </w:t>
      </w:r>
      <w:r>
        <w:rPr>
          <w:kern w:val="0"/>
        </w:rPr>
        <w:t>affirmative citing</w:t>
      </w:r>
      <w:r w:rsidR="00427468">
        <w:rPr>
          <w:kern w:val="0"/>
        </w:rPr>
        <w:t xml:space="preserve"> of </w:t>
      </w:r>
      <w:r>
        <w:rPr>
          <w:kern w:val="0"/>
        </w:rPr>
        <w:t>fraudulent research has not completely ceased but continues 24 years post-retraction (retracted 1982, cited 2006). While</w:t>
      </w:r>
      <w:r w:rsidR="003A1917">
        <w:rPr>
          <w:kern w:val="0"/>
        </w:rPr>
        <w:t xml:space="preserve"> the </w:t>
      </w:r>
      <w:r>
        <w:rPr>
          <w:kern w:val="0"/>
        </w:rPr>
        <w:t>limitations</w:t>
      </w:r>
      <w:r w:rsidR="00427468">
        <w:rPr>
          <w:kern w:val="0"/>
        </w:rPr>
        <w:t xml:space="preserve"> of </w:t>
      </w:r>
      <w:r>
        <w:rPr>
          <w:kern w:val="0"/>
        </w:rPr>
        <w:t>a single case study are conceded,</w:t>
      </w:r>
      <w:r w:rsidR="003A1917">
        <w:rPr>
          <w:kern w:val="0"/>
        </w:rPr>
        <w:t xml:space="preserve"> the </w:t>
      </w:r>
      <w:r>
        <w:rPr>
          <w:kern w:val="0"/>
        </w:rPr>
        <w:t>results challenge</w:t>
      </w:r>
      <w:r w:rsidR="003A1917">
        <w:rPr>
          <w:kern w:val="0"/>
        </w:rPr>
        <w:t xml:space="preserve"> the </w:t>
      </w:r>
      <w:r>
        <w:rPr>
          <w:kern w:val="0"/>
        </w:rPr>
        <w:t>belief</w:t>
      </w:r>
      <w:r w:rsidR="00427468">
        <w:rPr>
          <w:kern w:val="0"/>
        </w:rPr>
        <w:t xml:space="preserve"> of </w:t>
      </w:r>
      <w:r>
        <w:rPr>
          <w:kern w:val="0"/>
        </w:rPr>
        <w:t>scientific literature purging itself</w:t>
      </w:r>
      <w:r w:rsidR="00427468">
        <w:rPr>
          <w:kern w:val="0"/>
        </w:rPr>
        <w:t xml:space="preserve"> of </w:t>
      </w:r>
      <w:r>
        <w:rPr>
          <w:kern w:val="0"/>
        </w:rPr>
        <w:t>fraudulent material. Retraction databases</w:t>
      </w:r>
      <w:r w:rsidR="005853A9">
        <w:rPr>
          <w:kern w:val="0"/>
        </w:rPr>
        <w:t xml:space="preserve"> and </w:t>
      </w:r>
      <w:r>
        <w:rPr>
          <w:kern w:val="0"/>
        </w:rPr>
        <w:t>widespread availability</w:t>
      </w:r>
      <w:r w:rsidR="00427468">
        <w:rPr>
          <w:kern w:val="0"/>
        </w:rPr>
        <w:t xml:space="preserve"> of </w:t>
      </w:r>
      <w:r>
        <w:rPr>
          <w:kern w:val="0"/>
        </w:rPr>
        <w:t>computer software to check lists</w:t>
      </w:r>
      <w:r w:rsidR="00427468">
        <w:rPr>
          <w:kern w:val="0"/>
        </w:rPr>
        <w:t xml:space="preserve"> of </w:t>
      </w:r>
      <w:r>
        <w:rPr>
          <w:kern w:val="0"/>
        </w:rPr>
        <w:t>references free</w:t>
      </w:r>
      <w:r w:rsidR="00427468">
        <w:rPr>
          <w:kern w:val="0"/>
        </w:rPr>
        <w:t xml:space="preserve"> of </w:t>
      </w:r>
      <w:r>
        <w:rPr>
          <w:kern w:val="0"/>
        </w:rPr>
        <w:t>charge in any database or</w:t>
      </w:r>
      <w:r w:rsidR="003A1917">
        <w:rPr>
          <w:kern w:val="0"/>
        </w:rPr>
        <w:t xml:space="preserve"> the </w:t>
      </w:r>
      <w:r>
        <w:rPr>
          <w:kern w:val="0"/>
        </w:rPr>
        <w:t>internet are called for. Moreover, if a paper is never formally retracted, software for searching author names in</w:t>
      </w:r>
      <w:r w:rsidR="003A1917">
        <w:rPr>
          <w:kern w:val="0"/>
        </w:rPr>
        <w:t xml:space="preserve"> the </w:t>
      </w:r>
      <w:r>
        <w:rPr>
          <w:kern w:val="0"/>
        </w:rPr>
        <w:t>internet for fully investigated</w:t>
      </w:r>
      <w:r w:rsidR="005853A9">
        <w:rPr>
          <w:kern w:val="0"/>
        </w:rPr>
        <w:t xml:space="preserve"> and </w:t>
      </w:r>
      <w:r>
        <w:rPr>
          <w:kern w:val="0"/>
        </w:rPr>
        <w:t>proven scientific misconduct might be developed</w:t>
      </w:r>
      <w:r w:rsidR="00A37C1D">
        <w:rPr>
          <w:kern w:val="0"/>
        </w:rPr>
        <w:t>. The</w:t>
      </w:r>
      <w:r w:rsidR="003A1917">
        <w:rPr>
          <w:kern w:val="0"/>
        </w:rPr>
        <w:t xml:space="preserve"> </w:t>
      </w:r>
      <w:r>
        <w:rPr>
          <w:kern w:val="0"/>
        </w:rPr>
        <w:t>ethical guidelines on duplicate publication for purposes</w:t>
      </w:r>
      <w:r w:rsidR="00427468">
        <w:rPr>
          <w:kern w:val="0"/>
        </w:rPr>
        <w:t xml:space="preserve"> of </w:t>
      </w:r>
      <w:r>
        <w:rPr>
          <w:kern w:val="0"/>
        </w:rPr>
        <w:t>disseminating</w:t>
      </w:r>
      <w:r w:rsidR="003A1917">
        <w:rPr>
          <w:kern w:val="0"/>
        </w:rPr>
        <w:t xml:space="preserve"> the </w:t>
      </w:r>
      <w:r>
        <w:rPr>
          <w:kern w:val="0"/>
        </w:rPr>
        <w:t>information as widely as possible should be reviewed.</w:t>
      </w:r>
    </w:p>
    <w:p w:rsidR="003E4A87" w:rsidRDefault="003E4A87" w:rsidP="003E4A87">
      <w:pPr>
        <w:pStyle w:val="a3"/>
        <w:rPr>
          <w:kern w:val="0"/>
        </w:rPr>
      </w:pPr>
      <w:r>
        <w:rPr>
          <w:kern w:val="0"/>
        </w:rPr>
        <w:t>Keywords: Articles, Citation, Citations, Computer, Database, Databases, Editors, Impact, Impact Factors</w:t>
      </w:r>
      <w:r w:rsidR="00D5664A">
        <w:rPr>
          <w:kern w:val="0"/>
        </w:rPr>
        <w:t>, ISI,</w:t>
      </w:r>
      <w:r>
        <w:rPr>
          <w:kern w:val="0"/>
        </w:rPr>
        <w:t xml:space="preserve"> ISI Web,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Journals, Literature, Misconduct, Post-Retraction Citations, Psychiatry, Publication, Publication Ethics, Publishing Ethics, Purge, Reasons, Research, Retraction, Science, Science Citation Index, Scientific Literature, Scientific Misconduct, Self-Citations, Software, </w:t>
      </w:r>
      <w:r w:rsidR="00D5664A">
        <w:rPr>
          <w:kern w:val="0"/>
        </w:rPr>
        <w:t>Web</w:t>
      </w:r>
      <w:r w:rsidR="00427468">
        <w:rPr>
          <w:kern w:val="0"/>
        </w:rPr>
        <w:t xml:space="preserve"> of </w:t>
      </w:r>
      <w:r w:rsidR="00D5664A">
        <w:rPr>
          <w:kern w:val="0"/>
        </w:rPr>
        <w:lastRenderedPageBreak/>
        <w:t>Science</w:t>
      </w:r>
    </w:p>
    <w:p w:rsidR="00A20347" w:rsidRDefault="00A20347" w:rsidP="00A20347">
      <w:pPr>
        <w:pStyle w:val="a3"/>
        <w:rPr>
          <w:kern w:val="0"/>
        </w:rPr>
      </w:pPr>
      <w:r>
        <w:rPr>
          <w:rFonts w:hint="eastAsia"/>
          <w:kern w:val="0"/>
        </w:rPr>
        <w:t xml:space="preserve">? </w:t>
      </w:r>
      <w:r>
        <w:rPr>
          <w:kern w:val="0"/>
        </w:rPr>
        <w:t>Deshpande, A., Pasupuleti, V., Pant, C., Hall, G.</w:t>
      </w:r>
      <w:r w:rsidR="005853A9">
        <w:rPr>
          <w:kern w:val="0"/>
        </w:rPr>
        <w:t xml:space="preserve"> and </w:t>
      </w:r>
      <w:r>
        <w:rPr>
          <w:kern w:val="0"/>
        </w:rPr>
        <w:t>Jain, A. (2010), Potential value</w:t>
      </w:r>
      <w:r w:rsidR="00427468">
        <w:rPr>
          <w:kern w:val="0"/>
        </w:rPr>
        <w:t xml:space="preserve"> of </w:t>
      </w:r>
      <w:r>
        <w:rPr>
          <w:kern w:val="0"/>
        </w:rPr>
        <w:t xml:space="preserve">repeat stool testing for Clostridium difficile stool toxin using enzyme immunoassay?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26</w:t>
      </w:r>
      <w:r>
        <w:rPr>
          <w:kern w:val="0"/>
        </w:rPr>
        <w:t xml:space="preserve"> (11), 2635-2641.</w:t>
      </w:r>
    </w:p>
    <w:p w:rsidR="00A20347" w:rsidRDefault="00A20347" w:rsidP="00A20347">
      <w:pPr>
        <w:pStyle w:val="a3"/>
        <w:rPr>
          <w:kern w:val="0"/>
        </w:rPr>
      </w:pPr>
      <w:r>
        <w:rPr>
          <w:rFonts w:hint="eastAsia"/>
          <w:kern w:val="0"/>
        </w:rPr>
        <w:t>Full Text: 2010\</w:t>
      </w:r>
      <w:r>
        <w:rPr>
          <w:iCs/>
          <w:kern w:val="0"/>
        </w:rPr>
        <w:t>Cur Med Res Opi</w:t>
      </w:r>
      <w:r w:rsidRPr="008155DE">
        <w:rPr>
          <w:bCs/>
          <w:kern w:val="0"/>
        </w:rPr>
        <w:t>2</w:t>
      </w:r>
      <w:r>
        <w:rPr>
          <w:rFonts w:hint="eastAsia"/>
          <w:bCs/>
          <w:kern w:val="0"/>
        </w:rPr>
        <w:t>6</w:t>
      </w:r>
      <w:r>
        <w:rPr>
          <w:kern w:val="0"/>
        </w:rPr>
        <w:t xml:space="preserve">, </w:t>
      </w:r>
      <w:r>
        <w:rPr>
          <w:rFonts w:hint="eastAsia"/>
          <w:kern w:val="0"/>
        </w:rPr>
        <w:t>2635.pdf</w:t>
      </w:r>
    </w:p>
    <w:p w:rsidR="00A20347" w:rsidRDefault="00A20347" w:rsidP="00A20347">
      <w:pPr>
        <w:pStyle w:val="a3"/>
        <w:rPr>
          <w:kern w:val="0"/>
        </w:rPr>
      </w:pPr>
      <w:r>
        <w:rPr>
          <w:kern w:val="0"/>
        </w:rPr>
        <w:t>Abstract: Objective:</w:t>
      </w:r>
      <w:r w:rsidR="003A1917">
        <w:rPr>
          <w:kern w:val="0"/>
        </w:rPr>
        <w:t xml:space="preserve"> the </w:t>
      </w:r>
      <w:r>
        <w:rPr>
          <w:kern w:val="0"/>
        </w:rPr>
        <w:t>aim</w:t>
      </w:r>
      <w:r w:rsidR="00427468">
        <w:rPr>
          <w:kern w:val="0"/>
        </w:rPr>
        <w:t xml:space="preserve"> of </w:t>
      </w:r>
      <w:r>
        <w:rPr>
          <w:kern w:val="0"/>
        </w:rPr>
        <w:t>this brief review is to summarize</w:t>
      </w:r>
      <w:r w:rsidR="003A1917">
        <w:rPr>
          <w:kern w:val="0"/>
        </w:rPr>
        <w:t xml:space="preserve"> the </w:t>
      </w:r>
      <w:r>
        <w:rPr>
          <w:kern w:val="0"/>
        </w:rPr>
        <w:t>literature as it relates to</w:t>
      </w:r>
      <w:r w:rsidR="003A1917">
        <w:rPr>
          <w:kern w:val="0"/>
        </w:rPr>
        <w:t xml:space="preserve"> the </w:t>
      </w:r>
      <w:r>
        <w:rPr>
          <w:kern w:val="0"/>
        </w:rPr>
        <w:t>potential value</w:t>
      </w:r>
      <w:r w:rsidR="00427468">
        <w:rPr>
          <w:kern w:val="0"/>
        </w:rPr>
        <w:t xml:space="preserve"> of </w:t>
      </w:r>
      <w:r>
        <w:rPr>
          <w:kern w:val="0"/>
        </w:rPr>
        <w:t>repeat stool testing for Clostridium difficile (C. difficile) toxin using an enzyme immunoassay (EIA) for toxin A&amp;B</w:t>
      </w:r>
      <w:r w:rsidR="005853A9">
        <w:rPr>
          <w:kern w:val="0"/>
        </w:rPr>
        <w:t xml:space="preserve"> and </w:t>
      </w:r>
      <w:r>
        <w:rPr>
          <w:kern w:val="0"/>
        </w:rPr>
        <w:t>also propose a potential newer algorithm for diagnosing C. difficile. Research design</w:t>
      </w:r>
      <w:r w:rsidR="005853A9">
        <w:rPr>
          <w:kern w:val="0"/>
        </w:rPr>
        <w:t xml:space="preserve"> and </w:t>
      </w:r>
      <w:r>
        <w:rPr>
          <w:kern w:val="0"/>
        </w:rPr>
        <w:t xml:space="preserve">methods: Two investigators conducted independent literature searches using PUBMED,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Scopus until May 1st, 2010. All databases were searched using</w:t>
      </w:r>
      <w:r w:rsidR="003A1917">
        <w:rPr>
          <w:kern w:val="0"/>
        </w:rPr>
        <w:t xml:space="preserve"> the </w:t>
      </w:r>
      <w:r>
        <w:rPr>
          <w:kern w:val="0"/>
        </w:rPr>
        <w:t>terms Clostridium difficile, CDAD, antibiotic associated diarrhea, C. difficile in combination with enzyme immunoassay, enzyme linked immunosorbent assay, Clostridium difficile toxin A, Clostridium difficile toxin B, Clostridium difficile toxin</w:t>
      </w:r>
      <w:r w:rsidR="005853A9">
        <w:rPr>
          <w:kern w:val="0"/>
        </w:rPr>
        <w:t xml:space="preserve"> and </w:t>
      </w:r>
      <w:r>
        <w:rPr>
          <w:kern w:val="0"/>
        </w:rPr>
        <w:t>repeat stool testing. Articles which discussed EIA in C. difficile infection (CDI) patients were reviewed</w:t>
      </w:r>
      <w:r w:rsidR="005853A9">
        <w:rPr>
          <w:kern w:val="0"/>
        </w:rPr>
        <w:t xml:space="preserve"> and </w:t>
      </w:r>
      <w:r>
        <w:rPr>
          <w:kern w:val="0"/>
        </w:rPr>
        <w:t>relevant cross references also read</w:t>
      </w:r>
      <w:r w:rsidR="005853A9">
        <w:rPr>
          <w:kern w:val="0"/>
        </w:rPr>
        <w:t xml:space="preserve"> and </w:t>
      </w:r>
      <w:r>
        <w:rPr>
          <w:kern w:val="0"/>
        </w:rPr>
        <w:t>evaluated for inclusion. Selection bias could be a possible limitation</w:t>
      </w:r>
      <w:r w:rsidR="00427468">
        <w:rPr>
          <w:kern w:val="0"/>
        </w:rPr>
        <w:t xml:space="preserve"> of </w:t>
      </w:r>
      <w:r w:rsidR="003A1917">
        <w:rPr>
          <w:kern w:val="0"/>
        </w:rPr>
        <w:t xml:space="preserve">the </w:t>
      </w:r>
      <w:r>
        <w:rPr>
          <w:kern w:val="0"/>
        </w:rPr>
        <w:t>approach used in selecting or finding articles for this article. Findings:</w:t>
      </w:r>
      <w:r w:rsidR="003A1917">
        <w:rPr>
          <w:kern w:val="0"/>
        </w:rPr>
        <w:t xml:space="preserve"> the </w:t>
      </w:r>
      <w:r>
        <w:rPr>
          <w:kern w:val="0"/>
        </w:rPr>
        <w:t>evidence for repeat stool testing for C. difficile toxin detection using toxin EIA is becoming weaker. Most recent published practice guidelines recommend a two- or three-step testing algorithm for</w:t>
      </w:r>
      <w:r w:rsidR="003A1917">
        <w:rPr>
          <w:kern w:val="0"/>
        </w:rPr>
        <w:t xml:space="preserve"> the </w:t>
      </w:r>
      <w:r>
        <w:rPr>
          <w:kern w:val="0"/>
        </w:rPr>
        <w:t>detection</w:t>
      </w:r>
      <w:r w:rsidR="00427468">
        <w:rPr>
          <w:kern w:val="0"/>
        </w:rPr>
        <w:t xml:space="preserve"> of </w:t>
      </w:r>
      <w:r>
        <w:rPr>
          <w:kern w:val="0"/>
        </w:rPr>
        <w:t>C. difficile. Conclusions: EIA for C. difficile stool toxin has a limited sensitivity, but, it does not warrant repeat stool testing</w:t>
      </w:r>
      <w:r w:rsidR="00A37C1D">
        <w:rPr>
          <w:kern w:val="0"/>
        </w:rPr>
        <w:t>. The</w:t>
      </w:r>
      <w:r w:rsidR="003A1917">
        <w:rPr>
          <w:kern w:val="0"/>
        </w:rPr>
        <w:t xml:space="preserve"> </w:t>
      </w:r>
      <w:r>
        <w:rPr>
          <w:kern w:val="0"/>
        </w:rPr>
        <w:t>data for this are suggestive but not conclusive. More studies</w:t>
      </w:r>
      <w:r w:rsidR="005853A9">
        <w:rPr>
          <w:kern w:val="0"/>
        </w:rPr>
        <w:t xml:space="preserve"> and </w:t>
      </w:r>
      <w:r>
        <w:rPr>
          <w:kern w:val="0"/>
        </w:rPr>
        <w:t>better tests are needed to have clear guidelines which can specify</w:t>
      </w:r>
      <w:r w:rsidR="003A1917">
        <w:rPr>
          <w:kern w:val="0"/>
        </w:rPr>
        <w:t xml:space="preserve"> the </w:t>
      </w:r>
      <w:r>
        <w:rPr>
          <w:kern w:val="0"/>
        </w:rPr>
        <w:t>number</w:t>
      </w:r>
      <w:r w:rsidR="00427468">
        <w:rPr>
          <w:kern w:val="0"/>
        </w:rPr>
        <w:t xml:space="preserve"> of </w:t>
      </w:r>
      <w:r>
        <w:rPr>
          <w:kern w:val="0"/>
        </w:rPr>
        <w:t>tests needed in a diagnostic workup</w:t>
      </w:r>
      <w:r w:rsidR="00427468">
        <w:rPr>
          <w:kern w:val="0"/>
        </w:rPr>
        <w:t xml:space="preserve"> of </w:t>
      </w:r>
      <w:r>
        <w:rPr>
          <w:kern w:val="0"/>
        </w:rPr>
        <w:t>suspected C. difficile infection. A two-step or three-step method in</w:t>
      </w:r>
      <w:r w:rsidR="003A1917">
        <w:rPr>
          <w:kern w:val="0"/>
        </w:rPr>
        <w:t xml:space="preserve"> the </w:t>
      </w:r>
      <w:r>
        <w:rPr>
          <w:kern w:val="0"/>
        </w:rPr>
        <w:t>diagnosis</w:t>
      </w:r>
      <w:r w:rsidR="00427468">
        <w:rPr>
          <w:kern w:val="0"/>
        </w:rPr>
        <w:t xml:space="preserve"> of </w:t>
      </w:r>
      <w:r>
        <w:rPr>
          <w:kern w:val="0"/>
        </w:rPr>
        <w:t>C. difficile-associated diarrhea offered a marked increase in sensitivity compared to that</w:t>
      </w:r>
      <w:r w:rsidR="00427468">
        <w:rPr>
          <w:kern w:val="0"/>
        </w:rPr>
        <w:t xml:space="preserve"> of </w:t>
      </w:r>
      <w:r>
        <w:rPr>
          <w:kern w:val="0"/>
        </w:rPr>
        <w:t>toxin A&amp;B EIA alone.</w:t>
      </w:r>
    </w:p>
    <w:p w:rsidR="00A20347" w:rsidRDefault="00A20347" w:rsidP="00A20347">
      <w:pPr>
        <w:pStyle w:val="a3"/>
        <w:rPr>
          <w:kern w:val="0"/>
        </w:rPr>
      </w:pPr>
      <w:r>
        <w:rPr>
          <w:kern w:val="0"/>
        </w:rPr>
        <w:t xml:space="preserve">Keywords: Algorithm, Antibiotic, Articles, Assay, Bias, Colitis, Culture, Cytotoxin, Databases, Diagnosis, Diarrhea, Disease, Guidelines, Infection, Laboratory Detection, Literature, Practice, Practice Guidelines, Pubmed, Research, Review, Science, Scopus, </w:t>
      </w:r>
      <w:r w:rsidR="00D5664A">
        <w:rPr>
          <w:kern w:val="0"/>
        </w:rPr>
        <w:t>Web</w:t>
      </w:r>
      <w:r w:rsidR="00427468">
        <w:rPr>
          <w:kern w:val="0"/>
        </w:rPr>
        <w:t xml:space="preserve"> of </w:t>
      </w:r>
      <w:r w:rsidR="00D5664A">
        <w:rPr>
          <w:kern w:val="0"/>
        </w:rPr>
        <w:t>Science</w:t>
      </w:r>
    </w:p>
    <w:p w:rsidR="003931FC" w:rsidRDefault="003931FC" w:rsidP="003931FC">
      <w:pPr>
        <w:pStyle w:val="a3"/>
        <w:rPr>
          <w:kern w:val="0"/>
          <w:szCs w:val="24"/>
        </w:rPr>
      </w:pPr>
      <w:r>
        <w:rPr>
          <w:rFonts w:hint="eastAsia"/>
          <w:kern w:val="0"/>
          <w:szCs w:val="24"/>
        </w:rPr>
        <w:t xml:space="preserve">? </w:t>
      </w:r>
      <w:r>
        <w:rPr>
          <w:kern w:val="0"/>
          <w:szCs w:val="24"/>
        </w:rPr>
        <w:t>Stretton, S., Bramich, N.J., Monk, J.A., Keys, J.R., Haley, C., Cameron, R., Ely, J.A., Woolley, M.J.</w:t>
      </w:r>
      <w:r w:rsidR="005853A9">
        <w:rPr>
          <w:kern w:val="0"/>
          <w:szCs w:val="24"/>
        </w:rPr>
        <w:t xml:space="preserve"> and </w:t>
      </w:r>
      <w:r>
        <w:rPr>
          <w:kern w:val="0"/>
          <w:szCs w:val="24"/>
        </w:rPr>
        <w:t>Woolley, K.L. (2011), Evidence-based guidance for publication professionals on publication misconduct</w:t>
      </w:r>
      <w:r w:rsidR="005853A9">
        <w:rPr>
          <w:kern w:val="0"/>
          <w:szCs w:val="24"/>
        </w:rPr>
        <w:t xml:space="preserve"> and </w:t>
      </w:r>
      <w:r>
        <w:rPr>
          <w:kern w:val="0"/>
          <w:szCs w:val="24"/>
        </w:rPr>
        <w:t xml:space="preserve">plagiarism. </w:t>
      </w:r>
      <w:r>
        <w:rPr>
          <w:i/>
          <w:iCs/>
          <w:kern w:val="0"/>
          <w:szCs w:val="24"/>
        </w:rPr>
        <w:t>Current Medical Research</w:t>
      </w:r>
      <w:r w:rsidR="005853A9">
        <w:rPr>
          <w:i/>
          <w:iCs/>
          <w:kern w:val="0"/>
          <w:szCs w:val="24"/>
        </w:rPr>
        <w:t xml:space="preserve"> and </w:t>
      </w:r>
      <w:r>
        <w:rPr>
          <w:i/>
          <w:iCs/>
          <w:kern w:val="0"/>
          <w:szCs w:val="24"/>
        </w:rPr>
        <w:t>Opinion</w:t>
      </w:r>
      <w:r>
        <w:rPr>
          <w:kern w:val="0"/>
          <w:szCs w:val="24"/>
        </w:rPr>
        <w:t xml:space="preserve">, </w:t>
      </w:r>
      <w:r>
        <w:rPr>
          <w:b/>
          <w:bCs/>
          <w:kern w:val="0"/>
          <w:szCs w:val="24"/>
        </w:rPr>
        <w:t>27</w:t>
      </w:r>
      <w:r>
        <w:rPr>
          <w:kern w:val="0"/>
          <w:szCs w:val="24"/>
        </w:rPr>
        <w:t>, S9</w:t>
      </w:r>
      <w:r>
        <w:rPr>
          <w:rFonts w:hint="eastAsia"/>
          <w:kern w:val="0"/>
          <w:szCs w:val="24"/>
        </w:rPr>
        <w:t>.</w:t>
      </w:r>
    </w:p>
    <w:p w:rsidR="003931FC" w:rsidRDefault="003931FC" w:rsidP="003931FC">
      <w:pPr>
        <w:pStyle w:val="a3"/>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S9.pdf</w:t>
      </w:r>
    </w:p>
    <w:p w:rsidR="003931FC" w:rsidRDefault="003931FC" w:rsidP="003931FC">
      <w:pPr>
        <w:pStyle w:val="a3"/>
        <w:rPr>
          <w:kern w:val="0"/>
          <w:szCs w:val="24"/>
        </w:rPr>
      </w:pPr>
      <w:r>
        <w:rPr>
          <w:kern w:val="0"/>
          <w:szCs w:val="24"/>
        </w:rPr>
        <w:t>Keywords: Plagiarism, Publication</w:t>
      </w:r>
    </w:p>
    <w:p w:rsidR="00F87C3E" w:rsidRDefault="00F87C3E" w:rsidP="00F87C3E">
      <w:pPr>
        <w:pStyle w:val="a3"/>
        <w:rPr>
          <w:kern w:val="0"/>
        </w:rPr>
      </w:pPr>
      <w:r>
        <w:rPr>
          <w:kern w:val="0"/>
        </w:rPr>
        <w:t>? Woolley, K.L., Lew, R.A., Stretton, S., Ely, J.A., Bramich, N.J., Keys, J.R., Monk, J.A.</w:t>
      </w:r>
      <w:r w:rsidR="005853A9">
        <w:rPr>
          <w:kern w:val="0"/>
        </w:rPr>
        <w:t xml:space="preserve"> and </w:t>
      </w:r>
      <w:r>
        <w:rPr>
          <w:kern w:val="0"/>
        </w:rPr>
        <w:t>Woolley, M.J. (2011), Lack</w:t>
      </w:r>
      <w:r w:rsidR="00427468">
        <w:rPr>
          <w:kern w:val="0"/>
        </w:rPr>
        <w:t xml:space="preserve"> of </w:t>
      </w:r>
      <w:r>
        <w:rPr>
          <w:kern w:val="0"/>
        </w:rPr>
        <w:t>involvement</w:t>
      </w:r>
      <w:r w:rsidR="00427468">
        <w:rPr>
          <w:kern w:val="0"/>
        </w:rPr>
        <w:t xml:space="preserve"> of </w:t>
      </w:r>
      <w:r>
        <w:rPr>
          <w:kern w:val="0"/>
        </w:rPr>
        <w:t>medical writers</w:t>
      </w:r>
      <w:r w:rsidR="005853A9">
        <w:rPr>
          <w:kern w:val="0"/>
        </w:rPr>
        <w:t xml:space="preserve"> and </w:t>
      </w:r>
      <w:r w:rsidR="003A1917">
        <w:rPr>
          <w:kern w:val="0"/>
        </w:rPr>
        <w:t xml:space="preserve">the </w:t>
      </w:r>
      <w:r>
        <w:rPr>
          <w:kern w:val="0"/>
        </w:rPr>
        <w:lastRenderedPageBreak/>
        <w:t xml:space="preserve">pharmaceutical industry in publications retracted for misconduct: A systematic, controlled, retrospective study.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27</w:t>
      </w:r>
      <w:r>
        <w:rPr>
          <w:kern w:val="0"/>
        </w:rPr>
        <w:t xml:space="preserve"> (6), 1175-1182.</w:t>
      </w:r>
    </w:p>
    <w:p w:rsidR="00F87C3E" w:rsidRDefault="00F87C3E" w:rsidP="00F87C3E">
      <w:pPr>
        <w:pStyle w:val="a3"/>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1175.pdf</w:t>
      </w:r>
    </w:p>
    <w:p w:rsidR="00F87C3E" w:rsidRDefault="00F87C3E" w:rsidP="00F87C3E">
      <w:pPr>
        <w:pStyle w:val="a3"/>
        <w:rPr>
          <w:kern w:val="0"/>
        </w:rPr>
      </w:pPr>
      <w:r>
        <w:rPr>
          <w:kern w:val="0"/>
        </w:rPr>
        <w:t>Abstract: Objectives:</w:t>
      </w:r>
      <w:r w:rsidR="003A1917">
        <w:rPr>
          <w:kern w:val="0"/>
        </w:rPr>
        <w:t xml:space="preserve"> the </w:t>
      </w:r>
      <w:r>
        <w:rPr>
          <w:kern w:val="0"/>
        </w:rPr>
        <w:t>primary objective</w:t>
      </w:r>
      <w:r w:rsidR="00427468">
        <w:rPr>
          <w:kern w:val="0"/>
        </w:rPr>
        <w:t xml:space="preserve"> of </w:t>
      </w:r>
      <w:r>
        <w:rPr>
          <w:kern w:val="0"/>
        </w:rPr>
        <w:t>this study was to quantify how many publications retracted because</w:t>
      </w:r>
      <w:r w:rsidR="00427468">
        <w:rPr>
          <w:kern w:val="0"/>
        </w:rPr>
        <w:t xml:space="preserve"> of </w:t>
      </w:r>
      <w:r>
        <w:rPr>
          <w:kern w:val="0"/>
        </w:rPr>
        <w:t>misconduct involved declared medical writers (i.e., not ghostwriters) or declared pharmaceutical industry support</w:t>
      </w:r>
      <w:r w:rsidR="00A37C1D">
        <w:rPr>
          <w:kern w:val="0"/>
        </w:rPr>
        <w:t>. The</w:t>
      </w:r>
      <w:r w:rsidR="003A1917">
        <w:rPr>
          <w:kern w:val="0"/>
        </w:rPr>
        <w:t xml:space="preserve"> </w:t>
      </w:r>
      <w:r>
        <w:rPr>
          <w:kern w:val="0"/>
        </w:rPr>
        <w:t>secondary objective was to investigate factors associated with misconduct retractions. Design: A systematic, controlled, retrospective, bibliometric study. Data source: Retracted publications dataset in</w:t>
      </w:r>
      <w:r w:rsidR="003A1917">
        <w:rPr>
          <w:kern w:val="0"/>
        </w:rPr>
        <w:t xml:space="preserve"> the </w:t>
      </w:r>
      <w:r w:rsidR="00D5664A">
        <w:rPr>
          <w:kern w:val="0"/>
        </w:rPr>
        <w:t>MEDLINE</w:t>
      </w:r>
      <w:r>
        <w:rPr>
          <w:kern w:val="0"/>
        </w:rPr>
        <w:t xml:space="preserve"> database. Data selection: </w:t>
      </w:r>
      <w:r w:rsidR="002C12F0">
        <w:rPr>
          <w:kern w:val="0"/>
        </w:rPr>
        <w:t>PUBMED</w:t>
      </w:r>
      <w:r>
        <w:rPr>
          <w:kern w:val="0"/>
        </w:rPr>
        <w:t xml:space="preserve"> was searched (Limits: English, human, January 1966 - February 2008) to identify publications retracted because</w:t>
      </w:r>
      <w:r w:rsidR="00427468">
        <w:rPr>
          <w:kern w:val="0"/>
        </w:rPr>
        <w:t xml:space="preserve"> of </w:t>
      </w:r>
      <w:r>
        <w:rPr>
          <w:kern w:val="0"/>
        </w:rPr>
        <w:t>misconduct. Publications retracted because</w:t>
      </w:r>
      <w:r w:rsidR="00427468">
        <w:rPr>
          <w:kern w:val="0"/>
        </w:rPr>
        <w:t xml:space="preserve"> of </w:t>
      </w:r>
      <w:r>
        <w:rPr>
          <w:kern w:val="0"/>
        </w:rPr>
        <w:t>mistake served as</w:t>
      </w:r>
      <w:r w:rsidR="003A1917">
        <w:rPr>
          <w:kern w:val="0"/>
        </w:rPr>
        <w:t xml:space="preserve"> the </w:t>
      </w:r>
      <w:r>
        <w:rPr>
          <w:kern w:val="0"/>
        </w:rPr>
        <w:t>control group. Standardized definitions</w:t>
      </w:r>
      <w:r w:rsidR="005853A9">
        <w:rPr>
          <w:kern w:val="0"/>
        </w:rPr>
        <w:t xml:space="preserve"> and </w:t>
      </w:r>
      <w:r>
        <w:rPr>
          <w:kern w:val="0"/>
        </w:rPr>
        <w:t>data collection tools were used,</w:t>
      </w:r>
      <w:r w:rsidR="005853A9">
        <w:rPr>
          <w:kern w:val="0"/>
        </w:rPr>
        <w:t xml:space="preserve"> and </w:t>
      </w:r>
      <w:r>
        <w:rPr>
          <w:kern w:val="0"/>
        </w:rPr>
        <w:t>data were analyzed by an independent academic statistician. Results:</w:t>
      </w:r>
      <w:r w:rsidR="00427468">
        <w:rPr>
          <w:kern w:val="0"/>
        </w:rPr>
        <w:t xml:space="preserve"> of </w:t>
      </w:r>
      <w:r w:rsidR="003A1917">
        <w:rPr>
          <w:kern w:val="0"/>
        </w:rPr>
        <w:t xml:space="preserve">the </w:t>
      </w:r>
      <w:r>
        <w:rPr>
          <w:kern w:val="0"/>
        </w:rPr>
        <w:t>463 retracted publications retrieved, 213 (46%) were retracted because</w:t>
      </w:r>
      <w:r w:rsidR="00427468">
        <w:rPr>
          <w:kern w:val="0"/>
        </w:rPr>
        <w:t xml:space="preserve"> of </w:t>
      </w:r>
      <w:r>
        <w:rPr>
          <w:kern w:val="0"/>
        </w:rPr>
        <w:t>misconduct. Publications retracted because</w:t>
      </w:r>
      <w:r w:rsidR="00427468">
        <w:rPr>
          <w:kern w:val="0"/>
        </w:rPr>
        <w:t xml:space="preserve"> of </w:t>
      </w:r>
      <w:r>
        <w:rPr>
          <w:kern w:val="0"/>
        </w:rPr>
        <w:t>misconduct rarely involved declared medical writers (3/213; 1.4%) or declared pharmaceutical industry support (8/213; 3.8%); no misconduct retractions involved both declared medical writers</w:t>
      </w:r>
      <w:r w:rsidR="005853A9">
        <w:rPr>
          <w:kern w:val="0"/>
        </w:rPr>
        <w:t xml:space="preserve"> and </w:t>
      </w:r>
      <w:r w:rsidR="003A1917">
        <w:rPr>
          <w:kern w:val="0"/>
        </w:rPr>
        <w:t xml:space="preserve">the </w:t>
      </w:r>
      <w:r>
        <w:rPr>
          <w:kern w:val="0"/>
        </w:rPr>
        <w:t>industry. Retraction because</w:t>
      </w:r>
      <w:r w:rsidR="00427468">
        <w:rPr>
          <w:kern w:val="0"/>
        </w:rPr>
        <w:t xml:space="preserve"> of </w:t>
      </w:r>
      <w:r>
        <w:rPr>
          <w:kern w:val="0"/>
        </w:rPr>
        <w:t>misconduct, rather than mistake, was significantly associated with: absence</w:t>
      </w:r>
      <w:r w:rsidR="00427468">
        <w:rPr>
          <w:kern w:val="0"/>
        </w:rPr>
        <w:t xml:space="preserve"> of </w:t>
      </w:r>
      <w:r>
        <w:rPr>
          <w:kern w:val="0"/>
        </w:rPr>
        <w:t>declared medical writers (odds ratio: 0.16; 95% confidence interval: 0.05-0.57); absence</w:t>
      </w:r>
      <w:r w:rsidR="00427468">
        <w:rPr>
          <w:kern w:val="0"/>
        </w:rPr>
        <w:t xml:space="preserve"> of </w:t>
      </w:r>
      <w:r>
        <w:rPr>
          <w:kern w:val="0"/>
        </w:rPr>
        <w:t>declared industry involvement (0.25; 0.11-0.58); single authorship (2.04; 1.01-4.12); first author having at least one other retraction (2.05; 1.35-3.11);</w:t>
      </w:r>
      <w:r w:rsidR="005853A9">
        <w:rPr>
          <w:kern w:val="0"/>
        </w:rPr>
        <w:t xml:space="preserve"> and </w:t>
      </w:r>
      <w:r>
        <w:rPr>
          <w:kern w:val="0"/>
        </w:rPr>
        <w:t>first author affiliated with a low/middle income country (2.34; 1.18-4.63)</w:t>
      </w:r>
      <w:r w:rsidR="00A37C1D">
        <w:rPr>
          <w:kern w:val="0"/>
        </w:rPr>
        <w:t>. The</w:t>
      </w:r>
      <w:r w:rsidR="003A1917">
        <w:rPr>
          <w:kern w:val="0"/>
        </w:rPr>
        <w:t xml:space="preserve"> </w:t>
      </w:r>
      <w:r>
        <w:rPr>
          <w:kern w:val="0"/>
        </w:rPr>
        <w:t>main limitations</w:t>
      </w:r>
      <w:r w:rsidR="00427468">
        <w:rPr>
          <w:kern w:val="0"/>
        </w:rPr>
        <w:t xml:space="preserve"> of </w:t>
      </w:r>
      <w:r>
        <w:rPr>
          <w:kern w:val="0"/>
        </w:rPr>
        <w:t>this study were restricting</w:t>
      </w:r>
      <w:r w:rsidR="003A1917">
        <w:rPr>
          <w:kern w:val="0"/>
        </w:rPr>
        <w:t xml:space="preserve"> the </w:t>
      </w:r>
      <w:r>
        <w:rPr>
          <w:kern w:val="0"/>
        </w:rPr>
        <w:t>search to English-language</w:t>
      </w:r>
      <w:r w:rsidR="005853A9">
        <w:rPr>
          <w:kern w:val="0"/>
        </w:rPr>
        <w:t xml:space="preserve"> and </w:t>
      </w:r>
      <w:r>
        <w:rPr>
          <w:kern w:val="0"/>
        </w:rPr>
        <w:t>human research articles. Conclusions: Publications retracted because</w:t>
      </w:r>
      <w:r w:rsidR="00427468">
        <w:rPr>
          <w:kern w:val="0"/>
        </w:rPr>
        <w:t xml:space="preserve"> of </w:t>
      </w:r>
      <w:r>
        <w:rPr>
          <w:kern w:val="0"/>
        </w:rPr>
        <w:t>misconduct rarely involved declared medical writers or declared pharmaceutical industry support. Increased attention should focus on factors that are associated with misconduct retractions.</w:t>
      </w:r>
    </w:p>
    <w:p w:rsidR="00F87C3E" w:rsidRDefault="00F87C3E" w:rsidP="00F87C3E">
      <w:pPr>
        <w:pStyle w:val="a3"/>
        <w:rPr>
          <w:kern w:val="0"/>
        </w:rPr>
      </w:pPr>
      <w:r>
        <w:rPr>
          <w:kern w:val="0"/>
        </w:rPr>
        <w:t>Keywords: Authorship, Bibliometric, Conflicts</w:t>
      </w:r>
      <w:r w:rsidR="00434900">
        <w:rPr>
          <w:kern w:val="0"/>
        </w:rPr>
        <w:t>-of-</w:t>
      </w:r>
      <w:r>
        <w:rPr>
          <w:kern w:val="0"/>
        </w:rPr>
        <w:t xml:space="preserve">Interest, Definitions, Drug Industry, Guidelines, Impact, Medical Writer, Medical Writing, </w:t>
      </w:r>
      <w:r w:rsidR="00D5664A">
        <w:rPr>
          <w:kern w:val="0"/>
        </w:rPr>
        <w:t>MEDLINE</w:t>
      </w:r>
      <w:r>
        <w:rPr>
          <w:kern w:val="0"/>
        </w:rPr>
        <w:t xml:space="preserve">, Misconduct, Peer-Reviewed Publications, Plagiarism, Primary, Publications, </w:t>
      </w:r>
      <w:r w:rsidR="002C12F0">
        <w:rPr>
          <w:kern w:val="0"/>
        </w:rPr>
        <w:t>PUBMED</w:t>
      </w:r>
      <w:r>
        <w:rPr>
          <w:kern w:val="0"/>
        </w:rPr>
        <w:t>, Research, Retraction, Retraction</w:t>
      </w:r>
      <w:r w:rsidR="00427468">
        <w:rPr>
          <w:kern w:val="0"/>
        </w:rPr>
        <w:t xml:space="preserve"> of </w:t>
      </w:r>
      <w:r>
        <w:rPr>
          <w:kern w:val="0"/>
        </w:rPr>
        <w:t>Publication as Topic Scientific Misconduct</w:t>
      </w:r>
    </w:p>
    <w:p w:rsidR="00E61FA1" w:rsidRDefault="00E61FA1" w:rsidP="00E61FA1">
      <w:pPr>
        <w:pStyle w:val="a3"/>
        <w:rPr>
          <w:kern w:val="0"/>
        </w:rPr>
      </w:pPr>
      <w:r>
        <w:rPr>
          <w:rFonts w:hint="eastAsia"/>
          <w:kern w:val="0"/>
        </w:rPr>
        <w:t xml:space="preserve">? </w:t>
      </w:r>
      <w:r>
        <w:rPr>
          <w:kern w:val="0"/>
        </w:rPr>
        <w:t>Mosges, R., Nematian-Samani, M., Hellmich, M.</w:t>
      </w:r>
      <w:r w:rsidR="005853A9">
        <w:rPr>
          <w:kern w:val="0"/>
        </w:rPr>
        <w:t xml:space="preserve"> and </w:t>
      </w:r>
      <w:r>
        <w:rPr>
          <w:kern w:val="0"/>
        </w:rPr>
        <w:t>Shah-Hosseini, K. (2011), A meta-analysis</w:t>
      </w:r>
      <w:r w:rsidR="00427468">
        <w:rPr>
          <w:kern w:val="0"/>
        </w:rPr>
        <w:t xml:space="preserve"> of </w:t>
      </w:r>
      <w:r w:rsidR="003A1917">
        <w:rPr>
          <w:kern w:val="0"/>
        </w:rPr>
        <w:t xml:space="preserve">the </w:t>
      </w:r>
      <w:r>
        <w:rPr>
          <w:kern w:val="0"/>
        </w:rPr>
        <w:t>efficacy</w:t>
      </w:r>
      <w:r w:rsidR="00427468">
        <w:rPr>
          <w:kern w:val="0"/>
        </w:rPr>
        <w:t xml:space="preserve"> of </w:t>
      </w:r>
      <w:r>
        <w:rPr>
          <w:kern w:val="0"/>
        </w:rPr>
        <w:t>quinolone containing otics in comparison to antibiotic-steroid combination drugs in</w:t>
      </w:r>
      <w:r w:rsidR="003A1917">
        <w:rPr>
          <w:kern w:val="0"/>
        </w:rPr>
        <w:t xml:space="preserve"> the </w:t>
      </w:r>
      <w:r>
        <w:rPr>
          <w:kern w:val="0"/>
        </w:rPr>
        <w:t>local treatment</w:t>
      </w:r>
      <w:r w:rsidR="00427468">
        <w:rPr>
          <w:kern w:val="0"/>
        </w:rPr>
        <w:t xml:space="preserve"> of </w:t>
      </w:r>
      <w:r>
        <w:rPr>
          <w:kern w:val="0"/>
        </w:rPr>
        <w:t xml:space="preserve">otitis externa.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27</w:t>
      </w:r>
      <w:r>
        <w:rPr>
          <w:kern w:val="0"/>
        </w:rPr>
        <w:t xml:space="preserve"> (10), 2053-2060.</w:t>
      </w:r>
    </w:p>
    <w:p w:rsidR="00E61FA1" w:rsidRDefault="00E61FA1" w:rsidP="00E61FA1">
      <w:pPr>
        <w:pStyle w:val="a3"/>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2053.pdf</w:t>
      </w:r>
    </w:p>
    <w:p w:rsidR="00E61FA1" w:rsidRDefault="00E61FA1" w:rsidP="00E61FA1">
      <w:pPr>
        <w:pStyle w:val="a3"/>
        <w:rPr>
          <w:kern w:val="0"/>
        </w:rPr>
      </w:pPr>
      <w:r>
        <w:rPr>
          <w:kern w:val="0"/>
        </w:rPr>
        <w:t>Abstract: Background:</w:t>
      </w:r>
      <w:r w:rsidR="003A1917">
        <w:rPr>
          <w:kern w:val="0"/>
        </w:rPr>
        <w:t xml:space="preserve"> the </w:t>
      </w:r>
      <w:r>
        <w:rPr>
          <w:kern w:val="0"/>
        </w:rPr>
        <w:t>term otitis externa denotes</w:t>
      </w:r>
      <w:r w:rsidR="003A1917">
        <w:rPr>
          <w:kern w:val="0"/>
        </w:rPr>
        <w:t xml:space="preserve"> the </w:t>
      </w:r>
      <w:r>
        <w:rPr>
          <w:kern w:val="0"/>
        </w:rPr>
        <w:t>inflammation</w:t>
      </w:r>
      <w:r w:rsidR="00427468">
        <w:rPr>
          <w:kern w:val="0"/>
        </w:rPr>
        <w:t xml:space="preserve"> of </w:t>
      </w:r>
      <w:r w:rsidR="003A1917">
        <w:rPr>
          <w:kern w:val="0"/>
        </w:rPr>
        <w:t xml:space="preserve">the </w:t>
      </w:r>
      <w:r>
        <w:rPr>
          <w:kern w:val="0"/>
        </w:rPr>
        <w:t>external auditory canal</w:t>
      </w:r>
      <w:r w:rsidR="005853A9">
        <w:rPr>
          <w:kern w:val="0"/>
        </w:rPr>
        <w:t xml:space="preserve"> and </w:t>
      </w:r>
      <w:r>
        <w:rPr>
          <w:kern w:val="0"/>
        </w:rPr>
        <w:t>can be treated locally in</w:t>
      </w:r>
      <w:r w:rsidR="003A1917">
        <w:rPr>
          <w:kern w:val="0"/>
        </w:rPr>
        <w:t xml:space="preserve"> the </w:t>
      </w:r>
      <w:r>
        <w:rPr>
          <w:kern w:val="0"/>
        </w:rPr>
        <w:t>form</w:t>
      </w:r>
      <w:r w:rsidR="00427468">
        <w:rPr>
          <w:kern w:val="0"/>
        </w:rPr>
        <w:t xml:space="preserve"> of </w:t>
      </w:r>
      <w:r>
        <w:rPr>
          <w:kern w:val="0"/>
        </w:rPr>
        <w:t xml:space="preserve">monotherapy or a </w:t>
      </w:r>
      <w:r>
        <w:rPr>
          <w:kern w:val="0"/>
        </w:rPr>
        <w:lastRenderedPageBreak/>
        <w:t>combination drug. Objective:</w:t>
      </w:r>
      <w:r w:rsidR="003A1917">
        <w:rPr>
          <w:kern w:val="0"/>
        </w:rPr>
        <w:t xml:space="preserve"> the </w:t>
      </w:r>
      <w:r>
        <w:rPr>
          <w:kern w:val="0"/>
        </w:rPr>
        <w:t>aim</w:t>
      </w:r>
      <w:r w:rsidR="00427468">
        <w:rPr>
          <w:kern w:val="0"/>
        </w:rPr>
        <w:t xml:space="preserve"> of </w:t>
      </w:r>
      <w:r w:rsidR="003A1917">
        <w:rPr>
          <w:kern w:val="0"/>
        </w:rPr>
        <w:t xml:space="preserve">the </w:t>
      </w:r>
      <w:r>
        <w:rPr>
          <w:kern w:val="0"/>
        </w:rPr>
        <w:t>present meta-analysis was to compare</w:t>
      </w:r>
      <w:r w:rsidR="003A1917">
        <w:rPr>
          <w:kern w:val="0"/>
        </w:rPr>
        <w:t xml:space="preserve"> the </w:t>
      </w:r>
      <w:r>
        <w:rPr>
          <w:kern w:val="0"/>
        </w:rPr>
        <w:t>efficacy</w:t>
      </w:r>
      <w:r w:rsidR="00427468">
        <w:rPr>
          <w:kern w:val="0"/>
        </w:rPr>
        <w:t xml:space="preserve"> of </w:t>
      </w:r>
      <w:r>
        <w:rPr>
          <w:kern w:val="0"/>
        </w:rPr>
        <w:t>an antibiotic-steroid combination drug with that</w:t>
      </w:r>
      <w:r w:rsidR="00427468">
        <w:rPr>
          <w:kern w:val="0"/>
        </w:rPr>
        <w:t xml:space="preserve"> of </w:t>
      </w:r>
      <w:r>
        <w:rPr>
          <w:kern w:val="0"/>
        </w:rPr>
        <w:t>monotherapy. According to current data, a comparable investigation based on network analysis does not exist. Methods: After systematically searching</w:t>
      </w:r>
      <w:r w:rsidR="003A1917">
        <w:rPr>
          <w:kern w:val="0"/>
        </w:rPr>
        <w:t xml:space="preserve"> the </w:t>
      </w:r>
      <w:r>
        <w:rPr>
          <w:kern w:val="0"/>
        </w:rPr>
        <w:t xml:space="preserve">PubMed, </w:t>
      </w:r>
      <w:r w:rsidR="00D5664A">
        <w:rPr>
          <w:kern w:val="0"/>
        </w:rPr>
        <w:t>MEDLINE</w:t>
      </w:r>
      <w:r>
        <w:rPr>
          <w:kern w:val="0"/>
        </w:rPr>
        <w:t xml:space="preserve">, Medpilot, </w:t>
      </w:r>
      <w:r w:rsidR="00D5664A">
        <w:rPr>
          <w:kern w:val="0"/>
        </w:rPr>
        <w:t>Web</w:t>
      </w:r>
      <w:r w:rsidR="00427468">
        <w:rPr>
          <w:kern w:val="0"/>
        </w:rPr>
        <w:t xml:space="preserve"> of </w:t>
      </w:r>
      <w:r w:rsidR="00D5664A">
        <w:rPr>
          <w:kern w:val="0"/>
        </w:rPr>
        <w:t>Science</w:t>
      </w:r>
      <w:r w:rsidR="005853A9">
        <w:rPr>
          <w:kern w:val="0"/>
        </w:rPr>
        <w:t xml:space="preserve"> and </w:t>
      </w:r>
      <w:r>
        <w:rPr>
          <w:kern w:val="0"/>
        </w:rPr>
        <w:t>Embase electronic databases, 12 relevant randomized, controlled, clinical studies were identified involving 2682 evaluable patients with regard to</w:t>
      </w:r>
      <w:r w:rsidR="003A1917">
        <w:rPr>
          <w:kern w:val="0"/>
        </w:rPr>
        <w:t xml:space="preserve"> the </w:t>
      </w:r>
      <w:r>
        <w:rPr>
          <w:kern w:val="0"/>
        </w:rPr>
        <w:t>cure rate</w:t>
      </w:r>
      <w:r w:rsidR="005853A9">
        <w:rPr>
          <w:kern w:val="0"/>
        </w:rPr>
        <w:t xml:space="preserve"> and </w:t>
      </w:r>
      <w:r>
        <w:rPr>
          <w:kern w:val="0"/>
        </w:rPr>
        <w:t>seven publications with 1251 microbiologically assessable patients</w:t>
      </w:r>
      <w:r w:rsidR="00A37C1D">
        <w:rPr>
          <w:kern w:val="0"/>
        </w:rPr>
        <w:t>. The</w:t>
      </w:r>
      <w:r w:rsidR="003A1917">
        <w:rPr>
          <w:kern w:val="0"/>
        </w:rPr>
        <w:t xml:space="preserve"> </w:t>
      </w:r>
      <w:r>
        <w:rPr>
          <w:kern w:val="0"/>
        </w:rPr>
        <w:t>collected data were compared directly</w:t>
      </w:r>
      <w:r w:rsidR="005853A9">
        <w:rPr>
          <w:kern w:val="0"/>
        </w:rPr>
        <w:t xml:space="preserve"> and </w:t>
      </w:r>
      <w:r>
        <w:rPr>
          <w:kern w:val="0"/>
        </w:rPr>
        <w:t>indirectly by means</w:t>
      </w:r>
      <w:r w:rsidR="00427468">
        <w:rPr>
          <w:kern w:val="0"/>
        </w:rPr>
        <w:t xml:space="preserve"> of </w:t>
      </w:r>
      <w:r>
        <w:rPr>
          <w:kern w:val="0"/>
        </w:rPr>
        <w:t>network analysis. Results:</w:t>
      </w:r>
      <w:r w:rsidR="003A1917">
        <w:rPr>
          <w:kern w:val="0"/>
        </w:rPr>
        <w:t xml:space="preserve"> the </w:t>
      </w:r>
      <w:r>
        <w:rPr>
          <w:kern w:val="0"/>
        </w:rPr>
        <w:t>direct comparison showed a trend towards</w:t>
      </w:r>
      <w:r w:rsidR="003A1917">
        <w:rPr>
          <w:kern w:val="0"/>
        </w:rPr>
        <w:t xml:space="preserve"> the </w:t>
      </w:r>
      <w:r>
        <w:rPr>
          <w:kern w:val="0"/>
        </w:rPr>
        <w:t>superiority</w:t>
      </w:r>
      <w:r w:rsidR="00427468">
        <w:rPr>
          <w:kern w:val="0"/>
        </w:rPr>
        <w:t xml:space="preserve"> of </w:t>
      </w:r>
      <w:r w:rsidR="003A1917">
        <w:rPr>
          <w:kern w:val="0"/>
        </w:rPr>
        <w:t xml:space="preserve">the </w:t>
      </w:r>
      <w:r>
        <w:rPr>
          <w:kern w:val="0"/>
        </w:rPr>
        <w:t>monotherapy containing quinolone</w:t>
      </w:r>
      <w:r w:rsidR="00A37C1D">
        <w:rPr>
          <w:kern w:val="0"/>
        </w:rPr>
        <w:t>. The</w:t>
      </w:r>
      <w:r w:rsidR="003A1917">
        <w:rPr>
          <w:kern w:val="0"/>
        </w:rPr>
        <w:t xml:space="preserve"> </w:t>
      </w:r>
      <w:r>
        <w:rPr>
          <w:kern w:val="0"/>
        </w:rPr>
        <w:t>network analysis verified this tendency</w:t>
      </w:r>
      <w:r w:rsidR="005853A9">
        <w:rPr>
          <w:kern w:val="0"/>
        </w:rPr>
        <w:t xml:space="preserve"> and </w:t>
      </w:r>
      <w:r>
        <w:rPr>
          <w:kern w:val="0"/>
        </w:rPr>
        <w:t>demonstrated that pure quinolone drugs can achieve a significantly higher cure rate (OR: 1.29; 95% CI: 1.06-1.57; p=0.01)</w:t>
      </w:r>
      <w:r w:rsidR="005853A9">
        <w:rPr>
          <w:kern w:val="0"/>
        </w:rPr>
        <w:t xml:space="preserve"> and </w:t>
      </w:r>
      <w:r>
        <w:rPr>
          <w:kern w:val="0"/>
        </w:rPr>
        <w:t>a significantly superior eradication rate (OR: 1.44; 95% CI: 1.03-2.02; p=0.03) compared to combination drugs not containing quinolone. We found substantial heterogeneity (with I(2) up to 88.7%) between studies, presumably due to treatments applied in varying frequency, thus bearing on compliance</w:t>
      </w:r>
      <w:r w:rsidR="005853A9">
        <w:rPr>
          <w:kern w:val="0"/>
        </w:rPr>
        <w:t xml:space="preserve"> and </w:t>
      </w:r>
      <w:r>
        <w:rPr>
          <w:kern w:val="0"/>
        </w:rPr>
        <w:t>outcome. Conclusion: With a level Ia evidence, this investigation validates</w:t>
      </w:r>
      <w:r w:rsidR="003A1917">
        <w:rPr>
          <w:kern w:val="0"/>
        </w:rPr>
        <w:t xml:space="preserve"> the </w:t>
      </w:r>
      <w:r>
        <w:rPr>
          <w:kern w:val="0"/>
        </w:rPr>
        <w:t>clinical benefit</w:t>
      </w:r>
      <w:r w:rsidR="00427468">
        <w:rPr>
          <w:kern w:val="0"/>
        </w:rPr>
        <w:t xml:space="preserve"> of </w:t>
      </w:r>
      <w:r>
        <w:rPr>
          <w:kern w:val="0"/>
        </w:rPr>
        <w:t>quinolones as compared to classic combination drugs in</w:t>
      </w:r>
      <w:r w:rsidR="003A1917">
        <w:rPr>
          <w:kern w:val="0"/>
        </w:rPr>
        <w:t xml:space="preserve"> the </w:t>
      </w:r>
      <w:r>
        <w:rPr>
          <w:kern w:val="0"/>
        </w:rPr>
        <w:t>local treatment</w:t>
      </w:r>
      <w:r w:rsidR="00427468">
        <w:rPr>
          <w:kern w:val="0"/>
        </w:rPr>
        <w:t xml:space="preserve"> of </w:t>
      </w:r>
      <w:r>
        <w:rPr>
          <w:kern w:val="0"/>
        </w:rPr>
        <w:t>acute otitis externa.</w:t>
      </w:r>
    </w:p>
    <w:p w:rsidR="00E61FA1" w:rsidRDefault="00E61FA1" w:rsidP="00E61FA1">
      <w:pPr>
        <w:pStyle w:val="a3"/>
        <w:rPr>
          <w:kern w:val="0"/>
        </w:rPr>
      </w:pPr>
      <w:r>
        <w:rPr>
          <w:kern w:val="0"/>
        </w:rPr>
        <w:t xml:space="preserve">Keywords: Acetate, Acute, Agent, Analysis, Antibiotics, Auditory, B-Neomycin-Hydrocortisone, Ciprofloxacin, Compliance, Databases, Drug, Drugs, Efficacy, Eradication Rate, Frequency, Glucosteroids, Inflammation, Local Treatment, </w:t>
      </w:r>
      <w:r w:rsidR="00D5664A">
        <w:rPr>
          <w:kern w:val="0"/>
        </w:rPr>
        <w:t>MEDLINE</w:t>
      </w:r>
      <w:r>
        <w:rPr>
          <w:kern w:val="0"/>
        </w:rPr>
        <w:t xml:space="preserve">, Meta Analysis, Meta-Analysis, Methods, Monotherapy, Network, Network Analysis, Otitis, Otitis Externa, Outcome, Oxytetracycline Hydrocortisone, Patients, Polymyxin-B, Publications, Pubmed, Quinolones, Safety, Science, Suspension, Therapy, Treatment, Trend, Trial, </w:t>
      </w:r>
      <w:r w:rsidR="00D5664A">
        <w:rPr>
          <w:kern w:val="0"/>
        </w:rPr>
        <w:t>Web</w:t>
      </w:r>
      <w:r w:rsidR="00427468">
        <w:rPr>
          <w:kern w:val="0"/>
        </w:rPr>
        <w:t xml:space="preserve"> of </w:t>
      </w:r>
      <w:r w:rsidR="00D5664A">
        <w:rPr>
          <w:kern w:val="0"/>
        </w:rPr>
        <w:t>Science</w:t>
      </w:r>
    </w:p>
    <w:p w:rsidR="00C83ED5" w:rsidRDefault="00C83ED5" w:rsidP="00C83ED5">
      <w:pPr>
        <w:pStyle w:val="a3"/>
        <w:rPr>
          <w:kern w:val="0"/>
        </w:rPr>
      </w:pPr>
      <w:r>
        <w:rPr>
          <w:rFonts w:hint="eastAsia"/>
          <w:kern w:val="0"/>
        </w:rPr>
        <w:t xml:space="preserve">? </w:t>
      </w:r>
      <w:r>
        <w:rPr>
          <w:kern w:val="0"/>
        </w:rPr>
        <w:t>Ligthelm, R.J. (2011), Insulin analogues: How observational studies provide key insights into management</w:t>
      </w:r>
      <w:r w:rsidR="00427468">
        <w:rPr>
          <w:kern w:val="0"/>
        </w:rPr>
        <w:t xml:space="preserve"> of </w:t>
      </w:r>
      <w:r>
        <w:rPr>
          <w:kern w:val="0"/>
        </w:rPr>
        <w:t xml:space="preserve">patients with type 2 diabetes mellitus.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27</w:t>
      </w:r>
      <w:r>
        <w:rPr>
          <w:kern w:val="0"/>
        </w:rPr>
        <w:t xml:space="preserve"> (12), 2343-2355.</w:t>
      </w:r>
    </w:p>
    <w:p w:rsidR="00C83ED5" w:rsidRDefault="00C83ED5" w:rsidP="00C83ED5">
      <w:pPr>
        <w:pStyle w:val="a3"/>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2343.pdf</w:t>
      </w:r>
    </w:p>
    <w:p w:rsidR="00C83ED5" w:rsidRDefault="00C83ED5" w:rsidP="00C83ED5">
      <w:pPr>
        <w:pStyle w:val="a3"/>
        <w:rPr>
          <w:kern w:val="0"/>
        </w:rPr>
      </w:pPr>
      <w:r>
        <w:rPr>
          <w:kern w:val="0"/>
        </w:rPr>
        <w:t>Abstract: Objective:</w:t>
      </w:r>
      <w:r w:rsidR="003A1917">
        <w:rPr>
          <w:kern w:val="0"/>
        </w:rPr>
        <w:t xml:space="preserve"> the </w:t>
      </w:r>
      <w:r>
        <w:rPr>
          <w:kern w:val="0"/>
        </w:rPr>
        <w:t>aim</w:t>
      </w:r>
      <w:r w:rsidR="00427468">
        <w:rPr>
          <w:kern w:val="0"/>
        </w:rPr>
        <w:t xml:space="preserve"> of </w:t>
      </w:r>
      <w:r>
        <w:rPr>
          <w:kern w:val="0"/>
        </w:rPr>
        <w:t>this commentary was to evaluate</w:t>
      </w:r>
      <w:r w:rsidR="003A1917">
        <w:rPr>
          <w:kern w:val="0"/>
        </w:rPr>
        <w:t xml:space="preserve"> the </w:t>
      </w:r>
      <w:r>
        <w:rPr>
          <w:kern w:val="0"/>
        </w:rPr>
        <w:t>current evidence regarding</w:t>
      </w:r>
      <w:r w:rsidR="003A1917">
        <w:rPr>
          <w:kern w:val="0"/>
        </w:rPr>
        <w:t xml:space="preserve"> the </w:t>
      </w:r>
      <w:r>
        <w:rPr>
          <w:kern w:val="0"/>
        </w:rPr>
        <w:t>use</w:t>
      </w:r>
      <w:r w:rsidR="00427468">
        <w:rPr>
          <w:kern w:val="0"/>
        </w:rPr>
        <w:t xml:space="preserve"> of </w:t>
      </w:r>
      <w:r>
        <w:rPr>
          <w:kern w:val="0"/>
        </w:rPr>
        <w:t>synthetic insulin analogues in</w:t>
      </w:r>
      <w:r w:rsidR="003A1917">
        <w:rPr>
          <w:kern w:val="0"/>
        </w:rPr>
        <w:t xml:space="preserve"> the </w:t>
      </w:r>
      <w:r w:rsidR="0071223E">
        <w:rPr>
          <w:kern w:val="0"/>
        </w:rPr>
        <w:t>‘</w:t>
      </w:r>
      <w:r>
        <w:rPr>
          <w:kern w:val="0"/>
        </w:rPr>
        <w:t>real-world</w:t>
      </w:r>
      <w:r w:rsidR="0071223E">
        <w:rPr>
          <w:kern w:val="0"/>
        </w:rPr>
        <w:t>’</w:t>
      </w:r>
      <w:r>
        <w:rPr>
          <w:kern w:val="0"/>
        </w:rPr>
        <w:t xml:space="preserve"> clinic setting for</w:t>
      </w:r>
      <w:r w:rsidR="003A1917">
        <w:rPr>
          <w:kern w:val="0"/>
        </w:rPr>
        <w:t xml:space="preserve"> the </w:t>
      </w:r>
      <w:r>
        <w:rPr>
          <w:kern w:val="0"/>
        </w:rPr>
        <w:t>treatment</w:t>
      </w:r>
      <w:r w:rsidR="00427468">
        <w:rPr>
          <w:kern w:val="0"/>
        </w:rPr>
        <w:t xml:space="preserve"> of </w:t>
      </w:r>
      <w:r>
        <w:rPr>
          <w:kern w:val="0"/>
        </w:rPr>
        <w:t xml:space="preserve">type 2 diabetes mellitus (T2DM). Methods: Relevant publications were searched on PubMed </w:t>
      </w:r>
      <w:r w:rsidR="00D5664A">
        <w:rPr>
          <w:kern w:val="0"/>
        </w:rPr>
        <w:t>MEDLINE</w:t>
      </w:r>
      <w:r>
        <w:rPr>
          <w:kern w:val="0"/>
        </w:rPr>
        <w:t>, EMBASE, Cochrane Register</w:t>
      </w:r>
      <w:r w:rsidR="00427468">
        <w:rPr>
          <w:kern w:val="0"/>
        </w:rPr>
        <w:t xml:space="preserve"> of </w:t>
      </w:r>
      <w:r>
        <w:rPr>
          <w:kern w:val="0"/>
        </w:rPr>
        <w:t xml:space="preserve">Controlled Trials Google Scholar, NLM Gateway, Science Direct, </w:t>
      </w:r>
      <w:r w:rsidR="00D5664A">
        <w:rPr>
          <w:kern w:val="0"/>
        </w:rPr>
        <w:t>Web</w:t>
      </w:r>
      <w:r w:rsidR="00427468">
        <w:rPr>
          <w:kern w:val="0"/>
        </w:rPr>
        <w:t xml:space="preserve"> of </w:t>
      </w:r>
      <w:r w:rsidR="00D5664A">
        <w:rPr>
          <w:kern w:val="0"/>
        </w:rPr>
        <w:t>Science</w:t>
      </w:r>
      <w:r w:rsidR="005853A9">
        <w:rPr>
          <w:kern w:val="0"/>
        </w:rPr>
        <w:t xml:space="preserve"> and </w:t>
      </w:r>
      <w:r>
        <w:rPr>
          <w:kern w:val="0"/>
        </w:rPr>
        <w:t>OVID for</w:t>
      </w:r>
      <w:r w:rsidR="003A1917">
        <w:rPr>
          <w:kern w:val="0"/>
        </w:rPr>
        <w:t xml:space="preserve"> the </w:t>
      </w:r>
      <w:r>
        <w:rPr>
          <w:kern w:val="0"/>
        </w:rPr>
        <w:t>period</w:t>
      </w:r>
      <w:r w:rsidR="00427468">
        <w:rPr>
          <w:kern w:val="0"/>
        </w:rPr>
        <w:t xml:space="preserve"> of </w:t>
      </w:r>
      <w:r>
        <w:rPr>
          <w:kern w:val="0"/>
        </w:rPr>
        <w:t>January 2007 to June 2010. Articles were included if they (a) provided specific study results on</w:t>
      </w:r>
      <w:r w:rsidR="003A1917">
        <w:rPr>
          <w:kern w:val="0"/>
        </w:rPr>
        <w:t xml:space="preserve"> the </w:t>
      </w:r>
      <w:r>
        <w:rPr>
          <w:kern w:val="0"/>
        </w:rPr>
        <w:t>use</w:t>
      </w:r>
      <w:r w:rsidR="00427468">
        <w:rPr>
          <w:kern w:val="0"/>
        </w:rPr>
        <w:t xml:space="preserve"> of </w:t>
      </w:r>
      <w:r>
        <w:rPr>
          <w:kern w:val="0"/>
        </w:rPr>
        <w:t>insulin analogues in T2DM</w:t>
      </w:r>
      <w:r w:rsidR="005853A9">
        <w:rPr>
          <w:kern w:val="0"/>
        </w:rPr>
        <w:t xml:space="preserve"> and </w:t>
      </w:r>
      <w:r>
        <w:rPr>
          <w:kern w:val="0"/>
        </w:rPr>
        <w:t>(b) gave sufficiently clear methodology details to establish treatment strategies, diagnosis</w:t>
      </w:r>
      <w:r w:rsidR="005853A9">
        <w:rPr>
          <w:kern w:val="0"/>
        </w:rPr>
        <w:t xml:space="preserve"> and </w:t>
      </w:r>
      <w:r>
        <w:rPr>
          <w:kern w:val="0"/>
        </w:rPr>
        <w:t>diagnostic criteria using an observational study (OS) design. Results: Twenty one articles specifically addressing both type 2 diabetes management</w:t>
      </w:r>
      <w:r w:rsidR="005853A9">
        <w:rPr>
          <w:kern w:val="0"/>
        </w:rPr>
        <w:t xml:space="preserve"> and </w:t>
      </w:r>
      <w:r w:rsidR="003A1917">
        <w:rPr>
          <w:kern w:val="0"/>
        </w:rPr>
        <w:t xml:space="preserve">the </w:t>
      </w:r>
      <w:r>
        <w:rPr>
          <w:kern w:val="0"/>
        </w:rPr>
        <w:t>use</w:t>
      </w:r>
      <w:r w:rsidR="00427468">
        <w:rPr>
          <w:kern w:val="0"/>
        </w:rPr>
        <w:t xml:space="preserve"> of </w:t>
      </w:r>
      <w:r>
        <w:rPr>
          <w:kern w:val="0"/>
        </w:rPr>
        <w:lastRenderedPageBreak/>
        <w:t>synthetic insulin analogues were identified. Results from recently published OS in patients with T2DM have shown, in</w:t>
      </w:r>
      <w:r w:rsidR="003A1917">
        <w:rPr>
          <w:kern w:val="0"/>
        </w:rPr>
        <w:t xml:space="preserve"> the </w:t>
      </w:r>
      <w:r>
        <w:rPr>
          <w:kern w:val="0"/>
        </w:rPr>
        <w:t>patient populations tested,</w:t>
      </w:r>
      <w:r w:rsidR="003A1917">
        <w:rPr>
          <w:kern w:val="0"/>
        </w:rPr>
        <w:t xml:space="preserve"> the </w:t>
      </w:r>
      <w:r>
        <w:rPr>
          <w:kern w:val="0"/>
        </w:rPr>
        <w:t>effective initiation, optimization</w:t>
      </w:r>
      <w:r w:rsidR="005853A9">
        <w:rPr>
          <w:kern w:val="0"/>
        </w:rPr>
        <w:t xml:space="preserve"> and </w:t>
      </w:r>
      <w:r>
        <w:rPr>
          <w:kern w:val="0"/>
        </w:rPr>
        <w:t>switch to use</w:t>
      </w:r>
      <w:r w:rsidR="00427468">
        <w:rPr>
          <w:kern w:val="0"/>
        </w:rPr>
        <w:t xml:space="preserve"> of </w:t>
      </w:r>
      <w:r>
        <w:rPr>
          <w:kern w:val="0"/>
        </w:rPr>
        <w:t>insulin analogues in routine clinical settings (day-to-day common practice), with a good safety profile. Conclusions: OS can provide clinicians with additional insights into</w:t>
      </w:r>
      <w:r w:rsidR="003A1917">
        <w:rPr>
          <w:kern w:val="0"/>
        </w:rPr>
        <w:t xml:space="preserve"> the </w:t>
      </w:r>
      <w:r>
        <w:rPr>
          <w:kern w:val="0"/>
        </w:rPr>
        <w:t>management</w:t>
      </w:r>
      <w:r w:rsidR="00427468">
        <w:rPr>
          <w:kern w:val="0"/>
        </w:rPr>
        <w:t xml:space="preserve"> of </w:t>
      </w:r>
      <w:r>
        <w:rPr>
          <w:kern w:val="0"/>
        </w:rPr>
        <w:t>T2DM patients in their practices. However,</w:t>
      </w:r>
      <w:r w:rsidR="003A1917">
        <w:rPr>
          <w:kern w:val="0"/>
        </w:rPr>
        <w:t xml:space="preserve"> the </w:t>
      </w:r>
      <w:r>
        <w:rPr>
          <w:kern w:val="0"/>
        </w:rPr>
        <w:t>selection</w:t>
      </w:r>
      <w:r w:rsidR="005853A9">
        <w:rPr>
          <w:kern w:val="0"/>
        </w:rPr>
        <w:t xml:space="preserve"> and </w:t>
      </w:r>
      <w:r>
        <w:rPr>
          <w:kern w:val="0"/>
        </w:rPr>
        <w:t>initiation</w:t>
      </w:r>
      <w:r w:rsidR="00427468">
        <w:rPr>
          <w:kern w:val="0"/>
        </w:rPr>
        <w:t xml:space="preserve"> of </w:t>
      </w:r>
      <w:r>
        <w:rPr>
          <w:kern w:val="0"/>
        </w:rPr>
        <w:t>insulin analogue regimens should be tailored to</w:t>
      </w:r>
      <w:r w:rsidR="003A1917">
        <w:rPr>
          <w:kern w:val="0"/>
        </w:rPr>
        <w:t xml:space="preserve"> the </w:t>
      </w:r>
      <w:r>
        <w:rPr>
          <w:kern w:val="0"/>
        </w:rPr>
        <w:t>individual patient</w:t>
      </w:r>
      <w:r w:rsidR="005853A9">
        <w:rPr>
          <w:kern w:val="0"/>
        </w:rPr>
        <w:t xml:space="preserve"> and </w:t>
      </w:r>
      <w:r>
        <w:rPr>
          <w:kern w:val="0"/>
        </w:rPr>
        <w:t>be one that</w:t>
      </w:r>
      <w:r w:rsidR="003A1917">
        <w:rPr>
          <w:kern w:val="0"/>
        </w:rPr>
        <w:t xml:space="preserve"> the </w:t>
      </w:r>
      <w:r>
        <w:rPr>
          <w:kern w:val="0"/>
        </w:rPr>
        <w:t>physician is comfortable using.</w:t>
      </w:r>
    </w:p>
    <w:p w:rsidR="00C83ED5" w:rsidRDefault="00C83ED5" w:rsidP="00C83ED5">
      <w:pPr>
        <w:pStyle w:val="a3"/>
        <w:rPr>
          <w:kern w:val="0"/>
        </w:rPr>
      </w:pPr>
      <w:r>
        <w:rPr>
          <w:kern w:val="0"/>
        </w:rPr>
        <w:t xml:space="preserve">Keywords: 30, 70 Novomix((R)) 30, Articles, Basal-Bolus Regimen, Cochrane, Commentary, Design, Diabetes, Diabetes Mellitus, Diabetes Treatment, Diagnosis, Embase, Epidemiology Strobe Statement, Follow-Up Data, Glycaemic Control, Google Scholar, Improves Glycemic Control, Insulin, Insulin Analogue, Insulin Analogues, Intensive Glucose Control, Long-Term Efficacy, Management, </w:t>
      </w:r>
      <w:r w:rsidR="00D5664A">
        <w:rPr>
          <w:kern w:val="0"/>
        </w:rPr>
        <w:t>MEDLINE</w:t>
      </w:r>
      <w:r>
        <w:rPr>
          <w:kern w:val="0"/>
        </w:rPr>
        <w:t xml:space="preserve">, Methodology, Methods, Nonrandomized, Observational, Observational Studies, Observational Study, Oral Antidiabetic Agents, Patients, Practice, Profile, Prospective, Publications, Pubmed, Randomized Controlled-Trials, Routine, Safety, Science, To-Target Trial, Treatment, Type 2, Type 2 Diabetes, Type 2 Diabetes Mellitus, </w:t>
      </w:r>
      <w:r w:rsidR="00D5664A">
        <w:rPr>
          <w:kern w:val="0"/>
        </w:rPr>
        <w:t>Web</w:t>
      </w:r>
      <w:r w:rsidR="00427468">
        <w:rPr>
          <w:kern w:val="0"/>
        </w:rPr>
        <w:t xml:space="preserve"> of </w:t>
      </w:r>
      <w:r w:rsidR="00D5664A">
        <w:rPr>
          <w:kern w:val="0"/>
        </w:rPr>
        <w:t>Science</w:t>
      </w:r>
    </w:p>
    <w:p w:rsidR="003A1917" w:rsidRDefault="003A1917" w:rsidP="003A1917">
      <w:pPr>
        <w:pStyle w:val="a3"/>
        <w:rPr>
          <w:kern w:val="0"/>
        </w:rPr>
      </w:pPr>
      <w:r>
        <w:rPr>
          <w:rFonts w:hint="eastAsia"/>
          <w:kern w:val="0"/>
        </w:rPr>
        <w:t xml:space="preserve">? </w:t>
      </w:r>
      <w:r>
        <w:rPr>
          <w:kern w:val="0"/>
        </w:rPr>
        <w:t>Sesler, B., Bloom, J., Coffey, C.</w:t>
      </w:r>
      <w:r w:rsidR="005853A9">
        <w:rPr>
          <w:kern w:val="0"/>
        </w:rPr>
        <w:t xml:space="preserve"> and </w:t>
      </w:r>
      <w:r>
        <w:rPr>
          <w:kern w:val="0"/>
        </w:rPr>
        <w:t>Nori, M. (2012), Evolution</w:t>
      </w:r>
      <w:r w:rsidR="00427468">
        <w:rPr>
          <w:kern w:val="0"/>
        </w:rPr>
        <w:t xml:space="preserve"> of </w:t>
      </w:r>
      <w:r>
        <w:rPr>
          <w:kern w:val="0"/>
        </w:rPr>
        <w:t xml:space="preserve">the </w:t>
      </w:r>
      <w:r w:rsidR="0071223E">
        <w:rPr>
          <w:kern w:val="0"/>
        </w:rPr>
        <w:t>‘</w:t>
      </w:r>
      <w:r>
        <w:rPr>
          <w:kern w:val="0"/>
        </w:rPr>
        <w:t>strength-of-voice factor</w:t>
      </w:r>
      <w:r w:rsidR="0071223E">
        <w:rPr>
          <w:kern w:val="0"/>
        </w:rPr>
        <w:t>’</w:t>
      </w:r>
      <w:r>
        <w:rPr>
          <w:kern w:val="0"/>
        </w:rPr>
        <w:t xml:space="preserve">: Updated bibliometric to evaluate publication quality.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28</w:t>
      </w:r>
      <w:r>
        <w:rPr>
          <w:rFonts w:hint="eastAsia"/>
          <w:kern w:val="0"/>
        </w:rPr>
        <w:t xml:space="preserve"> (1),</w:t>
      </w:r>
      <w:r>
        <w:rPr>
          <w:kern w:val="0"/>
        </w:rPr>
        <w:t xml:space="preserve"> S17</w:t>
      </w:r>
      <w:r>
        <w:rPr>
          <w:rFonts w:hint="eastAsia"/>
          <w:kern w:val="0"/>
        </w:rPr>
        <w:t>.</w:t>
      </w:r>
    </w:p>
    <w:p w:rsidR="003A1917" w:rsidRDefault="003A1917" w:rsidP="003A1917">
      <w:pPr>
        <w:pStyle w:val="a3"/>
        <w:rPr>
          <w:kern w:val="0"/>
        </w:rPr>
      </w:pPr>
      <w:r>
        <w:rPr>
          <w:rFonts w:hint="eastAsia"/>
          <w:kern w:val="0"/>
        </w:rPr>
        <w:t>Full Text: 2012\</w:t>
      </w:r>
      <w:r>
        <w:rPr>
          <w:iCs/>
          <w:kern w:val="0"/>
        </w:rPr>
        <w:t>Cur Med Res Opi</w:t>
      </w:r>
      <w:r w:rsidRPr="008155DE">
        <w:rPr>
          <w:bCs/>
          <w:kern w:val="0"/>
        </w:rPr>
        <w:t>2</w:t>
      </w:r>
      <w:r>
        <w:rPr>
          <w:rFonts w:hint="eastAsia"/>
          <w:bCs/>
          <w:kern w:val="0"/>
        </w:rPr>
        <w:t>8</w:t>
      </w:r>
      <w:r>
        <w:rPr>
          <w:kern w:val="0"/>
        </w:rPr>
        <w:t xml:space="preserve">, </w:t>
      </w:r>
      <w:r>
        <w:rPr>
          <w:rFonts w:hint="eastAsia"/>
          <w:kern w:val="0"/>
        </w:rPr>
        <w:t>S17.pdf</w:t>
      </w:r>
    </w:p>
    <w:p w:rsidR="003A1917" w:rsidRDefault="003A1917" w:rsidP="003A1917">
      <w:pPr>
        <w:pStyle w:val="a3"/>
        <w:rPr>
          <w:kern w:val="0"/>
        </w:rPr>
      </w:pPr>
      <w:r>
        <w:rPr>
          <w:kern w:val="0"/>
        </w:rPr>
        <w:t>Keywords: Bibliometric, Publication, Quality</w:t>
      </w:r>
    </w:p>
    <w:p w:rsidR="003A1917" w:rsidRDefault="003A1917" w:rsidP="003A1917">
      <w:pPr>
        <w:pStyle w:val="a3"/>
        <w:rPr>
          <w:kern w:val="0"/>
          <w:szCs w:val="24"/>
        </w:rPr>
      </w:pPr>
      <w:r>
        <w:rPr>
          <w:rFonts w:hint="eastAsia"/>
          <w:kern w:val="0"/>
          <w:szCs w:val="24"/>
        </w:rPr>
        <w:t xml:space="preserve">? </w:t>
      </w:r>
      <w:r>
        <w:rPr>
          <w:kern w:val="0"/>
          <w:szCs w:val="24"/>
        </w:rPr>
        <w:t>Stretton, S., Bramich, N.J., Keys, J.R., Monk, J.A., Ely, J.A., Haley, C., Woolley, M.J.</w:t>
      </w:r>
      <w:r w:rsidR="005853A9">
        <w:rPr>
          <w:kern w:val="0"/>
          <w:szCs w:val="24"/>
        </w:rPr>
        <w:t xml:space="preserve"> and </w:t>
      </w:r>
      <w:r>
        <w:rPr>
          <w:kern w:val="0"/>
          <w:szCs w:val="24"/>
        </w:rPr>
        <w:t>Woolley, K.L. (2012), Publication misconduct</w:t>
      </w:r>
      <w:r w:rsidR="005853A9">
        <w:rPr>
          <w:kern w:val="0"/>
          <w:szCs w:val="24"/>
        </w:rPr>
        <w:t xml:space="preserve"> and </w:t>
      </w:r>
      <w:r>
        <w:rPr>
          <w:kern w:val="0"/>
          <w:szCs w:val="24"/>
        </w:rPr>
        <w:t xml:space="preserve">plagiarism retractions: A systematic, retrospective study. </w:t>
      </w:r>
      <w:r>
        <w:rPr>
          <w:i/>
          <w:iCs/>
          <w:kern w:val="0"/>
          <w:szCs w:val="24"/>
        </w:rPr>
        <w:t>Current Medical Research</w:t>
      </w:r>
      <w:r w:rsidR="005853A9">
        <w:rPr>
          <w:i/>
          <w:iCs/>
          <w:kern w:val="0"/>
          <w:szCs w:val="24"/>
        </w:rPr>
        <w:t xml:space="preserve"> and </w:t>
      </w:r>
      <w:r>
        <w:rPr>
          <w:i/>
          <w:iCs/>
          <w:kern w:val="0"/>
          <w:szCs w:val="24"/>
        </w:rPr>
        <w:t>Opinion</w:t>
      </w:r>
      <w:r>
        <w:rPr>
          <w:kern w:val="0"/>
          <w:szCs w:val="24"/>
        </w:rPr>
        <w:t xml:space="preserve">, </w:t>
      </w:r>
      <w:r>
        <w:rPr>
          <w:b/>
          <w:bCs/>
          <w:kern w:val="0"/>
          <w:szCs w:val="24"/>
        </w:rPr>
        <w:t>28</w:t>
      </w:r>
      <w:r>
        <w:rPr>
          <w:kern w:val="0"/>
          <w:szCs w:val="24"/>
        </w:rPr>
        <w:t xml:space="preserve"> (10), 1575-1583.</w:t>
      </w:r>
    </w:p>
    <w:p w:rsidR="003A1917" w:rsidRDefault="003A1917" w:rsidP="003A1917">
      <w:pPr>
        <w:pStyle w:val="a3"/>
        <w:rPr>
          <w:kern w:val="0"/>
        </w:rPr>
      </w:pPr>
      <w:r>
        <w:rPr>
          <w:rFonts w:hint="eastAsia"/>
          <w:kern w:val="0"/>
        </w:rPr>
        <w:t xml:space="preserve">Full Text: </w:t>
      </w:r>
      <w:hyperlink r:id="rId1117" w:history="1">
        <w:r w:rsidR="00822A7F" w:rsidRPr="00822A7F">
          <w:rPr>
            <w:rStyle w:val="a5"/>
            <w:kern w:val="0"/>
          </w:rPr>
          <w:t>2012\Cur Med Res Opi28, 1575.pdf</w:t>
        </w:r>
      </w:hyperlink>
    </w:p>
    <w:p w:rsidR="003A1917" w:rsidRDefault="003A1917" w:rsidP="003A1917">
      <w:pPr>
        <w:pStyle w:val="a3"/>
        <w:rPr>
          <w:kern w:val="0"/>
          <w:szCs w:val="24"/>
        </w:rPr>
      </w:pPr>
      <w:r>
        <w:rPr>
          <w:kern w:val="0"/>
          <w:szCs w:val="24"/>
        </w:rPr>
        <w:t>Abstract: Objectives: To investigate whether plagiarism is more prevalent in publications retracted from the medical literature when first authors are affiliated with lower-income countries versus higher-income countries. Secondary objectives included investigating other factors associated with plagiarism (e. g., national language</w:t>
      </w:r>
      <w:r w:rsidR="00427468">
        <w:rPr>
          <w:kern w:val="0"/>
          <w:szCs w:val="24"/>
        </w:rPr>
        <w:t xml:space="preserve"> of </w:t>
      </w:r>
      <w:r>
        <w:rPr>
          <w:kern w:val="0"/>
          <w:szCs w:val="24"/>
        </w:rPr>
        <w:t>the first author</w:t>
      </w:r>
      <w:r w:rsidR="0071223E">
        <w:rPr>
          <w:kern w:val="0"/>
          <w:szCs w:val="24"/>
        </w:rPr>
        <w:t>’</w:t>
      </w:r>
      <w:r>
        <w:rPr>
          <w:kern w:val="0"/>
          <w:szCs w:val="24"/>
        </w:rPr>
        <w:t xml:space="preserve">s country affiliation, publication type, journal ranking). Design: Systematic, controlled, retrospective, bibliometric study. Data source: Retracted publications dataset in </w:t>
      </w:r>
      <w:r w:rsidR="00D5664A">
        <w:rPr>
          <w:kern w:val="0"/>
          <w:szCs w:val="24"/>
        </w:rPr>
        <w:t>MEDLINE</w:t>
      </w:r>
      <w:r>
        <w:rPr>
          <w:kern w:val="0"/>
          <w:szCs w:val="24"/>
        </w:rPr>
        <w:t xml:space="preserve"> (search filters: English, human, January 1966-February 2008). Data selection: Retracted misconduct publications were classified according to the first author</w:t>
      </w:r>
      <w:r w:rsidR="0071223E">
        <w:rPr>
          <w:kern w:val="0"/>
          <w:szCs w:val="24"/>
        </w:rPr>
        <w:t>’</w:t>
      </w:r>
      <w:r>
        <w:rPr>
          <w:kern w:val="0"/>
          <w:szCs w:val="24"/>
        </w:rPr>
        <w:t>s country affiliation, country income level,</w:t>
      </w:r>
      <w:r w:rsidR="005853A9">
        <w:rPr>
          <w:kern w:val="0"/>
          <w:szCs w:val="24"/>
        </w:rPr>
        <w:t xml:space="preserve"> and </w:t>
      </w:r>
      <w:r>
        <w:rPr>
          <w:kern w:val="0"/>
          <w:szCs w:val="24"/>
        </w:rPr>
        <w:t>country national language, publication type,</w:t>
      </w:r>
      <w:r w:rsidR="005853A9">
        <w:rPr>
          <w:kern w:val="0"/>
          <w:szCs w:val="24"/>
        </w:rPr>
        <w:t xml:space="preserve"> and </w:t>
      </w:r>
      <w:r>
        <w:rPr>
          <w:kern w:val="0"/>
          <w:szCs w:val="24"/>
        </w:rPr>
        <w:t>ranking</w:t>
      </w:r>
      <w:r w:rsidR="00427468">
        <w:rPr>
          <w:kern w:val="0"/>
          <w:szCs w:val="24"/>
        </w:rPr>
        <w:t xml:space="preserve"> of </w:t>
      </w:r>
      <w:r>
        <w:rPr>
          <w:kern w:val="0"/>
          <w:szCs w:val="24"/>
        </w:rPr>
        <w:t>the publishing journal. Standardised definitions</w:t>
      </w:r>
      <w:r w:rsidR="005853A9">
        <w:rPr>
          <w:kern w:val="0"/>
          <w:szCs w:val="24"/>
        </w:rPr>
        <w:t xml:space="preserve"> and </w:t>
      </w:r>
      <w:r>
        <w:rPr>
          <w:kern w:val="0"/>
          <w:szCs w:val="24"/>
        </w:rPr>
        <w:t xml:space="preserve">data collection tools were used; data were analysed </w:t>
      </w:r>
      <w:r>
        <w:rPr>
          <w:kern w:val="0"/>
          <w:szCs w:val="24"/>
        </w:rPr>
        <w:lastRenderedPageBreak/>
        <w:t>(odds ratio [OR], 95% confidence limits [CL], chi-squared tests) by an independent academic statistician. Results:</w:t>
      </w:r>
      <w:r w:rsidR="00427468">
        <w:rPr>
          <w:kern w:val="0"/>
          <w:szCs w:val="24"/>
        </w:rPr>
        <w:t xml:space="preserve"> of </w:t>
      </w:r>
      <w:r>
        <w:rPr>
          <w:kern w:val="0"/>
          <w:szCs w:val="24"/>
        </w:rPr>
        <w:t>the 213 retracted misconduct publications, 41.8% (89/213) were retracted for plagiarism, 52.1% (111/213) for falsification/fabrication, 2.3% (5/213) for author disputes, 2.3% (5/213) for ethical issues,</w:t>
      </w:r>
      <w:r w:rsidR="005853A9">
        <w:rPr>
          <w:kern w:val="0"/>
          <w:szCs w:val="24"/>
        </w:rPr>
        <w:t xml:space="preserve"> and </w:t>
      </w:r>
      <w:r>
        <w:rPr>
          <w:kern w:val="0"/>
          <w:szCs w:val="24"/>
        </w:rPr>
        <w:t>1.4% (3/213) for unknown reasons</w:t>
      </w:r>
      <w:r w:rsidR="00A37C1D">
        <w:rPr>
          <w:kern w:val="0"/>
          <w:szCs w:val="24"/>
        </w:rPr>
        <w:t>. The</w:t>
      </w:r>
      <w:r>
        <w:rPr>
          <w:kern w:val="0"/>
          <w:szCs w:val="24"/>
        </w:rPr>
        <w:t xml:space="preserve"> OR (95% CL)</w:t>
      </w:r>
      <w:r w:rsidR="00427468">
        <w:rPr>
          <w:kern w:val="0"/>
          <w:szCs w:val="24"/>
        </w:rPr>
        <w:t xml:space="preserve"> of </w:t>
      </w:r>
      <w:r>
        <w:rPr>
          <w:kern w:val="0"/>
          <w:szCs w:val="24"/>
        </w:rPr>
        <w:t>plagiarism retractions (other misconduct retractions as reference) were higher (P&lt;0.001) for first authors affiliated with lower-income versus higher-income countries (15.4 [4.5, 52.9])</w:t>
      </w:r>
      <w:r w:rsidR="005853A9">
        <w:rPr>
          <w:kern w:val="0"/>
          <w:szCs w:val="24"/>
        </w:rPr>
        <w:t xml:space="preserve"> and </w:t>
      </w:r>
      <w:r>
        <w:rPr>
          <w:kern w:val="0"/>
          <w:szCs w:val="24"/>
        </w:rPr>
        <w:t>with non-English versus English national language countries (3.2 [1.8, 5.7]), for non-original research versus original research publications (8.4 [3.3, 21.3]), for case reports</w:t>
      </w:r>
      <w:r w:rsidR="005853A9">
        <w:rPr>
          <w:kern w:val="0"/>
          <w:szCs w:val="24"/>
        </w:rPr>
        <w:t xml:space="preserve"> and </w:t>
      </w:r>
      <w:r>
        <w:rPr>
          <w:kern w:val="0"/>
          <w:szCs w:val="24"/>
        </w:rPr>
        <w:t>series versus other original research types (4.2 [1.4, 13.0]),</w:t>
      </w:r>
      <w:r w:rsidR="005853A9">
        <w:rPr>
          <w:kern w:val="0"/>
          <w:szCs w:val="24"/>
        </w:rPr>
        <w:t xml:space="preserve"> and </w:t>
      </w:r>
      <w:r>
        <w:rPr>
          <w:kern w:val="0"/>
          <w:szCs w:val="24"/>
        </w:rPr>
        <w:t xml:space="preserve">for publications in low-ranked versus high-ranked journals (4.9 [2.4, 9.9]). Up until 2012, there were significantly (P&lt;0.007) fewer </w:t>
      </w:r>
      <w:r w:rsidR="0071223E">
        <w:rPr>
          <w:kern w:val="0"/>
          <w:szCs w:val="24"/>
        </w:rPr>
        <w:t>‘</w:t>
      </w:r>
      <w:r>
        <w:rPr>
          <w:kern w:val="0"/>
          <w:szCs w:val="24"/>
        </w:rPr>
        <w:t>serial offenders</w:t>
      </w:r>
      <w:r w:rsidR="0071223E">
        <w:rPr>
          <w:kern w:val="0"/>
          <w:szCs w:val="24"/>
        </w:rPr>
        <w:t>’</w:t>
      </w:r>
      <w:r>
        <w:rPr>
          <w:kern w:val="0"/>
          <w:szCs w:val="24"/>
        </w:rPr>
        <w:t xml:space="preserve"> (first authors with &gt;1 retraction) with publications retracted for plagiarism (11.5%, 9/78) than other types</w:t>
      </w:r>
      <w:r w:rsidR="00427468">
        <w:rPr>
          <w:kern w:val="0"/>
          <w:szCs w:val="24"/>
        </w:rPr>
        <w:t xml:space="preserve"> of </w:t>
      </w:r>
      <w:r>
        <w:rPr>
          <w:kern w:val="0"/>
          <w:szCs w:val="24"/>
        </w:rPr>
        <w:t>misconduct (28.9%, 24/83). Conclusions: This is the first study to demonstrate that publications retracted for plagiarism are significantly associated with first authors affiliated with lower-income countries</w:t>
      </w:r>
      <w:r w:rsidR="00A37C1D">
        <w:rPr>
          <w:kern w:val="0"/>
          <w:szCs w:val="24"/>
        </w:rPr>
        <w:t>. The</w:t>
      </w:r>
      <w:r>
        <w:rPr>
          <w:kern w:val="0"/>
          <w:szCs w:val="24"/>
        </w:rPr>
        <w:t>se findings have implications for developing appropriate evidence-based strategies</w:t>
      </w:r>
      <w:r w:rsidR="005853A9">
        <w:rPr>
          <w:kern w:val="0"/>
          <w:szCs w:val="24"/>
        </w:rPr>
        <w:t xml:space="preserve"> and </w:t>
      </w:r>
      <w:r>
        <w:rPr>
          <w:kern w:val="0"/>
          <w:szCs w:val="24"/>
        </w:rPr>
        <w:t>allocation</w:t>
      </w:r>
      <w:r w:rsidR="00427468">
        <w:rPr>
          <w:kern w:val="0"/>
          <w:szCs w:val="24"/>
        </w:rPr>
        <w:t xml:space="preserve"> of </w:t>
      </w:r>
      <w:r>
        <w:rPr>
          <w:kern w:val="0"/>
          <w:szCs w:val="24"/>
        </w:rPr>
        <w:t>resources to help mitigate plagiarism misconduct.</w:t>
      </w:r>
    </w:p>
    <w:p w:rsidR="003A1917" w:rsidRDefault="003A1917" w:rsidP="003A1917">
      <w:pPr>
        <w:pStyle w:val="a3"/>
        <w:rPr>
          <w:kern w:val="0"/>
          <w:szCs w:val="24"/>
        </w:rPr>
      </w:pPr>
      <w:r>
        <w:rPr>
          <w:kern w:val="0"/>
          <w:szCs w:val="24"/>
        </w:rPr>
        <w:t xml:space="preserve">Keywords: Affiliation, Allocation, Authors, Bibliometric, Bibliometric Study, Case Reports, Cl, Collection, Confidence, Country, Data, Data Collection, Developing, Ethical, Ethical Issues, Evidence Based, Evidence-Based, Fabrication, Falsification, First, Human, Journal, Journals, Language, Literature, Medical, Medical Literature, </w:t>
      </w:r>
      <w:r w:rsidR="00D5664A">
        <w:rPr>
          <w:kern w:val="0"/>
          <w:szCs w:val="24"/>
        </w:rPr>
        <w:t>MEDLINE</w:t>
      </w:r>
      <w:r>
        <w:rPr>
          <w:kern w:val="0"/>
          <w:szCs w:val="24"/>
        </w:rPr>
        <w:t>, Odds Ratio, Plagiarism, Publication, Publications, Publishing, Ranking, Reference, Research, Resources, Retraction</w:t>
      </w:r>
      <w:r w:rsidR="00427468">
        <w:rPr>
          <w:kern w:val="0"/>
          <w:szCs w:val="24"/>
        </w:rPr>
        <w:t xml:space="preserve"> of </w:t>
      </w:r>
      <w:r>
        <w:rPr>
          <w:kern w:val="0"/>
          <w:szCs w:val="24"/>
        </w:rPr>
        <w:t>Publication As Topic, Scientific Misconduct, Selection, Source</w:t>
      </w:r>
    </w:p>
    <w:p w:rsidR="000B08BB" w:rsidRDefault="000B08BB" w:rsidP="000B08BB">
      <w:pPr>
        <w:pStyle w:val="a3"/>
        <w:rPr>
          <w:kern w:val="0"/>
        </w:rPr>
      </w:pPr>
      <w:r>
        <w:rPr>
          <w:rFonts w:hint="eastAsia"/>
          <w:kern w:val="0"/>
        </w:rPr>
        <w:t xml:space="preserve">? </w:t>
      </w:r>
      <w:r>
        <w:rPr>
          <w:kern w:val="0"/>
        </w:rPr>
        <w:t>Turnbull, C.M., Farrow, P.</w:t>
      </w:r>
      <w:r w:rsidR="005853A9">
        <w:rPr>
          <w:kern w:val="0"/>
        </w:rPr>
        <w:t xml:space="preserve"> and </w:t>
      </w:r>
      <w:r>
        <w:rPr>
          <w:kern w:val="0"/>
        </w:rPr>
        <w:t>Winchester, C.C. (2013), Systematic reviews have twice the impact</w:t>
      </w:r>
      <w:r w:rsidR="00427468">
        <w:rPr>
          <w:kern w:val="0"/>
        </w:rPr>
        <w:t xml:space="preserve"> of </w:t>
      </w:r>
      <w:r>
        <w:rPr>
          <w:kern w:val="0"/>
        </w:rPr>
        <w:t xml:space="preserve">narrative reviews: A bibliometric analysis.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29</w:t>
      </w:r>
      <w:r>
        <w:rPr>
          <w:rFonts w:hint="eastAsia"/>
          <w:kern w:val="0"/>
        </w:rPr>
        <w:t xml:space="preserve"> (S1),</w:t>
      </w:r>
      <w:r>
        <w:rPr>
          <w:kern w:val="0"/>
        </w:rPr>
        <w:t xml:space="preserve"> S19</w:t>
      </w:r>
      <w:r>
        <w:rPr>
          <w:rFonts w:hint="eastAsia"/>
          <w:kern w:val="0"/>
        </w:rPr>
        <w:t>.</w:t>
      </w:r>
    </w:p>
    <w:p w:rsidR="000B08BB" w:rsidRDefault="000B08BB" w:rsidP="000B08BB">
      <w:pPr>
        <w:pStyle w:val="a3"/>
        <w:rPr>
          <w:kern w:val="0"/>
        </w:rPr>
      </w:pPr>
      <w:r>
        <w:rPr>
          <w:rFonts w:hint="eastAsia"/>
          <w:kern w:val="0"/>
        </w:rPr>
        <w:t xml:space="preserve">Full Text: </w:t>
      </w:r>
      <w:hyperlink r:id="rId1118" w:history="1">
        <w:r w:rsidRPr="0040056F">
          <w:rPr>
            <w:rStyle w:val="a5"/>
            <w:kern w:val="0"/>
          </w:rPr>
          <w:t>2013\Cur Med Res Opi29, S19.pdf</w:t>
        </w:r>
      </w:hyperlink>
    </w:p>
    <w:p w:rsidR="000B08BB" w:rsidRDefault="000B08BB" w:rsidP="000B08BB">
      <w:pPr>
        <w:pStyle w:val="a3"/>
        <w:rPr>
          <w:kern w:val="0"/>
        </w:rPr>
      </w:pPr>
      <w:r>
        <w:rPr>
          <w:kern w:val="0"/>
        </w:rPr>
        <w:t>Keywords: Analysis, Bibliometric, Bibliometric Analysis, Impact, Reviews, Systematic Reviews</w:t>
      </w:r>
    </w:p>
    <w:p w:rsidR="003A7151" w:rsidRDefault="003A7151" w:rsidP="003A7151">
      <w:pPr>
        <w:pStyle w:val="a3"/>
        <w:rPr>
          <w:kern w:val="0"/>
        </w:rPr>
      </w:pPr>
      <w:r>
        <w:rPr>
          <w:rFonts w:hint="eastAsia"/>
          <w:kern w:val="0"/>
        </w:rPr>
        <w:t xml:space="preserve">? </w:t>
      </w:r>
      <w:r>
        <w:rPr>
          <w:kern w:val="0"/>
        </w:rPr>
        <w:t>Yin, Y.W., Wu, Z.G., Sun, Q.Q., Hu, A.M., Wang, Q.</w:t>
      </w:r>
      <w:r w:rsidR="005853A9">
        <w:rPr>
          <w:kern w:val="0"/>
        </w:rPr>
        <w:t xml:space="preserve"> and </w:t>
      </w:r>
      <w:r>
        <w:rPr>
          <w:kern w:val="0"/>
        </w:rPr>
        <w:t>Liu, H.L. (2013), Associations between tumor necrosis factor alpha gene-238 G/A and-308 G/A polymorphisms</w:t>
      </w:r>
      <w:r w:rsidR="005853A9">
        <w:rPr>
          <w:kern w:val="0"/>
        </w:rPr>
        <w:t xml:space="preserve"> and </w:t>
      </w:r>
      <w:r>
        <w:rPr>
          <w:kern w:val="0"/>
        </w:rPr>
        <w:t>the risk</w:t>
      </w:r>
      <w:r w:rsidR="00427468">
        <w:rPr>
          <w:kern w:val="0"/>
        </w:rPr>
        <w:t xml:space="preserve"> of </w:t>
      </w:r>
      <w:r>
        <w:rPr>
          <w:kern w:val="0"/>
        </w:rPr>
        <w:t>pneumoconiosis: Update</w:t>
      </w:r>
      <w:r w:rsidR="00427468">
        <w:rPr>
          <w:kern w:val="0"/>
        </w:rPr>
        <w:t xml:space="preserve"> of </w:t>
      </w:r>
      <w:r>
        <w:rPr>
          <w:kern w:val="0"/>
        </w:rPr>
        <w:t xml:space="preserve">a meta-analysis. </w:t>
      </w:r>
      <w:r>
        <w:rPr>
          <w:i/>
          <w:iCs/>
          <w:kern w:val="0"/>
        </w:rPr>
        <w:t>Current Medical Research</w:t>
      </w:r>
      <w:r w:rsidR="005853A9">
        <w:rPr>
          <w:i/>
          <w:iCs/>
          <w:kern w:val="0"/>
        </w:rPr>
        <w:t xml:space="preserve"> and </w:t>
      </w:r>
      <w:r>
        <w:rPr>
          <w:i/>
          <w:iCs/>
          <w:kern w:val="0"/>
        </w:rPr>
        <w:t>Opinion</w:t>
      </w:r>
      <w:r>
        <w:rPr>
          <w:kern w:val="0"/>
        </w:rPr>
        <w:t xml:space="preserve">, </w:t>
      </w:r>
      <w:r>
        <w:rPr>
          <w:b/>
          <w:bCs/>
          <w:kern w:val="0"/>
        </w:rPr>
        <w:t>29</w:t>
      </w:r>
      <w:r>
        <w:rPr>
          <w:kern w:val="0"/>
        </w:rPr>
        <w:t xml:space="preserve"> (11), 1435-1442.</w:t>
      </w:r>
    </w:p>
    <w:p w:rsidR="00981233" w:rsidRDefault="00981233" w:rsidP="00981233">
      <w:pPr>
        <w:pStyle w:val="a3"/>
        <w:rPr>
          <w:kern w:val="0"/>
        </w:rPr>
      </w:pPr>
      <w:r>
        <w:rPr>
          <w:rFonts w:hint="eastAsia"/>
          <w:kern w:val="0"/>
        </w:rPr>
        <w:t xml:space="preserve">Full Text: </w:t>
      </w:r>
      <w:hyperlink r:id="rId1119" w:history="1">
        <w:r w:rsidRPr="0014326B">
          <w:rPr>
            <w:rStyle w:val="a5"/>
            <w:kern w:val="0"/>
          </w:rPr>
          <w:t>2013\Cur Med Res Opi29, 1435.pdf</w:t>
        </w:r>
      </w:hyperlink>
    </w:p>
    <w:p w:rsidR="003A7151" w:rsidRDefault="003A7151" w:rsidP="003A7151">
      <w:pPr>
        <w:pStyle w:val="a3"/>
        <w:rPr>
          <w:kern w:val="0"/>
        </w:rPr>
      </w:pPr>
      <w:r>
        <w:rPr>
          <w:kern w:val="0"/>
        </w:rPr>
        <w:t>Abstract: Objectives: Tumor necrosis factor alpha (TNF-alpha) gene (-238 G/A [rs361525]</w:t>
      </w:r>
      <w:r w:rsidR="005853A9">
        <w:rPr>
          <w:kern w:val="0"/>
        </w:rPr>
        <w:t xml:space="preserve"> and </w:t>
      </w:r>
      <w:r>
        <w:rPr>
          <w:kern w:val="0"/>
        </w:rPr>
        <w:t xml:space="preserve">-308 G/A [rs1800629]) polymorphisms have been extensively studied in relation to various diseases, several epidemiologic studies have been </w:t>
      </w:r>
      <w:r>
        <w:rPr>
          <w:kern w:val="0"/>
        </w:rPr>
        <w:lastRenderedPageBreak/>
        <w:t>performed to investigate the associations</w:t>
      </w:r>
      <w:r w:rsidR="00427468">
        <w:rPr>
          <w:kern w:val="0"/>
        </w:rPr>
        <w:t xml:space="preserve"> of </w:t>
      </w:r>
      <w:r>
        <w:rPr>
          <w:kern w:val="0"/>
        </w:rPr>
        <w:t>TNF-alpha gene polymorphisms with pneumoconiosis; however, the results</w:t>
      </w:r>
      <w:r w:rsidR="00427468">
        <w:rPr>
          <w:kern w:val="0"/>
        </w:rPr>
        <w:t xml:space="preserve"> of </w:t>
      </w:r>
      <w:r>
        <w:rPr>
          <w:kern w:val="0"/>
        </w:rPr>
        <w:t>these studies were not entirely consistent. In an effort to clarify earlier inconclusive results, we performed this meta-analysis</w:t>
      </w:r>
      <w:r w:rsidR="00427468">
        <w:rPr>
          <w:kern w:val="0"/>
        </w:rPr>
        <w:t xml:space="preserve"> of </w:t>
      </w:r>
      <w:r>
        <w:rPr>
          <w:kern w:val="0"/>
        </w:rPr>
        <w:t xml:space="preserve">case-control genetic association studies. Methods: We identified eligible studies by searching the relevant databases, including PubMed, Embase, </w:t>
      </w:r>
      <w:r w:rsidR="00D5664A">
        <w:rPr>
          <w:kern w:val="0"/>
        </w:rPr>
        <w:t>Web</w:t>
      </w:r>
      <w:r w:rsidR="00427468">
        <w:rPr>
          <w:kern w:val="0"/>
        </w:rPr>
        <w:t xml:space="preserve"> of </w:t>
      </w:r>
      <w:r w:rsidR="00D5664A">
        <w:rPr>
          <w:kern w:val="0"/>
        </w:rPr>
        <w:t>Science</w:t>
      </w:r>
      <w:r>
        <w:rPr>
          <w:kern w:val="0"/>
        </w:rPr>
        <w:t>, CBMdisc, CNKI,</w:t>
      </w:r>
      <w:r w:rsidR="005853A9">
        <w:rPr>
          <w:kern w:val="0"/>
        </w:rPr>
        <w:t xml:space="preserve"> and </w:t>
      </w:r>
      <w:r>
        <w:rPr>
          <w:kern w:val="0"/>
        </w:rPr>
        <w:t>Google Scholar, until February 15, 2013. Additionally, hand searching</w:t>
      </w:r>
      <w:r w:rsidR="00427468">
        <w:rPr>
          <w:kern w:val="0"/>
        </w:rPr>
        <w:t xml:space="preserve"> of </w:t>
      </w:r>
      <w:r>
        <w:rPr>
          <w:kern w:val="0"/>
        </w:rPr>
        <w:t>the references</w:t>
      </w:r>
      <w:r w:rsidR="00427468">
        <w:rPr>
          <w:kern w:val="0"/>
        </w:rPr>
        <w:t xml:space="preserve"> of </w:t>
      </w:r>
      <w:r>
        <w:rPr>
          <w:kern w:val="0"/>
        </w:rPr>
        <w:t>identified articles were performed. Heterogeneity</w:t>
      </w:r>
      <w:r w:rsidR="005853A9">
        <w:rPr>
          <w:kern w:val="0"/>
        </w:rPr>
        <w:t xml:space="preserve"> and </w:t>
      </w:r>
      <w:r>
        <w:rPr>
          <w:kern w:val="0"/>
        </w:rPr>
        <w:t>publication bias across studies were determined</w:t>
      </w:r>
      <w:r w:rsidR="005853A9">
        <w:rPr>
          <w:kern w:val="0"/>
        </w:rPr>
        <w:t xml:space="preserve"> and </w:t>
      </w:r>
      <w:r>
        <w:rPr>
          <w:kern w:val="0"/>
        </w:rPr>
        <w:t>the meta-analysis was performed by Stata 11.0. Results: Fourteen articles involving 20 studies were included in the final meta-analysis, covering a total</w:t>
      </w:r>
      <w:r w:rsidR="00427468">
        <w:rPr>
          <w:kern w:val="0"/>
        </w:rPr>
        <w:t xml:space="preserve"> of </w:t>
      </w:r>
      <w:r>
        <w:rPr>
          <w:kern w:val="0"/>
        </w:rPr>
        <w:t>1935 pneumoconiosis cases</w:t>
      </w:r>
      <w:r w:rsidR="005853A9">
        <w:rPr>
          <w:kern w:val="0"/>
        </w:rPr>
        <w:t xml:space="preserve"> and </w:t>
      </w:r>
      <w:r>
        <w:rPr>
          <w:kern w:val="0"/>
        </w:rPr>
        <w:t>3753 controls</w:t>
      </w:r>
      <w:r w:rsidR="00A37C1D">
        <w:rPr>
          <w:kern w:val="0"/>
        </w:rPr>
        <w:t>. The</w:t>
      </w:r>
      <w:r>
        <w:rPr>
          <w:kern w:val="0"/>
        </w:rPr>
        <w:t xml:space="preserve"> results showed evidence for significant association between TNF-alpha gene -308 G/A polymorphism</w:t>
      </w:r>
      <w:r w:rsidR="005853A9">
        <w:rPr>
          <w:kern w:val="0"/>
        </w:rPr>
        <w:t xml:space="preserve"> and </w:t>
      </w:r>
      <w:r>
        <w:rPr>
          <w:kern w:val="0"/>
        </w:rPr>
        <w:t>pneumoconiosis risk, suggesting that TNF-a gene -308 A allele may be a risk factor for pneumoconiosis (for A allele vs. G allele: OR 1.41, 95% CI 1.10-1.81, p=0.01; for A/A_G/A vs. G/G: OR 1.52, 95% CI 1.21-1.91, p=50.01). For TNF-alpha gene-238 G/A polymorphism, no significant association was found between this genetic variation</w:t>
      </w:r>
      <w:r w:rsidR="005853A9">
        <w:rPr>
          <w:kern w:val="0"/>
        </w:rPr>
        <w:t xml:space="preserve"> and </w:t>
      </w:r>
      <w:r>
        <w:rPr>
          <w:kern w:val="0"/>
        </w:rPr>
        <w:t>pneumoconiosis risk. Conclusions: This meta-analysis indicates that TNF-alpha gene-308 G/A polymorphism is associated with an increased pneumoconiosis risk.</w:t>
      </w:r>
    </w:p>
    <w:p w:rsidR="003A7151" w:rsidRDefault="003A7151" w:rsidP="003A7151">
      <w:pPr>
        <w:pStyle w:val="a3"/>
        <w:rPr>
          <w:kern w:val="0"/>
        </w:rPr>
      </w:pPr>
      <w:r>
        <w:rPr>
          <w:kern w:val="0"/>
        </w:rPr>
        <w:t xml:space="preserve">Keywords: Association, Bias, Case-Control, Databases, Diseases, Evidence, Gene, Genetic, Google, Google Scholar, Meta Analysis, Meta-Analysis, Metaanalysis, Methods, Necrosis, Nov, Pneumoconiosis, Polymorphism, Polymorphisms, Publication, Publication Bias, Pubmed, References, Results, Risk, Risk Factor, Science, Stata, TNF Alpha, TNF-Alpha, Tumor, Tumor Necrosis Factor, </w:t>
      </w:r>
      <w:r w:rsidR="00D5664A">
        <w:rPr>
          <w:kern w:val="0"/>
        </w:rPr>
        <w:t>Web</w:t>
      </w:r>
      <w:r w:rsidR="00427468">
        <w:rPr>
          <w:kern w:val="0"/>
        </w:rPr>
        <w:t xml:space="preserve"> of </w:t>
      </w:r>
      <w:r w:rsidR="00D5664A">
        <w:rPr>
          <w:kern w:val="0"/>
        </w:rPr>
        <w:t>Science</w:t>
      </w:r>
    </w:p>
    <w:p w:rsidR="00C56473" w:rsidRDefault="00C56473" w:rsidP="00C56473">
      <w:pPr>
        <w:pStyle w:val="a3"/>
        <w:rPr>
          <w:kern w:val="0"/>
          <w:szCs w:val="24"/>
        </w:rPr>
      </w:pPr>
      <w:r>
        <w:rPr>
          <w:rFonts w:hint="eastAsia"/>
          <w:kern w:val="0"/>
          <w:szCs w:val="24"/>
        </w:rPr>
        <w:t xml:space="preserve">? </w:t>
      </w:r>
      <w:r>
        <w:rPr>
          <w:kern w:val="0"/>
          <w:szCs w:val="24"/>
        </w:rPr>
        <w:t>Sun, Q.Q., Yin, Y.W., Zhu, Z.M. and Yan, Z.C. (2014), Association</w:t>
      </w:r>
      <w:r w:rsidR="00427468">
        <w:rPr>
          <w:kern w:val="0"/>
          <w:szCs w:val="24"/>
        </w:rPr>
        <w:t xml:space="preserve"> of </w:t>
      </w:r>
      <w:r>
        <w:rPr>
          <w:kern w:val="0"/>
          <w:szCs w:val="24"/>
        </w:rPr>
        <w:t xml:space="preserve">the C242T polymorphism in the NAD(P)H oxidase P22 phox gene with type 2 diabetes mellitus risk: A meta-analysis. </w:t>
      </w:r>
      <w:r>
        <w:rPr>
          <w:i/>
          <w:iCs/>
          <w:kern w:val="0"/>
          <w:szCs w:val="24"/>
        </w:rPr>
        <w:t>Current Medical Research and Opinion</w:t>
      </w:r>
      <w:r>
        <w:rPr>
          <w:kern w:val="0"/>
          <w:szCs w:val="24"/>
        </w:rPr>
        <w:t xml:space="preserve">, </w:t>
      </w:r>
      <w:r>
        <w:rPr>
          <w:b/>
          <w:bCs/>
          <w:kern w:val="0"/>
          <w:szCs w:val="24"/>
        </w:rPr>
        <w:t>30</w:t>
      </w:r>
      <w:r>
        <w:rPr>
          <w:kern w:val="0"/>
          <w:szCs w:val="24"/>
        </w:rPr>
        <w:t xml:space="preserve"> (3), 415-422.</w:t>
      </w:r>
    </w:p>
    <w:p w:rsidR="00C56473" w:rsidRDefault="00C56473" w:rsidP="00C56473">
      <w:pPr>
        <w:pStyle w:val="a3"/>
        <w:rPr>
          <w:kern w:val="0"/>
        </w:rPr>
      </w:pPr>
      <w:r>
        <w:rPr>
          <w:rFonts w:hint="eastAsia"/>
          <w:kern w:val="0"/>
        </w:rPr>
        <w:t xml:space="preserve">Full Text: </w:t>
      </w:r>
      <w:hyperlink r:id="rId1120" w:history="1">
        <w:r w:rsidRPr="0020668E">
          <w:rPr>
            <w:rStyle w:val="a5"/>
            <w:kern w:val="0"/>
          </w:rPr>
          <w:t>2014\Cur Med Res Opi30, 415.pdf</w:t>
        </w:r>
      </w:hyperlink>
    </w:p>
    <w:p w:rsidR="00C56473" w:rsidRDefault="00C56473" w:rsidP="00C56473">
      <w:pPr>
        <w:pStyle w:val="a3"/>
        <w:rPr>
          <w:kern w:val="0"/>
          <w:szCs w:val="24"/>
        </w:rPr>
      </w:pPr>
      <w:r>
        <w:rPr>
          <w:kern w:val="0"/>
          <w:szCs w:val="24"/>
        </w:rPr>
        <w:t>Abstract: Objectives: A number</w:t>
      </w:r>
      <w:r w:rsidR="00427468">
        <w:rPr>
          <w:kern w:val="0"/>
          <w:szCs w:val="24"/>
        </w:rPr>
        <w:t xml:space="preserve"> of </w:t>
      </w:r>
      <w:r>
        <w:rPr>
          <w:kern w:val="0"/>
          <w:szCs w:val="24"/>
        </w:rPr>
        <w:t>epidemiological studies have explored the association between NAD(P) H oxidase P22 phox gene C242T (rs4673) polymorphism and susceptibility to type 2 diabetes mellitus (T2DM), but the results are still debatable</w:t>
      </w:r>
      <w:r w:rsidR="00A37C1D">
        <w:rPr>
          <w:kern w:val="0"/>
          <w:szCs w:val="24"/>
        </w:rPr>
        <w:t>. The</w:t>
      </w:r>
      <w:r>
        <w:rPr>
          <w:kern w:val="0"/>
          <w:szCs w:val="24"/>
        </w:rPr>
        <w:t>refore, we conducted a meta-analysis to assess the potential association between the NAD(P) H oxidase P22 phox gene C242T polymorphism and T2DM risk. Methods: Electronic literature searches</w:t>
      </w:r>
      <w:r w:rsidR="00427468">
        <w:rPr>
          <w:kern w:val="0"/>
          <w:szCs w:val="24"/>
        </w:rPr>
        <w:t xml:space="preserve"> of </w:t>
      </w:r>
      <w:r>
        <w:rPr>
          <w:kern w:val="0"/>
          <w:szCs w:val="24"/>
        </w:rPr>
        <w:t>the PubMed, Embase, Web</w:t>
      </w:r>
      <w:r w:rsidR="00427468">
        <w:rPr>
          <w:kern w:val="0"/>
          <w:szCs w:val="24"/>
        </w:rPr>
        <w:t xml:space="preserve"> of </w:t>
      </w:r>
      <w:r>
        <w:rPr>
          <w:kern w:val="0"/>
          <w:szCs w:val="24"/>
        </w:rPr>
        <w:t>Science, CBMdisc, CNKI and Google Scholar were performed up to June 15, 2013. Additionally, hand searching</w:t>
      </w:r>
      <w:r w:rsidR="00427468">
        <w:rPr>
          <w:kern w:val="0"/>
          <w:szCs w:val="24"/>
        </w:rPr>
        <w:t xml:space="preserve"> of </w:t>
      </w:r>
      <w:r>
        <w:rPr>
          <w:kern w:val="0"/>
          <w:szCs w:val="24"/>
        </w:rPr>
        <w:t>the references</w:t>
      </w:r>
      <w:r w:rsidR="00427468">
        <w:rPr>
          <w:kern w:val="0"/>
          <w:szCs w:val="24"/>
        </w:rPr>
        <w:t xml:space="preserve"> of </w:t>
      </w:r>
      <w:r>
        <w:rPr>
          <w:kern w:val="0"/>
          <w:szCs w:val="24"/>
        </w:rPr>
        <w:t>identified articles was performed. Data analyses were carried out by Stata 11.0. Results: Seven studies were included in the final meta-analysis, covering a total</w:t>
      </w:r>
      <w:r w:rsidR="00427468">
        <w:rPr>
          <w:kern w:val="0"/>
          <w:szCs w:val="24"/>
        </w:rPr>
        <w:t xml:space="preserve"> of </w:t>
      </w:r>
      <w:r>
        <w:rPr>
          <w:kern w:val="0"/>
          <w:szCs w:val="24"/>
        </w:rPr>
        <w:t>1661 T2DM cases and 1265 controls</w:t>
      </w:r>
      <w:r w:rsidR="00A37C1D">
        <w:rPr>
          <w:kern w:val="0"/>
          <w:szCs w:val="24"/>
        </w:rPr>
        <w:t>. The</w:t>
      </w:r>
      <w:r>
        <w:rPr>
          <w:kern w:val="0"/>
          <w:szCs w:val="24"/>
        </w:rPr>
        <w:t xml:space="preserve"> results showed evidence for significant association between the NAD(P) </w:t>
      </w:r>
      <w:r>
        <w:rPr>
          <w:kern w:val="0"/>
          <w:szCs w:val="24"/>
        </w:rPr>
        <w:lastRenderedPageBreak/>
        <w:t>H oxidase P22 phox gene C242T polymorphism and T2DM risk (for T/T vs. T/C: OR - 1.61, 95% CI - 1.14-2.26, p - 0.007; for T/T vs. T/C+C/C: OR = 1.50, 95% CI = 1.10-2.05, p = 0.009). In the subgroup analysis, there was also evidence for significant association between the NAD(P) H oxidase P22 phox gene C242T polymorphism and T2DM risk, either for Asians (T/T vs. T/C+C/C: OR = 1.74, 95% CI = 1.15-2.64, p = 0.009) or for non-Asians (for T allele vs C allele: OR = 1.30, 95% CI = 1.04-1.61, p = 0.02). Conclusions: The present meta-analysis indicates that the NAD(P) H oxidase P22 phox gene 242 T allele might be associated with an increased T2DM risk.</w:t>
      </w:r>
    </w:p>
    <w:p w:rsidR="00C56473" w:rsidRDefault="00C56473" w:rsidP="00C56473">
      <w:pPr>
        <w:pStyle w:val="a3"/>
        <w:rPr>
          <w:kern w:val="0"/>
          <w:szCs w:val="24"/>
        </w:rPr>
      </w:pPr>
      <w:r>
        <w:rPr>
          <w:kern w:val="0"/>
          <w:szCs w:val="24"/>
        </w:rPr>
        <w:t>Keywords: Analyses, Analysis, Association, Breast-Cancer, Carotid Atherosclerosis, Data, Diabetes, Diabetes Mellitus, Disease, Evidence, Gene, Google, Google Scholar, Literature, Mar, Meta Analysis, Meta-Analysis, Metaanalysis, Methods, Nad(P)H Oxidase, Oxidative Stress, P22 Phox, Polymorphism, Potential, Pubmed, References, Results, Risk, Science, Stata, Type 2 Diabetes, Type 2 Diabetes Mellitus, Web</w:t>
      </w:r>
      <w:r w:rsidR="00427468">
        <w:rPr>
          <w:kern w:val="0"/>
          <w:szCs w:val="24"/>
        </w:rPr>
        <w:t xml:space="preserve"> of </w:t>
      </w:r>
      <w:r>
        <w:rPr>
          <w:kern w:val="0"/>
          <w:szCs w:val="24"/>
        </w:rPr>
        <w:t>Science</w:t>
      </w:r>
    </w:p>
    <w:p w:rsidR="00C56473" w:rsidRDefault="00C56473" w:rsidP="00C56473">
      <w:pPr>
        <w:pStyle w:val="a3"/>
        <w:rPr>
          <w:kern w:val="0"/>
          <w:szCs w:val="24"/>
        </w:rPr>
      </w:pPr>
      <w:r>
        <w:rPr>
          <w:rFonts w:hint="eastAsia"/>
          <w:kern w:val="0"/>
          <w:szCs w:val="24"/>
        </w:rPr>
        <w:t xml:space="preserve">? </w:t>
      </w:r>
      <w:r>
        <w:rPr>
          <w:kern w:val="0"/>
          <w:szCs w:val="24"/>
        </w:rPr>
        <w:t xml:space="preserve">Goldenberg, R. (2014), Insulin plus incretin agent combination therapy in type 2 diabetes: A systematic review. </w:t>
      </w:r>
      <w:r>
        <w:rPr>
          <w:i/>
          <w:iCs/>
          <w:kern w:val="0"/>
          <w:szCs w:val="24"/>
        </w:rPr>
        <w:t>Current Medical Research and Opinion</w:t>
      </w:r>
      <w:r>
        <w:rPr>
          <w:kern w:val="0"/>
          <w:szCs w:val="24"/>
        </w:rPr>
        <w:t xml:space="preserve">, </w:t>
      </w:r>
      <w:r>
        <w:rPr>
          <w:b/>
          <w:bCs/>
          <w:kern w:val="0"/>
          <w:szCs w:val="24"/>
        </w:rPr>
        <w:t>30</w:t>
      </w:r>
      <w:r>
        <w:rPr>
          <w:kern w:val="0"/>
          <w:szCs w:val="24"/>
        </w:rPr>
        <w:t xml:space="preserve"> (3), 431-445.</w:t>
      </w:r>
    </w:p>
    <w:p w:rsidR="00C56473" w:rsidRDefault="00C56473" w:rsidP="00C56473">
      <w:pPr>
        <w:pStyle w:val="a3"/>
        <w:rPr>
          <w:kern w:val="0"/>
        </w:rPr>
      </w:pPr>
      <w:r>
        <w:rPr>
          <w:rFonts w:hint="eastAsia"/>
          <w:kern w:val="0"/>
        </w:rPr>
        <w:t xml:space="preserve">Full Text: </w:t>
      </w:r>
      <w:hyperlink r:id="rId1121" w:history="1">
        <w:r w:rsidRPr="00C56473">
          <w:rPr>
            <w:rStyle w:val="a5"/>
            <w:kern w:val="0"/>
          </w:rPr>
          <w:t>2014\Cur Med Res Opi30, 431.pdf</w:t>
        </w:r>
      </w:hyperlink>
    </w:p>
    <w:p w:rsidR="00C56473" w:rsidRDefault="00C56473" w:rsidP="00C56473">
      <w:pPr>
        <w:pStyle w:val="a3"/>
        <w:rPr>
          <w:kern w:val="0"/>
          <w:szCs w:val="24"/>
        </w:rPr>
      </w:pPr>
      <w:r>
        <w:rPr>
          <w:kern w:val="0"/>
          <w:szCs w:val="24"/>
        </w:rPr>
        <w:t>Abstract: Background: Insulin and incretin agents (dipeptidyl peptidase-4 inhibitors [DPP4is] and glucagon-like peptide-1 receptor agonists [GLP1 RAs]) are second-line treatment options in patients with type 2 diabetes (T2D) not achieving glycemic targets with metformin. Combinations</w:t>
      </w:r>
      <w:r w:rsidR="00427468">
        <w:rPr>
          <w:kern w:val="0"/>
          <w:szCs w:val="24"/>
        </w:rPr>
        <w:t xml:space="preserve"> of </w:t>
      </w:r>
      <w:r>
        <w:rPr>
          <w:kern w:val="0"/>
          <w:szCs w:val="24"/>
        </w:rPr>
        <w:t>insulin with incretin agents have been explored in randomized controlled trials (RCTs) and retrospective studies. However, the optimal approach is still elusive; numerous combination regimens can be envisioned, differing in composition and in order</w:t>
      </w:r>
      <w:r w:rsidR="00427468">
        <w:rPr>
          <w:kern w:val="0"/>
          <w:szCs w:val="24"/>
        </w:rPr>
        <w:t xml:space="preserve"> of </w:t>
      </w:r>
      <w:r>
        <w:rPr>
          <w:kern w:val="0"/>
          <w:szCs w:val="24"/>
        </w:rPr>
        <w:t>addition. Scope: A systematic survey was conducted</w:t>
      </w:r>
      <w:r w:rsidR="00427468">
        <w:rPr>
          <w:kern w:val="0"/>
          <w:szCs w:val="24"/>
        </w:rPr>
        <w:t xml:space="preserve"> of </w:t>
      </w:r>
      <w:r>
        <w:rPr>
          <w:kern w:val="0"/>
          <w:szCs w:val="24"/>
        </w:rPr>
        <w:t xml:space="preserve">RCTs testing insulin/DPP4i or insulin/GLP1 RA regimens. PubMed and other online databases were queried using </w:t>
      </w:r>
      <w:r w:rsidR="0071223E">
        <w:rPr>
          <w:kern w:val="0"/>
          <w:szCs w:val="24"/>
        </w:rPr>
        <w:t>‘</w:t>
      </w:r>
      <w:r>
        <w:rPr>
          <w:kern w:val="0"/>
          <w:szCs w:val="24"/>
        </w:rPr>
        <w:t>insulin</w:t>
      </w:r>
      <w:r w:rsidR="0071223E">
        <w:rPr>
          <w:kern w:val="0"/>
          <w:szCs w:val="24"/>
        </w:rPr>
        <w:t>’</w:t>
      </w:r>
      <w:r>
        <w:rPr>
          <w:kern w:val="0"/>
          <w:szCs w:val="24"/>
        </w:rPr>
        <w:t xml:space="preserve"> and the names</w:t>
      </w:r>
      <w:r w:rsidR="00427468">
        <w:rPr>
          <w:kern w:val="0"/>
          <w:szCs w:val="24"/>
        </w:rPr>
        <w:t xml:space="preserve"> of </w:t>
      </w:r>
      <w:r>
        <w:rPr>
          <w:kern w:val="0"/>
          <w:szCs w:val="24"/>
        </w:rPr>
        <w:t xml:space="preserve">all incretin agents available in Canada, along with </w:t>
      </w:r>
      <w:r w:rsidR="0071223E">
        <w:rPr>
          <w:kern w:val="0"/>
          <w:szCs w:val="24"/>
        </w:rPr>
        <w:t>‘</w:t>
      </w:r>
      <w:r>
        <w:rPr>
          <w:kern w:val="0"/>
          <w:szCs w:val="24"/>
        </w:rPr>
        <w:t>combination</w:t>
      </w:r>
      <w:r w:rsidR="0071223E">
        <w:rPr>
          <w:kern w:val="0"/>
          <w:szCs w:val="24"/>
        </w:rPr>
        <w:t>’</w:t>
      </w:r>
      <w:r>
        <w:rPr>
          <w:kern w:val="0"/>
          <w:szCs w:val="24"/>
        </w:rPr>
        <w:t xml:space="preserve">, </w:t>
      </w:r>
      <w:r w:rsidR="0071223E">
        <w:rPr>
          <w:kern w:val="0"/>
          <w:szCs w:val="24"/>
        </w:rPr>
        <w:t>‘</w:t>
      </w:r>
      <w:r>
        <w:rPr>
          <w:kern w:val="0"/>
          <w:szCs w:val="24"/>
        </w:rPr>
        <w:t>concomitant</w:t>
      </w:r>
      <w:r w:rsidR="0071223E">
        <w:rPr>
          <w:kern w:val="0"/>
          <w:szCs w:val="24"/>
        </w:rPr>
        <w:t>’</w:t>
      </w:r>
      <w:r>
        <w:rPr>
          <w:kern w:val="0"/>
          <w:szCs w:val="24"/>
        </w:rPr>
        <w:t xml:space="preserve">, </w:t>
      </w:r>
      <w:r w:rsidR="0071223E">
        <w:rPr>
          <w:kern w:val="0"/>
          <w:szCs w:val="24"/>
        </w:rPr>
        <w:t>‘</w:t>
      </w:r>
      <w:r>
        <w:rPr>
          <w:kern w:val="0"/>
          <w:szCs w:val="24"/>
        </w:rPr>
        <w:t>concurrent</w:t>
      </w:r>
      <w:r w:rsidR="0071223E">
        <w:rPr>
          <w:kern w:val="0"/>
          <w:szCs w:val="24"/>
        </w:rPr>
        <w:t>’</w:t>
      </w:r>
      <w:r>
        <w:rPr>
          <w:kern w:val="0"/>
          <w:szCs w:val="24"/>
        </w:rPr>
        <w:t xml:space="preserve">, and </w:t>
      </w:r>
      <w:r w:rsidR="0071223E">
        <w:rPr>
          <w:kern w:val="0"/>
          <w:szCs w:val="24"/>
        </w:rPr>
        <w:t>‘</w:t>
      </w:r>
      <w:r>
        <w:rPr>
          <w:kern w:val="0"/>
          <w:szCs w:val="24"/>
        </w:rPr>
        <w:t>add-on</w:t>
      </w:r>
      <w:r w:rsidR="0071223E">
        <w:rPr>
          <w:kern w:val="0"/>
          <w:szCs w:val="24"/>
        </w:rPr>
        <w:t>’</w:t>
      </w:r>
      <w:r>
        <w:rPr>
          <w:kern w:val="0"/>
          <w:szCs w:val="24"/>
        </w:rPr>
        <w:t>. Web</w:t>
      </w:r>
      <w:r w:rsidR="00427468">
        <w:rPr>
          <w:kern w:val="0"/>
          <w:szCs w:val="24"/>
        </w:rPr>
        <w:t xml:space="preserve"> of </w:t>
      </w:r>
      <w:r>
        <w:rPr>
          <w:kern w:val="0"/>
          <w:szCs w:val="24"/>
        </w:rPr>
        <w:t>Science and clinicaltrials.gov were searched to identify unpublished trials. Findings: Fifteen placebo-controlled or active-comparator RCTs were identified, reporting outcomes for regimens combining insulins and incretin agents available in Canada. DPP4i add-on to insulin therapy (six trials) leads to modest A1c lowering, with weight neutrality. GLP1 RA and insulin combination therapy (GLP1 RA add-on, five trials; insulin add-on, two trials) is associated with significant A1c lowering, with beneficial effects on body weight. A single proof-of-concept trial compared GLP1 RA to DPP4i add-on to insulin, and only one RCT examined simultaneous introduction</w:t>
      </w:r>
      <w:r w:rsidR="00427468">
        <w:rPr>
          <w:kern w:val="0"/>
          <w:szCs w:val="24"/>
        </w:rPr>
        <w:t xml:space="preserve"> of </w:t>
      </w:r>
      <w:r>
        <w:rPr>
          <w:kern w:val="0"/>
          <w:szCs w:val="24"/>
        </w:rPr>
        <w:t xml:space="preserve">an incretin agent with insulin. Adding an incretin agent to established basal insulin therapy may represent a useful </w:t>
      </w:r>
      <w:r>
        <w:rPr>
          <w:kern w:val="0"/>
          <w:szCs w:val="24"/>
        </w:rPr>
        <w:lastRenderedPageBreak/>
        <w:t>alternative to insulin intensification with prandial or premixed insulin. Initial introduction</w:t>
      </w:r>
      <w:r w:rsidR="00427468">
        <w:rPr>
          <w:kern w:val="0"/>
          <w:szCs w:val="24"/>
        </w:rPr>
        <w:t xml:space="preserve"> of </w:t>
      </w:r>
      <w:r>
        <w:rPr>
          <w:kern w:val="0"/>
          <w:szCs w:val="24"/>
        </w:rPr>
        <w:t>an incretin agent, with subsequent introduction</w:t>
      </w:r>
      <w:r w:rsidR="00427468">
        <w:rPr>
          <w:kern w:val="0"/>
          <w:szCs w:val="24"/>
        </w:rPr>
        <w:t xml:space="preserve"> of </w:t>
      </w:r>
      <w:r>
        <w:rPr>
          <w:kern w:val="0"/>
          <w:szCs w:val="24"/>
        </w:rPr>
        <w:t>insulin, offers potential practical advantages. No study directly comparing order</w:t>
      </w:r>
      <w:r w:rsidR="00427468">
        <w:rPr>
          <w:kern w:val="0"/>
          <w:szCs w:val="24"/>
        </w:rPr>
        <w:t xml:space="preserve"> of </w:t>
      </w:r>
      <w:r>
        <w:rPr>
          <w:kern w:val="0"/>
          <w:szCs w:val="24"/>
        </w:rPr>
        <w:t>addition has yet been reported. Conclusions: Insulin/incretin combination therapy comprises a variety</w:t>
      </w:r>
      <w:r w:rsidR="00427468">
        <w:rPr>
          <w:kern w:val="0"/>
          <w:szCs w:val="24"/>
        </w:rPr>
        <w:t xml:space="preserve"> of </w:t>
      </w:r>
      <w:r>
        <w:rPr>
          <w:kern w:val="0"/>
          <w:szCs w:val="24"/>
        </w:rPr>
        <w:t>efficacious, weight-sparing regimens and may be considered for many patients who do not achieve glycemic targets when treated with insulin or an incretin agent.</w:t>
      </w:r>
    </w:p>
    <w:p w:rsidR="00C56473" w:rsidRDefault="00C56473" w:rsidP="00C56473">
      <w:pPr>
        <w:pStyle w:val="a3"/>
        <w:rPr>
          <w:kern w:val="0"/>
          <w:szCs w:val="24"/>
        </w:rPr>
      </w:pPr>
      <w:r>
        <w:rPr>
          <w:kern w:val="0"/>
          <w:szCs w:val="24"/>
        </w:rPr>
        <w:t>Keywords: Add-On Therapy, Alternative, Approach, Basal Insulin, Body Weight, Canada, Clinical-Practice, Combination Therapy, Combining, Composition, Concomitant, Daily Lixisenatide, Databases, Diabetes, Dipeptidylpeptidase-4 Inhibitor, Effects, Glp-1 Receptor Agonists, Glucagon-Like Peptide-1 Receptor Agonist, Glycemic Control, Incretin, Inhibitors, Insulin, Insulin Therapy, Integrated Analysis, Intensification, Mar, Metformin, Nationwide Exenatide Audit, Online, Open-Label Trial, Options, Outcomes, Parallel-Group, Patients, Potential, Pubmed, Randomized, Randomized Controlled Trials, Rct, Reporting, Retrospective Studies, Review, Science, Survey, Systematic Review, Testing, Therapy, Treatment, Trial, Type 2 Diabetes, Web</w:t>
      </w:r>
      <w:r w:rsidR="00427468">
        <w:rPr>
          <w:kern w:val="0"/>
          <w:szCs w:val="24"/>
        </w:rPr>
        <w:t xml:space="preserve"> of </w:t>
      </w:r>
      <w:r>
        <w:rPr>
          <w:kern w:val="0"/>
          <w:szCs w:val="24"/>
        </w:rPr>
        <w:t>Science</w:t>
      </w:r>
    </w:p>
    <w:p w:rsidR="005658FA" w:rsidRDefault="005658FA" w:rsidP="005658FA">
      <w:pPr>
        <w:pStyle w:val="a3"/>
        <w:rPr>
          <w:kern w:val="0"/>
        </w:rPr>
      </w:pPr>
      <w:r>
        <w:rPr>
          <w:rFonts w:hint="eastAsia"/>
          <w:kern w:val="0"/>
        </w:rPr>
        <w:t xml:space="preserve">? </w:t>
      </w:r>
      <w:r>
        <w:rPr>
          <w:kern w:val="0"/>
        </w:rPr>
        <w:t xml:space="preserve">Sun, W., Hu, G.Y., Long, G.X., Wang, J.F., Liu, D.B. and Hu, G.Q. (2014), Predictive value of a serum-based proteomic test in non-small-cell lung cancer patients treated with epidermal growth factor receptor tyrosine kinase inhibitors: A meta-analysis. </w:t>
      </w:r>
      <w:r>
        <w:rPr>
          <w:i/>
          <w:iCs/>
          <w:kern w:val="0"/>
        </w:rPr>
        <w:t>Current Medical Research and Opinion</w:t>
      </w:r>
      <w:r>
        <w:rPr>
          <w:kern w:val="0"/>
        </w:rPr>
        <w:t xml:space="preserve">, </w:t>
      </w:r>
      <w:r>
        <w:rPr>
          <w:b/>
          <w:bCs/>
          <w:kern w:val="0"/>
        </w:rPr>
        <w:t>30</w:t>
      </w:r>
      <w:r>
        <w:rPr>
          <w:kern w:val="0"/>
        </w:rPr>
        <w:t xml:space="preserve"> (10), 2033-2039.</w:t>
      </w:r>
    </w:p>
    <w:p w:rsidR="005658FA" w:rsidRDefault="005658FA" w:rsidP="005658FA">
      <w:pPr>
        <w:pStyle w:val="a3"/>
        <w:rPr>
          <w:kern w:val="0"/>
        </w:rPr>
      </w:pPr>
      <w:r>
        <w:rPr>
          <w:rFonts w:hint="eastAsia"/>
          <w:kern w:val="0"/>
        </w:rPr>
        <w:t xml:space="preserve">Full Text: </w:t>
      </w:r>
      <w:hyperlink r:id="rId1122" w:history="1">
        <w:r w:rsidRPr="005658FA">
          <w:rPr>
            <w:rStyle w:val="a5"/>
            <w:kern w:val="0"/>
          </w:rPr>
          <w:t>2014\Cur Med Res Opi30, 2033.pdf</w:t>
        </w:r>
      </w:hyperlink>
    </w:p>
    <w:p w:rsidR="005658FA" w:rsidRDefault="005658FA" w:rsidP="005658FA">
      <w:pPr>
        <w:pStyle w:val="a3"/>
        <w:rPr>
          <w:kern w:val="0"/>
        </w:rPr>
      </w:pPr>
      <w:r>
        <w:rPr>
          <w:kern w:val="0"/>
        </w:rPr>
        <w:t xml:space="preserve">Abstract: Objective: Several studies have demonstrated that a serum-based proteomic test (VeriStrat*) is able to predict the clinical outcome of non-small-cell lung cancer (NSCLC) patients treated with epidermal growth factor receptor tyrosine kinase inhibitors (EGFR-TKIs). However, these studies have limited power to draw a precise conclusion because of their small sample sizes and inconsistent results. Therefore, a metaanalysis was carried out in an attempt to provide more persuasive evidence. Research design and methods: Electronic searches for relevant articles in PubMed, Embase, Medline, and Web of Science published up to May 2013 were conducted. Stata Statistical Software version 12.0 was applied for statistical analysis. The combined hazard ratio (HR) and 95% confidence interval (CI) were estimated using fixed-effects models. Results: Eleven cohorts involving 706 patients collected from seven studies were subjected to final analysis. This serum-based proteomic test’s ‘good’ status predicted a better clinical outcome with a pooled HR of 0.40 (95% CI 0.32 to 0.49; p&lt;0.001) for overall survival (OS), and 0.49 (95% CI 0.39 to 0.60; p&lt;0.001) for progression-free survival (PFS). There was no significant heterogeneity, but a slight publication bias in this study. Conclusions: Our meta-analysis demonstrated that this serum-based proteomic test has a predictive value for NSCLC patients treated with EGFR-TKIs. Future data are needed to </w:t>
      </w:r>
      <w:r>
        <w:rPr>
          <w:kern w:val="0"/>
        </w:rPr>
        <w:lastRenderedPageBreak/>
        <w:t>validate and update our results.</w:t>
      </w:r>
    </w:p>
    <w:p w:rsidR="005658FA" w:rsidRDefault="005658FA" w:rsidP="005658FA">
      <w:pPr>
        <w:pStyle w:val="a3"/>
        <w:rPr>
          <w:kern w:val="0"/>
        </w:rPr>
      </w:pPr>
      <w:r>
        <w:rPr>
          <w:kern w:val="0"/>
        </w:rPr>
        <w:t>Keywords: 1st-Line Therapy, Analysis, Articles, Bias, Cancer, Clinical, Confidence, Data, Design, Egfr Inhibitor, Egfr Mutations, Epidermal Growth Factor, Erlotinib, Evidence, From, Growth, Growth Factor, Hazard, Hazard Ratio, Heterogeneity, Inhibitors, Interval, Line Pooled Analysis, Lung, Lung Cancer, Mass-Spectrometry, Medline, Meta Analysis, Meta-Analysis, Metaanalysis, Methods, Models, Molecular Predictors, Nsclc, Outcome, Patients, Placebo, Power, Prediction, Predictive, Predictive Value, Prognostic Value, Proteomic Test, Publication, Publication Bias, Pubmed, Randomized Phase-Ii, Research, Research Design, Results, Science, Small, Software, Stata, Statistical Analysis, Survival, Value, Version, Web Of Science</w:t>
      </w:r>
    </w:p>
    <w:p w:rsidR="007C49DB" w:rsidRDefault="007C49DB" w:rsidP="007C49DB">
      <w:pPr>
        <w:pStyle w:val="a3"/>
        <w:rPr>
          <w:kern w:val="0"/>
        </w:rPr>
      </w:pPr>
      <w:r>
        <w:rPr>
          <w:kern w:val="0"/>
        </w:rPr>
        <w:t xml:space="preserve">? Qi, W.X., Fu, S., Zhang, Q. and Guo, X.M. (2015), Anti-epidermal-growth-factor-receptor agents and complete responses in the treatment of advanced non-small-cell lung cancer: a meta-analysis of 17 phase III randomized controlled trials. </w:t>
      </w:r>
      <w:r>
        <w:rPr>
          <w:i/>
          <w:iCs/>
          <w:kern w:val="0"/>
        </w:rPr>
        <w:t>Current Medical Research and Opinion</w:t>
      </w:r>
      <w:r>
        <w:rPr>
          <w:kern w:val="0"/>
        </w:rPr>
        <w:t xml:space="preserve">, </w:t>
      </w:r>
      <w:r>
        <w:rPr>
          <w:b/>
          <w:bCs/>
          <w:kern w:val="0"/>
        </w:rPr>
        <w:t>31</w:t>
      </w:r>
      <w:r>
        <w:rPr>
          <w:kern w:val="0"/>
        </w:rPr>
        <w:t xml:space="preserve"> (1), 25-33.</w:t>
      </w:r>
    </w:p>
    <w:p w:rsidR="007C49DB" w:rsidRDefault="007C49DB" w:rsidP="007C49DB">
      <w:pPr>
        <w:pStyle w:val="a3"/>
        <w:rPr>
          <w:kern w:val="0"/>
        </w:rPr>
      </w:pPr>
      <w:r>
        <w:rPr>
          <w:rFonts w:hint="eastAsia"/>
          <w:kern w:val="0"/>
        </w:rPr>
        <w:t xml:space="preserve">Full Text: </w:t>
      </w:r>
      <w:hyperlink r:id="rId1123" w:history="1">
        <w:r w:rsidRPr="007C49DB">
          <w:rPr>
            <w:rStyle w:val="a5"/>
            <w:kern w:val="0"/>
          </w:rPr>
          <w:t>201</w:t>
        </w:r>
        <w:r w:rsidRPr="007C49DB">
          <w:rPr>
            <w:rStyle w:val="a5"/>
            <w:rFonts w:hint="eastAsia"/>
            <w:kern w:val="0"/>
          </w:rPr>
          <w:t>5</w:t>
        </w:r>
        <w:r w:rsidRPr="007C49DB">
          <w:rPr>
            <w:rStyle w:val="a5"/>
            <w:kern w:val="0"/>
          </w:rPr>
          <w:t>\Cur Med Res Opi3</w:t>
        </w:r>
        <w:r w:rsidRPr="007C49DB">
          <w:rPr>
            <w:rStyle w:val="a5"/>
            <w:rFonts w:hint="eastAsia"/>
            <w:kern w:val="0"/>
          </w:rPr>
          <w:t>1,</w:t>
        </w:r>
        <w:r w:rsidRPr="007C49DB">
          <w:rPr>
            <w:rStyle w:val="a5"/>
            <w:kern w:val="0"/>
          </w:rPr>
          <w:t xml:space="preserve"> 25.pdf</w:t>
        </w:r>
      </w:hyperlink>
    </w:p>
    <w:p w:rsidR="007C49DB" w:rsidRDefault="007C49DB" w:rsidP="007C49DB">
      <w:pPr>
        <w:pStyle w:val="a3"/>
        <w:rPr>
          <w:kern w:val="0"/>
        </w:rPr>
      </w:pPr>
      <w:r>
        <w:rPr>
          <w:kern w:val="0"/>
        </w:rPr>
        <w:t xml:space="preserve">Abstract: Purpose: Currently, the anti-epidermal-growth-factor-receptor (EGFR) agents have shown encouraging treatment benefits in patients with various types of solid tumors including non-small-cell lung cancer (NSCLC). Despite these advances, radiological complete response to these therapies is rare. We meta-analyze the incidence of complete response (CR) in advanced NSCLC patients treated with anti-EGFR agents and controls in randomized controlled trials (RCTs). Methods: PubMed, Web of Science, Embase and Cochrane library databases were reviewed for phase III RCTs with EGFR-targeted agents vs. non-EGFR-targeted agents in patients with advanced NSCLC. We calculated the odds ratio of CR in patients assigned to anti-EGFR agents compared to controls. Results: A total of 11,568 patients from 17 RCTs were included for analysis. The incidence of CR in patients treated with anti-EGFR agents was 1.1% (95% CI, 0.7-1.7%) compared to 0.6% (95% CI, 0.4-0.9%) in control arms. Comparing the different types of anti-EGFR agents, the incidence of CR was 1.9% for gefitinib (95% CI: 1.4-2.6%), 1.4% for cetuximab (95% CI: 0.8-2.7%) and 0.9% for erlotinib (95% CI: 0.6-1.5%), respectively. The use of anti-EGFR agents significantly increased the odds ratio of obtaining a CR (OR 2.12, 95% CI: 1.28-3.49, p = 0.003) compared to controls. This was found to be higher in treatment arms involving more than 50% of: female patients, patients who had never smoked tobacco, patients of Asian descent or patients with adenocarcinoma or EGFR mutation. No significant differences in ORs were observed in any prespecified sub-groups. Conclusion: Although a CR is rare in advanced NSCLC patients receiving anti-EGFR agents, these drugs significantly increase the OR of a CR compared to controls, especially for patients with EGFR mutations. Further studies are needed to investigate whether the increase of CR with anti-EGFR </w:t>
      </w:r>
      <w:r>
        <w:rPr>
          <w:kern w:val="0"/>
        </w:rPr>
        <w:lastRenderedPageBreak/>
        <w:t>therapy would be translated into survival benefits.</w:t>
      </w:r>
    </w:p>
    <w:p w:rsidR="007C49DB" w:rsidRDefault="007C49DB" w:rsidP="007C49DB">
      <w:pPr>
        <w:pStyle w:val="a3"/>
        <w:rPr>
          <w:kern w:val="0"/>
        </w:rPr>
      </w:pPr>
      <w:r>
        <w:rPr>
          <w:kern w:val="0"/>
        </w:rPr>
        <w:t>Keywords: 1st-Line Treatment, 2nd-Line Treatment, Adenocarcinoma, Advances, Analysis, Anti-Egfr Agents, Asian, Benefits, Cancer, Cetuximab, Chemotherapy, Clinical-Trials, Complete, Control, Cr, Databases, Double-Blind, Drugs, Egfr, Erlotinib, Erlotinib, Female, From, Gefitinib, Gefitinib, Incidence, Lung, Lung Cancer, Maintenance Therapy, Meta Analysis, Meta-Analysis, Metaanalysis, Methods, Mutation, Mutations, Non-Small-Cell Lung Cancer, Nsclc, Odds Ratio, Open-Label, Patients, Phase Iii, Pubmed, Randomized, Randomized Controlled Trials, Response, Results, Science, Survival, Therapy, Tobacco, Treatment, Tyrosine Kinase, Web, Web of Science</w:t>
      </w:r>
    </w:p>
    <w:p w:rsidR="003474F2" w:rsidRPr="001A3D2B" w:rsidRDefault="003474F2" w:rsidP="003474F2">
      <w:pPr>
        <w:pStyle w:val="1"/>
      </w:pPr>
      <w:r w:rsidRPr="001A3D2B">
        <w:br w:type="page"/>
      </w:r>
      <w:bookmarkStart w:id="479" w:name="_Toc420815157"/>
      <w:r w:rsidRPr="001A3D2B">
        <w:lastRenderedPageBreak/>
        <w:t>Title: Current Nanoscience</w:t>
      </w:r>
      <w:bookmarkEnd w:id="479"/>
    </w:p>
    <w:p w:rsidR="003474F2" w:rsidRPr="001A3D2B" w:rsidRDefault="003474F2" w:rsidP="003474F2">
      <w:pPr>
        <w:pStyle w:val="12"/>
      </w:pPr>
      <w:r w:rsidRPr="001A3D2B">
        <w:t xml:space="preserve">Full Journal Title: </w:t>
      </w:r>
      <w:hyperlink r:id="rId1124" w:history="1">
        <w:r w:rsidRPr="001A3D2B">
          <w:rPr>
            <w:rStyle w:val="a5"/>
            <w:iCs/>
          </w:rPr>
          <w:t>Current Nanoscience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1573-4137</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Kostoff, R.N., Koytcheff, R.G.</w:t>
      </w:r>
      <w:r w:rsidR="005853A9">
        <w:t xml:space="preserve"> and </w:t>
      </w:r>
      <w:r w:rsidRPr="001A3D2B">
        <w:t>Lau, C.G.Y. (2007), Structure</w:t>
      </w:r>
      <w:r w:rsidR="00427468">
        <w:t xml:space="preserve"> of </w:t>
      </w:r>
      <w:r w:rsidR="003A1917">
        <w:t xml:space="preserve">the </w:t>
      </w:r>
      <w:r w:rsidRPr="001A3D2B">
        <w:t>nanoscience</w:t>
      </w:r>
      <w:r w:rsidR="005853A9">
        <w:t xml:space="preserve"> and </w:t>
      </w:r>
      <w:r w:rsidRPr="001A3D2B">
        <w:t xml:space="preserve">nanotechnology instrumentation literature. </w:t>
      </w:r>
      <w:r w:rsidRPr="001A3D2B">
        <w:rPr>
          <w:i/>
          <w:iCs/>
        </w:rPr>
        <w:t>Current Nanoscience</w:t>
      </w:r>
      <w:r w:rsidRPr="001A3D2B">
        <w:t xml:space="preserve">, </w:t>
      </w:r>
      <w:r w:rsidRPr="001A3D2B">
        <w:rPr>
          <w:b/>
          <w:bCs/>
        </w:rPr>
        <w:t>3</w:t>
      </w:r>
      <w:r w:rsidRPr="001A3D2B">
        <w:t xml:space="preserve"> (2), 135-154.</w:t>
      </w:r>
    </w:p>
    <w:p w:rsidR="003474F2" w:rsidRPr="001A3D2B" w:rsidRDefault="003474F2" w:rsidP="003474F2">
      <w:pPr>
        <w:pStyle w:val="a3"/>
      </w:pPr>
      <w:r w:rsidRPr="001A3D2B">
        <w:t xml:space="preserve">Full Text: </w:t>
      </w:r>
      <w:hyperlink r:id="rId1125" w:history="1">
        <w:r w:rsidR="002F6B0F" w:rsidRPr="002F6B0F">
          <w:rPr>
            <w:rStyle w:val="a5"/>
          </w:rPr>
          <w:t>2007\Cur Nan3, 135.pdf</w:t>
        </w:r>
      </w:hyperlink>
    </w:p>
    <w:p w:rsidR="003474F2" w:rsidRPr="001A3D2B" w:rsidRDefault="003474F2" w:rsidP="003474F2">
      <w:pPr>
        <w:pStyle w:val="a3"/>
      </w:pPr>
      <w:r w:rsidRPr="001A3D2B">
        <w:t>Abstract:</w:t>
      </w:r>
      <w:r w:rsidR="003A1917">
        <w:t xml:space="preserve"> the </w:t>
      </w:r>
      <w:r w:rsidRPr="001A3D2B">
        <w:t>instrumentation literature associated with nanoscience</w:t>
      </w:r>
      <w:r w:rsidR="005853A9">
        <w:t xml:space="preserve"> and </w:t>
      </w:r>
      <w:r w:rsidRPr="001A3D2B">
        <w:t>nanotechnology research was examined. About 65000 nanotechnology records for 2005 were retrieved from</w:t>
      </w:r>
      <w:r w:rsidR="003A1917">
        <w:t xml:space="preserve"> the </w:t>
      </w:r>
      <w:r w:rsidRPr="001A3D2B">
        <w:t>Science Citation Index/Social Science Citation Index (SCI/</w:t>
      </w:r>
      <w:r w:rsidR="00D5664A">
        <w:t>SSCI</w:t>
      </w:r>
      <w:r w:rsidRPr="001A3D2B">
        <w:t>) [1],</w:t>
      </w:r>
      <w:r w:rsidR="005853A9">
        <w:t xml:space="preserve"> and </w:t>
      </w:r>
      <w:r w:rsidRPr="001A3D2B">
        <w:t>similar to 27000</w:t>
      </w:r>
      <w:r w:rsidR="00427468">
        <w:t xml:space="preserve"> of </w:t>
      </w:r>
      <w:r w:rsidRPr="001A3D2B">
        <w:t>those were identified as instrumentation-related. All</w:t>
      </w:r>
      <w:r w:rsidR="003A1917">
        <w:t xml:space="preserve"> the </w:t>
      </w:r>
      <w:r w:rsidRPr="001A3D2B">
        <w:t>diverse instruments were identified,</w:t>
      </w:r>
      <w:r w:rsidR="005853A9">
        <w:t xml:space="preserve"> and </w:t>
      </w:r>
      <w:r w:rsidR="003A1917">
        <w:t xml:space="preserve">the </w:t>
      </w:r>
      <w:r w:rsidRPr="001A3D2B">
        <w:t>relationships among</w:t>
      </w:r>
      <w:r w:rsidR="003A1917">
        <w:t xml:space="preserve"> the </w:t>
      </w:r>
      <w:r w:rsidRPr="001A3D2B">
        <w:t>instruments,</w:t>
      </w:r>
      <w:r w:rsidR="005853A9">
        <w:t xml:space="preserve"> and </w:t>
      </w:r>
      <w:r w:rsidRPr="001A3D2B">
        <w:t>among</w:t>
      </w:r>
      <w:r w:rsidR="003A1917">
        <w:t xml:space="preserve"> the </w:t>
      </w:r>
      <w:r w:rsidRPr="001A3D2B">
        <w:t>instruments</w:t>
      </w:r>
      <w:r w:rsidR="005853A9">
        <w:t xml:space="preserve"> and </w:t>
      </w:r>
      <w:r w:rsidR="003A1917">
        <w:t xml:space="preserve">the </w:t>
      </w:r>
      <w:r w:rsidRPr="001A3D2B">
        <w:t>quantities they measure, were obtained. Metrics associated with research literatures for specific instruments/instrument groups were generated.</w:t>
      </w:r>
    </w:p>
    <w:p w:rsidR="003474F2" w:rsidRPr="001A3D2B" w:rsidRDefault="003474F2" w:rsidP="003474F2">
      <w:pPr>
        <w:pStyle w:val="a3"/>
      </w:pPr>
      <w:r w:rsidRPr="001A3D2B">
        <w:t>Keywords: Afm, Bibliometrics, Database Tomography, Discovery, Groups, Information Technology, Instrumentation, Nanoscience, Nanotechnology, Research, Science Citation Index, Science-and-Technology, SEM, Social Science Citation Index, STM, TEM, Text Mining, XRD</w:t>
      </w:r>
    </w:p>
    <w:p w:rsidR="00A20347" w:rsidRPr="001A3D2B" w:rsidRDefault="00A20347" w:rsidP="00A20347">
      <w:pPr>
        <w:pStyle w:val="1"/>
      </w:pPr>
      <w:r w:rsidRPr="001A3D2B">
        <w:br w:type="page"/>
      </w:r>
      <w:bookmarkStart w:id="480" w:name="_Toc420815158"/>
      <w:r w:rsidRPr="001A3D2B">
        <w:lastRenderedPageBreak/>
        <w:t xml:space="preserve">Title: </w:t>
      </w:r>
      <w:r w:rsidRPr="00A20347">
        <w:t>Current Neuropharmacology</w:t>
      </w:r>
      <w:bookmarkEnd w:id="480"/>
    </w:p>
    <w:p w:rsidR="00A20347" w:rsidRPr="001A3D2B" w:rsidRDefault="00A20347" w:rsidP="00A20347">
      <w:pPr>
        <w:pStyle w:val="12"/>
      </w:pPr>
      <w:r w:rsidRPr="001A3D2B">
        <w:t xml:space="preserve">Full Journal Title: </w:t>
      </w:r>
      <w:r w:rsidRPr="00A20347">
        <w:rPr>
          <w:iCs/>
          <w:kern w:val="0"/>
        </w:rPr>
        <w:t>Current Neuropharmacology</w:t>
      </w:r>
    </w:p>
    <w:p w:rsidR="00A20347" w:rsidRPr="001A3D2B" w:rsidRDefault="00A20347" w:rsidP="00A20347">
      <w:pPr>
        <w:pStyle w:val="12"/>
      </w:pPr>
      <w:r w:rsidRPr="001A3D2B">
        <w:t xml:space="preserve">ISO Abbreviated Title: </w:t>
      </w:r>
    </w:p>
    <w:p w:rsidR="00A20347" w:rsidRPr="001A3D2B" w:rsidRDefault="00A20347" w:rsidP="00A20347">
      <w:pPr>
        <w:pStyle w:val="12"/>
      </w:pPr>
      <w:r w:rsidRPr="001A3D2B">
        <w:t xml:space="preserve">JCR Abbreviated Title: </w:t>
      </w:r>
    </w:p>
    <w:p w:rsidR="00A20347" w:rsidRPr="001A3D2B" w:rsidRDefault="00A20347" w:rsidP="00A20347">
      <w:pPr>
        <w:pStyle w:val="12"/>
      </w:pPr>
      <w:r w:rsidRPr="001A3D2B">
        <w:t xml:space="preserve">ISSN: </w:t>
      </w:r>
    </w:p>
    <w:p w:rsidR="00A20347" w:rsidRPr="001A3D2B" w:rsidRDefault="00A20347" w:rsidP="00A20347">
      <w:pPr>
        <w:pStyle w:val="12"/>
      </w:pPr>
      <w:r w:rsidRPr="001A3D2B">
        <w:t xml:space="preserve">Issues/Year: </w:t>
      </w:r>
    </w:p>
    <w:p w:rsidR="00A20347" w:rsidRPr="001A3D2B" w:rsidRDefault="00A20347" w:rsidP="00A20347">
      <w:pPr>
        <w:pStyle w:val="12"/>
      </w:pPr>
      <w:r w:rsidRPr="001A3D2B">
        <w:t xml:space="preserve">Journal Country/Territory: </w:t>
      </w:r>
    </w:p>
    <w:p w:rsidR="00A20347" w:rsidRPr="001A3D2B" w:rsidRDefault="00A20347" w:rsidP="00A20347">
      <w:pPr>
        <w:pStyle w:val="12"/>
      </w:pPr>
      <w:r w:rsidRPr="001A3D2B">
        <w:t xml:space="preserve">Language: </w:t>
      </w:r>
    </w:p>
    <w:p w:rsidR="00A20347" w:rsidRPr="001A3D2B" w:rsidRDefault="00A20347" w:rsidP="00A20347">
      <w:pPr>
        <w:pStyle w:val="12"/>
      </w:pPr>
      <w:r w:rsidRPr="001A3D2B">
        <w:t xml:space="preserve">Publisher: </w:t>
      </w:r>
    </w:p>
    <w:p w:rsidR="00A20347" w:rsidRPr="001A3D2B" w:rsidRDefault="00A20347" w:rsidP="00A20347">
      <w:pPr>
        <w:pStyle w:val="12"/>
      </w:pPr>
      <w:r w:rsidRPr="001A3D2B">
        <w:t xml:space="preserve">Publisher Address: </w:t>
      </w:r>
    </w:p>
    <w:p w:rsidR="00A20347" w:rsidRPr="001A3D2B" w:rsidRDefault="00A20347" w:rsidP="00A20347">
      <w:pPr>
        <w:pStyle w:val="12"/>
      </w:pPr>
      <w:r w:rsidRPr="001A3D2B">
        <w:t>Subject Categories:</w:t>
      </w:r>
    </w:p>
    <w:p w:rsidR="00A20347" w:rsidRDefault="00A20347" w:rsidP="00A20347">
      <w:pPr>
        <w:pStyle w:val="12"/>
      </w:pPr>
      <w:r>
        <w:t>: Impact Factor</w:t>
      </w:r>
    </w:p>
    <w:p w:rsidR="00A20347" w:rsidRDefault="00A20347" w:rsidP="00A20347">
      <w:pPr>
        <w:pStyle w:val="a3"/>
        <w:rPr>
          <w:kern w:val="0"/>
        </w:rPr>
      </w:pPr>
      <w:r>
        <w:rPr>
          <w:rFonts w:hint="eastAsia"/>
          <w:kern w:val="0"/>
        </w:rPr>
        <w:t xml:space="preserve">? </w:t>
      </w:r>
      <w:r>
        <w:rPr>
          <w:kern w:val="0"/>
        </w:rPr>
        <w:t>Fornaro, M., Prestia, D., Colicchio, S.</w:t>
      </w:r>
      <w:r w:rsidR="005853A9">
        <w:rPr>
          <w:kern w:val="0"/>
        </w:rPr>
        <w:t xml:space="preserve"> and </w:t>
      </w:r>
      <w:r>
        <w:rPr>
          <w:kern w:val="0"/>
        </w:rPr>
        <w:t>Perugi, G. (2010), A systematic, updated review on</w:t>
      </w:r>
      <w:r w:rsidR="003A1917">
        <w:rPr>
          <w:kern w:val="0"/>
        </w:rPr>
        <w:t xml:space="preserve"> the </w:t>
      </w:r>
      <w:r>
        <w:rPr>
          <w:kern w:val="0"/>
        </w:rPr>
        <w:t xml:space="preserve">antidepressant agomelatine focusing on its melatonergic modulation. </w:t>
      </w:r>
      <w:r w:rsidRPr="00A20347">
        <w:rPr>
          <w:i/>
          <w:iCs/>
          <w:kern w:val="0"/>
        </w:rPr>
        <w:t>Current Neuropharmacology</w:t>
      </w:r>
      <w:r>
        <w:rPr>
          <w:kern w:val="0"/>
        </w:rPr>
        <w:t xml:space="preserve">, </w:t>
      </w:r>
      <w:r>
        <w:rPr>
          <w:b/>
          <w:bCs/>
          <w:kern w:val="0"/>
        </w:rPr>
        <w:t>8</w:t>
      </w:r>
      <w:r>
        <w:rPr>
          <w:kern w:val="0"/>
        </w:rPr>
        <w:t xml:space="preserve"> (3), 287-304.</w:t>
      </w:r>
    </w:p>
    <w:p w:rsidR="007E7346" w:rsidRDefault="007E7346" w:rsidP="007E7346">
      <w:pPr>
        <w:pStyle w:val="a3"/>
        <w:rPr>
          <w:kern w:val="0"/>
        </w:rPr>
      </w:pPr>
      <w:r>
        <w:rPr>
          <w:rFonts w:hint="eastAsia"/>
          <w:kern w:val="0"/>
        </w:rPr>
        <w:t xml:space="preserve">Full Text: </w:t>
      </w:r>
      <w:hyperlink r:id="rId1126" w:history="1">
        <w:r w:rsidRPr="007E7346">
          <w:rPr>
            <w:rStyle w:val="a5"/>
            <w:kern w:val="0"/>
          </w:rPr>
          <w:t>2010\Cur Neu8, 287.pdf</w:t>
        </w:r>
      </w:hyperlink>
    </w:p>
    <w:p w:rsidR="00A20347" w:rsidRDefault="00A20347" w:rsidP="00A20347">
      <w:pPr>
        <w:pStyle w:val="a3"/>
        <w:rPr>
          <w:kern w:val="0"/>
        </w:rPr>
      </w:pPr>
      <w:r>
        <w:rPr>
          <w:kern w:val="0"/>
        </w:rPr>
        <w:t>Abstract: Objective: To present an updated, comprehensive review on clinical</w:t>
      </w:r>
      <w:r w:rsidR="005853A9">
        <w:rPr>
          <w:kern w:val="0"/>
        </w:rPr>
        <w:t xml:space="preserve"> and </w:t>
      </w:r>
      <w:r>
        <w:rPr>
          <w:kern w:val="0"/>
        </w:rPr>
        <w:t xml:space="preserve">pre-clinical studies on agomelatine. Method: A </w:t>
      </w:r>
      <w:r w:rsidR="00D5664A">
        <w:rPr>
          <w:kern w:val="0"/>
        </w:rPr>
        <w:t>MEDLINE</w:t>
      </w:r>
      <w:r>
        <w:rPr>
          <w:kern w:val="0"/>
        </w:rPr>
        <w:t>, Psycinfo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search (1966-May 2009) was performed using</w:t>
      </w:r>
      <w:r w:rsidR="003A1917">
        <w:rPr>
          <w:kern w:val="0"/>
        </w:rPr>
        <w:t xml:space="preserve"> the </w:t>
      </w:r>
      <w:r>
        <w:rPr>
          <w:kern w:val="0"/>
        </w:rPr>
        <w:t>following keywords: agomelatine, melatonin, S20098, efficacy, safety, adverse effect, pharmacokinetic, pharmacodynamic, major depressive disorder, bipolar disorder, Seasonal Affective Disorder (SAD), Alzheimer, ADHD, Generalized Anxiety Disorder (GAD), Panic Disorder (PD), Obsessive-Compulsive Disorder (OCD), anxiety disorders</w:t>
      </w:r>
      <w:r w:rsidR="005853A9">
        <w:rPr>
          <w:kern w:val="0"/>
        </w:rPr>
        <w:t xml:space="preserve"> and </w:t>
      </w:r>
      <w:r>
        <w:rPr>
          <w:kern w:val="0"/>
        </w:rPr>
        <w:t>mood disorder. Study collection</w:t>
      </w:r>
      <w:r w:rsidR="005853A9">
        <w:rPr>
          <w:kern w:val="0"/>
        </w:rPr>
        <w:t xml:space="preserve"> and </w:t>
      </w:r>
      <w:r>
        <w:rPr>
          <w:kern w:val="0"/>
        </w:rPr>
        <w:t>data extraction: All articles in English identified by</w:t>
      </w:r>
      <w:r w:rsidR="003A1917">
        <w:rPr>
          <w:kern w:val="0"/>
        </w:rPr>
        <w:t xml:space="preserve"> the </w:t>
      </w:r>
      <w:r>
        <w:rPr>
          <w:kern w:val="0"/>
        </w:rPr>
        <w:t>data sources were evaluated. Randomized, controlled clinical trials involving humans were prioritized in</w:t>
      </w:r>
      <w:r w:rsidR="003A1917">
        <w:rPr>
          <w:kern w:val="0"/>
        </w:rPr>
        <w:t xml:space="preserve"> the </w:t>
      </w:r>
      <w:r>
        <w:rPr>
          <w:kern w:val="0"/>
        </w:rPr>
        <w:t>review</w:t>
      </w:r>
      <w:r w:rsidR="00A37C1D">
        <w:rPr>
          <w:kern w:val="0"/>
        </w:rPr>
        <w:t>. The</w:t>
      </w:r>
      <w:r w:rsidR="003A1917">
        <w:rPr>
          <w:kern w:val="0"/>
        </w:rPr>
        <w:t xml:space="preserve"> </w:t>
      </w:r>
      <w:r>
        <w:rPr>
          <w:kern w:val="0"/>
        </w:rPr>
        <w:t>physiological bases</w:t>
      </w:r>
      <w:r w:rsidR="00427468">
        <w:rPr>
          <w:kern w:val="0"/>
        </w:rPr>
        <w:t xml:space="preserve"> of </w:t>
      </w:r>
      <w:r>
        <w:rPr>
          <w:kern w:val="0"/>
        </w:rPr>
        <w:t>melatonergic transmission were also examined to deepen</w:t>
      </w:r>
      <w:r w:rsidR="003A1917">
        <w:rPr>
          <w:kern w:val="0"/>
        </w:rPr>
        <w:t xml:space="preserve"> the </w:t>
      </w:r>
      <w:r>
        <w:rPr>
          <w:kern w:val="0"/>
        </w:rPr>
        <w:t>clinical comprehension</w:t>
      </w:r>
      <w:r w:rsidR="00427468">
        <w:rPr>
          <w:kern w:val="0"/>
        </w:rPr>
        <w:t xml:space="preserve"> of </w:t>
      </w:r>
      <w:r>
        <w:rPr>
          <w:kern w:val="0"/>
        </w:rPr>
        <w:t>agomelatine</w:t>
      </w:r>
      <w:r w:rsidR="0071223E">
        <w:rPr>
          <w:kern w:val="0"/>
        </w:rPr>
        <w:t>’</w:t>
      </w:r>
      <w:r>
        <w:rPr>
          <w:kern w:val="0"/>
        </w:rPr>
        <w:t xml:space="preserve"> melatonergic modulation. Data synthesis: Agomelatine, a melatonergic analogue drug acting as MT(1)/MT(2) agonist</w:t>
      </w:r>
      <w:r w:rsidR="005853A9">
        <w:rPr>
          <w:kern w:val="0"/>
        </w:rPr>
        <w:t xml:space="preserve"> and </w:t>
      </w:r>
      <w:r>
        <w:rPr>
          <w:kern w:val="0"/>
        </w:rPr>
        <w:t>5-HT(2C) antagonist, has been reported to be an effective antidepressant therapy. Conclusions: Although a bias in properly assessing</w:t>
      </w:r>
      <w:r w:rsidR="003A1917">
        <w:rPr>
          <w:kern w:val="0"/>
        </w:rPr>
        <w:t xml:space="preserve"> the </w:t>
      </w:r>
      <w:r w:rsidR="00B5188C">
        <w:rPr>
          <w:kern w:val="0"/>
        </w:rPr>
        <w:t>“</w:t>
      </w:r>
      <w:r>
        <w:rPr>
          <w:kern w:val="0"/>
        </w:rPr>
        <w:t>sleep core</w:t>
      </w:r>
      <w:r w:rsidR="00B5188C">
        <w:rPr>
          <w:kern w:val="0"/>
        </w:rPr>
        <w:t>”</w:t>
      </w:r>
      <w:r w:rsidR="00427468">
        <w:rPr>
          <w:kern w:val="0"/>
        </w:rPr>
        <w:t xml:space="preserve"> of </w:t>
      </w:r>
      <w:r>
        <w:rPr>
          <w:kern w:val="0"/>
        </w:rPr>
        <w:t>depression may still exist with current screening instruments, therefore making difficult to compare agomelatine</w:t>
      </w:r>
      <w:r w:rsidR="0071223E">
        <w:rPr>
          <w:kern w:val="0"/>
        </w:rPr>
        <w:t>’</w:t>
      </w:r>
      <w:r>
        <w:rPr>
          <w:kern w:val="0"/>
        </w:rPr>
        <w:t xml:space="preserve"> efficacy to other antidepressant ones, comparative studies showed agomelatine to be an intriguing option for depression and, potentially, for other therapeutic targets as well.</w:t>
      </w:r>
    </w:p>
    <w:p w:rsidR="00A20347" w:rsidRDefault="00A20347" w:rsidP="00A20347">
      <w:pPr>
        <w:pStyle w:val="a3"/>
        <w:rPr>
          <w:kern w:val="0"/>
        </w:rPr>
      </w:pPr>
      <w:r>
        <w:rPr>
          <w:kern w:val="0"/>
        </w:rPr>
        <w:t xml:space="preserve">Keywords: Agomelatine, Alzheimer, Anxiety, Bias, Bipolar Disorder, Circadian-Rhythms, Clinical Trials, Cognition, Controlled Clinical Trials, Depression, Discontinuation Symptoms, Disorder, Double-Blind, Drug, Efficacy, </w:t>
      </w:r>
      <w:r>
        <w:rPr>
          <w:kern w:val="0"/>
        </w:rPr>
        <w:lastRenderedPageBreak/>
        <w:t xml:space="preserve">Generalized Anxiety Disorder, Humans, Major Depressive Disorder, </w:t>
      </w:r>
      <w:r w:rsidR="00D5664A">
        <w:rPr>
          <w:kern w:val="0"/>
        </w:rPr>
        <w:t>MEDLINE</w:t>
      </w:r>
      <w:r>
        <w:rPr>
          <w:kern w:val="0"/>
        </w:rPr>
        <w:t xml:space="preserve">, Melatonin, Mild Stress Model, Mood, OCD, Placebo-Controlled-Trial, Review, Sad, Safety, Science, Screening, Seasonal Affective-Disorder, Serotonin-Reuptake Inhibitors, Systematic, Therapy, </w:t>
      </w:r>
      <w:r w:rsidR="00D5664A">
        <w:rPr>
          <w:kern w:val="0"/>
        </w:rPr>
        <w:t>Web</w:t>
      </w:r>
      <w:r w:rsidR="00427468">
        <w:rPr>
          <w:kern w:val="0"/>
        </w:rPr>
        <w:t xml:space="preserve"> of </w:t>
      </w:r>
      <w:r w:rsidR="00D5664A">
        <w:rPr>
          <w:kern w:val="0"/>
        </w:rPr>
        <w:t>Science</w:t>
      </w:r>
      <w:r>
        <w:rPr>
          <w:kern w:val="0"/>
        </w:rPr>
        <w:t>, Weekly Symptomatic Status</w:t>
      </w:r>
    </w:p>
    <w:p w:rsidR="002B1193" w:rsidRDefault="002B1193" w:rsidP="002B1193">
      <w:pPr>
        <w:pStyle w:val="a3"/>
        <w:rPr>
          <w:kern w:val="0"/>
        </w:rPr>
      </w:pPr>
      <w:r>
        <w:rPr>
          <w:rFonts w:hint="eastAsia"/>
          <w:kern w:val="0"/>
        </w:rPr>
        <w:t xml:space="preserve">? </w:t>
      </w:r>
      <w:r>
        <w:rPr>
          <w:kern w:val="0"/>
        </w:rPr>
        <w:t>Boskovic, M., Vovk, T., Plesnicar, B.K.</w:t>
      </w:r>
      <w:r w:rsidR="005853A9">
        <w:rPr>
          <w:kern w:val="0"/>
        </w:rPr>
        <w:t xml:space="preserve"> and </w:t>
      </w:r>
      <w:r>
        <w:rPr>
          <w:kern w:val="0"/>
        </w:rPr>
        <w:t xml:space="preserve">Grabnar, I. (2011), Oxidative stress in schizophrenia. </w:t>
      </w:r>
      <w:r>
        <w:rPr>
          <w:i/>
          <w:iCs/>
          <w:kern w:val="0"/>
        </w:rPr>
        <w:t>Current Neuropharmacology</w:t>
      </w:r>
      <w:r>
        <w:rPr>
          <w:kern w:val="0"/>
        </w:rPr>
        <w:t xml:space="preserve">, </w:t>
      </w:r>
      <w:r>
        <w:rPr>
          <w:b/>
          <w:bCs/>
          <w:kern w:val="0"/>
        </w:rPr>
        <w:t>9</w:t>
      </w:r>
      <w:r>
        <w:rPr>
          <w:kern w:val="0"/>
        </w:rPr>
        <w:t xml:space="preserve"> (2), 301-312.</w:t>
      </w:r>
    </w:p>
    <w:p w:rsidR="002B1193" w:rsidRDefault="002B1193" w:rsidP="002B1193">
      <w:pPr>
        <w:pStyle w:val="a3"/>
        <w:rPr>
          <w:kern w:val="0"/>
        </w:rPr>
      </w:pPr>
      <w:r>
        <w:rPr>
          <w:rFonts w:hint="eastAsia"/>
          <w:kern w:val="0"/>
        </w:rPr>
        <w:t>Full Text: 2011\</w:t>
      </w:r>
      <w:r>
        <w:rPr>
          <w:iCs/>
          <w:kern w:val="0"/>
        </w:rPr>
        <w:t>Cur Neu</w:t>
      </w:r>
      <w:r w:rsidRPr="002B1193">
        <w:rPr>
          <w:bCs/>
          <w:kern w:val="0"/>
        </w:rPr>
        <w:t>9</w:t>
      </w:r>
      <w:r>
        <w:rPr>
          <w:kern w:val="0"/>
        </w:rPr>
        <w:t>, 301</w:t>
      </w:r>
      <w:r>
        <w:rPr>
          <w:rFonts w:hint="eastAsia"/>
          <w:kern w:val="0"/>
        </w:rPr>
        <w:t>.pdf</w:t>
      </w:r>
    </w:p>
    <w:p w:rsidR="002B1193" w:rsidRDefault="002B1193" w:rsidP="002B1193">
      <w:pPr>
        <w:pStyle w:val="a3"/>
        <w:rPr>
          <w:kern w:val="0"/>
        </w:rPr>
      </w:pPr>
      <w:r>
        <w:rPr>
          <w:kern w:val="0"/>
        </w:rPr>
        <w:t>Abstract: Increasing evidence indicates that oxidative damage exists in schizophrenia. Available literature about possible mechanisms</w:t>
      </w:r>
      <w:r w:rsidR="00427468">
        <w:rPr>
          <w:kern w:val="0"/>
        </w:rPr>
        <w:t xml:space="preserve"> of </w:t>
      </w:r>
      <w:r>
        <w:rPr>
          <w:kern w:val="0"/>
        </w:rPr>
        <w:t>oxidative stress induction was reviewed. Furthermore, possibilities</w:t>
      </w:r>
      <w:r w:rsidR="00427468">
        <w:rPr>
          <w:kern w:val="0"/>
        </w:rPr>
        <w:t xml:space="preserve"> of </w:t>
      </w:r>
      <w:r>
        <w:rPr>
          <w:kern w:val="0"/>
        </w:rPr>
        <w:t>measuring biomarkers</w:t>
      </w:r>
      <w:r w:rsidR="00427468">
        <w:rPr>
          <w:kern w:val="0"/>
        </w:rPr>
        <w:t xml:space="preserve"> of </w:t>
      </w:r>
      <w:r>
        <w:rPr>
          <w:kern w:val="0"/>
        </w:rPr>
        <w:t>schizophrenia outside</w:t>
      </w:r>
      <w:r w:rsidR="003A1917">
        <w:rPr>
          <w:kern w:val="0"/>
        </w:rPr>
        <w:t xml:space="preserve"> the </w:t>
      </w:r>
      <w:r>
        <w:rPr>
          <w:kern w:val="0"/>
        </w:rPr>
        <w:t>central nervous system compartment, their specificity for different types</w:t>
      </w:r>
      <w:r w:rsidR="00427468">
        <w:rPr>
          <w:kern w:val="0"/>
        </w:rPr>
        <w:t xml:space="preserve"> of </w:t>
      </w:r>
      <w:r>
        <w:rPr>
          <w:kern w:val="0"/>
        </w:rPr>
        <w:t>schizophrenia</w:t>
      </w:r>
      <w:r w:rsidR="005853A9">
        <w:rPr>
          <w:kern w:val="0"/>
        </w:rPr>
        <w:t xml:space="preserve"> and </w:t>
      </w:r>
      <w:r>
        <w:rPr>
          <w:kern w:val="0"/>
        </w:rPr>
        <w:t xml:space="preserve">potential therapeutic strategies to prevent oxidative injuries in schizophrenia were discussed. Data were extracted from published literature found in </w:t>
      </w:r>
      <w:r w:rsidR="00D5664A">
        <w:rPr>
          <w:kern w:val="0"/>
        </w:rPr>
        <w:t>MEDLINE</w:t>
      </w:r>
      <w:r>
        <w:rPr>
          <w:kern w:val="0"/>
        </w:rPr>
        <w:t>, Embase, Biosis, Cochrane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together with hand search</w:t>
      </w:r>
      <w:r w:rsidR="00427468">
        <w:rPr>
          <w:kern w:val="0"/>
        </w:rPr>
        <w:t xml:space="preserve"> of </w:t>
      </w:r>
      <w:r>
        <w:rPr>
          <w:kern w:val="0"/>
        </w:rPr>
        <w:t>references. Search terms were: schizophrenia, oxidative stress, antipsychotics, antioxidants</w:t>
      </w:r>
      <w:r w:rsidR="005853A9">
        <w:rPr>
          <w:kern w:val="0"/>
        </w:rPr>
        <w:t xml:space="preserve"> and </w:t>
      </w:r>
      <w:r>
        <w:rPr>
          <w:kern w:val="0"/>
        </w:rPr>
        <w:t>fatty acids. Finding a sensitive, specific</w:t>
      </w:r>
      <w:r w:rsidR="005853A9">
        <w:rPr>
          <w:kern w:val="0"/>
        </w:rPr>
        <w:t xml:space="preserve"> and </w:t>
      </w:r>
      <w:r>
        <w:rPr>
          <w:kern w:val="0"/>
        </w:rPr>
        <w:t>non invasive biomarker</w:t>
      </w:r>
      <w:r w:rsidR="00427468">
        <w:rPr>
          <w:kern w:val="0"/>
        </w:rPr>
        <w:t xml:space="preserve"> of </w:t>
      </w:r>
      <w:r>
        <w:rPr>
          <w:kern w:val="0"/>
        </w:rPr>
        <w:t>schizophrenia, which could be measured in peripheral tissue, still stays an important task. Antioxidant enzymes, markers</w:t>
      </w:r>
      <w:r w:rsidR="00427468">
        <w:rPr>
          <w:kern w:val="0"/>
        </w:rPr>
        <w:t xml:space="preserve"> of </w:t>
      </w:r>
      <w:r>
        <w:rPr>
          <w:kern w:val="0"/>
        </w:rPr>
        <w:t>lipid peroxidation, oxidatively modified proteins</w:t>
      </w:r>
      <w:r w:rsidR="005853A9">
        <w:rPr>
          <w:kern w:val="0"/>
        </w:rPr>
        <w:t xml:space="preserve"> and </w:t>
      </w:r>
      <w:r>
        <w:rPr>
          <w:kern w:val="0"/>
        </w:rPr>
        <w:t>DNA are most commonly used. As it considers</w:t>
      </w:r>
      <w:r w:rsidR="003A1917">
        <w:rPr>
          <w:kern w:val="0"/>
        </w:rPr>
        <w:t xml:space="preserve"> the </w:t>
      </w:r>
      <w:r>
        <w:rPr>
          <w:kern w:val="0"/>
        </w:rPr>
        <w:t>supplemental therapy, according to our meta-analysis vitamin E could potentially improve tardive dyskinesia, while for</w:t>
      </w:r>
      <w:r w:rsidR="003A1917">
        <w:rPr>
          <w:kern w:val="0"/>
        </w:rPr>
        <w:t xml:space="preserve"> the </w:t>
      </w:r>
      <w:r>
        <w:rPr>
          <w:kern w:val="0"/>
        </w:rPr>
        <w:t>effect</w:t>
      </w:r>
      <w:r w:rsidR="00427468">
        <w:rPr>
          <w:kern w:val="0"/>
        </w:rPr>
        <w:t xml:space="preserve"> of </w:t>
      </w:r>
      <w:r>
        <w:rPr>
          <w:kern w:val="0"/>
        </w:rPr>
        <w:t>therapy with polyunsaturated fatty acids there is no clear evidence. Oxidative stress is a part</w:t>
      </w:r>
      <w:r w:rsidR="00427468">
        <w:rPr>
          <w:kern w:val="0"/>
        </w:rPr>
        <w:t xml:space="preserve"> of </w:t>
      </w:r>
      <w:r w:rsidR="003A1917">
        <w:rPr>
          <w:kern w:val="0"/>
        </w:rPr>
        <w:t xml:space="preserve">the </w:t>
      </w:r>
      <w:r>
        <w:rPr>
          <w:kern w:val="0"/>
        </w:rPr>
        <w:t>pathology in schizophrenia</w:t>
      </w:r>
      <w:r w:rsidR="005853A9">
        <w:rPr>
          <w:kern w:val="0"/>
        </w:rPr>
        <w:t xml:space="preserve"> and </w:t>
      </w:r>
      <w:r>
        <w:rPr>
          <w:kern w:val="0"/>
        </w:rPr>
        <w:t>appears as a promising field to develop new therapeutic strategies</w:t>
      </w:r>
      <w:r w:rsidR="00A37C1D">
        <w:rPr>
          <w:kern w:val="0"/>
        </w:rPr>
        <w:t>. The</w:t>
      </w:r>
      <w:r>
        <w:rPr>
          <w:kern w:val="0"/>
        </w:rPr>
        <w:t>re is a need for well designed, placebo controlled trials with supplementation therapy in schizophrenia.</w:t>
      </w:r>
    </w:p>
    <w:p w:rsidR="002B1193" w:rsidRDefault="002B1193" w:rsidP="002B1193">
      <w:pPr>
        <w:pStyle w:val="a3"/>
        <w:rPr>
          <w:kern w:val="0"/>
        </w:rPr>
      </w:pPr>
      <w:r>
        <w:rPr>
          <w:kern w:val="0"/>
        </w:rPr>
        <w:t xml:space="preserve">Keywords: Antioxidant Enzyme Levels, Antioxidants, Antipsychotics, Biochemical Markers, Biomarkers, Cochrane, DNA, Double-Blind, Essential Fatty-Acids, Ethyl-Eicosapentaenoic Acid, Fatty Acids, Hand, Lipid, Literature, Mechanisms, </w:t>
      </w:r>
      <w:r w:rsidR="00D5664A">
        <w:rPr>
          <w:kern w:val="0"/>
        </w:rPr>
        <w:t>MEDLINE</w:t>
      </w:r>
      <w:r>
        <w:rPr>
          <w:kern w:val="0"/>
        </w:rPr>
        <w:t xml:space="preserve">, Meta Analysis, Meta-Analysis, Modified, N-Acetyl-Cysteine, Nitric-Oxide, Oxidative Stress, Pathology, Placebo-Controlled Trial, Polyunsaturated Fatty Acids, Schizophrenia, Science, Specificity, Stress, Superoxide-Dismutase, Tardive Dyskinesia, Tardive-Dyskinesia, Therapy, Vitamin E, Vitamin-E Treatment, </w:t>
      </w:r>
      <w:r w:rsidR="00D5664A">
        <w:rPr>
          <w:kern w:val="0"/>
        </w:rPr>
        <w:t>Web</w:t>
      </w:r>
      <w:r w:rsidR="00427468">
        <w:rPr>
          <w:kern w:val="0"/>
        </w:rPr>
        <w:t xml:space="preserve"> of </w:t>
      </w:r>
      <w:r w:rsidR="00D5664A">
        <w:rPr>
          <w:kern w:val="0"/>
        </w:rPr>
        <w:t>Science</w:t>
      </w:r>
    </w:p>
    <w:p w:rsidR="00AD2480" w:rsidRDefault="00AD2480" w:rsidP="00AD2480">
      <w:pPr>
        <w:pStyle w:val="a3"/>
        <w:rPr>
          <w:kern w:val="0"/>
        </w:rPr>
      </w:pPr>
      <w:r>
        <w:rPr>
          <w:rFonts w:hint="eastAsia"/>
          <w:kern w:val="0"/>
        </w:rPr>
        <w:t xml:space="preserve">? </w:t>
      </w:r>
      <w:r>
        <w:rPr>
          <w:kern w:val="0"/>
        </w:rPr>
        <w:t>Boskovic, M., Vovk, T., Plesnicar, B.K.</w:t>
      </w:r>
      <w:r w:rsidR="005853A9">
        <w:rPr>
          <w:kern w:val="0"/>
        </w:rPr>
        <w:t xml:space="preserve"> and </w:t>
      </w:r>
      <w:r>
        <w:rPr>
          <w:kern w:val="0"/>
        </w:rPr>
        <w:t xml:space="preserve">Grabnar, I. (2011), Oxidative stress in schizophrenia. </w:t>
      </w:r>
      <w:r>
        <w:rPr>
          <w:i/>
          <w:iCs/>
          <w:kern w:val="0"/>
        </w:rPr>
        <w:t>Current Neuropharmacology</w:t>
      </w:r>
      <w:r>
        <w:rPr>
          <w:kern w:val="0"/>
        </w:rPr>
        <w:t xml:space="preserve">, </w:t>
      </w:r>
      <w:r>
        <w:rPr>
          <w:b/>
          <w:bCs/>
          <w:kern w:val="0"/>
        </w:rPr>
        <w:t>9</w:t>
      </w:r>
      <w:r>
        <w:rPr>
          <w:kern w:val="0"/>
        </w:rPr>
        <w:t xml:space="preserve"> (2), 301-312.</w:t>
      </w:r>
    </w:p>
    <w:p w:rsidR="00AD2480" w:rsidRDefault="00AD2480" w:rsidP="00AD2480">
      <w:pPr>
        <w:pStyle w:val="a3"/>
        <w:rPr>
          <w:kern w:val="0"/>
        </w:rPr>
      </w:pPr>
      <w:r>
        <w:rPr>
          <w:rFonts w:hint="eastAsia"/>
          <w:kern w:val="0"/>
        </w:rPr>
        <w:t>Full Text: 2011\</w:t>
      </w:r>
      <w:r>
        <w:rPr>
          <w:iCs/>
          <w:kern w:val="0"/>
        </w:rPr>
        <w:t>Cur Neu</w:t>
      </w:r>
      <w:r w:rsidRPr="002B1193">
        <w:rPr>
          <w:bCs/>
          <w:kern w:val="0"/>
        </w:rPr>
        <w:t>9</w:t>
      </w:r>
      <w:r>
        <w:rPr>
          <w:kern w:val="0"/>
        </w:rPr>
        <w:t>, 301</w:t>
      </w:r>
      <w:r>
        <w:rPr>
          <w:rFonts w:hint="eastAsia"/>
          <w:kern w:val="0"/>
        </w:rPr>
        <w:t>.pdf</w:t>
      </w:r>
    </w:p>
    <w:p w:rsidR="00AD2480" w:rsidRDefault="00AD2480" w:rsidP="00AD2480">
      <w:pPr>
        <w:pStyle w:val="a3"/>
        <w:rPr>
          <w:kern w:val="0"/>
        </w:rPr>
      </w:pPr>
      <w:r>
        <w:rPr>
          <w:kern w:val="0"/>
        </w:rPr>
        <w:t>Abstract: Increasing evidence indicates that oxidative damage exists in schizophrenia. Available literature about possible mechanisms</w:t>
      </w:r>
      <w:r w:rsidR="00427468">
        <w:rPr>
          <w:kern w:val="0"/>
        </w:rPr>
        <w:t xml:space="preserve"> of </w:t>
      </w:r>
      <w:r>
        <w:rPr>
          <w:kern w:val="0"/>
        </w:rPr>
        <w:t>oxidative stress induction was reviewed. Furthermore, possibilities</w:t>
      </w:r>
      <w:r w:rsidR="00427468">
        <w:rPr>
          <w:kern w:val="0"/>
        </w:rPr>
        <w:t xml:space="preserve"> of </w:t>
      </w:r>
      <w:r>
        <w:rPr>
          <w:kern w:val="0"/>
        </w:rPr>
        <w:t>measuring biomarkers</w:t>
      </w:r>
      <w:r w:rsidR="00427468">
        <w:rPr>
          <w:kern w:val="0"/>
        </w:rPr>
        <w:t xml:space="preserve"> of </w:t>
      </w:r>
      <w:r>
        <w:rPr>
          <w:kern w:val="0"/>
        </w:rPr>
        <w:t xml:space="preserve">schizophrenia </w:t>
      </w:r>
      <w:r>
        <w:rPr>
          <w:kern w:val="0"/>
        </w:rPr>
        <w:lastRenderedPageBreak/>
        <w:t>outside</w:t>
      </w:r>
      <w:r w:rsidR="003A1917">
        <w:rPr>
          <w:kern w:val="0"/>
        </w:rPr>
        <w:t xml:space="preserve"> the </w:t>
      </w:r>
      <w:r>
        <w:rPr>
          <w:kern w:val="0"/>
        </w:rPr>
        <w:t>central nervous system compartment, their specificity for different types</w:t>
      </w:r>
      <w:r w:rsidR="00427468">
        <w:rPr>
          <w:kern w:val="0"/>
        </w:rPr>
        <w:t xml:space="preserve"> of </w:t>
      </w:r>
      <w:r>
        <w:rPr>
          <w:kern w:val="0"/>
        </w:rPr>
        <w:t>schizophrenia</w:t>
      </w:r>
      <w:r w:rsidR="005853A9">
        <w:rPr>
          <w:kern w:val="0"/>
        </w:rPr>
        <w:t xml:space="preserve"> and </w:t>
      </w:r>
      <w:r>
        <w:rPr>
          <w:kern w:val="0"/>
        </w:rPr>
        <w:t xml:space="preserve">potential therapeutic strategies to prevent oxidative injuries in schizophrenia were discussed. Data were extracted from published literature found in </w:t>
      </w:r>
      <w:r w:rsidR="00D5664A">
        <w:rPr>
          <w:kern w:val="0"/>
        </w:rPr>
        <w:t>MEDLINE</w:t>
      </w:r>
      <w:r>
        <w:rPr>
          <w:kern w:val="0"/>
        </w:rPr>
        <w:t>, Embase, Biosis, Cochrane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together with hand search</w:t>
      </w:r>
      <w:r w:rsidR="00427468">
        <w:rPr>
          <w:kern w:val="0"/>
        </w:rPr>
        <w:t xml:space="preserve"> of </w:t>
      </w:r>
      <w:r>
        <w:rPr>
          <w:kern w:val="0"/>
        </w:rPr>
        <w:t>references. Search terms were: schizophrenia, oxidative stress, antipsychotics, antioxidants</w:t>
      </w:r>
      <w:r w:rsidR="005853A9">
        <w:rPr>
          <w:kern w:val="0"/>
        </w:rPr>
        <w:t xml:space="preserve"> and </w:t>
      </w:r>
      <w:r>
        <w:rPr>
          <w:kern w:val="0"/>
        </w:rPr>
        <w:t>fatty acids. Finding a sensitive, specific</w:t>
      </w:r>
      <w:r w:rsidR="005853A9">
        <w:rPr>
          <w:kern w:val="0"/>
        </w:rPr>
        <w:t xml:space="preserve"> and </w:t>
      </w:r>
      <w:r>
        <w:rPr>
          <w:kern w:val="0"/>
        </w:rPr>
        <w:t>non invasive biomarker</w:t>
      </w:r>
      <w:r w:rsidR="00427468">
        <w:rPr>
          <w:kern w:val="0"/>
        </w:rPr>
        <w:t xml:space="preserve"> of </w:t>
      </w:r>
      <w:r>
        <w:rPr>
          <w:kern w:val="0"/>
        </w:rPr>
        <w:t>schizophrenia, which could be measured in peripheral tissue, still stays an important task. Antioxidant enzymes, markers</w:t>
      </w:r>
      <w:r w:rsidR="00427468">
        <w:rPr>
          <w:kern w:val="0"/>
        </w:rPr>
        <w:t xml:space="preserve"> of </w:t>
      </w:r>
      <w:r>
        <w:rPr>
          <w:kern w:val="0"/>
        </w:rPr>
        <w:t>lipid peroxidation, oxidatively modified proteins</w:t>
      </w:r>
      <w:r w:rsidR="005853A9">
        <w:rPr>
          <w:kern w:val="0"/>
        </w:rPr>
        <w:t xml:space="preserve"> and </w:t>
      </w:r>
      <w:r>
        <w:rPr>
          <w:kern w:val="0"/>
        </w:rPr>
        <w:t>DNA are most commonly used. As it considers</w:t>
      </w:r>
      <w:r w:rsidR="003A1917">
        <w:rPr>
          <w:kern w:val="0"/>
        </w:rPr>
        <w:t xml:space="preserve"> the </w:t>
      </w:r>
      <w:r>
        <w:rPr>
          <w:kern w:val="0"/>
        </w:rPr>
        <w:t>supplemental therapy, according to our meta-analysis vitamin E could potentially improve tardive dyskinesia, while for</w:t>
      </w:r>
      <w:r w:rsidR="003A1917">
        <w:rPr>
          <w:kern w:val="0"/>
        </w:rPr>
        <w:t xml:space="preserve"> the </w:t>
      </w:r>
      <w:r>
        <w:rPr>
          <w:kern w:val="0"/>
        </w:rPr>
        <w:t>effect</w:t>
      </w:r>
      <w:r w:rsidR="00427468">
        <w:rPr>
          <w:kern w:val="0"/>
        </w:rPr>
        <w:t xml:space="preserve"> of </w:t>
      </w:r>
      <w:r>
        <w:rPr>
          <w:kern w:val="0"/>
        </w:rPr>
        <w:t>therapy with polyunsaturated fatty acids there is no clear evidence. Oxidative stress is a part</w:t>
      </w:r>
      <w:r w:rsidR="00427468">
        <w:rPr>
          <w:kern w:val="0"/>
        </w:rPr>
        <w:t xml:space="preserve"> of </w:t>
      </w:r>
      <w:r w:rsidR="003A1917">
        <w:rPr>
          <w:kern w:val="0"/>
        </w:rPr>
        <w:t xml:space="preserve">the </w:t>
      </w:r>
      <w:r>
        <w:rPr>
          <w:kern w:val="0"/>
        </w:rPr>
        <w:t>pathology in schizophrenia</w:t>
      </w:r>
      <w:r w:rsidR="005853A9">
        <w:rPr>
          <w:kern w:val="0"/>
        </w:rPr>
        <w:t xml:space="preserve"> and </w:t>
      </w:r>
      <w:r>
        <w:rPr>
          <w:kern w:val="0"/>
        </w:rPr>
        <w:t>appears as a promising field to develop new therapeutic strategies</w:t>
      </w:r>
      <w:r w:rsidR="00A37C1D">
        <w:rPr>
          <w:kern w:val="0"/>
        </w:rPr>
        <w:t>. The</w:t>
      </w:r>
      <w:r>
        <w:rPr>
          <w:kern w:val="0"/>
        </w:rPr>
        <w:t>re is a need for well designed, placebo controlled trials with supplementation therapy in schizophrenia.</w:t>
      </w:r>
    </w:p>
    <w:p w:rsidR="00AD2480" w:rsidRDefault="00AD2480" w:rsidP="00AD2480">
      <w:pPr>
        <w:pStyle w:val="a3"/>
        <w:rPr>
          <w:kern w:val="0"/>
        </w:rPr>
      </w:pPr>
      <w:r>
        <w:rPr>
          <w:kern w:val="0"/>
        </w:rPr>
        <w:t xml:space="preserve">Keywords: Antioxidant Enzyme Levels, Antioxidants, Antipsychotics, Biochemical Markers, Biomarkers, Cochrane, DNA, Double-Blind, Essential Fatty-Acids, Ethyl-Eicosapentaenoic Acid, Fatty Acids, Hand, Lipid, Literature, Mechanisms, </w:t>
      </w:r>
      <w:r w:rsidR="00D5664A">
        <w:rPr>
          <w:kern w:val="0"/>
        </w:rPr>
        <w:t>MEDLINE</w:t>
      </w:r>
      <w:r>
        <w:rPr>
          <w:kern w:val="0"/>
        </w:rPr>
        <w:t xml:space="preserve">, Meta Analysis, Meta-Analysis, Modified, N-Acetyl-Cysteine, Nitric-Oxide, Oxidative Stress, Pathology, Placebo-Controlled Trial, Polyunsaturated Fatty Acids, Schizophrenia, Science, Specificity, Stress, Superoxide-Dismutase, Tardive Dyskinesia, Tardive-Dyskinesia, Therapy, Vitamin E, Vitamin-E Treatment, </w:t>
      </w:r>
      <w:r w:rsidR="00D5664A">
        <w:rPr>
          <w:kern w:val="0"/>
        </w:rPr>
        <w:t>Web</w:t>
      </w:r>
      <w:r w:rsidR="00427468">
        <w:rPr>
          <w:kern w:val="0"/>
        </w:rPr>
        <w:t xml:space="preserve"> of </w:t>
      </w:r>
      <w:r w:rsidR="00D5664A">
        <w:rPr>
          <w:kern w:val="0"/>
        </w:rPr>
        <w:t>Science</w:t>
      </w:r>
    </w:p>
    <w:p w:rsidR="00CA00C8" w:rsidRPr="001A3D2B" w:rsidRDefault="00CA00C8" w:rsidP="00CA00C8">
      <w:pPr>
        <w:pStyle w:val="1"/>
      </w:pPr>
      <w:r w:rsidRPr="001A3D2B">
        <w:br w:type="page"/>
      </w:r>
      <w:bookmarkStart w:id="481" w:name="_Toc420815159"/>
      <w:r w:rsidRPr="001A3D2B">
        <w:lastRenderedPageBreak/>
        <w:t xml:space="preserve">Title: </w:t>
      </w:r>
      <w:r w:rsidRPr="00CA00C8">
        <w:rPr>
          <w:iCs w:val="0"/>
        </w:rPr>
        <w:t>Current Oncology Reports</w:t>
      </w:r>
      <w:bookmarkEnd w:id="481"/>
    </w:p>
    <w:p w:rsidR="00CA00C8" w:rsidRPr="001A3D2B" w:rsidRDefault="00CA00C8" w:rsidP="00CA00C8">
      <w:pPr>
        <w:pStyle w:val="12"/>
      </w:pPr>
      <w:r w:rsidRPr="001A3D2B">
        <w:t xml:space="preserve">Full Journal Title: </w:t>
      </w:r>
      <w:r w:rsidRPr="00CA00C8">
        <w:rPr>
          <w:iCs/>
          <w:kern w:val="0"/>
        </w:rPr>
        <w:t>Current Oncology Reports</w:t>
      </w:r>
    </w:p>
    <w:p w:rsidR="00CA00C8" w:rsidRPr="001A3D2B" w:rsidRDefault="00CA00C8" w:rsidP="00CA00C8">
      <w:pPr>
        <w:pStyle w:val="12"/>
      </w:pPr>
      <w:r w:rsidRPr="001A3D2B">
        <w:t xml:space="preserve">ISO Abbreviated Title: </w:t>
      </w:r>
    </w:p>
    <w:p w:rsidR="00CA00C8" w:rsidRPr="001A3D2B" w:rsidRDefault="00CA00C8" w:rsidP="00CA00C8">
      <w:pPr>
        <w:pStyle w:val="12"/>
      </w:pPr>
      <w:r w:rsidRPr="001A3D2B">
        <w:t xml:space="preserve">JCR Abbreviated Title: </w:t>
      </w:r>
    </w:p>
    <w:p w:rsidR="00CA00C8" w:rsidRPr="001A3D2B" w:rsidRDefault="00CA00C8" w:rsidP="00CA00C8">
      <w:pPr>
        <w:pStyle w:val="12"/>
      </w:pPr>
      <w:r w:rsidRPr="001A3D2B">
        <w:t xml:space="preserve">ISSN: </w:t>
      </w:r>
    </w:p>
    <w:p w:rsidR="00CA00C8" w:rsidRPr="001A3D2B" w:rsidRDefault="00CA00C8" w:rsidP="00CA00C8">
      <w:pPr>
        <w:pStyle w:val="12"/>
      </w:pPr>
      <w:r w:rsidRPr="001A3D2B">
        <w:t xml:space="preserve">Issues/Year: </w:t>
      </w:r>
    </w:p>
    <w:p w:rsidR="00CA00C8" w:rsidRPr="001A3D2B" w:rsidRDefault="00CA00C8" w:rsidP="00CA00C8">
      <w:pPr>
        <w:pStyle w:val="12"/>
      </w:pPr>
      <w:r w:rsidRPr="001A3D2B">
        <w:t xml:space="preserve">Journal Country/Territory: </w:t>
      </w:r>
    </w:p>
    <w:p w:rsidR="00CA00C8" w:rsidRPr="001A3D2B" w:rsidRDefault="00CA00C8" w:rsidP="00CA00C8">
      <w:pPr>
        <w:pStyle w:val="12"/>
      </w:pPr>
      <w:r w:rsidRPr="001A3D2B">
        <w:t xml:space="preserve">Language: </w:t>
      </w:r>
    </w:p>
    <w:p w:rsidR="00CA00C8" w:rsidRPr="001A3D2B" w:rsidRDefault="00CA00C8" w:rsidP="00CA00C8">
      <w:pPr>
        <w:pStyle w:val="12"/>
      </w:pPr>
      <w:r w:rsidRPr="001A3D2B">
        <w:t xml:space="preserve">Publisher: </w:t>
      </w:r>
    </w:p>
    <w:p w:rsidR="00CA00C8" w:rsidRPr="001A3D2B" w:rsidRDefault="00CA00C8" w:rsidP="00CA00C8">
      <w:pPr>
        <w:pStyle w:val="12"/>
      </w:pPr>
      <w:r w:rsidRPr="001A3D2B">
        <w:t xml:space="preserve">Publisher Address: </w:t>
      </w:r>
    </w:p>
    <w:p w:rsidR="00CA00C8" w:rsidRPr="001A3D2B" w:rsidRDefault="00CA00C8" w:rsidP="00CA00C8">
      <w:pPr>
        <w:pStyle w:val="12"/>
      </w:pPr>
      <w:r w:rsidRPr="001A3D2B">
        <w:t>Subject Categories:</w:t>
      </w:r>
    </w:p>
    <w:p w:rsidR="00CA00C8" w:rsidRDefault="00CA00C8" w:rsidP="00CA00C8">
      <w:pPr>
        <w:pStyle w:val="12"/>
      </w:pPr>
      <w:r>
        <w:t>: Impact Factor</w:t>
      </w:r>
    </w:p>
    <w:p w:rsidR="00CA00C8" w:rsidRDefault="00CA00C8" w:rsidP="00CA00C8">
      <w:pPr>
        <w:pStyle w:val="a3"/>
        <w:rPr>
          <w:kern w:val="0"/>
        </w:rPr>
      </w:pPr>
      <w:r>
        <w:rPr>
          <w:kern w:val="0"/>
        </w:rPr>
        <w:t xml:space="preserve">? Yang, X.W., Yang, K. and Kuang, K.Y. (2014), The efficacy and safety of EGFR inhibitor monotherapy in non-small cell lung cancer: A systematic review. </w:t>
      </w:r>
      <w:r w:rsidRPr="00CA00C8">
        <w:rPr>
          <w:i/>
          <w:iCs/>
          <w:kern w:val="0"/>
        </w:rPr>
        <w:t>Current Oncology Reports</w:t>
      </w:r>
      <w:r>
        <w:rPr>
          <w:kern w:val="0"/>
        </w:rPr>
        <w:t xml:space="preserve">, </w:t>
      </w:r>
      <w:r>
        <w:rPr>
          <w:b/>
          <w:bCs/>
          <w:kern w:val="0"/>
        </w:rPr>
        <w:t>16</w:t>
      </w:r>
      <w:r>
        <w:rPr>
          <w:kern w:val="0"/>
        </w:rPr>
        <w:t xml:space="preserve"> (6</w:t>
      </w:r>
      <w:r>
        <w:rPr>
          <w:rFonts w:hint="eastAsia"/>
          <w:kern w:val="0"/>
        </w:rPr>
        <w:t xml:space="preserve">), </w:t>
      </w:r>
      <w:r w:rsidRPr="007278E4">
        <w:rPr>
          <w:kern w:val="0"/>
        </w:rPr>
        <w:t>Article Number: 390</w:t>
      </w:r>
      <w:r>
        <w:rPr>
          <w:kern w:val="0"/>
        </w:rPr>
        <w:t>.</w:t>
      </w:r>
    </w:p>
    <w:p w:rsidR="00CA00C8" w:rsidRDefault="00CA00C8" w:rsidP="00CA00C8">
      <w:pPr>
        <w:pStyle w:val="a3"/>
        <w:rPr>
          <w:kern w:val="0"/>
        </w:rPr>
      </w:pPr>
      <w:r>
        <w:rPr>
          <w:rFonts w:hint="eastAsia"/>
          <w:kern w:val="0"/>
        </w:rPr>
        <w:t xml:space="preserve">Full Text: </w:t>
      </w:r>
      <w:hyperlink r:id="rId1127" w:history="1">
        <w:r w:rsidRPr="00CA00C8">
          <w:rPr>
            <w:rStyle w:val="a5"/>
            <w:kern w:val="0"/>
          </w:rPr>
          <w:t>2014\Cur Onc Rep16, 390.pdf</w:t>
        </w:r>
      </w:hyperlink>
    </w:p>
    <w:p w:rsidR="00CA00C8" w:rsidRDefault="00CA00C8" w:rsidP="00CA00C8">
      <w:pPr>
        <w:pStyle w:val="a3"/>
        <w:rPr>
          <w:kern w:val="0"/>
        </w:rPr>
      </w:pPr>
      <w:r>
        <w:rPr>
          <w:kern w:val="0"/>
        </w:rPr>
        <w:t>Abstract: Epidermal growth factor receptor (EGFR) tyrosine kinase inhibitors (TKIs) have been extensively investigated in previously treated advanced non-small-cell lung cancer (NSCLC), but what it is still unclear is the efficacy of (EFGR-TKIs: gefitinib or erlotinib) monotherapy in previously treated non-small-cell lung cancer (NSCLC). In December 2013, we performed a search in the PubMed, EMBASE, Cochrane library databases and Web of Science for randomized trials exploring the role of gefitinib or erlotinib in advanced non-small cell lung cancer. Through strict inclusion and exclusion criteria, fourteen trials (three front-line, two second-line, nine maintenance, n=8970 patients) were eligible. EGFR-TKIs significantly increased overall survival (OS) [hazard ratio (HR) 0.88, 95 % confidence interval (CI) 0.82-0.96, I-2=50.5 %] and progression-free survival (PFS) (HR 0.71, 95 % CI 0.63-0.81, I-2=81.2 %] compared with placebo or best support care (BSC). Patients with clinical features such as never smoker, adenocarcinoma, Asian ethnicity and EGFR mutation positive had more pronounced OS and PFS benefit</w:t>
      </w:r>
      <w:r w:rsidR="00A37C1D">
        <w:rPr>
          <w:kern w:val="0"/>
        </w:rPr>
        <w:t>. The</w:t>
      </w:r>
      <w:r>
        <w:rPr>
          <w:kern w:val="0"/>
        </w:rPr>
        <w:t xml:space="preserve"> main adverse reactions were diarrhea, rashes, anorexia and anemia, [odds ratio (OR)=3.635, 95 % confidence interval (CI)=(2.377 to 5.557)], [OR=15.664, 95 % CI=(8.869 to 27.665)], [OR=1.555, 95 % CI=(1.060 to 2.283)], [OR=1.481, 95 % CI=(1.114 to 1.969)], respectively</w:t>
      </w:r>
      <w:r w:rsidR="00A37C1D">
        <w:rPr>
          <w:kern w:val="0"/>
        </w:rPr>
        <w:t>. The</w:t>
      </w:r>
      <w:r>
        <w:rPr>
          <w:kern w:val="0"/>
        </w:rPr>
        <w:t xml:space="preserve"> results show that monotherapy therapy with EFGR-TKIs produce a significant OS and PFS benefit for patients with NSCLC compared with placebo or BSC, especially for the patients who had adenocarcinomas, non-smokers and patients with EGFR gene mutations.</w:t>
      </w:r>
    </w:p>
    <w:p w:rsidR="00CA00C8" w:rsidRDefault="00CA00C8" w:rsidP="00CA00C8">
      <w:pPr>
        <w:pStyle w:val="a3"/>
        <w:rPr>
          <w:kern w:val="0"/>
        </w:rPr>
      </w:pPr>
      <w:r>
        <w:rPr>
          <w:kern w:val="0"/>
        </w:rPr>
        <w:lastRenderedPageBreak/>
        <w:t>Keywords: Adenocarcinoma, Anemia, Anorexia, Asian, Cancer, Care, Cell, Chemotherapy, Clinical, Clinical Features, Confidence, Criteria, Databases, Double-Blind, Efficacy, EGFR, EGFR Inhibitor, Embase, Erlotinib, Ethnicity, Front Line, Gefitinib, Gene, Growth, Growth Factor, Inhibitor, Inhibitors, Interval, Lung, Lung Cancer, Maintenance Therapy, Meta-Analysis, Metaanalysis, Mutation, Mutations, Never Smokers, Non-Small Cell Lung Cancer, Nsclc, Oncology, Patients, Phase-III Trial, Placebo, Pubmed, Randomized, Review, Role, Safety, Science, Support, Survival, Systematic Review, Therapy, Tyrosine Kinase Inhibitor, Web Of Science</w:t>
      </w:r>
    </w:p>
    <w:p w:rsidR="003931FC" w:rsidRPr="001A3D2B" w:rsidRDefault="003931FC" w:rsidP="003931FC">
      <w:pPr>
        <w:pStyle w:val="1"/>
      </w:pPr>
      <w:r w:rsidRPr="001A3D2B">
        <w:br w:type="page"/>
      </w:r>
      <w:bookmarkStart w:id="482" w:name="_Toc420815160"/>
      <w:r w:rsidRPr="001A3D2B">
        <w:lastRenderedPageBreak/>
        <w:t xml:space="preserve">Title: </w:t>
      </w:r>
      <w:r w:rsidRPr="003931FC">
        <w:rPr>
          <w:iCs w:val="0"/>
          <w:szCs w:val="24"/>
        </w:rPr>
        <w:t>Current Opinion in Anesthesiology</w:t>
      </w:r>
      <w:bookmarkEnd w:id="482"/>
    </w:p>
    <w:p w:rsidR="003931FC" w:rsidRPr="001A3D2B" w:rsidRDefault="003931FC" w:rsidP="003931FC">
      <w:pPr>
        <w:pStyle w:val="12"/>
      </w:pPr>
      <w:r w:rsidRPr="001A3D2B">
        <w:t xml:space="preserve">Full Journal Title: </w:t>
      </w:r>
      <w:r w:rsidRPr="003931FC">
        <w:rPr>
          <w:iCs/>
          <w:kern w:val="0"/>
        </w:rPr>
        <w:t>Current Opinion in Anesthesiology</w:t>
      </w:r>
    </w:p>
    <w:p w:rsidR="003931FC" w:rsidRPr="001A3D2B" w:rsidRDefault="003931FC" w:rsidP="003931FC">
      <w:pPr>
        <w:pStyle w:val="12"/>
      </w:pPr>
      <w:r w:rsidRPr="001A3D2B">
        <w:t xml:space="preserve">ISO Abbreviated Title: </w:t>
      </w:r>
    </w:p>
    <w:p w:rsidR="003931FC" w:rsidRPr="001A3D2B" w:rsidRDefault="003931FC" w:rsidP="003931FC">
      <w:pPr>
        <w:pStyle w:val="12"/>
      </w:pPr>
      <w:r w:rsidRPr="001A3D2B">
        <w:t xml:space="preserve">JCR Abbreviated Title: </w:t>
      </w:r>
    </w:p>
    <w:p w:rsidR="003931FC" w:rsidRPr="001A3D2B" w:rsidRDefault="003931FC" w:rsidP="003931FC">
      <w:pPr>
        <w:pStyle w:val="12"/>
      </w:pPr>
      <w:r w:rsidRPr="001A3D2B">
        <w:t xml:space="preserve">ISSN: </w:t>
      </w:r>
    </w:p>
    <w:p w:rsidR="003931FC" w:rsidRPr="001A3D2B" w:rsidRDefault="003931FC" w:rsidP="003931FC">
      <w:pPr>
        <w:pStyle w:val="12"/>
      </w:pPr>
      <w:r w:rsidRPr="001A3D2B">
        <w:t xml:space="preserve">Issues/Year: </w:t>
      </w:r>
    </w:p>
    <w:p w:rsidR="003931FC" w:rsidRPr="001A3D2B" w:rsidRDefault="003931FC" w:rsidP="003931FC">
      <w:pPr>
        <w:pStyle w:val="12"/>
      </w:pPr>
      <w:r w:rsidRPr="001A3D2B">
        <w:t xml:space="preserve">Journal Country/Territory: </w:t>
      </w:r>
    </w:p>
    <w:p w:rsidR="003931FC" w:rsidRPr="001A3D2B" w:rsidRDefault="003931FC" w:rsidP="003931FC">
      <w:pPr>
        <w:pStyle w:val="12"/>
      </w:pPr>
      <w:r w:rsidRPr="001A3D2B">
        <w:t xml:space="preserve">Language: </w:t>
      </w:r>
    </w:p>
    <w:p w:rsidR="003931FC" w:rsidRPr="001A3D2B" w:rsidRDefault="003931FC" w:rsidP="003931FC">
      <w:pPr>
        <w:pStyle w:val="12"/>
      </w:pPr>
      <w:r w:rsidRPr="001A3D2B">
        <w:t xml:space="preserve">Publisher: </w:t>
      </w:r>
    </w:p>
    <w:p w:rsidR="003931FC" w:rsidRPr="001A3D2B" w:rsidRDefault="003931FC" w:rsidP="003931FC">
      <w:pPr>
        <w:pStyle w:val="12"/>
      </w:pPr>
      <w:r w:rsidRPr="001A3D2B">
        <w:t xml:space="preserve">Publisher Address: </w:t>
      </w:r>
    </w:p>
    <w:p w:rsidR="003931FC" w:rsidRPr="001A3D2B" w:rsidRDefault="003931FC" w:rsidP="003931FC">
      <w:pPr>
        <w:pStyle w:val="12"/>
      </w:pPr>
      <w:r w:rsidRPr="001A3D2B">
        <w:t>Subject Categories:</w:t>
      </w:r>
    </w:p>
    <w:p w:rsidR="003931FC" w:rsidRDefault="003931FC" w:rsidP="003931FC">
      <w:pPr>
        <w:pStyle w:val="12"/>
      </w:pPr>
      <w:r>
        <w:t>: Impact Factor</w:t>
      </w:r>
    </w:p>
    <w:p w:rsidR="003931FC" w:rsidRDefault="003931FC" w:rsidP="003931FC">
      <w:pPr>
        <w:pStyle w:val="a3"/>
        <w:rPr>
          <w:kern w:val="0"/>
          <w:szCs w:val="24"/>
        </w:rPr>
      </w:pPr>
      <w:r>
        <w:rPr>
          <w:rFonts w:hint="eastAsia"/>
          <w:kern w:val="0"/>
          <w:szCs w:val="24"/>
        </w:rPr>
        <w:t xml:space="preserve">? </w:t>
      </w:r>
      <w:r>
        <w:rPr>
          <w:kern w:val="0"/>
          <w:szCs w:val="24"/>
        </w:rPr>
        <w:t>Miller, D.R. (2011), Publication fraud: Implications to</w:t>
      </w:r>
      <w:r w:rsidR="003A1917">
        <w:rPr>
          <w:kern w:val="0"/>
          <w:szCs w:val="24"/>
        </w:rPr>
        <w:t xml:space="preserve"> the </w:t>
      </w:r>
      <w:r>
        <w:rPr>
          <w:kern w:val="0"/>
          <w:szCs w:val="24"/>
        </w:rPr>
        <w:t>individual</w:t>
      </w:r>
      <w:r w:rsidR="005853A9">
        <w:rPr>
          <w:kern w:val="0"/>
          <w:szCs w:val="24"/>
        </w:rPr>
        <w:t xml:space="preserve"> and </w:t>
      </w:r>
      <w:r>
        <w:rPr>
          <w:kern w:val="0"/>
          <w:szCs w:val="24"/>
        </w:rPr>
        <w:t>to</w:t>
      </w:r>
      <w:r w:rsidR="003A1917">
        <w:rPr>
          <w:kern w:val="0"/>
          <w:szCs w:val="24"/>
        </w:rPr>
        <w:t xml:space="preserve"> the </w:t>
      </w:r>
      <w:r>
        <w:rPr>
          <w:kern w:val="0"/>
          <w:szCs w:val="24"/>
        </w:rPr>
        <w:t xml:space="preserve">specialty. </w:t>
      </w:r>
      <w:r w:rsidRPr="003931FC">
        <w:rPr>
          <w:i/>
          <w:iCs/>
          <w:kern w:val="0"/>
          <w:szCs w:val="24"/>
        </w:rPr>
        <w:t>Current Opinion in Anesthesiology</w:t>
      </w:r>
      <w:r>
        <w:rPr>
          <w:kern w:val="0"/>
          <w:szCs w:val="24"/>
        </w:rPr>
        <w:t xml:space="preserve">, </w:t>
      </w:r>
      <w:r>
        <w:rPr>
          <w:b/>
          <w:bCs/>
          <w:kern w:val="0"/>
          <w:szCs w:val="24"/>
        </w:rPr>
        <w:t>24</w:t>
      </w:r>
      <w:r>
        <w:rPr>
          <w:kern w:val="0"/>
          <w:szCs w:val="24"/>
        </w:rPr>
        <w:t xml:space="preserve"> (2), 154-159.</w:t>
      </w:r>
    </w:p>
    <w:p w:rsidR="003931FC" w:rsidRDefault="003931FC" w:rsidP="003931FC">
      <w:pPr>
        <w:pStyle w:val="a3"/>
        <w:rPr>
          <w:kern w:val="0"/>
          <w:szCs w:val="24"/>
        </w:rPr>
      </w:pPr>
      <w:r>
        <w:rPr>
          <w:kern w:val="0"/>
          <w:szCs w:val="24"/>
        </w:rPr>
        <w:t>Abstract: Purpose</w:t>
      </w:r>
      <w:r w:rsidR="00427468">
        <w:rPr>
          <w:kern w:val="0"/>
          <w:szCs w:val="24"/>
        </w:rPr>
        <w:t xml:space="preserve"> of </w:t>
      </w:r>
      <w:r>
        <w:rPr>
          <w:kern w:val="0"/>
          <w:szCs w:val="24"/>
        </w:rPr>
        <w:t>review To provide a brief review</w:t>
      </w:r>
      <w:r w:rsidR="005853A9">
        <w:rPr>
          <w:kern w:val="0"/>
          <w:szCs w:val="24"/>
        </w:rPr>
        <w:t xml:space="preserve"> and </w:t>
      </w:r>
      <w:r>
        <w:rPr>
          <w:kern w:val="0"/>
          <w:szCs w:val="24"/>
        </w:rPr>
        <w:t>update on</w:t>
      </w:r>
      <w:r w:rsidR="003A1917">
        <w:rPr>
          <w:kern w:val="0"/>
          <w:szCs w:val="24"/>
        </w:rPr>
        <w:t xml:space="preserve"> the </w:t>
      </w:r>
      <w:r>
        <w:rPr>
          <w:kern w:val="0"/>
          <w:szCs w:val="24"/>
        </w:rPr>
        <w:t>subject</w:t>
      </w:r>
      <w:r w:rsidR="00427468">
        <w:rPr>
          <w:kern w:val="0"/>
          <w:szCs w:val="24"/>
        </w:rPr>
        <w:t xml:space="preserve"> of </w:t>
      </w:r>
      <w:r>
        <w:rPr>
          <w:kern w:val="0"/>
          <w:szCs w:val="24"/>
        </w:rPr>
        <w:t>scientific misconduct relevant to</w:t>
      </w:r>
      <w:r w:rsidR="003A1917">
        <w:rPr>
          <w:kern w:val="0"/>
          <w:szCs w:val="24"/>
        </w:rPr>
        <w:t xml:space="preserve"> the </w:t>
      </w:r>
      <w:r>
        <w:rPr>
          <w:kern w:val="0"/>
          <w:szCs w:val="24"/>
        </w:rPr>
        <w:t>specialty</w:t>
      </w:r>
      <w:r w:rsidR="00427468">
        <w:rPr>
          <w:kern w:val="0"/>
          <w:szCs w:val="24"/>
        </w:rPr>
        <w:t xml:space="preserve"> of </w:t>
      </w:r>
      <w:r>
        <w:rPr>
          <w:kern w:val="0"/>
          <w:szCs w:val="24"/>
        </w:rPr>
        <w:t>anesthesia</w:t>
      </w:r>
      <w:r w:rsidR="00A37C1D">
        <w:rPr>
          <w:kern w:val="0"/>
          <w:szCs w:val="24"/>
        </w:rPr>
        <w:t>. The</w:t>
      </w:r>
      <w:r w:rsidR="003A1917">
        <w:rPr>
          <w:kern w:val="0"/>
          <w:szCs w:val="24"/>
        </w:rPr>
        <w:t xml:space="preserve"> </w:t>
      </w:r>
      <w:r>
        <w:rPr>
          <w:kern w:val="0"/>
          <w:szCs w:val="24"/>
        </w:rPr>
        <w:t>overall goal is to raise awareness amongst readers</w:t>
      </w:r>
      <w:r w:rsidR="00427468">
        <w:rPr>
          <w:kern w:val="0"/>
          <w:szCs w:val="24"/>
        </w:rPr>
        <w:t xml:space="preserve"> of </w:t>
      </w:r>
      <w:r w:rsidR="003A1917">
        <w:rPr>
          <w:kern w:val="0"/>
          <w:szCs w:val="24"/>
        </w:rPr>
        <w:t xml:space="preserve">the </w:t>
      </w:r>
      <w:r>
        <w:rPr>
          <w:kern w:val="0"/>
          <w:szCs w:val="24"/>
        </w:rPr>
        <w:t>scientific literature that although publication fraud is relatively infrequent,</w:t>
      </w:r>
      <w:r w:rsidR="003A1917">
        <w:rPr>
          <w:kern w:val="0"/>
          <w:szCs w:val="24"/>
        </w:rPr>
        <w:t xml:space="preserve"> the </w:t>
      </w:r>
      <w:r>
        <w:rPr>
          <w:kern w:val="0"/>
          <w:szCs w:val="24"/>
        </w:rPr>
        <w:t>reasons for fraud are complex</w:t>
      </w:r>
      <w:r w:rsidR="005853A9">
        <w:rPr>
          <w:kern w:val="0"/>
          <w:szCs w:val="24"/>
        </w:rPr>
        <w:t xml:space="preserve"> and </w:t>
      </w:r>
      <w:r w:rsidR="003A1917">
        <w:rPr>
          <w:kern w:val="0"/>
          <w:szCs w:val="24"/>
        </w:rPr>
        <w:t xml:space="preserve">the </w:t>
      </w:r>
      <w:r>
        <w:rPr>
          <w:kern w:val="0"/>
          <w:szCs w:val="24"/>
        </w:rPr>
        <w:t>consequences to</w:t>
      </w:r>
      <w:r w:rsidR="003A1917">
        <w:rPr>
          <w:kern w:val="0"/>
          <w:szCs w:val="24"/>
        </w:rPr>
        <w:t xml:space="preserve"> the </w:t>
      </w:r>
      <w:r>
        <w:rPr>
          <w:kern w:val="0"/>
          <w:szCs w:val="24"/>
        </w:rPr>
        <w:t>individual</w:t>
      </w:r>
      <w:r w:rsidR="005853A9">
        <w:rPr>
          <w:kern w:val="0"/>
          <w:szCs w:val="24"/>
        </w:rPr>
        <w:t xml:space="preserve"> and </w:t>
      </w:r>
      <w:r>
        <w:rPr>
          <w:kern w:val="0"/>
          <w:szCs w:val="24"/>
        </w:rPr>
        <w:t>for</w:t>
      </w:r>
      <w:r w:rsidR="003A1917">
        <w:rPr>
          <w:kern w:val="0"/>
          <w:szCs w:val="24"/>
        </w:rPr>
        <w:t xml:space="preserve"> the </w:t>
      </w:r>
      <w:r>
        <w:rPr>
          <w:kern w:val="0"/>
          <w:szCs w:val="24"/>
        </w:rPr>
        <w:t>specialty are substantial. Recent findings Scientific misconduct</w:t>
      </w:r>
      <w:r w:rsidR="005853A9">
        <w:rPr>
          <w:kern w:val="0"/>
          <w:szCs w:val="24"/>
        </w:rPr>
        <w:t xml:space="preserve"> and </w:t>
      </w:r>
      <w:r>
        <w:rPr>
          <w:kern w:val="0"/>
          <w:szCs w:val="24"/>
        </w:rPr>
        <w:t>publication fraud can easily go undetected. However, plagiarism is being detected with increasing frequency as a result</w:t>
      </w:r>
      <w:r w:rsidR="00427468">
        <w:rPr>
          <w:kern w:val="0"/>
          <w:szCs w:val="24"/>
        </w:rPr>
        <w:t xml:space="preserve"> of </w:t>
      </w:r>
      <w:r>
        <w:rPr>
          <w:kern w:val="0"/>
          <w:szCs w:val="24"/>
        </w:rPr>
        <w:t>newer detection software</w:t>
      </w:r>
      <w:r w:rsidR="00A37C1D">
        <w:rPr>
          <w:kern w:val="0"/>
          <w:szCs w:val="24"/>
        </w:rPr>
        <w:t>. The</w:t>
      </w:r>
      <w:r>
        <w:rPr>
          <w:kern w:val="0"/>
          <w:szCs w:val="24"/>
        </w:rPr>
        <w:t>re are recent examples</w:t>
      </w:r>
      <w:r w:rsidR="00427468">
        <w:rPr>
          <w:kern w:val="0"/>
          <w:szCs w:val="24"/>
        </w:rPr>
        <w:t xml:space="preserve"> of </w:t>
      </w:r>
      <w:r>
        <w:rPr>
          <w:kern w:val="0"/>
          <w:szCs w:val="24"/>
        </w:rPr>
        <w:t>scientific misconduct involving extensive data fabrication in</w:t>
      </w:r>
      <w:r w:rsidR="003A1917">
        <w:rPr>
          <w:kern w:val="0"/>
          <w:szCs w:val="24"/>
        </w:rPr>
        <w:t xml:space="preserve"> the </w:t>
      </w:r>
      <w:r>
        <w:rPr>
          <w:kern w:val="0"/>
          <w:szCs w:val="24"/>
        </w:rPr>
        <w:t>anesthesiology literature that have far-reaching,</w:t>
      </w:r>
      <w:r w:rsidR="005853A9">
        <w:rPr>
          <w:kern w:val="0"/>
          <w:szCs w:val="24"/>
        </w:rPr>
        <w:t xml:space="preserve"> and </w:t>
      </w:r>
      <w:r>
        <w:rPr>
          <w:kern w:val="0"/>
          <w:szCs w:val="24"/>
        </w:rPr>
        <w:t>as-yet-to-be determined implications for</w:t>
      </w:r>
      <w:r w:rsidR="003A1917">
        <w:rPr>
          <w:kern w:val="0"/>
          <w:szCs w:val="24"/>
        </w:rPr>
        <w:t xml:space="preserve"> the </w:t>
      </w:r>
      <w:r>
        <w:rPr>
          <w:kern w:val="0"/>
          <w:szCs w:val="24"/>
        </w:rPr>
        <w:t>scientific record</w:t>
      </w:r>
      <w:r w:rsidR="00A37C1D">
        <w:rPr>
          <w:kern w:val="0"/>
          <w:szCs w:val="24"/>
        </w:rPr>
        <w:t>. The</w:t>
      </w:r>
      <w:r w:rsidR="003A1917">
        <w:rPr>
          <w:kern w:val="0"/>
          <w:szCs w:val="24"/>
        </w:rPr>
        <w:t xml:space="preserve"> </w:t>
      </w:r>
      <w:r>
        <w:rPr>
          <w:kern w:val="0"/>
          <w:szCs w:val="24"/>
        </w:rPr>
        <w:t>reasons for publication fraud</w:t>
      </w:r>
      <w:r w:rsidR="005853A9">
        <w:rPr>
          <w:kern w:val="0"/>
          <w:szCs w:val="24"/>
        </w:rPr>
        <w:t xml:space="preserve"> and </w:t>
      </w:r>
      <w:r>
        <w:rPr>
          <w:kern w:val="0"/>
          <w:szCs w:val="24"/>
        </w:rPr>
        <w:t>methods to detect scientific misconduct are reviewed</w:t>
      </w:r>
      <w:r w:rsidR="00A37C1D">
        <w:rPr>
          <w:kern w:val="0"/>
          <w:szCs w:val="24"/>
        </w:rPr>
        <w:t>. The</w:t>
      </w:r>
      <w:r w:rsidR="003A1917">
        <w:rPr>
          <w:kern w:val="0"/>
          <w:szCs w:val="24"/>
        </w:rPr>
        <w:t xml:space="preserve"> </w:t>
      </w:r>
      <w:r>
        <w:rPr>
          <w:kern w:val="0"/>
          <w:szCs w:val="24"/>
        </w:rPr>
        <w:t>implications for related studies in</w:t>
      </w:r>
      <w:r w:rsidR="003A1917">
        <w:rPr>
          <w:kern w:val="0"/>
          <w:szCs w:val="24"/>
        </w:rPr>
        <w:t xml:space="preserve"> the </w:t>
      </w:r>
      <w:r>
        <w:rPr>
          <w:kern w:val="0"/>
          <w:szCs w:val="24"/>
        </w:rPr>
        <w:t>field, systematic reviews</w:t>
      </w:r>
      <w:r w:rsidR="005853A9">
        <w:rPr>
          <w:kern w:val="0"/>
          <w:szCs w:val="24"/>
        </w:rPr>
        <w:t xml:space="preserve"> and </w:t>
      </w:r>
      <w:r>
        <w:rPr>
          <w:kern w:val="0"/>
          <w:szCs w:val="24"/>
        </w:rPr>
        <w:t>practice guidelines are considered. Summary When suspected, alleged misconduct must be thoroughly investigated. When proven, scientific misconduct must be addressed by</w:t>
      </w:r>
      <w:r w:rsidR="003A1917">
        <w:rPr>
          <w:kern w:val="0"/>
          <w:szCs w:val="24"/>
        </w:rPr>
        <w:t xml:space="preserve"> the </w:t>
      </w:r>
      <w:r>
        <w:rPr>
          <w:kern w:val="0"/>
          <w:szCs w:val="24"/>
        </w:rPr>
        <w:t>relevant institutions</w:t>
      </w:r>
      <w:r w:rsidR="005853A9">
        <w:rPr>
          <w:kern w:val="0"/>
          <w:szCs w:val="24"/>
        </w:rPr>
        <w:t xml:space="preserve"> and </w:t>
      </w:r>
      <w:r w:rsidR="003A1917">
        <w:rPr>
          <w:kern w:val="0"/>
          <w:szCs w:val="24"/>
        </w:rPr>
        <w:t xml:space="preserve">the </w:t>
      </w:r>
      <w:r>
        <w:rPr>
          <w:kern w:val="0"/>
          <w:szCs w:val="24"/>
        </w:rPr>
        <w:t>scientific record must be corrected. Many stakeholders are involved in this complex</w:t>
      </w:r>
      <w:r w:rsidR="005853A9">
        <w:rPr>
          <w:kern w:val="0"/>
          <w:szCs w:val="24"/>
        </w:rPr>
        <w:t xml:space="preserve"> and </w:t>
      </w:r>
      <w:r>
        <w:rPr>
          <w:kern w:val="0"/>
          <w:szCs w:val="24"/>
        </w:rPr>
        <w:t>most unfortunate process.</w:t>
      </w:r>
    </w:p>
    <w:p w:rsidR="003931FC" w:rsidRDefault="003931FC" w:rsidP="003931FC">
      <w:pPr>
        <w:pStyle w:val="a3"/>
        <w:rPr>
          <w:kern w:val="0"/>
          <w:szCs w:val="24"/>
        </w:rPr>
      </w:pPr>
      <w:r>
        <w:rPr>
          <w:kern w:val="0"/>
          <w:szCs w:val="24"/>
        </w:rPr>
        <w:t>Keywords: Blocks, Data Fabrication, Literature, Misconduct, Plagiarism, Publication, Publication: Publication Ethics, Retraction, Review, Scientific Misconduct, Systematic Reviews</w:t>
      </w:r>
    </w:p>
    <w:p w:rsidR="003474F2" w:rsidRPr="001A3D2B" w:rsidRDefault="003474F2" w:rsidP="003931FC">
      <w:pPr>
        <w:pStyle w:val="1"/>
      </w:pPr>
      <w:r w:rsidRPr="001A3D2B">
        <w:br w:type="page"/>
      </w:r>
      <w:bookmarkStart w:id="483" w:name="_Toc420815161"/>
      <w:r w:rsidRPr="001A3D2B">
        <w:lastRenderedPageBreak/>
        <w:t>Title: Current Opinion in Rheumatology</w:t>
      </w:r>
      <w:bookmarkEnd w:id="483"/>
    </w:p>
    <w:p w:rsidR="003474F2" w:rsidRPr="001A3D2B" w:rsidRDefault="003474F2" w:rsidP="003474F2">
      <w:pPr>
        <w:pStyle w:val="12"/>
      </w:pPr>
      <w:r w:rsidRPr="001A3D2B">
        <w:t xml:space="preserve">Full Journal Title: Current Opinion in </w:t>
      </w:r>
      <w:bookmarkStart w:id="484" w:name="_Toc81215691"/>
      <w:r w:rsidRPr="001A3D2B">
        <w:t>Rheumatology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w:t>
      </w:r>
      <w:bookmarkEnd w:id="484"/>
      <w:r w:rsidRPr="001A3D2B">
        <w:t xml:space="preserve">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(2000), Bibliography current world literature. </w:t>
      </w:r>
      <w:r w:rsidRPr="001A3D2B">
        <w:rPr>
          <w:i/>
          <w:iCs/>
        </w:rPr>
        <w:t>Current Opinion in Rheumatology</w:t>
      </w:r>
      <w:r w:rsidRPr="001A3D2B">
        <w:t xml:space="preserve">, </w:t>
      </w:r>
      <w:r w:rsidRPr="001A3D2B">
        <w:rPr>
          <w:b/>
          <w:bCs/>
        </w:rPr>
        <w:t>12</w:t>
      </w:r>
      <w:r w:rsidRPr="001A3D2B">
        <w:t xml:space="preserve"> (2), B25.</w:t>
      </w:r>
    </w:p>
    <w:p w:rsidR="003474F2" w:rsidRPr="001A3D2B" w:rsidRDefault="003474F2" w:rsidP="003474F2">
      <w:pPr>
        <w:pStyle w:val="a3"/>
      </w:pPr>
      <w:r w:rsidRPr="001A3D2B">
        <w:t xml:space="preserve">Full Text: </w:t>
      </w:r>
      <w:hyperlink r:id="rId1128" w:history="1">
        <w:r w:rsidRPr="001A3D2B">
          <w:rPr>
            <w:rStyle w:val="a5"/>
          </w:rPr>
          <w:t>2000\Cur Opi Rhe12, B25.pdf</w:t>
        </w:r>
      </w:hyperlink>
    </w:p>
    <w:p w:rsidR="00A20347" w:rsidRPr="00C73C58" w:rsidRDefault="00A20347" w:rsidP="00A20347">
      <w:pPr>
        <w:pStyle w:val="1"/>
      </w:pPr>
      <w:r w:rsidRPr="00C73C58">
        <w:br w:type="page"/>
      </w:r>
      <w:bookmarkStart w:id="485" w:name="_Toc420815162"/>
      <w:r w:rsidRPr="00C73C58">
        <w:lastRenderedPageBreak/>
        <w:t xml:space="preserve">Title: </w:t>
      </w:r>
      <w:r w:rsidRPr="0019026B">
        <w:t>Current Pharmaceutical Analysis</w:t>
      </w:r>
      <w:bookmarkEnd w:id="485"/>
    </w:p>
    <w:p w:rsidR="00A20347" w:rsidRPr="00C73C58" w:rsidRDefault="00A20347" w:rsidP="00A20347">
      <w:pPr>
        <w:pStyle w:val="12"/>
      </w:pPr>
      <w:r w:rsidRPr="00C73C58">
        <w:t xml:space="preserve">Full Journal Title: </w:t>
      </w:r>
      <w:r w:rsidRPr="0019026B">
        <w:rPr>
          <w:iCs/>
          <w:kern w:val="0"/>
        </w:rPr>
        <w:t>Current Pharmaceutical Analysis</w:t>
      </w:r>
    </w:p>
    <w:p w:rsidR="00A20347" w:rsidRPr="00C73C58" w:rsidRDefault="00A20347" w:rsidP="00A20347">
      <w:pPr>
        <w:pStyle w:val="12"/>
      </w:pPr>
      <w:r w:rsidRPr="00C73C58">
        <w:t xml:space="preserve">ISO Abbreviated Title: </w:t>
      </w:r>
    </w:p>
    <w:p w:rsidR="00A20347" w:rsidRPr="00C73C58" w:rsidRDefault="00A20347" w:rsidP="00A20347">
      <w:pPr>
        <w:pStyle w:val="12"/>
      </w:pPr>
      <w:r w:rsidRPr="00C73C58">
        <w:t xml:space="preserve">JCR Abbreviated Title: </w:t>
      </w:r>
    </w:p>
    <w:p w:rsidR="00A20347" w:rsidRPr="00C73C58" w:rsidRDefault="00A20347" w:rsidP="00A20347">
      <w:pPr>
        <w:pStyle w:val="12"/>
      </w:pPr>
      <w:r w:rsidRPr="00C73C58">
        <w:t xml:space="preserve">ISSN: </w:t>
      </w:r>
    </w:p>
    <w:p w:rsidR="00A20347" w:rsidRPr="00C73C58" w:rsidRDefault="00A20347" w:rsidP="00A20347">
      <w:pPr>
        <w:pStyle w:val="12"/>
      </w:pPr>
      <w:r w:rsidRPr="00C73C58">
        <w:t xml:space="preserve">Issues/Year: </w:t>
      </w:r>
    </w:p>
    <w:p w:rsidR="00A20347" w:rsidRPr="00C73C58" w:rsidRDefault="00A20347" w:rsidP="00A20347">
      <w:pPr>
        <w:pStyle w:val="12"/>
      </w:pPr>
      <w:r w:rsidRPr="00C73C58">
        <w:t xml:space="preserve">Journal Country/Territory: </w:t>
      </w:r>
    </w:p>
    <w:p w:rsidR="00A20347" w:rsidRPr="00C73C58" w:rsidRDefault="00A20347" w:rsidP="00A20347">
      <w:pPr>
        <w:pStyle w:val="12"/>
      </w:pPr>
      <w:r w:rsidRPr="00C73C58">
        <w:t xml:space="preserve">Language: </w:t>
      </w:r>
    </w:p>
    <w:p w:rsidR="00A20347" w:rsidRPr="00C73C58" w:rsidRDefault="00A20347" w:rsidP="00A20347">
      <w:pPr>
        <w:pStyle w:val="12"/>
      </w:pPr>
      <w:r w:rsidRPr="00C73C58">
        <w:t xml:space="preserve">Publisher: </w:t>
      </w:r>
    </w:p>
    <w:p w:rsidR="00A20347" w:rsidRPr="00C73C58" w:rsidRDefault="00A20347" w:rsidP="00A20347">
      <w:pPr>
        <w:pStyle w:val="12"/>
      </w:pPr>
      <w:r w:rsidRPr="00C73C58">
        <w:t xml:space="preserve">Publisher Address: </w:t>
      </w:r>
    </w:p>
    <w:p w:rsidR="00A20347" w:rsidRPr="00C73C58" w:rsidRDefault="00A20347" w:rsidP="00A20347">
      <w:pPr>
        <w:pStyle w:val="12"/>
      </w:pPr>
      <w:r w:rsidRPr="00C73C58">
        <w:t xml:space="preserve">Subject Categories: </w:t>
      </w:r>
    </w:p>
    <w:p w:rsidR="00A20347" w:rsidRPr="00C73C58" w:rsidRDefault="00A20347" w:rsidP="00A20347">
      <w:pPr>
        <w:pStyle w:val="12"/>
      </w:pPr>
      <w:r w:rsidRPr="00C73C58">
        <w:t xml:space="preserve">: Impact Factor </w:t>
      </w:r>
    </w:p>
    <w:p w:rsidR="00A20347" w:rsidRDefault="00A20347" w:rsidP="00A20347">
      <w:pPr>
        <w:pStyle w:val="a3"/>
        <w:rPr>
          <w:kern w:val="0"/>
        </w:rPr>
      </w:pPr>
      <w:r>
        <w:rPr>
          <w:rFonts w:hint="eastAsia"/>
          <w:kern w:val="0"/>
        </w:rPr>
        <w:t xml:space="preserve">? </w:t>
      </w:r>
      <w:r>
        <w:rPr>
          <w:kern w:val="0"/>
        </w:rPr>
        <w:t>Hur, D., DiFrancesco, R., Hochreiter, J., Ma, Q., Slish, J., Maponga, C.C.</w:t>
      </w:r>
      <w:r w:rsidR="005853A9">
        <w:rPr>
          <w:kern w:val="0"/>
        </w:rPr>
        <w:t xml:space="preserve"> and </w:t>
      </w:r>
      <w:r>
        <w:rPr>
          <w:kern w:val="0"/>
        </w:rPr>
        <w:t>Morse, G.D. (2007), Review</w:t>
      </w:r>
      <w:r w:rsidR="00427468">
        <w:rPr>
          <w:kern w:val="0"/>
        </w:rPr>
        <w:t xml:space="preserve"> of </w:t>
      </w:r>
      <w:r>
        <w:rPr>
          <w:kern w:val="0"/>
        </w:rPr>
        <w:t xml:space="preserve">HIV-1 protease inhibitor assay methods. </w:t>
      </w:r>
      <w:r w:rsidRPr="0019026B">
        <w:rPr>
          <w:i/>
          <w:iCs/>
          <w:kern w:val="0"/>
        </w:rPr>
        <w:t>Current Pharmaceutical Analysis</w:t>
      </w:r>
      <w:r>
        <w:rPr>
          <w:kern w:val="0"/>
        </w:rPr>
        <w:t xml:space="preserve">, </w:t>
      </w:r>
      <w:r>
        <w:rPr>
          <w:b/>
          <w:bCs/>
          <w:kern w:val="0"/>
        </w:rPr>
        <w:t>3</w:t>
      </w:r>
      <w:r>
        <w:rPr>
          <w:kern w:val="0"/>
        </w:rPr>
        <w:t xml:space="preserve"> (3), 180-185.</w:t>
      </w:r>
    </w:p>
    <w:p w:rsidR="00A20347" w:rsidRDefault="00A20347" w:rsidP="00A20347">
      <w:pPr>
        <w:pStyle w:val="a3"/>
        <w:rPr>
          <w:kern w:val="0"/>
        </w:rPr>
      </w:pPr>
      <w:r>
        <w:rPr>
          <w:kern w:val="0"/>
        </w:rPr>
        <w:t>Abstract: In support</w:t>
      </w:r>
      <w:r w:rsidR="00427468">
        <w:rPr>
          <w:kern w:val="0"/>
        </w:rPr>
        <w:t xml:space="preserve"> of </w:t>
      </w:r>
      <w:r>
        <w:rPr>
          <w:kern w:val="0"/>
        </w:rPr>
        <w:t>individualizing antiretroviral treatment by combining therapeutic drug monitoring (TDM)</w:t>
      </w:r>
      <w:r w:rsidR="005853A9">
        <w:rPr>
          <w:kern w:val="0"/>
        </w:rPr>
        <w:t xml:space="preserve"> and </w:t>
      </w:r>
      <w:r>
        <w:rPr>
          <w:kern w:val="0"/>
        </w:rPr>
        <w:t>HIV resistance tests, numerous assays have been reported in</w:t>
      </w:r>
      <w:r w:rsidR="003A1917">
        <w:rPr>
          <w:kern w:val="0"/>
        </w:rPr>
        <w:t xml:space="preserve"> the </w:t>
      </w:r>
      <w:r>
        <w:rPr>
          <w:kern w:val="0"/>
        </w:rPr>
        <w:t>literature in an attempt to optimize treatment outcomes</w:t>
      </w:r>
      <w:r w:rsidR="00A37C1D">
        <w:rPr>
          <w:kern w:val="0"/>
        </w:rPr>
        <w:t>. The</w:t>
      </w:r>
      <w:r>
        <w:rPr>
          <w:kern w:val="0"/>
        </w:rPr>
        <w:t>se assays vary with regard to analysis method</w:t>
      </w:r>
      <w:r w:rsidR="00427468">
        <w:rPr>
          <w:kern w:val="0"/>
        </w:rPr>
        <w:t xml:space="preserve"> of </w:t>
      </w:r>
      <w:r>
        <w:rPr>
          <w:kern w:val="0"/>
        </w:rPr>
        <w:t>separation</w:t>
      </w:r>
      <w:r w:rsidR="005853A9">
        <w:rPr>
          <w:kern w:val="0"/>
        </w:rPr>
        <w:t xml:space="preserve"> and </w:t>
      </w:r>
      <w:r>
        <w:rPr>
          <w:kern w:val="0"/>
        </w:rPr>
        <w:t>detection such as using high performance liquid chromatography (HPLC) coupled to mass tandem spectrometry (HPLC/MS or HPLC/MSMS) or ultraviolet spectrometry (HPLC/UV). To prepare plasma samples prior to analysis, clinical samples are subject to chemical procedures including solid phase extraction (SPE), liquid-liquid extraction (LLE),</w:t>
      </w:r>
      <w:r w:rsidR="005853A9">
        <w:rPr>
          <w:kern w:val="0"/>
        </w:rPr>
        <w:t xml:space="preserve"> and </w:t>
      </w:r>
      <w:r>
        <w:rPr>
          <w:kern w:val="0"/>
        </w:rPr>
        <w:t xml:space="preserve">protein precipitation (PP). Information searches were performed using database searching tools such as PUBMED,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EMBASE using</w:t>
      </w:r>
      <w:r w:rsidR="003A1917">
        <w:rPr>
          <w:kern w:val="0"/>
        </w:rPr>
        <w:t xml:space="preserve"> the </w:t>
      </w:r>
      <w:r>
        <w:rPr>
          <w:kern w:val="0"/>
        </w:rPr>
        <w:t>key words protease inhibitors, HIV, assay, quantification, determination, therapeutic drug monitoring</w:t>
      </w:r>
      <w:r w:rsidR="005853A9">
        <w:rPr>
          <w:kern w:val="0"/>
        </w:rPr>
        <w:t xml:space="preserve"> and </w:t>
      </w:r>
      <w:r>
        <w:rPr>
          <w:kern w:val="0"/>
        </w:rPr>
        <w:t>pharmacokinetics. Publications were reviewed</w:t>
      </w:r>
      <w:r w:rsidR="005853A9">
        <w:rPr>
          <w:kern w:val="0"/>
        </w:rPr>
        <w:t xml:space="preserve"> and </w:t>
      </w:r>
      <w:r w:rsidR="003A1917">
        <w:rPr>
          <w:kern w:val="0"/>
        </w:rPr>
        <w:t xml:space="preserve">the </w:t>
      </w:r>
      <w:r>
        <w:rPr>
          <w:kern w:val="0"/>
        </w:rPr>
        <w:t>data categorized by</w:t>
      </w:r>
      <w:r w:rsidR="003A1917">
        <w:rPr>
          <w:kern w:val="0"/>
        </w:rPr>
        <w:t xml:space="preserve"> the </w:t>
      </w:r>
      <w:r>
        <w:rPr>
          <w:kern w:val="0"/>
        </w:rPr>
        <w:t>specific protease inhibitor,</w:t>
      </w:r>
      <w:r w:rsidR="003A1917">
        <w:rPr>
          <w:kern w:val="0"/>
        </w:rPr>
        <w:t xml:space="preserve"> the </w:t>
      </w:r>
      <w:r>
        <w:rPr>
          <w:kern w:val="0"/>
        </w:rPr>
        <w:t>limit</w:t>
      </w:r>
      <w:r w:rsidR="00427468">
        <w:rPr>
          <w:kern w:val="0"/>
        </w:rPr>
        <w:t xml:space="preserve"> of </w:t>
      </w:r>
      <w:r>
        <w:rPr>
          <w:kern w:val="0"/>
        </w:rPr>
        <w:t>quantification (LOQ</w:t>
      </w:r>
      <w:r w:rsidR="00F42EAC">
        <w:rPr>
          <w:kern w:val="0"/>
        </w:rPr>
        <w:t>), The</w:t>
      </w:r>
      <w:r w:rsidR="003A1917">
        <w:rPr>
          <w:kern w:val="0"/>
        </w:rPr>
        <w:t xml:space="preserve"> </w:t>
      </w:r>
      <w:r>
        <w:rPr>
          <w:kern w:val="0"/>
        </w:rPr>
        <w:t>type</w:t>
      </w:r>
      <w:r w:rsidR="00427468">
        <w:rPr>
          <w:kern w:val="0"/>
        </w:rPr>
        <w:t xml:space="preserve"> of </w:t>
      </w:r>
      <w:r>
        <w:rPr>
          <w:kern w:val="0"/>
        </w:rPr>
        <w:t>assay, chromatographic conditions, sample preparation,</w:t>
      </w:r>
      <w:r w:rsidR="005853A9">
        <w:rPr>
          <w:kern w:val="0"/>
        </w:rPr>
        <w:t xml:space="preserve"> and </w:t>
      </w:r>
      <w:r>
        <w:rPr>
          <w:kern w:val="0"/>
        </w:rPr>
        <w:t>total assay run time</w:t>
      </w:r>
      <w:r w:rsidR="00A37C1D">
        <w:rPr>
          <w:kern w:val="0"/>
        </w:rPr>
        <w:t>. The</w:t>
      </w:r>
      <w:r w:rsidR="003A1917">
        <w:rPr>
          <w:kern w:val="0"/>
        </w:rPr>
        <w:t xml:space="preserve"> </w:t>
      </w:r>
      <w:r>
        <w:rPr>
          <w:kern w:val="0"/>
        </w:rPr>
        <w:t>analytical methods summarized in</w:t>
      </w:r>
      <w:r w:rsidR="003A1917">
        <w:rPr>
          <w:kern w:val="0"/>
        </w:rPr>
        <w:t xml:space="preserve"> the </w:t>
      </w:r>
      <w:r>
        <w:rPr>
          <w:kern w:val="0"/>
        </w:rPr>
        <w:t>review reflect</w:t>
      </w:r>
      <w:r w:rsidR="003A1917">
        <w:rPr>
          <w:kern w:val="0"/>
        </w:rPr>
        <w:t xml:space="preserve"> the </w:t>
      </w:r>
      <w:r>
        <w:rPr>
          <w:kern w:val="0"/>
        </w:rPr>
        <w:t>timeframe since</w:t>
      </w:r>
      <w:r w:rsidR="003A1917">
        <w:rPr>
          <w:kern w:val="0"/>
        </w:rPr>
        <w:t xml:space="preserve"> the </w:t>
      </w:r>
      <w:r>
        <w:rPr>
          <w:kern w:val="0"/>
        </w:rPr>
        <w:t>PI were introduced, their eventual combination with ritonavir, transitioning toward once or twice daily dosing</w:t>
      </w:r>
      <w:r w:rsidR="005853A9">
        <w:rPr>
          <w:kern w:val="0"/>
        </w:rPr>
        <w:t xml:space="preserve"> and </w:t>
      </w:r>
      <w:r>
        <w:rPr>
          <w:kern w:val="0"/>
        </w:rPr>
        <w:t>more recently their use in simplified regimes for chronic dosing. As antiretrovirals are introduced into developing countries additional considerations related to drug quality</w:t>
      </w:r>
      <w:r w:rsidR="005853A9">
        <w:rPr>
          <w:kern w:val="0"/>
        </w:rPr>
        <w:t xml:space="preserve"> and </w:t>
      </w:r>
      <w:r>
        <w:rPr>
          <w:kern w:val="0"/>
        </w:rPr>
        <w:t>potency may require that laboratories adapt these assays in support</w:t>
      </w:r>
      <w:r w:rsidR="00427468">
        <w:rPr>
          <w:kern w:val="0"/>
        </w:rPr>
        <w:t xml:space="preserve"> of </w:t>
      </w:r>
      <w:r>
        <w:rPr>
          <w:kern w:val="0"/>
        </w:rPr>
        <w:t>clinical pharmacology research</w:t>
      </w:r>
      <w:r w:rsidR="005853A9">
        <w:rPr>
          <w:kern w:val="0"/>
        </w:rPr>
        <w:t xml:space="preserve"> and </w:t>
      </w:r>
      <w:r>
        <w:rPr>
          <w:kern w:val="0"/>
        </w:rPr>
        <w:t>patient monitoring.</w:t>
      </w:r>
    </w:p>
    <w:p w:rsidR="00A20347" w:rsidRDefault="00A20347" w:rsidP="00A20347">
      <w:pPr>
        <w:pStyle w:val="a3"/>
        <w:rPr>
          <w:kern w:val="0"/>
        </w:rPr>
      </w:pPr>
      <w:r>
        <w:rPr>
          <w:kern w:val="0"/>
        </w:rPr>
        <w:t xml:space="preserve">Keywords: Active Metabolite M8, Analysis, Antiretroviral, Antiretroviral Drugs, Blood </w:t>
      </w:r>
      <w:r>
        <w:rPr>
          <w:kern w:val="0"/>
        </w:rPr>
        <w:lastRenderedPageBreak/>
        <w:t xml:space="preserve">Mononuclear-Cells, Developing Countries, Drug, Embase, Hiv, Human Plasma, Infected Patients, Literature, </w:t>
      </w:r>
      <w:r w:rsidR="00D5664A">
        <w:rPr>
          <w:kern w:val="0"/>
        </w:rPr>
        <w:t>MEDLINE</w:t>
      </w:r>
      <w:r>
        <w:rPr>
          <w:kern w:val="0"/>
        </w:rPr>
        <w:t xml:space="preserve">, Monitoring, Outcomes, Performance Liquid-Chromatography, Plasma, Preparation, Publications, Pubmed, Quantitative-Determination, Research, Resistance, Reverse-Transcriptase Inhibitors, Review, Science, Solid-Phase Extraction, Tandem Mass-Spectrometry, Treatment, </w:t>
      </w:r>
      <w:r w:rsidR="00D5664A">
        <w:rPr>
          <w:kern w:val="0"/>
        </w:rPr>
        <w:t>Web</w:t>
      </w:r>
      <w:r w:rsidR="00427468">
        <w:rPr>
          <w:kern w:val="0"/>
        </w:rPr>
        <w:t xml:space="preserve"> of </w:t>
      </w:r>
      <w:r w:rsidR="00D5664A">
        <w:rPr>
          <w:kern w:val="0"/>
        </w:rPr>
        <w:t>Science</w:t>
      </w:r>
    </w:p>
    <w:p w:rsidR="00A20347" w:rsidRPr="00C73C58" w:rsidRDefault="00A20347" w:rsidP="00A20347">
      <w:pPr>
        <w:pStyle w:val="1"/>
      </w:pPr>
      <w:r w:rsidRPr="00C73C58">
        <w:br w:type="page"/>
      </w:r>
      <w:bookmarkStart w:id="486" w:name="_Toc420815163"/>
      <w:r w:rsidRPr="00C73C58">
        <w:lastRenderedPageBreak/>
        <w:t xml:space="preserve">Title: </w:t>
      </w:r>
      <w:r w:rsidR="00585033" w:rsidRPr="00585033">
        <w:t>Current Pharmaceutical Design</w:t>
      </w:r>
      <w:bookmarkEnd w:id="486"/>
    </w:p>
    <w:p w:rsidR="00A20347" w:rsidRPr="00C73C58" w:rsidRDefault="00A20347" w:rsidP="00A20347">
      <w:pPr>
        <w:pStyle w:val="12"/>
      </w:pPr>
      <w:r w:rsidRPr="00C73C58">
        <w:t xml:space="preserve">Full Journal Title: </w:t>
      </w:r>
      <w:r w:rsidR="00585033" w:rsidRPr="00585033">
        <w:rPr>
          <w:iCs/>
          <w:kern w:val="0"/>
        </w:rPr>
        <w:t>Current Pharmaceutical Design</w:t>
      </w:r>
    </w:p>
    <w:p w:rsidR="00A20347" w:rsidRPr="00C73C58" w:rsidRDefault="00A20347" w:rsidP="00A20347">
      <w:pPr>
        <w:pStyle w:val="12"/>
      </w:pPr>
      <w:r w:rsidRPr="00C73C58">
        <w:t xml:space="preserve">ISO Abbreviated Title: </w:t>
      </w:r>
    </w:p>
    <w:p w:rsidR="00A20347" w:rsidRPr="00C73C58" w:rsidRDefault="00A20347" w:rsidP="00A20347">
      <w:pPr>
        <w:pStyle w:val="12"/>
      </w:pPr>
      <w:r w:rsidRPr="00C73C58">
        <w:t xml:space="preserve">JCR Abbreviated Title: </w:t>
      </w:r>
    </w:p>
    <w:p w:rsidR="00A20347" w:rsidRPr="00C73C58" w:rsidRDefault="00A20347" w:rsidP="00A20347">
      <w:pPr>
        <w:pStyle w:val="12"/>
      </w:pPr>
      <w:r w:rsidRPr="00C73C58">
        <w:t xml:space="preserve">ISSN: </w:t>
      </w:r>
    </w:p>
    <w:p w:rsidR="00A20347" w:rsidRPr="00C73C58" w:rsidRDefault="00A20347" w:rsidP="00A20347">
      <w:pPr>
        <w:pStyle w:val="12"/>
      </w:pPr>
      <w:r w:rsidRPr="00C73C58">
        <w:t xml:space="preserve">Issues/Year: </w:t>
      </w:r>
    </w:p>
    <w:p w:rsidR="00A20347" w:rsidRPr="00C73C58" w:rsidRDefault="00A20347" w:rsidP="00A20347">
      <w:pPr>
        <w:pStyle w:val="12"/>
      </w:pPr>
      <w:r w:rsidRPr="00C73C58">
        <w:t xml:space="preserve">Journal Country/Territory: </w:t>
      </w:r>
    </w:p>
    <w:p w:rsidR="00A20347" w:rsidRPr="00C73C58" w:rsidRDefault="00A20347" w:rsidP="00A20347">
      <w:pPr>
        <w:pStyle w:val="12"/>
      </w:pPr>
      <w:r w:rsidRPr="00C73C58">
        <w:t xml:space="preserve">Language: </w:t>
      </w:r>
    </w:p>
    <w:p w:rsidR="00A20347" w:rsidRPr="00C73C58" w:rsidRDefault="00A20347" w:rsidP="00A20347">
      <w:pPr>
        <w:pStyle w:val="12"/>
      </w:pPr>
      <w:r w:rsidRPr="00C73C58">
        <w:t xml:space="preserve">Publisher: </w:t>
      </w:r>
    </w:p>
    <w:p w:rsidR="00A20347" w:rsidRPr="00C73C58" w:rsidRDefault="00A20347" w:rsidP="00A20347">
      <w:pPr>
        <w:pStyle w:val="12"/>
      </w:pPr>
      <w:r w:rsidRPr="00C73C58">
        <w:t xml:space="preserve">Publisher Address: </w:t>
      </w:r>
    </w:p>
    <w:p w:rsidR="00A20347" w:rsidRPr="00C73C58" w:rsidRDefault="00A20347" w:rsidP="00A20347">
      <w:pPr>
        <w:pStyle w:val="12"/>
      </w:pPr>
      <w:r w:rsidRPr="00C73C58">
        <w:t xml:space="preserve">Subject Categories: </w:t>
      </w:r>
    </w:p>
    <w:p w:rsidR="00A20347" w:rsidRPr="00C73C58" w:rsidRDefault="00A20347" w:rsidP="00A20347">
      <w:pPr>
        <w:pStyle w:val="12"/>
      </w:pPr>
      <w:r w:rsidRPr="00C73C58">
        <w:t xml:space="preserve">: Impact Factor </w:t>
      </w:r>
    </w:p>
    <w:p w:rsidR="00A20347" w:rsidRDefault="00A20347" w:rsidP="00A20347">
      <w:pPr>
        <w:pStyle w:val="a3"/>
        <w:rPr>
          <w:kern w:val="0"/>
        </w:rPr>
      </w:pPr>
      <w:r>
        <w:rPr>
          <w:rFonts w:hint="eastAsia"/>
          <w:kern w:val="0"/>
        </w:rPr>
        <w:t xml:space="preserve">? </w:t>
      </w:r>
      <w:r>
        <w:rPr>
          <w:kern w:val="0"/>
        </w:rPr>
        <w:t>Hasani-Ranjbar, S., Nayebi, N., Moradi, L., Mehri, A., Larijani, B.</w:t>
      </w:r>
      <w:r w:rsidR="005853A9">
        <w:rPr>
          <w:kern w:val="0"/>
        </w:rPr>
        <w:t xml:space="preserve"> and </w:t>
      </w:r>
      <w:r>
        <w:rPr>
          <w:kern w:val="0"/>
        </w:rPr>
        <w:t>Abdollahi, M. (2010</w:t>
      </w:r>
      <w:r w:rsidR="00F42EAC">
        <w:rPr>
          <w:kern w:val="0"/>
        </w:rPr>
        <w:t>), The</w:t>
      </w:r>
      <w:r w:rsidR="003A1917">
        <w:rPr>
          <w:kern w:val="0"/>
        </w:rPr>
        <w:t xml:space="preserve"> </w:t>
      </w:r>
      <w:r>
        <w:rPr>
          <w:kern w:val="0"/>
        </w:rPr>
        <w:t>efficacy</w:t>
      </w:r>
      <w:r w:rsidR="005853A9">
        <w:rPr>
          <w:kern w:val="0"/>
        </w:rPr>
        <w:t xml:space="preserve"> and </w:t>
      </w:r>
      <w:r>
        <w:rPr>
          <w:kern w:val="0"/>
        </w:rPr>
        <w:t>safety</w:t>
      </w:r>
      <w:r w:rsidR="00427468">
        <w:rPr>
          <w:kern w:val="0"/>
        </w:rPr>
        <w:t xml:space="preserve"> of </w:t>
      </w:r>
      <w:r>
        <w:rPr>
          <w:kern w:val="0"/>
        </w:rPr>
        <w:t>herbal medicines used in</w:t>
      </w:r>
      <w:r w:rsidR="003A1917">
        <w:rPr>
          <w:kern w:val="0"/>
        </w:rPr>
        <w:t xml:space="preserve"> the </w:t>
      </w:r>
      <w:r>
        <w:rPr>
          <w:kern w:val="0"/>
        </w:rPr>
        <w:t>treatment</w:t>
      </w:r>
      <w:r w:rsidR="00427468">
        <w:rPr>
          <w:kern w:val="0"/>
        </w:rPr>
        <w:t xml:space="preserve"> of </w:t>
      </w:r>
      <w:r>
        <w:rPr>
          <w:kern w:val="0"/>
        </w:rPr>
        <w:t>hyperlipidemia</w:t>
      </w:r>
      <w:r>
        <w:rPr>
          <w:rFonts w:hint="eastAsia"/>
          <w:kern w:val="0"/>
        </w:rPr>
        <w:t>:</w:t>
      </w:r>
      <w:r>
        <w:rPr>
          <w:kern w:val="0"/>
        </w:rPr>
        <w:t xml:space="preserve"> A systematic review. </w:t>
      </w:r>
      <w:r w:rsidRPr="00585033">
        <w:rPr>
          <w:i/>
          <w:iCs/>
          <w:kern w:val="0"/>
        </w:rPr>
        <w:t>Current Pharmaceutical Design</w:t>
      </w:r>
      <w:r>
        <w:rPr>
          <w:kern w:val="0"/>
        </w:rPr>
        <w:t xml:space="preserve">, </w:t>
      </w:r>
      <w:r>
        <w:rPr>
          <w:b/>
          <w:bCs/>
          <w:kern w:val="0"/>
        </w:rPr>
        <w:t>16</w:t>
      </w:r>
      <w:r>
        <w:rPr>
          <w:kern w:val="0"/>
        </w:rPr>
        <w:t xml:space="preserve"> (26), 2935-2947.</w:t>
      </w:r>
    </w:p>
    <w:p w:rsidR="00A20347" w:rsidRDefault="00A20347" w:rsidP="00A20347">
      <w:pPr>
        <w:pStyle w:val="a3"/>
        <w:rPr>
          <w:kern w:val="0"/>
        </w:rPr>
      </w:pPr>
      <w:r>
        <w:rPr>
          <w:kern w:val="0"/>
        </w:rPr>
        <w:t>Abstract: Objective: This review focuses on</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effective herbal medicines in</w:t>
      </w:r>
      <w:r w:rsidR="003A1917">
        <w:rPr>
          <w:kern w:val="0"/>
        </w:rPr>
        <w:t xml:space="preserve"> the </w:t>
      </w:r>
      <w:r>
        <w:rPr>
          <w:kern w:val="0"/>
        </w:rPr>
        <w:t>management</w:t>
      </w:r>
      <w:r w:rsidR="00427468">
        <w:rPr>
          <w:kern w:val="0"/>
        </w:rPr>
        <w:t xml:space="preserve"> of </w:t>
      </w:r>
      <w:r>
        <w:rPr>
          <w:kern w:val="0"/>
        </w:rPr>
        <w:t xml:space="preserve">hyperlipidemia in human. Methods: PUBMED, Scopus, Google Scholar,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IranMedex databases were searched up to 11(th) May 2010</w:t>
      </w:r>
      <w:r w:rsidR="00A37C1D">
        <w:rPr>
          <w:kern w:val="0"/>
        </w:rPr>
        <w:t>. The</w:t>
      </w:r>
      <w:r w:rsidR="003A1917">
        <w:rPr>
          <w:kern w:val="0"/>
        </w:rPr>
        <w:t xml:space="preserve"> </w:t>
      </w:r>
      <w:r>
        <w:rPr>
          <w:kern w:val="0"/>
        </w:rPr>
        <w:t xml:space="preserve">search terms were </w:t>
      </w:r>
      <w:r w:rsidR="00B5188C">
        <w:rPr>
          <w:kern w:val="0"/>
        </w:rPr>
        <w:t>“</w:t>
      </w:r>
      <w:r>
        <w:rPr>
          <w:kern w:val="0"/>
        </w:rPr>
        <w:t>hyperlipidemia</w:t>
      </w:r>
      <w:r w:rsidR="00B5188C">
        <w:rPr>
          <w:kern w:val="0"/>
        </w:rPr>
        <w:t>”</w:t>
      </w:r>
      <w:r w:rsidR="005853A9">
        <w:rPr>
          <w:kern w:val="0"/>
        </w:rPr>
        <w:t xml:space="preserve"> and </w:t>
      </w:r>
      <w:r>
        <w:rPr>
          <w:kern w:val="0"/>
        </w:rPr>
        <w:t>(</w:t>
      </w:r>
      <w:r w:rsidR="00B5188C">
        <w:rPr>
          <w:kern w:val="0"/>
        </w:rPr>
        <w:t>“</w:t>
      </w:r>
      <w:r>
        <w:rPr>
          <w:kern w:val="0"/>
        </w:rPr>
        <w:t>herbal medicine</w:t>
      </w:r>
      <w:r w:rsidR="00B5188C">
        <w:rPr>
          <w:kern w:val="0"/>
        </w:rPr>
        <w:t>”</w:t>
      </w:r>
      <w:r>
        <w:rPr>
          <w:kern w:val="0"/>
        </w:rPr>
        <w:t xml:space="preserve"> or </w:t>
      </w:r>
      <w:r w:rsidR="00B5188C">
        <w:rPr>
          <w:kern w:val="0"/>
        </w:rPr>
        <w:t>“</w:t>
      </w:r>
      <w:r>
        <w:rPr>
          <w:kern w:val="0"/>
        </w:rPr>
        <w:t>medicine traditional</w:t>
      </w:r>
      <w:r w:rsidR="00B5188C">
        <w:rPr>
          <w:kern w:val="0"/>
        </w:rPr>
        <w:t>”</w:t>
      </w:r>
      <w:r>
        <w:rPr>
          <w:kern w:val="0"/>
        </w:rPr>
        <w:t xml:space="preserve">, </w:t>
      </w:r>
      <w:r w:rsidR="00B5188C">
        <w:rPr>
          <w:kern w:val="0"/>
        </w:rPr>
        <w:t>“</w:t>
      </w:r>
      <w:r>
        <w:rPr>
          <w:kern w:val="0"/>
        </w:rPr>
        <w:t>extract plant</w:t>
      </w:r>
      <w:r w:rsidR="00B5188C">
        <w:rPr>
          <w:kern w:val="0"/>
        </w:rPr>
        <w:t>”</w:t>
      </w:r>
      <w:r>
        <w:rPr>
          <w:kern w:val="0"/>
        </w:rPr>
        <w:t>) without narrowing or limiting search elements. All</w:t>
      </w:r>
      <w:r w:rsidR="00427468">
        <w:rPr>
          <w:kern w:val="0"/>
        </w:rPr>
        <w:t xml:space="preserve"> of </w:t>
      </w:r>
      <w:r w:rsidR="003A1917">
        <w:rPr>
          <w:kern w:val="0"/>
        </w:rPr>
        <w:t xml:space="preserve">the </w:t>
      </w:r>
      <w:r>
        <w:rPr>
          <w:kern w:val="0"/>
        </w:rPr>
        <w:t>human studies on</w:t>
      </w:r>
      <w:r w:rsidR="003A1917">
        <w:rPr>
          <w:kern w:val="0"/>
        </w:rPr>
        <w:t xml:space="preserve"> the </w:t>
      </w:r>
      <w:r>
        <w:rPr>
          <w:kern w:val="0"/>
        </w:rPr>
        <w:t>effects</w:t>
      </w:r>
      <w:r w:rsidR="00427468">
        <w:rPr>
          <w:kern w:val="0"/>
        </w:rPr>
        <w:t xml:space="preserve"> of </w:t>
      </w:r>
      <w:r>
        <w:rPr>
          <w:kern w:val="0"/>
        </w:rPr>
        <w:t>herbs with</w:t>
      </w:r>
      <w:r w:rsidR="003A1917">
        <w:rPr>
          <w:kern w:val="0"/>
        </w:rPr>
        <w:t xml:space="preserve"> the </w:t>
      </w:r>
      <w:r>
        <w:rPr>
          <w:kern w:val="0"/>
        </w:rPr>
        <w:t>key outcome</w:t>
      </w:r>
      <w:r w:rsidR="00427468">
        <w:rPr>
          <w:kern w:val="0"/>
        </w:rPr>
        <w:t xml:space="preserve"> of </w:t>
      </w:r>
      <w:r>
        <w:rPr>
          <w:kern w:val="0"/>
        </w:rPr>
        <w:t>change in lipid profiles were included. Results: Fifty three relevant clinical trials were reviewed for efficacy</w:t>
      </w:r>
      <w:r w:rsidR="00427468">
        <w:rPr>
          <w:kern w:val="0"/>
        </w:rPr>
        <w:t xml:space="preserve"> of </w:t>
      </w:r>
      <w:r>
        <w:rPr>
          <w:kern w:val="0"/>
        </w:rPr>
        <w:t>plants. This study showed significant decrease in total cholesterol</w:t>
      </w:r>
      <w:r w:rsidR="005853A9">
        <w:rPr>
          <w:kern w:val="0"/>
        </w:rPr>
        <w:t xml:space="preserve"> and </w:t>
      </w:r>
      <w:r>
        <w:rPr>
          <w:kern w:val="0"/>
        </w:rPr>
        <w:t>LDL cholesterol after treatment with Daming capsule (DMC), chunghyul-dan, Glycyrrhiza glabra, garlic powder (Allicor), black tea, green tea, soy drink enriched with plant sterols, licorice, Satureja khuzestanica, Monascus purpureus Went rice, Fenugreek, Commiphora mukul (guggul), Achillea wilhelmsii C. Koch, Ningzhi capsule (NZC), cherry, compositie salviae dropping pill (CSDP), shanzha xiaozhi capsule, Ba-wei-wan (hachimijiogan), rhubarb stalk, Silybum marianum, Rheum Ribes</w:t>
      </w:r>
      <w:r w:rsidR="005853A9">
        <w:rPr>
          <w:kern w:val="0"/>
        </w:rPr>
        <w:t xml:space="preserve"> and </w:t>
      </w:r>
      <w:r>
        <w:rPr>
          <w:kern w:val="0"/>
        </w:rPr>
        <w:t>Jingmingdan granule (primrose oil). Conflicting data exist for red yeast rice, garlic</w:t>
      </w:r>
      <w:r w:rsidR="005853A9">
        <w:rPr>
          <w:kern w:val="0"/>
        </w:rPr>
        <w:t xml:space="preserve"> and </w:t>
      </w:r>
      <w:r>
        <w:rPr>
          <w:kern w:val="0"/>
        </w:rPr>
        <w:t>guggul. No significant adverse effect or mortality were observed except in studies with DMC, guggul,</w:t>
      </w:r>
      <w:r w:rsidR="005853A9">
        <w:rPr>
          <w:kern w:val="0"/>
        </w:rPr>
        <w:t xml:space="preserve"> and </w:t>
      </w:r>
      <w:r>
        <w:rPr>
          <w:kern w:val="0"/>
        </w:rPr>
        <w:t>Terminalia belerica, Terminalia chebula, Emblica officinalis, ginger,</w:t>
      </w:r>
      <w:r w:rsidR="005853A9">
        <w:rPr>
          <w:kern w:val="0"/>
        </w:rPr>
        <w:t xml:space="preserve"> and </w:t>
      </w:r>
      <w:r>
        <w:rPr>
          <w:kern w:val="0"/>
        </w:rPr>
        <w:t>garlic powder (Allium sativum). Conclusion: Amongst reviewed studies, 22 natural products were found effective in</w:t>
      </w:r>
      <w:r w:rsidR="003A1917">
        <w:rPr>
          <w:kern w:val="0"/>
        </w:rPr>
        <w:t xml:space="preserve"> the </w:t>
      </w:r>
      <w:r>
        <w:rPr>
          <w:kern w:val="0"/>
        </w:rPr>
        <w:t>treatment</w:t>
      </w:r>
      <w:r w:rsidR="00427468">
        <w:rPr>
          <w:kern w:val="0"/>
        </w:rPr>
        <w:t xml:space="preserve"> of </w:t>
      </w:r>
      <w:r>
        <w:rPr>
          <w:kern w:val="0"/>
        </w:rPr>
        <w:t>hyperlipidemia that deserve further works to isolate</w:t>
      </w:r>
      <w:r w:rsidR="005853A9">
        <w:rPr>
          <w:kern w:val="0"/>
        </w:rPr>
        <w:t xml:space="preserve"> and </w:t>
      </w:r>
      <w:r>
        <w:rPr>
          <w:kern w:val="0"/>
        </w:rPr>
        <w:t>characterization</w:t>
      </w:r>
      <w:r w:rsidR="00427468">
        <w:rPr>
          <w:kern w:val="0"/>
        </w:rPr>
        <w:t xml:space="preserve"> of </w:t>
      </w:r>
      <w:r>
        <w:rPr>
          <w:kern w:val="0"/>
        </w:rPr>
        <w:t>their constituents to reach novel therapeutic</w:t>
      </w:r>
      <w:r w:rsidR="005853A9">
        <w:rPr>
          <w:kern w:val="0"/>
        </w:rPr>
        <w:t xml:space="preserve"> </w:t>
      </w:r>
      <w:r w:rsidR="005853A9">
        <w:rPr>
          <w:kern w:val="0"/>
        </w:rPr>
        <w:lastRenderedPageBreak/>
        <w:t xml:space="preserve">and </w:t>
      </w:r>
      <w:r>
        <w:rPr>
          <w:kern w:val="0"/>
        </w:rPr>
        <w:t>more effective agents.</w:t>
      </w:r>
    </w:p>
    <w:p w:rsidR="00A20347" w:rsidRDefault="00A20347" w:rsidP="00A20347">
      <w:pPr>
        <w:pStyle w:val="a3"/>
        <w:rPr>
          <w:kern w:val="0"/>
        </w:rPr>
      </w:pPr>
      <w:r>
        <w:rPr>
          <w:kern w:val="0"/>
        </w:rPr>
        <w:t xml:space="preserve">Keywords: Clinical Trials, Colesevelam Hydrochloride, Coronary-Heart-Disease, Databases, Density-Lipoprotein-Cholesterol, Efficacy, Extract Plant, Garlic-Powder Tablets, Google Scholar, Herbal Medicine, Human, Hyperlipidemia, Ldl, Lipid, Management, Medicine Traditional, Methods, Mortality, Outcome, Oxidative Stress, Placebo-Controlled-Trial, Plant, Plants, Plasma-Lipid Levels, Primary Hypercholesterolemia, Pubmed, Randomized Controlled-Trial, Red-Yeast-Rice, Review, Safety, Science, Scopus, Systematic, Systematic Review, Total Cholesterol, Treatment, </w:t>
      </w:r>
      <w:r w:rsidR="00D5664A">
        <w:rPr>
          <w:kern w:val="0"/>
        </w:rPr>
        <w:t>Web</w:t>
      </w:r>
      <w:r w:rsidR="00427468">
        <w:rPr>
          <w:kern w:val="0"/>
        </w:rPr>
        <w:t xml:space="preserve"> of </w:t>
      </w:r>
      <w:r w:rsidR="00D5664A">
        <w:rPr>
          <w:kern w:val="0"/>
        </w:rPr>
        <w:t>Science</w:t>
      </w:r>
    </w:p>
    <w:p w:rsidR="00A20347" w:rsidRDefault="00A20347" w:rsidP="00A20347">
      <w:pPr>
        <w:pStyle w:val="a3"/>
        <w:rPr>
          <w:kern w:val="0"/>
        </w:rPr>
      </w:pPr>
      <w:r>
        <w:rPr>
          <w:rFonts w:hint="eastAsia"/>
          <w:kern w:val="0"/>
        </w:rPr>
        <w:t xml:space="preserve">? </w:t>
      </w:r>
      <w:r>
        <w:rPr>
          <w:kern w:val="0"/>
        </w:rPr>
        <w:t>Nikfar, S., Mirfazaelian, H.</w:t>
      </w:r>
      <w:r w:rsidR="005853A9">
        <w:rPr>
          <w:kern w:val="0"/>
        </w:rPr>
        <w:t xml:space="preserve"> and </w:t>
      </w:r>
      <w:r>
        <w:rPr>
          <w:kern w:val="0"/>
        </w:rPr>
        <w:t>Abdollahi, M. (2010), Efficacy</w:t>
      </w:r>
      <w:r w:rsidR="005853A9">
        <w:rPr>
          <w:kern w:val="0"/>
        </w:rPr>
        <w:t xml:space="preserve"> and </w:t>
      </w:r>
      <w:r>
        <w:rPr>
          <w:kern w:val="0"/>
        </w:rPr>
        <w:t>tolerability</w:t>
      </w:r>
      <w:r w:rsidR="00427468">
        <w:rPr>
          <w:kern w:val="0"/>
        </w:rPr>
        <w:t xml:space="preserve"> of </w:t>
      </w:r>
      <w:r>
        <w:rPr>
          <w:kern w:val="0"/>
        </w:rPr>
        <w:t>immunoregulators</w:t>
      </w:r>
      <w:r w:rsidR="005853A9">
        <w:rPr>
          <w:kern w:val="0"/>
        </w:rPr>
        <w:t xml:space="preserve"> and </w:t>
      </w:r>
      <w:r>
        <w:rPr>
          <w:kern w:val="0"/>
        </w:rPr>
        <w:t>antibiotics in fistulizing crohn</w:t>
      </w:r>
      <w:r w:rsidR="0071223E">
        <w:rPr>
          <w:kern w:val="0"/>
        </w:rPr>
        <w:t>’</w:t>
      </w:r>
      <w:r w:rsidR="00C13DDC">
        <w:rPr>
          <w:kern w:val="0"/>
        </w:rPr>
        <w:t>s</w:t>
      </w:r>
      <w:r>
        <w:rPr>
          <w:kern w:val="0"/>
        </w:rPr>
        <w:t xml:space="preserve"> disease: A systematic review</w:t>
      </w:r>
      <w:r w:rsidR="005853A9">
        <w:rPr>
          <w:kern w:val="0"/>
        </w:rPr>
        <w:t xml:space="preserve"> and </w:t>
      </w:r>
      <w:r>
        <w:rPr>
          <w:kern w:val="0"/>
        </w:rPr>
        <w:t>meta-analysis</w:t>
      </w:r>
      <w:r w:rsidR="00427468">
        <w:rPr>
          <w:kern w:val="0"/>
        </w:rPr>
        <w:t xml:space="preserve"> of </w:t>
      </w:r>
      <w:r>
        <w:rPr>
          <w:kern w:val="0"/>
        </w:rPr>
        <w:t xml:space="preserve">placebo-controlled trials. </w:t>
      </w:r>
      <w:r>
        <w:rPr>
          <w:i/>
          <w:iCs/>
          <w:kern w:val="0"/>
        </w:rPr>
        <w:t>Current Pharmaceutical Design</w:t>
      </w:r>
      <w:r>
        <w:rPr>
          <w:kern w:val="0"/>
        </w:rPr>
        <w:t xml:space="preserve">, </w:t>
      </w:r>
      <w:r>
        <w:rPr>
          <w:b/>
          <w:bCs/>
          <w:kern w:val="0"/>
        </w:rPr>
        <w:t>16</w:t>
      </w:r>
      <w:r>
        <w:rPr>
          <w:kern w:val="0"/>
        </w:rPr>
        <w:t xml:space="preserve"> (33), 3684-3698.</w:t>
      </w:r>
    </w:p>
    <w:p w:rsidR="00A20347" w:rsidRDefault="00A20347" w:rsidP="00A20347">
      <w:pPr>
        <w:pStyle w:val="a3"/>
        <w:rPr>
          <w:kern w:val="0"/>
        </w:rPr>
      </w:pPr>
      <w:r>
        <w:rPr>
          <w:kern w:val="0"/>
        </w:rPr>
        <w:t>Abstract: Objective: This meta-analysis</w:t>
      </w:r>
      <w:r w:rsidR="00427468">
        <w:rPr>
          <w:kern w:val="0"/>
        </w:rPr>
        <w:t xml:space="preserve"> of </w:t>
      </w:r>
      <w:r>
        <w:rPr>
          <w:kern w:val="0"/>
        </w:rPr>
        <w:t>randomized controlled trials was conducted to evaluate</w:t>
      </w:r>
      <w:r w:rsidR="003A1917">
        <w:rPr>
          <w:kern w:val="0"/>
        </w:rPr>
        <w:t xml:space="preserve"> the </w:t>
      </w:r>
      <w:r>
        <w:rPr>
          <w:kern w:val="0"/>
        </w:rPr>
        <w:t>efficacy</w:t>
      </w:r>
      <w:r w:rsidR="005853A9">
        <w:rPr>
          <w:kern w:val="0"/>
        </w:rPr>
        <w:t xml:space="preserve"> and </w:t>
      </w:r>
      <w:r>
        <w:rPr>
          <w:kern w:val="0"/>
        </w:rPr>
        <w:t>tolerability</w:t>
      </w:r>
      <w:r w:rsidR="00427468">
        <w:rPr>
          <w:kern w:val="0"/>
        </w:rPr>
        <w:t xml:space="preserve"> of </w:t>
      </w:r>
      <w:r>
        <w:rPr>
          <w:kern w:val="0"/>
        </w:rPr>
        <w:t>two drug groups (immunoregulators</w:t>
      </w:r>
      <w:r w:rsidR="005853A9">
        <w:rPr>
          <w:kern w:val="0"/>
        </w:rPr>
        <w:t xml:space="preserve"> and </w:t>
      </w:r>
      <w:r>
        <w:rPr>
          <w:kern w:val="0"/>
        </w:rPr>
        <w:t>antibiotics) in</w:t>
      </w:r>
      <w:r w:rsidR="003A1917">
        <w:rPr>
          <w:kern w:val="0"/>
        </w:rPr>
        <w:t xml:space="preserve"> the </w:t>
      </w:r>
      <w:r>
        <w:rPr>
          <w:kern w:val="0"/>
        </w:rPr>
        <w:t>treatment</w:t>
      </w:r>
      <w:r w:rsidR="00427468">
        <w:rPr>
          <w:kern w:val="0"/>
        </w:rPr>
        <w:t xml:space="preserve"> of </w:t>
      </w:r>
      <w:r>
        <w:rPr>
          <w:kern w:val="0"/>
        </w:rPr>
        <w:t>fistula in Crohn</w:t>
      </w:r>
      <w:r w:rsidR="0071223E">
        <w:rPr>
          <w:kern w:val="0"/>
        </w:rPr>
        <w:t>’</w:t>
      </w:r>
      <w:r w:rsidR="00C13DDC">
        <w:rPr>
          <w:kern w:val="0"/>
        </w:rPr>
        <w:t>s</w:t>
      </w:r>
      <w:r>
        <w:rPr>
          <w:kern w:val="0"/>
        </w:rPr>
        <w:t xml:space="preserve"> disease (CD). Methods: PUBMED, EMBASE, Scopus, Google Scholar,</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clinical trial studies investigated</w:t>
      </w:r>
      <w:r w:rsidR="003A1917">
        <w:rPr>
          <w:kern w:val="0"/>
        </w:rPr>
        <w:t xml:space="preserve"> the </w:t>
      </w:r>
      <w:r>
        <w:rPr>
          <w:kern w:val="0"/>
        </w:rPr>
        <w:t>effects</w:t>
      </w:r>
      <w:r w:rsidR="00427468">
        <w:rPr>
          <w:kern w:val="0"/>
        </w:rPr>
        <w:t xml:space="preserve"> of </w:t>
      </w:r>
      <w:r>
        <w:rPr>
          <w:kern w:val="0"/>
        </w:rPr>
        <w:t>immunoregulators</w:t>
      </w:r>
      <w:r w:rsidR="005853A9">
        <w:rPr>
          <w:kern w:val="0"/>
        </w:rPr>
        <w:t xml:space="preserve"> and </w:t>
      </w:r>
      <w:r>
        <w:rPr>
          <w:kern w:val="0"/>
        </w:rPr>
        <w:t>antibiotics in</w:t>
      </w:r>
      <w:r w:rsidR="003A1917">
        <w:rPr>
          <w:kern w:val="0"/>
        </w:rPr>
        <w:t xml:space="preserve"> the </w:t>
      </w:r>
      <w:r>
        <w:rPr>
          <w:kern w:val="0"/>
        </w:rPr>
        <w:t>treatment</w:t>
      </w:r>
      <w:r w:rsidR="00427468">
        <w:rPr>
          <w:kern w:val="0"/>
        </w:rPr>
        <w:t xml:space="preserve"> of </w:t>
      </w:r>
      <w:r>
        <w:rPr>
          <w:kern w:val="0"/>
        </w:rPr>
        <w:t>fistulizing CD. Clinical response</w:t>
      </w:r>
      <w:r w:rsidR="005853A9">
        <w:rPr>
          <w:kern w:val="0"/>
        </w:rPr>
        <w:t xml:space="preserve"> and </w:t>
      </w:r>
      <w:r>
        <w:rPr>
          <w:kern w:val="0"/>
        </w:rPr>
        <w:t>adverse effects were</w:t>
      </w:r>
      <w:r w:rsidR="003A1917">
        <w:rPr>
          <w:kern w:val="0"/>
        </w:rPr>
        <w:t xml:space="preserve"> the </w:t>
      </w:r>
      <w:r>
        <w:rPr>
          <w:kern w:val="0"/>
        </w:rPr>
        <w:t>key outcomes</w:t>
      </w:r>
      <w:r w:rsidR="00427468">
        <w:rPr>
          <w:kern w:val="0"/>
        </w:rPr>
        <w:t xml:space="preserve"> of </w:t>
      </w:r>
      <w:r>
        <w:rPr>
          <w:kern w:val="0"/>
        </w:rPr>
        <w:t>interest. Data were searched from</w:t>
      </w:r>
      <w:r w:rsidR="003A1917">
        <w:rPr>
          <w:kern w:val="0"/>
        </w:rPr>
        <w:t xml:space="preserve"> the </w:t>
      </w:r>
      <w:r>
        <w:rPr>
          <w:kern w:val="0"/>
        </w:rPr>
        <w:t>time period</w:t>
      </w:r>
      <w:r w:rsidR="00427468">
        <w:rPr>
          <w:kern w:val="0"/>
        </w:rPr>
        <w:t xml:space="preserve"> of </w:t>
      </w:r>
      <w:r>
        <w:rPr>
          <w:kern w:val="0"/>
        </w:rPr>
        <w:t>1966 through June 2010. Result: Eleven randomized placebo-controlled clinical trials that met our criteria (nine in different immunoregulators</w:t>
      </w:r>
      <w:r w:rsidR="005853A9">
        <w:rPr>
          <w:kern w:val="0"/>
        </w:rPr>
        <w:t xml:space="preserve"> and </w:t>
      </w:r>
      <w:r>
        <w:rPr>
          <w:kern w:val="0"/>
        </w:rPr>
        <w:t>two in antibiotics) were included in</w:t>
      </w:r>
      <w:r w:rsidR="003A1917">
        <w:rPr>
          <w:kern w:val="0"/>
        </w:rPr>
        <w:t xml:space="preserve"> the </w:t>
      </w:r>
      <w:r>
        <w:rPr>
          <w:kern w:val="0"/>
        </w:rPr>
        <w:t>analysis. Pooling</w:t>
      </w:r>
      <w:r w:rsidR="00427468">
        <w:rPr>
          <w:kern w:val="0"/>
        </w:rPr>
        <w:t xml:space="preserve"> of </w:t>
      </w:r>
      <w:r>
        <w:rPr>
          <w:kern w:val="0"/>
        </w:rPr>
        <w:t>data showed that immunoregulators</w:t>
      </w:r>
      <w:r w:rsidR="005853A9">
        <w:rPr>
          <w:kern w:val="0"/>
        </w:rPr>
        <w:t xml:space="preserve"> and </w:t>
      </w:r>
      <w:r>
        <w:rPr>
          <w:kern w:val="0"/>
        </w:rPr>
        <w:t>antibiotics are significantly effective for at least a 50% reduction from baseline in</w:t>
      </w:r>
      <w:r w:rsidR="003A1917">
        <w:rPr>
          <w:kern w:val="0"/>
        </w:rPr>
        <w:t xml:space="preserve"> the </w:t>
      </w:r>
      <w:r>
        <w:rPr>
          <w:kern w:val="0"/>
        </w:rPr>
        <w:t>number</w:t>
      </w:r>
      <w:r w:rsidR="00427468">
        <w:rPr>
          <w:kern w:val="0"/>
        </w:rPr>
        <w:t xml:space="preserve"> of </w:t>
      </w:r>
      <w:r>
        <w:rPr>
          <w:kern w:val="0"/>
        </w:rPr>
        <w:t>open actively draining fistulas with relative risk (RR)</w:t>
      </w:r>
      <w:r w:rsidR="00427468">
        <w:rPr>
          <w:kern w:val="0"/>
        </w:rPr>
        <w:t xml:space="preserve"> of </w:t>
      </w:r>
      <w:r>
        <w:rPr>
          <w:kern w:val="0"/>
        </w:rPr>
        <w:t>2.57 (95% CI</w:t>
      </w:r>
      <w:r w:rsidR="00427468">
        <w:rPr>
          <w:kern w:val="0"/>
        </w:rPr>
        <w:t xml:space="preserve"> of </w:t>
      </w:r>
      <w:r>
        <w:rPr>
          <w:kern w:val="0"/>
        </w:rPr>
        <w:t>1.55-4.25, P= 0.0003) in four trials</w:t>
      </w:r>
      <w:r w:rsidR="005853A9">
        <w:rPr>
          <w:kern w:val="0"/>
        </w:rPr>
        <w:t xml:space="preserve"> and </w:t>
      </w:r>
      <w:r>
        <w:rPr>
          <w:kern w:val="0"/>
        </w:rPr>
        <w:t>2.05 (95% CI</w:t>
      </w:r>
      <w:r w:rsidR="00427468">
        <w:rPr>
          <w:kern w:val="0"/>
        </w:rPr>
        <w:t xml:space="preserve"> of </w:t>
      </w:r>
      <w:r>
        <w:rPr>
          <w:kern w:val="0"/>
        </w:rPr>
        <w:t>1.03-4.08, P= 0.0414) in two trials respectively</w:t>
      </w:r>
      <w:r w:rsidR="00A37C1D">
        <w:rPr>
          <w:kern w:val="0"/>
        </w:rPr>
        <w:t>. The</w:t>
      </w:r>
      <w:r w:rsidR="003A1917">
        <w:rPr>
          <w:kern w:val="0"/>
        </w:rPr>
        <w:t xml:space="preserve"> </w:t>
      </w:r>
      <w:r>
        <w:rPr>
          <w:kern w:val="0"/>
        </w:rPr>
        <w:t>summary</w:t>
      </w:r>
      <w:r w:rsidR="00427468">
        <w:rPr>
          <w:kern w:val="0"/>
        </w:rPr>
        <w:t xml:space="preserve"> of </w:t>
      </w:r>
      <w:r>
        <w:rPr>
          <w:kern w:val="0"/>
        </w:rPr>
        <w:t>RR for complete closure</w:t>
      </w:r>
      <w:r w:rsidR="00427468">
        <w:rPr>
          <w:kern w:val="0"/>
        </w:rPr>
        <w:t xml:space="preserve"> of </w:t>
      </w:r>
      <w:r>
        <w:rPr>
          <w:kern w:val="0"/>
        </w:rPr>
        <w:t>fistulas in nine trials was 2.65 with a 95% CI</w:t>
      </w:r>
      <w:r w:rsidR="00427468">
        <w:rPr>
          <w:kern w:val="0"/>
        </w:rPr>
        <w:t xml:space="preserve"> of </w:t>
      </w:r>
      <w:r>
        <w:rPr>
          <w:kern w:val="0"/>
        </w:rPr>
        <w:t>1.66-4.22</w:t>
      </w:r>
      <w:r w:rsidR="005853A9">
        <w:rPr>
          <w:kern w:val="0"/>
        </w:rPr>
        <w:t xml:space="preserve"> and </w:t>
      </w:r>
      <w:r>
        <w:rPr>
          <w:kern w:val="0"/>
        </w:rPr>
        <w:t>a significant RR (P &lt; 0.0001). In regard to</w:t>
      </w:r>
      <w:r w:rsidR="003A1917">
        <w:rPr>
          <w:kern w:val="0"/>
        </w:rPr>
        <w:t xml:space="preserve"> the </w:t>
      </w:r>
      <w:r>
        <w:rPr>
          <w:kern w:val="0"/>
        </w:rPr>
        <w:t>tolerability, both immunoregulators</w:t>
      </w:r>
      <w:r w:rsidR="005853A9">
        <w:rPr>
          <w:kern w:val="0"/>
        </w:rPr>
        <w:t xml:space="preserve"> and </w:t>
      </w:r>
      <w:r>
        <w:rPr>
          <w:kern w:val="0"/>
        </w:rPr>
        <w:t>antibiotics showed insignificant adverse effects in comparison to placebo with an RR</w:t>
      </w:r>
      <w:r w:rsidR="00427468">
        <w:rPr>
          <w:kern w:val="0"/>
        </w:rPr>
        <w:t xml:space="preserve"> of </w:t>
      </w:r>
      <w:r>
        <w:rPr>
          <w:kern w:val="0"/>
        </w:rPr>
        <w:t>1.11 (95% CI</w:t>
      </w:r>
      <w:r w:rsidR="00427468">
        <w:rPr>
          <w:kern w:val="0"/>
        </w:rPr>
        <w:t xml:space="preserve"> of </w:t>
      </w:r>
      <w:r>
        <w:rPr>
          <w:kern w:val="0"/>
        </w:rPr>
        <w:t>0.96-1.27, P= 0.1513)</w:t>
      </w:r>
      <w:r w:rsidR="005853A9">
        <w:rPr>
          <w:kern w:val="0"/>
        </w:rPr>
        <w:t xml:space="preserve"> and </w:t>
      </w:r>
      <w:r>
        <w:rPr>
          <w:kern w:val="0"/>
        </w:rPr>
        <w:t>0.6 (95% CI</w:t>
      </w:r>
      <w:r w:rsidR="00427468">
        <w:rPr>
          <w:kern w:val="0"/>
        </w:rPr>
        <w:t xml:space="preserve"> of </w:t>
      </w:r>
      <w:r>
        <w:rPr>
          <w:kern w:val="0"/>
        </w:rPr>
        <w:t>0.36-1, P= 0.0515), respectively</w:t>
      </w:r>
      <w:r w:rsidR="005853A9">
        <w:rPr>
          <w:kern w:val="0"/>
        </w:rPr>
        <w:t xml:space="preserve"> and </w:t>
      </w:r>
      <w:r>
        <w:rPr>
          <w:kern w:val="0"/>
        </w:rPr>
        <w:t>discontinuation because</w:t>
      </w:r>
      <w:r w:rsidR="00427468">
        <w:rPr>
          <w:kern w:val="0"/>
        </w:rPr>
        <w:t xml:space="preserve"> of </w:t>
      </w:r>
      <w:r>
        <w:rPr>
          <w:kern w:val="0"/>
        </w:rPr>
        <w:t>these adverse effects in drug-treated groups was</w:t>
      </w:r>
      <w:r w:rsidR="003A1917">
        <w:rPr>
          <w:kern w:val="0"/>
        </w:rPr>
        <w:t xml:space="preserve"> the </w:t>
      </w:r>
      <w:r>
        <w:rPr>
          <w:kern w:val="0"/>
        </w:rPr>
        <w:t>same as placebo. Data about severe adverse effects were only available for immunoregulators that showed a significantly higher incidence when compared to placebo (RR= 2.24 with a 95% CI</w:t>
      </w:r>
      <w:r w:rsidR="00427468">
        <w:rPr>
          <w:kern w:val="0"/>
        </w:rPr>
        <w:t xml:space="preserve"> of </w:t>
      </w:r>
      <w:r>
        <w:rPr>
          <w:kern w:val="0"/>
        </w:rPr>
        <w:t>1.05-4.79; significant at P= 0.0374). Conclusion: This meta-analysis demonstrates</w:t>
      </w:r>
      <w:r w:rsidR="003A1917">
        <w:rPr>
          <w:kern w:val="0"/>
        </w:rPr>
        <w:t xml:space="preserve"> the </w:t>
      </w:r>
      <w:r>
        <w:rPr>
          <w:kern w:val="0"/>
        </w:rPr>
        <w:t>efficacy</w:t>
      </w:r>
      <w:r w:rsidR="00427468">
        <w:rPr>
          <w:kern w:val="0"/>
        </w:rPr>
        <w:t xml:space="preserve"> of </w:t>
      </w:r>
      <w:r>
        <w:rPr>
          <w:kern w:val="0"/>
        </w:rPr>
        <w:t>immunoregulators</w:t>
      </w:r>
      <w:r w:rsidR="005853A9">
        <w:rPr>
          <w:kern w:val="0"/>
        </w:rPr>
        <w:t xml:space="preserve"> and </w:t>
      </w:r>
      <w:r>
        <w:rPr>
          <w:kern w:val="0"/>
        </w:rPr>
        <w:t>antibiotics in fistulizing CD. Regarding</w:t>
      </w:r>
      <w:r w:rsidR="003A1917">
        <w:rPr>
          <w:kern w:val="0"/>
        </w:rPr>
        <w:t xml:space="preserve"> the </w:t>
      </w:r>
      <w:r>
        <w:rPr>
          <w:kern w:val="0"/>
        </w:rPr>
        <w:t>safety, mild to moderate adverse effects were</w:t>
      </w:r>
      <w:r w:rsidR="003A1917">
        <w:rPr>
          <w:kern w:val="0"/>
        </w:rPr>
        <w:t xml:space="preserve"> the </w:t>
      </w:r>
      <w:r>
        <w:rPr>
          <w:kern w:val="0"/>
        </w:rPr>
        <w:t>same in both antibiotic</w:t>
      </w:r>
      <w:r w:rsidR="005853A9">
        <w:rPr>
          <w:kern w:val="0"/>
        </w:rPr>
        <w:t xml:space="preserve"> and </w:t>
      </w:r>
      <w:r>
        <w:rPr>
          <w:kern w:val="0"/>
        </w:rPr>
        <w:t>immunoregulators groups in comparison to</w:t>
      </w:r>
      <w:r w:rsidR="003A1917">
        <w:rPr>
          <w:kern w:val="0"/>
        </w:rPr>
        <w:t xml:space="preserve"> the </w:t>
      </w:r>
      <w:r>
        <w:rPr>
          <w:kern w:val="0"/>
        </w:rPr>
        <w:t>placebo but incidence</w:t>
      </w:r>
      <w:r w:rsidR="00427468">
        <w:rPr>
          <w:kern w:val="0"/>
        </w:rPr>
        <w:t xml:space="preserve"> of </w:t>
      </w:r>
      <w:r>
        <w:rPr>
          <w:kern w:val="0"/>
        </w:rPr>
        <w:t>severe adverse effects in immunoregulator groups was higher than that</w:t>
      </w:r>
      <w:r w:rsidR="00427468">
        <w:rPr>
          <w:kern w:val="0"/>
        </w:rPr>
        <w:t xml:space="preserve"> of </w:t>
      </w:r>
      <w:r>
        <w:rPr>
          <w:kern w:val="0"/>
        </w:rPr>
        <w:lastRenderedPageBreak/>
        <w:t>antibiotics.</w:t>
      </w:r>
    </w:p>
    <w:p w:rsidR="00A20347" w:rsidRDefault="00A20347" w:rsidP="00A20347">
      <w:pPr>
        <w:pStyle w:val="a3"/>
        <w:rPr>
          <w:kern w:val="0"/>
        </w:rPr>
      </w:pPr>
      <w:r>
        <w:rPr>
          <w:kern w:val="0"/>
        </w:rPr>
        <w:t>Keywords: Adverse Effects, Anal Fistulas, Analysis, Antibiotic, Antibiotics, Azathioprine, Cd, Ciprofloxacin, Clinical Trial, Clinical Trials, Complications, Crohn</w:t>
      </w:r>
      <w:r w:rsidR="0071223E">
        <w:rPr>
          <w:kern w:val="0"/>
        </w:rPr>
        <w:t>’</w:t>
      </w:r>
      <w:r w:rsidR="00C13DDC">
        <w:rPr>
          <w:kern w:val="0"/>
        </w:rPr>
        <w:t>s</w:t>
      </w:r>
      <w:r>
        <w:rPr>
          <w:kern w:val="0"/>
        </w:rPr>
        <w:t xml:space="preserve"> Disease, Disease, Double-Blind, Drug, Efficacy, Fistula, Google Scholar, Immunoregulators, Inflammatory Bowel Disease, Inflammatory-Bowel-Disease, Infliximab, Interest, Meta Analysis, Meta-Analysis, Methods, Outcomes, Perianal Fistulas, Predictors, PUBMED, Randomized Controlled Trials, Relative Risk, Review, Risk, Safety, Science, Scopus, Systematic, Systematic Review, Tacrolimus, Treatment, </w:t>
      </w:r>
      <w:r w:rsidR="00D5664A">
        <w:rPr>
          <w:kern w:val="0"/>
        </w:rPr>
        <w:t>Web</w:t>
      </w:r>
      <w:r w:rsidR="00427468">
        <w:rPr>
          <w:kern w:val="0"/>
        </w:rPr>
        <w:t xml:space="preserve"> of </w:t>
      </w:r>
      <w:r w:rsidR="00D5664A">
        <w:rPr>
          <w:kern w:val="0"/>
        </w:rPr>
        <w:t>Science</w:t>
      </w:r>
    </w:p>
    <w:p w:rsidR="00D44596" w:rsidRDefault="00D44596" w:rsidP="00D44596">
      <w:pPr>
        <w:pStyle w:val="a3"/>
        <w:rPr>
          <w:kern w:val="0"/>
        </w:rPr>
      </w:pPr>
      <w:r>
        <w:rPr>
          <w:kern w:val="0"/>
        </w:rPr>
        <w:t xml:space="preserve">? Armstrong, A.W., Brezinski, E.A., Follansbee, M.R. and Armstrong, E.J. (2014), Effects of biologic agents and other disease-modifying antirheumatic drugs on cardiovascular outcomes in psoriasis and psoriatic arthritis: A systematic review. </w:t>
      </w:r>
      <w:r>
        <w:rPr>
          <w:i/>
          <w:iCs/>
          <w:kern w:val="0"/>
        </w:rPr>
        <w:t>Current Pharmaceutical Design</w:t>
      </w:r>
      <w:r>
        <w:rPr>
          <w:kern w:val="0"/>
        </w:rPr>
        <w:t xml:space="preserve">, </w:t>
      </w:r>
      <w:r>
        <w:rPr>
          <w:b/>
          <w:bCs/>
          <w:kern w:val="0"/>
        </w:rPr>
        <w:t>20</w:t>
      </w:r>
      <w:r>
        <w:rPr>
          <w:kern w:val="0"/>
        </w:rPr>
        <w:t xml:space="preserve"> (4), 500-512.</w:t>
      </w:r>
    </w:p>
    <w:p w:rsidR="00D44596" w:rsidRDefault="00D44596" w:rsidP="00D44596">
      <w:pPr>
        <w:pStyle w:val="a3"/>
        <w:rPr>
          <w:kern w:val="0"/>
        </w:rPr>
      </w:pPr>
      <w:r>
        <w:rPr>
          <w:kern w:val="0"/>
        </w:rPr>
        <w:t>Full Text: 2014\</w:t>
      </w:r>
      <w:r>
        <w:rPr>
          <w:iCs/>
          <w:kern w:val="0"/>
        </w:rPr>
        <w:t>Cur Pha Des</w:t>
      </w:r>
      <w:r w:rsidRPr="003E4A8C">
        <w:rPr>
          <w:bCs/>
          <w:kern w:val="0"/>
        </w:rPr>
        <w:t>20</w:t>
      </w:r>
      <w:r>
        <w:rPr>
          <w:kern w:val="0"/>
        </w:rPr>
        <w:t>, 500.pdf</w:t>
      </w:r>
    </w:p>
    <w:p w:rsidR="00D44596" w:rsidRDefault="00D44596" w:rsidP="00D44596">
      <w:pPr>
        <w:pStyle w:val="a3"/>
        <w:rPr>
          <w:kern w:val="0"/>
        </w:rPr>
      </w:pPr>
      <w:r>
        <w:rPr>
          <w:kern w:val="0"/>
        </w:rPr>
        <w:t>Abstract: Background: Whether systemic treatments for psoriasis or psoriatic arthritis affect cardiovascular comorbidities is a clinically significant question. Objective: To examine the effects of biologic agents and other Disease-Modifying Antirheumatic Drugs (DMARDs) used to treat psoriasis and psoriatic arthritis on cardiovascular risk factors and adverse cardiovascular outcomes. Methods: MEDLINE (1980-October 2012), Web of Science, the EULAR abstract database, and the AAD annual meeting abstract archive were searched for studies evaluating biologic and other DMARD therapy for psoriasis and psoriatic arthritis that reported cardiovascular events as primary outcomes. Results: From 20 studies that met the search criteria for the review, 81,469 patients with psoriasis and/or psoriatic arthritis were included in the data synthesis of the current literature. While the data on the cardioprotective effect of methotrexate exist in patients with rheumatoid arthritis, its effect on the psoriasis and psoriatic arthritis populations with regards to cardiovascular outcomes are inconclusive at this time</w:t>
      </w:r>
      <w:r w:rsidR="00A37C1D">
        <w:rPr>
          <w:kern w:val="0"/>
        </w:rPr>
        <w:t>. The</w:t>
      </w:r>
      <w:r>
        <w:rPr>
          <w:kern w:val="0"/>
        </w:rPr>
        <w:t xml:space="preserve"> association of hypertension with long-term cyclosporine use prompts discontinuation of cyclosporine in selected patients</w:t>
      </w:r>
      <w:r w:rsidR="00A37C1D">
        <w:rPr>
          <w:kern w:val="0"/>
        </w:rPr>
        <w:t>. The</w:t>
      </w:r>
      <w:r>
        <w:rPr>
          <w:kern w:val="0"/>
        </w:rPr>
        <w:t xml:space="preserve"> use of TNF inhibitors may be associated with reduced risk of adverse cardiovascular events in preliminary epidemiologic studies; however, large randomized controlled trials and epidemiologic studies with well-characterized populations will be necessary to elucidate their exact effects</w:t>
      </w:r>
      <w:r w:rsidR="00A37C1D">
        <w:rPr>
          <w:kern w:val="0"/>
        </w:rPr>
        <w:t>. The</w:t>
      </w:r>
      <w:r>
        <w:rPr>
          <w:kern w:val="0"/>
        </w:rPr>
        <w:t xml:space="preserve"> short-term data regarding the safety of IL-12/23 inhibitors showed that, to date, there are no increased cardiovascular events compared to the general population. Conclusions: To date, epidemiologic data is insufficient to reach definitive conclusions with regards to the effects of biologics and other DMARDs on cardiovascular outcomes in psoriasis and psoriatic arthritis patients. Adequately powered, long-term, controlled studies are necessary to determine the cardioprotective effects of TNF inhibitors observed in preliminary </w:t>
      </w:r>
      <w:r>
        <w:rPr>
          <w:kern w:val="0"/>
        </w:rPr>
        <w:lastRenderedPageBreak/>
        <w:t>studies on psoriasis and psoriatic arthritis populations.</w:t>
      </w:r>
    </w:p>
    <w:p w:rsidR="00D44596" w:rsidRDefault="00D44596" w:rsidP="00D44596">
      <w:pPr>
        <w:pStyle w:val="a3"/>
        <w:rPr>
          <w:kern w:val="0"/>
        </w:rPr>
      </w:pPr>
      <w:r>
        <w:rPr>
          <w:kern w:val="0"/>
        </w:rPr>
        <w:t>Keywords: Arthritis, Association, Biologics, Cardiovascular, Cardiovascular Disease, Chronic Plaque Psoriasis, Criteria, Cyclosporine, Data, Database, Double-Blind, Drugs, Effects, Events, General, Hypertension, Inhibitors, Interleukin-12, 23 Monoclonal-Antibody, Literature, Long Term, Long-Term, Long-Term Safety, Medline, Meeting Abstract, Methods, Methotrexate, Myocardial-Infarction, Open-Label Extension, Outcomes, Patients, Phase-Iii Trial, Placebo-Controlled Trial, Population, Populations, Primary, Psoriasis, Psoriatic Arthritis, Randomized, Randomized Controlled Trials, Randomized Controlled-Trial, Results, Review, Rheumatoid Arthritis, Risk, Risk Factors, Safety, Science, Synthesis, Systematic Review, Therapy, TNF, Tnf Inhibitors, To-Severe Psoriasis, Ustekinumab, Web Of Science</w:t>
      </w:r>
    </w:p>
    <w:p w:rsidR="00BB09FB" w:rsidRDefault="00BB09FB" w:rsidP="00BB09FB">
      <w:pPr>
        <w:pStyle w:val="a3"/>
        <w:rPr>
          <w:kern w:val="0"/>
        </w:rPr>
      </w:pPr>
      <w:r>
        <w:rPr>
          <w:kern w:val="0"/>
        </w:rPr>
        <w:t xml:space="preserve">? Brezinski, E.A., Follansbee, M.R., Armstrong, E.J. and Armstrong, A.W. (2014), Endothelial dysfunction and the effects of TNF inhibitors on the endothelium in psoriasis and psoriatic arthritis: A systematic review. </w:t>
      </w:r>
      <w:r>
        <w:rPr>
          <w:i/>
          <w:iCs/>
          <w:kern w:val="0"/>
        </w:rPr>
        <w:t>Current Pharmaceutical Design</w:t>
      </w:r>
      <w:r>
        <w:rPr>
          <w:kern w:val="0"/>
        </w:rPr>
        <w:t xml:space="preserve">, </w:t>
      </w:r>
      <w:r>
        <w:rPr>
          <w:b/>
          <w:bCs/>
          <w:kern w:val="0"/>
        </w:rPr>
        <w:t>20</w:t>
      </w:r>
      <w:r>
        <w:rPr>
          <w:kern w:val="0"/>
        </w:rPr>
        <w:t xml:space="preserve"> (4), 513-528.</w:t>
      </w:r>
    </w:p>
    <w:p w:rsidR="00BB09FB" w:rsidRDefault="00BB09FB" w:rsidP="00BB09FB">
      <w:pPr>
        <w:pStyle w:val="a3"/>
        <w:rPr>
          <w:kern w:val="0"/>
        </w:rPr>
      </w:pPr>
      <w:r>
        <w:rPr>
          <w:kern w:val="0"/>
        </w:rPr>
        <w:t>Full Text: 2014\</w:t>
      </w:r>
      <w:r>
        <w:rPr>
          <w:iCs/>
          <w:kern w:val="0"/>
        </w:rPr>
        <w:t>Cur Pha Des</w:t>
      </w:r>
      <w:r w:rsidRPr="003E4A8C">
        <w:rPr>
          <w:bCs/>
          <w:kern w:val="0"/>
        </w:rPr>
        <w:t>20</w:t>
      </w:r>
      <w:r>
        <w:rPr>
          <w:kern w:val="0"/>
        </w:rPr>
        <w:t>, 513.pdf</w:t>
      </w:r>
    </w:p>
    <w:p w:rsidR="00BB09FB" w:rsidRDefault="00BB09FB" w:rsidP="00BB09FB">
      <w:pPr>
        <w:pStyle w:val="a3"/>
        <w:rPr>
          <w:kern w:val="0"/>
        </w:rPr>
      </w:pPr>
      <w:r>
        <w:rPr>
          <w:kern w:val="0"/>
        </w:rPr>
        <w:t>Abstract: Background: Epidemiologic data support the association of psoriasis and psoriatic arthritis with adverse cardiovascular outcomes. Shared pathogenesis in endothelial dysfunction may underlie psoriasis and atherosclerosis. Tumor necrosis factor (TNF) inhibitors may modulate endothelial dysfunction seen in patients with psoriasis and psoriatic arthritis. Objective: To perform a systematic review that investigated endothelial function in psoriasis and psoriatic arthritis and the effect of TNF inhibitors on endothelial function in psoriasis and psoriatic arthritis. Methods: MEDLINE (1980-October 2012), Web of Science, the EULAR abstract database, and the AAD annual meeting abstract archive were searched for cross-sectional or longitudinal studies that 1) examined endothelial function in patients with psoriasis or psoriatic arthritis, or 2) investigated the effect of TNF inhibitor therapy on endothelial function. Results: Twenty articles and four abstracts with 2261 patients evaluated endothelial function in psoriasis and psoriatic arthritis, which was measured by pulse wave velocity, flow-mediated dilation, nitroglycerine-induced vasodilation, carotid intima-media thickness, peripheral arterial tonometry, or aortic stiffness parameters</w:t>
      </w:r>
      <w:r w:rsidR="00A37C1D">
        <w:rPr>
          <w:kern w:val="0"/>
        </w:rPr>
        <w:t>. The</w:t>
      </w:r>
      <w:r>
        <w:rPr>
          <w:kern w:val="0"/>
        </w:rPr>
        <w:t xml:space="preserve"> majority of the data suggests that patients with psoriasis and psoriatic arthritis have significantly increased arterial stiffness, impaired endothelial-dependent vasodilation, increased carotid intima-media thickness, and decreased aortic elasticity compared to the general population. Two out of three studies showed that TNF inhibitors improved endothelial function in psoriasis and psoriatic arthritis. Limitations: Measurements of endothelial function were not standardized across studies. Conclusions: The preponderance of literature suggests </w:t>
      </w:r>
      <w:r>
        <w:rPr>
          <w:kern w:val="0"/>
        </w:rPr>
        <w:lastRenderedPageBreak/>
        <w:t>that endothelial function is significantly impaired in patients with psoriasis and psoriatic arthritis compared to the general population. Preliminary evidence suggests that TNF inhibitors may improve endothelial function in the psoriasis and psoriatic arthritis populations.</w:t>
      </w:r>
    </w:p>
    <w:p w:rsidR="00BB09FB" w:rsidRDefault="00BB09FB" w:rsidP="00BB09FB">
      <w:pPr>
        <w:pStyle w:val="a3"/>
        <w:rPr>
          <w:kern w:val="0"/>
        </w:rPr>
      </w:pPr>
      <w:r>
        <w:rPr>
          <w:kern w:val="0"/>
        </w:rPr>
        <w:t>Keywords: Adalimumab, Aortic Stiffness, Arthritis, Association, Atherosclerosis Risk-Factors, Cardiovascular, Cardiovascular Disease, Data, Database, Elasticity, Endothelial Dysfunction, Endothelial Function, Epidemiologic, Etanercept, Evidence, Evident Cardiovascular-Disease, Factor-Alpha Treatment, Function, General, Increased Arterial Stiffness, Inflammatory Arthropathies, Infliximab, Inhibitor, Inhibitors, Insulin-Resistance, Intima-Media Thickness, Literature, Longitudinal, Longitudinal Studies, Medline, Meeting Abstract, Methods, Necrosis, Outcomes, Pathogenesis, Patients, Population, Populations, Psoriasis, Psoriatic Arthritis, Results, Review, Rheumatoid-Arthritis, Science, Subclinical Atherosclerosis, Support, Systematic Review, Therapy, Tnf, Tnf Inhibitors, Vasodilation, Web Of Science</w:t>
      </w:r>
    </w:p>
    <w:p w:rsidR="00BB09FB" w:rsidRDefault="00BB09FB" w:rsidP="00BB09FB">
      <w:pPr>
        <w:pStyle w:val="a3"/>
        <w:rPr>
          <w:kern w:val="0"/>
        </w:rPr>
      </w:pPr>
      <w:r>
        <w:rPr>
          <w:kern w:val="0"/>
        </w:rPr>
        <w:t xml:space="preserve">? Gasparyan, A.Y., Ayvazyan, L., Pretorius, E. and Kitas, G.D. (2014), Platelets in rheumatic diseases: friend or foe? </w:t>
      </w:r>
      <w:r>
        <w:rPr>
          <w:i/>
          <w:iCs/>
          <w:kern w:val="0"/>
        </w:rPr>
        <w:t>Current Pharmaceutical Design</w:t>
      </w:r>
      <w:r>
        <w:rPr>
          <w:kern w:val="0"/>
        </w:rPr>
        <w:t xml:space="preserve">, </w:t>
      </w:r>
      <w:r>
        <w:rPr>
          <w:b/>
          <w:bCs/>
          <w:kern w:val="0"/>
        </w:rPr>
        <w:t>20</w:t>
      </w:r>
      <w:r>
        <w:rPr>
          <w:kern w:val="0"/>
        </w:rPr>
        <w:t xml:space="preserve"> (4), 552-566.</w:t>
      </w:r>
    </w:p>
    <w:p w:rsidR="00BB09FB" w:rsidRDefault="00BB09FB" w:rsidP="00BB09FB">
      <w:pPr>
        <w:pStyle w:val="a3"/>
        <w:rPr>
          <w:kern w:val="0"/>
        </w:rPr>
      </w:pPr>
      <w:r>
        <w:rPr>
          <w:kern w:val="0"/>
        </w:rPr>
        <w:t>Full Text: 2014\</w:t>
      </w:r>
      <w:r>
        <w:rPr>
          <w:iCs/>
          <w:kern w:val="0"/>
        </w:rPr>
        <w:t>Cur Pha Des</w:t>
      </w:r>
      <w:r w:rsidRPr="003E4A8C">
        <w:rPr>
          <w:bCs/>
          <w:kern w:val="0"/>
        </w:rPr>
        <w:t>20</w:t>
      </w:r>
      <w:r>
        <w:rPr>
          <w:kern w:val="0"/>
        </w:rPr>
        <w:t>, 552.pdf</w:t>
      </w:r>
    </w:p>
    <w:p w:rsidR="00BB09FB" w:rsidRDefault="00BB09FB" w:rsidP="00BB09FB">
      <w:pPr>
        <w:pStyle w:val="a3"/>
        <w:rPr>
          <w:kern w:val="0"/>
        </w:rPr>
      </w:pPr>
      <w:r>
        <w:rPr>
          <w:kern w:val="0"/>
        </w:rPr>
        <w:t>Abstract: Platelets are intimately involved in hemostasis, inflammation, innate and adaptive immunity, tissue regeneration and other physiological and pathological processes</w:t>
      </w:r>
      <w:r w:rsidR="00A37C1D">
        <w:rPr>
          <w:kern w:val="0"/>
        </w:rPr>
        <w:t>. The</w:t>
      </w:r>
      <w:r>
        <w:rPr>
          <w:kern w:val="0"/>
        </w:rPr>
        <w:t>ir granular structure is programmed to release a wide range of bioactive substances in response to agonists. Upon activation, platelet membranes display thrombotic and inflammatory agents, which may take an active part in the pathophysiology of autoimmune and autoinflammatory disorders</w:t>
      </w:r>
      <w:r w:rsidR="00A37C1D">
        <w:rPr>
          <w:kern w:val="0"/>
        </w:rPr>
        <w:t>. The</w:t>
      </w:r>
      <w:r>
        <w:rPr>
          <w:kern w:val="0"/>
        </w:rPr>
        <w:t xml:space="preserve"> aim of this review is to analyze current evidence of platelet (dys)function in inflammatory rheumatic diseases and overview platelet-targeting mechanisms of antirheumatic drug therapies. A comprehensive search through Medline/PubMed, SciVerse/Scopus and Web of Science was performed for English-language original research papers, using the keywords related to platelets in autoimmune and autoinflammatory rheumatic disorders. Additionally, the Cochrane Collaboration database was searched for the literature on the effects of antirheumatic drugs on platelet function. A variety of platelet markers have been tested in systemic lupus erythematosus, rheumatoid arthritis, systemic sclerosis, spondyloarthropathies, vasculitides, and some autoinflammatory disorders. It has been shown that platelets circulate in an activated state in most of these disorders and tend to form complexes with other inflammatory and immune cells. Thrombotic and inflammatory agents, released from platelets, may trigger disease-specific complications (e.g., extraarticular features, fibrosis in systemic sclerosis) and propagate endothelial dysfunction. Whether platelet activation is a primary or secondary feature in rheumatic disorders remains to be elucidated. Some widely used antirheumatic drugs may suppress thrombopoiesis </w:t>
      </w:r>
      <w:r>
        <w:rPr>
          <w:kern w:val="0"/>
        </w:rPr>
        <w:lastRenderedPageBreak/>
        <w:t>and platelet activity, however the clinical implications of this effect have yet to be examined in specifically designed prospective studies. Large retrospective cohort studies supported the use of low-dose aspirin for suppressing platelet function and preventing cerebrovascular events in giant-cell arteritis. However, emerging data suggest that the release rate of activated platelets applied topically to the inflamed cartilage in arthritis or skin ulcers in scleroderma may suppress the inflammation and facilitate tissue repair. Taken together, current evidence necessitates a balanced approach to platelet-activating and suppressing drug therapies in inflammatory rheumatic diseases.</w:t>
      </w:r>
    </w:p>
    <w:p w:rsidR="00BB09FB" w:rsidRDefault="00BB09FB" w:rsidP="00BB09FB">
      <w:pPr>
        <w:pStyle w:val="a3"/>
        <w:rPr>
          <w:kern w:val="0"/>
        </w:rPr>
      </w:pPr>
      <w:r>
        <w:rPr>
          <w:kern w:val="0"/>
        </w:rPr>
        <w:t>Keywords: Activation, Activity, Ankylosing-Spondylitis, Anti-Tnf Therapy, Antiphospholipid Syndrome, Antirheumatic Drugs, Approach, Arthritis, Aspirin, Behcets-Disease, Beta-Thromboglobulin, Clinical, Cochrane Collaboration, Cohort, Collaboration, Complications, Data, Database, Diseases, Drug, Drug Design, Drugs, Effects, Endothelial Dysfunction, Events, Evidence, Familial Mediterranean Fever, Feature, Fibrosis, Function, Giant-Cell Arteritis, Hemostasis, Immune, Immunity, Inflammation, Inflammatory Rheumatic Diseases, Innate, Literature, Low-Dose, Low-Dose Aspirin, Lupus Erythematosus, Mechanisms, Mefv Gene-Mutations, Overview, Papers, Pathophysiology, Platelet Function, Platelets, Primary, Prospective, Prospective Studies, Regeneration, Release, Research, Response, Review, Rheumatic Disease, Rheumatoid Arthritis, Science, Scleroderma, Skin, State, Structure, Systemic Lupus Erythematosus, Systemic-Lupus-Erythematosus, Thrombosis, Vasculopathy, Web Of Science</w:t>
      </w:r>
    </w:p>
    <w:p w:rsidR="00D209C8" w:rsidRDefault="00D209C8" w:rsidP="00D209C8">
      <w:pPr>
        <w:pStyle w:val="a3"/>
        <w:rPr>
          <w:kern w:val="0"/>
          <w:szCs w:val="24"/>
        </w:rPr>
      </w:pPr>
      <w:r>
        <w:rPr>
          <w:rFonts w:hint="eastAsia"/>
          <w:kern w:val="0"/>
          <w:szCs w:val="24"/>
        </w:rPr>
        <w:t xml:space="preserve">? </w:t>
      </w:r>
      <w:r>
        <w:rPr>
          <w:kern w:val="0"/>
          <w:szCs w:val="24"/>
        </w:rPr>
        <w:t xml:space="preserve">Bautmans, I., Van De Winkel, N., Ackerman, A., De Dobbeleer, L., De Waele, E., Beyer, I., Mets, T. and Maggio, M. (2014), Recovery of muscular performance after surgical stress in elderly patients. </w:t>
      </w:r>
      <w:r>
        <w:rPr>
          <w:i/>
          <w:iCs/>
          <w:kern w:val="0"/>
          <w:szCs w:val="24"/>
        </w:rPr>
        <w:t>Current Pharmaceutical Design</w:t>
      </w:r>
      <w:r>
        <w:rPr>
          <w:kern w:val="0"/>
          <w:szCs w:val="24"/>
        </w:rPr>
        <w:t xml:space="preserve">, </w:t>
      </w:r>
      <w:r>
        <w:rPr>
          <w:b/>
          <w:bCs/>
          <w:kern w:val="0"/>
          <w:szCs w:val="24"/>
        </w:rPr>
        <w:t>20</w:t>
      </w:r>
      <w:r>
        <w:rPr>
          <w:kern w:val="0"/>
          <w:szCs w:val="24"/>
        </w:rPr>
        <w:t xml:space="preserve"> (19), 3215-3221.</w:t>
      </w:r>
    </w:p>
    <w:p w:rsidR="00D209C8" w:rsidRDefault="00D209C8" w:rsidP="00D209C8">
      <w:pPr>
        <w:pStyle w:val="a3"/>
        <w:rPr>
          <w:kern w:val="0"/>
        </w:rPr>
      </w:pPr>
      <w:r>
        <w:rPr>
          <w:kern w:val="0"/>
        </w:rPr>
        <w:t>Full Text: 2014\</w:t>
      </w:r>
      <w:r>
        <w:rPr>
          <w:iCs/>
          <w:kern w:val="0"/>
        </w:rPr>
        <w:t>Cur Pha Des</w:t>
      </w:r>
      <w:r w:rsidRPr="003E4A8C">
        <w:rPr>
          <w:bCs/>
          <w:kern w:val="0"/>
        </w:rPr>
        <w:t>20</w:t>
      </w:r>
      <w:r>
        <w:rPr>
          <w:kern w:val="0"/>
        </w:rPr>
        <w:t xml:space="preserve">, </w:t>
      </w:r>
      <w:r>
        <w:rPr>
          <w:kern w:val="0"/>
          <w:szCs w:val="24"/>
        </w:rPr>
        <w:t>3215</w:t>
      </w:r>
      <w:r>
        <w:rPr>
          <w:kern w:val="0"/>
        </w:rPr>
        <w:t>.pdf</w:t>
      </w:r>
    </w:p>
    <w:p w:rsidR="00D209C8" w:rsidRDefault="00D209C8" w:rsidP="00D209C8">
      <w:pPr>
        <w:pStyle w:val="a3"/>
        <w:rPr>
          <w:kern w:val="0"/>
          <w:szCs w:val="24"/>
        </w:rPr>
      </w:pPr>
      <w:r>
        <w:rPr>
          <w:kern w:val="0"/>
          <w:szCs w:val="24"/>
        </w:rPr>
        <w:t xml:space="preserve">Abstract: Introduction: Inflammation is related to muscle wasting in elderly persons. Since surgery is accompanied by an important inflammatory response, the degree of muscle wasting and related symptoms such as weakness and tiredness might exacerbate very rapidly in elderly surgery patients. Methods: PubMed and Web of Science were systematically screened for articles reporting the influence of surgery-induced inflammation on muscle performance and/or fatigue in elderly patients. Studies reporting surgery-induced inflammation and changes in muscle performance and/or fatigue, but without analyzing their association were excluded. Although 5 relevant articles were identified including older patients (highest ages reported were 71-92 years), none focused exclusively on elderly patients. Only 2 studies assessed muscle performance, and in none muscle mass was evaluated. Overall, we found evidence that in elderly patients higher surgery-induced </w:t>
      </w:r>
      <w:r>
        <w:rPr>
          <w:kern w:val="0"/>
          <w:szCs w:val="24"/>
        </w:rPr>
        <w:lastRenderedPageBreak/>
        <w:t>inflammation was significantly related to worse muscle performance and fatigue in the first postoperative days as well as after more than one month (especially for fatigue) following the intervention. Pre-operative anti-inflammatory treatment using steroids or glucocorticoids can reduce the surgery-induced inflammatory response and improve the recovery of muscle performance and postoperative fatigue in elderly elective abdominal surgery or arthroplasty patients. Conclusion: We can conclude that to date, only few studies have investigated the association between surgery-induced inflammation and changes in postoperative muscle performance and fatigue in elderly patients. More research is warranted focusing on both the short -and long-term effects of surgical stress on muscle performance in elderly patients as well as the on risks and benefits of peri-operative anti-inflammatory treatment.</w:t>
      </w:r>
    </w:p>
    <w:p w:rsidR="00D209C8" w:rsidRDefault="00D209C8" w:rsidP="00D209C8">
      <w:pPr>
        <w:pStyle w:val="a3"/>
        <w:rPr>
          <w:kern w:val="0"/>
          <w:szCs w:val="24"/>
        </w:rPr>
      </w:pPr>
      <w:r>
        <w:rPr>
          <w:kern w:val="0"/>
          <w:szCs w:val="24"/>
        </w:rPr>
        <w:t>Keywords: Abdominal, Abdominal Surgery, Acute Phase, Arthroplasty, Articles, Association, Benefits, Changes, Colonic Resection, Disuse Muscle Atrophy, Effects, Elderly, Elective, Evidence, Fatigue, First, Geriatric-Patients, Glucocorticoids, Handgrip Strength, Induced Sickness Behavior, Inflammation, Inflammatory Response, Influence, Intervention, Long Term, Long-Term, Major Abdominal-Surgery, Methods, Muscle, Muscle Weakness, Muscular Atrophy, Patients, Performance, Peritoneal Inflammation, Postoperative, Postoperative Recovery, Pubmed, Randomized Controlled-Trial, Recovery, Reporting, Research, Response, Risks, Sarcopenia, Science, Skeletal-Muscle, Steroids, Stress, Surgery, Surgical, Surgical Stress, Symptoms, Treatment, Web Of Science</w:t>
      </w:r>
    </w:p>
    <w:p w:rsidR="00795FC7" w:rsidRDefault="00795FC7" w:rsidP="00795FC7">
      <w:pPr>
        <w:pStyle w:val="a3"/>
        <w:rPr>
          <w:kern w:val="0"/>
        </w:rPr>
      </w:pPr>
      <w:r>
        <w:rPr>
          <w:kern w:val="0"/>
        </w:rPr>
        <w:t xml:space="preserve">? Phan, K., Gomez, Y.H., Elbaz, L. and Daskalopoulou, S.S. (2014), Statin treatment non-adherence and discontinuation: Clinical implications and potential solutions. </w:t>
      </w:r>
      <w:r>
        <w:rPr>
          <w:i/>
          <w:iCs/>
          <w:kern w:val="0"/>
        </w:rPr>
        <w:t>Current Pharmaceutical Design</w:t>
      </w:r>
      <w:r>
        <w:rPr>
          <w:kern w:val="0"/>
        </w:rPr>
        <w:t xml:space="preserve">, </w:t>
      </w:r>
      <w:r>
        <w:rPr>
          <w:b/>
          <w:bCs/>
          <w:kern w:val="0"/>
        </w:rPr>
        <w:t>20</w:t>
      </w:r>
      <w:r>
        <w:rPr>
          <w:kern w:val="0"/>
        </w:rPr>
        <w:t xml:space="preserve"> (40), 6314-6324.</w:t>
      </w:r>
    </w:p>
    <w:p w:rsidR="00795FC7" w:rsidRDefault="00795FC7" w:rsidP="00795FC7">
      <w:pPr>
        <w:pStyle w:val="a3"/>
        <w:rPr>
          <w:kern w:val="0"/>
        </w:rPr>
      </w:pPr>
      <w:r>
        <w:rPr>
          <w:kern w:val="0"/>
        </w:rPr>
        <w:t>Full Text: 2014\</w:t>
      </w:r>
      <w:r>
        <w:rPr>
          <w:iCs/>
          <w:kern w:val="0"/>
        </w:rPr>
        <w:t>Cur Pha Des</w:t>
      </w:r>
      <w:r w:rsidRPr="003E4A8C">
        <w:rPr>
          <w:bCs/>
          <w:kern w:val="0"/>
        </w:rPr>
        <w:t>20</w:t>
      </w:r>
      <w:r>
        <w:rPr>
          <w:kern w:val="0"/>
        </w:rPr>
        <w:t>, 6314.pdf</w:t>
      </w:r>
    </w:p>
    <w:p w:rsidR="00795FC7" w:rsidRDefault="00795FC7" w:rsidP="00795FC7">
      <w:pPr>
        <w:pStyle w:val="a3"/>
        <w:rPr>
          <w:kern w:val="0"/>
        </w:rPr>
      </w:pPr>
      <w:r>
        <w:rPr>
          <w:kern w:val="0"/>
        </w:rPr>
        <w:t xml:space="preserve">Abstract: Statins are the most powerful lipid lowering drugs in clinical practice. However, the efficacy of statin therapy, as seen in randomized control trials, is undermined by the documented non-adherence observed in clinical practice. Understanding the clinical consequences of statin non-adherence is an important step in implementing successful interventions aimed at improving adherence. Our previous systematic review included a literature search up to January 2010 on the effects of statin non-adherence or discontinuation on cardiovascular (CV) and cerebrovascular outcomes. We provide an update to this publication and a review of promising interventions that have reported a demonstrated improvement in statin adherence. Through a systematic literature search of PubMed, Ovid Medline, Ovid Embase, CINAHL, Cochrane Library and Web of Science, out of the 3440 initially identified, 13 studies were selected. Non-adherence in a primary prevention population was associated with a graded increase in CV risk. Individuals taking statins for secondary prevention were at particular risk when taking statin with highly </w:t>
      </w:r>
      <w:r>
        <w:rPr>
          <w:kern w:val="0"/>
        </w:rPr>
        <w:lastRenderedPageBreak/>
        <w:t>variable adherence. Moreover, particular attention is warranted for non-adherence in diabetic and rheumatoid arthritis populations, as non-adherence is significantly associated with CV risk as early as 1 month following discontinuation. Statin adherence, therefore, represents an important modifiable risk factor. Numerous interventions to improve adherence have shown promise, including copayment reduction, automatic reminders, mail-order pharmacies, counseling with a health professional, and fixed-dose combination therapy. Given the complexity of causes underlying statin non-adherence, successful strategies will likely need to be tailored to each patient.</w:t>
      </w:r>
    </w:p>
    <w:p w:rsidR="00795FC7" w:rsidRDefault="00795FC7" w:rsidP="00795FC7">
      <w:pPr>
        <w:pStyle w:val="a3"/>
        <w:rPr>
          <w:kern w:val="0"/>
        </w:rPr>
      </w:pPr>
      <w:r>
        <w:rPr>
          <w:kern w:val="0"/>
        </w:rPr>
        <w:t>Keywords: Acute Myocardial-Infarction, Adherence, Arthritis, Attention, Average Cholesterol Levels, Cardiovascular, Cardiovascular Disease, Cardiovascular-Disease, Cerebrovascular Disease, Clinical, Clinical Practice, Combination Therapy, Complexity, Control, Coronary-Artery-Disease, Discontinuation, Drugs, Effects, Efficacy, Health, Health Professional, Health-Care Costs, Heart-Disease, Improvement, Interventions, Lipid, Literature, Literature Search, Medline, Non-Adherence, Outcomes, Population, Populations, Practice, Prevention, Primary, Primary Prevention, Primary Prevention, Publication, Pubmed, Randomized, Randomized Controlled-Trial, Reduction, Review, Rheumatoid Arthritis, Rheumatoid-Arthritis, Risk, Risk Assessment, Risk Factor, Science, Secondary Prevention, Secondary Prevention, Statin, Statins, Systematic, Systematic Literature Search, Systematic Review, Therapy, Treatment, Web Of Science</w:t>
      </w:r>
    </w:p>
    <w:p w:rsidR="003474F2" w:rsidRPr="001A3D2B" w:rsidRDefault="003474F2" w:rsidP="003474F2">
      <w:pPr>
        <w:pStyle w:val="1"/>
      </w:pPr>
      <w:r w:rsidRPr="001A3D2B">
        <w:br w:type="page"/>
      </w:r>
      <w:bookmarkStart w:id="487" w:name="_Toc420815164"/>
      <w:r w:rsidRPr="001A3D2B">
        <w:lastRenderedPageBreak/>
        <w:t>Title: Current Science</w:t>
      </w:r>
      <w:bookmarkEnd w:id="487"/>
    </w:p>
    <w:p w:rsidR="003474F2" w:rsidRPr="001A3D2B" w:rsidRDefault="003474F2" w:rsidP="003474F2">
      <w:pPr>
        <w:pStyle w:val="12"/>
      </w:pPr>
      <w:r w:rsidRPr="001A3D2B">
        <w:t xml:space="preserve">Full Journal Title: </w:t>
      </w:r>
      <w:r w:rsidR="00DF61FE">
        <w:fldChar w:fldCharType="begin"/>
      </w:r>
      <w:r w:rsidR="00FD158B">
        <w:instrText>HYPERLINK "http://www.ias.ac.in/cu</w:instrText>
      </w:r>
      <w:bookmarkStart w:id="488" w:name="_Toc490687868"/>
      <w:bookmarkStart w:id="489" w:name="_Toc492779492"/>
      <w:bookmarkStart w:id="490" w:name="_Toc31527896"/>
      <w:bookmarkStart w:id="491" w:name="_Toc43634567"/>
      <w:bookmarkStart w:id="492" w:name="_Toc81215692"/>
      <w:r w:rsidR="00FD158B">
        <w:instrText>rrsci/"</w:instrText>
      </w:r>
      <w:r w:rsidR="00DF61FE">
        <w:fldChar w:fldCharType="separate"/>
      </w:r>
      <w:r w:rsidRPr="001A3D2B">
        <w:rPr>
          <w:rStyle w:val="a5"/>
        </w:rPr>
        <w:t>Current Scienc</w:t>
      </w:r>
      <w:bookmarkEnd w:id="488"/>
      <w:bookmarkEnd w:id="489"/>
      <w:bookmarkEnd w:id="490"/>
      <w:bookmarkEnd w:id="491"/>
      <w:bookmarkEnd w:id="492"/>
      <w:r w:rsidRPr="001A3D2B">
        <w:rPr>
          <w:rStyle w:val="a5"/>
        </w:rPr>
        <w:t>e</w:t>
      </w:r>
      <w:r w:rsidR="00DF61FE">
        <w:fldChar w:fldCharType="end"/>
      </w:r>
    </w:p>
    <w:p w:rsidR="003474F2" w:rsidRPr="001A3D2B" w:rsidRDefault="003474F2" w:rsidP="003474F2">
      <w:pPr>
        <w:pStyle w:val="12"/>
      </w:pPr>
      <w:r w:rsidRPr="001A3D2B">
        <w:t>ISO Abbreviated Title: Curr. Sci.</w:t>
      </w:r>
    </w:p>
    <w:p w:rsidR="003474F2" w:rsidRPr="001A3D2B" w:rsidRDefault="003474F2" w:rsidP="003474F2">
      <w:pPr>
        <w:pStyle w:val="12"/>
      </w:pPr>
      <w:r w:rsidRPr="001A3D2B">
        <w:t xml:space="preserve">JCR Abbreviated Title: Curr Sci </w:t>
      </w:r>
      <w:smartTag w:uri="urn:schemas-microsoft-com:office:smarttags" w:element="place">
        <w:smartTag w:uri="urn:schemas-microsoft-com:office:smarttags" w:element="country-region">
          <w:r w:rsidRPr="001A3D2B">
            <w:t>India</w:t>
          </w:r>
        </w:smartTag>
      </w:smartTag>
    </w:p>
    <w:p w:rsidR="003474F2" w:rsidRPr="001A3D2B" w:rsidRDefault="003474F2" w:rsidP="003474F2">
      <w:pPr>
        <w:pStyle w:val="12"/>
      </w:pPr>
      <w:r w:rsidRPr="001A3D2B">
        <w:t>ISSN: 0011-3891</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India</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Current Science Assn</w:t>
      </w:r>
    </w:p>
    <w:p w:rsidR="003474F2" w:rsidRPr="001A3D2B" w:rsidRDefault="003474F2" w:rsidP="003474F2">
      <w:pPr>
        <w:pStyle w:val="12"/>
      </w:pPr>
      <w:r w:rsidRPr="001A3D2B">
        <w:t xml:space="preserve">Publisher Address: </w:t>
      </w:r>
      <w:smartTag w:uri="urn:schemas-microsoft-com:office:smarttags" w:element="Street">
        <w:smartTag w:uri="urn:schemas-microsoft-com:office:smarttags" w:element="address">
          <w:r w:rsidRPr="001A3D2B">
            <w:t>CV Raman Avenue</w:t>
          </w:r>
        </w:smartTag>
      </w:smartTag>
      <w:r w:rsidRPr="001A3D2B">
        <w:t xml:space="preserve">, </w:t>
      </w:r>
      <w:smartTag w:uri="urn:schemas-microsoft-com:office:smarttags" w:element="address">
        <w:smartTag w:uri="urn:schemas-microsoft-com:office:smarttags" w:element="Street">
          <w:r w:rsidRPr="001A3D2B">
            <w:t>PO Box 8005</w:t>
          </w:r>
        </w:smartTag>
        <w:r w:rsidRPr="001A3D2B">
          <w:t xml:space="preserve">, </w:t>
        </w:r>
        <w:smartTag w:uri="urn:schemas-microsoft-com:office:smarttags" w:element="City">
          <w:r w:rsidRPr="001A3D2B">
            <w:t>Bangalore</w:t>
          </w:r>
        </w:smartTag>
      </w:smartTag>
      <w:r w:rsidRPr="001A3D2B">
        <w:t xml:space="preserve"> 560 080, </w:t>
      </w:r>
      <w:smartTag w:uri="urn:schemas-microsoft-com:office:smarttags" w:element="place">
        <w:smartTag w:uri="urn:schemas-microsoft-com:office:smarttags" w:element="country-region">
          <w:r w:rsidRPr="001A3D2B">
            <w:t>India</w:t>
          </w:r>
        </w:smartTag>
      </w:smartTag>
    </w:p>
    <w:p w:rsidR="003474F2" w:rsidRPr="001A3D2B" w:rsidRDefault="003474F2" w:rsidP="003474F2">
      <w:pPr>
        <w:pStyle w:val="12"/>
      </w:pPr>
      <w:r w:rsidRPr="001A3D2B">
        <w:t>Subject Categories:</w:t>
      </w:r>
    </w:p>
    <w:p w:rsidR="00E835B4" w:rsidRPr="00C73C58" w:rsidRDefault="00E835B4" w:rsidP="00E835B4">
      <w:pPr>
        <w:pStyle w:val="12"/>
      </w:pPr>
      <w:r w:rsidRPr="00C73C58">
        <w:t>Multidisciplinary Sciences: Impact Factor 0.533, 20/48 (2002), Impact Factor 0.694, 17/46 (2003)</w:t>
      </w:r>
      <w:r>
        <w:rPr>
          <w:rFonts w:hint="eastAsia"/>
        </w:rPr>
        <w:t>;</w:t>
      </w:r>
      <w:r w:rsidRPr="003A4662">
        <w:t xml:space="preserve"> </w:t>
      </w:r>
      <w:r w:rsidRPr="00C73C58">
        <w:t>Impact Factor</w:t>
      </w:r>
      <w:r>
        <w:rPr>
          <w:rFonts w:hint="eastAsia"/>
        </w:rPr>
        <w:t xml:space="preserve"> 0.782, 22/48 (2009)</w:t>
      </w:r>
    </w:p>
    <w:p w:rsidR="003474F2" w:rsidRPr="001A3D2B" w:rsidRDefault="003474F2" w:rsidP="003474F2">
      <w:pPr>
        <w:pStyle w:val="a3"/>
      </w:pPr>
      <w:r w:rsidRPr="001A3D2B">
        <w:t>Mehrotra, R.</w:t>
      </w:r>
      <w:r w:rsidR="005853A9">
        <w:t xml:space="preserve"> and </w:t>
      </w:r>
      <w:r w:rsidRPr="001A3D2B">
        <w:t xml:space="preserve">Lancaster, F.W. (1984), Where Indian scientists publish? </w:t>
      </w:r>
      <w:r w:rsidRPr="001A3D2B">
        <w:rPr>
          <w:i/>
          <w:iCs/>
        </w:rPr>
        <w:t>Current Science</w:t>
      </w:r>
      <w:r w:rsidRPr="001A3D2B">
        <w:t xml:space="preserve">, </w:t>
      </w:r>
      <w:r w:rsidRPr="001A3D2B">
        <w:rPr>
          <w:b/>
          <w:bCs/>
        </w:rPr>
        <w:t>53</w:t>
      </w:r>
      <w:r w:rsidRPr="001A3D2B">
        <w:t xml:space="preserve"> (13), 684-688.</w:t>
      </w:r>
    </w:p>
    <w:p w:rsidR="003474F2" w:rsidRPr="001A3D2B" w:rsidRDefault="003474F2" w:rsidP="003474F2">
      <w:pPr>
        <w:pStyle w:val="a3"/>
      </w:pPr>
      <w:r w:rsidRPr="001A3D2B">
        <w:t xml:space="preserve">Full Text: </w:t>
      </w:r>
      <w:hyperlink r:id="rId1129" w:history="1">
        <w:r w:rsidRPr="001A3D2B">
          <w:rPr>
            <w:rStyle w:val="a5"/>
          </w:rPr>
          <w:t>1984\Cur Sci53, 684.pdf</w:t>
        </w:r>
      </w:hyperlink>
    </w:p>
    <w:p w:rsidR="003474F2" w:rsidRPr="001A3D2B" w:rsidRDefault="003474F2" w:rsidP="003474F2">
      <w:pPr>
        <w:pStyle w:val="a3"/>
      </w:pPr>
      <w:r w:rsidRPr="001A3D2B">
        <w:t>West, W.D. (1985), Current Science - 50 years ago - Some recent advances in Indian geology (Reprinted from Curr</w:t>
      </w:r>
      <w:r w:rsidR="008E3069">
        <w:t xml:space="preserve"> SCI,</w:t>
      </w:r>
      <w:r w:rsidRPr="001A3D2B">
        <w:t xml:space="preserve"> Vol 3, Pg 412, 1935). </w:t>
      </w:r>
      <w:r w:rsidRPr="001A3D2B">
        <w:rPr>
          <w:i/>
          <w:iCs/>
        </w:rPr>
        <w:t>Current Science</w:t>
      </w:r>
      <w:r w:rsidRPr="001A3D2B">
        <w:t xml:space="preserve">, </w:t>
      </w:r>
      <w:r w:rsidRPr="001A3D2B">
        <w:rPr>
          <w:b/>
          <w:bCs/>
        </w:rPr>
        <w:t>54</w:t>
      </w:r>
      <w:r w:rsidRPr="001A3D2B">
        <w:t xml:space="preserve"> (6), 275-276.</w:t>
      </w:r>
    </w:p>
    <w:p w:rsidR="003474F2" w:rsidRPr="001A3D2B" w:rsidRDefault="003474F2" w:rsidP="003474F2">
      <w:pPr>
        <w:pStyle w:val="a3"/>
      </w:pPr>
      <w:r w:rsidRPr="001A3D2B">
        <w:t xml:space="preserve">Full Text: </w:t>
      </w:r>
      <w:hyperlink r:id="rId1130" w:history="1">
        <w:r w:rsidRPr="001A3D2B">
          <w:rPr>
            <w:rStyle w:val="a5"/>
          </w:rPr>
          <w:t>1985\Cur Sci54, 275.pdf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 xml:space="preserve">(1985), Current Science 50 years ago – Agricultural Research in </w:t>
      </w:r>
      <w:smartTag w:uri="urn:schemas-microsoft-com:office:smarttags" w:element="place">
        <w:smartTag w:uri="urn:schemas-microsoft-com:office:smarttags" w:element="country-region">
          <w:r w:rsidRPr="001A3D2B">
            <w:t>India</w:t>
          </w:r>
        </w:smartTag>
      </w:smartTag>
      <w:r w:rsidRPr="001A3D2B">
        <w:t xml:space="preserve"> (Reprinted in Curr</w:t>
      </w:r>
      <w:r w:rsidR="008E3069">
        <w:t xml:space="preserve"> SCI,</w:t>
      </w:r>
      <w:r w:rsidRPr="001A3D2B">
        <w:t xml:space="preserve"> Vol 4, Pg 212, 1935). </w:t>
      </w:r>
      <w:r w:rsidRPr="001A3D2B">
        <w:rPr>
          <w:i/>
          <w:iCs/>
        </w:rPr>
        <w:t>Current Science</w:t>
      </w:r>
      <w:r w:rsidRPr="001A3D2B">
        <w:t xml:space="preserve">, </w:t>
      </w:r>
      <w:r w:rsidRPr="001A3D2B">
        <w:rPr>
          <w:b/>
          <w:bCs/>
        </w:rPr>
        <w:t>54</w:t>
      </w:r>
      <w:r w:rsidRPr="001A3D2B">
        <w:t xml:space="preserve"> (19), 991-993.</w:t>
      </w:r>
    </w:p>
    <w:p w:rsidR="003474F2" w:rsidRPr="001A3D2B" w:rsidRDefault="003474F2" w:rsidP="003474F2">
      <w:pPr>
        <w:pStyle w:val="a3"/>
      </w:pPr>
      <w:r w:rsidRPr="001A3D2B">
        <w:t xml:space="preserve">Full Text: </w:t>
      </w:r>
      <w:hyperlink r:id="rId1131" w:history="1">
        <w:r w:rsidRPr="001A3D2B">
          <w:rPr>
            <w:rStyle w:val="a5"/>
          </w:rPr>
          <w:t>1985\Cur Sci54, 991.pdf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(1985), Current Science - 50 years ago - (Reprinted From, Curr</w:t>
      </w:r>
      <w:r w:rsidR="008E3069">
        <w:t xml:space="preserve"> SCI,</w:t>
      </w:r>
      <w:r w:rsidRPr="001A3D2B">
        <w:t xml:space="preserve"> Vol 4, Pg 293, 1935) Over-population in </w:t>
      </w:r>
      <w:smartTag w:uri="urn:schemas-microsoft-com:office:smarttags" w:element="place">
        <w:smartTag w:uri="urn:schemas-microsoft-com:office:smarttags" w:element="country-region">
          <w:r w:rsidRPr="001A3D2B">
            <w:t>India</w:t>
          </w:r>
        </w:smartTag>
      </w:smartTag>
      <w:r w:rsidRPr="001A3D2B">
        <w:t xml:space="preserve">. </w:t>
      </w:r>
      <w:r w:rsidRPr="001A3D2B">
        <w:rPr>
          <w:i/>
          <w:iCs/>
        </w:rPr>
        <w:t>Current Science</w:t>
      </w:r>
      <w:r w:rsidRPr="001A3D2B">
        <w:t xml:space="preserve">, </w:t>
      </w:r>
      <w:r w:rsidRPr="001A3D2B">
        <w:rPr>
          <w:b/>
          <w:bCs/>
        </w:rPr>
        <w:t>54</w:t>
      </w:r>
      <w:r w:rsidRPr="001A3D2B">
        <w:t xml:space="preserve"> (21), 1107-1108.</w:t>
      </w:r>
    </w:p>
    <w:p w:rsidR="003474F2" w:rsidRPr="001A3D2B" w:rsidRDefault="003474F2" w:rsidP="003474F2">
      <w:pPr>
        <w:pStyle w:val="a3"/>
      </w:pPr>
      <w:r w:rsidRPr="001A3D2B">
        <w:t xml:space="preserve">Full Text: </w:t>
      </w:r>
      <w:hyperlink r:id="rId1132" w:history="1">
        <w:r w:rsidRPr="001A3D2B">
          <w:rPr>
            <w:rStyle w:val="a5"/>
          </w:rPr>
          <w:t>1985\Cur Sci54, 1107.pdf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 (1986), Current Science - 50 years ago - Neglected Human-Genetics (Reprinted from Current</w:t>
      </w:r>
      <w:r w:rsidR="008E3069">
        <w:t xml:space="preserve"> SCI,</w:t>
      </w:r>
      <w:r w:rsidRPr="001A3D2B">
        <w:t xml:space="preserve"> Vol 4, March 1936, Pg 637). </w:t>
      </w:r>
      <w:r w:rsidRPr="001A3D2B">
        <w:rPr>
          <w:i/>
          <w:iCs/>
        </w:rPr>
        <w:t>Current Science</w:t>
      </w:r>
      <w:r w:rsidRPr="001A3D2B">
        <w:t xml:space="preserve">, </w:t>
      </w:r>
      <w:r w:rsidRPr="001A3D2B">
        <w:rPr>
          <w:b/>
          <w:bCs/>
        </w:rPr>
        <w:t>55</w:t>
      </w:r>
      <w:r w:rsidRPr="001A3D2B">
        <w:t xml:space="preserve"> (5), 239-240.</w:t>
      </w:r>
    </w:p>
    <w:p w:rsidR="003474F2" w:rsidRPr="001A3D2B" w:rsidRDefault="003474F2" w:rsidP="003474F2">
      <w:pPr>
        <w:pStyle w:val="a3"/>
      </w:pPr>
      <w:r w:rsidRPr="001A3D2B">
        <w:t>Full Text: Cur Sci55, 239</w:t>
      </w:r>
      <w:r w:rsidR="00E9021D" w:rsidRPr="001A3D2B">
        <w:t>.pdf</w:t>
      </w:r>
    </w:p>
    <w:p w:rsidR="003474F2" w:rsidRPr="001A3D2B" w:rsidRDefault="003474F2" w:rsidP="003474F2">
      <w:pPr>
        <w:pStyle w:val="a3"/>
      </w:pPr>
      <w:r w:rsidRPr="001A3D2B">
        <w:t>Keywords: SCI</w:t>
      </w:r>
    </w:p>
    <w:p w:rsidR="003474F2" w:rsidRPr="001A3D2B" w:rsidRDefault="003474F2" w:rsidP="003474F2">
      <w:pPr>
        <w:pStyle w:val="a3"/>
      </w:pPr>
      <w:r w:rsidRPr="001A3D2B">
        <w:t>(1987), Current Science - 50 years ago - Need for a soil survey</w:t>
      </w:r>
      <w:r w:rsidR="00427468">
        <w:t xml:space="preserve"> of </w:t>
      </w:r>
      <w:r w:rsidRPr="001A3D2B">
        <w:t xml:space="preserve">India (Reprinted from Current Sci J, Vol 5, Pg 563, 1937). </w:t>
      </w:r>
      <w:r w:rsidRPr="001A3D2B">
        <w:rPr>
          <w:i/>
          <w:iCs/>
        </w:rPr>
        <w:t>Current Science</w:t>
      </w:r>
      <w:r w:rsidRPr="001A3D2B">
        <w:t xml:space="preserve">, </w:t>
      </w:r>
      <w:r w:rsidRPr="001A3D2B">
        <w:rPr>
          <w:b/>
          <w:bCs/>
        </w:rPr>
        <w:t>56</w:t>
      </w:r>
      <w:r w:rsidRPr="001A3D2B">
        <w:t xml:space="preserve"> (7), 302-303.</w:t>
      </w:r>
    </w:p>
    <w:p w:rsidR="003474F2" w:rsidRPr="001A3D2B" w:rsidRDefault="003474F2" w:rsidP="003474F2">
      <w:pPr>
        <w:pStyle w:val="a3"/>
      </w:pPr>
      <w:r w:rsidRPr="001A3D2B">
        <w:t xml:space="preserve">Full Text: </w:t>
      </w:r>
      <w:hyperlink r:id="rId1133" w:history="1">
        <w:r w:rsidRPr="001A3D2B">
          <w:rPr>
            <w:rStyle w:val="a5"/>
          </w:rPr>
          <w:t>1987\Cur Sci56, 302.pdf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lastRenderedPageBreak/>
        <w:t>Subrahmanyan, V. (1987), Current Science - 50 years ago - Some aspects</w:t>
      </w:r>
      <w:r w:rsidR="00427468">
        <w:t xml:space="preserve"> of </w:t>
      </w:r>
      <w:r w:rsidR="003A1917">
        <w:t xml:space="preserve">the </w:t>
      </w:r>
      <w:r w:rsidRPr="001A3D2B">
        <w:t>chemistry</w:t>
      </w:r>
      <w:r w:rsidR="00427468">
        <w:t xml:space="preserve"> of </w:t>
      </w:r>
      <w:r w:rsidRPr="001A3D2B">
        <w:t>swamp soil (Reprinted from Current</w:t>
      </w:r>
      <w:r w:rsidR="008E3069">
        <w:t xml:space="preserve"> SCI,</w:t>
      </w:r>
      <w:r w:rsidRPr="001A3D2B">
        <w:t xml:space="preserve"> Vol 5, P 656, 1937). </w:t>
      </w:r>
      <w:r w:rsidRPr="001A3D2B">
        <w:rPr>
          <w:i/>
          <w:iCs/>
        </w:rPr>
        <w:t>Current Science</w:t>
      </w:r>
      <w:r w:rsidRPr="001A3D2B">
        <w:t xml:space="preserve">, </w:t>
      </w:r>
      <w:r w:rsidRPr="001A3D2B">
        <w:rPr>
          <w:b/>
          <w:bCs/>
        </w:rPr>
        <w:t>56</w:t>
      </w:r>
      <w:r w:rsidRPr="001A3D2B">
        <w:t xml:space="preserve"> (11), 527-529.</w:t>
      </w:r>
    </w:p>
    <w:p w:rsidR="003474F2" w:rsidRPr="001A3D2B" w:rsidRDefault="003474F2" w:rsidP="003474F2">
      <w:pPr>
        <w:pStyle w:val="a3"/>
      </w:pPr>
      <w:r w:rsidRPr="001A3D2B">
        <w:t xml:space="preserve">Full Text: </w:t>
      </w:r>
      <w:hyperlink r:id="rId1134" w:history="1">
        <w:r w:rsidRPr="001A3D2B">
          <w:rPr>
            <w:rStyle w:val="a5"/>
          </w:rPr>
          <w:t>1987\Cur Sci56, 527.pdf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(1988), Current Science - 50 years ago -</w:t>
      </w:r>
      <w:r w:rsidR="003A1917">
        <w:t xml:space="preserve"> the </w:t>
      </w:r>
      <w:r w:rsidRPr="001A3D2B">
        <w:t>Calder Plan (Reprinted from Curr</w:t>
      </w:r>
      <w:r w:rsidR="008E3069">
        <w:t xml:space="preserve"> SCI,</w:t>
      </w:r>
      <w:r w:rsidRPr="001A3D2B">
        <w:t xml:space="preserve"> Vol 7, P 41, 1938). </w:t>
      </w:r>
      <w:r w:rsidRPr="001A3D2B">
        <w:rPr>
          <w:i/>
          <w:iCs/>
        </w:rPr>
        <w:t>Current Science</w:t>
      </w:r>
      <w:r w:rsidRPr="001A3D2B">
        <w:t xml:space="preserve">, </w:t>
      </w:r>
      <w:r w:rsidRPr="001A3D2B">
        <w:rPr>
          <w:b/>
          <w:bCs/>
        </w:rPr>
        <w:t>57</w:t>
      </w:r>
      <w:r w:rsidRPr="001A3D2B">
        <w:t xml:space="preserve"> (15), 835-836.</w:t>
      </w:r>
    </w:p>
    <w:p w:rsidR="003474F2" w:rsidRPr="001A3D2B" w:rsidRDefault="003474F2" w:rsidP="003474F2">
      <w:pPr>
        <w:pStyle w:val="a3"/>
      </w:pPr>
      <w:r w:rsidRPr="001A3D2B">
        <w:t xml:space="preserve">Full Text: </w:t>
      </w:r>
      <w:hyperlink r:id="rId1135" w:history="1">
        <w:r w:rsidRPr="001A3D2B">
          <w:rPr>
            <w:rStyle w:val="a5"/>
          </w:rPr>
          <w:t>1988\Cur Sci57, 835.pdf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Gale, A.J.V.</w:t>
      </w:r>
      <w:r w:rsidR="005853A9">
        <w:t xml:space="preserve"> and </w:t>
      </w:r>
      <w:r w:rsidRPr="001A3D2B">
        <w:t>Brimble, L.J.F. (1989), Current Science - 50 years ago - Gregory, Richard - (Reprinted from Current</w:t>
      </w:r>
      <w:r w:rsidR="008E3069">
        <w:t xml:space="preserve"> SCI,</w:t>
      </w:r>
      <w:r w:rsidRPr="001A3D2B">
        <w:t xml:space="preserve"> Vol 8, Pg 249, 1939). </w:t>
      </w:r>
      <w:r w:rsidRPr="001A3D2B">
        <w:rPr>
          <w:i/>
          <w:iCs/>
        </w:rPr>
        <w:t>Current Science</w:t>
      </w:r>
      <w:r w:rsidRPr="001A3D2B">
        <w:t xml:space="preserve">, </w:t>
      </w:r>
      <w:r w:rsidRPr="001A3D2B">
        <w:rPr>
          <w:b/>
          <w:bCs/>
        </w:rPr>
        <w:t>58</w:t>
      </w:r>
      <w:r w:rsidRPr="001A3D2B">
        <w:t xml:space="preserve"> (11), 619-620.</w:t>
      </w:r>
    </w:p>
    <w:p w:rsidR="003474F2" w:rsidRPr="001A3D2B" w:rsidRDefault="003474F2" w:rsidP="003474F2">
      <w:pPr>
        <w:pStyle w:val="a3"/>
      </w:pPr>
      <w:r w:rsidRPr="001A3D2B">
        <w:t xml:space="preserve">Full Text: </w:t>
      </w:r>
      <w:hyperlink r:id="rId1136" w:history="1">
        <w:r w:rsidRPr="001A3D2B">
          <w:rPr>
            <w:rStyle w:val="a5"/>
          </w:rPr>
          <w:t>1989\Cur Sci58, 619.pdf</w:t>
        </w:r>
      </w:hyperlink>
    </w:p>
    <w:p w:rsidR="003474F2" w:rsidRPr="001A3D2B" w:rsidRDefault="003474F2" w:rsidP="003474F2">
      <w:pPr>
        <w:pStyle w:val="a3"/>
      </w:pPr>
      <w:r w:rsidRPr="001A3D2B">
        <w:t>Keywords: SCI</w:t>
      </w:r>
    </w:p>
    <w:p w:rsidR="004814D8" w:rsidRDefault="004814D8" w:rsidP="003474F2">
      <w:pPr>
        <w:pStyle w:val="a3"/>
      </w:pPr>
      <w:r>
        <w:rPr>
          <w:rFonts w:hint="eastAsia"/>
        </w:rPr>
        <w:t>Notes: CCountry</w:t>
      </w:r>
    </w:p>
    <w:p w:rsidR="003474F2" w:rsidRPr="001A3D2B" w:rsidRDefault="003474F2" w:rsidP="003474F2">
      <w:pPr>
        <w:pStyle w:val="a3"/>
      </w:pPr>
      <w:r w:rsidRPr="001A3D2B">
        <w:t>Arunachalam, S., Singh, U.N.</w:t>
      </w:r>
      <w:r w:rsidR="005853A9">
        <w:t xml:space="preserve"> and </w:t>
      </w:r>
      <w:r w:rsidRPr="001A3D2B">
        <w:t>Sinha, R. (1993</w:t>
      </w:r>
      <w:r w:rsidR="00F42EAC">
        <w:t>), The</w:t>
      </w:r>
      <w:r w:rsidR="003A1917">
        <w:t xml:space="preserve"> </w:t>
      </w:r>
      <w:r w:rsidRPr="001A3D2B">
        <w:t>sleeping dragon wakes up: A scientometric analysis</w:t>
      </w:r>
      <w:r w:rsidR="00427468">
        <w:t xml:space="preserve"> of </w:t>
      </w:r>
      <w:r w:rsidR="003A1917">
        <w:t xml:space="preserve">the </w:t>
      </w:r>
      <w:r w:rsidRPr="001A3D2B">
        <w:t>growth</w:t>
      </w:r>
      <w:r w:rsidR="00427468">
        <w:t xml:space="preserve"> of </w:t>
      </w:r>
      <w:r w:rsidRPr="001A3D2B">
        <w:t>science</w:t>
      </w:r>
      <w:r w:rsidR="005853A9">
        <w:t xml:space="preserve"> and </w:t>
      </w:r>
      <w:r w:rsidR="003A1917">
        <w:t xml:space="preserve">the </w:t>
      </w:r>
      <w:r w:rsidR="0051715B">
        <w:t>usa</w:t>
      </w:r>
      <w:r w:rsidR="0051715B" w:rsidRPr="001A3D2B">
        <w:t>ge</w:t>
      </w:r>
      <w:r w:rsidR="0051715B">
        <w:t xml:space="preserve"> </w:t>
      </w:r>
      <w:r w:rsidR="00427468">
        <w:t xml:space="preserve">of </w:t>
      </w:r>
      <w:r w:rsidRPr="001A3D2B">
        <w:t xml:space="preserve">journals in China. </w:t>
      </w:r>
      <w:r w:rsidRPr="001A3D2B">
        <w:rPr>
          <w:i/>
          <w:iCs/>
        </w:rPr>
        <w:t>Current Science</w:t>
      </w:r>
      <w:r w:rsidRPr="001A3D2B">
        <w:t xml:space="preserve">, </w:t>
      </w:r>
      <w:r w:rsidRPr="001A3D2B">
        <w:rPr>
          <w:b/>
          <w:bCs/>
        </w:rPr>
        <w:t>65</w:t>
      </w:r>
      <w:r w:rsidRPr="001A3D2B">
        <w:t xml:space="preserve"> (11), 809-822.</w:t>
      </w:r>
    </w:p>
    <w:p w:rsidR="003474F2" w:rsidRPr="001A3D2B" w:rsidRDefault="003474F2" w:rsidP="003474F2">
      <w:pPr>
        <w:pStyle w:val="a3"/>
      </w:pPr>
      <w:r w:rsidRPr="001A3D2B">
        <w:t xml:space="preserve">Full Text: </w:t>
      </w:r>
      <w:hyperlink r:id="rId1137" w:history="1">
        <w:r w:rsidRPr="001A3D2B">
          <w:rPr>
            <w:rStyle w:val="a5"/>
          </w:rPr>
          <w:t>1993\Cur Sci65, 809.pdf</w:t>
        </w:r>
      </w:hyperlink>
    </w:p>
    <w:p w:rsidR="004B348C" w:rsidRPr="001A3D2B" w:rsidRDefault="004B348C" w:rsidP="004B348C">
      <w:pPr>
        <w:pStyle w:val="a3"/>
        <w:rPr>
          <w:kern w:val="0"/>
        </w:rPr>
      </w:pPr>
      <w:r w:rsidRPr="001A3D2B">
        <w:rPr>
          <w:kern w:val="0"/>
        </w:rPr>
        <w:t>Keywords: China, Citation Patterns, Countries, Growth, Publication, Science, Scientometric</w:t>
      </w:r>
    </w:p>
    <w:p w:rsidR="003474F2" w:rsidRPr="001A3D2B" w:rsidRDefault="003474F2" w:rsidP="003474F2">
      <w:pPr>
        <w:pStyle w:val="a3"/>
      </w:pPr>
      <w:r w:rsidRPr="001A3D2B">
        <w:t>Ranganathan, S. (1994), Quasicrystals: Indian research accomplishments</w:t>
      </w:r>
      <w:r w:rsidR="005853A9">
        <w:t xml:space="preserve"> and </w:t>
      </w:r>
      <w:r w:rsidRPr="001A3D2B">
        <w:t xml:space="preserve">imperatives. </w:t>
      </w:r>
      <w:r w:rsidRPr="001A3D2B">
        <w:rPr>
          <w:i/>
          <w:iCs/>
        </w:rPr>
        <w:t>Current Science</w:t>
      </w:r>
      <w:r w:rsidRPr="001A3D2B">
        <w:t xml:space="preserve">, </w:t>
      </w:r>
      <w:r w:rsidRPr="001A3D2B">
        <w:rPr>
          <w:b/>
          <w:bCs/>
        </w:rPr>
        <w:t>67</w:t>
      </w:r>
      <w:r w:rsidRPr="001A3D2B">
        <w:t xml:space="preserve"> (11), 884-886.</w:t>
      </w:r>
    </w:p>
    <w:p w:rsidR="003474F2" w:rsidRPr="001A3D2B" w:rsidRDefault="003474F2" w:rsidP="003474F2">
      <w:pPr>
        <w:pStyle w:val="a3"/>
      </w:pPr>
      <w:r w:rsidRPr="001A3D2B">
        <w:t xml:space="preserve">Full Text: </w:t>
      </w:r>
      <w:hyperlink r:id="rId1138" w:history="1">
        <w:r w:rsidRPr="001A3D2B">
          <w:rPr>
            <w:rStyle w:val="a5"/>
          </w:rPr>
          <w:t>1994\Cur Sci67, 884.pdf</w:t>
        </w:r>
      </w:hyperlink>
    </w:p>
    <w:p w:rsidR="003474F2" w:rsidRPr="001A3D2B" w:rsidRDefault="003474F2" w:rsidP="003474F2">
      <w:pPr>
        <w:pStyle w:val="a3"/>
      </w:pPr>
      <w:r w:rsidRPr="001A3D2B">
        <w:t>Abstract: Within two months</w:t>
      </w:r>
      <w:r w:rsidR="00427468">
        <w:t xml:space="preserve"> of </w:t>
      </w:r>
      <w:r w:rsidR="003A1917">
        <w:t xml:space="preserve">the </w:t>
      </w:r>
      <w:r w:rsidRPr="001A3D2B">
        <w:t xml:space="preserve">first report on quasicrystals in PRL in November 1984, Indian research which had a </w:t>
      </w:r>
      <w:r w:rsidR="0071223E">
        <w:t>‘</w:t>
      </w:r>
      <w:r w:rsidRPr="001A3D2B">
        <w:t>premature discovery</w:t>
      </w:r>
      <w:r w:rsidR="0071223E">
        <w:t>’</w:t>
      </w:r>
      <w:r w:rsidRPr="001A3D2B">
        <w:t xml:space="preserve"> in </w:t>
      </w:r>
      <w:smartTag w:uri="urn:schemas-microsoft-com:office:smarttags" w:element="chmetcnv">
        <w:smartTagPr>
          <w:attr w:name="UnitName" w:val="in"/>
          <w:attr w:name="SourceValue" w:val="1978"/>
          <w:attr w:name="HasSpace" w:val="True"/>
          <w:attr w:name="Negative" w:val="False"/>
          <w:attr w:name="NumberType" w:val="1"/>
          <w:attr w:name="TCSC" w:val="0"/>
        </w:smartTagPr>
        <w:r w:rsidRPr="001A3D2B">
          <w:t>1978 in</w:t>
        </w:r>
      </w:smartTag>
      <w:r w:rsidRPr="001A3D2B">
        <w:t xml:space="preserve"> this area got under way, In</w:t>
      </w:r>
      <w:r w:rsidR="003A1917">
        <w:t xml:space="preserve"> the </w:t>
      </w:r>
      <w:r w:rsidRPr="001A3D2B">
        <w:t>past nine years these efforts have led to original discoveries relating to new types</w:t>
      </w:r>
      <w:r w:rsidR="00427468">
        <w:t xml:space="preserve"> of </w:t>
      </w:r>
      <w:r w:rsidRPr="001A3D2B">
        <w:t>quasicrystalline phases as well as extensive investigations involving tiling theory, hyperspace, positron annihilation</w:t>
      </w:r>
      <w:r w:rsidR="005853A9">
        <w:t xml:space="preserve"> and </w:t>
      </w:r>
      <w:r w:rsidRPr="001A3D2B">
        <w:t>electrical properties, These researches have been multi-institutional</w:t>
      </w:r>
      <w:r w:rsidR="005853A9">
        <w:t xml:space="preserve"> and </w:t>
      </w:r>
      <w:r w:rsidRPr="001A3D2B">
        <w:t>multi-disciplinary. Enlightened</w:t>
      </w:r>
      <w:r w:rsidR="005853A9">
        <w:t xml:space="preserve"> and </w:t>
      </w:r>
      <w:r w:rsidRPr="001A3D2B">
        <w:t>generous funding was extended by DST from 1986 by recognizing it as a thrust area in basic research via SERC</w:t>
      </w:r>
      <w:r w:rsidR="005853A9">
        <w:t xml:space="preserve"> and </w:t>
      </w:r>
      <w:r w:rsidRPr="001A3D2B">
        <w:t>US-India Funds. International recognition, subjective though it is, in</w:t>
      </w:r>
      <w:r w:rsidR="003A1917">
        <w:t xml:space="preserve"> the </w:t>
      </w:r>
      <w:r w:rsidRPr="001A3D2B">
        <w:t>form</w:t>
      </w:r>
      <w:r w:rsidR="00427468">
        <w:t xml:space="preserve"> of </w:t>
      </w:r>
      <w:r w:rsidRPr="001A3D2B">
        <w:t>citation</w:t>
      </w:r>
      <w:r w:rsidR="00427468">
        <w:t xml:space="preserve"> of </w:t>
      </w:r>
      <w:r w:rsidRPr="001A3D2B">
        <w:t>Indian papers, invited lectures</w:t>
      </w:r>
      <w:r w:rsidR="005853A9">
        <w:t xml:space="preserve"> and </w:t>
      </w:r>
      <w:r w:rsidRPr="001A3D2B">
        <w:t>reviews, books as well as</w:t>
      </w:r>
      <w:r w:rsidR="003A1917">
        <w:t xml:space="preserve"> the </w:t>
      </w:r>
      <w:r w:rsidRPr="001A3D2B">
        <w:t>membership</w:t>
      </w:r>
      <w:r w:rsidR="00427468">
        <w:t xml:space="preserve"> of </w:t>
      </w:r>
      <w:r w:rsidRPr="001A3D2B">
        <w:t>International Advisory Committee has followed</w:t>
      </w:r>
      <w:r w:rsidR="005853A9">
        <w:t xml:space="preserve"> and </w:t>
      </w:r>
      <w:r w:rsidRPr="001A3D2B">
        <w:t>is among</w:t>
      </w:r>
      <w:r w:rsidR="003A1917">
        <w:t xml:space="preserve"> the </w:t>
      </w:r>
      <w:r w:rsidRPr="001A3D2B">
        <w:t>highest in</w:t>
      </w:r>
      <w:r w:rsidR="003A1917">
        <w:t xml:space="preserve"> the </w:t>
      </w:r>
      <w:r w:rsidRPr="001A3D2B">
        <w:t>fields</w:t>
      </w:r>
      <w:r w:rsidR="00427468">
        <w:t xml:space="preserve"> of </w:t>
      </w:r>
      <w:r w:rsidRPr="001A3D2B">
        <w:t>condensed matter science covered at</w:t>
      </w:r>
      <w:r w:rsidR="003A1917">
        <w:t xml:space="preserve"> the </w:t>
      </w:r>
      <w:r w:rsidRPr="001A3D2B">
        <w:t>Bangalore meeting, Future directions pertaining to</w:t>
      </w:r>
      <w:r w:rsidR="003A1917">
        <w:t xml:space="preserve"> the </w:t>
      </w:r>
      <w:r w:rsidRPr="001A3D2B">
        <w:t>exploration</w:t>
      </w:r>
      <w:r w:rsidR="00427468">
        <w:t xml:space="preserve"> of </w:t>
      </w:r>
      <w:r w:rsidRPr="001A3D2B">
        <w:t>mechanical</w:t>
      </w:r>
      <w:r w:rsidR="005853A9">
        <w:t xml:space="preserve"> and </w:t>
      </w:r>
      <w:r w:rsidRPr="001A3D2B">
        <w:t>electronic properties as well as structures beyond</w:t>
      </w:r>
      <w:r w:rsidR="003A1917">
        <w:t xml:space="preserve"> the </w:t>
      </w:r>
      <w:r w:rsidRPr="001A3D2B">
        <w:t>quasicrystalline order will be pointed out.</w:t>
      </w:r>
    </w:p>
    <w:p w:rsidR="003474F2" w:rsidRPr="001A3D2B" w:rsidRDefault="003474F2" w:rsidP="003474F2">
      <w:pPr>
        <w:pStyle w:val="a3"/>
      </w:pPr>
      <w:r w:rsidRPr="001A3D2B">
        <w:t xml:space="preserve">Keywords: Alloys, Crystallography, Electron-Microscopy, Fe, Icosahedral Symmetry, </w:t>
      </w:r>
      <w:r w:rsidRPr="001A3D2B">
        <w:lastRenderedPageBreak/>
        <w:t>Order, Phase, Quasi-Crystals, System</w:t>
      </w:r>
    </w:p>
    <w:p w:rsidR="003474F2" w:rsidRPr="001A3D2B" w:rsidRDefault="003474F2" w:rsidP="003474F2">
      <w:pPr>
        <w:pStyle w:val="a3"/>
      </w:pPr>
      <w:r w:rsidRPr="001A3D2B">
        <w:t xml:space="preserve">Szavá Kováts, E. (1997), Non-indexed citedness. </w:t>
      </w:r>
      <w:r w:rsidRPr="001A3D2B">
        <w:rPr>
          <w:i/>
          <w:iCs/>
        </w:rPr>
        <w:t>Current Science</w:t>
      </w:r>
      <w:r w:rsidRPr="001A3D2B">
        <w:t xml:space="preserve">, </w:t>
      </w:r>
      <w:r w:rsidRPr="001A3D2B">
        <w:rPr>
          <w:b/>
          <w:bCs/>
        </w:rPr>
        <w:t>72</w:t>
      </w:r>
      <w:r w:rsidRPr="001A3D2B">
        <w:t xml:space="preserve"> (10), 705-707.</w:t>
      </w:r>
    </w:p>
    <w:p w:rsidR="003474F2" w:rsidRPr="001A3D2B" w:rsidRDefault="003474F2" w:rsidP="003474F2">
      <w:pPr>
        <w:pStyle w:val="a3"/>
      </w:pPr>
      <w:r w:rsidRPr="001A3D2B">
        <w:t xml:space="preserve">Full Text: </w:t>
      </w:r>
      <w:hyperlink r:id="rId1139" w:history="1">
        <w:r w:rsidRPr="001A3D2B">
          <w:rPr>
            <w:rStyle w:val="a5"/>
          </w:rPr>
          <w:t>1997\Cur Sci72, 705.pdf</w:t>
        </w:r>
      </w:hyperlink>
    </w:p>
    <w:p w:rsidR="003474F2" w:rsidRPr="001A3D2B" w:rsidRDefault="003474F2" w:rsidP="003474F2">
      <w:pPr>
        <w:pStyle w:val="a3"/>
      </w:pPr>
      <w:r w:rsidRPr="001A3D2B">
        <w:t>Abstract: Two recent fact-finding investigations demonstrate that eponymal</w:t>
      </w:r>
      <w:r w:rsidR="005853A9">
        <w:t xml:space="preserve"> and </w:t>
      </w:r>
      <w:r w:rsidRPr="001A3D2B">
        <w:t>indirect-collective citedness are very frequent</w:t>
      </w:r>
      <w:r w:rsidR="005853A9">
        <w:t xml:space="preserve"> and </w:t>
      </w:r>
      <w:r w:rsidRPr="001A3D2B">
        <w:t>long-standing phenomena in</w:t>
      </w:r>
      <w:r w:rsidR="003A1917">
        <w:t xml:space="preserve"> the </w:t>
      </w:r>
      <w:r w:rsidRPr="001A3D2B">
        <w:t>journal literature</w:t>
      </w:r>
      <w:r w:rsidR="00427468">
        <w:t xml:space="preserve"> of </w:t>
      </w:r>
      <w:r w:rsidRPr="001A3D2B">
        <w:t>physics,</w:t>
      </w:r>
      <w:r w:rsidR="005853A9">
        <w:t xml:space="preserve"> and </w:t>
      </w:r>
      <w:r w:rsidRPr="001A3D2B">
        <w:t>present not indexed by Citation Indexes. In consequence</w:t>
      </w:r>
      <w:r w:rsidR="00427468">
        <w:t xml:space="preserve"> of </w:t>
      </w:r>
      <w:r w:rsidRPr="001A3D2B">
        <w:t>non-indexed literature citedness,</w:t>
      </w:r>
      <w:r w:rsidR="003A1917">
        <w:t xml:space="preserve"> the </w:t>
      </w:r>
      <w:r w:rsidRPr="001A3D2B">
        <w:t>Indexes are not suitable for</w:t>
      </w:r>
      <w:r w:rsidR="003A1917">
        <w:t xml:space="preserve"> the </w:t>
      </w:r>
      <w:r w:rsidRPr="001A3D2B">
        <w:t>measurement</w:t>
      </w:r>
      <w:r w:rsidR="00427468">
        <w:t xml:space="preserve"> of </w:t>
      </w:r>
      <w:r w:rsidRPr="001A3D2B">
        <w:t>real literature citedness</w:t>
      </w:r>
      <w:r w:rsidR="00A37C1D">
        <w:t>. The</w:t>
      </w:r>
      <w:r w:rsidR="003A1917">
        <w:t xml:space="preserve"> </w:t>
      </w:r>
      <w:r w:rsidRPr="001A3D2B">
        <w:t>meaning</w:t>
      </w:r>
      <w:r w:rsidR="005853A9">
        <w:t xml:space="preserve"> and </w:t>
      </w:r>
      <w:r w:rsidRPr="001A3D2B">
        <w:t>value</w:t>
      </w:r>
      <w:r w:rsidR="00427468">
        <w:t xml:space="preserve"> of </w:t>
      </w:r>
      <w:r w:rsidRPr="001A3D2B">
        <w:t>quantified citation data</w:t>
      </w:r>
      <w:r w:rsidR="00427468">
        <w:t xml:space="preserve"> of </w:t>
      </w:r>
      <w:r w:rsidR="003A1917">
        <w:t xml:space="preserve">the </w:t>
      </w:r>
      <w:r w:rsidRPr="001A3D2B">
        <w:t>Citation Indexes must be reduced, especially in</w:t>
      </w:r>
      <w:r w:rsidR="003A1917">
        <w:t xml:space="preserve"> the </w:t>
      </w:r>
      <w:r w:rsidRPr="001A3D2B">
        <w:t>cases</w:t>
      </w:r>
      <w:r w:rsidR="00427468">
        <w:t xml:space="preserve"> of </w:t>
      </w:r>
      <w:r w:rsidR="003A1917">
        <w:t xml:space="preserve">the </w:t>
      </w:r>
      <w:r w:rsidRPr="001A3D2B">
        <w:t>(mis)use</w:t>
      </w:r>
      <w:r w:rsidR="00427468">
        <w:t xml:space="preserve"> of </w:t>
      </w:r>
      <w:r w:rsidR="003A1917">
        <w:t xml:space="preserve">the </w:t>
      </w:r>
      <w:r w:rsidRPr="001A3D2B">
        <w:t>dta for</w:t>
      </w:r>
      <w:r w:rsidR="003A1917">
        <w:t xml:space="preserve"> the </w:t>
      </w:r>
      <w:r w:rsidRPr="001A3D2B">
        <w:t>purpose</w:t>
      </w:r>
      <w:r w:rsidR="00427468">
        <w:t xml:space="preserve"> of </w:t>
      </w:r>
      <w:r w:rsidRPr="001A3D2B">
        <w:t>evaluating scientists as scientists.</w:t>
      </w:r>
    </w:p>
    <w:p w:rsidR="003474F2" w:rsidRPr="001A3D2B" w:rsidRDefault="003474F2" w:rsidP="003474F2">
      <w:pPr>
        <w:pStyle w:val="a3"/>
      </w:pPr>
      <w:r w:rsidRPr="001A3D2B">
        <w:t>Keywords: Citation Analysis</w:t>
      </w:r>
    </w:p>
    <w:p w:rsidR="003474F2" w:rsidRPr="001A3D2B" w:rsidRDefault="003474F2" w:rsidP="003474F2">
      <w:pPr>
        <w:pStyle w:val="a3"/>
      </w:pPr>
      <w:r w:rsidRPr="001A3D2B">
        <w:t>Garfield, E. (1997), A statistically valid definition</w:t>
      </w:r>
      <w:r w:rsidR="00427468">
        <w:t xml:space="preserve"> of </w:t>
      </w:r>
      <w:r w:rsidRPr="001A3D2B">
        <w:t>bias is needed to determine whether</w:t>
      </w:r>
      <w:r w:rsidR="003A1917">
        <w:t xml:space="preserve"> the </w:t>
      </w:r>
      <w:r w:rsidRPr="001A3D2B">
        <w:t xml:space="preserve">Science Citation Index(R) discriminates against third world journals. </w:t>
      </w:r>
      <w:r w:rsidRPr="001A3D2B">
        <w:rPr>
          <w:i/>
          <w:iCs/>
        </w:rPr>
        <w:t>Current Science</w:t>
      </w:r>
      <w:r w:rsidRPr="001A3D2B">
        <w:t xml:space="preserve">, </w:t>
      </w:r>
      <w:r w:rsidRPr="001A3D2B">
        <w:rPr>
          <w:b/>
          <w:bCs/>
        </w:rPr>
        <w:t>73</w:t>
      </w:r>
      <w:r w:rsidRPr="001A3D2B">
        <w:t xml:space="preserve"> (8), 639-641.</w:t>
      </w:r>
    </w:p>
    <w:p w:rsidR="003474F2" w:rsidRPr="001A3D2B" w:rsidRDefault="003474F2" w:rsidP="003474F2">
      <w:pPr>
        <w:pStyle w:val="a3"/>
      </w:pPr>
      <w:r w:rsidRPr="001A3D2B">
        <w:t xml:space="preserve">Full Text: </w:t>
      </w:r>
      <w:hyperlink r:id="rId1140" w:history="1">
        <w:r w:rsidRPr="001A3D2B">
          <w:rPr>
            <w:rStyle w:val="a5"/>
          </w:rPr>
          <w:t>1997\Cur Sci73, 639.pdf</w:t>
        </w:r>
      </w:hyperlink>
    </w:p>
    <w:p w:rsidR="003474F2" w:rsidRPr="001A3D2B" w:rsidRDefault="003474F2" w:rsidP="003474F2">
      <w:pPr>
        <w:pStyle w:val="a3"/>
        <w:rPr>
          <w:szCs w:val="24"/>
        </w:rPr>
      </w:pPr>
      <w:r w:rsidRPr="001A3D2B">
        <w:rPr>
          <w:szCs w:val="24"/>
        </w:rPr>
        <w:t>Keywords: Bias, Citation, Journals, World</w:t>
      </w:r>
    </w:p>
    <w:p w:rsidR="003474F2" w:rsidRPr="001A3D2B" w:rsidRDefault="003474F2" w:rsidP="003474F2">
      <w:pPr>
        <w:pStyle w:val="a3"/>
      </w:pPr>
      <w:r w:rsidRPr="001A3D2B">
        <w:t>Arunachalam, S., Srinivasan, R.</w:t>
      </w:r>
      <w:r w:rsidR="005853A9">
        <w:t xml:space="preserve"> and </w:t>
      </w:r>
      <w:r w:rsidRPr="001A3D2B">
        <w:t>Raman, V. (1998), Science in India - A profile based on India</w:t>
      </w:r>
      <w:r w:rsidR="0071223E">
        <w:t>’</w:t>
      </w:r>
      <w:r w:rsidR="00C13DDC">
        <w:t>s</w:t>
      </w:r>
      <w:r w:rsidRPr="001A3D2B">
        <w:t xml:space="preserve"> publications as covered by Science Citation Index 1989-1992. </w:t>
      </w:r>
      <w:r w:rsidRPr="001A3D2B">
        <w:rPr>
          <w:i/>
          <w:iCs/>
        </w:rPr>
        <w:t>Current Science</w:t>
      </w:r>
      <w:r w:rsidRPr="001A3D2B">
        <w:t xml:space="preserve">, </w:t>
      </w:r>
      <w:r w:rsidRPr="001A3D2B">
        <w:rPr>
          <w:b/>
          <w:bCs/>
        </w:rPr>
        <w:t>74</w:t>
      </w:r>
      <w:r w:rsidRPr="001A3D2B">
        <w:t xml:space="preserve"> (5), 433-441.</w:t>
      </w:r>
    </w:p>
    <w:p w:rsidR="003474F2" w:rsidRPr="001A3D2B" w:rsidRDefault="003474F2" w:rsidP="003474F2">
      <w:pPr>
        <w:pStyle w:val="a3"/>
      </w:pPr>
      <w:r w:rsidRPr="001A3D2B">
        <w:t xml:space="preserve">Full Text: </w:t>
      </w:r>
      <w:hyperlink r:id="rId1141" w:history="1">
        <w:r w:rsidRPr="001A3D2B">
          <w:rPr>
            <w:rStyle w:val="a5"/>
          </w:rPr>
          <w:t>1998\Cur Sci74, 433.pdf</w:t>
        </w:r>
      </w:hyperlink>
    </w:p>
    <w:p w:rsidR="003474F2" w:rsidRPr="001A3D2B" w:rsidRDefault="003474F2" w:rsidP="003474F2">
      <w:pPr>
        <w:pStyle w:val="a3"/>
        <w:rPr>
          <w:szCs w:val="24"/>
        </w:rPr>
      </w:pPr>
      <w:r w:rsidRPr="001A3D2B">
        <w:rPr>
          <w:szCs w:val="24"/>
        </w:rPr>
        <w:t>Keywords: Citation, India, MAR, Output, Publications, Science Citation Index, Scientific Journals</w:t>
      </w:r>
    </w:p>
    <w:p w:rsidR="003474F2" w:rsidRPr="001A3D2B" w:rsidRDefault="003474F2" w:rsidP="003474F2">
      <w:pPr>
        <w:pStyle w:val="a3"/>
      </w:pPr>
      <w:r w:rsidRPr="001A3D2B">
        <w:t>Balaram, P. (1998), Citation counting</w:t>
      </w:r>
      <w:r w:rsidR="005853A9">
        <w:t xml:space="preserve"> and </w:t>
      </w:r>
      <w:r w:rsidRPr="001A3D2B">
        <w:t xml:space="preserve">impact factors. </w:t>
      </w:r>
      <w:r w:rsidRPr="001A3D2B">
        <w:rPr>
          <w:i/>
          <w:iCs/>
        </w:rPr>
        <w:t>Current Science</w:t>
      </w:r>
      <w:r w:rsidRPr="001A3D2B">
        <w:t xml:space="preserve">, </w:t>
      </w:r>
      <w:r w:rsidRPr="001A3D2B">
        <w:rPr>
          <w:b/>
          <w:bCs/>
        </w:rPr>
        <w:t>75</w:t>
      </w:r>
      <w:r w:rsidRPr="001A3D2B">
        <w:t xml:space="preserve"> (3), 175.</w:t>
      </w:r>
    </w:p>
    <w:p w:rsidR="003474F2" w:rsidRPr="001A3D2B" w:rsidRDefault="003474F2" w:rsidP="003474F2">
      <w:pPr>
        <w:pStyle w:val="a3"/>
      </w:pPr>
      <w:r w:rsidRPr="001A3D2B">
        <w:t xml:space="preserve">Full Text: </w:t>
      </w:r>
      <w:hyperlink r:id="rId1142" w:history="1">
        <w:r w:rsidRPr="001A3D2B">
          <w:rPr>
            <w:rStyle w:val="a5"/>
          </w:rPr>
          <w:t>1998\Cur Sci75, 175.pdf</w:t>
        </w:r>
      </w:hyperlink>
    </w:p>
    <w:p w:rsidR="003474F2" w:rsidRPr="001A3D2B" w:rsidRDefault="003474F2" w:rsidP="003474F2">
      <w:pPr>
        <w:pStyle w:val="a3"/>
      </w:pPr>
      <w:r w:rsidRPr="001A3D2B">
        <w:t>Jain, N.C. (1999), Indian journals</w:t>
      </w:r>
      <w:r w:rsidR="005853A9">
        <w:t xml:space="preserve"> and </w:t>
      </w:r>
      <w:r w:rsidRPr="001A3D2B">
        <w:t xml:space="preserve">SCI. </w:t>
      </w:r>
      <w:r w:rsidRPr="001A3D2B">
        <w:rPr>
          <w:i/>
          <w:iCs/>
        </w:rPr>
        <w:t>Current Science</w:t>
      </w:r>
      <w:r w:rsidRPr="001A3D2B">
        <w:t xml:space="preserve">, </w:t>
      </w:r>
      <w:r w:rsidRPr="001A3D2B">
        <w:rPr>
          <w:b/>
          <w:bCs/>
        </w:rPr>
        <w:t>76</w:t>
      </w:r>
      <w:r w:rsidRPr="001A3D2B">
        <w:t xml:space="preserve"> (8), 1061-1062.</w:t>
      </w:r>
    </w:p>
    <w:p w:rsidR="003474F2" w:rsidRPr="001A3D2B" w:rsidRDefault="003474F2" w:rsidP="003474F2">
      <w:pPr>
        <w:pStyle w:val="a3"/>
      </w:pPr>
      <w:r w:rsidRPr="001A3D2B">
        <w:t xml:space="preserve">Full Text: </w:t>
      </w:r>
      <w:hyperlink r:id="rId1143" w:history="1">
        <w:r w:rsidRPr="001A3D2B">
          <w:rPr>
            <w:rStyle w:val="a5"/>
          </w:rPr>
          <w:t>1999\Cur Sci76, 1061.pdf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 xml:space="preserve">Arunachalam, S. (1999), Mapping </w:t>
      </w:r>
      <w:smartTag w:uri="urn:schemas-microsoft-com:office:smarttags" w:element="PersonName">
        <w:smartTagPr>
          <w:attr w:name="ProductID" w:val="Life Sciences"/>
        </w:smartTagPr>
        <w:r w:rsidRPr="001A3D2B">
          <w:t>life sciences</w:t>
        </w:r>
      </w:smartTag>
      <w:r w:rsidRPr="001A3D2B">
        <w:t xml:space="preserve"> research in </w:t>
      </w:r>
      <w:smartTag w:uri="urn:schemas-microsoft-com:office:smarttags" w:element="place">
        <w:smartTag w:uri="urn:schemas-microsoft-com:office:smarttags" w:element="country-region">
          <w:r w:rsidRPr="001A3D2B">
            <w:t>India</w:t>
          </w:r>
        </w:smartTag>
      </w:smartTag>
      <w:r w:rsidRPr="001A3D2B">
        <w:t xml:space="preserve">: A profile based on BIOSIS 1992-1994. </w:t>
      </w:r>
      <w:r w:rsidRPr="001A3D2B">
        <w:rPr>
          <w:i/>
          <w:iCs/>
        </w:rPr>
        <w:t>Current Science</w:t>
      </w:r>
      <w:r w:rsidRPr="001A3D2B">
        <w:t xml:space="preserve">, </w:t>
      </w:r>
      <w:r w:rsidRPr="001A3D2B">
        <w:rPr>
          <w:b/>
          <w:bCs/>
        </w:rPr>
        <w:t>76</w:t>
      </w:r>
      <w:r w:rsidRPr="001A3D2B">
        <w:t xml:space="preserve"> (9), 1191-1203.</w:t>
      </w:r>
    </w:p>
    <w:p w:rsidR="003474F2" w:rsidRPr="001A3D2B" w:rsidRDefault="003474F2" w:rsidP="003474F2">
      <w:pPr>
        <w:pStyle w:val="a3"/>
      </w:pPr>
      <w:r w:rsidRPr="001A3D2B">
        <w:t xml:space="preserve">Full Text: </w:t>
      </w:r>
      <w:hyperlink r:id="rId1144" w:history="1">
        <w:r w:rsidRPr="001A3D2B">
          <w:rPr>
            <w:rStyle w:val="a5"/>
          </w:rPr>
          <w:t>1999\Cur Sci76, 1191.pdf</w:t>
        </w:r>
      </w:hyperlink>
    </w:p>
    <w:p w:rsidR="003474F2" w:rsidRPr="001A3D2B" w:rsidRDefault="003474F2" w:rsidP="003474F2">
      <w:pPr>
        <w:pStyle w:val="a3"/>
      </w:pPr>
      <w:r w:rsidRPr="001A3D2B">
        <w:t>Keywords: Citation Patterns, Medical-Research, Publication</w:t>
      </w:r>
    </w:p>
    <w:p w:rsidR="0051715B" w:rsidRDefault="0051715B" w:rsidP="003474F2">
      <w:pPr>
        <w:pStyle w:val="a3"/>
      </w:pPr>
      <w:r>
        <w:rPr>
          <w:rFonts w:hint="eastAsia"/>
        </w:rPr>
        <w:t>Notes: CCountry</w:t>
      </w:r>
    </w:p>
    <w:p w:rsidR="003474F2" w:rsidRPr="001A3D2B" w:rsidRDefault="003474F2" w:rsidP="003474F2">
      <w:pPr>
        <w:pStyle w:val="a3"/>
      </w:pPr>
      <w:r w:rsidRPr="001A3D2B">
        <w:t>Virk, H.S. (2000), A bibliometric analysis</w:t>
      </w:r>
      <w:r w:rsidR="00427468">
        <w:t xml:space="preserve"> of </w:t>
      </w:r>
      <w:r w:rsidRPr="001A3D2B">
        <w:t xml:space="preserve">scientific research in India. </w:t>
      </w:r>
      <w:r w:rsidRPr="001A3D2B">
        <w:rPr>
          <w:i/>
          <w:iCs/>
        </w:rPr>
        <w:t>Current Science</w:t>
      </w:r>
      <w:r w:rsidRPr="001A3D2B">
        <w:t xml:space="preserve">, </w:t>
      </w:r>
      <w:r w:rsidRPr="001A3D2B">
        <w:rPr>
          <w:b/>
          <w:bCs/>
        </w:rPr>
        <w:t>78</w:t>
      </w:r>
      <w:r w:rsidRPr="001A3D2B">
        <w:t xml:space="preserve"> (11), 1280-1281.</w:t>
      </w:r>
    </w:p>
    <w:p w:rsidR="003474F2" w:rsidRPr="001A3D2B" w:rsidRDefault="003474F2" w:rsidP="003474F2">
      <w:pPr>
        <w:pStyle w:val="a3"/>
      </w:pPr>
      <w:r w:rsidRPr="001A3D2B">
        <w:t xml:space="preserve">Full Text: </w:t>
      </w:r>
      <w:hyperlink r:id="rId1145" w:history="1">
        <w:r w:rsidRPr="001A3D2B">
          <w:rPr>
            <w:rStyle w:val="a5"/>
          </w:rPr>
          <w:t>2000\Cur Sci78, 1280.pdf</w:t>
        </w:r>
      </w:hyperlink>
    </w:p>
    <w:p w:rsidR="003474F2" w:rsidRPr="001A3D2B" w:rsidRDefault="003474F2" w:rsidP="003474F2">
      <w:pPr>
        <w:pStyle w:val="a3"/>
      </w:pPr>
      <w:r w:rsidRPr="001A3D2B">
        <w:t>Keywords: Science Citation Index</w:t>
      </w:r>
    </w:p>
    <w:p w:rsidR="001F091B" w:rsidRDefault="001F091B" w:rsidP="001F091B">
      <w:pPr>
        <w:pStyle w:val="a3"/>
        <w:rPr>
          <w:kern w:val="0"/>
        </w:rPr>
      </w:pPr>
      <w:r>
        <w:rPr>
          <w:rFonts w:hint="eastAsia"/>
          <w:kern w:val="0"/>
        </w:rPr>
        <w:t xml:space="preserve">? </w:t>
      </w:r>
      <w:r>
        <w:rPr>
          <w:kern w:val="0"/>
        </w:rPr>
        <w:t>Vinkler, P. (2000), Evaluation</w:t>
      </w:r>
      <w:r w:rsidR="00427468">
        <w:rPr>
          <w:kern w:val="0"/>
        </w:rPr>
        <w:t xml:space="preserve"> of </w:t>
      </w:r>
      <w:r w:rsidR="003A1917">
        <w:rPr>
          <w:kern w:val="0"/>
        </w:rPr>
        <w:t xml:space="preserve">the </w:t>
      </w:r>
      <w:r>
        <w:rPr>
          <w:kern w:val="0"/>
        </w:rPr>
        <w:t>publication activity</w:t>
      </w:r>
      <w:r w:rsidR="00427468">
        <w:rPr>
          <w:kern w:val="0"/>
        </w:rPr>
        <w:t xml:space="preserve"> of </w:t>
      </w:r>
      <w:r>
        <w:rPr>
          <w:kern w:val="0"/>
        </w:rPr>
        <w:t>research teams by means</w:t>
      </w:r>
      <w:r w:rsidR="00427468">
        <w:rPr>
          <w:kern w:val="0"/>
        </w:rPr>
        <w:t xml:space="preserve"> of </w:t>
      </w:r>
      <w:r>
        <w:rPr>
          <w:kern w:val="0"/>
        </w:rPr>
        <w:t xml:space="preserve">scientometric indicators. </w:t>
      </w:r>
      <w:r>
        <w:rPr>
          <w:i/>
          <w:iCs/>
          <w:kern w:val="0"/>
        </w:rPr>
        <w:t>Current Science</w:t>
      </w:r>
      <w:r>
        <w:rPr>
          <w:kern w:val="0"/>
        </w:rPr>
        <w:t xml:space="preserve">, </w:t>
      </w:r>
      <w:r>
        <w:rPr>
          <w:b/>
          <w:bCs/>
          <w:kern w:val="0"/>
        </w:rPr>
        <w:t>79</w:t>
      </w:r>
      <w:r>
        <w:rPr>
          <w:kern w:val="0"/>
        </w:rPr>
        <w:t xml:space="preserve"> (5), 602-612.</w:t>
      </w:r>
    </w:p>
    <w:p w:rsidR="001F091B" w:rsidRDefault="001F091B" w:rsidP="001F091B">
      <w:pPr>
        <w:pStyle w:val="a3"/>
        <w:rPr>
          <w:kern w:val="0"/>
        </w:rPr>
      </w:pPr>
      <w:r>
        <w:rPr>
          <w:rFonts w:hint="eastAsia"/>
          <w:kern w:val="0"/>
        </w:rPr>
        <w:t xml:space="preserve">Full Text: </w:t>
      </w:r>
      <w:hyperlink r:id="rId1146" w:history="1">
        <w:r w:rsidRPr="00CF5251">
          <w:rPr>
            <w:rStyle w:val="a5"/>
            <w:kern w:val="0"/>
          </w:rPr>
          <w:t>2000\Cur Sci79, 602.pdf</w:t>
        </w:r>
      </w:hyperlink>
    </w:p>
    <w:p w:rsidR="001F091B" w:rsidRDefault="001F091B" w:rsidP="001F091B">
      <w:pPr>
        <w:pStyle w:val="a3"/>
        <w:rPr>
          <w:kern w:val="0"/>
        </w:rPr>
      </w:pPr>
      <w:r>
        <w:rPr>
          <w:kern w:val="0"/>
        </w:rPr>
        <w:lastRenderedPageBreak/>
        <w:t>Abstract: In</w:t>
      </w:r>
      <w:r w:rsidR="003A1917">
        <w:rPr>
          <w:kern w:val="0"/>
        </w:rPr>
        <w:t xml:space="preserve"> the </w:t>
      </w:r>
      <w:r>
        <w:rPr>
          <w:kern w:val="0"/>
        </w:rPr>
        <w:t>Chemical Research Center</w:t>
      </w:r>
      <w:r w:rsidR="00427468">
        <w:rPr>
          <w:kern w:val="0"/>
        </w:rPr>
        <w:t xml:space="preserve"> of </w:t>
      </w:r>
      <w:r w:rsidR="003A1917">
        <w:rPr>
          <w:kern w:val="0"/>
        </w:rPr>
        <w:t xml:space="preserve">the </w:t>
      </w:r>
      <w:r>
        <w:rPr>
          <w:kern w:val="0"/>
        </w:rPr>
        <w:t>Hungarian Academy</w:t>
      </w:r>
      <w:r w:rsidR="00427468">
        <w:rPr>
          <w:kern w:val="0"/>
        </w:rPr>
        <w:t xml:space="preserve"> of </w:t>
      </w:r>
      <w:r>
        <w:rPr>
          <w:kern w:val="0"/>
        </w:rPr>
        <w:t>Sciences, special scientometric indicators have been used for evaluating publication activity</w:t>
      </w:r>
      <w:r w:rsidR="00427468">
        <w:rPr>
          <w:kern w:val="0"/>
        </w:rPr>
        <w:t xml:space="preserve"> of </w:t>
      </w:r>
      <w:r>
        <w:rPr>
          <w:kern w:val="0"/>
        </w:rPr>
        <w:t>research teams for about 30 years. Modified Garfield impact factors for journals as well as relative citedness</w:t>
      </w:r>
      <w:r w:rsidR="00427468">
        <w:rPr>
          <w:kern w:val="0"/>
        </w:rPr>
        <w:t xml:space="preserve"> of </w:t>
      </w:r>
      <w:r>
        <w:rPr>
          <w:kern w:val="0"/>
        </w:rPr>
        <w:t>papers are applied as indicators because</w:t>
      </w:r>
      <w:r w:rsidR="00427468">
        <w:rPr>
          <w:kern w:val="0"/>
        </w:rPr>
        <w:t xml:space="preserve"> of </w:t>
      </w:r>
      <w:r>
        <w:rPr>
          <w:kern w:val="0"/>
        </w:rPr>
        <w:t>differences among subfields in scientometric features</w:t>
      </w:r>
      <w:r w:rsidR="00427468">
        <w:rPr>
          <w:kern w:val="0"/>
        </w:rPr>
        <w:t xml:space="preserve"> of </w:t>
      </w:r>
      <w:r w:rsidR="003A1917">
        <w:rPr>
          <w:kern w:val="0"/>
        </w:rPr>
        <w:t xml:space="preserve">the </w:t>
      </w:r>
      <w:r>
        <w:rPr>
          <w:kern w:val="0"/>
        </w:rPr>
        <w:t>publications assessed. Our experience has shown that</w:t>
      </w:r>
      <w:r w:rsidR="003A1917">
        <w:rPr>
          <w:kern w:val="0"/>
        </w:rPr>
        <w:t xml:space="preserve"> the </w:t>
      </w:r>
      <w:r>
        <w:rPr>
          <w:kern w:val="0"/>
        </w:rPr>
        <w:t>evaluation</w:t>
      </w:r>
      <w:r w:rsidR="00427468">
        <w:rPr>
          <w:kern w:val="0"/>
        </w:rPr>
        <w:t xml:space="preserve"> of </w:t>
      </w:r>
      <w:r>
        <w:rPr>
          <w:kern w:val="0"/>
        </w:rPr>
        <w:t>real scientometric systems needs compromises among</w:t>
      </w:r>
      <w:r w:rsidR="003A1917">
        <w:rPr>
          <w:kern w:val="0"/>
        </w:rPr>
        <w:t xml:space="preserve"> the </w:t>
      </w:r>
      <w:r>
        <w:rPr>
          <w:kern w:val="0"/>
        </w:rPr>
        <w:t>parties interested</w:t>
      </w:r>
      <w:r w:rsidR="005853A9">
        <w:rPr>
          <w:kern w:val="0"/>
        </w:rPr>
        <w:t xml:space="preserve"> and </w:t>
      </w:r>
      <w:r>
        <w:rPr>
          <w:kern w:val="0"/>
        </w:rPr>
        <w:t>between</w:t>
      </w:r>
      <w:r w:rsidR="003A1917">
        <w:rPr>
          <w:kern w:val="0"/>
        </w:rPr>
        <w:t xml:space="preserve"> the </w:t>
      </w:r>
      <w:r>
        <w:rPr>
          <w:kern w:val="0"/>
        </w:rPr>
        <w:t>practical applicability</w:t>
      </w:r>
      <w:r w:rsidR="005853A9">
        <w:rPr>
          <w:kern w:val="0"/>
        </w:rPr>
        <w:t xml:space="preserve"> and </w:t>
      </w:r>
      <w:r w:rsidR="003A1917">
        <w:rPr>
          <w:kern w:val="0"/>
        </w:rPr>
        <w:t xml:space="preserve">the </w:t>
      </w:r>
      <w:r>
        <w:rPr>
          <w:kern w:val="0"/>
        </w:rPr>
        <w:t>theoretical requirements</w:t>
      </w:r>
      <w:r w:rsidR="00427468">
        <w:rPr>
          <w:kern w:val="0"/>
        </w:rPr>
        <w:t xml:space="preserve"> of </w:t>
      </w:r>
      <w:r>
        <w:rPr>
          <w:kern w:val="0"/>
        </w:rPr>
        <w:t>scientometrics.</w:t>
      </w:r>
    </w:p>
    <w:p w:rsidR="001F091B" w:rsidRDefault="001F091B" w:rsidP="001F091B">
      <w:pPr>
        <w:pStyle w:val="a3"/>
        <w:rPr>
          <w:kern w:val="0"/>
        </w:rPr>
      </w:pPr>
      <w:r>
        <w:rPr>
          <w:kern w:val="0"/>
        </w:rPr>
        <w:t>Keywords: Basic Research, Evaluation, Impact, Impact Factors, Indicators, Journals, Performance, Publication, Publications, Research, Scientometric Indicators, Scientometrics</w:t>
      </w:r>
    </w:p>
    <w:p w:rsidR="003474F2" w:rsidRPr="001A3D2B" w:rsidRDefault="003474F2" w:rsidP="003474F2">
      <w:pPr>
        <w:pStyle w:val="a3"/>
      </w:pPr>
      <w:r w:rsidRPr="001A3D2B">
        <w:t>Jayashree, B.</w:t>
      </w:r>
      <w:r w:rsidR="005853A9">
        <w:t xml:space="preserve"> and </w:t>
      </w:r>
      <w:r w:rsidRPr="001A3D2B">
        <w:t xml:space="preserve">Arunachalam, S. (2000), Mapping fish research in </w:t>
      </w:r>
      <w:smartTag w:uri="urn:schemas-microsoft-com:office:smarttags" w:element="place">
        <w:smartTag w:uri="urn:schemas-microsoft-com:office:smarttags" w:element="country-region">
          <w:r w:rsidRPr="001A3D2B">
            <w:t>India</w:t>
          </w:r>
        </w:smartTag>
      </w:smartTag>
      <w:r w:rsidRPr="001A3D2B">
        <w:t xml:space="preserve">. </w:t>
      </w:r>
      <w:r w:rsidRPr="001A3D2B">
        <w:rPr>
          <w:i/>
          <w:iCs/>
        </w:rPr>
        <w:t>Current Science</w:t>
      </w:r>
      <w:r w:rsidRPr="001A3D2B">
        <w:t xml:space="preserve">, </w:t>
      </w:r>
      <w:r w:rsidRPr="001A3D2B">
        <w:rPr>
          <w:b/>
          <w:bCs/>
        </w:rPr>
        <w:t>79</w:t>
      </w:r>
      <w:r w:rsidRPr="001A3D2B">
        <w:t xml:space="preserve"> (5), 613-620.</w:t>
      </w:r>
    </w:p>
    <w:p w:rsidR="003474F2" w:rsidRPr="001A3D2B" w:rsidRDefault="003474F2" w:rsidP="003474F2">
      <w:pPr>
        <w:pStyle w:val="a3"/>
      </w:pPr>
      <w:r w:rsidRPr="001A3D2B">
        <w:t xml:space="preserve">Full Text: </w:t>
      </w:r>
      <w:hyperlink r:id="rId1147" w:history="1">
        <w:r w:rsidRPr="001A3D2B">
          <w:rPr>
            <w:rStyle w:val="a5"/>
          </w:rPr>
          <w:t>2000\Cur Sci79, 613.pdf</w:t>
        </w:r>
      </w:hyperlink>
    </w:p>
    <w:p w:rsidR="003474F2" w:rsidRPr="001A3D2B" w:rsidRDefault="003474F2" w:rsidP="003474F2">
      <w:pPr>
        <w:pStyle w:val="a3"/>
      </w:pPr>
      <w:r w:rsidRPr="001A3D2B">
        <w:t>Abstract: Fish</w:t>
      </w:r>
      <w:r w:rsidR="005853A9">
        <w:t xml:space="preserve"> and </w:t>
      </w:r>
      <w:r w:rsidRPr="001A3D2B">
        <w:t>aquaculture research in India has been mapped using data from six databases, About 460 papers, roughly 5.5%</w:t>
      </w:r>
      <w:r w:rsidR="00427468">
        <w:t xml:space="preserve"> of </w:t>
      </w:r>
      <w:r w:rsidR="003A1917">
        <w:t xml:space="preserve">the </w:t>
      </w:r>
      <w:r w:rsidRPr="001A3D2B">
        <w:t>world output, come from India every year,</w:t>
      </w:r>
      <w:r w:rsidR="00427468">
        <w:t xml:space="preserve"> of </w:t>
      </w:r>
      <w:r w:rsidRPr="001A3D2B">
        <w:t>which 82% are journal articles. Close to 70%</w:t>
      </w:r>
      <w:r w:rsidR="00427468">
        <w:t xml:space="preserve"> of </w:t>
      </w:r>
      <w:r w:rsidRPr="001A3D2B">
        <w:t>journal articles have appeared in 113 Indian journals. Less than a third</w:t>
      </w:r>
      <w:r w:rsidR="00427468">
        <w:t xml:space="preserve"> of </w:t>
      </w:r>
      <w:r w:rsidR="003A1917">
        <w:t xml:space="preserve">the </w:t>
      </w:r>
      <w:r w:rsidRPr="001A3D2B">
        <w:t>journal articles are published in journals indexed in</w:t>
      </w:r>
      <w:r w:rsidR="008E3069">
        <w:t xml:space="preserve"> SCI,</w:t>
      </w:r>
      <w:r w:rsidRPr="001A3D2B">
        <w:t xml:space="preserve"> About 61%</w:t>
      </w:r>
      <w:r w:rsidR="00427468">
        <w:t xml:space="preserve"> of </w:t>
      </w:r>
      <w:r w:rsidRPr="001A3D2B">
        <w:t>publications are contributed by government laboratories</w:t>
      </w:r>
      <w:r w:rsidR="005853A9">
        <w:t xml:space="preserve"> and </w:t>
      </w:r>
      <w:r w:rsidRPr="001A3D2B">
        <w:t>over 25% by academic institutions. Government laboratories publish most</w:t>
      </w:r>
      <w:r w:rsidR="00427468">
        <w:t xml:space="preserve"> of </w:t>
      </w:r>
      <w:r w:rsidRPr="001A3D2B">
        <w:t>their work in low impact</w:t>
      </w:r>
      <w:r w:rsidR="005853A9">
        <w:t xml:space="preserve"> and </w:t>
      </w:r>
      <w:r w:rsidRPr="001A3D2B">
        <w:t>low visibility journals</w:t>
      </w:r>
      <w:r w:rsidR="005853A9">
        <w:t xml:space="preserve"> and </w:t>
      </w:r>
      <w:r w:rsidRPr="001A3D2B">
        <w:t>academic institutions in journals</w:t>
      </w:r>
      <w:r w:rsidR="00427468">
        <w:t xml:space="preserve"> of </w:t>
      </w:r>
      <w:r w:rsidRPr="001A3D2B">
        <w:t xml:space="preserve">medium impact. However, even those papers appearing in better- rated journals are not cited well. </w:t>
      </w:r>
      <w:smartTag w:uri="urn:schemas-microsoft-com:office:smarttags" w:element="place">
        <w:smartTag w:uri="urn:schemas-microsoft-com:office:smarttags" w:element="City">
          <w:r w:rsidRPr="001A3D2B">
            <w:t>Kochi</w:t>
          </w:r>
        </w:smartTag>
      </w:smartTag>
      <w:r w:rsidRPr="001A3D2B">
        <w:t>, Chennai, Mumbai</w:t>
      </w:r>
      <w:r w:rsidR="005853A9">
        <w:t xml:space="preserve"> and </w:t>
      </w:r>
      <w:r w:rsidRPr="001A3D2B">
        <w:t>Mangalore are</w:t>
      </w:r>
      <w:r w:rsidR="003A1917">
        <w:t xml:space="preserve"> the </w:t>
      </w:r>
      <w:r w:rsidRPr="001A3D2B">
        <w:t>cities</w:t>
      </w:r>
      <w:r w:rsidR="005853A9">
        <w:t xml:space="preserve"> and </w:t>
      </w:r>
      <w:r w:rsidRPr="001A3D2B">
        <w:t>Tamil Nadu</w:t>
      </w:r>
      <w:r w:rsidR="005853A9">
        <w:t xml:space="preserve"> and </w:t>
      </w:r>
      <w:r w:rsidRPr="001A3D2B">
        <w:t>Kerala are</w:t>
      </w:r>
      <w:r w:rsidR="003A1917">
        <w:t xml:space="preserve"> the </w:t>
      </w:r>
      <w:r w:rsidRPr="001A3D2B">
        <w:t>states contributing large number</w:t>
      </w:r>
      <w:r w:rsidR="00427468">
        <w:t xml:space="preserve"> of </w:t>
      </w:r>
      <w:r w:rsidRPr="001A3D2B">
        <w:t>papers.</w:t>
      </w:r>
    </w:p>
    <w:p w:rsidR="003474F2" w:rsidRPr="001A3D2B" w:rsidRDefault="003474F2" w:rsidP="003474F2">
      <w:pPr>
        <w:pStyle w:val="a3"/>
      </w:pPr>
      <w:r w:rsidRPr="001A3D2B">
        <w:t>Keywords: Citation Patterns, Fisheries, Publication, Science</w:t>
      </w:r>
    </w:p>
    <w:p w:rsidR="003474F2" w:rsidRPr="001A3D2B" w:rsidRDefault="003474F2" w:rsidP="003474F2">
      <w:pPr>
        <w:pStyle w:val="a3"/>
      </w:pPr>
      <w:r w:rsidRPr="001A3D2B">
        <w:t>Arunachalam, S.</w:t>
      </w:r>
      <w:r w:rsidR="005853A9">
        <w:t xml:space="preserve"> and </w:t>
      </w:r>
      <w:r w:rsidRPr="001A3D2B">
        <w:t xml:space="preserve">Jinandra, D.M. (2000), Mapping international collaboration in science in </w:t>
      </w:r>
      <w:smartTag w:uri="urn:schemas-microsoft-com:office:smarttags" w:element="place">
        <w:r w:rsidRPr="001A3D2B">
          <w:t>Asia</w:t>
        </w:r>
      </w:smartTag>
      <w:r w:rsidRPr="001A3D2B">
        <w:t xml:space="preserve"> through coauthorship analysis. </w:t>
      </w:r>
      <w:r w:rsidRPr="001A3D2B">
        <w:rPr>
          <w:i/>
          <w:iCs/>
        </w:rPr>
        <w:t>Current Science</w:t>
      </w:r>
      <w:r w:rsidRPr="001A3D2B">
        <w:t xml:space="preserve">, </w:t>
      </w:r>
      <w:r w:rsidRPr="001A3D2B">
        <w:rPr>
          <w:b/>
          <w:bCs/>
        </w:rPr>
        <w:t>79</w:t>
      </w:r>
      <w:r w:rsidRPr="001A3D2B">
        <w:t xml:space="preserve"> (5), 621-628.</w:t>
      </w:r>
    </w:p>
    <w:p w:rsidR="003474F2" w:rsidRPr="001A3D2B" w:rsidRDefault="003474F2" w:rsidP="003474F2">
      <w:pPr>
        <w:pStyle w:val="a3"/>
      </w:pPr>
      <w:r w:rsidRPr="001A3D2B">
        <w:t xml:space="preserve">Full Text: </w:t>
      </w:r>
      <w:hyperlink r:id="rId1148" w:history="1">
        <w:r w:rsidRPr="001A3D2B">
          <w:rPr>
            <w:rStyle w:val="a5"/>
          </w:rPr>
          <w:t>2000\Cur Sci79, 621.pdf</w:t>
        </w:r>
      </w:hyperlink>
    </w:p>
    <w:p w:rsidR="003474F2" w:rsidRPr="001A3D2B" w:rsidRDefault="003474F2" w:rsidP="003474F2">
      <w:pPr>
        <w:pStyle w:val="a3"/>
      </w:pPr>
      <w:r w:rsidRPr="001A3D2B">
        <w:t>Abstract: Using data from SCI 1998, we have analysed international collaboration in science in 11 Asian countries. Papers resulting from collaboration among these countries</w:t>
      </w:r>
      <w:r w:rsidR="005853A9">
        <w:t xml:space="preserve"> and </w:t>
      </w:r>
      <w:r w:rsidRPr="001A3D2B">
        <w:t>with G7, European Union, OECD</w:t>
      </w:r>
      <w:r w:rsidR="005853A9">
        <w:t xml:space="preserve"> and </w:t>
      </w:r>
      <w:r w:rsidRPr="001A3D2B">
        <w:t>selected Latin American</w:t>
      </w:r>
      <w:r w:rsidR="005853A9">
        <w:t xml:space="preserve"> and </w:t>
      </w:r>
      <w:r w:rsidRPr="001A3D2B">
        <w:t>African countries were classified under subject categories to characterize each country</w:t>
      </w:r>
      <w:r w:rsidR="0071223E">
        <w:t>’</w:t>
      </w:r>
      <w:r w:rsidR="00C13DDC">
        <w:t>s</w:t>
      </w:r>
      <w:r w:rsidRPr="001A3D2B">
        <w:t xml:space="preserve"> total</w:t>
      </w:r>
      <w:r w:rsidR="005853A9">
        <w:t xml:space="preserve"> and </w:t>
      </w:r>
      <w:r w:rsidRPr="001A3D2B">
        <w:t xml:space="preserve">collaborated scientific literature output. </w:t>
      </w:r>
      <w:smartTag w:uri="urn:schemas-microsoft-com:office:smarttags" w:element="country-region">
        <w:r w:rsidRPr="001A3D2B">
          <w:t>Japan</w:t>
        </w:r>
      </w:smartTag>
      <w:r w:rsidRPr="001A3D2B">
        <w:t xml:space="preserve"> (16.4%</w:t>
      </w:r>
      <w:r w:rsidR="00427468">
        <w:t xml:space="preserve"> of </w:t>
      </w:r>
      <w:r w:rsidRPr="001A3D2B">
        <w:t xml:space="preserve">internationally collaborated papers), </w:t>
      </w:r>
      <w:smartTag w:uri="urn:schemas-microsoft-com:office:smarttags" w:element="country-region">
        <w:r w:rsidRPr="001A3D2B">
          <w:t>India</w:t>
        </w:r>
      </w:smartTag>
      <w:r w:rsidRPr="001A3D2B">
        <w:t xml:space="preserve"> (17.6%)</w:t>
      </w:r>
      <w:r w:rsidR="005853A9">
        <w:t xml:space="preserve"> and </w:t>
      </w:r>
      <w:r w:rsidRPr="001A3D2B">
        <w:t xml:space="preserve">Taiwan (16.3%) recorded an internationalization index less than 30 whereas </w:t>
      </w:r>
      <w:smartTag w:uri="urn:schemas-microsoft-com:office:smarttags" w:element="country-region">
        <w:r w:rsidRPr="001A3D2B">
          <w:t>China</w:t>
        </w:r>
      </w:smartTag>
      <w:r w:rsidRPr="001A3D2B">
        <w:t xml:space="preserve"> (28.5%), </w:t>
      </w:r>
      <w:smartTag w:uri="urn:schemas-microsoft-com:office:smarttags" w:element="country-region">
        <w:r w:rsidRPr="001A3D2B">
          <w:t>South Korea</w:t>
        </w:r>
      </w:smartTag>
      <w:r w:rsidRPr="001A3D2B">
        <w:t xml:space="preserve"> (24.6%)</w:t>
      </w:r>
      <w:r w:rsidR="005853A9">
        <w:t xml:space="preserve"> and </w:t>
      </w:r>
      <w:r w:rsidRPr="001A3D2B">
        <w:t xml:space="preserve">Hong Kong (36.2%) recorded an internationalization index greater than 40. </w:t>
      </w:r>
      <w:smartTag w:uri="urn:schemas-microsoft-com:office:smarttags" w:element="country-region">
        <w:r w:rsidRPr="001A3D2B">
          <w:t>India</w:t>
        </w:r>
      </w:smartTag>
      <w:r w:rsidRPr="001A3D2B">
        <w:t>, China</w:t>
      </w:r>
      <w:r w:rsidR="005853A9">
        <w:t xml:space="preserve"> and </w:t>
      </w:r>
      <w:r w:rsidRPr="001A3D2B">
        <w:t>South Korea have collaborated more in physics, whereas</w:t>
      </w:r>
      <w:r w:rsidR="003A1917">
        <w:t xml:space="preserve"> the </w:t>
      </w:r>
      <w:r w:rsidRPr="001A3D2B">
        <w:t>other eight countries have collaborated more in life sciences. In almost all fields</w:t>
      </w:r>
      <w:r w:rsidR="005853A9">
        <w:t xml:space="preserve"> and </w:t>
      </w:r>
      <w:r w:rsidRPr="001A3D2B">
        <w:t xml:space="preserve">for virtually </w:t>
      </w:r>
      <w:r w:rsidRPr="001A3D2B">
        <w:lastRenderedPageBreak/>
        <w:t xml:space="preserve">all Asian countries, </w:t>
      </w:r>
      <w:r w:rsidR="00D5664A">
        <w:t>USA</w:t>
      </w:r>
      <w:r w:rsidRPr="001A3D2B">
        <w:t xml:space="preserve"> is</w:t>
      </w:r>
      <w:r w:rsidR="003A1917">
        <w:t xml:space="preserve"> the </w:t>
      </w:r>
      <w:r w:rsidRPr="001A3D2B">
        <w:t xml:space="preserve">most preferred collaborating partner. All G7 countries collaborate more with </w:t>
      </w:r>
      <w:smartTag w:uri="urn:schemas-microsoft-com:office:smarttags" w:element="country-region">
        <w:r w:rsidRPr="001A3D2B">
          <w:t>China</w:t>
        </w:r>
      </w:smartTag>
      <w:r w:rsidRPr="001A3D2B">
        <w:t xml:space="preserve">, which is emerging as a leader in regional collaboration, than with </w:t>
      </w:r>
      <w:smartTag w:uri="urn:schemas-microsoft-com:office:smarttags" w:element="place">
        <w:smartTag w:uri="urn:schemas-microsoft-com:office:smarttags" w:element="country-region">
          <w:r w:rsidRPr="001A3D2B">
            <w:t>India</w:t>
          </w:r>
        </w:smartTag>
      </w:smartTag>
      <w:r w:rsidRPr="001A3D2B">
        <w:t>.</w:t>
      </w:r>
    </w:p>
    <w:p w:rsidR="003474F2" w:rsidRPr="001A3D2B" w:rsidRDefault="003474F2" w:rsidP="003474F2">
      <w:pPr>
        <w:pStyle w:val="a3"/>
      </w:pPr>
      <w:r w:rsidRPr="001A3D2B">
        <w:t>Basa, D.K. (2000), Publication lists, citation counts</w:t>
      </w:r>
      <w:r w:rsidR="005853A9">
        <w:t xml:space="preserve"> and </w:t>
      </w:r>
      <w:r w:rsidR="003A1917">
        <w:t xml:space="preserve">the </w:t>
      </w:r>
      <w:r w:rsidRPr="001A3D2B">
        <w:t xml:space="preserve">impact factor. </w:t>
      </w:r>
      <w:r w:rsidRPr="001A3D2B">
        <w:rPr>
          <w:i/>
          <w:iCs/>
        </w:rPr>
        <w:t>Current Science</w:t>
      </w:r>
      <w:r w:rsidRPr="001A3D2B">
        <w:t xml:space="preserve">, </w:t>
      </w:r>
      <w:r w:rsidRPr="001A3D2B">
        <w:rPr>
          <w:b/>
          <w:bCs/>
        </w:rPr>
        <w:t>79</w:t>
      </w:r>
      <w:r w:rsidRPr="001A3D2B">
        <w:t xml:space="preserve"> (8), 1042-1043.</w:t>
      </w:r>
    </w:p>
    <w:p w:rsidR="003474F2" w:rsidRPr="001A3D2B" w:rsidRDefault="003474F2" w:rsidP="003474F2">
      <w:pPr>
        <w:pStyle w:val="a3"/>
      </w:pPr>
      <w:r w:rsidRPr="001A3D2B">
        <w:t xml:space="preserve">Full Text: </w:t>
      </w:r>
      <w:hyperlink r:id="rId1149" w:history="1">
        <w:r w:rsidRPr="001A3D2B">
          <w:rPr>
            <w:rStyle w:val="a5"/>
          </w:rPr>
          <w:t>2000\Cur Sci79, 1042.pdf</w:t>
        </w:r>
      </w:hyperlink>
    </w:p>
    <w:p w:rsidR="003474F2" w:rsidRPr="001A3D2B" w:rsidRDefault="003474F2" w:rsidP="003474F2">
      <w:pPr>
        <w:pStyle w:val="a3"/>
      </w:pPr>
      <w:r w:rsidRPr="001A3D2B">
        <w:t xml:space="preserve">Garfield, E. (2002), Research impact vs economic impact. </w:t>
      </w:r>
      <w:r w:rsidRPr="001A3D2B">
        <w:rPr>
          <w:i/>
          <w:iCs/>
        </w:rPr>
        <w:t>Current Science</w:t>
      </w:r>
      <w:r w:rsidRPr="001A3D2B">
        <w:t xml:space="preserve">, </w:t>
      </w:r>
      <w:r w:rsidRPr="001A3D2B">
        <w:rPr>
          <w:b/>
          <w:bCs/>
        </w:rPr>
        <w:t>81</w:t>
      </w:r>
      <w:r w:rsidRPr="001A3D2B">
        <w:t xml:space="preserve"> (1), 9.</w:t>
      </w:r>
    </w:p>
    <w:p w:rsidR="003474F2" w:rsidRPr="001A3D2B" w:rsidRDefault="003474F2" w:rsidP="003474F2">
      <w:pPr>
        <w:pStyle w:val="a3"/>
      </w:pPr>
      <w:r w:rsidRPr="001A3D2B">
        <w:t xml:space="preserve">Full Text: </w:t>
      </w:r>
      <w:hyperlink r:id="rId1150" w:history="1">
        <w:r w:rsidRPr="001A3D2B">
          <w:rPr>
            <w:rStyle w:val="a5"/>
            <w:rFonts w:eastAsia="新細明體"/>
            <w:kern w:val="2"/>
            <w:szCs w:val="24"/>
          </w:rPr>
          <w:t>C\Cur Sci81, 9.pdf</w:t>
        </w:r>
      </w:hyperlink>
    </w:p>
    <w:p w:rsidR="004814D8" w:rsidRDefault="004814D8" w:rsidP="003474F2">
      <w:pPr>
        <w:pStyle w:val="a3"/>
      </w:pPr>
      <w:r>
        <w:rPr>
          <w:rFonts w:hint="eastAsia"/>
        </w:rPr>
        <w:t>Notes: CCountry</w:t>
      </w:r>
    </w:p>
    <w:p w:rsidR="003474F2" w:rsidRPr="001A3D2B" w:rsidRDefault="003474F2" w:rsidP="003474F2">
      <w:pPr>
        <w:pStyle w:val="a3"/>
      </w:pPr>
      <w:r w:rsidRPr="001A3D2B">
        <w:t>Arunachalam, S.</w:t>
      </w:r>
      <w:r w:rsidR="005853A9">
        <w:t xml:space="preserve"> and </w:t>
      </w:r>
      <w:r w:rsidRPr="001A3D2B">
        <w:t>Gunasekaran, S. (2002), Tuberculosis research in India</w:t>
      </w:r>
      <w:r w:rsidR="005853A9">
        <w:t xml:space="preserve"> and </w:t>
      </w:r>
      <w:r w:rsidRPr="001A3D2B">
        <w:t xml:space="preserve">China: From bibliometrics to research policy. </w:t>
      </w:r>
      <w:r w:rsidRPr="001A3D2B">
        <w:rPr>
          <w:i/>
          <w:iCs/>
        </w:rPr>
        <w:t>Current Science</w:t>
      </w:r>
      <w:r w:rsidRPr="001A3D2B">
        <w:t xml:space="preserve">, </w:t>
      </w:r>
      <w:r w:rsidRPr="001A3D2B">
        <w:rPr>
          <w:b/>
          <w:bCs/>
        </w:rPr>
        <w:t>82</w:t>
      </w:r>
      <w:r w:rsidRPr="001A3D2B">
        <w:t xml:space="preserve"> (8), 933-947.</w:t>
      </w:r>
    </w:p>
    <w:p w:rsidR="003474F2" w:rsidRPr="001A3D2B" w:rsidRDefault="003474F2" w:rsidP="003474F2">
      <w:pPr>
        <w:pStyle w:val="a3"/>
      </w:pPr>
      <w:r w:rsidRPr="001A3D2B">
        <w:t xml:space="preserve">Full Text: </w:t>
      </w:r>
      <w:hyperlink r:id="rId1151" w:history="1">
        <w:r w:rsidRPr="001A3D2B">
          <w:rPr>
            <w:rStyle w:val="a5"/>
          </w:rPr>
          <w:t>2002\Cur Sci82, 933.pdf</w:t>
        </w:r>
      </w:hyperlink>
    </w:p>
    <w:p w:rsidR="003474F2" w:rsidRPr="001A3D2B" w:rsidRDefault="003474F2" w:rsidP="003474F2">
      <w:pPr>
        <w:pStyle w:val="a3"/>
      </w:pPr>
      <w:r w:rsidRPr="001A3D2B">
        <w:t>Abstract: India</w:t>
      </w:r>
      <w:r w:rsidR="005853A9">
        <w:t xml:space="preserve"> and </w:t>
      </w:r>
      <w:r w:rsidRPr="001A3D2B">
        <w:t>China lead</w:t>
      </w:r>
      <w:r w:rsidR="003A1917">
        <w:t xml:space="preserve"> the </w:t>
      </w:r>
      <w:r w:rsidRPr="001A3D2B">
        <w:t>world in</w:t>
      </w:r>
      <w:r w:rsidR="003A1917">
        <w:t xml:space="preserve"> the </w:t>
      </w:r>
      <w:r w:rsidRPr="001A3D2B">
        <w:t>incidence</w:t>
      </w:r>
      <w:r w:rsidR="00427468">
        <w:t xml:space="preserve"> of </w:t>
      </w:r>
      <w:r w:rsidRPr="001A3D2B">
        <w:t>tuberculosis (TB), accounting for 23%</w:t>
      </w:r>
      <w:r w:rsidR="005853A9">
        <w:t xml:space="preserve"> and </w:t>
      </w:r>
      <w:r w:rsidRPr="001A3D2B">
        <w:t>17% respectively,</w:t>
      </w:r>
      <w:r w:rsidR="00427468">
        <w:t xml:space="preserve"> of </w:t>
      </w:r>
      <w:r w:rsidR="003A1917">
        <w:t xml:space="preserve">the </w:t>
      </w:r>
      <w:r w:rsidRPr="001A3D2B">
        <w:t>global burden</w:t>
      </w:r>
      <w:r w:rsidR="00427468">
        <w:t xml:space="preserve"> of </w:t>
      </w:r>
      <w:r w:rsidR="003A1917">
        <w:t xml:space="preserve">the </w:t>
      </w:r>
      <w:r w:rsidRPr="001A3D2B">
        <w:t>disease</w:t>
      </w:r>
      <w:r w:rsidR="005853A9">
        <w:t xml:space="preserve"> and </w:t>
      </w:r>
      <w:r w:rsidRPr="001A3D2B">
        <w:t>hold</w:t>
      </w:r>
      <w:r w:rsidR="003A1917">
        <w:t xml:space="preserve"> the </w:t>
      </w:r>
      <w:r w:rsidRPr="001A3D2B">
        <w:t>15th</w:t>
      </w:r>
      <w:r w:rsidR="005853A9">
        <w:t xml:space="preserve"> and </w:t>
      </w:r>
      <w:r w:rsidR="003A1917">
        <w:t xml:space="preserve">the </w:t>
      </w:r>
      <w:r w:rsidRPr="001A3D2B">
        <w:t>18th positions in terms</w:t>
      </w:r>
      <w:r w:rsidR="00427468">
        <w:t xml:space="preserve"> of </w:t>
      </w:r>
      <w:r w:rsidRPr="001A3D2B">
        <w:t>incidence per 100,000 population. But India accounts for only about 5-6%</w:t>
      </w:r>
      <w:r w:rsidR="00427468">
        <w:t xml:space="preserve"> of </w:t>
      </w:r>
      <w:r w:rsidR="003A1917">
        <w:t xml:space="preserve">the </w:t>
      </w:r>
      <w:r w:rsidRPr="001A3D2B">
        <w:t>world</w:t>
      </w:r>
      <w:r w:rsidR="0071223E">
        <w:t>’</w:t>
      </w:r>
      <w:r w:rsidR="00C13DDC">
        <w:t>s</w:t>
      </w:r>
      <w:r w:rsidRPr="001A3D2B">
        <w:t xml:space="preserve"> research output in this area</w:t>
      </w:r>
      <w:r w:rsidR="005853A9">
        <w:t xml:space="preserve"> and </w:t>
      </w:r>
      <w:r w:rsidRPr="001A3D2B">
        <w:t xml:space="preserve">China a paltry 1% as seen from papers indexed in three international databases, viz. </w:t>
      </w:r>
      <w:r w:rsidR="002C12F0">
        <w:t>PUBMED</w:t>
      </w:r>
      <w:r w:rsidRPr="001A3D2B">
        <w:t>, Science Citation Index</w:t>
      </w:r>
      <w:r w:rsidR="005853A9">
        <w:t xml:space="preserve"> and </w:t>
      </w:r>
      <w:r w:rsidRPr="001A3D2B">
        <w:t>Biochemistry</w:t>
      </w:r>
      <w:r w:rsidR="005853A9">
        <w:t xml:space="preserve"> and </w:t>
      </w:r>
      <w:r w:rsidRPr="001A3D2B">
        <w:t>Biophysics Citation Index over</w:t>
      </w:r>
      <w:r w:rsidR="003A1917">
        <w:t xml:space="preserve"> the </w:t>
      </w:r>
      <w:r w:rsidRPr="001A3D2B">
        <w:t>ten-year period 1990-1999. Thus there is a tremendous mismatch between</w:t>
      </w:r>
      <w:r w:rsidR="003A1917">
        <w:t xml:space="preserve"> the </w:t>
      </w:r>
      <w:r w:rsidRPr="001A3D2B">
        <w:t>share</w:t>
      </w:r>
      <w:r w:rsidR="00427468">
        <w:t xml:space="preserve"> of </w:t>
      </w:r>
      <w:r w:rsidR="003A1917">
        <w:t xml:space="preserve">the </w:t>
      </w:r>
      <w:r w:rsidRPr="001A3D2B">
        <w:t>burden</w:t>
      </w:r>
      <w:r w:rsidR="00427468">
        <w:t xml:space="preserve"> of </w:t>
      </w:r>
      <w:r w:rsidR="003A1917">
        <w:t xml:space="preserve">the </w:t>
      </w:r>
      <w:r w:rsidRPr="001A3D2B">
        <w:t>disease</w:t>
      </w:r>
      <w:r w:rsidR="005853A9">
        <w:t xml:space="preserve"> and </w:t>
      </w:r>
      <w:r w:rsidRPr="001A3D2B">
        <w:t>share</w:t>
      </w:r>
      <w:r w:rsidR="00427468">
        <w:t xml:space="preserve"> of </w:t>
      </w:r>
      <w:r w:rsidRPr="001A3D2B">
        <w:t>research efforts. Is such mismatch acceptable? It raises</w:t>
      </w:r>
      <w:r w:rsidR="003A1917">
        <w:t xml:space="preserve"> the </w:t>
      </w:r>
      <w:r w:rsidRPr="001A3D2B">
        <w:t xml:space="preserve">question </w:t>
      </w:r>
      <w:r w:rsidR="0071223E">
        <w:t>‘</w:t>
      </w:r>
      <w:r w:rsidR="00C13DDC">
        <w:t>s</w:t>
      </w:r>
      <w:r w:rsidRPr="001A3D2B">
        <w:t>hould resource-poor countries invest in research or should they depend on research performed elsewhere</w:t>
      </w:r>
      <w:r w:rsidR="005853A9">
        <w:t xml:space="preserve"> and </w:t>
      </w:r>
      <w:r w:rsidRPr="001A3D2B">
        <w:t>invest their meagre resources predominantly in health-care measures?</w:t>
      </w:r>
      <w:r w:rsidR="0071223E">
        <w:t>’</w:t>
      </w:r>
      <w:r w:rsidRPr="001A3D2B">
        <w:t xml:space="preserve"> We argue that both India</w:t>
      </w:r>
      <w:r w:rsidR="005853A9">
        <w:t xml:space="preserve"> and </w:t>
      </w:r>
      <w:r w:rsidRPr="001A3D2B">
        <w:t>China should invest much more in research than they do. We have also mapped TB research in</w:t>
      </w:r>
      <w:r w:rsidR="003A1917">
        <w:t xml:space="preserve"> the </w:t>
      </w:r>
      <w:r w:rsidRPr="001A3D2B">
        <w:t>two countries</w:t>
      </w:r>
      <w:r w:rsidR="005853A9">
        <w:t xml:space="preserve"> and </w:t>
      </w:r>
      <w:r w:rsidRPr="001A3D2B">
        <w:t>identified institutions</w:t>
      </w:r>
      <w:r w:rsidR="005853A9">
        <w:t xml:space="preserve"> and </w:t>
      </w:r>
      <w:r w:rsidRPr="001A3D2B">
        <w:t>cities active in research, journals used to publish</w:t>
      </w:r>
      <w:r w:rsidR="003A1917">
        <w:t xml:space="preserve"> the </w:t>
      </w:r>
      <w:r w:rsidRPr="001A3D2B">
        <w:t>findings, use</w:t>
      </w:r>
      <w:r w:rsidR="00427468">
        <w:t xml:space="preserve"> of </w:t>
      </w:r>
      <w:r w:rsidRPr="001A3D2B">
        <w:t>high impact journals, impact</w:t>
      </w:r>
      <w:r w:rsidR="00427468">
        <w:t xml:space="preserve"> of </w:t>
      </w:r>
      <w:r w:rsidRPr="001A3D2B">
        <w:t>their research as seen from citations received</w:t>
      </w:r>
      <w:r w:rsidR="005853A9">
        <w:t xml:space="preserve"> and </w:t>
      </w:r>
      <w:r w:rsidRPr="001A3D2B">
        <w:t>extent</w:t>
      </w:r>
      <w:r w:rsidR="00427468">
        <w:t xml:space="preserve"> of </w:t>
      </w:r>
      <w:r w:rsidRPr="001A3D2B">
        <w:t xml:space="preserve">international collaboration. Although </w:t>
      </w:r>
      <w:smartTag w:uri="urn:schemas-microsoft-com:office:smarttags" w:element="country-region">
        <w:r w:rsidRPr="001A3D2B">
          <w:t>China</w:t>
        </w:r>
      </w:smartTag>
      <w:r w:rsidRPr="001A3D2B">
        <w:t xml:space="preserve"> performs much less research than India</w:t>
      </w:r>
      <w:r w:rsidR="005853A9">
        <w:t xml:space="preserve"> and </w:t>
      </w:r>
      <w:r w:rsidRPr="001A3D2B">
        <w:t xml:space="preserve">its work is quoted much less often, it seems to have done far better than </w:t>
      </w:r>
      <w:smartTag w:uri="urn:schemas-microsoft-com:office:smarttags" w:element="place">
        <w:smartTag w:uri="urn:schemas-microsoft-com:office:smarttags" w:element="country-region">
          <w:r w:rsidRPr="001A3D2B">
            <w:t>India</w:t>
          </w:r>
        </w:smartTag>
      </w:smartTag>
      <w:r w:rsidRPr="001A3D2B">
        <w:t xml:space="preserve"> in health-care delivery in TB. Perhaps</w:t>
      </w:r>
      <w:r w:rsidR="003A1917">
        <w:t xml:space="preserve"> the </w:t>
      </w:r>
      <w:r w:rsidRPr="001A3D2B">
        <w:t>Chinese are better able to translate know-how into do-how than</w:t>
      </w:r>
      <w:r w:rsidR="003A1917">
        <w:t xml:space="preserve"> the </w:t>
      </w:r>
      <w:r w:rsidRPr="001A3D2B">
        <w:t>Indians.</w:t>
      </w:r>
    </w:p>
    <w:p w:rsidR="003474F2" w:rsidRPr="001A3D2B" w:rsidRDefault="003474F2" w:rsidP="003474F2">
      <w:pPr>
        <w:pStyle w:val="a3"/>
      </w:pPr>
      <w:r w:rsidRPr="001A3D2B">
        <w:t>Balasubrahmanyam, S.N. (2002), Science is alive</w:t>
      </w:r>
      <w:r w:rsidR="005853A9">
        <w:t xml:space="preserve"> and </w:t>
      </w:r>
      <w:r w:rsidRPr="001A3D2B">
        <w:t xml:space="preserve">kicking, but has not sci-fi fantasy done better? </w:t>
      </w:r>
      <w:r w:rsidRPr="001A3D2B">
        <w:rPr>
          <w:i/>
          <w:iCs/>
        </w:rPr>
        <w:t>Current Science</w:t>
      </w:r>
      <w:r w:rsidRPr="001A3D2B">
        <w:t xml:space="preserve">, </w:t>
      </w:r>
      <w:r w:rsidRPr="001A3D2B">
        <w:rPr>
          <w:b/>
          <w:bCs/>
        </w:rPr>
        <w:t>82</w:t>
      </w:r>
      <w:r w:rsidRPr="001A3D2B">
        <w:t xml:space="preserve"> (6), 611-612.</w:t>
      </w:r>
    </w:p>
    <w:p w:rsidR="003474F2" w:rsidRPr="001A3D2B" w:rsidRDefault="003474F2" w:rsidP="003474F2">
      <w:pPr>
        <w:pStyle w:val="a3"/>
      </w:pPr>
      <w:r w:rsidRPr="001A3D2B">
        <w:t xml:space="preserve">Full Text: </w:t>
      </w:r>
      <w:hyperlink r:id="rId1152" w:history="1">
        <w:r w:rsidRPr="001A3D2B">
          <w:rPr>
            <w:rStyle w:val="a5"/>
          </w:rPr>
          <w:t>2002\Cur Sci82, 611.pdf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Arunachalam, S.</w:t>
      </w:r>
      <w:r w:rsidR="005853A9">
        <w:t xml:space="preserve"> and </w:t>
      </w:r>
      <w:r w:rsidRPr="001A3D2B">
        <w:t>Gunasekaran, S. (2002), Tuberculosis research in India</w:t>
      </w:r>
      <w:r w:rsidR="005853A9">
        <w:t xml:space="preserve"> and </w:t>
      </w:r>
      <w:r w:rsidRPr="001A3D2B">
        <w:t xml:space="preserve">China: From bibliometrics to research policy. </w:t>
      </w:r>
      <w:r w:rsidRPr="001A3D2B">
        <w:rPr>
          <w:i/>
          <w:iCs/>
        </w:rPr>
        <w:t>Current Science</w:t>
      </w:r>
      <w:r w:rsidRPr="001A3D2B">
        <w:t xml:space="preserve">, </w:t>
      </w:r>
      <w:r w:rsidRPr="001A3D2B">
        <w:rPr>
          <w:b/>
          <w:bCs/>
        </w:rPr>
        <w:t>82</w:t>
      </w:r>
      <w:r w:rsidRPr="001A3D2B">
        <w:t xml:space="preserve"> (8), 933-947.</w:t>
      </w:r>
    </w:p>
    <w:p w:rsidR="003474F2" w:rsidRPr="001A3D2B" w:rsidRDefault="003474F2" w:rsidP="003474F2">
      <w:pPr>
        <w:pStyle w:val="a3"/>
      </w:pPr>
      <w:r w:rsidRPr="001A3D2B">
        <w:t xml:space="preserve">Full Text: </w:t>
      </w:r>
      <w:hyperlink r:id="rId1153" w:history="1">
        <w:r w:rsidRPr="001A3D2B">
          <w:rPr>
            <w:rStyle w:val="a5"/>
          </w:rPr>
          <w:t>2002\Cur Sci82, 933.pdf</w:t>
        </w:r>
      </w:hyperlink>
    </w:p>
    <w:p w:rsidR="003474F2" w:rsidRPr="001A3D2B" w:rsidRDefault="003474F2" w:rsidP="003474F2">
      <w:pPr>
        <w:pStyle w:val="a3"/>
      </w:pPr>
      <w:r w:rsidRPr="001A3D2B">
        <w:t>Abstract: India</w:t>
      </w:r>
      <w:r w:rsidR="005853A9">
        <w:t xml:space="preserve"> and </w:t>
      </w:r>
      <w:r w:rsidRPr="001A3D2B">
        <w:t>China lead</w:t>
      </w:r>
      <w:r w:rsidR="003A1917">
        <w:t xml:space="preserve"> the </w:t>
      </w:r>
      <w:r w:rsidRPr="001A3D2B">
        <w:t>world in</w:t>
      </w:r>
      <w:r w:rsidR="003A1917">
        <w:t xml:space="preserve"> the </w:t>
      </w:r>
      <w:r w:rsidRPr="001A3D2B">
        <w:t>incidence</w:t>
      </w:r>
      <w:r w:rsidR="00427468">
        <w:t xml:space="preserve"> of </w:t>
      </w:r>
      <w:r w:rsidRPr="001A3D2B">
        <w:t xml:space="preserve">tuberculosis (TB), </w:t>
      </w:r>
      <w:r w:rsidRPr="001A3D2B">
        <w:lastRenderedPageBreak/>
        <w:t>accounting for 23%</w:t>
      </w:r>
      <w:r w:rsidR="005853A9">
        <w:t xml:space="preserve"> and </w:t>
      </w:r>
      <w:r w:rsidRPr="001A3D2B">
        <w:t>17% respectively,</w:t>
      </w:r>
      <w:r w:rsidR="00427468">
        <w:t xml:space="preserve"> of </w:t>
      </w:r>
      <w:r w:rsidR="003A1917">
        <w:t xml:space="preserve">the </w:t>
      </w:r>
      <w:r w:rsidRPr="001A3D2B">
        <w:t>global burden</w:t>
      </w:r>
      <w:r w:rsidR="00427468">
        <w:t xml:space="preserve"> of </w:t>
      </w:r>
      <w:r w:rsidR="003A1917">
        <w:t xml:space="preserve">the </w:t>
      </w:r>
      <w:r w:rsidRPr="001A3D2B">
        <w:t>disease</w:t>
      </w:r>
      <w:r w:rsidR="005853A9">
        <w:t xml:space="preserve"> and </w:t>
      </w:r>
      <w:r w:rsidRPr="001A3D2B">
        <w:t>hold</w:t>
      </w:r>
      <w:r w:rsidR="003A1917">
        <w:t xml:space="preserve"> the </w:t>
      </w:r>
      <w:r w:rsidRPr="001A3D2B">
        <w:t>15th</w:t>
      </w:r>
      <w:r w:rsidR="005853A9">
        <w:t xml:space="preserve"> and </w:t>
      </w:r>
      <w:r w:rsidR="003A1917">
        <w:t xml:space="preserve">the </w:t>
      </w:r>
      <w:r w:rsidRPr="001A3D2B">
        <w:t>18th positions in terms</w:t>
      </w:r>
      <w:r w:rsidR="00427468">
        <w:t xml:space="preserve"> of </w:t>
      </w:r>
      <w:r w:rsidRPr="001A3D2B">
        <w:t>incidence per 100,000 population. But India accounts for only about 5–6%</w:t>
      </w:r>
      <w:r w:rsidR="00427468">
        <w:t xml:space="preserve"> of </w:t>
      </w:r>
      <w:r w:rsidR="003A1917">
        <w:t xml:space="preserve">the </w:t>
      </w:r>
      <w:r w:rsidRPr="001A3D2B">
        <w:t>world</w:t>
      </w:r>
      <w:r w:rsidR="0071223E">
        <w:t>’</w:t>
      </w:r>
      <w:r w:rsidR="00C13DDC">
        <w:t>s</w:t>
      </w:r>
      <w:r w:rsidRPr="001A3D2B">
        <w:t xml:space="preserve"> research output in this area</w:t>
      </w:r>
      <w:r w:rsidR="005853A9">
        <w:t xml:space="preserve"> and </w:t>
      </w:r>
      <w:r w:rsidRPr="001A3D2B">
        <w:t xml:space="preserve">China a paltry 1% as seen from papers indexed in three international databases, viz. </w:t>
      </w:r>
      <w:r w:rsidR="002C12F0">
        <w:t>PUBMED</w:t>
      </w:r>
      <w:r w:rsidRPr="001A3D2B">
        <w:t>, Science Citation Index</w:t>
      </w:r>
      <w:r w:rsidR="005853A9">
        <w:t xml:space="preserve"> and </w:t>
      </w:r>
      <w:r w:rsidRPr="001A3D2B">
        <w:t>Biochemistry</w:t>
      </w:r>
      <w:r w:rsidR="005853A9">
        <w:t xml:space="preserve"> and </w:t>
      </w:r>
      <w:r w:rsidRPr="001A3D2B">
        <w:t>Biophysics Citation Index over</w:t>
      </w:r>
      <w:r w:rsidR="003A1917">
        <w:t xml:space="preserve"> the </w:t>
      </w:r>
      <w:r w:rsidRPr="001A3D2B">
        <w:t>ten-year period 1990–1999. Thus there is a tremendous mismatch between</w:t>
      </w:r>
      <w:r w:rsidR="003A1917">
        <w:t xml:space="preserve"> the </w:t>
      </w:r>
      <w:r w:rsidRPr="001A3D2B">
        <w:t>share</w:t>
      </w:r>
      <w:r w:rsidR="00427468">
        <w:t xml:space="preserve"> of </w:t>
      </w:r>
      <w:r w:rsidR="003A1917">
        <w:t xml:space="preserve">the </w:t>
      </w:r>
      <w:r w:rsidRPr="001A3D2B">
        <w:t>burden</w:t>
      </w:r>
      <w:r w:rsidR="00427468">
        <w:t xml:space="preserve"> of </w:t>
      </w:r>
      <w:r w:rsidR="003A1917">
        <w:t xml:space="preserve">the </w:t>
      </w:r>
      <w:r w:rsidRPr="001A3D2B">
        <w:t>disease</w:t>
      </w:r>
      <w:r w:rsidR="005853A9">
        <w:t xml:space="preserve"> and </w:t>
      </w:r>
      <w:r w:rsidRPr="001A3D2B">
        <w:t>share</w:t>
      </w:r>
      <w:r w:rsidR="00427468">
        <w:t xml:space="preserve"> of </w:t>
      </w:r>
      <w:r w:rsidRPr="001A3D2B">
        <w:t>research efforts. Is such mismatch acceptable? It raises</w:t>
      </w:r>
      <w:r w:rsidR="003A1917">
        <w:t xml:space="preserve"> the </w:t>
      </w:r>
      <w:r w:rsidRPr="001A3D2B">
        <w:t xml:space="preserve">question </w:t>
      </w:r>
      <w:r w:rsidR="0071223E">
        <w:t>‘</w:t>
      </w:r>
      <w:r w:rsidR="00C13DDC">
        <w:t>s</w:t>
      </w:r>
      <w:r w:rsidRPr="001A3D2B">
        <w:t>hould resource-poor countries invest in research or should they depend on research performed elsewhere</w:t>
      </w:r>
      <w:r w:rsidR="005853A9">
        <w:t xml:space="preserve"> and </w:t>
      </w:r>
      <w:r w:rsidRPr="001A3D2B">
        <w:t>invest their meagre resources predominantly in health-care measures?</w:t>
      </w:r>
      <w:r w:rsidR="0071223E">
        <w:t>’</w:t>
      </w:r>
      <w:r w:rsidRPr="001A3D2B">
        <w:t xml:space="preserve"> We argue that both India</w:t>
      </w:r>
      <w:r w:rsidR="005853A9">
        <w:t xml:space="preserve"> and </w:t>
      </w:r>
      <w:r w:rsidRPr="001A3D2B">
        <w:t>China should invest much more in research than they do. We have also mapped TB research in</w:t>
      </w:r>
      <w:r w:rsidR="003A1917">
        <w:t xml:space="preserve"> the </w:t>
      </w:r>
      <w:r w:rsidRPr="001A3D2B">
        <w:t>two countries</w:t>
      </w:r>
      <w:r w:rsidR="005853A9">
        <w:t xml:space="preserve"> and </w:t>
      </w:r>
      <w:r w:rsidRPr="001A3D2B">
        <w:t>identified institutions</w:t>
      </w:r>
      <w:r w:rsidR="005853A9">
        <w:t xml:space="preserve"> and </w:t>
      </w:r>
      <w:r w:rsidRPr="001A3D2B">
        <w:t>cities active in research, journals used to publish</w:t>
      </w:r>
      <w:r w:rsidR="003A1917">
        <w:t xml:space="preserve"> the </w:t>
      </w:r>
      <w:r w:rsidRPr="001A3D2B">
        <w:t>findings, use</w:t>
      </w:r>
      <w:r w:rsidR="00427468">
        <w:t xml:space="preserve"> of </w:t>
      </w:r>
      <w:r w:rsidRPr="001A3D2B">
        <w:t>high impact journals, impact of</w:t>
      </w:r>
      <w:r w:rsidRPr="001A3D2B">
        <w:br/>
        <w:t>their research as seen from citations received</w:t>
      </w:r>
      <w:r w:rsidR="005853A9">
        <w:t xml:space="preserve"> and </w:t>
      </w:r>
      <w:r w:rsidRPr="001A3D2B">
        <w:t>extent</w:t>
      </w:r>
      <w:r w:rsidR="00427468">
        <w:t xml:space="preserve"> of </w:t>
      </w:r>
      <w:r w:rsidRPr="001A3D2B">
        <w:t xml:space="preserve">international collaboration. Although </w:t>
      </w:r>
      <w:smartTag w:uri="urn:schemas-microsoft-com:office:smarttags" w:element="country-region">
        <w:r w:rsidRPr="001A3D2B">
          <w:t>China</w:t>
        </w:r>
      </w:smartTag>
      <w:r w:rsidRPr="001A3D2B">
        <w:t xml:space="preserve"> performs much less research than India</w:t>
      </w:r>
      <w:r w:rsidR="005853A9">
        <w:t xml:space="preserve"> and </w:t>
      </w:r>
      <w:r w:rsidRPr="001A3D2B">
        <w:t xml:space="preserve">its work is quoted much less often, it seems to have done far better than </w:t>
      </w:r>
      <w:smartTag w:uri="urn:schemas-microsoft-com:office:smarttags" w:element="place">
        <w:smartTag w:uri="urn:schemas-microsoft-com:office:smarttags" w:element="country-region">
          <w:r w:rsidRPr="001A3D2B">
            <w:t>India</w:t>
          </w:r>
        </w:smartTag>
      </w:smartTag>
      <w:r w:rsidRPr="001A3D2B">
        <w:t xml:space="preserve"> in health-care delivery in TB. Perhaps</w:t>
      </w:r>
      <w:r w:rsidR="003A1917">
        <w:t xml:space="preserve"> the </w:t>
      </w:r>
      <w:r w:rsidRPr="001A3D2B">
        <w:t>Chinese are better able to translate know-how into do-how than</w:t>
      </w:r>
      <w:r w:rsidR="003A1917">
        <w:t xml:space="preserve"> the </w:t>
      </w:r>
      <w:r w:rsidRPr="001A3D2B">
        <w:t>Indians.</w:t>
      </w:r>
    </w:p>
    <w:p w:rsidR="003474F2" w:rsidRPr="001A3D2B" w:rsidRDefault="003474F2" w:rsidP="003474F2">
      <w:pPr>
        <w:pStyle w:val="a3"/>
      </w:pPr>
      <w:r w:rsidRPr="001A3D2B">
        <w:t>Arunachalan, S.</w:t>
      </w:r>
      <w:r w:rsidR="005853A9">
        <w:t xml:space="preserve"> and </w:t>
      </w:r>
      <w:r w:rsidRPr="001A3D2B">
        <w:t>Gunasekaran, S. (2002), Diabetes research in India</w:t>
      </w:r>
      <w:r w:rsidR="005853A9">
        <w:t xml:space="preserve"> and </w:t>
      </w:r>
      <w:r w:rsidRPr="001A3D2B">
        <w:t xml:space="preserve">China today: From literature- based mapping to health-care policy. </w:t>
      </w:r>
      <w:r w:rsidRPr="001A3D2B">
        <w:rPr>
          <w:i/>
          <w:iCs/>
        </w:rPr>
        <w:t>Current Science</w:t>
      </w:r>
      <w:r w:rsidRPr="001A3D2B">
        <w:t xml:space="preserve">, </w:t>
      </w:r>
      <w:r w:rsidRPr="001A3D2B">
        <w:rPr>
          <w:b/>
          <w:bCs/>
        </w:rPr>
        <w:t>82</w:t>
      </w:r>
      <w:r w:rsidRPr="001A3D2B">
        <w:t xml:space="preserve"> (9), 1086-1097.</w:t>
      </w:r>
    </w:p>
    <w:p w:rsidR="003474F2" w:rsidRPr="001A3D2B" w:rsidRDefault="003474F2" w:rsidP="003474F2">
      <w:pPr>
        <w:pStyle w:val="a3"/>
      </w:pPr>
      <w:r w:rsidRPr="001A3D2B">
        <w:t xml:space="preserve">Full Text: </w:t>
      </w:r>
      <w:hyperlink r:id="rId1154" w:history="1">
        <w:r w:rsidRPr="001A3D2B">
          <w:rPr>
            <w:rStyle w:val="a5"/>
          </w:rPr>
          <w:t>2002\Cur Sci82, 1086.pdf</w:t>
        </w:r>
      </w:hyperlink>
    </w:p>
    <w:p w:rsidR="003474F2" w:rsidRPr="001A3D2B" w:rsidRDefault="003474F2" w:rsidP="003474F2">
      <w:pPr>
        <w:pStyle w:val="a3"/>
      </w:pPr>
      <w:r w:rsidRPr="001A3D2B">
        <w:t>Abstract: We have mapped</w:t>
      </w:r>
      <w:r w:rsidR="005853A9">
        <w:t xml:space="preserve"> and </w:t>
      </w:r>
      <w:r w:rsidRPr="001A3D2B">
        <w:t>evaluated diabetes research in India</w:t>
      </w:r>
      <w:r w:rsidR="005853A9">
        <w:t xml:space="preserve"> and </w:t>
      </w:r>
      <w:r w:rsidRPr="001A3D2B">
        <w:t>China, based oil papers published during 1990-1999</w:t>
      </w:r>
      <w:r w:rsidR="005853A9">
        <w:t xml:space="preserve"> and </w:t>
      </w:r>
      <w:r w:rsidRPr="001A3D2B">
        <w:t xml:space="preserve">indexed in </w:t>
      </w:r>
      <w:r w:rsidR="002C12F0">
        <w:t>PUBMED</w:t>
      </w:r>
      <w:r w:rsidRPr="001A3D2B">
        <w:t>, Science Citation Index (SCI)</w:t>
      </w:r>
      <w:r w:rsidR="005853A9">
        <w:t xml:space="preserve"> and </w:t>
      </w:r>
      <w:r w:rsidRPr="001A3D2B">
        <w:t>biochemistry</w:t>
      </w:r>
      <w:r w:rsidR="005853A9">
        <w:t xml:space="preserve"> and </w:t>
      </w:r>
      <w:r w:rsidRPr="001A3D2B">
        <w:t>Biophysics Citation Index (BBCI)</w:t>
      </w:r>
      <w:r w:rsidR="005853A9">
        <w:t xml:space="preserve"> and </w:t>
      </w:r>
      <w:r w:rsidRPr="001A3D2B">
        <w:t>citations to each one</w:t>
      </w:r>
      <w:r w:rsidR="00427468">
        <w:t xml:space="preserve"> of </w:t>
      </w:r>
      <w:r w:rsidRPr="001A3D2B">
        <w:t>these papers lip to 2000. We have identified institutions carrying out diabetes research, journals used to publish</w:t>
      </w:r>
      <w:r w:rsidR="003A1917">
        <w:t xml:space="preserve"> the </w:t>
      </w:r>
      <w:r w:rsidRPr="001A3D2B">
        <w:t>results, subfields in which</w:t>
      </w:r>
      <w:r w:rsidR="003A1917">
        <w:t xml:space="preserve"> the </w:t>
      </w:r>
      <w:r w:rsidRPr="001A3D2B">
        <w:t>two countries have published often,</w:t>
      </w:r>
      <w:r w:rsidR="005853A9">
        <w:t xml:space="preserve"> and </w:t>
      </w:r>
      <w:r w:rsidR="003A1917">
        <w:t xml:space="preserve">the </w:t>
      </w:r>
      <w:r w:rsidRPr="001A3D2B">
        <w:t>impact</w:t>
      </w:r>
      <w:r w:rsidR="00427468">
        <w:t xml:space="preserve"> of </w:t>
      </w:r>
      <w:r w:rsidR="003A1917">
        <w:t xml:space="preserve">the </w:t>
      </w:r>
      <w:r w:rsidRPr="001A3D2B">
        <w:t>work as seen from actual citations to</w:t>
      </w:r>
      <w:r w:rsidR="003A1917">
        <w:t xml:space="preserve"> the </w:t>
      </w:r>
      <w:r w:rsidRPr="001A3D2B">
        <w:t>papers. We have also assessed</w:t>
      </w:r>
      <w:r w:rsidR="003A1917">
        <w:t xml:space="preserve"> the </w:t>
      </w:r>
      <w:r w:rsidRPr="001A3D2B">
        <w:t>extent</w:t>
      </w:r>
      <w:r w:rsidR="00427468">
        <w:t xml:space="preserve"> of </w:t>
      </w:r>
      <w:r w:rsidRPr="001A3D2B">
        <w:t>international collaboration in diabetes research in these two countries, based on papers indexed in SCI</w:t>
      </w:r>
      <w:r w:rsidR="005853A9">
        <w:t xml:space="preserve"> and </w:t>
      </w:r>
      <w:r w:rsidRPr="001A3D2B">
        <w:t>BBCI</w:t>
      </w:r>
      <w:r w:rsidR="00A37C1D">
        <w:t>. The</w:t>
      </w:r>
      <w:r w:rsidRPr="001A3D2B">
        <w:t>re is an enormous mismatch between</w:t>
      </w:r>
      <w:r w:rsidR="003A1917">
        <w:t xml:space="preserve"> the </w:t>
      </w:r>
      <w:r w:rsidRPr="001A3D2B">
        <w:t>disease burden</w:t>
      </w:r>
      <w:r w:rsidR="005853A9">
        <w:t xml:space="preserve"> and </w:t>
      </w:r>
      <w:r w:rsidR="003A1917">
        <w:t xml:space="preserve">the </w:t>
      </w:r>
      <w:r w:rsidRPr="001A3D2B">
        <w:t>share</w:t>
      </w:r>
      <w:r w:rsidR="00427468">
        <w:t xml:space="preserve"> of </w:t>
      </w:r>
      <w:r w:rsidRPr="001A3D2B">
        <w:t>research performed in both countries. Although together these two countries account for 26%</w:t>
      </w:r>
      <w:r w:rsidR="00427468">
        <w:t xml:space="preserve"> of </w:t>
      </w:r>
      <w:r w:rsidR="003A1917">
        <w:t xml:space="preserve">the </w:t>
      </w:r>
      <w:r w:rsidRPr="001A3D2B">
        <w:t>prevalence</w:t>
      </w:r>
      <w:r w:rsidR="00427468">
        <w:t xml:space="preserve"> of </w:t>
      </w:r>
      <w:r w:rsidRPr="001A3D2B">
        <w:t>diabetes, they contribute less than 2%</w:t>
      </w:r>
      <w:r w:rsidR="00427468">
        <w:t xml:space="preserve"> of </w:t>
      </w:r>
      <w:r w:rsidR="003A1917">
        <w:t xml:space="preserve">the </w:t>
      </w:r>
      <w:r w:rsidRPr="001A3D2B">
        <w:t>world</w:t>
      </w:r>
      <w:r w:rsidR="0071223E">
        <w:t>’</w:t>
      </w:r>
      <w:r w:rsidR="00C13DDC">
        <w:t>s</w:t>
      </w:r>
      <w:r w:rsidRPr="001A3D2B">
        <w:t xml:space="preserve"> research. We argue that both India</w:t>
      </w:r>
      <w:r w:rsidR="005853A9">
        <w:t xml:space="preserve"> and </w:t>
      </w:r>
      <w:r w:rsidRPr="001A3D2B">
        <w:t>China need to (i) strengthen their research capabilities in this area, (ii) increase investment in health- care research considerably, (iii) facilitate substantive international collaboration in research,</w:t>
      </w:r>
      <w:r w:rsidR="005853A9">
        <w:t xml:space="preserve"> and </w:t>
      </w:r>
      <w:r w:rsidRPr="001A3D2B">
        <w:t xml:space="preserve">(iv) support cross-disciplinary research between basic </w:t>
      </w:r>
      <w:smartTag w:uri="urn:schemas-microsoft-com:office:smarttags" w:element="PersonName">
        <w:smartTagPr>
          <w:attr w:name="ProductID" w:val="Life Sciences"/>
        </w:smartTagPr>
        <w:r w:rsidRPr="001A3D2B">
          <w:t>life sciences</w:t>
        </w:r>
      </w:smartTag>
      <w:r w:rsidRPr="001A3D2B">
        <w:t xml:space="preserve"> researchers</w:t>
      </w:r>
      <w:r w:rsidR="005853A9">
        <w:t xml:space="preserve"> and </w:t>
      </w:r>
      <w:r w:rsidRPr="001A3D2B">
        <w:t>medical researchers. As data such as those presented here should form</w:t>
      </w:r>
      <w:r w:rsidR="003A1917">
        <w:t xml:space="preserve"> the </w:t>
      </w:r>
      <w:r w:rsidRPr="001A3D2B">
        <w:t>basis</w:t>
      </w:r>
      <w:r w:rsidR="00427468">
        <w:t xml:space="preserve"> of </w:t>
      </w:r>
      <w:r w:rsidRPr="001A3D2B">
        <w:t>health policy, India</w:t>
      </w:r>
      <w:r w:rsidR="005853A9">
        <w:t xml:space="preserve"> and </w:t>
      </w:r>
      <w:r w:rsidRPr="001A3D2B">
        <w:t>China should encourage evaluation</w:t>
      </w:r>
      <w:r w:rsidR="00427468">
        <w:t xml:space="preserve"> of </w:t>
      </w:r>
      <w:r w:rsidRPr="001A3D2B">
        <w:t>research.</w:t>
      </w:r>
    </w:p>
    <w:p w:rsidR="003474F2" w:rsidRPr="001A3D2B" w:rsidRDefault="003474F2" w:rsidP="003474F2">
      <w:pPr>
        <w:pStyle w:val="a3"/>
      </w:pPr>
      <w:r w:rsidRPr="001A3D2B">
        <w:lastRenderedPageBreak/>
        <w:t>Keywords: Disease, Global Burden, Information</w:t>
      </w:r>
    </w:p>
    <w:p w:rsidR="003474F2" w:rsidRPr="001A3D2B" w:rsidRDefault="003474F2" w:rsidP="003474F2">
      <w:pPr>
        <w:pStyle w:val="a3"/>
      </w:pPr>
      <w:r w:rsidRPr="001A3D2B">
        <w:t xml:space="preserve">Arunachalam, S. (2002), Is science in </w:t>
      </w:r>
      <w:smartTag w:uri="urn:schemas-microsoft-com:office:smarttags" w:element="place">
        <w:smartTag w:uri="urn:schemas-microsoft-com:office:smarttags" w:element="country-region">
          <w:r w:rsidRPr="001A3D2B">
            <w:t>India</w:t>
          </w:r>
        </w:smartTag>
      </w:smartTag>
      <w:r w:rsidRPr="001A3D2B">
        <w:t xml:space="preserve"> on</w:t>
      </w:r>
      <w:r w:rsidR="003A1917">
        <w:t xml:space="preserve"> the </w:t>
      </w:r>
      <w:r w:rsidRPr="001A3D2B">
        <w:t xml:space="preserve">decline? </w:t>
      </w:r>
      <w:r w:rsidRPr="001A3D2B">
        <w:rPr>
          <w:i/>
          <w:iCs/>
        </w:rPr>
        <w:t>Current Science</w:t>
      </w:r>
      <w:r w:rsidRPr="001A3D2B">
        <w:t xml:space="preserve">, </w:t>
      </w:r>
      <w:r w:rsidRPr="001A3D2B">
        <w:rPr>
          <w:b/>
          <w:bCs/>
        </w:rPr>
        <w:t>83</w:t>
      </w:r>
      <w:r w:rsidRPr="001A3D2B">
        <w:t xml:space="preserve"> (2), 107-108.</w:t>
      </w:r>
    </w:p>
    <w:p w:rsidR="003474F2" w:rsidRPr="001A3D2B" w:rsidRDefault="003474F2" w:rsidP="003474F2">
      <w:pPr>
        <w:pStyle w:val="a3"/>
      </w:pPr>
      <w:r w:rsidRPr="001A3D2B">
        <w:t xml:space="preserve">Full Text: </w:t>
      </w:r>
      <w:hyperlink r:id="rId1155" w:history="1">
        <w:r w:rsidRPr="001A3D2B">
          <w:rPr>
            <w:rStyle w:val="a5"/>
          </w:rPr>
          <w:t>2002\Cur Sci83, 107.pdf</w:t>
        </w:r>
      </w:hyperlink>
    </w:p>
    <w:p w:rsidR="003474F2" w:rsidRPr="001A3D2B" w:rsidRDefault="003474F2" w:rsidP="003474F2">
      <w:pPr>
        <w:pStyle w:val="a3"/>
      </w:pPr>
      <w:r w:rsidRPr="001A3D2B">
        <w:t>Gupta, B.M., Munshi, U.M.</w:t>
      </w:r>
      <w:r w:rsidR="005853A9">
        <w:t xml:space="preserve"> and </w:t>
      </w:r>
      <w:r w:rsidRPr="001A3D2B">
        <w:t>Mishra, P.K. (2002), S&amp;T collaboration</w:t>
      </w:r>
      <w:r w:rsidR="00427468">
        <w:t xml:space="preserve"> of </w:t>
      </w:r>
      <w:r w:rsidRPr="001A3D2B">
        <w:t xml:space="preserve">India with other South Asian countries. </w:t>
      </w:r>
      <w:r w:rsidRPr="001A3D2B">
        <w:rPr>
          <w:i/>
          <w:iCs/>
        </w:rPr>
        <w:t>Current Science</w:t>
      </w:r>
      <w:r w:rsidRPr="001A3D2B">
        <w:t xml:space="preserve">, </w:t>
      </w:r>
      <w:r w:rsidRPr="001A3D2B">
        <w:rPr>
          <w:b/>
          <w:bCs/>
        </w:rPr>
        <w:t>83</w:t>
      </w:r>
      <w:r w:rsidRPr="001A3D2B">
        <w:t xml:space="preserve"> (10), 1201-12098.</w:t>
      </w:r>
    </w:p>
    <w:p w:rsidR="003474F2" w:rsidRPr="001A3D2B" w:rsidRDefault="003474F2" w:rsidP="003474F2">
      <w:pPr>
        <w:pStyle w:val="a3"/>
      </w:pPr>
      <w:r w:rsidRPr="001A3D2B">
        <w:t xml:space="preserve">Full Text: </w:t>
      </w:r>
      <w:hyperlink r:id="rId1156" w:history="1">
        <w:r w:rsidRPr="001A3D2B">
          <w:rPr>
            <w:rStyle w:val="a5"/>
          </w:rPr>
          <w:t>2002\Cur Sci83, 1201.pdf</w:t>
        </w:r>
      </w:hyperlink>
    </w:p>
    <w:p w:rsidR="003474F2" w:rsidRPr="001A3D2B" w:rsidRDefault="003474F2" w:rsidP="003474F2">
      <w:pPr>
        <w:pStyle w:val="a3"/>
      </w:pPr>
      <w:r w:rsidRPr="001A3D2B">
        <w:t>Abstract: Science</w:t>
      </w:r>
      <w:r w:rsidR="005853A9">
        <w:t xml:space="preserve"> and </w:t>
      </w:r>
      <w:r w:rsidRPr="001A3D2B">
        <w:t>technology (S&amp;T) is being practised today in a collaborative manner with participation</w:t>
      </w:r>
      <w:r w:rsidR="00427468">
        <w:t xml:space="preserve"> of </w:t>
      </w:r>
      <w:r w:rsidRPr="001A3D2B">
        <w:t>scientists from different disciplines, institutions</w:t>
      </w:r>
      <w:r w:rsidR="005853A9">
        <w:t xml:space="preserve"> and </w:t>
      </w:r>
      <w:r w:rsidRPr="001A3D2B">
        <w:t>countries. To combat</w:t>
      </w:r>
      <w:r w:rsidR="003A1917">
        <w:t xml:space="preserve"> the </w:t>
      </w:r>
      <w:r w:rsidRPr="001A3D2B">
        <w:t>problems</w:t>
      </w:r>
      <w:r w:rsidR="00427468">
        <w:t xml:space="preserve"> of </w:t>
      </w:r>
      <w:r w:rsidRPr="001A3D2B">
        <w:t>pollution, environment, energy, biodiversity, health</w:t>
      </w:r>
      <w:r w:rsidR="005853A9">
        <w:t xml:space="preserve"> and </w:t>
      </w:r>
      <w:r w:rsidRPr="001A3D2B">
        <w:t>nutrition, many countries in</w:t>
      </w:r>
      <w:r w:rsidR="003A1917">
        <w:t xml:space="preserve"> the </w:t>
      </w:r>
      <w:r w:rsidRPr="001A3D2B">
        <w:t>world, particularly</w:t>
      </w:r>
      <w:r w:rsidR="003A1917">
        <w:t xml:space="preserve"> the </w:t>
      </w:r>
      <w:r w:rsidRPr="001A3D2B">
        <w:t>developing countries, need cooperation</w:t>
      </w:r>
      <w:r w:rsidR="005853A9">
        <w:t xml:space="preserve"> and </w:t>
      </w:r>
      <w:r w:rsidRPr="001A3D2B">
        <w:t>support from other developed countries. Thus, collaboration in S&amp;T is fast emerging as</w:t>
      </w:r>
      <w:r w:rsidR="003A1917">
        <w:t xml:space="preserve"> the </w:t>
      </w:r>
      <w:r w:rsidRPr="001A3D2B">
        <w:t>keyword in</w:t>
      </w:r>
      <w:r w:rsidR="003A1917">
        <w:t xml:space="preserve"> the </w:t>
      </w:r>
      <w:r w:rsidRPr="001A3D2B">
        <w:t xml:space="preserve">scientific world. </w:t>
      </w:r>
      <w:smartTag w:uri="urn:schemas-microsoft-com:office:smarttags" w:element="country-region">
        <w:r w:rsidRPr="001A3D2B">
          <w:t>India</w:t>
        </w:r>
      </w:smartTag>
      <w:r w:rsidRPr="001A3D2B">
        <w:t xml:space="preserve"> had recognized</w:t>
      </w:r>
      <w:r w:rsidR="003A1917">
        <w:t xml:space="preserve"> the </w:t>
      </w:r>
      <w:r w:rsidRPr="001A3D2B">
        <w:t>importance</w:t>
      </w:r>
      <w:r w:rsidR="00427468">
        <w:t xml:space="preserve"> of </w:t>
      </w:r>
      <w:r w:rsidRPr="001A3D2B">
        <w:t>international scientific collaboration quite early</w:t>
      </w:r>
      <w:r w:rsidR="005853A9">
        <w:t xml:space="preserve"> and </w:t>
      </w:r>
      <w:r w:rsidRPr="001A3D2B">
        <w:t>considers it an important instrument for</w:t>
      </w:r>
      <w:r w:rsidR="003A1917">
        <w:t xml:space="preserve"> the </w:t>
      </w:r>
      <w:r w:rsidRPr="001A3D2B">
        <w:t>development</w:t>
      </w:r>
      <w:r w:rsidR="00427468">
        <w:t xml:space="preserve"> of </w:t>
      </w:r>
      <w:r w:rsidRPr="001A3D2B">
        <w:t xml:space="preserve">S&amp;T in </w:t>
      </w:r>
      <w:smartTag w:uri="urn:schemas-microsoft-com:office:smarttags" w:element="place">
        <w:smartTag w:uri="urn:schemas-microsoft-com:office:smarttags" w:element="country-region">
          <w:r w:rsidRPr="001A3D2B">
            <w:t>India</w:t>
          </w:r>
        </w:smartTag>
      </w:smartTag>
      <w:r w:rsidRPr="001A3D2B">
        <w:t xml:space="preserve">. As a result, </w:t>
      </w:r>
      <w:smartTag w:uri="urn:schemas-microsoft-com:office:smarttags" w:element="place">
        <w:smartTag w:uri="urn:schemas-microsoft-com:office:smarttags" w:element="country-region">
          <w:r w:rsidRPr="001A3D2B">
            <w:t>India</w:t>
          </w:r>
        </w:smartTag>
      </w:smartTag>
      <w:r w:rsidRPr="001A3D2B">
        <w:t xml:space="preserve"> has signed a number</w:t>
      </w:r>
      <w:r w:rsidR="00427468">
        <w:t xml:space="preserve"> of </w:t>
      </w:r>
      <w:r w:rsidRPr="001A3D2B">
        <w:t>collaboration agreements on S&amp;T with many countries, including South Asian countries. In this article, a study on</w:t>
      </w:r>
      <w:r w:rsidR="003A1917">
        <w:t xml:space="preserve"> the </w:t>
      </w:r>
      <w:r w:rsidRPr="001A3D2B">
        <w:t>outputs</w:t>
      </w:r>
      <w:r w:rsidR="00427468">
        <w:t xml:space="preserve"> of </w:t>
      </w:r>
      <w:r w:rsidRPr="001A3D2B">
        <w:t>S&amp;T collaborations is presented through</w:t>
      </w:r>
      <w:r w:rsidR="003A1917">
        <w:t xml:space="preserve"> the </w:t>
      </w:r>
      <w:r w:rsidRPr="001A3D2B">
        <w:t>analysis</w:t>
      </w:r>
      <w:r w:rsidR="00427468">
        <w:t xml:space="preserve"> of </w:t>
      </w:r>
      <w:r w:rsidRPr="001A3D2B">
        <w:t>co-authored research papers published during</w:t>
      </w:r>
      <w:r w:rsidR="003A1917">
        <w:t xml:space="preserve"> the </w:t>
      </w:r>
      <w:r w:rsidRPr="001A3D2B">
        <w:t>period 1992</w:t>
      </w:r>
      <w:smartTag w:uri="urn:schemas-microsoft-com:office:smarttags" w:element="chmetcnv">
        <w:smartTagPr>
          <w:attr w:name="UnitName" w:val="in"/>
          <w:attr w:name="SourceValue" w:val="99"/>
          <w:attr w:name="HasSpace" w:val="True"/>
          <w:attr w:name="Negative" w:val="True"/>
          <w:attr w:name="NumberType" w:val="1"/>
          <w:attr w:name="TCSC" w:val="0"/>
        </w:smartTagPr>
        <w:r w:rsidRPr="001A3D2B">
          <w:t>-99 in</w:t>
        </w:r>
      </w:smartTag>
      <w:r w:rsidR="003A1917">
        <w:t xml:space="preserve"> the </w:t>
      </w:r>
      <w:r w:rsidRPr="001A3D2B">
        <w:t>journals covered by</w:t>
      </w:r>
      <w:r w:rsidR="003A1917">
        <w:t xml:space="preserve"> the </w:t>
      </w:r>
      <w:r w:rsidRPr="001A3D2B">
        <w:t>Science Citation Index</w:t>
      </w:r>
      <w:r w:rsidR="00A37C1D">
        <w:t>. The</w:t>
      </w:r>
      <w:r w:rsidR="003A1917">
        <w:t xml:space="preserve"> </w:t>
      </w:r>
      <w:r w:rsidRPr="001A3D2B">
        <w:t>study analyses these collaborations front various angles, viz. nature, S&amp;T areas, institutions involved</w:t>
      </w:r>
      <w:r w:rsidR="005853A9">
        <w:t xml:space="preserve"> and </w:t>
      </w:r>
      <w:r w:rsidRPr="001A3D2B">
        <w:t>their impact on individual fields. It has been observed that</w:t>
      </w:r>
      <w:r w:rsidR="00427468">
        <w:t xml:space="preserve"> of </w:t>
      </w:r>
      <w:r w:rsidR="003A1917">
        <w:t xml:space="preserve">the </w:t>
      </w:r>
      <w:r w:rsidRPr="001A3D2B">
        <w:t xml:space="preserve">four South Asian countries - </w:t>
      </w:r>
      <w:smartTag w:uri="urn:schemas-microsoft-com:office:smarttags" w:element="country-region">
        <w:r w:rsidRPr="001A3D2B">
          <w:t>Bangladesh</w:t>
        </w:r>
      </w:smartTag>
      <w:r w:rsidRPr="001A3D2B">
        <w:t xml:space="preserve">, </w:t>
      </w:r>
      <w:smartTag w:uri="urn:schemas-microsoft-com:office:smarttags" w:element="country-region">
        <w:r w:rsidRPr="001A3D2B">
          <w:t>Pakistan</w:t>
        </w:r>
      </w:smartTag>
      <w:r w:rsidRPr="001A3D2B">
        <w:t>, Sri Lanka</w:t>
      </w:r>
      <w:r w:rsidR="005853A9">
        <w:t xml:space="preserve"> and </w:t>
      </w:r>
      <w:r w:rsidRPr="001A3D2B">
        <w:t xml:space="preserve">Nepal - </w:t>
      </w:r>
      <w:smartTag w:uri="urn:schemas-microsoft-com:office:smarttags" w:element="country-region">
        <w:r w:rsidRPr="001A3D2B">
          <w:t>India</w:t>
        </w:r>
      </w:smartTag>
      <w:r w:rsidRPr="001A3D2B">
        <w:t xml:space="preserve"> had stronger collaborative linkages with </w:t>
      </w:r>
      <w:smartTag w:uri="urn:schemas-microsoft-com:office:smarttags" w:element="place">
        <w:smartTag w:uri="urn:schemas-microsoft-com:office:smarttags" w:element="country-region">
          <w:r w:rsidRPr="001A3D2B">
            <w:t>Bangladesh</w:t>
          </w:r>
        </w:smartTag>
      </w:smartTag>
      <w:r w:rsidRPr="001A3D2B">
        <w:t>, covering</w:t>
      </w:r>
      <w:r w:rsidR="003A1917">
        <w:t xml:space="preserve"> the </w:t>
      </w:r>
      <w:r w:rsidRPr="001A3D2B">
        <w:t>major broad areas in S&amp;T,</w:t>
      </w:r>
      <w:r w:rsidR="005853A9">
        <w:t xml:space="preserve"> and </w:t>
      </w:r>
      <w:r w:rsidR="003A1917">
        <w:t xml:space="preserve">the </w:t>
      </w:r>
      <w:r w:rsidRPr="001A3D2B">
        <w:t>co-authored papers resulting out</w:t>
      </w:r>
      <w:r w:rsidR="00427468">
        <w:t xml:space="preserve"> of </w:t>
      </w:r>
      <w:r w:rsidRPr="001A3D2B">
        <w:t>these collaborations had high values</w:t>
      </w:r>
      <w:r w:rsidR="00427468">
        <w:t xml:space="preserve"> of </w:t>
      </w:r>
      <w:r w:rsidRPr="001A3D2B">
        <w:t>impact factor. Collaboration with other South Asian countries had been quite narrow</w:t>
      </w:r>
      <w:r w:rsidR="005853A9">
        <w:t xml:space="preserve"> and </w:t>
      </w:r>
      <w:r w:rsidRPr="001A3D2B">
        <w:t>restricted to few subject areas. Need for further cooperation is highlighted in newly emerging areas</w:t>
      </w:r>
      <w:r w:rsidR="00427468">
        <w:t xml:space="preserve"> of </w:t>
      </w:r>
      <w:r w:rsidRPr="001A3D2B">
        <w:t>ST.</w:t>
      </w:r>
    </w:p>
    <w:p w:rsidR="003474F2" w:rsidRPr="001A3D2B" w:rsidRDefault="003474F2" w:rsidP="003474F2">
      <w:pPr>
        <w:pStyle w:val="a3"/>
      </w:pPr>
      <w:r w:rsidRPr="001A3D2B">
        <w:t>Prathap, G. (2003), Cost</w:t>
      </w:r>
      <w:r w:rsidR="00427468">
        <w:t xml:space="preserve"> of </w:t>
      </w:r>
      <w:r w:rsidRPr="001A3D2B">
        <w:t>researc</w:t>
      </w:r>
      <w:r w:rsidR="00D5664A">
        <w:t>h Index</w:t>
      </w:r>
      <w:r w:rsidRPr="001A3D2B">
        <w:t xml:space="preserve">: What is an SCI paper worth? </w:t>
      </w:r>
      <w:r w:rsidRPr="001A3D2B">
        <w:rPr>
          <w:i/>
          <w:iCs/>
        </w:rPr>
        <w:t>Current Science</w:t>
      </w:r>
      <w:r w:rsidRPr="001A3D2B">
        <w:t xml:space="preserve">, </w:t>
      </w:r>
      <w:r w:rsidRPr="001A3D2B">
        <w:rPr>
          <w:b/>
          <w:bCs/>
        </w:rPr>
        <w:t>84</w:t>
      </w:r>
      <w:r w:rsidRPr="001A3D2B">
        <w:t xml:space="preserve"> (3), 258.</w:t>
      </w:r>
    </w:p>
    <w:p w:rsidR="003474F2" w:rsidRPr="001A3D2B" w:rsidRDefault="003474F2" w:rsidP="003474F2">
      <w:pPr>
        <w:pStyle w:val="a3"/>
      </w:pPr>
      <w:r w:rsidRPr="001A3D2B">
        <w:t xml:space="preserve">Full Text: </w:t>
      </w:r>
      <w:hyperlink r:id="rId1157" w:history="1">
        <w:r w:rsidRPr="001A3D2B">
          <w:rPr>
            <w:rStyle w:val="a5"/>
          </w:rPr>
          <w:t>2003\Cur Sci84, 258.pdf</w:t>
        </w:r>
      </w:hyperlink>
    </w:p>
    <w:p w:rsidR="003474F2" w:rsidRPr="001A3D2B" w:rsidRDefault="003474F2" w:rsidP="003474F2">
      <w:pPr>
        <w:pStyle w:val="a3"/>
      </w:pPr>
      <w:r w:rsidRPr="001A3D2B">
        <w:t>Keywords:</w:t>
      </w:r>
      <w:r w:rsidR="008E3069">
        <w:t xml:space="preserve"> SCI,</w:t>
      </w:r>
      <w:r w:rsidRPr="001A3D2B">
        <w:t xml:space="preserve"> Science</w:t>
      </w:r>
    </w:p>
    <w:p w:rsidR="003474F2" w:rsidRPr="001A3D2B" w:rsidRDefault="003474F2" w:rsidP="003474F2">
      <w:pPr>
        <w:pStyle w:val="a3"/>
      </w:pPr>
      <w:smartTag w:uri="urn:schemas-microsoft-com:office:smarttags" w:element="City">
        <w:r w:rsidRPr="001A3D2B">
          <w:t>Huang</w:t>
        </w:r>
      </w:smartTag>
      <w:r w:rsidRPr="001A3D2B">
        <w:t>, N.Y.</w:t>
      </w:r>
      <w:r w:rsidR="005853A9">
        <w:t xml:space="preserve"> and </w:t>
      </w:r>
      <w:r w:rsidRPr="001A3D2B">
        <w:t>Wu, Y.S. (2003), A comparative study</w:t>
      </w:r>
      <w:r w:rsidR="00427468">
        <w:t xml:space="preserve"> of </w:t>
      </w:r>
      <w:r w:rsidRPr="001A3D2B">
        <w:t>scientific</w:t>
      </w:r>
      <w:r w:rsidR="005853A9">
        <w:t xml:space="preserve"> and </w:t>
      </w:r>
      <w:r w:rsidRPr="001A3D2B">
        <w:t>technical output indicators</w:t>
      </w:r>
      <w:r w:rsidR="00427468">
        <w:t xml:space="preserve"> of </w:t>
      </w:r>
      <w:r w:rsidRPr="001A3D2B">
        <w:t>Mainland China</w:t>
      </w:r>
      <w:r w:rsidR="005853A9">
        <w:t xml:space="preserve"> and </w:t>
      </w:r>
      <w:r w:rsidRPr="001A3D2B">
        <w:t xml:space="preserve">Taiwan region. </w:t>
      </w:r>
      <w:r w:rsidRPr="001A3D2B">
        <w:rPr>
          <w:i/>
          <w:iCs/>
        </w:rPr>
        <w:t>Current Science</w:t>
      </w:r>
      <w:r w:rsidRPr="001A3D2B">
        <w:t xml:space="preserve">, </w:t>
      </w:r>
      <w:r w:rsidRPr="001A3D2B">
        <w:rPr>
          <w:b/>
          <w:bCs/>
        </w:rPr>
        <w:t>84</w:t>
      </w:r>
      <w:r w:rsidRPr="001A3D2B">
        <w:t xml:space="preserve"> (5), 634-639.</w:t>
      </w:r>
    </w:p>
    <w:p w:rsidR="003474F2" w:rsidRPr="001A3D2B" w:rsidRDefault="003474F2" w:rsidP="003474F2">
      <w:pPr>
        <w:pStyle w:val="a3"/>
      </w:pPr>
      <w:r w:rsidRPr="001A3D2B">
        <w:t xml:space="preserve">Full Text: </w:t>
      </w:r>
      <w:hyperlink r:id="rId1158" w:history="1">
        <w:r w:rsidRPr="001A3D2B">
          <w:rPr>
            <w:rStyle w:val="a5"/>
          </w:rPr>
          <w:t>2003\Cur Sci84, 634.pdf</w:t>
        </w:r>
      </w:hyperlink>
    </w:p>
    <w:p w:rsidR="003474F2" w:rsidRPr="001A3D2B" w:rsidRDefault="003474F2" w:rsidP="003474F2">
      <w:pPr>
        <w:pStyle w:val="a3"/>
      </w:pPr>
      <w:r w:rsidRPr="001A3D2B">
        <w:t>Abstract:</w:t>
      </w:r>
      <w:r w:rsidR="003A1917">
        <w:t xml:space="preserve"> the </w:t>
      </w:r>
      <w:r w:rsidRPr="001A3D2B">
        <w:t>article compares Mainland. China</w:t>
      </w:r>
      <w:r w:rsidR="005853A9">
        <w:t xml:space="preserve"> and </w:t>
      </w:r>
      <w:r w:rsidRPr="001A3D2B">
        <w:t>Taiwan region in terms</w:t>
      </w:r>
      <w:r w:rsidR="00427468">
        <w:t xml:space="preserve"> of </w:t>
      </w:r>
      <w:r w:rsidRPr="001A3D2B">
        <w:t>two kinds</w:t>
      </w:r>
      <w:r w:rsidR="00427468">
        <w:t xml:space="preserve"> of </w:t>
      </w:r>
      <w:r w:rsidRPr="001A3D2B">
        <w:t>output indicators, namely scientific output indicators represented by</w:t>
      </w:r>
      <w:r w:rsidR="003A1917">
        <w:t xml:space="preserve"> the </w:t>
      </w:r>
      <w:r w:rsidRPr="001A3D2B">
        <w:t>quantity</w:t>
      </w:r>
      <w:r w:rsidR="005853A9">
        <w:t xml:space="preserve"> and </w:t>
      </w:r>
      <w:r w:rsidR="003A1917">
        <w:t xml:space="preserve">the </w:t>
      </w:r>
      <w:r w:rsidRPr="001A3D2B">
        <w:t>citation</w:t>
      </w:r>
      <w:r w:rsidR="00427468">
        <w:t xml:space="preserve"> of </w:t>
      </w:r>
      <w:r w:rsidRPr="001A3D2B">
        <w:t>SCI papers,</w:t>
      </w:r>
      <w:r w:rsidR="005853A9">
        <w:t xml:space="preserve"> and </w:t>
      </w:r>
      <w:r w:rsidRPr="001A3D2B">
        <w:t>technical output indicator represented by</w:t>
      </w:r>
      <w:r w:rsidR="003A1917">
        <w:t xml:space="preserve"> the </w:t>
      </w:r>
      <w:r w:rsidRPr="001A3D2B">
        <w:t>number</w:t>
      </w:r>
      <w:r w:rsidR="00427468">
        <w:t xml:space="preserve"> of </w:t>
      </w:r>
      <w:r w:rsidRPr="001A3D2B">
        <w:t>patents granted by USPTO. Both indicators examined are those</w:t>
      </w:r>
      <w:r w:rsidR="00427468">
        <w:t xml:space="preserve"> of </w:t>
      </w:r>
      <w:r w:rsidR="003A1917">
        <w:t xml:space="preserve">the </w:t>
      </w:r>
      <w:r w:rsidRPr="001A3D2B">
        <w:lastRenderedPageBreak/>
        <w:t>last decade</w:t>
      </w:r>
      <w:r w:rsidR="00427468">
        <w:t xml:space="preserve"> of </w:t>
      </w:r>
      <w:r w:rsidR="003A1917">
        <w:t xml:space="preserve">the </w:t>
      </w:r>
      <w:r w:rsidRPr="001A3D2B">
        <w:t>20th century</w:t>
      </w:r>
      <w:r w:rsidR="00A37C1D">
        <w:t>. The</w:t>
      </w:r>
      <w:r w:rsidR="003A1917">
        <w:t xml:space="preserve"> </w:t>
      </w:r>
      <w:r w:rsidRPr="001A3D2B">
        <w:t>article also examines</w:t>
      </w:r>
      <w:r w:rsidR="003A1917">
        <w:t xml:space="preserve"> the </w:t>
      </w:r>
      <w:r w:rsidRPr="001A3D2B">
        <w:t>growth rate</w:t>
      </w:r>
      <w:r w:rsidR="00427468">
        <w:t xml:space="preserve"> of </w:t>
      </w:r>
      <w:r w:rsidRPr="001A3D2B">
        <w:t>these indicators. Mainland China</w:t>
      </w:r>
      <w:r w:rsidR="005853A9">
        <w:t xml:space="preserve"> and </w:t>
      </w:r>
      <w:r w:rsidRPr="001A3D2B">
        <w:t>Taiwan region showed different trends-in terms</w:t>
      </w:r>
      <w:r w:rsidR="00427468">
        <w:t xml:space="preserve"> of </w:t>
      </w:r>
      <w:r w:rsidRPr="001A3D2B">
        <w:t>S&amp;T output:</w:t>
      </w:r>
      <w:r w:rsidR="003A1917">
        <w:t xml:space="preserve"> the </w:t>
      </w:r>
      <w:r w:rsidRPr="001A3D2B">
        <w:t>scientific output</w:t>
      </w:r>
      <w:r w:rsidR="005853A9">
        <w:t xml:space="preserve"> and </w:t>
      </w:r>
      <w:r w:rsidRPr="001A3D2B">
        <w:t>technical output</w:t>
      </w:r>
      <w:r w:rsidR="00427468">
        <w:t xml:space="preserve"> of </w:t>
      </w:r>
      <w:r w:rsidRPr="001A3D2B">
        <w:t xml:space="preserve">Mainland </w:t>
      </w:r>
      <w:smartTag w:uri="urn:schemas-microsoft-com:office:smarttags" w:element="country-region">
        <w:r w:rsidRPr="001A3D2B">
          <w:t>China</w:t>
        </w:r>
      </w:smartTag>
      <w:r w:rsidRPr="001A3D2B">
        <w:t xml:space="preserve"> grew unevenly, while those</w:t>
      </w:r>
      <w:r w:rsidR="00427468">
        <w:t xml:space="preserve"> of </w:t>
      </w:r>
      <w:r w:rsidRPr="001A3D2B">
        <w:t>Taiwan region climbed evenly</w:t>
      </w:r>
      <w:r w:rsidR="005853A9">
        <w:t xml:space="preserve"> and </w:t>
      </w:r>
      <w:r w:rsidRPr="001A3D2B">
        <w:t>more quickly</w:t>
      </w:r>
      <w:r w:rsidR="00A37C1D">
        <w:t>. The</w:t>
      </w:r>
      <w:r w:rsidR="003A1917">
        <w:t xml:space="preserve"> </w:t>
      </w:r>
      <w:r w:rsidRPr="001A3D2B">
        <w:t>possible factors causing these differences between Mainland China</w:t>
      </w:r>
      <w:r w:rsidR="005853A9">
        <w:t xml:space="preserve"> and </w:t>
      </w:r>
      <w:r w:rsidRPr="001A3D2B">
        <w:t>Taiwan region, especially those related to S&amp;T policies</w:t>
      </w:r>
      <w:r w:rsidR="005853A9">
        <w:t xml:space="preserve"> and </w:t>
      </w:r>
      <w:r w:rsidRPr="001A3D2B">
        <w:t>their implementation, are discussed.</w:t>
      </w:r>
    </w:p>
    <w:p w:rsidR="003474F2" w:rsidRPr="001A3D2B" w:rsidRDefault="003474F2" w:rsidP="003474F2">
      <w:pPr>
        <w:pStyle w:val="a3"/>
      </w:pPr>
      <w:r w:rsidRPr="001A3D2B">
        <w:t>Keywords: SCI</w:t>
      </w:r>
    </w:p>
    <w:p w:rsidR="003474F2" w:rsidRPr="001A3D2B" w:rsidRDefault="003474F2" w:rsidP="003474F2">
      <w:pPr>
        <w:pStyle w:val="a3"/>
      </w:pPr>
      <w:r w:rsidRPr="001A3D2B">
        <w:t>Jain, N.C. (2003), Measuring</w:t>
      </w:r>
      <w:r w:rsidR="005853A9">
        <w:t xml:space="preserve"> and </w:t>
      </w:r>
      <w:r w:rsidRPr="001A3D2B">
        <w:t xml:space="preserve">assessing science beyond SCI. </w:t>
      </w:r>
      <w:r w:rsidRPr="001A3D2B">
        <w:rPr>
          <w:i/>
          <w:iCs/>
        </w:rPr>
        <w:t>Current Science</w:t>
      </w:r>
      <w:r w:rsidRPr="001A3D2B">
        <w:t xml:space="preserve">, </w:t>
      </w:r>
      <w:r w:rsidRPr="001A3D2B">
        <w:rPr>
          <w:b/>
          <w:bCs/>
        </w:rPr>
        <w:t>84</w:t>
      </w:r>
      <w:r w:rsidRPr="001A3D2B">
        <w:t xml:space="preserve"> (7), 863.</w:t>
      </w:r>
    </w:p>
    <w:p w:rsidR="003474F2" w:rsidRPr="001A3D2B" w:rsidRDefault="003474F2" w:rsidP="003474F2">
      <w:pPr>
        <w:pStyle w:val="a3"/>
      </w:pPr>
      <w:r w:rsidRPr="001A3D2B">
        <w:t xml:space="preserve">Full Text: </w:t>
      </w:r>
      <w:hyperlink r:id="rId1159" w:history="1">
        <w:r w:rsidRPr="001A3D2B">
          <w:rPr>
            <w:rStyle w:val="a5"/>
          </w:rPr>
          <w:t>2003\Cur Sci84, 863.pdf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Garfield, E. (2003), Measuring</w:t>
      </w:r>
      <w:r w:rsidR="005853A9">
        <w:t xml:space="preserve"> and </w:t>
      </w:r>
      <w:r w:rsidRPr="001A3D2B">
        <w:t xml:space="preserve">assessing science beyond SCI. </w:t>
      </w:r>
      <w:r w:rsidRPr="001A3D2B">
        <w:rPr>
          <w:i/>
          <w:iCs/>
        </w:rPr>
        <w:t>Current Science</w:t>
      </w:r>
      <w:r w:rsidRPr="001A3D2B">
        <w:t xml:space="preserve">, </w:t>
      </w:r>
      <w:r w:rsidRPr="001A3D2B">
        <w:rPr>
          <w:b/>
          <w:bCs/>
        </w:rPr>
        <w:t>85</w:t>
      </w:r>
      <w:r w:rsidRPr="001A3D2B">
        <w:t xml:space="preserve"> (4), 425.</w:t>
      </w:r>
    </w:p>
    <w:p w:rsidR="003474F2" w:rsidRPr="001A3D2B" w:rsidRDefault="003474F2" w:rsidP="003474F2">
      <w:pPr>
        <w:pStyle w:val="a3"/>
      </w:pPr>
      <w:r w:rsidRPr="001A3D2B">
        <w:t xml:space="preserve">Full Text: </w:t>
      </w:r>
      <w:hyperlink r:id="rId1160" w:history="1">
        <w:r w:rsidRPr="001A3D2B">
          <w:rPr>
            <w:rStyle w:val="a5"/>
          </w:rPr>
          <w:t>2003\Cur Sci85, 425.pdf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 xml:space="preserve">Prathap, G. (2003), A soft mathematical model for brain drain. </w:t>
      </w:r>
      <w:r w:rsidRPr="001A3D2B">
        <w:rPr>
          <w:i/>
          <w:iCs/>
        </w:rPr>
        <w:t>Current Science</w:t>
      </w:r>
      <w:r w:rsidRPr="001A3D2B">
        <w:t xml:space="preserve">, </w:t>
      </w:r>
      <w:r w:rsidRPr="001A3D2B">
        <w:rPr>
          <w:b/>
          <w:bCs/>
        </w:rPr>
        <w:t>85</w:t>
      </w:r>
      <w:r w:rsidRPr="001A3D2B">
        <w:t xml:space="preserve"> (5), 593-596.</w:t>
      </w:r>
    </w:p>
    <w:p w:rsidR="003474F2" w:rsidRPr="001A3D2B" w:rsidRDefault="003474F2" w:rsidP="003474F2">
      <w:pPr>
        <w:pStyle w:val="a3"/>
      </w:pPr>
      <w:r w:rsidRPr="001A3D2B">
        <w:t xml:space="preserve">Full Text: </w:t>
      </w:r>
      <w:hyperlink r:id="rId1161" w:history="1">
        <w:r w:rsidRPr="001A3D2B">
          <w:rPr>
            <w:rStyle w:val="a5"/>
          </w:rPr>
          <w:t>2003\Cur Sci85, 593.pdf</w:t>
        </w:r>
      </w:hyperlink>
    </w:p>
    <w:p w:rsidR="003474F2" w:rsidRPr="001A3D2B" w:rsidRDefault="003474F2" w:rsidP="003474F2">
      <w:pPr>
        <w:pStyle w:val="a3"/>
      </w:pPr>
      <w:r w:rsidRPr="001A3D2B">
        <w:t>Abstract: It is a widely held belief, even among senior people in</w:t>
      </w:r>
      <w:r w:rsidR="003A1917">
        <w:t xml:space="preserve"> the </w:t>
      </w:r>
      <w:r w:rsidRPr="001A3D2B">
        <w:t xml:space="preserve">government, that </w:t>
      </w:r>
      <w:smartTag w:uri="urn:schemas-microsoft-com:office:smarttags" w:element="place">
        <w:smartTag w:uri="urn:schemas-microsoft-com:office:smarttags" w:element="country-region">
          <w:r w:rsidRPr="001A3D2B">
            <w:t>India</w:t>
          </w:r>
        </w:smartTag>
      </w:smartTag>
      <w:r w:rsidRPr="001A3D2B">
        <w:t xml:space="preserve"> is a country with vast human resources</w:t>
      </w:r>
      <w:r w:rsidR="005853A9">
        <w:t xml:space="preserve"> and </w:t>
      </w:r>
      <w:r w:rsidRPr="001A3D2B">
        <w:t>that even if about 10% goes abroad after higher qualifications, it would not make a dent in</w:t>
      </w:r>
      <w:r w:rsidR="003A1917">
        <w:t xml:space="preserve"> the </w:t>
      </w:r>
      <w:r w:rsidRPr="001A3D2B">
        <w:t>country</w:t>
      </w:r>
      <w:r w:rsidR="0071223E">
        <w:t>’</w:t>
      </w:r>
      <w:r w:rsidR="00C13DDC">
        <w:t>s</w:t>
      </w:r>
      <w:r w:rsidRPr="001A3D2B">
        <w:t xml:space="preserve"> total productive potential. Implied in this argument is</w:t>
      </w:r>
      <w:r w:rsidR="003A1917">
        <w:t xml:space="preserve"> the </w:t>
      </w:r>
      <w:r w:rsidRPr="001A3D2B">
        <w:t>assumption that if 10%</w:t>
      </w:r>
      <w:r w:rsidR="00427468">
        <w:t xml:space="preserve"> of </w:t>
      </w:r>
      <w:r w:rsidR="003A1917">
        <w:t xml:space="preserve">the </w:t>
      </w:r>
      <w:r w:rsidRPr="001A3D2B">
        <w:t>human resources goes abroad, it would take away only 10%</w:t>
      </w:r>
      <w:r w:rsidR="00427468">
        <w:t xml:space="preserve"> of </w:t>
      </w:r>
      <w:r w:rsidR="003A1917">
        <w:t xml:space="preserve">the </w:t>
      </w:r>
      <w:r w:rsidRPr="001A3D2B">
        <w:t>intellectual energy in</w:t>
      </w:r>
      <w:r w:rsidR="003A1917">
        <w:t xml:space="preserve"> the </w:t>
      </w:r>
      <w:r w:rsidRPr="001A3D2B">
        <w:t>population. Is there any scientific basis for this? If a scientific, or a mathematical model were to be sought for this, how should this be done? In this article, based on some well-known power-law models used in complex systems like ecology, economics, scientometrics</w:t>
      </w:r>
      <w:r w:rsidR="005853A9">
        <w:t xml:space="preserve"> and </w:t>
      </w:r>
      <w:r w:rsidRPr="001A3D2B">
        <w:t>seismology, one can argue through a soft mathematical model that a small per cent</w:t>
      </w:r>
      <w:r w:rsidR="00427468">
        <w:t xml:space="preserve"> of </w:t>
      </w:r>
      <w:r w:rsidR="003A1917">
        <w:t xml:space="preserve">the </w:t>
      </w:r>
      <w:r w:rsidRPr="001A3D2B">
        <w:t>cream at</w:t>
      </w:r>
      <w:r w:rsidR="003A1917">
        <w:t xml:space="preserve"> the </w:t>
      </w:r>
      <w:r w:rsidRPr="001A3D2B">
        <w:t>top can take away a disproportionately large amount</w:t>
      </w:r>
      <w:r w:rsidR="00427468">
        <w:t xml:space="preserve"> of </w:t>
      </w:r>
      <w:r w:rsidRPr="001A3D2B">
        <w:t>intellectual resources.</w:t>
      </w:r>
    </w:p>
    <w:p w:rsidR="003474F2" w:rsidRPr="001A3D2B" w:rsidRDefault="003474F2" w:rsidP="003474F2">
      <w:pPr>
        <w:pStyle w:val="a3"/>
      </w:pPr>
      <w:r w:rsidRPr="001A3D2B">
        <w:t>Arunachalam, S. (2003), Use</w:t>
      </w:r>
      <w:r w:rsidR="00427468">
        <w:t xml:space="preserve"> of </w:t>
      </w:r>
      <w:r w:rsidRPr="001A3D2B">
        <w:t xml:space="preserve">SCI-based publication counts. </w:t>
      </w:r>
      <w:r w:rsidRPr="001A3D2B">
        <w:rPr>
          <w:i/>
          <w:iCs/>
        </w:rPr>
        <w:t>Current Science</w:t>
      </w:r>
      <w:r w:rsidRPr="001A3D2B">
        <w:t xml:space="preserve">, </w:t>
      </w:r>
      <w:r w:rsidRPr="001A3D2B">
        <w:rPr>
          <w:b/>
          <w:bCs/>
        </w:rPr>
        <w:t>85</w:t>
      </w:r>
      <w:r w:rsidRPr="001A3D2B">
        <w:t xml:space="preserve"> (10), 1391-1392.</w:t>
      </w:r>
    </w:p>
    <w:p w:rsidR="003474F2" w:rsidRPr="001A3D2B" w:rsidRDefault="003474F2" w:rsidP="003474F2">
      <w:pPr>
        <w:pStyle w:val="a3"/>
      </w:pPr>
      <w:r w:rsidRPr="001A3D2B">
        <w:t xml:space="preserve">Full Text: </w:t>
      </w:r>
      <w:hyperlink r:id="rId1162" w:history="1">
        <w:r w:rsidRPr="001A3D2B">
          <w:rPr>
            <w:rStyle w:val="a5"/>
          </w:rPr>
          <w:t>2003\Cur Sci85, 1391.pdf</w:t>
        </w:r>
      </w:hyperlink>
    </w:p>
    <w:p w:rsidR="003474F2" w:rsidRPr="001A3D2B" w:rsidRDefault="003474F2" w:rsidP="003474F2">
      <w:pPr>
        <w:pStyle w:val="a3"/>
      </w:pPr>
      <w:r w:rsidRPr="001A3D2B">
        <w:t>Keywords:</w:t>
      </w:r>
      <w:r w:rsidR="008E3069">
        <w:t xml:space="preserve"> SCI,</w:t>
      </w:r>
      <w:r w:rsidRPr="001A3D2B">
        <w:t xml:space="preserve"> Science</w:t>
      </w:r>
    </w:p>
    <w:p w:rsidR="003474F2" w:rsidRPr="001A3D2B" w:rsidRDefault="003474F2" w:rsidP="003474F2">
      <w:pPr>
        <w:pStyle w:val="a3"/>
      </w:pPr>
      <w:r w:rsidRPr="001A3D2B">
        <w:t>Roy, R. (2004), International citation analysis</w:t>
      </w:r>
      <w:r w:rsidR="00427468">
        <w:t xml:space="preserve"> of </w:t>
      </w:r>
      <w:r w:rsidRPr="001A3D2B">
        <w:t xml:space="preserve">materials research institutions. </w:t>
      </w:r>
      <w:r w:rsidRPr="001A3D2B">
        <w:rPr>
          <w:i/>
          <w:iCs/>
        </w:rPr>
        <w:t>Current Science</w:t>
      </w:r>
      <w:r w:rsidRPr="001A3D2B">
        <w:t xml:space="preserve">, </w:t>
      </w:r>
      <w:r w:rsidRPr="001A3D2B">
        <w:rPr>
          <w:b/>
          <w:bCs/>
        </w:rPr>
        <w:t>86</w:t>
      </w:r>
      <w:r w:rsidRPr="001A3D2B">
        <w:t xml:space="preserve"> (1), 9-10.</w:t>
      </w:r>
    </w:p>
    <w:p w:rsidR="003474F2" w:rsidRPr="001A3D2B" w:rsidRDefault="003474F2" w:rsidP="003474F2">
      <w:pPr>
        <w:pStyle w:val="a3"/>
      </w:pPr>
      <w:r w:rsidRPr="001A3D2B">
        <w:t xml:space="preserve">Full Text: </w:t>
      </w:r>
      <w:hyperlink r:id="rId1163" w:history="1">
        <w:r w:rsidRPr="001A3D2B">
          <w:rPr>
            <w:rStyle w:val="a5"/>
          </w:rPr>
          <w:t>2004\Cur Sci86, 9.pdf</w:t>
        </w:r>
      </w:hyperlink>
    </w:p>
    <w:p w:rsidR="003474F2" w:rsidRPr="001A3D2B" w:rsidRDefault="003474F2" w:rsidP="003474F2">
      <w:pPr>
        <w:pStyle w:val="a3"/>
      </w:pPr>
      <w:r w:rsidRPr="001A3D2B">
        <w:t>Balaram, P. (2004), Science, scientists</w:t>
      </w:r>
      <w:r w:rsidR="005853A9">
        <w:t xml:space="preserve"> and </w:t>
      </w:r>
      <w:r w:rsidRPr="001A3D2B">
        <w:t xml:space="preserve">scientometrics. </w:t>
      </w:r>
      <w:r w:rsidRPr="001A3D2B">
        <w:rPr>
          <w:i/>
          <w:iCs/>
        </w:rPr>
        <w:t>Current Science</w:t>
      </w:r>
      <w:r w:rsidRPr="001A3D2B">
        <w:t xml:space="preserve">, </w:t>
      </w:r>
      <w:r w:rsidRPr="001A3D2B">
        <w:rPr>
          <w:b/>
          <w:bCs/>
        </w:rPr>
        <w:t>86</w:t>
      </w:r>
      <w:r w:rsidRPr="001A3D2B">
        <w:t xml:space="preserve"> (5), 623-624.</w:t>
      </w:r>
    </w:p>
    <w:p w:rsidR="003474F2" w:rsidRPr="001A3D2B" w:rsidRDefault="003474F2" w:rsidP="003474F2">
      <w:pPr>
        <w:pStyle w:val="a3"/>
      </w:pPr>
      <w:r w:rsidRPr="001A3D2B">
        <w:lastRenderedPageBreak/>
        <w:t xml:space="preserve">Full Text: </w:t>
      </w:r>
      <w:hyperlink r:id="rId1164" w:history="1">
        <w:r w:rsidRPr="001A3D2B">
          <w:rPr>
            <w:rStyle w:val="a5"/>
          </w:rPr>
          <w:t>2004\Cur Sci86, 623.pdf</w:t>
        </w:r>
      </w:hyperlink>
    </w:p>
    <w:p w:rsidR="003474F2" w:rsidRPr="001A3D2B" w:rsidRDefault="003474F2" w:rsidP="003474F2">
      <w:pPr>
        <w:pStyle w:val="a3"/>
      </w:pPr>
      <w:r w:rsidRPr="001A3D2B">
        <w:t>Dastidar, P.G. (2004), Science Citation Index, co-citation</w:t>
      </w:r>
      <w:r w:rsidR="005853A9">
        <w:t xml:space="preserve"> and </w:t>
      </w:r>
      <w:r w:rsidR="003A1917">
        <w:t xml:space="preserve">the </w:t>
      </w:r>
      <w:r w:rsidRPr="001A3D2B">
        <w:t xml:space="preserve">scientists. </w:t>
      </w:r>
      <w:r w:rsidRPr="001A3D2B">
        <w:rPr>
          <w:i/>
          <w:iCs/>
        </w:rPr>
        <w:t>Current Science</w:t>
      </w:r>
      <w:r w:rsidRPr="001A3D2B">
        <w:t xml:space="preserve">, </w:t>
      </w:r>
      <w:r w:rsidRPr="001A3D2B">
        <w:rPr>
          <w:b/>
          <w:bCs/>
        </w:rPr>
        <w:t>86</w:t>
      </w:r>
      <w:r w:rsidRPr="001A3D2B">
        <w:t xml:space="preserve"> (5), 626.</w:t>
      </w:r>
    </w:p>
    <w:p w:rsidR="003474F2" w:rsidRPr="001A3D2B" w:rsidRDefault="003474F2" w:rsidP="003474F2">
      <w:pPr>
        <w:pStyle w:val="a3"/>
      </w:pPr>
      <w:r w:rsidRPr="001A3D2B">
        <w:t xml:space="preserve">Full Text: </w:t>
      </w:r>
      <w:hyperlink r:id="rId1165" w:history="1">
        <w:r w:rsidRPr="001A3D2B">
          <w:rPr>
            <w:rStyle w:val="a5"/>
          </w:rPr>
          <w:t>2004\Cur Sci86, 626.pdf</w:t>
        </w:r>
      </w:hyperlink>
    </w:p>
    <w:p w:rsidR="003474F2" w:rsidRPr="001A3D2B" w:rsidRDefault="003474F2" w:rsidP="003474F2">
      <w:pPr>
        <w:pStyle w:val="a3"/>
        <w:rPr>
          <w:szCs w:val="24"/>
        </w:rPr>
      </w:pPr>
      <w:r w:rsidRPr="001A3D2B">
        <w:rPr>
          <w:szCs w:val="24"/>
        </w:rPr>
        <w:t>Keywords: Citation, Co-Citation, Cocitation, MAR, Science Citation Index</w:t>
      </w:r>
    </w:p>
    <w:p w:rsidR="003474F2" w:rsidRPr="001A3D2B" w:rsidRDefault="003474F2" w:rsidP="003474F2">
      <w:pPr>
        <w:pStyle w:val="a3"/>
      </w:pPr>
      <w:r w:rsidRPr="001A3D2B">
        <w:t>Satyanarayana, K.</w:t>
      </w:r>
      <w:r w:rsidR="005853A9">
        <w:t xml:space="preserve"> and </w:t>
      </w:r>
      <w:r w:rsidRPr="001A3D2B">
        <w:t xml:space="preserve">Jain, N.C. (2004), </w:t>
      </w:r>
      <w:r w:rsidR="00D5664A">
        <w:t>Web</w:t>
      </w:r>
      <w:r w:rsidR="00427468">
        <w:t xml:space="preserve"> of </w:t>
      </w:r>
      <w:r w:rsidR="00D5664A">
        <w:t>Science</w:t>
      </w:r>
      <w:r w:rsidRPr="001A3D2B">
        <w:t>: Measuring</w:t>
      </w:r>
      <w:r w:rsidR="005853A9">
        <w:t xml:space="preserve"> and </w:t>
      </w:r>
      <w:r w:rsidRPr="001A3D2B">
        <w:t xml:space="preserve">assessing science beyond SCI. </w:t>
      </w:r>
      <w:r w:rsidRPr="001A3D2B">
        <w:rPr>
          <w:i/>
          <w:iCs/>
        </w:rPr>
        <w:t>Current Science</w:t>
      </w:r>
      <w:r w:rsidRPr="001A3D2B">
        <w:t xml:space="preserve">, </w:t>
      </w:r>
      <w:r w:rsidRPr="001A3D2B">
        <w:rPr>
          <w:b/>
          <w:bCs/>
        </w:rPr>
        <w:t>86</w:t>
      </w:r>
      <w:r w:rsidRPr="001A3D2B">
        <w:t xml:space="preserve"> (5), 627-629.</w:t>
      </w:r>
    </w:p>
    <w:p w:rsidR="003474F2" w:rsidRPr="001A3D2B" w:rsidRDefault="003474F2" w:rsidP="003474F2">
      <w:pPr>
        <w:pStyle w:val="a3"/>
      </w:pPr>
      <w:r w:rsidRPr="001A3D2B">
        <w:t xml:space="preserve">Full Text: </w:t>
      </w:r>
      <w:hyperlink r:id="rId1166" w:history="1">
        <w:r w:rsidRPr="001A3D2B">
          <w:rPr>
            <w:rStyle w:val="a5"/>
          </w:rPr>
          <w:t>2004\Cur Sci86, 627.pdf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 xml:space="preserve">Garfield, E. (2004), </w:t>
      </w:r>
      <w:r w:rsidR="00D5664A">
        <w:t>Web</w:t>
      </w:r>
      <w:r w:rsidR="00427468">
        <w:t xml:space="preserve"> of </w:t>
      </w:r>
      <w:r w:rsidR="00D5664A">
        <w:t>Science</w:t>
      </w:r>
      <w:r w:rsidRPr="001A3D2B">
        <w:t>: Measuring</w:t>
      </w:r>
      <w:r w:rsidR="005853A9">
        <w:t xml:space="preserve"> and </w:t>
      </w:r>
      <w:r w:rsidRPr="001A3D2B">
        <w:t xml:space="preserve">assessing science beyond SCI - Response. </w:t>
      </w:r>
      <w:r w:rsidRPr="001A3D2B">
        <w:rPr>
          <w:i/>
          <w:iCs/>
        </w:rPr>
        <w:t>Current Science</w:t>
      </w:r>
      <w:r w:rsidRPr="001A3D2B">
        <w:t xml:space="preserve">, </w:t>
      </w:r>
      <w:r w:rsidRPr="001A3D2B">
        <w:rPr>
          <w:b/>
          <w:bCs/>
        </w:rPr>
        <w:t>86</w:t>
      </w:r>
      <w:r w:rsidRPr="001A3D2B">
        <w:t xml:space="preserve"> (5), 629.</w:t>
      </w:r>
    </w:p>
    <w:p w:rsidR="003474F2" w:rsidRPr="001A3D2B" w:rsidRDefault="003474F2" w:rsidP="003474F2">
      <w:pPr>
        <w:pStyle w:val="a3"/>
      </w:pPr>
      <w:r w:rsidRPr="001A3D2B">
        <w:t xml:space="preserve">Full Text: </w:t>
      </w:r>
      <w:hyperlink r:id="rId1167" w:history="1">
        <w:r w:rsidRPr="001A3D2B">
          <w:rPr>
            <w:rStyle w:val="a5"/>
          </w:rPr>
          <w:t>2004\Cur Sci86, 629.pdf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 xml:space="preserve">Arunachalam, S. (2004), Science in </w:t>
      </w:r>
      <w:smartTag w:uri="urn:schemas-microsoft-com:office:smarttags" w:element="place">
        <w:smartTag w:uri="urn:schemas-microsoft-com:office:smarttags" w:element="country-region">
          <w:r w:rsidRPr="001A3D2B">
            <w:t>India</w:t>
          </w:r>
        </w:smartTag>
      </w:smartTag>
      <w:r w:rsidRPr="001A3D2B">
        <w:t xml:space="preserve"> - Reply. </w:t>
      </w:r>
      <w:r w:rsidRPr="001A3D2B">
        <w:rPr>
          <w:i/>
          <w:iCs/>
        </w:rPr>
        <w:t>Current Science</w:t>
      </w:r>
      <w:r w:rsidRPr="001A3D2B">
        <w:t xml:space="preserve">, </w:t>
      </w:r>
      <w:r w:rsidRPr="001A3D2B">
        <w:rPr>
          <w:b/>
          <w:bCs/>
        </w:rPr>
        <w:t>86</w:t>
      </w:r>
      <w:r w:rsidRPr="001A3D2B">
        <w:t xml:space="preserve"> (9), 1197-1198.</w:t>
      </w:r>
    </w:p>
    <w:p w:rsidR="003474F2" w:rsidRPr="001A3D2B" w:rsidRDefault="003474F2" w:rsidP="003474F2">
      <w:pPr>
        <w:pStyle w:val="a3"/>
      </w:pPr>
      <w:r w:rsidRPr="001A3D2B">
        <w:t xml:space="preserve">Full Text: </w:t>
      </w:r>
      <w:hyperlink r:id="rId1168" w:history="1">
        <w:r w:rsidRPr="001A3D2B">
          <w:rPr>
            <w:rStyle w:val="a5"/>
          </w:rPr>
          <w:t>2004\Cur Sci86, 1197.pdf</w:t>
        </w:r>
      </w:hyperlink>
    </w:p>
    <w:p w:rsidR="003474F2" w:rsidRPr="001A3D2B" w:rsidRDefault="003474F2" w:rsidP="003474F2">
      <w:pPr>
        <w:pStyle w:val="a3"/>
      </w:pPr>
      <w:r w:rsidRPr="001A3D2B">
        <w:t>Keywords: SCI</w:t>
      </w:r>
    </w:p>
    <w:p w:rsidR="003474F2" w:rsidRPr="001A3D2B" w:rsidRDefault="003474F2" w:rsidP="003474F2">
      <w:pPr>
        <w:pStyle w:val="a3"/>
      </w:pPr>
      <w:r w:rsidRPr="001A3D2B">
        <w:t>Prathap, G. (2004), Cost</w:t>
      </w:r>
      <w:r w:rsidR="00427468">
        <w:t xml:space="preserve"> of </w:t>
      </w:r>
      <w:r w:rsidRPr="001A3D2B">
        <w:t>researc</w:t>
      </w:r>
      <w:r w:rsidR="00D5664A">
        <w:t>h Index</w:t>
      </w:r>
      <w:r w:rsidRPr="001A3D2B">
        <w:t xml:space="preserve">: What is an SCI paper worth? </w:t>
      </w:r>
      <w:r w:rsidRPr="001A3D2B">
        <w:rPr>
          <w:i/>
          <w:iCs/>
        </w:rPr>
        <w:t>Current Science</w:t>
      </w:r>
      <w:r w:rsidRPr="001A3D2B">
        <w:t xml:space="preserve">, </w:t>
      </w:r>
      <w:r w:rsidRPr="001A3D2B">
        <w:rPr>
          <w:b/>
          <w:bCs/>
        </w:rPr>
        <w:t>86</w:t>
      </w:r>
      <w:r w:rsidRPr="001A3D2B">
        <w:t xml:space="preserve"> (11), 1469.</w:t>
      </w:r>
    </w:p>
    <w:p w:rsidR="003474F2" w:rsidRPr="001A3D2B" w:rsidRDefault="003474F2" w:rsidP="003474F2">
      <w:pPr>
        <w:pStyle w:val="a3"/>
      </w:pPr>
      <w:r w:rsidRPr="001A3D2B">
        <w:t xml:space="preserve">Full Text: </w:t>
      </w:r>
      <w:hyperlink r:id="rId1169" w:history="1">
        <w:r w:rsidRPr="001A3D2B">
          <w:rPr>
            <w:rStyle w:val="a5"/>
          </w:rPr>
          <w:t>2004\Cur Sci86, 1469.pdf</w:t>
        </w:r>
      </w:hyperlink>
    </w:p>
    <w:p w:rsidR="003474F2" w:rsidRPr="001A3D2B" w:rsidRDefault="003474F2" w:rsidP="003474F2">
      <w:pPr>
        <w:pStyle w:val="a3"/>
      </w:pPr>
      <w:r w:rsidRPr="001A3D2B">
        <w:t>Bhatt, D.K. (2004), Reply to</w:t>
      </w:r>
      <w:r w:rsidR="003A1917">
        <w:t xml:space="preserve"> the </w:t>
      </w:r>
      <w:r w:rsidRPr="001A3D2B">
        <w:t>comments by: Mathur (Curr</w:t>
      </w:r>
      <w:r w:rsidR="008E3069">
        <w:t xml:space="preserve"> SCI,</w:t>
      </w:r>
      <w:r w:rsidRPr="001A3D2B">
        <w:t xml:space="preserve"> 2004, 86, 761-762). </w:t>
      </w:r>
      <w:r w:rsidRPr="001A3D2B">
        <w:rPr>
          <w:i/>
          <w:iCs/>
        </w:rPr>
        <w:t>Current Science</w:t>
      </w:r>
      <w:r w:rsidRPr="001A3D2B">
        <w:t xml:space="preserve">, </w:t>
      </w:r>
      <w:r w:rsidRPr="001A3D2B">
        <w:rPr>
          <w:b/>
          <w:bCs/>
        </w:rPr>
        <w:t>86</w:t>
      </w:r>
      <w:r w:rsidRPr="001A3D2B">
        <w:t xml:space="preserve"> (11), 1470.</w:t>
      </w:r>
    </w:p>
    <w:p w:rsidR="003474F2" w:rsidRPr="001A3D2B" w:rsidRDefault="003474F2" w:rsidP="003474F2">
      <w:pPr>
        <w:pStyle w:val="a3"/>
      </w:pPr>
      <w:r w:rsidRPr="001A3D2B">
        <w:t xml:space="preserve">Full Text: </w:t>
      </w:r>
      <w:hyperlink r:id="rId1170" w:history="1">
        <w:r w:rsidRPr="001A3D2B">
          <w:rPr>
            <w:rStyle w:val="a5"/>
          </w:rPr>
          <w:t>2004\Cur Sci86, 1470.pdf</w:t>
        </w:r>
      </w:hyperlink>
    </w:p>
    <w:p w:rsidR="003474F2" w:rsidRPr="001A3D2B" w:rsidRDefault="003474F2" w:rsidP="003474F2">
      <w:pPr>
        <w:pStyle w:val="a3"/>
      </w:pPr>
      <w:r w:rsidRPr="001A3D2B">
        <w:t>? Prathap, G. (2005), Who</w:t>
      </w:r>
      <w:r w:rsidR="0071223E">
        <w:t>’</w:t>
      </w:r>
      <w:r w:rsidR="00C13DDC">
        <w:t>s</w:t>
      </w:r>
      <w:r w:rsidRPr="001A3D2B">
        <w:t xml:space="preserve"> afraid</w:t>
      </w:r>
      <w:r w:rsidR="00427468">
        <w:t xml:space="preserve"> of </w:t>
      </w:r>
      <w:r w:rsidRPr="001A3D2B">
        <w:t xml:space="preserve">research assessment? </w:t>
      </w:r>
      <w:r w:rsidRPr="001A3D2B">
        <w:rPr>
          <w:i/>
          <w:iCs/>
        </w:rPr>
        <w:t>Current Science</w:t>
      </w:r>
      <w:r w:rsidRPr="001A3D2B">
        <w:t xml:space="preserve">, </w:t>
      </w:r>
      <w:r w:rsidRPr="001A3D2B">
        <w:rPr>
          <w:b/>
          <w:bCs/>
        </w:rPr>
        <w:t>88</w:t>
      </w:r>
      <w:r w:rsidRPr="001A3D2B">
        <w:t xml:space="preserve"> (1), 14-17.</w:t>
      </w:r>
    </w:p>
    <w:p w:rsidR="003474F2" w:rsidRPr="001A3D2B" w:rsidRDefault="003474F2" w:rsidP="003474F2">
      <w:pPr>
        <w:pStyle w:val="a3"/>
      </w:pPr>
      <w:r w:rsidRPr="001A3D2B">
        <w:t xml:space="preserve">Full Text: </w:t>
      </w:r>
      <w:hyperlink r:id="rId1171" w:history="1">
        <w:r w:rsidRPr="001A3D2B">
          <w:rPr>
            <w:rStyle w:val="a5"/>
          </w:rPr>
          <w:t>2005\Cur Sci88, 14.pdf</w:t>
        </w:r>
      </w:hyperlink>
    </w:p>
    <w:p w:rsidR="003474F2" w:rsidRPr="001A3D2B" w:rsidRDefault="003474F2" w:rsidP="003474F2">
      <w:pPr>
        <w:pStyle w:val="a3"/>
      </w:pPr>
      <w:r w:rsidRPr="001A3D2B">
        <w:t>Abstract: Although</w:t>
      </w:r>
      <w:r w:rsidR="003A1917">
        <w:t xml:space="preserve"> the </w:t>
      </w:r>
      <w:r w:rsidRPr="001A3D2B">
        <w:t>field</w:t>
      </w:r>
      <w:r w:rsidR="00427468">
        <w:t xml:space="preserve"> of </w:t>
      </w:r>
      <w:r w:rsidRPr="001A3D2B">
        <w:t>scientometrics now offers well-tested procedures for some measure</w:t>
      </w:r>
      <w:r w:rsidR="00427468">
        <w:t xml:space="preserve"> of </w:t>
      </w:r>
      <w:r w:rsidRPr="001A3D2B">
        <w:t>quantitative assessment</w:t>
      </w:r>
      <w:r w:rsidR="00427468">
        <w:t xml:space="preserve"> of </w:t>
      </w:r>
      <w:r w:rsidRPr="001A3D2B">
        <w:t>research performance, these are largely left unused in our country when we attempt exercises to assess</w:t>
      </w:r>
      <w:r w:rsidR="003A1917">
        <w:t xml:space="preserve"> the </w:t>
      </w:r>
      <w:r w:rsidRPr="001A3D2B">
        <w:t>performance</w:t>
      </w:r>
      <w:r w:rsidR="00427468">
        <w:t xml:space="preserve"> of </w:t>
      </w:r>
      <w:r w:rsidRPr="001A3D2B">
        <w:t>individuals or institutions. This is baffling in a country that is so comfortable with its obsession with cricket</w:t>
      </w:r>
      <w:r w:rsidR="005853A9">
        <w:t xml:space="preserve"> and </w:t>
      </w:r>
      <w:r w:rsidRPr="001A3D2B">
        <w:t>cricket statistics</w:t>
      </w:r>
      <w:r w:rsidR="00A37C1D">
        <w:t>. The</w:t>
      </w:r>
      <w:r w:rsidR="003A1917">
        <w:t xml:space="preserve"> </w:t>
      </w:r>
      <w:r w:rsidRPr="001A3D2B">
        <w:t>present analysis is based on data from</w:t>
      </w:r>
      <w:r w:rsidR="003A1917">
        <w:t xml:space="preserve"> the </w:t>
      </w:r>
      <w:r w:rsidRPr="001A3D2B">
        <w:t>SCOPUS database,</w:t>
      </w:r>
      <w:r w:rsidR="005853A9">
        <w:t xml:space="preserve"> and </w:t>
      </w:r>
      <w:r w:rsidRPr="001A3D2B">
        <w:t>this approach has</w:t>
      </w:r>
      <w:r w:rsidR="003A1917">
        <w:t xml:space="preserve"> the </w:t>
      </w:r>
      <w:r w:rsidRPr="001A3D2B">
        <w:t>potential to offer interesting sociological insights into</w:t>
      </w:r>
      <w:r w:rsidR="003A1917">
        <w:t xml:space="preserve"> the </w:t>
      </w:r>
      <w:r w:rsidRPr="001A3D2B">
        <w:t>scientific productivity</w:t>
      </w:r>
      <w:r w:rsidR="00427468">
        <w:t xml:space="preserve"> of </w:t>
      </w:r>
      <w:r w:rsidRPr="001A3D2B">
        <w:t>individuals, research institutes</w:t>
      </w:r>
      <w:r w:rsidR="005853A9">
        <w:t xml:space="preserve"> and </w:t>
      </w:r>
      <w:r w:rsidRPr="001A3D2B">
        <w:t>research agencies.</w:t>
      </w:r>
    </w:p>
    <w:p w:rsidR="003474F2" w:rsidRPr="001A3D2B" w:rsidRDefault="003474F2" w:rsidP="003474F2">
      <w:pPr>
        <w:pStyle w:val="a3"/>
      </w:pPr>
      <w:r w:rsidRPr="001A3D2B">
        <w:t>Keywords: Research, Research Performance, Scientometrics</w:t>
      </w:r>
    </w:p>
    <w:p w:rsidR="003474F2" w:rsidRPr="001A3D2B" w:rsidRDefault="003474F2" w:rsidP="003474F2">
      <w:pPr>
        <w:pStyle w:val="a3"/>
        <w:rPr>
          <w:szCs w:val="24"/>
        </w:rPr>
      </w:pPr>
      <w:r w:rsidRPr="001A3D2B">
        <w:t xml:space="preserve">? Jain, N.C. (2005), Scopus(TM) has wider scope than Science Citation Index. </w:t>
      </w:r>
      <w:r w:rsidRPr="001A3D2B">
        <w:rPr>
          <w:i/>
          <w:iCs/>
        </w:rPr>
        <w:t>Current Science</w:t>
      </w:r>
      <w:r w:rsidRPr="001A3D2B">
        <w:t xml:space="preserve">, </w:t>
      </w:r>
      <w:r w:rsidRPr="001A3D2B">
        <w:rPr>
          <w:b/>
          <w:bCs/>
        </w:rPr>
        <w:t>88</w:t>
      </w:r>
      <w:r w:rsidRPr="001A3D2B">
        <w:rPr>
          <w:szCs w:val="24"/>
        </w:rPr>
        <w:t xml:space="preserve"> (3), 331.</w:t>
      </w:r>
    </w:p>
    <w:p w:rsidR="003474F2" w:rsidRPr="001A3D2B" w:rsidRDefault="003474F2" w:rsidP="003474F2">
      <w:pPr>
        <w:pStyle w:val="a3"/>
      </w:pPr>
      <w:r w:rsidRPr="001A3D2B">
        <w:t xml:space="preserve">Full Text: </w:t>
      </w:r>
      <w:hyperlink r:id="rId1172" w:history="1">
        <w:r w:rsidRPr="001A3D2B">
          <w:rPr>
            <w:rStyle w:val="a5"/>
          </w:rPr>
          <w:t>2005\Cur Sci88, 331.pdf</w:t>
        </w:r>
      </w:hyperlink>
    </w:p>
    <w:p w:rsidR="003474F2" w:rsidRPr="001A3D2B" w:rsidRDefault="003474F2" w:rsidP="003474F2">
      <w:pPr>
        <w:pStyle w:val="a3"/>
        <w:rPr>
          <w:szCs w:val="24"/>
        </w:rPr>
      </w:pPr>
      <w:r w:rsidRPr="001A3D2B">
        <w:rPr>
          <w:szCs w:val="24"/>
        </w:rPr>
        <w:t>Keywords: Citation</w:t>
      </w:r>
      <w:r w:rsidR="00D5664A">
        <w:rPr>
          <w:szCs w:val="24"/>
        </w:rPr>
        <w:t>, SCI,</w:t>
      </w:r>
      <w:r w:rsidRPr="001A3D2B">
        <w:rPr>
          <w:szCs w:val="24"/>
        </w:rPr>
        <w:t xml:space="preserve"> Science Citation Index, Scope</w:t>
      </w:r>
    </w:p>
    <w:p w:rsidR="003474F2" w:rsidRPr="001A3D2B" w:rsidRDefault="003474F2" w:rsidP="003474F2">
      <w:pPr>
        <w:pStyle w:val="a3"/>
      </w:pPr>
      <w:r w:rsidRPr="001A3D2B">
        <w:t>Kumaran, K. (2005), Status</w:t>
      </w:r>
      <w:r w:rsidR="00427468">
        <w:t xml:space="preserve"> of </w:t>
      </w:r>
      <w:r w:rsidRPr="001A3D2B">
        <w:t>Current Science in dissemination</w:t>
      </w:r>
      <w:r w:rsidR="00427468">
        <w:t xml:space="preserve"> of </w:t>
      </w:r>
      <w:r w:rsidRPr="001A3D2B">
        <w:t xml:space="preserve">knowledge. </w:t>
      </w:r>
      <w:r w:rsidRPr="001A3D2B">
        <w:rPr>
          <w:i/>
          <w:iCs/>
        </w:rPr>
        <w:t xml:space="preserve">Current </w:t>
      </w:r>
      <w:r w:rsidRPr="001A3D2B">
        <w:rPr>
          <w:i/>
          <w:iCs/>
        </w:rPr>
        <w:lastRenderedPageBreak/>
        <w:t>Science</w:t>
      </w:r>
      <w:r w:rsidRPr="001A3D2B">
        <w:t xml:space="preserve">, </w:t>
      </w:r>
      <w:r w:rsidRPr="001A3D2B">
        <w:rPr>
          <w:b/>
          <w:bCs/>
        </w:rPr>
        <w:t>88</w:t>
      </w:r>
      <w:r w:rsidRPr="001A3D2B">
        <w:t xml:space="preserve"> (5), 677.</w:t>
      </w:r>
    </w:p>
    <w:p w:rsidR="003474F2" w:rsidRPr="001A3D2B" w:rsidRDefault="003474F2" w:rsidP="003474F2">
      <w:pPr>
        <w:pStyle w:val="a3"/>
      </w:pPr>
      <w:r w:rsidRPr="001A3D2B">
        <w:t xml:space="preserve">Full Text: </w:t>
      </w:r>
      <w:hyperlink r:id="rId1173" w:history="1">
        <w:r w:rsidRPr="001A3D2B">
          <w:rPr>
            <w:rStyle w:val="a5"/>
          </w:rPr>
          <w:t>2005\Cur Sci88, 677.pdf</w:t>
        </w:r>
      </w:hyperlink>
    </w:p>
    <w:p w:rsidR="003474F2" w:rsidRPr="001A3D2B" w:rsidRDefault="003474F2" w:rsidP="003474F2">
      <w:pPr>
        <w:pStyle w:val="a3"/>
      </w:pPr>
      <w:r w:rsidRPr="001A3D2B">
        <w:t>? Prathap, G. (2005), Assessment</w:t>
      </w:r>
      <w:r w:rsidR="00427468">
        <w:t xml:space="preserve"> of </w:t>
      </w:r>
      <w:r w:rsidRPr="001A3D2B">
        <w:t xml:space="preserve">academic aeronautical research in </w:t>
      </w:r>
      <w:smartTag w:uri="urn:schemas-microsoft-com:office:smarttags" w:element="place">
        <w:smartTag w:uri="urn:schemas-microsoft-com:office:smarttags" w:element="country-region">
          <w:r w:rsidRPr="001A3D2B">
            <w:t>India</w:t>
          </w:r>
        </w:smartTag>
      </w:smartTag>
      <w:r w:rsidRPr="001A3D2B">
        <w:t xml:space="preserve">. </w:t>
      </w:r>
      <w:r w:rsidRPr="001A3D2B">
        <w:rPr>
          <w:i/>
          <w:iCs/>
        </w:rPr>
        <w:t>Current Science</w:t>
      </w:r>
      <w:r w:rsidRPr="001A3D2B">
        <w:t xml:space="preserve">, </w:t>
      </w:r>
      <w:r w:rsidRPr="001A3D2B">
        <w:rPr>
          <w:b/>
          <w:bCs/>
        </w:rPr>
        <w:t>88</w:t>
      </w:r>
      <w:r w:rsidRPr="001A3D2B">
        <w:t xml:space="preserve"> (12), 1880-1882.</w:t>
      </w:r>
    </w:p>
    <w:p w:rsidR="003474F2" w:rsidRPr="001A3D2B" w:rsidRDefault="003474F2" w:rsidP="003474F2">
      <w:pPr>
        <w:pStyle w:val="a3"/>
      </w:pPr>
      <w:r w:rsidRPr="001A3D2B">
        <w:t xml:space="preserve">Full Text: </w:t>
      </w:r>
      <w:hyperlink r:id="rId1174" w:history="1">
        <w:r w:rsidRPr="001A3D2B">
          <w:rPr>
            <w:rStyle w:val="a5"/>
          </w:rPr>
          <w:t>2005\Cur Sci88, 1880.pdf</w:t>
        </w:r>
      </w:hyperlink>
    </w:p>
    <w:p w:rsidR="003474F2" w:rsidRPr="001A3D2B" w:rsidRDefault="003474F2" w:rsidP="003474F2">
      <w:pPr>
        <w:pStyle w:val="a3"/>
      </w:pPr>
      <w:r w:rsidRPr="001A3D2B">
        <w:t>Abstract: Academic research in</w:t>
      </w:r>
      <w:r w:rsidR="003A1917">
        <w:t xml:space="preserve"> the </w:t>
      </w:r>
      <w:r w:rsidRPr="001A3D2B">
        <w:t>aeronautical sector is confined to a narrow base. Scientometric data allow a quantitative assessment</w:t>
      </w:r>
      <w:r w:rsidR="00427468">
        <w:t xml:space="preserve"> of </w:t>
      </w:r>
      <w:r w:rsidRPr="001A3D2B">
        <w:t>this to be made</w:t>
      </w:r>
      <w:r w:rsidR="00A37C1D">
        <w:t>. The</w:t>
      </w:r>
      <w:r w:rsidR="003A1917">
        <w:t xml:space="preserve"> </w:t>
      </w:r>
      <w:r w:rsidRPr="001A3D2B">
        <w:t>current status</w:t>
      </w:r>
      <w:r w:rsidR="00427468">
        <w:t xml:space="preserve"> of </w:t>
      </w:r>
      <w:r w:rsidRPr="001A3D2B">
        <w:t>aeronautical research shows that many departments</w:t>
      </w:r>
      <w:r w:rsidR="00427468">
        <w:t xml:space="preserve"> of </w:t>
      </w:r>
      <w:r w:rsidRPr="001A3D2B">
        <w:t>aerospace engineering are working in a fragmented manner</w:t>
      </w:r>
      <w:r w:rsidR="005853A9">
        <w:t xml:space="preserve"> and </w:t>
      </w:r>
      <w:r w:rsidRPr="001A3D2B">
        <w:t>that for</w:t>
      </w:r>
      <w:r w:rsidR="003A1917">
        <w:t xml:space="preserve"> the </w:t>
      </w:r>
      <w:r w:rsidRPr="001A3D2B">
        <w:t>aeronautical research base to contribute significantly to</w:t>
      </w:r>
      <w:r w:rsidR="003A1917">
        <w:t xml:space="preserve"> the </w:t>
      </w:r>
      <w:r w:rsidRPr="001A3D2B">
        <w:t>strategic development sector, it must be consolidated</w:t>
      </w:r>
      <w:r w:rsidR="005853A9">
        <w:t xml:space="preserve"> and </w:t>
      </w:r>
      <w:r w:rsidRPr="001A3D2B">
        <w:t>increased in strength.</w:t>
      </w:r>
    </w:p>
    <w:p w:rsidR="003474F2" w:rsidRPr="001A3D2B" w:rsidRDefault="003474F2" w:rsidP="003474F2">
      <w:pPr>
        <w:pStyle w:val="a3"/>
      </w:pPr>
      <w:r w:rsidRPr="001A3D2B">
        <w:t>Keywords: Development, Research</w:t>
      </w:r>
    </w:p>
    <w:p w:rsidR="003474F2" w:rsidRPr="001A3D2B" w:rsidRDefault="003474F2" w:rsidP="003474F2">
      <w:pPr>
        <w:pStyle w:val="a3"/>
      </w:pPr>
      <w:r w:rsidRPr="001A3D2B">
        <w:t>? Leydesdorff, L. (2005), Evaluation</w:t>
      </w:r>
      <w:r w:rsidR="00427468">
        <w:t xml:space="preserve"> of </w:t>
      </w:r>
      <w:r w:rsidRPr="001A3D2B">
        <w:t>research</w:t>
      </w:r>
      <w:r w:rsidR="005853A9">
        <w:t xml:space="preserve"> and </w:t>
      </w:r>
      <w:r w:rsidRPr="001A3D2B">
        <w:t>evolution</w:t>
      </w:r>
      <w:r w:rsidR="00427468">
        <w:t xml:space="preserve"> of </w:t>
      </w:r>
      <w:r w:rsidRPr="001A3D2B">
        <w:t xml:space="preserve">science indicators. </w:t>
      </w:r>
      <w:r w:rsidRPr="001A3D2B">
        <w:rPr>
          <w:i/>
          <w:iCs/>
        </w:rPr>
        <w:t>Current Science</w:t>
      </w:r>
      <w:r w:rsidRPr="001A3D2B">
        <w:t xml:space="preserve">, </w:t>
      </w:r>
      <w:r w:rsidRPr="001A3D2B">
        <w:rPr>
          <w:b/>
          <w:bCs/>
        </w:rPr>
        <w:t>89</w:t>
      </w:r>
      <w:r w:rsidRPr="001A3D2B">
        <w:t xml:space="preserve"> (9), 1510-1517.</w:t>
      </w:r>
    </w:p>
    <w:p w:rsidR="003474F2" w:rsidRPr="001A3D2B" w:rsidRDefault="003474F2" w:rsidP="003474F2">
      <w:pPr>
        <w:pStyle w:val="a3"/>
      </w:pPr>
      <w:r w:rsidRPr="001A3D2B">
        <w:t xml:space="preserve">Full Text: </w:t>
      </w:r>
      <w:hyperlink r:id="rId1175" w:history="1">
        <w:r w:rsidRPr="001A3D2B">
          <w:rPr>
            <w:rStyle w:val="a5"/>
          </w:rPr>
          <w:t>2005\Cur Sci89, 1510.pdf</w:t>
        </w:r>
      </w:hyperlink>
    </w:p>
    <w:p w:rsidR="003474F2" w:rsidRPr="001A3D2B" w:rsidRDefault="003474F2" w:rsidP="003474F2">
      <w:pPr>
        <w:pStyle w:val="a3"/>
      </w:pPr>
      <w:r w:rsidRPr="001A3D2B">
        <w:t>Keywords: Assessments, British Science, Collaboration, Decline, Evaluation, Innovation, Patterns, Performance, Policy Decision, Research, Research Evolution, Science Indicators, Scientometrics, Systems</w:t>
      </w:r>
    </w:p>
    <w:p w:rsidR="003474F2" w:rsidRPr="001A3D2B" w:rsidRDefault="003474F2" w:rsidP="003474F2">
      <w:pPr>
        <w:pStyle w:val="a3"/>
      </w:pPr>
      <w:r w:rsidRPr="001A3D2B">
        <w:t>? Scharnhorst, A.</w:t>
      </w:r>
      <w:r w:rsidR="005853A9">
        <w:t xml:space="preserve"> and </w:t>
      </w:r>
      <w:r w:rsidRPr="001A3D2B">
        <w:t>Thelwall, M. (2005), Citation</w:t>
      </w:r>
      <w:r w:rsidR="005853A9">
        <w:t xml:space="preserve"> and </w:t>
      </w:r>
      <w:r w:rsidRPr="001A3D2B">
        <w:t xml:space="preserve">hyperlink networks. </w:t>
      </w:r>
      <w:r w:rsidRPr="001A3D2B">
        <w:rPr>
          <w:i/>
          <w:iCs/>
        </w:rPr>
        <w:t>Current Science</w:t>
      </w:r>
      <w:r w:rsidRPr="001A3D2B">
        <w:t xml:space="preserve">, </w:t>
      </w:r>
      <w:r w:rsidRPr="001A3D2B">
        <w:rPr>
          <w:b/>
          <w:bCs/>
        </w:rPr>
        <w:t>89</w:t>
      </w:r>
      <w:r w:rsidRPr="001A3D2B">
        <w:t xml:space="preserve"> (9), 1518-1523.</w:t>
      </w:r>
    </w:p>
    <w:p w:rsidR="003474F2" w:rsidRPr="001A3D2B" w:rsidRDefault="003474F2" w:rsidP="003474F2">
      <w:pPr>
        <w:pStyle w:val="a3"/>
      </w:pPr>
      <w:r w:rsidRPr="001A3D2B">
        <w:t xml:space="preserve">Full Text: </w:t>
      </w:r>
      <w:hyperlink r:id="rId1176" w:history="1">
        <w:r w:rsidRPr="001A3D2B">
          <w:rPr>
            <w:rStyle w:val="a5"/>
          </w:rPr>
          <w:t>2005\Cur Sci89, 1518.pdf</w:t>
        </w:r>
      </w:hyperlink>
    </w:p>
    <w:p w:rsidR="003474F2" w:rsidRPr="001A3D2B" w:rsidRDefault="003474F2" w:rsidP="003474F2">
      <w:pPr>
        <w:pStyle w:val="a3"/>
      </w:pPr>
      <w:r w:rsidRPr="001A3D2B">
        <w:t>Keywords: Academic-Institutions, Author Cocitation, Bibliometrics, Citation, Co-Authorship Networks, Collaboration, Complex Networks, Hyperlink Networks, Impact-Factors, Knowledge, Linking, Scholarly Communication, Science, Web Site Interlinking</w:t>
      </w:r>
    </w:p>
    <w:p w:rsidR="003474F2" w:rsidRPr="001A3D2B" w:rsidRDefault="003474F2" w:rsidP="003474F2">
      <w:pPr>
        <w:pStyle w:val="a3"/>
      </w:pPr>
      <w:r w:rsidRPr="001A3D2B">
        <w:t>? Roth, D.L. (2005</w:t>
      </w:r>
      <w:r w:rsidR="00F42EAC">
        <w:t>), The</w:t>
      </w:r>
      <w:r w:rsidR="003A1917">
        <w:t xml:space="preserve"> </w:t>
      </w:r>
      <w:r w:rsidRPr="001A3D2B">
        <w:t>emergence</w:t>
      </w:r>
      <w:r w:rsidR="00427468">
        <w:t xml:space="preserve"> of </w:t>
      </w:r>
      <w:r w:rsidRPr="001A3D2B">
        <w:t>competitors to</w:t>
      </w:r>
      <w:r w:rsidR="003A1917">
        <w:t xml:space="preserve"> the </w:t>
      </w:r>
      <w:r w:rsidRPr="001A3D2B">
        <w:rPr>
          <w:i/>
        </w:rPr>
        <w:t>Science Citation Index</w:t>
      </w:r>
      <w:r w:rsidR="005853A9">
        <w:t xml:space="preserve"> and </w:t>
      </w:r>
      <w:r w:rsidR="003A1917">
        <w:t xml:space="preserve">the </w:t>
      </w:r>
      <w:r w:rsidR="00D5664A">
        <w:rPr>
          <w:i/>
        </w:rPr>
        <w:t>Web</w:t>
      </w:r>
      <w:r w:rsidR="00427468">
        <w:rPr>
          <w:i/>
        </w:rPr>
        <w:t xml:space="preserve"> of </w:t>
      </w:r>
      <w:r w:rsidR="00D5664A">
        <w:rPr>
          <w:i/>
        </w:rPr>
        <w:t>Science</w:t>
      </w:r>
      <w:r w:rsidRPr="001A3D2B">
        <w:t xml:space="preserve">. </w:t>
      </w:r>
      <w:r w:rsidRPr="001A3D2B">
        <w:rPr>
          <w:i/>
          <w:iCs/>
        </w:rPr>
        <w:t>Current Science</w:t>
      </w:r>
      <w:r w:rsidRPr="001A3D2B">
        <w:t xml:space="preserve">, </w:t>
      </w:r>
      <w:r w:rsidRPr="001A3D2B">
        <w:rPr>
          <w:b/>
          <w:bCs/>
        </w:rPr>
        <w:t>89</w:t>
      </w:r>
      <w:r w:rsidRPr="001A3D2B">
        <w:t xml:space="preserve"> (9), 1531-1536.</w:t>
      </w:r>
    </w:p>
    <w:p w:rsidR="003474F2" w:rsidRPr="001A3D2B" w:rsidRDefault="003474F2" w:rsidP="003474F2">
      <w:pPr>
        <w:pStyle w:val="a3"/>
      </w:pPr>
      <w:r w:rsidRPr="001A3D2B">
        <w:t xml:space="preserve">Full Text: </w:t>
      </w:r>
      <w:hyperlink r:id="rId1177" w:history="1">
        <w:r w:rsidRPr="001A3D2B">
          <w:rPr>
            <w:rStyle w:val="a5"/>
          </w:rPr>
          <w:t>2005\Cur Sci89, 1531.pdf</w:t>
        </w:r>
      </w:hyperlink>
    </w:p>
    <w:p w:rsidR="003474F2" w:rsidRPr="001A3D2B" w:rsidRDefault="003474F2" w:rsidP="003474F2">
      <w:pPr>
        <w:pStyle w:val="a3"/>
      </w:pPr>
      <w:r w:rsidRPr="001A3D2B">
        <w:t xml:space="preserve">Keywords: Citation, Citation Indexing, Emergence, NOV, Science Citation Index, </w:t>
      </w:r>
      <w:r w:rsidR="00D5664A">
        <w:t>Web</w:t>
      </w:r>
      <w:r w:rsidR="00427468">
        <w:t xml:space="preserve"> of </w:t>
      </w:r>
      <w:r w:rsidR="00D5664A">
        <w:t>Science</w:t>
      </w:r>
    </w:p>
    <w:p w:rsidR="003474F2" w:rsidRPr="001A3D2B" w:rsidRDefault="003474F2" w:rsidP="003474F2">
      <w:pPr>
        <w:pStyle w:val="a3"/>
      </w:pPr>
      <w:r w:rsidRPr="001A3D2B">
        <w:t>? Braun, T.</w:t>
      </w:r>
      <w:r w:rsidR="005853A9">
        <w:t xml:space="preserve"> and </w:t>
      </w:r>
      <w:r w:rsidRPr="001A3D2B">
        <w:t>Dióspatonyi, I. (2005), Counting</w:t>
      </w:r>
      <w:r w:rsidR="003A1917">
        <w:t xml:space="preserve"> the </w:t>
      </w:r>
      <w:r w:rsidRPr="001A3D2B">
        <w:t>gatekeepers</w:t>
      </w:r>
      <w:r w:rsidR="00427468">
        <w:t xml:space="preserve"> of </w:t>
      </w:r>
      <w:r w:rsidRPr="001A3D2B">
        <w:t xml:space="preserve">international science journals a worthwhile science indicator. </w:t>
      </w:r>
      <w:r w:rsidRPr="001A3D2B">
        <w:rPr>
          <w:i/>
          <w:iCs/>
        </w:rPr>
        <w:t>Current Science</w:t>
      </w:r>
      <w:r w:rsidRPr="001A3D2B">
        <w:t xml:space="preserve">, </w:t>
      </w:r>
      <w:r w:rsidRPr="001A3D2B">
        <w:rPr>
          <w:b/>
          <w:bCs/>
        </w:rPr>
        <w:t>89</w:t>
      </w:r>
      <w:r w:rsidRPr="001A3D2B">
        <w:t xml:space="preserve"> (9), 1548-1551.</w:t>
      </w:r>
    </w:p>
    <w:p w:rsidR="003474F2" w:rsidRPr="001A3D2B" w:rsidRDefault="003474F2" w:rsidP="003474F2">
      <w:pPr>
        <w:pStyle w:val="a3"/>
      </w:pPr>
      <w:r w:rsidRPr="001A3D2B">
        <w:t xml:space="preserve">Full Text: </w:t>
      </w:r>
      <w:hyperlink r:id="rId1178" w:history="1">
        <w:r w:rsidRPr="001A3D2B">
          <w:rPr>
            <w:rStyle w:val="a5"/>
          </w:rPr>
          <w:t>2005\Cur Sci89, 1548.pdf</w:t>
        </w:r>
      </w:hyperlink>
    </w:p>
    <w:p w:rsidR="003474F2" w:rsidRPr="001A3D2B" w:rsidRDefault="003474F2" w:rsidP="003474F2">
      <w:pPr>
        <w:pStyle w:val="a3"/>
      </w:pPr>
      <w:r w:rsidRPr="001A3D2B">
        <w:t xml:space="preserve">Keywords: Chemistry, Citation Impact, Fields, Gatekeepers, </w:t>
      </w:r>
      <w:smartTag w:uri="urn:schemas-microsoft-com:office:smarttags" w:element="PersonName">
        <w:smartTagPr>
          <w:attr w:name="ProductID" w:val="Life Sciences"/>
        </w:smartTagPr>
        <w:r w:rsidRPr="001A3D2B">
          <w:t>Life Sciences</w:t>
        </w:r>
      </w:smartTag>
      <w:r w:rsidRPr="001A3D2B">
        <w:t>, Mathematics, National Performances, Publication Output, Science Indicators, Science Journals, Scientific Wealth, Scientometric Weight, World Science</w:t>
      </w:r>
    </w:p>
    <w:p w:rsidR="003474F2" w:rsidRPr="001A3D2B" w:rsidRDefault="003474F2" w:rsidP="003474F2">
      <w:pPr>
        <w:pStyle w:val="a3"/>
      </w:pPr>
      <w:r w:rsidRPr="001A3D2B">
        <w:t>? Dastidar, P.G.</w:t>
      </w:r>
      <w:r w:rsidR="005853A9">
        <w:t xml:space="preserve"> and </w:t>
      </w:r>
      <w:r w:rsidRPr="001A3D2B">
        <w:t>Persson, O. (2005), Mapping</w:t>
      </w:r>
      <w:r w:rsidR="003A1917">
        <w:t xml:space="preserve"> the </w:t>
      </w:r>
      <w:r w:rsidRPr="001A3D2B">
        <w:t>global structure</w:t>
      </w:r>
      <w:r w:rsidR="00427468">
        <w:t xml:space="preserve"> of </w:t>
      </w:r>
      <w:r w:rsidRPr="001A3D2B">
        <w:t xml:space="preserve">Antarctic research </w:t>
      </w:r>
      <w:r w:rsidRPr="001A3D2B">
        <w:rPr>
          <w:i/>
        </w:rPr>
        <w:t>vis-à-vis</w:t>
      </w:r>
      <w:r w:rsidRPr="001A3D2B">
        <w:t xml:space="preserve"> Antarctic Treaty System. </w:t>
      </w:r>
      <w:r w:rsidRPr="001A3D2B">
        <w:rPr>
          <w:i/>
          <w:iCs/>
        </w:rPr>
        <w:t>Current Science</w:t>
      </w:r>
      <w:r w:rsidRPr="001A3D2B">
        <w:t xml:space="preserve">, </w:t>
      </w:r>
      <w:r w:rsidRPr="001A3D2B">
        <w:rPr>
          <w:b/>
          <w:bCs/>
        </w:rPr>
        <w:t>89</w:t>
      </w:r>
      <w:r w:rsidRPr="001A3D2B">
        <w:t xml:space="preserve"> (9), 1552-1554.</w:t>
      </w:r>
    </w:p>
    <w:p w:rsidR="003474F2" w:rsidRPr="001A3D2B" w:rsidRDefault="003474F2" w:rsidP="003474F2">
      <w:pPr>
        <w:pStyle w:val="a3"/>
      </w:pPr>
      <w:r w:rsidRPr="001A3D2B">
        <w:t xml:space="preserve">Full Text: </w:t>
      </w:r>
      <w:hyperlink r:id="rId1179" w:history="1">
        <w:r w:rsidRPr="001A3D2B">
          <w:rPr>
            <w:rStyle w:val="a5"/>
          </w:rPr>
          <w:t>2005\Cur Sci89, 1552.pdf</w:t>
        </w:r>
      </w:hyperlink>
    </w:p>
    <w:p w:rsidR="003474F2" w:rsidRPr="001A3D2B" w:rsidRDefault="003474F2" w:rsidP="003474F2">
      <w:pPr>
        <w:pStyle w:val="a3"/>
      </w:pPr>
      <w:r w:rsidRPr="001A3D2B">
        <w:lastRenderedPageBreak/>
        <w:t>Keywords: Antarctic Research, Antarctic Treaty System, Global Structure, Research, Scientometrics</w:t>
      </w:r>
    </w:p>
    <w:p w:rsidR="007245DF" w:rsidRDefault="007245DF" w:rsidP="007245DF">
      <w:pPr>
        <w:pStyle w:val="a3"/>
        <w:rPr>
          <w:kern w:val="0"/>
        </w:rPr>
      </w:pPr>
      <w:r>
        <w:rPr>
          <w:rFonts w:hint="eastAsia"/>
          <w:kern w:val="0"/>
        </w:rPr>
        <w:t xml:space="preserve">? </w:t>
      </w:r>
      <w:r>
        <w:rPr>
          <w:kern w:val="0"/>
        </w:rPr>
        <w:t>Moed, H.F. (2005), Citation analysis</w:t>
      </w:r>
      <w:r w:rsidR="00427468">
        <w:rPr>
          <w:kern w:val="0"/>
        </w:rPr>
        <w:t xml:space="preserve"> of </w:t>
      </w:r>
      <w:r>
        <w:rPr>
          <w:kern w:val="0"/>
        </w:rPr>
        <w:t>scientific journals</w:t>
      </w:r>
      <w:r w:rsidR="005853A9">
        <w:rPr>
          <w:kern w:val="0"/>
        </w:rPr>
        <w:t xml:space="preserve"> and </w:t>
      </w:r>
      <w:r>
        <w:rPr>
          <w:kern w:val="0"/>
        </w:rPr>
        <w:t xml:space="preserve">journal impact measures. </w:t>
      </w:r>
      <w:r>
        <w:rPr>
          <w:i/>
          <w:iCs/>
          <w:kern w:val="0"/>
        </w:rPr>
        <w:t>Current Science</w:t>
      </w:r>
      <w:r>
        <w:rPr>
          <w:kern w:val="0"/>
        </w:rPr>
        <w:t xml:space="preserve">, </w:t>
      </w:r>
      <w:r>
        <w:rPr>
          <w:b/>
          <w:bCs/>
          <w:kern w:val="0"/>
        </w:rPr>
        <w:t>89</w:t>
      </w:r>
      <w:r>
        <w:rPr>
          <w:kern w:val="0"/>
        </w:rPr>
        <w:t xml:space="preserve"> (12), 1990-1996.</w:t>
      </w:r>
    </w:p>
    <w:p w:rsidR="007245DF" w:rsidRPr="001A3D2B" w:rsidRDefault="007245DF" w:rsidP="007245DF">
      <w:pPr>
        <w:pStyle w:val="a3"/>
      </w:pPr>
      <w:r w:rsidRPr="001A3D2B">
        <w:t xml:space="preserve">Full Text: </w:t>
      </w:r>
      <w:hyperlink r:id="rId1180" w:history="1">
        <w:r w:rsidRPr="007245DF">
          <w:rPr>
            <w:rStyle w:val="a5"/>
          </w:rPr>
          <w:t>2005\Cur Sci89, 1990.pdf</w:t>
        </w:r>
      </w:hyperlink>
    </w:p>
    <w:p w:rsidR="007245DF" w:rsidRDefault="007245DF" w:rsidP="007245DF">
      <w:pPr>
        <w:pStyle w:val="a3"/>
        <w:rPr>
          <w:kern w:val="0"/>
        </w:rPr>
      </w:pPr>
      <w:r>
        <w:rPr>
          <w:kern w:val="0"/>
        </w:rPr>
        <w:t>Abstract: Eugene Garfield</w:t>
      </w:r>
      <w:r w:rsidR="0071223E">
        <w:rPr>
          <w:kern w:val="0"/>
        </w:rPr>
        <w:t>’</w:t>
      </w:r>
      <w:r w:rsidR="00C13DDC">
        <w:rPr>
          <w:kern w:val="0"/>
        </w:rPr>
        <w:t>s</w:t>
      </w:r>
      <w:r>
        <w:rPr>
          <w:kern w:val="0"/>
        </w:rPr>
        <w:t xml:space="preserve"> creative work on journal impact measures served more than one function</w:t>
      </w:r>
      <w:r w:rsidR="00A37C1D">
        <w:rPr>
          <w:kern w:val="0"/>
        </w:rPr>
        <w:t>. The</w:t>
      </w:r>
      <w:r>
        <w:rPr>
          <w:kern w:val="0"/>
        </w:rPr>
        <w:t>se measures were originally designed</w:t>
      </w:r>
      <w:r w:rsidR="005853A9">
        <w:rPr>
          <w:kern w:val="0"/>
        </w:rPr>
        <w:t xml:space="preserve"> and </w:t>
      </w:r>
      <w:r>
        <w:rPr>
          <w:kern w:val="0"/>
        </w:rPr>
        <w:t>applied to monitor</w:t>
      </w:r>
      <w:r w:rsidR="003A1917">
        <w:rPr>
          <w:kern w:val="0"/>
        </w:rPr>
        <w:t xml:space="preserve"> the </w:t>
      </w:r>
      <w:r>
        <w:rPr>
          <w:kern w:val="0"/>
        </w:rPr>
        <w:t>journal coverage</w:t>
      </w:r>
      <w:r w:rsidR="00427468">
        <w:rPr>
          <w:kern w:val="0"/>
        </w:rPr>
        <w:t xml:space="preserve"> of </w:t>
      </w:r>
      <w:r w:rsidR="003A1917">
        <w:rPr>
          <w:kern w:val="0"/>
        </w:rPr>
        <w:t xml:space="preserve">the </w:t>
      </w:r>
      <w:r>
        <w:rPr>
          <w:kern w:val="0"/>
        </w:rPr>
        <w:t>Science Citation Index (SCI)</w:t>
      </w:r>
      <w:r w:rsidR="00A37C1D">
        <w:rPr>
          <w:kern w:val="0"/>
        </w:rPr>
        <w:t>. The</w:t>
      </w:r>
      <w:r>
        <w:rPr>
          <w:kern w:val="0"/>
        </w:rPr>
        <w:t>y constituted a tool to identify on a permanent basis,</w:t>
      </w:r>
      <w:r w:rsidR="003A1917">
        <w:rPr>
          <w:kern w:val="0"/>
        </w:rPr>
        <w:t xml:space="preserve"> the </w:t>
      </w:r>
      <w:r>
        <w:rPr>
          <w:kern w:val="0"/>
        </w:rPr>
        <w:t>most important journals in</w:t>
      </w:r>
      <w:r w:rsidR="003A1917">
        <w:rPr>
          <w:kern w:val="0"/>
        </w:rPr>
        <w:t xml:space="preserve"> the </w:t>
      </w:r>
      <w:r>
        <w:rPr>
          <w:kern w:val="0"/>
        </w:rPr>
        <w:t>scientific communication system,</w:t>
      </w:r>
      <w:r w:rsidR="005853A9">
        <w:rPr>
          <w:kern w:val="0"/>
        </w:rPr>
        <w:t xml:space="preserve"> and </w:t>
      </w:r>
      <w:r>
        <w:rPr>
          <w:kern w:val="0"/>
        </w:rPr>
        <w:t>to highlight candidates to be included or dropped in view</w:t>
      </w:r>
      <w:r w:rsidR="00427468">
        <w:rPr>
          <w:kern w:val="0"/>
        </w:rPr>
        <w:t xml:space="preserve"> of </w:t>
      </w:r>
      <w:r w:rsidR="003A1917">
        <w:rPr>
          <w:kern w:val="0"/>
        </w:rPr>
        <w:t xml:space="preserve">the </w:t>
      </w:r>
      <w:r>
        <w:rPr>
          <w:kern w:val="0"/>
        </w:rPr>
        <w:t>need to establish a cost-effective Citation Index.</w:t>
      </w:r>
    </w:p>
    <w:p w:rsidR="007245DF" w:rsidRDefault="007245DF" w:rsidP="007245DF">
      <w:pPr>
        <w:pStyle w:val="a3"/>
        <w:rPr>
          <w:kern w:val="0"/>
        </w:rPr>
      </w:pPr>
      <w:r>
        <w:rPr>
          <w:kern w:val="0"/>
        </w:rPr>
        <w:t>Keywords: Analysis, Citation, Citation Analysis, Communication, Cost-Effective, Coverage, Eugene Garfield, Function, Impact, Impact Factor, Journal, Journal Impact, Journals, Permanent</w:t>
      </w:r>
      <w:r w:rsidR="00D5664A">
        <w:rPr>
          <w:kern w:val="0"/>
        </w:rPr>
        <w:t>, SCI,</w:t>
      </w:r>
      <w:r>
        <w:rPr>
          <w:kern w:val="0"/>
        </w:rPr>
        <w:t xml:space="preserve"> Science, Science Citation Index, Scientific Communication, Scientific Journals, Tool, Work</w:t>
      </w:r>
    </w:p>
    <w:p w:rsidR="003474F2" w:rsidRPr="001A3D2B" w:rsidRDefault="003474F2" w:rsidP="003474F2">
      <w:pPr>
        <w:pStyle w:val="a3"/>
      </w:pPr>
      <w:r w:rsidRPr="001A3D2B">
        <w:t>? Koley, S.</w:t>
      </w:r>
      <w:r w:rsidR="005853A9">
        <w:t xml:space="preserve"> and </w:t>
      </w:r>
      <w:r w:rsidRPr="001A3D2B">
        <w:t xml:space="preserve">Sen, B.K. (2006), </w:t>
      </w:r>
      <w:r w:rsidRPr="001A3D2B">
        <w:rPr>
          <w:szCs w:val="19"/>
        </w:rPr>
        <w:t>A quantitative analysis</w:t>
      </w:r>
      <w:r w:rsidR="00427468">
        <w:rPr>
          <w:szCs w:val="19"/>
        </w:rPr>
        <w:t xml:space="preserve"> of </w:t>
      </w:r>
      <w:r w:rsidRPr="001A3D2B">
        <w:rPr>
          <w:szCs w:val="19"/>
        </w:rPr>
        <w:t xml:space="preserve">book reviews published in </w:t>
      </w:r>
      <w:r w:rsidRPr="001A3D2B">
        <w:rPr>
          <w:i/>
          <w:szCs w:val="19"/>
        </w:rPr>
        <w:t>Current Science</w:t>
      </w:r>
      <w:r w:rsidRPr="001A3D2B">
        <w:rPr>
          <w:szCs w:val="19"/>
        </w:rPr>
        <w:t>: 2002-2005</w:t>
      </w:r>
      <w:r w:rsidRPr="001A3D2B">
        <w:t xml:space="preserve">. </w:t>
      </w:r>
      <w:r w:rsidRPr="001A3D2B">
        <w:rPr>
          <w:i/>
          <w:iCs/>
        </w:rPr>
        <w:t>Current Science</w:t>
      </w:r>
      <w:r w:rsidRPr="001A3D2B">
        <w:t xml:space="preserve">, </w:t>
      </w:r>
      <w:r w:rsidRPr="001A3D2B">
        <w:rPr>
          <w:b/>
          <w:bCs/>
        </w:rPr>
        <w:t>91</w:t>
      </w:r>
      <w:r w:rsidRPr="001A3D2B">
        <w:t xml:space="preserve"> (12), </w:t>
      </w:r>
      <w:r w:rsidRPr="001A3D2B">
        <w:rPr>
          <w:szCs w:val="19"/>
        </w:rPr>
        <w:t>1616-1620.</w:t>
      </w:r>
    </w:p>
    <w:p w:rsidR="003474F2" w:rsidRPr="001A3D2B" w:rsidRDefault="003474F2" w:rsidP="003474F2">
      <w:pPr>
        <w:pStyle w:val="a3"/>
      </w:pPr>
      <w:r w:rsidRPr="001A3D2B">
        <w:t xml:space="preserve">Full Text: </w:t>
      </w:r>
      <w:hyperlink r:id="rId1181" w:history="1">
        <w:r w:rsidRPr="001A3D2B">
          <w:rPr>
            <w:rStyle w:val="a5"/>
          </w:rPr>
          <w:t>2006\Cur Sci91, 1616.pdf</w:t>
        </w:r>
      </w:hyperlink>
    </w:p>
    <w:p w:rsidR="003474F2" w:rsidRPr="001A3D2B" w:rsidRDefault="003474F2" w:rsidP="003474F2">
      <w:pPr>
        <w:pStyle w:val="a3"/>
      </w:pPr>
      <w:r w:rsidRPr="001A3D2B">
        <w:t>Abstract: This article presents results</w:t>
      </w:r>
      <w:r w:rsidR="00427468">
        <w:t xml:space="preserve"> of </w:t>
      </w:r>
      <w:r w:rsidR="003A1917">
        <w:t xml:space="preserve">the </w:t>
      </w:r>
      <w:r w:rsidRPr="001A3D2B">
        <w:t>analysis</w:t>
      </w:r>
      <w:r w:rsidR="00427468">
        <w:t xml:space="preserve"> of </w:t>
      </w:r>
      <w:r w:rsidRPr="001A3D2B">
        <w:t>325 book reviews published in Current Science during 2002 to 2005</w:t>
      </w:r>
      <w:r w:rsidR="00A37C1D">
        <w:t>. The</w:t>
      </w:r>
      <w:r w:rsidR="003A1917">
        <w:t xml:space="preserve"> </w:t>
      </w:r>
      <w:r w:rsidRPr="001A3D2B">
        <w:t>analysis shows that around 60% books were original works produced by single, double or multiple authors</w:t>
      </w:r>
      <w:r w:rsidR="00A37C1D">
        <w:t>. The</w:t>
      </w:r>
      <w:r w:rsidR="003A1917">
        <w:t xml:space="preserve"> </w:t>
      </w:r>
      <w:r w:rsidRPr="001A3D2B">
        <w:t>rest were collected works including two journals, corporate works,</w:t>
      </w:r>
      <w:r w:rsidR="005853A9">
        <w:t xml:space="preserve"> and </w:t>
      </w:r>
      <w:r w:rsidRPr="001A3D2B">
        <w:t>a translation</w:t>
      </w:r>
      <w:r w:rsidR="00A37C1D">
        <w:t>. The</w:t>
      </w:r>
      <w:r w:rsidR="003A1917">
        <w:t xml:space="preserve"> </w:t>
      </w:r>
      <w:r w:rsidRPr="001A3D2B">
        <w:t>documents reviewed comprised mostly monographs (90%) followed by annual reviews</w:t>
      </w:r>
      <w:r w:rsidR="005853A9">
        <w:t xml:space="preserve"> and </w:t>
      </w:r>
      <w:r w:rsidRPr="001A3D2B">
        <w:t>others</w:t>
      </w:r>
      <w:r w:rsidR="00A37C1D">
        <w:t>. The</w:t>
      </w:r>
      <w:r w:rsidR="003A1917">
        <w:t xml:space="preserve"> </w:t>
      </w:r>
      <w:r w:rsidRPr="001A3D2B">
        <w:t>largest number</w:t>
      </w:r>
      <w:r w:rsidR="00427468">
        <w:t xml:space="preserve"> of </w:t>
      </w:r>
      <w:r w:rsidRPr="001A3D2B">
        <w:t>documents reviewed belong to pure sciences (73%), followed by applied sciences (24%),</w:t>
      </w:r>
      <w:r w:rsidR="005853A9">
        <w:t xml:space="preserve"> and </w:t>
      </w:r>
      <w:r w:rsidRPr="001A3D2B">
        <w:t>others (3%).</w:t>
      </w:r>
      <w:r w:rsidR="00427468">
        <w:t xml:space="preserve"> of </w:t>
      </w:r>
      <w:r w:rsidR="003A1917">
        <w:t xml:space="preserve">the </w:t>
      </w:r>
      <w:r w:rsidRPr="001A3D2B">
        <w:t>documents reviewed, 52.62% were published abroad</w:t>
      </w:r>
      <w:r w:rsidR="005853A9">
        <w:t xml:space="preserve"> and </w:t>
      </w:r>
      <w:r w:rsidR="003A1917">
        <w:t xml:space="preserve">the </w:t>
      </w:r>
      <w:r w:rsidRPr="001A3D2B">
        <w:t xml:space="preserve">rest 47.38% in </w:t>
      </w:r>
      <w:smartTag w:uri="urn:schemas-microsoft-com:office:smarttags" w:element="place">
        <w:smartTag w:uri="urn:schemas-microsoft-com:office:smarttags" w:element="country-region">
          <w:r w:rsidRPr="001A3D2B">
            <w:t>India</w:t>
          </w:r>
        </w:smartTag>
      </w:smartTag>
      <w:r w:rsidRPr="001A3D2B">
        <w:t>, Books containing 151 to 350 pages accounted for about 53%</w:t>
      </w:r>
      <w:r w:rsidR="00427468">
        <w:t xml:space="preserve"> of </w:t>
      </w:r>
      <w:r w:rsidR="003A1917">
        <w:t xml:space="preserve">the </w:t>
      </w:r>
      <w:r w:rsidRPr="001A3D2B">
        <w:t>books. It is noticed that</w:t>
      </w:r>
      <w:r w:rsidR="003A1917">
        <w:t xml:space="preserve"> the </w:t>
      </w:r>
      <w:r w:rsidRPr="001A3D2B">
        <w:t>number</w:t>
      </w:r>
      <w:r w:rsidR="00427468">
        <w:t xml:space="preserve"> of </w:t>
      </w:r>
      <w:r w:rsidRPr="001A3D2B">
        <w:t>books reviewed per year in Current Science varies from 60 to more than 100.</w:t>
      </w:r>
      <w:r w:rsidR="00427468">
        <w:t xml:space="preserve"> of </w:t>
      </w:r>
      <w:r w:rsidR="003A1917">
        <w:t xml:space="preserve">the </w:t>
      </w:r>
      <w:r w:rsidRPr="001A3D2B">
        <w:t xml:space="preserve">books reviewed, 71 were published from </w:t>
      </w:r>
      <w:smartTag w:uri="urn:schemas-microsoft-com:office:smarttags" w:element="City">
        <w:r w:rsidRPr="001A3D2B">
          <w:t>Delhi</w:t>
        </w:r>
      </w:smartTag>
      <w:r w:rsidRPr="001A3D2B">
        <w:t xml:space="preserve">, 2 7 from </w:t>
      </w:r>
      <w:smartTag w:uri="urn:schemas-microsoft-com:office:smarttags" w:element="City">
        <w:r w:rsidRPr="001A3D2B">
          <w:t>Hyderabad</w:t>
        </w:r>
      </w:smartTag>
      <w:r w:rsidRPr="001A3D2B">
        <w:t>, 24 each from New Jersey</w:t>
      </w:r>
      <w:r w:rsidR="005853A9">
        <w:t xml:space="preserve"> and </w:t>
      </w:r>
      <w:r w:rsidRPr="001A3D2B">
        <w:t xml:space="preserve">Basel, 21 from </w:t>
      </w:r>
      <w:smartTag w:uri="urn:schemas-microsoft-com:office:smarttags" w:element="place">
        <w:smartTag w:uri="urn:schemas-microsoft-com:office:smarttags" w:element="State">
          <w:r w:rsidRPr="001A3D2B">
            <w:t>New York</w:t>
          </w:r>
        </w:smartTag>
      </w:smartTag>
      <w:r w:rsidRPr="001A3D2B">
        <w:t>,</w:t>
      </w:r>
      <w:r w:rsidR="005853A9">
        <w:t xml:space="preserve"> and </w:t>
      </w:r>
      <w:r w:rsidR="003A1917">
        <w:t xml:space="preserve">the </w:t>
      </w:r>
      <w:r w:rsidRPr="001A3D2B">
        <w:t>rest from other places. Publishers responsible for bringing out 321 books (publishers not mentioned in four cases) total 124. Birkhauser Verlag</w:t>
      </w:r>
      <w:r w:rsidR="005853A9">
        <w:t xml:space="preserve"> and </w:t>
      </w:r>
      <w:r w:rsidRPr="001A3D2B">
        <w:t xml:space="preserve">Princeton </w:t>
      </w:r>
      <w:smartTag w:uri="urn:schemas-microsoft-com:office:smarttags" w:element="PlaceType">
        <w:r w:rsidRPr="001A3D2B">
          <w:t>University</w:t>
        </w:r>
      </w:smartTag>
      <w:r w:rsidRPr="001A3D2B">
        <w:t xml:space="preserve"> accounted for 26 books each, University Press (</w:t>
      </w:r>
      <w:smartTag w:uri="urn:schemas-microsoft-com:office:smarttags" w:element="place">
        <w:smartTag w:uri="urn:schemas-microsoft-com:office:smarttags" w:element="country-region">
          <w:r w:rsidRPr="001A3D2B">
            <w:t>India</w:t>
          </w:r>
        </w:smartTag>
      </w:smartTag>
      <w:r w:rsidRPr="001A3D2B">
        <w:t>) Ltd 24, Annual Review Inc. 18, MIT Press 13, Springer Verlag 12 books,</w:t>
      </w:r>
      <w:r w:rsidR="005853A9">
        <w:t xml:space="preserve"> and </w:t>
      </w:r>
      <w:r w:rsidRPr="001A3D2B">
        <w:t>others less than 10 books. Prices were not mentioned in about 33% book reviews, possibly because</w:t>
      </w:r>
      <w:r w:rsidR="003A1917">
        <w:t xml:space="preserve"> the </w:t>
      </w:r>
      <w:r w:rsidRPr="001A3D2B">
        <w:t>books did not provide</w:t>
      </w:r>
      <w:r w:rsidR="003A1917">
        <w:t xml:space="preserve"> the </w:t>
      </w:r>
      <w:r w:rsidRPr="001A3D2B">
        <w:t>information. About 47% books were above</w:t>
      </w:r>
      <w:r w:rsidR="003A1917">
        <w:t xml:space="preserve"> the </w:t>
      </w:r>
      <w:r w:rsidRPr="001A3D2B">
        <w:t>price range</w:t>
      </w:r>
      <w:r w:rsidR="00427468">
        <w:t xml:space="preserve"> of </w:t>
      </w:r>
      <w:r w:rsidRPr="001A3D2B">
        <w:t>Rs 1000</w:t>
      </w:r>
      <w:r w:rsidR="00A37C1D">
        <w:t>. The</w:t>
      </w:r>
      <w:r w:rsidR="003A1917">
        <w:t xml:space="preserve"> </w:t>
      </w:r>
      <w:r w:rsidRPr="001A3D2B">
        <w:t>minimum price</w:t>
      </w:r>
      <w:r w:rsidR="00427468">
        <w:t xml:space="preserve"> of </w:t>
      </w:r>
      <w:r w:rsidRPr="001A3D2B">
        <w:t>a book was found to be Rs 35</w:t>
      </w:r>
      <w:r w:rsidR="005853A9">
        <w:t xml:space="preserve"> and </w:t>
      </w:r>
      <w:r w:rsidRPr="001A3D2B">
        <w:t>maximum Rs 14,850. A large number</w:t>
      </w:r>
      <w:r w:rsidR="00427468">
        <w:t xml:space="preserve"> of </w:t>
      </w:r>
      <w:r w:rsidRPr="001A3D2B">
        <w:t>scientists shouldered</w:t>
      </w:r>
      <w:r w:rsidR="003A1917">
        <w:t xml:space="preserve"> the </w:t>
      </w:r>
      <w:r w:rsidRPr="001A3D2B">
        <w:t>responsibility</w:t>
      </w:r>
      <w:r w:rsidR="00427468">
        <w:t xml:space="preserve"> of </w:t>
      </w:r>
      <w:r w:rsidRPr="001A3D2B">
        <w:t xml:space="preserve">reviewing books, foremost amongst them being C. P. Rajendran, M. S. Swaminathan, T. J. Pandian, S. </w:t>
      </w:r>
      <w:r w:rsidRPr="001A3D2B">
        <w:lastRenderedPageBreak/>
        <w:t>Arunachalam</w:t>
      </w:r>
      <w:r w:rsidR="005853A9">
        <w:t xml:space="preserve"> and </w:t>
      </w:r>
      <w:r w:rsidRPr="001A3D2B">
        <w:t>K. R. Rao.</w:t>
      </w:r>
    </w:p>
    <w:p w:rsidR="003474F2" w:rsidRPr="001A3D2B" w:rsidRDefault="003474F2" w:rsidP="003474F2">
      <w:pPr>
        <w:pStyle w:val="a3"/>
      </w:pPr>
      <w:r w:rsidRPr="001A3D2B">
        <w:t>Keywords: Analysis, Bibliometric Study, Book Reviews, Current Science, DEC, India, Information, Journals, New York, P, Quantitative Analysis, Range, Responsibility, Reviews, Sciences, Translation, York</w:t>
      </w:r>
    </w:p>
    <w:p w:rsidR="003474F2" w:rsidRPr="001A3D2B" w:rsidRDefault="003474F2" w:rsidP="003474F2">
      <w:pPr>
        <w:pStyle w:val="a3"/>
        <w:rPr>
          <w:szCs w:val="24"/>
        </w:rPr>
      </w:pPr>
      <w:r w:rsidRPr="001A3D2B">
        <w:t xml:space="preserve">? Herndon, J.M. (2007), </w:t>
      </w:r>
      <w:r w:rsidRPr="001A3D2B">
        <w:rPr>
          <w:i/>
        </w:rPr>
        <w:t>Science Citation Index</w:t>
      </w:r>
      <w:r w:rsidRPr="001A3D2B">
        <w:t xml:space="preserve"> data: Two additional reasons against its use for administrative purposes. </w:t>
      </w:r>
      <w:r w:rsidRPr="001A3D2B">
        <w:rPr>
          <w:i/>
          <w:iCs/>
        </w:rPr>
        <w:t>Current Science</w:t>
      </w:r>
      <w:r w:rsidRPr="001A3D2B">
        <w:t xml:space="preserve">, </w:t>
      </w:r>
      <w:r w:rsidRPr="001A3D2B">
        <w:rPr>
          <w:b/>
          <w:bCs/>
        </w:rPr>
        <w:t>92</w:t>
      </w:r>
      <w:r w:rsidRPr="001A3D2B">
        <w:rPr>
          <w:szCs w:val="24"/>
        </w:rPr>
        <w:t xml:space="preserve"> (6), 709-710</w:t>
      </w:r>
    </w:p>
    <w:p w:rsidR="003474F2" w:rsidRPr="001A3D2B" w:rsidRDefault="003474F2" w:rsidP="003474F2">
      <w:pPr>
        <w:pStyle w:val="a3"/>
      </w:pPr>
      <w:r w:rsidRPr="001A3D2B">
        <w:t xml:space="preserve">Full Text: </w:t>
      </w:r>
      <w:hyperlink r:id="rId1182" w:history="1">
        <w:r w:rsidRPr="001A3D2B">
          <w:rPr>
            <w:rStyle w:val="a5"/>
          </w:rPr>
          <w:t>2007\Cur Sci92, 709.pdf</w:t>
        </w:r>
      </w:hyperlink>
    </w:p>
    <w:p w:rsidR="003474F2" w:rsidRPr="001A3D2B" w:rsidRDefault="003474F2" w:rsidP="003474F2">
      <w:pPr>
        <w:pStyle w:val="a3"/>
        <w:rPr>
          <w:szCs w:val="24"/>
        </w:rPr>
      </w:pPr>
      <w:r w:rsidRPr="001A3D2B">
        <w:rPr>
          <w:szCs w:val="24"/>
        </w:rPr>
        <w:t>Keywords: Citation, Data, India, MAR, Science Citation Index</w:t>
      </w:r>
    </w:p>
    <w:p w:rsidR="003474F2" w:rsidRPr="001A3D2B" w:rsidRDefault="003474F2" w:rsidP="003474F2">
      <w:pPr>
        <w:pStyle w:val="a3"/>
      </w:pPr>
      <w:r w:rsidRPr="001A3D2B">
        <w:t>? Kostoff, R.N., Koytcheff, R.G.</w:t>
      </w:r>
      <w:r w:rsidR="005853A9">
        <w:t xml:space="preserve"> and </w:t>
      </w:r>
      <w:r w:rsidRPr="001A3D2B">
        <w:t xml:space="preserve">Lau, C.G.Y. (2007), Global nanotechnology research literature overview. </w:t>
      </w:r>
      <w:r w:rsidRPr="001A3D2B">
        <w:rPr>
          <w:i/>
          <w:iCs/>
        </w:rPr>
        <w:t>Current Science</w:t>
      </w:r>
      <w:r w:rsidRPr="001A3D2B">
        <w:t xml:space="preserve">, </w:t>
      </w:r>
      <w:r w:rsidRPr="001A3D2B">
        <w:rPr>
          <w:b/>
          <w:bCs/>
        </w:rPr>
        <w:t>92</w:t>
      </w:r>
      <w:r w:rsidRPr="001A3D2B">
        <w:t xml:space="preserve"> (11), 1492-1498.</w:t>
      </w:r>
    </w:p>
    <w:p w:rsidR="003474F2" w:rsidRPr="001A3D2B" w:rsidRDefault="003474F2" w:rsidP="003474F2">
      <w:pPr>
        <w:pStyle w:val="a3"/>
      </w:pPr>
      <w:r w:rsidRPr="001A3D2B">
        <w:t xml:space="preserve">Full Text: </w:t>
      </w:r>
      <w:hyperlink r:id="rId1183" w:history="1">
        <w:r w:rsidRPr="001A3D2B">
          <w:rPr>
            <w:rStyle w:val="a5"/>
          </w:rPr>
          <w:t>2007\Cur Sci92, 1492.pdf</w:t>
        </w:r>
      </w:hyperlink>
    </w:p>
    <w:p w:rsidR="003474F2" w:rsidRPr="001A3D2B" w:rsidRDefault="003474F2" w:rsidP="003474F2">
      <w:pPr>
        <w:pStyle w:val="a3"/>
      </w:pPr>
      <w:r w:rsidRPr="001A3D2B">
        <w:t>Abstract: Text mining was used to extract technical intelligence from</w:t>
      </w:r>
      <w:r w:rsidR="003A1917">
        <w:t xml:space="preserve"> the </w:t>
      </w:r>
      <w:r w:rsidRPr="001A3D2B">
        <w:t>open source global nanotechnology</w:t>
      </w:r>
      <w:r w:rsidR="005853A9">
        <w:t xml:space="preserve"> and </w:t>
      </w:r>
      <w:r w:rsidRPr="001A3D2B">
        <w:t>nanoscience research literature (SCI/</w:t>
      </w:r>
      <w:r w:rsidR="00D5664A">
        <w:t>SSCI</w:t>
      </w:r>
      <w:r w:rsidRPr="001A3D2B">
        <w:t xml:space="preserve"> databases)</w:t>
      </w:r>
      <w:r w:rsidR="00A37C1D">
        <w:t>. The</w:t>
      </w:r>
      <w:r w:rsidR="003A1917">
        <w:t xml:space="preserve"> </w:t>
      </w:r>
      <w:r w:rsidRPr="001A3D2B">
        <w:t>following were identified: (i)</w:t>
      </w:r>
      <w:r w:rsidR="003A1917">
        <w:t xml:space="preserve"> the </w:t>
      </w:r>
      <w:r w:rsidRPr="001A3D2B">
        <w:t>nanotechnology/nanoscience research literature infrastructure (prolific authors, key journals/institutions/countries, most cited authors/joumals/documents); (ii)</w:t>
      </w:r>
      <w:r w:rsidR="003A1917">
        <w:t xml:space="preserve"> the </w:t>
      </w:r>
      <w:r w:rsidRPr="001A3D2B">
        <w:t>technical structure (pervasive technical thrusts</w:t>
      </w:r>
      <w:r w:rsidR="005853A9">
        <w:t xml:space="preserve"> and </w:t>
      </w:r>
      <w:r w:rsidRPr="001A3D2B">
        <w:t>their inter-relationships); (iii) nanotechnology instruments</w:t>
      </w:r>
      <w:r w:rsidR="005853A9">
        <w:t xml:space="preserve"> and </w:t>
      </w:r>
      <w:r w:rsidRPr="001A3D2B">
        <w:t>their relationships; (iv) potential nanotechnology applications; (v) potential health impacts</w:t>
      </w:r>
      <w:r w:rsidR="005853A9">
        <w:t xml:space="preserve"> and </w:t>
      </w:r>
      <w:r w:rsidRPr="001A3D2B">
        <w:t>applications,</w:t>
      </w:r>
      <w:r w:rsidR="005853A9">
        <w:t xml:space="preserve"> and </w:t>
      </w:r>
      <w:r w:rsidRPr="001A3D2B">
        <w:t>(vi) seminal nanotechnology literature</w:t>
      </w:r>
      <w:r w:rsidR="00A37C1D">
        <w:t>. The</w:t>
      </w:r>
      <w:r w:rsidR="003A1917">
        <w:t xml:space="preserve"> </w:t>
      </w:r>
      <w:r w:rsidRPr="001A3D2B">
        <w:t>results are summarized in this article.</w:t>
      </w:r>
    </w:p>
    <w:p w:rsidR="003474F2" w:rsidRPr="001A3D2B" w:rsidRDefault="003474F2" w:rsidP="003474F2">
      <w:pPr>
        <w:pStyle w:val="a3"/>
      </w:pPr>
      <w:r w:rsidRPr="001A3D2B">
        <w:t>Keywords: Bibliometrics, Document Clustering, Infrastructure, Mining, Nanoparticle, Nanoscience, Nanotechnology, Nanotube, Text Mining</w:t>
      </w:r>
    </w:p>
    <w:p w:rsidR="003474F2" w:rsidRPr="001A3D2B" w:rsidRDefault="003474F2" w:rsidP="003474F2">
      <w:pPr>
        <w:pStyle w:val="a3"/>
      </w:pPr>
      <w:r w:rsidRPr="001A3D2B">
        <w:t>? Abramo, G.</w:t>
      </w:r>
      <w:r w:rsidR="005853A9">
        <w:t xml:space="preserve"> and </w:t>
      </w:r>
      <w:r w:rsidRPr="001A3D2B">
        <w:t>D</w:t>
      </w:r>
      <w:r w:rsidR="0071223E">
        <w:t>’</w:t>
      </w:r>
      <w:r w:rsidRPr="001A3D2B">
        <w:t>Angelo, C.A. (2007), Measuring science: Irresistible temptations, easy shortcuts</w:t>
      </w:r>
      <w:r w:rsidR="005853A9">
        <w:t xml:space="preserve"> and </w:t>
      </w:r>
      <w:r w:rsidRPr="001A3D2B">
        <w:t xml:space="preserve">dangerous consequences. </w:t>
      </w:r>
      <w:r w:rsidRPr="001A3D2B">
        <w:rPr>
          <w:i/>
          <w:iCs/>
        </w:rPr>
        <w:t>Current Science</w:t>
      </w:r>
      <w:r w:rsidRPr="001A3D2B">
        <w:t xml:space="preserve">, </w:t>
      </w:r>
      <w:r w:rsidRPr="001A3D2B">
        <w:rPr>
          <w:b/>
          <w:bCs/>
        </w:rPr>
        <w:t>93</w:t>
      </w:r>
      <w:r w:rsidRPr="001A3D2B">
        <w:t xml:space="preserve"> (6), 762-766.</w:t>
      </w:r>
    </w:p>
    <w:p w:rsidR="003474F2" w:rsidRPr="001A3D2B" w:rsidRDefault="003474F2" w:rsidP="003474F2">
      <w:pPr>
        <w:pStyle w:val="a3"/>
      </w:pPr>
      <w:r w:rsidRPr="001A3D2B">
        <w:t xml:space="preserve">Full Text: </w:t>
      </w:r>
      <w:hyperlink r:id="rId1184" w:history="1">
        <w:r w:rsidRPr="001A3D2B">
          <w:rPr>
            <w:rStyle w:val="a5"/>
          </w:rPr>
          <w:t>2007\Cur Sci96, 762.pdf</w:t>
        </w:r>
      </w:hyperlink>
    </w:p>
    <w:p w:rsidR="003474F2" w:rsidRPr="001A3D2B" w:rsidRDefault="003474F2" w:rsidP="003474F2">
      <w:pPr>
        <w:pStyle w:val="a3"/>
      </w:pPr>
      <w:r w:rsidRPr="001A3D2B">
        <w:t>Abstract: In benchmarking international research, although publication</w:t>
      </w:r>
      <w:r w:rsidR="005853A9">
        <w:t xml:space="preserve"> and </w:t>
      </w:r>
      <w:r w:rsidRPr="001A3D2B">
        <w:t>citation analyses should not be used to compare different disciplines, scientometrists frequently fail to resist</w:t>
      </w:r>
      <w:r w:rsidR="003A1917">
        <w:t xml:space="preserve"> the </w:t>
      </w:r>
      <w:r w:rsidRPr="001A3D2B">
        <w:t>temptation to present rankings based on total publications</w:t>
      </w:r>
      <w:r w:rsidR="005853A9">
        <w:t xml:space="preserve"> and </w:t>
      </w:r>
      <w:r w:rsidRPr="001A3D2B">
        <w:t>citations. Such measures are affected by significant distortions, due to</w:t>
      </w:r>
      <w:r w:rsidR="003A1917">
        <w:t xml:space="preserve"> the </w:t>
      </w:r>
      <w:r w:rsidRPr="001A3D2B">
        <w:t>uneven fertility across scientific disciplines</w:t>
      </w:r>
      <w:r w:rsidR="005853A9">
        <w:t xml:space="preserve"> and </w:t>
      </w:r>
      <w:r w:rsidR="003A1917">
        <w:t xml:space="preserve">the </w:t>
      </w:r>
      <w:r w:rsidRPr="001A3D2B">
        <w:t>dishomogeneity</w:t>
      </w:r>
      <w:r w:rsidR="00427468">
        <w:t xml:space="preserve"> of </w:t>
      </w:r>
      <w:r w:rsidRPr="001A3D2B">
        <w:t>scientific specialization among nations</w:t>
      </w:r>
      <w:r w:rsidR="005853A9">
        <w:t xml:space="preserve"> and </w:t>
      </w:r>
      <w:r w:rsidRPr="001A3D2B">
        <w:t>universities. In this note, we provide an indication</w:t>
      </w:r>
      <w:r w:rsidR="00427468">
        <w:t xml:space="preserve"> of </w:t>
      </w:r>
      <w:r w:rsidR="003A1917">
        <w:t xml:space="preserve">the </w:t>
      </w:r>
      <w:r w:rsidRPr="001A3D2B">
        <w:t>extent</w:t>
      </w:r>
      <w:r w:rsidR="00427468">
        <w:t xml:space="preserve"> of </w:t>
      </w:r>
      <w:r w:rsidR="003A1917">
        <w:t xml:space="preserve">the </w:t>
      </w:r>
      <w:r w:rsidRPr="001A3D2B">
        <w:t>distortions when comparative bibliometric analyses fail to recognize</w:t>
      </w:r>
      <w:r w:rsidR="003A1917">
        <w:t xml:space="preserve"> the </w:t>
      </w:r>
      <w:r w:rsidRPr="001A3D2B">
        <w:t>range</w:t>
      </w:r>
      <w:r w:rsidR="00427468">
        <w:t xml:space="preserve"> of </w:t>
      </w:r>
      <w:r w:rsidRPr="001A3D2B">
        <w:t>levels</w:t>
      </w:r>
      <w:r w:rsidR="00427468">
        <w:t xml:space="preserve"> of </w:t>
      </w:r>
      <w:r w:rsidRPr="001A3D2B">
        <w:t>scientific fertility, not only within a given major disciplinary area, but also within different scientific disciplines encompassed by</w:t>
      </w:r>
      <w:r w:rsidR="003A1917">
        <w:t xml:space="preserve"> the </w:t>
      </w:r>
      <w:r w:rsidRPr="001A3D2B">
        <w:t>same area.</w:t>
      </w:r>
    </w:p>
    <w:p w:rsidR="003474F2" w:rsidRPr="001A3D2B" w:rsidRDefault="003474F2" w:rsidP="003474F2">
      <w:pPr>
        <w:pStyle w:val="a3"/>
      </w:pPr>
      <w:r w:rsidRPr="001A3D2B">
        <w:t>Keywords: Nations, Publications, Science, Universities</w:t>
      </w:r>
    </w:p>
    <w:p w:rsidR="004814D8" w:rsidRDefault="004814D8" w:rsidP="003474F2">
      <w:pPr>
        <w:pStyle w:val="a3"/>
      </w:pPr>
      <w:r>
        <w:rPr>
          <w:rFonts w:hint="eastAsia"/>
        </w:rPr>
        <w:t>Notes: CCountry</w:t>
      </w:r>
    </w:p>
    <w:p w:rsidR="003474F2" w:rsidRPr="001A3D2B" w:rsidRDefault="003474F2" w:rsidP="003474F2">
      <w:pPr>
        <w:pStyle w:val="a3"/>
      </w:pPr>
      <w:r w:rsidRPr="001A3D2B">
        <w:t>? Kostoff, R.N., Eriggs, M.E., Rushenberg, R.L., Eowles, C.A., Bhattacharya, S., Johnson, D., Icenhour, A.S., Nikodym, K., Barth, R.B., Dodbele, S.</w:t>
      </w:r>
      <w:r w:rsidR="005853A9">
        <w:t xml:space="preserve"> and </w:t>
      </w:r>
      <w:r w:rsidRPr="001A3D2B">
        <w:t xml:space="preserve">Pecht, M. </w:t>
      </w:r>
      <w:r w:rsidRPr="001A3D2B">
        <w:lastRenderedPageBreak/>
        <w:t>(2007), Assessment</w:t>
      </w:r>
      <w:r w:rsidR="00427468">
        <w:t xml:space="preserve"> of </w:t>
      </w:r>
      <w:r w:rsidRPr="001A3D2B">
        <w:t>science</w:t>
      </w:r>
      <w:r w:rsidR="005853A9">
        <w:t xml:space="preserve"> and </w:t>
      </w:r>
      <w:r w:rsidRPr="001A3D2B">
        <w:t>technology literature</w:t>
      </w:r>
      <w:r w:rsidR="00427468">
        <w:t xml:space="preserve"> of </w:t>
      </w:r>
      <w:r w:rsidRPr="001A3D2B">
        <w:t>China</w:t>
      </w:r>
      <w:r w:rsidR="005853A9">
        <w:t xml:space="preserve"> and </w:t>
      </w:r>
      <w:r w:rsidRPr="001A3D2B">
        <w:t>India as reflected in</w:t>
      </w:r>
      <w:r w:rsidR="003A1917">
        <w:t xml:space="preserve"> the </w:t>
      </w:r>
      <w:r w:rsidRPr="001A3D2B">
        <w:t>SCI/</w:t>
      </w:r>
      <w:r w:rsidR="00D5664A">
        <w:t>SSCI</w:t>
      </w:r>
      <w:r w:rsidRPr="001A3D2B">
        <w:t xml:space="preserve">. </w:t>
      </w:r>
      <w:r w:rsidRPr="001A3D2B">
        <w:rPr>
          <w:i/>
          <w:iCs/>
        </w:rPr>
        <w:t>Current Science</w:t>
      </w:r>
      <w:r w:rsidRPr="001A3D2B">
        <w:t xml:space="preserve">, </w:t>
      </w:r>
      <w:r w:rsidRPr="001A3D2B">
        <w:rPr>
          <w:b/>
          <w:bCs/>
        </w:rPr>
        <w:t>93</w:t>
      </w:r>
      <w:r w:rsidRPr="001A3D2B">
        <w:t xml:space="preserve"> (8), 1088-1092</w:t>
      </w:r>
      <w:r w:rsidR="00A311AA">
        <w:rPr>
          <w:rFonts w:hint="eastAsia"/>
        </w:rPr>
        <w:t>.</w:t>
      </w:r>
    </w:p>
    <w:p w:rsidR="003474F2" w:rsidRPr="001A3D2B" w:rsidRDefault="003474F2" w:rsidP="003474F2">
      <w:pPr>
        <w:pStyle w:val="a3"/>
      </w:pPr>
      <w:r w:rsidRPr="001A3D2B">
        <w:t xml:space="preserve">Full Text: </w:t>
      </w:r>
      <w:hyperlink r:id="rId1185" w:history="1">
        <w:r w:rsidRPr="001A3D2B">
          <w:rPr>
            <w:rStyle w:val="a5"/>
          </w:rPr>
          <w:t>2007\Cur Sci93, 1088.pdf</w:t>
        </w:r>
      </w:hyperlink>
    </w:p>
    <w:p w:rsidR="003474F2" w:rsidRPr="001A3D2B" w:rsidRDefault="003474F2" w:rsidP="003474F2">
      <w:pPr>
        <w:pStyle w:val="a3"/>
      </w:pPr>
      <w:r w:rsidRPr="001A3D2B">
        <w:t>Keywords: Bibliometrics, India, Research</w:t>
      </w:r>
      <w:r w:rsidR="005853A9">
        <w:t xml:space="preserve"> and </w:t>
      </w:r>
      <w:r w:rsidRPr="001A3D2B">
        <w:t>Technology Assessment, Science, Science</w:t>
      </w:r>
      <w:r w:rsidR="005853A9">
        <w:t xml:space="preserve"> and </w:t>
      </w:r>
      <w:r w:rsidRPr="001A3D2B">
        <w:t>Technology, Text Mining</w:t>
      </w:r>
    </w:p>
    <w:p w:rsidR="00831736" w:rsidRPr="00C73C58" w:rsidRDefault="00831736" w:rsidP="00831736">
      <w:pPr>
        <w:pStyle w:val="a3"/>
        <w:rPr>
          <w:kern w:val="0"/>
          <w:szCs w:val="24"/>
        </w:rPr>
      </w:pPr>
      <w:r w:rsidRPr="00C73C58">
        <w:rPr>
          <w:kern w:val="0"/>
          <w:szCs w:val="24"/>
        </w:rPr>
        <w:t>? Modak, J.M.</w:t>
      </w:r>
      <w:r w:rsidR="005853A9">
        <w:rPr>
          <w:kern w:val="0"/>
          <w:szCs w:val="24"/>
        </w:rPr>
        <w:t xml:space="preserve"> and </w:t>
      </w:r>
      <w:r w:rsidRPr="00C73C58">
        <w:rPr>
          <w:kern w:val="0"/>
          <w:szCs w:val="24"/>
        </w:rPr>
        <w:t>Madras, G. (2008), Scientometric analysis</w:t>
      </w:r>
      <w:r w:rsidR="00427468">
        <w:rPr>
          <w:kern w:val="0"/>
          <w:szCs w:val="24"/>
        </w:rPr>
        <w:t xml:space="preserve"> of </w:t>
      </w:r>
      <w:r w:rsidRPr="00C73C58">
        <w:rPr>
          <w:kern w:val="0"/>
          <w:szCs w:val="24"/>
        </w:rPr>
        <w:t xml:space="preserve">chemical engineering publications. </w:t>
      </w:r>
      <w:r w:rsidRPr="00C73C58">
        <w:rPr>
          <w:i/>
          <w:iCs/>
          <w:kern w:val="0"/>
          <w:szCs w:val="24"/>
        </w:rPr>
        <w:t>Current Science</w:t>
      </w:r>
      <w:r w:rsidRPr="00C73C58">
        <w:rPr>
          <w:kern w:val="0"/>
          <w:szCs w:val="24"/>
        </w:rPr>
        <w:t xml:space="preserve">, </w:t>
      </w:r>
      <w:r w:rsidRPr="00C73C58">
        <w:rPr>
          <w:b/>
          <w:bCs/>
          <w:kern w:val="0"/>
          <w:szCs w:val="24"/>
        </w:rPr>
        <w:t>94</w:t>
      </w:r>
      <w:r w:rsidRPr="00C73C58">
        <w:rPr>
          <w:kern w:val="0"/>
          <w:szCs w:val="24"/>
        </w:rPr>
        <w:t xml:space="preserve"> (10), 1265-1272.</w:t>
      </w:r>
    </w:p>
    <w:p w:rsidR="00831736" w:rsidRPr="00C73C58" w:rsidRDefault="00831736" w:rsidP="00831736">
      <w:pPr>
        <w:pStyle w:val="a3"/>
      </w:pPr>
      <w:r w:rsidRPr="00C73C58">
        <w:t xml:space="preserve">Full Text: </w:t>
      </w:r>
      <w:hyperlink r:id="rId1186" w:history="1">
        <w:r w:rsidRPr="00C73C58">
          <w:rPr>
            <w:rStyle w:val="a5"/>
          </w:rPr>
          <w:t>2008\Cur Sci94, 1265.</w:t>
        </w:r>
        <w:r>
          <w:rPr>
            <w:rStyle w:val="a5"/>
          </w:rPr>
          <w:t>pdf</w:t>
        </w:r>
      </w:hyperlink>
    </w:p>
    <w:p w:rsidR="00831736" w:rsidRPr="00C73C58" w:rsidRDefault="00831736" w:rsidP="00831736">
      <w:pPr>
        <w:pStyle w:val="a3"/>
      </w:pPr>
      <w:r w:rsidRPr="00C73C58">
        <w:t>Abstract: The objective</w:t>
      </w:r>
      <w:r w:rsidR="00427468">
        <w:t xml:space="preserve"> of </w:t>
      </w:r>
      <w:r w:rsidRPr="00C73C58">
        <w:t>this work was to analyse the scientometric parameters for chemical engineering publications. We have compared the number</w:t>
      </w:r>
      <w:r w:rsidR="00427468">
        <w:t xml:space="preserve"> of </w:t>
      </w:r>
      <w:r w:rsidRPr="00C73C58">
        <w:t>journal publications</w:t>
      </w:r>
      <w:r w:rsidR="005853A9">
        <w:t xml:space="preserve"> and </w:t>
      </w:r>
      <w:r w:rsidRPr="00C73C58">
        <w:t>citations by various countries</w:t>
      </w:r>
      <w:r w:rsidR="005853A9">
        <w:t xml:space="preserve"> and </w:t>
      </w:r>
      <w:r w:rsidRPr="00C73C58">
        <w:t>institutions</w:t>
      </w:r>
      <w:r w:rsidR="00A37C1D">
        <w:t>. The</w:t>
      </w:r>
      <w:r w:rsidRPr="00C73C58">
        <w:t xml:space="preserve"> publication record in terms</w:t>
      </w:r>
      <w:r w:rsidR="00427468">
        <w:t xml:space="preserve"> of </w:t>
      </w:r>
      <w:r w:rsidRPr="00C73C58">
        <w:t>quantitative aspects</w:t>
      </w:r>
      <w:r w:rsidR="00427468">
        <w:t xml:space="preserve"> of </w:t>
      </w:r>
      <w:r w:rsidRPr="00C73C58">
        <w:t>the number</w:t>
      </w:r>
      <w:r w:rsidR="00427468">
        <w:t xml:space="preserve"> of </w:t>
      </w:r>
      <w:r w:rsidRPr="00C73C58">
        <w:t>publications from China has increased exponentially over the last decade</w:t>
      </w:r>
      <w:r w:rsidR="005853A9">
        <w:t xml:space="preserve"> and </w:t>
      </w:r>
      <w:r w:rsidRPr="00C73C58">
        <w:t>has overtaken USA. However, the citation analysis indicates that there is ample scope for improvement. Thus, USA continues to maintain its leadership position with regard to impact in the field. Analysis</w:t>
      </w:r>
      <w:r w:rsidR="00427468">
        <w:t xml:space="preserve"> of </w:t>
      </w:r>
      <w:r w:rsidRPr="00C73C58">
        <w:t>the output</w:t>
      </w:r>
      <w:r w:rsidR="00427468">
        <w:t xml:space="preserve"> of </w:t>
      </w:r>
      <w:r w:rsidRPr="00C73C58">
        <w:t>selected Indian universities/organizations against that</w:t>
      </w:r>
      <w:r w:rsidR="00427468">
        <w:t xml:space="preserve"> of </w:t>
      </w:r>
      <w:r w:rsidRPr="00C73C58">
        <w:t>the top universities in the world, indicated that the records</w:t>
      </w:r>
      <w:r w:rsidR="00427468">
        <w:t xml:space="preserve"> of </w:t>
      </w:r>
      <w:r w:rsidRPr="00C73C58">
        <w:t>top institutions from India are not comparable to the best universities in USA, but are comparable to the best in Asia</w:t>
      </w:r>
      <w:r w:rsidR="005853A9">
        <w:t xml:space="preserve"> and </w:t>
      </w:r>
      <w:r w:rsidRPr="00C73C58">
        <w:t>are significantly better than the best universities in China.</w:t>
      </w:r>
    </w:p>
    <w:p w:rsidR="00831736" w:rsidRPr="00C73C58" w:rsidRDefault="00831736" w:rsidP="00831736">
      <w:pPr>
        <w:pStyle w:val="a3"/>
        <w:rPr>
          <w:kern w:val="0"/>
          <w:szCs w:val="24"/>
        </w:rPr>
      </w:pPr>
      <w:r w:rsidRPr="00C73C58">
        <w:rPr>
          <w:kern w:val="0"/>
          <w:szCs w:val="24"/>
        </w:rPr>
        <w:t>Keywords: Chemical Engineering, Citations, Publications, Scientometric Analysis</w:t>
      </w:r>
    </w:p>
    <w:p w:rsidR="00AD738F" w:rsidRDefault="00AD738F" w:rsidP="00AD738F">
      <w:pPr>
        <w:pStyle w:val="a3"/>
      </w:pPr>
      <w:r>
        <w:rPr>
          <w:rFonts w:hint="eastAsia"/>
        </w:rPr>
        <w:t>Notes: CCountry</w:t>
      </w:r>
    </w:p>
    <w:p w:rsidR="003474F2" w:rsidRPr="001A3D2B" w:rsidRDefault="003474F2" w:rsidP="003474F2">
      <w:pPr>
        <w:pStyle w:val="a3"/>
      </w:pPr>
      <w:r w:rsidRPr="001A3D2B">
        <w:t>? Arunachalam, S.</w:t>
      </w:r>
      <w:r w:rsidR="005853A9">
        <w:t xml:space="preserve"> and </w:t>
      </w:r>
      <w:r w:rsidRPr="001A3D2B">
        <w:t>Viswanathan, B. (2008), A historiographic analysis</w:t>
      </w:r>
      <w:r w:rsidR="00427468">
        <w:t xml:space="preserve"> of </w:t>
      </w:r>
      <w:r w:rsidRPr="001A3D2B">
        <w:t xml:space="preserve">fuel-cell research in Asia - China racing ahead. </w:t>
      </w:r>
      <w:r w:rsidRPr="001A3D2B">
        <w:rPr>
          <w:i/>
          <w:iCs/>
        </w:rPr>
        <w:t>Current Science</w:t>
      </w:r>
      <w:r w:rsidRPr="001A3D2B">
        <w:t xml:space="preserve">, </w:t>
      </w:r>
      <w:r w:rsidRPr="001A3D2B">
        <w:rPr>
          <w:b/>
          <w:bCs/>
        </w:rPr>
        <w:t>95</w:t>
      </w:r>
      <w:r w:rsidRPr="001A3D2B">
        <w:t xml:space="preserve"> (1), 36-49.</w:t>
      </w:r>
    </w:p>
    <w:p w:rsidR="003474F2" w:rsidRPr="001A3D2B" w:rsidRDefault="003474F2" w:rsidP="003474F2">
      <w:pPr>
        <w:pStyle w:val="a3"/>
      </w:pPr>
      <w:r w:rsidRPr="001A3D2B">
        <w:t xml:space="preserve">Full Text: </w:t>
      </w:r>
      <w:hyperlink r:id="rId1187" w:history="1">
        <w:r w:rsidRPr="001A3D2B">
          <w:rPr>
            <w:rStyle w:val="a5"/>
          </w:rPr>
          <w:t>2008\Cur Sci95, 36.pdf</w:t>
        </w:r>
      </w:hyperlink>
    </w:p>
    <w:p w:rsidR="003474F2" w:rsidRPr="001A3D2B" w:rsidRDefault="003474F2" w:rsidP="003474F2">
      <w:pPr>
        <w:pStyle w:val="a3"/>
      </w:pPr>
      <w:r w:rsidRPr="001A3D2B">
        <w:t>Abstract: Fuel-cell research in China, India, Japan, Singapore, South Korea</w:t>
      </w:r>
      <w:r w:rsidR="005853A9">
        <w:t xml:space="preserve"> and </w:t>
      </w:r>
      <w:r w:rsidRPr="001A3D2B">
        <w:t>Taiwan, over</w:t>
      </w:r>
      <w:r w:rsidR="003A1917">
        <w:t xml:space="preserve"> the </w:t>
      </w:r>
      <w:r w:rsidRPr="001A3D2B">
        <w:t>years 1983-2007 is analysed</w:t>
      </w:r>
      <w:r w:rsidR="005853A9">
        <w:t xml:space="preserve"> and </w:t>
      </w:r>
      <w:r w:rsidRPr="001A3D2B">
        <w:t xml:space="preserve">compared with that in </w:t>
      </w:r>
      <w:r w:rsidR="00D5664A">
        <w:t>USA</w:t>
      </w:r>
      <w:r w:rsidRPr="001A3D2B">
        <w:t xml:space="preserve"> for number</w:t>
      </w:r>
      <w:r w:rsidR="00427468">
        <w:t xml:space="preserve"> of </w:t>
      </w:r>
      <w:r w:rsidRPr="001A3D2B">
        <w:t>papers, document type, journals used</w:t>
      </w:r>
      <w:r w:rsidR="005853A9">
        <w:t xml:space="preserve"> and </w:t>
      </w:r>
      <w:r w:rsidRPr="001A3D2B">
        <w:t>international collaboration. For India</w:t>
      </w:r>
      <w:r w:rsidR="005853A9">
        <w:t xml:space="preserve"> and </w:t>
      </w:r>
      <w:r w:rsidRPr="001A3D2B">
        <w:t>China we have also identified</w:t>
      </w:r>
      <w:r w:rsidR="003A1917">
        <w:t xml:space="preserve"> the </w:t>
      </w:r>
      <w:r w:rsidRPr="001A3D2B">
        <w:t>key researchers</w:t>
      </w:r>
      <w:r w:rsidR="005853A9">
        <w:t xml:space="preserve"> and </w:t>
      </w:r>
      <w:r w:rsidRPr="001A3D2B">
        <w:t>institutions. Using HistCite,</w:t>
      </w:r>
      <w:r w:rsidR="003A1917">
        <w:t xml:space="preserve"> the </w:t>
      </w:r>
      <w:r w:rsidRPr="001A3D2B">
        <w:t>visualization technique developed by Garfield</w:t>
      </w:r>
      <w:r w:rsidR="005853A9">
        <w:t xml:space="preserve"> and </w:t>
      </w:r>
      <w:r w:rsidRPr="001A3D2B">
        <w:t>colleagues, we have constructed</w:t>
      </w:r>
      <w:r w:rsidR="003A1917">
        <w:t xml:space="preserve"> the </w:t>
      </w:r>
      <w:r w:rsidRPr="001A3D2B">
        <w:t>historiographs for India</w:t>
      </w:r>
      <w:r w:rsidR="005853A9">
        <w:t xml:space="preserve"> and </w:t>
      </w:r>
      <w:r w:rsidRPr="001A3D2B">
        <w:t>China based on both local citation scores (LCS)</w:t>
      </w:r>
      <w:r w:rsidR="005853A9">
        <w:t xml:space="preserve"> and </w:t>
      </w:r>
      <w:r w:rsidRPr="001A3D2B">
        <w:t>global citation scores,</w:t>
      </w:r>
      <w:r w:rsidR="005853A9">
        <w:t xml:space="preserve"> and </w:t>
      </w:r>
      <w:r w:rsidRPr="001A3D2B">
        <w:t>identified key papers. We find that</w:t>
      </w:r>
      <w:r w:rsidR="003A1917">
        <w:t xml:space="preserve"> the </w:t>
      </w:r>
      <w:r w:rsidRPr="001A3D2B">
        <w:t>knowledge flow among different Asian countries is rather limited</w:t>
      </w:r>
      <w:r w:rsidR="005853A9">
        <w:t xml:space="preserve"> and </w:t>
      </w:r>
      <w:r w:rsidRPr="001A3D2B">
        <w:t>that China has something to offer to India</w:t>
      </w:r>
      <w:r w:rsidR="00A37C1D">
        <w:t>. The</w:t>
      </w:r>
      <w:r w:rsidR="003A1917">
        <w:t xml:space="preserve"> </w:t>
      </w:r>
      <w:r w:rsidRPr="001A3D2B">
        <w:t>thrust in China is in developing noble metal nanoparticle catalysts supported on carbon nanotubes</w:t>
      </w:r>
      <w:r w:rsidR="005853A9">
        <w:t xml:space="preserve"> and </w:t>
      </w:r>
      <w:r w:rsidR="003A1917">
        <w:t xml:space="preserve">the </w:t>
      </w:r>
      <w:r w:rsidRPr="001A3D2B">
        <w:t>thrust in India is in</w:t>
      </w:r>
      <w:r w:rsidR="003A1917">
        <w:t xml:space="preserve"> the </w:t>
      </w:r>
      <w:r w:rsidRPr="001A3D2B">
        <w:t>area</w:t>
      </w:r>
      <w:r w:rsidR="00427468">
        <w:t xml:space="preserve"> of </w:t>
      </w:r>
      <w:r w:rsidRPr="001A3D2B">
        <w:t>direct methanol fuel cells. In India, A. K. Shukla is</w:t>
      </w:r>
      <w:r w:rsidR="003A1917">
        <w:t xml:space="preserve"> the </w:t>
      </w:r>
      <w:r w:rsidRPr="001A3D2B">
        <w:t>single most significant contributor to fuel cell research. He is</w:t>
      </w:r>
      <w:r w:rsidR="003A1917">
        <w:t xml:space="preserve"> the </w:t>
      </w:r>
      <w:r w:rsidRPr="001A3D2B">
        <w:t>author</w:t>
      </w:r>
      <w:r w:rsidR="00427468">
        <w:t xml:space="preserve"> of </w:t>
      </w:r>
      <w:r w:rsidRPr="001A3D2B">
        <w:t>14</w:t>
      </w:r>
      <w:r w:rsidR="00427468">
        <w:t xml:space="preserve"> of </w:t>
      </w:r>
      <w:r w:rsidR="003A1917">
        <w:t xml:space="preserve">the </w:t>
      </w:r>
      <w:r w:rsidRPr="001A3D2B">
        <w:t>50 nodes in</w:t>
      </w:r>
      <w:r w:rsidR="003A1917">
        <w:t xml:space="preserve"> the </w:t>
      </w:r>
      <w:r w:rsidRPr="001A3D2B">
        <w:t>India LCS historiograph.</w:t>
      </w:r>
    </w:p>
    <w:p w:rsidR="003474F2" w:rsidRPr="001A3D2B" w:rsidRDefault="003474F2" w:rsidP="003474F2">
      <w:pPr>
        <w:pStyle w:val="a3"/>
      </w:pPr>
      <w:r w:rsidRPr="001A3D2B">
        <w:t>Keywords: Fuel-Cell Research, Historiographic Analysis, Local</w:t>
      </w:r>
      <w:r w:rsidR="005853A9">
        <w:t xml:space="preserve"> and </w:t>
      </w:r>
      <w:r w:rsidRPr="001A3D2B">
        <w:t>Global Citation Scores</w:t>
      </w:r>
    </w:p>
    <w:p w:rsidR="00831736" w:rsidRPr="00C73C58" w:rsidRDefault="00831736" w:rsidP="00831736">
      <w:pPr>
        <w:pStyle w:val="a3"/>
        <w:rPr>
          <w:kern w:val="0"/>
          <w:szCs w:val="24"/>
        </w:rPr>
      </w:pPr>
      <w:r w:rsidRPr="00C73C58">
        <w:rPr>
          <w:kern w:val="0"/>
          <w:szCs w:val="24"/>
        </w:rPr>
        <w:lastRenderedPageBreak/>
        <w:t xml:space="preserve">? </w:t>
      </w:r>
      <w:r w:rsidRPr="00ED526A">
        <w:rPr>
          <w:kern w:val="0"/>
          <w:szCs w:val="24"/>
        </w:rPr>
        <w:t>Arunachalam, S</w:t>
      </w:r>
      <w:r>
        <w:rPr>
          <w:rFonts w:hint="eastAsia"/>
          <w:kern w:val="0"/>
          <w:szCs w:val="24"/>
        </w:rPr>
        <w:t>.</w:t>
      </w:r>
      <w:r w:rsidR="005853A9">
        <w:rPr>
          <w:rFonts w:hint="eastAsia"/>
          <w:kern w:val="0"/>
          <w:szCs w:val="24"/>
        </w:rPr>
        <w:t xml:space="preserve"> and </w:t>
      </w:r>
      <w:r w:rsidRPr="00ED526A">
        <w:rPr>
          <w:kern w:val="0"/>
          <w:szCs w:val="24"/>
        </w:rPr>
        <w:t>Viswanathan, B</w:t>
      </w:r>
      <w:r>
        <w:rPr>
          <w:rFonts w:hint="eastAsia"/>
          <w:kern w:val="0"/>
          <w:szCs w:val="24"/>
        </w:rPr>
        <w:t>.</w:t>
      </w:r>
      <w:r w:rsidRPr="00C73C58">
        <w:rPr>
          <w:kern w:val="0"/>
          <w:szCs w:val="24"/>
        </w:rPr>
        <w:t xml:space="preserve"> (2008), </w:t>
      </w:r>
      <w:r w:rsidRPr="00ED526A">
        <w:rPr>
          <w:kern w:val="0"/>
          <w:szCs w:val="24"/>
        </w:rPr>
        <w:t>South-South cooperation: The case</w:t>
      </w:r>
      <w:r w:rsidR="00427468">
        <w:rPr>
          <w:kern w:val="0"/>
          <w:szCs w:val="24"/>
        </w:rPr>
        <w:t xml:space="preserve"> of </w:t>
      </w:r>
      <w:r w:rsidRPr="00ED526A">
        <w:rPr>
          <w:kern w:val="0"/>
          <w:szCs w:val="24"/>
        </w:rPr>
        <w:t>Indo-Chinese collaboration in scientific research</w:t>
      </w:r>
      <w:r w:rsidRPr="00C73C58">
        <w:rPr>
          <w:kern w:val="0"/>
          <w:szCs w:val="24"/>
        </w:rPr>
        <w:t xml:space="preserve">. </w:t>
      </w:r>
      <w:r w:rsidRPr="00C73C58">
        <w:rPr>
          <w:i/>
          <w:iCs/>
          <w:kern w:val="0"/>
          <w:szCs w:val="24"/>
        </w:rPr>
        <w:t>Current Science</w:t>
      </w:r>
      <w:r w:rsidRPr="00C73C58">
        <w:rPr>
          <w:kern w:val="0"/>
          <w:szCs w:val="24"/>
        </w:rPr>
        <w:t xml:space="preserve">, </w:t>
      </w:r>
      <w:r w:rsidRPr="00C73C58">
        <w:rPr>
          <w:b/>
          <w:bCs/>
          <w:kern w:val="0"/>
          <w:szCs w:val="24"/>
        </w:rPr>
        <w:t>95</w:t>
      </w:r>
      <w:r w:rsidRPr="00C73C58">
        <w:rPr>
          <w:kern w:val="0"/>
          <w:szCs w:val="24"/>
        </w:rPr>
        <w:t xml:space="preserve"> (</w:t>
      </w:r>
      <w:r>
        <w:rPr>
          <w:rFonts w:hint="eastAsia"/>
          <w:kern w:val="0"/>
          <w:szCs w:val="24"/>
        </w:rPr>
        <w:t>3</w:t>
      </w:r>
      <w:r w:rsidRPr="00C73C58">
        <w:rPr>
          <w:kern w:val="0"/>
          <w:szCs w:val="24"/>
        </w:rPr>
        <w:t xml:space="preserve">), </w:t>
      </w:r>
      <w:r w:rsidRPr="00ED526A">
        <w:rPr>
          <w:kern w:val="0"/>
          <w:szCs w:val="24"/>
        </w:rPr>
        <w:t>311-313</w:t>
      </w:r>
      <w:r w:rsidRPr="00C73C58">
        <w:rPr>
          <w:kern w:val="0"/>
          <w:szCs w:val="24"/>
        </w:rPr>
        <w:t>.</w:t>
      </w:r>
    </w:p>
    <w:p w:rsidR="00831736" w:rsidRPr="00C73C58" w:rsidRDefault="00831736" w:rsidP="00831736">
      <w:pPr>
        <w:pStyle w:val="a3"/>
      </w:pPr>
      <w:r w:rsidRPr="00C73C58">
        <w:t xml:space="preserve">Full Text: </w:t>
      </w:r>
      <w:hyperlink r:id="rId1188" w:history="1">
        <w:r w:rsidRPr="00ED526A">
          <w:rPr>
            <w:rStyle w:val="a5"/>
          </w:rPr>
          <w:t>2008\Cur Sci95, 311.pdf</w:t>
        </w:r>
      </w:hyperlink>
    </w:p>
    <w:p w:rsidR="00831736" w:rsidRDefault="00831736" w:rsidP="00831736">
      <w:pPr>
        <w:pStyle w:val="a3"/>
        <w:rPr>
          <w:kern w:val="0"/>
          <w:szCs w:val="24"/>
        </w:rPr>
      </w:pPr>
      <w:r>
        <w:rPr>
          <w:kern w:val="0"/>
          <w:szCs w:val="24"/>
        </w:rPr>
        <w:t>Keywords: Science</w:t>
      </w:r>
      <w:r>
        <w:rPr>
          <w:rFonts w:hint="eastAsia"/>
          <w:kern w:val="0"/>
          <w:szCs w:val="24"/>
        </w:rPr>
        <w:t>,</w:t>
      </w:r>
      <w:r>
        <w:rPr>
          <w:kern w:val="0"/>
          <w:szCs w:val="24"/>
        </w:rPr>
        <w:t xml:space="preserve"> Asia</w:t>
      </w:r>
    </w:p>
    <w:p w:rsidR="00831736" w:rsidRPr="00C73C58" w:rsidRDefault="00831736" w:rsidP="00831736">
      <w:pPr>
        <w:pStyle w:val="a3"/>
        <w:rPr>
          <w:kern w:val="0"/>
          <w:szCs w:val="24"/>
        </w:rPr>
      </w:pPr>
      <w:r w:rsidRPr="00C73C58">
        <w:rPr>
          <w:kern w:val="0"/>
          <w:szCs w:val="24"/>
        </w:rPr>
        <w:t xml:space="preserve">? Balaram, P. (2008), Scientometrics: A dismal science. </w:t>
      </w:r>
      <w:r w:rsidRPr="00C73C58">
        <w:rPr>
          <w:i/>
          <w:iCs/>
          <w:kern w:val="0"/>
          <w:szCs w:val="24"/>
        </w:rPr>
        <w:t>Current Science</w:t>
      </w:r>
      <w:r w:rsidRPr="00C73C58">
        <w:rPr>
          <w:kern w:val="0"/>
          <w:szCs w:val="24"/>
        </w:rPr>
        <w:t xml:space="preserve">, </w:t>
      </w:r>
      <w:r w:rsidRPr="00C73C58">
        <w:rPr>
          <w:b/>
          <w:bCs/>
          <w:kern w:val="0"/>
          <w:szCs w:val="24"/>
        </w:rPr>
        <w:t>95</w:t>
      </w:r>
      <w:r w:rsidRPr="00C73C58">
        <w:rPr>
          <w:kern w:val="0"/>
          <w:szCs w:val="24"/>
        </w:rPr>
        <w:t xml:space="preserve"> (4), 431-432.</w:t>
      </w:r>
    </w:p>
    <w:p w:rsidR="00831736" w:rsidRPr="00C73C58" w:rsidRDefault="00831736" w:rsidP="00831736">
      <w:pPr>
        <w:pStyle w:val="a3"/>
      </w:pPr>
      <w:r w:rsidRPr="00C73C58">
        <w:t xml:space="preserve">Full Text: </w:t>
      </w:r>
      <w:hyperlink r:id="rId1189" w:history="1">
        <w:r w:rsidRPr="00831736">
          <w:rPr>
            <w:rStyle w:val="a5"/>
          </w:rPr>
          <w:t>2008\Cur Sci95, 431.pdf</w:t>
        </w:r>
      </w:hyperlink>
    </w:p>
    <w:p w:rsidR="00831736" w:rsidRPr="00C73C58" w:rsidRDefault="00831736" w:rsidP="00831736">
      <w:pPr>
        <w:pStyle w:val="a3"/>
        <w:rPr>
          <w:kern w:val="0"/>
          <w:szCs w:val="24"/>
        </w:rPr>
      </w:pPr>
      <w:r w:rsidRPr="00C73C58">
        <w:rPr>
          <w:kern w:val="0"/>
          <w:szCs w:val="24"/>
        </w:rPr>
        <w:t>Keywords: Science, Scientometrics</w:t>
      </w:r>
    </w:p>
    <w:p w:rsidR="00AD738F" w:rsidRDefault="00AD738F" w:rsidP="00AD738F">
      <w:pPr>
        <w:pStyle w:val="a3"/>
      </w:pPr>
      <w:r>
        <w:rPr>
          <w:rFonts w:hint="eastAsia"/>
        </w:rPr>
        <w:t>Notes: CCountry</w:t>
      </w:r>
    </w:p>
    <w:p w:rsidR="00997C84" w:rsidRPr="001A3D2B" w:rsidRDefault="00997C84" w:rsidP="00997C84">
      <w:pPr>
        <w:pStyle w:val="a3"/>
        <w:rPr>
          <w:kern w:val="0"/>
          <w:szCs w:val="24"/>
        </w:rPr>
      </w:pPr>
      <w:r w:rsidRPr="001A3D2B">
        <w:rPr>
          <w:kern w:val="0"/>
          <w:szCs w:val="24"/>
        </w:rPr>
        <w:t>? Sangam, S.L.</w:t>
      </w:r>
      <w:r w:rsidR="005853A9">
        <w:rPr>
          <w:kern w:val="0"/>
          <w:szCs w:val="24"/>
        </w:rPr>
        <w:t xml:space="preserve"> and </w:t>
      </w:r>
      <w:r w:rsidRPr="001A3D2B">
        <w:rPr>
          <w:kern w:val="0"/>
          <w:szCs w:val="24"/>
        </w:rPr>
        <w:t>Girji, R.M. (2008), Indian science</w:t>
      </w:r>
      <w:r w:rsidR="005853A9">
        <w:rPr>
          <w:kern w:val="0"/>
          <w:szCs w:val="24"/>
        </w:rPr>
        <w:t xml:space="preserve"> and </w:t>
      </w:r>
      <w:r w:rsidRPr="001A3D2B">
        <w:rPr>
          <w:kern w:val="0"/>
          <w:szCs w:val="24"/>
        </w:rPr>
        <w:t xml:space="preserve">technology in a scientometric perspective. </w:t>
      </w:r>
      <w:r w:rsidRPr="001A3D2B">
        <w:rPr>
          <w:i/>
          <w:iCs/>
          <w:kern w:val="0"/>
          <w:szCs w:val="24"/>
        </w:rPr>
        <w:t>Current Science</w:t>
      </w:r>
      <w:r w:rsidRPr="001A3D2B">
        <w:rPr>
          <w:kern w:val="0"/>
          <w:szCs w:val="24"/>
        </w:rPr>
        <w:t xml:space="preserve">, </w:t>
      </w:r>
      <w:r w:rsidRPr="001A3D2B">
        <w:rPr>
          <w:b/>
          <w:bCs/>
          <w:kern w:val="0"/>
          <w:szCs w:val="24"/>
        </w:rPr>
        <w:t>95</w:t>
      </w:r>
      <w:r w:rsidRPr="001A3D2B">
        <w:rPr>
          <w:kern w:val="0"/>
          <w:szCs w:val="24"/>
        </w:rPr>
        <w:t xml:space="preserve"> (10), 1383.</w:t>
      </w:r>
    </w:p>
    <w:p w:rsidR="00997C84" w:rsidRPr="001A3D2B" w:rsidRDefault="00997C84" w:rsidP="00997C84">
      <w:pPr>
        <w:pStyle w:val="a3"/>
      </w:pPr>
      <w:r w:rsidRPr="001A3D2B">
        <w:t xml:space="preserve">Full Text: </w:t>
      </w:r>
      <w:hyperlink r:id="rId1190" w:history="1">
        <w:r w:rsidRPr="001A3D2B">
          <w:rPr>
            <w:rStyle w:val="a5"/>
          </w:rPr>
          <w:t>2008\Cur Sci95, 1383.pdf</w:t>
        </w:r>
      </w:hyperlink>
    </w:p>
    <w:p w:rsidR="00997C84" w:rsidRPr="001A3D2B" w:rsidRDefault="00997C84" w:rsidP="00997C84">
      <w:pPr>
        <w:pStyle w:val="a3"/>
        <w:rPr>
          <w:kern w:val="0"/>
          <w:szCs w:val="24"/>
        </w:rPr>
      </w:pPr>
      <w:r w:rsidRPr="001A3D2B">
        <w:rPr>
          <w:kern w:val="0"/>
          <w:szCs w:val="24"/>
        </w:rPr>
        <w:t>Keywords: Indian, Nov, Science, Science</w:t>
      </w:r>
      <w:r w:rsidR="005853A9">
        <w:rPr>
          <w:kern w:val="0"/>
          <w:szCs w:val="24"/>
        </w:rPr>
        <w:t xml:space="preserve"> and </w:t>
      </w:r>
      <w:r w:rsidRPr="001A3D2B">
        <w:rPr>
          <w:kern w:val="0"/>
          <w:szCs w:val="24"/>
        </w:rPr>
        <w:t>Technology, Scientometric, Technology</w:t>
      </w:r>
    </w:p>
    <w:p w:rsidR="00997C84" w:rsidRPr="001A3D2B" w:rsidRDefault="00997C84" w:rsidP="00997C84">
      <w:pPr>
        <w:pStyle w:val="a3"/>
        <w:rPr>
          <w:kern w:val="0"/>
          <w:szCs w:val="24"/>
        </w:rPr>
      </w:pPr>
      <w:r w:rsidRPr="001A3D2B">
        <w:rPr>
          <w:kern w:val="0"/>
          <w:szCs w:val="24"/>
        </w:rPr>
        <w:t>? Gowrishankar, J.</w:t>
      </w:r>
      <w:r w:rsidR="005853A9">
        <w:rPr>
          <w:kern w:val="0"/>
          <w:szCs w:val="24"/>
        </w:rPr>
        <w:t xml:space="preserve"> and </w:t>
      </w:r>
      <w:r w:rsidRPr="001A3D2B">
        <w:rPr>
          <w:kern w:val="0"/>
          <w:szCs w:val="24"/>
        </w:rPr>
        <w:t>Divakar, P. (2008), Scientometrics</w:t>
      </w:r>
      <w:r w:rsidR="005853A9">
        <w:rPr>
          <w:kern w:val="0"/>
          <w:szCs w:val="24"/>
        </w:rPr>
        <w:t xml:space="preserve"> and </w:t>
      </w:r>
      <w:r w:rsidRPr="001A3D2B">
        <w:rPr>
          <w:kern w:val="0"/>
          <w:szCs w:val="24"/>
        </w:rPr>
        <w:t xml:space="preserve">modified h-indices. </w:t>
      </w:r>
      <w:r w:rsidRPr="001A3D2B">
        <w:rPr>
          <w:i/>
          <w:iCs/>
          <w:kern w:val="0"/>
          <w:szCs w:val="24"/>
        </w:rPr>
        <w:t>Current Science</w:t>
      </w:r>
      <w:r w:rsidRPr="001A3D2B">
        <w:rPr>
          <w:kern w:val="0"/>
          <w:szCs w:val="24"/>
        </w:rPr>
        <w:t xml:space="preserve">, </w:t>
      </w:r>
      <w:r w:rsidRPr="001A3D2B">
        <w:rPr>
          <w:b/>
          <w:bCs/>
          <w:kern w:val="0"/>
          <w:szCs w:val="24"/>
        </w:rPr>
        <w:t>95</w:t>
      </w:r>
      <w:r w:rsidRPr="001A3D2B">
        <w:rPr>
          <w:kern w:val="0"/>
          <w:szCs w:val="24"/>
        </w:rPr>
        <w:t xml:space="preserve"> (12), 1656.</w:t>
      </w:r>
    </w:p>
    <w:p w:rsidR="00997C84" w:rsidRPr="001A3D2B" w:rsidRDefault="00997C84" w:rsidP="00997C84">
      <w:pPr>
        <w:pStyle w:val="a3"/>
      </w:pPr>
      <w:r w:rsidRPr="001A3D2B">
        <w:t xml:space="preserve">Full Text: </w:t>
      </w:r>
      <w:hyperlink r:id="rId1191" w:history="1">
        <w:r w:rsidRPr="001A3D2B">
          <w:rPr>
            <w:rStyle w:val="a5"/>
          </w:rPr>
          <w:t>2008\Cur Sci95, 1656.pdf</w:t>
        </w:r>
      </w:hyperlink>
    </w:p>
    <w:p w:rsidR="00997C84" w:rsidRPr="001A3D2B" w:rsidRDefault="00997C84" w:rsidP="00997C84">
      <w:pPr>
        <w:pStyle w:val="a3"/>
        <w:rPr>
          <w:kern w:val="0"/>
          <w:szCs w:val="24"/>
        </w:rPr>
      </w:pPr>
      <w:r w:rsidRPr="001A3D2B">
        <w:rPr>
          <w:kern w:val="0"/>
          <w:szCs w:val="24"/>
        </w:rPr>
        <w:t>Keywords: Modified, Scientometrics</w:t>
      </w:r>
    </w:p>
    <w:p w:rsidR="00AD738F" w:rsidRDefault="00AD738F" w:rsidP="00997C84">
      <w:pPr>
        <w:pStyle w:val="a3"/>
        <w:rPr>
          <w:kern w:val="0"/>
          <w:szCs w:val="24"/>
        </w:rPr>
      </w:pPr>
      <w:r>
        <w:rPr>
          <w:rFonts w:hint="eastAsia"/>
          <w:kern w:val="0"/>
          <w:szCs w:val="24"/>
        </w:rPr>
        <w:t>Notes: TTopic</w:t>
      </w:r>
    </w:p>
    <w:p w:rsidR="00997C84" w:rsidRPr="001A3D2B" w:rsidRDefault="00997C84" w:rsidP="00997C84">
      <w:pPr>
        <w:pStyle w:val="a3"/>
        <w:rPr>
          <w:kern w:val="0"/>
          <w:szCs w:val="24"/>
        </w:rPr>
      </w:pPr>
      <w:r w:rsidRPr="001A3D2B">
        <w:rPr>
          <w:kern w:val="0"/>
          <w:szCs w:val="24"/>
        </w:rPr>
        <w:t>? Ganguli, R. (2008), A scientometric analysis</w:t>
      </w:r>
      <w:r w:rsidR="00427468">
        <w:rPr>
          <w:kern w:val="0"/>
          <w:szCs w:val="24"/>
        </w:rPr>
        <w:t xml:space="preserve"> of </w:t>
      </w:r>
      <w:r w:rsidRPr="001A3D2B">
        <w:rPr>
          <w:kern w:val="0"/>
          <w:szCs w:val="24"/>
        </w:rPr>
        <w:t xml:space="preserve">recent aerospace research. </w:t>
      </w:r>
      <w:r w:rsidRPr="001A3D2B">
        <w:rPr>
          <w:i/>
          <w:iCs/>
          <w:kern w:val="0"/>
          <w:szCs w:val="24"/>
        </w:rPr>
        <w:t>Current Science</w:t>
      </w:r>
      <w:r w:rsidRPr="001A3D2B">
        <w:rPr>
          <w:kern w:val="0"/>
          <w:szCs w:val="24"/>
        </w:rPr>
        <w:t xml:space="preserve">, </w:t>
      </w:r>
      <w:r w:rsidRPr="001A3D2B">
        <w:rPr>
          <w:b/>
          <w:bCs/>
          <w:kern w:val="0"/>
          <w:szCs w:val="24"/>
        </w:rPr>
        <w:t>95</w:t>
      </w:r>
      <w:r w:rsidRPr="001A3D2B">
        <w:rPr>
          <w:kern w:val="0"/>
          <w:szCs w:val="24"/>
        </w:rPr>
        <w:t xml:space="preserve"> (12), 1670-1672.</w:t>
      </w:r>
    </w:p>
    <w:p w:rsidR="00997C84" w:rsidRPr="001A3D2B" w:rsidRDefault="00997C84" w:rsidP="00997C84">
      <w:pPr>
        <w:pStyle w:val="a3"/>
      </w:pPr>
      <w:r w:rsidRPr="001A3D2B">
        <w:t xml:space="preserve">Full Text: </w:t>
      </w:r>
      <w:hyperlink r:id="rId1192" w:history="1">
        <w:r w:rsidR="00A311C8" w:rsidRPr="00A311C8">
          <w:rPr>
            <w:rStyle w:val="a5"/>
          </w:rPr>
          <w:t>2008\Cur Sci95, 1679.pdf</w:t>
        </w:r>
      </w:hyperlink>
    </w:p>
    <w:p w:rsidR="00997C84" w:rsidRPr="001A3D2B" w:rsidRDefault="00997C84" w:rsidP="00997C84">
      <w:pPr>
        <w:pStyle w:val="a3"/>
        <w:rPr>
          <w:kern w:val="0"/>
          <w:szCs w:val="24"/>
        </w:rPr>
      </w:pPr>
      <w:r w:rsidRPr="001A3D2B">
        <w:rPr>
          <w:kern w:val="0"/>
          <w:szCs w:val="24"/>
        </w:rPr>
        <w:t>Keywords: Analysis, Research, Scientometric, Scientometric Analysis</w:t>
      </w:r>
    </w:p>
    <w:p w:rsidR="001F091B" w:rsidRDefault="001F091B" w:rsidP="001F091B">
      <w:pPr>
        <w:pStyle w:val="a3"/>
        <w:rPr>
          <w:kern w:val="0"/>
        </w:rPr>
      </w:pPr>
      <w:r>
        <w:rPr>
          <w:rFonts w:hint="eastAsia"/>
          <w:kern w:val="0"/>
        </w:rPr>
        <w:t xml:space="preserve">? </w:t>
      </w:r>
      <w:r>
        <w:rPr>
          <w:kern w:val="0"/>
        </w:rPr>
        <w:t>Kanchan, T.</w:t>
      </w:r>
      <w:r w:rsidR="005853A9">
        <w:rPr>
          <w:kern w:val="0"/>
        </w:rPr>
        <w:t xml:space="preserve"> and </w:t>
      </w:r>
      <w:r>
        <w:rPr>
          <w:kern w:val="0"/>
        </w:rPr>
        <w:t xml:space="preserve">Menezes, R.G. (2010), Gift authorship. </w:t>
      </w:r>
      <w:r>
        <w:rPr>
          <w:i/>
          <w:iCs/>
          <w:kern w:val="0"/>
        </w:rPr>
        <w:t>Current Science</w:t>
      </w:r>
      <w:r>
        <w:rPr>
          <w:kern w:val="0"/>
        </w:rPr>
        <w:t xml:space="preserve">, </w:t>
      </w:r>
      <w:r>
        <w:rPr>
          <w:b/>
          <w:bCs/>
          <w:kern w:val="0"/>
        </w:rPr>
        <w:t>98</w:t>
      </w:r>
      <w:r>
        <w:rPr>
          <w:kern w:val="0"/>
        </w:rPr>
        <w:t xml:space="preserve"> (1), 9-10</w:t>
      </w:r>
      <w:r>
        <w:rPr>
          <w:rFonts w:hint="eastAsia"/>
          <w:kern w:val="0"/>
        </w:rPr>
        <w:t>.</w:t>
      </w:r>
    </w:p>
    <w:p w:rsidR="001F091B" w:rsidRDefault="001F091B" w:rsidP="001F091B">
      <w:pPr>
        <w:pStyle w:val="a3"/>
        <w:rPr>
          <w:kern w:val="0"/>
        </w:rPr>
      </w:pPr>
      <w:r>
        <w:rPr>
          <w:rFonts w:hint="eastAsia"/>
          <w:kern w:val="0"/>
        </w:rPr>
        <w:t xml:space="preserve">Full Text: </w:t>
      </w:r>
      <w:hyperlink r:id="rId1193" w:history="1">
        <w:r w:rsidRPr="001F091B">
          <w:rPr>
            <w:rStyle w:val="a5"/>
            <w:kern w:val="0"/>
          </w:rPr>
          <w:t>2010\Cur Sci98, 9.pdf</w:t>
        </w:r>
      </w:hyperlink>
    </w:p>
    <w:p w:rsidR="001F091B" w:rsidRDefault="001F091B" w:rsidP="001F091B">
      <w:pPr>
        <w:pStyle w:val="a3"/>
        <w:rPr>
          <w:kern w:val="0"/>
        </w:rPr>
      </w:pPr>
      <w:r>
        <w:rPr>
          <w:kern w:val="0"/>
        </w:rPr>
        <w:t>Keywords: Authorship</w:t>
      </w:r>
    </w:p>
    <w:p w:rsidR="0051715B" w:rsidRDefault="0051715B" w:rsidP="002F554C">
      <w:pPr>
        <w:pStyle w:val="a3"/>
        <w:rPr>
          <w:kern w:val="0"/>
        </w:rPr>
      </w:pPr>
      <w:r>
        <w:rPr>
          <w:rFonts w:hint="eastAsia"/>
          <w:kern w:val="0"/>
        </w:rPr>
        <w:t>Notes: CCountry</w:t>
      </w:r>
    </w:p>
    <w:p w:rsidR="002F554C" w:rsidRDefault="002F554C" w:rsidP="002F554C">
      <w:pPr>
        <w:pStyle w:val="a3"/>
        <w:rPr>
          <w:kern w:val="0"/>
        </w:rPr>
      </w:pPr>
      <w:r>
        <w:rPr>
          <w:rFonts w:hint="eastAsia"/>
          <w:kern w:val="0"/>
        </w:rPr>
        <w:t xml:space="preserve">? </w:t>
      </w:r>
      <w:r>
        <w:rPr>
          <w:kern w:val="0"/>
        </w:rPr>
        <w:t xml:space="preserve">Arunan, E. (2010), Scientometrics, </w:t>
      </w:r>
      <w:r w:rsidRPr="00543F63">
        <w:rPr>
          <w:i/>
          <w:kern w:val="0"/>
        </w:rPr>
        <w:t>Wisden</w:t>
      </w:r>
      <w:r>
        <w:rPr>
          <w:kern w:val="0"/>
        </w:rPr>
        <w:t>, science, cricket</w:t>
      </w:r>
      <w:r w:rsidR="005853A9">
        <w:rPr>
          <w:kern w:val="0"/>
        </w:rPr>
        <w:t xml:space="preserve"> and </w:t>
      </w:r>
      <w:r>
        <w:rPr>
          <w:kern w:val="0"/>
        </w:rPr>
        <w:t xml:space="preserve">leadership in India. </w:t>
      </w:r>
      <w:r>
        <w:rPr>
          <w:i/>
          <w:iCs/>
          <w:kern w:val="0"/>
        </w:rPr>
        <w:t>Current Science</w:t>
      </w:r>
      <w:r>
        <w:rPr>
          <w:kern w:val="0"/>
        </w:rPr>
        <w:t xml:space="preserve">, </w:t>
      </w:r>
      <w:r>
        <w:rPr>
          <w:b/>
          <w:bCs/>
          <w:kern w:val="0"/>
        </w:rPr>
        <w:t>98</w:t>
      </w:r>
      <w:r>
        <w:rPr>
          <w:kern w:val="0"/>
        </w:rPr>
        <w:t xml:space="preserve"> (8), 993</w:t>
      </w:r>
      <w:r>
        <w:rPr>
          <w:rFonts w:hint="eastAsia"/>
          <w:kern w:val="0"/>
        </w:rPr>
        <w:t>.</w:t>
      </w:r>
    </w:p>
    <w:p w:rsidR="002F554C" w:rsidRPr="001A3D2B" w:rsidRDefault="002F554C" w:rsidP="002F554C">
      <w:pPr>
        <w:pStyle w:val="a3"/>
      </w:pPr>
      <w:r w:rsidRPr="001A3D2B">
        <w:t xml:space="preserve">Full Text: </w:t>
      </w:r>
      <w:hyperlink r:id="rId1194" w:history="1">
        <w:r w:rsidR="00AD738F" w:rsidRPr="00AD738F">
          <w:rPr>
            <w:rStyle w:val="a5"/>
          </w:rPr>
          <w:t>2010\Cur Sci98, 993.pdf</w:t>
        </w:r>
      </w:hyperlink>
    </w:p>
    <w:p w:rsidR="002F554C" w:rsidRDefault="002F554C" w:rsidP="002F554C">
      <w:pPr>
        <w:pStyle w:val="a3"/>
        <w:rPr>
          <w:kern w:val="0"/>
        </w:rPr>
      </w:pPr>
      <w:r>
        <w:rPr>
          <w:kern w:val="0"/>
        </w:rPr>
        <w:t>Keywords: India, Leadership, Science, Scientometrics</w:t>
      </w:r>
    </w:p>
    <w:p w:rsidR="00DD7384" w:rsidRDefault="00DD7384" w:rsidP="00DD7384">
      <w:pPr>
        <w:pStyle w:val="a3"/>
        <w:rPr>
          <w:kern w:val="0"/>
        </w:rPr>
      </w:pPr>
      <w:r>
        <w:rPr>
          <w:rFonts w:hint="eastAsia"/>
          <w:kern w:val="0"/>
        </w:rPr>
        <w:t xml:space="preserve">? </w:t>
      </w:r>
      <w:r>
        <w:rPr>
          <w:kern w:val="0"/>
        </w:rPr>
        <w:t xml:space="preserve">Prathap, G. (2010), National academy contributions to national science: A iCE map representation. </w:t>
      </w:r>
      <w:r>
        <w:rPr>
          <w:i/>
          <w:iCs/>
          <w:kern w:val="0"/>
        </w:rPr>
        <w:t>Current Science</w:t>
      </w:r>
      <w:r>
        <w:rPr>
          <w:kern w:val="0"/>
        </w:rPr>
        <w:t xml:space="preserve">, </w:t>
      </w:r>
      <w:r>
        <w:rPr>
          <w:b/>
          <w:bCs/>
          <w:kern w:val="0"/>
        </w:rPr>
        <w:t>98</w:t>
      </w:r>
      <w:r>
        <w:rPr>
          <w:kern w:val="0"/>
        </w:rPr>
        <w:t xml:space="preserve"> (8), 995-996</w:t>
      </w:r>
      <w:r>
        <w:rPr>
          <w:rFonts w:hint="eastAsia"/>
          <w:kern w:val="0"/>
        </w:rPr>
        <w:t>.</w:t>
      </w:r>
    </w:p>
    <w:p w:rsidR="00DD7384" w:rsidRDefault="00DD7384" w:rsidP="00DD7384">
      <w:pPr>
        <w:pStyle w:val="a3"/>
        <w:rPr>
          <w:kern w:val="0"/>
        </w:rPr>
      </w:pPr>
      <w:r>
        <w:rPr>
          <w:rFonts w:hint="eastAsia"/>
          <w:kern w:val="0"/>
        </w:rPr>
        <w:t xml:space="preserve">Full Text: </w:t>
      </w:r>
      <w:hyperlink r:id="rId1195" w:history="1">
        <w:r w:rsidRPr="00CF5251">
          <w:rPr>
            <w:rStyle w:val="a5"/>
            <w:kern w:val="0"/>
          </w:rPr>
          <w:t>2010\Cur Sci98, 995.pdf</w:t>
        </w:r>
      </w:hyperlink>
    </w:p>
    <w:p w:rsidR="00DD7384" w:rsidRDefault="00DD7384" w:rsidP="00DD7384">
      <w:pPr>
        <w:pStyle w:val="a3"/>
        <w:rPr>
          <w:kern w:val="0"/>
        </w:rPr>
      </w:pPr>
      <w:r>
        <w:rPr>
          <w:kern w:val="0"/>
        </w:rPr>
        <w:t>Keywords: Science</w:t>
      </w:r>
    </w:p>
    <w:p w:rsidR="00A07CA3" w:rsidRDefault="00A07CA3" w:rsidP="00A07CA3">
      <w:pPr>
        <w:pStyle w:val="a3"/>
        <w:rPr>
          <w:kern w:val="0"/>
        </w:rPr>
      </w:pPr>
      <w:r>
        <w:rPr>
          <w:rFonts w:hint="eastAsia"/>
          <w:kern w:val="0"/>
        </w:rPr>
        <w:t xml:space="preserve">? </w:t>
      </w:r>
      <w:r>
        <w:t>Raghuraman</w:t>
      </w:r>
      <w:r>
        <w:rPr>
          <w:rFonts w:hint="eastAsia"/>
        </w:rPr>
        <w:t>,</w:t>
      </w:r>
      <w:r>
        <w:t xml:space="preserve"> K</w:t>
      </w:r>
      <w:r>
        <w:rPr>
          <w:rFonts w:hint="eastAsia"/>
        </w:rPr>
        <w:t>.</w:t>
      </w:r>
      <w:r>
        <w:t>P</w:t>
      </w:r>
      <w:r>
        <w:rPr>
          <w:rFonts w:hint="eastAsia"/>
        </w:rPr>
        <w:t>.,</w:t>
      </w:r>
      <w:r>
        <w:t xml:space="preserve"> Chander</w:t>
      </w:r>
      <w:r>
        <w:rPr>
          <w:rFonts w:hint="eastAsia"/>
        </w:rPr>
        <w:t>,</w:t>
      </w:r>
      <w:r>
        <w:t xml:space="preserve"> R</w:t>
      </w:r>
      <w:r>
        <w:rPr>
          <w:rFonts w:hint="eastAsia"/>
        </w:rPr>
        <w:t>.</w:t>
      </w:r>
      <w:r w:rsidR="005853A9">
        <w:rPr>
          <w:rFonts w:hint="eastAsia"/>
        </w:rPr>
        <w:t xml:space="preserve"> and </w:t>
      </w:r>
      <w:r>
        <w:t>Madras</w:t>
      </w:r>
      <w:r>
        <w:rPr>
          <w:rFonts w:hint="eastAsia"/>
        </w:rPr>
        <w:t>,</w:t>
      </w:r>
      <w:r>
        <w:t xml:space="preserve"> G</w:t>
      </w:r>
      <w:r>
        <w:rPr>
          <w:rFonts w:hint="eastAsia"/>
        </w:rPr>
        <w:t>.</w:t>
      </w:r>
      <w:r>
        <w:rPr>
          <w:kern w:val="0"/>
        </w:rPr>
        <w:t xml:space="preserve"> (2010), </w:t>
      </w:r>
      <w:r>
        <w:t>Scientometric analysis</w:t>
      </w:r>
      <w:r w:rsidR="00427468">
        <w:t xml:space="preserve"> of </w:t>
      </w:r>
      <w:r>
        <w:t>some disciplines: Comparison</w:t>
      </w:r>
      <w:r w:rsidR="00427468">
        <w:t xml:space="preserve"> of </w:t>
      </w:r>
      <w:r>
        <w:t>Indian institutions with other international institutions</w:t>
      </w:r>
      <w:r>
        <w:rPr>
          <w:kern w:val="0"/>
        </w:rPr>
        <w:t xml:space="preserve">. </w:t>
      </w:r>
      <w:r>
        <w:rPr>
          <w:i/>
          <w:iCs/>
          <w:kern w:val="0"/>
        </w:rPr>
        <w:t>Current Science</w:t>
      </w:r>
      <w:r>
        <w:rPr>
          <w:kern w:val="0"/>
        </w:rPr>
        <w:t xml:space="preserve">, </w:t>
      </w:r>
      <w:r>
        <w:rPr>
          <w:b/>
          <w:bCs/>
          <w:kern w:val="0"/>
        </w:rPr>
        <w:t>9</w:t>
      </w:r>
      <w:r>
        <w:rPr>
          <w:rFonts w:hint="eastAsia"/>
          <w:b/>
          <w:bCs/>
          <w:kern w:val="0"/>
        </w:rPr>
        <w:t>9</w:t>
      </w:r>
      <w:r>
        <w:rPr>
          <w:kern w:val="0"/>
        </w:rPr>
        <w:t xml:space="preserve"> (</w:t>
      </w:r>
      <w:r>
        <w:rPr>
          <w:rFonts w:hint="eastAsia"/>
          <w:kern w:val="0"/>
        </w:rPr>
        <w:t>5</w:t>
      </w:r>
      <w:r>
        <w:rPr>
          <w:kern w:val="0"/>
        </w:rPr>
        <w:t xml:space="preserve">), </w:t>
      </w:r>
      <w:r>
        <w:t>577-587</w:t>
      </w:r>
      <w:r>
        <w:rPr>
          <w:rFonts w:hint="eastAsia"/>
          <w:kern w:val="0"/>
        </w:rPr>
        <w:t>.</w:t>
      </w:r>
    </w:p>
    <w:p w:rsidR="00A07CA3" w:rsidRDefault="00A07CA3" w:rsidP="00A07CA3">
      <w:pPr>
        <w:pStyle w:val="a3"/>
      </w:pPr>
      <w:r w:rsidRPr="001A3D2B">
        <w:t xml:space="preserve">Full Text: </w:t>
      </w:r>
      <w:hyperlink r:id="rId1196" w:history="1">
        <w:r w:rsidRPr="004B3D53">
          <w:rPr>
            <w:rStyle w:val="a5"/>
          </w:rPr>
          <w:t>2010\Cur Sci99, 577.pdf</w:t>
        </w:r>
      </w:hyperlink>
    </w:p>
    <w:p w:rsidR="00A07CA3" w:rsidRDefault="00A07CA3" w:rsidP="00A07CA3">
      <w:pPr>
        <w:pStyle w:val="a3"/>
      </w:pPr>
      <w:r>
        <w:lastRenderedPageBreak/>
        <w:t>Abstract: We have carried out a three-part study comparing</w:t>
      </w:r>
      <w:r w:rsidR="003A1917">
        <w:t xml:space="preserve"> the </w:t>
      </w:r>
      <w:r>
        <w:t>research performance</w:t>
      </w:r>
      <w:r w:rsidR="00427468">
        <w:t xml:space="preserve"> of </w:t>
      </w:r>
      <w:r>
        <w:t>Indian institutions with that</w:t>
      </w:r>
      <w:r w:rsidR="00427468">
        <w:t xml:space="preserve"> of </w:t>
      </w:r>
      <w:r>
        <w:t>other international institutions. In</w:t>
      </w:r>
      <w:r w:rsidR="003A1917">
        <w:t xml:space="preserve"> the </w:t>
      </w:r>
      <w:r>
        <w:t>first part,</w:t>
      </w:r>
      <w:r w:rsidR="003A1917">
        <w:t xml:space="preserve"> the </w:t>
      </w:r>
      <w:r>
        <w:t>publication profiles</w:t>
      </w:r>
      <w:r w:rsidR="00427468">
        <w:t xml:space="preserve"> of </w:t>
      </w:r>
      <w:r>
        <w:t>various Indian institutions were examined</w:t>
      </w:r>
      <w:r w:rsidR="005853A9">
        <w:t xml:space="preserve"> and </w:t>
      </w:r>
      <w:r>
        <w:t>ranked based on</w:t>
      </w:r>
      <w:r w:rsidR="003A1917">
        <w:t xml:space="preserve"> the </w:t>
      </w:r>
      <w:r w:rsidR="00D5664A">
        <w:t>h-Index</w:t>
      </w:r>
      <w:r w:rsidR="005853A9">
        <w:t xml:space="preserve"> and </w:t>
      </w:r>
      <w:r>
        <w:t>p-index. We found that</w:t>
      </w:r>
      <w:r w:rsidR="003A1917">
        <w:t xml:space="preserve"> the </w:t>
      </w:r>
      <w:r>
        <w:t>institutions</w:t>
      </w:r>
      <w:r w:rsidR="00427468">
        <w:t xml:space="preserve"> of </w:t>
      </w:r>
      <w:r>
        <w:t>national importance contributed</w:t>
      </w:r>
      <w:r w:rsidR="003A1917">
        <w:t xml:space="preserve"> the </w:t>
      </w:r>
      <w:r>
        <w:t>highest in terms</w:t>
      </w:r>
      <w:r w:rsidR="00427468">
        <w:t xml:space="preserve"> of </w:t>
      </w:r>
      <w:r>
        <w:t>publications</w:t>
      </w:r>
      <w:r w:rsidR="005853A9">
        <w:t xml:space="preserve"> and </w:t>
      </w:r>
      <w:r>
        <w:t>citations per institution. In</w:t>
      </w:r>
      <w:r w:rsidR="003A1917">
        <w:t xml:space="preserve"> the </w:t>
      </w:r>
      <w:r>
        <w:t>second part</w:t>
      </w:r>
      <w:r w:rsidR="00427468">
        <w:t xml:space="preserve"> of </w:t>
      </w:r>
      <w:r w:rsidR="003A1917">
        <w:t xml:space="preserve">the </w:t>
      </w:r>
      <w:r>
        <w:t>study, we looked at</w:t>
      </w:r>
      <w:r w:rsidR="003A1917">
        <w:t xml:space="preserve"> the </w:t>
      </w:r>
      <w:r>
        <w:t>publication profiles</w:t>
      </w:r>
      <w:r w:rsidR="00427468">
        <w:t xml:space="preserve"> of </w:t>
      </w:r>
      <w:r>
        <w:t>various Indian institutions in</w:t>
      </w:r>
      <w:r w:rsidR="003A1917">
        <w:t xml:space="preserve"> the </w:t>
      </w:r>
      <w:r>
        <w:t>high-impact journals</w:t>
      </w:r>
      <w:r w:rsidR="005853A9">
        <w:t xml:space="preserve"> and </w:t>
      </w:r>
      <w:r>
        <w:t>compared these profiles against that</w:t>
      </w:r>
      <w:r w:rsidR="00427468">
        <w:t xml:space="preserve"> of </w:t>
      </w:r>
      <w:r w:rsidR="003A1917">
        <w:t xml:space="preserve">the </w:t>
      </w:r>
      <w:r>
        <w:t>top Asian</w:t>
      </w:r>
      <w:r w:rsidR="005853A9">
        <w:t xml:space="preserve"> and </w:t>
      </w:r>
      <w:r>
        <w:t>US universities. We found that</w:t>
      </w:r>
      <w:r w:rsidR="003A1917">
        <w:t xml:space="preserve"> the </w:t>
      </w:r>
      <w:r>
        <w:t>number</w:t>
      </w:r>
      <w:r w:rsidR="00427468">
        <w:t xml:space="preserve"> of </w:t>
      </w:r>
      <w:r>
        <w:t>papers in these journals from India was miniscule compared to</w:t>
      </w:r>
      <w:r w:rsidR="003A1917">
        <w:t xml:space="preserve"> the </w:t>
      </w:r>
      <w:r>
        <w:t>US universities. Recognizing that</w:t>
      </w:r>
      <w:r w:rsidR="003A1917">
        <w:t xml:space="preserve"> the </w:t>
      </w:r>
      <w:r>
        <w:t>publication profiles</w:t>
      </w:r>
      <w:r w:rsidR="00427468">
        <w:t xml:space="preserve"> of </w:t>
      </w:r>
      <w:r>
        <w:t>various institutions depend on</w:t>
      </w:r>
      <w:r w:rsidR="003A1917">
        <w:t xml:space="preserve"> the </w:t>
      </w:r>
      <w:r>
        <w:t>field/departments, we studied</w:t>
      </w:r>
      <w:r w:rsidR="003A1917">
        <w:t xml:space="preserve"> the </w:t>
      </w:r>
      <w:r>
        <w:t>publication profiles</w:t>
      </w:r>
      <w:r w:rsidR="00427468">
        <w:t xml:space="preserve"> of </w:t>
      </w:r>
      <w:r>
        <w:t>many science</w:t>
      </w:r>
      <w:r w:rsidR="005853A9">
        <w:t xml:space="preserve"> and </w:t>
      </w:r>
      <w:r>
        <w:t>engineering departments at</w:t>
      </w:r>
      <w:r w:rsidR="003A1917">
        <w:t xml:space="preserve"> the </w:t>
      </w:r>
      <w:r>
        <w:t>Indian Institute</w:t>
      </w:r>
      <w:r w:rsidR="00427468">
        <w:t xml:space="preserve"> of </w:t>
      </w:r>
      <w:r>
        <w:t>Science (IISc), Bangalore,</w:t>
      </w:r>
      <w:r w:rsidR="003A1917">
        <w:t xml:space="preserve"> the </w:t>
      </w:r>
      <w:r>
        <w:t>Indian Institutes</w:t>
      </w:r>
      <w:r w:rsidR="00427468">
        <w:t xml:space="preserve"> of </w:t>
      </w:r>
      <w:r>
        <w:t>Technology, as well as top Indian universities. Because</w:t>
      </w:r>
      <w:r w:rsidR="003A1917">
        <w:t xml:space="preserve"> the </w:t>
      </w:r>
      <w:r>
        <w:t>number</w:t>
      </w:r>
      <w:r w:rsidR="00427468">
        <w:t xml:space="preserve"> of </w:t>
      </w:r>
      <w:r>
        <w:t>faculty in each department varies widely, we have computed</w:t>
      </w:r>
      <w:r w:rsidR="003A1917">
        <w:t xml:space="preserve"> the </w:t>
      </w:r>
      <w:r>
        <w:t>publications</w:t>
      </w:r>
      <w:r w:rsidR="005853A9">
        <w:t xml:space="preserve"> and </w:t>
      </w:r>
      <w:r>
        <w:t>citations per faculty per year for each department. We have also compared this with other departments in various Asian</w:t>
      </w:r>
      <w:r w:rsidR="005853A9">
        <w:t xml:space="preserve"> and </w:t>
      </w:r>
      <w:r>
        <w:t>US universities. We found that</w:t>
      </w:r>
      <w:r w:rsidR="003A1917">
        <w:t xml:space="preserve"> the </w:t>
      </w:r>
      <w:r>
        <w:t>top Indian institution based on various parameters in various disciplines was IISc, but overall even</w:t>
      </w:r>
      <w:r w:rsidR="003A1917">
        <w:t xml:space="preserve"> the </w:t>
      </w:r>
      <w:r>
        <w:t>top Indian institutions do not compare favourably with</w:t>
      </w:r>
      <w:r w:rsidR="003A1917">
        <w:t xml:space="preserve"> the </w:t>
      </w:r>
      <w:r>
        <w:t>top US or Asian universities.</w:t>
      </w:r>
    </w:p>
    <w:p w:rsidR="00A07CA3" w:rsidRPr="001A3D2B" w:rsidRDefault="00A07CA3" w:rsidP="00A07CA3">
      <w:pPr>
        <w:pStyle w:val="a3"/>
      </w:pPr>
      <w:r>
        <w:t>Keywords: Indian</w:t>
      </w:r>
      <w:r w:rsidR="005853A9">
        <w:t xml:space="preserve"> and </w:t>
      </w:r>
      <w:r>
        <w:t>International Institutions, Publications, Research Performance, Scientometric Analysis</w:t>
      </w:r>
    </w:p>
    <w:p w:rsidR="00F73486" w:rsidRPr="008536DB" w:rsidRDefault="00F73486" w:rsidP="008536DB">
      <w:pPr>
        <w:pStyle w:val="a3"/>
        <w:rPr>
          <w:szCs w:val="24"/>
        </w:rPr>
      </w:pPr>
      <w:r w:rsidRPr="008536DB">
        <w:rPr>
          <w:rFonts w:hint="eastAsia"/>
        </w:rPr>
        <w:t xml:space="preserve">? </w:t>
      </w:r>
      <w:r w:rsidRPr="008536DB">
        <w:rPr>
          <w:szCs w:val="24"/>
        </w:rPr>
        <w:t>Madhan, M., Chandrasekar, G.</w:t>
      </w:r>
      <w:r w:rsidR="005853A9">
        <w:rPr>
          <w:szCs w:val="24"/>
        </w:rPr>
        <w:t xml:space="preserve"> and </w:t>
      </w:r>
      <w:r w:rsidRPr="008536DB">
        <w:rPr>
          <w:szCs w:val="24"/>
        </w:rPr>
        <w:t>Arunachalam, S. (2010), Highly cited papers from India</w:t>
      </w:r>
      <w:r w:rsidR="005853A9">
        <w:rPr>
          <w:szCs w:val="24"/>
        </w:rPr>
        <w:t xml:space="preserve"> and </w:t>
      </w:r>
      <w:r w:rsidRPr="008536DB">
        <w:rPr>
          <w:szCs w:val="24"/>
        </w:rPr>
        <w:t xml:space="preserve">China. </w:t>
      </w:r>
      <w:r w:rsidRPr="008536DB">
        <w:rPr>
          <w:i/>
          <w:szCs w:val="24"/>
        </w:rPr>
        <w:t>Current Science</w:t>
      </w:r>
      <w:r w:rsidRPr="008536DB">
        <w:rPr>
          <w:szCs w:val="24"/>
        </w:rPr>
        <w:t xml:space="preserve">, </w:t>
      </w:r>
      <w:r w:rsidRPr="00C14582">
        <w:rPr>
          <w:b/>
          <w:szCs w:val="24"/>
        </w:rPr>
        <w:t>99</w:t>
      </w:r>
      <w:r w:rsidRPr="008536DB">
        <w:rPr>
          <w:szCs w:val="24"/>
        </w:rPr>
        <w:t xml:space="preserve"> (6), 738-749</w:t>
      </w:r>
      <w:r w:rsidRPr="008536DB">
        <w:rPr>
          <w:rFonts w:hint="eastAsia"/>
        </w:rPr>
        <w:t>.</w:t>
      </w:r>
    </w:p>
    <w:p w:rsidR="00F73486" w:rsidRPr="008536DB" w:rsidRDefault="00F73486" w:rsidP="008536DB">
      <w:pPr>
        <w:pStyle w:val="a3"/>
      </w:pPr>
      <w:r w:rsidRPr="008536DB">
        <w:t xml:space="preserve">Full Text: </w:t>
      </w:r>
      <w:hyperlink r:id="rId1197" w:history="1">
        <w:r w:rsidR="008536DB" w:rsidRPr="008536DB">
          <w:rPr>
            <w:rStyle w:val="a5"/>
          </w:rPr>
          <w:t>2010\Cur Sci99, 738.pdf</w:t>
        </w:r>
      </w:hyperlink>
    </w:p>
    <w:p w:rsidR="00F73486" w:rsidRPr="008536DB" w:rsidRDefault="00F73486" w:rsidP="008536DB">
      <w:pPr>
        <w:pStyle w:val="a3"/>
        <w:rPr>
          <w:szCs w:val="24"/>
        </w:rPr>
      </w:pPr>
      <w:r w:rsidRPr="008536DB">
        <w:t>Keywords: China, Citations, Highly Cited Papers, Impact Factor, Papers, Research Papers, Science, Science</w:t>
      </w:r>
      <w:r w:rsidR="005853A9">
        <w:t xml:space="preserve"> and </w:t>
      </w:r>
      <w:r w:rsidRPr="008536DB">
        <w:t>Technology, System</w:t>
      </w:r>
    </w:p>
    <w:p w:rsidR="006F2D64" w:rsidRDefault="006F2D64" w:rsidP="006F2D64">
      <w:pPr>
        <w:pStyle w:val="a3"/>
        <w:rPr>
          <w:kern w:val="0"/>
          <w:szCs w:val="24"/>
        </w:rPr>
      </w:pPr>
      <w:r>
        <w:rPr>
          <w:rFonts w:hint="eastAsia"/>
          <w:kern w:val="0"/>
          <w:szCs w:val="24"/>
        </w:rPr>
        <w:t xml:space="preserve">? </w:t>
      </w:r>
      <w:r>
        <w:rPr>
          <w:kern w:val="0"/>
          <w:szCs w:val="24"/>
        </w:rPr>
        <w:t>Prathap, G. (2010), Scientometric comparison</w:t>
      </w:r>
      <w:r w:rsidR="00427468">
        <w:rPr>
          <w:kern w:val="0"/>
          <w:szCs w:val="24"/>
        </w:rPr>
        <w:t xml:space="preserve"> of </w:t>
      </w:r>
      <w:r>
        <w:rPr>
          <w:kern w:val="0"/>
          <w:szCs w:val="24"/>
        </w:rPr>
        <w:t xml:space="preserve">Indian institutions with other international institutions: A </w:t>
      </w:r>
      <w:r w:rsidRPr="006F2D64">
        <w:rPr>
          <w:i/>
          <w:kern w:val="0"/>
          <w:szCs w:val="24"/>
        </w:rPr>
        <w:t>iCX</w:t>
      </w:r>
      <w:r>
        <w:rPr>
          <w:kern w:val="0"/>
          <w:szCs w:val="24"/>
        </w:rPr>
        <w:t xml:space="preserve"> map representation. </w:t>
      </w:r>
      <w:r>
        <w:rPr>
          <w:i/>
          <w:iCs/>
          <w:kern w:val="0"/>
          <w:szCs w:val="24"/>
        </w:rPr>
        <w:t>Current Science</w:t>
      </w:r>
      <w:r>
        <w:rPr>
          <w:kern w:val="0"/>
          <w:szCs w:val="24"/>
        </w:rPr>
        <w:t xml:space="preserve">, </w:t>
      </w:r>
      <w:r>
        <w:rPr>
          <w:b/>
          <w:bCs/>
          <w:kern w:val="0"/>
          <w:szCs w:val="24"/>
        </w:rPr>
        <w:t>99</w:t>
      </w:r>
      <w:r>
        <w:rPr>
          <w:kern w:val="0"/>
          <w:szCs w:val="24"/>
        </w:rPr>
        <w:t xml:space="preserve"> (9), 1161-1162</w:t>
      </w:r>
    </w:p>
    <w:p w:rsidR="006F2D64" w:rsidRDefault="006F2D64" w:rsidP="006F2D64">
      <w:pPr>
        <w:pStyle w:val="a3"/>
      </w:pPr>
      <w:r w:rsidRPr="001A3D2B">
        <w:t xml:space="preserve">Full Text: </w:t>
      </w:r>
      <w:hyperlink r:id="rId1198" w:history="1">
        <w:r w:rsidRPr="006F2D64">
          <w:rPr>
            <w:rStyle w:val="a5"/>
          </w:rPr>
          <w:t>2010\Cur Sci99, 1161.pdf</w:t>
        </w:r>
      </w:hyperlink>
    </w:p>
    <w:p w:rsidR="006F2D64" w:rsidRDefault="006F2D64" w:rsidP="006F2D64">
      <w:pPr>
        <w:pStyle w:val="a3"/>
        <w:rPr>
          <w:kern w:val="0"/>
          <w:szCs w:val="24"/>
        </w:rPr>
      </w:pPr>
      <w:r>
        <w:rPr>
          <w:kern w:val="0"/>
          <w:szCs w:val="24"/>
        </w:rPr>
        <w:t>Keywords: Comparison</w:t>
      </w:r>
    </w:p>
    <w:p w:rsidR="000A02ED" w:rsidRDefault="000A02ED" w:rsidP="000A02ED">
      <w:pPr>
        <w:pStyle w:val="a3"/>
        <w:rPr>
          <w:kern w:val="0"/>
        </w:rPr>
      </w:pPr>
      <w:r>
        <w:rPr>
          <w:rFonts w:hint="eastAsia"/>
          <w:kern w:val="0"/>
        </w:rPr>
        <w:t xml:space="preserve">? </w:t>
      </w:r>
      <w:r>
        <w:rPr>
          <w:kern w:val="0"/>
        </w:rPr>
        <w:t>Prathap, G. (2010), Top 20 national rankings in molecular biology</w:t>
      </w:r>
      <w:r w:rsidR="005853A9">
        <w:rPr>
          <w:kern w:val="0"/>
        </w:rPr>
        <w:t xml:space="preserve"> and </w:t>
      </w:r>
      <w:r>
        <w:rPr>
          <w:kern w:val="0"/>
        </w:rPr>
        <w:t>genetics: A scientometric analysis using</w:t>
      </w:r>
      <w:r w:rsidR="003A1917">
        <w:rPr>
          <w:kern w:val="0"/>
        </w:rPr>
        <w:t xml:space="preserve"> the </w:t>
      </w:r>
      <w:r w:rsidRPr="000A02ED">
        <w:rPr>
          <w:i/>
          <w:kern w:val="0"/>
        </w:rPr>
        <w:t>iCX</w:t>
      </w:r>
      <w:r>
        <w:rPr>
          <w:kern w:val="0"/>
        </w:rPr>
        <w:t xml:space="preserve"> map representation. </w:t>
      </w:r>
      <w:r>
        <w:rPr>
          <w:i/>
          <w:iCs/>
          <w:kern w:val="0"/>
        </w:rPr>
        <w:t>Current Science</w:t>
      </w:r>
      <w:r>
        <w:rPr>
          <w:kern w:val="0"/>
        </w:rPr>
        <w:t xml:space="preserve">, </w:t>
      </w:r>
      <w:r>
        <w:rPr>
          <w:b/>
          <w:bCs/>
          <w:kern w:val="0"/>
        </w:rPr>
        <w:t>99</w:t>
      </w:r>
      <w:r>
        <w:rPr>
          <w:kern w:val="0"/>
        </w:rPr>
        <w:t xml:space="preserve"> (12), 1639-1640</w:t>
      </w:r>
    </w:p>
    <w:p w:rsidR="000A02ED" w:rsidRDefault="000A02ED" w:rsidP="000A02ED">
      <w:pPr>
        <w:pStyle w:val="a3"/>
      </w:pPr>
      <w:r w:rsidRPr="001A3D2B">
        <w:t xml:space="preserve">Full Text: </w:t>
      </w:r>
      <w:hyperlink r:id="rId1199" w:history="1">
        <w:r w:rsidRPr="000A02ED">
          <w:rPr>
            <w:rStyle w:val="a5"/>
          </w:rPr>
          <w:t>2010\Cur Sci99, 1639.pdf</w:t>
        </w:r>
      </w:hyperlink>
    </w:p>
    <w:p w:rsidR="000A02ED" w:rsidRDefault="000A02ED" w:rsidP="000A02ED">
      <w:pPr>
        <w:pStyle w:val="a3"/>
        <w:rPr>
          <w:kern w:val="0"/>
        </w:rPr>
      </w:pPr>
      <w:r>
        <w:rPr>
          <w:kern w:val="0"/>
        </w:rPr>
        <w:t>Keywords: Analysis, Biology, Biology</w:t>
      </w:r>
      <w:r w:rsidR="005853A9">
        <w:rPr>
          <w:kern w:val="0"/>
        </w:rPr>
        <w:t xml:space="preserve"> and </w:t>
      </w:r>
      <w:r>
        <w:rPr>
          <w:kern w:val="0"/>
        </w:rPr>
        <w:t>Genetics, Genetics, Molecular Biology, Rankings, Representation, Scientometric</w:t>
      </w:r>
    </w:p>
    <w:p w:rsidR="006148AF" w:rsidRDefault="006148AF" w:rsidP="006148AF">
      <w:pPr>
        <w:pStyle w:val="a3"/>
        <w:rPr>
          <w:kern w:val="0"/>
        </w:rPr>
      </w:pPr>
      <w:r>
        <w:rPr>
          <w:rFonts w:hint="eastAsia"/>
          <w:kern w:val="0"/>
        </w:rPr>
        <w:t xml:space="preserve">? </w:t>
      </w:r>
      <w:r>
        <w:rPr>
          <w:kern w:val="0"/>
        </w:rPr>
        <w:t xml:space="preserve">Arunan, E. (2011), Indian science: Catch up with India, then worry about China. </w:t>
      </w:r>
      <w:r>
        <w:rPr>
          <w:i/>
          <w:iCs/>
          <w:kern w:val="0"/>
        </w:rPr>
        <w:t>Current Science</w:t>
      </w:r>
      <w:r>
        <w:rPr>
          <w:kern w:val="0"/>
        </w:rPr>
        <w:t xml:space="preserve">, </w:t>
      </w:r>
      <w:r>
        <w:rPr>
          <w:b/>
          <w:bCs/>
          <w:kern w:val="0"/>
        </w:rPr>
        <w:t>100</w:t>
      </w:r>
      <w:r>
        <w:rPr>
          <w:kern w:val="0"/>
        </w:rPr>
        <w:t xml:space="preserve"> (1), 21</w:t>
      </w:r>
      <w:r>
        <w:rPr>
          <w:rFonts w:hint="eastAsia"/>
          <w:kern w:val="0"/>
        </w:rPr>
        <w:t>.</w:t>
      </w:r>
    </w:p>
    <w:p w:rsidR="006148AF" w:rsidRDefault="006148AF" w:rsidP="006148AF">
      <w:pPr>
        <w:pStyle w:val="a3"/>
      </w:pPr>
      <w:r w:rsidRPr="001A3D2B">
        <w:t xml:space="preserve">Full Text: </w:t>
      </w:r>
      <w:hyperlink r:id="rId1200" w:history="1">
        <w:r w:rsidRPr="00E13301">
          <w:rPr>
            <w:rStyle w:val="a5"/>
          </w:rPr>
          <w:t>2011\Cur Sci100, 21.pdf</w:t>
        </w:r>
      </w:hyperlink>
    </w:p>
    <w:p w:rsidR="006148AF" w:rsidRDefault="006148AF" w:rsidP="006148AF">
      <w:pPr>
        <w:pStyle w:val="a3"/>
        <w:rPr>
          <w:kern w:val="0"/>
        </w:rPr>
      </w:pPr>
      <w:r>
        <w:rPr>
          <w:kern w:val="0"/>
        </w:rPr>
        <w:lastRenderedPageBreak/>
        <w:t>Keywords: China, India, Science, Scientometrics</w:t>
      </w:r>
    </w:p>
    <w:p w:rsidR="004145F9" w:rsidRDefault="004145F9" w:rsidP="006148AF">
      <w:pPr>
        <w:pStyle w:val="a3"/>
        <w:rPr>
          <w:kern w:val="0"/>
        </w:rPr>
      </w:pPr>
      <w:r>
        <w:rPr>
          <w:rFonts w:hint="eastAsia"/>
          <w:kern w:val="0"/>
        </w:rPr>
        <w:t>Notes: TTopics</w:t>
      </w:r>
    </w:p>
    <w:p w:rsidR="004145F9" w:rsidRDefault="004145F9" w:rsidP="004145F9">
      <w:pPr>
        <w:pStyle w:val="a3"/>
        <w:rPr>
          <w:kern w:val="0"/>
        </w:rPr>
      </w:pPr>
      <w:r>
        <w:rPr>
          <w:rFonts w:hint="eastAsia"/>
          <w:kern w:val="0"/>
        </w:rPr>
        <w:t xml:space="preserve">? </w:t>
      </w:r>
      <w:r>
        <w:rPr>
          <w:kern w:val="0"/>
        </w:rPr>
        <w:t xml:space="preserve">Sinha, B. (2011), Trends in global solar photovoltaic research: Silicon versus non-silicon materials. </w:t>
      </w:r>
      <w:r>
        <w:rPr>
          <w:i/>
          <w:iCs/>
          <w:kern w:val="0"/>
        </w:rPr>
        <w:t>Current Science</w:t>
      </w:r>
      <w:r>
        <w:rPr>
          <w:kern w:val="0"/>
        </w:rPr>
        <w:t xml:space="preserve">, </w:t>
      </w:r>
      <w:r>
        <w:rPr>
          <w:b/>
          <w:bCs/>
          <w:kern w:val="0"/>
        </w:rPr>
        <w:t>100</w:t>
      </w:r>
      <w:r>
        <w:rPr>
          <w:kern w:val="0"/>
        </w:rPr>
        <w:t xml:space="preserve"> (5), 654-660.</w:t>
      </w:r>
    </w:p>
    <w:p w:rsidR="004145F9" w:rsidRDefault="004145F9" w:rsidP="004145F9">
      <w:pPr>
        <w:pStyle w:val="a3"/>
      </w:pPr>
      <w:r w:rsidRPr="001A3D2B">
        <w:t xml:space="preserve">Full Text: </w:t>
      </w:r>
      <w:hyperlink r:id="rId1201" w:history="1">
        <w:r w:rsidRPr="00CC4311">
          <w:rPr>
            <w:rStyle w:val="a5"/>
          </w:rPr>
          <w:t>2011\Cur Sci100, 654.pdf</w:t>
        </w:r>
      </w:hyperlink>
    </w:p>
    <w:p w:rsidR="004145F9" w:rsidRDefault="004145F9" w:rsidP="004145F9">
      <w:pPr>
        <w:pStyle w:val="a3"/>
        <w:rPr>
          <w:kern w:val="0"/>
        </w:rPr>
      </w:pPr>
      <w:r>
        <w:rPr>
          <w:kern w:val="0"/>
        </w:rPr>
        <w:t>Abstract: This article reports a comparative analysis</w:t>
      </w:r>
      <w:r w:rsidR="00427468">
        <w:rPr>
          <w:kern w:val="0"/>
        </w:rPr>
        <w:t xml:space="preserve"> of </w:t>
      </w:r>
      <w:r w:rsidR="003A1917">
        <w:rPr>
          <w:kern w:val="0"/>
        </w:rPr>
        <w:t xml:space="preserve">the </w:t>
      </w:r>
      <w:r>
        <w:rPr>
          <w:kern w:val="0"/>
        </w:rPr>
        <w:t>thrust in solar photovoltaic (PV) research during 1981-1988</w:t>
      </w:r>
      <w:r w:rsidR="005853A9">
        <w:rPr>
          <w:kern w:val="0"/>
        </w:rPr>
        <w:t xml:space="preserve"> and </w:t>
      </w:r>
      <w:r>
        <w:rPr>
          <w:kern w:val="0"/>
        </w:rPr>
        <w:t>2001-2008. Global solar PV literature in</w:t>
      </w:r>
      <w:r w:rsidR="003A1917">
        <w:rPr>
          <w:kern w:val="0"/>
        </w:rPr>
        <w:t xml:space="preserve"> the </w:t>
      </w:r>
      <w:r>
        <w:rPr>
          <w:kern w:val="0"/>
        </w:rPr>
        <w:t>latter period recorded a 4.5-fold increase over those in 1981-1988</w:t>
      </w:r>
      <w:r w:rsidR="00A37C1D">
        <w:rPr>
          <w:kern w:val="0"/>
        </w:rPr>
        <w:t>. The</w:t>
      </w:r>
      <w:r w:rsidR="003A1917">
        <w:rPr>
          <w:kern w:val="0"/>
        </w:rPr>
        <w:t xml:space="preserve"> </w:t>
      </w:r>
      <w:r w:rsidR="00D5664A">
        <w:rPr>
          <w:kern w:val="0"/>
        </w:rPr>
        <w:t>USA</w:t>
      </w:r>
      <w:r>
        <w:rPr>
          <w:kern w:val="0"/>
        </w:rPr>
        <w:t xml:space="preserve"> leads all</w:t>
      </w:r>
      <w:r w:rsidR="003A1917">
        <w:rPr>
          <w:kern w:val="0"/>
        </w:rPr>
        <w:t xml:space="preserve"> the </w:t>
      </w:r>
      <w:r>
        <w:rPr>
          <w:kern w:val="0"/>
        </w:rPr>
        <w:t>countries in terms</w:t>
      </w:r>
      <w:r w:rsidR="00427468">
        <w:rPr>
          <w:kern w:val="0"/>
        </w:rPr>
        <w:t xml:space="preserve"> of </w:t>
      </w:r>
      <w:r>
        <w:rPr>
          <w:kern w:val="0"/>
        </w:rPr>
        <w:t>absolute number</w:t>
      </w:r>
      <w:r w:rsidR="00427468">
        <w:rPr>
          <w:kern w:val="0"/>
        </w:rPr>
        <w:t xml:space="preserve"> of </w:t>
      </w:r>
      <w:r>
        <w:rPr>
          <w:kern w:val="0"/>
        </w:rPr>
        <w:t>publications as is</w:t>
      </w:r>
      <w:r w:rsidR="003A1917">
        <w:rPr>
          <w:kern w:val="0"/>
        </w:rPr>
        <w:t xml:space="preserve"> the </w:t>
      </w:r>
      <w:r>
        <w:rPr>
          <w:kern w:val="0"/>
        </w:rPr>
        <w:t>case in other areas</w:t>
      </w:r>
      <w:r w:rsidR="00427468">
        <w:rPr>
          <w:kern w:val="0"/>
        </w:rPr>
        <w:t xml:space="preserve"> of </w:t>
      </w:r>
      <w:r>
        <w:rPr>
          <w:kern w:val="0"/>
        </w:rPr>
        <w:t>basic sciences. But its relative activity in solar PV research in terms</w:t>
      </w:r>
      <w:r w:rsidR="00427468">
        <w:rPr>
          <w:kern w:val="0"/>
        </w:rPr>
        <w:t xml:space="preserve"> of </w:t>
      </w:r>
      <w:r>
        <w:rPr>
          <w:kern w:val="0"/>
        </w:rPr>
        <w:t>transformative activity index (TAI) values has decreased from 1.8 in 1981-1988 to 0.9 in 2001-2008</w:t>
      </w:r>
      <w:r w:rsidR="00A37C1D">
        <w:rPr>
          <w:kern w:val="0"/>
        </w:rPr>
        <w:t>. The</w:t>
      </w:r>
      <w:r w:rsidR="003A1917">
        <w:rPr>
          <w:kern w:val="0"/>
        </w:rPr>
        <w:t xml:space="preserve"> </w:t>
      </w:r>
      <w:r>
        <w:rPr>
          <w:kern w:val="0"/>
        </w:rPr>
        <w:t>performance</w:t>
      </w:r>
      <w:r w:rsidR="00427468">
        <w:rPr>
          <w:kern w:val="0"/>
        </w:rPr>
        <w:t xml:space="preserve"> of </w:t>
      </w:r>
      <w:r>
        <w:rPr>
          <w:kern w:val="0"/>
        </w:rPr>
        <w:t>National Renewable Energy Laboratory</w:t>
      </w:r>
      <w:r w:rsidR="00427468">
        <w:rPr>
          <w:kern w:val="0"/>
        </w:rPr>
        <w:t xml:space="preserve"> of </w:t>
      </w:r>
      <w:r w:rsidR="00D5664A">
        <w:rPr>
          <w:kern w:val="0"/>
        </w:rPr>
        <w:t>USA</w:t>
      </w:r>
      <w:r>
        <w:rPr>
          <w:kern w:val="0"/>
        </w:rPr>
        <w:t>,</w:t>
      </w:r>
      <w:r w:rsidR="003A1917">
        <w:rPr>
          <w:kern w:val="0"/>
        </w:rPr>
        <w:t xml:space="preserve"> the </w:t>
      </w:r>
      <w:r>
        <w:rPr>
          <w:kern w:val="0"/>
        </w:rPr>
        <w:t>top institute is similar to its national trend, i.e. increase in absolute number</w:t>
      </w:r>
      <w:r w:rsidR="005853A9">
        <w:rPr>
          <w:kern w:val="0"/>
        </w:rPr>
        <w:t xml:space="preserve"> and </w:t>
      </w:r>
      <w:r>
        <w:rPr>
          <w:kern w:val="0"/>
        </w:rPr>
        <w:t>decrease in TAI. Presence</w:t>
      </w:r>
      <w:r w:rsidR="00427468">
        <w:rPr>
          <w:kern w:val="0"/>
        </w:rPr>
        <w:t xml:space="preserve"> of </w:t>
      </w:r>
      <w:r>
        <w:rPr>
          <w:kern w:val="0"/>
        </w:rPr>
        <w:t>3 German institutes in</w:t>
      </w:r>
      <w:r w:rsidR="003A1917">
        <w:rPr>
          <w:kern w:val="0"/>
        </w:rPr>
        <w:t xml:space="preserve"> the </w:t>
      </w:r>
      <w:r>
        <w:rPr>
          <w:kern w:val="0"/>
        </w:rPr>
        <w:t>top 10 institutes is an indication</w:t>
      </w:r>
      <w:r w:rsidR="00427468">
        <w:rPr>
          <w:kern w:val="0"/>
        </w:rPr>
        <w:t xml:space="preserve"> of </w:t>
      </w:r>
      <w:r>
        <w:rPr>
          <w:kern w:val="0"/>
        </w:rPr>
        <w:t>Germany</w:t>
      </w:r>
      <w:r w:rsidR="0071223E">
        <w:rPr>
          <w:kern w:val="0"/>
        </w:rPr>
        <w:t>’</w:t>
      </w:r>
      <w:r w:rsidR="00C13DDC">
        <w:rPr>
          <w:kern w:val="0"/>
        </w:rPr>
        <w:t>s</w:t>
      </w:r>
      <w:r>
        <w:rPr>
          <w:kern w:val="0"/>
        </w:rPr>
        <w:t xml:space="preserve"> emphasis as well as</w:t>
      </w:r>
      <w:r w:rsidR="003A1917">
        <w:rPr>
          <w:kern w:val="0"/>
        </w:rPr>
        <w:t xml:space="preserve"> the </w:t>
      </w:r>
      <w:r>
        <w:rPr>
          <w:kern w:val="0"/>
        </w:rPr>
        <w:t>leadership in global solar PV research</w:t>
      </w:r>
      <w:r w:rsidR="00A37C1D">
        <w:rPr>
          <w:kern w:val="0"/>
        </w:rPr>
        <w:t>. The</w:t>
      </w:r>
      <w:r w:rsidR="003A1917">
        <w:rPr>
          <w:kern w:val="0"/>
        </w:rPr>
        <w:t xml:space="preserve"> </w:t>
      </w:r>
      <w:r>
        <w:rPr>
          <w:kern w:val="0"/>
        </w:rPr>
        <w:t>share</w:t>
      </w:r>
      <w:r w:rsidR="00427468">
        <w:rPr>
          <w:kern w:val="0"/>
        </w:rPr>
        <w:t xml:space="preserve"> of </w:t>
      </w:r>
      <w:r>
        <w:rPr>
          <w:kern w:val="0"/>
        </w:rPr>
        <w:t>silicon-based papers as percentage</w:t>
      </w:r>
      <w:r w:rsidR="00427468">
        <w:rPr>
          <w:kern w:val="0"/>
        </w:rPr>
        <w:t xml:space="preserve"> of </w:t>
      </w:r>
      <w:r>
        <w:rPr>
          <w:kern w:val="0"/>
        </w:rPr>
        <w:t>total solar PV publication has decreased from around 36% in 1981-1988 to 34% in 2001-2008</w:t>
      </w:r>
      <w:r w:rsidR="00A37C1D">
        <w:rPr>
          <w:kern w:val="0"/>
        </w:rPr>
        <w:t>. The</w:t>
      </w:r>
      <w:r w:rsidR="003A1917">
        <w:rPr>
          <w:kern w:val="0"/>
        </w:rPr>
        <w:t xml:space="preserve"> </w:t>
      </w:r>
      <w:r>
        <w:rPr>
          <w:kern w:val="0"/>
        </w:rPr>
        <w:t>share</w:t>
      </w:r>
      <w:r w:rsidR="00427468">
        <w:rPr>
          <w:kern w:val="0"/>
        </w:rPr>
        <w:t xml:space="preserve"> of </w:t>
      </w:r>
      <w:r>
        <w:rPr>
          <w:kern w:val="0"/>
        </w:rPr>
        <w:t>non-silicon-based publication has increased from 9% in 1981-1988 to 17% in 2001-2008. Within silicon,</w:t>
      </w:r>
      <w:r w:rsidR="003A1917">
        <w:rPr>
          <w:kern w:val="0"/>
        </w:rPr>
        <w:t xml:space="preserve"> the </w:t>
      </w:r>
      <w:r>
        <w:rPr>
          <w:kern w:val="0"/>
        </w:rPr>
        <w:t>emphasis is still on crystalline silicon while among non-silicon materials,</w:t>
      </w:r>
      <w:r w:rsidR="003A1917">
        <w:rPr>
          <w:kern w:val="0"/>
        </w:rPr>
        <w:t xml:space="preserve"> the </w:t>
      </w:r>
      <w:r>
        <w:rPr>
          <w:kern w:val="0"/>
        </w:rPr>
        <w:t>growth</w:t>
      </w:r>
      <w:r w:rsidR="00427468">
        <w:rPr>
          <w:kern w:val="0"/>
        </w:rPr>
        <w:t xml:space="preserve"> of </w:t>
      </w:r>
      <w:r>
        <w:rPr>
          <w:kern w:val="0"/>
        </w:rPr>
        <w:t>dye-sensitized solar cells output is outstanding</w:t>
      </w:r>
      <w:r w:rsidR="00A37C1D">
        <w:rPr>
          <w:kern w:val="0"/>
        </w:rPr>
        <w:t>. The</w:t>
      </w:r>
      <w:r w:rsidR="003A1917">
        <w:rPr>
          <w:kern w:val="0"/>
        </w:rPr>
        <w:t xml:space="preserve"> </w:t>
      </w:r>
      <w:r>
        <w:rPr>
          <w:kern w:val="0"/>
        </w:rPr>
        <w:t>developments especially in</w:t>
      </w:r>
      <w:r w:rsidR="003A1917">
        <w:rPr>
          <w:kern w:val="0"/>
        </w:rPr>
        <w:t xml:space="preserve"> the </w:t>
      </w:r>
      <w:r>
        <w:rPr>
          <w:kern w:val="0"/>
        </w:rPr>
        <w:t>areas</w:t>
      </w:r>
      <w:r w:rsidR="00427468">
        <w:rPr>
          <w:kern w:val="0"/>
        </w:rPr>
        <w:t xml:space="preserve"> of </w:t>
      </w:r>
      <w:r>
        <w:rPr>
          <w:kern w:val="0"/>
        </w:rPr>
        <w:t>non-silicon solar PV cells, thus, raise hopes</w:t>
      </w:r>
      <w:r w:rsidR="00427468">
        <w:rPr>
          <w:kern w:val="0"/>
        </w:rPr>
        <w:t xml:space="preserve"> of </w:t>
      </w:r>
      <w:r w:rsidR="003A1917">
        <w:rPr>
          <w:kern w:val="0"/>
        </w:rPr>
        <w:t xml:space="preserve">the </w:t>
      </w:r>
      <w:r>
        <w:rPr>
          <w:kern w:val="0"/>
        </w:rPr>
        <w:t>possibility</w:t>
      </w:r>
      <w:r w:rsidR="00427468">
        <w:rPr>
          <w:kern w:val="0"/>
        </w:rPr>
        <w:t xml:space="preserve"> of </w:t>
      </w:r>
      <w:r>
        <w:rPr>
          <w:kern w:val="0"/>
        </w:rPr>
        <w:t>developing cost-effective</w:t>
      </w:r>
      <w:r w:rsidR="005853A9">
        <w:rPr>
          <w:kern w:val="0"/>
        </w:rPr>
        <w:t xml:space="preserve"> and </w:t>
      </w:r>
      <w:r>
        <w:rPr>
          <w:kern w:val="0"/>
        </w:rPr>
        <w:t>more efficient solar cells.</w:t>
      </w:r>
    </w:p>
    <w:p w:rsidR="004145F9" w:rsidRDefault="004145F9" w:rsidP="004145F9">
      <w:pPr>
        <w:pStyle w:val="a3"/>
        <w:rPr>
          <w:kern w:val="0"/>
        </w:rPr>
      </w:pPr>
      <w:r>
        <w:rPr>
          <w:kern w:val="0"/>
        </w:rPr>
        <w:t xml:space="preserve">Keywords: Amorphous Silicon, Analysis, Bibliometrics, Cadmium Telluride, Cells, Cost-Effective, Crystalline Silicon, Developing, Dye-Sensitized Solar Cells, Emerging Technologies, Future, Gallium Arsenide, Growth, Impact, Index, Indication, Leadership, Literature, Mar, Papers, Performance, Photovoltaic, Publication, Publication Output, Publications, Research, Science, Sciences, Silicon, Solar Cells, Trend, </w:t>
      </w:r>
      <w:r w:rsidR="00D5664A">
        <w:rPr>
          <w:kern w:val="0"/>
        </w:rPr>
        <w:t>USA</w:t>
      </w:r>
    </w:p>
    <w:p w:rsidR="0066594F" w:rsidRDefault="0066594F" w:rsidP="0066594F">
      <w:pPr>
        <w:pStyle w:val="a3"/>
        <w:rPr>
          <w:kern w:val="0"/>
        </w:rPr>
      </w:pPr>
      <w:r>
        <w:rPr>
          <w:rFonts w:hint="eastAsia"/>
          <w:kern w:val="0"/>
        </w:rPr>
        <w:t xml:space="preserve">? </w:t>
      </w:r>
      <w:r>
        <w:rPr>
          <w:kern w:val="0"/>
        </w:rPr>
        <w:t>Madhan, M.</w:t>
      </w:r>
      <w:r w:rsidR="005853A9">
        <w:rPr>
          <w:kern w:val="0"/>
        </w:rPr>
        <w:t xml:space="preserve"> and </w:t>
      </w:r>
      <w:r>
        <w:rPr>
          <w:kern w:val="0"/>
        </w:rPr>
        <w:t>Arunachalam, S. (2011), Use made</w:t>
      </w:r>
      <w:r w:rsidR="00427468">
        <w:rPr>
          <w:kern w:val="0"/>
        </w:rPr>
        <w:t xml:space="preserve"> of </w:t>
      </w:r>
      <w:r>
        <w:rPr>
          <w:kern w:val="0"/>
        </w:rPr>
        <w:t xml:space="preserve">open access journals by Indian researchers to publish their findings. </w:t>
      </w:r>
      <w:r>
        <w:rPr>
          <w:i/>
          <w:iCs/>
          <w:kern w:val="0"/>
        </w:rPr>
        <w:t>Current Science</w:t>
      </w:r>
      <w:r>
        <w:rPr>
          <w:kern w:val="0"/>
        </w:rPr>
        <w:t xml:space="preserve">, </w:t>
      </w:r>
      <w:r>
        <w:rPr>
          <w:b/>
          <w:bCs/>
          <w:kern w:val="0"/>
        </w:rPr>
        <w:t>100</w:t>
      </w:r>
      <w:r>
        <w:rPr>
          <w:kern w:val="0"/>
        </w:rPr>
        <w:t xml:space="preserve"> (9), 1297-1306.</w:t>
      </w:r>
    </w:p>
    <w:p w:rsidR="0066594F" w:rsidRDefault="0066594F" w:rsidP="0066594F">
      <w:pPr>
        <w:pStyle w:val="a3"/>
      </w:pPr>
      <w:r w:rsidRPr="001A3D2B">
        <w:t xml:space="preserve">Full Text: </w:t>
      </w:r>
      <w:hyperlink r:id="rId1202" w:history="1">
        <w:r w:rsidRPr="007F172A">
          <w:rPr>
            <w:rStyle w:val="a5"/>
          </w:rPr>
          <w:t>2011\Cur Sci100, 1297.pdf</w:t>
        </w:r>
      </w:hyperlink>
    </w:p>
    <w:p w:rsidR="0066594F" w:rsidRDefault="0066594F" w:rsidP="0066594F">
      <w:pPr>
        <w:pStyle w:val="a3"/>
        <w:rPr>
          <w:kern w:val="0"/>
        </w:rPr>
      </w:pPr>
      <w:r>
        <w:rPr>
          <w:kern w:val="0"/>
        </w:rPr>
        <w:t>Abstract: Most</w:t>
      </w:r>
      <w:r w:rsidR="00427468">
        <w:rPr>
          <w:kern w:val="0"/>
        </w:rPr>
        <w:t xml:space="preserve"> of </w:t>
      </w:r>
      <w:r w:rsidR="003A1917">
        <w:rPr>
          <w:kern w:val="0"/>
        </w:rPr>
        <w:t xml:space="preserve">the </w:t>
      </w:r>
      <w:r>
        <w:rPr>
          <w:kern w:val="0"/>
        </w:rPr>
        <w:t>papers published in</w:t>
      </w:r>
      <w:r w:rsidR="003A1917">
        <w:rPr>
          <w:kern w:val="0"/>
        </w:rPr>
        <w:t xml:space="preserve"> the </w:t>
      </w:r>
      <w:r>
        <w:rPr>
          <w:kern w:val="0"/>
        </w:rPr>
        <w:t>more than 360 Indian open access journals are by Indian researchers. But how many papers do they publish in high impact international open access journals? We have looked at India</w:t>
      </w:r>
      <w:r w:rsidR="0071223E">
        <w:rPr>
          <w:kern w:val="0"/>
        </w:rPr>
        <w:t>’</w:t>
      </w:r>
      <w:r w:rsidR="00C13DDC">
        <w:rPr>
          <w:kern w:val="0"/>
        </w:rPr>
        <w:t>s</w:t>
      </w:r>
      <w:r>
        <w:rPr>
          <w:kern w:val="0"/>
        </w:rPr>
        <w:t xml:space="preserve"> contribution to all seven Public Library</w:t>
      </w:r>
      <w:r w:rsidR="00427468">
        <w:rPr>
          <w:kern w:val="0"/>
        </w:rPr>
        <w:t xml:space="preserve"> of </w:t>
      </w:r>
      <w:r>
        <w:rPr>
          <w:kern w:val="0"/>
        </w:rPr>
        <w:t>Science (PLoS) journals, 10 BioMed Central (BMC) journals</w:t>
      </w:r>
      <w:r w:rsidR="005853A9">
        <w:rPr>
          <w:kern w:val="0"/>
        </w:rPr>
        <w:t xml:space="preserve"> and </w:t>
      </w:r>
      <w:r>
        <w:rPr>
          <w:kern w:val="0"/>
        </w:rPr>
        <w:t>Acta Crystallographica Section E: Structure Reports. Indian crystallographers have published more than 2,000 structure reports in Acta Crystallographica, second only to China in number</w:t>
      </w:r>
      <w:r w:rsidR="00427468">
        <w:rPr>
          <w:kern w:val="0"/>
        </w:rPr>
        <w:t xml:space="preserve"> of </w:t>
      </w:r>
      <w:r>
        <w:rPr>
          <w:kern w:val="0"/>
        </w:rPr>
        <w:t xml:space="preserve">papers, but have a much better citations per paper average than </w:t>
      </w:r>
      <w:r w:rsidR="00D5664A">
        <w:rPr>
          <w:kern w:val="0"/>
        </w:rPr>
        <w:t>USA</w:t>
      </w:r>
      <w:r>
        <w:rPr>
          <w:kern w:val="0"/>
        </w:rPr>
        <w:t>, Britain, Germany</w:t>
      </w:r>
      <w:r w:rsidR="005853A9">
        <w:rPr>
          <w:kern w:val="0"/>
        </w:rPr>
        <w:t xml:space="preserve"> and </w:t>
      </w:r>
      <w:r>
        <w:rPr>
          <w:kern w:val="0"/>
        </w:rPr>
        <w:t>France, China</w:t>
      </w:r>
      <w:r w:rsidR="005853A9">
        <w:rPr>
          <w:kern w:val="0"/>
        </w:rPr>
        <w:t xml:space="preserve"> and </w:t>
      </w:r>
      <w:r>
        <w:rPr>
          <w:kern w:val="0"/>
        </w:rPr>
        <w:t>South Korea. India</w:t>
      </w:r>
      <w:r w:rsidR="0071223E">
        <w:rPr>
          <w:kern w:val="0"/>
        </w:rPr>
        <w:t>’</w:t>
      </w:r>
      <w:r w:rsidR="00C13DDC">
        <w:rPr>
          <w:kern w:val="0"/>
        </w:rPr>
        <w:t>s</w:t>
      </w:r>
      <w:r>
        <w:rPr>
          <w:kern w:val="0"/>
        </w:rPr>
        <w:t xml:space="preserve"> </w:t>
      </w:r>
      <w:r>
        <w:rPr>
          <w:kern w:val="0"/>
        </w:rPr>
        <w:lastRenderedPageBreak/>
        <w:t>contribution to BMC</w:t>
      </w:r>
      <w:r w:rsidR="005853A9">
        <w:rPr>
          <w:kern w:val="0"/>
        </w:rPr>
        <w:t xml:space="preserve"> and </w:t>
      </w:r>
      <w:r>
        <w:rPr>
          <w:kern w:val="0"/>
        </w:rPr>
        <w:t>PLoS journals, on</w:t>
      </w:r>
      <w:r w:rsidR="003A1917">
        <w:rPr>
          <w:kern w:val="0"/>
        </w:rPr>
        <w:t xml:space="preserve"> the </w:t>
      </w:r>
      <w:r>
        <w:rPr>
          <w:kern w:val="0"/>
        </w:rPr>
        <w:t>other hand, is modest at best. We suggest that</w:t>
      </w:r>
      <w:r w:rsidR="003A1917">
        <w:rPr>
          <w:kern w:val="0"/>
        </w:rPr>
        <w:t xml:space="preserve"> the </w:t>
      </w:r>
      <w:r>
        <w:rPr>
          <w:kern w:val="0"/>
        </w:rPr>
        <w:t>better option for India is institutional self-archiving.</w:t>
      </w:r>
    </w:p>
    <w:p w:rsidR="0066594F" w:rsidRDefault="0066594F" w:rsidP="0066594F">
      <w:pPr>
        <w:pStyle w:val="a3"/>
        <w:rPr>
          <w:kern w:val="0"/>
        </w:rPr>
      </w:pPr>
      <w:r>
        <w:rPr>
          <w:kern w:val="0"/>
        </w:rPr>
        <w:t xml:space="preserve">Keywords: China, Citations, Impact Factor, Journals, Open Access, Papers, Science Citation Index, </w:t>
      </w:r>
      <w:r w:rsidR="00D5664A">
        <w:rPr>
          <w:kern w:val="0"/>
        </w:rPr>
        <w:t>Web</w:t>
      </w:r>
      <w:r w:rsidR="00427468">
        <w:rPr>
          <w:kern w:val="0"/>
        </w:rPr>
        <w:t xml:space="preserve"> of </w:t>
      </w:r>
      <w:r w:rsidR="00D5664A">
        <w:rPr>
          <w:kern w:val="0"/>
        </w:rPr>
        <w:t>Science</w:t>
      </w:r>
    </w:p>
    <w:p w:rsidR="000E5BE7" w:rsidRDefault="000E5BE7" w:rsidP="000E5BE7">
      <w:pPr>
        <w:pStyle w:val="a3"/>
        <w:rPr>
          <w:kern w:val="0"/>
        </w:rPr>
      </w:pPr>
      <w:r>
        <w:rPr>
          <w:rFonts w:hint="eastAsia"/>
          <w:kern w:val="0"/>
        </w:rPr>
        <w:t xml:space="preserve">? </w:t>
      </w:r>
      <w:r>
        <w:rPr>
          <w:kern w:val="0"/>
        </w:rPr>
        <w:t>Gunasekaran, S.</w:t>
      </w:r>
      <w:r w:rsidR="005853A9">
        <w:rPr>
          <w:kern w:val="0"/>
        </w:rPr>
        <w:t xml:space="preserve"> and </w:t>
      </w:r>
      <w:r>
        <w:rPr>
          <w:kern w:val="0"/>
        </w:rPr>
        <w:t>Arunachalam, S. (2011), Use</w:t>
      </w:r>
      <w:r w:rsidR="00427468">
        <w:rPr>
          <w:kern w:val="0"/>
        </w:rPr>
        <w:t xml:space="preserve"> of </w:t>
      </w:r>
      <w:r>
        <w:rPr>
          <w:kern w:val="0"/>
        </w:rPr>
        <w:t xml:space="preserve">open access journals by Indian researchers. </w:t>
      </w:r>
      <w:r>
        <w:rPr>
          <w:i/>
          <w:iCs/>
          <w:kern w:val="0"/>
        </w:rPr>
        <w:t>Current Science</w:t>
      </w:r>
      <w:r>
        <w:rPr>
          <w:kern w:val="0"/>
        </w:rPr>
        <w:t xml:space="preserve">, </w:t>
      </w:r>
      <w:r>
        <w:rPr>
          <w:b/>
          <w:bCs/>
          <w:kern w:val="0"/>
        </w:rPr>
        <w:t>101</w:t>
      </w:r>
      <w:r>
        <w:rPr>
          <w:kern w:val="0"/>
        </w:rPr>
        <w:t xml:space="preserve"> (10), 1287-1295.</w:t>
      </w:r>
    </w:p>
    <w:p w:rsidR="000E5BE7" w:rsidRDefault="000E5BE7" w:rsidP="000E5BE7">
      <w:pPr>
        <w:pStyle w:val="a3"/>
      </w:pPr>
      <w:r w:rsidRPr="001A3D2B">
        <w:t xml:space="preserve">Full Text: </w:t>
      </w:r>
      <w:hyperlink r:id="rId1203" w:history="1">
        <w:r w:rsidRPr="00226C1D">
          <w:rPr>
            <w:rStyle w:val="a5"/>
          </w:rPr>
          <w:t>2011\Cur Sci101, 1287.pdf</w:t>
        </w:r>
      </w:hyperlink>
    </w:p>
    <w:p w:rsidR="000E5BE7" w:rsidRDefault="000E5BE7" w:rsidP="000E5BE7">
      <w:pPr>
        <w:pStyle w:val="a3"/>
        <w:rPr>
          <w:kern w:val="0"/>
        </w:rPr>
      </w:pPr>
      <w:r>
        <w:rPr>
          <w:kern w:val="0"/>
        </w:rPr>
        <w:t>Abstract: Indian researchers have published more than 43,400 papers in over 4,600 journals in 2009 as seen from Science Citation Index (SCI) - Expanded.</w:t>
      </w:r>
      <w:r w:rsidR="00427468">
        <w:rPr>
          <w:kern w:val="0"/>
        </w:rPr>
        <w:t xml:space="preserve"> of </w:t>
      </w:r>
      <w:r>
        <w:rPr>
          <w:kern w:val="0"/>
        </w:rPr>
        <w:t>these, over 6,900 (or one in six) papers were published in 445 open access (OA) journals</w:t>
      </w:r>
      <w:r w:rsidR="00A37C1D">
        <w:rPr>
          <w:kern w:val="0"/>
        </w:rPr>
        <w:t>. The</w:t>
      </w:r>
      <w:r w:rsidR="003A1917">
        <w:rPr>
          <w:kern w:val="0"/>
        </w:rPr>
        <w:t xml:space="preserve"> </w:t>
      </w:r>
      <w:r>
        <w:rPr>
          <w:kern w:val="0"/>
        </w:rPr>
        <w:t>proportion</w:t>
      </w:r>
      <w:r w:rsidR="00427468">
        <w:rPr>
          <w:kern w:val="0"/>
        </w:rPr>
        <w:t xml:space="preserve"> of </w:t>
      </w:r>
      <w:r>
        <w:rPr>
          <w:kern w:val="0"/>
        </w:rPr>
        <w:t>papers published by Indian researchers in OA journals is considerably higher than</w:t>
      </w:r>
      <w:r w:rsidR="003A1917">
        <w:rPr>
          <w:kern w:val="0"/>
        </w:rPr>
        <w:t xml:space="preserve"> the </w:t>
      </w:r>
      <w:r>
        <w:rPr>
          <w:kern w:val="0"/>
        </w:rPr>
        <w:t>world average, which is estimated to be 8.5-10.0%. Although India publishes well over a tho</w:t>
      </w:r>
      <w:r w:rsidR="00D5664A">
        <w:rPr>
          <w:kern w:val="0"/>
        </w:rPr>
        <w:t>USA</w:t>
      </w:r>
      <w:r>
        <w:rPr>
          <w:kern w:val="0"/>
        </w:rPr>
        <w:t>nd journals, including about 360 OA journals, SCI Expanded indexed in 2009 only 101 Indian S&amp;T journals including 46 OA journals. It is likely that</w:t>
      </w:r>
      <w:r w:rsidR="003A1917">
        <w:rPr>
          <w:kern w:val="0"/>
        </w:rPr>
        <w:t xml:space="preserve"> the </w:t>
      </w:r>
      <w:r>
        <w:rPr>
          <w:kern w:val="0"/>
        </w:rPr>
        <w:t>percentage</w:t>
      </w:r>
      <w:r w:rsidR="00427468">
        <w:rPr>
          <w:kern w:val="0"/>
        </w:rPr>
        <w:t xml:space="preserve"> of </w:t>
      </w:r>
      <w:r>
        <w:rPr>
          <w:kern w:val="0"/>
        </w:rPr>
        <w:t>Indian papers in OA journals as seen from SCI will be higher if more Indian journals are indexed in SCI Expanded.</w:t>
      </w:r>
    </w:p>
    <w:p w:rsidR="000E5BE7" w:rsidRDefault="000E5BE7" w:rsidP="000E5BE7">
      <w:pPr>
        <w:pStyle w:val="a3"/>
        <w:rPr>
          <w:kern w:val="0"/>
        </w:rPr>
      </w:pPr>
      <w:r>
        <w:rPr>
          <w:kern w:val="0"/>
        </w:rPr>
        <w:t>Keywords: Citation, Impact Factor, India, Indian Researchers, Journals, Open Access, Open Access Journals, Papers, Research Papers, Researchers</w:t>
      </w:r>
      <w:r w:rsidR="00D5664A">
        <w:rPr>
          <w:kern w:val="0"/>
        </w:rPr>
        <w:t>, SCI,</w:t>
      </w:r>
      <w:r>
        <w:rPr>
          <w:kern w:val="0"/>
        </w:rPr>
        <w:t xml:space="preserve"> Science, Science Citation Index, Science Citation Index Expanded</w:t>
      </w:r>
    </w:p>
    <w:p w:rsidR="00A37C83" w:rsidRDefault="00A37C83" w:rsidP="00A37C83">
      <w:pPr>
        <w:pStyle w:val="a3"/>
        <w:rPr>
          <w:kern w:val="0"/>
        </w:rPr>
      </w:pPr>
      <w:r>
        <w:rPr>
          <w:rFonts w:hint="eastAsia"/>
          <w:kern w:val="0"/>
        </w:rPr>
        <w:t xml:space="preserve">? </w:t>
      </w:r>
      <w:r>
        <w:rPr>
          <w:kern w:val="0"/>
        </w:rPr>
        <w:t xml:space="preserve">Ye, F.Y. (2013), Measuring hot topics in sciences. </w:t>
      </w:r>
      <w:r>
        <w:rPr>
          <w:i/>
          <w:iCs/>
          <w:kern w:val="0"/>
        </w:rPr>
        <w:t>Current Science</w:t>
      </w:r>
      <w:r>
        <w:rPr>
          <w:kern w:val="0"/>
        </w:rPr>
        <w:t xml:space="preserve">, </w:t>
      </w:r>
      <w:r>
        <w:rPr>
          <w:b/>
          <w:bCs/>
          <w:kern w:val="0"/>
        </w:rPr>
        <w:t>104</w:t>
      </w:r>
      <w:r>
        <w:rPr>
          <w:kern w:val="0"/>
        </w:rPr>
        <w:t xml:space="preserve"> (2), 160</w:t>
      </w:r>
      <w:r>
        <w:rPr>
          <w:rFonts w:hint="eastAsia"/>
          <w:kern w:val="0"/>
        </w:rPr>
        <w:t>.</w:t>
      </w:r>
    </w:p>
    <w:p w:rsidR="00A37C83" w:rsidRDefault="00A37C83" w:rsidP="00A37C83">
      <w:pPr>
        <w:pStyle w:val="a3"/>
      </w:pPr>
      <w:r w:rsidRPr="001A3D2B">
        <w:t xml:space="preserve">Full Text: </w:t>
      </w:r>
      <w:hyperlink r:id="rId1204" w:history="1">
        <w:r w:rsidRPr="00BA2119">
          <w:rPr>
            <w:rStyle w:val="a5"/>
          </w:rPr>
          <w:t>2013\Cur Sci104, 60.pdf</w:t>
        </w:r>
      </w:hyperlink>
    </w:p>
    <w:p w:rsidR="00A37C83" w:rsidRDefault="00A37C83" w:rsidP="00A37C83">
      <w:pPr>
        <w:pStyle w:val="a3"/>
        <w:rPr>
          <w:kern w:val="0"/>
        </w:rPr>
      </w:pPr>
      <w:r>
        <w:rPr>
          <w:kern w:val="0"/>
        </w:rPr>
        <w:t xml:space="preserve">Keywords: </w:t>
      </w:r>
      <w:r w:rsidR="00D5664A">
        <w:rPr>
          <w:rFonts w:hint="eastAsia"/>
          <w:kern w:val="0"/>
        </w:rPr>
        <w:t>h-Index</w:t>
      </w:r>
      <w:r>
        <w:rPr>
          <w:rFonts w:hint="eastAsia"/>
          <w:kern w:val="0"/>
        </w:rPr>
        <w:t xml:space="preserve">, </w:t>
      </w:r>
      <w:r>
        <w:rPr>
          <w:kern w:val="0"/>
        </w:rPr>
        <w:t>Hirsc</w:t>
      </w:r>
      <w:r w:rsidR="00D5664A">
        <w:rPr>
          <w:kern w:val="0"/>
        </w:rPr>
        <w:t>h Index</w:t>
      </w:r>
      <w:r>
        <w:rPr>
          <w:rFonts w:hint="eastAsia"/>
          <w:kern w:val="0"/>
        </w:rPr>
        <w:t xml:space="preserve">, </w:t>
      </w:r>
      <w:r>
        <w:rPr>
          <w:kern w:val="0"/>
        </w:rPr>
        <w:t>Sciences</w:t>
      </w:r>
    </w:p>
    <w:p w:rsidR="003364C7" w:rsidRDefault="003364C7" w:rsidP="003364C7">
      <w:pPr>
        <w:pStyle w:val="a3"/>
        <w:rPr>
          <w:kern w:val="0"/>
        </w:rPr>
      </w:pPr>
      <w:r>
        <w:rPr>
          <w:rFonts w:hint="eastAsia"/>
          <w:kern w:val="0"/>
        </w:rPr>
        <w:t xml:space="preserve">? </w:t>
      </w:r>
      <w:r>
        <w:rPr>
          <w:kern w:val="0"/>
        </w:rPr>
        <w:t>Arora, J., Trivedi, K.J.</w:t>
      </w:r>
      <w:r w:rsidR="005853A9">
        <w:rPr>
          <w:kern w:val="0"/>
        </w:rPr>
        <w:t xml:space="preserve"> and </w:t>
      </w:r>
      <w:r>
        <w:rPr>
          <w:kern w:val="0"/>
        </w:rPr>
        <w:t>Kembhavi, A. (2013), Impact</w:t>
      </w:r>
      <w:r w:rsidR="00427468">
        <w:rPr>
          <w:kern w:val="0"/>
        </w:rPr>
        <w:t xml:space="preserve"> of </w:t>
      </w:r>
      <w:r>
        <w:rPr>
          <w:kern w:val="0"/>
        </w:rPr>
        <w:t>access to e-resources through the UGC-INFONET Digital Library Consortium on research output</w:t>
      </w:r>
      <w:r w:rsidR="00427468">
        <w:rPr>
          <w:kern w:val="0"/>
        </w:rPr>
        <w:t xml:space="preserve"> of </w:t>
      </w:r>
      <w:r>
        <w:rPr>
          <w:kern w:val="0"/>
        </w:rPr>
        <w:t xml:space="preserve">member universities. </w:t>
      </w:r>
      <w:r>
        <w:rPr>
          <w:i/>
          <w:iCs/>
          <w:kern w:val="0"/>
        </w:rPr>
        <w:t>Current Science</w:t>
      </w:r>
      <w:r>
        <w:rPr>
          <w:kern w:val="0"/>
        </w:rPr>
        <w:t xml:space="preserve">, </w:t>
      </w:r>
      <w:r>
        <w:rPr>
          <w:b/>
          <w:bCs/>
          <w:kern w:val="0"/>
        </w:rPr>
        <w:t>104</w:t>
      </w:r>
      <w:r>
        <w:rPr>
          <w:kern w:val="0"/>
        </w:rPr>
        <w:t xml:space="preserve"> (3), 307-315.</w:t>
      </w:r>
    </w:p>
    <w:p w:rsidR="003364C7" w:rsidRDefault="003364C7" w:rsidP="003364C7">
      <w:pPr>
        <w:pStyle w:val="a3"/>
      </w:pPr>
      <w:r w:rsidRPr="001A3D2B">
        <w:t xml:space="preserve">Full Text: </w:t>
      </w:r>
      <w:hyperlink r:id="rId1205" w:history="1">
        <w:r w:rsidR="00831736" w:rsidRPr="00831736">
          <w:rPr>
            <w:rStyle w:val="a5"/>
          </w:rPr>
          <w:t>2013\Cur Sci104, 307.pdf</w:t>
        </w:r>
      </w:hyperlink>
    </w:p>
    <w:p w:rsidR="003364C7" w:rsidRDefault="003364C7" w:rsidP="003364C7">
      <w:pPr>
        <w:pStyle w:val="a3"/>
        <w:rPr>
          <w:kern w:val="0"/>
        </w:rPr>
      </w:pPr>
      <w:r>
        <w:rPr>
          <w:kern w:val="0"/>
        </w:rPr>
        <w:t>Abstract: Over the last several years, the UGC-INFONET Digital Library Consortium has been providing Indian universities with electronic access to national</w:t>
      </w:r>
      <w:r w:rsidR="005853A9">
        <w:rPr>
          <w:kern w:val="0"/>
        </w:rPr>
        <w:t xml:space="preserve"> and </w:t>
      </w:r>
      <w:r>
        <w:rPr>
          <w:kern w:val="0"/>
        </w:rPr>
        <w:t>international scholarly journals</w:t>
      </w:r>
      <w:r w:rsidR="00A37C1D">
        <w:rPr>
          <w:kern w:val="0"/>
        </w:rPr>
        <w:t>. The</w:t>
      </w:r>
      <w:r>
        <w:rPr>
          <w:kern w:val="0"/>
        </w:rPr>
        <w:t>se journals span wide areas</w:t>
      </w:r>
      <w:r w:rsidR="00427468">
        <w:rPr>
          <w:kern w:val="0"/>
        </w:rPr>
        <w:t xml:space="preserve"> of </w:t>
      </w:r>
      <w:r>
        <w:rPr>
          <w:kern w:val="0"/>
        </w:rPr>
        <w:t>natural</w:t>
      </w:r>
      <w:r w:rsidR="005853A9">
        <w:rPr>
          <w:kern w:val="0"/>
        </w:rPr>
        <w:t xml:space="preserve"> and </w:t>
      </w:r>
      <w:r>
        <w:rPr>
          <w:kern w:val="0"/>
        </w:rPr>
        <w:t>physical sciences, social sciences</w:t>
      </w:r>
      <w:r w:rsidR="005853A9">
        <w:rPr>
          <w:kern w:val="0"/>
        </w:rPr>
        <w:t xml:space="preserve"> and </w:t>
      </w:r>
      <w:r>
        <w:rPr>
          <w:kern w:val="0"/>
        </w:rPr>
        <w:t>humanities,</w:t>
      </w:r>
      <w:r w:rsidR="005853A9">
        <w:rPr>
          <w:kern w:val="0"/>
        </w:rPr>
        <w:t xml:space="preserve"> and </w:t>
      </w:r>
      <w:r>
        <w:rPr>
          <w:kern w:val="0"/>
        </w:rPr>
        <w:t>address a long-standing need</w:t>
      </w:r>
      <w:r w:rsidR="00427468">
        <w:rPr>
          <w:kern w:val="0"/>
        </w:rPr>
        <w:t xml:space="preserve"> of </w:t>
      </w:r>
      <w:r>
        <w:rPr>
          <w:kern w:val="0"/>
        </w:rPr>
        <w:t>the university community for access to scholarly publications. In this article, we describe some details</w:t>
      </w:r>
      <w:r w:rsidR="00427468">
        <w:rPr>
          <w:kern w:val="0"/>
        </w:rPr>
        <w:t xml:space="preserve"> of </w:t>
      </w:r>
      <w:r>
        <w:rPr>
          <w:kern w:val="0"/>
        </w:rPr>
        <w:t>this programme</w:t>
      </w:r>
      <w:r w:rsidR="005853A9">
        <w:rPr>
          <w:kern w:val="0"/>
        </w:rPr>
        <w:t xml:space="preserve"> and </w:t>
      </w:r>
      <w:r>
        <w:rPr>
          <w:kern w:val="0"/>
        </w:rPr>
        <w:t>examine the impact it has made on research</w:t>
      </w:r>
      <w:r w:rsidR="005853A9">
        <w:rPr>
          <w:kern w:val="0"/>
        </w:rPr>
        <w:t xml:space="preserve"> and </w:t>
      </w:r>
      <w:r>
        <w:rPr>
          <w:kern w:val="0"/>
        </w:rPr>
        <w:t>development activity in the universities</w:t>
      </w:r>
      <w:r w:rsidR="00A37C1D">
        <w:rPr>
          <w:kern w:val="0"/>
        </w:rPr>
        <w:t>. The</w:t>
      </w:r>
      <w:r>
        <w:rPr>
          <w:kern w:val="0"/>
        </w:rPr>
        <w:t xml:space="preserve"> research output data from three citation indices, namely Science Citation Index, Social Sciences Citation Index</w:t>
      </w:r>
      <w:r w:rsidR="005853A9">
        <w:rPr>
          <w:kern w:val="0"/>
        </w:rPr>
        <w:t xml:space="preserve"> and </w:t>
      </w:r>
      <w:r>
        <w:rPr>
          <w:kern w:val="0"/>
        </w:rPr>
        <w:t>Arts</w:t>
      </w:r>
      <w:r w:rsidR="005853A9">
        <w:rPr>
          <w:kern w:val="0"/>
        </w:rPr>
        <w:t xml:space="preserve"> and </w:t>
      </w:r>
      <w:r>
        <w:rPr>
          <w:kern w:val="0"/>
        </w:rPr>
        <w:t>Humanities Citation Index for the first 50 universities to be made part</w:t>
      </w:r>
      <w:r w:rsidR="00427468">
        <w:rPr>
          <w:kern w:val="0"/>
        </w:rPr>
        <w:t xml:space="preserve"> of </w:t>
      </w:r>
      <w:r>
        <w:rPr>
          <w:kern w:val="0"/>
        </w:rPr>
        <w:t>the programme have revealed that the number</w:t>
      </w:r>
      <w:r w:rsidR="00427468">
        <w:rPr>
          <w:kern w:val="0"/>
        </w:rPr>
        <w:t xml:space="preserve"> of </w:t>
      </w:r>
      <w:r>
        <w:rPr>
          <w:kern w:val="0"/>
        </w:rPr>
        <w:t>research articles produced by these 50 universities has increased by more than 75% in past 5 years, i.e. from 2005 to 2009 in comparison to the previous block</w:t>
      </w:r>
      <w:r w:rsidR="00427468">
        <w:rPr>
          <w:kern w:val="0"/>
        </w:rPr>
        <w:t xml:space="preserve"> of </w:t>
      </w:r>
      <w:r>
        <w:rPr>
          <w:kern w:val="0"/>
        </w:rPr>
        <w:t xml:space="preserve">5 years, i.e. 2000 to 2004. While increase in research output is evident in all three major subject disciplines, i.e. </w:t>
      </w:r>
      <w:r>
        <w:rPr>
          <w:kern w:val="0"/>
        </w:rPr>
        <w:lastRenderedPageBreak/>
        <w:t>science, social science</w:t>
      </w:r>
      <w:r w:rsidR="005853A9">
        <w:rPr>
          <w:kern w:val="0"/>
        </w:rPr>
        <w:t xml:space="preserve"> and </w:t>
      </w:r>
      <w:r>
        <w:rPr>
          <w:kern w:val="0"/>
        </w:rPr>
        <w:t>arts</w:t>
      </w:r>
      <w:r w:rsidR="005853A9">
        <w:rPr>
          <w:kern w:val="0"/>
        </w:rPr>
        <w:t xml:space="preserve"> and </w:t>
      </w:r>
      <w:r>
        <w:rPr>
          <w:kern w:val="0"/>
        </w:rPr>
        <w:t>humanities, increase in research output is significantly higher in science, compared to the other two disciplines. Moreover, a strong positive correlation is found between the number</w:t>
      </w:r>
      <w:r w:rsidR="00427468">
        <w:rPr>
          <w:kern w:val="0"/>
        </w:rPr>
        <w:t xml:space="preserve"> of </w:t>
      </w:r>
      <w:r>
        <w:rPr>
          <w:kern w:val="0"/>
        </w:rPr>
        <w:t>articles downloaded by these 50 universities from e-resources accessible to them through the consortium</w:t>
      </w:r>
      <w:r w:rsidR="005853A9">
        <w:rPr>
          <w:kern w:val="0"/>
        </w:rPr>
        <w:t xml:space="preserve"> and </w:t>
      </w:r>
      <w:r>
        <w:rPr>
          <w:kern w:val="0"/>
        </w:rPr>
        <w:t>research articles published by them. We also comment on the influence</w:t>
      </w:r>
      <w:r w:rsidR="00427468">
        <w:rPr>
          <w:kern w:val="0"/>
        </w:rPr>
        <w:t xml:space="preserve"> of </w:t>
      </w:r>
      <w:r>
        <w:rPr>
          <w:kern w:val="0"/>
        </w:rPr>
        <w:t>other factors such as number</w:t>
      </w:r>
      <w:r w:rsidR="00427468">
        <w:rPr>
          <w:kern w:val="0"/>
        </w:rPr>
        <w:t xml:space="preserve"> of </w:t>
      </w:r>
      <w:r>
        <w:rPr>
          <w:kern w:val="0"/>
        </w:rPr>
        <w:t>researchers</w:t>
      </w:r>
      <w:r w:rsidR="005853A9">
        <w:rPr>
          <w:kern w:val="0"/>
        </w:rPr>
        <w:t xml:space="preserve"> and </w:t>
      </w:r>
      <w:r>
        <w:rPr>
          <w:kern w:val="0"/>
        </w:rPr>
        <w:t>level</w:t>
      </w:r>
      <w:r w:rsidR="00427468">
        <w:rPr>
          <w:kern w:val="0"/>
        </w:rPr>
        <w:t xml:space="preserve"> of </w:t>
      </w:r>
      <w:r>
        <w:rPr>
          <w:kern w:val="0"/>
        </w:rPr>
        <w:t>research funding on this correlation.</w:t>
      </w:r>
    </w:p>
    <w:p w:rsidR="003364C7" w:rsidRDefault="003364C7" w:rsidP="003364C7">
      <w:pPr>
        <w:pStyle w:val="a3"/>
        <w:rPr>
          <w:kern w:val="0"/>
        </w:rPr>
      </w:pPr>
      <w:r>
        <w:rPr>
          <w:kern w:val="0"/>
        </w:rPr>
        <w:t>Keywords: Access, Activity, Arts</w:t>
      </w:r>
      <w:r w:rsidR="005853A9">
        <w:rPr>
          <w:kern w:val="0"/>
        </w:rPr>
        <w:t xml:space="preserve"> and </w:t>
      </w:r>
      <w:r>
        <w:rPr>
          <w:kern w:val="0"/>
        </w:rPr>
        <w:t>Humanities Citation Index, Citation, Community, Comparison, Correlation, Data, Development, Digital Library, Disciplines, E-Resources, First, Funding, Humanities, Impact, Indices, Influence, International, Journals, Member Universities, Natural, Physical, Physical Sciences, Publications, Research, Research</w:t>
      </w:r>
      <w:r w:rsidR="005853A9">
        <w:rPr>
          <w:kern w:val="0"/>
        </w:rPr>
        <w:t xml:space="preserve"> and </w:t>
      </w:r>
      <w:r>
        <w:rPr>
          <w:kern w:val="0"/>
        </w:rPr>
        <w:t>Development, Research Funding, Research Output, Scholarly Journals, Science, Science Citation Index, Sciences, Social, Social Sciences, Social Sciences Citation Index, Universities, University</w:t>
      </w:r>
    </w:p>
    <w:p w:rsidR="00F449FB" w:rsidRDefault="00F449FB" w:rsidP="00F449FB">
      <w:pPr>
        <w:pStyle w:val="a3"/>
        <w:rPr>
          <w:kern w:val="0"/>
          <w:szCs w:val="24"/>
        </w:rPr>
      </w:pPr>
      <w:r>
        <w:rPr>
          <w:rFonts w:hint="eastAsia"/>
          <w:kern w:val="0"/>
          <w:szCs w:val="24"/>
        </w:rPr>
        <w:t xml:space="preserve">? </w:t>
      </w:r>
      <w:r>
        <w:rPr>
          <w:kern w:val="0"/>
          <w:szCs w:val="24"/>
        </w:rPr>
        <w:t>Persson, O.</w:t>
      </w:r>
      <w:r w:rsidR="005853A9">
        <w:rPr>
          <w:kern w:val="0"/>
          <w:szCs w:val="24"/>
        </w:rPr>
        <w:t xml:space="preserve"> and </w:t>
      </w:r>
      <w:r>
        <w:rPr>
          <w:kern w:val="0"/>
          <w:szCs w:val="24"/>
        </w:rPr>
        <w:t>Dastidar, P.G. (2013), Citation analysis to reconstruct the dynamics</w:t>
      </w:r>
      <w:r w:rsidR="00427468">
        <w:rPr>
          <w:kern w:val="0"/>
          <w:szCs w:val="24"/>
        </w:rPr>
        <w:t xml:space="preserve"> of </w:t>
      </w:r>
      <w:r>
        <w:rPr>
          <w:kern w:val="0"/>
          <w:szCs w:val="24"/>
        </w:rPr>
        <w:t>Antarctic ozone hole research</w:t>
      </w:r>
      <w:r w:rsidR="005853A9">
        <w:rPr>
          <w:kern w:val="0"/>
          <w:szCs w:val="24"/>
        </w:rPr>
        <w:t xml:space="preserve"> and </w:t>
      </w:r>
      <w:r>
        <w:rPr>
          <w:kern w:val="0"/>
          <w:szCs w:val="24"/>
        </w:rPr>
        <w:t>formulation</w:t>
      </w:r>
      <w:r w:rsidR="00427468">
        <w:rPr>
          <w:kern w:val="0"/>
          <w:szCs w:val="24"/>
        </w:rPr>
        <w:t xml:space="preserve"> of </w:t>
      </w:r>
      <w:r>
        <w:rPr>
          <w:kern w:val="0"/>
          <w:szCs w:val="24"/>
        </w:rPr>
        <w:t xml:space="preserve">the Montreal Protocol. </w:t>
      </w:r>
      <w:r>
        <w:rPr>
          <w:i/>
          <w:iCs/>
          <w:kern w:val="0"/>
          <w:szCs w:val="24"/>
        </w:rPr>
        <w:t>Current Science</w:t>
      </w:r>
      <w:r>
        <w:rPr>
          <w:kern w:val="0"/>
          <w:szCs w:val="24"/>
        </w:rPr>
        <w:t xml:space="preserve">, </w:t>
      </w:r>
      <w:r>
        <w:rPr>
          <w:b/>
          <w:bCs/>
          <w:kern w:val="0"/>
          <w:szCs w:val="24"/>
        </w:rPr>
        <w:t>104</w:t>
      </w:r>
      <w:r>
        <w:rPr>
          <w:kern w:val="0"/>
          <w:szCs w:val="24"/>
        </w:rPr>
        <w:t xml:space="preserve"> (7), 835-840</w:t>
      </w:r>
    </w:p>
    <w:p w:rsidR="00F449FB" w:rsidRDefault="00F449FB" w:rsidP="00F449FB">
      <w:pPr>
        <w:pStyle w:val="a3"/>
      </w:pPr>
      <w:r w:rsidRPr="001A3D2B">
        <w:t xml:space="preserve">Full Text: </w:t>
      </w:r>
      <w:hyperlink r:id="rId1206" w:history="1">
        <w:r w:rsidRPr="00F449FB">
          <w:rPr>
            <w:rStyle w:val="a5"/>
          </w:rPr>
          <w:t>2013\Cur Sci104, 835.pdf</w:t>
        </w:r>
      </w:hyperlink>
    </w:p>
    <w:p w:rsidR="00F449FB" w:rsidRDefault="00F449FB" w:rsidP="00F449FB">
      <w:pPr>
        <w:pStyle w:val="a3"/>
        <w:rPr>
          <w:kern w:val="0"/>
          <w:szCs w:val="24"/>
        </w:rPr>
      </w:pPr>
      <w:r>
        <w:rPr>
          <w:kern w:val="0"/>
          <w:szCs w:val="24"/>
        </w:rPr>
        <w:t>Keywords: Analysis, Bibexcel, Citation, Citation Analysis, Dynamics, Formulation, Ozone, Ozone Hole, Policy Research, Protocol, Research, Science, Scientometrics, Weighted Direct Citation</w:t>
      </w:r>
    </w:p>
    <w:p w:rsidR="0051715B" w:rsidRDefault="0051715B" w:rsidP="00E753FF">
      <w:pPr>
        <w:pStyle w:val="a3"/>
        <w:rPr>
          <w:kern w:val="0"/>
        </w:rPr>
      </w:pPr>
      <w:r>
        <w:rPr>
          <w:rFonts w:hint="eastAsia"/>
          <w:kern w:val="0"/>
        </w:rPr>
        <w:t>Notes: CCountry</w:t>
      </w:r>
    </w:p>
    <w:p w:rsidR="00E753FF" w:rsidRDefault="00E753FF" w:rsidP="00E753FF">
      <w:pPr>
        <w:pStyle w:val="a3"/>
        <w:rPr>
          <w:kern w:val="0"/>
        </w:rPr>
      </w:pPr>
      <w:r>
        <w:rPr>
          <w:rFonts w:hint="eastAsia"/>
          <w:kern w:val="0"/>
        </w:rPr>
        <w:t xml:space="preserve">? </w:t>
      </w:r>
      <w:r>
        <w:rPr>
          <w:kern w:val="0"/>
        </w:rPr>
        <w:t>Shahabuddin, S.M. (2013), Mapping neuroscience research in India</w:t>
      </w:r>
      <w:r>
        <w:rPr>
          <w:rFonts w:hint="eastAsia"/>
          <w:kern w:val="0"/>
        </w:rPr>
        <w:t>:</w:t>
      </w:r>
      <w:r>
        <w:rPr>
          <w:kern w:val="0"/>
        </w:rPr>
        <w:t xml:space="preserve"> A bibliometric approach. </w:t>
      </w:r>
      <w:r>
        <w:rPr>
          <w:i/>
          <w:iCs/>
          <w:kern w:val="0"/>
        </w:rPr>
        <w:t>Current Science</w:t>
      </w:r>
      <w:r>
        <w:rPr>
          <w:kern w:val="0"/>
        </w:rPr>
        <w:t xml:space="preserve">, </w:t>
      </w:r>
      <w:r>
        <w:rPr>
          <w:b/>
          <w:bCs/>
          <w:kern w:val="0"/>
        </w:rPr>
        <w:t>104</w:t>
      </w:r>
      <w:r>
        <w:rPr>
          <w:kern w:val="0"/>
        </w:rPr>
        <w:t xml:space="preserve"> (12), 1619-1626.</w:t>
      </w:r>
    </w:p>
    <w:p w:rsidR="00E753FF" w:rsidRDefault="00E753FF" w:rsidP="00E753FF">
      <w:pPr>
        <w:pStyle w:val="a3"/>
      </w:pPr>
      <w:r w:rsidRPr="001A3D2B">
        <w:t xml:space="preserve">Full Text: </w:t>
      </w:r>
      <w:hyperlink r:id="rId1207" w:history="1">
        <w:r w:rsidRPr="00C8564A">
          <w:rPr>
            <w:rStyle w:val="a5"/>
          </w:rPr>
          <w:t>2013\Cur Sci104, 1619.pdf</w:t>
        </w:r>
      </w:hyperlink>
    </w:p>
    <w:p w:rsidR="00E753FF" w:rsidRDefault="00E753FF" w:rsidP="00E753FF">
      <w:pPr>
        <w:pStyle w:val="a3"/>
        <w:rPr>
          <w:kern w:val="0"/>
        </w:rPr>
      </w:pPr>
      <w:r>
        <w:rPr>
          <w:kern w:val="0"/>
        </w:rPr>
        <w:t>Abstract: Neuroscience research in India has been mapped for the years 1992-2005 using Neuroscience Citation Index (NSCI)</w:t>
      </w:r>
      <w:r w:rsidR="005853A9">
        <w:rPr>
          <w:kern w:val="0"/>
        </w:rPr>
        <w:t xml:space="preserve"> and </w:t>
      </w:r>
      <w:r>
        <w:rPr>
          <w:kern w:val="0"/>
        </w:rPr>
        <w:t>PubMed. A total</w:t>
      </w:r>
      <w:r w:rsidR="00427468">
        <w:rPr>
          <w:kern w:val="0"/>
        </w:rPr>
        <w:t xml:space="preserve"> of </w:t>
      </w:r>
      <w:r>
        <w:rPr>
          <w:kern w:val="0"/>
        </w:rPr>
        <w:t>18, 138 papers, with 1.31 times citations, have been published in 1975 journals from 47 different countries. Fourteen out</w:t>
      </w:r>
      <w:r w:rsidR="00427468">
        <w:rPr>
          <w:kern w:val="0"/>
        </w:rPr>
        <w:t xml:space="preserve"> of </w:t>
      </w:r>
      <w:r>
        <w:rPr>
          <w:kern w:val="0"/>
        </w:rPr>
        <w:t>the top 18 productive journals are from India;</w:t>
      </w:r>
      <w:r w:rsidR="00427468">
        <w:rPr>
          <w:kern w:val="0"/>
        </w:rPr>
        <w:t xml:space="preserve"> of </w:t>
      </w:r>
      <w:r>
        <w:rPr>
          <w:kern w:val="0"/>
        </w:rPr>
        <w:t>which only 6 have Impact Factor 2009 (IF-2009). Interestingly, only 4 out</w:t>
      </w:r>
      <w:r w:rsidR="00427468">
        <w:rPr>
          <w:kern w:val="0"/>
        </w:rPr>
        <w:t xml:space="preserve"> of </w:t>
      </w:r>
      <w:r>
        <w:rPr>
          <w:kern w:val="0"/>
        </w:rPr>
        <w:t>the 25 highly cited journals are Indian.</w:t>
      </w:r>
      <w:r w:rsidR="005853A9">
        <w:rPr>
          <w:kern w:val="0"/>
        </w:rPr>
        <w:t xml:space="preserve"> and </w:t>
      </w:r>
      <w:r>
        <w:rPr>
          <w:kern w:val="0"/>
        </w:rPr>
        <w:t>322 papers have appeared in 28 Letters</w:t>
      </w:r>
      <w:r w:rsidR="005853A9">
        <w:rPr>
          <w:kern w:val="0"/>
        </w:rPr>
        <w:t xml:space="preserve"> and </w:t>
      </w:r>
      <w:r>
        <w:rPr>
          <w:kern w:val="0"/>
        </w:rPr>
        <w:t>Communication journals</w:t>
      </w:r>
      <w:r w:rsidR="00A37C1D">
        <w:rPr>
          <w:kern w:val="0"/>
        </w:rPr>
        <w:t>. The</w:t>
      </w:r>
      <w:r>
        <w:rPr>
          <w:kern w:val="0"/>
        </w:rPr>
        <w:t xml:space="preserve"> dataset has been found to be a perfect fit for the Bradford law</w:t>
      </w:r>
      <w:r w:rsidR="00427468">
        <w:rPr>
          <w:kern w:val="0"/>
        </w:rPr>
        <w:t xml:space="preserve"> of </w:t>
      </w:r>
      <w:r>
        <w:rPr>
          <w:kern w:val="0"/>
        </w:rPr>
        <w:t>scattering - both verbal</w:t>
      </w:r>
      <w:r w:rsidR="005853A9">
        <w:rPr>
          <w:kern w:val="0"/>
        </w:rPr>
        <w:t xml:space="preserve"> and </w:t>
      </w:r>
      <w:r>
        <w:rPr>
          <w:kern w:val="0"/>
        </w:rPr>
        <w:t>graphical formulations</w:t>
      </w:r>
      <w:r w:rsidR="00427468">
        <w:rPr>
          <w:kern w:val="0"/>
        </w:rPr>
        <w:t xml:space="preserve"> of </w:t>
      </w:r>
      <w:r>
        <w:rPr>
          <w:kern w:val="0"/>
        </w:rPr>
        <w:t>the law. About 20%</w:t>
      </w:r>
      <w:r w:rsidR="00427468">
        <w:rPr>
          <w:kern w:val="0"/>
        </w:rPr>
        <w:t xml:space="preserve"> of </w:t>
      </w:r>
      <w:r>
        <w:rPr>
          <w:kern w:val="0"/>
        </w:rPr>
        <w:t>the papers are published in journals which are having no IF,</w:t>
      </w:r>
      <w:r w:rsidR="005853A9">
        <w:rPr>
          <w:kern w:val="0"/>
        </w:rPr>
        <w:t xml:space="preserve"> and </w:t>
      </w:r>
      <w:r>
        <w:rPr>
          <w:kern w:val="0"/>
        </w:rPr>
        <w:t>61% papers in journals having IF &lt; 3. However, only 128 papers are published in journals having IF &gt; 10, out</w:t>
      </w:r>
      <w:r w:rsidR="00427468">
        <w:rPr>
          <w:kern w:val="0"/>
        </w:rPr>
        <w:t xml:space="preserve"> of </w:t>
      </w:r>
      <w:r>
        <w:rPr>
          <w:kern w:val="0"/>
        </w:rPr>
        <w:t>which 15 papers have not been cited at all. Papers have authors from 1401 Indian institutions; but only 9.2% institutions contribute 80.1% papers. Also, papers are authored by 1 to 27 authors; multi-author papers are better cited. Collaborations have been studied for papers indexed in NSCI only</w:t>
      </w:r>
      <w:r w:rsidR="005853A9">
        <w:rPr>
          <w:kern w:val="0"/>
        </w:rPr>
        <w:t xml:space="preserve"> and </w:t>
      </w:r>
      <w:r>
        <w:rPr>
          <w:kern w:val="0"/>
        </w:rPr>
        <w:t xml:space="preserve">not PubMed. </w:t>
      </w:r>
      <w:r>
        <w:rPr>
          <w:kern w:val="0"/>
        </w:rPr>
        <w:lastRenderedPageBreak/>
        <w:t>Indian authors have international collaborations in only 12% papers indexed in NSCI with authors from 75 different countries - predominantly G7 nations</w:t>
      </w:r>
      <w:r w:rsidR="005853A9">
        <w:rPr>
          <w:kern w:val="0"/>
        </w:rPr>
        <w:t xml:space="preserve"> and </w:t>
      </w:r>
      <w:r>
        <w:rPr>
          <w:kern w:val="0"/>
        </w:rPr>
        <w:t>the internationalization index is 16.14. More than 70% papers have not been cited at all</w:t>
      </w:r>
      <w:r w:rsidR="005853A9">
        <w:rPr>
          <w:kern w:val="0"/>
        </w:rPr>
        <w:t xml:space="preserve"> and </w:t>
      </w:r>
      <w:r>
        <w:rPr>
          <w:kern w:val="0"/>
        </w:rPr>
        <w:t>those published in 1998 have been better cited. Papers drew maximum citations 4-5 years after publication. Papers having international collaborations are cited more often.</w:t>
      </w:r>
    </w:p>
    <w:p w:rsidR="00E753FF" w:rsidRDefault="00E753FF" w:rsidP="00E753FF">
      <w:pPr>
        <w:pStyle w:val="a3"/>
        <w:rPr>
          <w:kern w:val="0"/>
        </w:rPr>
      </w:pPr>
      <w:r>
        <w:rPr>
          <w:kern w:val="0"/>
        </w:rPr>
        <w:t>Keywords: Approach, Authors, Bibliometric, Bibliometrics, Bradford</w:t>
      </w:r>
      <w:r w:rsidR="0071223E">
        <w:rPr>
          <w:kern w:val="0"/>
        </w:rPr>
        <w:t>’</w:t>
      </w:r>
      <w:r>
        <w:rPr>
          <w:rFonts w:hint="eastAsia"/>
          <w:kern w:val="0"/>
        </w:rPr>
        <w:t>s</w:t>
      </w:r>
      <w:r>
        <w:rPr>
          <w:kern w:val="0"/>
        </w:rPr>
        <w:t xml:space="preserve"> Law</w:t>
      </w:r>
      <w:r w:rsidR="00427468">
        <w:rPr>
          <w:kern w:val="0"/>
        </w:rPr>
        <w:t xml:space="preserve"> of </w:t>
      </w:r>
      <w:r>
        <w:rPr>
          <w:kern w:val="0"/>
        </w:rPr>
        <w:t>Scattering, Citation, Citation Analysis, Citations, Collaboration, Collaboration Study, Collaborations, Communication, Highly Cited, Highly-Cited, Impact, Impact Factor, Index, India, Institutions, International, Internationalization, Journal Impact Factor, Journals, Law, Mapping, Nations, Neuroscience, Neuroscience Research, Papers, Profile, Publication, Pubmed, Research, Scattering, Science</w:t>
      </w:r>
    </w:p>
    <w:p w:rsidR="0051715B" w:rsidRDefault="0051715B" w:rsidP="00475AEC">
      <w:pPr>
        <w:pStyle w:val="a3"/>
        <w:rPr>
          <w:kern w:val="0"/>
        </w:rPr>
      </w:pPr>
      <w:r>
        <w:rPr>
          <w:rFonts w:hint="eastAsia"/>
          <w:kern w:val="0"/>
        </w:rPr>
        <w:t>Notes: CCountry</w:t>
      </w:r>
    </w:p>
    <w:p w:rsidR="00475AEC" w:rsidRDefault="00475AEC" w:rsidP="00475AEC">
      <w:pPr>
        <w:pStyle w:val="a3"/>
        <w:rPr>
          <w:kern w:val="0"/>
        </w:rPr>
      </w:pPr>
      <w:r>
        <w:rPr>
          <w:rFonts w:hint="eastAsia"/>
          <w:kern w:val="0"/>
        </w:rPr>
        <w:t xml:space="preserve">? </w:t>
      </w:r>
      <w:r>
        <w:rPr>
          <w:kern w:val="0"/>
        </w:rPr>
        <w:t>Mishra, A.K.</w:t>
      </w:r>
      <w:r w:rsidR="005853A9">
        <w:rPr>
          <w:kern w:val="0"/>
        </w:rPr>
        <w:t xml:space="preserve"> and </w:t>
      </w:r>
      <w:r>
        <w:rPr>
          <w:kern w:val="0"/>
        </w:rPr>
        <w:t>Balhara, Y.P.S. (2013), Statistical methodology for the scientometric study</w:t>
      </w:r>
      <w:r w:rsidR="00427468">
        <w:rPr>
          <w:kern w:val="0"/>
        </w:rPr>
        <w:t xml:space="preserve"> of </w:t>
      </w:r>
      <w:r>
        <w:rPr>
          <w:kern w:val="0"/>
        </w:rPr>
        <w:t>the growth</w:t>
      </w:r>
      <w:r w:rsidR="00427468">
        <w:rPr>
          <w:kern w:val="0"/>
        </w:rPr>
        <w:t xml:space="preserve"> of </w:t>
      </w:r>
      <w:r>
        <w:rPr>
          <w:kern w:val="0"/>
        </w:rPr>
        <w:t xml:space="preserve">medical sciences in India. </w:t>
      </w:r>
      <w:r>
        <w:rPr>
          <w:i/>
          <w:iCs/>
          <w:kern w:val="0"/>
        </w:rPr>
        <w:t>Current Science</w:t>
      </w:r>
      <w:r>
        <w:rPr>
          <w:kern w:val="0"/>
        </w:rPr>
        <w:t xml:space="preserve">, </w:t>
      </w:r>
      <w:r>
        <w:rPr>
          <w:b/>
          <w:bCs/>
          <w:kern w:val="0"/>
        </w:rPr>
        <w:t>105</w:t>
      </w:r>
      <w:r>
        <w:rPr>
          <w:kern w:val="0"/>
        </w:rPr>
        <w:t xml:space="preserve"> (6), 821-826.</w:t>
      </w:r>
    </w:p>
    <w:p w:rsidR="00475AEC" w:rsidRDefault="00475AEC" w:rsidP="00475AEC">
      <w:pPr>
        <w:pStyle w:val="a3"/>
      </w:pPr>
      <w:r w:rsidRPr="001A3D2B">
        <w:t xml:space="preserve">Full Text: </w:t>
      </w:r>
      <w:hyperlink r:id="rId1208" w:history="1">
        <w:r w:rsidRPr="00AD4AC5">
          <w:rPr>
            <w:rStyle w:val="a5"/>
          </w:rPr>
          <w:t>2013\Cur Sci105, 821.pdf</w:t>
        </w:r>
      </w:hyperlink>
    </w:p>
    <w:p w:rsidR="00475AEC" w:rsidRDefault="00475AEC" w:rsidP="00475AEC">
      <w:pPr>
        <w:pStyle w:val="a3"/>
        <w:rPr>
          <w:kern w:val="0"/>
        </w:rPr>
      </w:pPr>
      <w:r>
        <w:rPr>
          <w:kern w:val="0"/>
        </w:rPr>
        <w:t>Abstract: There is evidence that the growth</w:t>
      </w:r>
      <w:r w:rsidR="00427468">
        <w:rPr>
          <w:kern w:val="0"/>
        </w:rPr>
        <w:t xml:space="preserve"> of </w:t>
      </w:r>
      <w:r>
        <w:rPr>
          <w:kern w:val="0"/>
        </w:rPr>
        <w:t>medical literature in India is phenomenal. However, the trajectory</w:t>
      </w:r>
      <w:r w:rsidR="00427468">
        <w:rPr>
          <w:kern w:val="0"/>
        </w:rPr>
        <w:t xml:space="preserve"> of </w:t>
      </w:r>
      <w:r>
        <w:rPr>
          <w:kern w:val="0"/>
        </w:rPr>
        <w:t>this growth requires further study</w:t>
      </w:r>
      <w:r w:rsidR="005853A9">
        <w:rPr>
          <w:kern w:val="0"/>
        </w:rPr>
        <w:t xml:space="preserve"> and </w:t>
      </w:r>
      <w:r>
        <w:rPr>
          <w:kern w:val="0"/>
        </w:rPr>
        <w:t>the findings need to be disseminated. With this in mind the present study attempts to draw inferences on the trajectory</w:t>
      </w:r>
      <w:r w:rsidR="00427468">
        <w:rPr>
          <w:kern w:val="0"/>
        </w:rPr>
        <w:t xml:space="preserve"> of </w:t>
      </w:r>
      <w:r>
        <w:rPr>
          <w:kern w:val="0"/>
        </w:rPr>
        <w:t>four broad domains</w:t>
      </w:r>
      <w:r w:rsidR="00427468">
        <w:rPr>
          <w:kern w:val="0"/>
        </w:rPr>
        <w:t xml:space="preserve"> of </w:t>
      </w:r>
      <w:r>
        <w:rPr>
          <w:kern w:val="0"/>
        </w:rPr>
        <w:t>medical sciences in India over the span</w:t>
      </w:r>
      <w:r w:rsidR="00427468">
        <w:rPr>
          <w:kern w:val="0"/>
        </w:rPr>
        <w:t xml:space="preserve"> of </w:t>
      </w:r>
      <w:r>
        <w:rPr>
          <w:kern w:val="0"/>
        </w:rPr>
        <w:t>16 years, utilizing the available scientometrics information</w:t>
      </w:r>
      <w:r w:rsidR="00A37C1D">
        <w:rPr>
          <w:kern w:val="0"/>
        </w:rPr>
        <w:t>. The</w:t>
      </w:r>
      <w:r>
        <w:rPr>
          <w:kern w:val="0"/>
        </w:rPr>
        <w:t xml:space="preserve"> results are indicative</w:t>
      </w:r>
      <w:r w:rsidR="00427468">
        <w:rPr>
          <w:kern w:val="0"/>
        </w:rPr>
        <w:t xml:space="preserve"> of </w:t>
      </w:r>
      <w:r>
        <w:rPr>
          <w:kern w:val="0"/>
        </w:rPr>
        <w:t>differential growth trajectory in many sub-disciplines</w:t>
      </w:r>
      <w:r w:rsidR="00427468">
        <w:rPr>
          <w:kern w:val="0"/>
        </w:rPr>
        <w:t xml:space="preserve"> of </w:t>
      </w:r>
      <w:r>
        <w:rPr>
          <w:kern w:val="0"/>
        </w:rPr>
        <w:t>medical sciences</w:t>
      </w:r>
      <w:r w:rsidR="00A37C1D">
        <w:rPr>
          <w:kern w:val="0"/>
        </w:rPr>
        <w:t>. The</w:t>
      </w:r>
      <w:r>
        <w:rPr>
          <w:kern w:val="0"/>
        </w:rPr>
        <w:t xml:space="preserve"> specialities such as epidemiology, obstetrics</w:t>
      </w:r>
      <w:r w:rsidR="005853A9">
        <w:rPr>
          <w:kern w:val="0"/>
        </w:rPr>
        <w:t xml:space="preserve"> and </w:t>
      </w:r>
      <w:r>
        <w:rPr>
          <w:kern w:val="0"/>
        </w:rPr>
        <w:t>gynaecology, geriatrics</w:t>
      </w:r>
      <w:r w:rsidR="005853A9">
        <w:rPr>
          <w:kern w:val="0"/>
        </w:rPr>
        <w:t xml:space="preserve"> and </w:t>
      </w:r>
      <w:r>
        <w:rPr>
          <w:kern w:val="0"/>
        </w:rPr>
        <w:t>psychiatry</w:t>
      </w:r>
      <w:r w:rsidR="005853A9">
        <w:rPr>
          <w:kern w:val="0"/>
        </w:rPr>
        <w:t xml:space="preserve"> and </w:t>
      </w:r>
      <w:r>
        <w:rPr>
          <w:kern w:val="0"/>
        </w:rPr>
        <w:t>mental health, need to be pursued more seriously.</w:t>
      </w:r>
    </w:p>
    <w:p w:rsidR="00475AEC" w:rsidRDefault="00475AEC" w:rsidP="00475AEC">
      <w:pPr>
        <w:pStyle w:val="a3"/>
        <w:rPr>
          <w:kern w:val="0"/>
        </w:rPr>
      </w:pPr>
      <w:r>
        <w:rPr>
          <w:kern w:val="0"/>
        </w:rPr>
        <w:t>Keywords: Article, Epidemiology, Evidence, Geriatrics, Growth, Growth Trajectory, Gynaecology, Health, India, Information, Life, Literature, Medical, Medical Literature, Medical Sciences, Mental Health, Methodology, New Delhi, Obstetrics, P, Psychiatry, Raman</w:t>
      </w:r>
      <w:r w:rsidR="00D5664A">
        <w:rPr>
          <w:kern w:val="0"/>
        </w:rPr>
        <w:t>, SCI,</w:t>
      </w:r>
      <w:r>
        <w:rPr>
          <w:kern w:val="0"/>
        </w:rPr>
        <w:t xml:space="preserve"> Science, Sciences, Scientometric, Scientometrics, Specialities, Statistical Methodology, Technology, Topics, Trajectory</w:t>
      </w:r>
    </w:p>
    <w:p w:rsidR="008A3BC8" w:rsidRDefault="008A3BC8" w:rsidP="008A3BC8">
      <w:pPr>
        <w:pStyle w:val="a3"/>
        <w:rPr>
          <w:kern w:val="0"/>
          <w:szCs w:val="24"/>
        </w:rPr>
      </w:pPr>
      <w:r>
        <w:rPr>
          <w:rFonts w:hint="eastAsia"/>
          <w:kern w:val="0"/>
          <w:szCs w:val="24"/>
        </w:rPr>
        <w:t xml:space="preserve">? </w:t>
      </w:r>
      <w:r>
        <w:rPr>
          <w:kern w:val="0"/>
          <w:szCs w:val="24"/>
        </w:rPr>
        <w:t xml:space="preserve">Pyke, G.H. (2013), Struggling scientists: </w:t>
      </w:r>
      <w:r w:rsidR="00890820">
        <w:rPr>
          <w:kern w:val="0"/>
          <w:szCs w:val="24"/>
        </w:rPr>
        <w:t xml:space="preserve">Please </w:t>
      </w:r>
      <w:r>
        <w:rPr>
          <w:kern w:val="0"/>
          <w:szCs w:val="24"/>
        </w:rPr>
        <w:t xml:space="preserve">cite our papers! </w:t>
      </w:r>
      <w:r>
        <w:rPr>
          <w:i/>
          <w:iCs/>
          <w:kern w:val="0"/>
          <w:szCs w:val="24"/>
        </w:rPr>
        <w:t>Current Science</w:t>
      </w:r>
      <w:r>
        <w:rPr>
          <w:kern w:val="0"/>
          <w:szCs w:val="24"/>
        </w:rPr>
        <w:t xml:space="preserve">, </w:t>
      </w:r>
      <w:r>
        <w:rPr>
          <w:b/>
          <w:bCs/>
          <w:kern w:val="0"/>
          <w:szCs w:val="24"/>
        </w:rPr>
        <w:t>105</w:t>
      </w:r>
      <w:r>
        <w:rPr>
          <w:kern w:val="0"/>
          <w:szCs w:val="24"/>
        </w:rPr>
        <w:t xml:space="preserve"> (8), 1061-1066.</w:t>
      </w:r>
    </w:p>
    <w:p w:rsidR="008A3BC8" w:rsidRDefault="008A3BC8" w:rsidP="008A3BC8">
      <w:pPr>
        <w:pStyle w:val="a3"/>
      </w:pPr>
      <w:r w:rsidRPr="001A3D2B">
        <w:t xml:space="preserve">Full Text: </w:t>
      </w:r>
      <w:hyperlink r:id="rId1209" w:history="1">
        <w:r w:rsidRPr="008A3BC8">
          <w:rPr>
            <w:rStyle w:val="a5"/>
          </w:rPr>
          <w:t>2013\Cur Sci105, 1061.pdf</w:t>
        </w:r>
      </w:hyperlink>
    </w:p>
    <w:p w:rsidR="008A3BC8" w:rsidRDefault="008A3BC8" w:rsidP="008A3BC8">
      <w:pPr>
        <w:pStyle w:val="a3"/>
        <w:rPr>
          <w:kern w:val="0"/>
          <w:szCs w:val="24"/>
        </w:rPr>
      </w:pPr>
      <w:r>
        <w:rPr>
          <w:kern w:val="0"/>
          <w:szCs w:val="24"/>
        </w:rPr>
        <w:t>Abstract: We scientists, whether struggling or not, need colleagues to cite our papers,</w:t>
      </w:r>
      <w:r w:rsidR="005853A9">
        <w:rPr>
          <w:kern w:val="0"/>
          <w:szCs w:val="24"/>
        </w:rPr>
        <w:t xml:space="preserve"> and </w:t>
      </w:r>
      <w:r>
        <w:rPr>
          <w:kern w:val="0"/>
          <w:szCs w:val="24"/>
        </w:rPr>
        <w:t>increasingly so; we also need to carry out worthwhile research. I present a strategy that simultaneously enhances citations</w:t>
      </w:r>
      <w:r w:rsidR="005853A9">
        <w:rPr>
          <w:kern w:val="0"/>
          <w:szCs w:val="24"/>
        </w:rPr>
        <w:t xml:space="preserve"> and </w:t>
      </w:r>
      <w:r>
        <w:rPr>
          <w:kern w:val="0"/>
          <w:szCs w:val="24"/>
        </w:rPr>
        <w:t>research quality, but is simple</w:t>
      </w:r>
      <w:r w:rsidR="005853A9">
        <w:rPr>
          <w:kern w:val="0"/>
          <w:szCs w:val="24"/>
        </w:rPr>
        <w:t xml:space="preserve"> and </w:t>
      </w:r>
      <w:r>
        <w:rPr>
          <w:kern w:val="0"/>
          <w:szCs w:val="24"/>
        </w:rPr>
        <w:t>straightforward. Yet it is rarely adopted, perhaps because it requires integration</w:t>
      </w:r>
      <w:r w:rsidR="00427468">
        <w:rPr>
          <w:kern w:val="0"/>
          <w:szCs w:val="24"/>
        </w:rPr>
        <w:t xml:space="preserve"> of </w:t>
      </w:r>
      <w:r>
        <w:rPr>
          <w:kern w:val="0"/>
          <w:szCs w:val="24"/>
        </w:rPr>
        <w:t>a particular approach with necessary tools, aided through feedback,</w:t>
      </w:r>
      <w:r w:rsidR="005853A9">
        <w:rPr>
          <w:kern w:val="0"/>
          <w:szCs w:val="24"/>
        </w:rPr>
        <w:t xml:space="preserve"> and </w:t>
      </w:r>
      <w:r>
        <w:rPr>
          <w:kern w:val="0"/>
          <w:szCs w:val="24"/>
        </w:rPr>
        <w:t>the tools can be difficult to implement</w:t>
      </w:r>
      <w:r w:rsidR="00A37C1D">
        <w:rPr>
          <w:kern w:val="0"/>
          <w:szCs w:val="24"/>
        </w:rPr>
        <w:t>. The</w:t>
      </w:r>
      <w:r>
        <w:rPr>
          <w:kern w:val="0"/>
          <w:szCs w:val="24"/>
        </w:rPr>
        <w:t xml:space="preserve"> approach has four goals: high significance, high </w:t>
      </w:r>
      <w:r>
        <w:rPr>
          <w:kern w:val="0"/>
          <w:szCs w:val="24"/>
        </w:rPr>
        <w:lastRenderedPageBreak/>
        <w:t>influence, excellent presentation</w:t>
      </w:r>
      <w:r w:rsidR="005853A9">
        <w:rPr>
          <w:kern w:val="0"/>
          <w:szCs w:val="24"/>
        </w:rPr>
        <w:t xml:space="preserve"> and </w:t>
      </w:r>
      <w:r>
        <w:rPr>
          <w:kern w:val="0"/>
          <w:szCs w:val="24"/>
        </w:rPr>
        <w:t>sustained effort. Achievement</w:t>
      </w:r>
      <w:r w:rsidR="00427468">
        <w:rPr>
          <w:kern w:val="0"/>
          <w:szCs w:val="24"/>
        </w:rPr>
        <w:t xml:space="preserve"> of </w:t>
      </w:r>
      <w:r>
        <w:rPr>
          <w:kern w:val="0"/>
          <w:szCs w:val="24"/>
        </w:rPr>
        <w:t>these goals is more likely if the tools are used</w:t>
      </w:r>
      <w:r w:rsidR="005853A9">
        <w:rPr>
          <w:kern w:val="0"/>
          <w:szCs w:val="24"/>
        </w:rPr>
        <w:t xml:space="preserve"> and </w:t>
      </w:r>
      <w:r>
        <w:rPr>
          <w:kern w:val="0"/>
          <w:szCs w:val="24"/>
        </w:rPr>
        <w:t>helpful feedback obtained.</w:t>
      </w:r>
    </w:p>
    <w:p w:rsidR="008A3BC8" w:rsidRDefault="008A3BC8" w:rsidP="008A3BC8">
      <w:pPr>
        <w:pStyle w:val="a3"/>
        <w:rPr>
          <w:kern w:val="0"/>
          <w:szCs w:val="24"/>
        </w:rPr>
      </w:pPr>
      <w:r>
        <w:rPr>
          <w:kern w:val="0"/>
          <w:szCs w:val="24"/>
        </w:rPr>
        <w:t>Keywords: Approach, Article, Australia, Bibliometrics, Citations, Citing Behavior, Collection, Goals</w:t>
      </w:r>
      <w:r w:rsidR="005853A9">
        <w:rPr>
          <w:kern w:val="0"/>
          <w:szCs w:val="24"/>
        </w:rPr>
        <w:t xml:space="preserve"> and </w:t>
      </w:r>
      <w:r>
        <w:rPr>
          <w:kern w:val="0"/>
          <w:szCs w:val="24"/>
        </w:rPr>
        <w:t xml:space="preserve">Tools, </w:t>
      </w:r>
      <w:r w:rsidR="00D5664A">
        <w:rPr>
          <w:kern w:val="0"/>
          <w:szCs w:val="24"/>
        </w:rPr>
        <w:t>H-Index</w:t>
      </w:r>
      <w:r>
        <w:rPr>
          <w:kern w:val="0"/>
          <w:szCs w:val="24"/>
        </w:rPr>
        <w:t>, Hirsc</w:t>
      </w:r>
      <w:r w:rsidR="00D5664A">
        <w:rPr>
          <w:kern w:val="0"/>
          <w:szCs w:val="24"/>
        </w:rPr>
        <w:t>h Index</w:t>
      </w:r>
      <w:r>
        <w:rPr>
          <w:kern w:val="0"/>
          <w:szCs w:val="24"/>
        </w:rPr>
        <w:t>, India, Indicators, Influence, Integration, Journal Impact Factor, P, Papers, Presentation, Quality, Raman, Rankings, Research, Research Performance, Research Quality</w:t>
      </w:r>
      <w:r w:rsidR="00D5664A">
        <w:rPr>
          <w:kern w:val="0"/>
          <w:szCs w:val="24"/>
        </w:rPr>
        <w:t>, SCI,</w:t>
      </w:r>
      <w:r>
        <w:rPr>
          <w:kern w:val="0"/>
          <w:szCs w:val="24"/>
        </w:rPr>
        <w:t xml:space="preserve"> Science, Sciences, Scientists, Significance, Strategy, Struggling Scientists, Sydney, Technology, Topics</w:t>
      </w:r>
    </w:p>
    <w:p w:rsidR="008A3BC8" w:rsidRDefault="008A3BC8" w:rsidP="008A3BC8">
      <w:pPr>
        <w:pStyle w:val="a3"/>
        <w:rPr>
          <w:kern w:val="0"/>
          <w:szCs w:val="24"/>
        </w:rPr>
      </w:pPr>
      <w:r>
        <w:rPr>
          <w:rFonts w:hint="eastAsia"/>
          <w:kern w:val="0"/>
          <w:szCs w:val="24"/>
        </w:rPr>
        <w:t xml:space="preserve">? </w:t>
      </w:r>
      <w:r>
        <w:rPr>
          <w:kern w:val="0"/>
          <w:szCs w:val="24"/>
        </w:rPr>
        <w:t>Prathap, G. (2013), Benchmarking research performance</w:t>
      </w:r>
      <w:r w:rsidR="00427468">
        <w:rPr>
          <w:kern w:val="0"/>
          <w:szCs w:val="24"/>
        </w:rPr>
        <w:t xml:space="preserve"> of </w:t>
      </w:r>
      <w:r>
        <w:rPr>
          <w:kern w:val="0"/>
          <w:szCs w:val="24"/>
        </w:rPr>
        <w:t xml:space="preserve">the IITs using </w:t>
      </w:r>
      <w:r w:rsidR="00D5664A">
        <w:rPr>
          <w:i/>
          <w:kern w:val="0"/>
          <w:szCs w:val="24"/>
        </w:rPr>
        <w:t>Web</w:t>
      </w:r>
      <w:r w:rsidR="00427468">
        <w:rPr>
          <w:i/>
          <w:kern w:val="0"/>
          <w:szCs w:val="24"/>
        </w:rPr>
        <w:t xml:space="preserve"> of </w:t>
      </w:r>
      <w:r w:rsidR="00D5664A">
        <w:rPr>
          <w:i/>
          <w:kern w:val="0"/>
          <w:szCs w:val="24"/>
        </w:rPr>
        <w:t>Science</w:t>
      </w:r>
      <w:r w:rsidR="005853A9">
        <w:rPr>
          <w:kern w:val="0"/>
          <w:szCs w:val="24"/>
        </w:rPr>
        <w:t xml:space="preserve"> and </w:t>
      </w:r>
      <w:r w:rsidRPr="00022023">
        <w:rPr>
          <w:i/>
          <w:kern w:val="0"/>
          <w:szCs w:val="24"/>
        </w:rPr>
        <w:t>Scopus</w:t>
      </w:r>
      <w:r>
        <w:rPr>
          <w:kern w:val="0"/>
          <w:szCs w:val="24"/>
        </w:rPr>
        <w:t xml:space="preserve"> bibliometric databases. </w:t>
      </w:r>
      <w:r>
        <w:rPr>
          <w:i/>
          <w:iCs/>
          <w:kern w:val="0"/>
          <w:szCs w:val="24"/>
        </w:rPr>
        <w:t>Current Science</w:t>
      </w:r>
      <w:r>
        <w:rPr>
          <w:kern w:val="0"/>
          <w:szCs w:val="24"/>
        </w:rPr>
        <w:t xml:space="preserve">, </w:t>
      </w:r>
      <w:r>
        <w:rPr>
          <w:b/>
          <w:bCs/>
          <w:kern w:val="0"/>
          <w:szCs w:val="24"/>
        </w:rPr>
        <w:t>105</w:t>
      </w:r>
      <w:r>
        <w:rPr>
          <w:kern w:val="0"/>
          <w:szCs w:val="24"/>
        </w:rPr>
        <w:t xml:space="preserve"> (8), 1134-1143.</w:t>
      </w:r>
    </w:p>
    <w:p w:rsidR="008A3BC8" w:rsidRDefault="008A3BC8" w:rsidP="008A3BC8">
      <w:pPr>
        <w:pStyle w:val="a3"/>
      </w:pPr>
      <w:r w:rsidRPr="001A3D2B">
        <w:t xml:space="preserve">Full Text: </w:t>
      </w:r>
      <w:hyperlink r:id="rId1210" w:history="1">
        <w:r w:rsidRPr="00022023">
          <w:rPr>
            <w:rStyle w:val="a5"/>
          </w:rPr>
          <w:t>2013\Cur Sci105, 1134.pdf</w:t>
        </w:r>
      </w:hyperlink>
    </w:p>
    <w:p w:rsidR="008A3BC8" w:rsidRDefault="008A3BC8" w:rsidP="008A3BC8">
      <w:pPr>
        <w:pStyle w:val="a3"/>
        <w:rPr>
          <w:kern w:val="0"/>
          <w:szCs w:val="24"/>
        </w:rPr>
      </w:pPr>
      <w:r>
        <w:rPr>
          <w:kern w:val="0"/>
          <w:szCs w:val="24"/>
        </w:rPr>
        <w:t>Abstract: Although engineering education at the tertiary level in India is now more than 150 years old, it was only since independence that the IITs have been set up as institutions</w:t>
      </w:r>
      <w:r w:rsidR="00427468">
        <w:rPr>
          <w:kern w:val="0"/>
          <w:szCs w:val="24"/>
        </w:rPr>
        <w:t xml:space="preserve"> of </w:t>
      </w:r>
      <w:r>
        <w:rPr>
          <w:kern w:val="0"/>
          <w:szCs w:val="24"/>
        </w:rPr>
        <w:t>national importance with an emphasis on postgraduate education</w:t>
      </w:r>
      <w:r w:rsidR="005853A9">
        <w:rPr>
          <w:kern w:val="0"/>
          <w:szCs w:val="24"/>
        </w:rPr>
        <w:t xml:space="preserve"> and </w:t>
      </w:r>
      <w:r>
        <w:rPr>
          <w:kern w:val="0"/>
          <w:szCs w:val="24"/>
        </w:rPr>
        <w:t>research. In this communication, we benchmark the recent research performance</w:t>
      </w:r>
      <w:r w:rsidR="00427468">
        <w:rPr>
          <w:kern w:val="0"/>
          <w:szCs w:val="24"/>
        </w:rPr>
        <w:t xml:space="preserve"> of </w:t>
      </w:r>
      <w:r>
        <w:rPr>
          <w:kern w:val="0"/>
          <w:szCs w:val="24"/>
        </w:rPr>
        <w:t>the IITs in academic research in the area</w:t>
      </w:r>
      <w:r w:rsidR="00427468">
        <w:rPr>
          <w:kern w:val="0"/>
          <w:szCs w:val="24"/>
        </w:rPr>
        <w:t xml:space="preserve"> of </w:t>
      </w:r>
      <w:r>
        <w:rPr>
          <w:kern w:val="0"/>
          <w:szCs w:val="24"/>
        </w:rPr>
        <w:t>engineering science</w:t>
      </w:r>
      <w:r w:rsidR="005853A9">
        <w:rPr>
          <w:kern w:val="0"/>
          <w:szCs w:val="24"/>
        </w:rPr>
        <w:t xml:space="preserve"> and </w:t>
      </w:r>
      <w:r>
        <w:rPr>
          <w:kern w:val="0"/>
          <w:szCs w:val="24"/>
        </w:rPr>
        <w:t>technology in the country against that</w:t>
      </w:r>
      <w:r w:rsidR="00427468">
        <w:rPr>
          <w:kern w:val="0"/>
          <w:szCs w:val="24"/>
        </w:rPr>
        <w:t xml:space="preserve"> of </w:t>
      </w:r>
      <w:r>
        <w:rPr>
          <w:kern w:val="0"/>
          <w:szCs w:val="24"/>
        </w:rPr>
        <w:t xml:space="preserve">similarly placed institutions in the world using bibliometric indicators from the </w:t>
      </w:r>
      <w:r w:rsidR="00D5664A">
        <w:rPr>
          <w:kern w:val="0"/>
          <w:szCs w:val="24"/>
        </w:rPr>
        <w:t>Web</w:t>
      </w:r>
      <w:r w:rsidR="00427468">
        <w:rPr>
          <w:kern w:val="0"/>
          <w:szCs w:val="24"/>
        </w:rPr>
        <w:t xml:space="preserve"> of </w:t>
      </w:r>
      <w:r w:rsidR="00D5664A">
        <w:rPr>
          <w:kern w:val="0"/>
          <w:szCs w:val="24"/>
        </w:rPr>
        <w:t>Science</w:t>
      </w:r>
      <w:r w:rsidR="005853A9">
        <w:rPr>
          <w:kern w:val="0"/>
          <w:szCs w:val="24"/>
        </w:rPr>
        <w:t xml:space="preserve"> and </w:t>
      </w:r>
      <w:r>
        <w:rPr>
          <w:kern w:val="0"/>
          <w:szCs w:val="24"/>
        </w:rPr>
        <w:t>Scopus databases.</w:t>
      </w:r>
    </w:p>
    <w:p w:rsidR="008A3BC8" w:rsidRDefault="008A3BC8" w:rsidP="008A3BC8">
      <w:pPr>
        <w:pStyle w:val="a3"/>
        <w:rPr>
          <w:kern w:val="0"/>
          <w:szCs w:val="24"/>
        </w:rPr>
      </w:pPr>
      <w:r>
        <w:rPr>
          <w:kern w:val="0"/>
          <w:szCs w:val="24"/>
        </w:rPr>
        <w:t>Keywords: Article, Benchmarking, Bibliometric, Bibliometric Indicators, Bibliometrics, Communication, Country, Databases, Education, Engineering, Engineering Education, India, Indicators, Institutions, Interdisciplinary, Machine, Npl, P, Performance, Postgraduate Education, Raman, Recent, Research, Research Evaluation, Research Performance</w:t>
      </w:r>
      <w:r w:rsidR="00D5664A">
        <w:rPr>
          <w:kern w:val="0"/>
          <w:szCs w:val="24"/>
        </w:rPr>
        <w:t>, SCI,</w:t>
      </w:r>
      <w:r>
        <w:rPr>
          <w:kern w:val="0"/>
          <w:szCs w:val="24"/>
        </w:rPr>
        <w:t xml:space="preserve"> Science, Science</w:t>
      </w:r>
      <w:r w:rsidR="005853A9">
        <w:rPr>
          <w:kern w:val="0"/>
          <w:szCs w:val="24"/>
        </w:rPr>
        <w:t xml:space="preserve"> and </w:t>
      </w:r>
      <w:r>
        <w:rPr>
          <w:kern w:val="0"/>
          <w:szCs w:val="24"/>
        </w:rPr>
        <w:t xml:space="preserve">Technology, Sciences, Scopus, Technology, Topics, </w:t>
      </w:r>
      <w:r w:rsidR="00D5664A">
        <w:rPr>
          <w:kern w:val="0"/>
          <w:szCs w:val="24"/>
        </w:rPr>
        <w:t>Web</w:t>
      </w:r>
      <w:r w:rsidR="00427468">
        <w:rPr>
          <w:kern w:val="0"/>
          <w:szCs w:val="24"/>
        </w:rPr>
        <w:t xml:space="preserve"> of </w:t>
      </w:r>
      <w:r w:rsidR="00D5664A">
        <w:rPr>
          <w:kern w:val="0"/>
          <w:szCs w:val="24"/>
        </w:rPr>
        <w:t>Science</w:t>
      </w:r>
      <w:r>
        <w:rPr>
          <w:kern w:val="0"/>
          <w:szCs w:val="24"/>
        </w:rPr>
        <w:t>, World</w:t>
      </w:r>
    </w:p>
    <w:p w:rsidR="00524370" w:rsidRDefault="00524370" w:rsidP="00524370">
      <w:pPr>
        <w:pStyle w:val="a3"/>
        <w:rPr>
          <w:kern w:val="0"/>
        </w:rPr>
      </w:pPr>
      <w:r>
        <w:rPr>
          <w:rFonts w:hint="eastAsia"/>
          <w:kern w:val="0"/>
        </w:rPr>
        <w:t xml:space="preserve">? </w:t>
      </w:r>
      <w:r>
        <w:rPr>
          <w:kern w:val="0"/>
        </w:rPr>
        <w:t>Dasgupta, A. (2013), National Knowledge Resource Consortium</w:t>
      </w:r>
      <w:r>
        <w:rPr>
          <w:rFonts w:hint="eastAsia"/>
          <w:kern w:val="0"/>
        </w:rPr>
        <w:t>:</w:t>
      </w:r>
      <w:r>
        <w:rPr>
          <w:kern w:val="0"/>
        </w:rPr>
        <w:t xml:space="preserve"> A national gateway</w:t>
      </w:r>
      <w:r w:rsidR="00427468">
        <w:rPr>
          <w:kern w:val="0"/>
        </w:rPr>
        <w:t xml:space="preserve"> of </w:t>
      </w:r>
      <w:r>
        <w:rPr>
          <w:kern w:val="0"/>
        </w:rPr>
        <w:t>S&amp;T on-line resources for CSIR</w:t>
      </w:r>
      <w:r w:rsidR="005853A9">
        <w:rPr>
          <w:kern w:val="0"/>
        </w:rPr>
        <w:t xml:space="preserve"> and </w:t>
      </w:r>
      <w:r>
        <w:rPr>
          <w:kern w:val="0"/>
        </w:rPr>
        <w:t xml:space="preserve">DST laboratories. </w:t>
      </w:r>
      <w:r>
        <w:rPr>
          <w:i/>
          <w:iCs/>
          <w:kern w:val="0"/>
        </w:rPr>
        <w:t>Current Science</w:t>
      </w:r>
      <w:r>
        <w:rPr>
          <w:kern w:val="0"/>
        </w:rPr>
        <w:t xml:space="preserve">, </w:t>
      </w:r>
      <w:r>
        <w:rPr>
          <w:b/>
          <w:bCs/>
          <w:kern w:val="0"/>
        </w:rPr>
        <w:t>105</w:t>
      </w:r>
      <w:r>
        <w:rPr>
          <w:kern w:val="0"/>
        </w:rPr>
        <w:t xml:space="preserve"> (10), 1353-1357.</w:t>
      </w:r>
    </w:p>
    <w:p w:rsidR="00524370" w:rsidRDefault="00524370" w:rsidP="00524370">
      <w:pPr>
        <w:pStyle w:val="a3"/>
      </w:pPr>
      <w:r w:rsidRPr="001A3D2B">
        <w:t xml:space="preserve">Full Text: </w:t>
      </w:r>
      <w:hyperlink r:id="rId1211" w:history="1">
        <w:r w:rsidRPr="00524370">
          <w:rPr>
            <w:rStyle w:val="a5"/>
          </w:rPr>
          <w:t>2013\Cur Sci105, 1353.pdf</w:t>
        </w:r>
      </w:hyperlink>
    </w:p>
    <w:p w:rsidR="00524370" w:rsidRDefault="00524370" w:rsidP="00524370">
      <w:pPr>
        <w:pStyle w:val="a3"/>
        <w:rPr>
          <w:kern w:val="0"/>
        </w:rPr>
      </w:pPr>
      <w:r>
        <w:rPr>
          <w:kern w:val="0"/>
        </w:rPr>
        <w:t>Abstract: Todays cutting edge S&amp;T research areas</w:t>
      </w:r>
      <w:r w:rsidR="00427468">
        <w:rPr>
          <w:kern w:val="0"/>
        </w:rPr>
        <w:t xml:space="preserve"> of </w:t>
      </w:r>
      <w:r>
        <w:rPr>
          <w:kern w:val="0"/>
        </w:rPr>
        <w:t>interdisciplinary character have not only metamorphosed the very resource needs</w:t>
      </w:r>
      <w:r w:rsidR="00427468">
        <w:rPr>
          <w:kern w:val="0"/>
        </w:rPr>
        <w:t xml:space="preserve"> of </w:t>
      </w:r>
      <w:r>
        <w:rPr>
          <w:kern w:val="0"/>
        </w:rPr>
        <w:t>the researchers, but it has also reflected deep impact on the qualitative</w:t>
      </w:r>
      <w:r w:rsidR="005853A9">
        <w:rPr>
          <w:kern w:val="0"/>
        </w:rPr>
        <w:t xml:space="preserve"> and </w:t>
      </w:r>
      <w:r>
        <w:rPr>
          <w:kern w:val="0"/>
        </w:rPr>
        <w:t>quantitative character</w:t>
      </w:r>
      <w:r w:rsidR="00427468">
        <w:rPr>
          <w:kern w:val="0"/>
        </w:rPr>
        <w:t xml:space="preserve"> of </w:t>
      </w:r>
      <w:r>
        <w:rPr>
          <w:kern w:val="0"/>
        </w:rPr>
        <w:t>the resources concerned</w:t>
      </w:r>
      <w:r w:rsidR="00A37C1D">
        <w:rPr>
          <w:kern w:val="0"/>
        </w:rPr>
        <w:t>. The</w:t>
      </w:r>
      <w:r>
        <w:rPr>
          <w:kern w:val="0"/>
        </w:rPr>
        <w:t xml:space="preserve"> quest</w:t>
      </w:r>
      <w:r w:rsidR="00427468">
        <w:rPr>
          <w:kern w:val="0"/>
        </w:rPr>
        <w:t xml:space="preserve"> of </w:t>
      </w:r>
      <w:r>
        <w:rPr>
          <w:kern w:val="0"/>
        </w:rPr>
        <w:t>more resources is on the exponential curve. In this scenario, the cost effective way</w:t>
      </w:r>
      <w:r w:rsidR="00427468">
        <w:rPr>
          <w:kern w:val="0"/>
        </w:rPr>
        <w:t xml:space="preserve"> of </w:t>
      </w:r>
      <w:r>
        <w:rPr>
          <w:kern w:val="0"/>
        </w:rPr>
        <w:t>accessing scholarly S&amp;T resources is crucial for all the DST</w:t>
      </w:r>
      <w:r w:rsidR="005853A9">
        <w:rPr>
          <w:kern w:val="0"/>
        </w:rPr>
        <w:t xml:space="preserve"> and </w:t>
      </w:r>
      <w:r>
        <w:rPr>
          <w:kern w:val="0"/>
        </w:rPr>
        <w:t>CSIR laboratories</w:t>
      </w:r>
      <w:r w:rsidR="00A37C1D">
        <w:rPr>
          <w:kern w:val="0"/>
        </w:rPr>
        <w:t>. The</w:t>
      </w:r>
      <w:r>
        <w:rPr>
          <w:kern w:val="0"/>
        </w:rPr>
        <w:t xml:space="preserve"> National Knowledge Resource Consortium is the national platform to allocate core S&amp;T online resources (7000+ online journals</w:t>
      </w:r>
      <w:r w:rsidR="005853A9">
        <w:rPr>
          <w:kern w:val="0"/>
        </w:rPr>
        <w:t xml:space="preserve"> and </w:t>
      </w:r>
      <w:r>
        <w:rPr>
          <w:kern w:val="0"/>
        </w:rPr>
        <w:t>18 major global databases like Web</w:t>
      </w:r>
      <w:r w:rsidR="00427468">
        <w:rPr>
          <w:kern w:val="0"/>
        </w:rPr>
        <w:t xml:space="preserve"> of </w:t>
      </w:r>
      <w:r>
        <w:rPr>
          <w:kern w:val="0"/>
        </w:rPr>
        <w:t>Science, SciFinder, Science Direct) to all 23 DST</w:t>
      </w:r>
      <w:r w:rsidR="005853A9">
        <w:rPr>
          <w:kern w:val="0"/>
        </w:rPr>
        <w:t xml:space="preserve"> and </w:t>
      </w:r>
      <w:r>
        <w:rPr>
          <w:kern w:val="0"/>
        </w:rPr>
        <w:t>40 CSIR laboratories in a substantive cost effective manner.</w:t>
      </w:r>
    </w:p>
    <w:p w:rsidR="00524370" w:rsidRDefault="00524370" w:rsidP="00524370">
      <w:pPr>
        <w:pStyle w:val="a3"/>
        <w:rPr>
          <w:kern w:val="0"/>
        </w:rPr>
      </w:pPr>
      <w:r>
        <w:rPr>
          <w:kern w:val="0"/>
        </w:rPr>
        <w:t xml:space="preserve">Keywords: Cost, Cost-Effective, Databases, Dst, Global, Impact, Interdisciplinary, Journals, Knowledge, Needs, Nov, Online, Qualitative, Research, Resources, </w:t>
      </w:r>
      <w:r>
        <w:rPr>
          <w:kern w:val="0"/>
        </w:rPr>
        <w:lastRenderedPageBreak/>
        <w:t>Scenario, Science, Web</w:t>
      </w:r>
      <w:r w:rsidR="00427468">
        <w:rPr>
          <w:kern w:val="0"/>
        </w:rPr>
        <w:t xml:space="preserve"> of </w:t>
      </w:r>
      <w:r>
        <w:rPr>
          <w:kern w:val="0"/>
        </w:rPr>
        <w:t>Science</w:t>
      </w:r>
    </w:p>
    <w:p w:rsidR="00831736" w:rsidRDefault="00831736" w:rsidP="00831736">
      <w:pPr>
        <w:pStyle w:val="a3"/>
        <w:rPr>
          <w:kern w:val="0"/>
        </w:rPr>
      </w:pPr>
      <w:r>
        <w:rPr>
          <w:rFonts w:hint="eastAsia"/>
          <w:kern w:val="0"/>
        </w:rPr>
        <w:t xml:space="preserve">? </w:t>
      </w:r>
      <w:r>
        <w:rPr>
          <w:kern w:val="0"/>
        </w:rPr>
        <w:t>Liu, X.L., Wang, M.Y., Zhang, L., Wang, P.</w:t>
      </w:r>
      <w:r w:rsidR="005853A9">
        <w:rPr>
          <w:kern w:val="0"/>
        </w:rPr>
        <w:t xml:space="preserve"> and </w:t>
      </w:r>
      <w:r>
        <w:rPr>
          <w:kern w:val="0"/>
        </w:rPr>
        <w:t>Zhou, Z.X. (2013), Journal impact factor: Is it only used in China</w:t>
      </w:r>
      <w:r w:rsidR="005853A9">
        <w:rPr>
          <w:kern w:val="0"/>
        </w:rPr>
        <w:t xml:space="preserve"> and </w:t>
      </w:r>
      <w:r>
        <w:rPr>
          <w:kern w:val="0"/>
        </w:rPr>
        <w:t xml:space="preserve">South Asia? </w:t>
      </w:r>
      <w:r>
        <w:rPr>
          <w:i/>
          <w:iCs/>
          <w:kern w:val="0"/>
        </w:rPr>
        <w:t>Current Science</w:t>
      </w:r>
      <w:r>
        <w:rPr>
          <w:kern w:val="0"/>
        </w:rPr>
        <w:t xml:space="preserve">, </w:t>
      </w:r>
      <w:r>
        <w:rPr>
          <w:b/>
          <w:bCs/>
          <w:kern w:val="0"/>
        </w:rPr>
        <w:t>105</w:t>
      </w:r>
      <w:r>
        <w:rPr>
          <w:kern w:val="0"/>
        </w:rPr>
        <w:t xml:space="preserve"> (11), 1480-1484.</w:t>
      </w:r>
    </w:p>
    <w:p w:rsidR="00831736" w:rsidRDefault="00831736" w:rsidP="00831736">
      <w:pPr>
        <w:pStyle w:val="a3"/>
      </w:pPr>
      <w:r w:rsidRPr="001A3D2B">
        <w:t xml:space="preserve">Full Text: </w:t>
      </w:r>
      <w:hyperlink r:id="rId1212" w:history="1">
        <w:r w:rsidRPr="001325BB">
          <w:rPr>
            <w:rStyle w:val="a5"/>
          </w:rPr>
          <w:t>2013\Cur Sci105, 1480.pdf</w:t>
        </w:r>
      </w:hyperlink>
    </w:p>
    <w:p w:rsidR="00831736" w:rsidRDefault="00831736" w:rsidP="00831736">
      <w:pPr>
        <w:pStyle w:val="a3"/>
        <w:rPr>
          <w:kern w:val="0"/>
        </w:rPr>
      </w:pPr>
      <w:r>
        <w:rPr>
          <w:kern w:val="0"/>
        </w:rPr>
        <w:t>Abstract: Impact factor, as an important indicator for the evaluation</w:t>
      </w:r>
      <w:r w:rsidR="00427468">
        <w:rPr>
          <w:kern w:val="0"/>
        </w:rPr>
        <w:t xml:space="preserve"> of </w:t>
      </w:r>
      <w:r>
        <w:rPr>
          <w:kern w:val="0"/>
        </w:rPr>
        <w:t>research performance, has always been the concern</w:t>
      </w:r>
      <w:r w:rsidR="00427468">
        <w:rPr>
          <w:kern w:val="0"/>
        </w:rPr>
        <w:t xml:space="preserve"> of </w:t>
      </w:r>
      <w:r>
        <w:rPr>
          <w:kern w:val="0"/>
        </w:rPr>
        <w:t>scientists</w:t>
      </w:r>
      <w:r w:rsidR="005853A9">
        <w:rPr>
          <w:kern w:val="0"/>
        </w:rPr>
        <w:t xml:space="preserve"> and </w:t>
      </w:r>
      <w:r>
        <w:rPr>
          <w:kern w:val="0"/>
        </w:rPr>
        <w:t>scientometricians. For a long time, many Chinese researchers have believed that impact factor is used as an indicator to evaluate research performance only in South Asian countries</w:t>
      </w:r>
      <w:r w:rsidR="005853A9">
        <w:rPr>
          <w:kern w:val="0"/>
        </w:rPr>
        <w:t xml:space="preserve"> and </w:t>
      </w:r>
      <w:r>
        <w:rPr>
          <w:kern w:val="0"/>
        </w:rPr>
        <w:t>regions, especially in China. in this article, we study how impact factor is presented on the websites</w:t>
      </w:r>
      <w:r w:rsidR="00427468">
        <w:rPr>
          <w:kern w:val="0"/>
        </w:rPr>
        <w:t xml:space="preserve"> of </w:t>
      </w:r>
      <w:r>
        <w:rPr>
          <w:kern w:val="0"/>
        </w:rPr>
        <w:t>medical journals indexed in Web</w:t>
      </w:r>
      <w:r w:rsidR="00427468">
        <w:rPr>
          <w:kern w:val="0"/>
        </w:rPr>
        <w:t xml:space="preserve"> of </w:t>
      </w:r>
      <w:r>
        <w:rPr>
          <w:kern w:val="0"/>
        </w:rPr>
        <w:t>Science (WoS) in 2009,</w:t>
      </w:r>
      <w:r w:rsidR="005853A9">
        <w:rPr>
          <w:kern w:val="0"/>
        </w:rPr>
        <w:t xml:space="preserve"> and </w:t>
      </w:r>
      <w:r>
        <w:rPr>
          <w:kern w:val="0"/>
        </w:rPr>
        <w:t>examine the number</w:t>
      </w:r>
      <w:r w:rsidR="00427468">
        <w:rPr>
          <w:kern w:val="0"/>
        </w:rPr>
        <w:t xml:space="preserve"> of </w:t>
      </w:r>
      <w:r>
        <w:rPr>
          <w:kern w:val="0"/>
        </w:rPr>
        <w:t>articles about impact factor published between 2001</w:t>
      </w:r>
      <w:r w:rsidR="005853A9">
        <w:rPr>
          <w:kern w:val="0"/>
        </w:rPr>
        <w:t xml:space="preserve"> and </w:t>
      </w:r>
      <w:r>
        <w:rPr>
          <w:kern w:val="0"/>
        </w:rPr>
        <w:t>2010 in the WoS</w:t>
      </w:r>
      <w:r w:rsidR="005853A9">
        <w:rPr>
          <w:kern w:val="0"/>
        </w:rPr>
        <w:t xml:space="preserve"> and </w:t>
      </w:r>
      <w:r>
        <w:rPr>
          <w:kern w:val="0"/>
        </w:rPr>
        <w:t>Scopus databases. Finally, we summarize the attitude</w:t>
      </w:r>
      <w:r w:rsidR="00427468">
        <w:rPr>
          <w:kern w:val="0"/>
        </w:rPr>
        <w:t xml:space="preserve"> of </w:t>
      </w:r>
      <w:r>
        <w:rPr>
          <w:kern w:val="0"/>
        </w:rPr>
        <w:t>researchers in various countries towards impact factor. We conclude that impact factor is not only a concern in South Asia but also has a profound influence in Europe</w:t>
      </w:r>
      <w:r w:rsidR="005853A9">
        <w:rPr>
          <w:kern w:val="0"/>
        </w:rPr>
        <w:t xml:space="preserve"> and </w:t>
      </w:r>
      <w:r>
        <w:rPr>
          <w:kern w:val="0"/>
        </w:rPr>
        <w:t>other regions. It is widely used for academic evaluation in various fields</w:t>
      </w:r>
      <w:r w:rsidR="00A37C1D">
        <w:rPr>
          <w:kern w:val="0"/>
        </w:rPr>
        <w:t>. The</w:t>
      </w:r>
      <w:r>
        <w:rPr>
          <w:kern w:val="0"/>
        </w:rPr>
        <w:t>refore, infatuation with impact factor is a global phenomenon that has gradually spread to other regions, thus gaining more importance.</w:t>
      </w:r>
    </w:p>
    <w:p w:rsidR="00831736" w:rsidRDefault="00831736" w:rsidP="00831736">
      <w:pPr>
        <w:pStyle w:val="a3"/>
        <w:rPr>
          <w:kern w:val="0"/>
        </w:rPr>
      </w:pPr>
      <w:r>
        <w:rPr>
          <w:kern w:val="0"/>
        </w:rPr>
        <w:t>Keywords: Asia, Asian, Attitude, China, Chinese, Citations, Databases, Europe, Evaluation, Factor Manipulation, Global, Global Infatuation, H-Index, Impact, Impact Factor, Indicator, Influence, Journal, Journal Impact, Journal Impact Factor, Journals, Medical, Medical Journals, Performance, Power, Research, Research Performance, Research Performance Evaluation, Science, Scientists, Scopus, South Asia, Web</w:t>
      </w:r>
      <w:r w:rsidR="00427468">
        <w:rPr>
          <w:kern w:val="0"/>
        </w:rPr>
        <w:t xml:space="preserve"> of </w:t>
      </w:r>
      <w:r>
        <w:rPr>
          <w:kern w:val="0"/>
        </w:rPr>
        <w:t>Science, Websites, Wos</w:t>
      </w:r>
    </w:p>
    <w:p w:rsidR="00AF28BD" w:rsidRDefault="00AF28BD" w:rsidP="00AF28BD">
      <w:pPr>
        <w:pStyle w:val="a3"/>
        <w:rPr>
          <w:kern w:val="0"/>
        </w:rPr>
      </w:pPr>
      <w:r>
        <w:rPr>
          <w:rFonts w:hint="eastAsia"/>
          <w:kern w:val="0"/>
        </w:rPr>
        <w:t xml:space="preserve">? </w:t>
      </w:r>
      <w:r>
        <w:rPr>
          <w:kern w:val="0"/>
        </w:rPr>
        <w:t xml:space="preserve">Prakasan, E.R., Mohan, L., Girap, P., Surwase, G., Kademani, B.S. and Bhanumurthy, K. (2014), Scientometric facts on international collaborative Indian publications. </w:t>
      </w:r>
      <w:r>
        <w:rPr>
          <w:i/>
          <w:iCs/>
          <w:kern w:val="0"/>
        </w:rPr>
        <w:t>Current Science</w:t>
      </w:r>
      <w:r>
        <w:rPr>
          <w:kern w:val="0"/>
        </w:rPr>
        <w:t xml:space="preserve">, </w:t>
      </w:r>
      <w:r>
        <w:rPr>
          <w:b/>
          <w:bCs/>
          <w:kern w:val="0"/>
        </w:rPr>
        <w:t>106</w:t>
      </w:r>
      <w:r>
        <w:rPr>
          <w:kern w:val="0"/>
        </w:rPr>
        <w:t xml:space="preserve"> (2), 166-169.</w:t>
      </w:r>
    </w:p>
    <w:p w:rsidR="00AF28BD" w:rsidRDefault="00AF28BD" w:rsidP="00AF28BD">
      <w:pPr>
        <w:pStyle w:val="a3"/>
      </w:pPr>
      <w:r w:rsidRPr="001A3D2B">
        <w:t xml:space="preserve">Full Text: </w:t>
      </w:r>
      <w:hyperlink r:id="rId1213" w:history="1">
        <w:r w:rsidRPr="003525AD">
          <w:rPr>
            <w:rStyle w:val="a5"/>
          </w:rPr>
          <w:t>2014\Cur Sci106, 166.pdf</w:t>
        </w:r>
      </w:hyperlink>
    </w:p>
    <w:p w:rsidR="00AF28BD" w:rsidRDefault="00AF28BD" w:rsidP="00AF28BD">
      <w:pPr>
        <w:pStyle w:val="a3"/>
        <w:rPr>
          <w:kern w:val="0"/>
        </w:rPr>
      </w:pPr>
      <w:r>
        <w:rPr>
          <w:kern w:val="0"/>
        </w:rPr>
        <w:t>Abstract: The upward trend in collaborative S&amp;T research at the international level is significant in the present Information and Communication Technology era</w:t>
      </w:r>
      <w:r w:rsidR="00A37C1D">
        <w:rPr>
          <w:kern w:val="0"/>
        </w:rPr>
        <w:t>. The</w:t>
      </w:r>
      <w:r>
        <w:rPr>
          <w:kern w:val="0"/>
        </w:rPr>
        <w:t xml:space="preserve"> present study focuses on analysing India</w:t>
      </w:r>
      <w:r w:rsidR="0071223E">
        <w:rPr>
          <w:kern w:val="0"/>
        </w:rPr>
        <w:t>’</w:t>
      </w:r>
      <w:r>
        <w:rPr>
          <w:kern w:val="0"/>
        </w:rPr>
        <w:t>s strengths and weaknesses in collaborative research at the international level and collaborative fields are analysed for their macro- and micro-levels</w:t>
      </w:r>
      <w:r w:rsidR="00A37C1D">
        <w:rPr>
          <w:kern w:val="0"/>
        </w:rPr>
        <w:t>. The</w:t>
      </w:r>
      <w:r>
        <w:rPr>
          <w:kern w:val="0"/>
        </w:rPr>
        <w:t xml:space="preserve"> chronological trend</w:t>
      </w:r>
      <w:r w:rsidR="00427468">
        <w:rPr>
          <w:kern w:val="0"/>
        </w:rPr>
        <w:t xml:space="preserve"> of </w:t>
      </w:r>
      <w:r>
        <w:rPr>
          <w:kern w:val="0"/>
        </w:rPr>
        <w:t>international collaboration, the collaborative countries, quality</w:t>
      </w:r>
      <w:r w:rsidR="00427468">
        <w:rPr>
          <w:kern w:val="0"/>
        </w:rPr>
        <w:t xml:space="preserve"> of </w:t>
      </w:r>
      <w:r>
        <w:rPr>
          <w:kern w:val="0"/>
        </w:rPr>
        <w:t>the collaborative publications, collaborative fields, specialization in collaboration, etc. are the main criteria evaluated in the present work.</w:t>
      </w:r>
    </w:p>
    <w:p w:rsidR="00AF28BD" w:rsidRDefault="00AF28BD" w:rsidP="00AF28BD">
      <w:pPr>
        <w:pStyle w:val="a3"/>
        <w:rPr>
          <w:kern w:val="0"/>
        </w:rPr>
      </w:pPr>
      <w:r>
        <w:rPr>
          <w:kern w:val="0"/>
        </w:rPr>
        <w:t>Keywords: Collaboration, Collaborative Research, Communication, Criteria, Domains</w:t>
      </w:r>
      <w:r w:rsidR="00427468">
        <w:rPr>
          <w:kern w:val="0"/>
        </w:rPr>
        <w:t xml:space="preserve"> of </w:t>
      </w:r>
      <w:r>
        <w:rPr>
          <w:kern w:val="0"/>
        </w:rPr>
        <w:t xml:space="preserve">Collaboration, Information, Information And Communication Technology, International, International Collaboration, Multilateral Collaboration, Publications, </w:t>
      </w:r>
      <w:r>
        <w:rPr>
          <w:kern w:val="0"/>
        </w:rPr>
        <w:lastRenderedPageBreak/>
        <w:t>Quality, Quality Of, Research, Scientific Collaboration, Scientometric, Scientometric Analyses, Technology, Trend, Work</w:t>
      </w:r>
    </w:p>
    <w:p w:rsidR="00F53C19" w:rsidRDefault="00F53C19" w:rsidP="00F53C19">
      <w:pPr>
        <w:pStyle w:val="a3"/>
        <w:rPr>
          <w:kern w:val="0"/>
        </w:rPr>
      </w:pPr>
      <w:r>
        <w:rPr>
          <w:kern w:val="0"/>
        </w:rPr>
        <w:t xml:space="preserve">? Prathap, G. (2014), The myth of frugal innovation in India. </w:t>
      </w:r>
      <w:r>
        <w:rPr>
          <w:i/>
          <w:iCs/>
          <w:kern w:val="0"/>
        </w:rPr>
        <w:t>Current Science</w:t>
      </w:r>
      <w:r>
        <w:rPr>
          <w:kern w:val="0"/>
        </w:rPr>
        <w:t xml:space="preserve">, </w:t>
      </w:r>
      <w:r>
        <w:rPr>
          <w:b/>
          <w:bCs/>
          <w:kern w:val="0"/>
        </w:rPr>
        <w:t>106</w:t>
      </w:r>
      <w:r>
        <w:rPr>
          <w:kern w:val="0"/>
        </w:rPr>
        <w:t xml:space="preserve"> (3), 374-377.</w:t>
      </w:r>
    </w:p>
    <w:p w:rsidR="00F53C19" w:rsidRDefault="00F53C19" w:rsidP="00F53C19">
      <w:pPr>
        <w:pStyle w:val="a3"/>
      </w:pPr>
      <w:r w:rsidRPr="001A3D2B">
        <w:t xml:space="preserve">Full Text: </w:t>
      </w:r>
      <w:hyperlink r:id="rId1214" w:history="1">
        <w:r w:rsidRPr="009032CE">
          <w:rPr>
            <w:rStyle w:val="a5"/>
          </w:rPr>
          <w:t>2014\Cur Sci106, 374.pdf</w:t>
        </w:r>
      </w:hyperlink>
    </w:p>
    <w:p w:rsidR="00F53C19" w:rsidRDefault="00F53C19" w:rsidP="00F53C19">
      <w:pPr>
        <w:pStyle w:val="a3"/>
        <w:rPr>
          <w:kern w:val="0"/>
        </w:rPr>
      </w:pPr>
      <w:r>
        <w:rPr>
          <w:kern w:val="0"/>
        </w:rPr>
        <w:t xml:space="preserve">Abstract: We examine the evidence from large bibliometric databases to see if India is on the way to be able to </w:t>
      </w:r>
      <w:r w:rsidR="0071223E">
        <w:rPr>
          <w:kern w:val="0"/>
        </w:rPr>
        <w:t>‘</w:t>
      </w:r>
      <w:r>
        <w:rPr>
          <w:kern w:val="0"/>
        </w:rPr>
        <w:t>market its distinctive expertise in frugal innovation to the world</w:t>
      </w:r>
      <w:r w:rsidR="0071223E">
        <w:rPr>
          <w:kern w:val="0"/>
        </w:rPr>
        <w:t>’</w:t>
      </w:r>
      <w:r>
        <w:rPr>
          <w:kern w:val="0"/>
        </w:rPr>
        <w:t xml:space="preserve"> and to </w:t>
      </w:r>
      <w:r w:rsidR="0071223E">
        <w:rPr>
          <w:kern w:val="0"/>
        </w:rPr>
        <w:t>‘</w:t>
      </w:r>
      <w:r>
        <w:rPr>
          <w:kern w:val="0"/>
        </w:rPr>
        <w:t xml:space="preserve">establish a research programme on “science of science and innovation policy” </w:t>
      </w:r>
      <w:r w:rsidR="0071223E">
        <w:rPr>
          <w:kern w:val="0"/>
        </w:rPr>
        <w:t>‘</w:t>
      </w:r>
      <w:r>
        <w:rPr>
          <w:kern w:val="0"/>
        </w:rPr>
        <w:t>; two of the recommendations that a recent celebrated report on India</w:t>
      </w:r>
      <w:r w:rsidR="0071223E">
        <w:rPr>
          <w:kern w:val="0"/>
        </w:rPr>
        <w:t>’</w:t>
      </w:r>
      <w:r>
        <w:rPr>
          <w:kern w:val="0"/>
        </w:rPr>
        <w:t>s potential for frugal innovation made. We find that there are countries which are more profligate than India in the scramble for leadership in innovation, and also that there are countries which are harnessing their resources more effectively toward the same goal.</w:t>
      </w:r>
    </w:p>
    <w:p w:rsidR="00F53C19" w:rsidRDefault="00F53C19" w:rsidP="00F53C19">
      <w:pPr>
        <w:pStyle w:val="a3"/>
        <w:rPr>
          <w:kern w:val="0"/>
        </w:rPr>
      </w:pPr>
      <w:r>
        <w:rPr>
          <w:kern w:val="0"/>
        </w:rPr>
        <w:t>Keywords: Bibliometric, Bibliometric Database, Databases, Evidence, Frugal Innovation, India, Innovation, Leadership, Market, Notional Ideal, Potential, Recent, Recommendations, Research, Resources, Science, Scientific Research, World</w:t>
      </w:r>
    </w:p>
    <w:p w:rsidR="00F53C19" w:rsidRDefault="00F53C19" w:rsidP="00F53C19">
      <w:pPr>
        <w:pStyle w:val="a3"/>
        <w:rPr>
          <w:kern w:val="0"/>
        </w:rPr>
      </w:pPr>
      <w:r>
        <w:rPr>
          <w:kern w:val="0"/>
        </w:rPr>
        <w:t xml:space="preserve">? </w:t>
      </w:r>
      <w:r>
        <w:rPr>
          <w:rFonts w:hint="eastAsia"/>
          <w:kern w:val="0"/>
        </w:rPr>
        <w:t>Zh</w:t>
      </w:r>
      <w:r>
        <w:rPr>
          <w:kern w:val="0"/>
        </w:rPr>
        <w:t xml:space="preserve">ang, L. and Feng, Y.K. (2014), Bibliometrics and visualization analysis of artificial blood vessel research. </w:t>
      </w:r>
      <w:r>
        <w:rPr>
          <w:i/>
          <w:iCs/>
          <w:kern w:val="0"/>
        </w:rPr>
        <w:t>Current Science</w:t>
      </w:r>
      <w:r>
        <w:rPr>
          <w:kern w:val="0"/>
        </w:rPr>
        <w:t xml:space="preserve">, </w:t>
      </w:r>
      <w:r>
        <w:rPr>
          <w:b/>
          <w:bCs/>
          <w:kern w:val="0"/>
        </w:rPr>
        <w:t>106</w:t>
      </w:r>
      <w:r>
        <w:rPr>
          <w:kern w:val="0"/>
        </w:rPr>
        <w:t xml:space="preserve"> (6), 816-822</w:t>
      </w:r>
      <w:r>
        <w:rPr>
          <w:rFonts w:hint="eastAsia"/>
          <w:kern w:val="0"/>
        </w:rPr>
        <w:t>.</w:t>
      </w:r>
    </w:p>
    <w:p w:rsidR="00F53C19" w:rsidRDefault="00F53C19" w:rsidP="00F53C19">
      <w:pPr>
        <w:pStyle w:val="a3"/>
      </w:pPr>
      <w:r w:rsidRPr="001A3D2B">
        <w:t xml:space="preserve">Full Text: </w:t>
      </w:r>
      <w:hyperlink r:id="rId1215" w:history="1">
        <w:r w:rsidRPr="009032CE">
          <w:rPr>
            <w:rStyle w:val="a5"/>
          </w:rPr>
          <w:t>2014/Cur Sci106, 816.pdf</w:t>
        </w:r>
      </w:hyperlink>
    </w:p>
    <w:p w:rsidR="00F53C19" w:rsidRDefault="00F53C19" w:rsidP="00F53C19">
      <w:pPr>
        <w:pStyle w:val="a3"/>
        <w:rPr>
          <w:kern w:val="0"/>
        </w:rPr>
      </w:pPr>
      <w:r>
        <w:rPr>
          <w:kern w:val="0"/>
        </w:rPr>
        <w:t>Keywords: Analysis, Artificial Blood Vessel, Artificial Blood Vessels, Bibliometrics, Blood, Citation Data, Dacron, In-Situ, Mar, Metaanalysis, Polyurethane Vascular Grafts, Research, Research Output, Scaffolds, Science, Scientometrics, Strategies, Surface, Visualization, Visualization Analysis</w:t>
      </w:r>
    </w:p>
    <w:p w:rsidR="00AB72AF" w:rsidRDefault="00AB72AF" w:rsidP="00AB72AF">
      <w:pPr>
        <w:pStyle w:val="a3"/>
        <w:rPr>
          <w:kern w:val="0"/>
        </w:rPr>
      </w:pPr>
      <w:r>
        <w:rPr>
          <w:rFonts w:hint="eastAsia"/>
          <w:kern w:val="0"/>
        </w:rPr>
        <w:t xml:space="preserve">? </w:t>
      </w:r>
      <w:r>
        <w:rPr>
          <w:kern w:val="0"/>
        </w:rPr>
        <w:t xml:space="preserve">Dragos, C.M. and Dragos, S.L. (2014), Scientific productivity versus efficiency of R&amp;D financing: Bibliometric analysis of African countries. </w:t>
      </w:r>
      <w:r>
        <w:rPr>
          <w:i/>
          <w:iCs/>
          <w:kern w:val="0"/>
        </w:rPr>
        <w:t>Current Science</w:t>
      </w:r>
      <w:r>
        <w:rPr>
          <w:kern w:val="0"/>
        </w:rPr>
        <w:t xml:space="preserve">, </w:t>
      </w:r>
      <w:r>
        <w:rPr>
          <w:b/>
          <w:bCs/>
          <w:kern w:val="0"/>
        </w:rPr>
        <w:t>106</w:t>
      </w:r>
      <w:r>
        <w:rPr>
          <w:kern w:val="0"/>
        </w:rPr>
        <w:t xml:space="preserve"> (7), 942-945.</w:t>
      </w:r>
    </w:p>
    <w:p w:rsidR="00AB72AF" w:rsidRDefault="00AB72AF" w:rsidP="00AB72AF">
      <w:pPr>
        <w:pStyle w:val="a3"/>
      </w:pPr>
      <w:r w:rsidRPr="001A3D2B">
        <w:t xml:space="preserve">Full Text: </w:t>
      </w:r>
      <w:hyperlink r:id="rId1216" w:history="1">
        <w:r w:rsidRPr="006663EF">
          <w:rPr>
            <w:rStyle w:val="a5"/>
          </w:rPr>
          <w:t>2014/Cur Sci106, 942.pdf</w:t>
        </w:r>
      </w:hyperlink>
    </w:p>
    <w:p w:rsidR="00AB72AF" w:rsidRDefault="00AB72AF" w:rsidP="00AB72AF">
      <w:pPr>
        <w:pStyle w:val="a3"/>
        <w:rPr>
          <w:kern w:val="0"/>
        </w:rPr>
      </w:pPr>
      <w:r>
        <w:rPr>
          <w:kern w:val="0"/>
        </w:rPr>
        <w:t>Abstract: Commonly, bibliometric analysis at the national level measures the scientific performance through the complete production of articles and citations and through productivity related to the number of inhabitants. In our study we also report on efficiency as the scientific output obtained related to the available financing</w:t>
      </w:r>
      <w:r w:rsidR="00A37C1D">
        <w:rPr>
          <w:kern w:val="0"/>
        </w:rPr>
        <w:t>. The</w:t>
      </w:r>
      <w:r>
        <w:rPr>
          <w:kern w:val="0"/>
        </w:rPr>
        <w:t xml:space="preserve"> results indicate that only two African countries (South Africa and Tunisia) have covered a learning process and become mature entities in the R&amp;D process, the productivity being doubled by efficiency.</w:t>
      </w:r>
    </w:p>
    <w:p w:rsidR="00AB72AF" w:rsidRDefault="00AB72AF" w:rsidP="00AB72AF">
      <w:pPr>
        <w:pStyle w:val="a3"/>
        <w:rPr>
          <w:kern w:val="0"/>
        </w:rPr>
      </w:pPr>
      <w:r>
        <w:rPr>
          <w:kern w:val="0"/>
        </w:rPr>
        <w:t>Keywords: Africa, African Countries, Analysis, Articles, Bibliometric, Bibliometric Analysis, Citations, Complete, Efficiency, Financing, Learning, Measures, Multiple Regression, Output, Performance, Productivity, R&amp;D, R&amp;D Financing, Science, Scientific Output, Scientific Performance, Scientific Productivity, South Africa</w:t>
      </w:r>
    </w:p>
    <w:p w:rsidR="00AB72AF" w:rsidRDefault="00AB72AF" w:rsidP="00AB72AF">
      <w:pPr>
        <w:pStyle w:val="a3"/>
        <w:rPr>
          <w:kern w:val="0"/>
        </w:rPr>
      </w:pPr>
      <w:r>
        <w:rPr>
          <w:rFonts w:hint="eastAsia"/>
          <w:kern w:val="0"/>
        </w:rPr>
        <w:t xml:space="preserve">? </w:t>
      </w:r>
      <w:r>
        <w:rPr>
          <w:kern w:val="0"/>
        </w:rPr>
        <w:t xml:space="preserve">Prathap, G. (2014), A bibliometric profile of Current Science. </w:t>
      </w:r>
      <w:r>
        <w:rPr>
          <w:i/>
          <w:iCs/>
          <w:kern w:val="0"/>
        </w:rPr>
        <w:t>Current Science</w:t>
      </w:r>
      <w:r>
        <w:rPr>
          <w:kern w:val="0"/>
        </w:rPr>
        <w:t xml:space="preserve">, </w:t>
      </w:r>
      <w:r>
        <w:rPr>
          <w:b/>
          <w:bCs/>
          <w:kern w:val="0"/>
        </w:rPr>
        <w:t>106</w:t>
      </w:r>
      <w:r>
        <w:rPr>
          <w:kern w:val="0"/>
        </w:rPr>
        <w:t xml:space="preserve"> </w:t>
      </w:r>
      <w:r>
        <w:rPr>
          <w:kern w:val="0"/>
        </w:rPr>
        <w:lastRenderedPageBreak/>
        <w:t>(7), 958-963.</w:t>
      </w:r>
    </w:p>
    <w:p w:rsidR="00AB72AF" w:rsidRDefault="00AB72AF" w:rsidP="00AB72AF">
      <w:pPr>
        <w:pStyle w:val="a3"/>
      </w:pPr>
      <w:r w:rsidRPr="001A3D2B">
        <w:t xml:space="preserve">Full Text: </w:t>
      </w:r>
      <w:hyperlink r:id="rId1217" w:history="1">
        <w:r w:rsidRPr="00AB72AF">
          <w:rPr>
            <w:rStyle w:val="a5"/>
          </w:rPr>
          <w:t>2014/Cur Sci106, 958.pdf</w:t>
        </w:r>
      </w:hyperlink>
    </w:p>
    <w:p w:rsidR="00AB72AF" w:rsidRDefault="00AB72AF" w:rsidP="00AB72AF">
      <w:pPr>
        <w:pStyle w:val="a3"/>
        <w:rPr>
          <w:kern w:val="0"/>
        </w:rPr>
      </w:pPr>
      <w:r>
        <w:rPr>
          <w:kern w:val="0"/>
        </w:rPr>
        <w:t>Abstract: We carry out a citation-based bibliometric profiling of the journal Current Science. A three-dimensional approach breaks down scholarly performance into three primary components quantity, quality and consistency</w:t>
      </w:r>
      <w:r w:rsidR="00A37C1D">
        <w:rPr>
          <w:kern w:val="0"/>
        </w:rPr>
        <w:t>. The</w:t>
      </w:r>
      <w:r>
        <w:rPr>
          <w:kern w:val="0"/>
        </w:rPr>
        <w:t xml:space="preserve"> citation data are retrieved from the Web of Science. We quantify the evolution of these primary indicators with time, and along with two additional secondary indicators, the h-index and the z-index, identify the most productive authors, cities and states that have published articles and notes in Current Science in the recent past.</w:t>
      </w:r>
    </w:p>
    <w:p w:rsidR="00AB72AF" w:rsidRDefault="00AB72AF" w:rsidP="00AB72AF">
      <w:pPr>
        <w:pStyle w:val="a3"/>
        <w:rPr>
          <w:kern w:val="0"/>
        </w:rPr>
      </w:pPr>
      <w:r>
        <w:rPr>
          <w:kern w:val="0"/>
        </w:rPr>
        <w:t>Keywords: Approach, Articles, Authors, Bibliometric, Bibliometrics, Citation, Cities, Consistency, Current Science, Data, Evolution, H Index, H-Index, Indicators, Journal, Journal Impact Factor, Performance, Primary, Profiling, Published Articles, Quality, Recent, Science, Three-Dimensional, Three-Dimensional Evaluation, Web Of Science</w:t>
      </w:r>
    </w:p>
    <w:p w:rsidR="0051715B" w:rsidRDefault="0051715B" w:rsidP="00AB72AF">
      <w:pPr>
        <w:pStyle w:val="a3"/>
        <w:rPr>
          <w:kern w:val="0"/>
        </w:rPr>
      </w:pPr>
      <w:r>
        <w:rPr>
          <w:rFonts w:hint="eastAsia"/>
          <w:kern w:val="0"/>
        </w:rPr>
        <w:t>Notes: CCountry</w:t>
      </w:r>
    </w:p>
    <w:p w:rsidR="00AB72AF" w:rsidRDefault="00AB72AF" w:rsidP="00AB72AF">
      <w:pPr>
        <w:pStyle w:val="a3"/>
        <w:rPr>
          <w:kern w:val="0"/>
        </w:rPr>
      </w:pPr>
      <w:r>
        <w:rPr>
          <w:rFonts w:hint="eastAsia"/>
          <w:kern w:val="0"/>
        </w:rPr>
        <w:t xml:space="preserve">? </w:t>
      </w:r>
      <w:r>
        <w:rPr>
          <w:kern w:val="0"/>
        </w:rPr>
        <w:t xml:space="preserve">Pathak, M. and Bharati, K.A. (2014), Botanical survey of India (1971-2010): A scientometric analysis. </w:t>
      </w:r>
      <w:r>
        <w:rPr>
          <w:i/>
          <w:iCs/>
          <w:kern w:val="0"/>
        </w:rPr>
        <w:t>Current Science</w:t>
      </w:r>
      <w:r>
        <w:rPr>
          <w:kern w:val="0"/>
        </w:rPr>
        <w:t xml:space="preserve">, </w:t>
      </w:r>
      <w:r>
        <w:rPr>
          <w:b/>
          <w:bCs/>
          <w:kern w:val="0"/>
        </w:rPr>
        <w:t>106</w:t>
      </w:r>
      <w:r>
        <w:rPr>
          <w:kern w:val="0"/>
        </w:rPr>
        <w:t xml:space="preserve"> (7), 964-971.</w:t>
      </w:r>
    </w:p>
    <w:p w:rsidR="00AB72AF" w:rsidRDefault="00AB72AF" w:rsidP="00AB72AF">
      <w:pPr>
        <w:pStyle w:val="a3"/>
      </w:pPr>
      <w:r w:rsidRPr="001A3D2B">
        <w:t xml:space="preserve">Full Text: </w:t>
      </w:r>
      <w:hyperlink r:id="rId1218" w:history="1">
        <w:r w:rsidRPr="006663EF">
          <w:rPr>
            <w:rStyle w:val="a5"/>
          </w:rPr>
          <w:t>2014/Cur Sci106, 964.pdf</w:t>
        </w:r>
      </w:hyperlink>
    </w:p>
    <w:p w:rsidR="00AB72AF" w:rsidRDefault="00AB72AF" w:rsidP="00AB72AF">
      <w:pPr>
        <w:pStyle w:val="a3"/>
        <w:rPr>
          <w:kern w:val="0"/>
        </w:rPr>
      </w:pPr>
      <w:r>
        <w:rPr>
          <w:kern w:val="0"/>
        </w:rPr>
        <w:t>Abstract: The present study reports on the research performance of the Botanical Survey of India (BSI) between 1971 and 2010, based on number of parameters, including publications, citations, impact in terms of average citation per paper, international and national collaboration output, share of publication by different circles of BSI, type of communication, most preferred journals, highly cited papers, authorship pattern and most productive authors</w:t>
      </w:r>
      <w:r w:rsidR="00A37C1D">
        <w:rPr>
          <w:kern w:val="0"/>
        </w:rPr>
        <w:t>. The</w:t>
      </w:r>
      <w:r>
        <w:rPr>
          <w:kern w:val="0"/>
        </w:rPr>
        <w:t xml:space="preserve"> study analyses 40 years (1971-2010) of publication data drawn from Web of Science (SCI-Expanded). A total of 423 papers were published in 40 years (10.57 papers per year), which received 892 citations with an average of 2.1 citations per paper, h-index of 12 and a p-index of 12.34. It has been observed that during 1977-1986, number of publications was comparatively better. Between 1987 and 2005, a long recession was observed; again it is on rise from 2006 onwards, the citations were following almost the same trend. BSI has published 72 and 38 collaborative papers with involvement of 56 national and 22 foreign institutions respectively. Current Science is the most preferred journal, Council of Scientific and Industrial Research is major domestic collaborator (21 papers), University of Rhode Island, Kingston is the major foreign collaborator (11 papers), USA is the major collaborator country (16 papers) and BSI, Kolkata has contributed maximum number of publications (41%).</w:t>
      </w:r>
    </w:p>
    <w:p w:rsidR="00AB72AF" w:rsidRDefault="00AB72AF" w:rsidP="00AB72AF">
      <w:pPr>
        <w:pStyle w:val="a3"/>
        <w:rPr>
          <w:kern w:val="0"/>
        </w:rPr>
      </w:pPr>
      <w:r>
        <w:rPr>
          <w:kern w:val="0"/>
        </w:rPr>
        <w:t xml:space="preserve">Keywords: Analyses, Analysis, Articles, Authors, Authorship, Authorship Pattern, Botanical Survey Of India, Botany, Citation, Citations, Collaboration, Communication, Country, Current Science, Data, H Index, H-Index, Highly Cited, </w:t>
      </w:r>
      <w:r>
        <w:rPr>
          <w:kern w:val="0"/>
        </w:rPr>
        <w:lastRenderedPageBreak/>
        <w:t xml:space="preserve">Highly Cited Papers, Highly-Cited, Impact, Index, India, Institutions, International, Journal, Journals, Mapping, P-Index, Papers, Pattern, Performance, Publication, Publications, Research, Research Output, Research Performance, </w:t>
      </w:r>
      <w:r w:rsidR="00A67441">
        <w:rPr>
          <w:kern w:val="0"/>
        </w:rPr>
        <w:t>SCI</w:t>
      </w:r>
      <w:r>
        <w:rPr>
          <w:kern w:val="0"/>
        </w:rPr>
        <w:t xml:space="preserve">-Expanded, Science, Scientometric, Scientometric Analysis, Survey, Taxonomy, Trend, University, </w:t>
      </w:r>
      <w:r w:rsidR="00002569">
        <w:rPr>
          <w:kern w:val="0"/>
        </w:rPr>
        <w:t>USA</w:t>
      </w:r>
      <w:r>
        <w:rPr>
          <w:kern w:val="0"/>
        </w:rPr>
        <w:t>, Web Of Science</w:t>
      </w:r>
    </w:p>
    <w:p w:rsidR="00002569" w:rsidRDefault="00002569" w:rsidP="00002569">
      <w:pPr>
        <w:pStyle w:val="a3"/>
        <w:rPr>
          <w:kern w:val="0"/>
        </w:rPr>
      </w:pPr>
      <w:r>
        <w:rPr>
          <w:kern w:val="0"/>
        </w:rPr>
        <w:t>? Prathap, G. (2014), India</w:t>
      </w:r>
      <w:r w:rsidR="0071223E">
        <w:rPr>
          <w:kern w:val="0"/>
        </w:rPr>
        <w:t>’</w:t>
      </w:r>
      <w:r>
        <w:rPr>
          <w:kern w:val="0"/>
        </w:rPr>
        <w:t xml:space="preserve">s declining share in computational mechanics research. </w:t>
      </w:r>
      <w:r>
        <w:rPr>
          <w:i/>
          <w:iCs/>
          <w:kern w:val="0"/>
        </w:rPr>
        <w:t>Current Science</w:t>
      </w:r>
      <w:r>
        <w:rPr>
          <w:kern w:val="0"/>
        </w:rPr>
        <w:t xml:space="preserve">, </w:t>
      </w:r>
      <w:r>
        <w:rPr>
          <w:b/>
          <w:bCs/>
          <w:kern w:val="0"/>
        </w:rPr>
        <w:t>106</w:t>
      </w:r>
      <w:r>
        <w:rPr>
          <w:kern w:val="0"/>
        </w:rPr>
        <w:t xml:space="preserve"> (8), 1110-1120.</w:t>
      </w:r>
    </w:p>
    <w:p w:rsidR="00002569" w:rsidRDefault="00002569" w:rsidP="00002569">
      <w:pPr>
        <w:pStyle w:val="a3"/>
      </w:pPr>
      <w:r w:rsidRPr="001A3D2B">
        <w:t xml:space="preserve">Full Text: </w:t>
      </w:r>
      <w:hyperlink r:id="rId1219" w:history="1">
        <w:r w:rsidRPr="00002569">
          <w:rPr>
            <w:rStyle w:val="a5"/>
          </w:rPr>
          <w:t>2014/Cur Sci106, 1110.pdf</w:t>
        </w:r>
      </w:hyperlink>
    </w:p>
    <w:p w:rsidR="00002569" w:rsidRDefault="00002569" w:rsidP="00002569">
      <w:pPr>
        <w:pStyle w:val="a3"/>
        <w:rPr>
          <w:kern w:val="0"/>
        </w:rPr>
      </w:pPr>
      <w:r>
        <w:rPr>
          <w:kern w:val="0"/>
        </w:rPr>
        <w:t>Abstract: Modern science began with Galileo</w:t>
      </w:r>
      <w:r w:rsidR="0071223E">
        <w:rPr>
          <w:kern w:val="0"/>
        </w:rPr>
        <w:t>’</w:t>
      </w:r>
      <w:r>
        <w:rPr>
          <w:kern w:val="0"/>
        </w:rPr>
        <w:t xml:space="preserve">s discourses on two new sciences, namely kinematics and materials science. Over five centuries, the discipline of mechanics which emerged from such studies has played a leading role in many engineering disciplines. Over the last five decades, with the advent of digital computing, mechanics has become </w:t>
      </w:r>
      <w:r w:rsidR="0071223E">
        <w:rPr>
          <w:kern w:val="0"/>
        </w:rPr>
        <w:t>‘</w:t>
      </w:r>
      <w:r>
        <w:rPr>
          <w:kern w:val="0"/>
        </w:rPr>
        <w:t>algorithmized</w:t>
      </w:r>
      <w:r w:rsidR="0071223E">
        <w:rPr>
          <w:kern w:val="0"/>
        </w:rPr>
        <w:t>’</w:t>
      </w:r>
      <w:r>
        <w:rPr>
          <w:kern w:val="0"/>
        </w:rPr>
        <w:t xml:space="preserve"> and this new discipline of computational mechanics has played a very significant role in modern science and engineering, from the execution of megaprojects to the fabrication of nano and quantum devices. In this communication, using bibliometric techniques, we examine India</w:t>
      </w:r>
      <w:r w:rsidR="0071223E">
        <w:rPr>
          <w:kern w:val="0"/>
        </w:rPr>
        <w:t>’</w:t>
      </w:r>
      <w:r>
        <w:rPr>
          <w:kern w:val="0"/>
        </w:rPr>
        <w:t>s current place in the area of computational mechanics research and see stagnation and may be a steady decline.</w:t>
      </w:r>
    </w:p>
    <w:p w:rsidR="00002569" w:rsidRDefault="00002569" w:rsidP="00002569">
      <w:pPr>
        <w:pStyle w:val="a3"/>
        <w:rPr>
          <w:kern w:val="0"/>
        </w:rPr>
      </w:pPr>
      <w:r>
        <w:rPr>
          <w:kern w:val="0"/>
        </w:rPr>
        <w:t>Keywords: Assam, Bibliometric, Bibliometric Techniques, Bibliometrics, Citation, Communication, Computational Mechanics, Disciplines, Engineering, Indicators, Research, River, Role, Science, Sciences, Techniques, Three-Dimensional Evaluation</w:t>
      </w:r>
    </w:p>
    <w:p w:rsidR="00674EF0" w:rsidRDefault="00674EF0" w:rsidP="00674EF0">
      <w:pPr>
        <w:pStyle w:val="a3"/>
        <w:rPr>
          <w:kern w:val="0"/>
        </w:rPr>
      </w:pPr>
      <w:r>
        <w:rPr>
          <w:rFonts w:hint="eastAsia"/>
          <w:kern w:val="0"/>
        </w:rPr>
        <w:t xml:space="preserve">? </w:t>
      </w:r>
      <w:r>
        <w:rPr>
          <w:kern w:val="0"/>
        </w:rPr>
        <w:t xml:space="preserve">Karpagam, R. (2014), Global research output of nanobiotechnology research: A scientometrics study. </w:t>
      </w:r>
      <w:r>
        <w:rPr>
          <w:i/>
          <w:iCs/>
          <w:kern w:val="0"/>
        </w:rPr>
        <w:t>Current Science</w:t>
      </w:r>
      <w:r>
        <w:rPr>
          <w:kern w:val="0"/>
        </w:rPr>
        <w:t xml:space="preserve">, </w:t>
      </w:r>
      <w:r>
        <w:rPr>
          <w:b/>
          <w:bCs/>
          <w:kern w:val="0"/>
        </w:rPr>
        <w:t>106</w:t>
      </w:r>
      <w:r>
        <w:rPr>
          <w:kern w:val="0"/>
        </w:rPr>
        <w:t xml:space="preserve"> (11), 1490-1499.</w:t>
      </w:r>
    </w:p>
    <w:p w:rsidR="00674EF0" w:rsidRDefault="00674EF0" w:rsidP="00674EF0">
      <w:pPr>
        <w:pStyle w:val="a3"/>
      </w:pPr>
      <w:r w:rsidRPr="001A3D2B">
        <w:t xml:space="preserve">Full Text: </w:t>
      </w:r>
      <w:hyperlink r:id="rId1220" w:history="1">
        <w:r w:rsidRPr="007D766F">
          <w:rPr>
            <w:rStyle w:val="a5"/>
          </w:rPr>
          <w:t>2014/Cur Sci106, 1490.pdf</w:t>
        </w:r>
      </w:hyperlink>
    </w:p>
    <w:p w:rsidR="00674EF0" w:rsidRDefault="00674EF0" w:rsidP="00674EF0">
      <w:pPr>
        <w:pStyle w:val="a3"/>
        <w:rPr>
          <w:kern w:val="0"/>
        </w:rPr>
      </w:pPr>
      <w:r>
        <w:rPr>
          <w:kern w:val="0"/>
        </w:rPr>
        <w:t xml:space="preserve">Abstract: An effective scientometric analysis based on SCOPUS database was conducted to evaluate nano-biotechnology research from a different perspective for the period 2003-2012. Nanobiotechnology has been intensively investigated by bibliometric methods due to its technological importance and expected impacts on economic activity. The present study analyses nanobiotechnology research output during 2003-2012 on different parameters, including the growth, global publications share and citation impact, share of international collaborative papers and contributions of major collaborative partner countries. A total of 114,684 papers were published during 10 years, which received 2,503,795 citations with an average of 21.83 citations per paper. It has been observed that during 2003-2012, USA held the first position by number of publications (34,736), h-index (349), g-index (541), hg-index (434.52) and p-index (326.47). Developing countries such as India, China, South Korea and Canada showed increasing trends in their publications and their activity index also showed increasing trends. Top 10 institutions contributed 7.16% </w:t>
      </w:r>
      <w:r>
        <w:rPr>
          <w:kern w:val="0"/>
        </w:rPr>
        <w:lastRenderedPageBreak/>
        <w:t>share of total publications. Masssachusetts Institute of Technology, USA received the highest h-index (120) among the top 10 institutions. Biomaterials (1631) was the top journal of publication output; Nano Letters had the highest impact with an average citation per paper (73.86) and American Chemical Society received the highest h-index (158) among the top 10 journals.</w:t>
      </w:r>
    </w:p>
    <w:p w:rsidR="00674EF0" w:rsidRDefault="00674EF0" w:rsidP="00674EF0">
      <w:pPr>
        <w:pStyle w:val="a3"/>
        <w:rPr>
          <w:kern w:val="0"/>
        </w:rPr>
      </w:pPr>
      <w:r>
        <w:rPr>
          <w:kern w:val="0"/>
        </w:rPr>
        <w:t>Keywords: Activity, Analyses, Analysis, Bibliometric, Bibliometric Methods, Bibliometric Study, Biomaterials, Canada, China, Citation, Citation Impact, Citations, Database, Developing Countries, Economic, First, G Index, G-Index, Global, Global Research Output, Growth, H Index, H-Index, Hg-Index, Impact, Impacts, Index, India, Institutions, Interdisciplinarity, International, Journal, Journals, Korea, Methods, Nano, Nano-Technology, Nanobiotechnology, Nanoscience, Nanotechnology Research, P-Index, Papers, Partner, Patents, Patterns, Publication, Publications, Research, Research Collaboration, Research Output, Science, Scientometric, Scientometric Analysis, Scientometrics, Scientometrics Study, Scopus, South Korea, Technology, Technology Field, Trends, USA</w:t>
      </w:r>
    </w:p>
    <w:p w:rsidR="00A327D5" w:rsidRDefault="00A327D5" w:rsidP="00A327D5">
      <w:pPr>
        <w:pStyle w:val="a3"/>
        <w:rPr>
          <w:kern w:val="0"/>
        </w:rPr>
      </w:pPr>
      <w:r>
        <w:rPr>
          <w:kern w:val="0"/>
        </w:rPr>
        <w:t xml:space="preserve">? Uddin, A. and Singh, V.K. (2014), Measuring research output and collaboration in South Asian countries. </w:t>
      </w:r>
      <w:r>
        <w:rPr>
          <w:i/>
          <w:iCs/>
          <w:kern w:val="0"/>
        </w:rPr>
        <w:t>Current Science</w:t>
      </w:r>
      <w:r>
        <w:rPr>
          <w:kern w:val="0"/>
        </w:rPr>
        <w:t xml:space="preserve">, </w:t>
      </w:r>
      <w:r>
        <w:rPr>
          <w:b/>
          <w:bCs/>
          <w:kern w:val="0"/>
        </w:rPr>
        <w:t>107</w:t>
      </w:r>
      <w:r>
        <w:rPr>
          <w:kern w:val="0"/>
        </w:rPr>
        <w:t xml:space="preserve"> (1), 31-38.</w:t>
      </w:r>
    </w:p>
    <w:p w:rsidR="00A327D5" w:rsidRDefault="00A327D5" w:rsidP="00A327D5">
      <w:pPr>
        <w:pStyle w:val="a3"/>
      </w:pPr>
      <w:r w:rsidRPr="001A3D2B">
        <w:t xml:space="preserve">Full Text: </w:t>
      </w:r>
      <w:hyperlink r:id="rId1221" w:history="1">
        <w:r w:rsidRPr="00A327D5">
          <w:rPr>
            <w:rStyle w:val="a5"/>
          </w:rPr>
          <w:t>2014/Cur Sci107, 31.pdf</w:t>
        </w:r>
      </w:hyperlink>
    </w:p>
    <w:p w:rsidR="00A327D5" w:rsidRDefault="00A327D5" w:rsidP="00A327D5">
      <w:pPr>
        <w:pStyle w:val="a3"/>
        <w:rPr>
          <w:kern w:val="0"/>
        </w:rPr>
      </w:pPr>
      <w:r>
        <w:rPr>
          <w:kern w:val="0"/>
        </w:rPr>
        <w:t>Abstract: This article presents a scientornetric analysis of academic research output, growth trend, citation &amp; impact, and research collaboration levels in the South Asian region. The analysis is done on several important parameters such as total research production, global share and rank, subject categories, citation impact, in and out-region citation patterns, and inter-country collaborations. The economic indicators relating to higher education and research for the countries in the region are correlated with the analytical results. It also analyses the research growth and maturity levels for the region. In summary, it tries to map the academic research status in the South Asian region, including details about the countries in the region.</w:t>
      </w:r>
    </w:p>
    <w:p w:rsidR="00A327D5" w:rsidRDefault="00A327D5" w:rsidP="00A327D5">
      <w:pPr>
        <w:pStyle w:val="a3"/>
        <w:rPr>
          <w:kern w:val="0"/>
        </w:rPr>
      </w:pPr>
      <w:r>
        <w:rPr>
          <w:kern w:val="0"/>
        </w:rPr>
        <w:t>Keywords: Analyses, Analysis, Article, Asian, Citation, Citation Analysis, Citation Impact, Citation Patterns, Collaboration, Collaborations, Economic, Education, Global, Growth, Higher Education, Impact, Indicators, Knowledge Creation, Period, Rank, Region, Research, Research Collaboration, Research Impact, Research Output, Scientometrics, Trend</w:t>
      </w:r>
    </w:p>
    <w:p w:rsidR="0051715B" w:rsidRDefault="0051715B" w:rsidP="005B6453">
      <w:pPr>
        <w:pStyle w:val="a3"/>
        <w:rPr>
          <w:kern w:val="0"/>
        </w:rPr>
      </w:pPr>
      <w:r>
        <w:rPr>
          <w:rFonts w:hint="eastAsia"/>
          <w:kern w:val="0"/>
        </w:rPr>
        <w:t>Notes: CCountry</w:t>
      </w:r>
    </w:p>
    <w:p w:rsidR="005B6453" w:rsidRDefault="005B6453" w:rsidP="005B6453">
      <w:pPr>
        <w:pStyle w:val="a3"/>
        <w:rPr>
          <w:kern w:val="0"/>
        </w:rPr>
      </w:pPr>
      <w:r>
        <w:rPr>
          <w:rFonts w:hint="eastAsia"/>
          <w:kern w:val="0"/>
        </w:rPr>
        <w:t xml:space="preserve">? </w:t>
      </w:r>
      <w:r>
        <w:rPr>
          <w:kern w:val="0"/>
        </w:rPr>
        <w:t xml:space="preserve">Prathap, G. (2014), Field-normalized bibliometric evaluation of leading research institutions in chemistry in China and India. </w:t>
      </w:r>
      <w:r>
        <w:rPr>
          <w:i/>
          <w:iCs/>
          <w:kern w:val="0"/>
        </w:rPr>
        <w:t>Current Science</w:t>
      </w:r>
      <w:r>
        <w:rPr>
          <w:kern w:val="0"/>
        </w:rPr>
        <w:t xml:space="preserve">, </w:t>
      </w:r>
      <w:r>
        <w:rPr>
          <w:b/>
          <w:bCs/>
          <w:kern w:val="0"/>
        </w:rPr>
        <w:t>107</w:t>
      </w:r>
      <w:r>
        <w:rPr>
          <w:kern w:val="0"/>
        </w:rPr>
        <w:t xml:space="preserve"> (2), 269-272.</w:t>
      </w:r>
    </w:p>
    <w:p w:rsidR="005B6453" w:rsidRDefault="005B6453" w:rsidP="005B6453">
      <w:pPr>
        <w:pStyle w:val="a3"/>
      </w:pPr>
      <w:r w:rsidRPr="001A3D2B">
        <w:t xml:space="preserve">Full Text: </w:t>
      </w:r>
      <w:hyperlink r:id="rId1222" w:history="1">
        <w:r w:rsidRPr="005B6453">
          <w:rPr>
            <w:rStyle w:val="a5"/>
          </w:rPr>
          <w:t>2014/Cur Sci107, 269.pdf</w:t>
        </w:r>
      </w:hyperlink>
    </w:p>
    <w:p w:rsidR="005B6453" w:rsidRDefault="005B6453" w:rsidP="005B6453">
      <w:pPr>
        <w:pStyle w:val="a3"/>
        <w:rPr>
          <w:kern w:val="0"/>
        </w:rPr>
      </w:pPr>
      <w:r>
        <w:rPr>
          <w:kern w:val="0"/>
        </w:rPr>
        <w:t>Abstract: Chemistry is the biggest area of research in which India publishes and it is the second biggest for China in recent years. Within this broad research area, the Council of Scientific and Industrial Research (CSIR) is India</w:t>
      </w:r>
      <w:r w:rsidR="0071223E">
        <w:rPr>
          <w:kern w:val="0"/>
        </w:rPr>
        <w:t>’</w:t>
      </w:r>
      <w:r>
        <w:rPr>
          <w:kern w:val="0"/>
        </w:rPr>
        <w:t xml:space="preserve">s biggest single academic </w:t>
      </w:r>
      <w:r>
        <w:rPr>
          <w:kern w:val="0"/>
        </w:rPr>
        <w:lastRenderedPageBreak/>
        <w:t>research contributor, while the Chinese Academy of Sciences (CAS) is China</w:t>
      </w:r>
      <w:r w:rsidR="0071223E">
        <w:rPr>
          <w:kern w:val="0"/>
        </w:rPr>
        <w:t>’</w:t>
      </w:r>
      <w:r>
        <w:rPr>
          <w:kern w:val="0"/>
        </w:rPr>
        <w:t>s biggest player. In this communication, we use field-normalized bibliometric indicators from the latest (2013) release of SCImago Institutions Rankings World Reports to show that while the leading institutions from CSIR are showing a declining trend in the quality of research output, their counterparts from CAS are rapidly improving on both quality and quantity terms.</w:t>
      </w:r>
    </w:p>
    <w:p w:rsidR="005B6453" w:rsidRDefault="005B6453" w:rsidP="005B6453">
      <w:pPr>
        <w:pStyle w:val="a3"/>
        <w:rPr>
          <w:kern w:val="0"/>
        </w:rPr>
      </w:pPr>
      <w:r>
        <w:rPr>
          <w:kern w:val="0"/>
        </w:rPr>
        <w:t>Keywords: Bibliometric, Bibliometric Evaluation, Bibliometric Indicators, Chemistry, China, Chinese, Communication, Evaluation, Field-Normalization, India, Indicators, Institutions, Quality, Quality Of, Rankings, Recent, Release, Research, Research Institutions, Research Institutions Ranking, Research Output, Sciences, Scimago, Trend</w:t>
      </w:r>
    </w:p>
    <w:p w:rsidR="0013351F" w:rsidRDefault="0013351F" w:rsidP="0013351F">
      <w:pPr>
        <w:pStyle w:val="a3"/>
        <w:rPr>
          <w:kern w:val="0"/>
        </w:rPr>
      </w:pPr>
      <w:r>
        <w:rPr>
          <w:rFonts w:hint="eastAsia"/>
          <w:kern w:val="0"/>
        </w:rPr>
        <w:t xml:space="preserve">? </w:t>
      </w:r>
      <w:r>
        <w:rPr>
          <w:kern w:val="0"/>
        </w:rPr>
        <w:t xml:space="preserve">Balhara, Y.P.S. and Mishra, A. (2014), Compliance of retraction notices for retracted articles on mental disorders with COPE guidelines on retraction. </w:t>
      </w:r>
      <w:r>
        <w:rPr>
          <w:i/>
          <w:iCs/>
          <w:kern w:val="0"/>
        </w:rPr>
        <w:t>Current Science</w:t>
      </w:r>
      <w:r>
        <w:rPr>
          <w:kern w:val="0"/>
        </w:rPr>
        <w:t xml:space="preserve">, </w:t>
      </w:r>
      <w:r>
        <w:rPr>
          <w:b/>
          <w:bCs/>
          <w:kern w:val="0"/>
        </w:rPr>
        <w:t>107</w:t>
      </w:r>
      <w:r>
        <w:rPr>
          <w:kern w:val="0"/>
        </w:rPr>
        <w:t xml:space="preserve"> (5), 757-760.</w:t>
      </w:r>
    </w:p>
    <w:p w:rsidR="0013351F" w:rsidRDefault="0013351F" w:rsidP="0013351F">
      <w:pPr>
        <w:pStyle w:val="a3"/>
      </w:pPr>
      <w:r w:rsidRPr="001A3D2B">
        <w:t xml:space="preserve">Full Text: </w:t>
      </w:r>
      <w:hyperlink r:id="rId1223" w:history="1">
        <w:r w:rsidRPr="003313A6">
          <w:rPr>
            <w:rStyle w:val="a5"/>
          </w:rPr>
          <w:t>2014/Cur Sci107, 757.pdf</w:t>
        </w:r>
      </w:hyperlink>
    </w:p>
    <w:p w:rsidR="0013351F" w:rsidRDefault="0013351F" w:rsidP="0013351F">
      <w:pPr>
        <w:pStyle w:val="a3"/>
        <w:rPr>
          <w:kern w:val="0"/>
        </w:rPr>
      </w:pPr>
      <w:r>
        <w:rPr>
          <w:kern w:val="0"/>
        </w:rPr>
        <w:t>Abstract: The current study is aimed at assessment of compliance of retraction notices for articles on mental disorders with COPE guidelines and impact of open access on post-retraction citation of retracted articles on mental disorders. A bibliometric search was carried out for retraction notices for articles on mental disorders using PubMed. Twenty-four (43.63%) articles were retracted in the year 2010 or later and 31 (56.36%) were retracted before 2010. A significantly. higher proportion of articles cited at least once post-retraction were without a freely accessible retraction notice (chi square = 10.06, df = 1, P = 0.002). Open access status of the article did not influence the times (in months) to retraction after publication (U = 321.00, P = 0.73).</w:t>
      </w:r>
    </w:p>
    <w:p w:rsidR="0013351F" w:rsidRDefault="0013351F" w:rsidP="0013351F">
      <w:pPr>
        <w:pStyle w:val="a3"/>
        <w:rPr>
          <w:kern w:val="0"/>
        </w:rPr>
      </w:pPr>
      <w:r>
        <w:rPr>
          <w:kern w:val="0"/>
        </w:rPr>
        <w:t>Keywords: Access, Article, Articles, Assessment, Bibliometric, Chi-Square, Citation, Compliance, Guidelines, Impact, Influence, Journals, Mental Disorders, Misconduct, Open, Open Access, P, Publication, Publications, Pubmed, Retraction Notice, U, Web Of Science</w:t>
      </w:r>
    </w:p>
    <w:p w:rsidR="003B1470" w:rsidRDefault="003B1470" w:rsidP="003B1470">
      <w:pPr>
        <w:pStyle w:val="a3"/>
        <w:rPr>
          <w:kern w:val="0"/>
        </w:rPr>
      </w:pPr>
      <w:r>
        <w:rPr>
          <w:rFonts w:hint="eastAsia"/>
          <w:kern w:val="0"/>
        </w:rPr>
        <w:t xml:space="preserve">? </w:t>
      </w:r>
      <w:r>
        <w:rPr>
          <w:kern w:val="0"/>
        </w:rPr>
        <w:t xml:space="preserve">Garg, K.C. and Kumar, S. (2014), Uncitedness of Indian scientific output. </w:t>
      </w:r>
      <w:r>
        <w:rPr>
          <w:i/>
          <w:iCs/>
          <w:kern w:val="0"/>
        </w:rPr>
        <w:t>Current Science</w:t>
      </w:r>
      <w:r>
        <w:rPr>
          <w:kern w:val="0"/>
        </w:rPr>
        <w:t xml:space="preserve">, </w:t>
      </w:r>
      <w:r>
        <w:rPr>
          <w:b/>
          <w:bCs/>
          <w:kern w:val="0"/>
        </w:rPr>
        <w:t>107</w:t>
      </w:r>
      <w:r>
        <w:rPr>
          <w:kern w:val="0"/>
        </w:rPr>
        <w:t xml:space="preserve"> (6), 965-970.</w:t>
      </w:r>
    </w:p>
    <w:p w:rsidR="003B1470" w:rsidRDefault="003B1470" w:rsidP="003B1470">
      <w:pPr>
        <w:pStyle w:val="a3"/>
      </w:pPr>
      <w:r w:rsidRPr="001A3D2B">
        <w:t xml:space="preserve">Full Text: </w:t>
      </w:r>
      <w:hyperlink r:id="rId1224" w:history="1">
        <w:r w:rsidRPr="003B1470">
          <w:rPr>
            <w:rStyle w:val="a5"/>
          </w:rPr>
          <w:t>2014/Cur Sci107, 965.pdf</w:t>
        </w:r>
      </w:hyperlink>
    </w:p>
    <w:p w:rsidR="003B1470" w:rsidRDefault="003B1470" w:rsidP="003B1470">
      <w:pPr>
        <w:pStyle w:val="a3"/>
        <w:rPr>
          <w:kern w:val="0"/>
        </w:rPr>
      </w:pPr>
      <w:r>
        <w:rPr>
          <w:kern w:val="0"/>
        </w:rPr>
        <w:t xml:space="preserve">Abstract: An analysis of 35,640 papers published by Indian scientists as journal articles and reviews in journals indexed by Science Citation Index-Expanded (SCI-E) in 2008 revealed that 6231 (17.5%) papers remained uncited during 2008-2013. Most of the uncited papers were published by State Agricultural Universities and the Indian Council of Agricultural Research. The highest proportion of uncited papers was in the discipline of agricultural sciences followed by multidisciplinary and mathematical sciences. These uncited papers appeared in journals published from India, Singapore, Romania and Japan with low impact factor (IF). Lowest number of </w:t>
      </w:r>
      <w:r>
        <w:rPr>
          <w:kern w:val="0"/>
        </w:rPr>
        <w:lastRenderedPageBreak/>
        <w:t>uncited papers was published by the Department of Biotechnology. It was also found that a small fraction of papers published in journals with IF more than 5 also remained uncited.</w:t>
      </w:r>
    </w:p>
    <w:p w:rsidR="003B1470" w:rsidRDefault="003B1470" w:rsidP="003B1470">
      <w:pPr>
        <w:pStyle w:val="a3"/>
        <w:rPr>
          <w:kern w:val="0"/>
        </w:rPr>
      </w:pPr>
      <w:r>
        <w:rPr>
          <w:kern w:val="0"/>
        </w:rPr>
        <w:t>Keywords: Agricultural, Agricultural Sciences, Analysis, Articles, Biotechnology, Citation, Citation Analysis, From, Impact, Impact Factor, India, Japan, Journal, Journal Articles, Journals, Multidisciplinary, Papers, Profile, Research, Reviews, Romania, SCIE, Science, Science Citation Index Expanded, Science Citation Index-Expanded, Science-Citation-Index, Sciences, Scientific Output, Scientists, Scientometrics, Singapore, Small, Uncitedness, Universities</w:t>
      </w:r>
    </w:p>
    <w:p w:rsidR="0051715B" w:rsidRDefault="0051715B" w:rsidP="00795FC7">
      <w:pPr>
        <w:pStyle w:val="a3"/>
        <w:rPr>
          <w:kern w:val="0"/>
        </w:rPr>
      </w:pPr>
      <w:r>
        <w:rPr>
          <w:rFonts w:hint="eastAsia"/>
          <w:kern w:val="0"/>
        </w:rPr>
        <w:t>Notes: CCountry</w:t>
      </w:r>
    </w:p>
    <w:p w:rsidR="00795FC7" w:rsidRDefault="00795FC7" w:rsidP="00795FC7">
      <w:pPr>
        <w:pStyle w:val="a3"/>
        <w:rPr>
          <w:kern w:val="0"/>
        </w:rPr>
      </w:pPr>
      <w:r>
        <w:rPr>
          <w:kern w:val="0"/>
        </w:rPr>
        <w:t xml:space="preserve">? Venu, P. and Sanjappa, M. (2014), Some observations on a report on scientometric analysis on Botanical Survey of India. </w:t>
      </w:r>
      <w:r>
        <w:rPr>
          <w:i/>
          <w:iCs/>
          <w:kern w:val="0"/>
        </w:rPr>
        <w:t>Current Science</w:t>
      </w:r>
      <w:r>
        <w:rPr>
          <w:kern w:val="0"/>
        </w:rPr>
        <w:t xml:space="preserve">, </w:t>
      </w:r>
      <w:r>
        <w:rPr>
          <w:b/>
          <w:bCs/>
          <w:kern w:val="0"/>
        </w:rPr>
        <w:t>107</w:t>
      </w:r>
      <w:r>
        <w:rPr>
          <w:kern w:val="0"/>
        </w:rPr>
        <w:t xml:space="preserve"> (7), 1103-1104</w:t>
      </w:r>
    </w:p>
    <w:p w:rsidR="00795FC7" w:rsidRDefault="00795FC7" w:rsidP="00795FC7">
      <w:pPr>
        <w:pStyle w:val="a3"/>
      </w:pPr>
      <w:r w:rsidRPr="001A3D2B">
        <w:t>Full Text:</w:t>
      </w:r>
      <w:r>
        <w:rPr>
          <w:rFonts w:hint="eastAsia"/>
        </w:rPr>
        <w:t xml:space="preserve"> </w:t>
      </w:r>
      <w:hyperlink r:id="rId1225" w:history="1">
        <w:r w:rsidRPr="00052E32">
          <w:rPr>
            <w:rStyle w:val="a5"/>
          </w:rPr>
          <w:t>2014/Cur Sci107, 1103.pdf</w:t>
        </w:r>
      </w:hyperlink>
    </w:p>
    <w:p w:rsidR="00795FC7" w:rsidRDefault="00795FC7" w:rsidP="00795FC7">
      <w:pPr>
        <w:pStyle w:val="a3"/>
        <w:rPr>
          <w:kern w:val="0"/>
        </w:rPr>
      </w:pPr>
      <w:r>
        <w:rPr>
          <w:kern w:val="0"/>
        </w:rPr>
        <w:t>Keywords: Analysis, Botanical Survey Of India, India, Observations, Scientometric, Scientometric Analysis, Survey</w:t>
      </w:r>
    </w:p>
    <w:p w:rsidR="00A67441" w:rsidRDefault="00A67441" w:rsidP="00A67441">
      <w:pPr>
        <w:pStyle w:val="a3"/>
        <w:rPr>
          <w:kern w:val="0"/>
        </w:rPr>
      </w:pPr>
      <w:r>
        <w:rPr>
          <w:kern w:val="0"/>
        </w:rPr>
        <w:t xml:space="preserve">? </w:t>
      </w:r>
      <w:r>
        <w:rPr>
          <w:rFonts w:hint="eastAsia"/>
          <w:kern w:val="0"/>
        </w:rPr>
        <w:t>Ho</w:t>
      </w:r>
      <w:r>
        <w:rPr>
          <w:kern w:val="0"/>
        </w:rPr>
        <w:t xml:space="preserve">, </w:t>
      </w:r>
      <w:r>
        <w:rPr>
          <w:rFonts w:hint="eastAsia"/>
          <w:kern w:val="0"/>
        </w:rPr>
        <w:t>Y</w:t>
      </w:r>
      <w:r>
        <w:rPr>
          <w:kern w:val="0"/>
        </w:rPr>
        <w:t>.</w:t>
      </w:r>
      <w:r>
        <w:rPr>
          <w:rFonts w:hint="eastAsia"/>
          <w:kern w:val="0"/>
        </w:rPr>
        <w:t>S.</w:t>
      </w:r>
      <w:r>
        <w:rPr>
          <w:kern w:val="0"/>
        </w:rPr>
        <w:t xml:space="preserve"> (2014), </w:t>
      </w:r>
      <w:r w:rsidRPr="007E0FCC">
        <w:t>A bibliometric analysis of highly cited articles in material science area</w:t>
      </w:r>
      <w:r>
        <w:rPr>
          <w:kern w:val="0"/>
        </w:rPr>
        <w:t xml:space="preserve">. </w:t>
      </w:r>
      <w:r>
        <w:rPr>
          <w:i/>
          <w:iCs/>
          <w:kern w:val="0"/>
        </w:rPr>
        <w:t>Current Science</w:t>
      </w:r>
      <w:r>
        <w:rPr>
          <w:kern w:val="0"/>
        </w:rPr>
        <w:t xml:space="preserve">, </w:t>
      </w:r>
      <w:r w:rsidR="00604516" w:rsidRPr="00604516">
        <w:rPr>
          <w:rFonts w:hint="eastAsia"/>
          <w:b/>
          <w:kern w:val="0"/>
        </w:rPr>
        <w:t>107</w:t>
      </w:r>
      <w:r>
        <w:rPr>
          <w:kern w:val="0"/>
        </w:rPr>
        <w:t xml:space="preserve"> (</w:t>
      </w:r>
      <w:r w:rsidR="006F1293">
        <w:rPr>
          <w:rFonts w:hint="eastAsia"/>
          <w:kern w:val="0"/>
        </w:rPr>
        <w:t>9</w:t>
      </w:r>
      <w:r>
        <w:rPr>
          <w:kern w:val="0"/>
        </w:rPr>
        <w:t xml:space="preserve">), </w:t>
      </w:r>
      <w:r w:rsidR="006F1293">
        <w:rPr>
          <w:rFonts w:hint="eastAsia"/>
          <w:kern w:val="0"/>
        </w:rPr>
        <w:t>1565-1572.</w:t>
      </w:r>
    </w:p>
    <w:p w:rsidR="00A67441" w:rsidRDefault="00A67441" w:rsidP="00A67441">
      <w:pPr>
        <w:pStyle w:val="a3"/>
      </w:pPr>
      <w:r w:rsidRPr="001A3D2B">
        <w:t>Full Text:</w:t>
      </w:r>
      <w:r w:rsidR="006F1293">
        <w:rPr>
          <w:rFonts w:hint="eastAsia"/>
        </w:rPr>
        <w:t xml:space="preserve"> </w:t>
      </w:r>
      <w:hyperlink r:id="rId1226" w:history="1">
        <w:r w:rsidR="006F1293" w:rsidRPr="006F1293">
          <w:rPr>
            <w:rStyle w:val="a5"/>
          </w:rPr>
          <w:t>2014/Cur Sci107, 1565.pdf</w:t>
        </w:r>
      </w:hyperlink>
      <w:r w:rsidR="006F1293">
        <w:rPr>
          <w:rFonts w:hint="eastAsia"/>
        </w:rPr>
        <w:t>;</w:t>
      </w:r>
      <w:r w:rsidRPr="001A3D2B">
        <w:t xml:space="preserve"> </w:t>
      </w:r>
      <w:hyperlink r:id="rId1227" w:history="1">
        <w:r w:rsidR="00604516" w:rsidRPr="00604516">
          <w:rPr>
            <w:rStyle w:val="a5"/>
          </w:rPr>
          <w:t>2014/Cur Sci-Ho.pdf</w:t>
        </w:r>
      </w:hyperlink>
    </w:p>
    <w:p w:rsidR="00A67441" w:rsidRPr="00FE5C45" w:rsidRDefault="00A67441" w:rsidP="00A67441">
      <w:pPr>
        <w:pStyle w:val="a3"/>
      </w:pPr>
      <w:bookmarkStart w:id="493" w:name="_Toc150941595"/>
      <w:r w:rsidRPr="007E0FCC">
        <w:t>Abstract</w:t>
      </w:r>
      <w:bookmarkEnd w:id="493"/>
      <w:r>
        <w:rPr>
          <w:rFonts w:hint="eastAsia"/>
        </w:rPr>
        <w:t xml:space="preserve">: </w:t>
      </w:r>
      <w:bookmarkStart w:id="494" w:name="_Toc150941596"/>
      <w:r w:rsidRPr="00730223">
        <w:t>This study aimed to identify and analyze the characteristics of the highly cited articles in material science area including eight Web of Science categories: multidisciplinary materials science</w:t>
      </w:r>
      <w:r>
        <w:t xml:space="preserve">, </w:t>
      </w:r>
      <w:r w:rsidRPr="00730223">
        <w:t>coatings and films materials science</w:t>
      </w:r>
      <w:r>
        <w:t xml:space="preserve">, </w:t>
      </w:r>
      <w:r w:rsidRPr="00730223">
        <w:t>biomaterials materials science</w:t>
      </w:r>
      <w:r>
        <w:t xml:space="preserve">, </w:t>
      </w:r>
      <w:r w:rsidRPr="00730223">
        <w:t>ceramics materials science</w:t>
      </w:r>
      <w:r>
        <w:t xml:space="preserve">, </w:t>
      </w:r>
      <w:r w:rsidRPr="00730223">
        <w:t>composites materials science</w:t>
      </w:r>
      <w:r>
        <w:t xml:space="preserve">, </w:t>
      </w:r>
      <w:r w:rsidRPr="00730223">
        <w:t>paper and wood materials science</w:t>
      </w:r>
      <w:r>
        <w:t xml:space="preserve">, </w:t>
      </w:r>
      <w:r w:rsidRPr="00730223">
        <w:t>characterization and testing materials science</w:t>
      </w:r>
      <w:r>
        <w:t xml:space="preserve">, </w:t>
      </w:r>
      <w:r w:rsidRPr="00730223">
        <w:t>and textiles materials science within the publication year from 1900 to 2011 based on Science Citation Index Expanded. Articles that have been cited at least 100 times since publication to 2011 were assessed regarding their distribution in indexed journals. The citation lives of the highly cited articles depending on citations in publication year</w:t>
      </w:r>
      <w:r>
        <w:t xml:space="preserve">, </w:t>
      </w:r>
      <w:r w:rsidRPr="00730223">
        <w:t>recent year</w:t>
      </w:r>
      <w:r>
        <w:t xml:space="preserve">, </w:t>
      </w:r>
      <w:r w:rsidRPr="00730223">
        <w:t>and years after publications were applied for the impact of articles. A new indicator</w:t>
      </w:r>
      <w:r>
        <w:t xml:space="preserve">, </w:t>
      </w:r>
      <w:r w:rsidRPr="00730223">
        <w:t>the Y-index</w:t>
      </w:r>
      <w:r>
        <w:t xml:space="preserve">, </w:t>
      </w:r>
      <w:r w:rsidRPr="00730223">
        <w:t xml:space="preserve">is applied to assess publication quantity and the characteristics of contribution to articles. Results showed that </w:t>
      </w:r>
      <w:r>
        <w:t>14,044</w:t>
      </w:r>
      <w:r w:rsidRPr="00730223">
        <w:t xml:space="preserve"> highly cited articles were published between 1900 and 2010. Among them 70% were published in 1990s and 2000s</w:t>
      </w:r>
      <w:r>
        <w:t xml:space="preserve">, </w:t>
      </w:r>
      <w:r w:rsidRPr="00730223">
        <w:t>and 48% originated from US. Langmuir and Journal of the Electrochemical Society hosted the highly cited articles. Most top cited articles in publication year would not be top cited in recent year. Y-index results showed that Massachusetts Institute of Technology had high articles publication potential as well as published the most first author and corresponding author articles. Geim and Novoselov who are Nobel laureates in 2010</w:t>
      </w:r>
      <w:r>
        <w:t xml:space="preserve">, </w:t>
      </w:r>
      <w:r w:rsidRPr="00730223">
        <w:t>published the most potential article in material science area. Y-index showed that Inoue</w:t>
      </w:r>
      <w:r>
        <w:t xml:space="preserve">, </w:t>
      </w:r>
      <w:r w:rsidRPr="00730223">
        <w:t>A. and Xia</w:t>
      </w:r>
      <w:r>
        <w:t xml:space="preserve">, </w:t>
      </w:r>
      <w:r w:rsidRPr="00730223">
        <w:t xml:space="preserve">Y.N. had </w:t>
      </w:r>
      <w:r w:rsidRPr="00FE5C45">
        <w:t>highest publication performance but different publication characteristics.</w:t>
      </w:r>
    </w:p>
    <w:bookmarkEnd w:id="494"/>
    <w:p w:rsidR="00B6701C" w:rsidRDefault="00B6701C" w:rsidP="00B6701C">
      <w:pPr>
        <w:pStyle w:val="a3"/>
        <w:rPr>
          <w:kern w:val="0"/>
          <w:szCs w:val="24"/>
        </w:rPr>
      </w:pPr>
      <w:r>
        <w:rPr>
          <w:kern w:val="0"/>
          <w:szCs w:val="24"/>
        </w:rPr>
        <w:lastRenderedPageBreak/>
        <w:t>Keywords: Analysis, Article, Article Life, Articles, Bibliometric, Bibliometric Analysis, Biomaterials, Carbon-Films, Characteristics, Characterization, Citation, Citation-Index, Citations, Coatings, Composites, Contribution, Dislocations, Distribution, Efficiency, Electrochemical, First, From, Graphene, Highly Cited, Highly Cited Articles, Highly-Cited, Impact, Indicator, Journal, Journals, Langmuir, Massachusetts, Multidisciplinary, Nov, Performance, Potential, Publication, Publication Performance, Recent, Results, Science, Science Citation Index Expanded, Science Citation Index-Expanded, Solar-Cells, Structural Materials, Technology, Testing, Textiles, Top-Cited, US, USA, Viscosity, Web, Web Of Science, Wood, Y-Index</w:t>
      </w:r>
    </w:p>
    <w:p w:rsidR="007C49DB" w:rsidRDefault="007C49DB" w:rsidP="007C49DB">
      <w:pPr>
        <w:pStyle w:val="a3"/>
        <w:rPr>
          <w:kern w:val="0"/>
        </w:rPr>
      </w:pPr>
      <w:r>
        <w:rPr>
          <w:kern w:val="0"/>
        </w:rPr>
        <w:t xml:space="preserve">? Qian, G. (2014), Computational and visual analysis of the development stage of theories in the social sciences: </w:t>
      </w:r>
      <w:r w:rsidR="006A42CA">
        <w:rPr>
          <w:kern w:val="0"/>
        </w:rPr>
        <w:t xml:space="preserve">A </w:t>
      </w:r>
      <w:r>
        <w:rPr>
          <w:kern w:val="0"/>
        </w:rPr>
        <w:t xml:space="preserve">case in the entrepreneurship field. </w:t>
      </w:r>
      <w:r>
        <w:rPr>
          <w:i/>
          <w:iCs/>
          <w:kern w:val="0"/>
        </w:rPr>
        <w:t>Current Science</w:t>
      </w:r>
      <w:r>
        <w:rPr>
          <w:kern w:val="0"/>
        </w:rPr>
        <w:t xml:space="preserve">, </w:t>
      </w:r>
      <w:r>
        <w:rPr>
          <w:b/>
          <w:bCs/>
          <w:kern w:val="0"/>
        </w:rPr>
        <w:t>107</w:t>
      </w:r>
      <w:r>
        <w:rPr>
          <w:kern w:val="0"/>
        </w:rPr>
        <w:t xml:space="preserve"> (11), 1795-1799.</w:t>
      </w:r>
    </w:p>
    <w:p w:rsidR="007C49DB" w:rsidRDefault="007C49DB" w:rsidP="007C49DB">
      <w:pPr>
        <w:pStyle w:val="a3"/>
      </w:pPr>
      <w:r w:rsidRPr="001A3D2B">
        <w:t>Full Text:</w:t>
      </w:r>
      <w:r>
        <w:rPr>
          <w:rFonts w:hint="eastAsia"/>
        </w:rPr>
        <w:t xml:space="preserve"> </w:t>
      </w:r>
      <w:hyperlink r:id="rId1228" w:history="1">
        <w:r w:rsidR="00B16E7B" w:rsidRPr="00B16E7B">
          <w:rPr>
            <w:rStyle w:val="a5"/>
          </w:rPr>
          <w:t>2014\Cur Sci107, 1795.pdf</w:t>
        </w:r>
      </w:hyperlink>
    </w:p>
    <w:p w:rsidR="007C49DB" w:rsidRDefault="007C49DB" w:rsidP="007C49DB">
      <w:pPr>
        <w:pStyle w:val="a3"/>
        <w:rPr>
          <w:kern w:val="0"/>
        </w:rPr>
      </w:pPr>
      <w:r>
        <w:rPr>
          <w:kern w:val="0"/>
        </w:rPr>
        <w:t>Abstract: The aim of this article is to develop a method combining calculation, visualization and intuitive analysis, which will help social scientists to study the history of a theory in a particular discipline. Considering that the typical type of knowledge-domain map is too complicated and cumbersome for social scientists who possess little knowledge about scientometrics, a new and simplified 3D knowledge-mapping method is designed and illustrated using examples from the entrepreneurship field. The major difference between the orthodox knowledge mapping method and the method we introduce is that co-citation network is not marked, but only co-citation analysis results. Using an alternative method, our map shows the three prominent researchers in the entrepreneurship field as well as three stages: the first from approximately 1920 to 1960, the second from 1960 to 2000, and the third beginning in 2000.</w:t>
      </w:r>
    </w:p>
    <w:p w:rsidR="007C49DB" w:rsidRDefault="007C49DB" w:rsidP="007C49DB">
      <w:pPr>
        <w:pStyle w:val="a3"/>
        <w:rPr>
          <w:kern w:val="0"/>
        </w:rPr>
      </w:pPr>
      <w:r>
        <w:rPr>
          <w:kern w:val="0"/>
        </w:rPr>
        <w:t>Keywords: 3d, Alternative, Analysis, Article, Calculation, Co-Citation, Co-Citation Analysis, Cocitation, Combining, Development, Entrepreneurship, Entrepreneurship Field, Field, First, From, History, Knowledge, Knowledge Domain, Knowledge Domains, Knowledge Mapping, Mapping, Mapping Method, Network, Networks, Researchers, Sciences, Scientific Literature, Scientists, Scientometrics, Social, Social Sciences, Theory, Visualization</w:t>
      </w:r>
    </w:p>
    <w:p w:rsidR="007C49DB" w:rsidRDefault="007C49DB" w:rsidP="007C49DB">
      <w:pPr>
        <w:pStyle w:val="a3"/>
        <w:rPr>
          <w:kern w:val="0"/>
        </w:rPr>
      </w:pPr>
      <w:r>
        <w:rPr>
          <w:kern w:val="0"/>
        </w:rPr>
        <w:t xml:space="preserve">? Chatterjee, D. and Sahasranamam, S. (2014), Trends in innovation management research in India: An analysis of publications for the period 1991-2013. </w:t>
      </w:r>
      <w:r>
        <w:rPr>
          <w:i/>
          <w:iCs/>
          <w:kern w:val="0"/>
        </w:rPr>
        <w:t>Current Science</w:t>
      </w:r>
      <w:r>
        <w:rPr>
          <w:kern w:val="0"/>
        </w:rPr>
        <w:t xml:space="preserve">, </w:t>
      </w:r>
      <w:r>
        <w:rPr>
          <w:b/>
          <w:bCs/>
          <w:kern w:val="0"/>
        </w:rPr>
        <w:t>107</w:t>
      </w:r>
      <w:r>
        <w:rPr>
          <w:kern w:val="0"/>
        </w:rPr>
        <w:t xml:space="preserve"> (11), 1800-1805.</w:t>
      </w:r>
    </w:p>
    <w:p w:rsidR="007C49DB" w:rsidRDefault="007C49DB" w:rsidP="007C49DB">
      <w:pPr>
        <w:pStyle w:val="a3"/>
      </w:pPr>
      <w:r w:rsidRPr="001A3D2B">
        <w:t>Full Text:</w:t>
      </w:r>
      <w:r>
        <w:rPr>
          <w:rFonts w:hint="eastAsia"/>
        </w:rPr>
        <w:t xml:space="preserve"> </w:t>
      </w:r>
      <w:hyperlink r:id="rId1229" w:history="1">
        <w:r w:rsidR="00B16E7B" w:rsidRPr="00B16E7B">
          <w:rPr>
            <w:rStyle w:val="a5"/>
          </w:rPr>
          <w:t>2014\Cur Sci107, 1800.pdf</w:t>
        </w:r>
      </w:hyperlink>
    </w:p>
    <w:p w:rsidR="007C49DB" w:rsidRDefault="007C49DB" w:rsidP="007C49DB">
      <w:pPr>
        <w:pStyle w:val="a3"/>
        <w:rPr>
          <w:kern w:val="0"/>
        </w:rPr>
      </w:pPr>
      <w:r>
        <w:rPr>
          <w:kern w:val="0"/>
        </w:rPr>
        <w:t xml:space="preserve">Abstract: With increasing recognition of the importance of technological innovations in economic development, scholarship on innovation management seeking to understand the context; process and management of technological innovations, as </w:t>
      </w:r>
      <w:r>
        <w:rPr>
          <w:kern w:val="0"/>
        </w:rPr>
        <w:lastRenderedPageBreak/>
        <w:t>distinct from their purely scientific, engineering and technical aspects has been steadily rising as well. This field of research has been instrumental in discovering important concepts that have subsequently informed innovation management in industry, public R&amp;D and academia. In the past two decades, India has also significantly advanced the pace of technological innovations, as evident from patents filed out of the country. However, there is little understanding of whether research on innovation management in the country has also witnessed a similar trend. The present article seeks to address this gap. We looked at the abstracts and keywords of 58 articles related to technology and innovations in India published in 21 journals during the period 1991-2013. We conclude that the trend is not very encouraging. We discuss its implications and offer suggestions for future research.</w:t>
      </w:r>
    </w:p>
    <w:p w:rsidR="007C49DB" w:rsidRDefault="007C49DB" w:rsidP="007C49DB">
      <w:pPr>
        <w:pStyle w:val="a3"/>
        <w:rPr>
          <w:kern w:val="0"/>
        </w:rPr>
      </w:pPr>
      <w:r>
        <w:rPr>
          <w:kern w:val="0"/>
        </w:rPr>
        <w:t>Keywords: Analysis, Article, Articles, Bibliometric Analysis, Context, Country, Development, Economic, Economic Development, Engineering, Field, From, India, Innovation, Innovation Management, Journals, Knowledge, Management, Patents, Public, Publication Trends, Publications, R&amp;D, Research, Scholarship, Strategic Management, Technology, Trend, Trends, Understanding</w:t>
      </w:r>
    </w:p>
    <w:p w:rsidR="007C49DB" w:rsidRDefault="007C49DB" w:rsidP="007C49DB">
      <w:pPr>
        <w:pStyle w:val="a3"/>
        <w:rPr>
          <w:kern w:val="0"/>
        </w:rPr>
      </w:pPr>
      <w:r>
        <w:rPr>
          <w:kern w:val="0"/>
        </w:rPr>
        <w:t xml:space="preserve">? Shao, J.F. and Shen, H.Y. (2014), Academic impact of Chinese medical journals in the Web of Science, 2009-2012. </w:t>
      </w:r>
      <w:r>
        <w:rPr>
          <w:i/>
          <w:iCs/>
          <w:kern w:val="0"/>
        </w:rPr>
        <w:t>Current Science</w:t>
      </w:r>
      <w:r>
        <w:rPr>
          <w:kern w:val="0"/>
        </w:rPr>
        <w:t xml:space="preserve">, </w:t>
      </w:r>
      <w:r>
        <w:rPr>
          <w:b/>
          <w:bCs/>
          <w:kern w:val="0"/>
        </w:rPr>
        <w:t>107</w:t>
      </w:r>
      <w:r>
        <w:rPr>
          <w:kern w:val="0"/>
        </w:rPr>
        <w:t xml:space="preserve"> (11), 1854-1858.</w:t>
      </w:r>
    </w:p>
    <w:p w:rsidR="00B16E7B" w:rsidRDefault="00B16E7B" w:rsidP="00B16E7B">
      <w:pPr>
        <w:pStyle w:val="a3"/>
      </w:pPr>
      <w:r w:rsidRPr="001A3D2B">
        <w:t>Full Text:</w:t>
      </w:r>
      <w:r>
        <w:rPr>
          <w:rFonts w:hint="eastAsia"/>
        </w:rPr>
        <w:t xml:space="preserve"> </w:t>
      </w:r>
      <w:hyperlink r:id="rId1230" w:history="1">
        <w:r w:rsidRPr="007A6D87">
          <w:rPr>
            <w:rStyle w:val="a5"/>
          </w:rPr>
          <w:t>2014\Cur Sci107, 1854.pdf</w:t>
        </w:r>
      </w:hyperlink>
    </w:p>
    <w:p w:rsidR="007C49DB" w:rsidRDefault="007C49DB" w:rsidP="007C49DB">
      <w:pPr>
        <w:pStyle w:val="a3"/>
        <w:rPr>
          <w:kern w:val="0"/>
        </w:rPr>
      </w:pPr>
      <w:r>
        <w:rPr>
          <w:kern w:val="0"/>
        </w:rPr>
        <w:t>Abstract: An objective and multi-perspective evaluation of academic impact might provide a more complete understanding of the recent evolution of Chinese medical journals. In this study, we aimed to evaluate the academic impact of these journals using citation data from the JCR database. We collected data on Chinese medical journals for the analysis, including journal title, ISSN, language, publisher, frequency, impact factor, median impact factor (category), citable items, total cites, self cites, immediacy index, and aggregate immediacy index (category). We found most indicators of the Chinese medical journals were in middle low position or low position. This indicated that the quality and impact of these journals was comparatively low. Based on the above finding, efforts need to be made to improve the quality and impact of Chinese medical journals.</w:t>
      </w:r>
    </w:p>
    <w:p w:rsidR="007C49DB" w:rsidRDefault="007C49DB" w:rsidP="007C49DB">
      <w:pPr>
        <w:pStyle w:val="a3"/>
        <w:rPr>
          <w:kern w:val="0"/>
        </w:rPr>
      </w:pPr>
      <w:r>
        <w:rPr>
          <w:kern w:val="0"/>
        </w:rPr>
        <w:t xml:space="preserve">Keywords: Academic, Academic Impact, Analysis, Chinese, Chinese Medical Journals, Citation, Complete, Data, Database, Evaluation, Evolution, From, Immediacy Index, Impact, Impact Factor, Index, Indicators, </w:t>
      </w:r>
      <w:r w:rsidR="006A42CA">
        <w:rPr>
          <w:kern w:val="0"/>
        </w:rPr>
        <w:t>JCR</w:t>
      </w:r>
      <w:r>
        <w:rPr>
          <w:kern w:val="0"/>
        </w:rPr>
        <w:t>, Journal, Journals, Language, Medical, Medical Journals, Position, Publisher, Quality, Recent, Science, Self, Understanding, Web, Web of Science</w:t>
      </w:r>
    </w:p>
    <w:p w:rsidR="005D224E" w:rsidRDefault="005D224E" w:rsidP="005D224E">
      <w:pPr>
        <w:pStyle w:val="a3"/>
        <w:rPr>
          <w:kern w:val="0"/>
        </w:rPr>
      </w:pPr>
      <w:r>
        <w:rPr>
          <w:rFonts w:hint="eastAsia"/>
          <w:kern w:val="0"/>
        </w:rPr>
        <w:t xml:space="preserve">? </w:t>
      </w:r>
      <w:r>
        <w:rPr>
          <w:kern w:val="0"/>
        </w:rPr>
        <w:t>Prathap, G. (2015), Bibliometrics</w:t>
      </w:r>
      <w:r>
        <w:rPr>
          <w:rFonts w:hint="eastAsia"/>
          <w:kern w:val="0"/>
        </w:rPr>
        <w:t>:</w:t>
      </w:r>
      <w:r>
        <w:rPr>
          <w:kern w:val="0"/>
        </w:rPr>
        <w:t xml:space="preserve"> Problems and promises. </w:t>
      </w:r>
      <w:r>
        <w:rPr>
          <w:i/>
          <w:iCs/>
          <w:kern w:val="0"/>
        </w:rPr>
        <w:t>Current Science</w:t>
      </w:r>
      <w:r>
        <w:rPr>
          <w:kern w:val="0"/>
        </w:rPr>
        <w:t xml:space="preserve">, </w:t>
      </w:r>
      <w:r>
        <w:rPr>
          <w:b/>
          <w:bCs/>
          <w:kern w:val="0"/>
        </w:rPr>
        <w:t>108</w:t>
      </w:r>
      <w:r>
        <w:rPr>
          <w:kern w:val="0"/>
        </w:rPr>
        <w:t xml:space="preserve"> (2), 147-148</w:t>
      </w:r>
    </w:p>
    <w:p w:rsidR="005D224E" w:rsidRDefault="005D224E" w:rsidP="005D224E">
      <w:pPr>
        <w:pStyle w:val="a3"/>
      </w:pPr>
      <w:r w:rsidRPr="001A3D2B">
        <w:t>Full Text:</w:t>
      </w:r>
      <w:r>
        <w:rPr>
          <w:rFonts w:hint="eastAsia"/>
        </w:rPr>
        <w:t xml:space="preserve"> </w:t>
      </w:r>
      <w:hyperlink r:id="rId1231" w:history="1">
        <w:r w:rsidR="00B16E7B" w:rsidRPr="00B16E7B">
          <w:rPr>
            <w:rStyle w:val="a5"/>
          </w:rPr>
          <w:t>2015/Cur Sci108, 147.pdf</w:t>
        </w:r>
      </w:hyperlink>
    </w:p>
    <w:p w:rsidR="005D224E" w:rsidRDefault="005D224E" w:rsidP="005D224E">
      <w:pPr>
        <w:pStyle w:val="a3"/>
        <w:rPr>
          <w:kern w:val="0"/>
        </w:rPr>
      </w:pPr>
      <w:r>
        <w:rPr>
          <w:kern w:val="0"/>
        </w:rPr>
        <w:t>Keywords: Bibliometrics</w:t>
      </w:r>
      <w:r>
        <w:rPr>
          <w:rFonts w:hint="eastAsia"/>
          <w:kern w:val="0"/>
        </w:rPr>
        <w:t xml:space="preserve">, </w:t>
      </w:r>
      <w:r>
        <w:rPr>
          <w:kern w:val="0"/>
        </w:rPr>
        <w:t>Science</w:t>
      </w:r>
    </w:p>
    <w:p w:rsidR="00B7706E" w:rsidRDefault="00B7706E" w:rsidP="00B7706E">
      <w:pPr>
        <w:pStyle w:val="a3"/>
        <w:rPr>
          <w:kern w:val="0"/>
        </w:rPr>
      </w:pPr>
      <w:r>
        <w:rPr>
          <w:kern w:val="0"/>
        </w:rPr>
        <w:lastRenderedPageBreak/>
        <w:t xml:space="preserve">? Chuang, K.Y. and Ho, Y.S. (2015), An evaluation based on highly cited publications in Taiwan. </w:t>
      </w:r>
      <w:r>
        <w:rPr>
          <w:i/>
          <w:iCs/>
          <w:kern w:val="0"/>
        </w:rPr>
        <w:t>Current Science</w:t>
      </w:r>
      <w:r>
        <w:rPr>
          <w:kern w:val="0"/>
        </w:rPr>
        <w:t xml:space="preserve">, </w:t>
      </w:r>
      <w:r>
        <w:rPr>
          <w:b/>
          <w:bCs/>
          <w:kern w:val="0"/>
        </w:rPr>
        <w:t>108</w:t>
      </w:r>
      <w:r>
        <w:rPr>
          <w:kern w:val="0"/>
        </w:rPr>
        <w:t xml:space="preserve"> (5), 933-941.</w:t>
      </w:r>
    </w:p>
    <w:p w:rsidR="006F3235" w:rsidRDefault="006F3235" w:rsidP="006F3235">
      <w:pPr>
        <w:pStyle w:val="a3"/>
      </w:pPr>
      <w:r w:rsidRPr="001A3D2B">
        <w:t>Full Text</w:t>
      </w:r>
      <w:r w:rsidRPr="00B16E7B">
        <w:t>:</w:t>
      </w:r>
      <w:r w:rsidR="00B16E7B">
        <w:rPr>
          <w:rFonts w:hint="eastAsia"/>
        </w:rPr>
        <w:t xml:space="preserve"> </w:t>
      </w:r>
      <w:hyperlink r:id="rId1232" w:history="1">
        <w:r w:rsidR="00B16E7B" w:rsidRPr="00B16E7B">
          <w:rPr>
            <w:rStyle w:val="a5"/>
          </w:rPr>
          <w:t>2015\Cur Sci108, 933.pdf</w:t>
        </w:r>
      </w:hyperlink>
      <w:r w:rsidR="00B16E7B" w:rsidRPr="00B16E7B">
        <w:rPr>
          <w:rFonts w:hint="eastAsia"/>
        </w:rPr>
        <w:t>;</w:t>
      </w:r>
      <w:r w:rsidR="00B16E7B">
        <w:rPr>
          <w:rFonts w:hint="eastAsia"/>
        </w:rPr>
        <w:t xml:space="preserve"> </w:t>
      </w:r>
      <w:hyperlink r:id="rId1233" w:history="1">
        <w:r w:rsidR="00B16E7B" w:rsidRPr="00B16E7B">
          <w:rPr>
            <w:rStyle w:val="a5"/>
          </w:rPr>
          <w:t>2015\Cur Sci-Chuang1.pdf</w:t>
        </w:r>
      </w:hyperlink>
      <w:r w:rsidR="00B16E7B">
        <w:rPr>
          <w:rFonts w:hint="eastAsia"/>
        </w:rPr>
        <w:t>;</w:t>
      </w:r>
      <w:r>
        <w:rPr>
          <w:rFonts w:hint="eastAsia"/>
        </w:rPr>
        <w:t xml:space="preserve"> </w:t>
      </w:r>
      <w:hyperlink r:id="rId1234" w:history="1">
        <w:r w:rsidR="00B16E7B" w:rsidRPr="00B16E7B">
          <w:rPr>
            <w:rStyle w:val="a5"/>
          </w:rPr>
          <w:t>2015\Cur Sci-Chuang.pdf</w:t>
        </w:r>
      </w:hyperlink>
    </w:p>
    <w:p w:rsidR="00B7706E" w:rsidRDefault="00B7706E" w:rsidP="00B7706E">
      <w:pPr>
        <w:pStyle w:val="a3"/>
        <w:rPr>
          <w:kern w:val="0"/>
        </w:rPr>
      </w:pPr>
      <w:r>
        <w:rPr>
          <w:kern w:val="0"/>
        </w:rPr>
        <w:t>Abstract: Bibliometric analysis of highly cited papers of a country can provide interesting insights concerning authors, institutions, collaboration patterns and even useful recommendations for future research policy. The purpose of this study is to conduct biblio metric analysis of highly cited papers from Taiwan. Data used in the study were extracted from the SCI-Expanded database of the Web of Science Core Collection of Thomson Reuters. Authorship, collaboration pattern and Y-index were reported. Results showed that highly cited papers might not have high citations in early years and may be published in journals with low impact factors. International collaboration was responsible for the increasing number of highly cited papers over the years. Institutions can be categorized into three phenotypes and majority of the institutions were characterized with high dependency and low leadership in the collaboration. The United States was the leading choice for international collaboration, while National Taiwan University was the leading choice of institutions for domestic collaboration. With a few exceptions, leading authors tended to be the corresponding author, rather than the first author as in previous studies. It is speculated that this phenomenon may be due to a pecking order among institutions, traditional Confucius values of seniority, and inequality in resource allocation by funding agencies. Providing more balanced research funding, increasing the number of PhD students studying abroad, eliminating gift authorships, especially partners in a project but not in papers and increasing the emphasis on independent research may be needed to amend the observed patterns.</w:t>
      </w:r>
    </w:p>
    <w:p w:rsidR="00B7706E" w:rsidRDefault="00B7706E" w:rsidP="00B7706E">
      <w:pPr>
        <w:pStyle w:val="a3"/>
        <w:rPr>
          <w:kern w:val="0"/>
        </w:rPr>
      </w:pPr>
      <w:r>
        <w:rPr>
          <w:kern w:val="0"/>
        </w:rPr>
        <w:t>Keywords: Allocation, Analysis, Articles, Authors, Authorship, Bibliometric, Bibliometric Analysis, Bibliometric Analysis, Choice, Citations, Classics, Collaboration, Collaboration Patterns, Country, Data, Database, Dependency, Domestic Collaboration, Evaluation, Factors, First, From, Funding, Genome, Gold Nanorods, Hepatitis-B, Highly Cited, Highly Cited Papers, Highly-Cited, Impact, Impact Factor, Impact Factors, Inequality, Institutions, International, International Collaboration, Journals, Leadership, Mar, Papers, Pattern, Phd, Policy, Publications, Purpose, Recommendations, Research, Research Funding, Research Policy, Resource Allocation, Results, Sci-Expanded, Science, Science-Citation-Index, Scientometrics, Sequence, Students, Taiwan, Thomson Reuters, Thomson-Reuters, United States, University, Web, Web Of Science, Y Index, Y-Index</w:t>
      </w:r>
    </w:p>
    <w:p w:rsidR="00170662" w:rsidRDefault="00170662" w:rsidP="007D6556">
      <w:pPr>
        <w:pStyle w:val="a3"/>
        <w:rPr>
          <w:kern w:val="0"/>
        </w:rPr>
      </w:pPr>
      <w:r>
        <w:rPr>
          <w:rFonts w:hint="eastAsia"/>
          <w:kern w:val="0"/>
        </w:rPr>
        <w:t>Notes: CCountry</w:t>
      </w:r>
    </w:p>
    <w:p w:rsidR="007D6556" w:rsidRDefault="007D6556" w:rsidP="007D6556">
      <w:pPr>
        <w:pStyle w:val="a3"/>
        <w:rPr>
          <w:kern w:val="0"/>
        </w:rPr>
      </w:pPr>
      <w:r>
        <w:rPr>
          <w:rFonts w:hint="eastAsia"/>
          <w:kern w:val="0"/>
        </w:rPr>
        <w:t xml:space="preserve">? </w:t>
      </w:r>
      <w:r>
        <w:rPr>
          <w:kern w:val="0"/>
        </w:rPr>
        <w:t xml:space="preserve">Gupta, B.M. and Prathap, G. (2015), Bibliometric benchmarking of Himalayan studies in India. </w:t>
      </w:r>
      <w:r>
        <w:rPr>
          <w:i/>
          <w:iCs/>
          <w:kern w:val="0"/>
        </w:rPr>
        <w:t>Current Science</w:t>
      </w:r>
      <w:r>
        <w:rPr>
          <w:kern w:val="0"/>
        </w:rPr>
        <w:t xml:space="preserve">, </w:t>
      </w:r>
      <w:r>
        <w:rPr>
          <w:b/>
          <w:bCs/>
          <w:kern w:val="0"/>
        </w:rPr>
        <w:t>108</w:t>
      </w:r>
      <w:r>
        <w:rPr>
          <w:kern w:val="0"/>
        </w:rPr>
        <w:t xml:space="preserve"> (6), 1053-1054</w:t>
      </w:r>
      <w:r>
        <w:rPr>
          <w:rFonts w:hint="eastAsia"/>
          <w:kern w:val="0"/>
        </w:rPr>
        <w:t>.</w:t>
      </w:r>
    </w:p>
    <w:p w:rsidR="007D6556" w:rsidRDefault="007D6556" w:rsidP="007D6556">
      <w:pPr>
        <w:pStyle w:val="a3"/>
      </w:pPr>
      <w:r w:rsidRPr="001A3D2B">
        <w:lastRenderedPageBreak/>
        <w:t>Full Text</w:t>
      </w:r>
      <w:r w:rsidRPr="00B16E7B">
        <w:t>:</w:t>
      </w:r>
      <w:r>
        <w:rPr>
          <w:rFonts w:hint="eastAsia"/>
        </w:rPr>
        <w:t xml:space="preserve"> </w:t>
      </w:r>
      <w:hyperlink r:id="rId1235" w:history="1">
        <w:r w:rsidRPr="007D6556">
          <w:rPr>
            <w:rStyle w:val="a5"/>
          </w:rPr>
          <w:t>2015\Cur Sci108, 1053.pdf</w:t>
        </w:r>
      </w:hyperlink>
    </w:p>
    <w:p w:rsidR="007D6556" w:rsidRDefault="007D6556" w:rsidP="007D6556">
      <w:pPr>
        <w:pStyle w:val="a3"/>
        <w:rPr>
          <w:kern w:val="0"/>
        </w:rPr>
      </w:pPr>
      <w:r>
        <w:rPr>
          <w:kern w:val="0"/>
        </w:rPr>
        <w:t>Keywords: Benchmarking, Bibliometric, India, Mar</w:t>
      </w:r>
    </w:p>
    <w:p w:rsidR="00EC40B7" w:rsidRPr="00C73C58" w:rsidRDefault="00EC40B7" w:rsidP="00EC40B7">
      <w:pPr>
        <w:pStyle w:val="1"/>
      </w:pPr>
      <w:r w:rsidRPr="00C73C58">
        <w:br w:type="page"/>
      </w:r>
      <w:bookmarkStart w:id="495" w:name="_Toc420815165"/>
      <w:r w:rsidRPr="00C73C58">
        <w:lastRenderedPageBreak/>
        <w:t xml:space="preserve">Title: </w:t>
      </w:r>
      <w:r w:rsidRPr="00B80C5B">
        <w:t>Current Sociology</w:t>
      </w:r>
      <w:bookmarkEnd w:id="495"/>
    </w:p>
    <w:p w:rsidR="00EC40B7" w:rsidRPr="00C73C58" w:rsidRDefault="00EC40B7" w:rsidP="00EC40B7">
      <w:pPr>
        <w:pStyle w:val="12"/>
      </w:pPr>
      <w:r w:rsidRPr="00C73C58">
        <w:t xml:space="preserve">Full Journal Title: </w:t>
      </w:r>
      <w:r w:rsidRPr="00B80C5B">
        <w:rPr>
          <w:kern w:val="0"/>
        </w:rPr>
        <w:t>Current Sociology</w:t>
      </w:r>
    </w:p>
    <w:p w:rsidR="00EC40B7" w:rsidRPr="00C73C58" w:rsidRDefault="00EC40B7" w:rsidP="00EC40B7">
      <w:pPr>
        <w:pStyle w:val="12"/>
      </w:pPr>
      <w:r w:rsidRPr="00C73C58">
        <w:t xml:space="preserve">ISO Abbreviated Title: </w:t>
      </w:r>
    </w:p>
    <w:p w:rsidR="00EC40B7" w:rsidRPr="00C73C58" w:rsidRDefault="00EC40B7" w:rsidP="00EC40B7">
      <w:pPr>
        <w:pStyle w:val="12"/>
      </w:pPr>
      <w:r w:rsidRPr="00C73C58">
        <w:t xml:space="preserve">JCR Abbreviated Title: </w:t>
      </w:r>
    </w:p>
    <w:p w:rsidR="00EC40B7" w:rsidRPr="00C73C58" w:rsidRDefault="00EC40B7" w:rsidP="00EC40B7">
      <w:pPr>
        <w:pStyle w:val="12"/>
      </w:pPr>
      <w:r w:rsidRPr="00C73C58">
        <w:t xml:space="preserve">ISSN: </w:t>
      </w:r>
      <w:r w:rsidRPr="00B80C5B">
        <w:t>0011-3921</w:t>
      </w:r>
    </w:p>
    <w:p w:rsidR="00EC40B7" w:rsidRPr="00C73C58" w:rsidRDefault="00EC40B7" w:rsidP="00EC40B7">
      <w:pPr>
        <w:pStyle w:val="12"/>
      </w:pPr>
      <w:r w:rsidRPr="00C73C58">
        <w:t xml:space="preserve">Issues/Year: </w:t>
      </w:r>
    </w:p>
    <w:p w:rsidR="00EC40B7" w:rsidRPr="00C73C58" w:rsidRDefault="00EC40B7" w:rsidP="00EC40B7">
      <w:pPr>
        <w:pStyle w:val="12"/>
      </w:pPr>
      <w:r w:rsidRPr="00C73C58">
        <w:t xml:space="preserve">Journal Country/Territory: </w:t>
      </w:r>
    </w:p>
    <w:p w:rsidR="00EC40B7" w:rsidRPr="00C73C58" w:rsidRDefault="00EC40B7" w:rsidP="00EC40B7">
      <w:pPr>
        <w:pStyle w:val="12"/>
      </w:pPr>
      <w:r w:rsidRPr="00C73C58">
        <w:t xml:space="preserve">Language: </w:t>
      </w:r>
    </w:p>
    <w:p w:rsidR="00EC40B7" w:rsidRPr="00C73C58" w:rsidRDefault="00EC40B7" w:rsidP="00EC40B7">
      <w:pPr>
        <w:pStyle w:val="12"/>
      </w:pPr>
      <w:r w:rsidRPr="00C73C58">
        <w:t xml:space="preserve">Publisher: </w:t>
      </w:r>
    </w:p>
    <w:p w:rsidR="00EC40B7" w:rsidRPr="00C73C58" w:rsidRDefault="00EC40B7" w:rsidP="00EC40B7">
      <w:pPr>
        <w:pStyle w:val="12"/>
      </w:pPr>
      <w:r w:rsidRPr="00C73C58">
        <w:t xml:space="preserve">Publisher Address: </w:t>
      </w:r>
    </w:p>
    <w:p w:rsidR="00EC40B7" w:rsidRPr="00C73C58" w:rsidRDefault="00EC40B7" w:rsidP="00EC40B7">
      <w:pPr>
        <w:pStyle w:val="12"/>
      </w:pPr>
      <w:r w:rsidRPr="00C73C58">
        <w:t xml:space="preserve">Subject Categories: </w:t>
      </w:r>
    </w:p>
    <w:p w:rsidR="00EC40B7" w:rsidRPr="00C73C58" w:rsidRDefault="00EC40B7" w:rsidP="00EC40B7">
      <w:pPr>
        <w:pStyle w:val="12"/>
      </w:pPr>
      <w:r w:rsidRPr="00C73C58">
        <w:t>: Impact Factor</w:t>
      </w:r>
    </w:p>
    <w:p w:rsidR="00EC40B7" w:rsidRPr="00C73C58" w:rsidRDefault="00EC40B7" w:rsidP="00EC40B7">
      <w:pPr>
        <w:pStyle w:val="a3"/>
      </w:pPr>
      <w:r>
        <w:rPr>
          <w:rFonts w:hint="eastAsia"/>
          <w:kern w:val="0"/>
        </w:rPr>
        <w:t xml:space="preserve">? </w:t>
      </w:r>
      <w:r>
        <w:t>Alatas</w:t>
      </w:r>
      <w:r>
        <w:rPr>
          <w:kern w:val="0"/>
        </w:rPr>
        <w:t>, S</w:t>
      </w:r>
      <w:r>
        <w:rPr>
          <w:rFonts w:hint="eastAsia"/>
          <w:kern w:val="0"/>
        </w:rPr>
        <w:t>.</w:t>
      </w:r>
      <w:r>
        <w:rPr>
          <w:kern w:val="0"/>
        </w:rPr>
        <w:t>F</w:t>
      </w:r>
      <w:r>
        <w:rPr>
          <w:rFonts w:hint="eastAsia"/>
          <w:kern w:val="0"/>
        </w:rPr>
        <w:t>.</w:t>
      </w:r>
      <w:r>
        <w:rPr>
          <w:kern w:val="0"/>
        </w:rPr>
        <w:t xml:space="preserve"> (2003), </w:t>
      </w:r>
      <w:r>
        <w:t>Academic dependency</w:t>
      </w:r>
      <w:r w:rsidR="005853A9">
        <w:t xml:space="preserve"> and </w:t>
      </w:r>
      <w:r w:rsidR="003A1917">
        <w:t xml:space="preserve">the </w:t>
      </w:r>
      <w:r>
        <w:t>global division</w:t>
      </w:r>
      <w:r w:rsidR="00427468">
        <w:t xml:space="preserve"> of </w:t>
      </w:r>
      <w:r>
        <w:t>labour in</w:t>
      </w:r>
      <w:r w:rsidR="003A1917">
        <w:t xml:space="preserve"> the </w:t>
      </w:r>
      <w:r>
        <w:t>social sciences</w:t>
      </w:r>
      <w:r>
        <w:rPr>
          <w:rFonts w:hint="eastAsia"/>
          <w:kern w:val="0"/>
        </w:rPr>
        <w:t>.</w:t>
      </w:r>
      <w:r>
        <w:rPr>
          <w:kern w:val="0"/>
        </w:rPr>
        <w:t xml:space="preserve"> </w:t>
      </w:r>
      <w:r w:rsidRPr="00B80C5B">
        <w:rPr>
          <w:i/>
          <w:kern w:val="0"/>
        </w:rPr>
        <w:t>Current Sociology</w:t>
      </w:r>
      <w:r>
        <w:rPr>
          <w:i/>
          <w:kern w:val="0"/>
        </w:rPr>
        <w:t xml:space="preserve">, </w:t>
      </w:r>
      <w:r>
        <w:rPr>
          <w:b/>
          <w:kern w:val="0"/>
        </w:rPr>
        <w:t>51</w:t>
      </w:r>
      <w:r>
        <w:rPr>
          <w:rFonts w:hint="eastAsia"/>
          <w:kern w:val="0"/>
        </w:rPr>
        <w:t xml:space="preserve"> (</w:t>
      </w:r>
      <w:r>
        <w:rPr>
          <w:kern w:val="0"/>
        </w:rPr>
        <w:t>6</w:t>
      </w:r>
      <w:r>
        <w:rPr>
          <w:rFonts w:hint="eastAsia"/>
          <w:kern w:val="0"/>
        </w:rPr>
        <w:t>)</w:t>
      </w:r>
      <w:r>
        <w:rPr>
          <w:kern w:val="0"/>
        </w:rPr>
        <w:t>, 599-613.</w:t>
      </w:r>
    </w:p>
    <w:p w:rsidR="00EC40B7" w:rsidRDefault="00EC40B7" w:rsidP="00EC40B7">
      <w:pPr>
        <w:pStyle w:val="a3"/>
      </w:pPr>
      <w:r w:rsidRPr="00C73C58">
        <w:t xml:space="preserve">Full Text: </w:t>
      </w:r>
      <w:hyperlink r:id="rId1236" w:history="1">
        <w:r w:rsidRPr="00B80C5B">
          <w:rPr>
            <w:rStyle w:val="a5"/>
          </w:rPr>
          <w:t>2003\Cur Soc51, 599.pdf</w:t>
        </w:r>
      </w:hyperlink>
    </w:p>
    <w:p w:rsidR="00EC40B7" w:rsidRDefault="00EC40B7" w:rsidP="00EC40B7">
      <w:pPr>
        <w:pStyle w:val="a3"/>
      </w:pPr>
      <w:r>
        <w:t>Abstract</w:t>
      </w:r>
      <w:r>
        <w:rPr>
          <w:rFonts w:hint="eastAsia"/>
        </w:rPr>
        <w:t xml:space="preserve">: </w:t>
      </w:r>
      <w:r>
        <w:t>This article attempts a political economy</w:t>
      </w:r>
      <w:r w:rsidR="00427468">
        <w:t xml:space="preserve"> of </w:t>
      </w:r>
      <w:r w:rsidR="003A1917">
        <w:t xml:space="preserve">the </w:t>
      </w:r>
      <w:r>
        <w:t>social sciences in order to assess</w:t>
      </w:r>
      <w:r w:rsidR="003A1917">
        <w:t xml:space="preserve"> the </w:t>
      </w:r>
      <w:r>
        <w:t>state</w:t>
      </w:r>
      <w:r w:rsidR="00427468">
        <w:t xml:space="preserve"> of </w:t>
      </w:r>
      <w:r w:rsidR="003A1917">
        <w:t xml:space="preserve">the </w:t>
      </w:r>
      <w:r>
        <w:t>social sciences at</w:t>
      </w:r>
      <w:r w:rsidR="003A1917">
        <w:t xml:space="preserve"> the </w:t>
      </w:r>
      <w:r>
        <w:t>global level</w:t>
      </w:r>
      <w:r w:rsidR="00A37C1D">
        <w:t>. The</w:t>
      </w:r>
      <w:r w:rsidR="003A1917">
        <w:t xml:space="preserve"> </w:t>
      </w:r>
      <w:r>
        <w:t>focus is on</w:t>
      </w:r>
      <w:r w:rsidR="003A1917">
        <w:t xml:space="preserve"> the </w:t>
      </w:r>
      <w:r>
        <w:t>relations between</w:t>
      </w:r>
      <w:r w:rsidR="003A1917">
        <w:t xml:space="preserve"> the </w:t>
      </w:r>
      <w:r>
        <w:t>social sciences in</w:t>
      </w:r>
      <w:r w:rsidR="003A1917">
        <w:t xml:space="preserve"> the </w:t>
      </w:r>
      <w:r>
        <w:t>First</w:t>
      </w:r>
      <w:r w:rsidR="005853A9">
        <w:t xml:space="preserve"> and </w:t>
      </w:r>
      <w:r>
        <w:t>Third Worlds</w:t>
      </w:r>
      <w:r w:rsidR="00A37C1D">
        <w:t>. The</w:t>
      </w:r>
      <w:r w:rsidR="003A1917">
        <w:t xml:space="preserve"> </w:t>
      </w:r>
      <w:r>
        <w:t>political economy approach that is utilized for this purpose is academic dependency theory</w:t>
      </w:r>
      <w:r w:rsidR="00A37C1D">
        <w:t>. The</w:t>
      </w:r>
      <w:r w:rsidR="003A1917">
        <w:t xml:space="preserve"> </w:t>
      </w:r>
      <w:r>
        <w:t>condition</w:t>
      </w:r>
      <w:r w:rsidR="00427468">
        <w:t xml:space="preserve"> of </w:t>
      </w:r>
      <w:r>
        <w:t>academic dependency is related to</w:t>
      </w:r>
      <w:r w:rsidR="003A1917">
        <w:t xml:space="preserve"> the </w:t>
      </w:r>
      <w:r>
        <w:t>global division</w:t>
      </w:r>
      <w:r w:rsidR="00427468">
        <w:t xml:space="preserve"> of </w:t>
      </w:r>
      <w:r>
        <w:t>labour in</w:t>
      </w:r>
      <w:r w:rsidR="003A1917">
        <w:t xml:space="preserve"> the </w:t>
      </w:r>
      <w:r>
        <w:t>social sciences, which, I argue, plays a significant role in maintaining</w:t>
      </w:r>
      <w:r w:rsidR="003A1917">
        <w:t xml:space="preserve"> the </w:t>
      </w:r>
      <w:r>
        <w:t>structures</w:t>
      </w:r>
      <w:r w:rsidR="00427468">
        <w:t xml:space="preserve"> of </w:t>
      </w:r>
      <w:r>
        <w:t>academic dependency.</w:t>
      </w:r>
    </w:p>
    <w:p w:rsidR="00115317" w:rsidRDefault="00115317" w:rsidP="00115317">
      <w:pPr>
        <w:pStyle w:val="a3"/>
        <w:rPr>
          <w:kern w:val="0"/>
        </w:rPr>
      </w:pPr>
      <w:r>
        <w:rPr>
          <w:rFonts w:hint="eastAsia"/>
          <w:kern w:val="0"/>
        </w:rPr>
        <w:t xml:space="preserve">? </w:t>
      </w:r>
      <w:r>
        <w:rPr>
          <w:kern w:val="0"/>
        </w:rPr>
        <w:t xml:space="preserve">Mosbah-Natanson, S. and Gingras, Y. (2014), The globalization of social sciences? Evidence from a quantitative analysis of 30 years of production, collaboration and citations in the social sciences (1980-2009). </w:t>
      </w:r>
      <w:r>
        <w:rPr>
          <w:i/>
          <w:iCs/>
          <w:kern w:val="0"/>
        </w:rPr>
        <w:t>Current Sociology</w:t>
      </w:r>
      <w:r>
        <w:rPr>
          <w:kern w:val="0"/>
        </w:rPr>
        <w:t xml:space="preserve">, </w:t>
      </w:r>
      <w:r>
        <w:rPr>
          <w:b/>
          <w:bCs/>
          <w:kern w:val="0"/>
        </w:rPr>
        <w:t>62</w:t>
      </w:r>
      <w:r>
        <w:rPr>
          <w:kern w:val="0"/>
        </w:rPr>
        <w:t xml:space="preserve"> (5), 626-646.</w:t>
      </w:r>
    </w:p>
    <w:p w:rsidR="00115317" w:rsidRDefault="00115317" w:rsidP="00115317">
      <w:pPr>
        <w:pStyle w:val="a3"/>
      </w:pPr>
      <w:r w:rsidRPr="00C73C58">
        <w:t xml:space="preserve">Full Text: </w:t>
      </w:r>
      <w:hyperlink r:id="rId1237" w:history="1">
        <w:r w:rsidRPr="00490403">
          <w:rPr>
            <w:rStyle w:val="a5"/>
          </w:rPr>
          <w:t>2014\Cur Soc62, 626.pdf</w:t>
        </w:r>
      </w:hyperlink>
    </w:p>
    <w:p w:rsidR="00115317" w:rsidRDefault="00115317" w:rsidP="00115317">
      <w:pPr>
        <w:pStyle w:val="a3"/>
        <w:rPr>
          <w:kern w:val="0"/>
        </w:rPr>
      </w:pPr>
      <w:r>
        <w:rPr>
          <w:kern w:val="0"/>
        </w:rPr>
        <w:t>Abstract: This article addresses the issue of internationalization of social sciences by studying the evolution of production (of academic articles), collaboration and citations patterns among main world regions over the period 1980-2009 using the SSCI. The results confirm the centre-periphery model and indicate that the centrality of the two major regions that are North America and Europe is largely unchallenged, Europe having become more important and despite the growing development of Asian social sciences. The authors</w:t>
      </w:r>
      <w:r w:rsidR="0071223E">
        <w:rPr>
          <w:kern w:val="0"/>
        </w:rPr>
        <w:t>’</w:t>
      </w:r>
      <w:r>
        <w:rPr>
          <w:kern w:val="0"/>
        </w:rPr>
        <w:t xml:space="preserve"> quantitative approach shows that the growing production in the social sciences but also the rise of international collaborations between regions have not led to a more homogeneous circulation of the knowledge produced by different regions, or to a substantial increase in the visibility of the contributions produced by peripheral regions. Social scientists from peripheral </w:t>
      </w:r>
      <w:r>
        <w:rPr>
          <w:kern w:val="0"/>
        </w:rPr>
        <w:lastRenderedPageBreak/>
        <w:t>regions, while producing more papers in the core journals compiled by the SSCI, have a stronger tendency to cite journals from the two central regions, thus losing at least partially their more locally embedded references, and to collaborate more with western social scientists. In other words, the dynamic of internationalization of social science research may also lead to a phagocytosis of the periphery into the two major centers, which brings with it the danger of losing interest in the local objects specific to those peripheral regions.</w:t>
      </w:r>
    </w:p>
    <w:p w:rsidR="00115317" w:rsidRDefault="00115317" w:rsidP="00115317">
      <w:pPr>
        <w:pStyle w:val="a3"/>
        <w:rPr>
          <w:kern w:val="0"/>
        </w:rPr>
      </w:pPr>
      <w:r>
        <w:rPr>
          <w:kern w:val="0"/>
        </w:rPr>
        <w:t>Keywords: American, Analysis, Approach, Article, Articles, Asian, Authors, Bibliometrics, Centre-Periphery Model, Citations, Collaboration, Collaborations, Coverage, Databases, Development, Dynamic, Europe, Evidence, Evolution, Globalization, International, Internationalization, Journals, Knowledge, Lead, Local, Model, North, North America, Papers, Patterns, Peripheral, Periphery, Quantitative Analysis, Quantitative Studies, References, Research, Science, Science Research, Sciences, Scientific Output, Scientists, Si, Social, Social Sciences, Sociology, SSCI, Visibility, World</w:t>
      </w:r>
    </w:p>
    <w:p w:rsidR="009E1CAC" w:rsidRPr="001A3D2B" w:rsidRDefault="009E1CAC" w:rsidP="009E1CAC">
      <w:pPr>
        <w:pStyle w:val="1"/>
      </w:pPr>
      <w:r w:rsidRPr="001A3D2B">
        <w:br w:type="page"/>
      </w:r>
      <w:bookmarkStart w:id="496" w:name="_Toc420815166"/>
      <w:r w:rsidRPr="001A3D2B">
        <w:lastRenderedPageBreak/>
        <w:t xml:space="preserve">Title: </w:t>
      </w:r>
      <w:r w:rsidRPr="009E1CAC">
        <w:rPr>
          <w:iCs w:val="0"/>
        </w:rPr>
        <w:t>Current Stem Cell Research &amp; Therapy</w:t>
      </w:r>
      <w:bookmarkEnd w:id="496"/>
    </w:p>
    <w:p w:rsidR="009E1CAC" w:rsidRPr="001A3D2B" w:rsidRDefault="009E1CAC" w:rsidP="009E1CAC">
      <w:pPr>
        <w:pStyle w:val="12"/>
      </w:pPr>
      <w:r w:rsidRPr="001A3D2B">
        <w:t xml:space="preserve">Full Journal Title: </w:t>
      </w:r>
      <w:r w:rsidRPr="009E1CAC">
        <w:rPr>
          <w:iCs/>
          <w:kern w:val="0"/>
        </w:rPr>
        <w:t>Current Stem Cell Research &amp; Therapy</w:t>
      </w:r>
    </w:p>
    <w:p w:rsidR="009E1CAC" w:rsidRPr="001A3D2B" w:rsidRDefault="009E1CAC" w:rsidP="009E1CAC">
      <w:pPr>
        <w:pStyle w:val="12"/>
      </w:pPr>
      <w:r w:rsidRPr="001A3D2B">
        <w:t xml:space="preserve">ISO Abbreviated Title: </w:t>
      </w:r>
    </w:p>
    <w:p w:rsidR="009E1CAC" w:rsidRPr="001A3D2B" w:rsidRDefault="009E1CAC" w:rsidP="009E1CAC">
      <w:pPr>
        <w:pStyle w:val="12"/>
      </w:pPr>
      <w:r w:rsidRPr="001A3D2B">
        <w:t xml:space="preserve">JCR Abbreviated Title: </w:t>
      </w:r>
    </w:p>
    <w:p w:rsidR="009E1CAC" w:rsidRPr="001A3D2B" w:rsidRDefault="009E1CAC" w:rsidP="009E1CAC">
      <w:pPr>
        <w:pStyle w:val="12"/>
      </w:pPr>
      <w:r w:rsidRPr="001A3D2B">
        <w:t xml:space="preserve">ISSN: </w:t>
      </w:r>
    </w:p>
    <w:p w:rsidR="009E1CAC" w:rsidRPr="001A3D2B" w:rsidRDefault="009E1CAC" w:rsidP="009E1CAC">
      <w:pPr>
        <w:pStyle w:val="12"/>
      </w:pPr>
      <w:r w:rsidRPr="001A3D2B">
        <w:t xml:space="preserve">Issues/Year: </w:t>
      </w:r>
    </w:p>
    <w:p w:rsidR="009E1CAC" w:rsidRPr="001A3D2B" w:rsidRDefault="009E1CAC" w:rsidP="009E1CAC">
      <w:pPr>
        <w:pStyle w:val="12"/>
      </w:pPr>
      <w:r w:rsidRPr="001A3D2B">
        <w:t xml:space="preserve">Journal Country/Territory: </w:t>
      </w:r>
    </w:p>
    <w:p w:rsidR="009E1CAC" w:rsidRPr="001A3D2B" w:rsidRDefault="009E1CAC" w:rsidP="009E1CAC">
      <w:pPr>
        <w:pStyle w:val="12"/>
      </w:pPr>
      <w:r w:rsidRPr="001A3D2B">
        <w:t xml:space="preserve">Language: </w:t>
      </w:r>
    </w:p>
    <w:p w:rsidR="009E1CAC" w:rsidRPr="001A3D2B" w:rsidRDefault="009E1CAC" w:rsidP="009E1CAC">
      <w:pPr>
        <w:pStyle w:val="12"/>
      </w:pPr>
      <w:r w:rsidRPr="001A3D2B">
        <w:t xml:space="preserve">Publisher: </w:t>
      </w:r>
    </w:p>
    <w:p w:rsidR="009E1CAC" w:rsidRPr="001A3D2B" w:rsidRDefault="009E1CAC" w:rsidP="009E1CAC">
      <w:pPr>
        <w:pStyle w:val="12"/>
      </w:pPr>
      <w:r w:rsidRPr="001A3D2B">
        <w:t xml:space="preserve">Publisher Address: </w:t>
      </w:r>
    </w:p>
    <w:p w:rsidR="009E1CAC" w:rsidRPr="001A3D2B" w:rsidRDefault="009E1CAC" w:rsidP="009E1CAC">
      <w:pPr>
        <w:pStyle w:val="12"/>
      </w:pPr>
      <w:r w:rsidRPr="001A3D2B">
        <w:t>Subject Categories:</w:t>
      </w:r>
    </w:p>
    <w:p w:rsidR="009E1CAC" w:rsidRPr="001A3D2B" w:rsidRDefault="009E1CAC" w:rsidP="009E1CAC">
      <w:pPr>
        <w:pStyle w:val="12"/>
      </w:pPr>
      <w:r w:rsidRPr="001A3D2B">
        <w:t xml:space="preserve">: Impact Factor </w:t>
      </w:r>
    </w:p>
    <w:p w:rsidR="009E1CAC" w:rsidRDefault="009E1CAC" w:rsidP="009E1CAC">
      <w:pPr>
        <w:pStyle w:val="a3"/>
        <w:rPr>
          <w:kern w:val="0"/>
        </w:rPr>
      </w:pPr>
      <w:r>
        <w:rPr>
          <w:rFonts w:hint="eastAsia"/>
          <w:kern w:val="0"/>
        </w:rPr>
        <w:t xml:space="preserve">? </w:t>
      </w:r>
      <w:r>
        <w:rPr>
          <w:kern w:val="0"/>
        </w:rPr>
        <w:t xml:space="preserve">Caudwell, M., Crowley, C., Khan, W.S. and Wong, J.M.L. (2015), Systematic review of preclinical and clinical studies on scaffold use in knee ligament regeneration. </w:t>
      </w:r>
      <w:r w:rsidRPr="009E1CAC">
        <w:rPr>
          <w:i/>
          <w:iCs/>
          <w:kern w:val="0"/>
        </w:rPr>
        <w:t>Current Stem Cell Research &amp; Therapy</w:t>
      </w:r>
      <w:r>
        <w:rPr>
          <w:kern w:val="0"/>
        </w:rPr>
        <w:t xml:space="preserve">, </w:t>
      </w:r>
      <w:r>
        <w:rPr>
          <w:b/>
          <w:bCs/>
          <w:kern w:val="0"/>
        </w:rPr>
        <w:t>10</w:t>
      </w:r>
      <w:r>
        <w:rPr>
          <w:kern w:val="0"/>
        </w:rPr>
        <w:t xml:space="preserve"> (1), 11-18.</w:t>
      </w:r>
    </w:p>
    <w:p w:rsidR="009E1CAC" w:rsidRDefault="009E1CAC" w:rsidP="009E1CAC">
      <w:pPr>
        <w:pStyle w:val="a3"/>
        <w:rPr>
          <w:kern w:val="0"/>
        </w:rPr>
      </w:pPr>
      <w:r>
        <w:rPr>
          <w:rFonts w:hint="eastAsia"/>
          <w:kern w:val="0"/>
        </w:rPr>
        <w:t>Full Text: 2015\</w:t>
      </w:r>
      <w:r>
        <w:rPr>
          <w:iCs/>
          <w:kern w:val="0"/>
        </w:rPr>
        <w:t>Cur Ste Cel Res The</w:t>
      </w:r>
      <w:r w:rsidRPr="00516A45">
        <w:rPr>
          <w:bCs/>
          <w:kern w:val="0"/>
        </w:rPr>
        <w:t>10</w:t>
      </w:r>
      <w:r>
        <w:rPr>
          <w:kern w:val="0"/>
        </w:rPr>
        <w:t>, 11</w:t>
      </w:r>
      <w:r>
        <w:rPr>
          <w:rFonts w:hint="eastAsia"/>
          <w:kern w:val="0"/>
        </w:rPr>
        <w:t>.pdf</w:t>
      </w:r>
    </w:p>
    <w:p w:rsidR="009E1CAC" w:rsidRDefault="009E1CAC" w:rsidP="009E1CAC">
      <w:pPr>
        <w:pStyle w:val="a3"/>
        <w:rPr>
          <w:kern w:val="0"/>
        </w:rPr>
      </w:pPr>
      <w:r>
        <w:rPr>
          <w:kern w:val="0"/>
        </w:rPr>
        <w:t xml:space="preserve">Abstract: Background: The management and treatment of ligamentous injuries within an orthopaedic population has continued to evolve throughout the last several decades. Limitations with autograft, allograft and synthetics have led to research into tissue engineering using scaffolds and mesenchymal stem cells. Objectives: This systematic review aims to examine and summarise the pre clinical in-vivo studies and limited clinical studies on the use of scaffolds in the treatment of ligamentous injuries Data sources: Databases: PubMed, CINAHL, Web of science, Medline, Cochrane library and Embase. The following key words and search terms were used: scaffolds, ligament, mesenchymal stem cells, tissue engineering, clinical, and preclinical. Methods: A total of 118 articles were reviewed. 19 articles were identified as relevant for the purpose of this systematic literature review. An additional 2 articles were sourced from the reference list of reviewed articles. Results: Three tables of studies were constructed: pre clinical biological scaffolds, pre clinical synthetic scaffolds and clinical scaffolds. Conclusions: There is a large body of pre clinical evidence that the use of scaffolds combined with mesenchymal stem cells can be a viable option in the regeneration of ligamentous structures with biological and mechanical properties suitable for function. There is, however, limited clinical evidence supporting the use of recently developed scaffolds and historical evidence of synthetic scaffolds failing in the management of anterior cruciate ligament repairs. There appears to be no consensus in the literature as to the nature of the scaffold material that is most suitable for clinical trials. No randomised control trials have yet </w:t>
      </w:r>
      <w:r>
        <w:rPr>
          <w:kern w:val="0"/>
        </w:rPr>
        <w:lastRenderedPageBreak/>
        <w:t>been conducted.</w:t>
      </w:r>
    </w:p>
    <w:p w:rsidR="009E1CAC" w:rsidRDefault="009E1CAC" w:rsidP="009E1CAC">
      <w:pPr>
        <w:pStyle w:val="a3"/>
        <w:rPr>
          <w:kern w:val="0"/>
        </w:rPr>
      </w:pPr>
      <w:r>
        <w:rPr>
          <w:kern w:val="0"/>
        </w:rPr>
        <w:t>Keywords: Acl, Allograft, Anterior Cruciate Ligament, Articles, Autograft, Biological, Bone, Cells, Clinical, Clinical And Pre Clinical, Clinical Studies, Clinical Trials, Consensus, Constructed, Control, Data, Databases, Engineering, Evidence, Failure, From, Function, In Vivo, In-Vitro, Knee, Ligament, Literature, Literature Review, Management, Mechanical Properties, Medline, Mesenchymal Stem Cells, Methods, Plasma Scaffold, Population, Pre-Clinical, Primary Repair, Properties, Pubmed, Purpose, Randomised, Reconstruction, Reference, Regeneration, Replacement, Research, Results, Review, Scaffold, Scaffolds, Science, Sources, Stem Cells, Systematic, Systematic Literature Review, Systematic Review, Tissue Engineering, Treatment, Web, Web Of Science</w:t>
      </w:r>
    </w:p>
    <w:p w:rsidR="003474F2" w:rsidRPr="001A3D2B" w:rsidRDefault="003474F2" w:rsidP="003474F2">
      <w:pPr>
        <w:pStyle w:val="1"/>
      </w:pPr>
      <w:r w:rsidRPr="001A3D2B">
        <w:br w:type="page"/>
      </w:r>
      <w:bookmarkStart w:id="497" w:name="_Toc420815167"/>
      <w:r w:rsidRPr="001A3D2B">
        <w:lastRenderedPageBreak/>
        <w:t>Title: Current Surgery</w:t>
      </w:r>
      <w:bookmarkEnd w:id="497"/>
    </w:p>
    <w:p w:rsidR="003474F2" w:rsidRPr="001A3D2B" w:rsidRDefault="003474F2" w:rsidP="003474F2">
      <w:pPr>
        <w:pStyle w:val="12"/>
      </w:pPr>
      <w:r w:rsidRPr="001A3D2B">
        <w:t>Full Journal Title: Current Surgery</w:t>
      </w:r>
    </w:p>
    <w:p w:rsidR="003474F2" w:rsidRPr="001A3D2B" w:rsidRDefault="003474F2" w:rsidP="003474F2">
      <w:pPr>
        <w:pStyle w:val="12"/>
      </w:pPr>
      <w:r w:rsidRPr="001A3D2B">
        <w:t>ISO Abbreviated Tit</w:t>
      </w:r>
      <w:bookmarkStart w:id="498" w:name="_Toc43634568"/>
      <w:bookmarkStart w:id="499" w:name="_Toc81215693"/>
      <w:r w:rsidRPr="001A3D2B">
        <w:t xml:space="preserve">le: </w:t>
      </w:r>
    </w:p>
    <w:p w:rsidR="003474F2" w:rsidRPr="001A3D2B" w:rsidRDefault="003474F2" w:rsidP="003474F2">
      <w:pPr>
        <w:pStyle w:val="12"/>
      </w:pPr>
      <w:r w:rsidRPr="001A3D2B">
        <w:t>JCR Abbreviated T</w:t>
      </w:r>
      <w:bookmarkEnd w:id="498"/>
      <w:bookmarkEnd w:id="499"/>
      <w:r w:rsidRPr="001A3D2B">
        <w:t xml:space="preserve">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Schein, M., Paladugu, R., Sutija, V.G.</w:t>
      </w:r>
      <w:r w:rsidR="005853A9">
        <w:t xml:space="preserve"> and </w:t>
      </w:r>
      <w:r w:rsidRPr="001A3D2B">
        <w:t>Wise, L. (2000), What American surgeons read: A survey</w:t>
      </w:r>
      <w:r w:rsidR="00427468">
        <w:t xml:space="preserve"> of </w:t>
      </w:r>
      <w:r w:rsidRPr="001A3D2B">
        <w:t>a tho</w:t>
      </w:r>
      <w:r w:rsidR="00D5664A">
        <w:t>USA</w:t>
      </w:r>
      <w:r w:rsidRPr="001A3D2B">
        <w:t>nd Fellows</w:t>
      </w:r>
      <w:r w:rsidR="00427468">
        <w:t xml:space="preserve"> of </w:t>
      </w:r>
      <w:r w:rsidR="003A1917">
        <w:t xml:space="preserve">the </w:t>
      </w:r>
      <w:r w:rsidRPr="001A3D2B">
        <w:t>American College</w:t>
      </w:r>
      <w:r w:rsidR="00427468">
        <w:t xml:space="preserve"> of </w:t>
      </w:r>
      <w:r w:rsidRPr="001A3D2B">
        <w:t xml:space="preserve">Surgeons. </w:t>
      </w:r>
      <w:r w:rsidRPr="001A3D2B">
        <w:rPr>
          <w:i/>
          <w:iCs/>
        </w:rPr>
        <w:t>Current Surgery</w:t>
      </w:r>
      <w:r w:rsidRPr="001A3D2B">
        <w:t xml:space="preserve">, </w:t>
      </w:r>
      <w:r w:rsidRPr="001A3D2B">
        <w:rPr>
          <w:b/>
          <w:bCs/>
        </w:rPr>
        <w:t>57</w:t>
      </w:r>
      <w:r w:rsidRPr="001A3D2B">
        <w:t xml:space="preserve"> (3), 252-258.</w:t>
      </w:r>
    </w:p>
    <w:p w:rsidR="003474F2" w:rsidRPr="001A3D2B" w:rsidRDefault="003474F2" w:rsidP="003474F2">
      <w:pPr>
        <w:pStyle w:val="a3"/>
      </w:pPr>
      <w:r w:rsidRPr="001A3D2B">
        <w:t xml:space="preserve">Full Text: </w:t>
      </w:r>
      <w:hyperlink r:id="rId1238" w:history="1">
        <w:r w:rsidRPr="001A3D2B">
          <w:rPr>
            <w:rStyle w:val="a5"/>
          </w:rPr>
          <w:t>2000\Cur Sur57, 252.pdf</w:t>
        </w:r>
      </w:hyperlink>
    </w:p>
    <w:p w:rsidR="003474F2" w:rsidRPr="001A3D2B" w:rsidRDefault="003474F2" w:rsidP="003474F2">
      <w:pPr>
        <w:pStyle w:val="a3"/>
      </w:pPr>
      <w:r w:rsidRPr="001A3D2B">
        <w:t>Abstract: Purpose:</w:t>
      </w:r>
      <w:r w:rsidR="003A1917">
        <w:t xml:space="preserve"> the </w:t>
      </w:r>
      <w:r w:rsidRPr="001A3D2B">
        <w:t>modern American surgeon is immersed in an ever-deepening sea</w:t>
      </w:r>
      <w:r w:rsidR="00427468">
        <w:t xml:space="preserve"> of </w:t>
      </w:r>
      <w:r w:rsidRPr="001A3D2B">
        <w:t>printed</w:t>
      </w:r>
      <w:r w:rsidR="005853A9">
        <w:t xml:space="preserve"> and </w:t>
      </w:r>
      <w:r w:rsidRPr="001A3D2B">
        <w:t>electronic information. Although publishers know how many books</w:t>
      </w:r>
      <w:r w:rsidR="005853A9">
        <w:t xml:space="preserve"> and </w:t>
      </w:r>
      <w:r w:rsidRPr="001A3D2B">
        <w:t>journals they sell,</w:t>
      </w:r>
      <w:r w:rsidR="005853A9">
        <w:t xml:space="preserve"> and </w:t>
      </w:r>
      <w:r w:rsidRPr="001A3D2B">
        <w:t xml:space="preserve">journals can quote their calculated impact factor, no information exists whatsoever about what surgeons read. Which surgical journals are </w:t>
      </w:r>
      <w:r w:rsidR="0071223E">
        <w:t>‘</w:t>
      </w:r>
      <w:r w:rsidRPr="001A3D2B">
        <w:t>popular,</w:t>
      </w:r>
      <w:r w:rsidR="0071223E">
        <w:t>’</w:t>
      </w:r>
      <w:r w:rsidR="005853A9">
        <w:t xml:space="preserve"> and </w:t>
      </w:r>
      <w:r w:rsidRPr="001A3D2B">
        <w:t>how does it compare with their impact factor (IF)? Our objective was to assess</w:t>
      </w:r>
      <w:r w:rsidR="003A1917">
        <w:t xml:space="preserve"> the </w:t>
      </w:r>
      <w:r w:rsidRPr="001A3D2B">
        <w:t>sources</w:t>
      </w:r>
      <w:r w:rsidR="00427468">
        <w:t xml:space="preserve"> of </w:t>
      </w:r>
      <w:r w:rsidRPr="001A3D2B">
        <w:t>information</w:t>
      </w:r>
      <w:r w:rsidR="005853A9">
        <w:t xml:space="preserve"> and </w:t>
      </w:r>
      <w:r w:rsidRPr="001A3D2B">
        <w:t>reading habits</w:t>
      </w:r>
      <w:r w:rsidR="00427468">
        <w:t xml:space="preserve"> of </w:t>
      </w:r>
      <w:r w:rsidRPr="001A3D2B">
        <w:t>American surgeons</w:t>
      </w:r>
      <w:r w:rsidR="005853A9">
        <w:t xml:space="preserve"> and </w:t>
      </w:r>
      <w:r w:rsidRPr="001A3D2B">
        <w:t>to compare</w:t>
      </w:r>
      <w:r w:rsidR="003A1917">
        <w:t xml:space="preserve"> the </w:t>
      </w:r>
      <w:r w:rsidR="0071223E">
        <w:t>‘</w:t>
      </w:r>
      <w:r w:rsidRPr="001A3D2B">
        <w:t>popularity</w:t>
      </w:r>
      <w:r w:rsidR="0071223E">
        <w:t>’</w:t>
      </w:r>
      <w:r w:rsidR="00427468">
        <w:t xml:space="preserve"> of </w:t>
      </w:r>
      <w:r w:rsidRPr="001A3D2B">
        <w:t>journals with their IFs.</w:t>
      </w:r>
    </w:p>
    <w:p w:rsidR="003474F2" w:rsidRPr="001A3D2B" w:rsidRDefault="003474F2" w:rsidP="003474F2">
      <w:pPr>
        <w:pStyle w:val="a3"/>
      </w:pPr>
      <w:r w:rsidRPr="001A3D2B">
        <w:t>Methods: A questionnaire was mailed to 1000 American surgeons, randomly selected from a list provided by</w:t>
      </w:r>
      <w:r w:rsidR="003A1917">
        <w:t xml:space="preserve"> the </w:t>
      </w:r>
      <w:r w:rsidRPr="001A3D2B">
        <w:t>American College</w:t>
      </w:r>
      <w:r w:rsidR="00427468">
        <w:t xml:space="preserve"> of </w:t>
      </w:r>
      <w:r w:rsidRPr="001A3D2B">
        <w:t>Surgeons.</w:t>
      </w:r>
    </w:p>
    <w:p w:rsidR="003474F2" w:rsidRPr="001A3D2B" w:rsidRDefault="003474F2" w:rsidP="003474F2">
      <w:pPr>
        <w:pStyle w:val="a3"/>
      </w:pPr>
      <w:r w:rsidRPr="001A3D2B">
        <w:t>Results: A total</w:t>
      </w:r>
      <w:r w:rsidR="00427468">
        <w:t xml:space="preserve"> of </w:t>
      </w:r>
      <w:r w:rsidRPr="001A3D2B">
        <w:t>418 surgeons responded,</w:t>
      </w:r>
      <w:r w:rsidR="005853A9">
        <w:t xml:space="preserve"> and </w:t>
      </w:r>
      <w:r w:rsidRPr="001A3D2B">
        <w:t>371 responses could be analyzed (37%)</w:t>
      </w:r>
      <w:r w:rsidR="00A37C1D">
        <w:t>. The</w:t>
      </w:r>
      <w:r w:rsidR="003A1917">
        <w:t xml:space="preserve"> </w:t>
      </w:r>
      <w:r w:rsidRPr="001A3D2B">
        <w:t>leading sources</w:t>
      </w:r>
      <w:r w:rsidR="00427468">
        <w:t xml:space="preserve"> of </w:t>
      </w:r>
      <w:r w:rsidRPr="001A3D2B">
        <w:t>medical information were medical literature (93%), professional meetings (88%),</w:t>
      </w:r>
      <w:r w:rsidR="005853A9">
        <w:t xml:space="preserve"> and </w:t>
      </w:r>
      <w:r w:rsidRPr="001A3D2B">
        <w:t>CME courses (69%)</w:t>
      </w:r>
      <w:r w:rsidR="00A37C1D">
        <w:t>. The</w:t>
      </w:r>
      <w:r w:rsidR="003A1917">
        <w:t xml:space="preserve"> </w:t>
      </w:r>
      <w:r w:rsidRPr="001A3D2B">
        <w:t>average time per surgeon/month dedicated to medical literature was 14 hours (range, 1 to 120). Peer-reviewed journals were read by 95%, textbooks by 68%,</w:t>
      </w:r>
      <w:r w:rsidR="005853A9">
        <w:t xml:space="preserve"> and </w:t>
      </w:r>
      <w:r w:rsidRPr="001A3D2B">
        <w:t>update series by 60%</w:t>
      </w:r>
      <w:r w:rsidR="00427468">
        <w:t xml:space="preserve"> of </w:t>
      </w:r>
      <w:r w:rsidR="003A1917">
        <w:t xml:space="preserve">the </w:t>
      </w:r>
      <w:r w:rsidRPr="001A3D2B">
        <w:t>respondents</w:t>
      </w:r>
      <w:r w:rsidR="00A37C1D">
        <w:t>. The</w:t>
      </w:r>
      <w:r w:rsidR="003A1917">
        <w:t xml:space="preserve"> </w:t>
      </w:r>
      <w:r w:rsidRPr="001A3D2B">
        <w:t xml:space="preserve">three most popular surgical journals were </w:t>
      </w:r>
      <w:r w:rsidRPr="001A3D2B">
        <w:rPr>
          <w:i/>
          <w:iCs/>
        </w:rPr>
        <w:t>Annals</w:t>
      </w:r>
      <w:r w:rsidR="00427468">
        <w:rPr>
          <w:i/>
          <w:iCs/>
        </w:rPr>
        <w:t xml:space="preserve"> of </w:t>
      </w:r>
      <w:r w:rsidRPr="001A3D2B">
        <w:rPr>
          <w:i/>
          <w:iCs/>
        </w:rPr>
        <w:t>Surgery</w:t>
      </w:r>
      <w:r w:rsidRPr="001A3D2B">
        <w:t xml:space="preserve"> (IF, 5.40), selected by 60%; </w:t>
      </w:r>
      <w:r w:rsidRPr="001A3D2B">
        <w:rPr>
          <w:i/>
          <w:iCs/>
        </w:rPr>
        <w:t>Journal</w:t>
      </w:r>
      <w:r w:rsidR="00427468">
        <w:rPr>
          <w:i/>
          <w:iCs/>
        </w:rPr>
        <w:t xml:space="preserve"> of </w:t>
      </w:r>
      <w:r w:rsidR="003A1917">
        <w:rPr>
          <w:i/>
          <w:iCs/>
        </w:rPr>
        <w:t xml:space="preserve">the </w:t>
      </w:r>
      <w:r w:rsidRPr="001A3D2B">
        <w:rPr>
          <w:i/>
          <w:iCs/>
        </w:rPr>
        <w:t>American College</w:t>
      </w:r>
      <w:r w:rsidR="00427468">
        <w:rPr>
          <w:i/>
          <w:iCs/>
        </w:rPr>
        <w:t xml:space="preserve"> of </w:t>
      </w:r>
      <w:r w:rsidRPr="001A3D2B">
        <w:rPr>
          <w:i/>
          <w:iCs/>
        </w:rPr>
        <w:t>Surgery</w:t>
      </w:r>
      <w:r w:rsidRPr="001A3D2B">
        <w:t xml:space="preserve"> (IF, 1.87), selected by 48%;</w:t>
      </w:r>
      <w:r w:rsidR="005853A9">
        <w:t xml:space="preserve"> and </w:t>
      </w:r>
      <w:r w:rsidRPr="001A3D2B">
        <w:rPr>
          <w:i/>
          <w:iCs/>
        </w:rPr>
        <w:t>Archives</w:t>
      </w:r>
      <w:r w:rsidR="00427468">
        <w:rPr>
          <w:i/>
          <w:iCs/>
        </w:rPr>
        <w:t xml:space="preserve"> of </w:t>
      </w:r>
      <w:r w:rsidRPr="001A3D2B">
        <w:rPr>
          <w:i/>
          <w:iCs/>
        </w:rPr>
        <w:t>Surgery</w:t>
      </w:r>
      <w:r w:rsidRPr="001A3D2B">
        <w:t xml:space="preserve"> (IF, 2.53), selected by 36%</w:t>
      </w:r>
      <w:r w:rsidR="00A37C1D">
        <w:t>. The</w:t>
      </w:r>
      <w:r w:rsidR="003A1917">
        <w:t xml:space="preserve"> </w:t>
      </w:r>
      <w:r w:rsidRPr="001A3D2B">
        <w:t xml:space="preserve">most popular subspecialty journals were </w:t>
      </w:r>
      <w:r w:rsidRPr="001A3D2B">
        <w:rPr>
          <w:i/>
          <w:iCs/>
        </w:rPr>
        <w:t>Cancer</w:t>
      </w:r>
      <w:r w:rsidRPr="001A3D2B">
        <w:t xml:space="preserve"> (IF, 3.66), selected by 31%; </w:t>
      </w:r>
      <w:r w:rsidRPr="001A3D2B">
        <w:rPr>
          <w:i/>
          <w:iCs/>
        </w:rPr>
        <w:t>Critical Care Medicine</w:t>
      </w:r>
      <w:r w:rsidRPr="001A3D2B">
        <w:t xml:space="preserve"> (IF, 3.74), selected by 17%;</w:t>
      </w:r>
      <w:r w:rsidR="005853A9">
        <w:t xml:space="preserve"> and </w:t>
      </w:r>
      <w:r w:rsidRPr="001A3D2B">
        <w:rPr>
          <w:i/>
          <w:iCs/>
        </w:rPr>
        <w:t>Gastroenterology</w:t>
      </w:r>
      <w:r w:rsidRPr="001A3D2B">
        <w:t xml:space="preserve"> (IF, 10.33), selected by 12%</w:t>
      </w:r>
      <w:r w:rsidR="00A37C1D">
        <w:t>. The</w:t>
      </w:r>
      <w:r w:rsidR="003A1917">
        <w:t xml:space="preserve"> </w:t>
      </w:r>
      <w:r w:rsidRPr="001A3D2B">
        <w:rPr>
          <w:i/>
          <w:iCs/>
        </w:rPr>
        <w:t>New England Journal</w:t>
      </w:r>
      <w:r w:rsidR="00427468">
        <w:rPr>
          <w:i/>
          <w:iCs/>
        </w:rPr>
        <w:t xml:space="preserve"> of </w:t>
      </w:r>
      <w:r w:rsidRPr="001A3D2B">
        <w:rPr>
          <w:i/>
          <w:iCs/>
        </w:rPr>
        <w:t>Medicine</w:t>
      </w:r>
      <w:r w:rsidRPr="001A3D2B">
        <w:t xml:space="preserve"> (IF, 28.66), selected by 67%,</w:t>
      </w:r>
      <w:r w:rsidR="005853A9">
        <w:t xml:space="preserve"> and </w:t>
      </w:r>
      <w:r w:rsidR="003A1917">
        <w:t xml:space="preserve">the </w:t>
      </w:r>
      <w:r w:rsidRPr="001A3D2B">
        <w:rPr>
          <w:i/>
          <w:iCs/>
        </w:rPr>
        <w:t>Journal</w:t>
      </w:r>
      <w:r w:rsidR="00427468">
        <w:rPr>
          <w:i/>
          <w:iCs/>
        </w:rPr>
        <w:t xml:space="preserve"> of </w:t>
      </w:r>
      <w:r w:rsidR="003A1917">
        <w:rPr>
          <w:i/>
          <w:iCs/>
        </w:rPr>
        <w:t xml:space="preserve">the </w:t>
      </w:r>
      <w:r w:rsidRPr="001A3D2B">
        <w:rPr>
          <w:i/>
          <w:iCs/>
        </w:rPr>
        <w:t>American Medical Association</w:t>
      </w:r>
      <w:r w:rsidRPr="001A3D2B">
        <w:t xml:space="preserve"> (IF, 9.55), selected by 66%, </w:t>
      </w:r>
      <w:r w:rsidRPr="001A3D2B">
        <w:lastRenderedPageBreak/>
        <w:t>were</w:t>
      </w:r>
      <w:r w:rsidR="003A1917">
        <w:t xml:space="preserve"> the </w:t>
      </w:r>
      <w:r w:rsidRPr="001A3D2B">
        <w:t xml:space="preserve">most popular general medical journals, followed by </w:t>
      </w:r>
      <w:r w:rsidRPr="001A3D2B">
        <w:rPr>
          <w:i/>
          <w:iCs/>
        </w:rPr>
        <w:t>Mayo Clinic Proceedings</w:t>
      </w:r>
      <w:r w:rsidRPr="001A3D2B">
        <w:t xml:space="preserve"> (IF, 1.98), selected by 16%. Among</w:t>
      </w:r>
      <w:r w:rsidR="003A1917">
        <w:t xml:space="preserve"> the </w:t>
      </w:r>
      <w:r w:rsidR="0071223E">
        <w:t>‘</w:t>
      </w:r>
      <w:r w:rsidRPr="001A3D2B">
        <w:t>leaders</w:t>
      </w:r>
      <w:r w:rsidR="0071223E">
        <w:t>’</w:t>
      </w:r>
      <w:r w:rsidRPr="001A3D2B">
        <w:t xml:space="preserve"> on</w:t>
      </w:r>
      <w:r w:rsidR="003A1917">
        <w:t xml:space="preserve"> the </w:t>
      </w:r>
      <w:r w:rsidRPr="001A3D2B">
        <w:t>IF list for international, British medical</w:t>
      </w:r>
      <w:r w:rsidR="005853A9">
        <w:t xml:space="preserve"> and </w:t>
      </w:r>
      <w:r w:rsidRPr="001A3D2B">
        <w:t xml:space="preserve">surgical journals were </w:t>
      </w:r>
      <w:r w:rsidRPr="001A3D2B">
        <w:rPr>
          <w:i/>
          <w:iCs/>
        </w:rPr>
        <w:t>Lancet</w:t>
      </w:r>
      <w:r w:rsidRPr="001A3D2B">
        <w:t xml:space="preserve"> (IF, 11.79), selected by 5%,</w:t>
      </w:r>
      <w:r w:rsidR="005853A9">
        <w:t xml:space="preserve"> and </w:t>
      </w:r>
      <w:r w:rsidRPr="001A3D2B">
        <w:rPr>
          <w:i/>
          <w:iCs/>
        </w:rPr>
        <w:t>British JournaL</w:t>
      </w:r>
      <w:r w:rsidR="00427468">
        <w:rPr>
          <w:i/>
          <w:iCs/>
        </w:rPr>
        <w:t xml:space="preserve"> of </w:t>
      </w:r>
      <w:r w:rsidRPr="001A3D2B">
        <w:rPr>
          <w:i/>
          <w:iCs/>
        </w:rPr>
        <w:t>Surgery</w:t>
      </w:r>
      <w:r w:rsidRPr="001A3D2B">
        <w:t xml:space="preserve"> (IF, 2.38), selected by 0.5%</w:t>
      </w:r>
      <w:r w:rsidR="00427468">
        <w:t xml:space="preserve"> of </w:t>
      </w:r>
      <w:r w:rsidR="003A1917">
        <w:t xml:space="preserve">the </w:t>
      </w:r>
      <w:r w:rsidRPr="001A3D2B">
        <w:t>respondents.</w:t>
      </w:r>
    </w:p>
    <w:p w:rsidR="003474F2" w:rsidRPr="001A3D2B" w:rsidRDefault="003474F2" w:rsidP="003474F2">
      <w:pPr>
        <w:pStyle w:val="a3"/>
      </w:pPr>
      <w:r w:rsidRPr="001A3D2B">
        <w:t>Conclusions: Those American surgeons responding consider published literature as their chief source</w:t>
      </w:r>
      <w:r w:rsidR="00427468">
        <w:t xml:space="preserve"> of </w:t>
      </w:r>
      <w:r w:rsidRPr="001A3D2B">
        <w:t>information, especially peer-reviewed journals. Overall, they ignore non–United States publications</w:t>
      </w:r>
      <w:r w:rsidR="005853A9">
        <w:t xml:space="preserve"> and </w:t>
      </w:r>
      <w:r w:rsidRPr="001A3D2B">
        <w:t>select</w:t>
      </w:r>
      <w:r w:rsidR="003A1917">
        <w:t xml:space="preserve"> the </w:t>
      </w:r>
      <w:r w:rsidRPr="001A3D2B">
        <w:t>journals they read without considering its IF.</w:t>
      </w:r>
    </w:p>
    <w:p w:rsidR="003474F2" w:rsidRPr="001A3D2B" w:rsidRDefault="003474F2" w:rsidP="003474F2">
      <w:pPr>
        <w:pStyle w:val="a3"/>
      </w:pPr>
      <w:r w:rsidRPr="001A3D2B">
        <w:t>Keywords: CME, Surgical Education, Surgical Literature, Impact Factor, Surgical Journals</w:t>
      </w:r>
    </w:p>
    <w:p w:rsidR="003474F2" w:rsidRPr="001A3D2B" w:rsidRDefault="003474F2" w:rsidP="003474F2">
      <w:pPr>
        <w:pStyle w:val="1"/>
      </w:pPr>
      <w:r w:rsidRPr="001A3D2B">
        <w:br w:type="page"/>
      </w:r>
      <w:bookmarkStart w:id="500" w:name="_Toc420815168"/>
      <w:r w:rsidRPr="001A3D2B">
        <w:lastRenderedPageBreak/>
        <w:t>Title: Current Therapeutic Research-Clinical</w:t>
      </w:r>
      <w:r w:rsidR="005853A9">
        <w:t xml:space="preserve"> and </w:t>
      </w:r>
      <w:r w:rsidRPr="001A3D2B">
        <w:t>Experimental</w:t>
      </w:r>
      <w:bookmarkEnd w:id="500"/>
    </w:p>
    <w:p w:rsidR="003C754E" w:rsidRPr="00C73C58" w:rsidRDefault="003C754E" w:rsidP="003C754E">
      <w:pPr>
        <w:pStyle w:val="12"/>
      </w:pPr>
      <w:r w:rsidRPr="00C73C58">
        <w:t>Full Journal Tit</w:t>
      </w:r>
      <w:bookmarkStart w:id="501" w:name="_Toc81215694"/>
      <w:r w:rsidRPr="00C73C58">
        <w:t xml:space="preserve">le: </w:t>
      </w:r>
      <w:r w:rsidR="00DF61FE">
        <w:fldChar w:fldCharType="begin"/>
      </w:r>
      <w:r w:rsidR="00FD158B">
        <w:instrText>HYPERLINK "http://www.sciencedirect.com/science/journal/</w:instrText>
      </w:r>
      <w:bookmarkEnd w:id="501"/>
      <w:r w:rsidR="00FD158B">
        <w:instrText>0011393X"</w:instrText>
      </w:r>
      <w:r w:rsidR="00DF61FE">
        <w:fldChar w:fldCharType="separate"/>
      </w:r>
      <w:r w:rsidRPr="0047115B">
        <w:rPr>
          <w:rStyle w:val="a5"/>
        </w:rPr>
        <w:t>Current Therapeutic Research-Clinical</w:t>
      </w:r>
      <w:r w:rsidR="005853A9">
        <w:rPr>
          <w:rStyle w:val="a5"/>
        </w:rPr>
        <w:t xml:space="preserve"> and </w:t>
      </w:r>
      <w:r w:rsidRPr="0047115B">
        <w:rPr>
          <w:rStyle w:val="a5"/>
        </w:rPr>
        <w:t>Experimental</w:t>
      </w:r>
      <w:r w:rsidR="00DF61FE">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0011-393X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Windsor, D.A. (1975), Levodopa - Bibliometric differences before</w:t>
      </w:r>
      <w:r w:rsidR="005853A9">
        <w:t xml:space="preserve"> and </w:t>
      </w:r>
      <w:r w:rsidRPr="001A3D2B">
        <w:t xml:space="preserve">after NDA approval. </w:t>
      </w:r>
      <w:r w:rsidRPr="001A3D2B">
        <w:rPr>
          <w:i/>
          <w:iCs/>
        </w:rPr>
        <w:t>Current Therapeutic Research-Clinical</w:t>
      </w:r>
      <w:r w:rsidR="005853A9">
        <w:rPr>
          <w:i/>
          <w:iCs/>
        </w:rPr>
        <w:t xml:space="preserve"> and </w:t>
      </w:r>
      <w:r w:rsidRPr="001A3D2B">
        <w:rPr>
          <w:i/>
          <w:iCs/>
        </w:rPr>
        <w:t>Experimental</w:t>
      </w:r>
      <w:r w:rsidRPr="001A3D2B">
        <w:t xml:space="preserve">, </w:t>
      </w:r>
      <w:r w:rsidRPr="001A3D2B">
        <w:rPr>
          <w:b/>
        </w:rPr>
        <w:t>18</w:t>
      </w:r>
      <w:r w:rsidRPr="001A3D2B">
        <w:t xml:space="preserve"> (3), 521-524.</w:t>
      </w:r>
    </w:p>
    <w:p w:rsidR="00FB195A" w:rsidRDefault="00FB195A" w:rsidP="00FB195A">
      <w:pPr>
        <w:pStyle w:val="a3"/>
        <w:rPr>
          <w:kern w:val="0"/>
        </w:rPr>
      </w:pPr>
      <w:r>
        <w:rPr>
          <w:rFonts w:hint="eastAsia"/>
          <w:kern w:val="0"/>
        </w:rPr>
        <w:t xml:space="preserve">? </w:t>
      </w:r>
      <w:r>
        <w:rPr>
          <w:kern w:val="0"/>
        </w:rPr>
        <w:t>Zhong, Y.Q., Fu, J.J., Liu, X.M., Diao, X., Mao, B., Fan, T., Yang, H.M., Liu, G.J.</w:t>
      </w:r>
      <w:r w:rsidR="005853A9">
        <w:rPr>
          <w:kern w:val="0"/>
        </w:rPr>
        <w:t xml:space="preserve"> and </w:t>
      </w:r>
      <w:r>
        <w:rPr>
          <w:kern w:val="0"/>
        </w:rPr>
        <w:t>Zhang, W.B. (2010</w:t>
      </w:r>
      <w:r w:rsidR="00F42EAC">
        <w:rPr>
          <w:kern w:val="0"/>
        </w:rPr>
        <w:t>), The</w:t>
      </w:r>
      <w:r w:rsidR="003A1917">
        <w:rPr>
          <w:kern w:val="0"/>
        </w:rPr>
        <w:t xml:space="preserve"> </w:t>
      </w:r>
      <w:r>
        <w:rPr>
          <w:kern w:val="0"/>
        </w:rPr>
        <w:t>reporting quality, scientific rigor,</w:t>
      </w:r>
      <w:r w:rsidR="005853A9">
        <w:rPr>
          <w:kern w:val="0"/>
        </w:rPr>
        <w:t xml:space="preserve"> and </w:t>
      </w:r>
      <w:r>
        <w:rPr>
          <w:kern w:val="0"/>
        </w:rPr>
        <w:t>ethics</w:t>
      </w:r>
      <w:r w:rsidR="00427468">
        <w:rPr>
          <w:kern w:val="0"/>
        </w:rPr>
        <w:t xml:space="preserve"> of </w:t>
      </w:r>
      <w:r>
        <w:rPr>
          <w:kern w:val="0"/>
        </w:rPr>
        <w:t>randomized placebo-controlled trials</w:t>
      </w:r>
      <w:r w:rsidR="00427468">
        <w:rPr>
          <w:kern w:val="0"/>
        </w:rPr>
        <w:t xml:space="preserve"> of </w:t>
      </w:r>
      <w:r>
        <w:rPr>
          <w:kern w:val="0"/>
        </w:rPr>
        <w:t>traditional Chinese medicine compound formulations</w:t>
      </w:r>
      <w:r w:rsidR="005853A9">
        <w:rPr>
          <w:kern w:val="0"/>
        </w:rPr>
        <w:t xml:space="preserve"> and </w:t>
      </w:r>
      <w:r w:rsidR="003A1917">
        <w:rPr>
          <w:kern w:val="0"/>
        </w:rPr>
        <w:t xml:space="preserve">the </w:t>
      </w:r>
      <w:r>
        <w:rPr>
          <w:kern w:val="0"/>
        </w:rPr>
        <w:t>differences between Chinese</w:t>
      </w:r>
      <w:r w:rsidR="005853A9">
        <w:rPr>
          <w:kern w:val="0"/>
        </w:rPr>
        <w:t xml:space="preserve"> and </w:t>
      </w:r>
      <w:r>
        <w:rPr>
          <w:kern w:val="0"/>
        </w:rPr>
        <w:t xml:space="preserve">non-Chinese trials. </w:t>
      </w:r>
      <w:r>
        <w:rPr>
          <w:i/>
          <w:iCs/>
          <w:kern w:val="0"/>
        </w:rPr>
        <w:t>Current Therapeutic Research-Clinical</w:t>
      </w:r>
      <w:r w:rsidR="005853A9">
        <w:rPr>
          <w:i/>
          <w:iCs/>
          <w:kern w:val="0"/>
        </w:rPr>
        <w:t xml:space="preserve"> and </w:t>
      </w:r>
      <w:r>
        <w:rPr>
          <w:i/>
          <w:iCs/>
          <w:kern w:val="0"/>
        </w:rPr>
        <w:t>Experimental</w:t>
      </w:r>
      <w:r>
        <w:rPr>
          <w:kern w:val="0"/>
        </w:rPr>
        <w:t xml:space="preserve">, </w:t>
      </w:r>
      <w:r>
        <w:rPr>
          <w:b/>
          <w:bCs/>
          <w:kern w:val="0"/>
        </w:rPr>
        <w:t>71</w:t>
      </w:r>
      <w:r>
        <w:rPr>
          <w:kern w:val="0"/>
        </w:rPr>
        <w:t xml:space="preserve"> (1), 30-49.</w:t>
      </w:r>
    </w:p>
    <w:p w:rsidR="003C754E" w:rsidRDefault="003C754E" w:rsidP="003C754E">
      <w:pPr>
        <w:pStyle w:val="a3"/>
        <w:rPr>
          <w:kern w:val="0"/>
        </w:rPr>
      </w:pPr>
      <w:r>
        <w:rPr>
          <w:rFonts w:hint="eastAsia"/>
          <w:kern w:val="0"/>
        </w:rPr>
        <w:t xml:space="preserve">Full Text: </w:t>
      </w:r>
      <w:hyperlink r:id="rId1239" w:history="1">
        <w:r w:rsidRPr="004D189F">
          <w:rPr>
            <w:rStyle w:val="a5"/>
            <w:kern w:val="0"/>
          </w:rPr>
          <w:t>2010\Cur</w:t>
        </w:r>
        <w:r w:rsidR="003A1917">
          <w:rPr>
            <w:rStyle w:val="a5"/>
            <w:kern w:val="0"/>
          </w:rPr>
          <w:t xml:space="preserve"> the </w:t>
        </w:r>
        <w:r w:rsidRPr="004D189F">
          <w:rPr>
            <w:rStyle w:val="a5"/>
            <w:kern w:val="0"/>
          </w:rPr>
          <w:t>Res-Clin Exp71, 30.pdf</w:t>
        </w:r>
      </w:hyperlink>
    </w:p>
    <w:p w:rsidR="003C754E" w:rsidRDefault="003C754E" w:rsidP="003C754E">
      <w:pPr>
        <w:pStyle w:val="a3"/>
        <w:rPr>
          <w:kern w:val="0"/>
        </w:rPr>
      </w:pPr>
      <w:r>
        <w:rPr>
          <w:kern w:val="0"/>
        </w:rPr>
        <w:t>Abstract: BACKGROUND: An increasing number</w:t>
      </w:r>
      <w:r w:rsidR="00427468">
        <w:rPr>
          <w:kern w:val="0"/>
        </w:rPr>
        <w:t xml:space="preserve"> of </w:t>
      </w:r>
      <w:r>
        <w:rPr>
          <w:kern w:val="0"/>
        </w:rPr>
        <w:t>randomized placebo-con trolled trials involving traditional Chinese medicine (TCM) compound formulations have been implemented worldwide. OBJECTIVE:</w:t>
      </w:r>
      <w:r w:rsidR="003A1917">
        <w:rPr>
          <w:kern w:val="0"/>
        </w:rPr>
        <w:t xml:space="preserve"> the </w:t>
      </w:r>
      <w:r>
        <w:rPr>
          <w:kern w:val="0"/>
        </w:rPr>
        <w:t>aim</w:t>
      </w:r>
      <w:r w:rsidR="00427468">
        <w:rPr>
          <w:kern w:val="0"/>
        </w:rPr>
        <w:t xml:space="preserve"> of </w:t>
      </w:r>
      <w:r>
        <w:rPr>
          <w:kern w:val="0"/>
        </w:rPr>
        <w:t>this study was to assess</w:t>
      </w:r>
      <w:r w:rsidR="003A1917">
        <w:rPr>
          <w:kern w:val="0"/>
        </w:rPr>
        <w:t xml:space="preserve"> the </w:t>
      </w:r>
      <w:r>
        <w:rPr>
          <w:kern w:val="0"/>
        </w:rPr>
        <w:t>reporting quality, scientific rigor,</w:t>
      </w:r>
      <w:r w:rsidR="005853A9">
        <w:rPr>
          <w:kern w:val="0"/>
        </w:rPr>
        <w:t xml:space="preserve"> and </w:t>
      </w:r>
      <w:r>
        <w:rPr>
          <w:kern w:val="0"/>
        </w:rPr>
        <w:t>ethics</w:t>
      </w:r>
      <w:r w:rsidR="00427468">
        <w:rPr>
          <w:kern w:val="0"/>
        </w:rPr>
        <w:t xml:space="preserve"> of </w:t>
      </w:r>
      <w:r>
        <w:rPr>
          <w:kern w:val="0"/>
        </w:rPr>
        <w:t>randomized placebo-controlled trials</w:t>
      </w:r>
      <w:r w:rsidR="00427468">
        <w:rPr>
          <w:kern w:val="0"/>
        </w:rPr>
        <w:t xml:space="preserve"> of </w:t>
      </w:r>
      <w:r>
        <w:rPr>
          <w:kern w:val="0"/>
        </w:rPr>
        <w:t>TCM compound formulations</w:t>
      </w:r>
      <w:r w:rsidR="005853A9">
        <w:rPr>
          <w:kern w:val="0"/>
        </w:rPr>
        <w:t xml:space="preserve"> and </w:t>
      </w:r>
      <w:r>
        <w:rPr>
          <w:kern w:val="0"/>
        </w:rPr>
        <w:t>compare these differences between Chinese</w:t>
      </w:r>
      <w:r w:rsidR="005853A9">
        <w:rPr>
          <w:kern w:val="0"/>
        </w:rPr>
        <w:t xml:space="preserve"> and </w:t>
      </w:r>
      <w:r>
        <w:rPr>
          <w:kern w:val="0"/>
        </w:rPr>
        <w:t>non-Chinese trials. METHODS: English-language databases included</w:t>
      </w:r>
      <w:r w:rsidR="003A1917">
        <w:rPr>
          <w:kern w:val="0"/>
        </w:rPr>
        <w:t xml:space="preserve"> the </w:t>
      </w:r>
      <w:r>
        <w:rPr>
          <w:kern w:val="0"/>
        </w:rPr>
        <w:t xml:space="preserve">following: </w:t>
      </w:r>
      <w:r w:rsidR="002C12F0">
        <w:rPr>
          <w:kern w:val="0"/>
        </w:rPr>
        <w:t>PUBMED</w:t>
      </w:r>
      <w:r>
        <w:rPr>
          <w:kern w:val="0"/>
        </w:rPr>
        <w:t>, OVID, EMBASE,</w:t>
      </w:r>
      <w:r w:rsidR="005853A9">
        <w:rPr>
          <w:kern w:val="0"/>
        </w:rPr>
        <w:t xml:space="preserve"> and </w:t>
      </w:r>
      <w:r>
        <w:rPr>
          <w:kern w:val="0"/>
        </w:rPr>
        <w:t>Science Citation Index Expanded. Chinese-language databases included</w:t>
      </w:r>
      <w:r w:rsidR="003A1917">
        <w:rPr>
          <w:kern w:val="0"/>
        </w:rPr>
        <w:t xml:space="preserve"> the </w:t>
      </w:r>
      <w:r>
        <w:rPr>
          <w:kern w:val="0"/>
        </w:rPr>
        <w:t>following: Chinese Biomedical Literature Database, Wanfang Database, Chinese Scientific</w:t>
      </w:r>
      <w:r w:rsidR="005853A9">
        <w:rPr>
          <w:kern w:val="0"/>
        </w:rPr>
        <w:t xml:space="preserve"> and </w:t>
      </w:r>
      <w:r>
        <w:rPr>
          <w:kern w:val="0"/>
        </w:rPr>
        <w:t>Technological Periodical Database,</w:t>
      </w:r>
      <w:r w:rsidR="005853A9">
        <w:rPr>
          <w:kern w:val="0"/>
        </w:rPr>
        <w:t xml:space="preserve"> and </w:t>
      </w:r>
      <w:r w:rsidR="003A1917">
        <w:rPr>
          <w:kern w:val="0"/>
        </w:rPr>
        <w:t xml:space="preserve">the </w:t>
      </w:r>
      <w:r>
        <w:rPr>
          <w:kern w:val="0"/>
        </w:rPr>
        <w:t>China National Knowledge Infrastructure. All were searched from respective inception to March 2009 to identify randomized placebo-controlled trials involving TCM compound prescriptions. Two reviewers independently assessed</w:t>
      </w:r>
      <w:r w:rsidR="003A1917">
        <w:rPr>
          <w:kern w:val="0"/>
        </w:rPr>
        <w:t xml:space="preserve"> the </w:t>
      </w:r>
      <w:r>
        <w:rPr>
          <w:kern w:val="0"/>
        </w:rPr>
        <w:t>retrieved trials via a modified Consolidated Standard</w:t>
      </w:r>
      <w:r w:rsidR="00427468">
        <w:rPr>
          <w:kern w:val="0"/>
        </w:rPr>
        <w:t xml:space="preserve"> of </w:t>
      </w:r>
      <w:r>
        <w:rPr>
          <w:kern w:val="0"/>
        </w:rPr>
        <w:t>Reporting Trials (CONSORT) checklist</w:t>
      </w:r>
      <w:r w:rsidR="005853A9">
        <w:rPr>
          <w:kern w:val="0"/>
        </w:rPr>
        <w:t xml:space="preserve"> and </w:t>
      </w:r>
      <w:r>
        <w:rPr>
          <w:kern w:val="0"/>
        </w:rPr>
        <w:t>some evaluation indices that embodied</w:t>
      </w:r>
      <w:r w:rsidR="003A1917">
        <w:rPr>
          <w:kern w:val="0"/>
        </w:rPr>
        <w:t xml:space="preserve"> the </w:t>
      </w:r>
      <w:r>
        <w:rPr>
          <w:kern w:val="0"/>
        </w:rPr>
        <w:t>TCM characteristics or</w:t>
      </w:r>
      <w:r w:rsidR="003A1917">
        <w:rPr>
          <w:kern w:val="0"/>
        </w:rPr>
        <w:t xml:space="preserve"> the </w:t>
      </w:r>
      <w:r>
        <w:rPr>
          <w:kern w:val="0"/>
        </w:rPr>
        <w:t>scientific rigor</w:t>
      </w:r>
      <w:r w:rsidR="005853A9">
        <w:rPr>
          <w:kern w:val="0"/>
        </w:rPr>
        <w:t xml:space="preserve"> and </w:t>
      </w:r>
      <w:r>
        <w:rPr>
          <w:kern w:val="0"/>
        </w:rPr>
        <w:t>ethics</w:t>
      </w:r>
      <w:r w:rsidR="00427468">
        <w:rPr>
          <w:kern w:val="0"/>
        </w:rPr>
        <w:t xml:space="preserve"> of </w:t>
      </w:r>
      <w:r>
        <w:rPr>
          <w:kern w:val="0"/>
        </w:rPr>
        <w:t>placebo-controlled trials. Trial publishing time was divided into 3 intervals: phase I (&lt;= 1999); phase 2 (2000-2004);</w:t>
      </w:r>
      <w:r w:rsidR="005853A9">
        <w:rPr>
          <w:kern w:val="0"/>
        </w:rPr>
        <w:t xml:space="preserve"> </w:t>
      </w:r>
      <w:r w:rsidR="005853A9">
        <w:rPr>
          <w:kern w:val="0"/>
        </w:rPr>
        <w:lastRenderedPageBreak/>
        <w:t xml:space="preserve">and </w:t>
      </w:r>
      <w:r>
        <w:rPr>
          <w:kern w:val="0"/>
        </w:rPr>
        <w:t>phase 3 (2005-2009)</w:t>
      </w:r>
      <w:r w:rsidR="00A37C1D">
        <w:rPr>
          <w:kern w:val="0"/>
        </w:rPr>
        <w:t>. The</w:t>
      </w:r>
      <w:r w:rsidR="003A1917">
        <w:rPr>
          <w:kern w:val="0"/>
        </w:rPr>
        <w:t xml:space="preserve"> </w:t>
      </w:r>
      <w:r>
        <w:rPr>
          <w:kern w:val="0"/>
        </w:rPr>
        <w:t>number</w:t>
      </w:r>
      <w:r w:rsidR="005853A9">
        <w:rPr>
          <w:kern w:val="0"/>
        </w:rPr>
        <w:t xml:space="preserve"> and </w:t>
      </w:r>
      <w:r>
        <w:rPr>
          <w:kern w:val="0"/>
        </w:rPr>
        <w:t>percentage</w:t>
      </w:r>
      <w:r w:rsidR="00427468">
        <w:rPr>
          <w:kern w:val="0"/>
        </w:rPr>
        <w:t xml:space="preserve"> of </w:t>
      </w:r>
      <w:r>
        <w:rPr>
          <w:kern w:val="0"/>
        </w:rPr>
        <w:t>trials reporting each item</w:t>
      </w:r>
      <w:r w:rsidR="005853A9">
        <w:rPr>
          <w:kern w:val="0"/>
        </w:rPr>
        <w:t xml:space="preserve"> and </w:t>
      </w:r>
      <w:r w:rsidR="003A1917">
        <w:rPr>
          <w:kern w:val="0"/>
        </w:rPr>
        <w:t xml:space="preserve">the </w:t>
      </w:r>
      <w:r>
        <w:rPr>
          <w:kern w:val="0"/>
        </w:rPr>
        <w:t>corresponding differences between Chinese (mainland China, Hong Kong,</w:t>
      </w:r>
      <w:r w:rsidR="005853A9">
        <w:rPr>
          <w:kern w:val="0"/>
        </w:rPr>
        <w:t xml:space="preserve"> and </w:t>
      </w:r>
      <w:r>
        <w:rPr>
          <w:kern w:val="0"/>
        </w:rPr>
        <w:t>Taiwan)</w:t>
      </w:r>
      <w:r w:rsidR="005853A9">
        <w:rPr>
          <w:kern w:val="0"/>
        </w:rPr>
        <w:t xml:space="preserve"> and </w:t>
      </w:r>
      <w:r>
        <w:rPr>
          <w:kern w:val="0"/>
        </w:rPr>
        <w:t>non-Chinese (eg, Japan, United States, Australia, Korea,</w:t>
      </w:r>
      <w:r w:rsidR="005853A9">
        <w:rPr>
          <w:kern w:val="0"/>
        </w:rPr>
        <w:t xml:space="preserve"> and </w:t>
      </w:r>
      <w:r>
        <w:rPr>
          <w:kern w:val="0"/>
        </w:rPr>
        <w:t>United Kingdom) trials were calculated. Moreover,</w:t>
      </w:r>
      <w:r w:rsidR="003A1917">
        <w:rPr>
          <w:kern w:val="0"/>
        </w:rPr>
        <w:t xml:space="preserve"> the </w:t>
      </w:r>
      <w:r>
        <w:rPr>
          <w:kern w:val="0"/>
        </w:rPr>
        <w:t>influence</w:t>
      </w:r>
      <w:r w:rsidR="00427468">
        <w:rPr>
          <w:kern w:val="0"/>
        </w:rPr>
        <w:t xml:space="preserve"> of </w:t>
      </w:r>
      <w:r>
        <w:rPr>
          <w:kern w:val="0"/>
        </w:rPr>
        <w:t>trial publishing time on</w:t>
      </w:r>
      <w:r w:rsidR="003A1917">
        <w:rPr>
          <w:kern w:val="0"/>
        </w:rPr>
        <w:t xml:space="preserve"> the </w:t>
      </w:r>
      <w:r>
        <w:rPr>
          <w:kern w:val="0"/>
        </w:rPr>
        <w:t>reporting</w:t>
      </w:r>
      <w:r w:rsidR="00427468">
        <w:rPr>
          <w:kern w:val="0"/>
        </w:rPr>
        <w:t xml:space="preserve"> of </w:t>
      </w:r>
      <w:r>
        <w:rPr>
          <w:kern w:val="0"/>
        </w:rPr>
        <w:t>CONSORT items</w:t>
      </w:r>
      <w:r w:rsidR="005853A9">
        <w:rPr>
          <w:kern w:val="0"/>
        </w:rPr>
        <w:t xml:space="preserve"> and </w:t>
      </w:r>
      <w:r w:rsidR="003A1917">
        <w:rPr>
          <w:kern w:val="0"/>
        </w:rPr>
        <w:t xml:space="preserve">the </w:t>
      </w:r>
      <w:r>
        <w:rPr>
          <w:kern w:val="0"/>
        </w:rPr>
        <w:t>differences in</w:t>
      </w:r>
      <w:r w:rsidR="003A1917">
        <w:rPr>
          <w:kern w:val="0"/>
        </w:rPr>
        <w:t xml:space="preserve"> the </w:t>
      </w:r>
      <w:r>
        <w:rPr>
          <w:kern w:val="0"/>
        </w:rPr>
        <w:t>number</w:t>
      </w:r>
      <w:r w:rsidR="00427468">
        <w:rPr>
          <w:kern w:val="0"/>
        </w:rPr>
        <w:t xml:space="preserve"> of </w:t>
      </w:r>
      <w:r>
        <w:rPr>
          <w:kern w:val="0"/>
        </w:rPr>
        <w:t>items reported for each time interval between Chinese</w:t>
      </w:r>
      <w:r w:rsidR="005853A9">
        <w:rPr>
          <w:kern w:val="0"/>
        </w:rPr>
        <w:t xml:space="preserve"> and </w:t>
      </w:r>
      <w:r>
        <w:rPr>
          <w:kern w:val="0"/>
        </w:rPr>
        <w:t>non-Chinese trials were assessed. RESULTS: A total</w:t>
      </w:r>
      <w:r w:rsidR="00427468">
        <w:rPr>
          <w:kern w:val="0"/>
        </w:rPr>
        <w:t xml:space="preserve"> of </w:t>
      </w:r>
      <w:r>
        <w:rPr>
          <w:kern w:val="0"/>
        </w:rPr>
        <w:t>324 trials from China</w:t>
      </w:r>
      <w:r w:rsidR="005853A9">
        <w:rPr>
          <w:kern w:val="0"/>
        </w:rPr>
        <w:t xml:space="preserve"> and </w:t>
      </w:r>
      <w:r>
        <w:rPr>
          <w:kern w:val="0"/>
        </w:rPr>
        <w:t>51 trials from other countries were included. A mean</w:t>
      </w:r>
      <w:r w:rsidR="00427468">
        <w:rPr>
          <w:kern w:val="0"/>
        </w:rPr>
        <w:t xml:space="preserve"> of </w:t>
      </w:r>
      <w:r>
        <w:rPr>
          <w:kern w:val="0"/>
        </w:rPr>
        <w:t>39.7%</w:t>
      </w:r>
      <w:r w:rsidR="00427468">
        <w:rPr>
          <w:kern w:val="0"/>
        </w:rPr>
        <w:t xml:space="preserve"> of </w:t>
      </w:r>
      <w:r w:rsidR="003A1917">
        <w:rPr>
          <w:kern w:val="0"/>
        </w:rPr>
        <w:t xml:space="preserve">the </w:t>
      </w:r>
      <w:r>
        <w:rPr>
          <w:kern w:val="0"/>
        </w:rPr>
        <w:t>CONSORT items across all Chinese trials</w:t>
      </w:r>
      <w:r w:rsidR="005853A9">
        <w:rPr>
          <w:kern w:val="0"/>
        </w:rPr>
        <w:t xml:space="preserve"> and </w:t>
      </w:r>
      <w:r>
        <w:rPr>
          <w:kern w:val="0"/>
        </w:rPr>
        <w:t>50.2%</w:t>
      </w:r>
      <w:r w:rsidR="00427468">
        <w:rPr>
          <w:kern w:val="0"/>
        </w:rPr>
        <w:t xml:space="preserve"> of </w:t>
      </w:r>
      <w:r w:rsidR="003A1917">
        <w:rPr>
          <w:kern w:val="0"/>
        </w:rPr>
        <w:t xml:space="preserve">the </w:t>
      </w:r>
      <w:r>
        <w:rPr>
          <w:kern w:val="0"/>
        </w:rPr>
        <w:t>items across all non-Chinese trials were reported</w:t>
      </w:r>
      <w:r w:rsidR="00A37C1D">
        <w:rPr>
          <w:kern w:val="0"/>
        </w:rPr>
        <w:t>. The</w:t>
      </w:r>
      <w:r w:rsidR="003A1917">
        <w:rPr>
          <w:kern w:val="0"/>
        </w:rPr>
        <w:t xml:space="preserve"> </w:t>
      </w:r>
      <w:r>
        <w:rPr>
          <w:kern w:val="0"/>
        </w:rPr>
        <w:t>number</w:t>
      </w:r>
      <w:r w:rsidR="00427468">
        <w:rPr>
          <w:kern w:val="0"/>
        </w:rPr>
        <w:t xml:space="preserve"> of </w:t>
      </w:r>
      <w:r w:rsidR="003A1917">
        <w:rPr>
          <w:kern w:val="0"/>
        </w:rPr>
        <w:t xml:space="preserve">the </w:t>
      </w:r>
      <w:r>
        <w:rPr>
          <w:kern w:val="0"/>
        </w:rPr>
        <w:t>reported CONSORT items all increased over time in both groups</w:t>
      </w:r>
      <w:r w:rsidR="005853A9">
        <w:rPr>
          <w:kern w:val="0"/>
        </w:rPr>
        <w:t xml:space="preserve"> and </w:t>
      </w:r>
      <w:r w:rsidR="003A1917">
        <w:rPr>
          <w:kern w:val="0"/>
        </w:rPr>
        <w:t xml:space="preserve">the </w:t>
      </w:r>
      <w:r>
        <w:rPr>
          <w:kern w:val="0"/>
        </w:rPr>
        <w:t>gap between Chinese articles</w:t>
      </w:r>
      <w:r w:rsidR="005853A9">
        <w:rPr>
          <w:kern w:val="0"/>
        </w:rPr>
        <w:t xml:space="preserve"> and </w:t>
      </w:r>
      <w:r>
        <w:rPr>
          <w:kern w:val="0"/>
        </w:rPr>
        <w:t>non-Chinese articles gradually decreased. Additionally,</w:t>
      </w:r>
      <w:r w:rsidR="00427468">
        <w:rPr>
          <w:kern w:val="0"/>
        </w:rPr>
        <w:t xml:space="preserve"> of </w:t>
      </w:r>
      <w:r w:rsidR="003A1917">
        <w:rPr>
          <w:kern w:val="0"/>
        </w:rPr>
        <w:t xml:space="preserve">the </w:t>
      </w:r>
      <w:r>
        <w:rPr>
          <w:kern w:val="0"/>
        </w:rPr>
        <w:t>324 Chinese articles, 137 (42.28%) reported TCM syndrome type, 113 (34.88%) reported</w:t>
      </w:r>
      <w:r w:rsidR="003A1917">
        <w:rPr>
          <w:kern w:val="0"/>
        </w:rPr>
        <w:t xml:space="preserve"> the </w:t>
      </w:r>
      <w:r>
        <w:rPr>
          <w:kern w:val="0"/>
        </w:rPr>
        <w:t>diagnostic criteria</w:t>
      </w:r>
      <w:r w:rsidR="00427468">
        <w:rPr>
          <w:kern w:val="0"/>
        </w:rPr>
        <w:t xml:space="preserve"> of </w:t>
      </w:r>
      <w:r>
        <w:rPr>
          <w:kern w:val="0"/>
        </w:rPr>
        <w:t>diseases for TCM,</w:t>
      </w:r>
      <w:r w:rsidR="005853A9">
        <w:rPr>
          <w:kern w:val="0"/>
        </w:rPr>
        <w:t xml:space="preserve"> and </w:t>
      </w:r>
      <w:r>
        <w:rPr>
          <w:kern w:val="0"/>
        </w:rPr>
        <w:t>69 (21-30%) reported efficacy evaluation indices</w:t>
      </w:r>
      <w:r w:rsidR="00427468">
        <w:rPr>
          <w:kern w:val="0"/>
        </w:rPr>
        <w:t xml:space="preserve"> of </w:t>
      </w:r>
      <w:r>
        <w:rPr>
          <w:kern w:val="0"/>
        </w:rPr>
        <w:t>TCM.</w:t>
      </w:r>
      <w:r w:rsidR="00427468">
        <w:rPr>
          <w:kern w:val="0"/>
        </w:rPr>
        <w:t xml:space="preserve"> of </w:t>
      </w:r>
      <w:r w:rsidR="003A1917">
        <w:rPr>
          <w:kern w:val="0"/>
        </w:rPr>
        <w:t xml:space="preserve">the </w:t>
      </w:r>
      <w:r>
        <w:rPr>
          <w:kern w:val="0"/>
        </w:rPr>
        <w:t>non-Chinese articles, 3 (5.88%) reported TCM syndrome type</w:t>
      </w:r>
      <w:r w:rsidR="005853A9">
        <w:rPr>
          <w:kern w:val="0"/>
        </w:rPr>
        <w:t xml:space="preserve"> and </w:t>
      </w:r>
      <w:r>
        <w:rPr>
          <w:kern w:val="0"/>
        </w:rPr>
        <w:t>1 (1.96%) reported</w:t>
      </w:r>
      <w:r w:rsidR="003A1917">
        <w:rPr>
          <w:kern w:val="0"/>
        </w:rPr>
        <w:t xml:space="preserve"> the </w:t>
      </w:r>
      <w:r>
        <w:rPr>
          <w:kern w:val="0"/>
        </w:rPr>
        <w:t>diagnostic criteria</w:t>
      </w:r>
      <w:r w:rsidR="00427468">
        <w:rPr>
          <w:kern w:val="0"/>
        </w:rPr>
        <w:t xml:space="preserve"> of </w:t>
      </w:r>
      <w:r>
        <w:rPr>
          <w:kern w:val="0"/>
        </w:rPr>
        <w:t>diseases</w:t>
      </w:r>
      <w:r w:rsidR="005853A9">
        <w:rPr>
          <w:kern w:val="0"/>
        </w:rPr>
        <w:t xml:space="preserve"> and </w:t>
      </w:r>
      <w:r>
        <w:rPr>
          <w:kern w:val="0"/>
        </w:rPr>
        <w:t>evaluation indices</w:t>
      </w:r>
      <w:r w:rsidR="00427468">
        <w:rPr>
          <w:kern w:val="0"/>
        </w:rPr>
        <w:t xml:space="preserve"> of </w:t>
      </w:r>
      <w:r>
        <w:rPr>
          <w:kern w:val="0"/>
        </w:rPr>
        <w:t>efficacy for TCM. It was found that 45.37%</w:t>
      </w:r>
      <w:r w:rsidR="005853A9">
        <w:rPr>
          <w:kern w:val="0"/>
        </w:rPr>
        <w:t xml:space="preserve"> and </w:t>
      </w:r>
      <w:r>
        <w:rPr>
          <w:kern w:val="0"/>
        </w:rPr>
        <w:t>6.17%</w:t>
      </w:r>
      <w:r w:rsidR="00427468">
        <w:rPr>
          <w:kern w:val="0"/>
        </w:rPr>
        <w:t xml:space="preserve"> of </w:t>
      </w:r>
      <w:r>
        <w:rPr>
          <w:kern w:val="0"/>
        </w:rPr>
        <w:t>Chinese articles reported</w:t>
      </w:r>
      <w:r w:rsidR="003A1917">
        <w:rPr>
          <w:kern w:val="0"/>
        </w:rPr>
        <w:t xml:space="preserve"> the </w:t>
      </w:r>
      <w:r>
        <w:rPr>
          <w:kern w:val="0"/>
        </w:rPr>
        <w:t>standard intervention for</w:t>
      </w:r>
      <w:r w:rsidR="003A1917">
        <w:rPr>
          <w:kern w:val="0"/>
        </w:rPr>
        <w:t xml:space="preserve"> the </w:t>
      </w:r>
      <w:r>
        <w:rPr>
          <w:kern w:val="0"/>
        </w:rPr>
        <w:t>diseases being treated</w:t>
      </w:r>
      <w:r w:rsidR="005853A9">
        <w:rPr>
          <w:kern w:val="0"/>
        </w:rPr>
        <w:t xml:space="preserve"> and </w:t>
      </w:r>
      <w:r w:rsidR="003A1917">
        <w:rPr>
          <w:kern w:val="0"/>
        </w:rPr>
        <w:t xml:space="preserve">the </w:t>
      </w:r>
      <w:r>
        <w:rPr>
          <w:kern w:val="0"/>
        </w:rPr>
        <w:t>emergency plan, respectively, compared with 23.53%</w:t>
      </w:r>
      <w:r w:rsidR="005853A9">
        <w:rPr>
          <w:kern w:val="0"/>
        </w:rPr>
        <w:t xml:space="preserve"> and </w:t>
      </w:r>
      <w:r>
        <w:rPr>
          <w:kern w:val="0"/>
        </w:rPr>
        <w:t>9.80% for</w:t>
      </w:r>
      <w:r w:rsidR="003A1917">
        <w:rPr>
          <w:kern w:val="0"/>
        </w:rPr>
        <w:t xml:space="preserve"> the </w:t>
      </w:r>
      <w:r>
        <w:rPr>
          <w:kern w:val="0"/>
        </w:rPr>
        <w:t>non-Chinese articles; 33.02%</w:t>
      </w:r>
      <w:r w:rsidR="005853A9">
        <w:rPr>
          <w:kern w:val="0"/>
        </w:rPr>
        <w:t xml:space="preserve"> and </w:t>
      </w:r>
      <w:r>
        <w:rPr>
          <w:kern w:val="0"/>
        </w:rPr>
        <w:t>10.49%</w:t>
      </w:r>
      <w:r w:rsidR="00427468">
        <w:rPr>
          <w:kern w:val="0"/>
        </w:rPr>
        <w:t xml:space="preserve"> of </w:t>
      </w:r>
      <w:r>
        <w:rPr>
          <w:kern w:val="0"/>
        </w:rPr>
        <w:t>Chinese articles reported informed consent</w:t>
      </w:r>
      <w:r w:rsidR="005853A9">
        <w:rPr>
          <w:kern w:val="0"/>
        </w:rPr>
        <w:t xml:space="preserve"> and </w:t>
      </w:r>
      <w:r>
        <w:rPr>
          <w:kern w:val="0"/>
        </w:rPr>
        <w:t>ethics committee approval, respectively, compared with 92.16%</w:t>
      </w:r>
      <w:r w:rsidR="005853A9">
        <w:rPr>
          <w:kern w:val="0"/>
        </w:rPr>
        <w:t xml:space="preserve"> and </w:t>
      </w:r>
      <w:r>
        <w:rPr>
          <w:kern w:val="0"/>
        </w:rPr>
        <w:t>82.35% for</w:t>
      </w:r>
      <w:r w:rsidR="003A1917">
        <w:rPr>
          <w:kern w:val="0"/>
        </w:rPr>
        <w:t xml:space="preserve"> the </w:t>
      </w:r>
      <w:r>
        <w:rPr>
          <w:kern w:val="0"/>
        </w:rPr>
        <w:t>non-Chinese articles. With regard to placebo ethics, 38.89%</w:t>
      </w:r>
      <w:r w:rsidR="00427468">
        <w:rPr>
          <w:kern w:val="0"/>
        </w:rPr>
        <w:t xml:space="preserve"> of </w:t>
      </w:r>
      <w:r w:rsidR="003A1917">
        <w:rPr>
          <w:kern w:val="0"/>
        </w:rPr>
        <w:t xml:space="preserve">the </w:t>
      </w:r>
      <w:r>
        <w:rPr>
          <w:kern w:val="0"/>
        </w:rPr>
        <w:t>Chinese trials</w:t>
      </w:r>
      <w:r w:rsidR="005853A9">
        <w:rPr>
          <w:kern w:val="0"/>
        </w:rPr>
        <w:t xml:space="preserve"> and </w:t>
      </w:r>
      <w:r>
        <w:rPr>
          <w:kern w:val="0"/>
        </w:rPr>
        <w:t>23.53%</w:t>
      </w:r>
      <w:r w:rsidR="00427468">
        <w:rPr>
          <w:kern w:val="0"/>
        </w:rPr>
        <w:t xml:space="preserve"> of </w:t>
      </w:r>
      <w:r w:rsidR="003A1917">
        <w:rPr>
          <w:kern w:val="0"/>
        </w:rPr>
        <w:t xml:space="preserve">the </w:t>
      </w:r>
      <w:r>
        <w:rPr>
          <w:kern w:val="0"/>
        </w:rPr>
        <w:t>non-Chinese trials found it would not be ethically acceptable to use placebo alone in</w:t>
      </w:r>
      <w:r w:rsidR="003A1917">
        <w:rPr>
          <w:kern w:val="0"/>
        </w:rPr>
        <w:t xml:space="preserve"> the </w:t>
      </w:r>
      <w:r>
        <w:rPr>
          <w:kern w:val="0"/>
        </w:rPr>
        <w:t>control group. CONCLUSIONS:</w:t>
      </w:r>
      <w:r w:rsidR="003A1917">
        <w:rPr>
          <w:kern w:val="0"/>
        </w:rPr>
        <w:t xml:space="preserve"> the </w:t>
      </w:r>
      <w:r>
        <w:rPr>
          <w:kern w:val="0"/>
        </w:rPr>
        <w:t>data indicate that</w:t>
      </w:r>
      <w:r w:rsidR="003A1917">
        <w:rPr>
          <w:kern w:val="0"/>
        </w:rPr>
        <w:t xml:space="preserve"> the </w:t>
      </w:r>
      <w:r>
        <w:rPr>
          <w:kern w:val="0"/>
        </w:rPr>
        <w:t>reporting quality</w:t>
      </w:r>
      <w:r w:rsidR="00427468">
        <w:rPr>
          <w:kern w:val="0"/>
        </w:rPr>
        <w:t xml:space="preserve"> of </w:t>
      </w:r>
      <w:r w:rsidR="003A1917">
        <w:rPr>
          <w:kern w:val="0"/>
        </w:rPr>
        <w:t xml:space="preserve">the </w:t>
      </w:r>
      <w:r>
        <w:rPr>
          <w:kern w:val="0"/>
        </w:rPr>
        <w:t>included trials on TCM compounds has improved over time, but still remains poor regardless</w:t>
      </w:r>
      <w:r w:rsidR="00427468">
        <w:rPr>
          <w:kern w:val="0"/>
        </w:rPr>
        <w:t xml:space="preserve"> of </w:t>
      </w:r>
      <w:r>
        <w:rPr>
          <w:kern w:val="0"/>
        </w:rPr>
        <w:t>Chinese or non-Chinese trials. Across all trials, particularly Chinese trials,</w:t>
      </w:r>
      <w:r w:rsidR="003A1917">
        <w:rPr>
          <w:kern w:val="0"/>
        </w:rPr>
        <w:t xml:space="preserve"> the </w:t>
      </w:r>
      <w:r>
        <w:rPr>
          <w:kern w:val="0"/>
        </w:rPr>
        <w:t>reporting</w:t>
      </w:r>
      <w:r w:rsidR="00427468">
        <w:rPr>
          <w:kern w:val="0"/>
        </w:rPr>
        <w:t xml:space="preserve"> of </w:t>
      </w:r>
      <w:r w:rsidR="003A1917">
        <w:rPr>
          <w:kern w:val="0"/>
        </w:rPr>
        <w:t xml:space="preserve">the </w:t>
      </w:r>
      <w:r>
        <w:rPr>
          <w:kern w:val="0"/>
        </w:rPr>
        <w:t>CONSORT items was inadequate (39.7%)</w:t>
      </w:r>
      <w:r w:rsidR="00A37C1D">
        <w:rPr>
          <w:kern w:val="0"/>
        </w:rPr>
        <w:t>. The</w:t>
      </w:r>
      <w:r w:rsidR="003A1917">
        <w:rPr>
          <w:kern w:val="0"/>
        </w:rPr>
        <w:t xml:space="preserve"> </w:t>
      </w:r>
      <w:r>
        <w:rPr>
          <w:kern w:val="0"/>
        </w:rPr>
        <w:t>difference in</w:t>
      </w:r>
      <w:r w:rsidR="003A1917">
        <w:rPr>
          <w:kern w:val="0"/>
        </w:rPr>
        <w:t xml:space="preserve"> the </w:t>
      </w:r>
      <w:r>
        <w:rPr>
          <w:kern w:val="0"/>
        </w:rPr>
        <w:t>mean number</w:t>
      </w:r>
      <w:r w:rsidR="00427468">
        <w:rPr>
          <w:kern w:val="0"/>
        </w:rPr>
        <w:t xml:space="preserve"> of </w:t>
      </w:r>
      <w:r w:rsidR="003A1917">
        <w:rPr>
          <w:kern w:val="0"/>
        </w:rPr>
        <w:t xml:space="preserve">the </w:t>
      </w:r>
      <w:r>
        <w:rPr>
          <w:kern w:val="0"/>
        </w:rPr>
        <w:t>reported CONSORT items between Chinese trials</w:t>
      </w:r>
      <w:r w:rsidR="005853A9">
        <w:rPr>
          <w:kern w:val="0"/>
        </w:rPr>
        <w:t xml:space="preserve"> and </w:t>
      </w:r>
      <w:r>
        <w:rPr>
          <w:kern w:val="0"/>
        </w:rPr>
        <w:t>non-Chinese trials narrowed from phase 1 (10.0 vs 13.8) to phase 3 (14.4 vs 17.4). Moreover, a large number</w:t>
      </w:r>
      <w:r w:rsidR="00427468">
        <w:rPr>
          <w:kern w:val="0"/>
        </w:rPr>
        <w:t xml:space="preserve"> of </w:t>
      </w:r>
      <w:r>
        <w:rPr>
          <w:kern w:val="0"/>
        </w:rPr>
        <w:t>trials, especially non-Chinese trials (94.1%), were lacking syndrome differentiation</w:t>
      </w:r>
      <w:r w:rsidR="00427468">
        <w:rPr>
          <w:kern w:val="0"/>
        </w:rPr>
        <w:t xml:space="preserve"> of </w:t>
      </w:r>
      <w:r>
        <w:rPr>
          <w:kern w:val="0"/>
        </w:rPr>
        <w:t>TCM. More importantly, in many placebo-controlled trials, especially Chinese trials,</w:t>
      </w:r>
      <w:r w:rsidR="003A1917">
        <w:rPr>
          <w:kern w:val="0"/>
        </w:rPr>
        <w:t xml:space="preserve"> the </w:t>
      </w:r>
      <w:r>
        <w:rPr>
          <w:kern w:val="0"/>
        </w:rPr>
        <w:t>use</w:t>
      </w:r>
      <w:r w:rsidR="00427468">
        <w:rPr>
          <w:kern w:val="0"/>
        </w:rPr>
        <w:t xml:space="preserve"> of </w:t>
      </w:r>
      <w:r>
        <w:rPr>
          <w:kern w:val="0"/>
        </w:rPr>
        <w:t>placebo was not justified</w:t>
      </w:r>
      <w:r w:rsidR="005853A9">
        <w:rPr>
          <w:kern w:val="0"/>
        </w:rPr>
        <w:t xml:space="preserve"> and </w:t>
      </w:r>
      <w:r>
        <w:rPr>
          <w:kern w:val="0"/>
        </w:rPr>
        <w:t>was ethically contradictory. (Curr Ther Res Clin Exp. 2010;71:30-49) (C) 2010 Excerpta Medica Inc.</w:t>
      </w:r>
    </w:p>
    <w:p w:rsidR="003C754E" w:rsidRDefault="003C754E" w:rsidP="003C754E">
      <w:pPr>
        <w:pStyle w:val="a3"/>
        <w:rPr>
          <w:kern w:val="0"/>
        </w:rPr>
      </w:pPr>
      <w:r>
        <w:rPr>
          <w:kern w:val="0"/>
        </w:rPr>
        <w:t xml:space="preserve">Keywords: Articles, Australia, Blind, Characteristics, China, Citation, Consort Statement, Consort Statement, Database, Databases, Elaboration, Ethics, Evaluation, Explanation, Groups, Health Research Today, Herbal Medicine, Hong Kong, Korea, Literature, Medicine, Placebo, Premenstrual-Syndrome, Publishing, Randomized Controlled Trial, Recommendations, Reporting Quality, Science, Science Citation Index, Scientific Rigor, Traditional Chinese Medicine Compound Formulation, </w:t>
      </w:r>
      <w:r>
        <w:rPr>
          <w:kern w:val="0"/>
        </w:rPr>
        <w:lastRenderedPageBreak/>
        <w:t>United Kingdom, United States</w:t>
      </w:r>
    </w:p>
    <w:p w:rsidR="00FB195A" w:rsidRDefault="00FB195A" w:rsidP="00FB195A">
      <w:pPr>
        <w:pStyle w:val="a3"/>
        <w:rPr>
          <w:kern w:val="0"/>
        </w:rPr>
      </w:pPr>
      <w:r>
        <w:rPr>
          <w:rFonts w:hint="eastAsia"/>
          <w:kern w:val="0"/>
        </w:rPr>
        <w:t xml:space="preserve">? </w:t>
      </w:r>
      <w:r>
        <w:rPr>
          <w:kern w:val="0"/>
        </w:rPr>
        <w:t>Li, W.X., Gou, J.F., Tian, J.H., Yan, X.A.</w:t>
      </w:r>
      <w:r w:rsidR="005853A9">
        <w:rPr>
          <w:kern w:val="0"/>
        </w:rPr>
        <w:t xml:space="preserve"> and </w:t>
      </w:r>
      <w:r>
        <w:rPr>
          <w:kern w:val="0"/>
        </w:rPr>
        <w:t>Yang, L. (2010), Glucagon-like peptide-1 receptor agonists versus insulin glargine for type 2 diabetes mellitus: A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Current Therapeutic Research-Clinical</w:t>
      </w:r>
      <w:r w:rsidR="005853A9">
        <w:rPr>
          <w:i/>
          <w:iCs/>
          <w:kern w:val="0"/>
        </w:rPr>
        <w:t xml:space="preserve"> and </w:t>
      </w:r>
      <w:r>
        <w:rPr>
          <w:i/>
          <w:iCs/>
          <w:kern w:val="0"/>
        </w:rPr>
        <w:t>Experimental</w:t>
      </w:r>
      <w:r>
        <w:rPr>
          <w:kern w:val="0"/>
        </w:rPr>
        <w:t xml:space="preserve">, </w:t>
      </w:r>
      <w:r>
        <w:rPr>
          <w:b/>
          <w:bCs/>
          <w:kern w:val="0"/>
        </w:rPr>
        <w:t>71</w:t>
      </w:r>
      <w:r>
        <w:rPr>
          <w:kern w:val="0"/>
        </w:rPr>
        <w:t xml:space="preserve"> (4), 211-238.</w:t>
      </w:r>
    </w:p>
    <w:p w:rsidR="00FB195A" w:rsidRDefault="00FB195A" w:rsidP="00FB195A">
      <w:pPr>
        <w:pStyle w:val="a3"/>
        <w:rPr>
          <w:kern w:val="0"/>
        </w:rPr>
      </w:pPr>
      <w:r>
        <w:rPr>
          <w:rFonts w:hint="eastAsia"/>
          <w:kern w:val="0"/>
        </w:rPr>
        <w:t xml:space="preserve">Full Text: </w:t>
      </w:r>
      <w:r>
        <w:rPr>
          <w:kern w:val="0"/>
        </w:rPr>
        <w:t>2010\Cur</w:t>
      </w:r>
      <w:r w:rsidR="003A1917">
        <w:rPr>
          <w:kern w:val="0"/>
        </w:rPr>
        <w:t xml:space="preserve"> the </w:t>
      </w:r>
      <w:r>
        <w:rPr>
          <w:kern w:val="0"/>
        </w:rPr>
        <w:t xml:space="preserve">Res-Clin Exp71, </w:t>
      </w:r>
      <w:r>
        <w:rPr>
          <w:rFonts w:hint="eastAsia"/>
          <w:kern w:val="0"/>
        </w:rPr>
        <w:t>211</w:t>
      </w:r>
      <w:r w:rsidRPr="00463E2C">
        <w:rPr>
          <w:kern w:val="0"/>
        </w:rPr>
        <w:t>.pdf</w:t>
      </w:r>
    </w:p>
    <w:p w:rsidR="00FB195A" w:rsidRDefault="00FB195A" w:rsidP="00FB195A">
      <w:pPr>
        <w:pStyle w:val="a3"/>
        <w:rPr>
          <w:kern w:val="0"/>
        </w:rPr>
      </w:pPr>
      <w:r>
        <w:rPr>
          <w:kern w:val="0"/>
        </w:rPr>
        <w:t>Abstract: BACKGROUND: Glucagon-like peptide-1 (GLP-1) receptor agonists are a new class</w:t>
      </w:r>
      <w:r w:rsidR="00427468">
        <w:rPr>
          <w:kern w:val="0"/>
        </w:rPr>
        <w:t xml:space="preserve"> of </w:t>
      </w:r>
      <w:r>
        <w:rPr>
          <w:kern w:val="0"/>
        </w:rPr>
        <w:t>hypoglycemic drugs, including exenatide, liraglutide, albiglutide, lixisenatide,</w:t>
      </w:r>
      <w:r w:rsidR="005853A9">
        <w:rPr>
          <w:kern w:val="0"/>
        </w:rPr>
        <w:t xml:space="preserve"> and </w:t>
      </w:r>
      <w:r>
        <w:rPr>
          <w:kern w:val="0"/>
        </w:rPr>
        <w:t>taspoglutide. Insulin glargine is a standard agent used to supplement basal insulin in type 2 diabetes mellitus (T2DM). OBJECTIVE:</w:t>
      </w:r>
      <w:r w:rsidR="003A1917">
        <w:rPr>
          <w:kern w:val="0"/>
        </w:rPr>
        <w:t xml:space="preserve"> the </w:t>
      </w:r>
      <w:r>
        <w:rPr>
          <w:kern w:val="0"/>
        </w:rPr>
        <w:t>aim</w:t>
      </w:r>
      <w:r w:rsidR="00427468">
        <w:rPr>
          <w:kern w:val="0"/>
        </w:rPr>
        <w:t xml:space="preserve"> of </w:t>
      </w:r>
      <w:r>
        <w:rPr>
          <w:kern w:val="0"/>
        </w:rPr>
        <w:t>this study was to review</w:t>
      </w:r>
      <w:r w:rsidR="003A1917">
        <w:rPr>
          <w:kern w:val="0"/>
        </w:rPr>
        <w:t xml:space="preserve"> the </w:t>
      </w:r>
      <w:r>
        <w:rPr>
          <w:kern w:val="0"/>
        </w:rPr>
        <w:t>efficacy</w:t>
      </w:r>
      <w:r w:rsidR="005853A9">
        <w:rPr>
          <w:kern w:val="0"/>
        </w:rPr>
        <w:t xml:space="preserve"> and </w:t>
      </w:r>
      <w:r>
        <w:rPr>
          <w:kern w:val="0"/>
        </w:rPr>
        <w:t>safety profiles</w:t>
      </w:r>
      <w:r w:rsidR="00427468">
        <w:rPr>
          <w:kern w:val="0"/>
        </w:rPr>
        <w:t xml:space="preserve"> of </w:t>
      </w:r>
      <w:r>
        <w:rPr>
          <w:kern w:val="0"/>
        </w:rPr>
        <w:t>GLP-1 receptor agonists versus insulin glargine in type 2 diabetic patients who have not achieved treatment goals with oral hypoglycemic agents. METHODS:</w:t>
      </w:r>
      <w:r w:rsidR="003A1917">
        <w:rPr>
          <w:kern w:val="0"/>
        </w:rPr>
        <w:t xml:space="preserve"> the </w:t>
      </w:r>
      <w:r>
        <w:rPr>
          <w:kern w:val="0"/>
        </w:rPr>
        <w:t xml:space="preserve">Cochrane Library, </w:t>
      </w:r>
      <w:r w:rsidR="00D5664A">
        <w:rPr>
          <w:kern w:val="0"/>
        </w:rPr>
        <w:t>MEDLINE</w:t>
      </w:r>
      <w:r>
        <w:rPr>
          <w:kern w:val="0"/>
        </w:rPr>
        <w:t>, EMBASE, Science Citation Index Expanded,</w:t>
      </w:r>
      <w:r w:rsidR="005853A9">
        <w:rPr>
          <w:kern w:val="0"/>
        </w:rPr>
        <w:t xml:space="preserve"> and </w:t>
      </w:r>
      <w:r w:rsidR="003A1917">
        <w:rPr>
          <w:kern w:val="0"/>
        </w:rPr>
        <w:t xml:space="preserve">the </w:t>
      </w:r>
      <w:r>
        <w:rPr>
          <w:kern w:val="0"/>
        </w:rPr>
        <w:t>database</w:t>
      </w:r>
      <w:r w:rsidR="00427468">
        <w:rPr>
          <w:kern w:val="0"/>
        </w:rPr>
        <w:t xml:space="preserve"> of </w:t>
      </w:r>
      <w:r>
        <w:rPr>
          <w:kern w:val="0"/>
        </w:rPr>
        <w:t>ongoing trials were searched from inception through April 2010. Additional data were sought from relevant Web sites,</w:t>
      </w:r>
      <w:r w:rsidR="003A1917">
        <w:rPr>
          <w:kern w:val="0"/>
        </w:rPr>
        <w:t xml:space="preserve"> the </w:t>
      </w:r>
      <w:r>
        <w:rPr>
          <w:kern w:val="0"/>
        </w:rPr>
        <w:t>American Diabetes Association, reference lists</w:t>
      </w:r>
      <w:r w:rsidR="00427468">
        <w:rPr>
          <w:kern w:val="0"/>
        </w:rPr>
        <w:t xml:space="preserve"> of </w:t>
      </w:r>
      <w:r>
        <w:rPr>
          <w:kern w:val="0"/>
        </w:rPr>
        <w:t>included trials</w:t>
      </w:r>
      <w:r w:rsidR="005853A9">
        <w:rPr>
          <w:kern w:val="0"/>
        </w:rPr>
        <w:t xml:space="preserve"> and </w:t>
      </w:r>
      <w:r>
        <w:rPr>
          <w:kern w:val="0"/>
        </w:rPr>
        <w:t>related (systematic) reviews,</w:t>
      </w:r>
      <w:r w:rsidR="005853A9">
        <w:rPr>
          <w:kern w:val="0"/>
        </w:rPr>
        <w:t xml:space="preserve"> and </w:t>
      </w:r>
      <w:r>
        <w:rPr>
          <w:kern w:val="0"/>
        </w:rPr>
        <w:t>industry. Randomized controlled trials (RCTs) were selected if they were months in duration, compared GLP-1 receptor agonists with insulin glargine in patients with T2DM,</w:t>
      </w:r>
      <w:r w:rsidR="005853A9">
        <w:rPr>
          <w:kern w:val="0"/>
        </w:rPr>
        <w:t xml:space="preserve"> and </w:t>
      </w:r>
      <w:r>
        <w:rPr>
          <w:kern w:val="0"/>
        </w:rPr>
        <w:t>included &gt;= 1</w:t>
      </w:r>
      <w:r w:rsidR="00427468">
        <w:rPr>
          <w:kern w:val="0"/>
        </w:rPr>
        <w:t xml:space="preserve"> of </w:t>
      </w:r>
      <w:r w:rsidR="003A1917">
        <w:rPr>
          <w:kern w:val="0"/>
        </w:rPr>
        <w:t xml:space="preserve">the </w:t>
      </w:r>
      <w:r>
        <w:rPr>
          <w:kern w:val="0"/>
        </w:rPr>
        <w:t>following outcomes: mortality, complications</w:t>
      </w:r>
      <w:r w:rsidR="00427468">
        <w:rPr>
          <w:kern w:val="0"/>
        </w:rPr>
        <w:t xml:space="preserve"> of </w:t>
      </w:r>
      <w:r>
        <w:rPr>
          <w:kern w:val="0"/>
        </w:rPr>
        <w:t>T2DM, glycemic control, weight, lipids, blood pressure, adverse effects,</w:t>
      </w:r>
      <w:r w:rsidR="005853A9">
        <w:rPr>
          <w:kern w:val="0"/>
        </w:rPr>
        <w:t xml:space="preserve"> and </w:t>
      </w:r>
      <w:r>
        <w:rPr>
          <w:kern w:val="0"/>
        </w:rPr>
        <w:t>health-related quality</w:t>
      </w:r>
      <w:r w:rsidR="00427468">
        <w:rPr>
          <w:kern w:val="0"/>
        </w:rPr>
        <w:t xml:space="preserve"> of </w:t>
      </w:r>
      <w:r>
        <w:rPr>
          <w:kern w:val="0"/>
        </w:rPr>
        <w:t>life. Quasirandomized controlled trials were excluded</w:t>
      </w:r>
      <w:r w:rsidR="00A37C1D">
        <w:rPr>
          <w:kern w:val="0"/>
        </w:rPr>
        <w:t>. The</w:t>
      </w:r>
      <w:r w:rsidR="003A1917">
        <w:rPr>
          <w:kern w:val="0"/>
        </w:rPr>
        <w:t xml:space="preserve"> </w:t>
      </w:r>
      <w:r>
        <w:rPr>
          <w:kern w:val="0"/>
        </w:rPr>
        <w:t>quality</w:t>
      </w:r>
      <w:r w:rsidR="00427468">
        <w:rPr>
          <w:kern w:val="0"/>
        </w:rPr>
        <w:t xml:space="preserve"> of </w:t>
      </w:r>
      <w:r w:rsidR="003A1917">
        <w:rPr>
          <w:kern w:val="0"/>
        </w:rPr>
        <w:t xml:space="preserve">the </w:t>
      </w:r>
      <w:r>
        <w:rPr>
          <w:kern w:val="0"/>
        </w:rPr>
        <w:t>eligible studies was assessed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following aspects: randomization procedure, allocation concealment, blinding, incomplete outcome data (intent-to-treat [ITT] analysis), selective outcome reporting,</w:t>
      </w:r>
      <w:r w:rsidR="005853A9">
        <w:rPr>
          <w:kern w:val="0"/>
        </w:rPr>
        <w:t xml:space="preserve"> and </w:t>
      </w:r>
      <w:r>
        <w:rPr>
          <w:kern w:val="0"/>
        </w:rPr>
        <w:t>publication bias. RESULTS: A total</w:t>
      </w:r>
      <w:r w:rsidR="00427468">
        <w:rPr>
          <w:kern w:val="0"/>
        </w:rPr>
        <w:t xml:space="preserve"> of </w:t>
      </w:r>
      <w:r>
        <w:rPr>
          <w:kern w:val="0"/>
        </w:rPr>
        <w:t>410 citations were retrieved; 5 multicenter RCTs that met</w:t>
      </w:r>
      <w:r w:rsidR="003A1917">
        <w:rPr>
          <w:kern w:val="0"/>
        </w:rPr>
        <w:t xml:space="preserve"> the </w:t>
      </w:r>
      <w:r>
        <w:rPr>
          <w:kern w:val="0"/>
        </w:rPr>
        <w:t>inclusion criteria were identified</w:t>
      </w:r>
      <w:r w:rsidR="00A37C1D">
        <w:rPr>
          <w:kern w:val="0"/>
        </w:rPr>
        <w:t>. The</w:t>
      </w:r>
      <w:r>
        <w:rPr>
          <w:kern w:val="0"/>
        </w:rPr>
        <w:t>y were all open-label designs with an insulin glargine arm, predefined outcomes reported,</w:t>
      </w:r>
      <w:r w:rsidR="005853A9">
        <w:rPr>
          <w:kern w:val="0"/>
        </w:rPr>
        <w:t xml:space="preserve"> and </w:t>
      </w:r>
      <w:r>
        <w:rPr>
          <w:kern w:val="0"/>
        </w:rPr>
        <w:t>ITT analysis. One trial had an unclear randomization procedure</w:t>
      </w:r>
      <w:r w:rsidR="005853A9">
        <w:rPr>
          <w:kern w:val="0"/>
        </w:rPr>
        <w:t xml:space="preserve"> and </w:t>
      </w:r>
      <w:r>
        <w:rPr>
          <w:kern w:val="0"/>
        </w:rPr>
        <w:t>allocation concealment. Publication bias was not able to be determined. No data were found with regard to mortality or diabetes-associated complications,</w:t>
      </w:r>
      <w:r w:rsidR="005853A9">
        <w:rPr>
          <w:kern w:val="0"/>
        </w:rPr>
        <w:t xml:space="preserve"> and </w:t>
      </w:r>
      <w:r>
        <w:rPr>
          <w:kern w:val="0"/>
        </w:rPr>
        <w:t>few data were found on quality</w:t>
      </w:r>
      <w:r w:rsidR="00427468">
        <w:rPr>
          <w:kern w:val="0"/>
        </w:rPr>
        <w:t xml:space="preserve"> of </w:t>
      </w:r>
      <w:r>
        <w:rPr>
          <w:kern w:val="0"/>
        </w:rPr>
        <w:t>life</w:t>
      </w:r>
      <w:r w:rsidR="00A37C1D">
        <w:rPr>
          <w:kern w:val="0"/>
        </w:rPr>
        <w:t>. The</w:t>
      </w:r>
      <w:r w:rsidR="003A1917">
        <w:rPr>
          <w:kern w:val="0"/>
        </w:rPr>
        <w:t xml:space="preserve"> </w:t>
      </w:r>
      <w:r>
        <w:rPr>
          <w:kern w:val="0"/>
        </w:rPr>
        <w:t>results</w:t>
      </w:r>
      <w:r w:rsidR="00427468">
        <w:rPr>
          <w:kern w:val="0"/>
        </w:rPr>
        <w:t xml:space="preserve"> of </w:t>
      </w:r>
      <w:r w:rsidR="003A1917">
        <w:rPr>
          <w:kern w:val="0"/>
        </w:rPr>
        <w:t xml:space="preserve">the </w:t>
      </w:r>
      <w:r>
        <w:rPr>
          <w:kern w:val="0"/>
        </w:rPr>
        <w:t>meta-analysis suggest that insulin glargine was significantly better in reducing</w:t>
      </w:r>
      <w:r w:rsidR="003A1917">
        <w:rPr>
          <w:kern w:val="0"/>
        </w:rPr>
        <w:t xml:space="preserve"> the </w:t>
      </w:r>
      <w:r>
        <w:rPr>
          <w:kern w:val="0"/>
        </w:rPr>
        <w:t>fasting blood glucose (mean difference [MD] [95% CI], 1.31 [1.04 to 1.58]; P &lt; 0.001), but exhibits greater incidence</w:t>
      </w:r>
      <w:r w:rsidR="00427468">
        <w:rPr>
          <w:kern w:val="0"/>
        </w:rPr>
        <w:t xml:space="preserve"> of </w:t>
      </w:r>
      <w:r>
        <w:rPr>
          <w:kern w:val="0"/>
        </w:rPr>
        <w:t>nocturnal hypoglycemia (risk ratio [RR] [95% CI], 0.40 [0.23 to 0.71]; P = 0.002)</w:t>
      </w:r>
      <w:r w:rsidR="005853A9">
        <w:rPr>
          <w:kern w:val="0"/>
        </w:rPr>
        <w:t xml:space="preserve"> and </w:t>
      </w:r>
      <w:r>
        <w:rPr>
          <w:kern w:val="0"/>
        </w:rPr>
        <w:t>influenza (RR [95% CI], 0.56 [0.32 to 0.98]; P = 0.04). GLP-1 receptor agonists are more conducive to reducing weight (MD [95% CI], -3.96 [-5.14 to 2.77]; P &lt; 0.001), postprandial blood glucose (after breakfast, P &lt; 0.001; after dinner, P &lt; 0.001),</w:t>
      </w:r>
      <w:r w:rsidR="005853A9">
        <w:rPr>
          <w:kern w:val="0"/>
        </w:rPr>
        <w:t xml:space="preserve"> and </w:t>
      </w:r>
      <w:r>
        <w:rPr>
          <w:kern w:val="0"/>
        </w:rPr>
        <w:t xml:space="preserve">LDL-C (MD [95% CI], -0.18 [-0.28 to -0.08]; P &lt; 0.001), but have significantly more gastrointestinal adverse </w:t>
      </w:r>
      <w:r>
        <w:rPr>
          <w:kern w:val="0"/>
        </w:rPr>
        <w:lastRenderedPageBreak/>
        <w:t>effects (eg, nausea/vomiting, P &lt; 0.001)</w:t>
      </w:r>
      <w:r w:rsidR="00A37C1D">
        <w:rPr>
          <w:kern w:val="0"/>
        </w:rPr>
        <w:t>. The</w:t>
      </w:r>
      <w:r>
        <w:rPr>
          <w:kern w:val="0"/>
        </w:rPr>
        <w:t>re were no significant differences between GLP-1 receptor agonists</w:t>
      </w:r>
      <w:r w:rsidR="005853A9">
        <w:rPr>
          <w:kern w:val="0"/>
        </w:rPr>
        <w:t xml:space="preserve"> and </w:t>
      </w:r>
      <w:r>
        <w:rPr>
          <w:kern w:val="0"/>
        </w:rPr>
        <w:t>insulin glargine in reducing glycosylated hemoglobin (HbA(1c)) levels (MD [95% CI], -0.03 [-0.13 to 0.08])</w:t>
      </w:r>
      <w:r w:rsidR="005853A9">
        <w:rPr>
          <w:kern w:val="0"/>
        </w:rPr>
        <w:t xml:space="preserve"> and </w:t>
      </w:r>
      <w:r w:rsidR="003A1917">
        <w:rPr>
          <w:kern w:val="0"/>
        </w:rPr>
        <w:t xml:space="preserve">the </w:t>
      </w:r>
      <w:r>
        <w:rPr>
          <w:kern w:val="0"/>
        </w:rPr>
        <w:t>overall incidence</w:t>
      </w:r>
      <w:r w:rsidR="00427468">
        <w:rPr>
          <w:kern w:val="0"/>
        </w:rPr>
        <w:t xml:space="preserve"> of </w:t>
      </w:r>
      <w:r>
        <w:rPr>
          <w:kern w:val="0"/>
        </w:rPr>
        <w:t>hypoglycemia (RR [95% CI], 0.69 [0.42 to 1.14]). CONCLUSIONS: Compared with insulin glargine, GLP-1 receptor agonists did not have a significant difference in regard to reducing HbA(1c) levels</w:t>
      </w:r>
      <w:r w:rsidR="005853A9">
        <w:rPr>
          <w:kern w:val="0"/>
        </w:rPr>
        <w:t xml:space="preserve"> and </w:t>
      </w:r>
      <w:r>
        <w:rPr>
          <w:kern w:val="0"/>
        </w:rPr>
        <w:t>they were significantly associated with decreased weight but increased gastrointestinal adverse events. It remains unclear whether GLP-1 receptor agonists influence mortality or diabetes-associated complications in patients with T2DM. More trials with longer follow-up are needed to determine</w:t>
      </w:r>
      <w:r w:rsidR="003A1917">
        <w:rPr>
          <w:kern w:val="0"/>
        </w:rPr>
        <w:t xml:space="preserve"> the </w:t>
      </w:r>
      <w:r>
        <w:rPr>
          <w:kern w:val="0"/>
        </w:rPr>
        <w:t>exact long-term efficacy</w:t>
      </w:r>
      <w:r w:rsidR="005853A9">
        <w:rPr>
          <w:kern w:val="0"/>
        </w:rPr>
        <w:t xml:space="preserve"> and </w:t>
      </w:r>
      <w:r>
        <w:rPr>
          <w:kern w:val="0"/>
        </w:rPr>
        <w:t>safety profiles</w:t>
      </w:r>
      <w:r w:rsidR="00427468">
        <w:rPr>
          <w:kern w:val="0"/>
        </w:rPr>
        <w:t xml:space="preserve"> of </w:t>
      </w:r>
      <w:r>
        <w:rPr>
          <w:kern w:val="0"/>
        </w:rPr>
        <w:t>this new class</w:t>
      </w:r>
      <w:r w:rsidR="00427468">
        <w:rPr>
          <w:kern w:val="0"/>
        </w:rPr>
        <w:t xml:space="preserve"> of </w:t>
      </w:r>
      <w:r>
        <w:rPr>
          <w:kern w:val="0"/>
        </w:rPr>
        <w:t>hypoglycemic drugs. (Curr Ther Res Clin Exp. 2010;71:211-238) (C) 2010 Excerpta Medica Inc.</w:t>
      </w:r>
    </w:p>
    <w:p w:rsidR="00FB195A" w:rsidRDefault="00FB195A" w:rsidP="00FB195A">
      <w:pPr>
        <w:pStyle w:val="a3"/>
        <w:rPr>
          <w:kern w:val="0"/>
        </w:rPr>
      </w:pPr>
      <w:r>
        <w:rPr>
          <w:kern w:val="0"/>
        </w:rPr>
        <w:t>Keywords: Antidiabetic Agents, Beta-Cell Function, Citation, Citations, Complications, Cost-Effectiveness, Diabetes Mellitus, Exenatide, GLP-1, Glucagon-Like Peptide-1, Glycemic Control, Insulin Detemir, Insulin Glargine, Meta-Analysis, Metformin, Publication, Quality</w:t>
      </w:r>
      <w:r w:rsidR="00427468">
        <w:rPr>
          <w:kern w:val="0"/>
        </w:rPr>
        <w:t xml:space="preserve"> of </w:t>
      </w:r>
      <w:r>
        <w:rPr>
          <w:kern w:val="0"/>
        </w:rPr>
        <w:t>Life, Science Citation Index, Science Citation Index Expanded, Sulfonylurea, Tolerability, Treatment, Type 2 Diabetes, Weight</w:t>
      </w:r>
    </w:p>
    <w:p w:rsidR="003474F2" w:rsidRPr="001A3D2B" w:rsidRDefault="003474F2" w:rsidP="003474F2">
      <w:pPr>
        <w:pStyle w:val="1"/>
      </w:pPr>
      <w:r w:rsidRPr="001A3D2B">
        <w:br w:type="page"/>
      </w:r>
      <w:bookmarkStart w:id="502" w:name="_Toc420815169"/>
      <w:r w:rsidRPr="001A3D2B">
        <w:lastRenderedPageBreak/>
        <w:t>Title: Current Topics in Medicinal Chemistry</w:t>
      </w:r>
      <w:bookmarkEnd w:id="502"/>
    </w:p>
    <w:p w:rsidR="003474F2" w:rsidRPr="001A3D2B" w:rsidRDefault="003474F2" w:rsidP="003474F2">
      <w:pPr>
        <w:pStyle w:val="12"/>
      </w:pPr>
      <w:r w:rsidRPr="001A3D2B">
        <w:t>Full Journal Title: Current Topic</w:t>
      </w:r>
      <w:bookmarkStart w:id="503" w:name="_Toc81215695"/>
      <w:r w:rsidRPr="001A3D2B">
        <w:t>s in Medicinal Chemistry</w:t>
      </w:r>
    </w:p>
    <w:p w:rsidR="003474F2" w:rsidRPr="001A3D2B" w:rsidRDefault="003474F2" w:rsidP="003474F2">
      <w:pPr>
        <w:pStyle w:val="12"/>
      </w:pPr>
      <w:r w:rsidRPr="001A3D2B">
        <w:t>ISO Abbreviated Tit</w:t>
      </w:r>
      <w:bookmarkEnd w:id="503"/>
      <w:r w:rsidRPr="001A3D2B">
        <w:t xml:space="preserve">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Default="003474F2" w:rsidP="003474F2">
      <w:pPr>
        <w:pStyle w:val="a3"/>
      </w:pPr>
      <w:r w:rsidRPr="001A3D2B">
        <w:t>? Drlica, K.</w:t>
      </w:r>
      <w:r w:rsidR="005853A9">
        <w:t xml:space="preserve"> and </w:t>
      </w:r>
      <w:r w:rsidRPr="001A3D2B">
        <w:t>Malik, M. (2003), Fluoroquinolones: Action</w:t>
      </w:r>
      <w:r w:rsidR="005853A9">
        <w:t xml:space="preserve"> and </w:t>
      </w:r>
      <w:r w:rsidRPr="001A3D2B">
        <w:t xml:space="preserve">resistance. </w:t>
      </w:r>
      <w:r w:rsidRPr="001A3D2B">
        <w:rPr>
          <w:i/>
          <w:iCs/>
        </w:rPr>
        <w:t>Current Topics in Medicinal Chemistry</w:t>
      </w:r>
      <w:r w:rsidRPr="001A3D2B">
        <w:t xml:space="preserve">, </w:t>
      </w:r>
      <w:r w:rsidRPr="001A3D2B">
        <w:rPr>
          <w:b/>
          <w:bCs/>
        </w:rPr>
        <w:t>3</w:t>
      </w:r>
      <w:r w:rsidRPr="001A3D2B">
        <w:t xml:space="preserve"> (3), 249-282.</w:t>
      </w:r>
    </w:p>
    <w:p w:rsidR="0034485F" w:rsidRPr="001A3D2B" w:rsidRDefault="0034485F" w:rsidP="003474F2">
      <w:pPr>
        <w:pStyle w:val="a3"/>
      </w:pPr>
      <w:r>
        <w:rPr>
          <w:rFonts w:hint="eastAsia"/>
        </w:rPr>
        <w:t xml:space="preserve">Full Text: </w:t>
      </w:r>
      <w:hyperlink r:id="rId1240" w:history="1">
        <w:r w:rsidRPr="0034485F">
          <w:rPr>
            <w:rStyle w:val="a5"/>
          </w:rPr>
          <w:t>2003\Cur Top Med Che3, 249.pdf</w:t>
        </w:r>
      </w:hyperlink>
    </w:p>
    <w:p w:rsidR="003474F2" w:rsidRPr="001A3D2B" w:rsidRDefault="003474F2" w:rsidP="003474F2">
      <w:pPr>
        <w:pStyle w:val="a3"/>
      </w:pPr>
      <w:r w:rsidRPr="001A3D2B">
        <w:t>Abstract: Fluoroquinolones trap gyrase</w:t>
      </w:r>
      <w:r w:rsidR="005853A9">
        <w:t xml:space="preserve"> and </w:t>
      </w:r>
      <w:r w:rsidRPr="001A3D2B">
        <w:t>topoisomerase IV on DNA as ternary complexes that block</w:t>
      </w:r>
      <w:r w:rsidR="003A1917">
        <w:t xml:space="preserve"> the </w:t>
      </w:r>
      <w:r w:rsidRPr="001A3D2B">
        <w:t>movement</w:t>
      </w:r>
      <w:r w:rsidR="00427468">
        <w:t xml:space="preserve"> of </w:t>
      </w:r>
      <w:r w:rsidRPr="001A3D2B">
        <w:t>replication forks</w:t>
      </w:r>
      <w:r w:rsidR="005853A9">
        <w:t xml:space="preserve"> and </w:t>
      </w:r>
      <w:r w:rsidRPr="001A3D2B">
        <w:t>transcription complexes. 71, Studies with resistant mutants indicate that during complex formation quinolones bind to a surface alpha-helix</w:t>
      </w:r>
      <w:r w:rsidR="00427468">
        <w:t xml:space="preserve"> of </w:t>
      </w:r>
      <w:r w:rsidR="003A1917">
        <w:t xml:space="preserve">the </w:t>
      </w:r>
      <w:r w:rsidRPr="001A3D2B">
        <w:t>GyrA</w:t>
      </w:r>
      <w:r w:rsidR="005853A9">
        <w:t xml:space="preserve"> and </w:t>
      </w:r>
      <w:r w:rsidRPr="001A3D2B">
        <w:t>ParC proteins. Lethal action is a distinct event that is proposed to arise from release</w:t>
      </w:r>
      <w:r w:rsidR="00427468">
        <w:t xml:space="preserve"> of </w:t>
      </w:r>
      <w:r w:rsidRPr="001A3D2B">
        <w:t>DNA breaks from</w:t>
      </w:r>
      <w:r w:rsidR="003A1917">
        <w:t xml:space="preserve"> the </w:t>
      </w:r>
      <w:r w:rsidRPr="001A3D2B">
        <w:t>ternary complexes. Many bacterial pathogens are exhibiting resistance due to alterations in drug permeability, drug efflux, gyrase- protecting proteins,</w:t>
      </w:r>
      <w:r w:rsidR="005853A9">
        <w:t xml:space="preserve"> and </w:t>
      </w:r>
      <w:r w:rsidRPr="001A3D2B">
        <w:t>target topoisomerases. When selection</w:t>
      </w:r>
      <w:r w:rsidR="00427468">
        <w:t xml:space="preserve"> of </w:t>
      </w:r>
      <w:r w:rsidRPr="001A3D2B">
        <w:t>resistant mutants is described in terms</w:t>
      </w:r>
      <w:r w:rsidR="00427468">
        <w:t xml:space="preserve"> of </w:t>
      </w:r>
      <w:r w:rsidRPr="001A3D2B">
        <w:t>fluoroquinolone concentration, a threshold (mutant prevention concentration, MPC) can be defined for restricting</w:t>
      </w:r>
      <w:r w:rsidR="003A1917">
        <w:t xml:space="preserve"> the </w:t>
      </w:r>
      <w:r w:rsidRPr="001A3D2B">
        <w:t>development</w:t>
      </w:r>
      <w:r w:rsidR="00427468">
        <w:t xml:space="preserve"> of </w:t>
      </w:r>
      <w:r w:rsidRPr="001A3D2B">
        <w:t>resistance. MPC varies among fluoroquinolones</w:t>
      </w:r>
      <w:r w:rsidR="005853A9">
        <w:t xml:space="preserve"> and </w:t>
      </w:r>
      <w:r w:rsidRPr="001A3D2B">
        <w:t>pathogens; when combined with pharmacokinetics, MPC can be used to identify compounds least likely to enrich mutant subpopulations. Use</w:t>
      </w:r>
      <w:r w:rsidR="00427468">
        <w:t xml:space="preserve"> of </w:t>
      </w:r>
      <w:r w:rsidRPr="001A3D2B">
        <w:t>suboptimal doses</w:t>
      </w:r>
      <w:r w:rsidR="005853A9">
        <w:t xml:space="preserve"> and </w:t>
      </w:r>
      <w:r w:rsidRPr="001A3D2B">
        <w:t>compounds erodes</w:t>
      </w:r>
      <w:r w:rsidR="003A1917">
        <w:t xml:space="preserve"> the </w:t>
      </w:r>
      <w:r w:rsidRPr="001A3D2B">
        <w:t>efficacy</w:t>
      </w:r>
      <w:r w:rsidR="00427468">
        <w:t xml:space="preserve"> of </w:t>
      </w:r>
      <w:r w:rsidR="003A1917">
        <w:t xml:space="preserve">the </w:t>
      </w:r>
      <w:r w:rsidRPr="001A3D2B">
        <w:t>class as a whole because resistance to one quinolone reduces susceptibility to others and, or increases</w:t>
      </w:r>
      <w:r w:rsidR="003A1917">
        <w:t xml:space="preserve"> the </w:t>
      </w:r>
      <w:r w:rsidRPr="001A3D2B">
        <w:t>frequency at which resistance develops. When using fluoroquinolones in combination therapy,</w:t>
      </w:r>
      <w:r w:rsidR="003A1917">
        <w:t xml:space="preserve"> the </w:t>
      </w:r>
      <w:r w:rsidRPr="001A3D2B">
        <w:t>development</w:t>
      </w:r>
      <w:r w:rsidR="00427468">
        <w:t xml:space="preserve"> of </w:t>
      </w:r>
      <w:r w:rsidRPr="001A3D2B">
        <w:t>resistance may be minimized by optimizing regimens for pharmacokinetic overlap</w:t>
      </w:r>
    </w:p>
    <w:p w:rsidR="003474F2" w:rsidRPr="001A3D2B" w:rsidRDefault="003474F2" w:rsidP="003474F2">
      <w:pPr>
        <w:pStyle w:val="a3"/>
      </w:pPr>
      <w:r w:rsidRPr="001A3D2B">
        <w:t xml:space="preserve">Keywords: Antimicrobial Surveillance Program, Coli Dna Gyrase, Community-Acquired Pneumonia, Complete Genome Sequence, Fluoroquinolones, Gatifloxacin, Gyrase, HIV-Related Tuberculosis, Level Ciprofloxacin Resistance, Levofloxacin, Mosaic Elements Bimes, Moxifloxacin, Mutant Prevention Concentration, Mutant Prevention Concentration, Neisseria-Gonorrhoeae Strains, </w:t>
      </w:r>
      <w:r w:rsidRPr="001A3D2B">
        <w:lastRenderedPageBreak/>
        <w:t>Resistance, Topoisomerase IV, Topoisomerase-I Mutants</w:t>
      </w:r>
    </w:p>
    <w:p w:rsidR="00BB1E70" w:rsidRDefault="00BB1E70" w:rsidP="00BB1E70">
      <w:pPr>
        <w:pStyle w:val="a3"/>
        <w:rPr>
          <w:kern w:val="0"/>
          <w:szCs w:val="24"/>
        </w:rPr>
      </w:pPr>
      <w:r>
        <w:rPr>
          <w:rFonts w:hint="eastAsia"/>
          <w:kern w:val="0"/>
          <w:szCs w:val="24"/>
        </w:rPr>
        <w:t xml:space="preserve">? </w:t>
      </w:r>
      <w:r>
        <w:rPr>
          <w:kern w:val="0"/>
          <w:szCs w:val="24"/>
        </w:rPr>
        <w:t>Tenorio-Borroto, E., Penuelas-Rivas, C.G., Vasquez-Chagoyan, J.C., Prado-Pradoa, F.J., Garcia-Mera, X.</w:t>
      </w:r>
      <w:r w:rsidR="005853A9">
        <w:rPr>
          <w:kern w:val="0"/>
          <w:szCs w:val="24"/>
        </w:rPr>
        <w:t xml:space="preserve"> and </w:t>
      </w:r>
      <w:r>
        <w:rPr>
          <w:kern w:val="0"/>
          <w:szCs w:val="24"/>
        </w:rPr>
        <w:t>Gonzalez-Diaz, H. (2012), Immunotoxicity, flow cytometry,</w:t>
      </w:r>
      <w:r w:rsidR="005853A9">
        <w:rPr>
          <w:kern w:val="0"/>
          <w:szCs w:val="24"/>
        </w:rPr>
        <w:t xml:space="preserve"> and </w:t>
      </w:r>
      <w:r>
        <w:rPr>
          <w:kern w:val="0"/>
          <w:szCs w:val="24"/>
        </w:rPr>
        <w:t>chemoinformatics: Review, bibliometric analysis,</w:t>
      </w:r>
      <w:r w:rsidR="005853A9">
        <w:rPr>
          <w:kern w:val="0"/>
          <w:szCs w:val="24"/>
        </w:rPr>
        <w:t xml:space="preserve"> and </w:t>
      </w:r>
      <w:r>
        <w:rPr>
          <w:kern w:val="0"/>
          <w:szCs w:val="24"/>
        </w:rPr>
        <w:t>new QSAR model</w:t>
      </w:r>
      <w:r w:rsidR="00427468">
        <w:rPr>
          <w:kern w:val="0"/>
          <w:szCs w:val="24"/>
        </w:rPr>
        <w:t xml:space="preserve"> of </w:t>
      </w:r>
      <w:r>
        <w:rPr>
          <w:kern w:val="0"/>
          <w:szCs w:val="24"/>
        </w:rPr>
        <w:t xml:space="preserve">drug effects over macrophages. </w:t>
      </w:r>
      <w:r>
        <w:rPr>
          <w:i/>
          <w:iCs/>
          <w:kern w:val="0"/>
          <w:szCs w:val="24"/>
        </w:rPr>
        <w:t>Current Topics in Medicinal Chemistry</w:t>
      </w:r>
      <w:r>
        <w:rPr>
          <w:kern w:val="0"/>
          <w:szCs w:val="24"/>
        </w:rPr>
        <w:t xml:space="preserve">, </w:t>
      </w:r>
      <w:r>
        <w:rPr>
          <w:b/>
          <w:bCs/>
          <w:kern w:val="0"/>
          <w:szCs w:val="24"/>
        </w:rPr>
        <w:t>12</w:t>
      </w:r>
      <w:r>
        <w:rPr>
          <w:kern w:val="0"/>
          <w:szCs w:val="24"/>
        </w:rPr>
        <w:t xml:space="preserve"> (16), 1815-1833.</w:t>
      </w:r>
    </w:p>
    <w:p w:rsidR="00BB1E70" w:rsidRPr="001A3D2B" w:rsidRDefault="00BB1E70" w:rsidP="00BB1E70">
      <w:pPr>
        <w:pStyle w:val="a3"/>
      </w:pPr>
      <w:r>
        <w:rPr>
          <w:rFonts w:hint="eastAsia"/>
        </w:rPr>
        <w:t xml:space="preserve">Full Text: </w:t>
      </w:r>
      <w:r w:rsidRPr="0046740F">
        <w:t>2012\Cur Top Med Che12, 1815.pdf</w:t>
      </w:r>
    </w:p>
    <w:p w:rsidR="00BB1E70" w:rsidRDefault="00BB1E70" w:rsidP="00BB1E70">
      <w:pPr>
        <w:pStyle w:val="a3"/>
        <w:rPr>
          <w:kern w:val="0"/>
          <w:szCs w:val="24"/>
        </w:rPr>
      </w:pPr>
      <w:r>
        <w:rPr>
          <w:kern w:val="0"/>
          <w:szCs w:val="24"/>
        </w:rPr>
        <w:t>Abstract: Bibliometric methods for analyzing</w:t>
      </w:r>
      <w:r w:rsidR="005853A9">
        <w:rPr>
          <w:kern w:val="0"/>
          <w:szCs w:val="24"/>
        </w:rPr>
        <w:t xml:space="preserve"> and </w:t>
      </w:r>
      <w:r>
        <w:rPr>
          <w:kern w:val="0"/>
          <w:szCs w:val="24"/>
        </w:rPr>
        <w:t>describing research output have been supported internationally by the establishment</w:t>
      </w:r>
      <w:r w:rsidR="005853A9">
        <w:rPr>
          <w:kern w:val="0"/>
          <w:szCs w:val="24"/>
        </w:rPr>
        <w:t xml:space="preserve"> and </w:t>
      </w:r>
      <w:r>
        <w:rPr>
          <w:kern w:val="0"/>
          <w:szCs w:val="24"/>
        </w:rPr>
        <w:t>operation</w:t>
      </w:r>
      <w:r w:rsidR="00427468">
        <w:rPr>
          <w:kern w:val="0"/>
          <w:szCs w:val="24"/>
        </w:rPr>
        <w:t xml:space="preserve"> of </w:t>
      </w:r>
      <w:r>
        <w:rPr>
          <w:kern w:val="0"/>
          <w:szCs w:val="24"/>
        </w:rPr>
        <w:t>organizations such as the Institute for Scientific Information (ISI) or Scimago Ranking Institutions (SRI). This study provides an overview</w:t>
      </w:r>
      <w:r w:rsidR="00427468">
        <w:rPr>
          <w:kern w:val="0"/>
          <w:szCs w:val="24"/>
        </w:rPr>
        <w:t xml:space="preserve"> of </w:t>
      </w:r>
      <w:r>
        <w:rPr>
          <w:kern w:val="0"/>
          <w:szCs w:val="24"/>
        </w:rPr>
        <w:t>the research performance</w:t>
      </w:r>
      <w:r w:rsidR="00427468">
        <w:rPr>
          <w:kern w:val="0"/>
          <w:szCs w:val="24"/>
        </w:rPr>
        <w:t xml:space="preserve"> of </w:t>
      </w:r>
      <w:r>
        <w:rPr>
          <w:kern w:val="0"/>
          <w:szCs w:val="24"/>
        </w:rPr>
        <w:t>major World countries in the field cytokines, Citometric bead assays</w:t>
      </w:r>
      <w:r w:rsidR="005853A9">
        <w:rPr>
          <w:kern w:val="0"/>
          <w:szCs w:val="24"/>
        </w:rPr>
        <w:t xml:space="preserve"> and </w:t>
      </w:r>
      <w:r>
        <w:rPr>
          <w:kern w:val="0"/>
          <w:szCs w:val="24"/>
        </w:rPr>
        <w:t>QSAR, the most important journals in which they published their research articles,</w:t>
      </w:r>
      <w:r w:rsidR="005853A9">
        <w:rPr>
          <w:kern w:val="0"/>
          <w:szCs w:val="24"/>
        </w:rPr>
        <w:t xml:space="preserve"> and </w:t>
      </w:r>
      <w:r>
        <w:rPr>
          <w:kern w:val="0"/>
          <w:szCs w:val="24"/>
        </w:rPr>
        <w:t>the most important academic institutions publishing them</w:t>
      </w:r>
      <w:r w:rsidR="00A37C1D">
        <w:rPr>
          <w:kern w:val="0"/>
          <w:szCs w:val="24"/>
        </w:rPr>
        <w:t>. The</w:t>
      </w:r>
      <w:r>
        <w:rPr>
          <w:kern w:val="0"/>
          <w:szCs w:val="24"/>
        </w:rPr>
        <w:t xml:space="preserve"> analysis was based on Thomson Scientific</w:t>
      </w:r>
      <w:r w:rsidR="0071223E">
        <w:rPr>
          <w:kern w:val="0"/>
          <w:szCs w:val="24"/>
        </w:rPr>
        <w:t>’</w:t>
      </w:r>
      <w:r>
        <w:rPr>
          <w:kern w:val="0"/>
          <w:szCs w:val="24"/>
        </w:rPr>
        <w:t xml:space="preserve">s </w:t>
      </w:r>
      <w:r w:rsidR="00D5664A">
        <w:rPr>
          <w:kern w:val="0"/>
          <w:szCs w:val="24"/>
        </w:rPr>
        <w:t>Web</w:t>
      </w:r>
      <w:r w:rsidR="00427468">
        <w:rPr>
          <w:kern w:val="0"/>
          <w:szCs w:val="24"/>
        </w:rPr>
        <w:t xml:space="preserve"> of </w:t>
      </w:r>
      <w:r w:rsidR="00D5664A">
        <w:rPr>
          <w:kern w:val="0"/>
          <w:szCs w:val="24"/>
        </w:rPr>
        <w:t>Science</w:t>
      </w:r>
      <w:r>
        <w:rPr>
          <w:kern w:val="0"/>
          <w:szCs w:val="24"/>
        </w:rPr>
        <w:t xml:space="preserve"> (WoS),</w:t>
      </w:r>
      <w:r w:rsidR="005853A9">
        <w:rPr>
          <w:kern w:val="0"/>
          <w:szCs w:val="24"/>
        </w:rPr>
        <w:t xml:space="preserve"> and </w:t>
      </w:r>
      <w:r>
        <w:rPr>
          <w:kern w:val="0"/>
          <w:szCs w:val="24"/>
        </w:rPr>
        <w:t>Scimago group calculated bibliometric indicators</w:t>
      </w:r>
      <w:r w:rsidR="00427468">
        <w:rPr>
          <w:kern w:val="0"/>
          <w:szCs w:val="24"/>
        </w:rPr>
        <w:t xml:space="preserve"> of </w:t>
      </w:r>
      <w:r>
        <w:rPr>
          <w:kern w:val="0"/>
          <w:szCs w:val="24"/>
        </w:rPr>
        <w:t>publication activity</w:t>
      </w:r>
      <w:r w:rsidR="005853A9">
        <w:rPr>
          <w:kern w:val="0"/>
          <w:szCs w:val="24"/>
        </w:rPr>
        <w:t xml:space="preserve"> and </w:t>
      </w:r>
      <w:r>
        <w:rPr>
          <w:kern w:val="0"/>
          <w:szCs w:val="24"/>
        </w:rPr>
        <w:t>actual citation impact. Studying the time period 2005-2010,</w:t>
      </w:r>
      <w:r w:rsidR="005853A9">
        <w:rPr>
          <w:kern w:val="0"/>
          <w:szCs w:val="24"/>
        </w:rPr>
        <w:t xml:space="preserve"> and </w:t>
      </w:r>
      <w:r>
        <w:rPr>
          <w:kern w:val="0"/>
          <w:szCs w:val="24"/>
        </w:rPr>
        <w:t>shows the visibility</w:t>
      </w:r>
      <w:r w:rsidR="00427468">
        <w:rPr>
          <w:kern w:val="0"/>
          <w:szCs w:val="24"/>
        </w:rPr>
        <w:t xml:space="preserve"> of </w:t>
      </w:r>
      <w:r>
        <w:rPr>
          <w:kern w:val="0"/>
          <w:szCs w:val="24"/>
        </w:rPr>
        <w:t>Medicinal Chemistry Bioorganic in this thematic noting that the visibility</w:t>
      </w:r>
      <w:r w:rsidR="00427468">
        <w:rPr>
          <w:kern w:val="0"/>
          <w:szCs w:val="24"/>
        </w:rPr>
        <w:t xml:space="preserve"> of </w:t>
      </w:r>
      <w:r>
        <w:rPr>
          <w:kern w:val="0"/>
          <w:szCs w:val="24"/>
        </w:rPr>
        <w:t>a journal must take into account not only the impact factor, but the prestige, popularity</w:t>
      </w:r>
      <w:r w:rsidR="005853A9">
        <w:rPr>
          <w:kern w:val="0"/>
          <w:szCs w:val="24"/>
        </w:rPr>
        <w:t xml:space="preserve"> and </w:t>
      </w:r>
      <w:r>
        <w:rPr>
          <w:kern w:val="0"/>
          <w:szCs w:val="24"/>
        </w:rPr>
        <w:t>representativeness</w:t>
      </w:r>
      <w:r w:rsidR="00427468">
        <w:rPr>
          <w:kern w:val="0"/>
          <w:szCs w:val="24"/>
        </w:rPr>
        <w:t xml:space="preserve"> of </w:t>
      </w:r>
      <w:r>
        <w:rPr>
          <w:kern w:val="0"/>
          <w:szCs w:val="24"/>
        </w:rPr>
        <w:t>the theme that addresses the same making a comprehensive assessment</w:t>
      </w:r>
      <w:r w:rsidR="00427468">
        <w:rPr>
          <w:kern w:val="0"/>
          <w:szCs w:val="24"/>
        </w:rPr>
        <w:t xml:space="preserve"> of </w:t>
      </w:r>
      <w:r>
        <w:rPr>
          <w:kern w:val="0"/>
          <w:szCs w:val="24"/>
        </w:rPr>
        <w:t>bibliometric indicators.</w:t>
      </w:r>
    </w:p>
    <w:p w:rsidR="00BB1E70" w:rsidRDefault="00BB1E70" w:rsidP="00BB1E70">
      <w:pPr>
        <w:pStyle w:val="a3"/>
        <w:rPr>
          <w:kern w:val="0"/>
          <w:szCs w:val="24"/>
        </w:rPr>
      </w:pPr>
      <w:r>
        <w:rPr>
          <w:kern w:val="0"/>
          <w:szCs w:val="24"/>
        </w:rPr>
        <w:t xml:space="preserve">Keywords: Analysis, Assessment, Bead Array, Bibliometric, Bibliometric Analysis, Bibliometric Indicators, Bibliometric Methods, Chemistry, Citation, Citation Impact, Citometric Bead Assays, Cytokine Analysis, Cytokines, Discovery, Drug, Field, </w:t>
      </w:r>
      <w:r w:rsidR="00D5664A">
        <w:rPr>
          <w:rFonts w:hint="eastAsia"/>
          <w:kern w:val="0"/>
          <w:szCs w:val="24"/>
        </w:rPr>
        <w:t>h-Index</w:t>
      </w:r>
      <w:r>
        <w:rPr>
          <w:kern w:val="0"/>
          <w:szCs w:val="24"/>
        </w:rPr>
        <w:t>, Impact, Impact Factor, Impact Factors, Indicators, Institute FOR Scientific Information, Institutions</w:t>
      </w:r>
      <w:r w:rsidR="00D5664A">
        <w:rPr>
          <w:kern w:val="0"/>
          <w:szCs w:val="24"/>
        </w:rPr>
        <w:t>, ISI,</w:t>
      </w:r>
      <w:r>
        <w:rPr>
          <w:kern w:val="0"/>
          <w:szCs w:val="24"/>
        </w:rPr>
        <w:t xml:space="preserve"> Journal, Journals, Linear Indexes, Methods, Model, Operation, Performance, Publication, Publication Activity, Publishing, QSAR, Ranking, Rational Design, Research, Research Output, Research Performance, Review, Science, Spectral Moments, Tyrosinase Inhibitors, Visibility, </w:t>
      </w:r>
      <w:r w:rsidR="00D5664A">
        <w:rPr>
          <w:kern w:val="0"/>
          <w:szCs w:val="24"/>
        </w:rPr>
        <w:t>Web</w:t>
      </w:r>
      <w:r w:rsidR="00427468">
        <w:rPr>
          <w:kern w:val="0"/>
          <w:szCs w:val="24"/>
        </w:rPr>
        <w:t xml:space="preserve"> of </w:t>
      </w:r>
      <w:r w:rsidR="00D5664A">
        <w:rPr>
          <w:kern w:val="0"/>
          <w:szCs w:val="24"/>
        </w:rPr>
        <w:t>Science</w:t>
      </w:r>
    </w:p>
    <w:p w:rsidR="00C70208" w:rsidRPr="001A3D2B" w:rsidRDefault="00C70208" w:rsidP="00C70208">
      <w:pPr>
        <w:pStyle w:val="1"/>
        <w:rPr>
          <w:lang w:val="en-GB"/>
        </w:rPr>
      </w:pPr>
      <w:r w:rsidRPr="001A3D2B">
        <w:br w:type="page"/>
      </w:r>
      <w:bookmarkStart w:id="504" w:name="_Toc420815170"/>
      <w:r w:rsidRPr="001A3D2B">
        <w:rPr>
          <w:lang w:val="en-GB"/>
        </w:rPr>
        <w:lastRenderedPageBreak/>
        <w:t xml:space="preserve">Title: </w:t>
      </w:r>
      <w:r w:rsidRPr="00C70208">
        <w:rPr>
          <w:iCs w:val="0"/>
        </w:rPr>
        <w:t>Custos e Agronegocio on Line</w:t>
      </w:r>
      <w:bookmarkEnd w:id="504"/>
    </w:p>
    <w:p w:rsidR="00C70208" w:rsidRPr="00C73C58" w:rsidRDefault="00C70208" w:rsidP="00C70208">
      <w:pPr>
        <w:pStyle w:val="12"/>
      </w:pPr>
      <w:r w:rsidRPr="00C73C58">
        <w:t xml:space="preserve">Full Journal Title: </w:t>
      </w:r>
      <w:r w:rsidRPr="00C70208">
        <w:rPr>
          <w:iCs/>
          <w:kern w:val="0"/>
        </w:rPr>
        <w:t>Custos e Agronegocio on Line</w:t>
      </w:r>
    </w:p>
    <w:p w:rsidR="00C70208" w:rsidRPr="001A3D2B" w:rsidRDefault="00C70208" w:rsidP="00C70208">
      <w:pPr>
        <w:pStyle w:val="12"/>
      </w:pPr>
      <w:r w:rsidRPr="001A3D2B">
        <w:t xml:space="preserve">ISO Abbreviated Title: </w:t>
      </w:r>
    </w:p>
    <w:p w:rsidR="00C70208" w:rsidRPr="001A3D2B" w:rsidRDefault="00C70208" w:rsidP="00C70208">
      <w:pPr>
        <w:pStyle w:val="12"/>
      </w:pPr>
      <w:r w:rsidRPr="001A3D2B">
        <w:t xml:space="preserve">JCR Abbreviated Title: </w:t>
      </w:r>
    </w:p>
    <w:p w:rsidR="00C70208" w:rsidRPr="001A3D2B" w:rsidRDefault="00C70208" w:rsidP="00C70208">
      <w:pPr>
        <w:pStyle w:val="12"/>
      </w:pPr>
      <w:r w:rsidRPr="001A3D2B">
        <w:t xml:space="preserve">ISSN: </w:t>
      </w:r>
    </w:p>
    <w:p w:rsidR="00C70208" w:rsidRPr="001A3D2B" w:rsidRDefault="00C70208" w:rsidP="00C70208">
      <w:pPr>
        <w:pStyle w:val="12"/>
      </w:pPr>
      <w:r w:rsidRPr="001A3D2B">
        <w:t xml:space="preserve">Issues/Year: </w:t>
      </w:r>
    </w:p>
    <w:p w:rsidR="00C70208" w:rsidRPr="001A3D2B" w:rsidRDefault="00C70208" w:rsidP="00C70208">
      <w:pPr>
        <w:pStyle w:val="12"/>
      </w:pPr>
      <w:r w:rsidRPr="001A3D2B">
        <w:t xml:space="preserve">Journal Country/Territory: </w:t>
      </w:r>
    </w:p>
    <w:p w:rsidR="00C70208" w:rsidRPr="001A3D2B" w:rsidRDefault="00C70208" w:rsidP="00C70208">
      <w:pPr>
        <w:pStyle w:val="12"/>
      </w:pPr>
      <w:r w:rsidRPr="001A3D2B">
        <w:t xml:space="preserve">Language: </w:t>
      </w:r>
    </w:p>
    <w:p w:rsidR="00C70208" w:rsidRPr="001A3D2B" w:rsidRDefault="00C70208" w:rsidP="00C70208">
      <w:pPr>
        <w:pStyle w:val="12"/>
      </w:pPr>
      <w:r w:rsidRPr="001A3D2B">
        <w:t xml:space="preserve">Publisher: </w:t>
      </w:r>
    </w:p>
    <w:p w:rsidR="00C70208" w:rsidRPr="001A3D2B" w:rsidRDefault="00C70208" w:rsidP="00C70208">
      <w:pPr>
        <w:pStyle w:val="12"/>
      </w:pPr>
      <w:r w:rsidRPr="001A3D2B">
        <w:t xml:space="preserve">Publisher Address: </w:t>
      </w:r>
    </w:p>
    <w:p w:rsidR="00C70208" w:rsidRPr="001A3D2B" w:rsidRDefault="00C70208" w:rsidP="00C70208">
      <w:pPr>
        <w:pStyle w:val="12"/>
      </w:pPr>
      <w:r w:rsidRPr="001A3D2B">
        <w:t xml:space="preserve">Subject Categories: </w:t>
      </w:r>
    </w:p>
    <w:p w:rsidR="00C70208" w:rsidRPr="001A3D2B" w:rsidRDefault="00C70208" w:rsidP="00C70208">
      <w:pPr>
        <w:pStyle w:val="12"/>
      </w:pPr>
      <w:r w:rsidRPr="001A3D2B">
        <w:t xml:space="preserve">: Impact Factor </w:t>
      </w:r>
    </w:p>
    <w:p w:rsidR="00C70208" w:rsidRDefault="00C70208" w:rsidP="00C70208">
      <w:pPr>
        <w:pStyle w:val="a3"/>
        <w:rPr>
          <w:kern w:val="0"/>
        </w:rPr>
      </w:pPr>
      <w:r>
        <w:rPr>
          <w:kern w:val="0"/>
        </w:rPr>
        <w:t xml:space="preserve">? do Nascimento, J.C.H.B., Bernardes, J.R., de Sousa, W.D., Pinheiro, L.V.D. and de Castro, M.B.M.B. (2014), Analysis of progression of knowledge about Target Costing: A bibliometric analysis of papers presented at the 19th editions of the Brazilian Congress Cost. </w:t>
      </w:r>
      <w:r w:rsidRPr="00C70208">
        <w:rPr>
          <w:i/>
          <w:iCs/>
          <w:kern w:val="0"/>
        </w:rPr>
        <w:t>Custos e Agronegocio on Line</w:t>
      </w:r>
      <w:r>
        <w:rPr>
          <w:kern w:val="0"/>
        </w:rPr>
        <w:t xml:space="preserve">, </w:t>
      </w:r>
      <w:r>
        <w:rPr>
          <w:b/>
          <w:bCs/>
          <w:kern w:val="0"/>
        </w:rPr>
        <w:t>10</w:t>
      </w:r>
      <w:r>
        <w:rPr>
          <w:kern w:val="0"/>
        </w:rPr>
        <w:t xml:space="preserve"> (3), 350-373.</w:t>
      </w:r>
    </w:p>
    <w:p w:rsidR="00C70208" w:rsidRDefault="00C70208" w:rsidP="00C70208">
      <w:pPr>
        <w:pStyle w:val="a3"/>
        <w:rPr>
          <w:kern w:val="0"/>
        </w:rPr>
      </w:pPr>
      <w:r>
        <w:rPr>
          <w:rFonts w:hint="eastAsia"/>
          <w:kern w:val="0"/>
        </w:rPr>
        <w:t xml:space="preserve">Full Text: </w:t>
      </w:r>
      <w:hyperlink r:id="rId1241" w:history="1">
        <w:r w:rsidR="00464A45" w:rsidRPr="00464A45">
          <w:rPr>
            <w:rStyle w:val="a5"/>
            <w:kern w:val="0"/>
          </w:rPr>
          <w:t>2014\Cus Agr Lin10, 350.pdf</w:t>
        </w:r>
      </w:hyperlink>
    </w:p>
    <w:p w:rsidR="00C70208" w:rsidRDefault="00C70208" w:rsidP="00C70208">
      <w:pPr>
        <w:pStyle w:val="a3"/>
        <w:rPr>
          <w:kern w:val="0"/>
        </w:rPr>
      </w:pPr>
      <w:r>
        <w:rPr>
          <w:kern w:val="0"/>
        </w:rPr>
        <w:t>Abstract: This study sought to frame the thematic Target Costing in the framework of progression of knowledge proposed by Ansari, Bell and Okano (2007). To this end, we conducted a bibliometric study in 19 editions of the Brazilian Congress Cost (BCC), which were selected 44 published articles with topics Target Costing, Target Costing and Target Costing. Were noted relevant opportunities for the development of future research at the phases ‘standing practice in the organizational context’, ‘connection with other management tools’ and ‘institutionalization and diffusion’ respectively. On the bibliometric analysis, using the software UCINET (R), it was noted that Wellington Rock occupies the central position in the network of researchers Target Costing in BCC, being the author most influential and of most prestigious in the context analyzed. Finally, it was observed that the books still remain the main source of references, authors with more than one publication in the proceedings of the CBC tend to perform research with different methods over time and that future studies may adopt methodological procedures survey research, action research and simulations.</w:t>
      </w:r>
    </w:p>
    <w:p w:rsidR="00C70208" w:rsidRDefault="00C70208" w:rsidP="00C70208">
      <w:pPr>
        <w:pStyle w:val="a3"/>
        <w:rPr>
          <w:kern w:val="0"/>
        </w:rPr>
      </w:pPr>
      <w:r>
        <w:rPr>
          <w:kern w:val="0"/>
        </w:rPr>
        <w:t xml:space="preserve">Keywords: Action Research, Analysis, Articles, Authors, Bibliometric, Bibliometric Analysis, Bibliometric Study, Cbc, Context, Development, Diffusion, Framework, Knowledge, Management, Methods, Network, Organizational, Papers, Position, Practice, Procedures, Progression, Progression Of Knowledge, Publication, Published Articles, R, References, Research, Researchers, Software, Source, Survey, </w:t>
      </w:r>
      <w:r>
        <w:rPr>
          <w:kern w:val="0"/>
        </w:rPr>
        <w:lastRenderedPageBreak/>
        <w:t>Target Costing</w:t>
      </w:r>
    </w:p>
    <w:p w:rsidR="003474F2" w:rsidRPr="001A3D2B" w:rsidRDefault="003474F2" w:rsidP="003474F2">
      <w:pPr>
        <w:pStyle w:val="1"/>
        <w:rPr>
          <w:lang w:val="en-GB"/>
        </w:rPr>
      </w:pPr>
      <w:r w:rsidRPr="001A3D2B">
        <w:br w:type="page"/>
      </w:r>
      <w:bookmarkStart w:id="505" w:name="_Toc420815171"/>
      <w:r w:rsidRPr="001A3D2B">
        <w:rPr>
          <w:lang w:val="en-GB"/>
        </w:rPr>
        <w:lastRenderedPageBreak/>
        <w:t xml:space="preserve">Title: </w:t>
      </w:r>
      <w:r w:rsidRPr="001A3D2B">
        <w:t>Cutaneous</w:t>
      </w:r>
      <w:r w:rsidR="005853A9">
        <w:t xml:space="preserve"> and </w:t>
      </w:r>
      <w:r w:rsidRPr="001A3D2B">
        <w:t>Ocular Toxicology</w:t>
      </w:r>
      <w:bookmarkEnd w:id="505"/>
    </w:p>
    <w:p w:rsidR="0034485F" w:rsidRDefault="0034485F" w:rsidP="0034485F">
      <w:pPr>
        <w:pStyle w:val="12"/>
      </w:pPr>
      <w:r>
        <w:t>Journal</w:t>
      </w:r>
      <w:r w:rsidR="00427468">
        <w:t xml:space="preserve"> of </w:t>
      </w:r>
      <w:r>
        <w:t>Toxicology. Cutaneous</w:t>
      </w:r>
      <w:r w:rsidR="005853A9">
        <w:t xml:space="preserve"> and </w:t>
      </w:r>
      <w:r>
        <w:t>Ocular Toxicology</w:t>
      </w:r>
      <w:r>
        <w:rPr>
          <w:rFonts w:hint="eastAsia"/>
        </w:rPr>
        <w:t xml:space="preserve"> 1982-2004</w:t>
      </w:r>
    </w:p>
    <w:p w:rsidR="00000282" w:rsidRPr="00C73C58" w:rsidRDefault="00000282" w:rsidP="00000282">
      <w:pPr>
        <w:pStyle w:val="12"/>
      </w:pPr>
      <w:r w:rsidRPr="00C73C58">
        <w:t xml:space="preserve">Full Journal Title: </w:t>
      </w:r>
      <w:hyperlink r:id="rId1242" w:history="1">
        <w:r w:rsidRPr="009E4D40">
          <w:rPr>
            <w:rStyle w:val="a5"/>
          </w:rPr>
          <w:t>Cutaneous</w:t>
        </w:r>
        <w:r w:rsidR="005853A9">
          <w:rPr>
            <w:rStyle w:val="a5"/>
          </w:rPr>
          <w:t xml:space="preserve"> and </w:t>
        </w:r>
        <w:r w:rsidRPr="009E4D40">
          <w:rPr>
            <w:rStyle w:val="a5"/>
          </w:rPr>
          <w:t>Ocular Toxicology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0731-3829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rPr>
          <w:szCs w:val="15"/>
        </w:rPr>
        <w:t xml:space="preserve">? </w:t>
      </w:r>
      <w:r w:rsidRPr="001A3D2B">
        <w:t>Golda, N., Koo, J.</w:t>
      </w:r>
      <w:r w:rsidR="005853A9">
        <w:t xml:space="preserve"> and </w:t>
      </w:r>
      <w:r w:rsidRPr="001A3D2B">
        <w:t>Maibach, H.I. (2005), Effects</w:t>
      </w:r>
      <w:r w:rsidR="005853A9">
        <w:t xml:space="preserve"> and </w:t>
      </w:r>
      <w:r w:rsidRPr="001A3D2B">
        <w:t>uses</w:t>
      </w:r>
      <w:r w:rsidR="00427468">
        <w:t xml:space="preserve"> of </w:t>
      </w:r>
      <w:r w:rsidRPr="001A3D2B">
        <w:t xml:space="preserve">occlusion on human skin: An overview. </w:t>
      </w:r>
      <w:r w:rsidRPr="001A3D2B">
        <w:rPr>
          <w:i/>
        </w:rPr>
        <w:t>Cutaneous</w:t>
      </w:r>
      <w:r w:rsidR="005853A9">
        <w:rPr>
          <w:i/>
        </w:rPr>
        <w:t xml:space="preserve"> and </w:t>
      </w:r>
      <w:r w:rsidRPr="001A3D2B">
        <w:rPr>
          <w:i/>
        </w:rPr>
        <w:t>Ocular Toxicology</w:t>
      </w:r>
      <w:r w:rsidRPr="001A3D2B">
        <w:t xml:space="preserve">, </w:t>
      </w:r>
      <w:r w:rsidRPr="001A3D2B">
        <w:rPr>
          <w:b/>
        </w:rPr>
        <w:t>24</w:t>
      </w:r>
      <w:r w:rsidRPr="001A3D2B">
        <w:t xml:space="preserve"> (2), 91-104.</w:t>
      </w:r>
    </w:p>
    <w:p w:rsidR="00000282" w:rsidRPr="00C73C58" w:rsidRDefault="00000282" w:rsidP="00000282">
      <w:pPr>
        <w:pStyle w:val="a3"/>
      </w:pPr>
      <w:r>
        <w:rPr>
          <w:rFonts w:hint="eastAsia"/>
        </w:rPr>
        <w:t xml:space="preserve">Full Text: </w:t>
      </w:r>
      <w:hyperlink r:id="rId1243" w:history="1">
        <w:r w:rsidRPr="009E4D40">
          <w:rPr>
            <w:rStyle w:val="a5"/>
          </w:rPr>
          <w:t>2005\Cut Ocu Tox24, 91.pdf</w:t>
        </w:r>
      </w:hyperlink>
    </w:p>
    <w:p w:rsidR="003474F2" w:rsidRPr="001A3D2B" w:rsidRDefault="003474F2" w:rsidP="003474F2">
      <w:pPr>
        <w:pStyle w:val="a3"/>
      </w:pPr>
      <w:r w:rsidRPr="001A3D2B">
        <w:t>Abstract:</w:t>
      </w:r>
      <w:r w:rsidR="003A1917">
        <w:t xml:space="preserve"> the </w:t>
      </w:r>
      <w:r w:rsidRPr="001A3D2B">
        <w:t>objective</w:t>
      </w:r>
      <w:r w:rsidR="00427468">
        <w:t xml:space="preserve"> of </w:t>
      </w:r>
      <w:r w:rsidRPr="001A3D2B">
        <w:t>this study is to review</w:t>
      </w:r>
      <w:r w:rsidR="005853A9">
        <w:t xml:space="preserve"> and </w:t>
      </w:r>
      <w:r w:rsidRPr="001A3D2B">
        <w:t>synthesize</w:t>
      </w:r>
      <w:r w:rsidR="003A1917">
        <w:t xml:space="preserve"> the </w:t>
      </w:r>
      <w:r w:rsidRPr="001A3D2B">
        <w:t>literature with reference to</w:t>
      </w:r>
      <w:r w:rsidR="003A1917">
        <w:t xml:space="preserve"> the </w:t>
      </w:r>
      <w:r w:rsidRPr="001A3D2B">
        <w:t>effects</w:t>
      </w:r>
      <w:r w:rsidR="00427468">
        <w:t xml:space="preserve"> of </w:t>
      </w:r>
      <w:r w:rsidRPr="001A3D2B">
        <w:t>occlusive material applied to normal</w:t>
      </w:r>
      <w:r w:rsidR="005853A9">
        <w:t xml:space="preserve"> and </w:t>
      </w:r>
      <w:r w:rsidRPr="001A3D2B">
        <w:t>diseased human skin. Data Sources: A key word</w:t>
      </w:r>
      <w:r w:rsidR="005853A9">
        <w:t xml:space="preserve"> and </w:t>
      </w:r>
      <w:r w:rsidRPr="001A3D2B">
        <w:t>title search</w:t>
      </w:r>
      <w:r w:rsidR="00427468">
        <w:t xml:space="preserve"> of </w:t>
      </w:r>
      <w:r w:rsidRPr="001A3D2B">
        <w:t>all years available on</w:t>
      </w:r>
      <w:r w:rsidR="003A1917">
        <w:t xml:space="preserve"> the </w:t>
      </w:r>
      <w:r w:rsidR="00D5664A">
        <w:t>MEDLINE</w:t>
      </w:r>
      <w:r w:rsidRPr="001A3D2B">
        <w:t xml:space="preserve">, </w:t>
      </w:r>
      <w:r w:rsidR="002C12F0">
        <w:t>PUBMED</w:t>
      </w:r>
      <w:r w:rsidRPr="001A3D2B">
        <w:t>,</w:t>
      </w:r>
      <w:r w:rsidR="005853A9">
        <w:t xml:space="preserve"> and </w:t>
      </w:r>
      <w:r w:rsidRPr="001A3D2B">
        <w:t>Science Citation Index databases, 1966 through 2004, was executed with search terms including occlusion, occlusive,</w:t>
      </w:r>
      <w:r w:rsidR="005853A9">
        <w:t xml:space="preserve"> and </w:t>
      </w:r>
      <w:r w:rsidRPr="001A3D2B">
        <w:t>skin. Conclusions: Occlusive dressings provide effective therapeutic intervention either as an adjunct to topical medications or as a monotherapy for skin diseases such as psoriasis</w:t>
      </w:r>
      <w:r w:rsidR="005853A9">
        <w:t xml:space="preserve"> and </w:t>
      </w:r>
      <w:r w:rsidRPr="001A3D2B">
        <w:t>verruca vulgaris</w:t>
      </w:r>
      <w:r w:rsidR="005853A9">
        <w:t xml:space="preserve"> and </w:t>
      </w:r>
      <w:r w:rsidRPr="001A3D2B">
        <w:t>possibly other dermatologic diseases involving disruption</w:t>
      </w:r>
      <w:r w:rsidR="00427468">
        <w:t xml:space="preserve"> of </w:t>
      </w:r>
      <w:r w:rsidR="003A1917">
        <w:t xml:space="preserve">the </w:t>
      </w:r>
      <w:r w:rsidRPr="001A3D2B">
        <w:t>stratum corneum permeability barrier or abnormal epidermal differentiation; its greatest uses thus far is in treatment</w:t>
      </w:r>
      <w:r w:rsidR="00427468">
        <w:t xml:space="preserve"> of </w:t>
      </w:r>
      <w:r w:rsidRPr="001A3D2B">
        <w:t>psoriasis</w:t>
      </w:r>
      <w:r w:rsidR="005853A9">
        <w:t xml:space="preserve"> and </w:t>
      </w:r>
      <w:r w:rsidRPr="001A3D2B">
        <w:t>dermatitis</w:t>
      </w:r>
      <w:r w:rsidR="00A37C1D">
        <w:t>. The</w:t>
      </w:r>
      <w:r w:rsidR="003A1917">
        <w:t xml:space="preserve"> </w:t>
      </w:r>
      <w:r w:rsidRPr="001A3D2B">
        <w:t>mechanism(s)</w:t>
      </w:r>
      <w:r w:rsidR="00427468">
        <w:t xml:space="preserve"> of </w:t>
      </w:r>
      <w:r w:rsidRPr="001A3D2B">
        <w:t>action remain incompletely explored,</w:t>
      </w:r>
      <w:r w:rsidR="005853A9">
        <w:t xml:space="preserve"> and </w:t>
      </w:r>
      <w:r w:rsidRPr="001A3D2B">
        <w:t>their therapeutic potential is incompletely developed.</w:t>
      </w:r>
    </w:p>
    <w:p w:rsidR="003474F2" w:rsidRPr="001A3D2B" w:rsidRDefault="003474F2" w:rsidP="003474F2">
      <w:pPr>
        <w:pStyle w:val="a3"/>
      </w:pPr>
      <w:r w:rsidRPr="001A3D2B">
        <w:t>Keywords: Occlusion, Occlusive, Skin, Safety, Therapy, Steroid, Sodium Lauryl Sulfate, Epidermal Water-Loss, Barrier Function, Carbon-Dioxide, Percutaneous-Absorption, Triamcinolone Acetonide, Permeability Barrier, Prolonged Occlusion, Psoriasis-Vulgaris, Exposure</w:t>
      </w:r>
    </w:p>
    <w:p w:rsidR="00FA447A" w:rsidRDefault="00FA447A" w:rsidP="00FA447A">
      <w:pPr>
        <w:pStyle w:val="a3"/>
        <w:rPr>
          <w:kern w:val="0"/>
          <w:szCs w:val="24"/>
        </w:rPr>
      </w:pPr>
      <w:r>
        <w:rPr>
          <w:rFonts w:hint="eastAsia"/>
          <w:kern w:val="0"/>
          <w:szCs w:val="24"/>
        </w:rPr>
        <w:t xml:space="preserve">? </w:t>
      </w:r>
      <w:r>
        <w:rPr>
          <w:kern w:val="0"/>
          <w:szCs w:val="24"/>
        </w:rPr>
        <w:t>Hostynek, J.J.</w:t>
      </w:r>
      <w:r w:rsidR="005853A9">
        <w:rPr>
          <w:kern w:val="0"/>
          <w:szCs w:val="24"/>
        </w:rPr>
        <w:t xml:space="preserve"> and </w:t>
      </w:r>
      <w:r>
        <w:rPr>
          <w:kern w:val="0"/>
          <w:szCs w:val="24"/>
        </w:rPr>
        <w:t>Maibach, H.I. (2010), Fentanyl transdermal patches: Overview</w:t>
      </w:r>
      <w:r w:rsidR="00427468">
        <w:rPr>
          <w:kern w:val="0"/>
          <w:szCs w:val="24"/>
        </w:rPr>
        <w:t xml:space="preserve"> of </w:t>
      </w:r>
      <w:r>
        <w:rPr>
          <w:kern w:val="0"/>
          <w:szCs w:val="24"/>
        </w:rPr>
        <w:t xml:space="preserve">cutaneous adverse effects in humans. </w:t>
      </w:r>
      <w:r>
        <w:rPr>
          <w:i/>
          <w:iCs/>
          <w:kern w:val="0"/>
          <w:szCs w:val="24"/>
        </w:rPr>
        <w:t>Cutaneous</w:t>
      </w:r>
      <w:r w:rsidR="005853A9">
        <w:rPr>
          <w:i/>
          <w:iCs/>
          <w:kern w:val="0"/>
          <w:szCs w:val="24"/>
        </w:rPr>
        <w:t xml:space="preserve"> and </w:t>
      </w:r>
      <w:r>
        <w:rPr>
          <w:i/>
          <w:iCs/>
          <w:kern w:val="0"/>
          <w:szCs w:val="24"/>
        </w:rPr>
        <w:t>Ocular Toxicology</w:t>
      </w:r>
      <w:r>
        <w:rPr>
          <w:kern w:val="0"/>
          <w:szCs w:val="24"/>
        </w:rPr>
        <w:t xml:space="preserve">, </w:t>
      </w:r>
      <w:r>
        <w:rPr>
          <w:b/>
          <w:bCs/>
          <w:kern w:val="0"/>
          <w:szCs w:val="24"/>
        </w:rPr>
        <w:t>29</w:t>
      </w:r>
      <w:r>
        <w:rPr>
          <w:kern w:val="0"/>
          <w:szCs w:val="24"/>
        </w:rPr>
        <w:t xml:space="preserve"> (4), 241-246.</w:t>
      </w:r>
    </w:p>
    <w:p w:rsidR="00B1399A" w:rsidRPr="00C73C58" w:rsidRDefault="00B1399A" w:rsidP="00B1399A">
      <w:pPr>
        <w:pStyle w:val="a3"/>
      </w:pPr>
      <w:r>
        <w:rPr>
          <w:rFonts w:hint="eastAsia"/>
        </w:rPr>
        <w:t xml:space="preserve">Full Text: </w:t>
      </w:r>
      <w:hyperlink r:id="rId1244" w:history="1">
        <w:r w:rsidRPr="005F01F7">
          <w:rPr>
            <w:rStyle w:val="a5"/>
          </w:rPr>
          <w:t>2010\Cut Ocu Tox29, 241.pdf</w:t>
        </w:r>
      </w:hyperlink>
    </w:p>
    <w:p w:rsidR="00FA447A" w:rsidRDefault="00FA447A" w:rsidP="00FA447A">
      <w:pPr>
        <w:pStyle w:val="a3"/>
        <w:rPr>
          <w:kern w:val="0"/>
          <w:szCs w:val="24"/>
        </w:rPr>
      </w:pPr>
      <w:r>
        <w:rPr>
          <w:kern w:val="0"/>
          <w:szCs w:val="24"/>
        </w:rPr>
        <w:lastRenderedPageBreak/>
        <w:t xml:space="preserve">Abstract: Using </w:t>
      </w:r>
      <w:r w:rsidR="00D5664A">
        <w:rPr>
          <w:kern w:val="0"/>
          <w:szCs w:val="24"/>
        </w:rPr>
        <w:t>MEDLINE</w:t>
      </w:r>
      <w:r>
        <w:rPr>
          <w:kern w:val="0"/>
          <w:szCs w:val="24"/>
        </w:rPr>
        <w:t>, Embase,</w:t>
      </w:r>
      <w:r w:rsidR="005853A9">
        <w:rPr>
          <w:kern w:val="0"/>
          <w:szCs w:val="24"/>
        </w:rPr>
        <w:t xml:space="preserve"> and </w:t>
      </w:r>
      <w:r w:rsidR="003A1917">
        <w:rPr>
          <w:kern w:val="0"/>
          <w:szCs w:val="24"/>
        </w:rPr>
        <w:t xml:space="preserve">the </w:t>
      </w:r>
      <w:r>
        <w:rPr>
          <w:kern w:val="0"/>
          <w:szCs w:val="24"/>
        </w:rPr>
        <w:t>Science Citation Index, we summarize</w:t>
      </w:r>
      <w:r w:rsidR="003A1917">
        <w:rPr>
          <w:kern w:val="0"/>
          <w:szCs w:val="24"/>
        </w:rPr>
        <w:t xml:space="preserve"> the </w:t>
      </w:r>
      <w:r>
        <w:rPr>
          <w:kern w:val="0"/>
          <w:szCs w:val="24"/>
        </w:rPr>
        <w:t>cutaneous adverse effects</w:t>
      </w:r>
      <w:r w:rsidR="00427468">
        <w:rPr>
          <w:kern w:val="0"/>
          <w:szCs w:val="24"/>
        </w:rPr>
        <w:t xml:space="preserve"> of </w:t>
      </w:r>
      <w:r>
        <w:rPr>
          <w:kern w:val="0"/>
          <w:szCs w:val="24"/>
        </w:rPr>
        <w:t>transdermal</w:t>
      </w:r>
      <w:r w:rsidR="005853A9">
        <w:rPr>
          <w:kern w:val="0"/>
          <w:szCs w:val="24"/>
        </w:rPr>
        <w:t xml:space="preserve"> and </w:t>
      </w:r>
      <w:r>
        <w:rPr>
          <w:kern w:val="0"/>
          <w:szCs w:val="24"/>
        </w:rPr>
        <w:t>parenteral fentanyl</w:t>
      </w:r>
      <w:r w:rsidR="00A37C1D">
        <w:rPr>
          <w:kern w:val="0"/>
          <w:szCs w:val="24"/>
        </w:rPr>
        <w:t>. The</w:t>
      </w:r>
      <w:r w:rsidR="003A1917">
        <w:rPr>
          <w:kern w:val="0"/>
          <w:szCs w:val="24"/>
        </w:rPr>
        <w:t xml:space="preserve"> </w:t>
      </w:r>
      <w:r>
        <w:rPr>
          <w:kern w:val="0"/>
          <w:szCs w:val="24"/>
        </w:rPr>
        <w:t>fentanyl transdermal therapeutic system (TTS; patch) provides continuous systemic delivery</w:t>
      </w:r>
      <w:r w:rsidR="00427468">
        <w:rPr>
          <w:kern w:val="0"/>
          <w:szCs w:val="24"/>
        </w:rPr>
        <w:t xml:space="preserve"> of </w:t>
      </w:r>
      <w:r>
        <w:rPr>
          <w:kern w:val="0"/>
          <w:szCs w:val="24"/>
        </w:rPr>
        <w:t>fentanyl (N-phenyl-N-(1-(2-phenylethyl)-4-piperidinyl) propanamide), a potent opioid analgesic, for 72 hours. Clinical studies</w:t>
      </w:r>
      <w:r w:rsidR="00427468">
        <w:rPr>
          <w:kern w:val="0"/>
          <w:szCs w:val="24"/>
        </w:rPr>
        <w:t xml:space="preserve"> of </w:t>
      </w:r>
      <w:r>
        <w:rPr>
          <w:kern w:val="0"/>
          <w:szCs w:val="24"/>
        </w:rPr>
        <w:t>fentanyl TTSs demonstrated varying rates</w:t>
      </w:r>
      <w:r w:rsidR="00427468">
        <w:rPr>
          <w:kern w:val="0"/>
          <w:szCs w:val="24"/>
        </w:rPr>
        <w:t xml:space="preserve"> of </w:t>
      </w:r>
      <w:r>
        <w:rPr>
          <w:kern w:val="0"/>
          <w:szCs w:val="24"/>
        </w:rPr>
        <w:t>irritation at</w:t>
      </w:r>
      <w:r w:rsidR="003A1917">
        <w:rPr>
          <w:kern w:val="0"/>
          <w:szCs w:val="24"/>
        </w:rPr>
        <w:t xml:space="preserve"> the </w:t>
      </w:r>
      <w:r>
        <w:rPr>
          <w:kern w:val="0"/>
          <w:szCs w:val="24"/>
        </w:rPr>
        <w:t>application site, ranging from none to 42%, with a median</w:t>
      </w:r>
      <w:r w:rsidR="00427468">
        <w:rPr>
          <w:kern w:val="0"/>
          <w:szCs w:val="24"/>
        </w:rPr>
        <w:t xml:space="preserve"> of </w:t>
      </w:r>
      <w:r>
        <w:rPr>
          <w:kern w:val="0"/>
          <w:szCs w:val="24"/>
        </w:rPr>
        <w:t>25%. Most descriptions</w:t>
      </w:r>
      <w:r w:rsidR="00427468">
        <w:rPr>
          <w:kern w:val="0"/>
          <w:szCs w:val="24"/>
        </w:rPr>
        <w:t xml:space="preserve"> of </w:t>
      </w:r>
      <w:r>
        <w:rPr>
          <w:kern w:val="0"/>
          <w:szCs w:val="24"/>
        </w:rPr>
        <w:t>skin reactions included erythema at</w:t>
      </w:r>
      <w:r w:rsidR="003A1917">
        <w:rPr>
          <w:kern w:val="0"/>
          <w:szCs w:val="24"/>
        </w:rPr>
        <w:t xml:space="preserve"> the </w:t>
      </w:r>
      <w:r>
        <w:rPr>
          <w:kern w:val="0"/>
          <w:szCs w:val="24"/>
        </w:rPr>
        <w:t>application site, indicating irritant dermatitis. Skin testing in 2 subjects receiving parenteral doses concluded that although immunoglobulin E (IgE) antibodies to fentanyl exist, few cases</w:t>
      </w:r>
      <w:r w:rsidR="00427468">
        <w:rPr>
          <w:kern w:val="0"/>
          <w:szCs w:val="24"/>
        </w:rPr>
        <w:t xml:space="preserve"> of </w:t>
      </w:r>
      <w:r>
        <w:rPr>
          <w:kern w:val="0"/>
          <w:szCs w:val="24"/>
        </w:rPr>
        <w:t>immediate-type allergic reactions to fentanyl have been substantiated. Comparing</w:t>
      </w:r>
      <w:r w:rsidR="003A1917">
        <w:rPr>
          <w:kern w:val="0"/>
          <w:szCs w:val="24"/>
        </w:rPr>
        <w:t xml:space="preserve"> the </w:t>
      </w:r>
      <w:r>
        <w:rPr>
          <w:kern w:val="0"/>
          <w:szCs w:val="24"/>
        </w:rPr>
        <w:t xml:space="preserve">reactions to anesthetic agents during allergenic testing demonstrated positive </w:t>
      </w:r>
      <w:r w:rsidR="00B5188C">
        <w:rPr>
          <w:kern w:val="0"/>
          <w:szCs w:val="24"/>
        </w:rPr>
        <w:t>“</w:t>
      </w:r>
      <w:r>
        <w:rPr>
          <w:kern w:val="0"/>
          <w:szCs w:val="24"/>
        </w:rPr>
        <w:t>wheal</w:t>
      </w:r>
      <w:r w:rsidR="005853A9">
        <w:rPr>
          <w:kern w:val="0"/>
          <w:szCs w:val="24"/>
        </w:rPr>
        <w:t xml:space="preserve"> and </w:t>
      </w:r>
      <w:r>
        <w:rPr>
          <w:kern w:val="0"/>
          <w:szCs w:val="24"/>
        </w:rPr>
        <w:t>flare</w:t>
      </w:r>
      <w:r w:rsidR="00B5188C">
        <w:rPr>
          <w:kern w:val="0"/>
          <w:szCs w:val="24"/>
        </w:rPr>
        <w:t>”</w:t>
      </w:r>
      <w:r>
        <w:rPr>
          <w:kern w:val="0"/>
          <w:szCs w:val="24"/>
        </w:rPr>
        <w:t xml:space="preserve"> to fentanyl in only 1</w:t>
      </w:r>
      <w:r w:rsidR="00427468">
        <w:rPr>
          <w:kern w:val="0"/>
          <w:szCs w:val="24"/>
        </w:rPr>
        <w:t xml:space="preserve"> of </w:t>
      </w:r>
      <w:r>
        <w:rPr>
          <w:kern w:val="0"/>
          <w:szCs w:val="24"/>
        </w:rPr>
        <w:t>50 patients (2%). Pruritus has been frequently reported during administration</w:t>
      </w:r>
      <w:r w:rsidR="00427468">
        <w:rPr>
          <w:kern w:val="0"/>
          <w:szCs w:val="24"/>
        </w:rPr>
        <w:t xml:space="preserve"> of </w:t>
      </w:r>
      <w:r>
        <w:rPr>
          <w:kern w:val="0"/>
          <w:szCs w:val="24"/>
        </w:rPr>
        <w:t>epidural fentanyl, but allergenicity has not been shown</w:t>
      </w:r>
      <w:r w:rsidR="00A37C1D">
        <w:rPr>
          <w:kern w:val="0"/>
          <w:szCs w:val="24"/>
        </w:rPr>
        <w:t>. The</w:t>
      </w:r>
      <w:r w:rsidR="003A1917">
        <w:rPr>
          <w:kern w:val="0"/>
          <w:szCs w:val="24"/>
        </w:rPr>
        <w:t xml:space="preserve"> </w:t>
      </w:r>
      <w:r>
        <w:rPr>
          <w:kern w:val="0"/>
          <w:szCs w:val="24"/>
        </w:rPr>
        <w:t>few case reports</w:t>
      </w:r>
      <w:r w:rsidR="00427468">
        <w:rPr>
          <w:kern w:val="0"/>
          <w:szCs w:val="24"/>
        </w:rPr>
        <w:t xml:space="preserve"> of </w:t>
      </w:r>
      <w:r>
        <w:rPr>
          <w:kern w:val="0"/>
          <w:szCs w:val="24"/>
        </w:rPr>
        <w:t>possible anaphylactic reactions to fentanyl have not clearly demonstrated fentanyl as</w:t>
      </w:r>
      <w:r w:rsidR="003A1917">
        <w:rPr>
          <w:kern w:val="0"/>
          <w:szCs w:val="24"/>
        </w:rPr>
        <w:t xml:space="preserve"> the </w:t>
      </w:r>
      <w:r>
        <w:rPr>
          <w:kern w:val="0"/>
          <w:szCs w:val="24"/>
        </w:rPr>
        <w:t>ca</w:t>
      </w:r>
      <w:r w:rsidR="00D5664A">
        <w:rPr>
          <w:kern w:val="0"/>
          <w:szCs w:val="24"/>
        </w:rPr>
        <w:t>USA</w:t>
      </w:r>
      <w:r>
        <w:rPr>
          <w:kern w:val="0"/>
          <w:szCs w:val="24"/>
        </w:rPr>
        <w:t>l agent. In addition, transdermal</w:t>
      </w:r>
      <w:r w:rsidR="005853A9">
        <w:rPr>
          <w:kern w:val="0"/>
          <w:szCs w:val="24"/>
        </w:rPr>
        <w:t xml:space="preserve"> and </w:t>
      </w:r>
      <w:r>
        <w:rPr>
          <w:kern w:val="0"/>
          <w:szCs w:val="24"/>
        </w:rPr>
        <w:t>intravenous/epidural routes</w:t>
      </w:r>
      <w:r w:rsidR="00427468">
        <w:rPr>
          <w:kern w:val="0"/>
          <w:szCs w:val="24"/>
        </w:rPr>
        <w:t xml:space="preserve"> of </w:t>
      </w:r>
      <w:r>
        <w:rPr>
          <w:kern w:val="0"/>
          <w:szCs w:val="24"/>
        </w:rPr>
        <w:t>administration may not be comparable because</w:t>
      </w:r>
      <w:r w:rsidR="00427468">
        <w:rPr>
          <w:kern w:val="0"/>
          <w:szCs w:val="24"/>
        </w:rPr>
        <w:t xml:space="preserve"> of </w:t>
      </w:r>
      <w:r>
        <w:rPr>
          <w:kern w:val="0"/>
          <w:szCs w:val="24"/>
        </w:rPr>
        <w:t>large differences in plasma concentrations: When these results are taken together, fentanyl (TTS) has shown limited skin intolerance.</w:t>
      </w:r>
    </w:p>
    <w:p w:rsidR="00FA447A" w:rsidRDefault="00FA447A" w:rsidP="00FA447A">
      <w:pPr>
        <w:pStyle w:val="a3"/>
        <w:rPr>
          <w:kern w:val="0"/>
          <w:szCs w:val="24"/>
        </w:rPr>
      </w:pPr>
      <w:r>
        <w:rPr>
          <w:kern w:val="0"/>
          <w:szCs w:val="24"/>
        </w:rPr>
        <w:t>Keywords: Cancer Pain, Citation, Epidural Fentanyl, Fatal Anaphylactic Reaction, Model, Placebo, Postoperative Analgesia, Propofol, Science Citation Index, Skin, System</w:t>
      </w:r>
    </w:p>
    <w:p w:rsidR="00B1399A" w:rsidRDefault="00B1399A" w:rsidP="00B1399A">
      <w:pPr>
        <w:pStyle w:val="a3"/>
        <w:rPr>
          <w:kern w:val="0"/>
        </w:rPr>
      </w:pPr>
      <w:r>
        <w:rPr>
          <w:rFonts w:hint="eastAsia"/>
          <w:kern w:val="0"/>
        </w:rPr>
        <w:t xml:space="preserve">? </w:t>
      </w:r>
      <w:r>
        <w:rPr>
          <w:kern w:val="0"/>
        </w:rPr>
        <w:t>Hafeez, F.</w:t>
      </w:r>
      <w:r w:rsidR="005853A9">
        <w:rPr>
          <w:kern w:val="0"/>
        </w:rPr>
        <w:t xml:space="preserve"> and </w:t>
      </w:r>
      <w:r>
        <w:rPr>
          <w:kern w:val="0"/>
        </w:rPr>
        <w:t>Maibach, H. (2013), Do partition coefficients (liphophilicity/hydrophilicity) predict effects</w:t>
      </w:r>
      <w:r w:rsidR="00427468">
        <w:rPr>
          <w:kern w:val="0"/>
        </w:rPr>
        <w:t xml:space="preserve"> of </w:t>
      </w:r>
      <w:r>
        <w:rPr>
          <w:kern w:val="0"/>
        </w:rPr>
        <w:t xml:space="preserve">occlusion on percutaneous penetration in vitro: A retrospective review. </w:t>
      </w:r>
      <w:r>
        <w:rPr>
          <w:i/>
          <w:iCs/>
          <w:kern w:val="0"/>
        </w:rPr>
        <w:t>Cutaneous</w:t>
      </w:r>
      <w:r w:rsidR="005853A9">
        <w:rPr>
          <w:i/>
          <w:iCs/>
          <w:kern w:val="0"/>
        </w:rPr>
        <w:t xml:space="preserve"> and </w:t>
      </w:r>
      <w:r>
        <w:rPr>
          <w:i/>
          <w:iCs/>
          <w:kern w:val="0"/>
        </w:rPr>
        <w:t>Ocular Toxicology</w:t>
      </w:r>
      <w:r>
        <w:rPr>
          <w:kern w:val="0"/>
        </w:rPr>
        <w:t xml:space="preserve">, </w:t>
      </w:r>
      <w:r>
        <w:rPr>
          <w:b/>
          <w:bCs/>
          <w:kern w:val="0"/>
        </w:rPr>
        <w:t>32</w:t>
      </w:r>
      <w:r>
        <w:rPr>
          <w:kern w:val="0"/>
        </w:rPr>
        <w:t xml:space="preserve"> (4), 299-303.</w:t>
      </w:r>
    </w:p>
    <w:p w:rsidR="00B1399A" w:rsidRPr="00C73C58" w:rsidRDefault="00B1399A" w:rsidP="00B1399A">
      <w:pPr>
        <w:pStyle w:val="a3"/>
      </w:pPr>
      <w:r>
        <w:rPr>
          <w:rFonts w:hint="eastAsia"/>
        </w:rPr>
        <w:t xml:space="preserve">Full Text: </w:t>
      </w:r>
      <w:hyperlink r:id="rId1245" w:history="1">
        <w:r w:rsidRPr="005F01F7">
          <w:rPr>
            <w:rStyle w:val="a5"/>
          </w:rPr>
          <w:t>2013\Cut Ocu Tox32, 299.pdf</w:t>
        </w:r>
      </w:hyperlink>
    </w:p>
    <w:p w:rsidR="00B1399A" w:rsidRDefault="00B1399A" w:rsidP="00B1399A">
      <w:pPr>
        <w:pStyle w:val="a3"/>
        <w:rPr>
          <w:kern w:val="0"/>
        </w:rPr>
      </w:pPr>
      <w:r>
        <w:rPr>
          <w:kern w:val="0"/>
        </w:rPr>
        <w:t>Abstract: Context: Skin occlusion influences percutaneous penetration by limiting penetrant evaporation, but also through impeding loss</w:t>
      </w:r>
      <w:r w:rsidR="00427468">
        <w:rPr>
          <w:kern w:val="0"/>
        </w:rPr>
        <w:t xml:space="preserve"> of </w:t>
      </w:r>
      <w:r>
        <w:rPr>
          <w:kern w:val="0"/>
        </w:rPr>
        <w:t>water from skin</w:t>
      </w:r>
      <w:r w:rsidR="005853A9">
        <w:rPr>
          <w:kern w:val="0"/>
        </w:rPr>
        <w:t xml:space="preserve"> and </w:t>
      </w:r>
      <w:r>
        <w:rPr>
          <w:kern w:val="0"/>
        </w:rPr>
        <w:t>increasing the hydration state</w:t>
      </w:r>
      <w:r w:rsidR="00427468">
        <w:rPr>
          <w:kern w:val="0"/>
        </w:rPr>
        <w:t xml:space="preserve"> of </w:t>
      </w:r>
      <w:r>
        <w:rPr>
          <w:kern w:val="0"/>
        </w:rPr>
        <w:t>the stratum corneum, thus dramatically altering the physiological nature</w:t>
      </w:r>
      <w:r w:rsidR="00427468">
        <w:rPr>
          <w:kern w:val="0"/>
        </w:rPr>
        <w:t xml:space="preserve"> of </w:t>
      </w:r>
      <w:r>
        <w:rPr>
          <w:kern w:val="0"/>
        </w:rPr>
        <w:t>the stratum corneum. In general, occlusion is widely utilized to enhance penetration</w:t>
      </w:r>
      <w:r w:rsidR="00427468">
        <w:rPr>
          <w:kern w:val="0"/>
        </w:rPr>
        <w:t xml:space="preserve"> of </w:t>
      </w:r>
      <w:r>
        <w:rPr>
          <w:kern w:val="0"/>
        </w:rPr>
        <w:t>applied drugs in clinical practice; however, occlusion does not increase the percutaneous absorption</w:t>
      </w:r>
      <w:r w:rsidR="00427468">
        <w:rPr>
          <w:kern w:val="0"/>
        </w:rPr>
        <w:t xml:space="preserve"> of </w:t>
      </w:r>
      <w:r>
        <w:rPr>
          <w:kern w:val="0"/>
        </w:rPr>
        <w:t>all chemicals. Objective: We focus on what effect occlusion has on the in vitro percutaneous absorption</w:t>
      </w:r>
      <w:r w:rsidR="00427468">
        <w:rPr>
          <w:kern w:val="0"/>
        </w:rPr>
        <w:t xml:space="preserve"> of </w:t>
      </w:r>
      <w:r>
        <w:rPr>
          <w:kern w:val="0"/>
        </w:rPr>
        <w:t>compounds</w:t>
      </w:r>
      <w:r w:rsidR="00427468">
        <w:rPr>
          <w:kern w:val="0"/>
        </w:rPr>
        <w:t xml:space="preserve"> of </w:t>
      </w:r>
      <w:r>
        <w:rPr>
          <w:kern w:val="0"/>
        </w:rPr>
        <w:t>varying lipophilicities/hydrophilicities. Methods: Studies</w:t>
      </w:r>
      <w:r w:rsidR="005853A9">
        <w:rPr>
          <w:kern w:val="0"/>
        </w:rPr>
        <w:t xml:space="preserve"> and </w:t>
      </w:r>
      <w:r>
        <w:rPr>
          <w:kern w:val="0"/>
        </w:rPr>
        <w:t>prior reviews</w:t>
      </w:r>
      <w:r w:rsidR="00427468">
        <w:rPr>
          <w:kern w:val="0"/>
        </w:rPr>
        <w:t xml:space="preserve"> of </w:t>
      </w:r>
      <w:r>
        <w:rPr>
          <w:kern w:val="0"/>
        </w:rPr>
        <w:t>the effects</w:t>
      </w:r>
      <w:r w:rsidR="00427468">
        <w:rPr>
          <w:kern w:val="0"/>
        </w:rPr>
        <w:t xml:space="preserve"> of </w:t>
      </w:r>
      <w:r>
        <w:rPr>
          <w:kern w:val="0"/>
        </w:rPr>
        <w:t>occlusion on the in vitro percutaneous penetration</w:t>
      </w:r>
      <w:r w:rsidR="00427468">
        <w:rPr>
          <w:kern w:val="0"/>
        </w:rPr>
        <w:t xml:space="preserve"> of </w:t>
      </w:r>
      <w:r>
        <w:rPr>
          <w:kern w:val="0"/>
        </w:rPr>
        <w:t>penetrants</w:t>
      </w:r>
      <w:r w:rsidR="00427468">
        <w:rPr>
          <w:kern w:val="0"/>
        </w:rPr>
        <w:t xml:space="preserve"> of </w:t>
      </w:r>
      <w:r>
        <w:rPr>
          <w:kern w:val="0"/>
        </w:rPr>
        <w:t xml:space="preserve">varying lipophilicities/hydrophilicities were identified in the </w:t>
      </w:r>
      <w:r w:rsidR="00D5664A">
        <w:rPr>
          <w:kern w:val="0"/>
        </w:rPr>
        <w:t>MEDLINE</w:t>
      </w:r>
      <w:r>
        <w:rPr>
          <w:kern w:val="0"/>
        </w:rPr>
        <w:t>, PubMED, Embase</w:t>
      </w:r>
      <w:r w:rsidR="005853A9">
        <w:rPr>
          <w:kern w:val="0"/>
        </w:rPr>
        <w:t xml:space="preserve"> and </w:t>
      </w:r>
      <w:r>
        <w:rPr>
          <w:kern w:val="0"/>
        </w:rPr>
        <w:t>Science Citation Index databases using the terms occlusive, occluded, occlusion, in vitro, skin</w:t>
      </w:r>
      <w:r w:rsidR="005853A9">
        <w:rPr>
          <w:kern w:val="0"/>
        </w:rPr>
        <w:t xml:space="preserve"> and </w:t>
      </w:r>
      <w:r>
        <w:rPr>
          <w:kern w:val="0"/>
        </w:rPr>
        <w:t>percutaneous absorption/penetration to generate as broad</w:t>
      </w:r>
      <w:r w:rsidR="00427468">
        <w:rPr>
          <w:kern w:val="0"/>
        </w:rPr>
        <w:t xml:space="preserve"> of </w:t>
      </w:r>
      <w:r>
        <w:rPr>
          <w:kern w:val="0"/>
        </w:rPr>
        <w:t xml:space="preserve">a search as possible. From the results generated, abstracts were subsequently </w:t>
      </w:r>
      <w:r>
        <w:rPr>
          <w:kern w:val="0"/>
        </w:rPr>
        <w:lastRenderedPageBreak/>
        <w:t>scrutinized to identify articles dealing primarily with in vitro models</w:t>
      </w:r>
      <w:r w:rsidR="00427468">
        <w:rPr>
          <w:kern w:val="0"/>
        </w:rPr>
        <w:t xml:space="preserve"> of </w:t>
      </w:r>
      <w:r>
        <w:rPr>
          <w:kern w:val="0"/>
        </w:rPr>
        <w:t>the skin involving occlusion. Moreover, after the identification</w:t>
      </w:r>
      <w:r w:rsidR="00427468">
        <w:rPr>
          <w:kern w:val="0"/>
        </w:rPr>
        <w:t xml:space="preserve"> of </w:t>
      </w:r>
      <w:r>
        <w:rPr>
          <w:kern w:val="0"/>
        </w:rPr>
        <w:t>relevant articles, their references were examined to find additional sources</w:t>
      </w:r>
      <w:r w:rsidR="00427468">
        <w:rPr>
          <w:kern w:val="0"/>
        </w:rPr>
        <w:t xml:space="preserve"> of </w:t>
      </w:r>
      <w:r>
        <w:rPr>
          <w:kern w:val="0"/>
        </w:rPr>
        <w:t>information. Results: After examining the research articles generated by the search results, five original research articles were obtained that used in vitro occlusion models</w:t>
      </w:r>
      <w:r w:rsidR="005853A9">
        <w:rPr>
          <w:kern w:val="0"/>
        </w:rPr>
        <w:t xml:space="preserve"> and </w:t>
      </w:r>
      <w:r>
        <w:rPr>
          <w:kern w:val="0"/>
        </w:rPr>
        <w:t>provided insight regarding the role</w:t>
      </w:r>
      <w:r w:rsidR="00427468">
        <w:rPr>
          <w:kern w:val="0"/>
        </w:rPr>
        <w:t xml:space="preserve"> of </w:t>
      </w:r>
      <w:r>
        <w:rPr>
          <w:kern w:val="0"/>
        </w:rPr>
        <w:t>partition coefficients in predicting occlusion</w:t>
      </w:r>
      <w:r w:rsidR="0071223E">
        <w:rPr>
          <w:kern w:val="0"/>
        </w:rPr>
        <w:t>’</w:t>
      </w:r>
      <w:r>
        <w:rPr>
          <w:kern w:val="0"/>
        </w:rPr>
        <w:t>s effects on percutaneous penetration; articles that dealt with occlusion</w:t>
      </w:r>
      <w:r w:rsidR="005853A9">
        <w:rPr>
          <w:kern w:val="0"/>
        </w:rPr>
        <w:t xml:space="preserve"> and </w:t>
      </w:r>
      <w:r>
        <w:rPr>
          <w:kern w:val="0"/>
        </w:rPr>
        <w:t>percutaneous penetration but did not shed light on how the lipophilicity/hydrophilicity</w:t>
      </w:r>
      <w:r w:rsidR="00427468">
        <w:rPr>
          <w:kern w:val="0"/>
        </w:rPr>
        <w:t xml:space="preserve"> of </w:t>
      </w:r>
      <w:r>
        <w:rPr>
          <w:kern w:val="0"/>
        </w:rPr>
        <w:t>a compound could affect occlusion efficacy were excluded. Some</w:t>
      </w:r>
      <w:r w:rsidR="00427468">
        <w:rPr>
          <w:kern w:val="0"/>
        </w:rPr>
        <w:t xml:space="preserve"> of </w:t>
      </w:r>
      <w:r>
        <w:rPr>
          <w:kern w:val="0"/>
        </w:rPr>
        <w:t>the studies bolster the notion that occlusion-enhanced hydration</w:t>
      </w:r>
      <w:r w:rsidR="00427468">
        <w:rPr>
          <w:kern w:val="0"/>
        </w:rPr>
        <w:t xml:space="preserve"> of </w:t>
      </w:r>
      <w:r>
        <w:rPr>
          <w:kern w:val="0"/>
        </w:rPr>
        <w:t>the stratum corneum increases the percutaneous absorption</w:t>
      </w:r>
      <w:r w:rsidR="00427468">
        <w:rPr>
          <w:kern w:val="0"/>
        </w:rPr>
        <w:t xml:space="preserve"> of </w:t>
      </w:r>
      <w:r>
        <w:rPr>
          <w:kern w:val="0"/>
        </w:rPr>
        <w:t>lipophilic molecules more than hydrophilic molecules, which seems to confirm some in vivo studies. However, this effect was not consistent; many studies reviewed did not find that the penetrant</w:t>
      </w:r>
      <w:r w:rsidR="0071223E">
        <w:rPr>
          <w:kern w:val="0"/>
        </w:rPr>
        <w:t>’</w:t>
      </w:r>
      <w:r>
        <w:rPr>
          <w:kern w:val="0"/>
        </w:rPr>
        <w:t>s liphophilicity/hydrophilicity reliably predicted occlusion</w:t>
      </w:r>
      <w:r w:rsidR="0071223E">
        <w:rPr>
          <w:kern w:val="0"/>
        </w:rPr>
        <w:t>’</w:t>
      </w:r>
      <w:r>
        <w:rPr>
          <w:kern w:val="0"/>
        </w:rPr>
        <w:t>s effect on penetration. In these studies, lipophilic compounds did not demonstrate increased percutaneous absorption under occlusion. Conclusion: Thus, it does not seem that partition coefficients can reliably predict the effect</w:t>
      </w:r>
      <w:r w:rsidR="00427468">
        <w:rPr>
          <w:kern w:val="0"/>
        </w:rPr>
        <w:t xml:space="preserve"> of </w:t>
      </w:r>
      <w:r>
        <w:rPr>
          <w:kern w:val="0"/>
        </w:rPr>
        <w:t>occlusion on percutaneous penetration in vitro. This suggests skin occlusion may be more complex than previously thought.</w:t>
      </w:r>
    </w:p>
    <w:p w:rsidR="00B1399A" w:rsidRDefault="00B1399A" w:rsidP="00B1399A">
      <w:pPr>
        <w:pStyle w:val="a3"/>
        <w:rPr>
          <w:kern w:val="0"/>
        </w:rPr>
      </w:pPr>
      <w:r>
        <w:rPr>
          <w:kern w:val="0"/>
        </w:rPr>
        <w:t xml:space="preserve">Keywords: Absorption, Barrier Function, Barrier Function, Chemicals, Citation, Clinical, Clinical Practice, Databases, Dressings, Drugs, Effects, Efficacy, Epidermal Water-Loss, General, Human-Skin, Hydration, Hydrophilicity, Identification, In Vitro, Information, Liphophilicity, </w:t>
      </w:r>
      <w:r w:rsidR="00D5664A">
        <w:rPr>
          <w:kern w:val="0"/>
        </w:rPr>
        <w:t>MEDLINE</w:t>
      </w:r>
      <w:r>
        <w:rPr>
          <w:kern w:val="0"/>
        </w:rPr>
        <w:t>, Methods, Models, Notion, Occlusion, Octanol-Water Partition Coefficient, Percutaneous, Percutaneous Absorption, Percutaneous Absorption, Penetration, Practice, Prolonged Occlusion, References, Research, Results, Review, Reviews, Role, Science, Science Citation Index, Skin, Sources, Sources</w:t>
      </w:r>
      <w:r w:rsidR="00427468">
        <w:rPr>
          <w:kern w:val="0"/>
        </w:rPr>
        <w:t xml:space="preserve"> of </w:t>
      </w:r>
      <w:r>
        <w:rPr>
          <w:kern w:val="0"/>
        </w:rPr>
        <w:t>Information, State, Stratum Corneum, Stratum-Corneum, Superficial Wounds, Vivo, Volatile Compounds, Water</w:t>
      </w:r>
    </w:p>
    <w:p w:rsidR="003474F2" w:rsidRPr="001A3D2B" w:rsidRDefault="003474F2" w:rsidP="003474F2">
      <w:pPr>
        <w:pStyle w:val="1"/>
        <w:rPr>
          <w:lang w:val="en-GB"/>
        </w:rPr>
      </w:pPr>
      <w:r w:rsidRPr="001A3D2B">
        <w:br w:type="page"/>
      </w:r>
      <w:bookmarkStart w:id="506" w:name="_Toc420815172"/>
      <w:r w:rsidRPr="001A3D2B">
        <w:rPr>
          <w:lang w:val="en-GB"/>
        </w:rPr>
        <w:lastRenderedPageBreak/>
        <w:t>Title: Cybermetrics</w:t>
      </w:r>
      <w:bookmarkEnd w:id="506"/>
    </w:p>
    <w:p w:rsidR="003474F2" w:rsidRPr="001A3D2B" w:rsidRDefault="003474F2" w:rsidP="0034485F">
      <w:pPr>
        <w:pStyle w:val="12"/>
        <w:rPr>
          <w:lang w:val="en-GB"/>
        </w:rPr>
      </w:pPr>
      <w:r w:rsidRPr="001A3D2B">
        <w:t>International Journal</w:t>
      </w:r>
      <w:r w:rsidR="00427468">
        <w:t xml:space="preserve"> of </w:t>
      </w:r>
      <w:r w:rsidRPr="001A3D2B">
        <w:t>Scientometrics, Informetrics</w:t>
      </w:r>
      <w:r w:rsidR="005853A9">
        <w:t xml:space="preserve"> and </w:t>
      </w:r>
      <w:bookmarkStart w:id="507" w:name="_Toc81215696"/>
      <w:r w:rsidRPr="001A3D2B">
        <w:t>Bibliometrics</w:t>
      </w:r>
    </w:p>
    <w:p w:rsidR="003474F2" w:rsidRPr="001A3D2B" w:rsidRDefault="003474F2" w:rsidP="003474F2">
      <w:pPr>
        <w:pStyle w:val="12"/>
        <w:rPr>
          <w:lang w:val="en-GB"/>
        </w:rPr>
      </w:pPr>
      <w:r w:rsidRPr="001A3D2B">
        <w:rPr>
          <w:lang w:val="en-GB"/>
        </w:rPr>
        <w:t xml:space="preserve">Full </w:t>
      </w:r>
      <w:bookmarkEnd w:id="507"/>
      <w:r w:rsidRPr="001A3D2B">
        <w:rPr>
          <w:lang w:val="en-GB"/>
        </w:rPr>
        <w:t xml:space="preserve">Journal Title: </w:t>
      </w:r>
      <w:hyperlink r:id="rId1246" w:history="1">
        <w:r w:rsidRPr="001A3D2B">
          <w:rPr>
            <w:rStyle w:val="a5"/>
            <w:lang w:val="en-GB"/>
          </w:rPr>
          <w:t>Cybermetrics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1137-5019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Koehler, W., Anderson, A., Dowdy, B., Fields, D., Golden, M., Hall, D., Johnson, A., Kipp, C., Ortega, U., Ripley, E., Roddy, R., Shaffer, K., Shelburn, S.</w:t>
      </w:r>
      <w:r w:rsidR="005853A9">
        <w:t xml:space="preserve"> and </w:t>
      </w:r>
      <w:r w:rsidRPr="001A3D2B">
        <w:t>Wasteneys, C. (2000), A profile in statistics</w:t>
      </w:r>
      <w:r w:rsidR="00427468">
        <w:t xml:space="preserve"> of </w:t>
      </w:r>
      <w:r w:rsidRPr="001A3D2B">
        <w:t>journal articles: fifty years</w:t>
      </w:r>
      <w:r w:rsidR="00427468">
        <w:t xml:space="preserve"> of </w:t>
      </w:r>
      <w:r w:rsidRPr="001A3D2B">
        <w:t>American documentation</w:t>
      </w:r>
      <w:r w:rsidR="005853A9">
        <w:t xml:space="preserve"> and </w:t>
      </w:r>
      <w:r w:rsidR="003A1917">
        <w:t xml:space="preserve">the </w:t>
      </w:r>
      <w:r w:rsidRPr="001A3D2B">
        <w:rPr>
          <w:i/>
          <w:iCs/>
        </w:rPr>
        <w:t>Journal</w:t>
      </w:r>
      <w:r w:rsidR="00427468">
        <w:rPr>
          <w:i/>
          <w:iCs/>
        </w:rPr>
        <w:t xml:space="preserve"> of </w:t>
      </w:r>
      <w:r w:rsidR="003A1917">
        <w:rPr>
          <w:i/>
          <w:iCs/>
        </w:rPr>
        <w:t xml:space="preserve">the </w:t>
      </w:r>
      <w:r w:rsidRPr="001A3D2B">
        <w:rPr>
          <w:i/>
          <w:iCs/>
        </w:rPr>
        <w:t>American Society for Information Science</w:t>
      </w:r>
      <w:r w:rsidRPr="001A3D2B">
        <w:t xml:space="preserve">. </w:t>
      </w:r>
      <w:r w:rsidRPr="001A3D2B">
        <w:rPr>
          <w:i/>
          <w:iCs/>
        </w:rPr>
        <w:t>Cybermetrics</w:t>
      </w:r>
      <w:r w:rsidRPr="001A3D2B">
        <w:t xml:space="preserve">, </w:t>
      </w:r>
      <w:r w:rsidRPr="001A3D2B">
        <w:rPr>
          <w:b/>
          <w:bCs/>
        </w:rPr>
        <w:t>4</w:t>
      </w:r>
      <w:r w:rsidRPr="001A3D2B">
        <w:t xml:space="preserve"> (1), paper 3.</w:t>
      </w:r>
    </w:p>
    <w:p w:rsidR="003474F2" w:rsidRPr="001A3D2B" w:rsidRDefault="003474F2" w:rsidP="003474F2">
      <w:pPr>
        <w:pStyle w:val="a3"/>
      </w:pPr>
      <w:r w:rsidRPr="001A3D2B">
        <w:t xml:space="preserve">Full Text: </w:t>
      </w:r>
      <w:hyperlink r:id="rId1247" w:history="1">
        <w:r w:rsidRPr="001A3D2B">
          <w:rPr>
            <w:rStyle w:val="a5"/>
          </w:rPr>
          <w:t>2000\Cybermetrics4, 3.pdf</w:t>
        </w:r>
      </w:hyperlink>
    </w:p>
    <w:p w:rsidR="003474F2" w:rsidRPr="001A3D2B" w:rsidRDefault="003474F2" w:rsidP="003474F2">
      <w:pPr>
        <w:pStyle w:val="a3"/>
      </w:pPr>
      <w:r w:rsidRPr="001A3D2B">
        <w:t>Abstract: JASIS has consistently been identified as one</w:t>
      </w:r>
      <w:r w:rsidR="003A1917">
        <w:t xml:space="preserve"> the </w:t>
      </w:r>
      <w:r w:rsidRPr="001A3D2B">
        <w:t>major information science</w:t>
      </w:r>
      <w:r w:rsidR="005853A9">
        <w:t xml:space="preserve"> and </w:t>
      </w:r>
      <w:r w:rsidRPr="001A3D2B">
        <w:t>library journals both in</w:t>
      </w:r>
      <w:r w:rsidR="003A1917">
        <w:t xml:space="preserve"> the </w:t>
      </w:r>
      <w:r w:rsidRPr="001A3D2B">
        <w:t>United States as well as for</w:t>
      </w:r>
      <w:r w:rsidR="003A1917">
        <w:t xml:space="preserve"> the </w:t>
      </w:r>
      <w:r w:rsidRPr="001A3D2B">
        <w:t>rest</w:t>
      </w:r>
      <w:r w:rsidR="00427468">
        <w:t xml:space="preserve"> of </w:t>
      </w:r>
      <w:r w:rsidR="003A1917">
        <w:t xml:space="preserve">the </w:t>
      </w:r>
      <w:r w:rsidRPr="001A3D2B">
        <w:t>world (Kohl &amp; Davis, 1985; Rice 1990; Siddiqui, 1997; Wormeli, 1998; Nisonger, 1999)</w:t>
      </w:r>
      <w:r w:rsidR="00A37C1D">
        <w:t>. The</w:t>
      </w:r>
      <w:r w:rsidR="003A1917">
        <w:t xml:space="preserve"> </w:t>
      </w:r>
      <w:r w:rsidRPr="001A3D2B">
        <w:t>journal has also long been regarded as one</w:t>
      </w:r>
      <w:r w:rsidR="00427468">
        <w:t xml:space="preserve"> of </w:t>
      </w:r>
      <w:r w:rsidR="003A1917">
        <w:t xml:space="preserve">the </w:t>
      </w:r>
      <w:r w:rsidRPr="001A3D2B">
        <w:t>discipline</w:t>
      </w:r>
      <w:r w:rsidR="0071223E">
        <w:t>’</w:t>
      </w:r>
      <w:r w:rsidR="00C13DDC">
        <w:t>s</w:t>
      </w:r>
      <w:r w:rsidRPr="001A3D2B">
        <w:t xml:space="preserve"> chief archival documents.</w:t>
      </w:r>
      <w:r w:rsidR="005853A9">
        <w:t xml:space="preserve"> and </w:t>
      </w:r>
      <w:r w:rsidRPr="001A3D2B">
        <w:t>archival documents retain their influence over their disciplines far longer than do other quality publications (Griffith et al, 1979). Based on our analysis</w:t>
      </w:r>
      <w:r w:rsidR="00427468">
        <w:t xml:space="preserve"> of </w:t>
      </w:r>
      <w:r w:rsidRPr="001A3D2B">
        <w:t>articles published in AD</w:t>
      </w:r>
      <w:r w:rsidR="005853A9">
        <w:t xml:space="preserve"> and </w:t>
      </w:r>
      <w:r w:rsidRPr="001A3D2B">
        <w:t>JASIS from 1950 to 1999, we find that there has been a slow but perhaps inevitable shift based first on</w:t>
      </w:r>
      <w:r w:rsidR="003A1917">
        <w:t xml:space="preserve"> the </w:t>
      </w:r>
      <w:r w:rsidRPr="001A3D2B">
        <w:t>single nonfunded researcher</w:t>
      </w:r>
      <w:r w:rsidR="005853A9">
        <w:t xml:space="preserve"> and </w:t>
      </w:r>
      <w:r w:rsidRPr="001A3D2B">
        <w:t>author to a much wider research</w:t>
      </w:r>
      <w:r w:rsidR="005853A9">
        <w:t xml:space="preserve"> and </w:t>
      </w:r>
      <w:r w:rsidRPr="001A3D2B">
        <w:t>publishing participation among authors, regions, corporate authors,</w:t>
      </w:r>
      <w:r w:rsidR="005853A9">
        <w:t xml:space="preserve"> and </w:t>
      </w:r>
      <w:r w:rsidRPr="001A3D2B">
        <w:t>countries. This suggests not only cross-fertilization</w:t>
      </w:r>
      <w:r w:rsidR="00427468">
        <w:t xml:space="preserve"> of </w:t>
      </w:r>
      <w:r w:rsidRPr="001A3D2B">
        <w:t>ideas, but also more complex research questions. A small trend toward greater external funding further reinforces this finding. We also chose to close our data collection with</w:t>
      </w:r>
      <w:r w:rsidR="003A1917">
        <w:t xml:space="preserve"> the </w:t>
      </w:r>
      <w:r w:rsidRPr="001A3D2B">
        <w:t>last number</w:t>
      </w:r>
      <w:r w:rsidR="00427468">
        <w:t xml:space="preserve"> of </w:t>
      </w:r>
      <w:r w:rsidRPr="001A3D2B">
        <w:t>volume 50. This is less by design than by serendipity, since</w:t>
      </w:r>
      <w:r w:rsidR="003A1917">
        <w:t xml:space="preserve"> the </w:t>
      </w:r>
      <w:r w:rsidRPr="001A3D2B">
        <w:t>data collection</w:t>
      </w:r>
      <w:r w:rsidR="005853A9">
        <w:t xml:space="preserve"> and </w:t>
      </w:r>
      <w:r w:rsidRPr="001A3D2B">
        <w:t>initial analyses were conceived as a class project for</w:t>
      </w:r>
      <w:r w:rsidR="003A1917">
        <w:t xml:space="preserve"> the </w:t>
      </w:r>
      <w:r w:rsidRPr="001A3D2B">
        <w:t>Elements</w:t>
      </w:r>
      <w:r w:rsidR="00427468">
        <w:t xml:space="preserve"> of </w:t>
      </w:r>
      <w:r w:rsidRPr="001A3D2B">
        <w:t>Research course</w:t>
      </w:r>
      <w:r w:rsidR="00427468">
        <w:t xml:space="preserve"> of </w:t>
      </w:r>
      <w:r w:rsidR="003A1917">
        <w:t xml:space="preserve">the </w:t>
      </w:r>
      <w:r w:rsidRPr="001A3D2B">
        <w:t>School</w:t>
      </w:r>
      <w:r w:rsidR="00427468">
        <w:t xml:space="preserve"> of </w:t>
      </w:r>
      <w:r w:rsidRPr="001A3D2B">
        <w:t>Library</w:t>
      </w:r>
      <w:r w:rsidR="005853A9">
        <w:t xml:space="preserve"> and </w:t>
      </w:r>
      <w:r w:rsidRPr="001A3D2B">
        <w:t>Information Studies at</w:t>
      </w:r>
      <w:r w:rsidR="003A1917">
        <w:t xml:space="preserve"> the </w:t>
      </w:r>
      <w:r w:rsidRPr="001A3D2B">
        <w:t>University</w:t>
      </w:r>
      <w:r w:rsidR="00427468">
        <w:t xml:space="preserve"> of </w:t>
      </w:r>
      <w:r w:rsidRPr="001A3D2B">
        <w:t>Oklahoma for fall semester 1999.</w:t>
      </w:r>
    </w:p>
    <w:p w:rsidR="003474F2" w:rsidRPr="001A3D2B" w:rsidRDefault="003474F2" w:rsidP="003474F2">
      <w:pPr>
        <w:pStyle w:val="a3"/>
      </w:pPr>
      <w:r w:rsidRPr="001A3D2B">
        <w:t xml:space="preserve">Keywords: Ad, Analyses, Analysis, Collection, Course, Data, Data Collection, Design, Documentation, First, Funding, Information, Information Science, Journal, Journal </w:t>
      </w:r>
      <w:r w:rsidRPr="001A3D2B">
        <w:lastRenderedPageBreak/>
        <w:t>Articles, Journals, Oklahoma, Participation, Publications, Publishing, Quality, Research, Science, Small, Statistics, Trend, United States, Volume, World</w:t>
      </w:r>
    </w:p>
    <w:p w:rsidR="003474F2" w:rsidRPr="001A3D2B" w:rsidRDefault="003474F2" w:rsidP="003474F2">
      <w:pPr>
        <w:pStyle w:val="a3"/>
      </w:pPr>
      <w:r w:rsidRPr="001A3D2B">
        <w:rPr>
          <w:szCs w:val="15"/>
        </w:rPr>
        <w:t xml:space="preserve">Chan, L.C.Y., Jin, B., Rousseau, R., </w:t>
      </w:r>
      <w:smartTag w:uri="urn:schemas-microsoft-com:office:smarttags" w:element="City">
        <w:r w:rsidRPr="001A3D2B">
          <w:rPr>
            <w:szCs w:val="15"/>
          </w:rPr>
          <w:t>Vaughan</w:t>
        </w:r>
      </w:smartTag>
      <w:r w:rsidRPr="001A3D2B">
        <w:rPr>
          <w:szCs w:val="15"/>
        </w:rPr>
        <w:t>, L.</w:t>
      </w:r>
      <w:r w:rsidR="005853A9">
        <w:rPr>
          <w:szCs w:val="15"/>
        </w:rPr>
        <w:t xml:space="preserve"> and </w:t>
      </w:r>
      <w:r w:rsidRPr="001A3D2B">
        <w:rPr>
          <w:szCs w:val="15"/>
        </w:rPr>
        <w:t>Yu, Y.</w:t>
      </w:r>
      <w:r w:rsidRPr="001A3D2B">
        <w:t xml:space="preserve"> (2002-3), Newspaper coverage</w:t>
      </w:r>
      <w:r w:rsidR="00427468">
        <w:t xml:space="preserve"> of </w:t>
      </w:r>
      <w:r w:rsidRPr="001A3D2B">
        <w:t xml:space="preserve">SARS: A comparison among </w:t>
      </w:r>
      <w:smartTag w:uri="urn:schemas-microsoft-com:office:smarttags" w:element="country-region">
        <w:r w:rsidRPr="001A3D2B">
          <w:t>Canada</w:t>
        </w:r>
      </w:smartTag>
      <w:r w:rsidRPr="001A3D2B">
        <w:t>, Hong Kong, Mainland China</w:t>
      </w:r>
      <w:r w:rsidR="005853A9">
        <w:t xml:space="preserve"> and </w:t>
      </w:r>
      <w:r w:rsidRPr="001A3D2B">
        <w:t xml:space="preserve">Western Europe. </w:t>
      </w:r>
      <w:r w:rsidRPr="001A3D2B">
        <w:rPr>
          <w:i/>
          <w:iCs/>
        </w:rPr>
        <w:t>Cybermetrics</w:t>
      </w:r>
      <w:r w:rsidRPr="001A3D2B">
        <w:t xml:space="preserve">, </w:t>
      </w:r>
      <w:r w:rsidRPr="001A3D2B">
        <w:rPr>
          <w:b/>
          <w:bCs/>
        </w:rPr>
        <w:t>6-7</w:t>
      </w:r>
      <w:r w:rsidRPr="001A3D2B">
        <w:t>, 1-12.</w:t>
      </w:r>
    </w:p>
    <w:p w:rsidR="003474F2" w:rsidRPr="001A3D2B" w:rsidRDefault="003474F2" w:rsidP="003474F2">
      <w:pPr>
        <w:pStyle w:val="a3"/>
      </w:pPr>
      <w:r w:rsidRPr="001A3D2B">
        <w:t xml:space="preserve">Full Text: </w:t>
      </w:r>
      <w:hyperlink r:id="rId1248" w:history="1">
        <w:r w:rsidRPr="001A3D2B">
          <w:rPr>
            <w:rStyle w:val="a5"/>
          </w:rPr>
          <w:t>2002\Cybermetrics6-7, 1.pdf</w:t>
        </w:r>
      </w:hyperlink>
    </w:p>
    <w:p w:rsidR="003474F2" w:rsidRPr="001A3D2B" w:rsidRDefault="003474F2" w:rsidP="003474F2">
      <w:pPr>
        <w:pStyle w:val="a3"/>
      </w:pPr>
      <w:r w:rsidRPr="001A3D2B">
        <w:rPr>
          <w:szCs w:val="15"/>
        </w:rPr>
        <w:t>Abstract</w:t>
      </w:r>
      <w:r w:rsidRPr="001A3D2B">
        <w:t>: A quantitative analysis</w:t>
      </w:r>
      <w:r w:rsidR="00427468">
        <w:t xml:space="preserve"> of </w:t>
      </w:r>
      <w:r w:rsidRPr="001A3D2B">
        <w:t>newspaper coverage</w:t>
      </w:r>
      <w:r w:rsidR="00427468">
        <w:t xml:space="preserve"> of </w:t>
      </w:r>
      <w:r w:rsidRPr="001A3D2B">
        <w:t>SARS was conducted, where</w:t>
      </w:r>
      <w:r w:rsidR="003A1917">
        <w:t xml:space="preserve"> the </w:t>
      </w:r>
      <w:r w:rsidRPr="001A3D2B">
        <w:t>occurrence</w:t>
      </w:r>
      <w:r w:rsidR="00427468">
        <w:t xml:space="preserve"> of </w:t>
      </w:r>
      <w:r w:rsidR="003A1917">
        <w:t xml:space="preserve">the </w:t>
      </w:r>
      <w:r w:rsidRPr="001A3D2B">
        <w:t xml:space="preserve">word SARS in newspaper articles, rather than newspaper content was examined. Data were collected from six newspapers representing </w:t>
      </w:r>
      <w:smartTag w:uri="urn:schemas-microsoft-com:office:smarttags" w:element="country-region">
        <w:r w:rsidRPr="001A3D2B">
          <w:t>Canada</w:t>
        </w:r>
      </w:smartTag>
      <w:r w:rsidRPr="001A3D2B">
        <w:t xml:space="preserve">, mainland </w:t>
      </w:r>
      <w:smartTag w:uri="urn:schemas-microsoft-com:office:smarttags" w:element="country-region">
        <w:r w:rsidRPr="001A3D2B">
          <w:t>China</w:t>
        </w:r>
      </w:smartTag>
      <w:r w:rsidRPr="001A3D2B">
        <w:t>, Hong Kong,</w:t>
      </w:r>
      <w:r w:rsidR="005853A9">
        <w:t xml:space="preserve"> and </w:t>
      </w:r>
      <w:r w:rsidRPr="001A3D2B">
        <w:t>Western Europe</w:t>
      </w:r>
      <w:r w:rsidR="00A37C1D">
        <w:t>. The</w:t>
      </w:r>
      <w:r w:rsidRPr="001A3D2B">
        <w:t>se data were then compared with</w:t>
      </w:r>
      <w:r w:rsidR="003A1917">
        <w:t xml:space="preserve"> the </w:t>
      </w:r>
      <w:r w:rsidRPr="001A3D2B">
        <w:t>World Health Organization</w:t>
      </w:r>
      <w:r w:rsidR="0071223E">
        <w:t>’</w:t>
      </w:r>
      <w:r w:rsidR="00C13DDC">
        <w:t>s</w:t>
      </w:r>
      <w:r w:rsidRPr="001A3D2B">
        <w:t xml:space="preserve"> data on SARS cases</w:t>
      </w:r>
      <w:r w:rsidR="005853A9">
        <w:t xml:space="preserve"> and </w:t>
      </w:r>
      <w:r w:rsidRPr="001A3D2B">
        <w:t>SARS deaths. A brief history</w:t>
      </w:r>
      <w:r w:rsidR="00427468">
        <w:t xml:space="preserve"> of </w:t>
      </w:r>
      <w:r w:rsidRPr="001A3D2B">
        <w:t>SARS is also provided to place</w:t>
      </w:r>
      <w:r w:rsidR="003A1917">
        <w:t xml:space="preserve"> the </w:t>
      </w:r>
      <w:r w:rsidRPr="001A3D2B">
        <w:t>results</w:t>
      </w:r>
      <w:r w:rsidR="00427468">
        <w:t xml:space="preserve"> of </w:t>
      </w:r>
      <w:r w:rsidR="003A1917">
        <w:t xml:space="preserve">the </w:t>
      </w:r>
      <w:r w:rsidRPr="001A3D2B">
        <w:t>study in</w:t>
      </w:r>
      <w:r w:rsidR="003A1917">
        <w:t xml:space="preserve"> the </w:t>
      </w:r>
      <w:r w:rsidRPr="001A3D2B">
        <w:t>context</w:t>
      </w:r>
      <w:r w:rsidR="00427468">
        <w:t xml:space="preserve"> of </w:t>
      </w:r>
      <w:r w:rsidR="003A1917">
        <w:t xml:space="preserve">the </w:t>
      </w:r>
      <w:r w:rsidRPr="001A3D2B">
        <w:t>SARS events</w:t>
      </w:r>
      <w:r w:rsidR="00A37C1D">
        <w:t>. The</w:t>
      </w:r>
      <w:r w:rsidR="003A1917">
        <w:t xml:space="preserve"> </w:t>
      </w:r>
      <w:r w:rsidRPr="001A3D2B">
        <w:t>analysis finds not only a similarity between</w:t>
      </w:r>
      <w:r w:rsidR="003A1917">
        <w:t xml:space="preserve"> the </w:t>
      </w:r>
      <w:r w:rsidRPr="001A3D2B">
        <w:t>two western media examined, but also a contrast between</w:t>
      </w:r>
      <w:r w:rsidR="003A1917">
        <w:t xml:space="preserve"> the </w:t>
      </w:r>
      <w:r w:rsidRPr="001A3D2B">
        <w:t>western media</w:t>
      </w:r>
      <w:r w:rsidR="005853A9">
        <w:t xml:space="preserve"> and </w:t>
      </w:r>
      <w:r w:rsidR="003A1917">
        <w:t xml:space="preserve">the </w:t>
      </w:r>
      <w:r w:rsidRPr="001A3D2B">
        <w:t>Chinese media in SARS coverage</w:t>
      </w:r>
      <w:r w:rsidR="00A37C1D">
        <w:t>. The</w:t>
      </w:r>
      <w:r w:rsidR="003A1917">
        <w:t xml:space="preserve"> </w:t>
      </w:r>
      <w:r w:rsidRPr="001A3D2B">
        <w:t>study demonstrates</w:t>
      </w:r>
      <w:r w:rsidR="003A1917">
        <w:t xml:space="preserve"> the </w:t>
      </w:r>
      <w:r w:rsidRPr="001A3D2B">
        <w:t>usefulness</w:t>
      </w:r>
      <w:r w:rsidR="00427468">
        <w:t xml:space="preserve"> of </w:t>
      </w:r>
      <w:r w:rsidRPr="001A3D2B">
        <w:t>informetric methods in analyzing popular media.</w:t>
      </w:r>
    </w:p>
    <w:p w:rsidR="003474F2" w:rsidRPr="001A3D2B" w:rsidRDefault="003474F2" w:rsidP="003474F2">
      <w:pPr>
        <w:pStyle w:val="a3"/>
      </w:pPr>
      <w:r w:rsidRPr="001A3D2B">
        <w:rPr>
          <w:szCs w:val="15"/>
        </w:rPr>
        <w:t>Keywords</w:t>
      </w:r>
      <w:r w:rsidRPr="001A3D2B">
        <w:t>: Search Engines, Web, Performance, Stability, Case Study</w:t>
      </w:r>
    </w:p>
    <w:p w:rsidR="003474F2" w:rsidRPr="001A3D2B" w:rsidRDefault="003474F2" w:rsidP="003474F2">
      <w:pPr>
        <w:pStyle w:val="a3"/>
      </w:pPr>
      <w:r w:rsidRPr="001A3D2B">
        <w:rPr>
          <w:szCs w:val="15"/>
        </w:rPr>
        <w:t xml:space="preserve">Ignacio </w:t>
      </w:r>
      <w:r w:rsidRPr="001A3D2B">
        <w:t>de Granda-Orive, J., García-Río, F., Gutiérrez-Jiménez, T., Escobar-Sacristán, J., Riera-Palmero, J.</w:t>
      </w:r>
      <w:r w:rsidR="005853A9">
        <w:t xml:space="preserve"> and </w:t>
      </w:r>
      <w:r w:rsidRPr="001A3D2B">
        <w:t>Callol-Sánchez, L. (2004), Evolution</w:t>
      </w:r>
      <w:r w:rsidR="00427468">
        <w:t xml:space="preserve"> of </w:t>
      </w:r>
      <w:r w:rsidRPr="001A3D2B">
        <w:t>bibliometric indicators</w:t>
      </w:r>
      <w:r w:rsidR="005853A9">
        <w:t xml:space="preserve"> and </w:t>
      </w:r>
      <w:r w:rsidRPr="001A3D2B">
        <w:t>his websites evaluation approaches in relation to</w:t>
      </w:r>
      <w:r w:rsidR="003A1917">
        <w:t xml:space="preserve"> the </w:t>
      </w:r>
      <w:r w:rsidRPr="001A3D2B">
        <w:t xml:space="preserve">foremost respiratory journal in Spanish. </w:t>
      </w:r>
      <w:r w:rsidRPr="001A3D2B">
        <w:rPr>
          <w:i/>
          <w:iCs/>
        </w:rPr>
        <w:t>Cybermetrics</w:t>
      </w:r>
      <w:r w:rsidRPr="001A3D2B">
        <w:t xml:space="preserve">, </w:t>
      </w:r>
      <w:r w:rsidRPr="001A3D2B">
        <w:rPr>
          <w:b/>
          <w:bCs/>
        </w:rPr>
        <w:t>8</w:t>
      </w:r>
      <w:r w:rsidRPr="001A3D2B">
        <w:t xml:space="preserve"> (1), 1-18.</w:t>
      </w:r>
    </w:p>
    <w:p w:rsidR="003474F2" w:rsidRPr="001A3D2B" w:rsidRDefault="003474F2" w:rsidP="003474F2">
      <w:pPr>
        <w:pStyle w:val="a3"/>
      </w:pPr>
      <w:r w:rsidRPr="001A3D2B">
        <w:t xml:space="preserve">Full Text: </w:t>
      </w:r>
      <w:hyperlink r:id="rId1249" w:history="1">
        <w:r w:rsidRPr="001A3D2B">
          <w:rPr>
            <w:rStyle w:val="a5"/>
          </w:rPr>
          <w:t>2004\Cybermetrics8, 1.pdf</w:t>
        </w:r>
      </w:hyperlink>
    </w:p>
    <w:p w:rsidR="003474F2" w:rsidRPr="001A3D2B" w:rsidRDefault="003474F2" w:rsidP="003474F2">
      <w:pPr>
        <w:pStyle w:val="a3"/>
      </w:pPr>
      <w:r w:rsidRPr="001A3D2B">
        <w:rPr>
          <w:szCs w:val="15"/>
        </w:rPr>
        <w:t>Abstract</w:t>
      </w:r>
      <w:r w:rsidRPr="001A3D2B">
        <w:t>:</w:t>
      </w:r>
      <w:r w:rsidR="003A1917">
        <w:t xml:space="preserve"> the </w:t>
      </w:r>
      <w:r w:rsidRPr="001A3D2B">
        <w:t>aim</w:t>
      </w:r>
      <w:r w:rsidR="00427468">
        <w:t xml:space="preserve"> of </w:t>
      </w:r>
      <w:r w:rsidRPr="001A3D2B">
        <w:t>this study was to examine</w:t>
      </w:r>
      <w:r w:rsidR="003A1917">
        <w:t xml:space="preserve"> the </w:t>
      </w:r>
      <w:r w:rsidRPr="001A3D2B">
        <w:t>evolution</w:t>
      </w:r>
      <w:r w:rsidR="00427468">
        <w:t xml:space="preserve"> of </w:t>
      </w:r>
      <w:r w:rsidRPr="001A3D2B">
        <w:t xml:space="preserve">bibliometric indicators from 1970 to </w:t>
      </w:r>
      <w:smartTag w:uri="urn:schemas-microsoft-com:office:smarttags" w:element="chmetcnv">
        <w:smartTagPr>
          <w:attr w:name="TCSC" w:val="0"/>
          <w:attr w:name="NumberType" w:val="1"/>
          <w:attr w:name="Negative" w:val="False"/>
          <w:attr w:name="HasSpace" w:val="True"/>
          <w:attr w:name="SourceValue" w:val="2000"/>
          <w:attr w:name="UnitName" w:val="in"/>
        </w:smartTagPr>
        <w:r w:rsidRPr="001A3D2B">
          <w:t>2000 in</w:t>
        </w:r>
      </w:smartTag>
      <w:r w:rsidRPr="001A3D2B">
        <w:t xml:space="preserve"> relation to</w:t>
      </w:r>
      <w:r w:rsidR="003A1917">
        <w:t xml:space="preserve"> the </w:t>
      </w:r>
      <w:r w:rsidRPr="001A3D2B">
        <w:t>foremost journal on</w:t>
      </w:r>
      <w:r w:rsidR="003A1917">
        <w:t xml:space="preserve"> the </w:t>
      </w:r>
      <w:r w:rsidRPr="001A3D2B">
        <w:t>respiratory system published in Spanish, Archivos de Bronconeumología (Arch Bronconeumol)</w:t>
      </w:r>
      <w:r w:rsidR="00A37C1D">
        <w:t>. The</w:t>
      </w:r>
      <w:r w:rsidR="003A1917">
        <w:t xml:space="preserve"> </w:t>
      </w:r>
      <w:r w:rsidRPr="001A3D2B">
        <w:t>evolution</w:t>
      </w:r>
      <w:r w:rsidR="00427468">
        <w:t xml:space="preserve"> of </w:t>
      </w:r>
      <w:r w:rsidRPr="001A3D2B">
        <w:t>these indicators over this three-decade period</w:t>
      </w:r>
      <w:r w:rsidR="005853A9">
        <w:t xml:space="preserve"> and </w:t>
      </w:r>
      <w:r w:rsidR="003A1917">
        <w:t xml:space="preserve">the </w:t>
      </w:r>
      <w:r w:rsidRPr="001A3D2B">
        <w:t>origin</w:t>
      </w:r>
      <w:r w:rsidR="005853A9">
        <w:t xml:space="preserve"> and </w:t>
      </w:r>
      <w:r w:rsidRPr="001A3D2B">
        <w:t>specialties</w:t>
      </w:r>
      <w:r w:rsidR="00427468">
        <w:t xml:space="preserve"> of </w:t>
      </w:r>
      <w:r w:rsidR="003A1917">
        <w:t xml:space="preserve">the </w:t>
      </w:r>
      <w:r w:rsidRPr="001A3D2B">
        <w:t>authors are reported. All issues</w:t>
      </w:r>
      <w:r w:rsidR="00427468">
        <w:t xml:space="preserve"> of </w:t>
      </w:r>
      <w:r w:rsidR="003A1917">
        <w:t xml:space="preserve">the </w:t>
      </w:r>
      <w:r w:rsidRPr="001A3D2B">
        <w:t>journal from 1970 to 2000 (inclusive) were reviewed manually. In addition, we make a websites evaluation</w:t>
      </w:r>
      <w:r w:rsidR="005853A9">
        <w:t xml:space="preserve"> and </w:t>
      </w:r>
      <w:r w:rsidRPr="001A3D2B">
        <w:t>a search was made in Pub-Med to evaluate</w:t>
      </w:r>
      <w:r w:rsidR="003A1917">
        <w:t xml:space="preserve"> the </w:t>
      </w:r>
      <w:r w:rsidRPr="001A3D2B">
        <w:t>dissemination</w:t>
      </w:r>
      <w:r w:rsidR="00427468">
        <w:t xml:space="preserve"> of </w:t>
      </w:r>
      <w:r w:rsidR="003A1917">
        <w:t xml:space="preserve">the </w:t>
      </w:r>
      <w:r w:rsidRPr="001A3D2B">
        <w:t>journal</w:t>
      </w:r>
      <w:r w:rsidR="005853A9">
        <w:t xml:space="preserve"> and </w:t>
      </w:r>
      <w:r w:rsidRPr="001A3D2B">
        <w:t>in SCISEARCH to find citations</w:t>
      </w:r>
      <w:r w:rsidR="00427468">
        <w:t xml:space="preserve"> of </w:t>
      </w:r>
      <w:r w:rsidRPr="001A3D2B">
        <w:t>articles published in Archivos de Bronconeumología. We conclude that there has been a notable increase in scientific output in</w:t>
      </w:r>
      <w:r w:rsidR="003A1917">
        <w:t xml:space="preserve"> the </w:t>
      </w:r>
      <w:r w:rsidRPr="001A3D2B">
        <w:t>field</w:t>
      </w:r>
      <w:r w:rsidR="00427468">
        <w:t xml:space="preserve"> of </w:t>
      </w:r>
      <w:r w:rsidRPr="001A3D2B">
        <w:t xml:space="preserve">respiratory research in </w:t>
      </w:r>
      <w:smartTag w:uri="urn:schemas-microsoft-com:office:smarttags" w:element="place">
        <w:smartTag w:uri="urn:schemas-microsoft-com:office:smarttags" w:element="country-region">
          <w:r w:rsidRPr="001A3D2B">
            <w:t>Spain</w:t>
          </w:r>
        </w:smartTag>
      </w:smartTag>
      <w:r w:rsidRPr="001A3D2B">
        <w:t>, as indicated by</w:t>
      </w:r>
      <w:r w:rsidR="003A1917">
        <w:t xml:space="preserve"> the </w:t>
      </w:r>
      <w:r w:rsidRPr="001A3D2B">
        <w:t>articles published in</w:t>
      </w:r>
      <w:r w:rsidR="003A1917">
        <w:t xml:space="preserve"> the </w:t>
      </w:r>
      <w:r w:rsidRPr="001A3D2B">
        <w:t>journal Archivos de Bronconeumología. Production</w:t>
      </w:r>
      <w:r w:rsidR="005853A9">
        <w:t xml:space="preserve"> and </w:t>
      </w:r>
      <w:r w:rsidRPr="001A3D2B">
        <w:t>consumption indicators have stabilized in this 30-year period. A maximum circulation index has been achieved</w:t>
      </w:r>
      <w:r w:rsidR="005853A9">
        <w:t xml:space="preserve"> and </w:t>
      </w:r>
      <w:r w:rsidR="003A1917">
        <w:t xml:space="preserve">the </w:t>
      </w:r>
      <w:r w:rsidRPr="001A3D2B">
        <w:t>citation rate has increased considerably in</w:t>
      </w:r>
      <w:r w:rsidR="003A1917">
        <w:t xml:space="preserve"> the </w:t>
      </w:r>
      <w:r w:rsidRPr="001A3D2B">
        <w:t>last three decades. Archivos de Bronconeumología has a discrete estimated impact factor.</w:t>
      </w:r>
    </w:p>
    <w:p w:rsidR="003474F2" w:rsidRPr="001A3D2B" w:rsidRDefault="003474F2" w:rsidP="003474F2">
      <w:pPr>
        <w:pStyle w:val="a3"/>
      </w:pPr>
      <w:r w:rsidRPr="001A3D2B">
        <w:rPr>
          <w:szCs w:val="15"/>
        </w:rPr>
        <w:t>Keywords</w:t>
      </w:r>
      <w:r w:rsidRPr="001A3D2B">
        <w:t>: Bibliometrics, Web-metrics, Webometrics, Respiratory System, Scientific Documentation, Statistics</w:t>
      </w:r>
    </w:p>
    <w:p w:rsidR="003474F2" w:rsidRPr="001A3D2B" w:rsidRDefault="003474F2" w:rsidP="003474F2">
      <w:pPr>
        <w:pStyle w:val="1"/>
      </w:pPr>
      <w:r w:rsidRPr="001A3D2B">
        <w:lastRenderedPageBreak/>
        <w:br w:type="page"/>
      </w:r>
      <w:bookmarkStart w:id="508" w:name="_Toc420815173"/>
      <w:r w:rsidRPr="001A3D2B">
        <w:lastRenderedPageBreak/>
        <w:t xml:space="preserve">Title: </w:t>
      </w:r>
      <w:r w:rsidRPr="001A3D2B">
        <w:rPr>
          <w:szCs w:val="19"/>
        </w:rPr>
        <w:t>CyberPsychology &amp; Behavior</w:t>
      </w:r>
      <w:bookmarkEnd w:id="508"/>
    </w:p>
    <w:p w:rsidR="003474F2" w:rsidRPr="001A3D2B" w:rsidRDefault="003474F2" w:rsidP="003474F2">
      <w:pPr>
        <w:pStyle w:val="12"/>
      </w:pPr>
      <w:r w:rsidRPr="001A3D2B">
        <w:t>Full Journal Title: CyberPsychology &amp; Behavior</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1094-9313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w:t>
      </w:r>
      <w:r w:rsidRPr="001A3D2B">
        <w:rPr>
          <w:szCs w:val="19"/>
        </w:rPr>
        <w:t>Weiss, P.L.T., Kedar, R.</w:t>
      </w:r>
      <w:r w:rsidR="005853A9">
        <w:rPr>
          <w:szCs w:val="19"/>
        </w:rPr>
        <w:t xml:space="preserve"> and </w:t>
      </w:r>
      <w:r w:rsidRPr="001A3D2B">
        <w:rPr>
          <w:szCs w:val="19"/>
        </w:rPr>
        <w:t>Shahar, M.</w:t>
      </w:r>
      <w:r w:rsidRPr="001A3D2B">
        <w:t xml:space="preserve"> (</w:t>
      </w:r>
      <w:r w:rsidRPr="001A3D2B">
        <w:rPr>
          <w:szCs w:val="19"/>
        </w:rPr>
        <w:t>2006</w:t>
      </w:r>
      <w:r w:rsidRPr="001A3D2B">
        <w:t xml:space="preserve">), </w:t>
      </w:r>
      <w:r w:rsidRPr="001A3D2B">
        <w:rPr>
          <w:szCs w:val="19"/>
        </w:rPr>
        <w:t>TIES that BIND: An introduction to domain mapping as a visualization tool for virtual rehabilitation</w:t>
      </w:r>
      <w:r w:rsidRPr="001A3D2B">
        <w:t xml:space="preserve">. </w:t>
      </w:r>
      <w:r w:rsidRPr="001A3D2B">
        <w:rPr>
          <w:i/>
          <w:szCs w:val="19"/>
        </w:rPr>
        <w:t>CyberPsychology &amp; Behavior</w:t>
      </w:r>
      <w:r w:rsidRPr="001A3D2B">
        <w:t xml:space="preserve">, </w:t>
      </w:r>
      <w:r w:rsidRPr="001A3D2B">
        <w:rPr>
          <w:b/>
          <w:bCs/>
        </w:rPr>
        <w:t>9</w:t>
      </w:r>
      <w:r w:rsidRPr="001A3D2B">
        <w:t xml:space="preserve"> (2), </w:t>
      </w:r>
      <w:r w:rsidRPr="001A3D2B">
        <w:rPr>
          <w:szCs w:val="19"/>
        </w:rPr>
        <w:t>114-122</w:t>
      </w:r>
      <w:r w:rsidRPr="001A3D2B">
        <w:t>.</w:t>
      </w:r>
    </w:p>
    <w:p w:rsidR="003474F2" w:rsidRPr="001A3D2B" w:rsidRDefault="003474F2" w:rsidP="003474F2">
      <w:pPr>
        <w:pStyle w:val="a3"/>
      </w:pPr>
      <w:r w:rsidRPr="001A3D2B">
        <w:t xml:space="preserve">Full Text: </w:t>
      </w:r>
      <w:hyperlink r:id="rId1250" w:history="1">
        <w:r w:rsidRPr="001A3D2B">
          <w:rPr>
            <w:rStyle w:val="a5"/>
          </w:rPr>
          <w:t>2006\Cyb Beh9, 114.pdf</w:t>
        </w:r>
      </w:hyperlink>
    </w:p>
    <w:p w:rsidR="003474F2" w:rsidRPr="001A3D2B" w:rsidRDefault="003474F2" w:rsidP="003474F2">
      <w:pPr>
        <w:pStyle w:val="a3"/>
        <w:rPr>
          <w:szCs w:val="19"/>
        </w:rPr>
      </w:pPr>
      <w:r w:rsidRPr="001A3D2B">
        <w:t>Abstract:</w:t>
      </w:r>
      <w:r w:rsidR="003A1917">
        <w:rPr>
          <w:szCs w:val="19"/>
        </w:rPr>
        <w:t xml:space="preserve"> the </w:t>
      </w:r>
      <w:r w:rsidRPr="001A3D2B">
        <w:rPr>
          <w:szCs w:val="19"/>
        </w:rPr>
        <w:t>application</w:t>
      </w:r>
      <w:r w:rsidR="00427468">
        <w:rPr>
          <w:szCs w:val="19"/>
        </w:rPr>
        <w:t xml:space="preserve"> of </w:t>
      </w:r>
      <w:r w:rsidRPr="001A3D2B">
        <w:rPr>
          <w:szCs w:val="19"/>
        </w:rPr>
        <w:t>virtual reality (VR) to rehabilitation is a young, interdisciplinary field where clinical implementation very rapidly follows scientific discovery</w:t>
      </w:r>
      <w:r w:rsidR="005853A9">
        <w:rPr>
          <w:szCs w:val="19"/>
        </w:rPr>
        <w:t xml:space="preserve"> and </w:t>
      </w:r>
      <w:r w:rsidRPr="001A3D2B">
        <w:rPr>
          <w:szCs w:val="19"/>
        </w:rPr>
        <w:t>technological advancement. Implementation is often so rapid that demonstration</w:t>
      </w:r>
      <w:r w:rsidR="00427468">
        <w:rPr>
          <w:szCs w:val="19"/>
        </w:rPr>
        <w:t xml:space="preserve"> of </w:t>
      </w:r>
      <w:r w:rsidRPr="001A3D2B">
        <w:rPr>
          <w:szCs w:val="19"/>
        </w:rPr>
        <w:t>intervention efficacy by investigators,</w:t>
      </w:r>
      <w:r w:rsidR="005853A9">
        <w:rPr>
          <w:szCs w:val="19"/>
        </w:rPr>
        <w:t xml:space="preserve"> and </w:t>
      </w:r>
      <w:r w:rsidRPr="001A3D2B">
        <w:rPr>
          <w:szCs w:val="19"/>
        </w:rPr>
        <w:t>establishment</w:t>
      </w:r>
      <w:r w:rsidR="00427468">
        <w:rPr>
          <w:szCs w:val="19"/>
        </w:rPr>
        <w:t xml:space="preserve"> of </w:t>
      </w:r>
      <w:r w:rsidRPr="001A3D2B">
        <w:rPr>
          <w:szCs w:val="19"/>
        </w:rPr>
        <w:t>research</w:t>
      </w:r>
      <w:r w:rsidR="005853A9">
        <w:rPr>
          <w:szCs w:val="19"/>
        </w:rPr>
        <w:t xml:space="preserve"> and </w:t>
      </w:r>
      <w:r w:rsidRPr="001A3D2B">
        <w:rPr>
          <w:szCs w:val="19"/>
        </w:rPr>
        <w:t>development priorities by funding bodies tend to be more reactive than proactive. An examination</w:t>
      </w:r>
      <w:r w:rsidR="00427468">
        <w:rPr>
          <w:szCs w:val="19"/>
        </w:rPr>
        <w:t xml:space="preserve"> of </w:t>
      </w:r>
      <w:r w:rsidR="003A1917">
        <w:rPr>
          <w:szCs w:val="19"/>
        </w:rPr>
        <w:t xml:space="preserve">the </w:t>
      </w:r>
      <w:r w:rsidRPr="001A3D2B">
        <w:rPr>
          <w:szCs w:val="19"/>
        </w:rPr>
        <w:t>dynamic unfolding</w:t>
      </w:r>
      <w:r w:rsidR="00427468">
        <w:rPr>
          <w:szCs w:val="19"/>
        </w:rPr>
        <w:t xml:space="preserve"> of </w:t>
      </w:r>
      <w:r w:rsidR="003A1917">
        <w:rPr>
          <w:szCs w:val="19"/>
        </w:rPr>
        <w:t xml:space="preserve">the </w:t>
      </w:r>
      <w:r w:rsidRPr="001A3D2B">
        <w:rPr>
          <w:szCs w:val="19"/>
        </w:rPr>
        <w:t>history</w:t>
      </w:r>
      <w:r w:rsidR="00427468">
        <w:rPr>
          <w:szCs w:val="19"/>
        </w:rPr>
        <w:t xml:space="preserve"> of </w:t>
      </w:r>
      <w:r w:rsidRPr="001A3D2B">
        <w:rPr>
          <w:szCs w:val="19"/>
        </w:rPr>
        <w:t>our young discipline may help us recognize</w:t>
      </w:r>
      <w:r w:rsidR="003A1917">
        <w:rPr>
          <w:szCs w:val="19"/>
        </w:rPr>
        <w:t xml:space="preserve"> the </w:t>
      </w:r>
      <w:r w:rsidRPr="001A3D2B">
        <w:rPr>
          <w:szCs w:val="19"/>
        </w:rPr>
        <w:t>facilitators</w:t>
      </w:r>
      <w:r w:rsidR="00427468">
        <w:rPr>
          <w:szCs w:val="19"/>
        </w:rPr>
        <w:t xml:space="preserve"> of </w:t>
      </w:r>
      <w:r w:rsidRPr="001A3D2B">
        <w:rPr>
          <w:szCs w:val="19"/>
        </w:rPr>
        <w:t>current practice</w:t>
      </w:r>
      <w:r w:rsidR="005853A9">
        <w:rPr>
          <w:szCs w:val="19"/>
        </w:rPr>
        <w:t xml:space="preserve"> and </w:t>
      </w:r>
      <w:r w:rsidRPr="001A3D2B">
        <w:rPr>
          <w:szCs w:val="19"/>
        </w:rPr>
        <w:t>identify</w:t>
      </w:r>
      <w:r w:rsidR="003A1917">
        <w:rPr>
          <w:szCs w:val="19"/>
        </w:rPr>
        <w:t xml:space="preserve"> the </w:t>
      </w:r>
      <w:r w:rsidRPr="001A3D2B">
        <w:rPr>
          <w:szCs w:val="19"/>
        </w:rPr>
        <w:t>barriers that limit greater progress. This paper presents a first step towards</w:t>
      </w:r>
      <w:r w:rsidR="003A1917">
        <w:rPr>
          <w:szCs w:val="19"/>
        </w:rPr>
        <w:t xml:space="preserve"> the </w:t>
      </w:r>
      <w:r w:rsidRPr="001A3D2B">
        <w:rPr>
          <w:szCs w:val="19"/>
        </w:rPr>
        <w:t>examination</w:t>
      </w:r>
      <w:r w:rsidR="00427468">
        <w:rPr>
          <w:szCs w:val="19"/>
        </w:rPr>
        <w:t xml:space="preserve"> of </w:t>
      </w:r>
      <w:r w:rsidR="003A1917">
        <w:rPr>
          <w:szCs w:val="19"/>
        </w:rPr>
        <w:t xml:space="preserve">the </w:t>
      </w:r>
      <w:r w:rsidRPr="001A3D2B">
        <w:rPr>
          <w:szCs w:val="19"/>
        </w:rPr>
        <w:t>past</w:t>
      </w:r>
      <w:r w:rsidR="005853A9">
        <w:rPr>
          <w:szCs w:val="19"/>
        </w:rPr>
        <w:t xml:space="preserve"> and </w:t>
      </w:r>
      <w:r w:rsidRPr="001A3D2B">
        <w:rPr>
          <w:szCs w:val="19"/>
        </w:rPr>
        <w:t>future growth</w:t>
      </w:r>
      <w:r w:rsidR="00427468">
        <w:rPr>
          <w:szCs w:val="19"/>
        </w:rPr>
        <w:t xml:space="preserve"> of </w:t>
      </w:r>
      <w:r w:rsidRPr="001A3D2B">
        <w:rPr>
          <w:szCs w:val="19"/>
        </w:rPr>
        <w:t>VR-based rehabilitation by presenting</w:t>
      </w:r>
      <w:r w:rsidR="003A1917">
        <w:rPr>
          <w:szCs w:val="19"/>
        </w:rPr>
        <w:t xml:space="preserve"> the </w:t>
      </w:r>
      <w:r w:rsidRPr="001A3D2B">
        <w:rPr>
          <w:szCs w:val="19"/>
        </w:rPr>
        <w:t>use</w:t>
      </w:r>
      <w:r w:rsidR="00427468">
        <w:rPr>
          <w:szCs w:val="19"/>
        </w:rPr>
        <w:t xml:space="preserve"> of </w:t>
      </w:r>
      <w:r w:rsidRPr="001A3D2B">
        <w:rPr>
          <w:szCs w:val="19"/>
        </w:rPr>
        <w:t>concept maps to explore</w:t>
      </w:r>
      <w:r w:rsidR="003A1917">
        <w:rPr>
          <w:szCs w:val="19"/>
        </w:rPr>
        <w:t xml:space="preserve"> the </w:t>
      </w:r>
      <w:r w:rsidRPr="001A3D2B">
        <w:rPr>
          <w:szCs w:val="19"/>
        </w:rPr>
        <w:t>publication history</w:t>
      </w:r>
      <w:r w:rsidR="00427468">
        <w:rPr>
          <w:szCs w:val="19"/>
        </w:rPr>
        <w:t xml:space="preserve"> of </w:t>
      </w:r>
      <w:r w:rsidRPr="001A3D2B">
        <w:rPr>
          <w:szCs w:val="19"/>
        </w:rPr>
        <w:t>application</w:t>
      </w:r>
      <w:r w:rsidR="00427468">
        <w:rPr>
          <w:szCs w:val="19"/>
        </w:rPr>
        <w:t xml:space="preserve"> of </w:t>
      </w:r>
      <w:r w:rsidRPr="001A3D2B">
        <w:rPr>
          <w:szCs w:val="19"/>
        </w:rPr>
        <w:t>VR to rehabilitation.</w:t>
      </w:r>
    </w:p>
    <w:p w:rsidR="003474F2" w:rsidRPr="001A3D2B" w:rsidRDefault="003474F2" w:rsidP="003474F2">
      <w:pPr>
        <w:pStyle w:val="a3"/>
      </w:pPr>
      <w:r w:rsidRPr="001A3D2B">
        <w:t>Keywords: Co-Word Analysis, Neuropsychology, Science, Field</w:t>
      </w:r>
    </w:p>
    <w:p w:rsidR="00207021" w:rsidRPr="00C73C58" w:rsidRDefault="00207021" w:rsidP="00207021">
      <w:pPr>
        <w:pStyle w:val="1"/>
      </w:pPr>
      <w:r w:rsidRPr="00C73C58">
        <w:br w:type="page"/>
      </w:r>
      <w:bookmarkStart w:id="509" w:name="_Toc420815174"/>
      <w:r w:rsidRPr="00C73C58">
        <w:lastRenderedPageBreak/>
        <w:t xml:space="preserve">Title: </w:t>
      </w:r>
      <w:r w:rsidRPr="008C3A98">
        <w:t>Cyto</w:t>
      </w:r>
      <w:r w:rsidRPr="008C3A98">
        <w:rPr>
          <w:iCs w:val="0"/>
        </w:rPr>
        <w:t>J</w:t>
      </w:r>
      <w:r w:rsidRPr="008C3A98">
        <w:t>ournal</w:t>
      </w:r>
      <w:bookmarkEnd w:id="509"/>
    </w:p>
    <w:p w:rsidR="00207021" w:rsidRPr="00C73C58" w:rsidRDefault="00207021" w:rsidP="00207021">
      <w:pPr>
        <w:pStyle w:val="12"/>
      </w:pPr>
      <w:r w:rsidRPr="00C73C58">
        <w:t xml:space="preserve">Full Journal Title: </w:t>
      </w:r>
      <w:r w:rsidRPr="008C3A98">
        <w:rPr>
          <w:iCs/>
          <w:kern w:val="0"/>
        </w:rPr>
        <w:t>Cyto</w:t>
      </w:r>
      <w:r w:rsidRPr="008C3A98">
        <w:rPr>
          <w:iCs/>
        </w:rPr>
        <w:t>J</w:t>
      </w:r>
      <w:r w:rsidRPr="008C3A98">
        <w:rPr>
          <w:iCs/>
          <w:kern w:val="0"/>
        </w:rPr>
        <w:t>ournal</w:t>
      </w:r>
    </w:p>
    <w:p w:rsidR="00207021" w:rsidRPr="00C73C58" w:rsidRDefault="00207021" w:rsidP="00207021">
      <w:pPr>
        <w:pStyle w:val="12"/>
      </w:pPr>
      <w:r w:rsidRPr="00C73C58">
        <w:t xml:space="preserve">ISO Abbreviated Title: </w:t>
      </w:r>
      <w:r w:rsidRPr="008C3A98">
        <w:rPr>
          <w:iCs/>
          <w:kern w:val="0"/>
        </w:rPr>
        <w:t>Cyto</w:t>
      </w:r>
      <w:r w:rsidRPr="008C3A98">
        <w:rPr>
          <w:iCs/>
        </w:rPr>
        <w:t>J</w:t>
      </w:r>
      <w:r w:rsidRPr="008C3A98">
        <w:rPr>
          <w:iCs/>
          <w:kern w:val="0"/>
        </w:rPr>
        <w:t>ournal</w:t>
      </w:r>
    </w:p>
    <w:p w:rsidR="00207021" w:rsidRPr="00C73C58" w:rsidRDefault="00207021" w:rsidP="00207021">
      <w:pPr>
        <w:pStyle w:val="12"/>
      </w:pPr>
      <w:r w:rsidRPr="00C73C58">
        <w:t xml:space="preserve">JCR Abbreviated Title: </w:t>
      </w:r>
      <w:r w:rsidRPr="008C3A98">
        <w:rPr>
          <w:iCs/>
          <w:kern w:val="0"/>
        </w:rPr>
        <w:t>Cyto</w:t>
      </w:r>
      <w:r w:rsidRPr="008C3A98">
        <w:rPr>
          <w:iCs/>
        </w:rPr>
        <w:t>J</w:t>
      </w:r>
      <w:r w:rsidRPr="008C3A98">
        <w:rPr>
          <w:iCs/>
          <w:kern w:val="0"/>
        </w:rPr>
        <w:t>ournal</w:t>
      </w:r>
    </w:p>
    <w:p w:rsidR="00207021" w:rsidRPr="00C73C58" w:rsidRDefault="00207021" w:rsidP="00207021">
      <w:pPr>
        <w:pStyle w:val="12"/>
      </w:pPr>
      <w:r w:rsidRPr="00C73C58">
        <w:t xml:space="preserve">ISSN: </w:t>
      </w:r>
    </w:p>
    <w:p w:rsidR="00207021" w:rsidRPr="00C73C58" w:rsidRDefault="00207021" w:rsidP="00207021">
      <w:pPr>
        <w:pStyle w:val="12"/>
      </w:pPr>
      <w:r w:rsidRPr="00C73C58">
        <w:t xml:space="preserve">Issues/Year: </w:t>
      </w:r>
    </w:p>
    <w:p w:rsidR="00207021" w:rsidRPr="00C73C58" w:rsidRDefault="00207021" w:rsidP="00207021">
      <w:pPr>
        <w:pStyle w:val="12"/>
      </w:pPr>
      <w:r w:rsidRPr="00C73C58">
        <w:t xml:space="preserve">Journal Country/Territory: </w:t>
      </w:r>
    </w:p>
    <w:p w:rsidR="00207021" w:rsidRPr="00C73C58" w:rsidRDefault="00207021" w:rsidP="00207021">
      <w:pPr>
        <w:pStyle w:val="12"/>
      </w:pPr>
      <w:r w:rsidRPr="00C73C58">
        <w:t xml:space="preserve">Language: </w:t>
      </w:r>
    </w:p>
    <w:p w:rsidR="00207021" w:rsidRPr="00C73C58" w:rsidRDefault="00207021" w:rsidP="00207021">
      <w:pPr>
        <w:pStyle w:val="12"/>
      </w:pPr>
      <w:r w:rsidRPr="00C73C58">
        <w:t xml:space="preserve">Publisher: </w:t>
      </w:r>
    </w:p>
    <w:p w:rsidR="00207021" w:rsidRPr="00C73C58" w:rsidRDefault="00207021" w:rsidP="00207021">
      <w:pPr>
        <w:pStyle w:val="12"/>
      </w:pPr>
      <w:r w:rsidRPr="00C73C58">
        <w:t xml:space="preserve">Publisher Address: </w:t>
      </w:r>
    </w:p>
    <w:p w:rsidR="00207021" w:rsidRPr="00C73C58" w:rsidRDefault="00207021" w:rsidP="00207021">
      <w:pPr>
        <w:pStyle w:val="12"/>
      </w:pPr>
      <w:r w:rsidRPr="00C73C58">
        <w:t xml:space="preserve">Subject Categories: </w:t>
      </w:r>
    </w:p>
    <w:p w:rsidR="00207021" w:rsidRPr="00C73C58" w:rsidRDefault="00207021" w:rsidP="00207021">
      <w:pPr>
        <w:pStyle w:val="12"/>
      </w:pPr>
      <w:r w:rsidRPr="00C73C58">
        <w:t xml:space="preserve">: Impact Factor </w:t>
      </w:r>
    </w:p>
    <w:p w:rsidR="00207021" w:rsidRDefault="00207021" w:rsidP="00207021">
      <w:pPr>
        <w:pStyle w:val="a3"/>
        <w:rPr>
          <w:kern w:val="0"/>
        </w:rPr>
      </w:pPr>
      <w:r>
        <w:rPr>
          <w:rFonts w:hint="eastAsia"/>
          <w:kern w:val="0"/>
        </w:rPr>
        <w:t xml:space="preserve">? </w:t>
      </w:r>
      <w:r>
        <w:rPr>
          <w:kern w:val="0"/>
        </w:rPr>
        <w:t>Frisch, N.K., Nathan, R., Ahmed, Y.K. and Shidham, V.B. (2014), Authors attain comparable or slightly higher rates of citation publishing in an open access journal (CytoJournal) compared to traditional cytopathology journals</w:t>
      </w:r>
      <w:r>
        <w:rPr>
          <w:rFonts w:hint="eastAsia"/>
          <w:kern w:val="0"/>
        </w:rPr>
        <w:t>:</w:t>
      </w:r>
      <w:r>
        <w:rPr>
          <w:kern w:val="0"/>
        </w:rPr>
        <w:t xml:space="preserve"> A five year (2007-2011) experience. </w:t>
      </w:r>
      <w:r w:rsidRPr="008C3A98">
        <w:rPr>
          <w:i/>
          <w:iCs/>
          <w:kern w:val="0"/>
        </w:rPr>
        <w:t>Cyto</w:t>
      </w:r>
      <w:r>
        <w:rPr>
          <w:rFonts w:hint="eastAsia"/>
          <w:i/>
          <w:iCs/>
          <w:kern w:val="0"/>
        </w:rPr>
        <w:t>J</w:t>
      </w:r>
      <w:r w:rsidRPr="008C3A98">
        <w:rPr>
          <w:i/>
          <w:iCs/>
          <w:kern w:val="0"/>
        </w:rPr>
        <w:t>ournal</w:t>
      </w:r>
      <w:r>
        <w:rPr>
          <w:kern w:val="0"/>
        </w:rPr>
        <w:t xml:space="preserve">, </w:t>
      </w:r>
      <w:r>
        <w:rPr>
          <w:b/>
          <w:bCs/>
          <w:kern w:val="0"/>
        </w:rPr>
        <w:t>11</w:t>
      </w:r>
      <w:r>
        <w:rPr>
          <w:rFonts w:hint="eastAsia"/>
          <w:kern w:val="0"/>
        </w:rPr>
        <w:t xml:space="preserve">, </w:t>
      </w:r>
      <w:r>
        <w:rPr>
          <w:kern w:val="0"/>
        </w:rPr>
        <w:t>Article Number: 10</w:t>
      </w:r>
      <w:r>
        <w:rPr>
          <w:rFonts w:hint="eastAsia"/>
          <w:kern w:val="0"/>
        </w:rPr>
        <w:t>.</w:t>
      </w:r>
    </w:p>
    <w:p w:rsidR="00207021" w:rsidRDefault="00207021" w:rsidP="00207021">
      <w:pPr>
        <w:pStyle w:val="a3"/>
        <w:rPr>
          <w:kern w:val="0"/>
        </w:rPr>
      </w:pPr>
      <w:r>
        <w:rPr>
          <w:rFonts w:hint="eastAsia"/>
          <w:kern w:val="0"/>
        </w:rPr>
        <w:t xml:space="preserve">Full Text: </w:t>
      </w:r>
      <w:r w:rsidRPr="008C3A98">
        <w:rPr>
          <w:kern w:val="0"/>
        </w:rPr>
        <w:t>2014\CytoJournal11, 10.pdf</w:t>
      </w:r>
    </w:p>
    <w:p w:rsidR="00207021" w:rsidRDefault="00207021" w:rsidP="00207021">
      <w:pPr>
        <w:pStyle w:val="a3"/>
        <w:rPr>
          <w:kern w:val="0"/>
        </w:rPr>
      </w:pPr>
      <w:r>
        <w:rPr>
          <w:kern w:val="0"/>
        </w:rPr>
        <w:t xml:space="preserve">Abstract: Background: The era of Open Access (OA) publication, a platform which serves to better disseminate scientific knowledge, is upon us, as more OA journals are in existence than ever before. The idea that peer-reviewed OA publication leads to higher rates of citation has been put forth and shown to be true in several publications. This is a significant benefit to authors and is in addition to another relatively less obvious but highly critical component of the OA charter, i.e. retention of the copyright by the authors in the public domain. In this study, we analyzed the citation rates of OA and traditional non-OA publications specifically for authors in the field of cytopathology. Design: We compared the citation patterns for authors who had published in both OA and traditional non-OA peer-reviewed, scientific, cytopathology journals. Citations in an OA publication (CytoJournal) were analyzed comparatively with traditional non-OA cytopathology journals (Acta Cytologica, Cancer Cytopathology, Cytopathology, and Diagnostic Cytopathology) using the data from web of science citation analysis site (based on which the impact factors (IF) are calculated). After comparing citations per publication, as well as a time adjusted citation quotient (which takes into account the time since publication), we also analyzed the statistics after excluding the data for meeting abstracts. Results: Total 28 authors published 314 publications as articles and meeting abstracts (25 authors after excluding the abstracts). The rate of citation and time adjusted citation quotient were higher for OA in the group where abstracts were included (P &lt; 0.05 for both). </w:t>
      </w:r>
      <w:r>
        <w:rPr>
          <w:kern w:val="0"/>
        </w:rPr>
        <w:lastRenderedPageBreak/>
        <w:t>The rates were also slightly higher for OA than non-OA when the meeting abstracts were excluded, but the difference was statistically insignificant (P = 0.57 and P = 0.45). Conclusion : We observed that for the same author, the publications in the OA journal attained a higher rate of citation than the publications in the traditional non-OA journals in the field of cytopathology over a 5 year period (2007-2011). However, this increase was statistically insignificant if the meeting abstracts were excluded from the analysis. Overall, the rates of citation for OA and non-OA were slightly higher to comparable.</w:t>
      </w:r>
    </w:p>
    <w:p w:rsidR="00207021" w:rsidRDefault="00207021" w:rsidP="00207021">
      <w:pPr>
        <w:pStyle w:val="a3"/>
        <w:rPr>
          <w:kern w:val="0"/>
        </w:rPr>
      </w:pPr>
      <w:r>
        <w:rPr>
          <w:kern w:val="0"/>
        </w:rPr>
        <w:t>Keywords: A-Case-Report, Access, Analysis, Articles, Atypical Squamous-Cells, Authors, Cancer, Cervicovaginal Melanoma Thinprep, Citation, Citation Analysis, Citation Patterns, Citation Rates, Citations, Conventional Papanicolaou Tests, Cyto-Histological Correlation, Data, Design, Experience, Field, Fine-Needle-Aspiration, High-Risk Hpv, Impact, Impact Factors, In-Situ Hybridization, Interlaboratory Comparison Program, Journal, Journals, Knowledge, Non-Gynecologic Cytopathology, Open, Open Access, Open Access Journal, P, Peer-Reviewed, Public, Publication, Publications, Publishing, Rates, Results, Retention, Science, Site, Statistics, Web, Web Of Science</w:t>
      </w:r>
    </w:p>
    <w:p w:rsidR="003474F2" w:rsidRPr="001A3D2B" w:rsidRDefault="003474F2" w:rsidP="003474F2">
      <w:pPr>
        <w:pStyle w:val="1"/>
      </w:pPr>
      <w:r w:rsidRPr="001A3D2B">
        <w:br w:type="page"/>
      </w:r>
      <w:bookmarkStart w:id="510" w:name="_Toc420815175"/>
      <w:r w:rsidRPr="001A3D2B">
        <w:lastRenderedPageBreak/>
        <w:t>Title: Czechoslovak Journal</w:t>
      </w:r>
      <w:r w:rsidR="00427468">
        <w:t xml:space="preserve"> of </w:t>
      </w:r>
      <w:r w:rsidRPr="001A3D2B">
        <w:t>Physics</w:t>
      </w:r>
      <w:bookmarkEnd w:id="510"/>
    </w:p>
    <w:p w:rsidR="00215E02" w:rsidRPr="00C73C58" w:rsidRDefault="00215E02" w:rsidP="00215E02">
      <w:pPr>
        <w:pStyle w:val="12"/>
      </w:pPr>
      <w:r w:rsidRPr="00C73C58">
        <w:t xml:space="preserve">Full Journal Title: </w:t>
      </w:r>
      <w:r w:rsidR="00DF61FE">
        <w:fldChar w:fldCharType="begin"/>
      </w:r>
      <w:r w:rsidR="00FD158B">
        <w:instrText>HYPERLINK "http://</w:instrText>
      </w:r>
      <w:bookmarkStart w:id="511" w:name="_Toc490687869"/>
      <w:bookmarkStart w:id="512" w:name="_Toc492779493"/>
      <w:bookmarkStart w:id="513" w:name="_Toc118804266"/>
      <w:r w:rsidR="00FD158B">
        <w:instrText>www.springerlink.com/content/106035/"</w:instrText>
      </w:r>
      <w:r w:rsidR="00DF61FE">
        <w:fldChar w:fldCharType="separate"/>
      </w:r>
      <w:bookmarkEnd w:id="511"/>
      <w:bookmarkEnd w:id="512"/>
      <w:bookmarkEnd w:id="513"/>
      <w:r w:rsidRPr="00DB1FAA">
        <w:rPr>
          <w:rStyle w:val="a5"/>
        </w:rPr>
        <w:t>Czechoslovak Journal</w:t>
      </w:r>
      <w:r w:rsidR="00427468">
        <w:rPr>
          <w:rStyle w:val="a5"/>
        </w:rPr>
        <w:t xml:space="preserve"> of </w:t>
      </w:r>
      <w:r w:rsidRPr="00DB1FAA">
        <w:rPr>
          <w:rStyle w:val="a5"/>
        </w:rPr>
        <w:t>Physics</w:t>
      </w:r>
      <w:r w:rsidR="00DF61FE">
        <w:fldChar w:fldCharType="end"/>
      </w:r>
    </w:p>
    <w:p w:rsidR="003474F2" w:rsidRPr="001A3D2B" w:rsidRDefault="003474F2" w:rsidP="003474F2">
      <w:pPr>
        <w:pStyle w:val="12"/>
      </w:pPr>
      <w:r w:rsidRPr="001A3D2B">
        <w:t xml:space="preserve">ISO Abbreviated Title: </w:t>
      </w:r>
      <w:smartTag w:uri="urn:schemas-microsoft-com:office:smarttags" w:element="place">
        <w:smartTag w:uri="urn:schemas-microsoft-com:office:smarttags" w:element="country-region">
          <w:r w:rsidRPr="001A3D2B">
            <w:t>Czech.</w:t>
          </w:r>
        </w:smartTag>
      </w:smartTag>
      <w:r w:rsidRPr="001A3D2B">
        <w:t xml:space="preserve"> J. Phys.</w:t>
      </w:r>
    </w:p>
    <w:p w:rsidR="003474F2" w:rsidRPr="001A3D2B" w:rsidRDefault="003474F2" w:rsidP="003474F2">
      <w:pPr>
        <w:pStyle w:val="12"/>
      </w:pPr>
      <w:r w:rsidRPr="001A3D2B">
        <w:t>JCR Abbreviated Title: Czech J Phys</w:t>
      </w:r>
    </w:p>
    <w:p w:rsidR="003474F2" w:rsidRPr="001A3D2B" w:rsidRDefault="003474F2" w:rsidP="003474F2">
      <w:pPr>
        <w:pStyle w:val="12"/>
      </w:pPr>
      <w:r w:rsidRPr="001A3D2B">
        <w:t>ISSN: 0011-4626</w:t>
      </w:r>
    </w:p>
    <w:p w:rsidR="003474F2" w:rsidRPr="001A3D2B" w:rsidRDefault="003474F2" w:rsidP="003474F2">
      <w:pPr>
        <w:pStyle w:val="12"/>
      </w:pPr>
      <w:r w:rsidRPr="001A3D2B">
        <w:t>Issues/Year: 11</w:t>
      </w:r>
    </w:p>
    <w:p w:rsidR="003474F2" w:rsidRPr="001A3D2B" w:rsidRDefault="00AA25A4" w:rsidP="003474F2">
      <w:pPr>
        <w:pStyle w:val="12"/>
      </w:pPr>
      <w:r w:rsidRPr="001A3D2B">
        <w:t>Journal Country/Territory:</w:t>
      </w:r>
      <w:r w:rsidR="008F46E9" w:rsidRPr="001A3D2B">
        <w:t xml:space="preserve"> </w:t>
      </w:r>
      <w:r w:rsidR="003474F2" w:rsidRPr="001A3D2B">
        <w:t xml:space="preserve">Czech </w:t>
      </w:r>
      <w:smartTag w:uri="urn:schemas-microsoft-com:office:smarttags" w:element="PlaceType">
        <w:r w:rsidR="003474F2" w:rsidRPr="001A3D2B">
          <w:t>Republic</w:t>
        </w:r>
      </w:smartTag>
    </w:p>
    <w:p w:rsidR="003474F2" w:rsidRPr="001A3D2B" w:rsidRDefault="003474F2" w:rsidP="003474F2">
      <w:pPr>
        <w:pStyle w:val="12"/>
      </w:pPr>
      <w:r w:rsidRPr="001A3D2B">
        <w:t>Language: English</w:t>
      </w:r>
    </w:p>
    <w:p w:rsidR="003474F2" w:rsidRPr="001A3D2B" w:rsidRDefault="003474F2" w:rsidP="003474F2">
      <w:pPr>
        <w:pStyle w:val="12"/>
      </w:pPr>
      <w:r w:rsidRPr="001A3D2B">
        <w:t>Publisher: Czechoslovak Jnl</w:t>
      </w:r>
      <w:r w:rsidR="00427468">
        <w:t xml:space="preserve"> of </w:t>
      </w:r>
      <w:r w:rsidRPr="001A3D2B">
        <w:t>Physics</w:t>
      </w:r>
    </w:p>
    <w:p w:rsidR="003474F2" w:rsidRPr="001A3D2B" w:rsidRDefault="003474F2" w:rsidP="003474F2">
      <w:pPr>
        <w:pStyle w:val="12"/>
      </w:pPr>
      <w:r w:rsidRPr="001A3D2B">
        <w:t xml:space="preserve">Publisher Address: Fyzikalni Ustav AV Na Slovance 2, </w:t>
      </w:r>
      <w:smartTag w:uri="urn:schemas-microsoft-com:office:smarttags" w:element="City">
        <w:r w:rsidRPr="001A3D2B">
          <w:t>Prague</w:t>
        </w:r>
      </w:smartTag>
      <w:r w:rsidRPr="001A3D2B">
        <w:t xml:space="preserve"> 180 40, </w:t>
      </w:r>
      <w:smartTag w:uri="urn:schemas-microsoft-com:office:smarttags" w:element="place">
        <w:smartTag w:uri="urn:schemas-microsoft-com:office:smarttags" w:element="PlaceName">
          <w:r w:rsidRPr="001A3D2B">
            <w:t>Czech</w:t>
          </w:r>
        </w:smartTag>
        <w:r w:rsidRPr="001A3D2B">
          <w:t xml:space="preserve"> </w:t>
        </w:r>
        <w:smartTag w:uri="urn:schemas-microsoft-com:office:smarttags" w:element="PlaceType">
          <w:r w:rsidRPr="001A3D2B">
            <w:t>Republic</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Physics: Impact Factor </w:t>
      </w:r>
    </w:p>
    <w:p w:rsidR="00945CDD" w:rsidRPr="00C73C58" w:rsidRDefault="00945CDD" w:rsidP="00945CDD">
      <w:pPr>
        <w:pStyle w:val="a3"/>
      </w:pPr>
      <w:r>
        <w:t>? Vlachý</w:t>
      </w:r>
      <w:r w:rsidRPr="00C73C58">
        <w:t>, J. (1981), A publication image</w:t>
      </w:r>
      <w:r w:rsidR="00427468">
        <w:t xml:space="preserve"> of </w:t>
      </w:r>
      <w:r w:rsidRPr="00C73C58">
        <w:t xml:space="preserve">joint institute for nuclear research. </w:t>
      </w:r>
      <w:r w:rsidRPr="00C73C58">
        <w:rPr>
          <w:i/>
          <w:iCs/>
        </w:rPr>
        <w:t>Czechoslovak Journal</w:t>
      </w:r>
      <w:r w:rsidR="00427468">
        <w:rPr>
          <w:i/>
          <w:iCs/>
        </w:rPr>
        <w:t xml:space="preserve"> of </w:t>
      </w:r>
      <w:r w:rsidRPr="00C73C58">
        <w:rPr>
          <w:i/>
          <w:iCs/>
        </w:rPr>
        <w:t>Physics</w:t>
      </w:r>
      <w:r w:rsidRPr="00C73C58">
        <w:t xml:space="preserve">, </w:t>
      </w:r>
      <w:r w:rsidRPr="00C73C58">
        <w:rPr>
          <w:b/>
          <w:bCs/>
        </w:rPr>
        <w:t>31</w:t>
      </w:r>
      <w:r w:rsidRPr="00C73C58">
        <w:t xml:space="preserve"> (5), 559-562.</w:t>
      </w:r>
    </w:p>
    <w:p w:rsidR="00945CDD" w:rsidRPr="00C73C58" w:rsidRDefault="00945CDD" w:rsidP="00945CDD">
      <w:pPr>
        <w:pStyle w:val="a3"/>
      </w:pPr>
      <w:r>
        <w:rPr>
          <w:rFonts w:hint="eastAsia"/>
        </w:rPr>
        <w:t xml:space="preserve">Full Text: </w:t>
      </w:r>
      <w:hyperlink r:id="rId1251" w:history="1">
        <w:r w:rsidRPr="007F5302">
          <w:rPr>
            <w:rStyle w:val="a5"/>
          </w:rPr>
          <w:t>1981\Cze J Phy31, 559.pdf</w:t>
        </w:r>
      </w:hyperlink>
    </w:p>
    <w:p w:rsidR="00F43A81" w:rsidRPr="00C73C58" w:rsidRDefault="00F43A81" w:rsidP="00F43A81">
      <w:pPr>
        <w:pStyle w:val="a3"/>
        <w:rPr>
          <w:kern w:val="0"/>
          <w:szCs w:val="24"/>
        </w:rPr>
      </w:pPr>
      <w:r w:rsidRPr="00C73C58">
        <w:rPr>
          <w:kern w:val="0"/>
          <w:szCs w:val="24"/>
        </w:rPr>
        <w:t>? Vlach</w:t>
      </w:r>
      <w:r>
        <w:t>ý</w:t>
      </w:r>
      <w:r w:rsidRPr="00C73C58">
        <w:rPr>
          <w:kern w:val="0"/>
          <w:szCs w:val="24"/>
        </w:rPr>
        <w:t xml:space="preserve">, J. (1985), </w:t>
      </w:r>
      <w:r>
        <w:t>Publication output</w:t>
      </w:r>
      <w:r w:rsidR="005853A9">
        <w:t xml:space="preserve"> and </w:t>
      </w:r>
      <w:r>
        <w:t>citation</w:t>
      </w:r>
      <w:r w:rsidR="00427468">
        <w:t xml:space="preserve"> of </w:t>
      </w:r>
      <w:r>
        <w:t>developing-countries in physics</w:t>
      </w:r>
      <w:r w:rsidRPr="00C73C58">
        <w:rPr>
          <w:kern w:val="0"/>
          <w:szCs w:val="24"/>
        </w:rPr>
        <w:t xml:space="preserve">. </w:t>
      </w:r>
      <w:r w:rsidRPr="00C73C58">
        <w:rPr>
          <w:i/>
          <w:iCs/>
          <w:kern w:val="0"/>
          <w:szCs w:val="24"/>
        </w:rPr>
        <w:t>Czechoslovak Journal</w:t>
      </w:r>
      <w:r w:rsidR="00427468">
        <w:rPr>
          <w:i/>
          <w:iCs/>
          <w:kern w:val="0"/>
          <w:szCs w:val="24"/>
        </w:rPr>
        <w:t xml:space="preserve"> of </w:t>
      </w:r>
      <w:r w:rsidRPr="00C73C58">
        <w:rPr>
          <w:i/>
          <w:iCs/>
          <w:kern w:val="0"/>
          <w:szCs w:val="24"/>
        </w:rPr>
        <w:t>Physics</w:t>
      </w:r>
      <w:r w:rsidRPr="00C73C58">
        <w:rPr>
          <w:kern w:val="0"/>
          <w:szCs w:val="24"/>
        </w:rPr>
        <w:t xml:space="preserve">, </w:t>
      </w:r>
      <w:r w:rsidRPr="00C73C58">
        <w:rPr>
          <w:b/>
          <w:bCs/>
          <w:kern w:val="0"/>
          <w:szCs w:val="24"/>
        </w:rPr>
        <w:t>35</w:t>
      </w:r>
      <w:r w:rsidRPr="00C73C58">
        <w:rPr>
          <w:kern w:val="0"/>
          <w:szCs w:val="24"/>
        </w:rPr>
        <w:t xml:space="preserve"> (1</w:t>
      </w:r>
      <w:r>
        <w:rPr>
          <w:rFonts w:hint="eastAsia"/>
          <w:kern w:val="0"/>
          <w:szCs w:val="24"/>
        </w:rPr>
        <w:t>0</w:t>
      </w:r>
      <w:r w:rsidRPr="00C73C58">
        <w:rPr>
          <w:kern w:val="0"/>
          <w:szCs w:val="24"/>
        </w:rPr>
        <w:t xml:space="preserve">), </w:t>
      </w:r>
      <w:r>
        <w:t>1201-1204</w:t>
      </w:r>
      <w:r>
        <w:rPr>
          <w:rFonts w:hint="eastAsia"/>
        </w:rPr>
        <w:t>.</w:t>
      </w:r>
    </w:p>
    <w:p w:rsidR="00F43A81" w:rsidRDefault="00F43A81" w:rsidP="00F43A81">
      <w:pPr>
        <w:pStyle w:val="a3"/>
      </w:pPr>
      <w:r>
        <w:rPr>
          <w:rFonts w:hint="eastAsia"/>
        </w:rPr>
        <w:t xml:space="preserve">Full Text: </w:t>
      </w:r>
      <w:hyperlink r:id="rId1252" w:history="1">
        <w:r w:rsidRPr="00F43A81">
          <w:rPr>
            <w:rStyle w:val="a5"/>
          </w:rPr>
          <w:t>1985\Cze J Phy35, 1201.pdf</w:t>
        </w:r>
      </w:hyperlink>
    </w:p>
    <w:p w:rsidR="00F43A81" w:rsidRPr="00C73C58" w:rsidRDefault="00F43A81" w:rsidP="00F43A81">
      <w:pPr>
        <w:pStyle w:val="a3"/>
        <w:rPr>
          <w:kern w:val="0"/>
          <w:szCs w:val="24"/>
        </w:rPr>
      </w:pPr>
      <w:r w:rsidRPr="00C73C58">
        <w:rPr>
          <w:kern w:val="0"/>
          <w:szCs w:val="24"/>
        </w:rPr>
        <w:t>? Vlach</w:t>
      </w:r>
      <w:r>
        <w:t>ý</w:t>
      </w:r>
      <w:r w:rsidRPr="00C73C58">
        <w:rPr>
          <w:kern w:val="0"/>
          <w:szCs w:val="24"/>
        </w:rPr>
        <w:t>, J. (1985), Scientometric analyses in physics a bibliography</w:t>
      </w:r>
      <w:r w:rsidR="00427468">
        <w:rPr>
          <w:kern w:val="0"/>
          <w:szCs w:val="24"/>
        </w:rPr>
        <w:t xml:space="preserve"> of </w:t>
      </w:r>
      <w:r w:rsidRPr="00C73C58">
        <w:rPr>
          <w:kern w:val="0"/>
          <w:szCs w:val="24"/>
        </w:rPr>
        <w:t>publication, citation</w:t>
      </w:r>
      <w:r w:rsidR="005853A9">
        <w:rPr>
          <w:kern w:val="0"/>
          <w:szCs w:val="24"/>
        </w:rPr>
        <w:t xml:space="preserve"> and </w:t>
      </w:r>
      <w:r w:rsidRPr="00C73C58">
        <w:rPr>
          <w:kern w:val="0"/>
          <w:szCs w:val="24"/>
        </w:rPr>
        <w:t xml:space="preserve">mobility studies. </w:t>
      </w:r>
      <w:r w:rsidRPr="00C73C58">
        <w:rPr>
          <w:i/>
          <w:iCs/>
          <w:kern w:val="0"/>
          <w:szCs w:val="24"/>
        </w:rPr>
        <w:t>Czechoslovak Journal</w:t>
      </w:r>
      <w:r w:rsidR="00427468">
        <w:rPr>
          <w:i/>
          <w:iCs/>
          <w:kern w:val="0"/>
          <w:szCs w:val="24"/>
        </w:rPr>
        <w:t xml:space="preserve"> of </w:t>
      </w:r>
      <w:r w:rsidRPr="00C73C58">
        <w:rPr>
          <w:i/>
          <w:iCs/>
          <w:kern w:val="0"/>
          <w:szCs w:val="24"/>
        </w:rPr>
        <w:t>Physics</w:t>
      </w:r>
      <w:r w:rsidRPr="00C73C58">
        <w:rPr>
          <w:kern w:val="0"/>
          <w:szCs w:val="24"/>
        </w:rPr>
        <w:t xml:space="preserve">, </w:t>
      </w:r>
      <w:r w:rsidRPr="00C73C58">
        <w:rPr>
          <w:b/>
          <w:bCs/>
          <w:kern w:val="0"/>
          <w:szCs w:val="24"/>
        </w:rPr>
        <w:t>35</w:t>
      </w:r>
      <w:r w:rsidRPr="00C73C58">
        <w:rPr>
          <w:kern w:val="0"/>
          <w:szCs w:val="24"/>
        </w:rPr>
        <w:t xml:space="preserve"> (12), 1389-1436</w:t>
      </w:r>
      <w:r>
        <w:rPr>
          <w:rFonts w:hint="eastAsia"/>
          <w:kern w:val="0"/>
          <w:szCs w:val="24"/>
        </w:rPr>
        <w:t>.</w:t>
      </w:r>
    </w:p>
    <w:p w:rsidR="00F43A81" w:rsidRPr="00C73C58" w:rsidRDefault="00F43A81" w:rsidP="00F43A81">
      <w:pPr>
        <w:pStyle w:val="a3"/>
      </w:pPr>
      <w:r>
        <w:rPr>
          <w:rFonts w:hint="eastAsia"/>
        </w:rPr>
        <w:t xml:space="preserve">Full Text: </w:t>
      </w:r>
      <w:hyperlink r:id="rId1253" w:history="1">
        <w:r w:rsidRPr="007F7E7E">
          <w:rPr>
            <w:rStyle w:val="a5"/>
          </w:rPr>
          <w:t>1985\Cze J Phy35, 1389.pdf</w:t>
        </w:r>
      </w:hyperlink>
    </w:p>
    <w:p w:rsidR="00945CDD" w:rsidRPr="00C73C58" w:rsidRDefault="00945CDD" w:rsidP="00945CDD">
      <w:pPr>
        <w:pStyle w:val="a3"/>
      </w:pPr>
      <w:r w:rsidRPr="00C73C58">
        <w:t>? Vlach</w:t>
      </w:r>
      <w:r>
        <w:t>ý</w:t>
      </w:r>
      <w:r w:rsidRPr="00C73C58">
        <w:t xml:space="preserve">, J. (1986), Scientometric analyses in physics - Where we stand. </w:t>
      </w:r>
      <w:r w:rsidRPr="00C73C58">
        <w:rPr>
          <w:i/>
          <w:iCs/>
        </w:rPr>
        <w:t>Czechoslovak Journal</w:t>
      </w:r>
      <w:r w:rsidR="00427468">
        <w:rPr>
          <w:i/>
          <w:iCs/>
        </w:rPr>
        <w:t xml:space="preserve"> of </w:t>
      </w:r>
      <w:r w:rsidRPr="00C73C58">
        <w:rPr>
          <w:i/>
          <w:iCs/>
        </w:rPr>
        <w:t>Physics</w:t>
      </w:r>
      <w:r w:rsidRPr="00C73C58">
        <w:t xml:space="preserve">, </w:t>
      </w:r>
      <w:r w:rsidRPr="00C73C58">
        <w:rPr>
          <w:b/>
          <w:bCs/>
        </w:rPr>
        <w:t>36</w:t>
      </w:r>
      <w:r w:rsidRPr="00C73C58">
        <w:t xml:space="preserve"> (1), 1-13.</w:t>
      </w:r>
    </w:p>
    <w:p w:rsidR="00945CDD" w:rsidRPr="00C73C58" w:rsidRDefault="00945CDD" w:rsidP="00945CDD">
      <w:pPr>
        <w:pStyle w:val="a3"/>
      </w:pPr>
      <w:r>
        <w:rPr>
          <w:rFonts w:hint="eastAsia"/>
        </w:rPr>
        <w:t xml:space="preserve">Full Text: </w:t>
      </w:r>
      <w:hyperlink r:id="rId1254" w:history="1">
        <w:r w:rsidRPr="007F7E7E">
          <w:rPr>
            <w:rStyle w:val="a5"/>
          </w:rPr>
          <w:t>1986\Cze J Phy36, 1.pdf</w:t>
        </w:r>
      </w:hyperlink>
    </w:p>
    <w:p w:rsidR="00945CDD" w:rsidRPr="00C73C58" w:rsidRDefault="00945CDD" w:rsidP="00945CDD">
      <w:pPr>
        <w:pStyle w:val="a3"/>
      </w:pPr>
      <w:r w:rsidRPr="00C73C58">
        <w:t>? Haitun, S.D. (1986), Scientometrics</w:t>
      </w:r>
      <w:r w:rsidR="005853A9">
        <w:t xml:space="preserve"> and </w:t>
      </w:r>
      <w:r w:rsidRPr="00C73C58">
        <w:t xml:space="preserve">physics. </w:t>
      </w:r>
      <w:r w:rsidRPr="00C73C58">
        <w:rPr>
          <w:i/>
          <w:iCs/>
          <w:kern w:val="0"/>
        </w:rPr>
        <w:t>Czechoslovak Journal</w:t>
      </w:r>
      <w:r w:rsidR="00427468">
        <w:rPr>
          <w:i/>
          <w:iCs/>
          <w:kern w:val="0"/>
        </w:rPr>
        <w:t xml:space="preserve"> of </w:t>
      </w:r>
      <w:r w:rsidRPr="00C73C58">
        <w:rPr>
          <w:i/>
          <w:iCs/>
          <w:kern w:val="0"/>
        </w:rPr>
        <w:t>Physics</w:t>
      </w:r>
      <w:r w:rsidRPr="00C73C58">
        <w:t xml:space="preserve">, </w:t>
      </w:r>
      <w:r w:rsidRPr="00C73C58">
        <w:rPr>
          <w:b/>
          <w:bCs/>
          <w:kern w:val="0"/>
        </w:rPr>
        <w:t>36</w:t>
      </w:r>
      <w:r w:rsidRPr="00C73C58">
        <w:t xml:space="preserve"> (1), 54-57.</w:t>
      </w:r>
    </w:p>
    <w:p w:rsidR="00945CDD" w:rsidRPr="00C73C58" w:rsidRDefault="00945CDD" w:rsidP="00945CDD">
      <w:pPr>
        <w:pStyle w:val="a3"/>
      </w:pPr>
      <w:r>
        <w:rPr>
          <w:rFonts w:hint="eastAsia"/>
        </w:rPr>
        <w:t xml:space="preserve">Full Text: </w:t>
      </w:r>
      <w:hyperlink r:id="rId1255" w:history="1">
        <w:r w:rsidRPr="007F7E7E">
          <w:rPr>
            <w:rStyle w:val="a5"/>
          </w:rPr>
          <w:t>1986\Cze J Phy36, 54.pdf</w:t>
        </w:r>
      </w:hyperlink>
    </w:p>
    <w:p w:rsidR="004851AA" w:rsidRPr="00C73C58" w:rsidRDefault="004851AA" w:rsidP="004851AA">
      <w:pPr>
        <w:pStyle w:val="a3"/>
        <w:rPr>
          <w:kern w:val="0"/>
          <w:szCs w:val="24"/>
        </w:rPr>
      </w:pPr>
      <w:r w:rsidRPr="00C73C58">
        <w:rPr>
          <w:kern w:val="0"/>
          <w:szCs w:val="24"/>
        </w:rPr>
        <w:t>? Rangarajan, K.S.</w:t>
      </w:r>
      <w:r w:rsidR="005853A9">
        <w:rPr>
          <w:kern w:val="0"/>
          <w:szCs w:val="24"/>
        </w:rPr>
        <w:t xml:space="preserve"> and </w:t>
      </w:r>
      <w:r w:rsidRPr="00C73C58">
        <w:rPr>
          <w:kern w:val="0"/>
          <w:szCs w:val="24"/>
        </w:rPr>
        <w:t xml:space="preserve">Bhat, P. (1986), Are </w:t>
      </w:r>
      <w:r>
        <w:rPr>
          <w:kern w:val="0"/>
          <w:szCs w:val="24"/>
        </w:rPr>
        <w:t xml:space="preserve">Mössbauer </w:t>
      </w:r>
      <w:r w:rsidRPr="00C73C58">
        <w:rPr>
          <w:kern w:val="0"/>
          <w:szCs w:val="24"/>
        </w:rPr>
        <w:t xml:space="preserve">effect studies poised for renaissance: An answer based on scientometric approach. </w:t>
      </w:r>
      <w:r w:rsidRPr="00C73C58">
        <w:rPr>
          <w:i/>
          <w:iCs/>
          <w:kern w:val="0"/>
          <w:szCs w:val="24"/>
        </w:rPr>
        <w:t>Czechoslovak Journal</w:t>
      </w:r>
      <w:r w:rsidR="00427468">
        <w:rPr>
          <w:i/>
          <w:iCs/>
          <w:kern w:val="0"/>
          <w:szCs w:val="24"/>
        </w:rPr>
        <w:t xml:space="preserve"> of </w:t>
      </w:r>
      <w:r w:rsidRPr="00C73C58">
        <w:rPr>
          <w:i/>
          <w:iCs/>
          <w:kern w:val="0"/>
          <w:szCs w:val="24"/>
        </w:rPr>
        <w:t>Physics</w:t>
      </w:r>
      <w:r w:rsidRPr="00C73C58">
        <w:rPr>
          <w:kern w:val="0"/>
          <w:szCs w:val="24"/>
        </w:rPr>
        <w:t xml:space="preserve">, </w:t>
      </w:r>
      <w:r w:rsidRPr="00C73C58">
        <w:rPr>
          <w:b/>
          <w:bCs/>
          <w:kern w:val="0"/>
          <w:szCs w:val="24"/>
        </w:rPr>
        <w:t>36</w:t>
      </w:r>
      <w:r w:rsidRPr="00C73C58">
        <w:rPr>
          <w:kern w:val="0"/>
          <w:szCs w:val="24"/>
        </w:rPr>
        <w:t xml:space="preserve"> (1), 115-117</w:t>
      </w:r>
    </w:p>
    <w:p w:rsidR="004851AA" w:rsidRPr="00C73C58" w:rsidRDefault="004851AA" w:rsidP="004851AA">
      <w:pPr>
        <w:pStyle w:val="a3"/>
      </w:pPr>
      <w:r>
        <w:rPr>
          <w:rFonts w:hint="eastAsia"/>
        </w:rPr>
        <w:t xml:space="preserve">Full Text: </w:t>
      </w:r>
      <w:hyperlink r:id="rId1256" w:history="1">
        <w:r w:rsidRPr="00CE63C6">
          <w:rPr>
            <w:rStyle w:val="a5"/>
          </w:rPr>
          <w:t>1986\Cze J Phy36, 115.pdf</w:t>
        </w:r>
      </w:hyperlink>
    </w:p>
    <w:p w:rsidR="004851AA" w:rsidRPr="00C73C58" w:rsidRDefault="004851AA" w:rsidP="004851AA">
      <w:pPr>
        <w:pStyle w:val="a3"/>
      </w:pPr>
      <w:r w:rsidRPr="00C73C58">
        <w:t>? Vlach</w:t>
      </w:r>
      <w:r>
        <w:t>ý</w:t>
      </w:r>
      <w:r w:rsidRPr="00C73C58">
        <w:t>, J. (1986</w:t>
      </w:r>
      <w:r w:rsidR="00F42EAC">
        <w:t>), The</w:t>
      </w:r>
      <w:r w:rsidR="003A1917">
        <w:t xml:space="preserve"> </w:t>
      </w:r>
      <w:r w:rsidRPr="00C73C58">
        <w:t>adequacy</w:t>
      </w:r>
      <w:r w:rsidR="00427468">
        <w:t xml:space="preserve"> of </w:t>
      </w:r>
      <w:r w:rsidR="003A1917">
        <w:t xml:space="preserve">the </w:t>
      </w:r>
      <w:r w:rsidRPr="00C73C58">
        <w:t>Science Citation Index as an indicator</w:t>
      </w:r>
      <w:r w:rsidR="00427468">
        <w:t xml:space="preserve"> of </w:t>
      </w:r>
      <w:r w:rsidRPr="00C73C58">
        <w:t xml:space="preserve">international publication output in physics. </w:t>
      </w:r>
      <w:r w:rsidRPr="00C73C58">
        <w:rPr>
          <w:i/>
          <w:iCs/>
        </w:rPr>
        <w:t>Czechoslovak Journal</w:t>
      </w:r>
      <w:r w:rsidR="00427468">
        <w:rPr>
          <w:i/>
          <w:iCs/>
        </w:rPr>
        <w:t xml:space="preserve"> of </w:t>
      </w:r>
      <w:r w:rsidRPr="00C73C58">
        <w:rPr>
          <w:i/>
          <w:iCs/>
        </w:rPr>
        <w:t>Physics</w:t>
      </w:r>
      <w:r w:rsidRPr="00C73C58">
        <w:t xml:space="preserve">, </w:t>
      </w:r>
      <w:r w:rsidRPr="00C73C58">
        <w:rPr>
          <w:b/>
          <w:bCs/>
        </w:rPr>
        <w:t>36</w:t>
      </w:r>
      <w:r w:rsidRPr="00C73C58">
        <w:t xml:space="preserve"> (5), 663-666.</w:t>
      </w:r>
    </w:p>
    <w:p w:rsidR="004851AA" w:rsidRPr="00C73C58" w:rsidRDefault="004851AA" w:rsidP="004851AA">
      <w:pPr>
        <w:pStyle w:val="a3"/>
      </w:pPr>
      <w:r>
        <w:rPr>
          <w:rFonts w:hint="eastAsia"/>
        </w:rPr>
        <w:t xml:space="preserve">Full Text: </w:t>
      </w:r>
      <w:hyperlink r:id="rId1257" w:history="1">
        <w:r w:rsidRPr="00CE63C6">
          <w:rPr>
            <w:rStyle w:val="a5"/>
          </w:rPr>
          <w:t>1986\Cze J Phy36, 663.pdf</w:t>
        </w:r>
      </w:hyperlink>
    </w:p>
    <w:p w:rsidR="003474F2" w:rsidRPr="001A3D2B" w:rsidRDefault="003474F2" w:rsidP="003474F2">
      <w:pPr>
        <w:pStyle w:val="a3"/>
      </w:pPr>
      <w:r w:rsidRPr="001A3D2B">
        <w:t>Keywords: Science Citation Index</w:t>
      </w:r>
    </w:p>
    <w:p w:rsidR="00E27A6F" w:rsidRDefault="00E27A6F" w:rsidP="00E27A6F">
      <w:pPr>
        <w:pStyle w:val="a3"/>
        <w:rPr>
          <w:kern w:val="0"/>
        </w:rPr>
      </w:pPr>
      <w:r>
        <w:rPr>
          <w:rFonts w:hint="eastAsia"/>
          <w:kern w:val="0"/>
        </w:rPr>
        <w:t xml:space="preserve">? </w:t>
      </w:r>
      <w:r w:rsidRPr="00C73C58">
        <w:t>Vlach</w:t>
      </w:r>
      <w:r>
        <w:t>ý</w:t>
      </w:r>
      <w:r>
        <w:rPr>
          <w:kern w:val="0"/>
        </w:rPr>
        <w:t>, J. (1986), Physics papers most cited in 1961-1982</w:t>
      </w:r>
      <w:r w:rsidR="005853A9">
        <w:rPr>
          <w:kern w:val="0"/>
        </w:rPr>
        <w:t xml:space="preserve"> and </w:t>
      </w:r>
      <w:r>
        <w:rPr>
          <w:kern w:val="0"/>
        </w:rPr>
        <w:t xml:space="preserve">their successive </w:t>
      </w:r>
      <w:r>
        <w:rPr>
          <w:kern w:val="0"/>
        </w:rPr>
        <w:lastRenderedPageBreak/>
        <w:t xml:space="preserve">citation. </w:t>
      </w:r>
      <w:r>
        <w:rPr>
          <w:i/>
          <w:iCs/>
          <w:kern w:val="0"/>
        </w:rPr>
        <w:t>Czechoslovak Journal</w:t>
      </w:r>
      <w:r w:rsidR="00427468">
        <w:rPr>
          <w:i/>
          <w:iCs/>
          <w:kern w:val="0"/>
        </w:rPr>
        <w:t xml:space="preserve"> of </w:t>
      </w:r>
      <w:r>
        <w:rPr>
          <w:i/>
          <w:iCs/>
          <w:kern w:val="0"/>
        </w:rPr>
        <w:t>Physics</w:t>
      </w:r>
      <w:r>
        <w:rPr>
          <w:kern w:val="0"/>
        </w:rPr>
        <w:t xml:space="preserve">, </w:t>
      </w:r>
      <w:r>
        <w:rPr>
          <w:b/>
          <w:bCs/>
          <w:kern w:val="0"/>
        </w:rPr>
        <w:t>36</w:t>
      </w:r>
      <w:r>
        <w:rPr>
          <w:kern w:val="0"/>
        </w:rPr>
        <w:t xml:space="preserve"> (7), 887-890</w:t>
      </w:r>
      <w:r>
        <w:rPr>
          <w:rFonts w:hint="eastAsia"/>
          <w:kern w:val="0"/>
        </w:rPr>
        <w:t>.</w:t>
      </w:r>
    </w:p>
    <w:p w:rsidR="00E27A6F" w:rsidRPr="00C73C58" w:rsidRDefault="00E27A6F" w:rsidP="00E27A6F">
      <w:pPr>
        <w:pStyle w:val="a3"/>
      </w:pPr>
      <w:r>
        <w:rPr>
          <w:rFonts w:hint="eastAsia"/>
        </w:rPr>
        <w:t xml:space="preserve">Full Text: </w:t>
      </w:r>
      <w:hyperlink r:id="rId1258" w:history="1">
        <w:r w:rsidRPr="00E27A6F">
          <w:rPr>
            <w:rStyle w:val="a5"/>
          </w:rPr>
          <w:t>1986\Cze J Phy36, 887.pdf</w:t>
        </w:r>
      </w:hyperlink>
    </w:p>
    <w:p w:rsidR="00E27A6F" w:rsidRDefault="00E27A6F" w:rsidP="00E27A6F">
      <w:pPr>
        <w:pStyle w:val="a3"/>
        <w:rPr>
          <w:kern w:val="0"/>
        </w:rPr>
      </w:pPr>
      <w:r>
        <w:rPr>
          <w:kern w:val="0"/>
        </w:rPr>
        <w:t>Keywords: Citation, Physics</w:t>
      </w:r>
    </w:p>
    <w:p w:rsidR="00E27A6F" w:rsidRDefault="00E27A6F" w:rsidP="00E27A6F">
      <w:pPr>
        <w:pStyle w:val="a3"/>
        <w:rPr>
          <w:kern w:val="0"/>
        </w:rPr>
      </w:pPr>
      <w:r>
        <w:rPr>
          <w:rFonts w:hint="eastAsia"/>
          <w:kern w:val="0"/>
        </w:rPr>
        <w:t xml:space="preserve">? </w:t>
      </w:r>
      <w:r>
        <w:t>Czerwon, H</w:t>
      </w:r>
      <w:r>
        <w:rPr>
          <w:rFonts w:hint="eastAsia"/>
        </w:rPr>
        <w:t>.</w:t>
      </w:r>
      <w:r>
        <w:t>J</w:t>
      </w:r>
      <w:r>
        <w:rPr>
          <w:rFonts w:hint="eastAsia"/>
        </w:rPr>
        <w:t>.</w:t>
      </w:r>
      <w:r w:rsidR="005853A9">
        <w:rPr>
          <w:rFonts w:hint="eastAsia"/>
        </w:rPr>
        <w:t xml:space="preserve"> and </w:t>
      </w:r>
      <w:r w:rsidRPr="00C73C58">
        <w:t>Vlach</w:t>
      </w:r>
      <w:r>
        <w:t>ý</w:t>
      </w:r>
      <w:r>
        <w:rPr>
          <w:kern w:val="0"/>
        </w:rPr>
        <w:t xml:space="preserve">, J. (1986), </w:t>
      </w:r>
      <w:r>
        <w:t>Quantized hall-effect publication</w:t>
      </w:r>
      <w:r w:rsidR="005853A9">
        <w:t xml:space="preserve"> and </w:t>
      </w:r>
      <w:r>
        <w:t>citation follow-ups</w:t>
      </w:r>
      <w:r w:rsidR="00427468">
        <w:t xml:space="preserve"> of </w:t>
      </w:r>
      <w:r>
        <w:t>a Nobel-Prize discovery</w:t>
      </w:r>
      <w:r>
        <w:rPr>
          <w:kern w:val="0"/>
        </w:rPr>
        <w:t xml:space="preserve">. </w:t>
      </w:r>
      <w:r>
        <w:rPr>
          <w:i/>
          <w:iCs/>
          <w:kern w:val="0"/>
        </w:rPr>
        <w:t>Czechoslovak Journal</w:t>
      </w:r>
      <w:r w:rsidR="00427468">
        <w:rPr>
          <w:i/>
          <w:iCs/>
          <w:kern w:val="0"/>
        </w:rPr>
        <w:t xml:space="preserve"> of </w:t>
      </w:r>
      <w:r>
        <w:rPr>
          <w:i/>
          <w:iCs/>
          <w:kern w:val="0"/>
        </w:rPr>
        <w:t>Physics</w:t>
      </w:r>
      <w:r>
        <w:rPr>
          <w:kern w:val="0"/>
        </w:rPr>
        <w:t xml:space="preserve">, </w:t>
      </w:r>
      <w:r>
        <w:rPr>
          <w:b/>
          <w:bCs/>
          <w:kern w:val="0"/>
        </w:rPr>
        <w:t>36</w:t>
      </w:r>
      <w:r>
        <w:rPr>
          <w:kern w:val="0"/>
        </w:rPr>
        <w:t xml:space="preserve"> (</w:t>
      </w:r>
      <w:r>
        <w:rPr>
          <w:rFonts w:hint="eastAsia"/>
          <w:kern w:val="0"/>
        </w:rPr>
        <w:t>9</w:t>
      </w:r>
      <w:r>
        <w:rPr>
          <w:kern w:val="0"/>
        </w:rPr>
        <w:t xml:space="preserve">), </w:t>
      </w:r>
      <w:r>
        <w:t>1101-1106</w:t>
      </w:r>
      <w:r>
        <w:rPr>
          <w:rFonts w:hint="eastAsia"/>
          <w:kern w:val="0"/>
        </w:rPr>
        <w:t>.</w:t>
      </w:r>
    </w:p>
    <w:p w:rsidR="00E27A6F" w:rsidRDefault="00E27A6F" w:rsidP="00E27A6F">
      <w:pPr>
        <w:pStyle w:val="a3"/>
      </w:pPr>
      <w:r>
        <w:rPr>
          <w:rFonts w:hint="eastAsia"/>
        </w:rPr>
        <w:t xml:space="preserve">Full Text: </w:t>
      </w:r>
      <w:hyperlink r:id="rId1259" w:history="1">
        <w:r w:rsidRPr="00E27A6F">
          <w:rPr>
            <w:rStyle w:val="a5"/>
          </w:rPr>
          <w:t>1986\Cze J Phy36, 1101.pdf</w:t>
        </w:r>
      </w:hyperlink>
    </w:p>
    <w:p w:rsidR="004851AA" w:rsidRPr="00C73C58" w:rsidRDefault="004851AA" w:rsidP="004851AA">
      <w:pPr>
        <w:pStyle w:val="a3"/>
      </w:pPr>
      <w:r w:rsidRPr="00C73C58">
        <w:t>? Vlach</w:t>
      </w:r>
      <w:r>
        <w:t>ý</w:t>
      </w:r>
      <w:r w:rsidRPr="00C73C58">
        <w:t>, J. (1986), Publication image</w:t>
      </w:r>
      <w:r w:rsidR="00427468">
        <w:t xml:space="preserve"> of </w:t>
      </w:r>
      <w:r w:rsidR="003A1917">
        <w:t xml:space="preserve">the </w:t>
      </w:r>
      <w:r w:rsidRPr="00C73C58">
        <w:t>joint institute for nuclear-research in Dubna from</w:t>
      </w:r>
      <w:r w:rsidR="003A1917">
        <w:t xml:space="preserve"> the </w:t>
      </w:r>
      <w:r w:rsidRPr="00C73C58">
        <w:t xml:space="preserve">Science Citation Index Database. </w:t>
      </w:r>
      <w:r w:rsidRPr="00C73C58">
        <w:rPr>
          <w:i/>
          <w:iCs/>
        </w:rPr>
        <w:t>Czechoslovak Journal</w:t>
      </w:r>
      <w:r w:rsidR="00427468">
        <w:rPr>
          <w:i/>
          <w:iCs/>
        </w:rPr>
        <w:t xml:space="preserve"> of </w:t>
      </w:r>
      <w:r w:rsidRPr="00C73C58">
        <w:rPr>
          <w:i/>
          <w:iCs/>
        </w:rPr>
        <w:t>Physics</w:t>
      </w:r>
      <w:r w:rsidRPr="00C73C58">
        <w:t xml:space="preserve">, </w:t>
      </w:r>
      <w:r w:rsidRPr="00C73C58">
        <w:rPr>
          <w:b/>
          <w:bCs/>
        </w:rPr>
        <w:t>36</w:t>
      </w:r>
      <w:r w:rsidRPr="00C73C58">
        <w:t xml:space="preserve"> (11), 1339-1342.</w:t>
      </w:r>
    </w:p>
    <w:p w:rsidR="004851AA" w:rsidRPr="00C73C58" w:rsidRDefault="004851AA" w:rsidP="004851AA">
      <w:pPr>
        <w:pStyle w:val="a3"/>
      </w:pPr>
      <w:r>
        <w:rPr>
          <w:rFonts w:hint="eastAsia"/>
        </w:rPr>
        <w:t xml:space="preserve">Full Text: </w:t>
      </w:r>
      <w:hyperlink r:id="rId1260" w:history="1">
        <w:r w:rsidRPr="00CE63C6">
          <w:rPr>
            <w:rStyle w:val="a5"/>
          </w:rPr>
          <w:t>1986\Cze J Phy36, 1339.pdf</w:t>
        </w:r>
      </w:hyperlink>
    </w:p>
    <w:p w:rsidR="004851AA" w:rsidRPr="00C73C58" w:rsidRDefault="004851AA" w:rsidP="004851AA">
      <w:pPr>
        <w:pStyle w:val="a3"/>
      </w:pPr>
      <w:r w:rsidRPr="00C73C58">
        <w:t>Keywords: Science Citation Index</w:t>
      </w:r>
      <w:bookmarkEnd w:id="1"/>
      <w:bookmarkEnd w:id="2"/>
      <w:bookmarkEnd w:id="3"/>
      <w:bookmarkEnd w:id="4"/>
      <w:bookmarkEnd w:id="5"/>
    </w:p>
    <w:sectPr w:rsidR="004851AA" w:rsidRPr="00C73C58" w:rsidSect="002377CD">
      <w:headerReference w:type="even" r:id="rId1261"/>
      <w:footerReference w:type="default" r:id="rId1262"/>
      <w:type w:val="nextColumn"/>
      <w:pgSz w:w="11906" w:h="16838"/>
      <w:pgMar w:top="1418" w:right="1701"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FB7" w:rsidRDefault="005E2FB7" w:rsidP="006308DC">
      <w:r>
        <w:separator/>
      </w:r>
    </w:p>
  </w:endnote>
  <w:endnote w:type="continuationSeparator" w:id="0">
    <w:p w:rsidR="005E2FB7" w:rsidRDefault="005E2FB7" w:rsidP="0063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662" w:rsidRPr="004C42F6" w:rsidRDefault="00170662">
    <w:pPr>
      <w:jc w:val="center"/>
      <w:rPr>
        <w:sz w:val="20"/>
        <w:szCs w:val="20"/>
      </w:rPr>
    </w:pPr>
    <w:r w:rsidRPr="004C42F6">
      <w:rPr>
        <w:sz w:val="20"/>
        <w:szCs w:val="20"/>
      </w:rPr>
      <w:fldChar w:fldCharType="begin"/>
    </w:r>
    <w:r w:rsidRPr="004C42F6">
      <w:rPr>
        <w:sz w:val="20"/>
        <w:szCs w:val="20"/>
      </w:rPr>
      <w:instrText xml:space="preserve"> PAGE </w:instrText>
    </w:r>
    <w:r w:rsidRPr="004C42F6">
      <w:rPr>
        <w:sz w:val="20"/>
        <w:szCs w:val="20"/>
      </w:rPr>
      <w:fldChar w:fldCharType="separate"/>
    </w:r>
    <w:r w:rsidR="00D9657B">
      <w:rPr>
        <w:noProof/>
        <w:sz w:val="20"/>
        <w:szCs w:val="20"/>
      </w:rPr>
      <w:t>2</w:t>
    </w:r>
    <w:r w:rsidRPr="004C42F6">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FB7" w:rsidRDefault="005E2FB7" w:rsidP="006308DC">
      <w:r>
        <w:separator/>
      </w:r>
    </w:p>
  </w:footnote>
  <w:footnote w:type="continuationSeparator" w:id="0">
    <w:p w:rsidR="005E2FB7" w:rsidRDefault="005E2FB7" w:rsidP="00630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662" w:rsidRDefault="00170662"/>
  <w:p w:rsidR="00170662" w:rsidRDefault="00170662"/>
  <w:p w:rsidR="00170662" w:rsidRDefault="00170662"/>
  <w:p w:rsidR="00170662" w:rsidRDefault="00170662"/>
  <w:p w:rsidR="00170662" w:rsidRDefault="00170662"/>
  <w:p w:rsidR="00170662" w:rsidRDefault="001706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27BD25F8"/>
    <w:multiLevelType w:val="hybridMultilevel"/>
    <w:tmpl w:val="E5C8BD56"/>
    <w:lvl w:ilvl="0" w:tplc="5DA6339A">
      <w:start w:val="1"/>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30"/>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4F2"/>
    <w:rsid w:val="00000282"/>
    <w:rsid w:val="000011DE"/>
    <w:rsid w:val="00001382"/>
    <w:rsid w:val="00001404"/>
    <w:rsid w:val="00001727"/>
    <w:rsid w:val="00001D6C"/>
    <w:rsid w:val="00002569"/>
    <w:rsid w:val="000025C5"/>
    <w:rsid w:val="000025F7"/>
    <w:rsid w:val="0000277B"/>
    <w:rsid w:val="00002EEB"/>
    <w:rsid w:val="00003018"/>
    <w:rsid w:val="00003232"/>
    <w:rsid w:val="000037BF"/>
    <w:rsid w:val="00003975"/>
    <w:rsid w:val="00004E3E"/>
    <w:rsid w:val="00005E2B"/>
    <w:rsid w:val="0000610A"/>
    <w:rsid w:val="0000618E"/>
    <w:rsid w:val="000062B1"/>
    <w:rsid w:val="0000644F"/>
    <w:rsid w:val="000064BA"/>
    <w:rsid w:val="0000718D"/>
    <w:rsid w:val="000073D3"/>
    <w:rsid w:val="0000789A"/>
    <w:rsid w:val="0000789C"/>
    <w:rsid w:val="00007C83"/>
    <w:rsid w:val="000108BA"/>
    <w:rsid w:val="000109FF"/>
    <w:rsid w:val="00010B84"/>
    <w:rsid w:val="00011FE8"/>
    <w:rsid w:val="000124BC"/>
    <w:rsid w:val="0001326A"/>
    <w:rsid w:val="000138A6"/>
    <w:rsid w:val="000145AE"/>
    <w:rsid w:val="000157D0"/>
    <w:rsid w:val="00017178"/>
    <w:rsid w:val="000201EE"/>
    <w:rsid w:val="00020909"/>
    <w:rsid w:val="000216D1"/>
    <w:rsid w:val="00021AEC"/>
    <w:rsid w:val="00021B4F"/>
    <w:rsid w:val="00021E6B"/>
    <w:rsid w:val="0002298A"/>
    <w:rsid w:val="00023260"/>
    <w:rsid w:val="00023D5F"/>
    <w:rsid w:val="00023ED9"/>
    <w:rsid w:val="00023FCD"/>
    <w:rsid w:val="00024181"/>
    <w:rsid w:val="00024610"/>
    <w:rsid w:val="00024D04"/>
    <w:rsid w:val="00024FBD"/>
    <w:rsid w:val="000259D5"/>
    <w:rsid w:val="0002625A"/>
    <w:rsid w:val="0002686D"/>
    <w:rsid w:val="00027885"/>
    <w:rsid w:val="000279D0"/>
    <w:rsid w:val="00027BCA"/>
    <w:rsid w:val="0003007E"/>
    <w:rsid w:val="00030508"/>
    <w:rsid w:val="00031430"/>
    <w:rsid w:val="0003168E"/>
    <w:rsid w:val="000317B2"/>
    <w:rsid w:val="00032688"/>
    <w:rsid w:val="00032707"/>
    <w:rsid w:val="000327D8"/>
    <w:rsid w:val="000331B4"/>
    <w:rsid w:val="0003473C"/>
    <w:rsid w:val="00035975"/>
    <w:rsid w:val="00035DDF"/>
    <w:rsid w:val="00035DF5"/>
    <w:rsid w:val="000373CF"/>
    <w:rsid w:val="00037A0B"/>
    <w:rsid w:val="00037BBC"/>
    <w:rsid w:val="00040380"/>
    <w:rsid w:val="00042A2D"/>
    <w:rsid w:val="00042FF9"/>
    <w:rsid w:val="000437E7"/>
    <w:rsid w:val="00043831"/>
    <w:rsid w:val="00043C4B"/>
    <w:rsid w:val="00043E74"/>
    <w:rsid w:val="000449C8"/>
    <w:rsid w:val="00044FB9"/>
    <w:rsid w:val="00045A48"/>
    <w:rsid w:val="00045AEB"/>
    <w:rsid w:val="00045BB5"/>
    <w:rsid w:val="0004609D"/>
    <w:rsid w:val="0004612E"/>
    <w:rsid w:val="0004698F"/>
    <w:rsid w:val="00050168"/>
    <w:rsid w:val="000505EC"/>
    <w:rsid w:val="0005086E"/>
    <w:rsid w:val="00050B77"/>
    <w:rsid w:val="00050E5C"/>
    <w:rsid w:val="00051345"/>
    <w:rsid w:val="000519B7"/>
    <w:rsid w:val="00051EA9"/>
    <w:rsid w:val="00052796"/>
    <w:rsid w:val="00052FA3"/>
    <w:rsid w:val="0005300B"/>
    <w:rsid w:val="000530C2"/>
    <w:rsid w:val="00053180"/>
    <w:rsid w:val="000534C4"/>
    <w:rsid w:val="00053A4A"/>
    <w:rsid w:val="00053CE5"/>
    <w:rsid w:val="00054020"/>
    <w:rsid w:val="00054A2D"/>
    <w:rsid w:val="00054C78"/>
    <w:rsid w:val="0005507D"/>
    <w:rsid w:val="00055633"/>
    <w:rsid w:val="00055DE4"/>
    <w:rsid w:val="00055E72"/>
    <w:rsid w:val="00055EFE"/>
    <w:rsid w:val="00055F17"/>
    <w:rsid w:val="0005625C"/>
    <w:rsid w:val="00056516"/>
    <w:rsid w:val="0005697A"/>
    <w:rsid w:val="00056A01"/>
    <w:rsid w:val="00056BBE"/>
    <w:rsid w:val="00057113"/>
    <w:rsid w:val="00057785"/>
    <w:rsid w:val="000579D0"/>
    <w:rsid w:val="00060ECB"/>
    <w:rsid w:val="00060EEB"/>
    <w:rsid w:val="000611D3"/>
    <w:rsid w:val="00061313"/>
    <w:rsid w:val="0006135F"/>
    <w:rsid w:val="00061447"/>
    <w:rsid w:val="000617BD"/>
    <w:rsid w:val="00061931"/>
    <w:rsid w:val="000619DF"/>
    <w:rsid w:val="000619E6"/>
    <w:rsid w:val="00062270"/>
    <w:rsid w:val="000626D1"/>
    <w:rsid w:val="00063619"/>
    <w:rsid w:val="00063734"/>
    <w:rsid w:val="00063FA4"/>
    <w:rsid w:val="00063FB3"/>
    <w:rsid w:val="0006497C"/>
    <w:rsid w:val="00064ACD"/>
    <w:rsid w:val="0006522A"/>
    <w:rsid w:val="00065C77"/>
    <w:rsid w:val="000668AE"/>
    <w:rsid w:val="00066B28"/>
    <w:rsid w:val="00066BA4"/>
    <w:rsid w:val="00066F86"/>
    <w:rsid w:val="00067D36"/>
    <w:rsid w:val="00070207"/>
    <w:rsid w:val="00070538"/>
    <w:rsid w:val="00070D88"/>
    <w:rsid w:val="0007158C"/>
    <w:rsid w:val="00071888"/>
    <w:rsid w:val="00071A6E"/>
    <w:rsid w:val="00071BBE"/>
    <w:rsid w:val="00071DAE"/>
    <w:rsid w:val="00072018"/>
    <w:rsid w:val="00072349"/>
    <w:rsid w:val="000726FD"/>
    <w:rsid w:val="00072A3A"/>
    <w:rsid w:val="00073605"/>
    <w:rsid w:val="00073F17"/>
    <w:rsid w:val="000741FA"/>
    <w:rsid w:val="0007436F"/>
    <w:rsid w:val="00074789"/>
    <w:rsid w:val="00074C18"/>
    <w:rsid w:val="00074DF9"/>
    <w:rsid w:val="00074E7F"/>
    <w:rsid w:val="0007507D"/>
    <w:rsid w:val="000753DA"/>
    <w:rsid w:val="0007779E"/>
    <w:rsid w:val="000806EC"/>
    <w:rsid w:val="00080BC1"/>
    <w:rsid w:val="00080F00"/>
    <w:rsid w:val="000810F3"/>
    <w:rsid w:val="000819E6"/>
    <w:rsid w:val="00081EDC"/>
    <w:rsid w:val="000821B9"/>
    <w:rsid w:val="00082F91"/>
    <w:rsid w:val="0008304C"/>
    <w:rsid w:val="0008349C"/>
    <w:rsid w:val="000835F5"/>
    <w:rsid w:val="00085579"/>
    <w:rsid w:val="00085AA9"/>
    <w:rsid w:val="00085ADC"/>
    <w:rsid w:val="00085F55"/>
    <w:rsid w:val="000867C4"/>
    <w:rsid w:val="00086A18"/>
    <w:rsid w:val="000875D0"/>
    <w:rsid w:val="00087B6C"/>
    <w:rsid w:val="000901AA"/>
    <w:rsid w:val="0009028F"/>
    <w:rsid w:val="0009076F"/>
    <w:rsid w:val="00090804"/>
    <w:rsid w:val="00090CAD"/>
    <w:rsid w:val="00091189"/>
    <w:rsid w:val="00091A62"/>
    <w:rsid w:val="00091ABE"/>
    <w:rsid w:val="000920AB"/>
    <w:rsid w:val="00092116"/>
    <w:rsid w:val="000933A5"/>
    <w:rsid w:val="00093686"/>
    <w:rsid w:val="00093E34"/>
    <w:rsid w:val="0009527E"/>
    <w:rsid w:val="0009540D"/>
    <w:rsid w:val="00095BD3"/>
    <w:rsid w:val="00095C62"/>
    <w:rsid w:val="000968C0"/>
    <w:rsid w:val="00096AA3"/>
    <w:rsid w:val="00096CEB"/>
    <w:rsid w:val="00096D5F"/>
    <w:rsid w:val="0009796F"/>
    <w:rsid w:val="00097A91"/>
    <w:rsid w:val="000A01FE"/>
    <w:rsid w:val="000A02ED"/>
    <w:rsid w:val="000A05E1"/>
    <w:rsid w:val="000A0D5A"/>
    <w:rsid w:val="000A16CF"/>
    <w:rsid w:val="000A2A47"/>
    <w:rsid w:val="000A2A4A"/>
    <w:rsid w:val="000A30A9"/>
    <w:rsid w:val="000A34C1"/>
    <w:rsid w:val="000A3962"/>
    <w:rsid w:val="000A3AF5"/>
    <w:rsid w:val="000A3CB1"/>
    <w:rsid w:val="000A3D4C"/>
    <w:rsid w:val="000A3DD1"/>
    <w:rsid w:val="000A44FA"/>
    <w:rsid w:val="000A49C1"/>
    <w:rsid w:val="000A4FB1"/>
    <w:rsid w:val="000A5145"/>
    <w:rsid w:val="000A53E4"/>
    <w:rsid w:val="000A5821"/>
    <w:rsid w:val="000A5B85"/>
    <w:rsid w:val="000A700B"/>
    <w:rsid w:val="000A78AC"/>
    <w:rsid w:val="000B075C"/>
    <w:rsid w:val="000B08BB"/>
    <w:rsid w:val="000B0B28"/>
    <w:rsid w:val="000B1360"/>
    <w:rsid w:val="000B1518"/>
    <w:rsid w:val="000B2D22"/>
    <w:rsid w:val="000B3F40"/>
    <w:rsid w:val="000B4106"/>
    <w:rsid w:val="000B443A"/>
    <w:rsid w:val="000B4C6C"/>
    <w:rsid w:val="000B53B8"/>
    <w:rsid w:val="000B5AB3"/>
    <w:rsid w:val="000B5CD6"/>
    <w:rsid w:val="000B5FD2"/>
    <w:rsid w:val="000B65C0"/>
    <w:rsid w:val="000B666D"/>
    <w:rsid w:val="000B686F"/>
    <w:rsid w:val="000B6EA7"/>
    <w:rsid w:val="000B73E8"/>
    <w:rsid w:val="000B758D"/>
    <w:rsid w:val="000B7779"/>
    <w:rsid w:val="000B79DA"/>
    <w:rsid w:val="000C0680"/>
    <w:rsid w:val="000C0BF2"/>
    <w:rsid w:val="000C0E51"/>
    <w:rsid w:val="000C140A"/>
    <w:rsid w:val="000C37C1"/>
    <w:rsid w:val="000C3D87"/>
    <w:rsid w:val="000C4089"/>
    <w:rsid w:val="000C4180"/>
    <w:rsid w:val="000C46FB"/>
    <w:rsid w:val="000C5143"/>
    <w:rsid w:val="000C54DF"/>
    <w:rsid w:val="000C54FC"/>
    <w:rsid w:val="000C7144"/>
    <w:rsid w:val="000C73D2"/>
    <w:rsid w:val="000C76D0"/>
    <w:rsid w:val="000C7736"/>
    <w:rsid w:val="000C7C63"/>
    <w:rsid w:val="000C7CB0"/>
    <w:rsid w:val="000D0757"/>
    <w:rsid w:val="000D0976"/>
    <w:rsid w:val="000D148D"/>
    <w:rsid w:val="000D172A"/>
    <w:rsid w:val="000D1B3F"/>
    <w:rsid w:val="000D22CC"/>
    <w:rsid w:val="000D25A5"/>
    <w:rsid w:val="000D2C48"/>
    <w:rsid w:val="000D33F7"/>
    <w:rsid w:val="000D389A"/>
    <w:rsid w:val="000D39E9"/>
    <w:rsid w:val="000D3C08"/>
    <w:rsid w:val="000D3D34"/>
    <w:rsid w:val="000D405D"/>
    <w:rsid w:val="000D40F7"/>
    <w:rsid w:val="000D4317"/>
    <w:rsid w:val="000D53B9"/>
    <w:rsid w:val="000D59C3"/>
    <w:rsid w:val="000D5EEC"/>
    <w:rsid w:val="000D6482"/>
    <w:rsid w:val="000D70FE"/>
    <w:rsid w:val="000D7186"/>
    <w:rsid w:val="000D71A1"/>
    <w:rsid w:val="000D78C9"/>
    <w:rsid w:val="000D7A6E"/>
    <w:rsid w:val="000D7D3C"/>
    <w:rsid w:val="000E063D"/>
    <w:rsid w:val="000E07AE"/>
    <w:rsid w:val="000E09F5"/>
    <w:rsid w:val="000E1043"/>
    <w:rsid w:val="000E17D8"/>
    <w:rsid w:val="000E1BDB"/>
    <w:rsid w:val="000E3A81"/>
    <w:rsid w:val="000E53EA"/>
    <w:rsid w:val="000E5BE7"/>
    <w:rsid w:val="000E622D"/>
    <w:rsid w:val="000E7CD1"/>
    <w:rsid w:val="000F1DCA"/>
    <w:rsid w:val="000F2423"/>
    <w:rsid w:val="000F2963"/>
    <w:rsid w:val="000F2C96"/>
    <w:rsid w:val="000F3530"/>
    <w:rsid w:val="000F3891"/>
    <w:rsid w:val="000F38E8"/>
    <w:rsid w:val="000F3B8B"/>
    <w:rsid w:val="000F5482"/>
    <w:rsid w:val="000F592F"/>
    <w:rsid w:val="000F59ED"/>
    <w:rsid w:val="000F5C94"/>
    <w:rsid w:val="000F6623"/>
    <w:rsid w:val="000F66B9"/>
    <w:rsid w:val="000F6DE3"/>
    <w:rsid w:val="000F6FB0"/>
    <w:rsid w:val="000F7174"/>
    <w:rsid w:val="000F7D56"/>
    <w:rsid w:val="0010082F"/>
    <w:rsid w:val="001012B2"/>
    <w:rsid w:val="00101755"/>
    <w:rsid w:val="00102A28"/>
    <w:rsid w:val="00102B50"/>
    <w:rsid w:val="00102D10"/>
    <w:rsid w:val="00102D38"/>
    <w:rsid w:val="001032D5"/>
    <w:rsid w:val="001035C6"/>
    <w:rsid w:val="00103A48"/>
    <w:rsid w:val="001043A9"/>
    <w:rsid w:val="001052BB"/>
    <w:rsid w:val="001056B2"/>
    <w:rsid w:val="00105FF0"/>
    <w:rsid w:val="001062DE"/>
    <w:rsid w:val="00106797"/>
    <w:rsid w:val="001070F3"/>
    <w:rsid w:val="00107876"/>
    <w:rsid w:val="00107E0F"/>
    <w:rsid w:val="001110FC"/>
    <w:rsid w:val="00111E21"/>
    <w:rsid w:val="00112A65"/>
    <w:rsid w:val="00113BB1"/>
    <w:rsid w:val="00114AA0"/>
    <w:rsid w:val="00114DBF"/>
    <w:rsid w:val="00114F9D"/>
    <w:rsid w:val="0011509C"/>
    <w:rsid w:val="00115317"/>
    <w:rsid w:val="00115C6F"/>
    <w:rsid w:val="00116069"/>
    <w:rsid w:val="001162DE"/>
    <w:rsid w:val="0011722D"/>
    <w:rsid w:val="0011731A"/>
    <w:rsid w:val="00117747"/>
    <w:rsid w:val="001207D1"/>
    <w:rsid w:val="0012087A"/>
    <w:rsid w:val="00120EA9"/>
    <w:rsid w:val="00121576"/>
    <w:rsid w:val="001217DA"/>
    <w:rsid w:val="00121D67"/>
    <w:rsid w:val="00122A87"/>
    <w:rsid w:val="00123456"/>
    <w:rsid w:val="001240AB"/>
    <w:rsid w:val="001246D8"/>
    <w:rsid w:val="00124FC2"/>
    <w:rsid w:val="00125621"/>
    <w:rsid w:val="001259DA"/>
    <w:rsid w:val="001267AA"/>
    <w:rsid w:val="0012698C"/>
    <w:rsid w:val="0012772A"/>
    <w:rsid w:val="0013076C"/>
    <w:rsid w:val="001307C3"/>
    <w:rsid w:val="001308D8"/>
    <w:rsid w:val="00130B9F"/>
    <w:rsid w:val="0013112D"/>
    <w:rsid w:val="00132BCD"/>
    <w:rsid w:val="00132E11"/>
    <w:rsid w:val="0013323B"/>
    <w:rsid w:val="0013351F"/>
    <w:rsid w:val="00133908"/>
    <w:rsid w:val="00133D27"/>
    <w:rsid w:val="00133DE5"/>
    <w:rsid w:val="001342C6"/>
    <w:rsid w:val="00134976"/>
    <w:rsid w:val="00135605"/>
    <w:rsid w:val="00135C2F"/>
    <w:rsid w:val="0013647E"/>
    <w:rsid w:val="001367AD"/>
    <w:rsid w:val="00136BA7"/>
    <w:rsid w:val="00136EA1"/>
    <w:rsid w:val="00137144"/>
    <w:rsid w:val="001373C0"/>
    <w:rsid w:val="001377ED"/>
    <w:rsid w:val="0013794C"/>
    <w:rsid w:val="00137DE3"/>
    <w:rsid w:val="00140229"/>
    <w:rsid w:val="001413F9"/>
    <w:rsid w:val="001421FE"/>
    <w:rsid w:val="00142209"/>
    <w:rsid w:val="00142318"/>
    <w:rsid w:val="001424AE"/>
    <w:rsid w:val="001428F3"/>
    <w:rsid w:val="00142B52"/>
    <w:rsid w:val="00143BB3"/>
    <w:rsid w:val="00144CB8"/>
    <w:rsid w:val="001456A2"/>
    <w:rsid w:val="00150012"/>
    <w:rsid w:val="001504B9"/>
    <w:rsid w:val="00152072"/>
    <w:rsid w:val="0015262E"/>
    <w:rsid w:val="00153A65"/>
    <w:rsid w:val="00153BD1"/>
    <w:rsid w:val="00153DF2"/>
    <w:rsid w:val="00154367"/>
    <w:rsid w:val="00154658"/>
    <w:rsid w:val="00155DEF"/>
    <w:rsid w:val="00156735"/>
    <w:rsid w:val="001579B9"/>
    <w:rsid w:val="00160251"/>
    <w:rsid w:val="00161B63"/>
    <w:rsid w:val="00162426"/>
    <w:rsid w:val="00162A2F"/>
    <w:rsid w:val="00162B53"/>
    <w:rsid w:val="00162F68"/>
    <w:rsid w:val="00163318"/>
    <w:rsid w:val="001633B8"/>
    <w:rsid w:val="001650DA"/>
    <w:rsid w:val="00165ABC"/>
    <w:rsid w:val="00165C22"/>
    <w:rsid w:val="00165C2D"/>
    <w:rsid w:val="00166836"/>
    <w:rsid w:val="001669DF"/>
    <w:rsid w:val="00167B55"/>
    <w:rsid w:val="00170662"/>
    <w:rsid w:val="001708DB"/>
    <w:rsid w:val="00170CA1"/>
    <w:rsid w:val="00170EBA"/>
    <w:rsid w:val="00171A00"/>
    <w:rsid w:val="0017351F"/>
    <w:rsid w:val="00173B20"/>
    <w:rsid w:val="00173C59"/>
    <w:rsid w:val="00174969"/>
    <w:rsid w:val="001752AB"/>
    <w:rsid w:val="001761FA"/>
    <w:rsid w:val="00176FAA"/>
    <w:rsid w:val="001803BE"/>
    <w:rsid w:val="00180DB9"/>
    <w:rsid w:val="00182418"/>
    <w:rsid w:val="00183AAE"/>
    <w:rsid w:val="00183D7B"/>
    <w:rsid w:val="001840B5"/>
    <w:rsid w:val="00184512"/>
    <w:rsid w:val="001845AD"/>
    <w:rsid w:val="00184A4C"/>
    <w:rsid w:val="00184BFC"/>
    <w:rsid w:val="0018533D"/>
    <w:rsid w:val="00185630"/>
    <w:rsid w:val="00185D89"/>
    <w:rsid w:val="00185D9A"/>
    <w:rsid w:val="001863BD"/>
    <w:rsid w:val="00186A52"/>
    <w:rsid w:val="00186FAF"/>
    <w:rsid w:val="001906FE"/>
    <w:rsid w:val="00190C0B"/>
    <w:rsid w:val="001910E9"/>
    <w:rsid w:val="00192BBD"/>
    <w:rsid w:val="00193A0D"/>
    <w:rsid w:val="00193A77"/>
    <w:rsid w:val="001943D0"/>
    <w:rsid w:val="001945EB"/>
    <w:rsid w:val="00194C29"/>
    <w:rsid w:val="00194E3B"/>
    <w:rsid w:val="0019508C"/>
    <w:rsid w:val="0019511C"/>
    <w:rsid w:val="00195CD6"/>
    <w:rsid w:val="001971CF"/>
    <w:rsid w:val="00197485"/>
    <w:rsid w:val="00197ACA"/>
    <w:rsid w:val="00197F74"/>
    <w:rsid w:val="00197F9D"/>
    <w:rsid w:val="001A08DD"/>
    <w:rsid w:val="001A08F4"/>
    <w:rsid w:val="001A0AB9"/>
    <w:rsid w:val="001A0EA5"/>
    <w:rsid w:val="001A166F"/>
    <w:rsid w:val="001A1B8B"/>
    <w:rsid w:val="001A1BE5"/>
    <w:rsid w:val="001A3301"/>
    <w:rsid w:val="001A3D2B"/>
    <w:rsid w:val="001A52A5"/>
    <w:rsid w:val="001A5627"/>
    <w:rsid w:val="001A6521"/>
    <w:rsid w:val="001A6E18"/>
    <w:rsid w:val="001A710F"/>
    <w:rsid w:val="001A72BE"/>
    <w:rsid w:val="001B05EE"/>
    <w:rsid w:val="001B0703"/>
    <w:rsid w:val="001B18A6"/>
    <w:rsid w:val="001B1BC1"/>
    <w:rsid w:val="001B314D"/>
    <w:rsid w:val="001B31A4"/>
    <w:rsid w:val="001B31D8"/>
    <w:rsid w:val="001B340B"/>
    <w:rsid w:val="001B36F3"/>
    <w:rsid w:val="001B3903"/>
    <w:rsid w:val="001B3FFE"/>
    <w:rsid w:val="001B4476"/>
    <w:rsid w:val="001B4EF2"/>
    <w:rsid w:val="001B4F45"/>
    <w:rsid w:val="001B51F1"/>
    <w:rsid w:val="001B5539"/>
    <w:rsid w:val="001B5808"/>
    <w:rsid w:val="001B664B"/>
    <w:rsid w:val="001B6798"/>
    <w:rsid w:val="001B71EE"/>
    <w:rsid w:val="001B74AA"/>
    <w:rsid w:val="001B7A44"/>
    <w:rsid w:val="001B7AE9"/>
    <w:rsid w:val="001C0069"/>
    <w:rsid w:val="001C017A"/>
    <w:rsid w:val="001C08AF"/>
    <w:rsid w:val="001C0A33"/>
    <w:rsid w:val="001C22E8"/>
    <w:rsid w:val="001C39C2"/>
    <w:rsid w:val="001C58EC"/>
    <w:rsid w:val="001C5F0D"/>
    <w:rsid w:val="001C629A"/>
    <w:rsid w:val="001C7078"/>
    <w:rsid w:val="001C74EC"/>
    <w:rsid w:val="001D0CFD"/>
    <w:rsid w:val="001D0DDF"/>
    <w:rsid w:val="001D1795"/>
    <w:rsid w:val="001D1AED"/>
    <w:rsid w:val="001D20B6"/>
    <w:rsid w:val="001D262C"/>
    <w:rsid w:val="001D26E3"/>
    <w:rsid w:val="001D2878"/>
    <w:rsid w:val="001D2CCA"/>
    <w:rsid w:val="001D2FDB"/>
    <w:rsid w:val="001D3751"/>
    <w:rsid w:val="001D3837"/>
    <w:rsid w:val="001D3A71"/>
    <w:rsid w:val="001D4429"/>
    <w:rsid w:val="001D4991"/>
    <w:rsid w:val="001D4B91"/>
    <w:rsid w:val="001D4C77"/>
    <w:rsid w:val="001D4E3C"/>
    <w:rsid w:val="001D4F4E"/>
    <w:rsid w:val="001D50C6"/>
    <w:rsid w:val="001D5147"/>
    <w:rsid w:val="001D5149"/>
    <w:rsid w:val="001D5A1D"/>
    <w:rsid w:val="001D64D6"/>
    <w:rsid w:val="001D6BE3"/>
    <w:rsid w:val="001D77C8"/>
    <w:rsid w:val="001D7D3E"/>
    <w:rsid w:val="001E081E"/>
    <w:rsid w:val="001E18AA"/>
    <w:rsid w:val="001E1D3F"/>
    <w:rsid w:val="001E1D98"/>
    <w:rsid w:val="001E2406"/>
    <w:rsid w:val="001E2A76"/>
    <w:rsid w:val="001E2FBB"/>
    <w:rsid w:val="001E3754"/>
    <w:rsid w:val="001E3E15"/>
    <w:rsid w:val="001E3F9D"/>
    <w:rsid w:val="001E47A5"/>
    <w:rsid w:val="001E4F40"/>
    <w:rsid w:val="001E51C4"/>
    <w:rsid w:val="001E55D5"/>
    <w:rsid w:val="001E5EFE"/>
    <w:rsid w:val="001E6983"/>
    <w:rsid w:val="001E7C3C"/>
    <w:rsid w:val="001F091B"/>
    <w:rsid w:val="001F0FAE"/>
    <w:rsid w:val="001F27B4"/>
    <w:rsid w:val="001F290A"/>
    <w:rsid w:val="001F2B36"/>
    <w:rsid w:val="001F319E"/>
    <w:rsid w:val="001F3964"/>
    <w:rsid w:val="001F4090"/>
    <w:rsid w:val="001F42EE"/>
    <w:rsid w:val="001F4BB7"/>
    <w:rsid w:val="001F4EFB"/>
    <w:rsid w:val="001F5347"/>
    <w:rsid w:val="001F53D3"/>
    <w:rsid w:val="001F5A12"/>
    <w:rsid w:val="001F5C15"/>
    <w:rsid w:val="001F60D2"/>
    <w:rsid w:val="001F7110"/>
    <w:rsid w:val="00200DE5"/>
    <w:rsid w:val="00201969"/>
    <w:rsid w:val="00201AF7"/>
    <w:rsid w:val="002028BD"/>
    <w:rsid w:val="00202BDD"/>
    <w:rsid w:val="00203F83"/>
    <w:rsid w:val="002046D1"/>
    <w:rsid w:val="00205A5A"/>
    <w:rsid w:val="00205FB6"/>
    <w:rsid w:val="00207021"/>
    <w:rsid w:val="0020744E"/>
    <w:rsid w:val="002076DD"/>
    <w:rsid w:val="002078D7"/>
    <w:rsid w:val="0021036B"/>
    <w:rsid w:val="00210EE7"/>
    <w:rsid w:val="002113FE"/>
    <w:rsid w:val="00211E10"/>
    <w:rsid w:val="00211EB4"/>
    <w:rsid w:val="00212714"/>
    <w:rsid w:val="00213552"/>
    <w:rsid w:val="00213835"/>
    <w:rsid w:val="00213E1E"/>
    <w:rsid w:val="00213E71"/>
    <w:rsid w:val="00213F93"/>
    <w:rsid w:val="0021402B"/>
    <w:rsid w:val="002144DD"/>
    <w:rsid w:val="00214D09"/>
    <w:rsid w:val="00215347"/>
    <w:rsid w:val="0021553D"/>
    <w:rsid w:val="002155B3"/>
    <w:rsid w:val="00215758"/>
    <w:rsid w:val="00215E02"/>
    <w:rsid w:val="00216A52"/>
    <w:rsid w:val="00216D66"/>
    <w:rsid w:val="0021714F"/>
    <w:rsid w:val="0021720F"/>
    <w:rsid w:val="00217285"/>
    <w:rsid w:val="00220006"/>
    <w:rsid w:val="0022042A"/>
    <w:rsid w:val="00220CB0"/>
    <w:rsid w:val="00221601"/>
    <w:rsid w:val="00221BFF"/>
    <w:rsid w:val="00223F62"/>
    <w:rsid w:val="00224010"/>
    <w:rsid w:val="002247B1"/>
    <w:rsid w:val="0022587B"/>
    <w:rsid w:val="00226CE9"/>
    <w:rsid w:val="00226D75"/>
    <w:rsid w:val="002271CF"/>
    <w:rsid w:val="002273E4"/>
    <w:rsid w:val="002276D2"/>
    <w:rsid w:val="00227871"/>
    <w:rsid w:val="00230CC9"/>
    <w:rsid w:val="002315C3"/>
    <w:rsid w:val="00231FB9"/>
    <w:rsid w:val="002321EC"/>
    <w:rsid w:val="002323E8"/>
    <w:rsid w:val="0023297E"/>
    <w:rsid w:val="002335AD"/>
    <w:rsid w:val="002336E9"/>
    <w:rsid w:val="00233C0A"/>
    <w:rsid w:val="00234036"/>
    <w:rsid w:val="002346D1"/>
    <w:rsid w:val="002346DD"/>
    <w:rsid w:val="002354D4"/>
    <w:rsid w:val="00235606"/>
    <w:rsid w:val="00237551"/>
    <w:rsid w:val="002376BA"/>
    <w:rsid w:val="002377CD"/>
    <w:rsid w:val="0024028C"/>
    <w:rsid w:val="00240376"/>
    <w:rsid w:val="00240C16"/>
    <w:rsid w:val="002419E3"/>
    <w:rsid w:val="00243805"/>
    <w:rsid w:val="0024391B"/>
    <w:rsid w:val="00243B55"/>
    <w:rsid w:val="00243DB6"/>
    <w:rsid w:val="0024417D"/>
    <w:rsid w:val="002445C0"/>
    <w:rsid w:val="00244902"/>
    <w:rsid w:val="00244E60"/>
    <w:rsid w:val="002457A2"/>
    <w:rsid w:val="00246C10"/>
    <w:rsid w:val="002475A2"/>
    <w:rsid w:val="002479AE"/>
    <w:rsid w:val="00250185"/>
    <w:rsid w:val="002517C0"/>
    <w:rsid w:val="00253ADE"/>
    <w:rsid w:val="00253E13"/>
    <w:rsid w:val="00254C4D"/>
    <w:rsid w:val="002552B8"/>
    <w:rsid w:val="00255396"/>
    <w:rsid w:val="00255950"/>
    <w:rsid w:val="00255BE5"/>
    <w:rsid w:val="00255F9F"/>
    <w:rsid w:val="00256992"/>
    <w:rsid w:val="00256ACA"/>
    <w:rsid w:val="00257EC3"/>
    <w:rsid w:val="00257F72"/>
    <w:rsid w:val="00260F14"/>
    <w:rsid w:val="002615FF"/>
    <w:rsid w:val="00261AA5"/>
    <w:rsid w:val="00261F36"/>
    <w:rsid w:val="002624F4"/>
    <w:rsid w:val="00262548"/>
    <w:rsid w:val="00262932"/>
    <w:rsid w:val="00262B40"/>
    <w:rsid w:val="00264691"/>
    <w:rsid w:val="002647BF"/>
    <w:rsid w:val="00264C93"/>
    <w:rsid w:val="0026521A"/>
    <w:rsid w:val="00265907"/>
    <w:rsid w:val="00265990"/>
    <w:rsid w:val="00265E70"/>
    <w:rsid w:val="00266242"/>
    <w:rsid w:val="002664FA"/>
    <w:rsid w:val="002700F6"/>
    <w:rsid w:val="00270256"/>
    <w:rsid w:val="00270C09"/>
    <w:rsid w:val="00271776"/>
    <w:rsid w:val="002726B6"/>
    <w:rsid w:val="00273601"/>
    <w:rsid w:val="00273F2D"/>
    <w:rsid w:val="002741F0"/>
    <w:rsid w:val="00274398"/>
    <w:rsid w:val="00274498"/>
    <w:rsid w:val="0027493F"/>
    <w:rsid w:val="00275934"/>
    <w:rsid w:val="00276839"/>
    <w:rsid w:val="00276CDF"/>
    <w:rsid w:val="002775EC"/>
    <w:rsid w:val="00277B1A"/>
    <w:rsid w:val="00277B78"/>
    <w:rsid w:val="00277C6E"/>
    <w:rsid w:val="00277E3C"/>
    <w:rsid w:val="00280319"/>
    <w:rsid w:val="0028067D"/>
    <w:rsid w:val="00280D74"/>
    <w:rsid w:val="002814E8"/>
    <w:rsid w:val="0028240A"/>
    <w:rsid w:val="00282544"/>
    <w:rsid w:val="002827FA"/>
    <w:rsid w:val="00282D6B"/>
    <w:rsid w:val="0028335E"/>
    <w:rsid w:val="00283863"/>
    <w:rsid w:val="00284C3B"/>
    <w:rsid w:val="00285158"/>
    <w:rsid w:val="00285A25"/>
    <w:rsid w:val="00285A97"/>
    <w:rsid w:val="00286873"/>
    <w:rsid w:val="00286B1B"/>
    <w:rsid w:val="0028758B"/>
    <w:rsid w:val="002879DD"/>
    <w:rsid w:val="00290805"/>
    <w:rsid w:val="00290E6C"/>
    <w:rsid w:val="00292739"/>
    <w:rsid w:val="0029277B"/>
    <w:rsid w:val="00294866"/>
    <w:rsid w:val="00294ABB"/>
    <w:rsid w:val="00295212"/>
    <w:rsid w:val="00295CDE"/>
    <w:rsid w:val="00296091"/>
    <w:rsid w:val="00297442"/>
    <w:rsid w:val="00297C48"/>
    <w:rsid w:val="00297F5D"/>
    <w:rsid w:val="00297FF8"/>
    <w:rsid w:val="002A06B1"/>
    <w:rsid w:val="002A0A45"/>
    <w:rsid w:val="002A0C52"/>
    <w:rsid w:val="002A0FCD"/>
    <w:rsid w:val="002A1516"/>
    <w:rsid w:val="002A1621"/>
    <w:rsid w:val="002A17B9"/>
    <w:rsid w:val="002A1BE5"/>
    <w:rsid w:val="002A335B"/>
    <w:rsid w:val="002A34CD"/>
    <w:rsid w:val="002A4A3D"/>
    <w:rsid w:val="002A54A4"/>
    <w:rsid w:val="002A5564"/>
    <w:rsid w:val="002A56CE"/>
    <w:rsid w:val="002A57E7"/>
    <w:rsid w:val="002A592E"/>
    <w:rsid w:val="002A5B62"/>
    <w:rsid w:val="002A5DF0"/>
    <w:rsid w:val="002A62E6"/>
    <w:rsid w:val="002A6701"/>
    <w:rsid w:val="002A6753"/>
    <w:rsid w:val="002A68BF"/>
    <w:rsid w:val="002A6A1A"/>
    <w:rsid w:val="002A78C5"/>
    <w:rsid w:val="002A7A87"/>
    <w:rsid w:val="002B0964"/>
    <w:rsid w:val="002B09FD"/>
    <w:rsid w:val="002B0A34"/>
    <w:rsid w:val="002B0EDE"/>
    <w:rsid w:val="002B0FE3"/>
    <w:rsid w:val="002B1193"/>
    <w:rsid w:val="002B1634"/>
    <w:rsid w:val="002B1869"/>
    <w:rsid w:val="002B1C6F"/>
    <w:rsid w:val="002B2749"/>
    <w:rsid w:val="002B2CDD"/>
    <w:rsid w:val="002B393B"/>
    <w:rsid w:val="002B410A"/>
    <w:rsid w:val="002B41B0"/>
    <w:rsid w:val="002B456F"/>
    <w:rsid w:val="002B4A97"/>
    <w:rsid w:val="002B5089"/>
    <w:rsid w:val="002B522F"/>
    <w:rsid w:val="002B5705"/>
    <w:rsid w:val="002B5BBF"/>
    <w:rsid w:val="002B5C60"/>
    <w:rsid w:val="002B6EC6"/>
    <w:rsid w:val="002B76AD"/>
    <w:rsid w:val="002B76B6"/>
    <w:rsid w:val="002B7D75"/>
    <w:rsid w:val="002C0555"/>
    <w:rsid w:val="002C0B19"/>
    <w:rsid w:val="002C0FA4"/>
    <w:rsid w:val="002C10D3"/>
    <w:rsid w:val="002C126C"/>
    <w:rsid w:val="002C12F0"/>
    <w:rsid w:val="002C13BB"/>
    <w:rsid w:val="002C1C2C"/>
    <w:rsid w:val="002C2BDE"/>
    <w:rsid w:val="002C39F6"/>
    <w:rsid w:val="002C3EAF"/>
    <w:rsid w:val="002C43D8"/>
    <w:rsid w:val="002C46B4"/>
    <w:rsid w:val="002C4BBE"/>
    <w:rsid w:val="002C5BD0"/>
    <w:rsid w:val="002C6373"/>
    <w:rsid w:val="002C66BA"/>
    <w:rsid w:val="002C77E8"/>
    <w:rsid w:val="002C7DC2"/>
    <w:rsid w:val="002C7F77"/>
    <w:rsid w:val="002D0015"/>
    <w:rsid w:val="002D0384"/>
    <w:rsid w:val="002D0DE0"/>
    <w:rsid w:val="002D110C"/>
    <w:rsid w:val="002D161A"/>
    <w:rsid w:val="002D1939"/>
    <w:rsid w:val="002D1B1D"/>
    <w:rsid w:val="002D1E76"/>
    <w:rsid w:val="002D22AA"/>
    <w:rsid w:val="002D22AC"/>
    <w:rsid w:val="002D232B"/>
    <w:rsid w:val="002D2B48"/>
    <w:rsid w:val="002D2C21"/>
    <w:rsid w:val="002D2C9F"/>
    <w:rsid w:val="002D3883"/>
    <w:rsid w:val="002D495C"/>
    <w:rsid w:val="002D4D0F"/>
    <w:rsid w:val="002D5D15"/>
    <w:rsid w:val="002D5DA5"/>
    <w:rsid w:val="002D65A1"/>
    <w:rsid w:val="002D6633"/>
    <w:rsid w:val="002D691E"/>
    <w:rsid w:val="002D6C1D"/>
    <w:rsid w:val="002D7AB6"/>
    <w:rsid w:val="002D7E72"/>
    <w:rsid w:val="002D7FE7"/>
    <w:rsid w:val="002E069E"/>
    <w:rsid w:val="002E06E1"/>
    <w:rsid w:val="002E074B"/>
    <w:rsid w:val="002E0F00"/>
    <w:rsid w:val="002E1302"/>
    <w:rsid w:val="002E1571"/>
    <w:rsid w:val="002E1BEB"/>
    <w:rsid w:val="002E21E4"/>
    <w:rsid w:val="002E269B"/>
    <w:rsid w:val="002E3A7C"/>
    <w:rsid w:val="002E4142"/>
    <w:rsid w:val="002E470D"/>
    <w:rsid w:val="002E4AAD"/>
    <w:rsid w:val="002E4DAA"/>
    <w:rsid w:val="002E504A"/>
    <w:rsid w:val="002E508C"/>
    <w:rsid w:val="002E57B2"/>
    <w:rsid w:val="002E5872"/>
    <w:rsid w:val="002E5D07"/>
    <w:rsid w:val="002E6324"/>
    <w:rsid w:val="002E6662"/>
    <w:rsid w:val="002E69BC"/>
    <w:rsid w:val="002E6D90"/>
    <w:rsid w:val="002E70D6"/>
    <w:rsid w:val="002E7215"/>
    <w:rsid w:val="002E7BDD"/>
    <w:rsid w:val="002E7EA7"/>
    <w:rsid w:val="002F040C"/>
    <w:rsid w:val="002F051B"/>
    <w:rsid w:val="002F0654"/>
    <w:rsid w:val="002F093F"/>
    <w:rsid w:val="002F0D9F"/>
    <w:rsid w:val="002F0F1A"/>
    <w:rsid w:val="002F13AF"/>
    <w:rsid w:val="002F1CF1"/>
    <w:rsid w:val="002F38CC"/>
    <w:rsid w:val="002F51BD"/>
    <w:rsid w:val="002F554C"/>
    <w:rsid w:val="002F5880"/>
    <w:rsid w:val="002F613F"/>
    <w:rsid w:val="002F6B0F"/>
    <w:rsid w:val="002F6CF5"/>
    <w:rsid w:val="002F6E6D"/>
    <w:rsid w:val="002F7017"/>
    <w:rsid w:val="002F7199"/>
    <w:rsid w:val="0030013D"/>
    <w:rsid w:val="00300241"/>
    <w:rsid w:val="003004EA"/>
    <w:rsid w:val="003009D0"/>
    <w:rsid w:val="003010E0"/>
    <w:rsid w:val="0030198C"/>
    <w:rsid w:val="00301EC3"/>
    <w:rsid w:val="00302BF7"/>
    <w:rsid w:val="003042DC"/>
    <w:rsid w:val="003043E8"/>
    <w:rsid w:val="00304D1E"/>
    <w:rsid w:val="0030557A"/>
    <w:rsid w:val="00305604"/>
    <w:rsid w:val="00305E7A"/>
    <w:rsid w:val="00306749"/>
    <w:rsid w:val="00306D81"/>
    <w:rsid w:val="00307BD3"/>
    <w:rsid w:val="00307C2D"/>
    <w:rsid w:val="00310875"/>
    <w:rsid w:val="00311D93"/>
    <w:rsid w:val="00311ED0"/>
    <w:rsid w:val="00311F2A"/>
    <w:rsid w:val="00312145"/>
    <w:rsid w:val="00312216"/>
    <w:rsid w:val="00312966"/>
    <w:rsid w:val="003139B3"/>
    <w:rsid w:val="00314BD8"/>
    <w:rsid w:val="003157CC"/>
    <w:rsid w:val="00315B33"/>
    <w:rsid w:val="00316783"/>
    <w:rsid w:val="0031685C"/>
    <w:rsid w:val="00316B3B"/>
    <w:rsid w:val="00317598"/>
    <w:rsid w:val="00317A2F"/>
    <w:rsid w:val="00317A45"/>
    <w:rsid w:val="003204E8"/>
    <w:rsid w:val="00321824"/>
    <w:rsid w:val="0032230E"/>
    <w:rsid w:val="0032237C"/>
    <w:rsid w:val="0032265B"/>
    <w:rsid w:val="00322C61"/>
    <w:rsid w:val="00322FB9"/>
    <w:rsid w:val="00323DEC"/>
    <w:rsid w:val="00324208"/>
    <w:rsid w:val="00324344"/>
    <w:rsid w:val="003247C2"/>
    <w:rsid w:val="00324B02"/>
    <w:rsid w:val="00325CE2"/>
    <w:rsid w:val="00325E77"/>
    <w:rsid w:val="00326369"/>
    <w:rsid w:val="00326B32"/>
    <w:rsid w:val="00327586"/>
    <w:rsid w:val="0032773A"/>
    <w:rsid w:val="00327863"/>
    <w:rsid w:val="0033020B"/>
    <w:rsid w:val="003304A3"/>
    <w:rsid w:val="003306C8"/>
    <w:rsid w:val="003308F8"/>
    <w:rsid w:val="00330F41"/>
    <w:rsid w:val="003310AD"/>
    <w:rsid w:val="0033126E"/>
    <w:rsid w:val="00331399"/>
    <w:rsid w:val="00331531"/>
    <w:rsid w:val="0033168F"/>
    <w:rsid w:val="003316A4"/>
    <w:rsid w:val="00331D57"/>
    <w:rsid w:val="0033249F"/>
    <w:rsid w:val="00332567"/>
    <w:rsid w:val="003335AB"/>
    <w:rsid w:val="00333819"/>
    <w:rsid w:val="003339A0"/>
    <w:rsid w:val="00333ABF"/>
    <w:rsid w:val="00334718"/>
    <w:rsid w:val="003348ED"/>
    <w:rsid w:val="00335AA9"/>
    <w:rsid w:val="00336418"/>
    <w:rsid w:val="003364C7"/>
    <w:rsid w:val="00336E0F"/>
    <w:rsid w:val="00337813"/>
    <w:rsid w:val="0033783D"/>
    <w:rsid w:val="00337EA2"/>
    <w:rsid w:val="0034019F"/>
    <w:rsid w:val="0034038F"/>
    <w:rsid w:val="00340C34"/>
    <w:rsid w:val="00340D41"/>
    <w:rsid w:val="003413F0"/>
    <w:rsid w:val="00342A01"/>
    <w:rsid w:val="00342B64"/>
    <w:rsid w:val="00343909"/>
    <w:rsid w:val="00343915"/>
    <w:rsid w:val="003439FE"/>
    <w:rsid w:val="00343B50"/>
    <w:rsid w:val="003443BC"/>
    <w:rsid w:val="00344677"/>
    <w:rsid w:val="0034485F"/>
    <w:rsid w:val="0034488D"/>
    <w:rsid w:val="00345186"/>
    <w:rsid w:val="00345636"/>
    <w:rsid w:val="0034573C"/>
    <w:rsid w:val="003458A7"/>
    <w:rsid w:val="0034600E"/>
    <w:rsid w:val="003463D7"/>
    <w:rsid w:val="003464B5"/>
    <w:rsid w:val="003473A0"/>
    <w:rsid w:val="003474F2"/>
    <w:rsid w:val="0034794E"/>
    <w:rsid w:val="00351D99"/>
    <w:rsid w:val="003527BB"/>
    <w:rsid w:val="00352A5A"/>
    <w:rsid w:val="003532DC"/>
    <w:rsid w:val="00353680"/>
    <w:rsid w:val="00353B4A"/>
    <w:rsid w:val="0035492C"/>
    <w:rsid w:val="00354D7E"/>
    <w:rsid w:val="0035550E"/>
    <w:rsid w:val="003557C2"/>
    <w:rsid w:val="003564DC"/>
    <w:rsid w:val="00356E8F"/>
    <w:rsid w:val="00357CA3"/>
    <w:rsid w:val="00357FDE"/>
    <w:rsid w:val="0036075F"/>
    <w:rsid w:val="00361846"/>
    <w:rsid w:val="00361E35"/>
    <w:rsid w:val="00361F01"/>
    <w:rsid w:val="00362159"/>
    <w:rsid w:val="003623BB"/>
    <w:rsid w:val="0036271A"/>
    <w:rsid w:val="003627DF"/>
    <w:rsid w:val="003634C2"/>
    <w:rsid w:val="0036384F"/>
    <w:rsid w:val="00363887"/>
    <w:rsid w:val="00364D49"/>
    <w:rsid w:val="0036536E"/>
    <w:rsid w:val="00365919"/>
    <w:rsid w:val="00365DE4"/>
    <w:rsid w:val="003678AA"/>
    <w:rsid w:val="003703F4"/>
    <w:rsid w:val="00371D53"/>
    <w:rsid w:val="00372516"/>
    <w:rsid w:val="0037254F"/>
    <w:rsid w:val="003732BB"/>
    <w:rsid w:val="00374190"/>
    <w:rsid w:val="00374D8F"/>
    <w:rsid w:val="00374E65"/>
    <w:rsid w:val="003750D9"/>
    <w:rsid w:val="00375225"/>
    <w:rsid w:val="003757F1"/>
    <w:rsid w:val="00376E18"/>
    <w:rsid w:val="0037712D"/>
    <w:rsid w:val="00377159"/>
    <w:rsid w:val="0037760C"/>
    <w:rsid w:val="003778E3"/>
    <w:rsid w:val="00380655"/>
    <w:rsid w:val="0038174E"/>
    <w:rsid w:val="003817CB"/>
    <w:rsid w:val="00381C7A"/>
    <w:rsid w:val="003826A0"/>
    <w:rsid w:val="003827C7"/>
    <w:rsid w:val="0038296B"/>
    <w:rsid w:val="003832E9"/>
    <w:rsid w:val="003839D6"/>
    <w:rsid w:val="00383B08"/>
    <w:rsid w:val="00383EDC"/>
    <w:rsid w:val="00384259"/>
    <w:rsid w:val="00384985"/>
    <w:rsid w:val="00384A24"/>
    <w:rsid w:val="00384AE3"/>
    <w:rsid w:val="00384C16"/>
    <w:rsid w:val="003856CB"/>
    <w:rsid w:val="00385A51"/>
    <w:rsid w:val="00385BDC"/>
    <w:rsid w:val="0038769F"/>
    <w:rsid w:val="00387789"/>
    <w:rsid w:val="00390668"/>
    <w:rsid w:val="00390F0A"/>
    <w:rsid w:val="003914E9"/>
    <w:rsid w:val="00392405"/>
    <w:rsid w:val="0039308B"/>
    <w:rsid w:val="003931FC"/>
    <w:rsid w:val="003938AD"/>
    <w:rsid w:val="0039425D"/>
    <w:rsid w:val="003946B9"/>
    <w:rsid w:val="0039485A"/>
    <w:rsid w:val="0039489C"/>
    <w:rsid w:val="00394D48"/>
    <w:rsid w:val="003971F9"/>
    <w:rsid w:val="003A03B5"/>
    <w:rsid w:val="003A0602"/>
    <w:rsid w:val="003A08B7"/>
    <w:rsid w:val="003A119A"/>
    <w:rsid w:val="003A17DE"/>
    <w:rsid w:val="003A1917"/>
    <w:rsid w:val="003A205A"/>
    <w:rsid w:val="003A208D"/>
    <w:rsid w:val="003A2595"/>
    <w:rsid w:val="003A2F86"/>
    <w:rsid w:val="003A3347"/>
    <w:rsid w:val="003A3361"/>
    <w:rsid w:val="003A3BEA"/>
    <w:rsid w:val="003A3F3F"/>
    <w:rsid w:val="003A4C74"/>
    <w:rsid w:val="003A4CEB"/>
    <w:rsid w:val="003A4DC6"/>
    <w:rsid w:val="003A4F20"/>
    <w:rsid w:val="003A5D2A"/>
    <w:rsid w:val="003A5ECB"/>
    <w:rsid w:val="003A61D0"/>
    <w:rsid w:val="003A650E"/>
    <w:rsid w:val="003A68A8"/>
    <w:rsid w:val="003A6A83"/>
    <w:rsid w:val="003A6E3B"/>
    <w:rsid w:val="003A7150"/>
    <w:rsid w:val="003A7151"/>
    <w:rsid w:val="003A7D0F"/>
    <w:rsid w:val="003A7FFD"/>
    <w:rsid w:val="003B014E"/>
    <w:rsid w:val="003B1308"/>
    <w:rsid w:val="003B1470"/>
    <w:rsid w:val="003B185E"/>
    <w:rsid w:val="003B1ED9"/>
    <w:rsid w:val="003B2D6E"/>
    <w:rsid w:val="003B392E"/>
    <w:rsid w:val="003B3B77"/>
    <w:rsid w:val="003B4368"/>
    <w:rsid w:val="003B4DDE"/>
    <w:rsid w:val="003B50FD"/>
    <w:rsid w:val="003B5204"/>
    <w:rsid w:val="003B69DF"/>
    <w:rsid w:val="003B69E0"/>
    <w:rsid w:val="003B6C33"/>
    <w:rsid w:val="003B6CAB"/>
    <w:rsid w:val="003B7D7E"/>
    <w:rsid w:val="003B7E5F"/>
    <w:rsid w:val="003C0867"/>
    <w:rsid w:val="003C1873"/>
    <w:rsid w:val="003C1C02"/>
    <w:rsid w:val="003C3277"/>
    <w:rsid w:val="003C3534"/>
    <w:rsid w:val="003C483A"/>
    <w:rsid w:val="003C4DAE"/>
    <w:rsid w:val="003C68CF"/>
    <w:rsid w:val="003C6F51"/>
    <w:rsid w:val="003C754E"/>
    <w:rsid w:val="003C7670"/>
    <w:rsid w:val="003C7715"/>
    <w:rsid w:val="003C7A83"/>
    <w:rsid w:val="003C7AE7"/>
    <w:rsid w:val="003C7B23"/>
    <w:rsid w:val="003D0438"/>
    <w:rsid w:val="003D0E16"/>
    <w:rsid w:val="003D11F0"/>
    <w:rsid w:val="003D1E10"/>
    <w:rsid w:val="003D1EFB"/>
    <w:rsid w:val="003D27B8"/>
    <w:rsid w:val="003D2C75"/>
    <w:rsid w:val="003D366D"/>
    <w:rsid w:val="003D3910"/>
    <w:rsid w:val="003D3B1B"/>
    <w:rsid w:val="003D3D2A"/>
    <w:rsid w:val="003D5633"/>
    <w:rsid w:val="003D5671"/>
    <w:rsid w:val="003D5E83"/>
    <w:rsid w:val="003D7640"/>
    <w:rsid w:val="003D7854"/>
    <w:rsid w:val="003E03F5"/>
    <w:rsid w:val="003E07BC"/>
    <w:rsid w:val="003E0C79"/>
    <w:rsid w:val="003E11F8"/>
    <w:rsid w:val="003E1752"/>
    <w:rsid w:val="003E249A"/>
    <w:rsid w:val="003E2645"/>
    <w:rsid w:val="003E367E"/>
    <w:rsid w:val="003E3772"/>
    <w:rsid w:val="003E480C"/>
    <w:rsid w:val="003E4A87"/>
    <w:rsid w:val="003E4B94"/>
    <w:rsid w:val="003E4BEE"/>
    <w:rsid w:val="003E5630"/>
    <w:rsid w:val="003E5A47"/>
    <w:rsid w:val="003E631D"/>
    <w:rsid w:val="003E6396"/>
    <w:rsid w:val="003E651C"/>
    <w:rsid w:val="003E66EE"/>
    <w:rsid w:val="003E67CB"/>
    <w:rsid w:val="003E6FF0"/>
    <w:rsid w:val="003E77D2"/>
    <w:rsid w:val="003E7FCC"/>
    <w:rsid w:val="003E7FDC"/>
    <w:rsid w:val="003F000F"/>
    <w:rsid w:val="003F045B"/>
    <w:rsid w:val="003F0EC6"/>
    <w:rsid w:val="003F1259"/>
    <w:rsid w:val="003F1552"/>
    <w:rsid w:val="003F1B31"/>
    <w:rsid w:val="003F2089"/>
    <w:rsid w:val="003F2167"/>
    <w:rsid w:val="003F2A1F"/>
    <w:rsid w:val="003F2A39"/>
    <w:rsid w:val="003F2FF9"/>
    <w:rsid w:val="003F3411"/>
    <w:rsid w:val="003F421F"/>
    <w:rsid w:val="003F4364"/>
    <w:rsid w:val="003F45BB"/>
    <w:rsid w:val="003F46E1"/>
    <w:rsid w:val="003F5083"/>
    <w:rsid w:val="003F5AE8"/>
    <w:rsid w:val="003F5FFD"/>
    <w:rsid w:val="003F6C8A"/>
    <w:rsid w:val="003F6F41"/>
    <w:rsid w:val="003F7125"/>
    <w:rsid w:val="003F7141"/>
    <w:rsid w:val="003F723A"/>
    <w:rsid w:val="003F79A1"/>
    <w:rsid w:val="004004AB"/>
    <w:rsid w:val="004007EF"/>
    <w:rsid w:val="0040162D"/>
    <w:rsid w:val="00401CB2"/>
    <w:rsid w:val="0040278E"/>
    <w:rsid w:val="00402C49"/>
    <w:rsid w:val="00403A65"/>
    <w:rsid w:val="00403C83"/>
    <w:rsid w:val="00404010"/>
    <w:rsid w:val="00405A85"/>
    <w:rsid w:val="00405CA8"/>
    <w:rsid w:val="00405DD3"/>
    <w:rsid w:val="00406BDE"/>
    <w:rsid w:val="004106DF"/>
    <w:rsid w:val="00411958"/>
    <w:rsid w:val="00412132"/>
    <w:rsid w:val="00412378"/>
    <w:rsid w:val="0041253D"/>
    <w:rsid w:val="004126AE"/>
    <w:rsid w:val="00413088"/>
    <w:rsid w:val="00413CD5"/>
    <w:rsid w:val="0041454E"/>
    <w:rsid w:val="004145F9"/>
    <w:rsid w:val="00414EE4"/>
    <w:rsid w:val="00415362"/>
    <w:rsid w:val="00415C7A"/>
    <w:rsid w:val="00415F4A"/>
    <w:rsid w:val="0041622B"/>
    <w:rsid w:val="0041689F"/>
    <w:rsid w:val="004168A2"/>
    <w:rsid w:val="00416FAC"/>
    <w:rsid w:val="004170A3"/>
    <w:rsid w:val="00417188"/>
    <w:rsid w:val="00417671"/>
    <w:rsid w:val="00417D28"/>
    <w:rsid w:val="00417D41"/>
    <w:rsid w:val="0042050B"/>
    <w:rsid w:val="004205E8"/>
    <w:rsid w:val="00420FCF"/>
    <w:rsid w:val="00421491"/>
    <w:rsid w:val="0042181A"/>
    <w:rsid w:val="00422A92"/>
    <w:rsid w:val="00423356"/>
    <w:rsid w:val="00423679"/>
    <w:rsid w:val="004238F3"/>
    <w:rsid w:val="004240BD"/>
    <w:rsid w:val="00424206"/>
    <w:rsid w:val="004248AD"/>
    <w:rsid w:val="0042496E"/>
    <w:rsid w:val="004256A5"/>
    <w:rsid w:val="00425FF8"/>
    <w:rsid w:val="004262D2"/>
    <w:rsid w:val="00426310"/>
    <w:rsid w:val="004267BF"/>
    <w:rsid w:val="00427468"/>
    <w:rsid w:val="004303A5"/>
    <w:rsid w:val="0043094F"/>
    <w:rsid w:val="0043167C"/>
    <w:rsid w:val="00431680"/>
    <w:rsid w:val="00431942"/>
    <w:rsid w:val="004326B6"/>
    <w:rsid w:val="004328EF"/>
    <w:rsid w:val="00432B79"/>
    <w:rsid w:val="00432F98"/>
    <w:rsid w:val="00433081"/>
    <w:rsid w:val="00433518"/>
    <w:rsid w:val="00433647"/>
    <w:rsid w:val="00433A86"/>
    <w:rsid w:val="00433C71"/>
    <w:rsid w:val="004347D1"/>
    <w:rsid w:val="00434900"/>
    <w:rsid w:val="00435DD5"/>
    <w:rsid w:val="00435FE1"/>
    <w:rsid w:val="00436765"/>
    <w:rsid w:val="0043690D"/>
    <w:rsid w:val="00436C4E"/>
    <w:rsid w:val="00437B60"/>
    <w:rsid w:val="00437F08"/>
    <w:rsid w:val="00440562"/>
    <w:rsid w:val="004406EE"/>
    <w:rsid w:val="004408FF"/>
    <w:rsid w:val="00440903"/>
    <w:rsid w:val="00440DEB"/>
    <w:rsid w:val="004423F2"/>
    <w:rsid w:val="00442955"/>
    <w:rsid w:val="00443599"/>
    <w:rsid w:val="00443608"/>
    <w:rsid w:val="00443B31"/>
    <w:rsid w:val="00443F73"/>
    <w:rsid w:val="00443F8B"/>
    <w:rsid w:val="004447B7"/>
    <w:rsid w:val="00445083"/>
    <w:rsid w:val="00445D13"/>
    <w:rsid w:val="00445DA2"/>
    <w:rsid w:val="00446774"/>
    <w:rsid w:val="00447CA0"/>
    <w:rsid w:val="00450064"/>
    <w:rsid w:val="00450C8F"/>
    <w:rsid w:val="004511E5"/>
    <w:rsid w:val="00451801"/>
    <w:rsid w:val="00451F0E"/>
    <w:rsid w:val="004523EF"/>
    <w:rsid w:val="00452F2E"/>
    <w:rsid w:val="0045393E"/>
    <w:rsid w:val="004539B9"/>
    <w:rsid w:val="004541D8"/>
    <w:rsid w:val="00454570"/>
    <w:rsid w:val="004548DF"/>
    <w:rsid w:val="00455485"/>
    <w:rsid w:val="00455E99"/>
    <w:rsid w:val="00456E18"/>
    <w:rsid w:val="00457250"/>
    <w:rsid w:val="00457F7D"/>
    <w:rsid w:val="0046049C"/>
    <w:rsid w:val="00460736"/>
    <w:rsid w:val="004613AF"/>
    <w:rsid w:val="004615F8"/>
    <w:rsid w:val="00462B4E"/>
    <w:rsid w:val="004633D5"/>
    <w:rsid w:val="00463600"/>
    <w:rsid w:val="004638F5"/>
    <w:rsid w:val="004639FF"/>
    <w:rsid w:val="0046448A"/>
    <w:rsid w:val="00464606"/>
    <w:rsid w:val="00464632"/>
    <w:rsid w:val="004648B2"/>
    <w:rsid w:val="00464A45"/>
    <w:rsid w:val="00464A56"/>
    <w:rsid w:val="00464DCC"/>
    <w:rsid w:val="004653DF"/>
    <w:rsid w:val="004671A9"/>
    <w:rsid w:val="004700B9"/>
    <w:rsid w:val="004707E6"/>
    <w:rsid w:val="00470955"/>
    <w:rsid w:val="0047141B"/>
    <w:rsid w:val="00471DFD"/>
    <w:rsid w:val="004720B1"/>
    <w:rsid w:val="0047226D"/>
    <w:rsid w:val="00472E8E"/>
    <w:rsid w:val="0047340C"/>
    <w:rsid w:val="00473E39"/>
    <w:rsid w:val="00474161"/>
    <w:rsid w:val="004742E0"/>
    <w:rsid w:val="00474750"/>
    <w:rsid w:val="00474950"/>
    <w:rsid w:val="0047527F"/>
    <w:rsid w:val="00475305"/>
    <w:rsid w:val="0047549F"/>
    <w:rsid w:val="004754E9"/>
    <w:rsid w:val="00475AEC"/>
    <w:rsid w:val="00475D6B"/>
    <w:rsid w:val="00475DE9"/>
    <w:rsid w:val="00476040"/>
    <w:rsid w:val="004765B6"/>
    <w:rsid w:val="00476E17"/>
    <w:rsid w:val="00477261"/>
    <w:rsid w:val="004773FE"/>
    <w:rsid w:val="00477869"/>
    <w:rsid w:val="00477CC1"/>
    <w:rsid w:val="00480E14"/>
    <w:rsid w:val="00480F7F"/>
    <w:rsid w:val="004812C8"/>
    <w:rsid w:val="00481459"/>
    <w:rsid w:val="004814D8"/>
    <w:rsid w:val="004819A3"/>
    <w:rsid w:val="00481BA3"/>
    <w:rsid w:val="0048240E"/>
    <w:rsid w:val="00482537"/>
    <w:rsid w:val="004827F9"/>
    <w:rsid w:val="00482B07"/>
    <w:rsid w:val="00482CDA"/>
    <w:rsid w:val="004831D0"/>
    <w:rsid w:val="0048327C"/>
    <w:rsid w:val="004832FF"/>
    <w:rsid w:val="004836D7"/>
    <w:rsid w:val="00483BC4"/>
    <w:rsid w:val="00483F01"/>
    <w:rsid w:val="00484DCC"/>
    <w:rsid w:val="004851AA"/>
    <w:rsid w:val="00487130"/>
    <w:rsid w:val="0048778A"/>
    <w:rsid w:val="00487802"/>
    <w:rsid w:val="00487CB9"/>
    <w:rsid w:val="0049115C"/>
    <w:rsid w:val="004912BC"/>
    <w:rsid w:val="00491C40"/>
    <w:rsid w:val="004926F6"/>
    <w:rsid w:val="00492A20"/>
    <w:rsid w:val="004938C0"/>
    <w:rsid w:val="00493AE5"/>
    <w:rsid w:val="00493BB2"/>
    <w:rsid w:val="004941A8"/>
    <w:rsid w:val="004941B5"/>
    <w:rsid w:val="0049479D"/>
    <w:rsid w:val="00494850"/>
    <w:rsid w:val="00494B0A"/>
    <w:rsid w:val="00494D63"/>
    <w:rsid w:val="00495DCE"/>
    <w:rsid w:val="0049737D"/>
    <w:rsid w:val="0049784D"/>
    <w:rsid w:val="004A0830"/>
    <w:rsid w:val="004A0D44"/>
    <w:rsid w:val="004A0EC9"/>
    <w:rsid w:val="004A11E8"/>
    <w:rsid w:val="004A1214"/>
    <w:rsid w:val="004A1255"/>
    <w:rsid w:val="004A18E7"/>
    <w:rsid w:val="004A246D"/>
    <w:rsid w:val="004A3775"/>
    <w:rsid w:val="004A3B0D"/>
    <w:rsid w:val="004A3BD1"/>
    <w:rsid w:val="004A4045"/>
    <w:rsid w:val="004A4A6C"/>
    <w:rsid w:val="004A577A"/>
    <w:rsid w:val="004A5798"/>
    <w:rsid w:val="004A594B"/>
    <w:rsid w:val="004A5CBB"/>
    <w:rsid w:val="004A774C"/>
    <w:rsid w:val="004A7891"/>
    <w:rsid w:val="004A7F0A"/>
    <w:rsid w:val="004B0173"/>
    <w:rsid w:val="004B0431"/>
    <w:rsid w:val="004B0E00"/>
    <w:rsid w:val="004B2AD3"/>
    <w:rsid w:val="004B2C67"/>
    <w:rsid w:val="004B348C"/>
    <w:rsid w:val="004B3DCD"/>
    <w:rsid w:val="004B53BF"/>
    <w:rsid w:val="004B5BB4"/>
    <w:rsid w:val="004B63AC"/>
    <w:rsid w:val="004B6B28"/>
    <w:rsid w:val="004B7322"/>
    <w:rsid w:val="004B7B1F"/>
    <w:rsid w:val="004B7BD8"/>
    <w:rsid w:val="004B7C79"/>
    <w:rsid w:val="004B7E77"/>
    <w:rsid w:val="004C0AED"/>
    <w:rsid w:val="004C17F6"/>
    <w:rsid w:val="004C1D36"/>
    <w:rsid w:val="004C21C0"/>
    <w:rsid w:val="004C26E7"/>
    <w:rsid w:val="004C3123"/>
    <w:rsid w:val="004C34C6"/>
    <w:rsid w:val="004C42F6"/>
    <w:rsid w:val="004C466D"/>
    <w:rsid w:val="004C4AAA"/>
    <w:rsid w:val="004C59A3"/>
    <w:rsid w:val="004C5CBB"/>
    <w:rsid w:val="004C661A"/>
    <w:rsid w:val="004C6E6F"/>
    <w:rsid w:val="004C76CB"/>
    <w:rsid w:val="004D0B69"/>
    <w:rsid w:val="004D0D25"/>
    <w:rsid w:val="004D0F8A"/>
    <w:rsid w:val="004D11DC"/>
    <w:rsid w:val="004D136C"/>
    <w:rsid w:val="004D1F8F"/>
    <w:rsid w:val="004D2523"/>
    <w:rsid w:val="004D323C"/>
    <w:rsid w:val="004D3685"/>
    <w:rsid w:val="004D3B71"/>
    <w:rsid w:val="004D5A90"/>
    <w:rsid w:val="004D682D"/>
    <w:rsid w:val="004D6850"/>
    <w:rsid w:val="004D7063"/>
    <w:rsid w:val="004E00C2"/>
    <w:rsid w:val="004E075D"/>
    <w:rsid w:val="004E0979"/>
    <w:rsid w:val="004E1201"/>
    <w:rsid w:val="004E12B5"/>
    <w:rsid w:val="004E1BE3"/>
    <w:rsid w:val="004E242C"/>
    <w:rsid w:val="004E31FA"/>
    <w:rsid w:val="004E4ABE"/>
    <w:rsid w:val="004E4C3E"/>
    <w:rsid w:val="004E4DB6"/>
    <w:rsid w:val="004E517B"/>
    <w:rsid w:val="004E59F5"/>
    <w:rsid w:val="004E5BB5"/>
    <w:rsid w:val="004E5D51"/>
    <w:rsid w:val="004E6297"/>
    <w:rsid w:val="004E62F5"/>
    <w:rsid w:val="004E63BA"/>
    <w:rsid w:val="004E6DBE"/>
    <w:rsid w:val="004E77AF"/>
    <w:rsid w:val="004E7AD7"/>
    <w:rsid w:val="004E7D93"/>
    <w:rsid w:val="004F04A0"/>
    <w:rsid w:val="004F051C"/>
    <w:rsid w:val="004F0DEB"/>
    <w:rsid w:val="004F10CE"/>
    <w:rsid w:val="004F1D0E"/>
    <w:rsid w:val="004F271D"/>
    <w:rsid w:val="004F2B16"/>
    <w:rsid w:val="004F2B2F"/>
    <w:rsid w:val="004F3304"/>
    <w:rsid w:val="004F3848"/>
    <w:rsid w:val="004F3AB1"/>
    <w:rsid w:val="004F46F8"/>
    <w:rsid w:val="004F4E34"/>
    <w:rsid w:val="004F5270"/>
    <w:rsid w:val="004F680C"/>
    <w:rsid w:val="004F6953"/>
    <w:rsid w:val="004F6D74"/>
    <w:rsid w:val="004F7A0B"/>
    <w:rsid w:val="004F7BF5"/>
    <w:rsid w:val="004F7EC3"/>
    <w:rsid w:val="00500AD3"/>
    <w:rsid w:val="00500B3E"/>
    <w:rsid w:val="00500DA4"/>
    <w:rsid w:val="00500F0E"/>
    <w:rsid w:val="00501116"/>
    <w:rsid w:val="00501351"/>
    <w:rsid w:val="005014BC"/>
    <w:rsid w:val="00501A9A"/>
    <w:rsid w:val="00501DC5"/>
    <w:rsid w:val="00502166"/>
    <w:rsid w:val="005028BF"/>
    <w:rsid w:val="005028EE"/>
    <w:rsid w:val="00503BFD"/>
    <w:rsid w:val="00503EEC"/>
    <w:rsid w:val="00504551"/>
    <w:rsid w:val="005048C6"/>
    <w:rsid w:val="00504EDE"/>
    <w:rsid w:val="00505265"/>
    <w:rsid w:val="00505B11"/>
    <w:rsid w:val="00506426"/>
    <w:rsid w:val="00506658"/>
    <w:rsid w:val="0050689D"/>
    <w:rsid w:val="00506BE4"/>
    <w:rsid w:val="00506CAE"/>
    <w:rsid w:val="00506D61"/>
    <w:rsid w:val="005070A9"/>
    <w:rsid w:val="00507E36"/>
    <w:rsid w:val="00510C1F"/>
    <w:rsid w:val="0051114C"/>
    <w:rsid w:val="005114BC"/>
    <w:rsid w:val="005116E8"/>
    <w:rsid w:val="00512340"/>
    <w:rsid w:val="00512E78"/>
    <w:rsid w:val="00513B53"/>
    <w:rsid w:val="005141C2"/>
    <w:rsid w:val="005142E2"/>
    <w:rsid w:val="00514995"/>
    <w:rsid w:val="0051534D"/>
    <w:rsid w:val="00515DC5"/>
    <w:rsid w:val="0051682A"/>
    <w:rsid w:val="00516A8B"/>
    <w:rsid w:val="00516A9F"/>
    <w:rsid w:val="00516CBD"/>
    <w:rsid w:val="0051715B"/>
    <w:rsid w:val="005171BF"/>
    <w:rsid w:val="005171C3"/>
    <w:rsid w:val="0051774E"/>
    <w:rsid w:val="00517946"/>
    <w:rsid w:val="00517EB4"/>
    <w:rsid w:val="00517F0C"/>
    <w:rsid w:val="00520834"/>
    <w:rsid w:val="00521172"/>
    <w:rsid w:val="005212D7"/>
    <w:rsid w:val="00521804"/>
    <w:rsid w:val="00521EAD"/>
    <w:rsid w:val="00521F07"/>
    <w:rsid w:val="00522F44"/>
    <w:rsid w:val="00522F4A"/>
    <w:rsid w:val="0052379D"/>
    <w:rsid w:val="00523B2F"/>
    <w:rsid w:val="00523C8B"/>
    <w:rsid w:val="00523E4F"/>
    <w:rsid w:val="005241CC"/>
    <w:rsid w:val="00524370"/>
    <w:rsid w:val="005243C5"/>
    <w:rsid w:val="005250B5"/>
    <w:rsid w:val="0052518D"/>
    <w:rsid w:val="0052553B"/>
    <w:rsid w:val="00525E29"/>
    <w:rsid w:val="00525E3B"/>
    <w:rsid w:val="0052600D"/>
    <w:rsid w:val="00527C73"/>
    <w:rsid w:val="00530DDC"/>
    <w:rsid w:val="005311BC"/>
    <w:rsid w:val="00531645"/>
    <w:rsid w:val="00531958"/>
    <w:rsid w:val="00531A00"/>
    <w:rsid w:val="0053214A"/>
    <w:rsid w:val="00532E2C"/>
    <w:rsid w:val="00533624"/>
    <w:rsid w:val="005337D5"/>
    <w:rsid w:val="00533FBC"/>
    <w:rsid w:val="00534370"/>
    <w:rsid w:val="00534601"/>
    <w:rsid w:val="00534D33"/>
    <w:rsid w:val="005353B8"/>
    <w:rsid w:val="005354BE"/>
    <w:rsid w:val="005366EB"/>
    <w:rsid w:val="00536997"/>
    <w:rsid w:val="00536ABB"/>
    <w:rsid w:val="005402AC"/>
    <w:rsid w:val="00540690"/>
    <w:rsid w:val="005407E3"/>
    <w:rsid w:val="00541A68"/>
    <w:rsid w:val="00541FDE"/>
    <w:rsid w:val="00542D63"/>
    <w:rsid w:val="005434DC"/>
    <w:rsid w:val="00543C29"/>
    <w:rsid w:val="005448E5"/>
    <w:rsid w:val="00544F31"/>
    <w:rsid w:val="00544F9B"/>
    <w:rsid w:val="00545227"/>
    <w:rsid w:val="00546B42"/>
    <w:rsid w:val="005472A3"/>
    <w:rsid w:val="005473DF"/>
    <w:rsid w:val="00547945"/>
    <w:rsid w:val="00547F0A"/>
    <w:rsid w:val="00550F14"/>
    <w:rsid w:val="005515E9"/>
    <w:rsid w:val="005516F9"/>
    <w:rsid w:val="00551FC3"/>
    <w:rsid w:val="005522ED"/>
    <w:rsid w:val="00552D87"/>
    <w:rsid w:val="00552E4A"/>
    <w:rsid w:val="005533F5"/>
    <w:rsid w:val="005544E4"/>
    <w:rsid w:val="00554836"/>
    <w:rsid w:val="00554913"/>
    <w:rsid w:val="0055495B"/>
    <w:rsid w:val="00554DCF"/>
    <w:rsid w:val="00555844"/>
    <w:rsid w:val="00556015"/>
    <w:rsid w:val="00556105"/>
    <w:rsid w:val="0055631A"/>
    <w:rsid w:val="00556A39"/>
    <w:rsid w:val="00557EC3"/>
    <w:rsid w:val="005607F3"/>
    <w:rsid w:val="0056113B"/>
    <w:rsid w:val="0056127E"/>
    <w:rsid w:val="00561B24"/>
    <w:rsid w:val="00561E42"/>
    <w:rsid w:val="00561E60"/>
    <w:rsid w:val="00562FFB"/>
    <w:rsid w:val="005632EF"/>
    <w:rsid w:val="0056359C"/>
    <w:rsid w:val="00564372"/>
    <w:rsid w:val="005658FA"/>
    <w:rsid w:val="00566582"/>
    <w:rsid w:val="005665DC"/>
    <w:rsid w:val="00566857"/>
    <w:rsid w:val="00566B7D"/>
    <w:rsid w:val="00566C23"/>
    <w:rsid w:val="00566E70"/>
    <w:rsid w:val="005674EA"/>
    <w:rsid w:val="0056769C"/>
    <w:rsid w:val="00570277"/>
    <w:rsid w:val="00570755"/>
    <w:rsid w:val="005708DC"/>
    <w:rsid w:val="00570FB2"/>
    <w:rsid w:val="005715F4"/>
    <w:rsid w:val="005716E6"/>
    <w:rsid w:val="00571DAE"/>
    <w:rsid w:val="00573003"/>
    <w:rsid w:val="00573517"/>
    <w:rsid w:val="00573EEF"/>
    <w:rsid w:val="00574278"/>
    <w:rsid w:val="005744D7"/>
    <w:rsid w:val="00574C1A"/>
    <w:rsid w:val="00574E83"/>
    <w:rsid w:val="005756A9"/>
    <w:rsid w:val="00575F32"/>
    <w:rsid w:val="00577009"/>
    <w:rsid w:val="00577BD3"/>
    <w:rsid w:val="00580B8C"/>
    <w:rsid w:val="00580C1C"/>
    <w:rsid w:val="00582DE3"/>
    <w:rsid w:val="00583356"/>
    <w:rsid w:val="00583705"/>
    <w:rsid w:val="00583746"/>
    <w:rsid w:val="00583C05"/>
    <w:rsid w:val="00583F57"/>
    <w:rsid w:val="00585033"/>
    <w:rsid w:val="005850F3"/>
    <w:rsid w:val="005853A9"/>
    <w:rsid w:val="00585913"/>
    <w:rsid w:val="005859EB"/>
    <w:rsid w:val="00586DB0"/>
    <w:rsid w:val="00587583"/>
    <w:rsid w:val="005908C2"/>
    <w:rsid w:val="005909BB"/>
    <w:rsid w:val="00590AF0"/>
    <w:rsid w:val="00590E52"/>
    <w:rsid w:val="00591140"/>
    <w:rsid w:val="0059136D"/>
    <w:rsid w:val="00591CD6"/>
    <w:rsid w:val="0059223D"/>
    <w:rsid w:val="00593831"/>
    <w:rsid w:val="00593A77"/>
    <w:rsid w:val="00593BAA"/>
    <w:rsid w:val="005951E7"/>
    <w:rsid w:val="00595498"/>
    <w:rsid w:val="00595777"/>
    <w:rsid w:val="00596214"/>
    <w:rsid w:val="00596CC8"/>
    <w:rsid w:val="005975F8"/>
    <w:rsid w:val="00597836"/>
    <w:rsid w:val="00597A40"/>
    <w:rsid w:val="00597AF8"/>
    <w:rsid w:val="00597D9A"/>
    <w:rsid w:val="00597F5F"/>
    <w:rsid w:val="005A08ED"/>
    <w:rsid w:val="005A0E07"/>
    <w:rsid w:val="005A104C"/>
    <w:rsid w:val="005A1118"/>
    <w:rsid w:val="005A1591"/>
    <w:rsid w:val="005A16F5"/>
    <w:rsid w:val="005A2210"/>
    <w:rsid w:val="005A240A"/>
    <w:rsid w:val="005A248D"/>
    <w:rsid w:val="005A2947"/>
    <w:rsid w:val="005A2F03"/>
    <w:rsid w:val="005A378E"/>
    <w:rsid w:val="005A4113"/>
    <w:rsid w:val="005A48B0"/>
    <w:rsid w:val="005A49D3"/>
    <w:rsid w:val="005A612B"/>
    <w:rsid w:val="005A620F"/>
    <w:rsid w:val="005A73A5"/>
    <w:rsid w:val="005A7F89"/>
    <w:rsid w:val="005B0549"/>
    <w:rsid w:val="005B1BA9"/>
    <w:rsid w:val="005B2706"/>
    <w:rsid w:val="005B2904"/>
    <w:rsid w:val="005B3525"/>
    <w:rsid w:val="005B4629"/>
    <w:rsid w:val="005B4EAD"/>
    <w:rsid w:val="005B5589"/>
    <w:rsid w:val="005B560D"/>
    <w:rsid w:val="005B5E1F"/>
    <w:rsid w:val="005B6453"/>
    <w:rsid w:val="005B64CD"/>
    <w:rsid w:val="005B6B2C"/>
    <w:rsid w:val="005B7074"/>
    <w:rsid w:val="005B7B10"/>
    <w:rsid w:val="005B7E6C"/>
    <w:rsid w:val="005C0289"/>
    <w:rsid w:val="005C091F"/>
    <w:rsid w:val="005C1AAF"/>
    <w:rsid w:val="005C23CC"/>
    <w:rsid w:val="005C2FD6"/>
    <w:rsid w:val="005C2FFB"/>
    <w:rsid w:val="005C412B"/>
    <w:rsid w:val="005C4442"/>
    <w:rsid w:val="005C49C2"/>
    <w:rsid w:val="005C4A33"/>
    <w:rsid w:val="005C51F8"/>
    <w:rsid w:val="005C55D2"/>
    <w:rsid w:val="005C59A1"/>
    <w:rsid w:val="005C59C1"/>
    <w:rsid w:val="005C5E6B"/>
    <w:rsid w:val="005C6431"/>
    <w:rsid w:val="005C67A7"/>
    <w:rsid w:val="005C773E"/>
    <w:rsid w:val="005C782F"/>
    <w:rsid w:val="005C795D"/>
    <w:rsid w:val="005D0B76"/>
    <w:rsid w:val="005D1B4D"/>
    <w:rsid w:val="005D224E"/>
    <w:rsid w:val="005D2F4B"/>
    <w:rsid w:val="005D3454"/>
    <w:rsid w:val="005D359C"/>
    <w:rsid w:val="005D35C2"/>
    <w:rsid w:val="005D3B27"/>
    <w:rsid w:val="005D3DBF"/>
    <w:rsid w:val="005D49E2"/>
    <w:rsid w:val="005D61A2"/>
    <w:rsid w:val="005D7AD9"/>
    <w:rsid w:val="005E13ED"/>
    <w:rsid w:val="005E154E"/>
    <w:rsid w:val="005E2386"/>
    <w:rsid w:val="005E2833"/>
    <w:rsid w:val="005E2CE7"/>
    <w:rsid w:val="005E2FB7"/>
    <w:rsid w:val="005E3017"/>
    <w:rsid w:val="005E3496"/>
    <w:rsid w:val="005E3F0A"/>
    <w:rsid w:val="005E4668"/>
    <w:rsid w:val="005E4E5F"/>
    <w:rsid w:val="005E5262"/>
    <w:rsid w:val="005E5523"/>
    <w:rsid w:val="005E5F3A"/>
    <w:rsid w:val="005E694B"/>
    <w:rsid w:val="005E6A9D"/>
    <w:rsid w:val="005E7956"/>
    <w:rsid w:val="005E7A50"/>
    <w:rsid w:val="005E7B62"/>
    <w:rsid w:val="005E7C0D"/>
    <w:rsid w:val="005E7DCC"/>
    <w:rsid w:val="005F002F"/>
    <w:rsid w:val="005F124A"/>
    <w:rsid w:val="005F143F"/>
    <w:rsid w:val="005F1478"/>
    <w:rsid w:val="005F1848"/>
    <w:rsid w:val="005F19A2"/>
    <w:rsid w:val="005F22B2"/>
    <w:rsid w:val="005F3371"/>
    <w:rsid w:val="005F41DF"/>
    <w:rsid w:val="005F424A"/>
    <w:rsid w:val="005F459A"/>
    <w:rsid w:val="005F47A3"/>
    <w:rsid w:val="005F4EC2"/>
    <w:rsid w:val="005F5158"/>
    <w:rsid w:val="005F609A"/>
    <w:rsid w:val="005F6251"/>
    <w:rsid w:val="005F643A"/>
    <w:rsid w:val="005F6C06"/>
    <w:rsid w:val="005F7579"/>
    <w:rsid w:val="005F77EB"/>
    <w:rsid w:val="005F7C9E"/>
    <w:rsid w:val="005F7D93"/>
    <w:rsid w:val="006002D3"/>
    <w:rsid w:val="006002F7"/>
    <w:rsid w:val="00600367"/>
    <w:rsid w:val="006003EB"/>
    <w:rsid w:val="0060114A"/>
    <w:rsid w:val="006013D3"/>
    <w:rsid w:val="00601F78"/>
    <w:rsid w:val="006028E9"/>
    <w:rsid w:val="00602DE6"/>
    <w:rsid w:val="0060321A"/>
    <w:rsid w:val="00603680"/>
    <w:rsid w:val="006040DC"/>
    <w:rsid w:val="006040FA"/>
    <w:rsid w:val="00604516"/>
    <w:rsid w:val="00605399"/>
    <w:rsid w:val="00606091"/>
    <w:rsid w:val="0060631E"/>
    <w:rsid w:val="00606C8F"/>
    <w:rsid w:val="006074F5"/>
    <w:rsid w:val="0061062D"/>
    <w:rsid w:val="0061112D"/>
    <w:rsid w:val="006113D0"/>
    <w:rsid w:val="006114E2"/>
    <w:rsid w:val="00611C1A"/>
    <w:rsid w:val="006125C8"/>
    <w:rsid w:val="006127E4"/>
    <w:rsid w:val="00612BC0"/>
    <w:rsid w:val="00612FD6"/>
    <w:rsid w:val="00613ADA"/>
    <w:rsid w:val="00614273"/>
    <w:rsid w:val="006143ED"/>
    <w:rsid w:val="006148AF"/>
    <w:rsid w:val="00614C3E"/>
    <w:rsid w:val="00615332"/>
    <w:rsid w:val="00615E1F"/>
    <w:rsid w:val="00616660"/>
    <w:rsid w:val="00617068"/>
    <w:rsid w:val="00617555"/>
    <w:rsid w:val="006178B4"/>
    <w:rsid w:val="00617DCA"/>
    <w:rsid w:val="00617E6D"/>
    <w:rsid w:val="00620022"/>
    <w:rsid w:val="0062028A"/>
    <w:rsid w:val="006203D1"/>
    <w:rsid w:val="00620545"/>
    <w:rsid w:val="006206D8"/>
    <w:rsid w:val="00620E50"/>
    <w:rsid w:val="00621DD1"/>
    <w:rsid w:val="006225CB"/>
    <w:rsid w:val="0062348F"/>
    <w:rsid w:val="006235D1"/>
    <w:rsid w:val="006236B4"/>
    <w:rsid w:val="00623D75"/>
    <w:rsid w:val="00624181"/>
    <w:rsid w:val="006246E5"/>
    <w:rsid w:val="00624926"/>
    <w:rsid w:val="00624A41"/>
    <w:rsid w:val="00624F6C"/>
    <w:rsid w:val="00625620"/>
    <w:rsid w:val="00625E95"/>
    <w:rsid w:val="00626677"/>
    <w:rsid w:val="006267C3"/>
    <w:rsid w:val="00626A32"/>
    <w:rsid w:val="00626FF9"/>
    <w:rsid w:val="006270DA"/>
    <w:rsid w:val="00627199"/>
    <w:rsid w:val="006271D9"/>
    <w:rsid w:val="0062750D"/>
    <w:rsid w:val="00627802"/>
    <w:rsid w:val="00627C37"/>
    <w:rsid w:val="00627EFF"/>
    <w:rsid w:val="00630393"/>
    <w:rsid w:val="006305E7"/>
    <w:rsid w:val="00630688"/>
    <w:rsid w:val="006308DC"/>
    <w:rsid w:val="00630BBF"/>
    <w:rsid w:val="00631D8E"/>
    <w:rsid w:val="006340D1"/>
    <w:rsid w:val="0063410A"/>
    <w:rsid w:val="00634E0E"/>
    <w:rsid w:val="0063526A"/>
    <w:rsid w:val="0063542C"/>
    <w:rsid w:val="006354FC"/>
    <w:rsid w:val="0063792A"/>
    <w:rsid w:val="006401CB"/>
    <w:rsid w:val="00641158"/>
    <w:rsid w:val="00641451"/>
    <w:rsid w:val="0064147B"/>
    <w:rsid w:val="00641B60"/>
    <w:rsid w:val="00642687"/>
    <w:rsid w:val="0064280F"/>
    <w:rsid w:val="00643020"/>
    <w:rsid w:val="00643533"/>
    <w:rsid w:val="00643D88"/>
    <w:rsid w:val="00643D89"/>
    <w:rsid w:val="00643D8A"/>
    <w:rsid w:val="00643F47"/>
    <w:rsid w:val="00643FF3"/>
    <w:rsid w:val="0064418C"/>
    <w:rsid w:val="006444FF"/>
    <w:rsid w:val="00644626"/>
    <w:rsid w:val="00644790"/>
    <w:rsid w:val="006449C2"/>
    <w:rsid w:val="00644CC0"/>
    <w:rsid w:val="0064506C"/>
    <w:rsid w:val="0064658E"/>
    <w:rsid w:val="00646CB0"/>
    <w:rsid w:val="00646F64"/>
    <w:rsid w:val="006471A9"/>
    <w:rsid w:val="00647419"/>
    <w:rsid w:val="00647808"/>
    <w:rsid w:val="00647EFD"/>
    <w:rsid w:val="00647F62"/>
    <w:rsid w:val="00650DEE"/>
    <w:rsid w:val="0065116C"/>
    <w:rsid w:val="006511C4"/>
    <w:rsid w:val="00651B0E"/>
    <w:rsid w:val="00651BC9"/>
    <w:rsid w:val="006523F8"/>
    <w:rsid w:val="006525FA"/>
    <w:rsid w:val="006530A3"/>
    <w:rsid w:val="0065399B"/>
    <w:rsid w:val="006539D9"/>
    <w:rsid w:val="006545BD"/>
    <w:rsid w:val="00654610"/>
    <w:rsid w:val="0065496A"/>
    <w:rsid w:val="00654AC1"/>
    <w:rsid w:val="00654EB3"/>
    <w:rsid w:val="006550B3"/>
    <w:rsid w:val="00655165"/>
    <w:rsid w:val="0065600F"/>
    <w:rsid w:val="00656A89"/>
    <w:rsid w:val="0065747A"/>
    <w:rsid w:val="00660572"/>
    <w:rsid w:val="0066068F"/>
    <w:rsid w:val="006608C4"/>
    <w:rsid w:val="00661198"/>
    <w:rsid w:val="00662251"/>
    <w:rsid w:val="00662C4C"/>
    <w:rsid w:val="0066364E"/>
    <w:rsid w:val="00663D2C"/>
    <w:rsid w:val="00663D67"/>
    <w:rsid w:val="00664410"/>
    <w:rsid w:val="00664662"/>
    <w:rsid w:val="006647B7"/>
    <w:rsid w:val="006653A3"/>
    <w:rsid w:val="0066552F"/>
    <w:rsid w:val="0066594F"/>
    <w:rsid w:val="00666025"/>
    <w:rsid w:val="00666900"/>
    <w:rsid w:val="00666C28"/>
    <w:rsid w:val="00666CCD"/>
    <w:rsid w:val="006671DB"/>
    <w:rsid w:val="00667848"/>
    <w:rsid w:val="00667AE3"/>
    <w:rsid w:val="00667FE7"/>
    <w:rsid w:val="0067086B"/>
    <w:rsid w:val="00670B80"/>
    <w:rsid w:val="00671630"/>
    <w:rsid w:val="0067192E"/>
    <w:rsid w:val="00671A77"/>
    <w:rsid w:val="0067223A"/>
    <w:rsid w:val="006727AA"/>
    <w:rsid w:val="00672C61"/>
    <w:rsid w:val="0067337E"/>
    <w:rsid w:val="00673B7D"/>
    <w:rsid w:val="00674097"/>
    <w:rsid w:val="00674243"/>
    <w:rsid w:val="00674EF0"/>
    <w:rsid w:val="00675046"/>
    <w:rsid w:val="00675380"/>
    <w:rsid w:val="00675495"/>
    <w:rsid w:val="00675518"/>
    <w:rsid w:val="0067625B"/>
    <w:rsid w:val="0067639B"/>
    <w:rsid w:val="00677203"/>
    <w:rsid w:val="00677E11"/>
    <w:rsid w:val="00680320"/>
    <w:rsid w:val="00680765"/>
    <w:rsid w:val="00680CBC"/>
    <w:rsid w:val="006815BE"/>
    <w:rsid w:val="006819C9"/>
    <w:rsid w:val="00681D3C"/>
    <w:rsid w:val="006826DC"/>
    <w:rsid w:val="0068271F"/>
    <w:rsid w:val="00683038"/>
    <w:rsid w:val="00683081"/>
    <w:rsid w:val="00683378"/>
    <w:rsid w:val="00683431"/>
    <w:rsid w:val="00683580"/>
    <w:rsid w:val="006837A4"/>
    <w:rsid w:val="00683CA4"/>
    <w:rsid w:val="00683EBC"/>
    <w:rsid w:val="00683F10"/>
    <w:rsid w:val="0068406D"/>
    <w:rsid w:val="006841EF"/>
    <w:rsid w:val="0068444D"/>
    <w:rsid w:val="0068447C"/>
    <w:rsid w:val="00684818"/>
    <w:rsid w:val="00684949"/>
    <w:rsid w:val="006854B5"/>
    <w:rsid w:val="00685569"/>
    <w:rsid w:val="00685941"/>
    <w:rsid w:val="006859A2"/>
    <w:rsid w:val="0068612D"/>
    <w:rsid w:val="00686A26"/>
    <w:rsid w:val="00687243"/>
    <w:rsid w:val="00687CF6"/>
    <w:rsid w:val="006904BA"/>
    <w:rsid w:val="0069059E"/>
    <w:rsid w:val="00690F77"/>
    <w:rsid w:val="006911AE"/>
    <w:rsid w:val="00691871"/>
    <w:rsid w:val="00693999"/>
    <w:rsid w:val="00693E96"/>
    <w:rsid w:val="00694581"/>
    <w:rsid w:val="0069476F"/>
    <w:rsid w:val="00695295"/>
    <w:rsid w:val="006957FF"/>
    <w:rsid w:val="00695B06"/>
    <w:rsid w:val="0069637B"/>
    <w:rsid w:val="006963B9"/>
    <w:rsid w:val="0069673B"/>
    <w:rsid w:val="0069740E"/>
    <w:rsid w:val="0069789B"/>
    <w:rsid w:val="006A1634"/>
    <w:rsid w:val="006A182E"/>
    <w:rsid w:val="006A1A1C"/>
    <w:rsid w:val="006A1B19"/>
    <w:rsid w:val="006A1B90"/>
    <w:rsid w:val="006A24D7"/>
    <w:rsid w:val="006A345C"/>
    <w:rsid w:val="006A3707"/>
    <w:rsid w:val="006A3C7F"/>
    <w:rsid w:val="006A3DDD"/>
    <w:rsid w:val="006A42CA"/>
    <w:rsid w:val="006A544E"/>
    <w:rsid w:val="006A5CFD"/>
    <w:rsid w:val="006A63AD"/>
    <w:rsid w:val="006A6A1A"/>
    <w:rsid w:val="006A6D1B"/>
    <w:rsid w:val="006B0869"/>
    <w:rsid w:val="006B099C"/>
    <w:rsid w:val="006B1E42"/>
    <w:rsid w:val="006B348C"/>
    <w:rsid w:val="006B37BC"/>
    <w:rsid w:val="006B3D22"/>
    <w:rsid w:val="006B534B"/>
    <w:rsid w:val="006B5B51"/>
    <w:rsid w:val="006B5EB4"/>
    <w:rsid w:val="006B6C20"/>
    <w:rsid w:val="006B6D7A"/>
    <w:rsid w:val="006B70D1"/>
    <w:rsid w:val="006B72CC"/>
    <w:rsid w:val="006C0532"/>
    <w:rsid w:val="006C0536"/>
    <w:rsid w:val="006C060E"/>
    <w:rsid w:val="006C11DA"/>
    <w:rsid w:val="006C122B"/>
    <w:rsid w:val="006C130F"/>
    <w:rsid w:val="006C1482"/>
    <w:rsid w:val="006C1619"/>
    <w:rsid w:val="006C19D0"/>
    <w:rsid w:val="006C23F5"/>
    <w:rsid w:val="006C2543"/>
    <w:rsid w:val="006C26C8"/>
    <w:rsid w:val="006C2E83"/>
    <w:rsid w:val="006C2EDE"/>
    <w:rsid w:val="006C3CE8"/>
    <w:rsid w:val="006C3E0C"/>
    <w:rsid w:val="006C4751"/>
    <w:rsid w:val="006C4EC5"/>
    <w:rsid w:val="006C59DB"/>
    <w:rsid w:val="006C5CD6"/>
    <w:rsid w:val="006C6544"/>
    <w:rsid w:val="006C6E2D"/>
    <w:rsid w:val="006C7D24"/>
    <w:rsid w:val="006D0805"/>
    <w:rsid w:val="006D0DCB"/>
    <w:rsid w:val="006D17DE"/>
    <w:rsid w:val="006D1948"/>
    <w:rsid w:val="006D1994"/>
    <w:rsid w:val="006D1EFD"/>
    <w:rsid w:val="006D270E"/>
    <w:rsid w:val="006D283D"/>
    <w:rsid w:val="006D29A3"/>
    <w:rsid w:val="006D3C70"/>
    <w:rsid w:val="006D507A"/>
    <w:rsid w:val="006D5321"/>
    <w:rsid w:val="006D5CA3"/>
    <w:rsid w:val="006D629A"/>
    <w:rsid w:val="006D6E7C"/>
    <w:rsid w:val="006D734D"/>
    <w:rsid w:val="006D7565"/>
    <w:rsid w:val="006D7A11"/>
    <w:rsid w:val="006E03FB"/>
    <w:rsid w:val="006E0460"/>
    <w:rsid w:val="006E0544"/>
    <w:rsid w:val="006E0649"/>
    <w:rsid w:val="006E0A45"/>
    <w:rsid w:val="006E1110"/>
    <w:rsid w:val="006E1210"/>
    <w:rsid w:val="006E167F"/>
    <w:rsid w:val="006E1CC1"/>
    <w:rsid w:val="006E2094"/>
    <w:rsid w:val="006E22E4"/>
    <w:rsid w:val="006E25B4"/>
    <w:rsid w:val="006E2640"/>
    <w:rsid w:val="006E3B66"/>
    <w:rsid w:val="006E4625"/>
    <w:rsid w:val="006E4781"/>
    <w:rsid w:val="006E5995"/>
    <w:rsid w:val="006E5CC1"/>
    <w:rsid w:val="006E66F2"/>
    <w:rsid w:val="006E6EB0"/>
    <w:rsid w:val="006E71E2"/>
    <w:rsid w:val="006E79B0"/>
    <w:rsid w:val="006E7ABC"/>
    <w:rsid w:val="006F0184"/>
    <w:rsid w:val="006F1293"/>
    <w:rsid w:val="006F156A"/>
    <w:rsid w:val="006F1B79"/>
    <w:rsid w:val="006F1F33"/>
    <w:rsid w:val="006F271B"/>
    <w:rsid w:val="006F2D64"/>
    <w:rsid w:val="006F2EBB"/>
    <w:rsid w:val="006F2F90"/>
    <w:rsid w:val="006F3235"/>
    <w:rsid w:val="006F32CE"/>
    <w:rsid w:val="006F3E08"/>
    <w:rsid w:val="006F3EFA"/>
    <w:rsid w:val="006F4B60"/>
    <w:rsid w:val="006F4E07"/>
    <w:rsid w:val="006F5189"/>
    <w:rsid w:val="006F53DE"/>
    <w:rsid w:val="006F55D1"/>
    <w:rsid w:val="006F5853"/>
    <w:rsid w:val="006F59BE"/>
    <w:rsid w:val="006F5B0B"/>
    <w:rsid w:val="006F6297"/>
    <w:rsid w:val="006F745F"/>
    <w:rsid w:val="006F75A7"/>
    <w:rsid w:val="006F76FE"/>
    <w:rsid w:val="006F79B7"/>
    <w:rsid w:val="00700038"/>
    <w:rsid w:val="007005B7"/>
    <w:rsid w:val="00700AE5"/>
    <w:rsid w:val="00700C42"/>
    <w:rsid w:val="00701BB6"/>
    <w:rsid w:val="007029A5"/>
    <w:rsid w:val="00702C40"/>
    <w:rsid w:val="00702E10"/>
    <w:rsid w:val="00702E9E"/>
    <w:rsid w:val="007031BF"/>
    <w:rsid w:val="007048B9"/>
    <w:rsid w:val="00704972"/>
    <w:rsid w:val="00704B62"/>
    <w:rsid w:val="00704D6B"/>
    <w:rsid w:val="00704DB3"/>
    <w:rsid w:val="00704FE8"/>
    <w:rsid w:val="00705223"/>
    <w:rsid w:val="00705B8D"/>
    <w:rsid w:val="007066FD"/>
    <w:rsid w:val="0070683D"/>
    <w:rsid w:val="007078AC"/>
    <w:rsid w:val="007079F9"/>
    <w:rsid w:val="00707B00"/>
    <w:rsid w:val="00707F02"/>
    <w:rsid w:val="007103C8"/>
    <w:rsid w:val="007104DC"/>
    <w:rsid w:val="00710959"/>
    <w:rsid w:val="007111BE"/>
    <w:rsid w:val="0071165E"/>
    <w:rsid w:val="00711CAA"/>
    <w:rsid w:val="0071223E"/>
    <w:rsid w:val="00712CBE"/>
    <w:rsid w:val="0071377C"/>
    <w:rsid w:val="00713791"/>
    <w:rsid w:val="00715194"/>
    <w:rsid w:val="00715B7E"/>
    <w:rsid w:val="007162C3"/>
    <w:rsid w:val="0071662A"/>
    <w:rsid w:val="007166F9"/>
    <w:rsid w:val="0071680C"/>
    <w:rsid w:val="007169F0"/>
    <w:rsid w:val="00716D93"/>
    <w:rsid w:val="00717128"/>
    <w:rsid w:val="0071755F"/>
    <w:rsid w:val="00717B98"/>
    <w:rsid w:val="007209A6"/>
    <w:rsid w:val="00720D09"/>
    <w:rsid w:val="00721D06"/>
    <w:rsid w:val="0072224F"/>
    <w:rsid w:val="007224DC"/>
    <w:rsid w:val="00722620"/>
    <w:rsid w:val="00722B34"/>
    <w:rsid w:val="00722F23"/>
    <w:rsid w:val="0072382F"/>
    <w:rsid w:val="00723FEB"/>
    <w:rsid w:val="007245DF"/>
    <w:rsid w:val="00724789"/>
    <w:rsid w:val="007250E4"/>
    <w:rsid w:val="007252A4"/>
    <w:rsid w:val="00726072"/>
    <w:rsid w:val="00726213"/>
    <w:rsid w:val="00726342"/>
    <w:rsid w:val="007266AD"/>
    <w:rsid w:val="00727AFC"/>
    <w:rsid w:val="007301A0"/>
    <w:rsid w:val="00730B6D"/>
    <w:rsid w:val="00730B87"/>
    <w:rsid w:val="00730BF3"/>
    <w:rsid w:val="00731CFA"/>
    <w:rsid w:val="00732F94"/>
    <w:rsid w:val="00733443"/>
    <w:rsid w:val="00733472"/>
    <w:rsid w:val="0073398C"/>
    <w:rsid w:val="00733C0A"/>
    <w:rsid w:val="00734108"/>
    <w:rsid w:val="007350BE"/>
    <w:rsid w:val="00735158"/>
    <w:rsid w:val="00735508"/>
    <w:rsid w:val="007355BB"/>
    <w:rsid w:val="007362C1"/>
    <w:rsid w:val="0073645B"/>
    <w:rsid w:val="007364CE"/>
    <w:rsid w:val="00736E05"/>
    <w:rsid w:val="007375FC"/>
    <w:rsid w:val="00737836"/>
    <w:rsid w:val="00737CE6"/>
    <w:rsid w:val="00737F81"/>
    <w:rsid w:val="00737FD3"/>
    <w:rsid w:val="007404AC"/>
    <w:rsid w:val="00740874"/>
    <w:rsid w:val="007409BE"/>
    <w:rsid w:val="00740C0D"/>
    <w:rsid w:val="00740CB7"/>
    <w:rsid w:val="00741D62"/>
    <w:rsid w:val="00742197"/>
    <w:rsid w:val="00743106"/>
    <w:rsid w:val="0074351B"/>
    <w:rsid w:val="0074512A"/>
    <w:rsid w:val="00745716"/>
    <w:rsid w:val="00745B29"/>
    <w:rsid w:val="00745B8E"/>
    <w:rsid w:val="00746D46"/>
    <w:rsid w:val="00747540"/>
    <w:rsid w:val="00747E9F"/>
    <w:rsid w:val="0075025B"/>
    <w:rsid w:val="00750424"/>
    <w:rsid w:val="00750787"/>
    <w:rsid w:val="007507DE"/>
    <w:rsid w:val="00750B17"/>
    <w:rsid w:val="007510B3"/>
    <w:rsid w:val="007512C1"/>
    <w:rsid w:val="00752211"/>
    <w:rsid w:val="007522A8"/>
    <w:rsid w:val="00752376"/>
    <w:rsid w:val="00752433"/>
    <w:rsid w:val="00752951"/>
    <w:rsid w:val="007529C0"/>
    <w:rsid w:val="00752AF9"/>
    <w:rsid w:val="00753317"/>
    <w:rsid w:val="007533A2"/>
    <w:rsid w:val="00753C2A"/>
    <w:rsid w:val="00753D15"/>
    <w:rsid w:val="00753FD4"/>
    <w:rsid w:val="00754347"/>
    <w:rsid w:val="00754842"/>
    <w:rsid w:val="00754DAB"/>
    <w:rsid w:val="00755173"/>
    <w:rsid w:val="00755BF0"/>
    <w:rsid w:val="00756529"/>
    <w:rsid w:val="00756D2E"/>
    <w:rsid w:val="0075709C"/>
    <w:rsid w:val="007571EC"/>
    <w:rsid w:val="00760283"/>
    <w:rsid w:val="00760A5C"/>
    <w:rsid w:val="00760E04"/>
    <w:rsid w:val="00760F0B"/>
    <w:rsid w:val="007619F9"/>
    <w:rsid w:val="0076292E"/>
    <w:rsid w:val="0076296B"/>
    <w:rsid w:val="0076314C"/>
    <w:rsid w:val="00763266"/>
    <w:rsid w:val="007647D8"/>
    <w:rsid w:val="00764C01"/>
    <w:rsid w:val="00764D0E"/>
    <w:rsid w:val="00764D90"/>
    <w:rsid w:val="00765295"/>
    <w:rsid w:val="00765EB7"/>
    <w:rsid w:val="00765F86"/>
    <w:rsid w:val="00765FFE"/>
    <w:rsid w:val="00766DFB"/>
    <w:rsid w:val="00766F1E"/>
    <w:rsid w:val="00767C2B"/>
    <w:rsid w:val="007705F8"/>
    <w:rsid w:val="00770859"/>
    <w:rsid w:val="00771030"/>
    <w:rsid w:val="00771250"/>
    <w:rsid w:val="007727D9"/>
    <w:rsid w:val="00774B6F"/>
    <w:rsid w:val="00774C7B"/>
    <w:rsid w:val="00775D67"/>
    <w:rsid w:val="007769EE"/>
    <w:rsid w:val="00777CC4"/>
    <w:rsid w:val="00777D7B"/>
    <w:rsid w:val="00777DCB"/>
    <w:rsid w:val="00780724"/>
    <w:rsid w:val="007809FC"/>
    <w:rsid w:val="0078166C"/>
    <w:rsid w:val="007820DF"/>
    <w:rsid w:val="00782578"/>
    <w:rsid w:val="00782757"/>
    <w:rsid w:val="00782846"/>
    <w:rsid w:val="00782A43"/>
    <w:rsid w:val="00782AE8"/>
    <w:rsid w:val="00782E8A"/>
    <w:rsid w:val="00782EA0"/>
    <w:rsid w:val="007833AA"/>
    <w:rsid w:val="007835D2"/>
    <w:rsid w:val="00783D62"/>
    <w:rsid w:val="00783E9C"/>
    <w:rsid w:val="007842C3"/>
    <w:rsid w:val="007844EC"/>
    <w:rsid w:val="0078456C"/>
    <w:rsid w:val="00784741"/>
    <w:rsid w:val="00784E2B"/>
    <w:rsid w:val="00785199"/>
    <w:rsid w:val="00785C2B"/>
    <w:rsid w:val="0078638A"/>
    <w:rsid w:val="00786923"/>
    <w:rsid w:val="0078720D"/>
    <w:rsid w:val="00787B7E"/>
    <w:rsid w:val="007900C3"/>
    <w:rsid w:val="00790A5D"/>
    <w:rsid w:val="00790E45"/>
    <w:rsid w:val="00791E2D"/>
    <w:rsid w:val="00792918"/>
    <w:rsid w:val="00792BC3"/>
    <w:rsid w:val="007936FD"/>
    <w:rsid w:val="007938EC"/>
    <w:rsid w:val="00793B99"/>
    <w:rsid w:val="007944E0"/>
    <w:rsid w:val="007950AF"/>
    <w:rsid w:val="00795A15"/>
    <w:rsid w:val="00795FC7"/>
    <w:rsid w:val="00796D1C"/>
    <w:rsid w:val="00796DF7"/>
    <w:rsid w:val="00796E40"/>
    <w:rsid w:val="007A11D6"/>
    <w:rsid w:val="007A128A"/>
    <w:rsid w:val="007A21FE"/>
    <w:rsid w:val="007A24DB"/>
    <w:rsid w:val="007A3486"/>
    <w:rsid w:val="007A38C0"/>
    <w:rsid w:val="007A3CA4"/>
    <w:rsid w:val="007A3DE5"/>
    <w:rsid w:val="007A3E61"/>
    <w:rsid w:val="007A400C"/>
    <w:rsid w:val="007A435A"/>
    <w:rsid w:val="007A4472"/>
    <w:rsid w:val="007A584A"/>
    <w:rsid w:val="007A5962"/>
    <w:rsid w:val="007A5EF8"/>
    <w:rsid w:val="007A65AD"/>
    <w:rsid w:val="007A6AFC"/>
    <w:rsid w:val="007A6C9B"/>
    <w:rsid w:val="007A71C1"/>
    <w:rsid w:val="007A7244"/>
    <w:rsid w:val="007A75F4"/>
    <w:rsid w:val="007B019B"/>
    <w:rsid w:val="007B04B2"/>
    <w:rsid w:val="007B05B7"/>
    <w:rsid w:val="007B0AB0"/>
    <w:rsid w:val="007B124F"/>
    <w:rsid w:val="007B1884"/>
    <w:rsid w:val="007B25E5"/>
    <w:rsid w:val="007B2BC0"/>
    <w:rsid w:val="007B3078"/>
    <w:rsid w:val="007B3821"/>
    <w:rsid w:val="007B3A63"/>
    <w:rsid w:val="007B3E55"/>
    <w:rsid w:val="007B3FB4"/>
    <w:rsid w:val="007B75D7"/>
    <w:rsid w:val="007B7EE3"/>
    <w:rsid w:val="007C012C"/>
    <w:rsid w:val="007C01E6"/>
    <w:rsid w:val="007C050F"/>
    <w:rsid w:val="007C07F7"/>
    <w:rsid w:val="007C0EFB"/>
    <w:rsid w:val="007C108A"/>
    <w:rsid w:val="007C1239"/>
    <w:rsid w:val="007C14E9"/>
    <w:rsid w:val="007C164A"/>
    <w:rsid w:val="007C19CD"/>
    <w:rsid w:val="007C2929"/>
    <w:rsid w:val="007C296B"/>
    <w:rsid w:val="007C2DC4"/>
    <w:rsid w:val="007C39EB"/>
    <w:rsid w:val="007C3DA3"/>
    <w:rsid w:val="007C47CA"/>
    <w:rsid w:val="007C4857"/>
    <w:rsid w:val="007C49DB"/>
    <w:rsid w:val="007C4AA2"/>
    <w:rsid w:val="007C4C5C"/>
    <w:rsid w:val="007C5B7F"/>
    <w:rsid w:val="007C61D9"/>
    <w:rsid w:val="007C676A"/>
    <w:rsid w:val="007C6B24"/>
    <w:rsid w:val="007C7316"/>
    <w:rsid w:val="007C7700"/>
    <w:rsid w:val="007C7ABD"/>
    <w:rsid w:val="007C7EC6"/>
    <w:rsid w:val="007D0CD6"/>
    <w:rsid w:val="007D1046"/>
    <w:rsid w:val="007D134B"/>
    <w:rsid w:val="007D21E4"/>
    <w:rsid w:val="007D2636"/>
    <w:rsid w:val="007D27CD"/>
    <w:rsid w:val="007D3022"/>
    <w:rsid w:val="007D3D45"/>
    <w:rsid w:val="007D4738"/>
    <w:rsid w:val="007D4E01"/>
    <w:rsid w:val="007D5327"/>
    <w:rsid w:val="007D5A89"/>
    <w:rsid w:val="007D5DCA"/>
    <w:rsid w:val="007D603A"/>
    <w:rsid w:val="007D61FB"/>
    <w:rsid w:val="007D6556"/>
    <w:rsid w:val="007D655A"/>
    <w:rsid w:val="007D6E78"/>
    <w:rsid w:val="007D723D"/>
    <w:rsid w:val="007D7298"/>
    <w:rsid w:val="007D7C60"/>
    <w:rsid w:val="007D7EE6"/>
    <w:rsid w:val="007E04C5"/>
    <w:rsid w:val="007E0D85"/>
    <w:rsid w:val="007E13D7"/>
    <w:rsid w:val="007E2309"/>
    <w:rsid w:val="007E2565"/>
    <w:rsid w:val="007E2659"/>
    <w:rsid w:val="007E27DE"/>
    <w:rsid w:val="007E3036"/>
    <w:rsid w:val="007E3B90"/>
    <w:rsid w:val="007E3F81"/>
    <w:rsid w:val="007E4AC6"/>
    <w:rsid w:val="007E4EE3"/>
    <w:rsid w:val="007E5867"/>
    <w:rsid w:val="007E5EA9"/>
    <w:rsid w:val="007E602A"/>
    <w:rsid w:val="007E6554"/>
    <w:rsid w:val="007E68F3"/>
    <w:rsid w:val="007E6AAE"/>
    <w:rsid w:val="007E6B83"/>
    <w:rsid w:val="007E7346"/>
    <w:rsid w:val="007E76F3"/>
    <w:rsid w:val="007E777A"/>
    <w:rsid w:val="007E790C"/>
    <w:rsid w:val="007E7F2B"/>
    <w:rsid w:val="007F03EF"/>
    <w:rsid w:val="007F08F9"/>
    <w:rsid w:val="007F0A4F"/>
    <w:rsid w:val="007F0A70"/>
    <w:rsid w:val="007F1638"/>
    <w:rsid w:val="007F2DC1"/>
    <w:rsid w:val="007F3C8E"/>
    <w:rsid w:val="007F3E03"/>
    <w:rsid w:val="007F48C9"/>
    <w:rsid w:val="007F4E97"/>
    <w:rsid w:val="007F4FEF"/>
    <w:rsid w:val="007F5088"/>
    <w:rsid w:val="007F5146"/>
    <w:rsid w:val="007F536A"/>
    <w:rsid w:val="007F5F37"/>
    <w:rsid w:val="007F6869"/>
    <w:rsid w:val="007F699D"/>
    <w:rsid w:val="007F7278"/>
    <w:rsid w:val="008008ED"/>
    <w:rsid w:val="00800C50"/>
    <w:rsid w:val="0080126E"/>
    <w:rsid w:val="008016E6"/>
    <w:rsid w:val="0080184B"/>
    <w:rsid w:val="008028D3"/>
    <w:rsid w:val="00802901"/>
    <w:rsid w:val="0080314E"/>
    <w:rsid w:val="0080538B"/>
    <w:rsid w:val="00806011"/>
    <w:rsid w:val="00806353"/>
    <w:rsid w:val="00806FAC"/>
    <w:rsid w:val="00807CEE"/>
    <w:rsid w:val="00807E84"/>
    <w:rsid w:val="00807EB0"/>
    <w:rsid w:val="00810456"/>
    <w:rsid w:val="008107A2"/>
    <w:rsid w:val="00810F8B"/>
    <w:rsid w:val="0081211E"/>
    <w:rsid w:val="008121BB"/>
    <w:rsid w:val="0081295D"/>
    <w:rsid w:val="00813642"/>
    <w:rsid w:val="00814304"/>
    <w:rsid w:val="00814D80"/>
    <w:rsid w:val="0081530A"/>
    <w:rsid w:val="00815F90"/>
    <w:rsid w:val="00816966"/>
    <w:rsid w:val="00816BC6"/>
    <w:rsid w:val="00816DB3"/>
    <w:rsid w:val="008179BD"/>
    <w:rsid w:val="00817A1A"/>
    <w:rsid w:val="00817FE4"/>
    <w:rsid w:val="00821258"/>
    <w:rsid w:val="008212E1"/>
    <w:rsid w:val="00821646"/>
    <w:rsid w:val="008219C5"/>
    <w:rsid w:val="008221D0"/>
    <w:rsid w:val="0082232F"/>
    <w:rsid w:val="0082245B"/>
    <w:rsid w:val="00822A7F"/>
    <w:rsid w:val="00822E25"/>
    <w:rsid w:val="00823654"/>
    <w:rsid w:val="00823659"/>
    <w:rsid w:val="00824163"/>
    <w:rsid w:val="008256AC"/>
    <w:rsid w:val="00825B2C"/>
    <w:rsid w:val="008267D5"/>
    <w:rsid w:val="00826CAC"/>
    <w:rsid w:val="00826F05"/>
    <w:rsid w:val="00827142"/>
    <w:rsid w:val="0082755E"/>
    <w:rsid w:val="00827E70"/>
    <w:rsid w:val="00827FE8"/>
    <w:rsid w:val="008307BE"/>
    <w:rsid w:val="00830BC0"/>
    <w:rsid w:val="00831736"/>
    <w:rsid w:val="00831912"/>
    <w:rsid w:val="008319FA"/>
    <w:rsid w:val="00831C24"/>
    <w:rsid w:val="0083298D"/>
    <w:rsid w:val="00832A77"/>
    <w:rsid w:val="00834899"/>
    <w:rsid w:val="00834CD8"/>
    <w:rsid w:val="0083520D"/>
    <w:rsid w:val="00835BA5"/>
    <w:rsid w:val="00835F39"/>
    <w:rsid w:val="00836188"/>
    <w:rsid w:val="008373BF"/>
    <w:rsid w:val="008378EF"/>
    <w:rsid w:val="00840093"/>
    <w:rsid w:val="00840253"/>
    <w:rsid w:val="008407A2"/>
    <w:rsid w:val="00840CC6"/>
    <w:rsid w:val="008416E5"/>
    <w:rsid w:val="00841E16"/>
    <w:rsid w:val="008428E9"/>
    <w:rsid w:val="00842E87"/>
    <w:rsid w:val="0084394B"/>
    <w:rsid w:val="00844080"/>
    <w:rsid w:val="00844216"/>
    <w:rsid w:val="00844B95"/>
    <w:rsid w:val="00844BE9"/>
    <w:rsid w:val="00844D08"/>
    <w:rsid w:val="008450A5"/>
    <w:rsid w:val="00845498"/>
    <w:rsid w:val="00845D91"/>
    <w:rsid w:val="00847BCB"/>
    <w:rsid w:val="008500EC"/>
    <w:rsid w:val="008503E6"/>
    <w:rsid w:val="00850CCA"/>
    <w:rsid w:val="00850FA4"/>
    <w:rsid w:val="008511E1"/>
    <w:rsid w:val="008519C3"/>
    <w:rsid w:val="008524DB"/>
    <w:rsid w:val="008525E9"/>
    <w:rsid w:val="00852698"/>
    <w:rsid w:val="0085296C"/>
    <w:rsid w:val="00852BD6"/>
    <w:rsid w:val="008536DB"/>
    <w:rsid w:val="008538A8"/>
    <w:rsid w:val="008546CE"/>
    <w:rsid w:val="00855C4B"/>
    <w:rsid w:val="00856B49"/>
    <w:rsid w:val="00856D24"/>
    <w:rsid w:val="00857011"/>
    <w:rsid w:val="00860AE9"/>
    <w:rsid w:val="00860D09"/>
    <w:rsid w:val="00861926"/>
    <w:rsid w:val="0086221F"/>
    <w:rsid w:val="008623E4"/>
    <w:rsid w:val="00862E4D"/>
    <w:rsid w:val="008631E9"/>
    <w:rsid w:val="008637E0"/>
    <w:rsid w:val="00863BAC"/>
    <w:rsid w:val="008646CA"/>
    <w:rsid w:val="00864AAE"/>
    <w:rsid w:val="00864FB9"/>
    <w:rsid w:val="008660E6"/>
    <w:rsid w:val="008660F9"/>
    <w:rsid w:val="008662E9"/>
    <w:rsid w:val="00866C8C"/>
    <w:rsid w:val="00870A50"/>
    <w:rsid w:val="00871826"/>
    <w:rsid w:val="00871A39"/>
    <w:rsid w:val="00871B64"/>
    <w:rsid w:val="00872587"/>
    <w:rsid w:val="00872650"/>
    <w:rsid w:val="00872FF9"/>
    <w:rsid w:val="0087354D"/>
    <w:rsid w:val="00873C06"/>
    <w:rsid w:val="00873C13"/>
    <w:rsid w:val="00874402"/>
    <w:rsid w:val="008746E1"/>
    <w:rsid w:val="008748D9"/>
    <w:rsid w:val="00874E78"/>
    <w:rsid w:val="00874E87"/>
    <w:rsid w:val="00875956"/>
    <w:rsid w:val="00875C95"/>
    <w:rsid w:val="008763AB"/>
    <w:rsid w:val="00876CA0"/>
    <w:rsid w:val="00876F62"/>
    <w:rsid w:val="00876FBE"/>
    <w:rsid w:val="00877647"/>
    <w:rsid w:val="00877676"/>
    <w:rsid w:val="00877B61"/>
    <w:rsid w:val="00880464"/>
    <w:rsid w:val="008804D9"/>
    <w:rsid w:val="008805C1"/>
    <w:rsid w:val="00880CD1"/>
    <w:rsid w:val="00880D5B"/>
    <w:rsid w:val="00880F1F"/>
    <w:rsid w:val="0088205A"/>
    <w:rsid w:val="008827B1"/>
    <w:rsid w:val="00883320"/>
    <w:rsid w:val="00884144"/>
    <w:rsid w:val="00884385"/>
    <w:rsid w:val="008845A1"/>
    <w:rsid w:val="00885352"/>
    <w:rsid w:val="00885385"/>
    <w:rsid w:val="0088547A"/>
    <w:rsid w:val="00885BD0"/>
    <w:rsid w:val="0088623F"/>
    <w:rsid w:val="00886312"/>
    <w:rsid w:val="008868EC"/>
    <w:rsid w:val="00886ED6"/>
    <w:rsid w:val="00886FB9"/>
    <w:rsid w:val="0088725D"/>
    <w:rsid w:val="008905F1"/>
    <w:rsid w:val="00890820"/>
    <w:rsid w:val="00891811"/>
    <w:rsid w:val="00891C6F"/>
    <w:rsid w:val="00891C8E"/>
    <w:rsid w:val="0089255F"/>
    <w:rsid w:val="00892993"/>
    <w:rsid w:val="0089350C"/>
    <w:rsid w:val="00893C66"/>
    <w:rsid w:val="008942A2"/>
    <w:rsid w:val="00894971"/>
    <w:rsid w:val="00894C6E"/>
    <w:rsid w:val="00894DCF"/>
    <w:rsid w:val="00894DF6"/>
    <w:rsid w:val="008954A6"/>
    <w:rsid w:val="00896B5D"/>
    <w:rsid w:val="00896D6E"/>
    <w:rsid w:val="00896FDC"/>
    <w:rsid w:val="0089723B"/>
    <w:rsid w:val="00897953"/>
    <w:rsid w:val="00897E83"/>
    <w:rsid w:val="008A058A"/>
    <w:rsid w:val="008A2411"/>
    <w:rsid w:val="008A3731"/>
    <w:rsid w:val="008A3BC8"/>
    <w:rsid w:val="008A3CB1"/>
    <w:rsid w:val="008A5266"/>
    <w:rsid w:val="008A5467"/>
    <w:rsid w:val="008A636B"/>
    <w:rsid w:val="008A6547"/>
    <w:rsid w:val="008A66DF"/>
    <w:rsid w:val="008A7619"/>
    <w:rsid w:val="008B00A4"/>
    <w:rsid w:val="008B039C"/>
    <w:rsid w:val="008B1074"/>
    <w:rsid w:val="008B13C6"/>
    <w:rsid w:val="008B1C42"/>
    <w:rsid w:val="008B27C7"/>
    <w:rsid w:val="008B2A34"/>
    <w:rsid w:val="008B452F"/>
    <w:rsid w:val="008B4B87"/>
    <w:rsid w:val="008B4CD5"/>
    <w:rsid w:val="008B4E73"/>
    <w:rsid w:val="008B4EB7"/>
    <w:rsid w:val="008B4F56"/>
    <w:rsid w:val="008B5457"/>
    <w:rsid w:val="008B568E"/>
    <w:rsid w:val="008B5895"/>
    <w:rsid w:val="008B5B33"/>
    <w:rsid w:val="008B5C14"/>
    <w:rsid w:val="008B5DEA"/>
    <w:rsid w:val="008B6324"/>
    <w:rsid w:val="008B638D"/>
    <w:rsid w:val="008B6395"/>
    <w:rsid w:val="008B66AE"/>
    <w:rsid w:val="008B7241"/>
    <w:rsid w:val="008B7581"/>
    <w:rsid w:val="008B763B"/>
    <w:rsid w:val="008B7D3C"/>
    <w:rsid w:val="008B7EA1"/>
    <w:rsid w:val="008C018F"/>
    <w:rsid w:val="008C05B5"/>
    <w:rsid w:val="008C05E3"/>
    <w:rsid w:val="008C074F"/>
    <w:rsid w:val="008C0B55"/>
    <w:rsid w:val="008C0C22"/>
    <w:rsid w:val="008C1027"/>
    <w:rsid w:val="008C184D"/>
    <w:rsid w:val="008C1C37"/>
    <w:rsid w:val="008C1C87"/>
    <w:rsid w:val="008C26FA"/>
    <w:rsid w:val="008C278D"/>
    <w:rsid w:val="008C27E5"/>
    <w:rsid w:val="008C37AB"/>
    <w:rsid w:val="008C42EE"/>
    <w:rsid w:val="008C4301"/>
    <w:rsid w:val="008C4313"/>
    <w:rsid w:val="008C4CD4"/>
    <w:rsid w:val="008C6729"/>
    <w:rsid w:val="008D063F"/>
    <w:rsid w:val="008D08E5"/>
    <w:rsid w:val="008D123D"/>
    <w:rsid w:val="008D17DC"/>
    <w:rsid w:val="008D184B"/>
    <w:rsid w:val="008D25AB"/>
    <w:rsid w:val="008D25CD"/>
    <w:rsid w:val="008D27B3"/>
    <w:rsid w:val="008D2A93"/>
    <w:rsid w:val="008D31F7"/>
    <w:rsid w:val="008D3C09"/>
    <w:rsid w:val="008D44BF"/>
    <w:rsid w:val="008D47D0"/>
    <w:rsid w:val="008D4C2B"/>
    <w:rsid w:val="008D5138"/>
    <w:rsid w:val="008D5AC5"/>
    <w:rsid w:val="008D7D2B"/>
    <w:rsid w:val="008D7F16"/>
    <w:rsid w:val="008E0200"/>
    <w:rsid w:val="008E0B96"/>
    <w:rsid w:val="008E0CB0"/>
    <w:rsid w:val="008E0CF6"/>
    <w:rsid w:val="008E115E"/>
    <w:rsid w:val="008E1549"/>
    <w:rsid w:val="008E1938"/>
    <w:rsid w:val="008E1F33"/>
    <w:rsid w:val="008E2069"/>
    <w:rsid w:val="008E2577"/>
    <w:rsid w:val="008E3069"/>
    <w:rsid w:val="008E3859"/>
    <w:rsid w:val="008E3D4B"/>
    <w:rsid w:val="008E4276"/>
    <w:rsid w:val="008E4CDC"/>
    <w:rsid w:val="008E59DD"/>
    <w:rsid w:val="008E5AEC"/>
    <w:rsid w:val="008E5D3E"/>
    <w:rsid w:val="008E5EC6"/>
    <w:rsid w:val="008E60D0"/>
    <w:rsid w:val="008E6165"/>
    <w:rsid w:val="008E6478"/>
    <w:rsid w:val="008E650E"/>
    <w:rsid w:val="008E6B66"/>
    <w:rsid w:val="008E6CB5"/>
    <w:rsid w:val="008E7F08"/>
    <w:rsid w:val="008F05B3"/>
    <w:rsid w:val="008F0E98"/>
    <w:rsid w:val="008F0FE7"/>
    <w:rsid w:val="008F1451"/>
    <w:rsid w:val="008F184A"/>
    <w:rsid w:val="008F1A73"/>
    <w:rsid w:val="008F20C0"/>
    <w:rsid w:val="008F2789"/>
    <w:rsid w:val="008F2B04"/>
    <w:rsid w:val="008F2F9C"/>
    <w:rsid w:val="008F3178"/>
    <w:rsid w:val="008F3BDE"/>
    <w:rsid w:val="008F3BF5"/>
    <w:rsid w:val="008F46E9"/>
    <w:rsid w:val="008F478A"/>
    <w:rsid w:val="008F5025"/>
    <w:rsid w:val="008F6E5B"/>
    <w:rsid w:val="008F786A"/>
    <w:rsid w:val="00900F66"/>
    <w:rsid w:val="00901971"/>
    <w:rsid w:val="00901A2F"/>
    <w:rsid w:val="00901B03"/>
    <w:rsid w:val="00901F70"/>
    <w:rsid w:val="00902781"/>
    <w:rsid w:val="009028DA"/>
    <w:rsid w:val="00902AE0"/>
    <w:rsid w:val="00902AED"/>
    <w:rsid w:val="00902D19"/>
    <w:rsid w:val="009040E0"/>
    <w:rsid w:val="0090410F"/>
    <w:rsid w:val="00904417"/>
    <w:rsid w:val="00904730"/>
    <w:rsid w:val="00904CDB"/>
    <w:rsid w:val="00904F19"/>
    <w:rsid w:val="00904FD1"/>
    <w:rsid w:val="009056D2"/>
    <w:rsid w:val="00905BDE"/>
    <w:rsid w:val="009065D7"/>
    <w:rsid w:val="009101F8"/>
    <w:rsid w:val="009103B7"/>
    <w:rsid w:val="00910603"/>
    <w:rsid w:val="00911088"/>
    <w:rsid w:val="00912472"/>
    <w:rsid w:val="0091276C"/>
    <w:rsid w:val="0091295E"/>
    <w:rsid w:val="00912B4E"/>
    <w:rsid w:val="00912F4E"/>
    <w:rsid w:val="00913850"/>
    <w:rsid w:val="00913CBD"/>
    <w:rsid w:val="009152FF"/>
    <w:rsid w:val="0091537B"/>
    <w:rsid w:val="00915568"/>
    <w:rsid w:val="009158A1"/>
    <w:rsid w:val="0091599C"/>
    <w:rsid w:val="00915B8D"/>
    <w:rsid w:val="00916E4E"/>
    <w:rsid w:val="0091783B"/>
    <w:rsid w:val="0092026B"/>
    <w:rsid w:val="00920355"/>
    <w:rsid w:val="00920492"/>
    <w:rsid w:val="00920518"/>
    <w:rsid w:val="00920610"/>
    <w:rsid w:val="00920620"/>
    <w:rsid w:val="00921333"/>
    <w:rsid w:val="009228B2"/>
    <w:rsid w:val="00924772"/>
    <w:rsid w:val="00924ABB"/>
    <w:rsid w:val="009257D0"/>
    <w:rsid w:val="00925872"/>
    <w:rsid w:val="00925D52"/>
    <w:rsid w:val="00926138"/>
    <w:rsid w:val="009263EA"/>
    <w:rsid w:val="00926EB0"/>
    <w:rsid w:val="009270A0"/>
    <w:rsid w:val="0092718A"/>
    <w:rsid w:val="00927255"/>
    <w:rsid w:val="009272E3"/>
    <w:rsid w:val="0092734C"/>
    <w:rsid w:val="00927815"/>
    <w:rsid w:val="00927CB2"/>
    <w:rsid w:val="00930373"/>
    <w:rsid w:val="009305E8"/>
    <w:rsid w:val="00930F50"/>
    <w:rsid w:val="00931BC0"/>
    <w:rsid w:val="009326AE"/>
    <w:rsid w:val="00932832"/>
    <w:rsid w:val="0093286A"/>
    <w:rsid w:val="00932965"/>
    <w:rsid w:val="009329E1"/>
    <w:rsid w:val="00932A5F"/>
    <w:rsid w:val="00932CCA"/>
    <w:rsid w:val="00932EA0"/>
    <w:rsid w:val="00932FDF"/>
    <w:rsid w:val="009336B5"/>
    <w:rsid w:val="0093383A"/>
    <w:rsid w:val="009345DD"/>
    <w:rsid w:val="00934A67"/>
    <w:rsid w:val="00935421"/>
    <w:rsid w:val="0093588D"/>
    <w:rsid w:val="00935D80"/>
    <w:rsid w:val="00936810"/>
    <w:rsid w:val="00936C62"/>
    <w:rsid w:val="0093744E"/>
    <w:rsid w:val="00937EA5"/>
    <w:rsid w:val="0094056D"/>
    <w:rsid w:val="00941562"/>
    <w:rsid w:val="00942812"/>
    <w:rsid w:val="00942B74"/>
    <w:rsid w:val="00942C78"/>
    <w:rsid w:val="00943F2A"/>
    <w:rsid w:val="009442AD"/>
    <w:rsid w:val="00944506"/>
    <w:rsid w:val="0094509F"/>
    <w:rsid w:val="00945948"/>
    <w:rsid w:val="00945CDD"/>
    <w:rsid w:val="00946836"/>
    <w:rsid w:val="009469F7"/>
    <w:rsid w:val="00946A48"/>
    <w:rsid w:val="009474C5"/>
    <w:rsid w:val="009479CF"/>
    <w:rsid w:val="00947B48"/>
    <w:rsid w:val="009500E7"/>
    <w:rsid w:val="00950466"/>
    <w:rsid w:val="009515E0"/>
    <w:rsid w:val="009525BD"/>
    <w:rsid w:val="0095331D"/>
    <w:rsid w:val="00953B3A"/>
    <w:rsid w:val="00954038"/>
    <w:rsid w:val="00954395"/>
    <w:rsid w:val="009548B3"/>
    <w:rsid w:val="0095590F"/>
    <w:rsid w:val="0095641E"/>
    <w:rsid w:val="0095647A"/>
    <w:rsid w:val="009566F9"/>
    <w:rsid w:val="009572DF"/>
    <w:rsid w:val="00957CE5"/>
    <w:rsid w:val="00957D81"/>
    <w:rsid w:val="0096099C"/>
    <w:rsid w:val="009615DF"/>
    <w:rsid w:val="00961C5C"/>
    <w:rsid w:val="00962A7F"/>
    <w:rsid w:val="00962CF9"/>
    <w:rsid w:val="00962DC0"/>
    <w:rsid w:val="00962EDB"/>
    <w:rsid w:val="00962FF1"/>
    <w:rsid w:val="009630AF"/>
    <w:rsid w:val="00964999"/>
    <w:rsid w:val="00964C32"/>
    <w:rsid w:val="009664DA"/>
    <w:rsid w:val="0096673F"/>
    <w:rsid w:val="009668DE"/>
    <w:rsid w:val="00966A37"/>
    <w:rsid w:val="00966F64"/>
    <w:rsid w:val="00967CF3"/>
    <w:rsid w:val="009701FE"/>
    <w:rsid w:val="00970578"/>
    <w:rsid w:val="00970F08"/>
    <w:rsid w:val="00971EB4"/>
    <w:rsid w:val="009722C7"/>
    <w:rsid w:val="00973400"/>
    <w:rsid w:val="009736D0"/>
    <w:rsid w:val="00973A63"/>
    <w:rsid w:val="0097422C"/>
    <w:rsid w:val="00974FF9"/>
    <w:rsid w:val="0097631E"/>
    <w:rsid w:val="00976A60"/>
    <w:rsid w:val="00977501"/>
    <w:rsid w:val="00980F13"/>
    <w:rsid w:val="00981155"/>
    <w:rsid w:val="009811B5"/>
    <w:rsid w:val="00981233"/>
    <w:rsid w:val="00981DFA"/>
    <w:rsid w:val="009829CE"/>
    <w:rsid w:val="00982BA5"/>
    <w:rsid w:val="00982CC9"/>
    <w:rsid w:val="00983502"/>
    <w:rsid w:val="00984060"/>
    <w:rsid w:val="00984236"/>
    <w:rsid w:val="00985023"/>
    <w:rsid w:val="00985ABD"/>
    <w:rsid w:val="00985CC1"/>
    <w:rsid w:val="00985D5A"/>
    <w:rsid w:val="00986CB0"/>
    <w:rsid w:val="00986EE1"/>
    <w:rsid w:val="00987479"/>
    <w:rsid w:val="00990401"/>
    <w:rsid w:val="00990440"/>
    <w:rsid w:val="00991200"/>
    <w:rsid w:val="00992514"/>
    <w:rsid w:val="00992D07"/>
    <w:rsid w:val="00992E1A"/>
    <w:rsid w:val="009942EC"/>
    <w:rsid w:val="00994C49"/>
    <w:rsid w:val="00995556"/>
    <w:rsid w:val="009955BA"/>
    <w:rsid w:val="009960C6"/>
    <w:rsid w:val="00996A65"/>
    <w:rsid w:val="00997773"/>
    <w:rsid w:val="00997912"/>
    <w:rsid w:val="00997C84"/>
    <w:rsid w:val="00997D25"/>
    <w:rsid w:val="00997E34"/>
    <w:rsid w:val="009A0534"/>
    <w:rsid w:val="009A0721"/>
    <w:rsid w:val="009A1631"/>
    <w:rsid w:val="009A1A17"/>
    <w:rsid w:val="009A1A1D"/>
    <w:rsid w:val="009A2017"/>
    <w:rsid w:val="009A2755"/>
    <w:rsid w:val="009A2B75"/>
    <w:rsid w:val="009A309D"/>
    <w:rsid w:val="009A5A9C"/>
    <w:rsid w:val="009A5CFA"/>
    <w:rsid w:val="009A6360"/>
    <w:rsid w:val="009A6477"/>
    <w:rsid w:val="009A6D5C"/>
    <w:rsid w:val="009A73F6"/>
    <w:rsid w:val="009A78D5"/>
    <w:rsid w:val="009A7E0B"/>
    <w:rsid w:val="009B0809"/>
    <w:rsid w:val="009B1422"/>
    <w:rsid w:val="009B1C71"/>
    <w:rsid w:val="009B3B40"/>
    <w:rsid w:val="009B3D0B"/>
    <w:rsid w:val="009B3DAB"/>
    <w:rsid w:val="009B3DB8"/>
    <w:rsid w:val="009B3E94"/>
    <w:rsid w:val="009B495E"/>
    <w:rsid w:val="009B51D4"/>
    <w:rsid w:val="009B53E5"/>
    <w:rsid w:val="009B59D7"/>
    <w:rsid w:val="009B5CAA"/>
    <w:rsid w:val="009B5D68"/>
    <w:rsid w:val="009B748D"/>
    <w:rsid w:val="009B74BE"/>
    <w:rsid w:val="009B7C95"/>
    <w:rsid w:val="009B7DE7"/>
    <w:rsid w:val="009B7F79"/>
    <w:rsid w:val="009C0284"/>
    <w:rsid w:val="009C0839"/>
    <w:rsid w:val="009C0A54"/>
    <w:rsid w:val="009C0E5F"/>
    <w:rsid w:val="009C1109"/>
    <w:rsid w:val="009C11E2"/>
    <w:rsid w:val="009C1725"/>
    <w:rsid w:val="009C1746"/>
    <w:rsid w:val="009C1AEE"/>
    <w:rsid w:val="009C2115"/>
    <w:rsid w:val="009C29F8"/>
    <w:rsid w:val="009C2D4B"/>
    <w:rsid w:val="009C35CC"/>
    <w:rsid w:val="009C3B80"/>
    <w:rsid w:val="009C4A66"/>
    <w:rsid w:val="009C5680"/>
    <w:rsid w:val="009C57A2"/>
    <w:rsid w:val="009C58D0"/>
    <w:rsid w:val="009C5B7B"/>
    <w:rsid w:val="009C6243"/>
    <w:rsid w:val="009C6289"/>
    <w:rsid w:val="009C6AEC"/>
    <w:rsid w:val="009C744B"/>
    <w:rsid w:val="009C7885"/>
    <w:rsid w:val="009C7FDC"/>
    <w:rsid w:val="009D0547"/>
    <w:rsid w:val="009D0C18"/>
    <w:rsid w:val="009D1085"/>
    <w:rsid w:val="009D1FB9"/>
    <w:rsid w:val="009D218A"/>
    <w:rsid w:val="009D239A"/>
    <w:rsid w:val="009D23ED"/>
    <w:rsid w:val="009D281F"/>
    <w:rsid w:val="009D28C9"/>
    <w:rsid w:val="009D2A6D"/>
    <w:rsid w:val="009D2C74"/>
    <w:rsid w:val="009D30B8"/>
    <w:rsid w:val="009D3254"/>
    <w:rsid w:val="009D366D"/>
    <w:rsid w:val="009D3BF8"/>
    <w:rsid w:val="009D3C8C"/>
    <w:rsid w:val="009D59D4"/>
    <w:rsid w:val="009D5A9F"/>
    <w:rsid w:val="009D5DB1"/>
    <w:rsid w:val="009D612F"/>
    <w:rsid w:val="009D6D81"/>
    <w:rsid w:val="009D6DD0"/>
    <w:rsid w:val="009D7F65"/>
    <w:rsid w:val="009D7FDD"/>
    <w:rsid w:val="009E070A"/>
    <w:rsid w:val="009E08C0"/>
    <w:rsid w:val="009E192B"/>
    <w:rsid w:val="009E1CAC"/>
    <w:rsid w:val="009E2A11"/>
    <w:rsid w:val="009E33AC"/>
    <w:rsid w:val="009E3432"/>
    <w:rsid w:val="009E361E"/>
    <w:rsid w:val="009E3791"/>
    <w:rsid w:val="009E3AC4"/>
    <w:rsid w:val="009E4029"/>
    <w:rsid w:val="009E403C"/>
    <w:rsid w:val="009E4790"/>
    <w:rsid w:val="009E4976"/>
    <w:rsid w:val="009E4A16"/>
    <w:rsid w:val="009E50D5"/>
    <w:rsid w:val="009E587E"/>
    <w:rsid w:val="009E5AA2"/>
    <w:rsid w:val="009E6082"/>
    <w:rsid w:val="009E6307"/>
    <w:rsid w:val="009E6CEA"/>
    <w:rsid w:val="009E7251"/>
    <w:rsid w:val="009E7E1A"/>
    <w:rsid w:val="009E7F2F"/>
    <w:rsid w:val="009F0A66"/>
    <w:rsid w:val="009F1849"/>
    <w:rsid w:val="009F1E5B"/>
    <w:rsid w:val="009F22C1"/>
    <w:rsid w:val="009F2F6A"/>
    <w:rsid w:val="009F3224"/>
    <w:rsid w:val="009F3832"/>
    <w:rsid w:val="009F38E1"/>
    <w:rsid w:val="009F3B74"/>
    <w:rsid w:val="009F3D8A"/>
    <w:rsid w:val="009F400E"/>
    <w:rsid w:val="009F4EAA"/>
    <w:rsid w:val="009F5208"/>
    <w:rsid w:val="009F58B2"/>
    <w:rsid w:val="009F5DAB"/>
    <w:rsid w:val="009F5F41"/>
    <w:rsid w:val="009F69D8"/>
    <w:rsid w:val="009F6CF0"/>
    <w:rsid w:val="009F73A6"/>
    <w:rsid w:val="009F7A0E"/>
    <w:rsid w:val="00A00439"/>
    <w:rsid w:val="00A00523"/>
    <w:rsid w:val="00A006AF"/>
    <w:rsid w:val="00A00DE5"/>
    <w:rsid w:val="00A018A3"/>
    <w:rsid w:val="00A02041"/>
    <w:rsid w:val="00A021F3"/>
    <w:rsid w:val="00A023C7"/>
    <w:rsid w:val="00A025A6"/>
    <w:rsid w:val="00A03BA4"/>
    <w:rsid w:val="00A0423B"/>
    <w:rsid w:val="00A04C3D"/>
    <w:rsid w:val="00A05528"/>
    <w:rsid w:val="00A05B4A"/>
    <w:rsid w:val="00A064A6"/>
    <w:rsid w:val="00A066ED"/>
    <w:rsid w:val="00A06A70"/>
    <w:rsid w:val="00A06D44"/>
    <w:rsid w:val="00A06FDB"/>
    <w:rsid w:val="00A071E8"/>
    <w:rsid w:val="00A073C0"/>
    <w:rsid w:val="00A07CA3"/>
    <w:rsid w:val="00A07F2A"/>
    <w:rsid w:val="00A110C9"/>
    <w:rsid w:val="00A115AB"/>
    <w:rsid w:val="00A11D17"/>
    <w:rsid w:val="00A12410"/>
    <w:rsid w:val="00A12B23"/>
    <w:rsid w:val="00A12DC6"/>
    <w:rsid w:val="00A134F6"/>
    <w:rsid w:val="00A13BAA"/>
    <w:rsid w:val="00A13E9A"/>
    <w:rsid w:val="00A15366"/>
    <w:rsid w:val="00A15425"/>
    <w:rsid w:val="00A1631E"/>
    <w:rsid w:val="00A16DCA"/>
    <w:rsid w:val="00A16EE2"/>
    <w:rsid w:val="00A17481"/>
    <w:rsid w:val="00A20347"/>
    <w:rsid w:val="00A203C5"/>
    <w:rsid w:val="00A20483"/>
    <w:rsid w:val="00A208A7"/>
    <w:rsid w:val="00A2101B"/>
    <w:rsid w:val="00A214CA"/>
    <w:rsid w:val="00A21F1C"/>
    <w:rsid w:val="00A2202E"/>
    <w:rsid w:val="00A22080"/>
    <w:rsid w:val="00A22090"/>
    <w:rsid w:val="00A2328B"/>
    <w:rsid w:val="00A23616"/>
    <w:rsid w:val="00A23827"/>
    <w:rsid w:val="00A23ABB"/>
    <w:rsid w:val="00A23DB4"/>
    <w:rsid w:val="00A24306"/>
    <w:rsid w:val="00A24701"/>
    <w:rsid w:val="00A247FE"/>
    <w:rsid w:val="00A25096"/>
    <w:rsid w:val="00A250DE"/>
    <w:rsid w:val="00A25804"/>
    <w:rsid w:val="00A25BF7"/>
    <w:rsid w:val="00A26454"/>
    <w:rsid w:val="00A26485"/>
    <w:rsid w:val="00A26C73"/>
    <w:rsid w:val="00A270C6"/>
    <w:rsid w:val="00A27166"/>
    <w:rsid w:val="00A27940"/>
    <w:rsid w:val="00A27C14"/>
    <w:rsid w:val="00A311AA"/>
    <w:rsid w:val="00A311C8"/>
    <w:rsid w:val="00A3151F"/>
    <w:rsid w:val="00A31944"/>
    <w:rsid w:val="00A31C73"/>
    <w:rsid w:val="00A322E3"/>
    <w:rsid w:val="00A323E8"/>
    <w:rsid w:val="00A327D5"/>
    <w:rsid w:val="00A32C7D"/>
    <w:rsid w:val="00A32E08"/>
    <w:rsid w:val="00A3352C"/>
    <w:rsid w:val="00A3451D"/>
    <w:rsid w:val="00A34C37"/>
    <w:rsid w:val="00A356A5"/>
    <w:rsid w:val="00A35B59"/>
    <w:rsid w:val="00A35C43"/>
    <w:rsid w:val="00A35F08"/>
    <w:rsid w:val="00A36CAF"/>
    <w:rsid w:val="00A371AB"/>
    <w:rsid w:val="00A377B1"/>
    <w:rsid w:val="00A37B2B"/>
    <w:rsid w:val="00A37C1D"/>
    <w:rsid w:val="00A37C83"/>
    <w:rsid w:val="00A37F05"/>
    <w:rsid w:val="00A40030"/>
    <w:rsid w:val="00A4062A"/>
    <w:rsid w:val="00A4077C"/>
    <w:rsid w:val="00A40D81"/>
    <w:rsid w:val="00A416A6"/>
    <w:rsid w:val="00A4172F"/>
    <w:rsid w:val="00A41A5B"/>
    <w:rsid w:val="00A41C91"/>
    <w:rsid w:val="00A41F67"/>
    <w:rsid w:val="00A41F70"/>
    <w:rsid w:val="00A4221D"/>
    <w:rsid w:val="00A42989"/>
    <w:rsid w:val="00A4358E"/>
    <w:rsid w:val="00A43944"/>
    <w:rsid w:val="00A43E9D"/>
    <w:rsid w:val="00A4453A"/>
    <w:rsid w:val="00A44FB6"/>
    <w:rsid w:val="00A4527E"/>
    <w:rsid w:val="00A4530B"/>
    <w:rsid w:val="00A46382"/>
    <w:rsid w:val="00A465A1"/>
    <w:rsid w:val="00A46A8B"/>
    <w:rsid w:val="00A47C83"/>
    <w:rsid w:val="00A5034B"/>
    <w:rsid w:val="00A50AD3"/>
    <w:rsid w:val="00A512BC"/>
    <w:rsid w:val="00A5367E"/>
    <w:rsid w:val="00A54773"/>
    <w:rsid w:val="00A54797"/>
    <w:rsid w:val="00A5575A"/>
    <w:rsid w:val="00A6001B"/>
    <w:rsid w:val="00A602C6"/>
    <w:rsid w:val="00A623E3"/>
    <w:rsid w:val="00A62BD9"/>
    <w:rsid w:val="00A6312C"/>
    <w:rsid w:val="00A636E3"/>
    <w:rsid w:val="00A6382D"/>
    <w:rsid w:val="00A63C4F"/>
    <w:rsid w:val="00A63E1E"/>
    <w:rsid w:val="00A64304"/>
    <w:rsid w:val="00A64885"/>
    <w:rsid w:val="00A6551D"/>
    <w:rsid w:val="00A66742"/>
    <w:rsid w:val="00A66A76"/>
    <w:rsid w:val="00A67105"/>
    <w:rsid w:val="00A67441"/>
    <w:rsid w:val="00A6796E"/>
    <w:rsid w:val="00A70A3A"/>
    <w:rsid w:val="00A70C84"/>
    <w:rsid w:val="00A71047"/>
    <w:rsid w:val="00A71BAC"/>
    <w:rsid w:val="00A71BE0"/>
    <w:rsid w:val="00A7204D"/>
    <w:rsid w:val="00A7224D"/>
    <w:rsid w:val="00A726F2"/>
    <w:rsid w:val="00A729D3"/>
    <w:rsid w:val="00A72A46"/>
    <w:rsid w:val="00A73229"/>
    <w:rsid w:val="00A7355D"/>
    <w:rsid w:val="00A735D5"/>
    <w:rsid w:val="00A7394A"/>
    <w:rsid w:val="00A7398D"/>
    <w:rsid w:val="00A73C27"/>
    <w:rsid w:val="00A73EB4"/>
    <w:rsid w:val="00A75E22"/>
    <w:rsid w:val="00A800D5"/>
    <w:rsid w:val="00A8019D"/>
    <w:rsid w:val="00A80BBD"/>
    <w:rsid w:val="00A813C9"/>
    <w:rsid w:val="00A81CD6"/>
    <w:rsid w:val="00A827D1"/>
    <w:rsid w:val="00A83015"/>
    <w:rsid w:val="00A830AF"/>
    <w:rsid w:val="00A835C9"/>
    <w:rsid w:val="00A840B0"/>
    <w:rsid w:val="00A84209"/>
    <w:rsid w:val="00A84C2D"/>
    <w:rsid w:val="00A8574C"/>
    <w:rsid w:val="00A859F0"/>
    <w:rsid w:val="00A85FA8"/>
    <w:rsid w:val="00A86445"/>
    <w:rsid w:val="00A86EAB"/>
    <w:rsid w:val="00A9083A"/>
    <w:rsid w:val="00A90CE8"/>
    <w:rsid w:val="00A91285"/>
    <w:rsid w:val="00A914B8"/>
    <w:rsid w:val="00A915BC"/>
    <w:rsid w:val="00A91C10"/>
    <w:rsid w:val="00A91DA4"/>
    <w:rsid w:val="00A91E73"/>
    <w:rsid w:val="00A924AE"/>
    <w:rsid w:val="00A92AFF"/>
    <w:rsid w:val="00A92E00"/>
    <w:rsid w:val="00A934AB"/>
    <w:rsid w:val="00A93C2C"/>
    <w:rsid w:val="00A948E0"/>
    <w:rsid w:val="00A94BEC"/>
    <w:rsid w:val="00A94F4B"/>
    <w:rsid w:val="00A95061"/>
    <w:rsid w:val="00A95743"/>
    <w:rsid w:val="00A95EC1"/>
    <w:rsid w:val="00A963CC"/>
    <w:rsid w:val="00A971EC"/>
    <w:rsid w:val="00A97ED6"/>
    <w:rsid w:val="00AA0947"/>
    <w:rsid w:val="00AA1A3B"/>
    <w:rsid w:val="00AA1B8F"/>
    <w:rsid w:val="00AA25A4"/>
    <w:rsid w:val="00AA28D9"/>
    <w:rsid w:val="00AA41B5"/>
    <w:rsid w:val="00AA41C4"/>
    <w:rsid w:val="00AA42E6"/>
    <w:rsid w:val="00AA441D"/>
    <w:rsid w:val="00AA4866"/>
    <w:rsid w:val="00AA56FA"/>
    <w:rsid w:val="00AA593A"/>
    <w:rsid w:val="00AA6EBC"/>
    <w:rsid w:val="00AA745A"/>
    <w:rsid w:val="00AA75AB"/>
    <w:rsid w:val="00AA7A99"/>
    <w:rsid w:val="00AA7D67"/>
    <w:rsid w:val="00AB002C"/>
    <w:rsid w:val="00AB02DF"/>
    <w:rsid w:val="00AB0680"/>
    <w:rsid w:val="00AB11CD"/>
    <w:rsid w:val="00AB1CBB"/>
    <w:rsid w:val="00AB286B"/>
    <w:rsid w:val="00AB360A"/>
    <w:rsid w:val="00AB3621"/>
    <w:rsid w:val="00AB39FF"/>
    <w:rsid w:val="00AB3D1B"/>
    <w:rsid w:val="00AB4BAC"/>
    <w:rsid w:val="00AB5455"/>
    <w:rsid w:val="00AB5752"/>
    <w:rsid w:val="00AB5762"/>
    <w:rsid w:val="00AB5788"/>
    <w:rsid w:val="00AB59DE"/>
    <w:rsid w:val="00AB5DCE"/>
    <w:rsid w:val="00AB63BD"/>
    <w:rsid w:val="00AB643F"/>
    <w:rsid w:val="00AB68BC"/>
    <w:rsid w:val="00AB6E3D"/>
    <w:rsid w:val="00AB72AF"/>
    <w:rsid w:val="00AB72C1"/>
    <w:rsid w:val="00AB76E5"/>
    <w:rsid w:val="00AC039B"/>
    <w:rsid w:val="00AC124C"/>
    <w:rsid w:val="00AC17DF"/>
    <w:rsid w:val="00AC1872"/>
    <w:rsid w:val="00AC1CB5"/>
    <w:rsid w:val="00AC2E18"/>
    <w:rsid w:val="00AC34FE"/>
    <w:rsid w:val="00AC3EA1"/>
    <w:rsid w:val="00AC4145"/>
    <w:rsid w:val="00AC4307"/>
    <w:rsid w:val="00AC472B"/>
    <w:rsid w:val="00AC47AA"/>
    <w:rsid w:val="00AC4A8C"/>
    <w:rsid w:val="00AC5583"/>
    <w:rsid w:val="00AC58DA"/>
    <w:rsid w:val="00AC5C2A"/>
    <w:rsid w:val="00AC6AF2"/>
    <w:rsid w:val="00AC70DD"/>
    <w:rsid w:val="00AC7C65"/>
    <w:rsid w:val="00AD0121"/>
    <w:rsid w:val="00AD014C"/>
    <w:rsid w:val="00AD0898"/>
    <w:rsid w:val="00AD139C"/>
    <w:rsid w:val="00AD1564"/>
    <w:rsid w:val="00AD1900"/>
    <w:rsid w:val="00AD1FB6"/>
    <w:rsid w:val="00AD2480"/>
    <w:rsid w:val="00AD2506"/>
    <w:rsid w:val="00AD2BC1"/>
    <w:rsid w:val="00AD3062"/>
    <w:rsid w:val="00AD31D3"/>
    <w:rsid w:val="00AD440D"/>
    <w:rsid w:val="00AD44F5"/>
    <w:rsid w:val="00AD5852"/>
    <w:rsid w:val="00AD67B6"/>
    <w:rsid w:val="00AD6943"/>
    <w:rsid w:val="00AD6D0B"/>
    <w:rsid w:val="00AD738F"/>
    <w:rsid w:val="00AD7437"/>
    <w:rsid w:val="00AD7D1F"/>
    <w:rsid w:val="00AE04C4"/>
    <w:rsid w:val="00AE0B38"/>
    <w:rsid w:val="00AE0FDC"/>
    <w:rsid w:val="00AE1242"/>
    <w:rsid w:val="00AE1725"/>
    <w:rsid w:val="00AE2713"/>
    <w:rsid w:val="00AE3ACC"/>
    <w:rsid w:val="00AE3B01"/>
    <w:rsid w:val="00AE4281"/>
    <w:rsid w:val="00AE495E"/>
    <w:rsid w:val="00AE4B45"/>
    <w:rsid w:val="00AE5279"/>
    <w:rsid w:val="00AE52C1"/>
    <w:rsid w:val="00AE66EE"/>
    <w:rsid w:val="00AE68D3"/>
    <w:rsid w:val="00AE6B5B"/>
    <w:rsid w:val="00AE6EAA"/>
    <w:rsid w:val="00AE753A"/>
    <w:rsid w:val="00AE7A30"/>
    <w:rsid w:val="00AE7BB6"/>
    <w:rsid w:val="00AF0034"/>
    <w:rsid w:val="00AF04E4"/>
    <w:rsid w:val="00AF1210"/>
    <w:rsid w:val="00AF26D4"/>
    <w:rsid w:val="00AF28BD"/>
    <w:rsid w:val="00AF2B20"/>
    <w:rsid w:val="00AF32F8"/>
    <w:rsid w:val="00AF3374"/>
    <w:rsid w:val="00AF40E8"/>
    <w:rsid w:val="00AF4B9F"/>
    <w:rsid w:val="00AF4C7A"/>
    <w:rsid w:val="00AF4E10"/>
    <w:rsid w:val="00AF523D"/>
    <w:rsid w:val="00AF55EB"/>
    <w:rsid w:val="00AF57CC"/>
    <w:rsid w:val="00AF597B"/>
    <w:rsid w:val="00AF6059"/>
    <w:rsid w:val="00AF60FA"/>
    <w:rsid w:val="00AF6426"/>
    <w:rsid w:val="00AF6804"/>
    <w:rsid w:val="00AF6B70"/>
    <w:rsid w:val="00AF77EF"/>
    <w:rsid w:val="00AF7830"/>
    <w:rsid w:val="00AF790E"/>
    <w:rsid w:val="00AF7D98"/>
    <w:rsid w:val="00B0019C"/>
    <w:rsid w:val="00B001EA"/>
    <w:rsid w:val="00B005C6"/>
    <w:rsid w:val="00B00B4A"/>
    <w:rsid w:val="00B00C26"/>
    <w:rsid w:val="00B00EAE"/>
    <w:rsid w:val="00B0129A"/>
    <w:rsid w:val="00B023CB"/>
    <w:rsid w:val="00B03552"/>
    <w:rsid w:val="00B03692"/>
    <w:rsid w:val="00B037C8"/>
    <w:rsid w:val="00B03DDE"/>
    <w:rsid w:val="00B04540"/>
    <w:rsid w:val="00B04758"/>
    <w:rsid w:val="00B05611"/>
    <w:rsid w:val="00B06104"/>
    <w:rsid w:val="00B06811"/>
    <w:rsid w:val="00B06C75"/>
    <w:rsid w:val="00B06E10"/>
    <w:rsid w:val="00B06F32"/>
    <w:rsid w:val="00B07325"/>
    <w:rsid w:val="00B07A19"/>
    <w:rsid w:val="00B10B74"/>
    <w:rsid w:val="00B10E37"/>
    <w:rsid w:val="00B11270"/>
    <w:rsid w:val="00B12A7A"/>
    <w:rsid w:val="00B12CDE"/>
    <w:rsid w:val="00B136D2"/>
    <w:rsid w:val="00B1399A"/>
    <w:rsid w:val="00B13AEE"/>
    <w:rsid w:val="00B140A6"/>
    <w:rsid w:val="00B14E6B"/>
    <w:rsid w:val="00B1501F"/>
    <w:rsid w:val="00B15208"/>
    <w:rsid w:val="00B153E3"/>
    <w:rsid w:val="00B15828"/>
    <w:rsid w:val="00B16587"/>
    <w:rsid w:val="00B16E7B"/>
    <w:rsid w:val="00B173EF"/>
    <w:rsid w:val="00B17671"/>
    <w:rsid w:val="00B17872"/>
    <w:rsid w:val="00B20101"/>
    <w:rsid w:val="00B206B7"/>
    <w:rsid w:val="00B2073C"/>
    <w:rsid w:val="00B20FD5"/>
    <w:rsid w:val="00B21266"/>
    <w:rsid w:val="00B21D5F"/>
    <w:rsid w:val="00B2288C"/>
    <w:rsid w:val="00B228B1"/>
    <w:rsid w:val="00B22909"/>
    <w:rsid w:val="00B22CEE"/>
    <w:rsid w:val="00B23603"/>
    <w:rsid w:val="00B23BEB"/>
    <w:rsid w:val="00B23E8F"/>
    <w:rsid w:val="00B24BC2"/>
    <w:rsid w:val="00B24C7C"/>
    <w:rsid w:val="00B2573F"/>
    <w:rsid w:val="00B25896"/>
    <w:rsid w:val="00B26566"/>
    <w:rsid w:val="00B26CE8"/>
    <w:rsid w:val="00B26CEA"/>
    <w:rsid w:val="00B26DAD"/>
    <w:rsid w:val="00B27C5D"/>
    <w:rsid w:val="00B30A31"/>
    <w:rsid w:val="00B30B7C"/>
    <w:rsid w:val="00B30B9F"/>
    <w:rsid w:val="00B30DE6"/>
    <w:rsid w:val="00B3129F"/>
    <w:rsid w:val="00B31EDC"/>
    <w:rsid w:val="00B31FD3"/>
    <w:rsid w:val="00B33F3D"/>
    <w:rsid w:val="00B345F9"/>
    <w:rsid w:val="00B347B6"/>
    <w:rsid w:val="00B34A1B"/>
    <w:rsid w:val="00B36403"/>
    <w:rsid w:val="00B36B79"/>
    <w:rsid w:val="00B36D6F"/>
    <w:rsid w:val="00B36DD3"/>
    <w:rsid w:val="00B36FA6"/>
    <w:rsid w:val="00B379BB"/>
    <w:rsid w:val="00B40419"/>
    <w:rsid w:val="00B40576"/>
    <w:rsid w:val="00B40E41"/>
    <w:rsid w:val="00B40EE2"/>
    <w:rsid w:val="00B410A0"/>
    <w:rsid w:val="00B4163E"/>
    <w:rsid w:val="00B41855"/>
    <w:rsid w:val="00B4253B"/>
    <w:rsid w:val="00B4254E"/>
    <w:rsid w:val="00B4283A"/>
    <w:rsid w:val="00B430B8"/>
    <w:rsid w:val="00B434B1"/>
    <w:rsid w:val="00B43761"/>
    <w:rsid w:val="00B44361"/>
    <w:rsid w:val="00B44B0D"/>
    <w:rsid w:val="00B44E36"/>
    <w:rsid w:val="00B4529B"/>
    <w:rsid w:val="00B45C27"/>
    <w:rsid w:val="00B45DA1"/>
    <w:rsid w:val="00B45FED"/>
    <w:rsid w:val="00B46792"/>
    <w:rsid w:val="00B46A11"/>
    <w:rsid w:val="00B46D1A"/>
    <w:rsid w:val="00B476FF"/>
    <w:rsid w:val="00B47DB8"/>
    <w:rsid w:val="00B47FB7"/>
    <w:rsid w:val="00B47FEB"/>
    <w:rsid w:val="00B50061"/>
    <w:rsid w:val="00B50CF6"/>
    <w:rsid w:val="00B50E71"/>
    <w:rsid w:val="00B5108D"/>
    <w:rsid w:val="00B5119E"/>
    <w:rsid w:val="00B51680"/>
    <w:rsid w:val="00B5188C"/>
    <w:rsid w:val="00B51CAF"/>
    <w:rsid w:val="00B533D2"/>
    <w:rsid w:val="00B53D40"/>
    <w:rsid w:val="00B545FA"/>
    <w:rsid w:val="00B54633"/>
    <w:rsid w:val="00B54766"/>
    <w:rsid w:val="00B547D3"/>
    <w:rsid w:val="00B557F9"/>
    <w:rsid w:val="00B563DB"/>
    <w:rsid w:val="00B5682B"/>
    <w:rsid w:val="00B568B9"/>
    <w:rsid w:val="00B56A29"/>
    <w:rsid w:val="00B56A2E"/>
    <w:rsid w:val="00B570A8"/>
    <w:rsid w:val="00B57D64"/>
    <w:rsid w:val="00B600BA"/>
    <w:rsid w:val="00B60193"/>
    <w:rsid w:val="00B60F7D"/>
    <w:rsid w:val="00B61495"/>
    <w:rsid w:val="00B62CF7"/>
    <w:rsid w:val="00B6380F"/>
    <w:rsid w:val="00B64A24"/>
    <w:rsid w:val="00B65F6B"/>
    <w:rsid w:val="00B667F8"/>
    <w:rsid w:val="00B66871"/>
    <w:rsid w:val="00B66950"/>
    <w:rsid w:val="00B66DEC"/>
    <w:rsid w:val="00B66E7D"/>
    <w:rsid w:val="00B6701C"/>
    <w:rsid w:val="00B67E36"/>
    <w:rsid w:val="00B707CA"/>
    <w:rsid w:val="00B71009"/>
    <w:rsid w:val="00B713D9"/>
    <w:rsid w:val="00B71929"/>
    <w:rsid w:val="00B71BCD"/>
    <w:rsid w:val="00B71C97"/>
    <w:rsid w:val="00B7285B"/>
    <w:rsid w:val="00B7451F"/>
    <w:rsid w:val="00B7479F"/>
    <w:rsid w:val="00B74B33"/>
    <w:rsid w:val="00B74F07"/>
    <w:rsid w:val="00B75A71"/>
    <w:rsid w:val="00B75F32"/>
    <w:rsid w:val="00B762D4"/>
    <w:rsid w:val="00B769AA"/>
    <w:rsid w:val="00B76BAB"/>
    <w:rsid w:val="00B76DBB"/>
    <w:rsid w:val="00B7706E"/>
    <w:rsid w:val="00B779B2"/>
    <w:rsid w:val="00B77A6E"/>
    <w:rsid w:val="00B77AEB"/>
    <w:rsid w:val="00B80386"/>
    <w:rsid w:val="00B809D6"/>
    <w:rsid w:val="00B80D7B"/>
    <w:rsid w:val="00B80D91"/>
    <w:rsid w:val="00B80DC5"/>
    <w:rsid w:val="00B80F57"/>
    <w:rsid w:val="00B8113A"/>
    <w:rsid w:val="00B811BE"/>
    <w:rsid w:val="00B815BE"/>
    <w:rsid w:val="00B81862"/>
    <w:rsid w:val="00B81A3C"/>
    <w:rsid w:val="00B823AE"/>
    <w:rsid w:val="00B82AB0"/>
    <w:rsid w:val="00B83209"/>
    <w:rsid w:val="00B836C7"/>
    <w:rsid w:val="00B83B53"/>
    <w:rsid w:val="00B83C00"/>
    <w:rsid w:val="00B848F5"/>
    <w:rsid w:val="00B84FA3"/>
    <w:rsid w:val="00B866F1"/>
    <w:rsid w:val="00B868AA"/>
    <w:rsid w:val="00B86945"/>
    <w:rsid w:val="00B8703C"/>
    <w:rsid w:val="00B8706F"/>
    <w:rsid w:val="00B87940"/>
    <w:rsid w:val="00B90BC6"/>
    <w:rsid w:val="00B913D3"/>
    <w:rsid w:val="00B9146D"/>
    <w:rsid w:val="00B929FB"/>
    <w:rsid w:val="00B93AAC"/>
    <w:rsid w:val="00B93D2D"/>
    <w:rsid w:val="00B94147"/>
    <w:rsid w:val="00B94170"/>
    <w:rsid w:val="00B945EE"/>
    <w:rsid w:val="00B94950"/>
    <w:rsid w:val="00B94DA1"/>
    <w:rsid w:val="00B96150"/>
    <w:rsid w:val="00B964E1"/>
    <w:rsid w:val="00B96D38"/>
    <w:rsid w:val="00B96D7C"/>
    <w:rsid w:val="00B975F2"/>
    <w:rsid w:val="00B978DF"/>
    <w:rsid w:val="00BA16FD"/>
    <w:rsid w:val="00BA1705"/>
    <w:rsid w:val="00BA247B"/>
    <w:rsid w:val="00BA3B3F"/>
    <w:rsid w:val="00BA46BC"/>
    <w:rsid w:val="00BA4846"/>
    <w:rsid w:val="00BA4D96"/>
    <w:rsid w:val="00BA5227"/>
    <w:rsid w:val="00BA570C"/>
    <w:rsid w:val="00BA589D"/>
    <w:rsid w:val="00BA5D61"/>
    <w:rsid w:val="00BA604F"/>
    <w:rsid w:val="00BA7364"/>
    <w:rsid w:val="00BA7682"/>
    <w:rsid w:val="00BB09FB"/>
    <w:rsid w:val="00BB0F72"/>
    <w:rsid w:val="00BB1281"/>
    <w:rsid w:val="00BB154B"/>
    <w:rsid w:val="00BB1E17"/>
    <w:rsid w:val="00BB1E70"/>
    <w:rsid w:val="00BB2188"/>
    <w:rsid w:val="00BB269D"/>
    <w:rsid w:val="00BB2845"/>
    <w:rsid w:val="00BB2E9D"/>
    <w:rsid w:val="00BB38EC"/>
    <w:rsid w:val="00BB404A"/>
    <w:rsid w:val="00BB4654"/>
    <w:rsid w:val="00BB4A44"/>
    <w:rsid w:val="00BB4CCE"/>
    <w:rsid w:val="00BB51C0"/>
    <w:rsid w:val="00BB5398"/>
    <w:rsid w:val="00BB54CD"/>
    <w:rsid w:val="00BB5526"/>
    <w:rsid w:val="00BB659F"/>
    <w:rsid w:val="00BB6DEA"/>
    <w:rsid w:val="00BB6F18"/>
    <w:rsid w:val="00BB7297"/>
    <w:rsid w:val="00BB766B"/>
    <w:rsid w:val="00BC24D7"/>
    <w:rsid w:val="00BC320C"/>
    <w:rsid w:val="00BC3667"/>
    <w:rsid w:val="00BC388C"/>
    <w:rsid w:val="00BC4D02"/>
    <w:rsid w:val="00BC4FD0"/>
    <w:rsid w:val="00BC5791"/>
    <w:rsid w:val="00BC5F05"/>
    <w:rsid w:val="00BC60CC"/>
    <w:rsid w:val="00BC62B4"/>
    <w:rsid w:val="00BC65EF"/>
    <w:rsid w:val="00BC692A"/>
    <w:rsid w:val="00BC6CE2"/>
    <w:rsid w:val="00BC6E79"/>
    <w:rsid w:val="00BC7A1D"/>
    <w:rsid w:val="00BD0108"/>
    <w:rsid w:val="00BD0A12"/>
    <w:rsid w:val="00BD0FED"/>
    <w:rsid w:val="00BD1AE7"/>
    <w:rsid w:val="00BD3089"/>
    <w:rsid w:val="00BD31CA"/>
    <w:rsid w:val="00BD5052"/>
    <w:rsid w:val="00BD511E"/>
    <w:rsid w:val="00BD5500"/>
    <w:rsid w:val="00BD5C25"/>
    <w:rsid w:val="00BD6302"/>
    <w:rsid w:val="00BD6426"/>
    <w:rsid w:val="00BD64B9"/>
    <w:rsid w:val="00BD66CD"/>
    <w:rsid w:val="00BD6D3C"/>
    <w:rsid w:val="00BD6DF3"/>
    <w:rsid w:val="00BD7318"/>
    <w:rsid w:val="00BD7BB7"/>
    <w:rsid w:val="00BD7F31"/>
    <w:rsid w:val="00BE02AE"/>
    <w:rsid w:val="00BE0CB8"/>
    <w:rsid w:val="00BE139C"/>
    <w:rsid w:val="00BE1997"/>
    <w:rsid w:val="00BE2A05"/>
    <w:rsid w:val="00BE2EF6"/>
    <w:rsid w:val="00BE2F5F"/>
    <w:rsid w:val="00BE2FA3"/>
    <w:rsid w:val="00BE3DA8"/>
    <w:rsid w:val="00BE4F40"/>
    <w:rsid w:val="00BE55D4"/>
    <w:rsid w:val="00BE5622"/>
    <w:rsid w:val="00BE5EF1"/>
    <w:rsid w:val="00BE6A8E"/>
    <w:rsid w:val="00BE6F6C"/>
    <w:rsid w:val="00BE7047"/>
    <w:rsid w:val="00BF0516"/>
    <w:rsid w:val="00BF0833"/>
    <w:rsid w:val="00BF0A25"/>
    <w:rsid w:val="00BF0BA9"/>
    <w:rsid w:val="00BF0C42"/>
    <w:rsid w:val="00BF0D0F"/>
    <w:rsid w:val="00BF12CE"/>
    <w:rsid w:val="00BF1840"/>
    <w:rsid w:val="00BF1B42"/>
    <w:rsid w:val="00BF2EC9"/>
    <w:rsid w:val="00BF337E"/>
    <w:rsid w:val="00BF3422"/>
    <w:rsid w:val="00BF3747"/>
    <w:rsid w:val="00BF37D3"/>
    <w:rsid w:val="00BF48C2"/>
    <w:rsid w:val="00BF497C"/>
    <w:rsid w:val="00BF4B62"/>
    <w:rsid w:val="00BF4D40"/>
    <w:rsid w:val="00BF56C3"/>
    <w:rsid w:val="00BF62EA"/>
    <w:rsid w:val="00BF6684"/>
    <w:rsid w:val="00BF6B4E"/>
    <w:rsid w:val="00BF6C91"/>
    <w:rsid w:val="00BF6DAB"/>
    <w:rsid w:val="00BF7919"/>
    <w:rsid w:val="00BF7B06"/>
    <w:rsid w:val="00C00608"/>
    <w:rsid w:val="00C00D15"/>
    <w:rsid w:val="00C010E8"/>
    <w:rsid w:val="00C0148A"/>
    <w:rsid w:val="00C01686"/>
    <w:rsid w:val="00C01A68"/>
    <w:rsid w:val="00C01B08"/>
    <w:rsid w:val="00C02081"/>
    <w:rsid w:val="00C020FE"/>
    <w:rsid w:val="00C02ACF"/>
    <w:rsid w:val="00C03516"/>
    <w:rsid w:val="00C043DA"/>
    <w:rsid w:val="00C04E4F"/>
    <w:rsid w:val="00C04F01"/>
    <w:rsid w:val="00C05911"/>
    <w:rsid w:val="00C05A32"/>
    <w:rsid w:val="00C06490"/>
    <w:rsid w:val="00C06857"/>
    <w:rsid w:val="00C06884"/>
    <w:rsid w:val="00C06B5A"/>
    <w:rsid w:val="00C07886"/>
    <w:rsid w:val="00C0795B"/>
    <w:rsid w:val="00C079B4"/>
    <w:rsid w:val="00C10F49"/>
    <w:rsid w:val="00C1103A"/>
    <w:rsid w:val="00C11720"/>
    <w:rsid w:val="00C119FB"/>
    <w:rsid w:val="00C12BA3"/>
    <w:rsid w:val="00C13DDC"/>
    <w:rsid w:val="00C14042"/>
    <w:rsid w:val="00C14582"/>
    <w:rsid w:val="00C14766"/>
    <w:rsid w:val="00C14871"/>
    <w:rsid w:val="00C16AD3"/>
    <w:rsid w:val="00C16DB3"/>
    <w:rsid w:val="00C16F1B"/>
    <w:rsid w:val="00C17070"/>
    <w:rsid w:val="00C17795"/>
    <w:rsid w:val="00C177B8"/>
    <w:rsid w:val="00C17EF7"/>
    <w:rsid w:val="00C206DA"/>
    <w:rsid w:val="00C20C47"/>
    <w:rsid w:val="00C21651"/>
    <w:rsid w:val="00C21B29"/>
    <w:rsid w:val="00C21C0C"/>
    <w:rsid w:val="00C2218D"/>
    <w:rsid w:val="00C222B1"/>
    <w:rsid w:val="00C22529"/>
    <w:rsid w:val="00C225D8"/>
    <w:rsid w:val="00C227AA"/>
    <w:rsid w:val="00C22CBC"/>
    <w:rsid w:val="00C22DDA"/>
    <w:rsid w:val="00C22E2B"/>
    <w:rsid w:val="00C22FC7"/>
    <w:rsid w:val="00C23696"/>
    <w:rsid w:val="00C242D1"/>
    <w:rsid w:val="00C24A3E"/>
    <w:rsid w:val="00C24F7E"/>
    <w:rsid w:val="00C25446"/>
    <w:rsid w:val="00C25919"/>
    <w:rsid w:val="00C26C67"/>
    <w:rsid w:val="00C26F5E"/>
    <w:rsid w:val="00C274C4"/>
    <w:rsid w:val="00C27514"/>
    <w:rsid w:val="00C27624"/>
    <w:rsid w:val="00C301DA"/>
    <w:rsid w:val="00C304B9"/>
    <w:rsid w:val="00C30A18"/>
    <w:rsid w:val="00C30AC8"/>
    <w:rsid w:val="00C30B87"/>
    <w:rsid w:val="00C30BA2"/>
    <w:rsid w:val="00C3115C"/>
    <w:rsid w:val="00C313BB"/>
    <w:rsid w:val="00C31911"/>
    <w:rsid w:val="00C31CD1"/>
    <w:rsid w:val="00C32081"/>
    <w:rsid w:val="00C32E49"/>
    <w:rsid w:val="00C33241"/>
    <w:rsid w:val="00C33709"/>
    <w:rsid w:val="00C33735"/>
    <w:rsid w:val="00C337FD"/>
    <w:rsid w:val="00C33D52"/>
    <w:rsid w:val="00C359A0"/>
    <w:rsid w:val="00C35F1F"/>
    <w:rsid w:val="00C378D0"/>
    <w:rsid w:val="00C37AD8"/>
    <w:rsid w:val="00C403E1"/>
    <w:rsid w:val="00C407CA"/>
    <w:rsid w:val="00C40803"/>
    <w:rsid w:val="00C40F81"/>
    <w:rsid w:val="00C41008"/>
    <w:rsid w:val="00C41091"/>
    <w:rsid w:val="00C41561"/>
    <w:rsid w:val="00C41ECE"/>
    <w:rsid w:val="00C41F9F"/>
    <w:rsid w:val="00C422E3"/>
    <w:rsid w:val="00C4358E"/>
    <w:rsid w:val="00C4436C"/>
    <w:rsid w:val="00C44568"/>
    <w:rsid w:val="00C44889"/>
    <w:rsid w:val="00C44957"/>
    <w:rsid w:val="00C44A13"/>
    <w:rsid w:val="00C44EFA"/>
    <w:rsid w:val="00C452C4"/>
    <w:rsid w:val="00C45335"/>
    <w:rsid w:val="00C46AA3"/>
    <w:rsid w:val="00C46AD8"/>
    <w:rsid w:val="00C4763A"/>
    <w:rsid w:val="00C47E2E"/>
    <w:rsid w:val="00C50151"/>
    <w:rsid w:val="00C5021D"/>
    <w:rsid w:val="00C50535"/>
    <w:rsid w:val="00C50C3A"/>
    <w:rsid w:val="00C51030"/>
    <w:rsid w:val="00C51252"/>
    <w:rsid w:val="00C516F0"/>
    <w:rsid w:val="00C51A0A"/>
    <w:rsid w:val="00C52A9E"/>
    <w:rsid w:val="00C537DE"/>
    <w:rsid w:val="00C53E7B"/>
    <w:rsid w:val="00C541DF"/>
    <w:rsid w:val="00C54793"/>
    <w:rsid w:val="00C55344"/>
    <w:rsid w:val="00C5584C"/>
    <w:rsid w:val="00C563CD"/>
    <w:rsid w:val="00C56473"/>
    <w:rsid w:val="00C568E1"/>
    <w:rsid w:val="00C57203"/>
    <w:rsid w:val="00C57D5D"/>
    <w:rsid w:val="00C6053F"/>
    <w:rsid w:val="00C608F6"/>
    <w:rsid w:val="00C60A3C"/>
    <w:rsid w:val="00C60CDB"/>
    <w:rsid w:val="00C611F3"/>
    <w:rsid w:val="00C61549"/>
    <w:rsid w:val="00C61A2F"/>
    <w:rsid w:val="00C6308C"/>
    <w:rsid w:val="00C63215"/>
    <w:rsid w:val="00C63276"/>
    <w:rsid w:val="00C64B5A"/>
    <w:rsid w:val="00C64BC7"/>
    <w:rsid w:val="00C65818"/>
    <w:rsid w:val="00C65A5E"/>
    <w:rsid w:val="00C65A7F"/>
    <w:rsid w:val="00C65D1E"/>
    <w:rsid w:val="00C66B34"/>
    <w:rsid w:val="00C679D5"/>
    <w:rsid w:val="00C67B9E"/>
    <w:rsid w:val="00C70208"/>
    <w:rsid w:val="00C70646"/>
    <w:rsid w:val="00C708E1"/>
    <w:rsid w:val="00C71344"/>
    <w:rsid w:val="00C7145A"/>
    <w:rsid w:val="00C71CF5"/>
    <w:rsid w:val="00C724FE"/>
    <w:rsid w:val="00C73085"/>
    <w:rsid w:val="00C73812"/>
    <w:rsid w:val="00C73BBD"/>
    <w:rsid w:val="00C73D08"/>
    <w:rsid w:val="00C74E78"/>
    <w:rsid w:val="00C74EF7"/>
    <w:rsid w:val="00C7525D"/>
    <w:rsid w:val="00C759C8"/>
    <w:rsid w:val="00C75EB9"/>
    <w:rsid w:val="00C76079"/>
    <w:rsid w:val="00C760DC"/>
    <w:rsid w:val="00C763C3"/>
    <w:rsid w:val="00C7674F"/>
    <w:rsid w:val="00C771CE"/>
    <w:rsid w:val="00C77A02"/>
    <w:rsid w:val="00C809CD"/>
    <w:rsid w:val="00C80D7A"/>
    <w:rsid w:val="00C8194D"/>
    <w:rsid w:val="00C81F0F"/>
    <w:rsid w:val="00C8240C"/>
    <w:rsid w:val="00C82E35"/>
    <w:rsid w:val="00C8395D"/>
    <w:rsid w:val="00C83ED5"/>
    <w:rsid w:val="00C84443"/>
    <w:rsid w:val="00C847BD"/>
    <w:rsid w:val="00C84BB1"/>
    <w:rsid w:val="00C85F7F"/>
    <w:rsid w:val="00C85FA9"/>
    <w:rsid w:val="00C86511"/>
    <w:rsid w:val="00C86739"/>
    <w:rsid w:val="00C86A3F"/>
    <w:rsid w:val="00C86E91"/>
    <w:rsid w:val="00C874EA"/>
    <w:rsid w:val="00C87883"/>
    <w:rsid w:val="00C87BA7"/>
    <w:rsid w:val="00C9086E"/>
    <w:rsid w:val="00C90B4E"/>
    <w:rsid w:val="00C90B54"/>
    <w:rsid w:val="00C90F24"/>
    <w:rsid w:val="00C90F8C"/>
    <w:rsid w:val="00C910EB"/>
    <w:rsid w:val="00C9125C"/>
    <w:rsid w:val="00C915FF"/>
    <w:rsid w:val="00C9174B"/>
    <w:rsid w:val="00C9183A"/>
    <w:rsid w:val="00C921D0"/>
    <w:rsid w:val="00C925A9"/>
    <w:rsid w:val="00C92725"/>
    <w:rsid w:val="00C927BA"/>
    <w:rsid w:val="00C92E1C"/>
    <w:rsid w:val="00C93311"/>
    <w:rsid w:val="00C9339D"/>
    <w:rsid w:val="00C9412C"/>
    <w:rsid w:val="00C9446B"/>
    <w:rsid w:val="00C94ACF"/>
    <w:rsid w:val="00C94B5C"/>
    <w:rsid w:val="00C9514A"/>
    <w:rsid w:val="00C95645"/>
    <w:rsid w:val="00C957DD"/>
    <w:rsid w:val="00C97500"/>
    <w:rsid w:val="00C97A1F"/>
    <w:rsid w:val="00C97B16"/>
    <w:rsid w:val="00CA00C8"/>
    <w:rsid w:val="00CA02B8"/>
    <w:rsid w:val="00CA1115"/>
    <w:rsid w:val="00CA143C"/>
    <w:rsid w:val="00CA18A9"/>
    <w:rsid w:val="00CA1A94"/>
    <w:rsid w:val="00CA25EA"/>
    <w:rsid w:val="00CA285D"/>
    <w:rsid w:val="00CA3156"/>
    <w:rsid w:val="00CA32DD"/>
    <w:rsid w:val="00CA35A2"/>
    <w:rsid w:val="00CA3753"/>
    <w:rsid w:val="00CA37E2"/>
    <w:rsid w:val="00CA39AC"/>
    <w:rsid w:val="00CA4480"/>
    <w:rsid w:val="00CA4777"/>
    <w:rsid w:val="00CA495C"/>
    <w:rsid w:val="00CA4A3D"/>
    <w:rsid w:val="00CA4AFE"/>
    <w:rsid w:val="00CA4C0E"/>
    <w:rsid w:val="00CA5FAF"/>
    <w:rsid w:val="00CA6C5F"/>
    <w:rsid w:val="00CA6DB2"/>
    <w:rsid w:val="00CA6FAA"/>
    <w:rsid w:val="00CA7775"/>
    <w:rsid w:val="00CA7919"/>
    <w:rsid w:val="00CA7D6A"/>
    <w:rsid w:val="00CB0126"/>
    <w:rsid w:val="00CB166F"/>
    <w:rsid w:val="00CB19D0"/>
    <w:rsid w:val="00CB1BB1"/>
    <w:rsid w:val="00CB20E3"/>
    <w:rsid w:val="00CB2B27"/>
    <w:rsid w:val="00CB3C24"/>
    <w:rsid w:val="00CB444B"/>
    <w:rsid w:val="00CB5E7C"/>
    <w:rsid w:val="00CB7650"/>
    <w:rsid w:val="00CB7EA7"/>
    <w:rsid w:val="00CC1A82"/>
    <w:rsid w:val="00CC23C0"/>
    <w:rsid w:val="00CC24A3"/>
    <w:rsid w:val="00CC2875"/>
    <w:rsid w:val="00CC31BF"/>
    <w:rsid w:val="00CC31F9"/>
    <w:rsid w:val="00CC4622"/>
    <w:rsid w:val="00CC4A3D"/>
    <w:rsid w:val="00CC4D06"/>
    <w:rsid w:val="00CC557A"/>
    <w:rsid w:val="00CC67DD"/>
    <w:rsid w:val="00CC6DDE"/>
    <w:rsid w:val="00CC719F"/>
    <w:rsid w:val="00CC71AF"/>
    <w:rsid w:val="00CC7348"/>
    <w:rsid w:val="00CC754E"/>
    <w:rsid w:val="00CD0220"/>
    <w:rsid w:val="00CD0352"/>
    <w:rsid w:val="00CD1076"/>
    <w:rsid w:val="00CD1332"/>
    <w:rsid w:val="00CD1414"/>
    <w:rsid w:val="00CD2052"/>
    <w:rsid w:val="00CD2352"/>
    <w:rsid w:val="00CD3E84"/>
    <w:rsid w:val="00CD6175"/>
    <w:rsid w:val="00CD6334"/>
    <w:rsid w:val="00CD6FEF"/>
    <w:rsid w:val="00CD73F9"/>
    <w:rsid w:val="00CD7770"/>
    <w:rsid w:val="00CE0340"/>
    <w:rsid w:val="00CE0FB8"/>
    <w:rsid w:val="00CE0FDE"/>
    <w:rsid w:val="00CE1065"/>
    <w:rsid w:val="00CE1D1C"/>
    <w:rsid w:val="00CE1EEC"/>
    <w:rsid w:val="00CE23F6"/>
    <w:rsid w:val="00CE285D"/>
    <w:rsid w:val="00CE2BB8"/>
    <w:rsid w:val="00CE2E22"/>
    <w:rsid w:val="00CE3BED"/>
    <w:rsid w:val="00CE3BFA"/>
    <w:rsid w:val="00CE4A21"/>
    <w:rsid w:val="00CE4C41"/>
    <w:rsid w:val="00CE577B"/>
    <w:rsid w:val="00CE595C"/>
    <w:rsid w:val="00CE61C5"/>
    <w:rsid w:val="00CE64DF"/>
    <w:rsid w:val="00CE666F"/>
    <w:rsid w:val="00CE6D0D"/>
    <w:rsid w:val="00CE6FF6"/>
    <w:rsid w:val="00CF020F"/>
    <w:rsid w:val="00CF0C03"/>
    <w:rsid w:val="00CF1039"/>
    <w:rsid w:val="00CF15F4"/>
    <w:rsid w:val="00CF2BA1"/>
    <w:rsid w:val="00CF2D4D"/>
    <w:rsid w:val="00CF2DAE"/>
    <w:rsid w:val="00CF2E15"/>
    <w:rsid w:val="00CF36DD"/>
    <w:rsid w:val="00CF378C"/>
    <w:rsid w:val="00CF45A2"/>
    <w:rsid w:val="00CF46CB"/>
    <w:rsid w:val="00CF5270"/>
    <w:rsid w:val="00CF54C3"/>
    <w:rsid w:val="00CF6116"/>
    <w:rsid w:val="00CF672C"/>
    <w:rsid w:val="00CF6E93"/>
    <w:rsid w:val="00CF7FB1"/>
    <w:rsid w:val="00D00127"/>
    <w:rsid w:val="00D0062A"/>
    <w:rsid w:val="00D00F93"/>
    <w:rsid w:val="00D02081"/>
    <w:rsid w:val="00D022F4"/>
    <w:rsid w:val="00D0249A"/>
    <w:rsid w:val="00D02518"/>
    <w:rsid w:val="00D025C3"/>
    <w:rsid w:val="00D03134"/>
    <w:rsid w:val="00D031BA"/>
    <w:rsid w:val="00D03F3B"/>
    <w:rsid w:val="00D0404E"/>
    <w:rsid w:val="00D04CCE"/>
    <w:rsid w:val="00D04D76"/>
    <w:rsid w:val="00D05356"/>
    <w:rsid w:val="00D05692"/>
    <w:rsid w:val="00D05865"/>
    <w:rsid w:val="00D06A28"/>
    <w:rsid w:val="00D070D0"/>
    <w:rsid w:val="00D071D1"/>
    <w:rsid w:val="00D10842"/>
    <w:rsid w:val="00D10DA1"/>
    <w:rsid w:val="00D1130E"/>
    <w:rsid w:val="00D1132D"/>
    <w:rsid w:val="00D11432"/>
    <w:rsid w:val="00D1151E"/>
    <w:rsid w:val="00D12340"/>
    <w:rsid w:val="00D1261F"/>
    <w:rsid w:val="00D12710"/>
    <w:rsid w:val="00D129E3"/>
    <w:rsid w:val="00D13747"/>
    <w:rsid w:val="00D138D3"/>
    <w:rsid w:val="00D13B9B"/>
    <w:rsid w:val="00D13C49"/>
    <w:rsid w:val="00D14D0A"/>
    <w:rsid w:val="00D14ECA"/>
    <w:rsid w:val="00D150F8"/>
    <w:rsid w:val="00D158FF"/>
    <w:rsid w:val="00D15B05"/>
    <w:rsid w:val="00D17046"/>
    <w:rsid w:val="00D17A03"/>
    <w:rsid w:val="00D206BE"/>
    <w:rsid w:val="00D209C8"/>
    <w:rsid w:val="00D216EF"/>
    <w:rsid w:val="00D21712"/>
    <w:rsid w:val="00D21DD5"/>
    <w:rsid w:val="00D22306"/>
    <w:rsid w:val="00D23713"/>
    <w:rsid w:val="00D23780"/>
    <w:rsid w:val="00D23A11"/>
    <w:rsid w:val="00D23E09"/>
    <w:rsid w:val="00D23FE2"/>
    <w:rsid w:val="00D257A1"/>
    <w:rsid w:val="00D25F1D"/>
    <w:rsid w:val="00D26F7D"/>
    <w:rsid w:val="00D2738A"/>
    <w:rsid w:val="00D27500"/>
    <w:rsid w:val="00D30FA1"/>
    <w:rsid w:val="00D3100C"/>
    <w:rsid w:val="00D31AFA"/>
    <w:rsid w:val="00D31B4C"/>
    <w:rsid w:val="00D33592"/>
    <w:rsid w:val="00D33ADF"/>
    <w:rsid w:val="00D33F60"/>
    <w:rsid w:val="00D3471E"/>
    <w:rsid w:val="00D356F0"/>
    <w:rsid w:val="00D37808"/>
    <w:rsid w:val="00D37AFE"/>
    <w:rsid w:val="00D37BB8"/>
    <w:rsid w:val="00D37D31"/>
    <w:rsid w:val="00D403C1"/>
    <w:rsid w:val="00D40554"/>
    <w:rsid w:val="00D40B88"/>
    <w:rsid w:val="00D40E05"/>
    <w:rsid w:val="00D412E3"/>
    <w:rsid w:val="00D41456"/>
    <w:rsid w:val="00D4214A"/>
    <w:rsid w:val="00D42358"/>
    <w:rsid w:val="00D42867"/>
    <w:rsid w:val="00D42B6D"/>
    <w:rsid w:val="00D42B7B"/>
    <w:rsid w:val="00D42E6A"/>
    <w:rsid w:val="00D44168"/>
    <w:rsid w:val="00D441EB"/>
    <w:rsid w:val="00D44596"/>
    <w:rsid w:val="00D449B6"/>
    <w:rsid w:val="00D451A8"/>
    <w:rsid w:val="00D455A0"/>
    <w:rsid w:val="00D45954"/>
    <w:rsid w:val="00D45A65"/>
    <w:rsid w:val="00D468DA"/>
    <w:rsid w:val="00D47627"/>
    <w:rsid w:val="00D47930"/>
    <w:rsid w:val="00D47F73"/>
    <w:rsid w:val="00D502BA"/>
    <w:rsid w:val="00D50304"/>
    <w:rsid w:val="00D50499"/>
    <w:rsid w:val="00D50CA5"/>
    <w:rsid w:val="00D510C4"/>
    <w:rsid w:val="00D5128E"/>
    <w:rsid w:val="00D513BA"/>
    <w:rsid w:val="00D516A0"/>
    <w:rsid w:val="00D517E3"/>
    <w:rsid w:val="00D519A1"/>
    <w:rsid w:val="00D51DE0"/>
    <w:rsid w:val="00D522F8"/>
    <w:rsid w:val="00D53296"/>
    <w:rsid w:val="00D53596"/>
    <w:rsid w:val="00D53F71"/>
    <w:rsid w:val="00D557CF"/>
    <w:rsid w:val="00D558AC"/>
    <w:rsid w:val="00D558FB"/>
    <w:rsid w:val="00D55B15"/>
    <w:rsid w:val="00D55E12"/>
    <w:rsid w:val="00D55F88"/>
    <w:rsid w:val="00D562CB"/>
    <w:rsid w:val="00D5664A"/>
    <w:rsid w:val="00D56B1D"/>
    <w:rsid w:val="00D56EC1"/>
    <w:rsid w:val="00D57330"/>
    <w:rsid w:val="00D57467"/>
    <w:rsid w:val="00D57483"/>
    <w:rsid w:val="00D57D6C"/>
    <w:rsid w:val="00D60E51"/>
    <w:rsid w:val="00D60FA7"/>
    <w:rsid w:val="00D62035"/>
    <w:rsid w:val="00D6241B"/>
    <w:rsid w:val="00D626C6"/>
    <w:rsid w:val="00D62A94"/>
    <w:rsid w:val="00D62B4A"/>
    <w:rsid w:val="00D62F75"/>
    <w:rsid w:val="00D64101"/>
    <w:rsid w:val="00D64106"/>
    <w:rsid w:val="00D64B6D"/>
    <w:rsid w:val="00D652B3"/>
    <w:rsid w:val="00D65871"/>
    <w:rsid w:val="00D658AE"/>
    <w:rsid w:val="00D65AC0"/>
    <w:rsid w:val="00D66221"/>
    <w:rsid w:val="00D6630C"/>
    <w:rsid w:val="00D66440"/>
    <w:rsid w:val="00D677FA"/>
    <w:rsid w:val="00D67E9D"/>
    <w:rsid w:val="00D706DF"/>
    <w:rsid w:val="00D7071D"/>
    <w:rsid w:val="00D71B67"/>
    <w:rsid w:val="00D71CDF"/>
    <w:rsid w:val="00D71E0F"/>
    <w:rsid w:val="00D7231D"/>
    <w:rsid w:val="00D72764"/>
    <w:rsid w:val="00D72DAA"/>
    <w:rsid w:val="00D733C5"/>
    <w:rsid w:val="00D73B0C"/>
    <w:rsid w:val="00D73EF1"/>
    <w:rsid w:val="00D73F42"/>
    <w:rsid w:val="00D74096"/>
    <w:rsid w:val="00D741B8"/>
    <w:rsid w:val="00D74D48"/>
    <w:rsid w:val="00D74E89"/>
    <w:rsid w:val="00D759D0"/>
    <w:rsid w:val="00D764AD"/>
    <w:rsid w:val="00D764D8"/>
    <w:rsid w:val="00D76636"/>
    <w:rsid w:val="00D76E10"/>
    <w:rsid w:val="00D76ECA"/>
    <w:rsid w:val="00D76FCB"/>
    <w:rsid w:val="00D77167"/>
    <w:rsid w:val="00D777D6"/>
    <w:rsid w:val="00D77EB2"/>
    <w:rsid w:val="00D80E10"/>
    <w:rsid w:val="00D81DA3"/>
    <w:rsid w:val="00D823C7"/>
    <w:rsid w:val="00D826B3"/>
    <w:rsid w:val="00D82721"/>
    <w:rsid w:val="00D829E7"/>
    <w:rsid w:val="00D82B2D"/>
    <w:rsid w:val="00D83827"/>
    <w:rsid w:val="00D83AB6"/>
    <w:rsid w:val="00D83D38"/>
    <w:rsid w:val="00D84460"/>
    <w:rsid w:val="00D85FF5"/>
    <w:rsid w:val="00D87205"/>
    <w:rsid w:val="00D8726F"/>
    <w:rsid w:val="00D8755F"/>
    <w:rsid w:val="00D87951"/>
    <w:rsid w:val="00D90001"/>
    <w:rsid w:val="00D90A10"/>
    <w:rsid w:val="00D90B3C"/>
    <w:rsid w:val="00D90D2E"/>
    <w:rsid w:val="00D91726"/>
    <w:rsid w:val="00D91B14"/>
    <w:rsid w:val="00D91B36"/>
    <w:rsid w:val="00D92A21"/>
    <w:rsid w:val="00D92A34"/>
    <w:rsid w:val="00D92C01"/>
    <w:rsid w:val="00D92CEA"/>
    <w:rsid w:val="00D93AAA"/>
    <w:rsid w:val="00D93F11"/>
    <w:rsid w:val="00D9411E"/>
    <w:rsid w:val="00D94624"/>
    <w:rsid w:val="00D948DE"/>
    <w:rsid w:val="00D94C8C"/>
    <w:rsid w:val="00D950BF"/>
    <w:rsid w:val="00D9543B"/>
    <w:rsid w:val="00D9571B"/>
    <w:rsid w:val="00D95942"/>
    <w:rsid w:val="00D95E95"/>
    <w:rsid w:val="00D9600E"/>
    <w:rsid w:val="00D9649C"/>
    <w:rsid w:val="00D9657B"/>
    <w:rsid w:val="00D96C19"/>
    <w:rsid w:val="00D96CA6"/>
    <w:rsid w:val="00D97D33"/>
    <w:rsid w:val="00DA0A09"/>
    <w:rsid w:val="00DA0D0D"/>
    <w:rsid w:val="00DA1DD1"/>
    <w:rsid w:val="00DA1E70"/>
    <w:rsid w:val="00DA2144"/>
    <w:rsid w:val="00DA249A"/>
    <w:rsid w:val="00DA3B9C"/>
    <w:rsid w:val="00DA41AD"/>
    <w:rsid w:val="00DA4A74"/>
    <w:rsid w:val="00DA5467"/>
    <w:rsid w:val="00DA5836"/>
    <w:rsid w:val="00DA6412"/>
    <w:rsid w:val="00DA69BB"/>
    <w:rsid w:val="00DA6CEB"/>
    <w:rsid w:val="00DA6EE8"/>
    <w:rsid w:val="00DA7481"/>
    <w:rsid w:val="00DA74ED"/>
    <w:rsid w:val="00DA7543"/>
    <w:rsid w:val="00DA767C"/>
    <w:rsid w:val="00DB03D4"/>
    <w:rsid w:val="00DB1587"/>
    <w:rsid w:val="00DB1BB4"/>
    <w:rsid w:val="00DB1C71"/>
    <w:rsid w:val="00DB2795"/>
    <w:rsid w:val="00DB32E7"/>
    <w:rsid w:val="00DB34E1"/>
    <w:rsid w:val="00DB4176"/>
    <w:rsid w:val="00DB48CC"/>
    <w:rsid w:val="00DB4AC9"/>
    <w:rsid w:val="00DB5313"/>
    <w:rsid w:val="00DB5B2F"/>
    <w:rsid w:val="00DB5D9B"/>
    <w:rsid w:val="00DB71E3"/>
    <w:rsid w:val="00DB7655"/>
    <w:rsid w:val="00DB7863"/>
    <w:rsid w:val="00DB7B12"/>
    <w:rsid w:val="00DC04CD"/>
    <w:rsid w:val="00DC056F"/>
    <w:rsid w:val="00DC0DDA"/>
    <w:rsid w:val="00DC1096"/>
    <w:rsid w:val="00DC226A"/>
    <w:rsid w:val="00DC2ED2"/>
    <w:rsid w:val="00DC337A"/>
    <w:rsid w:val="00DC3D00"/>
    <w:rsid w:val="00DC466D"/>
    <w:rsid w:val="00DC4EC4"/>
    <w:rsid w:val="00DC5107"/>
    <w:rsid w:val="00DC6228"/>
    <w:rsid w:val="00DC7C72"/>
    <w:rsid w:val="00DD04C0"/>
    <w:rsid w:val="00DD0660"/>
    <w:rsid w:val="00DD0716"/>
    <w:rsid w:val="00DD09B4"/>
    <w:rsid w:val="00DD2AF5"/>
    <w:rsid w:val="00DD34AC"/>
    <w:rsid w:val="00DD392C"/>
    <w:rsid w:val="00DD39FA"/>
    <w:rsid w:val="00DD3BE7"/>
    <w:rsid w:val="00DD3EFB"/>
    <w:rsid w:val="00DD4441"/>
    <w:rsid w:val="00DD4624"/>
    <w:rsid w:val="00DD5066"/>
    <w:rsid w:val="00DD5499"/>
    <w:rsid w:val="00DD55F7"/>
    <w:rsid w:val="00DD58F7"/>
    <w:rsid w:val="00DD5B86"/>
    <w:rsid w:val="00DD5CE6"/>
    <w:rsid w:val="00DD7384"/>
    <w:rsid w:val="00DE010F"/>
    <w:rsid w:val="00DE0A13"/>
    <w:rsid w:val="00DE0C98"/>
    <w:rsid w:val="00DE15BB"/>
    <w:rsid w:val="00DE1694"/>
    <w:rsid w:val="00DE2067"/>
    <w:rsid w:val="00DE232B"/>
    <w:rsid w:val="00DE3496"/>
    <w:rsid w:val="00DE34D4"/>
    <w:rsid w:val="00DE3C24"/>
    <w:rsid w:val="00DE4F4F"/>
    <w:rsid w:val="00DE5A5F"/>
    <w:rsid w:val="00DE5E12"/>
    <w:rsid w:val="00DE6242"/>
    <w:rsid w:val="00DE641F"/>
    <w:rsid w:val="00DE7522"/>
    <w:rsid w:val="00DF0157"/>
    <w:rsid w:val="00DF0AD0"/>
    <w:rsid w:val="00DF0E4C"/>
    <w:rsid w:val="00DF1BEC"/>
    <w:rsid w:val="00DF265C"/>
    <w:rsid w:val="00DF27FB"/>
    <w:rsid w:val="00DF28EC"/>
    <w:rsid w:val="00DF2B29"/>
    <w:rsid w:val="00DF2FA3"/>
    <w:rsid w:val="00DF32F5"/>
    <w:rsid w:val="00DF35F9"/>
    <w:rsid w:val="00DF3901"/>
    <w:rsid w:val="00DF4596"/>
    <w:rsid w:val="00DF4717"/>
    <w:rsid w:val="00DF55C6"/>
    <w:rsid w:val="00DF6019"/>
    <w:rsid w:val="00DF61FE"/>
    <w:rsid w:val="00DF6EFF"/>
    <w:rsid w:val="00DF7767"/>
    <w:rsid w:val="00E00156"/>
    <w:rsid w:val="00E0025B"/>
    <w:rsid w:val="00E008E0"/>
    <w:rsid w:val="00E0218A"/>
    <w:rsid w:val="00E02224"/>
    <w:rsid w:val="00E02BDB"/>
    <w:rsid w:val="00E02FC6"/>
    <w:rsid w:val="00E0314D"/>
    <w:rsid w:val="00E03A25"/>
    <w:rsid w:val="00E04388"/>
    <w:rsid w:val="00E043EB"/>
    <w:rsid w:val="00E04BCA"/>
    <w:rsid w:val="00E056A9"/>
    <w:rsid w:val="00E0646A"/>
    <w:rsid w:val="00E06F9E"/>
    <w:rsid w:val="00E075F2"/>
    <w:rsid w:val="00E07C60"/>
    <w:rsid w:val="00E07E2F"/>
    <w:rsid w:val="00E11233"/>
    <w:rsid w:val="00E11639"/>
    <w:rsid w:val="00E116AB"/>
    <w:rsid w:val="00E11B22"/>
    <w:rsid w:val="00E11D30"/>
    <w:rsid w:val="00E121E8"/>
    <w:rsid w:val="00E12755"/>
    <w:rsid w:val="00E12855"/>
    <w:rsid w:val="00E12BB8"/>
    <w:rsid w:val="00E12D83"/>
    <w:rsid w:val="00E12EEC"/>
    <w:rsid w:val="00E1310D"/>
    <w:rsid w:val="00E15615"/>
    <w:rsid w:val="00E15C06"/>
    <w:rsid w:val="00E1643A"/>
    <w:rsid w:val="00E16E33"/>
    <w:rsid w:val="00E1774C"/>
    <w:rsid w:val="00E1775D"/>
    <w:rsid w:val="00E17DAE"/>
    <w:rsid w:val="00E17EE9"/>
    <w:rsid w:val="00E20686"/>
    <w:rsid w:val="00E20A9D"/>
    <w:rsid w:val="00E21F7D"/>
    <w:rsid w:val="00E224A7"/>
    <w:rsid w:val="00E228B9"/>
    <w:rsid w:val="00E234DE"/>
    <w:rsid w:val="00E2385C"/>
    <w:rsid w:val="00E244D1"/>
    <w:rsid w:val="00E25279"/>
    <w:rsid w:val="00E258E9"/>
    <w:rsid w:val="00E25A9D"/>
    <w:rsid w:val="00E25DE0"/>
    <w:rsid w:val="00E25E53"/>
    <w:rsid w:val="00E2642C"/>
    <w:rsid w:val="00E271B6"/>
    <w:rsid w:val="00E27A6F"/>
    <w:rsid w:val="00E27AC8"/>
    <w:rsid w:val="00E3022B"/>
    <w:rsid w:val="00E302C0"/>
    <w:rsid w:val="00E30437"/>
    <w:rsid w:val="00E306DC"/>
    <w:rsid w:val="00E30B7D"/>
    <w:rsid w:val="00E3140D"/>
    <w:rsid w:val="00E31AF1"/>
    <w:rsid w:val="00E31E7F"/>
    <w:rsid w:val="00E32084"/>
    <w:rsid w:val="00E321B5"/>
    <w:rsid w:val="00E32412"/>
    <w:rsid w:val="00E328FC"/>
    <w:rsid w:val="00E32B6D"/>
    <w:rsid w:val="00E32EFF"/>
    <w:rsid w:val="00E3333B"/>
    <w:rsid w:val="00E33649"/>
    <w:rsid w:val="00E33B1A"/>
    <w:rsid w:val="00E34533"/>
    <w:rsid w:val="00E34926"/>
    <w:rsid w:val="00E34A20"/>
    <w:rsid w:val="00E34D17"/>
    <w:rsid w:val="00E35202"/>
    <w:rsid w:val="00E35703"/>
    <w:rsid w:val="00E35710"/>
    <w:rsid w:val="00E36351"/>
    <w:rsid w:val="00E36508"/>
    <w:rsid w:val="00E365EC"/>
    <w:rsid w:val="00E36869"/>
    <w:rsid w:val="00E36AE7"/>
    <w:rsid w:val="00E36AF5"/>
    <w:rsid w:val="00E37517"/>
    <w:rsid w:val="00E37853"/>
    <w:rsid w:val="00E37F37"/>
    <w:rsid w:val="00E41434"/>
    <w:rsid w:val="00E41718"/>
    <w:rsid w:val="00E42177"/>
    <w:rsid w:val="00E4269B"/>
    <w:rsid w:val="00E42BB3"/>
    <w:rsid w:val="00E4368B"/>
    <w:rsid w:val="00E43759"/>
    <w:rsid w:val="00E43C6F"/>
    <w:rsid w:val="00E44078"/>
    <w:rsid w:val="00E442D1"/>
    <w:rsid w:val="00E44CAC"/>
    <w:rsid w:val="00E45F0D"/>
    <w:rsid w:val="00E46DA6"/>
    <w:rsid w:val="00E4735F"/>
    <w:rsid w:val="00E478BD"/>
    <w:rsid w:val="00E47AB2"/>
    <w:rsid w:val="00E50E20"/>
    <w:rsid w:val="00E50E41"/>
    <w:rsid w:val="00E528A8"/>
    <w:rsid w:val="00E52A13"/>
    <w:rsid w:val="00E52B53"/>
    <w:rsid w:val="00E52CDF"/>
    <w:rsid w:val="00E532CA"/>
    <w:rsid w:val="00E537CD"/>
    <w:rsid w:val="00E5420F"/>
    <w:rsid w:val="00E54630"/>
    <w:rsid w:val="00E55896"/>
    <w:rsid w:val="00E55A04"/>
    <w:rsid w:val="00E564DE"/>
    <w:rsid w:val="00E56588"/>
    <w:rsid w:val="00E56B56"/>
    <w:rsid w:val="00E56C0A"/>
    <w:rsid w:val="00E56D13"/>
    <w:rsid w:val="00E570A1"/>
    <w:rsid w:val="00E57155"/>
    <w:rsid w:val="00E5797C"/>
    <w:rsid w:val="00E579F3"/>
    <w:rsid w:val="00E57EC9"/>
    <w:rsid w:val="00E6019D"/>
    <w:rsid w:val="00E601FD"/>
    <w:rsid w:val="00E60D50"/>
    <w:rsid w:val="00E614B1"/>
    <w:rsid w:val="00E6194C"/>
    <w:rsid w:val="00E61CBD"/>
    <w:rsid w:val="00E61FA1"/>
    <w:rsid w:val="00E6202B"/>
    <w:rsid w:val="00E6297A"/>
    <w:rsid w:val="00E62995"/>
    <w:rsid w:val="00E629C0"/>
    <w:rsid w:val="00E62C3C"/>
    <w:rsid w:val="00E63846"/>
    <w:rsid w:val="00E63C7F"/>
    <w:rsid w:val="00E641C8"/>
    <w:rsid w:val="00E642EF"/>
    <w:rsid w:val="00E6548D"/>
    <w:rsid w:val="00E65A2E"/>
    <w:rsid w:val="00E65B43"/>
    <w:rsid w:val="00E65EDA"/>
    <w:rsid w:val="00E66329"/>
    <w:rsid w:val="00E66AC7"/>
    <w:rsid w:val="00E66B70"/>
    <w:rsid w:val="00E66CF7"/>
    <w:rsid w:val="00E66F63"/>
    <w:rsid w:val="00E672D3"/>
    <w:rsid w:val="00E67681"/>
    <w:rsid w:val="00E67858"/>
    <w:rsid w:val="00E70F1E"/>
    <w:rsid w:val="00E70FBC"/>
    <w:rsid w:val="00E71DB3"/>
    <w:rsid w:val="00E71E30"/>
    <w:rsid w:val="00E71E31"/>
    <w:rsid w:val="00E72621"/>
    <w:rsid w:val="00E72746"/>
    <w:rsid w:val="00E73B4C"/>
    <w:rsid w:val="00E743FC"/>
    <w:rsid w:val="00E745C3"/>
    <w:rsid w:val="00E74ABA"/>
    <w:rsid w:val="00E74E38"/>
    <w:rsid w:val="00E7523D"/>
    <w:rsid w:val="00E753FF"/>
    <w:rsid w:val="00E757FF"/>
    <w:rsid w:val="00E75F54"/>
    <w:rsid w:val="00E7632A"/>
    <w:rsid w:val="00E76795"/>
    <w:rsid w:val="00E77409"/>
    <w:rsid w:val="00E7788D"/>
    <w:rsid w:val="00E77A3D"/>
    <w:rsid w:val="00E80505"/>
    <w:rsid w:val="00E8089B"/>
    <w:rsid w:val="00E80DEB"/>
    <w:rsid w:val="00E81D56"/>
    <w:rsid w:val="00E82FE7"/>
    <w:rsid w:val="00E835B4"/>
    <w:rsid w:val="00E83B66"/>
    <w:rsid w:val="00E83E65"/>
    <w:rsid w:val="00E84364"/>
    <w:rsid w:val="00E84D8C"/>
    <w:rsid w:val="00E85C08"/>
    <w:rsid w:val="00E8697C"/>
    <w:rsid w:val="00E86AC5"/>
    <w:rsid w:val="00E86F84"/>
    <w:rsid w:val="00E877A5"/>
    <w:rsid w:val="00E87A0D"/>
    <w:rsid w:val="00E90007"/>
    <w:rsid w:val="00E9021D"/>
    <w:rsid w:val="00E90BEE"/>
    <w:rsid w:val="00E914A7"/>
    <w:rsid w:val="00E91A1E"/>
    <w:rsid w:val="00E9313F"/>
    <w:rsid w:val="00E93786"/>
    <w:rsid w:val="00E939F5"/>
    <w:rsid w:val="00E93A13"/>
    <w:rsid w:val="00E93A14"/>
    <w:rsid w:val="00E943A6"/>
    <w:rsid w:val="00E943D9"/>
    <w:rsid w:val="00E95683"/>
    <w:rsid w:val="00E95D31"/>
    <w:rsid w:val="00E96060"/>
    <w:rsid w:val="00E96B9A"/>
    <w:rsid w:val="00E9754C"/>
    <w:rsid w:val="00E97774"/>
    <w:rsid w:val="00E977E3"/>
    <w:rsid w:val="00E97821"/>
    <w:rsid w:val="00EA055D"/>
    <w:rsid w:val="00EA0E81"/>
    <w:rsid w:val="00EA10FD"/>
    <w:rsid w:val="00EA11E8"/>
    <w:rsid w:val="00EA1606"/>
    <w:rsid w:val="00EA1788"/>
    <w:rsid w:val="00EA17FA"/>
    <w:rsid w:val="00EA1A53"/>
    <w:rsid w:val="00EA1DF2"/>
    <w:rsid w:val="00EA20DA"/>
    <w:rsid w:val="00EA243D"/>
    <w:rsid w:val="00EA2653"/>
    <w:rsid w:val="00EA4951"/>
    <w:rsid w:val="00EA4B70"/>
    <w:rsid w:val="00EA5861"/>
    <w:rsid w:val="00EA6335"/>
    <w:rsid w:val="00EA64BA"/>
    <w:rsid w:val="00EA6B77"/>
    <w:rsid w:val="00EA6BFC"/>
    <w:rsid w:val="00EA730F"/>
    <w:rsid w:val="00EA755C"/>
    <w:rsid w:val="00EA7733"/>
    <w:rsid w:val="00EA7E99"/>
    <w:rsid w:val="00EB0A9B"/>
    <w:rsid w:val="00EB0F33"/>
    <w:rsid w:val="00EB0F78"/>
    <w:rsid w:val="00EB14A6"/>
    <w:rsid w:val="00EB14E5"/>
    <w:rsid w:val="00EB32E9"/>
    <w:rsid w:val="00EB3E6D"/>
    <w:rsid w:val="00EB3F05"/>
    <w:rsid w:val="00EB42B9"/>
    <w:rsid w:val="00EB5C5F"/>
    <w:rsid w:val="00EB5E20"/>
    <w:rsid w:val="00EB5E79"/>
    <w:rsid w:val="00EB62FA"/>
    <w:rsid w:val="00EB6C42"/>
    <w:rsid w:val="00EB7D5D"/>
    <w:rsid w:val="00EC06FE"/>
    <w:rsid w:val="00EC075E"/>
    <w:rsid w:val="00EC0770"/>
    <w:rsid w:val="00EC113B"/>
    <w:rsid w:val="00EC2312"/>
    <w:rsid w:val="00EC23E5"/>
    <w:rsid w:val="00EC2668"/>
    <w:rsid w:val="00EC3AA1"/>
    <w:rsid w:val="00EC3B02"/>
    <w:rsid w:val="00EC40B7"/>
    <w:rsid w:val="00EC41C3"/>
    <w:rsid w:val="00EC4274"/>
    <w:rsid w:val="00EC5254"/>
    <w:rsid w:val="00EC77CF"/>
    <w:rsid w:val="00ED09D5"/>
    <w:rsid w:val="00ED158A"/>
    <w:rsid w:val="00ED1EBA"/>
    <w:rsid w:val="00ED1FD0"/>
    <w:rsid w:val="00ED204A"/>
    <w:rsid w:val="00ED2860"/>
    <w:rsid w:val="00ED2D7B"/>
    <w:rsid w:val="00ED75F0"/>
    <w:rsid w:val="00ED7738"/>
    <w:rsid w:val="00EE0BBC"/>
    <w:rsid w:val="00EE109F"/>
    <w:rsid w:val="00EE11DD"/>
    <w:rsid w:val="00EE1272"/>
    <w:rsid w:val="00EE2C3E"/>
    <w:rsid w:val="00EE330D"/>
    <w:rsid w:val="00EE3EBC"/>
    <w:rsid w:val="00EE44B6"/>
    <w:rsid w:val="00EE5AA2"/>
    <w:rsid w:val="00EE6196"/>
    <w:rsid w:val="00EE65BF"/>
    <w:rsid w:val="00EE6A73"/>
    <w:rsid w:val="00EE7031"/>
    <w:rsid w:val="00EE723A"/>
    <w:rsid w:val="00EE7414"/>
    <w:rsid w:val="00EF030E"/>
    <w:rsid w:val="00EF0748"/>
    <w:rsid w:val="00EF0DEA"/>
    <w:rsid w:val="00EF12CB"/>
    <w:rsid w:val="00EF1511"/>
    <w:rsid w:val="00EF1F36"/>
    <w:rsid w:val="00EF390C"/>
    <w:rsid w:val="00EF3950"/>
    <w:rsid w:val="00EF3C0E"/>
    <w:rsid w:val="00EF48AF"/>
    <w:rsid w:val="00EF498D"/>
    <w:rsid w:val="00EF514A"/>
    <w:rsid w:val="00EF57B5"/>
    <w:rsid w:val="00EF5951"/>
    <w:rsid w:val="00EF6403"/>
    <w:rsid w:val="00EF7768"/>
    <w:rsid w:val="00EF7959"/>
    <w:rsid w:val="00F0004A"/>
    <w:rsid w:val="00F01589"/>
    <w:rsid w:val="00F0168D"/>
    <w:rsid w:val="00F01A6B"/>
    <w:rsid w:val="00F01C9C"/>
    <w:rsid w:val="00F01CB7"/>
    <w:rsid w:val="00F01E75"/>
    <w:rsid w:val="00F022A8"/>
    <w:rsid w:val="00F02392"/>
    <w:rsid w:val="00F0281E"/>
    <w:rsid w:val="00F04826"/>
    <w:rsid w:val="00F0502D"/>
    <w:rsid w:val="00F05B7A"/>
    <w:rsid w:val="00F06147"/>
    <w:rsid w:val="00F0673B"/>
    <w:rsid w:val="00F067E1"/>
    <w:rsid w:val="00F073B7"/>
    <w:rsid w:val="00F074F8"/>
    <w:rsid w:val="00F0789E"/>
    <w:rsid w:val="00F07F84"/>
    <w:rsid w:val="00F07FFB"/>
    <w:rsid w:val="00F1115C"/>
    <w:rsid w:val="00F11A0E"/>
    <w:rsid w:val="00F11AB5"/>
    <w:rsid w:val="00F1226B"/>
    <w:rsid w:val="00F12481"/>
    <w:rsid w:val="00F12EEB"/>
    <w:rsid w:val="00F13182"/>
    <w:rsid w:val="00F1350C"/>
    <w:rsid w:val="00F14734"/>
    <w:rsid w:val="00F14A6C"/>
    <w:rsid w:val="00F1512D"/>
    <w:rsid w:val="00F15279"/>
    <w:rsid w:val="00F1565E"/>
    <w:rsid w:val="00F15958"/>
    <w:rsid w:val="00F160A9"/>
    <w:rsid w:val="00F163EC"/>
    <w:rsid w:val="00F16A2C"/>
    <w:rsid w:val="00F16FA5"/>
    <w:rsid w:val="00F17F05"/>
    <w:rsid w:val="00F207E8"/>
    <w:rsid w:val="00F20F80"/>
    <w:rsid w:val="00F2187C"/>
    <w:rsid w:val="00F230DD"/>
    <w:rsid w:val="00F233D6"/>
    <w:rsid w:val="00F23E52"/>
    <w:rsid w:val="00F24006"/>
    <w:rsid w:val="00F25A2A"/>
    <w:rsid w:val="00F268F1"/>
    <w:rsid w:val="00F26DD6"/>
    <w:rsid w:val="00F274E1"/>
    <w:rsid w:val="00F277FE"/>
    <w:rsid w:val="00F30127"/>
    <w:rsid w:val="00F30984"/>
    <w:rsid w:val="00F30AE5"/>
    <w:rsid w:val="00F31AFF"/>
    <w:rsid w:val="00F31CE5"/>
    <w:rsid w:val="00F32421"/>
    <w:rsid w:val="00F325A1"/>
    <w:rsid w:val="00F32E02"/>
    <w:rsid w:val="00F33307"/>
    <w:rsid w:val="00F33348"/>
    <w:rsid w:val="00F3392E"/>
    <w:rsid w:val="00F33F4C"/>
    <w:rsid w:val="00F3450C"/>
    <w:rsid w:val="00F35BC9"/>
    <w:rsid w:val="00F35E1D"/>
    <w:rsid w:val="00F363BE"/>
    <w:rsid w:val="00F36ADE"/>
    <w:rsid w:val="00F371B2"/>
    <w:rsid w:val="00F37971"/>
    <w:rsid w:val="00F37C90"/>
    <w:rsid w:val="00F42868"/>
    <w:rsid w:val="00F42892"/>
    <w:rsid w:val="00F429D2"/>
    <w:rsid w:val="00F42E0C"/>
    <w:rsid w:val="00F42EAC"/>
    <w:rsid w:val="00F434FF"/>
    <w:rsid w:val="00F43A81"/>
    <w:rsid w:val="00F43B1E"/>
    <w:rsid w:val="00F44843"/>
    <w:rsid w:val="00F449FB"/>
    <w:rsid w:val="00F44C73"/>
    <w:rsid w:val="00F44E91"/>
    <w:rsid w:val="00F44FF1"/>
    <w:rsid w:val="00F45367"/>
    <w:rsid w:val="00F462A3"/>
    <w:rsid w:val="00F4645D"/>
    <w:rsid w:val="00F46CBF"/>
    <w:rsid w:val="00F46F75"/>
    <w:rsid w:val="00F471EF"/>
    <w:rsid w:val="00F47944"/>
    <w:rsid w:val="00F47DDC"/>
    <w:rsid w:val="00F47F39"/>
    <w:rsid w:val="00F51220"/>
    <w:rsid w:val="00F515F1"/>
    <w:rsid w:val="00F517C5"/>
    <w:rsid w:val="00F51AAF"/>
    <w:rsid w:val="00F5217E"/>
    <w:rsid w:val="00F52211"/>
    <w:rsid w:val="00F523BA"/>
    <w:rsid w:val="00F526D5"/>
    <w:rsid w:val="00F52791"/>
    <w:rsid w:val="00F52A9F"/>
    <w:rsid w:val="00F52E39"/>
    <w:rsid w:val="00F5310D"/>
    <w:rsid w:val="00F53B47"/>
    <w:rsid w:val="00F53C19"/>
    <w:rsid w:val="00F54601"/>
    <w:rsid w:val="00F5481E"/>
    <w:rsid w:val="00F54871"/>
    <w:rsid w:val="00F54FE8"/>
    <w:rsid w:val="00F562A2"/>
    <w:rsid w:val="00F56D73"/>
    <w:rsid w:val="00F579E9"/>
    <w:rsid w:val="00F607F1"/>
    <w:rsid w:val="00F60F44"/>
    <w:rsid w:val="00F60F63"/>
    <w:rsid w:val="00F60FF2"/>
    <w:rsid w:val="00F61AA2"/>
    <w:rsid w:val="00F629DC"/>
    <w:rsid w:val="00F630D7"/>
    <w:rsid w:val="00F6365E"/>
    <w:rsid w:val="00F63CD6"/>
    <w:rsid w:val="00F6450F"/>
    <w:rsid w:val="00F64D2A"/>
    <w:rsid w:val="00F64DC3"/>
    <w:rsid w:val="00F64F85"/>
    <w:rsid w:val="00F65486"/>
    <w:rsid w:val="00F65523"/>
    <w:rsid w:val="00F6565D"/>
    <w:rsid w:val="00F65CCA"/>
    <w:rsid w:val="00F65ECC"/>
    <w:rsid w:val="00F66957"/>
    <w:rsid w:val="00F66BDB"/>
    <w:rsid w:val="00F67155"/>
    <w:rsid w:val="00F675C1"/>
    <w:rsid w:val="00F679C9"/>
    <w:rsid w:val="00F67BF3"/>
    <w:rsid w:val="00F67C23"/>
    <w:rsid w:val="00F67CD9"/>
    <w:rsid w:val="00F7101C"/>
    <w:rsid w:val="00F7158F"/>
    <w:rsid w:val="00F71800"/>
    <w:rsid w:val="00F71CA9"/>
    <w:rsid w:val="00F72007"/>
    <w:rsid w:val="00F72299"/>
    <w:rsid w:val="00F7242F"/>
    <w:rsid w:val="00F724D1"/>
    <w:rsid w:val="00F72919"/>
    <w:rsid w:val="00F73486"/>
    <w:rsid w:val="00F73546"/>
    <w:rsid w:val="00F736BD"/>
    <w:rsid w:val="00F7422B"/>
    <w:rsid w:val="00F74DCD"/>
    <w:rsid w:val="00F74DE2"/>
    <w:rsid w:val="00F75175"/>
    <w:rsid w:val="00F756B3"/>
    <w:rsid w:val="00F758CF"/>
    <w:rsid w:val="00F75AAE"/>
    <w:rsid w:val="00F75C1D"/>
    <w:rsid w:val="00F76434"/>
    <w:rsid w:val="00F7789E"/>
    <w:rsid w:val="00F77F53"/>
    <w:rsid w:val="00F80543"/>
    <w:rsid w:val="00F80585"/>
    <w:rsid w:val="00F80750"/>
    <w:rsid w:val="00F810DF"/>
    <w:rsid w:val="00F818C1"/>
    <w:rsid w:val="00F81FDC"/>
    <w:rsid w:val="00F821FA"/>
    <w:rsid w:val="00F8361A"/>
    <w:rsid w:val="00F83D65"/>
    <w:rsid w:val="00F83FA0"/>
    <w:rsid w:val="00F849BE"/>
    <w:rsid w:val="00F85147"/>
    <w:rsid w:val="00F853D1"/>
    <w:rsid w:val="00F854C6"/>
    <w:rsid w:val="00F857E0"/>
    <w:rsid w:val="00F858FB"/>
    <w:rsid w:val="00F859E1"/>
    <w:rsid w:val="00F85A48"/>
    <w:rsid w:val="00F86241"/>
    <w:rsid w:val="00F86388"/>
    <w:rsid w:val="00F86477"/>
    <w:rsid w:val="00F87C3E"/>
    <w:rsid w:val="00F9113F"/>
    <w:rsid w:val="00F91897"/>
    <w:rsid w:val="00F918F9"/>
    <w:rsid w:val="00F91DD9"/>
    <w:rsid w:val="00F92C3B"/>
    <w:rsid w:val="00F93E57"/>
    <w:rsid w:val="00F9413C"/>
    <w:rsid w:val="00F94653"/>
    <w:rsid w:val="00F94690"/>
    <w:rsid w:val="00F95741"/>
    <w:rsid w:val="00F961A1"/>
    <w:rsid w:val="00F9633C"/>
    <w:rsid w:val="00F964C4"/>
    <w:rsid w:val="00F97A63"/>
    <w:rsid w:val="00F97D07"/>
    <w:rsid w:val="00FA0CA3"/>
    <w:rsid w:val="00FA1CB1"/>
    <w:rsid w:val="00FA25A7"/>
    <w:rsid w:val="00FA27A1"/>
    <w:rsid w:val="00FA2982"/>
    <w:rsid w:val="00FA2B67"/>
    <w:rsid w:val="00FA3760"/>
    <w:rsid w:val="00FA41AE"/>
    <w:rsid w:val="00FA4269"/>
    <w:rsid w:val="00FA447A"/>
    <w:rsid w:val="00FA4880"/>
    <w:rsid w:val="00FA4F83"/>
    <w:rsid w:val="00FA53C1"/>
    <w:rsid w:val="00FA54D0"/>
    <w:rsid w:val="00FA5615"/>
    <w:rsid w:val="00FA5A44"/>
    <w:rsid w:val="00FA5D30"/>
    <w:rsid w:val="00FA5E5D"/>
    <w:rsid w:val="00FA612C"/>
    <w:rsid w:val="00FA655E"/>
    <w:rsid w:val="00FA6B56"/>
    <w:rsid w:val="00FA6E6C"/>
    <w:rsid w:val="00FA717A"/>
    <w:rsid w:val="00FA71DF"/>
    <w:rsid w:val="00FA741E"/>
    <w:rsid w:val="00FA7468"/>
    <w:rsid w:val="00FA7797"/>
    <w:rsid w:val="00FA7AD6"/>
    <w:rsid w:val="00FA7F60"/>
    <w:rsid w:val="00FB195A"/>
    <w:rsid w:val="00FB1EE7"/>
    <w:rsid w:val="00FB3814"/>
    <w:rsid w:val="00FB3D26"/>
    <w:rsid w:val="00FB4140"/>
    <w:rsid w:val="00FB47C9"/>
    <w:rsid w:val="00FB47D8"/>
    <w:rsid w:val="00FB4C83"/>
    <w:rsid w:val="00FB4DD5"/>
    <w:rsid w:val="00FB61B8"/>
    <w:rsid w:val="00FB61C2"/>
    <w:rsid w:val="00FB70A0"/>
    <w:rsid w:val="00FB7108"/>
    <w:rsid w:val="00FB73D8"/>
    <w:rsid w:val="00FC058E"/>
    <w:rsid w:val="00FC276A"/>
    <w:rsid w:val="00FC2FE3"/>
    <w:rsid w:val="00FC30AC"/>
    <w:rsid w:val="00FC30FC"/>
    <w:rsid w:val="00FC3407"/>
    <w:rsid w:val="00FC346E"/>
    <w:rsid w:val="00FC35B9"/>
    <w:rsid w:val="00FC4007"/>
    <w:rsid w:val="00FC4053"/>
    <w:rsid w:val="00FC408A"/>
    <w:rsid w:val="00FC4546"/>
    <w:rsid w:val="00FC4647"/>
    <w:rsid w:val="00FC5262"/>
    <w:rsid w:val="00FC5494"/>
    <w:rsid w:val="00FC59E1"/>
    <w:rsid w:val="00FC65AD"/>
    <w:rsid w:val="00FC692B"/>
    <w:rsid w:val="00FC7192"/>
    <w:rsid w:val="00FC779D"/>
    <w:rsid w:val="00FD0292"/>
    <w:rsid w:val="00FD08C9"/>
    <w:rsid w:val="00FD0D5F"/>
    <w:rsid w:val="00FD0E29"/>
    <w:rsid w:val="00FD158B"/>
    <w:rsid w:val="00FD2568"/>
    <w:rsid w:val="00FD25CE"/>
    <w:rsid w:val="00FD2AA3"/>
    <w:rsid w:val="00FD2F16"/>
    <w:rsid w:val="00FD3435"/>
    <w:rsid w:val="00FD3771"/>
    <w:rsid w:val="00FD38B8"/>
    <w:rsid w:val="00FD3DA0"/>
    <w:rsid w:val="00FD3DAB"/>
    <w:rsid w:val="00FD465C"/>
    <w:rsid w:val="00FD4AD1"/>
    <w:rsid w:val="00FD4E26"/>
    <w:rsid w:val="00FD4FA4"/>
    <w:rsid w:val="00FD5A17"/>
    <w:rsid w:val="00FD5BC4"/>
    <w:rsid w:val="00FD5FB4"/>
    <w:rsid w:val="00FD6614"/>
    <w:rsid w:val="00FD68D2"/>
    <w:rsid w:val="00FD70E3"/>
    <w:rsid w:val="00FD7492"/>
    <w:rsid w:val="00FD7840"/>
    <w:rsid w:val="00FE0288"/>
    <w:rsid w:val="00FE069E"/>
    <w:rsid w:val="00FE0B89"/>
    <w:rsid w:val="00FE0D4A"/>
    <w:rsid w:val="00FE1629"/>
    <w:rsid w:val="00FE1947"/>
    <w:rsid w:val="00FE1E36"/>
    <w:rsid w:val="00FE1EF5"/>
    <w:rsid w:val="00FE1FFA"/>
    <w:rsid w:val="00FE2560"/>
    <w:rsid w:val="00FE2A80"/>
    <w:rsid w:val="00FE2F86"/>
    <w:rsid w:val="00FE2FA4"/>
    <w:rsid w:val="00FE33CE"/>
    <w:rsid w:val="00FE3F57"/>
    <w:rsid w:val="00FE42AC"/>
    <w:rsid w:val="00FE45D0"/>
    <w:rsid w:val="00FE5A8D"/>
    <w:rsid w:val="00FE64E0"/>
    <w:rsid w:val="00FE65A5"/>
    <w:rsid w:val="00FE7050"/>
    <w:rsid w:val="00FE744D"/>
    <w:rsid w:val="00FF063B"/>
    <w:rsid w:val="00FF09FB"/>
    <w:rsid w:val="00FF0D1A"/>
    <w:rsid w:val="00FF100F"/>
    <w:rsid w:val="00FF1206"/>
    <w:rsid w:val="00FF165A"/>
    <w:rsid w:val="00FF1B28"/>
    <w:rsid w:val="00FF1E58"/>
    <w:rsid w:val="00FF2C9E"/>
    <w:rsid w:val="00FF334F"/>
    <w:rsid w:val="00FF3B07"/>
    <w:rsid w:val="00FF3F84"/>
    <w:rsid w:val="00FF4250"/>
    <w:rsid w:val="00FF4271"/>
    <w:rsid w:val="00FF4C13"/>
    <w:rsid w:val="00FF5563"/>
    <w:rsid w:val="00FF5AAC"/>
    <w:rsid w:val="00FF5D2A"/>
    <w:rsid w:val="00FF62AC"/>
    <w:rsid w:val="00FF6538"/>
    <w:rsid w:val="00FF66F8"/>
    <w:rsid w:val="00FF6851"/>
    <w:rsid w:val="00FF6A74"/>
    <w:rsid w:val="00FF7551"/>
    <w:rsid w:val="00FF7661"/>
    <w:rsid w:val="00FF787C"/>
    <w:rsid w:val="00FF79FA"/>
    <w:rsid w:val="00FF7D2D"/>
    <w:rsid w:val="00FF7E66"/>
    <w:rsid w:val="00FF7E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8221D0"/>
    <w:pPr>
      <w:widowControl w:val="0"/>
    </w:pPr>
    <w:rPr>
      <w:rFonts w:ascii="Times New Roman" w:eastAsia="新細明體" w:hAnsi="Times New Roman" w:cs="Times New Roman"/>
    </w:rPr>
  </w:style>
  <w:style w:type="paragraph" w:styleId="1">
    <w:name w:val="heading 1"/>
    <w:basedOn w:val="a"/>
    <w:next w:val="a"/>
    <w:link w:val="10"/>
    <w:autoRedefine/>
    <w:qFormat/>
    <w:rsid w:val="000D33F7"/>
    <w:pPr>
      <w:keepNext/>
      <w:widowControl/>
      <w:overflowPunct w:val="0"/>
      <w:autoSpaceDE w:val="0"/>
      <w:autoSpaceDN w:val="0"/>
      <w:adjustRightInd w:val="0"/>
      <w:spacing w:before="240" w:after="240" w:line="0" w:lineRule="atLeast"/>
      <w:ind w:left="839" w:hanging="839"/>
      <w:textAlignment w:val="baseline"/>
      <w:outlineLvl w:val="0"/>
    </w:pPr>
    <w:rPr>
      <w:rFonts w:eastAsia="標楷體"/>
      <w:b/>
      <w:bCs/>
      <w:iCs/>
      <w:noProof/>
      <w:kern w:val="0"/>
      <w:sz w:val="32"/>
      <w:szCs w:val="20"/>
    </w:rPr>
  </w:style>
  <w:style w:type="paragraph" w:styleId="2">
    <w:name w:val="heading 2"/>
    <w:basedOn w:val="a"/>
    <w:next w:val="a"/>
    <w:link w:val="20"/>
    <w:qFormat/>
    <w:rsid w:val="003474F2"/>
    <w:pPr>
      <w:keepNext/>
      <w:spacing w:before="240" w:after="240"/>
      <w:outlineLvl w:val="1"/>
    </w:pPr>
    <w:rPr>
      <w:b/>
      <w:sz w:val="32"/>
      <w:szCs w:val="20"/>
    </w:rPr>
  </w:style>
  <w:style w:type="paragraph" w:styleId="3">
    <w:name w:val="heading 3"/>
    <w:basedOn w:val="a"/>
    <w:link w:val="30"/>
    <w:qFormat/>
    <w:rsid w:val="003474F2"/>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3474F2"/>
    <w:pPr>
      <w:widowControl/>
      <w:spacing w:before="100" w:beforeAutospacing="1" w:after="100" w:afterAutospacing="1"/>
      <w:outlineLvl w:val="3"/>
    </w:pPr>
    <w:rPr>
      <w:rFonts w:ascii="Arial Unicode MS" w:eastAsia="Arial Unicode MS" w:hAnsi="Arial Unicode MS" w:cs="Arial Unicode MS"/>
      <w:b/>
      <w:bCs/>
      <w:kern w:val="0"/>
    </w:rPr>
  </w:style>
  <w:style w:type="paragraph" w:styleId="5">
    <w:name w:val="heading 5"/>
    <w:basedOn w:val="a"/>
    <w:next w:val="a"/>
    <w:link w:val="50"/>
    <w:uiPriority w:val="9"/>
    <w:semiHidden/>
    <w:unhideWhenUsed/>
    <w:rsid w:val="00121D67"/>
    <w:pPr>
      <w:keepNext/>
      <w:spacing w:line="720" w:lineRule="auto"/>
      <w:ind w:left="425"/>
      <w:outlineLvl w:val="4"/>
    </w:pPr>
    <w:rPr>
      <w:rFonts w:asciiTheme="majorHAnsi" w:eastAsiaTheme="majorEastAsia" w:hAnsiTheme="majorHAnsi" w:cstheme="majorBidi"/>
      <w:b/>
      <w:bCs/>
      <w:sz w:val="36"/>
      <w:szCs w:val="36"/>
    </w:rPr>
  </w:style>
  <w:style w:type="paragraph" w:styleId="6">
    <w:name w:val="heading 6"/>
    <w:basedOn w:val="a"/>
    <w:link w:val="60"/>
    <w:rsid w:val="006B348C"/>
    <w:pPr>
      <w:widowControl/>
      <w:outlineLvl w:val="5"/>
    </w:pPr>
    <w:rPr>
      <w:rFonts w:ascii="Geneva" w:eastAsia="Arial Unicode MS" w:hAnsi="Geneva" w:cs="Arial Unicode MS"/>
      <w:b/>
      <w:bCs/>
      <w:color w:val="333333"/>
      <w:kern w:val="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D33F7"/>
    <w:rPr>
      <w:rFonts w:ascii="Times New Roman" w:eastAsia="標楷體" w:hAnsi="Times New Roman" w:cs="Times New Roman"/>
      <w:b/>
      <w:bCs/>
      <w:iCs/>
      <w:noProof/>
      <w:kern w:val="0"/>
      <w:sz w:val="32"/>
      <w:szCs w:val="20"/>
    </w:rPr>
  </w:style>
  <w:style w:type="character" w:customStyle="1" w:styleId="20">
    <w:name w:val="標題 2 字元"/>
    <w:basedOn w:val="a0"/>
    <w:link w:val="2"/>
    <w:rsid w:val="003474F2"/>
    <w:rPr>
      <w:rFonts w:ascii="Times New Roman" w:eastAsia="新細明體" w:hAnsi="Times New Roman" w:cs="Times New Roman"/>
      <w:b/>
      <w:sz w:val="32"/>
      <w:szCs w:val="20"/>
    </w:rPr>
  </w:style>
  <w:style w:type="character" w:customStyle="1" w:styleId="30">
    <w:name w:val="標題 3 字元"/>
    <w:basedOn w:val="a0"/>
    <w:link w:val="3"/>
    <w:rsid w:val="003474F2"/>
    <w:rPr>
      <w:rFonts w:ascii="Arial Unicode MS" w:eastAsia="Arial Unicode MS" w:hAnsi="Arial Unicode MS" w:cs="Arial Unicode MS"/>
      <w:b/>
      <w:bCs/>
      <w:kern w:val="0"/>
      <w:sz w:val="27"/>
      <w:szCs w:val="27"/>
    </w:rPr>
  </w:style>
  <w:style w:type="character" w:customStyle="1" w:styleId="40">
    <w:name w:val="標題 4 字元"/>
    <w:basedOn w:val="a0"/>
    <w:link w:val="4"/>
    <w:rsid w:val="003474F2"/>
    <w:rPr>
      <w:rFonts w:ascii="Arial Unicode MS" w:eastAsia="Arial Unicode MS" w:hAnsi="Arial Unicode MS" w:cs="Arial Unicode MS"/>
      <w:b/>
      <w:bCs/>
      <w:kern w:val="0"/>
      <w:szCs w:val="24"/>
    </w:rPr>
  </w:style>
  <w:style w:type="paragraph" w:styleId="a3">
    <w:name w:val="Body Text"/>
    <w:basedOn w:val="a"/>
    <w:link w:val="a4"/>
    <w:uiPriority w:val="99"/>
    <w:qFormat/>
    <w:rsid w:val="003474F2"/>
    <w:pPr>
      <w:ind w:left="284" w:hanging="284"/>
      <w:jc w:val="both"/>
    </w:pPr>
    <w:rPr>
      <w:rFonts w:eastAsia="標楷體"/>
      <w:kern w:val="52"/>
      <w:szCs w:val="20"/>
    </w:rPr>
  </w:style>
  <w:style w:type="character" w:customStyle="1" w:styleId="a4">
    <w:name w:val="本文 字元"/>
    <w:basedOn w:val="a0"/>
    <w:link w:val="a3"/>
    <w:uiPriority w:val="99"/>
    <w:rsid w:val="003474F2"/>
    <w:rPr>
      <w:rFonts w:ascii="Times New Roman" w:eastAsia="標楷體" w:hAnsi="Times New Roman" w:cs="Times New Roman"/>
      <w:kern w:val="52"/>
      <w:szCs w:val="20"/>
    </w:rPr>
  </w:style>
  <w:style w:type="character" w:styleId="a5">
    <w:name w:val="Hyperlink"/>
    <w:basedOn w:val="a0"/>
    <w:uiPriority w:val="99"/>
    <w:rsid w:val="003474F2"/>
    <w:rPr>
      <w:color w:val="0000FF"/>
      <w:u w:val="single"/>
    </w:rPr>
  </w:style>
  <w:style w:type="paragraph" w:styleId="11">
    <w:name w:val="toc 1"/>
    <w:basedOn w:val="a"/>
    <w:next w:val="a"/>
    <w:autoRedefine/>
    <w:uiPriority w:val="39"/>
    <w:rsid w:val="003474F2"/>
    <w:pPr>
      <w:ind w:left="567" w:right="851" w:hanging="567"/>
    </w:pPr>
    <w:rPr>
      <w:rFonts w:eastAsia="標楷體"/>
    </w:rPr>
  </w:style>
  <w:style w:type="paragraph" w:styleId="21">
    <w:name w:val="toc 2"/>
    <w:basedOn w:val="a"/>
    <w:next w:val="a"/>
    <w:autoRedefine/>
    <w:uiPriority w:val="39"/>
    <w:rsid w:val="003474F2"/>
    <w:pPr>
      <w:ind w:left="480"/>
    </w:pPr>
  </w:style>
  <w:style w:type="paragraph" w:styleId="31">
    <w:name w:val="toc 3"/>
    <w:basedOn w:val="a"/>
    <w:next w:val="a"/>
    <w:autoRedefine/>
    <w:uiPriority w:val="39"/>
    <w:rsid w:val="003474F2"/>
    <w:pPr>
      <w:ind w:left="960"/>
    </w:pPr>
  </w:style>
  <w:style w:type="paragraph" w:styleId="41">
    <w:name w:val="toc 4"/>
    <w:basedOn w:val="a"/>
    <w:next w:val="a"/>
    <w:autoRedefine/>
    <w:uiPriority w:val="39"/>
    <w:rsid w:val="003474F2"/>
    <w:pPr>
      <w:ind w:left="1440"/>
    </w:pPr>
  </w:style>
  <w:style w:type="paragraph" w:styleId="51">
    <w:name w:val="toc 5"/>
    <w:basedOn w:val="a"/>
    <w:next w:val="a"/>
    <w:autoRedefine/>
    <w:uiPriority w:val="39"/>
    <w:unhideWhenUsed/>
    <w:rsid w:val="008221D0"/>
    <w:pPr>
      <w:ind w:left="1920"/>
    </w:pPr>
    <w:rPr>
      <w:rFonts w:asciiTheme="minorHAnsi" w:eastAsiaTheme="minorEastAsia" w:hAnsiTheme="minorHAnsi" w:cstheme="minorBidi"/>
      <w:szCs w:val="22"/>
    </w:rPr>
  </w:style>
  <w:style w:type="paragraph" w:styleId="61">
    <w:name w:val="toc 6"/>
    <w:basedOn w:val="a"/>
    <w:next w:val="a"/>
    <w:autoRedefine/>
    <w:uiPriority w:val="39"/>
    <w:unhideWhenUsed/>
    <w:rsid w:val="008221D0"/>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8221D0"/>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8221D0"/>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8221D0"/>
    <w:pPr>
      <w:ind w:left="3840"/>
    </w:pPr>
    <w:rPr>
      <w:rFonts w:asciiTheme="minorHAnsi" w:eastAsiaTheme="minorEastAsia" w:hAnsiTheme="minorHAnsi" w:cstheme="minorBidi"/>
      <w:szCs w:val="22"/>
    </w:rPr>
  </w:style>
  <w:style w:type="paragraph" w:styleId="z-">
    <w:name w:val="HTML Top of Form"/>
    <w:basedOn w:val="a"/>
    <w:next w:val="a"/>
    <w:link w:val="z-0"/>
    <w:hidden/>
    <w:rsid w:val="003474F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0"/>
    <w:link w:val="z-"/>
    <w:rsid w:val="003474F2"/>
    <w:rPr>
      <w:rFonts w:ascii="Arial" w:eastAsia="新細明體" w:hAnsi="Arial" w:cs="Arial"/>
      <w:vanish/>
      <w:kern w:val="0"/>
      <w:sz w:val="16"/>
      <w:szCs w:val="16"/>
    </w:rPr>
  </w:style>
  <w:style w:type="paragraph" w:styleId="z-1">
    <w:name w:val="HTML Bottom of Form"/>
    <w:basedOn w:val="a"/>
    <w:next w:val="a"/>
    <w:link w:val="z-2"/>
    <w:hidden/>
    <w:rsid w:val="003474F2"/>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0"/>
    <w:link w:val="z-1"/>
    <w:rsid w:val="003474F2"/>
    <w:rPr>
      <w:rFonts w:ascii="Arial" w:eastAsia="新細明體" w:hAnsi="Arial" w:cs="Arial"/>
      <w:vanish/>
      <w:kern w:val="0"/>
      <w:sz w:val="16"/>
      <w:szCs w:val="16"/>
    </w:rPr>
  </w:style>
  <w:style w:type="character" w:customStyle="1" w:styleId="fieldlabel1">
    <w:name w:val="fieldlabel1"/>
    <w:basedOn w:val="a0"/>
    <w:semiHidden/>
    <w:rsid w:val="003474F2"/>
    <w:rPr>
      <w:rFonts w:ascii="Verdana" w:hAnsi="Verdana" w:hint="default"/>
      <w:b/>
      <w:bCs/>
    </w:rPr>
  </w:style>
  <w:style w:type="paragraph" w:customStyle="1" w:styleId="12">
    <w:name w:val="本文1"/>
    <w:basedOn w:val="a3"/>
    <w:autoRedefine/>
    <w:qFormat/>
    <w:rsid w:val="000A30A9"/>
    <w:pPr>
      <w:jc w:val="left"/>
    </w:pPr>
    <w:rPr>
      <w:color w:val="0000FF"/>
      <w:kern w:val="2"/>
      <w:szCs w:val="24"/>
    </w:rPr>
  </w:style>
  <w:style w:type="character" w:customStyle="1" w:styleId="60">
    <w:name w:val="標題 6 字元"/>
    <w:basedOn w:val="a0"/>
    <w:link w:val="6"/>
    <w:rsid w:val="006B348C"/>
    <w:rPr>
      <w:rFonts w:ascii="Geneva" w:eastAsia="Arial Unicode MS" w:hAnsi="Geneva" w:cs="Arial Unicode MS"/>
      <w:b/>
      <w:bCs/>
      <w:color w:val="333333"/>
      <w:kern w:val="0"/>
      <w:sz w:val="17"/>
      <w:szCs w:val="17"/>
    </w:rPr>
  </w:style>
  <w:style w:type="character" w:styleId="a6">
    <w:name w:val="FollowedHyperlink"/>
    <w:basedOn w:val="a0"/>
    <w:semiHidden/>
    <w:unhideWhenUsed/>
    <w:rsid w:val="00004E3E"/>
    <w:rPr>
      <w:color w:val="800080" w:themeColor="followedHyperlink"/>
      <w:u w:val="single"/>
    </w:rPr>
  </w:style>
  <w:style w:type="paragraph" w:styleId="a7">
    <w:name w:val="header"/>
    <w:basedOn w:val="a"/>
    <w:link w:val="a8"/>
    <w:uiPriority w:val="99"/>
    <w:semiHidden/>
    <w:unhideWhenUsed/>
    <w:rsid w:val="00DB5B2F"/>
    <w:pPr>
      <w:tabs>
        <w:tab w:val="center" w:pos="4153"/>
        <w:tab w:val="right" w:pos="8306"/>
      </w:tabs>
      <w:snapToGrid w:val="0"/>
    </w:pPr>
    <w:rPr>
      <w:rFonts w:asciiTheme="minorHAnsi" w:eastAsiaTheme="minorEastAsia" w:hAnsiTheme="minorHAnsi" w:cstheme="minorBidi"/>
      <w:sz w:val="20"/>
      <w:szCs w:val="20"/>
    </w:rPr>
  </w:style>
  <w:style w:type="character" w:customStyle="1" w:styleId="a8">
    <w:name w:val="頁首 字元"/>
    <w:basedOn w:val="a0"/>
    <w:link w:val="a7"/>
    <w:uiPriority w:val="99"/>
    <w:semiHidden/>
    <w:rsid w:val="00DB5B2F"/>
    <w:rPr>
      <w:sz w:val="20"/>
      <w:szCs w:val="20"/>
    </w:rPr>
  </w:style>
  <w:style w:type="paragraph" w:styleId="a9">
    <w:name w:val="footer"/>
    <w:basedOn w:val="a"/>
    <w:link w:val="aa"/>
    <w:uiPriority w:val="99"/>
    <w:unhideWhenUsed/>
    <w:rsid w:val="00920610"/>
    <w:pPr>
      <w:tabs>
        <w:tab w:val="center" w:pos="4153"/>
        <w:tab w:val="right" w:pos="8306"/>
      </w:tabs>
      <w:snapToGrid w:val="0"/>
    </w:pPr>
    <w:rPr>
      <w:sz w:val="20"/>
      <w:szCs w:val="20"/>
    </w:rPr>
  </w:style>
  <w:style w:type="character" w:customStyle="1" w:styleId="aa">
    <w:name w:val="頁尾 字元"/>
    <w:basedOn w:val="a0"/>
    <w:link w:val="a9"/>
    <w:uiPriority w:val="99"/>
    <w:rsid w:val="00920610"/>
    <w:rPr>
      <w:rFonts w:ascii="Times New Roman" w:eastAsia="新細明體" w:hAnsi="Times New Roman" w:cs="Times New Roman"/>
      <w:sz w:val="20"/>
      <w:szCs w:val="20"/>
    </w:rPr>
  </w:style>
  <w:style w:type="paragraph" w:styleId="ab">
    <w:name w:val="Balloon Text"/>
    <w:basedOn w:val="a"/>
    <w:link w:val="ac"/>
    <w:uiPriority w:val="99"/>
    <w:semiHidden/>
    <w:unhideWhenUsed/>
    <w:rsid w:val="00B5463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54633"/>
    <w:rPr>
      <w:rFonts w:asciiTheme="majorHAnsi" w:eastAsiaTheme="majorEastAsia" w:hAnsiTheme="majorHAnsi" w:cstheme="majorBidi"/>
      <w:sz w:val="18"/>
      <w:szCs w:val="18"/>
    </w:rPr>
  </w:style>
  <w:style w:type="paragraph" w:styleId="Web">
    <w:name w:val="Normal (Web)"/>
    <w:basedOn w:val="a"/>
    <w:uiPriority w:val="99"/>
    <w:semiHidden/>
    <w:unhideWhenUsed/>
    <w:rsid w:val="00B54633"/>
    <w:pPr>
      <w:widowControl/>
      <w:spacing w:before="100" w:beforeAutospacing="1" w:after="100" w:afterAutospacing="1"/>
    </w:pPr>
    <w:rPr>
      <w:rFonts w:ascii="新細明體" w:hAnsi="新細明體" w:cs="新細明體"/>
      <w:kern w:val="0"/>
    </w:rPr>
  </w:style>
  <w:style w:type="character" w:customStyle="1" w:styleId="50">
    <w:name w:val="標題 5 字元"/>
    <w:basedOn w:val="a0"/>
    <w:link w:val="5"/>
    <w:uiPriority w:val="99"/>
    <w:rsid w:val="00121D67"/>
    <w:rPr>
      <w:rFonts w:asciiTheme="majorHAnsi" w:eastAsiaTheme="majorEastAsia" w:hAnsiTheme="majorHAnsi" w:cstheme="majorBidi"/>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8221D0"/>
    <w:pPr>
      <w:widowControl w:val="0"/>
    </w:pPr>
    <w:rPr>
      <w:rFonts w:ascii="Times New Roman" w:eastAsia="新細明體" w:hAnsi="Times New Roman" w:cs="Times New Roman"/>
    </w:rPr>
  </w:style>
  <w:style w:type="paragraph" w:styleId="1">
    <w:name w:val="heading 1"/>
    <w:basedOn w:val="a"/>
    <w:next w:val="a"/>
    <w:link w:val="10"/>
    <w:autoRedefine/>
    <w:qFormat/>
    <w:rsid w:val="000D33F7"/>
    <w:pPr>
      <w:keepNext/>
      <w:widowControl/>
      <w:overflowPunct w:val="0"/>
      <w:autoSpaceDE w:val="0"/>
      <w:autoSpaceDN w:val="0"/>
      <w:adjustRightInd w:val="0"/>
      <w:spacing w:before="240" w:after="240" w:line="0" w:lineRule="atLeast"/>
      <w:ind w:left="839" w:hanging="839"/>
      <w:textAlignment w:val="baseline"/>
      <w:outlineLvl w:val="0"/>
    </w:pPr>
    <w:rPr>
      <w:rFonts w:eastAsia="標楷體"/>
      <w:b/>
      <w:bCs/>
      <w:iCs/>
      <w:noProof/>
      <w:kern w:val="0"/>
      <w:sz w:val="32"/>
      <w:szCs w:val="20"/>
    </w:rPr>
  </w:style>
  <w:style w:type="paragraph" w:styleId="2">
    <w:name w:val="heading 2"/>
    <w:basedOn w:val="a"/>
    <w:next w:val="a"/>
    <w:link w:val="20"/>
    <w:qFormat/>
    <w:rsid w:val="003474F2"/>
    <w:pPr>
      <w:keepNext/>
      <w:spacing w:before="240" w:after="240"/>
      <w:outlineLvl w:val="1"/>
    </w:pPr>
    <w:rPr>
      <w:b/>
      <w:sz w:val="32"/>
      <w:szCs w:val="20"/>
    </w:rPr>
  </w:style>
  <w:style w:type="paragraph" w:styleId="3">
    <w:name w:val="heading 3"/>
    <w:basedOn w:val="a"/>
    <w:link w:val="30"/>
    <w:qFormat/>
    <w:rsid w:val="003474F2"/>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3474F2"/>
    <w:pPr>
      <w:widowControl/>
      <w:spacing w:before="100" w:beforeAutospacing="1" w:after="100" w:afterAutospacing="1"/>
      <w:outlineLvl w:val="3"/>
    </w:pPr>
    <w:rPr>
      <w:rFonts w:ascii="Arial Unicode MS" w:eastAsia="Arial Unicode MS" w:hAnsi="Arial Unicode MS" w:cs="Arial Unicode MS"/>
      <w:b/>
      <w:bCs/>
      <w:kern w:val="0"/>
    </w:rPr>
  </w:style>
  <w:style w:type="paragraph" w:styleId="5">
    <w:name w:val="heading 5"/>
    <w:basedOn w:val="a"/>
    <w:next w:val="a"/>
    <w:link w:val="50"/>
    <w:uiPriority w:val="9"/>
    <w:semiHidden/>
    <w:unhideWhenUsed/>
    <w:rsid w:val="00121D67"/>
    <w:pPr>
      <w:keepNext/>
      <w:spacing w:line="720" w:lineRule="auto"/>
      <w:ind w:left="425"/>
      <w:outlineLvl w:val="4"/>
    </w:pPr>
    <w:rPr>
      <w:rFonts w:asciiTheme="majorHAnsi" w:eastAsiaTheme="majorEastAsia" w:hAnsiTheme="majorHAnsi" w:cstheme="majorBidi"/>
      <w:b/>
      <w:bCs/>
      <w:sz w:val="36"/>
      <w:szCs w:val="36"/>
    </w:rPr>
  </w:style>
  <w:style w:type="paragraph" w:styleId="6">
    <w:name w:val="heading 6"/>
    <w:basedOn w:val="a"/>
    <w:link w:val="60"/>
    <w:rsid w:val="006B348C"/>
    <w:pPr>
      <w:widowControl/>
      <w:outlineLvl w:val="5"/>
    </w:pPr>
    <w:rPr>
      <w:rFonts w:ascii="Geneva" w:eastAsia="Arial Unicode MS" w:hAnsi="Geneva" w:cs="Arial Unicode MS"/>
      <w:b/>
      <w:bCs/>
      <w:color w:val="333333"/>
      <w:kern w:val="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D33F7"/>
    <w:rPr>
      <w:rFonts w:ascii="Times New Roman" w:eastAsia="標楷體" w:hAnsi="Times New Roman" w:cs="Times New Roman"/>
      <w:b/>
      <w:bCs/>
      <w:iCs/>
      <w:noProof/>
      <w:kern w:val="0"/>
      <w:sz w:val="32"/>
      <w:szCs w:val="20"/>
    </w:rPr>
  </w:style>
  <w:style w:type="character" w:customStyle="1" w:styleId="20">
    <w:name w:val="標題 2 字元"/>
    <w:basedOn w:val="a0"/>
    <w:link w:val="2"/>
    <w:rsid w:val="003474F2"/>
    <w:rPr>
      <w:rFonts w:ascii="Times New Roman" w:eastAsia="新細明體" w:hAnsi="Times New Roman" w:cs="Times New Roman"/>
      <w:b/>
      <w:sz w:val="32"/>
      <w:szCs w:val="20"/>
    </w:rPr>
  </w:style>
  <w:style w:type="character" w:customStyle="1" w:styleId="30">
    <w:name w:val="標題 3 字元"/>
    <w:basedOn w:val="a0"/>
    <w:link w:val="3"/>
    <w:rsid w:val="003474F2"/>
    <w:rPr>
      <w:rFonts w:ascii="Arial Unicode MS" w:eastAsia="Arial Unicode MS" w:hAnsi="Arial Unicode MS" w:cs="Arial Unicode MS"/>
      <w:b/>
      <w:bCs/>
      <w:kern w:val="0"/>
      <w:sz w:val="27"/>
      <w:szCs w:val="27"/>
    </w:rPr>
  </w:style>
  <w:style w:type="character" w:customStyle="1" w:styleId="40">
    <w:name w:val="標題 4 字元"/>
    <w:basedOn w:val="a0"/>
    <w:link w:val="4"/>
    <w:rsid w:val="003474F2"/>
    <w:rPr>
      <w:rFonts w:ascii="Arial Unicode MS" w:eastAsia="Arial Unicode MS" w:hAnsi="Arial Unicode MS" w:cs="Arial Unicode MS"/>
      <w:b/>
      <w:bCs/>
      <w:kern w:val="0"/>
      <w:szCs w:val="24"/>
    </w:rPr>
  </w:style>
  <w:style w:type="paragraph" w:styleId="a3">
    <w:name w:val="Body Text"/>
    <w:basedOn w:val="a"/>
    <w:link w:val="a4"/>
    <w:uiPriority w:val="99"/>
    <w:qFormat/>
    <w:rsid w:val="003474F2"/>
    <w:pPr>
      <w:ind w:left="284" w:hanging="284"/>
      <w:jc w:val="both"/>
    </w:pPr>
    <w:rPr>
      <w:rFonts w:eastAsia="標楷體"/>
      <w:kern w:val="52"/>
      <w:szCs w:val="20"/>
    </w:rPr>
  </w:style>
  <w:style w:type="character" w:customStyle="1" w:styleId="a4">
    <w:name w:val="本文 字元"/>
    <w:basedOn w:val="a0"/>
    <w:link w:val="a3"/>
    <w:uiPriority w:val="99"/>
    <w:rsid w:val="003474F2"/>
    <w:rPr>
      <w:rFonts w:ascii="Times New Roman" w:eastAsia="標楷體" w:hAnsi="Times New Roman" w:cs="Times New Roman"/>
      <w:kern w:val="52"/>
      <w:szCs w:val="20"/>
    </w:rPr>
  </w:style>
  <w:style w:type="character" w:styleId="a5">
    <w:name w:val="Hyperlink"/>
    <w:basedOn w:val="a0"/>
    <w:uiPriority w:val="99"/>
    <w:rsid w:val="003474F2"/>
    <w:rPr>
      <w:color w:val="0000FF"/>
      <w:u w:val="single"/>
    </w:rPr>
  </w:style>
  <w:style w:type="paragraph" w:styleId="11">
    <w:name w:val="toc 1"/>
    <w:basedOn w:val="a"/>
    <w:next w:val="a"/>
    <w:autoRedefine/>
    <w:uiPriority w:val="39"/>
    <w:rsid w:val="003474F2"/>
    <w:pPr>
      <w:ind w:left="567" w:right="851" w:hanging="567"/>
    </w:pPr>
    <w:rPr>
      <w:rFonts w:eastAsia="標楷體"/>
    </w:rPr>
  </w:style>
  <w:style w:type="paragraph" w:styleId="21">
    <w:name w:val="toc 2"/>
    <w:basedOn w:val="a"/>
    <w:next w:val="a"/>
    <w:autoRedefine/>
    <w:uiPriority w:val="39"/>
    <w:rsid w:val="003474F2"/>
    <w:pPr>
      <w:ind w:left="480"/>
    </w:pPr>
  </w:style>
  <w:style w:type="paragraph" w:styleId="31">
    <w:name w:val="toc 3"/>
    <w:basedOn w:val="a"/>
    <w:next w:val="a"/>
    <w:autoRedefine/>
    <w:uiPriority w:val="39"/>
    <w:rsid w:val="003474F2"/>
    <w:pPr>
      <w:ind w:left="960"/>
    </w:pPr>
  </w:style>
  <w:style w:type="paragraph" w:styleId="41">
    <w:name w:val="toc 4"/>
    <w:basedOn w:val="a"/>
    <w:next w:val="a"/>
    <w:autoRedefine/>
    <w:uiPriority w:val="39"/>
    <w:rsid w:val="003474F2"/>
    <w:pPr>
      <w:ind w:left="1440"/>
    </w:pPr>
  </w:style>
  <w:style w:type="paragraph" w:styleId="51">
    <w:name w:val="toc 5"/>
    <w:basedOn w:val="a"/>
    <w:next w:val="a"/>
    <w:autoRedefine/>
    <w:uiPriority w:val="39"/>
    <w:unhideWhenUsed/>
    <w:rsid w:val="008221D0"/>
    <w:pPr>
      <w:ind w:left="1920"/>
    </w:pPr>
    <w:rPr>
      <w:rFonts w:asciiTheme="minorHAnsi" w:eastAsiaTheme="minorEastAsia" w:hAnsiTheme="minorHAnsi" w:cstheme="minorBidi"/>
      <w:szCs w:val="22"/>
    </w:rPr>
  </w:style>
  <w:style w:type="paragraph" w:styleId="61">
    <w:name w:val="toc 6"/>
    <w:basedOn w:val="a"/>
    <w:next w:val="a"/>
    <w:autoRedefine/>
    <w:uiPriority w:val="39"/>
    <w:unhideWhenUsed/>
    <w:rsid w:val="008221D0"/>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8221D0"/>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8221D0"/>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8221D0"/>
    <w:pPr>
      <w:ind w:left="3840"/>
    </w:pPr>
    <w:rPr>
      <w:rFonts w:asciiTheme="minorHAnsi" w:eastAsiaTheme="minorEastAsia" w:hAnsiTheme="minorHAnsi" w:cstheme="minorBidi"/>
      <w:szCs w:val="22"/>
    </w:rPr>
  </w:style>
  <w:style w:type="paragraph" w:styleId="z-">
    <w:name w:val="HTML Top of Form"/>
    <w:basedOn w:val="a"/>
    <w:next w:val="a"/>
    <w:link w:val="z-0"/>
    <w:hidden/>
    <w:rsid w:val="003474F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0"/>
    <w:link w:val="z-"/>
    <w:rsid w:val="003474F2"/>
    <w:rPr>
      <w:rFonts w:ascii="Arial" w:eastAsia="新細明體" w:hAnsi="Arial" w:cs="Arial"/>
      <w:vanish/>
      <w:kern w:val="0"/>
      <w:sz w:val="16"/>
      <w:szCs w:val="16"/>
    </w:rPr>
  </w:style>
  <w:style w:type="paragraph" w:styleId="z-1">
    <w:name w:val="HTML Bottom of Form"/>
    <w:basedOn w:val="a"/>
    <w:next w:val="a"/>
    <w:link w:val="z-2"/>
    <w:hidden/>
    <w:rsid w:val="003474F2"/>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0"/>
    <w:link w:val="z-1"/>
    <w:rsid w:val="003474F2"/>
    <w:rPr>
      <w:rFonts w:ascii="Arial" w:eastAsia="新細明體" w:hAnsi="Arial" w:cs="Arial"/>
      <w:vanish/>
      <w:kern w:val="0"/>
      <w:sz w:val="16"/>
      <w:szCs w:val="16"/>
    </w:rPr>
  </w:style>
  <w:style w:type="character" w:customStyle="1" w:styleId="fieldlabel1">
    <w:name w:val="fieldlabel1"/>
    <w:basedOn w:val="a0"/>
    <w:semiHidden/>
    <w:rsid w:val="003474F2"/>
    <w:rPr>
      <w:rFonts w:ascii="Verdana" w:hAnsi="Verdana" w:hint="default"/>
      <w:b/>
      <w:bCs/>
    </w:rPr>
  </w:style>
  <w:style w:type="paragraph" w:customStyle="1" w:styleId="12">
    <w:name w:val="本文1"/>
    <w:basedOn w:val="a3"/>
    <w:autoRedefine/>
    <w:qFormat/>
    <w:rsid w:val="000A30A9"/>
    <w:pPr>
      <w:jc w:val="left"/>
    </w:pPr>
    <w:rPr>
      <w:color w:val="0000FF"/>
      <w:kern w:val="2"/>
      <w:szCs w:val="24"/>
    </w:rPr>
  </w:style>
  <w:style w:type="character" w:customStyle="1" w:styleId="60">
    <w:name w:val="標題 6 字元"/>
    <w:basedOn w:val="a0"/>
    <w:link w:val="6"/>
    <w:rsid w:val="006B348C"/>
    <w:rPr>
      <w:rFonts w:ascii="Geneva" w:eastAsia="Arial Unicode MS" w:hAnsi="Geneva" w:cs="Arial Unicode MS"/>
      <w:b/>
      <w:bCs/>
      <w:color w:val="333333"/>
      <w:kern w:val="0"/>
      <w:sz w:val="17"/>
      <w:szCs w:val="17"/>
    </w:rPr>
  </w:style>
  <w:style w:type="character" w:styleId="a6">
    <w:name w:val="FollowedHyperlink"/>
    <w:basedOn w:val="a0"/>
    <w:semiHidden/>
    <w:unhideWhenUsed/>
    <w:rsid w:val="00004E3E"/>
    <w:rPr>
      <w:color w:val="800080" w:themeColor="followedHyperlink"/>
      <w:u w:val="single"/>
    </w:rPr>
  </w:style>
  <w:style w:type="paragraph" w:styleId="a7">
    <w:name w:val="header"/>
    <w:basedOn w:val="a"/>
    <w:link w:val="a8"/>
    <w:uiPriority w:val="99"/>
    <w:semiHidden/>
    <w:unhideWhenUsed/>
    <w:rsid w:val="00DB5B2F"/>
    <w:pPr>
      <w:tabs>
        <w:tab w:val="center" w:pos="4153"/>
        <w:tab w:val="right" w:pos="8306"/>
      </w:tabs>
      <w:snapToGrid w:val="0"/>
    </w:pPr>
    <w:rPr>
      <w:rFonts w:asciiTheme="minorHAnsi" w:eastAsiaTheme="minorEastAsia" w:hAnsiTheme="minorHAnsi" w:cstheme="minorBidi"/>
      <w:sz w:val="20"/>
      <w:szCs w:val="20"/>
    </w:rPr>
  </w:style>
  <w:style w:type="character" w:customStyle="1" w:styleId="a8">
    <w:name w:val="頁首 字元"/>
    <w:basedOn w:val="a0"/>
    <w:link w:val="a7"/>
    <w:uiPriority w:val="99"/>
    <w:semiHidden/>
    <w:rsid w:val="00DB5B2F"/>
    <w:rPr>
      <w:sz w:val="20"/>
      <w:szCs w:val="20"/>
    </w:rPr>
  </w:style>
  <w:style w:type="paragraph" w:styleId="a9">
    <w:name w:val="footer"/>
    <w:basedOn w:val="a"/>
    <w:link w:val="aa"/>
    <w:uiPriority w:val="99"/>
    <w:unhideWhenUsed/>
    <w:rsid w:val="00920610"/>
    <w:pPr>
      <w:tabs>
        <w:tab w:val="center" w:pos="4153"/>
        <w:tab w:val="right" w:pos="8306"/>
      </w:tabs>
      <w:snapToGrid w:val="0"/>
    </w:pPr>
    <w:rPr>
      <w:sz w:val="20"/>
      <w:szCs w:val="20"/>
    </w:rPr>
  </w:style>
  <w:style w:type="character" w:customStyle="1" w:styleId="aa">
    <w:name w:val="頁尾 字元"/>
    <w:basedOn w:val="a0"/>
    <w:link w:val="a9"/>
    <w:uiPriority w:val="99"/>
    <w:rsid w:val="00920610"/>
    <w:rPr>
      <w:rFonts w:ascii="Times New Roman" w:eastAsia="新細明體" w:hAnsi="Times New Roman" w:cs="Times New Roman"/>
      <w:sz w:val="20"/>
      <w:szCs w:val="20"/>
    </w:rPr>
  </w:style>
  <w:style w:type="paragraph" w:styleId="ab">
    <w:name w:val="Balloon Text"/>
    <w:basedOn w:val="a"/>
    <w:link w:val="ac"/>
    <w:uiPriority w:val="99"/>
    <w:semiHidden/>
    <w:unhideWhenUsed/>
    <w:rsid w:val="00B5463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54633"/>
    <w:rPr>
      <w:rFonts w:asciiTheme="majorHAnsi" w:eastAsiaTheme="majorEastAsia" w:hAnsiTheme="majorHAnsi" w:cstheme="majorBidi"/>
      <w:sz w:val="18"/>
      <w:szCs w:val="18"/>
    </w:rPr>
  </w:style>
  <w:style w:type="paragraph" w:styleId="Web">
    <w:name w:val="Normal (Web)"/>
    <w:basedOn w:val="a"/>
    <w:uiPriority w:val="99"/>
    <w:semiHidden/>
    <w:unhideWhenUsed/>
    <w:rsid w:val="00B54633"/>
    <w:pPr>
      <w:widowControl/>
      <w:spacing w:before="100" w:beforeAutospacing="1" w:after="100" w:afterAutospacing="1"/>
    </w:pPr>
    <w:rPr>
      <w:rFonts w:ascii="新細明體" w:hAnsi="新細明體" w:cs="新細明體"/>
      <w:kern w:val="0"/>
    </w:rPr>
  </w:style>
  <w:style w:type="character" w:customStyle="1" w:styleId="50">
    <w:name w:val="標題 5 字元"/>
    <w:basedOn w:val="a0"/>
    <w:link w:val="5"/>
    <w:uiPriority w:val="99"/>
    <w:rsid w:val="00121D67"/>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2367">
      <w:bodyDiv w:val="1"/>
      <w:marLeft w:val="0"/>
      <w:marRight w:val="0"/>
      <w:marTop w:val="0"/>
      <w:marBottom w:val="0"/>
      <w:divBdr>
        <w:top w:val="none" w:sz="0" w:space="0" w:color="auto"/>
        <w:left w:val="none" w:sz="0" w:space="0" w:color="auto"/>
        <w:bottom w:val="none" w:sz="0" w:space="0" w:color="auto"/>
        <w:right w:val="none" w:sz="0" w:space="0" w:color="auto"/>
      </w:divBdr>
    </w:div>
    <w:div w:id="35739016">
      <w:bodyDiv w:val="1"/>
      <w:marLeft w:val="0"/>
      <w:marRight w:val="0"/>
      <w:marTop w:val="0"/>
      <w:marBottom w:val="0"/>
      <w:divBdr>
        <w:top w:val="none" w:sz="0" w:space="0" w:color="auto"/>
        <w:left w:val="none" w:sz="0" w:space="0" w:color="auto"/>
        <w:bottom w:val="none" w:sz="0" w:space="0" w:color="auto"/>
        <w:right w:val="none" w:sz="0" w:space="0" w:color="auto"/>
      </w:divBdr>
    </w:div>
    <w:div w:id="41903472">
      <w:bodyDiv w:val="1"/>
      <w:marLeft w:val="0"/>
      <w:marRight w:val="0"/>
      <w:marTop w:val="0"/>
      <w:marBottom w:val="0"/>
      <w:divBdr>
        <w:top w:val="none" w:sz="0" w:space="0" w:color="auto"/>
        <w:left w:val="none" w:sz="0" w:space="0" w:color="auto"/>
        <w:bottom w:val="none" w:sz="0" w:space="0" w:color="auto"/>
        <w:right w:val="none" w:sz="0" w:space="0" w:color="auto"/>
      </w:divBdr>
    </w:div>
    <w:div w:id="115758772">
      <w:bodyDiv w:val="1"/>
      <w:marLeft w:val="0"/>
      <w:marRight w:val="0"/>
      <w:marTop w:val="0"/>
      <w:marBottom w:val="0"/>
      <w:divBdr>
        <w:top w:val="none" w:sz="0" w:space="0" w:color="auto"/>
        <w:left w:val="none" w:sz="0" w:space="0" w:color="auto"/>
        <w:bottom w:val="none" w:sz="0" w:space="0" w:color="auto"/>
        <w:right w:val="none" w:sz="0" w:space="0" w:color="auto"/>
      </w:divBdr>
    </w:div>
    <w:div w:id="127213952">
      <w:bodyDiv w:val="1"/>
      <w:marLeft w:val="0"/>
      <w:marRight w:val="0"/>
      <w:marTop w:val="0"/>
      <w:marBottom w:val="0"/>
      <w:divBdr>
        <w:top w:val="none" w:sz="0" w:space="0" w:color="auto"/>
        <w:left w:val="none" w:sz="0" w:space="0" w:color="auto"/>
        <w:bottom w:val="none" w:sz="0" w:space="0" w:color="auto"/>
        <w:right w:val="none" w:sz="0" w:space="0" w:color="auto"/>
      </w:divBdr>
    </w:div>
    <w:div w:id="131556043">
      <w:bodyDiv w:val="1"/>
      <w:marLeft w:val="0"/>
      <w:marRight w:val="0"/>
      <w:marTop w:val="0"/>
      <w:marBottom w:val="0"/>
      <w:divBdr>
        <w:top w:val="none" w:sz="0" w:space="0" w:color="auto"/>
        <w:left w:val="none" w:sz="0" w:space="0" w:color="auto"/>
        <w:bottom w:val="none" w:sz="0" w:space="0" w:color="auto"/>
        <w:right w:val="none" w:sz="0" w:space="0" w:color="auto"/>
      </w:divBdr>
    </w:div>
    <w:div w:id="165823690">
      <w:bodyDiv w:val="1"/>
      <w:marLeft w:val="0"/>
      <w:marRight w:val="0"/>
      <w:marTop w:val="0"/>
      <w:marBottom w:val="0"/>
      <w:divBdr>
        <w:top w:val="none" w:sz="0" w:space="0" w:color="auto"/>
        <w:left w:val="none" w:sz="0" w:space="0" w:color="auto"/>
        <w:bottom w:val="none" w:sz="0" w:space="0" w:color="auto"/>
        <w:right w:val="none" w:sz="0" w:space="0" w:color="auto"/>
      </w:divBdr>
    </w:div>
    <w:div w:id="256795003">
      <w:bodyDiv w:val="1"/>
      <w:marLeft w:val="0"/>
      <w:marRight w:val="0"/>
      <w:marTop w:val="0"/>
      <w:marBottom w:val="0"/>
      <w:divBdr>
        <w:top w:val="none" w:sz="0" w:space="0" w:color="auto"/>
        <w:left w:val="none" w:sz="0" w:space="0" w:color="auto"/>
        <w:bottom w:val="none" w:sz="0" w:space="0" w:color="auto"/>
        <w:right w:val="none" w:sz="0" w:space="0" w:color="auto"/>
      </w:divBdr>
    </w:div>
    <w:div w:id="263735846">
      <w:bodyDiv w:val="1"/>
      <w:marLeft w:val="0"/>
      <w:marRight w:val="0"/>
      <w:marTop w:val="0"/>
      <w:marBottom w:val="0"/>
      <w:divBdr>
        <w:top w:val="none" w:sz="0" w:space="0" w:color="auto"/>
        <w:left w:val="none" w:sz="0" w:space="0" w:color="auto"/>
        <w:bottom w:val="none" w:sz="0" w:space="0" w:color="auto"/>
        <w:right w:val="none" w:sz="0" w:space="0" w:color="auto"/>
      </w:divBdr>
    </w:div>
    <w:div w:id="264769442">
      <w:bodyDiv w:val="1"/>
      <w:marLeft w:val="0"/>
      <w:marRight w:val="0"/>
      <w:marTop w:val="0"/>
      <w:marBottom w:val="0"/>
      <w:divBdr>
        <w:top w:val="none" w:sz="0" w:space="0" w:color="auto"/>
        <w:left w:val="none" w:sz="0" w:space="0" w:color="auto"/>
        <w:bottom w:val="none" w:sz="0" w:space="0" w:color="auto"/>
        <w:right w:val="none" w:sz="0" w:space="0" w:color="auto"/>
      </w:divBdr>
    </w:div>
    <w:div w:id="296305922">
      <w:bodyDiv w:val="1"/>
      <w:marLeft w:val="0"/>
      <w:marRight w:val="0"/>
      <w:marTop w:val="0"/>
      <w:marBottom w:val="0"/>
      <w:divBdr>
        <w:top w:val="none" w:sz="0" w:space="0" w:color="auto"/>
        <w:left w:val="none" w:sz="0" w:space="0" w:color="auto"/>
        <w:bottom w:val="none" w:sz="0" w:space="0" w:color="auto"/>
        <w:right w:val="none" w:sz="0" w:space="0" w:color="auto"/>
      </w:divBdr>
    </w:div>
    <w:div w:id="307248641">
      <w:bodyDiv w:val="1"/>
      <w:marLeft w:val="0"/>
      <w:marRight w:val="0"/>
      <w:marTop w:val="0"/>
      <w:marBottom w:val="0"/>
      <w:divBdr>
        <w:top w:val="none" w:sz="0" w:space="0" w:color="auto"/>
        <w:left w:val="none" w:sz="0" w:space="0" w:color="auto"/>
        <w:bottom w:val="none" w:sz="0" w:space="0" w:color="auto"/>
        <w:right w:val="none" w:sz="0" w:space="0" w:color="auto"/>
      </w:divBdr>
    </w:div>
    <w:div w:id="315644078">
      <w:bodyDiv w:val="1"/>
      <w:marLeft w:val="0"/>
      <w:marRight w:val="0"/>
      <w:marTop w:val="0"/>
      <w:marBottom w:val="0"/>
      <w:divBdr>
        <w:top w:val="none" w:sz="0" w:space="0" w:color="auto"/>
        <w:left w:val="none" w:sz="0" w:space="0" w:color="auto"/>
        <w:bottom w:val="none" w:sz="0" w:space="0" w:color="auto"/>
        <w:right w:val="none" w:sz="0" w:space="0" w:color="auto"/>
      </w:divBdr>
    </w:div>
    <w:div w:id="348338141">
      <w:bodyDiv w:val="1"/>
      <w:marLeft w:val="0"/>
      <w:marRight w:val="0"/>
      <w:marTop w:val="0"/>
      <w:marBottom w:val="0"/>
      <w:divBdr>
        <w:top w:val="none" w:sz="0" w:space="0" w:color="auto"/>
        <w:left w:val="none" w:sz="0" w:space="0" w:color="auto"/>
        <w:bottom w:val="none" w:sz="0" w:space="0" w:color="auto"/>
        <w:right w:val="none" w:sz="0" w:space="0" w:color="auto"/>
      </w:divBdr>
    </w:div>
    <w:div w:id="351803239">
      <w:bodyDiv w:val="1"/>
      <w:marLeft w:val="0"/>
      <w:marRight w:val="0"/>
      <w:marTop w:val="0"/>
      <w:marBottom w:val="0"/>
      <w:divBdr>
        <w:top w:val="none" w:sz="0" w:space="0" w:color="auto"/>
        <w:left w:val="none" w:sz="0" w:space="0" w:color="auto"/>
        <w:bottom w:val="none" w:sz="0" w:space="0" w:color="auto"/>
        <w:right w:val="none" w:sz="0" w:space="0" w:color="auto"/>
      </w:divBdr>
    </w:div>
    <w:div w:id="420413475">
      <w:bodyDiv w:val="1"/>
      <w:marLeft w:val="0"/>
      <w:marRight w:val="0"/>
      <w:marTop w:val="0"/>
      <w:marBottom w:val="0"/>
      <w:divBdr>
        <w:top w:val="none" w:sz="0" w:space="0" w:color="auto"/>
        <w:left w:val="none" w:sz="0" w:space="0" w:color="auto"/>
        <w:bottom w:val="none" w:sz="0" w:space="0" w:color="auto"/>
        <w:right w:val="none" w:sz="0" w:space="0" w:color="auto"/>
      </w:divBdr>
    </w:div>
    <w:div w:id="428044123">
      <w:bodyDiv w:val="1"/>
      <w:marLeft w:val="0"/>
      <w:marRight w:val="0"/>
      <w:marTop w:val="0"/>
      <w:marBottom w:val="0"/>
      <w:divBdr>
        <w:top w:val="none" w:sz="0" w:space="0" w:color="auto"/>
        <w:left w:val="none" w:sz="0" w:space="0" w:color="auto"/>
        <w:bottom w:val="none" w:sz="0" w:space="0" w:color="auto"/>
        <w:right w:val="none" w:sz="0" w:space="0" w:color="auto"/>
      </w:divBdr>
    </w:div>
    <w:div w:id="477113318">
      <w:bodyDiv w:val="1"/>
      <w:marLeft w:val="0"/>
      <w:marRight w:val="0"/>
      <w:marTop w:val="0"/>
      <w:marBottom w:val="0"/>
      <w:divBdr>
        <w:top w:val="none" w:sz="0" w:space="0" w:color="auto"/>
        <w:left w:val="none" w:sz="0" w:space="0" w:color="auto"/>
        <w:bottom w:val="none" w:sz="0" w:space="0" w:color="auto"/>
        <w:right w:val="none" w:sz="0" w:space="0" w:color="auto"/>
      </w:divBdr>
    </w:div>
    <w:div w:id="519440580">
      <w:bodyDiv w:val="1"/>
      <w:marLeft w:val="0"/>
      <w:marRight w:val="0"/>
      <w:marTop w:val="0"/>
      <w:marBottom w:val="0"/>
      <w:divBdr>
        <w:top w:val="none" w:sz="0" w:space="0" w:color="auto"/>
        <w:left w:val="none" w:sz="0" w:space="0" w:color="auto"/>
        <w:bottom w:val="none" w:sz="0" w:space="0" w:color="auto"/>
        <w:right w:val="none" w:sz="0" w:space="0" w:color="auto"/>
      </w:divBdr>
    </w:div>
    <w:div w:id="535313378">
      <w:bodyDiv w:val="1"/>
      <w:marLeft w:val="0"/>
      <w:marRight w:val="0"/>
      <w:marTop w:val="0"/>
      <w:marBottom w:val="0"/>
      <w:divBdr>
        <w:top w:val="none" w:sz="0" w:space="0" w:color="auto"/>
        <w:left w:val="none" w:sz="0" w:space="0" w:color="auto"/>
        <w:bottom w:val="none" w:sz="0" w:space="0" w:color="auto"/>
        <w:right w:val="none" w:sz="0" w:space="0" w:color="auto"/>
      </w:divBdr>
    </w:div>
    <w:div w:id="540440563">
      <w:bodyDiv w:val="1"/>
      <w:marLeft w:val="0"/>
      <w:marRight w:val="0"/>
      <w:marTop w:val="0"/>
      <w:marBottom w:val="0"/>
      <w:divBdr>
        <w:top w:val="none" w:sz="0" w:space="0" w:color="auto"/>
        <w:left w:val="none" w:sz="0" w:space="0" w:color="auto"/>
        <w:bottom w:val="none" w:sz="0" w:space="0" w:color="auto"/>
        <w:right w:val="none" w:sz="0" w:space="0" w:color="auto"/>
      </w:divBdr>
    </w:div>
    <w:div w:id="554435113">
      <w:bodyDiv w:val="1"/>
      <w:marLeft w:val="0"/>
      <w:marRight w:val="0"/>
      <w:marTop w:val="0"/>
      <w:marBottom w:val="0"/>
      <w:divBdr>
        <w:top w:val="none" w:sz="0" w:space="0" w:color="auto"/>
        <w:left w:val="none" w:sz="0" w:space="0" w:color="auto"/>
        <w:bottom w:val="none" w:sz="0" w:space="0" w:color="auto"/>
        <w:right w:val="none" w:sz="0" w:space="0" w:color="auto"/>
      </w:divBdr>
    </w:div>
    <w:div w:id="591354227">
      <w:bodyDiv w:val="1"/>
      <w:marLeft w:val="0"/>
      <w:marRight w:val="0"/>
      <w:marTop w:val="0"/>
      <w:marBottom w:val="0"/>
      <w:divBdr>
        <w:top w:val="none" w:sz="0" w:space="0" w:color="auto"/>
        <w:left w:val="none" w:sz="0" w:space="0" w:color="auto"/>
        <w:bottom w:val="none" w:sz="0" w:space="0" w:color="auto"/>
        <w:right w:val="none" w:sz="0" w:space="0" w:color="auto"/>
      </w:divBdr>
    </w:div>
    <w:div w:id="595287322">
      <w:bodyDiv w:val="1"/>
      <w:marLeft w:val="0"/>
      <w:marRight w:val="0"/>
      <w:marTop w:val="0"/>
      <w:marBottom w:val="0"/>
      <w:divBdr>
        <w:top w:val="none" w:sz="0" w:space="0" w:color="auto"/>
        <w:left w:val="none" w:sz="0" w:space="0" w:color="auto"/>
        <w:bottom w:val="none" w:sz="0" w:space="0" w:color="auto"/>
        <w:right w:val="none" w:sz="0" w:space="0" w:color="auto"/>
      </w:divBdr>
    </w:div>
    <w:div w:id="642581158">
      <w:bodyDiv w:val="1"/>
      <w:marLeft w:val="0"/>
      <w:marRight w:val="0"/>
      <w:marTop w:val="0"/>
      <w:marBottom w:val="0"/>
      <w:divBdr>
        <w:top w:val="none" w:sz="0" w:space="0" w:color="auto"/>
        <w:left w:val="none" w:sz="0" w:space="0" w:color="auto"/>
        <w:bottom w:val="none" w:sz="0" w:space="0" w:color="auto"/>
        <w:right w:val="none" w:sz="0" w:space="0" w:color="auto"/>
      </w:divBdr>
    </w:div>
    <w:div w:id="657880047">
      <w:bodyDiv w:val="1"/>
      <w:marLeft w:val="0"/>
      <w:marRight w:val="0"/>
      <w:marTop w:val="0"/>
      <w:marBottom w:val="0"/>
      <w:divBdr>
        <w:top w:val="none" w:sz="0" w:space="0" w:color="auto"/>
        <w:left w:val="none" w:sz="0" w:space="0" w:color="auto"/>
        <w:bottom w:val="none" w:sz="0" w:space="0" w:color="auto"/>
        <w:right w:val="none" w:sz="0" w:space="0" w:color="auto"/>
      </w:divBdr>
    </w:div>
    <w:div w:id="676230434">
      <w:bodyDiv w:val="1"/>
      <w:marLeft w:val="0"/>
      <w:marRight w:val="0"/>
      <w:marTop w:val="0"/>
      <w:marBottom w:val="0"/>
      <w:divBdr>
        <w:top w:val="none" w:sz="0" w:space="0" w:color="auto"/>
        <w:left w:val="none" w:sz="0" w:space="0" w:color="auto"/>
        <w:bottom w:val="none" w:sz="0" w:space="0" w:color="auto"/>
        <w:right w:val="none" w:sz="0" w:space="0" w:color="auto"/>
      </w:divBdr>
    </w:div>
    <w:div w:id="702629656">
      <w:bodyDiv w:val="1"/>
      <w:marLeft w:val="0"/>
      <w:marRight w:val="0"/>
      <w:marTop w:val="0"/>
      <w:marBottom w:val="0"/>
      <w:divBdr>
        <w:top w:val="none" w:sz="0" w:space="0" w:color="auto"/>
        <w:left w:val="none" w:sz="0" w:space="0" w:color="auto"/>
        <w:bottom w:val="none" w:sz="0" w:space="0" w:color="auto"/>
        <w:right w:val="none" w:sz="0" w:space="0" w:color="auto"/>
      </w:divBdr>
    </w:div>
    <w:div w:id="712265600">
      <w:bodyDiv w:val="1"/>
      <w:marLeft w:val="0"/>
      <w:marRight w:val="0"/>
      <w:marTop w:val="0"/>
      <w:marBottom w:val="0"/>
      <w:divBdr>
        <w:top w:val="none" w:sz="0" w:space="0" w:color="auto"/>
        <w:left w:val="none" w:sz="0" w:space="0" w:color="auto"/>
        <w:bottom w:val="none" w:sz="0" w:space="0" w:color="auto"/>
        <w:right w:val="none" w:sz="0" w:space="0" w:color="auto"/>
      </w:divBdr>
    </w:div>
    <w:div w:id="742220587">
      <w:bodyDiv w:val="1"/>
      <w:marLeft w:val="0"/>
      <w:marRight w:val="0"/>
      <w:marTop w:val="0"/>
      <w:marBottom w:val="0"/>
      <w:divBdr>
        <w:top w:val="none" w:sz="0" w:space="0" w:color="auto"/>
        <w:left w:val="none" w:sz="0" w:space="0" w:color="auto"/>
        <w:bottom w:val="none" w:sz="0" w:space="0" w:color="auto"/>
        <w:right w:val="none" w:sz="0" w:space="0" w:color="auto"/>
      </w:divBdr>
    </w:div>
    <w:div w:id="750584224">
      <w:bodyDiv w:val="1"/>
      <w:marLeft w:val="0"/>
      <w:marRight w:val="0"/>
      <w:marTop w:val="0"/>
      <w:marBottom w:val="0"/>
      <w:divBdr>
        <w:top w:val="none" w:sz="0" w:space="0" w:color="auto"/>
        <w:left w:val="none" w:sz="0" w:space="0" w:color="auto"/>
        <w:bottom w:val="none" w:sz="0" w:space="0" w:color="auto"/>
        <w:right w:val="none" w:sz="0" w:space="0" w:color="auto"/>
      </w:divBdr>
    </w:div>
    <w:div w:id="802696510">
      <w:bodyDiv w:val="1"/>
      <w:marLeft w:val="0"/>
      <w:marRight w:val="0"/>
      <w:marTop w:val="0"/>
      <w:marBottom w:val="0"/>
      <w:divBdr>
        <w:top w:val="none" w:sz="0" w:space="0" w:color="auto"/>
        <w:left w:val="none" w:sz="0" w:space="0" w:color="auto"/>
        <w:bottom w:val="none" w:sz="0" w:space="0" w:color="auto"/>
        <w:right w:val="none" w:sz="0" w:space="0" w:color="auto"/>
      </w:divBdr>
    </w:div>
    <w:div w:id="853613106">
      <w:bodyDiv w:val="1"/>
      <w:marLeft w:val="0"/>
      <w:marRight w:val="0"/>
      <w:marTop w:val="0"/>
      <w:marBottom w:val="0"/>
      <w:divBdr>
        <w:top w:val="none" w:sz="0" w:space="0" w:color="auto"/>
        <w:left w:val="none" w:sz="0" w:space="0" w:color="auto"/>
        <w:bottom w:val="none" w:sz="0" w:space="0" w:color="auto"/>
        <w:right w:val="none" w:sz="0" w:space="0" w:color="auto"/>
      </w:divBdr>
    </w:div>
    <w:div w:id="855315741">
      <w:bodyDiv w:val="1"/>
      <w:marLeft w:val="0"/>
      <w:marRight w:val="0"/>
      <w:marTop w:val="0"/>
      <w:marBottom w:val="0"/>
      <w:divBdr>
        <w:top w:val="none" w:sz="0" w:space="0" w:color="auto"/>
        <w:left w:val="none" w:sz="0" w:space="0" w:color="auto"/>
        <w:bottom w:val="none" w:sz="0" w:space="0" w:color="auto"/>
        <w:right w:val="none" w:sz="0" w:space="0" w:color="auto"/>
      </w:divBdr>
    </w:div>
    <w:div w:id="866337184">
      <w:bodyDiv w:val="1"/>
      <w:marLeft w:val="0"/>
      <w:marRight w:val="0"/>
      <w:marTop w:val="0"/>
      <w:marBottom w:val="0"/>
      <w:divBdr>
        <w:top w:val="none" w:sz="0" w:space="0" w:color="auto"/>
        <w:left w:val="none" w:sz="0" w:space="0" w:color="auto"/>
        <w:bottom w:val="none" w:sz="0" w:space="0" w:color="auto"/>
        <w:right w:val="none" w:sz="0" w:space="0" w:color="auto"/>
      </w:divBdr>
    </w:div>
    <w:div w:id="877887473">
      <w:bodyDiv w:val="1"/>
      <w:marLeft w:val="0"/>
      <w:marRight w:val="0"/>
      <w:marTop w:val="0"/>
      <w:marBottom w:val="0"/>
      <w:divBdr>
        <w:top w:val="none" w:sz="0" w:space="0" w:color="auto"/>
        <w:left w:val="none" w:sz="0" w:space="0" w:color="auto"/>
        <w:bottom w:val="none" w:sz="0" w:space="0" w:color="auto"/>
        <w:right w:val="none" w:sz="0" w:space="0" w:color="auto"/>
      </w:divBdr>
    </w:div>
    <w:div w:id="886112715">
      <w:bodyDiv w:val="1"/>
      <w:marLeft w:val="0"/>
      <w:marRight w:val="0"/>
      <w:marTop w:val="0"/>
      <w:marBottom w:val="0"/>
      <w:divBdr>
        <w:top w:val="none" w:sz="0" w:space="0" w:color="auto"/>
        <w:left w:val="none" w:sz="0" w:space="0" w:color="auto"/>
        <w:bottom w:val="none" w:sz="0" w:space="0" w:color="auto"/>
        <w:right w:val="none" w:sz="0" w:space="0" w:color="auto"/>
      </w:divBdr>
    </w:div>
    <w:div w:id="929318456">
      <w:bodyDiv w:val="1"/>
      <w:marLeft w:val="0"/>
      <w:marRight w:val="0"/>
      <w:marTop w:val="0"/>
      <w:marBottom w:val="0"/>
      <w:divBdr>
        <w:top w:val="none" w:sz="0" w:space="0" w:color="auto"/>
        <w:left w:val="none" w:sz="0" w:space="0" w:color="auto"/>
        <w:bottom w:val="none" w:sz="0" w:space="0" w:color="auto"/>
        <w:right w:val="none" w:sz="0" w:space="0" w:color="auto"/>
      </w:divBdr>
    </w:div>
    <w:div w:id="933395438">
      <w:bodyDiv w:val="1"/>
      <w:marLeft w:val="0"/>
      <w:marRight w:val="0"/>
      <w:marTop w:val="0"/>
      <w:marBottom w:val="0"/>
      <w:divBdr>
        <w:top w:val="none" w:sz="0" w:space="0" w:color="auto"/>
        <w:left w:val="none" w:sz="0" w:space="0" w:color="auto"/>
        <w:bottom w:val="none" w:sz="0" w:space="0" w:color="auto"/>
        <w:right w:val="none" w:sz="0" w:space="0" w:color="auto"/>
      </w:divBdr>
    </w:div>
    <w:div w:id="958075039">
      <w:bodyDiv w:val="1"/>
      <w:marLeft w:val="0"/>
      <w:marRight w:val="0"/>
      <w:marTop w:val="0"/>
      <w:marBottom w:val="0"/>
      <w:divBdr>
        <w:top w:val="none" w:sz="0" w:space="0" w:color="auto"/>
        <w:left w:val="none" w:sz="0" w:space="0" w:color="auto"/>
        <w:bottom w:val="none" w:sz="0" w:space="0" w:color="auto"/>
        <w:right w:val="none" w:sz="0" w:space="0" w:color="auto"/>
      </w:divBdr>
    </w:div>
    <w:div w:id="983585085">
      <w:bodyDiv w:val="1"/>
      <w:marLeft w:val="0"/>
      <w:marRight w:val="0"/>
      <w:marTop w:val="0"/>
      <w:marBottom w:val="0"/>
      <w:divBdr>
        <w:top w:val="none" w:sz="0" w:space="0" w:color="auto"/>
        <w:left w:val="none" w:sz="0" w:space="0" w:color="auto"/>
        <w:bottom w:val="none" w:sz="0" w:space="0" w:color="auto"/>
        <w:right w:val="none" w:sz="0" w:space="0" w:color="auto"/>
      </w:divBdr>
    </w:div>
    <w:div w:id="983587038">
      <w:bodyDiv w:val="1"/>
      <w:marLeft w:val="0"/>
      <w:marRight w:val="0"/>
      <w:marTop w:val="0"/>
      <w:marBottom w:val="0"/>
      <w:divBdr>
        <w:top w:val="none" w:sz="0" w:space="0" w:color="auto"/>
        <w:left w:val="none" w:sz="0" w:space="0" w:color="auto"/>
        <w:bottom w:val="none" w:sz="0" w:space="0" w:color="auto"/>
        <w:right w:val="none" w:sz="0" w:space="0" w:color="auto"/>
      </w:divBdr>
    </w:div>
    <w:div w:id="1004043104">
      <w:bodyDiv w:val="1"/>
      <w:marLeft w:val="0"/>
      <w:marRight w:val="0"/>
      <w:marTop w:val="0"/>
      <w:marBottom w:val="0"/>
      <w:divBdr>
        <w:top w:val="none" w:sz="0" w:space="0" w:color="auto"/>
        <w:left w:val="none" w:sz="0" w:space="0" w:color="auto"/>
        <w:bottom w:val="none" w:sz="0" w:space="0" w:color="auto"/>
        <w:right w:val="none" w:sz="0" w:space="0" w:color="auto"/>
      </w:divBdr>
    </w:div>
    <w:div w:id="1028750400">
      <w:bodyDiv w:val="1"/>
      <w:marLeft w:val="0"/>
      <w:marRight w:val="0"/>
      <w:marTop w:val="0"/>
      <w:marBottom w:val="0"/>
      <w:divBdr>
        <w:top w:val="none" w:sz="0" w:space="0" w:color="auto"/>
        <w:left w:val="none" w:sz="0" w:space="0" w:color="auto"/>
        <w:bottom w:val="none" w:sz="0" w:space="0" w:color="auto"/>
        <w:right w:val="none" w:sz="0" w:space="0" w:color="auto"/>
      </w:divBdr>
    </w:div>
    <w:div w:id="1041367936">
      <w:bodyDiv w:val="1"/>
      <w:marLeft w:val="0"/>
      <w:marRight w:val="0"/>
      <w:marTop w:val="0"/>
      <w:marBottom w:val="0"/>
      <w:divBdr>
        <w:top w:val="none" w:sz="0" w:space="0" w:color="auto"/>
        <w:left w:val="none" w:sz="0" w:space="0" w:color="auto"/>
        <w:bottom w:val="none" w:sz="0" w:space="0" w:color="auto"/>
        <w:right w:val="none" w:sz="0" w:space="0" w:color="auto"/>
      </w:divBdr>
    </w:div>
    <w:div w:id="1050494020">
      <w:bodyDiv w:val="1"/>
      <w:marLeft w:val="0"/>
      <w:marRight w:val="0"/>
      <w:marTop w:val="0"/>
      <w:marBottom w:val="0"/>
      <w:divBdr>
        <w:top w:val="none" w:sz="0" w:space="0" w:color="auto"/>
        <w:left w:val="none" w:sz="0" w:space="0" w:color="auto"/>
        <w:bottom w:val="none" w:sz="0" w:space="0" w:color="auto"/>
        <w:right w:val="none" w:sz="0" w:space="0" w:color="auto"/>
      </w:divBdr>
    </w:div>
    <w:div w:id="1059011320">
      <w:bodyDiv w:val="1"/>
      <w:marLeft w:val="0"/>
      <w:marRight w:val="0"/>
      <w:marTop w:val="0"/>
      <w:marBottom w:val="0"/>
      <w:divBdr>
        <w:top w:val="none" w:sz="0" w:space="0" w:color="auto"/>
        <w:left w:val="none" w:sz="0" w:space="0" w:color="auto"/>
        <w:bottom w:val="none" w:sz="0" w:space="0" w:color="auto"/>
        <w:right w:val="none" w:sz="0" w:space="0" w:color="auto"/>
      </w:divBdr>
    </w:div>
    <w:div w:id="1070928318">
      <w:bodyDiv w:val="1"/>
      <w:marLeft w:val="0"/>
      <w:marRight w:val="0"/>
      <w:marTop w:val="0"/>
      <w:marBottom w:val="0"/>
      <w:divBdr>
        <w:top w:val="none" w:sz="0" w:space="0" w:color="auto"/>
        <w:left w:val="none" w:sz="0" w:space="0" w:color="auto"/>
        <w:bottom w:val="none" w:sz="0" w:space="0" w:color="auto"/>
        <w:right w:val="none" w:sz="0" w:space="0" w:color="auto"/>
      </w:divBdr>
    </w:div>
    <w:div w:id="1076054949">
      <w:bodyDiv w:val="1"/>
      <w:marLeft w:val="0"/>
      <w:marRight w:val="0"/>
      <w:marTop w:val="0"/>
      <w:marBottom w:val="0"/>
      <w:divBdr>
        <w:top w:val="none" w:sz="0" w:space="0" w:color="auto"/>
        <w:left w:val="none" w:sz="0" w:space="0" w:color="auto"/>
        <w:bottom w:val="none" w:sz="0" w:space="0" w:color="auto"/>
        <w:right w:val="none" w:sz="0" w:space="0" w:color="auto"/>
      </w:divBdr>
    </w:div>
    <w:div w:id="1080105544">
      <w:bodyDiv w:val="1"/>
      <w:marLeft w:val="0"/>
      <w:marRight w:val="0"/>
      <w:marTop w:val="0"/>
      <w:marBottom w:val="0"/>
      <w:divBdr>
        <w:top w:val="none" w:sz="0" w:space="0" w:color="auto"/>
        <w:left w:val="none" w:sz="0" w:space="0" w:color="auto"/>
        <w:bottom w:val="none" w:sz="0" w:space="0" w:color="auto"/>
        <w:right w:val="none" w:sz="0" w:space="0" w:color="auto"/>
      </w:divBdr>
    </w:div>
    <w:div w:id="1093428364">
      <w:bodyDiv w:val="1"/>
      <w:marLeft w:val="0"/>
      <w:marRight w:val="0"/>
      <w:marTop w:val="0"/>
      <w:marBottom w:val="0"/>
      <w:divBdr>
        <w:top w:val="none" w:sz="0" w:space="0" w:color="auto"/>
        <w:left w:val="none" w:sz="0" w:space="0" w:color="auto"/>
        <w:bottom w:val="none" w:sz="0" w:space="0" w:color="auto"/>
        <w:right w:val="none" w:sz="0" w:space="0" w:color="auto"/>
      </w:divBdr>
    </w:div>
    <w:div w:id="1134952872">
      <w:bodyDiv w:val="1"/>
      <w:marLeft w:val="0"/>
      <w:marRight w:val="0"/>
      <w:marTop w:val="0"/>
      <w:marBottom w:val="0"/>
      <w:divBdr>
        <w:top w:val="none" w:sz="0" w:space="0" w:color="auto"/>
        <w:left w:val="none" w:sz="0" w:space="0" w:color="auto"/>
        <w:bottom w:val="none" w:sz="0" w:space="0" w:color="auto"/>
        <w:right w:val="none" w:sz="0" w:space="0" w:color="auto"/>
      </w:divBdr>
    </w:div>
    <w:div w:id="1161963222">
      <w:bodyDiv w:val="1"/>
      <w:marLeft w:val="0"/>
      <w:marRight w:val="0"/>
      <w:marTop w:val="0"/>
      <w:marBottom w:val="0"/>
      <w:divBdr>
        <w:top w:val="none" w:sz="0" w:space="0" w:color="auto"/>
        <w:left w:val="none" w:sz="0" w:space="0" w:color="auto"/>
        <w:bottom w:val="none" w:sz="0" w:space="0" w:color="auto"/>
        <w:right w:val="none" w:sz="0" w:space="0" w:color="auto"/>
      </w:divBdr>
    </w:div>
    <w:div w:id="1168129097">
      <w:bodyDiv w:val="1"/>
      <w:marLeft w:val="0"/>
      <w:marRight w:val="0"/>
      <w:marTop w:val="0"/>
      <w:marBottom w:val="0"/>
      <w:divBdr>
        <w:top w:val="none" w:sz="0" w:space="0" w:color="auto"/>
        <w:left w:val="none" w:sz="0" w:space="0" w:color="auto"/>
        <w:bottom w:val="none" w:sz="0" w:space="0" w:color="auto"/>
        <w:right w:val="none" w:sz="0" w:space="0" w:color="auto"/>
      </w:divBdr>
    </w:div>
    <w:div w:id="1222866349">
      <w:bodyDiv w:val="1"/>
      <w:marLeft w:val="0"/>
      <w:marRight w:val="0"/>
      <w:marTop w:val="0"/>
      <w:marBottom w:val="0"/>
      <w:divBdr>
        <w:top w:val="none" w:sz="0" w:space="0" w:color="auto"/>
        <w:left w:val="none" w:sz="0" w:space="0" w:color="auto"/>
        <w:bottom w:val="none" w:sz="0" w:space="0" w:color="auto"/>
        <w:right w:val="none" w:sz="0" w:space="0" w:color="auto"/>
      </w:divBdr>
    </w:div>
    <w:div w:id="1233659881">
      <w:bodyDiv w:val="1"/>
      <w:marLeft w:val="0"/>
      <w:marRight w:val="0"/>
      <w:marTop w:val="0"/>
      <w:marBottom w:val="0"/>
      <w:divBdr>
        <w:top w:val="none" w:sz="0" w:space="0" w:color="auto"/>
        <w:left w:val="none" w:sz="0" w:space="0" w:color="auto"/>
        <w:bottom w:val="none" w:sz="0" w:space="0" w:color="auto"/>
        <w:right w:val="none" w:sz="0" w:space="0" w:color="auto"/>
      </w:divBdr>
    </w:div>
    <w:div w:id="1234196162">
      <w:bodyDiv w:val="1"/>
      <w:marLeft w:val="0"/>
      <w:marRight w:val="0"/>
      <w:marTop w:val="0"/>
      <w:marBottom w:val="0"/>
      <w:divBdr>
        <w:top w:val="none" w:sz="0" w:space="0" w:color="auto"/>
        <w:left w:val="none" w:sz="0" w:space="0" w:color="auto"/>
        <w:bottom w:val="none" w:sz="0" w:space="0" w:color="auto"/>
        <w:right w:val="none" w:sz="0" w:space="0" w:color="auto"/>
      </w:divBdr>
    </w:div>
    <w:div w:id="1240673578">
      <w:bodyDiv w:val="1"/>
      <w:marLeft w:val="0"/>
      <w:marRight w:val="0"/>
      <w:marTop w:val="0"/>
      <w:marBottom w:val="0"/>
      <w:divBdr>
        <w:top w:val="none" w:sz="0" w:space="0" w:color="auto"/>
        <w:left w:val="none" w:sz="0" w:space="0" w:color="auto"/>
        <w:bottom w:val="none" w:sz="0" w:space="0" w:color="auto"/>
        <w:right w:val="none" w:sz="0" w:space="0" w:color="auto"/>
      </w:divBdr>
    </w:div>
    <w:div w:id="1269190927">
      <w:bodyDiv w:val="1"/>
      <w:marLeft w:val="0"/>
      <w:marRight w:val="0"/>
      <w:marTop w:val="0"/>
      <w:marBottom w:val="0"/>
      <w:divBdr>
        <w:top w:val="none" w:sz="0" w:space="0" w:color="auto"/>
        <w:left w:val="none" w:sz="0" w:space="0" w:color="auto"/>
        <w:bottom w:val="none" w:sz="0" w:space="0" w:color="auto"/>
        <w:right w:val="none" w:sz="0" w:space="0" w:color="auto"/>
      </w:divBdr>
    </w:div>
    <w:div w:id="1311711370">
      <w:bodyDiv w:val="1"/>
      <w:marLeft w:val="0"/>
      <w:marRight w:val="0"/>
      <w:marTop w:val="0"/>
      <w:marBottom w:val="0"/>
      <w:divBdr>
        <w:top w:val="none" w:sz="0" w:space="0" w:color="auto"/>
        <w:left w:val="none" w:sz="0" w:space="0" w:color="auto"/>
        <w:bottom w:val="none" w:sz="0" w:space="0" w:color="auto"/>
        <w:right w:val="none" w:sz="0" w:space="0" w:color="auto"/>
      </w:divBdr>
    </w:div>
    <w:div w:id="1399666989">
      <w:bodyDiv w:val="1"/>
      <w:marLeft w:val="0"/>
      <w:marRight w:val="0"/>
      <w:marTop w:val="0"/>
      <w:marBottom w:val="0"/>
      <w:divBdr>
        <w:top w:val="none" w:sz="0" w:space="0" w:color="auto"/>
        <w:left w:val="none" w:sz="0" w:space="0" w:color="auto"/>
        <w:bottom w:val="none" w:sz="0" w:space="0" w:color="auto"/>
        <w:right w:val="none" w:sz="0" w:space="0" w:color="auto"/>
      </w:divBdr>
    </w:div>
    <w:div w:id="1459453230">
      <w:bodyDiv w:val="1"/>
      <w:marLeft w:val="0"/>
      <w:marRight w:val="0"/>
      <w:marTop w:val="0"/>
      <w:marBottom w:val="0"/>
      <w:divBdr>
        <w:top w:val="none" w:sz="0" w:space="0" w:color="auto"/>
        <w:left w:val="none" w:sz="0" w:space="0" w:color="auto"/>
        <w:bottom w:val="none" w:sz="0" w:space="0" w:color="auto"/>
        <w:right w:val="none" w:sz="0" w:space="0" w:color="auto"/>
      </w:divBdr>
    </w:div>
    <w:div w:id="1464424734">
      <w:bodyDiv w:val="1"/>
      <w:marLeft w:val="0"/>
      <w:marRight w:val="0"/>
      <w:marTop w:val="0"/>
      <w:marBottom w:val="0"/>
      <w:divBdr>
        <w:top w:val="none" w:sz="0" w:space="0" w:color="auto"/>
        <w:left w:val="none" w:sz="0" w:space="0" w:color="auto"/>
        <w:bottom w:val="none" w:sz="0" w:space="0" w:color="auto"/>
        <w:right w:val="none" w:sz="0" w:space="0" w:color="auto"/>
      </w:divBdr>
    </w:div>
    <w:div w:id="1496265235">
      <w:bodyDiv w:val="1"/>
      <w:marLeft w:val="0"/>
      <w:marRight w:val="0"/>
      <w:marTop w:val="0"/>
      <w:marBottom w:val="0"/>
      <w:divBdr>
        <w:top w:val="none" w:sz="0" w:space="0" w:color="auto"/>
        <w:left w:val="none" w:sz="0" w:space="0" w:color="auto"/>
        <w:bottom w:val="none" w:sz="0" w:space="0" w:color="auto"/>
        <w:right w:val="none" w:sz="0" w:space="0" w:color="auto"/>
      </w:divBdr>
    </w:div>
    <w:div w:id="1538008300">
      <w:bodyDiv w:val="1"/>
      <w:marLeft w:val="0"/>
      <w:marRight w:val="0"/>
      <w:marTop w:val="0"/>
      <w:marBottom w:val="0"/>
      <w:divBdr>
        <w:top w:val="none" w:sz="0" w:space="0" w:color="auto"/>
        <w:left w:val="none" w:sz="0" w:space="0" w:color="auto"/>
        <w:bottom w:val="none" w:sz="0" w:space="0" w:color="auto"/>
        <w:right w:val="none" w:sz="0" w:space="0" w:color="auto"/>
      </w:divBdr>
    </w:div>
    <w:div w:id="1549106550">
      <w:bodyDiv w:val="1"/>
      <w:marLeft w:val="0"/>
      <w:marRight w:val="0"/>
      <w:marTop w:val="0"/>
      <w:marBottom w:val="0"/>
      <w:divBdr>
        <w:top w:val="none" w:sz="0" w:space="0" w:color="auto"/>
        <w:left w:val="none" w:sz="0" w:space="0" w:color="auto"/>
        <w:bottom w:val="none" w:sz="0" w:space="0" w:color="auto"/>
        <w:right w:val="none" w:sz="0" w:space="0" w:color="auto"/>
      </w:divBdr>
    </w:div>
    <w:div w:id="1550997725">
      <w:bodyDiv w:val="1"/>
      <w:marLeft w:val="0"/>
      <w:marRight w:val="0"/>
      <w:marTop w:val="0"/>
      <w:marBottom w:val="0"/>
      <w:divBdr>
        <w:top w:val="none" w:sz="0" w:space="0" w:color="auto"/>
        <w:left w:val="none" w:sz="0" w:space="0" w:color="auto"/>
        <w:bottom w:val="none" w:sz="0" w:space="0" w:color="auto"/>
        <w:right w:val="none" w:sz="0" w:space="0" w:color="auto"/>
      </w:divBdr>
    </w:div>
    <w:div w:id="1570270174">
      <w:bodyDiv w:val="1"/>
      <w:marLeft w:val="0"/>
      <w:marRight w:val="0"/>
      <w:marTop w:val="0"/>
      <w:marBottom w:val="0"/>
      <w:divBdr>
        <w:top w:val="none" w:sz="0" w:space="0" w:color="auto"/>
        <w:left w:val="none" w:sz="0" w:space="0" w:color="auto"/>
        <w:bottom w:val="none" w:sz="0" w:space="0" w:color="auto"/>
        <w:right w:val="none" w:sz="0" w:space="0" w:color="auto"/>
      </w:divBdr>
    </w:div>
    <w:div w:id="1598832594">
      <w:bodyDiv w:val="1"/>
      <w:marLeft w:val="0"/>
      <w:marRight w:val="0"/>
      <w:marTop w:val="0"/>
      <w:marBottom w:val="0"/>
      <w:divBdr>
        <w:top w:val="none" w:sz="0" w:space="0" w:color="auto"/>
        <w:left w:val="none" w:sz="0" w:space="0" w:color="auto"/>
        <w:bottom w:val="none" w:sz="0" w:space="0" w:color="auto"/>
        <w:right w:val="none" w:sz="0" w:space="0" w:color="auto"/>
      </w:divBdr>
    </w:div>
    <w:div w:id="1608536263">
      <w:bodyDiv w:val="1"/>
      <w:marLeft w:val="0"/>
      <w:marRight w:val="0"/>
      <w:marTop w:val="0"/>
      <w:marBottom w:val="0"/>
      <w:divBdr>
        <w:top w:val="none" w:sz="0" w:space="0" w:color="auto"/>
        <w:left w:val="none" w:sz="0" w:space="0" w:color="auto"/>
        <w:bottom w:val="none" w:sz="0" w:space="0" w:color="auto"/>
        <w:right w:val="none" w:sz="0" w:space="0" w:color="auto"/>
      </w:divBdr>
    </w:div>
    <w:div w:id="1619871756">
      <w:bodyDiv w:val="1"/>
      <w:marLeft w:val="0"/>
      <w:marRight w:val="0"/>
      <w:marTop w:val="0"/>
      <w:marBottom w:val="0"/>
      <w:divBdr>
        <w:top w:val="none" w:sz="0" w:space="0" w:color="auto"/>
        <w:left w:val="none" w:sz="0" w:space="0" w:color="auto"/>
        <w:bottom w:val="none" w:sz="0" w:space="0" w:color="auto"/>
        <w:right w:val="none" w:sz="0" w:space="0" w:color="auto"/>
      </w:divBdr>
    </w:div>
    <w:div w:id="1645037553">
      <w:bodyDiv w:val="1"/>
      <w:marLeft w:val="0"/>
      <w:marRight w:val="0"/>
      <w:marTop w:val="0"/>
      <w:marBottom w:val="0"/>
      <w:divBdr>
        <w:top w:val="none" w:sz="0" w:space="0" w:color="auto"/>
        <w:left w:val="none" w:sz="0" w:space="0" w:color="auto"/>
        <w:bottom w:val="none" w:sz="0" w:space="0" w:color="auto"/>
        <w:right w:val="none" w:sz="0" w:space="0" w:color="auto"/>
      </w:divBdr>
    </w:div>
    <w:div w:id="1648240243">
      <w:bodyDiv w:val="1"/>
      <w:marLeft w:val="0"/>
      <w:marRight w:val="0"/>
      <w:marTop w:val="0"/>
      <w:marBottom w:val="0"/>
      <w:divBdr>
        <w:top w:val="none" w:sz="0" w:space="0" w:color="auto"/>
        <w:left w:val="none" w:sz="0" w:space="0" w:color="auto"/>
        <w:bottom w:val="none" w:sz="0" w:space="0" w:color="auto"/>
        <w:right w:val="none" w:sz="0" w:space="0" w:color="auto"/>
      </w:divBdr>
    </w:div>
    <w:div w:id="1657296645">
      <w:bodyDiv w:val="1"/>
      <w:marLeft w:val="0"/>
      <w:marRight w:val="0"/>
      <w:marTop w:val="0"/>
      <w:marBottom w:val="0"/>
      <w:divBdr>
        <w:top w:val="none" w:sz="0" w:space="0" w:color="auto"/>
        <w:left w:val="none" w:sz="0" w:space="0" w:color="auto"/>
        <w:bottom w:val="none" w:sz="0" w:space="0" w:color="auto"/>
        <w:right w:val="none" w:sz="0" w:space="0" w:color="auto"/>
      </w:divBdr>
    </w:div>
    <w:div w:id="1675765257">
      <w:bodyDiv w:val="1"/>
      <w:marLeft w:val="0"/>
      <w:marRight w:val="0"/>
      <w:marTop w:val="0"/>
      <w:marBottom w:val="0"/>
      <w:divBdr>
        <w:top w:val="none" w:sz="0" w:space="0" w:color="auto"/>
        <w:left w:val="none" w:sz="0" w:space="0" w:color="auto"/>
        <w:bottom w:val="none" w:sz="0" w:space="0" w:color="auto"/>
        <w:right w:val="none" w:sz="0" w:space="0" w:color="auto"/>
      </w:divBdr>
    </w:div>
    <w:div w:id="1683892257">
      <w:bodyDiv w:val="1"/>
      <w:marLeft w:val="0"/>
      <w:marRight w:val="0"/>
      <w:marTop w:val="0"/>
      <w:marBottom w:val="0"/>
      <w:divBdr>
        <w:top w:val="none" w:sz="0" w:space="0" w:color="auto"/>
        <w:left w:val="none" w:sz="0" w:space="0" w:color="auto"/>
        <w:bottom w:val="none" w:sz="0" w:space="0" w:color="auto"/>
        <w:right w:val="none" w:sz="0" w:space="0" w:color="auto"/>
      </w:divBdr>
    </w:div>
    <w:div w:id="1721398079">
      <w:bodyDiv w:val="1"/>
      <w:marLeft w:val="0"/>
      <w:marRight w:val="0"/>
      <w:marTop w:val="0"/>
      <w:marBottom w:val="0"/>
      <w:divBdr>
        <w:top w:val="none" w:sz="0" w:space="0" w:color="auto"/>
        <w:left w:val="none" w:sz="0" w:space="0" w:color="auto"/>
        <w:bottom w:val="none" w:sz="0" w:space="0" w:color="auto"/>
        <w:right w:val="none" w:sz="0" w:space="0" w:color="auto"/>
      </w:divBdr>
    </w:div>
    <w:div w:id="1738940175">
      <w:bodyDiv w:val="1"/>
      <w:marLeft w:val="0"/>
      <w:marRight w:val="0"/>
      <w:marTop w:val="0"/>
      <w:marBottom w:val="0"/>
      <w:divBdr>
        <w:top w:val="none" w:sz="0" w:space="0" w:color="auto"/>
        <w:left w:val="none" w:sz="0" w:space="0" w:color="auto"/>
        <w:bottom w:val="none" w:sz="0" w:space="0" w:color="auto"/>
        <w:right w:val="none" w:sz="0" w:space="0" w:color="auto"/>
      </w:divBdr>
    </w:div>
    <w:div w:id="1742751718">
      <w:bodyDiv w:val="1"/>
      <w:marLeft w:val="0"/>
      <w:marRight w:val="0"/>
      <w:marTop w:val="0"/>
      <w:marBottom w:val="0"/>
      <w:divBdr>
        <w:top w:val="none" w:sz="0" w:space="0" w:color="auto"/>
        <w:left w:val="none" w:sz="0" w:space="0" w:color="auto"/>
        <w:bottom w:val="none" w:sz="0" w:space="0" w:color="auto"/>
        <w:right w:val="none" w:sz="0" w:space="0" w:color="auto"/>
      </w:divBdr>
    </w:div>
    <w:div w:id="1760635264">
      <w:bodyDiv w:val="1"/>
      <w:marLeft w:val="0"/>
      <w:marRight w:val="0"/>
      <w:marTop w:val="0"/>
      <w:marBottom w:val="0"/>
      <w:divBdr>
        <w:top w:val="none" w:sz="0" w:space="0" w:color="auto"/>
        <w:left w:val="none" w:sz="0" w:space="0" w:color="auto"/>
        <w:bottom w:val="none" w:sz="0" w:space="0" w:color="auto"/>
        <w:right w:val="none" w:sz="0" w:space="0" w:color="auto"/>
      </w:divBdr>
    </w:div>
    <w:div w:id="1762722004">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812015710">
      <w:bodyDiv w:val="1"/>
      <w:marLeft w:val="0"/>
      <w:marRight w:val="0"/>
      <w:marTop w:val="0"/>
      <w:marBottom w:val="0"/>
      <w:divBdr>
        <w:top w:val="none" w:sz="0" w:space="0" w:color="auto"/>
        <w:left w:val="none" w:sz="0" w:space="0" w:color="auto"/>
        <w:bottom w:val="none" w:sz="0" w:space="0" w:color="auto"/>
        <w:right w:val="none" w:sz="0" w:space="0" w:color="auto"/>
      </w:divBdr>
    </w:div>
    <w:div w:id="1923443785">
      <w:bodyDiv w:val="1"/>
      <w:marLeft w:val="0"/>
      <w:marRight w:val="0"/>
      <w:marTop w:val="0"/>
      <w:marBottom w:val="0"/>
      <w:divBdr>
        <w:top w:val="none" w:sz="0" w:space="0" w:color="auto"/>
        <w:left w:val="none" w:sz="0" w:space="0" w:color="auto"/>
        <w:bottom w:val="none" w:sz="0" w:space="0" w:color="auto"/>
        <w:right w:val="none" w:sz="0" w:space="0" w:color="auto"/>
      </w:divBdr>
    </w:div>
    <w:div w:id="1933513562">
      <w:bodyDiv w:val="1"/>
      <w:marLeft w:val="0"/>
      <w:marRight w:val="0"/>
      <w:marTop w:val="0"/>
      <w:marBottom w:val="0"/>
      <w:divBdr>
        <w:top w:val="none" w:sz="0" w:space="0" w:color="auto"/>
        <w:left w:val="none" w:sz="0" w:space="0" w:color="auto"/>
        <w:bottom w:val="none" w:sz="0" w:space="0" w:color="auto"/>
        <w:right w:val="none" w:sz="0" w:space="0" w:color="auto"/>
      </w:divBdr>
    </w:div>
    <w:div w:id="1961909275">
      <w:bodyDiv w:val="1"/>
      <w:marLeft w:val="0"/>
      <w:marRight w:val="0"/>
      <w:marTop w:val="0"/>
      <w:marBottom w:val="0"/>
      <w:divBdr>
        <w:top w:val="none" w:sz="0" w:space="0" w:color="auto"/>
        <w:left w:val="none" w:sz="0" w:space="0" w:color="auto"/>
        <w:bottom w:val="none" w:sz="0" w:space="0" w:color="auto"/>
        <w:right w:val="none" w:sz="0" w:space="0" w:color="auto"/>
      </w:divBdr>
    </w:div>
    <w:div w:id="1973830777">
      <w:bodyDiv w:val="1"/>
      <w:marLeft w:val="0"/>
      <w:marRight w:val="0"/>
      <w:marTop w:val="0"/>
      <w:marBottom w:val="0"/>
      <w:divBdr>
        <w:top w:val="none" w:sz="0" w:space="0" w:color="auto"/>
        <w:left w:val="none" w:sz="0" w:space="0" w:color="auto"/>
        <w:bottom w:val="none" w:sz="0" w:space="0" w:color="auto"/>
        <w:right w:val="none" w:sz="0" w:space="0" w:color="auto"/>
      </w:divBdr>
    </w:div>
    <w:div w:id="1982689992">
      <w:bodyDiv w:val="1"/>
      <w:marLeft w:val="0"/>
      <w:marRight w:val="0"/>
      <w:marTop w:val="0"/>
      <w:marBottom w:val="0"/>
      <w:divBdr>
        <w:top w:val="none" w:sz="0" w:space="0" w:color="auto"/>
        <w:left w:val="none" w:sz="0" w:space="0" w:color="auto"/>
        <w:bottom w:val="none" w:sz="0" w:space="0" w:color="auto"/>
        <w:right w:val="none" w:sz="0" w:space="0" w:color="auto"/>
      </w:divBdr>
    </w:div>
    <w:div w:id="2019382801">
      <w:bodyDiv w:val="1"/>
      <w:marLeft w:val="0"/>
      <w:marRight w:val="0"/>
      <w:marTop w:val="0"/>
      <w:marBottom w:val="0"/>
      <w:divBdr>
        <w:top w:val="none" w:sz="0" w:space="0" w:color="auto"/>
        <w:left w:val="none" w:sz="0" w:space="0" w:color="auto"/>
        <w:bottom w:val="none" w:sz="0" w:space="0" w:color="auto"/>
        <w:right w:val="none" w:sz="0" w:space="0" w:color="auto"/>
      </w:divBdr>
    </w:div>
    <w:div w:id="2029061520">
      <w:bodyDiv w:val="1"/>
      <w:marLeft w:val="0"/>
      <w:marRight w:val="0"/>
      <w:marTop w:val="0"/>
      <w:marBottom w:val="0"/>
      <w:divBdr>
        <w:top w:val="none" w:sz="0" w:space="0" w:color="auto"/>
        <w:left w:val="none" w:sz="0" w:space="0" w:color="auto"/>
        <w:bottom w:val="none" w:sz="0" w:space="0" w:color="auto"/>
        <w:right w:val="none" w:sz="0" w:space="0" w:color="auto"/>
      </w:divBdr>
    </w:div>
    <w:div w:id="2042315583">
      <w:bodyDiv w:val="1"/>
      <w:marLeft w:val="0"/>
      <w:marRight w:val="0"/>
      <w:marTop w:val="0"/>
      <w:marBottom w:val="0"/>
      <w:divBdr>
        <w:top w:val="none" w:sz="0" w:space="0" w:color="auto"/>
        <w:left w:val="none" w:sz="0" w:space="0" w:color="auto"/>
        <w:bottom w:val="none" w:sz="0" w:space="0" w:color="auto"/>
        <w:right w:val="none" w:sz="0" w:space="0" w:color="auto"/>
      </w:divBdr>
    </w:div>
    <w:div w:id="2062442421">
      <w:bodyDiv w:val="1"/>
      <w:marLeft w:val="0"/>
      <w:marRight w:val="0"/>
      <w:marTop w:val="0"/>
      <w:marBottom w:val="0"/>
      <w:divBdr>
        <w:top w:val="none" w:sz="0" w:space="0" w:color="auto"/>
        <w:left w:val="none" w:sz="0" w:space="0" w:color="auto"/>
        <w:bottom w:val="none" w:sz="0" w:space="0" w:color="auto"/>
        <w:right w:val="none" w:sz="0" w:space="0" w:color="auto"/>
      </w:divBdr>
    </w:div>
    <w:div w:id="2072924816">
      <w:bodyDiv w:val="1"/>
      <w:marLeft w:val="0"/>
      <w:marRight w:val="0"/>
      <w:marTop w:val="0"/>
      <w:marBottom w:val="0"/>
      <w:divBdr>
        <w:top w:val="none" w:sz="0" w:space="0" w:color="auto"/>
        <w:left w:val="none" w:sz="0" w:space="0" w:color="auto"/>
        <w:bottom w:val="none" w:sz="0" w:space="0" w:color="auto"/>
        <w:right w:val="none" w:sz="0" w:space="0" w:color="auto"/>
      </w:divBdr>
    </w:div>
    <w:div w:id="2075623206">
      <w:bodyDiv w:val="1"/>
      <w:marLeft w:val="0"/>
      <w:marRight w:val="0"/>
      <w:marTop w:val="0"/>
      <w:marBottom w:val="0"/>
      <w:divBdr>
        <w:top w:val="none" w:sz="0" w:space="0" w:color="auto"/>
        <w:left w:val="none" w:sz="0" w:space="0" w:color="auto"/>
        <w:bottom w:val="none" w:sz="0" w:space="0" w:color="auto"/>
        <w:right w:val="none" w:sz="0" w:space="0" w:color="auto"/>
      </w:divBdr>
    </w:div>
    <w:div w:id="2112434357">
      <w:bodyDiv w:val="1"/>
      <w:marLeft w:val="0"/>
      <w:marRight w:val="0"/>
      <w:marTop w:val="0"/>
      <w:marBottom w:val="0"/>
      <w:divBdr>
        <w:top w:val="none" w:sz="0" w:space="0" w:color="auto"/>
        <w:left w:val="none" w:sz="0" w:space="0" w:color="auto"/>
        <w:bottom w:val="none" w:sz="0" w:space="0" w:color="auto"/>
        <w:right w:val="none" w:sz="0" w:space="0" w:color="auto"/>
      </w:divBdr>
    </w:div>
    <w:div w:id="2117479696">
      <w:bodyDiv w:val="1"/>
      <w:marLeft w:val="0"/>
      <w:marRight w:val="0"/>
      <w:marTop w:val="0"/>
      <w:marBottom w:val="0"/>
      <w:divBdr>
        <w:top w:val="none" w:sz="0" w:space="0" w:color="auto"/>
        <w:left w:val="none" w:sz="0" w:space="0" w:color="auto"/>
        <w:bottom w:val="none" w:sz="0" w:space="0" w:color="auto"/>
        <w:right w:val="none" w:sz="0" w:space="0" w:color="auto"/>
      </w:divBdr>
    </w:div>
    <w:div w:id="2133211330">
      <w:bodyDiv w:val="1"/>
      <w:marLeft w:val="0"/>
      <w:marRight w:val="0"/>
      <w:marTop w:val="0"/>
      <w:marBottom w:val="0"/>
      <w:divBdr>
        <w:top w:val="none" w:sz="0" w:space="0" w:color="auto"/>
        <w:left w:val="none" w:sz="0" w:space="0" w:color="auto"/>
        <w:bottom w:val="none" w:sz="0" w:space="0" w:color="auto"/>
        <w:right w:val="none" w:sz="0" w:space="0" w:color="auto"/>
      </w:divBdr>
    </w:div>
    <w:div w:id="2137990487">
      <w:bodyDiv w:val="1"/>
      <w:marLeft w:val="0"/>
      <w:marRight w:val="0"/>
      <w:marTop w:val="0"/>
      <w:marBottom w:val="0"/>
      <w:divBdr>
        <w:top w:val="none" w:sz="0" w:space="0" w:color="auto"/>
        <w:left w:val="none" w:sz="0" w:space="0" w:color="auto"/>
        <w:bottom w:val="none" w:sz="0" w:space="0" w:color="auto"/>
        <w:right w:val="none" w:sz="0" w:space="0" w:color="auto"/>
      </w:divBdr>
    </w:div>
    <w:div w:id="214415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2010\Can%20Cau%20Con21,%2041.pdf" TargetMode="External"/><Relationship Id="rId671" Type="http://schemas.openxmlformats.org/officeDocument/2006/relationships/hyperlink" Target="2011\Coc%20Dat%20Sys%20Rev2011,%20CD005234.pdf" TargetMode="External"/><Relationship Id="rId769" Type="http://schemas.openxmlformats.org/officeDocument/2006/relationships/hyperlink" Target="2012\Coc%20Dat%20Sys%20Rev2012,%20CD000419.pdf" TargetMode="External"/><Relationship Id="rId976" Type="http://schemas.openxmlformats.org/officeDocument/2006/relationships/hyperlink" Target="2012\Com%20Sci%20Inf%20Sys9,%20791.pdf" TargetMode="External"/><Relationship Id="rId21" Type="http://schemas.openxmlformats.org/officeDocument/2006/relationships/hyperlink" Target="2012\Cah%20Agr21,%20269.pdf" TargetMode="External"/><Relationship Id="rId324" Type="http://schemas.openxmlformats.org/officeDocument/2006/relationships/hyperlink" Target="http://www.clinchem.org/" TargetMode="External"/><Relationship Id="rId531" Type="http://schemas.openxmlformats.org/officeDocument/2006/relationships/hyperlink" Target="2008\Coc%20Dat%20Sys%20Rev2008,%20CD004265.pdf" TargetMode="External"/><Relationship Id="rId629" Type="http://schemas.openxmlformats.org/officeDocument/2006/relationships/hyperlink" Target="2010\Coc%20Dat%20Sys%20Rev2010,%20CD006573.pdf" TargetMode="External"/><Relationship Id="rId1161" Type="http://schemas.openxmlformats.org/officeDocument/2006/relationships/hyperlink" Target="2003\Cur%20Sci85,%20593.pdf" TargetMode="External"/><Relationship Id="rId1259" Type="http://schemas.openxmlformats.org/officeDocument/2006/relationships/hyperlink" Target="1986\Cze%20J%20Phy36,%201101.pdf" TargetMode="External"/><Relationship Id="rId170"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836" Type="http://schemas.openxmlformats.org/officeDocument/2006/relationships/hyperlink" Target="2014/Coc%20Dat%20Sys%20Rev2014,%20CD007325.pdf" TargetMode="External"/><Relationship Id="rId1021" Type="http://schemas.openxmlformats.org/officeDocument/2006/relationships/hyperlink" Target="2010\Con%20Der62,%2075.pdf" TargetMode="External"/><Relationship Id="rId1119" Type="http://schemas.openxmlformats.org/officeDocument/2006/relationships/hyperlink" Target="2013\Cur%20Med%20Res%20Opi29,%201435.pdf" TargetMode="External"/><Relationship Id="rId268" Type="http://schemas.openxmlformats.org/officeDocument/2006/relationships/hyperlink" Target="2008\Chi%20Sci%20Bul53,%201272.pdf" TargetMode="External"/><Relationship Id="rId475" Type="http://schemas.openxmlformats.org/officeDocument/2006/relationships/hyperlink" Target="2012\Clinics67,%20509.pdf" TargetMode="External"/><Relationship Id="rId682" Type="http://schemas.openxmlformats.org/officeDocument/2006/relationships/hyperlink" Target="2011\Coc%20Dat%20Sys%20Rev2011,%20CD003236.pdf" TargetMode="External"/><Relationship Id="rId903" Type="http://schemas.openxmlformats.org/officeDocument/2006/relationships/hyperlink" Target="1984\Col%20Res%20Lib45,%20129.pdf" TargetMode="External"/><Relationship Id="rId32" Type="http://schemas.openxmlformats.org/officeDocument/2006/relationships/hyperlink" Target="2008\Can%20J%20Adm%20Sci25,%20279.pdf" TargetMode="External"/><Relationship Id="rId128" Type="http://schemas.openxmlformats.org/officeDocument/2006/relationships/hyperlink" Target="2013\Can%20Sci104,%201067.pdf" TargetMode="External"/><Relationship Id="rId335" Type="http://schemas.openxmlformats.org/officeDocument/2006/relationships/hyperlink" Target="2008\Cli%20Che%20Lab%20Med46,%201562.pdf" TargetMode="External"/><Relationship Id="rId542" Type="http://schemas.openxmlformats.org/officeDocument/2006/relationships/hyperlink" Target="2009\Coc%20Dat%20Sys%20Rev2009,%20CD003124.pdf" TargetMode="External"/><Relationship Id="rId987" Type="http://schemas.openxmlformats.org/officeDocument/2006/relationships/hyperlink" Target="2002\Com%20Ind%20Eng43,%20841.pdf" TargetMode="External"/><Relationship Id="rId1172" Type="http://schemas.openxmlformats.org/officeDocument/2006/relationships/hyperlink" Target="2005\Cur%20Sci88,%20331.pdf" TargetMode="External"/><Relationship Id="rId181" Type="http://schemas.openxmlformats.org/officeDocument/2006/relationships/hyperlink" Target="2014\Che%20Ing%20Tec86,%201180.pdf" TargetMode="External"/><Relationship Id="rId402" Type="http://schemas.openxmlformats.org/officeDocument/2006/relationships/hyperlink" Target="2000\Cli%20Oto%20All%20Sci25,%2040.pdf" TargetMode="External"/><Relationship Id="rId847" Type="http://schemas.openxmlformats.org/officeDocument/2006/relationships/hyperlink" Target="2014/Coc%20Dat%20Sys%20Rev2014,%20CD009176.pdf" TargetMode="External"/><Relationship Id="rId1032" Type="http://schemas.openxmlformats.org/officeDocument/2006/relationships/hyperlink" Target="2014/Cor%20Art%20Dis25,%20665.pdf" TargetMode="External"/><Relationship Id="rId279" Type="http://schemas.openxmlformats.org/officeDocument/2006/relationships/hyperlink" Target="2012\Cie%20Sau%20Col17,%201629.pdf" TargetMode="External"/><Relationship Id="rId486" Type="http://schemas.openxmlformats.org/officeDocument/2006/relationships/hyperlink" Target="2015/Clu%20Com%20J%20Net%20Sof%20Too%20App18,%20259.pdf" TargetMode="External"/><Relationship Id="rId693" Type="http://schemas.openxmlformats.org/officeDocument/2006/relationships/hyperlink" Target="2011\Coc%20Dat%20Sys%20Rev2011,%20CD006006.pdf" TargetMode="External"/><Relationship Id="rId707" Type="http://schemas.openxmlformats.org/officeDocument/2006/relationships/hyperlink" Target="2011\Coc%20Dat%20Sys%20Rev2011,%20CD006006.pdf" TargetMode="External"/><Relationship Id="rId914" Type="http://schemas.openxmlformats.org/officeDocument/2006/relationships/hyperlink" Target="2006\Col%20Res%20Lib67,%20446.pdf" TargetMode="External"/><Relationship Id="rId43" Type="http://schemas.openxmlformats.org/officeDocument/2006/relationships/hyperlink" Target="2007\Can%20J%20Car23,%20146.pdf" TargetMode="External"/><Relationship Id="rId139" Type="http://schemas.openxmlformats.org/officeDocument/2006/relationships/hyperlink" Target="2010\Cardiology117,%20197.pdf" TargetMode="External"/><Relationship Id="rId346" Type="http://schemas.openxmlformats.org/officeDocument/2006/relationships/hyperlink" Target="2011\Cli%20Exp%20Der36,%20699.pdf" TargetMode="External"/><Relationship Id="rId553" Type="http://schemas.openxmlformats.org/officeDocument/2006/relationships/hyperlink" Target="2009\Coc%20Dat%20Sys%20Rev2009,%20CD007060.pdf" TargetMode="External"/><Relationship Id="rId760" Type="http://schemas.openxmlformats.org/officeDocument/2006/relationships/hyperlink" Target="2012\Coc%20Dat%20Sys%20Rev2012,%20CD009051.pdf" TargetMode="External"/><Relationship Id="rId998" Type="http://schemas.openxmlformats.org/officeDocument/2006/relationships/hyperlink" Target="2013\Comunicar41,%20105.pdf" TargetMode="External"/><Relationship Id="rId1183" Type="http://schemas.openxmlformats.org/officeDocument/2006/relationships/hyperlink" Target="2007\Cur%20Sci92,%201492.pdf" TargetMode="External"/><Relationship Id="rId192" Type="http://schemas.openxmlformats.org/officeDocument/2006/relationships/hyperlink" Target="2005\Chest128,%203993.pdf" TargetMode="External"/><Relationship Id="rId206" Type="http://schemas.openxmlformats.org/officeDocument/2006/relationships/hyperlink" Target="http://www.sciencedirect.com/science/journal/1043951X" TargetMode="External"/><Relationship Id="rId413" Type="http://schemas.openxmlformats.org/officeDocument/2006/relationships/hyperlink" Target="2012\Cli%20Psy%20Rev32,%2026.pdf" TargetMode="External"/><Relationship Id="rId858" Type="http://schemas.openxmlformats.org/officeDocument/2006/relationships/hyperlink" Target="2015/Coc%20Dat%20Sys%20Rev2015,%20CD009088.pdf" TargetMode="External"/><Relationship Id="rId1043" Type="http://schemas.openxmlformats.org/officeDocument/2006/relationships/hyperlink" Target="2010\Cortex46,%201060.pdf" TargetMode="External"/><Relationship Id="rId497" Type="http://schemas.openxmlformats.org/officeDocument/2006/relationships/hyperlink" Target="2004\Coc%20Dat%20Sys%20Rev2004,%20CD003690.pdf" TargetMode="External"/><Relationship Id="rId620" Type="http://schemas.openxmlformats.org/officeDocument/2006/relationships/hyperlink" Target="2010\Coc%20Dat%20Sys%20Rev2010,%20CD005240.pdf" TargetMode="External"/><Relationship Id="rId718" Type="http://schemas.openxmlformats.org/officeDocument/2006/relationships/hyperlink" Target="2011\Coc%20Dat%20Sys%20Rev2011,%20MR000027.pdf" TargetMode="External"/><Relationship Id="rId925" Type="http://schemas.openxmlformats.org/officeDocument/2006/relationships/hyperlink" Target="2003\Col%20Ant27,%20S1.pdf" TargetMode="External"/><Relationship Id="rId1250" Type="http://schemas.openxmlformats.org/officeDocument/2006/relationships/hyperlink" Target="2006\Cyb%20Beh9,%20114.pdf" TargetMode="External"/><Relationship Id="rId357" Type="http://schemas.openxmlformats.org/officeDocument/2006/relationships/hyperlink" Target="2014\Cli%20Gen%20Can12,%20215.pdf" TargetMode="External"/><Relationship Id="rId1110" Type="http://schemas.openxmlformats.org/officeDocument/2006/relationships/hyperlink" Target="1960-80\Cur%20Con%20Lif%20Sci14,%205.pdf" TargetMode="External"/><Relationship Id="rId1194" Type="http://schemas.openxmlformats.org/officeDocument/2006/relationships/hyperlink" Target="2010\Cur%20Sci98,%20993.pdf" TargetMode="External"/><Relationship Id="rId1208" Type="http://schemas.openxmlformats.org/officeDocument/2006/relationships/hyperlink" Target="2013\Cur%20Sci105,%20821.pdf" TargetMode="External"/><Relationship Id="rId54" Type="http://schemas.openxmlformats.org/officeDocument/2006/relationships/hyperlink" Target="2011\Can%20J%20Gas25,%20609.pdf" TargetMode="External"/><Relationship Id="rId217" Type="http://schemas.openxmlformats.org/officeDocument/2006/relationships/hyperlink" Target="http://e48.cnki.net/KNS50/Navi/item.aspx?NaviID=1&amp;BaseID=YYGL&amp;NaviLink=%e4%b8%ad%e5%9b%bd%e5%8c%bb%e9%99%a2%e7%ae%a1%e7%90%86" TargetMode="External"/><Relationship Id="rId564" Type="http://schemas.openxmlformats.org/officeDocument/2006/relationships/hyperlink" Target="2010\Coc%20Dat%20Sys%20Rev2010,%20CD004888.pdf" TargetMode="External"/><Relationship Id="rId771" Type="http://schemas.openxmlformats.org/officeDocument/2006/relationships/hyperlink" Target="2012\Coc%20Dat%20Sys%20Rev2012,%20CD002799.pdf" TargetMode="External"/><Relationship Id="rId869" Type="http://schemas.openxmlformats.org/officeDocument/2006/relationships/hyperlink" Target="2015/Coc%20Dat%20Sys%20Rev2015,%20CD009596.pdf" TargetMode="External"/><Relationship Id="rId424" Type="http://schemas.openxmlformats.org/officeDocument/2006/relationships/hyperlink" Target="2010\Cli%20Reh24,%20867.pdf" TargetMode="External"/><Relationship Id="rId631" Type="http://schemas.openxmlformats.org/officeDocument/2006/relationships/hyperlink" Target="2010\Coc%20Dat%20Sys%20Rev2010,%20CD006902.pdf" TargetMode="External"/><Relationship Id="rId729" Type="http://schemas.openxmlformats.org/officeDocument/2006/relationships/hyperlink" Target="2011\Coc%20Dat%20Sys%20Rev2011,%20CD009242.pdf" TargetMode="External"/><Relationship Id="rId1054" Type="http://schemas.openxmlformats.org/officeDocument/2006/relationships/hyperlink" Target="2014\Cri%20Car18,%20R8.pdf" TargetMode="External"/><Relationship Id="rId1261" Type="http://schemas.openxmlformats.org/officeDocument/2006/relationships/header" Target="header1.xml"/><Relationship Id="rId270" Type="http://schemas.openxmlformats.org/officeDocument/2006/relationships/hyperlink" Target="2010\Chirurg81,%20361.pdf" TargetMode="External"/><Relationship Id="rId936" Type="http://schemas.openxmlformats.org/officeDocument/2006/relationships/hyperlink" Target="2014\Com%20Mon81,%20285.pdf" TargetMode="External"/><Relationship Id="rId1121" Type="http://schemas.openxmlformats.org/officeDocument/2006/relationships/hyperlink" Target="2014\Cur%20Med%20Res%20Opi30,%20431.pdf" TargetMode="External"/><Relationship Id="rId1219" Type="http://schemas.openxmlformats.org/officeDocument/2006/relationships/hyperlink" Target="2014\Cur%20Sci106,%201110.pdf" TargetMode="External"/><Relationship Id="rId65" Type="http://schemas.openxmlformats.org/officeDocument/2006/relationships/hyperlink" Target="2012\Can%20J%20Phy%20Pha90,%20III.pdf" TargetMode="External"/><Relationship Id="rId130" Type="http://schemas.openxmlformats.org/officeDocument/2006/relationships/hyperlink" Target="1999\Can%20Tre%20Rev25,%201.pdf" TargetMode="External"/><Relationship Id="rId368" Type="http://schemas.openxmlformats.org/officeDocument/2006/relationships/hyperlink" Target="2010/Cli%20J%20Spo%20Med20,%20407.pdf" TargetMode="External"/><Relationship Id="rId575" Type="http://schemas.openxmlformats.org/officeDocument/2006/relationships/hyperlink" Target="2010\Coc%20Dat%20Sys%20Rev2010,%20CD002043.pdf" TargetMode="External"/><Relationship Id="rId782" Type="http://schemas.openxmlformats.org/officeDocument/2006/relationships/hyperlink" Target="2014\Coc%20Dat%20Sys%20Rev2014,%20CD006546.pdf" TargetMode="External"/><Relationship Id="rId228" Type="http://schemas.openxmlformats.org/officeDocument/2006/relationships/hyperlink" Target="http://e45.cnki.net/KNS50/Navi/item.aspx?NaviID=1&amp;BaseID=ZZXZ&amp;NaviLink=%e4%b8%ad%e5%9b%bd%e5%be%aa%e8%af%81%e5%8c%bb%e5%ad%a6%e6%9d%82%e5%bf%97" TargetMode="External"/><Relationship Id="rId435" Type="http://schemas.openxmlformats.org/officeDocument/2006/relationships/hyperlink" Target="2015/Cli%20Reh29,%20184.pdf" TargetMode="External"/><Relationship Id="rId642" Type="http://schemas.openxmlformats.org/officeDocument/2006/relationships/hyperlink" Target="2011\Coc%20Dat%20Sys%20Rev2011,%20CD002964.pdf" TargetMode="External"/><Relationship Id="rId1065" Type="http://schemas.openxmlformats.org/officeDocument/2006/relationships/hyperlink" Target="2010\Cri%20Car%20Med38,%202386.pdf" TargetMode="External"/><Relationship Id="rId281" Type="http://schemas.openxmlformats.org/officeDocument/2006/relationships/hyperlink" Target="2014\Cie%20Sau%20Col19,%20487.pdf" TargetMode="External"/><Relationship Id="rId502" Type="http://schemas.openxmlformats.org/officeDocument/2006/relationships/hyperlink" Target="2005\Coc%20Dat%20Sys%20Rev2005,%20CD003873.pdf" TargetMode="External"/><Relationship Id="rId947" Type="http://schemas.openxmlformats.org/officeDocument/2006/relationships/hyperlink" Target="2004\Com%20ACM47,%2098.pdf" TargetMode="External"/><Relationship Id="rId1132" Type="http://schemas.openxmlformats.org/officeDocument/2006/relationships/hyperlink" Target="1985\Cur%20Sci54,%201107.pdf" TargetMode="External"/><Relationship Id="rId76" Type="http://schemas.openxmlformats.org/officeDocument/2006/relationships/hyperlink" Target="http://www.cma.ca/issues" TargetMode="External"/><Relationship Id="rId141" Type="http://schemas.openxmlformats.org/officeDocument/2006/relationships/hyperlink" Target="1997\Car%20Res33,%201.pdf" TargetMode="External"/><Relationship Id="rId379" Type="http://schemas.openxmlformats.org/officeDocument/2006/relationships/hyperlink" Target="2014/Cli%20Onc26,%20E21.pdf" TargetMode="External"/><Relationship Id="rId586" Type="http://schemas.openxmlformats.org/officeDocument/2006/relationships/hyperlink" Target="2010\Coc%20Dat%20Sys%20Rev2010,%20CD006804.pdf" TargetMode="External"/><Relationship Id="rId793" Type="http://schemas.openxmlformats.org/officeDocument/2006/relationships/hyperlink" Target="2014\Coc%20Dat%20Sys%20Rev2014,%20CD003047.pdf" TargetMode="External"/><Relationship Id="rId807" Type="http://schemas.openxmlformats.org/officeDocument/2006/relationships/hyperlink" Target="2014\Coc%20Dat%20Sys%20Rev2014,%20CD001746.pdf" TargetMode="External"/><Relationship Id="rId7" Type="http://schemas.openxmlformats.org/officeDocument/2006/relationships/footnotes" Target="footnotes.xml"/><Relationship Id="rId239" Type="http://schemas.openxmlformats.org/officeDocument/2006/relationships/hyperlink" Target="2006\Chi%20J%20Med%20Lib%20Inf%20Sci15,%2074.pdf" TargetMode="External"/><Relationship Id="rId446" Type="http://schemas.openxmlformats.org/officeDocument/2006/relationships/hyperlink" Target="2008\Cli%20The30,%20443.pdf" TargetMode="External"/><Relationship Id="rId653" Type="http://schemas.openxmlformats.org/officeDocument/2006/relationships/hyperlink" Target="2011\Coc%20Dat%20Sys%20Rev2011,%20CD001035.pdf" TargetMode="External"/><Relationship Id="rId1076" Type="http://schemas.openxmlformats.org/officeDocument/2006/relationships/hyperlink" Target="2013\Cri%20Rev%20On%20Hem86,%20222.pdf" TargetMode="External"/><Relationship Id="rId292" Type="http://schemas.openxmlformats.org/officeDocument/2006/relationships/hyperlink" Target="2012\Cir-Car%20Qua%20Out5,%20743.pdf" TargetMode="External"/><Relationship Id="rId306" Type="http://schemas.openxmlformats.org/officeDocument/2006/relationships/hyperlink" Target="1996\Cli%20Cha48,%20515.pdf" TargetMode="External"/><Relationship Id="rId860" Type="http://schemas.openxmlformats.org/officeDocument/2006/relationships/hyperlink" Target="2015/Coc%20Dat%20Sys%20Rev2015,%20CD011548.pdf" TargetMode="External"/><Relationship Id="rId958" Type="http://schemas.openxmlformats.org/officeDocument/2006/relationships/hyperlink" Target="2007\Com%20Bio%20Phy%20C-Tox%20Pha146,%201.pdf" TargetMode="External"/><Relationship Id="rId1143" Type="http://schemas.openxmlformats.org/officeDocument/2006/relationships/hyperlink" Target="1999\Cur%20Sci76,%201061.pdf" TargetMode="External"/><Relationship Id="rId87" Type="http://schemas.openxmlformats.org/officeDocument/2006/relationships/hyperlink" Target="1996\Can%20Med%20Ass%20J154,%201837.pdf" TargetMode="External"/><Relationship Id="rId513" Type="http://schemas.openxmlformats.org/officeDocument/2006/relationships/hyperlink" Target="2006\Coc%20Dat%20Sys%20Rev2006,%20CD006019.pdf" TargetMode="External"/><Relationship Id="rId597" Type="http://schemas.openxmlformats.org/officeDocument/2006/relationships/hyperlink" Target="2011\Coc%20Dat%20Sys%20Rev2011,%20CD005958.pdf" TargetMode="External"/><Relationship Id="rId720" Type="http://schemas.openxmlformats.org/officeDocument/2006/relationships/hyperlink" Target="2011\Coc%20Dat%20Sys%20Rev2011,%20CD006002.pdf" TargetMode="External"/><Relationship Id="rId818" Type="http://schemas.openxmlformats.org/officeDocument/2006/relationships/hyperlink" Target="2014\Coc%20Dat%20Sys%20Rev2014,%20CD009573.pdf" TargetMode="External"/><Relationship Id="rId152" Type="http://schemas.openxmlformats.org/officeDocument/2006/relationships/hyperlink" Target="2015/Cel%20Bio%20Bio71,%20983.pdf" TargetMode="External"/><Relationship Id="rId457" Type="http://schemas.openxmlformats.org/officeDocument/2006/relationships/hyperlink" Target="2012\Cli%20The34,%20S25.pdf" TargetMode="External"/><Relationship Id="rId1003" Type="http://schemas.openxmlformats.org/officeDocument/2006/relationships/hyperlink" Target="http://www.blackwell-synergy.com/loi/cbi" TargetMode="External"/><Relationship Id="rId1087" Type="http://schemas.openxmlformats.org/officeDocument/2006/relationships/hyperlink" Target="2005\Cro%20Med%20J46,%20865.pdf" TargetMode="External"/><Relationship Id="rId1210" Type="http://schemas.openxmlformats.org/officeDocument/2006/relationships/hyperlink" Target="2013\Cur%20Sci105,%201134.pdf" TargetMode="External"/><Relationship Id="rId664" Type="http://schemas.openxmlformats.org/officeDocument/2006/relationships/hyperlink" Target="2011\Coc%20Dat%20Sys%20Rev2011,%20CD009255.pdf" TargetMode="External"/><Relationship Id="rId871" Type="http://schemas.openxmlformats.org/officeDocument/2006/relationships/hyperlink" Target="2015/Coc%20Dat%20Sys%20Rev2015,%20CD010036.pdf" TargetMode="External"/><Relationship Id="rId969" Type="http://schemas.openxmlformats.org/officeDocument/2006/relationships/hyperlink" Target="2010\Com%20Rev%20Foo%20Sci%20Foo%20Saf9,%20259.pdf" TargetMode="External"/><Relationship Id="rId14" Type="http://schemas.openxmlformats.org/officeDocument/2006/relationships/hyperlink" Target="2007\Cad%20Sau%20Pub23,%203041.pdf" TargetMode="External"/><Relationship Id="rId317" Type="http://schemas.openxmlformats.org/officeDocument/2006/relationships/hyperlink" Target="2015/Cli%20Ana28,%2016.pdf" TargetMode="External"/><Relationship Id="rId524" Type="http://schemas.openxmlformats.org/officeDocument/2006/relationships/hyperlink" Target="2007\Coc%20Dat%20Sys%20Rev2007,%20CD006001.pdf" TargetMode="External"/><Relationship Id="rId731" Type="http://schemas.openxmlformats.org/officeDocument/2006/relationships/hyperlink" Target="2012\Coc%20Dat%20Sys%20Rev2012,%20CD004003.pdf" TargetMode="External"/><Relationship Id="rId1154" Type="http://schemas.openxmlformats.org/officeDocument/2006/relationships/hyperlink" Target="2002\Cur%20Sci82,%201086.pdf" TargetMode="External"/><Relationship Id="rId98" Type="http://schemas.openxmlformats.org/officeDocument/2006/relationships/hyperlink" Target="2004\Can%20Med%20Ass%20J171,%201024.pdf" TargetMode="External"/><Relationship Id="rId163" Type="http://schemas.openxmlformats.org/officeDocument/2006/relationships/hyperlink" Target="2000\Cephalalgia17,%20141.pdf" TargetMode="External"/><Relationship Id="rId370" Type="http://schemas.openxmlformats.org/officeDocument/2006/relationships/hyperlink" Target="2014/Cli%20J%20Spo%20Med24,%20364.pdf" TargetMode="External"/><Relationship Id="rId829" Type="http://schemas.openxmlformats.org/officeDocument/2006/relationships/hyperlink" Target="2014/Coc%20Dat%20Sys%20Rev2014,%20CD009868.pdf" TargetMode="External"/><Relationship Id="rId1014" Type="http://schemas.openxmlformats.org/officeDocument/2006/relationships/hyperlink" Target="2013\Con%20Let6,%2098.pdf" TargetMode="External"/><Relationship Id="rId1221" Type="http://schemas.openxmlformats.org/officeDocument/2006/relationships/hyperlink" Target="2014\Cur%20Sci107,%2031.pdf" TargetMode="External"/><Relationship Id="rId230" Type="http://schemas.openxmlformats.org/officeDocument/2006/relationships/hyperlink" Target="http://e28.cnki.net/KNS50/Navi/item.aspx?NaviID=1&amp;BaseID=JBKZ&amp;NaviLink=%e7%96%be%e7%97%85%e6%8e%a7%e5%88%b6%e6%9d%82%e5%bf%97" TargetMode="External"/><Relationship Id="rId468" Type="http://schemas.openxmlformats.org/officeDocument/2006/relationships/hyperlink" Target="2015/CTS-Cli%20Tra%20Sci8,%20143.pdf" TargetMode="External"/><Relationship Id="rId675" Type="http://schemas.openxmlformats.org/officeDocument/2006/relationships/hyperlink" Target="2011\Coc%20Dat%20Sys%20Rev2011,%20CD007673.pdf" TargetMode="External"/><Relationship Id="rId882" Type="http://schemas.openxmlformats.org/officeDocument/2006/relationships/hyperlink" Target="2013\Co-Her10,%20161.pdf" TargetMode="External"/><Relationship Id="rId1098" Type="http://schemas.openxmlformats.org/officeDocument/2006/relationships/hyperlink" Target="1960-80\Cur%20Con40,%205.pdf" TargetMode="External"/><Relationship Id="rId25" Type="http://schemas.openxmlformats.org/officeDocument/2006/relationships/hyperlink" Target="2014\Cam%20J%20Eco38,%20181.pdf" TargetMode="External"/><Relationship Id="rId328" Type="http://schemas.openxmlformats.org/officeDocument/2006/relationships/hyperlink" Target="1998\Cli%20Che44,%201371.pdf" TargetMode="External"/><Relationship Id="rId535" Type="http://schemas.openxmlformats.org/officeDocument/2006/relationships/hyperlink" Target="2008\Coc%20Dat%20Sys%20Rev2008,%20CD006798.pdf" TargetMode="External"/><Relationship Id="rId742" Type="http://schemas.openxmlformats.org/officeDocument/2006/relationships/hyperlink" Target="2012\Coc%20Dat%20Sys%20Rev2012,%20CD002042.pdf" TargetMode="External"/><Relationship Id="rId1165" Type="http://schemas.openxmlformats.org/officeDocument/2006/relationships/hyperlink" Target="2004\Cur%20Sci86,%20626.pdf" TargetMode="External"/><Relationship Id="rId174" Type="http://schemas.openxmlformats.org/officeDocument/2006/relationships/hyperlink" Target="2000\Che%20Rev100,%2023.pdf" TargetMode="External"/><Relationship Id="rId381" Type="http://schemas.openxmlformats.org/officeDocument/2006/relationships/hyperlink" Target="2007\Cli%20Ora%20Imp%20Res18,%20127.pdf" TargetMode="External"/><Relationship Id="rId602" Type="http://schemas.openxmlformats.org/officeDocument/2006/relationships/hyperlink" Target="2011\Coc%20Dat%20Sys%20Rev2011,%20CD001800.pdf" TargetMode="External"/><Relationship Id="rId1025" Type="http://schemas.openxmlformats.org/officeDocument/2006/relationships/hyperlink" Target="2006\Con%20Cli%20Tri27,%20320.pdf" TargetMode="External"/><Relationship Id="rId1232" Type="http://schemas.openxmlformats.org/officeDocument/2006/relationships/hyperlink" Target="2015/Cur%20Sci108,%20933.pdf" TargetMode="External"/><Relationship Id="rId241" Type="http://schemas.openxmlformats.org/officeDocument/2006/relationships/hyperlink" Target="2007\Chi%20J%20Med%20Lib%20Inf%20Sci16,%2067.pdf" TargetMode="External"/><Relationship Id="rId479" Type="http://schemas.openxmlformats.org/officeDocument/2006/relationships/hyperlink" Target="2011\Cli%20Res%20Hep%20Gas35,%20375.pdf" TargetMode="External"/><Relationship Id="rId686" Type="http://schemas.openxmlformats.org/officeDocument/2006/relationships/hyperlink" Target="2011\Coc%20Dat%20Sys%20Rev2011,%20CD006423.pdf" TargetMode="External"/><Relationship Id="rId893" Type="http://schemas.openxmlformats.org/officeDocument/2006/relationships/hyperlink" Target="1985\Col%20Man6,%20119.pdf" TargetMode="External"/><Relationship Id="rId907" Type="http://schemas.openxmlformats.org/officeDocument/2006/relationships/hyperlink" Target="2000\Col%20Res%20Lib61,%20263.pdf" TargetMode="External"/><Relationship Id="rId36" Type="http://schemas.openxmlformats.org/officeDocument/2006/relationships/hyperlink" Target="1995\Can%20J%20Ana42,%20367.pdf" TargetMode="External"/><Relationship Id="rId339" Type="http://schemas.openxmlformats.org/officeDocument/2006/relationships/hyperlink" Target="2014/Cli%20Che%20Lab%20Med52,%201265.pdf" TargetMode="External"/><Relationship Id="rId546" Type="http://schemas.openxmlformats.org/officeDocument/2006/relationships/hyperlink" Target="2009\Coc%20Dat%20Sys%20Rev2009,%20CD007052.pdf" TargetMode="External"/><Relationship Id="rId753" Type="http://schemas.openxmlformats.org/officeDocument/2006/relationships/hyperlink" Target="2012\Coc%20Dat%20Sys%20Rev2012,%20CD007112.pdf" TargetMode="External"/><Relationship Id="rId1176" Type="http://schemas.openxmlformats.org/officeDocument/2006/relationships/hyperlink" Target="2005\Cur%20Sci89,%201518.pdf" TargetMode="External"/><Relationship Id="rId101" Type="http://schemas.openxmlformats.org/officeDocument/2006/relationships/hyperlink" Target="2007\Can%20Med%20Ass%20J177,%2059.pdf" TargetMode="External"/><Relationship Id="rId185" Type="http://schemas.openxmlformats.org/officeDocument/2006/relationships/hyperlink" Target="2001\Che%20Int%20Lab%20Sys58,%20109.pdf" TargetMode="External"/><Relationship Id="rId406" Type="http://schemas.openxmlformats.org/officeDocument/2006/relationships/hyperlink" Target="2002\Cli%20Oto%20All%20Sci27,%20436.pdf" TargetMode="External"/><Relationship Id="rId960" Type="http://schemas.openxmlformats.org/officeDocument/2006/relationships/hyperlink" Target="http://www.sciencedirect.com/science?_ob=JournalURL&amp;_cdi=6746&amp;_auth=y&amp;_acct=C000011279&amp;_version=1&amp;_urlVersion=0&amp;_userid=3281709&amp;md5=14f5427d165c5bf9be288352a8f5ac32" TargetMode="External"/><Relationship Id="rId1036" Type="http://schemas.openxmlformats.org/officeDocument/2006/relationships/hyperlink" Target="2014\Cor%20Soc%20Res%20Env%20Man21,%20113.pdf" TargetMode="External"/><Relationship Id="rId1243" Type="http://schemas.openxmlformats.org/officeDocument/2006/relationships/hyperlink" Target="2005\Cut%20Ocu%20Tox24,%2091.pdf" TargetMode="External"/><Relationship Id="rId392" Type="http://schemas.openxmlformats.org/officeDocument/2006/relationships/hyperlink" Target="2012\Cli%20Ort%20Rel%20Res470,%202085.pdf" TargetMode="External"/><Relationship Id="rId613" Type="http://schemas.openxmlformats.org/officeDocument/2006/relationships/hyperlink" Target="2010\Coc%20Dat%20Sys%20Rev2010,%20CD007733.pdf" TargetMode="External"/><Relationship Id="rId697" Type="http://schemas.openxmlformats.org/officeDocument/2006/relationships/hyperlink" Target="2011\Coc%20Dat%20Sys%20Rev2011,%20CD004827.pdf" TargetMode="External"/><Relationship Id="rId820" Type="http://schemas.openxmlformats.org/officeDocument/2006/relationships/hyperlink" Target="2014\Coc%20Dat%20Sys%20Rev2014,%20CD009740.pdf" TargetMode="External"/><Relationship Id="rId918" Type="http://schemas.openxmlformats.org/officeDocument/2006/relationships/hyperlink" Target="2009\Col%20Res%20Lib70,%2088.pdf" TargetMode="External"/><Relationship Id="rId252" Type="http://schemas.openxmlformats.org/officeDocument/2006/relationships/hyperlink" Target="2001\Chi%20J%20Nur36,%20405.pdf" TargetMode="External"/><Relationship Id="rId1103" Type="http://schemas.openxmlformats.org/officeDocument/2006/relationships/hyperlink" Target="1987\Cur%20Con38,%203.pdf" TargetMode="External"/><Relationship Id="rId1187" Type="http://schemas.openxmlformats.org/officeDocument/2006/relationships/hyperlink" Target="2008\Cur%20Sci95,%2036.pdf" TargetMode="External"/><Relationship Id="rId47" Type="http://schemas.openxmlformats.org/officeDocument/2006/relationships/hyperlink" Target="2014/Can%20J%20Car30,%201516.pdf" TargetMode="External"/><Relationship Id="rId112" Type="http://schemas.openxmlformats.org/officeDocument/2006/relationships/hyperlink" Target="2013\Can%20Bio13,%20447.pdf" TargetMode="External"/><Relationship Id="rId557" Type="http://schemas.openxmlformats.org/officeDocument/2006/relationships/hyperlink" Target="2009\Coc%20Dat%20Sys%20Rev2009,%20CD007338.pdf" TargetMode="External"/><Relationship Id="rId764" Type="http://schemas.openxmlformats.org/officeDocument/2006/relationships/hyperlink" Target="2012\Coc%20Dat%20Sys%20Rev2012,%20CD005652.pdf" TargetMode="External"/><Relationship Id="rId971" Type="http://schemas.openxmlformats.org/officeDocument/2006/relationships/hyperlink" Target="2011\Com%20Mat%20Org%20The17,%201.pdf" TargetMode="External"/><Relationship Id="rId196" Type="http://schemas.openxmlformats.org/officeDocument/2006/relationships/hyperlink" Target="2012\Chi%20Dev%20Per6,%20436.pdf" TargetMode="External"/><Relationship Id="rId417" Type="http://schemas.openxmlformats.org/officeDocument/2006/relationships/hyperlink" Target="2003\Cli%20Reh17,%20234.pdf" TargetMode="External"/><Relationship Id="rId624" Type="http://schemas.openxmlformats.org/officeDocument/2006/relationships/hyperlink" Target="2010\Coc%20Dat%20Sys%20Rev2010,%20CD008533.pdf" TargetMode="External"/><Relationship Id="rId831" Type="http://schemas.openxmlformats.org/officeDocument/2006/relationships/hyperlink" Target="2014/Coc%20Dat%20Sys%20Rev2014,%20CD010366.pdf" TargetMode="External"/><Relationship Id="rId1047" Type="http://schemas.openxmlformats.org/officeDocument/2006/relationships/hyperlink" Target="2014\Cri-J%20Cri%20Int%20Sui%20Pre35,%20176.pdf" TargetMode="External"/><Relationship Id="rId1254" Type="http://schemas.openxmlformats.org/officeDocument/2006/relationships/hyperlink" Target="1986\Cze%20J%20Phy36,%201.pdf" TargetMode="External"/><Relationship Id="rId263" Type="http://schemas.openxmlformats.org/officeDocument/2006/relationships/hyperlink" Target="2012\Chi%20Med%20J125,%20338.pdf" TargetMode="External"/><Relationship Id="rId470" Type="http://schemas.openxmlformats.org/officeDocument/2006/relationships/hyperlink" Target="2009\Clinics64,%20571.pdf" TargetMode="External"/><Relationship Id="rId929" Type="http://schemas.openxmlformats.org/officeDocument/2006/relationships/hyperlink" Target="2011\Col%20Dis13,%20732.pdf" TargetMode="External"/><Relationship Id="rId1114" Type="http://schemas.openxmlformats.org/officeDocument/2006/relationships/hyperlink" Target="2014\Cur%20HIV%20AID%20Rep11,%20291.pdf" TargetMode="External"/><Relationship Id="rId58" Type="http://schemas.openxmlformats.org/officeDocument/2006/relationships/hyperlink" Target="2005\Can%20Jou%20Inf%20Lib%20Sci29,%20407.pdf" TargetMode="External"/><Relationship Id="rId123" Type="http://schemas.openxmlformats.org/officeDocument/2006/relationships/hyperlink" Target="2014/Can%20Gen207,%20299.pdf" TargetMode="External"/><Relationship Id="rId330" Type="http://schemas.openxmlformats.org/officeDocument/2006/relationships/hyperlink" Target="1999\Cli%20Che45,%20311.pdf" TargetMode="External"/><Relationship Id="rId568" Type="http://schemas.openxmlformats.org/officeDocument/2006/relationships/hyperlink" Target="2010\Coc%20Dat%20Sys%20Rev2010,%20CD007169.pdf" TargetMode="External"/><Relationship Id="rId775" Type="http://schemas.openxmlformats.org/officeDocument/2006/relationships/hyperlink" Target="2012\Coc%20Dat%20Sys%20Rev2012,%20CD005444.pdf" TargetMode="External"/><Relationship Id="rId982" Type="http://schemas.openxmlformats.org/officeDocument/2006/relationships/hyperlink" Target="2012\Com%20Edu58,%2021.pdf" TargetMode="External"/><Relationship Id="rId1198" Type="http://schemas.openxmlformats.org/officeDocument/2006/relationships/hyperlink" Target="2010\Cur%20Sci99,%201161.pdf" TargetMode="External"/><Relationship Id="rId428" Type="http://schemas.openxmlformats.org/officeDocument/2006/relationships/hyperlink" Target="2011\Cli%20Reh25,%20975.pdf" TargetMode="External"/><Relationship Id="rId635" Type="http://schemas.openxmlformats.org/officeDocument/2006/relationships/hyperlink" Target="2011\Coc%20Dat%20Sys%20Rev2011,%20CD004896.pdf" TargetMode="External"/><Relationship Id="rId842" Type="http://schemas.openxmlformats.org/officeDocument/2006/relationships/hyperlink" Target="2014/Coc%20Dat%20Sys%20Rev2014,%20CD010072.pdf" TargetMode="External"/><Relationship Id="rId1058" Type="http://schemas.openxmlformats.org/officeDocument/2006/relationships/hyperlink" Target="2015/Cri%20Car19,%20108.pdf" TargetMode="External"/><Relationship Id="rId274" Type="http://schemas.openxmlformats.org/officeDocument/2006/relationships/hyperlink" Target="2008\Cie%20Sau%20Col13,%20269.pdf" TargetMode="External"/><Relationship Id="rId481" Type="http://schemas.openxmlformats.org/officeDocument/2006/relationships/hyperlink" Target="2014/Cli%20Res%20Hep%20Gas38,%20346.pdf" TargetMode="External"/><Relationship Id="rId702" Type="http://schemas.openxmlformats.org/officeDocument/2006/relationships/hyperlink" Target="2011\Coc%20Dat%20Sys%20Rev2011,%20CD001208.pdf" TargetMode="External"/><Relationship Id="rId1125" Type="http://schemas.openxmlformats.org/officeDocument/2006/relationships/hyperlink" Target="2007\Cur%20Nan3,%20135.pdf" TargetMode="External"/><Relationship Id="rId69" Type="http://schemas.openxmlformats.org/officeDocument/2006/relationships/hyperlink" Target="2011\Can%20J%20Psy56,%20495.pdf" TargetMode="External"/><Relationship Id="rId134" Type="http://schemas.openxmlformats.org/officeDocument/2006/relationships/hyperlink" Target="2011/Can%20Tre%20Rev37,%20312.pdf" TargetMode="External"/><Relationship Id="rId579" Type="http://schemas.openxmlformats.org/officeDocument/2006/relationships/hyperlink" Target="2010\Coc%20Dat%20Sys%20Rev2010,%20CD008009.pdf" TargetMode="External"/><Relationship Id="rId786" Type="http://schemas.openxmlformats.org/officeDocument/2006/relationships/hyperlink" Target="2014\Coc%20Dat%20Sys%20Rev2014,%20CD009798.pdf" TargetMode="External"/><Relationship Id="rId993" Type="http://schemas.openxmlformats.org/officeDocument/2006/relationships/hyperlink" Target="2011\Comunicar19,%20151.pdf" TargetMode="External"/><Relationship Id="rId341" Type="http://schemas.openxmlformats.org/officeDocument/2006/relationships/hyperlink" Target="2007\Cli%20End67,%20693.pdf" TargetMode="External"/><Relationship Id="rId439" Type="http://schemas.openxmlformats.org/officeDocument/2006/relationships/hyperlink" Target="2001\Cli%20The23,%201792.pdf" TargetMode="External"/><Relationship Id="rId646" Type="http://schemas.openxmlformats.org/officeDocument/2006/relationships/hyperlink" Target="2011\Coc%20Dat%20Sys%20Rev2011,%20CD006768.pdf" TargetMode="External"/><Relationship Id="rId1069" Type="http://schemas.openxmlformats.org/officeDocument/2006/relationships/hyperlink" Target="http://www.scopus.com/scopus/source/sourceInfo.url?sourceId=f9c3c4f13dd46a544f45494fbd3b7fbb" TargetMode="External"/><Relationship Id="rId201" Type="http://schemas.openxmlformats.org/officeDocument/2006/relationships/hyperlink" Target="http://www.scielo.cl/scielo.php?script=sci_issues&amp;pid=0718-5839&amp;lng=en&amp;nrm=iso" TargetMode="External"/><Relationship Id="rId285" Type="http://schemas.openxmlformats.org/officeDocument/2006/relationships/hyperlink" Target="2008\Circulation118,%201373.pdf" TargetMode="External"/><Relationship Id="rId506" Type="http://schemas.openxmlformats.org/officeDocument/2006/relationships/hyperlink" Target="2006\Coc%20Dat%20Sys%20Rev2006,%20CD005135.pdf" TargetMode="External"/><Relationship Id="rId853" Type="http://schemas.openxmlformats.org/officeDocument/2006/relationships/hyperlink" Target="2015/Coc%20Dat%20Sys%20Rev2015,%20CD003130.pdf" TargetMode="External"/><Relationship Id="rId1136" Type="http://schemas.openxmlformats.org/officeDocument/2006/relationships/hyperlink" Target="1989\Cur%20Sci58,%20619.pdf" TargetMode="External"/><Relationship Id="rId492" Type="http://schemas.openxmlformats.org/officeDocument/2006/relationships/hyperlink" Target="2002\Coc%20Dat%20Sys%20Rev2002,%20CD000009.pdf" TargetMode="External"/><Relationship Id="rId713" Type="http://schemas.openxmlformats.org/officeDocument/2006/relationships/hyperlink" Target="2011\Coc%20Dat%20Sys%20Rev2011,%20CD003985.pdf" TargetMode="External"/><Relationship Id="rId797" Type="http://schemas.openxmlformats.org/officeDocument/2006/relationships/hyperlink" Target="2014\Coc%20Dat%20Sys%20Rev2014,%20CD005971.pdf" TargetMode="External"/><Relationship Id="rId920" Type="http://schemas.openxmlformats.org/officeDocument/2006/relationships/hyperlink" Target="2012\Col%20Res%20Lib73,%2047.pdf" TargetMode="External"/><Relationship Id="rId145" Type="http://schemas.openxmlformats.org/officeDocument/2006/relationships/hyperlink" Target="http://www.clsjep.cz/nts/casop/lekari/lekari.asp" TargetMode="External"/><Relationship Id="rId352" Type="http://schemas.openxmlformats.org/officeDocument/2006/relationships/hyperlink" Target="2008\Cli%20Exp%20Oph36,%2054.pdf" TargetMode="External"/><Relationship Id="rId1203" Type="http://schemas.openxmlformats.org/officeDocument/2006/relationships/hyperlink" Target="2011\Cur%20Sci101,%201287.pdf" TargetMode="External"/><Relationship Id="rId212" Type="http://schemas.openxmlformats.org/officeDocument/2006/relationships/hyperlink" Target="http://e45.cnki.net/KNS50/Navi/item.aspx?NaviID=1&amp;BaseID=ZNTB&amp;NaviLink=%e4%b8%ad%e5%9b%bd%e5%86%9c%e5%ad%a6%e9%80%9a%e6%8a%a5" TargetMode="External"/><Relationship Id="rId657" Type="http://schemas.openxmlformats.org/officeDocument/2006/relationships/hyperlink" Target="2011\Coc%20Dat%20Sys%20Rev2011,%20CD006108.pdf" TargetMode="External"/><Relationship Id="rId864" Type="http://schemas.openxmlformats.org/officeDocument/2006/relationships/hyperlink" Target="2015/Coc%20Dat%20Sys%20Rev2015,%20CD004205.pdf" TargetMode="External"/><Relationship Id="rId296" Type="http://schemas.openxmlformats.org/officeDocument/2006/relationships/hyperlink" Target="2003\Cir%20Res92,%20939.pdf" TargetMode="External"/><Relationship Id="rId517" Type="http://schemas.openxmlformats.org/officeDocument/2006/relationships/hyperlink" Target="2007\Coc%20Dat%20Sys%20Rev2007,%20CD005570.pdf" TargetMode="External"/><Relationship Id="rId724" Type="http://schemas.openxmlformats.org/officeDocument/2006/relationships/hyperlink" Target="2011\Coc%20Dat%20Sys%20Rev2011,%20CD008713.pdf" TargetMode="External"/><Relationship Id="rId931" Type="http://schemas.openxmlformats.org/officeDocument/2006/relationships/hyperlink" Target="2011\Col%20Dis13,%201214.pdf" TargetMode="External"/><Relationship Id="rId1147" Type="http://schemas.openxmlformats.org/officeDocument/2006/relationships/hyperlink" Target="2000\Cur%20Sci79,%20613.pdf" TargetMode="External"/><Relationship Id="rId60" Type="http://schemas.openxmlformats.org/officeDocument/2006/relationships/hyperlink" Target="2007\Can%20Jou%20Inf%20Lib%20Sci31,%20278.pdf" TargetMode="External"/><Relationship Id="rId156" Type="http://schemas.openxmlformats.org/officeDocument/2006/relationships/hyperlink" Target="2015/Cel%20J17,%2059.pdf" TargetMode="External"/><Relationship Id="rId363" Type="http://schemas.openxmlformats.org/officeDocument/2006/relationships/hyperlink" Target="2011\Cli%20Inf%20Dis52,%201184.pdf" TargetMode="External"/><Relationship Id="rId570" Type="http://schemas.openxmlformats.org/officeDocument/2006/relationships/hyperlink" Target="2010\Coc%20Dat%20Sys%20Rev2010,%20CD007438.pdf" TargetMode="External"/><Relationship Id="rId1007" Type="http://schemas.openxmlformats.org/officeDocument/2006/relationships/hyperlink" Target="2005\Con%20Bio19,%201301.pdf" TargetMode="External"/><Relationship Id="rId1214" Type="http://schemas.openxmlformats.org/officeDocument/2006/relationships/hyperlink" Target="2014\Cur%20Sci106,%20374.pdf" TargetMode="External"/><Relationship Id="rId223" Type="http://schemas.openxmlformats.org/officeDocument/2006/relationships/hyperlink" Target="2014\Chi%20J%20Can%20Res26,%20293.pdf" TargetMode="External"/><Relationship Id="rId430" Type="http://schemas.openxmlformats.org/officeDocument/2006/relationships/hyperlink" Target="2013\Cli%20Reh27,%2019.pdf" TargetMode="External"/><Relationship Id="rId668" Type="http://schemas.openxmlformats.org/officeDocument/2006/relationships/hyperlink" Target="2011\Coc%20Dat%20Sys%20Rev2011,%20CD003997.pdf" TargetMode="External"/><Relationship Id="rId875" Type="http://schemas.openxmlformats.org/officeDocument/2006/relationships/hyperlink" Target="2015/Coc%20Dat%20Sys%20Rev2015,%20CD010636.pdf" TargetMode="External"/><Relationship Id="rId1060" Type="http://schemas.openxmlformats.org/officeDocument/2006/relationships/hyperlink" Target="2005\Cri%20Car%20Med33,%20923.pdf" TargetMode="External"/><Relationship Id="rId18" Type="http://schemas.openxmlformats.org/officeDocument/2006/relationships/hyperlink" Target="2009\Cad%20Sau%20Pub25,%20715.pdf" TargetMode="External"/><Relationship Id="rId528" Type="http://schemas.openxmlformats.org/officeDocument/2006/relationships/hyperlink" Target="2007\Coc%20Dat%20Sys%20Rev2007,%20CD006032.pdf" TargetMode="External"/><Relationship Id="rId735" Type="http://schemas.openxmlformats.org/officeDocument/2006/relationships/hyperlink" Target="2012\Coc%20Dat%20Sys%20Rev2012,%20CD007899.pdf" TargetMode="External"/><Relationship Id="rId942" Type="http://schemas.openxmlformats.org/officeDocument/2006/relationships/hyperlink" Target="1994\Com%20Res21,%20698.pdf" TargetMode="External"/><Relationship Id="rId1158" Type="http://schemas.openxmlformats.org/officeDocument/2006/relationships/hyperlink" Target="2003\Cur%20Sci84,%20634.pdf" TargetMode="External"/><Relationship Id="rId167" Type="http://schemas.openxmlformats.org/officeDocument/2006/relationships/hyperlink" Target="2013\Che%20Com49,%2016.pdf" TargetMode="External"/><Relationship Id="rId374" Type="http://schemas.openxmlformats.org/officeDocument/2006/relationships/hyperlink" Target="2015/Cli%20Nur%20Res24,%20188.pdf" TargetMode="External"/><Relationship Id="rId581" Type="http://schemas.openxmlformats.org/officeDocument/2006/relationships/hyperlink" Target="2010\Coc%20Dat%20Sys%20Rev2010,%20CD002233.pdf" TargetMode="External"/><Relationship Id="rId1018" Type="http://schemas.openxmlformats.org/officeDocument/2006/relationships/hyperlink" Target="2008\Con%20Der59,%20133.pdf" TargetMode="External"/><Relationship Id="rId1225" Type="http://schemas.openxmlformats.org/officeDocument/2006/relationships/hyperlink" Target="2014/Cur%20Sci107,%201103.pdf" TargetMode="External"/><Relationship Id="rId71" Type="http://schemas.openxmlformats.org/officeDocument/2006/relationships/hyperlink" Target="2008\Can%20J%20Pub%20Hea99,%20466.pdf" TargetMode="External"/><Relationship Id="rId234" Type="http://schemas.openxmlformats.org/officeDocument/2006/relationships/hyperlink" Target="http://e29.cnki.net/KNS50/Navi/item.aspx?NaviID=1&amp;BaseID=ZHYG&amp;NaviLink=%e4%b8%ad%e5%8d%8e%e5%8c%bb%e9%99%a2%e7%ae%a1%e7%90%86%e6%9d%82%e5%bf%97" TargetMode="External"/><Relationship Id="rId679" Type="http://schemas.openxmlformats.org/officeDocument/2006/relationships/hyperlink" Target="2011\Coc%20Dat%20Sys%20Rev2011,%20CD009337.pdf" TargetMode="External"/><Relationship Id="rId802" Type="http://schemas.openxmlformats.org/officeDocument/2006/relationships/hyperlink" Target="2014\Coc%20Dat%20Sys%20Rev2014,%20CD009746.pdf" TargetMode="External"/><Relationship Id="rId886" Type="http://schemas.openxmlformats.org/officeDocument/2006/relationships/hyperlink" Target="2014\Cli%20Nut33,%206.pdf" TargetMode="External"/><Relationship Id="rId2" Type="http://schemas.openxmlformats.org/officeDocument/2006/relationships/numbering" Target="numbering.xml"/><Relationship Id="rId29" Type="http://schemas.openxmlformats.org/officeDocument/2006/relationships/hyperlink" Target="2010\Can%20Fam%20Phy56,%20413.pdf" TargetMode="External"/><Relationship Id="rId441" Type="http://schemas.openxmlformats.org/officeDocument/2006/relationships/hyperlink" Target="2003\Cli%20The25,%202991.pdf" TargetMode="External"/><Relationship Id="rId539" Type="http://schemas.openxmlformats.org/officeDocument/2006/relationships/hyperlink" Target="2008\Coc%20Dat%20Sys%20Rev2008,%20CD007196.pdf" TargetMode="External"/><Relationship Id="rId746" Type="http://schemas.openxmlformats.org/officeDocument/2006/relationships/hyperlink" Target="2012\Coc%20Dat%20Sys%20Rev2012,%20CD006574.pdf" TargetMode="External"/><Relationship Id="rId1071" Type="http://schemas.openxmlformats.org/officeDocument/2006/relationships/hyperlink" Target="2015/Cri%20Pub%20Hea25,%20178.pdf" TargetMode="External"/><Relationship Id="rId1169" Type="http://schemas.openxmlformats.org/officeDocument/2006/relationships/hyperlink" Target="2004\Cur%20Sci86,%201469.pdf" TargetMode="External"/><Relationship Id="rId178" Type="http://schemas.openxmlformats.org/officeDocument/2006/relationships/hyperlink" Target="2015/Che%20Lis109,%2065.pdf" TargetMode="External"/><Relationship Id="rId301" Type="http://schemas.openxmlformats.org/officeDocument/2006/relationships/hyperlink" Target="2014\Climacteric17,%2010.pdf" TargetMode="External"/><Relationship Id="rId953" Type="http://schemas.openxmlformats.org/officeDocument/2006/relationships/hyperlink" Target="2013\Com%20ACM56,%209.pdf" TargetMode="External"/><Relationship Id="rId1029" Type="http://schemas.openxmlformats.org/officeDocument/2006/relationships/hyperlink" Target="2014\Cornea33,%20154.pdf" TargetMode="External"/><Relationship Id="rId1236" Type="http://schemas.openxmlformats.org/officeDocument/2006/relationships/hyperlink" Target="2003\Cur%20Soc51,%20599.pdf" TargetMode="External"/><Relationship Id="rId82" Type="http://schemas.openxmlformats.org/officeDocument/2006/relationships/hyperlink" Target="1992\Can%20Med%20Ass%20J146,%20341.pdf" TargetMode="External"/><Relationship Id="rId385" Type="http://schemas.openxmlformats.org/officeDocument/2006/relationships/hyperlink" Target="2014\Cli%20Ora%20Inv18,%20699.pdf" TargetMode="External"/><Relationship Id="rId592" Type="http://schemas.openxmlformats.org/officeDocument/2006/relationships/hyperlink" Target="2010\Coc%20Dat%20Sys%20Rev2010,%20CD007026.pdf" TargetMode="External"/><Relationship Id="rId606" Type="http://schemas.openxmlformats.org/officeDocument/2006/relationships/hyperlink" Target="2010\Coc%20Dat%20Sys%20Rev2010,%20CD006787.pdf" TargetMode="External"/><Relationship Id="rId813" Type="http://schemas.openxmlformats.org/officeDocument/2006/relationships/hyperlink" Target="2014\Coc%20Dat%20Sys%20Rev2014,%20CD007049.pdf" TargetMode="External"/><Relationship Id="rId245" Type="http://schemas.openxmlformats.org/officeDocument/2006/relationships/hyperlink" Target="Chinese%20Journal%20of%20Medical%20Science%20Research%20Management" TargetMode="External"/><Relationship Id="rId452" Type="http://schemas.openxmlformats.org/officeDocument/2006/relationships/hyperlink" Target="2010\Cli%20The32,%201565.pdf" TargetMode="External"/><Relationship Id="rId897" Type="http://schemas.openxmlformats.org/officeDocument/2006/relationships/hyperlink" Target="http://www.ncte.org/journals/ce/issues" TargetMode="External"/><Relationship Id="rId1082" Type="http://schemas.openxmlformats.org/officeDocument/2006/relationships/hyperlink" Target="2001\Cro%20Med%20J42,%20113.pdf" TargetMode="External"/><Relationship Id="rId105" Type="http://schemas.openxmlformats.org/officeDocument/2006/relationships/hyperlink" Target="2015/Can%20Soc%20Sci11,%2050.pdf" TargetMode="External"/><Relationship Id="rId312" Type="http://schemas.openxmlformats.org/officeDocument/2006/relationships/hyperlink" Target="http://www.seu-roma.it/clinica_terapeutica/apps/autos.php" TargetMode="External"/><Relationship Id="rId757" Type="http://schemas.openxmlformats.org/officeDocument/2006/relationships/hyperlink" Target="2012\Coc%20Dat%20Sys%20Rev2012,%20CD007986.pdf" TargetMode="External"/><Relationship Id="rId964" Type="http://schemas.openxmlformats.org/officeDocument/2006/relationships/hyperlink" Target="2014\Com%20The%20Med22,%20743.pdf" TargetMode="External"/><Relationship Id="rId93" Type="http://schemas.openxmlformats.org/officeDocument/2006/relationships/hyperlink" Target="2000\Can%20Med%20Ass%20J162,%2037.pdf" TargetMode="External"/><Relationship Id="rId189" Type="http://schemas.openxmlformats.org/officeDocument/2006/relationships/hyperlink" Target="http://www3.interscience.wiley.com/cgi-bin/jhome/72514732" TargetMode="External"/><Relationship Id="rId396" Type="http://schemas.openxmlformats.org/officeDocument/2006/relationships/hyperlink" Target="2013\Cli%20Ort%20Rel%20Res471,%20832.pdf" TargetMode="External"/><Relationship Id="rId617" Type="http://schemas.openxmlformats.org/officeDocument/2006/relationships/hyperlink" Target="2010\Coc%20Dat%20Sys%20Rev2010,%20CD007231.pdf" TargetMode="External"/><Relationship Id="rId824" Type="http://schemas.openxmlformats.org/officeDocument/2006/relationships/hyperlink" Target="2014/Coc%20Dat%20Sys%20Rev2014,%20CD006273.pdf" TargetMode="External"/><Relationship Id="rId1247" Type="http://schemas.openxmlformats.org/officeDocument/2006/relationships/hyperlink" Target="2000\Cybermetrics4,%203.pdf" TargetMode="External"/><Relationship Id="rId256" Type="http://schemas.openxmlformats.org/officeDocument/2006/relationships/hyperlink" Target="2007\Chi%20J%20Ult%20Med23,%201.pdf" TargetMode="External"/><Relationship Id="rId463" Type="http://schemas.openxmlformats.org/officeDocument/2006/relationships/hyperlink" Target="2014\Cli%20Tox52,%2072.pdf" TargetMode="External"/><Relationship Id="rId670" Type="http://schemas.openxmlformats.org/officeDocument/2006/relationships/hyperlink" Target="2011\Coc%20Dat%20Sys%20Rev2011,%20CD005025.pdf" TargetMode="External"/><Relationship Id="rId1093" Type="http://schemas.openxmlformats.org/officeDocument/2006/relationships/hyperlink" Target="2009\Cor%20Rev27,%20381.pdf" TargetMode="External"/><Relationship Id="rId1107" Type="http://schemas.openxmlformats.org/officeDocument/2006/relationships/hyperlink" Target="1992\Cur%20Con23,%205.pdf" TargetMode="External"/><Relationship Id="rId116" Type="http://schemas.openxmlformats.org/officeDocument/2006/relationships/hyperlink" Target="2008\Can%20Cau%20Con19,%20689.pdf" TargetMode="External"/><Relationship Id="rId323" Type="http://schemas.openxmlformats.org/officeDocument/2006/relationships/hyperlink" Target="2013\Cli%20Car36,%20649.pdf" TargetMode="External"/><Relationship Id="rId530" Type="http://schemas.openxmlformats.org/officeDocument/2006/relationships/hyperlink" Target="2007\Coc%20Dat%20Sys%20Rev2007,%20CD006409.pdf" TargetMode="External"/><Relationship Id="rId768" Type="http://schemas.openxmlformats.org/officeDocument/2006/relationships/hyperlink" Target="2012\Coc%20Dat%20Sys%20Rev2012,%20CD008997.pdf" TargetMode="External"/><Relationship Id="rId975" Type="http://schemas.openxmlformats.org/officeDocument/2006/relationships/hyperlink" Target="2011\Com%20Phy%20Com182,%20185.pdf" TargetMode="External"/><Relationship Id="rId1160" Type="http://schemas.openxmlformats.org/officeDocument/2006/relationships/hyperlink" Target="2003\Cur%20Sci85,%20425.pdf" TargetMode="External"/><Relationship Id="rId20" Type="http://schemas.openxmlformats.org/officeDocument/2006/relationships/hyperlink" Target="2011\Cad%20Sau%20Pub27,%20183.pdf" TargetMode="External"/><Relationship Id="rId628" Type="http://schemas.openxmlformats.org/officeDocument/2006/relationships/hyperlink" Target="2010\Coc%20Dat%20Sys%20Rev2010,%20CD004607.pdf" TargetMode="External"/><Relationship Id="rId835" Type="http://schemas.openxmlformats.org/officeDocument/2006/relationships/hyperlink" Target="2014/Coc%20Dat%20Sys%20Rev2014,%20CD004786.pdf" TargetMode="External"/><Relationship Id="rId1258" Type="http://schemas.openxmlformats.org/officeDocument/2006/relationships/hyperlink" Target="1986\Cze%20J%20Phy36,%20887.pdf" TargetMode="External"/><Relationship Id="rId267" Type="http://schemas.openxmlformats.org/officeDocument/2006/relationships/hyperlink" Target="2007\Chi%20Sci%20Bul52,%20855.pdf" TargetMode="External"/><Relationship Id="rId474" Type="http://schemas.openxmlformats.org/officeDocument/2006/relationships/hyperlink" Target="2011\Clinics66,%202099.pdf" TargetMode="External"/><Relationship Id="rId1020" Type="http://schemas.openxmlformats.org/officeDocument/2006/relationships/hyperlink" Target="2009\Con%20Der61,%20194.pdf" TargetMode="External"/><Relationship Id="rId1118" Type="http://schemas.openxmlformats.org/officeDocument/2006/relationships/hyperlink" Target="2013\Cur%20Med%20Res%20Opi29,%20S19.pdf" TargetMode="External"/><Relationship Id="rId127" Type="http://schemas.openxmlformats.org/officeDocument/2006/relationships/hyperlink" Target="2013\Can%20Nur36,%20474.pdf" TargetMode="External"/><Relationship Id="rId681" Type="http://schemas.openxmlformats.org/officeDocument/2006/relationships/hyperlink" Target="2011\Coc%20Dat%20Sys%20Rev2011,%20CD001208.pdf" TargetMode="External"/><Relationship Id="rId779" Type="http://schemas.openxmlformats.org/officeDocument/2006/relationships/hyperlink" Target="2012\Coc%20Dat%20Sys%20Rev2012,%20CD009498.pdf" TargetMode="External"/><Relationship Id="rId902" Type="http://schemas.openxmlformats.org/officeDocument/2006/relationships/hyperlink" Target="1982\Col%20Res%20Lib43,%20208.pdf" TargetMode="External"/><Relationship Id="rId986" Type="http://schemas.openxmlformats.org/officeDocument/2006/relationships/hyperlink" Target="1993\Com%20Ind%20Eng25,%2099.pdf" TargetMode="External"/><Relationship Id="rId31" Type="http://schemas.openxmlformats.org/officeDocument/2006/relationships/hyperlink" Target="2005\Can%20Fam%20Phy%20Med%20Fam%20Can51,%20244.pdf" TargetMode="External"/><Relationship Id="rId334" Type="http://schemas.openxmlformats.org/officeDocument/2006/relationships/hyperlink" Target="http://web.ebscohost.com/ehost/detail?vid=1&amp;hid=12&amp;sid=8200edf9-f6b9-461e-a559-d2019b3b8374%40sessionmgr12&amp;bdata=JnNpdGU9ZWhvc3QtbGl2ZQ%3d%3d" TargetMode="External"/><Relationship Id="rId541" Type="http://schemas.openxmlformats.org/officeDocument/2006/relationships/hyperlink" Target="2009\Coc%20Dat%20Sys%20Rev2009,%20CD002232.pdf" TargetMode="External"/><Relationship Id="rId639" Type="http://schemas.openxmlformats.org/officeDocument/2006/relationships/hyperlink" Target="2011\Coc%20Dat%20Sys%20Rev2011,%20CD005085.pdf" TargetMode="External"/><Relationship Id="rId1171" Type="http://schemas.openxmlformats.org/officeDocument/2006/relationships/hyperlink" Target="2005\Cur%20Sci88,%2014.pdf" TargetMode="External"/><Relationship Id="rId180" Type="http://schemas.openxmlformats.org/officeDocument/2006/relationships/hyperlink" Target="http://www3.interscience.wiley.com/cgi-bin/jhome/60500203?CRETRY=1&amp;SRETRY=0" TargetMode="External"/><Relationship Id="rId278" Type="http://schemas.openxmlformats.org/officeDocument/2006/relationships/hyperlink" Target="2012\Cie%20Sau%20Col17,%20935.pdf" TargetMode="External"/><Relationship Id="rId401" Type="http://schemas.openxmlformats.org/officeDocument/2006/relationships/hyperlink" Target="2015/Cli%20Ort%20Rel%20Res473,%201963.pdf" TargetMode="External"/><Relationship Id="rId846" Type="http://schemas.openxmlformats.org/officeDocument/2006/relationships/hyperlink" Target="2014/Coc%20Dat%20Sys%20Rev2014,%20CD008582.pdf" TargetMode="External"/><Relationship Id="rId1031" Type="http://schemas.openxmlformats.org/officeDocument/2006/relationships/hyperlink" Target="2013/Cor%20Art%20Dis24,%20628.pdf" TargetMode="External"/><Relationship Id="rId1129" Type="http://schemas.openxmlformats.org/officeDocument/2006/relationships/hyperlink" Target="1984\Cur%20Sci53,%20684.pdf" TargetMode="External"/><Relationship Id="rId485" Type="http://schemas.openxmlformats.org/officeDocument/2006/relationships/hyperlink" Target="2010\Cliometrica4,%201.pdf" TargetMode="External"/><Relationship Id="rId692" Type="http://schemas.openxmlformats.org/officeDocument/2006/relationships/hyperlink" Target="2011\Coc%20Dat%20Sys%20Rev2011,%20CD008931.pdf" TargetMode="External"/><Relationship Id="rId706" Type="http://schemas.openxmlformats.org/officeDocument/2006/relationships/hyperlink" Target="2011\Coc%20Dat%20Sys%20Rev2011,%20CD008931.pdf" TargetMode="External"/><Relationship Id="rId913" Type="http://schemas.openxmlformats.org/officeDocument/2006/relationships/hyperlink" Target="2005\Col%20Res%20Lib66,%20496.pdf" TargetMode="External"/><Relationship Id="rId42" Type="http://schemas.openxmlformats.org/officeDocument/2006/relationships/hyperlink" Target="2006\Can%20J%20Car22,%20855.pdf" TargetMode="External"/><Relationship Id="rId138" Type="http://schemas.openxmlformats.org/officeDocument/2006/relationships/hyperlink" Target="2007\Carcinogenesis28,%201774.pdf" TargetMode="External"/><Relationship Id="rId345" Type="http://schemas.openxmlformats.org/officeDocument/2006/relationships/hyperlink" Target="2013\Cli%20Exp%20All43,%201333.pdf" TargetMode="External"/><Relationship Id="rId552" Type="http://schemas.openxmlformats.org/officeDocument/2006/relationships/hyperlink" Target="2009\Coc%20Dat%20Sys%20Rev2009,%20CD006930.pdf" TargetMode="External"/><Relationship Id="rId997" Type="http://schemas.openxmlformats.org/officeDocument/2006/relationships/hyperlink" Target="2013\Comunicar41,%2061.pdf" TargetMode="External"/><Relationship Id="rId1182" Type="http://schemas.openxmlformats.org/officeDocument/2006/relationships/hyperlink" Target="2007\Cur%20Sci92,%20709.pdf" TargetMode="External"/><Relationship Id="rId191" Type="http://schemas.openxmlformats.org/officeDocument/2006/relationships/hyperlink" Target="http://www.chestjournal.org/" TargetMode="External"/><Relationship Id="rId205" Type="http://schemas.openxmlformats.org/officeDocument/2006/relationships/hyperlink" Target="2009\Chi%20Bas%20Sci11,%2040.pdf" TargetMode="External"/><Relationship Id="rId412" Type="http://schemas.openxmlformats.org/officeDocument/2006/relationships/hyperlink" Target="1997\Cli%20Phy17,%20409.pdf" TargetMode="External"/><Relationship Id="rId857" Type="http://schemas.openxmlformats.org/officeDocument/2006/relationships/hyperlink" Target="2015/Coc%20Dat%20Sys%20Rev2015,%20CD007897.pdf" TargetMode="External"/><Relationship Id="rId1042" Type="http://schemas.openxmlformats.org/officeDocument/2006/relationships/hyperlink" Target="2010\Cortex46,%20802.pdf" TargetMode="External"/><Relationship Id="rId289" Type="http://schemas.openxmlformats.org/officeDocument/2006/relationships/hyperlink" Target="2012\Circulation126,%202177.pdf" TargetMode="External"/><Relationship Id="rId496" Type="http://schemas.openxmlformats.org/officeDocument/2006/relationships/hyperlink" Target="2004\Coc%20Dat%20Sys%20Rev2004,%20CD003689.pdf" TargetMode="External"/><Relationship Id="rId717" Type="http://schemas.openxmlformats.org/officeDocument/2006/relationships/hyperlink" Target="2011\Coc%20Dat%20Sys%20Rev2011,%20CD009131.pdf" TargetMode="External"/><Relationship Id="rId924" Type="http://schemas.openxmlformats.org/officeDocument/2006/relationships/hyperlink" Target="1999\Col%20Ant23,%20751.pdf" TargetMode="External"/><Relationship Id="rId53" Type="http://schemas.openxmlformats.org/officeDocument/2006/relationships/hyperlink" Target="2011\Can%20J%20Gas25,%20601.pdf" TargetMode="External"/><Relationship Id="rId149" Type="http://schemas.openxmlformats.org/officeDocument/2006/relationships/hyperlink" Target="2014/Cel%20Bio%20Bio70,%201427.pdf" TargetMode="External"/><Relationship Id="rId356" Type="http://schemas.openxmlformats.org/officeDocument/2006/relationships/hyperlink" Target="2009\Cli%20Gen%20Can7,%2011.pdf" TargetMode="External"/><Relationship Id="rId563" Type="http://schemas.openxmlformats.org/officeDocument/2006/relationships/hyperlink" Target="2010\Coc%20Dat%20Sys%20Rev2010,%20CD000313.pdf" TargetMode="External"/><Relationship Id="rId770" Type="http://schemas.openxmlformats.org/officeDocument/2006/relationships/hyperlink" Target="2012\Coc%20Dat%20Sys%20Rev2012,%20CD000515.pdf" TargetMode="External"/><Relationship Id="rId1193" Type="http://schemas.openxmlformats.org/officeDocument/2006/relationships/hyperlink" Target="2010\Cur%20Sci98,%209.pdf" TargetMode="External"/><Relationship Id="rId1207" Type="http://schemas.openxmlformats.org/officeDocument/2006/relationships/hyperlink" Target="2013\Cur%20Sci104,%201619.pdf" TargetMode="External"/><Relationship Id="rId216" Type="http://schemas.openxmlformats.org/officeDocument/2006/relationships/hyperlink" Target="2014\Chi%20Geo%20Sci24,%20245.pdf" TargetMode="External"/><Relationship Id="rId423" Type="http://schemas.openxmlformats.org/officeDocument/2006/relationships/hyperlink" Target="2010\Cli%20Reh24,%20789.pdf" TargetMode="External"/><Relationship Id="rId868" Type="http://schemas.openxmlformats.org/officeDocument/2006/relationships/hyperlink" Target="2015/Coc%20Dat%20Sys%20Rev2015,%20CD009515.pdf" TargetMode="External"/><Relationship Id="rId1053" Type="http://schemas.openxmlformats.org/officeDocument/2006/relationships/hyperlink" Target="2012\Cri%20Car16,%20R169.pdf" TargetMode="External"/><Relationship Id="rId1260" Type="http://schemas.openxmlformats.org/officeDocument/2006/relationships/hyperlink" Target="1986\Cze%20J%20Phy36,%201339.pdf" TargetMode="External"/><Relationship Id="rId630" Type="http://schemas.openxmlformats.org/officeDocument/2006/relationships/hyperlink" Target="2010\Coc%20Dat%20Sys%20Rev2010,%20CD006590.pdf" TargetMode="External"/><Relationship Id="rId728" Type="http://schemas.openxmlformats.org/officeDocument/2006/relationships/hyperlink" Target="2011\Coc%20Dat%20Sys%20Rev2011,%20CD009218.pdf" TargetMode="External"/><Relationship Id="rId935" Type="http://schemas.openxmlformats.org/officeDocument/2006/relationships/hyperlink" Target="2003\Com%20Com%20Pol41,%2077.pdf" TargetMode="External"/><Relationship Id="rId64" Type="http://schemas.openxmlformats.org/officeDocument/2006/relationships/hyperlink" Target="2010\Can%20J%20Oph45,%20231.pdf" TargetMode="External"/><Relationship Id="rId367" Type="http://schemas.openxmlformats.org/officeDocument/2006/relationships/hyperlink" Target="2009/Cli%20J%20Spo%20Med19,%20134.pdf" TargetMode="External"/><Relationship Id="rId574" Type="http://schemas.openxmlformats.org/officeDocument/2006/relationships/hyperlink" Target="2010\Coc%20Dat%20Sys%20Rev2010,%20CD008341.pdf" TargetMode="External"/><Relationship Id="rId1120" Type="http://schemas.openxmlformats.org/officeDocument/2006/relationships/hyperlink" Target="2014\Cur%20Med%20Res%20Opi30,%20415.pdf" TargetMode="External"/><Relationship Id="rId1218" Type="http://schemas.openxmlformats.org/officeDocument/2006/relationships/hyperlink" Target="2014\Cur%20Sci106,%20964.pdf" TargetMode="External"/><Relationship Id="rId227" Type="http://schemas.openxmlformats.org/officeDocument/2006/relationships/hyperlink" Target="2012\Chi%20J%20Che%20Eng20-Ho.pdf" TargetMode="External"/><Relationship Id="rId781" Type="http://schemas.openxmlformats.org/officeDocument/2006/relationships/hyperlink" Target="2012\Coc%20Dat%20Sys%20Rev2012,%20CD009456.pdf" TargetMode="External"/><Relationship Id="rId879" Type="http://schemas.openxmlformats.org/officeDocument/2006/relationships/hyperlink" Target="http://www.sciencedirect.com/science?_ob=JournalURL&amp;_cdi=4908&amp;_auth=y&amp;_acct=C000047720&amp;_version=1&amp;_urlVersion=0&amp;_userid=2007471&amp;md5=d4c1f0fd98252ec7cb23097b23a965ca" TargetMode="External"/><Relationship Id="rId434" Type="http://schemas.openxmlformats.org/officeDocument/2006/relationships/hyperlink" Target="2015/Cli%20Reh29,%2069.pdf" TargetMode="External"/><Relationship Id="rId641" Type="http://schemas.openxmlformats.org/officeDocument/2006/relationships/hyperlink" Target="2011\Coc%20Dat%20Sys%20Rev2011,%20CD001860.pdf" TargetMode="External"/><Relationship Id="rId739" Type="http://schemas.openxmlformats.org/officeDocument/2006/relationships/hyperlink" Target="2012\Coc%20Dat%20Sys%20Rev2012,%20CD007293.pdf" TargetMode="External"/><Relationship Id="rId1064" Type="http://schemas.openxmlformats.org/officeDocument/2006/relationships/hyperlink" Target="2009\Cri%20Car%20Med37,%202709.pdf" TargetMode="External"/><Relationship Id="rId280" Type="http://schemas.openxmlformats.org/officeDocument/2006/relationships/hyperlink" Target="2014\Cie%20Sau%20Col19,%20173.pdf" TargetMode="External"/><Relationship Id="rId501" Type="http://schemas.openxmlformats.org/officeDocument/2006/relationships/hyperlink" Target="2005\Coc%20Dat%20Sys%20Rev2005,%20CD001860.pdf" TargetMode="External"/><Relationship Id="rId946" Type="http://schemas.openxmlformats.org/officeDocument/2006/relationships/hyperlink" Target="1994\Com%20ACM37,%2021.pdf" TargetMode="External"/><Relationship Id="rId1131" Type="http://schemas.openxmlformats.org/officeDocument/2006/relationships/hyperlink" Target="1985\Cur%20Sci54,%20991.pdf" TargetMode="External"/><Relationship Id="rId1229" Type="http://schemas.openxmlformats.org/officeDocument/2006/relationships/hyperlink" Target="2014/Cur%20Sci107,%201800.pdf" TargetMode="External"/><Relationship Id="rId75" Type="http://schemas.openxmlformats.org/officeDocument/2006/relationships/hyperlink" Target="2010\Can%20J%20Psy55,%20386.pdf" TargetMode="External"/><Relationship Id="rId140" Type="http://schemas.openxmlformats.org/officeDocument/2006/relationships/hyperlink" Target="2014/Car%20You24,%20792.pdf" TargetMode="External"/><Relationship Id="rId378" Type="http://schemas.openxmlformats.org/officeDocument/2006/relationships/hyperlink" Target="2014\Cli%20Onc26,%20488.pdf" TargetMode="External"/><Relationship Id="rId585" Type="http://schemas.openxmlformats.org/officeDocument/2006/relationships/hyperlink" Target="2010\Coc%20Dat%20Sys%20Rev2010,%20CD005575.pdf" TargetMode="External"/><Relationship Id="rId792" Type="http://schemas.openxmlformats.org/officeDocument/2006/relationships/hyperlink" Target="2014\Coc%20Dat%20Sys%20Rev2014,%20CD001132.pdf" TargetMode="External"/><Relationship Id="rId806" Type="http://schemas.openxmlformats.org/officeDocument/2006/relationships/hyperlink" Target="2014\Coc%20Dat%20Sys%20Rev2014,%20CD010271.pdf" TargetMode="External"/><Relationship Id="rId6" Type="http://schemas.openxmlformats.org/officeDocument/2006/relationships/webSettings" Target="webSettings.xml"/><Relationship Id="rId238" Type="http://schemas.openxmlformats.org/officeDocument/2006/relationships/hyperlink" Target="http://e24.cnki.net/KNS50/Navi/item.aspx?NaviID=1&amp;BaseID=YXTS&amp;NaviLink=%e4%b8%ad%e5%8d%8e%e5%8c%bb%e5%ad%a6%e5%9b%be%e4%b9%a6%e6%83%85%e6%8a%a5%e6%9d%82%e5%bf%97" TargetMode="External"/><Relationship Id="rId445" Type="http://schemas.openxmlformats.org/officeDocument/2006/relationships/hyperlink" Target="2007\Cli%20The29,%202406.pdf" TargetMode="External"/><Relationship Id="rId652" Type="http://schemas.openxmlformats.org/officeDocument/2006/relationships/hyperlink" Target="2011\Coc%20Dat%20Sys%20Rev2011,%20MR000012.pdf" TargetMode="External"/><Relationship Id="rId1075" Type="http://schemas.openxmlformats.org/officeDocument/2006/relationships/hyperlink" Target="2007\Cri%20Rev%20On%20Hem64,%20173.pdf" TargetMode="External"/><Relationship Id="rId291" Type="http://schemas.openxmlformats.org/officeDocument/2006/relationships/hyperlink" Target="2010\Cir-Car%20Qua%20Out3,%2063.pdf" TargetMode="External"/><Relationship Id="rId305" Type="http://schemas.openxmlformats.org/officeDocument/2006/relationships/hyperlink" Target="2015/Climacteric18,%20142.pdf" TargetMode="External"/><Relationship Id="rId512" Type="http://schemas.openxmlformats.org/officeDocument/2006/relationships/hyperlink" Target="2006\Coc%20Dat%20Sys%20Rev2006,%20CD003727.pdf" TargetMode="External"/><Relationship Id="rId957" Type="http://schemas.openxmlformats.org/officeDocument/2006/relationships/hyperlink" Target="http://www.sciencedirect.com/science/journal/15320456" TargetMode="External"/><Relationship Id="rId1142" Type="http://schemas.openxmlformats.org/officeDocument/2006/relationships/hyperlink" Target="1998\Cur%20Sci75,%20175.pdf" TargetMode="External"/><Relationship Id="rId86" Type="http://schemas.openxmlformats.org/officeDocument/2006/relationships/hyperlink" Target="1995\Can%20Med%20Ass%20J153,%201739.pdf" TargetMode="External"/><Relationship Id="rId151" Type="http://schemas.openxmlformats.org/officeDocument/2006/relationships/hyperlink" Target="2015/Cel%20Bio%20Bio71,%2085.pdf" TargetMode="External"/><Relationship Id="rId389" Type="http://schemas.openxmlformats.org/officeDocument/2006/relationships/hyperlink" Target="2012\Cli%20Ort%20Rel%20Res470,%201252.pdf" TargetMode="External"/><Relationship Id="rId596" Type="http://schemas.openxmlformats.org/officeDocument/2006/relationships/hyperlink" Target="2011\Coc%20Dat%20Sys%20Rev2011,%20CD003619.pdf" TargetMode="External"/><Relationship Id="rId817" Type="http://schemas.openxmlformats.org/officeDocument/2006/relationships/hyperlink" Target="2014\Coc%20Dat%20Sys%20Rev2014,%20CD009060.pdf" TargetMode="External"/><Relationship Id="rId1002" Type="http://schemas.openxmlformats.org/officeDocument/2006/relationships/hyperlink" Target="2015/Con%20Eng-Res%20App23,%2040.pdf" TargetMode="External"/><Relationship Id="rId249" Type="http://schemas.openxmlformats.org/officeDocument/2006/relationships/hyperlink" Target="http://e42.cnki.net/KNS50/Navi/item.aspx?NaviID=1&amp;BaseID=ZHYY&amp;NaviLink=%e4%b8%ad%e5%8d%8e%e5%8c%bb%e9%99%a2%e6%84%9f%e6%9f%93%e5%ad%a6%e6%9d%82%e5%bf%97" TargetMode="External"/><Relationship Id="rId456" Type="http://schemas.openxmlformats.org/officeDocument/2006/relationships/hyperlink" Target="2011\Cli%20The33,%201609.pdf" TargetMode="External"/><Relationship Id="rId663" Type="http://schemas.openxmlformats.org/officeDocument/2006/relationships/hyperlink" Target="2011\Coc%20Dat%20Sys%20Rev2011,%20CD008405.pdf" TargetMode="External"/><Relationship Id="rId870" Type="http://schemas.openxmlformats.org/officeDocument/2006/relationships/hyperlink" Target="2015/Coc%20Dat%20Sys%20Rev2015,%20CD009959.pdf" TargetMode="External"/><Relationship Id="rId1086" Type="http://schemas.openxmlformats.org/officeDocument/2006/relationships/hyperlink" Target="2004\Cro%20Med%20J45,%20671.pdf" TargetMode="External"/><Relationship Id="rId13" Type="http://schemas.openxmlformats.org/officeDocument/2006/relationships/hyperlink" Target="2007\Cad%20Sau%20Pub23,%203031.pdf" TargetMode="External"/><Relationship Id="rId109" Type="http://schemas.openxmlformats.org/officeDocument/2006/relationships/hyperlink" Target="2014\Cancer120,%201237.pdf" TargetMode="External"/><Relationship Id="rId316" Type="http://schemas.openxmlformats.org/officeDocument/2006/relationships/hyperlink" Target="2012\Cli%20Ana25,%20687.pdf" TargetMode="External"/><Relationship Id="rId523" Type="http://schemas.openxmlformats.org/officeDocument/2006/relationships/hyperlink" Target="2007\Coc%20Dat%20Sys%20Rev2007,%20CD005276.pdf" TargetMode="External"/><Relationship Id="rId968" Type="http://schemas.openxmlformats.org/officeDocument/2006/relationships/hyperlink" Target="2002\Com%20The%20Nur%20Mid8,%20211.pdf" TargetMode="External"/><Relationship Id="rId1153" Type="http://schemas.openxmlformats.org/officeDocument/2006/relationships/hyperlink" Target="2002\Cur%20Sci82,%20933.pdf" TargetMode="External"/><Relationship Id="rId97" Type="http://schemas.openxmlformats.org/officeDocument/2006/relationships/hyperlink" Target="2004\Can%20Med%20Ass%20J170,%201929.pdf" TargetMode="External"/><Relationship Id="rId730" Type="http://schemas.openxmlformats.org/officeDocument/2006/relationships/hyperlink" Target="2012\Coc%20Dat%20Sys%20Rev2012,%20CD002212.pdf" TargetMode="External"/><Relationship Id="rId828" Type="http://schemas.openxmlformats.org/officeDocument/2006/relationships/hyperlink" Target="2014/Coc%20Dat%20Sys%20Rev2014,%20CD009182.pdf" TargetMode="External"/><Relationship Id="rId1013" Type="http://schemas.openxmlformats.org/officeDocument/2006/relationships/hyperlink" Target="2015/Con%20Bio29,%2019.pdf" TargetMode="External"/><Relationship Id="rId162" Type="http://schemas.openxmlformats.org/officeDocument/2006/relationships/hyperlink" Target="2014\Cen%20Eur%20J%20Bio9,%20717.pdf" TargetMode="External"/><Relationship Id="rId467" Type="http://schemas.openxmlformats.org/officeDocument/2006/relationships/hyperlink" Target="2014/CTS-Cli%20Tra%20Sci7,%20465.pdf" TargetMode="External"/><Relationship Id="rId1097" Type="http://schemas.openxmlformats.org/officeDocument/2006/relationships/hyperlink" Target="2014\Cul%20Org20,%2040.pdf" TargetMode="External"/><Relationship Id="rId1220" Type="http://schemas.openxmlformats.org/officeDocument/2006/relationships/hyperlink" Target="2014\Cur%20Sci106,%201490.pdf" TargetMode="External"/><Relationship Id="rId271" Type="http://schemas.openxmlformats.org/officeDocument/2006/relationships/hyperlink" Target="2014\Chr%20Int31,%201.pdf" TargetMode="External"/><Relationship Id="rId674" Type="http://schemas.openxmlformats.org/officeDocument/2006/relationships/hyperlink" Target="2011\Coc%20Dat%20Sys%20Rev2011,%20CD007645.pdf" TargetMode="External"/><Relationship Id="rId881" Type="http://schemas.openxmlformats.org/officeDocument/2006/relationships/hyperlink" Target="2015/Cognition135,%2036.pdf" TargetMode="External"/><Relationship Id="rId937" Type="http://schemas.openxmlformats.org/officeDocument/2006/relationships/hyperlink" Target="1989\Com%20Res16,%20581.pdf" TargetMode="External"/><Relationship Id="rId979" Type="http://schemas.openxmlformats.org/officeDocument/2006/relationships/hyperlink" Target="2010\Com%20Edu54,%201.pdf" TargetMode="External"/><Relationship Id="rId1122" Type="http://schemas.openxmlformats.org/officeDocument/2006/relationships/hyperlink" Target="2014/Cur%20Med%20Res%20Opi30,%202033.pdf" TargetMode="External"/><Relationship Id="rId24" Type="http://schemas.openxmlformats.org/officeDocument/2006/relationships/hyperlink" Target="2005\Cam%20J%20Eco29,%20289.pdf" TargetMode="External"/><Relationship Id="rId66" Type="http://schemas.openxmlformats.org/officeDocument/2006/relationships/hyperlink" Target="1992\Can%20J%20Pla%20Sci72,%20487.pdf" TargetMode="External"/><Relationship Id="rId131" Type="http://schemas.openxmlformats.org/officeDocument/2006/relationships/hyperlink" Target="2009\Can%20Tre%20Rev35,%209.pdf" TargetMode="External"/><Relationship Id="rId327" Type="http://schemas.openxmlformats.org/officeDocument/2006/relationships/hyperlink" Target="1995\Cli%20Che41,%201325.pdf" TargetMode="External"/><Relationship Id="rId369" Type="http://schemas.openxmlformats.org/officeDocument/2006/relationships/hyperlink" Target="2011/Cli%20J%20Spo%20Med21,%2025.pdf" TargetMode="External"/><Relationship Id="rId534" Type="http://schemas.openxmlformats.org/officeDocument/2006/relationships/hyperlink" Target="2008\Coc%20Dat%20Sys%20Rev2008,%20CD005656.pdf" TargetMode="External"/><Relationship Id="rId576" Type="http://schemas.openxmlformats.org/officeDocument/2006/relationships/hyperlink" Target="2010\Coc%20Dat%20Sys%20Rev2010,%20CD003690.pdf" TargetMode="External"/><Relationship Id="rId741" Type="http://schemas.openxmlformats.org/officeDocument/2006/relationships/hyperlink" Target="2012\Coc%20Dat%20Sys%20Rev2012,%20CD008852.pdf" TargetMode="External"/><Relationship Id="rId783" Type="http://schemas.openxmlformats.org/officeDocument/2006/relationships/hyperlink" Target="2014\Coc%20Dat%20Sys%20Rev2014,%20CD009609.pdf" TargetMode="External"/><Relationship Id="rId839" Type="http://schemas.openxmlformats.org/officeDocument/2006/relationships/hyperlink" Target="2014/Coc%20Dat%20Sys%20Rev2014,%20CD009931.pdf" TargetMode="External"/><Relationship Id="rId990" Type="http://schemas.openxmlformats.org/officeDocument/2006/relationships/hyperlink" Target="2002\Com%20Net39,%20277.pdf" TargetMode="External"/><Relationship Id="rId1164" Type="http://schemas.openxmlformats.org/officeDocument/2006/relationships/hyperlink" Target="2004\Cur%20Sci86,%20623.pdf" TargetMode="External"/><Relationship Id="rId173" Type="http://schemas.openxmlformats.org/officeDocument/2006/relationships/hyperlink" Target="2011/Che%20Eng%20New89,%2028.pdf" TargetMode="External"/><Relationship Id="rId229" Type="http://schemas.openxmlformats.org/officeDocument/2006/relationships/hyperlink" Target="2007\Chi%20J%20Evi-Bas%20Med7,%20289.pdf" TargetMode="External"/><Relationship Id="rId380" Type="http://schemas.openxmlformats.org/officeDocument/2006/relationships/hyperlink" Target="http://www3.interscience.wiley.com/journal/117978803/home" TargetMode="External"/><Relationship Id="rId436" Type="http://schemas.openxmlformats.org/officeDocument/2006/relationships/hyperlink" Target="2015/Cli%20Reh29,%20221.pdf" TargetMode="External"/><Relationship Id="rId601" Type="http://schemas.openxmlformats.org/officeDocument/2006/relationships/hyperlink" Target="2011\Coc%20Dat%20Sys%20Rev2011,%20CD008143.pdf" TargetMode="External"/><Relationship Id="rId643" Type="http://schemas.openxmlformats.org/officeDocument/2006/relationships/hyperlink" Target="2011\Coc%20Dat%20Sys%20Rev2011,%20CD003262.pdf" TargetMode="External"/><Relationship Id="rId1024" Type="http://schemas.openxmlformats.org/officeDocument/2006/relationships/hyperlink" Target="2006\Con%20Cli%20Tri27,%201.pdf" TargetMode="External"/><Relationship Id="rId1066" Type="http://schemas.openxmlformats.org/officeDocument/2006/relationships/hyperlink" Target="2011\Cri%20Car%20Med39,%201507.pdf" TargetMode="External"/><Relationship Id="rId1231" Type="http://schemas.openxmlformats.org/officeDocument/2006/relationships/hyperlink" Target="2015/Cur%20Sci108,%20147.pdf" TargetMode="External"/><Relationship Id="rId240" Type="http://schemas.openxmlformats.org/officeDocument/2006/relationships/hyperlink" Target="2007\Chi%20J%20Med%20Lib%20Inf%20Sci16,%2063.pdf" TargetMode="External"/><Relationship Id="rId478" Type="http://schemas.openxmlformats.org/officeDocument/2006/relationships/hyperlink" Target="2011\Cli%20Res%20Hep%20Gas35,%20336.pdf" TargetMode="External"/><Relationship Id="rId685" Type="http://schemas.openxmlformats.org/officeDocument/2006/relationships/hyperlink" Target="2011\Coc%20Dat%20Sys%20Rev2011,%20CD004205.pdf" TargetMode="External"/><Relationship Id="rId850" Type="http://schemas.openxmlformats.org/officeDocument/2006/relationships/hyperlink" Target="2014/Coc%20Dat%20Sys%20Rev2014,%20CD010627.pdf" TargetMode="External"/><Relationship Id="rId892" Type="http://schemas.openxmlformats.org/officeDocument/2006/relationships/hyperlink" Target="1960-80\Col%20Man3,%20151.pdf" TargetMode="External"/><Relationship Id="rId906" Type="http://schemas.openxmlformats.org/officeDocument/2006/relationships/hyperlink" Target="1996\Col%20Res%20Lib57,%20567.pdf" TargetMode="External"/><Relationship Id="rId948" Type="http://schemas.openxmlformats.org/officeDocument/2006/relationships/hyperlink" Target="2005\Com%20ACM48,%2088.pdf" TargetMode="External"/><Relationship Id="rId1133" Type="http://schemas.openxmlformats.org/officeDocument/2006/relationships/hyperlink" Target="1987\Cur%20Sci56,%20302.pdf" TargetMode="External"/><Relationship Id="rId35" Type="http://schemas.openxmlformats.org/officeDocument/2006/relationships/hyperlink" Target="http://www.springerlink.com/content/121278/?p=af4d028cfdd94a9b8b0ecd5e03967107&amp;pi=0" TargetMode="External"/><Relationship Id="rId77" Type="http://schemas.openxmlformats.org/officeDocument/2006/relationships/hyperlink" Target="http://web.ebscohost.com/ehost/detail?vid=1&amp;hid=17&amp;sid=89e6b20f-f295-4c2f-9e64-08cf56357d33%40sessionmgr15&amp;bdata=JnNpdGU9ZWhvc3QtbGl2ZQ%3d%3d" TargetMode="External"/><Relationship Id="rId100" Type="http://schemas.openxmlformats.org/officeDocument/2006/relationships/hyperlink" Target="2007\Can%20Med%20Ass%20J175,%201389.pdf" TargetMode="External"/><Relationship Id="rId282" Type="http://schemas.openxmlformats.org/officeDocument/2006/relationships/hyperlink" Target="2014\Cie%20Sau%20Col19,%201921.pdf" TargetMode="External"/><Relationship Id="rId338" Type="http://schemas.openxmlformats.org/officeDocument/2006/relationships/hyperlink" Target="2011\Cli%20Che%20Lab%20Med49,%20941.pdf" TargetMode="External"/><Relationship Id="rId503" Type="http://schemas.openxmlformats.org/officeDocument/2006/relationships/hyperlink" Target="2005\Coc%20Dat%20Sys%20Rev2005,%20CD000386.pdf" TargetMode="External"/><Relationship Id="rId545" Type="http://schemas.openxmlformats.org/officeDocument/2006/relationships/hyperlink" Target="2009\Coc%20Dat%20Sys%20Rev2009,%20CD006880.pdf" TargetMode="External"/><Relationship Id="rId587" Type="http://schemas.openxmlformats.org/officeDocument/2006/relationships/hyperlink" Target="2010\Coc%20Dat%20Sys%20Rev2010,%20CD006932.pdf" TargetMode="External"/><Relationship Id="rId710" Type="http://schemas.openxmlformats.org/officeDocument/2006/relationships/hyperlink" Target="2011\Coc%20Dat%20Sys%20Rev2011,%20CD007992.pdf" TargetMode="External"/><Relationship Id="rId752" Type="http://schemas.openxmlformats.org/officeDocument/2006/relationships/hyperlink" Target="2012\Coc%20Dat%20Sys%20Rev2012,%20CD002020.pdf" TargetMode="External"/><Relationship Id="rId808" Type="http://schemas.openxmlformats.org/officeDocument/2006/relationships/hyperlink" Target="2014\Coc%20Dat%20Sys%20Rev2014,%20CD002013.pdf" TargetMode="External"/><Relationship Id="rId1175" Type="http://schemas.openxmlformats.org/officeDocument/2006/relationships/hyperlink" Target="2005\Cur%20Sci89,%201510.pdf" TargetMode="External"/><Relationship Id="rId8" Type="http://schemas.openxmlformats.org/officeDocument/2006/relationships/endnotes" Target="endnotes.xml"/><Relationship Id="rId142" Type="http://schemas.openxmlformats.org/officeDocument/2006/relationships/hyperlink" Target="2000\Car%20Res45,%203.pdf" TargetMode="External"/><Relationship Id="rId184" Type="http://schemas.openxmlformats.org/officeDocument/2006/relationships/hyperlink" Target="http://ehis.ebscohost.com.ludwig.lub.lu.se/ehost/detail?hid=23&amp;sid=754e5b51-5959-408f-8c75-37a843345253%40sessionmgr10&amp;vid=1&amp;bdata=JnNpdGU9ZWhvc3QtbGl2ZQ%3d%3d" TargetMode="External"/><Relationship Id="rId391" Type="http://schemas.openxmlformats.org/officeDocument/2006/relationships/hyperlink" Target="2012\Cli%20Ort%20Rel%20Res470,%202077.pdf" TargetMode="External"/><Relationship Id="rId405" Type="http://schemas.openxmlformats.org/officeDocument/2006/relationships/hyperlink" Target="2002\Cli%20Oto%20All%20Sci27,%20318.pdf" TargetMode="External"/><Relationship Id="rId447" Type="http://schemas.openxmlformats.org/officeDocument/2006/relationships/hyperlink" Target="2008\Cli%20The30,%201565.pdf" TargetMode="External"/><Relationship Id="rId612" Type="http://schemas.openxmlformats.org/officeDocument/2006/relationships/hyperlink" Target="2010\Coc%20Dat%20Sys%20Rev2010,%20CD007667.pdf" TargetMode="External"/><Relationship Id="rId794" Type="http://schemas.openxmlformats.org/officeDocument/2006/relationships/hyperlink" Target="2014\Coc%20Dat%20Sys%20Rev2014,%20CD005441.pdf" TargetMode="External"/><Relationship Id="rId1035" Type="http://schemas.openxmlformats.org/officeDocument/2006/relationships/hyperlink" Target="2009\Cor%20Gov-%20Int%20Rev17,%20266.pdf" TargetMode="External"/><Relationship Id="rId1077" Type="http://schemas.openxmlformats.org/officeDocument/2006/relationships/hyperlink" Target="2014\Cri%20Rev%20On%20Hem89,%20394.pdf" TargetMode="External"/><Relationship Id="rId1200" Type="http://schemas.openxmlformats.org/officeDocument/2006/relationships/hyperlink" Target="2011\Cur%20Sci100,%2021.pdf" TargetMode="External"/><Relationship Id="rId1242" Type="http://schemas.openxmlformats.org/officeDocument/2006/relationships/hyperlink" Target="http://informahealthcare.com/loi/cot" TargetMode="External"/><Relationship Id="rId251" Type="http://schemas.openxmlformats.org/officeDocument/2006/relationships/hyperlink" Target="http://e50.cnki.net/KNS50/Navi/item.aspx?NaviID=1&amp;BaseID=ZHHL&amp;NaviLink=%e4%b8%ad%e5%8d%8e%e6%8a%a4%e7%90%86%e6%9d%82%e5%bf%97" TargetMode="External"/><Relationship Id="rId489" Type="http://schemas.openxmlformats.org/officeDocument/2006/relationships/hyperlink" Target="http://www.thecochranelibrary.com/view/0/index.html" TargetMode="External"/><Relationship Id="rId654" Type="http://schemas.openxmlformats.org/officeDocument/2006/relationships/hyperlink" Target="2011\Coc%20Dat%20Sys%20Rev2011,%20CD002041.pdf" TargetMode="External"/><Relationship Id="rId696" Type="http://schemas.openxmlformats.org/officeDocument/2006/relationships/hyperlink" Target="2011\Coc%20Dat%20Sys%20Rev2011,%20CD007992.pdf" TargetMode="External"/><Relationship Id="rId861" Type="http://schemas.openxmlformats.org/officeDocument/2006/relationships/hyperlink" Target="2015/Coc%20Dat%20Sys%20Rev2015,%20CD011549.pdf" TargetMode="External"/><Relationship Id="rId917" Type="http://schemas.openxmlformats.org/officeDocument/2006/relationships/hyperlink" Target="2008\Col%20Res%20Lib69,%20155.pdf" TargetMode="External"/><Relationship Id="rId959" Type="http://schemas.openxmlformats.org/officeDocument/2006/relationships/hyperlink" Target="2000\Compare30,%2035.pdf" TargetMode="External"/><Relationship Id="rId1102" Type="http://schemas.openxmlformats.org/officeDocument/2006/relationships/hyperlink" Target="1987\Cur%20Con11,%203.pdf" TargetMode="External"/><Relationship Id="rId46" Type="http://schemas.openxmlformats.org/officeDocument/2006/relationships/hyperlink" Target="2014\Can%20J%20Car30,%20898.pdf" TargetMode="External"/><Relationship Id="rId293" Type="http://schemas.openxmlformats.org/officeDocument/2006/relationships/hyperlink" Target="2000\Cir%20Res87,%20261.pdf" TargetMode="External"/><Relationship Id="rId307" Type="http://schemas.openxmlformats.org/officeDocument/2006/relationships/hyperlink" Target="2011\Cli%20Cha108,%201.pdf" TargetMode="External"/><Relationship Id="rId349" Type="http://schemas.openxmlformats.org/officeDocument/2006/relationships/hyperlink" Target="2003\Cli%20Exp%20Oph31,%2014.pdf" TargetMode="External"/><Relationship Id="rId514" Type="http://schemas.openxmlformats.org/officeDocument/2006/relationships/hyperlink" Target="2007\Coc%20Dat%20Sys%20Rev2007,%20CD000542.pdf" TargetMode="External"/><Relationship Id="rId556" Type="http://schemas.openxmlformats.org/officeDocument/2006/relationships/hyperlink" Target="2009\Coc%20Dat%20Sys%20Rev2009,%20CD004126.pdf" TargetMode="External"/><Relationship Id="rId721" Type="http://schemas.openxmlformats.org/officeDocument/2006/relationships/hyperlink" Target="2011\Coc%20Dat%20Sys%20Rev2011,%20CD008131.pdf" TargetMode="External"/><Relationship Id="rId763" Type="http://schemas.openxmlformats.org/officeDocument/2006/relationships/hyperlink" Target="2012\Coc%20Dat%20Sys%20Rev2012,%20CD005609.pdf" TargetMode="External"/><Relationship Id="rId1144" Type="http://schemas.openxmlformats.org/officeDocument/2006/relationships/hyperlink" Target="1999\Cur%20Sci76,%201191.pdf" TargetMode="External"/><Relationship Id="rId1186" Type="http://schemas.openxmlformats.org/officeDocument/2006/relationships/hyperlink" Target="2008\Cur%20Sci94,%201265.pdf" TargetMode="External"/><Relationship Id="rId88" Type="http://schemas.openxmlformats.org/officeDocument/2006/relationships/hyperlink" Target="1996\Can%20Med%20Ass%20J155%20877.pdf" TargetMode="External"/><Relationship Id="rId111" Type="http://schemas.openxmlformats.org/officeDocument/2006/relationships/hyperlink" Target="2013\Can%20Bio13,%20215.pdf" TargetMode="External"/><Relationship Id="rId153" Type="http://schemas.openxmlformats.org/officeDocument/2006/relationships/hyperlink" Target="1997\Cel%20Dea%20Dif4,%20352.pdf" TargetMode="External"/><Relationship Id="rId195" Type="http://schemas.openxmlformats.org/officeDocument/2006/relationships/hyperlink" Target="http://www.blackwell-synergy.com/servlet/useragent?func=showIssues&amp;code=cch" TargetMode="External"/><Relationship Id="rId209" Type="http://schemas.openxmlformats.org/officeDocument/2006/relationships/hyperlink" Target="http://e29.cnki.net/KNS50/Navi/item.aspx?NaviID=1&amp;BaseID=ZYXJ&amp;NaviLink=%e4%b8%ad%e5%9b%bd%e5%8c%bb%e5%ad%a6%e6%95%99%e8%82%b2%e6%8a%80%e6%9c%af" TargetMode="External"/><Relationship Id="rId360" Type="http://schemas.openxmlformats.org/officeDocument/2006/relationships/hyperlink" Target="2009\Cli%20Inf%20Dis49,%2093.pdf" TargetMode="External"/><Relationship Id="rId416" Type="http://schemas.openxmlformats.org/officeDocument/2006/relationships/hyperlink" Target="2009\Cli%20Rad64,%20983.pdf" TargetMode="External"/><Relationship Id="rId598" Type="http://schemas.openxmlformats.org/officeDocument/2006/relationships/hyperlink" Target="2011\Coc%20Dat%20Sys%20Rev2011,%20CD008399.pdf" TargetMode="External"/><Relationship Id="rId819" Type="http://schemas.openxmlformats.org/officeDocument/2006/relationships/hyperlink" Target="2014\Coc%20Dat%20Sys%20Rev2014,%20CD009694.pdf" TargetMode="External"/><Relationship Id="rId970" Type="http://schemas.openxmlformats.org/officeDocument/2006/relationships/hyperlink" Target="2003\Com%20Ren%20Bio326,%201097.pdf" TargetMode="External"/><Relationship Id="rId1004" Type="http://schemas.openxmlformats.org/officeDocument/2006/relationships/hyperlink" Target="http://www3.interscience.wiley.com/journal/118487636/home" TargetMode="External"/><Relationship Id="rId1046" Type="http://schemas.openxmlformats.org/officeDocument/2006/relationships/hyperlink" Target="2012\Cri-J%20Cri%20Int%20Sui%20Pre33,%20301.pdf" TargetMode="External"/><Relationship Id="rId1211" Type="http://schemas.openxmlformats.org/officeDocument/2006/relationships/hyperlink" Target="2013\Cur%20Sci105,%201353.pdf" TargetMode="External"/><Relationship Id="rId1253" Type="http://schemas.openxmlformats.org/officeDocument/2006/relationships/hyperlink" Target="1985\Cze%20J%20Phy35,%201389.pdf" TargetMode="External"/><Relationship Id="rId220" Type="http://schemas.openxmlformats.org/officeDocument/2006/relationships/hyperlink" Target="2011\Chi%20J%20Can%20Res23,%20165.pdf" TargetMode="External"/><Relationship Id="rId458" Type="http://schemas.openxmlformats.org/officeDocument/2006/relationships/hyperlink" Target="2013\Cli%20The35,%201125.pdf" TargetMode="External"/><Relationship Id="rId623" Type="http://schemas.openxmlformats.org/officeDocument/2006/relationships/hyperlink" Target="2010\Coc%20Dat%20Sys%20Rev2010,%20CD008089.pdf" TargetMode="External"/><Relationship Id="rId665" Type="http://schemas.openxmlformats.org/officeDocument/2006/relationships/hyperlink" Target="2011\Coc%20Dat%20Sys%20Rev2011,%20CD000125.pdf" TargetMode="External"/><Relationship Id="rId830" Type="http://schemas.openxmlformats.org/officeDocument/2006/relationships/hyperlink" Target="2014/Coc%20Dat%20Sys%20Rev2014,%20CD010079.pdf" TargetMode="External"/><Relationship Id="rId872" Type="http://schemas.openxmlformats.org/officeDocument/2006/relationships/hyperlink" Target="2015/Coc%20Dat%20Sys%20Rev2015,%20CD010061.pdf" TargetMode="External"/><Relationship Id="rId928" Type="http://schemas.openxmlformats.org/officeDocument/2006/relationships/hyperlink" Target="2010\Col%20Dis12,%20862.pdf" TargetMode="External"/><Relationship Id="rId1088" Type="http://schemas.openxmlformats.org/officeDocument/2006/relationships/hyperlink" Target="2010\Cro%20Med%20J51,%2099.pdf" TargetMode="External"/><Relationship Id="rId15" Type="http://schemas.openxmlformats.org/officeDocument/2006/relationships/hyperlink" Target="2007\Cad%20Sau%20Pub23,%20995.pdf" TargetMode="External"/><Relationship Id="rId57" Type="http://schemas.openxmlformats.org/officeDocument/2006/relationships/hyperlink" Target="2005\Can%20Jou%20Inf%20Lib%20Sci29,%20357.pdf" TargetMode="External"/><Relationship Id="rId262" Type="http://schemas.openxmlformats.org/officeDocument/2006/relationships/hyperlink" Target="2011\Chi%20Med%20J124,%203314.pdf" TargetMode="External"/><Relationship Id="rId318" Type="http://schemas.openxmlformats.org/officeDocument/2006/relationships/hyperlink" Target="2012\Cli%20App%20Thr-Hem18,%2040.pdf" TargetMode="External"/><Relationship Id="rId525" Type="http://schemas.openxmlformats.org/officeDocument/2006/relationships/hyperlink" Target="2007\Coc%20Dat%20Sys%20Rev2007,%20CD000515.pdf" TargetMode="External"/><Relationship Id="rId567" Type="http://schemas.openxmlformats.org/officeDocument/2006/relationships/hyperlink" Target="2010\Coc%20Dat%20Sys%20Rev2010,%20CD006803.pdf" TargetMode="External"/><Relationship Id="rId732" Type="http://schemas.openxmlformats.org/officeDocument/2006/relationships/hyperlink" Target="2012\Coc%20Dat%20Sys%20Rev2012,%20CD008264.pdf" TargetMode="External"/><Relationship Id="rId1113" Type="http://schemas.openxmlformats.org/officeDocument/2006/relationships/hyperlink" Target="http://www.ingentaconnect.com/content/ben/cdm;jsessionid=2tubs4207hosj.victoria" TargetMode="External"/><Relationship Id="rId1155" Type="http://schemas.openxmlformats.org/officeDocument/2006/relationships/hyperlink" Target="2002\Cur%20Sci83,%20107.pdf" TargetMode="External"/><Relationship Id="rId1197" Type="http://schemas.openxmlformats.org/officeDocument/2006/relationships/hyperlink" Target="2010\Cur%20Sci99,%20738.pdf" TargetMode="External"/><Relationship Id="rId99" Type="http://schemas.openxmlformats.org/officeDocument/2006/relationships/hyperlink" Target="2004\Can%20Med%20Ass%20J171,%201024-1.pdf" TargetMode="External"/><Relationship Id="rId122" Type="http://schemas.openxmlformats.org/officeDocument/2006/relationships/hyperlink" Target="2007\Can%20Epi%20Bio%20Pre16,%202321.pdf" TargetMode="External"/><Relationship Id="rId164" Type="http://schemas.openxmlformats.org/officeDocument/2006/relationships/hyperlink" Target="2013\Cha%20Sol%20Fra57,%209.pdf" TargetMode="External"/><Relationship Id="rId371" Type="http://schemas.openxmlformats.org/officeDocument/2006/relationships/hyperlink" Target="2012\Cli%20Neu%20Neu114,%201207.pdf" TargetMode="External"/><Relationship Id="rId774" Type="http://schemas.openxmlformats.org/officeDocument/2006/relationships/hyperlink" Target="2012\Coc%20Dat%20Sys%20Rev2012,%20CD005162.pdf" TargetMode="External"/><Relationship Id="rId981" Type="http://schemas.openxmlformats.org/officeDocument/2006/relationships/hyperlink" Target="2011\Com%20Edu57,%201893.pdf" TargetMode="External"/><Relationship Id="rId1015" Type="http://schemas.openxmlformats.org/officeDocument/2006/relationships/hyperlink" Target="2014\Con%20Bui%20Mat53,%2013.pdf" TargetMode="External"/><Relationship Id="rId1057" Type="http://schemas.openxmlformats.org/officeDocument/2006/relationships/hyperlink" Target="2014/Cri%20Car18,%20517.pdf" TargetMode="External"/><Relationship Id="rId1222" Type="http://schemas.openxmlformats.org/officeDocument/2006/relationships/hyperlink" Target="2014\Cur%20Sci107,%20269.pdf" TargetMode="External"/><Relationship Id="rId427" Type="http://schemas.openxmlformats.org/officeDocument/2006/relationships/hyperlink" Target="2011\Cli%20Reh25,%20396.pdf" TargetMode="External"/><Relationship Id="rId469" Type="http://schemas.openxmlformats.org/officeDocument/2006/relationships/hyperlink" Target="http://www.scielo.br/scielo.php?script=sci_issues&amp;pid=1807-5932&amp;lng=en&amp;nrm=iso" TargetMode="External"/><Relationship Id="rId634" Type="http://schemas.openxmlformats.org/officeDocument/2006/relationships/hyperlink" Target="2011\Coc%20Dat%20Sys%20Rev2011,%20CD003626.pdf" TargetMode="External"/><Relationship Id="rId676" Type="http://schemas.openxmlformats.org/officeDocument/2006/relationships/hyperlink" Target="2011\Coc%20Dat%20Sys%20Rev2011,%20CD007897.pdf" TargetMode="External"/><Relationship Id="rId841" Type="http://schemas.openxmlformats.org/officeDocument/2006/relationships/hyperlink" Target="2014/Coc%20Dat%20Sys%20Rev2014,%20CD009984.pdf" TargetMode="External"/><Relationship Id="rId883" Type="http://schemas.openxmlformats.org/officeDocument/2006/relationships/hyperlink" Target="http://www.sciencedirect.com/science/journal/02615614" TargetMode="External"/><Relationship Id="rId1099" Type="http://schemas.openxmlformats.org/officeDocument/2006/relationships/hyperlink" Target="1960-80\Cur%20Con51,%205.pdf" TargetMode="External"/><Relationship Id="rId1264" Type="http://schemas.openxmlformats.org/officeDocument/2006/relationships/theme" Target="theme/theme1.xml"/><Relationship Id="rId26" Type="http://schemas.openxmlformats.org/officeDocument/2006/relationships/hyperlink" Target="2004\Can%20Ass%20Rad%20J-J%20Ass%20Can%20Rad55,%20170.pdf" TargetMode="External"/><Relationship Id="rId231" Type="http://schemas.openxmlformats.org/officeDocument/2006/relationships/hyperlink" Target="2007\Chi%20J%20Dis%20Con%20Pre11,%2072.pdf" TargetMode="External"/><Relationship Id="rId273" Type="http://schemas.openxmlformats.org/officeDocument/2006/relationships/hyperlink" Target="2014\Cie%20Rur44,%20950.pdf" TargetMode="External"/><Relationship Id="rId329" Type="http://schemas.openxmlformats.org/officeDocument/2006/relationships/hyperlink" Target="1998\Cli%20Che44,%202234.pdf" TargetMode="External"/><Relationship Id="rId480" Type="http://schemas.openxmlformats.org/officeDocument/2006/relationships/hyperlink" Target="2013\Cli%20Res%20Hep%20Gas37,%20507.pdf" TargetMode="External"/><Relationship Id="rId536" Type="http://schemas.openxmlformats.org/officeDocument/2006/relationships/hyperlink" Target="2008\Coc%20Dat%20Sys%20Rev2008,%20CD003689.pdf" TargetMode="External"/><Relationship Id="rId701" Type="http://schemas.openxmlformats.org/officeDocument/2006/relationships/hyperlink" Target="2011\Coc%20Dat%20Sys%20Rev2011,%20CD009170.pdf" TargetMode="External"/><Relationship Id="rId939" Type="http://schemas.openxmlformats.org/officeDocument/2006/relationships/hyperlink" Target="1989\Com%20Res16,%20615.pdf" TargetMode="External"/><Relationship Id="rId1124" Type="http://schemas.openxmlformats.org/officeDocument/2006/relationships/hyperlink" Target="http://www.ingentaconnect.com/content/ben/cnano;jsessionid=1tkux2jks72h7.victoria" TargetMode="External"/><Relationship Id="rId1166" Type="http://schemas.openxmlformats.org/officeDocument/2006/relationships/hyperlink" Target="2004\Cur%20Sci86,%20627.pdf" TargetMode="External"/><Relationship Id="rId68" Type="http://schemas.openxmlformats.org/officeDocument/2006/relationships/hyperlink" Target="2010\Can%20J%20Psy55,%20386.pdf" TargetMode="External"/><Relationship Id="rId133" Type="http://schemas.openxmlformats.org/officeDocument/2006/relationships/hyperlink" Target="2011/Can%20Tre%20Rev37,%2011.pdf" TargetMode="External"/><Relationship Id="rId175" Type="http://schemas.openxmlformats.org/officeDocument/2006/relationships/hyperlink" Target="http://www.chemicke-listy.cz/common/articles.html" TargetMode="External"/><Relationship Id="rId340" Type="http://schemas.openxmlformats.org/officeDocument/2006/relationships/hyperlink" Target="2000\Cli%20End53,%20541.pdf" TargetMode="External"/><Relationship Id="rId578" Type="http://schemas.openxmlformats.org/officeDocument/2006/relationships/hyperlink" Target="2010\Coc%20Dat%20Sys%20Rev2010,%20CD007219.pdf" TargetMode="External"/><Relationship Id="rId743" Type="http://schemas.openxmlformats.org/officeDocument/2006/relationships/hyperlink" Target="2012\Coc%20Dat%20Sys%20Rev2012,%20CD003659.pdf" TargetMode="External"/><Relationship Id="rId785" Type="http://schemas.openxmlformats.org/officeDocument/2006/relationships/hyperlink" Target="2014\Coc%20Dat%20Sys%20Rev2014,%20CD009784.pdf" TargetMode="External"/><Relationship Id="rId950" Type="http://schemas.openxmlformats.org/officeDocument/2006/relationships/hyperlink" Target="2005\Com%20ACM48,%2013.pdf" TargetMode="External"/><Relationship Id="rId992" Type="http://schemas.openxmlformats.org/officeDocument/2006/relationships/hyperlink" Target="2010\Com%20Soc23,%20289.pdf" TargetMode="External"/><Relationship Id="rId1026" Type="http://schemas.openxmlformats.org/officeDocument/2006/relationships/hyperlink" Target="2015/Con%20Cli%20Tri41,%2031.pdf" TargetMode="External"/><Relationship Id="rId200" Type="http://schemas.openxmlformats.org/officeDocument/2006/relationships/hyperlink" Target="2014/Chi%20Ner%20Sys30,%201717.pdf" TargetMode="External"/><Relationship Id="rId382" Type="http://schemas.openxmlformats.org/officeDocument/2006/relationships/hyperlink" Target="2007\Cli%20Ora%20Imp%20Res18,%20138.pdf" TargetMode="External"/><Relationship Id="rId438" Type="http://schemas.openxmlformats.org/officeDocument/2006/relationships/hyperlink" Target="2001\Cli%20The23,%201355.pdf" TargetMode="External"/><Relationship Id="rId603" Type="http://schemas.openxmlformats.org/officeDocument/2006/relationships/hyperlink" Target="2010\Coc%20Dat%20Sys%20Rev2010,%20CD002787.pdf" TargetMode="External"/><Relationship Id="rId645" Type="http://schemas.openxmlformats.org/officeDocument/2006/relationships/hyperlink" Target="2011\Coc%20Dat%20Sys%20Rev2011,%20CD006252.pdf" TargetMode="External"/><Relationship Id="rId687" Type="http://schemas.openxmlformats.org/officeDocument/2006/relationships/hyperlink" Target="2011\Coc%20Dat%20Sys%20Rev2011,%20CD007103.pdf" TargetMode="External"/><Relationship Id="rId810" Type="http://schemas.openxmlformats.org/officeDocument/2006/relationships/hyperlink" Target="2014\Coc%20Dat%20Sys%20Rev2014,%20CD006088.pdf" TargetMode="External"/><Relationship Id="rId852" Type="http://schemas.openxmlformats.org/officeDocument/2006/relationships/hyperlink" Target="2015/Coc%20Dat%20Sys%20Rev2015,%20CD001939.pdf" TargetMode="External"/><Relationship Id="rId908" Type="http://schemas.openxmlformats.org/officeDocument/2006/relationships/hyperlink" Target="2001\Col%20Res%20Lib62,%20422.pdf" TargetMode="External"/><Relationship Id="rId1068" Type="http://schemas.openxmlformats.org/officeDocument/2006/relationships/hyperlink" Target="2012\Cri%20Car%20Med40,%20967.pdf" TargetMode="External"/><Relationship Id="rId1233" Type="http://schemas.openxmlformats.org/officeDocument/2006/relationships/hyperlink" Target="2015/Cur%20Sci-Chuang1.pdf" TargetMode="External"/><Relationship Id="rId242" Type="http://schemas.openxmlformats.org/officeDocument/2006/relationships/hyperlink" Target="2007\Chi%20J%20Med%20Lib%20Inf%20Sci16,%2073.pdf" TargetMode="External"/><Relationship Id="rId284" Type="http://schemas.openxmlformats.org/officeDocument/2006/relationships/hyperlink" Target="2008\Circulation118,%201321.pdf" TargetMode="External"/><Relationship Id="rId491" Type="http://schemas.openxmlformats.org/officeDocument/2006/relationships/hyperlink" Target="2001\Coc%20Dat%20Sys%20Rev2001,%20CD001366.pdf" TargetMode="External"/><Relationship Id="rId505" Type="http://schemas.openxmlformats.org/officeDocument/2006/relationships/hyperlink" Target="2006\Coc%20Dat%20Sys%20Rev2006,%20CD004879.pdf" TargetMode="External"/><Relationship Id="rId712" Type="http://schemas.openxmlformats.org/officeDocument/2006/relationships/hyperlink" Target="2011\Coc%20Dat%20Sys%20Rev2011,%20CD008716.pdf" TargetMode="External"/><Relationship Id="rId894" Type="http://schemas.openxmlformats.org/officeDocument/2006/relationships/hyperlink" Target="1994\Col%20Man17,%2095.pdf" TargetMode="External"/><Relationship Id="rId1135" Type="http://schemas.openxmlformats.org/officeDocument/2006/relationships/hyperlink" Target="1988\Cur%20Sci57,%20835.pdf" TargetMode="External"/><Relationship Id="rId1177" Type="http://schemas.openxmlformats.org/officeDocument/2006/relationships/hyperlink" Target="2005\Cur%20Sci89,%201531.pdf" TargetMode="External"/><Relationship Id="rId37" Type="http://schemas.openxmlformats.org/officeDocument/2006/relationships/hyperlink" Target="1995\Can%20J%20Ana42,%20307.pdf" TargetMode="External"/><Relationship Id="rId79" Type="http://schemas.openxmlformats.org/officeDocument/2006/relationships/hyperlink" Target="2005\Can%20J%20Sur48,%20117.pdf" TargetMode="External"/><Relationship Id="rId102" Type="http://schemas.openxmlformats.org/officeDocument/2006/relationships/hyperlink" Target="1987\Can%20Psy-Psy%20Can28,%20148.pdf" TargetMode="External"/><Relationship Id="rId144" Type="http://schemas.openxmlformats.org/officeDocument/2006/relationships/hyperlink" Target="2002\Car%20Res56,%20175.pdf" TargetMode="External"/><Relationship Id="rId547" Type="http://schemas.openxmlformats.org/officeDocument/2006/relationships/hyperlink" Target="2009\Coc%20Dat%20Sys%20Rev2009,%20CD007118.pdf" TargetMode="External"/><Relationship Id="rId589" Type="http://schemas.openxmlformats.org/officeDocument/2006/relationships/hyperlink" Target="2010\Coc%20Dat%20Sys%20Rev2010,%20CD008335.pdf" TargetMode="External"/><Relationship Id="rId754" Type="http://schemas.openxmlformats.org/officeDocument/2006/relationships/hyperlink" Target="2012\Coc%20Dat%20Sys%20Rev2012,%20CD008370.pdf" TargetMode="External"/><Relationship Id="rId796" Type="http://schemas.openxmlformats.org/officeDocument/2006/relationships/hyperlink" Target="2014\Coc%20Dat%20Sys%20Rev2014,%20CD005970.pdf" TargetMode="External"/><Relationship Id="rId961" Type="http://schemas.openxmlformats.org/officeDocument/2006/relationships/hyperlink" Target="2007\Com%20The%20Med15,%20225.pdf" TargetMode="External"/><Relationship Id="rId1202" Type="http://schemas.openxmlformats.org/officeDocument/2006/relationships/hyperlink" Target="2011\Cur%20Sci100,%201297.pdf" TargetMode="External"/><Relationship Id="rId90" Type="http://schemas.openxmlformats.org/officeDocument/2006/relationships/hyperlink" Target="1998\Can%20Med%20Ass%20J158,%20S15.pdf" TargetMode="External"/><Relationship Id="rId186" Type="http://schemas.openxmlformats.org/officeDocument/2006/relationships/hyperlink" Target="2006\Che%20Int%20Lab%20Sys81,%20202.pdf" TargetMode="External"/><Relationship Id="rId351" Type="http://schemas.openxmlformats.org/officeDocument/2006/relationships/hyperlink" Target="2004\Cli%20Exp%20Oph32,%20607.pdf" TargetMode="External"/><Relationship Id="rId393" Type="http://schemas.openxmlformats.org/officeDocument/2006/relationships/hyperlink" Target="2012\Cli%20Ort%20Rel%20Res470,%202349.pdf" TargetMode="External"/><Relationship Id="rId407" Type="http://schemas.openxmlformats.org/officeDocument/2006/relationships/hyperlink" Target="2006\Cli%20Oto%20All%20Sci31,%20561.pdf" TargetMode="External"/><Relationship Id="rId449" Type="http://schemas.openxmlformats.org/officeDocument/2006/relationships/hyperlink" Target="2009\Cli%20The31,%201887.pdf" TargetMode="External"/><Relationship Id="rId614" Type="http://schemas.openxmlformats.org/officeDocument/2006/relationships/hyperlink" Target="2010\Coc%20Dat%20Sys%20Rev2010,%20CD002907.pdf" TargetMode="External"/><Relationship Id="rId656" Type="http://schemas.openxmlformats.org/officeDocument/2006/relationships/hyperlink" Target="2011\Coc%20Dat%20Sys%20Rev2011,%20CD008960.pdf" TargetMode="External"/><Relationship Id="rId821" Type="http://schemas.openxmlformats.org/officeDocument/2006/relationships/hyperlink" Target="2014\Coc%20Dat%20Sys%20Rev2014,%20CD010813.pdf" TargetMode="External"/><Relationship Id="rId863" Type="http://schemas.openxmlformats.org/officeDocument/2006/relationships/hyperlink" Target="2015/Coc%20Dat%20Sys%20Rev2015,%20CD003988.pdf" TargetMode="External"/><Relationship Id="rId1037" Type="http://schemas.openxmlformats.org/officeDocument/2006/relationships/hyperlink" Target="2015/Cor%20Soc%20Res%20Env%20Man22,%20129.pdf" TargetMode="External"/><Relationship Id="rId1079" Type="http://schemas.openxmlformats.org/officeDocument/2006/relationships/hyperlink" Target="2012\Cry%20Alg33,%20289.pdf" TargetMode="External"/><Relationship Id="rId1244" Type="http://schemas.openxmlformats.org/officeDocument/2006/relationships/hyperlink" Target="2010\Cut%20Ocu%20Tox29,%20241.pdf" TargetMode="External"/><Relationship Id="rId211" Type="http://schemas.openxmlformats.org/officeDocument/2006/relationships/hyperlink" Target="2011\Chi%20Sci%20Tec%20Res%20Rev43,%2047.pdf" TargetMode="External"/><Relationship Id="rId253" Type="http://schemas.openxmlformats.org/officeDocument/2006/relationships/hyperlink" Target="http://e45.cnki.net/KNS50/Navi/item.aspx?NaviID=1&amp;BaseID=ZCGK&amp;NaviLink=%e4%b8%ad%e5%8d%8e%e5%88%9b%e4%bc%a4%e9%aa%a8%e7%a7%91%e6%9d%82%e5%bf%97" TargetMode="External"/><Relationship Id="rId295" Type="http://schemas.openxmlformats.org/officeDocument/2006/relationships/hyperlink" Target="2003\Cir%20Res92,%20121.pdf" TargetMode="External"/><Relationship Id="rId309" Type="http://schemas.openxmlformats.org/officeDocument/2006/relationships/hyperlink" Target="2007\Cli%20Chi%20Act375,%2043.pdf" TargetMode="External"/><Relationship Id="rId460" Type="http://schemas.openxmlformats.org/officeDocument/2006/relationships/hyperlink" Target="2014\Cli%20The36,%201087.pdf" TargetMode="External"/><Relationship Id="rId516" Type="http://schemas.openxmlformats.org/officeDocument/2006/relationships/hyperlink" Target="2007\Coc%20Dat%20Sys%20Rev2007,%20CD005164.pdf" TargetMode="External"/><Relationship Id="rId698" Type="http://schemas.openxmlformats.org/officeDocument/2006/relationships/hyperlink" Target="2011\Coc%20Dat%20Sys%20Rev2011,%20CD008716.pdf" TargetMode="External"/><Relationship Id="rId919" Type="http://schemas.openxmlformats.org/officeDocument/2006/relationships/hyperlink" Target="2010\Col%20Res%20Lib71,%2032.pdf" TargetMode="External"/><Relationship Id="rId1090" Type="http://schemas.openxmlformats.org/officeDocument/2006/relationships/hyperlink" Target="2009\Cro%20Che%20Act82,%20695.pdf" TargetMode="External"/><Relationship Id="rId1104" Type="http://schemas.openxmlformats.org/officeDocument/2006/relationships/hyperlink" Target="1990\Cur%20Con32,%205.pdf" TargetMode="External"/><Relationship Id="rId1146" Type="http://schemas.openxmlformats.org/officeDocument/2006/relationships/hyperlink" Target="2000\Cur%20Sci79,%20602.pdf" TargetMode="External"/><Relationship Id="rId48" Type="http://schemas.openxmlformats.org/officeDocument/2006/relationships/hyperlink" Target="2010\Can%20J%20Dia34,%20211.pdf" TargetMode="External"/><Relationship Id="rId113" Type="http://schemas.openxmlformats.org/officeDocument/2006/relationships/hyperlink" Target="2015/Can%20Bio15,%2057.pdf" TargetMode="External"/><Relationship Id="rId320" Type="http://schemas.openxmlformats.org/officeDocument/2006/relationships/hyperlink" Target="2014/Cli%20Bio47,%2016.pdf" TargetMode="External"/><Relationship Id="rId558" Type="http://schemas.openxmlformats.org/officeDocument/2006/relationships/hyperlink" Target="2009\Coc%20Dat%20Sys%20Rev2009,%20CD007370.pdf" TargetMode="External"/><Relationship Id="rId723" Type="http://schemas.openxmlformats.org/officeDocument/2006/relationships/hyperlink" Target="2011\Coc%20Dat%20Sys%20Rev2011,%20CD008472.pdf" TargetMode="External"/><Relationship Id="rId765" Type="http://schemas.openxmlformats.org/officeDocument/2006/relationships/hyperlink" Target="2012\Coc%20Dat%20Sys%20Rev2012,%20CD004544.pdf" TargetMode="External"/><Relationship Id="rId930" Type="http://schemas.openxmlformats.org/officeDocument/2006/relationships/hyperlink" Target="2011\Col%20Dis13,%201085.pdf" TargetMode="External"/><Relationship Id="rId972" Type="http://schemas.openxmlformats.org/officeDocument/2006/relationships/hyperlink" Target="1960-80\Com%20J11,%20116.pdf" TargetMode="External"/><Relationship Id="rId1006" Type="http://schemas.openxmlformats.org/officeDocument/2006/relationships/hyperlink" Target="1991\Con%20Bio5,%2018.pdf" TargetMode="External"/><Relationship Id="rId1188" Type="http://schemas.openxmlformats.org/officeDocument/2006/relationships/hyperlink" Target="2008\Cur%20Sci95,%20311.pdf" TargetMode="External"/><Relationship Id="rId155" Type="http://schemas.openxmlformats.org/officeDocument/2006/relationships/hyperlink" Target="http://celljournal.org/index.php" TargetMode="External"/><Relationship Id="rId197" Type="http://schemas.openxmlformats.org/officeDocument/2006/relationships/hyperlink" Target="2014/Chi%20Fam%20Soc%20Wor19,%20491.pdf" TargetMode="External"/><Relationship Id="rId362" Type="http://schemas.openxmlformats.org/officeDocument/2006/relationships/hyperlink" Target="2010\Cli%20Inf%20Dis51,%20550.pdf" TargetMode="External"/><Relationship Id="rId418" Type="http://schemas.openxmlformats.org/officeDocument/2006/relationships/hyperlink" Target="2009\Cli%20Reh23,%20195.pdf" TargetMode="External"/><Relationship Id="rId625" Type="http://schemas.openxmlformats.org/officeDocument/2006/relationships/hyperlink" Target="2010\Coc%20Dat%20Sys%20Rev2010,%20CD004607.pdf" TargetMode="External"/><Relationship Id="rId832" Type="http://schemas.openxmlformats.org/officeDocument/2006/relationships/hyperlink" Target="2014/Coc%20Dat%20Sys%20Rev2014,%20CD010683.pdf" TargetMode="External"/><Relationship Id="rId1048" Type="http://schemas.openxmlformats.org/officeDocument/2006/relationships/hyperlink" Target="2006\Cri%20Car10,%20R6.pdf" TargetMode="External"/><Relationship Id="rId1213" Type="http://schemas.openxmlformats.org/officeDocument/2006/relationships/hyperlink" Target="2014\Cur%20Sci106,%20166.pdf" TargetMode="External"/><Relationship Id="rId1255" Type="http://schemas.openxmlformats.org/officeDocument/2006/relationships/hyperlink" Target="1986\Cze%20J%20Phy36,%2054.pdf" TargetMode="External"/><Relationship Id="rId222" Type="http://schemas.openxmlformats.org/officeDocument/2006/relationships/hyperlink" Target="2013\Chi%20J%20Can%20Res25,%20679.pdf" TargetMode="External"/><Relationship Id="rId264" Type="http://schemas.openxmlformats.org/officeDocument/2006/relationships/hyperlink" Target="2012\Chi%20Med%20J125,%20367.pdf" TargetMode="External"/><Relationship Id="rId471" Type="http://schemas.openxmlformats.org/officeDocument/2006/relationships/hyperlink" Target="2009\Clinics64,%20903.pdf" TargetMode="External"/><Relationship Id="rId667" Type="http://schemas.openxmlformats.org/officeDocument/2006/relationships/hyperlink" Target="2011\Coc%20Dat%20Sys%20Rev2011,%20CD009274.pdf" TargetMode="External"/><Relationship Id="rId874" Type="http://schemas.openxmlformats.org/officeDocument/2006/relationships/hyperlink" Target="2015/Coc%20Dat%20Sys%20Rev2015,%20UNSP%20CD010200.pdf" TargetMode="External"/><Relationship Id="rId1115" Type="http://schemas.openxmlformats.org/officeDocument/2006/relationships/hyperlink" Target="2012\Cur%20Med%20Che19,%201421.pdf" TargetMode="External"/><Relationship Id="rId17" Type="http://schemas.openxmlformats.org/officeDocument/2006/relationships/hyperlink" Target="2009\Cad%20Sau%20Pub25,%20S415.pdf" TargetMode="External"/><Relationship Id="rId59" Type="http://schemas.openxmlformats.org/officeDocument/2006/relationships/hyperlink" Target="2006\Can%20Jou%20Inf%20Lib%20Sci30,%20104.pdf" TargetMode="External"/><Relationship Id="rId124" Type="http://schemas.openxmlformats.org/officeDocument/2006/relationships/hyperlink" Target="1998\Can%20Gen%20Cyt104,%2077.pdf" TargetMode="External"/><Relationship Id="rId527" Type="http://schemas.openxmlformats.org/officeDocument/2006/relationships/hyperlink" Target="2007\Coc%20Dat%20Sys%20Rev2007,%20CD05430.pdf" TargetMode="External"/><Relationship Id="rId569" Type="http://schemas.openxmlformats.org/officeDocument/2006/relationships/hyperlink" Target="2010\Coc%20Dat%20Sys%20Rev2010,%20CD007340.pdf" TargetMode="External"/><Relationship Id="rId734" Type="http://schemas.openxmlformats.org/officeDocument/2006/relationships/hyperlink" Target="2012\Coc%20Dat%20Sys%20Rev2012,%20CD008445.pdf" TargetMode="External"/><Relationship Id="rId776" Type="http://schemas.openxmlformats.org/officeDocument/2006/relationships/hyperlink" Target="2012\Coc%20Dat%20Sys%20Rev2012,%20CD006007.pdf" TargetMode="External"/><Relationship Id="rId941" Type="http://schemas.openxmlformats.org/officeDocument/2006/relationships/hyperlink" Target="1989\Com%20Res16,%20701.pdf" TargetMode="External"/><Relationship Id="rId983" Type="http://schemas.openxmlformats.org/officeDocument/2006/relationships/hyperlink" Target="2012\Com%20Edu59,%20817.pdf" TargetMode="External"/><Relationship Id="rId1157" Type="http://schemas.openxmlformats.org/officeDocument/2006/relationships/hyperlink" Target="2003\Cur%20Sci84,%20258.pdf" TargetMode="External"/><Relationship Id="rId1199" Type="http://schemas.openxmlformats.org/officeDocument/2006/relationships/hyperlink" Target="2010\Cur%20Sci99,%201639.pdf" TargetMode="External"/><Relationship Id="rId70" Type="http://schemas.openxmlformats.org/officeDocument/2006/relationships/hyperlink" Target="2014/Can%20J%20Psy59,%20561.pdf" TargetMode="External"/><Relationship Id="rId166" Type="http://schemas.openxmlformats.org/officeDocument/2006/relationships/hyperlink" Target="http://www.rsc.org/Publishing/Journals/C3/Article.asp?Type=CurrentIssue" TargetMode="External"/><Relationship Id="rId331" Type="http://schemas.openxmlformats.org/officeDocument/2006/relationships/hyperlink" Target="2001\Cli%20Che47,%2013.pdf" TargetMode="External"/><Relationship Id="rId373" Type="http://schemas.openxmlformats.org/officeDocument/2006/relationships/hyperlink" Target="2015/Cli%20Neu%20Neu128,%20107.pdf" TargetMode="External"/><Relationship Id="rId429" Type="http://schemas.openxmlformats.org/officeDocument/2006/relationships/hyperlink" Target="2012\Cli%20Reh26,%2010.pdf" TargetMode="External"/><Relationship Id="rId580" Type="http://schemas.openxmlformats.org/officeDocument/2006/relationships/hyperlink" Target="2010\Coc%20Dat%20Sys%20Rev2010,%20CD008370.pdf" TargetMode="External"/><Relationship Id="rId636" Type="http://schemas.openxmlformats.org/officeDocument/2006/relationships/hyperlink" Target="2011\Coc%20Dat%20Sys%20Rev2011,%20CD005431.pdf" TargetMode="External"/><Relationship Id="rId801" Type="http://schemas.openxmlformats.org/officeDocument/2006/relationships/hyperlink" Target="2014\Coc%20Dat%20Sys%20Rev2014,%20CD007260.pdf" TargetMode="External"/><Relationship Id="rId1017" Type="http://schemas.openxmlformats.org/officeDocument/2006/relationships/hyperlink" Target="2008\Con%20Der58,%20191.pdf" TargetMode="External"/><Relationship Id="rId1059" Type="http://schemas.openxmlformats.org/officeDocument/2006/relationships/hyperlink" Target="1995\Cri%20Car%20Med23,%201430.pdf" TargetMode="External"/><Relationship Id="rId1224" Type="http://schemas.openxmlformats.org/officeDocument/2006/relationships/hyperlink" Target="2014/Cur%20Sci107,%20965.pdf" TargetMode="External"/><Relationship Id="rId1" Type="http://schemas.openxmlformats.org/officeDocument/2006/relationships/customXml" Target="../customXml/item1.xml"/><Relationship Id="rId233" Type="http://schemas.openxmlformats.org/officeDocument/2006/relationships/hyperlink" Target="2006\Chi%20J%20Hea%20Lab%20Tec16,%20894.pdf" TargetMode="External"/><Relationship Id="rId440" Type="http://schemas.openxmlformats.org/officeDocument/2006/relationships/hyperlink" Target="2001\Cli%20The23,%201938.pdf" TargetMode="External"/><Relationship Id="rId678" Type="http://schemas.openxmlformats.org/officeDocument/2006/relationships/hyperlink" Target="2011\Coc%20Dat%20Sys%20Rev2011,%20CD008959.pdf" TargetMode="External"/><Relationship Id="rId843" Type="http://schemas.openxmlformats.org/officeDocument/2006/relationships/hyperlink" Target="2014/Coc%20Dat%20Sys%20Rev2014,%20CD010125.pdf" TargetMode="External"/><Relationship Id="rId885" Type="http://schemas.openxmlformats.org/officeDocument/2006/relationships/hyperlink" Target="2010\Cli%20Nut29,%20160.pdf" TargetMode="External"/><Relationship Id="rId1070" Type="http://schemas.openxmlformats.org/officeDocument/2006/relationships/hyperlink" Target="http://www.scopus.com/scopus/source/sourceInfo.url?sourceId=f9c3c4f13dd46a544f45494fbd3b7fbb" TargetMode="External"/><Relationship Id="rId1126" Type="http://schemas.openxmlformats.org/officeDocument/2006/relationships/hyperlink" Target="2010\Cur%20Neu8,%20287.pdf" TargetMode="External"/><Relationship Id="rId28" Type="http://schemas.openxmlformats.org/officeDocument/2006/relationships/hyperlink" Target="2009\Can%20Fam%20Phy55,%20691.pdf" TargetMode="External"/><Relationship Id="rId275" Type="http://schemas.openxmlformats.org/officeDocument/2006/relationships/hyperlink" Target="2009\Cie%20Sau%20Col14,%20519.pdf" TargetMode="External"/><Relationship Id="rId300" Type="http://schemas.openxmlformats.org/officeDocument/2006/relationships/hyperlink" Target="2013\Cities31,%20317.pdf" TargetMode="External"/><Relationship Id="rId482" Type="http://schemas.openxmlformats.org/officeDocument/2006/relationships/hyperlink" Target="2014/Cli%20Res%20Hep%20Gas38,%20481.pdf" TargetMode="External"/><Relationship Id="rId538" Type="http://schemas.openxmlformats.org/officeDocument/2006/relationships/hyperlink" Target="2008\Coc%20Dat%20Sys%20Rev2008,%20MR000002.pdf" TargetMode="External"/><Relationship Id="rId703" Type="http://schemas.openxmlformats.org/officeDocument/2006/relationships/hyperlink" Target="2011\Coc%20Dat%20Sys%20Rev2011,%20CD009131.pdf" TargetMode="External"/><Relationship Id="rId745" Type="http://schemas.openxmlformats.org/officeDocument/2006/relationships/hyperlink" Target="2012\Coc%20Dat%20Sys%20Rev2012,%20CD006047.pdf" TargetMode="External"/><Relationship Id="rId910" Type="http://schemas.openxmlformats.org/officeDocument/2006/relationships/hyperlink" Target="2004\Col%20Res%20Lib65,%20152.pdf" TargetMode="External"/><Relationship Id="rId952" Type="http://schemas.openxmlformats.org/officeDocument/2006/relationships/hyperlink" Target="2013\Com%20ACM56,%209.pdf" TargetMode="External"/><Relationship Id="rId1168" Type="http://schemas.openxmlformats.org/officeDocument/2006/relationships/hyperlink" Target="2004\Cur%20Sci86,%201197.pdf" TargetMode="External"/><Relationship Id="rId81" Type="http://schemas.openxmlformats.org/officeDocument/2006/relationships/hyperlink" Target="1983\Can%20Med%20Ass%20J129,%20524.pdf" TargetMode="External"/><Relationship Id="rId135" Type="http://schemas.openxmlformats.org/officeDocument/2006/relationships/hyperlink" Target="2015/Can%20Tre%20Rev41,%2046.pdf" TargetMode="External"/><Relationship Id="rId177" Type="http://schemas.openxmlformats.org/officeDocument/2006/relationships/hyperlink" Target="2001/Che%20Lis95,%20498.pdf" TargetMode="External"/><Relationship Id="rId342" Type="http://schemas.openxmlformats.org/officeDocument/2006/relationships/hyperlink" Target="2011\Cli%20End75,%20771.pdf" TargetMode="External"/><Relationship Id="rId384" Type="http://schemas.openxmlformats.org/officeDocument/2006/relationships/hyperlink" Target="2013\Cli%20Ora%20Inv17,%201773.pdf" TargetMode="External"/><Relationship Id="rId591" Type="http://schemas.openxmlformats.org/officeDocument/2006/relationships/hyperlink" Target="2010\Coc%20Dat%20Sys%20Rev2010,%20CD002300.pdf" TargetMode="External"/><Relationship Id="rId605" Type="http://schemas.openxmlformats.org/officeDocument/2006/relationships/hyperlink" Target="2010\Coc%20Dat%20Sys%20Rev2010,%20CD006005.pdf" TargetMode="External"/><Relationship Id="rId787" Type="http://schemas.openxmlformats.org/officeDocument/2006/relationships/hyperlink" Target="2014\Coc%20Dat%20Sys%20Rev2014,%20CD010151.pdf" TargetMode="External"/><Relationship Id="rId812" Type="http://schemas.openxmlformats.org/officeDocument/2006/relationships/hyperlink" Target="2014\Coc%20Dat%20Sys%20Rev2014,%20CD006930.pdf" TargetMode="External"/><Relationship Id="rId994" Type="http://schemas.openxmlformats.org/officeDocument/2006/relationships/hyperlink" Target="2013\Comunicar41,%2025.pdf" TargetMode="External"/><Relationship Id="rId1028" Type="http://schemas.openxmlformats.org/officeDocument/2006/relationships/hyperlink" Target="2009\Contraception79,%20323.pdf" TargetMode="External"/><Relationship Id="rId1235" Type="http://schemas.openxmlformats.org/officeDocument/2006/relationships/hyperlink" Target="2015/Cur%20Sci108,%201053.pdf" TargetMode="External"/><Relationship Id="rId202" Type="http://schemas.openxmlformats.org/officeDocument/2006/relationships/hyperlink" Target="2009\Chi%20Ogg-Che%20Tod27,%2019.pdf" TargetMode="External"/><Relationship Id="rId244" Type="http://schemas.openxmlformats.org/officeDocument/2006/relationships/hyperlink" Target="2007\Chi%20J%20Med%20Lib%20Inf%20Sci16,%2070.pdf" TargetMode="External"/><Relationship Id="rId647" Type="http://schemas.openxmlformats.org/officeDocument/2006/relationships/hyperlink" Target="2011\Coc%20Dat%20Sys%20Rev2011,%20CD007132.pdf" TargetMode="External"/><Relationship Id="rId689" Type="http://schemas.openxmlformats.org/officeDocument/2006/relationships/hyperlink" Target="2011\Coc%20Dat%20Sys%20Rev2011,%20CD007577.pdf" TargetMode="External"/><Relationship Id="rId854" Type="http://schemas.openxmlformats.org/officeDocument/2006/relationships/hyperlink" Target="2015/Coc%20Dat%20Sys%20Rev2015,%20CD003659.pdf" TargetMode="External"/><Relationship Id="rId896" Type="http://schemas.openxmlformats.org/officeDocument/2006/relationships/hyperlink" Target="http://www.jstor.org/action/showPublication?journalCode=collegeenglish" TargetMode="External"/><Relationship Id="rId1081" Type="http://schemas.openxmlformats.org/officeDocument/2006/relationships/hyperlink" Target="2001\Cro%20Med%20J42,%2014.pdf" TargetMode="External"/><Relationship Id="rId39" Type="http://schemas.openxmlformats.org/officeDocument/2006/relationships/hyperlink" Target="2006\Can%20J%20Ana53,%20906.pdf" TargetMode="External"/><Relationship Id="rId286" Type="http://schemas.openxmlformats.org/officeDocument/2006/relationships/hyperlink" Target="2009\Circulation119,%20F55.pdf" TargetMode="External"/><Relationship Id="rId451" Type="http://schemas.openxmlformats.org/officeDocument/2006/relationships/hyperlink" Target="2010\Cli%20The32,%201437.pdf" TargetMode="External"/><Relationship Id="rId493" Type="http://schemas.openxmlformats.org/officeDocument/2006/relationships/hyperlink" Target="2003\Coc%20Dat%20Sys%20Rev2003,%20CD003968.pdf" TargetMode="External"/><Relationship Id="rId507" Type="http://schemas.openxmlformats.org/officeDocument/2006/relationships/hyperlink" Target="2006\Coc%20Dat%20Sys%20Rev2006,%20CD005966.pdf" TargetMode="External"/><Relationship Id="rId549" Type="http://schemas.openxmlformats.org/officeDocument/2006/relationships/hyperlink" Target="2009\Coc%20Dat%20Sys%20Rev2009,%20CD007632.pdf" TargetMode="External"/><Relationship Id="rId714" Type="http://schemas.openxmlformats.org/officeDocument/2006/relationships/hyperlink" Target="2011\Coc%20Dat%20Sys%20Rev2011,%20CD003740.pdf" TargetMode="External"/><Relationship Id="rId756" Type="http://schemas.openxmlformats.org/officeDocument/2006/relationships/hyperlink" Target="2012\Coc%20Dat%20Sys%20Rev2012,%20CD004496.pdf" TargetMode="External"/><Relationship Id="rId921" Type="http://schemas.openxmlformats.org/officeDocument/2006/relationships/hyperlink" Target="2014\Col%20Res%20Lib75,%205.pdf" TargetMode="External"/><Relationship Id="rId1137" Type="http://schemas.openxmlformats.org/officeDocument/2006/relationships/hyperlink" Target="1993\Cur%20Sci65,%20809.pdf" TargetMode="External"/><Relationship Id="rId1179" Type="http://schemas.openxmlformats.org/officeDocument/2006/relationships/hyperlink" Target="2005\Cur%20Sci89,%201552.pdf" TargetMode="External"/><Relationship Id="rId50" Type="http://schemas.openxmlformats.org/officeDocument/2006/relationships/hyperlink" Target="2010\Can%20J%20Eme%20Med12,%20135.pdf" TargetMode="External"/><Relationship Id="rId104" Type="http://schemas.openxmlformats.org/officeDocument/2006/relationships/hyperlink" Target="2011\Can%20Res%20J18,%20338.pdf" TargetMode="External"/><Relationship Id="rId146" Type="http://schemas.openxmlformats.org/officeDocument/2006/relationships/hyperlink" Target="2010\Cat%20Car%20Int76,%20942.pdf" TargetMode="External"/><Relationship Id="rId188" Type="http://schemas.openxmlformats.org/officeDocument/2006/relationships/hyperlink" Target="2012\Che%20Int%20Lab%20Sys119,%201.pdf" TargetMode="External"/><Relationship Id="rId311" Type="http://schemas.openxmlformats.org/officeDocument/2006/relationships/hyperlink" Target="2014\Cli%20Chi%20Act428,%2032.pdf" TargetMode="External"/><Relationship Id="rId353" Type="http://schemas.openxmlformats.org/officeDocument/2006/relationships/hyperlink" Target="2009\Cli%20Exp%20Oph37,%20868.pdf" TargetMode="External"/><Relationship Id="rId395" Type="http://schemas.openxmlformats.org/officeDocument/2006/relationships/hyperlink" Target="2012\Cli%20Ort%20Rel%20Res470,%202926.pdf" TargetMode="External"/><Relationship Id="rId409" Type="http://schemas.openxmlformats.org/officeDocument/2006/relationships/hyperlink" Target="2011\Cli%20Oto%20All%20Sci36,%20489.pdf" TargetMode="External"/><Relationship Id="rId560" Type="http://schemas.openxmlformats.org/officeDocument/2006/relationships/hyperlink" Target="2009\Coc%20Dat%20Sys%20Rev2009,%20CD008085.pdf" TargetMode="External"/><Relationship Id="rId798" Type="http://schemas.openxmlformats.org/officeDocument/2006/relationships/hyperlink" Target="2014\Coc%20Dat%20Sys%20Rev2014,%20CD006252.pdf" TargetMode="External"/><Relationship Id="rId963" Type="http://schemas.openxmlformats.org/officeDocument/2006/relationships/hyperlink" Target="2014\Com%20The%20Med22,%20409.pdf" TargetMode="External"/><Relationship Id="rId1039" Type="http://schemas.openxmlformats.org/officeDocument/2006/relationships/hyperlink" Target="2005\Cortex41,%20103.pdf" TargetMode="External"/><Relationship Id="rId1190" Type="http://schemas.openxmlformats.org/officeDocument/2006/relationships/hyperlink" Target="2008\Cur%20Sci95,%201383.pdf" TargetMode="External"/><Relationship Id="rId1204" Type="http://schemas.openxmlformats.org/officeDocument/2006/relationships/hyperlink" Target="2013\Cur%20Sci104,%2060.pdf" TargetMode="External"/><Relationship Id="rId1246" Type="http://schemas.openxmlformats.org/officeDocument/2006/relationships/hyperlink" Target="http://www.cindoc.csic.es/cybermetrics/" TargetMode="External"/><Relationship Id="rId92" Type="http://schemas.openxmlformats.org/officeDocument/2006/relationships/hyperlink" Target="1999\Can%20Med%20Ass%20J161,%20979.pdf" TargetMode="External"/><Relationship Id="rId213" Type="http://schemas.openxmlformats.org/officeDocument/2006/relationships/hyperlink" Target="2007\Chi%20Agr%20Sci%20Bul23,%20448.pdf" TargetMode="External"/><Relationship Id="rId420" Type="http://schemas.openxmlformats.org/officeDocument/2006/relationships/hyperlink" Target="2009\Cli%20Reh23,%20651.pdf" TargetMode="External"/><Relationship Id="rId616" Type="http://schemas.openxmlformats.org/officeDocument/2006/relationships/hyperlink" Target="2010\Coc%20Dat%20Sys%20Rev2010,%20CD006775.pdf" TargetMode="External"/><Relationship Id="rId658" Type="http://schemas.openxmlformats.org/officeDocument/2006/relationships/hyperlink" Target="2011\Coc%20Dat%20Sys%20Rev2011,%20CD002800.pdf" TargetMode="External"/><Relationship Id="rId823" Type="http://schemas.openxmlformats.org/officeDocument/2006/relationships/hyperlink" Target="2014/Coc%20Dat%20Sys%20Rev2014,%20CD003331.pdf" TargetMode="External"/><Relationship Id="rId865" Type="http://schemas.openxmlformats.org/officeDocument/2006/relationships/hyperlink" Target="2015/Coc%20Dat%20Sys%20Rev2015,%20CD008419.pdf" TargetMode="External"/><Relationship Id="rId1050" Type="http://schemas.openxmlformats.org/officeDocument/2006/relationships/hyperlink" Target="2010\Cri%20Car14,%20R194.pdf" TargetMode="External"/><Relationship Id="rId255" Type="http://schemas.openxmlformats.org/officeDocument/2006/relationships/hyperlink" Target="http://e41.cnki.net/KNS50/Navi/item.aspx?NaviID=1&amp;BaseID=ZGCY&amp;NaviLink=%e4%b8%ad%e5%9b%bd%e8%b6%85%e5%a3%b0%e5%8c%bb%e5%ad%a6%e6%9d%82%e5%bf%97" TargetMode="External"/><Relationship Id="rId297" Type="http://schemas.openxmlformats.org/officeDocument/2006/relationships/hyperlink" Target="2014\Cir%20Res114,%20600.pdf" TargetMode="External"/><Relationship Id="rId462" Type="http://schemas.openxmlformats.org/officeDocument/2006/relationships/hyperlink" Target="2015/Cli%20The37,%20529.pdf" TargetMode="External"/><Relationship Id="rId518" Type="http://schemas.openxmlformats.org/officeDocument/2006/relationships/hyperlink" Target="2007\Coc%20Dat%20Sys%20Rev2007,%20CD005640.pdf" TargetMode="External"/><Relationship Id="rId725" Type="http://schemas.openxmlformats.org/officeDocument/2006/relationships/hyperlink" Target="2011\Coc%20Dat%20Sys%20Rev2011,%20CD009052.pdf" TargetMode="External"/><Relationship Id="rId932" Type="http://schemas.openxmlformats.org/officeDocument/2006/relationships/hyperlink" Target="2012\Col%20Dis14,%20e521.pdf" TargetMode="External"/><Relationship Id="rId1092" Type="http://schemas.openxmlformats.org/officeDocument/2006/relationships/hyperlink" Target="http://www.freundpublishing.com/Corrosion_Reviews/CorrPrev.htm" TargetMode="External"/><Relationship Id="rId1106" Type="http://schemas.openxmlformats.org/officeDocument/2006/relationships/hyperlink" Target="1990\Cur%20Con37,%205.pdf" TargetMode="External"/><Relationship Id="rId1148" Type="http://schemas.openxmlformats.org/officeDocument/2006/relationships/hyperlink" Target="2000\Cur%20Sci79,%20621.pdf" TargetMode="External"/><Relationship Id="rId115" Type="http://schemas.openxmlformats.org/officeDocument/2006/relationships/hyperlink" Target="1999\Can%20Cau%20Con10,%20483.pdf" TargetMode="External"/><Relationship Id="rId157" Type="http://schemas.openxmlformats.org/officeDocument/2006/relationships/hyperlink" Target="file:///D:\Bibliometric%20References\2015\Cel%20J17-Lin.pdf" TargetMode="External"/><Relationship Id="rId322" Type="http://schemas.openxmlformats.org/officeDocument/2006/relationships/hyperlink" Target="2015/Cli%20Bio30,%20330.pdf" TargetMode="External"/><Relationship Id="rId364" Type="http://schemas.openxmlformats.org/officeDocument/2006/relationships/hyperlink" Target="2014\Cli%20Int%20Agi9,%20477.pdf" TargetMode="External"/><Relationship Id="rId767" Type="http://schemas.openxmlformats.org/officeDocument/2006/relationships/hyperlink" Target="2012\Coc%20Dat%20Sys%20Rev2012,%20CD008570.pdf" TargetMode="External"/><Relationship Id="rId974" Type="http://schemas.openxmlformats.org/officeDocument/2006/relationships/hyperlink" Target="http://www.sciencedirect.com/science/journal/00104655" TargetMode="External"/><Relationship Id="rId1008" Type="http://schemas.openxmlformats.org/officeDocument/2006/relationships/hyperlink" Target="2006\Con%20Bio20,%20652.pdf" TargetMode="External"/><Relationship Id="rId1215" Type="http://schemas.openxmlformats.org/officeDocument/2006/relationships/hyperlink" Target="2014\Cur%20Sci106,%20816.pdf" TargetMode="External"/><Relationship Id="rId61" Type="http://schemas.openxmlformats.org/officeDocument/2006/relationships/hyperlink" Target="2008\Can%20Jou%20Inf%20Lib%20Sci32,%2055.pdf" TargetMode="External"/><Relationship Id="rId199" Type="http://schemas.openxmlformats.org/officeDocument/2006/relationships/hyperlink" Target="2013/Chi%20Ner%20Sys29,%202201.pdf" TargetMode="External"/><Relationship Id="rId571" Type="http://schemas.openxmlformats.org/officeDocument/2006/relationships/hyperlink" Target="2010\Coc%20Dat%20Sys%20Rev2010,%20CD007502.pdf" TargetMode="External"/><Relationship Id="rId627" Type="http://schemas.openxmlformats.org/officeDocument/2006/relationships/hyperlink" Target="2010\Coc%20Dat%20Sys%20Rev2010,%20CD008256.pdf" TargetMode="External"/><Relationship Id="rId669" Type="http://schemas.openxmlformats.org/officeDocument/2006/relationships/hyperlink" Target="2011\Coc%20Dat%20Sys%20Rev2011,%20CD003423.pdf" TargetMode="External"/><Relationship Id="rId834" Type="http://schemas.openxmlformats.org/officeDocument/2006/relationships/hyperlink" Target="2014/Coc%20Dat%20Sys%20Rev2014,%20CD002947.pdf" TargetMode="External"/><Relationship Id="rId876" Type="http://schemas.openxmlformats.org/officeDocument/2006/relationships/hyperlink" Target="2015/Coc%20Dat%20Sys%20Rev2015,%20CD010772.pdf" TargetMode="External"/><Relationship Id="rId1257" Type="http://schemas.openxmlformats.org/officeDocument/2006/relationships/hyperlink" Target="1986\Cze%20J%20Phy36,%20663.pdf" TargetMode="External"/><Relationship Id="rId19" Type="http://schemas.openxmlformats.org/officeDocument/2006/relationships/hyperlink" Target="2010\Cad%20Sau%20Pub26,%201669.pdf" TargetMode="External"/><Relationship Id="rId224" Type="http://schemas.openxmlformats.org/officeDocument/2006/relationships/hyperlink" Target="2014\Chi%20J%20Can%20Res26,%20315.pdf" TargetMode="External"/><Relationship Id="rId266" Type="http://schemas.openxmlformats.org/officeDocument/2006/relationships/hyperlink" Target="http://www.springerlink.com/(tu2awtnfz5hzrir1aggrmwfh)/app/home/journal.asp?referrer=parent&amp;backto=subject,9,30;" TargetMode="External"/><Relationship Id="rId431" Type="http://schemas.openxmlformats.org/officeDocument/2006/relationships/hyperlink" Target="2014\Cli%20Reh28,%203.pdf" TargetMode="External"/><Relationship Id="rId473" Type="http://schemas.openxmlformats.org/officeDocument/2006/relationships/hyperlink" Target="2010\Clinics65,%20521.pdf" TargetMode="External"/><Relationship Id="rId529" Type="http://schemas.openxmlformats.org/officeDocument/2006/relationships/hyperlink" Target="2007\Coc%20Dat%20Sys%20Rev2007,%20CD006233.pdf" TargetMode="External"/><Relationship Id="rId680" Type="http://schemas.openxmlformats.org/officeDocument/2006/relationships/hyperlink" Target="2011\Coc%20Dat%20Sys%20Rev2011,%20CD000501.pdf" TargetMode="External"/><Relationship Id="rId736" Type="http://schemas.openxmlformats.org/officeDocument/2006/relationships/hyperlink" Target="2012\Coc%20Dat%20Sys%20Rev2012,%20CD004887.pdf" TargetMode="External"/><Relationship Id="rId901" Type="http://schemas.openxmlformats.org/officeDocument/2006/relationships/hyperlink" Target="1960-80\Col%20Res%20Lib39,%20414.pdf" TargetMode="External"/><Relationship Id="rId1061" Type="http://schemas.openxmlformats.org/officeDocument/2006/relationships/hyperlink" Target="2005\Cri%20Car%20Med33,%201125.pdf" TargetMode="External"/><Relationship Id="rId1117" Type="http://schemas.openxmlformats.org/officeDocument/2006/relationships/hyperlink" Target="2012\Cur%20Med%20Res%20Opi28,%201575.pdf" TargetMode="External"/><Relationship Id="rId1159" Type="http://schemas.openxmlformats.org/officeDocument/2006/relationships/hyperlink" Target="2003\Cur%20Sci84,%20863.pdf" TargetMode="External"/><Relationship Id="rId30" Type="http://schemas.openxmlformats.org/officeDocument/2006/relationships/hyperlink" Target="2012\Can%20Fam%20Phy58,%20E751.pdf" TargetMode="External"/><Relationship Id="rId126" Type="http://schemas.openxmlformats.org/officeDocument/2006/relationships/hyperlink" Target="2010\CA-A%20Can%20J%20Cli60,%20345.pdf" TargetMode="External"/><Relationship Id="rId168"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333" Type="http://schemas.openxmlformats.org/officeDocument/2006/relationships/hyperlink" Target="2009\Cli%20Che55,%201950.pdf" TargetMode="External"/><Relationship Id="rId540" Type="http://schemas.openxmlformats.org/officeDocument/2006/relationships/hyperlink" Target="2009\Coc%20Dat%20Sys%20Rev2009,%20CD001199.pdf" TargetMode="External"/><Relationship Id="rId778" Type="http://schemas.openxmlformats.org/officeDocument/2006/relationships/hyperlink" Target="2012\Coc%20Dat%20Sys%20Rev2012,%20CD009280.pdf" TargetMode="External"/><Relationship Id="rId943" Type="http://schemas.openxmlformats.org/officeDocument/2006/relationships/hyperlink" Target="2013\Com%20Res40,%203.pdf" TargetMode="External"/><Relationship Id="rId985" Type="http://schemas.openxmlformats.org/officeDocument/2006/relationships/hyperlink" Target="http://www.sciencedirect.com/science/journal/03608352" TargetMode="External"/><Relationship Id="rId1019" Type="http://schemas.openxmlformats.org/officeDocument/2006/relationships/hyperlink" Target="2009\Con%20Der61,%20189.pdf" TargetMode="External"/><Relationship Id="rId1170" Type="http://schemas.openxmlformats.org/officeDocument/2006/relationships/hyperlink" Target="2004\Cur%20Sci86,%201470.pdf" TargetMode="External"/><Relationship Id="rId72" Type="http://schemas.openxmlformats.org/officeDocument/2006/relationships/hyperlink" Target="2012\Can%20J%20Pub%20Hea103,%2023.pdf" TargetMode="External"/><Relationship Id="rId375" Type="http://schemas.openxmlformats.org/officeDocument/2006/relationships/hyperlink" Target="2012\Cli%20Onc24,%20396.pdf" TargetMode="External"/><Relationship Id="rId582" Type="http://schemas.openxmlformats.org/officeDocument/2006/relationships/hyperlink" Target="2010\Coc%20Dat%20Sys%20Rev2010,%20CD003680.pdf" TargetMode="External"/><Relationship Id="rId638" Type="http://schemas.openxmlformats.org/officeDocument/2006/relationships/hyperlink" Target="2011\Coc%20Dat%20Sys%20Rev2011,%20CD004408.pdf" TargetMode="External"/><Relationship Id="rId803" Type="http://schemas.openxmlformats.org/officeDocument/2006/relationships/hyperlink" Target="2014\Coc%20Dat%20Sys%20Rev2014,%20CD009786.pdf" TargetMode="External"/><Relationship Id="rId845" Type="http://schemas.openxmlformats.org/officeDocument/2006/relationships/hyperlink" Target="2014/Coc%20Dat%20Sys%20Rev2014,%20CD010312.pdf" TargetMode="External"/><Relationship Id="rId1030" Type="http://schemas.openxmlformats.org/officeDocument/2006/relationships/hyperlink" Target="2008/Cor%20Art%20Dis19,%20327.pdf" TargetMode="External"/><Relationship Id="rId1226" Type="http://schemas.openxmlformats.org/officeDocument/2006/relationships/hyperlink" Target="2014/Cur%20Sci107,%201565.pdf" TargetMode="External"/><Relationship Id="rId3" Type="http://schemas.openxmlformats.org/officeDocument/2006/relationships/styles" Target="styles.xml"/><Relationship Id="rId235" Type="http://schemas.openxmlformats.org/officeDocument/2006/relationships/hyperlink" Target="2006\Chi%20J%20Hos%20Adm22,%20282.pdf" TargetMode="External"/><Relationship Id="rId277" Type="http://schemas.openxmlformats.org/officeDocument/2006/relationships/hyperlink" Target="2011\Cie%20Sau%20Col16,%204787.pdf" TargetMode="External"/><Relationship Id="rId400" Type="http://schemas.openxmlformats.org/officeDocument/2006/relationships/hyperlink" Target="2014\Cli%20Ort%20Rel%20Res472,%202816.pdf" TargetMode="External"/><Relationship Id="rId442" Type="http://schemas.openxmlformats.org/officeDocument/2006/relationships/hyperlink" Target="2005\Cli%20The27,%201725.pdf" TargetMode="External"/><Relationship Id="rId484" Type="http://schemas.openxmlformats.org/officeDocument/2006/relationships/hyperlink" Target="http://www.springerlink.com/content/120412/?p=28a2649a15aa4e58968aadf08550b736&amp;pi=0" TargetMode="External"/><Relationship Id="rId705" Type="http://schemas.openxmlformats.org/officeDocument/2006/relationships/hyperlink" Target="2011\Coc%20Dat%20Sys%20Rev2011,%20CD009447.pdf" TargetMode="External"/><Relationship Id="rId887" Type="http://schemas.openxmlformats.org/officeDocument/2006/relationships/hyperlink" Target="2015/Cli%20Nut34,%2035.pdf" TargetMode="External"/><Relationship Id="rId1072" Type="http://schemas.openxmlformats.org/officeDocument/2006/relationships/hyperlink" Target="http://journalsonline.tandf.co.uk/(vgcmyq45zkcnnmqefqidfke5)/app/home/journal.asp?referrer=backto&amp;backto=linkingpublicationresults,1:106794,1;&amp;absoluteposition=2" TargetMode="External"/><Relationship Id="rId1128" Type="http://schemas.openxmlformats.org/officeDocument/2006/relationships/hyperlink" Target="2000\Cur%20Opi%20Rhe12,%20B25.pdf" TargetMode="External"/><Relationship Id="rId137" Type="http://schemas.openxmlformats.org/officeDocument/2006/relationships/hyperlink" Target="2007\Carbon45,%201381.pdf" TargetMode="External"/><Relationship Id="rId302" Type="http://schemas.openxmlformats.org/officeDocument/2006/relationships/hyperlink" Target="2014\Climacteric17,%20319.pdf" TargetMode="External"/><Relationship Id="rId344" Type="http://schemas.openxmlformats.org/officeDocument/2006/relationships/hyperlink" Target="2009\Cli%20Exp%20All39,%201117.pdf" TargetMode="External"/><Relationship Id="rId691" Type="http://schemas.openxmlformats.org/officeDocument/2006/relationships/hyperlink" Target="2011\Coc%20Dat%20Sys%20Rev2011,%20CD009447.pdf" TargetMode="External"/><Relationship Id="rId747" Type="http://schemas.openxmlformats.org/officeDocument/2006/relationships/hyperlink" Target="2012\Coc%20Dat%20Sys%20Rev2012,%20CD007338.pdf" TargetMode="External"/><Relationship Id="rId789" Type="http://schemas.openxmlformats.org/officeDocument/2006/relationships/hyperlink" Target="2014\Coc%20Dat%20Sys%20Rev2014,%20CD007470.pdf" TargetMode="External"/><Relationship Id="rId912" Type="http://schemas.openxmlformats.org/officeDocument/2006/relationships/hyperlink" Target="2005\Col%20Res%20Lib66,%20198.pdf" TargetMode="External"/><Relationship Id="rId954" Type="http://schemas.openxmlformats.org/officeDocument/2006/relationships/hyperlink" Target="2015/Com%20ACM58,%2076.pdf" TargetMode="External"/><Relationship Id="rId996" Type="http://schemas.openxmlformats.org/officeDocument/2006/relationships/hyperlink" Target="2013\Comunicar41,%2053.pdf" TargetMode="External"/><Relationship Id="rId41" Type="http://schemas.openxmlformats.org/officeDocument/2006/relationships/hyperlink" Target="2010\Can%20J%20Ana57,%20573.pdf" TargetMode="External"/><Relationship Id="rId83" Type="http://schemas.openxmlformats.org/officeDocument/2006/relationships/hyperlink" Target="1993\Can%20Med%20Ass%20J149,%201659.pdf" TargetMode="External"/><Relationship Id="rId179" Type="http://schemas.openxmlformats.org/officeDocument/2006/relationships/hyperlink" Target="http://www3.interscience.wiley.com/cgi-bin/jhome/107561433" TargetMode="External"/><Relationship Id="rId386" Type="http://schemas.openxmlformats.org/officeDocument/2006/relationships/hyperlink" Target="2010\Cli%20Ort%20Rel%20Res468,%202803.pdf" TargetMode="External"/><Relationship Id="rId551" Type="http://schemas.openxmlformats.org/officeDocument/2006/relationships/hyperlink" Target="2009\Coc%20Dat%20Sys%20Rev2009,%20CD006577.pdf" TargetMode="External"/><Relationship Id="rId593" Type="http://schemas.openxmlformats.org/officeDocument/2006/relationships/hyperlink" Target="2010\Coc%20Dat%20Sys%20Rev2010,%20CD007071.pdf" TargetMode="External"/><Relationship Id="rId607" Type="http://schemas.openxmlformats.org/officeDocument/2006/relationships/hyperlink" Target="2011\Coc%20Dat%20Sys%20Rev2011,%20CD007470.pdf" TargetMode="External"/><Relationship Id="rId649" Type="http://schemas.openxmlformats.org/officeDocument/2006/relationships/hyperlink" Target="2011\Coc%20Dat%20Sys%20Rev2011,%20CD007712.pdf" TargetMode="External"/><Relationship Id="rId814" Type="http://schemas.openxmlformats.org/officeDocument/2006/relationships/hyperlink" Target="2014\Coc%20Dat%20Sys%20Rev2014,%20CD007284.pdf" TargetMode="External"/><Relationship Id="rId856" Type="http://schemas.openxmlformats.org/officeDocument/2006/relationships/hyperlink" Target="2015/Coc%20Dat%20Sys%20Rev2015,%20CD006327.pdf" TargetMode="External"/><Relationship Id="rId1181" Type="http://schemas.openxmlformats.org/officeDocument/2006/relationships/hyperlink" Target="2006\Cur%20Sci91,%201616.pdf" TargetMode="External"/><Relationship Id="rId1237" Type="http://schemas.openxmlformats.org/officeDocument/2006/relationships/hyperlink" Target="2014\Cur%20Soc62,%20626.pdf" TargetMode="External"/><Relationship Id="rId190" Type="http://schemas.openxmlformats.org/officeDocument/2006/relationships/hyperlink" Target="2009\Chemphyschem10,%202193.pdf" TargetMode="External"/><Relationship Id="rId204" Type="http://schemas.openxmlformats.org/officeDocument/2006/relationships/hyperlink" Target="http://c.wanfangdata.com.cn/periodical-zgjckx.aspx" TargetMode="External"/><Relationship Id="rId246" Type="http://schemas.openxmlformats.org/officeDocument/2006/relationships/hyperlink" Target="2007\Chi%20J%20Med%20Sci%20Res%20Man20,%20107.pdf" TargetMode="External"/><Relationship Id="rId288" Type="http://schemas.openxmlformats.org/officeDocument/2006/relationships/hyperlink" Target="2012\Circulation125,%20E890.pdf" TargetMode="External"/><Relationship Id="rId411" Type="http://schemas.openxmlformats.org/officeDocument/2006/relationships/hyperlink" Target="1996\Cli%20Phy16,%20507.pdf" TargetMode="External"/><Relationship Id="rId453" Type="http://schemas.openxmlformats.org/officeDocument/2006/relationships/hyperlink" Target="2010\Cli%20The32,%202304.pdf" TargetMode="External"/><Relationship Id="rId509" Type="http://schemas.openxmlformats.org/officeDocument/2006/relationships/hyperlink" Target="2006\Coc%20Dat%20Sys%20Rev2006,%20CD004641.pdf" TargetMode="External"/><Relationship Id="rId660" Type="http://schemas.openxmlformats.org/officeDocument/2006/relationships/hyperlink" Target="2011\Coc%20Dat%20Sys%20Rev2011,%20CD005958.pdf" TargetMode="External"/><Relationship Id="rId898" Type="http://schemas.openxmlformats.org/officeDocument/2006/relationships/hyperlink" Target="1995\Col%20Eng57,%20788.pdf" TargetMode="External"/><Relationship Id="rId1041" Type="http://schemas.openxmlformats.org/officeDocument/2006/relationships/hyperlink" Target="2008\Cortex44,%201139.pdf" TargetMode="External"/><Relationship Id="rId1083" Type="http://schemas.openxmlformats.org/officeDocument/2006/relationships/hyperlink" Target="2001\Cro%20Med%20J42,%20121.pdf" TargetMode="External"/><Relationship Id="rId1139" Type="http://schemas.openxmlformats.org/officeDocument/2006/relationships/hyperlink" Target="1997\Cur%20Sci72,%20705.pdf" TargetMode="External"/><Relationship Id="rId106" Type="http://schemas.openxmlformats.org/officeDocument/2006/relationships/hyperlink" Target="http://www.cuaj.ca/en/past-issues.asp" TargetMode="External"/><Relationship Id="rId313" Type="http://schemas.openxmlformats.org/officeDocument/2006/relationships/hyperlink" Target="http://portalt.wok.mimas.ac.uk/portal.cgi?DestApp=WOS&amp;Func=Frame" TargetMode="External"/><Relationship Id="rId495" Type="http://schemas.openxmlformats.org/officeDocument/2006/relationships/hyperlink" Target="2003\Coc%20Dat%20Sys%20Rev2003,%20CD001366.pdf" TargetMode="External"/><Relationship Id="rId716" Type="http://schemas.openxmlformats.org/officeDocument/2006/relationships/hyperlink" Target="2011\Coc%20Dat%20Sys%20Rev2011,%20CD001208.pdf" TargetMode="External"/><Relationship Id="rId758" Type="http://schemas.openxmlformats.org/officeDocument/2006/relationships/hyperlink" Target="2012\Coc%20Dat%20Sys%20Rev2012,%20CD008084.pdf" TargetMode="External"/><Relationship Id="rId923" Type="http://schemas.openxmlformats.org/officeDocument/2006/relationships/hyperlink" Target="1997\Col%20Ant21,%20301.pdf" TargetMode="External"/><Relationship Id="rId965" Type="http://schemas.openxmlformats.org/officeDocument/2006/relationships/hyperlink" Target="2014\Com%20The%20Med22,%20756.pdf" TargetMode="External"/><Relationship Id="rId1150" Type="http://schemas.openxmlformats.org/officeDocument/2006/relationships/hyperlink" Target="C\Cur%20Sci81,%209.pdf" TargetMode="External"/><Relationship Id="rId10" Type="http://schemas.openxmlformats.org/officeDocument/2006/relationships/hyperlink" Target="2005\Cad%20Sau%20Pub21,%2020.pdf" TargetMode="External"/><Relationship Id="rId52" Type="http://schemas.openxmlformats.org/officeDocument/2006/relationships/hyperlink" Target="2010\Can%20J%20For%20Res40,%202248.pdf" TargetMode="External"/><Relationship Id="rId94" Type="http://schemas.openxmlformats.org/officeDocument/2006/relationships/hyperlink" Target="2000\Can%20Med%20Ass%20J162,%20489.pdf" TargetMode="External"/><Relationship Id="rId148" Type="http://schemas.openxmlformats.org/officeDocument/2006/relationships/hyperlink" Target="2014\Cel%20Bio%20Bio70,%20511.pdf" TargetMode="External"/><Relationship Id="rId355" Type="http://schemas.openxmlformats.org/officeDocument/2006/relationships/hyperlink" Target="2014\Cli%20Gas%20Hep12,%20394.pdf" TargetMode="External"/><Relationship Id="rId397" Type="http://schemas.openxmlformats.org/officeDocument/2006/relationships/hyperlink" Target="2013\Cli%20Ort%20Rel%20Res471,%201107.pdf" TargetMode="External"/><Relationship Id="rId520" Type="http://schemas.openxmlformats.org/officeDocument/2006/relationships/hyperlink" Target="2007\Coc%20Dat%20Sys%20Rev2007,%20MR000002.pdf" TargetMode="External"/><Relationship Id="rId562" Type="http://schemas.openxmlformats.org/officeDocument/2006/relationships/hyperlink" Target="2010\Coc%20Dat%20Sys%20Rev2010,%20MR000013.pdf" TargetMode="External"/><Relationship Id="rId618" Type="http://schemas.openxmlformats.org/officeDocument/2006/relationships/hyperlink" Target="2010\Coc%20Dat%20Sys%20Rev2010,%20CD008271.pdf" TargetMode="External"/><Relationship Id="rId825" Type="http://schemas.openxmlformats.org/officeDocument/2006/relationships/hyperlink" Target="2014/Coc%20Dat%20Sys%20Rev2014,%20CD006274.pdf" TargetMode="External"/><Relationship Id="rId1192" Type="http://schemas.openxmlformats.org/officeDocument/2006/relationships/hyperlink" Target="2008\Cur%20Sci95,%201679.pdf" TargetMode="External"/><Relationship Id="rId1206" Type="http://schemas.openxmlformats.org/officeDocument/2006/relationships/hyperlink" Target="2013\Cur%20Sci104,%20835.pdf" TargetMode="External"/><Relationship Id="rId1248" Type="http://schemas.openxmlformats.org/officeDocument/2006/relationships/hyperlink" Target="2002\Cybermetrics6-7,%201.pdf" TargetMode="External"/><Relationship Id="rId215" Type="http://schemas.openxmlformats.org/officeDocument/2006/relationships/hyperlink" Target="2012\Chi%20Geo%20Sci22,%20602.pdf" TargetMode="External"/><Relationship Id="rId257" Type="http://schemas.openxmlformats.org/officeDocument/2006/relationships/hyperlink" Target="http://c.wanfangdata.com.cn/periodical-ylwszb.aspx" TargetMode="External"/><Relationship Id="rId422" Type="http://schemas.openxmlformats.org/officeDocument/2006/relationships/hyperlink" Target="2009\Cli%20Reh23,%20741.pdf" TargetMode="External"/><Relationship Id="rId464" Type="http://schemas.openxmlformats.org/officeDocument/2006/relationships/hyperlink" Target="2014\Cli%20Tox52,%2098.pdf" TargetMode="External"/><Relationship Id="rId867" Type="http://schemas.openxmlformats.org/officeDocument/2006/relationships/hyperlink" Target="2015/Coc%20Dat%20Sys%20Rev2015,%20CD009186.pdf" TargetMode="External"/><Relationship Id="rId1010" Type="http://schemas.openxmlformats.org/officeDocument/2006/relationships/hyperlink" Target="2009\Con%20Bio23,%20834.pdf" TargetMode="External"/><Relationship Id="rId1052" Type="http://schemas.openxmlformats.org/officeDocument/2006/relationships/hyperlink" Target="2012\Cri%20Car16,%20R110.pdf" TargetMode="External"/><Relationship Id="rId1094" Type="http://schemas.openxmlformats.org/officeDocument/2006/relationships/hyperlink" Target="2013\Cua%20Eco%20Dir%20Emp16,%201.pdf" TargetMode="External"/><Relationship Id="rId1108" Type="http://schemas.openxmlformats.org/officeDocument/2006/relationships/hyperlink" Target="1992\Cur%20Con49,%203.pdf" TargetMode="External"/><Relationship Id="rId299" Type="http://schemas.openxmlformats.org/officeDocument/2006/relationships/hyperlink" Target="2012\Cities29,%20S3.pdf" TargetMode="External"/><Relationship Id="rId727" Type="http://schemas.openxmlformats.org/officeDocument/2006/relationships/hyperlink" Target="2011\Coc%20Dat%20Sys%20Rev2011,%20CD009146.pdf" TargetMode="External"/><Relationship Id="rId934" Type="http://schemas.openxmlformats.org/officeDocument/2006/relationships/hyperlink" Target="http://www.informaworld.com/smpp/title~content=t713720447~db=all" TargetMode="External"/><Relationship Id="rId63" Type="http://schemas.openxmlformats.org/officeDocument/2006/relationships/hyperlink" Target="2014/Can%20Jou%20Inf%20Lib%20Sci38,%20188.pdf" TargetMode="External"/><Relationship Id="rId159" Type="http://schemas.openxmlformats.org/officeDocument/2006/relationships/hyperlink" Target="2008\Cel%20Ste%20Cel2,%20521.pdf" TargetMode="External"/><Relationship Id="rId366" Type="http://schemas.openxmlformats.org/officeDocument/2006/relationships/hyperlink" Target="2010\Cli%20J%20Pai26,%20173.pdf" TargetMode="External"/><Relationship Id="rId573" Type="http://schemas.openxmlformats.org/officeDocument/2006/relationships/hyperlink" Target="2010\Coc%20Dat%20Sys%20Rev2010,%20CD007916.pdf" TargetMode="External"/><Relationship Id="rId780" Type="http://schemas.openxmlformats.org/officeDocument/2006/relationships/hyperlink" Target="2012\Coc%20Dat%20Sys%20Rev2012,%20CD009260.pdf" TargetMode="External"/><Relationship Id="rId1217" Type="http://schemas.openxmlformats.org/officeDocument/2006/relationships/hyperlink" Target="2014\Cur%20Sci106,%20958.pdf" TargetMode="External"/><Relationship Id="rId226" Type="http://schemas.openxmlformats.org/officeDocument/2006/relationships/hyperlink" Target="2012\Chi%20J%20Che%20Eng20,%20478.pdf" TargetMode="External"/><Relationship Id="rId433" Type="http://schemas.openxmlformats.org/officeDocument/2006/relationships/hyperlink" Target="2014/Cli%20Reh28,%20939.pdf" TargetMode="External"/><Relationship Id="rId878" Type="http://schemas.openxmlformats.org/officeDocument/2006/relationships/hyperlink" Target="2015/Coc%20Dat%20Sys%20Rev2015,%20CD011177.pdf" TargetMode="External"/><Relationship Id="rId1063" Type="http://schemas.openxmlformats.org/officeDocument/2006/relationships/hyperlink" Target="2009\Cri%20Car%20Med37,%20702.pdf" TargetMode="External"/><Relationship Id="rId640" Type="http://schemas.openxmlformats.org/officeDocument/2006/relationships/hyperlink" Target="2011\Coc%20Dat%20Sys%20Rev2011,%20CD000567.pdf" TargetMode="External"/><Relationship Id="rId738" Type="http://schemas.openxmlformats.org/officeDocument/2006/relationships/hyperlink" Target="2012\Coc%20Dat%20Sys%20Rev2012,%20CD007224.pdf" TargetMode="External"/><Relationship Id="rId945" Type="http://schemas.openxmlformats.org/officeDocument/2006/relationships/hyperlink" Target="http://portal.acm.org/toc.cfm?id=J79&amp;type=periodical&amp;coll=GUIDE&amp;dl=GUIDE&amp;CFID=100178140&amp;CFTOKEN=68272877" TargetMode="External"/><Relationship Id="rId74" Type="http://schemas.openxmlformats.org/officeDocument/2006/relationships/hyperlink" Target="1999\Can%20J%20Psy27,%20421.pdf" TargetMode="External"/><Relationship Id="rId377" Type="http://schemas.openxmlformats.org/officeDocument/2006/relationships/hyperlink" Target="2014\Cli%20Onc26,%20185.pdf" TargetMode="External"/><Relationship Id="rId500" Type="http://schemas.openxmlformats.org/officeDocument/2006/relationships/hyperlink" Target="2005\Coc%20Dat%20Sys%20Rev2005,%20CD000519.pdf" TargetMode="External"/><Relationship Id="rId584" Type="http://schemas.openxmlformats.org/officeDocument/2006/relationships/hyperlink" Target="2010\Coc%20Dat%20Sys%20Rev2010,%20CD005442.pdf" TargetMode="External"/><Relationship Id="rId805" Type="http://schemas.openxmlformats.org/officeDocument/2006/relationships/hyperlink" Target="2014\Coc%20Dat%20Sys%20Rev2014,%20CD010244.pdf" TargetMode="External"/><Relationship Id="rId1130" Type="http://schemas.openxmlformats.org/officeDocument/2006/relationships/hyperlink" Target="1985\Cur%20Sci54,%20275.pdf" TargetMode="External"/><Relationship Id="rId1228" Type="http://schemas.openxmlformats.org/officeDocument/2006/relationships/hyperlink" Target="2014/Cur%20Sci107,%201795.pdf" TargetMode="External"/><Relationship Id="rId5" Type="http://schemas.openxmlformats.org/officeDocument/2006/relationships/settings" Target="settings.xml"/><Relationship Id="rId237" Type="http://schemas.openxmlformats.org/officeDocument/2006/relationships/hyperlink" Target="2014\Chi%20J%20Int%20Med20,%20706.pdf" TargetMode="External"/><Relationship Id="rId791" Type="http://schemas.openxmlformats.org/officeDocument/2006/relationships/hyperlink" Target="2014\Coc%20Dat%20Sys%20Rev2014,%20CD000530.pdf" TargetMode="External"/><Relationship Id="rId889" Type="http://schemas.openxmlformats.org/officeDocument/2006/relationships/hyperlink" Target="1960-80\Col%20Man1,%2095.pdf" TargetMode="External"/><Relationship Id="rId1074" Type="http://schemas.openxmlformats.org/officeDocument/2006/relationships/hyperlink" Target="2010\Cri%20Rev%20Mic36,%20299.pdf" TargetMode="External"/><Relationship Id="rId444" Type="http://schemas.openxmlformats.org/officeDocument/2006/relationships/hyperlink" Target="2007\Cli%20The29,%20795.pdf" TargetMode="External"/><Relationship Id="rId651" Type="http://schemas.openxmlformats.org/officeDocument/2006/relationships/hyperlink" Target="2011\Coc%20Dat%20Sys%20Rev2011,%20CD007871.pdf" TargetMode="External"/><Relationship Id="rId749" Type="http://schemas.openxmlformats.org/officeDocument/2006/relationships/hyperlink" Target="2012\Coc%20Dat%20Sys%20Rev2012,%20CD000259.pdf" TargetMode="External"/><Relationship Id="rId290" Type="http://schemas.openxmlformats.org/officeDocument/2006/relationships/hyperlink" Target="2013\Circulation127,%20155.pdf" TargetMode="External"/><Relationship Id="rId304" Type="http://schemas.openxmlformats.org/officeDocument/2006/relationships/hyperlink" Target="2015/Climacteric18,%2011.pdf" TargetMode="External"/><Relationship Id="rId388" Type="http://schemas.openxmlformats.org/officeDocument/2006/relationships/hyperlink" Target="2011\Cli%20Ort%20Rel%20Res469,%202286.pdf" TargetMode="External"/><Relationship Id="rId511" Type="http://schemas.openxmlformats.org/officeDocument/2006/relationships/hyperlink" Target="2006\Coc%20Dat%20Sys%20Rev2006,%20CD001865.pdf" TargetMode="External"/><Relationship Id="rId609" Type="http://schemas.openxmlformats.org/officeDocument/2006/relationships/hyperlink" Target="2010\Coc%20Dat%20Sys%20Rev2010,%20CD008331.pdf" TargetMode="External"/><Relationship Id="rId956" Type="http://schemas.openxmlformats.org/officeDocument/2006/relationships/hyperlink" Target="2012\Com%20Den%20Ora%20Epi40,%2036.pdf" TargetMode="External"/><Relationship Id="rId1141" Type="http://schemas.openxmlformats.org/officeDocument/2006/relationships/hyperlink" Target="1998\Cur%20Sci74,%20433.pdf" TargetMode="External"/><Relationship Id="rId1239" Type="http://schemas.openxmlformats.org/officeDocument/2006/relationships/hyperlink" Target="2010\Cur%20The%20Res-Clin%20Exp71,%2030.pdf" TargetMode="External"/><Relationship Id="rId85" Type="http://schemas.openxmlformats.org/officeDocument/2006/relationships/hyperlink" Target="1995\Can%20Med%20Ass%20J153,%201729.pdf" TargetMode="External"/><Relationship Id="rId150" Type="http://schemas.openxmlformats.org/officeDocument/2006/relationships/hyperlink" Target="2014/Cel%20Bio%20Bio70,%201671.pdf" TargetMode="External"/><Relationship Id="rId595" Type="http://schemas.openxmlformats.org/officeDocument/2006/relationships/hyperlink" Target="2011\Coc%20Dat%20Sys%20Rev2011,%20CD002800.pdf" TargetMode="External"/><Relationship Id="rId816" Type="http://schemas.openxmlformats.org/officeDocument/2006/relationships/hyperlink" Target="2014\Coc%20Dat%20Sys%20Rev2014,%20CD008261.pdf" TargetMode="External"/><Relationship Id="rId1001" Type="http://schemas.openxmlformats.org/officeDocument/2006/relationships/hyperlink" Target="2013\Con%20Com-Pra%20Exp25,%20728.pdf" TargetMode="External"/><Relationship Id="rId248" Type="http://schemas.openxmlformats.org/officeDocument/2006/relationships/hyperlink" Target="2007\Chi%20J%20Neu%20Neu12,%20111.pdf" TargetMode="External"/><Relationship Id="rId455" Type="http://schemas.openxmlformats.org/officeDocument/2006/relationships/hyperlink" Target="2011\Cli%20The33,%20168.pdf" TargetMode="External"/><Relationship Id="rId662" Type="http://schemas.openxmlformats.org/officeDocument/2006/relationships/hyperlink" Target="2011\Coc%20Dat%20Sys%20Rev2011,%20CD001800.pdf" TargetMode="External"/><Relationship Id="rId1085" Type="http://schemas.openxmlformats.org/officeDocument/2006/relationships/hyperlink" Target="2003\Cro%20Med%20J44,%20681.pdf" TargetMode="External"/><Relationship Id="rId12" Type="http://schemas.openxmlformats.org/officeDocument/2006/relationships/hyperlink" Target="2007\Cad%20Sau%20Pub23,%203023.pdf" TargetMode="External"/><Relationship Id="rId108" Type="http://schemas.openxmlformats.org/officeDocument/2006/relationships/hyperlink" Target="2013\Can%20Uro%20Ass%20J7,%20E16.pdf" TargetMode="External"/><Relationship Id="rId315" Type="http://schemas.openxmlformats.org/officeDocument/2006/relationships/hyperlink" Target="2010\Cli%20Ana23,%201.pdf" TargetMode="External"/><Relationship Id="rId522" Type="http://schemas.openxmlformats.org/officeDocument/2006/relationships/hyperlink" Target="2007\Coc%20Dat%20Sys%20Rev2007,%20CD005010.pdf" TargetMode="External"/><Relationship Id="rId967" Type="http://schemas.openxmlformats.org/officeDocument/2006/relationships/hyperlink" Target="http://www.sciencedirect.com/science?_ob=JournalURL&amp;_cdi=6747&amp;_auth=y&amp;_acct=C000011279&amp;_version=1&amp;_urlVersion=0&amp;_userid=3281709&amp;md5=a7c40d5c287b3bc8789a3a770d2a01c3" TargetMode="External"/><Relationship Id="rId1152" Type="http://schemas.openxmlformats.org/officeDocument/2006/relationships/hyperlink" Target="2002\Cur%20Sci82,%20611.pdf" TargetMode="External"/><Relationship Id="rId96" Type="http://schemas.openxmlformats.org/officeDocument/2006/relationships/hyperlink" Target="2004\Can%20Med%20Ass%20J170,%201925.pdf" TargetMode="External"/><Relationship Id="rId161" Type="http://schemas.openxmlformats.org/officeDocument/2006/relationships/hyperlink" Target="2014\Cel%20Tra23,%20921.pdf" TargetMode="External"/><Relationship Id="rId399" Type="http://schemas.openxmlformats.org/officeDocument/2006/relationships/hyperlink" Target="2014\Cli%20Ort%20Rel%20Res472,%201727.pdf" TargetMode="External"/><Relationship Id="rId827" Type="http://schemas.openxmlformats.org/officeDocument/2006/relationships/hyperlink" Target="2014/Coc%20Dat%20Sys%20Rev2014,%20CD008958.pdf" TargetMode="External"/><Relationship Id="rId1012" Type="http://schemas.openxmlformats.org/officeDocument/2006/relationships/hyperlink" Target="2011\Con%20Bio25,%20214.pdf" TargetMode="External"/><Relationship Id="rId259" Type="http://schemas.openxmlformats.org/officeDocument/2006/relationships/hyperlink" Target="1998\Chi%20Med%20J111,%20227.pdf" TargetMode="External"/><Relationship Id="rId466" Type="http://schemas.openxmlformats.org/officeDocument/2006/relationships/hyperlink" Target="2013\CTS-Cli%20Tra%20Sci6,%20452.pdf" TargetMode="External"/><Relationship Id="rId673" Type="http://schemas.openxmlformats.org/officeDocument/2006/relationships/hyperlink" Target="2011\Coc%20Dat%20Sys%20Rev2011,%20CD006895.pdf" TargetMode="External"/><Relationship Id="rId880" Type="http://schemas.openxmlformats.org/officeDocument/2006/relationships/hyperlink" Target="1993\Cognition46,%20101.pdf" TargetMode="External"/><Relationship Id="rId1096" Type="http://schemas.openxmlformats.org/officeDocument/2006/relationships/hyperlink" Target="2011\Cul%20Edu23,%20297.pdf" TargetMode="External"/><Relationship Id="rId23" Type="http://schemas.openxmlformats.org/officeDocument/2006/relationships/hyperlink" Target="1985\Cal%20Law%20Rev73,%201540.pdf" TargetMode="External"/><Relationship Id="rId119" Type="http://schemas.openxmlformats.org/officeDocument/2006/relationships/hyperlink" Target="2012\Can%20Cau%20Con23,%20221.pdf" TargetMode="External"/><Relationship Id="rId326" Type="http://schemas.openxmlformats.org/officeDocument/2006/relationships/hyperlink" Target="1991\Cli%20Che37,%20303.pdf" TargetMode="External"/><Relationship Id="rId533" Type="http://schemas.openxmlformats.org/officeDocument/2006/relationships/hyperlink" Target="2008\Coc%20Dat%20Sys%20Rev2008,%20CD005619.pdf" TargetMode="External"/><Relationship Id="rId978" Type="http://schemas.openxmlformats.org/officeDocument/2006/relationships/hyperlink" Target="2008\Com%20Edu51,%20955.pdf" TargetMode="External"/><Relationship Id="rId1163" Type="http://schemas.openxmlformats.org/officeDocument/2006/relationships/hyperlink" Target="2004\Cur%20Sci86,%209.pdf" TargetMode="External"/><Relationship Id="rId740" Type="http://schemas.openxmlformats.org/officeDocument/2006/relationships/hyperlink" Target="2012\Coc%20Dat%20Sys%20Rev2012,%20CD007512.pdf" TargetMode="External"/><Relationship Id="rId838" Type="http://schemas.openxmlformats.org/officeDocument/2006/relationships/hyperlink" Target="2014/Coc%20Dat%20Sys%20Rev2014,%20CD009917.pdf" TargetMode="External"/><Relationship Id="rId1023" Type="http://schemas.openxmlformats.org/officeDocument/2006/relationships/hyperlink" Target="2005\Con%20Cli%20Tri26,%20510.pdf" TargetMode="External"/><Relationship Id="rId172" Type="http://schemas.openxmlformats.org/officeDocument/2006/relationships/hyperlink" Target="1998\Che%20Eng%20J69,%20151.pdf" TargetMode="External"/><Relationship Id="rId477" Type="http://schemas.openxmlformats.org/officeDocument/2006/relationships/hyperlink" Target="http://www.sciencedirect.com/science/journal/22107401" TargetMode="External"/><Relationship Id="rId600" Type="http://schemas.openxmlformats.org/officeDocument/2006/relationships/hyperlink" Target="2010\Coc%20Dat%20Sys%20Rev2010,%20CD008084.pdf" TargetMode="External"/><Relationship Id="rId684" Type="http://schemas.openxmlformats.org/officeDocument/2006/relationships/hyperlink" Target="2011\Coc%20Dat%20Sys%20Rev2011,%20CD003742.pdf" TargetMode="External"/><Relationship Id="rId1230" Type="http://schemas.openxmlformats.org/officeDocument/2006/relationships/hyperlink" Target="2014/Cur%20Sci107,%201854.pdf" TargetMode="External"/><Relationship Id="rId337" Type="http://schemas.openxmlformats.org/officeDocument/2006/relationships/hyperlink" Target="2009\Cli%20Che%20Lab%20Med47,%201211.pdf" TargetMode="External"/><Relationship Id="rId891" Type="http://schemas.openxmlformats.org/officeDocument/2006/relationships/hyperlink" Target="1960-80\Col%20Man2,%20247.pdf" TargetMode="External"/><Relationship Id="rId905" Type="http://schemas.openxmlformats.org/officeDocument/2006/relationships/hyperlink" Target="1996\Col%20Res%20Lib57,%2023.pdf" TargetMode="External"/><Relationship Id="rId989" Type="http://schemas.openxmlformats.org/officeDocument/2006/relationships/hyperlink" Target="2009\CIN-Com%20Inf%20Nur27,%2082.pdf" TargetMode="External"/><Relationship Id="rId34" Type="http://schemas.openxmlformats.org/officeDocument/2006/relationships/hyperlink" Target="1991\Can%20J%20Agr%20Eco39,%20503.pdf" TargetMode="External"/><Relationship Id="rId544" Type="http://schemas.openxmlformats.org/officeDocument/2006/relationships/hyperlink" Target="2009\Coc%20Dat%20Sys%20Rev2009,%20CD006578.pdf" TargetMode="External"/><Relationship Id="rId751" Type="http://schemas.openxmlformats.org/officeDocument/2006/relationships/hyperlink" Target="2012\Coc%20Dat%20Sys%20Rev2012,%20CD001319.pdf" TargetMode="External"/><Relationship Id="rId849" Type="http://schemas.openxmlformats.org/officeDocument/2006/relationships/hyperlink" Target="2014/Coc%20Dat%20Sys%20Rev2014,%20CD010386.pdf" TargetMode="External"/><Relationship Id="rId1174" Type="http://schemas.openxmlformats.org/officeDocument/2006/relationships/hyperlink" Target="2005\Cur%20Sci88,%201880.pdf" TargetMode="External"/><Relationship Id="rId183" Type="http://schemas.openxmlformats.org/officeDocument/2006/relationships/hyperlink" Target="2010\Che%20Edu%20Res%20Pra11,%20118.pdf" TargetMode="External"/><Relationship Id="rId390" Type="http://schemas.openxmlformats.org/officeDocument/2006/relationships/hyperlink" Target="2012\Cli%20Ort%20Rel%20Res470,%201531.pdf" TargetMode="External"/><Relationship Id="rId404" Type="http://schemas.openxmlformats.org/officeDocument/2006/relationships/hyperlink" Target="2001\Cli%20Oto%20All%20Sci26,%20249.pdf" TargetMode="External"/><Relationship Id="rId611" Type="http://schemas.openxmlformats.org/officeDocument/2006/relationships/hyperlink" Target="2010\Coc%20Dat%20Sys%20Rev2010,%20CD007228.pdf" TargetMode="External"/><Relationship Id="rId1034" Type="http://schemas.openxmlformats.org/officeDocument/2006/relationships/hyperlink" Target="http://www3.interscience.wiley.com/journal/117967216/home" TargetMode="External"/><Relationship Id="rId1241" Type="http://schemas.openxmlformats.org/officeDocument/2006/relationships/hyperlink" Target="2014/Cus%20Agr%20Lin10,%20350.pdf" TargetMode="External"/><Relationship Id="rId250" Type="http://schemas.openxmlformats.org/officeDocument/2006/relationships/hyperlink" Target="2007\Chi%20J%20Nos17,%20285.pdf" TargetMode="External"/><Relationship Id="rId488" Type="http://schemas.openxmlformats.org/officeDocument/2006/relationships/hyperlink" Target="2004\CMAJ171,%201024.pdf" TargetMode="External"/><Relationship Id="rId695" Type="http://schemas.openxmlformats.org/officeDocument/2006/relationships/hyperlink" Target="2011\Coc%20Dat%20Sys%20Rev2011,%20CD006933.pdf" TargetMode="External"/><Relationship Id="rId709" Type="http://schemas.openxmlformats.org/officeDocument/2006/relationships/hyperlink" Target="2011\Coc%20Dat%20Sys%20Rev2011,%20CD006933.pdf" TargetMode="External"/><Relationship Id="rId916" Type="http://schemas.openxmlformats.org/officeDocument/2006/relationships/hyperlink" Target="2008\Col%20Res%20Lib69,%2072.pdf" TargetMode="External"/><Relationship Id="rId1101" Type="http://schemas.openxmlformats.org/officeDocument/2006/relationships/hyperlink" Target="1987\Cur%20Con2,%203.pdf" TargetMode="External"/><Relationship Id="rId45" Type="http://schemas.openxmlformats.org/officeDocument/2006/relationships/hyperlink" Target="2014\Can%20J%20Car30,%20888.pdf" TargetMode="External"/><Relationship Id="rId110" Type="http://schemas.openxmlformats.org/officeDocument/2006/relationships/hyperlink" Target="2012\Can%20Bio%20The13,%201262.pdf" TargetMode="External"/><Relationship Id="rId348" Type="http://schemas.openxmlformats.org/officeDocument/2006/relationships/hyperlink" Target="2003\Cli%20Exp%20Oph31,%201.pdf" TargetMode="External"/><Relationship Id="rId555" Type="http://schemas.openxmlformats.org/officeDocument/2006/relationships/hyperlink" Target="2009\Coc%20Dat%20Sys%20Rev2009,%20CD007293.pdf" TargetMode="External"/><Relationship Id="rId762" Type="http://schemas.openxmlformats.org/officeDocument/2006/relationships/hyperlink" Target="2012\Coc%20Dat%20Sys%20Rev2012,%20CD004879.pdf" TargetMode="External"/><Relationship Id="rId1185" Type="http://schemas.openxmlformats.org/officeDocument/2006/relationships/hyperlink" Target="2007\Cur%20Sci93,%201088.pdf" TargetMode="External"/><Relationship Id="rId194" Type="http://schemas.openxmlformats.org/officeDocument/2006/relationships/hyperlink" Target="2004\Chi%20Abu%20Neg28,%20439.pdf" TargetMode="External"/><Relationship Id="rId208" Type="http://schemas.openxmlformats.org/officeDocument/2006/relationships/hyperlink" Target="2012\Chi%20Wor%20Eco23,%20743.pdf" TargetMode="External"/><Relationship Id="rId415" Type="http://schemas.openxmlformats.org/officeDocument/2006/relationships/hyperlink" Target="2003\Cli%20Rad58,%20499.pdf" TargetMode="External"/><Relationship Id="rId622" Type="http://schemas.openxmlformats.org/officeDocument/2006/relationships/hyperlink" Target="2010\Coc%20Dat%20Sys%20Rev2010,%20CD007345.pdf" TargetMode="External"/><Relationship Id="rId1045" Type="http://schemas.openxmlformats.org/officeDocument/2006/relationships/hyperlink" Target="2014/Cre%20Res%20J26,%20353.pdf" TargetMode="External"/><Relationship Id="rId1252" Type="http://schemas.openxmlformats.org/officeDocument/2006/relationships/hyperlink" Target="1985\Cze%20J%20Phy35,%201201.pdf" TargetMode="External"/><Relationship Id="rId261" Type="http://schemas.openxmlformats.org/officeDocument/2006/relationships/hyperlink" Target="2011\Chi%20Med%20J124,%201088.pdf" TargetMode="External"/><Relationship Id="rId499" Type="http://schemas.openxmlformats.org/officeDocument/2006/relationships/hyperlink" Target="2005\Coc%20Dat%20Sys%20Rev2005,%20CD004703.pdf" TargetMode="External"/><Relationship Id="rId927" Type="http://schemas.openxmlformats.org/officeDocument/2006/relationships/hyperlink" Target="2008\Col%20Med39,%2074.pdf" TargetMode="External"/><Relationship Id="rId1112" Type="http://schemas.openxmlformats.org/officeDocument/2006/relationships/hyperlink" Target="1960-80\Cur%20Con%20Lif%20Sci15,%206.pdf" TargetMode="External"/><Relationship Id="rId56" Type="http://schemas.openxmlformats.org/officeDocument/2006/relationships/hyperlink" Target="2004\Can%20Jou%20Inf%20Lib%20Sci28,%2049.pdf" TargetMode="External"/><Relationship Id="rId359" Type="http://schemas.openxmlformats.org/officeDocument/2006/relationships/hyperlink" Target="2008\Cli%20Inf%20Dis46,%201717.pdf" TargetMode="External"/><Relationship Id="rId566" Type="http://schemas.openxmlformats.org/officeDocument/2006/relationships/hyperlink" Target="2010\Coc%20Dat%20Sys%20Rev2010,%20CD006797.pdf" TargetMode="External"/><Relationship Id="rId773" Type="http://schemas.openxmlformats.org/officeDocument/2006/relationships/hyperlink" Target="2012\Coc%20Dat%20Sys%20Rev2012,%20CD005014.pdf" TargetMode="External"/><Relationship Id="rId1196" Type="http://schemas.openxmlformats.org/officeDocument/2006/relationships/hyperlink" Target="2010\Cur%20Sci99,%20577.pdf" TargetMode="External"/><Relationship Id="rId121" Type="http://schemas.openxmlformats.org/officeDocument/2006/relationships/hyperlink" Target="2013\Can%20Cel%20Int13,%20100.pdf" TargetMode="External"/><Relationship Id="rId219" Type="http://schemas.openxmlformats.org/officeDocument/2006/relationships/hyperlink" Target="2014\Chi%20J%20Can33,%20367.pdf" TargetMode="External"/><Relationship Id="rId426" Type="http://schemas.openxmlformats.org/officeDocument/2006/relationships/hyperlink" Target="2011\Cli%20Reh25,%20112.pdf" TargetMode="External"/><Relationship Id="rId633" Type="http://schemas.openxmlformats.org/officeDocument/2006/relationships/hyperlink" Target="2011\Coc%20Dat%20Sys%20Rev2011,%20CD000009.pdf" TargetMode="External"/><Relationship Id="rId980" Type="http://schemas.openxmlformats.org/officeDocument/2006/relationships/hyperlink" Target="2010\Com%20Edu54,%20562.pdf" TargetMode="External"/><Relationship Id="rId1056" Type="http://schemas.openxmlformats.org/officeDocument/2006/relationships/hyperlink" Target="2014\Cri%20Car18,%20R109.pdf" TargetMode="External"/><Relationship Id="rId1263" Type="http://schemas.openxmlformats.org/officeDocument/2006/relationships/fontTable" Target="fontTable.xml"/><Relationship Id="rId840" Type="http://schemas.openxmlformats.org/officeDocument/2006/relationships/hyperlink" Target="2014/Coc%20Dat%20Sys%20Rev2014,%20CD009941.pdf" TargetMode="External"/><Relationship Id="rId938" Type="http://schemas.openxmlformats.org/officeDocument/2006/relationships/hyperlink" Target="1989\Com%20Res16,%20583.pdf" TargetMode="External"/><Relationship Id="rId67" Type="http://schemas.openxmlformats.org/officeDocument/2006/relationships/hyperlink" Target="2007\Can%20J%20Psy52,%20790.pdf" TargetMode="External"/><Relationship Id="rId272" Type="http://schemas.openxmlformats.org/officeDocument/2006/relationships/hyperlink" Target="2015/Chr%20Res%20Dis12,%20120.pdf" TargetMode="External"/><Relationship Id="rId577" Type="http://schemas.openxmlformats.org/officeDocument/2006/relationships/hyperlink" Target="2010\Coc%20Dat%20Sys%20Rev2010,%20CD005187.pdf" TargetMode="External"/><Relationship Id="rId700" Type="http://schemas.openxmlformats.org/officeDocument/2006/relationships/hyperlink" Target="2011\Coc%20Dat%20Sys%20Rev2011,%20CD003740.pdf" TargetMode="External"/><Relationship Id="rId1123" Type="http://schemas.openxmlformats.org/officeDocument/2006/relationships/hyperlink" Target="2015/Cur%20Med%20Res%20Opi31,%2025.pdf" TargetMode="External"/><Relationship Id="rId132" Type="http://schemas.openxmlformats.org/officeDocument/2006/relationships/hyperlink" Target="2009/Can%20Tre%20Rev35,%20425.pdf" TargetMode="External"/><Relationship Id="rId784" Type="http://schemas.openxmlformats.org/officeDocument/2006/relationships/hyperlink" Target="2014\Coc%20Dat%20Sys%20Rev2014,%20CD009669.pdf" TargetMode="External"/><Relationship Id="rId991" Type="http://schemas.openxmlformats.org/officeDocument/2006/relationships/hyperlink" Target="1997\Com%20Str55,%201101.pdf" TargetMode="External"/><Relationship Id="rId1067" Type="http://schemas.openxmlformats.org/officeDocument/2006/relationships/hyperlink" Target="2011\Cri%20Car%20Med39,%202736.pdf" TargetMode="External"/><Relationship Id="rId437" Type="http://schemas.openxmlformats.org/officeDocument/2006/relationships/hyperlink" Target="2014\Cli%20Res%20J8,%20281.pdf" TargetMode="External"/><Relationship Id="rId644" Type="http://schemas.openxmlformats.org/officeDocument/2006/relationships/hyperlink" Target="2011\Coc%20Dat%20Sys%20Rev2011,%20CD004787.pdf" TargetMode="External"/><Relationship Id="rId851" Type="http://schemas.openxmlformats.org/officeDocument/2006/relationships/hyperlink" Target="2014/Coc%20Dat%20Sys%20Rev2014,%20CD010771.pdf" TargetMode="External"/><Relationship Id="rId283" Type="http://schemas.openxmlformats.org/officeDocument/2006/relationships/hyperlink" Target="1999\Circulation99,%202055.pdf" TargetMode="External"/><Relationship Id="rId490" Type="http://schemas.openxmlformats.org/officeDocument/2006/relationships/hyperlink" Target="2000\Coc%20Dat%20Sys%20Rev2000,%20CD001163.pdf" TargetMode="External"/><Relationship Id="rId504" Type="http://schemas.openxmlformats.org/officeDocument/2006/relationships/hyperlink" Target="2006\Coc%20Dat%20Sys%20Rev2006,%20CD000009.pdf" TargetMode="External"/><Relationship Id="rId711" Type="http://schemas.openxmlformats.org/officeDocument/2006/relationships/hyperlink" Target="2011\Coc%20Dat%20Sys%20Rev2011,%20CD004827.pdf" TargetMode="External"/><Relationship Id="rId949" Type="http://schemas.openxmlformats.org/officeDocument/2006/relationships/hyperlink" Target="2005\Com%20ACM48,%2013.pdf" TargetMode="External"/><Relationship Id="rId1134" Type="http://schemas.openxmlformats.org/officeDocument/2006/relationships/hyperlink" Target="1987\Cur%20Sci56,%20527.pdf" TargetMode="External"/><Relationship Id="rId78" Type="http://schemas.openxmlformats.org/officeDocument/2006/relationships/hyperlink" Target="1996\Can%20J%20Sur39,%20368.pdf" TargetMode="External"/><Relationship Id="rId143" Type="http://schemas.openxmlformats.org/officeDocument/2006/relationships/hyperlink" Target="2002\Car%20Res53,%20279.pdf" TargetMode="External"/><Relationship Id="rId350" Type="http://schemas.openxmlformats.org/officeDocument/2006/relationships/hyperlink" Target="2003\Cli%20Exp%20Oph31,%20286.pdf" TargetMode="External"/><Relationship Id="rId588" Type="http://schemas.openxmlformats.org/officeDocument/2006/relationships/hyperlink" Target="2010\Coc%20Dat%20Sys%20Rev2010,%20CD007596.pdf" TargetMode="External"/><Relationship Id="rId795" Type="http://schemas.openxmlformats.org/officeDocument/2006/relationships/hyperlink" Target="2014\Coc%20Dat%20Sys%20Rev2014,%20CD005642.pdf" TargetMode="External"/><Relationship Id="rId809" Type="http://schemas.openxmlformats.org/officeDocument/2006/relationships/hyperlink" Target="2014\Coc%20Dat%20Sys%20Rev2014,%20CD002245.pdf" TargetMode="External"/><Relationship Id="rId1201" Type="http://schemas.openxmlformats.org/officeDocument/2006/relationships/hyperlink" Target="2011\Cur%20Sci100,%20654.pdf" TargetMode="External"/><Relationship Id="rId9" Type="http://schemas.openxmlformats.org/officeDocument/2006/relationships/hyperlink" Target="2004\Cad%20Sau%20Pub20S,%20S147.pdf" TargetMode="External"/><Relationship Id="rId210" Type="http://schemas.openxmlformats.org/officeDocument/2006/relationships/hyperlink" Target="2004\Chi%20Med%20Edu%20Tec18,%20203.pdf" TargetMode="External"/><Relationship Id="rId448" Type="http://schemas.openxmlformats.org/officeDocument/2006/relationships/hyperlink" Target="2009\Cli%20The31,%20245.pdf" TargetMode="External"/><Relationship Id="rId655" Type="http://schemas.openxmlformats.org/officeDocument/2006/relationships/hyperlink" Target="2011\Coc%20Dat%20Sys%20Rev2011,%20CD008366.pdf" TargetMode="External"/><Relationship Id="rId862" Type="http://schemas.openxmlformats.org/officeDocument/2006/relationships/hyperlink" Target="2015/Coc%20Dat%20Sys%20Rev2015,%20CD001239.pdf" TargetMode="External"/><Relationship Id="rId1078" Type="http://schemas.openxmlformats.org/officeDocument/2006/relationships/hyperlink" Target="2014/Cri%20Rev%20On%20Hem92,%2071.pdf" TargetMode="External"/><Relationship Id="rId294" Type="http://schemas.openxmlformats.org/officeDocument/2006/relationships/hyperlink" Target="2002\Cir%20Res90,%20115.pdf" TargetMode="External"/><Relationship Id="rId308" Type="http://schemas.openxmlformats.org/officeDocument/2006/relationships/hyperlink" Target="2004\Cli%20Chi%20Act341,%2065.pdf" TargetMode="External"/><Relationship Id="rId515" Type="http://schemas.openxmlformats.org/officeDocument/2006/relationships/hyperlink" Target="2007\Coc%20Dat%20Sys%20Rev2007,%20CD002200.pdf" TargetMode="External"/><Relationship Id="rId722" Type="http://schemas.openxmlformats.org/officeDocument/2006/relationships/hyperlink" Target="2011\Coc%20Dat%20Sys%20Rev2011,%20CD008240.pdf" TargetMode="External"/><Relationship Id="rId1145" Type="http://schemas.openxmlformats.org/officeDocument/2006/relationships/hyperlink" Target="2000\Cur%20Sci78,%201280.pdf" TargetMode="External"/><Relationship Id="rId89" Type="http://schemas.openxmlformats.org/officeDocument/2006/relationships/hyperlink" Target="1998\Can%20Med%20Ass%20J158,%20S3.pdf" TargetMode="External"/><Relationship Id="rId154" Type="http://schemas.openxmlformats.org/officeDocument/2006/relationships/hyperlink" Target="1998\Cel%20Dea%20Dif5,%20127.pdf" TargetMode="External"/><Relationship Id="rId361" Type="http://schemas.openxmlformats.org/officeDocument/2006/relationships/hyperlink" Target="2010\Cli%20Inf%20Dis51,%20496.pdf" TargetMode="External"/><Relationship Id="rId599" Type="http://schemas.openxmlformats.org/officeDocument/2006/relationships/hyperlink" Target="2010\Coc%20Dat%20Sys%20Rev2010,%20CD007539.pdf" TargetMode="External"/><Relationship Id="rId1005" Type="http://schemas.openxmlformats.org/officeDocument/2006/relationships/hyperlink" Target="1990\Con%20Bio4,%20355.pdf" TargetMode="External"/><Relationship Id="rId1212" Type="http://schemas.openxmlformats.org/officeDocument/2006/relationships/hyperlink" Target="2013\Cur%20Sci105,%201480.pdf" TargetMode="External"/><Relationship Id="rId459" Type="http://schemas.openxmlformats.org/officeDocument/2006/relationships/hyperlink" Target="2013\Cli%20The35,%201997.pdf" TargetMode="External"/><Relationship Id="rId666" Type="http://schemas.openxmlformats.org/officeDocument/2006/relationships/hyperlink" Target="2011\Coc%20Dat%20Sys%20Rev2011,%20CD008263.pdf" TargetMode="External"/><Relationship Id="rId873" Type="http://schemas.openxmlformats.org/officeDocument/2006/relationships/hyperlink" Target="2015/Coc%20Dat%20Sys%20Rev2015,%20UNSP%20CD010089.pdf" TargetMode="External"/><Relationship Id="rId1089" Type="http://schemas.openxmlformats.org/officeDocument/2006/relationships/hyperlink" Target="2000\Cro%20Che%20Act73,%201.pdf" TargetMode="External"/><Relationship Id="rId16" Type="http://schemas.openxmlformats.org/officeDocument/2006/relationships/hyperlink" Target="2008\Cad%20Sau%20Pub24,%202463.pdf" TargetMode="External"/><Relationship Id="rId221" Type="http://schemas.openxmlformats.org/officeDocument/2006/relationships/hyperlink" Target="2013\Chi%20J%20Can%20Res25,%20637.pdf" TargetMode="External"/><Relationship Id="rId319" Type="http://schemas.openxmlformats.org/officeDocument/2006/relationships/hyperlink" Target="2014\Cli%20Bio47,%20996.pdf" TargetMode="External"/><Relationship Id="rId526" Type="http://schemas.openxmlformats.org/officeDocument/2006/relationships/hyperlink" Target="2007\Coc%20Dat%20Sys%20Rev2007,%20CD004003.pdf" TargetMode="External"/><Relationship Id="rId1156" Type="http://schemas.openxmlformats.org/officeDocument/2006/relationships/hyperlink" Target="2002\Cur%20Sci83,%201201.pdf" TargetMode="External"/><Relationship Id="rId733" Type="http://schemas.openxmlformats.org/officeDocument/2006/relationships/hyperlink" Target="2012\Coc%20Dat%20Sys%20Rev2012,%20CD008225.pdf" TargetMode="External"/><Relationship Id="rId940" Type="http://schemas.openxmlformats.org/officeDocument/2006/relationships/hyperlink" Target="1989\Com%20Res16,%20629.pdf" TargetMode="External"/><Relationship Id="rId1016" Type="http://schemas.openxmlformats.org/officeDocument/2006/relationships/hyperlink" Target="http://www3.interscience.wiley.com/journal/117986410/home" TargetMode="External"/><Relationship Id="rId165" Type="http://schemas.openxmlformats.org/officeDocument/2006/relationships/hyperlink" Target="http://www.rsc.org/Publishing/Journals/C3/Article.asp?Type=CurrentIssue" TargetMode="External"/><Relationship Id="rId372" Type="http://schemas.openxmlformats.org/officeDocument/2006/relationships/hyperlink" Target="2014\Cli%20Neu%20Neu124,%2059.pdf" TargetMode="External"/><Relationship Id="rId677" Type="http://schemas.openxmlformats.org/officeDocument/2006/relationships/hyperlink" Target="2011\Coc%20Dat%20Sys%20Rev2011,%20CD008554.pdf" TargetMode="External"/><Relationship Id="rId800" Type="http://schemas.openxmlformats.org/officeDocument/2006/relationships/hyperlink" Target="2014\Coc%20Dat%20Sys%20Rev2014,%20CD007109.pdf" TargetMode="External"/><Relationship Id="rId1223" Type="http://schemas.openxmlformats.org/officeDocument/2006/relationships/hyperlink" Target="2014/Cur%20Sci107,%20757.pdf" TargetMode="External"/><Relationship Id="rId232" Type="http://schemas.openxmlformats.org/officeDocument/2006/relationships/hyperlink" Target="http://e37.cnki.net/KNS50/Navi/item.aspx?NaviID=1&amp;BaseID=ZWJZ&amp;NaviLink=%e4%b8%ad%e5%9b%bd%e5%8d%ab%e7%94%9f%e6%a3%80%e9%aa%8c%e6%9d%82%e5%bf%97" TargetMode="External"/><Relationship Id="rId884" Type="http://schemas.openxmlformats.org/officeDocument/2006/relationships/hyperlink" Target="2009\Cli%20Nut28,%20497.pdf" TargetMode="External"/><Relationship Id="rId27" Type="http://schemas.openxmlformats.org/officeDocument/2006/relationships/hyperlink" Target="1898/Can%20Fam%20Phy35,%201713.pdf" TargetMode="External"/><Relationship Id="rId537" Type="http://schemas.openxmlformats.org/officeDocument/2006/relationships/hyperlink" Target="2008\Coc%20Dat%20Sys%20Rev2008,%20CD007294.pdf" TargetMode="External"/><Relationship Id="rId744" Type="http://schemas.openxmlformats.org/officeDocument/2006/relationships/hyperlink" Target="2012\Coc%20Dat%20Sys%20Rev2012,%20CD005385.pdf" TargetMode="External"/><Relationship Id="rId951" Type="http://schemas.openxmlformats.org/officeDocument/2006/relationships/hyperlink" Target="2011\Com%20ACM54,%20141.pdf" TargetMode="External"/><Relationship Id="rId1167" Type="http://schemas.openxmlformats.org/officeDocument/2006/relationships/hyperlink" Target="2004\Cur%20Sci86,%20629.pdf" TargetMode="External"/><Relationship Id="rId80" Type="http://schemas.openxmlformats.org/officeDocument/2006/relationships/hyperlink" Target="2007\Can%20J%20Sur50,%20119.pdf" TargetMode="External"/><Relationship Id="rId176" Type="http://schemas.openxmlformats.org/officeDocument/2006/relationships/hyperlink" Target="1999\Che%20Lis93,%20382.pdf" TargetMode="External"/><Relationship Id="rId383" Type="http://schemas.openxmlformats.org/officeDocument/2006/relationships/hyperlink" Target="2007\Cli%20Ora%20Imp%20Res18,%20419.pdf" TargetMode="External"/><Relationship Id="rId590" Type="http://schemas.openxmlformats.org/officeDocument/2006/relationships/hyperlink" Target="2010\Coc%20Dat%20Sys%20Rev2010,%20MR000013-1.pdf" TargetMode="External"/><Relationship Id="rId604" Type="http://schemas.openxmlformats.org/officeDocument/2006/relationships/hyperlink" Target="2010\Coc%20Dat%20Sys%20Rev2010,%20CD002839.pdf" TargetMode="External"/><Relationship Id="rId811" Type="http://schemas.openxmlformats.org/officeDocument/2006/relationships/hyperlink" Target="2014\Coc%20Dat%20Sys%20Rev2014,%20CD006660.pdf" TargetMode="External"/><Relationship Id="rId1027" Type="http://schemas.openxmlformats.org/officeDocument/2006/relationships/hyperlink" Target="2005\Con%20Phy46,%20323.pdf" TargetMode="External"/><Relationship Id="rId1234" Type="http://schemas.openxmlformats.org/officeDocument/2006/relationships/hyperlink" Target="2015/Cur%20Sci-Chuang.pdf" TargetMode="External"/><Relationship Id="rId243" Type="http://schemas.openxmlformats.org/officeDocument/2006/relationships/hyperlink" Target="2007\Chi%20J%20Med%20Lib%20Inf%20Sci16,%2075.pdf" TargetMode="External"/><Relationship Id="rId450" Type="http://schemas.openxmlformats.org/officeDocument/2006/relationships/hyperlink" Target="2010\Cli%20The32,%20789.pdf" TargetMode="External"/><Relationship Id="rId688" Type="http://schemas.openxmlformats.org/officeDocument/2006/relationships/hyperlink" Target="2011\Coc%20Dat%20Sys%20Rev2011,%20CD007368.pdf" TargetMode="External"/><Relationship Id="rId895" Type="http://schemas.openxmlformats.org/officeDocument/2006/relationships/hyperlink" Target="2004\Col%20Man28,%2063.pdf" TargetMode="External"/><Relationship Id="rId909" Type="http://schemas.openxmlformats.org/officeDocument/2006/relationships/hyperlink" Target="2002\Col%20Res%20Lib63,%2053.pdf" TargetMode="External"/><Relationship Id="rId1080" Type="http://schemas.openxmlformats.org/officeDocument/2006/relationships/hyperlink" Target="2000\Cro%20Med%20J41,%20368.pdf" TargetMode="External"/><Relationship Id="rId38" Type="http://schemas.openxmlformats.org/officeDocument/2006/relationships/hyperlink" Target="1995\Can%20J%20Ana42,%201063.pdf" TargetMode="External"/><Relationship Id="rId103" Type="http://schemas.openxmlformats.org/officeDocument/2006/relationships/hyperlink" Target="2014/Can%20Psy-Psy%20Can55,%20266.pdf" TargetMode="External"/><Relationship Id="rId310" Type="http://schemas.openxmlformats.org/officeDocument/2006/relationships/hyperlink" Target="2013\Cli%20Chi%20Act421,%2057.pdf" TargetMode="External"/><Relationship Id="rId548" Type="http://schemas.openxmlformats.org/officeDocument/2006/relationships/hyperlink" Target="2009\Coc%20Dat%20Sys%20Rev2009,%20CD007629.pdf" TargetMode="External"/><Relationship Id="rId755" Type="http://schemas.openxmlformats.org/officeDocument/2006/relationships/hyperlink" Target="2012\Coc%20Dat%20Sys%20Rev2012,%20CD009353.pdf" TargetMode="External"/><Relationship Id="rId962" Type="http://schemas.openxmlformats.org/officeDocument/2006/relationships/hyperlink" Target="2014\Com%20The%20Med22,%20371.pdf" TargetMode="External"/><Relationship Id="rId1178" Type="http://schemas.openxmlformats.org/officeDocument/2006/relationships/hyperlink" Target="2005\Cur%20Sci89,%201548.pdf" TargetMode="External"/><Relationship Id="rId91" Type="http://schemas.openxmlformats.org/officeDocument/2006/relationships/hyperlink" Target="1999\Can%20Med%20Ass%20J161,%20977.pdf" TargetMode="External"/><Relationship Id="rId187" Type="http://schemas.openxmlformats.org/officeDocument/2006/relationships/hyperlink" Target="2011\Che%20Int%20Lab%20Sys106,%2041.pdf" TargetMode="External"/><Relationship Id="rId394" Type="http://schemas.openxmlformats.org/officeDocument/2006/relationships/hyperlink" Target="2012\Cli%20Ort%20Rel%20Res470,%202651.pdf" TargetMode="External"/><Relationship Id="rId408" Type="http://schemas.openxmlformats.org/officeDocument/2006/relationships/hyperlink" Target="2007\Cli%20Oto%20All%20Sci32,%20397.pdf" TargetMode="External"/><Relationship Id="rId615" Type="http://schemas.openxmlformats.org/officeDocument/2006/relationships/hyperlink" Target="2010\Coc%20Dat%20Sys%20Rev2010,%20CD006430.pdf" TargetMode="External"/><Relationship Id="rId822" Type="http://schemas.openxmlformats.org/officeDocument/2006/relationships/hyperlink" Target="2014/Coc%20Dat%20Sys%20Rev2014,%20CD001480.pdf" TargetMode="External"/><Relationship Id="rId1038" Type="http://schemas.openxmlformats.org/officeDocument/2006/relationships/hyperlink" Target="2001\Cortex37,%20575.pdf" TargetMode="External"/><Relationship Id="rId1245" Type="http://schemas.openxmlformats.org/officeDocument/2006/relationships/hyperlink" Target="2013\Cut%20Ocu%20Tox32,%20299.pdf" TargetMode="External"/><Relationship Id="rId254" Type="http://schemas.openxmlformats.org/officeDocument/2006/relationships/hyperlink" Target="2007\Chi%20J%20Ort%20Tra9,%2074.pdf" TargetMode="External"/><Relationship Id="rId699" Type="http://schemas.openxmlformats.org/officeDocument/2006/relationships/hyperlink" Target="2011\Coc%20Dat%20Sys%20Rev2011,%20CD003985.pdf" TargetMode="External"/><Relationship Id="rId1091" Type="http://schemas.openxmlformats.org/officeDocument/2006/relationships/hyperlink" Target="2014/Cro%20Che%20Act87,%20185.pdf" TargetMode="External"/><Relationship Id="rId1105" Type="http://schemas.openxmlformats.org/officeDocument/2006/relationships/hyperlink" Target="1990\Cur%20Con33,%205.pdf" TargetMode="External"/><Relationship Id="rId49" Type="http://schemas.openxmlformats.org/officeDocument/2006/relationships/hyperlink" Target="2008\Can%20J%20Eme%20Med10,%20373.pdf" TargetMode="External"/><Relationship Id="rId114" Type="http://schemas.openxmlformats.org/officeDocument/2006/relationships/hyperlink" Target="2015/Can%20Bio15,%2065.pdf" TargetMode="External"/><Relationship Id="rId461" Type="http://schemas.openxmlformats.org/officeDocument/2006/relationships/hyperlink" Target="2015/Cli%20The37,%20275.pdf" TargetMode="External"/><Relationship Id="rId559" Type="http://schemas.openxmlformats.org/officeDocument/2006/relationships/hyperlink" Target="2009\Coc%20Dat%20Sys%20Rev2009,%20CD007472.pdf" TargetMode="External"/><Relationship Id="rId766" Type="http://schemas.openxmlformats.org/officeDocument/2006/relationships/hyperlink" Target="2012\Coc%20Dat%20Sys%20Rev2012,%20CD007605.pdf" TargetMode="External"/><Relationship Id="rId1189" Type="http://schemas.openxmlformats.org/officeDocument/2006/relationships/hyperlink" Target="2008\Cur%20Sci95,%20431.pdf" TargetMode="External"/><Relationship Id="rId198" Type="http://schemas.openxmlformats.org/officeDocument/2006/relationships/hyperlink" Target="2015/Chi%20Lan%20Tea%20The31,%2071.pdf" TargetMode="External"/><Relationship Id="rId321" Type="http://schemas.openxmlformats.org/officeDocument/2006/relationships/hyperlink" Target="2014\Cli%20Bio29,%2087.pdf" TargetMode="External"/><Relationship Id="rId419" Type="http://schemas.openxmlformats.org/officeDocument/2006/relationships/hyperlink" Target="2009\Cli%20Reh23,%20639.pdf" TargetMode="External"/><Relationship Id="rId626" Type="http://schemas.openxmlformats.org/officeDocument/2006/relationships/hyperlink" Target="2010\Coc%20Dat%20Sys%20Rev2010,%20CD006590.pdf" TargetMode="External"/><Relationship Id="rId973" Type="http://schemas.openxmlformats.org/officeDocument/2006/relationships/hyperlink" Target="2007\Com%20Met%20Pro%20Bio86,%20191.pdf" TargetMode="External"/><Relationship Id="rId1049" Type="http://schemas.openxmlformats.org/officeDocument/2006/relationships/hyperlink" Target="2010\Cri%20Car14,%20R188.pdf" TargetMode="External"/><Relationship Id="rId1256" Type="http://schemas.openxmlformats.org/officeDocument/2006/relationships/hyperlink" Target="1986\Cze%20J%20Phy36,%20115.pdf" TargetMode="External"/><Relationship Id="rId833" Type="http://schemas.openxmlformats.org/officeDocument/2006/relationships/hyperlink" Target="2014/Coc%20Dat%20Sys%20Rev2014,%20CD002020.pdf" TargetMode="External"/><Relationship Id="rId1116" Type="http://schemas.openxmlformats.org/officeDocument/2006/relationships/hyperlink" Target="http://www.ingentaconnect.com/content/apl/cmro" TargetMode="External"/><Relationship Id="rId265" Type="http://schemas.openxmlformats.org/officeDocument/2006/relationships/hyperlink" Target="2012\Chi%20Med%20J125,%203730.pdf" TargetMode="External"/><Relationship Id="rId472" Type="http://schemas.openxmlformats.org/officeDocument/2006/relationships/hyperlink" Target="2009\Clinics64,%201007.pdf" TargetMode="External"/><Relationship Id="rId900" Type="http://schemas.openxmlformats.org/officeDocument/2006/relationships/hyperlink" Target="1960-80\Col%20Res%20Lib25,%2093.pdf" TargetMode="External"/><Relationship Id="rId125" Type="http://schemas.openxmlformats.org/officeDocument/2006/relationships/hyperlink" Target="2004\Can%20Inv22,%20132.pdf" TargetMode="External"/><Relationship Id="rId332" Type="http://schemas.openxmlformats.org/officeDocument/2006/relationships/hyperlink" Target="2001\Cli%20Che47,%20606.pdf" TargetMode="External"/><Relationship Id="rId777" Type="http://schemas.openxmlformats.org/officeDocument/2006/relationships/hyperlink" Target="2012\Coc%20Dat%20Sys%20Rev2012,%20CD006578.pdf" TargetMode="External"/><Relationship Id="rId984" Type="http://schemas.openxmlformats.org/officeDocument/2006/relationships/hyperlink" Target="2009\Com%20Geo35,%20862.pdf" TargetMode="External"/><Relationship Id="rId637" Type="http://schemas.openxmlformats.org/officeDocument/2006/relationships/hyperlink" Target="2011\Coc%20Dat%20Sys%20Rev2011,%20CD006032.pdf" TargetMode="External"/><Relationship Id="rId844" Type="http://schemas.openxmlformats.org/officeDocument/2006/relationships/hyperlink" Target="2014/Coc%20Dat%20Sys%20Rev2014,%20CD010252.pdf" TargetMode="External"/><Relationship Id="rId276" Type="http://schemas.openxmlformats.org/officeDocument/2006/relationships/hyperlink" Target="2011\Cie%20Sau%20Col16,%20165.pdf" TargetMode="External"/><Relationship Id="rId483" Type="http://schemas.openxmlformats.org/officeDocument/2006/relationships/hyperlink" Target="2015/Cli%20Res%20Hep%20Gas39,%20127.pdf" TargetMode="External"/><Relationship Id="rId690" Type="http://schemas.openxmlformats.org/officeDocument/2006/relationships/hyperlink" Target="2011\Coc%20Dat%20Sys%20Rev2011,%20CD007946.pdf" TargetMode="External"/><Relationship Id="rId704" Type="http://schemas.openxmlformats.org/officeDocument/2006/relationships/hyperlink" Target="2011\Coc%20Dat%20Sys%20Rev2011,%20MR000027.pdf" TargetMode="External"/><Relationship Id="rId911" Type="http://schemas.openxmlformats.org/officeDocument/2006/relationships/hyperlink" Target="2004\Col%20Res%20Lib65,%20194.pdf" TargetMode="External"/><Relationship Id="rId1127" Type="http://schemas.openxmlformats.org/officeDocument/2006/relationships/hyperlink" Target="2014\Cur%20Onc%20Rep16,%20390.pdf" TargetMode="External"/><Relationship Id="rId40" Type="http://schemas.openxmlformats.org/officeDocument/2006/relationships/hyperlink" Target="2010\Can%20J%20Ana57,%20256.pdf" TargetMode="External"/><Relationship Id="rId136" Type="http://schemas.openxmlformats.org/officeDocument/2006/relationships/hyperlink" Target="http://sciencejournals.info/Carbon.html" TargetMode="External"/><Relationship Id="rId343" Type="http://schemas.openxmlformats.org/officeDocument/2006/relationships/hyperlink" Target="2015/Cli%20End82,%20221.pdf" TargetMode="External"/><Relationship Id="rId550" Type="http://schemas.openxmlformats.org/officeDocument/2006/relationships/hyperlink" Target="2009\Coc%20Dat%20Sys%20Rev2009,%20CD004726.pdf" TargetMode="External"/><Relationship Id="rId788" Type="http://schemas.openxmlformats.org/officeDocument/2006/relationships/hyperlink" Target="2014\Coc%20Dat%20Sys%20Rev2014,%20CD010478.pdf" TargetMode="External"/><Relationship Id="rId995" Type="http://schemas.openxmlformats.org/officeDocument/2006/relationships/hyperlink" Target="2013\Comunicar41,%2045.pdf" TargetMode="External"/><Relationship Id="rId1180" Type="http://schemas.openxmlformats.org/officeDocument/2006/relationships/hyperlink" Target="2005\Cur%20Sci89,%201990.pdf" TargetMode="External"/><Relationship Id="rId203" Type="http://schemas.openxmlformats.org/officeDocument/2006/relationships/hyperlink" Target="2009\Chi%20Ogg-Che%20Tod27,%2061.pdf" TargetMode="External"/><Relationship Id="rId648" Type="http://schemas.openxmlformats.org/officeDocument/2006/relationships/hyperlink" Target="2011\Coc%20Dat%20Sys%20Rev2011,%20CD007294.pdf" TargetMode="External"/><Relationship Id="rId855" Type="http://schemas.openxmlformats.org/officeDocument/2006/relationships/hyperlink" Target="2015/Coc%20Dat%20Sys%20Rev2015,%20CD003870.pdf" TargetMode="External"/><Relationship Id="rId1040" Type="http://schemas.openxmlformats.org/officeDocument/2006/relationships/hyperlink" Target="2007\Cortex43,%20174.pdf" TargetMode="External"/><Relationship Id="rId287" Type="http://schemas.openxmlformats.org/officeDocument/2006/relationships/hyperlink" Target="2010\Circulation121,%201838.pdf" TargetMode="External"/><Relationship Id="rId410" Type="http://schemas.openxmlformats.org/officeDocument/2006/relationships/hyperlink" Target="2011\Cli%20Oto%20All%20Sci36,%20531.pdf" TargetMode="External"/><Relationship Id="rId494" Type="http://schemas.openxmlformats.org/officeDocument/2006/relationships/hyperlink" Target="2003\Coc%20Dat%20Sys%20Rev2003,%20CD003641.pdf" TargetMode="External"/><Relationship Id="rId508" Type="http://schemas.openxmlformats.org/officeDocument/2006/relationships/hyperlink" Target="2006\Coc%20Dat%20Sys%20Rev2006,%20CD003171.pdf" TargetMode="External"/><Relationship Id="rId715" Type="http://schemas.openxmlformats.org/officeDocument/2006/relationships/hyperlink" Target="2011\Coc%20Dat%20Sys%20Rev2011,%20CD009170.pdf" TargetMode="External"/><Relationship Id="rId922" Type="http://schemas.openxmlformats.org/officeDocument/2006/relationships/hyperlink" Target="2014\Collegian21,%2033.pdf" TargetMode="External"/><Relationship Id="rId1138" Type="http://schemas.openxmlformats.org/officeDocument/2006/relationships/hyperlink" Target="1994\Cur%20Sci67,%20884.pdf" TargetMode="External"/><Relationship Id="rId147" Type="http://schemas.openxmlformats.org/officeDocument/2006/relationships/hyperlink" Target="1982\Cel%20Mec27,%2065.pdf" TargetMode="External"/><Relationship Id="rId354" Type="http://schemas.openxmlformats.org/officeDocument/2006/relationships/hyperlink" Target="2012\Cli%20Exp%20Oph40,%2027.pdf" TargetMode="External"/><Relationship Id="rId799" Type="http://schemas.openxmlformats.org/officeDocument/2006/relationships/hyperlink" Target="2014\Coc%20Dat%20Sys%20Rev2014,%20CD007080.pdf" TargetMode="External"/><Relationship Id="rId1191" Type="http://schemas.openxmlformats.org/officeDocument/2006/relationships/hyperlink" Target="2008\Cur%20Sci95,%201656.pdf" TargetMode="External"/><Relationship Id="rId1205" Type="http://schemas.openxmlformats.org/officeDocument/2006/relationships/hyperlink" Target="2013\Cur%20Sci104,%20307.pdf" TargetMode="External"/><Relationship Id="rId51" Type="http://schemas.openxmlformats.org/officeDocument/2006/relationships/hyperlink" Target="2010\Can%20J%20Eme%20Med12,%20355.pdf" TargetMode="External"/><Relationship Id="rId561" Type="http://schemas.openxmlformats.org/officeDocument/2006/relationships/hyperlink" Target="2009\Coc%20Dat%20Sys%20Rev2009,%20CD008154.pdf" TargetMode="External"/><Relationship Id="rId659" Type="http://schemas.openxmlformats.org/officeDocument/2006/relationships/hyperlink" Target="2011\Coc%20Dat%20Sys%20Rev2011,%20CD003619.pdf" TargetMode="External"/><Relationship Id="rId866" Type="http://schemas.openxmlformats.org/officeDocument/2006/relationships/hyperlink" Target="2015/Coc%20Dat%20Sys%20Rev2015,%20CD008226.pdf" TargetMode="External"/><Relationship Id="rId214" Type="http://schemas.openxmlformats.org/officeDocument/2006/relationships/hyperlink" Target="2007\Chi%20Agr%20Sci%20Bul23,%20419.pdf" TargetMode="External"/><Relationship Id="rId298" Type="http://schemas.openxmlformats.org/officeDocument/2006/relationships/hyperlink" Target="2014/Cir%20Res115,%20617.pdf" TargetMode="External"/><Relationship Id="rId421" Type="http://schemas.openxmlformats.org/officeDocument/2006/relationships/hyperlink" Target="2009\Cli%20Reh23,%20681.pdf" TargetMode="External"/><Relationship Id="rId519" Type="http://schemas.openxmlformats.org/officeDocument/2006/relationships/hyperlink" Target="2007\Coc%20Dat%20Sys%20Rev2007,%20CD006230.pdf" TargetMode="External"/><Relationship Id="rId1051" Type="http://schemas.openxmlformats.org/officeDocument/2006/relationships/hyperlink" Target="2011\Cri%20Car15,%20R72.pdf" TargetMode="External"/><Relationship Id="rId1149" Type="http://schemas.openxmlformats.org/officeDocument/2006/relationships/hyperlink" Target="2000\Cur%20Sci79,%201042.pdf" TargetMode="External"/><Relationship Id="rId158" Type="http://schemas.openxmlformats.org/officeDocument/2006/relationships/hyperlink" Target="2015/Cel%20J17-Lin1.pdf" TargetMode="External"/><Relationship Id="rId726" Type="http://schemas.openxmlformats.org/officeDocument/2006/relationships/hyperlink" Target="2011\Coc%20Dat%20Sys%20Rev2011,%20CD009144.pdf" TargetMode="External"/><Relationship Id="rId933" Type="http://schemas.openxmlformats.org/officeDocument/2006/relationships/hyperlink" Target="2013\Col%20Dis15,%20283.pdf" TargetMode="External"/><Relationship Id="rId1009" Type="http://schemas.openxmlformats.org/officeDocument/2006/relationships/hyperlink" Target="2007\Con%20Bio21,%2029.pdf" TargetMode="External"/><Relationship Id="rId62" Type="http://schemas.openxmlformats.org/officeDocument/2006/relationships/hyperlink" Target="2010\Can%20Jou%20Inf%20Lib%20Sci34,%20403.pdf" TargetMode="External"/><Relationship Id="rId365" Type="http://schemas.openxmlformats.org/officeDocument/2006/relationships/hyperlink" Target="2011\Cli%20J%20Ame%20Soc%20Nep6,%202364.pdf" TargetMode="External"/><Relationship Id="rId572" Type="http://schemas.openxmlformats.org/officeDocument/2006/relationships/hyperlink" Target="2010\Coc%20Dat%20Sys%20Rev2010,%20CD007877.pdf" TargetMode="External"/><Relationship Id="rId1216" Type="http://schemas.openxmlformats.org/officeDocument/2006/relationships/hyperlink" Target="2014\Cur%20Sci106,%20942.pdf" TargetMode="External"/><Relationship Id="rId225" Type="http://schemas.openxmlformats.org/officeDocument/2006/relationships/hyperlink" Target="http://www.sciencedirect.com/science/journal/10049541" TargetMode="External"/><Relationship Id="rId432" Type="http://schemas.openxmlformats.org/officeDocument/2006/relationships/hyperlink" Target="2014\Cli%20Reh28,%20107.pdf" TargetMode="External"/><Relationship Id="rId877" Type="http://schemas.openxmlformats.org/officeDocument/2006/relationships/hyperlink" Target="2015/Coc%20Dat%20Sys%20Rev2015,%20CD010783.pdf" TargetMode="External"/><Relationship Id="rId1062" Type="http://schemas.openxmlformats.org/officeDocument/2006/relationships/hyperlink" Target="2005\Cri%20Car%20Med33,%202651.pdf" TargetMode="External"/><Relationship Id="rId737" Type="http://schemas.openxmlformats.org/officeDocument/2006/relationships/hyperlink" Target="2012\Coc%20Dat%20Sys%20Rev2012,%20CD007176.pdf" TargetMode="External"/><Relationship Id="rId944" Type="http://schemas.openxmlformats.org/officeDocument/2006/relationships/hyperlink" Target="2001\Com%20The11,%20290.pdf" TargetMode="External"/><Relationship Id="rId73" Type="http://schemas.openxmlformats.org/officeDocument/2006/relationships/hyperlink" Target="1997\Can%20J%20Psy25,%20427.pdf" TargetMode="External"/><Relationship Id="rId169"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376" Type="http://schemas.openxmlformats.org/officeDocument/2006/relationships/hyperlink" Target="2014\Cli%20Onc26,%2018.pdf" TargetMode="External"/><Relationship Id="rId583" Type="http://schemas.openxmlformats.org/officeDocument/2006/relationships/hyperlink" Target="2010\Coc%20Dat%20Sys%20Rev2010,%20CD004015.pdf" TargetMode="External"/><Relationship Id="rId790" Type="http://schemas.openxmlformats.org/officeDocument/2006/relationships/hyperlink" Target="2014\Coc%20Dat%20Sys%20Rev2014,%20CD009300.pdf" TargetMode="External"/><Relationship Id="rId804" Type="http://schemas.openxmlformats.org/officeDocument/2006/relationships/hyperlink" Target="2014\Coc%20Dat%20Sys%20Rev2014,%20CD009933.pdf" TargetMode="External"/><Relationship Id="rId1227" Type="http://schemas.openxmlformats.org/officeDocument/2006/relationships/hyperlink" Target="2014/Cur%20Sci-Ho.pdf" TargetMode="External"/><Relationship Id="rId4" Type="http://schemas.microsoft.com/office/2007/relationships/stylesWithEffects" Target="stylesWithEffects.xml"/><Relationship Id="rId236" Type="http://schemas.openxmlformats.org/officeDocument/2006/relationships/hyperlink" Target="2008\Chi%20J%20Int%20Med14,%20110.pdf" TargetMode="External"/><Relationship Id="rId443" Type="http://schemas.openxmlformats.org/officeDocument/2006/relationships/hyperlink" Target="2006\Cli%20The28,%20652.pdf" TargetMode="External"/><Relationship Id="rId650" Type="http://schemas.openxmlformats.org/officeDocument/2006/relationships/hyperlink" Target="2011\Coc%20Dat%20Sys%20Rev2011,%20CD007749.pdf" TargetMode="External"/><Relationship Id="rId888" Type="http://schemas.openxmlformats.org/officeDocument/2006/relationships/hyperlink" Target="http://www.informaworld.com/smpp/title~db=all~content=t792303985" TargetMode="External"/><Relationship Id="rId1073" Type="http://schemas.openxmlformats.org/officeDocument/2006/relationships/hyperlink" Target="2015/Cri%20Rev%20Env%20Sci%20Tec45,%20777.pdf" TargetMode="External"/><Relationship Id="rId303" Type="http://schemas.openxmlformats.org/officeDocument/2006/relationships/hyperlink" Target="2014\Climacteric17,%20325.pdf" TargetMode="External"/><Relationship Id="rId748" Type="http://schemas.openxmlformats.org/officeDocument/2006/relationships/hyperlink" Target="2012\Coc%20Dat%20Sys%20Rev2012,%20CD008344.pdf" TargetMode="External"/><Relationship Id="rId955" Type="http://schemas.openxmlformats.org/officeDocument/2006/relationships/hyperlink" Target="2013\Com-Eur%20Jou%20Com%20Res38,%201.pdf" TargetMode="External"/><Relationship Id="rId1140" Type="http://schemas.openxmlformats.org/officeDocument/2006/relationships/hyperlink" Target="1997\Cur%20Sci73,%20639.pdf" TargetMode="External"/><Relationship Id="rId84" Type="http://schemas.openxmlformats.org/officeDocument/2006/relationships/hyperlink" Target="1994\Can%20Med%20Ass%20J151,%2047.pdf" TargetMode="External"/><Relationship Id="rId387" Type="http://schemas.openxmlformats.org/officeDocument/2006/relationships/hyperlink" Target="2011\Cli%20Ort%20Rel%20Res469,%201487.pdf" TargetMode="External"/><Relationship Id="rId510" Type="http://schemas.openxmlformats.org/officeDocument/2006/relationships/hyperlink" Target="2006\Coc%20Dat%20Sys%20Rev2006,%20CD005555.pdf" TargetMode="External"/><Relationship Id="rId594" Type="http://schemas.openxmlformats.org/officeDocument/2006/relationships/hyperlink" Target="2011\Coc%20Dat%20Sys%20Rev2011,%20CD001035.pdf" TargetMode="External"/><Relationship Id="rId608" Type="http://schemas.openxmlformats.org/officeDocument/2006/relationships/hyperlink" Target="2011\Coc%20Dat%20Sys%20Rev2011,%20CD008122.pdf" TargetMode="External"/><Relationship Id="rId815" Type="http://schemas.openxmlformats.org/officeDocument/2006/relationships/hyperlink" Target="2014\Coc%20Dat%20Sys%20Rev2014,%20CD007337.pdf" TargetMode="External"/><Relationship Id="rId1238" Type="http://schemas.openxmlformats.org/officeDocument/2006/relationships/hyperlink" Target="2000\Cur%20Sur57,%20252.pdf" TargetMode="External"/><Relationship Id="rId247" Type="http://schemas.openxmlformats.org/officeDocument/2006/relationships/hyperlink" Target="http://e45.cnki.net/KNS50/Navi/item.aspx?NaviID=1&amp;BaseID=ZSMB&amp;NaviLink=%e4%b8%ad%e5%9b%bd%e7%a5%9e%e7%bb%8f%e5%85%8d%e7%96%ab%e5%ad%a6%e5%92%8c%e7%a5%9e%e7%bb%8f%e7%97%85%e5%ad%a6%e6%9d%82%e5%bf%97" TargetMode="External"/><Relationship Id="rId899" Type="http://schemas.openxmlformats.org/officeDocument/2006/relationships/hyperlink" Target="-1959\Col%20Res%20Lib17,%20517.pdf" TargetMode="External"/><Relationship Id="rId1000" Type="http://schemas.openxmlformats.org/officeDocument/2006/relationships/hyperlink" Target="2015/Comunicar44,%2073.pdf" TargetMode="External"/><Relationship Id="rId1084" Type="http://schemas.openxmlformats.org/officeDocument/2006/relationships/hyperlink" Target="2002\Cro%20Med%20J43,%20262.pdf" TargetMode="External"/><Relationship Id="rId107" Type="http://schemas.openxmlformats.org/officeDocument/2006/relationships/hyperlink" Target="2009\Can%20Uro%20Ass%20J3,%20293.pdf" TargetMode="External"/><Relationship Id="rId454" Type="http://schemas.openxmlformats.org/officeDocument/2006/relationships/hyperlink" Target="2011\Cli%20The33,%2062.pdf" TargetMode="External"/><Relationship Id="rId661" Type="http://schemas.openxmlformats.org/officeDocument/2006/relationships/hyperlink" Target="2011\Coc%20Dat%20Sys%20Rev2011,%20CD008143.pdf" TargetMode="External"/><Relationship Id="rId759" Type="http://schemas.openxmlformats.org/officeDocument/2006/relationships/hyperlink" Target="2012\Coc%20Dat%20Sys%20Rev2012,%20CD008511.pdf" TargetMode="External"/><Relationship Id="rId966" Type="http://schemas.openxmlformats.org/officeDocument/2006/relationships/hyperlink" Target="2014/Com%20The%20Med22,%20930.pdf" TargetMode="External"/><Relationship Id="rId11" Type="http://schemas.openxmlformats.org/officeDocument/2006/relationships/hyperlink" Target="2006\Cad%20Sau%20Pub22,%202527.pdf" TargetMode="External"/><Relationship Id="rId314" Type="http://schemas.openxmlformats.org/officeDocument/2006/relationships/hyperlink" Target="2004\Cli%20Ana17,%20534.pdf" TargetMode="External"/><Relationship Id="rId398" Type="http://schemas.openxmlformats.org/officeDocument/2006/relationships/hyperlink" Target="2013\Cli%20Ort%20Rel%20Res471,%201778.pdf" TargetMode="External"/><Relationship Id="rId521" Type="http://schemas.openxmlformats.org/officeDocument/2006/relationships/hyperlink" Target="2007\Coc%20Dat%20Sys%20Rev2007,%20CD006003.pdf" TargetMode="External"/><Relationship Id="rId619" Type="http://schemas.openxmlformats.org/officeDocument/2006/relationships/hyperlink" Target="2010\Coc%20Dat%20Sys%20Rev2010,%20CD004607.pdf" TargetMode="External"/><Relationship Id="rId1151" Type="http://schemas.openxmlformats.org/officeDocument/2006/relationships/hyperlink" Target="2002\Cur%20Sci82,%20933.pdf" TargetMode="External"/><Relationship Id="rId1249" Type="http://schemas.openxmlformats.org/officeDocument/2006/relationships/hyperlink" Target="2004\Cybermetrics8,%201.pdf" TargetMode="External"/><Relationship Id="rId95" Type="http://schemas.openxmlformats.org/officeDocument/2006/relationships/hyperlink" Target="2000\Can%20Med%20Ass%20J162,%20490.pdf" TargetMode="External"/><Relationship Id="rId160" Type="http://schemas.openxmlformats.org/officeDocument/2006/relationships/hyperlink" Target="2010\Cel%20Ste%20Cel7,%2025.pdf" TargetMode="External"/><Relationship Id="rId826" Type="http://schemas.openxmlformats.org/officeDocument/2006/relationships/hyperlink" Target="2014/Coc%20Dat%20Sys%20Rev2014,%20CD006749.pdf" TargetMode="External"/><Relationship Id="rId1011" Type="http://schemas.openxmlformats.org/officeDocument/2006/relationships/hyperlink" Target="2010\Con%20Bio24,%20872.pdf" TargetMode="External"/><Relationship Id="rId1109" Type="http://schemas.openxmlformats.org/officeDocument/2006/relationships/hyperlink" Target="1992\Cur%20Con49,%205.pdf" TargetMode="External"/><Relationship Id="rId258" Type="http://schemas.openxmlformats.org/officeDocument/2006/relationships/hyperlink" Target="2006\Chi%20Med%20Equ%20J27,%2043.pdf" TargetMode="External"/><Relationship Id="rId465" Type="http://schemas.openxmlformats.org/officeDocument/2006/relationships/hyperlink" Target="2014\Cli%20Tox52,%20470.pdf" TargetMode="External"/><Relationship Id="rId672" Type="http://schemas.openxmlformats.org/officeDocument/2006/relationships/hyperlink" Target="2011\Coc%20Dat%20Sys%20Rev2011,%20CD005346.pdf" TargetMode="External"/><Relationship Id="rId1095" Type="http://schemas.openxmlformats.org/officeDocument/2006/relationships/hyperlink" Target="2013\Cua%20Eco%20Dir%20Emp16,%2017.pdf" TargetMode="External"/><Relationship Id="rId22" Type="http://schemas.openxmlformats.org/officeDocument/2006/relationships/hyperlink" Target="http://www.jstor.org/action/showPublication?journalCode=colulawrevi" TargetMode="External"/><Relationship Id="rId118" Type="http://schemas.openxmlformats.org/officeDocument/2006/relationships/hyperlink" Target="2011\Can%20Cau%20Con22,%20803.pdf" TargetMode="External"/><Relationship Id="rId325" Type="http://schemas.openxmlformats.org/officeDocument/2006/relationships/hyperlink" Target="1983\Cli%20Che29,%201858.pdf" TargetMode="External"/><Relationship Id="rId532" Type="http://schemas.openxmlformats.org/officeDocument/2006/relationships/hyperlink" Target="2008\Coc%20Dat%20Sys%20Rev2008,%20CD004935.pdf" TargetMode="External"/><Relationship Id="rId977" Type="http://schemas.openxmlformats.org/officeDocument/2006/relationships/hyperlink" Target="1993\Com%20Bio%20Res26,%20143.pdf" TargetMode="External"/><Relationship Id="rId1162" Type="http://schemas.openxmlformats.org/officeDocument/2006/relationships/hyperlink" Target="2003\Cur%20Sci85,%201391.pdf" TargetMode="External"/><Relationship Id="rId171"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837" Type="http://schemas.openxmlformats.org/officeDocument/2006/relationships/hyperlink" Target="2014/Coc%20Dat%20Sys%20Rev2014,%20CD009576.pdf" TargetMode="External"/><Relationship Id="rId1022" Type="http://schemas.openxmlformats.org/officeDocument/2006/relationships/hyperlink" Target="http://www.sciencedirect.com/science/journal/15517144" TargetMode="External"/><Relationship Id="rId269" Type="http://schemas.openxmlformats.org/officeDocument/2006/relationships/hyperlink" Target="2009\Chi%20Sci%20Bul54,%20249.pdf" TargetMode="External"/><Relationship Id="rId476" Type="http://schemas.openxmlformats.org/officeDocument/2006/relationships/hyperlink" Target="2013\Clinics68,%201462.pdf" TargetMode="External"/><Relationship Id="rId683" Type="http://schemas.openxmlformats.org/officeDocument/2006/relationships/hyperlink" Target="2011\Coc%20Dat%20Sys%20Rev2011,%20CD003300.pdf" TargetMode="External"/><Relationship Id="rId890" Type="http://schemas.openxmlformats.org/officeDocument/2006/relationships/hyperlink" Target="1960-80\Col%20Man2,%20229.pdf" TargetMode="External"/><Relationship Id="rId904" Type="http://schemas.openxmlformats.org/officeDocument/2006/relationships/hyperlink" Target="1991\Col%20Res%20Lib52,%20481.pdf" TargetMode="External"/><Relationship Id="rId33" Type="http://schemas.openxmlformats.org/officeDocument/2006/relationships/hyperlink" Target="2012\Can%20J%20Adm%20Sci29,%203.pdf" TargetMode="External"/><Relationship Id="rId129" Type="http://schemas.openxmlformats.org/officeDocument/2006/relationships/hyperlink" Target="http://www.sciencedirect.com/science/journal/03057372" TargetMode="External"/><Relationship Id="rId336" Type="http://schemas.openxmlformats.org/officeDocument/2006/relationships/hyperlink" Target="2008\Cli%20Che%20Lab%20Med46,%201663.pdf" TargetMode="External"/><Relationship Id="rId543" Type="http://schemas.openxmlformats.org/officeDocument/2006/relationships/hyperlink" Target="2009\Coc%20Dat%20Sys%20Rev2009,%20CD006575.pdf" TargetMode="External"/><Relationship Id="rId988" Type="http://schemas.openxmlformats.org/officeDocument/2006/relationships/hyperlink" Target="http://ovidsp.uk.ovid.com/spa/ovidweb.cgi?&amp;S=IELLPDFDAEHFDOLHFNFLPBGHKEEKAA00&amp;TOC=S.sh.15.17%7c5%7c60&amp;WebLinkReturn=Full+Text%3dL%7cS.sh.15.16%7c0%7c00024665-200903000-00005" TargetMode="External"/><Relationship Id="rId1173" Type="http://schemas.openxmlformats.org/officeDocument/2006/relationships/hyperlink" Target="2005\Cur%20Sci88,%20677.pdf" TargetMode="External"/><Relationship Id="rId182" Type="http://schemas.openxmlformats.org/officeDocument/2006/relationships/hyperlink" Target="2013\Che%20Cen%20J7,%20132.pdf" TargetMode="External"/><Relationship Id="rId403" Type="http://schemas.openxmlformats.org/officeDocument/2006/relationships/hyperlink" Target="2001\Cli%20Oto%20All%20Sci26,%2039.pdf" TargetMode="External"/><Relationship Id="rId750" Type="http://schemas.openxmlformats.org/officeDocument/2006/relationships/hyperlink" Target="2012\Coc%20Dat%20Sys%20Rev2012,%20CD000567.pdf" TargetMode="External"/><Relationship Id="rId848" Type="http://schemas.openxmlformats.org/officeDocument/2006/relationships/hyperlink" Target="2014/Coc%20Dat%20Sys%20Rev2014,%20CD010342.pdf" TargetMode="External"/><Relationship Id="rId1033" Type="http://schemas.openxmlformats.org/officeDocument/2006/relationships/hyperlink" Target="2015/Cor%20Art%20Dis26,%2072.pdf" TargetMode="External"/><Relationship Id="rId487" Type="http://schemas.openxmlformats.org/officeDocument/2006/relationships/hyperlink" Target="http://www.cmaj.ca/contents-by-date.0.shtml" TargetMode="External"/><Relationship Id="rId610" Type="http://schemas.openxmlformats.org/officeDocument/2006/relationships/hyperlink" Target="2010\Coc%20Dat%20Sys%20Rev2010,%20CD001796.pdf" TargetMode="External"/><Relationship Id="rId694" Type="http://schemas.openxmlformats.org/officeDocument/2006/relationships/hyperlink" Target="2011\Coc%20Dat%20Sys%20Rev2011,%20CD005531.pdf" TargetMode="External"/><Relationship Id="rId708" Type="http://schemas.openxmlformats.org/officeDocument/2006/relationships/hyperlink" Target="2011\Coc%20Dat%20Sys%20Rev2011,%20CD005531.pdf" TargetMode="External"/><Relationship Id="rId915" Type="http://schemas.openxmlformats.org/officeDocument/2006/relationships/hyperlink" Target="2007\Col%20Res%20Lib68,%20155.pdf" TargetMode="External"/><Relationship Id="rId1240" Type="http://schemas.openxmlformats.org/officeDocument/2006/relationships/hyperlink" Target="2003\Cur%20Top%20Med%20Che3,%20249.pdf" TargetMode="External"/><Relationship Id="rId347" Type="http://schemas.openxmlformats.org/officeDocument/2006/relationships/hyperlink" Target="2015/Cli%20Exp%20Met32,%20135.pdf" TargetMode="External"/><Relationship Id="rId999" Type="http://schemas.openxmlformats.org/officeDocument/2006/relationships/hyperlink" Target="2014\Comunicar42,%20137.pdf" TargetMode="External"/><Relationship Id="rId1100" Type="http://schemas.openxmlformats.org/officeDocument/2006/relationships/hyperlink" Target="1983\Cur%20Con29,%2018.pdf" TargetMode="External"/><Relationship Id="rId1184" Type="http://schemas.openxmlformats.org/officeDocument/2006/relationships/hyperlink" Target="2007\Cur%20Sci96,%20762.pdf" TargetMode="External"/><Relationship Id="rId44" Type="http://schemas.openxmlformats.org/officeDocument/2006/relationships/hyperlink" Target="2013\Can%20J%20Car29,%201520.pdf" TargetMode="External"/><Relationship Id="rId554" Type="http://schemas.openxmlformats.org/officeDocument/2006/relationships/hyperlink" Target="2009\Coc%20Dat%20Sys%20Rev2009,%20CD007112.pdf" TargetMode="External"/><Relationship Id="rId761" Type="http://schemas.openxmlformats.org/officeDocument/2006/relationships/hyperlink" Target="2012\Coc%20Dat%20Sys%20Rev2012,%20CD001319.pdf" TargetMode="External"/><Relationship Id="rId859" Type="http://schemas.openxmlformats.org/officeDocument/2006/relationships/hyperlink" Target="2015/Coc%20Dat%20Sys%20Rev2015,%20CD010339.pdf" TargetMode="External"/><Relationship Id="rId193" Type="http://schemas.openxmlformats.org/officeDocument/2006/relationships/hyperlink" Target="2014\Chest145,%20762.pdf" TargetMode="External"/><Relationship Id="rId207" Type="http://schemas.openxmlformats.org/officeDocument/2006/relationships/hyperlink" Target="2009\Chi%20Wor%20Eco20,%20103.pdf" TargetMode="External"/><Relationship Id="rId414" Type="http://schemas.openxmlformats.org/officeDocument/2006/relationships/hyperlink" Target="2015/Cli%20Psy%20Rev36,%2056.pdf" TargetMode="External"/><Relationship Id="rId498" Type="http://schemas.openxmlformats.org/officeDocument/2006/relationships/hyperlink" Target="2004\Coc%20Dat%20Sys%20Rev2004,%20CD003437.pdf" TargetMode="External"/><Relationship Id="rId621" Type="http://schemas.openxmlformats.org/officeDocument/2006/relationships/hyperlink" Target="2010\Coc%20Dat%20Sys%20Rev2010,%20CD006807.pdf" TargetMode="External"/><Relationship Id="rId1044" Type="http://schemas.openxmlformats.org/officeDocument/2006/relationships/hyperlink" Target="2005\Cre%20Res%20J17,%201.pdf" TargetMode="External"/><Relationship Id="rId1251" Type="http://schemas.openxmlformats.org/officeDocument/2006/relationships/hyperlink" Target="1981\Cze%20J%20Phy31,%20559.pdf" TargetMode="External"/><Relationship Id="rId260" Type="http://schemas.openxmlformats.org/officeDocument/2006/relationships/hyperlink" Target="2010\Chi%20Med%20J123,%202908.pdf" TargetMode="External"/><Relationship Id="rId719" Type="http://schemas.openxmlformats.org/officeDocument/2006/relationships/hyperlink" Target="2011\Coc%20Dat%20Sys%20Rev2011,%20CD004916.pdf" TargetMode="External"/><Relationship Id="rId926" Type="http://schemas.openxmlformats.org/officeDocument/2006/relationships/hyperlink" Target="2011\Col%20Ant35,%20269.pdf" TargetMode="External"/><Relationship Id="rId1111" Type="http://schemas.openxmlformats.org/officeDocument/2006/relationships/hyperlink" Target="1960-80\Cur%20Con%20Lif%20Sci15,%205.pdf" TargetMode="External"/><Relationship Id="rId55" Type="http://schemas.openxmlformats.org/officeDocument/2006/relationships/hyperlink" Target="2002\Can%20Jou%20Inf%20Lib%20Sci27,%2029.pdf" TargetMode="External"/><Relationship Id="rId120" Type="http://schemas.openxmlformats.org/officeDocument/2006/relationships/hyperlink" Target="2014/Can%20Cau%20Con25,%201553.pdf" TargetMode="External"/><Relationship Id="rId358" Type="http://schemas.openxmlformats.org/officeDocument/2006/relationships/hyperlink" Target="1995\Cli%20Hem15,%20587.pdf" TargetMode="External"/><Relationship Id="rId565" Type="http://schemas.openxmlformats.org/officeDocument/2006/relationships/hyperlink" Target="2010\Coc%20Dat%20Sys%20Rev2010,%20CD005956.pdf" TargetMode="External"/><Relationship Id="rId772" Type="http://schemas.openxmlformats.org/officeDocument/2006/relationships/hyperlink" Target="2012\Coc%20Dat%20Sys%20Rev2012,%20CD004792.pdf" TargetMode="External"/><Relationship Id="rId1195" Type="http://schemas.openxmlformats.org/officeDocument/2006/relationships/hyperlink" Target="2010\Cur%20Sci98,%20995.pdf" TargetMode="External"/><Relationship Id="rId1209" Type="http://schemas.openxmlformats.org/officeDocument/2006/relationships/hyperlink" Target="2013\Cur%20Sci105,%201061.pdf" TargetMode="External"/><Relationship Id="rId218" Type="http://schemas.openxmlformats.org/officeDocument/2006/relationships/hyperlink" Target="2007\Chi%20Hos%20Man26,%2032.pdf" TargetMode="External"/><Relationship Id="rId425" Type="http://schemas.openxmlformats.org/officeDocument/2006/relationships/hyperlink" Target="2010\Cli%20Reh24,%20887.pdf" TargetMode="External"/><Relationship Id="rId632" Type="http://schemas.openxmlformats.org/officeDocument/2006/relationships/hyperlink" Target="2010\Coc%20Dat%20Sys%20Rev2010,%20CD008256.pdf" TargetMode="External"/><Relationship Id="rId1055" Type="http://schemas.openxmlformats.org/officeDocument/2006/relationships/hyperlink" Target="2014\Cri%20Car18,%20R63.pdf" TargetMode="External"/><Relationship Id="rId126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DB2C4-94D4-499E-8CE5-DAB02F853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1719</Pages>
  <Words>670551</Words>
  <Characters>3822144</Characters>
  <Application>Microsoft Office Word</Application>
  <DocSecurity>0</DocSecurity>
  <Lines>31851</Lines>
  <Paragraphs>8967</Paragraphs>
  <ScaleCrop>false</ScaleCrop>
  <Company/>
  <LinksUpToDate>false</LinksUpToDate>
  <CharactersWithSpaces>4483728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Yuh-Shan Ho</dc:creator>
  <cp:lastModifiedBy>YSHo</cp:lastModifiedBy>
  <cp:revision>7</cp:revision>
  <dcterms:created xsi:type="dcterms:W3CDTF">2015-05-20T06:05:00Z</dcterms:created>
  <dcterms:modified xsi:type="dcterms:W3CDTF">2015-05-30T21:45:00Z</dcterms:modified>
</cp:coreProperties>
</file>